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5"/>
        <w:ind w:left="1930" w:right="0" w:firstLine="0"/>
        <w:jc w:val="left"/>
        <w:rPr>
          <w:rFonts w:ascii="Cambria" w:hAnsi="Cambria"/>
          <w:b/>
          <w:sz w:val="28"/>
        </w:rPr>
      </w:pPr>
      <w:r>
        <w:rPr/>
        <mc:AlternateContent>
          <mc:Choice Requires="wps">
            <w:drawing>
              <wp:anchor distT="0" distB="0" distL="0" distR="0" allowOverlap="1" layoutInCell="1" locked="0" behindDoc="1" simplePos="0" relativeHeight="485540864">
                <wp:simplePos x="0" y="0"/>
                <wp:positionH relativeFrom="page">
                  <wp:posOffset>0</wp:posOffset>
                </wp:positionH>
                <wp:positionV relativeFrom="page">
                  <wp:posOffset>0</wp:posOffset>
                </wp:positionV>
                <wp:extent cx="5587365" cy="864044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587365" cy="8640445"/>
                          <a:chExt cx="5587365" cy="8640445"/>
                        </a:xfrm>
                      </wpg:grpSpPr>
                      <wps:wsp>
                        <wps:cNvPr id="2" name="Graphic 2"/>
                        <wps:cNvSpPr/>
                        <wps:spPr>
                          <a:xfrm>
                            <a:off x="0" y="0"/>
                            <a:ext cx="7620" cy="8640445"/>
                          </a:xfrm>
                          <a:custGeom>
                            <a:avLst/>
                            <a:gdLst/>
                            <a:ahLst/>
                            <a:cxnLst/>
                            <a:rect l="l" t="t" r="r" b="b"/>
                            <a:pathLst>
                              <a:path w="7620" h="8640445">
                                <a:moveTo>
                                  <a:pt x="0" y="8639873"/>
                                </a:moveTo>
                                <a:lnTo>
                                  <a:pt x="7201" y="8639873"/>
                                </a:lnTo>
                                <a:lnTo>
                                  <a:pt x="7201" y="0"/>
                                </a:lnTo>
                                <a:lnTo>
                                  <a:pt x="0" y="0"/>
                                </a:lnTo>
                                <a:lnTo>
                                  <a:pt x="0" y="8639873"/>
                                </a:lnTo>
                                <a:close/>
                              </a:path>
                            </a:pathLst>
                          </a:custGeom>
                          <a:solidFill>
                            <a:srgbClr val="FFE2A7"/>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7188" y="2676004"/>
                            <a:ext cx="5580011" cy="4667999"/>
                          </a:xfrm>
                          <a:prstGeom prst="rect">
                            <a:avLst/>
                          </a:prstGeom>
                        </pic:spPr>
                      </pic:pic>
                      <pic:pic>
                        <pic:nvPicPr>
                          <pic:cNvPr id="4" name="Image 4"/>
                          <pic:cNvPicPr/>
                        </pic:nvPicPr>
                        <pic:blipFill>
                          <a:blip r:embed="rId6" cstate="print"/>
                          <a:stretch>
                            <a:fillRect/>
                          </a:stretch>
                        </pic:blipFill>
                        <pic:spPr>
                          <a:xfrm>
                            <a:off x="259194" y="7665389"/>
                            <a:ext cx="2060638" cy="650608"/>
                          </a:xfrm>
                          <a:prstGeom prst="rect">
                            <a:avLst/>
                          </a:prstGeom>
                        </pic:spPr>
                      </pic:pic>
                    </wpg:wgp>
                  </a:graphicData>
                </a:graphic>
              </wp:anchor>
            </w:drawing>
          </mc:Choice>
          <mc:Fallback>
            <w:pict>
              <v:group style="position:absolute;margin-left:.0pt;margin-top:.000001pt;width:439.95pt;height:680.35pt;mso-position-horizontal-relative:page;mso-position-vertical-relative:page;z-index:-17775616" id="docshapegroup1" coordorigin="0,0" coordsize="8799,13607">
                <v:rect style="position:absolute;left:0;top:0;width:12;height:13607" id="docshape2" filled="true" fillcolor="#ffe2a7" stroked="false">
                  <v:fill type="solid"/>
                </v:rect>
                <v:shape style="position:absolute;left:11;top:4214;width:8788;height:7352" type="#_x0000_t75" id="docshape3" stroked="false">
                  <v:imagedata r:id="rId5" o:title=""/>
                </v:shape>
                <v:shape style="position:absolute;left:408;top:12071;width:3246;height:1025" type="#_x0000_t75" id="docshape4" stroked="false">
                  <v:imagedata r:id="rId6" o:title=""/>
                </v:shape>
                <w10:wrap type="none"/>
              </v:group>
            </w:pict>
          </mc:Fallback>
        </mc:AlternateContent>
      </w:r>
      <w:r>
        <w:rPr>
          <w:rFonts w:ascii="Cambria" w:hAnsi="Cambria"/>
          <w:b/>
          <w:color w:val="231F20"/>
          <w:w w:val="115"/>
          <w:sz w:val="40"/>
        </w:rPr>
        <w:t>Michel</w:t>
      </w:r>
      <w:r>
        <w:rPr>
          <w:rFonts w:ascii="Cambria" w:hAnsi="Cambria"/>
          <w:b/>
          <w:color w:val="231F20"/>
          <w:spacing w:val="18"/>
          <w:w w:val="115"/>
          <w:sz w:val="40"/>
        </w:rPr>
        <w:t> </w:t>
      </w:r>
      <w:r>
        <w:rPr>
          <w:rFonts w:ascii="Cambria" w:hAnsi="Cambria"/>
          <w:b/>
          <w:color w:val="231F20"/>
          <w:w w:val="115"/>
          <w:sz w:val="40"/>
        </w:rPr>
        <w:t>K</w:t>
      </w:r>
      <w:r>
        <w:rPr>
          <w:rFonts w:ascii="Cambria" w:hAnsi="Cambria"/>
          <w:b/>
          <w:color w:val="231F20"/>
          <w:w w:val="115"/>
          <w:sz w:val="28"/>
        </w:rPr>
        <w:t>OFFI</w:t>
      </w:r>
      <w:r>
        <w:rPr>
          <w:rFonts w:ascii="Cambria" w:hAnsi="Cambria"/>
          <w:b/>
          <w:color w:val="231F20"/>
          <w:w w:val="115"/>
          <w:sz w:val="40"/>
        </w:rPr>
        <w:t>-</w:t>
      </w:r>
      <w:r>
        <w:rPr>
          <w:rFonts w:ascii="Cambria" w:hAnsi="Cambria"/>
          <w:b/>
          <w:color w:val="231F20"/>
          <w:spacing w:val="-4"/>
          <w:w w:val="115"/>
          <w:sz w:val="40"/>
        </w:rPr>
        <w:t>D</w:t>
      </w:r>
      <w:r>
        <w:rPr>
          <w:rFonts w:ascii="Cambria" w:hAnsi="Cambria"/>
          <w:b/>
          <w:color w:val="231F20"/>
          <w:spacing w:val="-4"/>
          <w:w w:val="115"/>
          <w:sz w:val="28"/>
        </w:rPr>
        <w:t>JÉMÉ</w:t>
      </w:r>
    </w:p>
    <w:p>
      <w:pPr>
        <w:pStyle w:val="BodyText"/>
        <w:ind w:left="0"/>
        <w:jc w:val="left"/>
        <w:rPr>
          <w:rFonts w:ascii="Cambria"/>
          <w:b/>
          <w:sz w:val="52"/>
        </w:rPr>
      </w:pPr>
    </w:p>
    <w:p>
      <w:pPr>
        <w:pStyle w:val="BodyText"/>
        <w:spacing w:before="39"/>
        <w:ind w:left="0"/>
        <w:jc w:val="left"/>
        <w:rPr>
          <w:rFonts w:ascii="Cambria"/>
          <w:b/>
          <w:sz w:val="52"/>
        </w:rPr>
      </w:pPr>
    </w:p>
    <w:p>
      <w:pPr>
        <w:pStyle w:val="Title"/>
        <w:spacing w:line="220" w:lineRule="auto"/>
      </w:pPr>
      <w:r>
        <w:rPr>
          <w:color w:val="B41630"/>
          <w:w w:val="115"/>
        </w:rPr>
        <w:t>L’AFRIQUE FRANCOPHONE PEUT-</w:t>
      </w:r>
      <w:r>
        <w:rPr>
          <w:color w:val="B41630"/>
          <w:spacing w:val="10"/>
          <w:w w:val="115"/>
        </w:rPr>
        <w:t>ELLE</w:t>
      </w:r>
      <w:r>
        <w:rPr>
          <w:color w:val="B41630"/>
          <w:spacing w:val="-1"/>
          <w:w w:val="115"/>
        </w:rPr>
        <w:t> </w:t>
      </w:r>
      <w:r>
        <w:rPr>
          <w:color w:val="B41630"/>
          <w:w w:val="115"/>
        </w:rPr>
        <w:t>SE</w:t>
      </w:r>
      <w:r>
        <w:rPr>
          <w:color w:val="B41630"/>
          <w:spacing w:val="-1"/>
          <w:w w:val="115"/>
        </w:rPr>
        <w:t> </w:t>
      </w:r>
      <w:r>
        <w:rPr>
          <w:color w:val="B41630"/>
          <w:spacing w:val="12"/>
          <w:w w:val="115"/>
        </w:rPr>
        <w:t>LIBÉRER</w:t>
      </w:r>
    </w:p>
    <w:p>
      <w:pPr>
        <w:pStyle w:val="Title"/>
        <w:spacing w:line="568" w:lineRule="exact"/>
      </w:pPr>
      <w:r>
        <w:rPr>
          <w:color w:val="B41630"/>
          <w:w w:val="115"/>
        </w:rPr>
        <w:t>DE</w:t>
      </w:r>
      <w:r>
        <w:rPr>
          <w:color w:val="B41630"/>
          <w:spacing w:val="-23"/>
          <w:w w:val="115"/>
        </w:rPr>
        <w:t> </w:t>
      </w:r>
      <w:r>
        <w:rPr>
          <w:color w:val="B41630"/>
          <w:w w:val="115"/>
        </w:rPr>
        <w:t>SES</w:t>
      </w:r>
      <w:r>
        <w:rPr>
          <w:color w:val="B41630"/>
          <w:spacing w:val="-23"/>
          <w:w w:val="115"/>
        </w:rPr>
        <w:t> </w:t>
      </w:r>
      <w:r>
        <w:rPr>
          <w:color w:val="B41630"/>
          <w:spacing w:val="12"/>
          <w:w w:val="115"/>
        </w:rPr>
        <w:t>CHAÎNES</w:t>
      </w:r>
      <w:r>
        <w:rPr>
          <w:color w:val="B41630"/>
          <w:spacing w:val="-22"/>
          <w:w w:val="115"/>
        </w:rPr>
        <w:t> </w:t>
      </w:r>
      <w:r>
        <w:rPr>
          <w:color w:val="B41630"/>
          <w:spacing w:val="-10"/>
          <w:w w:val="115"/>
        </w:rPr>
        <w:t>?</w:t>
      </w: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spacing w:before="78"/>
        <w:ind w:left="0"/>
        <w:jc w:val="left"/>
        <w:rPr>
          <w:rFonts w:ascii="Cambria"/>
          <w:b/>
          <w:sz w:val="20"/>
        </w:rPr>
      </w:pPr>
      <w:r>
        <w:rPr/>
        <w:drawing>
          <wp:anchor distT="0" distB="0" distL="0" distR="0" allowOverlap="1" layoutInCell="1" locked="0" behindDoc="1" simplePos="0" relativeHeight="487587840">
            <wp:simplePos x="0" y="0"/>
            <wp:positionH relativeFrom="page">
              <wp:posOffset>3949195</wp:posOffset>
            </wp:positionH>
            <wp:positionV relativeFrom="paragraph">
              <wp:posOffset>213660</wp:posOffset>
            </wp:positionV>
            <wp:extent cx="1350852" cy="76200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1350852" cy="762000"/>
                    </a:xfrm>
                    <a:prstGeom prst="rect">
                      <a:avLst/>
                    </a:prstGeom>
                  </pic:spPr>
                </pic:pic>
              </a:graphicData>
            </a:graphic>
          </wp:anchor>
        </w:drawing>
      </w:r>
    </w:p>
    <w:p>
      <w:pPr>
        <w:spacing w:after="0"/>
        <w:jc w:val="left"/>
        <w:rPr>
          <w:rFonts w:ascii="Cambria"/>
          <w:sz w:val="20"/>
        </w:rPr>
        <w:sectPr>
          <w:type w:val="continuous"/>
          <w:pgSz w:w="8800" w:h="13610"/>
          <w:pgMar w:top="320" w:bottom="280" w:left="560" w:right="340"/>
        </w:sectPr>
      </w:pPr>
    </w:p>
    <w:p>
      <w:pPr>
        <w:pStyle w:val="BodyText"/>
        <w:ind w:left="0"/>
        <w:jc w:val="left"/>
        <w:rPr>
          <w:rFonts w:ascii="Cambria"/>
          <w:b/>
          <w:sz w:val="17"/>
        </w:rPr>
      </w:pPr>
    </w:p>
    <w:p>
      <w:pPr>
        <w:spacing w:after="0"/>
        <w:jc w:val="left"/>
        <w:rPr>
          <w:rFonts w:ascii="Cambria"/>
          <w:sz w:val="17"/>
        </w:rPr>
        <w:sectPr>
          <w:pgSz w:w="8790" w:h="13610"/>
          <w:pgMar w:top="1540" w:bottom="280" w:left="880" w:right="880"/>
        </w:sectPr>
      </w:pPr>
    </w:p>
    <w:p>
      <w:pPr>
        <w:pStyle w:val="BodyText"/>
        <w:ind w:left="0"/>
        <w:jc w:val="left"/>
        <w:rPr>
          <w:rFonts w:ascii="Cambria"/>
          <w:b/>
          <w:sz w:val="32"/>
        </w:rPr>
      </w:pPr>
    </w:p>
    <w:p>
      <w:pPr>
        <w:pStyle w:val="BodyText"/>
        <w:ind w:left="0"/>
        <w:jc w:val="left"/>
        <w:rPr>
          <w:rFonts w:ascii="Cambria"/>
          <w:b/>
          <w:sz w:val="32"/>
        </w:rPr>
      </w:pPr>
    </w:p>
    <w:p>
      <w:pPr>
        <w:pStyle w:val="BodyText"/>
        <w:ind w:left="0"/>
        <w:jc w:val="left"/>
        <w:rPr>
          <w:rFonts w:ascii="Cambria"/>
          <w:b/>
          <w:sz w:val="32"/>
        </w:rPr>
      </w:pPr>
    </w:p>
    <w:p>
      <w:pPr>
        <w:pStyle w:val="BodyText"/>
        <w:ind w:left="0"/>
        <w:jc w:val="left"/>
        <w:rPr>
          <w:rFonts w:ascii="Cambria"/>
          <w:b/>
          <w:sz w:val="32"/>
        </w:rPr>
      </w:pPr>
    </w:p>
    <w:p>
      <w:pPr>
        <w:pStyle w:val="BodyText"/>
        <w:ind w:left="0"/>
        <w:jc w:val="left"/>
        <w:rPr>
          <w:rFonts w:ascii="Cambria"/>
          <w:b/>
          <w:sz w:val="32"/>
        </w:rPr>
      </w:pPr>
    </w:p>
    <w:p>
      <w:pPr>
        <w:pStyle w:val="BodyText"/>
        <w:ind w:left="0"/>
        <w:jc w:val="left"/>
        <w:rPr>
          <w:rFonts w:ascii="Cambria"/>
          <w:b/>
          <w:sz w:val="32"/>
        </w:rPr>
      </w:pPr>
    </w:p>
    <w:p>
      <w:pPr>
        <w:pStyle w:val="BodyText"/>
        <w:ind w:left="0"/>
        <w:jc w:val="left"/>
        <w:rPr>
          <w:rFonts w:ascii="Cambria"/>
          <w:b/>
          <w:sz w:val="32"/>
        </w:rPr>
      </w:pPr>
    </w:p>
    <w:p>
      <w:pPr>
        <w:pStyle w:val="BodyText"/>
        <w:spacing w:before="158"/>
        <w:ind w:left="0"/>
        <w:jc w:val="left"/>
        <w:rPr>
          <w:rFonts w:ascii="Cambria"/>
          <w:b/>
          <w:sz w:val="32"/>
        </w:rPr>
      </w:pPr>
    </w:p>
    <w:p>
      <w:pPr>
        <w:spacing w:before="0"/>
        <w:ind w:left="2243" w:right="0" w:hanging="2043"/>
        <w:jc w:val="left"/>
        <w:rPr>
          <w:rFonts w:ascii="Cambria" w:hAnsi="Cambria"/>
          <w:b/>
          <w:sz w:val="32"/>
        </w:rPr>
      </w:pPr>
      <w:r>
        <w:rPr>
          <w:rFonts w:ascii="Cambria" w:hAnsi="Cambria"/>
          <w:b/>
          <w:color w:val="231F20"/>
          <w:spacing w:val="-4"/>
          <w:w w:val="110"/>
          <w:sz w:val="32"/>
        </w:rPr>
        <w:t>L’Afrique</w:t>
      </w:r>
      <w:r>
        <w:rPr>
          <w:rFonts w:ascii="Cambria" w:hAnsi="Cambria"/>
          <w:b/>
          <w:color w:val="231F20"/>
          <w:spacing w:val="-12"/>
          <w:w w:val="110"/>
          <w:sz w:val="32"/>
        </w:rPr>
        <w:t> </w:t>
      </w:r>
      <w:r>
        <w:rPr>
          <w:rFonts w:ascii="Cambria" w:hAnsi="Cambria"/>
          <w:b/>
          <w:color w:val="231F20"/>
          <w:spacing w:val="-4"/>
          <w:w w:val="110"/>
          <w:sz w:val="32"/>
        </w:rPr>
        <w:t>francophone</w:t>
      </w:r>
      <w:r>
        <w:rPr>
          <w:rFonts w:ascii="Cambria" w:hAnsi="Cambria"/>
          <w:b/>
          <w:color w:val="231F20"/>
          <w:spacing w:val="-12"/>
          <w:w w:val="110"/>
          <w:sz w:val="32"/>
        </w:rPr>
        <w:t> </w:t>
      </w:r>
      <w:r>
        <w:rPr>
          <w:rFonts w:ascii="Cambria" w:hAnsi="Cambria"/>
          <w:b/>
          <w:color w:val="231F20"/>
          <w:spacing w:val="-4"/>
          <w:w w:val="110"/>
          <w:sz w:val="32"/>
        </w:rPr>
        <w:t>peut-elle</w:t>
      </w:r>
      <w:r>
        <w:rPr>
          <w:rFonts w:ascii="Cambria" w:hAnsi="Cambria"/>
          <w:b/>
          <w:color w:val="231F20"/>
          <w:spacing w:val="-12"/>
          <w:w w:val="110"/>
          <w:sz w:val="32"/>
        </w:rPr>
        <w:t> </w:t>
      </w:r>
      <w:r>
        <w:rPr>
          <w:rFonts w:ascii="Cambria" w:hAnsi="Cambria"/>
          <w:b/>
          <w:color w:val="231F20"/>
          <w:spacing w:val="-4"/>
          <w:w w:val="110"/>
          <w:sz w:val="32"/>
        </w:rPr>
        <w:t>se</w:t>
      </w:r>
      <w:r>
        <w:rPr>
          <w:rFonts w:ascii="Cambria" w:hAnsi="Cambria"/>
          <w:b/>
          <w:color w:val="231F20"/>
          <w:spacing w:val="-12"/>
          <w:w w:val="110"/>
          <w:sz w:val="32"/>
        </w:rPr>
        <w:t> </w:t>
      </w:r>
      <w:r>
        <w:rPr>
          <w:rFonts w:ascii="Cambria" w:hAnsi="Cambria"/>
          <w:b/>
          <w:color w:val="231F20"/>
          <w:spacing w:val="-4"/>
          <w:w w:val="110"/>
          <w:sz w:val="32"/>
        </w:rPr>
        <w:t>libérer </w:t>
      </w:r>
      <w:r>
        <w:rPr>
          <w:rFonts w:ascii="Cambria" w:hAnsi="Cambria"/>
          <w:b/>
          <w:color w:val="231F20"/>
          <w:w w:val="110"/>
          <w:sz w:val="32"/>
        </w:rPr>
        <w:t>de ses chaînes ?</w:t>
      </w:r>
    </w:p>
    <w:p>
      <w:pPr>
        <w:spacing w:after="0"/>
        <w:jc w:val="left"/>
        <w:rPr>
          <w:rFonts w:ascii="Cambria" w:hAnsi="Cambria"/>
          <w:sz w:val="32"/>
        </w:rPr>
        <w:sectPr>
          <w:pgSz w:w="8790" w:h="13610"/>
          <w:pgMar w:top="1540" w:bottom="280" w:left="880" w:right="880"/>
        </w:sectPr>
      </w:pPr>
    </w:p>
    <w:p>
      <w:pPr>
        <w:pStyle w:val="BodyText"/>
        <w:ind w:left="0"/>
        <w:jc w:val="left"/>
        <w:rPr>
          <w:rFonts w:ascii="Cambria"/>
          <w:b/>
          <w:sz w:val="17"/>
        </w:rPr>
      </w:pPr>
    </w:p>
    <w:p>
      <w:pPr>
        <w:spacing w:after="0"/>
        <w:jc w:val="left"/>
        <w:rPr>
          <w:rFonts w:ascii="Cambria"/>
          <w:sz w:val="17"/>
        </w:rPr>
        <w:sectPr>
          <w:pgSz w:w="8790" w:h="13610"/>
          <w:pgMar w:top="1540" w:bottom="280" w:left="880" w:right="880"/>
        </w:sectPr>
      </w:pPr>
    </w:p>
    <w:p>
      <w:pPr>
        <w:pStyle w:val="BodyText"/>
        <w:spacing w:before="92"/>
        <w:ind w:left="67" w:right="67"/>
        <w:jc w:val="center"/>
        <w:rPr>
          <w:rFonts w:ascii="Cambria" w:hAnsi="Cambria"/>
        </w:rPr>
      </w:pPr>
      <w:r>
        <w:rPr>
          <w:rFonts w:ascii="Cambria" w:hAnsi="Cambria"/>
          <w:color w:val="231F20"/>
          <w:spacing w:val="-2"/>
          <w:w w:val="110"/>
        </w:rPr>
        <w:t>Michel</w:t>
      </w:r>
      <w:r>
        <w:rPr>
          <w:rFonts w:ascii="Cambria" w:hAnsi="Cambria"/>
          <w:color w:val="231F20"/>
          <w:spacing w:val="-3"/>
          <w:w w:val="110"/>
        </w:rPr>
        <w:t> </w:t>
      </w:r>
      <w:r>
        <w:rPr>
          <w:rFonts w:ascii="Cambria" w:hAnsi="Cambria"/>
          <w:color w:val="231F20"/>
          <w:spacing w:val="-2"/>
          <w:w w:val="110"/>
        </w:rPr>
        <w:t>KOFFI-DJÉMÉ</w:t>
      </w:r>
    </w:p>
    <w:p>
      <w:pPr>
        <w:pStyle w:val="BodyText"/>
        <w:ind w:left="0"/>
        <w:jc w:val="left"/>
        <w:rPr>
          <w:rFonts w:ascii="Cambria"/>
        </w:rPr>
      </w:pPr>
    </w:p>
    <w:p>
      <w:pPr>
        <w:pStyle w:val="BodyText"/>
        <w:ind w:left="0"/>
        <w:jc w:val="left"/>
        <w:rPr>
          <w:rFonts w:ascii="Cambria"/>
        </w:rPr>
      </w:pPr>
    </w:p>
    <w:p>
      <w:pPr>
        <w:pStyle w:val="BodyText"/>
        <w:ind w:left="0"/>
        <w:jc w:val="left"/>
        <w:rPr>
          <w:rFonts w:ascii="Cambria"/>
        </w:rPr>
      </w:pPr>
    </w:p>
    <w:p>
      <w:pPr>
        <w:pStyle w:val="BodyText"/>
        <w:ind w:left="0"/>
        <w:jc w:val="left"/>
        <w:rPr>
          <w:rFonts w:ascii="Cambria"/>
        </w:rPr>
      </w:pPr>
    </w:p>
    <w:p>
      <w:pPr>
        <w:pStyle w:val="BodyText"/>
        <w:ind w:left="0"/>
        <w:jc w:val="left"/>
        <w:rPr>
          <w:rFonts w:ascii="Cambria"/>
        </w:rPr>
      </w:pPr>
    </w:p>
    <w:p>
      <w:pPr>
        <w:pStyle w:val="BodyText"/>
        <w:ind w:left="0"/>
        <w:jc w:val="left"/>
        <w:rPr>
          <w:rFonts w:ascii="Cambria"/>
        </w:rPr>
      </w:pPr>
    </w:p>
    <w:p>
      <w:pPr>
        <w:pStyle w:val="BodyText"/>
        <w:ind w:left="0"/>
        <w:jc w:val="left"/>
        <w:rPr>
          <w:rFonts w:ascii="Cambria"/>
        </w:rPr>
      </w:pPr>
    </w:p>
    <w:p>
      <w:pPr>
        <w:pStyle w:val="BodyText"/>
        <w:ind w:left="0"/>
        <w:jc w:val="left"/>
        <w:rPr>
          <w:rFonts w:ascii="Cambria"/>
        </w:rPr>
      </w:pPr>
    </w:p>
    <w:p>
      <w:pPr>
        <w:pStyle w:val="BodyText"/>
        <w:ind w:left="0"/>
        <w:jc w:val="left"/>
        <w:rPr>
          <w:rFonts w:ascii="Cambria"/>
        </w:rPr>
      </w:pPr>
    </w:p>
    <w:p>
      <w:pPr>
        <w:pStyle w:val="BodyText"/>
        <w:ind w:left="0"/>
        <w:jc w:val="left"/>
        <w:rPr>
          <w:rFonts w:ascii="Cambria"/>
        </w:rPr>
      </w:pPr>
    </w:p>
    <w:p>
      <w:pPr>
        <w:pStyle w:val="BodyText"/>
        <w:spacing w:before="71"/>
        <w:ind w:left="0"/>
        <w:jc w:val="left"/>
        <w:rPr>
          <w:rFonts w:ascii="Cambria"/>
        </w:rPr>
      </w:pPr>
    </w:p>
    <w:p>
      <w:pPr>
        <w:spacing w:before="0"/>
        <w:ind w:left="70" w:right="67" w:firstLine="0"/>
        <w:jc w:val="center"/>
        <w:rPr>
          <w:rFonts w:ascii="Cambria" w:hAnsi="Cambria"/>
          <w:b/>
          <w:sz w:val="32"/>
        </w:rPr>
      </w:pPr>
      <w:r>
        <w:rPr>
          <w:rFonts w:ascii="Cambria" w:hAnsi="Cambria"/>
          <w:b/>
          <w:color w:val="231F20"/>
          <w:spacing w:val="-4"/>
          <w:w w:val="110"/>
          <w:sz w:val="32"/>
        </w:rPr>
        <w:t>L’Afrique</w:t>
      </w:r>
      <w:r>
        <w:rPr>
          <w:rFonts w:ascii="Cambria" w:hAnsi="Cambria"/>
          <w:b/>
          <w:color w:val="231F20"/>
          <w:spacing w:val="-12"/>
          <w:w w:val="110"/>
          <w:sz w:val="32"/>
        </w:rPr>
        <w:t> </w:t>
      </w:r>
      <w:r>
        <w:rPr>
          <w:rFonts w:ascii="Cambria" w:hAnsi="Cambria"/>
          <w:b/>
          <w:color w:val="231F20"/>
          <w:spacing w:val="-4"/>
          <w:w w:val="110"/>
          <w:sz w:val="32"/>
        </w:rPr>
        <w:t>francophone</w:t>
      </w:r>
      <w:r>
        <w:rPr>
          <w:rFonts w:ascii="Cambria" w:hAnsi="Cambria"/>
          <w:b/>
          <w:color w:val="231F20"/>
          <w:spacing w:val="-12"/>
          <w:w w:val="110"/>
          <w:sz w:val="32"/>
        </w:rPr>
        <w:t> </w:t>
      </w:r>
      <w:r>
        <w:rPr>
          <w:rFonts w:ascii="Cambria" w:hAnsi="Cambria"/>
          <w:b/>
          <w:color w:val="231F20"/>
          <w:spacing w:val="-4"/>
          <w:w w:val="110"/>
          <w:sz w:val="32"/>
        </w:rPr>
        <w:t>peut-elle</w:t>
      </w:r>
      <w:r>
        <w:rPr>
          <w:rFonts w:ascii="Cambria" w:hAnsi="Cambria"/>
          <w:b/>
          <w:color w:val="231F20"/>
          <w:spacing w:val="-12"/>
          <w:w w:val="110"/>
          <w:sz w:val="32"/>
        </w:rPr>
        <w:t> </w:t>
      </w:r>
      <w:r>
        <w:rPr>
          <w:rFonts w:ascii="Cambria" w:hAnsi="Cambria"/>
          <w:b/>
          <w:color w:val="231F20"/>
          <w:spacing w:val="-4"/>
          <w:w w:val="110"/>
          <w:sz w:val="32"/>
        </w:rPr>
        <w:t>se</w:t>
      </w:r>
      <w:r>
        <w:rPr>
          <w:rFonts w:ascii="Cambria" w:hAnsi="Cambria"/>
          <w:b/>
          <w:color w:val="231F20"/>
          <w:spacing w:val="-12"/>
          <w:w w:val="110"/>
          <w:sz w:val="32"/>
        </w:rPr>
        <w:t> </w:t>
      </w:r>
      <w:r>
        <w:rPr>
          <w:rFonts w:ascii="Cambria" w:hAnsi="Cambria"/>
          <w:b/>
          <w:color w:val="231F20"/>
          <w:spacing w:val="-4"/>
          <w:w w:val="110"/>
          <w:sz w:val="32"/>
        </w:rPr>
        <w:t>libérer </w:t>
      </w:r>
      <w:r>
        <w:rPr>
          <w:rFonts w:ascii="Cambria" w:hAnsi="Cambria"/>
          <w:b/>
          <w:color w:val="231F20"/>
          <w:w w:val="110"/>
          <w:sz w:val="32"/>
        </w:rPr>
        <w:t>de ses chaînes ?</w:t>
      </w: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ind w:left="0"/>
        <w:jc w:val="left"/>
        <w:rPr>
          <w:rFonts w:ascii="Cambria"/>
          <w:b/>
          <w:sz w:val="20"/>
        </w:rPr>
      </w:pPr>
    </w:p>
    <w:p>
      <w:pPr>
        <w:pStyle w:val="BodyText"/>
        <w:spacing w:before="69"/>
        <w:ind w:left="0"/>
        <w:jc w:val="left"/>
        <w:rPr>
          <w:rFonts w:ascii="Cambria"/>
          <w:b/>
          <w:sz w:val="20"/>
        </w:rPr>
      </w:pPr>
      <w:r>
        <w:rPr/>
        <w:drawing>
          <wp:anchor distT="0" distB="0" distL="0" distR="0" allowOverlap="1" layoutInCell="1" locked="0" behindDoc="1" simplePos="0" relativeHeight="487588864">
            <wp:simplePos x="0" y="0"/>
            <wp:positionH relativeFrom="page">
              <wp:posOffset>2150644</wp:posOffset>
            </wp:positionH>
            <wp:positionV relativeFrom="paragraph">
              <wp:posOffset>208008</wp:posOffset>
            </wp:positionV>
            <wp:extent cx="1312790" cy="74599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1312790" cy="745998"/>
                    </a:xfrm>
                    <a:prstGeom prst="rect">
                      <a:avLst/>
                    </a:prstGeom>
                  </pic:spPr>
                </pic:pic>
              </a:graphicData>
            </a:graphic>
          </wp:anchor>
        </w:drawing>
      </w:r>
    </w:p>
    <w:p>
      <w:pPr>
        <w:spacing w:after="0"/>
        <w:jc w:val="left"/>
        <w:rPr>
          <w:rFonts w:ascii="Cambria"/>
          <w:sz w:val="20"/>
        </w:rPr>
        <w:sectPr>
          <w:pgSz w:w="8790" w:h="13610"/>
          <w:pgMar w:top="1040" w:bottom="280" w:left="880" w:right="880"/>
        </w:sect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ind w:left="0"/>
        <w:jc w:val="left"/>
        <w:rPr>
          <w:rFonts w:ascii="Cambria"/>
          <w:b/>
          <w:sz w:val="18"/>
        </w:rPr>
      </w:pPr>
    </w:p>
    <w:p>
      <w:pPr>
        <w:pStyle w:val="BodyText"/>
        <w:spacing w:before="154"/>
        <w:ind w:left="0"/>
        <w:jc w:val="left"/>
        <w:rPr>
          <w:rFonts w:ascii="Cambria"/>
          <w:b/>
          <w:sz w:val="18"/>
        </w:rPr>
      </w:pPr>
    </w:p>
    <w:p>
      <w:pPr>
        <w:spacing w:before="0"/>
        <w:ind w:left="64" w:right="703" w:firstLine="0"/>
        <w:jc w:val="center"/>
        <w:rPr>
          <w:b/>
          <w:bCs/>
          <w:sz w:val="18"/>
          <w:szCs w:val="18"/>
        </w:rPr>
      </w:pPr>
      <w:r>
        <w:rPr>
          <w:b/>
          <w:bCs/>
          <w:color w:val="353335"/>
          <w:w w:val="75"/>
          <w:sz w:val="18"/>
          <w:szCs w:val="18"/>
        </w:rPr>
        <w:t></w:t>
      </w:r>
      <w:r>
        <w:rPr>
          <w:b/>
          <w:bCs/>
          <w:color w:val="353335"/>
          <w:spacing w:val="23"/>
          <w:sz w:val="18"/>
          <w:szCs w:val="18"/>
        </w:rPr>
        <w:t> </w:t>
      </w:r>
      <w:r>
        <w:rPr>
          <w:b/>
          <w:bCs/>
          <w:color w:val="353335"/>
          <w:w w:val="75"/>
          <w:sz w:val="18"/>
          <w:szCs w:val="18"/>
        </w:rPr>
        <w:t>/¶+DUPDWWDQ,</w:t>
      </w:r>
      <w:r>
        <w:rPr>
          <w:b/>
          <w:bCs/>
          <w:color w:val="353335"/>
          <w:spacing w:val="21"/>
          <w:sz w:val="18"/>
          <w:szCs w:val="18"/>
        </w:rPr>
        <w:t> </w:t>
      </w:r>
      <w:r>
        <w:rPr>
          <w:b/>
          <w:bCs/>
          <w:color w:val="353335"/>
          <w:spacing w:val="-4"/>
          <w:w w:val="75"/>
          <w:sz w:val="18"/>
          <w:szCs w:val="18"/>
        </w:rPr>
        <w:t>2022</w:t>
      </w:r>
    </w:p>
    <w:p>
      <w:pPr>
        <w:spacing w:before="3"/>
        <w:ind w:left="64" w:right="706" w:firstLine="0"/>
        <w:jc w:val="center"/>
        <w:rPr>
          <w:sz w:val="18"/>
        </w:rPr>
      </w:pPr>
      <w:r>
        <w:rPr>
          <w:color w:val="353335"/>
          <w:w w:val="70"/>
          <w:sz w:val="18"/>
        </w:rPr>
        <w:t>5-7,</w:t>
      </w:r>
      <w:r>
        <w:rPr>
          <w:color w:val="353335"/>
          <w:spacing w:val="8"/>
          <w:sz w:val="18"/>
        </w:rPr>
        <w:t> </w:t>
      </w:r>
      <w:r>
        <w:rPr>
          <w:color w:val="353335"/>
          <w:w w:val="70"/>
          <w:sz w:val="18"/>
        </w:rPr>
        <w:t>UXH</w:t>
      </w:r>
      <w:r>
        <w:rPr>
          <w:color w:val="353335"/>
          <w:spacing w:val="10"/>
          <w:sz w:val="18"/>
        </w:rPr>
        <w:t> </w:t>
      </w:r>
      <w:r>
        <w:rPr>
          <w:color w:val="353335"/>
          <w:w w:val="70"/>
          <w:sz w:val="18"/>
        </w:rPr>
        <w:t>GH</w:t>
      </w:r>
      <w:r>
        <w:rPr>
          <w:color w:val="353335"/>
          <w:spacing w:val="7"/>
          <w:sz w:val="18"/>
        </w:rPr>
        <w:t> </w:t>
      </w:r>
      <w:r>
        <w:rPr>
          <w:color w:val="353335"/>
          <w:w w:val="70"/>
          <w:sz w:val="18"/>
        </w:rPr>
        <w:t>O¶eFROH</w:t>
      </w:r>
      <w:r>
        <w:rPr>
          <w:color w:val="353335"/>
          <w:spacing w:val="9"/>
          <w:sz w:val="18"/>
        </w:rPr>
        <w:t> </w:t>
      </w:r>
      <w:r>
        <w:rPr>
          <w:color w:val="353335"/>
          <w:w w:val="70"/>
          <w:sz w:val="18"/>
        </w:rPr>
        <w:t>SRO\WHFKQLTXH,</w:t>
      </w:r>
      <w:r>
        <w:rPr>
          <w:color w:val="353335"/>
          <w:spacing w:val="13"/>
          <w:sz w:val="18"/>
        </w:rPr>
        <w:t> </w:t>
      </w:r>
      <w:r>
        <w:rPr>
          <w:color w:val="353335"/>
          <w:w w:val="70"/>
          <w:sz w:val="18"/>
        </w:rPr>
        <w:t>75005</w:t>
      </w:r>
      <w:r>
        <w:rPr>
          <w:color w:val="353335"/>
          <w:spacing w:val="12"/>
          <w:sz w:val="18"/>
        </w:rPr>
        <w:t> </w:t>
      </w:r>
      <w:r>
        <w:rPr>
          <w:color w:val="353335"/>
          <w:spacing w:val="-2"/>
          <w:w w:val="70"/>
          <w:sz w:val="18"/>
        </w:rPr>
        <w:t>3DULV</w:t>
      </w:r>
    </w:p>
    <w:p>
      <w:pPr>
        <w:spacing w:before="206"/>
        <w:ind w:left="1966" w:right="2604" w:hanging="2"/>
        <w:jc w:val="center"/>
        <w:rPr>
          <w:sz w:val="18"/>
        </w:rPr>
      </w:pPr>
      <w:r>
        <w:rPr>
          <w:color w:val="353335"/>
          <w:spacing w:val="-2"/>
          <w:w w:val="75"/>
          <w:sz w:val="18"/>
          <w:u w:val="single" w:color="353335"/>
        </w:rPr>
        <w:t>KWWS://ZZZ.KDUPDWWDQ.IU</w:t>
      </w:r>
      <w:r>
        <w:rPr>
          <w:color w:val="353335"/>
          <w:sz w:val="18"/>
        </w:rPr>
        <w:t> </w:t>
      </w:r>
      <w:r>
        <w:rPr>
          <w:color w:val="353335"/>
          <w:spacing w:val="-2"/>
          <w:w w:val="65"/>
          <w:sz w:val="18"/>
          <w:u w:val="single" w:color="353335"/>
        </w:rPr>
        <w:t>KWWSV://ZZZ.HGLWLRQV-KDUPDWWDQ.IU</w:t>
      </w:r>
    </w:p>
    <w:p>
      <w:pPr>
        <w:spacing w:line="207" w:lineRule="exact" w:before="207"/>
        <w:ind w:left="64" w:right="658" w:firstLine="0"/>
        <w:jc w:val="center"/>
        <w:rPr>
          <w:sz w:val="18"/>
        </w:rPr>
      </w:pPr>
      <w:r>
        <w:rPr>
          <w:color w:val="353335"/>
          <w:sz w:val="18"/>
        </w:rPr>
        <w:t>,6%1</w:t>
      </w:r>
      <w:r>
        <w:rPr>
          <w:color w:val="353335"/>
          <w:spacing w:val="17"/>
          <w:sz w:val="18"/>
        </w:rPr>
        <w:t> </w:t>
      </w:r>
      <w:r>
        <w:rPr>
          <w:color w:val="353335"/>
          <w:sz w:val="18"/>
        </w:rPr>
        <w:t>:</w:t>
      </w:r>
      <w:r>
        <w:rPr>
          <w:color w:val="353335"/>
          <w:spacing w:val="18"/>
          <w:sz w:val="18"/>
        </w:rPr>
        <w:t> </w:t>
      </w:r>
      <w:r>
        <w:rPr>
          <w:color w:val="353335"/>
          <w:sz w:val="18"/>
        </w:rPr>
        <w:t>978-2-14-029559-</w:t>
      </w:r>
      <w:r>
        <w:rPr>
          <w:color w:val="353335"/>
          <w:spacing w:val="-10"/>
          <w:sz w:val="18"/>
        </w:rPr>
        <w:t>1</w:t>
      </w:r>
    </w:p>
    <w:p>
      <w:pPr>
        <w:spacing w:line="207" w:lineRule="exact" w:before="0"/>
        <w:ind w:left="64" w:right="658" w:firstLine="0"/>
        <w:jc w:val="center"/>
        <w:rPr>
          <w:sz w:val="18"/>
        </w:rPr>
      </w:pPr>
      <w:r>
        <w:rPr>
          <w:color w:val="353335"/>
          <w:w w:val="125"/>
          <w:sz w:val="18"/>
        </w:rPr>
        <w:t>($1</w:t>
      </w:r>
      <w:r>
        <w:rPr>
          <w:color w:val="353335"/>
          <w:spacing w:val="22"/>
          <w:w w:val="125"/>
          <w:sz w:val="18"/>
        </w:rPr>
        <w:t> </w:t>
      </w:r>
      <w:r>
        <w:rPr>
          <w:color w:val="353335"/>
          <w:w w:val="110"/>
          <w:sz w:val="18"/>
        </w:rPr>
        <w:t>:</w:t>
      </w:r>
      <w:r>
        <w:rPr>
          <w:color w:val="353335"/>
          <w:spacing w:val="28"/>
          <w:w w:val="110"/>
          <w:sz w:val="18"/>
        </w:rPr>
        <w:t> </w:t>
      </w:r>
      <w:r>
        <w:rPr>
          <w:color w:val="353335"/>
          <w:spacing w:val="-2"/>
          <w:w w:val="110"/>
          <w:sz w:val="18"/>
        </w:rPr>
        <w:t>9782140295591</w:t>
      </w:r>
    </w:p>
    <w:p>
      <w:pPr>
        <w:spacing w:after="0" w:line="207" w:lineRule="exact"/>
        <w:jc w:val="center"/>
        <w:rPr>
          <w:sz w:val="18"/>
        </w:rPr>
        <w:sectPr>
          <w:pgSz w:w="8790" w:h="13610"/>
          <w:pgMar w:top="1540" w:bottom="280" w:left="880" w:right="880"/>
        </w:sectPr>
      </w:pPr>
    </w:p>
    <w:p>
      <w:pPr>
        <w:spacing w:before="62"/>
        <w:ind w:left="0" w:right="107" w:firstLine="0"/>
        <w:jc w:val="right"/>
        <w:rPr>
          <w:i/>
          <w:sz w:val="24"/>
        </w:rPr>
      </w:pPr>
      <w:r>
        <w:rPr>
          <w:i/>
          <w:color w:val="231F20"/>
          <w:spacing w:val="-2"/>
          <w:sz w:val="24"/>
        </w:rPr>
        <w:t>À</w:t>
      </w:r>
      <w:r>
        <w:rPr>
          <w:i/>
          <w:color w:val="231F20"/>
          <w:spacing w:val="-11"/>
          <w:sz w:val="24"/>
        </w:rPr>
        <w:t> </w:t>
      </w:r>
      <w:r>
        <w:rPr>
          <w:i/>
          <w:color w:val="231F20"/>
          <w:spacing w:val="-2"/>
          <w:sz w:val="24"/>
        </w:rPr>
        <w:t>mon</w:t>
      </w:r>
      <w:r>
        <w:rPr>
          <w:i/>
          <w:color w:val="231F20"/>
          <w:spacing w:val="-8"/>
          <w:sz w:val="24"/>
        </w:rPr>
        <w:t> </w:t>
      </w:r>
      <w:r>
        <w:rPr>
          <w:i/>
          <w:color w:val="231F20"/>
          <w:spacing w:val="-2"/>
          <w:sz w:val="24"/>
        </w:rPr>
        <w:t>père</w:t>
      </w:r>
      <w:r>
        <w:rPr>
          <w:i/>
          <w:color w:val="231F20"/>
          <w:spacing w:val="-8"/>
          <w:sz w:val="24"/>
        </w:rPr>
        <w:t> </w:t>
      </w:r>
      <w:r>
        <w:rPr>
          <w:i/>
          <w:color w:val="231F20"/>
          <w:spacing w:val="-2"/>
          <w:sz w:val="24"/>
        </w:rPr>
        <w:t>Konan</w:t>
      </w:r>
      <w:r>
        <w:rPr>
          <w:i/>
          <w:color w:val="231F20"/>
          <w:spacing w:val="-11"/>
          <w:sz w:val="24"/>
        </w:rPr>
        <w:t> </w:t>
      </w:r>
      <w:r>
        <w:rPr>
          <w:i/>
          <w:color w:val="231F20"/>
          <w:spacing w:val="-2"/>
          <w:sz w:val="24"/>
        </w:rPr>
        <w:t>Koffi</w:t>
      </w:r>
      <w:r>
        <w:rPr>
          <w:i/>
          <w:color w:val="231F20"/>
          <w:spacing w:val="-11"/>
          <w:sz w:val="24"/>
        </w:rPr>
        <w:t> </w:t>
      </w:r>
      <w:r>
        <w:rPr>
          <w:i/>
          <w:color w:val="231F20"/>
          <w:spacing w:val="-2"/>
          <w:sz w:val="24"/>
        </w:rPr>
        <w:t>Djémé,</w:t>
      </w:r>
      <w:r>
        <w:rPr>
          <w:i/>
          <w:color w:val="231F20"/>
          <w:spacing w:val="-8"/>
          <w:sz w:val="24"/>
        </w:rPr>
        <w:t> </w:t>
      </w:r>
      <w:r>
        <w:rPr>
          <w:i/>
          <w:color w:val="231F20"/>
          <w:spacing w:val="-2"/>
          <w:sz w:val="24"/>
        </w:rPr>
        <w:t>analphabète</w:t>
      </w:r>
      <w:r>
        <w:rPr>
          <w:i/>
          <w:color w:val="231F20"/>
          <w:spacing w:val="-11"/>
          <w:sz w:val="24"/>
        </w:rPr>
        <w:t> </w:t>
      </w:r>
      <w:r>
        <w:rPr>
          <w:i/>
          <w:color w:val="231F20"/>
          <w:spacing w:val="-2"/>
          <w:sz w:val="24"/>
        </w:rPr>
        <w:t>brisé</w:t>
      </w:r>
      <w:r>
        <w:rPr>
          <w:i/>
          <w:color w:val="231F20"/>
          <w:spacing w:val="-12"/>
          <w:sz w:val="24"/>
        </w:rPr>
        <w:t> </w:t>
      </w:r>
      <w:r>
        <w:rPr>
          <w:i/>
          <w:color w:val="231F20"/>
          <w:spacing w:val="-2"/>
          <w:sz w:val="24"/>
        </w:rPr>
        <w:t>par</w:t>
      </w:r>
      <w:r>
        <w:rPr>
          <w:i/>
          <w:color w:val="231F20"/>
          <w:spacing w:val="-11"/>
          <w:sz w:val="24"/>
        </w:rPr>
        <w:t> </w:t>
      </w:r>
      <w:r>
        <w:rPr>
          <w:i/>
          <w:color w:val="231F20"/>
          <w:spacing w:val="-2"/>
          <w:sz w:val="24"/>
        </w:rPr>
        <w:t>les</w:t>
      </w:r>
      <w:r>
        <w:rPr>
          <w:i/>
          <w:color w:val="231F20"/>
          <w:spacing w:val="-11"/>
          <w:sz w:val="24"/>
        </w:rPr>
        <w:t> </w:t>
      </w:r>
      <w:r>
        <w:rPr>
          <w:i/>
          <w:color w:val="231F20"/>
          <w:spacing w:val="-2"/>
          <w:sz w:val="24"/>
        </w:rPr>
        <w:t>travaux</w:t>
      </w:r>
    </w:p>
    <w:p>
      <w:pPr>
        <w:spacing w:before="0"/>
        <w:ind w:left="0" w:right="104" w:firstLine="0"/>
        <w:jc w:val="right"/>
        <w:rPr>
          <w:i/>
          <w:sz w:val="24"/>
        </w:rPr>
      </w:pPr>
      <w:r>
        <w:rPr>
          <w:i/>
          <w:color w:val="231F20"/>
          <w:spacing w:val="-2"/>
          <w:sz w:val="24"/>
        </w:rPr>
        <w:t>forcés</w:t>
      </w:r>
      <w:r>
        <w:rPr>
          <w:i/>
          <w:color w:val="231F20"/>
          <w:spacing w:val="-11"/>
          <w:sz w:val="24"/>
        </w:rPr>
        <w:t> </w:t>
      </w:r>
      <w:r>
        <w:rPr>
          <w:i/>
          <w:color w:val="231F20"/>
          <w:spacing w:val="-10"/>
          <w:sz w:val="24"/>
        </w:rPr>
        <w:t>;</w:t>
      </w:r>
    </w:p>
    <w:p>
      <w:pPr>
        <w:spacing w:before="120"/>
        <w:ind w:left="138" w:right="105" w:firstLine="1012"/>
        <w:jc w:val="right"/>
        <w:rPr>
          <w:i/>
          <w:sz w:val="24"/>
        </w:rPr>
      </w:pPr>
      <w:r>
        <w:rPr>
          <w:i/>
          <w:color w:val="231F20"/>
          <w:spacing w:val="-2"/>
          <w:sz w:val="24"/>
        </w:rPr>
        <w:t>À</w:t>
      </w:r>
      <w:r>
        <w:rPr>
          <w:i/>
          <w:color w:val="231F20"/>
          <w:spacing w:val="-12"/>
          <w:sz w:val="24"/>
        </w:rPr>
        <w:t> </w:t>
      </w:r>
      <w:r>
        <w:rPr>
          <w:i/>
          <w:color w:val="231F20"/>
          <w:spacing w:val="-2"/>
          <w:sz w:val="24"/>
        </w:rPr>
        <w:t>mon</w:t>
      </w:r>
      <w:r>
        <w:rPr>
          <w:i/>
          <w:color w:val="231F20"/>
          <w:spacing w:val="-12"/>
          <w:sz w:val="24"/>
        </w:rPr>
        <w:t> </w:t>
      </w:r>
      <w:r>
        <w:rPr>
          <w:i/>
          <w:color w:val="231F20"/>
          <w:spacing w:val="-2"/>
          <w:sz w:val="24"/>
        </w:rPr>
        <w:t>père</w:t>
      </w:r>
      <w:r>
        <w:rPr>
          <w:i/>
          <w:color w:val="231F20"/>
          <w:spacing w:val="-12"/>
          <w:sz w:val="24"/>
        </w:rPr>
        <w:t> </w:t>
      </w:r>
      <w:r>
        <w:rPr>
          <w:i/>
          <w:color w:val="231F20"/>
          <w:spacing w:val="-2"/>
          <w:sz w:val="24"/>
        </w:rPr>
        <w:t>de</w:t>
      </w:r>
      <w:r>
        <w:rPr>
          <w:i/>
          <w:color w:val="231F20"/>
          <w:spacing w:val="-12"/>
          <w:sz w:val="24"/>
        </w:rPr>
        <w:t> </w:t>
      </w:r>
      <w:r>
        <w:rPr>
          <w:i/>
          <w:color w:val="231F20"/>
          <w:spacing w:val="-2"/>
          <w:sz w:val="24"/>
        </w:rPr>
        <w:t>substitution,</w:t>
      </w:r>
      <w:r>
        <w:rPr>
          <w:i/>
          <w:color w:val="231F20"/>
          <w:spacing w:val="-12"/>
          <w:sz w:val="24"/>
        </w:rPr>
        <w:t> </w:t>
      </w:r>
      <w:r>
        <w:rPr>
          <w:i/>
          <w:color w:val="231F20"/>
          <w:spacing w:val="-2"/>
          <w:sz w:val="24"/>
        </w:rPr>
        <w:t>André</w:t>
      </w:r>
      <w:r>
        <w:rPr>
          <w:i/>
          <w:color w:val="231F20"/>
          <w:spacing w:val="-12"/>
          <w:sz w:val="24"/>
        </w:rPr>
        <w:t> </w:t>
      </w:r>
      <w:r>
        <w:rPr>
          <w:i/>
          <w:color w:val="231F20"/>
          <w:spacing w:val="-2"/>
          <w:sz w:val="24"/>
        </w:rPr>
        <w:t>Adjoua</w:t>
      </w:r>
      <w:r>
        <w:rPr>
          <w:i/>
          <w:color w:val="231F20"/>
          <w:spacing w:val="-13"/>
          <w:sz w:val="24"/>
        </w:rPr>
        <w:t> </w:t>
      </w:r>
      <w:r>
        <w:rPr>
          <w:i/>
          <w:color w:val="231F20"/>
          <w:spacing w:val="-2"/>
          <w:sz w:val="24"/>
        </w:rPr>
        <w:t>dit</w:t>
      </w:r>
      <w:r>
        <w:rPr>
          <w:i/>
          <w:color w:val="231F20"/>
          <w:spacing w:val="-12"/>
          <w:sz w:val="24"/>
        </w:rPr>
        <w:t> </w:t>
      </w:r>
      <w:r>
        <w:rPr>
          <w:i/>
          <w:color w:val="231F20"/>
          <w:spacing w:val="-2"/>
          <w:sz w:val="24"/>
        </w:rPr>
        <w:t>Prosper,</w:t>
      </w:r>
      <w:r>
        <w:rPr>
          <w:i/>
          <w:color w:val="231F20"/>
          <w:spacing w:val="-12"/>
          <w:sz w:val="24"/>
        </w:rPr>
        <w:t> </w:t>
      </w:r>
      <w:r>
        <w:rPr>
          <w:i/>
          <w:color w:val="231F20"/>
          <w:spacing w:val="-2"/>
          <w:sz w:val="24"/>
        </w:rPr>
        <w:t>ancien</w:t>
      </w:r>
      <w:r>
        <w:rPr>
          <w:i/>
          <w:color w:val="231F20"/>
          <w:spacing w:val="-2"/>
          <w:sz w:val="24"/>
        </w:rPr>
        <w:t> pensionnaire</w:t>
      </w:r>
      <w:r>
        <w:rPr>
          <w:i/>
          <w:color w:val="231F20"/>
          <w:spacing w:val="-12"/>
          <w:sz w:val="24"/>
        </w:rPr>
        <w:t> </w:t>
      </w:r>
      <w:r>
        <w:rPr>
          <w:i/>
          <w:color w:val="231F20"/>
          <w:spacing w:val="-2"/>
          <w:sz w:val="24"/>
        </w:rPr>
        <w:t>du</w:t>
      </w:r>
      <w:r>
        <w:rPr>
          <w:i/>
          <w:color w:val="231F20"/>
          <w:spacing w:val="-11"/>
          <w:sz w:val="24"/>
        </w:rPr>
        <w:t> </w:t>
      </w:r>
      <w:r>
        <w:rPr>
          <w:i/>
          <w:color w:val="231F20"/>
          <w:spacing w:val="-2"/>
          <w:sz w:val="24"/>
        </w:rPr>
        <w:t>foyer</w:t>
      </w:r>
      <w:r>
        <w:rPr>
          <w:i/>
          <w:color w:val="231F20"/>
          <w:spacing w:val="-11"/>
          <w:sz w:val="24"/>
        </w:rPr>
        <w:t> </w:t>
      </w:r>
      <w:r>
        <w:rPr>
          <w:i/>
          <w:color w:val="231F20"/>
          <w:spacing w:val="-2"/>
          <w:sz w:val="24"/>
        </w:rPr>
        <w:t>des</w:t>
      </w:r>
      <w:r>
        <w:rPr>
          <w:i/>
          <w:color w:val="231F20"/>
          <w:spacing w:val="-13"/>
          <w:sz w:val="24"/>
        </w:rPr>
        <w:t> </w:t>
      </w:r>
      <w:r>
        <w:rPr>
          <w:i/>
          <w:color w:val="231F20"/>
          <w:spacing w:val="-2"/>
          <w:sz w:val="24"/>
        </w:rPr>
        <w:t>métis</w:t>
      </w:r>
      <w:r>
        <w:rPr>
          <w:i/>
          <w:color w:val="231F20"/>
          <w:spacing w:val="-13"/>
          <w:sz w:val="24"/>
        </w:rPr>
        <w:t> </w:t>
      </w:r>
      <w:r>
        <w:rPr>
          <w:i/>
          <w:color w:val="231F20"/>
          <w:spacing w:val="-2"/>
          <w:sz w:val="24"/>
        </w:rPr>
        <w:t>de</w:t>
      </w:r>
      <w:r>
        <w:rPr>
          <w:i/>
          <w:color w:val="231F20"/>
          <w:spacing w:val="-12"/>
          <w:sz w:val="24"/>
        </w:rPr>
        <w:t> </w:t>
      </w:r>
      <w:r>
        <w:rPr>
          <w:i/>
          <w:color w:val="231F20"/>
          <w:spacing w:val="-2"/>
          <w:sz w:val="24"/>
        </w:rPr>
        <w:t>Bingervillle</w:t>
      </w:r>
      <w:r>
        <w:rPr>
          <w:i/>
          <w:color w:val="231F20"/>
          <w:spacing w:val="-12"/>
          <w:sz w:val="24"/>
        </w:rPr>
        <w:t> </w:t>
      </w:r>
      <w:r>
        <w:rPr>
          <w:i/>
          <w:color w:val="231F20"/>
          <w:spacing w:val="-2"/>
          <w:sz w:val="24"/>
        </w:rPr>
        <w:t>(Côte</w:t>
      </w:r>
      <w:r>
        <w:rPr>
          <w:i/>
          <w:color w:val="231F20"/>
          <w:spacing w:val="-12"/>
          <w:sz w:val="24"/>
        </w:rPr>
        <w:t> </w:t>
      </w:r>
      <w:r>
        <w:rPr>
          <w:i/>
          <w:color w:val="231F20"/>
          <w:spacing w:val="-2"/>
          <w:sz w:val="24"/>
        </w:rPr>
        <w:t>d’ivoire),</w:t>
      </w:r>
      <w:r>
        <w:rPr>
          <w:i/>
          <w:color w:val="231F20"/>
          <w:spacing w:val="-11"/>
          <w:sz w:val="24"/>
        </w:rPr>
        <w:t> </w:t>
      </w:r>
      <w:r>
        <w:rPr>
          <w:i/>
          <w:color w:val="231F20"/>
          <w:spacing w:val="-2"/>
          <w:sz w:val="24"/>
        </w:rPr>
        <w:t>neveu</w:t>
      </w:r>
      <w:r>
        <w:rPr>
          <w:i/>
          <w:color w:val="231F20"/>
          <w:spacing w:val="-13"/>
          <w:sz w:val="24"/>
        </w:rPr>
        <w:t> </w:t>
      </w:r>
      <w:r>
        <w:rPr>
          <w:i/>
          <w:color w:val="231F20"/>
          <w:spacing w:val="-2"/>
          <w:sz w:val="24"/>
        </w:rPr>
        <w:t>de </w:t>
      </w:r>
      <w:r>
        <w:rPr>
          <w:i/>
          <w:color w:val="231F20"/>
          <w:sz w:val="24"/>
        </w:rPr>
        <w:t>mon</w:t>
      </w:r>
      <w:r>
        <w:rPr>
          <w:i/>
          <w:color w:val="231F20"/>
          <w:spacing w:val="-1"/>
          <w:sz w:val="24"/>
        </w:rPr>
        <w:t> </w:t>
      </w:r>
      <w:r>
        <w:rPr>
          <w:i/>
          <w:color w:val="231F20"/>
          <w:sz w:val="24"/>
        </w:rPr>
        <w:t>père,</w:t>
      </w:r>
      <w:r>
        <w:rPr>
          <w:i/>
          <w:color w:val="231F20"/>
          <w:spacing w:val="-4"/>
          <w:sz w:val="24"/>
        </w:rPr>
        <w:t> </w:t>
      </w:r>
      <w:r>
        <w:rPr>
          <w:i/>
          <w:color w:val="231F20"/>
          <w:sz w:val="24"/>
        </w:rPr>
        <w:t>rejeté</w:t>
      </w:r>
      <w:r>
        <w:rPr>
          <w:i/>
          <w:color w:val="231F20"/>
          <w:spacing w:val="-1"/>
          <w:sz w:val="24"/>
        </w:rPr>
        <w:t> </w:t>
      </w:r>
      <w:r>
        <w:rPr>
          <w:i/>
          <w:color w:val="231F20"/>
          <w:sz w:val="24"/>
        </w:rPr>
        <w:t>par</w:t>
      </w:r>
      <w:r>
        <w:rPr>
          <w:i/>
          <w:color w:val="231F20"/>
          <w:spacing w:val="-4"/>
          <w:sz w:val="24"/>
        </w:rPr>
        <w:t> </w:t>
      </w:r>
      <w:r>
        <w:rPr>
          <w:i/>
          <w:color w:val="231F20"/>
          <w:sz w:val="24"/>
        </w:rPr>
        <w:t>son</w:t>
      </w:r>
      <w:r>
        <w:rPr>
          <w:i/>
          <w:color w:val="231F20"/>
          <w:spacing w:val="-1"/>
          <w:sz w:val="24"/>
        </w:rPr>
        <w:t> </w:t>
      </w:r>
      <w:r>
        <w:rPr>
          <w:i/>
          <w:color w:val="231F20"/>
          <w:sz w:val="24"/>
        </w:rPr>
        <w:t>géniteur,</w:t>
      </w:r>
      <w:r>
        <w:rPr>
          <w:i/>
          <w:color w:val="231F20"/>
          <w:spacing w:val="-1"/>
          <w:sz w:val="24"/>
        </w:rPr>
        <w:t> </w:t>
      </w:r>
      <w:r>
        <w:rPr>
          <w:i/>
          <w:color w:val="231F20"/>
          <w:sz w:val="24"/>
        </w:rPr>
        <w:t>un</w:t>
      </w:r>
      <w:r>
        <w:rPr>
          <w:i/>
          <w:color w:val="231F20"/>
          <w:spacing w:val="-4"/>
          <w:sz w:val="24"/>
        </w:rPr>
        <w:t> </w:t>
      </w:r>
      <w:r>
        <w:rPr>
          <w:i/>
          <w:color w:val="231F20"/>
          <w:sz w:val="24"/>
        </w:rPr>
        <w:t>colon</w:t>
      </w:r>
      <w:r>
        <w:rPr>
          <w:i/>
          <w:color w:val="231F20"/>
          <w:spacing w:val="-1"/>
          <w:sz w:val="24"/>
        </w:rPr>
        <w:t> </w:t>
      </w:r>
      <w:r>
        <w:rPr>
          <w:i/>
          <w:color w:val="231F20"/>
          <w:sz w:val="24"/>
        </w:rPr>
        <w:t>français</w:t>
      </w:r>
      <w:r>
        <w:rPr>
          <w:i/>
          <w:color w:val="231F20"/>
          <w:spacing w:val="-4"/>
          <w:sz w:val="24"/>
        </w:rPr>
        <w:t> </w:t>
      </w:r>
      <w:r>
        <w:rPr>
          <w:i/>
          <w:color w:val="231F20"/>
          <w:sz w:val="24"/>
        </w:rPr>
        <w:t>;</w:t>
      </w:r>
    </w:p>
    <w:p>
      <w:pPr>
        <w:spacing w:before="120"/>
        <w:ind w:left="0" w:right="107" w:firstLine="0"/>
        <w:jc w:val="right"/>
        <w:rPr>
          <w:i/>
          <w:sz w:val="24"/>
        </w:rPr>
      </w:pPr>
      <w:r>
        <w:rPr>
          <w:i/>
          <w:color w:val="231F20"/>
          <w:spacing w:val="-2"/>
          <w:sz w:val="24"/>
        </w:rPr>
        <w:t>À</w:t>
      </w:r>
      <w:r>
        <w:rPr>
          <w:i/>
          <w:color w:val="231F20"/>
          <w:spacing w:val="-11"/>
          <w:sz w:val="24"/>
        </w:rPr>
        <w:t> </w:t>
      </w:r>
      <w:r>
        <w:rPr>
          <w:i/>
          <w:color w:val="231F20"/>
          <w:spacing w:val="-2"/>
          <w:sz w:val="24"/>
        </w:rPr>
        <w:t>mon</w:t>
      </w:r>
      <w:r>
        <w:rPr>
          <w:i/>
          <w:color w:val="231F20"/>
          <w:spacing w:val="-11"/>
          <w:sz w:val="24"/>
        </w:rPr>
        <w:t> </w:t>
      </w:r>
      <w:r>
        <w:rPr>
          <w:i/>
          <w:color w:val="231F20"/>
          <w:spacing w:val="-2"/>
          <w:sz w:val="24"/>
        </w:rPr>
        <w:t>ami</w:t>
      </w:r>
      <w:r>
        <w:rPr>
          <w:i/>
          <w:color w:val="231F20"/>
          <w:spacing w:val="-11"/>
          <w:sz w:val="24"/>
        </w:rPr>
        <w:t> </w:t>
      </w:r>
      <w:r>
        <w:rPr>
          <w:i/>
          <w:color w:val="231F20"/>
          <w:spacing w:val="-2"/>
          <w:sz w:val="24"/>
        </w:rPr>
        <w:t>Anthony</w:t>
      </w:r>
      <w:r>
        <w:rPr>
          <w:i/>
          <w:color w:val="231F20"/>
          <w:spacing w:val="-10"/>
          <w:sz w:val="24"/>
        </w:rPr>
        <w:t> </w:t>
      </w:r>
      <w:r>
        <w:rPr>
          <w:i/>
          <w:color w:val="231F20"/>
          <w:spacing w:val="-2"/>
          <w:sz w:val="24"/>
        </w:rPr>
        <w:t>Koffi,</w:t>
      </w:r>
      <w:r>
        <w:rPr>
          <w:i/>
          <w:color w:val="231F20"/>
          <w:spacing w:val="-13"/>
          <w:sz w:val="24"/>
        </w:rPr>
        <w:t> </w:t>
      </w:r>
      <w:r>
        <w:rPr>
          <w:i/>
          <w:color w:val="231F20"/>
          <w:spacing w:val="-2"/>
          <w:sz w:val="24"/>
        </w:rPr>
        <w:t>coach</w:t>
      </w:r>
      <w:r>
        <w:rPr>
          <w:i/>
          <w:color w:val="231F20"/>
          <w:spacing w:val="-13"/>
          <w:sz w:val="24"/>
        </w:rPr>
        <w:t> </w:t>
      </w:r>
      <w:r>
        <w:rPr>
          <w:i/>
          <w:color w:val="231F20"/>
          <w:spacing w:val="-2"/>
          <w:sz w:val="24"/>
        </w:rPr>
        <w:t>international</w:t>
      </w:r>
      <w:r>
        <w:rPr>
          <w:i/>
          <w:color w:val="231F20"/>
          <w:spacing w:val="-10"/>
          <w:sz w:val="24"/>
        </w:rPr>
        <w:t> </w:t>
      </w:r>
      <w:r>
        <w:rPr>
          <w:i/>
          <w:color w:val="231F20"/>
          <w:spacing w:val="-2"/>
          <w:sz w:val="24"/>
        </w:rPr>
        <w:t>d’athlétisme</w:t>
      </w:r>
      <w:r>
        <w:rPr>
          <w:i/>
          <w:color w:val="231F20"/>
          <w:spacing w:val="-11"/>
          <w:sz w:val="24"/>
        </w:rPr>
        <w:t> </w:t>
      </w:r>
      <w:r>
        <w:rPr>
          <w:i/>
          <w:color w:val="231F20"/>
          <w:spacing w:val="-2"/>
          <w:sz w:val="24"/>
        </w:rPr>
        <w:t>de</w:t>
      </w:r>
      <w:r>
        <w:rPr>
          <w:i/>
          <w:color w:val="231F20"/>
          <w:spacing w:val="-10"/>
          <w:sz w:val="24"/>
        </w:rPr>
        <w:t> </w:t>
      </w:r>
      <w:r>
        <w:rPr>
          <w:i/>
          <w:color w:val="231F20"/>
          <w:spacing w:val="-4"/>
          <w:sz w:val="24"/>
        </w:rPr>
        <w:t>haut</w:t>
      </w:r>
    </w:p>
    <w:p>
      <w:pPr>
        <w:spacing w:before="1"/>
        <w:ind w:left="0" w:right="111" w:firstLine="0"/>
        <w:jc w:val="right"/>
        <w:rPr>
          <w:i/>
          <w:sz w:val="24"/>
        </w:rPr>
      </w:pPr>
      <w:r>
        <w:rPr>
          <w:i/>
          <w:color w:val="231F20"/>
          <w:spacing w:val="-2"/>
          <w:sz w:val="24"/>
        </w:rPr>
        <w:t>niveau</w:t>
      </w:r>
      <w:r>
        <w:rPr>
          <w:i/>
          <w:color w:val="231F20"/>
          <w:spacing w:val="-12"/>
          <w:sz w:val="24"/>
        </w:rPr>
        <w:t> </w:t>
      </w:r>
      <w:r>
        <w:rPr>
          <w:i/>
          <w:color w:val="231F20"/>
          <w:spacing w:val="-2"/>
          <w:sz w:val="24"/>
        </w:rPr>
        <w:t>(coach</w:t>
      </w:r>
      <w:r>
        <w:rPr>
          <w:i/>
          <w:color w:val="231F20"/>
          <w:spacing w:val="-11"/>
          <w:sz w:val="24"/>
        </w:rPr>
        <w:t> </w:t>
      </w:r>
      <w:r>
        <w:rPr>
          <w:i/>
          <w:color w:val="231F20"/>
          <w:spacing w:val="-2"/>
          <w:sz w:val="24"/>
        </w:rPr>
        <w:t>sprint</w:t>
      </w:r>
      <w:r>
        <w:rPr>
          <w:i/>
          <w:color w:val="231F20"/>
          <w:spacing w:val="-12"/>
          <w:sz w:val="24"/>
        </w:rPr>
        <w:t> </w:t>
      </w:r>
      <w:r>
        <w:rPr>
          <w:i/>
          <w:color w:val="231F20"/>
          <w:spacing w:val="-2"/>
          <w:sz w:val="24"/>
        </w:rPr>
        <w:t>world</w:t>
      </w:r>
      <w:r>
        <w:rPr>
          <w:i/>
          <w:color w:val="231F20"/>
          <w:spacing w:val="-11"/>
          <w:sz w:val="24"/>
        </w:rPr>
        <w:t> </w:t>
      </w:r>
      <w:r>
        <w:rPr>
          <w:i/>
          <w:color w:val="231F20"/>
          <w:spacing w:val="-2"/>
          <w:sz w:val="24"/>
        </w:rPr>
        <w:t>class),</w:t>
      </w:r>
      <w:r>
        <w:rPr>
          <w:i/>
          <w:color w:val="231F20"/>
          <w:spacing w:val="-11"/>
          <w:sz w:val="24"/>
        </w:rPr>
        <w:t> </w:t>
      </w:r>
      <w:r>
        <w:rPr>
          <w:i/>
          <w:color w:val="231F20"/>
          <w:spacing w:val="-2"/>
          <w:sz w:val="24"/>
        </w:rPr>
        <w:t>reconnu</w:t>
      </w:r>
      <w:r>
        <w:rPr>
          <w:i/>
          <w:color w:val="231F20"/>
          <w:spacing w:val="-13"/>
          <w:sz w:val="24"/>
        </w:rPr>
        <w:t> </w:t>
      </w:r>
      <w:r>
        <w:rPr>
          <w:i/>
          <w:color w:val="231F20"/>
          <w:spacing w:val="-2"/>
          <w:sz w:val="24"/>
        </w:rPr>
        <w:t>à</w:t>
      </w:r>
      <w:r>
        <w:rPr>
          <w:i/>
          <w:color w:val="231F20"/>
          <w:spacing w:val="-11"/>
          <w:sz w:val="24"/>
        </w:rPr>
        <w:t> </w:t>
      </w:r>
      <w:r>
        <w:rPr>
          <w:i/>
          <w:color w:val="231F20"/>
          <w:spacing w:val="-2"/>
          <w:sz w:val="24"/>
        </w:rPr>
        <w:t>l’extérieur,</w:t>
      </w:r>
      <w:r>
        <w:rPr>
          <w:i/>
          <w:color w:val="231F20"/>
          <w:spacing w:val="-13"/>
          <w:sz w:val="24"/>
        </w:rPr>
        <w:t> </w:t>
      </w:r>
      <w:r>
        <w:rPr>
          <w:i/>
          <w:color w:val="231F20"/>
          <w:spacing w:val="-2"/>
          <w:sz w:val="24"/>
        </w:rPr>
        <w:t>ignoré</w:t>
      </w:r>
      <w:r>
        <w:rPr>
          <w:i/>
          <w:color w:val="231F20"/>
          <w:spacing w:val="-10"/>
          <w:sz w:val="24"/>
        </w:rPr>
        <w:t> </w:t>
      </w:r>
      <w:r>
        <w:rPr>
          <w:i/>
          <w:color w:val="231F20"/>
          <w:spacing w:val="-4"/>
          <w:sz w:val="24"/>
        </w:rPr>
        <w:t>dans</w:t>
      </w:r>
    </w:p>
    <w:p>
      <w:pPr>
        <w:spacing w:before="0"/>
        <w:ind w:left="0" w:right="104" w:firstLine="0"/>
        <w:jc w:val="right"/>
        <w:rPr>
          <w:i/>
          <w:sz w:val="24"/>
        </w:rPr>
      </w:pPr>
      <w:r>
        <w:rPr>
          <w:i/>
          <w:color w:val="231F20"/>
          <w:sz w:val="24"/>
        </w:rPr>
        <w:t>son</w:t>
      </w:r>
      <w:r>
        <w:rPr>
          <w:i/>
          <w:color w:val="231F20"/>
          <w:spacing w:val="-17"/>
          <w:sz w:val="24"/>
        </w:rPr>
        <w:t> </w:t>
      </w:r>
      <w:r>
        <w:rPr>
          <w:i/>
          <w:color w:val="231F20"/>
          <w:sz w:val="24"/>
        </w:rPr>
        <w:t>pays</w:t>
      </w:r>
      <w:r>
        <w:rPr>
          <w:i/>
          <w:color w:val="231F20"/>
          <w:spacing w:val="-13"/>
          <w:sz w:val="24"/>
        </w:rPr>
        <w:t> </w:t>
      </w:r>
      <w:r>
        <w:rPr>
          <w:i/>
          <w:color w:val="231F20"/>
          <w:spacing w:val="-10"/>
          <w:sz w:val="24"/>
        </w:rPr>
        <w:t>;</w:t>
      </w:r>
    </w:p>
    <w:p>
      <w:pPr>
        <w:spacing w:before="120"/>
        <w:ind w:left="0" w:right="110" w:firstLine="0"/>
        <w:jc w:val="right"/>
        <w:rPr>
          <w:i/>
          <w:sz w:val="24"/>
        </w:rPr>
      </w:pPr>
      <w:r>
        <w:rPr>
          <w:i/>
          <w:color w:val="231F20"/>
          <w:spacing w:val="-2"/>
          <w:sz w:val="24"/>
        </w:rPr>
        <w:t>À</w:t>
      </w:r>
      <w:r>
        <w:rPr>
          <w:i/>
          <w:color w:val="231F20"/>
          <w:spacing w:val="-11"/>
          <w:sz w:val="24"/>
        </w:rPr>
        <w:t> </w:t>
      </w:r>
      <w:r>
        <w:rPr>
          <w:i/>
          <w:color w:val="231F20"/>
          <w:spacing w:val="-2"/>
          <w:sz w:val="24"/>
        </w:rPr>
        <w:t>tous</w:t>
      </w:r>
      <w:r>
        <w:rPr>
          <w:i/>
          <w:color w:val="231F20"/>
          <w:spacing w:val="-8"/>
          <w:sz w:val="24"/>
        </w:rPr>
        <w:t> </w:t>
      </w:r>
      <w:r>
        <w:rPr>
          <w:i/>
          <w:color w:val="231F20"/>
          <w:spacing w:val="-2"/>
          <w:sz w:val="24"/>
        </w:rPr>
        <w:t>ces</w:t>
      </w:r>
      <w:r>
        <w:rPr>
          <w:i/>
          <w:color w:val="231F20"/>
          <w:spacing w:val="-11"/>
          <w:sz w:val="24"/>
        </w:rPr>
        <w:t> </w:t>
      </w:r>
      <w:r>
        <w:rPr>
          <w:i/>
          <w:color w:val="231F20"/>
          <w:spacing w:val="-2"/>
          <w:sz w:val="24"/>
        </w:rPr>
        <w:t>jeunes</w:t>
      </w:r>
      <w:r>
        <w:rPr>
          <w:i/>
          <w:color w:val="231F20"/>
          <w:spacing w:val="-11"/>
          <w:sz w:val="24"/>
        </w:rPr>
        <w:t> </w:t>
      </w:r>
      <w:r>
        <w:rPr>
          <w:i/>
          <w:color w:val="231F20"/>
          <w:spacing w:val="-2"/>
          <w:sz w:val="24"/>
        </w:rPr>
        <w:t>d’Afrique</w:t>
      </w:r>
      <w:r>
        <w:rPr>
          <w:i/>
          <w:color w:val="231F20"/>
          <w:spacing w:val="-9"/>
          <w:sz w:val="24"/>
        </w:rPr>
        <w:t> </w:t>
      </w:r>
      <w:r>
        <w:rPr>
          <w:i/>
          <w:color w:val="231F20"/>
          <w:spacing w:val="-2"/>
          <w:sz w:val="24"/>
        </w:rPr>
        <w:t>qui</w:t>
      </w:r>
      <w:r>
        <w:rPr>
          <w:i/>
          <w:color w:val="231F20"/>
          <w:spacing w:val="-8"/>
          <w:sz w:val="24"/>
        </w:rPr>
        <w:t> </w:t>
      </w:r>
      <w:r>
        <w:rPr>
          <w:i/>
          <w:color w:val="231F20"/>
          <w:spacing w:val="-2"/>
          <w:sz w:val="24"/>
        </w:rPr>
        <w:t>choisissent</w:t>
      </w:r>
      <w:r>
        <w:rPr>
          <w:i/>
          <w:color w:val="231F20"/>
          <w:spacing w:val="-11"/>
          <w:sz w:val="24"/>
        </w:rPr>
        <w:t> </w:t>
      </w:r>
      <w:r>
        <w:rPr>
          <w:i/>
          <w:color w:val="231F20"/>
          <w:spacing w:val="-2"/>
          <w:sz w:val="24"/>
        </w:rPr>
        <w:t>au</w:t>
      </w:r>
      <w:r>
        <w:rPr>
          <w:i/>
          <w:color w:val="231F20"/>
          <w:spacing w:val="-8"/>
          <w:sz w:val="24"/>
        </w:rPr>
        <w:t> </w:t>
      </w:r>
      <w:r>
        <w:rPr>
          <w:i/>
          <w:color w:val="231F20"/>
          <w:spacing w:val="-2"/>
          <w:sz w:val="24"/>
        </w:rPr>
        <w:t>péril</w:t>
      </w:r>
      <w:r>
        <w:rPr>
          <w:i/>
          <w:color w:val="231F20"/>
          <w:spacing w:val="-11"/>
          <w:sz w:val="24"/>
        </w:rPr>
        <w:t> </w:t>
      </w:r>
      <w:r>
        <w:rPr>
          <w:i/>
          <w:color w:val="231F20"/>
          <w:spacing w:val="-2"/>
          <w:sz w:val="24"/>
        </w:rPr>
        <w:t>de</w:t>
      </w:r>
      <w:r>
        <w:rPr>
          <w:i/>
          <w:color w:val="231F20"/>
          <w:spacing w:val="-8"/>
          <w:sz w:val="24"/>
        </w:rPr>
        <w:t> </w:t>
      </w:r>
      <w:r>
        <w:rPr>
          <w:i/>
          <w:color w:val="231F20"/>
          <w:spacing w:val="-2"/>
          <w:sz w:val="24"/>
        </w:rPr>
        <w:t>leur</w:t>
      </w:r>
      <w:r>
        <w:rPr>
          <w:i/>
          <w:color w:val="231F20"/>
          <w:spacing w:val="-11"/>
          <w:sz w:val="24"/>
        </w:rPr>
        <w:t> </w:t>
      </w:r>
      <w:r>
        <w:rPr>
          <w:i/>
          <w:color w:val="231F20"/>
          <w:spacing w:val="-4"/>
          <w:sz w:val="24"/>
        </w:rPr>
        <w:t>vie,</w:t>
      </w:r>
    </w:p>
    <w:p>
      <w:pPr>
        <w:spacing w:before="0"/>
        <w:ind w:left="0" w:right="109" w:firstLine="0"/>
        <w:jc w:val="right"/>
        <w:rPr>
          <w:i/>
          <w:sz w:val="24"/>
        </w:rPr>
      </w:pPr>
      <w:r>
        <w:rPr>
          <w:i/>
          <w:color w:val="231F20"/>
          <w:spacing w:val="-2"/>
          <w:sz w:val="24"/>
        </w:rPr>
        <w:t>l’aventure</w:t>
      </w:r>
      <w:r>
        <w:rPr>
          <w:i/>
          <w:color w:val="231F20"/>
          <w:spacing w:val="-13"/>
          <w:sz w:val="24"/>
        </w:rPr>
        <w:t> </w:t>
      </w:r>
      <w:r>
        <w:rPr>
          <w:i/>
          <w:color w:val="231F20"/>
          <w:spacing w:val="-2"/>
          <w:sz w:val="24"/>
        </w:rPr>
        <w:t>de</w:t>
      </w:r>
      <w:r>
        <w:rPr>
          <w:i/>
          <w:color w:val="231F20"/>
          <w:spacing w:val="-12"/>
          <w:sz w:val="24"/>
        </w:rPr>
        <w:t> </w:t>
      </w:r>
      <w:r>
        <w:rPr>
          <w:i/>
          <w:color w:val="231F20"/>
          <w:spacing w:val="-2"/>
          <w:sz w:val="24"/>
        </w:rPr>
        <w:t>l’immigration</w:t>
      </w:r>
      <w:r>
        <w:rPr>
          <w:i/>
          <w:color w:val="231F20"/>
          <w:spacing w:val="-11"/>
          <w:sz w:val="24"/>
        </w:rPr>
        <w:t> </w:t>
      </w:r>
      <w:r>
        <w:rPr>
          <w:i/>
          <w:color w:val="231F20"/>
          <w:spacing w:val="-2"/>
          <w:sz w:val="24"/>
        </w:rPr>
        <w:t>pour</w:t>
      </w:r>
      <w:r>
        <w:rPr>
          <w:i/>
          <w:color w:val="231F20"/>
          <w:spacing w:val="-12"/>
          <w:sz w:val="24"/>
        </w:rPr>
        <w:t> </w:t>
      </w:r>
      <w:r>
        <w:rPr>
          <w:i/>
          <w:color w:val="231F20"/>
          <w:spacing w:val="-2"/>
          <w:sz w:val="24"/>
        </w:rPr>
        <w:t>fuir</w:t>
      </w:r>
      <w:r>
        <w:rPr>
          <w:i/>
          <w:color w:val="231F20"/>
          <w:spacing w:val="-10"/>
          <w:sz w:val="24"/>
        </w:rPr>
        <w:t> </w:t>
      </w:r>
      <w:r>
        <w:rPr>
          <w:i/>
          <w:color w:val="231F20"/>
          <w:spacing w:val="-2"/>
          <w:sz w:val="24"/>
        </w:rPr>
        <w:t>les</w:t>
      </w:r>
      <w:r>
        <w:rPr>
          <w:i/>
          <w:color w:val="231F20"/>
          <w:spacing w:val="-11"/>
          <w:sz w:val="24"/>
        </w:rPr>
        <w:t> </w:t>
      </w:r>
      <w:r>
        <w:rPr>
          <w:i/>
          <w:color w:val="231F20"/>
          <w:spacing w:val="-2"/>
          <w:sz w:val="24"/>
        </w:rPr>
        <w:t>effets</w:t>
      </w:r>
      <w:r>
        <w:rPr>
          <w:i/>
          <w:color w:val="231F20"/>
          <w:spacing w:val="-12"/>
          <w:sz w:val="24"/>
        </w:rPr>
        <w:t> </w:t>
      </w:r>
      <w:r>
        <w:rPr>
          <w:i/>
          <w:color w:val="231F20"/>
          <w:spacing w:val="-2"/>
          <w:sz w:val="24"/>
        </w:rPr>
        <w:t>de</w:t>
      </w:r>
      <w:r>
        <w:rPr>
          <w:i/>
          <w:color w:val="231F20"/>
          <w:spacing w:val="-10"/>
          <w:sz w:val="24"/>
        </w:rPr>
        <w:t> </w:t>
      </w:r>
      <w:r>
        <w:rPr>
          <w:i/>
          <w:color w:val="231F20"/>
          <w:spacing w:val="-2"/>
          <w:sz w:val="24"/>
        </w:rPr>
        <w:t>la</w:t>
      </w:r>
      <w:r>
        <w:rPr>
          <w:i/>
          <w:color w:val="231F20"/>
          <w:spacing w:val="-9"/>
          <w:sz w:val="24"/>
        </w:rPr>
        <w:t> </w:t>
      </w:r>
      <w:r>
        <w:rPr>
          <w:i/>
          <w:color w:val="231F20"/>
          <w:spacing w:val="-2"/>
          <w:sz w:val="24"/>
        </w:rPr>
        <w:t>malgouvernance</w:t>
      </w:r>
    </w:p>
    <w:p>
      <w:pPr>
        <w:spacing w:before="0"/>
        <w:ind w:left="0" w:right="104" w:firstLine="0"/>
        <w:jc w:val="right"/>
        <w:rPr>
          <w:i/>
          <w:sz w:val="24"/>
        </w:rPr>
      </w:pPr>
      <w:r>
        <w:rPr>
          <w:i/>
          <w:color w:val="231F20"/>
          <w:spacing w:val="-2"/>
          <w:sz w:val="24"/>
        </w:rPr>
        <w:t>dans</w:t>
      </w:r>
      <w:r>
        <w:rPr>
          <w:i/>
          <w:color w:val="231F20"/>
          <w:spacing w:val="-11"/>
          <w:sz w:val="24"/>
        </w:rPr>
        <w:t> </w:t>
      </w:r>
      <w:r>
        <w:rPr>
          <w:i/>
          <w:color w:val="231F20"/>
          <w:spacing w:val="-2"/>
          <w:sz w:val="24"/>
        </w:rPr>
        <w:t>leur</w:t>
      </w:r>
      <w:r>
        <w:rPr>
          <w:i/>
          <w:color w:val="231F20"/>
          <w:spacing w:val="-9"/>
          <w:sz w:val="24"/>
        </w:rPr>
        <w:t> </w:t>
      </w:r>
      <w:r>
        <w:rPr>
          <w:i/>
          <w:color w:val="231F20"/>
          <w:spacing w:val="-2"/>
          <w:sz w:val="24"/>
        </w:rPr>
        <w:t>pays</w:t>
      </w:r>
      <w:r>
        <w:rPr>
          <w:i/>
          <w:color w:val="231F20"/>
          <w:spacing w:val="-6"/>
          <w:sz w:val="24"/>
        </w:rPr>
        <w:t> </w:t>
      </w:r>
      <w:r>
        <w:rPr>
          <w:i/>
          <w:color w:val="231F20"/>
          <w:spacing w:val="-10"/>
          <w:sz w:val="24"/>
        </w:rPr>
        <w:t>;</w:t>
      </w:r>
    </w:p>
    <w:p>
      <w:pPr>
        <w:spacing w:before="120"/>
        <w:ind w:left="0" w:right="111" w:firstLine="0"/>
        <w:jc w:val="right"/>
        <w:rPr>
          <w:i/>
          <w:sz w:val="24"/>
        </w:rPr>
      </w:pPr>
      <w:r>
        <w:rPr>
          <w:i/>
          <w:color w:val="231F20"/>
          <w:spacing w:val="-2"/>
          <w:sz w:val="24"/>
        </w:rPr>
        <w:t>Aux</w:t>
      </w:r>
      <w:r>
        <w:rPr>
          <w:i/>
          <w:color w:val="231F20"/>
          <w:spacing w:val="-15"/>
          <w:sz w:val="24"/>
        </w:rPr>
        <w:t> </w:t>
      </w:r>
      <w:r>
        <w:rPr>
          <w:i/>
          <w:color w:val="231F20"/>
          <w:spacing w:val="-2"/>
          <w:sz w:val="24"/>
        </w:rPr>
        <w:t>hommes</w:t>
      </w:r>
      <w:r>
        <w:rPr>
          <w:i/>
          <w:color w:val="231F20"/>
          <w:spacing w:val="-13"/>
          <w:sz w:val="24"/>
        </w:rPr>
        <w:t> </w:t>
      </w:r>
      <w:r>
        <w:rPr>
          <w:i/>
          <w:color w:val="231F20"/>
          <w:spacing w:val="-2"/>
          <w:sz w:val="24"/>
        </w:rPr>
        <w:t>politiques</w:t>
      </w:r>
      <w:r>
        <w:rPr>
          <w:i/>
          <w:color w:val="231F20"/>
          <w:spacing w:val="-13"/>
          <w:sz w:val="24"/>
        </w:rPr>
        <w:t> </w:t>
      </w:r>
      <w:r>
        <w:rPr>
          <w:i/>
          <w:color w:val="231F20"/>
          <w:spacing w:val="-2"/>
          <w:sz w:val="24"/>
        </w:rPr>
        <w:t>Africains</w:t>
      </w:r>
      <w:r>
        <w:rPr>
          <w:i/>
          <w:color w:val="231F20"/>
          <w:spacing w:val="-13"/>
          <w:sz w:val="24"/>
        </w:rPr>
        <w:t> </w:t>
      </w:r>
      <w:r>
        <w:rPr>
          <w:i/>
          <w:color w:val="231F20"/>
          <w:spacing w:val="-2"/>
          <w:sz w:val="24"/>
        </w:rPr>
        <w:t>francophones</w:t>
      </w:r>
      <w:r>
        <w:rPr>
          <w:i/>
          <w:color w:val="231F20"/>
          <w:spacing w:val="-11"/>
          <w:sz w:val="24"/>
        </w:rPr>
        <w:t> </w:t>
      </w:r>
      <w:r>
        <w:rPr>
          <w:i/>
          <w:color w:val="231F20"/>
          <w:spacing w:val="-2"/>
          <w:sz w:val="24"/>
        </w:rPr>
        <w:t>tués</w:t>
      </w:r>
      <w:r>
        <w:rPr>
          <w:i/>
          <w:color w:val="231F20"/>
          <w:spacing w:val="-13"/>
          <w:sz w:val="24"/>
        </w:rPr>
        <w:t> </w:t>
      </w:r>
      <w:r>
        <w:rPr>
          <w:i/>
          <w:color w:val="231F20"/>
          <w:spacing w:val="-2"/>
          <w:sz w:val="24"/>
        </w:rPr>
        <w:t>ou</w:t>
      </w:r>
      <w:r>
        <w:rPr>
          <w:i/>
          <w:color w:val="231F20"/>
          <w:spacing w:val="-11"/>
          <w:sz w:val="24"/>
        </w:rPr>
        <w:t> </w:t>
      </w:r>
      <w:r>
        <w:rPr>
          <w:i/>
          <w:color w:val="231F20"/>
          <w:spacing w:val="-2"/>
          <w:sz w:val="24"/>
        </w:rPr>
        <w:t>emprisonnés</w:t>
      </w:r>
    </w:p>
    <w:p>
      <w:pPr>
        <w:spacing w:line="343" w:lineRule="auto" w:before="0"/>
        <w:ind w:left="1043" w:right="103" w:firstLine="2691"/>
        <w:jc w:val="right"/>
        <w:rPr>
          <w:i/>
          <w:sz w:val="24"/>
        </w:rPr>
      </w:pPr>
      <w:r>
        <w:rPr>
          <w:i/>
          <w:color w:val="231F20"/>
          <w:spacing w:val="-2"/>
          <w:sz w:val="24"/>
        </w:rPr>
        <w:t>pour</w:t>
      </w:r>
      <w:r>
        <w:rPr>
          <w:i/>
          <w:color w:val="231F20"/>
          <w:spacing w:val="-15"/>
          <w:sz w:val="24"/>
        </w:rPr>
        <w:t> </w:t>
      </w:r>
      <w:r>
        <w:rPr>
          <w:i/>
          <w:color w:val="231F20"/>
          <w:spacing w:val="-2"/>
          <w:sz w:val="24"/>
        </w:rPr>
        <w:t>leurs</w:t>
      </w:r>
      <w:r>
        <w:rPr>
          <w:i/>
          <w:color w:val="231F20"/>
          <w:spacing w:val="-13"/>
          <w:sz w:val="24"/>
        </w:rPr>
        <w:t> </w:t>
      </w:r>
      <w:r>
        <w:rPr>
          <w:i/>
          <w:color w:val="231F20"/>
          <w:spacing w:val="-2"/>
          <w:sz w:val="24"/>
        </w:rPr>
        <w:t>idées</w:t>
      </w:r>
      <w:r>
        <w:rPr>
          <w:i/>
          <w:color w:val="231F20"/>
          <w:spacing w:val="-13"/>
          <w:sz w:val="24"/>
        </w:rPr>
        <w:t> </w:t>
      </w:r>
      <w:r>
        <w:rPr>
          <w:i/>
          <w:color w:val="231F20"/>
          <w:spacing w:val="-2"/>
          <w:sz w:val="24"/>
        </w:rPr>
        <w:t>d’indépendance</w:t>
      </w:r>
      <w:r>
        <w:rPr>
          <w:i/>
          <w:color w:val="231F20"/>
          <w:spacing w:val="-13"/>
          <w:sz w:val="24"/>
        </w:rPr>
        <w:t> </w:t>
      </w:r>
      <w:r>
        <w:rPr>
          <w:i/>
          <w:color w:val="231F20"/>
          <w:spacing w:val="-2"/>
          <w:sz w:val="24"/>
        </w:rPr>
        <w:t>;</w:t>
      </w:r>
      <w:r>
        <w:rPr>
          <w:i/>
          <w:color w:val="231F20"/>
          <w:spacing w:val="-2"/>
          <w:sz w:val="24"/>
        </w:rPr>
        <w:t> </w:t>
      </w:r>
      <w:r>
        <w:rPr>
          <w:i/>
          <w:color w:val="231F20"/>
          <w:sz w:val="24"/>
        </w:rPr>
        <w:t>À</w:t>
      </w:r>
      <w:r>
        <w:rPr>
          <w:i/>
          <w:color w:val="231F20"/>
          <w:spacing w:val="-17"/>
          <w:sz w:val="24"/>
        </w:rPr>
        <w:t> </w:t>
      </w:r>
      <w:r>
        <w:rPr>
          <w:i/>
          <w:color w:val="231F20"/>
          <w:sz w:val="24"/>
        </w:rPr>
        <w:t>tous</w:t>
      </w:r>
      <w:r>
        <w:rPr>
          <w:i/>
          <w:color w:val="231F20"/>
          <w:spacing w:val="-15"/>
          <w:sz w:val="24"/>
        </w:rPr>
        <w:t> </w:t>
      </w:r>
      <w:r>
        <w:rPr>
          <w:i/>
          <w:color w:val="231F20"/>
          <w:sz w:val="24"/>
        </w:rPr>
        <w:t>les</w:t>
      </w:r>
      <w:r>
        <w:rPr>
          <w:i/>
          <w:color w:val="231F20"/>
          <w:spacing w:val="-15"/>
          <w:sz w:val="24"/>
        </w:rPr>
        <w:t> </w:t>
      </w:r>
      <w:r>
        <w:rPr>
          <w:i/>
          <w:color w:val="231F20"/>
          <w:sz w:val="24"/>
        </w:rPr>
        <w:t>combattants</w:t>
      </w:r>
      <w:r>
        <w:rPr>
          <w:i/>
          <w:color w:val="231F20"/>
          <w:spacing w:val="-15"/>
          <w:sz w:val="24"/>
        </w:rPr>
        <w:t> </w:t>
      </w:r>
      <w:r>
        <w:rPr>
          <w:i/>
          <w:color w:val="231F20"/>
          <w:sz w:val="24"/>
        </w:rPr>
        <w:t>pour</w:t>
      </w:r>
      <w:r>
        <w:rPr>
          <w:i/>
          <w:color w:val="231F20"/>
          <w:spacing w:val="19"/>
          <w:sz w:val="24"/>
        </w:rPr>
        <w:t> </w:t>
      </w:r>
      <w:r>
        <w:rPr>
          <w:i/>
          <w:color w:val="231F20"/>
          <w:sz w:val="24"/>
        </w:rPr>
        <w:t>un</w:t>
      </w:r>
      <w:r>
        <w:rPr>
          <w:i/>
          <w:color w:val="231F20"/>
          <w:spacing w:val="-15"/>
          <w:sz w:val="24"/>
        </w:rPr>
        <w:t> </w:t>
      </w:r>
      <w:r>
        <w:rPr>
          <w:i/>
          <w:color w:val="231F20"/>
          <w:sz w:val="24"/>
        </w:rPr>
        <w:t>monde</w:t>
      </w:r>
      <w:r>
        <w:rPr>
          <w:i/>
          <w:color w:val="231F20"/>
          <w:spacing w:val="-15"/>
          <w:sz w:val="24"/>
        </w:rPr>
        <w:t> </w:t>
      </w:r>
      <w:r>
        <w:rPr>
          <w:i/>
          <w:color w:val="231F20"/>
          <w:sz w:val="24"/>
        </w:rPr>
        <w:t>plus</w:t>
      </w:r>
      <w:r>
        <w:rPr>
          <w:i/>
          <w:color w:val="231F20"/>
          <w:spacing w:val="-15"/>
          <w:sz w:val="24"/>
        </w:rPr>
        <w:t> </w:t>
      </w:r>
      <w:r>
        <w:rPr>
          <w:i/>
          <w:color w:val="231F20"/>
          <w:sz w:val="24"/>
        </w:rPr>
        <w:t>libre</w:t>
      </w:r>
      <w:r>
        <w:rPr>
          <w:i/>
          <w:color w:val="231F20"/>
          <w:spacing w:val="-15"/>
          <w:sz w:val="24"/>
        </w:rPr>
        <w:t> </w:t>
      </w:r>
      <w:r>
        <w:rPr>
          <w:i/>
          <w:color w:val="231F20"/>
          <w:sz w:val="24"/>
        </w:rPr>
        <w:t>et</w:t>
      </w:r>
      <w:r>
        <w:rPr>
          <w:i/>
          <w:color w:val="231F20"/>
          <w:spacing w:val="-15"/>
          <w:sz w:val="24"/>
        </w:rPr>
        <w:t> </w:t>
      </w:r>
      <w:r>
        <w:rPr>
          <w:i/>
          <w:color w:val="231F20"/>
          <w:sz w:val="24"/>
        </w:rPr>
        <w:t>plus</w:t>
      </w:r>
      <w:r>
        <w:rPr>
          <w:i/>
          <w:color w:val="231F20"/>
          <w:spacing w:val="-15"/>
          <w:sz w:val="24"/>
        </w:rPr>
        <w:t> </w:t>
      </w:r>
      <w:r>
        <w:rPr>
          <w:i/>
          <w:color w:val="231F20"/>
          <w:sz w:val="24"/>
        </w:rPr>
        <w:t>juste</w:t>
      </w:r>
      <w:r>
        <w:rPr>
          <w:i/>
          <w:color w:val="231F20"/>
          <w:spacing w:val="-15"/>
          <w:sz w:val="24"/>
        </w:rPr>
        <w:t> </w:t>
      </w:r>
      <w:r>
        <w:rPr>
          <w:i/>
          <w:color w:val="231F20"/>
          <w:spacing w:val="-10"/>
          <w:sz w:val="24"/>
        </w:rPr>
        <w:t>!</w:t>
      </w:r>
    </w:p>
    <w:p>
      <w:pPr>
        <w:spacing w:after="0" w:line="343" w:lineRule="auto"/>
        <w:jc w:val="right"/>
        <w:rPr>
          <w:sz w:val="24"/>
        </w:rPr>
        <w:sectPr>
          <w:footerReference w:type="default" r:id="rId9"/>
          <w:pgSz w:w="8790" w:h="13610"/>
          <w:pgMar w:header="0" w:footer="1059" w:top="1460" w:bottom="1240" w:left="880" w:right="880"/>
        </w:sectPr>
      </w:pPr>
    </w:p>
    <w:p>
      <w:pPr>
        <w:pStyle w:val="BodyText"/>
        <w:spacing w:before="4"/>
        <w:ind w:left="0"/>
        <w:jc w:val="left"/>
        <w:rPr>
          <w:i/>
          <w:sz w:val="17"/>
        </w:rPr>
      </w:pPr>
    </w:p>
    <w:p>
      <w:pPr>
        <w:spacing w:after="0"/>
        <w:jc w:val="left"/>
        <w:rPr>
          <w:sz w:val="17"/>
        </w:rPr>
        <w:sectPr>
          <w:footerReference w:type="even" r:id="rId10"/>
          <w:pgSz w:w="8790" w:h="13610"/>
          <w:pgMar w:header="0" w:footer="0" w:top="1540" w:bottom="280" w:left="880" w:right="880"/>
        </w:sectPr>
      </w:pPr>
    </w:p>
    <w:p>
      <w:pPr>
        <w:spacing w:before="232"/>
        <w:ind w:left="111" w:right="103" w:firstLine="283"/>
        <w:jc w:val="both"/>
        <w:rPr>
          <w:sz w:val="24"/>
        </w:rPr>
      </w:pPr>
      <w:r>
        <w:rPr>
          <w:color w:val="231F20"/>
          <w:spacing w:val="-2"/>
          <w:sz w:val="24"/>
        </w:rPr>
        <w:t>"</w:t>
      </w:r>
      <w:r>
        <w:rPr>
          <w:color w:val="231F20"/>
          <w:spacing w:val="-13"/>
          <w:sz w:val="24"/>
        </w:rPr>
        <w:t> </w:t>
      </w:r>
      <w:r>
        <w:rPr>
          <w:b/>
          <w:i/>
          <w:color w:val="231F20"/>
          <w:spacing w:val="-2"/>
          <w:sz w:val="24"/>
        </w:rPr>
        <w:t>Ignorer</w:t>
      </w:r>
      <w:r>
        <w:rPr>
          <w:b/>
          <w:i/>
          <w:color w:val="231F20"/>
          <w:spacing w:val="-13"/>
          <w:sz w:val="24"/>
        </w:rPr>
        <w:t> </w:t>
      </w:r>
      <w:r>
        <w:rPr>
          <w:b/>
          <w:i/>
          <w:color w:val="231F20"/>
          <w:spacing w:val="-2"/>
          <w:sz w:val="24"/>
        </w:rPr>
        <w:t>ce</w:t>
      </w:r>
      <w:r>
        <w:rPr>
          <w:b/>
          <w:i/>
          <w:color w:val="231F20"/>
          <w:spacing w:val="-13"/>
          <w:sz w:val="24"/>
        </w:rPr>
        <w:t> </w:t>
      </w:r>
      <w:r>
        <w:rPr>
          <w:b/>
          <w:i/>
          <w:color w:val="231F20"/>
          <w:spacing w:val="-2"/>
          <w:sz w:val="24"/>
        </w:rPr>
        <w:t>qui</w:t>
      </w:r>
      <w:r>
        <w:rPr>
          <w:b/>
          <w:i/>
          <w:color w:val="231F20"/>
          <w:spacing w:val="-12"/>
          <w:sz w:val="24"/>
        </w:rPr>
        <w:t> </w:t>
      </w:r>
      <w:r>
        <w:rPr>
          <w:b/>
          <w:i/>
          <w:color w:val="231F20"/>
          <w:spacing w:val="-2"/>
          <w:sz w:val="24"/>
        </w:rPr>
        <w:t>s'est</w:t>
      </w:r>
      <w:r>
        <w:rPr>
          <w:b/>
          <w:i/>
          <w:color w:val="231F20"/>
          <w:spacing w:val="-13"/>
          <w:sz w:val="24"/>
        </w:rPr>
        <w:t> </w:t>
      </w:r>
      <w:r>
        <w:rPr>
          <w:b/>
          <w:i/>
          <w:color w:val="231F20"/>
          <w:spacing w:val="-2"/>
          <w:sz w:val="24"/>
        </w:rPr>
        <w:t>passé</w:t>
      </w:r>
      <w:r>
        <w:rPr>
          <w:b/>
          <w:i/>
          <w:color w:val="231F20"/>
          <w:spacing w:val="-12"/>
          <w:sz w:val="24"/>
        </w:rPr>
        <w:t> </w:t>
      </w:r>
      <w:r>
        <w:rPr>
          <w:b/>
          <w:i/>
          <w:color w:val="231F20"/>
          <w:spacing w:val="-2"/>
          <w:sz w:val="24"/>
        </w:rPr>
        <w:t>avant</w:t>
      </w:r>
      <w:r>
        <w:rPr>
          <w:b/>
          <w:i/>
          <w:color w:val="231F20"/>
          <w:spacing w:val="-13"/>
          <w:sz w:val="24"/>
        </w:rPr>
        <w:t> </w:t>
      </w:r>
      <w:r>
        <w:rPr>
          <w:b/>
          <w:i/>
          <w:color w:val="231F20"/>
          <w:spacing w:val="-2"/>
          <w:sz w:val="24"/>
        </w:rPr>
        <w:t>notre</w:t>
      </w:r>
      <w:r>
        <w:rPr>
          <w:b/>
          <w:i/>
          <w:color w:val="231F20"/>
          <w:spacing w:val="-13"/>
          <w:sz w:val="24"/>
        </w:rPr>
        <w:t> </w:t>
      </w:r>
      <w:r>
        <w:rPr>
          <w:b/>
          <w:i/>
          <w:color w:val="231F20"/>
          <w:spacing w:val="-2"/>
          <w:sz w:val="24"/>
        </w:rPr>
        <w:t>naissance,</w:t>
      </w:r>
      <w:r>
        <w:rPr>
          <w:b/>
          <w:i/>
          <w:color w:val="231F20"/>
          <w:spacing w:val="-13"/>
          <w:sz w:val="24"/>
        </w:rPr>
        <w:t> </w:t>
      </w:r>
      <w:r>
        <w:rPr>
          <w:b/>
          <w:i/>
          <w:color w:val="231F20"/>
          <w:spacing w:val="-2"/>
          <w:sz w:val="24"/>
        </w:rPr>
        <w:t>c'est</w:t>
      </w:r>
      <w:r>
        <w:rPr>
          <w:b/>
          <w:i/>
          <w:color w:val="231F20"/>
          <w:spacing w:val="-13"/>
          <w:sz w:val="24"/>
        </w:rPr>
        <w:t> </w:t>
      </w:r>
      <w:r>
        <w:rPr>
          <w:b/>
          <w:i/>
          <w:color w:val="231F20"/>
          <w:spacing w:val="-2"/>
          <w:sz w:val="24"/>
        </w:rPr>
        <w:t>rester</w:t>
      </w:r>
      <w:r>
        <w:rPr>
          <w:b/>
          <w:i/>
          <w:color w:val="231F20"/>
          <w:spacing w:val="-12"/>
          <w:sz w:val="24"/>
        </w:rPr>
        <w:t> </w:t>
      </w:r>
      <w:r>
        <w:rPr>
          <w:b/>
          <w:i/>
          <w:color w:val="231F20"/>
          <w:spacing w:val="-2"/>
          <w:sz w:val="24"/>
        </w:rPr>
        <w:t>enfant</w:t>
      </w:r>
      <w:r>
        <w:rPr>
          <w:b/>
          <w:i/>
          <w:color w:val="231F20"/>
          <w:spacing w:val="-2"/>
          <w:sz w:val="24"/>
        </w:rPr>
        <w:t> </w:t>
      </w:r>
      <w:r>
        <w:rPr>
          <w:b/>
          <w:i/>
          <w:color w:val="231F20"/>
          <w:sz w:val="24"/>
        </w:rPr>
        <w:t>à</w:t>
      </w:r>
      <w:r>
        <w:rPr>
          <w:b/>
          <w:i/>
          <w:color w:val="231F20"/>
          <w:spacing w:val="-10"/>
          <w:sz w:val="24"/>
        </w:rPr>
        <w:t> </w:t>
      </w:r>
      <w:r>
        <w:rPr>
          <w:b/>
          <w:i/>
          <w:color w:val="231F20"/>
          <w:sz w:val="24"/>
        </w:rPr>
        <w:t>jamais.</w:t>
      </w:r>
      <w:r>
        <w:rPr>
          <w:b/>
          <w:i/>
          <w:color w:val="231F20"/>
          <w:spacing w:val="-10"/>
          <w:sz w:val="24"/>
        </w:rPr>
        <w:t> </w:t>
      </w:r>
      <w:r>
        <w:rPr>
          <w:b/>
          <w:i/>
          <w:color w:val="231F20"/>
          <w:sz w:val="24"/>
        </w:rPr>
        <w:t>Qu'est-ce</w:t>
      </w:r>
      <w:r>
        <w:rPr>
          <w:b/>
          <w:i/>
          <w:color w:val="231F20"/>
          <w:spacing w:val="-9"/>
          <w:sz w:val="24"/>
        </w:rPr>
        <w:t> </w:t>
      </w:r>
      <w:r>
        <w:rPr>
          <w:b/>
          <w:i/>
          <w:color w:val="231F20"/>
          <w:sz w:val="24"/>
        </w:rPr>
        <w:t>que</w:t>
      </w:r>
      <w:r>
        <w:rPr>
          <w:b/>
          <w:i/>
          <w:color w:val="231F20"/>
          <w:spacing w:val="-12"/>
          <w:sz w:val="24"/>
        </w:rPr>
        <w:t> </w:t>
      </w:r>
      <w:r>
        <w:rPr>
          <w:b/>
          <w:i/>
          <w:color w:val="231F20"/>
          <w:sz w:val="24"/>
        </w:rPr>
        <w:t>la</w:t>
      </w:r>
      <w:r>
        <w:rPr>
          <w:b/>
          <w:i/>
          <w:color w:val="231F20"/>
          <w:spacing w:val="-10"/>
          <w:sz w:val="24"/>
        </w:rPr>
        <w:t> </w:t>
      </w:r>
      <w:r>
        <w:rPr>
          <w:b/>
          <w:i/>
          <w:color w:val="231F20"/>
          <w:sz w:val="24"/>
        </w:rPr>
        <w:t>vie</w:t>
      </w:r>
      <w:r>
        <w:rPr>
          <w:b/>
          <w:i/>
          <w:color w:val="231F20"/>
          <w:spacing w:val="-9"/>
          <w:sz w:val="24"/>
        </w:rPr>
        <w:t> </w:t>
      </w:r>
      <w:r>
        <w:rPr>
          <w:b/>
          <w:i/>
          <w:color w:val="231F20"/>
          <w:sz w:val="24"/>
        </w:rPr>
        <w:t>humaine</w:t>
      </w:r>
      <w:r>
        <w:rPr>
          <w:b/>
          <w:i/>
          <w:color w:val="231F20"/>
          <w:spacing w:val="-9"/>
          <w:sz w:val="24"/>
        </w:rPr>
        <w:t> </w:t>
      </w:r>
      <w:r>
        <w:rPr>
          <w:b/>
          <w:i/>
          <w:color w:val="231F20"/>
          <w:sz w:val="24"/>
        </w:rPr>
        <w:t>si</w:t>
      </w:r>
      <w:r>
        <w:rPr>
          <w:b/>
          <w:i/>
          <w:color w:val="231F20"/>
          <w:spacing w:val="-8"/>
          <w:sz w:val="24"/>
        </w:rPr>
        <w:t> </w:t>
      </w:r>
      <w:r>
        <w:rPr>
          <w:b/>
          <w:i/>
          <w:color w:val="231F20"/>
          <w:sz w:val="24"/>
        </w:rPr>
        <w:t>le</w:t>
      </w:r>
      <w:r>
        <w:rPr>
          <w:b/>
          <w:i/>
          <w:color w:val="231F20"/>
          <w:spacing w:val="-10"/>
          <w:sz w:val="24"/>
        </w:rPr>
        <w:t> </w:t>
      </w:r>
      <w:r>
        <w:rPr>
          <w:b/>
          <w:i/>
          <w:color w:val="231F20"/>
          <w:sz w:val="24"/>
        </w:rPr>
        <w:t>souvenir</w:t>
      </w:r>
      <w:r>
        <w:rPr>
          <w:b/>
          <w:i/>
          <w:color w:val="231F20"/>
          <w:spacing w:val="-9"/>
          <w:sz w:val="24"/>
        </w:rPr>
        <w:t> </w:t>
      </w:r>
      <w:r>
        <w:rPr>
          <w:b/>
          <w:i/>
          <w:color w:val="231F20"/>
          <w:sz w:val="24"/>
        </w:rPr>
        <w:t>des</w:t>
      </w:r>
      <w:r>
        <w:rPr>
          <w:b/>
          <w:i/>
          <w:color w:val="231F20"/>
          <w:spacing w:val="-10"/>
          <w:sz w:val="24"/>
        </w:rPr>
        <w:t> </w:t>
      </w:r>
      <w:r>
        <w:rPr>
          <w:b/>
          <w:i/>
          <w:color w:val="231F20"/>
          <w:sz w:val="24"/>
        </w:rPr>
        <w:t>faits</w:t>
      </w:r>
      <w:r>
        <w:rPr>
          <w:b/>
          <w:i/>
          <w:color w:val="231F20"/>
          <w:spacing w:val="-10"/>
          <w:sz w:val="24"/>
        </w:rPr>
        <w:t> </w:t>
      </w:r>
      <w:r>
        <w:rPr>
          <w:b/>
          <w:i/>
          <w:color w:val="231F20"/>
          <w:sz w:val="24"/>
        </w:rPr>
        <w:t>anciens </w:t>
      </w:r>
      <w:r>
        <w:rPr>
          <w:b/>
          <w:i/>
          <w:color w:val="231F20"/>
          <w:spacing w:val="-2"/>
          <w:sz w:val="24"/>
        </w:rPr>
        <w:t>ne</w:t>
      </w:r>
      <w:r>
        <w:rPr>
          <w:b/>
          <w:i/>
          <w:color w:val="231F20"/>
          <w:spacing w:val="-13"/>
          <w:sz w:val="24"/>
        </w:rPr>
        <w:t> </w:t>
      </w:r>
      <w:r>
        <w:rPr>
          <w:b/>
          <w:i/>
          <w:color w:val="231F20"/>
          <w:spacing w:val="-2"/>
          <w:sz w:val="24"/>
        </w:rPr>
        <w:t>relie</w:t>
      </w:r>
      <w:r>
        <w:rPr>
          <w:b/>
          <w:i/>
          <w:color w:val="231F20"/>
          <w:spacing w:val="-13"/>
          <w:sz w:val="24"/>
        </w:rPr>
        <w:t> </w:t>
      </w:r>
      <w:r>
        <w:rPr>
          <w:b/>
          <w:i/>
          <w:color w:val="231F20"/>
          <w:spacing w:val="-2"/>
          <w:sz w:val="24"/>
        </w:rPr>
        <w:t>le</w:t>
      </w:r>
      <w:r>
        <w:rPr>
          <w:b/>
          <w:i/>
          <w:color w:val="231F20"/>
          <w:spacing w:val="-13"/>
          <w:sz w:val="24"/>
        </w:rPr>
        <w:t> </w:t>
      </w:r>
      <w:r>
        <w:rPr>
          <w:b/>
          <w:i/>
          <w:color w:val="231F20"/>
          <w:spacing w:val="-2"/>
          <w:sz w:val="24"/>
        </w:rPr>
        <w:t>présent</w:t>
      </w:r>
      <w:r>
        <w:rPr>
          <w:b/>
          <w:i/>
          <w:color w:val="231F20"/>
          <w:spacing w:val="-11"/>
          <w:sz w:val="24"/>
        </w:rPr>
        <w:t> </w:t>
      </w:r>
      <w:r>
        <w:rPr>
          <w:b/>
          <w:i/>
          <w:color w:val="231F20"/>
          <w:spacing w:val="-2"/>
          <w:sz w:val="24"/>
        </w:rPr>
        <w:t>au</w:t>
      </w:r>
      <w:r>
        <w:rPr>
          <w:b/>
          <w:i/>
          <w:color w:val="231F20"/>
          <w:spacing w:val="-11"/>
          <w:sz w:val="24"/>
        </w:rPr>
        <w:t> </w:t>
      </w:r>
      <w:r>
        <w:rPr>
          <w:b/>
          <w:i/>
          <w:color w:val="231F20"/>
          <w:spacing w:val="-2"/>
          <w:sz w:val="24"/>
        </w:rPr>
        <w:t>passé</w:t>
      </w:r>
      <w:r>
        <w:rPr>
          <w:b/>
          <w:i/>
          <w:color w:val="231F20"/>
          <w:spacing w:val="-13"/>
          <w:sz w:val="24"/>
        </w:rPr>
        <w:t> </w:t>
      </w:r>
      <w:r>
        <w:rPr>
          <w:b/>
          <w:i/>
          <w:color w:val="231F20"/>
          <w:spacing w:val="-2"/>
          <w:sz w:val="24"/>
        </w:rPr>
        <w:t>?</w:t>
      </w:r>
      <w:r>
        <w:rPr>
          <w:b/>
          <w:i/>
          <w:color w:val="231F20"/>
          <w:spacing w:val="-12"/>
          <w:sz w:val="24"/>
        </w:rPr>
        <w:t> </w:t>
      </w:r>
      <w:r>
        <w:rPr>
          <w:color w:val="231F20"/>
          <w:spacing w:val="-2"/>
          <w:sz w:val="24"/>
        </w:rPr>
        <w:t>Marcus</w:t>
      </w:r>
      <w:r>
        <w:rPr>
          <w:color w:val="231F20"/>
          <w:spacing w:val="-12"/>
          <w:sz w:val="24"/>
        </w:rPr>
        <w:t> </w:t>
      </w:r>
      <w:r>
        <w:rPr>
          <w:color w:val="231F20"/>
          <w:spacing w:val="-2"/>
          <w:sz w:val="24"/>
        </w:rPr>
        <w:t>Tullius</w:t>
      </w:r>
      <w:r>
        <w:rPr>
          <w:color w:val="231F20"/>
          <w:spacing w:val="-12"/>
          <w:sz w:val="24"/>
        </w:rPr>
        <w:t> </w:t>
      </w:r>
      <w:r>
        <w:rPr>
          <w:color w:val="231F20"/>
          <w:spacing w:val="-2"/>
          <w:sz w:val="24"/>
        </w:rPr>
        <w:t>Cicero</w:t>
      </w:r>
      <w:r>
        <w:rPr>
          <w:color w:val="231F20"/>
          <w:spacing w:val="-11"/>
          <w:sz w:val="24"/>
        </w:rPr>
        <w:t> </w:t>
      </w:r>
      <w:r>
        <w:rPr>
          <w:color w:val="231F20"/>
          <w:spacing w:val="-2"/>
          <w:sz w:val="24"/>
        </w:rPr>
        <w:t>dit</w:t>
      </w:r>
      <w:r>
        <w:rPr>
          <w:color w:val="231F20"/>
          <w:spacing w:val="-13"/>
          <w:sz w:val="24"/>
        </w:rPr>
        <w:t> </w:t>
      </w:r>
      <w:r>
        <w:rPr>
          <w:color w:val="231F20"/>
          <w:spacing w:val="-2"/>
          <w:sz w:val="24"/>
        </w:rPr>
        <w:t>Cicéron,</w:t>
      </w:r>
      <w:r>
        <w:rPr>
          <w:color w:val="231F20"/>
          <w:spacing w:val="-12"/>
          <w:sz w:val="24"/>
        </w:rPr>
        <w:t> </w:t>
      </w:r>
      <w:r>
        <w:rPr>
          <w:color w:val="231F20"/>
          <w:spacing w:val="-2"/>
          <w:sz w:val="24"/>
        </w:rPr>
        <w:t>homme </w:t>
      </w:r>
      <w:r>
        <w:rPr>
          <w:color w:val="231F20"/>
          <w:sz w:val="24"/>
        </w:rPr>
        <w:t>d'État</w:t>
      </w:r>
      <w:r>
        <w:rPr>
          <w:color w:val="231F20"/>
          <w:spacing w:val="-1"/>
          <w:sz w:val="24"/>
        </w:rPr>
        <w:t> </w:t>
      </w:r>
      <w:r>
        <w:rPr>
          <w:color w:val="231F20"/>
          <w:sz w:val="24"/>
        </w:rPr>
        <w:t>romain, avocat et</w:t>
      </w:r>
      <w:r>
        <w:rPr>
          <w:color w:val="231F20"/>
          <w:spacing w:val="-1"/>
          <w:sz w:val="24"/>
        </w:rPr>
        <w:t> </w:t>
      </w:r>
      <w:r>
        <w:rPr>
          <w:color w:val="231F20"/>
          <w:sz w:val="24"/>
        </w:rPr>
        <w:t>écrivain</w:t>
      </w:r>
      <w:r>
        <w:rPr>
          <w:color w:val="231F20"/>
          <w:spacing w:val="-3"/>
          <w:sz w:val="24"/>
        </w:rPr>
        <w:t> </w:t>
      </w:r>
      <w:r>
        <w:rPr>
          <w:color w:val="231F20"/>
          <w:sz w:val="24"/>
        </w:rPr>
        <w:t>latin.</w:t>
      </w:r>
      <w:r>
        <w:rPr>
          <w:color w:val="231F20"/>
          <w:spacing w:val="-3"/>
          <w:sz w:val="24"/>
        </w:rPr>
        <w:t> </w:t>
      </w:r>
      <w:r>
        <w:rPr>
          <w:color w:val="231F20"/>
          <w:sz w:val="24"/>
        </w:rPr>
        <w:t>46 av</w:t>
      </w:r>
      <w:r>
        <w:rPr>
          <w:color w:val="231F20"/>
          <w:spacing w:val="-1"/>
          <w:sz w:val="24"/>
        </w:rPr>
        <w:t> </w:t>
      </w:r>
      <w:r>
        <w:rPr>
          <w:color w:val="231F20"/>
          <w:sz w:val="24"/>
        </w:rPr>
        <w:t>J.C</w:t>
      </w:r>
    </w:p>
    <w:p>
      <w:pPr>
        <w:spacing w:after="0"/>
        <w:jc w:val="both"/>
        <w:rPr>
          <w:sz w:val="24"/>
        </w:rPr>
        <w:sectPr>
          <w:footerReference w:type="default" r:id="rId11"/>
          <w:pgSz w:w="8790" w:h="13610"/>
          <w:pgMar w:header="0" w:footer="802" w:top="1540" w:bottom="1000" w:left="880" w:right="880"/>
          <w:pgNumType w:start="9"/>
        </w:sectPr>
      </w:pPr>
    </w:p>
    <w:p>
      <w:pPr>
        <w:pStyle w:val="BodyText"/>
        <w:spacing w:before="4"/>
        <w:ind w:left="0"/>
        <w:jc w:val="left"/>
        <w:rPr>
          <w:sz w:val="17"/>
        </w:rPr>
      </w:pPr>
    </w:p>
    <w:p>
      <w:pPr>
        <w:spacing w:after="0"/>
        <w:jc w:val="left"/>
        <w:rPr>
          <w:sz w:val="17"/>
        </w:rPr>
        <w:sectPr>
          <w:footerReference w:type="even" r:id="rId12"/>
          <w:pgSz w:w="8790" w:h="13610"/>
          <w:pgMar w:header="0" w:footer="0" w:top="1540" w:bottom="280" w:left="880" w:right="880"/>
        </w:sectPr>
      </w:pPr>
    </w:p>
    <w:p>
      <w:pPr>
        <w:pStyle w:val="Heading1"/>
        <w:spacing w:before="88"/>
        <w:ind w:left="70"/>
      </w:pPr>
      <w:r>
        <w:rPr>
          <w:color w:val="231F20"/>
          <w:spacing w:val="-2"/>
        </w:rPr>
        <w:t>INTRODUCTION</w:t>
      </w:r>
    </w:p>
    <w:p>
      <w:pPr>
        <w:pStyle w:val="BodyText"/>
        <w:spacing w:before="275"/>
        <w:ind w:left="0"/>
        <w:jc w:val="left"/>
        <w:rPr>
          <w:rFonts w:ascii="Cambria"/>
          <w:b/>
          <w:sz w:val="32"/>
        </w:rPr>
      </w:pPr>
    </w:p>
    <w:p>
      <w:pPr>
        <w:pStyle w:val="BodyText"/>
        <w:ind w:right="107" w:firstLine="283"/>
      </w:pPr>
      <w:r>
        <w:rPr>
          <w:color w:val="231F20"/>
        </w:rPr>
        <w:t>La</w:t>
      </w:r>
      <w:r>
        <w:rPr>
          <w:color w:val="231F20"/>
          <w:spacing w:val="-13"/>
        </w:rPr>
        <w:t> </w:t>
      </w:r>
      <w:r>
        <w:rPr>
          <w:color w:val="231F20"/>
        </w:rPr>
        <w:t>plupart</w:t>
      </w:r>
      <w:r>
        <w:rPr>
          <w:color w:val="231F20"/>
          <w:spacing w:val="-15"/>
        </w:rPr>
        <w:t> </w:t>
      </w:r>
      <w:r>
        <w:rPr>
          <w:color w:val="231F20"/>
        </w:rPr>
        <w:t>des</w:t>
      </w:r>
      <w:r>
        <w:rPr>
          <w:color w:val="231F20"/>
          <w:spacing w:val="-13"/>
        </w:rPr>
        <w:t> </w:t>
      </w:r>
      <w:r>
        <w:rPr>
          <w:color w:val="231F20"/>
        </w:rPr>
        <w:t>pays</w:t>
      </w:r>
      <w:r>
        <w:rPr>
          <w:color w:val="231F20"/>
          <w:spacing w:val="-15"/>
        </w:rPr>
        <w:t> </w:t>
      </w:r>
      <w:r>
        <w:rPr>
          <w:color w:val="231F20"/>
        </w:rPr>
        <w:t>d’Afrique</w:t>
      </w:r>
      <w:r>
        <w:rPr>
          <w:color w:val="231F20"/>
          <w:spacing w:val="-12"/>
        </w:rPr>
        <w:t> </w:t>
      </w:r>
      <w:r>
        <w:rPr>
          <w:color w:val="231F20"/>
        </w:rPr>
        <w:t>noire</w:t>
      </w:r>
      <w:r>
        <w:rPr>
          <w:color w:val="231F20"/>
          <w:spacing w:val="-13"/>
        </w:rPr>
        <w:t> </w:t>
      </w:r>
      <w:r>
        <w:rPr>
          <w:color w:val="231F20"/>
        </w:rPr>
        <w:t>sont</w:t>
      </w:r>
      <w:r>
        <w:rPr>
          <w:color w:val="231F20"/>
          <w:spacing w:val="-13"/>
        </w:rPr>
        <w:t> </w:t>
      </w:r>
      <w:r>
        <w:rPr>
          <w:color w:val="231F20"/>
        </w:rPr>
        <w:t>devenus</w:t>
      </w:r>
      <w:r>
        <w:rPr>
          <w:color w:val="231F20"/>
          <w:spacing w:val="-13"/>
        </w:rPr>
        <w:t> </w:t>
      </w:r>
      <w:r>
        <w:rPr>
          <w:color w:val="231F20"/>
        </w:rPr>
        <w:t>indépendants</w:t>
      </w:r>
      <w:r>
        <w:rPr>
          <w:color w:val="231F20"/>
          <w:spacing w:val="-13"/>
        </w:rPr>
        <w:t> </w:t>
      </w:r>
      <w:r>
        <w:rPr>
          <w:color w:val="231F20"/>
        </w:rPr>
        <w:t>entre le</w:t>
      </w:r>
      <w:r>
        <w:rPr>
          <w:color w:val="231F20"/>
          <w:spacing w:val="-2"/>
        </w:rPr>
        <w:t> </w:t>
      </w:r>
      <w:r>
        <w:rPr>
          <w:color w:val="231F20"/>
        </w:rPr>
        <w:t>milieu</w:t>
      </w:r>
      <w:r>
        <w:rPr>
          <w:color w:val="231F20"/>
          <w:spacing w:val="-2"/>
        </w:rPr>
        <w:t> </w:t>
      </w:r>
      <w:r>
        <w:rPr>
          <w:color w:val="231F20"/>
        </w:rPr>
        <w:t>des</w:t>
      </w:r>
      <w:r>
        <w:rPr>
          <w:color w:val="231F20"/>
          <w:spacing w:val="-2"/>
        </w:rPr>
        <w:t> </w:t>
      </w:r>
      <w:r>
        <w:rPr>
          <w:color w:val="231F20"/>
        </w:rPr>
        <w:t>années 1950</w:t>
      </w:r>
      <w:r>
        <w:rPr>
          <w:color w:val="231F20"/>
          <w:spacing w:val="-4"/>
        </w:rPr>
        <w:t> </w:t>
      </w:r>
      <w:r>
        <w:rPr>
          <w:color w:val="231F20"/>
        </w:rPr>
        <w:t>et</w:t>
      </w:r>
      <w:r>
        <w:rPr>
          <w:color w:val="231F20"/>
          <w:spacing w:val="-2"/>
        </w:rPr>
        <w:t> </w:t>
      </w:r>
      <w:r>
        <w:rPr>
          <w:color w:val="231F20"/>
        </w:rPr>
        <w:t>la</w:t>
      </w:r>
      <w:r>
        <w:rPr>
          <w:color w:val="231F20"/>
          <w:spacing w:val="-2"/>
        </w:rPr>
        <w:t> </w:t>
      </w:r>
      <w:r>
        <w:rPr>
          <w:color w:val="231F20"/>
        </w:rPr>
        <w:t>fin</w:t>
      </w:r>
      <w:r>
        <w:rPr>
          <w:color w:val="231F20"/>
          <w:spacing w:val="-4"/>
        </w:rPr>
        <w:t> </w:t>
      </w:r>
      <w:r>
        <w:rPr>
          <w:color w:val="231F20"/>
        </w:rPr>
        <w:t>des</w:t>
      </w:r>
      <w:r>
        <w:rPr>
          <w:color w:val="231F20"/>
          <w:spacing w:val="-2"/>
        </w:rPr>
        <w:t> </w:t>
      </w:r>
      <w:r>
        <w:rPr>
          <w:color w:val="231F20"/>
        </w:rPr>
        <w:t>années</w:t>
      </w:r>
      <w:r>
        <w:rPr>
          <w:color w:val="231F20"/>
          <w:spacing w:val="-3"/>
        </w:rPr>
        <w:t> </w:t>
      </w:r>
      <w:r>
        <w:rPr>
          <w:color w:val="231F20"/>
        </w:rPr>
        <w:t>1960.</w:t>
      </w:r>
    </w:p>
    <w:p>
      <w:pPr>
        <w:pStyle w:val="BodyText"/>
        <w:spacing w:before="120"/>
        <w:ind w:right="105" w:firstLine="283"/>
      </w:pPr>
      <w:r>
        <w:rPr>
          <w:color w:val="231F20"/>
          <w:spacing w:val="-6"/>
        </w:rPr>
        <w:t>Jeune, mon père né vers 1915, dans la civilisation orale de nos ancêtres, m’a raconté ce que son grand père lui a</w:t>
      </w:r>
      <w:r>
        <w:rPr>
          <w:color w:val="231F20"/>
          <w:spacing w:val="-7"/>
        </w:rPr>
        <w:t> </w:t>
      </w:r>
      <w:r>
        <w:rPr>
          <w:color w:val="231F20"/>
          <w:spacing w:val="-6"/>
        </w:rPr>
        <w:t>rapporté de</w:t>
      </w:r>
      <w:r>
        <w:rPr>
          <w:color w:val="231F20"/>
          <w:spacing w:val="-9"/>
        </w:rPr>
        <w:t> </w:t>
      </w:r>
      <w:r>
        <w:rPr>
          <w:color w:val="231F20"/>
          <w:spacing w:val="-6"/>
        </w:rPr>
        <w:t>la</w:t>
      </w:r>
      <w:r>
        <w:rPr>
          <w:color w:val="231F20"/>
          <w:spacing w:val="-9"/>
        </w:rPr>
        <w:t> </w:t>
      </w:r>
      <w:r>
        <w:rPr>
          <w:color w:val="231F20"/>
          <w:spacing w:val="-6"/>
        </w:rPr>
        <w:t>période où, l’homme </w:t>
      </w:r>
      <w:r>
        <w:rPr>
          <w:color w:val="231F20"/>
        </w:rPr>
        <w:t>noir constituait pour l’homme blanc, une marchandise. Mon père me parlait aussi de l’époque coloniale, des «</w:t>
      </w:r>
      <w:r>
        <w:rPr>
          <w:color w:val="231F20"/>
          <w:spacing w:val="-15"/>
        </w:rPr>
        <w:t> </w:t>
      </w:r>
      <w:r>
        <w:rPr>
          <w:color w:val="231F20"/>
        </w:rPr>
        <w:t>commandants blancs</w:t>
      </w:r>
      <w:r>
        <w:rPr>
          <w:color w:val="231F20"/>
          <w:spacing w:val="-14"/>
        </w:rPr>
        <w:t> </w:t>
      </w:r>
      <w:r>
        <w:rPr>
          <w:color w:val="231F20"/>
        </w:rPr>
        <w:t>», des travaux forcés... Mon père de substitution m’a expliqué que leurs </w:t>
      </w:r>
      <w:r>
        <w:rPr>
          <w:color w:val="231F20"/>
          <w:spacing w:val="-4"/>
        </w:rPr>
        <w:t>enseignants</w:t>
      </w:r>
      <w:r>
        <w:rPr>
          <w:color w:val="231F20"/>
          <w:spacing w:val="-7"/>
        </w:rPr>
        <w:t> </w:t>
      </w:r>
      <w:r>
        <w:rPr>
          <w:color w:val="231F20"/>
          <w:spacing w:val="-4"/>
        </w:rPr>
        <w:t>Blancs, au</w:t>
      </w:r>
      <w:r>
        <w:rPr>
          <w:color w:val="231F20"/>
          <w:spacing w:val="-6"/>
        </w:rPr>
        <w:t> </w:t>
      </w:r>
      <w:r>
        <w:rPr>
          <w:color w:val="231F20"/>
          <w:spacing w:val="-4"/>
        </w:rPr>
        <w:t>foyer</w:t>
      </w:r>
      <w:r>
        <w:rPr>
          <w:color w:val="231F20"/>
          <w:spacing w:val="-5"/>
        </w:rPr>
        <w:t> </w:t>
      </w:r>
      <w:r>
        <w:rPr>
          <w:color w:val="231F20"/>
          <w:spacing w:val="-4"/>
        </w:rPr>
        <w:t>des</w:t>
      </w:r>
      <w:r>
        <w:rPr>
          <w:color w:val="231F20"/>
          <w:spacing w:val="-5"/>
        </w:rPr>
        <w:t> </w:t>
      </w:r>
      <w:r>
        <w:rPr>
          <w:color w:val="231F20"/>
          <w:spacing w:val="-4"/>
        </w:rPr>
        <w:t>métis,</w:t>
      </w:r>
      <w:r>
        <w:rPr>
          <w:color w:val="231F20"/>
          <w:spacing w:val="-7"/>
        </w:rPr>
        <w:t> </w:t>
      </w:r>
      <w:r>
        <w:rPr>
          <w:color w:val="231F20"/>
          <w:spacing w:val="-4"/>
        </w:rPr>
        <w:t>leur</w:t>
      </w:r>
      <w:r>
        <w:rPr>
          <w:color w:val="231F20"/>
          <w:spacing w:val="-5"/>
        </w:rPr>
        <w:t> </w:t>
      </w:r>
      <w:r>
        <w:rPr>
          <w:color w:val="231F20"/>
          <w:spacing w:val="-4"/>
        </w:rPr>
        <w:t>recommandaient de</w:t>
      </w:r>
      <w:r>
        <w:rPr>
          <w:color w:val="231F20"/>
          <w:spacing w:val="-7"/>
        </w:rPr>
        <w:t> </w:t>
      </w:r>
      <w:r>
        <w:rPr>
          <w:color w:val="231F20"/>
          <w:spacing w:val="-4"/>
        </w:rPr>
        <w:t>ne pas</w:t>
      </w:r>
      <w:r>
        <w:rPr>
          <w:color w:val="231F20"/>
          <w:spacing w:val="-7"/>
        </w:rPr>
        <w:t> </w:t>
      </w:r>
      <w:r>
        <w:rPr>
          <w:color w:val="231F20"/>
          <w:spacing w:val="-4"/>
        </w:rPr>
        <w:t>se </w:t>
      </w:r>
      <w:r>
        <w:rPr>
          <w:color w:val="231F20"/>
        </w:rPr>
        <w:t>mélanger aux Noirs,</w:t>
      </w:r>
      <w:r>
        <w:rPr>
          <w:color w:val="231F20"/>
          <w:spacing w:val="-1"/>
        </w:rPr>
        <w:t> </w:t>
      </w:r>
      <w:r>
        <w:rPr>
          <w:color w:val="231F20"/>
        </w:rPr>
        <w:t>une race inférieure à eux ;</w:t>
      </w:r>
    </w:p>
    <w:p>
      <w:pPr>
        <w:pStyle w:val="BodyText"/>
        <w:spacing w:before="121"/>
        <w:ind w:right="105" w:firstLine="283"/>
      </w:pPr>
      <w:r>
        <w:rPr>
          <w:color w:val="231F20"/>
        </w:rPr>
        <w:t>Adulte, j’ai observé le mode de gouvernance, plutôt, la «</w:t>
      </w:r>
      <w:r>
        <w:rPr>
          <w:color w:val="231F20"/>
          <w:spacing w:val="-7"/>
        </w:rPr>
        <w:t> </w:t>
      </w:r>
      <w:r>
        <w:rPr>
          <w:color w:val="231F20"/>
        </w:rPr>
        <w:t>mal gouvernance</w:t>
      </w:r>
      <w:r>
        <w:rPr>
          <w:color w:val="231F20"/>
          <w:spacing w:val="-15"/>
        </w:rPr>
        <w:t> </w:t>
      </w:r>
      <w:r>
        <w:rPr>
          <w:color w:val="231F20"/>
        </w:rPr>
        <w:t>» dans nos États, l’attitude obséquieuse des chefs d’État africains</w:t>
      </w:r>
      <w:r>
        <w:rPr>
          <w:color w:val="231F20"/>
          <w:spacing w:val="-15"/>
        </w:rPr>
        <w:t> </w:t>
      </w:r>
      <w:r>
        <w:rPr>
          <w:color w:val="231F20"/>
        </w:rPr>
        <w:t>francophones</w:t>
      </w:r>
      <w:r>
        <w:rPr>
          <w:color w:val="231F20"/>
          <w:spacing w:val="-15"/>
        </w:rPr>
        <w:t> </w:t>
      </w:r>
      <w:r>
        <w:rPr>
          <w:color w:val="231F20"/>
        </w:rPr>
        <w:t>face</w:t>
      </w:r>
      <w:r>
        <w:rPr>
          <w:color w:val="231F20"/>
          <w:spacing w:val="-15"/>
        </w:rPr>
        <w:t> </w:t>
      </w:r>
      <w:r>
        <w:rPr>
          <w:color w:val="231F20"/>
        </w:rPr>
        <w:t>à</w:t>
      </w:r>
      <w:r>
        <w:rPr>
          <w:color w:val="231F20"/>
          <w:spacing w:val="-15"/>
        </w:rPr>
        <w:t> </w:t>
      </w:r>
      <w:r>
        <w:rPr>
          <w:color w:val="231F20"/>
        </w:rPr>
        <w:t>«</w:t>
      </w:r>
      <w:r>
        <w:rPr>
          <w:color w:val="231F20"/>
          <w:spacing w:val="-15"/>
        </w:rPr>
        <w:t> </w:t>
      </w:r>
      <w:r>
        <w:rPr>
          <w:color w:val="231F20"/>
        </w:rPr>
        <w:t>leur</w:t>
      </w:r>
      <w:r>
        <w:rPr>
          <w:color w:val="231F20"/>
          <w:spacing w:val="-15"/>
        </w:rPr>
        <w:t> </w:t>
      </w:r>
      <w:r>
        <w:rPr>
          <w:color w:val="231F20"/>
        </w:rPr>
        <w:t>homologue</w:t>
      </w:r>
      <w:r>
        <w:rPr>
          <w:color w:val="231F20"/>
          <w:spacing w:val="-11"/>
        </w:rPr>
        <w:t> </w:t>
      </w:r>
      <w:r>
        <w:rPr>
          <w:color w:val="231F20"/>
        </w:rPr>
        <w:t>Français</w:t>
      </w:r>
      <w:r>
        <w:rPr>
          <w:color w:val="231F20"/>
          <w:spacing w:val="-12"/>
        </w:rPr>
        <w:t> </w:t>
      </w:r>
      <w:r>
        <w:rPr>
          <w:color w:val="231F20"/>
        </w:rPr>
        <w:t>»</w:t>
      </w:r>
      <w:r>
        <w:rPr>
          <w:color w:val="231F20"/>
          <w:spacing w:val="-15"/>
        </w:rPr>
        <w:t> </w:t>
      </w:r>
      <w:r>
        <w:rPr>
          <w:color w:val="231F20"/>
        </w:rPr>
        <w:t>;</w:t>
      </w:r>
      <w:r>
        <w:rPr>
          <w:color w:val="231F20"/>
          <w:spacing w:val="-12"/>
        </w:rPr>
        <w:t> </w:t>
      </w:r>
      <w:r>
        <w:rPr>
          <w:color w:val="231F20"/>
        </w:rPr>
        <w:t>les</w:t>
      </w:r>
      <w:r>
        <w:rPr>
          <w:color w:val="231F20"/>
          <w:spacing w:val="-13"/>
        </w:rPr>
        <w:t> </w:t>
      </w:r>
      <w:r>
        <w:rPr>
          <w:color w:val="231F20"/>
        </w:rPr>
        <w:t>discours irrespectueux des chefs d’État Français en direction de leurs pairs Africains …</w:t>
      </w:r>
    </w:p>
    <w:p>
      <w:pPr>
        <w:pStyle w:val="BodyText"/>
        <w:spacing w:before="120"/>
        <w:ind w:right="109" w:firstLine="283"/>
      </w:pPr>
      <w:r>
        <w:rPr>
          <w:color w:val="231F20"/>
        </w:rPr>
        <w:t>L’Afrique</w:t>
      </w:r>
      <w:r>
        <w:rPr>
          <w:color w:val="231F20"/>
          <w:spacing w:val="-15"/>
        </w:rPr>
        <w:t> </w:t>
      </w:r>
      <w:r>
        <w:rPr>
          <w:color w:val="231F20"/>
        </w:rPr>
        <w:t>noire</w:t>
      </w:r>
      <w:r>
        <w:rPr>
          <w:color w:val="231F20"/>
          <w:spacing w:val="-13"/>
        </w:rPr>
        <w:t> </w:t>
      </w:r>
      <w:r>
        <w:rPr>
          <w:color w:val="231F20"/>
        </w:rPr>
        <w:t>paraît</w:t>
      </w:r>
      <w:r>
        <w:rPr>
          <w:color w:val="231F20"/>
          <w:spacing w:val="-13"/>
        </w:rPr>
        <w:t> </w:t>
      </w:r>
      <w:r>
        <w:rPr>
          <w:color w:val="231F20"/>
        </w:rPr>
        <w:t>rarement</w:t>
      </w:r>
      <w:r>
        <w:rPr>
          <w:color w:val="231F20"/>
          <w:spacing w:val="-13"/>
        </w:rPr>
        <w:t> </w:t>
      </w:r>
      <w:r>
        <w:rPr>
          <w:color w:val="231F20"/>
        </w:rPr>
        <w:t>sous</w:t>
      </w:r>
      <w:r>
        <w:rPr>
          <w:color w:val="231F20"/>
          <w:spacing w:val="-15"/>
        </w:rPr>
        <w:t> </w:t>
      </w:r>
      <w:r>
        <w:rPr>
          <w:color w:val="231F20"/>
        </w:rPr>
        <w:t>ses</w:t>
      </w:r>
      <w:r>
        <w:rPr>
          <w:color w:val="231F20"/>
          <w:spacing w:val="-14"/>
        </w:rPr>
        <w:t> </w:t>
      </w:r>
      <w:r>
        <w:rPr>
          <w:color w:val="231F20"/>
        </w:rPr>
        <w:t>beaux</w:t>
      </w:r>
      <w:r>
        <w:rPr>
          <w:color w:val="231F20"/>
          <w:spacing w:val="-14"/>
        </w:rPr>
        <w:t> </w:t>
      </w:r>
      <w:r>
        <w:rPr>
          <w:color w:val="231F20"/>
        </w:rPr>
        <w:t>jours</w:t>
      </w:r>
      <w:r>
        <w:rPr>
          <w:color w:val="231F20"/>
          <w:spacing w:val="-14"/>
        </w:rPr>
        <w:t> </w:t>
      </w:r>
      <w:r>
        <w:rPr>
          <w:color w:val="231F20"/>
        </w:rPr>
        <w:t>dans</w:t>
      </w:r>
      <w:r>
        <w:rPr>
          <w:color w:val="231F20"/>
          <w:spacing w:val="-15"/>
        </w:rPr>
        <w:t> </w:t>
      </w:r>
      <w:r>
        <w:rPr>
          <w:color w:val="231F20"/>
        </w:rPr>
        <w:t>les</w:t>
      </w:r>
      <w:r>
        <w:rPr>
          <w:color w:val="231F20"/>
          <w:spacing w:val="-15"/>
        </w:rPr>
        <w:t> </w:t>
      </w:r>
      <w:r>
        <w:rPr>
          <w:color w:val="231F20"/>
        </w:rPr>
        <w:t>médias Occidentaux. À qui la faute ?</w:t>
      </w:r>
    </w:p>
    <w:p>
      <w:pPr>
        <w:pStyle w:val="BodyText"/>
        <w:spacing w:before="120"/>
        <w:ind w:right="105" w:firstLine="283"/>
      </w:pPr>
      <w:r>
        <w:rPr>
          <w:color w:val="231F20"/>
        </w:rPr>
        <w:t>Continent des guerres interethniques, de coups d’État militaires, </w:t>
      </w:r>
      <w:r>
        <w:rPr>
          <w:color w:val="231F20"/>
          <w:spacing w:val="-4"/>
        </w:rPr>
        <w:t>d’enfants</w:t>
      </w:r>
      <w:r>
        <w:rPr>
          <w:color w:val="231F20"/>
          <w:spacing w:val="-11"/>
        </w:rPr>
        <w:t> </w:t>
      </w:r>
      <w:r>
        <w:rPr>
          <w:color w:val="231F20"/>
          <w:spacing w:val="-4"/>
        </w:rPr>
        <w:t>qui</w:t>
      </w:r>
      <w:r>
        <w:rPr>
          <w:color w:val="231F20"/>
          <w:spacing w:val="-11"/>
        </w:rPr>
        <w:t> </w:t>
      </w:r>
      <w:r>
        <w:rPr>
          <w:color w:val="231F20"/>
          <w:spacing w:val="-4"/>
        </w:rPr>
        <w:t>meurent</w:t>
      </w:r>
      <w:r>
        <w:rPr>
          <w:color w:val="231F20"/>
          <w:spacing w:val="-11"/>
        </w:rPr>
        <w:t> </w:t>
      </w:r>
      <w:r>
        <w:rPr>
          <w:color w:val="231F20"/>
          <w:spacing w:val="-4"/>
        </w:rPr>
        <w:t>de</w:t>
      </w:r>
      <w:r>
        <w:rPr>
          <w:color w:val="231F20"/>
          <w:spacing w:val="-11"/>
        </w:rPr>
        <w:t> </w:t>
      </w:r>
      <w:r>
        <w:rPr>
          <w:color w:val="231F20"/>
          <w:spacing w:val="-4"/>
        </w:rPr>
        <w:t>faim,</w:t>
      </w:r>
      <w:r>
        <w:rPr>
          <w:color w:val="231F20"/>
          <w:spacing w:val="-11"/>
        </w:rPr>
        <w:t> </w:t>
      </w:r>
      <w:r>
        <w:rPr>
          <w:color w:val="231F20"/>
          <w:spacing w:val="-4"/>
        </w:rPr>
        <w:t>l’Afrique</w:t>
      </w:r>
      <w:r>
        <w:rPr>
          <w:color w:val="231F20"/>
          <w:spacing w:val="-11"/>
        </w:rPr>
        <w:t> </w:t>
      </w:r>
      <w:r>
        <w:rPr>
          <w:color w:val="231F20"/>
          <w:spacing w:val="-4"/>
        </w:rPr>
        <w:t>est</w:t>
      </w:r>
      <w:r>
        <w:rPr>
          <w:color w:val="231F20"/>
          <w:spacing w:val="-11"/>
        </w:rPr>
        <w:t> </w:t>
      </w:r>
      <w:r>
        <w:rPr>
          <w:color w:val="231F20"/>
          <w:spacing w:val="-4"/>
        </w:rPr>
        <w:t>un</w:t>
      </w:r>
      <w:r>
        <w:rPr>
          <w:color w:val="231F20"/>
          <w:spacing w:val="-11"/>
        </w:rPr>
        <w:t> </w:t>
      </w:r>
      <w:r>
        <w:rPr>
          <w:color w:val="231F20"/>
          <w:spacing w:val="-4"/>
        </w:rPr>
        <w:t>lieu</w:t>
      </w:r>
      <w:r>
        <w:rPr>
          <w:color w:val="231F20"/>
          <w:spacing w:val="-11"/>
        </w:rPr>
        <w:t> </w:t>
      </w:r>
      <w:r>
        <w:rPr>
          <w:color w:val="231F20"/>
          <w:spacing w:val="-4"/>
        </w:rPr>
        <w:t>de</w:t>
      </w:r>
      <w:r>
        <w:rPr>
          <w:color w:val="231F20"/>
          <w:spacing w:val="-11"/>
        </w:rPr>
        <w:t> </w:t>
      </w:r>
      <w:r>
        <w:rPr>
          <w:color w:val="231F20"/>
          <w:spacing w:val="-4"/>
        </w:rPr>
        <w:t>maladies</w:t>
      </w:r>
      <w:r>
        <w:rPr>
          <w:color w:val="231F20"/>
          <w:spacing w:val="-11"/>
        </w:rPr>
        <w:t> </w:t>
      </w:r>
      <w:r>
        <w:rPr>
          <w:color w:val="231F20"/>
          <w:spacing w:val="-4"/>
        </w:rPr>
        <w:t>mortelles, notamment</w:t>
      </w:r>
      <w:r>
        <w:rPr>
          <w:color w:val="231F20"/>
          <w:spacing w:val="-11"/>
        </w:rPr>
        <w:t> </w:t>
      </w:r>
      <w:r>
        <w:rPr>
          <w:color w:val="231F20"/>
          <w:spacing w:val="-4"/>
        </w:rPr>
        <w:t>le</w:t>
      </w:r>
      <w:r>
        <w:rPr>
          <w:color w:val="231F20"/>
          <w:spacing w:val="-11"/>
        </w:rPr>
        <w:t> </w:t>
      </w:r>
      <w:r>
        <w:rPr>
          <w:color w:val="231F20"/>
          <w:spacing w:val="-4"/>
        </w:rPr>
        <w:t>sida</w:t>
      </w:r>
      <w:r>
        <w:rPr>
          <w:color w:val="231F20"/>
          <w:spacing w:val="-11"/>
        </w:rPr>
        <w:t> </w:t>
      </w:r>
      <w:r>
        <w:rPr>
          <w:color w:val="231F20"/>
          <w:spacing w:val="-4"/>
        </w:rPr>
        <w:t>et</w:t>
      </w:r>
      <w:r>
        <w:rPr>
          <w:color w:val="231F20"/>
          <w:spacing w:val="-11"/>
        </w:rPr>
        <w:t> </w:t>
      </w:r>
      <w:r>
        <w:rPr>
          <w:color w:val="231F20"/>
          <w:spacing w:val="-4"/>
        </w:rPr>
        <w:t>le</w:t>
      </w:r>
      <w:r>
        <w:rPr>
          <w:color w:val="231F20"/>
          <w:spacing w:val="-10"/>
        </w:rPr>
        <w:t> </w:t>
      </w:r>
      <w:r>
        <w:rPr>
          <w:color w:val="231F20"/>
          <w:spacing w:val="-4"/>
        </w:rPr>
        <w:t>virus</w:t>
      </w:r>
      <w:r>
        <w:rPr>
          <w:color w:val="231F20"/>
          <w:spacing w:val="-7"/>
        </w:rPr>
        <w:t> </w:t>
      </w:r>
      <w:r>
        <w:rPr>
          <w:color w:val="231F20"/>
          <w:spacing w:val="-4"/>
        </w:rPr>
        <w:t>Ebola,</w:t>
      </w:r>
      <w:r>
        <w:rPr>
          <w:color w:val="231F20"/>
          <w:spacing w:val="-11"/>
        </w:rPr>
        <w:t> </w:t>
      </w:r>
      <w:r>
        <w:rPr>
          <w:color w:val="231F20"/>
          <w:spacing w:val="-4"/>
        </w:rPr>
        <w:t>peuplée</w:t>
      </w:r>
      <w:r>
        <w:rPr>
          <w:color w:val="231F20"/>
          <w:spacing w:val="-9"/>
        </w:rPr>
        <w:t> </w:t>
      </w:r>
      <w:r>
        <w:rPr>
          <w:color w:val="231F20"/>
          <w:spacing w:val="-4"/>
        </w:rPr>
        <w:t>de</w:t>
      </w:r>
      <w:r>
        <w:rPr>
          <w:color w:val="231F20"/>
          <w:spacing w:val="-9"/>
        </w:rPr>
        <w:t> </w:t>
      </w:r>
      <w:r>
        <w:rPr>
          <w:color w:val="231F20"/>
          <w:spacing w:val="-4"/>
        </w:rPr>
        <w:t>paresseux,</w:t>
      </w:r>
      <w:r>
        <w:rPr>
          <w:color w:val="231F20"/>
          <w:spacing w:val="-11"/>
        </w:rPr>
        <w:t> </w:t>
      </w:r>
      <w:r>
        <w:rPr>
          <w:color w:val="231F20"/>
          <w:spacing w:val="-4"/>
        </w:rPr>
        <w:t>de</w:t>
      </w:r>
      <w:r>
        <w:rPr>
          <w:color w:val="231F20"/>
          <w:spacing w:val="-10"/>
        </w:rPr>
        <w:t> </w:t>
      </w:r>
      <w:r>
        <w:rPr>
          <w:color w:val="231F20"/>
          <w:spacing w:val="-4"/>
        </w:rPr>
        <w:t>primitifs</w:t>
      </w:r>
      <w:r>
        <w:rPr>
          <w:color w:val="231F20"/>
          <w:spacing w:val="-11"/>
        </w:rPr>
        <w:t> </w:t>
      </w:r>
      <w:r>
        <w:rPr>
          <w:color w:val="231F20"/>
          <w:spacing w:val="-4"/>
        </w:rPr>
        <w:t>qui </w:t>
      </w:r>
      <w:r>
        <w:rPr>
          <w:color w:val="231F20"/>
        </w:rPr>
        <w:t>passent</w:t>
      </w:r>
      <w:r>
        <w:rPr>
          <w:color w:val="231F20"/>
          <w:spacing w:val="-15"/>
        </w:rPr>
        <w:t> </w:t>
      </w:r>
      <w:r>
        <w:rPr>
          <w:color w:val="231F20"/>
        </w:rPr>
        <w:t>tout</w:t>
      </w:r>
      <w:r>
        <w:rPr>
          <w:color w:val="231F20"/>
          <w:spacing w:val="-15"/>
        </w:rPr>
        <w:t> </w:t>
      </w:r>
      <w:r>
        <w:rPr>
          <w:color w:val="231F20"/>
        </w:rPr>
        <w:t>leur</w:t>
      </w:r>
      <w:r>
        <w:rPr>
          <w:color w:val="231F20"/>
          <w:spacing w:val="-15"/>
        </w:rPr>
        <w:t> </w:t>
      </w:r>
      <w:r>
        <w:rPr>
          <w:color w:val="231F20"/>
        </w:rPr>
        <w:t>temps</w:t>
      </w:r>
      <w:r>
        <w:rPr>
          <w:color w:val="231F20"/>
          <w:spacing w:val="-15"/>
        </w:rPr>
        <w:t> </w:t>
      </w:r>
      <w:r>
        <w:rPr>
          <w:color w:val="231F20"/>
        </w:rPr>
        <w:t>à</w:t>
      </w:r>
      <w:r>
        <w:rPr>
          <w:color w:val="231F20"/>
          <w:spacing w:val="-15"/>
        </w:rPr>
        <w:t> </w:t>
      </w:r>
      <w:r>
        <w:rPr>
          <w:color w:val="231F20"/>
        </w:rPr>
        <w:t>faire</w:t>
      </w:r>
      <w:r>
        <w:rPr>
          <w:color w:val="231F20"/>
          <w:spacing w:val="-15"/>
        </w:rPr>
        <w:t> </w:t>
      </w:r>
      <w:r>
        <w:rPr>
          <w:color w:val="231F20"/>
        </w:rPr>
        <w:t>des</w:t>
      </w:r>
      <w:r>
        <w:rPr>
          <w:color w:val="231F20"/>
          <w:spacing w:val="-15"/>
        </w:rPr>
        <w:t> </w:t>
      </w:r>
      <w:r>
        <w:rPr>
          <w:color w:val="231F20"/>
        </w:rPr>
        <w:t>enfants</w:t>
      </w:r>
      <w:r>
        <w:rPr>
          <w:color w:val="231F20"/>
          <w:spacing w:val="-15"/>
        </w:rPr>
        <w:t> </w:t>
      </w:r>
      <w:r>
        <w:rPr>
          <w:color w:val="231F20"/>
        </w:rPr>
        <w:t>:</w:t>
      </w:r>
      <w:r>
        <w:rPr>
          <w:color w:val="231F20"/>
          <w:spacing w:val="-15"/>
        </w:rPr>
        <w:t> </w:t>
      </w:r>
      <w:r>
        <w:rPr>
          <w:color w:val="231F20"/>
        </w:rPr>
        <w:t>voilà</w:t>
      </w:r>
      <w:r>
        <w:rPr>
          <w:color w:val="231F20"/>
          <w:spacing w:val="-15"/>
        </w:rPr>
        <w:t> </w:t>
      </w:r>
      <w:r>
        <w:rPr>
          <w:color w:val="231F20"/>
        </w:rPr>
        <w:t>l’image</w:t>
      </w:r>
      <w:r>
        <w:rPr>
          <w:color w:val="231F20"/>
          <w:spacing w:val="-15"/>
        </w:rPr>
        <w:t> </w:t>
      </w:r>
      <w:r>
        <w:rPr>
          <w:color w:val="231F20"/>
        </w:rPr>
        <w:t>de</w:t>
      </w:r>
      <w:r>
        <w:rPr>
          <w:color w:val="231F20"/>
          <w:spacing w:val="-15"/>
        </w:rPr>
        <w:t> </w:t>
      </w:r>
      <w:r>
        <w:rPr>
          <w:color w:val="231F20"/>
        </w:rPr>
        <w:t>l’Afrique</w:t>
      </w:r>
      <w:r>
        <w:rPr>
          <w:color w:val="231F20"/>
          <w:spacing w:val="-15"/>
        </w:rPr>
        <w:t> </w:t>
      </w:r>
      <w:r>
        <w:rPr>
          <w:color w:val="231F20"/>
        </w:rPr>
        <w:t>en Occident via les écrans de télévision.</w:t>
      </w:r>
    </w:p>
    <w:p>
      <w:pPr>
        <w:pStyle w:val="BodyText"/>
        <w:spacing w:before="120"/>
        <w:ind w:right="106" w:firstLine="283"/>
      </w:pPr>
      <w:r>
        <w:rPr>
          <w:color w:val="231F20"/>
        </w:rPr>
        <w:t>On</w:t>
      </w:r>
      <w:r>
        <w:rPr>
          <w:color w:val="231F20"/>
          <w:spacing w:val="-8"/>
        </w:rPr>
        <w:t> </w:t>
      </w:r>
      <w:r>
        <w:rPr>
          <w:color w:val="231F20"/>
        </w:rPr>
        <w:t>ne</w:t>
      </w:r>
      <w:r>
        <w:rPr>
          <w:color w:val="231F20"/>
          <w:spacing w:val="-10"/>
        </w:rPr>
        <w:t> </w:t>
      </w:r>
      <w:r>
        <w:rPr>
          <w:color w:val="231F20"/>
        </w:rPr>
        <w:t>compte</w:t>
      </w:r>
      <w:r>
        <w:rPr>
          <w:color w:val="231F20"/>
          <w:spacing w:val="-10"/>
        </w:rPr>
        <w:t> </w:t>
      </w:r>
      <w:r>
        <w:rPr>
          <w:color w:val="231F20"/>
        </w:rPr>
        <w:t>plus</w:t>
      </w:r>
      <w:r>
        <w:rPr>
          <w:color w:val="231F20"/>
          <w:spacing w:val="-10"/>
        </w:rPr>
        <w:t> </w:t>
      </w:r>
      <w:r>
        <w:rPr>
          <w:color w:val="231F20"/>
        </w:rPr>
        <w:t>les</w:t>
      </w:r>
      <w:r>
        <w:rPr>
          <w:color w:val="231F20"/>
          <w:spacing w:val="-10"/>
        </w:rPr>
        <w:t> </w:t>
      </w:r>
      <w:r>
        <w:rPr>
          <w:color w:val="231F20"/>
        </w:rPr>
        <w:t>écrits</w:t>
      </w:r>
      <w:r>
        <w:rPr>
          <w:color w:val="231F20"/>
          <w:spacing w:val="-10"/>
        </w:rPr>
        <w:t> </w:t>
      </w:r>
      <w:r>
        <w:rPr>
          <w:color w:val="231F20"/>
        </w:rPr>
        <w:t>sur</w:t>
      </w:r>
      <w:r>
        <w:rPr>
          <w:color w:val="231F20"/>
          <w:spacing w:val="-13"/>
        </w:rPr>
        <w:t> </w:t>
      </w:r>
      <w:r>
        <w:rPr>
          <w:color w:val="231F20"/>
        </w:rPr>
        <w:t>le</w:t>
      </w:r>
      <w:r>
        <w:rPr>
          <w:color w:val="231F20"/>
          <w:spacing w:val="-9"/>
        </w:rPr>
        <w:t> </w:t>
      </w:r>
      <w:r>
        <w:rPr>
          <w:color w:val="231F20"/>
        </w:rPr>
        <w:t>sous-développement</w:t>
      </w:r>
      <w:r>
        <w:rPr>
          <w:color w:val="231F20"/>
          <w:spacing w:val="-10"/>
        </w:rPr>
        <w:t> </w:t>
      </w:r>
      <w:r>
        <w:rPr>
          <w:color w:val="231F20"/>
        </w:rPr>
        <w:t>du</w:t>
      </w:r>
      <w:r>
        <w:rPr>
          <w:color w:val="231F20"/>
          <w:spacing w:val="-10"/>
        </w:rPr>
        <w:t> </w:t>
      </w:r>
      <w:r>
        <w:rPr>
          <w:color w:val="231F20"/>
        </w:rPr>
        <w:t>continent </w:t>
      </w:r>
      <w:r>
        <w:rPr>
          <w:color w:val="231F20"/>
          <w:spacing w:val="-2"/>
        </w:rPr>
        <w:t>noir.</w:t>
      </w:r>
    </w:p>
    <w:p>
      <w:pPr>
        <w:pStyle w:val="BodyText"/>
        <w:spacing w:before="120"/>
        <w:ind w:left="395"/>
      </w:pPr>
      <w:r>
        <w:rPr>
          <w:color w:val="231F20"/>
          <w:spacing w:val="-2"/>
        </w:rPr>
        <w:t>Des</w:t>
      </w:r>
      <w:r>
        <w:rPr>
          <w:color w:val="231F20"/>
          <w:spacing w:val="-14"/>
        </w:rPr>
        <w:t> </w:t>
      </w:r>
      <w:r>
        <w:rPr>
          <w:color w:val="231F20"/>
          <w:spacing w:val="-2"/>
        </w:rPr>
        <w:t>«</w:t>
      </w:r>
      <w:r>
        <w:rPr>
          <w:color w:val="231F20"/>
          <w:spacing w:val="-9"/>
        </w:rPr>
        <w:t> </w:t>
      </w:r>
      <w:r>
        <w:rPr>
          <w:color w:val="231F20"/>
          <w:spacing w:val="-2"/>
        </w:rPr>
        <w:t>experts</w:t>
      </w:r>
      <w:r>
        <w:rPr>
          <w:color w:val="231F20"/>
          <w:spacing w:val="-11"/>
        </w:rPr>
        <w:t> </w:t>
      </w:r>
      <w:r>
        <w:rPr>
          <w:color w:val="231F20"/>
          <w:spacing w:val="-2"/>
        </w:rPr>
        <w:t>»</w:t>
      </w:r>
      <w:r>
        <w:rPr>
          <w:color w:val="231F20"/>
          <w:spacing w:val="-12"/>
        </w:rPr>
        <w:t> </w:t>
      </w:r>
      <w:r>
        <w:rPr>
          <w:color w:val="231F20"/>
          <w:spacing w:val="-2"/>
        </w:rPr>
        <w:t>de</w:t>
      </w:r>
      <w:r>
        <w:rPr>
          <w:color w:val="231F20"/>
          <w:spacing w:val="-13"/>
        </w:rPr>
        <w:t> </w:t>
      </w:r>
      <w:r>
        <w:rPr>
          <w:color w:val="231F20"/>
          <w:spacing w:val="-2"/>
        </w:rPr>
        <w:t>l’Afrique,</w:t>
      </w:r>
      <w:r>
        <w:rPr>
          <w:color w:val="231F20"/>
          <w:spacing w:val="-12"/>
        </w:rPr>
        <w:t> </w:t>
      </w:r>
      <w:r>
        <w:rPr>
          <w:color w:val="231F20"/>
          <w:spacing w:val="-2"/>
        </w:rPr>
        <w:t>des</w:t>
      </w:r>
      <w:r>
        <w:rPr>
          <w:color w:val="231F20"/>
          <w:spacing w:val="-12"/>
        </w:rPr>
        <w:t> </w:t>
      </w:r>
      <w:r>
        <w:rPr>
          <w:color w:val="231F20"/>
          <w:spacing w:val="-2"/>
        </w:rPr>
        <w:t>éminents</w:t>
      </w:r>
      <w:r>
        <w:rPr>
          <w:color w:val="231F20"/>
          <w:spacing w:val="-11"/>
        </w:rPr>
        <w:t> </w:t>
      </w:r>
      <w:r>
        <w:rPr>
          <w:color w:val="231F20"/>
          <w:spacing w:val="-2"/>
        </w:rPr>
        <w:t>économistes</w:t>
      </w:r>
      <w:r>
        <w:rPr>
          <w:color w:val="231F20"/>
          <w:spacing w:val="-12"/>
        </w:rPr>
        <w:t> </w:t>
      </w:r>
      <w:r>
        <w:rPr>
          <w:color w:val="231F20"/>
          <w:spacing w:val="-2"/>
        </w:rPr>
        <w:t>et</w:t>
      </w:r>
      <w:r>
        <w:rPr>
          <w:color w:val="231F20"/>
          <w:spacing w:val="-10"/>
        </w:rPr>
        <w:t> </w:t>
      </w:r>
      <w:r>
        <w:rPr>
          <w:color w:val="231F20"/>
          <w:spacing w:val="-2"/>
        </w:rPr>
        <w:t>journalistes</w:t>
      </w:r>
    </w:p>
    <w:p>
      <w:pPr>
        <w:pStyle w:val="BodyText"/>
      </w:pPr>
      <w:r>
        <w:rPr>
          <w:color w:val="231F20"/>
          <w:spacing w:val="-2"/>
        </w:rPr>
        <w:t>y</w:t>
      </w:r>
      <w:r>
        <w:rPr>
          <w:color w:val="231F20"/>
          <w:spacing w:val="-11"/>
        </w:rPr>
        <w:t> </w:t>
      </w:r>
      <w:r>
        <w:rPr>
          <w:color w:val="231F20"/>
          <w:spacing w:val="-2"/>
        </w:rPr>
        <w:t>consacrent</w:t>
      </w:r>
      <w:r>
        <w:rPr>
          <w:color w:val="231F20"/>
          <w:spacing w:val="-10"/>
        </w:rPr>
        <w:t> </w:t>
      </w:r>
      <w:r>
        <w:rPr>
          <w:color w:val="231F20"/>
          <w:spacing w:val="-2"/>
        </w:rPr>
        <w:t>à</w:t>
      </w:r>
      <w:r>
        <w:rPr>
          <w:color w:val="231F20"/>
          <w:spacing w:val="-9"/>
        </w:rPr>
        <w:t> </w:t>
      </w:r>
      <w:r>
        <w:rPr>
          <w:color w:val="231F20"/>
          <w:spacing w:val="-2"/>
        </w:rPr>
        <w:t>longueur</w:t>
      </w:r>
      <w:r>
        <w:rPr>
          <w:color w:val="231F20"/>
          <w:spacing w:val="-11"/>
        </w:rPr>
        <w:t> </w:t>
      </w:r>
      <w:r>
        <w:rPr>
          <w:color w:val="231F20"/>
          <w:spacing w:val="-2"/>
        </w:rPr>
        <w:t>d’années</w:t>
      </w:r>
      <w:r>
        <w:rPr>
          <w:color w:val="231F20"/>
          <w:spacing w:val="-9"/>
        </w:rPr>
        <w:t> </w:t>
      </w:r>
      <w:r>
        <w:rPr>
          <w:color w:val="231F20"/>
          <w:spacing w:val="-2"/>
        </w:rPr>
        <w:t>le</w:t>
      </w:r>
      <w:r>
        <w:rPr>
          <w:color w:val="231F20"/>
          <w:spacing w:val="-8"/>
        </w:rPr>
        <w:t> </w:t>
      </w:r>
      <w:r>
        <w:rPr>
          <w:color w:val="231F20"/>
          <w:spacing w:val="-2"/>
        </w:rPr>
        <w:t>fruit</w:t>
      </w:r>
      <w:r>
        <w:rPr>
          <w:color w:val="231F20"/>
          <w:spacing w:val="-11"/>
        </w:rPr>
        <w:t> </w:t>
      </w:r>
      <w:r>
        <w:rPr>
          <w:color w:val="231F20"/>
          <w:spacing w:val="-2"/>
        </w:rPr>
        <w:t>de</w:t>
      </w:r>
      <w:r>
        <w:rPr>
          <w:color w:val="231F20"/>
          <w:spacing w:val="-9"/>
        </w:rPr>
        <w:t> </w:t>
      </w:r>
      <w:r>
        <w:rPr>
          <w:color w:val="231F20"/>
          <w:spacing w:val="-2"/>
        </w:rPr>
        <w:t>leurs</w:t>
      </w:r>
      <w:r>
        <w:rPr>
          <w:color w:val="231F20"/>
          <w:spacing w:val="-7"/>
        </w:rPr>
        <w:t> </w:t>
      </w:r>
      <w:r>
        <w:rPr>
          <w:color w:val="231F20"/>
          <w:spacing w:val="-2"/>
        </w:rPr>
        <w:t>réflexions.</w:t>
      </w:r>
    </w:p>
    <w:p>
      <w:pPr>
        <w:pStyle w:val="BodyText"/>
        <w:spacing w:before="120"/>
        <w:ind w:right="106" w:firstLine="283"/>
      </w:pPr>
      <w:r>
        <w:rPr>
          <w:color w:val="231F20"/>
          <w:spacing w:val="-4"/>
        </w:rPr>
        <w:t>Nous</w:t>
      </w:r>
      <w:r>
        <w:rPr>
          <w:color w:val="231F20"/>
          <w:spacing w:val="-11"/>
        </w:rPr>
        <w:t> </w:t>
      </w:r>
      <w:r>
        <w:rPr>
          <w:color w:val="231F20"/>
          <w:spacing w:val="-4"/>
        </w:rPr>
        <w:t>sommes</w:t>
      </w:r>
      <w:r>
        <w:rPr>
          <w:color w:val="231F20"/>
          <w:spacing w:val="-11"/>
        </w:rPr>
        <w:t> </w:t>
      </w:r>
      <w:r>
        <w:rPr>
          <w:color w:val="231F20"/>
          <w:spacing w:val="-4"/>
        </w:rPr>
        <w:t>en</w:t>
      </w:r>
      <w:r>
        <w:rPr>
          <w:color w:val="231F20"/>
          <w:spacing w:val="-11"/>
        </w:rPr>
        <w:t> </w:t>
      </w:r>
      <w:r>
        <w:rPr>
          <w:color w:val="231F20"/>
          <w:spacing w:val="-4"/>
        </w:rPr>
        <w:t>2021.</w:t>
      </w:r>
      <w:r>
        <w:rPr>
          <w:color w:val="231F20"/>
          <w:spacing w:val="-11"/>
        </w:rPr>
        <w:t> </w:t>
      </w:r>
      <w:r>
        <w:rPr>
          <w:color w:val="231F20"/>
          <w:spacing w:val="-4"/>
        </w:rPr>
        <w:t>Le</w:t>
      </w:r>
      <w:r>
        <w:rPr>
          <w:color w:val="231F20"/>
          <w:spacing w:val="-11"/>
        </w:rPr>
        <w:t> </w:t>
      </w:r>
      <w:r>
        <w:rPr>
          <w:color w:val="231F20"/>
          <w:spacing w:val="-4"/>
        </w:rPr>
        <w:t>continent</w:t>
      </w:r>
      <w:r>
        <w:rPr>
          <w:color w:val="231F20"/>
          <w:spacing w:val="-11"/>
        </w:rPr>
        <w:t> </w:t>
      </w:r>
      <w:r>
        <w:rPr>
          <w:color w:val="231F20"/>
          <w:spacing w:val="-4"/>
        </w:rPr>
        <w:t>noir</w:t>
      </w:r>
      <w:r>
        <w:rPr>
          <w:color w:val="231F20"/>
          <w:spacing w:val="-11"/>
        </w:rPr>
        <w:t> </w:t>
      </w:r>
      <w:r>
        <w:rPr>
          <w:color w:val="231F20"/>
          <w:spacing w:val="-4"/>
        </w:rPr>
        <w:t>se</w:t>
      </w:r>
      <w:r>
        <w:rPr>
          <w:color w:val="231F20"/>
          <w:spacing w:val="-11"/>
        </w:rPr>
        <w:t> </w:t>
      </w:r>
      <w:r>
        <w:rPr>
          <w:color w:val="231F20"/>
          <w:spacing w:val="-4"/>
        </w:rPr>
        <w:t>présente</w:t>
      </w:r>
      <w:r>
        <w:rPr>
          <w:color w:val="231F20"/>
          <w:spacing w:val="-11"/>
        </w:rPr>
        <w:t> </w:t>
      </w:r>
      <w:r>
        <w:rPr>
          <w:color w:val="231F20"/>
          <w:spacing w:val="-4"/>
        </w:rPr>
        <w:t>toujours</w:t>
      </w:r>
      <w:r>
        <w:rPr>
          <w:color w:val="231F20"/>
          <w:spacing w:val="-11"/>
        </w:rPr>
        <w:t> </w:t>
      </w:r>
      <w:r>
        <w:rPr>
          <w:color w:val="231F20"/>
          <w:spacing w:val="-4"/>
        </w:rPr>
        <w:t>aux</w:t>
      </w:r>
      <w:r>
        <w:rPr>
          <w:color w:val="231F20"/>
          <w:spacing w:val="-11"/>
        </w:rPr>
        <w:t> </w:t>
      </w:r>
      <w:r>
        <w:rPr>
          <w:color w:val="231F20"/>
          <w:spacing w:val="-4"/>
        </w:rPr>
        <w:t>yeux </w:t>
      </w:r>
      <w:r>
        <w:rPr>
          <w:color w:val="231F20"/>
        </w:rPr>
        <w:t>du</w:t>
      </w:r>
      <w:r>
        <w:rPr>
          <w:color w:val="231F20"/>
          <w:spacing w:val="-3"/>
        </w:rPr>
        <w:t> </w:t>
      </w:r>
      <w:r>
        <w:rPr>
          <w:color w:val="231F20"/>
        </w:rPr>
        <w:t>Monde,</w:t>
      </w:r>
      <w:r>
        <w:rPr>
          <w:color w:val="231F20"/>
          <w:spacing w:val="-3"/>
        </w:rPr>
        <w:t> </w:t>
      </w:r>
      <w:r>
        <w:rPr>
          <w:color w:val="231F20"/>
        </w:rPr>
        <w:t>comme</w:t>
      </w:r>
      <w:r>
        <w:rPr>
          <w:color w:val="231F20"/>
          <w:spacing w:val="-6"/>
        </w:rPr>
        <w:t> </w:t>
      </w:r>
      <w:r>
        <w:rPr>
          <w:color w:val="231F20"/>
        </w:rPr>
        <w:t>un</w:t>
      </w:r>
      <w:r>
        <w:rPr>
          <w:color w:val="231F20"/>
          <w:spacing w:val="-3"/>
        </w:rPr>
        <w:t> </w:t>
      </w:r>
      <w:r>
        <w:rPr>
          <w:color w:val="231F20"/>
        </w:rPr>
        <w:t>continent</w:t>
      </w:r>
      <w:r>
        <w:rPr>
          <w:color w:val="231F20"/>
          <w:spacing w:val="-3"/>
        </w:rPr>
        <w:t> </w:t>
      </w:r>
      <w:r>
        <w:rPr>
          <w:color w:val="231F20"/>
        </w:rPr>
        <w:t>qu’il</w:t>
      </w:r>
      <w:r>
        <w:rPr>
          <w:color w:val="231F20"/>
          <w:spacing w:val="-5"/>
        </w:rPr>
        <w:t> </w:t>
      </w:r>
      <w:r>
        <w:rPr>
          <w:color w:val="231F20"/>
        </w:rPr>
        <w:t>faut</w:t>
      </w:r>
      <w:r>
        <w:rPr>
          <w:color w:val="231F20"/>
          <w:spacing w:val="-4"/>
        </w:rPr>
        <w:t> </w:t>
      </w:r>
      <w:r>
        <w:rPr>
          <w:color w:val="231F20"/>
        </w:rPr>
        <w:t>aider</w:t>
      </w:r>
      <w:r>
        <w:rPr>
          <w:color w:val="231F20"/>
          <w:spacing w:val="-4"/>
        </w:rPr>
        <w:t> </w:t>
      </w:r>
      <w:r>
        <w:rPr>
          <w:color w:val="231F20"/>
        </w:rPr>
        <w:t>à.…</w:t>
      </w:r>
      <w:r>
        <w:rPr>
          <w:color w:val="231F20"/>
          <w:spacing w:val="-7"/>
        </w:rPr>
        <w:t> </w:t>
      </w:r>
      <w:r>
        <w:rPr>
          <w:color w:val="231F20"/>
        </w:rPr>
        <w:t>survivre.</w:t>
      </w:r>
    </w:p>
    <w:p>
      <w:pPr>
        <w:pStyle w:val="BodyText"/>
        <w:spacing w:before="121"/>
        <w:ind w:right="106" w:firstLine="283"/>
      </w:pPr>
      <w:r>
        <w:rPr>
          <w:color w:val="231F20"/>
        </w:rPr>
        <w:t>Ce continent est pourtant doté de toutes les ressources qui font la </w:t>
      </w:r>
      <w:r>
        <w:rPr>
          <w:color w:val="231F20"/>
          <w:spacing w:val="-2"/>
        </w:rPr>
        <w:t>richesse</w:t>
      </w:r>
      <w:r>
        <w:rPr>
          <w:color w:val="231F20"/>
          <w:spacing w:val="-13"/>
        </w:rPr>
        <w:t> </w:t>
      </w:r>
      <w:r>
        <w:rPr>
          <w:color w:val="231F20"/>
          <w:spacing w:val="-2"/>
        </w:rPr>
        <w:t>des</w:t>
      </w:r>
      <w:r>
        <w:rPr>
          <w:color w:val="231F20"/>
          <w:spacing w:val="-13"/>
        </w:rPr>
        <w:t> </w:t>
      </w:r>
      <w:r>
        <w:rPr>
          <w:color w:val="231F20"/>
          <w:spacing w:val="-2"/>
        </w:rPr>
        <w:t>peuples</w:t>
      </w:r>
      <w:r>
        <w:rPr>
          <w:color w:val="231F20"/>
          <w:spacing w:val="-13"/>
        </w:rPr>
        <w:t> </w:t>
      </w:r>
      <w:r>
        <w:rPr>
          <w:color w:val="231F20"/>
          <w:spacing w:val="-2"/>
        </w:rPr>
        <w:t>et</w:t>
      </w:r>
      <w:r>
        <w:rPr>
          <w:color w:val="231F20"/>
          <w:spacing w:val="-13"/>
        </w:rPr>
        <w:t> </w:t>
      </w:r>
      <w:r>
        <w:rPr>
          <w:color w:val="231F20"/>
          <w:spacing w:val="-2"/>
        </w:rPr>
        <w:t>des</w:t>
      </w:r>
      <w:r>
        <w:rPr>
          <w:color w:val="231F20"/>
          <w:spacing w:val="-12"/>
        </w:rPr>
        <w:t> </w:t>
      </w:r>
      <w:r>
        <w:rPr>
          <w:color w:val="231F20"/>
          <w:spacing w:val="-2"/>
        </w:rPr>
        <w:t>nations</w:t>
      </w:r>
      <w:r>
        <w:rPr>
          <w:color w:val="231F20"/>
          <w:spacing w:val="-11"/>
        </w:rPr>
        <w:t> </w:t>
      </w:r>
      <w:r>
        <w:rPr>
          <w:color w:val="231F20"/>
          <w:spacing w:val="-2"/>
        </w:rPr>
        <w:t>:</w:t>
      </w:r>
      <w:r>
        <w:rPr>
          <w:color w:val="231F20"/>
          <w:spacing w:val="-12"/>
        </w:rPr>
        <w:t> </w:t>
      </w:r>
      <w:r>
        <w:rPr>
          <w:color w:val="231F20"/>
          <w:spacing w:val="-2"/>
        </w:rPr>
        <w:t>une</w:t>
      </w:r>
      <w:r>
        <w:rPr>
          <w:color w:val="231F20"/>
          <w:spacing w:val="-13"/>
        </w:rPr>
        <w:t> </w:t>
      </w:r>
      <w:r>
        <w:rPr>
          <w:color w:val="231F20"/>
          <w:spacing w:val="-2"/>
        </w:rPr>
        <w:t>population</w:t>
      </w:r>
      <w:r>
        <w:rPr>
          <w:color w:val="231F20"/>
          <w:spacing w:val="-13"/>
        </w:rPr>
        <w:t> </w:t>
      </w:r>
      <w:r>
        <w:rPr>
          <w:color w:val="231F20"/>
          <w:spacing w:val="-2"/>
        </w:rPr>
        <w:t>jeune,</w:t>
      </w:r>
      <w:r>
        <w:rPr>
          <w:color w:val="231F20"/>
          <w:spacing w:val="-12"/>
        </w:rPr>
        <w:t> </w:t>
      </w:r>
      <w:r>
        <w:rPr>
          <w:color w:val="231F20"/>
          <w:spacing w:val="-2"/>
        </w:rPr>
        <w:t>60%</w:t>
      </w:r>
      <w:r>
        <w:rPr>
          <w:color w:val="231F20"/>
          <w:spacing w:val="-13"/>
        </w:rPr>
        <w:t> </w:t>
      </w:r>
      <w:r>
        <w:rPr>
          <w:color w:val="231F20"/>
          <w:spacing w:val="-2"/>
        </w:rPr>
        <w:t>des</w:t>
      </w:r>
      <w:r>
        <w:rPr>
          <w:color w:val="231F20"/>
          <w:spacing w:val="-12"/>
        </w:rPr>
        <w:t> </w:t>
      </w:r>
      <w:r>
        <w:rPr>
          <w:color w:val="231F20"/>
          <w:spacing w:val="-2"/>
        </w:rPr>
        <w:t>terres </w:t>
      </w:r>
      <w:r>
        <w:rPr>
          <w:color w:val="231F20"/>
        </w:rPr>
        <w:t>fertiles de la planète, un sous-sol plus que généreux avec dans ses entrailles</w:t>
      </w:r>
      <w:r>
        <w:rPr>
          <w:color w:val="231F20"/>
          <w:spacing w:val="-13"/>
        </w:rPr>
        <w:t> </w:t>
      </w:r>
      <w:r>
        <w:rPr>
          <w:color w:val="231F20"/>
        </w:rPr>
        <w:t>de</w:t>
      </w:r>
      <w:r>
        <w:rPr>
          <w:color w:val="231F20"/>
          <w:spacing w:val="-13"/>
        </w:rPr>
        <w:t> </w:t>
      </w:r>
      <w:r>
        <w:rPr>
          <w:color w:val="231F20"/>
        </w:rPr>
        <w:t>l’or,</w:t>
      </w:r>
      <w:r>
        <w:rPr>
          <w:color w:val="231F20"/>
          <w:spacing w:val="-13"/>
        </w:rPr>
        <w:t> </w:t>
      </w:r>
      <w:r>
        <w:rPr>
          <w:color w:val="231F20"/>
        </w:rPr>
        <w:t>du</w:t>
      </w:r>
      <w:r>
        <w:rPr>
          <w:color w:val="231F20"/>
          <w:spacing w:val="-13"/>
        </w:rPr>
        <w:t> </w:t>
      </w:r>
      <w:r>
        <w:rPr>
          <w:color w:val="231F20"/>
        </w:rPr>
        <w:t>diamant,</w:t>
      </w:r>
      <w:r>
        <w:rPr>
          <w:color w:val="231F20"/>
          <w:spacing w:val="-13"/>
        </w:rPr>
        <w:t> </w:t>
      </w:r>
      <w:r>
        <w:rPr>
          <w:color w:val="231F20"/>
        </w:rPr>
        <w:t>du</w:t>
      </w:r>
      <w:r>
        <w:rPr>
          <w:color w:val="231F20"/>
          <w:spacing w:val="-13"/>
        </w:rPr>
        <w:t> </w:t>
      </w:r>
      <w:r>
        <w:rPr>
          <w:color w:val="231F20"/>
        </w:rPr>
        <w:t>gaz,</w:t>
      </w:r>
      <w:r>
        <w:rPr>
          <w:color w:val="231F20"/>
          <w:spacing w:val="-15"/>
        </w:rPr>
        <w:t> </w:t>
      </w:r>
      <w:r>
        <w:rPr>
          <w:color w:val="231F20"/>
        </w:rPr>
        <w:t>du</w:t>
      </w:r>
      <w:r>
        <w:rPr>
          <w:color w:val="231F20"/>
          <w:spacing w:val="-13"/>
        </w:rPr>
        <w:t> </w:t>
      </w:r>
      <w:r>
        <w:rPr>
          <w:color w:val="231F20"/>
        </w:rPr>
        <w:t>pétrole,</w:t>
      </w:r>
      <w:r>
        <w:rPr>
          <w:color w:val="231F20"/>
          <w:spacing w:val="-13"/>
        </w:rPr>
        <w:t> </w:t>
      </w:r>
      <w:r>
        <w:rPr>
          <w:color w:val="231F20"/>
        </w:rPr>
        <w:t>du</w:t>
      </w:r>
      <w:r>
        <w:rPr>
          <w:color w:val="231F20"/>
          <w:spacing w:val="-15"/>
        </w:rPr>
        <w:t> </w:t>
      </w:r>
      <w:r>
        <w:rPr>
          <w:color w:val="231F20"/>
        </w:rPr>
        <w:t>charbon,</w:t>
      </w:r>
      <w:r>
        <w:rPr>
          <w:color w:val="231F20"/>
          <w:spacing w:val="-13"/>
        </w:rPr>
        <w:t> </w:t>
      </w:r>
      <w:r>
        <w:rPr>
          <w:color w:val="231F20"/>
        </w:rPr>
        <w:t>du</w:t>
      </w:r>
      <w:r>
        <w:rPr>
          <w:color w:val="231F20"/>
          <w:spacing w:val="-13"/>
        </w:rPr>
        <w:t> </w:t>
      </w:r>
      <w:r>
        <w:rPr>
          <w:color w:val="231F20"/>
        </w:rPr>
        <w:t>platine, </w:t>
      </w:r>
      <w:r>
        <w:rPr>
          <w:color w:val="231F20"/>
          <w:spacing w:val="-4"/>
        </w:rPr>
        <w:t>du</w:t>
      </w:r>
      <w:r>
        <w:rPr>
          <w:color w:val="231F20"/>
          <w:spacing w:val="-11"/>
        </w:rPr>
        <w:t> </w:t>
      </w:r>
      <w:r>
        <w:rPr>
          <w:color w:val="231F20"/>
          <w:spacing w:val="-4"/>
        </w:rPr>
        <w:t>chrome,</w:t>
      </w:r>
      <w:r>
        <w:rPr>
          <w:color w:val="231F20"/>
          <w:spacing w:val="-11"/>
        </w:rPr>
        <w:t> </w:t>
      </w:r>
      <w:r>
        <w:rPr>
          <w:color w:val="231F20"/>
          <w:spacing w:val="-4"/>
        </w:rPr>
        <w:t>du</w:t>
      </w:r>
      <w:r>
        <w:rPr>
          <w:color w:val="231F20"/>
          <w:spacing w:val="-11"/>
        </w:rPr>
        <w:t> </w:t>
      </w:r>
      <w:r>
        <w:rPr>
          <w:color w:val="231F20"/>
          <w:spacing w:val="-4"/>
        </w:rPr>
        <w:t>fer,</w:t>
      </w:r>
      <w:r>
        <w:rPr>
          <w:color w:val="231F20"/>
          <w:spacing w:val="-11"/>
        </w:rPr>
        <w:t> </w:t>
      </w:r>
      <w:r>
        <w:rPr>
          <w:color w:val="231F20"/>
          <w:spacing w:val="-4"/>
        </w:rPr>
        <w:t>du</w:t>
      </w:r>
      <w:r>
        <w:rPr>
          <w:color w:val="231F20"/>
          <w:spacing w:val="-11"/>
        </w:rPr>
        <w:t> </w:t>
      </w:r>
      <w:r>
        <w:rPr>
          <w:color w:val="231F20"/>
          <w:spacing w:val="-4"/>
        </w:rPr>
        <w:t>cuivre,</w:t>
      </w:r>
      <w:r>
        <w:rPr>
          <w:color w:val="231F20"/>
          <w:spacing w:val="-11"/>
        </w:rPr>
        <w:t> </w:t>
      </w:r>
      <w:r>
        <w:rPr>
          <w:color w:val="231F20"/>
          <w:spacing w:val="-4"/>
        </w:rPr>
        <w:t>du</w:t>
      </w:r>
      <w:r>
        <w:rPr>
          <w:color w:val="231F20"/>
          <w:spacing w:val="-11"/>
        </w:rPr>
        <w:t> </w:t>
      </w:r>
      <w:r>
        <w:rPr>
          <w:color w:val="231F20"/>
          <w:spacing w:val="-4"/>
        </w:rPr>
        <w:t>nickel,</w:t>
      </w:r>
      <w:r>
        <w:rPr>
          <w:color w:val="231F20"/>
          <w:spacing w:val="-11"/>
        </w:rPr>
        <w:t> </w:t>
      </w:r>
      <w:r>
        <w:rPr>
          <w:color w:val="231F20"/>
          <w:spacing w:val="-4"/>
        </w:rPr>
        <w:t>de</w:t>
      </w:r>
      <w:r>
        <w:rPr>
          <w:color w:val="231F20"/>
          <w:spacing w:val="-11"/>
        </w:rPr>
        <w:t> </w:t>
      </w:r>
      <w:r>
        <w:rPr>
          <w:color w:val="231F20"/>
          <w:spacing w:val="-4"/>
        </w:rPr>
        <w:t>l’uranium,</w:t>
      </w:r>
      <w:r>
        <w:rPr>
          <w:color w:val="231F20"/>
          <w:spacing w:val="-11"/>
        </w:rPr>
        <w:t> </w:t>
      </w:r>
      <w:r>
        <w:rPr>
          <w:color w:val="231F20"/>
          <w:spacing w:val="-4"/>
        </w:rPr>
        <w:t>de</w:t>
      </w:r>
      <w:r>
        <w:rPr>
          <w:color w:val="231F20"/>
          <w:spacing w:val="-11"/>
        </w:rPr>
        <w:t> </w:t>
      </w:r>
      <w:r>
        <w:rPr>
          <w:color w:val="231F20"/>
          <w:spacing w:val="-4"/>
        </w:rPr>
        <w:t>l’étain,</w:t>
      </w:r>
      <w:r>
        <w:rPr>
          <w:color w:val="231F20"/>
          <w:spacing w:val="-11"/>
        </w:rPr>
        <w:t> </w:t>
      </w:r>
      <w:r>
        <w:rPr>
          <w:color w:val="231F20"/>
          <w:spacing w:val="-4"/>
        </w:rPr>
        <w:t>du</w:t>
      </w:r>
      <w:r>
        <w:rPr>
          <w:color w:val="231F20"/>
          <w:spacing w:val="-11"/>
        </w:rPr>
        <w:t> </w:t>
      </w:r>
      <w:r>
        <w:rPr>
          <w:color w:val="231F20"/>
          <w:spacing w:val="-4"/>
        </w:rPr>
        <w:t>cobalt, </w:t>
      </w:r>
      <w:r>
        <w:rPr>
          <w:color w:val="231F20"/>
        </w:rPr>
        <w:t>du plomb, du zinc, des bois précieux…</w:t>
      </w:r>
    </w:p>
    <w:p>
      <w:pPr>
        <w:spacing w:after="0"/>
        <w:sectPr>
          <w:footerReference w:type="default" r:id="rId13"/>
          <w:pgSz w:w="8790" w:h="13610"/>
          <w:pgMar w:header="0" w:footer="802" w:top="1040" w:bottom="1000" w:left="880" w:right="880"/>
          <w:pgNumType w:start="11"/>
        </w:sectPr>
      </w:pPr>
    </w:p>
    <w:p>
      <w:pPr>
        <w:pStyle w:val="BodyText"/>
        <w:spacing w:before="66"/>
        <w:ind w:right="105" w:firstLine="283"/>
      </w:pPr>
      <w:r>
        <w:rPr>
          <w:color w:val="231F20"/>
          <w:spacing w:val="-4"/>
        </w:rPr>
        <w:t>Que</w:t>
      </w:r>
      <w:r>
        <w:rPr>
          <w:color w:val="231F20"/>
          <w:spacing w:val="-11"/>
        </w:rPr>
        <w:t> </w:t>
      </w:r>
      <w:r>
        <w:rPr>
          <w:color w:val="231F20"/>
          <w:spacing w:val="-4"/>
        </w:rPr>
        <w:t>lui</w:t>
      </w:r>
      <w:r>
        <w:rPr>
          <w:color w:val="231F20"/>
          <w:spacing w:val="-11"/>
        </w:rPr>
        <w:t> </w:t>
      </w:r>
      <w:r>
        <w:rPr>
          <w:color w:val="231F20"/>
          <w:spacing w:val="-4"/>
        </w:rPr>
        <w:t>manque-t-il</w:t>
      </w:r>
      <w:r>
        <w:rPr>
          <w:color w:val="231F20"/>
          <w:spacing w:val="-11"/>
        </w:rPr>
        <w:t> </w:t>
      </w:r>
      <w:r>
        <w:rPr>
          <w:color w:val="231F20"/>
          <w:spacing w:val="-4"/>
        </w:rPr>
        <w:t>pour</w:t>
      </w:r>
      <w:r>
        <w:rPr>
          <w:color w:val="231F20"/>
          <w:spacing w:val="-11"/>
        </w:rPr>
        <w:t> </w:t>
      </w:r>
      <w:r>
        <w:rPr>
          <w:color w:val="231F20"/>
          <w:spacing w:val="-4"/>
        </w:rPr>
        <w:t>que</w:t>
      </w:r>
      <w:r>
        <w:rPr>
          <w:color w:val="231F20"/>
          <w:spacing w:val="-11"/>
        </w:rPr>
        <w:t> </w:t>
      </w:r>
      <w:r>
        <w:rPr>
          <w:color w:val="231F20"/>
          <w:spacing w:val="-4"/>
        </w:rPr>
        <w:t>ses</w:t>
      </w:r>
      <w:r>
        <w:rPr>
          <w:color w:val="231F20"/>
          <w:spacing w:val="-11"/>
        </w:rPr>
        <w:t> </w:t>
      </w:r>
      <w:r>
        <w:rPr>
          <w:color w:val="231F20"/>
          <w:spacing w:val="-4"/>
        </w:rPr>
        <w:t>ressortissants</w:t>
      </w:r>
      <w:r>
        <w:rPr>
          <w:color w:val="231F20"/>
          <w:spacing w:val="-11"/>
        </w:rPr>
        <w:t> </w:t>
      </w:r>
      <w:r>
        <w:rPr>
          <w:color w:val="231F20"/>
          <w:spacing w:val="-4"/>
        </w:rPr>
        <w:t>soient</w:t>
      </w:r>
      <w:r>
        <w:rPr>
          <w:color w:val="231F20"/>
          <w:spacing w:val="-11"/>
        </w:rPr>
        <w:t> </w:t>
      </w:r>
      <w:r>
        <w:rPr>
          <w:color w:val="231F20"/>
          <w:spacing w:val="-4"/>
        </w:rPr>
        <w:t>respectés</w:t>
      </w:r>
      <w:r>
        <w:rPr>
          <w:color w:val="231F20"/>
          <w:spacing w:val="-11"/>
        </w:rPr>
        <w:t> </w:t>
      </w:r>
      <w:r>
        <w:rPr>
          <w:color w:val="231F20"/>
          <w:spacing w:val="-4"/>
        </w:rPr>
        <w:t>du</w:t>
      </w:r>
      <w:r>
        <w:rPr>
          <w:color w:val="231F20"/>
          <w:spacing w:val="-11"/>
        </w:rPr>
        <w:t> </w:t>
      </w:r>
      <w:r>
        <w:rPr>
          <w:color w:val="231F20"/>
          <w:spacing w:val="-4"/>
        </w:rPr>
        <w:t>reste </w:t>
      </w:r>
      <w:r>
        <w:rPr>
          <w:color w:val="231F20"/>
        </w:rPr>
        <w:t>du monde ?</w:t>
      </w:r>
    </w:p>
    <w:p>
      <w:pPr>
        <w:pStyle w:val="BodyText"/>
        <w:spacing w:before="120"/>
        <w:ind w:right="104" w:firstLine="283"/>
      </w:pPr>
      <w:r>
        <w:rPr>
          <w:color w:val="231F20"/>
          <w:spacing w:val="-2"/>
        </w:rPr>
        <w:t>Pourquoi</w:t>
      </w:r>
      <w:r>
        <w:rPr>
          <w:color w:val="231F20"/>
          <w:spacing w:val="-9"/>
        </w:rPr>
        <w:t> </w:t>
      </w:r>
      <w:r>
        <w:rPr>
          <w:color w:val="231F20"/>
          <w:spacing w:val="-2"/>
        </w:rPr>
        <w:t>l’Afrique</w:t>
      </w:r>
      <w:r>
        <w:rPr>
          <w:color w:val="231F20"/>
          <w:spacing w:val="-10"/>
        </w:rPr>
        <w:t> </w:t>
      </w:r>
      <w:r>
        <w:rPr>
          <w:color w:val="231F20"/>
          <w:spacing w:val="-2"/>
        </w:rPr>
        <w:t>noire</w:t>
      </w:r>
      <w:r>
        <w:rPr>
          <w:color w:val="231F20"/>
          <w:spacing w:val="-10"/>
        </w:rPr>
        <w:t> </w:t>
      </w:r>
      <w:r>
        <w:rPr>
          <w:color w:val="231F20"/>
          <w:spacing w:val="-2"/>
        </w:rPr>
        <w:t>au</w:t>
      </w:r>
      <w:r>
        <w:rPr>
          <w:color w:val="231F20"/>
          <w:spacing w:val="-7"/>
        </w:rPr>
        <w:t> </w:t>
      </w:r>
      <w:r>
        <w:rPr>
          <w:color w:val="231F20"/>
          <w:spacing w:val="-2"/>
        </w:rPr>
        <w:t>sud</w:t>
      </w:r>
      <w:r>
        <w:rPr>
          <w:color w:val="231F20"/>
          <w:spacing w:val="-9"/>
        </w:rPr>
        <w:t> </w:t>
      </w:r>
      <w:r>
        <w:rPr>
          <w:color w:val="231F20"/>
          <w:spacing w:val="-2"/>
        </w:rPr>
        <w:t>du</w:t>
      </w:r>
      <w:r>
        <w:rPr>
          <w:color w:val="231F20"/>
          <w:spacing w:val="-9"/>
        </w:rPr>
        <w:t> </w:t>
      </w:r>
      <w:r>
        <w:rPr>
          <w:color w:val="231F20"/>
          <w:spacing w:val="-2"/>
        </w:rPr>
        <w:t>Sahara</w:t>
      </w:r>
      <w:r>
        <w:rPr>
          <w:color w:val="231F20"/>
          <w:spacing w:val="-10"/>
        </w:rPr>
        <w:t> </w:t>
      </w:r>
      <w:r>
        <w:rPr>
          <w:color w:val="231F20"/>
          <w:spacing w:val="-2"/>
        </w:rPr>
        <w:t>ne</w:t>
      </w:r>
      <w:r>
        <w:rPr>
          <w:color w:val="231F20"/>
          <w:spacing w:val="-8"/>
        </w:rPr>
        <w:t> </w:t>
      </w:r>
      <w:r>
        <w:rPr>
          <w:color w:val="231F20"/>
          <w:spacing w:val="-2"/>
        </w:rPr>
        <w:t>se</w:t>
      </w:r>
      <w:r>
        <w:rPr>
          <w:color w:val="231F20"/>
          <w:spacing w:val="-10"/>
        </w:rPr>
        <w:t> </w:t>
      </w:r>
      <w:r>
        <w:rPr>
          <w:color w:val="231F20"/>
          <w:spacing w:val="-2"/>
        </w:rPr>
        <w:t>remet-t-elle</w:t>
      </w:r>
      <w:r>
        <w:rPr>
          <w:color w:val="231F20"/>
          <w:spacing w:val="-8"/>
        </w:rPr>
        <w:t> </w:t>
      </w:r>
      <w:r>
        <w:rPr>
          <w:color w:val="231F20"/>
          <w:spacing w:val="-2"/>
        </w:rPr>
        <w:t>pas</w:t>
      </w:r>
      <w:r>
        <w:rPr>
          <w:color w:val="231F20"/>
          <w:spacing w:val="-7"/>
        </w:rPr>
        <w:t> </w:t>
      </w:r>
      <w:r>
        <w:rPr>
          <w:color w:val="231F20"/>
          <w:spacing w:val="-2"/>
        </w:rPr>
        <w:t>de</w:t>
      </w:r>
      <w:r>
        <w:rPr>
          <w:color w:val="231F20"/>
          <w:spacing w:val="-10"/>
        </w:rPr>
        <w:t> </w:t>
      </w:r>
      <w:r>
        <w:rPr>
          <w:color w:val="231F20"/>
          <w:spacing w:val="-2"/>
        </w:rPr>
        <w:t>la </w:t>
      </w:r>
      <w:r>
        <w:rPr>
          <w:color w:val="231F20"/>
        </w:rPr>
        <w:t>traite négrière et du colonialisme</w:t>
      </w:r>
      <w:r>
        <w:rPr>
          <w:color w:val="231F20"/>
          <w:spacing w:val="-15"/>
        </w:rPr>
        <w:t> </w:t>
      </w:r>
      <w:r>
        <w:rPr>
          <w:color w:val="231F20"/>
        </w:rPr>
        <w:t>? Pourquoi n’arrive-t-elle pas à se décoloniser</w:t>
      </w:r>
      <w:r>
        <w:rPr>
          <w:color w:val="231F20"/>
          <w:spacing w:val="-9"/>
        </w:rPr>
        <w:t> </w:t>
      </w:r>
      <w:r>
        <w:rPr>
          <w:color w:val="231F20"/>
        </w:rPr>
        <w:t>politiquement,</w:t>
      </w:r>
      <w:r>
        <w:rPr>
          <w:color w:val="231F20"/>
          <w:spacing w:val="-9"/>
        </w:rPr>
        <w:t> </w:t>
      </w:r>
      <w:r>
        <w:rPr>
          <w:color w:val="231F20"/>
        </w:rPr>
        <w:t>économiquement</w:t>
      </w:r>
      <w:r>
        <w:rPr>
          <w:color w:val="231F20"/>
          <w:spacing w:val="-10"/>
        </w:rPr>
        <w:t> </w:t>
      </w:r>
      <w:r>
        <w:rPr>
          <w:color w:val="231F20"/>
        </w:rPr>
        <w:t>et</w:t>
      </w:r>
      <w:r>
        <w:rPr>
          <w:color w:val="231F20"/>
          <w:spacing w:val="-8"/>
        </w:rPr>
        <w:t> </w:t>
      </w:r>
      <w:r>
        <w:rPr>
          <w:color w:val="231F20"/>
        </w:rPr>
        <w:t>culturellement</w:t>
      </w:r>
      <w:r>
        <w:rPr>
          <w:color w:val="231F20"/>
          <w:spacing w:val="-8"/>
        </w:rPr>
        <w:t> </w:t>
      </w:r>
      <w:r>
        <w:rPr>
          <w:color w:val="231F20"/>
        </w:rPr>
        <w:t>?</w:t>
      </w:r>
    </w:p>
    <w:p>
      <w:pPr>
        <w:spacing w:before="120"/>
        <w:ind w:left="395" w:right="0" w:firstLine="0"/>
        <w:jc w:val="both"/>
        <w:rPr>
          <w:sz w:val="24"/>
        </w:rPr>
      </w:pPr>
      <w:r>
        <w:rPr>
          <w:color w:val="231F20"/>
          <w:spacing w:val="-2"/>
          <w:sz w:val="24"/>
        </w:rPr>
        <w:t>Un</w:t>
      </w:r>
      <w:r>
        <w:rPr>
          <w:color w:val="231F20"/>
          <w:spacing w:val="-10"/>
          <w:sz w:val="24"/>
        </w:rPr>
        <w:t> </w:t>
      </w:r>
      <w:r>
        <w:rPr>
          <w:color w:val="231F20"/>
          <w:spacing w:val="-2"/>
          <w:sz w:val="24"/>
        </w:rPr>
        <w:t>sage</w:t>
      </w:r>
      <w:r>
        <w:rPr>
          <w:color w:val="231F20"/>
          <w:spacing w:val="-8"/>
          <w:sz w:val="24"/>
        </w:rPr>
        <w:t> </w:t>
      </w:r>
      <w:r>
        <w:rPr>
          <w:color w:val="231F20"/>
          <w:spacing w:val="-2"/>
          <w:sz w:val="24"/>
        </w:rPr>
        <w:t>a</w:t>
      </w:r>
      <w:r>
        <w:rPr>
          <w:color w:val="231F20"/>
          <w:spacing w:val="-8"/>
          <w:sz w:val="24"/>
        </w:rPr>
        <w:t> </w:t>
      </w:r>
      <w:r>
        <w:rPr>
          <w:color w:val="231F20"/>
          <w:spacing w:val="-2"/>
          <w:sz w:val="24"/>
        </w:rPr>
        <w:t>dit</w:t>
      </w:r>
      <w:r>
        <w:rPr>
          <w:color w:val="231F20"/>
          <w:spacing w:val="-8"/>
          <w:sz w:val="24"/>
        </w:rPr>
        <w:t> </w:t>
      </w:r>
      <w:r>
        <w:rPr>
          <w:color w:val="231F20"/>
          <w:spacing w:val="-2"/>
          <w:sz w:val="24"/>
        </w:rPr>
        <w:t>:«</w:t>
      </w:r>
      <w:r>
        <w:rPr>
          <w:color w:val="231F20"/>
          <w:spacing w:val="-10"/>
          <w:sz w:val="24"/>
        </w:rPr>
        <w:t> </w:t>
      </w:r>
      <w:r>
        <w:rPr>
          <w:i/>
          <w:color w:val="231F20"/>
          <w:spacing w:val="-2"/>
          <w:sz w:val="24"/>
        </w:rPr>
        <w:t>pour</w:t>
      </w:r>
      <w:r>
        <w:rPr>
          <w:i/>
          <w:color w:val="231F20"/>
          <w:spacing w:val="-7"/>
          <w:sz w:val="24"/>
        </w:rPr>
        <w:t> </w:t>
      </w:r>
      <w:r>
        <w:rPr>
          <w:i/>
          <w:color w:val="231F20"/>
          <w:spacing w:val="-2"/>
          <w:sz w:val="24"/>
        </w:rPr>
        <w:t>savoir</w:t>
      </w:r>
      <w:r>
        <w:rPr>
          <w:i/>
          <w:color w:val="231F20"/>
          <w:spacing w:val="-7"/>
          <w:sz w:val="24"/>
        </w:rPr>
        <w:t> </w:t>
      </w:r>
      <w:r>
        <w:rPr>
          <w:i/>
          <w:color w:val="231F20"/>
          <w:spacing w:val="-2"/>
          <w:sz w:val="24"/>
        </w:rPr>
        <w:t>où</w:t>
      </w:r>
      <w:r>
        <w:rPr>
          <w:i/>
          <w:color w:val="231F20"/>
          <w:spacing w:val="-7"/>
          <w:sz w:val="24"/>
        </w:rPr>
        <w:t> </w:t>
      </w:r>
      <w:r>
        <w:rPr>
          <w:i/>
          <w:color w:val="231F20"/>
          <w:spacing w:val="-2"/>
          <w:sz w:val="24"/>
        </w:rPr>
        <w:t>l’on</w:t>
      </w:r>
      <w:r>
        <w:rPr>
          <w:i/>
          <w:color w:val="231F20"/>
          <w:spacing w:val="-7"/>
          <w:sz w:val="24"/>
        </w:rPr>
        <w:t> </w:t>
      </w:r>
      <w:r>
        <w:rPr>
          <w:i/>
          <w:color w:val="231F20"/>
          <w:spacing w:val="-2"/>
          <w:sz w:val="24"/>
        </w:rPr>
        <w:t>va</w:t>
      </w:r>
      <w:r>
        <w:rPr>
          <w:i/>
          <w:color w:val="231F20"/>
          <w:spacing w:val="-9"/>
          <w:sz w:val="24"/>
        </w:rPr>
        <w:t> </w:t>
      </w:r>
      <w:r>
        <w:rPr>
          <w:i/>
          <w:color w:val="231F20"/>
          <w:spacing w:val="-2"/>
          <w:sz w:val="24"/>
        </w:rPr>
        <w:t>il</w:t>
      </w:r>
      <w:r>
        <w:rPr>
          <w:i/>
          <w:color w:val="231F20"/>
          <w:spacing w:val="-10"/>
          <w:sz w:val="24"/>
        </w:rPr>
        <w:t> </w:t>
      </w:r>
      <w:r>
        <w:rPr>
          <w:i/>
          <w:color w:val="231F20"/>
          <w:spacing w:val="-2"/>
          <w:sz w:val="24"/>
        </w:rPr>
        <w:t>faut</w:t>
      </w:r>
      <w:r>
        <w:rPr>
          <w:i/>
          <w:color w:val="231F20"/>
          <w:spacing w:val="-7"/>
          <w:sz w:val="24"/>
        </w:rPr>
        <w:t> </w:t>
      </w:r>
      <w:r>
        <w:rPr>
          <w:i/>
          <w:color w:val="231F20"/>
          <w:spacing w:val="-2"/>
          <w:sz w:val="24"/>
        </w:rPr>
        <w:t>savoir</w:t>
      </w:r>
      <w:r>
        <w:rPr>
          <w:i/>
          <w:color w:val="231F20"/>
          <w:spacing w:val="-10"/>
          <w:sz w:val="24"/>
        </w:rPr>
        <w:t> </w:t>
      </w:r>
      <w:r>
        <w:rPr>
          <w:i/>
          <w:color w:val="231F20"/>
          <w:spacing w:val="-2"/>
          <w:sz w:val="24"/>
        </w:rPr>
        <w:t>d’où</w:t>
      </w:r>
      <w:r>
        <w:rPr>
          <w:i/>
          <w:color w:val="231F20"/>
          <w:spacing w:val="-7"/>
          <w:sz w:val="24"/>
        </w:rPr>
        <w:t> </w:t>
      </w:r>
      <w:r>
        <w:rPr>
          <w:i/>
          <w:color w:val="231F20"/>
          <w:spacing w:val="-2"/>
          <w:sz w:val="24"/>
        </w:rPr>
        <w:t>l’on</w:t>
      </w:r>
      <w:r>
        <w:rPr>
          <w:i/>
          <w:color w:val="231F20"/>
          <w:spacing w:val="-8"/>
          <w:sz w:val="24"/>
        </w:rPr>
        <w:t> </w:t>
      </w:r>
      <w:r>
        <w:rPr>
          <w:i/>
          <w:color w:val="231F20"/>
          <w:spacing w:val="-2"/>
          <w:sz w:val="24"/>
        </w:rPr>
        <w:t>vient</w:t>
      </w:r>
      <w:r>
        <w:rPr>
          <w:color w:val="231F20"/>
          <w:spacing w:val="-2"/>
          <w:sz w:val="24"/>
        </w:rPr>
        <w:t>.</w:t>
      </w:r>
      <w:r>
        <w:rPr>
          <w:color w:val="231F20"/>
          <w:spacing w:val="-9"/>
          <w:sz w:val="24"/>
        </w:rPr>
        <w:t> </w:t>
      </w:r>
      <w:r>
        <w:rPr>
          <w:color w:val="231F20"/>
          <w:spacing w:val="-10"/>
          <w:sz w:val="24"/>
        </w:rPr>
        <w:t>»</w:t>
      </w:r>
    </w:p>
    <w:p>
      <w:pPr>
        <w:pStyle w:val="BodyText"/>
        <w:spacing w:before="120"/>
        <w:ind w:right="109" w:firstLine="283"/>
      </w:pPr>
      <w:r>
        <w:rPr>
          <w:color w:val="231F20"/>
          <w:spacing w:val="-2"/>
        </w:rPr>
        <w:t>Je</w:t>
      </w:r>
      <w:r>
        <w:rPr>
          <w:color w:val="231F20"/>
          <w:spacing w:val="-13"/>
        </w:rPr>
        <w:t> </w:t>
      </w:r>
      <w:r>
        <w:rPr>
          <w:color w:val="231F20"/>
          <w:spacing w:val="-2"/>
        </w:rPr>
        <w:t>ne</w:t>
      </w:r>
      <w:r>
        <w:rPr>
          <w:color w:val="231F20"/>
          <w:spacing w:val="-13"/>
        </w:rPr>
        <w:t> </w:t>
      </w:r>
      <w:r>
        <w:rPr>
          <w:color w:val="231F20"/>
          <w:spacing w:val="-2"/>
        </w:rPr>
        <w:t>suis</w:t>
      </w:r>
      <w:r>
        <w:rPr>
          <w:color w:val="231F20"/>
          <w:spacing w:val="-13"/>
        </w:rPr>
        <w:t> </w:t>
      </w:r>
      <w:r>
        <w:rPr>
          <w:color w:val="231F20"/>
          <w:spacing w:val="-2"/>
        </w:rPr>
        <w:t>pas</w:t>
      </w:r>
      <w:r>
        <w:rPr>
          <w:color w:val="231F20"/>
          <w:spacing w:val="-13"/>
        </w:rPr>
        <w:t> </w:t>
      </w:r>
      <w:r>
        <w:rPr>
          <w:color w:val="231F20"/>
          <w:spacing w:val="-2"/>
        </w:rPr>
        <w:t>un</w:t>
      </w:r>
      <w:r>
        <w:rPr>
          <w:color w:val="231F20"/>
          <w:spacing w:val="-13"/>
        </w:rPr>
        <w:t> </w:t>
      </w:r>
      <w:r>
        <w:rPr>
          <w:color w:val="231F20"/>
          <w:spacing w:val="-2"/>
        </w:rPr>
        <w:t>historien.</w:t>
      </w:r>
      <w:r>
        <w:rPr>
          <w:color w:val="231F20"/>
          <w:spacing w:val="-13"/>
        </w:rPr>
        <w:t> </w:t>
      </w:r>
      <w:r>
        <w:rPr>
          <w:color w:val="231F20"/>
          <w:spacing w:val="-2"/>
        </w:rPr>
        <w:t>Je</w:t>
      </w:r>
      <w:r>
        <w:rPr>
          <w:color w:val="231F20"/>
          <w:spacing w:val="-13"/>
        </w:rPr>
        <w:t> </w:t>
      </w:r>
      <w:r>
        <w:rPr>
          <w:color w:val="231F20"/>
          <w:spacing w:val="-2"/>
        </w:rPr>
        <w:t>ne</w:t>
      </w:r>
      <w:r>
        <w:rPr>
          <w:color w:val="231F20"/>
          <w:spacing w:val="-12"/>
        </w:rPr>
        <w:t> </w:t>
      </w:r>
      <w:r>
        <w:rPr>
          <w:color w:val="231F20"/>
          <w:spacing w:val="-2"/>
        </w:rPr>
        <w:t>suis</w:t>
      </w:r>
      <w:r>
        <w:rPr>
          <w:color w:val="231F20"/>
          <w:spacing w:val="-13"/>
        </w:rPr>
        <w:t> </w:t>
      </w:r>
      <w:r>
        <w:rPr>
          <w:color w:val="231F20"/>
          <w:spacing w:val="-2"/>
        </w:rPr>
        <w:t>pas</w:t>
      </w:r>
      <w:r>
        <w:rPr>
          <w:color w:val="231F20"/>
          <w:spacing w:val="-13"/>
        </w:rPr>
        <w:t> </w:t>
      </w:r>
      <w:r>
        <w:rPr>
          <w:color w:val="231F20"/>
          <w:spacing w:val="-2"/>
        </w:rPr>
        <w:t>un</w:t>
      </w:r>
      <w:r>
        <w:rPr>
          <w:color w:val="231F20"/>
          <w:spacing w:val="-12"/>
        </w:rPr>
        <w:t> </w:t>
      </w:r>
      <w:r>
        <w:rPr>
          <w:color w:val="231F20"/>
          <w:spacing w:val="-2"/>
        </w:rPr>
        <w:t>économiste.</w:t>
      </w:r>
      <w:r>
        <w:rPr>
          <w:color w:val="231F20"/>
          <w:spacing w:val="-13"/>
        </w:rPr>
        <w:t> </w:t>
      </w:r>
      <w:r>
        <w:rPr>
          <w:color w:val="231F20"/>
          <w:spacing w:val="-2"/>
        </w:rPr>
        <w:t>Je</w:t>
      </w:r>
      <w:r>
        <w:rPr>
          <w:color w:val="231F20"/>
          <w:spacing w:val="-13"/>
        </w:rPr>
        <w:t> </w:t>
      </w:r>
      <w:r>
        <w:rPr>
          <w:color w:val="231F20"/>
          <w:spacing w:val="-2"/>
        </w:rPr>
        <w:t>ne</w:t>
      </w:r>
      <w:r>
        <w:rPr>
          <w:color w:val="231F20"/>
          <w:spacing w:val="-13"/>
        </w:rPr>
        <w:t> </w:t>
      </w:r>
      <w:r>
        <w:rPr>
          <w:color w:val="231F20"/>
          <w:spacing w:val="-2"/>
        </w:rPr>
        <w:t>suis</w:t>
      </w:r>
      <w:r>
        <w:rPr>
          <w:color w:val="231F20"/>
          <w:spacing w:val="-12"/>
        </w:rPr>
        <w:t> </w:t>
      </w:r>
      <w:r>
        <w:rPr>
          <w:color w:val="231F20"/>
          <w:spacing w:val="-2"/>
        </w:rPr>
        <w:t>pas </w:t>
      </w:r>
      <w:r>
        <w:rPr>
          <w:color w:val="231F20"/>
        </w:rPr>
        <w:t>un</w:t>
      </w:r>
      <w:r>
        <w:rPr>
          <w:color w:val="231F20"/>
          <w:spacing w:val="-4"/>
        </w:rPr>
        <w:t> </w:t>
      </w:r>
      <w:r>
        <w:rPr>
          <w:color w:val="231F20"/>
        </w:rPr>
        <w:t>sociologue…Par-dessus</w:t>
      </w:r>
      <w:r>
        <w:rPr>
          <w:color w:val="231F20"/>
          <w:spacing w:val="-5"/>
        </w:rPr>
        <w:t> </w:t>
      </w:r>
      <w:r>
        <w:rPr>
          <w:color w:val="231F20"/>
        </w:rPr>
        <w:t>tout,</w:t>
      </w:r>
      <w:r>
        <w:rPr>
          <w:color w:val="231F20"/>
          <w:spacing w:val="-7"/>
        </w:rPr>
        <w:t> </w:t>
      </w:r>
      <w:r>
        <w:rPr>
          <w:color w:val="231F20"/>
        </w:rPr>
        <w:t>je</w:t>
      </w:r>
      <w:r>
        <w:rPr>
          <w:color w:val="231F20"/>
          <w:spacing w:val="-4"/>
        </w:rPr>
        <w:t> </w:t>
      </w:r>
      <w:r>
        <w:rPr>
          <w:color w:val="231F20"/>
        </w:rPr>
        <w:t>ne</w:t>
      </w:r>
      <w:r>
        <w:rPr>
          <w:color w:val="231F20"/>
          <w:spacing w:val="-7"/>
        </w:rPr>
        <w:t> </w:t>
      </w:r>
      <w:r>
        <w:rPr>
          <w:color w:val="231F20"/>
        </w:rPr>
        <w:t>suis</w:t>
      </w:r>
      <w:r>
        <w:rPr>
          <w:color w:val="231F20"/>
          <w:spacing w:val="-4"/>
        </w:rPr>
        <w:t> </w:t>
      </w:r>
      <w:r>
        <w:rPr>
          <w:color w:val="231F20"/>
        </w:rPr>
        <w:t>pas</w:t>
      </w:r>
      <w:r>
        <w:rPr>
          <w:color w:val="231F20"/>
          <w:spacing w:val="-7"/>
        </w:rPr>
        <w:t> </w:t>
      </w:r>
      <w:r>
        <w:rPr>
          <w:color w:val="231F20"/>
        </w:rPr>
        <w:t>un</w:t>
      </w:r>
      <w:r>
        <w:rPr>
          <w:color w:val="231F20"/>
          <w:spacing w:val="-7"/>
        </w:rPr>
        <w:t> </w:t>
      </w:r>
      <w:r>
        <w:rPr>
          <w:color w:val="231F20"/>
        </w:rPr>
        <w:t>politicien.</w:t>
      </w:r>
    </w:p>
    <w:p>
      <w:pPr>
        <w:pStyle w:val="BodyText"/>
        <w:spacing w:before="121"/>
        <w:ind w:right="105" w:firstLine="283"/>
      </w:pPr>
      <w:r>
        <w:rPr>
          <w:color w:val="231F20"/>
        </w:rPr>
        <w:t>Journaliste,</w:t>
      </w:r>
      <w:r>
        <w:rPr>
          <w:color w:val="231F20"/>
          <w:spacing w:val="-5"/>
        </w:rPr>
        <w:t> </w:t>
      </w:r>
      <w:r>
        <w:rPr>
          <w:color w:val="231F20"/>
        </w:rPr>
        <w:t>natif</w:t>
      </w:r>
      <w:r>
        <w:rPr>
          <w:color w:val="231F20"/>
          <w:spacing w:val="-6"/>
        </w:rPr>
        <w:t> </w:t>
      </w:r>
      <w:r>
        <w:rPr>
          <w:color w:val="231F20"/>
        </w:rPr>
        <w:t>d’Afrique</w:t>
      </w:r>
      <w:r>
        <w:rPr>
          <w:color w:val="231F20"/>
          <w:spacing w:val="-5"/>
        </w:rPr>
        <w:t> </w:t>
      </w:r>
      <w:r>
        <w:rPr>
          <w:color w:val="231F20"/>
        </w:rPr>
        <w:t>francophone,</w:t>
      </w:r>
      <w:r>
        <w:rPr>
          <w:color w:val="231F20"/>
          <w:spacing w:val="-5"/>
        </w:rPr>
        <w:t> </w:t>
      </w:r>
      <w:r>
        <w:rPr>
          <w:color w:val="231F20"/>
        </w:rPr>
        <w:t>j’ai</w:t>
      </w:r>
      <w:r>
        <w:rPr>
          <w:color w:val="231F20"/>
          <w:spacing w:val="-4"/>
        </w:rPr>
        <w:t> </w:t>
      </w:r>
      <w:r>
        <w:rPr>
          <w:color w:val="231F20"/>
        </w:rPr>
        <w:t>couvert</w:t>
      </w:r>
      <w:r>
        <w:rPr>
          <w:color w:val="231F20"/>
          <w:spacing w:val="-5"/>
        </w:rPr>
        <w:t> </w:t>
      </w:r>
      <w:r>
        <w:rPr>
          <w:color w:val="231F20"/>
        </w:rPr>
        <w:t>des</w:t>
      </w:r>
      <w:r>
        <w:rPr>
          <w:color w:val="231F20"/>
          <w:spacing w:val="-6"/>
        </w:rPr>
        <w:t> </w:t>
      </w:r>
      <w:r>
        <w:rPr>
          <w:color w:val="231F20"/>
        </w:rPr>
        <w:t>rencontres </w:t>
      </w:r>
      <w:r>
        <w:rPr>
          <w:color w:val="231F20"/>
          <w:spacing w:val="-2"/>
        </w:rPr>
        <w:t>internationales</w:t>
      </w:r>
      <w:r>
        <w:rPr>
          <w:color w:val="231F20"/>
          <w:spacing w:val="-6"/>
        </w:rPr>
        <w:t> </w:t>
      </w:r>
      <w:r>
        <w:rPr>
          <w:color w:val="231F20"/>
          <w:spacing w:val="-2"/>
        </w:rPr>
        <w:t>sur</w:t>
      </w:r>
      <w:r>
        <w:rPr>
          <w:color w:val="231F20"/>
          <w:spacing w:val="-6"/>
        </w:rPr>
        <w:t> </w:t>
      </w:r>
      <w:r>
        <w:rPr>
          <w:color w:val="231F20"/>
          <w:spacing w:val="-2"/>
        </w:rPr>
        <w:t>les</w:t>
      </w:r>
      <w:r>
        <w:rPr>
          <w:color w:val="231F20"/>
          <w:spacing w:val="-6"/>
        </w:rPr>
        <w:t> </w:t>
      </w:r>
      <w:r>
        <w:rPr>
          <w:color w:val="231F20"/>
          <w:spacing w:val="-2"/>
        </w:rPr>
        <w:t>Politiques</w:t>
      </w:r>
      <w:r>
        <w:rPr>
          <w:color w:val="231F20"/>
          <w:spacing w:val="-13"/>
        </w:rPr>
        <w:t> </w:t>
      </w:r>
      <w:r>
        <w:rPr>
          <w:color w:val="231F20"/>
          <w:spacing w:val="-2"/>
        </w:rPr>
        <w:t>de</w:t>
      </w:r>
      <w:r>
        <w:rPr>
          <w:color w:val="231F20"/>
          <w:spacing w:val="-6"/>
        </w:rPr>
        <w:t> </w:t>
      </w:r>
      <w:r>
        <w:rPr>
          <w:color w:val="231F20"/>
          <w:spacing w:val="-2"/>
        </w:rPr>
        <w:t>Développement...</w:t>
      </w:r>
      <w:r>
        <w:rPr>
          <w:color w:val="231F20"/>
          <w:spacing w:val="-5"/>
        </w:rPr>
        <w:t> </w:t>
      </w:r>
      <w:r>
        <w:rPr>
          <w:color w:val="231F20"/>
          <w:spacing w:val="-2"/>
        </w:rPr>
        <w:t>j’ai</w:t>
      </w:r>
      <w:r>
        <w:rPr>
          <w:color w:val="231F20"/>
          <w:spacing w:val="-4"/>
        </w:rPr>
        <w:t> </w:t>
      </w:r>
      <w:r>
        <w:rPr>
          <w:color w:val="231F20"/>
          <w:spacing w:val="-2"/>
        </w:rPr>
        <w:t>parcouru</w:t>
      </w:r>
      <w:r>
        <w:rPr>
          <w:color w:val="231F20"/>
          <w:spacing w:val="-7"/>
        </w:rPr>
        <w:t> </w:t>
      </w:r>
      <w:r>
        <w:rPr>
          <w:color w:val="231F20"/>
          <w:spacing w:val="-2"/>
        </w:rPr>
        <w:t>pour </w:t>
      </w:r>
      <w:r>
        <w:rPr>
          <w:color w:val="231F20"/>
          <w:spacing w:val="-4"/>
        </w:rPr>
        <w:t>des raisons</w:t>
      </w:r>
      <w:r>
        <w:rPr>
          <w:color w:val="231F20"/>
          <w:spacing w:val="-5"/>
        </w:rPr>
        <w:t> </w:t>
      </w:r>
      <w:r>
        <w:rPr>
          <w:color w:val="231F20"/>
          <w:spacing w:val="-4"/>
        </w:rPr>
        <w:t>professionnelles, un</w:t>
      </w:r>
      <w:r>
        <w:rPr>
          <w:color w:val="231F20"/>
          <w:spacing w:val="-6"/>
        </w:rPr>
        <w:t> </w:t>
      </w:r>
      <w:r>
        <w:rPr>
          <w:color w:val="231F20"/>
          <w:spacing w:val="-4"/>
        </w:rPr>
        <w:t>grand</w:t>
      </w:r>
      <w:r>
        <w:rPr>
          <w:color w:val="231F20"/>
          <w:spacing w:val="-6"/>
        </w:rPr>
        <w:t> </w:t>
      </w:r>
      <w:r>
        <w:rPr>
          <w:color w:val="231F20"/>
          <w:spacing w:val="-4"/>
        </w:rPr>
        <w:t>nombre d’États.</w:t>
      </w:r>
      <w:r>
        <w:rPr>
          <w:color w:val="231F20"/>
          <w:spacing w:val="-6"/>
        </w:rPr>
        <w:t> </w:t>
      </w:r>
      <w:r>
        <w:rPr>
          <w:color w:val="231F20"/>
          <w:spacing w:val="-4"/>
        </w:rPr>
        <w:t>J’ai</w:t>
      </w:r>
      <w:r>
        <w:rPr>
          <w:color w:val="231F20"/>
          <w:spacing w:val="-5"/>
        </w:rPr>
        <w:t> </w:t>
      </w:r>
      <w:r>
        <w:rPr>
          <w:color w:val="231F20"/>
          <w:spacing w:val="-4"/>
        </w:rPr>
        <w:t>vécu certaines </w:t>
      </w:r>
      <w:r>
        <w:rPr>
          <w:color w:val="231F20"/>
        </w:rPr>
        <w:t>situations de l’intérieur.</w:t>
      </w:r>
    </w:p>
    <w:p>
      <w:pPr>
        <w:pStyle w:val="BodyText"/>
        <w:spacing w:before="120"/>
        <w:ind w:left="395"/>
      </w:pPr>
      <w:r>
        <w:rPr>
          <w:color w:val="231F20"/>
          <w:spacing w:val="-2"/>
        </w:rPr>
        <w:t>Seuls</w:t>
      </w:r>
      <w:r>
        <w:rPr>
          <w:color w:val="231F20"/>
          <w:spacing w:val="-8"/>
        </w:rPr>
        <w:t> </w:t>
      </w:r>
      <w:r>
        <w:rPr>
          <w:color w:val="231F20"/>
          <w:spacing w:val="-2"/>
        </w:rPr>
        <w:t>les</w:t>
      </w:r>
      <w:r>
        <w:rPr>
          <w:color w:val="231F20"/>
          <w:spacing w:val="-11"/>
        </w:rPr>
        <w:t> </w:t>
      </w:r>
      <w:r>
        <w:rPr>
          <w:color w:val="231F20"/>
          <w:spacing w:val="-2"/>
        </w:rPr>
        <w:t>faits</w:t>
      </w:r>
      <w:r>
        <w:rPr>
          <w:color w:val="231F20"/>
          <w:spacing w:val="-7"/>
        </w:rPr>
        <w:t> </w:t>
      </w:r>
      <w:r>
        <w:rPr>
          <w:color w:val="231F20"/>
          <w:spacing w:val="-2"/>
        </w:rPr>
        <w:t>m’interpellent.</w:t>
      </w:r>
    </w:p>
    <w:p>
      <w:pPr>
        <w:pStyle w:val="BodyText"/>
        <w:spacing w:before="120"/>
        <w:ind w:right="105" w:firstLine="283"/>
      </w:pPr>
      <w:r>
        <w:rPr>
          <w:color w:val="231F20"/>
          <w:spacing w:val="-2"/>
        </w:rPr>
        <w:t>Dans</w:t>
      </w:r>
      <w:r>
        <w:rPr>
          <w:color w:val="231F20"/>
          <w:spacing w:val="-10"/>
        </w:rPr>
        <w:t> </w:t>
      </w:r>
      <w:r>
        <w:rPr>
          <w:color w:val="231F20"/>
          <w:spacing w:val="-2"/>
        </w:rPr>
        <w:t>toutes</w:t>
      </w:r>
      <w:r>
        <w:rPr>
          <w:color w:val="231F20"/>
          <w:spacing w:val="-10"/>
        </w:rPr>
        <w:t> </w:t>
      </w:r>
      <w:r>
        <w:rPr>
          <w:color w:val="231F20"/>
          <w:spacing w:val="-2"/>
        </w:rPr>
        <w:t>les</w:t>
      </w:r>
      <w:r>
        <w:rPr>
          <w:color w:val="231F20"/>
          <w:spacing w:val="-12"/>
        </w:rPr>
        <w:t> </w:t>
      </w:r>
      <w:r>
        <w:rPr>
          <w:color w:val="231F20"/>
          <w:spacing w:val="-2"/>
        </w:rPr>
        <w:t>Capitales</w:t>
      </w:r>
      <w:r>
        <w:rPr>
          <w:color w:val="231F20"/>
          <w:spacing w:val="-13"/>
        </w:rPr>
        <w:t> </w:t>
      </w:r>
      <w:r>
        <w:rPr>
          <w:color w:val="231F20"/>
          <w:spacing w:val="-2"/>
        </w:rPr>
        <w:t>d’Afrique</w:t>
      </w:r>
      <w:r>
        <w:rPr>
          <w:color w:val="231F20"/>
          <w:spacing w:val="-12"/>
        </w:rPr>
        <w:t> </w:t>
      </w:r>
      <w:r>
        <w:rPr>
          <w:color w:val="231F20"/>
          <w:spacing w:val="-2"/>
        </w:rPr>
        <w:t>noire,</w:t>
      </w:r>
      <w:r>
        <w:rPr>
          <w:color w:val="231F20"/>
          <w:spacing w:val="-11"/>
        </w:rPr>
        <w:t> </w:t>
      </w:r>
      <w:r>
        <w:rPr>
          <w:color w:val="231F20"/>
          <w:spacing w:val="-2"/>
        </w:rPr>
        <w:t>on</w:t>
      </w:r>
      <w:r>
        <w:rPr>
          <w:color w:val="231F20"/>
          <w:spacing w:val="-11"/>
        </w:rPr>
        <w:t> </w:t>
      </w:r>
      <w:r>
        <w:rPr>
          <w:color w:val="231F20"/>
          <w:spacing w:val="-2"/>
        </w:rPr>
        <w:t>retrouve</w:t>
      </w:r>
      <w:r>
        <w:rPr>
          <w:color w:val="231F20"/>
          <w:spacing w:val="-11"/>
        </w:rPr>
        <w:t> </w:t>
      </w:r>
      <w:r>
        <w:rPr>
          <w:color w:val="231F20"/>
          <w:spacing w:val="-2"/>
        </w:rPr>
        <w:t>la</w:t>
      </w:r>
      <w:r>
        <w:rPr>
          <w:color w:val="231F20"/>
          <w:spacing w:val="-11"/>
        </w:rPr>
        <w:t> </w:t>
      </w:r>
      <w:r>
        <w:rPr>
          <w:color w:val="231F20"/>
          <w:spacing w:val="-2"/>
        </w:rPr>
        <w:t>même</w:t>
      </w:r>
      <w:r>
        <w:rPr>
          <w:color w:val="231F20"/>
          <w:spacing w:val="-11"/>
        </w:rPr>
        <w:t> </w:t>
      </w:r>
      <w:r>
        <w:rPr>
          <w:color w:val="231F20"/>
          <w:spacing w:val="-2"/>
        </w:rPr>
        <w:t>image </w:t>
      </w:r>
      <w:r>
        <w:rPr>
          <w:color w:val="231F20"/>
        </w:rPr>
        <w:t>de «</w:t>
      </w:r>
      <w:r>
        <w:rPr>
          <w:color w:val="231F20"/>
          <w:spacing w:val="-13"/>
        </w:rPr>
        <w:t> </w:t>
      </w:r>
      <w:r>
        <w:rPr>
          <w:color w:val="231F20"/>
        </w:rPr>
        <w:t>deux Afriques</w:t>
      </w:r>
      <w:r>
        <w:rPr>
          <w:color w:val="231F20"/>
          <w:spacing w:val="-15"/>
        </w:rPr>
        <w:t> </w:t>
      </w:r>
      <w:r>
        <w:rPr>
          <w:color w:val="231F20"/>
        </w:rPr>
        <w:t>»</w:t>
      </w:r>
      <w:r>
        <w:rPr>
          <w:color w:val="231F20"/>
          <w:spacing w:val="-14"/>
        </w:rPr>
        <w:t> </w:t>
      </w:r>
      <w:r>
        <w:rPr>
          <w:color w:val="231F20"/>
        </w:rPr>
        <w:t>: l’une riche, très riche et une autre, pauvre, très </w:t>
      </w:r>
      <w:r>
        <w:rPr>
          <w:color w:val="231F20"/>
          <w:spacing w:val="-2"/>
        </w:rPr>
        <w:t>pauvre.</w:t>
      </w:r>
    </w:p>
    <w:p>
      <w:pPr>
        <w:pStyle w:val="BodyText"/>
        <w:spacing w:before="120"/>
        <w:ind w:right="110" w:firstLine="283"/>
      </w:pPr>
      <w:r>
        <w:rPr>
          <w:color w:val="231F20"/>
          <w:spacing w:val="-2"/>
        </w:rPr>
        <w:t>Il</w:t>
      </w:r>
      <w:r>
        <w:rPr>
          <w:color w:val="231F20"/>
          <w:spacing w:val="-6"/>
        </w:rPr>
        <w:t> </w:t>
      </w:r>
      <w:r>
        <w:rPr>
          <w:color w:val="231F20"/>
          <w:spacing w:val="-2"/>
        </w:rPr>
        <w:t>existe</w:t>
      </w:r>
      <w:r>
        <w:rPr>
          <w:color w:val="231F20"/>
          <w:spacing w:val="-9"/>
        </w:rPr>
        <w:t> </w:t>
      </w:r>
      <w:r>
        <w:rPr>
          <w:color w:val="231F20"/>
          <w:spacing w:val="-2"/>
        </w:rPr>
        <w:t>toujours,</w:t>
      </w:r>
      <w:r>
        <w:rPr>
          <w:color w:val="231F20"/>
          <w:spacing w:val="-9"/>
        </w:rPr>
        <w:t> </w:t>
      </w:r>
      <w:r>
        <w:rPr>
          <w:color w:val="231F20"/>
          <w:spacing w:val="-2"/>
        </w:rPr>
        <w:t>un</w:t>
      </w:r>
      <w:r>
        <w:rPr>
          <w:color w:val="231F20"/>
          <w:spacing w:val="-7"/>
        </w:rPr>
        <w:t> </w:t>
      </w:r>
      <w:r>
        <w:rPr>
          <w:color w:val="231F20"/>
          <w:spacing w:val="-2"/>
        </w:rPr>
        <w:t>quartier</w:t>
      </w:r>
      <w:r>
        <w:rPr>
          <w:color w:val="231F20"/>
          <w:spacing w:val="-7"/>
        </w:rPr>
        <w:t> </w:t>
      </w:r>
      <w:r>
        <w:rPr>
          <w:color w:val="231F20"/>
          <w:spacing w:val="-2"/>
        </w:rPr>
        <w:t>dit</w:t>
      </w:r>
      <w:r>
        <w:rPr>
          <w:color w:val="231F20"/>
          <w:spacing w:val="-9"/>
        </w:rPr>
        <w:t> </w:t>
      </w:r>
      <w:r>
        <w:rPr>
          <w:color w:val="231F20"/>
          <w:spacing w:val="-2"/>
        </w:rPr>
        <w:t>résidentiel</w:t>
      </w:r>
      <w:r>
        <w:rPr>
          <w:color w:val="231F20"/>
          <w:spacing w:val="-7"/>
        </w:rPr>
        <w:t> </w:t>
      </w:r>
      <w:r>
        <w:rPr>
          <w:color w:val="231F20"/>
          <w:spacing w:val="-2"/>
        </w:rPr>
        <w:t>avec</w:t>
      </w:r>
      <w:r>
        <w:rPr>
          <w:color w:val="231F20"/>
          <w:spacing w:val="-10"/>
        </w:rPr>
        <w:t> </w:t>
      </w:r>
      <w:r>
        <w:rPr>
          <w:color w:val="231F20"/>
          <w:spacing w:val="-2"/>
        </w:rPr>
        <w:t>des</w:t>
      </w:r>
      <w:r>
        <w:rPr>
          <w:color w:val="231F20"/>
          <w:spacing w:val="-7"/>
        </w:rPr>
        <w:t> </w:t>
      </w:r>
      <w:r>
        <w:rPr>
          <w:color w:val="231F20"/>
          <w:spacing w:val="-2"/>
        </w:rPr>
        <w:t>villas</w:t>
      </w:r>
      <w:r>
        <w:rPr>
          <w:color w:val="231F20"/>
          <w:spacing w:val="-7"/>
        </w:rPr>
        <w:t> </w:t>
      </w:r>
      <w:r>
        <w:rPr>
          <w:color w:val="231F20"/>
          <w:spacing w:val="-2"/>
        </w:rPr>
        <w:t>cossues</w:t>
      </w:r>
      <w:r>
        <w:rPr>
          <w:color w:val="231F20"/>
          <w:spacing w:val="-9"/>
        </w:rPr>
        <w:t> </w:t>
      </w:r>
      <w:r>
        <w:rPr>
          <w:color w:val="231F20"/>
          <w:spacing w:val="-2"/>
        </w:rPr>
        <w:t>de </w:t>
      </w:r>
      <w:r>
        <w:rPr>
          <w:color w:val="231F20"/>
        </w:rPr>
        <w:t>millionnaires où coule à</w:t>
      </w:r>
      <w:r>
        <w:rPr>
          <w:color w:val="231F20"/>
          <w:spacing w:val="-1"/>
        </w:rPr>
        <w:t> </w:t>
      </w:r>
      <w:r>
        <w:rPr>
          <w:color w:val="231F20"/>
        </w:rPr>
        <w:t>flot le</w:t>
      </w:r>
      <w:r>
        <w:rPr>
          <w:color w:val="231F20"/>
          <w:spacing w:val="-1"/>
        </w:rPr>
        <w:t> </w:t>
      </w:r>
      <w:r>
        <w:rPr>
          <w:color w:val="231F20"/>
        </w:rPr>
        <w:t>champagne.</w:t>
      </w:r>
    </w:p>
    <w:p>
      <w:pPr>
        <w:pStyle w:val="BodyText"/>
        <w:spacing w:before="120"/>
        <w:ind w:right="104" w:firstLine="283"/>
      </w:pPr>
      <w:r>
        <w:rPr>
          <w:color w:val="231F20"/>
        </w:rPr>
        <w:t>Il existe également, de nombreux quartiers de la ville et leurs petits </w:t>
      </w:r>
      <w:r>
        <w:rPr>
          <w:color w:val="231F20"/>
          <w:spacing w:val="-2"/>
        </w:rPr>
        <w:t>habitats</w:t>
      </w:r>
      <w:r>
        <w:rPr>
          <w:color w:val="231F20"/>
          <w:spacing w:val="-10"/>
        </w:rPr>
        <w:t> </w:t>
      </w:r>
      <w:r>
        <w:rPr>
          <w:color w:val="231F20"/>
          <w:spacing w:val="-2"/>
        </w:rPr>
        <w:t>de</w:t>
      </w:r>
      <w:r>
        <w:rPr>
          <w:color w:val="231F20"/>
          <w:spacing w:val="-11"/>
        </w:rPr>
        <w:t> </w:t>
      </w:r>
      <w:r>
        <w:rPr>
          <w:color w:val="231F20"/>
          <w:spacing w:val="-2"/>
        </w:rPr>
        <w:t>deux</w:t>
      </w:r>
      <w:r>
        <w:rPr>
          <w:color w:val="231F20"/>
          <w:spacing w:val="-10"/>
        </w:rPr>
        <w:t> </w:t>
      </w:r>
      <w:r>
        <w:rPr>
          <w:color w:val="231F20"/>
          <w:spacing w:val="-2"/>
        </w:rPr>
        <w:t>à</w:t>
      </w:r>
      <w:r>
        <w:rPr>
          <w:color w:val="231F20"/>
          <w:spacing w:val="-11"/>
        </w:rPr>
        <w:t> </w:t>
      </w:r>
      <w:r>
        <w:rPr>
          <w:color w:val="231F20"/>
          <w:spacing w:val="-2"/>
        </w:rPr>
        <w:t>quatre</w:t>
      </w:r>
      <w:r>
        <w:rPr>
          <w:color w:val="231F20"/>
          <w:spacing w:val="-13"/>
        </w:rPr>
        <w:t> </w:t>
      </w:r>
      <w:r>
        <w:rPr>
          <w:color w:val="231F20"/>
          <w:spacing w:val="-2"/>
        </w:rPr>
        <w:t>pièces</w:t>
      </w:r>
      <w:r>
        <w:rPr>
          <w:color w:val="231F20"/>
          <w:spacing w:val="-8"/>
        </w:rPr>
        <w:t> </w:t>
      </w:r>
      <w:r>
        <w:rPr>
          <w:color w:val="231F20"/>
          <w:spacing w:val="-2"/>
        </w:rPr>
        <w:t>abritant</w:t>
      </w:r>
      <w:r>
        <w:rPr>
          <w:color w:val="231F20"/>
          <w:spacing w:val="-10"/>
        </w:rPr>
        <w:t> </w:t>
      </w:r>
      <w:r>
        <w:rPr>
          <w:color w:val="231F20"/>
          <w:spacing w:val="-2"/>
        </w:rPr>
        <w:t>une</w:t>
      </w:r>
      <w:r>
        <w:rPr>
          <w:color w:val="231F20"/>
          <w:spacing w:val="-11"/>
        </w:rPr>
        <w:t> </w:t>
      </w:r>
      <w:r>
        <w:rPr>
          <w:color w:val="231F20"/>
          <w:spacing w:val="-2"/>
        </w:rPr>
        <w:t>dizaine,</w:t>
      </w:r>
      <w:r>
        <w:rPr>
          <w:color w:val="231F20"/>
          <w:spacing w:val="-8"/>
        </w:rPr>
        <w:t> </w:t>
      </w:r>
      <w:r>
        <w:rPr>
          <w:color w:val="231F20"/>
          <w:spacing w:val="-2"/>
        </w:rPr>
        <w:t>voire</w:t>
      </w:r>
      <w:r>
        <w:rPr>
          <w:color w:val="231F20"/>
          <w:spacing w:val="-10"/>
        </w:rPr>
        <w:t> </w:t>
      </w:r>
      <w:r>
        <w:rPr>
          <w:color w:val="231F20"/>
          <w:spacing w:val="-2"/>
        </w:rPr>
        <w:t>une</w:t>
      </w:r>
      <w:r>
        <w:rPr>
          <w:color w:val="231F20"/>
          <w:spacing w:val="-11"/>
        </w:rPr>
        <w:t> </w:t>
      </w:r>
      <w:r>
        <w:rPr>
          <w:color w:val="231F20"/>
          <w:spacing w:val="-2"/>
        </w:rPr>
        <w:t>quinzaine </w:t>
      </w:r>
      <w:r>
        <w:rPr>
          <w:color w:val="231F20"/>
        </w:rPr>
        <w:t>de personnes dont de nombreux jeunes déscolarisés et sans emploi. Ils </w:t>
      </w:r>
      <w:r>
        <w:rPr>
          <w:color w:val="231F20"/>
          <w:spacing w:val="-2"/>
        </w:rPr>
        <w:t>noient</w:t>
      </w:r>
      <w:r>
        <w:rPr>
          <w:color w:val="231F20"/>
          <w:spacing w:val="-15"/>
        </w:rPr>
        <w:t> </w:t>
      </w:r>
      <w:r>
        <w:rPr>
          <w:color w:val="231F20"/>
          <w:spacing w:val="-2"/>
        </w:rPr>
        <w:t>leur</w:t>
      </w:r>
      <w:r>
        <w:rPr>
          <w:color w:val="231F20"/>
          <w:spacing w:val="-13"/>
        </w:rPr>
        <w:t> </w:t>
      </w:r>
      <w:r>
        <w:rPr>
          <w:color w:val="231F20"/>
          <w:spacing w:val="-2"/>
        </w:rPr>
        <w:t>misère</w:t>
      </w:r>
      <w:r>
        <w:rPr>
          <w:color w:val="231F20"/>
          <w:spacing w:val="-13"/>
        </w:rPr>
        <w:t> </w:t>
      </w:r>
      <w:r>
        <w:rPr>
          <w:color w:val="231F20"/>
          <w:spacing w:val="-2"/>
        </w:rPr>
        <w:t>avec</w:t>
      </w:r>
      <w:r>
        <w:rPr>
          <w:color w:val="231F20"/>
          <w:spacing w:val="-13"/>
        </w:rPr>
        <w:t> </w:t>
      </w:r>
      <w:r>
        <w:rPr>
          <w:color w:val="231F20"/>
          <w:spacing w:val="-2"/>
        </w:rPr>
        <w:t>la</w:t>
      </w:r>
      <w:r>
        <w:rPr>
          <w:color w:val="231F20"/>
          <w:spacing w:val="-13"/>
        </w:rPr>
        <w:t> </w:t>
      </w:r>
      <w:r>
        <w:rPr>
          <w:color w:val="231F20"/>
          <w:spacing w:val="-2"/>
        </w:rPr>
        <w:t>bière</w:t>
      </w:r>
      <w:r>
        <w:rPr>
          <w:color w:val="231F20"/>
          <w:spacing w:val="-13"/>
        </w:rPr>
        <w:t> </w:t>
      </w:r>
      <w:r>
        <w:rPr>
          <w:color w:val="231F20"/>
          <w:spacing w:val="-2"/>
        </w:rPr>
        <w:t>ancestrale,</w:t>
      </w:r>
      <w:r>
        <w:rPr>
          <w:color w:val="231F20"/>
          <w:spacing w:val="-13"/>
        </w:rPr>
        <w:t> </w:t>
      </w:r>
      <w:r>
        <w:rPr>
          <w:color w:val="231F20"/>
          <w:spacing w:val="-2"/>
        </w:rPr>
        <w:t>le</w:t>
      </w:r>
      <w:r>
        <w:rPr>
          <w:color w:val="231F20"/>
          <w:spacing w:val="-13"/>
        </w:rPr>
        <w:t> </w:t>
      </w:r>
      <w:r>
        <w:rPr>
          <w:color w:val="231F20"/>
          <w:spacing w:val="-2"/>
        </w:rPr>
        <w:t>koutoukou</w:t>
      </w:r>
      <w:r>
        <w:rPr>
          <w:color w:val="231F20"/>
          <w:spacing w:val="-13"/>
        </w:rPr>
        <w:t> </w:t>
      </w:r>
      <w:r>
        <w:rPr>
          <w:color w:val="231F20"/>
          <w:spacing w:val="-2"/>
        </w:rPr>
        <w:t>ou</w:t>
      </w:r>
      <w:r>
        <w:rPr>
          <w:color w:val="231F20"/>
          <w:spacing w:val="-13"/>
        </w:rPr>
        <w:t> </w:t>
      </w:r>
      <w:r>
        <w:rPr>
          <w:color w:val="231F20"/>
          <w:spacing w:val="-2"/>
        </w:rPr>
        <w:t>gbêlê</w:t>
      </w:r>
      <w:r>
        <w:rPr>
          <w:color w:val="231F20"/>
          <w:spacing w:val="-13"/>
        </w:rPr>
        <w:t> </w:t>
      </w:r>
      <w:r>
        <w:rPr>
          <w:color w:val="231F20"/>
          <w:spacing w:val="-2"/>
        </w:rPr>
        <w:t>en</w:t>
      </w:r>
      <w:r>
        <w:rPr>
          <w:color w:val="231F20"/>
          <w:spacing w:val="-13"/>
        </w:rPr>
        <w:t> </w:t>
      </w:r>
      <w:r>
        <w:rPr>
          <w:color w:val="231F20"/>
          <w:spacing w:val="-2"/>
        </w:rPr>
        <w:t>Côte d'Ivoire,</w:t>
      </w:r>
      <w:r>
        <w:rPr>
          <w:color w:val="231F20"/>
          <w:spacing w:val="-13"/>
        </w:rPr>
        <w:t> </w:t>
      </w:r>
      <w:r>
        <w:rPr>
          <w:color w:val="231F20"/>
          <w:spacing w:val="-2"/>
        </w:rPr>
        <w:t>le</w:t>
      </w:r>
      <w:r>
        <w:rPr>
          <w:color w:val="231F20"/>
          <w:spacing w:val="-13"/>
        </w:rPr>
        <w:t> </w:t>
      </w:r>
      <w:r>
        <w:rPr>
          <w:color w:val="231F20"/>
          <w:spacing w:val="-2"/>
        </w:rPr>
        <w:t>sodabi</w:t>
      </w:r>
      <w:r>
        <w:rPr>
          <w:color w:val="231F20"/>
          <w:spacing w:val="-13"/>
        </w:rPr>
        <w:t> </w:t>
      </w:r>
      <w:r>
        <w:rPr>
          <w:color w:val="231F20"/>
          <w:spacing w:val="-2"/>
        </w:rPr>
        <w:t>au</w:t>
      </w:r>
      <w:r>
        <w:rPr>
          <w:color w:val="231F20"/>
          <w:spacing w:val="-13"/>
        </w:rPr>
        <w:t> </w:t>
      </w:r>
      <w:r>
        <w:rPr>
          <w:color w:val="231F20"/>
          <w:spacing w:val="-2"/>
        </w:rPr>
        <w:t>Bénin</w:t>
      </w:r>
      <w:r>
        <w:rPr>
          <w:color w:val="231F20"/>
          <w:spacing w:val="-13"/>
        </w:rPr>
        <w:t> </w:t>
      </w:r>
      <w:r>
        <w:rPr>
          <w:color w:val="231F20"/>
          <w:spacing w:val="-2"/>
        </w:rPr>
        <w:t>et</w:t>
      </w:r>
      <w:r>
        <w:rPr>
          <w:color w:val="231F20"/>
          <w:spacing w:val="-13"/>
        </w:rPr>
        <w:t> </w:t>
      </w:r>
      <w:r>
        <w:rPr>
          <w:color w:val="231F20"/>
          <w:spacing w:val="-2"/>
        </w:rPr>
        <w:t>au</w:t>
      </w:r>
      <w:r>
        <w:rPr>
          <w:color w:val="231F20"/>
          <w:spacing w:val="-13"/>
        </w:rPr>
        <w:t> </w:t>
      </w:r>
      <w:r>
        <w:rPr>
          <w:color w:val="231F20"/>
          <w:spacing w:val="-2"/>
        </w:rPr>
        <w:t>Togo,</w:t>
      </w:r>
      <w:r>
        <w:rPr>
          <w:color w:val="231F20"/>
          <w:spacing w:val="-13"/>
        </w:rPr>
        <w:t> </w:t>
      </w:r>
      <w:r>
        <w:rPr>
          <w:color w:val="231F20"/>
          <w:spacing w:val="-2"/>
        </w:rPr>
        <w:t>l’odontol</w:t>
      </w:r>
      <w:r>
        <w:rPr>
          <w:color w:val="231F20"/>
          <w:spacing w:val="-13"/>
        </w:rPr>
        <w:t> </w:t>
      </w:r>
      <w:r>
        <w:rPr>
          <w:color w:val="231F20"/>
          <w:spacing w:val="-2"/>
        </w:rPr>
        <w:t>au</w:t>
      </w:r>
      <w:r>
        <w:rPr>
          <w:color w:val="231F20"/>
          <w:spacing w:val="-13"/>
        </w:rPr>
        <w:t> </w:t>
      </w:r>
      <w:r>
        <w:rPr>
          <w:color w:val="231F20"/>
          <w:spacing w:val="-2"/>
        </w:rPr>
        <w:t>Cameroun</w:t>
      </w:r>
      <w:r>
        <w:rPr>
          <w:color w:val="231F20"/>
          <w:spacing w:val="-13"/>
        </w:rPr>
        <w:t> </w:t>
      </w:r>
      <w:r>
        <w:rPr>
          <w:color w:val="231F20"/>
          <w:spacing w:val="-2"/>
        </w:rPr>
        <w:t>ou</w:t>
      </w:r>
      <w:r>
        <w:rPr>
          <w:color w:val="231F20"/>
          <w:spacing w:val="-13"/>
        </w:rPr>
        <w:t> </w:t>
      </w:r>
      <w:r>
        <w:rPr>
          <w:color w:val="231F20"/>
          <w:spacing w:val="-2"/>
        </w:rPr>
        <w:t>encore </w:t>
      </w:r>
      <w:r>
        <w:rPr>
          <w:color w:val="231F20"/>
        </w:rPr>
        <w:t>le dolo au Burkina Faso et au Mali, dans leurs rues poussiéreuses ou boueuses selon les saisons.</w:t>
      </w:r>
    </w:p>
    <w:p>
      <w:pPr>
        <w:pStyle w:val="BodyText"/>
        <w:spacing w:before="121"/>
        <w:ind w:right="104" w:firstLine="283"/>
      </w:pPr>
      <w:r>
        <w:rPr>
          <w:color w:val="231F20"/>
        </w:rPr>
        <w:t>En Octobre 2016, j’étais à Ouagadougou, capitale du Burkina-faso. L’armée était en faction en de nombreux endroits. Il était interdit de voyager</w:t>
      </w:r>
      <w:r>
        <w:rPr>
          <w:color w:val="231F20"/>
          <w:spacing w:val="-15"/>
        </w:rPr>
        <w:t> </w:t>
      </w:r>
      <w:r>
        <w:rPr>
          <w:color w:val="231F20"/>
        </w:rPr>
        <w:t>seul</w:t>
      </w:r>
      <w:r>
        <w:rPr>
          <w:color w:val="231F20"/>
          <w:spacing w:val="-15"/>
        </w:rPr>
        <w:t> </w:t>
      </w:r>
      <w:r>
        <w:rPr>
          <w:color w:val="231F20"/>
        </w:rPr>
        <w:t>et</w:t>
      </w:r>
      <w:r>
        <w:rPr>
          <w:color w:val="231F20"/>
          <w:spacing w:val="-15"/>
        </w:rPr>
        <w:t> </w:t>
      </w:r>
      <w:r>
        <w:rPr>
          <w:color w:val="231F20"/>
        </w:rPr>
        <w:t>d’aller</w:t>
      </w:r>
      <w:r>
        <w:rPr>
          <w:color w:val="231F20"/>
          <w:spacing w:val="-15"/>
        </w:rPr>
        <w:t> </w:t>
      </w:r>
      <w:r>
        <w:rPr>
          <w:color w:val="231F20"/>
        </w:rPr>
        <w:t>dans</w:t>
      </w:r>
      <w:r>
        <w:rPr>
          <w:color w:val="231F20"/>
          <w:spacing w:val="-15"/>
        </w:rPr>
        <w:t> </w:t>
      </w:r>
      <w:r>
        <w:rPr>
          <w:color w:val="231F20"/>
        </w:rPr>
        <w:t>certaines</w:t>
      </w:r>
      <w:r>
        <w:rPr>
          <w:color w:val="231F20"/>
          <w:spacing w:val="-15"/>
        </w:rPr>
        <w:t> </w:t>
      </w:r>
      <w:r>
        <w:rPr>
          <w:color w:val="231F20"/>
        </w:rPr>
        <w:t>régions</w:t>
      </w:r>
      <w:r>
        <w:rPr>
          <w:color w:val="231F20"/>
          <w:spacing w:val="-15"/>
        </w:rPr>
        <w:t> </w:t>
      </w:r>
      <w:r>
        <w:rPr>
          <w:color w:val="231F20"/>
        </w:rPr>
        <w:t>du</w:t>
      </w:r>
      <w:r>
        <w:rPr>
          <w:color w:val="231F20"/>
          <w:spacing w:val="-15"/>
        </w:rPr>
        <w:t> </w:t>
      </w:r>
      <w:r>
        <w:rPr>
          <w:color w:val="231F20"/>
        </w:rPr>
        <w:t>pays.</w:t>
      </w:r>
      <w:r>
        <w:rPr>
          <w:color w:val="231F20"/>
          <w:spacing w:val="-5"/>
        </w:rPr>
        <w:t> </w:t>
      </w:r>
      <w:r>
        <w:rPr>
          <w:color w:val="231F20"/>
        </w:rPr>
        <w:t>Venu</w:t>
      </w:r>
      <w:r>
        <w:rPr>
          <w:color w:val="231F20"/>
          <w:spacing w:val="-15"/>
        </w:rPr>
        <w:t> </w:t>
      </w:r>
      <w:r>
        <w:rPr>
          <w:color w:val="231F20"/>
        </w:rPr>
        <w:t>du</w:t>
      </w:r>
      <w:r>
        <w:rPr>
          <w:color w:val="231F20"/>
          <w:spacing w:val="-15"/>
        </w:rPr>
        <w:t> </w:t>
      </w:r>
      <w:r>
        <w:rPr>
          <w:color w:val="231F20"/>
        </w:rPr>
        <w:t>Sahel,</w:t>
      </w:r>
      <w:r>
        <w:rPr>
          <w:color w:val="231F20"/>
          <w:spacing w:val="-15"/>
        </w:rPr>
        <w:t> </w:t>
      </w:r>
      <w:r>
        <w:rPr>
          <w:color w:val="231F20"/>
        </w:rPr>
        <w:t>le djihad</w:t>
      </w:r>
      <w:r>
        <w:rPr>
          <w:color w:val="231F20"/>
          <w:spacing w:val="-15"/>
        </w:rPr>
        <w:t> </w:t>
      </w:r>
      <w:r>
        <w:rPr>
          <w:color w:val="231F20"/>
        </w:rPr>
        <w:t>pose</w:t>
      </w:r>
      <w:r>
        <w:rPr>
          <w:color w:val="231F20"/>
          <w:spacing w:val="-15"/>
        </w:rPr>
        <w:t> </w:t>
      </w:r>
      <w:r>
        <w:rPr>
          <w:color w:val="231F20"/>
        </w:rPr>
        <w:t>des</w:t>
      </w:r>
      <w:r>
        <w:rPr>
          <w:color w:val="231F20"/>
          <w:spacing w:val="-14"/>
        </w:rPr>
        <w:t> </w:t>
      </w:r>
      <w:r>
        <w:rPr>
          <w:color w:val="231F20"/>
        </w:rPr>
        <w:t>actes</w:t>
      </w:r>
      <w:r>
        <w:rPr>
          <w:color w:val="231F20"/>
          <w:spacing w:val="-15"/>
        </w:rPr>
        <w:t> </w:t>
      </w:r>
      <w:r>
        <w:rPr>
          <w:color w:val="231F20"/>
        </w:rPr>
        <w:t>abominables</w:t>
      </w:r>
      <w:r>
        <w:rPr>
          <w:color w:val="231F20"/>
          <w:spacing w:val="-15"/>
        </w:rPr>
        <w:t> </w:t>
      </w:r>
      <w:r>
        <w:rPr>
          <w:color w:val="231F20"/>
        </w:rPr>
        <w:t>dans</w:t>
      </w:r>
      <w:r>
        <w:rPr>
          <w:color w:val="231F20"/>
          <w:spacing w:val="-14"/>
        </w:rPr>
        <w:t> </w:t>
      </w:r>
      <w:r>
        <w:rPr>
          <w:color w:val="231F20"/>
        </w:rPr>
        <w:t>le</w:t>
      </w:r>
      <w:r>
        <w:rPr>
          <w:color w:val="231F20"/>
          <w:spacing w:val="-15"/>
        </w:rPr>
        <w:t> </w:t>
      </w:r>
      <w:r>
        <w:rPr>
          <w:color w:val="231F20"/>
        </w:rPr>
        <w:t>Nord</w:t>
      </w:r>
      <w:r>
        <w:rPr>
          <w:color w:val="231F20"/>
          <w:spacing w:val="-15"/>
        </w:rPr>
        <w:t> </w:t>
      </w:r>
      <w:r>
        <w:rPr>
          <w:color w:val="231F20"/>
        </w:rPr>
        <w:t>du</w:t>
      </w:r>
      <w:r>
        <w:rPr>
          <w:color w:val="231F20"/>
          <w:spacing w:val="-15"/>
        </w:rPr>
        <w:t> </w:t>
      </w:r>
      <w:r>
        <w:rPr>
          <w:color w:val="231F20"/>
        </w:rPr>
        <w:t>pays</w:t>
      </w:r>
      <w:r>
        <w:rPr>
          <w:color w:val="231F20"/>
          <w:spacing w:val="-14"/>
        </w:rPr>
        <w:t> </w:t>
      </w:r>
      <w:r>
        <w:rPr>
          <w:color w:val="231F20"/>
        </w:rPr>
        <w:t>et</w:t>
      </w:r>
      <w:r>
        <w:rPr>
          <w:color w:val="231F20"/>
          <w:spacing w:val="-15"/>
        </w:rPr>
        <w:t> </w:t>
      </w:r>
      <w:r>
        <w:rPr>
          <w:color w:val="231F20"/>
        </w:rPr>
        <w:t>également</w:t>
      </w:r>
      <w:r>
        <w:rPr>
          <w:color w:val="231F20"/>
          <w:spacing w:val="-14"/>
        </w:rPr>
        <w:t> </w:t>
      </w:r>
      <w:r>
        <w:rPr>
          <w:color w:val="231F20"/>
        </w:rPr>
        <w:t>au Niger et au</w:t>
      </w:r>
      <w:r>
        <w:rPr>
          <w:color w:val="231F20"/>
          <w:spacing w:val="-1"/>
        </w:rPr>
        <w:t> </w:t>
      </w:r>
      <w:r>
        <w:rPr>
          <w:color w:val="231F20"/>
        </w:rPr>
        <w:t>Mali sans rencontrer d’opposition.</w:t>
      </w:r>
    </w:p>
    <w:p>
      <w:pPr>
        <w:pStyle w:val="BodyText"/>
        <w:spacing w:before="120"/>
        <w:ind w:left="395"/>
      </w:pPr>
      <w:r>
        <w:rPr>
          <w:color w:val="231F20"/>
          <w:spacing w:val="-2"/>
        </w:rPr>
        <w:t>Dans</w:t>
      </w:r>
      <w:r>
        <w:rPr>
          <w:color w:val="231F20"/>
          <w:spacing w:val="-14"/>
        </w:rPr>
        <w:t> </w:t>
      </w:r>
      <w:r>
        <w:rPr>
          <w:color w:val="231F20"/>
          <w:spacing w:val="-2"/>
        </w:rPr>
        <w:t>les</w:t>
      </w:r>
      <w:r>
        <w:rPr>
          <w:color w:val="231F20"/>
          <w:spacing w:val="-12"/>
        </w:rPr>
        <w:t> </w:t>
      </w:r>
      <w:r>
        <w:rPr>
          <w:color w:val="231F20"/>
          <w:spacing w:val="-2"/>
        </w:rPr>
        <w:t>pages</w:t>
      </w:r>
      <w:r>
        <w:rPr>
          <w:color w:val="231F20"/>
          <w:spacing w:val="-12"/>
        </w:rPr>
        <w:t> </w:t>
      </w:r>
      <w:r>
        <w:rPr>
          <w:color w:val="231F20"/>
          <w:spacing w:val="-2"/>
        </w:rPr>
        <w:t>qui</w:t>
      </w:r>
      <w:r>
        <w:rPr>
          <w:color w:val="231F20"/>
          <w:spacing w:val="-11"/>
        </w:rPr>
        <w:t> </w:t>
      </w:r>
      <w:r>
        <w:rPr>
          <w:color w:val="231F20"/>
          <w:spacing w:val="-2"/>
        </w:rPr>
        <w:t>vont</w:t>
      </w:r>
      <w:r>
        <w:rPr>
          <w:color w:val="231F20"/>
          <w:spacing w:val="-12"/>
        </w:rPr>
        <w:t> </w:t>
      </w:r>
      <w:r>
        <w:rPr>
          <w:color w:val="231F20"/>
          <w:spacing w:val="-2"/>
        </w:rPr>
        <w:t>suivre,</w:t>
      </w:r>
      <w:r>
        <w:rPr>
          <w:color w:val="231F20"/>
          <w:spacing w:val="-11"/>
        </w:rPr>
        <w:t> </w:t>
      </w:r>
      <w:r>
        <w:rPr>
          <w:color w:val="231F20"/>
          <w:spacing w:val="-2"/>
        </w:rPr>
        <w:t>nous</w:t>
      </w:r>
      <w:r>
        <w:rPr>
          <w:color w:val="231F20"/>
          <w:spacing w:val="-12"/>
        </w:rPr>
        <w:t> </w:t>
      </w:r>
      <w:r>
        <w:rPr>
          <w:color w:val="231F20"/>
          <w:spacing w:val="-2"/>
        </w:rPr>
        <w:t>nous</w:t>
      </w:r>
      <w:r>
        <w:rPr>
          <w:color w:val="231F20"/>
          <w:spacing w:val="-12"/>
        </w:rPr>
        <w:t> </w:t>
      </w:r>
      <w:r>
        <w:rPr>
          <w:color w:val="231F20"/>
          <w:spacing w:val="-2"/>
        </w:rPr>
        <w:t>intéressons</w:t>
      </w:r>
      <w:r>
        <w:rPr>
          <w:color w:val="231F20"/>
          <w:spacing w:val="-11"/>
        </w:rPr>
        <w:t> </w:t>
      </w:r>
      <w:r>
        <w:rPr>
          <w:color w:val="231F20"/>
          <w:spacing w:val="-2"/>
        </w:rPr>
        <w:t>essentiellement,</w:t>
      </w:r>
    </w:p>
    <w:p>
      <w:pPr>
        <w:pStyle w:val="BodyText"/>
      </w:pPr>
      <w:r>
        <w:rPr>
          <w:color w:val="231F20"/>
        </w:rPr>
        <w:t>aux</w:t>
      </w:r>
      <w:r>
        <w:rPr>
          <w:color w:val="231F20"/>
          <w:spacing w:val="20"/>
        </w:rPr>
        <w:t> </w:t>
      </w:r>
      <w:r>
        <w:rPr>
          <w:color w:val="231F20"/>
        </w:rPr>
        <w:t>anciennes</w:t>
      </w:r>
      <w:r>
        <w:rPr>
          <w:color w:val="231F20"/>
          <w:spacing w:val="23"/>
        </w:rPr>
        <w:t> </w:t>
      </w:r>
      <w:r>
        <w:rPr>
          <w:color w:val="231F20"/>
        </w:rPr>
        <w:t>colonies</w:t>
      </w:r>
      <w:r>
        <w:rPr>
          <w:color w:val="231F20"/>
          <w:spacing w:val="23"/>
        </w:rPr>
        <w:t> </w:t>
      </w:r>
      <w:r>
        <w:rPr>
          <w:color w:val="231F20"/>
        </w:rPr>
        <w:t>d’Afrique</w:t>
      </w:r>
      <w:r>
        <w:rPr>
          <w:color w:val="231F20"/>
          <w:spacing w:val="23"/>
        </w:rPr>
        <w:t> </w:t>
      </w:r>
      <w:r>
        <w:rPr>
          <w:color w:val="231F20"/>
        </w:rPr>
        <w:t>noire</w:t>
      </w:r>
      <w:r>
        <w:rPr>
          <w:color w:val="231F20"/>
          <w:spacing w:val="22"/>
        </w:rPr>
        <w:t> </w:t>
      </w:r>
      <w:r>
        <w:rPr>
          <w:color w:val="231F20"/>
        </w:rPr>
        <w:t>de</w:t>
      </w:r>
      <w:r>
        <w:rPr>
          <w:color w:val="231F20"/>
          <w:spacing w:val="20"/>
        </w:rPr>
        <w:t> </w:t>
      </w:r>
      <w:r>
        <w:rPr>
          <w:color w:val="231F20"/>
        </w:rPr>
        <w:t>la</w:t>
      </w:r>
      <w:r>
        <w:rPr>
          <w:color w:val="231F20"/>
          <w:spacing w:val="23"/>
        </w:rPr>
        <w:t> </w:t>
      </w:r>
      <w:r>
        <w:rPr>
          <w:color w:val="231F20"/>
        </w:rPr>
        <w:t>France</w:t>
      </w:r>
      <w:r>
        <w:rPr>
          <w:color w:val="231F20"/>
          <w:spacing w:val="22"/>
        </w:rPr>
        <w:t> </w:t>
      </w:r>
      <w:r>
        <w:rPr>
          <w:color w:val="231F20"/>
        </w:rPr>
        <w:t>mais</w:t>
      </w:r>
      <w:r>
        <w:rPr>
          <w:color w:val="231F20"/>
          <w:spacing w:val="22"/>
        </w:rPr>
        <w:t> </w:t>
      </w:r>
      <w:r>
        <w:rPr>
          <w:color w:val="231F20"/>
        </w:rPr>
        <w:t>nous</w:t>
      </w:r>
      <w:r>
        <w:rPr>
          <w:color w:val="231F20"/>
          <w:spacing w:val="24"/>
        </w:rPr>
        <w:t> </w:t>
      </w:r>
      <w:r>
        <w:rPr>
          <w:color w:val="231F20"/>
          <w:spacing w:val="-2"/>
        </w:rPr>
        <w:t>irons</w:t>
      </w: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spacing w:before="48"/>
        <w:ind w:left="0"/>
        <w:jc w:val="left"/>
      </w:pPr>
    </w:p>
    <w:p>
      <w:pPr>
        <w:pStyle w:val="BodyText"/>
        <w:ind w:left="67" w:right="67"/>
        <w:jc w:val="center"/>
      </w:pPr>
      <w:r>
        <w:rPr>
          <w:color w:val="231F20"/>
          <w:spacing w:val="-5"/>
        </w:rPr>
        <w:t>12</w:t>
      </w:r>
    </w:p>
    <w:p>
      <w:pPr>
        <w:spacing w:after="0"/>
        <w:jc w:val="center"/>
        <w:sectPr>
          <w:footerReference w:type="even" r:id="rId14"/>
          <w:pgSz w:w="8790" w:h="13610"/>
          <w:pgMar w:header="0" w:footer="0" w:top="1060" w:bottom="280" w:left="880" w:right="880"/>
        </w:sectPr>
      </w:pPr>
    </w:p>
    <w:p>
      <w:pPr>
        <w:pStyle w:val="BodyText"/>
        <w:spacing w:before="86"/>
        <w:ind w:right="102"/>
      </w:pPr>
      <w:r>
        <w:rPr>
          <w:color w:val="231F20"/>
          <w:spacing w:val="-2"/>
        </w:rPr>
        <w:t>aussi,</w:t>
      </w:r>
      <w:r>
        <w:rPr>
          <w:color w:val="231F20"/>
          <w:spacing w:val="-9"/>
        </w:rPr>
        <w:t> </w:t>
      </w:r>
      <w:r>
        <w:rPr>
          <w:color w:val="231F20"/>
          <w:spacing w:val="-2"/>
        </w:rPr>
        <w:t>à</w:t>
      </w:r>
      <w:r>
        <w:rPr>
          <w:color w:val="231F20"/>
          <w:spacing w:val="-10"/>
        </w:rPr>
        <w:t> </w:t>
      </w:r>
      <w:r>
        <w:rPr>
          <w:color w:val="231F20"/>
          <w:spacing w:val="-2"/>
        </w:rPr>
        <w:t>la</w:t>
      </w:r>
      <w:r>
        <w:rPr>
          <w:color w:val="231F20"/>
          <w:spacing w:val="-10"/>
        </w:rPr>
        <w:t> </w:t>
      </w:r>
      <w:r>
        <w:rPr>
          <w:color w:val="231F20"/>
          <w:spacing w:val="-2"/>
        </w:rPr>
        <w:t>découverte</w:t>
      </w:r>
      <w:r>
        <w:rPr>
          <w:color w:val="231F20"/>
          <w:spacing w:val="-10"/>
        </w:rPr>
        <w:t> </w:t>
      </w:r>
      <w:r>
        <w:rPr>
          <w:color w:val="231F20"/>
          <w:spacing w:val="-2"/>
        </w:rPr>
        <w:t>de</w:t>
      </w:r>
      <w:r>
        <w:rPr>
          <w:color w:val="231F20"/>
          <w:spacing w:val="-8"/>
        </w:rPr>
        <w:t> </w:t>
      </w:r>
      <w:r>
        <w:rPr>
          <w:color w:val="231F20"/>
          <w:spacing w:val="-2"/>
        </w:rPr>
        <w:t>celles</w:t>
      </w:r>
      <w:r>
        <w:rPr>
          <w:color w:val="231F20"/>
          <w:spacing w:val="-9"/>
        </w:rPr>
        <w:t> </w:t>
      </w:r>
      <w:r>
        <w:rPr>
          <w:color w:val="231F20"/>
          <w:spacing w:val="-2"/>
        </w:rPr>
        <w:t>de</w:t>
      </w:r>
      <w:r>
        <w:rPr>
          <w:color w:val="231F20"/>
          <w:spacing w:val="-9"/>
        </w:rPr>
        <w:t> </w:t>
      </w:r>
      <w:r>
        <w:rPr>
          <w:color w:val="231F20"/>
          <w:spacing w:val="-2"/>
        </w:rPr>
        <w:t>la</w:t>
      </w:r>
      <w:r>
        <w:rPr>
          <w:color w:val="231F20"/>
          <w:spacing w:val="-9"/>
        </w:rPr>
        <w:t> </w:t>
      </w:r>
      <w:r>
        <w:rPr>
          <w:color w:val="231F20"/>
          <w:spacing w:val="-2"/>
        </w:rPr>
        <w:t>Belgique</w:t>
      </w:r>
      <w:r>
        <w:rPr>
          <w:color w:val="231F20"/>
          <w:spacing w:val="-2"/>
          <w:vertAlign w:val="superscript"/>
        </w:rPr>
        <w:t>1</w:t>
      </w:r>
      <w:r>
        <w:rPr>
          <w:color w:val="231F20"/>
          <w:spacing w:val="-6"/>
          <w:vertAlign w:val="baseline"/>
        </w:rPr>
        <w:t> </w:t>
      </w:r>
      <w:r>
        <w:rPr>
          <w:color w:val="231F20"/>
          <w:spacing w:val="-2"/>
          <w:vertAlign w:val="baseline"/>
        </w:rPr>
        <w:t>:</w:t>
      </w:r>
      <w:r>
        <w:rPr>
          <w:color w:val="231F20"/>
          <w:spacing w:val="-10"/>
          <w:vertAlign w:val="baseline"/>
        </w:rPr>
        <w:t> </w:t>
      </w:r>
      <w:r>
        <w:rPr>
          <w:color w:val="231F20"/>
          <w:spacing w:val="-2"/>
          <w:vertAlign w:val="baseline"/>
        </w:rPr>
        <w:t>leur</w:t>
      </w:r>
      <w:r>
        <w:rPr>
          <w:color w:val="231F20"/>
          <w:spacing w:val="-10"/>
          <w:vertAlign w:val="baseline"/>
        </w:rPr>
        <w:t> </w:t>
      </w:r>
      <w:r>
        <w:rPr>
          <w:color w:val="231F20"/>
          <w:spacing w:val="-2"/>
          <w:vertAlign w:val="baseline"/>
        </w:rPr>
        <w:t>vécu</w:t>
      </w:r>
      <w:r>
        <w:rPr>
          <w:color w:val="231F20"/>
          <w:spacing w:val="-7"/>
          <w:vertAlign w:val="baseline"/>
        </w:rPr>
        <w:t> </w:t>
      </w:r>
      <w:r>
        <w:rPr>
          <w:color w:val="231F20"/>
          <w:spacing w:val="-2"/>
          <w:vertAlign w:val="baseline"/>
        </w:rPr>
        <w:t>avant,</w:t>
      </w:r>
      <w:r>
        <w:rPr>
          <w:color w:val="231F20"/>
          <w:spacing w:val="-7"/>
          <w:vertAlign w:val="baseline"/>
        </w:rPr>
        <w:t> </w:t>
      </w:r>
      <w:r>
        <w:rPr>
          <w:color w:val="231F20"/>
          <w:spacing w:val="-2"/>
          <w:vertAlign w:val="baseline"/>
        </w:rPr>
        <w:t>pendant </w:t>
      </w:r>
      <w:r>
        <w:rPr>
          <w:color w:val="231F20"/>
          <w:vertAlign w:val="baseline"/>
        </w:rPr>
        <w:t>et après la colonisation.</w:t>
      </w:r>
    </w:p>
    <w:p>
      <w:pPr>
        <w:pStyle w:val="BodyText"/>
        <w:spacing w:before="120"/>
        <w:ind w:left="395"/>
      </w:pPr>
      <w:r>
        <w:rPr>
          <w:color w:val="231F20"/>
          <w:spacing w:val="-2"/>
        </w:rPr>
        <w:t>Mon</w:t>
      </w:r>
      <w:r>
        <w:rPr>
          <w:color w:val="231F20"/>
          <w:spacing w:val="-8"/>
        </w:rPr>
        <w:t> </w:t>
      </w:r>
      <w:r>
        <w:rPr>
          <w:color w:val="231F20"/>
          <w:spacing w:val="-2"/>
        </w:rPr>
        <w:t>intention</w:t>
      </w:r>
      <w:r>
        <w:rPr>
          <w:color w:val="231F20"/>
          <w:spacing w:val="-7"/>
        </w:rPr>
        <w:t> </w:t>
      </w:r>
      <w:r>
        <w:rPr>
          <w:color w:val="231F20"/>
          <w:spacing w:val="-2"/>
        </w:rPr>
        <w:t>en</w:t>
      </w:r>
      <w:r>
        <w:rPr>
          <w:color w:val="231F20"/>
          <w:spacing w:val="-5"/>
        </w:rPr>
        <w:t> </w:t>
      </w:r>
      <w:r>
        <w:rPr>
          <w:color w:val="231F20"/>
          <w:spacing w:val="-2"/>
        </w:rPr>
        <w:t>écrivant</w:t>
      </w:r>
      <w:r>
        <w:rPr>
          <w:color w:val="231F20"/>
          <w:spacing w:val="-7"/>
        </w:rPr>
        <w:t> </w:t>
      </w:r>
      <w:r>
        <w:rPr>
          <w:color w:val="231F20"/>
          <w:spacing w:val="-2"/>
        </w:rPr>
        <w:t>ce</w:t>
      </w:r>
      <w:r>
        <w:rPr>
          <w:color w:val="231F20"/>
          <w:spacing w:val="-6"/>
        </w:rPr>
        <w:t> </w:t>
      </w:r>
      <w:r>
        <w:rPr>
          <w:color w:val="231F20"/>
          <w:spacing w:val="-2"/>
        </w:rPr>
        <w:t>livre,</w:t>
      </w:r>
      <w:r>
        <w:rPr>
          <w:color w:val="231F20"/>
          <w:spacing w:val="-7"/>
        </w:rPr>
        <w:t> </w:t>
      </w:r>
      <w:r>
        <w:rPr>
          <w:color w:val="231F20"/>
          <w:spacing w:val="-2"/>
        </w:rPr>
        <w:t>c’est</w:t>
      </w:r>
      <w:r>
        <w:rPr>
          <w:color w:val="231F20"/>
          <w:spacing w:val="-7"/>
        </w:rPr>
        <w:t> </w:t>
      </w:r>
      <w:r>
        <w:rPr>
          <w:color w:val="231F20"/>
          <w:spacing w:val="-2"/>
        </w:rPr>
        <w:t>de</w:t>
      </w:r>
      <w:r>
        <w:rPr>
          <w:color w:val="231F20"/>
          <w:spacing w:val="-8"/>
        </w:rPr>
        <w:t> </w:t>
      </w:r>
      <w:r>
        <w:rPr>
          <w:color w:val="231F20"/>
          <w:spacing w:val="-2"/>
        </w:rPr>
        <w:t>mettre</w:t>
      </w:r>
      <w:r>
        <w:rPr>
          <w:color w:val="231F20"/>
          <w:spacing w:val="-8"/>
        </w:rPr>
        <w:t> </w:t>
      </w:r>
      <w:r>
        <w:rPr>
          <w:color w:val="231F20"/>
          <w:spacing w:val="-2"/>
        </w:rPr>
        <w:t>à</w:t>
      </w:r>
      <w:r>
        <w:rPr>
          <w:color w:val="231F20"/>
          <w:spacing w:val="-8"/>
        </w:rPr>
        <w:t> </w:t>
      </w:r>
      <w:r>
        <w:rPr>
          <w:color w:val="231F20"/>
          <w:spacing w:val="-2"/>
        </w:rPr>
        <w:t>la</w:t>
      </w:r>
      <w:r>
        <w:rPr>
          <w:color w:val="231F20"/>
          <w:spacing w:val="-8"/>
        </w:rPr>
        <w:t> </w:t>
      </w:r>
      <w:r>
        <w:rPr>
          <w:color w:val="231F20"/>
          <w:spacing w:val="-2"/>
        </w:rPr>
        <w:t>disposition</w:t>
      </w:r>
      <w:r>
        <w:rPr>
          <w:color w:val="231F20"/>
          <w:spacing w:val="-7"/>
        </w:rPr>
        <w:t> </w:t>
      </w:r>
      <w:r>
        <w:rPr>
          <w:color w:val="231F20"/>
          <w:spacing w:val="-5"/>
        </w:rPr>
        <w:t>des</w:t>
      </w:r>
    </w:p>
    <w:p>
      <w:pPr>
        <w:pStyle w:val="BodyText"/>
      </w:pPr>
      <w:r>
        <w:rPr>
          <w:color w:val="231F20"/>
          <w:spacing w:val="-2"/>
        </w:rPr>
        <w:t>jeunes</w:t>
      </w:r>
      <w:r>
        <w:rPr>
          <w:color w:val="231F20"/>
          <w:spacing w:val="-14"/>
        </w:rPr>
        <w:t> </w:t>
      </w:r>
      <w:r>
        <w:rPr>
          <w:color w:val="231F20"/>
          <w:spacing w:val="-2"/>
        </w:rPr>
        <w:t>Africains</w:t>
      </w:r>
      <w:r>
        <w:rPr>
          <w:color w:val="231F20"/>
          <w:spacing w:val="-11"/>
        </w:rPr>
        <w:t> </w:t>
      </w:r>
      <w:r>
        <w:rPr>
          <w:color w:val="231F20"/>
          <w:spacing w:val="-2"/>
        </w:rPr>
        <w:t>francophones,</w:t>
      </w:r>
      <w:r>
        <w:rPr>
          <w:color w:val="231F20"/>
          <w:spacing w:val="-10"/>
        </w:rPr>
        <w:t> </w:t>
      </w:r>
      <w:r>
        <w:rPr>
          <w:color w:val="231F20"/>
          <w:spacing w:val="-2"/>
        </w:rPr>
        <w:t>un</w:t>
      </w:r>
      <w:r>
        <w:rPr>
          <w:color w:val="231F20"/>
          <w:spacing w:val="-10"/>
        </w:rPr>
        <w:t> </w:t>
      </w:r>
      <w:r>
        <w:rPr>
          <w:color w:val="231F20"/>
          <w:spacing w:val="-2"/>
        </w:rPr>
        <w:t>pan</w:t>
      </w:r>
      <w:r>
        <w:rPr>
          <w:color w:val="231F20"/>
          <w:spacing w:val="-12"/>
        </w:rPr>
        <w:t> </w:t>
      </w:r>
      <w:r>
        <w:rPr>
          <w:color w:val="231F20"/>
          <w:spacing w:val="-2"/>
        </w:rPr>
        <w:t>de</w:t>
      </w:r>
      <w:r>
        <w:rPr>
          <w:color w:val="231F20"/>
          <w:spacing w:val="-10"/>
        </w:rPr>
        <w:t> </w:t>
      </w:r>
      <w:r>
        <w:rPr>
          <w:color w:val="231F20"/>
          <w:spacing w:val="-2"/>
        </w:rPr>
        <w:t>l’histoire</w:t>
      </w:r>
      <w:r>
        <w:rPr>
          <w:color w:val="231F20"/>
          <w:spacing w:val="-13"/>
        </w:rPr>
        <w:t> </w:t>
      </w:r>
      <w:r>
        <w:rPr>
          <w:color w:val="231F20"/>
          <w:spacing w:val="-2"/>
        </w:rPr>
        <w:t>de</w:t>
      </w:r>
      <w:r>
        <w:rPr>
          <w:color w:val="231F20"/>
          <w:spacing w:val="-10"/>
        </w:rPr>
        <w:t> </w:t>
      </w:r>
      <w:r>
        <w:rPr>
          <w:color w:val="231F20"/>
          <w:spacing w:val="-2"/>
        </w:rPr>
        <w:t>leur</w:t>
      </w:r>
      <w:r>
        <w:rPr>
          <w:color w:val="231F20"/>
          <w:spacing w:val="-10"/>
        </w:rPr>
        <w:t> </w:t>
      </w:r>
      <w:r>
        <w:rPr>
          <w:color w:val="231F20"/>
          <w:spacing w:val="-2"/>
        </w:rPr>
        <w:t>pays.</w:t>
      </w:r>
    </w:p>
    <w:p>
      <w:pPr>
        <w:pStyle w:val="BodyText"/>
        <w:spacing w:before="120"/>
        <w:ind w:right="103" w:firstLine="283"/>
      </w:pPr>
      <w:r>
        <w:rPr>
          <w:color w:val="231F20"/>
        </w:rPr>
        <w:t>Ensemble, (re)visitons</w:t>
      </w:r>
      <w:r>
        <w:rPr>
          <w:color w:val="231F20"/>
          <w:spacing w:val="-1"/>
        </w:rPr>
        <w:t> </w:t>
      </w:r>
      <w:r>
        <w:rPr>
          <w:color w:val="231F20"/>
        </w:rPr>
        <w:t>l’actualité</w:t>
      </w:r>
      <w:r>
        <w:rPr>
          <w:color w:val="231F20"/>
          <w:spacing w:val="-3"/>
        </w:rPr>
        <w:t> </w:t>
      </w:r>
      <w:r>
        <w:rPr>
          <w:color w:val="231F20"/>
        </w:rPr>
        <w:t>de ces</w:t>
      </w:r>
      <w:r>
        <w:rPr>
          <w:color w:val="231F20"/>
          <w:spacing w:val="-1"/>
        </w:rPr>
        <w:t> </w:t>
      </w:r>
      <w:r>
        <w:rPr>
          <w:color w:val="231F20"/>
        </w:rPr>
        <w:t>États</w:t>
      </w:r>
      <w:r>
        <w:rPr>
          <w:color w:val="231F20"/>
          <w:spacing w:val="-1"/>
        </w:rPr>
        <w:t> </w:t>
      </w:r>
      <w:r>
        <w:rPr>
          <w:color w:val="231F20"/>
        </w:rPr>
        <w:t>mais aussi</w:t>
      </w:r>
      <w:r>
        <w:rPr>
          <w:color w:val="231F20"/>
          <w:spacing w:val="-2"/>
        </w:rPr>
        <w:t> </w:t>
      </w:r>
      <w:r>
        <w:rPr>
          <w:color w:val="231F20"/>
        </w:rPr>
        <w:t>leur</w:t>
      </w:r>
      <w:r>
        <w:rPr>
          <w:color w:val="231F20"/>
          <w:spacing w:val="-1"/>
        </w:rPr>
        <w:t> </w:t>
      </w:r>
      <w:r>
        <w:rPr>
          <w:color w:val="231F20"/>
        </w:rPr>
        <w:t>passé. Une incursion dans le «</w:t>
      </w:r>
      <w:r>
        <w:rPr>
          <w:color w:val="231F20"/>
          <w:spacing w:val="-14"/>
        </w:rPr>
        <w:t> </w:t>
      </w:r>
      <w:r>
        <w:rPr>
          <w:color w:val="231F20"/>
        </w:rPr>
        <w:t>pré carré africain</w:t>
      </w:r>
      <w:r>
        <w:rPr>
          <w:color w:val="231F20"/>
          <w:spacing w:val="-14"/>
        </w:rPr>
        <w:t> </w:t>
      </w:r>
      <w:r>
        <w:rPr>
          <w:color w:val="231F20"/>
          <w:vertAlign w:val="superscript"/>
        </w:rPr>
        <w:t>2</w:t>
      </w:r>
      <w:r>
        <w:rPr>
          <w:color w:val="231F20"/>
          <w:vertAlign w:val="baseline"/>
        </w:rPr>
        <w:t>» de la France pourrait nous aider à apprécier quelques causes qui rongent cette «</w:t>
      </w:r>
      <w:r>
        <w:rPr>
          <w:color w:val="231F20"/>
          <w:spacing w:val="-11"/>
          <w:vertAlign w:val="baseline"/>
        </w:rPr>
        <w:t> </w:t>
      </w:r>
      <w:r>
        <w:rPr>
          <w:color w:val="231F20"/>
          <w:vertAlign w:val="baseline"/>
        </w:rPr>
        <w:t>Afrique francophone</w:t>
      </w:r>
      <w:r>
        <w:rPr>
          <w:color w:val="231F20"/>
          <w:spacing w:val="-10"/>
          <w:vertAlign w:val="baseline"/>
        </w:rPr>
        <w:t> </w:t>
      </w:r>
      <w:r>
        <w:rPr>
          <w:color w:val="231F20"/>
          <w:vertAlign w:val="baseline"/>
        </w:rPr>
        <w:t>» dont les peuples traînent sous le poids du </w:t>
      </w:r>
      <w:r>
        <w:rPr>
          <w:color w:val="231F20"/>
          <w:spacing w:val="-2"/>
          <w:vertAlign w:val="baseline"/>
        </w:rPr>
        <w:t>maldéveloppement.</w:t>
      </w:r>
    </w:p>
    <w:p>
      <w:pPr>
        <w:pStyle w:val="BodyText"/>
        <w:spacing w:before="121"/>
        <w:ind w:left="395"/>
      </w:pPr>
      <w:r>
        <w:rPr>
          <w:color w:val="231F20"/>
        </w:rPr>
        <w:t>Sans</w:t>
      </w:r>
      <w:r>
        <w:rPr>
          <w:color w:val="231F20"/>
          <w:spacing w:val="-3"/>
        </w:rPr>
        <w:t> </w:t>
      </w:r>
      <w:r>
        <w:rPr>
          <w:color w:val="231F20"/>
        </w:rPr>
        <w:t>prétention,</w:t>
      </w:r>
      <w:r>
        <w:rPr>
          <w:color w:val="231F20"/>
          <w:spacing w:val="-1"/>
        </w:rPr>
        <w:t> </w:t>
      </w:r>
      <w:r>
        <w:rPr>
          <w:color w:val="231F20"/>
        </w:rPr>
        <w:t>sans</w:t>
      </w:r>
      <w:r>
        <w:rPr>
          <w:color w:val="231F20"/>
          <w:spacing w:val="-1"/>
        </w:rPr>
        <w:t> </w:t>
      </w:r>
      <w:r>
        <w:rPr>
          <w:color w:val="231F20"/>
        </w:rPr>
        <w:t>esprit</w:t>
      </w:r>
      <w:r>
        <w:rPr>
          <w:color w:val="231F20"/>
          <w:spacing w:val="-2"/>
        </w:rPr>
        <w:t> </w:t>
      </w:r>
      <w:r>
        <w:rPr>
          <w:color w:val="231F20"/>
        </w:rPr>
        <w:t>partisan,</w:t>
      </w:r>
      <w:r>
        <w:rPr>
          <w:color w:val="231F20"/>
          <w:spacing w:val="-3"/>
        </w:rPr>
        <w:t> </w:t>
      </w:r>
      <w:r>
        <w:rPr>
          <w:color w:val="231F20"/>
        </w:rPr>
        <w:t>voici l’histoire</w:t>
      </w:r>
      <w:r>
        <w:rPr>
          <w:color w:val="231F20"/>
          <w:spacing w:val="-1"/>
        </w:rPr>
        <w:t> </w:t>
      </w:r>
      <w:r>
        <w:rPr>
          <w:color w:val="231F20"/>
        </w:rPr>
        <w:t>nue de</w:t>
      </w:r>
      <w:r>
        <w:rPr>
          <w:color w:val="231F20"/>
          <w:spacing w:val="-4"/>
        </w:rPr>
        <w:t> </w:t>
      </w:r>
      <w:r>
        <w:rPr>
          <w:color w:val="231F20"/>
        </w:rPr>
        <w:t>ces </w:t>
      </w:r>
      <w:r>
        <w:rPr>
          <w:color w:val="231F20"/>
          <w:spacing w:val="-4"/>
        </w:rPr>
        <w:t>pays</w:t>
      </w:r>
    </w:p>
    <w:p>
      <w:pPr>
        <w:pStyle w:val="BodyText"/>
      </w:pPr>
      <w:r>
        <w:rPr>
          <w:color w:val="231F20"/>
          <w:spacing w:val="-2"/>
        </w:rPr>
        <w:t>dits</w:t>
      </w:r>
      <w:r>
        <w:rPr>
          <w:color w:val="231F20"/>
          <w:spacing w:val="-9"/>
        </w:rPr>
        <w:t> </w:t>
      </w:r>
      <w:r>
        <w:rPr>
          <w:color w:val="231F20"/>
          <w:spacing w:val="-2"/>
        </w:rPr>
        <w:t>«</w:t>
      </w:r>
      <w:r>
        <w:rPr>
          <w:color w:val="231F20"/>
          <w:spacing w:val="-11"/>
        </w:rPr>
        <w:t> </w:t>
      </w:r>
      <w:r>
        <w:rPr>
          <w:color w:val="231F20"/>
          <w:spacing w:val="-2"/>
        </w:rPr>
        <w:t>indépendants</w:t>
      </w:r>
      <w:r>
        <w:rPr>
          <w:color w:val="231F20"/>
          <w:spacing w:val="-9"/>
        </w:rPr>
        <w:t> </w:t>
      </w:r>
      <w:r>
        <w:rPr>
          <w:color w:val="231F20"/>
          <w:spacing w:val="-2"/>
        </w:rPr>
        <w:t>»</w:t>
      </w:r>
      <w:r>
        <w:rPr>
          <w:color w:val="231F20"/>
          <w:spacing w:val="-11"/>
        </w:rPr>
        <w:t> </w:t>
      </w:r>
      <w:r>
        <w:rPr>
          <w:color w:val="231F20"/>
          <w:spacing w:val="-2"/>
        </w:rPr>
        <w:t>depuis</w:t>
      </w:r>
      <w:r>
        <w:rPr>
          <w:color w:val="231F20"/>
          <w:spacing w:val="-11"/>
        </w:rPr>
        <w:t> </w:t>
      </w:r>
      <w:r>
        <w:rPr>
          <w:color w:val="231F20"/>
          <w:spacing w:val="-4"/>
        </w:rPr>
        <w:t>1960.</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54"/>
        <w:ind w:left="0"/>
        <w:jc w:val="left"/>
        <w:rPr>
          <w:sz w:val="20"/>
        </w:rPr>
      </w:pPr>
      <w:r>
        <w:rPr/>
        <mc:AlternateContent>
          <mc:Choice Requires="wps">
            <w:drawing>
              <wp:anchor distT="0" distB="0" distL="0" distR="0" allowOverlap="1" layoutInCell="1" locked="0" behindDoc="1" simplePos="0" relativeHeight="487589376">
                <wp:simplePos x="0" y="0"/>
                <wp:positionH relativeFrom="page">
                  <wp:posOffset>629907</wp:posOffset>
                </wp:positionH>
                <wp:positionV relativeFrom="paragraph">
                  <wp:posOffset>195621</wp:posOffset>
                </wp:positionV>
                <wp:extent cx="1829435" cy="952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403281pt;width:144.020pt;height:.72pt;mso-position-horizontal-relative:page;mso-position-vertical-relative:paragraph;z-index:-15727104;mso-wrap-distance-left:0;mso-wrap-distance-right:0" id="docshape9" filled="true" fillcolor="#231f20" stroked="false">
                <v:fill type="solid"/>
                <w10:wrap type="topAndBottom"/>
              </v:rect>
            </w:pict>
          </mc:Fallback>
        </mc:AlternateContent>
      </w:r>
    </w:p>
    <w:p>
      <w:pPr>
        <w:spacing w:before="91"/>
        <w:ind w:left="111" w:right="105" w:firstLine="0"/>
        <w:jc w:val="both"/>
        <w:rPr>
          <w:sz w:val="20"/>
        </w:rPr>
      </w:pPr>
      <w:r>
        <w:rPr>
          <w:color w:val="76787A"/>
          <w:spacing w:val="-4"/>
          <w:sz w:val="20"/>
          <w:vertAlign w:val="superscript"/>
        </w:rPr>
        <w:t>1</w:t>
      </w:r>
      <w:r>
        <w:rPr>
          <w:color w:val="76787A"/>
          <w:spacing w:val="-9"/>
          <w:sz w:val="20"/>
          <w:vertAlign w:val="baseline"/>
        </w:rPr>
        <w:t> </w:t>
      </w:r>
      <w:r>
        <w:rPr>
          <w:color w:val="231F20"/>
          <w:spacing w:val="-4"/>
          <w:sz w:val="20"/>
          <w:vertAlign w:val="baseline"/>
        </w:rPr>
        <w:t>la</w:t>
      </w:r>
      <w:r>
        <w:rPr>
          <w:color w:val="231F20"/>
          <w:spacing w:val="-8"/>
          <w:sz w:val="20"/>
          <w:vertAlign w:val="baseline"/>
        </w:rPr>
        <w:t> </w:t>
      </w:r>
      <w:r>
        <w:rPr>
          <w:color w:val="231F20"/>
          <w:spacing w:val="-4"/>
          <w:sz w:val="20"/>
          <w:vertAlign w:val="baseline"/>
        </w:rPr>
        <w:t>République</w:t>
      </w:r>
      <w:r>
        <w:rPr>
          <w:color w:val="231F20"/>
          <w:spacing w:val="-9"/>
          <w:sz w:val="20"/>
          <w:vertAlign w:val="baseline"/>
        </w:rPr>
        <w:t> </w:t>
      </w:r>
      <w:r>
        <w:rPr>
          <w:color w:val="231F20"/>
          <w:spacing w:val="-4"/>
          <w:sz w:val="20"/>
          <w:vertAlign w:val="baseline"/>
        </w:rPr>
        <w:t>démocratique</w:t>
      </w:r>
      <w:r>
        <w:rPr>
          <w:color w:val="231F20"/>
          <w:spacing w:val="-8"/>
          <w:sz w:val="20"/>
          <w:vertAlign w:val="baseline"/>
        </w:rPr>
        <w:t> </w:t>
      </w:r>
      <w:r>
        <w:rPr>
          <w:color w:val="231F20"/>
          <w:spacing w:val="-4"/>
          <w:sz w:val="20"/>
          <w:vertAlign w:val="baseline"/>
        </w:rPr>
        <w:t>du</w:t>
      </w:r>
      <w:r>
        <w:rPr>
          <w:color w:val="231F20"/>
          <w:spacing w:val="-9"/>
          <w:sz w:val="20"/>
          <w:vertAlign w:val="baseline"/>
        </w:rPr>
        <w:t> </w:t>
      </w:r>
      <w:r>
        <w:rPr>
          <w:color w:val="231F20"/>
          <w:spacing w:val="-4"/>
          <w:sz w:val="20"/>
          <w:vertAlign w:val="baseline"/>
        </w:rPr>
        <w:t>Congo,</w:t>
      </w:r>
      <w:r>
        <w:rPr>
          <w:color w:val="231F20"/>
          <w:spacing w:val="-8"/>
          <w:sz w:val="20"/>
          <w:vertAlign w:val="baseline"/>
        </w:rPr>
        <w:t> </w:t>
      </w:r>
      <w:r>
        <w:rPr>
          <w:color w:val="231F20"/>
          <w:spacing w:val="-4"/>
          <w:sz w:val="20"/>
          <w:vertAlign w:val="baseline"/>
        </w:rPr>
        <w:t>le</w:t>
      </w:r>
      <w:r>
        <w:rPr>
          <w:color w:val="231F20"/>
          <w:spacing w:val="-9"/>
          <w:sz w:val="20"/>
          <w:vertAlign w:val="baseline"/>
        </w:rPr>
        <w:t> </w:t>
      </w:r>
      <w:r>
        <w:rPr>
          <w:color w:val="231F20"/>
          <w:spacing w:val="-4"/>
          <w:sz w:val="20"/>
          <w:vertAlign w:val="baseline"/>
        </w:rPr>
        <w:t>Burundi</w:t>
      </w:r>
      <w:r>
        <w:rPr>
          <w:color w:val="231F20"/>
          <w:spacing w:val="-8"/>
          <w:sz w:val="20"/>
          <w:vertAlign w:val="baseline"/>
        </w:rPr>
        <w:t> </w:t>
      </w:r>
      <w:r>
        <w:rPr>
          <w:color w:val="231F20"/>
          <w:spacing w:val="-4"/>
          <w:sz w:val="20"/>
          <w:vertAlign w:val="baseline"/>
        </w:rPr>
        <w:t>et</w:t>
      </w:r>
      <w:r>
        <w:rPr>
          <w:color w:val="231F20"/>
          <w:spacing w:val="-9"/>
          <w:sz w:val="20"/>
          <w:vertAlign w:val="baseline"/>
        </w:rPr>
        <w:t> </w:t>
      </w:r>
      <w:r>
        <w:rPr>
          <w:color w:val="231F20"/>
          <w:spacing w:val="-4"/>
          <w:sz w:val="20"/>
          <w:vertAlign w:val="baseline"/>
        </w:rPr>
        <w:t>le</w:t>
      </w:r>
      <w:r>
        <w:rPr>
          <w:color w:val="231F20"/>
          <w:spacing w:val="-8"/>
          <w:sz w:val="20"/>
          <w:vertAlign w:val="baseline"/>
        </w:rPr>
        <w:t> </w:t>
      </w:r>
      <w:r>
        <w:rPr>
          <w:color w:val="231F20"/>
          <w:spacing w:val="-4"/>
          <w:sz w:val="20"/>
          <w:vertAlign w:val="baseline"/>
        </w:rPr>
        <w:t>Rwanda</w:t>
      </w:r>
      <w:r>
        <w:rPr>
          <w:color w:val="231F20"/>
          <w:spacing w:val="-9"/>
          <w:sz w:val="20"/>
          <w:vertAlign w:val="baseline"/>
        </w:rPr>
        <w:t> </w:t>
      </w:r>
      <w:r>
        <w:rPr>
          <w:color w:val="231F20"/>
          <w:spacing w:val="-4"/>
          <w:sz w:val="20"/>
          <w:vertAlign w:val="baseline"/>
        </w:rPr>
        <w:t>sont</w:t>
      </w:r>
      <w:r>
        <w:rPr>
          <w:color w:val="231F20"/>
          <w:spacing w:val="-8"/>
          <w:sz w:val="20"/>
          <w:vertAlign w:val="baseline"/>
        </w:rPr>
        <w:t> </w:t>
      </w:r>
      <w:r>
        <w:rPr>
          <w:color w:val="231F20"/>
          <w:spacing w:val="-4"/>
          <w:sz w:val="20"/>
          <w:vertAlign w:val="baseline"/>
        </w:rPr>
        <w:t>francophones</w:t>
      </w:r>
      <w:r>
        <w:rPr>
          <w:color w:val="231F20"/>
          <w:spacing w:val="-9"/>
          <w:sz w:val="20"/>
          <w:vertAlign w:val="baseline"/>
        </w:rPr>
        <w:t> </w:t>
      </w:r>
      <w:r>
        <w:rPr>
          <w:color w:val="231F20"/>
          <w:spacing w:val="-4"/>
          <w:sz w:val="20"/>
          <w:vertAlign w:val="baseline"/>
        </w:rPr>
        <w:t>mais </w:t>
      </w:r>
      <w:r>
        <w:rPr>
          <w:color w:val="231F20"/>
          <w:sz w:val="20"/>
          <w:vertAlign w:val="baseline"/>
        </w:rPr>
        <w:t>sont</w:t>
      </w:r>
      <w:r>
        <w:rPr>
          <w:color w:val="231F20"/>
          <w:spacing w:val="-10"/>
          <w:sz w:val="20"/>
          <w:vertAlign w:val="baseline"/>
        </w:rPr>
        <w:t> </w:t>
      </w:r>
      <w:r>
        <w:rPr>
          <w:color w:val="231F20"/>
          <w:sz w:val="20"/>
          <w:vertAlign w:val="baseline"/>
        </w:rPr>
        <w:t>d'anciennes</w:t>
      </w:r>
      <w:r>
        <w:rPr>
          <w:color w:val="231F20"/>
          <w:spacing w:val="-11"/>
          <w:sz w:val="20"/>
          <w:vertAlign w:val="baseline"/>
        </w:rPr>
        <w:t> </w:t>
      </w:r>
      <w:r>
        <w:rPr>
          <w:color w:val="231F20"/>
          <w:sz w:val="20"/>
          <w:vertAlign w:val="baseline"/>
        </w:rPr>
        <w:t>colonies</w:t>
      </w:r>
      <w:r>
        <w:rPr>
          <w:color w:val="231F20"/>
          <w:spacing w:val="-11"/>
          <w:sz w:val="20"/>
          <w:vertAlign w:val="baseline"/>
        </w:rPr>
        <w:t> </w:t>
      </w:r>
      <w:r>
        <w:rPr>
          <w:color w:val="231F20"/>
          <w:sz w:val="20"/>
          <w:vertAlign w:val="baseline"/>
        </w:rPr>
        <w:t>belges</w:t>
      </w:r>
      <w:r>
        <w:rPr>
          <w:color w:val="231F20"/>
          <w:spacing w:val="-8"/>
          <w:sz w:val="20"/>
          <w:vertAlign w:val="baseline"/>
        </w:rPr>
        <w:t> </w:t>
      </w:r>
      <w:r>
        <w:rPr>
          <w:color w:val="231F20"/>
          <w:sz w:val="20"/>
          <w:vertAlign w:val="baseline"/>
        </w:rPr>
        <w:t>où</w:t>
      </w:r>
      <w:r>
        <w:rPr>
          <w:color w:val="231F20"/>
          <w:spacing w:val="-9"/>
          <w:sz w:val="20"/>
          <w:vertAlign w:val="baseline"/>
        </w:rPr>
        <w:t> </w:t>
      </w:r>
      <w:r>
        <w:rPr>
          <w:color w:val="231F20"/>
          <w:sz w:val="20"/>
          <w:vertAlign w:val="baseline"/>
        </w:rPr>
        <w:t>l'influence</w:t>
      </w:r>
      <w:r>
        <w:rPr>
          <w:color w:val="231F20"/>
          <w:spacing w:val="-10"/>
          <w:sz w:val="20"/>
          <w:vertAlign w:val="baseline"/>
        </w:rPr>
        <w:t> </w:t>
      </w:r>
      <w:r>
        <w:rPr>
          <w:color w:val="231F20"/>
          <w:sz w:val="20"/>
          <w:vertAlign w:val="baseline"/>
        </w:rPr>
        <w:t>de</w:t>
      </w:r>
      <w:r>
        <w:rPr>
          <w:color w:val="231F20"/>
          <w:spacing w:val="-7"/>
          <w:sz w:val="20"/>
          <w:vertAlign w:val="baseline"/>
        </w:rPr>
        <w:t> </w:t>
      </w:r>
      <w:r>
        <w:rPr>
          <w:color w:val="231F20"/>
          <w:sz w:val="20"/>
          <w:vertAlign w:val="baseline"/>
        </w:rPr>
        <w:t>la</w:t>
      </w:r>
      <w:r>
        <w:rPr>
          <w:color w:val="231F20"/>
          <w:spacing w:val="-10"/>
          <w:sz w:val="20"/>
          <w:vertAlign w:val="baseline"/>
        </w:rPr>
        <w:t> </w:t>
      </w:r>
      <w:r>
        <w:rPr>
          <w:color w:val="231F20"/>
          <w:sz w:val="20"/>
          <w:vertAlign w:val="baseline"/>
        </w:rPr>
        <w:t>France</w:t>
      </w:r>
      <w:r>
        <w:rPr>
          <w:color w:val="231F20"/>
          <w:spacing w:val="-10"/>
          <w:sz w:val="20"/>
          <w:vertAlign w:val="baseline"/>
        </w:rPr>
        <w:t> </w:t>
      </w:r>
      <w:r>
        <w:rPr>
          <w:color w:val="231F20"/>
          <w:sz w:val="20"/>
          <w:vertAlign w:val="baseline"/>
        </w:rPr>
        <w:t>n'est</w:t>
      </w:r>
      <w:r>
        <w:rPr>
          <w:color w:val="231F20"/>
          <w:spacing w:val="-8"/>
          <w:sz w:val="20"/>
          <w:vertAlign w:val="baseline"/>
        </w:rPr>
        <w:t> </w:t>
      </w:r>
      <w:r>
        <w:rPr>
          <w:color w:val="231F20"/>
          <w:sz w:val="20"/>
          <w:vertAlign w:val="baseline"/>
        </w:rPr>
        <w:t>pas</w:t>
      </w:r>
      <w:r>
        <w:rPr>
          <w:color w:val="231F20"/>
          <w:spacing w:val="-11"/>
          <w:sz w:val="20"/>
          <w:vertAlign w:val="baseline"/>
        </w:rPr>
        <w:t> </w:t>
      </w:r>
      <w:r>
        <w:rPr>
          <w:color w:val="231F20"/>
          <w:sz w:val="20"/>
          <w:vertAlign w:val="baseline"/>
        </w:rPr>
        <w:t>marquée</w:t>
      </w:r>
    </w:p>
    <w:p>
      <w:pPr>
        <w:spacing w:before="1"/>
        <w:ind w:left="111" w:right="106" w:firstLine="0"/>
        <w:jc w:val="both"/>
        <w:rPr>
          <w:sz w:val="20"/>
        </w:rPr>
      </w:pPr>
      <w:r>
        <w:rPr>
          <w:color w:val="76787A"/>
          <w:sz w:val="20"/>
          <w:vertAlign w:val="superscript"/>
        </w:rPr>
        <w:t>2</w:t>
      </w:r>
      <w:r>
        <w:rPr>
          <w:color w:val="231F20"/>
          <w:sz w:val="20"/>
          <w:vertAlign w:val="baseline"/>
        </w:rPr>
        <w:t>Source</w:t>
      </w:r>
      <w:r>
        <w:rPr>
          <w:color w:val="231F20"/>
          <w:spacing w:val="-13"/>
          <w:sz w:val="20"/>
          <w:vertAlign w:val="baseline"/>
        </w:rPr>
        <w:t> </w:t>
      </w:r>
      <w:r>
        <w:rPr>
          <w:color w:val="231F20"/>
          <w:sz w:val="20"/>
          <w:vertAlign w:val="baseline"/>
        </w:rPr>
        <w:t>wikipedia</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L’expression</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pré</w:t>
      </w:r>
      <w:r>
        <w:rPr>
          <w:color w:val="231F20"/>
          <w:spacing w:val="-12"/>
          <w:sz w:val="20"/>
          <w:vertAlign w:val="baseline"/>
        </w:rPr>
        <w:t> </w:t>
      </w:r>
      <w:r>
        <w:rPr>
          <w:color w:val="231F20"/>
          <w:sz w:val="20"/>
          <w:vertAlign w:val="baseline"/>
        </w:rPr>
        <w:t>carré</w:t>
      </w:r>
      <w:r>
        <w:rPr>
          <w:color w:val="231F20"/>
          <w:spacing w:val="-13"/>
          <w:sz w:val="20"/>
          <w:vertAlign w:val="baseline"/>
        </w:rPr>
        <w:t> </w:t>
      </w:r>
      <w:r>
        <w:rPr>
          <w:color w:val="231F20"/>
          <w:sz w:val="20"/>
          <w:vertAlign w:val="baseline"/>
        </w:rPr>
        <w:t>»</w:t>
      </w:r>
      <w:r>
        <w:rPr>
          <w:color w:val="231F20"/>
          <w:spacing w:val="-12"/>
          <w:sz w:val="20"/>
          <w:vertAlign w:val="baseline"/>
        </w:rPr>
        <w:t> </w:t>
      </w:r>
      <w:r>
        <w:rPr>
          <w:color w:val="231F20"/>
          <w:sz w:val="20"/>
          <w:vertAlign w:val="baseline"/>
        </w:rPr>
        <w:t>désigne</w:t>
      </w:r>
      <w:r>
        <w:rPr>
          <w:color w:val="231F20"/>
          <w:spacing w:val="-13"/>
          <w:sz w:val="20"/>
          <w:vertAlign w:val="baseline"/>
        </w:rPr>
        <w:t> </w:t>
      </w:r>
      <w:r>
        <w:rPr>
          <w:color w:val="231F20"/>
          <w:sz w:val="20"/>
          <w:vertAlign w:val="baseline"/>
        </w:rPr>
        <w:t>une</w:t>
      </w:r>
      <w:r>
        <w:rPr>
          <w:color w:val="231F20"/>
          <w:spacing w:val="-12"/>
          <w:sz w:val="20"/>
          <w:vertAlign w:val="baseline"/>
        </w:rPr>
        <w:t> </w:t>
      </w:r>
      <w:r>
        <w:rPr>
          <w:color w:val="231F20"/>
          <w:sz w:val="20"/>
          <w:vertAlign w:val="baseline"/>
        </w:rPr>
        <w:t>zone</w:t>
      </w:r>
      <w:r>
        <w:rPr>
          <w:color w:val="231F20"/>
          <w:spacing w:val="-13"/>
          <w:sz w:val="20"/>
          <w:vertAlign w:val="baseline"/>
        </w:rPr>
        <w:t> </w:t>
      </w:r>
      <w:r>
        <w:rPr>
          <w:color w:val="231F20"/>
          <w:sz w:val="20"/>
          <w:vertAlign w:val="baseline"/>
        </w:rPr>
        <w:t>d'influence</w:t>
      </w:r>
      <w:r>
        <w:rPr>
          <w:color w:val="231F20"/>
          <w:spacing w:val="-12"/>
          <w:sz w:val="20"/>
          <w:vertAlign w:val="baseline"/>
        </w:rPr>
        <w:t> </w:t>
      </w:r>
      <w:r>
        <w:rPr>
          <w:color w:val="231F20"/>
          <w:sz w:val="20"/>
          <w:vertAlign w:val="baseline"/>
        </w:rPr>
        <w:t>exclusive, d'un</w:t>
      </w:r>
      <w:r>
        <w:rPr>
          <w:color w:val="231F20"/>
          <w:spacing w:val="-12"/>
          <w:sz w:val="20"/>
          <w:vertAlign w:val="baseline"/>
        </w:rPr>
        <w:t> </w:t>
      </w:r>
      <w:r>
        <w:rPr>
          <w:color w:val="231F20"/>
          <w:sz w:val="20"/>
          <w:vertAlign w:val="baseline"/>
        </w:rPr>
        <w:t>État,</w:t>
      </w:r>
      <w:r>
        <w:rPr>
          <w:color w:val="231F20"/>
          <w:spacing w:val="-11"/>
          <w:sz w:val="20"/>
          <w:vertAlign w:val="baseline"/>
        </w:rPr>
        <w:t> </w:t>
      </w:r>
      <w:r>
        <w:rPr>
          <w:color w:val="231F20"/>
          <w:sz w:val="20"/>
          <w:vertAlign w:val="baseline"/>
        </w:rPr>
        <w:t>d'une</w:t>
      </w:r>
      <w:r>
        <w:rPr>
          <w:color w:val="231F20"/>
          <w:spacing w:val="-10"/>
          <w:sz w:val="20"/>
          <w:vertAlign w:val="baseline"/>
        </w:rPr>
        <w:t> </w:t>
      </w:r>
      <w:r>
        <w:rPr>
          <w:color w:val="231F20"/>
          <w:sz w:val="20"/>
          <w:vertAlign w:val="baseline"/>
        </w:rPr>
        <w:t>entreprise</w:t>
      </w:r>
      <w:r>
        <w:rPr>
          <w:color w:val="231F20"/>
          <w:spacing w:val="-12"/>
          <w:sz w:val="20"/>
          <w:vertAlign w:val="baseline"/>
        </w:rPr>
        <w:t> </w:t>
      </w:r>
      <w:r>
        <w:rPr>
          <w:color w:val="231F20"/>
          <w:sz w:val="20"/>
          <w:vertAlign w:val="baseline"/>
        </w:rPr>
        <w:t>ou</w:t>
      </w:r>
      <w:r>
        <w:rPr>
          <w:color w:val="231F20"/>
          <w:spacing w:val="-12"/>
          <w:sz w:val="20"/>
          <w:vertAlign w:val="baseline"/>
        </w:rPr>
        <w:t> </w:t>
      </w:r>
      <w:r>
        <w:rPr>
          <w:color w:val="231F20"/>
          <w:sz w:val="20"/>
          <w:vertAlign w:val="baseline"/>
        </w:rPr>
        <w:t>même</w:t>
      </w:r>
      <w:r>
        <w:rPr>
          <w:color w:val="231F20"/>
          <w:spacing w:val="-12"/>
          <w:sz w:val="20"/>
          <w:vertAlign w:val="baseline"/>
        </w:rPr>
        <w:t> </w:t>
      </w:r>
      <w:r>
        <w:rPr>
          <w:color w:val="231F20"/>
          <w:sz w:val="20"/>
          <w:vertAlign w:val="baseline"/>
        </w:rPr>
        <w:t>d'une</w:t>
      </w:r>
      <w:r>
        <w:rPr>
          <w:color w:val="231F20"/>
          <w:spacing w:val="-9"/>
          <w:sz w:val="20"/>
          <w:vertAlign w:val="baseline"/>
        </w:rPr>
        <w:t> </w:t>
      </w:r>
      <w:r>
        <w:rPr>
          <w:color w:val="231F20"/>
          <w:sz w:val="20"/>
          <w:vertAlign w:val="baseline"/>
        </w:rPr>
        <w:t>personne.</w:t>
      </w:r>
      <w:r>
        <w:rPr>
          <w:color w:val="231F20"/>
          <w:spacing w:val="-10"/>
          <w:sz w:val="20"/>
          <w:vertAlign w:val="baseline"/>
        </w:rPr>
        <w:t> </w:t>
      </w:r>
      <w:r>
        <w:rPr>
          <w:color w:val="231F20"/>
          <w:sz w:val="20"/>
          <w:vertAlign w:val="baseline"/>
        </w:rPr>
        <w:t>On</w:t>
      </w:r>
      <w:r>
        <w:rPr>
          <w:color w:val="231F20"/>
          <w:spacing w:val="-9"/>
          <w:sz w:val="20"/>
          <w:vertAlign w:val="baseline"/>
        </w:rPr>
        <w:t> </w:t>
      </w:r>
      <w:r>
        <w:rPr>
          <w:color w:val="231F20"/>
          <w:sz w:val="20"/>
          <w:vertAlign w:val="baseline"/>
        </w:rPr>
        <w:t>parle</w:t>
      </w:r>
      <w:r>
        <w:rPr>
          <w:color w:val="231F20"/>
          <w:spacing w:val="-9"/>
          <w:sz w:val="20"/>
          <w:vertAlign w:val="baseline"/>
        </w:rPr>
        <w:t> </w:t>
      </w:r>
      <w:r>
        <w:rPr>
          <w:color w:val="231F20"/>
          <w:sz w:val="20"/>
          <w:vertAlign w:val="baseline"/>
        </w:rPr>
        <w:t>également</w:t>
      </w:r>
      <w:r>
        <w:rPr>
          <w:color w:val="231F20"/>
          <w:spacing w:val="-11"/>
          <w:sz w:val="20"/>
          <w:vertAlign w:val="baseline"/>
        </w:rPr>
        <w:t> </w:t>
      </w:r>
      <w:r>
        <w:rPr>
          <w:color w:val="231F20"/>
          <w:sz w:val="20"/>
          <w:vertAlign w:val="baseline"/>
        </w:rPr>
        <w:t>de</w:t>
      </w:r>
      <w:r>
        <w:rPr>
          <w:color w:val="231F20"/>
          <w:spacing w:val="-10"/>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pré</w:t>
      </w:r>
      <w:r>
        <w:rPr>
          <w:color w:val="231F20"/>
          <w:spacing w:val="-10"/>
          <w:sz w:val="20"/>
          <w:vertAlign w:val="baseline"/>
        </w:rPr>
        <w:t> </w:t>
      </w:r>
      <w:r>
        <w:rPr>
          <w:color w:val="231F20"/>
          <w:sz w:val="20"/>
          <w:vertAlign w:val="baseline"/>
        </w:rPr>
        <w:t>carré africain</w:t>
      </w:r>
      <w:r>
        <w:rPr>
          <w:color w:val="231F20"/>
          <w:spacing w:val="-13"/>
          <w:sz w:val="20"/>
          <w:vertAlign w:val="baseline"/>
        </w:rPr>
        <w:t> </w:t>
      </w:r>
      <w:r>
        <w:rPr>
          <w:color w:val="231F20"/>
          <w:sz w:val="20"/>
          <w:vertAlign w:val="baseline"/>
        </w:rPr>
        <w:t>»</w:t>
      </w:r>
      <w:r>
        <w:rPr>
          <w:color w:val="231F20"/>
          <w:spacing w:val="-7"/>
          <w:sz w:val="20"/>
          <w:vertAlign w:val="baseline"/>
        </w:rPr>
        <w:t> </w:t>
      </w:r>
      <w:r>
        <w:rPr>
          <w:color w:val="231F20"/>
          <w:sz w:val="20"/>
          <w:vertAlign w:val="baseline"/>
        </w:rPr>
        <w:t>pour</w:t>
      </w:r>
      <w:r>
        <w:rPr>
          <w:color w:val="231F20"/>
          <w:spacing w:val="-2"/>
          <w:sz w:val="20"/>
          <w:vertAlign w:val="baseline"/>
        </w:rPr>
        <w:t> </w:t>
      </w:r>
      <w:r>
        <w:rPr>
          <w:color w:val="231F20"/>
          <w:sz w:val="20"/>
          <w:vertAlign w:val="baseline"/>
        </w:rPr>
        <w:t>les</w:t>
      </w:r>
      <w:r>
        <w:rPr>
          <w:color w:val="231F20"/>
          <w:spacing w:val="-2"/>
          <w:sz w:val="20"/>
          <w:vertAlign w:val="baseline"/>
        </w:rPr>
        <w:t> </w:t>
      </w:r>
      <w:r>
        <w:rPr>
          <w:color w:val="231F20"/>
          <w:sz w:val="20"/>
          <w:vertAlign w:val="baseline"/>
        </w:rPr>
        <w:t>relations</w:t>
      </w:r>
      <w:r>
        <w:rPr>
          <w:color w:val="231F20"/>
          <w:spacing w:val="-4"/>
          <w:sz w:val="20"/>
          <w:vertAlign w:val="baseline"/>
        </w:rPr>
        <w:t> </w:t>
      </w:r>
      <w:r>
        <w:rPr>
          <w:color w:val="231F20"/>
          <w:sz w:val="20"/>
          <w:vertAlign w:val="baseline"/>
        </w:rPr>
        <w:t>privilégiées</w:t>
      </w:r>
      <w:r>
        <w:rPr>
          <w:color w:val="231F20"/>
          <w:spacing w:val="-3"/>
          <w:sz w:val="20"/>
          <w:vertAlign w:val="baseline"/>
        </w:rPr>
        <w:t> </w:t>
      </w:r>
      <w:r>
        <w:rPr>
          <w:color w:val="231F20"/>
          <w:sz w:val="20"/>
          <w:vertAlign w:val="baseline"/>
        </w:rPr>
        <w:t>que</w:t>
      </w:r>
      <w:r>
        <w:rPr>
          <w:color w:val="231F20"/>
          <w:spacing w:val="-3"/>
          <w:sz w:val="20"/>
          <w:vertAlign w:val="baseline"/>
        </w:rPr>
        <w:t> </w:t>
      </w:r>
      <w:r>
        <w:rPr>
          <w:color w:val="231F20"/>
          <w:sz w:val="20"/>
          <w:vertAlign w:val="baseline"/>
        </w:rPr>
        <w:t>la</w:t>
      </w:r>
      <w:r>
        <w:rPr>
          <w:color w:val="231F20"/>
          <w:spacing w:val="-1"/>
          <w:sz w:val="20"/>
          <w:vertAlign w:val="baseline"/>
        </w:rPr>
        <w:t> </w:t>
      </w:r>
      <w:r>
        <w:rPr>
          <w:color w:val="231F20"/>
          <w:sz w:val="20"/>
          <w:vertAlign w:val="baseline"/>
        </w:rPr>
        <w:t>France</w:t>
      </w:r>
      <w:r>
        <w:rPr>
          <w:color w:val="231F20"/>
          <w:spacing w:val="-2"/>
          <w:sz w:val="20"/>
          <w:vertAlign w:val="baseline"/>
        </w:rPr>
        <w:t> </w:t>
      </w:r>
      <w:r>
        <w:rPr>
          <w:color w:val="231F20"/>
          <w:sz w:val="20"/>
          <w:vertAlign w:val="baseline"/>
        </w:rPr>
        <w:t>entretient</w:t>
      </w:r>
      <w:r>
        <w:rPr>
          <w:color w:val="231F20"/>
          <w:spacing w:val="-3"/>
          <w:sz w:val="20"/>
          <w:vertAlign w:val="baseline"/>
        </w:rPr>
        <w:t> </w:t>
      </w:r>
      <w:r>
        <w:rPr>
          <w:color w:val="231F20"/>
          <w:sz w:val="20"/>
          <w:vertAlign w:val="baseline"/>
        </w:rPr>
        <w:t>avec</w:t>
      </w:r>
      <w:r>
        <w:rPr>
          <w:color w:val="231F20"/>
          <w:spacing w:val="-3"/>
          <w:sz w:val="20"/>
          <w:vertAlign w:val="baseline"/>
        </w:rPr>
        <w:t> </w:t>
      </w:r>
      <w:r>
        <w:rPr>
          <w:color w:val="231F20"/>
          <w:sz w:val="20"/>
          <w:vertAlign w:val="baseline"/>
        </w:rPr>
        <w:t>certaines</w:t>
      </w:r>
      <w:r>
        <w:rPr>
          <w:color w:val="231F20"/>
          <w:spacing w:val="-4"/>
          <w:sz w:val="20"/>
          <w:vertAlign w:val="baseline"/>
        </w:rPr>
        <w:t> </w:t>
      </w:r>
      <w:r>
        <w:rPr>
          <w:color w:val="231F20"/>
          <w:sz w:val="20"/>
          <w:vertAlign w:val="baseline"/>
        </w:rPr>
        <w:t>de</w:t>
      </w:r>
      <w:r>
        <w:rPr>
          <w:color w:val="231F20"/>
          <w:spacing w:val="-1"/>
          <w:sz w:val="20"/>
          <w:vertAlign w:val="baseline"/>
        </w:rPr>
        <w:t> </w:t>
      </w:r>
      <w:r>
        <w:rPr>
          <w:color w:val="231F20"/>
          <w:sz w:val="20"/>
          <w:vertAlign w:val="baseline"/>
        </w:rPr>
        <w:t>ses anciennes</w:t>
      </w:r>
      <w:r>
        <w:rPr>
          <w:color w:val="231F20"/>
          <w:spacing w:val="-3"/>
          <w:sz w:val="20"/>
          <w:vertAlign w:val="baseline"/>
        </w:rPr>
        <w:t> </w:t>
      </w:r>
      <w:r>
        <w:rPr>
          <w:color w:val="231F20"/>
          <w:sz w:val="20"/>
          <w:vertAlign w:val="baseline"/>
        </w:rPr>
        <w:t>colonies.</w:t>
      </w:r>
    </w:p>
    <w:p>
      <w:pPr>
        <w:spacing w:after="0"/>
        <w:jc w:val="both"/>
        <w:rPr>
          <w:sz w:val="20"/>
        </w:rPr>
        <w:sectPr>
          <w:footerReference w:type="default" r:id="rId15"/>
          <w:pgSz w:w="8790" w:h="13610"/>
          <w:pgMar w:header="0" w:footer="802" w:top="1040" w:bottom="1000" w:left="880" w:right="880"/>
          <w:pgNumType w:start="13"/>
        </w:sectPr>
      </w:pPr>
    </w:p>
    <w:p>
      <w:pPr>
        <w:pStyle w:val="BodyText"/>
        <w:spacing w:before="4"/>
        <w:ind w:left="0"/>
        <w:jc w:val="left"/>
        <w:rPr>
          <w:sz w:val="17"/>
        </w:rPr>
      </w:pPr>
    </w:p>
    <w:p>
      <w:pPr>
        <w:spacing w:after="0"/>
        <w:jc w:val="left"/>
        <w:rPr>
          <w:sz w:val="17"/>
        </w:rPr>
        <w:sectPr>
          <w:footerReference w:type="even" r:id="rId16"/>
          <w:pgSz w:w="8790" w:h="13610"/>
          <w:pgMar w:header="0" w:footer="0" w:top="1540" w:bottom="280" w:left="880" w:right="880"/>
        </w:sect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spacing w:before="210"/>
        <w:ind w:left="0"/>
        <w:jc w:val="left"/>
        <w:rPr>
          <w:sz w:val="32"/>
        </w:rPr>
      </w:pPr>
    </w:p>
    <w:p>
      <w:pPr>
        <w:spacing w:before="0"/>
        <w:ind w:left="64" w:right="130" w:firstLine="0"/>
        <w:jc w:val="center"/>
        <w:rPr>
          <w:rFonts w:ascii="Cambria" w:hAnsi="Cambria"/>
          <w:b/>
          <w:sz w:val="32"/>
        </w:rPr>
      </w:pPr>
      <w:r>
        <w:rPr>
          <w:rFonts w:ascii="Cambria" w:hAnsi="Cambria"/>
          <w:b/>
          <w:color w:val="231F20"/>
          <w:spacing w:val="-4"/>
          <w:sz w:val="32"/>
        </w:rPr>
        <w:t>Première</w:t>
      </w:r>
      <w:r>
        <w:rPr>
          <w:rFonts w:ascii="Cambria" w:hAnsi="Cambria"/>
          <w:b/>
          <w:color w:val="231F20"/>
          <w:spacing w:val="-7"/>
          <w:sz w:val="32"/>
        </w:rPr>
        <w:t> </w:t>
      </w:r>
      <w:r>
        <w:rPr>
          <w:rFonts w:ascii="Cambria" w:hAnsi="Cambria"/>
          <w:b/>
          <w:color w:val="231F20"/>
          <w:spacing w:val="-2"/>
          <w:sz w:val="32"/>
        </w:rPr>
        <w:t>Partie</w:t>
      </w:r>
    </w:p>
    <w:p>
      <w:pPr>
        <w:pStyle w:val="Heading1"/>
        <w:spacing w:before="2"/>
        <w:ind w:left="65"/>
      </w:pPr>
      <w:r>
        <w:rPr>
          <w:color w:val="231F20"/>
        </w:rPr>
        <w:t>LE</w:t>
      </w:r>
      <w:r>
        <w:rPr>
          <w:color w:val="231F20"/>
          <w:spacing w:val="-18"/>
        </w:rPr>
        <w:t> </w:t>
      </w:r>
      <w:r>
        <w:rPr>
          <w:color w:val="231F20"/>
        </w:rPr>
        <w:t>VIOL</w:t>
      </w:r>
      <w:r>
        <w:rPr>
          <w:color w:val="231F20"/>
          <w:spacing w:val="-17"/>
        </w:rPr>
        <w:t> </w:t>
      </w:r>
      <w:r>
        <w:rPr>
          <w:color w:val="231F20"/>
        </w:rPr>
        <w:t>DES</w:t>
      </w:r>
      <w:r>
        <w:rPr>
          <w:color w:val="231F20"/>
          <w:spacing w:val="-18"/>
        </w:rPr>
        <w:t> </w:t>
      </w:r>
      <w:r>
        <w:rPr>
          <w:color w:val="231F20"/>
          <w:spacing w:val="-2"/>
        </w:rPr>
        <w:t>CONSCIENCES</w:t>
      </w:r>
    </w:p>
    <w:p>
      <w:pPr>
        <w:spacing w:after="0"/>
        <w:sectPr>
          <w:footerReference w:type="default" r:id="rId17"/>
          <w:pgSz w:w="8790" w:h="13610"/>
          <w:pgMar w:header="0" w:footer="802" w:top="1540" w:bottom="1000" w:left="880" w:right="880"/>
          <w:pgNumType w:start="15"/>
        </w:sectPr>
      </w:pPr>
    </w:p>
    <w:p>
      <w:pPr>
        <w:pStyle w:val="BodyText"/>
        <w:ind w:left="0"/>
        <w:jc w:val="left"/>
        <w:rPr>
          <w:rFonts w:ascii="Cambria"/>
          <w:b/>
          <w:sz w:val="17"/>
        </w:rPr>
      </w:pPr>
    </w:p>
    <w:p>
      <w:pPr>
        <w:spacing w:after="0"/>
        <w:jc w:val="left"/>
        <w:rPr>
          <w:rFonts w:ascii="Cambria"/>
          <w:sz w:val="17"/>
        </w:rPr>
        <w:sectPr>
          <w:footerReference w:type="even" r:id="rId18"/>
          <w:pgSz w:w="8790" w:h="13610"/>
          <w:pgMar w:header="0" w:footer="0" w:top="1540" w:bottom="280" w:left="880" w:right="880"/>
        </w:sectPr>
      </w:pPr>
    </w:p>
    <w:p>
      <w:pPr>
        <w:spacing w:before="88"/>
        <w:ind w:left="67" w:right="67" w:firstLine="0"/>
        <w:jc w:val="center"/>
        <w:rPr>
          <w:rFonts w:ascii="Cambria"/>
          <w:b/>
          <w:sz w:val="32"/>
        </w:rPr>
      </w:pPr>
      <w:r>
        <w:rPr>
          <w:rFonts w:ascii="Cambria"/>
          <w:b/>
          <w:color w:val="231F20"/>
          <w:spacing w:val="-2"/>
          <w:sz w:val="32"/>
        </w:rPr>
        <w:t>Chapitre1</w:t>
      </w:r>
    </w:p>
    <w:p>
      <w:pPr>
        <w:pStyle w:val="Heading1"/>
        <w:spacing w:before="1"/>
      </w:pPr>
      <w:r>
        <w:rPr>
          <w:color w:val="231F20"/>
          <w:spacing w:val="-2"/>
        </w:rPr>
        <w:t>LA</w:t>
      </w:r>
      <w:r>
        <w:rPr>
          <w:color w:val="231F20"/>
          <w:spacing w:val="-12"/>
        </w:rPr>
        <w:t> </w:t>
      </w:r>
      <w:r>
        <w:rPr>
          <w:color w:val="231F20"/>
          <w:spacing w:val="-2"/>
        </w:rPr>
        <w:t>CHASSE</w:t>
      </w:r>
      <w:r>
        <w:rPr>
          <w:color w:val="231F20"/>
          <w:spacing w:val="-12"/>
        </w:rPr>
        <w:t> </w:t>
      </w:r>
      <w:r>
        <w:rPr>
          <w:color w:val="231F20"/>
          <w:spacing w:val="-2"/>
        </w:rPr>
        <w:t>À</w:t>
      </w:r>
      <w:r>
        <w:rPr>
          <w:color w:val="231F20"/>
          <w:spacing w:val="-12"/>
        </w:rPr>
        <w:t> </w:t>
      </w:r>
      <w:r>
        <w:rPr>
          <w:color w:val="231F20"/>
          <w:spacing w:val="-2"/>
        </w:rPr>
        <w:t>COURRE</w:t>
      </w:r>
    </w:p>
    <w:p>
      <w:pPr>
        <w:pStyle w:val="Heading2"/>
        <w:spacing w:before="252"/>
      </w:pPr>
      <w:bookmarkStart w:name="_TOC_250042" w:id="1"/>
      <w:r>
        <w:rPr>
          <w:color w:val="231F20"/>
          <w:spacing w:val="-2"/>
        </w:rPr>
        <w:t>Les</w:t>
      </w:r>
      <w:r>
        <w:rPr>
          <w:color w:val="231F20"/>
          <w:spacing w:val="-11"/>
        </w:rPr>
        <w:t> </w:t>
      </w:r>
      <w:r>
        <w:rPr>
          <w:color w:val="231F20"/>
          <w:spacing w:val="-2"/>
        </w:rPr>
        <w:t>Hommes</w:t>
      </w:r>
      <w:r>
        <w:rPr>
          <w:color w:val="231F20"/>
          <w:spacing w:val="-8"/>
        </w:rPr>
        <w:t> </w:t>
      </w:r>
      <w:r>
        <w:rPr>
          <w:color w:val="231F20"/>
          <w:spacing w:val="-2"/>
        </w:rPr>
        <w:t>clairs</w:t>
      </w:r>
      <w:r>
        <w:rPr>
          <w:color w:val="231F20"/>
          <w:spacing w:val="-12"/>
        </w:rPr>
        <w:t> </w:t>
      </w:r>
      <w:r>
        <w:rPr>
          <w:color w:val="231F20"/>
          <w:spacing w:val="-2"/>
        </w:rPr>
        <w:t>venus</w:t>
      </w:r>
      <w:r>
        <w:rPr>
          <w:color w:val="231F20"/>
          <w:spacing w:val="-10"/>
        </w:rPr>
        <w:t> </w:t>
      </w:r>
      <w:r>
        <w:rPr>
          <w:color w:val="231F20"/>
          <w:spacing w:val="-2"/>
        </w:rPr>
        <w:t>du</w:t>
      </w:r>
      <w:r>
        <w:rPr>
          <w:color w:val="231F20"/>
          <w:spacing w:val="-10"/>
        </w:rPr>
        <w:t> </w:t>
      </w:r>
      <w:bookmarkEnd w:id="1"/>
      <w:r>
        <w:rPr>
          <w:color w:val="231F20"/>
          <w:spacing w:val="-2"/>
        </w:rPr>
        <w:t>désert</w:t>
      </w:r>
    </w:p>
    <w:p>
      <w:pPr>
        <w:pStyle w:val="BodyText"/>
        <w:spacing w:before="120"/>
        <w:ind w:left="0"/>
        <w:jc w:val="left"/>
        <w:rPr>
          <w:b/>
        </w:rPr>
      </w:pPr>
    </w:p>
    <w:p>
      <w:pPr>
        <w:pStyle w:val="BodyText"/>
        <w:ind w:right="105" w:firstLine="283"/>
      </w:pPr>
      <w:r>
        <w:rPr>
          <w:color w:val="231F20"/>
          <w:spacing w:val="-4"/>
        </w:rPr>
        <w:t>Il</w:t>
      </w:r>
      <w:r>
        <w:rPr>
          <w:color w:val="231F20"/>
          <w:spacing w:val="-11"/>
        </w:rPr>
        <w:t> </w:t>
      </w:r>
      <w:r>
        <w:rPr>
          <w:color w:val="231F20"/>
          <w:spacing w:val="-4"/>
        </w:rPr>
        <w:t>y</w:t>
      </w:r>
      <w:r>
        <w:rPr>
          <w:color w:val="231F20"/>
          <w:spacing w:val="-11"/>
        </w:rPr>
        <w:t> </w:t>
      </w:r>
      <w:r>
        <w:rPr>
          <w:color w:val="231F20"/>
          <w:spacing w:val="-4"/>
        </w:rPr>
        <w:t>a</w:t>
      </w:r>
      <w:r>
        <w:rPr>
          <w:color w:val="231F20"/>
          <w:spacing w:val="-11"/>
        </w:rPr>
        <w:t> </w:t>
      </w:r>
      <w:r>
        <w:rPr>
          <w:color w:val="231F20"/>
          <w:spacing w:val="-4"/>
        </w:rPr>
        <w:t>longtemps,</w:t>
      </w:r>
      <w:r>
        <w:rPr>
          <w:color w:val="231F20"/>
          <w:spacing w:val="-11"/>
        </w:rPr>
        <w:t> </w:t>
      </w:r>
      <w:r>
        <w:rPr>
          <w:color w:val="231F20"/>
          <w:spacing w:val="-4"/>
        </w:rPr>
        <w:t>très</w:t>
      </w:r>
      <w:r>
        <w:rPr>
          <w:color w:val="231F20"/>
          <w:spacing w:val="-11"/>
        </w:rPr>
        <w:t> </w:t>
      </w:r>
      <w:r>
        <w:rPr>
          <w:color w:val="231F20"/>
          <w:spacing w:val="-4"/>
        </w:rPr>
        <w:t>longtemps,</w:t>
      </w:r>
      <w:r>
        <w:rPr>
          <w:color w:val="231F20"/>
          <w:spacing w:val="-11"/>
        </w:rPr>
        <w:t> </w:t>
      </w:r>
      <w:r>
        <w:rPr>
          <w:color w:val="231F20"/>
          <w:spacing w:val="-4"/>
        </w:rPr>
        <w:t>à</w:t>
      </w:r>
      <w:r>
        <w:rPr>
          <w:color w:val="231F20"/>
          <w:spacing w:val="-11"/>
        </w:rPr>
        <w:t> </w:t>
      </w:r>
      <w:r>
        <w:rPr>
          <w:color w:val="231F20"/>
          <w:spacing w:val="-4"/>
        </w:rPr>
        <w:t>l’intérieur</w:t>
      </w:r>
      <w:r>
        <w:rPr>
          <w:color w:val="231F20"/>
          <w:spacing w:val="-11"/>
        </w:rPr>
        <w:t> </w:t>
      </w:r>
      <w:r>
        <w:rPr>
          <w:color w:val="231F20"/>
          <w:spacing w:val="-4"/>
        </w:rPr>
        <w:t>de</w:t>
      </w:r>
      <w:r>
        <w:rPr>
          <w:color w:val="231F20"/>
          <w:spacing w:val="-11"/>
        </w:rPr>
        <w:t> </w:t>
      </w:r>
      <w:r>
        <w:rPr>
          <w:color w:val="231F20"/>
          <w:spacing w:val="-4"/>
        </w:rPr>
        <w:t>terres</w:t>
      </w:r>
      <w:r>
        <w:rPr>
          <w:color w:val="231F20"/>
          <w:spacing w:val="-11"/>
        </w:rPr>
        <w:t> </w:t>
      </w:r>
      <w:r>
        <w:rPr>
          <w:color w:val="231F20"/>
          <w:spacing w:val="-4"/>
        </w:rPr>
        <w:t>qui</w:t>
      </w:r>
      <w:r>
        <w:rPr>
          <w:color w:val="231F20"/>
          <w:spacing w:val="-11"/>
        </w:rPr>
        <w:t> </w:t>
      </w:r>
      <w:r>
        <w:rPr>
          <w:color w:val="231F20"/>
          <w:spacing w:val="-4"/>
        </w:rPr>
        <w:t>constitueront </w:t>
      </w:r>
      <w:r>
        <w:rPr>
          <w:color w:val="231F20"/>
          <w:spacing w:val="-2"/>
        </w:rPr>
        <w:t>des</w:t>
      </w:r>
      <w:r>
        <w:rPr>
          <w:color w:val="231F20"/>
          <w:spacing w:val="-6"/>
        </w:rPr>
        <w:t> </w:t>
      </w:r>
      <w:r>
        <w:rPr>
          <w:color w:val="231F20"/>
          <w:spacing w:val="-2"/>
        </w:rPr>
        <w:t>siècles</w:t>
      </w:r>
      <w:r>
        <w:rPr>
          <w:color w:val="231F20"/>
          <w:spacing w:val="-6"/>
        </w:rPr>
        <w:t> </w:t>
      </w:r>
      <w:r>
        <w:rPr>
          <w:color w:val="231F20"/>
          <w:spacing w:val="-2"/>
        </w:rPr>
        <w:t>plus</w:t>
      </w:r>
      <w:r>
        <w:rPr>
          <w:color w:val="231F20"/>
          <w:spacing w:val="-8"/>
        </w:rPr>
        <w:t> </w:t>
      </w:r>
      <w:r>
        <w:rPr>
          <w:color w:val="231F20"/>
          <w:spacing w:val="-2"/>
        </w:rPr>
        <w:t>tard,</w:t>
      </w:r>
      <w:r>
        <w:rPr>
          <w:color w:val="231F20"/>
          <w:spacing w:val="-6"/>
        </w:rPr>
        <w:t> </w:t>
      </w:r>
      <w:r>
        <w:rPr>
          <w:color w:val="231F20"/>
          <w:spacing w:val="-2"/>
        </w:rPr>
        <w:t>l’Afrique</w:t>
      </w:r>
      <w:r>
        <w:rPr>
          <w:color w:val="231F20"/>
          <w:spacing w:val="-6"/>
        </w:rPr>
        <w:t> </w:t>
      </w:r>
      <w:r>
        <w:rPr>
          <w:color w:val="231F20"/>
          <w:spacing w:val="-2"/>
        </w:rPr>
        <w:t>de</w:t>
      </w:r>
      <w:r>
        <w:rPr>
          <w:color w:val="231F20"/>
          <w:spacing w:val="-6"/>
        </w:rPr>
        <w:t> </w:t>
      </w:r>
      <w:r>
        <w:rPr>
          <w:color w:val="231F20"/>
          <w:spacing w:val="-2"/>
        </w:rPr>
        <w:t>l’Ouest,</w:t>
      </w:r>
      <w:r>
        <w:rPr>
          <w:color w:val="231F20"/>
          <w:spacing w:val="-6"/>
        </w:rPr>
        <w:t> </w:t>
      </w:r>
      <w:r>
        <w:rPr>
          <w:color w:val="231F20"/>
          <w:spacing w:val="-2"/>
        </w:rPr>
        <w:t>vivaient</w:t>
      </w:r>
      <w:r>
        <w:rPr>
          <w:color w:val="231F20"/>
          <w:spacing w:val="-6"/>
        </w:rPr>
        <w:t> </w:t>
      </w:r>
      <w:r>
        <w:rPr>
          <w:color w:val="231F20"/>
          <w:spacing w:val="-2"/>
        </w:rPr>
        <w:t>heureux</w:t>
      </w:r>
      <w:r>
        <w:rPr>
          <w:color w:val="231F20"/>
          <w:spacing w:val="-6"/>
        </w:rPr>
        <w:t> </w:t>
      </w:r>
      <w:r>
        <w:rPr>
          <w:color w:val="231F20"/>
          <w:spacing w:val="-2"/>
        </w:rPr>
        <w:t>des</w:t>
      </w:r>
      <w:r>
        <w:rPr>
          <w:color w:val="231F20"/>
          <w:spacing w:val="-6"/>
        </w:rPr>
        <w:t> </w:t>
      </w:r>
      <w:r>
        <w:rPr>
          <w:color w:val="231F20"/>
          <w:spacing w:val="-2"/>
        </w:rPr>
        <w:t>hommes </w:t>
      </w:r>
      <w:r>
        <w:rPr>
          <w:color w:val="231F20"/>
        </w:rPr>
        <w:t>à</w:t>
      </w:r>
      <w:r>
        <w:rPr>
          <w:color w:val="231F20"/>
          <w:spacing w:val="-15"/>
        </w:rPr>
        <w:t> </w:t>
      </w:r>
      <w:r>
        <w:rPr>
          <w:color w:val="231F20"/>
        </w:rPr>
        <w:t>la</w:t>
      </w:r>
      <w:r>
        <w:rPr>
          <w:color w:val="231F20"/>
          <w:spacing w:val="-15"/>
        </w:rPr>
        <w:t> </w:t>
      </w:r>
      <w:r>
        <w:rPr>
          <w:color w:val="231F20"/>
        </w:rPr>
        <w:t>peau</w:t>
      </w:r>
      <w:r>
        <w:rPr>
          <w:color w:val="231F20"/>
          <w:spacing w:val="-15"/>
        </w:rPr>
        <w:t> </w:t>
      </w:r>
      <w:r>
        <w:rPr>
          <w:color w:val="231F20"/>
        </w:rPr>
        <w:t>noire</w:t>
      </w:r>
      <w:r>
        <w:rPr>
          <w:color w:val="231F20"/>
          <w:spacing w:val="-14"/>
        </w:rPr>
        <w:t> </w:t>
      </w:r>
      <w:r>
        <w:rPr>
          <w:color w:val="231F20"/>
        </w:rPr>
        <w:t>et</w:t>
      </w:r>
      <w:r>
        <w:rPr>
          <w:color w:val="231F20"/>
          <w:spacing w:val="-14"/>
        </w:rPr>
        <w:t> </w:t>
      </w:r>
      <w:r>
        <w:rPr>
          <w:color w:val="231F20"/>
        </w:rPr>
        <w:t>aux</w:t>
      </w:r>
      <w:r>
        <w:rPr>
          <w:color w:val="231F20"/>
          <w:spacing w:val="-14"/>
        </w:rPr>
        <w:t> </w:t>
      </w:r>
      <w:r>
        <w:rPr>
          <w:color w:val="231F20"/>
        </w:rPr>
        <w:t>cheveux</w:t>
      </w:r>
      <w:r>
        <w:rPr>
          <w:color w:val="231F20"/>
          <w:spacing w:val="-14"/>
        </w:rPr>
        <w:t> </w:t>
      </w:r>
      <w:r>
        <w:rPr>
          <w:color w:val="231F20"/>
        </w:rPr>
        <w:t>crépus</w:t>
      </w:r>
      <w:r>
        <w:rPr>
          <w:color w:val="231F20"/>
          <w:spacing w:val="-15"/>
        </w:rPr>
        <w:t> </w:t>
      </w:r>
      <w:r>
        <w:rPr>
          <w:color w:val="231F20"/>
        </w:rPr>
        <w:t>dans</w:t>
      </w:r>
      <w:r>
        <w:rPr>
          <w:color w:val="231F20"/>
          <w:spacing w:val="-13"/>
        </w:rPr>
        <w:t> </w:t>
      </w:r>
      <w:r>
        <w:rPr>
          <w:color w:val="231F20"/>
        </w:rPr>
        <w:t>des</w:t>
      </w:r>
      <w:r>
        <w:rPr>
          <w:color w:val="231F20"/>
          <w:spacing w:val="-15"/>
        </w:rPr>
        <w:t> </w:t>
      </w:r>
      <w:r>
        <w:rPr>
          <w:color w:val="231F20"/>
        </w:rPr>
        <w:t>empires,</w:t>
      </w:r>
      <w:r>
        <w:rPr>
          <w:color w:val="231F20"/>
          <w:spacing w:val="-14"/>
        </w:rPr>
        <w:t> </w:t>
      </w:r>
      <w:r>
        <w:rPr>
          <w:color w:val="231F20"/>
        </w:rPr>
        <w:t>des</w:t>
      </w:r>
      <w:r>
        <w:rPr>
          <w:color w:val="231F20"/>
          <w:spacing w:val="-14"/>
        </w:rPr>
        <w:t> </w:t>
      </w:r>
      <w:r>
        <w:rPr>
          <w:color w:val="231F20"/>
        </w:rPr>
        <w:t>royaumes</w:t>
      </w:r>
      <w:r>
        <w:rPr>
          <w:color w:val="231F20"/>
          <w:spacing w:val="-14"/>
        </w:rPr>
        <w:t> </w:t>
      </w:r>
      <w:r>
        <w:rPr>
          <w:color w:val="231F20"/>
        </w:rPr>
        <w:t>et dans de gros villages.</w:t>
      </w:r>
    </w:p>
    <w:p>
      <w:pPr>
        <w:pStyle w:val="BodyText"/>
        <w:spacing w:before="121"/>
        <w:ind w:right="105" w:firstLine="283"/>
      </w:pPr>
      <w:r>
        <w:rPr>
          <w:color w:val="231F20"/>
          <w:spacing w:val="-2"/>
        </w:rPr>
        <w:t>La</w:t>
      </w:r>
      <w:r>
        <w:rPr>
          <w:color w:val="231F20"/>
          <w:spacing w:val="-15"/>
        </w:rPr>
        <w:t> </w:t>
      </w:r>
      <w:r>
        <w:rPr>
          <w:color w:val="231F20"/>
          <w:spacing w:val="-2"/>
        </w:rPr>
        <w:t>population</w:t>
      </w:r>
      <w:r>
        <w:rPr>
          <w:color w:val="231F20"/>
          <w:spacing w:val="-13"/>
        </w:rPr>
        <w:t> </w:t>
      </w:r>
      <w:r>
        <w:rPr>
          <w:color w:val="231F20"/>
          <w:spacing w:val="-2"/>
        </w:rPr>
        <w:t>était</w:t>
      </w:r>
      <w:r>
        <w:rPr>
          <w:color w:val="231F20"/>
          <w:spacing w:val="-13"/>
        </w:rPr>
        <w:t> </w:t>
      </w:r>
      <w:r>
        <w:rPr>
          <w:color w:val="231F20"/>
          <w:spacing w:val="-2"/>
        </w:rPr>
        <w:t>organisée</w:t>
      </w:r>
      <w:r>
        <w:rPr>
          <w:color w:val="231F20"/>
          <w:spacing w:val="-13"/>
        </w:rPr>
        <w:t> </w:t>
      </w:r>
      <w:r>
        <w:rPr>
          <w:color w:val="231F20"/>
          <w:spacing w:val="-2"/>
        </w:rPr>
        <w:t>:</w:t>
      </w:r>
      <w:r>
        <w:rPr>
          <w:color w:val="231F20"/>
          <w:spacing w:val="-13"/>
        </w:rPr>
        <w:t> </w:t>
      </w:r>
      <w:r>
        <w:rPr>
          <w:color w:val="231F20"/>
          <w:spacing w:val="-2"/>
        </w:rPr>
        <w:t>agriculteurs,</w:t>
      </w:r>
      <w:r>
        <w:rPr>
          <w:color w:val="231F20"/>
          <w:spacing w:val="-13"/>
        </w:rPr>
        <w:t> </w:t>
      </w:r>
      <w:r>
        <w:rPr>
          <w:color w:val="231F20"/>
          <w:spacing w:val="-2"/>
        </w:rPr>
        <w:t>chasseurs,</w:t>
      </w:r>
      <w:r>
        <w:rPr>
          <w:color w:val="231F20"/>
          <w:spacing w:val="-13"/>
        </w:rPr>
        <w:t> </w:t>
      </w:r>
      <w:r>
        <w:rPr>
          <w:color w:val="231F20"/>
          <w:spacing w:val="-2"/>
        </w:rPr>
        <w:t>artisans,</w:t>
      </w:r>
      <w:r>
        <w:rPr>
          <w:color w:val="231F20"/>
          <w:spacing w:val="-13"/>
        </w:rPr>
        <w:t> </w:t>
      </w:r>
      <w:r>
        <w:rPr>
          <w:color w:val="231F20"/>
          <w:spacing w:val="-2"/>
        </w:rPr>
        <w:t>griots, </w:t>
      </w:r>
      <w:r>
        <w:rPr>
          <w:color w:val="231F20"/>
        </w:rPr>
        <w:t>musiciens, guerriers etc.</w:t>
      </w:r>
    </w:p>
    <w:p>
      <w:pPr>
        <w:pStyle w:val="BodyText"/>
        <w:spacing w:before="120"/>
        <w:ind w:right="105" w:firstLine="283"/>
      </w:pPr>
      <w:r>
        <w:rPr>
          <w:color w:val="231F20"/>
        </w:rPr>
        <w:t>La</w:t>
      </w:r>
      <w:r>
        <w:rPr>
          <w:color w:val="231F20"/>
          <w:spacing w:val="-11"/>
        </w:rPr>
        <w:t> </w:t>
      </w:r>
      <w:r>
        <w:rPr>
          <w:color w:val="231F20"/>
        </w:rPr>
        <w:t>magnificence</w:t>
      </w:r>
      <w:r>
        <w:rPr>
          <w:color w:val="231F20"/>
          <w:spacing w:val="-13"/>
        </w:rPr>
        <w:t> </w:t>
      </w:r>
      <w:r>
        <w:rPr>
          <w:color w:val="231F20"/>
        </w:rPr>
        <w:t>de</w:t>
      </w:r>
      <w:r>
        <w:rPr>
          <w:color w:val="231F20"/>
          <w:spacing w:val="-11"/>
        </w:rPr>
        <w:t> </w:t>
      </w:r>
      <w:r>
        <w:rPr>
          <w:color w:val="231F20"/>
        </w:rPr>
        <w:t>certains</w:t>
      </w:r>
      <w:r>
        <w:rPr>
          <w:color w:val="231F20"/>
          <w:spacing w:val="-11"/>
        </w:rPr>
        <w:t> </w:t>
      </w:r>
      <w:r>
        <w:rPr>
          <w:color w:val="231F20"/>
        </w:rPr>
        <w:t>empires</w:t>
      </w:r>
      <w:r>
        <w:rPr>
          <w:color w:val="231F20"/>
          <w:spacing w:val="-12"/>
        </w:rPr>
        <w:t> </w:t>
      </w:r>
      <w:r>
        <w:rPr>
          <w:color w:val="231F20"/>
        </w:rPr>
        <w:t>et</w:t>
      </w:r>
      <w:r>
        <w:rPr>
          <w:color w:val="231F20"/>
          <w:spacing w:val="-12"/>
        </w:rPr>
        <w:t> </w:t>
      </w:r>
      <w:r>
        <w:rPr>
          <w:color w:val="231F20"/>
        </w:rPr>
        <w:t>grands</w:t>
      </w:r>
      <w:r>
        <w:rPr>
          <w:color w:val="231F20"/>
          <w:spacing w:val="-12"/>
        </w:rPr>
        <w:t> </w:t>
      </w:r>
      <w:r>
        <w:rPr>
          <w:color w:val="231F20"/>
        </w:rPr>
        <w:t>royaumes</w:t>
      </w:r>
      <w:r>
        <w:rPr>
          <w:color w:val="231F20"/>
          <w:spacing w:val="-9"/>
        </w:rPr>
        <w:t> </w:t>
      </w:r>
      <w:r>
        <w:rPr>
          <w:color w:val="231F20"/>
        </w:rPr>
        <w:t>chantés</w:t>
      </w:r>
      <w:r>
        <w:rPr>
          <w:color w:val="231F20"/>
          <w:spacing w:val="-12"/>
        </w:rPr>
        <w:t> </w:t>
      </w:r>
      <w:r>
        <w:rPr>
          <w:color w:val="231F20"/>
        </w:rPr>
        <w:t>par </w:t>
      </w:r>
      <w:r>
        <w:rPr>
          <w:color w:val="231F20"/>
          <w:spacing w:val="-4"/>
        </w:rPr>
        <w:t>les</w:t>
      </w:r>
      <w:r>
        <w:rPr>
          <w:color w:val="231F20"/>
          <w:spacing w:val="-7"/>
        </w:rPr>
        <w:t> </w:t>
      </w:r>
      <w:r>
        <w:rPr>
          <w:color w:val="231F20"/>
          <w:spacing w:val="-4"/>
        </w:rPr>
        <w:t>griots,</w:t>
      </w:r>
      <w:r>
        <w:rPr>
          <w:color w:val="231F20"/>
          <w:spacing w:val="-7"/>
        </w:rPr>
        <w:t> </w:t>
      </w:r>
      <w:r>
        <w:rPr>
          <w:color w:val="231F20"/>
          <w:spacing w:val="-4"/>
        </w:rPr>
        <w:t>a</w:t>
      </w:r>
      <w:r>
        <w:rPr>
          <w:color w:val="231F20"/>
          <w:spacing w:val="-8"/>
        </w:rPr>
        <w:t> </w:t>
      </w:r>
      <w:r>
        <w:rPr>
          <w:color w:val="231F20"/>
          <w:spacing w:val="-4"/>
        </w:rPr>
        <w:t>traversé</w:t>
      </w:r>
      <w:r>
        <w:rPr>
          <w:color w:val="231F20"/>
          <w:spacing w:val="-8"/>
        </w:rPr>
        <w:t> </w:t>
      </w:r>
      <w:r>
        <w:rPr>
          <w:color w:val="231F20"/>
          <w:spacing w:val="-4"/>
        </w:rPr>
        <w:t>les</w:t>
      </w:r>
      <w:r>
        <w:rPr>
          <w:color w:val="231F20"/>
          <w:spacing w:val="-7"/>
        </w:rPr>
        <w:t> </w:t>
      </w:r>
      <w:r>
        <w:rPr>
          <w:color w:val="231F20"/>
          <w:spacing w:val="-4"/>
        </w:rPr>
        <w:t>temps</w:t>
      </w:r>
      <w:r>
        <w:rPr>
          <w:color w:val="231F20"/>
          <w:spacing w:val="-7"/>
        </w:rPr>
        <w:t> </w:t>
      </w:r>
      <w:r>
        <w:rPr>
          <w:color w:val="231F20"/>
          <w:spacing w:val="-4"/>
        </w:rPr>
        <w:t>:</w:t>
      </w:r>
      <w:r>
        <w:rPr>
          <w:color w:val="231F20"/>
          <w:spacing w:val="-7"/>
        </w:rPr>
        <w:t> </w:t>
      </w:r>
      <w:r>
        <w:rPr>
          <w:color w:val="231F20"/>
          <w:spacing w:val="-4"/>
        </w:rPr>
        <w:t>empire</w:t>
      </w:r>
      <w:r>
        <w:rPr>
          <w:color w:val="231F20"/>
          <w:spacing w:val="-8"/>
        </w:rPr>
        <w:t> </w:t>
      </w:r>
      <w:r>
        <w:rPr>
          <w:color w:val="231F20"/>
          <w:spacing w:val="-4"/>
        </w:rPr>
        <w:t>du</w:t>
      </w:r>
      <w:r>
        <w:rPr>
          <w:color w:val="231F20"/>
          <w:spacing w:val="-7"/>
        </w:rPr>
        <w:t> </w:t>
      </w:r>
      <w:r>
        <w:rPr>
          <w:color w:val="231F20"/>
          <w:spacing w:val="-4"/>
        </w:rPr>
        <w:t>Ghana,</w:t>
      </w:r>
      <w:r>
        <w:rPr>
          <w:color w:val="231F20"/>
          <w:spacing w:val="-7"/>
        </w:rPr>
        <w:t> </w:t>
      </w:r>
      <w:r>
        <w:rPr>
          <w:color w:val="231F20"/>
          <w:spacing w:val="-4"/>
        </w:rPr>
        <w:t>empire</w:t>
      </w:r>
      <w:r>
        <w:rPr>
          <w:color w:val="231F20"/>
          <w:spacing w:val="-8"/>
        </w:rPr>
        <w:t> </w:t>
      </w:r>
      <w:r>
        <w:rPr>
          <w:color w:val="231F20"/>
          <w:spacing w:val="-4"/>
        </w:rPr>
        <w:t>du</w:t>
      </w:r>
      <w:r>
        <w:rPr>
          <w:color w:val="231F20"/>
          <w:spacing w:val="-7"/>
        </w:rPr>
        <w:t> </w:t>
      </w:r>
      <w:r>
        <w:rPr>
          <w:color w:val="231F20"/>
          <w:spacing w:val="-4"/>
        </w:rPr>
        <w:t>Mali,</w:t>
      </w:r>
      <w:r>
        <w:rPr>
          <w:color w:val="231F20"/>
          <w:spacing w:val="-9"/>
        </w:rPr>
        <w:t> </w:t>
      </w:r>
      <w:r>
        <w:rPr>
          <w:color w:val="231F20"/>
          <w:spacing w:val="-4"/>
        </w:rPr>
        <w:t>empire </w:t>
      </w:r>
      <w:r>
        <w:rPr>
          <w:color w:val="231F20"/>
        </w:rPr>
        <w:t>Songhaï, royaume de Gao...</w:t>
      </w:r>
    </w:p>
    <w:p>
      <w:pPr>
        <w:pStyle w:val="BodyText"/>
        <w:spacing w:before="120"/>
        <w:ind w:right="105" w:firstLine="283"/>
      </w:pPr>
      <w:r>
        <w:rPr>
          <w:color w:val="231F20"/>
        </w:rPr>
        <w:t>Vers</w:t>
      </w:r>
      <w:r>
        <w:rPr>
          <w:color w:val="231F20"/>
          <w:spacing w:val="-15"/>
        </w:rPr>
        <w:t> </w:t>
      </w:r>
      <w:r>
        <w:rPr>
          <w:color w:val="231F20"/>
        </w:rPr>
        <w:t>l'an</w:t>
      </w:r>
      <w:r>
        <w:rPr>
          <w:color w:val="231F20"/>
          <w:spacing w:val="-15"/>
        </w:rPr>
        <w:t> </w:t>
      </w:r>
      <w:r>
        <w:rPr>
          <w:color w:val="231F20"/>
        </w:rPr>
        <w:t>300</w:t>
      </w:r>
      <w:r>
        <w:rPr>
          <w:color w:val="231F20"/>
          <w:spacing w:val="-13"/>
        </w:rPr>
        <w:t> </w:t>
      </w:r>
      <w:r>
        <w:rPr>
          <w:color w:val="231F20"/>
        </w:rPr>
        <w:t>avant</w:t>
      </w:r>
      <w:r>
        <w:rPr>
          <w:color w:val="231F20"/>
          <w:spacing w:val="-15"/>
        </w:rPr>
        <w:t> </w:t>
      </w:r>
      <w:r>
        <w:rPr>
          <w:color w:val="231F20"/>
        </w:rPr>
        <w:t>Jésus</w:t>
      </w:r>
      <w:r>
        <w:rPr>
          <w:color w:val="231F20"/>
          <w:spacing w:val="-15"/>
        </w:rPr>
        <w:t> </w:t>
      </w:r>
      <w:r>
        <w:rPr>
          <w:color w:val="231F20"/>
        </w:rPr>
        <w:t>Christ,</w:t>
      </w:r>
      <w:r>
        <w:rPr>
          <w:color w:val="231F20"/>
          <w:spacing w:val="-14"/>
        </w:rPr>
        <w:t> </w:t>
      </w:r>
      <w:r>
        <w:rPr>
          <w:color w:val="231F20"/>
        </w:rPr>
        <w:t>fuyant</w:t>
      </w:r>
      <w:r>
        <w:rPr>
          <w:color w:val="231F20"/>
          <w:spacing w:val="-15"/>
        </w:rPr>
        <w:t> </w:t>
      </w:r>
      <w:r>
        <w:rPr>
          <w:color w:val="231F20"/>
        </w:rPr>
        <w:t>l'invasion</w:t>
      </w:r>
      <w:r>
        <w:rPr>
          <w:color w:val="231F20"/>
          <w:spacing w:val="-14"/>
        </w:rPr>
        <w:t> </w:t>
      </w:r>
      <w:r>
        <w:rPr>
          <w:color w:val="231F20"/>
        </w:rPr>
        <w:t>de</w:t>
      </w:r>
      <w:r>
        <w:rPr>
          <w:color w:val="231F20"/>
          <w:spacing w:val="-12"/>
        </w:rPr>
        <w:t> </w:t>
      </w:r>
      <w:r>
        <w:rPr>
          <w:color w:val="231F20"/>
        </w:rPr>
        <w:t>l’Égypte</w:t>
      </w:r>
      <w:r>
        <w:rPr>
          <w:color w:val="231F20"/>
          <w:spacing w:val="-15"/>
        </w:rPr>
        <w:t> </w:t>
      </w:r>
      <w:r>
        <w:rPr>
          <w:color w:val="231F20"/>
        </w:rPr>
        <w:t>par</w:t>
      </w:r>
      <w:r>
        <w:rPr>
          <w:color w:val="231F20"/>
          <w:spacing w:val="-15"/>
        </w:rPr>
        <w:t> </w:t>
      </w:r>
      <w:r>
        <w:rPr>
          <w:color w:val="231F20"/>
        </w:rPr>
        <w:t>les Perses,</w:t>
      </w:r>
      <w:r>
        <w:rPr>
          <w:color w:val="231F20"/>
          <w:spacing w:val="-12"/>
        </w:rPr>
        <w:t> </w:t>
      </w:r>
      <w:r>
        <w:rPr>
          <w:color w:val="231F20"/>
        </w:rPr>
        <w:t>les</w:t>
      </w:r>
      <w:r>
        <w:rPr>
          <w:color w:val="231F20"/>
          <w:spacing w:val="-10"/>
        </w:rPr>
        <w:t> </w:t>
      </w:r>
      <w:r>
        <w:rPr>
          <w:color w:val="231F20"/>
        </w:rPr>
        <w:t>Soninkés</w:t>
      </w:r>
      <w:r>
        <w:rPr>
          <w:color w:val="231F20"/>
          <w:vertAlign w:val="superscript"/>
        </w:rPr>
        <w:t>3</w:t>
      </w:r>
      <w:r>
        <w:rPr>
          <w:color w:val="231F20"/>
          <w:spacing w:val="-15"/>
          <w:vertAlign w:val="baseline"/>
        </w:rPr>
        <w:t> </w:t>
      </w:r>
      <w:r>
        <w:rPr>
          <w:color w:val="231F20"/>
          <w:vertAlign w:val="baseline"/>
        </w:rPr>
        <w:t>trouvent</w:t>
      </w:r>
      <w:r>
        <w:rPr>
          <w:color w:val="231F20"/>
          <w:spacing w:val="-10"/>
          <w:vertAlign w:val="baseline"/>
        </w:rPr>
        <w:t> </w:t>
      </w:r>
      <w:r>
        <w:rPr>
          <w:color w:val="231F20"/>
          <w:vertAlign w:val="baseline"/>
        </w:rPr>
        <w:t>dans</w:t>
      </w:r>
      <w:r>
        <w:rPr>
          <w:color w:val="231F20"/>
          <w:spacing w:val="-10"/>
          <w:vertAlign w:val="baseline"/>
        </w:rPr>
        <w:t> </w:t>
      </w:r>
      <w:r>
        <w:rPr>
          <w:color w:val="231F20"/>
          <w:vertAlign w:val="baseline"/>
        </w:rPr>
        <w:t>la</w:t>
      </w:r>
      <w:r>
        <w:rPr>
          <w:color w:val="231F20"/>
          <w:spacing w:val="-10"/>
          <w:vertAlign w:val="baseline"/>
        </w:rPr>
        <w:t> </w:t>
      </w:r>
      <w:r>
        <w:rPr>
          <w:color w:val="231F20"/>
          <w:vertAlign w:val="baseline"/>
        </w:rPr>
        <w:t>région</w:t>
      </w:r>
      <w:r>
        <w:rPr>
          <w:color w:val="231F20"/>
          <w:spacing w:val="-10"/>
          <w:vertAlign w:val="baseline"/>
        </w:rPr>
        <w:t> </w:t>
      </w:r>
      <w:r>
        <w:rPr>
          <w:color w:val="231F20"/>
          <w:vertAlign w:val="baseline"/>
        </w:rPr>
        <w:t>occupée</w:t>
      </w:r>
      <w:r>
        <w:rPr>
          <w:color w:val="231F20"/>
          <w:spacing w:val="-9"/>
          <w:vertAlign w:val="baseline"/>
        </w:rPr>
        <w:t> </w:t>
      </w:r>
      <w:r>
        <w:rPr>
          <w:color w:val="231F20"/>
          <w:vertAlign w:val="baseline"/>
        </w:rPr>
        <w:t>aujourd'hui</w:t>
      </w:r>
      <w:r>
        <w:rPr>
          <w:color w:val="231F20"/>
          <w:spacing w:val="-10"/>
          <w:vertAlign w:val="baseline"/>
        </w:rPr>
        <w:t> </w:t>
      </w:r>
      <w:r>
        <w:rPr>
          <w:color w:val="231F20"/>
          <w:vertAlign w:val="baseline"/>
        </w:rPr>
        <w:t>par</w:t>
      </w:r>
      <w:r>
        <w:rPr>
          <w:color w:val="231F20"/>
          <w:spacing w:val="-10"/>
          <w:vertAlign w:val="baseline"/>
        </w:rPr>
        <w:t> </w:t>
      </w:r>
      <w:r>
        <w:rPr>
          <w:color w:val="231F20"/>
          <w:vertAlign w:val="baseline"/>
        </w:rPr>
        <w:t>le Mali,</w:t>
      </w:r>
      <w:r>
        <w:rPr>
          <w:color w:val="231F20"/>
          <w:spacing w:val="-7"/>
          <w:vertAlign w:val="baseline"/>
        </w:rPr>
        <w:t> </w:t>
      </w:r>
      <w:r>
        <w:rPr>
          <w:color w:val="231F20"/>
          <w:vertAlign w:val="baseline"/>
        </w:rPr>
        <w:t>la</w:t>
      </w:r>
      <w:r>
        <w:rPr>
          <w:color w:val="231F20"/>
          <w:spacing w:val="-7"/>
          <w:vertAlign w:val="baseline"/>
        </w:rPr>
        <w:t> </w:t>
      </w:r>
      <w:r>
        <w:rPr>
          <w:color w:val="231F20"/>
          <w:vertAlign w:val="baseline"/>
        </w:rPr>
        <w:t>Mauritanie</w:t>
      </w:r>
      <w:r>
        <w:rPr>
          <w:color w:val="231F20"/>
          <w:spacing w:val="-5"/>
          <w:vertAlign w:val="baseline"/>
        </w:rPr>
        <w:t> </w:t>
      </w:r>
      <w:r>
        <w:rPr>
          <w:color w:val="231F20"/>
          <w:vertAlign w:val="baseline"/>
        </w:rPr>
        <w:t>et</w:t>
      </w:r>
      <w:r>
        <w:rPr>
          <w:color w:val="231F20"/>
          <w:spacing w:val="-6"/>
          <w:vertAlign w:val="baseline"/>
        </w:rPr>
        <w:t> </w:t>
      </w:r>
      <w:r>
        <w:rPr>
          <w:color w:val="231F20"/>
          <w:vertAlign w:val="baseline"/>
        </w:rPr>
        <w:t>le</w:t>
      </w:r>
      <w:r>
        <w:rPr>
          <w:color w:val="231F20"/>
          <w:spacing w:val="-7"/>
          <w:vertAlign w:val="baseline"/>
        </w:rPr>
        <w:t> </w:t>
      </w:r>
      <w:r>
        <w:rPr>
          <w:color w:val="231F20"/>
          <w:vertAlign w:val="baseline"/>
        </w:rPr>
        <w:t>Sénégal,</w:t>
      </w:r>
      <w:r>
        <w:rPr>
          <w:color w:val="231F20"/>
          <w:spacing w:val="-4"/>
          <w:vertAlign w:val="baseline"/>
        </w:rPr>
        <w:t> </w:t>
      </w:r>
      <w:r>
        <w:rPr>
          <w:color w:val="231F20"/>
          <w:vertAlign w:val="baseline"/>
        </w:rPr>
        <w:t>un</w:t>
      </w:r>
      <w:r>
        <w:rPr>
          <w:color w:val="231F20"/>
          <w:spacing w:val="-5"/>
          <w:vertAlign w:val="baseline"/>
        </w:rPr>
        <w:t> </w:t>
      </w:r>
      <w:r>
        <w:rPr>
          <w:color w:val="231F20"/>
          <w:vertAlign w:val="baseline"/>
        </w:rPr>
        <w:t>peuple</w:t>
      </w:r>
      <w:r>
        <w:rPr>
          <w:color w:val="231F20"/>
          <w:spacing w:val="-5"/>
          <w:vertAlign w:val="baseline"/>
        </w:rPr>
        <w:t> </w:t>
      </w:r>
      <w:r>
        <w:rPr>
          <w:color w:val="231F20"/>
          <w:vertAlign w:val="baseline"/>
        </w:rPr>
        <w:t>d'agriculteurs.</w:t>
      </w:r>
    </w:p>
    <w:p>
      <w:pPr>
        <w:pStyle w:val="BodyText"/>
        <w:spacing w:before="120"/>
        <w:ind w:right="105" w:firstLine="283"/>
      </w:pPr>
      <w:r>
        <w:rPr>
          <w:color w:val="231F20"/>
        </w:rPr>
        <w:t>Excellents cavaliers, armés de lances, d’épées, de boucliers et d’armures de fer, les Soninkés prennent le dessus sur la population autochtone et bâtissent leur empire, le Ghana qui dispose d’une abondance en or.</w:t>
      </w:r>
    </w:p>
    <w:p>
      <w:pPr>
        <w:pStyle w:val="BodyText"/>
        <w:spacing w:before="121"/>
        <w:ind w:right="104" w:firstLine="283"/>
      </w:pPr>
      <w:r>
        <w:rPr>
          <w:color w:val="231F20"/>
        </w:rPr>
        <w:t>Dès le 8ème</w:t>
      </w:r>
      <w:r>
        <w:rPr>
          <w:color w:val="231F20"/>
          <w:spacing w:val="-15"/>
        </w:rPr>
        <w:t> </w:t>
      </w:r>
      <w:r>
        <w:rPr>
          <w:color w:val="231F20"/>
        </w:rPr>
        <w:t>siècle, des marchands soninkés échangent avec les Almoravides</w:t>
      </w:r>
      <w:r>
        <w:rPr>
          <w:color w:val="231F20"/>
          <w:vertAlign w:val="superscript"/>
        </w:rPr>
        <w:t>4</w:t>
      </w:r>
      <w:r>
        <w:rPr>
          <w:color w:val="231F20"/>
          <w:vertAlign w:val="baseline"/>
        </w:rPr>
        <w:t>,</w:t>
      </w:r>
      <w:r>
        <w:rPr>
          <w:color w:val="231F20"/>
          <w:spacing w:val="-5"/>
          <w:vertAlign w:val="baseline"/>
        </w:rPr>
        <w:t> </w:t>
      </w:r>
      <w:r>
        <w:rPr>
          <w:color w:val="231F20"/>
          <w:vertAlign w:val="baseline"/>
        </w:rPr>
        <w:t>des</w:t>
      </w:r>
      <w:r>
        <w:rPr>
          <w:color w:val="231F20"/>
          <w:spacing w:val="-6"/>
          <w:vertAlign w:val="baseline"/>
        </w:rPr>
        <w:t> </w:t>
      </w:r>
      <w:r>
        <w:rPr>
          <w:color w:val="231F20"/>
          <w:vertAlign w:val="baseline"/>
        </w:rPr>
        <w:t>esclaves</w:t>
      </w:r>
      <w:r>
        <w:rPr>
          <w:color w:val="231F20"/>
          <w:spacing w:val="-6"/>
          <w:vertAlign w:val="baseline"/>
        </w:rPr>
        <w:t> </w:t>
      </w:r>
      <w:r>
        <w:rPr>
          <w:color w:val="231F20"/>
          <w:vertAlign w:val="baseline"/>
        </w:rPr>
        <w:t>contre</w:t>
      </w:r>
      <w:r>
        <w:rPr>
          <w:color w:val="231F20"/>
          <w:spacing w:val="-8"/>
          <w:vertAlign w:val="baseline"/>
        </w:rPr>
        <w:t> </w:t>
      </w:r>
      <w:r>
        <w:rPr>
          <w:color w:val="231F20"/>
          <w:vertAlign w:val="baseline"/>
        </w:rPr>
        <w:t>du</w:t>
      </w:r>
      <w:r>
        <w:rPr>
          <w:color w:val="231F20"/>
          <w:spacing w:val="-8"/>
          <w:vertAlign w:val="baseline"/>
        </w:rPr>
        <w:t> </w:t>
      </w:r>
      <w:r>
        <w:rPr>
          <w:color w:val="231F20"/>
          <w:vertAlign w:val="baseline"/>
        </w:rPr>
        <w:t>sel,</w:t>
      </w:r>
      <w:r>
        <w:rPr>
          <w:color w:val="231F20"/>
          <w:spacing w:val="-8"/>
          <w:vertAlign w:val="baseline"/>
        </w:rPr>
        <w:t> </w:t>
      </w:r>
      <w:r>
        <w:rPr>
          <w:color w:val="231F20"/>
          <w:vertAlign w:val="baseline"/>
        </w:rPr>
        <w:t>du</w:t>
      </w:r>
      <w:r>
        <w:rPr>
          <w:color w:val="231F20"/>
          <w:spacing w:val="-5"/>
          <w:vertAlign w:val="baseline"/>
        </w:rPr>
        <w:t> </w:t>
      </w:r>
      <w:r>
        <w:rPr>
          <w:color w:val="231F20"/>
          <w:vertAlign w:val="baseline"/>
        </w:rPr>
        <w:t>cuivre</w:t>
      </w:r>
      <w:r>
        <w:rPr>
          <w:color w:val="231F20"/>
          <w:spacing w:val="-8"/>
          <w:vertAlign w:val="baseline"/>
        </w:rPr>
        <w:t> </w:t>
      </w:r>
      <w:r>
        <w:rPr>
          <w:color w:val="231F20"/>
          <w:vertAlign w:val="baseline"/>
        </w:rPr>
        <w:t>ou</w:t>
      </w:r>
      <w:r>
        <w:rPr>
          <w:color w:val="231F20"/>
          <w:spacing w:val="-5"/>
          <w:vertAlign w:val="baseline"/>
        </w:rPr>
        <w:t> </w:t>
      </w:r>
      <w:r>
        <w:rPr>
          <w:color w:val="231F20"/>
          <w:vertAlign w:val="baseline"/>
        </w:rPr>
        <w:t>des</w:t>
      </w:r>
      <w:r>
        <w:rPr>
          <w:color w:val="231F20"/>
          <w:spacing w:val="-8"/>
          <w:vertAlign w:val="baseline"/>
        </w:rPr>
        <w:t> </w:t>
      </w:r>
      <w:r>
        <w:rPr>
          <w:color w:val="231F20"/>
          <w:vertAlign w:val="baseline"/>
        </w:rPr>
        <w:t>tissus.</w:t>
      </w:r>
    </w:p>
    <w:p>
      <w:pPr>
        <w:pStyle w:val="BodyText"/>
        <w:spacing w:before="120"/>
        <w:ind w:right="103" w:firstLine="283"/>
      </w:pPr>
      <w:r>
        <w:rPr>
          <w:color w:val="231F20"/>
        </w:rPr>
        <w:t>L’empire atteint son apogée vers les 10ème et 11ème siècles. La société</w:t>
      </w:r>
      <w:r>
        <w:rPr>
          <w:color w:val="231F20"/>
          <w:spacing w:val="-6"/>
        </w:rPr>
        <w:t> </w:t>
      </w:r>
      <w:r>
        <w:rPr>
          <w:color w:val="231F20"/>
        </w:rPr>
        <w:t>est</w:t>
      </w:r>
      <w:r>
        <w:rPr>
          <w:color w:val="231F20"/>
          <w:spacing w:val="-5"/>
        </w:rPr>
        <w:t> </w:t>
      </w:r>
      <w:r>
        <w:rPr>
          <w:color w:val="231F20"/>
        </w:rPr>
        <w:t>animiste</w:t>
      </w:r>
      <w:r>
        <w:rPr>
          <w:color w:val="231F20"/>
          <w:spacing w:val="-6"/>
        </w:rPr>
        <w:t> </w:t>
      </w:r>
      <w:r>
        <w:rPr>
          <w:color w:val="231F20"/>
        </w:rPr>
        <w:t>et</w:t>
      </w:r>
      <w:r>
        <w:rPr>
          <w:color w:val="231F20"/>
          <w:spacing w:val="-5"/>
        </w:rPr>
        <w:t> </w:t>
      </w:r>
      <w:r>
        <w:rPr>
          <w:color w:val="231F20"/>
        </w:rPr>
        <w:t>matrilinéaire</w:t>
      </w:r>
      <w:r>
        <w:rPr>
          <w:color w:val="231F20"/>
          <w:spacing w:val="-6"/>
        </w:rPr>
        <w:t> </w:t>
      </w:r>
      <w:r>
        <w:rPr>
          <w:color w:val="231F20"/>
        </w:rPr>
        <w:t>en</w:t>
      </w:r>
      <w:r>
        <w:rPr>
          <w:color w:val="231F20"/>
          <w:spacing w:val="-5"/>
        </w:rPr>
        <w:t> </w:t>
      </w:r>
      <w:r>
        <w:rPr>
          <w:color w:val="231F20"/>
        </w:rPr>
        <w:t>particulier</w:t>
      </w:r>
      <w:r>
        <w:rPr>
          <w:color w:val="231F20"/>
          <w:spacing w:val="-6"/>
        </w:rPr>
        <w:t> </w:t>
      </w:r>
      <w:r>
        <w:rPr>
          <w:color w:val="231F20"/>
        </w:rPr>
        <w:t>pour</w:t>
      </w:r>
      <w:r>
        <w:rPr>
          <w:color w:val="231F20"/>
          <w:spacing w:val="-6"/>
        </w:rPr>
        <w:t> </w:t>
      </w:r>
      <w:r>
        <w:rPr>
          <w:color w:val="231F20"/>
        </w:rPr>
        <w:t>la</w:t>
      </w:r>
      <w:r>
        <w:rPr>
          <w:color w:val="231F20"/>
          <w:spacing w:val="-6"/>
        </w:rPr>
        <w:t> </w:t>
      </w:r>
      <w:r>
        <w:rPr>
          <w:color w:val="231F20"/>
        </w:rPr>
        <w:t>succession</w:t>
      </w:r>
      <w:r>
        <w:rPr>
          <w:color w:val="231F20"/>
          <w:spacing w:val="-3"/>
        </w:rPr>
        <w:t> </w:t>
      </w:r>
      <w:r>
        <w:rPr>
          <w:color w:val="231F20"/>
        </w:rPr>
        <w:t>au </w:t>
      </w:r>
      <w:r>
        <w:rPr>
          <w:color w:val="231F20"/>
          <w:spacing w:val="-2"/>
        </w:rPr>
        <w:t>trône</w:t>
      </w:r>
      <w:r>
        <w:rPr>
          <w:color w:val="231F20"/>
          <w:spacing w:val="-2"/>
          <w:vertAlign w:val="superscript"/>
        </w:rPr>
        <w:t>5</w:t>
      </w:r>
      <w:r>
        <w:rPr>
          <w:color w:val="231F20"/>
          <w:spacing w:val="-2"/>
          <w:vertAlign w:val="baseline"/>
        </w:rPr>
        <w:t>.</w:t>
      </w:r>
    </w:p>
    <w:p>
      <w:pPr>
        <w:pStyle w:val="BodyText"/>
        <w:spacing w:before="120"/>
        <w:ind w:right="105" w:firstLine="283"/>
      </w:pPr>
      <w:r>
        <w:rPr>
          <w:color w:val="231F20"/>
          <w:spacing w:val="-2"/>
        </w:rPr>
        <w:t>Les</w:t>
      </w:r>
      <w:r>
        <w:rPr>
          <w:color w:val="231F20"/>
          <w:spacing w:val="-9"/>
        </w:rPr>
        <w:t> </w:t>
      </w:r>
      <w:r>
        <w:rPr>
          <w:color w:val="231F20"/>
          <w:spacing w:val="-2"/>
        </w:rPr>
        <w:t>pays</w:t>
      </w:r>
      <w:r>
        <w:rPr>
          <w:color w:val="231F20"/>
          <w:spacing w:val="-9"/>
        </w:rPr>
        <w:t> </w:t>
      </w:r>
      <w:r>
        <w:rPr>
          <w:color w:val="231F20"/>
          <w:spacing w:val="-2"/>
        </w:rPr>
        <w:t>arabes</w:t>
      </w:r>
      <w:r>
        <w:rPr>
          <w:color w:val="231F20"/>
          <w:spacing w:val="-12"/>
        </w:rPr>
        <w:t> </w:t>
      </w:r>
      <w:r>
        <w:rPr>
          <w:color w:val="231F20"/>
          <w:spacing w:val="-2"/>
        </w:rPr>
        <w:t>vivent</w:t>
      </w:r>
      <w:r>
        <w:rPr>
          <w:color w:val="231F20"/>
          <w:spacing w:val="-8"/>
        </w:rPr>
        <w:t> </w:t>
      </w:r>
      <w:r>
        <w:rPr>
          <w:color w:val="231F20"/>
          <w:spacing w:val="-2"/>
        </w:rPr>
        <w:t>mal</w:t>
      </w:r>
      <w:r>
        <w:rPr>
          <w:color w:val="231F20"/>
          <w:spacing w:val="-9"/>
        </w:rPr>
        <w:t> </w:t>
      </w:r>
      <w:r>
        <w:rPr>
          <w:color w:val="231F20"/>
          <w:spacing w:val="-2"/>
        </w:rPr>
        <w:t>leur</w:t>
      </w:r>
      <w:r>
        <w:rPr>
          <w:color w:val="231F20"/>
          <w:spacing w:val="-9"/>
        </w:rPr>
        <w:t> </w:t>
      </w:r>
      <w:r>
        <w:rPr>
          <w:color w:val="231F20"/>
          <w:spacing w:val="-2"/>
        </w:rPr>
        <w:t>dépendance</w:t>
      </w:r>
      <w:r>
        <w:rPr>
          <w:color w:val="231F20"/>
          <w:spacing w:val="-9"/>
        </w:rPr>
        <w:t> </w:t>
      </w:r>
      <w:r>
        <w:rPr>
          <w:color w:val="231F20"/>
          <w:spacing w:val="-2"/>
        </w:rPr>
        <w:t>aurifère</w:t>
      </w:r>
      <w:r>
        <w:rPr>
          <w:color w:val="231F20"/>
          <w:spacing w:val="-12"/>
        </w:rPr>
        <w:t> </w:t>
      </w:r>
      <w:r>
        <w:rPr>
          <w:color w:val="231F20"/>
          <w:spacing w:val="-2"/>
        </w:rPr>
        <w:t>envers</w:t>
      </w:r>
      <w:r>
        <w:rPr>
          <w:color w:val="231F20"/>
          <w:spacing w:val="-9"/>
        </w:rPr>
        <w:t> </w:t>
      </w:r>
      <w:r>
        <w:rPr>
          <w:color w:val="231F20"/>
          <w:spacing w:val="-2"/>
        </w:rPr>
        <w:t>le</w:t>
      </w:r>
      <w:r>
        <w:rPr>
          <w:color w:val="231F20"/>
          <w:spacing w:val="-9"/>
        </w:rPr>
        <w:t> </w:t>
      </w:r>
      <w:r>
        <w:rPr>
          <w:color w:val="231F20"/>
          <w:spacing w:val="-2"/>
        </w:rPr>
        <w:t>Ghana. </w:t>
      </w:r>
      <w:r>
        <w:rPr>
          <w:color w:val="231F20"/>
        </w:rPr>
        <w:t>Dans le but d’y mettre fin, les Almoravides font subir à l’empire du </w:t>
      </w:r>
      <w:r>
        <w:rPr>
          <w:color w:val="231F20"/>
          <w:spacing w:val="-4"/>
        </w:rPr>
        <w:t>Ghana,</w:t>
      </w:r>
      <w:r>
        <w:rPr>
          <w:color w:val="231F20"/>
          <w:spacing w:val="-6"/>
        </w:rPr>
        <w:t> </w:t>
      </w:r>
      <w:r>
        <w:rPr>
          <w:color w:val="231F20"/>
          <w:spacing w:val="-4"/>
        </w:rPr>
        <w:t>de</w:t>
      </w:r>
      <w:r>
        <w:rPr>
          <w:color w:val="231F20"/>
          <w:spacing w:val="-3"/>
        </w:rPr>
        <w:t> </w:t>
      </w:r>
      <w:r>
        <w:rPr>
          <w:color w:val="231F20"/>
          <w:spacing w:val="-4"/>
        </w:rPr>
        <w:t>1076</w:t>
      </w:r>
      <w:r>
        <w:rPr>
          <w:color w:val="231F20"/>
          <w:spacing w:val="-3"/>
        </w:rPr>
        <w:t> </w:t>
      </w:r>
      <w:r>
        <w:rPr>
          <w:color w:val="231F20"/>
          <w:spacing w:val="-4"/>
        </w:rPr>
        <w:t>à</w:t>
      </w:r>
      <w:r>
        <w:rPr>
          <w:color w:val="231F20"/>
          <w:spacing w:val="-3"/>
        </w:rPr>
        <w:t> </w:t>
      </w:r>
      <w:r>
        <w:rPr>
          <w:color w:val="231F20"/>
          <w:spacing w:val="-4"/>
        </w:rPr>
        <w:t>1087,</w:t>
      </w:r>
      <w:r>
        <w:rPr>
          <w:color w:val="231F20"/>
          <w:spacing w:val="-2"/>
        </w:rPr>
        <w:t> </w:t>
      </w:r>
      <w:r>
        <w:rPr>
          <w:color w:val="231F20"/>
          <w:spacing w:val="-4"/>
        </w:rPr>
        <w:t>d’incessantes</w:t>
      </w:r>
      <w:r>
        <w:rPr>
          <w:color w:val="231F20"/>
          <w:spacing w:val="-3"/>
        </w:rPr>
        <w:t> </w:t>
      </w:r>
      <w:r>
        <w:rPr>
          <w:color w:val="231F20"/>
          <w:spacing w:val="-4"/>
        </w:rPr>
        <w:t>attaques.</w:t>
      </w:r>
      <w:r>
        <w:rPr>
          <w:color w:val="231F20"/>
          <w:spacing w:val="-3"/>
        </w:rPr>
        <w:t> </w:t>
      </w:r>
      <w:r>
        <w:rPr>
          <w:color w:val="231F20"/>
          <w:spacing w:val="-4"/>
        </w:rPr>
        <w:t>En 1087,</w:t>
      </w:r>
      <w:r>
        <w:rPr>
          <w:color w:val="231F20"/>
          <w:spacing w:val="-3"/>
        </w:rPr>
        <w:t> </w:t>
      </w:r>
      <w:r>
        <w:rPr>
          <w:color w:val="231F20"/>
          <w:spacing w:val="-4"/>
        </w:rPr>
        <w:t>c’est</w:t>
      </w:r>
      <w:r>
        <w:rPr>
          <w:color w:val="231F20"/>
          <w:spacing w:val="-3"/>
        </w:rPr>
        <w:t> </w:t>
      </w:r>
      <w:r>
        <w:rPr>
          <w:color w:val="231F20"/>
          <w:spacing w:val="-4"/>
        </w:rPr>
        <w:t>la</w:t>
      </w:r>
      <w:r>
        <w:rPr>
          <w:color w:val="231F20"/>
          <w:spacing w:val="-6"/>
        </w:rPr>
        <w:t> </w:t>
      </w:r>
      <w:r>
        <w:rPr>
          <w:color w:val="231F20"/>
          <w:spacing w:val="-4"/>
        </w:rPr>
        <w:t>chute</w:t>
      </w:r>
      <w:r>
        <w:rPr>
          <w:color w:val="231F20"/>
          <w:spacing w:val="-3"/>
        </w:rPr>
        <w:t> </w:t>
      </w:r>
      <w:r>
        <w:rPr>
          <w:color w:val="231F20"/>
          <w:spacing w:val="-5"/>
        </w:rPr>
        <w:t>de</w:t>
      </w:r>
    </w:p>
    <w:p>
      <w:pPr>
        <w:pStyle w:val="BodyText"/>
        <w:spacing w:before="56"/>
        <w:ind w:left="0"/>
        <w:jc w:val="left"/>
        <w:rPr>
          <w:sz w:val="20"/>
        </w:rPr>
      </w:pPr>
      <w:r>
        <w:rPr/>
        <mc:AlternateContent>
          <mc:Choice Requires="wps">
            <w:drawing>
              <wp:anchor distT="0" distB="0" distL="0" distR="0" allowOverlap="1" layoutInCell="1" locked="0" behindDoc="1" simplePos="0" relativeHeight="487589888">
                <wp:simplePos x="0" y="0"/>
                <wp:positionH relativeFrom="page">
                  <wp:posOffset>629907</wp:posOffset>
                </wp:positionH>
                <wp:positionV relativeFrom="paragraph">
                  <wp:posOffset>197229</wp:posOffset>
                </wp:positionV>
                <wp:extent cx="1829435" cy="952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529843pt;width:144.020pt;height:.72pt;mso-position-horizontal-relative:page;mso-position-vertical-relative:paragraph;z-index:-15726592;mso-wrap-distance-left:0;mso-wrap-distance-right:0" id="docshape13" filled="true" fillcolor="#231f20" stroked="false">
                <v:fill type="solid"/>
                <w10:wrap type="topAndBottom"/>
              </v:rect>
            </w:pict>
          </mc:Fallback>
        </mc:AlternateContent>
      </w:r>
    </w:p>
    <w:p>
      <w:pPr>
        <w:spacing w:before="94"/>
        <w:ind w:left="111" w:right="107" w:hanging="1"/>
        <w:jc w:val="both"/>
        <w:rPr>
          <w:sz w:val="20"/>
        </w:rPr>
      </w:pPr>
      <w:r>
        <w:rPr>
          <w:color w:val="76787A"/>
          <w:spacing w:val="-2"/>
          <w:sz w:val="20"/>
          <w:vertAlign w:val="superscript"/>
        </w:rPr>
        <w:t>3</w:t>
      </w:r>
      <w:r>
        <w:rPr>
          <w:color w:val="76787A"/>
          <w:spacing w:val="-7"/>
          <w:sz w:val="20"/>
          <w:vertAlign w:val="baseline"/>
        </w:rPr>
        <w:t> </w:t>
      </w:r>
      <w:r>
        <w:rPr>
          <w:color w:val="231F20"/>
          <w:spacing w:val="-2"/>
          <w:sz w:val="20"/>
          <w:vertAlign w:val="baseline"/>
        </w:rPr>
        <w:t>peuple</w:t>
      </w:r>
      <w:r>
        <w:rPr>
          <w:color w:val="231F20"/>
          <w:spacing w:val="-6"/>
          <w:sz w:val="20"/>
          <w:vertAlign w:val="baseline"/>
        </w:rPr>
        <w:t> </w:t>
      </w:r>
      <w:r>
        <w:rPr>
          <w:color w:val="231F20"/>
          <w:spacing w:val="-2"/>
          <w:sz w:val="20"/>
          <w:vertAlign w:val="baseline"/>
        </w:rPr>
        <w:t>présent</w:t>
      </w:r>
      <w:r>
        <w:rPr>
          <w:color w:val="231F20"/>
          <w:spacing w:val="-6"/>
          <w:sz w:val="20"/>
          <w:vertAlign w:val="baseline"/>
        </w:rPr>
        <w:t> </w:t>
      </w:r>
      <w:r>
        <w:rPr>
          <w:color w:val="231F20"/>
          <w:spacing w:val="-2"/>
          <w:sz w:val="20"/>
          <w:vertAlign w:val="baseline"/>
        </w:rPr>
        <w:t>en</w:t>
      </w:r>
      <w:r>
        <w:rPr>
          <w:color w:val="231F20"/>
          <w:spacing w:val="-5"/>
          <w:sz w:val="20"/>
          <w:vertAlign w:val="baseline"/>
        </w:rPr>
        <w:t> </w:t>
      </w:r>
      <w:r>
        <w:rPr>
          <w:color w:val="231F20"/>
          <w:spacing w:val="-2"/>
          <w:sz w:val="20"/>
          <w:vertAlign w:val="baseline"/>
        </w:rPr>
        <w:t>Afrique</w:t>
      </w:r>
      <w:r>
        <w:rPr>
          <w:color w:val="231F20"/>
          <w:spacing w:val="-5"/>
          <w:sz w:val="20"/>
          <w:vertAlign w:val="baseline"/>
        </w:rPr>
        <w:t> </w:t>
      </w:r>
      <w:r>
        <w:rPr>
          <w:color w:val="231F20"/>
          <w:spacing w:val="-2"/>
          <w:sz w:val="20"/>
          <w:vertAlign w:val="baseline"/>
        </w:rPr>
        <w:t>de</w:t>
      </w:r>
      <w:r>
        <w:rPr>
          <w:color w:val="231F20"/>
          <w:spacing w:val="-6"/>
          <w:sz w:val="20"/>
          <w:vertAlign w:val="baseline"/>
        </w:rPr>
        <w:t> </w:t>
      </w:r>
      <w:r>
        <w:rPr>
          <w:color w:val="231F20"/>
          <w:spacing w:val="-2"/>
          <w:sz w:val="20"/>
          <w:vertAlign w:val="baseline"/>
        </w:rPr>
        <w:t>l'Ouest</w:t>
      </w:r>
      <w:r>
        <w:rPr>
          <w:color w:val="231F20"/>
          <w:spacing w:val="-6"/>
          <w:sz w:val="20"/>
          <w:vertAlign w:val="baseline"/>
        </w:rPr>
        <w:t> </w:t>
      </w:r>
      <w:r>
        <w:rPr>
          <w:color w:val="231F20"/>
          <w:spacing w:val="-2"/>
          <w:sz w:val="20"/>
          <w:vertAlign w:val="baseline"/>
        </w:rPr>
        <w:t>sahélienne,</w:t>
      </w:r>
      <w:r>
        <w:rPr>
          <w:color w:val="231F20"/>
          <w:spacing w:val="-6"/>
          <w:sz w:val="20"/>
          <w:vertAlign w:val="baseline"/>
        </w:rPr>
        <w:t> </w:t>
      </w:r>
      <w:r>
        <w:rPr>
          <w:color w:val="231F20"/>
          <w:spacing w:val="-2"/>
          <w:sz w:val="20"/>
          <w:vertAlign w:val="baseline"/>
        </w:rPr>
        <w:t>établi</w:t>
      </w:r>
      <w:r>
        <w:rPr>
          <w:color w:val="231F20"/>
          <w:spacing w:val="-6"/>
          <w:sz w:val="20"/>
          <w:vertAlign w:val="baseline"/>
        </w:rPr>
        <w:t> </w:t>
      </w:r>
      <w:r>
        <w:rPr>
          <w:color w:val="231F20"/>
          <w:spacing w:val="-2"/>
          <w:sz w:val="20"/>
          <w:vertAlign w:val="baseline"/>
        </w:rPr>
        <w:t>principalement</w:t>
      </w:r>
      <w:r>
        <w:rPr>
          <w:color w:val="231F20"/>
          <w:spacing w:val="-6"/>
          <w:sz w:val="20"/>
          <w:vertAlign w:val="baseline"/>
        </w:rPr>
        <w:t> </w:t>
      </w:r>
      <w:r>
        <w:rPr>
          <w:color w:val="231F20"/>
          <w:spacing w:val="-2"/>
          <w:sz w:val="20"/>
          <w:vertAlign w:val="baseline"/>
        </w:rPr>
        <w:t>au</w:t>
      </w:r>
      <w:r>
        <w:rPr>
          <w:color w:val="231F20"/>
          <w:spacing w:val="-5"/>
          <w:sz w:val="20"/>
          <w:vertAlign w:val="baseline"/>
        </w:rPr>
        <w:t> </w:t>
      </w:r>
      <w:r>
        <w:rPr>
          <w:color w:val="231F20"/>
          <w:spacing w:val="-2"/>
          <w:sz w:val="20"/>
          <w:vertAlign w:val="baseline"/>
        </w:rPr>
        <w:t>Mali</w:t>
      </w:r>
      <w:r>
        <w:rPr>
          <w:color w:val="231F20"/>
          <w:spacing w:val="-6"/>
          <w:sz w:val="20"/>
          <w:vertAlign w:val="baseline"/>
        </w:rPr>
        <w:t> </w:t>
      </w:r>
      <w:r>
        <w:rPr>
          <w:color w:val="231F20"/>
          <w:spacing w:val="-2"/>
          <w:sz w:val="20"/>
          <w:vertAlign w:val="baseline"/>
        </w:rPr>
        <w:t>le</w:t>
      </w:r>
      <w:r>
        <w:rPr>
          <w:color w:val="231F20"/>
          <w:spacing w:val="-6"/>
          <w:sz w:val="20"/>
          <w:vertAlign w:val="baseline"/>
        </w:rPr>
        <w:t> </w:t>
      </w:r>
      <w:r>
        <w:rPr>
          <w:color w:val="231F20"/>
          <w:spacing w:val="-2"/>
          <w:sz w:val="20"/>
          <w:vertAlign w:val="baseline"/>
        </w:rPr>
        <w:t>long </w:t>
      </w:r>
      <w:r>
        <w:rPr>
          <w:color w:val="231F20"/>
          <w:spacing w:val="-6"/>
          <w:sz w:val="20"/>
          <w:vertAlign w:val="baseline"/>
        </w:rPr>
        <w:t>de</w:t>
      </w:r>
      <w:r>
        <w:rPr>
          <w:color w:val="231F20"/>
          <w:sz w:val="20"/>
          <w:vertAlign w:val="baseline"/>
        </w:rPr>
        <w:t> </w:t>
      </w:r>
      <w:r>
        <w:rPr>
          <w:color w:val="231F20"/>
          <w:spacing w:val="-6"/>
          <w:sz w:val="20"/>
          <w:vertAlign w:val="baseline"/>
        </w:rPr>
        <w:t>la frontière</w:t>
      </w:r>
      <w:r>
        <w:rPr>
          <w:color w:val="231F20"/>
          <w:sz w:val="20"/>
          <w:vertAlign w:val="baseline"/>
        </w:rPr>
        <w:t> </w:t>
      </w:r>
      <w:r>
        <w:rPr>
          <w:color w:val="231F20"/>
          <w:spacing w:val="-6"/>
          <w:sz w:val="20"/>
          <w:vertAlign w:val="baseline"/>
        </w:rPr>
        <w:t>mauritanienne</w:t>
      </w:r>
      <w:r>
        <w:rPr>
          <w:color w:val="231F20"/>
          <w:sz w:val="20"/>
          <w:vertAlign w:val="baseline"/>
        </w:rPr>
        <w:t> </w:t>
      </w:r>
      <w:r>
        <w:rPr>
          <w:color w:val="231F20"/>
          <w:spacing w:val="-6"/>
          <w:sz w:val="20"/>
          <w:vertAlign w:val="baseline"/>
        </w:rPr>
        <w:t>entre</w:t>
      </w:r>
      <w:r>
        <w:rPr>
          <w:color w:val="231F20"/>
          <w:sz w:val="20"/>
          <w:vertAlign w:val="baseline"/>
        </w:rPr>
        <w:t> </w:t>
      </w:r>
      <w:r>
        <w:rPr>
          <w:color w:val="231F20"/>
          <w:spacing w:val="-6"/>
          <w:sz w:val="20"/>
          <w:vertAlign w:val="baseline"/>
        </w:rPr>
        <w:t>Nara,</w:t>
      </w:r>
      <w:r>
        <w:rPr>
          <w:color w:val="231F20"/>
          <w:sz w:val="20"/>
          <w:vertAlign w:val="baseline"/>
        </w:rPr>
        <w:t> </w:t>
      </w:r>
      <w:r>
        <w:rPr>
          <w:color w:val="231F20"/>
          <w:spacing w:val="-6"/>
          <w:sz w:val="20"/>
          <w:vertAlign w:val="baseline"/>
        </w:rPr>
        <w:t>la</w:t>
      </w:r>
      <w:r>
        <w:rPr>
          <w:color w:val="231F20"/>
          <w:sz w:val="20"/>
          <w:vertAlign w:val="baseline"/>
        </w:rPr>
        <w:t> </w:t>
      </w:r>
      <w:r>
        <w:rPr>
          <w:color w:val="231F20"/>
          <w:spacing w:val="-6"/>
          <w:sz w:val="20"/>
          <w:vertAlign w:val="baseline"/>
        </w:rPr>
        <w:t>région de</w:t>
      </w:r>
      <w:r>
        <w:rPr>
          <w:color w:val="231F20"/>
          <w:sz w:val="20"/>
          <w:vertAlign w:val="baseline"/>
        </w:rPr>
        <w:t> </w:t>
      </w:r>
      <w:r>
        <w:rPr>
          <w:color w:val="231F20"/>
          <w:spacing w:val="-6"/>
          <w:sz w:val="20"/>
          <w:vertAlign w:val="baseline"/>
        </w:rPr>
        <w:t>Koulikoro,</w:t>
      </w:r>
      <w:r>
        <w:rPr>
          <w:color w:val="231F20"/>
          <w:sz w:val="20"/>
          <w:vertAlign w:val="baseline"/>
        </w:rPr>
        <w:t> </w:t>
      </w:r>
      <w:r>
        <w:rPr>
          <w:color w:val="231F20"/>
          <w:spacing w:val="-6"/>
          <w:sz w:val="20"/>
          <w:vertAlign w:val="baseline"/>
        </w:rPr>
        <w:t>Kayes et</w:t>
      </w:r>
      <w:r>
        <w:rPr>
          <w:color w:val="231F20"/>
          <w:sz w:val="20"/>
          <w:vertAlign w:val="baseline"/>
        </w:rPr>
        <w:t> </w:t>
      </w:r>
      <w:r>
        <w:rPr>
          <w:color w:val="231F20"/>
          <w:spacing w:val="-6"/>
          <w:sz w:val="20"/>
          <w:vertAlign w:val="baseline"/>
        </w:rPr>
        <w:t>Nioro du</w:t>
      </w:r>
      <w:r>
        <w:rPr>
          <w:color w:val="231F20"/>
          <w:sz w:val="20"/>
          <w:vertAlign w:val="baseline"/>
        </w:rPr>
        <w:t> </w:t>
      </w:r>
      <w:r>
        <w:rPr>
          <w:color w:val="231F20"/>
          <w:spacing w:val="-6"/>
          <w:sz w:val="20"/>
          <w:vertAlign w:val="baseline"/>
        </w:rPr>
        <w:t>Sahel, </w:t>
      </w:r>
      <w:r>
        <w:rPr>
          <w:color w:val="231F20"/>
          <w:sz w:val="20"/>
          <w:vertAlign w:val="baseline"/>
        </w:rPr>
        <w:t>ainsi</w:t>
      </w:r>
      <w:r>
        <w:rPr>
          <w:color w:val="231F20"/>
          <w:spacing w:val="-12"/>
          <w:sz w:val="20"/>
          <w:vertAlign w:val="baseline"/>
        </w:rPr>
        <w:t> </w:t>
      </w:r>
      <w:r>
        <w:rPr>
          <w:color w:val="231F20"/>
          <w:sz w:val="20"/>
          <w:vertAlign w:val="baseline"/>
        </w:rPr>
        <w:t>qu'au</w:t>
      </w:r>
      <w:r>
        <w:rPr>
          <w:color w:val="231F20"/>
          <w:spacing w:val="-11"/>
          <w:sz w:val="20"/>
          <w:vertAlign w:val="baseline"/>
        </w:rPr>
        <w:t> </w:t>
      </w:r>
      <w:r>
        <w:rPr>
          <w:color w:val="231F20"/>
          <w:sz w:val="20"/>
          <w:vertAlign w:val="baseline"/>
        </w:rPr>
        <w:t>Sénégal,</w:t>
      </w:r>
      <w:r>
        <w:rPr>
          <w:color w:val="231F20"/>
          <w:spacing w:val="-12"/>
          <w:sz w:val="20"/>
          <w:vertAlign w:val="baseline"/>
        </w:rPr>
        <w:t> </w:t>
      </w:r>
      <w:r>
        <w:rPr>
          <w:color w:val="231F20"/>
          <w:sz w:val="20"/>
          <w:vertAlign w:val="baseline"/>
        </w:rPr>
        <w:t>en</w:t>
      </w:r>
      <w:r>
        <w:rPr>
          <w:color w:val="231F20"/>
          <w:spacing w:val="-9"/>
          <w:sz w:val="20"/>
          <w:vertAlign w:val="baseline"/>
        </w:rPr>
        <w:t> </w:t>
      </w:r>
      <w:r>
        <w:rPr>
          <w:color w:val="231F20"/>
          <w:sz w:val="20"/>
          <w:vertAlign w:val="baseline"/>
        </w:rPr>
        <w:t>Mauritanie,</w:t>
      </w:r>
      <w:r>
        <w:rPr>
          <w:color w:val="231F20"/>
          <w:spacing w:val="-12"/>
          <w:sz w:val="20"/>
          <w:vertAlign w:val="baseline"/>
        </w:rPr>
        <w:t> </w:t>
      </w:r>
      <w:r>
        <w:rPr>
          <w:color w:val="231F20"/>
          <w:sz w:val="20"/>
          <w:vertAlign w:val="baseline"/>
        </w:rPr>
        <w:t>en</w:t>
      </w:r>
      <w:r>
        <w:rPr>
          <w:color w:val="231F20"/>
          <w:spacing w:val="-9"/>
          <w:sz w:val="20"/>
          <w:vertAlign w:val="baseline"/>
        </w:rPr>
        <w:t> </w:t>
      </w:r>
      <w:r>
        <w:rPr>
          <w:color w:val="231F20"/>
          <w:sz w:val="20"/>
          <w:vertAlign w:val="baseline"/>
        </w:rPr>
        <w:t>Gambie,</w:t>
      </w:r>
      <w:r>
        <w:rPr>
          <w:color w:val="231F20"/>
          <w:spacing w:val="-12"/>
          <w:sz w:val="20"/>
          <w:vertAlign w:val="baseline"/>
        </w:rPr>
        <w:t> </w:t>
      </w:r>
      <w:r>
        <w:rPr>
          <w:color w:val="231F20"/>
          <w:sz w:val="20"/>
          <w:vertAlign w:val="baseline"/>
        </w:rPr>
        <w:t>au</w:t>
      </w:r>
      <w:r>
        <w:rPr>
          <w:color w:val="231F20"/>
          <w:spacing w:val="-11"/>
          <w:sz w:val="20"/>
          <w:vertAlign w:val="baseline"/>
        </w:rPr>
        <w:t> </w:t>
      </w:r>
      <w:r>
        <w:rPr>
          <w:color w:val="231F20"/>
          <w:sz w:val="20"/>
          <w:vertAlign w:val="baseline"/>
        </w:rPr>
        <w:t>Burkina</w:t>
      </w:r>
      <w:r>
        <w:rPr>
          <w:color w:val="231F20"/>
          <w:spacing w:val="-9"/>
          <w:sz w:val="20"/>
          <w:vertAlign w:val="baseline"/>
        </w:rPr>
        <w:t> </w:t>
      </w:r>
      <w:r>
        <w:rPr>
          <w:color w:val="231F20"/>
          <w:sz w:val="20"/>
          <w:vertAlign w:val="baseline"/>
        </w:rPr>
        <w:t>Faso</w:t>
      </w:r>
      <w:r>
        <w:rPr>
          <w:color w:val="231F20"/>
          <w:spacing w:val="-9"/>
          <w:sz w:val="20"/>
          <w:vertAlign w:val="baseline"/>
        </w:rPr>
        <w:t> </w:t>
      </w:r>
      <w:r>
        <w:rPr>
          <w:color w:val="231F20"/>
          <w:sz w:val="20"/>
          <w:vertAlign w:val="baseline"/>
        </w:rPr>
        <w:t>et</w:t>
      </w:r>
      <w:r>
        <w:rPr>
          <w:color w:val="231F20"/>
          <w:spacing w:val="-12"/>
          <w:sz w:val="20"/>
          <w:vertAlign w:val="baseline"/>
        </w:rPr>
        <w:t> </w:t>
      </w:r>
      <w:r>
        <w:rPr>
          <w:color w:val="231F20"/>
          <w:sz w:val="20"/>
          <w:vertAlign w:val="baseline"/>
        </w:rPr>
        <w:t>en</w:t>
      </w:r>
      <w:r>
        <w:rPr>
          <w:color w:val="231F20"/>
          <w:spacing w:val="-9"/>
          <w:sz w:val="20"/>
          <w:vertAlign w:val="baseline"/>
        </w:rPr>
        <w:t> </w:t>
      </w:r>
      <w:r>
        <w:rPr>
          <w:color w:val="231F20"/>
          <w:sz w:val="20"/>
          <w:vertAlign w:val="baseline"/>
        </w:rPr>
        <w:t>Guinée-Bissau.</w:t>
      </w:r>
    </w:p>
    <w:p>
      <w:pPr>
        <w:spacing w:before="0"/>
        <w:ind w:left="111" w:right="105" w:firstLine="0"/>
        <w:jc w:val="both"/>
        <w:rPr>
          <w:sz w:val="20"/>
          <w:szCs w:val="20"/>
        </w:rPr>
      </w:pPr>
      <w:r>
        <w:rPr>
          <w:color w:val="76787A"/>
          <w:sz w:val="20"/>
          <w:szCs w:val="20"/>
          <w:vertAlign w:val="superscript"/>
        </w:rPr>
        <w:t>4</w:t>
      </w:r>
      <w:r>
        <w:rPr>
          <w:color w:val="76787A"/>
          <w:sz w:val="20"/>
          <w:szCs w:val="20"/>
          <w:vertAlign w:val="baseline"/>
        </w:rPr>
        <w:t> </w:t>
      </w:r>
      <w:r>
        <w:rPr>
          <w:color w:val="231F20"/>
          <w:sz w:val="20"/>
          <w:szCs w:val="20"/>
          <w:vertAlign w:val="baseline"/>
        </w:rPr>
        <w:t>dynastie berbère sanhadjienne, qui constitue du XIᵉ siècle au XIIᵉ siècle une confédération de tribus puis</w:t>
      </w:r>
      <w:r>
        <w:rPr>
          <w:color w:val="231F20"/>
          <w:spacing w:val="-1"/>
          <w:sz w:val="20"/>
          <w:szCs w:val="20"/>
          <w:vertAlign w:val="baseline"/>
        </w:rPr>
        <w:t> </w:t>
      </w:r>
      <w:r>
        <w:rPr>
          <w:color w:val="231F20"/>
          <w:sz w:val="20"/>
          <w:szCs w:val="20"/>
          <w:vertAlign w:val="baseline"/>
        </w:rPr>
        <w:t>un empire englobant</w:t>
      </w:r>
      <w:r>
        <w:rPr>
          <w:color w:val="231F20"/>
          <w:spacing w:val="-1"/>
          <w:sz w:val="20"/>
          <w:szCs w:val="20"/>
          <w:vertAlign w:val="baseline"/>
        </w:rPr>
        <w:t> </w:t>
      </w:r>
      <w:r>
        <w:rPr>
          <w:color w:val="231F20"/>
          <w:sz w:val="20"/>
          <w:szCs w:val="20"/>
          <w:vertAlign w:val="baseline"/>
        </w:rPr>
        <w:t>la Mauritanie,</w:t>
      </w:r>
      <w:r>
        <w:rPr>
          <w:color w:val="231F20"/>
          <w:spacing w:val="-1"/>
          <w:sz w:val="20"/>
          <w:szCs w:val="20"/>
          <w:vertAlign w:val="baseline"/>
        </w:rPr>
        <w:t> </w:t>
      </w:r>
      <w:r>
        <w:rPr>
          <w:color w:val="231F20"/>
          <w:sz w:val="20"/>
          <w:szCs w:val="20"/>
          <w:vertAlign w:val="baseline"/>
        </w:rPr>
        <w:t>le Maroc, l'Ouest</w:t>
      </w:r>
      <w:r>
        <w:rPr>
          <w:color w:val="231F20"/>
          <w:spacing w:val="-1"/>
          <w:sz w:val="20"/>
          <w:szCs w:val="20"/>
          <w:vertAlign w:val="baseline"/>
        </w:rPr>
        <w:t> </w:t>
      </w:r>
      <w:r>
        <w:rPr>
          <w:color w:val="231F20"/>
          <w:sz w:val="20"/>
          <w:szCs w:val="20"/>
          <w:vertAlign w:val="baseline"/>
        </w:rPr>
        <w:t>de Algérie</w:t>
      </w:r>
      <w:r>
        <w:rPr>
          <w:color w:val="231F20"/>
          <w:spacing w:val="-5"/>
          <w:sz w:val="20"/>
          <w:szCs w:val="20"/>
          <w:vertAlign w:val="baseline"/>
        </w:rPr>
        <w:t> </w:t>
      </w:r>
      <w:r>
        <w:rPr>
          <w:color w:val="231F20"/>
          <w:sz w:val="20"/>
          <w:szCs w:val="20"/>
          <w:vertAlign w:val="baseline"/>
        </w:rPr>
        <w:t>ainsi</w:t>
      </w:r>
      <w:r>
        <w:rPr>
          <w:color w:val="231F20"/>
          <w:spacing w:val="-6"/>
          <w:sz w:val="20"/>
          <w:szCs w:val="20"/>
          <w:vertAlign w:val="baseline"/>
        </w:rPr>
        <w:t> </w:t>
      </w:r>
      <w:r>
        <w:rPr>
          <w:color w:val="231F20"/>
          <w:sz w:val="20"/>
          <w:szCs w:val="20"/>
          <w:vertAlign w:val="baseline"/>
        </w:rPr>
        <w:t>qu'une</w:t>
      </w:r>
      <w:r>
        <w:rPr>
          <w:color w:val="231F20"/>
          <w:spacing w:val="-6"/>
          <w:sz w:val="20"/>
          <w:szCs w:val="20"/>
          <w:vertAlign w:val="baseline"/>
        </w:rPr>
        <w:t> </w:t>
      </w:r>
      <w:r>
        <w:rPr>
          <w:color w:val="231F20"/>
          <w:sz w:val="20"/>
          <w:szCs w:val="20"/>
          <w:vertAlign w:val="baseline"/>
        </w:rPr>
        <w:t>partie</w:t>
      </w:r>
      <w:r>
        <w:rPr>
          <w:color w:val="231F20"/>
          <w:spacing w:val="-5"/>
          <w:sz w:val="20"/>
          <w:szCs w:val="20"/>
          <w:vertAlign w:val="baseline"/>
        </w:rPr>
        <w:t> </w:t>
      </w:r>
      <w:r>
        <w:rPr>
          <w:color w:val="231F20"/>
          <w:sz w:val="20"/>
          <w:szCs w:val="20"/>
          <w:vertAlign w:val="baseline"/>
        </w:rPr>
        <w:t>de</w:t>
      </w:r>
      <w:r>
        <w:rPr>
          <w:color w:val="231F20"/>
          <w:spacing w:val="-3"/>
          <w:sz w:val="20"/>
          <w:szCs w:val="20"/>
          <w:vertAlign w:val="baseline"/>
        </w:rPr>
        <w:t> </w:t>
      </w:r>
      <w:r>
        <w:rPr>
          <w:color w:val="231F20"/>
          <w:sz w:val="20"/>
          <w:szCs w:val="20"/>
          <w:vertAlign w:val="baseline"/>
        </w:rPr>
        <w:t>la</w:t>
      </w:r>
      <w:r>
        <w:rPr>
          <w:color w:val="231F20"/>
          <w:spacing w:val="-6"/>
          <w:sz w:val="20"/>
          <w:szCs w:val="20"/>
          <w:vertAlign w:val="baseline"/>
        </w:rPr>
        <w:t> </w:t>
      </w:r>
      <w:r>
        <w:rPr>
          <w:color w:val="231F20"/>
          <w:sz w:val="20"/>
          <w:szCs w:val="20"/>
          <w:vertAlign w:val="baseline"/>
        </w:rPr>
        <w:t>péninsule</w:t>
      </w:r>
      <w:r>
        <w:rPr>
          <w:color w:val="231F20"/>
          <w:spacing w:val="-6"/>
          <w:sz w:val="20"/>
          <w:szCs w:val="20"/>
          <w:vertAlign w:val="baseline"/>
        </w:rPr>
        <w:t> </w:t>
      </w:r>
      <w:r>
        <w:rPr>
          <w:color w:val="231F20"/>
          <w:sz w:val="20"/>
          <w:szCs w:val="20"/>
          <w:vertAlign w:val="baseline"/>
        </w:rPr>
        <w:t>Ibérique</w:t>
      </w:r>
      <w:r>
        <w:rPr>
          <w:color w:val="231F20"/>
          <w:spacing w:val="-5"/>
          <w:sz w:val="20"/>
          <w:szCs w:val="20"/>
          <w:vertAlign w:val="baseline"/>
        </w:rPr>
        <w:t> </w:t>
      </w:r>
      <w:r>
        <w:rPr>
          <w:color w:val="231F20"/>
          <w:sz w:val="20"/>
          <w:szCs w:val="20"/>
          <w:vertAlign w:val="baseline"/>
        </w:rPr>
        <w:t>et</w:t>
      </w:r>
      <w:r>
        <w:rPr>
          <w:color w:val="231F20"/>
          <w:spacing w:val="-6"/>
          <w:sz w:val="20"/>
          <w:szCs w:val="20"/>
          <w:vertAlign w:val="baseline"/>
        </w:rPr>
        <w:t> </w:t>
      </w:r>
      <w:r>
        <w:rPr>
          <w:color w:val="231F20"/>
          <w:sz w:val="20"/>
          <w:szCs w:val="20"/>
          <w:vertAlign w:val="baseline"/>
        </w:rPr>
        <w:t>du</w:t>
      </w:r>
      <w:r>
        <w:rPr>
          <w:color w:val="231F20"/>
          <w:spacing w:val="-5"/>
          <w:sz w:val="20"/>
          <w:szCs w:val="20"/>
          <w:vertAlign w:val="baseline"/>
        </w:rPr>
        <w:t> </w:t>
      </w:r>
      <w:r>
        <w:rPr>
          <w:color w:val="231F20"/>
          <w:sz w:val="20"/>
          <w:szCs w:val="20"/>
          <w:vertAlign w:val="baseline"/>
        </w:rPr>
        <w:t>Mali.</w:t>
      </w:r>
    </w:p>
    <w:p>
      <w:pPr>
        <w:spacing w:before="0"/>
        <w:ind w:left="111" w:right="0" w:firstLine="0"/>
        <w:jc w:val="both"/>
        <w:rPr>
          <w:sz w:val="20"/>
        </w:rPr>
      </w:pPr>
      <w:r>
        <w:rPr>
          <w:color w:val="76787A"/>
          <w:spacing w:val="-2"/>
          <w:sz w:val="20"/>
          <w:vertAlign w:val="superscript"/>
        </w:rPr>
        <w:t>5</w:t>
      </w:r>
      <w:r>
        <w:rPr>
          <w:color w:val="231F20"/>
          <w:spacing w:val="-2"/>
          <w:sz w:val="20"/>
          <w:vertAlign w:val="baseline"/>
        </w:rPr>
        <w:t>Route</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Ghana</w:t>
      </w:r>
      <w:r>
        <w:rPr>
          <w:color w:val="231F20"/>
          <w:spacing w:val="-10"/>
          <w:sz w:val="20"/>
          <w:vertAlign w:val="baseline"/>
        </w:rPr>
        <w:t> </w:t>
      </w:r>
      <w:r>
        <w:rPr>
          <w:color w:val="231F20"/>
          <w:spacing w:val="-2"/>
          <w:sz w:val="20"/>
          <w:vertAlign w:val="baseline"/>
        </w:rPr>
        <w:t>à</w:t>
      </w:r>
      <w:r>
        <w:rPr>
          <w:color w:val="231F20"/>
          <w:spacing w:val="-11"/>
          <w:sz w:val="20"/>
          <w:vertAlign w:val="baseline"/>
        </w:rPr>
        <w:t> </w:t>
      </w:r>
      <w:r>
        <w:rPr>
          <w:color w:val="231F20"/>
          <w:spacing w:val="-2"/>
          <w:sz w:val="20"/>
          <w:vertAlign w:val="baseline"/>
        </w:rPr>
        <w:t>Tadmekka.</w:t>
      </w:r>
      <w:r>
        <w:rPr>
          <w:color w:val="231F20"/>
          <w:spacing w:val="-10"/>
          <w:sz w:val="20"/>
          <w:vertAlign w:val="baseline"/>
        </w:rPr>
        <w:t> </w:t>
      </w:r>
      <w:r>
        <w:rPr>
          <w:color w:val="231F20"/>
          <w:spacing w:val="-2"/>
          <w:sz w:val="20"/>
          <w:vertAlign w:val="baseline"/>
        </w:rPr>
        <w:t>El</w:t>
      </w:r>
      <w:r>
        <w:rPr>
          <w:color w:val="231F20"/>
          <w:spacing w:val="-10"/>
          <w:sz w:val="20"/>
          <w:vertAlign w:val="baseline"/>
        </w:rPr>
        <w:t> </w:t>
      </w:r>
      <w:r>
        <w:rPr>
          <w:color w:val="231F20"/>
          <w:spacing w:val="-4"/>
          <w:sz w:val="20"/>
          <w:vertAlign w:val="baseline"/>
        </w:rPr>
        <w:t>Bekri</w:t>
      </w:r>
    </w:p>
    <w:p>
      <w:pPr>
        <w:spacing w:after="0"/>
        <w:jc w:val="both"/>
        <w:rPr>
          <w:sz w:val="20"/>
        </w:rPr>
        <w:sectPr>
          <w:footerReference w:type="default" r:id="rId19"/>
          <w:footerReference w:type="even" r:id="rId20"/>
          <w:pgSz w:w="8790" w:h="13610"/>
          <w:pgMar w:header="0" w:footer="802" w:top="1040" w:bottom="1000" w:left="880" w:right="880"/>
          <w:pgNumType w:start="17"/>
        </w:sectPr>
      </w:pPr>
    </w:p>
    <w:p>
      <w:pPr>
        <w:pStyle w:val="BodyText"/>
        <w:spacing w:before="66"/>
        <w:ind w:right="107"/>
      </w:pPr>
      <w:r>
        <w:rPr>
          <w:color w:val="231F20"/>
        </w:rPr>
        <w:t>l’empire.</w:t>
      </w:r>
      <w:r>
        <w:rPr>
          <w:color w:val="231F20"/>
          <w:spacing w:val="-12"/>
        </w:rPr>
        <w:t> </w:t>
      </w:r>
      <w:r>
        <w:rPr>
          <w:color w:val="231F20"/>
        </w:rPr>
        <w:t>Les</w:t>
      </w:r>
      <w:r>
        <w:rPr>
          <w:color w:val="231F20"/>
          <w:spacing w:val="-12"/>
        </w:rPr>
        <w:t> </w:t>
      </w:r>
      <w:r>
        <w:rPr>
          <w:color w:val="231F20"/>
        </w:rPr>
        <w:t>arabes</w:t>
      </w:r>
      <w:r>
        <w:rPr>
          <w:color w:val="231F20"/>
          <w:spacing w:val="-11"/>
        </w:rPr>
        <w:t> </w:t>
      </w:r>
      <w:r>
        <w:rPr>
          <w:color w:val="231F20"/>
        </w:rPr>
        <w:t>massacrent</w:t>
      </w:r>
      <w:r>
        <w:rPr>
          <w:color w:val="231F20"/>
          <w:spacing w:val="-11"/>
        </w:rPr>
        <w:t> </w:t>
      </w:r>
      <w:r>
        <w:rPr>
          <w:color w:val="231F20"/>
        </w:rPr>
        <w:t>une</w:t>
      </w:r>
      <w:r>
        <w:rPr>
          <w:color w:val="231F20"/>
          <w:spacing w:val="-11"/>
        </w:rPr>
        <w:t> </w:t>
      </w:r>
      <w:r>
        <w:rPr>
          <w:color w:val="231F20"/>
        </w:rPr>
        <w:t>partie</w:t>
      </w:r>
      <w:r>
        <w:rPr>
          <w:color w:val="231F20"/>
          <w:spacing w:val="-12"/>
        </w:rPr>
        <w:t> </w:t>
      </w:r>
      <w:r>
        <w:rPr>
          <w:color w:val="231F20"/>
        </w:rPr>
        <w:t>de</w:t>
      </w:r>
      <w:r>
        <w:rPr>
          <w:color w:val="231F20"/>
          <w:spacing w:val="-12"/>
        </w:rPr>
        <w:t> </w:t>
      </w:r>
      <w:r>
        <w:rPr>
          <w:color w:val="231F20"/>
        </w:rPr>
        <w:t>la</w:t>
      </w:r>
      <w:r>
        <w:rPr>
          <w:color w:val="231F20"/>
          <w:spacing w:val="-11"/>
        </w:rPr>
        <w:t> </w:t>
      </w:r>
      <w:r>
        <w:rPr>
          <w:color w:val="231F20"/>
        </w:rPr>
        <w:t>population,</w:t>
      </w:r>
      <w:r>
        <w:rPr>
          <w:color w:val="231F20"/>
          <w:spacing w:val="-11"/>
        </w:rPr>
        <w:t> </w:t>
      </w:r>
      <w:r>
        <w:rPr>
          <w:color w:val="231F20"/>
        </w:rPr>
        <w:t>soumettent les survivants, forcent le reste à s'enfuir ou à embrasser la religion </w:t>
      </w:r>
      <w:r>
        <w:rPr>
          <w:color w:val="231F20"/>
          <w:spacing w:val="-2"/>
        </w:rPr>
        <w:t>musulmane.</w:t>
      </w:r>
    </w:p>
    <w:p>
      <w:pPr>
        <w:pStyle w:val="BodyText"/>
        <w:spacing w:before="120"/>
        <w:ind w:right="105" w:firstLine="283"/>
      </w:pPr>
      <w:r>
        <w:rPr>
          <w:color w:val="231F20"/>
        </w:rPr>
        <w:t>En 1240, Soundjata Keita s'empare du Ghana et fonde l’empire du Mali dont l’apogée se situe au 14ème</w:t>
      </w:r>
      <w:r>
        <w:rPr>
          <w:color w:val="231F20"/>
          <w:spacing w:val="-15"/>
        </w:rPr>
        <w:t> </w:t>
      </w:r>
      <w:r>
        <w:rPr>
          <w:color w:val="231F20"/>
        </w:rPr>
        <w:t>siècle. L’empire s’étend entre le </w:t>
      </w:r>
      <w:r>
        <w:rPr>
          <w:color w:val="231F20"/>
          <w:spacing w:val="-2"/>
        </w:rPr>
        <w:t>Sahara,</w:t>
      </w:r>
      <w:r>
        <w:rPr>
          <w:color w:val="231F20"/>
          <w:spacing w:val="-8"/>
        </w:rPr>
        <w:t> </w:t>
      </w:r>
      <w:r>
        <w:rPr>
          <w:color w:val="231F20"/>
          <w:spacing w:val="-2"/>
        </w:rPr>
        <w:t>l'Océan</w:t>
      </w:r>
      <w:r>
        <w:rPr>
          <w:color w:val="231F20"/>
          <w:spacing w:val="-8"/>
        </w:rPr>
        <w:t> </w:t>
      </w:r>
      <w:r>
        <w:rPr>
          <w:color w:val="231F20"/>
          <w:spacing w:val="-2"/>
        </w:rPr>
        <w:t>Atlantique</w:t>
      </w:r>
      <w:r>
        <w:rPr>
          <w:color w:val="231F20"/>
          <w:spacing w:val="-8"/>
        </w:rPr>
        <w:t> </w:t>
      </w:r>
      <w:r>
        <w:rPr>
          <w:color w:val="231F20"/>
          <w:spacing w:val="-2"/>
        </w:rPr>
        <w:t>et</w:t>
      </w:r>
      <w:r>
        <w:rPr>
          <w:color w:val="231F20"/>
          <w:spacing w:val="-7"/>
        </w:rPr>
        <w:t> </w:t>
      </w:r>
      <w:r>
        <w:rPr>
          <w:color w:val="231F20"/>
          <w:spacing w:val="-2"/>
        </w:rPr>
        <w:t>la</w:t>
      </w:r>
      <w:r>
        <w:rPr>
          <w:color w:val="231F20"/>
          <w:spacing w:val="-11"/>
        </w:rPr>
        <w:t> </w:t>
      </w:r>
      <w:r>
        <w:rPr>
          <w:color w:val="231F20"/>
          <w:spacing w:val="-2"/>
        </w:rPr>
        <w:t>Boucle</w:t>
      </w:r>
      <w:r>
        <w:rPr>
          <w:color w:val="231F20"/>
          <w:spacing w:val="-9"/>
        </w:rPr>
        <w:t> </w:t>
      </w:r>
      <w:r>
        <w:rPr>
          <w:color w:val="231F20"/>
          <w:spacing w:val="-2"/>
        </w:rPr>
        <w:t>du</w:t>
      </w:r>
      <w:r>
        <w:rPr>
          <w:color w:val="231F20"/>
          <w:spacing w:val="-8"/>
        </w:rPr>
        <w:t> </w:t>
      </w:r>
      <w:r>
        <w:rPr>
          <w:color w:val="231F20"/>
          <w:spacing w:val="-2"/>
        </w:rPr>
        <w:t>Niger</w:t>
      </w:r>
      <w:r>
        <w:rPr>
          <w:color w:val="231F20"/>
          <w:spacing w:val="-8"/>
        </w:rPr>
        <w:t> </w:t>
      </w:r>
      <w:r>
        <w:rPr>
          <w:color w:val="231F20"/>
          <w:spacing w:val="-2"/>
        </w:rPr>
        <w:t>soit</w:t>
      </w:r>
      <w:r>
        <w:rPr>
          <w:color w:val="231F20"/>
          <w:spacing w:val="-7"/>
        </w:rPr>
        <w:t> </w:t>
      </w:r>
      <w:r>
        <w:rPr>
          <w:color w:val="231F20"/>
          <w:spacing w:val="-2"/>
        </w:rPr>
        <w:t>sur</w:t>
      </w:r>
      <w:r>
        <w:rPr>
          <w:color w:val="231F20"/>
          <w:spacing w:val="-8"/>
        </w:rPr>
        <w:t> </w:t>
      </w:r>
      <w:r>
        <w:rPr>
          <w:color w:val="231F20"/>
          <w:spacing w:val="-2"/>
        </w:rPr>
        <w:t>les</w:t>
      </w:r>
      <w:r>
        <w:rPr>
          <w:color w:val="231F20"/>
          <w:spacing w:val="-9"/>
        </w:rPr>
        <w:t> </w:t>
      </w:r>
      <w:r>
        <w:rPr>
          <w:color w:val="231F20"/>
          <w:spacing w:val="-2"/>
        </w:rPr>
        <w:t>actuels</w:t>
      </w:r>
      <w:r>
        <w:rPr>
          <w:color w:val="231F20"/>
          <w:spacing w:val="-8"/>
        </w:rPr>
        <w:t> </w:t>
      </w:r>
      <w:r>
        <w:rPr>
          <w:color w:val="231F20"/>
          <w:spacing w:val="-2"/>
        </w:rPr>
        <w:t>pays </w:t>
      </w:r>
      <w:r>
        <w:rPr>
          <w:color w:val="231F20"/>
        </w:rPr>
        <w:t>du</w:t>
      </w:r>
      <w:r>
        <w:rPr>
          <w:color w:val="231F20"/>
          <w:spacing w:val="-3"/>
        </w:rPr>
        <w:t> </w:t>
      </w:r>
      <w:r>
        <w:rPr>
          <w:color w:val="231F20"/>
        </w:rPr>
        <w:t>Sénégal,</w:t>
      </w:r>
      <w:r>
        <w:rPr>
          <w:color w:val="231F20"/>
          <w:spacing w:val="-5"/>
        </w:rPr>
        <w:t> </w:t>
      </w:r>
      <w:r>
        <w:rPr>
          <w:color w:val="231F20"/>
        </w:rPr>
        <w:t>de</w:t>
      </w:r>
      <w:r>
        <w:rPr>
          <w:color w:val="231F20"/>
          <w:spacing w:val="-2"/>
        </w:rPr>
        <w:t> </w:t>
      </w:r>
      <w:r>
        <w:rPr>
          <w:color w:val="231F20"/>
        </w:rPr>
        <w:t>la</w:t>
      </w:r>
      <w:r>
        <w:rPr>
          <w:color w:val="231F20"/>
          <w:spacing w:val="-2"/>
        </w:rPr>
        <w:t> </w:t>
      </w:r>
      <w:r>
        <w:rPr>
          <w:color w:val="231F20"/>
        </w:rPr>
        <w:t>Gambie,</w:t>
      </w:r>
      <w:r>
        <w:rPr>
          <w:color w:val="231F20"/>
          <w:spacing w:val="-5"/>
        </w:rPr>
        <w:t> </w:t>
      </w:r>
      <w:r>
        <w:rPr>
          <w:color w:val="231F20"/>
        </w:rPr>
        <w:t>de</w:t>
      </w:r>
      <w:r>
        <w:rPr>
          <w:color w:val="231F20"/>
          <w:spacing w:val="-2"/>
        </w:rPr>
        <w:t> </w:t>
      </w:r>
      <w:r>
        <w:rPr>
          <w:color w:val="231F20"/>
        </w:rPr>
        <w:t>la</w:t>
      </w:r>
      <w:r>
        <w:rPr>
          <w:color w:val="231F20"/>
          <w:spacing w:val="-3"/>
        </w:rPr>
        <w:t> </w:t>
      </w:r>
      <w:r>
        <w:rPr>
          <w:color w:val="231F20"/>
        </w:rPr>
        <w:t>Guinée</w:t>
      </w:r>
      <w:r>
        <w:rPr>
          <w:color w:val="231F20"/>
          <w:spacing w:val="-3"/>
        </w:rPr>
        <w:t> </w:t>
      </w:r>
      <w:r>
        <w:rPr>
          <w:color w:val="231F20"/>
        </w:rPr>
        <w:t>et</w:t>
      </w:r>
      <w:r>
        <w:rPr>
          <w:color w:val="231F20"/>
          <w:spacing w:val="-4"/>
        </w:rPr>
        <w:t> </w:t>
      </w:r>
      <w:r>
        <w:rPr>
          <w:color w:val="231F20"/>
        </w:rPr>
        <w:t>de</w:t>
      </w:r>
      <w:r>
        <w:rPr>
          <w:color w:val="231F20"/>
          <w:spacing w:val="-5"/>
        </w:rPr>
        <w:t> </w:t>
      </w:r>
      <w:r>
        <w:rPr>
          <w:color w:val="231F20"/>
        </w:rPr>
        <w:t>la</w:t>
      </w:r>
      <w:r>
        <w:rPr>
          <w:color w:val="231F20"/>
          <w:spacing w:val="-3"/>
        </w:rPr>
        <w:t> </w:t>
      </w:r>
      <w:r>
        <w:rPr>
          <w:color w:val="231F20"/>
        </w:rPr>
        <w:t>Mauritanie.</w:t>
      </w:r>
    </w:p>
    <w:p>
      <w:pPr>
        <w:pStyle w:val="BodyText"/>
        <w:spacing w:before="120"/>
        <w:ind w:right="105" w:firstLine="283"/>
      </w:pPr>
      <w:r>
        <w:rPr>
          <w:color w:val="231F20"/>
        </w:rPr>
        <w:t>Kankan</w:t>
      </w:r>
      <w:r>
        <w:rPr>
          <w:color w:val="231F20"/>
          <w:spacing w:val="-10"/>
        </w:rPr>
        <w:t> </w:t>
      </w:r>
      <w:r>
        <w:rPr>
          <w:color w:val="231F20"/>
        </w:rPr>
        <w:t>Moussa,</w:t>
      </w:r>
      <w:r>
        <w:rPr>
          <w:color w:val="231F20"/>
          <w:spacing w:val="-12"/>
        </w:rPr>
        <w:t> </w:t>
      </w:r>
      <w:r>
        <w:rPr>
          <w:color w:val="231F20"/>
        </w:rPr>
        <w:t>successeur</w:t>
      </w:r>
      <w:r>
        <w:rPr>
          <w:color w:val="231F20"/>
          <w:spacing w:val="-10"/>
        </w:rPr>
        <w:t> </w:t>
      </w:r>
      <w:r>
        <w:rPr>
          <w:color w:val="231F20"/>
        </w:rPr>
        <w:t>de</w:t>
      </w:r>
      <w:r>
        <w:rPr>
          <w:color w:val="231F20"/>
          <w:spacing w:val="-11"/>
        </w:rPr>
        <w:t> </w:t>
      </w:r>
      <w:r>
        <w:rPr>
          <w:color w:val="231F20"/>
        </w:rPr>
        <w:t>Soundjata</w:t>
      </w:r>
      <w:r>
        <w:rPr>
          <w:color w:val="231F20"/>
          <w:spacing w:val="-10"/>
        </w:rPr>
        <w:t> </w:t>
      </w:r>
      <w:r>
        <w:rPr>
          <w:color w:val="231F20"/>
        </w:rPr>
        <w:t>Keïta</w:t>
      </w:r>
      <w:r>
        <w:rPr>
          <w:color w:val="231F20"/>
          <w:spacing w:val="-12"/>
        </w:rPr>
        <w:t> </w:t>
      </w:r>
      <w:r>
        <w:rPr>
          <w:color w:val="231F20"/>
        </w:rPr>
        <w:t>développe</w:t>
      </w:r>
      <w:r>
        <w:rPr>
          <w:color w:val="231F20"/>
          <w:spacing w:val="-12"/>
        </w:rPr>
        <w:t> </w:t>
      </w:r>
      <w:r>
        <w:rPr>
          <w:color w:val="231F20"/>
        </w:rPr>
        <w:t>l’empire. </w:t>
      </w:r>
      <w:r>
        <w:rPr>
          <w:color w:val="231F20"/>
          <w:spacing w:val="-2"/>
        </w:rPr>
        <w:t>Ses</w:t>
      </w:r>
      <w:r>
        <w:rPr>
          <w:color w:val="231F20"/>
          <w:spacing w:val="-9"/>
        </w:rPr>
        <w:t> </w:t>
      </w:r>
      <w:r>
        <w:rPr>
          <w:color w:val="231F20"/>
          <w:spacing w:val="-2"/>
        </w:rPr>
        <w:t>caravanes</w:t>
      </w:r>
      <w:r>
        <w:rPr>
          <w:color w:val="231F20"/>
          <w:spacing w:val="-9"/>
        </w:rPr>
        <w:t> </w:t>
      </w:r>
      <w:r>
        <w:rPr>
          <w:color w:val="231F20"/>
          <w:spacing w:val="-2"/>
        </w:rPr>
        <w:t>transportant</w:t>
      </w:r>
      <w:r>
        <w:rPr>
          <w:color w:val="231F20"/>
          <w:spacing w:val="-8"/>
        </w:rPr>
        <w:t> </w:t>
      </w:r>
      <w:r>
        <w:rPr>
          <w:color w:val="231F20"/>
          <w:spacing w:val="-2"/>
        </w:rPr>
        <w:t>de</w:t>
      </w:r>
      <w:r>
        <w:rPr>
          <w:color w:val="231F20"/>
          <w:spacing w:val="-9"/>
        </w:rPr>
        <w:t> </w:t>
      </w:r>
      <w:r>
        <w:rPr>
          <w:color w:val="231F20"/>
          <w:spacing w:val="-2"/>
        </w:rPr>
        <w:t>l'or,</w:t>
      </w:r>
      <w:r>
        <w:rPr>
          <w:color w:val="231F20"/>
          <w:spacing w:val="-9"/>
        </w:rPr>
        <w:t> </w:t>
      </w:r>
      <w:r>
        <w:rPr>
          <w:color w:val="231F20"/>
          <w:spacing w:val="-2"/>
        </w:rPr>
        <w:t>des</w:t>
      </w:r>
      <w:r>
        <w:rPr>
          <w:color w:val="231F20"/>
          <w:spacing w:val="-12"/>
        </w:rPr>
        <w:t> </w:t>
      </w:r>
      <w:r>
        <w:rPr>
          <w:color w:val="231F20"/>
          <w:spacing w:val="-2"/>
        </w:rPr>
        <w:t>tissus,</w:t>
      </w:r>
      <w:r>
        <w:rPr>
          <w:color w:val="231F20"/>
          <w:spacing w:val="-9"/>
        </w:rPr>
        <w:t> </w:t>
      </w:r>
      <w:r>
        <w:rPr>
          <w:color w:val="231F20"/>
          <w:spacing w:val="-2"/>
        </w:rPr>
        <w:t>des</w:t>
      </w:r>
      <w:r>
        <w:rPr>
          <w:color w:val="231F20"/>
          <w:spacing w:val="-12"/>
        </w:rPr>
        <w:t> </w:t>
      </w:r>
      <w:r>
        <w:rPr>
          <w:color w:val="231F20"/>
          <w:spacing w:val="-2"/>
        </w:rPr>
        <w:t>tapis,</w:t>
      </w:r>
      <w:r>
        <w:rPr>
          <w:color w:val="231F20"/>
          <w:spacing w:val="-9"/>
        </w:rPr>
        <w:t> </w:t>
      </w:r>
      <w:r>
        <w:rPr>
          <w:color w:val="231F20"/>
          <w:spacing w:val="-2"/>
        </w:rPr>
        <w:t>commercent</w:t>
      </w:r>
      <w:r>
        <w:rPr>
          <w:color w:val="231F20"/>
          <w:spacing w:val="-8"/>
        </w:rPr>
        <w:t> </w:t>
      </w:r>
      <w:r>
        <w:rPr>
          <w:color w:val="231F20"/>
          <w:spacing w:val="-2"/>
        </w:rPr>
        <w:t>avec </w:t>
      </w:r>
      <w:r>
        <w:rPr>
          <w:color w:val="231F20"/>
        </w:rPr>
        <w:t>le</w:t>
      </w:r>
      <w:r>
        <w:rPr>
          <w:color w:val="231F20"/>
          <w:spacing w:val="-11"/>
        </w:rPr>
        <w:t> </w:t>
      </w:r>
      <w:r>
        <w:rPr>
          <w:color w:val="231F20"/>
        </w:rPr>
        <w:t>Maroc</w:t>
      </w:r>
      <w:r>
        <w:rPr>
          <w:color w:val="231F20"/>
          <w:spacing w:val="-13"/>
        </w:rPr>
        <w:t> </w:t>
      </w:r>
      <w:r>
        <w:rPr>
          <w:color w:val="231F20"/>
        </w:rPr>
        <w:t>et</w:t>
      </w:r>
      <w:r>
        <w:rPr>
          <w:color w:val="231F20"/>
          <w:spacing w:val="-13"/>
        </w:rPr>
        <w:t> </w:t>
      </w:r>
      <w:r>
        <w:rPr>
          <w:color w:val="231F20"/>
        </w:rPr>
        <w:t>l'Égypte.</w:t>
      </w:r>
      <w:r>
        <w:rPr>
          <w:color w:val="231F20"/>
          <w:spacing w:val="-13"/>
        </w:rPr>
        <w:t> </w:t>
      </w:r>
      <w:r>
        <w:rPr>
          <w:color w:val="231F20"/>
        </w:rPr>
        <w:t>À</w:t>
      </w:r>
      <w:r>
        <w:rPr>
          <w:color w:val="231F20"/>
          <w:spacing w:val="-13"/>
        </w:rPr>
        <w:t> </w:t>
      </w:r>
      <w:r>
        <w:rPr>
          <w:color w:val="231F20"/>
        </w:rPr>
        <w:t>sa</w:t>
      </w:r>
      <w:r>
        <w:rPr>
          <w:color w:val="231F20"/>
          <w:spacing w:val="-12"/>
        </w:rPr>
        <w:t> </w:t>
      </w:r>
      <w:r>
        <w:rPr>
          <w:color w:val="231F20"/>
        </w:rPr>
        <w:t>mort</w:t>
      </w:r>
      <w:r>
        <w:rPr>
          <w:color w:val="231F20"/>
          <w:spacing w:val="-11"/>
        </w:rPr>
        <w:t> </w:t>
      </w:r>
      <w:r>
        <w:rPr>
          <w:color w:val="231F20"/>
        </w:rPr>
        <w:t>en</w:t>
      </w:r>
      <w:r>
        <w:rPr>
          <w:color w:val="231F20"/>
          <w:spacing w:val="-13"/>
        </w:rPr>
        <w:t> </w:t>
      </w:r>
      <w:r>
        <w:rPr>
          <w:color w:val="231F20"/>
        </w:rPr>
        <w:t>1332,</w:t>
      </w:r>
      <w:r>
        <w:rPr>
          <w:color w:val="231F20"/>
          <w:spacing w:val="-13"/>
        </w:rPr>
        <w:t> </w:t>
      </w:r>
      <w:r>
        <w:rPr>
          <w:color w:val="231F20"/>
        </w:rPr>
        <w:t>l'empire</w:t>
      </w:r>
      <w:r>
        <w:rPr>
          <w:color w:val="231F20"/>
          <w:spacing w:val="-13"/>
        </w:rPr>
        <w:t> </w:t>
      </w:r>
      <w:r>
        <w:rPr>
          <w:color w:val="231F20"/>
        </w:rPr>
        <w:t>s'étend</w:t>
      </w:r>
      <w:r>
        <w:rPr>
          <w:color w:val="231F20"/>
          <w:spacing w:val="-13"/>
        </w:rPr>
        <w:t> </w:t>
      </w:r>
      <w:r>
        <w:rPr>
          <w:color w:val="231F20"/>
        </w:rPr>
        <w:t>de</w:t>
      </w:r>
      <w:r>
        <w:rPr>
          <w:color w:val="231F20"/>
          <w:spacing w:val="-13"/>
        </w:rPr>
        <w:t> </w:t>
      </w:r>
      <w:r>
        <w:rPr>
          <w:color w:val="231F20"/>
        </w:rPr>
        <w:t>l'Atlantique à la rive orientale des bords du niger.</w:t>
      </w:r>
    </w:p>
    <w:p>
      <w:pPr>
        <w:pStyle w:val="BodyText"/>
        <w:spacing w:before="121"/>
        <w:ind w:right="106" w:firstLine="283"/>
      </w:pPr>
      <w:r>
        <w:rPr>
          <w:color w:val="231F20"/>
        </w:rPr>
        <w:t>En 1400, le Mali commence à perdre des territoires</w:t>
      </w:r>
      <w:r>
        <w:rPr>
          <w:color w:val="231F20"/>
          <w:spacing w:val="-12"/>
        </w:rPr>
        <w:t> </w:t>
      </w:r>
      <w:r>
        <w:rPr>
          <w:color w:val="231F20"/>
        </w:rPr>
        <w:t>: les mossi du Yatenga</w:t>
      </w:r>
      <w:r>
        <w:rPr>
          <w:color w:val="231F20"/>
          <w:vertAlign w:val="superscript"/>
        </w:rPr>
        <w:t>6</w:t>
      </w:r>
      <w:r>
        <w:rPr>
          <w:color w:val="231F20"/>
          <w:vertAlign w:val="baseline"/>
        </w:rPr>
        <w:t> s’emparent des provinces de l'Est.</w:t>
      </w:r>
    </w:p>
    <w:p>
      <w:pPr>
        <w:pStyle w:val="BodyText"/>
        <w:spacing w:before="120"/>
        <w:ind w:right="104" w:firstLine="283"/>
      </w:pPr>
      <w:r>
        <w:rPr>
          <w:color w:val="231F20"/>
        </w:rPr>
        <w:t>Le chef Songhaï,</w:t>
      </w:r>
      <w:r>
        <w:rPr>
          <w:color w:val="231F20"/>
          <w:spacing w:val="-11"/>
        </w:rPr>
        <w:t> </w:t>
      </w:r>
      <w:r>
        <w:rPr>
          <w:color w:val="231F20"/>
        </w:rPr>
        <w:t>Sonni Ali Ber</w:t>
      </w:r>
      <w:r>
        <w:rPr>
          <w:color w:val="231F20"/>
          <w:spacing w:val="-12"/>
        </w:rPr>
        <w:t> </w:t>
      </w:r>
      <w:r>
        <w:rPr>
          <w:color w:val="231F20"/>
        </w:rPr>
        <w:t>(Ali le Grand), prend son indépendance</w:t>
      </w:r>
      <w:r>
        <w:rPr>
          <w:color w:val="231F20"/>
          <w:spacing w:val="-5"/>
        </w:rPr>
        <w:t> </w:t>
      </w:r>
      <w:r>
        <w:rPr>
          <w:color w:val="231F20"/>
        </w:rPr>
        <w:t>et</w:t>
      </w:r>
      <w:r>
        <w:rPr>
          <w:color w:val="231F20"/>
          <w:spacing w:val="-5"/>
        </w:rPr>
        <w:t> </w:t>
      </w:r>
      <w:r>
        <w:rPr>
          <w:color w:val="231F20"/>
        </w:rPr>
        <w:t>fonde</w:t>
      </w:r>
      <w:r>
        <w:rPr>
          <w:color w:val="231F20"/>
          <w:spacing w:val="-5"/>
        </w:rPr>
        <w:t> </w:t>
      </w:r>
      <w:r>
        <w:rPr>
          <w:color w:val="231F20"/>
        </w:rPr>
        <w:t>en</w:t>
      </w:r>
      <w:r>
        <w:rPr>
          <w:color w:val="231F20"/>
          <w:spacing w:val="-7"/>
        </w:rPr>
        <w:t> </w:t>
      </w:r>
      <w:r>
        <w:rPr>
          <w:color w:val="231F20"/>
        </w:rPr>
        <w:t>1464,</w:t>
      </w:r>
      <w:r>
        <w:rPr>
          <w:color w:val="231F20"/>
          <w:spacing w:val="-5"/>
        </w:rPr>
        <w:t> </w:t>
      </w:r>
      <w:r>
        <w:rPr>
          <w:color w:val="231F20"/>
        </w:rPr>
        <w:t>à</w:t>
      </w:r>
      <w:r>
        <w:rPr>
          <w:color w:val="231F20"/>
          <w:spacing w:val="-7"/>
        </w:rPr>
        <w:t> </w:t>
      </w:r>
      <w:r>
        <w:rPr>
          <w:color w:val="231F20"/>
        </w:rPr>
        <w:t>partir</w:t>
      </w:r>
      <w:r>
        <w:rPr>
          <w:color w:val="231F20"/>
          <w:spacing w:val="-7"/>
        </w:rPr>
        <w:t> </w:t>
      </w:r>
      <w:r>
        <w:rPr>
          <w:color w:val="231F20"/>
        </w:rPr>
        <w:t>de</w:t>
      </w:r>
      <w:r>
        <w:rPr>
          <w:color w:val="231F20"/>
          <w:spacing w:val="-5"/>
        </w:rPr>
        <w:t> </w:t>
      </w:r>
      <w:r>
        <w:rPr>
          <w:color w:val="231F20"/>
        </w:rPr>
        <w:t>ce</w:t>
      </w:r>
      <w:r>
        <w:rPr>
          <w:color w:val="231F20"/>
          <w:spacing w:val="-5"/>
        </w:rPr>
        <w:t> </w:t>
      </w:r>
      <w:r>
        <w:rPr>
          <w:color w:val="231F20"/>
        </w:rPr>
        <w:t>qui</w:t>
      </w:r>
      <w:r>
        <w:rPr>
          <w:color w:val="231F20"/>
          <w:spacing w:val="-7"/>
        </w:rPr>
        <w:t> </w:t>
      </w:r>
      <w:r>
        <w:rPr>
          <w:color w:val="231F20"/>
        </w:rPr>
        <w:t>n'était</w:t>
      </w:r>
      <w:r>
        <w:rPr>
          <w:color w:val="231F20"/>
          <w:spacing w:val="-5"/>
        </w:rPr>
        <w:t> </w:t>
      </w:r>
      <w:r>
        <w:rPr>
          <w:color w:val="231F20"/>
        </w:rPr>
        <w:t>qu'un</w:t>
      </w:r>
      <w:r>
        <w:rPr>
          <w:color w:val="231F20"/>
          <w:spacing w:val="-5"/>
        </w:rPr>
        <w:t> </w:t>
      </w:r>
      <w:r>
        <w:rPr>
          <w:color w:val="231F20"/>
        </w:rPr>
        <w:t>royaume vassal</w:t>
      </w:r>
      <w:r>
        <w:rPr>
          <w:color w:val="231F20"/>
          <w:spacing w:val="-7"/>
        </w:rPr>
        <w:t> </w:t>
      </w:r>
      <w:r>
        <w:rPr>
          <w:color w:val="231F20"/>
        </w:rPr>
        <w:t>du</w:t>
      </w:r>
      <w:r>
        <w:rPr>
          <w:color w:val="231F20"/>
          <w:spacing w:val="-4"/>
        </w:rPr>
        <w:t> </w:t>
      </w:r>
      <w:r>
        <w:rPr>
          <w:color w:val="231F20"/>
        </w:rPr>
        <w:t>Mali,</w:t>
      </w:r>
      <w:r>
        <w:rPr>
          <w:color w:val="231F20"/>
          <w:spacing w:val="-7"/>
        </w:rPr>
        <w:t> </w:t>
      </w:r>
      <w:r>
        <w:rPr>
          <w:color w:val="231F20"/>
        </w:rPr>
        <w:t>l'empire</w:t>
      </w:r>
      <w:r>
        <w:rPr>
          <w:color w:val="231F20"/>
          <w:spacing w:val="-7"/>
        </w:rPr>
        <w:t> </w:t>
      </w:r>
      <w:r>
        <w:rPr>
          <w:color w:val="231F20"/>
        </w:rPr>
        <w:t>Songhaï,</w:t>
      </w:r>
      <w:r>
        <w:rPr>
          <w:color w:val="231F20"/>
          <w:spacing w:val="-5"/>
        </w:rPr>
        <w:t> </w:t>
      </w:r>
      <w:r>
        <w:rPr>
          <w:color w:val="231F20"/>
        </w:rPr>
        <w:t>au</w:t>
      </w:r>
      <w:r>
        <w:rPr>
          <w:color w:val="231F20"/>
          <w:spacing w:val="-5"/>
        </w:rPr>
        <w:t> </w:t>
      </w:r>
      <w:r>
        <w:rPr>
          <w:color w:val="231F20"/>
        </w:rPr>
        <w:t>centre</w:t>
      </w:r>
      <w:r>
        <w:rPr>
          <w:color w:val="231F20"/>
          <w:spacing w:val="-5"/>
        </w:rPr>
        <w:t> </w:t>
      </w:r>
      <w:r>
        <w:rPr>
          <w:color w:val="231F20"/>
        </w:rPr>
        <w:t>du</w:t>
      </w:r>
      <w:r>
        <w:rPr>
          <w:color w:val="231F20"/>
          <w:spacing w:val="-5"/>
        </w:rPr>
        <w:t> </w:t>
      </w:r>
      <w:r>
        <w:rPr>
          <w:color w:val="231F20"/>
        </w:rPr>
        <w:t>Niger</w:t>
      </w:r>
      <w:r>
        <w:rPr>
          <w:color w:val="231F20"/>
          <w:spacing w:val="-5"/>
        </w:rPr>
        <w:t> </w:t>
      </w:r>
      <w:r>
        <w:rPr>
          <w:color w:val="231F20"/>
        </w:rPr>
        <w:t>actuel.</w:t>
      </w:r>
    </w:p>
    <w:p>
      <w:pPr>
        <w:pStyle w:val="BodyText"/>
        <w:spacing w:before="120"/>
        <w:ind w:right="102" w:firstLine="283"/>
      </w:pPr>
      <w:r>
        <w:rPr>
          <w:color w:val="231F20"/>
        </w:rPr>
        <w:t>Les Songhaï forment autour de Gao, un état musulman dont la puissance</w:t>
      </w:r>
      <w:r>
        <w:rPr>
          <w:color w:val="231F20"/>
          <w:spacing w:val="-7"/>
        </w:rPr>
        <w:t> </w:t>
      </w:r>
      <w:r>
        <w:rPr>
          <w:color w:val="231F20"/>
        </w:rPr>
        <w:t>est</w:t>
      </w:r>
      <w:r>
        <w:rPr>
          <w:color w:val="231F20"/>
          <w:spacing w:val="-8"/>
        </w:rPr>
        <w:t> </w:t>
      </w:r>
      <w:r>
        <w:rPr>
          <w:color w:val="231F20"/>
        </w:rPr>
        <w:t>à</w:t>
      </w:r>
      <w:r>
        <w:rPr>
          <w:color w:val="231F20"/>
          <w:spacing w:val="-8"/>
        </w:rPr>
        <w:t> </w:t>
      </w:r>
      <w:r>
        <w:rPr>
          <w:color w:val="231F20"/>
        </w:rPr>
        <w:t>la</w:t>
      </w:r>
      <w:r>
        <w:rPr>
          <w:color w:val="231F20"/>
          <w:spacing w:val="-7"/>
        </w:rPr>
        <w:t> </w:t>
      </w:r>
      <w:r>
        <w:rPr>
          <w:color w:val="231F20"/>
        </w:rPr>
        <w:t>fois</w:t>
      </w:r>
      <w:r>
        <w:rPr>
          <w:color w:val="231F20"/>
          <w:spacing w:val="-8"/>
        </w:rPr>
        <w:t> </w:t>
      </w:r>
      <w:r>
        <w:rPr>
          <w:color w:val="231F20"/>
        </w:rPr>
        <w:t>religieuse,</w:t>
      </w:r>
      <w:r>
        <w:rPr>
          <w:color w:val="231F20"/>
          <w:spacing w:val="-8"/>
        </w:rPr>
        <w:t> </w:t>
      </w:r>
      <w:r>
        <w:rPr>
          <w:color w:val="231F20"/>
        </w:rPr>
        <w:t>commerciale</w:t>
      </w:r>
      <w:r>
        <w:rPr>
          <w:color w:val="231F20"/>
          <w:spacing w:val="-8"/>
        </w:rPr>
        <w:t> </w:t>
      </w:r>
      <w:r>
        <w:rPr>
          <w:color w:val="231F20"/>
        </w:rPr>
        <w:t>et</w:t>
      </w:r>
      <w:r>
        <w:rPr>
          <w:color w:val="231F20"/>
          <w:spacing w:val="-8"/>
        </w:rPr>
        <w:t> </w:t>
      </w:r>
      <w:r>
        <w:rPr>
          <w:color w:val="231F20"/>
        </w:rPr>
        <w:t>militaire.</w:t>
      </w:r>
      <w:r>
        <w:rPr>
          <w:color w:val="231F20"/>
          <w:spacing w:val="-5"/>
        </w:rPr>
        <w:t> </w:t>
      </w:r>
      <w:r>
        <w:rPr>
          <w:color w:val="231F20"/>
        </w:rPr>
        <w:t>À</w:t>
      </w:r>
      <w:r>
        <w:rPr>
          <w:color w:val="231F20"/>
          <w:spacing w:val="-10"/>
        </w:rPr>
        <w:t> </w:t>
      </w:r>
      <w:r>
        <w:rPr>
          <w:color w:val="231F20"/>
        </w:rPr>
        <w:t>la</w:t>
      </w:r>
      <w:r>
        <w:rPr>
          <w:color w:val="231F20"/>
          <w:spacing w:val="-8"/>
        </w:rPr>
        <w:t> </w:t>
      </w:r>
      <w:r>
        <w:rPr>
          <w:color w:val="231F20"/>
        </w:rPr>
        <w:t>mort</w:t>
      </w:r>
      <w:r>
        <w:rPr>
          <w:color w:val="231F20"/>
          <w:spacing w:val="-8"/>
        </w:rPr>
        <w:t> </w:t>
      </w:r>
      <w:r>
        <w:rPr>
          <w:color w:val="231F20"/>
        </w:rPr>
        <w:t>de Sonni Ali Ber, son fils Sonni Abu-Bakry Baro</w:t>
      </w:r>
      <w:r>
        <w:rPr>
          <w:color w:val="231F20"/>
          <w:spacing w:val="-15"/>
        </w:rPr>
        <w:t> </w:t>
      </w:r>
      <w:r>
        <w:rPr>
          <w:color w:val="231F20"/>
        </w:rPr>
        <w:t>ou</w:t>
      </w:r>
      <w:r>
        <w:rPr>
          <w:color w:val="231F20"/>
          <w:spacing w:val="-15"/>
        </w:rPr>
        <w:t> </w:t>
      </w:r>
      <w:r>
        <w:rPr>
          <w:color w:val="231F20"/>
        </w:rPr>
        <w:t>Si Baro</w:t>
      </w:r>
      <w:r>
        <w:rPr>
          <w:color w:val="231F20"/>
          <w:spacing w:val="-15"/>
        </w:rPr>
        <w:t> </w:t>
      </w:r>
      <w:r>
        <w:rPr>
          <w:color w:val="231F20"/>
        </w:rPr>
        <w:t>gouverne l'empire</w:t>
      </w:r>
      <w:r>
        <w:rPr>
          <w:color w:val="231F20"/>
          <w:spacing w:val="-11"/>
        </w:rPr>
        <w:t> </w:t>
      </w:r>
      <w:r>
        <w:rPr>
          <w:color w:val="231F20"/>
        </w:rPr>
        <w:t>pendant</w:t>
      </w:r>
      <w:r>
        <w:rPr>
          <w:color w:val="231F20"/>
          <w:spacing w:val="40"/>
        </w:rPr>
        <w:t> </w:t>
      </w:r>
      <w:r>
        <w:rPr>
          <w:color w:val="231F20"/>
        </w:rPr>
        <w:t>quelques</w:t>
      </w:r>
      <w:r>
        <w:rPr>
          <w:color w:val="231F20"/>
          <w:spacing w:val="40"/>
        </w:rPr>
        <w:t> </w:t>
      </w:r>
      <w:r>
        <w:rPr>
          <w:color w:val="231F20"/>
        </w:rPr>
        <w:t>mois.</w:t>
      </w:r>
      <w:r>
        <w:rPr>
          <w:color w:val="231F20"/>
          <w:spacing w:val="40"/>
        </w:rPr>
        <w:t> </w:t>
      </w:r>
      <w:r>
        <w:rPr>
          <w:color w:val="231F20"/>
        </w:rPr>
        <w:t>Il</w:t>
      </w:r>
      <w:r>
        <w:rPr>
          <w:color w:val="231F20"/>
          <w:spacing w:val="40"/>
        </w:rPr>
        <w:t> </w:t>
      </w:r>
      <w:r>
        <w:rPr>
          <w:color w:val="231F20"/>
        </w:rPr>
        <w:t>est</w:t>
      </w:r>
      <w:r>
        <w:rPr>
          <w:color w:val="231F20"/>
          <w:spacing w:val="40"/>
        </w:rPr>
        <w:t> </w:t>
      </w:r>
      <w:r>
        <w:rPr>
          <w:color w:val="231F20"/>
        </w:rPr>
        <w:t>renversé</w:t>
      </w:r>
      <w:r>
        <w:rPr>
          <w:color w:val="231F20"/>
          <w:spacing w:val="-10"/>
        </w:rPr>
        <w:t> </w:t>
      </w:r>
      <w:r>
        <w:rPr>
          <w:color w:val="231F20"/>
        </w:rPr>
        <w:t>en</w:t>
      </w:r>
      <w:r>
        <w:rPr>
          <w:color w:val="231F20"/>
          <w:spacing w:val="-12"/>
        </w:rPr>
        <w:t> </w:t>
      </w:r>
      <w:r>
        <w:rPr>
          <w:color w:val="231F20"/>
        </w:rPr>
        <w:t>1493</w:t>
      </w:r>
      <w:r>
        <w:rPr>
          <w:color w:val="231F20"/>
          <w:spacing w:val="40"/>
        </w:rPr>
        <w:t> </w:t>
      </w:r>
      <w:r>
        <w:rPr>
          <w:color w:val="231F20"/>
        </w:rPr>
        <w:t>par</w:t>
      </w:r>
      <w:r>
        <w:rPr>
          <w:color w:val="231F20"/>
          <w:spacing w:val="40"/>
        </w:rPr>
        <w:t> </w:t>
      </w:r>
      <w:r>
        <w:rPr>
          <w:color w:val="231F20"/>
        </w:rPr>
        <w:t>le général</w:t>
      </w:r>
      <w:r>
        <w:rPr>
          <w:color w:val="231F20"/>
          <w:spacing w:val="-15"/>
        </w:rPr>
        <w:t> </w:t>
      </w:r>
      <w:r>
        <w:rPr>
          <w:color w:val="231F20"/>
        </w:rPr>
        <w:t>Mohammed</w:t>
      </w:r>
      <w:r>
        <w:rPr>
          <w:color w:val="231F20"/>
          <w:spacing w:val="-15"/>
        </w:rPr>
        <w:t> </w:t>
      </w:r>
      <w:r>
        <w:rPr>
          <w:color w:val="231F20"/>
        </w:rPr>
        <w:t>Touré</w:t>
      </w:r>
      <w:r>
        <w:rPr>
          <w:color w:val="231F20"/>
          <w:spacing w:val="-15"/>
        </w:rPr>
        <w:t> </w:t>
      </w:r>
      <w:r>
        <w:rPr>
          <w:color w:val="231F20"/>
        </w:rPr>
        <w:t>ou</w:t>
      </w:r>
      <w:r>
        <w:rPr>
          <w:color w:val="231F20"/>
          <w:spacing w:val="-13"/>
        </w:rPr>
        <w:t> </w:t>
      </w:r>
      <w:r>
        <w:rPr>
          <w:color w:val="231F20"/>
        </w:rPr>
        <w:t>Mamadou</w:t>
      </w:r>
      <w:r>
        <w:rPr>
          <w:color w:val="231F20"/>
          <w:spacing w:val="-12"/>
        </w:rPr>
        <w:t> </w:t>
      </w:r>
      <w:r>
        <w:rPr>
          <w:color w:val="231F20"/>
        </w:rPr>
        <w:t>Touré,</w:t>
      </w:r>
      <w:r>
        <w:rPr>
          <w:color w:val="231F20"/>
          <w:spacing w:val="-12"/>
        </w:rPr>
        <w:t> </w:t>
      </w:r>
      <w:r>
        <w:rPr>
          <w:color w:val="231F20"/>
        </w:rPr>
        <w:t>âgé</w:t>
      </w:r>
      <w:r>
        <w:rPr>
          <w:color w:val="231F20"/>
          <w:spacing w:val="-13"/>
        </w:rPr>
        <w:t> </w:t>
      </w:r>
      <w:r>
        <w:rPr>
          <w:color w:val="231F20"/>
        </w:rPr>
        <w:t>de</w:t>
      </w:r>
      <w:r>
        <w:rPr>
          <w:color w:val="231F20"/>
          <w:spacing w:val="-12"/>
        </w:rPr>
        <w:t> </w:t>
      </w:r>
      <w:r>
        <w:rPr>
          <w:color w:val="231F20"/>
        </w:rPr>
        <w:t>50</w:t>
      </w:r>
      <w:r>
        <w:rPr>
          <w:color w:val="231F20"/>
          <w:spacing w:val="-12"/>
        </w:rPr>
        <w:t> </w:t>
      </w:r>
      <w:r>
        <w:rPr>
          <w:color w:val="231F20"/>
        </w:rPr>
        <w:t>ans</w:t>
      </w:r>
      <w:r>
        <w:rPr>
          <w:color w:val="231F20"/>
          <w:spacing w:val="-13"/>
        </w:rPr>
        <w:t> </w:t>
      </w:r>
      <w:r>
        <w:rPr>
          <w:color w:val="231F20"/>
        </w:rPr>
        <w:t>qui</w:t>
      </w:r>
      <w:r>
        <w:rPr>
          <w:color w:val="231F20"/>
          <w:spacing w:val="-12"/>
        </w:rPr>
        <w:t> </w:t>
      </w:r>
      <w:r>
        <w:rPr>
          <w:color w:val="231F20"/>
        </w:rPr>
        <w:t>prend le</w:t>
      </w:r>
      <w:r>
        <w:rPr>
          <w:color w:val="231F20"/>
          <w:spacing w:val="-15"/>
        </w:rPr>
        <w:t> </w:t>
      </w:r>
      <w:r>
        <w:rPr>
          <w:color w:val="231F20"/>
        </w:rPr>
        <w:t>titre</w:t>
      </w:r>
      <w:r>
        <w:rPr>
          <w:color w:val="231F20"/>
          <w:spacing w:val="-15"/>
        </w:rPr>
        <w:t> </w:t>
      </w:r>
      <w:r>
        <w:rPr>
          <w:color w:val="231F20"/>
        </w:rPr>
        <w:t>d’empereur</w:t>
      </w:r>
      <w:r>
        <w:rPr>
          <w:color w:val="231F20"/>
          <w:spacing w:val="-15"/>
        </w:rPr>
        <w:t> </w:t>
      </w:r>
      <w:r>
        <w:rPr>
          <w:color w:val="231F20"/>
        </w:rPr>
        <w:t>du</w:t>
      </w:r>
      <w:r>
        <w:rPr>
          <w:color w:val="231F20"/>
          <w:spacing w:val="-15"/>
        </w:rPr>
        <w:t> </w:t>
      </w:r>
      <w:r>
        <w:rPr>
          <w:color w:val="231F20"/>
        </w:rPr>
        <w:t>Songhaï.</w:t>
      </w:r>
      <w:r>
        <w:rPr>
          <w:color w:val="231F20"/>
          <w:spacing w:val="-15"/>
        </w:rPr>
        <w:t> </w:t>
      </w:r>
      <w:r>
        <w:rPr>
          <w:color w:val="231F20"/>
        </w:rPr>
        <w:t>Il</w:t>
      </w:r>
      <w:r>
        <w:rPr>
          <w:color w:val="231F20"/>
          <w:spacing w:val="-15"/>
        </w:rPr>
        <w:t> </w:t>
      </w:r>
      <w:r>
        <w:rPr>
          <w:color w:val="231F20"/>
        </w:rPr>
        <w:t>fonde</w:t>
      </w:r>
      <w:r>
        <w:rPr>
          <w:color w:val="231F20"/>
          <w:spacing w:val="-15"/>
        </w:rPr>
        <w:t> </w:t>
      </w:r>
      <w:r>
        <w:rPr>
          <w:color w:val="231F20"/>
        </w:rPr>
        <w:t>la</w:t>
      </w:r>
      <w:r>
        <w:rPr>
          <w:color w:val="231F20"/>
          <w:spacing w:val="-15"/>
        </w:rPr>
        <w:t> </w:t>
      </w:r>
      <w:r>
        <w:rPr>
          <w:color w:val="231F20"/>
        </w:rPr>
        <w:t>dynastie</w:t>
      </w:r>
      <w:r>
        <w:rPr>
          <w:color w:val="231F20"/>
          <w:spacing w:val="-15"/>
        </w:rPr>
        <w:t> </w:t>
      </w:r>
      <w:r>
        <w:rPr>
          <w:color w:val="231F20"/>
        </w:rPr>
        <w:t>des</w:t>
      </w:r>
      <w:r>
        <w:rPr>
          <w:color w:val="231F20"/>
          <w:spacing w:val="-15"/>
        </w:rPr>
        <w:t> </w:t>
      </w:r>
      <w:r>
        <w:rPr>
          <w:color w:val="231F20"/>
        </w:rPr>
        <w:t>Askia</w:t>
      </w:r>
      <w:r>
        <w:rPr>
          <w:color w:val="231F20"/>
          <w:spacing w:val="-15"/>
        </w:rPr>
        <w:t> </w:t>
      </w:r>
      <w:r>
        <w:rPr>
          <w:color w:val="231F20"/>
        </w:rPr>
        <w:t>et</w:t>
      </w:r>
      <w:r>
        <w:rPr>
          <w:color w:val="231F20"/>
          <w:spacing w:val="-15"/>
        </w:rPr>
        <w:t> </w:t>
      </w:r>
      <w:r>
        <w:rPr>
          <w:color w:val="231F20"/>
        </w:rPr>
        <w:t>prend</w:t>
      </w:r>
      <w:r>
        <w:rPr>
          <w:color w:val="231F20"/>
          <w:spacing w:val="-15"/>
        </w:rPr>
        <w:t> </w:t>
      </w:r>
      <w:r>
        <w:rPr>
          <w:color w:val="231F20"/>
        </w:rPr>
        <w:t>le nom d'Askia Mohammed.</w:t>
      </w:r>
    </w:p>
    <w:p>
      <w:pPr>
        <w:pStyle w:val="BodyText"/>
        <w:spacing w:before="120"/>
        <w:ind w:right="107" w:firstLine="283"/>
      </w:pPr>
      <w:r>
        <w:rPr>
          <w:color w:val="231F20"/>
        </w:rPr>
        <w:t>En 1529, âgé de quatre-vingt-six ans, presque aveugle, Askia </w:t>
      </w:r>
      <w:r>
        <w:rPr>
          <w:color w:val="231F20"/>
          <w:spacing w:val="-4"/>
        </w:rPr>
        <w:t>Mohammed</w:t>
      </w:r>
      <w:r>
        <w:rPr>
          <w:color w:val="231F20"/>
          <w:spacing w:val="-7"/>
        </w:rPr>
        <w:t> </w:t>
      </w:r>
      <w:r>
        <w:rPr>
          <w:color w:val="231F20"/>
          <w:spacing w:val="-4"/>
        </w:rPr>
        <w:t>est</w:t>
      </w:r>
      <w:r>
        <w:rPr>
          <w:color w:val="231F20"/>
          <w:spacing w:val="-6"/>
        </w:rPr>
        <w:t> </w:t>
      </w:r>
      <w:r>
        <w:rPr>
          <w:color w:val="231F20"/>
          <w:spacing w:val="-4"/>
        </w:rPr>
        <w:t>déposé</w:t>
      </w:r>
      <w:r>
        <w:rPr>
          <w:color w:val="231F20"/>
          <w:spacing w:val="-10"/>
        </w:rPr>
        <w:t> </w:t>
      </w:r>
      <w:r>
        <w:rPr>
          <w:color w:val="231F20"/>
          <w:spacing w:val="-4"/>
        </w:rPr>
        <w:t>par</w:t>
      </w:r>
      <w:r>
        <w:rPr>
          <w:color w:val="231F20"/>
          <w:spacing w:val="-7"/>
        </w:rPr>
        <w:t> </w:t>
      </w:r>
      <w:r>
        <w:rPr>
          <w:color w:val="231F20"/>
          <w:spacing w:val="-4"/>
        </w:rPr>
        <w:t>Moussa,</w:t>
      </w:r>
      <w:r>
        <w:rPr>
          <w:color w:val="231F20"/>
          <w:spacing w:val="-10"/>
        </w:rPr>
        <w:t> </w:t>
      </w:r>
      <w:r>
        <w:rPr>
          <w:color w:val="231F20"/>
          <w:spacing w:val="-4"/>
        </w:rPr>
        <w:t>l'un</w:t>
      </w:r>
      <w:r>
        <w:rPr>
          <w:color w:val="231F20"/>
          <w:spacing w:val="-6"/>
        </w:rPr>
        <w:t> </w:t>
      </w:r>
      <w:r>
        <w:rPr>
          <w:color w:val="231F20"/>
          <w:spacing w:val="-4"/>
        </w:rPr>
        <w:t>de</w:t>
      </w:r>
      <w:r>
        <w:rPr>
          <w:color w:val="231F20"/>
          <w:spacing w:val="-11"/>
        </w:rPr>
        <w:t> </w:t>
      </w:r>
      <w:r>
        <w:rPr>
          <w:color w:val="231F20"/>
          <w:spacing w:val="-4"/>
        </w:rPr>
        <w:t>ses</w:t>
      </w:r>
      <w:r>
        <w:rPr>
          <w:color w:val="231F20"/>
          <w:spacing w:val="-10"/>
        </w:rPr>
        <w:t> </w:t>
      </w:r>
      <w:r>
        <w:rPr>
          <w:color w:val="231F20"/>
          <w:spacing w:val="-4"/>
        </w:rPr>
        <w:t>fils.</w:t>
      </w:r>
      <w:r>
        <w:rPr>
          <w:color w:val="231F20"/>
          <w:spacing w:val="-8"/>
        </w:rPr>
        <w:t> </w:t>
      </w:r>
      <w:r>
        <w:rPr>
          <w:color w:val="231F20"/>
          <w:spacing w:val="-4"/>
        </w:rPr>
        <w:t>Ses</w:t>
      </w:r>
      <w:r>
        <w:rPr>
          <w:color w:val="231F20"/>
          <w:spacing w:val="-7"/>
        </w:rPr>
        <w:t> </w:t>
      </w:r>
      <w:r>
        <w:rPr>
          <w:color w:val="231F20"/>
          <w:spacing w:val="-4"/>
        </w:rPr>
        <w:t>enfants</w:t>
      </w:r>
      <w:r>
        <w:rPr>
          <w:color w:val="231F20"/>
          <w:spacing w:val="-10"/>
        </w:rPr>
        <w:t> </w:t>
      </w:r>
      <w:r>
        <w:rPr>
          <w:color w:val="231F20"/>
          <w:spacing w:val="-4"/>
        </w:rPr>
        <w:t>l’envoient </w:t>
      </w:r>
      <w:r>
        <w:rPr>
          <w:color w:val="231F20"/>
        </w:rPr>
        <w:t>en exil sur une île du niger, dilapident le trésor impérial, pillent leurs </w:t>
      </w:r>
      <w:r>
        <w:rPr>
          <w:color w:val="231F20"/>
          <w:spacing w:val="-4"/>
        </w:rPr>
        <w:t>provinces</w:t>
      </w:r>
      <w:r>
        <w:rPr>
          <w:color w:val="231F20"/>
          <w:spacing w:val="-10"/>
        </w:rPr>
        <w:t> </w:t>
      </w:r>
      <w:r>
        <w:rPr>
          <w:color w:val="231F20"/>
          <w:spacing w:val="-4"/>
        </w:rPr>
        <w:t>et</w:t>
      </w:r>
      <w:r>
        <w:rPr>
          <w:color w:val="231F20"/>
          <w:spacing w:val="-9"/>
        </w:rPr>
        <w:t> </w:t>
      </w:r>
      <w:r>
        <w:rPr>
          <w:color w:val="231F20"/>
          <w:spacing w:val="-4"/>
        </w:rPr>
        <w:t>s’entretuent.</w:t>
      </w:r>
      <w:r>
        <w:rPr>
          <w:color w:val="231F20"/>
          <w:spacing w:val="-11"/>
        </w:rPr>
        <w:t> </w:t>
      </w:r>
      <w:r>
        <w:rPr>
          <w:color w:val="231F20"/>
          <w:spacing w:val="-4"/>
        </w:rPr>
        <w:t>L’empire</w:t>
      </w:r>
      <w:r>
        <w:rPr>
          <w:color w:val="231F20"/>
          <w:spacing w:val="-9"/>
        </w:rPr>
        <w:t> </w:t>
      </w:r>
      <w:r>
        <w:rPr>
          <w:color w:val="231F20"/>
          <w:spacing w:val="-4"/>
        </w:rPr>
        <w:t>se</w:t>
      </w:r>
      <w:r>
        <w:rPr>
          <w:color w:val="231F20"/>
          <w:spacing w:val="-10"/>
        </w:rPr>
        <w:t> </w:t>
      </w:r>
      <w:r>
        <w:rPr>
          <w:color w:val="231F20"/>
          <w:spacing w:val="-4"/>
        </w:rPr>
        <w:t>désorganise.</w:t>
      </w:r>
      <w:r>
        <w:rPr>
          <w:color w:val="231F20"/>
          <w:spacing w:val="-9"/>
        </w:rPr>
        <w:t> </w:t>
      </w:r>
      <w:r>
        <w:rPr>
          <w:color w:val="231F20"/>
          <w:spacing w:val="-4"/>
        </w:rPr>
        <w:t>Les</w:t>
      </w:r>
      <w:r>
        <w:rPr>
          <w:color w:val="231F20"/>
          <w:spacing w:val="-10"/>
        </w:rPr>
        <w:t> </w:t>
      </w:r>
      <w:r>
        <w:rPr>
          <w:color w:val="231F20"/>
          <w:spacing w:val="-4"/>
        </w:rPr>
        <w:t>royaumes</w:t>
      </w:r>
      <w:r>
        <w:rPr>
          <w:color w:val="231F20"/>
          <w:spacing w:val="-10"/>
        </w:rPr>
        <w:t> </w:t>
      </w:r>
      <w:r>
        <w:rPr>
          <w:color w:val="231F20"/>
          <w:spacing w:val="-4"/>
        </w:rPr>
        <w:t>vassaux </w:t>
      </w:r>
      <w:r>
        <w:rPr>
          <w:color w:val="231F20"/>
        </w:rPr>
        <w:t>comme</w:t>
      </w:r>
      <w:r>
        <w:rPr>
          <w:color w:val="231F20"/>
          <w:spacing w:val="-4"/>
        </w:rPr>
        <w:t> </w:t>
      </w:r>
      <w:r>
        <w:rPr>
          <w:color w:val="231F20"/>
        </w:rPr>
        <w:t>le</w:t>
      </w:r>
      <w:r>
        <w:rPr>
          <w:color w:val="231F20"/>
          <w:spacing w:val="-2"/>
        </w:rPr>
        <w:t> </w:t>
      </w:r>
      <w:r>
        <w:rPr>
          <w:color w:val="231F20"/>
        </w:rPr>
        <w:t>Trékour,</w:t>
      </w:r>
      <w:r>
        <w:rPr>
          <w:color w:val="231F20"/>
          <w:spacing w:val="-2"/>
        </w:rPr>
        <w:t> </w:t>
      </w:r>
      <w:r>
        <w:rPr>
          <w:color w:val="231F20"/>
        </w:rPr>
        <w:t>se</w:t>
      </w:r>
      <w:r>
        <w:rPr>
          <w:color w:val="231F20"/>
          <w:spacing w:val="-2"/>
        </w:rPr>
        <w:t> </w:t>
      </w:r>
      <w:r>
        <w:rPr>
          <w:color w:val="231F20"/>
        </w:rPr>
        <w:t>révoltent</w:t>
      </w:r>
      <w:r>
        <w:rPr>
          <w:color w:val="231F20"/>
          <w:spacing w:val="-1"/>
        </w:rPr>
        <w:t> </w:t>
      </w:r>
      <w:r>
        <w:rPr>
          <w:color w:val="231F20"/>
        </w:rPr>
        <w:t>et</w:t>
      </w:r>
      <w:r>
        <w:rPr>
          <w:color w:val="231F20"/>
          <w:spacing w:val="-2"/>
        </w:rPr>
        <w:t> </w:t>
      </w:r>
      <w:r>
        <w:rPr>
          <w:color w:val="231F20"/>
        </w:rPr>
        <w:t>prennent</w:t>
      </w:r>
      <w:r>
        <w:rPr>
          <w:color w:val="231F20"/>
          <w:spacing w:val="-3"/>
        </w:rPr>
        <w:t> </w:t>
      </w:r>
      <w:r>
        <w:rPr>
          <w:color w:val="231F20"/>
        </w:rPr>
        <w:t>leur</w:t>
      </w:r>
      <w:r>
        <w:rPr>
          <w:color w:val="231F20"/>
          <w:spacing w:val="-3"/>
        </w:rPr>
        <w:t> </w:t>
      </w:r>
      <w:r>
        <w:rPr>
          <w:color w:val="231F20"/>
        </w:rPr>
        <w:t>indépendance.</w:t>
      </w:r>
      <w:r>
        <w:rPr>
          <w:color w:val="231F20"/>
          <w:spacing w:val="-3"/>
        </w:rPr>
        <w:t> </w:t>
      </w:r>
      <w:r>
        <w:rPr>
          <w:color w:val="231F20"/>
        </w:rPr>
        <w:t>Soumis aux agressions internes et externes, l’empire finit par s’effondrer en entraînant</w:t>
      </w:r>
      <w:r>
        <w:rPr>
          <w:color w:val="231F20"/>
          <w:spacing w:val="-3"/>
        </w:rPr>
        <w:t> </w:t>
      </w:r>
      <w:r>
        <w:rPr>
          <w:color w:val="231F20"/>
        </w:rPr>
        <w:t>une</w:t>
      </w:r>
      <w:r>
        <w:rPr>
          <w:color w:val="231F20"/>
          <w:spacing w:val="-7"/>
        </w:rPr>
        <w:t> </w:t>
      </w:r>
      <w:r>
        <w:rPr>
          <w:color w:val="231F20"/>
        </w:rPr>
        <w:t>chasse</w:t>
      </w:r>
      <w:r>
        <w:rPr>
          <w:color w:val="231F20"/>
          <w:spacing w:val="-4"/>
        </w:rPr>
        <w:t> </w:t>
      </w:r>
      <w:r>
        <w:rPr>
          <w:color w:val="231F20"/>
        </w:rPr>
        <w:t>aux</w:t>
      </w:r>
      <w:r>
        <w:rPr>
          <w:color w:val="231F20"/>
          <w:spacing w:val="-6"/>
        </w:rPr>
        <w:t> </w:t>
      </w:r>
      <w:r>
        <w:rPr>
          <w:color w:val="231F20"/>
        </w:rPr>
        <w:t>esclaves</w:t>
      </w:r>
      <w:r>
        <w:rPr>
          <w:color w:val="231F20"/>
          <w:spacing w:val="-4"/>
        </w:rPr>
        <w:t> </w:t>
      </w:r>
      <w:r>
        <w:rPr>
          <w:color w:val="231F20"/>
        </w:rPr>
        <w:t>dans</w:t>
      </w:r>
      <w:r>
        <w:rPr>
          <w:color w:val="231F20"/>
          <w:spacing w:val="-3"/>
        </w:rPr>
        <w:t> </w:t>
      </w:r>
      <w:r>
        <w:rPr>
          <w:color w:val="231F20"/>
        </w:rPr>
        <w:t>les</w:t>
      </w:r>
      <w:r>
        <w:rPr>
          <w:color w:val="231F20"/>
          <w:spacing w:val="-3"/>
        </w:rPr>
        <w:t> </w:t>
      </w:r>
      <w:r>
        <w:rPr>
          <w:color w:val="231F20"/>
        </w:rPr>
        <w:t>pays</w:t>
      </w:r>
      <w:r>
        <w:rPr>
          <w:color w:val="231F20"/>
          <w:spacing w:val="-3"/>
        </w:rPr>
        <w:t> </w:t>
      </w:r>
      <w:r>
        <w:rPr>
          <w:color w:val="231F20"/>
        </w:rPr>
        <w:t>du</w:t>
      </w:r>
      <w:r>
        <w:rPr>
          <w:color w:val="231F20"/>
          <w:spacing w:val="-7"/>
        </w:rPr>
        <w:t> </w:t>
      </w:r>
      <w:r>
        <w:rPr>
          <w:color w:val="231F20"/>
        </w:rPr>
        <w:t>niger.</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201"/>
        <w:ind w:left="0"/>
        <w:jc w:val="left"/>
        <w:rPr>
          <w:sz w:val="20"/>
        </w:rPr>
      </w:pPr>
      <w:r>
        <w:rPr/>
        <mc:AlternateContent>
          <mc:Choice Requires="wps">
            <w:drawing>
              <wp:anchor distT="0" distB="0" distL="0" distR="0" allowOverlap="1" layoutInCell="1" locked="0" behindDoc="1" simplePos="0" relativeHeight="487590400">
                <wp:simplePos x="0" y="0"/>
                <wp:positionH relativeFrom="page">
                  <wp:posOffset>629907</wp:posOffset>
                </wp:positionH>
                <wp:positionV relativeFrom="paragraph">
                  <wp:posOffset>289104</wp:posOffset>
                </wp:positionV>
                <wp:extent cx="1829435" cy="952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2.764122pt;width:144.020pt;height:.71994pt;mso-position-horizontal-relative:page;mso-position-vertical-relative:paragraph;z-index:-15726080;mso-wrap-distance-left:0;mso-wrap-distance-right:0" id="docshape14" filled="true" fillcolor="#231f20" stroked="false">
                <v:fill type="solid"/>
                <w10:wrap type="topAndBottom"/>
              </v:rect>
            </w:pict>
          </mc:Fallback>
        </mc:AlternateContent>
      </w:r>
    </w:p>
    <w:p>
      <w:pPr>
        <w:spacing w:before="91"/>
        <w:ind w:left="111" w:right="2352" w:firstLine="0"/>
        <w:jc w:val="left"/>
        <w:rPr>
          <w:sz w:val="20"/>
        </w:rPr>
      </w:pPr>
      <w:r>
        <w:rPr>
          <w:color w:val="231F20"/>
          <w:spacing w:val="-4"/>
          <w:sz w:val="20"/>
          <w:vertAlign w:val="superscript"/>
        </w:rPr>
        <w:t>6</w:t>
      </w:r>
      <w:r>
        <w:rPr>
          <w:color w:val="231F20"/>
          <w:spacing w:val="-4"/>
          <w:sz w:val="20"/>
          <w:vertAlign w:val="baseline"/>
        </w:rPr>
        <w:t> Source : </w:t>
      </w:r>
      <w:hyperlink r:id="rId21">
        <w:r>
          <w:rPr>
            <w:color w:val="231F20"/>
            <w:spacing w:val="-4"/>
            <w:sz w:val="20"/>
            <w:vertAlign w:val="baseline"/>
          </w:rPr>
          <w:t>http://www.jeuneafrique.com/Chronologie-pays,</w:t>
        </w:r>
      </w:hyperlink>
      <w:r>
        <w:rPr>
          <w:color w:val="231F20"/>
          <w:spacing w:val="-4"/>
          <w:sz w:val="20"/>
          <w:vertAlign w:val="baseline"/>
        </w:rPr>
        <w:t> </w:t>
      </w:r>
      <w:hyperlink r:id="rId22">
        <w:r>
          <w:rPr>
            <w:color w:val="231F20"/>
            <w:spacing w:val="-2"/>
            <w:sz w:val="20"/>
            <w:vertAlign w:val="baseline"/>
          </w:rPr>
          <w:t>http://www.yennenga.com/fr/les-royaume-mossi/</w:t>
        </w:r>
      </w:hyperlink>
      <w:r>
        <w:rPr>
          <w:color w:val="231F20"/>
          <w:spacing w:val="-2"/>
          <w:sz w:val="20"/>
          <w:vertAlign w:val="baseline"/>
        </w:rPr>
        <w:t> </w:t>
      </w:r>
      <w:hyperlink r:id="rId23">
        <w:r>
          <w:rPr>
            <w:color w:val="231F20"/>
            <w:spacing w:val="-2"/>
            <w:sz w:val="20"/>
            <w:vertAlign w:val="baseline"/>
          </w:rPr>
          <w:t>http://www.histoiredelafrique.fr/le_royaume_de_kong.</w:t>
        </w:r>
      </w:hyperlink>
    </w:p>
    <w:p>
      <w:pPr>
        <w:spacing w:after="0"/>
        <w:jc w:val="left"/>
        <w:rPr>
          <w:sz w:val="20"/>
        </w:rPr>
        <w:sectPr>
          <w:pgSz w:w="8790" w:h="13610"/>
          <w:pgMar w:header="0" w:footer="802" w:top="1060" w:bottom="1000" w:left="880" w:right="880"/>
        </w:sectPr>
      </w:pPr>
    </w:p>
    <w:p>
      <w:pPr>
        <w:pStyle w:val="BodyText"/>
        <w:spacing w:before="86"/>
        <w:ind w:right="108" w:firstLine="283"/>
      </w:pPr>
      <w:r>
        <w:rPr>
          <w:color w:val="231F20"/>
        </w:rPr>
        <w:t>A la traite transsaharienne</w:t>
      </w:r>
      <w:r>
        <w:rPr>
          <w:color w:val="231F20"/>
          <w:vertAlign w:val="superscript"/>
        </w:rPr>
        <w:t>7</w:t>
      </w:r>
      <w:r>
        <w:rPr>
          <w:color w:val="231F20"/>
          <w:vertAlign w:val="baseline"/>
        </w:rPr>
        <w:t>, les noirs vont être confrontés à la traite </w:t>
      </w:r>
      <w:r>
        <w:rPr>
          <w:color w:val="231F20"/>
          <w:spacing w:val="-2"/>
          <w:vertAlign w:val="baseline"/>
        </w:rPr>
        <w:t>atlantique</w:t>
      </w:r>
      <w:r>
        <w:rPr>
          <w:color w:val="231F20"/>
          <w:spacing w:val="-2"/>
          <w:vertAlign w:val="superscript"/>
        </w:rPr>
        <w:t>8</w:t>
      </w:r>
      <w:r>
        <w:rPr>
          <w:color w:val="231F20"/>
          <w:spacing w:val="-2"/>
          <w:vertAlign w:val="baseline"/>
        </w:rPr>
        <w:t>.</w:t>
      </w:r>
    </w:p>
    <w:p>
      <w:pPr>
        <w:pStyle w:val="BodyText"/>
        <w:spacing w:before="206"/>
        <w:ind w:left="0"/>
        <w:jc w:val="left"/>
      </w:pPr>
    </w:p>
    <w:p>
      <w:pPr>
        <w:pStyle w:val="Heading2"/>
        <w:jc w:val="both"/>
      </w:pPr>
      <w:bookmarkStart w:name="_TOC_250041" w:id="2"/>
      <w:r>
        <w:rPr>
          <w:color w:val="231F20"/>
          <w:spacing w:val="-2"/>
        </w:rPr>
        <w:t>Les</w:t>
      </w:r>
      <w:r>
        <w:rPr>
          <w:color w:val="231F20"/>
          <w:spacing w:val="-9"/>
        </w:rPr>
        <w:t> </w:t>
      </w:r>
      <w:r>
        <w:rPr>
          <w:color w:val="231F20"/>
          <w:spacing w:val="-2"/>
        </w:rPr>
        <w:t>Hommes</w:t>
      </w:r>
      <w:r>
        <w:rPr>
          <w:color w:val="231F20"/>
          <w:spacing w:val="-10"/>
        </w:rPr>
        <w:t> </w:t>
      </w:r>
      <w:r>
        <w:rPr>
          <w:color w:val="231F20"/>
          <w:spacing w:val="-2"/>
        </w:rPr>
        <w:t>blancs</w:t>
      </w:r>
      <w:r>
        <w:rPr>
          <w:color w:val="231F20"/>
          <w:spacing w:val="-10"/>
        </w:rPr>
        <w:t> </w:t>
      </w:r>
      <w:r>
        <w:rPr>
          <w:color w:val="231F20"/>
          <w:spacing w:val="-2"/>
        </w:rPr>
        <w:t>venus</w:t>
      </w:r>
      <w:r>
        <w:rPr>
          <w:color w:val="231F20"/>
          <w:spacing w:val="-10"/>
        </w:rPr>
        <w:t> </w:t>
      </w:r>
      <w:r>
        <w:rPr>
          <w:color w:val="231F20"/>
          <w:spacing w:val="-2"/>
        </w:rPr>
        <w:t>de</w:t>
      </w:r>
      <w:r>
        <w:rPr>
          <w:color w:val="231F20"/>
          <w:spacing w:val="-7"/>
        </w:rPr>
        <w:t> </w:t>
      </w:r>
      <w:r>
        <w:rPr>
          <w:color w:val="231F20"/>
          <w:spacing w:val="-2"/>
        </w:rPr>
        <w:t>la</w:t>
      </w:r>
      <w:r>
        <w:rPr>
          <w:color w:val="231F20"/>
          <w:spacing w:val="-9"/>
        </w:rPr>
        <w:t> </w:t>
      </w:r>
      <w:bookmarkEnd w:id="2"/>
      <w:r>
        <w:rPr>
          <w:color w:val="231F20"/>
          <w:spacing w:val="-5"/>
        </w:rPr>
        <w:t>mer</w:t>
      </w:r>
    </w:p>
    <w:p>
      <w:pPr>
        <w:pStyle w:val="BodyText"/>
        <w:spacing w:before="120"/>
        <w:ind w:left="0"/>
        <w:jc w:val="left"/>
        <w:rPr>
          <w:b/>
        </w:rPr>
      </w:pPr>
    </w:p>
    <w:p>
      <w:pPr>
        <w:pStyle w:val="BodyText"/>
        <w:ind w:right="105" w:firstLine="283"/>
      </w:pPr>
      <w:r>
        <w:rPr>
          <w:color w:val="231F20"/>
          <w:spacing w:val="-2"/>
        </w:rPr>
        <w:t>Sur</w:t>
      </w:r>
      <w:r>
        <w:rPr>
          <w:color w:val="231F20"/>
          <w:spacing w:val="-13"/>
        </w:rPr>
        <w:t> </w:t>
      </w:r>
      <w:r>
        <w:rPr>
          <w:color w:val="231F20"/>
          <w:spacing w:val="-2"/>
        </w:rPr>
        <w:t>les</w:t>
      </w:r>
      <w:r>
        <w:rPr>
          <w:color w:val="231F20"/>
          <w:spacing w:val="-13"/>
        </w:rPr>
        <w:t> </w:t>
      </w:r>
      <w:r>
        <w:rPr>
          <w:color w:val="231F20"/>
          <w:spacing w:val="-2"/>
        </w:rPr>
        <w:t>côtes</w:t>
      </w:r>
      <w:r>
        <w:rPr>
          <w:color w:val="231F20"/>
          <w:spacing w:val="-13"/>
        </w:rPr>
        <w:t> </w:t>
      </w:r>
      <w:r>
        <w:rPr>
          <w:color w:val="231F20"/>
          <w:spacing w:val="-2"/>
        </w:rPr>
        <w:t>de</w:t>
      </w:r>
      <w:r>
        <w:rPr>
          <w:color w:val="231F20"/>
          <w:spacing w:val="-13"/>
        </w:rPr>
        <w:t> </w:t>
      </w:r>
      <w:r>
        <w:rPr>
          <w:color w:val="231F20"/>
          <w:spacing w:val="-2"/>
        </w:rPr>
        <w:t>cette</w:t>
      </w:r>
      <w:r>
        <w:rPr>
          <w:color w:val="231F20"/>
          <w:spacing w:val="-13"/>
        </w:rPr>
        <w:t> </w:t>
      </w:r>
      <w:r>
        <w:rPr>
          <w:color w:val="231F20"/>
          <w:spacing w:val="-2"/>
        </w:rPr>
        <w:t>partie</w:t>
      </w:r>
      <w:r>
        <w:rPr>
          <w:color w:val="231F20"/>
          <w:spacing w:val="-13"/>
        </w:rPr>
        <w:t> </w:t>
      </w:r>
      <w:r>
        <w:rPr>
          <w:color w:val="231F20"/>
          <w:spacing w:val="-2"/>
        </w:rPr>
        <w:t>d’Afrique</w:t>
      </w:r>
      <w:r>
        <w:rPr>
          <w:color w:val="231F20"/>
          <w:spacing w:val="-13"/>
        </w:rPr>
        <w:t> </w:t>
      </w:r>
      <w:r>
        <w:rPr>
          <w:color w:val="231F20"/>
          <w:spacing w:val="-2"/>
        </w:rPr>
        <w:t>qui</w:t>
      </w:r>
      <w:r>
        <w:rPr>
          <w:color w:val="231F20"/>
          <w:spacing w:val="-13"/>
        </w:rPr>
        <w:t> </w:t>
      </w:r>
      <w:r>
        <w:rPr>
          <w:color w:val="231F20"/>
          <w:spacing w:val="-2"/>
        </w:rPr>
        <w:t>sera</w:t>
      </w:r>
      <w:r>
        <w:rPr>
          <w:color w:val="231F20"/>
          <w:spacing w:val="-13"/>
        </w:rPr>
        <w:t> </w:t>
      </w:r>
      <w:r>
        <w:rPr>
          <w:color w:val="231F20"/>
          <w:spacing w:val="-2"/>
        </w:rPr>
        <w:t>appelée</w:t>
      </w:r>
      <w:r>
        <w:rPr>
          <w:color w:val="231F20"/>
          <w:spacing w:val="-13"/>
        </w:rPr>
        <w:t> </w:t>
      </w:r>
      <w:r>
        <w:rPr>
          <w:color w:val="231F20"/>
          <w:spacing w:val="-2"/>
        </w:rPr>
        <w:t>des</w:t>
      </w:r>
      <w:r>
        <w:rPr>
          <w:color w:val="231F20"/>
          <w:spacing w:val="-13"/>
        </w:rPr>
        <w:t> </w:t>
      </w:r>
      <w:r>
        <w:rPr>
          <w:color w:val="231F20"/>
          <w:spacing w:val="-2"/>
        </w:rPr>
        <w:t>siècles</w:t>
      </w:r>
      <w:r>
        <w:rPr>
          <w:color w:val="231F20"/>
          <w:spacing w:val="-13"/>
        </w:rPr>
        <w:t> </w:t>
      </w:r>
      <w:r>
        <w:rPr>
          <w:color w:val="231F20"/>
          <w:spacing w:val="-2"/>
        </w:rPr>
        <w:t>plus </w:t>
      </w:r>
      <w:r>
        <w:rPr>
          <w:color w:val="231F20"/>
        </w:rPr>
        <w:t>tard,</w:t>
      </w:r>
      <w:r>
        <w:rPr>
          <w:color w:val="231F20"/>
          <w:spacing w:val="-15"/>
        </w:rPr>
        <w:t> </w:t>
      </w:r>
      <w:r>
        <w:rPr>
          <w:i/>
          <w:color w:val="231F20"/>
        </w:rPr>
        <w:t>Afrique</w:t>
      </w:r>
      <w:r>
        <w:rPr>
          <w:i/>
          <w:color w:val="231F20"/>
          <w:spacing w:val="-15"/>
        </w:rPr>
        <w:t> </w:t>
      </w:r>
      <w:r>
        <w:rPr>
          <w:i/>
          <w:color w:val="231F20"/>
        </w:rPr>
        <w:t>de</w:t>
      </w:r>
      <w:r>
        <w:rPr>
          <w:i/>
          <w:color w:val="231F20"/>
          <w:spacing w:val="-15"/>
        </w:rPr>
        <w:t> </w:t>
      </w:r>
      <w:r>
        <w:rPr>
          <w:i/>
          <w:color w:val="231F20"/>
        </w:rPr>
        <w:t>l’Ouest</w:t>
      </w:r>
      <w:r>
        <w:rPr>
          <w:color w:val="231F20"/>
        </w:rPr>
        <w:t>,</w:t>
      </w:r>
      <w:r>
        <w:rPr>
          <w:color w:val="231F20"/>
          <w:spacing w:val="-15"/>
        </w:rPr>
        <w:t> </w:t>
      </w:r>
      <w:r>
        <w:rPr>
          <w:color w:val="231F20"/>
        </w:rPr>
        <w:t>vivaient</w:t>
      </w:r>
      <w:r>
        <w:rPr>
          <w:color w:val="231F20"/>
          <w:spacing w:val="-14"/>
        </w:rPr>
        <w:t> </w:t>
      </w:r>
      <w:r>
        <w:rPr>
          <w:color w:val="231F20"/>
        </w:rPr>
        <w:t>aussi,</w:t>
      </w:r>
      <w:r>
        <w:rPr>
          <w:color w:val="231F20"/>
          <w:spacing w:val="-14"/>
        </w:rPr>
        <w:t> </w:t>
      </w:r>
      <w:r>
        <w:rPr>
          <w:color w:val="231F20"/>
        </w:rPr>
        <w:t>d’autres</w:t>
      </w:r>
      <w:r>
        <w:rPr>
          <w:color w:val="231F20"/>
          <w:spacing w:val="-14"/>
        </w:rPr>
        <w:t> </w:t>
      </w:r>
      <w:r>
        <w:rPr>
          <w:color w:val="231F20"/>
        </w:rPr>
        <w:t>hommes</w:t>
      </w:r>
      <w:r>
        <w:rPr>
          <w:color w:val="231F20"/>
          <w:spacing w:val="-14"/>
        </w:rPr>
        <w:t> </w:t>
      </w:r>
      <w:r>
        <w:rPr>
          <w:color w:val="231F20"/>
        </w:rPr>
        <w:t>à</w:t>
      </w:r>
      <w:r>
        <w:rPr>
          <w:color w:val="231F20"/>
          <w:spacing w:val="-15"/>
        </w:rPr>
        <w:t> </w:t>
      </w:r>
      <w:r>
        <w:rPr>
          <w:color w:val="231F20"/>
        </w:rPr>
        <w:t>la</w:t>
      </w:r>
      <w:r>
        <w:rPr>
          <w:color w:val="231F20"/>
          <w:spacing w:val="-15"/>
        </w:rPr>
        <w:t> </w:t>
      </w:r>
      <w:r>
        <w:rPr>
          <w:color w:val="231F20"/>
        </w:rPr>
        <w:t>peau</w:t>
      </w:r>
      <w:r>
        <w:rPr>
          <w:color w:val="231F20"/>
          <w:spacing w:val="-14"/>
        </w:rPr>
        <w:t> </w:t>
      </w:r>
      <w:r>
        <w:rPr>
          <w:color w:val="231F20"/>
        </w:rPr>
        <w:t>noire et aux cheveux crépus. Ils pratiquaient la pêche, la chasse, l’élevage, l’agriculture</w:t>
      </w:r>
      <w:r>
        <w:rPr>
          <w:color w:val="231F20"/>
          <w:spacing w:val="-5"/>
        </w:rPr>
        <w:t> </w:t>
      </w:r>
      <w:r>
        <w:rPr>
          <w:color w:val="231F20"/>
        </w:rPr>
        <w:t>et</w:t>
      </w:r>
      <w:r>
        <w:rPr>
          <w:color w:val="231F20"/>
          <w:spacing w:val="-5"/>
        </w:rPr>
        <w:t> </w:t>
      </w:r>
      <w:r>
        <w:rPr>
          <w:color w:val="231F20"/>
        </w:rPr>
        <w:t>vivaient</w:t>
      </w:r>
      <w:r>
        <w:rPr>
          <w:color w:val="231F20"/>
          <w:spacing w:val="-4"/>
        </w:rPr>
        <w:t> </w:t>
      </w:r>
      <w:r>
        <w:rPr>
          <w:color w:val="231F20"/>
        </w:rPr>
        <w:t>heureux</w:t>
      </w:r>
      <w:r>
        <w:rPr>
          <w:color w:val="231F20"/>
          <w:spacing w:val="-5"/>
        </w:rPr>
        <w:t> </w:t>
      </w:r>
      <w:r>
        <w:rPr>
          <w:color w:val="231F20"/>
        </w:rPr>
        <w:t>dans</w:t>
      </w:r>
      <w:r>
        <w:rPr>
          <w:color w:val="231F20"/>
          <w:spacing w:val="-7"/>
        </w:rPr>
        <w:t> </w:t>
      </w:r>
      <w:r>
        <w:rPr>
          <w:color w:val="231F20"/>
        </w:rPr>
        <w:t>des</w:t>
      </w:r>
      <w:r>
        <w:rPr>
          <w:color w:val="231F20"/>
          <w:spacing w:val="-7"/>
        </w:rPr>
        <w:t> </w:t>
      </w:r>
      <w:r>
        <w:rPr>
          <w:color w:val="231F20"/>
        </w:rPr>
        <w:t>maisons</w:t>
      </w:r>
      <w:r>
        <w:rPr>
          <w:color w:val="231F20"/>
          <w:spacing w:val="-7"/>
        </w:rPr>
        <w:t> </w:t>
      </w:r>
      <w:r>
        <w:rPr>
          <w:color w:val="231F20"/>
        </w:rPr>
        <w:t>en</w:t>
      </w:r>
      <w:r>
        <w:rPr>
          <w:color w:val="231F20"/>
          <w:spacing w:val="-5"/>
        </w:rPr>
        <w:t> </w:t>
      </w:r>
      <w:r>
        <w:rPr>
          <w:color w:val="231F20"/>
        </w:rPr>
        <w:t>hutte.</w:t>
      </w:r>
    </w:p>
    <w:p>
      <w:pPr>
        <w:pStyle w:val="BodyText"/>
        <w:spacing w:before="121"/>
        <w:ind w:right="103" w:firstLine="283"/>
      </w:pPr>
      <w:r>
        <w:rPr>
          <w:color w:val="231F20"/>
        </w:rPr>
        <w:t>Un</w:t>
      </w:r>
      <w:r>
        <w:rPr>
          <w:color w:val="231F20"/>
          <w:spacing w:val="-3"/>
        </w:rPr>
        <w:t> </w:t>
      </w:r>
      <w:r>
        <w:rPr>
          <w:color w:val="231F20"/>
        </w:rPr>
        <w:t>jour…</w:t>
      </w:r>
      <w:r>
        <w:rPr>
          <w:color w:val="231F20"/>
          <w:spacing w:val="-3"/>
        </w:rPr>
        <w:t> </w:t>
      </w:r>
      <w:r>
        <w:rPr>
          <w:color w:val="231F20"/>
        </w:rPr>
        <w:t>sur</w:t>
      </w:r>
      <w:r>
        <w:rPr>
          <w:color w:val="231F20"/>
          <w:spacing w:val="-3"/>
        </w:rPr>
        <w:t> </w:t>
      </w:r>
      <w:r>
        <w:rPr>
          <w:color w:val="231F20"/>
        </w:rPr>
        <w:t>la</w:t>
      </w:r>
      <w:r>
        <w:rPr>
          <w:color w:val="231F20"/>
          <w:spacing w:val="-4"/>
        </w:rPr>
        <w:t> </w:t>
      </w:r>
      <w:r>
        <w:rPr>
          <w:color w:val="231F20"/>
        </w:rPr>
        <w:t>mer</w:t>
      </w:r>
      <w:r>
        <w:rPr>
          <w:color w:val="231F20"/>
          <w:spacing w:val="-3"/>
        </w:rPr>
        <w:t> </w:t>
      </w:r>
      <w:r>
        <w:rPr>
          <w:color w:val="231F20"/>
        </w:rPr>
        <w:t>toujours</w:t>
      </w:r>
      <w:r>
        <w:rPr>
          <w:color w:val="231F20"/>
          <w:spacing w:val="-3"/>
        </w:rPr>
        <w:t> </w:t>
      </w:r>
      <w:r>
        <w:rPr>
          <w:color w:val="231F20"/>
        </w:rPr>
        <w:t>en</w:t>
      </w:r>
      <w:r>
        <w:rPr>
          <w:color w:val="231F20"/>
          <w:spacing w:val="-3"/>
        </w:rPr>
        <w:t> </w:t>
      </w:r>
      <w:r>
        <w:rPr>
          <w:color w:val="231F20"/>
        </w:rPr>
        <w:t>mouvement,</w:t>
      </w:r>
      <w:r>
        <w:rPr>
          <w:color w:val="231F20"/>
          <w:spacing w:val="-3"/>
        </w:rPr>
        <w:t> </w:t>
      </w:r>
      <w:r>
        <w:rPr>
          <w:color w:val="231F20"/>
        </w:rPr>
        <w:t>un</w:t>
      </w:r>
      <w:r>
        <w:rPr>
          <w:color w:val="231F20"/>
          <w:spacing w:val="-3"/>
        </w:rPr>
        <w:t> </w:t>
      </w:r>
      <w:r>
        <w:rPr>
          <w:color w:val="231F20"/>
        </w:rPr>
        <w:t>navire</w:t>
      </w:r>
      <w:r>
        <w:rPr>
          <w:color w:val="231F20"/>
          <w:spacing w:val="-3"/>
        </w:rPr>
        <w:t> </w:t>
      </w:r>
      <w:r>
        <w:rPr>
          <w:color w:val="231F20"/>
        </w:rPr>
        <w:t>approche</w:t>
      </w:r>
      <w:r>
        <w:rPr>
          <w:color w:val="231F20"/>
          <w:spacing w:val="-3"/>
        </w:rPr>
        <w:t> </w:t>
      </w:r>
      <w:r>
        <w:rPr>
          <w:color w:val="231F20"/>
        </w:rPr>
        <w:t>le </w:t>
      </w:r>
      <w:r>
        <w:rPr>
          <w:color w:val="231F20"/>
          <w:spacing w:val="-2"/>
        </w:rPr>
        <w:t>rivage,</w:t>
      </w:r>
      <w:r>
        <w:rPr>
          <w:color w:val="231F20"/>
          <w:spacing w:val="-13"/>
        </w:rPr>
        <w:t> </w:t>
      </w:r>
      <w:r>
        <w:rPr>
          <w:color w:val="231F20"/>
          <w:spacing w:val="-2"/>
        </w:rPr>
        <w:t>puis</w:t>
      </w:r>
      <w:r>
        <w:rPr>
          <w:color w:val="231F20"/>
          <w:spacing w:val="-13"/>
        </w:rPr>
        <w:t> </w:t>
      </w:r>
      <w:r>
        <w:rPr>
          <w:color w:val="231F20"/>
          <w:spacing w:val="-2"/>
        </w:rPr>
        <w:t>jette</w:t>
      </w:r>
      <w:r>
        <w:rPr>
          <w:color w:val="231F20"/>
          <w:spacing w:val="-13"/>
        </w:rPr>
        <w:t> </w:t>
      </w:r>
      <w:r>
        <w:rPr>
          <w:color w:val="231F20"/>
          <w:spacing w:val="-2"/>
        </w:rPr>
        <w:t>l’ancre.</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vue</w:t>
      </w:r>
      <w:r>
        <w:rPr>
          <w:color w:val="231F20"/>
          <w:spacing w:val="-11"/>
        </w:rPr>
        <w:t> </w:t>
      </w:r>
      <w:r>
        <w:rPr>
          <w:color w:val="231F20"/>
          <w:spacing w:val="-2"/>
        </w:rPr>
        <w:t>des</w:t>
      </w:r>
      <w:r>
        <w:rPr>
          <w:color w:val="231F20"/>
          <w:spacing w:val="-13"/>
        </w:rPr>
        <w:t> </w:t>
      </w:r>
      <w:r>
        <w:rPr>
          <w:color w:val="231F20"/>
          <w:spacing w:val="-2"/>
        </w:rPr>
        <w:t>occupants,</w:t>
      </w:r>
      <w:r>
        <w:rPr>
          <w:color w:val="231F20"/>
          <w:spacing w:val="-12"/>
        </w:rPr>
        <w:t> </w:t>
      </w:r>
      <w:r>
        <w:rPr>
          <w:color w:val="231F20"/>
          <w:spacing w:val="-2"/>
        </w:rPr>
        <w:t>ce</w:t>
      </w:r>
      <w:r>
        <w:rPr>
          <w:color w:val="231F20"/>
          <w:spacing w:val="-13"/>
        </w:rPr>
        <w:t> </w:t>
      </w:r>
      <w:r>
        <w:rPr>
          <w:color w:val="231F20"/>
          <w:spacing w:val="-2"/>
        </w:rPr>
        <w:t>fût</w:t>
      </w:r>
      <w:r>
        <w:rPr>
          <w:color w:val="231F20"/>
          <w:spacing w:val="-13"/>
        </w:rPr>
        <w:t> </w:t>
      </w:r>
      <w:r>
        <w:rPr>
          <w:color w:val="231F20"/>
          <w:spacing w:val="-2"/>
        </w:rPr>
        <w:t>la</w:t>
      </w:r>
      <w:r>
        <w:rPr>
          <w:color w:val="231F20"/>
          <w:spacing w:val="-13"/>
        </w:rPr>
        <w:t> </w:t>
      </w:r>
      <w:r>
        <w:rPr>
          <w:color w:val="231F20"/>
          <w:spacing w:val="-2"/>
        </w:rPr>
        <w:t>débandade:</w:t>
      </w:r>
      <w:r>
        <w:rPr>
          <w:color w:val="231F20"/>
          <w:spacing w:val="-11"/>
        </w:rPr>
        <w:t> </w:t>
      </w:r>
      <w:r>
        <w:rPr>
          <w:color w:val="231F20"/>
          <w:spacing w:val="-2"/>
        </w:rPr>
        <w:t>ces </w:t>
      </w:r>
      <w:r>
        <w:rPr>
          <w:color w:val="231F20"/>
        </w:rPr>
        <w:t>hommes</w:t>
      </w:r>
      <w:r>
        <w:rPr>
          <w:color w:val="231F20"/>
          <w:spacing w:val="-6"/>
        </w:rPr>
        <w:t> </w:t>
      </w:r>
      <w:r>
        <w:rPr>
          <w:color w:val="231F20"/>
        </w:rPr>
        <w:t>sont</w:t>
      </w:r>
      <w:r>
        <w:rPr>
          <w:color w:val="231F20"/>
          <w:spacing w:val="-6"/>
        </w:rPr>
        <w:t> </w:t>
      </w:r>
      <w:r>
        <w:rPr>
          <w:color w:val="231F20"/>
        </w:rPr>
        <w:t>blanc</w:t>
      </w:r>
      <w:r>
        <w:rPr>
          <w:color w:val="231F20"/>
          <w:spacing w:val="-6"/>
        </w:rPr>
        <w:t> </w:t>
      </w:r>
      <w:r>
        <w:rPr>
          <w:color w:val="231F20"/>
        </w:rPr>
        <w:t>de</w:t>
      </w:r>
      <w:r>
        <w:rPr>
          <w:color w:val="231F20"/>
          <w:spacing w:val="-6"/>
        </w:rPr>
        <w:t> </w:t>
      </w:r>
      <w:r>
        <w:rPr>
          <w:color w:val="231F20"/>
        </w:rPr>
        <w:t>peau…</w:t>
      </w:r>
      <w:r>
        <w:rPr>
          <w:color w:val="231F20"/>
          <w:spacing w:val="-6"/>
        </w:rPr>
        <w:t> </w:t>
      </w:r>
      <w:r>
        <w:rPr>
          <w:color w:val="231F20"/>
        </w:rPr>
        <w:t>des</w:t>
      </w:r>
      <w:r>
        <w:rPr>
          <w:color w:val="231F20"/>
          <w:spacing w:val="-6"/>
        </w:rPr>
        <w:t> </w:t>
      </w:r>
      <w:r>
        <w:rPr>
          <w:color w:val="231F20"/>
        </w:rPr>
        <w:t>blofouê</w:t>
      </w:r>
      <w:r>
        <w:rPr>
          <w:b/>
          <w:color w:val="231F20"/>
          <w:position w:val="8"/>
          <w:sz w:val="16"/>
        </w:rPr>
        <w:t>9 </w:t>
      </w:r>
      <w:r>
        <w:rPr>
          <w:color w:val="231F20"/>
        </w:rPr>
        <w:t>!</w:t>
      </w:r>
      <w:r>
        <w:rPr>
          <w:color w:val="231F20"/>
          <w:spacing w:val="-6"/>
        </w:rPr>
        <w:t> </w:t>
      </w:r>
      <w:r>
        <w:rPr>
          <w:color w:val="231F20"/>
        </w:rPr>
        <w:t>Il</w:t>
      </w:r>
      <w:r>
        <w:rPr>
          <w:color w:val="231F20"/>
          <w:spacing w:val="-5"/>
        </w:rPr>
        <w:t> </w:t>
      </w:r>
      <w:r>
        <w:rPr>
          <w:color w:val="231F20"/>
        </w:rPr>
        <w:t>ne</w:t>
      </w:r>
      <w:r>
        <w:rPr>
          <w:color w:val="231F20"/>
          <w:spacing w:val="-6"/>
        </w:rPr>
        <w:t> </w:t>
      </w:r>
      <w:r>
        <w:rPr>
          <w:color w:val="231F20"/>
        </w:rPr>
        <w:t>pouvait</w:t>
      </w:r>
      <w:r>
        <w:rPr>
          <w:color w:val="231F20"/>
          <w:spacing w:val="-5"/>
        </w:rPr>
        <w:t> </w:t>
      </w:r>
      <w:r>
        <w:rPr>
          <w:color w:val="231F20"/>
        </w:rPr>
        <w:t>s’agir</w:t>
      </w:r>
      <w:r>
        <w:rPr>
          <w:color w:val="231F20"/>
          <w:spacing w:val="-9"/>
        </w:rPr>
        <w:t> </w:t>
      </w:r>
      <w:r>
        <w:rPr>
          <w:color w:val="231F20"/>
        </w:rPr>
        <w:t>que</w:t>
      </w:r>
      <w:r>
        <w:rPr>
          <w:color w:val="231F20"/>
          <w:spacing w:val="-6"/>
        </w:rPr>
        <w:t> </w:t>
      </w:r>
      <w:r>
        <w:rPr>
          <w:color w:val="231F20"/>
        </w:rPr>
        <w:t>de revenants,</w:t>
      </w:r>
      <w:r>
        <w:rPr>
          <w:color w:val="231F20"/>
          <w:spacing w:val="-12"/>
        </w:rPr>
        <w:t> </w:t>
      </w:r>
      <w:r>
        <w:rPr>
          <w:color w:val="231F20"/>
        </w:rPr>
        <w:t>venus</w:t>
      </w:r>
      <w:r>
        <w:rPr>
          <w:color w:val="231F20"/>
          <w:spacing w:val="-10"/>
        </w:rPr>
        <w:t> </w:t>
      </w:r>
      <w:r>
        <w:rPr>
          <w:color w:val="231F20"/>
        </w:rPr>
        <w:t>du</w:t>
      </w:r>
      <w:r>
        <w:rPr>
          <w:color w:val="231F20"/>
          <w:spacing w:val="-10"/>
        </w:rPr>
        <w:t> </w:t>
      </w:r>
      <w:r>
        <w:rPr>
          <w:color w:val="231F20"/>
        </w:rPr>
        <w:t>village</w:t>
      </w:r>
      <w:r>
        <w:rPr>
          <w:color w:val="231F20"/>
          <w:spacing w:val="-8"/>
        </w:rPr>
        <w:t> </w:t>
      </w:r>
      <w:r>
        <w:rPr>
          <w:color w:val="231F20"/>
        </w:rPr>
        <w:t>des</w:t>
      </w:r>
      <w:r>
        <w:rPr>
          <w:color w:val="231F20"/>
          <w:spacing w:val="-10"/>
        </w:rPr>
        <w:t> </w:t>
      </w:r>
      <w:r>
        <w:rPr>
          <w:color w:val="231F20"/>
        </w:rPr>
        <w:t>morts</w:t>
      </w:r>
      <w:r>
        <w:rPr>
          <w:color w:val="231F20"/>
          <w:spacing w:val="-15"/>
        </w:rPr>
        <w:t> </w:t>
      </w:r>
      <w:r>
        <w:rPr>
          <w:color w:val="231F20"/>
        </w:rPr>
        <w:t>:</w:t>
      </w:r>
      <w:r>
        <w:rPr>
          <w:color w:val="231F20"/>
          <w:spacing w:val="-10"/>
        </w:rPr>
        <w:t> </w:t>
      </w:r>
      <w:r>
        <w:rPr>
          <w:color w:val="231F20"/>
        </w:rPr>
        <w:t>des</w:t>
      </w:r>
      <w:r>
        <w:rPr>
          <w:color w:val="231F20"/>
          <w:spacing w:val="-10"/>
        </w:rPr>
        <w:t> </w:t>
      </w:r>
      <w:r>
        <w:rPr>
          <w:color w:val="231F20"/>
        </w:rPr>
        <w:t>mânes</w:t>
      </w:r>
      <w:r>
        <w:rPr>
          <w:color w:val="231F20"/>
          <w:spacing w:val="-11"/>
        </w:rPr>
        <w:t> </w:t>
      </w:r>
      <w:r>
        <w:rPr>
          <w:color w:val="231F20"/>
        </w:rPr>
        <w:t>ou</w:t>
      </w:r>
      <w:r>
        <w:rPr>
          <w:color w:val="231F20"/>
          <w:spacing w:val="-6"/>
        </w:rPr>
        <w:t> </w:t>
      </w:r>
      <w:r>
        <w:rPr>
          <w:color w:val="231F20"/>
        </w:rPr>
        <w:t>encore</w:t>
      </w:r>
      <w:r>
        <w:rPr>
          <w:color w:val="231F20"/>
          <w:spacing w:val="-10"/>
        </w:rPr>
        <w:t> </w:t>
      </w:r>
      <w:r>
        <w:rPr>
          <w:color w:val="231F20"/>
        </w:rPr>
        <w:t>des</w:t>
      </w:r>
      <w:r>
        <w:rPr>
          <w:color w:val="231F20"/>
          <w:spacing w:val="-10"/>
        </w:rPr>
        <w:t> </w:t>
      </w:r>
      <w:r>
        <w:rPr>
          <w:color w:val="231F20"/>
        </w:rPr>
        <w:t>génies. On ne se bat pas contre des êtres surnaturels… Ne pas les accueillir </w:t>
      </w:r>
      <w:r>
        <w:rPr>
          <w:color w:val="231F20"/>
          <w:spacing w:val="-4"/>
        </w:rPr>
        <w:t>pourrait</w:t>
      </w:r>
      <w:r>
        <w:rPr>
          <w:color w:val="231F20"/>
          <w:spacing w:val="-10"/>
        </w:rPr>
        <w:t> </w:t>
      </w:r>
      <w:r>
        <w:rPr>
          <w:color w:val="231F20"/>
          <w:spacing w:val="-4"/>
        </w:rPr>
        <w:t>déclencher</w:t>
      </w:r>
      <w:r>
        <w:rPr>
          <w:color w:val="231F20"/>
          <w:spacing w:val="-11"/>
        </w:rPr>
        <w:t> </w:t>
      </w:r>
      <w:r>
        <w:rPr>
          <w:color w:val="231F20"/>
          <w:spacing w:val="-4"/>
        </w:rPr>
        <w:t>leur</w:t>
      </w:r>
      <w:r>
        <w:rPr>
          <w:color w:val="231F20"/>
          <w:spacing w:val="-7"/>
        </w:rPr>
        <w:t> </w:t>
      </w:r>
      <w:r>
        <w:rPr>
          <w:color w:val="231F20"/>
          <w:spacing w:val="-4"/>
        </w:rPr>
        <w:t>colère</w:t>
      </w:r>
      <w:r>
        <w:rPr>
          <w:color w:val="231F20"/>
        </w:rPr>
        <w:t> </w:t>
      </w:r>
      <w:r>
        <w:rPr>
          <w:color w:val="231F20"/>
          <w:spacing w:val="-4"/>
        </w:rPr>
        <w:t>:</w:t>
      </w:r>
      <w:r>
        <w:rPr>
          <w:color w:val="231F20"/>
          <w:spacing w:val="-10"/>
        </w:rPr>
        <w:t> </w:t>
      </w:r>
      <w:r>
        <w:rPr>
          <w:color w:val="231F20"/>
          <w:spacing w:val="-4"/>
        </w:rPr>
        <w:t>l’hospitalité</w:t>
      </w:r>
      <w:r>
        <w:rPr>
          <w:color w:val="231F20"/>
          <w:spacing w:val="-9"/>
        </w:rPr>
        <w:t> </w:t>
      </w:r>
      <w:r>
        <w:rPr>
          <w:color w:val="231F20"/>
          <w:spacing w:val="-4"/>
        </w:rPr>
        <w:t>ne</w:t>
      </w:r>
      <w:r>
        <w:rPr>
          <w:color w:val="231F20"/>
          <w:spacing w:val="-9"/>
        </w:rPr>
        <w:t> </w:t>
      </w:r>
      <w:r>
        <w:rPr>
          <w:color w:val="231F20"/>
          <w:spacing w:val="-4"/>
        </w:rPr>
        <w:t>fait-elle</w:t>
      </w:r>
      <w:r>
        <w:rPr>
          <w:color w:val="231F20"/>
          <w:spacing w:val="-9"/>
        </w:rPr>
        <w:t> </w:t>
      </w:r>
      <w:r>
        <w:rPr>
          <w:color w:val="231F20"/>
          <w:spacing w:val="-4"/>
        </w:rPr>
        <w:t>pas</w:t>
      </w:r>
      <w:r>
        <w:rPr>
          <w:color w:val="231F20"/>
          <w:spacing w:val="-10"/>
        </w:rPr>
        <w:t> </w:t>
      </w:r>
      <w:r>
        <w:rPr>
          <w:color w:val="231F20"/>
          <w:spacing w:val="-4"/>
        </w:rPr>
        <w:t>partie</w:t>
      </w:r>
      <w:r>
        <w:rPr>
          <w:color w:val="231F20"/>
          <w:spacing w:val="-11"/>
        </w:rPr>
        <w:t> </w:t>
      </w:r>
      <w:r>
        <w:rPr>
          <w:color w:val="231F20"/>
          <w:spacing w:val="-4"/>
        </w:rPr>
        <w:t>des</w:t>
      </w:r>
      <w:r>
        <w:rPr>
          <w:color w:val="231F20"/>
          <w:spacing w:val="-10"/>
        </w:rPr>
        <w:t> </w:t>
      </w:r>
      <w:r>
        <w:rPr>
          <w:color w:val="231F20"/>
          <w:spacing w:val="-4"/>
        </w:rPr>
        <w:t>lois </w:t>
      </w:r>
      <w:r>
        <w:rPr>
          <w:color w:val="231F20"/>
        </w:rPr>
        <w:t>ancestrales</w:t>
      </w:r>
      <w:r>
        <w:rPr>
          <w:color w:val="231F20"/>
          <w:spacing w:val="-13"/>
        </w:rPr>
        <w:t> </w:t>
      </w:r>
      <w:r>
        <w:rPr>
          <w:color w:val="231F20"/>
        </w:rPr>
        <w:t>enseignées</w:t>
      </w:r>
      <w:r>
        <w:rPr>
          <w:color w:val="231F20"/>
          <w:spacing w:val="-10"/>
        </w:rPr>
        <w:t> </w:t>
      </w:r>
      <w:r>
        <w:rPr>
          <w:color w:val="231F20"/>
        </w:rPr>
        <w:t>par</w:t>
      </w:r>
      <w:r>
        <w:rPr>
          <w:color w:val="231F20"/>
          <w:spacing w:val="-9"/>
        </w:rPr>
        <w:t> </w:t>
      </w:r>
      <w:r>
        <w:rPr>
          <w:color w:val="231F20"/>
        </w:rPr>
        <w:t>les</w:t>
      </w:r>
      <w:r>
        <w:rPr>
          <w:color w:val="231F20"/>
          <w:spacing w:val="-9"/>
        </w:rPr>
        <w:t> </w:t>
      </w:r>
      <w:r>
        <w:rPr>
          <w:color w:val="231F20"/>
        </w:rPr>
        <w:t>anciens</w:t>
      </w:r>
      <w:r>
        <w:rPr>
          <w:color w:val="231F20"/>
          <w:spacing w:val="-10"/>
        </w:rPr>
        <w:t> </w:t>
      </w:r>
      <w:r>
        <w:rPr>
          <w:color w:val="231F20"/>
        </w:rPr>
        <w:t>du</w:t>
      </w:r>
      <w:r>
        <w:rPr>
          <w:color w:val="231F20"/>
          <w:spacing w:val="-10"/>
        </w:rPr>
        <w:t> </w:t>
      </w:r>
      <w:r>
        <w:rPr>
          <w:color w:val="231F20"/>
        </w:rPr>
        <w:t>village</w:t>
      </w:r>
      <w:r>
        <w:rPr>
          <w:color w:val="231F20"/>
          <w:spacing w:val="-15"/>
        </w:rPr>
        <w:t> </w:t>
      </w:r>
      <w:r>
        <w:rPr>
          <w:color w:val="231F20"/>
        </w:rPr>
        <w:t>?</w:t>
      </w:r>
      <w:r>
        <w:rPr>
          <w:color w:val="231F20"/>
          <w:spacing w:val="-11"/>
        </w:rPr>
        <w:t> </w:t>
      </w:r>
      <w:r>
        <w:rPr>
          <w:color w:val="231F20"/>
        </w:rPr>
        <w:t>La</w:t>
      </w:r>
      <w:r>
        <w:rPr>
          <w:color w:val="231F20"/>
          <w:spacing w:val="-9"/>
        </w:rPr>
        <w:t> </w:t>
      </w:r>
      <w:r>
        <w:rPr>
          <w:color w:val="231F20"/>
        </w:rPr>
        <w:t>peur</w:t>
      </w:r>
      <w:r>
        <w:rPr>
          <w:color w:val="231F20"/>
          <w:spacing w:val="-9"/>
        </w:rPr>
        <w:t> </w:t>
      </w:r>
      <w:r>
        <w:rPr>
          <w:color w:val="231F20"/>
        </w:rPr>
        <w:t>au</w:t>
      </w:r>
      <w:r>
        <w:rPr>
          <w:color w:val="231F20"/>
          <w:spacing w:val="-10"/>
        </w:rPr>
        <w:t> </w:t>
      </w:r>
      <w:r>
        <w:rPr>
          <w:color w:val="231F20"/>
        </w:rPr>
        <w:t>ventre,</w:t>
      </w:r>
      <w:r>
        <w:rPr>
          <w:color w:val="231F20"/>
          <w:spacing w:val="-10"/>
        </w:rPr>
        <w:t> </w:t>
      </w:r>
      <w:r>
        <w:rPr>
          <w:color w:val="231F20"/>
        </w:rPr>
        <w:t>ils reçoivent</w:t>
      </w:r>
      <w:r>
        <w:rPr>
          <w:color w:val="231F20"/>
          <w:spacing w:val="-6"/>
        </w:rPr>
        <w:t> </w:t>
      </w:r>
      <w:r>
        <w:rPr>
          <w:color w:val="231F20"/>
        </w:rPr>
        <w:t>avec</w:t>
      </w:r>
      <w:r>
        <w:rPr>
          <w:color w:val="231F20"/>
          <w:spacing w:val="-7"/>
        </w:rPr>
        <w:t> </w:t>
      </w:r>
      <w:r>
        <w:rPr>
          <w:color w:val="231F20"/>
        </w:rPr>
        <w:t>toutes</w:t>
      </w:r>
      <w:r>
        <w:rPr>
          <w:color w:val="231F20"/>
          <w:spacing w:val="-9"/>
        </w:rPr>
        <w:t> </w:t>
      </w:r>
      <w:r>
        <w:rPr>
          <w:color w:val="231F20"/>
        </w:rPr>
        <w:t>les</w:t>
      </w:r>
      <w:r>
        <w:rPr>
          <w:color w:val="231F20"/>
          <w:spacing w:val="-9"/>
        </w:rPr>
        <w:t> </w:t>
      </w:r>
      <w:r>
        <w:rPr>
          <w:color w:val="231F20"/>
        </w:rPr>
        <w:t>marques</w:t>
      </w:r>
      <w:r>
        <w:rPr>
          <w:color w:val="231F20"/>
          <w:spacing w:val="-7"/>
        </w:rPr>
        <w:t> </w:t>
      </w:r>
      <w:r>
        <w:rPr>
          <w:color w:val="231F20"/>
        </w:rPr>
        <w:t>d’attention</w:t>
      </w:r>
      <w:r>
        <w:rPr>
          <w:color w:val="231F20"/>
          <w:spacing w:val="-6"/>
        </w:rPr>
        <w:t> </w:t>
      </w:r>
      <w:r>
        <w:rPr>
          <w:color w:val="231F20"/>
        </w:rPr>
        <w:t>ces</w:t>
      </w:r>
      <w:r>
        <w:rPr>
          <w:color w:val="231F20"/>
          <w:spacing w:val="-6"/>
        </w:rPr>
        <w:t> </w:t>
      </w:r>
      <w:r>
        <w:rPr>
          <w:color w:val="231F20"/>
        </w:rPr>
        <w:t>étranges</w:t>
      </w:r>
      <w:r>
        <w:rPr>
          <w:color w:val="231F20"/>
          <w:spacing w:val="-6"/>
        </w:rPr>
        <w:t> </w:t>
      </w:r>
      <w:r>
        <w:rPr>
          <w:color w:val="231F20"/>
        </w:rPr>
        <w:t>hommes.</w:t>
      </w:r>
    </w:p>
    <w:p>
      <w:pPr>
        <w:pStyle w:val="BodyText"/>
        <w:spacing w:before="115"/>
        <w:ind w:left="395"/>
      </w:pPr>
      <w:r>
        <w:rPr>
          <w:color w:val="231F20"/>
        </w:rPr>
        <w:t>L’habitant</w:t>
      </w:r>
      <w:r>
        <w:rPr>
          <w:color w:val="231F20"/>
          <w:spacing w:val="27"/>
        </w:rPr>
        <w:t> </w:t>
      </w:r>
      <w:r>
        <w:rPr>
          <w:color w:val="231F20"/>
        </w:rPr>
        <w:t>de</w:t>
      </w:r>
      <w:r>
        <w:rPr>
          <w:color w:val="231F20"/>
          <w:spacing w:val="31"/>
        </w:rPr>
        <w:t> </w:t>
      </w:r>
      <w:r>
        <w:rPr>
          <w:color w:val="231F20"/>
        </w:rPr>
        <w:t>cette</w:t>
      </w:r>
      <w:r>
        <w:rPr>
          <w:color w:val="231F20"/>
          <w:spacing w:val="30"/>
        </w:rPr>
        <w:t> </w:t>
      </w:r>
      <w:r>
        <w:rPr>
          <w:color w:val="231F20"/>
        </w:rPr>
        <w:t>plage</w:t>
      </w:r>
      <w:r>
        <w:rPr>
          <w:color w:val="231F20"/>
          <w:spacing w:val="30"/>
        </w:rPr>
        <w:t> </w:t>
      </w:r>
      <w:r>
        <w:rPr>
          <w:color w:val="231F20"/>
        </w:rPr>
        <w:t>d’Afrique</w:t>
      </w:r>
      <w:r>
        <w:rPr>
          <w:color w:val="231F20"/>
          <w:spacing w:val="29"/>
        </w:rPr>
        <w:t> </w:t>
      </w:r>
      <w:r>
        <w:rPr>
          <w:color w:val="231F20"/>
        </w:rPr>
        <w:t>venait</w:t>
      </w:r>
      <w:r>
        <w:rPr>
          <w:color w:val="231F20"/>
          <w:spacing w:val="32"/>
        </w:rPr>
        <w:t> </w:t>
      </w:r>
      <w:r>
        <w:rPr>
          <w:color w:val="231F20"/>
        </w:rPr>
        <w:t>de</w:t>
      </w:r>
      <w:r>
        <w:rPr>
          <w:color w:val="231F20"/>
          <w:spacing w:val="28"/>
        </w:rPr>
        <w:t> </w:t>
      </w:r>
      <w:r>
        <w:rPr>
          <w:color w:val="231F20"/>
        </w:rPr>
        <w:t>rencontrer</w:t>
      </w:r>
      <w:r>
        <w:rPr>
          <w:color w:val="231F20"/>
          <w:spacing w:val="29"/>
        </w:rPr>
        <w:t> </w:t>
      </w:r>
      <w:r>
        <w:rPr>
          <w:color w:val="231F20"/>
          <w:spacing w:val="-2"/>
        </w:rPr>
        <w:t>l’homme</w:t>
      </w:r>
    </w:p>
    <w:p>
      <w:pPr>
        <w:pStyle w:val="BodyText"/>
        <w:jc w:val="left"/>
      </w:pPr>
      <w:r>
        <w:rPr>
          <w:color w:val="231F20"/>
          <w:spacing w:val="-2"/>
        </w:rPr>
        <w:t>blanc!</w:t>
      </w:r>
    </w:p>
    <w:p>
      <w:pPr>
        <w:pStyle w:val="BodyText"/>
        <w:spacing w:before="120"/>
        <w:ind w:right="105" w:firstLine="283"/>
      </w:pPr>
      <w:r>
        <w:rPr>
          <w:color w:val="231F20"/>
          <w:spacing w:val="-4"/>
        </w:rPr>
        <w:t>Sur</w:t>
      </w:r>
      <w:r>
        <w:rPr>
          <w:color w:val="231F20"/>
          <w:spacing w:val="-11"/>
        </w:rPr>
        <w:t> </w:t>
      </w:r>
      <w:r>
        <w:rPr>
          <w:color w:val="231F20"/>
          <w:spacing w:val="-4"/>
        </w:rPr>
        <w:t>une</w:t>
      </w:r>
      <w:r>
        <w:rPr>
          <w:color w:val="231F20"/>
          <w:spacing w:val="-11"/>
        </w:rPr>
        <w:t> </w:t>
      </w:r>
      <w:r>
        <w:rPr>
          <w:color w:val="231F20"/>
          <w:spacing w:val="-4"/>
        </w:rPr>
        <w:t>autre</w:t>
      </w:r>
      <w:r>
        <w:rPr>
          <w:color w:val="231F20"/>
          <w:spacing w:val="-11"/>
        </w:rPr>
        <w:t> </w:t>
      </w:r>
      <w:r>
        <w:rPr>
          <w:color w:val="231F20"/>
          <w:spacing w:val="-4"/>
        </w:rPr>
        <w:t>plage</w:t>
      </w:r>
      <w:r>
        <w:rPr>
          <w:color w:val="231F20"/>
          <w:spacing w:val="-11"/>
        </w:rPr>
        <w:t> </w:t>
      </w:r>
      <w:r>
        <w:rPr>
          <w:color w:val="231F20"/>
          <w:spacing w:val="-4"/>
        </w:rPr>
        <w:t>comme</w:t>
      </w:r>
      <w:r>
        <w:rPr>
          <w:color w:val="231F20"/>
          <w:spacing w:val="-11"/>
        </w:rPr>
        <w:t> </w:t>
      </w:r>
      <w:r>
        <w:rPr>
          <w:color w:val="231F20"/>
          <w:spacing w:val="-4"/>
        </w:rPr>
        <w:t>il</w:t>
      </w:r>
      <w:r>
        <w:rPr>
          <w:color w:val="231F20"/>
          <w:spacing w:val="-11"/>
        </w:rPr>
        <w:t> </w:t>
      </w:r>
      <w:r>
        <w:rPr>
          <w:color w:val="231F20"/>
          <w:spacing w:val="-4"/>
        </w:rPr>
        <w:t>en</w:t>
      </w:r>
      <w:r>
        <w:rPr>
          <w:color w:val="231F20"/>
          <w:spacing w:val="-11"/>
        </w:rPr>
        <w:t> </w:t>
      </w:r>
      <w:r>
        <w:rPr>
          <w:color w:val="231F20"/>
          <w:spacing w:val="-4"/>
        </w:rPr>
        <w:t>existe</w:t>
      </w:r>
      <w:r>
        <w:rPr>
          <w:color w:val="231F20"/>
          <w:spacing w:val="-11"/>
        </w:rPr>
        <w:t> </w:t>
      </w:r>
      <w:r>
        <w:rPr>
          <w:color w:val="231F20"/>
          <w:spacing w:val="-4"/>
        </w:rPr>
        <w:t>tout</w:t>
      </w:r>
      <w:r>
        <w:rPr>
          <w:color w:val="231F20"/>
          <w:spacing w:val="-11"/>
        </w:rPr>
        <w:t> </w:t>
      </w:r>
      <w:r>
        <w:rPr>
          <w:color w:val="231F20"/>
          <w:spacing w:val="-4"/>
        </w:rPr>
        <w:t>le</w:t>
      </w:r>
      <w:r>
        <w:rPr>
          <w:color w:val="231F20"/>
          <w:spacing w:val="-11"/>
        </w:rPr>
        <w:t> </w:t>
      </w:r>
      <w:r>
        <w:rPr>
          <w:color w:val="231F20"/>
          <w:spacing w:val="-4"/>
        </w:rPr>
        <w:t>long</w:t>
      </w:r>
      <w:r>
        <w:rPr>
          <w:color w:val="231F20"/>
          <w:spacing w:val="-11"/>
        </w:rPr>
        <w:t> </w:t>
      </w:r>
      <w:r>
        <w:rPr>
          <w:color w:val="231F20"/>
          <w:spacing w:val="-4"/>
        </w:rPr>
        <w:t>des</w:t>
      </w:r>
      <w:r>
        <w:rPr>
          <w:color w:val="231F20"/>
          <w:spacing w:val="-11"/>
        </w:rPr>
        <w:t> </w:t>
      </w:r>
      <w:r>
        <w:rPr>
          <w:color w:val="231F20"/>
          <w:spacing w:val="-4"/>
        </w:rPr>
        <w:t>côtes</w:t>
      </w:r>
      <w:r>
        <w:rPr>
          <w:color w:val="231F20"/>
          <w:spacing w:val="-11"/>
        </w:rPr>
        <w:t> </w:t>
      </w:r>
      <w:r>
        <w:rPr>
          <w:color w:val="231F20"/>
          <w:spacing w:val="-4"/>
        </w:rPr>
        <w:t>d’Afrique, </w:t>
      </w:r>
      <w:r>
        <w:rPr>
          <w:color w:val="231F20"/>
        </w:rPr>
        <w:t>arrivent en longues files, des hommes, des femmes mais aussi… des </w:t>
      </w:r>
      <w:r>
        <w:rPr>
          <w:color w:val="231F20"/>
          <w:spacing w:val="-2"/>
        </w:rPr>
        <w:t>enfants,</w:t>
      </w:r>
      <w:r>
        <w:rPr>
          <w:color w:val="231F20"/>
          <w:spacing w:val="-12"/>
        </w:rPr>
        <w:t> </w:t>
      </w:r>
      <w:r>
        <w:rPr>
          <w:color w:val="231F20"/>
          <w:spacing w:val="-2"/>
        </w:rPr>
        <w:t>le</w:t>
      </w:r>
      <w:r>
        <w:rPr>
          <w:color w:val="231F20"/>
          <w:spacing w:val="-10"/>
        </w:rPr>
        <w:t> </w:t>
      </w:r>
      <w:r>
        <w:rPr>
          <w:color w:val="231F20"/>
          <w:spacing w:val="-2"/>
        </w:rPr>
        <w:t>cou</w:t>
      </w:r>
      <w:r>
        <w:rPr>
          <w:color w:val="231F20"/>
          <w:spacing w:val="-12"/>
        </w:rPr>
        <w:t> </w:t>
      </w:r>
      <w:r>
        <w:rPr>
          <w:color w:val="231F20"/>
          <w:spacing w:val="-2"/>
        </w:rPr>
        <w:t>emprisonné</w:t>
      </w:r>
      <w:r>
        <w:rPr>
          <w:color w:val="231F20"/>
          <w:spacing w:val="-10"/>
        </w:rPr>
        <w:t> </w:t>
      </w:r>
      <w:r>
        <w:rPr>
          <w:color w:val="231F20"/>
          <w:spacing w:val="-2"/>
        </w:rPr>
        <w:t>dans</w:t>
      </w:r>
      <w:r>
        <w:rPr>
          <w:color w:val="231F20"/>
          <w:spacing w:val="-10"/>
        </w:rPr>
        <w:t> </w:t>
      </w:r>
      <w:r>
        <w:rPr>
          <w:color w:val="231F20"/>
          <w:spacing w:val="-2"/>
        </w:rPr>
        <w:t>des</w:t>
      </w:r>
      <w:r>
        <w:rPr>
          <w:color w:val="231F20"/>
          <w:spacing w:val="-10"/>
        </w:rPr>
        <w:t> </w:t>
      </w:r>
      <w:r>
        <w:rPr>
          <w:color w:val="231F20"/>
          <w:spacing w:val="-2"/>
        </w:rPr>
        <w:t>fourches</w:t>
      </w:r>
      <w:r>
        <w:rPr>
          <w:color w:val="231F20"/>
          <w:spacing w:val="-12"/>
        </w:rPr>
        <w:t> </w:t>
      </w:r>
      <w:r>
        <w:rPr>
          <w:color w:val="231F20"/>
          <w:spacing w:val="-2"/>
        </w:rPr>
        <w:t>en</w:t>
      </w:r>
      <w:r>
        <w:rPr>
          <w:color w:val="231F20"/>
          <w:spacing w:val="-10"/>
        </w:rPr>
        <w:t> </w:t>
      </w:r>
      <w:r>
        <w:rPr>
          <w:color w:val="231F20"/>
          <w:spacing w:val="-2"/>
        </w:rPr>
        <w:t>bois</w:t>
      </w:r>
      <w:r>
        <w:rPr>
          <w:color w:val="231F20"/>
          <w:spacing w:val="-9"/>
        </w:rPr>
        <w:t> </w:t>
      </w:r>
      <w:r>
        <w:rPr>
          <w:color w:val="231F20"/>
          <w:spacing w:val="-2"/>
        </w:rPr>
        <w:t>:</w:t>
      </w:r>
      <w:r>
        <w:rPr>
          <w:color w:val="231F20"/>
          <w:spacing w:val="-9"/>
        </w:rPr>
        <w:t> </w:t>
      </w:r>
      <w:r>
        <w:rPr>
          <w:color w:val="231F20"/>
          <w:spacing w:val="-2"/>
        </w:rPr>
        <w:t>ce</w:t>
      </w:r>
      <w:r>
        <w:rPr>
          <w:color w:val="231F20"/>
          <w:spacing w:val="-12"/>
        </w:rPr>
        <w:t> </w:t>
      </w:r>
      <w:r>
        <w:rPr>
          <w:color w:val="231F20"/>
          <w:spacing w:val="-2"/>
        </w:rPr>
        <w:t>sont</w:t>
      </w:r>
      <w:r>
        <w:rPr>
          <w:color w:val="231F20"/>
          <w:spacing w:val="-9"/>
        </w:rPr>
        <w:t> </w:t>
      </w:r>
      <w:r>
        <w:rPr>
          <w:color w:val="231F20"/>
          <w:spacing w:val="-2"/>
        </w:rPr>
        <w:t>des</w:t>
      </w:r>
      <w:r>
        <w:rPr>
          <w:color w:val="231F20"/>
          <w:spacing w:val="-12"/>
        </w:rPr>
        <w:t> </w:t>
      </w:r>
      <w:r>
        <w:rPr>
          <w:color w:val="231F20"/>
          <w:spacing w:val="-2"/>
        </w:rPr>
        <w:t>captifs </w:t>
      </w:r>
      <w:r>
        <w:rPr>
          <w:color w:val="231F20"/>
        </w:rPr>
        <w:t>qui seront réduits en esclaves. Ces hommes,</w:t>
      </w:r>
      <w:r>
        <w:rPr>
          <w:color w:val="231F20"/>
          <w:spacing w:val="-15"/>
        </w:rPr>
        <w:t> </w:t>
      </w:r>
      <w:r>
        <w:rPr>
          <w:color w:val="231F20"/>
        </w:rPr>
        <w:t>ces femmes et ces enfants </w:t>
      </w:r>
      <w:r>
        <w:rPr>
          <w:color w:val="231F20"/>
          <w:spacing w:val="-2"/>
        </w:rPr>
        <w:t>proviennent</w:t>
      </w:r>
      <w:r>
        <w:rPr>
          <w:color w:val="231F20"/>
          <w:spacing w:val="-13"/>
        </w:rPr>
        <w:t> </w:t>
      </w:r>
      <w:r>
        <w:rPr>
          <w:color w:val="231F20"/>
          <w:spacing w:val="-2"/>
        </w:rPr>
        <w:t>des</w:t>
      </w:r>
      <w:r>
        <w:rPr>
          <w:color w:val="231F20"/>
          <w:spacing w:val="-13"/>
        </w:rPr>
        <w:t> </w:t>
      </w:r>
      <w:r>
        <w:rPr>
          <w:color w:val="231F20"/>
          <w:spacing w:val="-2"/>
        </w:rPr>
        <w:t>razzias</w:t>
      </w:r>
      <w:r>
        <w:rPr>
          <w:color w:val="231F20"/>
          <w:spacing w:val="-13"/>
        </w:rPr>
        <w:t> </w:t>
      </w:r>
      <w:r>
        <w:rPr>
          <w:color w:val="231F20"/>
          <w:spacing w:val="-2"/>
        </w:rPr>
        <w:t>de</w:t>
      </w:r>
      <w:r>
        <w:rPr>
          <w:color w:val="231F20"/>
          <w:spacing w:val="-13"/>
        </w:rPr>
        <w:t> </w:t>
      </w:r>
      <w:r>
        <w:rPr>
          <w:color w:val="231F20"/>
          <w:spacing w:val="-2"/>
        </w:rPr>
        <w:t>marchands</w:t>
      </w:r>
      <w:r>
        <w:rPr>
          <w:color w:val="231F20"/>
          <w:spacing w:val="-13"/>
        </w:rPr>
        <w:t> </w:t>
      </w:r>
      <w:r>
        <w:rPr>
          <w:color w:val="231F20"/>
          <w:spacing w:val="-2"/>
        </w:rPr>
        <w:t>d’esclaves</w:t>
      </w:r>
      <w:r>
        <w:rPr>
          <w:color w:val="231F20"/>
          <w:spacing w:val="-13"/>
        </w:rPr>
        <w:t> </w:t>
      </w:r>
      <w:r>
        <w:rPr>
          <w:color w:val="231F20"/>
          <w:spacing w:val="-2"/>
        </w:rPr>
        <w:t>qui</w:t>
      </w:r>
      <w:r>
        <w:rPr>
          <w:color w:val="231F20"/>
          <w:spacing w:val="-13"/>
        </w:rPr>
        <w:t> </w:t>
      </w:r>
      <w:r>
        <w:rPr>
          <w:color w:val="231F20"/>
          <w:spacing w:val="-2"/>
        </w:rPr>
        <w:t>sillonnent</w:t>
      </w:r>
      <w:r>
        <w:rPr>
          <w:color w:val="231F20"/>
          <w:spacing w:val="-13"/>
        </w:rPr>
        <w:t> </w:t>
      </w:r>
      <w:r>
        <w:rPr>
          <w:color w:val="231F20"/>
          <w:spacing w:val="-2"/>
        </w:rPr>
        <w:t>les</w:t>
      </w:r>
      <w:r>
        <w:rPr>
          <w:color w:val="231F20"/>
          <w:spacing w:val="-13"/>
        </w:rPr>
        <w:t> </w:t>
      </w:r>
      <w:r>
        <w:rPr>
          <w:color w:val="231F20"/>
          <w:spacing w:val="-2"/>
        </w:rPr>
        <w:t>terres, </w:t>
      </w:r>
      <w:r>
        <w:rPr>
          <w:color w:val="231F20"/>
        </w:rPr>
        <w:t>au-delà de la côte. Ces hommes,</w:t>
      </w:r>
      <w:r>
        <w:rPr>
          <w:color w:val="231F20"/>
          <w:spacing w:val="-12"/>
        </w:rPr>
        <w:t> </w:t>
      </w:r>
      <w:r>
        <w:rPr>
          <w:color w:val="231F20"/>
        </w:rPr>
        <w:t>ces femmes et ces enfants ont été </w:t>
      </w:r>
      <w:r>
        <w:rPr>
          <w:color w:val="231F20"/>
          <w:spacing w:val="-2"/>
        </w:rPr>
        <w:t>pourchassés</w:t>
      </w:r>
      <w:r>
        <w:rPr>
          <w:color w:val="231F20"/>
          <w:spacing w:val="-13"/>
        </w:rPr>
        <w:t> </w:t>
      </w:r>
      <w:r>
        <w:rPr>
          <w:color w:val="231F20"/>
          <w:spacing w:val="-2"/>
        </w:rPr>
        <w:t>comme</w:t>
      </w:r>
      <w:r>
        <w:rPr>
          <w:color w:val="231F20"/>
          <w:spacing w:val="-13"/>
        </w:rPr>
        <w:t> </w:t>
      </w:r>
      <w:r>
        <w:rPr>
          <w:color w:val="231F20"/>
          <w:spacing w:val="-2"/>
        </w:rPr>
        <w:t>des</w:t>
      </w:r>
      <w:r>
        <w:rPr>
          <w:color w:val="231F20"/>
          <w:spacing w:val="-13"/>
        </w:rPr>
        <w:t> </w:t>
      </w:r>
      <w:r>
        <w:rPr>
          <w:color w:val="231F20"/>
          <w:spacing w:val="-2"/>
        </w:rPr>
        <w:t>animaux</w:t>
      </w:r>
      <w:r>
        <w:rPr>
          <w:color w:val="231F20"/>
          <w:spacing w:val="-13"/>
        </w:rPr>
        <w:t> </w:t>
      </w:r>
      <w:r>
        <w:rPr>
          <w:color w:val="231F20"/>
          <w:spacing w:val="-2"/>
        </w:rPr>
        <w:t>et,</w:t>
      </w:r>
      <w:r>
        <w:rPr>
          <w:color w:val="231F20"/>
          <w:spacing w:val="-13"/>
        </w:rPr>
        <w:t> </w:t>
      </w:r>
      <w:r>
        <w:rPr>
          <w:color w:val="231F20"/>
          <w:spacing w:val="-2"/>
        </w:rPr>
        <w:t>ont</w:t>
      </w:r>
      <w:r>
        <w:rPr>
          <w:color w:val="231F20"/>
          <w:spacing w:val="-13"/>
        </w:rPr>
        <w:t> </w:t>
      </w:r>
      <w:r>
        <w:rPr>
          <w:color w:val="231F20"/>
          <w:spacing w:val="-2"/>
        </w:rPr>
        <w:t>fini</w:t>
      </w:r>
      <w:r>
        <w:rPr>
          <w:color w:val="231F20"/>
          <w:spacing w:val="-13"/>
        </w:rPr>
        <w:t> </w:t>
      </w:r>
      <w:r>
        <w:rPr>
          <w:color w:val="231F20"/>
          <w:spacing w:val="-2"/>
        </w:rPr>
        <w:t>comme</w:t>
      </w:r>
      <w:r>
        <w:rPr>
          <w:color w:val="231F20"/>
          <w:spacing w:val="-13"/>
        </w:rPr>
        <w:t> </w:t>
      </w:r>
      <w:r>
        <w:rPr>
          <w:color w:val="231F20"/>
          <w:spacing w:val="-2"/>
        </w:rPr>
        <w:t>le</w:t>
      </w:r>
      <w:r>
        <w:rPr>
          <w:color w:val="231F20"/>
          <w:spacing w:val="-13"/>
        </w:rPr>
        <w:t> </w:t>
      </w:r>
      <w:r>
        <w:rPr>
          <w:color w:val="231F20"/>
          <w:spacing w:val="-2"/>
        </w:rPr>
        <w:t>gibier,</w:t>
      </w:r>
      <w:r>
        <w:rPr>
          <w:color w:val="231F20"/>
          <w:spacing w:val="-13"/>
        </w:rPr>
        <w:t> </w:t>
      </w:r>
      <w:r>
        <w:rPr>
          <w:color w:val="231F20"/>
          <w:spacing w:val="-2"/>
        </w:rPr>
        <w:t>leur</w:t>
      </w:r>
      <w:r>
        <w:rPr>
          <w:color w:val="231F20"/>
          <w:spacing w:val="-13"/>
        </w:rPr>
        <w:t> </w:t>
      </w:r>
      <w:r>
        <w:rPr>
          <w:color w:val="231F20"/>
          <w:spacing w:val="-2"/>
        </w:rPr>
        <w:t>course dans</w:t>
      </w:r>
      <w:r>
        <w:rPr>
          <w:color w:val="231F20"/>
          <w:spacing w:val="-11"/>
        </w:rPr>
        <w:t> </w:t>
      </w:r>
      <w:r>
        <w:rPr>
          <w:color w:val="231F20"/>
          <w:spacing w:val="-2"/>
        </w:rPr>
        <w:t>des</w:t>
      </w:r>
      <w:r>
        <w:rPr>
          <w:color w:val="231F20"/>
          <w:spacing w:val="-9"/>
        </w:rPr>
        <w:t> </w:t>
      </w:r>
      <w:r>
        <w:rPr>
          <w:color w:val="231F20"/>
          <w:spacing w:val="-2"/>
        </w:rPr>
        <w:t>filets</w:t>
      </w:r>
      <w:r>
        <w:rPr>
          <w:color w:val="231F20"/>
          <w:spacing w:val="-9"/>
        </w:rPr>
        <w:t> </w:t>
      </w:r>
      <w:r>
        <w:rPr>
          <w:color w:val="231F20"/>
          <w:spacing w:val="-2"/>
        </w:rPr>
        <w:t>de</w:t>
      </w:r>
      <w:r>
        <w:rPr>
          <w:color w:val="231F20"/>
          <w:spacing w:val="-9"/>
        </w:rPr>
        <w:t> </w:t>
      </w:r>
      <w:r>
        <w:rPr>
          <w:color w:val="231F20"/>
          <w:spacing w:val="-2"/>
        </w:rPr>
        <w:t>chasse.</w:t>
      </w:r>
      <w:r>
        <w:rPr>
          <w:color w:val="231F20"/>
          <w:spacing w:val="-11"/>
        </w:rPr>
        <w:t> </w:t>
      </w:r>
      <w:r>
        <w:rPr>
          <w:color w:val="231F20"/>
          <w:spacing w:val="-2"/>
        </w:rPr>
        <w:t>Après</w:t>
      </w:r>
      <w:r>
        <w:rPr>
          <w:color w:val="231F20"/>
          <w:spacing w:val="-7"/>
        </w:rPr>
        <w:t> </w:t>
      </w:r>
      <w:r>
        <w:rPr>
          <w:color w:val="231F20"/>
          <w:spacing w:val="-2"/>
        </w:rPr>
        <w:t>la</w:t>
      </w:r>
      <w:r>
        <w:rPr>
          <w:color w:val="231F20"/>
          <w:spacing w:val="-9"/>
        </w:rPr>
        <w:t> </w:t>
      </w:r>
      <w:r>
        <w:rPr>
          <w:color w:val="231F20"/>
          <w:spacing w:val="-2"/>
        </w:rPr>
        <w:t>capture,</w:t>
      </w:r>
      <w:r>
        <w:rPr>
          <w:color w:val="231F20"/>
          <w:spacing w:val="-7"/>
        </w:rPr>
        <w:t> </w:t>
      </w:r>
      <w:r>
        <w:rPr>
          <w:color w:val="231F20"/>
          <w:spacing w:val="-2"/>
        </w:rPr>
        <w:t>les</w:t>
      </w:r>
      <w:r>
        <w:rPr>
          <w:color w:val="231F20"/>
          <w:spacing w:val="-8"/>
        </w:rPr>
        <w:t> </w:t>
      </w:r>
      <w:r>
        <w:rPr>
          <w:color w:val="231F20"/>
          <w:spacing w:val="-2"/>
        </w:rPr>
        <w:t>chasseurs</w:t>
      </w:r>
      <w:r>
        <w:rPr>
          <w:color w:val="231F20"/>
          <w:spacing w:val="-9"/>
        </w:rPr>
        <w:t> </w:t>
      </w:r>
      <w:r>
        <w:rPr>
          <w:color w:val="231F20"/>
          <w:spacing w:val="-2"/>
        </w:rPr>
        <w:t>procèdent</w:t>
      </w:r>
      <w:r>
        <w:rPr>
          <w:color w:val="231F20"/>
          <w:spacing w:val="-9"/>
        </w:rPr>
        <w:t> </w:t>
      </w:r>
      <w:r>
        <w:rPr>
          <w:color w:val="231F20"/>
          <w:spacing w:val="-2"/>
        </w:rPr>
        <w:t>au</w:t>
      </w:r>
      <w:r>
        <w:rPr>
          <w:color w:val="231F20"/>
          <w:spacing w:val="-8"/>
        </w:rPr>
        <w:t> </w:t>
      </w:r>
      <w:r>
        <w:rPr>
          <w:color w:val="231F20"/>
          <w:spacing w:val="-4"/>
        </w:rPr>
        <w:t>tri.</w:t>
      </w:r>
    </w:p>
    <w:p>
      <w:pPr>
        <w:pStyle w:val="BodyText"/>
        <w:spacing w:before="3"/>
        <w:ind w:left="0"/>
        <w:jc w:val="left"/>
        <w:rPr>
          <w:sz w:val="12"/>
        </w:rPr>
      </w:pPr>
      <w:r>
        <w:rPr/>
        <mc:AlternateContent>
          <mc:Choice Requires="wps">
            <w:drawing>
              <wp:anchor distT="0" distB="0" distL="0" distR="0" allowOverlap="1" layoutInCell="1" locked="0" behindDoc="1" simplePos="0" relativeHeight="487590912">
                <wp:simplePos x="0" y="0"/>
                <wp:positionH relativeFrom="page">
                  <wp:posOffset>629907</wp:posOffset>
                </wp:positionH>
                <wp:positionV relativeFrom="paragraph">
                  <wp:posOffset>104787</wp:posOffset>
                </wp:positionV>
                <wp:extent cx="1829435" cy="952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8.251016pt;width:144.020pt;height:.72pt;mso-position-horizontal-relative:page;mso-position-vertical-relative:paragraph;z-index:-15725568;mso-wrap-distance-left:0;mso-wrap-distance-right:0" id="docshape15" filled="true" fillcolor="#231f20" stroked="false">
                <v:fill type="solid"/>
                <w10:wrap type="topAndBottom"/>
              </v:rect>
            </w:pict>
          </mc:Fallback>
        </mc:AlternateContent>
      </w:r>
    </w:p>
    <w:p>
      <w:pPr>
        <w:spacing w:before="94"/>
        <w:ind w:left="111" w:right="105" w:firstLine="0"/>
        <w:jc w:val="both"/>
        <w:rPr>
          <w:sz w:val="20"/>
        </w:rPr>
      </w:pPr>
      <w:r>
        <w:rPr>
          <w:color w:val="231F20"/>
          <w:sz w:val="20"/>
          <w:vertAlign w:val="superscript"/>
        </w:rPr>
        <w:t>7</w:t>
      </w:r>
      <w:r>
        <w:rPr>
          <w:color w:val="231F20"/>
          <w:sz w:val="20"/>
          <w:shd w:fill="FAFAFB" w:color="auto" w:val="clear"/>
          <w:vertAlign w:val="baseline"/>
        </w:rPr>
        <w:t>Commerce</w:t>
      </w:r>
      <w:r>
        <w:rPr>
          <w:color w:val="231F20"/>
          <w:spacing w:val="-13"/>
          <w:sz w:val="20"/>
          <w:shd w:fill="FAFAFB" w:color="auto" w:val="clear"/>
          <w:vertAlign w:val="baseline"/>
        </w:rPr>
        <w:t> </w:t>
      </w:r>
      <w:r>
        <w:rPr>
          <w:color w:val="231F20"/>
          <w:sz w:val="20"/>
          <w:shd w:fill="FAFAFB" w:color="auto" w:val="clear"/>
          <w:vertAlign w:val="baseline"/>
        </w:rPr>
        <w:t>d'esclaves</w:t>
      </w:r>
      <w:r>
        <w:rPr>
          <w:color w:val="231F20"/>
          <w:spacing w:val="-12"/>
          <w:sz w:val="20"/>
          <w:shd w:fill="FAFAFB" w:color="auto" w:val="clear"/>
          <w:vertAlign w:val="baseline"/>
        </w:rPr>
        <w:t> </w:t>
      </w:r>
      <w:r>
        <w:rPr>
          <w:color w:val="231F20"/>
          <w:sz w:val="20"/>
          <w:shd w:fill="FAFAFB" w:color="auto" w:val="clear"/>
          <w:vertAlign w:val="baseline"/>
        </w:rPr>
        <w:t>noirs</w:t>
      </w:r>
      <w:r>
        <w:rPr>
          <w:color w:val="231F20"/>
          <w:spacing w:val="-10"/>
          <w:sz w:val="20"/>
          <w:shd w:fill="FAFAFB" w:color="auto" w:val="clear"/>
          <w:vertAlign w:val="baseline"/>
        </w:rPr>
        <w:t> </w:t>
      </w:r>
      <w:r>
        <w:rPr>
          <w:color w:val="231F20"/>
          <w:sz w:val="20"/>
          <w:shd w:fill="FAFAFB" w:color="auto" w:val="clear"/>
          <w:vertAlign w:val="baseline"/>
        </w:rPr>
        <w:t>qui</w:t>
      </w:r>
      <w:r>
        <w:rPr>
          <w:color w:val="231F20"/>
          <w:spacing w:val="-6"/>
          <w:sz w:val="20"/>
          <w:shd w:fill="FAFAFB" w:color="auto" w:val="clear"/>
          <w:vertAlign w:val="baseline"/>
        </w:rPr>
        <w:t> </w:t>
      </w:r>
      <w:r>
        <w:rPr>
          <w:color w:val="231F20"/>
          <w:sz w:val="20"/>
          <w:shd w:fill="FAFAFB" w:color="auto" w:val="clear"/>
          <w:vertAlign w:val="baseline"/>
        </w:rPr>
        <w:t>a</w:t>
      </w:r>
      <w:r>
        <w:rPr>
          <w:color w:val="231F20"/>
          <w:spacing w:val="-4"/>
          <w:sz w:val="20"/>
          <w:shd w:fill="FAFAFB" w:color="auto" w:val="clear"/>
          <w:vertAlign w:val="baseline"/>
        </w:rPr>
        <w:t> </w:t>
      </w:r>
      <w:r>
        <w:rPr>
          <w:color w:val="231F20"/>
          <w:sz w:val="20"/>
          <w:shd w:fill="FAFAFB" w:color="auto" w:val="clear"/>
          <w:vertAlign w:val="baseline"/>
        </w:rPr>
        <w:t>eu</w:t>
      </w:r>
      <w:r>
        <w:rPr>
          <w:color w:val="231F20"/>
          <w:spacing w:val="-3"/>
          <w:sz w:val="20"/>
          <w:shd w:fill="FAFAFB" w:color="auto" w:val="clear"/>
          <w:vertAlign w:val="baseline"/>
        </w:rPr>
        <w:t> </w:t>
      </w:r>
      <w:r>
        <w:rPr>
          <w:color w:val="231F20"/>
          <w:sz w:val="20"/>
          <w:shd w:fill="FAFAFB" w:color="auto" w:val="clear"/>
          <w:vertAlign w:val="baseline"/>
        </w:rPr>
        <w:t>lieu</w:t>
      </w:r>
      <w:r>
        <w:rPr>
          <w:color w:val="231F20"/>
          <w:spacing w:val="-5"/>
          <w:sz w:val="20"/>
          <w:shd w:fill="FAFAFB" w:color="auto" w:val="clear"/>
          <w:vertAlign w:val="baseline"/>
        </w:rPr>
        <w:t> </w:t>
      </w:r>
      <w:r>
        <w:rPr>
          <w:color w:val="231F20"/>
          <w:sz w:val="20"/>
          <w:shd w:fill="FAFAFB" w:color="auto" w:val="clear"/>
          <w:vertAlign w:val="baseline"/>
        </w:rPr>
        <w:t>à</w:t>
      </w:r>
      <w:r>
        <w:rPr>
          <w:color w:val="231F20"/>
          <w:spacing w:val="-4"/>
          <w:sz w:val="20"/>
          <w:shd w:fill="FAFAFB" w:color="auto" w:val="clear"/>
          <w:vertAlign w:val="baseline"/>
        </w:rPr>
        <w:t> </w:t>
      </w:r>
      <w:r>
        <w:rPr>
          <w:color w:val="231F20"/>
          <w:sz w:val="20"/>
          <w:shd w:fill="FAFAFB" w:color="auto" w:val="clear"/>
          <w:vertAlign w:val="baseline"/>
        </w:rPr>
        <w:t>travers</w:t>
      </w:r>
      <w:r>
        <w:rPr>
          <w:color w:val="231F20"/>
          <w:spacing w:val="-7"/>
          <w:sz w:val="20"/>
          <w:shd w:fill="FAFAFB" w:color="auto" w:val="clear"/>
          <w:vertAlign w:val="baseline"/>
        </w:rPr>
        <w:t> </w:t>
      </w:r>
      <w:r>
        <w:rPr>
          <w:color w:val="231F20"/>
          <w:sz w:val="20"/>
          <w:shd w:fill="FAFAFB" w:color="auto" w:val="clear"/>
          <w:vertAlign w:val="baseline"/>
        </w:rPr>
        <w:t>la</w:t>
      </w:r>
      <w:r>
        <w:rPr>
          <w:color w:val="231F20"/>
          <w:spacing w:val="-13"/>
          <w:sz w:val="20"/>
          <w:shd w:fill="FAFAFB" w:color="auto" w:val="clear"/>
          <w:vertAlign w:val="baseline"/>
        </w:rPr>
        <w:t> </w:t>
      </w:r>
      <w:r>
        <w:rPr>
          <w:color w:val="231F20"/>
          <w:sz w:val="20"/>
          <w:shd w:fill="FAFAFB" w:color="auto" w:val="clear"/>
          <w:vertAlign w:val="baseline"/>
        </w:rPr>
        <w:t>région</w:t>
      </w:r>
      <w:r>
        <w:rPr>
          <w:color w:val="231F20"/>
          <w:spacing w:val="-5"/>
          <w:sz w:val="20"/>
          <w:shd w:fill="FAFAFB" w:color="auto" w:val="clear"/>
          <w:vertAlign w:val="baseline"/>
        </w:rPr>
        <w:t> </w:t>
      </w:r>
      <w:r>
        <w:rPr>
          <w:color w:val="231F20"/>
          <w:sz w:val="20"/>
          <w:shd w:fill="FAFAFB" w:color="auto" w:val="clear"/>
          <w:vertAlign w:val="baseline"/>
        </w:rPr>
        <w:t>du</w:t>
      </w:r>
      <w:r>
        <w:rPr>
          <w:color w:val="231F20"/>
          <w:spacing w:val="-13"/>
          <w:sz w:val="20"/>
          <w:shd w:fill="FAFAFB" w:color="auto" w:val="clear"/>
          <w:vertAlign w:val="baseline"/>
        </w:rPr>
        <w:t> </w:t>
      </w:r>
      <w:r>
        <w:rPr>
          <w:color w:val="231F20"/>
          <w:sz w:val="20"/>
          <w:shd w:fill="FAFAFB" w:color="auto" w:val="clear"/>
          <w:vertAlign w:val="baseline"/>
        </w:rPr>
        <w:t>Sahara,</w:t>
      </w:r>
      <w:r>
        <w:rPr>
          <w:color w:val="231F20"/>
          <w:spacing w:val="-5"/>
          <w:sz w:val="20"/>
          <w:shd w:fill="FAFAFB" w:color="auto" w:val="clear"/>
          <w:vertAlign w:val="baseline"/>
        </w:rPr>
        <w:t> </w:t>
      </w:r>
      <w:r>
        <w:rPr>
          <w:color w:val="231F20"/>
          <w:sz w:val="20"/>
          <w:shd w:fill="FAFAFB" w:color="auto" w:val="clear"/>
          <w:vertAlign w:val="baseline"/>
        </w:rPr>
        <w:t>entre</w:t>
      </w:r>
      <w:r>
        <w:rPr>
          <w:color w:val="231F20"/>
          <w:spacing w:val="-5"/>
          <w:sz w:val="20"/>
          <w:shd w:fill="FAFAFB" w:color="auto" w:val="clear"/>
          <w:vertAlign w:val="baseline"/>
        </w:rPr>
        <w:t> </w:t>
      </w:r>
      <w:r>
        <w:rPr>
          <w:color w:val="231F20"/>
          <w:sz w:val="20"/>
          <w:shd w:fill="FAFAFB" w:color="auto" w:val="clear"/>
          <w:vertAlign w:val="baseline"/>
        </w:rPr>
        <w:t>l'Afrique</w:t>
      </w:r>
      <w:r>
        <w:rPr>
          <w:color w:val="231F20"/>
          <w:sz w:val="20"/>
          <w:vertAlign w:val="baseline"/>
        </w:rPr>
        <w:t> </w:t>
      </w:r>
      <w:r>
        <w:rPr>
          <w:color w:val="231F20"/>
          <w:spacing w:val="-4"/>
          <w:sz w:val="20"/>
          <w:shd w:fill="FAFAFB" w:color="auto" w:val="clear"/>
          <w:vertAlign w:val="baseline"/>
        </w:rPr>
        <w:t>Noire et</w:t>
      </w:r>
      <w:r>
        <w:rPr>
          <w:color w:val="231F20"/>
          <w:spacing w:val="-6"/>
          <w:sz w:val="20"/>
          <w:shd w:fill="FAFAFB" w:color="auto" w:val="clear"/>
          <w:vertAlign w:val="baseline"/>
        </w:rPr>
        <w:t> </w:t>
      </w:r>
      <w:r>
        <w:rPr>
          <w:color w:val="231F20"/>
          <w:spacing w:val="-4"/>
          <w:sz w:val="20"/>
          <w:shd w:fill="FAFAFB" w:color="auto" w:val="clear"/>
          <w:vertAlign w:val="baseline"/>
        </w:rPr>
        <w:t>plusieurs pays</w:t>
      </w:r>
      <w:r>
        <w:rPr>
          <w:color w:val="231F20"/>
          <w:spacing w:val="-7"/>
          <w:sz w:val="20"/>
          <w:shd w:fill="FAFAFB" w:color="auto" w:val="clear"/>
          <w:vertAlign w:val="baseline"/>
        </w:rPr>
        <w:t> </w:t>
      </w:r>
      <w:r>
        <w:rPr>
          <w:color w:val="231F20"/>
          <w:spacing w:val="-4"/>
          <w:sz w:val="20"/>
          <w:shd w:fill="FAFAFB" w:color="auto" w:val="clear"/>
          <w:vertAlign w:val="baseline"/>
        </w:rPr>
        <w:t>de la</w:t>
      </w:r>
      <w:r>
        <w:rPr>
          <w:color w:val="231F20"/>
          <w:sz w:val="20"/>
          <w:shd w:fill="FAFAFB" w:color="auto" w:val="clear"/>
          <w:vertAlign w:val="baseline"/>
        </w:rPr>
        <w:t> </w:t>
      </w:r>
      <w:r>
        <w:rPr>
          <w:color w:val="231F20"/>
          <w:spacing w:val="-4"/>
          <w:sz w:val="20"/>
          <w:shd w:fill="FAFAFB" w:color="auto" w:val="clear"/>
          <w:vertAlign w:val="baseline"/>
        </w:rPr>
        <w:t>Mer Méditerranée.</w:t>
      </w:r>
      <w:r>
        <w:rPr>
          <w:color w:val="231F20"/>
          <w:spacing w:val="-6"/>
          <w:sz w:val="20"/>
          <w:vertAlign w:val="baseline"/>
        </w:rPr>
        <w:t> </w:t>
      </w:r>
      <w:r>
        <w:rPr>
          <w:color w:val="231F20"/>
          <w:spacing w:val="-4"/>
          <w:sz w:val="20"/>
          <w:vertAlign w:val="baseline"/>
        </w:rPr>
        <w:t>La traite</w:t>
      </w:r>
      <w:r>
        <w:rPr>
          <w:color w:val="231F20"/>
          <w:spacing w:val="-6"/>
          <w:sz w:val="20"/>
          <w:vertAlign w:val="baseline"/>
        </w:rPr>
        <w:t> </w:t>
      </w:r>
      <w:r>
        <w:rPr>
          <w:color w:val="231F20"/>
          <w:spacing w:val="-4"/>
          <w:sz w:val="20"/>
          <w:vertAlign w:val="baseline"/>
        </w:rPr>
        <w:t>transsaharienne</w:t>
      </w:r>
      <w:r>
        <w:rPr>
          <w:color w:val="231F20"/>
          <w:spacing w:val="-6"/>
          <w:sz w:val="20"/>
          <w:vertAlign w:val="baseline"/>
        </w:rPr>
        <w:t> </w:t>
      </w:r>
      <w:r>
        <w:rPr>
          <w:color w:val="231F20"/>
          <w:spacing w:val="-4"/>
          <w:sz w:val="20"/>
          <w:vertAlign w:val="baseline"/>
        </w:rPr>
        <w:t>fait</w:t>
      </w:r>
      <w:r>
        <w:rPr>
          <w:color w:val="231F20"/>
          <w:spacing w:val="-6"/>
          <w:sz w:val="20"/>
          <w:vertAlign w:val="baseline"/>
        </w:rPr>
        <w:t> </w:t>
      </w:r>
      <w:r>
        <w:rPr>
          <w:color w:val="231F20"/>
          <w:spacing w:val="-4"/>
          <w:sz w:val="20"/>
          <w:vertAlign w:val="baseline"/>
        </w:rPr>
        <w:t>partie</w:t>
      </w:r>
      <w:r>
        <w:rPr>
          <w:color w:val="231F20"/>
          <w:spacing w:val="-6"/>
          <w:sz w:val="20"/>
          <w:vertAlign w:val="baseline"/>
        </w:rPr>
        <w:t> </w:t>
      </w:r>
      <w:r>
        <w:rPr>
          <w:color w:val="231F20"/>
          <w:spacing w:val="-4"/>
          <w:sz w:val="20"/>
          <w:vertAlign w:val="baseline"/>
        </w:rPr>
        <w:t>de ce que</w:t>
      </w:r>
      <w:r>
        <w:rPr>
          <w:color w:val="231F20"/>
          <w:spacing w:val="-5"/>
          <w:sz w:val="20"/>
          <w:vertAlign w:val="baseline"/>
        </w:rPr>
        <w:t> </w:t>
      </w:r>
      <w:r>
        <w:rPr>
          <w:color w:val="231F20"/>
          <w:spacing w:val="-4"/>
          <w:sz w:val="20"/>
          <w:vertAlign w:val="baseline"/>
        </w:rPr>
        <w:t>l'on appelle généralement</w:t>
      </w:r>
      <w:r>
        <w:rPr>
          <w:color w:val="231F20"/>
          <w:spacing w:val="-5"/>
          <w:sz w:val="20"/>
          <w:vertAlign w:val="baseline"/>
        </w:rPr>
        <w:t> </w:t>
      </w:r>
      <w:r>
        <w:rPr>
          <w:color w:val="231F20"/>
          <w:spacing w:val="-4"/>
          <w:sz w:val="20"/>
          <w:vertAlign w:val="baseline"/>
        </w:rPr>
        <w:t>la</w:t>
      </w:r>
      <w:r>
        <w:rPr>
          <w:color w:val="231F20"/>
          <w:sz w:val="20"/>
          <w:vertAlign w:val="baseline"/>
        </w:rPr>
        <w:t> </w:t>
      </w:r>
      <w:r>
        <w:rPr>
          <w:color w:val="231F20"/>
          <w:spacing w:val="-4"/>
          <w:sz w:val="20"/>
          <w:vertAlign w:val="baseline"/>
        </w:rPr>
        <w:t>traite</w:t>
      </w:r>
      <w:r>
        <w:rPr>
          <w:color w:val="231F20"/>
          <w:spacing w:val="-5"/>
          <w:sz w:val="20"/>
          <w:vertAlign w:val="baseline"/>
        </w:rPr>
        <w:t> </w:t>
      </w:r>
      <w:r>
        <w:rPr>
          <w:color w:val="231F20"/>
          <w:spacing w:val="-4"/>
          <w:sz w:val="20"/>
          <w:vertAlign w:val="baseline"/>
        </w:rPr>
        <w:t>arabe (ou traite</w:t>
      </w:r>
      <w:r>
        <w:rPr>
          <w:color w:val="231F20"/>
          <w:spacing w:val="-5"/>
          <w:sz w:val="20"/>
          <w:vertAlign w:val="baseline"/>
        </w:rPr>
        <w:t> </w:t>
      </w:r>
      <w:r>
        <w:rPr>
          <w:color w:val="231F20"/>
          <w:spacing w:val="-4"/>
          <w:sz w:val="20"/>
          <w:vertAlign w:val="baseline"/>
        </w:rPr>
        <w:t>orientale), car une</w:t>
      </w:r>
      <w:r>
        <w:rPr>
          <w:color w:val="231F20"/>
          <w:spacing w:val="-5"/>
          <w:sz w:val="20"/>
          <w:vertAlign w:val="baseline"/>
        </w:rPr>
        <w:t> </w:t>
      </w:r>
      <w:r>
        <w:rPr>
          <w:color w:val="231F20"/>
          <w:spacing w:val="-4"/>
          <w:sz w:val="20"/>
          <w:vertAlign w:val="baseline"/>
        </w:rPr>
        <w:t>grande</w:t>
      </w:r>
      <w:r>
        <w:rPr>
          <w:color w:val="231F20"/>
          <w:spacing w:val="-5"/>
          <w:sz w:val="20"/>
          <w:vertAlign w:val="baseline"/>
        </w:rPr>
        <w:t> </w:t>
      </w:r>
      <w:r>
        <w:rPr>
          <w:color w:val="231F20"/>
          <w:spacing w:val="-4"/>
          <w:sz w:val="20"/>
          <w:vertAlign w:val="baseline"/>
        </w:rPr>
        <w:t>partie</w:t>
      </w:r>
      <w:r>
        <w:rPr>
          <w:color w:val="231F20"/>
          <w:spacing w:val="-5"/>
          <w:sz w:val="20"/>
          <w:vertAlign w:val="baseline"/>
        </w:rPr>
        <w:t> </w:t>
      </w:r>
      <w:r>
        <w:rPr>
          <w:color w:val="231F20"/>
          <w:spacing w:val="-4"/>
          <w:sz w:val="20"/>
          <w:vertAlign w:val="baseline"/>
        </w:rPr>
        <w:t>de </w:t>
      </w:r>
      <w:r>
        <w:rPr>
          <w:color w:val="231F20"/>
          <w:sz w:val="20"/>
          <w:vertAlign w:val="baseline"/>
        </w:rPr>
        <w:t>ce commerce</w:t>
      </w:r>
      <w:r>
        <w:rPr>
          <w:color w:val="231F20"/>
          <w:spacing w:val="-3"/>
          <w:sz w:val="20"/>
          <w:vertAlign w:val="baseline"/>
        </w:rPr>
        <w:t> </w:t>
      </w:r>
      <w:r>
        <w:rPr>
          <w:color w:val="231F20"/>
          <w:sz w:val="20"/>
          <w:vertAlign w:val="baseline"/>
        </w:rPr>
        <w:t>était</w:t>
      </w:r>
      <w:r>
        <w:rPr>
          <w:color w:val="231F20"/>
          <w:spacing w:val="-3"/>
          <w:sz w:val="20"/>
          <w:vertAlign w:val="baseline"/>
        </w:rPr>
        <w:t> </w:t>
      </w:r>
      <w:r>
        <w:rPr>
          <w:color w:val="231F20"/>
          <w:sz w:val="20"/>
          <w:vertAlign w:val="baseline"/>
        </w:rPr>
        <w:t>organisée</w:t>
      </w:r>
      <w:r>
        <w:rPr>
          <w:color w:val="231F20"/>
          <w:spacing w:val="-3"/>
          <w:sz w:val="20"/>
          <w:vertAlign w:val="baseline"/>
        </w:rPr>
        <w:t> </w:t>
      </w:r>
      <w:r>
        <w:rPr>
          <w:color w:val="231F20"/>
          <w:sz w:val="20"/>
          <w:vertAlign w:val="baseline"/>
        </w:rPr>
        <w:t>par des</w:t>
      </w:r>
      <w:r>
        <w:rPr>
          <w:color w:val="231F20"/>
          <w:spacing w:val="-2"/>
          <w:sz w:val="20"/>
          <w:vertAlign w:val="baseline"/>
        </w:rPr>
        <w:t> </w:t>
      </w:r>
      <w:r>
        <w:rPr>
          <w:color w:val="231F20"/>
          <w:sz w:val="20"/>
          <w:vertAlign w:val="baseline"/>
        </w:rPr>
        <w:t>marchands</w:t>
      </w:r>
      <w:r>
        <w:rPr>
          <w:color w:val="231F20"/>
          <w:spacing w:val="-4"/>
          <w:sz w:val="20"/>
          <w:vertAlign w:val="baseline"/>
        </w:rPr>
        <w:t> </w:t>
      </w:r>
      <w:r>
        <w:rPr>
          <w:color w:val="231F20"/>
          <w:sz w:val="20"/>
          <w:vertAlign w:val="baseline"/>
        </w:rPr>
        <w:t>arabes.</w:t>
      </w:r>
    </w:p>
    <w:p>
      <w:pPr>
        <w:spacing w:before="0"/>
        <w:ind w:left="111" w:right="107" w:firstLine="0"/>
        <w:jc w:val="both"/>
        <w:rPr>
          <w:sz w:val="20"/>
        </w:rPr>
      </w:pPr>
      <w:r>
        <w:rPr>
          <w:color w:val="76787A"/>
          <w:spacing w:val="-2"/>
          <w:sz w:val="20"/>
          <w:vertAlign w:val="superscript"/>
        </w:rPr>
        <w:t>8</w:t>
      </w:r>
      <w:r>
        <w:rPr>
          <w:color w:val="231F20"/>
          <w:spacing w:val="-2"/>
          <w:sz w:val="20"/>
          <w:vertAlign w:val="baseline"/>
        </w:rPr>
        <w:t>Traite</w:t>
      </w:r>
      <w:r>
        <w:rPr>
          <w:color w:val="231F20"/>
          <w:spacing w:val="-7"/>
          <w:sz w:val="20"/>
          <w:vertAlign w:val="baseline"/>
        </w:rPr>
        <w:t> </w:t>
      </w:r>
      <w:r>
        <w:rPr>
          <w:color w:val="231F20"/>
          <w:spacing w:val="-2"/>
          <w:sz w:val="20"/>
          <w:vertAlign w:val="baseline"/>
        </w:rPr>
        <w:t>atlantique</w:t>
      </w:r>
      <w:r>
        <w:rPr>
          <w:color w:val="231F20"/>
          <w:spacing w:val="-11"/>
          <w:sz w:val="20"/>
          <w:vertAlign w:val="baseline"/>
        </w:rPr>
        <w:t> </w:t>
      </w:r>
      <w:r>
        <w:rPr>
          <w:color w:val="231F20"/>
          <w:spacing w:val="-2"/>
          <w:sz w:val="20"/>
          <w:vertAlign w:val="baseline"/>
        </w:rPr>
        <w:t>ou</w:t>
      </w:r>
      <w:r>
        <w:rPr>
          <w:color w:val="231F20"/>
          <w:spacing w:val="-10"/>
          <w:sz w:val="20"/>
          <w:vertAlign w:val="baseline"/>
        </w:rPr>
        <w:t> </w:t>
      </w:r>
      <w:r>
        <w:rPr>
          <w:color w:val="231F20"/>
          <w:spacing w:val="-2"/>
          <w:sz w:val="20"/>
          <w:vertAlign w:val="baseline"/>
        </w:rPr>
        <w:t>traite</w:t>
      </w:r>
      <w:r>
        <w:rPr>
          <w:color w:val="231F20"/>
          <w:spacing w:val="-11"/>
          <w:sz w:val="20"/>
          <w:vertAlign w:val="baseline"/>
        </w:rPr>
        <w:t> </w:t>
      </w:r>
      <w:r>
        <w:rPr>
          <w:color w:val="231F20"/>
          <w:spacing w:val="-2"/>
          <w:sz w:val="20"/>
          <w:vertAlign w:val="baseline"/>
        </w:rPr>
        <w:t>occidentale, est la "traite</w:t>
      </w:r>
      <w:r>
        <w:rPr>
          <w:color w:val="231F20"/>
          <w:spacing w:val="-11"/>
          <w:sz w:val="20"/>
          <w:vertAlign w:val="baseline"/>
        </w:rPr>
        <w:t> </w:t>
      </w:r>
      <w:r>
        <w:rPr>
          <w:color w:val="231F20"/>
          <w:spacing w:val="-2"/>
          <w:sz w:val="20"/>
          <w:vertAlign w:val="baseline"/>
        </w:rPr>
        <w:t>négrière" reliant</w:t>
      </w:r>
      <w:r>
        <w:rPr>
          <w:color w:val="231F20"/>
          <w:spacing w:val="-3"/>
          <w:sz w:val="20"/>
          <w:vertAlign w:val="baseline"/>
        </w:rPr>
        <w:t> </w:t>
      </w:r>
      <w:r>
        <w:rPr>
          <w:color w:val="231F20"/>
          <w:spacing w:val="-2"/>
          <w:sz w:val="20"/>
          <w:vertAlign w:val="baseline"/>
        </w:rPr>
        <w:t>l'Europe, l'Afrique </w:t>
      </w:r>
      <w:r>
        <w:rPr>
          <w:color w:val="231F20"/>
          <w:sz w:val="20"/>
          <w:vertAlign w:val="baseline"/>
        </w:rPr>
        <w:t>et</w:t>
      </w:r>
      <w:r>
        <w:rPr>
          <w:color w:val="231F20"/>
          <w:spacing w:val="-1"/>
          <w:sz w:val="20"/>
          <w:vertAlign w:val="baseline"/>
        </w:rPr>
        <w:t> </w:t>
      </w:r>
      <w:r>
        <w:rPr>
          <w:color w:val="231F20"/>
          <w:sz w:val="20"/>
          <w:vertAlign w:val="baseline"/>
        </w:rPr>
        <w:t>l'Amérique,</w:t>
      </w:r>
      <w:r>
        <w:rPr>
          <w:color w:val="231F20"/>
          <w:spacing w:val="-2"/>
          <w:sz w:val="20"/>
          <w:vertAlign w:val="baseline"/>
        </w:rPr>
        <w:t> </w:t>
      </w:r>
      <w:r>
        <w:rPr>
          <w:color w:val="231F20"/>
          <w:sz w:val="20"/>
          <w:vertAlign w:val="baseline"/>
        </w:rPr>
        <w:t>pour la</w:t>
      </w:r>
      <w:r>
        <w:rPr>
          <w:color w:val="231F20"/>
          <w:spacing w:val="-2"/>
          <w:sz w:val="20"/>
          <w:vertAlign w:val="baseline"/>
        </w:rPr>
        <w:t> </w:t>
      </w:r>
      <w:r>
        <w:rPr>
          <w:color w:val="231F20"/>
          <w:sz w:val="20"/>
          <w:vertAlign w:val="baseline"/>
        </w:rPr>
        <w:t>déportation</w:t>
      </w:r>
      <w:r>
        <w:rPr>
          <w:color w:val="231F20"/>
          <w:spacing w:val="-2"/>
          <w:sz w:val="20"/>
          <w:vertAlign w:val="baseline"/>
        </w:rPr>
        <w:t> </w:t>
      </w:r>
      <w:r>
        <w:rPr>
          <w:color w:val="231F20"/>
          <w:sz w:val="20"/>
          <w:vertAlign w:val="baseline"/>
        </w:rPr>
        <w:t>d'esclaves</w:t>
      </w:r>
      <w:r>
        <w:rPr>
          <w:color w:val="231F20"/>
          <w:spacing w:val="-4"/>
          <w:sz w:val="20"/>
          <w:vertAlign w:val="baseline"/>
        </w:rPr>
        <w:t> </w:t>
      </w:r>
      <w:r>
        <w:rPr>
          <w:color w:val="231F20"/>
          <w:sz w:val="20"/>
          <w:vertAlign w:val="baseline"/>
        </w:rPr>
        <w:t>noirs.</w:t>
      </w:r>
    </w:p>
    <w:p>
      <w:pPr>
        <w:spacing w:before="0"/>
        <w:ind w:left="111" w:right="103" w:firstLine="0"/>
        <w:jc w:val="both"/>
        <w:rPr>
          <w:sz w:val="20"/>
        </w:rPr>
      </w:pPr>
      <w:r>
        <w:rPr>
          <w:color w:val="76787A"/>
          <w:spacing w:val="-4"/>
          <w:sz w:val="20"/>
          <w:vertAlign w:val="superscript"/>
        </w:rPr>
        <w:t>9</w:t>
      </w:r>
      <w:r>
        <w:rPr>
          <w:color w:val="76787A"/>
          <w:spacing w:val="-9"/>
          <w:sz w:val="20"/>
          <w:vertAlign w:val="baseline"/>
        </w:rPr>
        <w:t> </w:t>
      </w:r>
      <w:r>
        <w:rPr>
          <w:color w:val="231F20"/>
          <w:spacing w:val="-4"/>
          <w:sz w:val="20"/>
          <w:vertAlign w:val="baseline"/>
        </w:rPr>
        <w:t>En</w:t>
      </w:r>
      <w:r>
        <w:rPr>
          <w:color w:val="231F20"/>
          <w:spacing w:val="-7"/>
          <w:sz w:val="20"/>
          <w:vertAlign w:val="baseline"/>
        </w:rPr>
        <w:t> </w:t>
      </w:r>
      <w:r>
        <w:rPr>
          <w:color w:val="231F20"/>
          <w:spacing w:val="-4"/>
          <w:sz w:val="20"/>
          <w:vertAlign w:val="baseline"/>
        </w:rPr>
        <w:t>langue Akan-baoulé, peuple de Côte</w:t>
      </w:r>
      <w:r>
        <w:rPr>
          <w:color w:val="231F20"/>
          <w:spacing w:val="-6"/>
          <w:sz w:val="20"/>
          <w:vertAlign w:val="baseline"/>
        </w:rPr>
        <w:t> </w:t>
      </w:r>
      <w:r>
        <w:rPr>
          <w:color w:val="231F20"/>
          <w:spacing w:val="-4"/>
          <w:sz w:val="20"/>
          <w:vertAlign w:val="baseline"/>
        </w:rPr>
        <w:t>d’Ivoire,</w:t>
      </w:r>
      <w:r>
        <w:rPr>
          <w:color w:val="231F20"/>
          <w:spacing w:val="-5"/>
          <w:sz w:val="20"/>
          <w:vertAlign w:val="baseline"/>
        </w:rPr>
        <w:t> </w:t>
      </w:r>
      <w:r>
        <w:rPr>
          <w:color w:val="231F20"/>
          <w:spacing w:val="-4"/>
          <w:sz w:val="20"/>
          <w:vertAlign w:val="baseline"/>
        </w:rPr>
        <w:t>blofouê est la contraction de</w:t>
      </w:r>
      <w:r>
        <w:rPr>
          <w:color w:val="231F20"/>
          <w:spacing w:val="-7"/>
          <w:sz w:val="20"/>
          <w:vertAlign w:val="baseline"/>
        </w:rPr>
        <w:t> </w:t>
      </w:r>
      <w:r>
        <w:rPr>
          <w:color w:val="231F20"/>
          <w:spacing w:val="-4"/>
          <w:sz w:val="20"/>
          <w:vertAlign w:val="baseline"/>
        </w:rPr>
        <w:t>blôlô</w:t>
      </w:r>
      <w:r>
        <w:rPr>
          <w:color w:val="231F20"/>
          <w:spacing w:val="-5"/>
          <w:sz w:val="20"/>
          <w:vertAlign w:val="baseline"/>
        </w:rPr>
        <w:t> </w:t>
      </w:r>
      <w:r>
        <w:rPr>
          <w:color w:val="231F20"/>
          <w:spacing w:val="-4"/>
          <w:sz w:val="20"/>
          <w:vertAlign w:val="baseline"/>
        </w:rPr>
        <w:t>qui </w:t>
      </w:r>
      <w:r>
        <w:rPr>
          <w:color w:val="231F20"/>
          <w:sz w:val="20"/>
          <w:vertAlign w:val="baseline"/>
        </w:rPr>
        <w:t>signifie</w:t>
      </w:r>
      <w:r>
        <w:rPr>
          <w:color w:val="231F20"/>
          <w:spacing w:val="-4"/>
          <w:sz w:val="20"/>
          <w:vertAlign w:val="baseline"/>
        </w:rPr>
        <w:t> </w:t>
      </w:r>
      <w:r>
        <w:rPr>
          <w:color w:val="231F20"/>
          <w:sz w:val="20"/>
          <w:vertAlign w:val="baseline"/>
        </w:rPr>
        <w:t>l'au-delà et fouê, personne</w:t>
      </w:r>
      <w:r>
        <w:rPr>
          <w:color w:val="231F20"/>
          <w:spacing w:val="-13"/>
          <w:sz w:val="20"/>
          <w:vertAlign w:val="baseline"/>
        </w:rPr>
        <w:t> </w:t>
      </w:r>
      <w:r>
        <w:rPr>
          <w:color w:val="231F20"/>
          <w:sz w:val="20"/>
          <w:vertAlign w:val="baseline"/>
        </w:rPr>
        <w:t>; </w:t>
      </w:r>
      <w:r>
        <w:rPr>
          <w:color w:val="48484A"/>
          <w:sz w:val="20"/>
          <w:vertAlign w:val="baseline"/>
        </w:rPr>
        <w:t>L’au-delà (</w:t>
      </w:r>
      <w:r>
        <w:rPr>
          <w:i/>
          <w:color w:val="48484A"/>
          <w:sz w:val="20"/>
          <w:vertAlign w:val="baseline"/>
        </w:rPr>
        <w:t>blôlô</w:t>
      </w:r>
      <w:r>
        <w:rPr>
          <w:color w:val="48484A"/>
          <w:sz w:val="20"/>
          <w:vertAlign w:val="baseline"/>
        </w:rPr>
        <w:t>) est le domaine des êtres supra- naturels;</w:t>
      </w:r>
      <w:r>
        <w:rPr>
          <w:color w:val="48484A"/>
          <w:spacing w:val="-12"/>
          <w:sz w:val="20"/>
          <w:vertAlign w:val="baseline"/>
        </w:rPr>
        <w:t> </w:t>
      </w:r>
      <w:r>
        <w:rPr>
          <w:color w:val="48484A"/>
          <w:sz w:val="20"/>
          <w:vertAlign w:val="baseline"/>
        </w:rPr>
        <w:t>là</w:t>
      </w:r>
      <w:r>
        <w:rPr>
          <w:color w:val="48484A"/>
          <w:spacing w:val="-12"/>
          <w:sz w:val="20"/>
          <w:vertAlign w:val="baseline"/>
        </w:rPr>
        <w:t> </w:t>
      </w:r>
      <w:r>
        <w:rPr>
          <w:color w:val="48484A"/>
          <w:sz w:val="20"/>
          <w:vertAlign w:val="baseline"/>
        </w:rPr>
        <w:t>où</w:t>
      </w:r>
      <w:r>
        <w:rPr>
          <w:color w:val="48484A"/>
          <w:spacing w:val="-11"/>
          <w:sz w:val="20"/>
          <w:vertAlign w:val="baseline"/>
        </w:rPr>
        <w:t> </w:t>
      </w:r>
      <w:r>
        <w:rPr>
          <w:color w:val="48484A"/>
          <w:sz w:val="20"/>
          <w:vertAlign w:val="baseline"/>
        </w:rPr>
        <w:t>réside</w:t>
      </w:r>
      <w:r>
        <w:rPr>
          <w:color w:val="48484A"/>
          <w:spacing w:val="-9"/>
          <w:sz w:val="20"/>
          <w:vertAlign w:val="baseline"/>
        </w:rPr>
        <w:t> </w:t>
      </w:r>
      <w:r>
        <w:rPr>
          <w:color w:val="48484A"/>
          <w:sz w:val="20"/>
          <w:vertAlign w:val="baseline"/>
        </w:rPr>
        <w:t>les</w:t>
      </w:r>
      <w:r>
        <w:rPr>
          <w:color w:val="48484A"/>
          <w:spacing w:val="-11"/>
          <w:sz w:val="20"/>
          <w:vertAlign w:val="baseline"/>
        </w:rPr>
        <w:t> </w:t>
      </w:r>
      <w:r>
        <w:rPr>
          <w:color w:val="48484A"/>
          <w:sz w:val="20"/>
          <w:vertAlign w:val="baseline"/>
        </w:rPr>
        <w:t>âmes</w:t>
      </w:r>
      <w:r>
        <w:rPr>
          <w:color w:val="48484A"/>
          <w:spacing w:val="-12"/>
          <w:sz w:val="20"/>
          <w:vertAlign w:val="baseline"/>
        </w:rPr>
        <w:t> </w:t>
      </w:r>
      <w:r>
        <w:rPr>
          <w:color w:val="48484A"/>
          <w:sz w:val="20"/>
          <w:vertAlign w:val="baseline"/>
        </w:rPr>
        <w:t>des</w:t>
      </w:r>
      <w:r>
        <w:rPr>
          <w:color w:val="48484A"/>
          <w:spacing w:val="-11"/>
          <w:sz w:val="20"/>
          <w:vertAlign w:val="baseline"/>
        </w:rPr>
        <w:t> </w:t>
      </w:r>
      <w:r>
        <w:rPr>
          <w:color w:val="48484A"/>
          <w:sz w:val="20"/>
          <w:vertAlign w:val="baseline"/>
        </w:rPr>
        <w:t>ancêtres,</w:t>
      </w:r>
      <w:r>
        <w:rPr>
          <w:color w:val="48484A"/>
          <w:spacing w:val="-12"/>
          <w:sz w:val="20"/>
          <w:vertAlign w:val="baseline"/>
        </w:rPr>
        <w:t> </w:t>
      </w:r>
      <w:r>
        <w:rPr>
          <w:color w:val="48484A"/>
          <w:sz w:val="20"/>
          <w:vertAlign w:val="baseline"/>
        </w:rPr>
        <w:t>d’où</w:t>
      </w:r>
      <w:r>
        <w:rPr>
          <w:color w:val="48484A"/>
          <w:spacing w:val="-11"/>
          <w:sz w:val="20"/>
          <w:vertAlign w:val="baseline"/>
        </w:rPr>
        <w:t> </w:t>
      </w:r>
      <w:r>
        <w:rPr>
          <w:color w:val="48484A"/>
          <w:sz w:val="20"/>
          <w:vertAlign w:val="baseline"/>
        </w:rPr>
        <w:t>viennent</w:t>
      </w:r>
      <w:r>
        <w:rPr>
          <w:color w:val="48484A"/>
          <w:spacing w:val="-10"/>
          <w:sz w:val="20"/>
          <w:vertAlign w:val="baseline"/>
        </w:rPr>
        <w:t> </w:t>
      </w:r>
      <w:r>
        <w:rPr>
          <w:color w:val="48484A"/>
          <w:sz w:val="20"/>
          <w:vertAlign w:val="baseline"/>
        </w:rPr>
        <w:t>les</w:t>
      </w:r>
      <w:r>
        <w:rPr>
          <w:color w:val="48484A"/>
          <w:spacing w:val="-12"/>
          <w:sz w:val="20"/>
          <w:vertAlign w:val="baseline"/>
        </w:rPr>
        <w:t> </w:t>
      </w:r>
      <w:r>
        <w:rPr>
          <w:color w:val="48484A"/>
          <w:sz w:val="20"/>
          <w:vertAlign w:val="baseline"/>
        </w:rPr>
        <w:t>âmes</w:t>
      </w:r>
      <w:r>
        <w:rPr>
          <w:color w:val="48484A"/>
          <w:spacing w:val="-11"/>
          <w:sz w:val="20"/>
          <w:vertAlign w:val="baseline"/>
        </w:rPr>
        <w:t> </w:t>
      </w:r>
      <w:r>
        <w:rPr>
          <w:color w:val="48484A"/>
          <w:sz w:val="20"/>
          <w:vertAlign w:val="baseline"/>
        </w:rPr>
        <w:t>à</w:t>
      </w:r>
      <w:r>
        <w:rPr>
          <w:color w:val="48484A"/>
          <w:spacing w:val="-12"/>
          <w:sz w:val="20"/>
          <w:vertAlign w:val="baseline"/>
        </w:rPr>
        <w:t> </w:t>
      </w:r>
      <w:r>
        <w:rPr>
          <w:color w:val="48484A"/>
          <w:sz w:val="20"/>
          <w:vertAlign w:val="baseline"/>
        </w:rPr>
        <w:t>la</w:t>
      </w:r>
      <w:r>
        <w:rPr>
          <w:color w:val="48484A"/>
          <w:spacing w:val="-12"/>
          <w:sz w:val="20"/>
          <w:vertAlign w:val="baseline"/>
        </w:rPr>
        <w:t> </w:t>
      </w:r>
      <w:r>
        <w:rPr>
          <w:color w:val="48484A"/>
          <w:sz w:val="20"/>
          <w:vertAlign w:val="baseline"/>
        </w:rPr>
        <w:t>naissance</w:t>
      </w:r>
      <w:r>
        <w:rPr>
          <w:color w:val="48484A"/>
          <w:spacing w:val="-12"/>
          <w:sz w:val="20"/>
          <w:vertAlign w:val="baseline"/>
        </w:rPr>
        <w:t> </w:t>
      </w:r>
      <w:r>
        <w:rPr>
          <w:color w:val="48484A"/>
          <w:sz w:val="20"/>
          <w:vertAlign w:val="baseline"/>
        </w:rPr>
        <w:t>et</w:t>
      </w:r>
      <w:r>
        <w:rPr>
          <w:color w:val="48484A"/>
          <w:spacing w:val="-10"/>
          <w:sz w:val="20"/>
          <w:vertAlign w:val="baseline"/>
        </w:rPr>
        <w:t> </w:t>
      </w:r>
      <w:r>
        <w:rPr>
          <w:color w:val="48484A"/>
          <w:sz w:val="20"/>
          <w:vertAlign w:val="baseline"/>
        </w:rPr>
        <w:t>où </w:t>
      </w:r>
      <w:r>
        <w:rPr>
          <w:color w:val="48484A"/>
          <w:spacing w:val="-4"/>
          <w:sz w:val="20"/>
          <w:vertAlign w:val="baseline"/>
        </w:rPr>
        <w:t>elles</w:t>
      </w:r>
      <w:r>
        <w:rPr>
          <w:color w:val="48484A"/>
          <w:spacing w:val="-5"/>
          <w:sz w:val="20"/>
          <w:vertAlign w:val="baseline"/>
        </w:rPr>
        <w:t> </w:t>
      </w:r>
      <w:r>
        <w:rPr>
          <w:color w:val="48484A"/>
          <w:spacing w:val="-4"/>
          <w:sz w:val="20"/>
          <w:vertAlign w:val="baseline"/>
        </w:rPr>
        <w:t>retourneront à leur mort.</w:t>
      </w:r>
      <w:r>
        <w:rPr>
          <w:color w:val="48484A"/>
          <w:spacing w:val="-5"/>
          <w:sz w:val="20"/>
          <w:vertAlign w:val="baseline"/>
        </w:rPr>
        <w:t> </w:t>
      </w:r>
      <w:r>
        <w:rPr>
          <w:color w:val="48484A"/>
          <w:spacing w:val="-4"/>
          <w:sz w:val="20"/>
          <w:vertAlign w:val="baseline"/>
        </w:rPr>
        <w:t>Après</w:t>
      </w:r>
      <w:r>
        <w:rPr>
          <w:color w:val="48484A"/>
          <w:spacing w:val="-5"/>
          <w:sz w:val="20"/>
          <w:vertAlign w:val="baseline"/>
        </w:rPr>
        <w:t> </w:t>
      </w:r>
      <w:r>
        <w:rPr>
          <w:color w:val="48484A"/>
          <w:spacing w:val="-4"/>
          <w:sz w:val="20"/>
          <w:vertAlign w:val="baseline"/>
        </w:rPr>
        <w:t>la</w:t>
      </w:r>
      <w:r>
        <w:rPr>
          <w:color w:val="48484A"/>
          <w:spacing w:val="-6"/>
          <w:sz w:val="20"/>
          <w:vertAlign w:val="baseline"/>
        </w:rPr>
        <w:t> </w:t>
      </w:r>
      <w:r>
        <w:rPr>
          <w:color w:val="48484A"/>
          <w:spacing w:val="-4"/>
          <w:sz w:val="20"/>
          <w:vertAlign w:val="baseline"/>
        </w:rPr>
        <w:t>mort, le double</w:t>
      </w:r>
      <w:r>
        <w:rPr>
          <w:color w:val="48484A"/>
          <w:spacing w:val="-6"/>
          <w:sz w:val="20"/>
          <w:vertAlign w:val="baseline"/>
        </w:rPr>
        <w:t> </w:t>
      </w:r>
      <w:r>
        <w:rPr>
          <w:color w:val="48484A"/>
          <w:spacing w:val="-4"/>
          <w:sz w:val="20"/>
          <w:vertAlign w:val="baseline"/>
        </w:rPr>
        <w:t>du</w:t>
      </w:r>
      <w:r>
        <w:rPr>
          <w:color w:val="48484A"/>
          <w:spacing w:val="-5"/>
          <w:sz w:val="20"/>
          <w:vertAlign w:val="baseline"/>
        </w:rPr>
        <w:t> </w:t>
      </w:r>
      <w:r>
        <w:rPr>
          <w:color w:val="48484A"/>
          <w:spacing w:val="-4"/>
          <w:sz w:val="20"/>
          <w:vertAlign w:val="baseline"/>
        </w:rPr>
        <w:t>défunt, son âme, retourne</w:t>
      </w:r>
      <w:r>
        <w:rPr>
          <w:color w:val="48484A"/>
          <w:spacing w:val="-6"/>
          <w:sz w:val="20"/>
          <w:vertAlign w:val="baseline"/>
        </w:rPr>
        <w:t> </w:t>
      </w:r>
      <w:r>
        <w:rPr>
          <w:color w:val="48484A"/>
          <w:spacing w:val="-4"/>
          <w:sz w:val="20"/>
          <w:vertAlign w:val="baseline"/>
        </w:rPr>
        <w:t>dans </w:t>
      </w:r>
      <w:r>
        <w:rPr>
          <w:color w:val="48484A"/>
          <w:sz w:val="20"/>
          <w:vertAlign w:val="baseline"/>
        </w:rPr>
        <w:t>le</w:t>
      </w:r>
      <w:r>
        <w:rPr>
          <w:color w:val="48484A"/>
          <w:spacing w:val="-13"/>
          <w:sz w:val="20"/>
          <w:vertAlign w:val="baseline"/>
        </w:rPr>
        <w:t> </w:t>
      </w:r>
      <w:r>
        <w:rPr>
          <w:color w:val="48484A"/>
          <w:sz w:val="20"/>
          <w:vertAlign w:val="baseline"/>
        </w:rPr>
        <w:t>monde</w:t>
      </w:r>
      <w:r>
        <w:rPr>
          <w:color w:val="48484A"/>
          <w:spacing w:val="-12"/>
          <w:sz w:val="20"/>
          <w:vertAlign w:val="baseline"/>
        </w:rPr>
        <w:t> </w:t>
      </w:r>
      <w:r>
        <w:rPr>
          <w:color w:val="48484A"/>
          <w:sz w:val="20"/>
          <w:vertAlign w:val="baseline"/>
        </w:rPr>
        <w:t>invisible,</w:t>
      </w:r>
      <w:r>
        <w:rPr>
          <w:color w:val="48484A"/>
          <w:spacing w:val="-11"/>
          <w:sz w:val="20"/>
          <w:vertAlign w:val="baseline"/>
        </w:rPr>
        <w:t> </w:t>
      </w:r>
      <w:r>
        <w:rPr>
          <w:color w:val="48484A"/>
          <w:sz w:val="20"/>
          <w:vertAlign w:val="baseline"/>
        </w:rPr>
        <w:t>le</w:t>
      </w:r>
      <w:r>
        <w:rPr>
          <w:color w:val="48484A"/>
          <w:spacing w:val="-13"/>
          <w:sz w:val="20"/>
          <w:vertAlign w:val="baseline"/>
        </w:rPr>
        <w:t> </w:t>
      </w:r>
      <w:r>
        <w:rPr>
          <w:i/>
          <w:color w:val="48484A"/>
          <w:sz w:val="20"/>
          <w:vertAlign w:val="baseline"/>
        </w:rPr>
        <w:t>blôlô</w:t>
      </w:r>
      <w:r>
        <w:rPr>
          <w:color w:val="48484A"/>
          <w:sz w:val="20"/>
          <w:vertAlign w:val="baseline"/>
        </w:rPr>
        <w:t>.</w:t>
      </w:r>
      <w:r>
        <w:rPr>
          <w:color w:val="48484A"/>
          <w:spacing w:val="-10"/>
          <w:sz w:val="20"/>
          <w:vertAlign w:val="baseline"/>
        </w:rPr>
        <w:t> </w:t>
      </w:r>
      <w:r>
        <w:rPr>
          <w:color w:val="231F20"/>
          <w:sz w:val="20"/>
          <w:vertAlign w:val="baseline"/>
        </w:rPr>
        <w:t>l’homme</w:t>
      </w:r>
      <w:r>
        <w:rPr>
          <w:color w:val="231F20"/>
          <w:spacing w:val="-10"/>
          <w:sz w:val="20"/>
          <w:vertAlign w:val="baseline"/>
        </w:rPr>
        <w:t> </w:t>
      </w:r>
      <w:r>
        <w:rPr>
          <w:color w:val="231F20"/>
          <w:sz w:val="20"/>
          <w:vertAlign w:val="baseline"/>
        </w:rPr>
        <w:t>blanc</w:t>
      </w:r>
      <w:r>
        <w:rPr>
          <w:color w:val="231F20"/>
          <w:spacing w:val="-10"/>
          <w:sz w:val="20"/>
          <w:vertAlign w:val="baseline"/>
        </w:rPr>
        <w:t> </w:t>
      </w:r>
      <w:r>
        <w:rPr>
          <w:color w:val="231F20"/>
          <w:sz w:val="20"/>
          <w:vertAlign w:val="baseline"/>
        </w:rPr>
        <w:t>viendrait</w:t>
      </w:r>
      <w:r>
        <w:rPr>
          <w:color w:val="231F20"/>
          <w:spacing w:val="-12"/>
          <w:sz w:val="20"/>
          <w:vertAlign w:val="baseline"/>
        </w:rPr>
        <w:t> </w:t>
      </w:r>
      <w:r>
        <w:rPr>
          <w:color w:val="231F20"/>
          <w:sz w:val="20"/>
          <w:vertAlign w:val="baseline"/>
        </w:rPr>
        <w:t>du</w:t>
      </w:r>
      <w:r>
        <w:rPr>
          <w:color w:val="231F20"/>
          <w:spacing w:val="-12"/>
          <w:sz w:val="20"/>
          <w:vertAlign w:val="baseline"/>
        </w:rPr>
        <w:t> </w:t>
      </w:r>
      <w:r>
        <w:rPr>
          <w:color w:val="231F20"/>
          <w:sz w:val="20"/>
          <w:vertAlign w:val="baseline"/>
        </w:rPr>
        <w:t>village</w:t>
      </w:r>
      <w:r>
        <w:rPr>
          <w:color w:val="231F20"/>
          <w:spacing w:val="-10"/>
          <w:sz w:val="20"/>
          <w:vertAlign w:val="baseline"/>
        </w:rPr>
        <w:t> </w:t>
      </w:r>
      <w:r>
        <w:rPr>
          <w:color w:val="231F20"/>
          <w:sz w:val="20"/>
          <w:vertAlign w:val="baseline"/>
        </w:rPr>
        <w:t>des</w:t>
      </w:r>
      <w:r>
        <w:rPr>
          <w:color w:val="231F20"/>
          <w:spacing w:val="-13"/>
          <w:sz w:val="20"/>
          <w:vertAlign w:val="baseline"/>
        </w:rPr>
        <w:t> </w:t>
      </w:r>
      <w:r>
        <w:rPr>
          <w:color w:val="231F20"/>
          <w:sz w:val="20"/>
          <w:vertAlign w:val="baseline"/>
        </w:rPr>
        <w:t>morts</w:t>
      </w:r>
      <w:r>
        <w:rPr>
          <w:color w:val="231F20"/>
          <w:spacing w:val="-12"/>
          <w:sz w:val="20"/>
          <w:vertAlign w:val="baseline"/>
        </w:rPr>
        <w:t> </w:t>
      </w:r>
      <w:r>
        <w:rPr>
          <w:color w:val="231F20"/>
          <w:sz w:val="20"/>
          <w:vertAlign w:val="baseline"/>
        </w:rPr>
        <w:t>d’où</w:t>
      </w:r>
      <w:r>
        <w:rPr>
          <w:color w:val="231F20"/>
          <w:spacing w:val="-12"/>
          <w:sz w:val="20"/>
          <w:vertAlign w:val="baseline"/>
        </w:rPr>
        <w:t> </w:t>
      </w:r>
      <w:r>
        <w:rPr>
          <w:color w:val="231F20"/>
          <w:sz w:val="20"/>
          <w:vertAlign w:val="baseline"/>
        </w:rPr>
        <w:t>la</w:t>
      </w:r>
      <w:r>
        <w:rPr>
          <w:color w:val="231F20"/>
          <w:spacing w:val="-12"/>
          <w:sz w:val="20"/>
          <w:vertAlign w:val="baseline"/>
        </w:rPr>
        <w:t> </w:t>
      </w:r>
      <w:r>
        <w:rPr>
          <w:color w:val="231F20"/>
          <w:sz w:val="20"/>
          <w:vertAlign w:val="baseline"/>
        </w:rPr>
        <w:t>peur du noir de cette époque face au blanc</w:t>
      </w:r>
    </w:p>
    <w:p>
      <w:pPr>
        <w:spacing w:after="0"/>
        <w:jc w:val="both"/>
        <w:rPr>
          <w:sz w:val="20"/>
        </w:rPr>
        <w:sectPr>
          <w:pgSz w:w="8790" w:h="13610"/>
          <w:pgMar w:header="0" w:footer="802" w:top="1040" w:bottom="1000" w:left="880" w:right="880"/>
        </w:sectPr>
      </w:pPr>
    </w:p>
    <w:p>
      <w:pPr>
        <w:pStyle w:val="BodyText"/>
        <w:spacing w:before="66"/>
        <w:ind w:right="104"/>
      </w:pPr>
      <w:r>
        <w:rPr>
          <w:color w:val="231F20"/>
          <w:spacing w:val="-4"/>
        </w:rPr>
        <w:t>Les</w:t>
      </w:r>
      <w:r>
        <w:rPr>
          <w:color w:val="231F20"/>
          <w:spacing w:val="-11"/>
        </w:rPr>
        <w:t> </w:t>
      </w:r>
      <w:r>
        <w:rPr>
          <w:color w:val="231F20"/>
          <w:spacing w:val="-4"/>
        </w:rPr>
        <w:t>enfants</w:t>
      </w:r>
      <w:r>
        <w:rPr>
          <w:color w:val="231F20"/>
          <w:spacing w:val="-11"/>
        </w:rPr>
        <w:t> </w:t>
      </w:r>
      <w:r>
        <w:rPr>
          <w:color w:val="231F20"/>
          <w:spacing w:val="-4"/>
        </w:rPr>
        <w:t>en</w:t>
      </w:r>
      <w:r>
        <w:rPr>
          <w:color w:val="231F20"/>
          <w:spacing w:val="-11"/>
        </w:rPr>
        <w:t> </w:t>
      </w:r>
      <w:r>
        <w:rPr>
          <w:color w:val="231F20"/>
          <w:spacing w:val="-4"/>
        </w:rPr>
        <w:t>dessous</w:t>
      </w:r>
      <w:r>
        <w:rPr>
          <w:color w:val="231F20"/>
          <w:spacing w:val="-11"/>
        </w:rPr>
        <w:t> </w:t>
      </w:r>
      <w:r>
        <w:rPr>
          <w:color w:val="231F20"/>
          <w:spacing w:val="-4"/>
        </w:rPr>
        <w:t>de</w:t>
      </w:r>
      <w:r>
        <w:rPr>
          <w:color w:val="231F20"/>
          <w:spacing w:val="-11"/>
        </w:rPr>
        <w:t> </w:t>
      </w:r>
      <w:r>
        <w:rPr>
          <w:color w:val="231F20"/>
          <w:spacing w:val="-4"/>
        </w:rPr>
        <w:t>six</w:t>
      </w:r>
      <w:r>
        <w:rPr>
          <w:color w:val="231F20"/>
          <w:spacing w:val="-11"/>
        </w:rPr>
        <w:t> </w:t>
      </w:r>
      <w:r>
        <w:rPr>
          <w:color w:val="231F20"/>
          <w:spacing w:val="-4"/>
        </w:rPr>
        <w:t>ans</w:t>
      </w:r>
      <w:r>
        <w:rPr>
          <w:color w:val="231F20"/>
          <w:spacing w:val="-11"/>
        </w:rPr>
        <w:t> </w:t>
      </w:r>
      <w:r>
        <w:rPr>
          <w:color w:val="231F20"/>
          <w:spacing w:val="-4"/>
        </w:rPr>
        <w:t>sont</w:t>
      </w:r>
      <w:r>
        <w:rPr>
          <w:color w:val="231F20"/>
          <w:spacing w:val="-11"/>
        </w:rPr>
        <w:t> </w:t>
      </w:r>
      <w:r>
        <w:rPr>
          <w:color w:val="231F20"/>
          <w:spacing w:val="-4"/>
        </w:rPr>
        <w:t>mis</w:t>
      </w:r>
      <w:r>
        <w:rPr>
          <w:color w:val="231F20"/>
          <w:spacing w:val="-9"/>
        </w:rPr>
        <w:t> </w:t>
      </w:r>
      <w:r>
        <w:rPr>
          <w:color w:val="231F20"/>
          <w:spacing w:val="-4"/>
        </w:rPr>
        <w:t>à</w:t>
      </w:r>
      <w:r>
        <w:rPr>
          <w:color w:val="231F20"/>
          <w:spacing w:val="-11"/>
        </w:rPr>
        <w:t> </w:t>
      </w:r>
      <w:r>
        <w:rPr>
          <w:color w:val="231F20"/>
          <w:spacing w:val="-4"/>
        </w:rPr>
        <w:t>mort,</w:t>
      </w:r>
      <w:r>
        <w:rPr>
          <w:color w:val="231F20"/>
          <w:spacing w:val="-11"/>
        </w:rPr>
        <w:t> </w:t>
      </w:r>
      <w:r>
        <w:rPr>
          <w:color w:val="231F20"/>
          <w:spacing w:val="-4"/>
        </w:rPr>
        <w:t>les</w:t>
      </w:r>
      <w:r>
        <w:rPr>
          <w:color w:val="231F20"/>
          <w:spacing w:val="-11"/>
        </w:rPr>
        <w:t> </w:t>
      </w:r>
      <w:r>
        <w:rPr>
          <w:color w:val="231F20"/>
          <w:spacing w:val="-4"/>
        </w:rPr>
        <w:t>vieillards</w:t>
      </w:r>
      <w:r>
        <w:rPr>
          <w:color w:val="231F20"/>
          <w:spacing w:val="-11"/>
        </w:rPr>
        <w:t> </w:t>
      </w:r>
      <w:r>
        <w:rPr>
          <w:color w:val="231F20"/>
          <w:spacing w:val="-4"/>
        </w:rPr>
        <w:t>et</w:t>
      </w:r>
      <w:r>
        <w:rPr>
          <w:color w:val="231F20"/>
          <w:spacing w:val="-11"/>
        </w:rPr>
        <w:t> </w:t>
      </w:r>
      <w:r>
        <w:rPr>
          <w:color w:val="231F20"/>
          <w:spacing w:val="-4"/>
        </w:rPr>
        <w:t>infirmes sont abandonnés, condamnés à</w:t>
      </w:r>
      <w:r>
        <w:rPr>
          <w:color w:val="231F20"/>
          <w:spacing w:val="-5"/>
        </w:rPr>
        <w:t> </w:t>
      </w:r>
      <w:r>
        <w:rPr>
          <w:color w:val="231F20"/>
          <w:spacing w:val="-4"/>
        </w:rPr>
        <w:t>mourir de faim. Les</w:t>
      </w:r>
      <w:r>
        <w:rPr>
          <w:color w:val="231F20"/>
          <w:spacing w:val="-6"/>
        </w:rPr>
        <w:t> </w:t>
      </w:r>
      <w:r>
        <w:rPr>
          <w:color w:val="231F20"/>
          <w:spacing w:val="-4"/>
        </w:rPr>
        <w:t>prisonniers, hommes, </w:t>
      </w:r>
      <w:r>
        <w:rPr>
          <w:color w:val="231F20"/>
          <w:spacing w:val="-2"/>
        </w:rPr>
        <w:t>femmes</w:t>
      </w:r>
      <w:r>
        <w:rPr>
          <w:color w:val="231F20"/>
          <w:spacing w:val="-13"/>
        </w:rPr>
        <w:t> </w:t>
      </w:r>
      <w:r>
        <w:rPr>
          <w:color w:val="231F20"/>
          <w:spacing w:val="-2"/>
        </w:rPr>
        <w:t>et</w:t>
      </w:r>
      <w:r>
        <w:rPr>
          <w:color w:val="231F20"/>
          <w:spacing w:val="-13"/>
        </w:rPr>
        <w:t> </w:t>
      </w:r>
      <w:r>
        <w:rPr>
          <w:color w:val="231F20"/>
          <w:spacing w:val="-2"/>
        </w:rPr>
        <w:t>enfants</w:t>
      </w:r>
      <w:r>
        <w:rPr>
          <w:color w:val="231F20"/>
          <w:spacing w:val="-13"/>
        </w:rPr>
        <w:t> </w:t>
      </w:r>
      <w:r>
        <w:rPr>
          <w:color w:val="231F20"/>
          <w:spacing w:val="-2"/>
        </w:rPr>
        <w:t>sont</w:t>
      </w:r>
      <w:r>
        <w:rPr>
          <w:color w:val="231F20"/>
          <w:spacing w:val="-13"/>
        </w:rPr>
        <w:t> </w:t>
      </w:r>
      <w:r>
        <w:rPr>
          <w:color w:val="231F20"/>
          <w:spacing w:val="-2"/>
        </w:rPr>
        <w:t>mis</w:t>
      </w:r>
      <w:r>
        <w:rPr>
          <w:color w:val="231F20"/>
          <w:spacing w:val="-13"/>
        </w:rPr>
        <w:t> </w:t>
      </w:r>
      <w:r>
        <w:rPr>
          <w:color w:val="231F20"/>
          <w:spacing w:val="-2"/>
        </w:rPr>
        <w:t>en</w:t>
      </w:r>
      <w:r>
        <w:rPr>
          <w:color w:val="231F20"/>
          <w:spacing w:val="-13"/>
        </w:rPr>
        <w:t> </w:t>
      </w:r>
      <w:r>
        <w:rPr>
          <w:color w:val="231F20"/>
          <w:spacing w:val="-2"/>
        </w:rPr>
        <w:t>route</w:t>
      </w:r>
      <w:r>
        <w:rPr>
          <w:color w:val="231F20"/>
          <w:spacing w:val="-13"/>
        </w:rPr>
        <w:t> </w:t>
      </w:r>
      <w:r>
        <w:rPr>
          <w:color w:val="231F20"/>
          <w:spacing w:val="-2"/>
        </w:rPr>
        <w:t>:</w:t>
      </w:r>
      <w:r>
        <w:rPr>
          <w:color w:val="231F20"/>
          <w:spacing w:val="-13"/>
        </w:rPr>
        <w:t> </w:t>
      </w:r>
      <w:r>
        <w:rPr>
          <w:color w:val="231F20"/>
          <w:spacing w:val="-2"/>
        </w:rPr>
        <w:t>les</w:t>
      </w:r>
      <w:r>
        <w:rPr>
          <w:color w:val="231F20"/>
          <w:spacing w:val="-13"/>
        </w:rPr>
        <w:t> </w:t>
      </w:r>
      <w:r>
        <w:rPr>
          <w:color w:val="231F20"/>
          <w:spacing w:val="-2"/>
        </w:rPr>
        <w:t>plus</w:t>
      </w:r>
      <w:r>
        <w:rPr>
          <w:color w:val="231F20"/>
          <w:spacing w:val="-13"/>
        </w:rPr>
        <w:t> </w:t>
      </w:r>
      <w:r>
        <w:rPr>
          <w:color w:val="231F20"/>
          <w:spacing w:val="-2"/>
        </w:rPr>
        <w:t>faibles</w:t>
      </w:r>
      <w:r>
        <w:rPr>
          <w:color w:val="231F20"/>
          <w:spacing w:val="-13"/>
        </w:rPr>
        <w:t> </w:t>
      </w:r>
      <w:r>
        <w:rPr>
          <w:color w:val="231F20"/>
          <w:spacing w:val="-2"/>
        </w:rPr>
        <w:t>sont</w:t>
      </w:r>
      <w:r>
        <w:rPr>
          <w:color w:val="231F20"/>
          <w:spacing w:val="-13"/>
        </w:rPr>
        <w:t> </w:t>
      </w:r>
      <w:r>
        <w:rPr>
          <w:color w:val="231F20"/>
          <w:spacing w:val="-2"/>
        </w:rPr>
        <w:t>stimulés</w:t>
      </w:r>
      <w:r>
        <w:rPr>
          <w:color w:val="231F20"/>
          <w:spacing w:val="-13"/>
        </w:rPr>
        <w:t> </w:t>
      </w:r>
      <w:r>
        <w:rPr>
          <w:color w:val="231F20"/>
          <w:spacing w:val="-2"/>
        </w:rPr>
        <w:t>à</w:t>
      </w:r>
      <w:r>
        <w:rPr>
          <w:color w:val="231F20"/>
          <w:spacing w:val="-13"/>
        </w:rPr>
        <w:t> </w:t>
      </w:r>
      <w:r>
        <w:rPr>
          <w:color w:val="231F20"/>
          <w:spacing w:val="-2"/>
        </w:rPr>
        <w:t>coup </w:t>
      </w:r>
      <w:r>
        <w:rPr>
          <w:color w:val="231F20"/>
        </w:rPr>
        <w:t>de</w:t>
      </w:r>
      <w:r>
        <w:rPr>
          <w:color w:val="231F20"/>
          <w:spacing w:val="-15"/>
        </w:rPr>
        <w:t> </w:t>
      </w:r>
      <w:r>
        <w:rPr>
          <w:color w:val="231F20"/>
        </w:rPr>
        <w:t>fouets,</w:t>
      </w:r>
      <w:r>
        <w:rPr>
          <w:color w:val="231F20"/>
          <w:spacing w:val="-15"/>
        </w:rPr>
        <w:t> </w:t>
      </w:r>
      <w:r>
        <w:rPr>
          <w:color w:val="231F20"/>
        </w:rPr>
        <w:t>les</w:t>
      </w:r>
      <w:r>
        <w:rPr>
          <w:color w:val="231F20"/>
          <w:spacing w:val="-15"/>
        </w:rPr>
        <w:t> </w:t>
      </w:r>
      <w:r>
        <w:rPr>
          <w:color w:val="231F20"/>
        </w:rPr>
        <w:t>plus</w:t>
      </w:r>
      <w:r>
        <w:rPr>
          <w:color w:val="231F20"/>
          <w:spacing w:val="-15"/>
        </w:rPr>
        <w:t> </w:t>
      </w:r>
      <w:r>
        <w:rPr>
          <w:color w:val="231F20"/>
        </w:rPr>
        <w:t>forts</w:t>
      </w:r>
      <w:r>
        <w:rPr>
          <w:color w:val="231F20"/>
          <w:spacing w:val="-15"/>
        </w:rPr>
        <w:t> </w:t>
      </w:r>
      <w:r>
        <w:rPr>
          <w:color w:val="231F20"/>
        </w:rPr>
        <w:t>sont</w:t>
      </w:r>
      <w:r>
        <w:rPr>
          <w:color w:val="231F20"/>
          <w:spacing w:val="-15"/>
        </w:rPr>
        <w:t> </w:t>
      </w:r>
      <w:r>
        <w:rPr>
          <w:color w:val="231F20"/>
        </w:rPr>
        <w:t>attachés</w:t>
      </w:r>
      <w:r>
        <w:rPr>
          <w:color w:val="231F20"/>
          <w:spacing w:val="-15"/>
        </w:rPr>
        <w:t> </w:t>
      </w:r>
      <w:r>
        <w:rPr>
          <w:color w:val="231F20"/>
        </w:rPr>
        <w:t>ensemble</w:t>
      </w:r>
      <w:r>
        <w:rPr>
          <w:color w:val="231F20"/>
          <w:spacing w:val="-15"/>
        </w:rPr>
        <w:t> </w:t>
      </w:r>
      <w:r>
        <w:rPr>
          <w:color w:val="231F20"/>
        </w:rPr>
        <w:t>avec</w:t>
      </w:r>
      <w:r>
        <w:rPr>
          <w:color w:val="231F20"/>
          <w:spacing w:val="-15"/>
        </w:rPr>
        <w:t> </w:t>
      </w:r>
      <w:r>
        <w:rPr>
          <w:color w:val="231F20"/>
        </w:rPr>
        <w:t>des</w:t>
      </w:r>
      <w:r>
        <w:rPr>
          <w:color w:val="231F20"/>
          <w:spacing w:val="-15"/>
        </w:rPr>
        <w:t> </w:t>
      </w:r>
      <w:r>
        <w:rPr>
          <w:color w:val="231F20"/>
        </w:rPr>
        <w:t>chaînes.</w:t>
      </w:r>
      <w:r>
        <w:rPr>
          <w:color w:val="231F20"/>
          <w:spacing w:val="-15"/>
        </w:rPr>
        <w:t> </w:t>
      </w:r>
      <w:r>
        <w:rPr>
          <w:color w:val="231F20"/>
        </w:rPr>
        <w:t>Ils</w:t>
      </w:r>
      <w:r>
        <w:rPr>
          <w:color w:val="231F20"/>
          <w:spacing w:val="-15"/>
        </w:rPr>
        <w:t> </w:t>
      </w:r>
      <w:r>
        <w:rPr>
          <w:color w:val="231F20"/>
        </w:rPr>
        <w:t>sont conduits par un noir muni d’un long fouet. Le groupe est encadré de chaque</w:t>
      </w:r>
      <w:r>
        <w:rPr>
          <w:color w:val="231F20"/>
          <w:spacing w:val="-5"/>
        </w:rPr>
        <w:t> </w:t>
      </w:r>
      <w:r>
        <w:rPr>
          <w:color w:val="231F20"/>
        </w:rPr>
        <w:t>côté</w:t>
      </w:r>
      <w:r>
        <w:rPr>
          <w:color w:val="231F20"/>
          <w:spacing w:val="-7"/>
        </w:rPr>
        <w:t> </w:t>
      </w:r>
      <w:r>
        <w:rPr>
          <w:color w:val="231F20"/>
        </w:rPr>
        <w:t>par</w:t>
      </w:r>
      <w:r>
        <w:rPr>
          <w:color w:val="231F20"/>
          <w:spacing w:val="-7"/>
        </w:rPr>
        <w:t> </w:t>
      </w:r>
      <w:r>
        <w:rPr>
          <w:color w:val="231F20"/>
        </w:rPr>
        <w:t>d’autres</w:t>
      </w:r>
      <w:r>
        <w:rPr>
          <w:color w:val="231F20"/>
          <w:spacing w:val="-7"/>
        </w:rPr>
        <w:t> </w:t>
      </w:r>
      <w:r>
        <w:rPr>
          <w:color w:val="231F20"/>
        </w:rPr>
        <w:t>noirs</w:t>
      </w:r>
      <w:r>
        <w:rPr>
          <w:color w:val="231F20"/>
          <w:spacing w:val="-6"/>
        </w:rPr>
        <w:t> </w:t>
      </w:r>
      <w:r>
        <w:rPr>
          <w:color w:val="231F20"/>
        </w:rPr>
        <w:t>portant</w:t>
      </w:r>
      <w:r>
        <w:rPr>
          <w:color w:val="231F20"/>
          <w:spacing w:val="-6"/>
        </w:rPr>
        <w:t> </w:t>
      </w:r>
      <w:r>
        <w:rPr>
          <w:color w:val="231F20"/>
        </w:rPr>
        <w:t>soit</w:t>
      </w:r>
      <w:r>
        <w:rPr>
          <w:color w:val="231F20"/>
          <w:spacing w:val="-6"/>
        </w:rPr>
        <w:t> </w:t>
      </w:r>
      <w:r>
        <w:rPr>
          <w:color w:val="231F20"/>
        </w:rPr>
        <w:t>un</w:t>
      </w:r>
      <w:r>
        <w:rPr>
          <w:color w:val="231F20"/>
          <w:spacing w:val="-7"/>
        </w:rPr>
        <w:t> </w:t>
      </w:r>
      <w:r>
        <w:rPr>
          <w:color w:val="231F20"/>
        </w:rPr>
        <w:t>arc</w:t>
      </w:r>
      <w:r>
        <w:rPr>
          <w:color w:val="231F20"/>
          <w:spacing w:val="-4"/>
        </w:rPr>
        <w:t> </w:t>
      </w:r>
      <w:r>
        <w:rPr>
          <w:color w:val="231F20"/>
        </w:rPr>
        <w:t>et</w:t>
      </w:r>
      <w:r>
        <w:rPr>
          <w:color w:val="231F20"/>
          <w:spacing w:val="-4"/>
        </w:rPr>
        <w:t> </w:t>
      </w:r>
      <w:r>
        <w:rPr>
          <w:color w:val="231F20"/>
        </w:rPr>
        <w:t>des</w:t>
      </w:r>
      <w:r>
        <w:rPr>
          <w:color w:val="231F20"/>
          <w:spacing w:val="-6"/>
        </w:rPr>
        <w:t> </w:t>
      </w:r>
      <w:r>
        <w:rPr>
          <w:color w:val="231F20"/>
        </w:rPr>
        <w:t>flèches</w:t>
      </w:r>
      <w:r>
        <w:rPr>
          <w:color w:val="231F20"/>
          <w:spacing w:val="-6"/>
        </w:rPr>
        <w:t> </w:t>
      </w:r>
      <w:r>
        <w:rPr>
          <w:color w:val="231F20"/>
        </w:rPr>
        <w:t>soit</w:t>
      </w:r>
      <w:r>
        <w:rPr>
          <w:color w:val="231F20"/>
          <w:spacing w:val="-6"/>
        </w:rPr>
        <w:t> </w:t>
      </w:r>
      <w:r>
        <w:rPr>
          <w:color w:val="231F20"/>
        </w:rPr>
        <w:t>une </w:t>
      </w:r>
      <w:r>
        <w:rPr>
          <w:color w:val="231F20"/>
          <w:spacing w:val="-2"/>
        </w:rPr>
        <w:t>lance.</w:t>
      </w:r>
    </w:p>
    <w:p>
      <w:pPr>
        <w:pStyle w:val="BodyText"/>
        <w:spacing w:before="120"/>
        <w:ind w:right="103" w:firstLine="283"/>
      </w:pPr>
      <w:r>
        <w:rPr>
          <w:color w:val="231F20"/>
        </w:rPr>
        <w:t>Morts de fatigue, le pas lourd, le regard hagard, suant la peur, les captifs pénètrent dans la cour du comptoir aménagé pour la cause. Un </w:t>
      </w:r>
      <w:r>
        <w:rPr>
          <w:color w:val="231F20"/>
          <w:spacing w:val="-4"/>
        </w:rPr>
        <w:t>examen</w:t>
      </w:r>
      <w:r>
        <w:rPr>
          <w:color w:val="231F20"/>
          <w:spacing w:val="-11"/>
        </w:rPr>
        <w:t> </w:t>
      </w:r>
      <w:r>
        <w:rPr>
          <w:color w:val="231F20"/>
          <w:spacing w:val="-4"/>
        </w:rPr>
        <w:t>minutieux</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marchandise</w:t>
      </w:r>
      <w:r>
        <w:rPr>
          <w:color w:val="231F20"/>
          <w:spacing w:val="-11"/>
        </w:rPr>
        <w:t> </w:t>
      </w:r>
      <w:r>
        <w:rPr>
          <w:color w:val="231F20"/>
          <w:spacing w:val="-4"/>
        </w:rPr>
        <w:t>commence</w:t>
      </w:r>
      <w:r>
        <w:rPr>
          <w:color w:val="231F20"/>
          <w:spacing w:val="-11"/>
        </w:rPr>
        <w:t> </w:t>
      </w:r>
      <w:r>
        <w:rPr>
          <w:color w:val="231F20"/>
          <w:spacing w:val="-4"/>
        </w:rPr>
        <w:t>en</w:t>
      </w:r>
      <w:r>
        <w:rPr>
          <w:color w:val="231F20"/>
          <w:spacing w:val="-11"/>
        </w:rPr>
        <w:t> </w:t>
      </w:r>
      <w:r>
        <w:rPr>
          <w:color w:val="231F20"/>
          <w:spacing w:val="-4"/>
        </w:rPr>
        <w:t>présence</w:t>
      </w:r>
      <w:r>
        <w:rPr>
          <w:color w:val="231F20"/>
          <w:spacing w:val="-11"/>
        </w:rPr>
        <w:t> </w:t>
      </w:r>
      <w:r>
        <w:rPr>
          <w:color w:val="231F20"/>
          <w:spacing w:val="-4"/>
        </w:rPr>
        <w:t>des</w:t>
      </w:r>
      <w:r>
        <w:rPr>
          <w:color w:val="231F20"/>
          <w:spacing w:val="-11"/>
        </w:rPr>
        <w:t> </w:t>
      </w:r>
      <w:r>
        <w:rPr>
          <w:color w:val="231F20"/>
          <w:spacing w:val="-4"/>
        </w:rPr>
        <w:t>courtiers </w:t>
      </w:r>
      <w:r>
        <w:rPr>
          <w:color w:val="231F20"/>
        </w:rPr>
        <w:t>et</w:t>
      </w:r>
      <w:r>
        <w:rPr>
          <w:color w:val="231F20"/>
          <w:spacing w:val="-15"/>
        </w:rPr>
        <w:t> </w:t>
      </w:r>
      <w:r>
        <w:rPr>
          <w:color w:val="231F20"/>
        </w:rPr>
        <w:t>des</w:t>
      </w:r>
      <w:r>
        <w:rPr>
          <w:color w:val="231F20"/>
          <w:spacing w:val="-15"/>
        </w:rPr>
        <w:t> </w:t>
      </w:r>
      <w:r>
        <w:rPr>
          <w:color w:val="231F20"/>
        </w:rPr>
        <w:t>capitaines</w:t>
      </w:r>
      <w:r>
        <w:rPr>
          <w:color w:val="231F20"/>
          <w:spacing w:val="-15"/>
        </w:rPr>
        <w:t> </w:t>
      </w:r>
      <w:r>
        <w:rPr>
          <w:color w:val="231F20"/>
        </w:rPr>
        <w:t>des</w:t>
      </w:r>
      <w:r>
        <w:rPr>
          <w:color w:val="231F20"/>
          <w:spacing w:val="-15"/>
        </w:rPr>
        <w:t> </w:t>
      </w:r>
      <w:r>
        <w:rPr>
          <w:color w:val="231F20"/>
        </w:rPr>
        <w:t>bateaux.</w:t>
      </w:r>
      <w:r>
        <w:rPr>
          <w:color w:val="231F20"/>
          <w:spacing w:val="-15"/>
        </w:rPr>
        <w:t> </w:t>
      </w:r>
      <w:r>
        <w:rPr>
          <w:color w:val="231F20"/>
        </w:rPr>
        <w:t>Les</w:t>
      </w:r>
      <w:r>
        <w:rPr>
          <w:color w:val="231F20"/>
          <w:spacing w:val="-15"/>
        </w:rPr>
        <w:t> </w:t>
      </w:r>
      <w:r>
        <w:rPr>
          <w:color w:val="231F20"/>
        </w:rPr>
        <w:t>captifs</w:t>
      </w:r>
      <w:r>
        <w:rPr>
          <w:color w:val="231F20"/>
          <w:spacing w:val="-15"/>
        </w:rPr>
        <w:t> </w:t>
      </w:r>
      <w:r>
        <w:rPr>
          <w:color w:val="231F20"/>
        </w:rPr>
        <w:t>sont</w:t>
      </w:r>
      <w:r>
        <w:rPr>
          <w:color w:val="231F20"/>
          <w:spacing w:val="-15"/>
        </w:rPr>
        <w:t> </w:t>
      </w:r>
      <w:r>
        <w:rPr>
          <w:color w:val="231F20"/>
        </w:rPr>
        <w:t>nus.</w:t>
      </w:r>
      <w:r>
        <w:rPr>
          <w:color w:val="231F20"/>
          <w:spacing w:val="-15"/>
        </w:rPr>
        <w:t> </w:t>
      </w:r>
      <w:r>
        <w:rPr>
          <w:color w:val="231F20"/>
        </w:rPr>
        <w:t>Pour</w:t>
      </w:r>
      <w:r>
        <w:rPr>
          <w:color w:val="231F20"/>
          <w:spacing w:val="-15"/>
        </w:rPr>
        <w:t> </w:t>
      </w:r>
      <w:r>
        <w:rPr>
          <w:color w:val="231F20"/>
        </w:rPr>
        <w:t>jauger</w:t>
      </w:r>
      <w:r>
        <w:rPr>
          <w:color w:val="231F20"/>
          <w:spacing w:val="-15"/>
        </w:rPr>
        <w:t> </w:t>
      </w:r>
      <w:r>
        <w:rPr>
          <w:color w:val="231F20"/>
        </w:rPr>
        <w:t>la</w:t>
      </w:r>
      <w:r>
        <w:rPr>
          <w:color w:val="231F20"/>
          <w:spacing w:val="-15"/>
        </w:rPr>
        <w:t> </w:t>
      </w:r>
      <w:r>
        <w:rPr>
          <w:color w:val="231F20"/>
        </w:rPr>
        <w:t>qualité </w:t>
      </w:r>
      <w:r>
        <w:rPr>
          <w:color w:val="231F20"/>
          <w:spacing w:val="-4"/>
        </w:rPr>
        <w:t>de</w:t>
      </w:r>
      <w:r>
        <w:rPr>
          <w:color w:val="231F20"/>
          <w:spacing w:val="-6"/>
        </w:rPr>
        <w:t> </w:t>
      </w:r>
      <w:r>
        <w:rPr>
          <w:color w:val="231F20"/>
          <w:spacing w:val="-4"/>
        </w:rPr>
        <w:t>la</w:t>
      </w:r>
      <w:r>
        <w:rPr>
          <w:color w:val="231F20"/>
          <w:spacing w:val="-3"/>
        </w:rPr>
        <w:t> </w:t>
      </w:r>
      <w:r>
        <w:rPr>
          <w:color w:val="231F20"/>
          <w:spacing w:val="-4"/>
        </w:rPr>
        <w:t>marchandise,</w:t>
      </w:r>
      <w:r>
        <w:rPr>
          <w:color w:val="231F20"/>
          <w:spacing w:val="-3"/>
        </w:rPr>
        <w:t> </w:t>
      </w:r>
      <w:r>
        <w:rPr>
          <w:color w:val="231F20"/>
          <w:spacing w:val="-4"/>
        </w:rPr>
        <w:t>on</w:t>
      </w:r>
      <w:r>
        <w:rPr>
          <w:color w:val="231F20"/>
          <w:spacing w:val="-3"/>
        </w:rPr>
        <w:t> </w:t>
      </w:r>
      <w:r>
        <w:rPr>
          <w:color w:val="231F20"/>
          <w:spacing w:val="-4"/>
        </w:rPr>
        <w:t>les</w:t>
      </w:r>
      <w:r>
        <w:rPr>
          <w:color w:val="231F20"/>
          <w:spacing w:val="-7"/>
        </w:rPr>
        <w:t> </w:t>
      </w:r>
      <w:r>
        <w:rPr>
          <w:color w:val="231F20"/>
          <w:spacing w:val="-4"/>
        </w:rPr>
        <w:t>fait</w:t>
      </w:r>
      <w:r>
        <w:rPr>
          <w:color w:val="231F20"/>
          <w:spacing w:val="-5"/>
        </w:rPr>
        <w:t> </w:t>
      </w:r>
      <w:r>
        <w:rPr>
          <w:color w:val="231F20"/>
          <w:spacing w:val="-4"/>
        </w:rPr>
        <w:t>courir,</w:t>
      </w:r>
      <w:r>
        <w:rPr>
          <w:color w:val="231F20"/>
          <w:spacing w:val="-3"/>
        </w:rPr>
        <w:t> </w:t>
      </w:r>
      <w:r>
        <w:rPr>
          <w:color w:val="231F20"/>
          <w:spacing w:val="-4"/>
        </w:rPr>
        <w:t>sauter,</w:t>
      </w:r>
      <w:r>
        <w:rPr>
          <w:color w:val="231F20"/>
          <w:spacing w:val="-3"/>
        </w:rPr>
        <w:t> </w:t>
      </w:r>
      <w:r>
        <w:rPr>
          <w:color w:val="231F20"/>
          <w:spacing w:val="-4"/>
        </w:rPr>
        <w:t>parler,</w:t>
      </w:r>
      <w:r>
        <w:rPr>
          <w:color w:val="231F20"/>
          <w:spacing w:val="-7"/>
        </w:rPr>
        <w:t> </w:t>
      </w:r>
      <w:r>
        <w:rPr>
          <w:color w:val="231F20"/>
          <w:spacing w:val="-4"/>
        </w:rPr>
        <w:t>bouger</w:t>
      </w:r>
      <w:r>
        <w:rPr>
          <w:color w:val="231F20"/>
          <w:spacing w:val="-3"/>
        </w:rPr>
        <w:t> </w:t>
      </w:r>
      <w:r>
        <w:rPr>
          <w:color w:val="231F20"/>
          <w:spacing w:val="-4"/>
        </w:rPr>
        <w:t>bras</w:t>
      </w:r>
      <w:r>
        <w:rPr>
          <w:color w:val="231F20"/>
          <w:spacing w:val="-3"/>
        </w:rPr>
        <w:t> </w:t>
      </w:r>
      <w:r>
        <w:rPr>
          <w:color w:val="231F20"/>
          <w:spacing w:val="-4"/>
        </w:rPr>
        <w:t>et</w:t>
      </w:r>
      <w:r>
        <w:rPr>
          <w:color w:val="231F20"/>
          <w:spacing w:val="-3"/>
        </w:rPr>
        <w:t> </w:t>
      </w:r>
      <w:r>
        <w:rPr>
          <w:color w:val="231F20"/>
          <w:spacing w:val="-4"/>
        </w:rPr>
        <w:t>jambes.</w:t>
      </w:r>
    </w:p>
    <w:p>
      <w:pPr>
        <w:pStyle w:val="BodyText"/>
        <w:spacing w:before="121"/>
        <w:ind w:right="108" w:firstLine="283"/>
      </w:pPr>
      <w:r>
        <w:rPr>
          <w:color w:val="231F20"/>
        </w:rPr>
        <w:t>Les</w:t>
      </w:r>
      <w:r>
        <w:rPr>
          <w:color w:val="231F20"/>
          <w:spacing w:val="-14"/>
        </w:rPr>
        <w:t> </w:t>
      </w:r>
      <w:r>
        <w:rPr>
          <w:color w:val="231F20"/>
        </w:rPr>
        <w:t>forts</w:t>
      </w:r>
      <w:r>
        <w:rPr>
          <w:color w:val="231F20"/>
          <w:spacing w:val="-15"/>
        </w:rPr>
        <w:t> </w:t>
      </w:r>
      <w:r>
        <w:rPr>
          <w:color w:val="231F20"/>
        </w:rPr>
        <w:t>bâtis</w:t>
      </w:r>
      <w:r>
        <w:rPr>
          <w:color w:val="231F20"/>
          <w:spacing w:val="-15"/>
        </w:rPr>
        <w:t> </w:t>
      </w:r>
      <w:r>
        <w:rPr>
          <w:color w:val="231F20"/>
        </w:rPr>
        <w:t>sur</w:t>
      </w:r>
      <w:r>
        <w:rPr>
          <w:color w:val="231F20"/>
          <w:spacing w:val="-15"/>
        </w:rPr>
        <w:t> </w:t>
      </w:r>
      <w:r>
        <w:rPr>
          <w:color w:val="231F20"/>
        </w:rPr>
        <w:t>des</w:t>
      </w:r>
      <w:r>
        <w:rPr>
          <w:color w:val="231F20"/>
          <w:spacing w:val="-15"/>
        </w:rPr>
        <w:t> </w:t>
      </w:r>
      <w:r>
        <w:rPr>
          <w:color w:val="231F20"/>
        </w:rPr>
        <w:t>îles</w:t>
      </w:r>
      <w:r>
        <w:rPr>
          <w:color w:val="231F20"/>
          <w:spacing w:val="-15"/>
        </w:rPr>
        <w:t> </w:t>
      </w:r>
      <w:r>
        <w:rPr>
          <w:color w:val="231F20"/>
        </w:rPr>
        <w:t>ou</w:t>
      </w:r>
      <w:r>
        <w:rPr>
          <w:color w:val="231F20"/>
          <w:spacing w:val="-15"/>
        </w:rPr>
        <w:t> </w:t>
      </w:r>
      <w:r>
        <w:rPr>
          <w:color w:val="231F20"/>
        </w:rPr>
        <w:t>presqu'îles</w:t>
      </w:r>
      <w:r>
        <w:rPr>
          <w:color w:val="231F20"/>
          <w:spacing w:val="-15"/>
        </w:rPr>
        <w:t> </w:t>
      </w:r>
      <w:r>
        <w:rPr>
          <w:color w:val="231F20"/>
        </w:rPr>
        <w:t>pour,</w:t>
      </w:r>
      <w:r>
        <w:rPr>
          <w:color w:val="231F20"/>
          <w:spacing w:val="-14"/>
        </w:rPr>
        <w:t> </w:t>
      </w:r>
      <w:r>
        <w:rPr>
          <w:color w:val="231F20"/>
        </w:rPr>
        <w:t>au</w:t>
      </w:r>
      <w:r>
        <w:rPr>
          <w:color w:val="231F20"/>
          <w:spacing w:val="-15"/>
        </w:rPr>
        <w:t> </w:t>
      </w:r>
      <w:r>
        <w:rPr>
          <w:color w:val="231F20"/>
        </w:rPr>
        <w:t>départ</w:t>
      </w:r>
      <w:r>
        <w:rPr>
          <w:color w:val="231F20"/>
          <w:spacing w:val="-14"/>
        </w:rPr>
        <w:t> </w:t>
      </w:r>
      <w:r>
        <w:rPr>
          <w:color w:val="231F20"/>
        </w:rPr>
        <w:t>entreposer</w:t>
      </w:r>
      <w:r>
        <w:rPr>
          <w:color w:val="231F20"/>
          <w:spacing w:val="-15"/>
        </w:rPr>
        <w:t> </w:t>
      </w:r>
      <w:r>
        <w:rPr>
          <w:color w:val="231F20"/>
        </w:rPr>
        <w:t>et </w:t>
      </w:r>
      <w:r>
        <w:rPr>
          <w:color w:val="231F20"/>
          <w:spacing w:val="-2"/>
        </w:rPr>
        <w:t>défendre</w:t>
      </w:r>
      <w:r>
        <w:rPr>
          <w:color w:val="231F20"/>
          <w:spacing w:val="-8"/>
        </w:rPr>
        <w:t> </w:t>
      </w:r>
      <w:r>
        <w:rPr>
          <w:color w:val="231F20"/>
          <w:spacing w:val="-2"/>
        </w:rPr>
        <w:t>les</w:t>
      </w:r>
      <w:r>
        <w:rPr>
          <w:color w:val="231F20"/>
          <w:spacing w:val="-10"/>
        </w:rPr>
        <w:t> </w:t>
      </w:r>
      <w:r>
        <w:rPr>
          <w:color w:val="231F20"/>
          <w:spacing w:val="-2"/>
        </w:rPr>
        <w:t>marchandises</w:t>
      </w:r>
      <w:r>
        <w:rPr>
          <w:color w:val="231F20"/>
          <w:spacing w:val="-8"/>
        </w:rPr>
        <w:t> </w:t>
      </w:r>
      <w:r>
        <w:rPr>
          <w:color w:val="231F20"/>
          <w:spacing w:val="-2"/>
        </w:rPr>
        <w:t>de</w:t>
      </w:r>
      <w:r>
        <w:rPr>
          <w:color w:val="231F20"/>
          <w:spacing w:val="-11"/>
        </w:rPr>
        <w:t> </w:t>
      </w:r>
      <w:r>
        <w:rPr>
          <w:color w:val="231F20"/>
          <w:spacing w:val="-2"/>
        </w:rPr>
        <w:t>traite,</w:t>
      </w:r>
      <w:r>
        <w:rPr>
          <w:color w:val="231F20"/>
          <w:spacing w:val="-10"/>
        </w:rPr>
        <w:t> </w:t>
      </w:r>
      <w:r>
        <w:rPr>
          <w:color w:val="231F20"/>
          <w:spacing w:val="-2"/>
        </w:rPr>
        <w:t>servent</w:t>
      </w:r>
      <w:r>
        <w:rPr>
          <w:color w:val="231F20"/>
          <w:spacing w:val="-8"/>
        </w:rPr>
        <w:t> </w:t>
      </w:r>
      <w:r>
        <w:rPr>
          <w:color w:val="231F20"/>
          <w:spacing w:val="-2"/>
        </w:rPr>
        <w:t>à</w:t>
      </w:r>
      <w:r>
        <w:rPr>
          <w:color w:val="231F20"/>
          <w:spacing w:val="-9"/>
        </w:rPr>
        <w:t> </w:t>
      </w:r>
      <w:r>
        <w:rPr>
          <w:color w:val="231F20"/>
          <w:spacing w:val="-2"/>
        </w:rPr>
        <w:t>emprisonner</w:t>
      </w:r>
      <w:r>
        <w:rPr>
          <w:color w:val="231F20"/>
          <w:spacing w:val="-8"/>
        </w:rPr>
        <w:t> </w:t>
      </w:r>
      <w:r>
        <w:rPr>
          <w:color w:val="231F20"/>
          <w:spacing w:val="-2"/>
        </w:rPr>
        <w:t>les</w:t>
      </w:r>
      <w:r>
        <w:rPr>
          <w:color w:val="231F20"/>
          <w:spacing w:val="-8"/>
        </w:rPr>
        <w:t> </w:t>
      </w:r>
      <w:r>
        <w:rPr>
          <w:color w:val="231F20"/>
          <w:spacing w:val="-2"/>
        </w:rPr>
        <w:t>captifs,</w:t>
      </w:r>
      <w:r>
        <w:rPr>
          <w:color w:val="231F20"/>
          <w:spacing w:val="-8"/>
        </w:rPr>
        <w:t> </w:t>
      </w:r>
      <w:r>
        <w:rPr>
          <w:color w:val="231F20"/>
          <w:spacing w:val="-2"/>
        </w:rPr>
        <w:t>en </w:t>
      </w:r>
      <w:r>
        <w:rPr>
          <w:color w:val="231F20"/>
        </w:rPr>
        <w:t>attendant</w:t>
      </w:r>
      <w:r>
        <w:rPr>
          <w:color w:val="231F20"/>
          <w:spacing w:val="-10"/>
        </w:rPr>
        <w:t> </w:t>
      </w:r>
      <w:r>
        <w:rPr>
          <w:color w:val="231F20"/>
        </w:rPr>
        <w:t>que</w:t>
      </w:r>
      <w:r>
        <w:rPr>
          <w:color w:val="231F20"/>
          <w:spacing w:val="-10"/>
        </w:rPr>
        <w:t> </w:t>
      </w:r>
      <w:r>
        <w:rPr>
          <w:color w:val="231F20"/>
        </w:rPr>
        <w:t>leur</w:t>
      </w:r>
      <w:r>
        <w:rPr>
          <w:color w:val="231F20"/>
          <w:spacing w:val="-10"/>
        </w:rPr>
        <w:t> </w:t>
      </w:r>
      <w:r>
        <w:rPr>
          <w:color w:val="231F20"/>
        </w:rPr>
        <w:t>nombre</w:t>
      </w:r>
      <w:r>
        <w:rPr>
          <w:color w:val="231F20"/>
          <w:spacing w:val="-8"/>
        </w:rPr>
        <w:t> </w:t>
      </w:r>
      <w:r>
        <w:rPr>
          <w:color w:val="231F20"/>
        </w:rPr>
        <w:t>soit</w:t>
      </w:r>
      <w:r>
        <w:rPr>
          <w:color w:val="231F20"/>
          <w:spacing w:val="-10"/>
        </w:rPr>
        <w:t> </w:t>
      </w:r>
      <w:r>
        <w:rPr>
          <w:color w:val="231F20"/>
        </w:rPr>
        <w:t>assez</w:t>
      </w:r>
      <w:r>
        <w:rPr>
          <w:color w:val="231F20"/>
          <w:spacing w:val="-10"/>
        </w:rPr>
        <w:t> </w:t>
      </w:r>
      <w:r>
        <w:rPr>
          <w:color w:val="231F20"/>
        </w:rPr>
        <w:t>pour</w:t>
      </w:r>
      <w:r>
        <w:rPr>
          <w:color w:val="231F20"/>
          <w:spacing w:val="-10"/>
        </w:rPr>
        <w:t> </w:t>
      </w:r>
      <w:r>
        <w:rPr>
          <w:color w:val="231F20"/>
        </w:rPr>
        <w:t>justifier</w:t>
      </w:r>
      <w:r>
        <w:rPr>
          <w:color w:val="231F20"/>
          <w:spacing w:val="-10"/>
        </w:rPr>
        <w:t> </w:t>
      </w:r>
      <w:r>
        <w:rPr>
          <w:color w:val="231F20"/>
        </w:rPr>
        <w:t>le</w:t>
      </w:r>
      <w:r>
        <w:rPr>
          <w:color w:val="231F20"/>
          <w:spacing w:val="-8"/>
        </w:rPr>
        <w:t> </w:t>
      </w:r>
      <w:r>
        <w:rPr>
          <w:color w:val="231F20"/>
        </w:rPr>
        <w:t>voyage</w:t>
      </w:r>
      <w:r>
        <w:rPr>
          <w:color w:val="231F20"/>
          <w:spacing w:val="-8"/>
        </w:rPr>
        <w:t> </w:t>
      </w:r>
      <w:r>
        <w:rPr>
          <w:color w:val="231F20"/>
        </w:rPr>
        <w:t>retour</w:t>
      </w:r>
      <w:r>
        <w:rPr>
          <w:color w:val="231F20"/>
          <w:spacing w:val="-10"/>
        </w:rPr>
        <w:t> </w:t>
      </w:r>
      <w:r>
        <w:rPr>
          <w:color w:val="231F20"/>
        </w:rPr>
        <w:t>vers </w:t>
      </w:r>
      <w:r>
        <w:rPr>
          <w:color w:val="231F20"/>
          <w:spacing w:val="-2"/>
        </w:rPr>
        <w:t>l'Amérique.</w:t>
      </w:r>
    </w:p>
    <w:p>
      <w:pPr>
        <w:pStyle w:val="BodyText"/>
        <w:spacing w:before="120"/>
        <w:ind w:right="105" w:firstLine="283"/>
      </w:pPr>
      <w:r>
        <w:rPr>
          <w:color w:val="231F20"/>
        </w:rPr>
        <w:t>À l’aube, les captifs retenus sont embarqués dans des canots pour rejoindre</w:t>
      </w:r>
      <w:r>
        <w:rPr>
          <w:color w:val="231F20"/>
          <w:spacing w:val="-10"/>
        </w:rPr>
        <w:t> </w:t>
      </w:r>
      <w:r>
        <w:rPr>
          <w:color w:val="231F20"/>
        </w:rPr>
        <w:t>le</w:t>
      </w:r>
      <w:r>
        <w:rPr>
          <w:color w:val="231F20"/>
          <w:spacing w:val="-10"/>
        </w:rPr>
        <w:t> </w:t>
      </w:r>
      <w:r>
        <w:rPr>
          <w:color w:val="231F20"/>
        </w:rPr>
        <w:t>bateau.</w:t>
      </w:r>
      <w:r>
        <w:rPr>
          <w:color w:val="231F20"/>
          <w:spacing w:val="-10"/>
        </w:rPr>
        <w:t> </w:t>
      </w:r>
      <w:r>
        <w:rPr>
          <w:color w:val="231F20"/>
        </w:rPr>
        <w:t>Puis</w:t>
      </w:r>
      <w:r>
        <w:rPr>
          <w:color w:val="231F20"/>
          <w:spacing w:val="-10"/>
        </w:rPr>
        <w:t> </w:t>
      </w:r>
      <w:r>
        <w:rPr>
          <w:color w:val="231F20"/>
        </w:rPr>
        <w:t>le</w:t>
      </w:r>
      <w:r>
        <w:rPr>
          <w:color w:val="231F20"/>
          <w:spacing w:val="-9"/>
        </w:rPr>
        <w:t> </w:t>
      </w:r>
      <w:r>
        <w:rPr>
          <w:color w:val="231F20"/>
        </w:rPr>
        <w:t>navire</w:t>
      </w:r>
      <w:r>
        <w:rPr>
          <w:color w:val="231F20"/>
          <w:spacing w:val="-10"/>
        </w:rPr>
        <w:t> </w:t>
      </w:r>
      <w:r>
        <w:rPr>
          <w:color w:val="231F20"/>
        </w:rPr>
        <w:t>lève</w:t>
      </w:r>
      <w:r>
        <w:rPr>
          <w:color w:val="231F20"/>
          <w:spacing w:val="-10"/>
        </w:rPr>
        <w:t> </w:t>
      </w:r>
      <w:r>
        <w:rPr>
          <w:color w:val="231F20"/>
        </w:rPr>
        <w:t>l’ancre</w:t>
      </w:r>
      <w:r>
        <w:rPr>
          <w:color w:val="231F20"/>
          <w:spacing w:val="-10"/>
        </w:rPr>
        <w:t> </w:t>
      </w:r>
      <w:r>
        <w:rPr>
          <w:color w:val="231F20"/>
        </w:rPr>
        <w:t>pour</w:t>
      </w:r>
      <w:r>
        <w:rPr>
          <w:color w:val="231F20"/>
          <w:spacing w:val="-10"/>
        </w:rPr>
        <w:t> </w:t>
      </w:r>
      <w:r>
        <w:rPr>
          <w:color w:val="231F20"/>
        </w:rPr>
        <w:t>d’autres</w:t>
      </w:r>
      <w:r>
        <w:rPr>
          <w:color w:val="231F20"/>
          <w:spacing w:val="-9"/>
        </w:rPr>
        <w:t> </w:t>
      </w:r>
      <w:r>
        <w:rPr>
          <w:color w:val="231F20"/>
        </w:rPr>
        <w:t>escales</w:t>
      </w:r>
      <w:r>
        <w:rPr>
          <w:color w:val="231F20"/>
          <w:spacing w:val="-9"/>
        </w:rPr>
        <w:t> </w:t>
      </w:r>
      <w:r>
        <w:rPr>
          <w:color w:val="231F20"/>
        </w:rPr>
        <w:t>aux fins de compléter sa marchandise humaine.</w:t>
      </w:r>
    </w:p>
    <w:p>
      <w:pPr>
        <w:pStyle w:val="BodyText"/>
        <w:spacing w:before="120"/>
        <w:ind w:right="105" w:firstLine="340"/>
      </w:pPr>
      <w:r>
        <w:rPr>
          <w:color w:val="231F20"/>
        </w:rPr>
        <w:t>« Pour éviter les conflits entre les négociants des différents pays </w:t>
      </w:r>
      <w:r>
        <w:rPr>
          <w:color w:val="231F20"/>
          <w:spacing w:val="-4"/>
        </w:rPr>
        <w:t>européens</w:t>
      </w:r>
      <w:r>
        <w:rPr>
          <w:color w:val="231F20"/>
          <w:spacing w:val="-8"/>
        </w:rPr>
        <w:t> </w:t>
      </w:r>
      <w:r>
        <w:rPr>
          <w:color w:val="231F20"/>
          <w:spacing w:val="-4"/>
        </w:rPr>
        <w:t>(…)</w:t>
      </w:r>
      <w:r>
        <w:rPr>
          <w:color w:val="231F20"/>
          <w:spacing w:val="-8"/>
        </w:rPr>
        <w:t> </w:t>
      </w:r>
      <w:r>
        <w:rPr>
          <w:color w:val="231F20"/>
          <w:spacing w:val="-4"/>
        </w:rPr>
        <w:t>ceux-ci</w:t>
      </w:r>
      <w:r>
        <w:rPr>
          <w:color w:val="231F20"/>
          <w:spacing w:val="-7"/>
        </w:rPr>
        <w:t> </w:t>
      </w:r>
      <w:r>
        <w:rPr>
          <w:color w:val="231F20"/>
          <w:spacing w:val="-4"/>
        </w:rPr>
        <w:t>ont</w:t>
      </w:r>
      <w:r>
        <w:rPr>
          <w:color w:val="231F20"/>
          <w:spacing w:val="-7"/>
        </w:rPr>
        <w:t> </w:t>
      </w:r>
      <w:r>
        <w:rPr>
          <w:color w:val="231F20"/>
          <w:spacing w:val="-4"/>
        </w:rPr>
        <w:t>divisé</w:t>
      </w:r>
      <w:r>
        <w:rPr>
          <w:color w:val="231F20"/>
          <w:spacing w:val="-7"/>
        </w:rPr>
        <w:t> </w:t>
      </w:r>
      <w:r>
        <w:rPr>
          <w:color w:val="231F20"/>
          <w:spacing w:val="-4"/>
        </w:rPr>
        <w:t>l'Afrique</w:t>
      </w:r>
      <w:r>
        <w:rPr>
          <w:color w:val="231F20"/>
          <w:spacing w:val="-8"/>
        </w:rPr>
        <w:t> </w:t>
      </w:r>
      <w:r>
        <w:rPr>
          <w:color w:val="231F20"/>
          <w:spacing w:val="-4"/>
        </w:rPr>
        <w:t>en</w:t>
      </w:r>
      <w:r>
        <w:rPr>
          <w:color w:val="231F20"/>
          <w:spacing w:val="-7"/>
        </w:rPr>
        <w:t> </w:t>
      </w:r>
      <w:r>
        <w:rPr>
          <w:color w:val="231F20"/>
          <w:spacing w:val="-4"/>
        </w:rPr>
        <w:t>régions,</w:t>
      </w:r>
      <w:r>
        <w:rPr>
          <w:color w:val="231F20"/>
          <w:spacing w:val="-8"/>
        </w:rPr>
        <w:t> </w:t>
      </w:r>
      <w:r>
        <w:rPr>
          <w:color w:val="231F20"/>
          <w:spacing w:val="-4"/>
        </w:rPr>
        <w:t>ou</w:t>
      </w:r>
      <w:r>
        <w:rPr>
          <w:color w:val="231F20"/>
          <w:spacing w:val="-8"/>
        </w:rPr>
        <w:t> </w:t>
      </w:r>
      <w:r>
        <w:rPr>
          <w:color w:val="231F20"/>
          <w:spacing w:val="-4"/>
        </w:rPr>
        <w:t>secteurs</w:t>
      </w:r>
      <w:r>
        <w:rPr>
          <w:color w:val="231F20"/>
          <w:spacing w:val="-9"/>
        </w:rPr>
        <w:t> </w:t>
      </w:r>
      <w:r>
        <w:rPr>
          <w:color w:val="231F20"/>
          <w:spacing w:val="-4"/>
        </w:rPr>
        <w:t>(…)</w:t>
      </w:r>
      <w:r>
        <w:rPr>
          <w:color w:val="231F20"/>
          <w:spacing w:val="-4"/>
          <w:vertAlign w:val="superscript"/>
        </w:rPr>
        <w:t>10</w:t>
      </w:r>
      <w:r>
        <w:rPr>
          <w:color w:val="231F20"/>
          <w:spacing w:val="-4"/>
          <w:vertAlign w:val="baseline"/>
        </w:rPr>
        <w:t>»</w:t>
      </w:r>
    </w:p>
    <w:p>
      <w:pPr>
        <w:pStyle w:val="BodyText"/>
        <w:spacing w:before="120"/>
        <w:ind w:right="104" w:firstLine="283"/>
      </w:pPr>
      <w:r>
        <w:rPr>
          <w:color w:val="231F20"/>
        </w:rPr>
        <w:t>En</w:t>
      </w:r>
      <w:r>
        <w:rPr>
          <w:color w:val="231F20"/>
          <w:spacing w:val="40"/>
        </w:rPr>
        <w:t> </w:t>
      </w:r>
      <w:r>
        <w:rPr>
          <w:color w:val="231F20"/>
        </w:rPr>
        <w:t>Afrique</w:t>
      </w:r>
      <w:r>
        <w:rPr>
          <w:color w:val="231F20"/>
          <w:spacing w:val="40"/>
        </w:rPr>
        <w:t> </w:t>
      </w:r>
      <w:r>
        <w:rPr>
          <w:color w:val="231F20"/>
        </w:rPr>
        <w:t>centrale,</w:t>
      </w:r>
      <w:r>
        <w:rPr>
          <w:color w:val="231F20"/>
          <w:spacing w:val="40"/>
        </w:rPr>
        <w:t> </w:t>
      </w:r>
      <w:r>
        <w:rPr>
          <w:color w:val="231F20"/>
        </w:rPr>
        <w:t>dans</w:t>
      </w:r>
      <w:r>
        <w:rPr>
          <w:color w:val="231F20"/>
          <w:spacing w:val="40"/>
        </w:rPr>
        <w:t> </w:t>
      </w:r>
      <w:r>
        <w:rPr>
          <w:color w:val="231F20"/>
        </w:rPr>
        <w:t>les</w:t>
      </w:r>
      <w:r>
        <w:rPr>
          <w:color w:val="231F20"/>
          <w:spacing w:val="-15"/>
        </w:rPr>
        <w:t> </w:t>
      </w:r>
      <w:r>
        <w:rPr>
          <w:color w:val="231F20"/>
        </w:rPr>
        <w:t>Royaumes</w:t>
      </w:r>
      <w:r>
        <w:rPr>
          <w:color w:val="231F20"/>
          <w:spacing w:val="40"/>
        </w:rPr>
        <w:t> </w:t>
      </w:r>
      <w:r>
        <w:rPr>
          <w:color w:val="231F20"/>
        </w:rPr>
        <w:t>du</w:t>
      </w:r>
      <w:r>
        <w:rPr>
          <w:color w:val="231F20"/>
          <w:spacing w:val="40"/>
        </w:rPr>
        <w:t> </w:t>
      </w:r>
      <w:r>
        <w:rPr>
          <w:color w:val="231F20"/>
        </w:rPr>
        <w:t>Kongo,</w:t>
      </w:r>
      <w:r>
        <w:rPr>
          <w:color w:val="231F20"/>
          <w:spacing w:val="40"/>
        </w:rPr>
        <w:t> </w:t>
      </w:r>
      <w:r>
        <w:rPr>
          <w:color w:val="231F20"/>
        </w:rPr>
        <w:t>de</w:t>
      </w:r>
      <w:r>
        <w:rPr>
          <w:color w:val="231F20"/>
          <w:spacing w:val="-13"/>
        </w:rPr>
        <w:t> </w:t>
      </w:r>
      <w:r>
        <w:rPr>
          <w:color w:val="231F20"/>
        </w:rPr>
        <w:t>Loango, de</w:t>
      </w:r>
      <w:r>
        <w:rPr>
          <w:color w:val="231F20"/>
          <w:spacing w:val="-15"/>
        </w:rPr>
        <w:t> </w:t>
      </w:r>
      <w:r>
        <w:rPr>
          <w:color w:val="231F20"/>
        </w:rPr>
        <w:t>Kakongo</w:t>
      </w:r>
      <w:r>
        <w:rPr>
          <w:color w:val="231F20"/>
          <w:spacing w:val="-15"/>
        </w:rPr>
        <w:t> </w:t>
      </w:r>
      <w:r>
        <w:rPr>
          <w:color w:val="231F20"/>
        </w:rPr>
        <w:t>et de</w:t>
      </w:r>
      <w:r>
        <w:rPr>
          <w:color w:val="231F20"/>
          <w:spacing w:val="-15"/>
        </w:rPr>
        <w:t> </w:t>
      </w:r>
      <w:r>
        <w:rPr>
          <w:color w:val="231F20"/>
        </w:rPr>
        <w:t>Ngoyo, les fleuves permettent d'accéder jusqu'à des territoires</w:t>
      </w:r>
      <w:r>
        <w:rPr>
          <w:color w:val="231F20"/>
          <w:spacing w:val="-15"/>
        </w:rPr>
        <w:t> </w:t>
      </w:r>
      <w:r>
        <w:rPr>
          <w:color w:val="231F20"/>
        </w:rPr>
        <w:t>éloignés</w:t>
      </w:r>
      <w:r>
        <w:rPr>
          <w:color w:val="231F20"/>
          <w:spacing w:val="-15"/>
        </w:rPr>
        <w:t> </w:t>
      </w:r>
      <w:r>
        <w:rPr>
          <w:color w:val="231F20"/>
        </w:rPr>
        <w:t>comme</w:t>
      </w:r>
      <w:r>
        <w:rPr>
          <w:color w:val="231F20"/>
          <w:spacing w:val="-15"/>
        </w:rPr>
        <w:t> </w:t>
      </w:r>
      <w:r>
        <w:rPr>
          <w:color w:val="231F20"/>
        </w:rPr>
        <w:t>l'Oubangui-Chari,</w:t>
      </w:r>
      <w:r>
        <w:rPr>
          <w:color w:val="231F20"/>
          <w:spacing w:val="-15"/>
        </w:rPr>
        <w:t> </w:t>
      </w:r>
      <w:r>
        <w:rPr>
          <w:color w:val="231F20"/>
        </w:rPr>
        <w:t>déjà</w:t>
      </w:r>
      <w:r>
        <w:rPr>
          <w:color w:val="231F20"/>
          <w:spacing w:val="-15"/>
        </w:rPr>
        <w:t> </w:t>
      </w:r>
      <w:r>
        <w:rPr>
          <w:color w:val="231F20"/>
        </w:rPr>
        <w:t>sous</w:t>
      </w:r>
      <w:r>
        <w:rPr>
          <w:color w:val="231F20"/>
          <w:spacing w:val="-15"/>
        </w:rPr>
        <w:t> </w:t>
      </w:r>
      <w:r>
        <w:rPr>
          <w:color w:val="231F20"/>
        </w:rPr>
        <w:t>la</w:t>
      </w:r>
      <w:r>
        <w:rPr>
          <w:color w:val="231F20"/>
          <w:spacing w:val="-14"/>
        </w:rPr>
        <w:t> </w:t>
      </w:r>
      <w:r>
        <w:rPr>
          <w:color w:val="231F20"/>
        </w:rPr>
        <w:t>pression</w:t>
      </w:r>
      <w:r>
        <w:rPr>
          <w:color w:val="231F20"/>
          <w:spacing w:val="-15"/>
        </w:rPr>
        <w:t> </w:t>
      </w:r>
      <w:r>
        <w:rPr>
          <w:color w:val="231F20"/>
        </w:rPr>
        <w:t>de</w:t>
      </w:r>
      <w:r>
        <w:rPr>
          <w:color w:val="231F20"/>
          <w:spacing w:val="-15"/>
        </w:rPr>
        <w:t> </w:t>
      </w:r>
      <w:r>
        <w:rPr>
          <w:color w:val="231F20"/>
        </w:rPr>
        <w:t>la traite orientale.</w:t>
      </w:r>
    </w:p>
    <w:p>
      <w:pPr>
        <w:pStyle w:val="BodyText"/>
        <w:spacing w:before="121"/>
        <w:ind w:right="105" w:firstLine="283"/>
      </w:pPr>
      <w:r>
        <w:rPr>
          <w:color w:val="231F20"/>
        </w:rPr>
        <w:t>Les Européens procurent des armes à feu à des courtiers locaux qui acheminent</w:t>
      </w:r>
      <w:r>
        <w:rPr>
          <w:color w:val="231F20"/>
          <w:spacing w:val="-14"/>
        </w:rPr>
        <w:t> </w:t>
      </w:r>
      <w:r>
        <w:rPr>
          <w:color w:val="231F20"/>
        </w:rPr>
        <w:t>les</w:t>
      </w:r>
      <w:r>
        <w:rPr>
          <w:color w:val="231F20"/>
          <w:spacing w:val="-8"/>
        </w:rPr>
        <w:t> </w:t>
      </w:r>
      <w:r>
        <w:rPr>
          <w:color w:val="231F20"/>
        </w:rPr>
        <w:t>esclaves</w:t>
      </w:r>
      <w:r>
        <w:rPr>
          <w:color w:val="231F20"/>
          <w:spacing w:val="-9"/>
        </w:rPr>
        <w:t> </w:t>
      </w:r>
      <w:r>
        <w:rPr>
          <w:color w:val="231F20"/>
        </w:rPr>
        <w:t>par</w:t>
      </w:r>
      <w:r>
        <w:rPr>
          <w:color w:val="231F20"/>
          <w:spacing w:val="-8"/>
        </w:rPr>
        <w:t> </w:t>
      </w:r>
      <w:r>
        <w:rPr>
          <w:color w:val="231F20"/>
        </w:rPr>
        <w:t>pirogue.</w:t>
      </w:r>
      <w:r>
        <w:rPr>
          <w:color w:val="231F20"/>
          <w:spacing w:val="-6"/>
        </w:rPr>
        <w:t> </w:t>
      </w:r>
      <w:r>
        <w:rPr>
          <w:color w:val="231F20"/>
        </w:rPr>
        <w:t>Les</w:t>
      </w:r>
      <w:r>
        <w:rPr>
          <w:color w:val="231F20"/>
          <w:spacing w:val="-7"/>
        </w:rPr>
        <w:t> </w:t>
      </w:r>
      <w:r>
        <w:rPr>
          <w:color w:val="231F20"/>
        </w:rPr>
        <w:t>cours</w:t>
      </w:r>
      <w:r>
        <w:rPr>
          <w:color w:val="231F20"/>
          <w:spacing w:val="-7"/>
        </w:rPr>
        <w:t> </w:t>
      </w:r>
      <w:r>
        <w:rPr>
          <w:color w:val="231F20"/>
        </w:rPr>
        <w:t>d'eau</w:t>
      </w:r>
      <w:r>
        <w:rPr>
          <w:color w:val="231F20"/>
          <w:spacing w:val="-15"/>
        </w:rPr>
        <w:t> </w:t>
      </w:r>
      <w:r>
        <w:rPr>
          <w:color w:val="231F20"/>
        </w:rPr>
        <w:t>sangha,</w:t>
      </w:r>
      <w:r>
        <w:rPr>
          <w:color w:val="231F20"/>
          <w:spacing w:val="-9"/>
        </w:rPr>
        <w:t> </w:t>
      </w:r>
      <w:r>
        <w:rPr>
          <w:color w:val="231F20"/>
        </w:rPr>
        <w:t>oubangui, et</w:t>
      </w:r>
      <w:r>
        <w:rPr>
          <w:color w:val="231F20"/>
          <w:spacing w:val="-9"/>
        </w:rPr>
        <w:t> </w:t>
      </w:r>
      <w:r>
        <w:rPr>
          <w:color w:val="231F20"/>
        </w:rPr>
        <w:t>congo,</w:t>
      </w:r>
      <w:r>
        <w:rPr>
          <w:color w:val="231F20"/>
          <w:spacing w:val="-9"/>
        </w:rPr>
        <w:t> </w:t>
      </w:r>
      <w:r>
        <w:rPr>
          <w:color w:val="231F20"/>
        </w:rPr>
        <w:t>constituent</w:t>
      </w:r>
      <w:r>
        <w:rPr>
          <w:color w:val="231F20"/>
          <w:spacing w:val="-9"/>
        </w:rPr>
        <w:t> </w:t>
      </w:r>
      <w:r>
        <w:rPr>
          <w:color w:val="231F20"/>
        </w:rPr>
        <w:t>également</w:t>
      </w:r>
      <w:r>
        <w:rPr>
          <w:color w:val="231F20"/>
          <w:spacing w:val="-9"/>
        </w:rPr>
        <w:t> </w:t>
      </w:r>
      <w:r>
        <w:rPr>
          <w:color w:val="231F20"/>
        </w:rPr>
        <w:t>des</w:t>
      </w:r>
      <w:r>
        <w:rPr>
          <w:color w:val="231F20"/>
          <w:spacing w:val="-9"/>
        </w:rPr>
        <w:t> </w:t>
      </w:r>
      <w:r>
        <w:rPr>
          <w:color w:val="231F20"/>
        </w:rPr>
        <w:t>voies</w:t>
      </w:r>
      <w:r>
        <w:rPr>
          <w:color w:val="231F20"/>
          <w:spacing w:val="-9"/>
        </w:rPr>
        <w:t> </w:t>
      </w:r>
      <w:r>
        <w:rPr>
          <w:color w:val="231F20"/>
        </w:rPr>
        <w:t>d'acheminement</w:t>
      </w:r>
      <w:r>
        <w:rPr>
          <w:color w:val="231F20"/>
          <w:spacing w:val="-11"/>
        </w:rPr>
        <w:t> </w:t>
      </w:r>
      <w:r>
        <w:rPr>
          <w:color w:val="231F20"/>
        </w:rPr>
        <w:t>des</w:t>
      </w:r>
      <w:r>
        <w:rPr>
          <w:color w:val="231F20"/>
          <w:spacing w:val="-9"/>
        </w:rPr>
        <w:t> </w:t>
      </w:r>
      <w:r>
        <w:rPr>
          <w:color w:val="231F20"/>
        </w:rPr>
        <w:t>captifs.</w:t>
      </w:r>
    </w:p>
    <w:p>
      <w:pPr>
        <w:pStyle w:val="BodyText"/>
        <w:spacing w:before="120"/>
        <w:ind w:right="106" w:firstLine="283"/>
      </w:pPr>
      <w:r>
        <w:rPr>
          <w:color w:val="231F20"/>
        </w:rPr>
        <w:t>Donnant lieu à une «chasse à l'homme», la traite négrière entraîne disette et famine et de nombreux morts. Les guerres menées par des populations pour avoir beaucoup de captifs conduisent à des déplacements</w:t>
      </w:r>
      <w:r>
        <w:rPr>
          <w:color w:val="231F20"/>
          <w:spacing w:val="-9"/>
        </w:rPr>
        <w:t> </w:t>
      </w:r>
      <w:r>
        <w:rPr>
          <w:color w:val="231F20"/>
        </w:rPr>
        <w:t>de</w:t>
      </w:r>
      <w:r>
        <w:rPr>
          <w:color w:val="231F20"/>
          <w:spacing w:val="-12"/>
        </w:rPr>
        <w:t> </w:t>
      </w:r>
      <w:r>
        <w:rPr>
          <w:color w:val="231F20"/>
        </w:rPr>
        <w:t>populations,</w:t>
      </w:r>
      <w:r>
        <w:rPr>
          <w:color w:val="231F20"/>
          <w:spacing w:val="-12"/>
        </w:rPr>
        <w:t> </w:t>
      </w:r>
      <w:r>
        <w:rPr>
          <w:color w:val="231F20"/>
        </w:rPr>
        <w:t>toujours</w:t>
      </w:r>
      <w:r>
        <w:rPr>
          <w:color w:val="231F20"/>
          <w:spacing w:val="-9"/>
        </w:rPr>
        <w:t> </w:t>
      </w:r>
      <w:r>
        <w:rPr>
          <w:color w:val="231F20"/>
        </w:rPr>
        <w:t>plus</w:t>
      </w:r>
      <w:r>
        <w:rPr>
          <w:color w:val="231F20"/>
          <w:spacing w:val="-12"/>
        </w:rPr>
        <w:t> </w:t>
      </w:r>
      <w:r>
        <w:rPr>
          <w:color w:val="231F20"/>
        </w:rPr>
        <w:t>loin,</w:t>
      </w:r>
      <w:r>
        <w:rPr>
          <w:color w:val="231F20"/>
          <w:spacing w:val="-11"/>
        </w:rPr>
        <w:t> </w:t>
      </w:r>
      <w:r>
        <w:rPr>
          <w:color w:val="231F20"/>
        </w:rPr>
        <w:t>à</w:t>
      </w:r>
      <w:r>
        <w:rPr>
          <w:color w:val="231F20"/>
          <w:spacing w:val="-13"/>
        </w:rPr>
        <w:t> </w:t>
      </w:r>
      <w:r>
        <w:rPr>
          <w:color w:val="231F20"/>
        </w:rPr>
        <w:t>l’intérieur</w:t>
      </w:r>
      <w:r>
        <w:rPr>
          <w:color w:val="231F20"/>
          <w:spacing w:val="-12"/>
        </w:rPr>
        <w:t> </w:t>
      </w:r>
      <w:r>
        <w:rPr>
          <w:color w:val="231F20"/>
        </w:rPr>
        <w:t>des</w:t>
      </w:r>
      <w:r>
        <w:rPr>
          <w:color w:val="231F20"/>
          <w:spacing w:val="-11"/>
        </w:rPr>
        <w:t> </w:t>
      </w:r>
      <w:r>
        <w:rPr>
          <w:color w:val="231F20"/>
        </w:rPr>
        <w:t>terres.</w:t>
      </w:r>
    </w:p>
    <w:p>
      <w:pPr>
        <w:pStyle w:val="BodyText"/>
        <w:spacing w:before="217"/>
        <w:ind w:left="0"/>
        <w:jc w:val="left"/>
        <w:rPr>
          <w:sz w:val="20"/>
        </w:rPr>
      </w:pPr>
      <w:r>
        <w:rPr/>
        <mc:AlternateContent>
          <mc:Choice Requires="wps">
            <w:drawing>
              <wp:anchor distT="0" distB="0" distL="0" distR="0" allowOverlap="1" layoutInCell="1" locked="0" behindDoc="1" simplePos="0" relativeHeight="487591424">
                <wp:simplePos x="0" y="0"/>
                <wp:positionH relativeFrom="page">
                  <wp:posOffset>629907</wp:posOffset>
                </wp:positionH>
                <wp:positionV relativeFrom="paragraph">
                  <wp:posOffset>299624</wp:posOffset>
                </wp:positionV>
                <wp:extent cx="1829435" cy="952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3.592501pt;width:144.020pt;height:.72pt;mso-position-horizontal-relative:page;mso-position-vertical-relative:paragraph;z-index:-15725056;mso-wrap-distance-left:0;mso-wrap-distance-right:0" id="docshape16" filled="true" fillcolor="#231f20" stroked="false">
                <v:fill type="solid"/>
                <w10:wrap type="topAndBottom"/>
              </v:rect>
            </w:pict>
          </mc:Fallback>
        </mc:AlternateContent>
      </w:r>
    </w:p>
    <w:p>
      <w:pPr>
        <w:spacing w:before="91"/>
        <w:ind w:left="111" w:right="104" w:firstLine="0"/>
        <w:jc w:val="both"/>
        <w:rPr>
          <w:sz w:val="20"/>
        </w:rPr>
      </w:pPr>
      <w:r>
        <w:rPr>
          <w:color w:val="231F20"/>
          <w:spacing w:val="-4"/>
          <w:sz w:val="20"/>
          <w:vertAlign w:val="superscript"/>
        </w:rPr>
        <w:t>10</w:t>
      </w:r>
      <w:r>
        <w:rPr>
          <w:color w:val="231F20"/>
          <w:spacing w:val="-4"/>
          <w:sz w:val="20"/>
          <w:vertAlign w:val="baseline"/>
        </w:rPr>
        <w:t>Claude</w:t>
      </w:r>
      <w:r>
        <w:rPr>
          <w:color w:val="231F20"/>
          <w:spacing w:val="-5"/>
          <w:sz w:val="20"/>
          <w:vertAlign w:val="baseline"/>
        </w:rPr>
        <w:t> </w:t>
      </w:r>
      <w:r>
        <w:rPr>
          <w:color w:val="231F20"/>
          <w:spacing w:val="-4"/>
          <w:sz w:val="20"/>
          <w:vertAlign w:val="baseline"/>
        </w:rPr>
        <w:t>Fauque</w:t>
      </w:r>
      <w:r>
        <w:rPr>
          <w:color w:val="231F20"/>
          <w:spacing w:val="-5"/>
          <w:sz w:val="20"/>
          <w:vertAlign w:val="baseline"/>
        </w:rPr>
        <w:t> </w:t>
      </w:r>
      <w:r>
        <w:rPr>
          <w:color w:val="231F20"/>
          <w:spacing w:val="-4"/>
          <w:sz w:val="20"/>
          <w:vertAlign w:val="baseline"/>
        </w:rPr>
        <w:t>, Marie-Josée Thiel,</w:t>
      </w:r>
      <w:r>
        <w:rPr>
          <w:color w:val="231F20"/>
          <w:spacing w:val="-5"/>
          <w:sz w:val="20"/>
          <w:vertAlign w:val="baseline"/>
        </w:rPr>
        <w:t> </w:t>
      </w:r>
      <w:r>
        <w:rPr>
          <w:i/>
          <w:color w:val="231F20"/>
          <w:spacing w:val="-4"/>
          <w:sz w:val="20"/>
          <w:vertAlign w:val="baseline"/>
        </w:rPr>
        <w:t>Les routes de l’esclavage.</w:t>
      </w:r>
      <w:r>
        <w:rPr>
          <w:i/>
          <w:color w:val="231F20"/>
          <w:sz w:val="20"/>
          <w:vertAlign w:val="baseline"/>
        </w:rPr>
        <w:t> </w:t>
      </w:r>
      <w:r>
        <w:rPr>
          <w:i/>
          <w:color w:val="231F20"/>
          <w:spacing w:val="-4"/>
          <w:sz w:val="20"/>
          <w:vertAlign w:val="baseline"/>
        </w:rPr>
        <w:t>Histoire</w:t>
      </w:r>
      <w:r>
        <w:rPr>
          <w:i/>
          <w:color w:val="231F20"/>
          <w:spacing w:val="-5"/>
          <w:sz w:val="20"/>
          <w:vertAlign w:val="baseline"/>
        </w:rPr>
        <w:t> </w:t>
      </w:r>
      <w:r>
        <w:rPr>
          <w:i/>
          <w:color w:val="231F20"/>
          <w:spacing w:val="-4"/>
          <w:sz w:val="20"/>
          <w:vertAlign w:val="baseline"/>
        </w:rPr>
        <w:t>d’un très</w:t>
      </w:r>
      <w:r>
        <w:rPr>
          <w:i/>
          <w:color w:val="231F20"/>
          <w:spacing w:val="-6"/>
          <w:sz w:val="20"/>
          <w:vertAlign w:val="baseline"/>
        </w:rPr>
        <w:t> </w:t>
      </w:r>
      <w:r>
        <w:rPr>
          <w:i/>
          <w:color w:val="231F20"/>
          <w:spacing w:val="-4"/>
          <w:sz w:val="20"/>
          <w:vertAlign w:val="baseline"/>
        </w:rPr>
        <w:t>grand</w:t>
      </w:r>
      <w:r>
        <w:rPr>
          <w:i/>
          <w:color w:val="231F20"/>
          <w:spacing w:val="-4"/>
          <w:sz w:val="20"/>
          <w:vertAlign w:val="baseline"/>
        </w:rPr>
        <w:t> </w:t>
      </w:r>
      <w:r>
        <w:rPr>
          <w:i/>
          <w:color w:val="231F20"/>
          <w:spacing w:val="-2"/>
          <w:sz w:val="20"/>
          <w:vertAlign w:val="baseline"/>
        </w:rPr>
        <w:t>dérangement,</w:t>
      </w:r>
      <w:r>
        <w:rPr>
          <w:i/>
          <w:color w:val="231F20"/>
          <w:spacing w:val="-9"/>
          <w:sz w:val="20"/>
          <w:vertAlign w:val="baseline"/>
        </w:rPr>
        <w:t> </w:t>
      </w:r>
      <w:r>
        <w:rPr>
          <w:color w:val="231F20"/>
          <w:spacing w:val="-2"/>
          <w:sz w:val="20"/>
          <w:vertAlign w:val="baseline"/>
        </w:rPr>
        <w:t>Olivier</w:t>
      </w:r>
      <w:r>
        <w:rPr>
          <w:color w:val="231F20"/>
          <w:spacing w:val="-8"/>
          <w:sz w:val="20"/>
          <w:vertAlign w:val="baseline"/>
        </w:rPr>
        <w:t> </w:t>
      </w:r>
      <w:r>
        <w:rPr>
          <w:color w:val="231F20"/>
          <w:spacing w:val="-2"/>
          <w:sz w:val="20"/>
          <w:vertAlign w:val="baseline"/>
        </w:rPr>
        <w:t>Petre-Grenouilleau,</w:t>
      </w:r>
      <w:r>
        <w:rPr>
          <w:color w:val="231F20"/>
          <w:spacing w:val="-8"/>
          <w:sz w:val="20"/>
          <w:vertAlign w:val="baseline"/>
        </w:rPr>
        <w:t> </w:t>
      </w:r>
      <w:r>
        <w:rPr>
          <w:i/>
          <w:color w:val="231F20"/>
          <w:spacing w:val="-2"/>
          <w:sz w:val="20"/>
          <w:vertAlign w:val="baseline"/>
        </w:rPr>
        <w:t>Les</w:t>
      </w:r>
      <w:r>
        <w:rPr>
          <w:i/>
          <w:color w:val="231F20"/>
          <w:spacing w:val="-10"/>
          <w:sz w:val="20"/>
          <w:vertAlign w:val="baseline"/>
        </w:rPr>
        <w:t> </w:t>
      </w:r>
      <w:r>
        <w:rPr>
          <w:i/>
          <w:color w:val="231F20"/>
          <w:spacing w:val="-2"/>
          <w:sz w:val="20"/>
          <w:vertAlign w:val="baseline"/>
        </w:rPr>
        <w:t>traites</w:t>
      </w:r>
      <w:r>
        <w:rPr>
          <w:i/>
          <w:color w:val="231F20"/>
          <w:spacing w:val="-11"/>
          <w:sz w:val="20"/>
          <w:vertAlign w:val="baseline"/>
        </w:rPr>
        <w:t> </w:t>
      </w:r>
      <w:r>
        <w:rPr>
          <w:i/>
          <w:color w:val="231F20"/>
          <w:spacing w:val="-2"/>
          <w:sz w:val="20"/>
          <w:vertAlign w:val="baseline"/>
        </w:rPr>
        <w:t>négrières,</w:t>
      </w:r>
      <w:r>
        <w:rPr>
          <w:i/>
          <w:color w:val="231F20"/>
          <w:spacing w:val="-8"/>
          <w:sz w:val="20"/>
          <w:vertAlign w:val="baseline"/>
        </w:rPr>
        <w:t> </w:t>
      </w:r>
      <w:r>
        <w:rPr>
          <w:i/>
          <w:color w:val="231F20"/>
          <w:spacing w:val="-2"/>
          <w:sz w:val="20"/>
          <w:vertAlign w:val="baseline"/>
        </w:rPr>
        <w:t>essai</w:t>
      </w:r>
      <w:r>
        <w:rPr>
          <w:i/>
          <w:color w:val="231F20"/>
          <w:spacing w:val="-11"/>
          <w:sz w:val="20"/>
          <w:vertAlign w:val="baseline"/>
        </w:rPr>
        <w:t> </w:t>
      </w:r>
      <w:r>
        <w:rPr>
          <w:i/>
          <w:color w:val="231F20"/>
          <w:spacing w:val="-2"/>
          <w:sz w:val="20"/>
          <w:vertAlign w:val="baseline"/>
        </w:rPr>
        <w:t>d’histoire</w:t>
      </w:r>
      <w:r>
        <w:rPr>
          <w:i/>
          <w:color w:val="231F20"/>
          <w:spacing w:val="-8"/>
          <w:sz w:val="20"/>
          <w:vertAlign w:val="baseline"/>
        </w:rPr>
        <w:t> </w:t>
      </w:r>
      <w:r>
        <w:rPr>
          <w:i/>
          <w:color w:val="231F20"/>
          <w:spacing w:val="-2"/>
          <w:sz w:val="20"/>
          <w:vertAlign w:val="baseline"/>
        </w:rPr>
        <w:t>globale</w:t>
      </w:r>
      <w:r>
        <w:rPr>
          <w:i/>
          <w:color w:val="231F20"/>
          <w:spacing w:val="-2"/>
          <w:sz w:val="20"/>
          <w:vertAlign w:val="baseline"/>
        </w:rPr>
        <w:t> </w:t>
      </w:r>
      <w:r>
        <w:rPr>
          <w:color w:val="231F20"/>
          <w:sz w:val="20"/>
          <w:vertAlign w:val="baseline"/>
        </w:rPr>
        <w:t>Paris,</w:t>
      </w:r>
      <w:r>
        <w:rPr>
          <w:color w:val="231F20"/>
          <w:spacing w:val="-1"/>
          <w:sz w:val="20"/>
          <w:vertAlign w:val="baseline"/>
        </w:rPr>
        <w:t> </w:t>
      </w:r>
      <w:r>
        <w:rPr>
          <w:color w:val="231F20"/>
          <w:sz w:val="20"/>
          <w:vertAlign w:val="baseline"/>
        </w:rPr>
        <w:t>Gallimard,</w:t>
      </w:r>
    </w:p>
    <w:p>
      <w:pPr>
        <w:spacing w:before="2"/>
        <w:ind w:left="111" w:right="0" w:firstLine="0"/>
        <w:jc w:val="both"/>
        <w:rPr>
          <w:sz w:val="20"/>
        </w:rPr>
      </w:pPr>
      <w:r>
        <w:rPr>
          <w:color w:val="231F20"/>
          <w:spacing w:val="-4"/>
          <w:sz w:val="20"/>
        </w:rPr>
        <w:t>Luce-Marie Albigès,</w:t>
      </w:r>
      <w:r>
        <w:rPr>
          <w:color w:val="231F20"/>
          <w:spacing w:val="-2"/>
          <w:sz w:val="20"/>
        </w:rPr>
        <w:t> </w:t>
      </w:r>
      <w:r>
        <w:rPr>
          <w:color w:val="231F20"/>
          <w:spacing w:val="-4"/>
          <w:sz w:val="20"/>
        </w:rPr>
        <w:t>Les</w:t>
      </w:r>
      <w:r>
        <w:rPr>
          <w:color w:val="231F20"/>
          <w:spacing w:val="-2"/>
          <w:sz w:val="20"/>
        </w:rPr>
        <w:t> </w:t>
      </w:r>
      <w:r>
        <w:rPr>
          <w:color w:val="231F20"/>
          <w:spacing w:val="-4"/>
          <w:sz w:val="20"/>
        </w:rPr>
        <w:t>européens</w:t>
      </w:r>
      <w:r>
        <w:rPr>
          <w:color w:val="231F20"/>
          <w:spacing w:val="-3"/>
          <w:sz w:val="20"/>
        </w:rPr>
        <w:t> </w:t>
      </w:r>
      <w:r>
        <w:rPr>
          <w:color w:val="231F20"/>
          <w:spacing w:val="-4"/>
          <w:sz w:val="20"/>
        </w:rPr>
        <w:t>sur</w:t>
      </w:r>
      <w:r>
        <w:rPr>
          <w:color w:val="231F20"/>
          <w:spacing w:val="-2"/>
          <w:sz w:val="20"/>
        </w:rPr>
        <w:t> </w:t>
      </w:r>
      <w:r>
        <w:rPr>
          <w:color w:val="231F20"/>
          <w:spacing w:val="-4"/>
          <w:sz w:val="20"/>
        </w:rPr>
        <w:t>les</w:t>
      </w:r>
      <w:r>
        <w:rPr>
          <w:color w:val="231F20"/>
          <w:spacing w:val="-3"/>
          <w:sz w:val="20"/>
        </w:rPr>
        <w:t> </w:t>
      </w:r>
      <w:r>
        <w:rPr>
          <w:color w:val="231F20"/>
          <w:spacing w:val="-4"/>
          <w:sz w:val="20"/>
        </w:rPr>
        <w:t>côtes d’Afrique</w:t>
      </w:r>
      <w:r>
        <w:rPr>
          <w:color w:val="231F20"/>
          <w:spacing w:val="-3"/>
          <w:sz w:val="20"/>
        </w:rPr>
        <w:t> </w:t>
      </w:r>
      <w:r>
        <w:rPr>
          <w:color w:val="231F20"/>
          <w:spacing w:val="-4"/>
          <w:sz w:val="20"/>
        </w:rPr>
        <w:t>à</w:t>
      </w:r>
      <w:r>
        <w:rPr>
          <w:color w:val="231F20"/>
          <w:sz w:val="20"/>
        </w:rPr>
        <w:t> </w:t>
      </w:r>
      <w:r>
        <w:rPr>
          <w:color w:val="231F20"/>
          <w:spacing w:val="-4"/>
          <w:sz w:val="20"/>
        </w:rPr>
        <w:t>la fin</w:t>
      </w:r>
      <w:r>
        <w:rPr>
          <w:color w:val="231F20"/>
          <w:spacing w:val="-2"/>
          <w:sz w:val="20"/>
        </w:rPr>
        <w:t> </w:t>
      </w:r>
      <w:r>
        <w:rPr>
          <w:color w:val="231F20"/>
          <w:spacing w:val="-4"/>
          <w:sz w:val="20"/>
        </w:rPr>
        <w:t>du</w:t>
      </w:r>
      <w:r>
        <w:rPr>
          <w:color w:val="231F20"/>
          <w:spacing w:val="-3"/>
          <w:sz w:val="20"/>
        </w:rPr>
        <w:t> </w:t>
      </w:r>
      <w:r>
        <w:rPr>
          <w:color w:val="231F20"/>
          <w:spacing w:val="-4"/>
          <w:sz w:val="20"/>
        </w:rPr>
        <w:t>XVIIIe siècle</w:t>
      </w:r>
    </w:p>
    <w:p>
      <w:pPr>
        <w:spacing w:after="0"/>
        <w:jc w:val="both"/>
        <w:rPr>
          <w:sz w:val="20"/>
        </w:rPr>
        <w:sectPr>
          <w:pgSz w:w="8790" w:h="13610"/>
          <w:pgMar w:header="0" w:footer="802" w:top="1060" w:bottom="1000" w:left="880" w:right="880"/>
        </w:sectPr>
      </w:pPr>
    </w:p>
    <w:p>
      <w:pPr>
        <w:pStyle w:val="BodyText"/>
        <w:spacing w:before="66"/>
        <w:ind w:right="105" w:firstLine="283"/>
      </w:pPr>
      <w:r>
        <w:rPr>
          <w:color w:val="231F20"/>
        </w:rPr>
        <w:t>Des</w:t>
      </w:r>
      <w:r>
        <w:rPr>
          <w:color w:val="231F20"/>
          <w:spacing w:val="-6"/>
        </w:rPr>
        <w:t> </w:t>
      </w:r>
      <w:r>
        <w:rPr>
          <w:color w:val="231F20"/>
        </w:rPr>
        <w:t>rois,</w:t>
      </w:r>
      <w:r>
        <w:rPr>
          <w:color w:val="231F20"/>
          <w:spacing w:val="-5"/>
        </w:rPr>
        <w:t> </w:t>
      </w:r>
      <w:r>
        <w:rPr>
          <w:color w:val="231F20"/>
        </w:rPr>
        <w:t>princes</w:t>
      </w:r>
      <w:r>
        <w:rPr>
          <w:color w:val="231F20"/>
          <w:spacing w:val="-6"/>
        </w:rPr>
        <w:t> </w:t>
      </w:r>
      <w:r>
        <w:rPr>
          <w:color w:val="231F20"/>
        </w:rPr>
        <w:t>ou</w:t>
      </w:r>
      <w:r>
        <w:rPr>
          <w:color w:val="231F20"/>
          <w:spacing w:val="-5"/>
        </w:rPr>
        <w:t> </w:t>
      </w:r>
      <w:r>
        <w:rPr>
          <w:color w:val="231F20"/>
        </w:rPr>
        <w:t>chefs</w:t>
      </w:r>
      <w:r>
        <w:rPr>
          <w:color w:val="231F20"/>
          <w:spacing w:val="-7"/>
        </w:rPr>
        <w:t> </w:t>
      </w:r>
      <w:r>
        <w:rPr>
          <w:color w:val="231F20"/>
        </w:rPr>
        <w:t>essaient</w:t>
      </w:r>
      <w:r>
        <w:rPr>
          <w:color w:val="231F20"/>
          <w:spacing w:val="-5"/>
        </w:rPr>
        <w:t> </w:t>
      </w:r>
      <w:r>
        <w:rPr>
          <w:color w:val="231F20"/>
        </w:rPr>
        <w:t>de</w:t>
      </w:r>
      <w:r>
        <w:rPr>
          <w:color w:val="231F20"/>
          <w:spacing w:val="-5"/>
        </w:rPr>
        <w:t> </w:t>
      </w:r>
      <w:r>
        <w:rPr>
          <w:color w:val="231F20"/>
        </w:rPr>
        <w:t>s’opposer</w:t>
      </w:r>
      <w:r>
        <w:rPr>
          <w:color w:val="231F20"/>
          <w:spacing w:val="-5"/>
        </w:rPr>
        <w:t> </w:t>
      </w:r>
      <w:r>
        <w:rPr>
          <w:color w:val="231F20"/>
        </w:rPr>
        <w:t>à</w:t>
      </w:r>
      <w:r>
        <w:rPr>
          <w:color w:val="231F20"/>
          <w:spacing w:val="-8"/>
        </w:rPr>
        <w:t> </w:t>
      </w:r>
      <w:r>
        <w:rPr>
          <w:color w:val="231F20"/>
        </w:rPr>
        <w:t>la</w:t>
      </w:r>
      <w:r>
        <w:rPr>
          <w:color w:val="231F20"/>
          <w:spacing w:val="-5"/>
        </w:rPr>
        <w:t> </w:t>
      </w:r>
      <w:r>
        <w:rPr>
          <w:color w:val="231F20"/>
        </w:rPr>
        <w:t>capture</w:t>
      </w:r>
      <w:r>
        <w:rPr>
          <w:color w:val="231F20"/>
          <w:spacing w:val="-5"/>
        </w:rPr>
        <w:t> </w:t>
      </w:r>
      <w:r>
        <w:rPr>
          <w:color w:val="231F20"/>
        </w:rPr>
        <w:t>de</w:t>
      </w:r>
      <w:r>
        <w:rPr>
          <w:color w:val="231F20"/>
          <w:spacing w:val="-3"/>
        </w:rPr>
        <w:t> </w:t>
      </w:r>
      <w:r>
        <w:rPr>
          <w:color w:val="231F20"/>
        </w:rPr>
        <w:t>leurs </w:t>
      </w:r>
      <w:r>
        <w:rPr>
          <w:color w:val="231F20"/>
          <w:spacing w:val="-4"/>
        </w:rPr>
        <w:t>sujets.</w:t>
      </w:r>
      <w:r>
        <w:rPr>
          <w:color w:val="231F20"/>
          <w:spacing w:val="-10"/>
        </w:rPr>
        <w:t> </w:t>
      </w:r>
      <w:r>
        <w:rPr>
          <w:color w:val="231F20"/>
          <w:spacing w:val="-4"/>
        </w:rPr>
        <w:t>En</w:t>
      </w:r>
      <w:r>
        <w:rPr>
          <w:color w:val="231F20"/>
          <w:spacing w:val="-9"/>
        </w:rPr>
        <w:t> </w:t>
      </w:r>
      <w:r>
        <w:rPr>
          <w:color w:val="231F20"/>
          <w:spacing w:val="-4"/>
        </w:rPr>
        <w:t>1526,</w:t>
      </w:r>
      <w:r>
        <w:rPr>
          <w:color w:val="231F20"/>
          <w:spacing w:val="-8"/>
        </w:rPr>
        <w:t> </w:t>
      </w:r>
      <w:r>
        <w:rPr>
          <w:color w:val="231F20"/>
          <w:spacing w:val="-4"/>
        </w:rPr>
        <w:t>Mvemba</w:t>
      </w:r>
      <w:r>
        <w:rPr>
          <w:color w:val="231F20"/>
          <w:spacing w:val="-11"/>
        </w:rPr>
        <w:t> </w:t>
      </w:r>
      <w:r>
        <w:rPr>
          <w:color w:val="231F20"/>
          <w:spacing w:val="-4"/>
        </w:rPr>
        <w:t>Nzinga</w:t>
      </w:r>
      <w:r>
        <w:rPr>
          <w:color w:val="231F20"/>
          <w:spacing w:val="-9"/>
        </w:rPr>
        <w:t> </w:t>
      </w:r>
      <w:r>
        <w:rPr>
          <w:color w:val="231F20"/>
          <w:spacing w:val="-4"/>
        </w:rPr>
        <w:t>baptisé</w:t>
      </w:r>
      <w:r>
        <w:rPr>
          <w:color w:val="231F20"/>
          <w:spacing w:val="-11"/>
        </w:rPr>
        <w:t> </w:t>
      </w:r>
      <w:r>
        <w:rPr>
          <w:color w:val="231F20"/>
          <w:spacing w:val="-4"/>
        </w:rPr>
        <w:t>par</w:t>
      </w:r>
      <w:r>
        <w:rPr>
          <w:color w:val="231F20"/>
          <w:spacing w:val="-9"/>
        </w:rPr>
        <w:t> </w:t>
      </w:r>
      <w:r>
        <w:rPr>
          <w:color w:val="231F20"/>
          <w:spacing w:val="-4"/>
        </w:rPr>
        <w:t>les</w:t>
      </w:r>
      <w:r>
        <w:rPr>
          <w:color w:val="231F20"/>
          <w:spacing w:val="-11"/>
        </w:rPr>
        <w:t> </w:t>
      </w:r>
      <w:r>
        <w:rPr>
          <w:color w:val="231F20"/>
          <w:spacing w:val="-4"/>
        </w:rPr>
        <w:t>portugais</w:t>
      </w:r>
      <w:r>
        <w:rPr>
          <w:color w:val="231F20"/>
          <w:spacing w:val="-9"/>
        </w:rPr>
        <w:t> </w:t>
      </w:r>
      <w:r>
        <w:rPr>
          <w:color w:val="231F20"/>
          <w:spacing w:val="-4"/>
        </w:rPr>
        <w:t>Alfonso1er,</w:t>
      </w:r>
      <w:r>
        <w:rPr>
          <w:color w:val="231F20"/>
          <w:spacing w:val="-9"/>
        </w:rPr>
        <w:t> </w:t>
      </w:r>
      <w:r>
        <w:rPr>
          <w:color w:val="231F20"/>
          <w:spacing w:val="-4"/>
        </w:rPr>
        <w:t>roi </w:t>
      </w:r>
      <w:r>
        <w:rPr>
          <w:color w:val="231F20"/>
        </w:rPr>
        <w:t>du Congo, écrit au roi du Portugal</w:t>
      </w:r>
      <w:r>
        <w:rPr>
          <w:color w:val="231F20"/>
          <w:spacing w:val="-15"/>
        </w:rPr>
        <w:t> </w:t>
      </w:r>
      <w:r>
        <w:rPr>
          <w:color w:val="231F20"/>
        </w:rPr>
        <w:t>: «</w:t>
      </w:r>
      <w:r>
        <w:rPr>
          <w:color w:val="231F20"/>
          <w:spacing w:val="-15"/>
        </w:rPr>
        <w:t> </w:t>
      </w:r>
      <w:r>
        <w:rPr>
          <w:color w:val="231F20"/>
        </w:rPr>
        <w:t>il y a beaucoup de commerçants dans tous les coins du royaume. Ils amènent la ruine du pays. Tous les </w:t>
      </w:r>
      <w:r>
        <w:rPr>
          <w:color w:val="231F20"/>
          <w:spacing w:val="-4"/>
        </w:rPr>
        <w:t>jours</w:t>
      </w:r>
      <w:r>
        <w:rPr>
          <w:color w:val="231F20"/>
          <w:spacing w:val="-11"/>
        </w:rPr>
        <w:t> </w:t>
      </w:r>
      <w:r>
        <w:rPr>
          <w:color w:val="231F20"/>
          <w:spacing w:val="-4"/>
        </w:rPr>
        <w:t>des</w:t>
      </w:r>
      <w:r>
        <w:rPr>
          <w:color w:val="231F20"/>
          <w:spacing w:val="-11"/>
        </w:rPr>
        <w:t> </w:t>
      </w:r>
      <w:r>
        <w:rPr>
          <w:color w:val="231F20"/>
          <w:spacing w:val="-4"/>
        </w:rPr>
        <w:t>gens</w:t>
      </w:r>
      <w:r>
        <w:rPr>
          <w:color w:val="231F20"/>
          <w:spacing w:val="-11"/>
        </w:rPr>
        <w:t> </w:t>
      </w:r>
      <w:r>
        <w:rPr>
          <w:color w:val="231F20"/>
          <w:spacing w:val="-4"/>
        </w:rPr>
        <w:t>sont</w:t>
      </w:r>
      <w:r>
        <w:rPr>
          <w:color w:val="231F20"/>
          <w:spacing w:val="-11"/>
        </w:rPr>
        <w:t> </w:t>
      </w:r>
      <w:r>
        <w:rPr>
          <w:color w:val="231F20"/>
          <w:spacing w:val="-4"/>
        </w:rPr>
        <w:t>réduits</w:t>
      </w:r>
      <w:r>
        <w:rPr>
          <w:color w:val="231F20"/>
          <w:spacing w:val="-11"/>
        </w:rPr>
        <w:t> </w:t>
      </w:r>
      <w:r>
        <w:rPr>
          <w:color w:val="231F20"/>
          <w:spacing w:val="-4"/>
        </w:rPr>
        <w:t>en</w:t>
      </w:r>
      <w:r>
        <w:rPr>
          <w:color w:val="231F20"/>
          <w:spacing w:val="-11"/>
        </w:rPr>
        <w:t> </w:t>
      </w:r>
      <w:r>
        <w:rPr>
          <w:color w:val="231F20"/>
          <w:spacing w:val="-4"/>
        </w:rPr>
        <w:t>esclavage</w:t>
      </w:r>
      <w:r>
        <w:rPr>
          <w:color w:val="231F20"/>
          <w:spacing w:val="-11"/>
        </w:rPr>
        <w:t> </w:t>
      </w:r>
      <w:r>
        <w:rPr>
          <w:color w:val="231F20"/>
          <w:spacing w:val="-4"/>
        </w:rPr>
        <w:t>et</w:t>
      </w:r>
      <w:r>
        <w:rPr>
          <w:color w:val="231F20"/>
          <w:spacing w:val="-11"/>
        </w:rPr>
        <w:t> </w:t>
      </w:r>
      <w:r>
        <w:rPr>
          <w:color w:val="231F20"/>
          <w:spacing w:val="-4"/>
        </w:rPr>
        <w:t>raptés,</w:t>
      </w:r>
      <w:r>
        <w:rPr>
          <w:color w:val="231F20"/>
          <w:spacing w:val="-11"/>
        </w:rPr>
        <w:t> </w:t>
      </w:r>
      <w:r>
        <w:rPr>
          <w:color w:val="231F20"/>
          <w:spacing w:val="-4"/>
        </w:rPr>
        <w:t>même</w:t>
      </w:r>
      <w:r>
        <w:rPr>
          <w:color w:val="231F20"/>
          <w:spacing w:val="-11"/>
        </w:rPr>
        <w:t> </w:t>
      </w:r>
      <w:r>
        <w:rPr>
          <w:color w:val="231F20"/>
          <w:spacing w:val="-4"/>
        </w:rPr>
        <w:t>des</w:t>
      </w:r>
      <w:r>
        <w:rPr>
          <w:color w:val="231F20"/>
          <w:spacing w:val="-11"/>
        </w:rPr>
        <w:t> </w:t>
      </w:r>
      <w:r>
        <w:rPr>
          <w:color w:val="231F20"/>
          <w:spacing w:val="-4"/>
        </w:rPr>
        <w:t>nobles,</w:t>
      </w:r>
      <w:r>
        <w:rPr>
          <w:color w:val="231F20"/>
          <w:spacing w:val="-11"/>
        </w:rPr>
        <w:t> </w:t>
      </w:r>
      <w:r>
        <w:rPr>
          <w:color w:val="231F20"/>
          <w:spacing w:val="-4"/>
        </w:rPr>
        <w:t>même </w:t>
      </w:r>
      <w:r>
        <w:rPr>
          <w:color w:val="231F20"/>
        </w:rPr>
        <w:t>des membres de la famille royale</w:t>
      </w:r>
      <w:r>
        <w:rPr>
          <w:color w:val="231F20"/>
          <w:vertAlign w:val="superscript"/>
        </w:rPr>
        <w:t>11</w:t>
      </w:r>
      <w:r>
        <w:rPr>
          <w:color w:val="231F20"/>
          <w:vertAlign w:val="baseline"/>
        </w:rPr>
        <w:t> ».</w:t>
      </w:r>
    </w:p>
    <w:p>
      <w:pPr>
        <w:pStyle w:val="BodyText"/>
        <w:spacing w:before="120"/>
        <w:ind w:right="105" w:firstLine="283"/>
      </w:pPr>
      <w:r>
        <w:rPr>
          <w:color w:val="231F20"/>
        </w:rPr>
        <w:t>D’autres</w:t>
      </w:r>
      <w:r>
        <w:rPr>
          <w:color w:val="231F20"/>
          <w:spacing w:val="-6"/>
        </w:rPr>
        <w:t> </w:t>
      </w:r>
      <w:r>
        <w:rPr>
          <w:color w:val="231F20"/>
        </w:rPr>
        <w:t>souverains,</w:t>
      </w:r>
      <w:r>
        <w:rPr>
          <w:color w:val="231F20"/>
          <w:spacing w:val="-6"/>
        </w:rPr>
        <w:t> </w:t>
      </w:r>
      <w:r>
        <w:rPr>
          <w:color w:val="231F20"/>
        </w:rPr>
        <w:t>en</w:t>
      </w:r>
      <w:r>
        <w:rPr>
          <w:color w:val="231F20"/>
          <w:spacing w:val="-5"/>
        </w:rPr>
        <w:t> </w:t>
      </w:r>
      <w:r>
        <w:rPr>
          <w:color w:val="231F20"/>
        </w:rPr>
        <w:t>font</w:t>
      </w:r>
      <w:r>
        <w:rPr>
          <w:color w:val="231F20"/>
          <w:spacing w:val="-6"/>
        </w:rPr>
        <w:t> </w:t>
      </w:r>
      <w:r>
        <w:rPr>
          <w:color w:val="231F20"/>
        </w:rPr>
        <w:t>une</w:t>
      </w:r>
      <w:r>
        <w:rPr>
          <w:color w:val="231F20"/>
          <w:spacing w:val="-5"/>
        </w:rPr>
        <w:t> </w:t>
      </w:r>
      <w:r>
        <w:rPr>
          <w:color w:val="231F20"/>
        </w:rPr>
        <w:t>source</w:t>
      </w:r>
      <w:r>
        <w:rPr>
          <w:color w:val="231F20"/>
          <w:spacing w:val="-5"/>
        </w:rPr>
        <w:t> </w:t>
      </w:r>
      <w:r>
        <w:rPr>
          <w:color w:val="231F20"/>
        </w:rPr>
        <w:t>de</w:t>
      </w:r>
      <w:r>
        <w:rPr>
          <w:color w:val="231F20"/>
          <w:spacing w:val="-7"/>
        </w:rPr>
        <w:t> </w:t>
      </w:r>
      <w:r>
        <w:rPr>
          <w:color w:val="231F20"/>
        </w:rPr>
        <w:t>profit</w:t>
      </w:r>
      <w:r>
        <w:rPr>
          <w:color w:val="231F20"/>
          <w:spacing w:val="-15"/>
        </w:rPr>
        <w:t> </w:t>
      </w:r>
      <w:r>
        <w:rPr>
          <w:color w:val="231F20"/>
        </w:rPr>
        <w:t>:</w:t>
      </w:r>
      <w:r>
        <w:rPr>
          <w:color w:val="231F20"/>
          <w:spacing w:val="-5"/>
        </w:rPr>
        <w:t> </w:t>
      </w:r>
      <w:r>
        <w:rPr>
          <w:color w:val="231F20"/>
        </w:rPr>
        <w:t>empire</w:t>
      </w:r>
      <w:r>
        <w:rPr>
          <w:color w:val="231F20"/>
          <w:spacing w:val="-7"/>
        </w:rPr>
        <w:t> </w:t>
      </w:r>
      <w:r>
        <w:rPr>
          <w:color w:val="231F20"/>
        </w:rPr>
        <w:t>de</w:t>
      </w:r>
      <w:r>
        <w:rPr>
          <w:color w:val="231F20"/>
          <w:spacing w:val="-6"/>
        </w:rPr>
        <w:t> </w:t>
      </w:r>
      <w:r>
        <w:rPr>
          <w:color w:val="231F20"/>
        </w:rPr>
        <w:t>Sokoto (Nigeria</w:t>
      </w:r>
      <w:r>
        <w:rPr>
          <w:color w:val="231F20"/>
          <w:spacing w:val="-6"/>
        </w:rPr>
        <w:t> </w:t>
      </w:r>
      <w:r>
        <w:rPr>
          <w:color w:val="231F20"/>
        </w:rPr>
        <w:t>actuel),</w:t>
      </w:r>
      <w:r>
        <w:rPr>
          <w:color w:val="231F20"/>
          <w:spacing w:val="-15"/>
        </w:rPr>
        <w:t> </w:t>
      </w:r>
      <w:r>
        <w:rPr>
          <w:color w:val="231F20"/>
        </w:rPr>
        <w:t>sultanat des Foundjis</w:t>
      </w:r>
      <w:r>
        <w:rPr>
          <w:color w:val="231F20"/>
          <w:spacing w:val="-15"/>
        </w:rPr>
        <w:t> </w:t>
      </w:r>
      <w:r>
        <w:rPr>
          <w:color w:val="231F20"/>
        </w:rPr>
        <w:t>(Soudan actuel), Ouidah</w:t>
      </w:r>
      <w:r>
        <w:rPr>
          <w:color w:val="231F20"/>
          <w:spacing w:val="-15"/>
        </w:rPr>
        <w:t> </w:t>
      </w:r>
      <w:r>
        <w:rPr>
          <w:color w:val="231F20"/>
        </w:rPr>
        <w:t>(Bénin actuel), royaume du Kanem-Bornou…</w:t>
      </w:r>
    </w:p>
    <w:p>
      <w:pPr>
        <w:pStyle w:val="BodyText"/>
        <w:spacing w:before="241"/>
        <w:ind w:left="0"/>
        <w:jc w:val="left"/>
      </w:pPr>
    </w:p>
    <w:p>
      <w:pPr>
        <w:pStyle w:val="Heading3"/>
        <w:spacing w:before="1"/>
        <w:jc w:val="left"/>
        <w:rPr>
          <w:i/>
        </w:rPr>
      </w:pPr>
      <w:bookmarkStart w:name="_TOC_250040" w:id="3"/>
      <w:bookmarkEnd w:id="3"/>
      <w:r>
        <w:rPr>
          <w:i/>
          <w:color w:val="231F20"/>
          <w:spacing w:val="-2"/>
        </w:rPr>
        <w:t>Animalia</w:t>
      </w:r>
    </w:p>
    <w:p>
      <w:pPr>
        <w:pStyle w:val="BodyText"/>
        <w:spacing w:before="162"/>
        <w:ind w:left="0"/>
        <w:jc w:val="left"/>
        <w:rPr>
          <w:rFonts w:ascii="Cambria"/>
          <w:b/>
          <w:i/>
        </w:rPr>
      </w:pPr>
    </w:p>
    <w:p>
      <w:pPr>
        <w:spacing w:before="0"/>
        <w:ind w:left="111" w:right="103" w:firstLine="283"/>
        <w:jc w:val="both"/>
        <w:rPr>
          <w:sz w:val="24"/>
        </w:rPr>
      </w:pPr>
      <w:r>
        <w:rPr>
          <w:color w:val="231F20"/>
          <w:sz w:val="28"/>
        </w:rPr>
        <w:t>Ibn Khaldoun (1332-1406), l’historien, le savant, l’érudit Arabe écrit </w:t>
      </w:r>
      <w:r>
        <w:rPr>
          <w:color w:val="231F20"/>
          <w:sz w:val="24"/>
        </w:rPr>
        <w:t>"</w:t>
      </w:r>
      <w:r>
        <w:rPr>
          <w:color w:val="231F20"/>
          <w:spacing w:val="-13"/>
          <w:sz w:val="24"/>
        </w:rPr>
        <w:t> </w:t>
      </w:r>
      <w:r>
        <w:rPr>
          <w:i/>
          <w:color w:val="231F20"/>
          <w:sz w:val="24"/>
        </w:rPr>
        <w:t>Au sud de ce Nil existe un peuple noir que l’on désigne</w:t>
      </w:r>
      <w:r>
        <w:rPr>
          <w:i/>
          <w:color w:val="231F20"/>
          <w:sz w:val="24"/>
        </w:rPr>
        <w:t> par</w:t>
      </w:r>
      <w:r>
        <w:rPr>
          <w:i/>
          <w:color w:val="231F20"/>
          <w:spacing w:val="-11"/>
          <w:sz w:val="24"/>
        </w:rPr>
        <w:t> </w:t>
      </w:r>
      <w:r>
        <w:rPr>
          <w:i/>
          <w:color w:val="231F20"/>
          <w:sz w:val="24"/>
        </w:rPr>
        <w:t>le</w:t>
      </w:r>
      <w:r>
        <w:rPr>
          <w:i/>
          <w:color w:val="231F20"/>
          <w:spacing w:val="-9"/>
          <w:sz w:val="24"/>
        </w:rPr>
        <w:t> </w:t>
      </w:r>
      <w:r>
        <w:rPr>
          <w:i/>
          <w:color w:val="231F20"/>
          <w:sz w:val="24"/>
        </w:rPr>
        <w:t>nom</w:t>
      </w:r>
      <w:r>
        <w:rPr>
          <w:i/>
          <w:color w:val="231F20"/>
          <w:spacing w:val="-9"/>
          <w:sz w:val="24"/>
        </w:rPr>
        <w:t> </w:t>
      </w:r>
      <w:r>
        <w:rPr>
          <w:i/>
          <w:color w:val="231F20"/>
          <w:sz w:val="24"/>
        </w:rPr>
        <w:t>de</w:t>
      </w:r>
      <w:r>
        <w:rPr>
          <w:i/>
          <w:color w:val="231F20"/>
          <w:spacing w:val="-11"/>
          <w:sz w:val="24"/>
        </w:rPr>
        <w:t> </w:t>
      </w:r>
      <w:r>
        <w:rPr>
          <w:i/>
          <w:color w:val="231F20"/>
          <w:sz w:val="24"/>
        </w:rPr>
        <w:t>Lemlem.</w:t>
      </w:r>
      <w:r>
        <w:rPr>
          <w:i/>
          <w:color w:val="231F20"/>
          <w:spacing w:val="-11"/>
          <w:sz w:val="24"/>
        </w:rPr>
        <w:t> </w:t>
      </w:r>
      <w:r>
        <w:rPr>
          <w:i/>
          <w:color w:val="231F20"/>
          <w:sz w:val="24"/>
        </w:rPr>
        <w:t>Ce</w:t>
      </w:r>
      <w:r>
        <w:rPr>
          <w:i/>
          <w:color w:val="231F20"/>
          <w:spacing w:val="-9"/>
          <w:sz w:val="24"/>
        </w:rPr>
        <w:t> </w:t>
      </w:r>
      <w:r>
        <w:rPr>
          <w:i/>
          <w:color w:val="231F20"/>
          <w:sz w:val="24"/>
        </w:rPr>
        <w:t>sont</w:t>
      </w:r>
      <w:r>
        <w:rPr>
          <w:i/>
          <w:color w:val="231F20"/>
          <w:spacing w:val="-8"/>
          <w:sz w:val="24"/>
        </w:rPr>
        <w:t> </w:t>
      </w:r>
      <w:r>
        <w:rPr>
          <w:i/>
          <w:color w:val="231F20"/>
          <w:sz w:val="24"/>
        </w:rPr>
        <w:t>des</w:t>
      </w:r>
      <w:r>
        <w:rPr>
          <w:i/>
          <w:color w:val="231F20"/>
          <w:spacing w:val="-9"/>
          <w:sz w:val="24"/>
        </w:rPr>
        <w:t> </w:t>
      </w:r>
      <w:r>
        <w:rPr>
          <w:i/>
          <w:color w:val="231F20"/>
          <w:sz w:val="24"/>
        </w:rPr>
        <w:t>païens</w:t>
      </w:r>
      <w:r>
        <w:rPr>
          <w:i/>
          <w:color w:val="231F20"/>
          <w:spacing w:val="-8"/>
          <w:sz w:val="24"/>
        </w:rPr>
        <w:t> </w:t>
      </w:r>
      <w:r>
        <w:rPr>
          <w:i/>
          <w:color w:val="231F20"/>
          <w:sz w:val="24"/>
        </w:rPr>
        <w:t>qui</w:t>
      </w:r>
      <w:r>
        <w:rPr>
          <w:i/>
          <w:color w:val="231F20"/>
          <w:spacing w:val="-9"/>
          <w:sz w:val="24"/>
        </w:rPr>
        <w:t> </w:t>
      </w:r>
      <w:r>
        <w:rPr>
          <w:i/>
          <w:color w:val="231F20"/>
          <w:sz w:val="24"/>
        </w:rPr>
        <w:t>portent</w:t>
      </w:r>
      <w:r>
        <w:rPr>
          <w:i/>
          <w:color w:val="231F20"/>
          <w:spacing w:val="-9"/>
          <w:sz w:val="24"/>
        </w:rPr>
        <w:t> </w:t>
      </w:r>
      <w:r>
        <w:rPr>
          <w:i/>
          <w:color w:val="231F20"/>
          <w:sz w:val="24"/>
        </w:rPr>
        <w:t>des</w:t>
      </w:r>
      <w:r>
        <w:rPr>
          <w:i/>
          <w:color w:val="231F20"/>
          <w:spacing w:val="-10"/>
          <w:sz w:val="24"/>
        </w:rPr>
        <w:t> </w:t>
      </w:r>
      <w:r>
        <w:rPr>
          <w:i/>
          <w:color w:val="231F20"/>
          <w:sz w:val="24"/>
        </w:rPr>
        <w:t>stigmates</w:t>
      </w:r>
      <w:r>
        <w:rPr>
          <w:i/>
          <w:color w:val="231F20"/>
          <w:spacing w:val="-10"/>
          <w:sz w:val="24"/>
        </w:rPr>
        <w:t> </w:t>
      </w:r>
      <w:r>
        <w:rPr>
          <w:i/>
          <w:color w:val="231F20"/>
          <w:sz w:val="24"/>
        </w:rPr>
        <w:t>sur leurs</w:t>
      </w:r>
      <w:r>
        <w:rPr>
          <w:i/>
          <w:color w:val="231F20"/>
          <w:spacing w:val="-11"/>
          <w:sz w:val="24"/>
        </w:rPr>
        <w:t> </w:t>
      </w:r>
      <w:r>
        <w:rPr>
          <w:i/>
          <w:color w:val="231F20"/>
          <w:sz w:val="24"/>
        </w:rPr>
        <w:t>visages</w:t>
      </w:r>
      <w:r>
        <w:rPr>
          <w:i/>
          <w:color w:val="231F20"/>
          <w:spacing w:val="-9"/>
          <w:sz w:val="24"/>
        </w:rPr>
        <w:t> </w:t>
      </w:r>
      <w:r>
        <w:rPr>
          <w:i/>
          <w:color w:val="231F20"/>
          <w:sz w:val="24"/>
        </w:rPr>
        <w:t>et</w:t>
      </w:r>
      <w:r>
        <w:rPr>
          <w:i/>
          <w:color w:val="231F20"/>
          <w:spacing w:val="-8"/>
          <w:sz w:val="24"/>
        </w:rPr>
        <w:t> </w:t>
      </w:r>
      <w:r>
        <w:rPr>
          <w:i/>
          <w:color w:val="231F20"/>
          <w:sz w:val="24"/>
        </w:rPr>
        <w:t>sur</w:t>
      </w:r>
      <w:r>
        <w:rPr>
          <w:i/>
          <w:color w:val="231F20"/>
          <w:spacing w:val="-11"/>
          <w:sz w:val="24"/>
        </w:rPr>
        <w:t> </w:t>
      </w:r>
      <w:r>
        <w:rPr>
          <w:i/>
          <w:color w:val="231F20"/>
          <w:sz w:val="24"/>
        </w:rPr>
        <w:t>leurs</w:t>
      </w:r>
      <w:r>
        <w:rPr>
          <w:i/>
          <w:color w:val="231F20"/>
          <w:spacing w:val="-12"/>
          <w:sz w:val="24"/>
        </w:rPr>
        <w:t> </w:t>
      </w:r>
      <w:r>
        <w:rPr>
          <w:i/>
          <w:color w:val="231F20"/>
          <w:sz w:val="24"/>
        </w:rPr>
        <w:t>tempes(…)</w:t>
      </w:r>
      <w:r>
        <w:rPr>
          <w:i/>
          <w:color w:val="231F20"/>
          <w:spacing w:val="-9"/>
          <w:sz w:val="24"/>
        </w:rPr>
        <w:t> </w:t>
      </w:r>
      <w:r>
        <w:rPr>
          <w:i/>
          <w:color w:val="231F20"/>
          <w:sz w:val="24"/>
        </w:rPr>
        <w:t>Au-delà</w:t>
      </w:r>
      <w:r>
        <w:rPr>
          <w:i/>
          <w:color w:val="231F20"/>
          <w:spacing w:val="-8"/>
          <w:sz w:val="24"/>
        </w:rPr>
        <w:t> </w:t>
      </w:r>
      <w:r>
        <w:rPr>
          <w:i/>
          <w:color w:val="231F20"/>
          <w:sz w:val="24"/>
        </w:rPr>
        <w:t>du</w:t>
      </w:r>
      <w:r>
        <w:rPr>
          <w:i/>
          <w:color w:val="231F20"/>
          <w:spacing w:val="-11"/>
          <w:sz w:val="24"/>
        </w:rPr>
        <w:t> </w:t>
      </w:r>
      <w:r>
        <w:rPr>
          <w:i/>
          <w:color w:val="231F20"/>
          <w:sz w:val="24"/>
        </w:rPr>
        <w:t>pays</w:t>
      </w:r>
      <w:r>
        <w:rPr>
          <w:i/>
          <w:color w:val="231F20"/>
          <w:spacing w:val="-9"/>
          <w:sz w:val="24"/>
        </w:rPr>
        <w:t> </w:t>
      </w:r>
      <w:r>
        <w:rPr>
          <w:i/>
          <w:color w:val="231F20"/>
          <w:sz w:val="24"/>
        </w:rPr>
        <w:t>des</w:t>
      </w:r>
      <w:r>
        <w:rPr>
          <w:i/>
          <w:color w:val="231F20"/>
          <w:spacing w:val="-11"/>
          <w:sz w:val="24"/>
        </w:rPr>
        <w:t> </w:t>
      </w:r>
      <w:r>
        <w:rPr>
          <w:i/>
          <w:color w:val="231F20"/>
          <w:sz w:val="24"/>
        </w:rPr>
        <w:t>Lemlem,</w:t>
      </w:r>
      <w:r>
        <w:rPr>
          <w:i/>
          <w:color w:val="231F20"/>
          <w:spacing w:val="-11"/>
          <w:sz w:val="24"/>
        </w:rPr>
        <w:t> </w:t>
      </w:r>
      <w:r>
        <w:rPr>
          <w:i/>
          <w:color w:val="231F20"/>
          <w:sz w:val="24"/>
        </w:rPr>
        <w:t>dans la</w:t>
      </w:r>
      <w:r>
        <w:rPr>
          <w:i/>
          <w:color w:val="231F20"/>
          <w:spacing w:val="-5"/>
          <w:sz w:val="24"/>
        </w:rPr>
        <w:t> </w:t>
      </w:r>
      <w:r>
        <w:rPr>
          <w:i/>
          <w:color w:val="231F20"/>
          <w:sz w:val="24"/>
        </w:rPr>
        <w:t>direction</w:t>
      </w:r>
      <w:r>
        <w:rPr>
          <w:i/>
          <w:color w:val="231F20"/>
          <w:spacing w:val="-5"/>
          <w:sz w:val="24"/>
        </w:rPr>
        <w:t> </w:t>
      </w:r>
      <w:r>
        <w:rPr>
          <w:i/>
          <w:color w:val="231F20"/>
          <w:sz w:val="24"/>
        </w:rPr>
        <w:t>du</w:t>
      </w:r>
      <w:r>
        <w:rPr>
          <w:i/>
          <w:color w:val="231F20"/>
          <w:spacing w:val="-5"/>
          <w:sz w:val="24"/>
        </w:rPr>
        <w:t> </w:t>
      </w:r>
      <w:r>
        <w:rPr>
          <w:i/>
          <w:color w:val="231F20"/>
          <w:sz w:val="24"/>
        </w:rPr>
        <w:t>sud,</w:t>
      </w:r>
      <w:r>
        <w:rPr>
          <w:i/>
          <w:color w:val="231F20"/>
          <w:spacing w:val="-5"/>
          <w:sz w:val="24"/>
        </w:rPr>
        <w:t> </w:t>
      </w:r>
      <w:r>
        <w:rPr>
          <w:i/>
          <w:color w:val="231F20"/>
          <w:sz w:val="24"/>
        </w:rPr>
        <w:t>on</w:t>
      </w:r>
      <w:r>
        <w:rPr>
          <w:i/>
          <w:color w:val="231F20"/>
          <w:spacing w:val="-5"/>
          <w:sz w:val="24"/>
        </w:rPr>
        <w:t> </w:t>
      </w:r>
      <w:r>
        <w:rPr>
          <w:i/>
          <w:color w:val="231F20"/>
          <w:sz w:val="24"/>
        </w:rPr>
        <w:t>rencontre</w:t>
      </w:r>
      <w:r>
        <w:rPr>
          <w:i/>
          <w:color w:val="231F20"/>
          <w:spacing w:val="-5"/>
          <w:sz w:val="24"/>
        </w:rPr>
        <w:t> </w:t>
      </w:r>
      <w:r>
        <w:rPr>
          <w:i/>
          <w:color w:val="231F20"/>
          <w:sz w:val="24"/>
        </w:rPr>
        <w:t>une</w:t>
      </w:r>
      <w:r>
        <w:rPr>
          <w:i/>
          <w:color w:val="231F20"/>
          <w:spacing w:val="-5"/>
          <w:sz w:val="24"/>
        </w:rPr>
        <w:t> </w:t>
      </w:r>
      <w:r>
        <w:rPr>
          <w:i/>
          <w:color w:val="231F20"/>
          <w:sz w:val="24"/>
        </w:rPr>
        <w:t>population</w:t>
      </w:r>
      <w:r>
        <w:rPr>
          <w:i/>
          <w:color w:val="231F20"/>
          <w:spacing w:val="-5"/>
          <w:sz w:val="24"/>
        </w:rPr>
        <w:t> </w:t>
      </w:r>
      <w:r>
        <w:rPr>
          <w:i/>
          <w:color w:val="231F20"/>
          <w:sz w:val="24"/>
        </w:rPr>
        <w:t>peu</w:t>
      </w:r>
      <w:r>
        <w:rPr>
          <w:i/>
          <w:color w:val="231F20"/>
          <w:spacing w:val="-5"/>
          <w:sz w:val="24"/>
        </w:rPr>
        <w:t> </w:t>
      </w:r>
      <w:r>
        <w:rPr>
          <w:i/>
          <w:color w:val="231F20"/>
          <w:sz w:val="24"/>
        </w:rPr>
        <w:t>considérable</w:t>
      </w:r>
      <w:r>
        <w:rPr>
          <w:i/>
          <w:color w:val="231F20"/>
          <w:spacing w:val="-15"/>
          <w:sz w:val="24"/>
        </w:rPr>
        <w:t> </w:t>
      </w:r>
      <w:r>
        <w:rPr>
          <w:i/>
          <w:color w:val="231F20"/>
          <w:sz w:val="24"/>
        </w:rPr>
        <w:t>;</w:t>
      </w:r>
      <w:r>
        <w:rPr>
          <w:i/>
          <w:color w:val="231F20"/>
          <w:spacing w:val="-5"/>
          <w:sz w:val="24"/>
        </w:rPr>
        <w:t> </w:t>
      </w:r>
      <w:r>
        <w:rPr>
          <w:i/>
          <w:color w:val="231F20"/>
          <w:sz w:val="24"/>
        </w:rPr>
        <w:t>les hommes qui la composent ressemblent plutôt à des animaux sauvages qu’à</w:t>
      </w:r>
      <w:r>
        <w:rPr>
          <w:i/>
          <w:color w:val="231F20"/>
          <w:spacing w:val="-7"/>
          <w:sz w:val="24"/>
        </w:rPr>
        <w:t> </w:t>
      </w:r>
      <w:r>
        <w:rPr>
          <w:i/>
          <w:color w:val="231F20"/>
          <w:sz w:val="24"/>
        </w:rPr>
        <w:t>des</w:t>
      </w:r>
      <w:r>
        <w:rPr>
          <w:i/>
          <w:color w:val="231F20"/>
          <w:spacing w:val="-9"/>
          <w:sz w:val="24"/>
        </w:rPr>
        <w:t> </w:t>
      </w:r>
      <w:r>
        <w:rPr>
          <w:i/>
          <w:color w:val="231F20"/>
          <w:sz w:val="24"/>
        </w:rPr>
        <w:t>êtres</w:t>
      </w:r>
      <w:r>
        <w:rPr>
          <w:i/>
          <w:color w:val="231F20"/>
          <w:spacing w:val="-9"/>
          <w:sz w:val="24"/>
        </w:rPr>
        <w:t> </w:t>
      </w:r>
      <w:r>
        <w:rPr>
          <w:i/>
          <w:color w:val="231F20"/>
          <w:sz w:val="24"/>
        </w:rPr>
        <w:t>raisonnables(…)aussi</w:t>
      </w:r>
      <w:r>
        <w:rPr>
          <w:i/>
          <w:color w:val="231F20"/>
          <w:spacing w:val="-9"/>
          <w:sz w:val="24"/>
        </w:rPr>
        <w:t> </w:t>
      </w:r>
      <w:r>
        <w:rPr>
          <w:i/>
          <w:color w:val="231F20"/>
          <w:sz w:val="24"/>
        </w:rPr>
        <w:t>ne</w:t>
      </w:r>
      <w:r>
        <w:rPr>
          <w:i/>
          <w:color w:val="231F20"/>
          <w:spacing w:val="-7"/>
          <w:sz w:val="24"/>
        </w:rPr>
        <w:t> </w:t>
      </w:r>
      <w:r>
        <w:rPr>
          <w:i/>
          <w:color w:val="231F20"/>
          <w:sz w:val="24"/>
        </w:rPr>
        <w:t>méritent-ils</w:t>
      </w:r>
      <w:r>
        <w:rPr>
          <w:i/>
          <w:color w:val="231F20"/>
          <w:spacing w:val="-7"/>
          <w:sz w:val="24"/>
        </w:rPr>
        <w:t> </w:t>
      </w:r>
      <w:r>
        <w:rPr>
          <w:i/>
          <w:color w:val="231F20"/>
          <w:sz w:val="24"/>
        </w:rPr>
        <w:t>pas</w:t>
      </w:r>
      <w:r>
        <w:rPr>
          <w:i/>
          <w:color w:val="231F20"/>
          <w:spacing w:val="-9"/>
          <w:sz w:val="24"/>
        </w:rPr>
        <w:t> </w:t>
      </w:r>
      <w:r>
        <w:rPr>
          <w:i/>
          <w:color w:val="231F20"/>
          <w:sz w:val="24"/>
        </w:rPr>
        <w:t>d’être</w:t>
      </w:r>
      <w:r>
        <w:rPr>
          <w:i/>
          <w:color w:val="231F20"/>
          <w:spacing w:val="-10"/>
          <w:sz w:val="24"/>
        </w:rPr>
        <w:t> </w:t>
      </w:r>
      <w:r>
        <w:rPr>
          <w:i/>
          <w:color w:val="231F20"/>
          <w:sz w:val="24"/>
        </w:rPr>
        <w:t>comptés parmi</w:t>
      </w:r>
      <w:r>
        <w:rPr>
          <w:i/>
          <w:color w:val="231F20"/>
          <w:spacing w:val="-10"/>
          <w:sz w:val="24"/>
        </w:rPr>
        <w:t> </w:t>
      </w:r>
      <w:r>
        <w:rPr>
          <w:i/>
          <w:color w:val="231F20"/>
          <w:sz w:val="24"/>
        </w:rPr>
        <w:t>les hommes</w:t>
      </w:r>
      <w:r>
        <w:rPr>
          <w:i/>
          <w:color w:val="231F20"/>
          <w:spacing w:val="-15"/>
          <w:sz w:val="24"/>
        </w:rPr>
        <w:t> </w:t>
      </w:r>
      <w:r>
        <w:rPr>
          <w:color w:val="231F20"/>
          <w:sz w:val="24"/>
          <w:vertAlign w:val="superscript"/>
        </w:rPr>
        <w:t>12</w:t>
      </w:r>
      <w:r>
        <w:rPr>
          <w:color w:val="231F20"/>
          <w:spacing w:val="-15"/>
          <w:sz w:val="24"/>
          <w:vertAlign w:val="baseline"/>
        </w:rPr>
        <w:t> </w:t>
      </w:r>
      <w:r>
        <w:rPr>
          <w:color w:val="231F20"/>
          <w:sz w:val="24"/>
          <w:vertAlign w:val="baseline"/>
        </w:rPr>
        <w:t>". Il indique également que</w:t>
      </w:r>
      <w:r>
        <w:rPr>
          <w:i/>
          <w:color w:val="231F20"/>
          <w:sz w:val="24"/>
          <w:vertAlign w:val="baseline"/>
        </w:rPr>
        <w:t>"</w:t>
      </w:r>
      <w:r>
        <w:rPr>
          <w:i/>
          <w:color w:val="231F20"/>
          <w:spacing w:val="-15"/>
          <w:sz w:val="24"/>
          <w:vertAlign w:val="baseline"/>
        </w:rPr>
        <w:t> </w:t>
      </w:r>
      <w:r>
        <w:rPr>
          <w:i/>
          <w:color w:val="231F20"/>
          <w:sz w:val="24"/>
          <w:vertAlign w:val="baseline"/>
        </w:rPr>
        <w:t>les seuls peuples à</w:t>
      </w:r>
      <w:r>
        <w:rPr>
          <w:i/>
          <w:color w:val="231F20"/>
          <w:sz w:val="24"/>
          <w:vertAlign w:val="baseline"/>
        </w:rPr>
        <w:t> accepter l’esclavage sont les nègres, en raison d’un degré inférieur d’humanité,</w:t>
      </w:r>
      <w:r>
        <w:rPr>
          <w:i/>
          <w:color w:val="231F20"/>
          <w:spacing w:val="-5"/>
          <w:sz w:val="24"/>
          <w:vertAlign w:val="baseline"/>
        </w:rPr>
        <w:t> </w:t>
      </w:r>
      <w:r>
        <w:rPr>
          <w:i/>
          <w:color w:val="231F20"/>
          <w:sz w:val="24"/>
          <w:vertAlign w:val="baseline"/>
        </w:rPr>
        <w:t>leur</w:t>
      </w:r>
      <w:r>
        <w:rPr>
          <w:i/>
          <w:color w:val="231F20"/>
          <w:spacing w:val="-5"/>
          <w:sz w:val="24"/>
          <w:vertAlign w:val="baseline"/>
        </w:rPr>
        <w:t> </w:t>
      </w:r>
      <w:r>
        <w:rPr>
          <w:i/>
          <w:color w:val="231F20"/>
          <w:sz w:val="24"/>
          <w:vertAlign w:val="baseline"/>
        </w:rPr>
        <w:t>place</w:t>
      </w:r>
      <w:r>
        <w:rPr>
          <w:i/>
          <w:color w:val="231F20"/>
          <w:spacing w:val="-2"/>
          <w:sz w:val="24"/>
          <w:vertAlign w:val="baseline"/>
        </w:rPr>
        <w:t> </w:t>
      </w:r>
      <w:r>
        <w:rPr>
          <w:i/>
          <w:color w:val="231F20"/>
          <w:sz w:val="24"/>
          <w:vertAlign w:val="baseline"/>
        </w:rPr>
        <w:t>étant</w:t>
      </w:r>
      <w:r>
        <w:rPr>
          <w:i/>
          <w:color w:val="231F20"/>
          <w:spacing w:val="-2"/>
          <w:sz w:val="24"/>
          <w:vertAlign w:val="baseline"/>
        </w:rPr>
        <w:t> </w:t>
      </w:r>
      <w:r>
        <w:rPr>
          <w:i/>
          <w:color w:val="231F20"/>
          <w:sz w:val="24"/>
          <w:vertAlign w:val="baseline"/>
        </w:rPr>
        <w:t>plus</w:t>
      </w:r>
      <w:r>
        <w:rPr>
          <w:i/>
          <w:color w:val="231F20"/>
          <w:spacing w:val="-5"/>
          <w:sz w:val="24"/>
          <w:vertAlign w:val="baseline"/>
        </w:rPr>
        <w:t> </w:t>
      </w:r>
      <w:r>
        <w:rPr>
          <w:i/>
          <w:color w:val="231F20"/>
          <w:sz w:val="24"/>
          <w:vertAlign w:val="baseline"/>
        </w:rPr>
        <w:t>proche</w:t>
      </w:r>
      <w:r>
        <w:rPr>
          <w:i/>
          <w:color w:val="231F20"/>
          <w:spacing w:val="-6"/>
          <w:sz w:val="24"/>
          <w:vertAlign w:val="baseline"/>
        </w:rPr>
        <w:t> </w:t>
      </w:r>
      <w:r>
        <w:rPr>
          <w:i/>
          <w:color w:val="231F20"/>
          <w:sz w:val="24"/>
          <w:vertAlign w:val="baseline"/>
        </w:rPr>
        <w:t>du</w:t>
      </w:r>
      <w:r>
        <w:rPr>
          <w:i/>
          <w:color w:val="231F20"/>
          <w:spacing w:val="-5"/>
          <w:sz w:val="24"/>
          <w:vertAlign w:val="baseline"/>
        </w:rPr>
        <w:t> </w:t>
      </w:r>
      <w:r>
        <w:rPr>
          <w:i/>
          <w:color w:val="231F20"/>
          <w:sz w:val="24"/>
          <w:vertAlign w:val="baseline"/>
        </w:rPr>
        <w:t>stade</w:t>
      </w:r>
      <w:r>
        <w:rPr>
          <w:i/>
          <w:color w:val="231F20"/>
          <w:spacing w:val="-2"/>
          <w:sz w:val="24"/>
          <w:vertAlign w:val="baseline"/>
        </w:rPr>
        <w:t> </w:t>
      </w:r>
      <w:r>
        <w:rPr>
          <w:i/>
          <w:color w:val="231F20"/>
          <w:sz w:val="24"/>
          <w:vertAlign w:val="baseline"/>
        </w:rPr>
        <w:t>animal</w:t>
      </w:r>
      <w:r>
        <w:rPr>
          <w:i/>
          <w:color w:val="231F20"/>
          <w:spacing w:val="-3"/>
          <w:sz w:val="24"/>
          <w:vertAlign w:val="baseline"/>
        </w:rPr>
        <w:t> </w:t>
      </w:r>
      <w:r>
        <w:rPr>
          <w:color w:val="231F20"/>
          <w:sz w:val="24"/>
          <w:vertAlign w:val="baseline"/>
        </w:rPr>
        <w:t>»</w:t>
      </w:r>
      <w:r>
        <w:rPr>
          <w:color w:val="231F20"/>
          <w:sz w:val="24"/>
          <w:vertAlign w:val="superscript"/>
        </w:rPr>
        <w:t>13</w:t>
      </w:r>
      <w:r>
        <w:rPr>
          <w:color w:val="231F20"/>
          <w:sz w:val="24"/>
          <w:vertAlign w:val="baseline"/>
        </w:rPr>
        <w:t>.</w:t>
      </w:r>
    </w:p>
    <w:p>
      <w:pPr>
        <w:pStyle w:val="BodyText"/>
        <w:spacing w:before="119"/>
        <w:ind w:right="105" w:firstLine="283"/>
      </w:pPr>
      <w:r>
        <w:rPr>
          <w:color w:val="231F20"/>
        </w:rPr>
        <w:t>Dans</w:t>
      </w:r>
      <w:r>
        <w:rPr>
          <w:color w:val="231F20"/>
          <w:spacing w:val="-15"/>
        </w:rPr>
        <w:t> </w:t>
      </w:r>
      <w:r>
        <w:rPr>
          <w:color w:val="231F20"/>
        </w:rPr>
        <w:t>l'empire</w:t>
      </w:r>
      <w:r>
        <w:rPr>
          <w:color w:val="231F20"/>
          <w:spacing w:val="-15"/>
        </w:rPr>
        <w:t> </w:t>
      </w:r>
      <w:r>
        <w:rPr>
          <w:color w:val="231F20"/>
        </w:rPr>
        <w:t>arabo-musulman,</w:t>
      </w:r>
      <w:r>
        <w:rPr>
          <w:color w:val="231F20"/>
          <w:spacing w:val="-15"/>
        </w:rPr>
        <w:t> </w:t>
      </w:r>
      <w:r>
        <w:rPr>
          <w:color w:val="231F20"/>
        </w:rPr>
        <w:t>les</w:t>
      </w:r>
      <w:r>
        <w:rPr>
          <w:color w:val="231F20"/>
          <w:spacing w:val="-15"/>
        </w:rPr>
        <w:t> </w:t>
      </w:r>
      <w:r>
        <w:rPr>
          <w:color w:val="231F20"/>
        </w:rPr>
        <w:t>noirs</w:t>
      </w:r>
      <w:r>
        <w:rPr>
          <w:color w:val="231F20"/>
          <w:spacing w:val="-15"/>
        </w:rPr>
        <w:t> </w:t>
      </w:r>
      <w:r>
        <w:rPr>
          <w:color w:val="231F20"/>
        </w:rPr>
        <w:t>réduits</w:t>
      </w:r>
      <w:r>
        <w:rPr>
          <w:color w:val="231F20"/>
          <w:spacing w:val="-15"/>
        </w:rPr>
        <w:t> </w:t>
      </w:r>
      <w:r>
        <w:rPr>
          <w:color w:val="231F20"/>
        </w:rPr>
        <w:t>en</w:t>
      </w:r>
      <w:r>
        <w:rPr>
          <w:color w:val="231F20"/>
          <w:spacing w:val="-15"/>
        </w:rPr>
        <w:t> </w:t>
      </w:r>
      <w:r>
        <w:rPr>
          <w:color w:val="231F20"/>
        </w:rPr>
        <w:t>esclavage</w:t>
      </w:r>
      <w:r>
        <w:rPr>
          <w:color w:val="231F20"/>
          <w:spacing w:val="-15"/>
        </w:rPr>
        <w:t> </w:t>
      </w:r>
      <w:r>
        <w:rPr>
          <w:color w:val="231F20"/>
        </w:rPr>
        <w:t>qui</w:t>
      </w:r>
      <w:r>
        <w:rPr>
          <w:color w:val="231F20"/>
          <w:spacing w:val="-15"/>
        </w:rPr>
        <w:t> </w:t>
      </w:r>
      <w:r>
        <w:rPr>
          <w:color w:val="231F20"/>
        </w:rPr>
        <w:t>ont la</w:t>
      </w:r>
      <w:r>
        <w:rPr>
          <w:color w:val="231F20"/>
          <w:spacing w:val="-15"/>
        </w:rPr>
        <w:t> </w:t>
      </w:r>
      <w:r>
        <w:rPr>
          <w:color w:val="231F20"/>
        </w:rPr>
        <w:t>charge</w:t>
      </w:r>
      <w:r>
        <w:rPr>
          <w:color w:val="231F20"/>
          <w:spacing w:val="-15"/>
        </w:rPr>
        <w:t> </w:t>
      </w:r>
      <w:r>
        <w:rPr>
          <w:color w:val="231F20"/>
        </w:rPr>
        <w:t>de</w:t>
      </w:r>
      <w:r>
        <w:rPr>
          <w:color w:val="231F20"/>
          <w:spacing w:val="-15"/>
        </w:rPr>
        <w:t> </w:t>
      </w:r>
      <w:r>
        <w:rPr>
          <w:color w:val="231F20"/>
        </w:rPr>
        <w:t>garder</w:t>
      </w:r>
      <w:r>
        <w:rPr>
          <w:color w:val="231F20"/>
          <w:spacing w:val="-15"/>
        </w:rPr>
        <w:t> </w:t>
      </w:r>
      <w:r>
        <w:rPr>
          <w:color w:val="231F20"/>
        </w:rPr>
        <w:t>les</w:t>
      </w:r>
      <w:r>
        <w:rPr>
          <w:color w:val="231F20"/>
          <w:spacing w:val="-15"/>
        </w:rPr>
        <w:t> </w:t>
      </w:r>
      <w:r>
        <w:rPr>
          <w:color w:val="231F20"/>
        </w:rPr>
        <w:t>harems,</w:t>
      </w:r>
      <w:r>
        <w:rPr>
          <w:color w:val="231F20"/>
          <w:spacing w:val="-15"/>
        </w:rPr>
        <w:t> </w:t>
      </w:r>
      <w:r>
        <w:rPr>
          <w:color w:val="231F20"/>
        </w:rPr>
        <w:t>les</w:t>
      </w:r>
      <w:r>
        <w:rPr>
          <w:color w:val="231F20"/>
          <w:spacing w:val="-15"/>
        </w:rPr>
        <w:t> </w:t>
      </w:r>
      <w:r>
        <w:rPr>
          <w:color w:val="231F20"/>
        </w:rPr>
        <w:t>appartements</w:t>
      </w:r>
      <w:r>
        <w:rPr>
          <w:color w:val="231F20"/>
          <w:spacing w:val="-15"/>
        </w:rPr>
        <w:t> </w:t>
      </w:r>
      <w:r>
        <w:rPr>
          <w:color w:val="231F20"/>
        </w:rPr>
        <w:t>réservés</w:t>
      </w:r>
      <w:r>
        <w:rPr>
          <w:color w:val="231F20"/>
          <w:spacing w:val="-15"/>
        </w:rPr>
        <w:t> </w:t>
      </w:r>
      <w:r>
        <w:rPr>
          <w:color w:val="231F20"/>
        </w:rPr>
        <w:t>aux</w:t>
      </w:r>
      <w:r>
        <w:rPr>
          <w:color w:val="231F20"/>
          <w:spacing w:val="-15"/>
        </w:rPr>
        <w:t> </w:t>
      </w:r>
      <w:r>
        <w:rPr>
          <w:color w:val="231F20"/>
        </w:rPr>
        <w:t>épouses</w:t>
      </w:r>
      <w:r>
        <w:rPr>
          <w:color w:val="231F20"/>
          <w:spacing w:val="-15"/>
        </w:rPr>
        <w:t> </w:t>
      </w:r>
      <w:r>
        <w:rPr>
          <w:color w:val="231F20"/>
        </w:rPr>
        <w:t>et concubines des grands personnages, sont</w:t>
      </w:r>
      <w:r>
        <w:rPr>
          <w:color w:val="231F20"/>
          <w:spacing w:val="-15"/>
        </w:rPr>
        <w:t> </w:t>
      </w:r>
      <w:r>
        <w:rPr>
          <w:color w:val="231F20"/>
        </w:rPr>
        <w:t>châstrés</w:t>
      </w:r>
      <w:r>
        <w:rPr>
          <w:color w:val="231F20"/>
          <w:spacing w:val="-15"/>
        </w:rPr>
        <w:t> </w:t>
      </w:r>
      <w:r>
        <w:rPr>
          <w:color w:val="231F20"/>
        </w:rPr>
        <w:t>: leurs organes de </w:t>
      </w:r>
      <w:r>
        <w:rPr>
          <w:color w:val="231F20"/>
          <w:spacing w:val="-4"/>
        </w:rPr>
        <w:t>reproduction, testicules et pénis sont retirés chirurgicalement, le plus près </w:t>
      </w:r>
      <w:r>
        <w:rPr>
          <w:color w:val="231F20"/>
        </w:rPr>
        <w:t>possible</w:t>
      </w:r>
      <w:r>
        <w:rPr>
          <w:color w:val="231F20"/>
          <w:spacing w:val="-9"/>
        </w:rPr>
        <w:t> </w:t>
      </w:r>
      <w:r>
        <w:rPr>
          <w:color w:val="231F20"/>
        </w:rPr>
        <w:t>du</w:t>
      </w:r>
      <w:r>
        <w:rPr>
          <w:color w:val="231F20"/>
          <w:spacing w:val="-7"/>
        </w:rPr>
        <w:t> </w:t>
      </w:r>
      <w:r>
        <w:rPr>
          <w:color w:val="231F20"/>
        </w:rPr>
        <w:t>ventre.</w:t>
      </w:r>
      <w:r>
        <w:rPr>
          <w:color w:val="231F20"/>
          <w:spacing w:val="-7"/>
        </w:rPr>
        <w:t> </w:t>
      </w:r>
      <w:r>
        <w:rPr>
          <w:color w:val="231F20"/>
        </w:rPr>
        <w:t>Le</w:t>
      </w:r>
      <w:r>
        <w:rPr>
          <w:color w:val="231F20"/>
          <w:spacing w:val="-10"/>
        </w:rPr>
        <w:t> </w:t>
      </w:r>
      <w:r>
        <w:rPr>
          <w:color w:val="231F20"/>
        </w:rPr>
        <w:t>taux</w:t>
      </w:r>
      <w:r>
        <w:rPr>
          <w:color w:val="231F20"/>
          <w:spacing w:val="-7"/>
        </w:rPr>
        <w:t> </w:t>
      </w:r>
      <w:r>
        <w:rPr>
          <w:color w:val="231F20"/>
        </w:rPr>
        <w:t>de</w:t>
      </w:r>
      <w:r>
        <w:rPr>
          <w:color w:val="231F20"/>
          <w:spacing w:val="-6"/>
        </w:rPr>
        <w:t> </w:t>
      </w:r>
      <w:r>
        <w:rPr>
          <w:color w:val="231F20"/>
        </w:rPr>
        <w:t>mortalité</w:t>
      </w:r>
      <w:r>
        <w:rPr>
          <w:color w:val="231F20"/>
          <w:spacing w:val="-9"/>
        </w:rPr>
        <w:t> </w:t>
      </w:r>
      <w:r>
        <w:rPr>
          <w:color w:val="231F20"/>
        </w:rPr>
        <w:t>de</w:t>
      </w:r>
      <w:r>
        <w:rPr>
          <w:color w:val="231F20"/>
          <w:spacing w:val="-6"/>
        </w:rPr>
        <w:t> </w:t>
      </w:r>
      <w:r>
        <w:rPr>
          <w:color w:val="231F20"/>
        </w:rPr>
        <w:t>ces</w:t>
      </w:r>
      <w:r>
        <w:rPr>
          <w:color w:val="231F20"/>
          <w:spacing w:val="-7"/>
        </w:rPr>
        <w:t> </w:t>
      </w:r>
      <w:r>
        <w:rPr>
          <w:color w:val="231F20"/>
        </w:rPr>
        <w:t>ablations</w:t>
      </w:r>
      <w:r>
        <w:rPr>
          <w:color w:val="231F20"/>
          <w:spacing w:val="-9"/>
        </w:rPr>
        <w:t> </w:t>
      </w:r>
      <w:r>
        <w:rPr>
          <w:color w:val="231F20"/>
        </w:rPr>
        <w:t>est</w:t>
      </w:r>
      <w:r>
        <w:rPr>
          <w:color w:val="231F20"/>
          <w:spacing w:val="-8"/>
        </w:rPr>
        <w:t> </w:t>
      </w:r>
      <w:r>
        <w:rPr>
          <w:color w:val="231F20"/>
        </w:rPr>
        <w:t>très</w:t>
      </w:r>
      <w:r>
        <w:rPr>
          <w:color w:val="231F20"/>
          <w:spacing w:val="-7"/>
        </w:rPr>
        <w:t> </w:t>
      </w:r>
      <w:r>
        <w:rPr>
          <w:color w:val="231F20"/>
        </w:rPr>
        <w:t>élevé.</w:t>
      </w:r>
    </w:p>
    <w:p>
      <w:pPr>
        <w:pStyle w:val="BodyText"/>
        <w:spacing w:before="120"/>
        <w:ind w:right="110" w:firstLine="283"/>
      </w:pPr>
      <w:r>
        <w:rPr>
          <w:color w:val="231F20"/>
        </w:rPr>
        <w:t>Au cours des 17</w:t>
      </w:r>
      <w:r>
        <w:rPr>
          <w:color w:val="231F20"/>
          <w:vertAlign w:val="superscript"/>
        </w:rPr>
        <w:t>ème</w:t>
      </w:r>
      <w:r>
        <w:rPr>
          <w:color w:val="231F20"/>
          <w:vertAlign w:val="baseline"/>
        </w:rPr>
        <w:t> et 18</w:t>
      </w:r>
      <w:r>
        <w:rPr>
          <w:color w:val="231F20"/>
          <w:vertAlign w:val="superscript"/>
        </w:rPr>
        <w:t>ème</w:t>
      </w:r>
      <w:r>
        <w:rPr>
          <w:color w:val="231F20"/>
          <w:vertAlign w:val="baseline"/>
        </w:rPr>
        <w:t> siècles, le peuple Khoisan, l’une des nombreuses tribus d’Afrique du sud est massacré par les colons Hollandais.</w:t>
      </w:r>
      <w:r>
        <w:rPr>
          <w:color w:val="231F20"/>
          <w:spacing w:val="-6"/>
          <w:vertAlign w:val="baseline"/>
        </w:rPr>
        <w:t> </w:t>
      </w:r>
      <w:r>
        <w:rPr>
          <w:color w:val="231F20"/>
          <w:vertAlign w:val="baseline"/>
        </w:rPr>
        <w:t>Les</w:t>
      </w:r>
      <w:r>
        <w:rPr>
          <w:color w:val="231F20"/>
          <w:spacing w:val="-5"/>
          <w:vertAlign w:val="baseline"/>
        </w:rPr>
        <w:t> </w:t>
      </w:r>
      <w:r>
        <w:rPr>
          <w:color w:val="231F20"/>
          <w:vertAlign w:val="baseline"/>
        </w:rPr>
        <w:t>survivants</w:t>
      </w:r>
      <w:r>
        <w:rPr>
          <w:color w:val="231F20"/>
          <w:spacing w:val="-4"/>
          <w:vertAlign w:val="baseline"/>
        </w:rPr>
        <w:t> </w:t>
      </w:r>
      <w:r>
        <w:rPr>
          <w:color w:val="231F20"/>
          <w:vertAlign w:val="baseline"/>
        </w:rPr>
        <w:t>sont</w:t>
      </w:r>
      <w:r>
        <w:rPr>
          <w:color w:val="231F20"/>
          <w:spacing w:val="-3"/>
          <w:vertAlign w:val="baseline"/>
        </w:rPr>
        <w:t> </w:t>
      </w:r>
      <w:r>
        <w:rPr>
          <w:color w:val="231F20"/>
          <w:vertAlign w:val="baseline"/>
        </w:rPr>
        <w:t>réduits</w:t>
      </w:r>
      <w:r>
        <w:rPr>
          <w:color w:val="231F20"/>
          <w:spacing w:val="-4"/>
          <w:vertAlign w:val="baseline"/>
        </w:rPr>
        <w:t> </w:t>
      </w:r>
      <w:r>
        <w:rPr>
          <w:color w:val="231F20"/>
          <w:vertAlign w:val="baseline"/>
        </w:rPr>
        <w:t>à</w:t>
      </w:r>
      <w:r>
        <w:rPr>
          <w:color w:val="231F20"/>
          <w:spacing w:val="-4"/>
          <w:vertAlign w:val="baseline"/>
        </w:rPr>
        <w:t> </w:t>
      </w:r>
      <w:r>
        <w:rPr>
          <w:color w:val="231F20"/>
          <w:vertAlign w:val="baseline"/>
        </w:rPr>
        <w:t>l’esclavage.</w:t>
      </w:r>
    </w:p>
    <w:p>
      <w:pPr>
        <w:pStyle w:val="BodyText"/>
        <w:ind w:left="0"/>
        <w:jc w:val="left"/>
        <w:rPr>
          <w:sz w:val="20"/>
        </w:rPr>
      </w:pPr>
    </w:p>
    <w:p>
      <w:pPr>
        <w:pStyle w:val="BodyText"/>
        <w:ind w:left="0"/>
        <w:jc w:val="left"/>
        <w:rPr>
          <w:sz w:val="20"/>
        </w:rPr>
      </w:pPr>
    </w:p>
    <w:p>
      <w:pPr>
        <w:pStyle w:val="BodyText"/>
        <w:spacing w:before="55"/>
        <w:ind w:left="0"/>
        <w:jc w:val="left"/>
        <w:rPr>
          <w:sz w:val="20"/>
        </w:rPr>
      </w:pPr>
      <w:r>
        <w:rPr/>
        <mc:AlternateContent>
          <mc:Choice Requires="wps">
            <w:drawing>
              <wp:anchor distT="0" distB="0" distL="0" distR="0" allowOverlap="1" layoutInCell="1" locked="0" behindDoc="1" simplePos="0" relativeHeight="487591936">
                <wp:simplePos x="0" y="0"/>
                <wp:positionH relativeFrom="page">
                  <wp:posOffset>629907</wp:posOffset>
                </wp:positionH>
                <wp:positionV relativeFrom="paragraph">
                  <wp:posOffset>196639</wp:posOffset>
                </wp:positionV>
                <wp:extent cx="1829435" cy="952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483438pt;width:144.020pt;height:.72pt;mso-position-horizontal-relative:page;mso-position-vertical-relative:paragraph;z-index:-15724544;mso-wrap-distance-left:0;mso-wrap-distance-right:0" id="docshape17" filled="true" fillcolor="#231f20" stroked="false">
                <v:fill type="solid"/>
                <w10:wrap type="topAndBottom"/>
              </v:rect>
            </w:pict>
          </mc:Fallback>
        </mc:AlternateContent>
      </w:r>
    </w:p>
    <w:p>
      <w:pPr>
        <w:spacing w:before="91"/>
        <w:ind w:left="111" w:right="0" w:firstLine="0"/>
        <w:jc w:val="left"/>
        <w:rPr>
          <w:sz w:val="20"/>
        </w:rPr>
      </w:pPr>
      <w:r>
        <w:rPr>
          <w:color w:val="76787A"/>
          <w:spacing w:val="-4"/>
          <w:sz w:val="20"/>
          <w:vertAlign w:val="superscript"/>
        </w:rPr>
        <w:t>11</w:t>
      </w:r>
      <w:r>
        <w:rPr>
          <w:color w:val="76787A"/>
          <w:spacing w:val="-17"/>
          <w:sz w:val="20"/>
          <w:vertAlign w:val="baseline"/>
        </w:rPr>
        <w:t> </w:t>
      </w:r>
      <w:r>
        <w:rPr>
          <w:color w:val="231F20"/>
          <w:spacing w:val="-4"/>
          <w:sz w:val="20"/>
          <w:vertAlign w:val="baseline"/>
        </w:rPr>
        <w:t>Source</w:t>
      </w:r>
      <w:r>
        <w:rPr>
          <w:color w:val="231F20"/>
          <w:spacing w:val="-1"/>
          <w:sz w:val="20"/>
          <w:vertAlign w:val="baseline"/>
        </w:rPr>
        <w:t> </w:t>
      </w:r>
      <w:r>
        <w:rPr>
          <w:color w:val="231F20"/>
          <w:spacing w:val="-4"/>
          <w:sz w:val="20"/>
          <w:vertAlign w:val="baseline"/>
        </w:rPr>
        <w:t>:Nathan Nunn,</w:t>
      </w:r>
      <w:r>
        <w:rPr>
          <w:color w:val="231F20"/>
          <w:spacing w:val="-1"/>
          <w:sz w:val="20"/>
          <w:vertAlign w:val="baseline"/>
        </w:rPr>
        <w:t> </w:t>
      </w:r>
      <w:r>
        <w:rPr>
          <w:color w:val="231F20"/>
          <w:spacing w:val="-4"/>
          <w:sz w:val="20"/>
          <w:vertAlign w:val="baseline"/>
        </w:rPr>
        <w:t>économiste</w:t>
      </w:r>
      <w:r>
        <w:rPr>
          <w:color w:val="231F20"/>
          <w:sz w:val="20"/>
          <w:vertAlign w:val="baseline"/>
        </w:rPr>
        <w:t> </w:t>
      </w:r>
      <w:r>
        <w:rPr>
          <w:color w:val="231F20"/>
          <w:spacing w:val="-4"/>
          <w:sz w:val="20"/>
          <w:vertAlign w:val="baseline"/>
        </w:rPr>
        <w:t>canadien,</w:t>
      </w:r>
      <w:r>
        <w:rPr>
          <w:color w:val="231F20"/>
          <w:spacing w:val="-5"/>
          <w:sz w:val="20"/>
          <w:vertAlign w:val="baseline"/>
        </w:rPr>
        <w:t> </w:t>
      </w:r>
      <w:r>
        <w:rPr>
          <w:color w:val="231F20"/>
          <w:spacing w:val="-4"/>
          <w:sz w:val="20"/>
          <w:vertAlign w:val="baseline"/>
        </w:rPr>
        <w:t>professeur</w:t>
      </w:r>
      <w:r>
        <w:rPr>
          <w:color w:val="231F20"/>
          <w:spacing w:val="-1"/>
          <w:sz w:val="20"/>
          <w:vertAlign w:val="baseline"/>
        </w:rPr>
        <w:t> </w:t>
      </w:r>
      <w:r>
        <w:rPr>
          <w:color w:val="231F20"/>
          <w:spacing w:val="-4"/>
          <w:sz w:val="20"/>
          <w:vertAlign w:val="baseline"/>
        </w:rPr>
        <w:t>à l'Université</w:t>
      </w:r>
      <w:r>
        <w:rPr>
          <w:color w:val="231F20"/>
          <w:spacing w:val="-1"/>
          <w:sz w:val="20"/>
          <w:vertAlign w:val="baseline"/>
        </w:rPr>
        <w:t> </w:t>
      </w:r>
      <w:r>
        <w:rPr>
          <w:color w:val="231F20"/>
          <w:spacing w:val="-4"/>
          <w:sz w:val="20"/>
          <w:vertAlign w:val="baseline"/>
        </w:rPr>
        <w:t>Harvard.</w:t>
      </w:r>
    </w:p>
    <w:p>
      <w:pPr>
        <w:spacing w:before="1"/>
        <w:ind w:left="111" w:right="0" w:firstLine="0"/>
        <w:jc w:val="left"/>
        <w:rPr>
          <w:sz w:val="20"/>
        </w:rPr>
      </w:pPr>
      <w:r>
        <w:rPr>
          <w:color w:val="76787A"/>
          <w:sz w:val="20"/>
          <w:vertAlign w:val="superscript"/>
        </w:rPr>
        <w:t>12</w:t>
      </w:r>
      <w:r>
        <w:rPr>
          <w:color w:val="76787A"/>
          <w:spacing w:val="-13"/>
          <w:sz w:val="20"/>
          <w:vertAlign w:val="baseline"/>
        </w:rPr>
        <w:t> </w:t>
      </w:r>
      <w:r>
        <w:rPr>
          <w:color w:val="231F20"/>
          <w:sz w:val="20"/>
          <w:vertAlign w:val="baseline"/>
        </w:rPr>
        <w:t>Ibn</w:t>
      </w:r>
      <w:r>
        <w:rPr>
          <w:color w:val="231F20"/>
          <w:spacing w:val="18"/>
          <w:sz w:val="20"/>
          <w:vertAlign w:val="baseline"/>
        </w:rPr>
        <w:t> </w:t>
      </w:r>
      <w:r>
        <w:rPr>
          <w:color w:val="231F20"/>
          <w:sz w:val="20"/>
          <w:vertAlign w:val="baseline"/>
        </w:rPr>
        <w:t>Khaldoun,</w:t>
      </w:r>
      <w:r>
        <w:rPr>
          <w:color w:val="231F20"/>
          <w:spacing w:val="18"/>
          <w:sz w:val="20"/>
          <w:vertAlign w:val="baseline"/>
        </w:rPr>
        <w:t> </w:t>
      </w:r>
      <w:r>
        <w:rPr>
          <w:color w:val="231F20"/>
          <w:sz w:val="20"/>
          <w:vertAlign w:val="baseline"/>
        </w:rPr>
        <w:t>trad.</w:t>
      </w:r>
      <w:r>
        <w:rPr>
          <w:color w:val="231F20"/>
          <w:spacing w:val="18"/>
          <w:sz w:val="20"/>
          <w:vertAlign w:val="baseline"/>
        </w:rPr>
        <w:t> </w:t>
      </w:r>
      <w:r>
        <w:rPr>
          <w:color w:val="231F20"/>
          <w:sz w:val="20"/>
          <w:vertAlign w:val="baseline"/>
        </w:rPr>
        <w:t>William</w:t>
      </w:r>
      <w:r>
        <w:rPr>
          <w:color w:val="231F20"/>
          <w:spacing w:val="17"/>
          <w:sz w:val="20"/>
          <w:vertAlign w:val="baseline"/>
        </w:rPr>
        <w:t> </w:t>
      </w:r>
      <w:r>
        <w:rPr>
          <w:color w:val="231F20"/>
          <w:sz w:val="20"/>
          <w:vertAlign w:val="baseline"/>
        </w:rPr>
        <w:t>Mac</w:t>
      </w:r>
      <w:r>
        <w:rPr>
          <w:color w:val="231F20"/>
          <w:spacing w:val="18"/>
          <w:sz w:val="20"/>
          <w:vertAlign w:val="baseline"/>
        </w:rPr>
        <w:t> </w:t>
      </w:r>
      <w:r>
        <w:rPr>
          <w:color w:val="231F20"/>
          <w:sz w:val="20"/>
          <w:vertAlign w:val="baseline"/>
        </w:rPr>
        <w:t>Guckin</w:t>
      </w:r>
      <w:r>
        <w:rPr>
          <w:color w:val="231F20"/>
          <w:spacing w:val="19"/>
          <w:sz w:val="20"/>
          <w:vertAlign w:val="baseline"/>
        </w:rPr>
        <w:t> </w:t>
      </w:r>
      <w:r>
        <w:rPr>
          <w:color w:val="231F20"/>
          <w:sz w:val="20"/>
          <w:vertAlign w:val="baseline"/>
        </w:rPr>
        <w:t>de</w:t>
      </w:r>
      <w:r>
        <w:rPr>
          <w:color w:val="231F20"/>
          <w:spacing w:val="18"/>
          <w:sz w:val="20"/>
          <w:vertAlign w:val="baseline"/>
        </w:rPr>
        <w:t> </w:t>
      </w:r>
      <w:r>
        <w:rPr>
          <w:color w:val="231F20"/>
          <w:sz w:val="20"/>
          <w:vertAlign w:val="baseline"/>
        </w:rPr>
        <w:t>Slane,</w:t>
      </w:r>
      <w:r>
        <w:rPr>
          <w:color w:val="231F20"/>
          <w:spacing w:val="18"/>
          <w:sz w:val="20"/>
          <w:vertAlign w:val="baseline"/>
        </w:rPr>
        <w:t> </w:t>
      </w:r>
      <w:r>
        <w:rPr>
          <w:i/>
          <w:color w:val="231F20"/>
          <w:sz w:val="20"/>
          <w:vertAlign w:val="baseline"/>
        </w:rPr>
        <w:t>Les</w:t>
      </w:r>
      <w:r>
        <w:rPr>
          <w:i/>
          <w:color w:val="231F20"/>
          <w:spacing w:val="16"/>
          <w:sz w:val="20"/>
          <w:vertAlign w:val="baseline"/>
        </w:rPr>
        <w:t> </w:t>
      </w:r>
      <w:r>
        <w:rPr>
          <w:i/>
          <w:color w:val="231F20"/>
          <w:sz w:val="20"/>
          <w:vertAlign w:val="baseline"/>
        </w:rPr>
        <w:t>Prolégomènes</w:t>
      </w:r>
      <w:r>
        <w:rPr>
          <w:i/>
          <w:color w:val="231F20"/>
          <w:spacing w:val="-13"/>
          <w:sz w:val="20"/>
          <w:vertAlign w:val="baseline"/>
        </w:rPr>
        <w:t> </w:t>
      </w:r>
      <w:r>
        <w:rPr>
          <w:color w:val="231F20"/>
          <w:sz w:val="20"/>
          <w:vertAlign w:val="baseline"/>
        </w:rPr>
        <w:t>(première partie), p. 170.</w:t>
      </w:r>
    </w:p>
    <w:p>
      <w:pPr>
        <w:spacing w:before="1"/>
        <w:ind w:left="111" w:right="0" w:firstLine="0"/>
        <w:jc w:val="left"/>
        <w:rPr>
          <w:sz w:val="20"/>
        </w:rPr>
      </w:pPr>
      <w:r>
        <w:rPr>
          <w:color w:val="76787A"/>
          <w:spacing w:val="-2"/>
          <w:sz w:val="20"/>
          <w:vertAlign w:val="superscript"/>
        </w:rPr>
        <w:t>13</w:t>
      </w:r>
      <w:r>
        <w:rPr>
          <w:color w:val="76787A"/>
          <w:spacing w:val="-9"/>
          <w:sz w:val="20"/>
          <w:vertAlign w:val="baseline"/>
        </w:rPr>
        <w:t> </w:t>
      </w:r>
      <w:r>
        <w:rPr>
          <w:color w:val="231F20"/>
          <w:spacing w:val="-2"/>
          <w:sz w:val="20"/>
          <w:vertAlign w:val="baseline"/>
        </w:rPr>
        <w:t>Cité</w:t>
      </w:r>
      <w:r>
        <w:rPr>
          <w:color w:val="231F20"/>
          <w:spacing w:val="-9"/>
          <w:sz w:val="20"/>
          <w:vertAlign w:val="baseline"/>
        </w:rPr>
        <w:t> </w:t>
      </w:r>
      <w:r>
        <w:rPr>
          <w:color w:val="231F20"/>
          <w:spacing w:val="-2"/>
          <w:sz w:val="20"/>
          <w:vertAlign w:val="baseline"/>
        </w:rPr>
        <w:t>par</w:t>
      </w:r>
      <w:r>
        <w:rPr>
          <w:color w:val="231F20"/>
          <w:spacing w:val="-10"/>
          <w:sz w:val="20"/>
          <w:vertAlign w:val="baseline"/>
        </w:rPr>
        <w:t> </w:t>
      </w:r>
      <w:r>
        <w:rPr>
          <w:color w:val="231F20"/>
          <w:spacing w:val="-2"/>
          <w:sz w:val="20"/>
          <w:vertAlign w:val="baseline"/>
        </w:rPr>
        <w:t>Tidiane</w:t>
      </w:r>
      <w:r>
        <w:rPr>
          <w:color w:val="231F20"/>
          <w:spacing w:val="-8"/>
          <w:sz w:val="20"/>
          <w:vertAlign w:val="baseline"/>
        </w:rPr>
        <w:t> </w:t>
      </w:r>
      <w:r>
        <w:rPr>
          <w:color w:val="231F20"/>
          <w:spacing w:val="-2"/>
          <w:sz w:val="20"/>
          <w:vertAlign w:val="baseline"/>
        </w:rPr>
        <w:t>N'Diaye,</w:t>
      </w:r>
      <w:r>
        <w:rPr>
          <w:color w:val="231F20"/>
          <w:spacing w:val="-11"/>
          <w:sz w:val="20"/>
          <w:vertAlign w:val="baseline"/>
        </w:rPr>
        <w:t> </w:t>
      </w:r>
      <w:r>
        <w:rPr>
          <w:i/>
          <w:color w:val="231F20"/>
          <w:spacing w:val="-2"/>
          <w:sz w:val="20"/>
          <w:vertAlign w:val="baseline"/>
        </w:rPr>
        <w:t>L'éclipse</w:t>
      </w:r>
      <w:r>
        <w:rPr>
          <w:i/>
          <w:color w:val="231F20"/>
          <w:spacing w:val="-9"/>
          <w:sz w:val="20"/>
          <w:vertAlign w:val="baseline"/>
        </w:rPr>
        <w:t> </w:t>
      </w:r>
      <w:r>
        <w:rPr>
          <w:i/>
          <w:color w:val="231F20"/>
          <w:spacing w:val="-2"/>
          <w:sz w:val="20"/>
          <w:vertAlign w:val="baseline"/>
        </w:rPr>
        <w:t>des</w:t>
      </w:r>
      <w:r>
        <w:rPr>
          <w:i/>
          <w:color w:val="231F20"/>
          <w:spacing w:val="-10"/>
          <w:sz w:val="20"/>
          <w:vertAlign w:val="baseline"/>
        </w:rPr>
        <w:t> </w:t>
      </w:r>
      <w:r>
        <w:rPr>
          <w:i/>
          <w:color w:val="231F20"/>
          <w:spacing w:val="-2"/>
          <w:sz w:val="20"/>
          <w:vertAlign w:val="baseline"/>
        </w:rPr>
        <w:t>Dieux.</w:t>
      </w:r>
      <w:r>
        <w:rPr>
          <w:i/>
          <w:color w:val="231F20"/>
          <w:spacing w:val="-8"/>
          <w:sz w:val="20"/>
          <w:vertAlign w:val="baseline"/>
        </w:rPr>
        <w:t> </w:t>
      </w:r>
      <w:r>
        <w:rPr>
          <w:i/>
          <w:color w:val="231F20"/>
          <w:spacing w:val="-2"/>
          <w:sz w:val="20"/>
          <w:vertAlign w:val="baseline"/>
        </w:rPr>
        <w:t>Grandeur</w:t>
      </w:r>
      <w:r>
        <w:rPr>
          <w:i/>
          <w:color w:val="231F20"/>
          <w:spacing w:val="-10"/>
          <w:sz w:val="20"/>
          <w:vertAlign w:val="baseline"/>
        </w:rPr>
        <w:t> </w:t>
      </w:r>
      <w:r>
        <w:rPr>
          <w:i/>
          <w:color w:val="231F20"/>
          <w:spacing w:val="-2"/>
          <w:sz w:val="20"/>
          <w:vertAlign w:val="baseline"/>
        </w:rPr>
        <w:t>et</w:t>
      </w:r>
      <w:r>
        <w:rPr>
          <w:i/>
          <w:color w:val="231F20"/>
          <w:spacing w:val="-10"/>
          <w:sz w:val="20"/>
          <w:vertAlign w:val="baseline"/>
        </w:rPr>
        <w:t> </w:t>
      </w:r>
      <w:r>
        <w:rPr>
          <w:i/>
          <w:color w:val="231F20"/>
          <w:spacing w:val="-2"/>
          <w:sz w:val="20"/>
          <w:vertAlign w:val="baseline"/>
        </w:rPr>
        <w:t>désespérance</w:t>
      </w:r>
      <w:r>
        <w:rPr>
          <w:i/>
          <w:color w:val="231F20"/>
          <w:spacing w:val="-10"/>
          <w:sz w:val="20"/>
          <w:vertAlign w:val="baseline"/>
        </w:rPr>
        <w:t> </w:t>
      </w:r>
      <w:r>
        <w:rPr>
          <w:i/>
          <w:color w:val="231F20"/>
          <w:spacing w:val="-2"/>
          <w:sz w:val="20"/>
          <w:vertAlign w:val="baseline"/>
        </w:rPr>
        <w:t>des</w:t>
      </w:r>
      <w:r>
        <w:rPr>
          <w:i/>
          <w:color w:val="231F20"/>
          <w:spacing w:val="-11"/>
          <w:sz w:val="20"/>
          <w:vertAlign w:val="baseline"/>
        </w:rPr>
        <w:t> </w:t>
      </w:r>
      <w:r>
        <w:rPr>
          <w:i/>
          <w:color w:val="231F20"/>
          <w:spacing w:val="-2"/>
          <w:sz w:val="20"/>
          <w:vertAlign w:val="baseline"/>
        </w:rPr>
        <w:t>peuples</w:t>
      </w:r>
      <w:r>
        <w:rPr>
          <w:i/>
          <w:color w:val="231F20"/>
          <w:spacing w:val="-2"/>
          <w:sz w:val="20"/>
          <w:vertAlign w:val="baseline"/>
        </w:rPr>
        <w:t> </w:t>
      </w:r>
      <w:r>
        <w:rPr>
          <w:i/>
          <w:color w:val="231F20"/>
          <w:sz w:val="20"/>
          <w:vertAlign w:val="baseline"/>
        </w:rPr>
        <w:t>noirs</w:t>
      </w:r>
      <w:r>
        <w:rPr>
          <w:color w:val="231F20"/>
          <w:sz w:val="20"/>
          <w:vertAlign w:val="baseline"/>
        </w:rPr>
        <w:t>,</w:t>
      </w:r>
      <w:r>
        <w:rPr>
          <w:color w:val="231F20"/>
          <w:spacing w:val="-8"/>
          <w:sz w:val="20"/>
          <w:vertAlign w:val="baseline"/>
        </w:rPr>
        <w:t> </w:t>
      </w:r>
      <w:r>
        <w:rPr>
          <w:color w:val="231F20"/>
          <w:sz w:val="20"/>
          <w:vertAlign w:val="baseline"/>
        </w:rPr>
        <w:t>éd.</w:t>
      </w:r>
      <w:r>
        <w:rPr>
          <w:color w:val="231F20"/>
          <w:spacing w:val="-8"/>
          <w:sz w:val="20"/>
          <w:vertAlign w:val="baseline"/>
        </w:rPr>
        <w:t> </w:t>
      </w:r>
      <w:r>
        <w:rPr>
          <w:color w:val="231F20"/>
          <w:sz w:val="20"/>
          <w:vertAlign w:val="baseline"/>
        </w:rPr>
        <w:t>du</w:t>
      </w:r>
      <w:r>
        <w:rPr>
          <w:color w:val="231F20"/>
          <w:spacing w:val="-6"/>
          <w:sz w:val="20"/>
          <w:vertAlign w:val="baseline"/>
        </w:rPr>
        <w:t> </w:t>
      </w:r>
      <w:r>
        <w:rPr>
          <w:color w:val="231F20"/>
          <w:sz w:val="20"/>
          <w:vertAlign w:val="baseline"/>
        </w:rPr>
        <w:t>Rocher,</w:t>
      </w:r>
      <w:r>
        <w:rPr>
          <w:color w:val="231F20"/>
          <w:spacing w:val="-8"/>
          <w:sz w:val="20"/>
          <w:vertAlign w:val="baseline"/>
        </w:rPr>
        <w:t> </w:t>
      </w:r>
      <w:r>
        <w:rPr>
          <w:color w:val="231F20"/>
          <w:sz w:val="20"/>
          <w:vertAlign w:val="baseline"/>
        </w:rPr>
        <w:t>Paris,</w:t>
      </w:r>
      <w:r>
        <w:rPr>
          <w:color w:val="231F20"/>
          <w:spacing w:val="-8"/>
          <w:sz w:val="20"/>
          <w:vertAlign w:val="baseline"/>
        </w:rPr>
        <w:t> </w:t>
      </w:r>
      <w:r>
        <w:rPr>
          <w:color w:val="231F20"/>
          <w:sz w:val="20"/>
          <w:vertAlign w:val="baseline"/>
        </w:rPr>
        <w:t>2006,</w:t>
      </w:r>
      <w:r>
        <w:rPr>
          <w:color w:val="231F20"/>
          <w:spacing w:val="-8"/>
          <w:sz w:val="20"/>
          <w:vertAlign w:val="baseline"/>
        </w:rPr>
        <w:t> </w:t>
      </w:r>
      <w:r>
        <w:rPr>
          <w:color w:val="231F20"/>
          <w:sz w:val="20"/>
          <w:vertAlign w:val="baseline"/>
        </w:rPr>
        <w:t>tirage</w:t>
      </w:r>
      <w:r>
        <w:rPr>
          <w:color w:val="231F20"/>
          <w:spacing w:val="-8"/>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2010,</w:t>
      </w:r>
      <w:r>
        <w:rPr>
          <w:color w:val="231F20"/>
          <w:spacing w:val="-6"/>
          <w:sz w:val="20"/>
          <w:vertAlign w:val="baseline"/>
        </w:rPr>
        <w:t> </w:t>
      </w:r>
      <w:r>
        <w:rPr>
          <w:color w:val="231F20"/>
          <w:sz w:val="20"/>
          <w:vertAlign w:val="baseline"/>
        </w:rPr>
        <w:t>Le</w:t>
      </w:r>
      <w:r>
        <w:rPr>
          <w:color w:val="231F20"/>
          <w:spacing w:val="-6"/>
          <w:sz w:val="20"/>
          <w:vertAlign w:val="baseline"/>
        </w:rPr>
        <w:t> </w:t>
      </w:r>
      <w:r>
        <w:rPr>
          <w:color w:val="231F20"/>
          <w:sz w:val="20"/>
          <w:vertAlign w:val="baseline"/>
        </w:rPr>
        <w:t>Serpent</w:t>
      </w:r>
      <w:r>
        <w:rPr>
          <w:color w:val="231F20"/>
          <w:spacing w:val="-8"/>
          <w:sz w:val="20"/>
          <w:vertAlign w:val="baseline"/>
        </w:rPr>
        <w:t> </w:t>
      </w:r>
      <w:r>
        <w:rPr>
          <w:color w:val="231F20"/>
          <w:sz w:val="20"/>
          <w:vertAlign w:val="baseline"/>
        </w:rPr>
        <w:t>à</w:t>
      </w:r>
      <w:r>
        <w:rPr>
          <w:color w:val="231F20"/>
          <w:spacing w:val="-8"/>
          <w:sz w:val="20"/>
          <w:vertAlign w:val="baseline"/>
        </w:rPr>
        <w:t> </w:t>
      </w:r>
      <w:r>
        <w:rPr>
          <w:color w:val="231F20"/>
          <w:sz w:val="20"/>
          <w:vertAlign w:val="baseline"/>
        </w:rPr>
        <w:t>Plumes,</w:t>
      </w:r>
      <w:r>
        <w:rPr>
          <w:color w:val="231F20"/>
          <w:spacing w:val="-8"/>
          <w:sz w:val="20"/>
          <w:vertAlign w:val="baseline"/>
        </w:rPr>
        <w:t> </w:t>
      </w:r>
      <w:r>
        <w:rPr>
          <w:color w:val="231F20"/>
          <w:sz w:val="20"/>
          <w:vertAlign w:val="baseline"/>
        </w:rPr>
        <w:t>p.</w:t>
      </w:r>
      <w:r>
        <w:rPr>
          <w:color w:val="231F20"/>
          <w:spacing w:val="-8"/>
          <w:sz w:val="20"/>
          <w:vertAlign w:val="baseline"/>
        </w:rPr>
        <w:t> </w:t>
      </w:r>
      <w:r>
        <w:rPr>
          <w:color w:val="231F20"/>
          <w:sz w:val="20"/>
          <w:vertAlign w:val="baseline"/>
        </w:rPr>
        <w:t>89.</w:t>
      </w:r>
    </w:p>
    <w:p>
      <w:pPr>
        <w:spacing w:after="0"/>
        <w:jc w:val="left"/>
        <w:rPr>
          <w:sz w:val="20"/>
        </w:rPr>
        <w:sectPr>
          <w:pgSz w:w="8790" w:h="13610"/>
          <w:pgMar w:header="0" w:footer="802" w:top="1060" w:bottom="1000" w:left="880" w:right="880"/>
        </w:sectPr>
      </w:pPr>
    </w:p>
    <w:p>
      <w:pPr>
        <w:pStyle w:val="BodyText"/>
        <w:spacing w:before="124"/>
        <w:ind w:right="104" w:firstLine="283"/>
      </w:pPr>
      <w:r>
        <w:rPr>
          <w:color w:val="231F20"/>
          <w:spacing w:val="-4"/>
        </w:rPr>
        <w:t>Sawtche</w:t>
      </w:r>
      <w:r>
        <w:rPr>
          <w:color w:val="231F20"/>
          <w:spacing w:val="-4"/>
          <w:vertAlign w:val="superscript"/>
        </w:rPr>
        <w:t>14</w:t>
      </w:r>
      <w:r>
        <w:rPr>
          <w:color w:val="231F20"/>
          <w:spacing w:val="8"/>
          <w:vertAlign w:val="baseline"/>
        </w:rPr>
        <w:t> </w:t>
      </w:r>
      <w:r>
        <w:rPr>
          <w:color w:val="231F20"/>
          <w:spacing w:val="-4"/>
          <w:vertAlign w:val="baseline"/>
        </w:rPr>
        <w:t>est</w:t>
      </w:r>
      <w:r>
        <w:rPr>
          <w:color w:val="231F20"/>
          <w:spacing w:val="-8"/>
          <w:vertAlign w:val="baseline"/>
        </w:rPr>
        <w:t> </w:t>
      </w:r>
      <w:r>
        <w:rPr>
          <w:color w:val="231F20"/>
          <w:spacing w:val="-4"/>
          <w:vertAlign w:val="baseline"/>
        </w:rPr>
        <w:t>une</w:t>
      </w:r>
      <w:r>
        <w:rPr>
          <w:color w:val="231F20"/>
          <w:spacing w:val="-8"/>
          <w:vertAlign w:val="baseline"/>
        </w:rPr>
        <w:t> </w:t>
      </w:r>
      <w:r>
        <w:rPr>
          <w:color w:val="231F20"/>
          <w:spacing w:val="-4"/>
          <w:vertAlign w:val="baseline"/>
        </w:rPr>
        <w:t>jeune</w:t>
      </w:r>
      <w:r>
        <w:rPr>
          <w:color w:val="231F20"/>
          <w:spacing w:val="-8"/>
          <w:vertAlign w:val="baseline"/>
        </w:rPr>
        <w:t> </w:t>
      </w:r>
      <w:r>
        <w:rPr>
          <w:color w:val="231F20"/>
          <w:spacing w:val="-4"/>
          <w:vertAlign w:val="baseline"/>
        </w:rPr>
        <w:t>femme</w:t>
      </w:r>
      <w:r>
        <w:rPr>
          <w:color w:val="231F20"/>
          <w:spacing w:val="-8"/>
          <w:vertAlign w:val="baseline"/>
        </w:rPr>
        <w:t> </w:t>
      </w:r>
      <w:r>
        <w:rPr>
          <w:color w:val="231F20"/>
          <w:spacing w:val="-4"/>
          <w:vertAlign w:val="baseline"/>
        </w:rPr>
        <w:t>de</w:t>
      </w:r>
      <w:r>
        <w:rPr>
          <w:color w:val="231F20"/>
          <w:spacing w:val="-8"/>
          <w:vertAlign w:val="baseline"/>
        </w:rPr>
        <w:t> </w:t>
      </w:r>
      <w:r>
        <w:rPr>
          <w:color w:val="231F20"/>
          <w:spacing w:val="-4"/>
          <w:vertAlign w:val="baseline"/>
        </w:rPr>
        <w:t>cette</w:t>
      </w:r>
      <w:r>
        <w:rPr>
          <w:color w:val="231F20"/>
          <w:spacing w:val="-8"/>
          <w:vertAlign w:val="baseline"/>
        </w:rPr>
        <w:t> </w:t>
      </w:r>
      <w:r>
        <w:rPr>
          <w:color w:val="231F20"/>
          <w:spacing w:val="-4"/>
          <w:vertAlign w:val="baseline"/>
        </w:rPr>
        <w:t>tribu.</w:t>
      </w:r>
      <w:r>
        <w:rPr>
          <w:color w:val="231F20"/>
          <w:spacing w:val="-8"/>
          <w:vertAlign w:val="baseline"/>
        </w:rPr>
        <w:t> </w:t>
      </w:r>
      <w:r>
        <w:rPr>
          <w:color w:val="231F20"/>
          <w:spacing w:val="-4"/>
          <w:vertAlign w:val="baseline"/>
        </w:rPr>
        <w:t>En</w:t>
      </w:r>
      <w:r>
        <w:rPr>
          <w:color w:val="231F20"/>
          <w:spacing w:val="-8"/>
          <w:vertAlign w:val="baseline"/>
        </w:rPr>
        <w:t> </w:t>
      </w:r>
      <w:r>
        <w:rPr>
          <w:color w:val="231F20"/>
          <w:spacing w:val="-4"/>
          <w:vertAlign w:val="baseline"/>
        </w:rPr>
        <w:t>1807,</w:t>
      </w:r>
      <w:r>
        <w:rPr>
          <w:color w:val="231F20"/>
          <w:spacing w:val="-8"/>
          <w:vertAlign w:val="baseline"/>
        </w:rPr>
        <w:t> </w:t>
      </w:r>
      <w:r>
        <w:rPr>
          <w:color w:val="231F20"/>
          <w:spacing w:val="-4"/>
          <w:vertAlign w:val="baseline"/>
        </w:rPr>
        <w:t>elle</w:t>
      </w:r>
      <w:r>
        <w:rPr>
          <w:color w:val="231F20"/>
          <w:spacing w:val="-8"/>
          <w:vertAlign w:val="baseline"/>
        </w:rPr>
        <w:t> </w:t>
      </w:r>
      <w:r>
        <w:rPr>
          <w:color w:val="231F20"/>
          <w:spacing w:val="-4"/>
          <w:vertAlign w:val="baseline"/>
        </w:rPr>
        <w:t>est</w:t>
      </w:r>
      <w:r>
        <w:rPr>
          <w:color w:val="231F20"/>
          <w:spacing w:val="-7"/>
          <w:vertAlign w:val="baseline"/>
        </w:rPr>
        <w:t> </w:t>
      </w:r>
      <w:r>
        <w:rPr>
          <w:color w:val="231F20"/>
          <w:spacing w:val="-4"/>
          <w:vertAlign w:val="baseline"/>
        </w:rPr>
        <w:t>vendue </w:t>
      </w:r>
      <w:r>
        <w:rPr>
          <w:color w:val="231F20"/>
          <w:vertAlign w:val="baseline"/>
        </w:rPr>
        <w:t>au frère de son maître dans une autre ferme près du Cap. En 1810, un </w:t>
      </w:r>
      <w:r>
        <w:rPr>
          <w:color w:val="231F20"/>
          <w:spacing w:val="-2"/>
          <w:vertAlign w:val="baseline"/>
        </w:rPr>
        <w:t>médecin</w:t>
      </w:r>
      <w:r>
        <w:rPr>
          <w:color w:val="231F20"/>
          <w:spacing w:val="-9"/>
          <w:vertAlign w:val="baseline"/>
        </w:rPr>
        <w:t> </w:t>
      </w:r>
      <w:r>
        <w:rPr>
          <w:color w:val="231F20"/>
          <w:spacing w:val="-2"/>
          <w:vertAlign w:val="baseline"/>
        </w:rPr>
        <w:t>de</w:t>
      </w:r>
      <w:r>
        <w:rPr>
          <w:color w:val="231F20"/>
          <w:spacing w:val="-11"/>
          <w:vertAlign w:val="baseline"/>
        </w:rPr>
        <w:t> </w:t>
      </w:r>
      <w:r>
        <w:rPr>
          <w:color w:val="231F20"/>
          <w:spacing w:val="-2"/>
          <w:vertAlign w:val="baseline"/>
        </w:rPr>
        <w:t>la</w:t>
      </w:r>
      <w:r>
        <w:rPr>
          <w:color w:val="231F20"/>
          <w:spacing w:val="-8"/>
          <w:vertAlign w:val="baseline"/>
        </w:rPr>
        <w:t> </w:t>
      </w:r>
      <w:r>
        <w:rPr>
          <w:color w:val="231F20"/>
          <w:spacing w:val="-2"/>
          <w:vertAlign w:val="baseline"/>
        </w:rPr>
        <w:t>marine</w:t>
      </w:r>
      <w:r>
        <w:rPr>
          <w:color w:val="231F20"/>
          <w:spacing w:val="-9"/>
          <w:vertAlign w:val="baseline"/>
        </w:rPr>
        <w:t> </w:t>
      </w:r>
      <w:r>
        <w:rPr>
          <w:color w:val="231F20"/>
          <w:spacing w:val="-2"/>
          <w:vertAlign w:val="baseline"/>
        </w:rPr>
        <w:t>Anglaise,</w:t>
      </w:r>
      <w:r>
        <w:rPr>
          <w:color w:val="231F20"/>
          <w:spacing w:val="-9"/>
          <w:vertAlign w:val="baseline"/>
        </w:rPr>
        <w:t> </w:t>
      </w:r>
      <w:r>
        <w:rPr>
          <w:color w:val="231F20"/>
          <w:spacing w:val="-2"/>
          <w:vertAlign w:val="baseline"/>
        </w:rPr>
        <w:t>invité</w:t>
      </w:r>
      <w:r>
        <w:rPr>
          <w:color w:val="231F20"/>
          <w:spacing w:val="-9"/>
          <w:vertAlign w:val="baseline"/>
        </w:rPr>
        <w:t> </w:t>
      </w:r>
      <w:r>
        <w:rPr>
          <w:color w:val="231F20"/>
          <w:spacing w:val="-2"/>
          <w:vertAlign w:val="baseline"/>
        </w:rPr>
        <w:t>chez</w:t>
      </w:r>
      <w:r>
        <w:rPr>
          <w:color w:val="231F20"/>
          <w:spacing w:val="-9"/>
          <w:vertAlign w:val="baseline"/>
        </w:rPr>
        <w:t> </w:t>
      </w:r>
      <w:r>
        <w:rPr>
          <w:color w:val="231F20"/>
          <w:spacing w:val="-2"/>
          <w:vertAlign w:val="baseline"/>
        </w:rPr>
        <w:t>ce</w:t>
      </w:r>
      <w:r>
        <w:rPr>
          <w:color w:val="231F20"/>
          <w:spacing w:val="-9"/>
          <w:vertAlign w:val="baseline"/>
        </w:rPr>
        <w:t> </w:t>
      </w:r>
      <w:r>
        <w:rPr>
          <w:color w:val="231F20"/>
          <w:spacing w:val="-2"/>
          <w:vertAlign w:val="baseline"/>
        </w:rPr>
        <w:t>dernier,</w:t>
      </w:r>
      <w:r>
        <w:rPr>
          <w:color w:val="231F20"/>
          <w:spacing w:val="-9"/>
          <w:vertAlign w:val="baseline"/>
        </w:rPr>
        <w:t> </w:t>
      </w:r>
      <w:r>
        <w:rPr>
          <w:color w:val="231F20"/>
          <w:spacing w:val="-2"/>
          <w:vertAlign w:val="baseline"/>
        </w:rPr>
        <w:t>remarque</w:t>
      </w:r>
      <w:r>
        <w:rPr>
          <w:color w:val="231F20"/>
          <w:spacing w:val="-11"/>
          <w:vertAlign w:val="baseline"/>
        </w:rPr>
        <w:t> </w:t>
      </w:r>
      <w:r>
        <w:rPr>
          <w:color w:val="231F20"/>
          <w:spacing w:val="-2"/>
          <w:vertAlign w:val="baseline"/>
        </w:rPr>
        <w:t>la</w:t>
      </w:r>
      <w:r>
        <w:rPr>
          <w:color w:val="231F20"/>
          <w:spacing w:val="-8"/>
          <w:vertAlign w:val="baseline"/>
        </w:rPr>
        <w:t> </w:t>
      </w:r>
      <w:r>
        <w:rPr>
          <w:color w:val="231F20"/>
          <w:spacing w:val="-2"/>
          <w:vertAlign w:val="baseline"/>
        </w:rPr>
        <w:t>jeune </w:t>
      </w:r>
      <w:r>
        <w:rPr>
          <w:color w:val="231F20"/>
          <w:spacing w:val="-4"/>
          <w:vertAlign w:val="baseline"/>
        </w:rPr>
        <w:t>femme</w:t>
      </w:r>
      <w:r>
        <w:rPr>
          <w:color w:val="231F20"/>
          <w:spacing w:val="-11"/>
          <w:vertAlign w:val="baseline"/>
        </w:rPr>
        <w:t> </w:t>
      </w:r>
      <w:r>
        <w:rPr>
          <w:color w:val="231F20"/>
          <w:spacing w:val="-4"/>
          <w:vertAlign w:val="baseline"/>
        </w:rPr>
        <w:t>dont</w:t>
      </w:r>
      <w:r>
        <w:rPr>
          <w:color w:val="231F20"/>
          <w:spacing w:val="-11"/>
          <w:vertAlign w:val="baseline"/>
        </w:rPr>
        <w:t> </w:t>
      </w:r>
      <w:r>
        <w:rPr>
          <w:color w:val="231F20"/>
          <w:spacing w:val="-4"/>
          <w:vertAlign w:val="baseline"/>
        </w:rPr>
        <w:t>la</w:t>
      </w:r>
      <w:r>
        <w:rPr>
          <w:color w:val="231F20"/>
          <w:spacing w:val="-11"/>
          <w:vertAlign w:val="baseline"/>
        </w:rPr>
        <w:t> </w:t>
      </w:r>
      <w:r>
        <w:rPr>
          <w:color w:val="231F20"/>
          <w:spacing w:val="-4"/>
          <w:vertAlign w:val="baseline"/>
        </w:rPr>
        <w:t>puberté</w:t>
      </w:r>
      <w:r>
        <w:rPr>
          <w:color w:val="231F20"/>
          <w:spacing w:val="-11"/>
          <w:vertAlign w:val="baseline"/>
        </w:rPr>
        <w:t> </w:t>
      </w:r>
      <w:r>
        <w:rPr>
          <w:color w:val="231F20"/>
          <w:spacing w:val="-4"/>
          <w:vertAlign w:val="baseline"/>
        </w:rPr>
        <w:t>a</w:t>
      </w:r>
      <w:r>
        <w:rPr>
          <w:color w:val="231F20"/>
          <w:spacing w:val="-11"/>
          <w:vertAlign w:val="baseline"/>
        </w:rPr>
        <w:t> </w:t>
      </w:r>
      <w:r>
        <w:rPr>
          <w:color w:val="231F20"/>
          <w:spacing w:val="-4"/>
          <w:vertAlign w:val="baseline"/>
        </w:rPr>
        <w:t>gracieusement</w:t>
      </w:r>
      <w:r>
        <w:rPr>
          <w:color w:val="231F20"/>
          <w:spacing w:val="-11"/>
          <w:vertAlign w:val="baseline"/>
        </w:rPr>
        <w:t> </w:t>
      </w:r>
      <w:r>
        <w:rPr>
          <w:color w:val="231F20"/>
          <w:spacing w:val="-4"/>
          <w:vertAlign w:val="baseline"/>
        </w:rPr>
        <w:t>donné</w:t>
      </w:r>
      <w:r>
        <w:rPr>
          <w:color w:val="231F20"/>
          <w:spacing w:val="-11"/>
          <w:vertAlign w:val="baseline"/>
        </w:rPr>
        <w:t> </w:t>
      </w:r>
      <w:r>
        <w:rPr>
          <w:color w:val="231F20"/>
          <w:spacing w:val="-4"/>
          <w:vertAlign w:val="baseline"/>
        </w:rPr>
        <w:t>tous</w:t>
      </w:r>
      <w:r>
        <w:rPr>
          <w:color w:val="231F20"/>
          <w:spacing w:val="-11"/>
          <w:vertAlign w:val="baseline"/>
        </w:rPr>
        <w:t> </w:t>
      </w:r>
      <w:r>
        <w:rPr>
          <w:color w:val="231F20"/>
          <w:spacing w:val="-4"/>
          <w:vertAlign w:val="baseline"/>
        </w:rPr>
        <w:t>les</w:t>
      </w:r>
      <w:r>
        <w:rPr>
          <w:color w:val="231F20"/>
          <w:spacing w:val="-11"/>
          <w:vertAlign w:val="baseline"/>
        </w:rPr>
        <w:t> </w:t>
      </w:r>
      <w:r>
        <w:rPr>
          <w:color w:val="231F20"/>
          <w:spacing w:val="-4"/>
          <w:vertAlign w:val="baseline"/>
        </w:rPr>
        <w:t>canons</w:t>
      </w:r>
      <w:r>
        <w:rPr>
          <w:color w:val="231F20"/>
          <w:spacing w:val="-9"/>
          <w:vertAlign w:val="baseline"/>
        </w:rPr>
        <w:t> </w:t>
      </w:r>
      <w:r>
        <w:rPr>
          <w:color w:val="231F20"/>
          <w:spacing w:val="-4"/>
          <w:vertAlign w:val="baseline"/>
        </w:rPr>
        <w:t>de</w:t>
      </w:r>
      <w:r>
        <w:rPr>
          <w:color w:val="231F20"/>
          <w:spacing w:val="-11"/>
          <w:vertAlign w:val="baseline"/>
        </w:rPr>
        <w:t> </w:t>
      </w:r>
      <w:r>
        <w:rPr>
          <w:color w:val="231F20"/>
          <w:spacing w:val="-4"/>
          <w:vertAlign w:val="baseline"/>
        </w:rPr>
        <w:t>la</w:t>
      </w:r>
      <w:r>
        <w:rPr>
          <w:color w:val="231F20"/>
          <w:spacing w:val="-11"/>
          <w:vertAlign w:val="baseline"/>
        </w:rPr>
        <w:t> </w:t>
      </w:r>
      <w:r>
        <w:rPr>
          <w:color w:val="231F20"/>
          <w:spacing w:val="-4"/>
          <w:vertAlign w:val="baseline"/>
        </w:rPr>
        <w:t>beauté </w:t>
      </w:r>
      <w:r>
        <w:rPr>
          <w:color w:val="231F20"/>
          <w:vertAlign w:val="baseline"/>
        </w:rPr>
        <w:t>appréciée</w:t>
      </w:r>
      <w:r>
        <w:rPr>
          <w:color w:val="231F20"/>
          <w:spacing w:val="-15"/>
          <w:vertAlign w:val="baseline"/>
        </w:rPr>
        <w:t> </w:t>
      </w:r>
      <w:r>
        <w:rPr>
          <w:color w:val="231F20"/>
          <w:vertAlign w:val="baseline"/>
        </w:rPr>
        <w:t>par</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hommes</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son</w:t>
      </w:r>
      <w:r>
        <w:rPr>
          <w:color w:val="231F20"/>
          <w:spacing w:val="-15"/>
          <w:vertAlign w:val="baseline"/>
        </w:rPr>
        <w:t> </w:t>
      </w:r>
      <w:r>
        <w:rPr>
          <w:color w:val="231F20"/>
          <w:vertAlign w:val="baseline"/>
        </w:rPr>
        <w:t>peuple</w:t>
      </w:r>
      <w:r>
        <w:rPr>
          <w:color w:val="231F20"/>
          <w:spacing w:val="-15"/>
          <w:vertAlign w:val="baseline"/>
        </w:rPr>
        <w:t> </w:t>
      </w:r>
      <w:r>
        <w:rPr>
          <w:color w:val="231F20"/>
          <w:vertAlign w:val="baseline"/>
        </w:rPr>
        <w:t>:</w:t>
      </w:r>
      <w:r>
        <w:rPr>
          <w:color w:val="231F20"/>
          <w:spacing w:val="-15"/>
          <w:vertAlign w:val="baseline"/>
        </w:rPr>
        <w:t> </w:t>
      </w:r>
      <w:r>
        <w:rPr>
          <w:color w:val="231F20"/>
          <w:vertAlign w:val="baseline"/>
        </w:rPr>
        <w:t>femme</w:t>
      </w:r>
      <w:r>
        <w:rPr>
          <w:color w:val="231F20"/>
          <w:spacing w:val="-15"/>
          <w:vertAlign w:val="baseline"/>
        </w:rPr>
        <w:t> </w:t>
      </w:r>
      <w:r>
        <w:rPr>
          <w:color w:val="231F20"/>
          <w:vertAlign w:val="baseline"/>
        </w:rPr>
        <w:t>pleine</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rondeur</w:t>
      </w:r>
      <w:r>
        <w:rPr>
          <w:color w:val="231F20"/>
          <w:spacing w:val="-15"/>
          <w:vertAlign w:val="baseline"/>
        </w:rPr>
        <w:t> </w:t>
      </w:r>
      <w:r>
        <w:rPr>
          <w:color w:val="231F20"/>
          <w:vertAlign w:val="baseline"/>
        </w:rPr>
        <w:t>avec une forte et généreuse poitrine, le fessier dense et relevé. Le médecin Anglais voit dans les formes de la jeune femme une attraction pour le regard des occidentaux. Il conseille au fermier Boer de l’exhiber dans toute l’Europe où ces formes généreuses sont méconnues voire même </w:t>
      </w:r>
      <w:r>
        <w:rPr>
          <w:color w:val="231F20"/>
          <w:spacing w:val="-2"/>
          <w:vertAlign w:val="baseline"/>
        </w:rPr>
        <w:t>inconnues</w:t>
      </w:r>
      <w:r>
        <w:rPr>
          <w:color w:val="231F20"/>
          <w:spacing w:val="-11"/>
          <w:vertAlign w:val="baseline"/>
        </w:rPr>
        <w:t> </w:t>
      </w:r>
      <w:r>
        <w:rPr>
          <w:color w:val="231F20"/>
          <w:spacing w:val="-2"/>
          <w:vertAlign w:val="baseline"/>
        </w:rPr>
        <w:t>et</w:t>
      </w:r>
      <w:r>
        <w:rPr>
          <w:color w:val="231F20"/>
          <w:spacing w:val="-11"/>
          <w:vertAlign w:val="baseline"/>
        </w:rPr>
        <w:t> </w:t>
      </w:r>
      <w:r>
        <w:rPr>
          <w:color w:val="231F20"/>
          <w:spacing w:val="-2"/>
          <w:vertAlign w:val="baseline"/>
        </w:rPr>
        <w:t>montrer</w:t>
      </w:r>
      <w:r>
        <w:rPr>
          <w:color w:val="231F20"/>
          <w:spacing w:val="-11"/>
          <w:vertAlign w:val="baseline"/>
        </w:rPr>
        <w:t> </w:t>
      </w:r>
      <w:r>
        <w:rPr>
          <w:color w:val="231F20"/>
          <w:spacing w:val="-2"/>
          <w:vertAlign w:val="baseline"/>
        </w:rPr>
        <w:t>que</w:t>
      </w:r>
      <w:r>
        <w:rPr>
          <w:color w:val="231F20"/>
          <w:spacing w:val="-12"/>
          <w:vertAlign w:val="baseline"/>
        </w:rPr>
        <w:t> </w:t>
      </w:r>
      <w:r>
        <w:rPr>
          <w:color w:val="231F20"/>
          <w:spacing w:val="-2"/>
          <w:vertAlign w:val="baseline"/>
        </w:rPr>
        <w:t>l’homme</w:t>
      </w:r>
      <w:r>
        <w:rPr>
          <w:color w:val="231F20"/>
          <w:spacing w:val="-13"/>
          <w:vertAlign w:val="baseline"/>
        </w:rPr>
        <w:t> </w:t>
      </w:r>
      <w:r>
        <w:rPr>
          <w:color w:val="231F20"/>
          <w:spacing w:val="-2"/>
          <w:vertAlign w:val="baseline"/>
        </w:rPr>
        <w:t>noir</w:t>
      </w:r>
      <w:r>
        <w:rPr>
          <w:color w:val="231F20"/>
          <w:spacing w:val="-13"/>
          <w:vertAlign w:val="baseline"/>
        </w:rPr>
        <w:t> </w:t>
      </w:r>
      <w:r>
        <w:rPr>
          <w:color w:val="231F20"/>
          <w:spacing w:val="-2"/>
          <w:vertAlign w:val="baseline"/>
        </w:rPr>
        <w:t>n’est</w:t>
      </w:r>
      <w:r>
        <w:rPr>
          <w:color w:val="231F20"/>
          <w:spacing w:val="-12"/>
          <w:vertAlign w:val="baseline"/>
        </w:rPr>
        <w:t> </w:t>
      </w:r>
      <w:r>
        <w:rPr>
          <w:color w:val="231F20"/>
          <w:spacing w:val="-2"/>
          <w:vertAlign w:val="baseline"/>
        </w:rPr>
        <w:t>pas</w:t>
      </w:r>
      <w:r>
        <w:rPr>
          <w:color w:val="231F20"/>
          <w:spacing w:val="-12"/>
          <w:vertAlign w:val="baseline"/>
        </w:rPr>
        <w:t> </w:t>
      </w:r>
      <w:r>
        <w:rPr>
          <w:color w:val="231F20"/>
          <w:spacing w:val="-2"/>
          <w:vertAlign w:val="baseline"/>
        </w:rPr>
        <w:t>un</w:t>
      </w:r>
      <w:r>
        <w:rPr>
          <w:color w:val="231F20"/>
          <w:spacing w:val="-12"/>
          <w:vertAlign w:val="baseline"/>
        </w:rPr>
        <w:t> </w:t>
      </w:r>
      <w:r>
        <w:rPr>
          <w:color w:val="231F20"/>
          <w:spacing w:val="-2"/>
          <w:vertAlign w:val="baseline"/>
        </w:rPr>
        <w:t>être</w:t>
      </w:r>
      <w:r>
        <w:rPr>
          <w:color w:val="231F20"/>
          <w:spacing w:val="-11"/>
          <w:vertAlign w:val="baseline"/>
        </w:rPr>
        <w:t> </w:t>
      </w:r>
      <w:r>
        <w:rPr>
          <w:color w:val="231F20"/>
          <w:spacing w:val="-2"/>
          <w:vertAlign w:val="baseline"/>
        </w:rPr>
        <w:t>évolué,</w:t>
      </w:r>
      <w:r>
        <w:rPr>
          <w:color w:val="231F20"/>
          <w:spacing w:val="-11"/>
          <w:vertAlign w:val="baseline"/>
        </w:rPr>
        <w:t> </w:t>
      </w:r>
      <w:r>
        <w:rPr>
          <w:color w:val="231F20"/>
          <w:spacing w:val="-2"/>
          <w:vertAlign w:val="baseline"/>
        </w:rPr>
        <w:t>qu’il</w:t>
      </w:r>
      <w:r>
        <w:rPr>
          <w:color w:val="231F20"/>
          <w:spacing w:val="-10"/>
          <w:vertAlign w:val="baseline"/>
        </w:rPr>
        <w:t> </w:t>
      </w:r>
      <w:r>
        <w:rPr>
          <w:color w:val="231F20"/>
          <w:spacing w:val="-2"/>
          <w:vertAlign w:val="baseline"/>
        </w:rPr>
        <w:t>est </w:t>
      </w:r>
      <w:r>
        <w:rPr>
          <w:color w:val="231F20"/>
          <w:vertAlign w:val="baseline"/>
        </w:rPr>
        <w:t>de race inférieure.</w:t>
      </w:r>
    </w:p>
    <w:p>
      <w:pPr>
        <w:spacing w:before="128"/>
        <w:ind w:left="111" w:right="105" w:firstLine="283"/>
        <w:jc w:val="both"/>
        <w:rPr>
          <w:i/>
          <w:sz w:val="24"/>
        </w:rPr>
      </w:pPr>
      <w:r>
        <w:rPr>
          <w:color w:val="231F20"/>
          <w:sz w:val="24"/>
        </w:rPr>
        <w:t>Le médecin a entendu parler de ces expositions de noirs en Europe notamment de l’exposition des aborigènes</w:t>
      </w:r>
      <w:r>
        <w:rPr>
          <w:color w:val="231F20"/>
          <w:spacing w:val="-15"/>
          <w:sz w:val="24"/>
        </w:rPr>
        <w:t> </w:t>
      </w:r>
      <w:r>
        <w:rPr>
          <w:color w:val="231F20"/>
          <w:sz w:val="24"/>
          <w:vertAlign w:val="superscript"/>
        </w:rPr>
        <w:t>15</w:t>
      </w:r>
      <w:r>
        <w:rPr>
          <w:color w:val="231F20"/>
          <w:sz w:val="24"/>
          <w:vertAlign w:val="baseline"/>
        </w:rPr>
        <w:t> amenés d’Australie en Angleterre,</w:t>
      </w:r>
      <w:r>
        <w:rPr>
          <w:color w:val="231F20"/>
          <w:spacing w:val="-15"/>
          <w:sz w:val="24"/>
          <w:vertAlign w:val="baseline"/>
        </w:rPr>
        <w:t> </w:t>
      </w:r>
      <w:r>
        <w:rPr>
          <w:color w:val="231F20"/>
          <w:sz w:val="24"/>
          <w:vertAlign w:val="baseline"/>
        </w:rPr>
        <w:t>dont</w:t>
      </w:r>
      <w:r>
        <w:rPr>
          <w:color w:val="231F20"/>
          <w:spacing w:val="-15"/>
          <w:sz w:val="24"/>
          <w:vertAlign w:val="baseline"/>
        </w:rPr>
        <w:t> </w:t>
      </w:r>
      <w:r>
        <w:rPr>
          <w:color w:val="231F20"/>
          <w:sz w:val="24"/>
          <w:vertAlign w:val="baseline"/>
        </w:rPr>
        <w:t>l’affiche</w:t>
      </w:r>
      <w:r>
        <w:rPr>
          <w:color w:val="231F20"/>
          <w:spacing w:val="-15"/>
          <w:sz w:val="24"/>
          <w:vertAlign w:val="baseline"/>
        </w:rPr>
        <w:t> </w:t>
      </w:r>
      <w:r>
        <w:rPr>
          <w:color w:val="231F20"/>
          <w:sz w:val="24"/>
          <w:vertAlign w:val="baseline"/>
        </w:rPr>
        <w:t>était</w:t>
      </w:r>
      <w:r>
        <w:rPr>
          <w:color w:val="231F20"/>
          <w:spacing w:val="-13"/>
          <w:sz w:val="24"/>
          <w:vertAlign w:val="baseline"/>
        </w:rPr>
        <w:t> </w:t>
      </w:r>
      <w:r>
        <w:rPr>
          <w:color w:val="231F20"/>
          <w:sz w:val="24"/>
          <w:vertAlign w:val="baseline"/>
        </w:rPr>
        <w:t>libellé</w:t>
      </w:r>
      <w:r>
        <w:rPr>
          <w:color w:val="231F20"/>
          <w:spacing w:val="-10"/>
          <w:sz w:val="24"/>
          <w:vertAlign w:val="baseline"/>
        </w:rPr>
        <w:t> </w:t>
      </w:r>
      <w:r>
        <w:rPr>
          <w:color w:val="231F20"/>
          <w:sz w:val="24"/>
          <w:vertAlign w:val="baseline"/>
        </w:rPr>
        <w:t>comme</w:t>
      </w:r>
      <w:r>
        <w:rPr>
          <w:color w:val="231F20"/>
          <w:spacing w:val="-10"/>
          <w:sz w:val="24"/>
          <w:vertAlign w:val="baseline"/>
        </w:rPr>
        <w:t> </w:t>
      </w:r>
      <w:r>
        <w:rPr>
          <w:color w:val="231F20"/>
          <w:sz w:val="24"/>
          <w:vertAlign w:val="baseline"/>
        </w:rPr>
        <w:t>suit</w:t>
      </w:r>
      <w:r>
        <w:rPr>
          <w:color w:val="231F20"/>
          <w:spacing w:val="-15"/>
          <w:sz w:val="24"/>
          <w:vertAlign w:val="baseline"/>
        </w:rPr>
        <w:t> </w:t>
      </w:r>
      <w:r>
        <w:rPr>
          <w:color w:val="231F20"/>
          <w:sz w:val="24"/>
          <w:vertAlign w:val="baseline"/>
        </w:rPr>
        <w:t>:</w:t>
      </w:r>
      <w:r>
        <w:rPr>
          <w:color w:val="231F20"/>
          <w:spacing w:val="-15"/>
          <w:sz w:val="24"/>
          <w:vertAlign w:val="baseline"/>
        </w:rPr>
        <w:t> </w:t>
      </w:r>
      <w:r>
        <w:rPr>
          <w:i/>
          <w:color w:val="231F20"/>
          <w:sz w:val="24"/>
          <w:vertAlign w:val="baseline"/>
        </w:rPr>
        <w:t>«</w:t>
      </w:r>
      <w:r>
        <w:rPr>
          <w:i/>
          <w:color w:val="231F20"/>
          <w:spacing w:val="-15"/>
          <w:sz w:val="24"/>
          <w:vertAlign w:val="baseline"/>
        </w:rPr>
        <w:t> </w:t>
      </w:r>
      <w:r>
        <w:rPr>
          <w:i/>
          <w:color w:val="231F20"/>
          <w:sz w:val="24"/>
          <w:vertAlign w:val="baseline"/>
        </w:rPr>
        <w:t>hommes</w:t>
      </w:r>
      <w:r>
        <w:rPr>
          <w:i/>
          <w:color w:val="231F20"/>
          <w:spacing w:val="-12"/>
          <w:sz w:val="24"/>
          <w:vertAlign w:val="baseline"/>
        </w:rPr>
        <w:t> </w:t>
      </w:r>
      <w:r>
        <w:rPr>
          <w:i/>
          <w:color w:val="231F20"/>
          <w:sz w:val="24"/>
          <w:vertAlign w:val="baseline"/>
        </w:rPr>
        <w:t>et</w:t>
      </w:r>
      <w:r>
        <w:rPr>
          <w:i/>
          <w:color w:val="231F20"/>
          <w:spacing w:val="-10"/>
          <w:sz w:val="24"/>
          <w:vertAlign w:val="baseline"/>
        </w:rPr>
        <w:t> </w:t>
      </w:r>
      <w:r>
        <w:rPr>
          <w:i/>
          <w:color w:val="231F20"/>
          <w:sz w:val="24"/>
          <w:vertAlign w:val="baseline"/>
        </w:rPr>
        <w:t>femmes</w:t>
      </w:r>
      <w:r>
        <w:rPr>
          <w:i/>
          <w:color w:val="231F20"/>
          <w:sz w:val="24"/>
          <w:vertAlign w:val="baseline"/>
        </w:rPr>
        <w:t> </w:t>
      </w:r>
      <w:r>
        <w:rPr>
          <w:i/>
          <w:color w:val="231F20"/>
          <w:spacing w:val="-2"/>
          <w:sz w:val="24"/>
          <w:vertAlign w:val="baseline"/>
        </w:rPr>
        <w:t>cannibales</w:t>
      </w:r>
      <w:r>
        <w:rPr>
          <w:i/>
          <w:color w:val="231F20"/>
          <w:spacing w:val="-12"/>
          <w:sz w:val="24"/>
          <w:vertAlign w:val="baseline"/>
        </w:rPr>
        <w:t> </w:t>
      </w:r>
      <w:r>
        <w:rPr>
          <w:i/>
          <w:color w:val="231F20"/>
          <w:spacing w:val="-2"/>
          <w:sz w:val="24"/>
          <w:vertAlign w:val="baseline"/>
        </w:rPr>
        <w:t>australiens/sous</w:t>
      </w:r>
      <w:r>
        <w:rPr>
          <w:i/>
          <w:color w:val="231F20"/>
          <w:spacing w:val="-10"/>
          <w:sz w:val="24"/>
          <w:vertAlign w:val="baseline"/>
        </w:rPr>
        <w:t> </w:t>
      </w:r>
      <w:r>
        <w:rPr>
          <w:i/>
          <w:color w:val="231F20"/>
          <w:spacing w:val="-2"/>
          <w:sz w:val="24"/>
          <w:vertAlign w:val="baseline"/>
        </w:rPr>
        <w:t>la</w:t>
      </w:r>
      <w:r>
        <w:rPr>
          <w:i/>
          <w:color w:val="231F20"/>
          <w:spacing w:val="-12"/>
          <w:sz w:val="24"/>
          <w:vertAlign w:val="baseline"/>
        </w:rPr>
        <w:t> </w:t>
      </w:r>
      <w:r>
        <w:rPr>
          <w:i/>
          <w:color w:val="231F20"/>
          <w:spacing w:val="-2"/>
          <w:sz w:val="24"/>
          <w:vertAlign w:val="baseline"/>
        </w:rPr>
        <w:t>direction</w:t>
      </w:r>
      <w:r>
        <w:rPr>
          <w:i/>
          <w:color w:val="231F20"/>
          <w:spacing w:val="-10"/>
          <w:sz w:val="24"/>
          <w:vertAlign w:val="baseline"/>
        </w:rPr>
        <w:t> </w:t>
      </w:r>
      <w:r>
        <w:rPr>
          <w:i/>
          <w:color w:val="231F20"/>
          <w:spacing w:val="-2"/>
          <w:sz w:val="24"/>
          <w:vertAlign w:val="baseline"/>
        </w:rPr>
        <w:t>de</w:t>
      </w:r>
      <w:r>
        <w:rPr>
          <w:i/>
          <w:color w:val="231F20"/>
          <w:spacing w:val="-10"/>
          <w:sz w:val="24"/>
          <w:vertAlign w:val="baseline"/>
        </w:rPr>
        <w:t> </w:t>
      </w:r>
      <w:r>
        <w:rPr>
          <w:i/>
          <w:color w:val="231F20"/>
          <w:spacing w:val="-2"/>
          <w:sz w:val="24"/>
          <w:vertAlign w:val="baseline"/>
        </w:rPr>
        <w:t>R.A.</w:t>
      </w:r>
      <w:r>
        <w:rPr>
          <w:i/>
          <w:color w:val="231F20"/>
          <w:spacing w:val="-10"/>
          <w:sz w:val="24"/>
          <w:vertAlign w:val="baseline"/>
        </w:rPr>
        <w:t> </w:t>
      </w:r>
      <w:r>
        <w:rPr>
          <w:i/>
          <w:color w:val="231F20"/>
          <w:spacing w:val="-2"/>
          <w:sz w:val="24"/>
          <w:vertAlign w:val="baseline"/>
        </w:rPr>
        <w:t>Cunningham/</w:t>
      </w:r>
      <w:r>
        <w:rPr>
          <w:i/>
          <w:color w:val="231F20"/>
          <w:spacing w:val="-12"/>
          <w:sz w:val="24"/>
          <w:vertAlign w:val="baseline"/>
        </w:rPr>
        <w:t> </w:t>
      </w:r>
      <w:r>
        <w:rPr>
          <w:i/>
          <w:color w:val="231F20"/>
          <w:spacing w:val="-2"/>
          <w:sz w:val="24"/>
          <w:vertAlign w:val="baseline"/>
        </w:rPr>
        <w:t>la</w:t>
      </w:r>
      <w:r>
        <w:rPr>
          <w:i/>
          <w:color w:val="231F20"/>
          <w:spacing w:val="-12"/>
          <w:sz w:val="24"/>
          <w:vertAlign w:val="baseline"/>
        </w:rPr>
        <w:t> </w:t>
      </w:r>
      <w:r>
        <w:rPr>
          <w:i/>
          <w:color w:val="231F20"/>
          <w:spacing w:val="-2"/>
          <w:sz w:val="24"/>
          <w:vertAlign w:val="baseline"/>
        </w:rPr>
        <w:t>seule</w:t>
      </w:r>
      <w:r>
        <w:rPr>
          <w:i/>
          <w:color w:val="231F20"/>
          <w:spacing w:val="-10"/>
          <w:sz w:val="24"/>
          <w:vertAlign w:val="baseline"/>
        </w:rPr>
        <w:t> </w:t>
      </w:r>
      <w:r>
        <w:rPr>
          <w:i/>
          <w:color w:val="231F20"/>
          <w:spacing w:val="-2"/>
          <w:sz w:val="24"/>
          <w:vertAlign w:val="baseline"/>
        </w:rPr>
        <w:t>et </w:t>
      </w:r>
      <w:r>
        <w:rPr>
          <w:i/>
          <w:color w:val="231F20"/>
          <w:sz w:val="24"/>
          <w:vertAlign w:val="baseline"/>
        </w:rPr>
        <w:t>unique colonie disposant de cette race étrange, sauvage, hideuse et </w:t>
      </w:r>
      <w:r>
        <w:rPr>
          <w:i/>
          <w:color w:val="231F20"/>
          <w:spacing w:val="-4"/>
          <w:sz w:val="24"/>
          <w:vertAlign w:val="baseline"/>
        </w:rPr>
        <w:t>brutale</w:t>
      </w:r>
      <w:r>
        <w:rPr>
          <w:i/>
          <w:color w:val="231F20"/>
          <w:spacing w:val="-9"/>
          <w:sz w:val="24"/>
          <w:vertAlign w:val="baseline"/>
        </w:rPr>
        <w:t> </w:t>
      </w:r>
      <w:r>
        <w:rPr>
          <w:i/>
          <w:color w:val="231F20"/>
          <w:spacing w:val="-4"/>
          <w:sz w:val="24"/>
          <w:vertAlign w:val="baseline"/>
        </w:rPr>
        <w:t>jamais</w:t>
      </w:r>
      <w:r>
        <w:rPr>
          <w:i/>
          <w:color w:val="231F20"/>
          <w:spacing w:val="-9"/>
          <w:sz w:val="24"/>
          <w:vertAlign w:val="baseline"/>
        </w:rPr>
        <w:t> </w:t>
      </w:r>
      <w:r>
        <w:rPr>
          <w:i/>
          <w:color w:val="231F20"/>
          <w:spacing w:val="-4"/>
          <w:sz w:val="24"/>
          <w:vertAlign w:val="baseline"/>
        </w:rPr>
        <w:t>ramenée</w:t>
      </w:r>
      <w:r>
        <w:rPr>
          <w:i/>
          <w:color w:val="231F20"/>
          <w:spacing w:val="-6"/>
          <w:sz w:val="24"/>
          <w:vertAlign w:val="baseline"/>
        </w:rPr>
        <w:t> </w:t>
      </w:r>
      <w:r>
        <w:rPr>
          <w:i/>
          <w:color w:val="231F20"/>
          <w:spacing w:val="-4"/>
          <w:sz w:val="24"/>
          <w:vertAlign w:val="baseline"/>
        </w:rPr>
        <w:t>des</w:t>
      </w:r>
      <w:r>
        <w:rPr>
          <w:i/>
          <w:color w:val="231F20"/>
          <w:spacing w:val="-6"/>
          <w:sz w:val="24"/>
          <w:vertAlign w:val="baseline"/>
        </w:rPr>
        <w:t> </w:t>
      </w:r>
      <w:r>
        <w:rPr>
          <w:i/>
          <w:color w:val="231F20"/>
          <w:spacing w:val="-4"/>
          <w:sz w:val="24"/>
          <w:vertAlign w:val="baseline"/>
        </w:rPr>
        <w:t>lointaines</w:t>
      </w:r>
      <w:r>
        <w:rPr>
          <w:i/>
          <w:color w:val="231F20"/>
          <w:spacing w:val="-5"/>
          <w:sz w:val="24"/>
          <w:vertAlign w:val="baseline"/>
        </w:rPr>
        <w:t> </w:t>
      </w:r>
      <w:r>
        <w:rPr>
          <w:i/>
          <w:color w:val="231F20"/>
          <w:spacing w:val="-4"/>
          <w:sz w:val="24"/>
          <w:vertAlign w:val="baseline"/>
        </w:rPr>
        <w:t>contrées</w:t>
      </w:r>
      <w:r>
        <w:rPr>
          <w:i/>
          <w:color w:val="231F20"/>
          <w:spacing w:val="-9"/>
          <w:sz w:val="24"/>
          <w:vertAlign w:val="baseline"/>
        </w:rPr>
        <w:t> </w:t>
      </w:r>
      <w:r>
        <w:rPr>
          <w:i/>
          <w:color w:val="231F20"/>
          <w:spacing w:val="-4"/>
          <w:sz w:val="24"/>
          <w:vertAlign w:val="baseline"/>
        </w:rPr>
        <w:t>inconnues,</w:t>
      </w:r>
      <w:r>
        <w:rPr>
          <w:i/>
          <w:color w:val="231F20"/>
          <w:spacing w:val="-9"/>
          <w:sz w:val="24"/>
          <w:vertAlign w:val="baseline"/>
        </w:rPr>
        <w:t> </w:t>
      </w:r>
      <w:r>
        <w:rPr>
          <w:i/>
          <w:color w:val="231F20"/>
          <w:spacing w:val="-4"/>
          <w:sz w:val="24"/>
          <w:vertAlign w:val="baseline"/>
        </w:rPr>
        <w:t>où</w:t>
      </w:r>
      <w:r>
        <w:rPr>
          <w:i/>
          <w:color w:val="231F20"/>
          <w:spacing w:val="-6"/>
          <w:sz w:val="24"/>
          <w:vertAlign w:val="baseline"/>
        </w:rPr>
        <w:t> </w:t>
      </w:r>
      <w:r>
        <w:rPr>
          <w:i/>
          <w:color w:val="231F20"/>
          <w:spacing w:val="-4"/>
          <w:sz w:val="24"/>
          <w:vertAlign w:val="baseline"/>
        </w:rPr>
        <w:t>elle</w:t>
      </w:r>
      <w:r>
        <w:rPr>
          <w:i/>
          <w:color w:val="231F20"/>
          <w:spacing w:val="-9"/>
          <w:sz w:val="24"/>
          <w:vertAlign w:val="baseline"/>
        </w:rPr>
        <w:t> </w:t>
      </w:r>
      <w:r>
        <w:rPr>
          <w:i/>
          <w:color w:val="231F20"/>
          <w:spacing w:val="-4"/>
          <w:sz w:val="24"/>
          <w:vertAlign w:val="baseline"/>
        </w:rPr>
        <w:t>se</w:t>
      </w:r>
      <w:r>
        <w:rPr>
          <w:i/>
          <w:color w:val="231F20"/>
          <w:spacing w:val="-6"/>
          <w:sz w:val="24"/>
          <w:vertAlign w:val="baseline"/>
        </w:rPr>
        <w:t> </w:t>
      </w:r>
      <w:r>
        <w:rPr>
          <w:i/>
          <w:color w:val="231F20"/>
          <w:spacing w:val="-4"/>
          <w:sz w:val="24"/>
          <w:vertAlign w:val="baseline"/>
        </w:rPr>
        <w:t>livre </w:t>
      </w:r>
      <w:r>
        <w:rPr>
          <w:i/>
          <w:color w:val="231F20"/>
          <w:sz w:val="24"/>
          <w:vertAlign w:val="baseline"/>
        </w:rPr>
        <w:t>à</w:t>
      </w:r>
      <w:r>
        <w:rPr>
          <w:i/>
          <w:color w:val="231F20"/>
          <w:spacing w:val="-10"/>
          <w:sz w:val="24"/>
          <w:vertAlign w:val="baseline"/>
        </w:rPr>
        <w:t> </w:t>
      </w:r>
      <w:r>
        <w:rPr>
          <w:i/>
          <w:color w:val="231F20"/>
          <w:sz w:val="24"/>
          <w:vertAlign w:val="baseline"/>
        </w:rPr>
        <w:t>d’incessants</w:t>
      </w:r>
      <w:r>
        <w:rPr>
          <w:i/>
          <w:color w:val="231F20"/>
          <w:spacing w:val="-10"/>
          <w:sz w:val="24"/>
          <w:vertAlign w:val="baseline"/>
        </w:rPr>
        <w:t> </w:t>
      </w:r>
      <w:r>
        <w:rPr>
          <w:i/>
          <w:color w:val="231F20"/>
          <w:sz w:val="24"/>
          <w:vertAlign w:val="baseline"/>
        </w:rPr>
        <w:t>combats</w:t>
      </w:r>
      <w:r>
        <w:rPr>
          <w:i/>
          <w:color w:val="231F20"/>
          <w:spacing w:val="-10"/>
          <w:sz w:val="24"/>
          <w:vertAlign w:val="baseline"/>
        </w:rPr>
        <w:t> </w:t>
      </w:r>
      <w:r>
        <w:rPr>
          <w:i/>
          <w:color w:val="231F20"/>
          <w:sz w:val="24"/>
          <w:vertAlign w:val="baseline"/>
        </w:rPr>
        <w:t>et</w:t>
      </w:r>
      <w:r>
        <w:rPr>
          <w:i/>
          <w:color w:val="231F20"/>
          <w:spacing w:val="-12"/>
          <w:sz w:val="24"/>
          <w:vertAlign w:val="baseline"/>
        </w:rPr>
        <w:t> </w:t>
      </w:r>
      <w:r>
        <w:rPr>
          <w:i/>
          <w:color w:val="231F20"/>
          <w:sz w:val="24"/>
          <w:vertAlign w:val="baseline"/>
        </w:rPr>
        <w:t>à</w:t>
      </w:r>
      <w:r>
        <w:rPr>
          <w:i/>
          <w:color w:val="231F20"/>
          <w:spacing w:val="-10"/>
          <w:sz w:val="24"/>
          <w:vertAlign w:val="baseline"/>
        </w:rPr>
        <w:t> </w:t>
      </w:r>
      <w:r>
        <w:rPr>
          <w:i/>
          <w:color w:val="231F20"/>
          <w:sz w:val="24"/>
          <w:vertAlign w:val="baseline"/>
        </w:rPr>
        <w:t>des</w:t>
      </w:r>
      <w:r>
        <w:rPr>
          <w:i/>
          <w:color w:val="231F20"/>
          <w:spacing w:val="-10"/>
          <w:sz w:val="24"/>
          <w:vertAlign w:val="baseline"/>
        </w:rPr>
        <w:t> </w:t>
      </w:r>
      <w:r>
        <w:rPr>
          <w:i/>
          <w:color w:val="231F20"/>
          <w:sz w:val="24"/>
          <w:vertAlign w:val="baseline"/>
        </w:rPr>
        <w:t>raids</w:t>
      </w:r>
      <w:r>
        <w:rPr>
          <w:i/>
          <w:color w:val="231F20"/>
          <w:spacing w:val="-10"/>
          <w:sz w:val="24"/>
          <w:vertAlign w:val="baseline"/>
        </w:rPr>
        <w:t> </w:t>
      </w:r>
      <w:r>
        <w:rPr>
          <w:i/>
          <w:color w:val="231F20"/>
          <w:sz w:val="24"/>
          <w:vertAlign w:val="baseline"/>
        </w:rPr>
        <w:t>sanglants</w:t>
      </w:r>
      <w:r>
        <w:rPr>
          <w:i/>
          <w:color w:val="231F20"/>
          <w:spacing w:val="-10"/>
          <w:sz w:val="24"/>
          <w:vertAlign w:val="baseline"/>
        </w:rPr>
        <w:t> </w:t>
      </w:r>
      <w:r>
        <w:rPr>
          <w:i/>
          <w:color w:val="231F20"/>
          <w:sz w:val="24"/>
          <w:vertAlign w:val="baseline"/>
        </w:rPr>
        <w:t>afin</w:t>
      </w:r>
      <w:r>
        <w:rPr>
          <w:i/>
          <w:color w:val="231F20"/>
          <w:spacing w:val="-10"/>
          <w:sz w:val="24"/>
          <w:vertAlign w:val="baseline"/>
        </w:rPr>
        <w:t> </w:t>
      </w:r>
      <w:r>
        <w:rPr>
          <w:i/>
          <w:color w:val="231F20"/>
          <w:sz w:val="24"/>
          <w:vertAlign w:val="baseline"/>
        </w:rPr>
        <w:t>de</w:t>
      </w:r>
      <w:r>
        <w:rPr>
          <w:i/>
          <w:color w:val="231F20"/>
          <w:spacing w:val="-10"/>
          <w:sz w:val="24"/>
          <w:vertAlign w:val="baseline"/>
        </w:rPr>
        <w:t> </w:t>
      </w:r>
      <w:r>
        <w:rPr>
          <w:i/>
          <w:color w:val="231F20"/>
          <w:sz w:val="24"/>
          <w:vertAlign w:val="baseline"/>
        </w:rPr>
        <w:t>dévorer</w:t>
      </w:r>
      <w:r>
        <w:rPr>
          <w:i/>
          <w:color w:val="231F20"/>
          <w:spacing w:val="-10"/>
          <w:sz w:val="24"/>
          <w:vertAlign w:val="baseline"/>
        </w:rPr>
        <w:t> </w:t>
      </w:r>
      <w:r>
        <w:rPr>
          <w:i/>
          <w:color w:val="231F20"/>
          <w:sz w:val="24"/>
          <w:vertAlign w:val="baseline"/>
        </w:rPr>
        <w:t>la</w:t>
      </w:r>
      <w:r>
        <w:rPr>
          <w:i/>
          <w:color w:val="231F20"/>
          <w:spacing w:val="-10"/>
          <w:sz w:val="24"/>
          <w:vertAlign w:val="baseline"/>
        </w:rPr>
        <w:t> </w:t>
      </w:r>
      <w:r>
        <w:rPr>
          <w:i/>
          <w:color w:val="231F20"/>
          <w:sz w:val="24"/>
          <w:vertAlign w:val="baseline"/>
        </w:rPr>
        <w:t>chair de</w:t>
      </w:r>
      <w:r>
        <w:rPr>
          <w:i/>
          <w:color w:val="231F20"/>
          <w:spacing w:val="-9"/>
          <w:sz w:val="24"/>
          <w:vertAlign w:val="baseline"/>
        </w:rPr>
        <w:t> </w:t>
      </w:r>
      <w:r>
        <w:rPr>
          <w:i/>
          <w:color w:val="231F20"/>
          <w:sz w:val="24"/>
          <w:vertAlign w:val="baseline"/>
        </w:rPr>
        <w:t>ses</w:t>
      </w:r>
      <w:r>
        <w:rPr>
          <w:i/>
          <w:color w:val="231F20"/>
          <w:spacing w:val="-9"/>
          <w:sz w:val="24"/>
          <w:vertAlign w:val="baseline"/>
        </w:rPr>
        <w:t> </w:t>
      </w:r>
      <w:r>
        <w:rPr>
          <w:i/>
          <w:color w:val="231F20"/>
          <w:sz w:val="24"/>
          <w:vertAlign w:val="baseline"/>
        </w:rPr>
        <w:t>ennemis/</w:t>
      </w:r>
      <w:r>
        <w:rPr>
          <w:i/>
          <w:color w:val="231F20"/>
          <w:spacing w:val="-10"/>
          <w:sz w:val="24"/>
          <w:vertAlign w:val="baseline"/>
        </w:rPr>
        <w:t> </w:t>
      </w:r>
      <w:r>
        <w:rPr>
          <w:i/>
          <w:color w:val="231F20"/>
          <w:sz w:val="24"/>
          <w:vertAlign w:val="baseline"/>
        </w:rPr>
        <w:t>l’ordre</w:t>
      </w:r>
      <w:r>
        <w:rPr>
          <w:i/>
          <w:color w:val="231F20"/>
          <w:spacing w:val="-10"/>
          <w:sz w:val="24"/>
          <w:vertAlign w:val="baseline"/>
        </w:rPr>
        <w:t> </w:t>
      </w:r>
      <w:r>
        <w:rPr>
          <w:i/>
          <w:color w:val="231F20"/>
          <w:sz w:val="24"/>
          <w:vertAlign w:val="baseline"/>
        </w:rPr>
        <w:t>le</w:t>
      </w:r>
      <w:r>
        <w:rPr>
          <w:i/>
          <w:color w:val="231F20"/>
          <w:spacing w:val="-11"/>
          <w:sz w:val="24"/>
          <w:vertAlign w:val="baseline"/>
        </w:rPr>
        <w:t> </w:t>
      </w:r>
      <w:r>
        <w:rPr>
          <w:i/>
          <w:color w:val="231F20"/>
          <w:sz w:val="24"/>
          <w:vertAlign w:val="baseline"/>
        </w:rPr>
        <w:t>plus</w:t>
      </w:r>
      <w:r>
        <w:rPr>
          <w:i/>
          <w:color w:val="231F20"/>
          <w:spacing w:val="-9"/>
          <w:sz w:val="24"/>
          <w:vertAlign w:val="baseline"/>
        </w:rPr>
        <w:t> </w:t>
      </w:r>
      <w:r>
        <w:rPr>
          <w:i/>
          <w:color w:val="231F20"/>
          <w:sz w:val="24"/>
          <w:vertAlign w:val="baseline"/>
        </w:rPr>
        <w:t>bas</w:t>
      </w:r>
      <w:r>
        <w:rPr>
          <w:i/>
          <w:color w:val="231F20"/>
          <w:spacing w:val="-11"/>
          <w:sz w:val="24"/>
          <w:vertAlign w:val="baseline"/>
        </w:rPr>
        <w:t> </w:t>
      </w:r>
      <w:r>
        <w:rPr>
          <w:i/>
          <w:color w:val="231F20"/>
          <w:sz w:val="24"/>
          <w:vertAlign w:val="baseline"/>
        </w:rPr>
        <w:t>de</w:t>
      </w:r>
      <w:r>
        <w:rPr>
          <w:i/>
          <w:color w:val="231F20"/>
          <w:spacing w:val="-9"/>
          <w:sz w:val="24"/>
          <w:vertAlign w:val="baseline"/>
        </w:rPr>
        <w:t> </w:t>
      </w:r>
      <w:r>
        <w:rPr>
          <w:i/>
          <w:color w:val="231F20"/>
          <w:sz w:val="24"/>
          <w:vertAlign w:val="baseline"/>
        </w:rPr>
        <w:t>l’humanité</w:t>
      </w:r>
      <w:r>
        <w:rPr>
          <w:i/>
          <w:color w:val="231F20"/>
          <w:spacing w:val="-11"/>
          <w:sz w:val="24"/>
          <w:vertAlign w:val="baseline"/>
        </w:rPr>
        <w:t> </w:t>
      </w:r>
      <w:r>
        <w:rPr>
          <w:i/>
          <w:color w:val="231F20"/>
          <w:sz w:val="24"/>
          <w:vertAlign w:val="baseline"/>
        </w:rPr>
        <w:t>et</w:t>
      </w:r>
      <w:r>
        <w:rPr>
          <w:i/>
          <w:color w:val="231F20"/>
          <w:spacing w:val="-10"/>
          <w:sz w:val="24"/>
          <w:vertAlign w:val="baseline"/>
        </w:rPr>
        <w:t> </w:t>
      </w:r>
      <w:r>
        <w:rPr>
          <w:i/>
          <w:color w:val="231F20"/>
          <w:sz w:val="24"/>
          <w:vertAlign w:val="baseline"/>
        </w:rPr>
        <w:t>sans</w:t>
      </w:r>
      <w:r>
        <w:rPr>
          <w:i/>
          <w:color w:val="231F20"/>
          <w:spacing w:val="-9"/>
          <w:sz w:val="24"/>
          <w:vertAlign w:val="baseline"/>
        </w:rPr>
        <w:t> </w:t>
      </w:r>
      <w:r>
        <w:rPr>
          <w:i/>
          <w:color w:val="231F20"/>
          <w:sz w:val="24"/>
          <w:vertAlign w:val="baseline"/>
        </w:rPr>
        <w:t>aucun</w:t>
      </w:r>
      <w:r>
        <w:rPr>
          <w:i/>
          <w:color w:val="231F20"/>
          <w:spacing w:val="-10"/>
          <w:sz w:val="24"/>
          <w:vertAlign w:val="baseline"/>
        </w:rPr>
        <w:t> </w:t>
      </w:r>
      <w:r>
        <w:rPr>
          <w:i/>
          <w:color w:val="231F20"/>
          <w:sz w:val="24"/>
          <w:vertAlign w:val="baseline"/>
        </w:rPr>
        <w:t>doute</w:t>
      </w:r>
      <w:r>
        <w:rPr>
          <w:i/>
          <w:color w:val="231F20"/>
          <w:spacing w:val="-11"/>
          <w:sz w:val="24"/>
          <w:vertAlign w:val="baseline"/>
        </w:rPr>
        <w:t> </w:t>
      </w:r>
      <w:r>
        <w:rPr>
          <w:i/>
          <w:color w:val="231F20"/>
          <w:sz w:val="24"/>
          <w:vertAlign w:val="baseline"/>
        </w:rPr>
        <w:t>le plus curieux à observer. »</w:t>
      </w:r>
    </w:p>
    <w:p>
      <w:pPr>
        <w:pStyle w:val="BodyText"/>
        <w:spacing w:before="121"/>
        <w:ind w:right="108" w:firstLine="283"/>
      </w:pPr>
      <w:r>
        <w:rPr>
          <w:color w:val="231F20"/>
        </w:rPr>
        <w:t>Selon</w:t>
      </w:r>
      <w:r>
        <w:rPr>
          <w:color w:val="231F20"/>
          <w:spacing w:val="-11"/>
        </w:rPr>
        <w:t> </w:t>
      </w:r>
      <w:r>
        <w:rPr>
          <w:color w:val="231F20"/>
        </w:rPr>
        <w:t>le</w:t>
      </w:r>
      <w:r>
        <w:rPr>
          <w:color w:val="231F20"/>
          <w:spacing w:val="-7"/>
        </w:rPr>
        <w:t> </w:t>
      </w:r>
      <w:r>
        <w:rPr>
          <w:color w:val="231F20"/>
        </w:rPr>
        <w:t>dictionnaire</w:t>
      </w:r>
      <w:r>
        <w:rPr>
          <w:color w:val="231F20"/>
          <w:spacing w:val="-7"/>
        </w:rPr>
        <w:t> </w:t>
      </w:r>
      <w:r>
        <w:rPr>
          <w:i/>
          <w:color w:val="231F20"/>
        </w:rPr>
        <w:t>le</w:t>
      </w:r>
      <w:r>
        <w:rPr>
          <w:i/>
          <w:color w:val="231F20"/>
          <w:spacing w:val="-9"/>
        </w:rPr>
        <w:t> </w:t>
      </w:r>
      <w:r>
        <w:rPr>
          <w:i/>
          <w:color w:val="231F20"/>
        </w:rPr>
        <w:t>petit</w:t>
      </w:r>
      <w:r>
        <w:rPr>
          <w:i/>
          <w:color w:val="231F20"/>
          <w:spacing w:val="-8"/>
        </w:rPr>
        <w:t> </w:t>
      </w:r>
      <w:r>
        <w:rPr>
          <w:i/>
          <w:color w:val="231F20"/>
        </w:rPr>
        <w:t>robert</w:t>
      </w:r>
      <w:r>
        <w:rPr>
          <w:color w:val="231F20"/>
        </w:rPr>
        <w:t>,</w:t>
      </w:r>
      <w:r>
        <w:rPr>
          <w:color w:val="231F20"/>
          <w:spacing w:val="-9"/>
        </w:rPr>
        <w:t> </w:t>
      </w:r>
      <w:r>
        <w:rPr>
          <w:color w:val="231F20"/>
        </w:rPr>
        <w:t>"sauvage"</w:t>
      </w:r>
      <w:r>
        <w:rPr>
          <w:color w:val="231F20"/>
          <w:spacing w:val="-8"/>
        </w:rPr>
        <w:t> </w:t>
      </w:r>
      <w:r>
        <w:rPr>
          <w:color w:val="231F20"/>
        </w:rPr>
        <w:t>c'est</w:t>
      </w:r>
      <w:r>
        <w:rPr>
          <w:color w:val="231F20"/>
          <w:spacing w:val="-7"/>
        </w:rPr>
        <w:t> </w:t>
      </w:r>
      <w:r>
        <w:rPr>
          <w:color w:val="231F20"/>
        </w:rPr>
        <w:t>ce</w:t>
      </w:r>
      <w:r>
        <w:rPr>
          <w:color w:val="231F20"/>
          <w:spacing w:val="-9"/>
        </w:rPr>
        <w:t> </w:t>
      </w:r>
      <w:r>
        <w:rPr>
          <w:color w:val="231F20"/>
        </w:rPr>
        <w:t>qui</w:t>
      </w:r>
      <w:r>
        <w:rPr>
          <w:color w:val="231F20"/>
          <w:spacing w:val="-7"/>
        </w:rPr>
        <w:t> </w:t>
      </w:r>
      <w:r>
        <w:rPr>
          <w:color w:val="231F20"/>
        </w:rPr>
        <w:t>est</w:t>
      </w:r>
      <w:r>
        <w:rPr>
          <w:color w:val="231F20"/>
          <w:spacing w:val="-8"/>
        </w:rPr>
        <w:t> </w:t>
      </w:r>
      <w:r>
        <w:rPr>
          <w:color w:val="231F20"/>
        </w:rPr>
        <w:t>à</w:t>
      </w:r>
      <w:r>
        <w:rPr>
          <w:color w:val="231F20"/>
          <w:spacing w:val="-9"/>
        </w:rPr>
        <w:t> </w:t>
      </w:r>
      <w:r>
        <w:rPr>
          <w:color w:val="231F20"/>
        </w:rPr>
        <w:t>l'état de nature, qui vit en liberté dans la nature, qui n'a pas été modifié par l'action de l'homme, qui n'appartient pas à l'expérience familière de l'homme, qui a quelque chose d'inhumain.</w:t>
      </w:r>
    </w:p>
    <w:p>
      <w:pPr>
        <w:pStyle w:val="BodyText"/>
        <w:spacing w:before="120"/>
        <w:ind w:right="105" w:firstLine="283"/>
      </w:pPr>
      <w:r>
        <w:rPr>
          <w:color w:val="231F20"/>
        </w:rPr>
        <w:t>Le médecin Anglais sait que la conviction de ses compatriotes est </w:t>
      </w:r>
      <w:r>
        <w:rPr>
          <w:color w:val="231F20"/>
          <w:spacing w:val="-4"/>
        </w:rPr>
        <w:t>nourrie des</w:t>
      </w:r>
      <w:r>
        <w:rPr>
          <w:color w:val="231F20"/>
          <w:spacing w:val="-7"/>
        </w:rPr>
        <w:t> </w:t>
      </w:r>
      <w:r>
        <w:rPr>
          <w:color w:val="231F20"/>
          <w:spacing w:val="-4"/>
        </w:rPr>
        <w:t>ouï-dire, des rumeurs,</w:t>
      </w:r>
      <w:r>
        <w:rPr>
          <w:color w:val="231F20"/>
          <w:spacing w:val="-7"/>
        </w:rPr>
        <w:t> </w:t>
      </w:r>
      <w:r>
        <w:rPr>
          <w:color w:val="231F20"/>
          <w:spacing w:val="-4"/>
        </w:rPr>
        <w:t>des récits de voyageurs qui</w:t>
      </w:r>
      <w:r>
        <w:rPr>
          <w:color w:val="231F20"/>
          <w:spacing w:val="-5"/>
        </w:rPr>
        <w:t> </w:t>
      </w:r>
      <w:r>
        <w:rPr>
          <w:color w:val="231F20"/>
          <w:spacing w:val="-4"/>
        </w:rPr>
        <w:t>soutiennent que</w:t>
      </w:r>
      <w:r>
        <w:rPr>
          <w:color w:val="231F20"/>
          <w:spacing w:val="-11"/>
        </w:rPr>
        <w:t> </w:t>
      </w:r>
      <w:r>
        <w:rPr>
          <w:color w:val="231F20"/>
          <w:spacing w:val="-4"/>
        </w:rPr>
        <w:t>l’homme</w:t>
      </w:r>
      <w:r>
        <w:rPr>
          <w:color w:val="231F20"/>
          <w:spacing w:val="-11"/>
        </w:rPr>
        <w:t> </w:t>
      </w:r>
      <w:r>
        <w:rPr>
          <w:color w:val="231F20"/>
          <w:spacing w:val="-4"/>
        </w:rPr>
        <w:t>noir</w:t>
      </w:r>
      <w:r>
        <w:rPr>
          <w:color w:val="231F20"/>
          <w:spacing w:val="-11"/>
        </w:rPr>
        <w:t> </w:t>
      </w:r>
      <w:r>
        <w:rPr>
          <w:color w:val="231F20"/>
          <w:spacing w:val="-4"/>
        </w:rPr>
        <w:t>est</w:t>
      </w:r>
      <w:r>
        <w:rPr>
          <w:color w:val="231F20"/>
          <w:spacing w:val="-11"/>
        </w:rPr>
        <w:t> </w:t>
      </w:r>
      <w:r>
        <w:rPr>
          <w:color w:val="231F20"/>
          <w:spacing w:val="-4"/>
        </w:rPr>
        <w:t>un</w:t>
      </w:r>
      <w:r>
        <w:rPr>
          <w:color w:val="231F20"/>
          <w:spacing w:val="-11"/>
        </w:rPr>
        <w:t> </w:t>
      </w:r>
      <w:r>
        <w:rPr>
          <w:color w:val="231F20"/>
          <w:spacing w:val="-4"/>
        </w:rPr>
        <w:t>primate</w:t>
      </w:r>
      <w:r>
        <w:rPr>
          <w:color w:val="231F20"/>
          <w:spacing w:val="-11"/>
        </w:rPr>
        <w:t> </w:t>
      </w:r>
      <w:r>
        <w:rPr>
          <w:color w:val="231F20"/>
          <w:spacing w:val="-4"/>
        </w:rPr>
        <w:t>qui</w:t>
      </w:r>
      <w:r>
        <w:rPr>
          <w:color w:val="231F20"/>
          <w:spacing w:val="-11"/>
        </w:rPr>
        <w:t> </w:t>
      </w:r>
      <w:r>
        <w:rPr>
          <w:color w:val="231F20"/>
          <w:spacing w:val="-4"/>
        </w:rPr>
        <w:t>représente</w:t>
      </w:r>
      <w:r>
        <w:rPr>
          <w:color w:val="231F20"/>
          <w:spacing w:val="-11"/>
        </w:rPr>
        <w:t> </w:t>
      </w:r>
      <w:r>
        <w:rPr>
          <w:color w:val="231F20"/>
          <w:spacing w:val="-4"/>
        </w:rPr>
        <w:t>le</w:t>
      </w:r>
      <w:r>
        <w:rPr>
          <w:color w:val="231F20"/>
          <w:spacing w:val="-11"/>
        </w:rPr>
        <w:t> </w:t>
      </w:r>
      <w:r>
        <w:rPr>
          <w:color w:val="231F20"/>
          <w:spacing w:val="-4"/>
        </w:rPr>
        <w:t>chaînon</w:t>
      </w:r>
      <w:r>
        <w:rPr>
          <w:color w:val="231F20"/>
          <w:spacing w:val="-11"/>
        </w:rPr>
        <w:t> </w:t>
      </w:r>
      <w:r>
        <w:rPr>
          <w:color w:val="231F20"/>
          <w:spacing w:val="-4"/>
        </w:rPr>
        <w:t>manquant</w:t>
      </w:r>
      <w:r>
        <w:rPr>
          <w:color w:val="231F20"/>
          <w:spacing w:val="-11"/>
        </w:rPr>
        <w:t> </w:t>
      </w:r>
      <w:r>
        <w:rPr>
          <w:color w:val="231F20"/>
          <w:spacing w:val="-4"/>
        </w:rPr>
        <w:t>entre </w:t>
      </w:r>
      <w:r>
        <w:rPr>
          <w:color w:val="231F20"/>
        </w:rPr>
        <w:t>l’homme blanc et le singe et l’endroit où il habite, l’Afrique, est un </w:t>
      </w:r>
      <w:r>
        <w:rPr>
          <w:color w:val="231F20"/>
          <w:spacing w:val="-2"/>
        </w:rPr>
        <w:t>continent</w:t>
      </w:r>
      <w:r>
        <w:rPr>
          <w:color w:val="231F20"/>
          <w:spacing w:val="-13"/>
        </w:rPr>
        <w:t> </w:t>
      </w:r>
      <w:r>
        <w:rPr>
          <w:color w:val="231F20"/>
          <w:spacing w:val="-2"/>
        </w:rPr>
        <w:t>d’êtres</w:t>
      </w:r>
      <w:r>
        <w:rPr>
          <w:color w:val="231F20"/>
          <w:spacing w:val="-13"/>
        </w:rPr>
        <w:t> </w:t>
      </w:r>
      <w:r>
        <w:rPr>
          <w:color w:val="231F20"/>
          <w:spacing w:val="-2"/>
        </w:rPr>
        <w:t>sans</w:t>
      </w:r>
      <w:r>
        <w:rPr>
          <w:color w:val="231F20"/>
          <w:spacing w:val="-13"/>
        </w:rPr>
        <w:t> </w:t>
      </w:r>
      <w:r>
        <w:rPr>
          <w:color w:val="231F20"/>
          <w:spacing w:val="-2"/>
        </w:rPr>
        <w:t>culture,</w:t>
      </w:r>
      <w:r>
        <w:rPr>
          <w:color w:val="231F20"/>
          <w:spacing w:val="-11"/>
        </w:rPr>
        <w:t> </w:t>
      </w:r>
      <w:r>
        <w:rPr>
          <w:color w:val="231F20"/>
          <w:spacing w:val="-2"/>
        </w:rPr>
        <w:t>proches</w:t>
      </w:r>
      <w:r>
        <w:rPr>
          <w:color w:val="231F20"/>
          <w:spacing w:val="-10"/>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bête</w:t>
      </w:r>
      <w:r>
        <w:rPr>
          <w:color w:val="231F20"/>
          <w:spacing w:val="-13"/>
        </w:rPr>
        <w:t> </w:t>
      </w:r>
      <w:r>
        <w:rPr>
          <w:color w:val="231F20"/>
          <w:spacing w:val="-2"/>
        </w:rPr>
        <w:t>féroce</w:t>
      </w:r>
      <w:r>
        <w:rPr>
          <w:color w:val="231F20"/>
          <w:spacing w:val="-10"/>
        </w:rPr>
        <w:t> </w:t>
      </w:r>
      <w:r>
        <w:rPr>
          <w:color w:val="231F20"/>
          <w:spacing w:val="-2"/>
        </w:rPr>
        <w:t>dont</w:t>
      </w:r>
      <w:r>
        <w:rPr>
          <w:color w:val="231F20"/>
          <w:spacing w:val="-13"/>
        </w:rPr>
        <w:t> </w:t>
      </w:r>
      <w:r>
        <w:rPr>
          <w:color w:val="231F20"/>
          <w:spacing w:val="-2"/>
        </w:rPr>
        <w:t>ils</w:t>
      </w:r>
      <w:r>
        <w:rPr>
          <w:color w:val="231F20"/>
          <w:spacing w:val="-13"/>
        </w:rPr>
        <w:t> </w:t>
      </w:r>
      <w:r>
        <w:rPr>
          <w:color w:val="231F20"/>
          <w:spacing w:val="-2"/>
        </w:rPr>
        <w:t>partagent </w:t>
      </w:r>
      <w:r>
        <w:rPr>
          <w:color w:val="231F20"/>
        </w:rPr>
        <w:t>les</w:t>
      </w:r>
      <w:r>
        <w:rPr>
          <w:color w:val="231F20"/>
          <w:spacing w:val="-7"/>
        </w:rPr>
        <w:t> </w:t>
      </w:r>
      <w:r>
        <w:rPr>
          <w:color w:val="231F20"/>
        </w:rPr>
        <w:t>instincts</w:t>
      </w:r>
      <w:r>
        <w:rPr>
          <w:color w:val="231F20"/>
          <w:spacing w:val="-7"/>
        </w:rPr>
        <w:t> </w:t>
      </w:r>
      <w:r>
        <w:rPr>
          <w:color w:val="231F20"/>
        </w:rPr>
        <w:t>et</w:t>
      </w:r>
      <w:r>
        <w:rPr>
          <w:color w:val="231F20"/>
          <w:spacing w:val="-9"/>
        </w:rPr>
        <w:t> </w:t>
      </w:r>
      <w:r>
        <w:rPr>
          <w:color w:val="231F20"/>
        </w:rPr>
        <w:t>particulièrement</w:t>
      </w:r>
      <w:r>
        <w:rPr>
          <w:color w:val="231F20"/>
          <w:spacing w:val="-8"/>
        </w:rPr>
        <w:t> </w:t>
      </w:r>
      <w:r>
        <w:rPr>
          <w:color w:val="231F20"/>
        </w:rPr>
        <w:t>ceux</w:t>
      </w:r>
      <w:r>
        <w:rPr>
          <w:color w:val="231F20"/>
          <w:spacing w:val="-10"/>
        </w:rPr>
        <w:t> </w:t>
      </w:r>
      <w:r>
        <w:rPr>
          <w:color w:val="231F20"/>
        </w:rPr>
        <w:t>du</w:t>
      </w:r>
      <w:r>
        <w:rPr>
          <w:color w:val="231F20"/>
          <w:spacing w:val="-10"/>
        </w:rPr>
        <w:t> </w:t>
      </w:r>
      <w:r>
        <w:rPr>
          <w:color w:val="231F20"/>
        </w:rPr>
        <w:t>gorille</w:t>
      </w:r>
      <w:r>
        <w:rPr>
          <w:color w:val="231F20"/>
          <w:spacing w:val="-10"/>
        </w:rPr>
        <w:t> </w:t>
      </w:r>
      <w:r>
        <w:rPr>
          <w:color w:val="231F20"/>
        </w:rPr>
        <w:t>dont</w:t>
      </w:r>
      <w:r>
        <w:rPr>
          <w:color w:val="231F20"/>
          <w:spacing w:val="-10"/>
        </w:rPr>
        <w:t> </w:t>
      </w:r>
      <w:r>
        <w:rPr>
          <w:color w:val="231F20"/>
        </w:rPr>
        <w:t>ils</w:t>
      </w:r>
      <w:r>
        <w:rPr>
          <w:color w:val="231F20"/>
          <w:spacing w:val="-10"/>
        </w:rPr>
        <w:t> </w:t>
      </w:r>
      <w:r>
        <w:rPr>
          <w:color w:val="231F20"/>
        </w:rPr>
        <w:t>ont</w:t>
      </w:r>
      <w:r>
        <w:rPr>
          <w:color w:val="231F20"/>
          <w:spacing w:val="-9"/>
        </w:rPr>
        <w:t> </w:t>
      </w:r>
      <w:r>
        <w:rPr>
          <w:color w:val="231F20"/>
        </w:rPr>
        <w:t>la</w:t>
      </w:r>
      <w:r>
        <w:rPr>
          <w:color w:val="231F20"/>
          <w:spacing w:val="-10"/>
        </w:rPr>
        <w:t> </w:t>
      </w:r>
      <w:r>
        <w:rPr>
          <w:color w:val="231F20"/>
        </w:rPr>
        <w:t>laideur…</w:t>
      </w:r>
    </w:p>
    <w:p>
      <w:pPr>
        <w:pStyle w:val="BodyText"/>
        <w:spacing w:before="120"/>
        <w:ind w:right="108" w:firstLine="283"/>
      </w:pPr>
      <w:r>
        <w:rPr>
          <w:color w:val="231F20"/>
        </w:rPr>
        <w:t>La jeune fille est amenée en Europe où elle a effectivement du "succès".</w:t>
      </w:r>
      <w:r>
        <w:rPr>
          <w:color w:val="231F20"/>
          <w:spacing w:val="-12"/>
        </w:rPr>
        <w:t> </w:t>
      </w:r>
      <w:r>
        <w:rPr>
          <w:color w:val="231F20"/>
        </w:rPr>
        <w:t>Comparée</w:t>
      </w:r>
      <w:r>
        <w:rPr>
          <w:color w:val="231F20"/>
          <w:spacing w:val="-10"/>
        </w:rPr>
        <w:t> </w:t>
      </w:r>
      <w:r>
        <w:rPr>
          <w:color w:val="231F20"/>
        </w:rPr>
        <w:t>à</w:t>
      </w:r>
      <w:r>
        <w:rPr>
          <w:color w:val="231F20"/>
          <w:spacing w:val="-12"/>
        </w:rPr>
        <w:t> </w:t>
      </w:r>
      <w:r>
        <w:rPr>
          <w:color w:val="231F20"/>
        </w:rPr>
        <w:t>un</w:t>
      </w:r>
      <w:r>
        <w:rPr>
          <w:color w:val="231F20"/>
          <w:spacing w:val="-13"/>
        </w:rPr>
        <w:t> </w:t>
      </w:r>
      <w:r>
        <w:rPr>
          <w:color w:val="231F20"/>
        </w:rPr>
        <w:t>primate,</w:t>
      </w:r>
      <w:r>
        <w:rPr>
          <w:color w:val="231F20"/>
          <w:spacing w:val="-12"/>
        </w:rPr>
        <w:t> </w:t>
      </w:r>
      <w:r>
        <w:rPr>
          <w:color w:val="231F20"/>
        </w:rPr>
        <w:t>Sawtche</w:t>
      </w:r>
      <w:r>
        <w:rPr>
          <w:color w:val="231F20"/>
          <w:spacing w:val="-12"/>
        </w:rPr>
        <w:t> </w:t>
      </w:r>
      <w:r>
        <w:rPr>
          <w:color w:val="231F20"/>
        </w:rPr>
        <w:t>subit</w:t>
      </w:r>
      <w:r>
        <w:rPr>
          <w:color w:val="231F20"/>
          <w:spacing w:val="-11"/>
        </w:rPr>
        <w:t> </w:t>
      </w:r>
      <w:r>
        <w:rPr>
          <w:color w:val="231F20"/>
        </w:rPr>
        <w:t>le</w:t>
      </w:r>
      <w:r>
        <w:rPr>
          <w:color w:val="231F20"/>
          <w:spacing w:val="-12"/>
        </w:rPr>
        <w:t> </w:t>
      </w:r>
      <w:r>
        <w:rPr>
          <w:color w:val="231F20"/>
        </w:rPr>
        <w:t>regard,</w:t>
      </w:r>
      <w:r>
        <w:rPr>
          <w:color w:val="231F20"/>
          <w:spacing w:val="-12"/>
        </w:rPr>
        <w:t> </w:t>
      </w:r>
      <w:r>
        <w:rPr>
          <w:color w:val="231F20"/>
        </w:rPr>
        <w:t>les</w:t>
      </w:r>
      <w:r>
        <w:rPr>
          <w:color w:val="231F20"/>
          <w:spacing w:val="-11"/>
        </w:rPr>
        <w:t> </w:t>
      </w:r>
      <w:r>
        <w:rPr>
          <w:color w:val="231F20"/>
        </w:rPr>
        <w:t>quolibets et</w:t>
      </w:r>
      <w:r>
        <w:rPr>
          <w:color w:val="231F20"/>
          <w:spacing w:val="-15"/>
        </w:rPr>
        <w:t> </w:t>
      </w:r>
      <w:r>
        <w:rPr>
          <w:color w:val="231F20"/>
        </w:rPr>
        <w:t>le</w:t>
      </w:r>
      <w:r>
        <w:rPr>
          <w:color w:val="231F20"/>
          <w:spacing w:val="-15"/>
        </w:rPr>
        <w:t> </w:t>
      </w:r>
      <w:r>
        <w:rPr>
          <w:color w:val="231F20"/>
        </w:rPr>
        <w:t>toucher</w:t>
      </w:r>
      <w:r>
        <w:rPr>
          <w:color w:val="231F20"/>
          <w:spacing w:val="-15"/>
        </w:rPr>
        <w:t> </w:t>
      </w:r>
      <w:r>
        <w:rPr>
          <w:color w:val="231F20"/>
        </w:rPr>
        <w:t>des</w:t>
      </w:r>
      <w:r>
        <w:rPr>
          <w:color w:val="231F20"/>
          <w:spacing w:val="-15"/>
        </w:rPr>
        <w:t> </w:t>
      </w:r>
      <w:r>
        <w:rPr>
          <w:color w:val="231F20"/>
        </w:rPr>
        <w:t>spectateurs.</w:t>
      </w:r>
      <w:r>
        <w:rPr>
          <w:color w:val="231F20"/>
          <w:spacing w:val="-15"/>
        </w:rPr>
        <w:t> </w:t>
      </w:r>
      <w:r>
        <w:rPr>
          <w:color w:val="231F20"/>
        </w:rPr>
        <w:t>Comme</w:t>
      </w:r>
      <w:r>
        <w:rPr>
          <w:color w:val="231F20"/>
          <w:spacing w:val="-15"/>
        </w:rPr>
        <w:t> </w:t>
      </w:r>
      <w:r>
        <w:rPr>
          <w:color w:val="231F20"/>
        </w:rPr>
        <w:t>tout</w:t>
      </w:r>
      <w:r>
        <w:rPr>
          <w:color w:val="231F20"/>
          <w:spacing w:val="-15"/>
        </w:rPr>
        <w:t> </w:t>
      </w:r>
      <w:r>
        <w:rPr>
          <w:color w:val="231F20"/>
        </w:rPr>
        <w:t>animal,</w:t>
      </w:r>
      <w:r>
        <w:rPr>
          <w:color w:val="231F20"/>
          <w:spacing w:val="-15"/>
        </w:rPr>
        <w:t> </w:t>
      </w:r>
      <w:r>
        <w:rPr>
          <w:color w:val="231F20"/>
        </w:rPr>
        <w:t>elle</w:t>
      </w:r>
      <w:r>
        <w:rPr>
          <w:color w:val="231F20"/>
          <w:spacing w:val="-15"/>
        </w:rPr>
        <w:t> </w:t>
      </w:r>
      <w:r>
        <w:rPr>
          <w:color w:val="231F20"/>
        </w:rPr>
        <w:t>est</w:t>
      </w:r>
      <w:r>
        <w:rPr>
          <w:color w:val="231F20"/>
          <w:spacing w:val="-15"/>
        </w:rPr>
        <w:t> </w:t>
      </w:r>
      <w:r>
        <w:rPr>
          <w:color w:val="231F20"/>
        </w:rPr>
        <w:t>présentée</w:t>
      </w:r>
      <w:r>
        <w:rPr>
          <w:color w:val="231F20"/>
          <w:spacing w:val="-15"/>
        </w:rPr>
        <w:t> </w:t>
      </w:r>
      <w:r>
        <w:rPr>
          <w:color w:val="231F20"/>
        </w:rPr>
        <w:t>nue,</w:t>
      </w:r>
    </w:p>
    <w:p>
      <w:pPr>
        <w:pStyle w:val="BodyText"/>
        <w:ind w:left="0"/>
        <w:jc w:val="left"/>
        <w:rPr>
          <w:sz w:val="20"/>
        </w:rPr>
      </w:pPr>
    </w:p>
    <w:p>
      <w:pPr>
        <w:pStyle w:val="BodyText"/>
        <w:spacing w:before="26"/>
        <w:ind w:left="0"/>
        <w:jc w:val="left"/>
        <w:rPr>
          <w:sz w:val="20"/>
        </w:rPr>
      </w:pPr>
      <w:r>
        <w:rPr/>
        <mc:AlternateContent>
          <mc:Choice Requires="wps">
            <w:drawing>
              <wp:anchor distT="0" distB="0" distL="0" distR="0" allowOverlap="1" layoutInCell="1" locked="0" behindDoc="1" simplePos="0" relativeHeight="487592448">
                <wp:simplePos x="0" y="0"/>
                <wp:positionH relativeFrom="page">
                  <wp:posOffset>629907</wp:posOffset>
                </wp:positionH>
                <wp:positionV relativeFrom="paragraph">
                  <wp:posOffset>178367</wp:posOffset>
                </wp:positionV>
                <wp:extent cx="1829435" cy="9525"/>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044648pt;width:144.020pt;height:.72pt;mso-position-horizontal-relative:page;mso-position-vertical-relative:paragraph;z-index:-15724032;mso-wrap-distance-left:0;mso-wrap-distance-right:0" id="docshape18" filled="true" fillcolor="#231f20" stroked="false">
                <v:fill type="solid"/>
                <w10:wrap type="topAndBottom"/>
              </v:rect>
            </w:pict>
          </mc:Fallback>
        </mc:AlternateContent>
      </w:r>
    </w:p>
    <w:p>
      <w:pPr>
        <w:spacing w:before="91"/>
        <w:ind w:left="111" w:right="309" w:firstLine="0"/>
        <w:jc w:val="left"/>
        <w:rPr>
          <w:sz w:val="20"/>
        </w:rPr>
      </w:pPr>
      <w:r>
        <w:rPr>
          <w:color w:val="76787A"/>
          <w:spacing w:val="-2"/>
          <w:sz w:val="20"/>
          <w:vertAlign w:val="superscript"/>
        </w:rPr>
        <w:t>14</w:t>
      </w:r>
      <w:r>
        <w:rPr>
          <w:color w:val="76787A"/>
          <w:spacing w:val="-11"/>
          <w:sz w:val="20"/>
          <w:vertAlign w:val="baseline"/>
        </w:rPr>
        <w:t> </w:t>
      </w:r>
      <w:r>
        <w:rPr>
          <w:color w:val="231F20"/>
          <w:spacing w:val="-2"/>
          <w:sz w:val="20"/>
          <w:vertAlign w:val="baseline"/>
        </w:rPr>
        <w:t>Source</w:t>
      </w:r>
      <w:r>
        <w:rPr>
          <w:color w:val="231F20"/>
          <w:spacing w:val="-10"/>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Gérard</w:t>
      </w:r>
      <w:r>
        <w:rPr>
          <w:color w:val="231F20"/>
          <w:spacing w:val="-10"/>
          <w:sz w:val="20"/>
          <w:vertAlign w:val="baseline"/>
        </w:rPr>
        <w:t> </w:t>
      </w:r>
      <w:r>
        <w:rPr>
          <w:color w:val="231F20"/>
          <w:spacing w:val="-2"/>
          <w:sz w:val="20"/>
          <w:vertAlign w:val="baseline"/>
        </w:rPr>
        <w:t>Badou,</w:t>
      </w:r>
      <w:r>
        <w:rPr>
          <w:color w:val="231F20"/>
          <w:spacing w:val="-11"/>
          <w:sz w:val="20"/>
          <w:vertAlign w:val="baseline"/>
        </w:rPr>
        <w:t> </w:t>
      </w:r>
      <w:r>
        <w:rPr>
          <w:color w:val="231F20"/>
          <w:spacing w:val="-2"/>
          <w:sz w:val="20"/>
          <w:vertAlign w:val="baseline"/>
        </w:rPr>
        <w:t>L'Énigme</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la</w:t>
      </w:r>
      <w:r>
        <w:rPr>
          <w:color w:val="231F20"/>
          <w:spacing w:val="-10"/>
          <w:sz w:val="20"/>
          <w:vertAlign w:val="baseline"/>
        </w:rPr>
        <w:t> </w:t>
      </w:r>
      <w:r>
        <w:rPr>
          <w:color w:val="231F20"/>
          <w:spacing w:val="-2"/>
          <w:sz w:val="20"/>
          <w:vertAlign w:val="baseline"/>
        </w:rPr>
        <w:t>Vénus</w:t>
      </w:r>
      <w:r>
        <w:rPr>
          <w:color w:val="231F20"/>
          <w:spacing w:val="-11"/>
          <w:sz w:val="20"/>
          <w:vertAlign w:val="baseline"/>
        </w:rPr>
        <w:t> </w:t>
      </w:r>
      <w:r>
        <w:rPr>
          <w:color w:val="231F20"/>
          <w:spacing w:val="-2"/>
          <w:sz w:val="20"/>
          <w:vertAlign w:val="baseline"/>
        </w:rPr>
        <w:t>hottentote,</w:t>
      </w:r>
      <w:r>
        <w:rPr>
          <w:color w:val="231F20"/>
          <w:spacing w:val="-10"/>
          <w:sz w:val="20"/>
          <w:vertAlign w:val="baseline"/>
        </w:rPr>
        <w:t> </w:t>
      </w:r>
      <w:r>
        <w:rPr>
          <w:color w:val="231F20"/>
          <w:spacing w:val="-2"/>
          <w:sz w:val="20"/>
          <w:vertAlign w:val="baseline"/>
        </w:rPr>
        <w:t>Payot</w:t>
      </w:r>
      <w:r>
        <w:rPr>
          <w:color w:val="231F20"/>
          <w:spacing w:val="-11"/>
          <w:sz w:val="20"/>
          <w:vertAlign w:val="baseline"/>
        </w:rPr>
        <w:t> </w:t>
      </w:r>
      <w:r>
        <w:rPr>
          <w:color w:val="231F20"/>
          <w:spacing w:val="-2"/>
          <w:sz w:val="20"/>
          <w:vertAlign w:val="baseline"/>
        </w:rPr>
        <w:t>&amp;</w:t>
      </w:r>
      <w:r>
        <w:rPr>
          <w:color w:val="231F20"/>
          <w:spacing w:val="-9"/>
          <w:sz w:val="20"/>
          <w:vertAlign w:val="baseline"/>
        </w:rPr>
        <w:t> </w:t>
      </w:r>
      <w:r>
        <w:rPr>
          <w:color w:val="231F20"/>
          <w:spacing w:val="-2"/>
          <w:sz w:val="20"/>
          <w:vertAlign w:val="baseline"/>
        </w:rPr>
        <w:t>Rivages, </w:t>
      </w:r>
      <w:r>
        <w:rPr>
          <w:color w:val="231F20"/>
          <w:sz w:val="20"/>
          <w:vertAlign w:val="baseline"/>
        </w:rPr>
        <w:t>Barbara</w:t>
      </w:r>
      <w:r>
        <w:rPr>
          <w:color w:val="231F20"/>
          <w:spacing w:val="-5"/>
          <w:sz w:val="20"/>
          <w:vertAlign w:val="baseline"/>
        </w:rPr>
        <w:t> </w:t>
      </w:r>
      <w:r>
        <w:rPr>
          <w:color w:val="231F20"/>
          <w:sz w:val="20"/>
          <w:vertAlign w:val="baseline"/>
        </w:rPr>
        <w:t>Chase-Riboud,</w:t>
      </w:r>
      <w:r>
        <w:rPr>
          <w:color w:val="231F20"/>
          <w:spacing w:val="-7"/>
          <w:sz w:val="20"/>
          <w:vertAlign w:val="baseline"/>
        </w:rPr>
        <w:t> </w:t>
      </w:r>
      <w:r>
        <w:rPr>
          <w:i/>
          <w:color w:val="231F20"/>
          <w:sz w:val="20"/>
          <w:vertAlign w:val="baseline"/>
        </w:rPr>
        <w:t>Vénus</w:t>
      </w:r>
      <w:r>
        <w:rPr>
          <w:i/>
          <w:color w:val="231F20"/>
          <w:spacing w:val="-9"/>
          <w:sz w:val="20"/>
          <w:vertAlign w:val="baseline"/>
        </w:rPr>
        <w:t> </w:t>
      </w:r>
      <w:r>
        <w:rPr>
          <w:i/>
          <w:color w:val="231F20"/>
          <w:sz w:val="20"/>
          <w:vertAlign w:val="baseline"/>
        </w:rPr>
        <w:t>hottentote</w:t>
      </w:r>
      <w:r>
        <w:rPr>
          <w:color w:val="231F20"/>
          <w:sz w:val="20"/>
          <w:vertAlign w:val="baseline"/>
        </w:rPr>
        <w:t>,</w:t>
      </w:r>
      <w:r>
        <w:rPr>
          <w:color w:val="231F20"/>
          <w:spacing w:val="-5"/>
          <w:sz w:val="20"/>
          <w:vertAlign w:val="baseline"/>
        </w:rPr>
        <w:t> </w:t>
      </w:r>
      <w:r>
        <w:rPr>
          <w:color w:val="231F20"/>
          <w:sz w:val="20"/>
          <w:vertAlign w:val="baseline"/>
        </w:rPr>
        <w:t>Le</w:t>
      </w:r>
      <w:r>
        <w:rPr>
          <w:color w:val="231F20"/>
          <w:spacing w:val="-5"/>
          <w:sz w:val="20"/>
          <w:vertAlign w:val="baseline"/>
        </w:rPr>
        <w:t> </w:t>
      </w:r>
      <w:r>
        <w:rPr>
          <w:color w:val="231F20"/>
          <w:sz w:val="20"/>
          <w:vertAlign w:val="baseline"/>
        </w:rPr>
        <w:t>Livre</w:t>
      </w:r>
      <w:r>
        <w:rPr>
          <w:color w:val="231F20"/>
          <w:spacing w:val="-8"/>
          <w:sz w:val="20"/>
          <w:vertAlign w:val="baseline"/>
        </w:rPr>
        <w:t> </w:t>
      </w:r>
      <w:r>
        <w:rPr>
          <w:color w:val="231F20"/>
          <w:sz w:val="20"/>
          <w:vertAlign w:val="baseline"/>
        </w:rPr>
        <w:t>de</w:t>
      </w:r>
      <w:r>
        <w:rPr>
          <w:color w:val="231F20"/>
          <w:spacing w:val="-5"/>
          <w:sz w:val="20"/>
          <w:vertAlign w:val="baseline"/>
        </w:rPr>
        <w:t> </w:t>
      </w:r>
      <w:r>
        <w:rPr>
          <w:color w:val="231F20"/>
          <w:sz w:val="20"/>
          <w:vertAlign w:val="baseline"/>
        </w:rPr>
        <w:t>Poche,</w:t>
      </w:r>
      <w:r>
        <w:rPr>
          <w:color w:val="231F20"/>
          <w:spacing w:val="-10"/>
          <w:sz w:val="20"/>
          <w:vertAlign w:val="baseline"/>
        </w:rPr>
        <w:t> </w:t>
      </w:r>
      <w:r>
        <w:rPr>
          <w:color w:val="231F20"/>
          <w:sz w:val="20"/>
          <w:vertAlign w:val="baseline"/>
        </w:rPr>
        <w:t>2004</w:t>
      </w:r>
    </w:p>
    <w:p>
      <w:pPr>
        <w:spacing w:before="1"/>
        <w:ind w:left="111" w:right="0" w:hanging="1"/>
        <w:jc w:val="left"/>
        <w:rPr>
          <w:sz w:val="20"/>
        </w:rPr>
      </w:pPr>
      <w:r>
        <w:rPr>
          <w:color w:val="231F20"/>
          <w:spacing w:val="-4"/>
          <w:sz w:val="20"/>
          <w:vertAlign w:val="superscript"/>
        </w:rPr>
        <w:t>15</w:t>
      </w:r>
      <w:r>
        <w:rPr>
          <w:color w:val="231F20"/>
          <w:spacing w:val="-4"/>
          <w:sz w:val="20"/>
          <w:vertAlign w:val="baseline"/>
        </w:rPr>
        <w:t> Pascal</w:t>
      </w:r>
      <w:r>
        <w:rPr>
          <w:color w:val="231F20"/>
          <w:spacing w:val="-5"/>
          <w:sz w:val="20"/>
          <w:vertAlign w:val="baseline"/>
        </w:rPr>
        <w:t> </w:t>
      </w:r>
      <w:r>
        <w:rPr>
          <w:color w:val="231F20"/>
          <w:spacing w:val="-4"/>
          <w:sz w:val="20"/>
          <w:vertAlign w:val="baseline"/>
        </w:rPr>
        <w:t>Blanchard, Nicolas</w:t>
      </w:r>
      <w:r>
        <w:rPr>
          <w:color w:val="231F20"/>
          <w:spacing w:val="-6"/>
          <w:sz w:val="20"/>
          <w:vertAlign w:val="baseline"/>
        </w:rPr>
        <w:t> </w:t>
      </w:r>
      <w:r>
        <w:rPr>
          <w:color w:val="231F20"/>
          <w:spacing w:val="-4"/>
          <w:sz w:val="20"/>
          <w:vertAlign w:val="baseline"/>
        </w:rPr>
        <w:t>Bancel, Gilles Boëtsch, Sandrine</w:t>
      </w:r>
      <w:r>
        <w:rPr>
          <w:color w:val="231F20"/>
          <w:spacing w:val="-5"/>
          <w:sz w:val="20"/>
          <w:vertAlign w:val="baseline"/>
        </w:rPr>
        <w:t> </w:t>
      </w:r>
      <w:r>
        <w:rPr>
          <w:color w:val="231F20"/>
          <w:spacing w:val="-4"/>
          <w:sz w:val="20"/>
          <w:vertAlign w:val="baseline"/>
        </w:rPr>
        <w:t>Lemaire,</w:t>
      </w:r>
      <w:r>
        <w:rPr>
          <w:color w:val="231F20"/>
          <w:spacing w:val="-5"/>
          <w:sz w:val="20"/>
          <w:vertAlign w:val="baseline"/>
        </w:rPr>
        <w:t> </w:t>
      </w:r>
      <w:r>
        <w:rPr>
          <w:i/>
          <w:color w:val="57585A"/>
          <w:spacing w:val="-4"/>
          <w:sz w:val="20"/>
          <w:vertAlign w:val="baseline"/>
        </w:rPr>
        <w:t>Zoos</w:t>
      </w:r>
      <w:r>
        <w:rPr>
          <w:i/>
          <w:color w:val="57585A"/>
          <w:spacing w:val="-6"/>
          <w:sz w:val="20"/>
          <w:vertAlign w:val="baseline"/>
        </w:rPr>
        <w:t> </w:t>
      </w:r>
      <w:r>
        <w:rPr>
          <w:i/>
          <w:color w:val="57585A"/>
          <w:spacing w:val="-4"/>
          <w:sz w:val="20"/>
          <w:vertAlign w:val="baseline"/>
        </w:rPr>
        <w:t>humains et</w:t>
      </w:r>
      <w:r>
        <w:rPr>
          <w:i/>
          <w:color w:val="57585A"/>
          <w:spacing w:val="-4"/>
          <w:sz w:val="20"/>
          <w:vertAlign w:val="baseline"/>
        </w:rPr>
        <w:t> </w:t>
      </w:r>
      <w:r>
        <w:rPr>
          <w:i/>
          <w:color w:val="57585A"/>
          <w:sz w:val="20"/>
          <w:vertAlign w:val="baseline"/>
        </w:rPr>
        <w:t>exhibitions</w:t>
      </w:r>
      <w:r>
        <w:rPr>
          <w:i/>
          <w:color w:val="57585A"/>
          <w:spacing w:val="-8"/>
          <w:sz w:val="20"/>
          <w:vertAlign w:val="baseline"/>
        </w:rPr>
        <w:t> </w:t>
      </w:r>
      <w:r>
        <w:rPr>
          <w:i/>
          <w:color w:val="57585A"/>
          <w:sz w:val="20"/>
          <w:vertAlign w:val="baseline"/>
        </w:rPr>
        <w:t>coloniales,</w:t>
      </w:r>
      <w:r>
        <w:rPr>
          <w:i/>
          <w:color w:val="57585A"/>
          <w:spacing w:val="-7"/>
          <w:sz w:val="20"/>
          <w:vertAlign w:val="baseline"/>
        </w:rPr>
        <w:t> </w:t>
      </w:r>
      <w:r>
        <w:rPr>
          <w:i/>
          <w:color w:val="57585A"/>
          <w:sz w:val="20"/>
          <w:vertAlign w:val="baseline"/>
        </w:rPr>
        <w:t>150</w:t>
      </w:r>
      <w:r>
        <w:rPr>
          <w:i/>
          <w:color w:val="57585A"/>
          <w:spacing w:val="-6"/>
          <w:sz w:val="20"/>
          <w:vertAlign w:val="baseline"/>
        </w:rPr>
        <w:t> </w:t>
      </w:r>
      <w:r>
        <w:rPr>
          <w:i/>
          <w:color w:val="57585A"/>
          <w:sz w:val="20"/>
          <w:vertAlign w:val="baseline"/>
        </w:rPr>
        <w:t>ans</w:t>
      </w:r>
      <w:r>
        <w:rPr>
          <w:i/>
          <w:color w:val="57585A"/>
          <w:spacing w:val="-8"/>
          <w:sz w:val="20"/>
          <w:vertAlign w:val="baseline"/>
        </w:rPr>
        <w:t> </w:t>
      </w:r>
      <w:r>
        <w:rPr>
          <w:i/>
          <w:color w:val="57585A"/>
          <w:sz w:val="20"/>
          <w:vertAlign w:val="baseline"/>
        </w:rPr>
        <w:t>d’inventions</w:t>
      </w:r>
      <w:r>
        <w:rPr>
          <w:i/>
          <w:color w:val="57585A"/>
          <w:spacing w:val="-8"/>
          <w:sz w:val="20"/>
          <w:vertAlign w:val="baseline"/>
        </w:rPr>
        <w:t> </w:t>
      </w:r>
      <w:r>
        <w:rPr>
          <w:i/>
          <w:color w:val="57585A"/>
          <w:sz w:val="20"/>
          <w:vertAlign w:val="baseline"/>
        </w:rPr>
        <w:t>de</w:t>
      </w:r>
      <w:r>
        <w:rPr>
          <w:i/>
          <w:color w:val="57585A"/>
          <w:spacing w:val="-7"/>
          <w:sz w:val="20"/>
          <w:vertAlign w:val="baseline"/>
        </w:rPr>
        <w:t> </w:t>
      </w:r>
      <w:r>
        <w:rPr>
          <w:i/>
          <w:color w:val="57585A"/>
          <w:sz w:val="20"/>
          <w:vertAlign w:val="baseline"/>
        </w:rPr>
        <w:t>l’Autre</w:t>
      </w:r>
      <w:r>
        <w:rPr>
          <w:color w:val="57585A"/>
          <w:sz w:val="20"/>
          <w:vertAlign w:val="baseline"/>
        </w:rPr>
        <w:t>,</w:t>
      </w:r>
      <w:r>
        <w:rPr>
          <w:color w:val="57585A"/>
          <w:spacing w:val="-7"/>
          <w:sz w:val="20"/>
          <w:vertAlign w:val="baseline"/>
        </w:rPr>
        <w:t> </w:t>
      </w:r>
      <w:r>
        <w:rPr>
          <w:color w:val="57585A"/>
          <w:sz w:val="20"/>
          <w:vertAlign w:val="baseline"/>
        </w:rPr>
        <w:t>2011</w:t>
      </w:r>
      <w:r>
        <w:rPr>
          <w:color w:val="231F20"/>
          <w:sz w:val="20"/>
          <w:vertAlign w:val="baseline"/>
        </w:rPr>
        <w:t>.</w:t>
      </w:r>
    </w:p>
    <w:p>
      <w:pPr>
        <w:spacing w:after="0"/>
        <w:jc w:val="left"/>
        <w:rPr>
          <w:sz w:val="20"/>
        </w:rPr>
        <w:sectPr>
          <w:pgSz w:w="8790" w:h="13610"/>
          <w:pgMar w:header="0" w:footer="802" w:top="1040" w:bottom="1000" w:left="880" w:right="880"/>
        </w:sectPr>
      </w:pPr>
    </w:p>
    <w:p>
      <w:pPr>
        <w:pStyle w:val="BodyText"/>
        <w:spacing w:before="66"/>
      </w:pPr>
      <w:r>
        <w:rPr>
          <w:color w:val="231F20"/>
        </w:rPr>
        <w:t>au</w:t>
      </w:r>
      <w:r>
        <w:rPr>
          <w:color w:val="231F20"/>
          <w:spacing w:val="23"/>
        </w:rPr>
        <w:t> </w:t>
      </w:r>
      <w:r>
        <w:rPr>
          <w:color w:val="231F20"/>
        </w:rPr>
        <w:t>fond</w:t>
      </w:r>
      <w:r>
        <w:rPr>
          <w:color w:val="231F20"/>
          <w:spacing w:val="26"/>
        </w:rPr>
        <w:t> </w:t>
      </w:r>
      <w:r>
        <w:rPr>
          <w:color w:val="231F20"/>
        </w:rPr>
        <w:t>d’une</w:t>
      </w:r>
      <w:r>
        <w:rPr>
          <w:color w:val="231F20"/>
          <w:spacing w:val="25"/>
        </w:rPr>
        <w:t> </w:t>
      </w:r>
      <w:r>
        <w:rPr>
          <w:color w:val="231F20"/>
        </w:rPr>
        <w:t>cage,</w:t>
      </w:r>
      <w:r>
        <w:rPr>
          <w:color w:val="231F20"/>
          <w:spacing w:val="29"/>
        </w:rPr>
        <w:t> </w:t>
      </w:r>
      <w:r>
        <w:rPr>
          <w:color w:val="231F20"/>
        </w:rPr>
        <w:t>entre</w:t>
      </w:r>
      <w:r>
        <w:rPr>
          <w:color w:val="231F20"/>
          <w:spacing w:val="25"/>
        </w:rPr>
        <w:t> </w:t>
      </w:r>
      <w:r>
        <w:rPr>
          <w:color w:val="231F20"/>
        </w:rPr>
        <w:t>1810</w:t>
      </w:r>
      <w:r>
        <w:rPr>
          <w:color w:val="231F20"/>
          <w:spacing w:val="26"/>
        </w:rPr>
        <w:t> </w:t>
      </w:r>
      <w:r>
        <w:rPr>
          <w:color w:val="231F20"/>
        </w:rPr>
        <w:t>et</w:t>
      </w:r>
      <w:r>
        <w:rPr>
          <w:color w:val="231F20"/>
          <w:spacing w:val="24"/>
        </w:rPr>
        <w:t> </w:t>
      </w:r>
      <w:r>
        <w:rPr>
          <w:color w:val="231F20"/>
        </w:rPr>
        <w:t>1814</w:t>
      </w:r>
      <w:r>
        <w:rPr>
          <w:color w:val="231F20"/>
          <w:spacing w:val="28"/>
        </w:rPr>
        <w:t> </w:t>
      </w:r>
      <w:r>
        <w:rPr>
          <w:color w:val="231F20"/>
        </w:rPr>
        <w:t>dans</w:t>
      </w:r>
      <w:r>
        <w:rPr>
          <w:color w:val="231F20"/>
          <w:spacing w:val="24"/>
        </w:rPr>
        <w:t> </w:t>
      </w:r>
      <w:r>
        <w:rPr>
          <w:color w:val="231F20"/>
        </w:rPr>
        <w:t>toute</w:t>
      </w:r>
      <w:r>
        <w:rPr>
          <w:color w:val="231F20"/>
          <w:spacing w:val="25"/>
        </w:rPr>
        <w:t> </w:t>
      </w:r>
      <w:r>
        <w:rPr>
          <w:color w:val="231F20"/>
        </w:rPr>
        <w:t>l’Angleterre</w:t>
      </w:r>
      <w:r>
        <w:rPr>
          <w:color w:val="231F20"/>
          <w:spacing w:val="26"/>
        </w:rPr>
        <w:t> </w:t>
      </w:r>
      <w:r>
        <w:rPr>
          <w:color w:val="231F20"/>
        </w:rPr>
        <w:t>et</w:t>
      </w:r>
      <w:r>
        <w:rPr>
          <w:color w:val="231F20"/>
          <w:spacing w:val="25"/>
        </w:rPr>
        <w:t> </w:t>
      </w:r>
      <w:r>
        <w:rPr>
          <w:color w:val="231F20"/>
          <w:spacing w:val="-5"/>
        </w:rPr>
        <w:t>la</w:t>
      </w:r>
    </w:p>
    <w:p>
      <w:pPr>
        <w:pStyle w:val="BodyText"/>
      </w:pPr>
      <w:r>
        <w:rPr>
          <w:color w:val="231F20"/>
          <w:spacing w:val="-2"/>
        </w:rPr>
        <w:t>Hollande,</w:t>
      </w:r>
      <w:r>
        <w:rPr>
          <w:color w:val="231F20"/>
          <w:spacing w:val="-13"/>
        </w:rPr>
        <w:t> </w:t>
      </w:r>
      <w:r>
        <w:rPr>
          <w:color w:val="231F20"/>
          <w:spacing w:val="-2"/>
        </w:rPr>
        <w:t>dans</w:t>
      </w:r>
      <w:r>
        <w:rPr>
          <w:color w:val="231F20"/>
          <w:spacing w:val="-9"/>
        </w:rPr>
        <w:t> </w:t>
      </w:r>
      <w:r>
        <w:rPr>
          <w:color w:val="231F20"/>
          <w:spacing w:val="-2"/>
        </w:rPr>
        <w:t>les</w:t>
      </w:r>
      <w:r>
        <w:rPr>
          <w:color w:val="231F20"/>
          <w:spacing w:val="-12"/>
        </w:rPr>
        <w:t> </w:t>
      </w:r>
      <w:r>
        <w:rPr>
          <w:color w:val="231F20"/>
          <w:spacing w:val="-2"/>
        </w:rPr>
        <w:t>foires,</w:t>
      </w:r>
      <w:r>
        <w:rPr>
          <w:color w:val="231F20"/>
          <w:spacing w:val="-11"/>
        </w:rPr>
        <w:t> </w:t>
      </w:r>
      <w:r>
        <w:rPr>
          <w:color w:val="231F20"/>
          <w:spacing w:val="-2"/>
        </w:rPr>
        <w:t>musées</w:t>
      </w:r>
      <w:r>
        <w:rPr>
          <w:color w:val="231F20"/>
          <w:spacing w:val="-11"/>
        </w:rPr>
        <w:t> </w:t>
      </w:r>
      <w:r>
        <w:rPr>
          <w:color w:val="231F20"/>
          <w:spacing w:val="-2"/>
        </w:rPr>
        <w:t>et</w:t>
      </w:r>
      <w:r>
        <w:rPr>
          <w:color w:val="231F20"/>
          <w:spacing w:val="-10"/>
        </w:rPr>
        <w:t> </w:t>
      </w:r>
      <w:r>
        <w:rPr>
          <w:color w:val="231F20"/>
          <w:spacing w:val="-2"/>
        </w:rPr>
        <w:t>salons</w:t>
      </w:r>
      <w:r>
        <w:rPr>
          <w:color w:val="231F20"/>
          <w:spacing w:val="-11"/>
        </w:rPr>
        <w:t> </w:t>
      </w:r>
      <w:r>
        <w:rPr>
          <w:color w:val="231F20"/>
          <w:spacing w:val="-2"/>
        </w:rPr>
        <w:t>privés.</w:t>
      </w:r>
    </w:p>
    <w:p>
      <w:pPr>
        <w:pStyle w:val="BodyText"/>
        <w:spacing w:before="120"/>
        <w:ind w:right="105" w:firstLine="283"/>
      </w:pPr>
      <w:r>
        <w:rPr>
          <w:color w:val="231F20"/>
        </w:rPr>
        <w:t>En septembre 1814, elle arrive à Paris. Elle devient l’attraction du </w:t>
      </w:r>
      <w:r>
        <w:rPr>
          <w:color w:val="231F20"/>
          <w:spacing w:val="-2"/>
        </w:rPr>
        <w:t>spectacle</w:t>
      </w:r>
      <w:r>
        <w:rPr>
          <w:color w:val="231F20"/>
          <w:spacing w:val="-15"/>
        </w:rPr>
        <w:t> </w:t>
      </w:r>
      <w:r>
        <w:rPr>
          <w:color w:val="231F20"/>
          <w:spacing w:val="-2"/>
        </w:rPr>
        <w:t>du</w:t>
      </w:r>
      <w:r>
        <w:rPr>
          <w:color w:val="231F20"/>
          <w:spacing w:val="-13"/>
        </w:rPr>
        <w:t> </w:t>
      </w:r>
      <w:r>
        <w:rPr>
          <w:color w:val="231F20"/>
          <w:spacing w:val="-2"/>
        </w:rPr>
        <w:t>dénommé</w:t>
      </w:r>
      <w:r>
        <w:rPr>
          <w:color w:val="231F20"/>
          <w:spacing w:val="-13"/>
        </w:rPr>
        <w:t> </w:t>
      </w:r>
      <w:r>
        <w:rPr>
          <w:color w:val="231F20"/>
          <w:spacing w:val="-2"/>
        </w:rPr>
        <w:t>Réaux</w:t>
      </w:r>
      <w:r>
        <w:rPr>
          <w:color w:val="231F20"/>
          <w:spacing w:val="-13"/>
        </w:rPr>
        <w:t> </w:t>
      </w:r>
      <w:r>
        <w:rPr>
          <w:color w:val="231F20"/>
          <w:spacing w:val="-2"/>
        </w:rPr>
        <w:t>qui</w:t>
      </w:r>
      <w:r>
        <w:rPr>
          <w:color w:val="231F20"/>
          <w:spacing w:val="-13"/>
        </w:rPr>
        <w:t> </w:t>
      </w:r>
      <w:r>
        <w:rPr>
          <w:color w:val="231F20"/>
          <w:spacing w:val="-2"/>
        </w:rPr>
        <w:t>exhibe</w:t>
      </w:r>
      <w:r>
        <w:rPr>
          <w:color w:val="231F20"/>
          <w:spacing w:val="-13"/>
        </w:rPr>
        <w:t> </w:t>
      </w:r>
      <w:r>
        <w:rPr>
          <w:color w:val="231F20"/>
          <w:spacing w:val="-2"/>
        </w:rPr>
        <w:t>traditionnellement</w:t>
      </w:r>
      <w:r>
        <w:rPr>
          <w:color w:val="231F20"/>
          <w:spacing w:val="-13"/>
        </w:rPr>
        <w:t> </w:t>
      </w:r>
      <w:r>
        <w:rPr>
          <w:color w:val="231F20"/>
          <w:spacing w:val="-2"/>
        </w:rPr>
        <w:t>des</w:t>
      </w:r>
      <w:r>
        <w:rPr>
          <w:color w:val="231F20"/>
          <w:spacing w:val="-13"/>
        </w:rPr>
        <w:t> </w:t>
      </w:r>
      <w:r>
        <w:rPr>
          <w:color w:val="231F20"/>
          <w:spacing w:val="-2"/>
        </w:rPr>
        <w:t>animaux </w:t>
      </w:r>
      <w:r>
        <w:rPr>
          <w:color w:val="231F20"/>
        </w:rPr>
        <w:t>(ours,</w:t>
      </w:r>
      <w:r>
        <w:rPr>
          <w:color w:val="231F20"/>
          <w:spacing w:val="-3"/>
        </w:rPr>
        <w:t> </w:t>
      </w:r>
      <w:r>
        <w:rPr>
          <w:color w:val="231F20"/>
        </w:rPr>
        <w:t>singes) dans le</w:t>
      </w:r>
      <w:r>
        <w:rPr>
          <w:color w:val="231F20"/>
          <w:spacing w:val="-3"/>
        </w:rPr>
        <w:t> </w:t>
      </w:r>
      <w:r>
        <w:rPr>
          <w:color w:val="231F20"/>
        </w:rPr>
        <w:t>quartier du</w:t>
      </w:r>
      <w:r>
        <w:rPr>
          <w:color w:val="231F20"/>
          <w:spacing w:val="-3"/>
        </w:rPr>
        <w:t> </w:t>
      </w:r>
      <w:r>
        <w:rPr>
          <w:color w:val="231F20"/>
        </w:rPr>
        <w:t>Palais-Royal.</w:t>
      </w:r>
    </w:p>
    <w:p>
      <w:pPr>
        <w:pStyle w:val="BodyText"/>
        <w:spacing w:before="120"/>
        <w:ind w:right="109" w:firstLine="283"/>
      </w:pPr>
      <w:r>
        <w:rPr>
          <w:color w:val="231F20"/>
          <w:spacing w:val="-4"/>
        </w:rPr>
        <w:t>Surnommée</w:t>
      </w:r>
      <w:r>
        <w:rPr>
          <w:color w:val="231F20"/>
          <w:spacing w:val="-11"/>
        </w:rPr>
        <w:t> </w:t>
      </w:r>
      <w:r>
        <w:rPr>
          <w:color w:val="231F20"/>
          <w:spacing w:val="-4"/>
        </w:rPr>
        <w:t>"la</w:t>
      </w:r>
      <w:r>
        <w:rPr>
          <w:color w:val="231F20"/>
          <w:spacing w:val="-11"/>
        </w:rPr>
        <w:t> </w:t>
      </w:r>
      <w:r>
        <w:rPr>
          <w:color w:val="231F20"/>
          <w:spacing w:val="-4"/>
        </w:rPr>
        <w:t>vénus</w:t>
      </w:r>
      <w:r>
        <w:rPr>
          <w:color w:val="231F20"/>
          <w:spacing w:val="-11"/>
        </w:rPr>
        <w:t> </w:t>
      </w:r>
      <w:r>
        <w:rPr>
          <w:color w:val="231F20"/>
          <w:spacing w:val="-4"/>
        </w:rPr>
        <w:t>hottentote",</w:t>
      </w:r>
      <w:r>
        <w:rPr>
          <w:color w:val="231F20"/>
          <w:spacing w:val="-11"/>
        </w:rPr>
        <w:t> </w:t>
      </w:r>
      <w:r>
        <w:rPr>
          <w:color w:val="231F20"/>
          <w:spacing w:val="-4"/>
        </w:rPr>
        <w:t>elle</w:t>
      </w:r>
      <w:r>
        <w:rPr>
          <w:color w:val="231F20"/>
          <w:spacing w:val="-11"/>
        </w:rPr>
        <w:t> </w:t>
      </w:r>
      <w:r>
        <w:rPr>
          <w:color w:val="231F20"/>
          <w:spacing w:val="-4"/>
        </w:rPr>
        <w:t>est</w:t>
      </w:r>
      <w:r>
        <w:rPr>
          <w:color w:val="231F20"/>
          <w:spacing w:val="-11"/>
        </w:rPr>
        <w:t> </w:t>
      </w:r>
      <w:r>
        <w:rPr>
          <w:color w:val="231F20"/>
          <w:spacing w:val="-4"/>
        </w:rPr>
        <w:t>examinée,</w:t>
      </w:r>
      <w:r>
        <w:rPr>
          <w:color w:val="231F20"/>
          <w:spacing w:val="-11"/>
        </w:rPr>
        <w:t> </w:t>
      </w:r>
      <w:r>
        <w:rPr>
          <w:color w:val="231F20"/>
          <w:spacing w:val="-4"/>
        </w:rPr>
        <w:t>mesurée</w:t>
      </w:r>
      <w:r>
        <w:rPr>
          <w:color w:val="231F20"/>
          <w:spacing w:val="-11"/>
        </w:rPr>
        <w:t> </w:t>
      </w:r>
      <w:r>
        <w:rPr>
          <w:color w:val="231F20"/>
          <w:spacing w:val="-4"/>
        </w:rPr>
        <w:t>et</w:t>
      </w:r>
      <w:r>
        <w:rPr>
          <w:color w:val="231F20"/>
          <w:spacing w:val="-11"/>
        </w:rPr>
        <w:t> </w:t>
      </w:r>
      <w:r>
        <w:rPr>
          <w:color w:val="231F20"/>
          <w:spacing w:val="-4"/>
        </w:rPr>
        <w:t>palpée </w:t>
      </w:r>
      <w:r>
        <w:rPr>
          <w:color w:val="231F20"/>
          <w:spacing w:val="-2"/>
        </w:rPr>
        <w:t>par</w:t>
      </w:r>
      <w:r>
        <w:rPr>
          <w:color w:val="231F20"/>
          <w:spacing w:val="-13"/>
        </w:rPr>
        <w:t> </w:t>
      </w:r>
      <w:r>
        <w:rPr>
          <w:color w:val="231F20"/>
          <w:spacing w:val="-2"/>
        </w:rPr>
        <w:t>des</w:t>
      </w:r>
      <w:r>
        <w:rPr>
          <w:color w:val="231F20"/>
          <w:spacing w:val="-13"/>
        </w:rPr>
        <w:t> </w:t>
      </w:r>
      <w:r>
        <w:rPr>
          <w:color w:val="231F20"/>
          <w:spacing w:val="-2"/>
        </w:rPr>
        <w:t>savants.</w:t>
      </w:r>
      <w:r>
        <w:rPr>
          <w:color w:val="231F20"/>
          <w:spacing w:val="-13"/>
        </w:rPr>
        <w:t> </w:t>
      </w:r>
      <w:r>
        <w:rPr>
          <w:color w:val="231F20"/>
          <w:spacing w:val="-2"/>
        </w:rPr>
        <w:t>Ils</w:t>
      </w:r>
      <w:r>
        <w:rPr>
          <w:color w:val="231F20"/>
          <w:spacing w:val="-13"/>
        </w:rPr>
        <w:t> </w:t>
      </w:r>
      <w:r>
        <w:rPr>
          <w:color w:val="231F20"/>
          <w:spacing w:val="-2"/>
        </w:rPr>
        <w:t>sont</w:t>
      </w:r>
      <w:r>
        <w:rPr>
          <w:color w:val="231F20"/>
          <w:spacing w:val="-13"/>
        </w:rPr>
        <w:t> </w:t>
      </w:r>
      <w:r>
        <w:rPr>
          <w:color w:val="231F20"/>
          <w:spacing w:val="-2"/>
        </w:rPr>
        <w:t>catégoriques</w:t>
      </w:r>
      <w:r>
        <w:rPr>
          <w:color w:val="231F20"/>
          <w:spacing w:val="-13"/>
        </w:rPr>
        <w:t> </w:t>
      </w:r>
      <w:r>
        <w:rPr>
          <w:color w:val="231F20"/>
          <w:spacing w:val="-2"/>
        </w:rPr>
        <w:t>dans</w:t>
      </w:r>
      <w:r>
        <w:rPr>
          <w:color w:val="231F20"/>
          <w:spacing w:val="-13"/>
        </w:rPr>
        <w:t> </w:t>
      </w:r>
      <w:r>
        <w:rPr>
          <w:color w:val="231F20"/>
          <w:spacing w:val="-2"/>
        </w:rPr>
        <w:t>leurs</w:t>
      </w:r>
      <w:r>
        <w:rPr>
          <w:color w:val="231F20"/>
          <w:spacing w:val="-13"/>
        </w:rPr>
        <w:t> </w:t>
      </w:r>
      <w:r>
        <w:rPr>
          <w:color w:val="231F20"/>
          <w:spacing w:val="-2"/>
        </w:rPr>
        <w:t>conclusions</w:t>
      </w:r>
      <w:r>
        <w:rPr>
          <w:color w:val="231F20"/>
          <w:spacing w:val="-13"/>
        </w:rPr>
        <w:t> </w:t>
      </w:r>
      <w:r>
        <w:rPr>
          <w:color w:val="231F20"/>
          <w:spacing w:val="-2"/>
        </w:rPr>
        <w:t>qu’ils</w:t>
      </w:r>
      <w:r>
        <w:rPr>
          <w:color w:val="231F20"/>
          <w:spacing w:val="-13"/>
        </w:rPr>
        <w:t> </w:t>
      </w:r>
      <w:r>
        <w:rPr>
          <w:color w:val="231F20"/>
          <w:spacing w:val="-2"/>
        </w:rPr>
        <w:t>livrent </w:t>
      </w:r>
      <w:r>
        <w:rPr>
          <w:color w:val="231F20"/>
        </w:rPr>
        <w:t>au</w:t>
      </w:r>
      <w:r>
        <w:rPr>
          <w:color w:val="231F20"/>
          <w:spacing w:val="-8"/>
        </w:rPr>
        <w:t> </w:t>
      </w:r>
      <w:r>
        <w:rPr>
          <w:color w:val="231F20"/>
        </w:rPr>
        <w:t>public</w:t>
      </w:r>
      <w:r>
        <w:rPr>
          <w:color w:val="231F20"/>
          <w:spacing w:val="-10"/>
        </w:rPr>
        <w:t> </w:t>
      </w:r>
      <w:r>
        <w:rPr>
          <w:color w:val="231F20"/>
        </w:rPr>
        <w:t>:</w:t>
      </w:r>
      <w:r>
        <w:rPr>
          <w:color w:val="231F20"/>
          <w:spacing w:val="-7"/>
        </w:rPr>
        <w:t> </w:t>
      </w:r>
      <w:r>
        <w:rPr>
          <w:color w:val="231F20"/>
        </w:rPr>
        <w:t>les</w:t>
      </w:r>
      <w:r>
        <w:rPr>
          <w:color w:val="231F20"/>
          <w:spacing w:val="-10"/>
        </w:rPr>
        <w:t> </w:t>
      </w:r>
      <w:r>
        <w:rPr>
          <w:color w:val="231F20"/>
        </w:rPr>
        <w:t>formes</w:t>
      </w:r>
      <w:r>
        <w:rPr>
          <w:color w:val="231F20"/>
          <w:spacing w:val="-8"/>
        </w:rPr>
        <w:t> </w:t>
      </w:r>
      <w:r>
        <w:rPr>
          <w:color w:val="231F20"/>
        </w:rPr>
        <w:t>de</w:t>
      </w:r>
      <w:r>
        <w:rPr>
          <w:color w:val="231F20"/>
          <w:spacing w:val="-10"/>
        </w:rPr>
        <w:t> </w:t>
      </w:r>
      <w:r>
        <w:rPr>
          <w:color w:val="231F20"/>
        </w:rPr>
        <w:t>Sawtche</w:t>
      </w:r>
      <w:r>
        <w:rPr>
          <w:color w:val="231F20"/>
          <w:spacing w:val="-10"/>
        </w:rPr>
        <w:t> </w:t>
      </w:r>
      <w:r>
        <w:rPr>
          <w:color w:val="231F20"/>
        </w:rPr>
        <w:t>sont</w:t>
      </w:r>
      <w:r>
        <w:rPr>
          <w:color w:val="231F20"/>
          <w:spacing w:val="-9"/>
        </w:rPr>
        <w:t> </w:t>
      </w:r>
      <w:r>
        <w:rPr>
          <w:color w:val="231F20"/>
        </w:rPr>
        <w:t>une</w:t>
      </w:r>
      <w:r>
        <w:rPr>
          <w:color w:val="231F20"/>
          <w:spacing w:val="-10"/>
        </w:rPr>
        <w:t> </w:t>
      </w:r>
      <w:r>
        <w:rPr>
          <w:color w:val="231F20"/>
        </w:rPr>
        <w:t>monstruosité,</w:t>
      </w:r>
      <w:r>
        <w:rPr>
          <w:color w:val="231F20"/>
          <w:spacing w:val="-8"/>
        </w:rPr>
        <w:t> </w:t>
      </w:r>
      <w:r>
        <w:rPr>
          <w:color w:val="231F20"/>
        </w:rPr>
        <w:t>une</w:t>
      </w:r>
      <w:r>
        <w:rPr>
          <w:color w:val="231F20"/>
          <w:spacing w:val="-8"/>
        </w:rPr>
        <w:t> </w:t>
      </w:r>
      <w:r>
        <w:rPr>
          <w:color w:val="231F20"/>
        </w:rPr>
        <w:t>anomalie.</w:t>
      </w:r>
    </w:p>
    <w:p>
      <w:pPr>
        <w:pStyle w:val="BodyText"/>
        <w:spacing w:before="121"/>
        <w:ind w:right="103" w:firstLine="283"/>
      </w:pPr>
      <w:r>
        <w:rPr>
          <w:color w:val="231F20"/>
          <w:spacing w:val="-4"/>
        </w:rPr>
        <w:t>Contre</w:t>
      </w:r>
      <w:r>
        <w:rPr>
          <w:color w:val="231F20"/>
          <w:spacing w:val="-7"/>
        </w:rPr>
        <w:t> </w:t>
      </w:r>
      <w:r>
        <w:rPr>
          <w:color w:val="231F20"/>
          <w:spacing w:val="-4"/>
        </w:rPr>
        <w:t>toute attente, elle</w:t>
      </w:r>
      <w:r>
        <w:rPr>
          <w:color w:val="231F20"/>
          <w:spacing w:val="-7"/>
        </w:rPr>
        <w:t> </w:t>
      </w:r>
      <w:r>
        <w:rPr>
          <w:color w:val="231F20"/>
          <w:spacing w:val="-4"/>
        </w:rPr>
        <w:t>ne laisse pas</w:t>
      </w:r>
      <w:r>
        <w:rPr>
          <w:color w:val="231F20"/>
          <w:spacing w:val="-6"/>
        </w:rPr>
        <w:t> </w:t>
      </w:r>
      <w:r>
        <w:rPr>
          <w:color w:val="231F20"/>
          <w:spacing w:val="-4"/>
        </w:rPr>
        <w:t>indifférent</w:t>
      </w:r>
      <w:r>
        <w:rPr>
          <w:color w:val="231F20"/>
          <w:spacing w:val="-6"/>
        </w:rPr>
        <w:t> </w:t>
      </w:r>
      <w:r>
        <w:rPr>
          <w:color w:val="231F20"/>
          <w:spacing w:val="-4"/>
        </w:rPr>
        <w:t>le public</w:t>
      </w:r>
      <w:r>
        <w:rPr>
          <w:color w:val="231F20"/>
          <w:spacing w:val="-10"/>
        </w:rPr>
        <w:t> </w:t>
      </w:r>
      <w:r>
        <w:rPr>
          <w:color w:val="231F20"/>
          <w:spacing w:val="-4"/>
        </w:rPr>
        <w:t>masculin de </w:t>
      </w:r>
      <w:r>
        <w:rPr>
          <w:color w:val="231F20"/>
        </w:rPr>
        <w:t>cette société civilisée. Chaque nuit, les</w:t>
      </w:r>
      <w:r>
        <w:rPr>
          <w:color w:val="231F20"/>
          <w:spacing w:val="-15"/>
        </w:rPr>
        <w:t> </w:t>
      </w:r>
      <w:r>
        <w:rPr>
          <w:color w:val="231F20"/>
        </w:rPr>
        <w:t>impresarios de la "femelle primate" n’hésitent pas à la droguer et violer. Ensuite,</w:t>
      </w:r>
      <w:r>
        <w:rPr>
          <w:color w:val="231F20"/>
          <w:spacing w:val="-15"/>
        </w:rPr>
        <w:t> </w:t>
      </w:r>
      <w:r>
        <w:rPr>
          <w:color w:val="231F20"/>
        </w:rPr>
        <w:t>dans les salons privés, loin des regards, ils la prostituent en la livrant aux nombreux hommes</w:t>
      </w:r>
      <w:r>
        <w:rPr>
          <w:color w:val="231F20"/>
          <w:spacing w:val="-2"/>
        </w:rPr>
        <w:t> </w:t>
      </w:r>
      <w:r>
        <w:rPr>
          <w:color w:val="231F20"/>
        </w:rPr>
        <w:t>qui</w:t>
      </w:r>
      <w:r>
        <w:rPr>
          <w:color w:val="231F20"/>
          <w:spacing w:val="-2"/>
        </w:rPr>
        <w:t> </w:t>
      </w:r>
      <w:r>
        <w:rPr>
          <w:color w:val="231F20"/>
        </w:rPr>
        <w:t>s’alignent</w:t>
      </w:r>
      <w:r>
        <w:rPr>
          <w:color w:val="231F20"/>
          <w:spacing w:val="-5"/>
        </w:rPr>
        <w:t> </w:t>
      </w:r>
      <w:r>
        <w:rPr>
          <w:color w:val="231F20"/>
        </w:rPr>
        <w:t>pour</w:t>
      </w:r>
      <w:r>
        <w:rPr>
          <w:color w:val="231F20"/>
          <w:spacing w:val="-2"/>
        </w:rPr>
        <w:t> </w:t>
      </w:r>
      <w:r>
        <w:rPr>
          <w:color w:val="231F20"/>
        </w:rPr>
        <w:t>avoir</w:t>
      </w:r>
      <w:r>
        <w:rPr>
          <w:color w:val="231F20"/>
          <w:spacing w:val="-5"/>
        </w:rPr>
        <w:t> </w:t>
      </w:r>
      <w:r>
        <w:rPr>
          <w:color w:val="231F20"/>
        </w:rPr>
        <w:t>leur</w:t>
      </w:r>
      <w:r>
        <w:rPr>
          <w:color w:val="231F20"/>
          <w:spacing w:val="-3"/>
        </w:rPr>
        <w:t> </w:t>
      </w:r>
      <w:r>
        <w:rPr>
          <w:color w:val="231F20"/>
        </w:rPr>
        <w:t>part</w:t>
      </w:r>
      <w:r>
        <w:rPr>
          <w:color w:val="231F20"/>
          <w:spacing w:val="-2"/>
        </w:rPr>
        <w:t> </w:t>
      </w:r>
      <w:r>
        <w:rPr>
          <w:color w:val="231F20"/>
        </w:rPr>
        <w:t>de</w:t>
      </w:r>
      <w:r>
        <w:rPr>
          <w:color w:val="231F20"/>
          <w:spacing w:val="-5"/>
        </w:rPr>
        <w:t> </w:t>
      </w:r>
      <w:r>
        <w:rPr>
          <w:color w:val="231F20"/>
        </w:rPr>
        <w:t>plaisir.</w:t>
      </w:r>
    </w:p>
    <w:p>
      <w:pPr>
        <w:pStyle w:val="BodyText"/>
        <w:spacing w:before="120"/>
        <w:ind w:left="395"/>
      </w:pPr>
      <w:r>
        <w:rPr>
          <w:color w:val="231F20"/>
        </w:rPr>
        <w:t>Affaiblie</w:t>
      </w:r>
      <w:r>
        <w:rPr>
          <w:color w:val="231F20"/>
          <w:spacing w:val="-8"/>
        </w:rPr>
        <w:t> </w:t>
      </w:r>
      <w:r>
        <w:rPr>
          <w:color w:val="231F20"/>
        </w:rPr>
        <w:t>par</w:t>
      </w:r>
      <w:r>
        <w:rPr>
          <w:color w:val="231F20"/>
          <w:spacing w:val="-7"/>
        </w:rPr>
        <w:t> </w:t>
      </w:r>
      <w:r>
        <w:rPr>
          <w:color w:val="231F20"/>
        </w:rPr>
        <w:t>la</w:t>
      </w:r>
      <w:r>
        <w:rPr>
          <w:color w:val="231F20"/>
          <w:spacing w:val="-8"/>
        </w:rPr>
        <w:t> </w:t>
      </w:r>
      <w:r>
        <w:rPr>
          <w:color w:val="231F20"/>
        </w:rPr>
        <w:t>drogue,</w:t>
      </w:r>
      <w:r>
        <w:rPr>
          <w:color w:val="231F20"/>
          <w:spacing w:val="-7"/>
        </w:rPr>
        <w:t> </w:t>
      </w:r>
      <w:r>
        <w:rPr>
          <w:color w:val="231F20"/>
        </w:rPr>
        <w:t>une</w:t>
      </w:r>
      <w:r>
        <w:rPr>
          <w:color w:val="231F20"/>
          <w:spacing w:val="-8"/>
        </w:rPr>
        <w:t> </w:t>
      </w:r>
      <w:r>
        <w:rPr>
          <w:color w:val="231F20"/>
        </w:rPr>
        <w:t>fièvre</w:t>
      </w:r>
      <w:r>
        <w:rPr>
          <w:color w:val="231F20"/>
          <w:spacing w:val="-7"/>
        </w:rPr>
        <w:t> </w:t>
      </w:r>
      <w:r>
        <w:rPr>
          <w:color w:val="231F20"/>
        </w:rPr>
        <w:t>éruptive</w:t>
      </w:r>
      <w:r>
        <w:rPr>
          <w:color w:val="231F20"/>
          <w:spacing w:val="-7"/>
        </w:rPr>
        <w:t> </w:t>
      </w:r>
      <w:r>
        <w:rPr>
          <w:color w:val="231F20"/>
        </w:rPr>
        <w:t>l’emporte</w:t>
      </w:r>
      <w:r>
        <w:rPr>
          <w:color w:val="231F20"/>
          <w:spacing w:val="-8"/>
        </w:rPr>
        <w:t> </w:t>
      </w:r>
      <w:r>
        <w:rPr>
          <w:color w:val="231F20"/>
        </w:rPr>
        <w:t>dans</w:t>
      </w:r>
      <w:r>
        <w:rPr>
          <w:color w:val="231F20"/>
          <w:spacing w:val="-7"/>
        </w:rPr>
        <w:t> </w:t>
      </w:r>
      <w:r>
        <w:rPr>
          <w:color w:val="231F20"/>
        </w:rPr>
        <w:t>la</w:t>
      </w:r>
      <w:r>
        <w:rPr>
          <w:color w:val="231F20"/>
          <w:spacing w:val="-7"/>
        </w:rPr>
        <w:t> </w:t>
      </w:r>
      <w:r>
        <w:rPr>
          <w:color w:val="231F20"/>
        </w:rPr>
        <w:t>nuit</w:t>
      </w:r>
      <w:r>
        <w:rPr>
          <w:color w:val="231F20"/>
          <w:spacing w:val="-6"/>
        </w:rPr>
        <w:t> </w:t>
      </w:r>
      <w:r>
        <w:rPr>
          <w:color w:val="231F20"/>
          <w:spacing w:val="-5"/>
        </w:rPr>
        <w:t>du</w:t>
      </w:r>
    </w:p>
    <w:p>
      <w:pPr>
        <w:pStyle w:val="BodyText"/>
        <w:ind w:right="103"/>
      </w:pPr>
      <w:r>
        <w:rPr>
          <w:color w:val="231F20"/>
        </w:rPr>
        <w:t>29 septembre 1815. Etienne Geoffroy Saint Hilaire, professeur au </w:t>
      </w:r>
      <w:r>
        <w:rPr>
          <w:color w:val="231F20"/>
          <w:spacing w:val="-4"/>
        </w:rPr>
        <w:t>muséum</w:t>
      </w:r>
      <w:r>
        <w:rPr>
          <w:color w:val="231F20"/>
          <w:spacing w:val="-11"/>
        </w:rPr>
        <w:t> </w:t>
      </w:r>
      <w:r>
        <w:rPr>
          <w:color w:val="231F20"/>
          <w:spacing w:val="-4"/>
        </w:rPr>
        <w:t>national</w:t>
      </w:r>
      <w:r>
        <w:rPr>
          <w:color w:val="231F20"/>
          <w:spacing w:val="-11"/>
        </w:rPr>
        <w:t> </w:t>
      </w:r>
      <w:r>
        <w:rPr>
          <w:color w:val="231F20"/>
          <w:spacing w:val="-4"/>
        </w:rPr>
        <w:t>d’histoire</w:t>
      </w:r>
      <w:r>
        <w:rPr>
          <w:color w:val="231F20"/>
          <w:spacing w:val="-11"/>
        </w:rPr>
        <w:t> </w:t>
      </w:r>
      <w:r>
        <w:rPr>
          <w:color w:val="231F20"/>
          <w:spacing w:val="-4"/>
        </w:rPr>
        <w:t>naturelle</w:t>
      </w:r>
      <w:r>
        <w:rPr>
          <w:color w:val="231F20"/>
          <w:spacing w:val="-11"/>
        </w:rPr>
        <w:t> </w:t>
      </w:r>
      <w:r>
        <w:rPr>
          <w:color w:val="231F20"/>
          <w:spacing w:val="-4"/>
        </w:rPr>
        <w:t>à</w:t>
      </w:r>
      <w:r>
        <w:rPr>
          <w:color w:val="231F20"/>
          <w:spacing w:val="-11"/>
        </w:rPr>
        <w:t> </w:t>
      </w:r>
      <w:r>
        <w:rPr>
          <w:color w:val="231F20"/>
          <w:spacing w:val="-4"/>
        </w:rPr>
        <w:t>Paris</w:t>
      </w:r>
      <w:r>
        <w:rPr>
          <w:color w:val="231F20"/>
          <w:spacing w:val="-11"/>
        </w:rPr>
        <w:t> </w:t>
      </w:r>
      <w:r>
        <w:rPr>
          <w:color w:val="231F20"/>
          <w:spacing w:val="-4"/>
        </w:rPr>
        <w:t>et</w:t>
      </w:r>
      <w:r>
        <w:rPr>
          <w:color w:val="231F20"/>
          <w:spacing w:val="-11"/>
        </w:rPr>
        <w:t> </w:t>
      </w:r>
      <w:r>
        <w:rPr>
          <w:color w:val="231F20"/>
          <w:spacing w:val="-4"/>
        </w:rPr>
        <w:t>Georges</w:t>
      </w:r>
      <w:r>
        <w:rPr>
          <w:color w:val="231F20"/>
          <w:spacing w:val="-11"/>
        </w:rPr>
        <w:t> </w:t>
      </w:r>
      <w:r>
        <w:rPr>
          <w:color w:val="231F20"/>
          <w:spacing w:val="-4"/>
        </w:rPr>
        <w:t>Cuvier,</w:t>
      </w:r>
      <w:r>
        <w:rPr>
          <w:color w:val="231F20"/>
          <w:spacing w:val="-11"/>
        </w:rPr>
        <w:t> </w:t>
      </w:r>
      <w:r>
        <w:rPr>
          <w:color w:val="231F20"/>
          <w:spacing w:val="-4"/>
        </w:rPr>
        <w:t>zoologiste </w:t>
      </w:r>
      <w:r>
        <w:rPr>
          <w:color w:val="231F20"/>
        </w:rPr>
        <w:t>et</w:t>
      </w:r>
      <w:r>
        <w:rPr>
          <w:color w:val="231F20"/>
          <w:spacing w:val="-9"/>
        </w:rPr>
        <w:t> </w:t>
      </w:r>
      <w:r>
        <w:rPr>
          <w:color w:val="231F20"/>
        </w:rPr>
        <w:t>chirurgien</w:t>
      </w:r>
      <w:r>
        <w:rPr>
          <w:color w:val="231F20"/>
          <w:spacing w:val="-11"/>
        </w:rPr>
        <w:t> </w:t>
      </w:r>
      <w:r>
        <w:rPr>
          <w:color w:val="231F20"/>
        </w:rPr>
        <w:t>de</w:t>
      </w:r>
      <w:r>
        <w:rPr>
          <w:color w:val="231F20"/>
          <w:spacing w:val="-12"/>
        </w:rPr>
        <w:t> </w:t>
      </w:r>
      <w:r>
        <w:rPr>
          <w:color w:val="231F20"/>
        </w:rPr>
        <w:t>Napoléon</w:t>
      </w:r>
      <w:r>
        <w:rPr>
          <w:color w:val="231F20"/>
          <w:spacing w:val="-9"/>
        </w:rPr>
        <w:t> </w:t>
      </w:r>
      <w:r>
        <w:rPr>
          <w:color w:val="231F20"/>
        </w:rPr>
        <w:t>Bonaparte</w:t>
      </w:r>
      <w:r>
        <w:rPr>
          <w:color w:val="231F20"/>
          <w:spacing w:val="-12"/>
        </w:rPr>
        <w:t> </w:t>
      </w:r>
      <w:r>
        <w:rPr>
          <w:color w:val="231F20"/>
        </w:rPr>
        <w:t>dissèquent</w:t>
      </w:r>
      <w:r>
        <w:rPr>
          <w:color w:val="231F20"/>
          <w:spacing w:val="-10"/>
        </w:rPr>
        <w:t> </w:t>
      </w:r>
      <w:r>
        <w:rPr>
          <w:color w:val="231F20"/>
        </w:rPr>
        <w:t>son</w:t>
      </w:r>
      <w:r>
        <w:rPr>
          <w:color w:val="231F20"/>
          <w:spacing w:val="-9"/>
        </w:rPr>
        <w:t> </w:t>
      </w:r>
      <w:r>
        <w:rPr>
          <w:color w:val="231F20"/>
        </w:rPr>
        <w:t>corps</w:t>
      </w:r>
      <w:r>
        <w:rPr>
          <w:color w:val="231F20"/>
          <w:spacing w:val="-9"/>
        </w:rPr>
        <w:t> </w:t>
      </w:r>
      <w:r>
        <w:rPr>
          <w:color w:val="231F20"/>
        </w:rPr>
        <w:t>au</w:t>
      </w:r>
      <w:r>
        <w:rPr>
          <w:color w:val="231F20"/>
          <w:spacing w:val="-11"/>
        </w:rPr>
        <w:t> </w:t>
      </w:r>
      <w:r>
        <w:rPr>
          <w:color w:val="231F20"/>
        </w:rPr>
        <w:t>nom</w:t>
      </w:r>
      <w:r>
        <w:rPr>
          <w:color w:val="231F20"/>
          <w:spacing w:val="-12"/>
        </w:rPr>
        <w:t> </w:t>
      </w:r>
      <w:r>
        <w:rPr>
          <w:color w:val="231F20"/>
        </w:rPr>
        <w:t>de</w:t>
      </w:r>
      <w:r>
        <w:rPr>
          <w:color w:val="231F20"/>
          <w:spacing w:val="-9"/>
        </w:rPr>
        <w:t> </w:t>
      </w:r>
      <w:r>
        <w:rPr>
          <w:color w:val="231F20"/>
        </w:rPr>
        <w:t>la science. Son squelette, son cerveau et tous ses organes génitaux sont prélevés puis conservés dans des bocaux de formol. Cuvier et Saint Hilaire</w:t>
      </w:r>
      <w:r>
        <w:rPr>
          <w:color w:val="231F20"/>
          <w:spacing w:val="-8"/>
        </w:rPr>
        <w:t> </w:t>
      </w:r>
      <w:r>
        <w:rPr>
          <w:color w:val="231F20"/>
        </w:rPr>
        <w:t>publient</w:t>
      </w:r>
      <w:r>
        <w:rPr>
          <w:color w:val="231F20"/>
          <w:spacing w:val="-8"/>
        </w:rPr>
        <w:t> </w:t>
      </w:r>
      <w:r>
        <w:rPr>
          <w:color w:val="231F20"/>
        </w:rPr>
        <w:t>à</w:t>
      </w:r>
      <w:r>
        <w:rPr>
          <w:color w:val="231F20"/>
          <w:spacing w:val="-9"/>
        </w:rPr>
        <w:t> </w:t>
      </w:r>
      <w:r>
        <w:rPr>
          <w:color w:val="231F20"/>
        </w:rPr>
        <w:t>l’académie</w:t>
      </w:r>
      <w:r>
        <w:rPr>
          <w:color w:val="231F20"/>
          <w:spacing w:val="-8"/>
        </w:rPr>
        <w:t> </w:t>
      </w:r>
      <w:r>
        <w:rPr>
          <w:color w:val="231F20"/>
        </w:rPr>
        <w:t>de</w:t>
      </w:r>
      <w:r>
        <w:rPr>
          <w:color w:val="231F20"/>
          <w:spacing w:val="-8"/>
        </w:rPr>
        <w:t> </w:t>
      </w:r>
      <w:r>
        <w:rPr>
          <w:color w:val="231F20"/>
        </w:rPr>
        <w:t>médecine</w:t>
      </w:r>
      <w:r>
        <w:rPr>
          <w:color w:val="231F20"/>
          <w:spacing w:val="-8"/>
        </w:rPr>
        <w:t> </w:t>
      </w:r>
      <w:r>
        <w:rPr>
          <w:color w:val="231F20"/>
        </w:rPr>
        <w:t>en</w:t>
      </w:r>
      <w:r>
        <w:rPr>
          <w:color w:val="231F20"/>
          <w:spacing w:val="-8"/>
        </w:rPr>
        <w:t> </w:t>
      </w:r>
      <w:r>
        <w:rPr>
          <w:color w:val="231F20"/>
        </w:rPr>
        <w:t>1817</w:t>
      </w:r>
      <w:r>
        <w:rPr>
          <w:color w:val="231F20"/>
          <w:spacing w:val="-9"/>
        </w:rPr>
        <w:t> </w:t>
      </w:r>
      <w:r>
        <w:rPr>
          <w:color w:val="231F20"/>
        </w:rPr>
        <w:t>une</w:t>
      </w:r>
      <w:r>
        <w:rPr>
          <w:color w:val="231F20"/>
          <w:spacing w:val="-8"/>
        </w:rPr>
        <w:t> </w:t>
      </w:r>
      <w:r>
        <w:rPr>
          <w:color w:val="231F20"/>
        </w:rPr>
        <w:t>communication dans</w:t>
      </w:r>
      <w:r>
        <w:rPr>
          <w:color w:val="231F20"/>
          <w:spacing w:val="-9"/>
        </w:rPr>
        <w:t> </w:t>
      </w:r>
      <w:r>
        <w:rPr>
          <w:color w:val="231F20"/>
        </w:rPr>
        <w:t>laquelle,</w:t>
      </w:r>
      <w:r>
        <w:rPr>
          <w:color w:val="231F20"/>
          <w:spacing w:val="-8"/>
        </w:rPr>
        <w:t> </w:t>
      </w:r>
      <w:r>
        <w:rPr>
          <w:color w:val="231F20"/>
        </w:rPr>
        <w:t>sur</w:t>
      </w:r>
      <w:r>
        <w:rPr>
          <w:color w:val="231F20"/>
          <w:spacing w:val="-8"/>
        </w:rPr>
        <w:t> </w:t>
      </w:r>
      <w:r>
        <w:rPr>
          <w:color w:val="231F20"/>
        </w:rPr>
        <w:t>la</w:t>
      </w:r>
      <w:r>
        <w:rPr>
          <w:color w:val="231F20"/>
          <w:spacing w:val="-6"/>
        </w:rPr>
        <w:t> </w:t>
      </w:r>
      <w:r>
        <w:rPr>
          <w:color w:val="231F20"/>
        </w:rPr>
        <w:t>base</w:t>
      </w:r>
      <w:r>
        <w:rPr>
          <w:color w:val="231F20"/>
          <w:spacing w:val="-8"/>
        </w:rPr>
        <w:t> </w:t>
      </w:r>
      <w:r>
        <w:rPr>
          <w:color w:val="231F20"/>
        </w:rPr>
        <w:t>de</w:t>
      </w:r>
      <w:r>
        <w:rPr>
          <w:color w:val="231F20"/>
          <w:spacing w:val="-6"/>
        </w:rPr>
        <w:t> </w:t>
      </w:r>
      <w:r>
        <w:rPr>
          <w:color w:val="231F20"/>
        </w:rPr>
        <w:t>leurs</w:t>
      </w:r>
      <w:r>
        <w:rPr>
          <w:color w:val="231F20"/>
          <w:spacing w:val="-6"/>
        </w:rPr>
        <w:t> </w:t>
      </w:r>
      <w:r>
        <w:rPr>
          <w:color w:val="231F20"/>
        </w:rPr>
        <w:t>observations,</w:t>
      </w:r>
      <w:r>
        <w:rPr>
          <w:color w:val="231F20"/>
          <w:spacing w:val="-6"/>
        </w:rPr>
        <w:t> </w:t>
      </w:r>
      <w:r>
        <w:rPr>
          <w:color w:val="231F20"/>
        </w:rPr>
        <w:t>ils</w:t>
      </w:r>
      <w:r>
        <w:rPr>
          <w:color w:val="231F20"/>
          <w:spacing w:val="-8"/>
        </w:rPr>
        <w:t> </w:t>
      </w:r>
      <w:r>
        <w:rPr>
          <w:color w:val="231F20"/>
        </w:rPr>
        <w:t>concluent</w:t>
      </w:r>
      <w:r>
        <w:rPr>
          <w:color w:val="231F20"/>
          <w:spacing w:val="-15"/>
        </w:rPr>
        <w:t> </w:t>
      </w:r>
      <w:r>
        <w:rPr>
          <w:color w:val="231F20"/>
        </w:rPr>
        <w:t>que</w:t>
      </w:r>
      <w:r>
        <w:rPr>
          <w:color w:val="231F20"/>
          <w:spacing w:val="-8"/>
        </w:rPr>
        <w:t> </w:t>
      </w:r>
      <w:r>
        <w:rPr>
          <w:color w:val="231F20"/>
        </w:rPr>
        <w:t>la</w:t>
      </w:r>
      <w:r>
        <w:rPr>
          <w:color w:val="231F20"/>
          <w:spacing w:val="-6"/>
        </w:rPr>
        <w:t> </w:t>
      </w:r>
      <w:r>
        <w:rPr>
          <w:color w:val="231F20"/>
        </w:rPr>
        <w:t>tête de</w:t>
      </w:r>
      <w:r>
        <w:rPr>
          <w:color w:val="231F20"/>
          <w:spacing w:val="-8"/>
        </w:rPr>
        <w:t> </w:t>
      </w:r>
      <w:r>
        <w:rPr>
          <w:color w:val="231F20"/>
        </w:rPr>
        <w:t>la</w:t>
      </w:r>
      <w:r>
        <w:rPr>
          <w:color w:val="231F20"/>
          <w:spacing w:val="-8"/>
        </w:rPr>
        <w:t> </w:t>
      </w:r>
      <w:r>
        <w:rPr>
          <w:color w:val="231F20"/>
        </w:rPr>
        <w:t>jeune</w:t>
      </w:r>
      <w:r>
        <w:rPr>
          <w:color w:val="231F20"/>
          <w:spacing w:val="-8"/>
        </w:rPr>
        <w:t> </w:t>
      </w:r>
      <w:r>
        <w:rPr>
          <w:color w:val="231F20"/>
        </w:rPr>
        <w:t>femme</w:t>
      </w:r>
      <w:r>
        <w:rPr>
          <w:color w:val="231F20"/>
          <w:spacing w:val="-8"/>
        </w:rPr>
        <w:t> </w:t>
      </w:r>
      <w:r>
        <w:rPr>
          <w:color w:val="231F20"/>
        </w:rPr>
        <w:t>comporte</w:t>
      </w:r>
      <w:r>
        <w:rPr>
          <w:color w:val="231F20"/>
          <w:spacing w:val="-8"/>
        </w:rPr>
        <w:t> </w:t>
      </w:r>
      <w:r>
        <w:rPr>
          <w:color w:val="231F20"/>
        </w:rPr>
        <w:t>un</w:t>
      </w:r>
      <w:r>
        <w:rPr>
          <w:color w:val="231F20"/>
          <w:spacing w:val="-10"/>
        </w:rPr>
        <w:t> </w:t>
      </w:r>
      <w:r>
        <w:rPr>
          <w:color w:val="231F20"/>
        </w:rPr>
        <w:t>commencement</w:t>
      </w:r>
      <w:r>
        <w:rPr>
          <w:color w:val="231F20"/>
          <w:spacing w:val="-9"/>
        </w:rPr>
        <w:t> </w:t>
      </w:r>
      <w:r>
        <w:rPr>
          <w:color w:val="231F20"/>
        </w:rPr>
        <w:t>de</w:t>
      </w:r>
      <w:r>
        <w:rPr>
          <w:color w:val="231F20"/>
          <w:spacing w:val="-8"/>
        </w:rPr>
        <w:t> </w:t>
      </w:r>
      <w:r>
        <w:rPr>
          <w:color w:val="231F20"/>
        </w:rPr>
        <w:t>museau</w:t>
      </w:r>
      <w:r>
        <w:rPr>
          <w:color w:val="231F20"/>
          <w:spacing w:val="-8"/>
        </w:rPr>
        <w:t> </w:t>
      </w:r>
      <w:r>
        <w:rPr>
          <w:color w:val="231F20"/>
        </w:rPr>
        <w:t>encore</w:t>
      </w:r>
      <w:r>
        <w:rPr>
          <w:color w:val="231F20"/>
          <w:spacing w:val="-8"/>
        </w:rPr>
        <w:t> </w:t>
      </w:r>
      <w:r>
        <w:rPr>
          <w:color w:val="231F20"/>
        </w:rPr>
        <w:t>plus </w:t>
      </w:r>
      <w:r>
        <w:rPr>
          <w:color w:val="231F20"/>
          <w:spacing w:val="-2"/>
        </w:rPr>
        <w:t>considérable</w:t>
      </w:r>
      <w:r>
        <w:rPr>
          <w:color w:val="231F20"/>
          <w:spacing w:val="-9"/>
        </w:rPr>
        <w:t> </w:t>
      </w:r>
      <w:r>
        <w:rPr>
          <w:color w:val="231F20"/>
          <w:spacing w:val="-2"/>
        </w:rPr>
        <w:t>que</w:t>
      </w:r>
      <w:r>
        <w:rPr>
          <w:color w:val="231F20"/>
          <w:spacing w:val="-9"/>
        </w:rPr>
        <w:t> </w:t>
      </w:r>
      <w:r>
        <w:rPr>
          <w:color w:val="231F20"/>
          <w:spacing w:val="-2"/>
        </w:rPr>
        <w:t>celui</w:t>
      </w:r>
      <w:r>
        <w:rPr>
          <w:color w:val="231F20"/>
          <w:spacing w:val="-11"/>
        </w:rPr>
        <w:t> </w:t>
      </w:r>
      <w:r>
        <w:rPr>
          <w:color w:val="231F20"/>
          <w:spacing w:val="-2"/>
        </w:rPr>
        <w:t>de</w:t>
      </w:r>
      <w:r>
        <w:rPr>
          <w:color w:val="231F20"/>
          <w:spacing w:val="-11"/>
        </w:rPr>
        <w:t> </w:t>
      </w:r>
      <w:r>
        <w:rPr>
          <w:color w:val="231F20"/>
          <w:spacing w:val="-2"/>
        </w:rPr>
        <w:t>l’orang-outang</w:t>
      </w:r>
      <w:r>
        <w:rPr>
          <w:color w:val="231F20"/>
          <w:spacing w:val="-9"/>
        </w:rPr>
        <w:t> </w:t>
      </w:r>
      <w:r>
        <w:rPr>
          <w:color w:val="231F20"/>
          <w:spacing w:val="-2"/>
        </w:rPr>
        <w:t>rouge</w:t>
      </w:r>
      <w:r>
        <w:rPr>
          <w:color w:val="231F20"/>
          <w:spacing w:val="-9"/>
        </w:rPr>
        <w:t> </w:t>
      </w:r>
      <w:r>
        <w:rPr>
          <w:color w:val="231F20"/>
          <w:spacing w:val="-2"/>
        </w:rPr>
        <w:t>et</w:t>
      </w:r>
      <w:r>
        <w:rPr>
          <w:color w:val="231F20"/>
          <w:spacing w:val="-10"/>
        </w:rPr>
        <w:t> </w:t>
      </w:r>
      <w:r>
        <w:rPr>
          <w:color w:val="231F20"/>
          <w:spacing w:val="-2"/>
        </w:rPr>
        <w:t>la</w:t>
      </w:r>
      <w:r>
        <w:rPr>
          <w:color w:val="231F20"/>
          <w:spacing w:val="-11"/>
        </w:rPr>
        <w:t> </w:t>
      </w:r>
      <w:r>
        <w:rPr>
          <w:color w:val="231F20"/>
          <w:spacing w:val="-2"/>
        </w:rPr>
        <w:t>prodigieuse</w:t>
      </w:r>
      <w:r>
        <w:rPr>
          <w:color w:val="231F20"/>
          <w:spacing w:val="-10"/>
        </w:rPr>
        <w:t> </w:t>
      </w:r>
      <w:r>
        <w:rPr>
          <w:color w:val="231F20"/>
          <w:spacing w:val="-2"/>
        </w:rPr>
        <w:t>taille</w:t>
      </w:r>
      <w:r>
        <w:rPr>
          <w:color w:val="231F20"/>
          <w:spacing w:val="-9"/>
        </w:rPr>
        <w:t> </w:t>
      </w:r>
      <w:r>
        <w:rPr>
          <w:color w:val="231F20"/>
          <w:spacing w:val="-2"/>
        </w:rPr>
        <w:t>de </w:t>
      </w:r>
      <w:r>
        <w:rPr>
          <w:color w:val="231F20"/>
        </w:rPr>
        <w:t>ses</w:t>
      </w:r>
      <w:r>
        <w:rPr>
          <w:color w:val="231F20"/>
          <w:spacing w:val="-6"/>
        </w:rPr>
        <w:t> </w:t>
      </w:r>
      <w:r>
        <w:rPr>
          <w:color w:val="231F20"/>
        </w:rPr>
        <w:t>fesses</w:t>
      </w:r>
      <w:r>
        <w:rPr>
          <w:color w:val="231F20"/>
          <w:spacing w:val="-8"/>
        </w:rPr>
        <w:t> </w:t>
      </w:r>
      <w:r>
        <w:rPr>
          <w:color w:val="231F20"/>
        </w:rPr>
        <w:t>leur</w:t>
      </w:r>
      <w:r>
        <w:rPr>
          <w:color w:val="231F20"/>
          <w:spacing w:val="-8"/>
        </w:rPr>
        <w:t> </w:t>
      </w:r>
      <w:r>
        <w:rPr>
          <w:color w:val="231F20"/>
        </w:rPr>
        <w:t>inspire</w:t>
      </w:r>
      <w:r>
        <w:rPr>
          <w:color w:val="231F20"/>
          <w:spacing w:val="-6"/>
        </w:rPr>
        <w:t> </w:t>
      </w:r>
      <w:r>
        <w:rPr>
          <w:color w:val="231F20"/>
        </w:rPr>
        <w:t>une</w:t>
      </w:r>
      <w:r>
        <w:rPr>
          <w:color w:val="231F20"/>
          <w:spacing w:val="-8"/>
        </w:rPr>
        <w:t> </w:t>
      </w:r>
      <w:r>
        <w:rPr>
          <w:color w:val="231F20"/>
        </w:rPr>
        <w:t>comparaison</w:t>
      </w:r>
      <w:r>
        <w:rPr>
          <w:color w:val="231F20"/>
          <w:spacing w:val="-6"/>
        </w:rPr>
        <w:t> </w:t>
      </w:r>
      <w:r>
        <w:rPr>
          <w:color w:val="231F20"/>
        </w:rPr>
        <w:t>avec</w:t>
      </w:r>
      <w:r>
        <w:rPr>
          <w:color w:val="231F20"/>
          <w:spacing w:val="-8"/>
        </w:rPr>
        <w:t> </w:t>
      </w:r>
      <w:r>
        <w:rPr>
          <w:color w:val="231F20"/>
        </w:rPr>
        <w:t>les</w:t>
      </w:r>
      <w:r>
        <w:rPr>
          <w:color w:val="231F20"/>
          <w:spacing w:val="-6"/>
        </w:rPr>
        <w:t> </w:t>
      </w:r>
      <w:r>
        <w:rPr>
          <w:color w:val="231F20"/>
        </w:rPr>
        <w:t>femelles</w:t>
      </w:r>
      <w:r>
        <w:rPr>
          <w:color w:val="231F20"/>
          <w:spacing w:val="-8"/>
        </w:rPr>
        <w:t> </w:t>
      </w:r>
      <w:r>
        <w:rPr>
          <w:color w:val="231F20"/>
        </w:rPr>
        <w:t>mandrill</w:t>
      </w:r>
      <w:r>
        <w:rPr>
          <w:color w:val="231F20"/>
          <w:vertAlign w:val="superscript"/>
        </w:rPr>
        <w:t>16</w:t>
      </w:r>
      <w:r>
        <w:rPr>
          <w:color w:val="231F20"/>
          <w:vertAlign w:val="baseline"/>
        </w:rPr>
        <w:t>.</w:t>
      </w:r>
    </w:p>
    <w:p>
      <w:pPr>
        <w:pStyle w:val="BodyText"/>
        <w:spacing w:before="241"/>
        <w:ind w:left="0"/>
        <w:jc w:val="left"/>
      </w:pPr>
    </w:p>
    <w:p>
      <w:pPr>
        <w:spacing w:before="0"/>
        <w:ind w:left="395" w:right="0" w:firstLine="0"/>
        <w:jc w:val="both"/>
        <w:rPr>
          <w:i/>
          <w:sz w:val="24"/>
        </w:rPr>
      </w:pPr>
      <w:r>
        <w:rPr>
          <w:rFonts w:ascii="Cambria"/>
          <w:b/>
          <w:i/>
          <w:color w:val="231F20"/>
          <w:spacing w:val="-2"/>
          <w:sz w:val="24"/>
        </w:rPr>
        <w:t>Les</w:t>
      </w:r>
      <w:r>
        <w:rPr>
          <w:rFonts w:ascii="Cambria"/>
          <w:b/>
          <w:i/>
          <w:color w:val="231F20"/>
          <w:spacing w:val="-10"/>
          <w:sz w:val="24"/>
        </w:rPr>
        <w:t> </w:t>
      </w:r>
      <w:r>
        <w:rPr>
          <w:rFonts w:ascii="Cambria"/>
          <w:b/>
          <w:i/>
          <w:color w:val="231F20"/>
          <w:spacing w:val="-2"/>
          <w:sz w:val="24"/>
        </w:rPr>
        <w:t>larmes</w:t>
      </w:r>
      <w:r>
        <w:rPr>
          <w:rFonts w:ascii="Cambria"/>
          <w:b/>
          <w:i/>
          <w:color w:val="231F20"/>
          <w:spacing w:val="-10"/>
          <w:sz w:val="24"/>
        </w:rPr>
        <w:t> </w:t>
      </w:r>
      <w:r>
        <w:rPr>
          <w:rFonts w:ascii="Cambria"/>
          <w:b/>
          <w:i/>
          <w:color w:val="231F20"/>
          <w:spacing w:val="-2"/>
          <w:sz w:val="24"/>
        </w:rPr>
        <w:t>ne</w:t>
      </w:r>
      <w:r>
        <w:rPr>
          <w:rFonts w:ascii="Cambria"/>
          <w:b/>
          <w:i/>
          <w:color w:val="231F20"/>
          <w:spacing w:val="-8"/>
          <w:sz w:val="24"/>
        </w:rPr>
        <w:t> </w:t>
      </w:r>
      <w:r>
        <w:rPr>
          <w:rFonts w:ascii="Cambria"/>
          <w:b/>
          <w:i/>
          <w:color w:val="231F20"/>
          <w:spacing w:val="-2"/>
          <w:sz w:val="24"/>
        </w:rPr>
        <w:t>se</w:t>
      </w:r>
      <w:r>
        <w:rPr>
          <w:rFonts w:ascii="Cambria"/>
          <w:b/>
          <w:i/>
          <w:color w:val="231F20"/>
          <w:spacing w:val="-10"/>
          <w:sz w:val="24"/>
        </w:rPr>
        <w:t> </w:t>
      </w:r>
      <w:r>
        <w:rPr>
          <w:rFonts w:ascii="Cambria"/>
          <w:b/>
          <w:i/>
          <w:color w:val="231F20"/>
          <w:spacing w:val="-2"/>
          <w:sz w:val="24"/>
        </w:rPr>
        <w:t>voient</w:t>
      </w:r>
      <w:r>
        <w:rPr>
          <w:rFonts w:ascii="Cambria"/>
          <w:b/>
          <w:i/>
          <w:color w:val="231F20"/>
          <w:spacing w:val="-10"/>
          <w:sz w:val="24"/>
        </w:rPr>
        <w:t> </w:t>
      </w:r>
      <w:r>
        <w:rPr>
          <w:rFonts w:ascii="Cambria"/>
          <w:b/>
          <w:i/>
          <w:color w:val="231F20"/>
          <w:spacing w:val="-2"/>
          <w:sz w:val="24"/>
        </w:rPr>
        <w:t>pas</w:t>
      </w:r>
      <w:r>
        <w:rPr>
          <w:rFonts w:ascii="Cambria"/>
          <w:b/>
          <w:i/>
          <w:color w:val="231F20"/>
          <w:spacing w:val="-7"/>
          <w:sz w:val="24"/>
        </w:rPr>
        <w:t> </w:t>
      </w:r>
      <w:r>
        <w:rPr>
          <w:rFonts w:ascii="Cambria"/>
          <w:b/>
          <w:i/>
          <w:color w:val="231F20"/>
          <w:spacing w:val="-2"/>
          <w:sz w:val="24"/>
        </w:rPr>
        <w:t>sous</w:t>
      </w:r>
      <w:r>
        <w:rPr>
          <w:rFonts w:ascii="Cambria"/>
          <w:b/>
          <w:i/>
          <w:color w:val="231F20"/>
          <w:spacing w:val="-8"/>
          <w:sz w:val="24"/>
        </w:rPr>
        <w:t> </w:t>
      </w:r>
      <w:r>
        <w:rPr>
          <w:rFonts w:ascii="Cambria"/>
          <w:b/>
          <w:i/>
          <w:color w:val="231F20"/>
          <w:spacing w:val="-2"/>
          <w:sz w:val="24"/>
        </w:rPr>
        <w:t>la</w:t>
      </w:r>
      <w:r>
        <w:rPr>
          <w:rFonts w:ascii="Cambria"/>
          <w:b/>
          <w:i/>
          <w:color w:val="231F20"/>
          <w:spacing w:val="-8"/>
          <w:sz w:val="24"/>
        </w:rPr>
        <w:t> </w:t>
      </w:r>
      <w:r>
        <w:rPr>
          <w:rFonts w:ascii="Cambria"/>
          <w:b/>
          <w:i/>
          <w:color w:val="231F20"/>
          <w:spacing w:val="-2"/>
          <w:sz w:val="24"/>
        </w:rPr>
        <w:t>pluie</w:t>
      </w:r>
      <w:r>
        <w:rPr>
          <w:b/>
          <w:color w:val="231F20"/>
          <w:spacing w:val="-2"/>
          <w:sz w:val="24"/>
        </w:rPr>
        <w:t>.</w:t>
      </w:r>
      <w:r>
        <w:rPr>
          <w:b/>
          <w:color w:val="231F20"/>
          <w:spacing w:val="-7"/>
          <w:sz w:val="24"/>
        </w:rPr>
        <w:t> </w:t>
      </w:r>
      <w:r>
        <w:rPr>
          <w:color w:val="231F20"/>
          <w:spacing w:val="-2"/>
          <w:sz w:val="24"/>
        </w:rPr>
        <w:t>(</w:t>
      </w:r>
      <w:r>
        <w:rPr>
          <w:i/>
          <w:color w:val="231F20"/>
          <w:spacing w:val="-2"/>
          <w:sz w:val="24"/>
        </w:rPr>
        <w:t>Proverbe</w:t>
      </w:r>
      <w:r>
        <w:rPr>
          <w:i/>
          <w:color w:val="231F20"/>
          <w:spacing w:val="-7"/>
          <w:sz w:val="24"/>
        </w:rPr>
        <w:t> </w:t>
      </w:r>
      <w:r>
        <w:rPr>
          <w:i/>
          <w:color w:val="231F20"/>
          <w:spacing w:val="-2"/>
          <w:sz w:val="24"/>
        </w:rPr>
        <w:t>africain)</w:t>
      </w:r>
    </w:p>
    <w:p>
      <w:pPr>
        <w:pStyle w:val="BodyText"/>
        <w:spacing w:before="239"/>
        <w:ind w:left="0"/>
        <w:jc w:val="left"/>
        <w:rPr>
          <w:i/>
        </w:rPr>
      </w:pPr>
    </w:p>
    <w:p>
      <w:pPr>
        <w:pStyle w:val="BodyText"/>
        <w:ind w:right="105" w:firstLine="283"/>
      </w:pPr>
      <w:r>
        <w:rPr>
          <w:color w:val="231F20"/>
        </w:rPr>
        <w:t>Le processus de déshumanisation des noirs est une longue tradition culturelle</w:t>
      </w:r>
      <w:r>
        <w:rPr>
          <w:color w:val="231F20"/>
          <w:spacing w:val="-15"/>
        </w:rPr>
        <w:t> </w:t>
      </w:r>
      <w:r>
        <w:rPr>
          <w:color w:val="231F20"/>
        </w:rPr>
        <w:t>entretenue</w:t>
      </w:r>
      <w:r>
        <w:rPr>
          <w:color w:val="231F20"/>
          <w:spacing w:val="-15"/>
        </w:rPr>
        <w:t> </w:t>
      </w:r>
      <w:r>
        <w:rPr>
          <w:color w:val="231F20"/>
        </w:rPr>
        <w:t>tant</w:t>
      </w:r>
      <w:r>
        <w:rPr>
          <w:color w:val="231F20"/>
          <w:spacing w:val="-15"/>
        </w:rPr>
        <w:t> </w:t>
      </w:r>
      <w:r>
        <w:rPr>
          <w:color w:val="231F20"/>
        </w:rPr>
        <w:t>chez</w:t>
      </w:r>
      <w:r>
        <w:rPr>
          <w:color w:val="231F20"/>
          <w:spacing w:val="-15"/>
        </w:rPr>
        <w:t> </w:t>
      </w:r>
      <w:r>
        <w:rPr>
          <w:color w:val="231F20"/>
        </w:rPr>
        <w:t>les</w:t>
      </w:r>
      <w:r>
        <w:rPr>
          <w:color w:val="231F20"/>
          <w:spacing w:val="-15"/>
        </w:rPr>
        <w:t> </w:t>
      </w:r>
      <w:r>
        <w:rPr>
          <w:color w:val="231F20"/>
        </w:rPr>
        <w:t>Arabes</w:t>
      </w:r>
      <w:r>
        <w:rPr>
          <w:color w:val="231F20"/>
          <w:spacing w:val="-15"/>
        </w:rPr>
        <w:t> </w:t>
      </w:r>
      <w:r>
        <w:rPr>
          <w:color w:val="231F20"/>
        </w:rPr>
        <w:t>que</w:t>
      </w:r>
      <w:r>
        <w:rPr>
          <w:color w:val="231F20"/>
          <w:spacing w:val="-15"/>
        </w:rPr>
        <w:t> </w:t>
      </w:r>
      <w:r>
        <w:rPr>
          <w:color w:val="231F20"/>
        </w:rPr>
        <w:t>du</w:t>
      </w:r>
      <w:r>
        <w:rPr>
          <w:color w:val="231F20"/>
          <w:spacing w:val="-15"/>
        </w:rPr>
        <w:t> </w:t>
      </w:r>
      <w:r>
        <w:rPr>
          <w:color w:val="231F20"/>
        </w:rPr>
        <w:t>côté</w:t>
      </w:r>
      <w:r>
        <w:rPr>
          <w:color w:val="231F20"/>
          <w:spacing w:val="-15"/>
        </w:rPr>
        <w:t> </w:t>
      </w:r>
      <w:r>
        <w:rPr>
          <w:color w:val="231F20"/>
        </w:rPr>
        <w:t>des</w:t>
      </w:r>
      <w:r>
        <w:rPr>
          <w:color w:val="231F20"/>
          <w:spacing w:val="-15"/>
        </w:rPr>
        <w:t> </w:t>
      </w:r>
      <w:r>
        <w:rPr>
          <w:color w:val="231F20"/>
        </w:rPr>
        <w:t>Européens</w:t>
      </w:r>
      <w:r>
        <w:rPr>
          <w:color w:val="231F20"/>
          <w:spacing w:val="-14"/>
        </w:rPr>
        <w:t> </w:t>
      </w:r>
      <w:r>
        <w:rPr>
          <w:color w:val="231F20"/>
        </w:rPr>
        <w:t>par des</w:t>
      </w:r>
      <w:r>
        <w:rPr>
          <w:color w:val="231F20"/>
          <w:spacing w:val="-17"/>
        </w:rPr>
        <w:t> </w:t>
      </w:r>
      <w:r>
        <w:rPr>
          <w:color w:val="231F20"/>
        </w:rPr>
        <w:t>pseudo</w:t>
      </w:r>
      <w:r>
        <w:rPr>
          <w:color w:val="231F20"/>
          <w:spacing w:val="-15"/>
        </w:rPr>
        <w:t> </w:t>
      </w:r>
      <w:r>
        <w:rPr>
          <w:color w:val="231F20"/>
        </w:rPr>
        <w:t>«</w:t>
      </w:r>
      <w:r>
        <w:rPr>
          <w:color w:val="231F20"/>
          <w:spacing w:val="-15"/>
        </w:rPr>
        <w:t> </w:t>
      </w:r>
      <w:r>
        <w:rPr>
          <w:color w:val="231F20"/>
        </w:rPr>
        <w:t>experts</w:t>
      </w:r>
      <w:r>
        <w:rPr>
          <w:color w:val="231F20"/>
          <w:spacing w:val="-15"/>
        </w:rPr>
        <w:t> </w:t>
      </w:r>
      <w:r>
        <w:rPr>
          <w:color w:val="231F20"/>
        </w:rPr>
        <w:t>»</w:t>
      </w:r>
      <w:r>
        <w:rPr>
          <w:color w:val="231F20"/>
          <w:spacing w:val="-15"/>
        </w:rPr>
        <w:t> </w:t>
      </w:r>
      <w:r>
        <w:rPr>
          <w:color w:val="231F20"/>
        </w:rPr>
        <w:t>des</w:t>
      </w:r>
      <w:r>
        <w:rPr>
          <w:color w:val="231F20"/>
          <w:spacing w:val="-11"/>
        </w:rPr>
        <w:t> </w:t>
      </w:r>
      <w:r>
        <w:rPr>
          <w:color w:val="231F20"/>
        </w:rPr>
        <w:t>Saintes</w:t>
      </w:r>
      <w:r>
        <w:rPr>
          <w:color w:val="231F20"/>
          <w:spacing w:val="-12"/>
        </w:rPr>
        <w:t> </w:t>
      </w:r>
      <w:r>
        <w:rPr>
          <w:color w:val="231F20"/>
        </w:rPr>
        <w:t>Ecritures</w:t>
      </w:r>
      <w:r>
        <w:rPr>
          <w:color w:val="231F20"/>
          <w:spacing w:val="-13"/>
        </w:rPr>
        <w:t> </w:t>
      </w:r>
      <w:r>
        <w:rPr>
          <w:color w:val="231F20"/>
        </w:rPr>
        <w:t>à</w:t>
      </w:r>
      <w:r>
        <w:rPr>
          <w:color w:val="231F20"/>
          <w:spacing w:val="-15"/>
        </w:rPr>
        <w:t> </w:t>
      </w:r>
      <w:r>
        <w:rPr>
          <w:color w:val="231F20"/>
        </w:rPr>
        <w:t>travers</w:t>
      </w:r>
      <w:r>
        <w:rPr>
          <w:color w:val="231F20"/>
          <w:spacing w:val="-12"/>
        </w:rPr>
        <w:t> </w:t>
      </w:r>
      <w:r>
        <w:rPr>
          <w:color w:val="231F20"/>
        </w:rPr>
        <w:t>l’ivresse</w:t>
      </w:r>
      <w:r>
        <w:rPr>
          <w:color w:val="231F20"/>
          <w:spacing w:val="-15"/>
        </w:rPr>
        <w:t> </w:t>
      </w:r>
      <w:r>
        <w:rPr>
          <w:color w:val="231F20"/>
        </w:rPr>
        <w:t>de</w:t>
      </w:r>
      <w:r>
        <w:rPr>
          <w:color w:val="231F20"/>
          <w:spacing w:val="-12"/>
        </w:rPr>
        <w:t> </w:t>
      </w:r>
      <w:r>
        <w:rPr>
          <w:color w:val="231F20"/>
          <w:spacing w:val="-2"/>
        </w:rPr>
        <w:t>Noé</w:t>
      </w:r>
      <w:r>
        <w:rPr>
          <w:color w:val="231F20"/>
          <w:spacing w:val="-2"/>
          <w:vertAlign w:val="superscript"/>
        </w:rPr>
        <w:t>17</w:t>
      </w:r>
      <w:r>
        <w:rPr>
          <w:color w:val="231F20"/>
          <w:spacing w:val="-2"/>
          <w:vertAlign w:val="baseline"/>
        </w:rPr>
        <w:t>,</w:t>
      </w:r>
    </w:p>
    <w:p>
      <w:pPr>
        <w:pStyle w:val="BodyText"/>
        <w:spacing w:before="11"/>
        <w:ind w:left="0"/>
        <w:jc w:val="left"/>
        <w:rPr>
          <w:sz w:val="15"/>
        </w:rPr>
      </w:pPr>
      <w:r>
        <w:rPr/>
        <mc:AlternateContent>
          <mc:Choice Requires="wps">
            <w:drawing>
              <wp:anchor distT="0" distB="0" distL="0" distR="0" allowOverlap="1" layoutInCell="1" locked="0" behindDoc="1" simplePos="0" relativeHeight="487592960">
                <wp:simplePos x="0" y="0"/>
                <wp:positionH relativeFrom="page">
                  <wp:posOffset>629907</wp:posOffset>
                </wp:positionH>
                <wp:positionV relativeFrom="paragraph">
                  <wp:posOffset>131833</wp:posOffset>
                </wp:positionV>
                <wp:extent cx="1829435" cy="952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0.380625pt;width:144.020pt;height:.72pt;mso-position-horizontal-relative:page;mso-position-vertical-relative:paragraph;z-index:-15723520;mso-wrap-distance-left:0;mso-wrap-distance-right:0" id="docshape19" filled="true" fillcolor="#231f20" stroked="false">
                <v:fill type="solid"/>
                <w10:wrap type="topAndBottom"/>
              </v:rect>
            </w:pict>
          </mc:Fallback>
        </mc:AlternateContent>
      </w:r>
    </w:p>
    <w:p>
      <w:pPr>
        <w:spacing w:before="94"/>
        <w:ind w:left="111" w:right="111" w:firstLine="0"/>
        <w:jc w:val="both"/>
        <w:rPr>
          <w:sz w:val="20"/>
        </w:rPr>
      </w:pPr>
      <w:r>
        <w:rPr>
          <w:color w:val="231F20"/>
          <w:sz w:val="20"/>
          <w:vertAlign w:val="superscript"/>
        </w:rPr>
        <w:t>16</w:t>
      </w:r>
      <w:r>
        <w:rPr>
          <w:color w:val="231F20"/>
          <w:spacing w:val="-13"/>
          <w:sz w:val="20"/>
          <w:vertAlign w:val="baseline"/>
        </w:rPr>
        <w:t> </w:t>
      </w:r>
      <w:r>
        <w:rPr>
          <w:color w:val="231F20"/>
          <w:sz w:val="20"/>
          <w:vertAlign w:val="baseline"/>
        </w:rPr>
        <w:t>Mammifère</w:t>
      </w:r>
      <w:r>
        <w:rPr>
          <w:color w:val="231F20"/>
          <w:spacing w:val="-12"/>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la</w:t>
      </w:r>
      <w:r>
        <w:rPr>
          <w:color w:val="231F20"/>
          <w:spacing w:val="-12"/>
          <w:sz w:val="20"/>
          <w:vertAlign w:val="baseline"/>
        </w:rPr>
        <w:t> </w:t>
      </w:r>
      <w:r>
        <w:rPr>
          <w:color w:val="231F20"/>
          <w:sz w:val="20"/>
          <w:vertAlign w:val="baseline"/>
        </w:rPr>
        <w:t>famille</w:t>
      </w:r>
      <w:r>
        <w:rPr>
          <w:color w:val="231F20"/>
          <w:spacing w:val="-13"/>
          <w:sz w:val="20"/>
          <w:vertAlign w:val="baseline"/>
        </w:rPr>
        <w:t> </w:t>
      </w:r>
      <w:r>
        <w:rPr>
          <w:color w:val="231F20"/>
          <w:sz w:val="20"/>
          <w:vertAlign w:val="baseline"/>
        </w:rPr>
        <w:t>des</w:t>
      </w:r>
      <w:r>
        <w:rPr>
          <w:color w:val="231F20"/>
          <w:spacing w:val="-12"/>
          <w:sz w:val="20"/>
          <w:vertAlign w:val="baseline"/>
        </w:rPr>
        <w:t> </w:t>
      </w:r>
      <w:r>
        <w:rPr>
          <w:color w:val="231F20"/>
          <w:sz w:val="20"/>
          <w:vertAlign w:val="baseline"/>
        </w:rPr>
        <w:t>primates</w:t>
      </w:r>
      <w:r>
        <w:rPr>
          <w:color w:val="231F20"/>
          <w:spacing w:val="-13"/>
          <w:sz w:val="20"/>
          <w:vertAlign w:val="baseline"/>
        </w:rPr>
        <w:t> </w:t>
      </w:r>
      <w:r>
        <w:rPr>
          <w:color w:val="231F20"/>
          <w:sz w:val="20"/>
          <w:vertAlign w:val="baseline"/>
        </w:rPr>
        <w:t>(</w:t>
      </w:r>
      <w:r>
        <w:rPr>
          <w:color w:val="231F20"/>
          <w:spacing w:val="-11"/>
          <w:sz w:val="20"/>
          <w:vertAlign w:val="baseline"/>
        </w:rPr>
        <w:t> </w:t>
      </w:r>
      <w:r>
        <w:rPr>
          <w:color w:val="231F20"/>
          <w:sz w:val="20"/>
          <w:vertAlign w:val="baseline"/>
        </w:rPr>
        <w:t>singes)</w:t>
      </w:r>
      <w:r>
        <w:rPr>
          <w:color w:val="231F20"/>
          <w:spacing w:val="-12"/>
          <w:sz w:val="20"/>
          <w:vertAlign w:val="baseline"/>
        </w:rPr>
        <w:t> </w:t>
      </w:r>
      <w:r>
        <w:rPr>
          <w:color w:val="231F20"/>
          <w:sz w:val="20"/>
          <w:vertAlign w:val="baseline"/>
        </w:rPr>
        <w:t>dans</w:t>
      </w:r>
      <w:r>
        <w:rPr>
          <w:color w:val="231F20"/>
          <w:spacing w:val="-13"/>
          <w:sz w:val="20"/>
          <w:vertAlign w:val="baseline"/>
        </w:rPr>
        <w:t> </w:t>
      </w:r>
      <w:r>
        <w:rPr>
          <w:color w:val="231F20"/>
          <w:sz w:val="20"/>
          <w:vertAlign w:val="baseline"/>
        </w:rPr>
        <w:t>la</w:t>
      </w:r>
      <w:r>
        <w:rPr>
          <w:color w:val="231F20"/>
          <w:spacing w:val="-11"/>
          <w:sz w:val="20"/>
          <w:vertAlign w:val="baseline"/>
        </w:rPr>
        <w:t> </w:t>
      </w:r>
      <w:r>
        <w:rPr>
          <w:color w:val="231F20"/>
          <w:sz w:val="20"/>
          <w:vertAlign w:val="baseline"/>
        </w:rPr>
        <w:t>catégorie</w:t>
      </w:r>
      <w:r>
        <w:rPr>
          <w:color w:val="231F20"/>
          <w:spacing w:val="-13"/>
          <w:sz w:val="20"/>
          <w:vertAlign w:val="baseline"/>
        </w:rPr>
        <w:t> </w:t>
      </w:r>
      <w:r>
        <w:rPr>
          <w:color w:val="231F20"/>
          <w:sz w:val="20"/>
          <w:vertAlign w:val="baseline"/>
        </w:rPr>
        <w:t>des</w:t>
      </w:r>
      <w:r>
        <w:rPr>
          <w:color w:val="231F20"/>
          <w:spacing w:val="-12"/>
          <w:sz w:val="20"/>
          <w:vertAlign w:val="baseline"/>
        </w:rPr>
        <w:t> </w:t>
      </w:r>
      <w:r>
        <w:rPr>
          <w:color w:val="231F20"/>
          <w:sz w:val="20"/>
          <w:vertAlign w:val="baseline"/>
        </w:rPr>
        <w:t>babouins.</w:t>
      </w:r>
      <w:r>
        <w:rPr>
          <w:color w:val="231F20"/>
          <w:spacing w:val="-10"/>
          <w:sz w:val="20"/>
          <w:vertAlign w:val="baseline"/>
        </w:rPr>
        <w:t> </w:t>
      </w:r>
      <w:r>
        <w:rPr>
          <w:color w:val="231F20"/>
          <w:sz w:val="20"/>
          <w:vertAlign w:val="baseline"/>
        </w:rPr>
        <w:t>C'est un</w:t>
      </w:r>
      <w:r>
        <w:rPr>
          <w:color w:val="231F20"/>
          <w:spacing w:val="-3"/>
          <w:sz w:val="20"/>
          <w:vertAlign w:val="baseline"/>
        </w:rPr>
        <w:t> </w:t>
      </w:r>
      <w:r>
        <w:rPr>
          <w:color w:val="231F20"/>
          <w:sz w:val="20"/>
          <w:vertAlign w:val="baseline"/>
        </w:rPr>
        <w:t>animal</w:t>
      </w:r>
      <w:r>
        <w:rPr>
          <w:color w:val="231F20"/>
          <w:spacing w:val="-4"/>
          <w:sz w:val="20"/>
          <w:vertAlign w:val="baseline"/>
        </w:rPr>
        <w:t> </w:t>
      </w:r>
      <w:r>
        <w:rPr>
          <w:color w:val="231F20"/>
          <w:sz w:val="20"/>
          <w:vertAlign w:val="baseline"/>
        </w:rPr>
        <w:t>qui</w:t>
      </w:r>
      <w:r>
        <w:rPr>
          <w:color w:val="231F20"/>
          <w:spacing w:val="-5"/>
          <w:sz w:val="20"/>
          <w:vertAlign w:val="baseline"/>
        </w:rPr>
        <w:t> </w:t>
      </w:r>
      <w:r>
        <w:rPr>
          <w:color w:val="231F20"/>
          <w:sz w:val="20"/>
          <w:vertAlign w:val="baseline"/>
        </w:rPr>
        <w:t>vit</w:t>
      </w:r>
      <w:r>
        <w:rPr>
          <w:color w:val="231F20"/>
          <w:spacing w:val="-4"/>
          <w:sz w:val="20"/>
          <w:vertAlign w:val="baseline"/>
        </w:rPr>
        <w:t> </w:t>
      </w:r>
      <w:r>
        <w:rPr>
          <w:color w:val="231F20"/>
          <w:sz w:val="20"/>
          <w:vertAlign w:val="baseline"/>
        </w:rPr>
        <w:t>en</w:t>
      </w:r>
      <w:r>
        <w:rPr>
          <w:color w:val="231F20"/>
          <w:spacing w:val="-3"/>
          <w:sz w:val="20"/>
          <w:vertAlign w:val="baseline"/>
        </w:rPr>
        <w:t> </w:t>
      </w:r>
      <w:r>
        <w:rPr>
          <w:color w:val="231F20"/>
          <w:sz w:val="20"/>
          <w:vertAlign w:val="baseline"/>
        </w:rPr>
        <w:t>groupe</w:t>
      </w:r>
      <w:r>
        <w:rPr>
          <w:color w:val="231F20"/>
          <w:spacing w:val="-3"/>
          <w:sz w:val="20"/>
          <w:vertAlign w:val="baseline"/>
        </w:rPr>
        <w:t> </w:t>
      </w:r>
      <w:r>
        <w:rPr>
          <w:color w:val="231F20"/>
          <w:sz w:val="20"/>
          <w:vertAlign w:val="baseline"/>
        </w:rPr>
        <w:t>et</w:t>
      </w:r>
      <w:r>
        <w:rPr>
          <w:color w:val="231F20"/>
          <w:spacing w:val="-4"/>
          <w:sz w:val="20"/>
          <w:vertAlign w:val="baseline"/>
        </w:rPr>
        <w:t> </w:t>
      </w:r>
      <w:r>
        <w:rPr>
          <w:color w:val="231F20"/>
          <w:sz w:val="20"/>
          <w:vertAlign w:val="baseline"/>
        </w:rPr>
        <w:t>qui</w:t>
      </w:r>
      <w:r>
        <w:rPr>
          <w:color w:val="231F20"/>
          <w:spacing w:val="-1"/>
          <w:sz w:val="20"/>
          <w:vertAlign w:val="baseline"/>
        </w:rPr>
        <w:t> </w:t>
      </w:r>
      <w:r>
        <w:rPr>
          <w:color w:val="231F20"/>
          <w:sz w:val="20"/>
          <w:vertAlign w:val="baseline"/>
        </w:rPr>
        <w:t>est</w:t>
      </w:r>
      <w:r>
        <w:rPr>
          <w:color w:val="231F20"/>
          <w:spacing w:val="-4"/>
          <w:sz w:val="20"/>
          <w:vertAlign w:val="baseline"/>
        </w:rPr>
        <w:t> </w:t>
      </w:r>
      <w:r>
        <w:rPr>
          <w:color w:val="231F20"/>
          <w:sz w:val="20"/>
          <w:vertAlign w:val="baseline"/>
        </w:rPr>
        <w:t>du</w:t>
      </w:r>
      <w:r>
        <w:rPr>
          <w:color w:val="231F20"/>
          <w:spacing w:val="-4"/>
          <w:sz w:val="20"/>
          <w:vertAlign w:val="baseline"/>
        </w:rPr>
        <w:t> </w:t>
      </w:r>
      <w:r>
        <w:rPr>
          <w:color w:val="231F20"/>
          <w:sz w:val="20"/>
          <w:vertAlign w:val="baseline"/>
        </w:rPr>
        <w:t>genre</w:t>
      </w:r>
      <w:r>
        <w:rPr>
          <w:color w:val="231F20"/>
          <w:spacing w:val="-4"/>
          <w:sz w:val="20"/>
          <w:vertAlign w:val="baseline"/>
        </w:rPr>
        <w:t> </w:t>
      </w:r>
      <w:r>
        <w:rPr>
          <w:color w:val="231F20"/>
          <w:sz w:val="20"/>
          <w:vertAlign w:val="baseline"/>
        </w:rPr>
        <w:t>pacifique.</w:t>
      </w:r>
    </w:p>
    <w:p>
      <w:pPr>
        <w:spacing w:before="0"/>
        <w:ind w:left="111" w:right="104" w:firstLine="0"/>
        <w:jc w:val="both"/>
        <w:rPr>
          <w:sz w:val="20"/>
        </w:rPr>
      </w:pPr>
      <w:r>
        <w:rPr>
          <w:color w:val="231F20"/>
          <w:sz w:val="20"/>
          <w:vertAlign w:val="superscript"/>
        </w:rPr>
        <w:t>17</w:t>
      </w:r>
      <w:r>
        <w:rPr>
          <w:color w:val="231F20"/>
          <w:spacing w:val="-13"/>
          <w:sz w:val="20"/>
          <w:vertAlign w:val="baseline"/>
        </w:rPr>
        <w:t> </w:t>
      </w:r>
      <w:r>
        <w:rPr>
          <w:color w:val="231F20"/>
          <w:sz w:val="20"/>
          <w:vertAlign w:val="baseline"/>
        </w:rPr>
        <w:t>Personnage</w:t>
      </w:r>
      <w:r>
        <w:rPr>
          <w:color w:val="231F20"/>
          <w:spacing w:val="-12"/>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la</w:t>
      </w:r>
      <w:r>
        <w:rPr>
          <w:color w:val="231F20"/>
          <w:spacing w:val="-12"/>
          <w:sz w:val="20"/>
          <w:vertAlign w:val="baseline"/>
        </w:rPr>
        <w:t> </w:t>
      </w:r>
      <w:r>
        <w:rPr>
          <w:color w:val="231F20"/>
          <w:sz w:val="20"/>
          <w:vertAlign w:val="baseline"/>
        </w:rPr>
        <w:t>Bible</w:t>
      </w:r>
      <w:r>
        <w:rPr>
          <w:color w:val="231F20"/>
          <w:spacing w:val="-13"/>
          <w:sz w:val="20"/>
          <w:vertAlign w:val="baseline"/>
        </w:rPr>
        <w:t> </w:t>
      </w:r>
      <w:r>
        <w:rPr>
          <w:color w:val="231F20"/>
          <w:sz w:val="20"/>
          <w:vertAlign w:val="baseline"/>
        </w:rPr>
        <w:t>et</w:t>
      </w:r>
      <w:r>
        <w:rPr>
          <w:color w:val="231F20"/>
          <w:spacing w:val="-12"/>
          <w:sz w:val="20"/>
          <w:vertAlign w:val="baseline"/>
        </w:rPr>
        <w:t> </w:t>
      </w:r>
      <w:r>
        <w:rPr>
          <w:color w:val="231F20"/>
          <w:sz w:val="20"/>
          <w:vertAlign w:val="baseline"/>
        </w:rPr>
        <w:t>du</w:t>
      </w:r>
      <w:r>
        <w:rPr>
          <w:color w:val="231F20"/>
          <w:spacing w:val="-13"/>
          <w:sz w:val="20"/>
          <w:vertAlign w:val="baseline"/>
        </w:rPr>
        <w:t> </w:t>
      </w:r>
      <w:r>
        <w:rPr>
          <w:color w:val="231F20"/>
          <w:sz w:val="20"/>
          <w:vertAlign w:val="baseline"/>
        </w:rPr>
        <w:t>Coran.</w:t>
      </w:r>
      <w:r>
        <w:rPr>
          <w:color w:val="231F20"/>
          <w:spacing w:val="-12"/>
          <w:sz w:val="20"/>
          <w:vertAlign w:val="baseline"/>
        </w:rPr>
        <w:t> </w:t>
      </w:r>
      <w:r>
        <w:rPr>
          <w:color w:val="231F20"/>
          <w:sz w:val="20"/>
          <w:vertAlign w:val="baseline"/>
        </w:rPr>
        <w:t>Selon</w:t>
      </w:r>
      <w:r>
        <w:rPr>
          <w:color w:val="231F20"/>
          <w:spacing w:val="-13"/>
          <w:sz w:val="20"/>
          <w:vertAlign w:val="baseline"/>
        </w:rPr>
        <w:t> </w:t>
      </w:r>
      <w:r>
        <w:rPr>
          <w:color w:val="231F20"/>
          <w:sz w:val="20"/>
          <w:vertAlign w:val="baseline"/>
        </w:rPr>
        <w:t>le</w:t>
      </w:r>
      <w:r>
        <w:rPr>
          <w:color w:val="231F20"/>
          <w:spacing w:val="-12"/>
          <w:sz w:val="20"/>
          <w:vertAlign w:val="baseline"/>
        </w:rPr>
        <w:t> </w:t>
      </w:r>
      <w:r>
        <w:rPr>
          <w:color w:val="231F20"/>
          <w:sz w:val="20"/>
          <w:vertAlign w:val="baseline"/>
        </w:rPr>
        <w:t>récit</w:t>
      </w:r>
      <w:r>
        <w:rPr>
          <w:color w:val="231F20"/>
          <w:spacing w:val="-11"/>
          <w:sz w:val="20"/>
          <w:vertAlign w:val="baseline"/>
        </w:rPr>
        <w:t> </w:t>
      </w:r>
      <w:r>
        <w:rPr>
          <w:color w:val="231F20"/>
          <w:sz w:val="20"/>
          <w:vertAlign w:val="baseline"/>
        </w:rPr>
        <w:t>biblique,</w:t>
      </w:r>
      <w:r>
        <w:rPr>
          <w:color w:val="231F20"/>
          <w:spacing w:val="-12"/>
          <w:sz w:val="20"/>
          <w:vertAlign w:val="baseline"/>
        </w:rPr>
        <w:t> </w:t>
      </w:r>
      <w:r>
        <w:rPr>
          <w:color w:val="231F20"/>
          <w:sz w:val="20"/>
          <w:vertAlign w:val="baseline"/>
        </w:rPr>
        <w:t>Noé</w:t>
      </w:r>
      <w:r>
        <w:rPr>
          <w:color w:val="231F20"/>
          <w:spacing w:val="-12"/>
          <w:sz w:val="20"/>
          <w:vertAlign w:val="baseline"/>
        </w:rPr>
        <w:t> </w:t>
      </w:r>
      <w:r>
        <w:rPr>
          <w:color w:val="231F20"/>
          <w:sz w:val="20"/>
          <w:vertAlign w:val="baseline"/>
        </w:rPr>
        <w:t>a</w:t>
      </w:r>
      <w:r>
        <w:rPr>
          <w:color w:val="231F20"/>
          <w:spacing w:val="-11"/>
          <w:sz w:val="20"/>
          <w:vertAlign w:val="baseline"/>
        </w:rPr>
        <w:t> </w:t>
      </w:r>
      <w:r>
        <w:rPr>
          <w:color w:val="231F20"/>
          <w:sz w:val="20"/>
          <w:vertAlign w:val="baseline"/>
        </w:rPr>
        <w:t>une</w:t>
      </w:r>
      <w:r>
        <w:rPr>
          <w:color w:val="231F20"/>
          <w:spacing w:val="-12"/>
          <w:sz w:val="20"/>
          <w:vertAlign w:val="baseline"/>
        </w:rPr>
        <w:t> </w:t>
      </w:r>
      <w:r>
        <w:rPr>
          <w:color w:val="231F20"/>
          <w:sz w:val="20"/>
          <w:vertAlign w:val="baseline"/>
        </w:rPr>
        <w:t>femme</w:t>
      </w:r>
      <w:r>
        <w:rPr>
          <w:color w:val="231F20"/>
          <w:spacing w:val="-12"/>
          <w:sz w:val="20"/>
          <w:vertAlign w:val="baseline"/>
        </w:rPr>
        <w:t> </w:t>
      </w:r>
      <w:r>
        <w:rPr>
          <w:color w:val="231F20"/>
          <w:sz w:val="20"/>
          <w:vertAlign w:val="baseline"/>
        </w:rPr>
        <w:t>et</w:t>
      </w:r>
      <w:r>
        <w:rPr>
          <w:color w:val="231F20"/>
          <w:spacing w:val="-11"/>
          <w:sz w:val="20"/>
          <w:vertAlign w:val="baseline"/>
        </w:rPr>
        <w:t> </w:t>
      </w:r>
      <w:r>
        <w:rPr>
          <w:color w:val="231F20"/>
          <w:sz w:val="20"/>
          <w:vertAlign w:val="baseline"/>
        </w:rPr>
        <w:t>trois </w:t>
      </w:r>
      <w:r>
        <w:rPr>
          <w:color w:val="231F20"/>
          <w:spacing w:val="-2"/>
          <w:sz w:val="20"/>
          <w:vertAlign w:val="baseline"/>
        </w:rPr>
        <w:t>fils</w:t>
      </w:r>
      <w:r>
        <w:rPr>
          <w:color w:val="231F20"/>
          <w:spacing w:val="-8"/>
          <w:sz w:val="20"/>
          <w:vertAlign w:val="baseline"/>
        </w:rPr>
        <w:t> </w:t>
      </w:r>
      <w:r>
        <w:rPr>
          <w:color w:val="231F20"/>
          <w:spacing w:val="-2"/>
          <w:sz w:val="20"/>
          <w:vertAlign w:val="baseline"/>
        </w:rPr>
        <w:t>:</w:t>
      </w:r>
      <w:r>
        <w:rPr>
          <w:color w:val="231F20"/>
          <w:spacing w:val="-5"/>
          <w:sz w:val="20"/>
          <w:vertAlign w:val="baseline"/>
        </w:rPr>
        <w:t> </w:t>
      </w:r>
      <w:r>
        <w:rPr>
          <w:color w:val="231F20"/>
          <w:spacing w:val="-2"/>
          <w:sz w:val="20"/>
          <w:vertAlign w:val="baseline"/>
        </w:rPr>
        <w:t>Sem,</w:t>
      </w:r>
      <w:r>
        <w:rPr>
          <w:color w:val="231F20"/>
          <w:spacing w:val="-5"/>
          <w:sz w:val="20"/>
          <w:vertAlign w:val="baseline"/>
        </w:rPr>
        <w:t> </w:t>
      </w:r>
      <w:r>
        <w:rPr>
          <w:color w:val="231F20"/>
          <w:spacing w:val="-2"/>
          <w:sz w:val="20"/>
          <w:vertAlign w:val="baseline"/>
        </w:rPr>
        <w:t>Cham</w:t>
      </w:r>
      <w:r>
        <w:rPr>
          <w:color w:val="231F20"/>
          <w:spacing w:val="-5"/>
          <w:sz w:val="20"/>
          <w:vertAlign w:val="baseline"/>
        </w:rPr>
        <w:t> </w:t>
      </w:r>
      <w:r>
        <w:rPr>
          <w:color w:val="231F20"/>
          <w:spacing w:val="-2"/>
          <w:sz w:val="20"/>
          <w:vertAlign w:val="baseline"/>
        </w:rPr>
        <w:t>et</w:t>
      </w:r>
      <w:r>
        <w:rPr>
          <w:color w:val="231F20"/>
          <w:spacing w:val="-5"/>
          <w:sz w:val="20"/>
          <w:vertAlign w:val="baseline"/>
        </w:rPr>
        <w:t> </w:t>
      </w:r>
      <w:r>
        <w:rPr>
          <w:color w:val="231F20"/>
          <w:spacing w:val="-2"/>
          <w:sz w:val="20"/>
          <w:vertAlign w:val="baseline"/>
        </w:rPr>
        <w:t>Japhet.</w:t>
      </w:r>
      <w:r>
        <w:rPr>
          <w:color w:val="231F20"/>
          <w:spacing w:val="-6"/>
          <w:sz w:val="20"/>
          <w:vertAlign w:val="baseline"/>
        </w:rPr>
        <w:t> </w:t>
      </w:r>
      <w:r>
        <w:rPr>
          <w:color w:val="231F20"/>
          <w:spacing w:val="-2"/>
          <w:sz w:val="20"/>
          <w:vertAlign w:val="baseline"/>
        </w:rPr>
        <w:t>Sous</w:t>
      </w:r>
      <w:r>
        <w:rPr>
          <w:color w:val="231F20"/>
          <w:spacing w:val="-7"/>
          <w:sz w:val="20"/>
          <w:vertAlign w:val="baseline"/>
        </w:rPr>
        <w:t> </w:t>
      </w:r>
      <w:r>
        <w:rPr>
          <w:color w:val="231F20"/>
          <w:spacing w:val="-2"/>
          <w:sz w:val="20"/>
          <w:vertAlign w:val="baseline"/>
        </w:rPr>
        <w:t>les</w:t>
      </w:r>
      <w:r>
        <w:rPr>
          <w:color w:val="231F20"/>
          <w:spacing w:val="-6"/>
          <w:sz w:val="20"/>
          <w:vertAlign w:val="baseline"/>
        </w:rPr>
        <w:t> </w:t>
      </w:r>
      <w:r>
        <w:rPr>
          <w:color w:val="231F20"/>
          <w:spacing w:val="-2"/>
          <w:sz w:val="20"/>
          <w:vertAlign w:val="baseline"/>
        </w:rPr>
        <w:t>ordres</w:t>
      </w:r>
      <w:r>
        <w:rPr>
          <w:color w:val="231F20"/>
          <w:spacing w:val="-6"/>
          <w:sz w:val="20"/>
          <w:vertAlign w:val="baseline"/>
        </w:rPr>
        <w:t> </w:t>
      </w:r>
      <w:r>
        <w:rPr>
          <w:color w:val="231F20"/>
          <w:spacing w:val="-2"/>
          <w:sz w:val="20"/>
          <w:vertAlign w:val="baseline"/>
        </w:rPr>
        <w:t>de</w:t>
      </w:r>
      <w:r>
        <w:rPr>
          <w:color w:val="231F20"/>
          <w:spacing w:val="-7"/>
          <w:sz w:val="20"/>
          <w:vertAlign w:val="baseline"/>
        </w:rPr>
        <w:t> </w:t>
      </w:r>
      <w:r>
        <w:rPr>
          <w:color w:val="231F20"/>
          <w:spacing w:val="-2"/>
          <w:sz w:val="20"/>
          <w:vertAlign w:val="baseline"/>
        </w:rPr>
        <w:t>Dieu,</w:t>
      </w:r>
      <w:r>
        <w:rPr>
          <w:color w:val="231F20"/>
          <w:spacing w:val="-7"/>
          <w:sz w:val="20"/>
          <w:vertAlign w:val="baseline"/>
        </w:rPr>
        <w:t> </w:t>
      </w:r>
      <w:r>
        <w:rPr>
          <w:color w:val="231F20"/>
          <w:spacing w:val="-2"/>
          <w:sz w:val="20"/>
          <w:vertAlign w:val="baseline"/>
        </w:rPr>
        <w:t>il</w:t>
      </w:r>
      <w:r>
        <w:rPr>
          <w:color w:val="231F20"/>
          <w:spacing w:val="-8"/>
          <w:sz w:val="20"/>
          <w:vertAlign w:val="baseline"/>
        </w:rPr>
        <w:t> </w:t>
      </w:r>
      <w:r>
        <w:rPr>
          <w:color w:val="231F20"/>
          <w:spacing w:val="-2"/>
          <w:sz w:val="20"/>
          <w:vertAlign w:val="baseline"/>
        </w:rPr>
        <w:t>bâtit</w:t>
      </w:r>
      <w:r>
        <w:rPr>
          <w:color w:val="231F20"/>
          <w:spacing w:val="-8"/>
          <w:sz w:val="20"/>
          <w:vertAlign w:val="baseline"/>
        </w:rPr>
        <w:t> </w:t>
      </w:r>
      <w:r>
        <w:rPr>
          <w:color w:val="231F20"/>
          <w:spacing w:val="-2"/>
          <w:sz w:val="20"/>
          <w:vertAlign w:val="baseline"/>
        </w:rPr>
        <w:t>une</w:t>
      </w:r>
      <w:r>
        <w:rPr>
          <w:color w:val="231F20"/>
          <w:spacing w:val="-9"/>
          <w:sz w:val="20"/>
          <w:vertAlign w:val="baseline"/>
        </w:rPr>
        <w:t> </w:t>
      </w:r>
      <w:r>
        <w:rPr>
          <w:color w:val="231F20"/>
          <w:spacing w:val="-2"/>
          <w:sz w:val="20"/>
          <w:vertAlign w:val="baseline"/>
        </w:rPr>
        <w:t>arche</w:t>
      </w:r>
      <w:r>
        <w:rPr>
          <w:color w:val="231F20"/>
          <w:spacing w:val="-10"/>
          <w:sz w:val="20"/>
          <w:vertAlign w:val="baseline"/>
        </w:rPr>
        <w:t> </w:t>
      </w:r>
      <w:r>
        <w:rPr>
          <w:color w:val="231F20"/>
          <w:spacing w:val="-2"/>
          <w:sz w:val="20"/>
          <w:vertAlign w:val="baseline"/>
        </w:rPr>
        <w:t>afin</w:t>
      </w:r>
      <w:r>
        <w:rPr>
          <w:color w:val="231F20"/>
          <w:spacing w:val="-7"/>
          <w:sz w:val="20"/>
          <w:vertAlign w:val="baseline"/>
        </w:rPr>
        <w:t> </w:t>
      </w:r>
      <w:r>
        <w:rPr>
          <w:color w:val="231F20"/>
          <w:spacing w:val="-2"/>
          <w:sz w:val="20"/>
          <w:vertAlign w:val="baseline"/>
        </w:rPr>
        <w:t>d'échapper</w:t>
      </w:r>
      <w:r>
        <w:rPr>
          <w:color w:val="231F20"/>
          <w:spacing w:val="-7"/>
          <w:sz w:val="20"/>
          <w:vertAlign w:val="baseline"/>
        </w:rPr>
        <w:t> </w:t>
      </w:r>
      <w:r>
        <w:rPr>
          <w:color w:val="231F20"/>
          <w:spacing w:val="-2"/>
          <w:sz w:val="20"/>
          <w:vertAlign w:val="baseline"/>
        </w:rPr>
        <w:t>au </w:t>
      </w:r>
      <w:r>
        <w:rPr>
          <w:color w:val="231F20"/>
          <w:sz w:val="20"/>
          <w:vertAlign w:val="baseline"/>
        </w:rPr>
        <w:t>Déluge. Lui et sa famille étant les seuls humains épargnés, Noé et sa femme sont </w:t>
      </w:r>
      <w:r>
        <w:rPr>
          <w:color w:val="231F20"/>
          <w:spacing w:val="-4"/>
          <w:sz w:val="20"/>
          <w:vertAlign w:val="baseline"/>
        </w:rPr>
        <w:t>considérés</w:t>
      </w:r>
      <w:r>
        <w:rPr>
          <w:color w:val="231F20"/>
          <w:spacing w:val="-6"/>
          <w:sz w:val="20"/>
          <w:vertAlign w:val="baseline"/>
        </w:rPr>
        <w:t> </w:t>
      </w:r>
      <w:r>
        <w:rPr>
          <w:color w:val="231F20"/>
          <w:spacing w:val="-4"/>
          <w:sz w:val="20"/>
          <w:vertAlign w:val="baseline"/>
        </w:rPr>
        <w:t>par la</w:t>
      </w:r>
      <w:r>
        <w:rPr>
          <w:color w:val="231F20"/>
          <w:spacing w:val="-5"/>
          <w:sz w:val="20"/>
          <w:vertAlign w:val="baseline"/>
        </w:rPr>
        <w:t> </w:t>
      </w:r>
      <w:r>
        <w:rPr>
          <w:color w:val="231F20"/>
          <w:spacing w:val="-4"/>
          <w:sz w:val="20"/>
          <w:vertAlign w:val="baseline"/>
        </w:rPr>
        <w:t>tradition comme les</w:t>
      </w:r>
      <w:r>
        <w:rPr>
          <w:color w:val="231F20"/>
          <w:spacing w:val="-6"/>
          <w:sz w:val="20"/>
          <w:vertAlign w:val="baseline"/>
        </w:rPr>
        <w:t> </w:t>
      </w:r>
      <w:r>
        <w:rPr>
          <w:color w:val="231F20"/>
          <w:spacing w:val="-4"/>
          <w:sz w:val="20"/>
          <w:vertAlign w:val="baseline"/>
        </w:rPr>
        <w:t>ancêtres</w:t>
      </w:r>
      <w:r>
        <w:rPr>
          <w:color w:val="231F20"/>
          <w:spacing w:val="-6"/>
          <w:sz w:val="20"/>
          <w:vertAlign w:val="baseline"/>
        </w:rPr>
        <w:t> </w:t>
      </w:r>
      <w:r>
        <w:rPr>
          <w:color w:val="231F20"/>
          <w:spacing w:val="-4"/>
          <w:sz w:val="20"/>
          <w:vertAlign w:val="baseline"/>
        </w:rPr>
        <w:t>de toute l'humanité. La</w:t>
      </w:r>
      <w:r>
        <w:rPr>
          <w:color w:val="231F20"/>
          <w:spacing w:val="-5"/>
          <w:sz w:val="20"/>
          <w:vertAlign w:val="baseline"/>
        </w:rPr>
        <w:t> </w:t>
      </w:r>
      <w:r>
        <w:rPr>
          <w:color w:val="231F20"/>
          <w:spacing w:val="-4"/>
          <w:sz w:val="20"/>
          <w:vertAlign w:val="baseline"/>
        </w:rPr>
        <w:t>Genèse</w:t>
      </w:r>
      <w:r>
        <w:rPr>
          <w:color w:val="231F20"/>
          <w:spacing w:val="-5"/>
          <w:sz w:val="20"/>
          <w:vertAlign w:val="baseline"/>
        </w:rPr>
        <w:t> </w:t>
      </w:r>
      <w:r>
        <w:rPr>
          <w:color w:val="231F20"/>
          <w:spacing w:val="-4"/>
          <w:sz w:val="20"/>
          <w:vertAlign w:val="baseline"/>
        </w:rPr>
        <w:t>lui</w:t>
      </w:r>
      <w:r>
        <w:rPr>
          <w:color w:val="231F20"/>
          <w:spacing w:val="-5"/>
          <w:sz w:val="20"/>
          <w:vertAlign w:val="baseline"/>
        </w:rPr>
        <w:t> </w:t>
      </w:r>
      <w:r>
        <w:rPr>
          <w:color w:val="231F20"/>
          <w:spacing w:val="-4"/>
          <w:sz w:val="20"/>
          <w:vertAlign w:val="baseline"/>
        </w:rPr>
        <w:t>attribue </w:t>
      </w:r>
      <w:r>
        <w:rPr>
          <w:color w:val="231F20"/>
          <w:sz w:val="20"/>
          <w:vertAlign w:val="baseline"/>
        </w:rPr>
        <w:t>une vie de 950 ans.</w:t>
      </w:r>
    </w:p>
    <w:p>
      <w:pPr>
        <w:spacing w:after="0"/>
        <w:jc w:val="both"/>
        <w:rPr>
          <w:sz w:val="20"/>
        </w:rPr>
        <w:sectPr>
          <w:pgSz w:w="8790" w:h="13610"/>
          <w:pgMar w:header="0" w:footer="802" w:top="1060" w:bottom="1000" w:left="880" w:right="880"/>
        </w:sectPr>
      </w:pPr>
    </w:p>
    <w:p>
      <w:pPr>
        <w:pStyle w:val="BodyText"/>
        <w:spacing w:before="66"/>
        <w:ind w:right="106"/>
      </w:pPr>
      <w:r>
        <w:rPr>
          <w:color w:val="231F20"/>
        </w:rPr>
        <w:t>un épisode biblique rapporté en genèse 918-29. Des généalogistes ont </w:t>
      </w:r>
      <w:r>
        <w:rPr>
          <w:color w:val="231F20"/>
          <w:spacing w:val="-6"/>
        </w:rPr>
        <w:t>prétendu que les Noirs, seraient de</w:t>
      </w:r>
      <w:r>
        <w:rPr>
          <w:color w:val="231F20"/>
          <w:spacing w:val="-8"/>
        </w:rPr>
        <w:t> </w:t>
      </w:r>
      <w:r>
        <w:rPr>
          <w:color w:val="231F20"/>
          <w:spacing w:val="-6"/>
        </w:rPr>
        <w:t>la race descendue</w:t>
      </w:r>
      <w:r>
        <w:rPr>
          <w:color w:val="231F20"/>
          <w:spacing w:val="-8"/>
        </w:rPr>
        <w:t> </w:t>
      </w:r>
      <w:r>
        <w:rPr>
          <w:color w:val="231F20"/>
          <w:spacing w:val="-6"/>
        </w:rPr>
        <w:t>de Cham. Ils reçurent </w:t>
      </w:r>
      <w:r>
        <w:rPr>
          <w:color w:val="231F20"/>
          <w:spacing w:val="-2"/>
        </w:rPr>
        <w:t>pour</w:t>
      </w:r>
      <w:r>
        <w:rPr>
          <w:color w:val="231F20"/>
          <w:spacing w:val="-13"/>
        </w:rPr>
        <w:t> </w:t>
      </w:r>
      <w:r>
        <w:rPr>
          <w:color w:val="231F20"/>
          <w:spacing w:val="-2"/>
        </w:rPr>
        <w:t>caractère</w:t>
      </w:r>
      <w:r>
        <w:rPr>
          <w:color w:val="231F20"/>
          <w:spacing w:val="-13"/>
        </w:rPr>
        <w:t> </w:t>
      </w:r>
      <w:r>
        <w:rPr>
          <w:color w:val="231F20"/>
          <w:spacing w:val="-2"/>
        </w:rPr>
        <w:t>distinctif</w:t>
      </w:r>
      <w:r>
        <w:rPr>
          <w:color w:val="231F20"/>
          <w:spacing w:val="-13"/>
        </w:rPr>
        <w:t> </w:t>
      </w:r>
      <w:r>
        <w:rPr>
          <w:color w:val="231F20"/>
          <w:spacing w:val="-2"/>
        </w:rPr>
        <w:t>la</w:t>
      </w:r>
      <w:r>
        <w:rPr>
          <w:color w:val="231F20"/>
          <w:spacing w:val="-13"/>
        </w:rPr>
        <w:t> </w:t>
      </w:r>
      <w:r>
        <w:rPr>
          <w:color w:val="231F20"/>
          <w:spacing w:val="-2"/>
        </w:rPr>
        <w:t>noirceur</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peau,</w:t>
      </w:r>
      <w:r>
        <w:rPr>
          <w:color w:val="231F20"/>
          <w:spacing w:val="-13"/>
        </w:rPr>
        <w:t> </w:t>
      </w:r>
      <w:r>
        <w:rPr>
          <w:color w:val="231F20"/>
          <w:spacing w:val="-2"/>
        </w:rPr>
        <w:t>suite</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malédiction</w:t>
      </w:r>
      <w:r>
        <w:rPr>
          <w:color w:val="231F20"/>
          <w:spacing w:val="-12"/>
        </w:rPr>
        <w:t> </w:t>
      </w:r>
      <w:r>
        <w:rPr>
          <w:color w:val="231F20"/>
          <w:spacing w:val="-2"/>
        </w:rPr>
        <w:t>dont </w:t>
      </w:r>
      <w:r>
        <w:rPr>
          <w:color w:val="231F20"/>
        </w:rPr>
        <w:t>leur ancêtre fut frappée par son père, et qui aurait eu pour résultat l’altération</w:t>
      </w:r>
      <w:r>
        <w:rPr>
          <w:color w:val="231F20"/>
          <w:spacing w:val="-6"/>
        </w:rPr>
        <w:t> </w:t>
      </w:r>
      <w:r>
        <w:rPr>
          <w:color w:val="231F20"/>
        </w:rPr>
        <w:t>du</w:t>
      </w:r>
      <w:r>
        <w:rPr>
          <w:color w:val="231F20"/>
          <w:spacing w:val="-6"/>
        </w:rPr>
        <w:t> </w:t>
      </w:r>
      <w:r>
        <w:rPr>
          <w:color w:val="231F20"/>
        </w:rPr>
        <w:t>teint</w:t>
      </w:r>
      <w:r>
        <w:rPr>
          <w:color w:val="231F20"/>
          <w:spacing w:val="-4"/>
        </w:rPr>
        <w:t> </w:t>
      </w:r>
      <w:r>
        <w:rPr>
          <w:color w:val="231F20"/>
        </w:rPr>
        <w:t>et</w:t>
      </w:r>
      <w:r>
        <w:rPr>
          <w:color w:val="231F20"/>
          <w:spacing w:val="-5"/>
        </w:rPr>
        <w:t> </w:t>
      </w:r>
      <w:r>
        <w:rPr>
          <w:color w:val="231F20"/>
        </w:rPr>
        <w:t>l’asservissement</w:t>
      </w:r>
      <w:r>
        <w:rPr>
          <w:color w:val="231F20"/>
          <w:spacing w:val="-5"/>
        </w:rPr>
        <w:t> </w:t>
      </w:r>
      <w:r>
        <w:rPr>
          <w:color w:val="231F20"/>
        </w:rPr>
        <w:t>de</w:t>
      </w:r>
      <w:r>
        <w:rPr>
          <w:color w:val="231F20"/>
          <w:spacing w:val="-4"/>
        </w:rPr>
        <w:t> </w:t>
      </w:r>
      <w:r>
        <w:rPr>
          <w:color w:val="231F20"/>
        </w:rPr>
        <w:t>sa</w:t>
      </w:r>
      <w:r>
        <w:rPr>
          <w:color w:val="231F20"/>
          <w:spacing w:val="-6"/>
        </w:rPr>
        <w:t> </w:t>
      </w:r>
      <w:r>
        <w:rPr>
          <w:color w:val="231F20"/>
        </w:rPr>
        <w:t>postérité.</w:t>
      </w:r>
    </w:p>
    <w:p>
      <w:pPr>
        <w:pStyle w:val="BodyText"/>
        <w:spacing w:before="120"/>
        <w:ind w:right="104" w:firstLine="283"/>
      </w:pPr>
      <w:r>
        <w:rPr>
          <w:color w:val="231F20"/>
        </w:rPr>
        <w:t>L’Église encourage l’esclavage des noirs jusqu’au 19ème siècle en popularisant</w:t>
      </w:r>
      <w:r>
        <w:rPr>
          <w:color w:val="231F20"/>
          <w:spacing w:val="-11"/>
        </w:rPr>
        <w:t> </w:t>
      </w:r>
      <w:r>
        <w:rPr>
          <w:color w:val="231F20"/>
        </w:rPr>
        <w:t>la</w:t>
      </w:r>
      <w:r>
        <w:rPr>
          <w:color w:val="231F20"/>
          <w:spacing w:val="-11"/>
        </w:rPr>
        <w:t> </w:t>
      </w:r>
      <w:r>
        <w:rPr>
          <w:color w:val="231F20"/>
        </w:rPr>
        <w:t>légende</w:t>
      </w:r>
      <w:r>
        <w:rPr>
          <w:color w:val="231F20"/>
          <w:spacing w:val="-11"/>
        </w:rPr>
        <w:t> </w:t>
      </w:r>
      <w:r>
        <w:rPr>
          <w:color w:val="231F20"/>
        </w:rPr>
        <w:t>de</w:t>
      </w:r>
      <w:r>
        <w:rPr>
          <w:color w:val="231F20"/>
          <w:spacing w:val="-11"/>
        </w:rPr>
        <w:t> </w:t>
      </w:r>
      <w:r>
        <w:rPr>
          <w:color w:val="231F20"/>
        </w:rPr>
        <w:t>la</w:t>
      </w:r>
      <w:r>
        <w:rPr>
          <w:color w:val="231F20"/>
          <w:spacing w:val="-11"/>
        </w:rPr>
        <w:t> </w:t>
      </w:r>
      <w:r>
        <w:rPr>
          <w:color w:val="231F20"/>
        </w:rPr>
        <w:t>descendance</w:t>
      </w:r>
      <w:r>
        <w:rPr>
          <w:color w:val="231F20"/>
          <w:spacing w:val="-11"/>
        </w:rPr>
        <w:t> </w:t>
      </w:r>
      <w:r>
        <w:rPr>
          <w:color w:val="231F20"/>
        </w:rPr>
        <w:t>de</w:t>
      </w:r>
      <w:r>
        <w:rPr>
          <w:color w:val="231F20"/>
          <w:spacing w:val="-11"/>
        </w:rPr>
        <w:t> </w:t>
      </w:r>
      <w:r>
        <w:rPr>
          <w:color w:val="231F20"/>
        </w:rPr>
        <w:t>Cham,</w:t>
      </w:r>
      <w:r>
        <w:rPr>
          <w:color w:val="231F20"/>
          <w:spacing w:val="-11"/>
        </w:rPr>
        <w:t> </w:t>
      </w:r>
      <w:r>
        <w:rPr>
          <w:color w:val="231F20"/>
        </w:rPr>
        <w:t>fils</w:t>
      </w:r>
      <w:r>
        <w:rPr>
          <w:color w:val="231F20"/>
          <w:spacing w:val="-11"/>
        </w:rPr>
        <w:t> </w:t>
      </w:r>
      <w:r>
        <w:rPr>
          <w:color w:val="231F20"/>
        </w:rPr>
        <w:t>maudit</w:t>
      </w:r>
      <w:r>
        <w:rPr>
          <w:color w:val="231F20"/>
          <w:spacing w:val="-14"/>
        </w:rPr>
        <w:t> </w:t>
      </w:r>
      <w:r>
        <w:rPr>
          <w:color w:val="231F20"/>
        </w:rPr>
        <w:t>de</w:t>
      </w:r>
      <w:r>
        <w:rPr>
          <w:color w:val="231F20"/>
          <w:spacing w:val="-11"/>
        </w:rPr>
        <w:t> </w:t>
      </w:r>
      <w:r>
        <w:rPr>
          <w:color w:val="231F20"/>
        </w:rPr>
        <w:t>Noé, condamné</w:t>
      </w:r>
      <w:r>
        <w:rPr>
          <w:color w:val="231F20"/>
          <w:spacing w:val="-6"/>
        </w:rPr>
        <w:t> </w:t>
      </w:r>
      <w:r>
        <w:rPr>
          <w:color w:val="231F20"/>
        </w:rPr>
        <w:t>à</w:t>
      </w:r>
      <w:r>
        <w:rPr>
          <w:color w:val="231F20"/>
          <w:spacing w:val="-5"/>
        </w:rPr>
        <w:t> </w:t>
      </w:r>
      <w:r>
        <w:rPr>
          <w:color w:val="231F20"/>
        </w:rPr>
        <w:t>n’être</w:t>
      </w:r>
      <w:r>
        <w:rPr>
          <w:color w:val="231F20"/>
          <w:spacing w:val="-4"/>
        </w:rPr>
        <w:t> </w:t>
      </w:r>
      <w:r>
        <w:rPr>
          <w:color w:val="231F20"/>
        </w:rPr>
        <w:t>à</w:t>
      </w:r>
      <w:r>
        <w:rPr>
          <w:color w:val="231F20"/>
          <w:spacing w:val="-6"/>
        </w:rPr>
        <w:t> </w:t>
      </w:r>
      <w:r>
        <w:rPr>
          <w:color w:val="231F20"/>
        </w:rPr>
        <w:t>jamais</w:t>
      </w:r>
      <w:r>
        <w:rPr>
          <w:color w:val="231F20"/>
          <w:spacing w:val="-5"/>
        </w:rPr>
        <w:t> </w:t>
      </w:r>
      <w:r>
        <w:rPr>
          <w:color w:val="231F20"/>
        </w:rPr>
        <w:t>que</w:t>
      </w:r>
      <w:r>
        <w:rPr>
          <w:color w:val="231F20"/>
          <w:spacing w:val="-6"/>
        </w:rPr>
        <w:t> </w:t>
      </w:r>
      <w:r>
        <w:rPr>
          <w:color w:val="231F20"/>
        </w:rPr>
        <w:t>l’esclave</w:t>
      </w:r>
      <w:r>
        <w:rPr>
          <w:color w:val="231F20"/>
          <w:spacing w:val="-4"/>
        </w:rPr>
        <w:t> </w:t>
      </w:r>
      <w:r>
        <w:rPr>
          <w:color w:val="231F20"/>
        </w:rPr>
        <w:t>de</w:t>
      </w:r>
      <w:r>
        <w:rPr>
          <w:color w:val="231F20"/>
          <w:spacing w:val="-6"/>
        </w:rPr>
        <w:t> </w:t>
      </w:r>
      <w:r>
        <w:rPr>
          <w:color w:val="231F20"/>
        </w:rPr>
        <w:t>l’esclave</w:t>
      </w:r>
      <w:r>
        <w:rPr>
          <w:color w:val="231F20"/>
          <w:spacing w:val="-4"/>
        </w:rPr>
        <w:t> </w:t>
      </w:r>
      <w:r>
        <w:rPr>
          <w:color w:val="231F20"/>
        </w:rPr>
        <w:t>de</w:t>
      </w:r>
      <w:r>
        <w:rPr>
          <w:color w:val="231F20"/>
          <w:spacing w:val="-6"/>
        </w:rPr>
        <w:t> </w:t>
      </w:r>
      <w:r>
        <w:rPr>
          <w:color w:val="231F20"/>
        </w:rPr>
        <w:t>ses</w:t>
      </w:r>
      <w:r>
        <w:rPr>
          <w:color w:val="231F20"/>
          <w:spacing w:val="-5"/>
        </w:rPr>
        <w:t> </w:t>
      </w:r>
      <w:r>
        <w:rPr>
          <w:color w:val="231F20"/>
        </w:rPr>
        <w:t>frères.</w:t>
      </w:r>
      <w:r>
        <w:rPr>
          <w:color w:val="231F20"/>
          <w:spacing w:val="-5"/>
        </w:rPr>
        <w:t> </w:t>
      </w:r>
      <w:r>
        <w:rPr>
          <w:color w:val="231F20"/>
        </w:rPr>
        <w:t>Par une</w:t>
      </w:r>
      <w:r>
        <w:rPr>
          <w:color w:val="231F20"/>
          <w:spacing w:val="-7"/>
        </w:rPr>
        <w:t> </w:t>
      </w:r>
      <w:r>
        <w:rPr>
          <w:color w:val="231F20"/>
        </w:rPr>
        <w:t>série</w:t>
      </w:r>
      <w:r>
        <w:rPr>
          <w:color w:val="231F20"/>
          <w:spacing w:val="-9"/>
        </w:rPr>
        <w:t> </w:t>
      </w:r>
      <w:r>
        <w:rPr>
          <w:color w:val="231F20"/>
        </w:rPr>
        <w:t>de</w:t>
      </w:r>
      <w:r>
        <w:rPr>
          <w:color w:val="231F20"/>
          <w:spacing w:val="-7"/>
        </w:rPr>
        <w:t> </w:t>
      </w:r>
      <w:r>
        <w:rPr>
          <w:color w:val="231F20"/>
        </w:rPr>
        <w:t>bulles,</w:t>
      </w:r>
      <w:r>
        <w:rPr>
          <w:color w:val="231F20"/>
          <w:spacing w:val="-9"/>
        </w:rPr>
        <w:t> </w:t>
      </w:r>
      <w:r>
        <w:rPr>
          <w:color w:val="231F20"/>
        </w:rPr>
        <w:t>le</w:t>
      </w:r>
      <w:r>
        <w:rPr>
          <w:color w:val="231F20"/>
          <w:spacing w:val="-9"/>
        </w:rPr>
        <w:t> </w:t>
      </w:r>
      <w:r>
        <w:rPr>
          <w:color w:val="231F20"/>
        </w:rPr>
        <w:t>Pape</w:t>
      </w:r>
      <w:r>
        <w:rPr>
          <w:color w:val="231F20"/>
          <w:spacing w:val="-7"/>
        </w:rPr>
        <w:t> </w:t>
      </w:r>
      <w:r>
        <w:rPr>
          <w:color w:val="231F20"/>
        </w:rPr>
        <w:t>Eugène</w:t>
      </w:r>
      <w:r>
        <w:rPr>
          <w:color w:val="231F20"/>
          <w:spacing w:val="-7"/>
        </w:rPr>
        <w:t> </w:t>
      </w:r>
      <w:r>
        <w:rPr>
          <w:color w:val="231F20"/>
        </w:rPr>
        <w:t>IV</w:t>
      </w:r>
      <w:r>
        <w:rPr>
          <w:color w:val="231F20"/>
          <w:spacing w:val="-7"/>
        </w:rPr>
        <w:t> </w:t>
      </w:r>
      <w:r>
        <w:rPr>
          <w:color w:val="231F20"/>
        </w:rPr>
        <w:t>et</w:t>
      </w:r>
      <w:r>
        <w:rPr>
          <w:color w:val="231F20"/>
          <w:spacing w:val="-7"/>
        </w:rPr>
        <w:t> </w:t>
      </w:r>
      <w:r>
        <w:rPr>
          <w:color w:val="231F20"/>
        </w:rPr>
        <w:t>ses</w:t>
      </w:r>
      <w:r>
        <w:rPr>
          <w:color w:val="231F20"/>
          <w:spacing w:val="-9"/>
        </w:rPr>
        <w:t> </w:t>
      </w:r>
      <w:r>
        <w:rPr>
          <w:color w:val="231F20"/>
        </w:rPr>
        <w:t>successeurs</w:t>
      </w:r>
      <w:r>
        <w:rPr>
          <w:color w:val="231F20"/>
          <w:spacing w:val="-7"/>
        </w:rPr>
        <w:t> </w:t>
      </w:r>
      <w:r>
        <w:rPr>
          <w:color w:val="231F20"/>
        </w:rPr>
        <w:t>(Nicolas</w:t>
      </w:r>
      <w:r>
        <w:rPr>
          <w:color w:val="231F20"/>
          <w:spacing w:val="-9"/>
        </w:rPr>
        <w:t> </w:t>
      </w:r>
      <w:r>
        <w:rPr>
          <w:color w:val="231F20"/>
        </w:rPr>
        <w:t>V18, Calixte</w:t>
      </w:r>
      <w:r>
        <w:rPr>
          <w:color w:val="231F20"/>
          <w:spacing w:val="-15"/>
        </w:rPr>
        <w:t> </w:t>
      </w:r>
      <w:r>
        <w:rPr>
          <w:color w:val="231F20"/>
        </w:rPr>
        <w:t>III</w:t>
      </w:r>
      <w:r>
        <w:rPr>
          <w:color w:val="231F20"/>
          <w:spacing w:val="-15"/>
        </w:rPr>
        <w:t> </w:t>
      </w:r>
      <w:r>
        <w:rPr>
          <w:color w:val="231F20"/>
        </w:rPr>
        <w:t>et</w:t>
      </w:r>
      <w:r>
        <w:rPr>
          <w:color w:val="231F20"/>
          <w:spacing w:val="-14"/>
        </w:rPr>
        <w:t> </w:t>
      </w:r>
      <w:r>
        <w:rPr>
          <w:color w:val="231F20"/>
        </w:rPr>
        <w:t>Sixte</w:t>
      </w:r>
      <w:r>
        <w:rPr>
          <w:color w:val="231F20"/>
          <w:spacing w:val="-15"/>
        </w:rPr>
        <w:t> </w:t>
      </w:r>
      <w:r>
        <w:rPr>
          <w:color w:val="231F20"/>
        </w:rPr>
        <w:t>IV)</w:t>
      </w:r>
      <w:r>
        <w:rPr>
          <w:color w:val="231F20"/>
          <w:spacing w:val="-13"/>
        </w:rPr>
        <w:t> </w:t>
      </w:r>
      <w:r>
        <w:rPr>
          <w:color w:val="231F20"/>
        </w:rPr>
        <w:t>approuvent</w:t>
      </w:r>
      <w:r>
        <w:rPr>
          <w:color w:val="231F20"/>
          <w:spacing w:val="-14"/>
        </w:rPr>
        <w:t> </w:t>
      </w:r>
      <w:r>
        <w:rPr>
          <w:color w:val="231F20"/>
        </w:rPr>
        <w:t>les</w:t>
      </w:r>
      <w:r>
        <w:rPr>
          <w:color w:val="231F20"/>
          <w:spacing w:val="-14"/>
        </w:rPr>
        <w:t> </w:t>
      </w:r>
      <w:r>
        <w:rPr>
          <w:color w:val="231F20"/>
        </w:rPr>
        <w:t>expéditions</w:t>
      </w:r>
      <w:r>
        <w:rPr>
          <w:color w:val="231F20"/>
          <w:spacing w:val="-15"/>
        </w:rPr>
        <w:t> </w:t>
      </w:r>
      <w:r>
        <w:rPr>
          <w:color w:val="231F20"/>
        </w:rPr>
        <w:t>portugaises,</w:t>
      </w:r>
      <w:r>
        <w:rPr>
          <w:color w:val="231F20"/>
          <w:spacing w:val="-14"/>
        </w:rPr>
        <w:t> </w:t>
      </w:r>
      <w:r>
        <w:rPr>
          <w:color w:val="231F20"/>
        </w:rPr>
        <w:t>y</w:t>
      </w:r>
      <w:r>
        <w:rPr>
          <w:color w:val="231F20"/>
          <w:spacing w:val="-14"/>
        </w:rPr>
        <w:t> </w:t>
      </w:r>
      <w:r>
        <w:rPr>
          <w:color w:val="231F20"/>
        </w:rPr>
        <w:t>voyant </w:t>
      </w:r>
      <w:r>
        <w:rPr>
          <w:color w:val="231F20"/>
          <w:spacing w:val="-2"/>
        </w:rPr>
        <w:t>l’occasion</w:t>
      </w:r>
      <w:r>
        <w:rPr>
          <w:color w:val="231F20"/>
          <w:spacing w:val="-5"/>
        </w:rPr>
        <w:t> </w:t>
      </w:r>
      <w:r>
        <w:rPr>
          <w:color w:val="231F20"/>
          <w:spacing w:val="-2"/>
        </w:rPr>
        <w:t>de</w:t>
      </w:r>
      <w:r>
        <w:rPr>
          <w:color w:val="231F20"/>
          <w:spacing w:val="-8"/>
        </w:rPr>
        <w:t> </w:t>
      </w:r>
      <w:r>
        <w:rPr>
          <w:color w:val="231F20"/>
          <w:spacing w:val="-2"/>
        </w:rPr>
        <w:t>convertir</w:t>
      </w:r>
      <w:r>
        <w:rPr>
          <w:color w:val="231F20"/>
          <w:spacing w:val="-7"/>
        </w:rPr>
        <w:t> </w:t>
      </w:r>
      <w:r>
        <w:rPr>
          <w:color w:val="231F20"/>
          <w:spacing w:val="-2"/>
        </w:rPr>
        <w:t>au</w:t>
      </w:r>
      <w:r>
        <w:rPr>
          <w:color w:val="231F20"/>
          <w:spacing w:val="-7"/>
        </w:rPr>
        <w:t> </w:t>
      </w:r>
      <w:r>
        <w:rPr>
          <w:color w:val="231F20"/>
          <w:spacing w:val="-2"/>
        </w:rPr>
        <w:t>christianisme</w:t>
      </w:r>
      <w:r>
        <w:rPr>
          <w:color w:val="231F20"/>
          <w:spacing w:val="-7"/>
        </w:rPr>
        <w:t> </w:t>
      </w:r>
      <w:r>
        <w:rPr>
          <w:color w:val="231F20"/>
          <w:spacing w:val="-2"/>
        </w:rPr>
        <w:t>toutes</w:t>
      </w:r>
      <w:r>
        <w:rPr>
          <w:color w:val="231F20"/>
          <w:spacing w:val="-7"/>
        </w:rPr>
        <w:t> </w:t>
      </w:r>
      <w:r>
        <w:rPr>
          <w:color w:val="231F20"/>
          <w:spacing w:val="-2"/>
        </w:rPr>
        <w:t>ces</w:t>
      </w:r>
      <w:r>
        <w:rPr>
          <w:color w:val="231F20"/>
          <w:spacing w:val="-7"/>
        </w:rPr>
        <w:t> </w:t>
      </w:r>
      <w:r>
        <w:rPr>
          <w:color w:val="231F20"/>
          <w:spacing w:val="-2"/>
        </w:rPr>
        <w:t>populations</w:t>
      </w:r>
      <w:r>
        <w:rPr>
          <w:color w:val="231F20"/>
          <w:spacing w:val="-8"/>
        </w:rPr>
        <w:t> </w:t>
      </w:r>
      <w:r>
        <w:rPr>
          <w:color w:val="231F20"/>
          <w:spacing w:val="-2"/>
        </w:rPr>
        <w:t>de</w:t>
      </w:r>
      <w:r>
        <w:rPr>
          <w:color w:val="231F20"/>
          <w:spacing w:val="-7"/>
        </w:rPr>
        <w:t> </w:t>
      </w:r>
      <w:r>
        <w:rPr>
          <w:color w:val="231F20"/>
          <w:spacing w:val="-2"/>
        </w:rPr>
        <w:t>païens </w:t>
      </w:r>
      <w:r>
        <w:rPr>
          <w:color w:val="231F20"/>
          <w:spacing w:val="-4"/>
        </w:rPr>
        <w:t>incroyants. L’Église accorde le monopole commercial de l’Afrique au roi </w:t>
      </w:r>
      <w:r>
        <w:rPr>
          <w:color w:val="231F20"/>
        </w:rPr>
        <w:t>du Portugal, Alphonse V. Les bulles prennent soin de préciser que les soumissions salutaires des populations nègres peuvent passer par </w:t>
      </w:r>
      <w:r>
        <w:rPr>
          <w:color w:val="231F20"/>
          <w:spacing w:val="-2"/>
        </w:rPr>
        <w:t>l’asservissement.</w:t>
      </w:r>
    </w:p>
    <w:p>
      <w:pPr>
        <w:pStyle w:val="BodyText"/>
        <w:spacing w:before="121"/>
        <w:ind w:right="105" w:firstLine="283"/>
      </w:pPr>
      <w:r>
        <w:rPr>
          <w:color w:val="231F20"/>
        </w:rPr>
        <w:t>La</w:t>
      </w:r>
      <w:r>
        <w:rPr>
          <w:color w:val="231F20"/>
          <w:spacing w:val="-15"/>
        </w:rPr>
        <w:t> </w:t>
      </w:r>
      <w:r>
        <w:rPr>
          <w:color w:val="231F20"/>
        </w:rPr>
        <w:t>malédiction</w:t>
      </w:r>
      <w:r>
        <w:rPr>
          <w:color w:val="231F20"/>
          <w:spacing w:val="-14"/>
        </w:rPr>
        <w:t> </w:t>
      </w:r>
      <w:r>
        <w:rPr>
          <w:color w:val="231F20"/>
        </w:rPr>
        <w:t>de</w:t>
      </w:r>
      <w:r>
        <w:rPr>
          <w:color w:val="231F20"/>
          <w:spacing w:val="-14"/>
        </w:rPr>
        <w:t> </w:t>
      </w:r>
      <w:r>
        <w:rPr>
          <w:color w:val="231F20"/>
        </w:rPr>
        <w:t>Noé</w:t>
      </w:r>
      <w:r>
        <w:rPr>
          <w:color w:val="231F20"/>
          <w:spacing w:val="-15"/>
        </w:rPr>
        <w:t> </w:t>
      </w:r>
      <w:r>
        <w:rPr>
          <w:color w:val="231F20"/>
        </w:rPr>
        <w:t>contre</w:t>
      </w:r>
      <w:r>
        <w:rPr>
          <w:color w:val="231F20"/>
          <w:spacing w:val="-14"/>
        </w:rPr>
        <w:t> </w:t>
      </w:r>
      <w:r>
        <w:rPr>
          <w:color w:val="231F20"/>
        </w:rPr>
        <w:t>son</w:t>
      </w:r>
      <w:r>
        <w:rPr>
          <w:color w:val="231F20"/>
          <w:spacing w:val="-14"/>
        </w:rPr>
        <w:t> </w:t>
      </w:r>
      <w:r>
        <w:rPr>
          <w:color w:val="231F20"/>
        </w:rPr>
        <w:t>fils</w:t>
      </w:r>
      <w:r>
        <w:rPr>
          <w:color w:val="231F20"/>
          <w:spacing w:val="-15"/>
        </w:rPr>
        <w:t> </w:t>
      </w:r>
      <w:r>
        <w:rPr>
          <w:color w:val="231F20"/>
        </w:rPr>
        <w:t>Cham</w:t>
      </w:r>
      <w:r>
        <w:rPr>
          <w:color w:val="231F20"/>
          <w:spacing w:val="-15"/>
        </w:rPr>
        <w:t> </w:t>
      </w:r>
      <w:r>
        <w:rPr>
          <w:color w:val="231F20"/>
        </w:rPr>
        <w:t>se</w:t>
      </w:r>
      <w:r>
        <w:rPr>
          <w:color w:val="231F20"/>
          <w:spacing w:val="-14"/>
        </w:rPr>
        <w:t> </w:t>
      </w:r>
      <w:r>
        <w:rPr>
          <w:color w:val="231F20"/>
        </w:rPr>
        <w:t>trouve</w:t>
      </w:r>
      <w:r>
        <w:rPr>
          <w:color w:val="231F20"/>
          <w:spacing w:val="-14"/>
        </w:rPr>
        <w:t> </w:t>
      </w:r>
      <w:r>
        <w:rPr>
          <w:color w:val="231F20"/>
        </w:rPr>
        <w:t>rapportée</w:t>
      </w:r>
      <w:r>
        <w:rPr>
          <w:color w:val="231F20"/>
          <w:spacing w:val="-15"/>
        </w:rPr>
        <w:t> </w:t>
      </w:r>
      <w:r>
        <w:rPr>
          <w:color w:val="231F20"/>
        </w:rPr>
        <w:t>dans </w:t>
      </w:r>
      <w:r>
        <w:rPr>
          <w:color w:val="231F20"/>
          <w:spacing w:val="-4"/>
        </w:rPr>
        <w:t>le</w:t>
      </w:r>
      <w:r>
        <w:rPr>
          <w:color w:val="231F20"/>
          <w:spacing w:val="-11"/>
        </w:rPr>
        <w:t> </w:t>
      </w:r>
      <w:r>
        <w:rPr>
          <w:color w:val="231F20"/>
          <w:spacing w:val="-4"/>
        </w:rPr>
        <w:t>pentateuque</w:t>
      </w:r>
      <w:r>
        <w:rPr>
          <w:color w:val="231F20"/>
          <w:spacing w:val="-10"/>
        </w:rPr>
        <w:t> </w:t>
      </w:r>
      <w:r>
        <w:rPr>
          <w:color w:val="231F20"/>
          <w:spacing w:val="-4"/>
        </w:rPr>
        <w:t>mais</w:t>
      </w:r>
      <w:r>
        <w:rPr>
          <w:color w:val="231F20"/>
          <w:spacing w:val="-11"/>
        </w:rPr>
        <w:t> </w:t>
      </w:r>
      <w:r>
        <w:rPr>
          <w:color w:val="231F20"/>
          <w:spacing w:val="-4"/>
        </w:rPr>
        <w:t>il</w:t>
      </w:r>
      <w:r>
        <w:rPr>
          <w:color w:val="231F20"/>
          <w:spacing w:val="-9"/>
        </w:rPr>
        <w:t> </w:t>
      </w:r>
      <w:r>
        <w:rPr>
          <w:color w:val="231F20"/>
          <w:spacing w:val="-4"/>
        </w:rPr>
        <w:t>n’y</w:t>
      </w:r>
      <w:r>
        <w:rPr>
          <w:color w:val="231F20"/>
          <w:spacing w:val="-11"/>
        </w:rPr>
        <w:t> </w:t>
      </w:r>
      <w:r>
        <w:rPr>
          <w:color w:val="231F20"/>
          <w:spacing w:val="-4"/>
        </w:rPr>
        <w:t>est</w:t>
      </w:r>
      <w:r>
        <w:rPr>
          <w:color w:val="231F20"/>
          <w:spacing w:val="-9"/>
        </w:rPr>
        <w:t> </w:t>
      </w:r>
      <w:r>
        <w:rPr>
          <w:color w:val="231F20"/>
          <w:spacing w:val="-4"/>
        </w:rPr>
        <w:t>fait</w:t>
      </w:r>
      <w:r>
        <w:rPr>
          <w:color w:val="231F20"/>
          <w:spacing w:val="-9"/>
        </w:rPr>
        <w:t> </w:t>
      </w:r>
      <w:r>
        <w:rPr>
          <w:color w:val="231F20"/>
          <w:spacing w:val="-4"/>
        </w:rPr>
        <w:t>aucune</w:t>
      </w:r>
      <w:r>
        <w:rPr>
          <w:color w:val="231F20"/>
          <w:spacing w:val="-10"/>
        </w:rPr>
        <w:t> </w:t>
      </w:r>
      <w:r>
        <w:rPr>
          <w:color w:val="231F20"/>
          <w:spacing w:val="-4"/>
        </w:rPr>
        <w:t>mention</w:t>
      </w:r>
      <w:r>
        <w:rPr>
          <w:color w:val="231F20"/>
          <w:spacing w:val="-9"/>
        </w:rPr>
        <w:t> </w:t>
      </w:r>
      <w:r>
        <w:rPr>
          <w:color w:val="231F20"/>
          <w:spacing w:val="-4"/>
        </w:rPr>
        <w:t>de</w:t>
      </w:r>
      <w:r>
        <w:rPr>
          <w:color w:val="231F20"/>
          <w:spacing w:val="-11"/>
        </w:rPr>
        <w:t> </w:t>
      </w:r>
      <w:r>
        <w:rPr>
          <w:color w:val="231F20"/>
          <w:spacing w:val="-4"/>
        </w:rPr>
        <w:t>la</w:t>
      </w:r>
      <w:r>
        <w:rPr>
          <w:color w:val="231F20"/>
          <w:spacing w:val="-9"/>
        </w:rPr>
        <w:t> </w:t>
      </w:r>
      <w:r>
        <w:rPr>
          <w:color w:val="231F20"/>
          <w:spacing w:val="-4"/>
        </w:rPr>
        <w:t>couleur</w:t>
      </w:r>
      <w:r>
        <w:rPr>
          <w:color w:val="231F20"/>
          <w:spacing w:val="-9"/>
        </w:rPr>
        <w:t> </w:t>
      </w:r>
      <w:r>
        <w:rPr>
          <w:color w:val="231F20"/>
          <w:spacing w:val="-4"/>
        </w:rPr>
        <w:t>noire.</w:t>
      </w:r>
      <w:r>
        <w:rPr>
          <w:color w:val="231F20"/>
          <w:spacing w:val="-9"/>
        </w:rPr>
        <w:t> </w:t>
      </w:r>
      <w:r>
        <w:rPr>
          <w:color w:val="231F20"/>
          <w:spacing w:val="-4"/>
        </w:rPr>
        <w:t>Noé </w:t>
      </w:r>
      <w:r>
        <w:rPr>
          <w:color w:val="231F20"/>
        </w:rPr>
        <w:t>déclare uniquement que les descendants de Cham seront esclaves des </w:t>
      </w:r>
      <w:r>
        <w:rPr>
          <w:color w:val="231F20"/>
          <w:spacing w:val="-2"/>
        </w:rPr>
        <w:t>enfants</w:t>
      </w:r>
      <w:r>
        <w:rPr>
          <w:color w:val="231F20"/>
          <w:spacing w:val="-7"/>
        </w:rPr>
        <w:t> </w:t>
      </w:r>
      <w:r>
        <w:rPr>
          <w:color w:val="231F20"/>
          <w:spacing w:val="-2"/>
        </w:rPr>
        <w:t>de</w:t>
      </w:r>
      <w:r>
        <w:rPr>
          <w:color w:val="231F20"/>
          <w:spacing w:val="-7"/>
        </w:rPr>
        <w:t> </w:t>
      </w:r>
      <w:r>
        <w:rPr>
          <w:color w:val="231F20"/>
          <w:spacing w:val="-2"/>
        </w:rPr>
        <w:t>ses</w:t>
      </w:r>
      <w:r>
        <w:rPr>
          <w:color w:val="231F20"/>
          <w:spacing w:val="-7"/>
        </w:rPr>
        <w:t> </w:t>
      </w:r>
      <w:r>
        <w:rPr>
          <w:color w:val="231F20"/>
          <w:spacing w:val="-2"/>
        </w:rPr>
        <w:t>frères.</w:t>
      </w:r>
      <w:r>
        <w:rPr>
          <w:color w:val="231F20"/>
          <w:spacing w:val="-6"/>
        </w:rPr>
        <w:t> </w:t>
      </w:r>
      <w:r>
        <w:rPr>
          <w:color w:val="231F20"/>
          <w:spacing w:val="-2"/>
        </w:rPr>
        <w:t>Les</w:t>
      </w:r>
      <w:r>
        <w:rPr>
          <w:color w:val="231F20"/>
          <w:spacing w:val="-9"/>
        </w:rPr>
        <w:t> </w:t>
      </w:r>
      <w:r>
        <w:rPr>
          <w:color w:val="231F20"/>
          <w:spacing w:val="-2"/>
        </w:rPr>
        <w:t>exégètes</w:t>
      </w:r>
      <w:r>
        <w:rPr>
          <w:color w:val="231F20"/>
          <w:spacing w:val="-7"/>
        </w:rPr>
        <w:t> </w:t>
      </w:r>
      <w:r>
        <w:rPr>
          <w:color w:val="231F20"/>
          <w:spacing w:val="-2"/>
        </w:rPr>
        <w:t>Occidentaux</w:t>
      </w:r>
      <w:r>
        <w:rPr>
          <w:color w:val="231F20"/>
          <w:spacing w:val="-7"/>
        </w:rPr>
        <w:t> </w:t>
      </w:r>
      <w:r>
        <w:rPr>
          <w:color w:val="231F20"/>
          <w:spacing w:val="-2"/>
        </w:rPr>
        <w:t>ont</w:t>
      </w:r>
      <w:r>
        <w:rPr>
          <w:color w:val="231F20"/>
          <w:spacing w:val="-9"/>
        </w:rPr>
        <w:t> </w:t>
      </w:r>
      <w:r>
        <w:rPr>
          <w:color w:val="231F20"/>
          <w:spacing w:val="-2"/>
        </w:rPr>
        <w:t>pourtant</w:t>
      </w:r>
      <w:r>
        <w:rPr>
          <w:color w:val="231F20"/>
          <w:spacing w:val="-6"/>
        </w:rPr>
        <w:t> </w:t>
      </w:r>
      <w:r>
        <w:rPr>
          <w:color w:val="231F20"/>
          <w:spacing w:val="-2"/>
        </w:rPr>
        <w:t>trouvé</w:t>
      </w:r>
      <w:r>
        <w:rPr>
          <w:color w:val="231F20"/>
          <w:spacing w:val="-7"/>
        </w:rPr>
        <w:t> </w:t>
      </w:r>
      <w:r>
        <w:rPr>
          <w:color w:val="231F20"/>
          <w:spacing w:val="-2"/>
        </w:rPr>
        <w:t>dans </w:t>
      </w:r>
      <w:r>
        <w:rPr>
          <w:color w:val="231F20"/>
        </w:rPr>
        <w:t>"la</w:t>
      </w:r>
      <w:r>
        <w:rPr>
          <w:color w:val="231F20"/>
          <w:spacing w:val="-4"/>
        </w:rPr>
        <w:t> </w:t>
      </w:r>
      <w:r>
        <w:rPr>
          <w:color w:val="231F20"/>
        </w:rPr>
        <w:t>malédiction</w:t>
      </w:r>
      <w:r>
        <w:rPr>
          <w:color w:val="231F20"/>
          <w:spacing w:val="-4"/>
        </w:rPr>
        <w:t> </w:t>
      </w:r>
      <w:r>
        <w:rPr>
          <w:color w:val="231F20"/>
        </w:rPr>
        <w:t>de</w:t>
      </w:r>
      <w:r>
        <w:rPr>
          <w:color w:val="231F20"/>
          <w:spacing w:val="-4"/>
        </w:rPr>
        <w:t> </w:t>
      </w:r>
      <w:r>
        <w:rPr>
          <w:color w:val="231F20"/>
        </w:rPr>
        <w:t>Noé",</w:t>
      </w:r>
      <w:r>
        <w:rPr>
          <w:color w:val="231F20"/>
          <w:spacing w:val="-7"/>
        </w:rPr>
        <w:t> </w:t>
      </w:r>
      <w:r>
        <w:rPr>
          <w:color w:val="231F20"/>
        </w:rPr>
        <w:t>du</w:t>
      </w:r>
      <w:r>
        <w:rPr>
          <w:color w:val="231F20"/>
          <w:spacing w:val="-4"/>
        </w:rPr>
        <w:t> </w:t>
      </w:r>
      <w:r>
        <w:rPr>
          <w:color w:val="231F20"/>
        </w:rPr>
        <w:t>pain</w:t>
      </w:r>
      <w:r>
        <w:rPr>
          <w:color w:val="231F20"/>
          <w:spacing w:val="-5"/>
        </w:rPr>
        <w:t> </w:t>
      </w:r>
      <w:r>
        <w:rPr>
          <w:color w:val="231F20"/>
        </w:rPr>
        <w:t>béni</w:t>
      </w:r>
      <w:r>
        <w:rPr>
          <w:color w:val="231F20"/>
          <w:spacing w:val="-4"/>
        </w:rPr>
        <w:t> </w:t>
      </w:r>
      <w:r>
        <w:rPr>
          <w:color w:val="231F20"/>
        </w:rPr>
        <w:t>pour</w:t>
      </w:r>
      <w:r>
        <w:rPr>
          <w:color w:val="231F20"/>
          <w:spacing w:val="-5"/>
        </w:rPr>
        <w:t> </w:t>
      </w:r>
      <w:r>
        <w:rPr>
          <w:color w:val="231F20"/>
        </w:rPr>
        <w:t>asservir</w:t>
      </w:r>
      <w:r>
        <w:rPr>
          <w:color w:val="231F20"/>
          <w:spacing w:val="-8"/>
        </w:rPr>
        <w:t> </w:t>
      </w:r>
      <w:r>
        <w:rPr>
          <w:color w:val="231F20"/>
        </w:rPr>
        <w:t>les</w:t>
      </w:r>
      <w:r>
        <w:rPr>
          <w:color w:val="231F20"/>
          <w:spacing w:val="-5"/>
        </w:rPr>
        <w:t> </w:t>
      </w:r>
      <w:r>
        <w:rPr>
          <w:color w:val="231F20"/>
        </w:rPr>
        <w:t>Noirs.</w:t>
      </w:r>
    </w:p>
    <w:p>
      <w:pPr>
        <w:pStyle w:val="BodyText"/>
        <w:spacing w:before="120"/>
        <w:ind w:right="106" w:firstLine="283"/>
      </w:pPr>
      <w:r>
        <w:rPr>
          <w:color w:val="231F20"/>
        </w:rPr>
        <w:t>Comme ailleurs dans le monde et à diverses époques, l’esclavage existait</w:t>
      </w:r>
      <w:r>
        <w:rPr>
          <w:color w:val="231F20"/>
          <w:spacing w:val="-15"/>
        </w:rPr>
        <w:t> </w:t>
      </w:r>
      <w:r>
        <w:rPr>
          <w:color w:val="231F20"/>
        </w:rPr>
        <w:t>en</w:t>
      </w:r>
      <w:r>
        <w:rPr>
          <w:color w:val="231F20"/>
          <w:spacing w:val="-15"/>
        </w:rPr>
        <w:t> </w:t>
      </w:r>
      <w:r>
        <w:rPr>
          <w:color w:val="231F20"/>
        </w:rPr>
        <w:t>Afrique</w:t>
      </w:r>
      <w:r>
        <w:rPr>
          <w:color w:val="231F20"/>
          <w:spacing w:val="-15"/>
        </w:rPr>
        <w:t> </w:t>
      </w:r>
      <w:r>
        <w:rPr>
          <w:color w:val="231F20"/>
        </w:rPr>
        <w:t>avant</w:t>
      </w:r>
      <w:r>
        <w:rPr>
          <w:color w:val="231F20"/>
          <w:spacing w:val="-15"/>
        </w:rPr>
        <w:t> </w:t>
      </w:r>
      <w:r>
        <w:rPr>
          <w:color w:val="231F20"/>
        </w:rPr>
        <w:t>l’arrivée</w:t>
      </w:r>
      <w:r>
        <w:rPr>
          <w:color w:val="231F20"/>
          <w:spacing w:val="-15"/>
        </w:rPr>
        <w:t> </w:t>
      </w:r>
      <w:r>
        <w:rPr>
          <w:color w:val="231F20"/>
        </w:rPr>
        <w:t>des</w:t>
      </w:r>
      <w:r>
        <w:rPr>
          <w:color w:val="231F20"/>
          <w:spacing w:val="-15"/>
        </w:rPr>
        <w:t> </w:t>
      </w:r>
      <w:r>
        <w:rPr>
          <w:color w:val="231F20"/>
        </w:rPr>
        <w:t>esclavagistes</w:t>
      </w:r>
      <w:r>
        <w:rPr>
          <w:color w:val="231F20"/>
          <w:spacing w:val="-15"/>
        </w:rPr>
        <w:t> </w:t>
      </w:r>
      <w:r>
        <w:rPr>
          <w:color w:val="231F20"/>
        </w:rPr>
        <w:t>arabes</w:t>
      </w:r>
      <w:r>
        <w:rPr>
          <w:color w:val="231F20"/>
          <w:spacing w:val="-15"/>
        </w:rPr>
        <w:t> </w:t>
      </w:r>
      <w:r>
        <w:rPr>
          <w:color w:val="231F20"/>
        </w:rPr>
        <w:t>et</w:t>
      </w:r>
      <w:r>
        <w:rPr>
          <w:color w:val="231F20"/>
          <w:spacing w:val="-15"/>
        </w:rPr>
        <w:t> </w:t>
      </w:r>
      <w:r>
        <w:rPr>
          <w:color w:val="231F20"/>
        </w:rPr>
        <w:t>européens. </w:t>
      </w:r>
      <w:r>
        <w:rPr>
          <w:color w:val="231F20"/>
          <w:spacing w:val="-2"/>
        </w:rPr>
        <w:t>Mais</w:t>
      </w:r>
      <w:r>
        <w:rPr>
          <w:color w:val="231F20"/>
          <w:spacing w:val="-8"/>
        </w:rPr>
        <w:t> </w:t>
      </w:r>
      <w:r>
        <w:rPr>
          <w:color w:val="231F20"/>
          <w:spacing w:val="-2"/>
        </w:rPr>
        <w:t>à</w:t>
      </w:r>
      <w:r>
        <w:rPr>
          <w:color w:val="231F20"/>
          <w:spacing w:val="-9"/>
        </w:rPr>
        <w:t> </w:t>
      </w:r>
      <w:r>
        <w:rPr>
          <w:color w:val="231F20"/>
          <w:spacing w:val="-2"/>
        </w:rPr>
        <w:t>la</w:t>
      </w:r>
      <w:r>
        <w:rPr>
          <w:color w:val="231F20"/>
          <w:spacing w:val="-11"/>
        </w:rPr>
        <w:t> </w:t>
      </w:r>
      <w:r>
        <w:rPr>
          <w:color w:val="231F20"/>
          <w:spacing w:val="-2"/>
        </w:rPr>
        <w:t>différence</w:t>
      </w:r>
      <w:r>
        <w:rPr>
          <w:color w:val="231F20"/>
          <w:spacing w:val="-8"/>
        </w:rPr>
        <w:t> </w:t>
      </w:r>
      <w:r>
        <w:rPr>
          <w:color w:val="231F20"/>
          <w:spacing w:val="-2"/>
        </w:rPr>
        <w:t>de</w:t>
      </w:r>
      <w:r>
        <w:rPr>
          <w:color w:val="231F20"/>
          <w:spacing w:val="-8"/>
        </w:rPr>
        <w:t> </w:t>
      </w:r>
      <w:r>
        <w:rPr>
          <w:color w:val="231F20"/>
          <w:spacing w:val="-2"/>
        </w:rPr>
        <w:t>la</w:t>
      </w:r>
      <w:r>
        <w:rPr>
          <w:color w:val="231F20"/>
          <w:spacing w:val="-11"/>
        </w:rPr>
        <w:t> </w:t>
      </w:r>
      <w:r>
        <w:rPr>
          <w:color w:val="231F20"/>
          <w:spacing w:val="-2"/>
        </w:rPr>
        <w:t>marchandisation</w:t>
      </w:r>
      <w:r>
        <w:rPr>
          <w:color w:val="231F20"/>
          <w:spacing w:val="-8"/>
        </w:rPr>
        <w:t> </w:t>
      </w:r>
      <w:r>
        <w:rPr>
          <w:color w:val="231F20"/>
          <w:spacing w:val="-2"/>
        </w:rPr>
        <w:t>de</w:t>
      </w:r>
      <w:r>
        <w:rPr>
          <w:color w:val="231F20"/>
          <w:spacing w:val="-10"/>
        </w:rPr>
        <w:t> </w:t>
      </w:r>
      <w:r>
        <w:rPr>
          <w:color w:val="231F20"/>
          <w:spacing w:val="-2"/>
        </w:rPr>
        <w:t>l’homme,</w:t>
      </w:r>
      <w:r>
        <w:rPr>
          <w:color w:val="231F20"/>
          <w:spacing w:val="-8"/>
        </w:rPr>
        <w:t> </w:t>
      </w:r>
      <w:r>
        <w:rPr>
          <w:color w:val="231F20"/>
          <w:spacing w:val="-2"/>
        </w:rPr>
        <w:t>d’abord</w:t>
      </w:r>
      <w:r>
        <w:rPr>
          <w:color w:val="231F20"/>
          <w:spacing w:val="-9"/>
        </w:rPr>
        <w:t> </w:t>
      </w:r>
      <w:r>
        <w:rPr>
          <w:color w:val="231F20"/>
          <w:spacing w:val="-2"/>
        </w:rPr>
        <w:t>avec</w:t>
      </w:r>
      <w:r>
        <w:rPr>
          <w:color w:val="231F20"/>
          <w:spacing w:val="-9"/>
        </w:rPr>
        <w:t> </w:t>
      </w:r>
      <w:r>
        <w:rPr>
          <w:color w:val="231F20"/>
          <w:spacing w:val="-2"/>
        </w:rPr>
        <w:t>les </w:t>
      </w:r>
      <w:r>
        <w:rPr>
          <w:color w:val="231F20"/>
        </w:rPr>
        <w:t>Arabes</w:t>
      </w:r>
      <w:r>
        <w:rPr>
          <w:color w:val="231F20"/>
          <w:spacing w:val="-12"/>
        </w:rPr>
        <w:t> </w:t>
      </w:r>
      <w:r>
        <w:rPr>
          <w:color w:val="231F20"/>
        </w:rPr>
        <w:t>venus</w:t>
      </w:r>
      <w:r>
        <w:rPr>
          <w:color w:val="231F20"/>
          <w:spacing w:val="-14"/>
        </w:rPr>
        <w:t> </w:t>
      </w:r>
      <w:r>
        <w:rPr>
          <w:color w:val="231F20"/>
        </w:rPr>
        <w:t>du</w:t>
      </w:r>
      <w:r>
        <w:rPr>
          <w:color w:val="231F20"/>
          <w:spacing w:val="-12"/>
        </w:rPr>
        <w:t> </w:t>
      </w:r>
      <w:r>
        <w:rPr>
          <w:color w:val="231F20"/>
        </w:rPr>
        <w:t>Nord</w:t>
      </w:r>
      <w:r>
        <w:rPr>
          <w:color w:val="231F20"/>
          <w:spacing w:val="-14"/>
        </w:rPr>
        <w:t> </w:t>
      </w:r>
      <w:r>
        <w:rPr>
          <w:color w:val="231F20"/>
        </w:rPr>
        <w:t>du</w:t>
      </w:r>
      <w:r>
        <w:rPr>
          <w:color w:val="231F20"/>
          <w:spacing w:val="-13"/>
        </w:rPr>
        <w:t> </w:t>
      </w:r>
      <w:r>
        <w:rPr>
          <w:color w:val="231F20"/>
        </w:rPr>
        <w:t>continent</w:t>
      </w:r>
      <w:r>
        <w:rPr>
          <w:color w:val="231F20"/>
          <w:spacing w:val="-12"/>
        </w:rPr>
        <w:t> </w:t>
      </w:r>
      <w:r>
        <w:rPr>
          <w:color w:val="231F20"/>
        </w:rPr>
        <w:t>et</w:t>
      </w:r>
      <w:r>
        <w:rPr>
          <w:color w:val="231F20"/>
          <w:spacing w:val="-11"/>
        </w:rPr>
        <w:t> </w:t>
      </w:r>
      <w:r>
        <w:rPr>
          <w:color w:val="231F20"/>
        </w:rPr>
        <w:t>ensuite,</w:t>
      </w:r>
      <w:r>
        <w:rPr>
          <w:color w:val="231F20"/>
          <w:spacing w:val="-13"/>
        </w:rPr>
        <w:t> </w:t>
      </w:r>
      <w:r>
        <w:rPr>
          <w:color w:val="231F20"/>
        </w:rPr>
        <w:t>les</w:t>
      </w:r>
      <w:r>
        <w:rPr>
          <w:color w:val="231F20"/>
          <w:spacing w:val="-13"/>
        </w:rPr>
        <w:t> </w:t>
      </w:r>
      <w:r>
        <w:rPr>
          <w:color w:val="231F20"/>
        </w:rPr>
        <w:t>Européens</w:t>
      </w:r>
      <w:r>
        <w:rPr>
          <w:color w:val="231F20"/>
          <w:spacing w:val="-12"/>
        </w:rPr>
        <w:t> </w:t>
      </w:r>
      <w:r>
        <w:rPr>
          <w:color w:val="231F20"/>
        </w:rPr>
        <w:t>arrivés</w:t>
      </w:r>
      <w:r>
        <w:rPr>
          <w:color w:val="231F20"/>
          <w:spacing w:val="-12"/>
        </w:rPr>
        <w:t> </w:t>
      </w:r>
      <w:r>
        <w:rPr>
          <w:color w:val="231F20"/>
        </w:rPr>
        <w:t>sur des</w:t>
      </w:r>
      <w:r>
        <w:rPr>
          <w:color w:val="231F20"/>
          <w:spacing w:val="-4"/>
        </w:rPr>
        <w:t> </w:t>
      </w:r>
      <w:r>
        <w:rPr>
          <w:color w:val="231F20"/>
        </w:rPr>
        <w:t>voiliers,</w:t>
      </w:r>
      <w:r>
        <w:rPr>
          <w:color w:val="231F20"/>
          <w:spacing w:val="-6"/>
        </w:rPr>
        <w:t> </w:t>
      </w:r>
      <w:r>
        <w:rPr>
          <w:color w:val="231F20"/>
        </w:rPr>
        <w:t>l’esclave</w:t>
      </w:r>
      <w:r>
        <w:rPr>
          <w:color w:val="231F20"/>
          <w:spacing w:val="-4"/>
        </w:rPr>
        <w:t> </w:t>
      </w:r>
      <w:r>
        <w:rPr>
          <w:color w:val="231F20"/>
        </w:rPr>
        <w:t>restait</w:t>
      </w:r>
      <w:r>
        <w:rPr>
          <w:color w:val="231F20"/>
          <w:spacing w:val="-3"/>
        </w:rPr>
        <w:t> </w:t>
      </w:r>
      <w:r>
        <w:rPr>
          <w:color w:val="231F20"/>
        </w:rPr>
        <w:t>un</w:t>
      </w:r>
      <w:r>
        <w:rPr>
          <w:color w:val="231F20"/>
          <w:spacing w:val="-3"/>
        </w:rPr>
        <w:t> </w:t>
      </w:r>
      <w:r>
        <w:rPr>
          <w:color w:val="231F20"/>
        </w:rPr>
        <w:t>homme</w:t>
      </w:r>
      <w:r>
        <w:rPr>
          <w:color w:val="231F20"/>
          <w:spacing w:val="-3"/>
        </w:rPr>
        <w:t> </w:t>
      </w:r>
      <w:r>
        <w:rPr>
          <w:color w:val="231F20"/>
        </w:rPr>
        <w:t>et</w:t>
      </w:r>
      <w:r>
        <w:rPr>
          <w:color w:val="231F20"/>
          <w:spacing w:val="-3"/>
        </w:rPr>
        <w:t> </w:t>
      </w:r>
      <w:r>
        <w:rPr>
          <w:color w:val="231F20"/>
        </w:rPr>
        <w:t>non</w:t>
      </w:r>
      <w:r>
        <w:rPr>
          <w:color w:val="231F20"/>
          <w:spacing w:val="-3"/>
        </w:rPr>
        <w:t> </w:t>
      </w:r>
      <w:r>
        <w:rPr>
          <w:color w:val="231F20"/>
        </w:rPr>
        <w:t>une</w:t>
      </w:r>
      <w:r>
        <w:rPr>
          <w:color w:val="231F20"/>
          <w:spacing w:val="-6"/>
        </w:rPr>
        <w:t> </w:t>
      </w:r>
      <w:r>
        <w:rPr>
          <w:color w:val="231F20"/>
        </w:rPr>
        <w:t>chose.</w:t>
      </w:r>
    </w:p>
    <w:p>
      <w:pPr>
        <w:pStyle w:val="BodyText"/>
        <w:spacing w:before="121"/>
        <w:ind w:right="109" w:firstLine="283"/>
      </w:pPr>
      <w:r>
        <w:rPr>
          <w:color w:val="231F20"/>
        </w:rPr>
        <w:t>Produit</w:t>
      </w:r>
      <w:r>
        <w:rPr>
          <w:color w:val="231F20"/>
          <w:spacing w:val="-4"/>
        </w:rPr>
        <w:t> </w:t>
      </w:r>
      <w:r>
        <w:rPr>
          <w:color w:val="231F20"/>
        </w:rPr>
        <w:t>de</w:t>
      </w:r>
      <w:r>
        <w:rPr>
          <w:color w:val="231F20"/>
          <w:spacing w:val="-4"/>
        </w:rPr>
        <w:t> </w:t>
      </w:r>
      <w:r>
        <w:rPr>
          <w:color w:val="231F20"/>
        </w:rPr>
        <w:t>la</w:t>
      </w:r>
      <w:r>
        <w:rPr>
          <w:color w:val="231F20"/>
          <w:spacing w:val="-4"/>
        </w:rPr>
        <w:t> </w:t>
      </w:r>
      <w:r>
        <w:rPr>
          <w:color w:val="231F20"/>
        </w:rPr>
        <w:t>guerre</w:t>
      </w:r>
      <w:r>
        <w:rPr>
          <w:color w:val="231F20"/>
          <w:spacing w:val="-4"/>
        </w:rPr>
        <w:t> </w:t>
      </w:r>
      <w:r>
        <w:rPr>
          <w:color w:val="231F20"/>
        </w:rPr>
        <w:t>menée</w:t>
      </w:r>
      <w:r>
        <w:rPr>
          <w:color w:val="231F20"/>
          <w:spacing w:val="-4"/>
        </w:rPr>
        <w:t> </w:t>
      </w:r>
      <w:r>
        <w:rPr>
          <w:color w:val="231F20"/>
        </w:rPr>
        <w:t>contre</w:t>
      </w:r>
      <w:r>
        <w:rPr>
          <w:color w:val="231F20"/>
          <w:spacing w:val="-6"/>
        </w:rPr>
        <w:t> </w:t>
      </w:r>
      <w:r>
        <w:rPr>
          <w:color w:val="231F20"/>
        </w:rPr>
        <w:t>des</w:t>
      </w:r>
      <w:r>
        <w:rPr>
          <w:color w:val="231F20"/>
          <w:spacing w:val="-4"/>
        </w:rPr>
        <w:t> </w:t>
      </w:r>
      <w:r>
        <w:rPr>
          <w:color w:val="231F20"/>
        </w:rPr>
        <w:t>peuples</w:t>
      </w:r>
      <w:r>
        <w:rPr>
          <w:color w:val="231F20"/>
          <w:spacing w:val="-4"/>
        </w:rPr>
        <w:t> </w:t>
      </w:r>
      <w:r>
        <w:rPr>
          <w:color w:val="231F20"/>
        </w:rPr>
        <w:t>voisins,</w:t>
      </w:r>
      <w:r>
        <w:rPr>
          <w:color w:val="231F20"/>
          <w:spacing w:val="-4"/>
        </w:rPr>
        <w:t> </w:t>
      </w:r>
      <w:r>
        <w:rPr>
          <w:color w:val="231F20"/>
        </w:rPr>
        <w:t>le</w:t>
      </w:r>
      <w:r>
        <w:rPr>
          <w:color w:val="231F20"/>
          <w:spacing w:val="-4"/>
        </w:rPr>
        <w:t> </w:t>
      </w:r>
      <w:r>
        <w:rPr>
          <w:color w:val="231F20"/>
        </w:rPr>
        <w:t>captif</w:t>
      </w:r>
      <w:r>
        <w:rPr>
          <w:color w:val="231F20"/>
          <w:spacing w:val="-5"/>
        </w:rPr>
        <w:t> </w:t>
      </w:r>
      <w:r>
        <w:rPr>
          <w:color w:val="231F20"/>
        </w:rPr>
        <w:t>était donné comme récompense au roi et</w:t>
      </w:r>
      <w:r>
        <w:rPr>
          <w:color w:val="231F20"/>
          <w:spacing w:val="-1"/>
        </w:rPr>
        <w:t> </w:t>
      </w:r>
      <w:r>
        <w:rPr>
          <w:color w:val="231F20"/>
        </w:rPr>
        <w:t>au guerrier victorieux. Cet esclave peut être vendu en cas de nécessité.</w:t>
      </w:r>
    </w:p>
    <w:p>
      <w:pPr>
        <w:pStyle w:val="BodyText"/>
        <w:spacing w:before="120"/>
        <w:ind w:left="395"/>
      </w:pPr>
      <w:r>
        <w:rPr>
          <w:color w:val="231F20"/>
          <w:spacing w:val="-4"/>
        </w:rPr>
        <w:t>Pour</w:t>
      </w:r>
      <w:r>
        <w:rPr>
          <w:color w:val="231F20"/>
          <w:spacing w:val="-10"/>
        </w:rPr>
        <w:t> </w:t>
      </w:r>
      <w:r>
        <w:rPr>
          <w:color w:val="231F20"/>
          <w:spacing w:val="-4"/>
        </w:rPr>
        <w:t>garantir</w:t>
      </w:r>
      <w:r>
        <w:rPr>
          <w:color w:val="231F20"/>
          <w:spacing w:val="-9"/>
        </w:rPr>
        <w:t> </w:t>
      </w:r>
      <w:r>
        <w:rPr>
          <w:color w:val="231F20"/>
          <w:spacing w:val="-4"/>
        </w:rPr>
        <w:t>une</w:t>
      </w:r>
      <w:r>
        <w:rPr>
          <w:color w:val="231F20"/>
          <w:spacing w:val="-9"/>
        </w:rPr>
        <w:t> </w:t>
      </w:r>
      <w:r>
        <w:rPr>
          <w:color w:val="231F20"/>
          <w:spacing w:val="-4"/>
        </w:rPr>
        <w:t>dette,</w:t>
      </w:r>
      <w:r>
        <w:rPr>
          <w:color w:val="231F20"/>
          <w:spacing w:val="-9"/>
        </w:rPr>
        <w:t> </w:t>
      </w:r>
      <w:r>
        <w:rPr>
          <w:color w:val="231F20"/>
          <w:spacing w:val="-4"/>
        </w:rPr>
        <w:t>un</w:t>
      </w:r>
      <w:r>
        <w:rPr>
          <w:color w:val="231F20"/>
          <w:spacing w:val="-8"/>
        </w:rPr>
        <w:t> </w:t>
      </w:r>
      <w:r>
        <w:rPr>
          <w:color w:val="231F20"/>
          <w:spacing w:val="-4"/>
        </w:rPr>
        <w:t>des</w:t>
      </w:r>
      <w:r>
        <w:rPr>
          <w:color w:val="231F20"/>
          <w:spacing w:val="-8"/>
        </w:rPr>
        <w:t> </w:t>
      </w:r>
      <w:r>
        <w:rPr>
          <w:color w:val="231F20"/>
          <w:spacing w:val="-4"/>
        </w:rPr>
        <w:t>«</w:t>
      </w:r>
      <w:r>
        <w:rPr>
          <w:color w:val="231F20"/>
          <w:spacing w:val="-8"/>
        </w:rPr>
        <w:t> </w:t>
      </w:r>
      <w:r>
        <w:rPr>
          <w:color w:val="231F20"/>
          <w:spacing w:val="-4"/>
        </w:rPr>
        <w:t>enfants</w:t>
      </w:r>
      <w:r>
        <w:rPr>
          <w:color w:val="231F20"/>
          <w:spacing w:val="-8"/>
        </w:rPr>
        <w:t> </w:t>
      </w:r>
      <w:r>
        <w:rPr>
          <w:color w:val="231F20"/>
          <w:spacing w:val="-4"/>
        </w:rPr>
        <w:t>»</w:t>
      </w:r>
      <w:r>
        <w:rPr>
          <w:color w:val="231F20"/>
          <w:spacing w:val="-9"/>
        </w:rPr>
        <w:t> </w:t>
      </w:r>
      <w:r>
        <w:rPr>
          <w:color w:val="231F20"/>
          <w:spacing w:val="-4"/>
        </w:rPr>
        <w:t>(fils,</w:t>
      </w:r>
      <w:r>
        <w:rPr>
          <w:color w:val="231F20"/>
          <w:spacing w:val="-8"/>
        </w:rPr>
        <w:t> </w:t>
      </w:r>
      <w:r>
        <w:rPr>
          <w:color w:val="231F20"/>
          <w:spacing w:val="-4"/>
        </w:rPr>
        <w:t>fille,</w:t>
      </w:r>
      <w:r>
        <w:rPr>
          <w:color w:val="231F20"/>
          <w:spacing w:val="-10"/>
        </w:rPr>
        <w:t> </w:t>
      </w:r>
      <w:r>
        <w:rPr>
          <w:color w:val="231F20"/>
          <w:spacing w:val="-4"/>
        </w:rPr>
        <w:t>neveu,</w:t>
      </w:r>
      <w:r>
        <w:rPr>
          <w:color w:val="231F20"/>
          <w:spacing w:val="-8"/>
        </w:rPr>
        <w:t> </w:t>
      </w:r>
      <w:r>
        <w:rPr>
          <w:color w:val="231F20"/>
          <w:spacing w:val="-4"/>
        </w:rPr>
        <w:t>nièce,</w:t>
      </w:r>
      <w:r>
        <w:rPr>
          <w:color w:val="231F20"/>
          <w:spacing w:val="-7"/>
        </w:rPr>
        <w:t> </w:t>
      </w:r>
      <w:r>
        <w:rPr>
          <w:color w:val="231F20"/>
          <w:spacing w:val="-4"/>
        </w:rPr>
        <w:t>etc.)</w:t>
      </w:r>
    </w:p>
    <w:p>
      <w:pPr>
        <w:pStyle w:val="BodyText"/>
      </w:pPr>
      <w:r>
        <w:rPr>
          <w:color w:val="231F20"/>
          <w:spacing w:val="-4"/>
        </w:rPr>
        <w:t>d’un</w:t>
      </w:r>
      <w:r>
        <w:rPr>
          <w:color w:val="231F20"/>
          <w:spacing w:val="-7"/>
        </w:rPr>
        <w:t> </w:t>
      </w:r>
      <w:r>
        <w:rPr>
          <w:color w:val="231F20"/>
          <w:spacing w:val="-4"/>
        </w:rPr>
        <w:t>chef</w:t>
      </w:r>
      <w:r>
        <w:rPr>
          <w:color w:val="231F20"/>
          <w:spacing w:val="-7"/>
        </w:rPr>
        <w:t> </w:t>
      </w:r>
      <w:r>
        <w:rPr>
          <w:color w:val="231F20"/>
          <w:spacing w:val="-4"/>
        </w:rPr>
        <w:t>de</w:t>
      </w:r>
      <w:r>
        <w:rPr>
          <w:color w:val="231F20"/>
          <w:spacing w:val="-8"/>
        </w:rPr>
        <w:t> </w:t>
      </w:r>
      <w:r>
        <w:rPr>
          <w:color w:val="231F20"/>
          <w:spacing w:val="-4"/>
        </w:rPr>
        <w:t>famille</w:t>
      </w:r>
      <w:r>
        <w:rPr>
          <w:color w:val="231F20"/>
          <w:spacing w:val="-11"/>
        </w:rPr>
        <w:t> </w:t>
      </w:r>
      <w:r>
        <w:rPr>
          <w:color w:val="231F20"/>
          <w:spacing w:val="-4"/>
        </w:rPr>
        <w:t>sert</w:t>
      </w:r>
      <w:r>
        <w:rPr>
          <w:color w:val="231F20"/>
          <w:spacing w:val="-6"/>
        </w:rPr>
        <w:t> </w:t>
      </w:r>
      <w:r>
        <w:rPr>
          <w:color w:val="231F20"/>
          <w:spacing w:val="-4"/>
        </w:rPr>
        <w:t>de</w:t>
      </w:r>
      <w:r>
        <w:rPr>
          <w:color w:val="231F20"/>
          <w:spacing w:val="-8"/>
        </w:rPr>
        <w:t> </w:t>
      </w:r>
      <w:r>
        <w:rPr>
          <w:color w:val="231F20"/>
          <w:spacing w:val="-4"/>
        </w:rPr>
        <w:t>gage</w:t>
      </w:r>
      <w:r>
        <w:rPr>
          <w:color w:val="231F20"/>
          <w:spacing w:val="-7"/>
        </w:rPr>
        <w:t> </w:t>
      </w:r>
      <w:r>
        <w:rPr>
          <w:color w:val="231F20"/>
          <w:spacing w:val="-4"/>
        </w:rPr>
        <w:t>à</w:t>
      </w:r>
      <w:r>
        <w:rPr>
          <w:color w:val="231F20"/>
          <w:spacing w:val="-8"/>
        </w:rPr>
        <w:t> </w:t>
      </w:r>
      <w:r>
        <w:rPr>
          <w:color w:val="231F20"/>
          <w:spacing w:val="-4"/>
        </w:rPr>
        <w:t>son</w:t>
      </w:r>
      <w:r>
        <w:rPr>
          <w:color w:val="231F20"/>
          <w:spacing w:val="-7"/>
        </w:rPr>
        <w:t> </w:t>
      </w:r>
      <w:r>
        <w:rPr>
          <w:color w:val="231F20"/>
          <w:spacing w:val="-4"/>
        </w:rPr>
        <w:t>débiteur</w:t>
      </w:r>
      <w:r>
        <w:rPr>
          <w:color w:val="231F20"/>
          <w:spacing w:val="-10"/>
        </w:rPr>
        <w:t> </w:t>
      </w:r>
      <w:r>
        <w:rPr>
          <w:color w:val="231F20"/>
          <w:spacing w:val="-4"/>
        </w:rPr>
        <w:t>qui</w:t>
      </w:r>
      <w:r>
        <w:rPr>
          <w:color w:val="231F20"/>
          <w:spacing w:val="-7"/>
        </w:rPr>
        <w:t> </w:t>
      </w:r>
      <w:r>
        <w:rPr>
          <w:color w:val="231F20"/>
          <w:spacing w:val="-4"/>
        </w:rPr>
        <w:t>en</w:t>
      </w:r>
      <w:r>
        <w:rPr>
          <w:color w:val="231F20"/>
          <w:spacing w:val="-8"/>
        </w:rPr>
        <w:t> </w:t>
      </w:r>
      <w:r>
        <w:rPr>
          <w:color w:val="231F20"/>
          <w:spacing w:val="-4"/>
        </w:rPr>
        <w:t>fait</w:t>
      </w:r>
      <w:r>
        <w:rPr>
          <w:color w:val="231F20"/>
          <w:spacing w:val="-7"/>
        </w:rPr>
        <w:t> </w:t>
      </w:r>
      <w:r>
        <w:rPr>
          <w:color w:val="231F20"/>
          <w:spacing w:val="-4"/>
        </w:rPr>
        <w:t>son</w:t>
      </w:r>
      <w:r>
        <w:rPr>
          <w:color w:val="231F20"/>
          <w:spacing w:val="-8"/>
        </w:rPr>
        <w:t> </w:t>
      </w:r>
      <w:r>
        <w:rPr>
          <w:color w:val="231F20"/>
          <w:spacing w:val="-4"/>
        </w:rPr>
        <w:t>esclave.</w:t>
      </w:r>
      <w:r>
        <w:rPr>
          <w:color w:val="231F20"/>
          <w:spacing w:val="-7"/>
        </w:rPr>
        <w:t> </w:t>
      </w:r>
      <w:r>
        <w:rPr>
          <w:color w:val="231F20"/>
          <w:spacing w:val="-5"/>
        </w:rPr>
        <w:t>Ce</w:t>
      </w:r>
    </w:p>
    <w:p>
      <w:pPr>
        <w:pStyle w:val="BodyText"/>
        <w:ind w:left="0"/>
        <w:jc w:val="left"/>
        <w:rPr>
          <w:sz w:val="20"/>
        </w:rPr>
      </w:pPr>
    </w:p>
    <w:p>
      <w:pPr>
        <w:pStyle w:val="BodyText"/>
        <w:ind w:left="0"/>
        <w:jc w:val="left"/>
        <w:rPr>
          <w:sz w:val="20"/>
        </w:rPr>
      </w:pPr>
    </w:p>
    <w:p>
      <w:pPr>
        <w:pStyle w:val="BodyText"/>
        <w:spacing w:before="89"/>
        <w:ind w:left="0"/>
        <w:jc w:val="left"/>
        <w:rPr>
          <w:sz w:val="20"/>
        </w:rPr>
      </w:pPr>
      <w:r>
        <w:rPr/>
        <mc:AlternateContent>
          <mc:Choice Requires="wps">
            <w:drawing>
              <wp:anchor distT="0" distB="0" distL="0" distR="0" allowOverlap="1" layoutInCell="1" locked="0" behindDoc="1" simplePos="0" relativeHeight="487593472">
                <wp:simplePos x="0" y="0"/>
                <wp:positionH relativeFrom="page">
                  <wp:posOffset>629907</wp:posOffset>
                </wp:positionH>
                <wp:positionV relativeFrom="paragraph">
                  <wp:posOffset>217831</wp:posOffset>
                </wp:positionV>
                <wp:extent cx="1829435" cy="952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152109pt;width:144.020pt;height:.72pt;mso-position-horizontal-relative:page;mso-position-vertical-relative:paragraph;z-index:-15723008;mso-wrap-distance-left:0;mso-wrap-distance-right:0" id="docshape20" filled="true" fillcolor="#231f20" stroked="false">
                <v:fill type="solid"/>
                <w10:wrap type="topAndBottom"/>
              </v:rect>
            </w:pict>
          </mc:Fallback>
        </mc:AlternateContent>
      </w:r>
    </w:p>
    <w:p>
      <w:pPr>
        <w:spacing w:before="91"/>
        <w:ind w:left="111" w:right="104" w:firstLine="0"/>
        <w:jc w:val="both"/>
        <w:rPr>
          <w:sz w:val="20"/>
        </w:rPr>
      </w:pPr>
      <w:r>
        <w:rPr>
          <w:color w:val="76787A"/>
          <w:sz w:val="20"/>
          <w:vertAlign w:val="superscript"/>
        </w:rPr>
        <w:t>18</w:t>
      </w:r>
      <w:r>
        <w:rPr>
          <w:color w:val="76787A"/>
          <w:spacing w:val="-13"/>
          <w:sz w:val="20"/>
          <w:vertAlign w:val="baseline"/>
        </w:rPr>
        <w:t> </w:t>
      </w:r>
      <w:r>
        <w:rPr>
          <w:i/>
          <w:color w:val="231F20"/>
          <w:sz w:val="20"/>
          <w:vertAlign w:val="baseline"/>
        </w:rPr>
        <w:t>Extrait</w:t>
      </w:r>
      <w:r>
        <w:rPr>
          <w:i/>
          <w:color w:val="231F20"/>
          <w:spacing w:val="-12"/>
          <w:sz w:val="20"/>
          <w:vertAlign w:val="baseline"/>
        </w:rPr>
        <w:t> </w:t>
      </w:r>
      <w:r>
        <w:rPr>
          <w:i/>
          <w:color w:val="231F20"/>
          <w:sz w:val="20"/>
          <w:vertAlign w:val="baseline"/>
        </w:rPr>
        <w:t>de</w:t>
      </w:r>
      <w:r>
        <w:rPr>
          <w:i/>
          <w:color w:val="231F20"/>
          <w:spacing w:val="-13"/>
          <w:sz w:val="20"/>
          <w:vertAlign w:val="baseline"/>
        </w:rPr>
        <w:t> </w:t>
      </w:r>
      <w:r>
        <w:rPr>
          <w:i/>
          <w:color w:val="231F20"/>
          <w:sz w:val="20"/>
          <w:vertAlign w:val="baseline"/>
        </w:rPr>
        <w:t>la</w:t>
      </w:r>
      <w:r>
        <w:rPr>
          <w:i/>
          <w:color w:val="231F20"/>
          <w:spacing w:val="-12"/>
          <w:sz w:val="20"/>
          <w:vertAlign w:val="baseline"/>
        </w:rPr>
        <w:t> </w:t>
      </w:r>
      <w:r>
        <w:rPr>
          <w:i/>
          <w:color w:val="231F20"/>
          <w:sz w:val="20"/>
          <w:vertAlign w:val="baseline"/>
        </w:rPr>
        <w:t>Bulle</w:t>
      </w:r>
      <w:r>
        <w:rPr>
          <w:i/>
          <w:color w:val="231F20"/>
          <w:spacing w:val="-13"/>
          <w:sz w:val="20"/>
          <w:vertAlign w:val="baseline"/>
        </w:rPr>
        <w:t> </w:t>
      </w:r>
      <w:r>
        <w:rPr>
          <w:i/>
          <w:color w:val="231F20"/>
          <w:sz w:val="20"/>
          <w:vertAlign w:val="baseline"/>
        </w:rPr>
        <w:t>du</w:t>
      </w:r>
      <w:r>
        <w:rPr>
          <w:i/>
          <w:color w:val="231F20"/>
          <w:spacing w:val="-12"/>
          <w:sz w:val="20"/>
          <w:vertAlign w:val="baseline"/>
        </w:rPr>
        <w:t> </w:t>
      </w:r>
      <w:r>
        <w:rPr>
          <w:i/>
          <w:color w:val="231F20"/>
          <w:sz w:val="20"/>
          <w:vertAlign w:val="baseline"/>
        </w:rPr>
        <w:t>Pape</w:t>
      </w:r>
      <w:r>
        <w:rPr>
          <w:i/>
          <w:color w:val="231F20"/>
          <w:spacing w:val="-13"/>
          <w:sz w:val="20"/>
          <w:vertAlign w:val="baseline"/>
        </w:rPr>
        <w:t> </w:t>
      </w:r>
      <w:r>
        <w:rPr>
          <w:i/>
          <w:color w:val="231F20"/>
          <w:sz w:val="20"/>
          <w:vertAlign w:val="baseline"/>
        </w:rPr>
        <w:t>Nicolas</w:t>
      </w:r>
      <w:r>
        <w:rPr>
          <w:i/>
          <w:color w:val="231F20"/>
          <w:spacing w:val="-12"/>
          <w:sz w:val="20"/>
          <w:vertAlign w:val="baseline"/>
        </w:rPr>
        <w:t> </w:t>
      </w:r>
      <w:r>
        <w:rPr>
          <w:i/>
          <w:color w:val="231F20"/>
          <w:sz w:val="20"/>
          <w:vertAlign w:val="baseline"/>
        </w:rPr>
        <w:t>V,</w:t>
      </w:r>
      <w:r>
        <w:rPr>
          <w:i/>
          <w:color w:val="231F20"/>
          <w:spacing w:val="-13"/>
          <w:sz w:val="20"/>
          <w:vertAlign w:val="baseline"/>
        </w:rPr>
        <w:t> </w:t>
      </w:r>
      <w:r>
        <w:rPr>
          <w:i/>
          <w:color w:val="231F20"/>
          <w:sz w:val="20"/>
          <w:vertAlign w:val="baseline"/>
        </w:rPr>
        <w:t>du</w:t>
      </w:r>
      <w:r>
        <w:rPr>
          <w:i/>
          <w:color w:val="231F20"/>
          <w:spacing w:val="-12"/>
          <w:sz w:val="20"/>
          <w:vertAlign w:val="baseline"/>
        </w:rPr>
        <w:t> </w:t>
      </w:r>
      <w:r>
        <w:rPr>
          <w:i/>
          <w:color w:val="231F20"/>
          <w:sz w:val="20"/>
          <w:vertAlign w:val="baseline"/>
        </w:rPr>
        <w:t>8</w:t>
      </w:r>
      <w:r>
        <w:rPr>
          <w:i/>
          <w:color w:val="231F20"/>
          <w:spacing w:val="-13"/>
          <w:sz w:val="20"/>
          <w:vertAlign w:val="baseline"/>
        </w:rPr>
        <w:t> </w:t>
      </w:r>
      <w:r>
        <w:rPr>
          <w:i/>
          <w:color w:val="231F20"/>
          <w:sz w:val="20"/>
          <w:vertAlign w:val="baseline"/>
        </w:rPr>
        <w:t>janvier</w:t>
      </w:r>
      <w:r>
        <w:rPr>
          <w:i/>
          <w:color w:val="231F20"/>
          <w:spacing w:val="-12"/>
          <w:sz w:val="20"/>
          <w:vertAlign w:val="baseline"/>
        </w:rPr>
        <w:t> </w:t>
      </w:r>
      <w:r>
        <w:rPr>
          <w:i/>
          <w:color w:val="231F20"/>
          <w:sz w:val="20"/>
          <w:vertAlign w:val="baseline"/>
        </w:rPr>
        <w:t>1454</w:t>
      </w:r>
      <w:r>
        <w:rPr>
          <w:i/>
          <w:color w:val="231F20"/>
          <w:spacing w:val="-13"/>
          <w:sz w:val="20"/>
          <w:vertAlign w:val="baseline"/>
        </w:rPr>
        <w:t> </w:t>
      </w:r>
      <w:r>
        <w:rPr>
          <w:i/>
          <w:color w:val="231F20"/>
          <w:sz w:val="20"/>
          <w:vertAlign w:val="baseline"/>
        </w:rPr>
        <w:t>:</w:t>
      </w:r>
      <w:r>
        <w:rPr>
          <w:i/>
          <w:color w:val="231F20"/>
          <w:spacing w:val="-12"/>
          <w:sz w:val="20"/>
          <w:vertAlign w:val="baseline"/>
        </w:rPr>
        <w:t> </w:t>
      </w:r>
      <w:r>
        <w:rPr>
          <w:i/>
          <w:color w:val="231F20"/>
          <w:sz w:val="20"/>
          <w:vertAlign w:val="baseline"/>
        </w:rPr>
        <w:t>"</w:t>
      </w:r>
      <w:r>
        <w:rPr>
          <w:i/>
          <w:color w:val="231F20"/>
          <w:spacing w:val="-13"/>
          <w:sz w:val="20"/>
          <w:vertAlign w:val="baseline"/>
        </w:rPr>
        <w:t> </w:t>
      </w:r>
      <w:r>
        <w:rPr>
          <w:color w:val="231F20"/>
          <w:sz w:val="20"/>
          <w:vertAlign w:val="baseline"/>
        </w:rPr>
        <w:t>Nous</w:t>
      </w:r>
      <w:r>
        <w:rPr>
          <w:color w:val="231F20"/>
          <w:spacing w:val="-12"/>
          <w:sz w:val="20"/>
          <w:vertAlign w:val="baseline"/>
        </w:rPr>
        <w:t> </w:t>
      </w:r>
      <w:r>
        <w:rPr>
          <w:color w:val="231F20"/>
          <w:sz w:val="20"/>
          <w:vertAlign w:val="baseline"/>
        </w:rPr>
        <w:t>avions</w:t>
      </w:r>
      <w:r>
        <w:rPr>
          <w:color w:val="231F20"/>
          <w:spacing w:val="-13"/>
          <w:sz w:val="20"/>
          <w:vertAlign w:val="baseline"/>
        </w:rPr>
        <w:t> </w:t>
      </w:r>
      <w:r>
        <w:rPr>
          <w:color w:val="231F20"/>
          <w:sz w:val="20"/>
          <w:vertAlign w:val="baseline"/>
        </w:rPr>
        <w:t>jadis,</w:t>
      </w:r>
      <w:r>
        <w:rPr>
          <w:color w:val="231F20"/>
          <w:spacing w:val="-12"/>
          <w:sz w:val="20"/>
          <w:vertAlign w:val="baseline"/>
        </w:rPr>
        <w:t> </w:t>
      </w:r>
      <w:r>
        <w:rPr>
          <w:color w:val="231F20"/>
          <w:sz w:val="20"/>
          <w:vertAlign w:val="baseline"/>
        </w:rPr>
        <w:t>par</w:t>
      </w:r>
      <w:r>
        <w:rPr>
          <w:color w:val="231F20"/>
          <w:spacing w:val="-13"/>
          <w:sz w:val="20"/>
          <w:vertAlign w:val="baseline"/>
        </w:rPr>
        <w:t> </w:t>
      </w:r>
      <w:r>
        <w:rPr>
          <w:color w:val="231F20"/>
          <w:sz w:val="20"/>
          <w:vertAlign w:val="baseline"/>
        </w:rPr>
        <w:t>de </w:t>
      </w:r>
      <w:r>
        <w:rPr>
          <w:color w:val="231F20"/>
          <w:spacing w:val="-2"/>
          <w:sz w:val="20"/>
          <w:vertAlign w:val="baseline"/>
        </w:rPr>
        <w:t>précédentes</w:t>
      </w:r>
      <w:r>
        <w:rPr>
          <w:color w:val="231F20"/>
          <w:spacing w:val="-11"/>
          <w:sz w:val="20"/>
          <w:vertAlign w:val="baseline"/>
        </w:rPr>
        <w:t> </w:t>
      </w:r>
      <w:r>
        <w:rPr>
          <w:color w:val="231F20"/>
          <w:spacing w:val="-2"/>
          <w:sz w:val="20"/>
          <w:vertAlign w:val="baseline"/>
        </w:rPr>
        <w:t>lettres,</w:t>
      </w:r>
      <w:r>
        <w:rPr>
          <w:color w:val="231F20"/>
          <w:spacing w:val="-10"/>
          <w:sz w:val="20"/>
          <w:vertAlign w:val="baseline"/>
        </w:rPr>
        <w:t> </w:t>
      </w:r>
      <w:r>
        <w:rPr>
          <w:color w:val="231F20"/>
          <w:spacing w:val="-2"/>
          <w:sz w:val="20"/>
          <w:vertAlign w:val="baseline"/>
        </w:rPr>
        <w:t>concédé</w:t>
      </w:r>
      <w:r>
        <w:rPr>
          <w:color w:val="231F20"/>
          <w:spacing w:val="-11"/>
          <w:sz w:val="20"/>
          <w:vertAlign w:val="baseline"/>
        </w:rPr>
        <w:t> </w:t>
      </w:r>
      <w:r>
        <w:rPr>
          <w:color w:val="231F20"/>
          <w:spacing w:val="-2"/>
          <w:sz w:val="20"/>
          <w:vertAlign w:val="baseline"/>
        </w:rPr>
        <w:t>au</w:t>
      </w:r>
      <w:r>
        <w:rPr>
          <w:color w:val="231F20"/>
          <w:spacing w:val="-10"/>
          <w:sz w:val="20"/>
          <w:vertAlign w:val="baseline"/>
        </w:rPr>
        <w:t> </w:t>
      </w:r>
      <w:r>
        <w:rPr>
          <w:color w:val="231F20"/>
          <w:spacing w:val="-2"/>
          <w:sz w:val="20"/>
          <w:vertAlign w:val="baseline"/>
        </w:rPr>
        <w:t>Roi</w:t>
      </w:r>
      <w:r>
        <w:rPr>
          <w:color w:val="231F20"/>
          <w:spacing w:val="-11"/>
          <w:sz w:val="20"/>
          <w:vertAlign w:val="baseline"/>
        </w:rPr>
        <w:t> </w:t>
      </w:r>
      <w:r>
        <w:rPr>
          <w:color w:val="231F20"/>
          <w:spacing w:val="-2"/>
          <w:sz w:val="20"/>
          <w:vertAlign w:val="baseline"/>
        </w:rPr>
        <w:t>Alphonse</w:t>
      </w:r>
      <w:r>
        <w:rPr>
          <w:color w:val="231F20"/>
          <w:spacing w:val="-10"/>
          <w:sz w:val="20"/>
          <w:vertAlign w:val="baseline"/>
        </w:rPr>
        <w:t> </w:t>
      </w:r>
      <w:r>
        <w:rPr>
          <w:color w:val="231F20"/>
          <w:spacing w:val="-2"/>
          <w:sz w:val="20"/>
          <w:vertAlign w:val="baseline"/>
        </w:rPr>
        <w:t>du</w:t>
      </w:r>
      <w:r>
        <w:rPr>
          <w:color w:val="231F20"/>
          <w:spacing w:val="-11"/>
          <w:sz w:val="20"/>
          <w:vertAlign w:val="baseline"/>
        </w:rPr>
        <w:t> </w:t>
      </w:r>
      <w:r>
        <w:rPr>
          <w:color w:val="231F20"/>
          <w:spacing w:val="-2"/>
          <w:sz w:val="20"/>
          <w:vertAlign w:val="baseline"/>
        </w:rPr>
        <w:t>Portugal,</w:t>
      </w:r>
      <w:r>
        <w:rPr>
          <w:color w:val="231F20"/>
          <w:spacing w:val="-10"/>
          <w:sz w:val="20"/>
          <w:vertAlign w:val="baseline"/>
        </w:rPr>
        <w:t> </w:t>
      </w:r>
      <w:r>
        <w:rPr>
          <w:color w:val="231F20"/>
          <w:spacing w:val="-2"/>
          <w:sz w:val="20"/>
          <w:vertAlign w:val="baseline"/>
        </w:rPr>
        <w:t>entre</w:t>
      </w:r>
      <w:r>
        <w:rPr>
          <w:color w:val="231F20"/>
          <w:spacing w:val="-11"/>
          <w:sz w:val="20"/>
          <w:vertAlign w:val="baseline"/>
        </w:rPr>
        <w:t> </w:t>
      </w:r>
      <w:r>
        <w:rPr>
          <w:color w:val="231F20"/>
          <w:spacing w:val="-2"/>
          <w:sz w:val="20"/>
          <w:vertAlign w:val="baseline"/>
        </w:rPr>
        <w:t>autres</w:t>
      </w:r>
      <w:r>
        <w:rPr>
          <w:color w:val="231F20"/>
          <w:spacing w:val="-10"/>
          <w:sz w:val="20"/>
          <w:vertAlign w:val="baseline"/>
        </w:rPr>
        <w:t> </w:t>
      </w:r>
      <w:r>
        <w:rPr>
          <w:color w:val="231F20"/>
          <w:spacing w:val="-2"/>
          <w:sz w:val="20"/>
          <w:vertAlign w:val="baseline"/>
        </w:rPr>
        <w:t>choses,</w:t>
      </w:r>
      <w:r>
        <w:rPr>
          <w:color w:val="231F20"/>
          <w:spacing w:val="-11"/>
          <w:sz w:val="20"/>
          <w:vertAlign w:val="baseline"/>
        </w:rPr>
        <w:t> </w:t>
      </w:r>
      <w:r>
        <w:rPr>
          <w:color w:val="231F20"/>
          <w:spacing w:val="-2"/>
          <w:sz w:val="20"/>
          <w:vertAlign w:val="baseline"/>
        </w:rPr>
        <w:t>la</w:t>
      </w:r>
      <w:r>
        <w:rPr>
          <w:color w:val="231F20"/>
          <w:spacing w:val="-10"/>
          <w:sz w:val="20"/>
          <w:vertAlign w:val="baseline"/>
        </w:rPr>
        <w:t> </w:t>
      </w:r>
      <w:r>
        <w:rPr>
          <w:color w:val="231F20"/>
          <w:spacing w:val="-2"/>
          <w:sz w:val="20"/>
          <w:vertAlign w:val="baseline"/>
        </w:rPr>
        <w:t>faculté pleine</w:t>
      </w:r>
      <w:r>
        <w:rPr>
          <w:color w:val="231F20"/>
          <w:spacing w:val="-4"/>
          <w:sz w:val="20"/>
          <w:vertAlign w:val="baseline"/>
        </w:rPr>
        <w:t> </w:t>
      </w:r>
      <w:r>
        <w:rPr>
          <w:color w:val="231F20"/>
          <w:spacing w:val="-2"/>
          <w:sz w:val="20"/>
          <w:vertAlign w:val="baseline"/>
        </w:rPr>
        <w:t>et</w:t>
      </w:r>
      <w:r>
        <w:rPr>
          <w:color w:val="231F20"/>
          <w:spacing w:val="-7"/>
          <w:sz w:val="20"/>
          <w:vertAlign w:val="baseline"/>
        </w:rPr>
        <w:t> </w:t>
      </w:r>
      <w:r>
        <w:rPr>
          <w:color w:val="231F20"/>
          <w:spacing w:val="-2"/>
          <w:sz w:val="20"/>
          <w:vertAlign w:val="baseline"/>
        </w:rPr>
        <w:t>entière</w:t>
      </w:r>
      <w:r>
        <w:rPr>
          <w:color w:val="231F20"/>
          <w:spacing w:val="-6"/>
          <w:sz w:val="20"/>
          <w:vertAlign w:val="baseline"/>
        </w:rPr>
        <w:t> </w:t>
      </w:r>
      <w:r>
        <w:rPr>
          <w:color w:val="231F20"/>
          <w:spacing w:val="-2"/>
          <w:sz w:val="20"/>
          <w:vertAlign w:val="baseline"/>
        </w:rPr>
        <w:t>d’attaquer,</w:t>
      </w:r>
      <w:r>
        <w:rPr>
          <w:color w:val="231F20"/>
          <w:spacing w:val="-6"/>
          <w:sz w:val="20"/>
          <w:vertAlign w:val="baseline"/>
        </w:rPr>
        <w:t> </w:t>
      </w:r>
      <w:r>
        <w:rPr>
          <w:color w:val="231F20"/>
          <w:spacing w:val="-2"/>
          <w:sz w:val="20"/>
          <w:vertAlign w:val="baseline"/>
        </w:rPr>
        <w:t>de</w:t>
      </w:r>
      <w:r>
        <w:rPr>
          <w:color w:val="231F20"/>
          <w:spacing w:val="-9"/>
          <w:sz w:val="20"/>
          <w:vertAlign w:val="baseline"/>
        </w:rPr>
        <w:t> </w:t>
      </w:r>
      <w:r>
        <w:rPr>
          <w:color w:val="231F20"/>
          <w:spacing w:val="-2"/>
          <w:sz w:val="20"/>
          <w:vertAlign w:val="baseline"/>
        </w:rPr>
        <w:t>conquérir,</w:t>
      </w:r>
      <w:r>
        <w:rPr>
          <w:color w:val="231F20"/>
          <w:spacing w:val="-6"/>
          <w:sz w:val="20"/>
          <w:vertAlign w:val="baseline"/>
        </w:rPr>
        <w:t> </w:t>
      </w:r>
      <w:r>
        <w:rPr>
          <w:color w:val="231F20"/>
          <w:spacing w:val="-2"/>
          <w:sz w:val="20"/>
          <w:vertAlign w:val="baseline"/>
        </w:rPr>
        <w:t>de</w:t>
      </w:r>
      <w:r>
        <w:rPr>
          <w:color w:val="231F20"/>
          <w:spacing w:val="-6"/>
          <w:sz w:val="20"/>
          <w:vertAlign w:val="baseline"/>
        </w:rPr>
        <w:t> </w:t>
      </w:r>
      <w:r>
        <w:rPr>
          <w:color w:val="231F20"/>
          <w:spacing w:val="-2"/>
          <w:sz w:val="20"/>
          <w:vertAlign w:val="baseline"/>
        </w:rPr>
        <w:t>vaincre,</w:t>
      </w:r>
      <w:r>
        <w:rPr>
          <w:color w:val="231F20"/>
          <w:spacing w:val="-4"/>
          <w:sz w:val="20"/>
          <w:vertAlign w:val="baseline"/>
        </w:rPr>
        <w:t> </w:t>
      </w:r>
      <w:r>
        <w:rPr>
          <w:color w:val="231F20"/>
          <w:spacing w:val="-2"/>
          <w:sz w:val="20"/>
          <w:vertAlign w:val="baseline"/>
        </w:rPr>
        <w:t>de</w:t>
      </w:r>
      <w:r>
        <w:rPr>
          <w:color w:val="231F20"/>
          <w:spacing w:val="-4"/>
          <w:sz w:val="20"/>
          <w:vertAlign w:val="baseline"/>
        </w:rPr>
        <w:t> </w:t>
      </w:r>
      <w:r>
        <w:rPr>
          <w:color w:val="231F20"/>
          <w:spacing w:val="-2"/>
          <w:sz w:val="20"/>
          <w:vertAlign w:val="baseline"/>
        </w:rPr>
        <w:t>réduire</w:t>
      </w:r>
      <w:r>
        <w:rPr>
          <w:color w:val="231F20"/>
          <w:spacing w:val="-4"/>
          <w:sz w:val="20"/>
          <w:vertAlign w:val="baseline"/>
        </w:rPr>
        <w:t> </w:t>
      </w:r>
      <w:r>
        <w:rPr>
          <w:color w:val="231F20"/>
          <w:spacing w:val="-2"/>
          <w:sz w:val="20"/>
          <w:vertAlign w:val="baseline"/>
        </w:rPr>
        <w:t>et</w:t>
      </w:r>
      <w:r>
        <w:rPr>
          <w:color w:val="231F20"/>
          <w:spacing w:val="-6"/>
          <w:sz w:val="20"/>
          <w:vertAlign w:val="baseline"/>
        </w:rPr>
        <w:t> </w:t>
      </w:r>
      <w:r>
        <w:rPr>
          <w:color w:val="231F20"/>
          <w:spacing w:val="-2"/>
          <w:sz w:val="20"/>
          <w:vertAlign w:val="baseline"/>
        </w:rPr>
        <w:t>de</w:t>
      </w:r>
      <w:r>
        <w:rPr>
          <w:color w:val="231F20"/>
          <w:spacing w:val="-4"/>
          <w:sz w:val="20"/>
          <w:vertAlign w:val="baseline"/>
        </w:rPr>
        <w:t> </w:t>
      </w:r>
      <w:r>
        <w:rPr>
          <w:color w:val="231F20"/>
          <w:spacing w:val="-2"/>
          <w:sz w:val="20"/>
          <w:vertAlign w:val="baseline"/>
        </w:rPr>
        <w:t>soumettre</w:t>
      </w:r>
      <w:r>
        <w:rPr>
          <w:color w:val="231F20"/>
          <w:spacing w:val="-4"/>
          <w:sz w:val="20"/>
          <w:vertAlign w:val="baseline"/>
        </w:rPr>
        <w:t> </w:t>
      </w:r>
      <w:r>
        <w:rPr>
          <w:color w:val="231F20"/>
          <w:spacing w:val="-2"/>
          <w:sz w:val="20"/>
          <w:vertAlign w:val="baseline"/>
        </w:rPr>
        <w:t>tous</w:t>
      </w:r>
      <w:r>
        <w:rPr>
          <w:color w:val="231F20"/>
          <w:spacing w:val="-8"/>
          <w:sz w:val="20"/>
          <w:vertAlign w:val="baseline"/>
        </w:rPr>
        <w:t> </w:t>
      </w:r>
      <w:r>
        <w:rPr>
          <w:color w:val="231F20"/>
          <w:spacing w:val="-2"/>
          <w:sz w:val="20"/>
          <w:vertAlign w:val="baseline"/>
        </w:rPr>
        <w:t>les </w:t>
      </w:r>
      <w:r>
        <w:rPr>
          <w:color w:val="231F20"/>
          <w:sz w:val="20"/>
          <w:vertAlign w:val="baseline"/>
        </w:rPr>
        <w:t>(…)</w:t>
      </w:r>
      <w:r>
        <w:rPr>
          <w:color w:val="231F20"/>
          <w:spacing w:val="-5"/>
          <w:sz w:val="20"/>
          <w:vertAlign w:val="baseline"/>
        </w:rPr>
        <w:t> </w:t>
      </w:r>
      <w:r>
        <w:rPr>
          <w:color w:val="231F20"/>
          <w:sz w:val="20"/>
          <w:vertAlign w:val="baseline"/>
        </w:rPr>
        <w:t>païens</w:t>
      </w:r>
      <w:r>
        <w:rPr>
          <w:color w:val="231F20"/>
          <w:spacing w:val="-7"/>
          <w:sz w:val="20"/>
          <w:vertAlign w:val="baseline"/>
        </w:rPr>
        <w:t> </w:t>
      </w:r>
      <w:r>
        <w:rPr>
          <w:color w:val="231F20"/>
          <w:sz w:val="20"/>
          <w:vertAlign w:val="baseline"/>
        </w:rPr>
        <w:t>et</w:t>
      </w:r>
      <w:r>
        <w:rPr>
          <w:color w:val="231F20"/>
          <w:spacing w:val="-6"/>
          <w:sz w:val="20"/>
          <w:vertAlign w:val="baseline"/>
        </w:rPr>
        <w:t> </w:t>
      </w:r>
      <w:r>
        <w:rPr>
          <w:color w:val="231F20"/>
          <w:sz w:val="20"/>
          <w:vertAlign w:val="baseline"/>
        </w:rPr>
        <w:t>autres</w:t>
      </w:r>
      <w:r>
        <w:rPr>
          <w:color w:val="231F20"/>
          <w:spacing w:val="-7"/>
          <w:sz w:val="20"/>
          <w:vertAlign w:val="baseline"/>
        </w:rPr>
        <w:t> </w:t>
      </w:r>
      <w:r>
        <w:rPr>
          <w:color w:val="231F20"/>
          <w:sz w:val="20"/>
          <w:vertAlign w:val="baseline"/>
        </w:rPr>
        <w:t>ennemis</w:t>
      </w:r>
      <w:r>
        <w:rPr>
          <w:color w:val="231F20"/>
          <w:spacing w:val="-7"/>
          <w:sz w:val="20"/>
          <w:vertAlign w:val="baseline"/>
        </w:rPr>
        <w:t> </w:t>
      </w:r>
      <w:r>
        <w:rPr>
          <w:color w:val="231F20"/>
          <w:sz w:val="20"/>
          <w:vertAlign w:val="baseline"/>
        </w:rPr>
        <w:t>du</w:t>
      </w:r>
      <w:r>
        <w:rPr>
          <w:color w:val="231F20"/>
          <w:spacing w:val="-5"/>
          <w:sz w:val="20"/>
          <w:vertAlign w:val="baseline"/>
        </w:rPr>
        <w:t> </w:t>
      </w:r>
      <w:r>
        <w:rPr>
          <w:color w:val="231F20"/>
          <w:sz w:val="20"/>
          <w:vertAlign w:val="baseline"/>
        </w:rPr>
        <w:t>Christ</w:t>
      </w:r>
      <w:r>
        <w:rPr>
          <w:color w:val="231F20"/>
          <w:spacing w:val="-6"/>
          <w:sz w:val="20"/>
          <w:vertAlign w:val="baseline"/>
        </w:rPr>
        <w:t> </w:t>
      </w:r>
      <w:r>
        <w:rPr>
          <w:color w:val="231F20"/>
          <w:sz w:val="20"/>
          <w:vertAlign w:val="baseline"/>
        </w:rPr>
        <w:t>où</w:t>
      </w:r>
      <w:r>
        <w:rPr>
          <w:color w:val="231F20"/>
          <w:spacing w:val="-5"/>
          <w:sz w:val="20"/>
          <w:vertAlign w:val="baseline"/>
        </w:rPr>
        <w:t> </w:t>
      </w:r>
      <w:r>
        <w:rPr>
          <w:color w:val="231F20"/>
          <w:sz w:val="20"/>
          <w:vertAlign w:val="baseline"/>
        </w:rPr>
        <w:t>qu’ils</w:t>
      </w:r>
      <w:r>
        <w:rPr>
          <w:color w:val="231F20"/>
          <w:spacing w:val="-5"/>
          <w:sz w:val="20"/>
          <w:vertAlign w:val="baseline"/>
        </w:rPr>
        <w:t> </w:t>
      </w:r>
      <w:r>
        <w:rPr>
          <w:color w:val="231F20"/>
          <w:sz w:val="20"/>
          <w:vertAlign w:val="baseline"/>
        </w:rPr>
        <w:t>soient,</w:t>
      </w:r>
      <w:r>
        <w:rPr>
          <w:color w:val="231F20"/>
          <w:spacing w:val="-5"/>
          <w:sz w:val="20"/>
          <w:vertAlign w:val="baseline"/>
        </w:rPr>
        <w:t> </w:t>
      </w:r>
      <w:r>
        <w:rPr>
          <w:color w:val="231F20"/>
          <w:sz w:val="20"/>
          <w:vertAlign w:val="baseline"/>
        </w:rPr>
        <w:t>avec</w:t>
      </w:r>
      <w:r>
        <w:rPr>
          <w:color w:val="231F20"/>
          <w:spacing w:val="-4"/>
          <w:sz w:val="20"/>
          <w:vertAlign w:val="baseline"/>
        </w:rPr>
        <w:t> </w:t>
      </w:r>
      <w:r>
        <w:rPr>
          <w:color w:val="231F20"/>
          <w:sz w:val="20"/>
          <w:vertAlign w:val="baseline"/>
        </w:rPr>
        <w:t>leurs</w:t>
      </w:r>
      <w:r>
        <w:rPr>
          <w:color w:val="231F20"/>
          <w:spacing w:val="-7"/>
          <w:sz w:val="20"/>
          <w:vertAlign w:val="baseline"/>
        </w:rPr>
        <w:t> </w:t>
      </w:r>
      <w:r>
        <w:rPr>
          <w:color w:val="231F20"/>
          <w:sz w:val="20"/>
          <w:vertAlign w:val="baseline"/>
        </w:rPr>
        <w:t>royaumes,</w:t>
      </w:r>
      <w:r>
        <w:rPr>
          <w:color w:val="231F20"/>
          <w:spacing w:val="-5"/>
          <w:sz w:val="20"/>
          <w:vertAlign w:val="baseline"/>
        </w:rPr>
        <w:t> </w:t>
      </w:r>
      <w:r>
        <w:rPr>
          <w:color w:val="231F20"/>
          <w:sz w:val="20"/>
          <w:vertAlign w:val="baseline"/>
        </w:rPr>
        <w:t>duchés, </w:t>
      </w:r>
      <w:r>
        <w:rPr>
          <w:color w:val="231F20"/>
          <w:spacing w:val="-4"/>
          <w:sz w:val="20"/>
          <w:vertAlign w:val="baseline"/>
        </w:rPr>
        <w:t>principautés, domaines, propriétés, meubles et immeubles, tous</w:t>
      </w:r>
      <w:r>
        <w:rPr>
          <w:color w:val="231F20"/>
          <w:spacing w:val="-6"/>
          <w:sz w:val="20"/>
          <w:vertAlign w:val="baseline"/>
        </w:rPr>
        <w:t> </w:t>
      </w:r>
      <w:r>
        <w:rPr>
          <w:color w:val="231F20"/>
          <w:spacing w:val="-4"/>
          <w:sz w:val="20"/>
          <w:vertAlign w:val="baseline"/>
        </w:rPr>
        <w:t>les biens</w:t>
      </w:r>
      <w:r>
        <w:rPr>
          <w:color w:val="231F20"/>
          <w:spacing w:val="-6"/>
          <w:sz w:val="20"/>
          <w:vertAlign w:val="baseline"/>
        </w:rPr>
        <w:t> </w:t>
      </w:r>
      <w:r>
        <w:rPr>
          <w:color w:val="231F20"/>
          <w:spacing w:val="-4"/>
          <w:sz w:val="20"/>
          <w:vertAlign w:val="baseline"/>
        </w:rPr>
        <w:t>par eux détenus </w:t>
      </w:r>
      <w:r>
        <w:rPr>
          <w:color w:val="231F20"/>
          <w:sz w:val="20"/>
          <w:vertAlign w:val="baseline"/>
        </w:rPr>
        <w:t>et</w:t>
      </w:r>
      <w:r>
        <w:rPr>
          <w:color w:val="231F20"/>
          <w:spacing w:val="-8"/>
          <w:sz w:val="20"/>
          <w:vertAlign w:val="baseline"/>
        </w:rPr>
        <w:t> </w:t>
      </w:r>
      <w:r>
        <w:rPr>
          <w:color w:val="231F20"/>
          <w:sz w:val="20"/>
          <w:vertAlign w:val="baseline"/>
        </w:rPr>
        <w:t>possédés,</w:t>
      </w:r>
      <w:r>
        <w:rPr>
          <w:color w:val="231F20"/>
          <w:spacing w:val="-10"/>
          <w:sz w:val="20"/>
          <w:vertAlign w:val="baseline"/>
        </w:rPr>
        <w:t> </w:t>
      </w:r>
      <w:r>
        <w:rPr>
          <w:color w:val="231F20"/>
          <w:sz w:val="20"/>
          <w:vertAlign w:val="baseline"/>
        </w:rPr>
        <w:t>de</w:t>
      </w:r>
      <w:r>
        <w:rPr>
          <w:color w:val="231F20"/>
          <w:spacing w:val="-10"/>
          <w:sz w:val="20"/>
          <w:vertAlign w:val="baseline"/>
        </w:rPr>
        <w:t> </w:t>
      </w:r>
      <w:r>
        <w:rPr>
          <w:color w:val="231F20"/>
          <w:sz w:val="20"/>
          <w:vertAlign w:val="baseline"/>
        </w:rPr>
        <w:t>réduire</w:t>
      </w:r>
      <w:r>
        <w:rPr>
          <w:color w:val="231F20"/>
          <w:spacing w:val="-10"/>
          <w:sz w:val="20"/>
          <w:vertAlign w:val="baseline"/>
        </w:rPr>
        <w:t> </w:t>
      </w:r>
      <w:r>
        <w:rPr>
          <w:color w:val="231F20"/>
          <w:sz w:val="20"/>
          <w:vertAlign w:val="baseline"/>
        </w:rPr>
        <w:t>leurs</w:t>
      </w:r>
      <w:r>
        <w:rPr>
          <w:color w:val="231F20"/>
          <w:spacing w:val="-11"/>
          <w:sz w:val="20"/>
          <w:vertAlign w:val="baseline"/>
        </w:rPr>
        <w:t> </w:t>
      </w:r>
      <w:r>
        <w:rPr>
          <w:color w:val="231F20"/>
          <w:sz w:val="20"/>
          <w:vertAlign w:val="baseline"/>
        </w:rPr>
        <w:t>personnes</w:t>
      </w:r>
      <w:r>
        <w:rPr>
          <w:color w:val="231F20"/>
          <w:spacing w:val="-9"/>
          <w:sz w:val="20"/>
          <w:vertAlign w:val="baseline"/>
        </w:rPr>
        <w:t> </w:t>
      </w:r>
      <w:r>
        <w:rPr>
          <w:color w:val="231F20"/>
          <w:sz w:val="20"/>
          <w:vertAlign w:val="baseline"/>
        </w:rPr>
        <w:t>en</w:t>
      </w:r>
      <w:r>
        <w:rPr>
          <w:color w:val="231F20"/>
          <w:spacing w:val="-6"/>
          <w:sz w:val="20"/>
          <w:vertAlign w:val="baseline"/>
        </w:rPr>
        <w:t> </w:t>
      </w:r>
      <w:r>
        <w:rPr>
          <w:color w:val="231F20"/>
          <w:sz w:val="20"/>
          <w:vertAlign w:val="baseline"/>
        </w:rPr>
        <w:t>servitude</w:t>
      </w:r>
      <w:r>
        <w:rPr>
          <w:color w:val="231F20"/>
          <w:spacing w:val="-9"/>
          <w:sz w:val="20"/>
          <w:vertAlign w:val="baseline"/>
        </w:rPr>
        <w:t> </w:t>
      </w:r>
      <w:r>
        <w:rPr>
          <w:color w:val="231F20"/>
          <w:sz w:val="20"/>
          <w:vertAlign w:val="baseline"/>
        </w:rPr>
        <w:t>perpétuelle,</w:t>
      </w:r>
      <w:r>
        <w:rPr>
          <w:color w:val="231F20"/>
          <w:spacing w:val="-7"/>
          <w:sz w:val="20"/>
          <w:vertAlign w:val="baseline"/>
        </w:rPr>
        <w:t> </w:t>
      </w:r>
      <w:r>
        <w:rPr>
          <w:color w:val="231F20"/>
          <w:sz w:val="20"/>
          <w:vertAlign w:val="baseline"/>
        </w:rPr>
        <w:t>(…)</w:t>
      </w:r>
    </w:p>
    <w:p>
      <w:pPr>
        <w:spacing w:after="0"/>
        <w:jc w:val="both"/>
        <w:rPr>
          <w:sz w:val="20"/>
        </w:rPr>
        <w:sectPr>
          <w:pgSz w:w="8790" w:h="13610"/>
          <w:pgMar w:header="0" w:footer="802" w:top="1060" w:bottom="1000" w:left="880" w:right="880"/>
        </w:sectPr>
      </w:pPr>
    </w:p>
    <w:p>
      <w:pPr>
        <w:pStyle w:val="BodyText"/>
        <w:spacing w:before="66"/>
        <w:ind w:right="109"/>
      </w:pPr>
      <w:r>
        <w:rPr>
          <w:color w:val="231F20"/>
          <w:spacing w:val="-2"/>
        </w:rPr>
        <w:t>dernier</w:t>
      </w:r>
      <w:r>
        <w:rPr>
          <w:color w:val="231F20"/>
          <w:spacing w:val="-10"/>
        </w:rPr>
        <w:t> </w:t>
      </w:r>
      <w:r>
        <w:rPr>
          <w:color w:val="231F20"/>
          <w:spacing w:val="-2"/>
        </w:rPr>
        <w:t>peut</w:t>
      </w:r>
      <w:r>
        <w:rPr>
          <w:color w:val="231F20"/>
          <w:spacing w:val="-11"/>
        </w:rPr>
        <w:t> </w:t>
      </w:r>
      <w:r>
        <w:rPr>
          <w:color w:val="231F20"/>
          <w:spacing w:val="-2"/>
        </w:rPr>
        <w:t>recouvrer</w:t>
      </w:r>
      <w:r>
        <w:rPr>
          <w:color w:val="231F20"/>
          <w:spacing w:val="-12"/>
        </w:rPr>
        <w:t> </w:t>
      </w:r>
      <w:r>
        <w:rPr>
          <w:color w:val="231F20"/>
          <w:spacing w:val="-2"/>
        </w:rPr>
        <w:t>la</w:t>
      </w:r>
      <w:r>
        <w:rPr>
          <w:color w:val="231F20"/>
          <w:spacing w:val="-12"/>
        </w:rPr>
        <w:t> </w:t>
      </w:r>
      <w:r>
        <w:rPr>
          <w:color w:val="231F20"/>
          <w:spacing w:val="-2"/>
        </w:rPr>
        <w:t>liberté</w:t>
      </w:r>
      <w:r>
        <w:rPr>
          <w:color w:val="231F20"/>
          <w:spacing w:val="-9"/>
        </w:rPr>
        <w:t> </w:t>
      </w:r>
      <w:r>
        <w:rPr>
          <w:color w:val="231F20"/>
          <w:spacing w:val="-2"/>
        </w:rPr>
        <w:t>après</w:t>
      </w:r>
      <w:r>
        <w:rPr>
          <w:color w:val="231F20"/>
          <w:spacing w:val="-9"/>
        </w:rPr>
        <w:t> </w:t>
      </w:r>
      <w:r>
        <w:rPr>
          <w:color w:val="231F20"/>
          <w:spacing w:val="-2"/>
        </w:rPr>
        <w:t>remboursement</w:t>
      </w:r>
      <w:r>
        <w:rPr>
          <w:color w:val="231F20"/>
          <w:spacing w:val="-11"/>
        </w:rPr>
        <w:t> </w:t>
      </w:r>
      <w:r>
        <w:rPr>
          <w:color w:val="231F20"/>
          <w:spacing w:val="-2"/>
        </w:rPr>
        <w:t>de</w:t>
      </w:r>
      <w:r>
        <w:rPr>
          <w:color w:val="231F20"/>
          <w:spacing w:val="-11"/>
        </w:rPr>
        <w:t> </w:t>
      </w:r>
      <w:r>
        <w:rPr>
          <w:color w:val="231F20"/>
          <w:spacing w:val="-2"/>
        </w:rPr>
        <w:t>toute</w:t>
      </w:r>
      <w:r>
        <w:rPr>
          <w:color w:val="231F20"/>
          <w:spacing w:val="-12"/>
        </w:rPr>
        <w:t> </w:t>
      </w:r>
      <w:r>
        <w:rPr>
          <w:color w:val="231F20"/>
          <w:spacing w:val="-2"/>
        </w:rPr>
        <w:t>la</w:t>
      </w:r>
      <w:r>
        <w:rPr>
          <w:color w:val="231F20"/>
          <w:spacing w:val="-12"/>
        </w:rPr>
        <w:t> </w:t>
      </w:r>
      <w:r>
        <w:rPr>
          <w:color w:val="231F20"/>
          <w:spacing w:val="-2"/>
        </w:rPr>
        <w:t>dette.</w:t>
      </w:r>
      <w:r>
        <w:rPr>
          <w:color w:val="231F20"/>
          <w:spacing w:val="-11"/>
        </w:rPr>
        <w:t> </w:t>
      </w:r>
      <w:r>
        <w:rPr>
          <w:color w:val="231F20"/>
          <w:spacing w:val="-2"/>
        </w:rPr>
        <w:t>Il </w:t>
      </w:r>
      <w:r>
        <w:rPr>
          <w:color w:val="231F20"/>
        </w:rPr>
        <w:t>ne</w:t>
      </w:r>
      <w:r>
        <w:rPr>
          <w:color w:val="231F20"/>
          <w:spacing w:val="-1"/>
        </w:rPr>
        <w:t> </w:t>
      </w:r>
      <w:r>
        <w:rPr>
          <w:color w:val="231F20"/>
        </w:rPr>
        <w:t>peut</w:t>
      </w:r>
      <w:r>
        <w:rPr>
          <w:color w:val="231F20"/>
          <w:spacing w:val="-3"/>
        </w:rPr>
        <w:t> </w:t>
      </w:r>
      <w:r>
        <w:rPr>
          <w:color w:val="231F20"/>
        </w:rPr>
        <w:t>pas</w:t>
      </w:r>
      <w:r>
        <w:rPr>
          <w:color w:val="231F20"/>
          <w:spacing w:val="-1"/>
        </w:rPr>
        <w:t> </w:t>
      </w:r>
      <w:r>
        <w:rPr>
          <w:color w:val="231F20"/>
        </w:rPr>
        <w:t>être</w:t>
      </w:r>
      <w:r>
        <w:rPr>
          <w:color w:val="231F20"/>
          <w:spacing w:val="-3"/>
        </w:rPr>
        <w:t> </w:t>
      </w:r>
      <w:r>
        <w:rPr>
          <w:color w:val="231F20"/>
        </w:rPr>
        <w:t>vendu,</w:t>
      </w:r>
      <w:r>
        <w:rPr>
          <w:color w:val="231F20"/>
          <w:spacing w:val="-1"/>
        </w:rPr>
        <w:t> </w:t>
      </w:r>
      <w:r>
        <w:rPr>
          <w:color w:val="231F20"/>
        </w:rPr>
        <w:t>même</w:t>
      </w:r>
      <w:r>
        <w:rPr>
          <w:color w:val="231F20"/>
          <w:spacing w:val="-1"/>
        </w:rPr>
        <w:t> </w:t>
      </w:r>
      <w:r>
        <w:rPr>
          <w:color w:val="231F20"/>
        </w:rPr>
        <w:t>après</w:t>
      </w:r>
      <w:r>
        <w:rPr>
          <w:color w:val="231F20"/>
          <w:spacing w:val="-1"/>
        </w:rPr>
        <w:t> </w:t>
      </w:r>
      <w:r>
        <w:rPr>
          <w:color w:val="231F20"/>
        </w:rPr>
        <w:t>plusieurs</w:t>
      </w:r>
      <w:r>
        <w:rPr>
          <w:color w:val="231F20"/>
          <w:spacing w:val="-1"/>
        </w:rPr>
        <w:t> </w:t>
      </w:r>
      <w:r>
        <w:rPr>
          <w:color w:val="231F20"/>
        </w:rPr>
        <w:t>années.</w:t>
      </w:r>
    </w:p>
    <w:p>
      <w:pPr>
        <w:pStyle w:val="BodyText"/>
        <w:spacing w:before="120"/>
        <w:ind w:right="105" w:firstLine="283"/>
      </w:pPr>
      <w:r>
        <w:rPr>
          <w:color w:val="231F20"/>
          <w:spacing w:val="-4"/>
        </w:rPr>
        <w:t>L'esclave</w:t>
      </w:r>
      <w:r>
        <w:rPr>
          <w:color w:val="231F20"/>
          <w:spacing w:val="-11"/>
        </w:rPr>
        <w:t> </w:t>
      </w:r>
      <w:r>
        <w:rPr>
          <w:color w:val="231F20"/>
          <w:spacing w:val="-4"/>
        </w:rPr>
        <w:t>est</w:t>
      </w:r>
      <w:r>
        <w:rPr>
          <w:color w:val="231F20"/>
          <w:spacing w:val="-11"/>
        </w:rPr>
        <w:t> </w:t>
      </w:r>
      <w:r>
        <w:rPr>
          <w:color w:val="231F20"/>
          <w:spacing w:val="-4"/>
        </w:rPr>
        <w:t>également</w:t>
      </w:r>
      <w:r>
        <w:rPr>
          <w:color w:val="231F20"/>
          <w:spacing w:val="-11"/>
        </w:rPr>
        <w:t> </w:t>
      </w:r>
      <w:r>
        <w:rPr>
          <w:color w:val="231F20"/>
          <w:spacing w:val="-4"/>
        </w:rPr>
        <w:t>le</w:t>
      </w:r>
      <w:r>
        <w:rPr>
          <w:color w:val="231F20"/>
          <w:spacing w:val="-11"/>
        </w:rPr>
        <w:t> </w:t>
      </w:r>
      <w:r>
        <w:rPr>
          <w:color w:val="231F20"/>
          <w:spacing w:val="-4"/>
        </w:rPr>
        <w:t>produit</w:t>
      </w:r>
      <w:r>
        <w:rPr>
          <w:color w:val="231F20"/>
          <w:spacing w:val="-11"/>
        </w:rPr>
        <w:t> </w:t>
      </w:r>
      <w:r>
        <w:rPr>
          <w:color w:val="231F20"/>
          <w:spacing w:val="-4"/>
        </w:rPr>
        <w:t>d'une</w:t>
      </w:r>
      <w:r>
        <w:rPr>
          <w:color w:val="231F20"/>
          <w:spacing w:val="-11"/>
        </w:rPr>
        <w:t> </w:t>
      </w:r>
      <w:r>
        <w:rPr>
          <w:color w:val="231F20"/>
          <w:spacing w:val="-4"/>
        </w:rPr>
        <w:t>décision</w:t>
      </w:r>
      <w:r>
        <w:rPr>
          <w:color w:val="231F20"/>
          <w:spacing w:val="-11"/>
        </w:rPr>
        <w:t> </w:t>
      </w:r>
      <w:r>
        <w:rPr>
          <w:color w:val="231F20"/>
          <w:spacing w:val="-4"/>
        </w:rPr>
        <w:t>judiciaire.</w:t>
      </w:r>
      <w:r>
        <w:rPr>
          <w:color w:val="231F20"/>
          <w:spacing w:val="-11"/>
        </w:rPr>
        <w:t> </w:t>
      </w:r>
      <w:r>
        <w:rPr>
          <w:color w:val="231F20"/>
          <w:spacing w:val="-4"/>
        </w:rPr>
        <w:t>Ainsi,</w:t>
      </w:r>
      <w:r>
        <w:rPr>
          <w:color w:val="231F20"/>
          <w:spacing w:val="-11"/>
        </w:rPr>
        <w:t> </w:t>
      </w:r>
      <w:r>
        <w:rPr>
          <w:color w:val="231F20"/>
          <w:spacing w:val="-4"/>
        </w:rPr>
        <w:t>dans </w:t>
      </w:r>
      <w:r>
        <w:rPr>
          <w:color w:val="231F20"/>
          <w:spacing w:val="-2"/>
        </w:rPr>
        <w:t>certaines</w:t>
      </w:r>
      <w:r>
        <w:rPr>
          <w:color w:val="231F20"/>
          <w:spacing w:val="-15"/>
        </w:rPr>
        <w:t> </w:t>
      </w:r>
      <w:r>
        <w:rPr>
          <w:color w:val="231F20"/>
          <w:spacing w:val="-2"/>
        </w:rPr>
        <w:t>sociétés,</w:t>
      </w:r>
      <w:r>
        <w:rPr>
          <w:color w:val="231F20"/>
          <w:spacing w:val="-13"/>
        </w:rPr>
        <w:t> </w:t>
      </w:r>
      <w:r>
        <w:rPr>
          <w:color w:val="231F20"/>
          <w:spacing w:val="-2"/>
        </w:rPr>
        <w:t>les</w:t>
      </w:r>
      <w:r>
        <w:rPr>
          <w:color w:val="231F20"/>
          <w:spacing w:val="-13"/>
        </w:rPr>
        <w:t> </w:t>
      </w:r>
      <w:r>
        <w:rPr>
          <w:color w:val="231F20"/>
          <w:spacing w:val="-2"/>
        </w:rPr>
        <w:t>délinquants</w:t>
      </w:r>
      <w:r>
        <w:rPr>
          <w:color w:val="231F20"/>
          <w:spacing w:val="-13"/>
        </w:rPr>
        <w:t> </w:t>
      </w:r>
      <w:r>
        <w:rPr>
          <w:color w:val="231F20"/>
          <w:spacing w:val="-2"/>
        </w:rPr>
        <w:t>(voleurs,</w:t>
      </w:r>
      <w:r>
        <w:rPr>
          <w:color w:val="231F20"/>
          <w:spacing w:val="-13"/>
        </w:rPr>
        <w:t> </w:t>
      </w:r>
      <w:r>
        <w:rPr>
          <w:color w:val="231F20"/>
          <w:spacing w:val="-2"/>
        </w:rPr>
        <w:t>assassins,</w:t>
      </w:r>
      <w:r>
        <w:rPr>
          <w:color w:val="231F20"/>
          <w:spacing w:val="-13"/>
        </w:rPr>
        <w:t> </w:t>
      </w:r>
      <w:r>
        <w:rPr>
          <w:color w:val="231F20"/>
          <w:spacing w:val="-2"/>
        </w:rPr>
        <w:t>adultères,</w:t>
      </w:r>
      <w:r>
        <w:rPr>
          <w:color w:val="231F20"/>
          <w:spacing w:val="-13"/>
        </w:rPr>
        <w:t> </w:t>
      </w:r>
      <w:r>
        <w:rPr>
          <w:color w:val="231F20"/>
          <w:spacing w:val="-2"/>
        </w:rPr>
        <w:t>etc.)</w:t>
      </w:r>
      <w:r>
        <w:rPr>
          <w:color w:val="231F20"/>
          <w:spacing w:val="-13"/>
        </w:rPr>
        <w:t> </w:t>
      </w:r>
      <w:r>
        <w:rPr>
          <w:color w:val="231F20"/>
          <w:spacing w:val="-2"/>
        </w:rPr>
        <w:t>sont </w:t>
      </w:r>
      <w:r>
        <w:rPr>
          <w:color w:val="231F20"/>
        </w:rPr>
        <w:t>donnés à des étrangers pour être éloignés définitivement de la communauté. Cet esclave peut être vendu.</w:t>
      </w:r>
    </w:p>
    <w:p>
      <w:pPr>
        <w:pStyle w:val="BodyText"/>
        <w:spacing w:before="120"/>
        <w:ind w:right="108" w:firstLine="283"/>
      </w:pPr>
      <w:r>
        <w:rPr>
          <w:color w:val="231F20"/>
        </w:rPr>
        <w:t>Certaines</w:t>
      </w:r>
      <w:r>
        <w:rPr>
          <w:color w:val="231F20"/>
          <w:spacing w:val="-10"/>
        </w:rPr>
        <w:t> </w:t>
      </w:r>
      <w:r>
        <w:rPr>
          <w:color w:val="231F20"/>
        </w:rPr>
        <w:t>personnes</w:t>
      </w:r>
      <w:r>
        <w:rPr>
          <w:color w:val="231F20"/>
          <w:spacing w:val="-10"/>
        </w:rPr>
        <w:t> </w:t>
      </w:r>
      <w:r>
        <w:rPr>
          <w:color w:val="231F20"/>
        </w:rPr>
        <w:t>naissent</w:t>
      </w:r>
      <w:r>
        <w:rPr>
          <w:color w:val="231F20"/>
          <w:spacing w:val="-10"/>
        </w:rPr>
        <w:t> </w:t>
      </w:r>
      <w:r>
        <w:rPr>
          <w:color w:val="231F20"/>
        </w:rPr>
        <w:t>esclaves.</w:t>
      </w:r>
      <w:r>
        <w:rPr>
          <w:color w:val="231F20"/>
          <w:spacing w:val="-9"/>
        </w:rPr>
        <w:t> </w:t>
      </w:r>
      <w:r>
        <w:rPr>
          <w:color w:val="231F20"/>
        </w:rPr>
        <w:t>Ce</w:t>
      </w:r>
      <w:r>
        <w:rPr>
          <w:color w:val="231F20"/>
          <w:spacing w:val="-12"/>
        </w:rPr>
        <w:t> </w:t>
      </w:r>
      <w:r>
        <w:rPr>
          <w:color w:val="231F20"/>
        </w:rPr>
        <w:t>sont</w:t>
      </w:r>
      <w:r>
        <w:rPr>
          <w:color w:val="231F20"/>
          <w:spacing w:val="-10"/>
        </w:rPr>
        <w:t> </w:t>
      </w:r>
      <w:r>
        <w:rPr>
          <w:color w:val="231F20"/>
        </w:rPr>
        <w:t>les</w:t>
      </w:r>
      <w:r>
        <w:rPr>
          <w:color w:val="231F20"/>
          <w:spacing w:val="-12"/>
        </w:rPr>
        <w:t> </w:t>
      </w:r>
      <w:r>
        <w:rPr>
          <w:color w:val="231F20"/>
        </w:rPr>
        <w:t>enfants</w:t>
      </w:r>
      <w:r>
        <w:rPr>
          <w:color w:val="231F20"/>
          <w:spacing w:val="-10"/>
        </w:rPr>
        <w:t> </w:t>
      </w:r>
      <w:r>
        <w:rPr>
          <w:color w:val="231F20"/>
        </w:rPr>
        <w:t>d'esclaves </w:t>
      </w:r>
      <w:r>
        <w:rPr>
          <w:color w:val="231F20"/>
          <w:spacing w:val="-2"/>
        </w:rPr>
        <w:t>acquis</w:t>
      </w:r>
      <w:r>
        <w:rPr>
          <w:color w:val="231F20"/>
          <w:spacing w:val="-2"/>
          <w:vertAlign w:val="superscript"/>
        </w:rPr>
        <w:t>19</w:t>
      </w:r>
      <w:r>
        <w:rPr>
          <w:color w:val="231F20"/>
          <w:spacing w:val="-2"/>
          <w:vertAlign w:val="baseline"/>
        </w:rPr>
        <w:t>.</w:t>
      </w:r>
    </w:p>
    <w:p>
      <w:pPr>
        <w:pStyle w:val="BodyText"/>
        <w:spacing w:before="121"/>
        <w:ind w:right="104" w:firstLine="283"/>
      </w:pPr>
      <w:r>
        <w:rPr>
          <w:color w:val="231F20"/>
        </w:rPr>
        <w:t>La traite négrière étant l'activité la plus répandue des échanges </w:t>
      </w:r>
      <w:r>
        <w:rPr>
          <w:color w:val="231F20"/>
          <w:spacing w:val="-4"/>
        </w:rPr>
        <w:t>commerciaux</w:t>
      </w:r>
      <w:r>
        <w:rPr>
          <w:color w:val="231F20"/>
          <w:spacing w:val="-7"/>
        </w:rPr>
        <w:t> </w:t>
      </w:r>
      <w:r>
        <w:rPr>
          <w:color w:val="231F20"/>
          <w:spacing w:val="-4"/>
        </w:rPr>
        <w:t>entre</w:t>
      </w:r>
      <w:r>
        <w:rPr>
          <w:color w:val="231F20"/>
          <w:spacing w:val="-9"/>
        </w:rPr>
        <w:t> </w:t>
      </w:r>
      <w:r>
        <w:rPr>
          <w:color w:val="231F20"/>
          <w:spacing w:val="-4"/>
        </w:rPr>
        <w:t>les</w:t>
      </w:r>
      <w:r>
        <w:rPr>
          <w:color w:val="231F20"/>
          <w:spacing w:val="-11"/>
        </w:rPr>
        <w:t> </w:t>
      </w:r>
      <w:r>
        <w:rPr>
          <w:color w:val="231F20"/>
          <w:spacing w:val="-4"/>
        </w:rPr>
        <w:t>marchands</w:t>
      </w:r>
      <w:r>
        <w:rPr>
          <w:color w:val="231F20"/>
          <w:spacing w:val="-7"/>
        </w:rPr>
        <w:t> </w:t>
      </w:r>
      <w:r>
        <w:rPr>
          <w:color w:val="231F20"/>
          <w:spacing w:val="-4"/>
        </w:rPr>
        <w:t>européens</w:t>
      </w:r>
      <w:r>
        <w:rPr>
          <w:color w:val="231F20"/>
          <w:spacing w:val="-7"/>
        </w:rPr>
        <w:t> </w:t>
      </w:r>
      <w:r>
        <w:rPr>
          <w:color w:val="231F20"/>
          <w:spacing w:val="-4"/>
        </w:rPr>
        <w:t>et</w:t>
      </w:r>
      <w:r>
        <w:rPr>
          <w:color w:val="231F20"/>
          <w:spacing w:val="-9"/>
        </w:rPr>
        <w:t> </w:t>
      </w:r>
      <w:r>
        <w:rPr>
          <w:color w:val="231F20"/>
          <w:spacing w:val="-4"/>
        </w:rPr>
        <w:t>des</w:t>
      </w:r>
      <w:r>
        <w:rPr>
          <w:color w:val="231F20"/>
          <w:spacing w:val="-11"/>
        </w:rPr>
        <w:t> </w:t>
      </w:r>
      <w:r>
        <w:rPr>
          <w:color w:val="231F20"/>
          <w:spacing w:val="-4"/>
        </w:rPr>
        <w:t>populations</w:t>
      </w:r>
      <w:r>
        <w:rPr>
          <w:color w:val="231F20"/>
          <w:spacing w:val="-7"/>
        </w:rPr>
        <w:t> </w:t>
      </w:r>
      <w:r>
        <w:rPr>
          <w:color w:val="231F20"/>
          <w:spacing w:val="-4"/>
        </w:rPr>
        <w:t>africaines </w:t>
      </w:r>
      <w:r>
        <w:rPr>
          <w:color w:val="231F20"/>
          <w:spacing w:val="-2"/>
        </w:rPr>
        <w:t>durant</w:t>
      </w:r>
      <w:r>
        <w:rPr>
          <w:color w:val="231F20"/>
          <w:spacing w:val="-13"/>
        </w:rPr>
        <w:t> </w:t>
      </w:r>
      <w:r>
        <w:rPr>
          <w:color w:val="231F20"/>
          <w:spacing w:val="-2"/>
        </w:rPr>
        <w:t>plus</w:t>
      </w:r>
      <w:r>
        <w:rPr>
          <w:color w:val="231F20"/>
          <w:spacing w:val="-13"/>
        </w:rPr>
        <w:t> </w:t>
      </w:r>
      <w:r>
        <w:rPr>
          <w:color w:val="231F20"/>
          <w:spacing w:val="-2"/>
        </w:rPr>
        <w:t>d’un</w:t>
      </w:r>
      <w:r>
        <w:rPr>
          <w:color w:val="231F20"/>
          <w:spacing w:val="-13"/>
        </w:rPr>
        <w:t> </w:t>
      </w:r>
      <w:r>
        <w:rPr>
          <w:color w:val="231F20"/>
          <w:spacing w:val="-2"/>
        </w:rPr>
        <w:t>siècle</w:t>
      </w:r>
      <w:r>
        <w:rPr>
          <w:color w:val="231F20"/>
          <w:spacing w:val="-13"/>
        </w:rPr>
        <w:t> </w:t>
      </w:r>
      <w:r>
        <w:rPr>
          <w:color w:val="231F20"/>
          <w:spacing w:val="-2"/>
        </w:rPr>
        <w:t>(de</w:t>
      </w:r>
      <w:r>
        <w:rPr>
          <w:color w:val="231F20"/>
          <w:spacing w:val="-13"/>
        </w:rPr>
        <w:t> </w:t>
      </w:r>
      <w:r>
        <w:rPr>
          <w:color w:val="231F20"/>
          <w:spacing w:val="-2"/>
        </w:rPr>
        <w:t>la</w:t>
      </w:r>
      <w:r>
        <w:rPr>
          <w:color w:val="231F20"/>
          <w:spacing w:val="-12"/>
        </w:rPr>
        <w:t> </w:t>
      </w:r>
      <w:r>
        <w:rPr>
          <w:color w:val="231F20"/>
          <w:spacing w:val="-2"/>
        </w:rPr>
        <w:t>fin</w:t>
      </w:r>
      <w:r>
        <w:rPr>
          <w:color w:val="231F20"/>
          <w:spacing w:val="-13"/>
        </w:rPr>
        <w:t> </w:t>
      </w:r>
      <w:r>
        <w:rPr>
          <w:color w:val="231F20"/>
          <w:spacing w:val="-2"/>
        </w:rPr>
        <w:t>du</w:t>
      </w:r>
      <w:r>
        <w:rPr>
          <w:color w:val="231F20"/>
          <w:spacing w:val="-13"/>
        </w:rPr>
        <w:t> </w:t>
      </w:r>
      <w:r>
        <w:rPr>
          <w:color w:val="231F20"/>
          <w:spacing w:val="-2"/>
        </w:rPr>
        <w:t>17ème</w:t>
      </w:r>
      <w:r>
        <w:rPr>
          <w:color w:val="231F20"/>
          <w:spacing w:val="-11"/>
        </w:rPr>
        <w:t> </w:t>
      </w:r>
      <w:r>
        <w:rPr>
          <w:color w:val="231F20"/>
          <w:spacing w:val="-2"/>
        </w:rPr>
        <w:t>au</w:t>
      </w:r>
      <w:r>
        <w:rPr>
          <w:color w:val="231F20"/>
          <w:spacing w:val="-11"/>
        </w:rPr>
        <w:t> </w:t>
      </w:r>
      <w:r>
        <w:rPr>
          <w:color w:val="231F20"/>
          <w:spacing w:val="-2"/>
        </w:rPr>
        <w:t>19ème</w:t>
      </w:r>
      <w:r>
        <w:rPr>
          <w:color w:val="231F20"/>
          <w:spacing w:val="-13"/>
        </w:rPr>
        <w:t> </w:t>
      </w:r>
      <w:r>
        <w:rPr>
          <w:color w:val="231F20"/>
          <w:spacing w:val="-2"/>
        </w:rPr>
        <w:t>siècle),</w:t>
      </w:r>
      <w:r>
        <w:rPr>
          <w:color w:val="231F20"/>
          <w:spacing w:val="-13"/>
        </w:rPr>
        <w:t> </w:t>
      </w:r>
      <w:r>
        <w:rPr>
          <w:color w:val="231F20"/>
          <w:spacing w:val="-2"/>
        </w:rPr>
        <w:t>elle</w:t>
      </w:r>
      <w:r>
        <w:rPr>
          <w:color w:val="231F20"/>
          <w:spacing w:val="-11"/>
        </w:rPr>
        <w:t> </w:t>
      </w:r>
      <w:r>
        <w:rPr>
          <w:color w:val="231F20"/>
          <w:spacing w:val="-2"/>
        </w:rPr>
        <w:t>finit</w:t>
      </w:r>
      <w:r>
        <w:rPr>
          <w:color w:val="231F20"/>
          <w:spacing w:val="-11"/>
        </w:rPr>
        <w:t> </w:t>
      </w:r>
      <w:r>
        <w:rPr>
          <w:color w:val="231F20"/>
          <w:spacing w:val="-2"/>
        </w:rPr>
        <w:t>par </w:t>
      </w:r>
      <w:r>
        <w:rPr>
          <w:color w:val="231F20"/>
        </w:rPr>
        <w:t>détruire les systèmes politiques et sociaux traditionnels des régions, diviser et isoler les populations.</w:t>
      </w:r>
    </w:p>
    <w:p>
      <w:pPr>
        <w:pStyle w:val="BodyText"/>
        <w:spacing w:before="120"/>
        <w:ind w:right="105" w:firstLine="283"/>
      </w:pPr>
      <w:r>
        <w:rPr>
          <w:color w:val="231F20"/>
          <w:spacing w:val="-2"/>
        </w:rPr>
        <w:t>Combien</w:t>
      </w:r>
      <w:r>
        <w:rPr>
          <w:color w:val="231F20"/>
          <w:spacing w:val="-8"/>
        </w:rPr>
        <w:t> </w:t>
      </w:r>
      <w:r>
        <w:rPr>
          <w:color w:val="231F20"/>
          <w:spacing w:val="-2"/>
        </w:rPr>
        <w:t>d’enfants</w:t>
      </w:r>
      <w:r>
        <w:rPr>
          <w:color w:val="231F20"/>
          <w:spacing w:val="-8"/>
        </w:rPr>
        <w:t> </w:t>
      </w:r>
      <w:r>
        <w:rPr>
          <w:color w:val="231F20"/>
          <w:spacing w:val="-2"/>
        </w:rPr>
        <w:t>d’Afrique</w:t>
      </w:r>
      <w:r>
        <w:rPr>
          <w:color w:val="231F20"/>
          <w:spacing w:val="-7"/>
        </w:rPr>
        <w:t> </w:t>
      </w:r>
      <w:r>
        <w:rPr>
          <w:color w:val="231F20"/>
          <w:spacing w:val="-2"/>
        </w:rPr>
        <w:t>ont</w:t>
      </w:r>
      <w:r>
        <w:rPr>
          <w:color w:val="231F20"/>
          <w:spacing w:val="-8"/>
        </w:rPr>
        <w:t> </w:t>
      </w:r>
      <w:r>
        <w:rPr>
          <w:color w:val="231F20"/>
          <w:spacing w:val="-2"/>
        </w:rPr>
        <w:t>été</w:t>
      </w:r>
      <w:r>
        <w:rPr>
          <w:color w:val="231F20"/>
          <w:spacing w:val="-9"/>
        </w:rPr>
        <w:t> </w:t>
      </w:r>
      <w:r>
        <w:rPr>
          <w:color w:val="231F20"/>
          <w:spacing w:val="-2"/>
        </w:rPr>
        <w:t>ainsi</w:t>
      </w:r>
      <w:r>
        <w:rPr>
          <w:color w:val="231F20"/>
          <w:spacing w:val="-8"/>
        </w:rPr>
        <w:t> </w:t>
      </w:r>
      <w:r>
        <w:rPr>
          <w:color w:val="231F20"/>
          <w:spacing w:val="-2"/>
        </w:rPr>
        <w:t>enlevés</w:t>
      </w:r>
      <w:r>
        <w:rPr>
          <w:color w:val="231F20"/>
          <w:spacing w:val="-8"/>
        </w:rPr>
        <w:t> </w:t>
      </w:r>
      <w:r>
        <w:rPr>
          <w:color w:val="231F20"/>
          <w:spacing w:val="-2"/>
        </w:rPr>
        <w:t>de</w:t>
      </w:r>
      <w:r>
        <w:rPr>
          <w:color w:val="231F20"/>
          <w:spacing w:val="-7"/>
        </w:rPr>
        <w:t> </w:t>
      </w:r>
      <w:r>
        <w:rPr>
          <w:color w:val="231F20"/>
          <w:spacing w:val="-2"/>
        </w:rPr>
        <w:t>leur</w:t>
      </w:r>
      <w:r>
        <w:rPr>
          <w:color w:val="231F20"/>
          <w:spacing w:val="-9"/>
        </w:rPr>
        <w:t> </w:t>
      </w:r>
      <w:r>
        <w:rPr>
          <w:color w:val="231F20"/>
          <w:spacing w:val="-2"/>
        </w:rPr>
        <w:t>terre</w:t>
      </w:r>
      <w:r>
        <w:rPr>
          <w:color w:val="231F20"/>
          <w:spacing w:val="-10"/>
        </w:rPr>
        <w:t> </w:t>
      </w:r>
      <w:r>
        <w:rPr>
          <w:color w:val="231F20"/>
          <w:spacing w:val="-2"/>
        </w:rPr>
        <w:t>natale </w:t>
      </w:r>
      <w:r>
        <w:rPr>
          <w:color w:val="231F20"/>
        </w:rPr>
        <w:t>pour servir d’esclaves aux arabes et aux blancs</w:t>
      </w:r>
      <w:r>
        <w:rPr>
          <w:color w:val="231F20"/>
          <w:spacing w:val="-12"/>
        </w:rPr>
        <w:t> </w:t>
      </w:r>
      <w:r>
        <w:rPr>
          <w:color w:val="231F20"/>
        </w:rPr>
        <w:t>? 10 millions</w:t>
      </w:r>
      <w:r>
        <w:rPr>
          <w:color w:val="231F20"/>
          <w:spacing w:val="-11"/>
        </w:rPr>
        <w:t> </w:t>
      </w:r>
      <w:r>
        <w:rPr>
          <w:color w:val="231F20"/>
        </w:rPr>
        <w:t>? 40 millions</w:t>
      </w:r>
      <w:r>
        <w:rPr>
          <w:color w:val="231F20"/>
          <w:spacing w:val="-15"/>
        </w:rPr>
        <w:t> </w:t>
      </w:r>
      <w:r>
        <w:rPr>
          <w:color w:val="231F20"/>
        </w:rPr>
        <w:t>?</w:t>
      </w:r>
      <w:r>
        <w:rPr>
          <w:color w:val="231F20"/>
          <w:spacing w:val="-15"/>
        </w:rPr>
        <w:t> </w:t>
      </w:r>
      <w:r>
        <w:rPr>
          <w:color w:val="231F20"/>
        </w:rPr>
        <w:t>100</w:t>
      </w:r>
      <w:r>
        <w:rPr>
          <w:color w:val="231F20"/>
          <w:spacing w:val="-15"/>
        </w:rPr>
        <w:t> </w:t>
      </w:r>
      <w:r>
        <w:rPr>
          <w:color w:val="231F20"/>
        </w:rPr>
        <w:t>millions</w:t>
      </w:r>
      <w:r>
        <w:rPr>
          <w:color w:val="231F20"/>
          <w:spacing w:val="-15"/>
        </w:rPr>
        <w:t> </w:t>
      </w:r>
      <w:r>
        <w:rPr>
          <w:color w:val="231F20"/>
        </w:rPr>
        <w:t>?</w:t>
      </w:r>
      <w:r>
        <w:rPr>
          <w:color w:val="231F20"/>
          <w:spacing w:val="-14"/>
        </w:rPr>
        <w:t> </w:t>
      </w:r>
      <w:r>
        <w:rPr>
          <w:color w:val="231F20"/>
        </w:rPr>
        <w:t>13</w:t>
      </w:r>
      <w:r>
        <w:rPr>
          <w:color w:val="231F20"/>
          <w:spacing w:val="-10"/>
        </w:rPr>
        <w:t> </w:t>
      </w:r>
      <w:r>
        <w:rPr>
          <w:color w:val="231F20"/>
        </w:rPr>
        <w:t>siècles</w:t>
      </w:r>
      <w:r>
        <w:rPr>
          <w:color w:val="231F20"/>
          <w:spacing w:val="-12"/>
        </w:rPr>
        <w:t> </w:t>
      </w:r>
      <w:r>
        <w:rPr>
          <w:color w:val="231F20"/>
        </w:rPr>
        <w:t>de</w:t>
      </w:r>
      <w:r>
        <w:rPr>
          <w:color w:val="231F20"/>
          <w:spacing w:val="-11"/>
        </w:rPr>
        <w:t> </w:t>
      </w:r>
      <w:r>
        <w:rPr>
          <w:color w:val="231F20"/>
        </w:rPr>
        <w:t>traite</w:t>
      </w:r>
      <w:r>
        <w:rPr>
          <w:color w:val="231F20"/>
          <w:spacing w:val="-10"/>
        </w:rPr>
        <w:t> </w:t>
      </w:r>
      <w:r>
        <w:rPr>
          <w:color w:val="231F20"/>
        </w:rPr>
        <w:t>arabo-musulmane</w:t>
      </w:r>
      <w:r>
        <w:rPr>
          <w:color w:val="231F20"/>
          <w:spacing w:val="-13"/>
        </w:rPr>
        <w:t> </w:t>
      </w:r>
      <w:r>
        <w:rPr>
          <w:color w:val="231F20"/>
        </w:rPr>
        <w:t>suivis</w:t>
      </w:r>
      <w:r>
        <w:rPr>
          <w:color w:val="231F20"/>
          <w:spacing w:val="-10"/>
        </w:rPr>
        <w:t> </w:t>
      </w:r>
      <w:r>
        <w:rPr>
          <w:color w:val="231F20"/>
        </w:rPr>
        <w:t>de 3 siècles de traite par les occidentaux</w:t>
      </w:r>
      <w:r>
        <w:rPr>
          <w:color w:val="231F20"/>
          <w:spacing w:val="-14"/>
        </w:rPr>
        <w:t> </w:t>
      </w:r>
      <w:r>
        <w:rPr>
          <w:color w:val="231F20"/>
        </w:rPr>
        <w:t>: aux millions d'êtres humains arrachés au continent africain et conduits vers des terres étrangères et lointaines, il y a lieu d’additionner tous ceux qui sont morts lors des attaques,</w:t>
      </w:r>
      <w:r>
        <w:rPr>
          <w:color w:val="231F20"/>
          <w:spacing w:val="-8"/>
        </w:rPr>
        <w:t> </w:t>
      </w:r>
      <w:r>
        <w:rPr>
          <w:color w:val="231F20"/>
        </w:rPr>
        <w:t>pendant</w:t>
      </w:r>
      <w:r>
        <w:rPr>
          <w:color w:val="231F20"/>
          <w:spacing w:val="-8"/>
        </w:rPr>
        <w:t> </w:t>
      </w:r>
      <w:r>
        <w:rPr>
          <w:color w:val="231F20"/>
        </w:rPr>
        <w:t>les</w:t>
      </w:r>
      <w:r>
        <w:rPr>
          <w:color w:val="231F20"/>
          <w:spacing w:val="-11"/>
        </w:rPr>
        <w:t> </w:t>
      </w:r>
      <w:r>
        <w:rPr>
          <w:color w:val="231F20"/>
        </w:rPr>
        <w:t>transferts</w:t>
      </w:r>
      <w:r>
        <w:rPr>
          <w:color w:val="231F20"/>
          <w:spacing w:val="-8"/>
        </w:rPr>
        <w:t> </w:t>
      </w:r>
      <w:r>
        <w:rPr>
          <w:color w:val="231F20"/>
        </w:rPr>
        <w:t>de</w:t>
      </w:r>
      <w:r>
        <w:rPr>
          <w:color w:val="231F20"/>
          <w:spacing w:val="-8"/>
        </w:rPr>
        <w:t> </w:t>
      </w:r>
      <w:r>
        <w:rPr>
          <w:color w:val="231F20"/>
        </w:rPr>
        <w:t>l’intérieur</w:t>
      </w:r>
      <w:r>
        <w:rPr>
          <w:color w:val="231F20"/>
          <w:spacing w:val="-8"/>
        </w:rPr>
        <w:t> </w:t>
      </w:r>
      <w:r>
        <w:rPr>
          <w:color w:val="231F20"/>
        </w:rPr>
        <w:t>vers</w:t>
      </w:r>
      <w:r>
        <w:rPr>
          <w:color w:val="231F20"/>
          <w:spacing w:val="-11"/>
        </w:rPr>
        <w:t> </w:t>
      </w:r>
      <w:r>
        <w:rPr>
          <w:color w:val="231F20"/>
        </w:rPr>
        <w:t>les</w:t>
      </w:r>
      <w:r>
        <w:rPr>
          <w:color w:val="231F20"/>
          <w:spacing w:val="-8"/>
        </w:rPr>
        <w:t> </w:t>
      </w:r>
      <w:r>
        <w:rPr>
          <w:color w:val="231F20"/>
        </w:rPr>
        <w:t>points</w:t>
      </w:r>
      <w:r>
        <w:rPr>
          <w:color w:val="231F20"/>
          <w:spacing w:val="-9"/>
        </w:rPr>
        <w:t> </w:t>
      </w:r>
      <w:r>
        <w:rPr>
          <w:color w:val="231F20"/>
        </w:rPr>
        <w:t>de</w:t>
      </w:r>
      <w:r>
        <w:rPr>
          <w:color w:val="231F20"/>
          <w:spacing w:val="-8"/>
        </w:rPr>
        <w:t> </w:t>
      </w:r>
      <w:r>
        <w:rPr>
          <w:color w:val="231F20"/>
        </w:rPr>
        <w:t>départ</w:t>
      </w:r>
      <w:r>
        <w:rPr>
          <w:color w:val="231F20"/>
          <w:spacing w:val="-8"/>
        </w:rPr>
        <w:t> </w:t>
      </w:r>
      <w:r>
        <w:rPr>
          <w:color w:val="231F20"/>
        </w:rPr>
        <w:t>et dans les entrepôts, les suicidés et les révoltés tués au moment de l’embarquement,</w:t>
      </w:r>
      <w:r>
        <w:rPr>
          <w:color w:val="231F20"/>
          <w:spacing w:val="-7"/>
        </w:rPr>
        <w:t> </w:t>
      </w:r>
      <w:r>
        <w:rPr>
          <w:color w:val="231F20"/>
        </w:rPr>
        <w:t>les</w:t>
      </w:r>
      <w:r>
        <w:rPr>
          <w:color w:val="231F20"/>
          <w:spacing w:val="-5"/>
        </w:rPr>
        <w:t> </w:t>
      </w:r>
      <w:r>
        <w:rPr>
          <w:color w:val="231F20"/>
        </w:rPr>
        <w:t>morts</w:t>
      </w:r>
      <w:r>
        <w:rPr>
          <w:color w:val="231F20"/>
          <w:spacing w:val="-5"/>
        </w:rPr>
        <w:t> </w:t>
      </w:r>
      <w:r>
        <w:rPr>
          <w:color w:val="231F20"/>
        </w:rPr>
        <w:t>imputables</w:t>
      </w:r>
      <w:r>
        <w:rPr>
          <w:color w:val="231F20"/>
          <w:spacing w:val="-7"/>
        </w:rPr>
        <w:t> </w:t>
      </w:r>
      <w:r>
        <w:rPr>
          <w:color w:val="231F20"/>
        </w:rPr>
        <w:t>à</w:t>
      </w:r>
      <w:r>
        <w:rPr>
          <w:color w:val="231F20"/>
          <w:spacing w:val="-7"/>
        </w:rPr>
        <w:t> </w:t>
      </w:r>
      <w:r>
        <w:rPr>
          <w:color w:val="231F20"/>
        </w:rPr>
        <w:t>la</w:t>
      </w:r>
      <w:r>
        <w:rPr>
          <w:color w:val="231F20"/>
          <w:spacing w:val="-6"/>
        </w:rPr>
        <w:t> </w:t>
      </w:r>
      <w:r>
        <w:rPr>
          <w:color w:val="231F20"/>
        </w:rPr>
        <w:t>multiplication</w:t>
      </w:r>
      <w:r>
        <w:rPr>
          <w:color w:val="231F20"/>
          <w:spacing w:val="-7"/>
        </w:rPr>
        <w:t> </w:t>
      </w:r>
      <w:r>
        <w:rPr>
          <w:color w:val="231F20"/>
        </w:rPr>
        <w:t>des</w:t>
      </w:r>
      <w:r>
        <w:rPr>
          <w:color w:val="231F20"/>
          <w:spacing w:val="-5"/>
        </w:rPr>
        <w:t> </w:t>
      </w:r>
      <w:r>
        <w:rPr>
          <w:color w:val="231F20"/>
        </w:rPr>
        <w:t>razzias</w:t>
      </w:r>
      <w:r>
        <w:rPr>
          <w:color w:val="231F20"/>
          <w:spacing w:val="-5"/>
        </w:rPr>
        <w:t> </w:t>
      </w:r>
      <w:r>
        <w:rPr>
          <w:color w:val="231F20"/>
        </w:rPr>
        <w:t>et </w:t>
      </w:r>
      <w:r>
        <w:rPr>
          <w:color w:val="231F20"/>
          <w:spacing w:val="-2"/>
        </w:rPr>
        <w:t>des</w:t>
      </w:r>
      <w:r>
        <w:rPr>
          <w:color w:val="231F20"/>
          <w:spacing w:val="-15"/>
        </w:rPr>
        <w:t> </w:t>
      </w:r>
      <w:r>
        <w:rPr>
          <w:color w:val="231F20"/>
          <w:spacing w:val="-2"/>
        </w:rPr>
        <w:t>guerres</w:t>
      </w:r>
      <w:r>
        <w:rPr>
          <w:color w:val="231F20"/>
          <w:spacing w:val="-13"/>
        </w:rPr>
        <w:t> </w:t>
      </w:r>
      <w:r>
        <w:rPr>
          <w:color w:val="231F20"/>
          <w:spacing w:val="-2"/>
        </w:rPr>
        <w:t>intestines</w:t>
      </w:r>
      <w:r>
        <w:rPr>
          <w:color w:val="231F20"/>
          <w:spacing w:val="-13"/>
        </w:rPr>
        <w:t> </w:t>
      </w:r>
      <w:r>
        <w:rPr>
          <w:color w:val="231F20"/>
          <w:spacing w:val="-2"/>
        </w:rPr>
        <w:t>engendrées</w:t>
      </w:r>
      <w:r>
        <w:rPr>
          <w:color w:val="231F20"/>
          <w:spacing w:val="-13"/>
        </w:rPr>
        <w:t> </w:t>
      </w:r>
      <w:r>
        <w:rPr>
          <w:color w:val="231F20"/>
          <w:spacing w:val="-2"/>
        </w:rPr>
        <w:t>par</w:t>
      </w:r>
      <w:r>
        <w:rPr>
          <w:color w:val="231F20"/>
          <w:spacing w:val="-13"/>
        </w:rPr>
        <w:t> </w:t>
      </w:r>
      <w:r>
        <w:rPr>
          <w:color w:val="231F20"/>
          <w:spacing w:val="-2"/>
        </w:rPr>
        <w:t>la</w:t>
      </w:r>
      <w:r>
        <w:rPr>
          <w:color w:val="231F20"/>
          <w:spacing w:val="-13"/>
        </w:rPr>
        <w:t> </w:t>
      </w:r>
      <w:r>
        <w:rPr>
          <w:color w:val="231F20"/>
          <w:spacing w:val="-2"/>
        </w:rPr>
        <w:t>dislocation</w:t>
      </w:r>
      <w:r>
        <w:rPr>
          <w:color w:val="231F20"/>
          <w:spacing w:val="-13"/>
        </w:rPr>
        <w:t> </w:t>
      </w:r>
      <w:r>
        <w:rPr>
          <w:color w:val="231F20"/>
          <w:spacing w:val="-2"/>
        </w:rPr>
        <w:t>des</w:t>
      </w:r>
      <w:r>
        <w:rPr>
          <w:color w:val="231F20"/>
          <w:spacing w:val="-13"/>
        </w:rPr>
        <w:t> </w:t>
      </w:r>
      <w:r>
        <w:rPr>
          <w:color w:val="231F20"/>
          <w:spacing w:val="-2"/>
        </w:rPr>
        <w:t>entités</w:t>
      </w:r>
      <w:r>
        <w:rPr>
          <w:color w:val="231F20"/>
          <w:spacing w:val="-13"/>
        </w:rPr>
        <w:t> </w:t>
      </w:r>
      <w:r>
        <w:rPr>
          <w:color w:val="231F20"/>
          <w:spacing w:val="-2"/>
        </w:rPr>
        <w:t>politiques, les</w:t>
      </w:r>
      <w:r>
        <w:rPr>
          <w:color w:val="231F20"/>
          <w:spacing w:val="-10"/>
        </w:rPr>
        <w:t> </w:t>
      </w:r>
      <w:r>
        <w:rPr>
          <w:color w:val="231F20"/>
          <w:spacing w:val="-2"/>
        </w:rPr>
        <w:t>morts</w:t>
      </w:r>
      <w:r>
        <w:rPr>
          <w:color w:val="231F20"/>
          <w:spacing w:val="-12"/>
        </w:rPr>
        <w:t> </w:t>
      </w:r>
      <w:r>
        <w:rPr>
          <w:color w:val="231F20"/>
          <w:spacing w:val="-2"/>
        </w:rPr>
        <w:t>de</w:t>
      </w:r>
      <w:r>
        <w:rPr>
          <w:color w:val="231F20"/>
          <w:spacing w:val="-10"/>
        </w:rPr>
        <w:t> </w:t>
      </w:r>
      <w:r>
        <w:rPr>
          <w:color w:val="231F20"/>
          <w:spacing w:val="-2"/>
        </w:rPr>
        <w:t>faim</w:t>
      </w:r>
      <w:r>
        <w:rPr>
          <w:color w:val="231F20"/>
          <w:spacing w:val="-10"/>
        </w:rPr>
        <w:t> </w:t>
      </w:r>
      <w:r>
        <w:rPr>
          <w:color w:val="231F20"/>
          <w:spacing w:val="-2"/>
        </w:rPr>
        <w:t>(récoltes</w:t>
      </w:r>
      <w:r>
        <w:rPr>
          <w:color w:val="231F20"/>
          <w:spacing w:val="-9"/>
        </w:rPr>
        <w:t> </w:t>
      </w:r>
      <w:r>
        <w:rPr>
          <w:color w:val="231F20"/>
          <w:spacing w:val="-2"/>
        </w:rPr>
        <w:t>et</w:t>
      </w:r>
      <w:r>
        <w:rPr>
          <w:color w:val="231F20"/>
          <w:spacing w:val="-10"/>
        </w:rPr>
        <w:t> </w:t>
      </w:r>
      <w:r>
        <w:rPr>
          <w:color w:val="231F20"/>
          <w:spacing w:val="-2"/>
        </w:rPr>
        <w:t>réserves</w:t>
      </w:r>
      <w:r>
        <w:rPr>
          <w:color w:val="231F20"/>
          <w:spacing w:val="-9"/>
        </w:rPr>
        <w:t> </w:t>
      </w:r>
      <w:r>
        <w:rPr>
          <w:color w:val="231F20"/>
          <w:spacing w:val="-2"/>
        </w:rPr>
        <w:t>ayant</w:t>
      </w:r>
      <w:r>
        <w:rPr>
          <w:color w:val="231F20"/>
          <w:spacing w:val="-11"/>
        </w:rPr>
        <w:t> </w:t>
      </w:r>
      <w:r>
        <w:rPr>
          <w:color w:val="231F20"/>
          <w:spacing w:val="-2"/>
        </w:rPr>
        <w:t>été</w:t>
      </w:r>
      <w:r>
        <w:rPr>
          <w:color w:val="231F20"/>
          <w:spacing w:val="-10"/>
        </w:rPr>
        <w:t> </w:t>
      </w:r>
      <w:r>
        <w:rPr>
          <w:color w:val="231F20"/>
          <w:spacing w:val="-2"/>
        </w:rPr>
        <w:t>pillées)</w:t>
      </w:r>
      <w:r>
        <w:rPr>
          <w:color w:val="231F20"/>
          <w:spacing w:val="-10"/>
        </w:rPr>
        <w:t> </w:t>
      </w:r>
      <w:r>
        <w:rPr>
          <w:color w:val="231F20"/>
          <w:spacing w:val="-2"/>
        </w:rPr>
        <w:t>et</w:t>
      </w:r>
      <w:r>
        <w:rPr>
          <w:color w:val="231F20"/>
          <w:spacing w:val="-10"/>
        </w:rPr>
        <w:t> </w:t>
      </w:r>
      <w:r>
        <w:rPr>
          <w:color w:val="231F20"/>
          <w:spacing w:val="-2"/>
        </w:rPr>
        <w:t>de</w:t>
      </w:r>
      <w:r>
        <w:rPr>
          <w:color w:val="231F20"/>
          <w:spacing w:val="-13"/>
        </w:rPr>
        <w:t> </w:t>
      </w:r>
      <w:r>
        <w:rPr>
          <w:color w:val="231F20"/>
          <w:spacing w:val="-2"/>
        </w:rPr>
        <w:t>maladies</w:t>
      </w:r>
      <w:r>
        <w:rPr>
          <w:color w:val="231F20"/>
          <w:spacing w:val="-9"/>
        </w:rPr>
        <w:t> </w:t>
      </w:r>
      <w:r>
        <w:rPr>
          <w:color w:val="231F20"/>
          <w:spacing w:val="-2"/>
        </w:rPr>
        <w:t>de </w:t>
      </w:r>
      <w:r>
        <w:rPr>
          <w:color w:val="231F20"/>
        </w:rPr>
        <w:t>toutes sortes…</w:t>
      </w:r>
    </w:p>
    <w:p>
      <w:pPr>
        <w:pStyle w:val="BodyText"/>
        <w:spacing w:before="121"/>
        <w:ind w:right="103" w:firstLine="283"/>
      </w:pPr>
      <w:r>
        <w:rPr>
          <w:color w:val="231F20"/>
        </w:rPr>
        <w:t>Ceux qui détiennent les vrais chiffres ne sont pas en Afrique. Nous </w:t>
      </w:r>
      <w:r>
        <w:rPr>
          <w:color w:val="231F20"/>
          <w:spacing w:val="-2"/>
        </w:rPr>
        <w:t>retenons</w:t>
      </w:r>
      <w:r>
        <w:rPr>
          <w:color w:val="231F20"/>
          <w:spacing w:val="-15"/>
        </w:rPr>
        <w:t> </w:t>
      </w:r>
      <w:r>
        <w:rPr>
          <w:color w:val="231F20"/>
          <w:spacing w:val="-2"/>
        </w:rPr>
        <w:t>que</w:t>
      </w:r>
      <w:r>
        <w:rPr>
          <w:color w:val="231F20"/>
          <w:spacing w:val="-13"/>
        </w:rPr>
        <w:t> </w:t>
      </w:r>
      <w:r>
        <w:rPr>
          <w:color w:val="231F20"/>
          <w:spacing w:val="-2"/>
        </w:rPr>
        <w:t>durant</w:t>
      </w:r>
      <w:r>
        <w:rPr>
          <w:color w:val="231F20"/>
          <w:spacing w:val="-13"/>
        </w:rPr>
        <w:t> </w:t>
      </w:r>
      <w:r>
        <w:rPr>
          <w:color w:val="231F20"/>
          <w:spacing w:val="-2"/>
        </w:rPr>
        <w:t>plusieurs</w:t>
      </w:r>
      <w:r>
        <w:rPr>
          <w:color w:val="231F20"/>
          <w:spacing w:val="-13"/>
        </w:rPr>
        <w:t> </w:t>
      </w:r>
      <w:r>
        <w:rPr>
          <w:color w:val="231F20"/>
          <w:spacing w:val="-2"/>
        </w:rPr>
        <w:t>siècles,</w:t>
      </w:r>
      <w:r>
        <w:rPr>
          <w:color w:val="231F20"/>
          <w:spacing w:val="-13"/>
        </w:rPr>
        <w:t> </w:t>
      </w:r>
      <w:r>
        <w:rPr>
          <w:color w:val="231F20"/>
          <w:spacing w:val="-2"/>
        </w:rPr>
        <w:t>des</w:t>
      </w:r>
      <w:r>
        <w:rPr>
          <w:color w:val="231F20"/>
          <w:spacing w:val="-13"/>
        </w:rPr>
        <w:t> </w:t>
      </w:r>
      <w:r>
        <w:rPr>
          <w:color w:val="231F20"/>
          <w:spacing w:val="-2"/>
        </w:rPr>
        <w:t>caravanes</w:t>
      </w:r>
      <w:r>
        <w:rPr>
          <w:color w:val="231F20"/>
          <w:spacing w:val="-13"/>
        </w:rPr>
        <w:t> </w:t>
      </w:r>
      <w:r>
        <w:rPr>
          <w:color w:val="231F20"/>
          <w:spacing w:val="-2"/>
        </w:rPr>
        <w:t>arabes</w:t>
      </w:r>
      <w:r>
        <w:rPr>
          <w:color w:val="231F20"/>
          <w:spacing w:val="-13"/>
        </w:rPr>
        <w:t> </w:t>
      </w:r>
      <w:r>
        <w:rPr>
          <w:color w:val="231F20"/>
          <w:spacing w:val="-2"/>
        </w:rPr>
        <w:t>ont</w:t>
      </w:r>
      <w:r>
        <w:rPr>
          <w:color w:val="231F20"/>
          <w:spacing w:val="-13"/>
        </w:rPr>
        <w:t> </w:t>
      </w:r>
      <w:r>
        <w:rPr>
          <w:color w:val="231F20"/>
          <w:spacing w:val="-2"/>
        </w:rPr>
        <w:t>traversé</w:t>
      </w:r>
      <w:r>
        <w:rPr>
          <w:color w:val="231F20"/>
          <w:spacing w:val="-13"/>
        </w:rPr>
        <w:t> </w:t>
      </w:r>
      <w:r>
        <w:rPr>
          <w:color w:val="231F20"/>
          <w:spacing w:val="-2"/>
        </w:rPr>
        <w:t>le </w:t>
      </w:r>
      <w:r>
        <w:rPr>
          <w:color w:val="231F20"/>
        </w:rPr>
        <w:t>Sahara pour ramener des esclaves noirs dans tout le Maghreb, des </w:t>
      </w:r>
      <w:r>
        <w:rPr>
          <w:color w:val="231F20"/>
          <w:spacing w:val="-2"/>
        </w:rPr>
        <w:t>Européens</w:t>
      </w:r>
      <w:r>
        <w:rPr>
          <w:color w:val="231F20"/>
          <w:spacing w:val="-11"/>
        </w:rPr>
        <w:t> </w:t>
      </w:r>
      <w:r>
        <w:rPr>
          <w:color w:val="231F20"/>
          <w:spacing w:val="-2"/>
        </w:rPr>
        <w:t>ont</w:t>
      </w:r>
      <w:r>
        <w:rPr>
          <w:color w:val="231F20"/>
          <w:spacing w:val="-10"/>
        </w:rPr>
        <w:t> </w:t>
      </w:r>
      <w:r>
        <w:rPr>
          <w:color w:val="231F20"/>
          <w:spacing w:val="-2"/>
        </w:rPr>
        <w:t>bravé</w:t>
      </w:r>
      <w:r>
        <w:rPr>
          <w:color w:val="231F20"/>
          <w:spacing w:val="-12"/>
        </w:rPr>
        <w:t> </w:t>
      </w:r>
      <w:r>
        <w:rPr>
          <w:color w:val="231F20"/>
          <w:spacing w:val="-2"/>
        </w:rPr>
        <w:t>les</w:t>
      </w:r>
      <w:r>
        <w:rPr>
          <w:color w:val="231F20"/>
          <w:spacing w:val="-13"/>
        </w:rPr>
        <w:t> </w:t>
      </w:r>
      <w:r>
        <w:rPr>
          <w:color w:val="231F20"/>
          <w:spacing w:val="-2"/>
        </w:rPr>
        <w:t>mers</w:t>
      </w:r>
      <w:r>
        <w:rPr>
          <w:color w:val="231F20"/>
          <w:spacing w:val="-11"/>
        </w:rPr>
        <w:t> </w:t>
      </w:r>
      <w:r>
        <w:rPr>
          <w:color w:val="231F20"/>
          <w:spacing w:val="-2"/>
        </w:rPr>
        <w:t>pour</w:t>
      </w:r>
      <w:r>
        <w:rPr>
          <w:color w:val="231F20"/>
          <w:spacing w:val="-12"/>
        </w:rPr>
        <w:t> </w:t>
      </w:r>
      <w:r>
        <w:rPr>
          <w:color w:val="231F20"/>
          <w:spacing w:val="-2"/>
        </w:rPr>
        <w:t>se</w:t>
      </w:r>
      <w:r>
        <w:rPr>
          <w:color w:val="231F20"/>
          <w:spacing w:val="-12"/>
        </w:rPr>
        <w:t> </w:t>
      </w:r>
      <w:r>
        <w:rPr>
          <w:color w:val="231F20"/>
          <w:spacing w:val="-2"/>
        </w:rPr>
        <w:t>rendre</w:t>
      </w:r>
      <w:r>
        <w:rPr>
          <w:color w:val="231F20"/>
          <w:spacing w:val="-11"/>
        </w:rPr>
        <w:t> </w:t>
      </w:r>
      <w:r>
        <w:rPr>
          <w:color w:val="231F20"/>
          <w:spacing w:val="-2"/>
        </w:rPr>
        <w:t>sur</w:t>
      </w:r>
      <w:r>
        <w:rPr>
          <w:color w:val="231F20"/>
          <w:spacing w:val="-11"/>
        </w:rPr>
        <w:t> </w:t>
      </w:r>
      <w:r>
        <w:rPr>
          <w:color w:val="231F20"/>
          <w:spacing w:val="-2"/>
        </w:rPr>
        <w:t>les</w:t>
      </w:r>
      <w:r>
        <w:rPr>
          <w:color w:val="231F20"/>
          <w:spacing w:val="-8"/>
        </w:rPr>
        <w:t> </w:t>
      </w:r>
      <w:r>
        <w:rPr>
          <w:color w:val="231F20"/>
          <w:spacing w:val="-2"/>
        </w:rPr>
        <w:t>côtes</w:t>
      </w:r>
      <w:r>
        <w:rPr>
          <w:color w:val="231F20"/>
          <w:spacing w:val="-11"/>
        </w:rPr>
        <w:t> </w:t>
      </w:r>
      <w:r>
        <w:rPr>
          <w:color w:val="231F20"/>
          <w:spacing w:val="-2"/>
        </w:rPr>
        <w:t>d’Afrique.</w:t>
      </w:r>
      <w:r>
        <w:rPr>
          <w:color w:val="231F20"/>
          <w:spacing w:val="-9"/>
        </w:rPr>
        <w:t> </w:t>
      </w:r>
      <w:r>
        <w:rPr>
          <w:color w:val="231F20"/>
          <w:spacing w:val="-2"/>
        </w:rPr>
        <w:t>Ils</w:t>
      </w:r>
      <w:r>
        <w:rPr>
          <w:color w:val="231F20"/>
          <w:spacing w:val="-11"/>
        </w:rPr>
        <w:t> </w:t>
      </w:r>
      <w:r>
        <w:rPr>
          <w:color w:val="231F20"/>
          <w:spacing w:val="-2"/>
        </w:rPr>
        <w:t>y </w:t>
      </w:r>
      <w:r>
        <w:rPr>
          <w:color w:val="231F20"/>
        </w:rPr>
        <w:t>ont massacré, avec un plaisir morbide les populations autochtones, nié leur</w:t>
      </w:r>
      <w:r>
        <w:rPr>
          <w:color w:val="231F20"/>
          <w:spacing w:val="-5"/>
        </w:rPr>
        <w:t> </w:t>
      </w:r>
      <w:r>
        <w:rPr>
          <w:color w:val="231F20"/>
        </w:rPr>
        <w:t>humanité</w:t>
      </w:r>
      <w:r>
        <w:rPr>
          <w:color w:val="231F20"/>
          <w:spacing w:val="-5"/>
        </w:rPr>
        <w:t> </w:t>
      </w:r>
      <w:r>
        <w:rPr>
          <w:color w:val="231F20"/>
        </w:rPr>
        <w:t>voire</w:t>
      </w:r>
      <w:r>
        <w:rPr>
          <w:color w:val="231F20"/>
          <w:spacing w:val="-5"/>
        </w:rPr>
        <w:t> </w:t>
      </w:r>
      <w:r>
        <w:rPr>
          <w:color w:val="231F20"/>
        </w:rPr>
        <w:t>leur</w:t>
      </w:r>
      <w:r>
        <w:rPr>
          <w:color w:val="231F20"/>
          <w:spacing w:val="-8"/>
        </w:rPr>
        <w:t> </w:t>
      </w:r>
      <w:r>
        <w:rPr>
          <w:color w:val="231F20"/>
        </w:rPr>
        <w:t>nature</w:t>
      </w:r>
      <w:r>
        <w:rPr>
          <w:color w:val="231F20"/>
          <w:spacing w:val="-6"/>
        </w:rPr>
        <w:t> </w:t>
      </w:r>
      <w:r>
        <w:rPr>
          <w:color w:val="231F20"/>
        </w:rPr>
        <w:t>humaine</w:t>
      </w:r>
      <w:r>
        <w:rPr>
          <w:color w:val="231F20"/>
          <w:spacing w:val="-3"/>
        </w:rPr>
        <w:t> </w:t>
      </w:r>
      <w:r>
        <w:rPr>
          <w:color w:val="231F20"/>
        </w:rPr>
        <w:t>et</w:t>
      </w:r>
      <w:r>
        <w:rPr>
          <w:color w:val="231F20"/>
          <w:spacing w:val="-3"/>
        </w:rPr>
        <w:t> </w:t>
      </w:r>
      <w:r>
        <w:rPr>
          <w:color w:val="231F20"/>
        </w:rPr>
        <w:t>leurs</w:t>
      </w:r>
      <w:r>
        <w:rPr>
          <w:color w:val="231F20"/>
          <w:spacing w:val="-3"/>
        </w:rPr>
        <w:t> </w:t>
      </w:r>
      <w:r>
        <w:rPr>
          <w:color w:val="231F20"/>
        </w:rPr>
        <w:t>cultures.</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42"/>
        <w:ind w:left="0"/>
        <w:jc w:val="left"/>
        <w:rPr>
          <w:sz w:val="20"/>
        </w:rPr>
      </w:pPr>
      <w:r>
        <w:rPr/>
        <mc:AlternateContent>
          <mc:Choice Requires="wps">
            <w:drawing>
              <wp:anchor distT="0" distB="0" distL="0" distR="0" allowOverlap="1" layoutInCell="1" locked="0" behindDoc="1" simplePos="0" relativeHeight="487593984">
                <wp:simplePos x="0" y="0"/>
                <wp:positionH relativeFrom="page">
                  <wp:posOffset>629907</wp:posOffset>
                </wp:positionH>
                <wp:positionV relativeFrom="paragraph">
                  <wp:posOffset>188165</wp:posOffset>
                </wp:positionV>
                <wp:extent cx="1829435" cy="9525"/>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816211pt;width:144.020pt;height:.72pt;mso-position-horizontal-relative:page;mso-position-vertical-relative:paragraph;z-index:-15722496;mso-wrap-distance-left:0;mso-wrap-distance-right:0" id="docshape21" filled="true" fillcolor="#231f20" stroked="false">
                <v:fill type="solid"/>
                <w10:wrap type="topAndBottom"/>
              </v:rect>
            </w:pict>
          </mc:Fallback>
        </mc:AlternateContent>
      </w:r>
    </w:p>
    <w:p>
      <w:pPr>
        <w:spacing w:before="94"/>
        <w:ind w:left="111" w:right="0" w:hanging="1"/>
        <w:jc w:val="left"/>
        <w:rPr>
          <w:sz w:val="20"/>
        </w:rPr>
      </w:pPr>
      <w:r>
        <w:rPr>
          <w:color w:val="76787A"/>
          <w:sz w:val="20"/>
          <w:vertAlign w:val="superscript"/>
        </w:rPr>
        <w:t>19</w:t>
      </w:r>
      <w:r>
        <w:rPr>
          <w:color w:val="76787A"/>
          <w:spacing w:val="-3"/>
          <w:sz w:val="20"/>
          <w:vertAlign w:val="baseline"/>
        </w:rPr>
        <w:t> </w:t>
      </w:r>
      <w:r>
        <w:rPr>
          <w:color w:val="231F20"/>
          <w:sz w:val="20"/>
          <w:vertAlign w:val="baseline"/>
        </w:rPr>
        <w:t>Source</w:t>
      </w:r>
      <w:r>
        <w:rPr>
          <w:color w:val="231F20"/>
          <w:spacing w:val="-13"/>
          <w:sz w:val="20"/>
          <w:vertAlign w:val="baseline"/>
        </w:rPr>
        <w:t> </w:t>
      </w:r>
      <w:r>
        <w:rPr>
          <w:color w:val="231F20"/>
          <w:sz w:val="20"/>
          <w:vertAlign w:val="baseline"/>
        </w:rPr>
        <w:t>:</w:t>
      </w:r>
      <w:r>
        <w:rPr>
          <w:color w:val="231F20"/>
          <w:spacing w:val="17"/>
          <w:sz w:val="20"/>
          <w:vertAlign w:val="baseline"/>
        </w:rPr>
        <w:t> </w:t>
      </w:r>
      <w:r>
        <w:rPr>
          <w:color w:val="231F20"/>
          <w:sz w:val="20"/>
          <w:vertAlign w:val="baseline"/>
        </w:rPr>
        <w:t>Collection</w:t>
      </w:r>
      <w:r>
        <w:rPr>
          <w:color w:val="231F20"/>
          <w:spacing w:val="14"/>
          <w:sz w:val="20"/>
          <w:vertAlign w:val="baseline"/>
        </w:rPr>
        <w:t> </w:t>
      </w:r>
      <w:r>
        <w:rPr>
          <w:color w:val="231F20"/>
          <w:sz w:val="20"/>
          <w:vertAlign w:val="baseline"/>
        </w:rPr>
        <w:t>dirigée</w:t>
      </w:r>
      <w:r>
        <w:rPr>
          <w:color w:val="231F20"/>
          <w:spacing w:val="14"/>
          <w:sz w:val="20"/>
          <w:vertAlign w:val="baseline"/>
        </w:rPr>
        <w:t> </w:t>
      </w:r>
      <w:r>
        <w:rPr>
          <w:color w:val="231F20"/>
          <w:sz w:val="20"/>
          <w:vertAlign w:val="baseline"/>
        </w:rPr>
        <w:t>par</w:t>
      </w:r>
      <w:r>
        <w:rPr>
          <w:color w:val="231F20"/>
          <w:spacing w:val="16"/>
          <w:sz w:val="20"/>
          <w:vertAlign w:val="baseline"/>
        </w:rPr>
        <w:t> </w:t>
      </w:r>
      <w:r>
        <w:rPr>
          <w:color w:val="231F20"/>
          <w:sz w:val="20"/>
          <w:vertAlign w:val="baseline"/>
        </w:rPr>
        <w:t>Pierre</w:t>
      </w:r>
      <w:r>
        <w:rPr>
          <w:color w:val="231F20"/>
          <w:spacing w:val="15"/>
          <w:sz w:val="20"/>
          <w:vertAlign w:val="baseline"/>
        </w:rPr>
        <w:t> </w:t>
      </w:r>
      <w:r>
        <w:rPr>
          <w:color w:val="231F20"/>
          <w:sz w:val="20"/>
          <w:vertAlign w:val="baseline"/>
        </w:rPr>
        <w:t>Kipré,</w:t>
      </w:r>
      <w:r>
        <w:rPr>
          <w:color w:val="231F20"/>
          <w:spacing w:val="14"/>
          <w:sz w:val="20"/>
          <w:vertAlign w:val="baseline"/>
        </w:rPr>
        <w:t> </w:t>
      </w:r>
      <w:r>
        <w:rPr>
          <w:color w:val="231F20"/>
          <w:sz w:val="20"/>
          <w:vertAlign w:val="baseline"/>
        </w:rPr>
        <w:t>histoire</w:t>
      </w:r>
      <w:r>
        <w:rPr>
          <w:color w:val="231F20"/>
          <w:spacing w:val="14"/>
          <w:sz w:val="20"/>
          <w:vertAlign w:val="baseline"/>
        </w:rPr>
        <w:t> </w:t>
      </w:r>
      <w:r>
        <w:rPr>
          <w:color w:val="231F20"/>
          <w:sz w:val="20"/>
          <w:vertAlign w:val="baseline"/>
        </w:rPr>
        <w:t>de</w:t>
      </w:r>
      <w:r>
        <w:rPr>
          <w:color w:val="231F20"/>
          <w:spacing w:val="16"/>
          <w:sz w:val="20"/>
          <w:vertAlign w:val="baseline"/>
        </w:rPr>
        <w:t> </w:t>
      </w:r>
      <w:r>
        <w:rPr>
          <w:color w:val="231F20"/>
          <w:sz w:val="20"/>
          <w:vertAlign w:val="baseline"/>
        </w:rPr>
        <w:t>la</w:t>
      </w:r>
      <w:r>
        <w:rPr>
          <w:color w:val="231F20"/>
          <w:spacing w:val="14"/>
          <w:sz w:val="20"/>
          <w:vertAlign w:val="baseline"/>
        </w:rPr>
        <w:t> </w:t>
      </w:r>
      <w:r>
        <w:rPr>
          <w:color w:val="231F20"/>
          <w:sz w:val="20"/>
          <w:vertAlign w:val="baseline"/>
        </w:rPr>
        <w:t>côte</w:t>
      </w:r>
      <w:r>
        <w:rPr>
          <w:color w:val="231F20"/>
          <w:spacing w:val="14"/>
          <w:sz w:val="20"/>
          <w:vertAlign w:val="baseline"/>
        </w:rPr>
        <w:t> </w:t>
      </w:r>
      <w:r>
        <w:rPr>
          <w:color w:val="231F20"/>
          <w:sz w:val="20"/>
          <w:vertAlign w:val="baseline"/>
        </w:rPr>
        <w:t>d’ivoire,</w:t>
      </w:r>
      <w:r>
        <w:rPr>
          <w:color w:val="231F20"/>
          <w:spacing w:val="16"/>
          <w:sz w:val="20"/>
          <w:vertAlign w:val="baseline"/>
        </w:rPr>
        <w:t> </w:t>
      </w:r>
      <w:r>
        <w:rPr>
          <w:color w:val="231F20"/>
          <w:sz w:val="20"/>
          <w:vertAlign w:val="baseline"/>
        </w:rPr>
        <w:t>La</w:t>
      </w:r>
      <w:r>
        <w:rPr>
          <w:color w:val="231F20"/>
          <w:spacing w:val="15"/>
          <w:sz w:val="20"/>
          <w:vertAlign w:val="baseline"/>
        </w:rPr>
        <w:t> </w:t>
      </w:r>
      <w:r>
        <w:rPr>
          <w:color w:val="231F20"/>
          <w:sz w:val="20"/>
          <w:vertAlign w:val="baseline"/>
        </w:rPr>
        <w:t>Côte d’ivoire et la traite négrière,ed. AMI, p.50</w:t>
      </w:r>
    </w:p>
    <w:p>
      <w:pPr>
        <w:spacing w:after="0"/>
        <w:jc w:val="left"/>
        <w:rPr>
          <w:sz w:val="20"/>
        </w:rPr>
        <w:sectPr>
          <w:pgSz w:w="8790" w:h="13610"/>
          <w:pgMar w:header="0" w:footer="802" w:top="1060" w:bottom="1000" w:left="880" w:right="880"/>
        </w:sectPr>
      </w:pPr>
    </w:p>
    <w:p>
      <w:pPr>
        <w:pStyle w:val="BodyText"/>
        <w:spacing w:before="4"/>
        <w:ind w:left="0"/>
        <w:jc w:val="left"/>
        <w:rPr>
          <w:sz w:val="17"/>
        </w:rPr>
      </w:pPr>
    </w:p>
    <w:p>
      <w:pPr>
        <w:spacing w:after="0"/>
        <w:jc w:val="left"/>
        <w:rPr>
          <w:sz w:val="17"/>
        </w:rPr>
        <w:sectPr>
          <w:footerReference w:type="even" r:id="rId24"/>
          <w:pgSz w:w="8790" w:h="13610"/>
          <w:pgMar w:header="0" w:footer="0" w:top="1540" w:bottom="280" w:left="880" w:right="880"/>
        </w:sectPr>
      </w:pPr>
    </w:p>
    <w:p>
      <w:pPr>
        <w:spacing w:before="88"/>
        <w:ind w:left="2685" w:right="2679" w:firstLine="0"/>
        <w:jc w:val="center"/>
        <w:rPr>
          <w:rFonts w:ascii="Cambria" w:hAnsi="Cambria"/>
          <w:b/>
          <w:sz w:val="32"/>
        </w:rPr>
      </w:pPr>
      <w:r>
        <w:rPr>
          <w:rFonts w:ascii="Cambria" w:hAnsi="Cambria"/>
          <w:b/>
          <w:color w:val="231F20"/>
          <w:spacing w:val="-2"/>
          <w:sz w:val="32"/>
        </w:rPr>
        <w:t>Chapitre</w:t>
      </w:r>
      <w:r>
        <w:rPr>
          <w:rFonts w:ascii="Cambria" w:hAnsi="Cambria"/>
          <w:b/>
          <w:color w:val="231F20"/>
          <w:spacing w:val="-16"/>
          <w:sz w:val="32"/>
        </w:rPr>
        <w:t> </w:t>
      </w:r>
      <w:r>
        <w:rPr>
          <w:rFonts w:ascii="Cambria" w:hAnsi="Cambria"/>
          <w:b/>
          <w:color w:val="231F20"/>
          <w:spacing w:val="-2"/>
          <w:sz w:val="32"/>
        </w:rPr>
        <w:t>2 </w:t>
      </w:r>
      <w:r>
        <w:rPr>
          <w:rFonts w:ascii="Cambria" w:hAnsi="Cambria"/>
          <w:b/>
          <w:color w:val="231F20"/>
          <w:sz w:val="32"/>
        </w:rPr>
        <w:t>LA CURÉE</w:t>
      </w:r>
    </w:p>
    <w:p>
      <w:pPr>
        <w:pStyle w:val="BodyText"/>
        <w:spacing w:before="274"/>
        <w:ind w:left="0"/>
        <w:jc w:val="left"/>
        <w:rPr>
          <w:rFonts w:ascii="Cambria"/>
          <w:b/>
          <w:sz w:val="32"/>
        </w:rPr>
      </w:pPr>
    </w:p>
    <w:p>
      <w:pPr>
        <w:pStyle w:val="Heading3"/>
        <w:ind w:left="0" w:right="107"/>
        <w:jc w:val="right"/>
        <w:rPr>
          <w:rFonts w:ascii="Times New Roman" w:hAnsi="Times New Roman"/>
          <w:i/>
        </w:rPr>
      </w:pPr>
      <w:r>
        <w:rPr>
          <w:rFonts w:ascii="Times New Roman" w:hAnsi="Times New Roman"/>
          <w:i/>
          <w:color w:val="231F20"/>
          <w:spacing w:val="-4"/>
        </w:rPr>
        <w:t>«Civilisation,</w:t>
      </w:r>
      <w:r>
        <w:rPr>
          <w:rFonts w:ascii="Times New Roman" w:hAnsi="Times New Roman"/>
          <w:i/>
          <w:color w:val="231F20"/>
          <w:spacing w:val="3"/>
        </w:rPr>
        <w:t> </w:t>
      </w:r>
      <w:r>
        <w:rPr>
          <w:rFonts w:ascii="Times New Roman" w:hAnsi="Times New Roman"/>
          <w:i/>
          <w:color w:val="231F20"/>
          <w:spacing w:val="-4"/>
        </w:rPr>
        <w:t>civilisation,</w:t>
      </w:r>
      <w:r>
        <w:rPr>
          <w:rFonts w:ascii="Times New Roman" w:hAnsi="Times New Roman"/>
          <w:i/>
          <w:color w:val="231F20"/>
        </w:rPr>
        <w:t> </w:t>
      </w:r>
      <w:r>
        <w:rPr>
          <w:rFonts w:ascii="Times New Roman" w:hAnsi="Times New Roman"/>
          <w:i/>
          <w:color w:val="231F20"/>
          <w:spacing w:val="-4"/>
        </w:rPr>
        <w:t>orgueil</w:t>
      </w:r>
      <w:r>
        <w:rPr>
          <w:rFonts w:ascii="Times New Roman" w:hAnsi="Times New Roman"/>
          <w:i/>
          <w:color w:val="231F20"/>
          <w:spacing w:val="1"/>
        </w:rPr>
        <w:t> </w:t>
      </w:r>
      <w:r>
        <w:rPr>
          <w:rFonts w:ascii="Times New Roman" w:hAnsi="Times New Roman"/>
          <w:i/>
          <w:color w:val="231F20"/>
          <w:spacing w:val="-4"/>
        </w:rPr>
        <w:t>des</w:t>
      </w:r>
      <w:r>
        <w:rPr>
          <w:rFonts w:ascii="Times New Roman" w:hAnsi="Times New Roman"/>
          <w:i/>
          <w:color w:val="231F20"/>
          <w:spacing w:val="3"/>
        </w:rPr>
        <w:t> </w:t>
      </w:r>
      <w:r>
        <w:rPr>
          <w:rFonts w:ascii="Times New Roman" w:hAnsi="Times New Roman"/>
          <w:i/>
          <w:color w:val="231F20"/>
          <w:spacing w:val="-4"/>
        </w:rPr>
        <w:t>européens</w:t>
      </w:r>
      <w:r>
        <w:rPr>
          <w:rFonts w:ascii="Times New Roman" w:hAnsi="Times New Roman"/>
          <w:i/>
          <w:color w:val="231F20"/>
        </w:rPr>
        <w:t> </w:t>
      </w:r>
      <w:r>
        <w:rPr>
          <w:rFonts w:ascii="Times New Roman" w:hAnsi="Times New Roman"/>
          <w:i/>
          <w:color w:val="231F20"/>
          <w:spacing w:val="-4"/>
        </w:rPr>
        <w:t>et</w:t>
      </w:r>
      <w:r>
        <w:rPr>
          <w:rFonts w:ascii="Times New Roman" w:hAnsi="Times New Roman"/>
          <w:i/>
          <w:color w:val="231F20"/>
          <w:spacing w:val="1"/>
        </w:rPr>
        <w:t> </w:t>
      </w:r>
      <w:r>
        <w:rPr>
          <w:rFonts w:ascii="Times New Roman" w:hAnsi="Times New Roman"/>
          <w:i/>
          <w:color w:val="231F20"/>
          <w:spacing w:val="-4"/>
        </w:rPr>
        <w:t>leur</w:t>
      </w:r>
      <w:r>
        <w:rPr>
          <w:rFonts w:ascii="Times New Roman" w:hAnsi="Times New Roman"/>
          <w:i/>
          <w:color w:val="231F20"/>
          <w:spacing w:val="1"/>
        </w:rPr>
        <w:t> </w:t>
      </w:r>
      <w:r>
        <w:rPr>
          <w:rFonts w:ascii="Times New Roman" w:hAnsi="Times New Roman"/>
          <w:i/>
          <w:color w:val="231F20"/>
          <w:spacing w:val="-4"/>
        </w:rPr>
        <w:t>charnier</w:t>
      </w:r>
    </w:p>
    <w:p>
      <w:pPr>
        <w:spacing w:before="0"/>
        <w:ind w:left="0" w:right="111" w:firstLine="0"/>
        <w:jc w:val="right"/>
        <w:rPr>
          <w:b/>
          <w:i/>
          <w:sz w:val="24"/>
        </w:rPr>
      </w:pPr>
      <w:r>
        <w:rPr>
          <w:b/>
          <w:i/>
          <w:color w:val="231F20"/>
          <w:spacing w:val="-2"/>
          <w:sz w:val="24"/>
        </w:rPr>
        <w:t>d’innocents</w:t>
      </w:r>
      <w:r>
        <w:rPr>
          <w:b/>
          <w:i/>
          <w:color w:val="231F20"/>
          <w:spacing w:val="-11"/>
          <w:sz w:val="24"/>
        </w:rPr>
        <w:t> </w:t>
      </w:r>
      <w:r>
        <w:rPr>
          <w:b/>
          <w:i/>
          <w:color w:val="231F20"/>
          <w:spacing w:val="-2"/>
          <w:sz w:val="24"/>
        </w:rPr>
        <w:t>(...)</w:t>
      </w:r>
      <w:r>
        <w:rPr>
          <w:b/>
          <w:i/>
          <w:color w:val="231F20"/>
          <w:spacing w:val="-10"/>
          <w:sz w:val="24"/>
        </w:rPr>
        <w:t> </w:t>
      </w:r>
      <w:r>
        <w:rPr>
          <w:b/>
          <w:i/>
          <w:color w:val="231F20"/>
          <w:spacing w:val="-2"/>
          <w:sz w:val="24"/>
        </w:rPr>
        <w:t>Tu</w:t>
      </w:r>
      <w:r>
        <w:rPr>
          <w:b/>
          <w:i/>
          <w:color w:val="231F20"/>
          <w:spacing w:val="-9"/>
          <w:sz w:val="24"/>
        </w:rPr>
        <w:t> </w:t>
      </w:r>
      <w:r>
        <w:rPr>
          <w:b/>
          <w:i/>
          <w:color w:val="231F20"/>
          <w:spacing w:val="-2"/>
          <w:sz w:val="24"/>
        </w:rPr>
        <w:t>bâtis</w:t>
      </w:r>
      <w:r>
        <w:rPr>
          <w:b/>
          <w:i/>
          <w:color w:val="231F20"/>
          <w:spacing w:val="-9"/>
          <w:sz w:val="24"/>
        </w:rPr>
        <w:t> </w:t>
      </w:r>
      <w:r>
        <w:rPr>
          <w:b/>
          <w:i/>
          <w:color w:val="231F20"/>
          <w:spacing w:val="-2"/>
          <w:sz w:val="24"/>
        </w:rPr>
        <w:t>ton</w:t>
      </w:r>
      <w:r>
        <w:rPr>
          <w:b/>
          <w:i/>
          <w:color w:val="231F20"/>
          <w:spacing w:val="-8"/>
          <w:sz w:val="24"/>
        </w:rPr>
        <w:t> </w:t>
      </w:r>
      <w:r>
        <w:rPr>
          <w:b/>
          <w:i/>
          <w:color w:val="231F20"/>
          <w:spacing w:val="-2"/>
          <w:sz w:val="24"/>
        </w:rPr>
        <w:t>royaume</w:t>
      </w:r>
      <w:r>
        <w:rPr>
          <w:b/>
          <w:i/>
          <w:color w:val="231F20"/>
          <w:spacing w:val="-10"/>
          <w:sz w:val="24"/>
        </w:rPr>
        <w:t> </w:t>
      </w:r>
      <w:r>
        <w:rPr>
          <w:b/>
          <w:i/>
          <w:color w:val="231F20"/>
          <w:spacing w:val="-2"/>
          <w:sz w:val="24"/>
        </w:rPr>
        <w:t>sur</w:t>
      </w:r>
      <w:r>
        <w:rPr>
          <w:b/>
          <w:i/>
          <w:color w:val="231F20"/>
          <w:spacing w:val="-8"/>
          <w:sz w:val="24"/>
        </w:rPr>
        <w:t> </w:t>
      </w:r>
      <w:r>
        <w:rPr>
          <w:b/>
          <w:i/>
          <w:color w:val="231F20"/>
          <w:spacing w:val="-2"/>
          <w:sz w:val="24"/>
        </w:rPr>
        <w:t>des</w:t>
      </w:r>
      <w:r>
        <w:rPr>
          <w:b/>
          <w:i/>
          <w:color w:val="231F20"/>
          <w:spacing w:val="-10"/>
          <w:sz w:val="24"/>
        </w:rPr>
        <w:t> </w:t>
      </w:r>
      <w:r>
        <w:rPr>
          <w:b/>
          <w:i/>
          <w:color w:val="231F20"/>
          <w:spacing w:val="-2"/>
          <w:sz w:val="24"/>
        </w:rPr>
        <w:t>cadavres»</w:t>
      </w:r>
    </w:p>
    <w:p>
      <w:pPr>
        <w:spacing w:before="0"/>
        <w:ind w:left="0" w:right="109" w:firstLine="0"/>
        <w:jc w:val="right"/>
        <w:rPr>
          <w:sz w:val="24"/>
        </w:rPr>
      </w:pPr>
      <w:r>
        <w:rPr>
          <w:i/>
          <w:color w:val="231F20"/>
          <w:sz w:val="24"/>
        </w:rPr>
        <w:t>René</w:t>
      </w:r>
      <w:r>
        <w:rPr>
          <w:i/>
          <w:color w:val="231F20"/>
          <w:spacing w:val="-15"/>
          <w:sz w:val="24"/>
        </w:rPr>
        <w:t> </w:t>
      </w:r>
      <w:r>
        <w:rPr>
          <w:i/>
          <w:color w:val="231F20"/>
          <w:spacing w:val="-2"/>
          <w:sz w:val="24"/>
        </w:rPr>
        <w:t>Maran</w:t>
      </w:r>
      <w:r>
        <w:rPr>
          <w:color w:val="231F20"/>
          <w:spacing w:val="-2"/>
          <w:sz w:val="24"/>
          <w:vertAlign w:val="superscript"/>
        </w:rPr>
        <w:t>20</w:t>
      </w:r>
    </w:p>
    <w:p>
      <w:pPr>
        <w:pStyle w:val="BodyText"/>
        <w:spacing w:before="241"/>
        <w:ind w:left="0"/>
        <w:jc w:val="left"/>
      </w:pPr>
    </w:p>
    <w:p>
      <w:pPr>
        <w:pStyle w:val="Heading2"/>
      </w:pPr>
      <w:bookmarkStart w:name="_TOC_250039" w:id="4"/>
      <w:r>
        <w:rPr>
          <w:color w:val="231F20"/>
          <w:spacing w:val="-2"/>
        </w:rPr>
        <w:t>Pot</w:t>
      </w:r>
      <w:r>
        <w:rPr>
          <w:color w:val="231F20"/>
          <w:spacing w:val="-9"/>
        </w:rPr>
        <w:t> </w:t>
      </w:r>
      <w:r>
        <w:rPr>
          <w:color w:val="231F20"/>
          <w:spacing w:val="-2"/>
        </w:rPr>
        <w:t>de</w:t>
      </w:r>
      <w:r>
        <w:rPr>
          <w:color w:val="231F20"/>
          <w:spacing w:val="-8"/>
        </w:rPr>
        <w:t> </w:t>
      </w:r>
      <w:r>
        <w:rPr>
          <w:color w:val="231F20"/>
          <w:spacing w:val="-2"/>
        </w:rPr>
        <w:t>terre</w:t>
      </w:r>
      <w:r>
        <w:rPr>
          <w:color w:val="231F20"/>
          <w:spacing w:val="-9"/>
        </w:rPr>
        <w:t> </w:t>
      </w:r>
      <w:r>
        <w:rPr>
          <w:color w:val="231F20"/>
          <w:spacing w:val="-2"/>
        </w:rPr>
        <w:t>contre</w:t>
      </w:r>
      <w:r>
        <w:rPr>
          <w:color w:val="231F20"/>
          <w:spacing w:val="-8"/>
        </w:rPr>
        <w:t> </w:t>
      </w:r>
      <w:r>
        <w:rPr>
          <w:color w:val="231F20"/>
          <w:spacing w:val="-2"/>
        </w:rPr>
        <w:t>pot</w:t>
      </w:r>
      <w:r>
        <w:rPr>
          <w:color w:val="231F20"/>
          <w:spacing w:val="-9"/>
        </w:rPr>
        <w:t> </w:t>
      </w:r>
      <w:r>
        <w:rPr>
          <w:color w:val="231F20"/>
          <w:spacing w:val="-2"/>
        </w:rPr>
        <w:t>de</w:t>
      </w:r>
      <w:r>
        <w:rPr>
          <w:color w:val="231F20"/>
          <w:spacing w:val="-8"/>
        </w:rPr>
        <w:t> </w:t>
      </w:r>
      <w:bookmarkEnd w:id="4"/>
      <w:r>
        <w:rPr>
          <w:color w:val="231F20"/>
          <w:spacing w:val="-5"/>
        </w:rPr>
        <w:t>fer</w:t>
      </w:r>
    </w:p>
    <w:p>
      <w:pPr>
        <w:pStyle w:val="BodyText"/>
        <w:spacing w:before="120"/>
        <w:ind w:left="0"/>
        <w:jc w:val="left"/>
        <w:rPr>
          <w:b/>
        </w:rPr>
      </w:pPr>
    </w:p>
    <w:p>
      <w:pPr>
        <w:pStyle w:val="BodyText"/>
        <w:ind w:right="105" w:firstLine="283"/>
      </w:pPr>
      <w:r>
        <w:rPr>
          <w:color w:val="231F20"/>
        </w:rPr>
        <w:t>Au</w:t>
      </w:r>
      <w:r>
        <w:rPr>
          <w:color w:val="231F20"/>
          <w:spacing w:val="-10"/>
        </w:rPr>
        <w:t> </w:t>
      </w:r>
      <w:r>
        <w:rPr>
          <w:color w:val="231F20"/>
        </w:rPr>
        <w:t>19ème</w:t>
      </w:r>
      <w:r>
        <w:rPr>
          <w:color w:val="231F20"/>
          <w:spacing w:val="-11"/>
        </w:rPr>
        <w:t> </w:t>
      </w:r>
      <w:r>
        <w:rPr>
          <w:color w:val="231F20"/>
        </w:rPr>
        <w:t>siècle,</w:t>
      </w:r>
      <w:r>
        <w:rPr>
          <w:color w:val="231F20"/>
          <w:spacing w:val="-12"/>
        </w:rPr>
        <w:t> </w:t>
      </w:r>
      <w:r>
        <w:rPr>
          <w:color w:val="231F20"/>
        </w:rPr>
        <w:t>la</w:t>
      </w:r>
      <w:r>
        <w:rPr>
          <w:color w:val="231F20"/>
          <w:spacing w:val="-10"/>
        </w:rPr>
        <w:t> </w:t>
      </w:r>
      <w:r>
        <w:rPr>
          <w:color w:val="231F20"/>
        </w:rPr>
        <w:t>révolution</w:t>
      </w:r>
      <w:r>
        <w:rPr>
          <w:color w:val="231F20"/>
          <w:spacing w:val="-11"/>
        </w:rPr>
        <w:t> </w:t>
      </w:r>
      <w:r>
        <w:rPr>
          <w:color w:val="231F20"/>
        </w:rPr>
        <w:t>industrielle</w:t>
      </w:r>
      <w:r>
        <w:rPr>
          <w:color w:val="231F20"/>
          <w:spacing w:val="-10"/>
        </w:rPr>
        <w:t> </w:t>
      </w:r>
      <w:r>
        <w:rPr>
          <w:color w:val="231F20"/>
        </w:rPr>
        <w:t>de</w:t>
      </w:r>
      <w:r>
        <w:rPr>
          <w:color w:val="231F20"/>
          <w:spacing w:val="-11"/>
        </w:rPr>
        <w:t> </w:t>
      </w:r>
      <w:r>
        <w:rPr>
          <w:color w:val="231F20"/>
        </w:rPr>
        <w:t>l’Europe</w:t>
      </w:r>
      <w:r>
        <w:rPr>
          <w:color w:val="231F20"/>
          <w:spacing w:val="-10"/>
        </w:rPr>
        <w:t> </w:t>
      </w:r>
      <w:r>
        <w:rPr>
          <w:color w:val="231F20"/>
        </w:rPr>
        <w:t>lui</w:t>
      </w:r>
      <w:r>
        <w:rPr>
          <w:color w:val="231F20"/>
          <w:spacing w:val="-11"/>
        </w:rPr>
        <w:t> </w:t>
      </w:r>
      <w:r>
        <w:rPr>
          <w:color w:val="231F20"/>
        </w:rPr>
        <w:t>permet</w:t>
      </w:r>
      <w:r>
        <w:rPr>
          <w:color w:val="231F20"/>
          <w:spacing w:val="-11"/>
        </w:rPr>
        <w:t> </w:t>
      </w:r>
      <w:r>
        <w:rPr>
          <w:color w:val="231F20"/>
        </w:rPr>
        <w:t>de rapides</w:t>
      </w:r>
      <w:r>
        <w:rPr>
          <w:color w:val="231F20"/>
          <w:spacing w:val="-8"/>
        </w:rPr>
        <w:t> </w:t>
      </w:r>
      <w:r>
        <w:rPr>
          <w:color w:val="231F20"/>
        </w:rPr>
        <w:t>avancées</w:t>
      </w:r>
      <w:r>
        <w:rPr>
          <w:color w:val="231F20"/>
          <w:spacing w:val="-8"/>
        </w:rPr>
        <w:t> </w:t>
      </w:r>
      <w:r>
        <w:rPr>
          <w:color w:val="231F20"/>
        </w:rPr>
        <w:t>dans</w:t>
      </w:r>
      <w:r>
        <w:rPr>
          <w:color w:val="231F20"/>
          <w:spacing w:val="-9"/>
        </w:rPr>
        <w:t> </w:t>
      </w:r>
      <w:r>
        <w:rPr>
          <w:color w:val="231F20"/>
        </w:rPr>
        <w:t>les</w:t>
      </w:r>
      <w:r>
        <w:rPr>
          <w:color w:val="231F20"/>
          <w:spacing w:val="-8"/>
        </w:rPr>
        <w:t> </w:t>
      </w:r>
      <w:r>
        <w:rPr>
          <w:color w:val="231F20"/>
        </w:rPr>
        <w:t>Transports</w:t>
      </w:r>
      <w:r>
        <w:rPr>
          <w:color w:val="231F20"/>
          <w:spacing w:val="-9"/>
        </w:rPr>
        <w:t> </w:t>
      </w:r>
      <w:r>
        <w:rPr>
          <w:color w:val="231F20"/>
        </w:rPr>
        <w:t>et</w:t>
      </w:r>
      <w:r>
        <w:rPr>
          <w:color w:val="231F20"/>
          <w:spacing w:val="-8"/>
        </w:rPr>
        <w:t> </w:t>
      </w:r>
      <w:r>
        <w:rPr>
          <w:color w:val="231F20"/>
        </w:rPr>
        <w:t>les</w:t>
      </w:r>
      <w:r>
        <w:rPr>
          <w:color w:val="231F20"/>
          <w:spacing w:val="-8"/>
        </w:rPr>
        <w:t> </w:t>
      </w:r>
      <w:r>
        <w:rPr>
          <w:color w:val="231F20"/>
        </w:rPr>
        <w:t>Communications.</w:t>
      </w:r>
      <w:r>
        <w:rPr>
          <w:color w:val="231F20"/>
          <w:spacing w:val="-8"/>
        </w:rPr>
        <w:t> </w:t>
      </w:r>
      <w:r>
        <w:rPr>
          <w:color w:val="231F20"/>
        </w:rPr>
        <w:t>Aussi,</w:t>
      </w:r>
      <w:r>
        <w:rPr>
          <w:color w:val="231F20"/>
          <w:spacing w:val="-9"/>
        </w:rPr>
        <w:t> </w:t>
      </w:r>
      <w:r>
        <w:rPr>
          <w:color w:val="231F20"/>
        </w:rPr>
        <w:t>les progrès</w:t>
      </w:r>
      <w:r>
        <w:rPr>
          <w:color w:val="231F20"/>
          <w:spacing w:val="-5"/>
        </w:rPr>
        <w:t> </w:t>
      </w:r>
      <w:r>
        <w:rPr>
          <w:color w:val="231F20"/>
        </w:rPr>
        <w:t>des</w:t>
      </w:r>
      <w:r>
        <w:rPr>
          <w:color w:val="231F20"/>
          <w:spacing w:val="-3"/>
        </w:rPr>
        <w:t> </w:t>
      </w:r>
      <w:r>
        <w:rPr>
          <w:color w:val="231F20"/>
        </w:rPr>
        <w:t>Techniques</w:t>
      </w:r>
      <w:r>
        <w:rPr>
          <w:color w:val="231F20"/>
          <w:spacing w:val="-5"/>
        </w:rPr>
        <w:t> </w:t>
      </w:r>
      <w:r>
        <w:rPr>
          <w:color w:val="231F20"/>
        </w:rPr>
        <w:t>de</w:t>
      </w:r>
      <w:r>
        <w:rPr>
          <w:color w:val="231F20"/>
          <w:spacing w:val="-3"/>
        </w:rPr>
        <w:t> </w:t>
      </w:r>
      <w:r>
        <w:rPr>
          <w:color w:val="231F20"/>
        </w:rPr>
        <w:t>navigation</w:t>
      </w:r>
      <w:r>
        <w:rPr>
          <w:color w:val="231F20"/>
          <w:spacing w:val="-3"/>
        </w:rPr>
        <w:t> </w:t>
      </w:r>
      <w:r>
        <w:rPr>
          <w:color w:val="231F20"/>
        </w:rPr>
        <w:t>(boussole,</w:t>
      </w:r>
      <w:r>
        <w:rPr>
          <w:color w:val="231F20"/>
          <w:spacing w:val="-5"/>
        </w:rPr>
        <w:t> </w:t>
      </w:r>
      <w:r>
        <w:rPr>
          <w:color w:val="231F20"/>
        </w:rPr>
        <w:t>caravelle,</w:t>
      </w:r>
      <w:r>
        <w:rPr>
          <w:color w:val="231F20"/>
          <w:spacing w:val="-3"/>
        </w:rPr>
        <w:t> </w:t>
      </w:r>
      <w:r>
        <w:rPr>
          <w:color w:val="231F20"/>
        </w:rPr>
        <w:t>gouvernail, </w:t>
      </w:r>
      <w:r>
        <w:rPr>
          <w:color w:val="231F20"/>
          <w:spacing w:val="-2"/>
        </w:rPr>
        <w:t>calcul des</w:t>
      </w:r>
      <w:r>
        <w:rPr>
          <w:color w:val="231F20"/>
          <w:spacing w:val="-3"/>
        </w:rPr>
        <w:t> </w:t>
      </w:r>
      <w:r>
        <w:rPr>
          <w:color w:val="231F20"/>
          <w:spacing w:val="-2"/>
        </w:rPr>
        <w:t>coordonnées</w:t>
      </w:r>
      <w:r>
        <w:rPr>
          <w:color w:val="231F20"/>
          <w:spacing w:val="-4"/>
        </w:rPr>
        <w:t> </w:t>
      </w:r>
      <w:r>
        <w:rPr>
          <w:color w:val="231F20"/>
          <w:spacing w:val="-2"/>
        </w:rPr>
        <w:t>géographiques) facilitent-ils, les grands</w:t>
      </w:r>
      <w:r>
        <w:rPr>
          <w:color w:val="231F20"/>
          <w:spacing w:val="-3"/>
        </w:rPr>
        <w:t> </w:t>
      </w:r>
      <w:r>
        <w:rPr>
          <w:color w:val="231F20"/>
          <w:spacing w:val="-2"/>
        </w:rPr>
        <w:t>voyages </w:t>
      </w:r>
      <w:r>
        <w:rPr>
          <w:color w:val="231F20"/>
        </w:rPr>
        <w:t>pour découvrir le reste du Monde.</w:t>
      </w:r>
    </w:p>
    <w:p>
      <w:pPr>
        <w:pStyle w:val="BodyText"/>
        <w:spacing w:before="120"/>
        <w:ind w:right="102" w:firstLine="283"/>
      </w:pPr>
      <w:r>
        <w:rPr>
          <w:color w:val="231F20"/>
          <w:spacing w:val="-2"/>
        </w:rPr>
        <w:t>Les</w:t>
      </w:r>
      <w:r>
        <w:rPr>
          <w:color w:val="231F20"/>
          <w:spacing w:val="-10"/>
        </w:rPr>
        <w:t> </w:t>
      </w:r>
      <w:r>
        <w:rPr>
          <w:color w:val="231F20"/>
          <w:spacing w:val="-2"/>
        </w:rPr>
        <w:t>Européens</w:t>
      </w:r>
      <w:r>
        <w:rPr>
          <w:color w:val="231F20"/>
          <w:spacing w:val="-9"/>
        </w:rPr>
        <w:t> </w:t>
      </w:r>
      <w:r>
        <w:rPr>
          <w:color w:val="231F20"/>
          <w:spacing w:val="-2"/>
        </w:rPr>
        <w:t>sont</w:t>
      </w:r>
      <w:r>
        <w:rPr>
          <w:color w:val="231F20"/>
          <w:spacing w:val="-12"/>
        </w:rPr>
        <w:t> </w:t>
      </w:r>
      <w:r>
        <w:rPr>
          <w:color w:val="231F20"/>
          <w:spacing w:val="-2"/>
        </w:rPr>
        <w:t>intéressés</w:t>
      </w:r>
      <w:r>
        <w:rPr>
          <w:color w:val="231F20"/>
          <w:spacing w:val="-10"/>
        </w:rPr>
        <w:t> </w:t>
      </w:r>
      <w:r>
        <w:rPr>
          <w:color w:val="231F20"/>
          <w:spacing w:val="-2"/>
        </w:rPr>
        <w:t>par</w:t>
      </w:r>
      <w:r>
        <w:rPr>
          <w:color w:val="231F20"/>
          <w:spacing w:val="-12"/>
        </w:rPr>
        <w:t> </w:t>
      </w:r>
      <w:r>
        <w:rPr>
          <w:color w:val="231F20"/>
          <w:spacing w:val="-2"/>
        </w:rPr>
        <w:t>les</w:t>
      </w:r>
      <w:r>
        <w:rPr>
          <w:color w:val="231F20"/>
          <w:spacing w:val="-10"/>
        </w:rPr>
        <w:t> </w:t>
      </w:r>
      <w:r>
        <w:rPr>
          <w:color w:val="231F20"/>
          <w:spacing w:val="-2"/>
        </w:rPr>
        <w:t>épices</w:t>
      </w:r>
      <w:r>
        <w:rPr>
          <w:color w:val="231F20"/>
          <w:spacing w:val="-9"/>
        </w:rPr>
        <w:t> </w:t>
      </w:r>
      <w:r>
        <w:rPr>
          <w:color w:val="231F20"/>
          <w:spacing w:val="-2"/>
        </w:rPr>
        <w:t>et</w:t>
      </w:r>
      <w:r>
        <w:rPr>
          <w:color w:val="231F20"/>
          <w:spacing w:val="-12"/>
        </w:rPr>
        <w:t> </w:t>
      </w:r>
      <w:r>
        <w:rPr>
          <w:color w:val="231F20"/>
          <w:spacing w:val="-2"/>
        </w:rPr>
        <w:t>les</w:t>
      </w:r>
      <w:r>
        <w:rPr>
          <w:color w:val="231F20"/>
          <w:spacing w:val="-12"/>
        </w:rPr>
        <w:t> </w:t>
      </w:r>
      <w:r>
        <w:rPr>
          <w:color w:val="231F20"/>
          <w:spacing w:val="-2"/>
        </w:rPr>
        <w:t>métaux</w:t>
      </w:r>
      <w:r>
        <w:rPr>
          <w:color w:val="231F20"/>
          <w:spacing w:val="-10"/>
        </w:rPr>
        <w:t> </w:t>
      </w:r>
      <w:r>
        <w:rPr>
          <w:color w:val="231F20"/>
          <w:spacing w:val="-2"/>
        </w:rPr>
        <w:t>précieux</w:t>
      </w:r>
      <w:r>
        <w:rPr>
          <w:color w:val="231F20"/>
          <w:spacing w:val="-10"/>
        </w:rPr>
        <w:t> </w:t>
      </w:r>
      <w:r>
        <w:rPr>
          <w:color w:val="231F20"/>
          <w:spacing w:val="-2"/>
        </w:rPr>
        <w:t>en </w:t>
      </w:r>
      <w:r>
        <w:rPr>
          <w:color w:val="231F20"/>
        </w:rPr>
        <w:t>provenance</w:t>
      </w:r>
      <w:r>
        <w:rPr>
          <w:color w:val="231F20"/>
          <w:spacing w:val="-11"/>
        </w:rPr>
        <w:t> </w:t>
      </w:r>
      <w:r>
        <w:rPr>
          <w:color w:val="231F20"/>
        </w:rPr>
        <w:t>de</w:t>
      </w:r>
      <w:r>
        <w:rPr>
          <w:color w:val="231F20"/>
          <w:spacing w:val="-11"/>
        </w:rPr>
        <w:t> </w:t>
      </w:r>
      <w:r>
        <w:rPr>
          <w:color w:val="231F20"/>
        </w:rPr>
        <w:t>l’Extrême-Orient.</w:t>
      </w:r>
      <w:r>
        <w:rPr>
          <w:color w:val="231F20"/>
          <w:spacing w:val="-10"/>
        </w:rPr>
        <w:t> </w:t>
      </w:r>
      <w:r>
        <w:rPr>
          <w:color w:val="231F20"/>
        </w:rPr>
        <w:t>En</w:t>
      </w:r>
      <w:r>
        <w:rPr>
          <w:color w:val="231F20"/>
          <w:spacing w:val="-11"/>
        </w:rPr>
        <w:t> </w:t>
      </w:r>
      <w:r>
        <w:rPr>
          <w:color w:val="231F20"/>
        </w:rPr>
        <w:t>Afrique,</w:t>
      </w:r>
      <w:r>
        <w:rPr>
          <w:color w:val="231F20"/>
          <w:spacing w:val="-11"/>
        </w:rPr>
        <w:t> </w:t>
      </w:r>
      <w:r>
        <w:rPr>
          <w:color w:val="231F20"/>
        </w:rPr>
        <w:t>l’esclavage</w:t>
      </w:r>
      <w:r>
        <w:rPr>
          <w:color w:val="231F20"/>
          <w:spacing w:val="-11"/>
        </w:rPr>
        <w:t> </w:t>
      </w:r>
      <w:r>
        <w:rPr>
          <w:color w:val="231F20"/>
        </w:rPr>
        <w:t>étant</w:t>
      </w:r>
      <w:r>
        <w:rPr>
          <w:color w:val="231F20"/>
          <w:spacing w:val="-10"/>
        </w:rPr>
        <w:t> </w:t>
      </w:r>
      <w:r>
        <w:rPr>
          <w:color w:val="231F20"/>
        </w:rPr>
        <w:t>aboli</w:t>
      </w:r>
      <w:r>
        <w:rPr>
          <w:color w:val="231F20"/>
          <w:spacing w:val="-9"/>
        </w:rPr>
        <w:t> </w:t>
      </w:r>
      <w:r>
        <w:rPr>
          <w:color w:val="231F20"/>
        </w:rPr>
        <w:t>et, </w:t>
      </w:r>
      <w:r>
        <w:rPr>
          <w:color w:val="231F20"/>
          <w:spacing w:val="-4"/>
        </w:rPr>
        <w:t>compte</w:t>
      </w:r>
      <w:r>
        <w:rPr>
          <w:color w:val="231F20"/>
          <w:spacing w:val="-10"/>
        </w:rPr>
        <w:t> </w:t>
      </w:r>
      <w:r>
        <w:rPr>
          <w:color w:val="231F20"/>
          <w:spacing w:val="-4"/>
        </w:rPr>
        <w:t>tenu</w:t>
      </w:r>
      <w:r>
        <w:rPr>
          <w:color w:val="231F20"/>
          <w:spacing w:val="-8"/>
        </w:rPr>
        <w:t> </w:t>
      </w:r>
      <w:r>
        <w:rPr>
          <w:color w:val="231F20"/>
          <w:spacing w:val="-4"/>
        </w:rPr>
        <w:t>des</w:t>
      </w:r>
      <w:r>
        <w:rPr>
          <w:color w:val="231F20"/>
          <w:spacing w:val="-6"/>
        </w:rPr>
        <w:t> </w:t>
      </w:r>
      <w:r>
        <w:rPr>
          <w:color w:val="231F20"/>
          <w:spacing w:val="-4"/>
        </w:rPr>
        <w:t>rivalités</w:t>
      </w:r>
      <w:r>
        <w:rPr>
          <w:color w:val="231F20"/>
          <w:spacing w:val="-6"/>
        </w:rPr>
        <w:t> </w:t>
      </w:r>
      <w:r>
        <w:rPr>
          <w:color w:val="231F20"/>
          <w:spacing w:val="-4"/>
        </w:rPr>
        <w:t>commerciales</w:t>
      </w:r>
      <w:r>
        <w:rPr>
          <w:color w:val="231F20"/>
          <w:spacing w:val="-6"/>
        </w:rPr>
        <w:t> </w:t>
      </w:r>
      <w:r>
        <w:rPr>
          <w:color w:val="231F20"/>
          <w:spacing w:val="-4"/>
        </w:rPr>
        <w:t>entre</w:t>
      </w:r>
      <w:r>
        <w:rPr>
          <w:color w:val="231F20"/>
          <w:spacing w:val="-7"/>
        </w:rPr>
        <w:t> </w:t>
      </w:r>
      <w:r>
        <w:rPr>
          <w:color w:val="231F20"/>
          <w:spacing w:val="-4"/>
        </w:rPr>
        <w:t>les</w:t>
      </w:r>
      <w:r>
        <w:rPr>
          <w:color w:val="231F20"/>
          <w:spacing w:val="-9"/>
        </w:rPr>
        <w:t> </w:t>
      </w:r>
      <w:r>
        <w:rPr>
          <w:color w:val="231F20"/>
          <w:spacing w:val="-4"/>
        </w:rPr>
        <w:t>pays,</w:t>
      </w:r>
      <w:r>
        <w:rPr>
          <w:color w:val="231F20"/>
          <w:spacing w:val="-6"/>
        </w:rPr>
        <w:t> </w:t>
      </w:r>
      <w:r>
        <w:rPr>
          <w:color w:val="231F20"/>
          <w:spacing w:val="-4"/>
        </w:rPr>
        <w:t>il</w:t>
      </w:r>
      <w:r>
        <w:rPr>
          <w:color w:val="231F20"/>
          <w:spacing w:val="-6"/>
        </w:rPr>
        <w:t> </w:t>
      </w:r>
      <w:r>
        <w:rPr>
          <w:color w:val="231F20"/>
          <w:spacing w:val="-4"/>
        </w:rPr>
        <w:t>faut</w:t>
      </w:r>
      <w:r>
        <w:rPr>
          <w:color w:val="231F20"/>
          <w:spacing w:val="-8"/>
        </w:rPr>
        <w:t> </w:t>
      </w:r>
      <w:r>
        <w:rPr>
          <w:color w:val="231F20"/>
          <w:spacing w:val="-4"/>
        </w:rPr>
        <w:t>de</w:t>
      </w:r>
      <w:r>
        <w:rPr>
          <w:color w:val="231F20"/>
          <w:spacing w:val="-7"/>
        </w:rPr>
        <w:t> </w:t>
      </w:r>
      <w:r>
        <w:rPr>
          <w:color w:val="231F20"/>
          <w:spacing w:val="-4"/>
        </w:rPr>
        <w:t>nouvelles </w:t>
      </w:r>
      <w:r>
        <w:rPr>
          <w:color w:val="231F20"/>
        </w:rPr>
        <w:t>sources de richesse.</w:t>
      </w:r>
    </w:p>
    <w:p>
      <w:pPr>
        <w:pStyle w:val="BodyText"/>
        <w:spacing w:before="120"/>
        <w:ind w:right="104" w:firstLine="283"/>
      </w:pPr>
      <w:r>
        <w:rPr>
          <w:color w:val="231F20"/>
        </w:rPr>
        <w:t>Les progrès médicaux au niveau des traitements des maladies tropicales dont</w:t>
      </w:r>
      <w:r>
        <w:rPr>
          <w:color w:val="231F20"/>
          <w:spacing w:val="-2"/>
        </w:rPr>
        <w:t> </w:t>
      </w:r>
      <w:r>
        <w:rPr>
          <w:color w:val="231F20"/>
        </w:rPr>
        <w:t>le paludisme permettent</w:t>
      </w:r>
      <w:r>
        <w:rPr>
          <w:color w:val="231F20"/>
          <w:spacing w:val="-1"/>
        </w:rPr>
        <w:t> </w:t>
      </w:r>
      <w:r>
        <w:rPr>
          <w:color w:val="231F20"/>
        </w:rPr>
        <w:t>aux</w:t>
      </w:r>
      <w:r>
        <w:rPr>
          <w:color w:val="231F20"/>
          <w:spacing w:val="-1"/>
        </w:rPr>
        <w:t> </w:t>
      </w:r>
      <w:r>
        <w:rPr>
          <w:color w:val="231F20"/>
        </w:rPr>
        <w:t>explorateurs de</w:t>
      </w:r>
      <w:r>
        <w:rPr>
          <w:color w:val="231F20"/>
          <w:spacing w:val="-2"/>
        </w:rPr>
        <w:t> </w:t>
      </w:r>
      <w:r>
        <w:rPr>
          <w:color w:val="231F20"/>
        </w:rPr>
        <w:t>partir</w:t>
      </w:r>
      <w:r>
        <w:rPr>
          <w:color w:val="231F20"/>
          <w:spacing w:val="-2"/>
        </w:rPr>
        <w:t> </w:t>
      </w:r>
      <w:r>
        <w:rPr>
          <w:color w:val="231F20"/>
        </w:rPr>
        <w:t>sans </w:t>
      </w:r>
      <w:r>
        <w:rPr>
          <w:color w:val="231F20"/>
          <w:spacing w:val="-2"/>
        </w:rPr>
        <w:t>crainte,</w:t>
      </w:r>
      <w:r>
        <w:rPr>
          <w:color w:val="231F20"/>
          <w:spacing w:val="-8"/>
        </w:rPr>
        <w:t> </w:t>
      </w:r>
      <w:r>
        <w:rPr>
          <w:color w:val="231F20"/>
          <w:spacing w:val="-2"/>
        </w:rPr>
        <w:t>à</w:t>
      </w:r>
      <w:r>
        <w:rPr>
          <w:color w:val="231F20"/>
          <w:spacing w:val="-10"/>
        </w:rPr>
        <w:t> </w:t>
      </w:r>
      <w:r>
        <w:rPr>
          <w:color w:val="231F20"/>
          <w:spacing w:val="-2"/>
        </w:rPr>
        <w:t>la</w:t>
      </w:r>
      <w:r>
        <w:rPr>
          <w:color w:val="231F20"/>
          <w:spacing w:val="-10"/>
        </w:rPr>
        <w:t> </w:t>
      </w:r>
      <w:r>
        <w:rPr>
          <w:color w:val="231F20"/>
          <w:spacing w:val="-2"/>
        </w:rPr>
        <w:t>découverte</w:t>
      </w:r>
      <w:r>
        <w:rPr>
          <w:color w:val="231F20"/>
          <w:spacing w:val="-10"/>
        </w:rPr>
        <w:t> </w:t>
      </w:r>
      <w:r>
        <w:rPr>
          <w:color w:val="231F20"/>
          <w:spacing w:val="-2"/>
        </w:rPr>
        <w:t>des</w:t>
      </w:r>
      <w:r>
        <w:rPr>
          <w:color w:val="231F20"/>
          <w:spacing w:val="-8"/>
        </w:rPr>
        <w:t> </w:t>
      </w:r>
      <w:r>
        <w:rPr>
          <w:color w:val="231F20"/>
          <w:spacing w:val="-2"/>
        </w:rPr>
        <w:t>côtes</w:t>
      </w:r>
      <w:r>
        <w:rPr>
          <w:color w:val="231F20"/>
          <w:spacing w:val="-8"/>
        </w:rPr>
        <w:t> </w:t>
      </w:r>
      <w:r>
        <w:rPr>
          <w:color w:val="231F20"/>
          <w:spacing w:val="-2"/>
        </w:rPr>
        <w:t>africaines</w:t>
      </w:r>
      <w:r>
        <w:rPr>
          <w:color w:val="231F20"/>
          <w:spacing w:val="-8"/>
        </w:rPr>
        <w:t> </w:t>
      </w:r>
      <w:r>
        <w:rPr>
          <w:color w:val="231F20"/>
          <w:spacing w:val="-2"/>
        </w:rPr>
        <w:t>et</w:t>
      </w:r>
      <w:r>
        <w:rPr>
          <w:color w:val="231F20"/>
          <w:spacing w:val="-8"/>
        </w:rPr>
        <w:t> </w:t>
      </w:r>
      <w:r>
        <w:rPr>
          <w:color w:val="231F20"/>
          <w:spacing w:val="-2"/>
        </w:rPr>
        <w:t>surtout</w:t>
      </w:r>
      <w:r>
        <w:rPr>
          <w:color w:val="231F20"/>
          <w:spacing w:val="-8"/>
        </w:rPr>
        <w:t> </w:t>
      </w:r>
      <w:r>
        <w:rPr>
          <w:color w:val="231F20"/>
          <w:spacing w:val="-2"/>
        </w:rPr>
        <w:t>explorer</w:t>
      </w:r>
      <w:r>
        <w:rPr>
          <w:color w:val="231F20"/>
          <w:spacing w:val="-10"/>
        </w:rPr>
        <w:t> </w:t>
      </w:r>
      <w:r>
        <w:rPr>
          <w:color w:val="231F20"/>
          <w:spacing w:val="-2"/>
        </w:rPr>
        <w:t>l’intérieur </w:t>
      </w:r>
      <w:r>
        <w:rPr>
          <w:color w:val="231F20"/>
        </w:rPr>
        <w:t>de ce continent qui a enrichi les négriers.</w:t>
      </w:r>
    </w:p>
    <w:p>
      <w:pPr>
        <w:pStyle w:val="BodyText"/>
        <w:spacing w:before="121"/>
        <w:ind w:right="102" w:firstLine="283"/>
      </w:pPr>
      <w:r>
        <w:rPr>
          <w:color w:val="231F20"/>
          <w:spacing w:val="-2"/>
        </w:rPr>
        <w:t>Très</w:t>
      </w:r>
      <w:r>
        <w:rPr>
          <w:color w:val="231F20"/>
          <w:spacing w:val="-13"/>
        </w:rPr>
        <w:t> </w:t>
      </w:r>
      <w:r>
        <w:rPr>
          <w:color w:val="231F20"/>
          <w:spacing w:val="-2"/>
        </w:rPr>
        <w:t>vite,</w:t>
      </w:r>
      <w:r>
        <w:rPr>
          <w:color w:val="231F20"/>
          <w:spacing w:val="-13"/>
        </w:rPr>
        <w:t> </w:t>
      </w:r>
      <w:r>
        <w:rPr>
          <w:color w:val="231F20"/>
          <w:spacing w:val="-2"/>
        </w:rPr>
        <w:t>les</w:t>
      </w:r>
      <w:r>
        <w:rPr>
          <w:color w:val="231F20"/>
          <w:spacing w:val="-13"/>
        </w:rPr>
        <w:t> </w:t>
      </w:r>
      <w:r>
        <w:rPr>
          <w:color w:val="231F20"/>
          <w:spacing w:val="-2"/>
        </w:rPr>
        <w:t>richesses</w:t>
      </w:r>
      <w:r>
        <w:rPr>
          <w:color w:val="231F20"/>
          <w:spacing w:val="-13"/>
        </w:rPr>
        <w:t> </w:t>
      </w:r>
      <w:r>
        <w:rPr>
          <w:color w:val="231F20"/>
          <w:spacing w:val="-2"/>
        </w:rPr>
        <w:t>de</w:t>
      </w:r>
      <w:r>
        <w:rPr>
          <w:color w:val="231F20"/>
          <w:spacing w:val="-13"/>
        </w:rPr>
        <w:t> </w:t>
      </w:r>
      <w:r>
        <w:rPr>
          <w:color w:val="231F20"/>
          <w:spacing w:val="-2"/>
        </w:rPr>
        <w:t>cette</w:t>
      </w:r>
      <w:r>
        <w:rPr>
          <w:color w:val="231F20"/>
          <w:spacing w:val="-13"/>
        </w:rPr>
        <w:t> </w:t>
      </w:r>
      <w:r>
        <w:rPr>
          <w:color w:val="231F20"/>
          <w:spacing w:val="-2"/>
        </w:rPr>
        <w:t>"</w:t>
      </w:r>
      <w:r>
        <w:rPr>
          <w:color w:val="231F20"/>
          <w:spacing w:val="-13"/>
        </w:rPr>
        <w:t> </w:t>
      </w:r>
      <w:r>
        <w:rPr>
          <w:color w:val="231F20"/>
          <w:spacing w:val="-2"/>
        </w:rPr>
        <w:t>terre</w:t>
      </w:r>
      <w:r>
        <w:rPr>
          <w:color w:val="231F20"/>
          <w:spacing w:val="-13"/>
        </w:rPr>
        <w:t> </w:t>
      </w:r>
      <w:r>
        <w:rPr>
          <w:color w:val="231F20"/>
          <w:spacing w:val="-2"/>
        </w:rPr>
        <w:t>sans</w:t>
      </w:r>
      <w:r>
        <w:rPr>
          <w:color w:val="231F20"/>
          <w:spacing w:val="-13"/>
        </w:rPr>
        <w:t> </w:t>
      </w:r>
      <w:r>
        <w:rPr>
          <w:color w:val="231F20"/>
          <w:spacing w:val="-2"/>
        </w:rPr>
        <w:t>maître</w:t>
      </w:r>
      <w:r>
        <w:rPr>
          <w:color w:val="231F20"/>
          <w:spacing w:val="-13"/>
        </w:rPr>
        <w:t> </w:t>
      </w:r>
      <w:r>
        <w:rPr>
          <w:color w:val="231F20"/>
          <w:spacing w:val="-2"/>
        </w:rPr>
        <w:t>"</w:t>
      </w:r>
      <w:r>
        <w:rPr>
          <w:color w:val="231F20"/>
          <w:spacing w:val="-13"/>
        </w:rPr>
        <w:t> </w:t>
      </w:r>
      <w:r>
        <w:rPr>
          <w:color w:val="231F20"/>
          <w:spacing w:val="-2"/>
        </w:rPr>
        <w:t>créent</w:t>
      </w:r>
      <w:r>
        <w:rPr>
          <w:color w:val="231F20"/>
          <w:spacing w:val="-13"/>
        </w:rPr>
        <w:t> </w:t>
      </w:r>
      <w:r>
        <w:rPr>
          <w:color w:val="231F20"/>
          <w:spacing w:val="-2"/>
        </w:rPr>
        <w:t>des</w:t>
      </w:r>
      <w:r>
        <w:rPr>
          <w:color w:val="231F20"/>
          <w:spacing w:val="-13"/>
        </w:rPr>
        <w:t> </w:t>
      </w:r>
      <w:r>
        <w:rPr>
          <w:color w:val="231F20"/>
          <w:spacing w:val="-2"/>
        </w:rPr>
        <w:t>tensions </w:t>
      </w:r>
      <w:r>
        <w:rPr>
          <w:color w:val="231F20"/>
          <w:spacing w:val="-4"/>
        </w:rPr>
        <w:t>entre</w:t>
      </w:r>
      <w:r>
        <w:rPr>
          <w:color w:val="231F20"/>
          <w:spacing w:val="-6"/>
        </w:rPr>
        <w:t> </w:t>
      </w:r>
      <w:r>
        <w:rPr>
          <w:color w:val="231F20"/>
          <w:spacing w:val="-4"/>
        </w:rPr>
        <w:t>les</w:t>
      </w:r>
      <w:r>
        <w:rPr>
          <w:color w:val="231F20"/>
          <w:spacing w:val="-6"/>
        </w:rPr>
        <w:t> </w:t>
      </w:r>
      <w:r>
        <w:rPr>
          <w:color w:val="231F20"/>
          <w:spacing w:val="-4"/>
        </w:rPr>
        <w:t>différentes</w:t>
      </w:r>
      <w:r>
        <w:rPr>
          <w:color w:val="231F20"/>
          <w:spacing w:val="-6"/>
        </w:rPr>
        <w:t> </w:t>
      </w:r>
      <w:r>
        <w:rPr>
          <w:color w:val="231F20"/>
          <w:spacing w:val="-4"/>
        </w:rPr>
        <w:t>puissances</w:t>
      </w:r>
      <w:r>
        <w:rPr>
          <w:color w:val="231F20"/>
          <w:spacing w:val="-7"/>
        </w:rPr>
        <w:t> </w:t>
      </w:r>
      <w:r>
        <w:rPr>
          <w:color w:val="231F20"/>
          <w:spacing w:val="-4"/>
        </w:rPr>
        <w:t>européennes.</w:t>
      </w:r>
      <w:r>
        <w:rPr>
          <w:color w:val="231F20"/>
          <w:spacing w:val="-6"/>
        </w:rPr>
        <w:t> </w:t>
      </w:r>
      <w:r>
        <w:rPr>
          <w:color w:val="231F20"/>
          <w:spacing w:val="-4"/>
        </w:rPr>
        <w:t>En</w:t>
      </w:r>
      <w:r>
        <w:rPr>
          <w:color w:val="231F20"/>
          <w:spacing w:val="-6"/>
        </w:rPr>
        <w:t> </w:t>
      </w:r>
      <w:r>
        <w:rPr>
          <w:color w:val="231F20"/>
          <w:spacing w:val="-4"/>
        </w:rPr>
        <w:t>peuples "civilisés</w:t>
      </w:r>
      <w:r>
        <w:rPr>
          <w:color w:val="231F20"/>
        </w:rPr>
        <w:t> </w:t>
      </w:r>
      <w:r>
        <w:rPr>
          <w:color w:val="231F20"/>
          <w:spacing w:val="-4"/>
        </w:rPr>
        <w:t>", elles </w:t>
      </w:r>
      <w:r>
        <w:rPr>
          <w:color w:val="231F20"/>
        </w:rPr>
        <w:t>décident</w:t>
      </w:r>
      <w:r>
        <w:rPr>
          <w:color w:val="231F20"/>
          <w:spacing w:val="-9"/>
        </w:rPr>
        <w:t> </w:t>
      </w:r>
      <w:r>
        <w:rPr>
          <w:color w:val="231F20"/>
        </w:rPr>
        <w:t>de</w:t>
      </w:r>
      <w:r>
        <w:rPr>
          <w:color w:val="231F20"/>
          <w:spacing w:val="-11"/>
        </w:rPr>
        <w:t> </w:t>
      </w:r>
      <w:r>
        <w:rPr>
          <w:color w:val="231F20"/>
        </w:rPr>
        <w:t>son</w:t>
      </w:r>
      <w:r>
        <w:rPr>
          <w:color w:val="231F20"/>
          <w:spacing w:val="-10"/>
        </w:rPr>
        <w:t> </w:t>
      </w:r>
      <w:r>
        <w:rPr>
          <w:color w:val="231F20"/>
        </w:rPr>
        <w:t>partage</w:t>
      </w:r>
      <w:r>
        <w:rPr>
          <w:color w:val="231F20"/>
          <w:spacing w:val="-11"/>
        </w:rPr>
        <w:t> </w:t>
      </w:r>
      <w:r>
        <w:rPr>
          <w:color w:val="231F20"/>
        </w:rPr>
        <w:t>à</w:t>
      </w:r>
      <w:r>
        <w:rPr>
          <w:color w:val="231F20"/>
          <w:spacing w:val="-9"/>
        </w:rPr>
        <w:t> </w:t>
      </w:r>
      <w:r>
        <w:rPr>
          <w:color w:val="231F20"/>
        </w:rPr>
        <w:t>la</w:t>
      </w:r>
      <w:r>
        <w:rPr>
          <w:color w:val="231F20"/>
          <w:spacing w:val="-9"/>
        </w:rPr>
        <w:t> </w:t>
      </w:r>
      <w:r>
        <w:rPr>
          <w:color w:val="231F20"/>
        </w:rPr>
        <w:t>Conférence</w:t>
      </w:r>
      <w:r>
        <w:rPr>
          <w:color w:val="231F20"/>
          <w:spacing w:val="-9"/>
        </w:rPr>
        <w:t> </w:t>
      </w:r>
      <w:r>
        <w:rPr>
          <w:color w:val="231F20"/>
        </w:rPr>
        <w:t>de</w:t>
      </w:r>
      <w:r>
        <w:rPr>
          <w:color w:val="231F20"/>
          <w:spacing w:val="-13"/>
        </w:rPr>
        <w:t> </w:t>
      </w:r>
      <w:r>
        <w:rPr>
          <w:color w:val="231F20"/>
        </w:rPr>
        <w:t>Berlin</w:t>
      </w:r>
      <w:r>
        <w:rPr>
          <w:color w:val="231F20"/>
          <w:vertAlign w:val="superscript"/>
        </w:rPr>
        <w:t>21</w:t>
      </w:r>
      <w:r>
        <w:rPr>
          <w:color w:val="231F20"/>
          <w:vertAlign w:val="baseline"/>
        </w:rPr>
        <w:t>de</w:t>
      </w:r>
      <w:r>
        <w:rPr>
          <w:color w:val="231F20"/>
          <w:spacing w:val="-9"/>
          <w:vertAlign w:val="baseline"/>
        </w:rPr>
        <w:t> </w:t>
      </w:r>
      <w:r>
        <w:rPr>
          <w:color w:val="231F20"/>
          <w:vertAlign w:val="baseline"/>
        </w:rPr>
        <w:t>novembre</w:t>
      </w:r>
      <w:r>
        <w:rPr>
          <w:color w:val="231F20"/>
          <w:spacing w:val="-10"/>
          <w:vertAlign w:val="baseline"/>
        </w:rPr>
        <w:t> </w:t>
      </w:r>
      <w:r>
        <w:rPr>
          <w:color w:val="231F20"/>
          <w:vertAlign w:val="baseline"/>
        </w:rPr>
        <w:t>1884</w:t>
      </w:r>
      <w:r>
        <w:rPr>
          <w:color w:val="231F20"/>
          <w:spacing w:val="-14"/>
          <w:vertAlign w:val="baseline"/>
        </w:rPr>
        <w:t> </w:t>
      </w:r>
      <w:r>
        <w:rPr>
          <w:color w:val="231F20"/>
          <w:vertAlign w:val="baseline"/>
        </w:rPr>
        <w:t>à février 1885. Quatorze puissances participent aux débats</w:t>
      </w:r>
      <w:r>
        <w:rPr>
          <w:color w:val="231F20"/>
          <w:spacing w:val="-15"/>
          <w:vertAlign w:val="baseline"/>
        </w:rPr>
        <w:t> </w:t>
      </w:r>
      <w:r>
        <w:rPr>
          <w:color w:val="231F20"/>
          <w:vertAlign w:val="baseline"/>
        </w:rPr>
        <w:t>: Allemagne, Autriche-Hongrie, Belgique, Danemark, Empire Ottoman, Espagne, </w:t>
      </w:r>
      <w:r>
        <w:rPr>
          <w:color w:val="231F20"/>
          <w:spacing w:val="-4"/>
          <w:vertAlign w:val="baseline"/>
        </w:rPr>
        <w:t>Etats-Unis,</w:t>
      </w:r>
      <w:r>
        <w:rPr>
          <w:color w:val="231F20"/>
          <w:spacing w:val="-2"/>
          <w:vertAlign w:val="baseline"/>
        </w:rPr>
        <w:t> </w:t>
      </w:r>
      <w:r>
        <w:rPr>
          <w:color w:val="231F20"/>
          <w:spacing w:val="-4"/>
          <w:vertAlign w:val="baseline"/>
        </w:rPr>
        <w:t>France,</w:t>
      </w:r>
      <w:r>
        <w:rPr>
          <w:color w:val="231F20"/>
          <w:spacing w:val="1"/>
          <w:vertAlign w:val="baseline"/>
        </w:rPr>
        <w:t> </w:t>
      </w:r>
      <w:r>
        <w:rPr>
          <w:color w:val="231F20"/>
          <w:spacing w:val="-4"/>
          <w:vertAlign w:val="baseline"/>
        </w:rPr>
        <w:t>Grande</w:t>
      </w:r>
      <w:r>
        <w:rPr>
          <w:color w:val="231F20"/>
          <w:spacing w:val="1"/>
          <w:vertAlign w:val="baseline"/>
        </w:rPr>
        <w:t> </w:t>
      </w:r>
      <w:r>
        <w:rPr>
          <w:color w:val="231F20"/>
          <w:spacing w:val="-4"/>
          <w:vertAlign w:val="baseline"/>
        </w:rPr>
        <w:t>Bretagne,</w:t>
      </w:r>
      <w:r>
        <w:rPr>
          <w:color w:val="231F20"/>
          <w:vertAlign w:val="baseline"/>
        </w:rPr>
        <w:t> </w:t>
      </w:r>
      <w:r>
        <w:rPr>
          <w:color w:val="231F20"/>
          <w:spacing w:val="-4"/>
          <w:vertAlign w:val="baseline"/>
        </w:rPr>
        <w:t>Italie,</w:t>
      </w:r>
      <w:r>
        <w:rPr>
          <w:color w:val="231F20"/>
          <w:spacing w:val="-1"/>
          <w:vertAlign w:val="baseline"/>
        </w:rPr>
        <w:t> </w:t>
      </w:r>
      <w:r>
        <w:rPr>
          <w:color w:val="231F20"/>
          <w:spacing w:val="-4"/>
          <w:vertAlign w:val="baseline"/>
        </w:rPr>
        <w:t>Pays-Bas,</w:t>
      </w:r>
      <w:r>
        <w:rPr>
          <w:color w:val="231F20"/>
          <w:vertAlign w:val="baseline"/>
        </w:rPr>
        <w:t> </w:t>
      </w:r>
      <w:r>
        <w:rPr>
          <w:color w:val="231F20"/>
          <w:spacing w:val="-4"/>
          <w:vertAlign w:val="baseline"/>
        </w:rPr>
        <w:t>Portugal</w:t>
      </w:r>
      <w:r>
        <w:rPr>
          <w:color w:val="231F20"/>
          <w:spacing w:val="1"/>
          <w:vertAlign w:val="baseline"/>
        </w:rPr>
        <w:t> </w:t>
      </w:r>
      <w:r>
        <w:rPr>
          <w:color w:val="231F20"/>
          <w:spacing w:val="-4"/>
          <w:vertAlign w:val="baseline"/>
        </w:rPr>
        <w:t>et</w:t>
      </w:r>
      <w:r>
        <w:rPr>
          <w:color w:val="231F20"/>
          <w:spacing w:val="-1"/>
          <w:vertAlign w:val="baseline"/>
        </w:rPr>
        <w:t> </w:t>
      </w:r>
      <w:r>
        <w:rPr>
          <w:color w:val="231F20"/>
          <w:spacing w:val="-4"/>
          <w:vertAlign w:val="baseline"/>
        </w:rPr>
        <w:t>Suède.</w:t>
      </w:r>
    </w:p>
    <w:p>
      <w:pPr>
        <w:pStyle w:val="BodyText"/>
        <w:spacing w:before="120"/>
        <w:ind w:right="105" w:firstLine="283"/>
      </w:pPr>
      <w:r>
        <w:rPr>
          <w:color w:val="231F20"/>
          <w:spacing w:val="-2"/>
        </w:rPr>
        <w:t>Après</w:t>
      </w:r>
      <w:r>
        <w:rPr>
          <w:color w:val="231F20"/>
          <w:spacing w:val="-13"/>
        </w:rPr>
        <w:t> </w:t>
      </w:r>
      <w:r>
        <w:rPr>
          <w:color w:val="231F20"/>
          <w:spacing w:val="-2"/>
        </w:rPr>
        <w:t>la</w:t>
      </w:r>
      <w:r>
        <w:rPr>
          <w:color w:val="231F20"/>
          <w:spacing w:val="-13"/>
        </w:rPr>
        <w:t> </w:t>
      </w:r>
      <w:r>
        <w:rPr>
          <w:color w:val="231F20"/>
          <w:spacing w:val="-2"/>
        </w:rPr>
        <w:t>Conférence,</w:t>
      </w:r>
      <w:r>
        <w:rPr>
          <w:color w:val="231F20"/>
          <w:spacing w:val="-13"/>
        </w:rPr>
        <w:t> </w:t>
      </w:r>
      <w:r>
        <w:rPr>
          <w:color w:val="231F20"/>
          <w:spacing w:val="-2"/>
        </w:rPr>
        <w:t>chacune</w:t>
      </w:r>
      <w:r>
        <w:rPr>
          <w:color w:val="231F20"/>
          <w:spacing w:val="-13"/>
        </w:rPr>
        <w:t> </w:t>
      </w:r>
      <w:r>
        <w:rPr>
          <w:color w:val="231F20"/>
          <w:spacing w:val="-2"/>
        </w:rPr>
        <w:t>des</w:t>
      </w:r>
      <w:r>
        <w:rPr>
          <w:color w:val="231F20"/>
          <w:spacing w:val="-12"/>
        </w:rPr>
        <w:t> </w:t>
      </w:r>
      <w:r>
        <w:rPr>
          <w:color w:val="231F20"/>
          <w:spacing w:val="-2"/>
        </w:rPr>
        <w:t>puissances</w:t>
      </w:r>
      <w:r>
        <w:rPr>
          <w:color w:val="231F20"/>
          <w:spacing w:val="-11"/>
        </w:rPr>
        <w:t> </w:t>
      </w:r>
      <w:r>
        <w:rPr>
          <w:color w:val="231F20"/>
          <w:spacing w:val="-2"/>
        </w:rPr>
        <w:t>prend</w:t>
      </w:r>
      <w:r>
        <w:rPr>
          <w:color w:val="231F20"/>
          <w:spacing w:val="-13"/>
        </w:rPr>
        <w:t> </w:t>
      </w:r>
      <w:r>
        <w:rPr>
          <w:color w:val="231F20"/>
          <w:spacing w:val="-2"/>
        </w:rPr>
        <w:t>possession</w:t>
      </w:r>
      <w:r>
        <w:rPr>
          <w:color w:val="231F20"/>
          <w:spacing w:val="-11"/>
        </w:rPr>
        <w:t> </w:t>
      </w:r>
      <w:r>
        <w:rPr>
          <w:color w:val="231F20"/>
          <w:spacing w:val="-2"/>
        </w:rPr>
        <w:t>de</w:t>
      </w:r>
      <w:r>
        <w:rPr>
          <w:color w:val="231F20"/>
          <w:spacing w:val="-13"/>
        </w:rPr>
        <w:t> </w:t>
      </w:r>
      <w:r>
        <w:rPr>
          <w:color w:val="231F20"/>
          <w:spacing w:val="-2"/>
        </w:rPr>
        <w:t>son </w:t>
      </w:r>
      <w:r>
        <w:rPr>
          <w:color w:val="231F20"/>
        </w:rPr>
        <w:t>bien obtenu.</w:t>
      </w:r>
    </w:p>
    <w:p>
      <w:pPr>
        <w:pStyle w:val="BodyText"/>
        <w:spacing w:before="196"/>
        <w:ind w:left="0"/>
        <w:jc w:val="left"/>
        <w:rPr>
          <w:sz w:val="20"/>
        </w:rPr>
      </w:pPr>
      <w:r>
        <w:rPr/>
        <mc:AlternateContent>
          <mc:Choice Requires="wps">
            <w:drawing>
              <wp:anchor distT="0" distB="0" distL="0" distR="0" allowOverlap="1" layoutInCell="1" locked="0" behindDoc="1" simplePos="0" relativeHeight="487594496">
                <wp:simplePos x="0" y="0"/>
                <wp:positionH relativeFrom="page">
                  <wp:posOffset>629907</wp:posOffset>
                </wp:positionH>
                <wp:positionV relativeFrom="paragraph">
                  <wp:posOffset>285917</wp:posOffset>
                </wp:positionV>
                <wp:extent cx="1829435" cy="9525"/>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2.513203pt;width:144.020pt;height:.72pt;mso-position-horizontal-relative:page;mso-position-vertical-relative:paragraph;z-index:-15721984;mso-wrap-distance-left:0;mso-wrap-distance-right:0" id="docshape24" filled="true" fillcolor="#231f20" stroked="false">
                <v:fill type="solid"/>
                <w10:wrap type="topAndBottom"/>
              </v:rect>
            </w:pict>
          </mc:Fallback>
        </mc:AlternateContent>
      </w:r>
    </w:p>
    <w:p>
      <w:pPr>
        <w:spacing w:before="91"/>
        <w:ind w:left="111" w:right="0" w:firstLine="0"/>
        <w:jc w:val="left"/>
        <w:rPr>
          <w:sz w:val="20"/>
        </w:rPr>
      </w:pPr>
      <w:r>
        <w:rPr>
          <w:color w:val="231F20"/>
          <w:spacing w:val="-2"/>
          <w:sz w:val="20"/>
          <w:vertAlign w:val="superscript"/>
        </w:rPr>
        <w:t>20</w:t>
      </w:r>
      <w:r>
        <w:rPr>
          <w:color w:val="231F20"/>
          <w:spacing w:val="-2"/>
          <w:sz w:val="20"/>
          <w:vertAlign w:val="baseline"/>
        </w:rPr>
        <w:t> René</w:t>
      </w:r>
      <w:r>
        <w:rPr>
          <w:color w:val="231F20"/>
          <w:spacing w:val="13"/>
          <w:sz w:val="20"/>
          <w:vertAlign w:val="baseline"/>
        </w:rPr>
        <w:t> </w:t>
      </w:r>
      <w:r>
        <w:rPr>
          <w:color w:val="231F20"/>
          <w:spacing w:val="-2"/>
          <w:sz w:val="20"/>
          <w:vertAlign w:val="baseline"/>
        </w:rPr>
        <w:t>Maran,</w:t>
      </w:r>
      <w:r>
        <w:rPr>
          <w:color w:val="231F20"/>
          <w:spacing w:val="13"/>
          <w:sz w:val="20"/>
          <w:vertAlign w:val="baseline"/>
        </w:rPr>
        <w:t> </w:t>
      </w:r>
      <w:r>
        <w:rPr>
          <w:color w:val="231F20"/>
          <w:spacing w:val="-2"/>
          <w:sz w:val="20"/>
          <w:vertAlign w:val="baseline"/>
        </w:rPr>
        <w:t>Martiniquais</w:t>
      </w:r>
      <w:r>
        <w:rPr>
          <w:color w:val="231F20"/>
          <w:spacing w:val="11"/>
          <w:sz w:val="20"/>
          <w:vertAlign w:val="baseline"/>
        </w:rPr>
        <w:t> </w:t>
      </w:r>
      <w:r>
        <w:rPr>
          <w:color w:val="231F20"/>
          <w:spacing w:val="-2"/>
          <w:sz w:val="20"/>
          <w:vertAlign w:val="baseline"/>
        </w:rPr>
        <w:t>d’origine</w:t>
      </w:r>
      <w:r>
        <w:rPr>
          <w:color w:val="231F20"/>
          <w:spacing w:val="13"/>
          <w:sz w:val="20"/>
          <w:vertAlign w:val="baseline"/>
        </w:rPr>
        <w:t> </w:t>
      </w:r>
      <w:r>
        <w:rPr>
          <w:color w:val="231F20"/>
          <w:spacing w:val="-2"/>
          <w:sz w:val="20"/>
          <w:vertAlign w:val="baseline"/>
        </w:rPr>
        <w:t>guyanaise,</w:t>
      </w:r>
      <w:r>
        <w:rPr>
          <w:color w:val="231F20"/>
          <w:spacing w:val="14"/>
          <w:sz w:val="20"/>
          <w:vertAlign w:val="baseline"/>
        </w:rPr>
        <w:t> </w:t>
      </w:r>
      <w:r>
        <w:rPr>
          <w:color w:val="231F20"/>
          <w:spacing w:val="-2"/>
          <w:sz w:val="20"/>
          <w:vertAlign w:val="baseline"/>
        </w:rPr>
        <w:t>Administrateur</w:t>
      </w:r>
      <w:r>
        <w:rPr>
          <w:color w:val="231F20"/>
          <w:spacing w:val="13"/>
          <w:sz w:val="20"/>
          <w:vertAlign w:val="baseline"/>
        </w:rPr>
        <w:t> </w:t>
      </w:r>
      <w:r>
        <w:rPr>
          <w:color w:val="231F20"/>
          <w:spacing w:val="-2"/>
          <w:sz w:val="20"/>
          <w:vertAlign w:val="baseline"/>
        </w:rPr>
        <w:t>colonial,préface</w:t>
      </w:r>
      <w:r>
        <w:rPr>
          <w:color w:val="231F20"/>
          <w:spacing w:val="10"/>
          <w:sz w:val="20"/>
          <w:vertAlign w:val="baseline"/>
        </w:rPr>
        <w:t> </w:t>
      </w:r>
      <w:r>
        <w:rPr>
          <w:color w:val="231F20"/>
          <w:spacing w:val="-5"/>
          <w:sz w:val="20"/>
          <w:vertAlign w:val="baseline"/>
        </w:rPr>
        <w:t>de</w:t>
      </w:r>
    </w:p>
    <w:p>
      <w:pPr>
        <w:spacing w:before="1"/>
        <w:ind w:left="111" w:right="0" w:firstLine="0"/>
        <w:jc w:val="left"/>
        <w:rPr>
          <w:sz w:val="20"/>
        </w:rPr>
      </w:pPr>
      <w:r>
        <w:rPr>
          <w:i/>
          <w:color w:val="231F20"/>
          <w:spacing w:val="-4"/>
          <w:sz w:val="20"/>
        </w:rPr>
        <w:t>Batouala-</w:t>
      </w:r>
      <w:r>
        <w:rPr>
          <w:i/>
          <w:color w:val="231F20"/>
          <w:spacing w:val="-3"/>
          <w:sz w:val="20"/>
        </w:rPr>
        <w:t> </w:t>
      </w:r>
      <w:r>
        <w:rPr>
          <w:color w:val="231F20"/>
          <w:spacing w:val="-4"/>
          <w:sz w:val="20"/>
        </w:rPr>
        <w:t>prix</w:t>
      </w:r>
      <w:r>
        <w:rPr>
          <w:color w:val="231F20"/>
          <w:spacing w:val="-3"/>
          <w:sz w:val="20"/>
        </w:rPr>
        <w:t> </w:t>
      </w:r>
      <w:r>
        <w:rPr>
          <w:color w:val="231F20"/>
          <w:spacing w:val="-4"/>
          <w:sz w:val="20"/>
        </w:rPr>
        <w:t>Goncourt</w:t>
      </w:r>
      <w:r>
        <w:rPr>
          <w:color w:val="231F20"/>
          <w:spacing w:val="-3"/>
          <w:sz w:val="20"/>
        </w:rPr>
        <w:t> </w:t>
      </w:r>
      <w:r>
        <w:rPr>
          <w:color w:val="231F20"/>
          <w:spacing w:val="-4"/>
          <w:sz w:val="20"/>
        </w:rPr>
        <w:t>1921.</w:t>
      </w:r>
    </w:p>
    <w:p>
      <w:pPr>
        <w:spacing w:before="0"/>
        <w:ind w:left="111" w:right="0" w:firstLine="0"/>
        <w:jc w:val="left"/>
        <w:rPr>
          <w:sz w:val="20"/>
        </w:rPr>
      </w:pPr>
      <w:r>
        <w:rPr>
          <w:color w:val="76787A"/>
          <w:sz w:val="20"/>
          <w:vertAlign w:val="superscript"/>
        </w:rPr>
        <w:t>21</w:t>
      </w:r>
      <w:r>
        <w:rPr>
          <w:color w:val="76787A"/>
          <w:spacing w:val="-10"/>
          <w:sz w:val="20"/>
          <w:vertAlign w:val="baseline"/>
        </w:rPr>
        <w:t> </w:t>
      </w:r>
      <w:r>
        <w:rPr>
          <w:color w:val="231F20"/>
          <w:sz w:val="20"/>
          <w:vertAlign w:val="baseline"/>
        </w:rPr>
        <w:t>La</w:t>
      </w:r>
      <w:r>
        <w:rPr>
          <w:color w:val="231F20"/>
          <w:spacing w:val="18"/>
          <w:sz w:val="20"/>
          <w:vertAlign w:val="baseline"/>
        </w:rPr>
        <w:t> </w:t>
      </w:r>
      <w:r>
        <w:rPr>
          <w:color w:val="231F20"/>
          <w:sz w:val="20"/>
          <w:vertAlign w:val="baseline"/>
        </w:rPr>
        <w:t>conférence</w:t>
      </w:r>
      <w:r>
        <w:rPr>
          <w:color w:val="231F20"/>
          <w:spacing w:val="18"/>
          <w:sz w:val="20"/>
          <w:vertAlign w:val="baseline"/>
        </w:rPr>
        <w:t> </w:t>
      </w:r>
      <w:r>
        <w:rPr>
          <w:color w:val="231F20"/>
          <w:sz w:val="20"/>
          <w:vertAlign w:val="baseline"/>
        </w:rPr>
        <w:t>de</w:t>
      </w:r>
      <w:r>
        <w:rPr>
          <w:color w:val="231F20"/>
          <w:spacing w:val="17"/>
          <w:sz w:val="20"/>
          <w:vertAlign w:val="baseline"/>
        </w:rPr>
        <w:t> </w:t>
      </w:r>
      <w:r>
        <w:rPr>
          <w:color w:val="231F20"/>
          <w:sz w:val="20"/>
          <w:vertAlign w:val="baseline"/>
        </w:rPr>
        <w:t>Berlin</w:t>
      </w:r>
      <w:r>
        <w:rPr>
          <w:color w:val="231F20"/>
          <w:spacing w:val="19"/>
          <w:sz w:val="20"/>
          <w:vertAlign w:val="baseline"/>
        </w:rPr>
        <w:t> </w:t>
      </w:r>
      <w:r>
        <w:rPr>
          <w:color w:val="231F20"/>
          <w:sz w:val="20"/>
          <w:vertAlign w:val="baseline"/>
        </w:rPr>
        <w:t>(15</w:t>
      </w:r>
      <w:r>
        <w:rPr>
          <w:color w:val="231F20"/>
          <w:spacing w:val="18"/>
          <w:sz w:val="20"/>
          <w:vertAlign w:val="baseline"/>
        </w:rPr>
        <w:t> </w:t>
      </w:r>
      <w:r>
        <w:rPr>
          <w:color w:val="231F20"/>
          <w:sz w:val="20"/>
          <w:vertAlign w:val="baseline"/>
        </w:rPr>
        <w:t>novembre</w:t>
      </w:r>
      <w:r>
        <w:rPr>
          <w:color w:val="231F20"/>
          <w:spacing w:val="18"/>
          <w:sz w:val="20"/>
          <w:vertAlign w:val="baseline"/>
        </w:rPr>
        <w:t> </w:t>
      </w:r>
      <w:r>
        <w:rPr>
          <w:color w:val="231F20"/>
          <w:sz w:val="20"/>
          <w:vertAlign w:val="baseline"/>
        </w:rPr>
        <w:t>1884</w:t>
      </w:r>
      <w:r>
        <w:rPr>
          <w:color w:val="231F20"/>
          <w:spacing w:val="20"/>
          <w:sz w:val="20"/>
          <w:vertAlign w:val="baseline"/>
        </w:rPr>
        <w:t> </w:t>
      </w:r>
      <w:r>
        <w:rPr>
          <w:color w:val="231F20"/>
          <w:sz w:val="20"/>
          <w:vertAlign w:val="baseline"/>
        </w:rPr>
        <w:t>-</w:t>
      </w:r>
      <w:r>
        <w:rPr>
          <w:color w:val="231F20"/>
          <w:spacing w:val="19"/>
          <w:sz w:val="20"/>
          <w:vertAlign w:val="baseline"/>
        </w:rPr>
        <w:t> </w:t>
      </w:r>
      <w:r>
        <w:rPr>
          <w:color w:val="231F20"/>
          <w:sz w:val="20"/>
          <w:vertAlign w:val="baseline"/>
        </w:rPr>
        <w:t>26</w:t>
      </w:r>
      <w:r>
        <w:rPr>
          <w:color w:val="231F20"/>
          <w:spacing w:val="18"/>
          <w:sz w:val="20"/>
          <w:vertAlign w:val="baseline"/>
        </w:rPr>
        <w:t> </w:t>
      </w:r>
      <w:r>
        <w:rPr>
          <w:color w:val="231F20"/>
          <w:sz w:val="20"/>
          <w:vertAlign w:val="baseline"/>
        </w:rPr>
        <w:t>février</w:t>
      </w:r>
      <w:r>
        <w:rPr>
          <w:color w:val="231F20"/>
          <w:spacing w:val="19"/>
          <w:sz w:val="20"/>
          <w:vertAlign w:val="baseline"/>
        </w:rPr>
        <w:t> </w:t>
      </w:r>
      <w:r>
        <w:rPr>
          <w:color w:val="231F20"/>
          <w:sz w:val="20"/>
          <w:vertAlign w:val="baseline"/>
        </w:rPr>
        <w:t>1885)</w:t>
      </w:r>
      <w:r>
        <w:rPr>
          <w:color w:val="231F20"/>
          <w:spacing w:val="20"/>
          <w:sz w:val="20"/>
          <w:vertAlign w:val="baseline"/>
        </w:rPr>
        <w:t> </w:t>
      </w:r>
      <w:r>
        <w:rPr>
          <w:color w:val="231F20"/>
          <w:sz w:val="20"/>
          <w:vertAlign w:val="baseline"/>
        </w:rPr>
        <w:t>à</w:t>
      </w:r>
      <w:r>
        <w:rPr>
          <w:color w:val="231F20"/>
          <w:spacing w:val="20"/>
          <w:sz w:val="20"/>
          <w:vertAlign w:val="baseline"/>
        </w:rPr>
        <w:t> </w:t>
      </w:r>
      <w:r>
        <w:rPr>
          <w:color w:val="231F20"/>
          <w:sz w:val="20"/>
          <w:vertAlign w:val="baseline"/>
        </w:rPr>
        <w:t>Berlin</w:t>
      </w:r>
      <w:r>
        <w:rPr>
          <w:color w:val="231F20"/>
          <w:spacing w:val="21"/>
          <w:sz w:val="20"/>
          <w:vertAlign w:val="baseline"/>
        </w:rPr>
        <w:t> </w:t>
      </w:r>
      <w:r>
        <w:rPr>
          <w:color w:val="231F20"/>
          <w:spacing w:val="-2"/>
          <w:sz w:val="20"/>
          <w:vertAlign w:val="baseline"/>
        </w:rPr>
        <w:t>marque</w:t>
      </w:r>
    </w:p>
    <w:p>
      <w:pPr>
        <w:spacing w:before="1"/>
        <w:ind w:left="111" w:right="0" w:firstLine="0"/>
        <w:jc w:val="left"/>
        <w:rPr>
          <w:sz w:val="20"/>
        </w:rPr>
      </w:pPr>
      <w:r>
        <w:rPr>
          <w:color w:val="231F20"/>
          <w:spacing w:val="-4"/>
          <w:sz w:val="20"/>
        </w:rPr>
        <w:t>l’organisation</w:t>
      </w:r>
      <w:r>
        <w:rPr>
          <w:color w:val="231F20"/>
          <w:spacing w:val="-1"/>
          <w:sz w:val="20"/>
        </w:rPr>
        <w:t> </w:t>
      </w:r>
      <w:r>
        <w:rPr>
          <w:color w:val="231F20"/>
          <w:spacing w:val="-4"/>
          <w:sz w:val="20"/>
        </w:rPr>
        <w:t>et la collaboration</w:t>
      </w:r>
      <w:r>
        <w:rPr>
          <w:color w:val="231F20"/>
          <w:spacing w:val="-1"/>
          <w:sz w:val="20"/>
        </w:rPr>
        <w:t> </w:t>
      </w:r>
      <w:r>
        <w:rPr>
          <w:color w:val="231F20"/>
          <w:spacing w:val="-4"/>
          <w:sz w:val="20"/>
        </w:rPr>
        <w:t>européenne pour le</w:t>
      </w:r>
      <w:r>
        <w:rPr>
          <w:color w:val="231F20"/>
          <w:spacing w:val="-5"/>
          <w:sz w:val="20"/>
        </w:rPr>
        <w:t> </w:t>
      </w:r>
      <w:r>
        <w:rPr>
          <w:color w:val="231F20"/>
          <w:spacing w:val="-4"/>
          <w:sz w:val="20"/>
        </w:rPr>
        <w:t>partage</w:t>
      </w:r>
      <w:r>
        <w:rPr>
          <w:color w:val="231F20"/>
          <w:spacing w:val="-1"/>
          <w:sz w:val="20"/>
        </w:rPr>
        <w:t> </w:t>
      </w:r>
      <w:r>
        <w:rPr>
          <w:color w:val="231F20"/>
          <w:spacing w:val="-4"/>
          <w:sz w:val="20"/>
        </w:rPr>
        <w:t>et la</w:t>
      </w:r>
      <w:r>
        <w:rPr>
          <w:color w:val="231F20"/>
          <w:spacing w:val="-5"/>
          <w:sz w:val="20"/>
        </w:rPr>
        <w:t> </w:t>
      </w:r>
      <w:r>
        <w:rPr>
          <w:color w:val="231F20"/>
          <w:spacing w:val="-4"/>
          <w:sz w:val="20"/>
        </w:rPr>
        <w:t>division</w:t>
      </w:r>
      <w:r>
        <w:rPr>
          <w:color w:val="231F20"/>
          <w:spacing w:val="-3"/>
          <w:sz w:val="20"/>
        </w:rPr>
        <w:t> </w:t>
      </w:r>
      <w:r>
        <w:rPr>
          <w:color w:val="231F20"/>
          <w:spacing w:val="-4"/>
          <w:sz w:val="20"/>
        </w:rPr>
        <w:t>de</w:t>
      </w:r>
      <w:r>
        <w:rPr>
          <w:color w:val="231F20"/>
          <w:spacing w:val="-1"/>
          <w:sz w:val="20"/>
        </w:rPr>
        <w:t> </w:t>
      </w:r>
      <w:r>
        <w:rPr>
          <w:color w:val="231F20"/>
          <w:spacing w:val="-4"/>
          <w:sz w:val="20"/>
        </w:rPr>
        <w:t>l’Afrique.</w:t>
      </w:r>
    </w:p>
    <w:p>
      <w:pPr>
        <w:spacing w:after="0"/>
        <w:jc w:val="left"/>
        <w:rPr>
          <w:sz w:val="20"/>
        </w:rPr>
        <w:sectPr>
          <w:footerReference w:type="default" r:id="rId25"/>
          <w:footerReference w:type="even" r:id="rId26"/>
          <w:pgSz w:w="8790" w:h="13610"/>
          <w:pgMar w:header="0" w:footer="802" w:top="1040" w:bottom="1000" w:left="880" w:right="880"/>
          <w:pgNumType w:start="27"/>
        </w:sectPr>
      </w:pPr>
    </w:p>
    <w:p>
      <w:pPr>
        <w:pStyle w:val="BodyText"/>
        <w:spacing w:before="66"/>
        <w:ind w:right="105" w:firstLine="283"/>
      </w:pPr>
      <w:r>
        <w:rPr>
          <w:color w:val="231F20"/>
        </w:rPr>
        <w:t>L’installation</w:t>
      </w:r>
      <w:r>
        <w:rPr>
          <w:color w:val="231F20"/>
          <w:spacing w:val="-15"/>
        </w:rPr>
        <w:t> </w:t>
      </w:r>
      <w:r>
        <w:rPr>
          <w:color w:val="231F20"/>
        </w:rPr>
        <w:t>de</w:t>
      </w:r>
      <w:r>
        <w:rPr>
          <w:color w:val="231F20"/>
          <w:spacing w:val="-15"/>
        </w:rPr>
        <w:t> </w:t>
      </w:r>
      <w:r>
        <w:rPr>
          <w:color w:val="231F20"/>
        </w:rPr>
        <w:t>l’autorité</w:t>
      </w:r>
      <w:r>
        <w:rPr>
          <w:color w:val="231F20"/>
          <w:spacing w:val="-15"/>
        </w:rPr>
        <w:t> </w:t>
      </w:r>
      <w:r>
        <w:rPr>
          <w:color w:val="231F20"/>
        </w:rPr>
        <w:t>française</w:t>
      </w:r>
      <w:r>
        <w:rPr>
          <w:color w:val="231F20"/>
          <w:spacing w:val="-15"/>
        </w:rPr>
        <w:t> </w:t>
      </w:r>
      <w:r>
        <w:rPr>
          <w:color w:val="231F20"/>
        </w:rPr>
        <w:t>sur</w:t>
      </w:r>
      <w:r>
        <w:rPr>
          <w:color w:val="231F20"/>
          <w:spacing w:val="-15"/>
        </w:rPr>
        <w:t> </w:t>
      </w:r>
      <w:r>
        <w:rPr>
          <w:color w:val="231F20"/>
        </w:rPr>
        <w:t>«</w:t>
      </w:r>
      <w:r>
        <w:rPr>
          <w:color w:val="231F20"/>
          <w:spacing w:val="-15"/>
        </w:rPr>
        <w:t> </w:t>
      </w:r>
      <w:r>
        <w:rPr>
          <w:color w:val="231F20"/>
        </w:rPr>
        <w:t>ses</w:t>
      </w:r>
      <w:r>
        <w:rPr>
          <w:color w:val="231F20"/>
          <w:spacing w:val="-15"/>
        </w:rPr>
        <w:t> </w:t>
      </w:r>
      <w:r>
        <w:rPr>
          <w:color w:val="231F20"/>
        </w:rPr>
        <w:t>terres</w:t>
      </w:r>
      <w:r>
        <w:rPr>
          <w:color w:val="231F20"/>
          <w:spacing w:val="-15"/>
        </w:rPr>
        <w:t> </w:t>
      </w:r>
      <w:r>
        <w:rPr>
          <w:color w:val="231F20"/>
        </w:rPr>
        <w:t>»</w:t>
      </w:r>
      <w:r>
        <w:rPr>
          <w:color w:val="231F20"/>
          <w:spacing w:val="-15"/>
        </w:rPr>
        <w:t> </w:t>
      </w:r>
      <w:r>
        <w:rPr>
          <w:color w:val="231F20"/>
        </w:rPr>
        <w:t>est</w:t>
      </w:r>
      <w:r>
        <w:rPr>
          <w:color w:val="231F20"/>
          <w:spacing w:val="-15"/>
        </w:rPr>
        <w:t> </w:t>
      </w:r>
      <w:r>
        <w:rPr>
          <w:color w:val="231F20"/>
        </w:rPr>
        <w:t>préparée</w:t>
      </w:r>
      <w:r>
        <w:rPr>
          <w:color w:val="231F20"/>
          <w:spacing w:val="-15"/>
        </w:rPr>
        <w:t> </w:t>
      </w:r>
      <w:r>
        <w:rPr>
          <w:color w:val="231F20"/>
        </w:rPr>
        <w:t>par la signature de divers traités de protectorat avec les chefs analphabètes locaux, la création de comptoirs, l’exploration des terres et enfin la soumission des populations par les armes.</w:t>
      </w:r>
    </w:p>
    <w:p>
      <w:pPr>
        <w:pStyle w:val="BodyText"/>
        <w:spacing w:before="120"/>
        <w:ind w:right="105" w:firstLine="283"/>
      </w:pPr>
      <w:r>
        <w:rPr>
          <w:color w:val="231F20"/>
        </w:rPr>
        <w:t>De</w:t>
      </w:r>
      <w:r>
        <w:rPr>
          <w:color w:val="231F20"/>
          <w:spacing w:val="-15"/>
        </w:rPr>
        <w:t> </w:t>
      </w:r>
      <w:r>
        <w:rPr>
          <w:color w:val="231F20"/>
        </w:rPr>
        <w:t>nombreux</w:t>
      </w:r>
      <w:r>
        <w:rPr>
          <w:color w:val="231F20"/>
          <w:spacing w:val="-15"/>
        </w:rPr>
        <w:t> </w:t>
      </w:r>
      <w:r>
        <w:rPr>
          <w:color w:val="231F20"/>
        </w:rPr>
        <w:t>ouvrages</w:t>
      </w:r>
      <w:r>
        <w:rPr>
          <w:color w:val="231F20"/>
          <w:spacing w:val="-15"/>
        </w:rPr>
        <w:t> </w:t>
      </w:r>
      <w:r>
        <w:rPr>
          <w:color w:val="231F20"/>
        </w:rPr>
        <w:t>occidentaux</w:t>
      </w:r>
      <w:r>
        <w:rPr>
          <w:color w:val="231F20"/>
          <w:spacing w:val="-15"/>
        </w:rPr>
        <w:t> </w:t>
      </w:r>
      <w:r>
        <w:rPr>
          <w:color w:val="231F20"/>
        </w:rPr>
        <w:t>consacrés</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période</w:t>
      </w:r>
      <w:r>
        <w:rPr>
          <w:color w:val="231F20"/>
          <w:spacing w:val="-15"/>
        </w:rPr>
        <w:t> </w:t>
      </w:r>
      <w:r>
        <w:rPr>
          <w:color w:val="231F20"/>
        </w:rPr>
        <w:t>coloniale, font état du caractère servile des Noirs. Les écrits mentionnent que les populations africaines auraient accepté de bon gré la tutelle française : cela</w:t>
      </w:r>
      <w:r>
        <w:rPr>
          <w:color w:val="231F20"/>
          <w:spacing w:val="-12"/>
        </w:rPr>
        <w:t> </w:t>
      </w:r>
      <w:r>
        <w:rPr>
          <w:color w:val="231F20"/>
        </w:rPr>
        <w:t>est</w:t>
      </w:r>
      <w:r>
        <w:rPr>
          <w:color w:val="231F20"/>
          <w:spacing w:val="-12"/>
        </w:rPr>
        <w:t> </w:t>
      </w:r>
      <w:r>
        <w:rPr>
          <w:color w:val="231F20"/>
        </w:rPr>
        <w:t>leur</w:t>
      </w:r>
      <w:r>
        <w:rPr>
          <w:color w:val="231F20"/>
          <w:spacing w:val="-12"/>
        </w:rPr>
        <w:t> </w:t>
      </w:r>
      <w:r>
        <w:rPr>
          <w:color w:val="231F20"/>
        </w:rPr>
        <w:t>vérité.</w:t>
      </w:r>
      <w:r>
        <w:rPr>
          <w:color w:val="231F20"/>
          <w:spacing w:val="-11"/>
        </w:rPr>
        <w:t> </w:t>
      </w:r>
      <w:r>
        <w:rPr>
          <w:color w:val="231F20"/>
        </w:rPr>
        <w:t>La</w:t>
      </w:r>
      <w:r>
        <w:rPr>
          <w:color w:val="231F20"/>
          <w:spacing w:val="-12"/>
        </w:rPr>
        <w:t> </w:t>
      </w:r>
      <w:r>
        <w:rPr>
          <w:color w:val="231F20"/>
        </w:rPr>
        <w:t>tradition</w:t>
      </w:r>
      <w:r>
        <w:rPr>
          <w:color w:val="231F20"/>
          <w:spacing w:val="-12"/>
        </w:rPr>
        <w:t> </w:t>
      </w:r>
      <w:r>
        <w:rPr>
          <w:color w:val="231F20"/>
        </w:rPr>
        <w:t>orale</w:t>
      </w:r>
      <w:r>
        <w:rPr>
          <w:color w:val="231F20"/>
          <w:spacing w:val="-12"/>
        </w:rPr>
        <w:t> </w:t>
      </w:r>
      <w:r>
        <w:rPr>
          <w:color w:val="231F20"/>
        </w:rPr>
        <w:t>en</w:t>
      </w:r>
      <w:r>
        <w:rPr>
          <w:color w:val="231F20"/>
          <w:spacing w:val="-12"/>
        </w:rPr>
        <w:t> </w:t>
      </w:r>
      <w:r>
        <w:rPr>
          <w:color w:val="231F20"/>
        </w:rPr>
        <w:t>Afrique</w:t>
      </w:r>
      <w:r>
        <w:rPr>
          <w:color w:val="231F20"/>
          <w:spacing w:val="-12"/>
        </w:rPr>
        <w:t> </w:t>
      </w:r>
      <w:r>
        <w:rPr>
          <w:color w:val="231F20"/>
        </w:rPr>
        <w:t>chante</w:t>
      </w:r>
      <w:r>
        <w:rPr>
          <w:color w:val="231F20"/>
          <w:spacing w:val="-12"/>
        </w:rPr>
        <w:t> </w:t>
      </w:r>
      <w:r>
        <w:rPr>
          <w:color w:val="231F20"/>
        </w:rPr>
        <w:t>pour</w:t>
      </w:r>
      <w:r>
        <w:rPr>
          <w:color w:val="231F20"/>
          <w:spacing w:val="-11"/>
        </w:rPr>
        <w:t> </w:t>
      </w:r>
      <w:r>
        <w:rPr>
          <w:color w:val="231F20"/>
        </w:rPr>
        <w:t>sa</w:t>
      </w:r>
      <w:r>
        <w:rPr>
          <w:color w:val="231F20"/>
          <w:spacing w:val="-12"/>
        </w:rPr>
        <w:t> </w:t>
      </w:r>
      <w:r>
        <w:rPr>
          <w:color w:val="231F20"/>
        </w:rPr>
        <w:t>part,</w:t>
      </w:r>
      <w:r>
        <w:rPr>
          <w:color w:val="231F20"/>
          <w:spacing w:val="-12"/>
        </w:rPr>
        <w:t> </w:t>
      </w:r>
      <w:r>
        <w:rPr>
          <w:color w:val="231F20"/>
        </w:rPr>
        <w:t>ses héros qui ont refusé l’autorité de</w:t>
      </w:r>
      <w:r>
        <w:rPr>
          <w:color w:val="231F20"/>
          <w:spacing w:val="-2"/>
        </w:rPr>
        <w:t> </w:t>
      </w:r>
      <w:r>
        <w:rPr>
          <w:color w:val="231F20"/>
        </w:rPr>
        <w:t>l’envahisseur</w:t>
      </w:r>
      <w:r>
        <w:rPr>
          <w:color w:val="231F20"/>
          <w:spacing w:val="-3"/>
        </w:rPr>
        <w:t> </w:t>
      </w:r>
      <w:r>
        <w:rPr>
          <w:color w:val="231F20"/>
        </w:rPr>
        <w:t>:</w:t>
      </w:r>
    </w:p>
    <w:p>
      <w:pPr>
        <w:spacing w:before="121"/>
        <w:ind w:left="111" w:right="108" w:firstLine="283"/>
        <w:jc w:val="both"/>
        <w:rPr>
          <w:i/>
          <w:sz w:val="24"/>
        </w:rPr>
      </w:pPr>
      <w:r>
        <w:rPr>
          <w:i/>
          <w:color w:val="231F20"/>
          <w:sz w:val="24"/>
        </w:rPr>
        <w:t>«</w:t>
      </w:r>
      <w:r>
        <w:rPr>
          <w:i/>
          <w:color w:val="231F20"/>
          <w:spacing w:val="-15"/>
          <w:sz w:val="24"/>
        </w:rPr>
        <w:t> </w:t>
      </w:r>
      <w:r>
        <w:rPr>
          <w:i/>
          <w:color w:val="231F20"/>
          <w:sz w:val="24"/>
        </w:rPr>
        <w:t>Si</w:t>
      </w:r>
      <w:r>
        <w:rPr>
          <w:i/>
          <w:color w:val="231F20"/>
          <w:spacing w:val="-15"/>
          <w:sz w:val="24"/>
        </w:rPr>
        <w:t> </w:t>
      </w:r>
      <w:r>
        <w:rPr>
          <w:i/>
          <w:color w:val="231F20"/>
          <w:sz w:val="24"/>
        </w:rPr>
        <w:t>tu</w:t>
      </w:r>
      <w:r>
        <w:rPr>
          <w:i/>
          <w:color w:val="231F20"/>
          <w:spacing w:val="-15"/>
          <w:sz w:val="24"/>
        </w:rPr>
        <w:t> </w:t>
      </w:r>
      <w:r>
        <w:rPr>
          <w:i/>
          <w:color w:val="231F20"/>
          <w:sz w:val="24"/>
        </w:rPr>
        <w:t>ne</w:t>
      </w:r>
      <w:r>
        <w:rPr>
          <w:i/>
          <w:color w:val="231F20"/>
          <w:spacing w:val="-15"/>
          <w:sz w:val="24"/>
        </w:rPr>
        <w:t> </w:t>
      </w:r>
      <w:r>
        <w:rPr>
          <w:i/>
          <w:color w:val="231F20"/>
          <w:sz w:val="24"/>
        </w:rPr>
        <w:t>peux</w:t>
      </w:r>
      <w:r>
        <w:rPr>
          <w:i/>
          <w:color w:val="231F20"/>
          <w:spacing w:val="-15"/>
          <w:sz w:val="24"/>
        </w:rPr>
        <w:t> </w:t>
      </w:r>
      <w:r>
        <w:rPr>
          <w:i/>
          <w:color w:val="231F20"/>
          <w:sz w:val="24"/>
        </w:rPr>
        <w:t>organiser,</w:t>
      </w:r>
      <w:r>
        <w:rPr>
          <w:i/>
          <w:color w:val="231F20"/>
          <w:spacing w:val="-15"/>
          <w:sz w:val="24"/>
        </w:rPr>
        <w:t> </w:t>
      </w:r>
      <w:r>
        <w:rPr>
          <w:i/>
          <w:color w:val="231F20"/>
          <w:sz w:val="24"/>
        </w:rPr>
        <w:t>diriger</w:t>
      </w:r>
      <w:r>
        <w:rPr>
          <w:i/>
          <w:color w:val="231F20"/>
          <w:spacing w:val="-15"/>
          <w:sz w:val="24"/>
        </w:rPr>
        <w:t> </w:t>
      </w:r>
      <w:r>
        <w:rPr>
          <w:i/>
          <w:color w:val="231F20"/>
          <w:sz w:val="24"/>
        </w:rPr>
        <w:t>et</w:t>
      </w:r>
      <w:r>
        <w:rPr>
          <w:i/>
          <w:color w:val="231F20"/>
          <w:spacing w:val="-15"/>
          <w:sz w:val="24"/>
        </w:rPr>
        <w:t> </w:t>
      </w:r>
      <w:r>
        <w:rPr>
          <w:i/>
          <w:color w:val="231F20"/>
          <w:sz w:val="24"/>
        </w:rPr>
        <w:t>défendre</w:t>
      </w:r>
      <w:r>
        <w:rPr>
          <w:i/>
          <w:color w:val="231F20"/>
          <w:spacing w:val="-15"/>
          <w:sz w:val="24"/>
        </w:rPr>
        <w:t> </w:t>
      </w:r>
      <w:r>
        <w:rPr>
          <w:i/>
          <w:color w:val="231F20"/>
          <w:sz w:val="24"/>
        </w:rPr>
        <w:t>le</w:t>
      </w:r>
      <w:r>
        <w:rPr>
          <w:i/>
          <w:color w:val="231F20"/>
          <w:spacing w:val="-15"/>
          <w:sz w:val="24"/>
        </w:rPr>
        <w:t> </w:t>
      </w:r>
      <w:r>
        <w:rPr>
          <w:i/>
          <w:color w:val="231F20"/>
          <w:sz w:val="24"/>
        </w:rPr>
        <w:t>pays</w:t>
      </w:r>
      <w:r>
        <w:rPr>
          <w:i/>
          <w:color w:val="231F20"/>
          <w:spacing w:val="-15"/>
          <w:sz w:val="24"/>
        </w:rPr>
        <w:t> </w:t>
      </w:r>
      <w:r>
        <w:rPr>
          <w:i/>
          <w:color w:val="231F20"/>
          <w:sz w:val="24"/>
        </w:rPr>
        <w:t>de</w:t>
      </w:r>
      <w:r>
        <w:rPr>
          <w:i/>
          <w:color w:val="231F20"/>
          <w:spacing w:val="-15"/>
          <w:sz w:val="24"/>
        </w:rPr>
        <w:t> </w:t>
      </w:r>
      <w:r>
        <w:rPr>
          <w:i/>
          <w:color w:val="231F20"/>
          <w:sz w:val="24"/>
        </w:rPr>
        <w:t>tes</w:t>
      </w:r>
      <w:r>
        <w:rPr>
          <w:i/>
          <w:color w:val="231F20"/>
          <w:spacing w:val="-15"/>
          <w:sz w:val="24"/>
        </w:rPr>
        <w:t> </w:t>
      </w:r>
      <w:r>
        <w:rPr>
          <w:i/>
          <w:color w:val="231F20"/>
          <w:sz w:val="24"/>
        </w:rPr>
        <w:t>pères,</w:t>
      </w:r>
      <w:r>
        <w:rPr>
          <w:i/>
          <w:color w:val="231F20"/>
          <w:spacing w:val="-15"/>
          <w:sz w:val="24"/>
        </w:rPr>
        <w:t> </w:t>
      </w:r>
      <w:r>
        <w:rPr>
          <w:i/>
          <w:color w:val="231F20"/>
          <w:sz w:val="24"/>
        </w:rPr>
        <w:t>fais</w:t>
      </w:r>
      <w:r>
        <w:rPr>
          <w:i/>
          <w:color w:val="231F20"/>
          <w:sz w:val="24"/>
        </w:rPr>
        <w:t> appel aux hommes les plus valeureux ;</w:t>
      </w:r>
    </w:p>
    <w:p>
      <w:pPr>
        <w:spacing w:before="120"/>
        <w:ind w:left="111" w:right="106" w:firstLine="283"/>
        <w:jc w:val="both"/>
        <w:rPr>
          <w:i/>
          <w:sz w:val="24"/>
        </w:rPr>
      </w:pPr>
      <w:r>
        <w:rPr>
          <w:i/>
          <w:color w:val="231F20"/>
          <w:spacing w:val="-2"/>
          <w:sz w:val="24"/>
        </w:rPr>
        <w:t>Si</w:t>
      </w:r>
      <w:r>
        <w:rPr>
          <w:i/>
          <w:color w:val="231F20"/>
          <w:spacing w:val="-10"/>
          <w:sz w:val="24"/>
        </w:rPr>
        <w:t> </w:t>
      </w:r>
      <w:r>
        <w:rPr>
          <w:i/>
          <w:color w:val="231F20"/>
          <w:spacing w:val="-2"/>
          <w:sz w:val="24"/>
        </w:rPr>
        <w:t>tu</w:t>
      </w:r>
      <w:r>
        <w:rPr>
          <w:i/>
          <w:color w:val="231F20"/>
          <w:spacing w:val="-12"/>
          <w:sz w:val="24"/>
        </w:rPr>
        <w:t> </w:t>
      </w:r>
      <w:r>
        <w:rPr>
          <w:i/>
          <w:color w:val="231F20"/>
          <w:spacing w:val="-2"/>
          <w:sz w:val="24"/>
        </w:rPr>
        <w:t>ne</w:t>
      </w:r>
      <w:r>
        <w:rPr>
          <w:i/>
          <w:color w:val="231F20"/>
          <w:spacing w:val="-10"/>
          <w:sz w:val="24"/>
        </w:rPr>
        <w:t> </w:t>
      </w:r>
      <w:r>
        <w:rPr>
          <w:i/>
          <w:color w:val="231F20"/>
          <w:spacing w:val="-2"/>
          <w:sz w:val="24"/>
        </w:rPr>
        <w:t>peux</w:t>
      </w:r>
      <w:r>
        <w:rPr>
          <w:i/>
          <w:color w:val="231F20"/>
          <w:spacing w:val="-10"/>
          <w:sz w:val="24"/>
        </w:rPr>
        <w:t> </w:t>
      </w:r>
      <w:r>
        <w:rPr>
          <w:i/>
          <w:color w:val="231F20"/>
          <w:spacing w:val="-2"/>
          <w:sz w:val="24"/>
        </w:rPr>
        <w:t>dire</w:t>
      </w:r>
      <w:r>
        <w:rPr>
          <w:i/>
          <w:color w:val="231F20"/>
          <w:spacing w:val="-10"/>
          <w:sz w:val="24"/>
        </w:rPr>
        <w:t> </w:t>
      </w:r>
      <w:r>
        <w:rPr>
          <w:i/>
          <w:color w:val="231F20"/>
          <w:spacing w:val="-2"/>
          <w:sz w:val="24"/>
        </w:rPr>
        <w:t>la</w:t>
      </w:r>
      <w:r>
        <w:rPr>
          <w:i/>
          <w:color w:val="231F20"/>
          <w:spacing w:val="-10"/>
          <w:sz w:val="24"/>
        </w:rPr>
        <w:t> </w:t>
      </w:r>
      <w:r>
        <w:rPr>
          <w:i/>
          <w:color w:val="231F20"/>
          <w:spacing w:val="-2"/>
          <w:sz w:val="24"/>
        </w:rPr>
        <w:t>vérité,</w:t>
      </w:r>
      <w:r>
        <w:rPr>
          <w:i/>
          <w:color w:val="231F20"/>
          <w:spacing w:val="-10"/>
          <w:sz w:val="24"/>
        </w:rPr>
        <w:t> </w:t>
      </w:r>
      <w:r>
        <w:rPr>
          <w:i/>
          <w:color w:val="231F20"/>
          <w:spacing w:val="-2"/>
          <w:sz w:val="24"/>
        </w:rPr>
        <w:t>en</w:t>
      </w:r>
      <w:r>
        <w:rPr>
          <w:i/>
          <w:color w:val="231F20"/>
          <w:spacing w:val="-10"/>
          <w:sz w:val="24"/>
        </w:rPr>
        <w:t> </w:t>
      </w:r>
      <w:r>
        <w:rPr>
          <w:i/>
          <w:color w:val="231F20"/>
          <w:spacing w:val="-2"/>
          <w:sz w:val="24"/>
        </w:rPr>
        <w:t>tout</w:t>
      </w:r>
      <w:r>
        <w:rPr>
          <w:i/>
          <w:color w:val="231F20"/>
          <w:spacing w:val="-9"/>
          <w:sz w:val="24"/>
        </w:rPr>
        <w:t> </w:t>
      </w:r>
      <w:r>
        <w:rPr>
          <w:i/>
          <w:color w:val="231F20"/>
          <w:spacing w:val="-2"/>
          <w:sz w:val="24"/>
        </w:rPr>
        <w:t>lieu</w:t>
      </w:r>
      <w:r>
        <w:rPr>
          <w:i/>
          <w:color w:val="231F20"/>
          <w:spacing w:val="-10"/>
          <w:sz w:val="24"/>
        </w:rPr>
        <w:t> </w:t>
      </w:r>
      <w:r>
        <w:rPr>
          <w:i/>
          <w:color w:val="231F20"/>
          <w:spacing w:val="-2"/>
          <w:sz w:val="24"/>
        </w:rPr>
        <w:t>et</w:t>
      </w:r>
      <w:r>
        <w:rPr>
          <w:i/>
          <w:color w:val="231F20"/>
          <w:spacing w:val="-10"/>
          <w:sz w:val="24"/>
        </w:rPr>
        <w:t> </w:t>
      </w:r>
      <w:r>
        <w:rPr>
          <w:i/>
          <w:color w:val="231F20"/>
          <w:spacing w:val="-2"/>
          <w:sz w:val="24"/>
        </w:rPr>
        <w:t>en</w:t>
      </w:r>
      <w:r>
        <w:rPr>
          <w:i/>
          <w:color w:val="231F20"/>
          <w:spacing w:val="-12"/>
          <w:sz w:val="24"/>
        </w:rPr>
        <w:t> </w:t>
      </w:r>
      <w:r>
        <w:rPr>
          <w:i/>
          <w:color w:val="231F20"/>
          <w:spacing w:val="-2"/>
          <w:sz w:val="24"/>
        </w:rPr>
        <w:t>tout</w:t>
      </w:r>
      <w:r>
        <w:rPr>
          <w:i/>
          <w:color w:val="231F20"/>
          <w:spacing w:val="-9"/>
          <w:sz w:val="24"/>
        </w:rPr>
        <w:t> </w:t>
      </w:r>
      <w:r>
        <w:rPr>
          <w:i/>
          <w:color w:val="231F20"/>
          <w:spacing w:val="-2"/>
          <w:sz w:val="24"/>
        </w:rPr>
        <w:t>temps,</w:t>
      </w:r>
      <w:r>
        <w:rPr>
          <w:i/>
          <w:color w:val="231F20"/>
          <w:spacing w:val="-10"/>
          <w:sz w:val="24"/>
        </w:rPr>
        <w:t> </w:t>
      </w:r>
      <w:r>
        <w:rPr>
          <w:i/>
          <w:color w:val="231F20"/>
          <w:spacing w:val="-2"/>
          <w:sz w:val="24"/>
        </w:rPr>
        <w:t>fais</w:t>
      </w:r>
      <w:r>
        <w:rPr>
          <w:i/>
          <w:color w:val="231F20"/>
          <w:spacing w:val="-12"/>
          <w:sz w:val="24"/>
        </w:rPr>
        <w:t> </w:t>
      </w:r>
      <w:r>
        <w:rPr>
          <w:i/>
          <w:color w:val="231F20"/>
          <w:spacing w:val="-2"/>
          <w:sz w:val="24"/>
        </w:rPr>
        <w:t>appel</w:t>
      </w:r>
      <w:r>
        <w:rPr>
          <w:i/>
          <w:color w:val="231F20"/>
          <w:spacing w:val="-12"/>
          <w:sz w:val="24"/>
        </w:rPr>
        <w:t> </w:t>
      </w:r>
      <w:r>
        <w:rPr>
          <w:i/>
          <w:color w:val="231F20"/>
          <w:spacing w:val="-2"/>
          <w:sz w:val="24"/>
        </w:rPr>
        <w:t>aux</w:t>
      </w:r>
      <w:r>
        <w:rPr>
          <w:i/>
          <w:color w:val="231F20"/>
          <w:spacing w:val="-2"/>
          <w:sz w:val="24"/>
        </w:rPr>
        <w:t> </w:t>
      </w:r>
      <w:r>
        <w:rPr>
          <w:i/>
          <w:color w:val="231F20"/>
          <w:sz w:val="24"/>
        </w:rPr>
        <w:t>hommes les plus courageux ;</w:t>
      </w:r>
    </w:p>
    <w:p>
      <w:pPr>
        <w:spacing w:before="120"/>
        <w:ind w:left="395" w:right="0" w:firstLine="0"/>
        <w:jc w:val="both"/>
        <w:rPr>
          <w:i/>
          <w:sz w:val="24"/>
        </w:rPr>
      </w:pPr>
      <w:r>
        <w:rPr>
          <w:i/>
          <w:color w:val="231F20"/>
          <w:spacing w:val="-2"/>
          <w:sz w:val="24"/>
        </w:rPr>
        <w:t>Si</w:t>
      </w:r>
      <w:r>
        <w:rPr>
          <w:i/>
          <w:color w:val="231F20"/>
          <w:spacing w:val="-10"/>
          <w:sz w:val="24"/>
        </w:rPr>
        <w:t> </w:t>
      </w:r>
      <w:r>
        <w:rPr>
          <w:i/>
          <w:color w:val="231F20"/>
          <w:spacing w:val="-2"/>
          <w:sz w:val="24"/>
        </w:rPr>
        <w:t>tu</w:t>
      </w:r>
      <w:r>
        <w:rPr>
          <w:i/>
          <w:color w:val="231F20"/>
          <w:spacing w:val="-7"/>
          <w:sz w:val="24"/>
        </w:rPr>
        <w:t> </w:t>
      </w:r>
      <w:r>
        <w:rPr>
          <w:i/>
          <w:color w:val="231F20"/>
          <w:spacing w:val="-2"/>
          <w:sz w:val="24"/>
        </w:rPr>
        <w:t>ne</w:t>
      </w:r>
      <w:r>
        <w:rPr>
          <w:i/>
          <w:color w:val="231F20"/>
          <w:spacing w:val="-10"/>
          <w:sz w:val="24"/>
        </w:rPr>
        <w:t> </w:t>
      </w:r>
      <w:r>
        <w:rPr>
          <w:i/>
          <w:color w:val="231F20"/>
          <w:spacing w:val="-2"/>
          <w:sz w:val="24"/>
        </w:rPr>
        <w:t>peux</w:t>
      </w:r>
      <w:r>
        <w:rPr>
          <w:i/>
          <w:color w:val="231F20"/>
          <w:spacing w:val="-7"/>
          <w:sz w:val="24"/>
        </w:rPr>
        <w:t> </w:t>
      </w:r>
      <w:r>
        <w:rPr>
          <w:i/>
          <w:color w:val="231F20"/>
          <w:spacing w:val="-2"/>
          <w:sz w:val="24"/>
        </w:rPr>
        <w:t>être</w:t>
      </w:r>
      <w:r>
        <w:rPr>
          <w:i/>
          <w:color w:val="231F20"/>
          <w:spacing w:val="-10"/>
          <w:sz w:val="24"/>
        </w:rPr>
        <w:t> </w:t>
      </w:r>
      <w:r>
        <w:rPr>
          <w:i/>
          <w:color w:val="231F20"/>
          <w:spacing w:val="-2"/>
          <w:sz w:val="24"/>
        </w:rPr>
        <w:t>impartial,</w:t>
      </w:r>
      <w:r>
        <w:rPr>
          <w:i/>
          <w:color w:val="231F20"/>
          <w:spacing w:val="-8"/>
          <w:sz w:val="24"/>
        </w:rPr>
        <w:t> </w:t>
      </w:r>
      <w:r>
        <w:rPr>
          <w:i/>
          <w:color w:val="231F20"/>
          <w:spacing w:val="-2"/>
          <w:sz w:val="24"/>
        </w:rPr>
        <w:t>cède</w:t>
      </w:r>
      <w:r>
        <w:rPr>
          <w:i/>
          <w:color w:val="231F20"/>
          <w:spacing w:val="-10"/>
          <w:sz w:val="24"/>
        </w:rPr>
        <w:t> </w:t>
      </w:r>
      <w:r>
        <w:rPr>
          <w:i/>
          <w:color w:val="231F20"/>
          <w:spacing w:val="-2"/>
          <w:sz w:val="24"/>
        </w:rPr>
        <w:t>le</w:t>
      </w:r>
      <w:r>
        <w:rPr>
          <w:i/>
          <w:color w:val="231F20"/>
          <w:spacing w:val="-8"/>
          <w:sz w:val="24"/>
        </w:rPr>
        <w:t> </w:t>
      </w:r>
      <w:r>
        <w:rPr>
          <w:i/>
          <w:color w:val="231F20"/>
          <w:spacing w:val="-2"/>
          <w:sz w:val="24"/>
        </w:rPr>
        <w:t>trône</w:t>
      </w:r>
      <w:r>
        <w:rPr>
          <w:i/>
          <w:color w:val="231F20"/>
          <w:spacing w:val="-8"/>
          <w:sz w:val="24"/>
        </w:rPr>
        <w:t> </w:t>
      </w:r>
      <w:r>
        <w:rPr>
          <w:i/>
          <w:color w:val="231F20"/>
          <w:spacing w:val="-2"/>
          <w:sz w:val="24"/>
        </w:rPr>
        <w:t>aux</w:t>
      </w:r>
      <w:r>
        <w:rPr>
          <w:i/>
          <w:color w:val="231F20"/>
          <w:spacing w:val="-8"/>
          <w:sz w:val="24"/>
        </w:rPr>
        <w:t> </w:t>
      </w:r>
      <w:r>
        <w:rPr>
          <w:i/>
          <w:color w:val="231F20"/>
          <w:spacing w:val="-2"/>
          <w:sz w:val="24"/>
        </w:rPr>
        <w:t>hommes</w:t>
      </w:r>
      <w:r>
        <w:rPr>
          <w:i/>
          <w:color w:val="231F20"/>
          <w:spacing w:val="-8"/>
          <w:sz w:val="24"/>
        </w:rPr>
        <w:t> </w:t>
      </w:r>
      <w:r>
        <w:rPr>
          <w:i/>
          <w:color w:val="231F20"/>
          <w:spacing w:val="-2"/>
          <w:sz w:val="24"/>
        </w:rPr>
        <w:t>justes</w:t>
      </w:r>
      <w:r>
        <w:rPr>
          <w:i/>
          <w:color w:val="231F20"/>
          <w:spacing w:val="-8"/>
          <w:sz w:val="24"/>
        </w:rPr>
        <w:t> </w:t>
      </w:r>
      <w:r>
        <w:rPr>
          <w:i/>
          <w:color w:val="231F20"/>
          <w:spacing w:val="-10"/>
          <w:sz w:val="24"/>
        </w:rPr>
        <w:t>;</w:t>
      </w:r>
    </w:p>
    <w:p>
      <w:pPr>
        <w:spacing w:before="120"/>
        <w:ind w:left="111" w:right="104" w:firstLine="283"/>
        <w:jc w:val="right"/>
        <w:rPr>
          <w:i/>
          <w:sz w:val="24"/>
        </w:rPr>
      </w:pPr>
      <w:r>
        <w:rPr>
          <w:i/>
          <w:color w:val="231F20"/>
          <w:sz w:val="24"/>
        </w:rPr>
        <w:t>Si</w:t>
      </w:r>
      <w:r>
        <w:rPr>
          <w:i/>
          <w:color w:val="231F20"/>
          <w:spacing w:val="-15"/>
          <w:sz w:val="24"/>
        </w:rPr>
        <w:t> </w:t>
      </w:r>
      <w:r>
        <w:rPr>
          <w:i/>
          <w:color w:val="231F20"/>
          <w:sz w:val="24"/>
        </w:rPr>
        <w:t>tu</w:t>
      </w:r>
      <w:r>
        <w:rPr>
          <w:i/>
          <w:color w:val="231F20"/>
          <w:spacing w:val="-15"/>
          <w:sz w:val="24"/>
        </w:rPr>
        <w:t> </w:t>
      </w:r>
      <w:r>
        <w:rPr>
          <w:i/>
          <w:color w:val="231F20"/>
          <w:sz w:val="24"/>
        </w:rPr>
        <w:t>ne</w:t>
      </w:r>
      <w:r>
        <w:rPr>
          <w:i/>
          <w:color w:val="231F20"/>
          <w:spacing w:val="-15"/>
          <w:sz w:val="24"/>
        </w:rPr>
        <w:t> </w:t>
      </w:r>
      <w:r>
        <w:rPr>
          <w:i/>
          <w:color w:val="231F20"/>
          <w:sz w:val="24"/>
        </w:rPr>
        <w:t>peux</w:t>
      </w:r>
      <w:r>
        <w:rPr>
          <w:i/>
          <w:color w:val="231F20"/>
          <w:spacing w:val="-15"/>
          <w:sz w:val="24"/>
        </w:rPr>
        <w:t> </w:t>
      </w:r>
      <w:r>
        <w:rPr>
          <w:i/>
          <w:color w:val="231F20"/>
          <w:sz w:val="24"/>
        </w:rPr>
        <w:t>protéger</w:t>
      </w:r>
      <w:r>
        <w:rPr>
          <w:i/>
          <w:color w:val="231F20"/>
          <w:spacing w:val="-15"/>
          <w:sz w:val="24"/>
        </w:rPr>
        <w:t> </w:t>
      </w:r>
      <w:r>
        <w:rPr>
          <w:i/>
          <w:color w:val="231F20"/>
          <w:sz w:val="24"/>
        </w:rPr>
        <w:t>le</w:t>
      </w:r>
      <w:r>
        <w:rPr>
          <w:i/>
          <w:color w:val="231F20"/>
          <w:spacing w:val="-15"/>
          <w:sz w:val="24"/>
        </w:rPr>
        <w:t> </w:t>
      </w:r>
      <w:r>
        <w:rPr>
          <w:i/>
          <w:color w:val="231F20"/>
          <w:sz w:val="24"/>
        </w:rPr>
        <w:t>fer</w:t>
      </w:r>
      <w:r>
        <w:rPr>
          <w:i/>
          <w:color w:val="231F20"/>
          <w:spacing w:val="-15"/>
          <w:sz w:val="24"/>
        </w:rPr>
        <w:t> </w:t>
      </w:r>
      <w:r>
        <w:rPr>
          <w:i/>
          <w:color w:val="231F20"/>
          <w:sz w:val="24"/>
        </w:rPr>
        <w:t>pour</w:t>
      </w:r>
      <w:r>
        <w:rPr>
          <w:i/>
          <w:color w:val="231F20"/>
          <w:spacing w:val="-15"/>
          <w:sz w:val="24"/>
        </w:rPr>
        <w:t> </w:t>
      </w:r>
      <w:r>
        <w:rPr>
          <w:i/>
          <w:color w:val="231F20"/>
          <w:sz w:val="24"/>
        </w:rPr>
        <w:t>braver</w:t>
      </w:r>
      <w:r>
        <w:rPr>
          <w:i/>
          <w:color w:val="231F20"/>
          <w:spacing w:val="-15"/>
          <w:sz w:val="24"/>
        </w:rPr>
        <w:t> </w:t>
      </w:r>
      <w:r>
        <w:rPr>
          <w:i/>
          <w:color w:val="231F20"/>
          <w:sz w:val="24"/>
        </w:rPr>
        <w:t>l'ennemi,</w:t>
      </w:r>
      <w:r>
        <w:rPr>
          <w:i/>
          <w:color w:val="231F20"/>
          <w:spacing w:val="-15"/>
          <w:sz w:val="24"/>
        </w:rPr>
        <w:t> </w:t>
      </w:r>
      <w:r>
        <w:rPr>
          <w:i/>
          <w:color w:val="231F20"/>
          <w:sz w:val="24"/>
        </w:rPr>
        <w:t>donne</w:t>
      </w:r>
      <w:r>
        <w:rPr>
          <w:i/>
          <w:color w:val="231F20"/>
          <w:spacing w:val="-15"/>
          <w:sz w:val="24"/>
        </w:rPr>
        <w:t> </w:t>
      </w:r>
      <w:r>
        <w:rPr>
          <w:i/>
          <w:color w:val="231F20"/>
          <w:sz w:val="24"/>
        </w:rPr>
        <w:t>ton</w:t>
      </w:r>
      <w:r>
        <w:rPr>
          <w:i/>
          <w:color w:val="231F20"/>
          <w:spacing w:val="-15"/>
          <w:sz w:val="24"/>
        </w:rPr>
        <w:t> </w:t>
      </w:r>
      <w:r>
        <w:rPr>
          <w:i/>
          <w:color w:val="231F20"/>
          <w:sz w:val="24"/>
        </w:rPr>
        <w:t>sabre</w:t>
      </w:r>
      <w:r>
        <w:rPr>
          <w:i/>
          <w:color w:val="231F20"/>
          <w:spacing w:val="-15"/>
          <w:sz w:val="24"/>
        </w:rPr>
        <w:t> </w:t>
      </w:r>
      <w:r>
        <w:rPr>
          <w:i/>
          <w:color w:val="231F20"/>
          <w:sz w:val="24"/>
        </w:rPr>
        <w:t>de</w:t>
      </w:r>
      <w:r>
        <w:rPr>
          <w:i/>
          <w:color w:val="231F20"/>
          <w:sz w:val="24"/>
        </w:rPr>
        <w:t> guerre</w:t>
      </w:r>
      <w:r>
        <w:rPr>
          <w:i/>
          <w:color w:val="231F20"/>
          <w:spacing w:val="30"/>
          <w:sz w:val="24"/>
        </w:rPr>
        <w:t>  </w:t>
      </w:r>
      <w:r>
        <w:rPr>
          <w:i/>
          <w:color w:val="231F20"/>
          <w:sz w:val="24"/>
        </w:rPr>
        <w:t>aux</w:t>
      </w:r>
      <w:r>
        <w:rPr>
          <w:i/>
          <w:color w:val="231F20"/>
          <w:spacing w:val="31"/>
          <w:sz w:val="24"/>
        </w:rPr>
        <w:t>  </w:t>
      </w:r>
      <w:r>
        <w:rPr>
          <w:i/>
          <w:color w:val="231F20"/>
          <w:sz w:val="24"/>
        </w:rPr>
        <w:t>femmes</w:t>
      </w:r>
      <w:r>
        <w:rPr>
          <w:i/>
          <w:color w:val="231F20"/>
          <w:spacing w:val="32"/>
          <w:sz w:val="24"/>
        </w:rPr>
        <w:t>  </w:t>
      </w:r>
      <w:r>
        <w:rPr>
          <w:i/>
          <w:color w:val="231F20"/>
          <w:sz w:val="24"/>
        </w:rPr>
        <w:t>qui</w:t>
      </w:r>
      <w:r>
        <w:rPr>
          <w:i/>
          <w:color w:val="231F20"/>
          <w:spacing w:val="32"/>
          <w:sz w:val="24"/>
        </w:rPr>
        <w:t>  </w:t>
      </w:r>
      <w:r>
        <w:rPr>
          <w:i/>
          <w:color w:val="231F20"/>
          <w:sz w:val="24"/>
        </w:rPr>
        <w:t>t'indiqueront</w:t>
      </w:r>
      <w:r>
        <w:rPr>
          <w:i/>
          <w:color w:val="231F20"/>
          <w:spacing w:val="32"/>
          <w:sz w:val="24"/>
        </w:rPr>
        <w:t>  </w:t>
      </w:r>
      <w:r>
        <w:rPr>
          <w:i/>
          <w:color w:val="231F20"/>
          <w:sz w:val="24"/>
        </w:rPr>
        <w:t>le</w:t>
      </w:r>
      <w:r>
        <w:rPr>
          <w:i/>
          <w:color w:val="231F20"/>
          <w:spacing w:val="32"/>
          <w:sz w:val="24"/>
        </w:rPr>
        <w:t>  </w:t>
      </w:r>
      <w:r>
        <w:rPr>
          <w:i/>
          <w:color w:val="231F20"/>
          <w:sz w:val="24"/>
        </w:rPr>
        <w:t>chemin</w:t>
      </w:r>
      <w:r>
        <w:rPr>
          <w:i/>
          <w:color w:val="231F20"/>
          <w:spacing w:val="32"/>
          <w:sz w:val="24"/>
        </w:rPr>
        <w:t>  </w:t>
      </w:r>
      <w:r>
        <w:rPr>
          <w:i/>
          <w:color w:val="231F20"/>
          <w:sz w:val="24"/>
        </w:rPr>
        <w:t>de</w:t>
      </w:r>
      <w:r>
        <w:rPr>
          <w:i/>
          <w:color w:val="231F20"/>
          <w:spacing w:val="33"/>
          <w:sz w:val="24"/>
        </w:rPr>
        <w:t>  </w:t>
      </w:r>
      <w:r>
        <w:rPr>
          <w:i/>
          <w:color w:val="231F20"/>
          <w:spacing w:val="-2"/>
          <w:sz w:val="24"/>
        </w:rPr>
        <w:t>l'honneur;</w:t>
      </w:r>
    </w:p>
    <w:p>
      <w:pPr>
        <w:spacing w:before="0"/>
        <w:ind w:left="111" w:right="104" w:firstLine="230"/>
        <w:jc w:val="both"/>
        <w:rPr>
          <w:i/>
          <w:sz w:val="24"/>
        </w:rPr>
      </w:pPr>
      <w:r>
        <w:rPr>
          <w:i/>
          <w:color w:val="231F20"/>
          <w:sz w:val="24"/>
        </w:rPr>
        <w:t>Si</w:t>
      </w:r>
      <w:r>
        <w:rPr>
          <w:i/>
          <w:color w:val="231F20"/>
          <w:spacing w:val="-3"/>
          <w:sz w:val="24"/>
        </w:rPr>
        <w:t> </w:t>
      </w:r>
      <w:r>
        <w:rPr>
          <w:i/>
          <w:color w:val="231F20"/>
          <w:sz w:val="24"/>
        </w:rPr>
        <w:t>tu</w:t>
      </w:r>
      <w:r>
        <w:rPr>
          <w:i/>
          <w:color w:val="231F20"/>
          <w:spacing w:val="-3"/>
          <w:sz w:val="24"/>
        </w:rPr>
        <w:t> </w:t>
      </w:r>
      <w:r>
        <w:rPr>
          <w:i/>
          <w:color w:val="231F20"/>
          <w:sz w:val="24"/>
        </w:rPr>
        <w:t>ne</w:t>
      </w:r>
      <w:r>
        <w:rPr>
          <w:i/>
          <w:color w:val="231F20"/>
          <w:spacing w:val="-4"/>
          <w:sz w:val="24"/>
        </w:rPr>
        <w:t> </w:t>
      </w:r>
      <w:r>
        <w:rPr>
          <w:i/>
          <w:color w:val="231F20"/>
          <w:sz w:val="24"/>
        </w:rPr>
        <w:t>peux</w:t>
      </w:r>
      <w:r>
        <w:rPr>
          <w:i/>
          <w:color w:val="231F20"/>
          <w:spacing w:val="-1"/>
          <w:sz w:val="24"/>
        </w:rPr>
        <w:t> </w:t>
      </w:r>
      <w:r>
        <w:rPr>
          <w:i/>
          <w:color w:val="231F20"/>
          <w:sz w:val="24"/>
        </w:rPr>
        <w:t>exprimer</w:t>
      </w:r>
      <w:r>
        <w:rPr>
          <w:i/>
          <w:color w:val="231F20"/>
          <w:spacing w:val="-3"/>
          <w:sz w:val="24"/>
        </w:rPr>
        <w:t> </w:t>
      </w:r>
      <w:r>
        <w:rPr>
          <w:i/>
          <w:color w:val="231F20"/>
          <w:sz w:val="24"/>
        </w:rPr>
        <w:t>courageusement</w:t>
      </w:r>
      <w:r>
        <w:rPr>
          <w:i/>
          <w:color w:val="231F20"/>
          <w:spacing w:val="-3"/>
          <w:sz w:val="24"/>
        </w:rPr>
        <w:t> </w:t>
      </w:r>
      <w:r>
        <w:rPr>
          <w:i/>
          <w:color w:val="231F20"/>
          <w:sz w:val="24"/>
        </w:rPr>
        <w:t>tes</w:t>
      </w:r>
      <w:r>
        <w:rPr>
          <w:i/>
          <w:color w:val="231F20"/>
          <w:spacing w:val="-3"/>
          <w:sz w:val="24"/>
        </w:rPr>
        <w:t> </w:t>
      </w:r>
      <w:r>
        <w:rPr>
          <w:i/>
          <w:color w:val="231F20"/>
          <w:sz w:val="24"/>
        </w:rPr>
        <w:t>pensées,</w:t>
      </w:r>
      <w:r>
        <w:rPr>
          <w:i/>
          <w:color w:val="231F20"/>
          <w:spacing w:val="-1"/>
          <w:sz w:val="24"/>
        </w:rPr>
        <w:t> </w:t>
      </w:r>
      <w:r>
        <w:rPr>
          <w:i/>
          <w:color w:val="231F20"/>
          <w:sz w:val="24"/>
        </w:rPr>
        <w:t>donne</w:t>
      </w:r>
      <w:r>
        <w:rPr>
          <w:i/>
          <w:color w:val="231F20"/>
          <w:spacing w:val="-3"/>
          <w:sz w:val="24"/>
        </w:rPr>
        <w:t> </w:t>
      </w:r>
      <w:r>
        <w:rPr>
          <w:i/>
          <w:color w:val="231F20"/>
          <w:sz w:val="24"/>
        </w:rPr>
        <w:t>la</w:t>
      </w:r>
      <w:r>
        <w:rPr>
          <w:i/>
          <w:color w:val="231F20"/>
          <w:spacing w:val="-3"/>
          <w:sz w:val="24"/>
        </w:rPr>
        <w:t> </w:t>
      </w:r>
      <w:r>
        <w:rPr>
          <w:i/>
          <w:color w:val="231F20"/>
          <w:sz w:val="24"/>
        </w:rPr>
        <w:t>parole</w:t>
      </w:r>
      <w:r>
        <w:rPr>
          <w:i/>
          <w:color w:val="231F20"/>
          <w:sz w:val="24"/>
        </w:rPr>
        <w:t> aux griots.</w:t>
      </w:r>
    </w:p>
    <w:p>
      <w:pPr>
        <w:spacing w:before="120"/>
        <w:ind w:left="111" w:right="107" w:firstLine="283"/>
        <w:jc w:val="both"/>
        <w:rPr>
          <w:sz w:val="24"/>
        </w:rPr>
      </w:pPr>
      <w:r>
        <w:rPr>
          <w:i/>
          <w:color w:val="231F20"/>
          <w:sz w:val="24"/>
        </w:rPr>
        <w:t>Oh</w:t>
      </w:r>
      <w:r>
        <w:rPr>
          <w:i/>
          <w:color w:val="231F20"/>
          <w:spacing w:val="-11"/>
          <w:sz w:val="24"/>
        </w:rPr>
        <w:t> </w:t>
      </w:r>
      <w:r>
        <w:rPr>
          <w:i/>
          <w:color w:val="231F20"/>
          <w:sz w:val="24"/>
        </w:rPr>
        <w:t>fama!</w:t>
      </w:r>
      <w:r>
        <w:rPr>
          <w:i/>
          <w:color w:val="231F20"/>
          <w:spacing w:val="-12"/>
          <w:sz w:val="24"/>
        </w:rPr>
        <w:t> </w:t>
      </w:r>
      <w:r>
        <w:rPr>
          <w:i/>
          <w:color w:val="231F20"/>
          <w:sz w:val="24"/>
        </w:rPr>
        <w:t>Le</w:t>
      </w:r>
      <w:r>
        <w:rPr>
          <w:i/>
          <w:color w:val="231F20"/>
          <w:spacing w:val="-12"/>
          <w:sz w:val="24"/>
        </w:rPr>
        <w:t> </w:t>
      </w:r>
      <w:r>
        <w:rPr>
          <w:i/>
          <w:color w:val="231F20"/>
          <w:sz w:val="24"/>
        </w:rPr>
        <w:t>peuple</w:t>
      </w:r>
      <w:r>
        <w:rPr>
          <w:i/>
          <w:color w:val="231F20"/>
          <w:spacing w:val="-12"/>
          <w:sz w:val="24"/>
        </w:rPr>
        <w:t> </w:t>
      </w:r>
      <w:r>
        <w:rPr>
          <w:i/>
          <w:color w:val="231F20"/>
          <w:sz w:val="24"/>
        </w:rPr>
        <w:t>te</w:t>
      </w:r>
      <w:r>
        <w:rPr>
          <w:i/>
          <w:color w:val="231F20"/>
          <w:spacing w:val="-14"/>
          <w:sz w:val="24"/>
        </w:rPr>
        <w:t> </w:t>
      </w:r>
      <w:r>
        <w:rPr>
          <w:i/>
          <w:color w:val="231F20"/>
          <w:sz w:val="24"/>
        </w:rPr>
        <w:t>fait</w:t>
      </w:r>
      <w:r>
        <w:rPr>
          <w:i/>
          <w:color w:val="231F20"/>
          <w:spacing w:val="-11"/>
          <w:sz w:val="24"/>
        </w:rPr>
        <w:t> </w:t>
      </w:r>
      <w:r>
        <w:rPr>
          <w:i/>
          <w:color w:val="231F20"/>
          <w:sz w:val="24"/>
        </w:rPr>
        <w:t>confiance,</w:t>
      </w:r>
      <w:r>
        <w:rPr>
          <w:i/>
          <w:color w:val="231F20"/>
          <w:spacing w:val="-11"/>
          <w:sz w:val="24"/>
        </w:rPr>
        <w:t> </w:t>
      </w:r>
      <w:r>
        <w:rPr>
          <w:i/>
          <w:color w:val="231F20"/>
          <w:sz w:val="24"/>
        </w:rPr>
        <w:t>il</w:t>
      </w:r>
      <w:r>
        <w:rPr>
          <w:i/>
          <w:color w:val="231F20"/>
          <w:spacing w:val="-11"/>
          <w:sz w:val="24"/>
        </w:rPr>
        <w:t> </w:t>
      </w:r>
      <w:r>
        <w:rPr>
          <w:i/>
          <w:color w:val="231F20"/>
          <w:sz w:val="24"/>
        </w:rPr>
        <w:t>te</w:t>
      </w:r>
      <w:r>
        <w:rPr>
          <w:i/>
          <w:color w:val="231F20"/>
          <w:spacing w:val="-14"/>
          <w:sz w:val="24"/>
        </w:rPr>
        <w:t> </w:t>
      </w:r>
      <w:r>
        <w:rPr>
          <w:i/>
          <w:color w:val="231F20"/>
          <w:sz w:val="24"/>
        </w:rPr>
        <w:t>fait</w:t>
      </w:r>
      <w:r>
        <w:rPr>
          <w:i/>
          <w:color w:val="231F20"/>
          <w:spacing w:val="-11"/>
          <w:sz w:val="24"/>
        </w:rPr>
        <w:t> </w:t>
      </w:r>
      <w:r>
        <w:rPr>
          <w:i/>
          <w:color w:val="231F20"/>
          <w:sz w:val="24"/>
        </w:rPr>
        <w:t>confiance</w:t>
      </w:r>
      <w:r>
        <w:rPr>
          <w:i/>
          <w:color w:val="231F20"/>
          <w:spacing w:val="-12"/>
          <w:sz w:val="24"/>
        </w:rPr>
        <w:t> </w:t>
      </w:r>
      <w:r>
        <w:rPr>
          <w:i/>
          <w:color w:val="231F20"/>
          <w:sz w:val="24"/>
        </w:rPr>
        <w:t>parce</w:t>
      </w:r>
      <w:r>
        <w:rPr>
          <w:i/>
          <w:color w:val="231F20"/>
          <w:spacing w:val="-14"/>
          <w:sz w:val="24"/>
        </w:rPr>
        <w:t> </w:t>
      </w:r>
      <w:r>
        <w:rPr>
          <w:i/>
          <w:color w:val="231F20"/>
          <w:sz w:val="24"/>
        </w:rPr>
        <w:t>que</w:t>
      </w:r>
      <w:r>
        <w:rPr>
          <w:i/>
          <w:color w:val="231F20"/>
          <w:spacing w:val="-12"/>
          <w:sz w:val="24"/>
        </w:rPr>
        <w:t> </w:t>
      </w:r>
      <w:r>
        <w:rPr>
          <w:i/>
          <w:color w:val="231F20"/>
          <w:sz w:val="24"/>
        </w:rPr>
        <w:t>tu</w:t>
      </w:r>
      <w:r>
        <w:rPr>
          <w:i/>
          <w:color w:val="231F20"/>
          <w:sz w:val="24"/>
        </w:rPr>
        <w:t> incarnes ses vertus. »</w:t>
      </w:r>
      <w:r>
        <w:rPr>
          <w:color w:val="231F20"/>
          <w:sz w:val="24"/>
          <w:vertAlign w:val="superscript"/>
        </w:rPr>
        <w:t>22</w:t>
      </w:r>
    </w:p>
    <w:p>
      <w:pPr>
        <w:pStyle w:val="BodyText"/>
        <w:spacing w:before="120"/>
        <w:ind w:right="106" w:firstLine="283"/>
      </w:pPr>
      <w:r>
        <w:rPr>
          <w:color w:val="231F20"/>
        </w:rPr>
        <w:t>En France, l’Armée a ses codes et ses règles mais en Afrique tout semble permis puisque les populations sont assimilées à des sous- </w:t>
      </w:r>
      <w:r>
        <w:rPr>
          <w:color w:val="231F20"/>
          <w:spacing w:val="-2"/>
        </w:rPr>
        <w:t>hommes.</w:t>
      </w:r>
    </w:p>
    <w:p>
      <w:pPr>
        <w:pStyle w:val="BodyText"/>
        <w:spacing w:before="120"/>
        <w:ind w:right="105" w:firstLine="283"/>
      </w:pPr>
      <w:r>
        <w:rPr>
          <w:color w:val="231F20"/>
          <w:spacing w:val="-6"/>
        </w:rPr>
        <w:t>Vers</w:t>
      </w:r>
      <w:r>
        <w:rPr>
          <w:color w:val="231F20"/>
          <w:spacing w:val="-9"/>
        </w:rPr>
        <w:t> </w:t>
      </w:r>
      <w:r>
        <w:rPr>
          <w:color w:val="231F20"/>
          <w:spacing w:val="-6"/>
        </w:rPr>
        <w:t>le milieu du 19</w:t>
      </w:r>
      <w:r>
        <w:rPr>
          <w:color w:val="231F20"/>
          <w:spacing w:val="-6"/>
          <w:vertAlign w:val="superscript"/>
        </w:rPr>
        <w:t>ème</w:t>
      </w:r>
      <w:r>
        <w:rPr>
          <w:color w:val="231F20"/>
          <w:spacing w:val="-9"/>
          <w:vertAlign w:val="baseline"/>
        </w:rPr>
        <w:t> </w:t>
      </w:r>
      <w:r>
        <w:rPr>
          <w:color w:val="231F20"/>
          <w:spacing w:val="-6"/>
          <w:vertAlign w:val="baseline"/>
        </w:rPr>
        <w:t>siècle, la</w:t>
      </w:r>
      <w:r>
        <w:rPr>
          <w:color w:val="231F20"/>
          <w:vertAlign w:val="baseline"/>
        </w:rPr>
        <w:t> </w:t>
      </w:r>
      <w:r>
        <w:rPr>
          <w:color w:val="231F20"/>
          <w:spacing w:val="-6"/>
          <w:vertAlign w:val="baseline"/>
        </w:rPr>
        <w:t>conquête ressemble</w:t>
      </w:r>
      <w:r>
        <w:rPr>
          <w:color w:val="231F20"/>
          <w:spacing w:val="-7"/>
          <w:vertAlign w:val="baseline"/>
        </w:rPr>
        <w:t> </w:t>
      </w:r>
      <w:r>
        <w:rPr>
          <w:color w:val="231F20"/>
          <w:spacing w:val="-6"/>
          <w:vertAlign w:val="baseline"/>
        </w:rPr>
        <w:t>en</w:t>
      </w:r>
      <w:r>
        <w:rPr>
          <w:color w:val="231F20"/>
          <w:vertAlign w:val="baseline"/>
        </w:rPr>
        <w:t> </w:t>
      </w:r>
      <w:r>
        <w:rPr>
          <w:color w:val="231F20"/>
          <w:spacing w:val="-6"/>
          <w:vertAlign w:val="baseline"/>
        </w:rPr>
        <w:t>maints</w:t>
      </w:r>
      <w:r>
        <w:rPr>
          <w:color w:val="231F20"/>
          <w:vertAlign w:val="baseline"/>
        </w:rPr>
        <w:t> </w:t>
      </w:r>
      <w:r>
        <w:rPr>
          <w:color w:val="231F20"/>
          <w:spacing w:val="-6"/>
          <w:vertAlign w:val="baseline"/>
        </w:rPr>
        <w:t>endroits </w:t>
      </w:r>
      <w:r>
        <w:rPr>
          <w:color w:val="231F20"/>
          <w:vertAlign w:val="baseline"/>
        </w:rPr>
        <w:t>à un carnage des populations.</w:t>
      </w:r>
    </w:p>
    <w:p>
      <w:pPr>
        <w:pStyle w:val="BodyText"/>
        <w:spacing w:before="121"/>
        <w:ind w:right="104" w:firstLine="283"/>
      </w:pPr>
      <w:r>
        <w:rPr>
          <w:color w:val="231F20"/>
          <w:spacing w:val="-2"/>
        </w:rPr>
        <w:t>En</w:t>
      </w:r>
      <w:r>
        <w:rPr>
          <w:color w:val="231F20"/>
          <w:spacing w:val="-8"/>
        </w:rPr>
        <w:t> </w:t>
      </w:r>
      <w:r>
        <w:rPr>
          <w:color w:val="231F20"/>
          <w:spacing w:val="-2"/>
        </w:rPr>
        <w:t>Afrique</w:t>
      </w:r>
      <w:r>
        <w:rPr>
          <w:color w:val="231F20"/>
          <w:spacing w:val="-8"/>
        </w:rPr>
        <w:t> </w:t>
      </w:r>
      <w:r>
        <w:rPr>
          <w:color w:val="231F20"/>
          <w:spacing w:val="-2"/>
        </w:rPr>
        <w:t>centrale,</w:t>
      </w:r>
      <w:r>
        <w:rPr>
          <w:color w:val="231F20"/>
          <w:spacing w:val="-10"/>
        </w:rPr>
        <w:t> </w:t>
      </w:r>
      <w:r>
        <w:rPr>
          <w:color w:val="231F20"/>
          <w:spacing w:val="-2"/>
        </w:rPr>
        <w:t>deux</w:t>
      </w:r>
      <w:r>
        <w:rPr>
          <w:color w:val="231F20"/>
          <w:spacing w:val="-10"/>
        </w:rPr>
        <w:t> </w:t>
      </w:r>
      <w:r>
        <w:rPr>
          <w:color w:val="231F20"/>
          <w:spacing w:val="-2"/>
        </w:rPr>
        <w:t>officiers,</w:t>
      </w:r>
      <w:r>
        <w:rPr>
          <w:color w:val="231F20"/>
          <w:spacing w:val="-10"/>
        </w:rPr>
        <w:t> </w:t>
      </w:r>
      <w:r>
        <w:rPr>
          <w:color w:val="231F20"/>
          <w:spacing w:val="-2"/>
        </w:rPr>
        <w:t>Paul</w:t>
      </w:r>
      <w:r>
        <w:rPr>
          <w:color w:val="231F20"/>
          <w:spacing w:val="-9"/>
        </w:rPr>
        <w:t> </w:t>
      </w:r>
      <w:r>
        <w:rPr>
          <w:color w:val="231F20"/>
          <w:spacing w:val="-2"/>
        </w:rPr>
        <w:t>Voulet</w:t>
      </w:r>
      <w:r>
        <w:rPr>
          <w:color w:val="231F20"/>
          <w:spacing w:val="-7"/>
        </w:rPr>
        <w:t> </w:t>
      </w:r>
      <w:r>
        <w:rPr>
          <w:color w:val="231F20"/>
          <w:spacing w:val="-2"/>
        </w:rPr>
        <w:t>et</w:t>
      </w:r>
      <w:r>
        <w:rPr>
          <w:color w:val="231F20"/>
          <w:spacing w:val="-8"/>
        </w:rPr>
        <w:t> </w:t>
      </w:r>
      <w:r>
        <w:rPr>
          <w:color w:val="231F20"/>
          <w:spacing w:val="-2"/>
        </w:rPr>
        <w:t>Julien</w:t>
      </w:r>
      <w:r>
        <w:rPr>
          <w:color w:val="231F20"/>
          <w:spacing w:val="-10"/>
        </w:rPr>
        <w:t> </w:t>
      </w:r>
      <w:r>
        <w:rPr>
          <w:color w:val="231F20"/>
          <w:spacing w:val="-2"/>
        </w:rPr>
        <w:t>Chanoine23 s’illustrent</w:t>
      </w:r>
      <w:r>
        <w:rPr>
          <w:color w:val="231F20"/>
          <w:spacing w:val="-11"/>
        </w:rPr>
        <w:t> </w:t>
      </w:r>
      <w:r>
        <w:rPr>
          <w:color w:val="231F20"/>
          <w:spacing w:val="-2"/>
        </w:rPr>
        <w:t>dans</w:t>
      </w:r>
      <w:r>
        <w:rPr>
          <w:color w:val="231F20"/>
          <w:spacing w:val="-10"/>
        </w:rPr>
        <w:t> </w:t>
      </w:r>
      <w:r>
        <w:rPr>
          <w:color w:val="231F20"/>
          <w:spacing w:val="-2"/>
        </w:rPr>
        <w:t>le</w:t>
      </w:r>
      <w:r>
        <w:rPr>
          <w:color w:val="231F20"/>
          <w:spacing w:val="-11"/>
        </w:rPr>
        <w:t> </w:t>
      </w:r>
      <w:r>
        <w:rPr>
          <w:color w:val="231F20"/>
          <w:spacing w:val="-2"/>
        </w:rPr>
        <w:t>caractère</w:t>
      </w:r>
      <w:r>
        <w:rPr>
          <w:color w:val="231F20"/>
          <w:spacing w:val="-11"/>
        </w:rPr>
        <w:t> </w:t>
      </w:r>
      <w:r>
        <w:rPr>
          <w:color w:val="231F20"/>
          <w:spacing w:val="-2"/>
        </w:rPr>
        <w:t>cruel</w:t>
      </w:r>
      <w:r>
        <w:rPr>
          <w:color w:val="231F20"/>
          <w:spacing w:val="-10"/>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mission</w:t>
      </w:r>
      <w:r>
        <w:rPr>
          <w:color w:val="231F20"/>
          <w:spacing w:val="-10"/>
        </w:rPr>
        <w:t> </w:t>
      </w:r>
      <w:r>
        <w:rPr>
          <w:color w:val="231F20"/>
          <w:spacing w:val="-2"/>
        </w:rPr>
        <w:t>civilisatrice</w:t>
      </w:r>
      <w:r>
        <w:rPr>
          <w:color w:val="231F20"/>
          <w:spacing w:val="-11"/>
        </w:rPr>
        <w:t> </w:t>
      </w:r>
      <w:r>
        <w:rPr>
          <w:color w:val="231F20"/>
          <w:spacing w:val="-2"/>
        </w:rPr>
        <w:t>de</w:t>
      </w:r>
      <w:r>
        <w:rPr>
          <w:color w:val="231F20"/>
          <w:spacing w:val="-11"/>
        </w:rPr>
        <w:t> </w:t>
      </w:r>
      <w:r>
        <w:rPr>
          <w:color w:val="231F20"/>
          <w:spacing w:val="-2"/>
        </w:rPr>
        <w:t>la</w:t>
      </w:r>
      <w:r>
        <w:rPr>
          <w:color w:val="231F20"/>
          <w:spacing w:val="-11"/>
        </w:rPr>
        <w:t> </w:t>
      </w:r>
      <w:r>
        <w:rPr>
          <w:color w:val="231F20"/>
          <w:spacing w:val="-2"/>
        </w:rPr>
        <w:t>France. </w:t>
      </w:r>
      <w:r>
        <w:rPr>
          <w:color w:val="231F20"/>
        </w:rPr>
        <w:t>Chargés</w:t>
      </w:r>
      <w:r>
        <w:rPr>
          <w:color w:val="231F20"/>
          <w:spacing w:val="-4"/>
        </w:rPr>
        <w:t> </w:t>
      </w:r>
      <w:r>
        <w:rPr>
          <w:color w:val="231F20"/>
        </w:rPr>
        <w:t>de</w:t>
      </w:r>
      <w:r>
        <w:rPr>
          <w:color w:val="231F20"/>
          <w:spacing w:val="-4"/>
        </w:rPr>
        <w:t> </w:t>
      </w:r>
      <w:r>
        <w:rPr>
          <w:color w:val="231F20"/>
        </w:rPr>
        <w:t>conquérir</w:t>
      </w:r>
      <w:r>
        <w:rPr>
          <w:color w:val="231F20"/>
          <w:spacing w:val="-4"/>
        </w:rPr>
        <w:t> </w:t>
      </w:r>
      <w:r>
        <w:rPr>
          <w:color w:val="231F20"/>
        </w:rPr>
        <w:t>de</w:t>
      </w:r>
      <w:r>
        <w:rPr>
          <w:color w:val="231F20"/>
          <w:spacing w:val="-6"/>
        </w:rPr>
        <w:t> </w:t>
      </w:r>
      <w:r>
        <w:rPr>
          <w:color w:val="231F20"/>
        </w:rPr>
        <w:t>nombreux</w:t>
      </w:r>
      <w:r>
        <w:rPr>
          <w:color w:val="231F20"/>
          <w:spacing w:val="-6"/>
        </w:rPr>
        <w:t> </w:t>
      </w:r>
      <w:r>
        <w:rPr>
          <w:color w:val="231F20"/>
        </w:rPr>
        <w:t>territoires</w:t>
      </w:r>
      <w:r>
        <w:rPr>
          <w:color w:val="231F20"/>
          <w:spacing w:val="-4"/>
        </w:rPr>
        <w:t> </w:t>
      </w:r>
      <w:r>
        <w:rPr>
          <w:color w:val="231F20"/>
        </w:rPr>
        <w:t>au</w:t>
      </w:r>
      <w:r>
        <w:rPr>
          <w:color w:val="231F20"/>
          <w:spacing w:val="-4"/>
        </w:rPr>
        <w:t> </w:t>
      </w:r>
      <w:r>
        <w:rPr>
          <w:color w:val="231F20"/>
        </w:rPr>
        <w:t>cœur</w:t>
      </w:r>
      <w:r>
        <w:rPr>
          <w:color w:val="231F20"/>
          <w:spacing w:val="-4"/>
        </w:rPr>
        <w:t> </w:t>
      </w:r>
      <w:r>
        <w:rPr>
          <w:color w:val="231F20"/>
        </w:rPr>
        <w:t>de</w:t>
      </w:r>
      <w:r>
        <w:rPr>
          <w:color w:val="231F20"/>
          <w:spacing w:val="-4"/>
        </w:rPr>
        <w:t> </w:t>
      </w:r>
      <w:r>
        <w:rPr>
          <w:color w:val="231F20"/>
        </w:rPr>
        <w:t>l’Afrique,</w:t>
      </w:r>
      <w:r>
        <w:rPr>
          <w:color w:val="231F20"/>
          <w:spacing w:val="-6"/>
        </w:rPr>
        <w:t> </w:t>
      </w:r>
      <w:r>
        <w:rPr>
          <w:color w:val="231F20"/>
        </w:rPr>
        <w:t>les deux officiers razzient, pillent et tuent avec beaucoup de plaisir et ramènent</w:t>
      </w:r>
      <w:r>
        <w:rPr>
          <w:color w:val="231F20"/>
          <w:spacing w:val="-6"/>
        </w:rPr>
        <w:t> </w:t>
      </w:r>
      <w:r>
        <w:rPr>
          <w:color w:val="231F20"/>
        </w:rPr>
        <w:t>à</w:t>
      </w:r>
      <w:r>
        <w:rPr>
          <w:color w:val="231F20"/>
          <w:spacing w:val="-8"/>
        </w:rPr>
        <w:t> </w:t>
      </w:r>
      <w:r>
        <w:rPr>
          <w:color w:val="231F20"/>
        </w:rPr>
        <w:t>leur</w:t>
      </w:r>
      <w:r>
        <w:rPr>
          <w:color w:val="231F20"/>
          <w:spacing w:val="-6"/>
        </w:rPr>
        <w:t> </w:t>
      </w:r>
      <w:r>
        <w:rPr>
          <w:color w:val="231F20"/>
        </w:rPr>
        <w:t>base,</w:t>
      </w:r>
      <w:r>
        <w:rPr>
          <w:color w:val="231F20"/>
          <w:spacing w:val="-7"/>
        </w:rPr>
        <w:t> </w:t>
      </w:r>
      <w:r>
        <w:rPr>
          <w:color w:val="231F20"/>
        </w:rPr>
        <w:t>leurs</w:t>
      </w:r>
      <w:r>
        <w:rPr>
          <w:color w:val="231F20"/>
          <w:spacing w:val="-6"/>
        </w:rPr>
        <w:t> </w:t>
      </w:r>
      <w:r>
        <w:rPr>
          <w:color w:val="231F20"/>
        </w:rPr>
        <w:t>trophées</w:t>
      </w:r>
      <w:r>
        <w:rPr>
          <w:color w:val="231F20"/>
          <w:spacing w:val="-6"/>
        </w:rPr>
        <w:t> </w:t>
      </w:r>
      <w:r>
        <w:rPr>
          <w:color w:val="231F20"/>
        </w:rPr>
        <w:t>constitués</w:t>
      </w:r>
      <w:r>
        <w:rPr>
          <w:color w:val="231F20"/>
          <w:spacing w:val="-5"/>
        </w:rPr>
        <w:t> </w:t>
      </w:r>
      <w:r>
        <w:rPr>
          <w:color w:val="231F20"/>
        </w:rPr>
        <w:t>de</w:t>
      </w:r>
      <w:r>
        <w:rPr>
          <w:color w:val="231F20"/>
          <w:spacing w:val="-8"/>
        </w:rPr>
        <w:t> </w:t>
      </w:r>
      <w:r>
        <w:rPr>
          <w:color w:val="231F20"/>
        </w:rPr>
        <w:t>têtes</w:t>
      </w:r>
      <w:r>
        <w:rPr>
          <w:color w:val="231F20"/>
          <w:spacing w:val="-6"/>
        </w:rPr>
        <w:t> </w:t>
      </w:r>
      <w:r>
        <w:rPr>
          <w:color w:val="231F20"/>
        </w:rPr>
        <w:t>coupées</w:t>
      </w:r>
      <w:r>
        <w:rPr>
          <w:color w:val="231F20"/>
          <w:spacing w:val="-6"/>
        </w:rPr>
        <w:t> </w:t>
      </w:r>
      <w:r>
        <w:rPr>
          <w:color w:val="231F20"/>
        </w:rPr>
        <w:t>!</w:t>
      </w:r>
    </w:p>
    <w:p>
      <w:pPr>
        <w:pStyle w:val="BodyText"/>
        <w:ind w:left="0"/>
        <w:jc w:val="left"/>
        <w:rPr>
          <w:sz w:val="20"/>
        </w:rPr>
      </w:pPr>
    </w:p>
    <w:p>
      <w:pPr>
        <w:pStyle w:val="BodyText"/>
        <w:spacing w:before="69"/>
        <w:ind w:left="0"/>
        <w:jc w:val="left"/>
        <w:rPr>
          <w:sz w:val="20"/>
        </w:rPr>
      </w:pPr>
      <w:r>
        <w:rPr/>
        <mc:AlternateContent>
          <mc:Choice Requires="wps">
            <w:drawing>
              <wp:anchor distT="0" distB="0" distL="0" distR="0" allowOverlap="1" layoutInCell="1" locked="0" behindDoc="1" simplePos="0" relativeHeight="487595008">
                <wp:simplePos x="0" y="0"/>
                <wp:positionH relativeFrom="page">
                  <wp:posOffset>629907</wp:posOffset>
                </wp:positionH>
                <wp:positionV relativeFrom="paragraph">
                  <wp:posOffset>205373</wp:posOffset>
                </wp:positionV>
                <wp:extent cx="1829435" cy="952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171133pt;width:144.020pt;height:.72pt;mso-position-horizontal-relative:page;mso-position-vertical-relative:paragraph;z-index:-15721472;mso-wrap-distance-left:0;mso-wrap-distance-right:0" id="docshape25" filled="true" fillcolor="#231f20" stroked="false">
                <v:fill type="solid"/>
                <w10:wrap type="topAndBottom"/>
              </v:rect>
            </w:pict>
          </mc:Fallback>
        </mc:AlternateContent>
      </w:r>
    </w:p>
    <w:p>
      <w:pPr>
        <w:spacing w:before="91"/>
        <w:ind w:left="111" w:right="107" w:firstLine="0"/>
        <w:jc w:val="both"/>
        <w:rPr>
          <w:sz w:val="20"/>
        </w:rPr>
      </w:pPr>
      <w:r>
        <w:rPr>
          <w:color w:val="76787A"/>
          <w:spacing w:val="-2"/>
          <w:sz w:val="20"/>
          <w:vertAlign w:val="superscript"/>
        </w:rPr>
        <w:t>22</w:t>
      </w:r>
      <w:r>
        <w:rPr>
          <w:color w:val="76787A"/>
          <w:spacing w:val="-11"/>
          <w:sz w:val="20"/>
          <w:vertAlign w:val="baseline"/>
        </w:rPr>
        <w:t> </w:t>
      </w:r>
      <w:r>
        <w:rPr>
          <w:color w:val="231F20"/>
          <w:spacing w:val="-2"/>
          <w:sz w:val="20"/>
          <w:vertAlign w:val="baseline"/>
        </w:rPr>
        <w:t>Source</w:t>
      </w:r>
      <w:r>
        <w:rPr>
          <w:color w:val="231F20"/>
          <w:spacing w:val="-10"/>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www.panafricain.tv;</w:t>
      </w:r>
      <w:r>
        <w:rPr>
          <w:color w:val="231F20"/>
          <w:spacing w:val="-6"/>
          <w:sz w:val="20"/>
          <w:vertAlign w:val="baseline"/>
        </w:rPr>
        <w:t> </w:t>
      </w:r>
      <w:r>
        <w:rPr>
          <w:color w:val="231F20"/>
          <w:spacing w:val="-2"/>
          <w:sz w:val="20"/>
          <w:vertAlign w:val="baseline"/>
        </w:rPr>
        <w:t>paroles</w:t>
      </w:r>
      <w:r>
        <w:rPr>
          <w:color w:val="231F20"/>
          <w:spacing w:val="-7"/>
          <w:sz w:val="20"/>
          <w:vertAlign w:val="baseline"/>
        </w:rPr>
        <w:t> </w:t>
      </w:r>
      <w:r>
        <w:rPr>
          <w:color w:val="231F20"/>
          <w:spacing w:val="-2"/>
          <w:sz w:val="20"/>
          <w:vertAlign w:val="baseline"/>
        </w:rPr>
        <w:t>composées</w:t>
      </w:r>
      <w:r>
        <w:rPr>
          <w:color w:val="231F20"/>
          <w:spacing w:val="-7"/>
          <w:sz w:val="20"/>
          <w:vertAlign w:val="baseline"/>
        </w:rPr>
        <w:t> </w:t>
      </w:r>
      <w:r>
        <w:rPr>
          <w:color w:val="231F20"/>
          <w:spacing w:val="-2"/>
          <w:sz w:val="20"/>
          <w:vertAlign w:val="baseline"/>
        </w:rPr>
        <w:t>par</w:t>
      </w:r>
      <w:r>
        <w:rPr>
          <w:color w:val="231F20"/>
          <w:spacing w:val="-6"/>
          <w:sz w:val="20"/>
          <w:vertAlign w:val="baseline"/>
        </w:rPr>
        <w:t> </w:t>
      </w:r>
      <w:r>
        <w:rPr>
          <w:color w:val="231F20"/>
          <w:spacing w:val="-2"/>
          <w:sz w:val="20"/>
          <w:vertAlign w:val="baseline"/>
        </w:rPr>
        <w:t>les</w:t>
      </w:r>
      <w:r>
        <w:rPr>
          <w:color w:val="231F20"/>
          <w:spacing w:val="-7"/>
          <w:sz w:val="20"/>
          <w:vertAlign w:val="baseline"/>
        </w:rPr>
        <w:t> </w:t>
      </w:r>
      <w:r>
        <w:rPr>
          <w:color w:val="231F20"/>
          <w:spacing w:val="-2"/>
          <w:sz w:val="20"/>
          <w:vertAlign w:val="baseline"/>
        </w:rPr>
        <w:t>griots</w:t>
      </w:r>
      <w:r>
        <w:rPr>
          <w:color w:val="231F20"/>
          <w:spacing w:val="-6"/>
          <w:sz w:val="20"/>
          <w:vertAlign w:val="baseline"/>
        </w:rPr>
        <w:t> </w:t>
      </w:r>
      <w:r>
        <w:rPr>
          <w:color w:val="231F20"/>
          <w:spacing w:val="-2"/>
          <w:sz w:val="20"/>
          <w:vertAlign w:val="baseline"/>
        </w:rPr>
        <w:t>de</w:t>
      </w:r>
      <w:r>
        <w:rPr>
          <w:color w:val="231F20"/>
          <w:spacing w:val="-7"/>
          <w:sz w:val="20"/>
          <w:vertAlign w:val="baseline"/>
        </w:rPr>
        <w:t> </w:t>
      </w:r>
      <w:r>
        <w:rPr>
          <w:color w:val="231F20"/>
          <w:spacing w:val="-2"/>
          <w:sz w:val="20"/>
          <w:vertAlign w:val="baseline"/>
        </w:rPr>
        <w:t>l'empire</w:t>
      </w:r>
      <w:r>
        <w:rPr>
          <w:color w:val="231F20"/>
          <w:spacing w:val="-7"/>
          <w:sz w:val="20"/>
          <w:vertAlign w:val="baseline"/>
        </w:rPr>
        <w:t> </w:t>
      </w:r>
      <w:r>
        <w:rPr>
          <w:color w:val="231F20"/>
          <w:spacing w:val="-2"/>
          <w:sz w:val="20"/>
          <w:vertAlign w:val="baseline"/>
        </w:rPr>
        <w:t>wassoulou </w:t>
      </w:r>
      <w:r>
        <w:rPr>
          <w:color w:val="231F20"/>
          <w:sz w:val="20"/>
          <w:vertAlign w:val="baseline"/>
        </w:rPr>
        <w:t>(ou</w:t>
      </w:r>
      <w:r>
        <w:rPr>
          <w:color w:val="231F20"/>
          <w:spacing w:val="-3"/>
          <w:sz w:val="20"/>
          <w:vertAlign w:val="baseline"/>
        </w:rPr>
        <w:t> </w:t>
      </w:r>
      <w:r>
        <w:rPr>
          <w:color w:val="231F20"/>
          <w:sz w:val="20"/>
          <w:vertAlign w:val="baseline"/>
        </w:rPr>
        <w:t>empire</w:t>
      </w:r>
      <w:r>
        <w:rPr>
          <w:color w:val="231F20"/>
          <w:spacing w:val="-6"/>
          <w:sz w:val="20"/>
          <w:vertAlign w:val="baseline"/>
        </w:rPr>
        <w:t> </w:t>
      </w:r>
      <w:r>
        <w:rPr>
          <w:color w:val="231F20"/>
          <w:sz w:val="20"/>
          <w:vertAlign w:val="baseline"/>
        </w:rPr>
        <w:t>mandingue),</w:t>
      </w:r>
      <w:r>
        <w:rPr>
          <w:color w:val="231F20"/>
          <w:spacing w:val="-5"/>
          <w:sz w:val="20"/>
          <w:vertAlign w:val="baseline"/>
        </w:rPr>
        <w:t> </w:t>
      </w:r>
      <w:r>
        <w:rPr>
          <w:color w:val="231F20"/>
          <w:sz w:val="20"/>
          <w:vertAlign w:val="baseline"/>
        </w:rPr>
        <w:t>à</w:t>
      </w:r>
      <w:r>
        <w:rPr>
          <w:color w:val="231F20"/>
          <w:spacing w:val="-6"/>
          <w:sz w:val="20"/>
          <w:vertAlign w:val="baseline"/>
        </w:rPr>
        <w:t> </w:t>
      </w:r>
      <w:r>
        <w:rPr>
          <w:color w:val="231F20"/>
          <w:sz w:val="20"/>
          <w:vertAlign w:val="baseline"/>
        </w:rPr>
        <w:t>la</w:t>
      </w:r>
      <w:r>
        <w:rPr>
          <w:color w:val="231F20"/>
          <w:spacing w:val="-5"/>
          <w:sz w:val="20"/>
          <w:vertAlign w:val="baseline"/>
        </w:rPr>
        <w:t> </w:t>
      </w:r>
      <w:r>
        <w:rPr>
          <w:color w:val="231F20"/>
          <w:sz w:val="20"/>
          <w:vertAlign w:val="baseline"/>
        </w:rPr>
        <w:t>gloire</w:t>
      </w:r>
      <w:r>
        <w:rPr>
          <w:color w:val="231F20"/>
          <w:spacing w:val="-6"/>
          <w:sz w:val="20"/>
          <w:vertAlign w:val="baseline"/>
        </w:rPr>
        <w:t> </w:t>
      </w:r>
      <w:r>
        <w:rPr>
          <w:color w:val="231F20"/>
          <w:sz w:val="20"/>
          <w:vertAlign w:val="baseline"/>
        </w:rPr>
        <w:t>du</w:t>
      </w:r>
      <w:r>
        <w:rPr>
          <w:color w:val="231F20"/>
          <w:spacing w:val="-5"/>
          <w:sz w:val="20"/>
          <w:vertAlign w:val="baseline"/>
        </w:rPr>
        <w:t> </w:t>
      </w:r>
      <w:r>
        <w:rPr>
          <w:color w:val="231F20"/>
          <w:sz w:val="20"/>
          <w:vertAlign w:val="baseline"/>
        </w:rPr>
        <w:t>fama</w:t>
      </w:r>
      <w:r>
        <w:rPr>
          <w:color w:val="231F20"/>
          <w:spacing w:val="-5"/>
          <w:sz w:val="20"/>
          <w:vertAlign w:val="baseline"/>
        </w:rPr>
        <w:t> </w:t>
      </w:r>
      <w:r>
        <w:rPr>
          <w:color w:val="231F20"/>
          <w:sz w:val="20"/>
          <w:vertAlign w:val="baseline"/>
        </w:rPr>
        <w:t>almamy</w:t>
      </w:r>
      <w:r>
        <w:rPr>
          <w:color w:val="231F20"/>
          <w:spacing w:val="-5"/>
          <w:sz w:val="20"/>
          <w:vertAlign w:val="baseline"/>
        </w:rPr>
        <w:t> </w:t>
      </w:r>
      <w:r>
        <w:rPr>
          <w:color w:val="231F20"/>
          <w:sz w:val="20"/>
          <w:vertAlign w:val="baseline"/>
        </w:rPr>
        <w:t>Samory</w:t>
      </w:r>
      <w:r>
        <w:rPr>
          <w:color w:val="231F20"/>
          <w:spacing w:val="-5"/>
          <w:sz w:val="20"/>
          <w:vertAlign w:val="baseline"/>
        </w:rPr>
        <w:t> </w:t>
      </w:r>
      <w:r>
        <w:rPr>
          <w:color w:val="231F20"/>
          <w:sz w:val="20"/>
          <w:vertAlign w:val="baseline"/>
        </w:rPr>
        <w:t>Touré.</w:t>
      </w:r>
    </w:p>
    <w:p>
      <w:pPr>
        <w:spacing w:before="1"/>
        <w:ind w:left="111" w:right="106" w:firstLine="0"/>
        <w:jc w:val="both"/>
        <w:rPr>
          <w:sz w:val="20"/>
        </w:rPr>
      </w:pPr>
      <w:r>
        <w:rPr>
          <w:color w:val="231F20"/>
          <w:spacing w:val="-4"/>
          <w:sz w:val="20"/>
          <w:vertAlign w:val="superscript"/>
        </w:rPr>
        <w:t>23</w:t>
      </w:r>
      <w:r>
        <w:rPr>
          <w:color w:val="231F20"/>
          <w:spacing w:val="7"/>
          <w:sz w:val="20"/>
          <w:vertAlign w:val="baseline"/>
        </w:rPr>
        <w:t> </w:t>
      </w:r>
      <w:r>
        <w:rPr>
          <w:color w:val="231F20"/>
          <w:spacing w:val="-4"/>
          <w:sz w:val="20"/>
          <w:vertAlign w:val="baseline"/>
        </w:rPr>
        <w:t>La</w:t>
      </w:r>
      <w:r>
        <w:rPr>
          <w:color w:val="231F20"/>
          <w:spacing w:val="-5"/>
          <w:sz w:val="20"/>
          <w:vertAlign w:val="baseline"/>
        </w:rPr>
        <w:t> </w:t>
      </w:r>
      <w:r>
        <w:rPr>
          <w:color w:val="231F20"/>
          <w:spacing w:val="-4"/>
          <w:sz w:val="20"/>
          <w:vertAlign w:val="baseline"/>
        </w:rPr>
        <w:t>Mission Afrique</w:t>
      </w:r>
      <w:r>
        <w:rPr>
          <w:color w:val="231F20"/>
          <w:spacing w:val="-5"/>
          <w:sz w:val="20"/>
          <w:vertAlign w:val="baseline"/>
        </w:rPr>
        <w:t> </w:t>
      </w:r>
      <w:r>
        <w:rPr>
          <w:color w:val="231F20"/>
          <w:spacing w:val="-4"/>
          <w:sz w:val="20"/>
          <w:vertAlign w:val="baseline"/>
        </w:rPr>
        <w:t>Centrale-Tchad,</w:t>
      </w:r>
      <w:r>
        <w:rPr>
          <w:color w:val="231F20"/>
          <w:spacing w:val="-7"/>
          <w:sz w:val="20"/>
          <w:vertAlign w:val="baseline"/>
        </w:rPr>
        <w:t> </w:t>
      </w:r>
      <w:r>
        <w:rPr>
          <w:color w:val="231F20"/>
          <w:spacing w:val="-4"/>
          <w:sz w:val="20"/>
          <w:vertAlign w:val="baseline"/>
        </w:rPr>
        <w:t>dite</w:t>
      </w:r>
      <w:r>
        <w:rPr>
          <w:color w:val="231F20"/>
          <w:spacing w:val="-5"/>
          <w:sz w:val="20"/>
          <w:vertAlign w:val="baseline"/>
        </w:rPr>
        <w:t> </w:t>
      </w:r>
      <w:r>
        <w:rPr>
          <w:color w:val="231F20"/>
          <w:spacing w:val="-4"/>
          <w:sz w:val="20"/>
          <w:vertAlign w:val="baseline"/>
        </w:rPr>
        <w:t>mission Voulet-Chanoine, est</w:t>
      </w:r>
      <w:r>
        <w:rPr>
          <w:color w:val="231F20"/>
          <w:spacing w:val="-5"/>
          <w:sz w:val="20"/>
          <w:vertAlign w:val="baseline"/>
        </w:rPr>
        <w:t> </w:t>
      </w:r>
      <w:r>
        <w:rPr>
          <w:color w:val="231F20"/>
          <w:spacing w:val="-4"/>
          <w:sz w:val="20"/>
          <w:vertAlign w:val="baseline"/>
        </w:rPr>
        <w:t>une</w:t>
      </w:r>
      <w:r>
        <w:rPr>
          <w:color w:val="231F20"/>
          <w:spacing w:val="-5"/>
          <w:sz w:val="20"/>
          <w:vertAlign w:val="baseline"/>
        </w:rPr>
        <w:t> </w:t>
      </w:r>
      <w:r>
        <w:rPr>
          <w:color w:val="231F20"/>
          <w:spacing w:val="-4"/>
          <w:sz w:val="20"/>
          <w:vertAlign w:val="baseline"/>
        </w:rPr>
        <w:t>expédition </w:t>
      </w:r>
      <w:r>
        <w:rPr>
          <w:color w:val="231F20"/>
          <w:sz w:val="20"/>
          <w:vertAlign w:val="baseline"/>
        </w:rPr>
        <w:t>française de conquête coloniale du Tchad, menée à partir de janvier 1899 , par les capitaines Paul Voulet et Julien Chanoine.</w:t>
      </w:r>
    </w:p>
    <w:p>
      <w:pPr>
        <w:spacing w:after="0"/>
        <w:jc w:val="both"/>
        <w:rPr>
          <w:sz w:val="20"/>
        </w:rPr>
        <w:sectPr>
          <w:pgSz w:w="8790" w:h="13610"/>
          <w:pgMar w:header="0" w:footer="802" w:top="1060" w:bottom="1000" w:left="880" w:right="880"/>
        </w:sectPr>
      </w:pPr>
    </w:p>
    <w:p>
      <w:pPr>
        <w:pStyle w:val="BodyText"/>
        <w:spacing w:before="86"/>
        <w:ind w:right="104" w:firstLine="283"/>
      </w:pPr>
      <w:r>
        <w:rPr>
          <w:color w:val="231F20"/>
        </w:rPr>
        <w:t>En</w:t>
      </w:r>
      <w:r>
        <w:rPr>
          <w:color w:val="231F20"/>
          <w:spacing w:val="-15"/>
        </w:rPr>
        <w:t> </w:t>
      </w:r>
      <w:r>
        <w:rPr>
          <w:color w:val="231F20"/>
        </w:rPr>
        <w:t>Afrique</w:t>
      </w:r>
      <w:r>
        <w:rPr>
          <w:color w:val="231F20"/>
          <w:spacing w:val="-14"/>
        </w:rPr>
        <w:t> </w:t>
      </w:r>
      <w:r>
        <w:rPr>
          <w:color w:val="231F20"/>
        </w:rPr>
        <w:t>de</w:t>
      </w:r>
      <w:r>
        <w:rPr>
          <w:color w:val="231F20"/>
          <w:spacing w:val="-14"/>
        </w:rPr>
        <w:t> </w:t>
      </w:r>
      <w:r>
        <w:rPr>
          <w:color w:val="231F20"/>
        </w:rPr>
        <w:t>l’Ouest,</w:t>
      </w:r>
      <w:r>
        <w:rPr>
          <w:color w:val="231F20"/>
          <w:spacing w:val="-14"/>
        </w:rPr>
        <w:t> </w:t>
      </w:r>
      <w:r>
        <w:rPr>
          <w:color w:val="231F20"/>
        </w:rPr>
        <w:t>le</w:t>
      </w:r>
      <w:r>
        <w:rPr>
          <w:color w:val="231F20"/>
          <w:spacing w:val="-15"/>
        </w:rPr>
        <w:t> </w:t>
      </w:r>
      <w:r>
        <w:rPr>
          <w:color w:val="231F20"/>
        </w:rPr>
        <w:t>colonel</w:t>
      </w:r>
      <w:r>
        <w:rPr>
          <w:color w:val="231F20"/>
          <w:spacing w:val="-13"/>
        </w:rPr>
        <w:t> </w:t>
      </w:r>
      <w:r>
        <w:rPr>
          <w:color w:val="231F20"/>
        </w:rPr>
        <w:t>Faidherbe,</w:t>
      </w:r>
      <w:r>
        <w:rPr>
          <w:color w:val="231F20"/>
          <w:spacing w:val="-14"/>
        </w:rPr>
        <w:t> </w:t>
      </w:r>
      <w:r>
        <w:rPr>
          <w:color w:val="231F20"/>
        </w:rPr>
        <w:t>plus</w:t>
      </w:r>
      <w:r>
        <w:rPr>
          <w:color w:val="231F20"/>
          <w:spacing w:val="-14"/>
        </w:rPr>
        <w:t> </w:t>
      </w:r>
      <w:r>
        <w:rPr>
          <w:color w:val="231F20"/>
        </w:rPr>
        <w:t>tard</w:t>
      </w:r>
      <w:r>
        <w:rPr>
          <w:color w:val="231F20"/>
          <w:spacing w:val="-14"/>
        </w:rPr>
        <w:t> </w:t>
      </w:r>
      <w:r>
        <w:rPr>
          <w:color w:val="231F20"/>
        </w:rPr>
        <w:t>général</w:t>
      </w:r>
      <w:r>
        <w:rPr>
          <w:color w:val="76787A"/>
          <w:vertAlign w:val="superscript"/>
        </w:rPr>
        <w:t>24</w:t>
      </w:r>
      <w:r>
        <w:rPr>
          <w:color w:val="76787A"/>
          <w:spacing w:val="-15"/>
          <w:vertAlign w:val="baseline"/>
        </w:rPr>
        <w:t> </w:t>
      </w:r>
      <w:r>
        <w:rPr>
          <w:color w:val="231F20"/>
          <w:vertAlign w:val="baseline"/>
        </w:rPr>
        <w:t>est</w:t>
      </w:r>
      <w:r>
        <w:rPr>
          <w:color w:val="231F20"/>
          <w:spacing w:val="-13"/>
          <w:vertAlign w:val="baseline"/>
        </w:rPr>
        <w:t> </w:t>
      </w:r>
      <w:r>
        <w:rPr>
          <w:color w:val="231F20"/>
          <w:vertAlign w:val="baseline"/>
        </w:rPr>
        <w:t>le </w:t>
      </w:r>
      <w:r>
        <w:rPr>
          <w:color w:val="231F20"/>
          <w:spacing w:val="-2"/>
          <w:vertAlign w:val="baseline"/>
        </w:rPr>
        <w:t>premier</w:t>
      </w:r>
      <w:r>
        <w:rPr>
          <w:color w:val="231F20"/>
          <w:spacing w:val="-10"/>
          <w:vertAlign w:val="baseline"/>
        </w:rPr>
        <w:t> </w:t>
      </w:r>
      <w:r>
        <w:rPr>
          <w:color w:val="231F20"/>
          <w:spacing w:val="-2"/>
          <w:vertAlign w:val="baseline"/>
        </w:rPr>
        <w:t>à</w:t>
      </w:r>
      <w:r>
        <w:rPr>
          <w:color w:val="231F20"/>
          <w:spacing w:val="-10"/>
          <w:vertAlign w:val="baseline"/>
        </w:rPr>
        <w:t> </w:t>
      </w:r>
      <w:r>
        <w:rPr>
          <w:color w:val="231F20"/>
          <w:spacing w:val="-2"/>
          <w:vertAlign w:val="baseline"/>
        </w:rPr>
        <w:t>étendre</w:t>
      </w:r>
      <w:r>
        <w:rPr>
          <w:color w:val="231F20"/>
          <w:spacing w:val="-10"/>
          <w:vertAlign w:val="baseline"/>
        </w:rPr>
        <w:t> </w:t>
      </w:r>
      <w:r>
        <w:rPr>
          <w:color w:val="231F20"/>
          <w:spacing w:val="-2"/>
          <w:vertAlign w:val="baseline"/>
        </w:rPr>
        <w:t>la</w:t>
      </w:r>
      <w:r>
        <w:rPr>
          <w:color w:val="231F20"/>
          <w:spacing w:val="-10"/>
          <w:vertAlign w:val="baseline"/>
        </w:rPr>
        <w:t> </w:t>
      </w:r>
      <w:r>
        <w:rPr>
          <w:color w:val="231F20"/>
          <w:spacing w:val="-2"/>
          <w:vertAlign w:val="baseline"/>
        </w:rPr>
        <w:t>domination</w:t>
      </w:r>
      <w:r>
        <w:rPr>
          <w:color w:val="231F20"/>
          <w:spacing w:val="-10"/>
          <w:vertAlign w:val="baseline"/>
        </w:rPr>
        <w:t> </w:t>
      </w:r>
      <w:r>
        <w:rPr>
          <w:color w:val="231F20"/>
          <w:spacing w:val="-2"/>
          <w:vertAlign w:val="baseline"/>
        </w:rPr>
        <w:t>française</w:t>
      </w:r>
      <w:r>
        <w:rPr>
          <w:color w:val="231F20"/>
          <w:spacing w:val="-10"/>
          <w:vertAlign w:val="baseline"/>
        </w:rPr>
        <w:t> </w:t>
      </w:r>
      <w:r>
        <w:rPr>
          <w:color w:val="231F20"/>
          <w:spacing w:val="-2"/>
          <w:vertAlign w:val="baseline"/>
        </w:rPr>
        <w:t>jusqu’au</w:t>
      </w:r>
      <w:r>
        <w:rPr>
          <w:color w:val="231F20"/>
          <w:spacing w:val="-13"/>
          <w:vertAlign w:val="baseline"/>
        </w:rPr>
        <w:t> </w:t>
      </w:r>
      <w:r>
        <w:rPr>
          <w:color w:val="231F20"/>
          <w:spacing w:val="-2"/>
          <w:vertAlign w:val="baseline"/>
        </w:rPr>
        <w:t>fleuve</w:t>
      </w:r>
      <w:r>
        <w:rPr>
          <w:color w:val="231F20"/>
          <w:spacing w:val="-10"/>
          <w:vertAlign w:val="baseline"/>
        </w:rPr>
        <w:t> </w:t>
      </w:r>
      <w:r>
        <w:rPr>
          <w:color w:val="231F20"/>
          <w:spacing w:val="-2"/>
          <w:vertAlign w:val="baseline"/>
        </w:rPr>
        <w:t>niger.</w:t>
      </w:r>
      <w:r>
        <w:rPr>
          <w:color w:val="231F20"/>
          <w:spacing w:val="-9"/>
          <w:vertAlign w:val="baseline"/>
        </w:rPr>
        <w:t> </w:t>
      </w:r>
      <w:r>
        <w:rPr>
          <w:color w:val="231F20"/>
          <w:spacing w:val="-2"/>
          <w:vertAlign w:val="baseline"/>
        </w:rPr>
        <w:t>Nommé </w:t>
      </w:r>
      <w:r>
        <w:rPr>
          <w:color w:val="231F20"/>
          <w:vertAlign w:val="baseline"/>
        </w:rPr>
        <w:t>Gouverneur de la colonie le</w:t>
      </w:r>
      <w:r>
        <w:rPr>
          <w:color w:val="231F20"/>
          <w:spacing w:val="-13"/>
          <w:vertAlign w:val="baseline"/>
        </w:rPr>
        <w:t> </w:t>
      </w:r>
      <w:r>
        <w:rPr>
          <w:color w:val="231F20"/>
          <w:vertAlign w:val="baseline"/>
        </w:rPr>
        <w:t>16 décembre 1854, Louis Faidherbe </w:t>
      </w:r>
      <w:r>
        <w:rPr>
          <w:color w:val="231F20"/>
          <w:spacing w:val="-4"/>
          <w:vertAlign w:val="baseline"/>
        </w:rPr>
        <w:t>progresse</w:t>
      </w:r>
      <w:r>
        <w:rPr>
          <w:color w:val="231F20"/>
          <w:spacing w:val="-6"/>
          <w:vertAlign w:val="baseline"/>
        </w:rPr>
        <w:t> </w:t>
      </w:r>
      <w:r>
        <w:rPr>
          <w:color w:val="231F20"/>
          <w:spacing w:val="-4"/>
          <w:vertAlign w:val="baseline"/>
        </w:rPr>
        <w:t>par</w:t>
      </w:r>
      <w:r>
        <w:rPr>
          <w:color w:val="231F20"/>
          <w:spacing w:val="-6"/>
          <w:vertAlign w:val="baseline"/>
        </w:rPr>
        <w:t> </w:t>
      </w:r>
      <w:r>
        <w:rPr>
          <w:color w:val="231F20"/>
          <w:spacing w:val="-4"/>
          <w:vertAlign w:val="baseline"/>
        </w:rPr>
        <w:t>la vallée</w:t>
      </w:r>
      <w:r>
        <w:rPr>
          <w:color w:val="231F20"/>
          <w:spacing w:val="-6"/>
          <w:vertAlign w:val="baseline"/>
        </w:rPr>
        <w:t> </w:t>
      </w:r>
      <w:r>
        <w:rPr>
          <w:color w:val="231F20"/>
          <w:spacing w:val="-4"/>
          <w:vertAlign w:val="baseline"/>
        </w:rPr>
        <w:t>du fleuve</w:t>
      </w:r>
      <w:r>
        <w:rPr>
          <w:color w:val="231F20"/>
          <w:spacing w:val="-8"/>
          <w:vertAlign w:val="baseline"/>
        </w:rPr>
        <w:t> </w:t>
      </w:r>
      <w:r>
        <w:rPr>
          <w:color w:val="231F20"/>
          <w:spacing w:val="-4"/>
          <w:vertAlign w:val="baseline"/>
        </w:rPr>
        <w:t>sénégal.</w:t>
      </w:r>
      <w:r>
        <w:rPr>
          <w:color w:val="231F20"/>
          <w:spacing w:val="-5"/>
          <w:vertAlign w:val="baseline"/>
        </w:rPr>
        <w:t> </w:t>
      </w:r>
      <w:r>
        <w:rPr>
          <w:color w:val="231F20"/>
          <w:spacing w:val="-4"/>
          <w:vertAlign w:val="baseline"/>
        </w:rPr>
        <w:t>Longtemps,</w:t>
      </w:r>
      <w:r>
        <w:rPr>
          <w:color w:val="231F20"/>
          <w:spacing w:val="-6"/>
          <w:vertAlign w:val="baseline"/>
        </w:rPr>
        <w:t> </w:t>
      </w:r>
      <w:r>
        <w:rPr>
          <w:color w:val="231F20"/>
          <w:spacing w:val="-4"/>
          <w:vertAlign w:val="baseline"/>
        </w:rPr>
        <w:t>les</w:t>
      </w:r>
      <w:r>
        <w:rPr>
          <w:color w:val="231F20"/>
          <w:spacing w:val="-6"/>
          <w:vertAlign w:val="baseline"/>
        </w:rPr>
        <w:t> </w:t>
      </w:r>
      <w:r>
        <w:rPr>
          <w:color w:val="231F20"/>
          <w:spacing w:val="-4"/>
          <w:vertAlign w:val="baseline"/>
        </w:rPr>
        <w:t>peuples Ouolof, </w:t>
      </w:r>
      <w:r>
        <w:rPr>
          <w:color w:val="231F20"/>
          <w:spacing w:val="-2"/>
          <w:vertAlign w:val="baseline"/>
        </w:rPr>
        <w:t>Toucouleur,</w:t>
      </w:r>
      <w:r>
        <w:rPr>
          <w:color w:val="231F20"/>
          <w:spacing w:val="-12"/>
          <w:vertAlign w:val="baseline"/>
        </w:rPr>
        <w:t> </w:t>
      </w:r>
      <w:r>
        <w:rPr>
          <w:color w:val="231F20"/>
          <w:spacing w:val="-2"/>
          <w:vertAlign w:val="baseline"/>
        </w:rPr>
        <w:t>Bambara,</w:t>
      </w:r>
      <w:r>
        <w:rPr>
          <w:color w:val="231F20"/>
          <w:spacing w:val="-12"/>
          <w:vertAlign w:val="baseline"/>
        </w:rPr>
        <w:t> </w:t>
      </w:r>
      <w:r>
        <w:rPr>
          <w:color w:val="231F20"/>
          <w:spacing w:val="-2"/>
          <w:vertAlign w:val="baseline"/>
        </w:rPr>
        <w:t>Malinké</w:t>
      </w:r>
      <w:r>
        <w:rPr>
          <w:color w:val="231F20"/>
          <w:spacing w:val="-10"/>
          <w:vertAlign w:val="baseline"/>
        </w:rPr>
        <w:t> </w:t>
      </w:r>
      <w:r>
        <w:rPr>
          <w:color w:val="231F20"/>
          <w:spacing w:val="-2"/>
          <w:vertAlign w:val="baseline"/>
        </w:rPr>
        <w:t>et</w:t>
      </w:r>
      <w:r>
        <w:rPr>
          <w:color w:val="231F20"/>
          <w:spacing w:val="-11"/>
          <w:vertAlign w:val="baseline"/>
        </w:rPr>
        <w:t> </w:t>
      </w:r>
      <w:r>
        <w:rPr>
          <w:color w:val="231F20"/>
          <w:spacing w:val="-2"/>
          <w:vertAlign w:val="baseline"/>
        </w:rPr>
        <w:t>Mossi</w:t>
      </w:r>
      <w:r>
        <w:rPr>
          <w:color w:val="231F20"/>
          <w:spacing w:val="-10"/>
          <w:vertAlign w:val="baseline"/>
        </w:rPr>
        <w:t> </w:t>
      </w:r>
      <w:r>
        <w:rPr>
          <w:color w:val="231F20"/>
          <w:spacing w:val="-2"/>
          <w:vertAlign w:val="baseline"/>
        </w:rPr>
        <w:t>résistent</w:t>
      </w:r>
      <w:r>
        <w:rPr>
          <w:color w:val="231F20"/>
          <w:spacing w:val="-10"/>
          <w:vertAlign w:val="baseline"/>
        </w:rPr>
        <w:t> </w:t>
      </w:r>
      <w:r>
        <w:rPr>
          <w:color w:val="231F20"/>
          <w:spacing w:val="-2"/>
          <w:vertAlign w:val="baseline"/>
        </w:rPr>
        <w:t>à</w:t>
      </w:r>
      <w:r>
        <w:rPr>
          <w:color w:val="231F20"/>
          <w:spacing w:val="-12"/>
          <w:vertAlign w:val="baseline"/>
        </w:rPr>
        <w:t> </w:t>
      </w:r>
      <w:r>
        <w:rPr>
          <w:color w:val="231F20"/>
          <w:spacing w:val="-2"/>
          <w:vertAlign w:val="baseline"/>
        </w:rPr>
        <w:t>ses</w:t>
      </w:r>
      <w:r>
        <w:rPr>
          <w:color w:val="231F20"/>
          <w:spacing w:val="-12"/>
          <w:vertAlign w:val="baseline"/>
        </w:rPr>
        <w:t> </w:t>
      </w:r>
      <w:r>
        <w:rPr>
          <w:color w:val="231F20"/>
          <w:spacing w:val="-2"/>
          <w:vertAlign w:val="baseline"/>
        </w:rPr>
        <w:t>troupes</w:t>
      </w:r>
      <w:r>
        <w:rPr>
          <w:color w:val="231F20"/>
          <w:spacing w:val="-12"/>
          <w:vertAlign w:val="baseline"/>
        </w:rPr>
        <w:t> </w:t>
      </w:r>
      <w:r>
        <w:rPr>
          <w:color w:val="231F20"/>
          <w:spacing w:val="-2"/>
          <w:vertAlign w:val="baseline"/>
        </w:rPr>
        <w:t>appuyées </w:t>
      </w:r>
      <w:r>
        <w:rPr>
          <w:color w:val="231F20"/>
          <w:vertAlign w:val="baseline"/>
        </w:rPr>
        <w:t>par les « tirailleurs »</w:t>
      </w:r>
      <w:r>
        <w:rPr>
          <w:color w:val="76787A"/>
          <w:vertAlign w:val="superscript"/>
        </w:rPr>
        <w:t>25</w:t>
      </w:r>
      <w:r>
        <w:rPr>
          <w:color w:val="231F20"/>
          <w:vertAlign w:val="baseline"/>
        </w:rPr>
        <w:t>.</w:t>
      </w:r>
    </w:p>
    <w:p>
      <w:pPr>
        <w:pStyle w:val="BodyText"/>
        <w:spacing w:before="120"/>
        <w:ind w:right="104" w:firstLine="340"/>
      </w:pPr>
      <w:r>
        <w:rPr>
          <w:color w:val="231F20"/>
          <w:spacing w:val="-2"/>
        </w:rPr>
        <w:t>Les</w:t>
      </w:r>
      <w:r>
        <w:rPr>
          <w:color w:val="231F20"/>
          <w:spacing w:val="-15"/>
        </w:rPr>
        <w:t> </w:t>
      </w:r>
      <w:r>
        <w:rPr>
          <w:color w:val="231F20"/>
          <w:spacing w:val="-2"/>
        </w:rPr>
        <w:t>Toucouleurs</w:t>
      </w:r>
      <w:r>
        <w:rPr>
          <w:color w:val="231F20"/>
          <w:spacing w:val="-13"/>
        </w:rPr>
        <w:t> </w:t>
      </w:r>
      <w:r>
        <w:rPr>
          <w:color w:val="231F20"/>
          <w:spacing w:val="-2"/>
        </w:rPr>
        <w:t>résistent</w:t>
      </w:r>
      <w:r>
        <w:rPr>
          <w:color w:val="231F20"/>
          <w:spacing w:val="-13"/>
        </w:rPr>
        <w:t> </w:t>
      </w:r>
      <w:r>
        <w:rPr>
          <w:color w:val="231F20"/>
          <w:spacing w:val="-2"/>
        </w:rPr>
        <w:t>de</w:t>
      </w:r>
      <w:r>
        <w:rPr>
          <w:color w:val="231F20"/>
          <w:spacing w:val="-13"/>
        </w:rPr>
        <w:t> </w:t>
      </w:r>
      <w:r>
        <w:rPr>
          <w:color w:val="231F20"/>
          <w:spacing w:val="-2"/>
        </w:rPr>
        <w:t>1855</w:t>
      </w:r>
      <w:r>
        <w:rPr>
          <w:color w:val="231F20"/>
          <w:spacing w:val="-13"/>
        </w:rPr>
        <w:t> </w:t>
      </w:r>
      <w:r>
        <w:rPr>
          <w:color w:val="231F20"/>
          <w:spacing w:val="-2"/>
        </w:rPr>
        <w:t>à</w:t>
      </w:r>
      <w:r>
        <w:rPr>
          <w:color w:val="231F20"/>
          <w:spacing w:val="-13"/>
        </w:rPr>
        <w:t> </w:t>
      </w:r>
      <w:r>
        <w:rPr>
          <w:color w:val="231F20"/>
          <w:spacing w:val="-2"/>
        </w:rPr>
        <w:t>1863.</w:t>
      </w:r>
      <w:r>
        <w:rPr>
          <w:color w:val="231F20"/>
          <w:spacing w:val="-13"/>
        </w:rPr>
        <w:t> </w:t>
      </w:r>
      <w:r>
        <w:rPr>
          <w:color w:val="231F20"/>
          <w:spacing w:val="-2"/>
        </w:rPr>
        <w:t>En</w:t>
      </w:r>
      <w:r>
        <w:rPr>
          <w:color w:val="231F20"/>
          <w:spacing w:val="-13"/>
        </w:rPr>
        <w:t> </w:t>
      </w:r>
      <w:r>
        <w:rPr>
          <w:color w:val="231F20"/>
          <w:spacing w:val="-2"/>
        </w:rPr>
        <w:t>1890,</w:t>
      </w:r>
      <w:r>
        <w:rPr>
          <w:color w:val="231F20"/>
          <w:spacing w:val="-13"/>
        </w:rPr>
        <w:t> </w:t>
      </w:r>
      <w:r>
        <w:rPr>
          <w:color w:val="231F20"/>
          <w:spacing w:val="-2"/>
        </w:rPr>
        <w:t>lors</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prise</w:t>
      </w:r>
      <w:r>
        <w:rPr>
          <w:color w:val="231F20"/>
          <w:spacing w:val="-13"/>
        </w:rPr>
        <w:t> </w:t>
      </w:r>
      <w:r>
        <w:rPr>
          <w:color w:val="231F20"/>
          <w:spacing w:val="-2"/>
        </w:rPr>
        <w:t>de </w:t>
      </w:r>
      <w:r>
        <w:rPr>
          <w:color w:val="231F20"/>
        </w:rPr>
        <w:t>Ségou, ses défenseurs infligent aux troupes françaises d’importantes pertes. Des combats acharnés ont également lieu pour la conquête des </w:t>
      </w:r>
      <w:r>
        <w:rPr>
          <w:color w:val="231F20"/>
          <w:spacing w:val="-2"/>
        </w:rPr>
        <w:t>villes</w:t>
      </w:r>
      <w:r>
        <w:rPr>
          <w:color w:val="231F20"/>
          <w:spacing w:val="-9"/>
        </w:rPr>
        <w:t> </w:t>
      </w:r>
      <w:r>
        <w:rPr>
          <w:color w:val="231F20"/>
          <w:spacing w:val="-2"/>
        </w:rPr>
        <w:t>de</w:t>
      </w:r>
      <w:r>
        <w:rPr>
          <w:color w:val="231F20"/>
          <w:spacing w:val="-7"/>
        </w:rPr>
        <w:t> </w:t>
      </w:r>
      <w:r>
        <w:rPr>
          <w:color w:val="231F20"/>
          <w:spacing w:val="-2"/>
        </w:rPr>
        <w:t>Djenné</w:t>
      </w:r>
      <w:r>
        <w:rPr>
          <w:color w:val="231F20"/>
          <w:spacing w:val="-10"/>
        </w:rPr>
        <w:t> </w:t>
      </w:r>
      <w:r>
        <w:rPr>
          <w:color w:val="231F20"/>
          <w:spacing w:val="-2"/>
        </w:rPr>
        <w:t>et</w:t>
      </w:r>
      <w:r>
        <w:rPr>
          <w:color w:val="231F20"/>
          <w:spacing w:val="-9"/>
        </w:rPr>
        <w:t> </w:t>
      </w:r>
      <w:r>
        <w:rPr>
          <w:color w:val="231F20"/>
          <w:spacing w:val="-2"/>
        </w:rPr>
        <w:t>Bandiagara.</w:t>
      </w:r>
      <w:r>
        <w:rPr>
          <w:color w:val="231F20"/>
          <w:spacing w:val="-7"/>
        </w:rPr>
        <w:t> </w:t>
      </w:r>
      <w:r>
        <w:rPr>
          <w:color w:val="231F20"/>
          <w:spacing w:val="-2"/>
        </w:rPr>
        <w:t>En</w:t>
      </w:r>
      <w:r>
        <w:rPr>
          <w:color w:val="231F20"/>
          <w:spacing w:val="-9"/>
        </w:rPr>
        <w:t> </w:t>
      </w:r>
      <w:r>
        <w:rPr>
          <w:color w:val="231F20"/>
          <w:spacing w:val="-2"/>
        </w:rPr>
        <w:t>1893,</w:t>
      </w:r>
      <w:r>
        <w:rPr>
          <w:color w:val="231F20"/>
          <w:spacing w:val="-9"/>
        </w:rPr>
        <w:t> </w:t>
      </w:r>
      <w:r>
        <w:rPr>
          <w:color w:val="231F20"/>
          <w:spacing w:val="-2"/>
        </w:rPr>
        <w:t>les</w:t>
      </w:r>
      <w:r>
        <w:rPr>
          <w:color w:val="231F20"/>
          <w:spacing w:val="-9"/>
        </w:rPr>
        <w:t> </w:t>
      </w:r>
      <w:r>
        <w:rPr>
          <w:color w:val="231F20"/>
          <w:spacing w:val="-2"/>
        </w:rPr>
        <w:t>troupes</w:t>
      </w:r>
      <w:r>
        <w:rPr>
          <w:color w:val="231F20"/>
          <w:spacing w:val="-7"/>
        </w:rPr>
        <w:t> </w:t>
      </w:r>
      <w:r>
        <w:rPr>
          <w:color w:val="231F20"/>
          <w:spacing w:val="-2"/>
        </w:rPr>
        <w:t>françaises</w:t>
      </w:r>
      <w:r>
        <w:rPr>
          <w:color w:val="231F20"/>
          <w:spacing w:val="-11"/>
        </w:rPr>
        <w:t> </w:t>
      </w:r>
      <w:r>
        <w:rPr>
          <w:color w:val="231F20"/>
          <w:spacing w:val="-2"/>
        </w:rPr>
        <w:t>subissent </w:t>
      </w:r>
      <w:r>
        <w:rPr>
          <w:color w:val="231F20"/>
        </w:rPr>
        <w:t>une défaite</w:t>
      </w:r>
      <w:r>
        <w:rPr>
          <w:color w:val="231F20"/>
          <w:spacing w:val="-2"/>
        </w:rPr>
        <w:t> </w:t>
      </w:r>
      <w:r>
        <w:rPr>
          <w:color w:val="231F20"/>
        </w:rPr>
        <w:t>sérieuse</w:t>
      </w:r>
      <w:r>
        <w:rPr>
          <w:color w:val="231F20"/>
          <w:spacing w:val="-2"/>
        </w:rPr>
        <w:t> </w:t>
      </w:r>
      <w:r>
        <w:rPr>
          <w:color w:val="231F20"/>
        </w:rPr>
        <w:t>devant</w:t>
      </w:r>
      <w:r>
        <w:rPr>
          <w:color w:val="231F20"/>
          <w:spacing w:val="-2"/>
        </w:rPr>
        <w:t> </w:t>
      </w:r>
      <w:r>
        <w:rPr>
          <w:color w:val="231F20"/>
        </w:rPr>
        <w:t>Tombouctou.</w:t>
      </w:r>
      <w:r>
        <w:rPr>
          <w:color w:val="231F20"/>
          <w:spacing w:val="-2"/>
        </w:rPr>
        <w:t> </w:t>
      </w:r>
      <w:r>
        <w:rPr>
          <w:color w:val="231F20"/>
        </w:rPr>
        <w:t>En</w:t>
      </w:r>
      <w:r>
        <w:rPr>
          <w:color w:val="231F20"/>
          <w:spacing w:val="-2"/>
        </w:rPr>
        <w:t> </w:t>
      </w:r>
      <w:r>
        <w:rPr>
          <w:color w:val="231F20"/>
        </w:rPr>
        <w:t>janvier 1894, les</w:t>
      </w:r>
      <w:r>
        <w:rPr>
          <w:color w:val="231F20"/>
          <w:spacing w:val="-1"/>
        </w:rPr>
        <w:t> </w:t>
      </w:r>
      <w:r>
        <w:rPr>
          <w:color w:val="231F20"/>
        </w:rPr>
        <w:t>Touareg anéantissent</w:t>
      </w:r>
      <w:r>
        <w:rPr>
          <w:color w:val="231F20"/>
          <w:spacing w:val="-9"/>
        </w:rPr>
        <w:t> </w:t>
      </w:r>
      <w:r>
        <w:rPr>
          <w:color w:val="231F20"/>
        </w:rPr>
        <w:t>toute</w:t>
      </w:r>
      <w:r>
        <w:rPr>
          <w:color w:val="231F20"/>
          <w:spacing w:val="-9"/>
        </w:rPr>
        <w:t> </w:t>
      </w:r>
      <w:r>
        <w:rPr>
          <w:color w:val="231F20"/>
        </w:rPr>
        <w:t>une</w:t>
      </w:r>
      <w:r>
        <w:rPr>
          <w:color w:val="231F20"/>
          <w:spacing w:val="-7"/>
        </w:rPr>
        <w:t> </w:t>
      </w:r>
      <w:r>
        <w:rPr>
          <w:color w:val="231F20"/>
        </w:rPr>
        <w:t>colonne</w:t>
      </w:r>
      <w:r>
        <w:rPr>
          <w:color w:val="231F20"/>
          <w:spacing w:val="-7"/>
        </w:rPr>
        <w:t> </w:t>
      </w:r>
      <w:r>
        <w:rPr>
          <w:color w:val="231F20"/>
        </w:rPr>
        <w:t>de</w:t>
      </w:r>
      <w:r>
        <w:rPr>
          <w:color w:val="231F20"/>
          <w:spacing w:val="-10"/>
        </w:rPr>
        <w:t> </w:t>
      </w:r>
      <w:r>
        <w:rPr>
          <w:color w:val="231F20"/>
        </w:rPr>
        <w:t>troupes</w:t>
      </w:r>
      <w:r>
        <w:rPr>
          <w:color w:val="231F20"/>
          <w:spacing w:val="-7"/>
        </w:rPr>
        <w:t> </w:t>
      </w:r>
      <w:r>
        <w:rPr>
          <w:color w:val="231F20"/>
        </w:rPr>
        <w:t>françaises.</w:t>
      </w:r>
      <w:r>
        <w:rPr>
          <w:color w:val="231F20"/>
          <w:spacing w:val="-7"/>
        </w:rPr>
        <w:t> </w:t>
      </w:r>
      <w:r>
        <w:rPr>
          <w:color w:val="231F20"/>
        </w:rPr>
        <w:t>En</w:t>
      </w:r>
      <w:r>
        <w:rPr>
          <w:color w:val="231F20"/>
          <w:spacing w:val="-9"/>
        </w:rPr>
        <w:t> </w:t>
      </w:r>
      <w:r>
        <w:rPr>
          <w:color w:val="231F20"/>
        </w:rPr>
        <w:t>1898,</w:t>
      </w:r>
      <w:r>
        <w:rPr>
          <w:color w:val="231F20"/>
          <w:spacing w:val="-9"/>
        </w:rPr>
        <w:t> </w:t>
      </w:r>
      <w:r>
        <w:rPr>
          <w:color w:val="231F20"/>
        </w:rPr>
        <w:t>après</w:t>
      </w:r>
      <w:r>
        <w:rPr>
          <w:color w:val="231F20"/>
          <w:spacing w:val="-7"/>
        </w:rPr>
        <w:t> </w:t>
      </w:r>
      <w:r>
        <w:rPr>
          <w:color w:val="231F20"/>
        </w:rPr>
        <w:t>de durs combats, les Français s’emparent de Sikasso. Lorsque la ville d’Ouossébougou, un des centres les plus importants de l’empire </w:t>
      </w:r>
      <w:r>
        <w:rPr>
          <w:color w:val="231F20"/>
          <w:spacing w:val="-4"/>
        </w:rPr>
        <w:t>d’Ahmadou, est</w:t>
      </w:r>
      <w:r>
        <w:rPr>
          <w:color w:val="231F20"/>
          <w:spacing w:val="-7"/>
        </w:rPr>
        <w:t> </w:t>
      </w:r>
      <w:r>
        <w:rPr>
          <w:color w:val="231F20"/>
          <w:spacing w:val="-4"/>
        </w:rPr>
        <w:t>prise,</w:t>
      </w:r>
      <w:r>
        <w:rPr>
          <w:color w:val="231F20"/>
          <w:spacing w:val="-7"/>
        </w:rPr>
        <w:t> </w:t>
      </w:r>
      <w:r>
        <w:rPr>
          <w:color w:val="231F20"/>
          <w:spacing w:val="-4"/>
        </w:rPr>
        <w:t>son</w:t>
      </w:r>
      <w:r>
        <w:rPr>
          <w:color w:val="231F20"/>
          <w:spacing w:val="-7"/>
        </w:rPr>
        <w:t> </w:t>
      </w:r>
      <w:r>
        <w:rPr>
          <w:color w:val="231F20"/>
          <w:spacing w:val="-4"/>
        </w:rPr>
        <w:t>chef</w:t>
      </w:r>
      <w:r>
        <w:rPr>
          <w:color w:val="231F20"/>
          <w:spacing w:val="-8"/>
        </w:rPr>
        <w:t> </w:t>
      </w:r>
      <w:r>
        <w:rPr>
          <w:color w:val="231F20"/>
          <w:spacing w:val="-4"/>
        </w:rPr>
        <w:t>préfère se</w:t>
      </w:r>
      <w:r>
        <w:rPr>
          <w:color w:val="231F20"/>
          <w:spacing w:val="-8"/>
        </w:rPr>
        <w:t> </w:t>
      </w:r>
      <w:r>
        <w:rPr>
          <w:color w:val="231F20"/>
          <w:spacing w:val="-4"/>
        </w:rPr>
        <w:t>donner</w:t>
      </w:r>
      <w:r>
        <w:rPr>
          <w:color w:val="231F20"/>
          <w:spacing w:val="-8"/>
        </w:rPr>
        <w:t> </w:t>
      </w:r>
      <w:r>
        <w:rPr>
          <w:color w:val="231F20"/>
          <w:spacing w:val="-4"/>
        </w:rPr>
        <w:t>la</w:t>
      </w:r>
      <w:r>
        <w:rPr>
          <w:color w:val="231F20"/>
          <w:spacing w:val="-8"/>
        </w:rPr>
        <w:t> </w:t>
      </w:r>
      <w:r>
        <w:rPr>
          <w:color w:val="231F20"/>
          <w:spacing w:val="-4"/>
        </w:rPr>
        <w:t>mort</w:t>
      </w:r>
      <w:r>
        <w:rPr>
          <w:color w:val="231F20"/>
          <w:spacing w:val="-7"/>
        </w:rPr>
        <w:t> </w:t>
      </w:r>
      <w:r>
        <w:rPr>
          <w:color w:val="231F20"/>
          <w:spacing w:val="-4"/>
        </w:rPr>
        <w:t>que</w:t>
      </w:r>
      <w:r>
        <w:rPr>
          <w:color w:val="231F20"/>
          <w:spacing w:val="-8"/>
        </w:rPr>
        <w:t> </w:t>
      </w:r>
      <w:r>
        <w:rPr>
          <w:color w:val="231F20"/>
          <w:spacing w:val="-4"/>
        </w:rPr>
        <w:t>de</w:t>
      </w:r>
      <w:r>
        <w:rPr>
          <w:color w:val="231F20"/>
          <w:spacing w:val="-8"/>
        </w:rPr>
        <w:t> </w:t>
      </w:r>
      <w:r>
        <w:rPr>
          <w:color w:val="231F20"/>
          <w:spacing w:val="-4"/>
        </w:rPr>
        <w:t>subir</w:t>
      </w:r>
      <w:r>
        <w:rPr>
          <w:color w:val="231F20"/>
          <w:spacing w:val="-8"/>
        </w:rPr>
        <w:t> </w:t>
      </w:r>
      <w:r>
        <w:rPr>
          <w:color w:val="231F20"/>
          <w:spacing w:val="-4"/>
        </w:rPr>
        <w:t>une </w:t>
      </w:r>
      <w:r>
        <w:rPr>
          <w:color w:val="231F20"/>
        </w:rPr>
        <w:t>captivité honteuse : «</w:t>
      </w:r>
      <w:r>
        <w:rPr>
          <w:color w:val="231F20"/>
          <w:spacing w:val="-15"/>
        </w:rPr>
        <w:t> </w:t>
      </w:r>
      <w:r>
        <w:rPr>
          <w:color w:val="231F20"/>
        </w:rPr>
        <w:t>la résistance se poursuit maison par maison</w:t>
      </w:r>
      <w:r>
        <w:rPr>
          <w:color w:val="231F20"/>
          <w:spacing w:val="-15"/>
        </w:rPr>
        <w:t> </w:t>
      </w:r>
      <w:r>
        <w:rPr>
          <w:color w:val="231F20"/>
        </w:rPr>
        <w:t>; les </w:t>
      </w:r>
      <w:r>
        <w:rPr>
          <w:color w:val="231F20"/>
          <w:spacing w:val="-4"/>
        </w:rPr>
        <w:t>hommes</w:t>
      </w:r>
      <w:r>
        <w:rPr>
          <w:color w:val="231F20"/>
          <w:spacing w:val="-11"/>
        </w:rPr>
        <w:t> </w:t>
      </w:r>
      <w:r>
        <w:rPr>
          <w:color w:val="231F20"/>
          <w:spacing w:val="-4"/>
        </w:rPr>
        <w:t>combattent</w:t>
      </w:r>
      <w:r>
        <w:rPr>
          <w:color w:val="231F20"/>
          <w:spacing w:val="-11"/>
        </w:rPr>
        <w:t> </w:t>
      </w:r>
      <w:r>
        <w:rPr>
          <w:color w:val="231F20"/>
          <w:spacing w:val="-4"/>
        </w:rPr>
        <w:t>jusqu’au</w:t>
      </w:r>
      <w:r>
        <w:rPr>
          <w:color w:val="231F20"/>
          <w:spacing w:val="-8"/>
        </w:rPr>
        <w:t> </w:t>
      </w:r>
      <w:r>
        <w:rPr>
          <w:color w:val="231F20"/>
          <w:spacing w:val="-4"/>
        </w:rPr>
        <w:t>dernier</w:t>
      </w:r>
      <w:r>
        <w:rPr>
          <w:color w:val="231F20"/>
          <w:spacing w:val="-11"/>
        </w:rPr>
        <w:t> </w:t>
      </w:r>
      <w:r>
        <w:rPr>
          <w:color w:val="231F20"/>
          <w:spacing w:val="-4"/>
        </w:rPr>
        <w:t>souffle</w:t>
      </w:r>
      <w:r>
        <w:rPr>
          <w:color w:val="231F20"/>
          <w:spacing w:val="-2"/>
        </w:rPr>
        <w:t> </w:t>
      </w:r>
      <w:r>
        <w:rPr>
          <w:color w:val="231F20"/>
          <w:spacing w:val="-4"/>
        </w:rPr>
        <w:t>;</w:t>
      </w:r>
      <w:r>
        <w:rPr>
          <w:color w:val="231F20"/>
          <w:spacing w:val="-9"/>
        </w:rPr>
        <w:t> </w:t>
      </w:r>
      <w:r>
        <w:rPr>
          <w:color w:val="231F20"/>
          <w:spacing w:val="-4"/>
        </w:rPr>
        <w:t>personne</w:t>
      </w:r>
      <w:r>
        <w:rPr>
          <w:color w:val="231F20"/>
          <w:spacing w:val="-9"/>
        </w:rPr>
        <w:t> </w:t>
      </w:r>
      <w:r>
        <w:rPr>
          <w:color w:val="231F20"/>
          <w:spacing w:val="-4"/>
        </w:rPr>
        <w:t>ne</w:t>
      </w:r>
      <w:r>
        <w:rPr>
          <w:color w:val="231F20"/>
          <w:spacing w:val="-11"/>
        </w:rPr>
        <w:t> </w:t>
      </w:r>
      <w:r>
        <w:rPr>
          <w:color w:val="231F20"/>
          <w:spacing w:val="-4"/>
        </w:rPr>
        <w:t>s’est</w:t>
      </w:r>
      <w:r>
        <w:rPr>
          <w:color w:val="231F20"/>
          <w:spacing w:val="-9"/>
        </w:rPr>
        <w:t> </w:t>
      </w:r>
      <w:r>
        <w:rPr>
          <w:color w:val="231F20"/>
          <w:spacing w:val="-4"/>
        </w:rPr>
        <w:t>rendu.</w:t>
      </w:r>
      <w:r>
        <w:rPr>
          <w:color w:val="231F20"/>
          <w:spacing w:val="-11"/>
        </w:rPr>
        <w:t> </w:t>
      </w:r>
      <w:r>
        <w:rPr>
          <w:color w:val="231F20"/>
          <w:spacing w:val="-4"/>
        </w:rPr>
        <w:t>Le </w:t>
      </w:r>
      <w:r>
        <w:rPr>
          <w:color w:val="231F20"/>
          <w:spacing w:val="-2"/>
        </w:rPr>
        <w:t>charnier</w:t>
      </w:r>
      <w:r>
        <w:rPr>
          <w:color w:val="231F20"/>
          <w:spacing w:val="-15"/>
        </w:rPr>
        <w:t> </w:t>
      </w:r>
      <w:r>
        <w:rPr>
          <w:color w:val="231F20"/>
          <w:spacing w:val="-2"/>
        </w:rPr>
        <w:t>est</w:t>
      </w:r>
      <w:r>
        <w:rPr>
          <w:color w:val="231F20"/>
          <w:spacing w:val="-13"/>
        </w:rPr>
        <w:t> </w:t>
      </w:r>
      <w:r>
        <w:rPr>
          <w:color w:val="231F20"/>
          <w:spacing w:val="-2"/>
        </w:rPr>
        <w:t>tellement</w:t>
      </w:r>
      <w:r>
        <w:rPr>
          <w:color w:val="231F20"/>
          <w:spacing w:val="-13"/>
        </w:rPr>
        <w:t> </w:t>
      </w:r>
      <w:r>
        <w:rPr>
          <w:color w:val="231F20"/>
          <w:spacing w:val="-2"/>
        </w:rPr>
        <w:t>effroyable</w:t>
      </w:r>
      <w:r>
        <w:rPr>
          <w:color w:val="231F20"/>
          <w:spacing w:val="-13"/>
        </w:rPr>
        <w:t> </w:t>
      </w:r>
      <w:r>
        <w:rPr>
          <w:color w:val="231F20"/>
          <w:spacing w:val="-2"/>
        </w:rPr>
        <w:t>que</w:t>
      </w:r>
      <w:r>
        <w:rPr>
          <w:color w:val="231F20"/>
          <w:spacing w:val="-13"/>
        </w:rPr>
        <w:t> </w:t>
      </w:r>
      <w:r>
        <w:rPr>
          <w:color w:val="231F20"/>
          <w:spacing w:val="-2"/>
        </w:rPr>
        <w:t>les</w:t>
      </w:r>
      <w:r>
        <w:rPr>
          <w:color w:val="231F20"/>
          <w:spacing w:val="-13"/>
        </w:rPr>
        <w:t> </w:t>
      </w:r>
      <w:r>
        <w:rPr>
          <w:color w:val="231F20"/>
          <w:spacing w:val="-2"/>
        </w:rPr>
        <w:t>officiers</w:t>
      </w:r>
      <w:r>
        <w:rPr>
          <w:color w:val="231F20"/>
          <w:spacing w:val="-13"/>
        </w:rPr>
        <w:t> </w:t>
      </w:r>
      <w:r>
        <w:rPr>
          <w:color w:val="231F20"/>
          <w:spacing w:val="-2"/>
        </w:rPr>
        <w:t>renoncent</w:t>
      </w:r>
      <w:r>
        <w:rPr>
          <w:color w:val="231F20"/>
          <w:spacing w:val="-13"/>
        </w:rPr>
        <w:t> </w:t>
      </w:r>
      <w:r>
        <w:rPr>
          <w:color w:val="231F20"/>
          <w:spacing w:val="-2"/>
        </w:rPr>
        <w:t>à</w:t>
      </w:r>
      <w:r>
        <w:rPr>
          <w:color w:val="231F20"/>
          <w:spacing w:val="-13"/>
        </w:rPr>
        <w:t> </w:t>
      </w:r>
      <w:r>
        <w:rPr>
          <w:color w:val="231F20"/>
          <w:spacing w:val="-2"/>
        </w:rPr>
        <w:t>compter</w:t>
      </w:r>
      <w:r>
        <w:rPr>
          <w:color w:val="231F20"/>
          <w:spacing w:val="-13"/>
        </w:rPr>
        <w:t> </w:t>
      </w:r>
      <w:r>
        <w:rPr>
          <w:color w:val="231F20"/>
          <w:spacing w:val="-2"/>
        </w:rPr>
        <w:t>les </w:t>
      </w:r>
      <w:r>
        <w:rPr>
          <w:color w:val="231F20"/>
        </w:rPr>
        <w:t>morts. »</w:t>
      </w:r>
      <w:r>
        <w:rPr>
          <w:color w:val="76787A"/>
          <w:vertAlign w:val="superscript"/>
        </w:rPr>
        <w:t>26</w:t>
      </w:r>
    </w:p>
    <w:p>
      <w:pPr>
        <w:pStyle w:val="BodyText"/>
        <w:spacing w:before="121"/>
        <w:ind w:right="105" w:firstLine="283"/>
      </w:pPr>
      <w:r>
        <w:rPr>
          <w:color w:val="231F20"/>
        </w:rPr>
        <w:t>Les colonisateurs accentuent dès 1892 leur pression sur l’empire d’Ouassoulou qui s’étend, pour sa majeure partie, sur le territoire des </w:t>
      </w:r>
      <w:r>
        <w:rPr>
          <w:color w:val="231F20"/>
          <w:spacing w:val="-2"/>
        </w:rPr>
        <w:t>Républiques</w:t>
      </w:r>
      <w:r>
        <w:rPr>
          <w:color w:val="231F20"/>
          <w:spacing w:val="-8"/>
        </w:rPr>
        <w:t> </w:t>
      </w:r>
      <w:r>
        <w:rPr>
          <w:color w:val="231F20"/>
          <w:spacing w:val="-2"/>
        </w:rPr>
        <w:t>actuelles</w:t>
      </w:r>
      <w:r>
        <w:rPr>
          <w:color w:val="231F20"/>
          <w:spacing w:val="-8"/>
        </w:rPr>
        <w:t> </w:t>
      </w:r>
      <w:r>
        <w:rPr>
          <w:color w:val="231F20"/>
          <w:spacing w:val="-2"/>
        </w:rPr>
        <w:t>du</w:t>
      </w:r>
      <w:r>
        <w:rPr>
          <w:color w:val="231F20"/>
          <w:spacing w:val="-11"/>
        </w:rPr>
        <w:t> </w:t>
      </w:r>
      <w:r>
        <w:rPr>
          <w:color w:val="231F20"/>
          <w:spacing w:val="-2"/>
        </w:rPr>
        <w:t>Mali</w:t>
      </w:r>
      <w:r>
        <w:rPr>
          <w:color w:val="231F20"/>
          <w:spacing w:val="-8"/>
        </w:rPr>
        <w:t> </w:t>
      </w:r>
      <w:r>
        <w:rPr>
          <w:color w:val="231F20"/>
          <w:spacing w:val="-2"/>
        </w:rPr>
        <w:t>et</w:t>
      </w:r>
      <w:r>
        <w:rPr>
          <w:color w:val="231F20"/>
          <w:spacing w:val="-10"/>
        </w:rPr>
        <w:t> </w:t>
      </w:r>
      <w:r>
        <w:rPr>
          <w:color w:val="231F20"/>
          <w:spacing w:val="-2"/>
        </w:rPr>
        <w:t>de</w:t>
      </w:r>
      <w:r>
        <w:rPr>
          <w:color w:val="231F20"/>
          <w:spacing w:val="-9"/>
        </w:rPr>
        <w:t> </w:t>
      </w:r>
      <w:r>
        <w:rPr>
          <w:color w:val="231F20"/>
          <w:spacing w:val="-2"/>
        </w:rPr>
        <w:t>la</w:t>
      </w:r>
      <w:r>
        <w:rPr>
          <w:color w:val="231F20"/>
          <w:spacing w:val="-9"/>
        </w:rPr>
        <w:t> </w:t>
      </w:r>
      <w:r>
        <w:rPr>
          <w:color w:val="231F20"/>
          <w:spacing w:val="-2"/>
        </w:rPr>
        <w:t>Guinée.</w:t>
      </w:r>
      <w:r>
        <w:rPr>
          <w:color w:val="231F20"/>
          <w:spacing w:val="-11"/>
        </w:rPr>
        <w:t> </w:t>
      </w:r>
      <w:r>
        <w:rPr>
          <w:color w:val="231F20"/>
          <w:spacing w:val="-2"/>
        </w:rPr>
        <w:t>Samory</w:t>
      </w:r>
      <w:r>
        <w:rPr>
          <w:color w:val="231F20"/>
          <w:spacing w:val="-9"/>
        </w:rPr>
        <w:t> </w:t>
      </w:r>
      <w:r>
        <w:rPr>
          <w:color w:val="231F20"/>
          <w:spacing w:val="-2"/>
        </w:rPr>
        <w:t>Touré</w:t>
      </w:r>
      <w:r>
        <w:rPr>
          <w:color w:val="231F20"/>
          <w:spacing w:val="-9"/>
        </w:rPr>
        <w:t> </w:t>
      </w:r>
      <w:r>
        <w:rPr>
          <w:color w:val="231F20"/>
          <w:spacing w:val="-2"/>
        </w:rPr>
        <w:t>à</w:t>
      </w:r>
      <w:r>
        <w:rPr>
          <w:color w:val="231F20"/>
          <w:spacing w:val="-9"/>
        </w:rPr>
        <w:t> </w:t>
      </w:r>
      <w:r>
        <w:rPr>
          <w:color w:val="231F20"/>
          <w:spacing w:val="-2"/>
        </w:rPr>
        <w:t>la</w:t>
      </w:r>
      <w:r>
        <w:rPr>
          <w:color w:val="231F20"/>
          <w:spacing w:val="-12"/>
        </w:rPr>
        <w:t> </w:t>
      </w:r>
      <w:r>
        <w:rPr>
          <w:color w:val="231F20"/>
          <w:spacing w:val="-2"/>
        </w:rPr>
        <w:t>tête</w:t>
      </w:r>
      <w:r>
        <w:rPr>
          <w:color w:val="231F20"/>
          <w:spacing w:val="-9"/>
        </w:rPr>
        <w:t> </w:t>
      </w:r>
      <w:r>
        <w:rPr>
          <w:color w:val="231F20"/>
          <w:spacing w:val="-2"/>
        </w:rPr>
        <w:t>de </w:t>
      </w:r>
      <w:r>
        <w:rPr>
          <w:color w:val="231F20"/>
        </w:rPr>
        <w:t>cet empire, est pour eux un sérieux adversaire. Il a sous son </w:t>
      </w:r>
      <w:r>
        <w:rPr>
          <w:color w:val="231F20"/>
          <w:spacing w:val="-2"/>
        </w:rPr>
        <w:t>commandement</w:t>
      </w:r>
      <w:r>
        <w:rPr>
          <w:color w:val="231F20"/>
          <w:spacing w:val="-11"/>
        </w:rPr>
        <w:t> </w:t>
      </w:r>
      <w:r>
        <w:rPr>
          <w:color w:val="231F20"/>
          <w:spacing w:val="-2"/>
        </w:rPr>
        <w:t>une</w:t>
      </w:r>
      <w:r>
        <w:rPr>
          <w:color w:val="231F20"/>
          <w:spacing w:val="-9"/>
        </w:rPr>
        <w:t> </w:t>
      </w:r>
      <w:r>
        <w:rPr>
          <w:color w:val="231F20"/>
          <w:spacing w:val="-2"/>
        </w:rPr>
        <w:t>Armée</w:t>
      </w:r>
      <w:r>
        <w:rPr>
          <w:color w:val="231F20"/>
          <w:spacing w:val="-9"/>
        </w:rPr>
        <w:t> </w:t>
      </w:r>
      <w:r>
        <w:rPr>
          <w:color w:val="231F20"/>
          <w:spacing w:val="-2"/>
        </w:rPr>
        <w:t>disciplinée</w:t>
      </w:r>
      <w:r>
        <w:rPr>
          <w:color w:val="231F20"/>
          <w:spacing w:val="-9"/>
        </w:rPr>
        <w:t> </w:t>
      </w:r>
      <w:r>
        <w:rPr>
          <w:color w:val="231F20"/>
          <w:spacing w:val="-2"/>
        </w:rPr>
        <w:t>et</w:t>
      </w:r>
      <w:r>
        <w:rPr>
          <w:color w:val="231F20"/>
          <w:spacing w:val="-11"/>
        </w:rPr>
        <w:t> </w:t>
      </w:r>
      <w:r>
        <w:rPr>
          <w:color w:val="231F20"/>
          <w:spacing w:val="-2"/>
        </w:rPr>
        <w:t>entraînée.</w:t>
      </w:r>
      <w:r>
        <w:rPr>
          <w:color w:val="231F20"/>
          <w:spacing w:val="-9"/>
        </w:rPr>
        <w:t> </w:t>
      </w:r>
      <w:r>
        <w:rPr>
          <w:color w:val="231F20"/>
          <w:spacing w:val="-2"/>
        </w:rPr>
        <w:t>Pendant</w:t>
      </w:r>
      <w:r>
        <w:rPr>
          <w:color w:val="231F20"/>
          <w:spacing w:val="-11"/>
        </w:rPr>
        <w:t> </w:t>
      </w:r>
      <w:r>
        <w:rPr>
          <w:color w:val="231F20"/>
          <w:spacing w:val="-2"/>
        </w:rPr>
        <w:t>des</w:t>
      </w:r>
      <w:r>
        <w:rPr>
          <w:color w:val="231F20"/>
          <w:spacing w:val="-9"/>
        </w:rPr>
        <w:t> </w:t>
      </w:r>
      <w:r>
        <w:rPr>
          <w:color w:val="231F20"/>
          <w:spacing w:val="-2"/>
        </w:rPr>
        <w:t>années, </w:t>
      </w:r>
      <w:r>
        <w:rPr>
          <w:color w:val="231F20"/>
          <w:spacing w:val="-4"/>
        </w:rPr>
        <w:t>ses</w:t>
      </w:r>
      <w:r>
        <w:rPr>
          <w:color w:val="231F20"/>
          <w:spacing w:val="-11"/>
        </w:rPr>
        <w:t> </w:t>
      </w:r>
      <w:r>
        <w:rPr>
          <w:color w:val="231F20"/>
          <w:spacing w:val="-4"/>
        </w:rPr>
        <w:t>régiments</w:t>
      </w:r>
      <w:r>
        <w:rPr>
          <w:color w:val="231F20"/>
          <w:spacing w:val="-11"/>
        </w:rPr>
        <w:t> </w:t>
      </w:r>
      <w:r>
        <w:rPr>
          <w:color w:val="231F20"/>
          <w:spacing w:val="-4"/>
        </w:rPr>
        <w:t>résistent</w:t>
      </w:r>
      <w:r>
        <w:rPr>
          <w:color w:val="231F20"/>
          <w:spacing w:val="-11"/>
        </w:rPr>
        <w:t> </w:t>
      </w:r>
      <w:r>
        <w:rPr>
          <w:color w:val="231F20"/>
          <w:spacing w:val="-4"/>
        </w:rPr>
        <w:t>à</w:t>
      </w:r>
      <w:r>
        <w:rPr>
          <w:color w:val="231F20"/>
          <w:spacing w:val="-11"/>
        </w:rPr>
        <w:t> </w:t>
      </w:r>
      <w:r>
        <w:rPr>
          <w:color w:val="231F20"/>
          <w:spacing w:val="-4"/>
        </w:rPr>
        <w:t>l’Armée</w:t>
      </w:r>
      <w:r>
        <w:rPr>
          <w:color w:val="231F20"/>
          <w:spacing w:val="-11"/>
        </w:rPr>
        <w:t> </w:t>
      </w:r>
      <w:r>
        <w:rPr>
          <w:color w:val="231F20"/>
          <w:spacing w:val="-4"/>
        </w:rPr>
        <w:t>coloniale</w:t>
      </w:r>
      <w:r>
        <w:rPr>
          <w:color w:val="231F20"/>
          <w:spacing w:val="-11"/>
        </w:rPr>
        <w:t> </w:t>
      </w:r>
      <w:r>
        <w:rPr>
          <w:color w:val="231F20"/>
          <w:spacing w:val="-4"/>
        </w:rPr>
        <w:t>française.</w:t>
      </w:r>
      <w:r>
        <w:rPr>
          <w:color w:val="231F20"/>
          <w:spacing w:val="-11"/>
        </w:rPr>
        <w:t> </w:t>
      </w:r>
      <w:r>
        <w:rPr>
          <w:color w:val="231F20"/>
          <w:spacing w:val="-4"/>
        </w:rPr>
        <w:t>En</w:t>
      </w:r>
      <w:r>
        <w:rPr>
          <w:color w:val="231F20"/>
          <w:spacing w:val="-11"/>
        </w:rPr>
        <w:t> </w:t>
      </w:r>
      <w:r>
        <w:rPr>
          <w:color w:val="231F20"/>
          <w:spacing w:val="-4"/>
        </w:rPr>
        <w:t>1898,</w:t>
      </w:r>
      <w:r>
        <w:rPr>
          <w:color w:val="231F20"/>
          <w:spacing w:val="-11"/>
        </w:rPr>
        <w:t> </w:t>
      </w:r>
      <w:r>
        <w:rPr>
          <w:color w:val="231F20"/>
          <w:spacing w:val="-4"/>
        </w:rPr>
        <w:t>avec</w:t>
      </w:r>
      <w:r>
        <w:rPr>
          <w:color w:val="231F20"/>
          <w:spacing w:val="-11"/>
        </w:rPr>
        <w:t> </w:t>
      </w:r>
      <w:r>
        <w:rPr>
          <w:color w:val="231F20"/>
          <w:spacing w:val="-4"/>
        </w:rPr>
        <w:t>l’aide </w:t>
      </w:r>
      <w:r>
        <w:rPr>
          <w:color w:val="231F20"/>
        </w:rPr>
        <w:t>de traîtres, les Français réussissent à le capturer à Guélémou en Côte </w:t>
      </w:r>
      <w:r>
        <w:rPr>
          <w:color w:val="231F20"/>
          <w:spacing w:val="-2"/>
        </w:rPr>
        <w:t>d'Ivoire</w:t>
      </w:r>
      <w:r>
        <w:rPr>
          <w:color w:val="231F20"/>
          <w:spacing w:val="-11"/>
        </w:rPr>
        <w:t> </w:t>
      </w:r>
      <w:r>
        <w:rPr>
          <w:color w:val="231F20"/>
          <w:spacing w:val="-2"/>
        </w:rPr>
        <w:t>et,</w:t>
      </w:r>
      <w:r>
        <w:rPr>
          <w:color w:val="231F20"/>
          <w:spacing w:val="-11"/>
        </w:rPr>
        <w:t> </w:t>
      </w:r>
      <w:r>
        <w:rPr>
          <w:color w:val="231F20"/>
          <w:spacing w:val="-2"/>
        </w:rPr>
        <w:t>l’envoyer</w:t>
      </w:r>
      <w:r>
        <w:rPr>
          <w:color w:val="231F20"/>
          <w:spacing w:val="-11"/>
        </w:rPr>
        <w:t> </w:t>
      </w:r>
      <w:r>
        <w:rPr>
          <w:color w:val="231F20"/>
          <w:spacing w:val="-2"/>
        </w:rPr>
        <w:t>en</w:t>
      </w:r>
      <w:r>
        <w:rPr>
          <w:color w:val="231F20"/>
          <w:spacing w:val="-11"/>
        </w:rPr>
        <w:t> </w:t>
      </w:r>
      <w:r>
        <w:rPr>
          <w:color w:val="231F20"/>
          <w:spacing w:val="-2"/>
        </w:rPr>
        <w:t>exil</w:t>
      </w:r>
      <w:r>
        <w:rPr>
          <w:color w:val="231F20"/>
          <w:spacing w:val="-11"/>
        </w:rPr>
        <w:t> </w:t>
      </w:r>
      <w:r>
        <w:rPr>
          <w:color w:val="231F20"/>
          <w:spacing w:val="-2"/>
        </w:rPr>
        <w:t>à</w:t>
      </w:r>
      <w:r>
        <w:rPr>
          <w:color w:val="231F20"/>
          <w:spacing w:val="-11"/>
        </w:rPr>
        <w:t> </w:t>
      </w:r>
      <w:r>
        <w:rPr>
          <w:color w:val="231F20"/>
          <w:spacing w:val="-2"/>
        </w:rPr>
        <w:t>Ndjolé,</w:t>
      </w:r>
      <w:r>
        <w:rPr>
          <w:color w:val="231F20"/>
          <w:spacing w:val="-11"/>
        </w:rPr>
        <w:t> </w:t>
      </w:r>
      <w:r>
        <w:rPr>
          <w:color w:val="231F20"/>
          <w:spacing w:val="-2"/>
        </w:rPr>
        <w:t>actuel</w:t>
      </w:r>
      <w:r>
        <w:rPr>
          <w:color w:val="231F20"/>
          <w:spacing w:val="-11"/>
        </w:rPr>
        <w:t> </w:t>
      </w:r>
      <w:r>
        <w:rPr>
          <w:color w:val="231F20"/>
          <w:spacing w:val="-2"/>
        </w:rPr>
        <w:t>Gabon</w:t>
      </w:r>
      <w:r>
        <w:rPr>
          <w:color w:val="231F20"/>
          <w:spacing w:val="-13"/>
        </w:rPr>
        <w:t> </w:t>
      </w:r>
      <w:r>
        <w:rPr>
          <w:color w:val="231F20"/>
          <w:spacing w:val="-2"/>
        </w:rPr>
        <w:t>où</w:t>
      </w:r>
      <w:r>
        <w:rPr>
          <w:color w:val="231F20"/>
          <w:spacing w:val="-11"/>
        </w:rPr>
        <w:t> </w:t>
      </w:r>
      <w:r>
        <w:rPr>
          <w:color w:val="231F20"/>
          <w:spacing w:val="-2"/>
        </w:rPr>
        <w:t>il</w:t>
      </w:r>
      <w:r>
        <w:rPr>
          <w:color w:val="231F20"/>
          <w:spacing w:val="-13"/>
        </w:rPr>
        <w:t> </w:t>
      </w:r>
      <w:r>
        <w:rPr>
          <w:color w:val="231F20"/>
          <w:spacing w:val="-2"/>
        </w:rPr>
        <w:t>décède</w:t>
      </w:r>
      <w:r>
        <w:rPr>
          <w:color w:val="231F20"/>
          <w:spacing w:val="-11"/>
        </w:rPr>
        <w:t> </w:t>
      </w:r>
      <w:r>
        <w:rPr>
          <w:color w:val="231F20"/>
          <w:spacing w:val="-2"/>
        </w:rPr>
        <w:t>le</w:t>
      </w:r>
      <w:r>
        <w:rPr>
          <w:color w:val="231F20"/>
          <w:spacing w:val="-12"/>
        </w:rPr>
        <w:t> </w:t>
      </w:r>
      <w:r>
        <w:rPr>
          <w:color w:val="231F20"/>
          <w:spacing w:val="-2"/>
        </w:rPr>
        <w:t>2</w:t>
      </w:r>
      <w:r>
        <w:rPr>
          <w:color w:val="231F20"/>
          <w:spacing w:val="-11"/>
        </w:rPr>
        <w:t> </w:t>
      </w:r>
      <w:r>
        <w:rPr>
          <w:color w:val="231F20"/>
          <w:spacing w:val="-2"/>
        </w:rPr>
        <w:t>juin 1900.</w:t>
      </w:r>
    </w:p>
    <w:p>
      <w:pPr>
        <w:pStyle w:val="BodyText"/>
        <w:spacing w:before="121"/>
        <w:ind w:right="106" w:firstLine="283"/>
      </w:pPr>
      <w:r>
        <w:rPr>
          <w:color w:val="231F20"/>
        </w:rPr>
        <w:t>La ville côtière de Cotonou du royaume du Dahomey constitue un </w:t>
      </w:r>
      <w:r>
        <w:rPr>
          <w:color w:val="231F20"/>
          <w:spacing w:val="-2"/>
        </w:rPr>
        <w:t>carrefour</w:t>
      </w:r>
      <w:r>
        <w:rPr>
          <w:color w:val="231F20"/>
          <w:spacing w:val="-8"/>
        </w:rPr>
        <w:t> </w:t>
      </w:r>
      <w:r>
        <w:rPr>
          <w:color w:val="231F20"/>
          <w:spacing w:val="-2"/>
        </w:rPr>
        <w:t>commercial</w:t>
      </w:r>
      <w:r>
        <w:rPr>
          <w:color w:val="231F20"/>
          <w:spacing w:val="-10"/>
        </w:rPr>
        <w:t> </w:t>
      </w:r>
      <w:r>
        <w:rPr>
          <w:color w:val="231F20"/>
          <w:spacing w:val="-2"/>
        </w:rPr>
        <w:t>important</w:t>
      </w:r>
      <w:r>
        <w:rPr>
          <w:color w:val="231F20"/>
          <w:spacing w:val="-7"/>
        </w:rPr>
        <w:t> </w:t>
      </w:r>
      <w:r>
        <w:rPr>
          <w:color w:val="231F20"/>
          <w:spacing w:val="-2"/>
        </w:rPr>
        <w:t>pour</w:t>
      </w:r>
      <w:r>
        <w:rPr>
          <w:color w:val="231F20"/>
          <w:spacing w:val="-8"/>
        </w:rPr>
        <w:t> </w:t>
      </w:r>
      <w:r>
        <w:rPr>
          <w:color w:val="231F20"/>
          <w:spacing w:val="-2"/>
        </w:rPr>
        <w:t>les</w:t>
      </w:r>
      <w:r>
        <w:rPr>
          <w:color w:val="231F20"/>
          <w:spacing w:val="-8"/>
        </w:rPr>
        <w:t> </w:t>
      </w:r>
      <w:r>
        <w:rPr>
          <w:color w:val="231F20"/>
          <w:spacing w:val="-2"/>
        </w:rPr>
        <w:t>français.</w:t>
      </w:r>
      <w:r>
        <w:rPr>
          <w:color w:val="231F20"/>
          <w:spacing w:val="-8"/>
        </w:rPr>
        <w:t> </w:t>
      </w:r>
      <w:r>
        <w:rPr>
          <w:color w:val="231F20"/>
          <w:spacing w:val="-2"/>
        </w:rPr>
        <w:t>Ils</w:t>
      </w:r>
      <w:r>
        <w:rPr>
          <w:color w:val="231F20"/>
          <w:spacing w:val="-8"/>
        </w:rPr>
        <w:t> </w:t>
      </w:r>
      <w:r>
        <w:rPr>
          <w:color w:val="231F20"/>
          <w:spacing w:val="-2"/>
        </w:rPr>
        <w:t>décident</w:t>
      </w:r>
      <w:r>
        <w:rPr>
          <w:color w:val="231F20"/>
          <w:spacing w:val="-10"/>
        </w:rPr>
        <w:t> </w:t>
      </w:r>
      <w:r>
        <w:rPr>
          <w:color w:val="231F20"/>
          <w:spacing w:val="-2"/>
        </w:rPr>
        <w:t>d’y</w:t>
      </w:r>
      <w:r>
        <w:rPr>
          <w:color w:val="231F20"/>
          <w:spacing w:val="-8"/>
        </w:rPr>
        <w:t> </w:t>
      </w:r>
      <w:r>
        <w:rPr>
          <w:color w:val="231F20"/>
          <w:spacing w:val="-2"/>
        </w:rPr>
        <w:t>ouvrir </w:t>
      </w:r>
      <w:r>
        <w:rPr>
          <w:color w:val="231F20"/>
        </w:rPr>
        <w:t>un</w:t>
      </w:r>
      <w:r>
        <w:rPr>
          <w:color w:val="231F20"/>
          <w:spacing w:val="15"/>
        </w:rPr>
        <w:t> </w:t>
      </w:r>
      <w:r>
        <w:rPr>
          <w:color w:val="231F20"/>
        </w:rPr>
        <w:t>poste</w:t>
      </w:r>
      <w:r>
        <w:rPr>
          <w:color w:val="231F20"/>
          <w:spacing w:val="18"/>
        </w:rPr>
        <w:t> </w:t>
      </w:r>
      <w:r>
        <w:rPr>
          <w:color w:val="231F20"/>
        </w:rPr>
        <w:t>de</w:t>
      </w:r>
      <w:r>
        <w:rPr>
          <w:color w:val="231F20"/>
          <w:spacing w:val="17"/>
        </w:rPr>
        <w:t> </w:t>
      </w:r>
      <w:r>
        <w:rPr>
          <w:color w:val="231F20"/>
        </w:rPr>
        <w:t>douane,</w:t>
      </w:r>
      <w:r>
        <w:rPr>
          <w:color w:val="231F20"/>
          <w:spacing w:val="18"/>
        </w:rPr>
        <w:t> </w:t>
      </w:r>
      <w:r>
        <w:rPr>
          <w:color w:val="231F20"/>
        </w:rPr>
        <w:t>un</w:t>
      </w:r>
      <w:r>
        <w:rPr>
          <w:color w:val="231F20"/>
          <w:spacing w:val="16"/>
        </w:rPr>
        <w:t> </w:t>
      </w:r>
      <w:r>
        <w:rPr>
          <w:color w:val="231F20"/>
        </w:rPr>
        <w:t>poste</w:t>
      </w:r>
      <w:r>
        <w:rPr>
          <w:color w:val="231F20"/>
          <w:spacing w:val="17"/>
        </w:rPr>
        <w:t> </w:t>
      </w:r>
      <w:r>
        <w:rPr>
          <w:color w:val="231F20"/>
        </w:rPr>
        <w:t>militaire</w:t>
      </w:r>
      <w:r>
        <w:rPr>
          <w:color w:val="231F20"/>
          <w:spacing w:val="18"/>
        </w:rPr>
        <w:t> </w:t>
      </w:r>
      <w:r>
        <w:rPr>
          <w:color w:val="231F20"/>
        </w:rPr>
        <w:t>et</w:t>
      </w:r>
      <w:r>
        <w:rPr>
          <w:color w:val="231F20"/>
          <w:spacing w:val="17"/>
        </w:rPr>
        <w:t> </w:t>
      </w:r>
      <w:r>
        <w:rPr>
          <w:color w:val="231F20"/>
        </w:rPr>
        <w:t>engagent</w:t>
      </w:r>
      <w:r>
        <w:rPr>
          <w:color w:val="231F20"/>
          <w:spacing w:val="21"/>
        </w:rPr>
        <w:t> </w:t>
      </w:r>
      <w:r>
        <w:rPr>
          <w:color w:val="231F20"/>
        </w:rPr>
        <w:t>le</w:t>
      </w:r>
      <w:r>
        <w:rPr>
          <w:color w:val="231F20"/>
          <w:spacing w:val="17"/>
        </w:rPr>
        <w:t> </w:t>
      </w:r>
      <w:r>
        <w:rPr>
          <w:color w:val="231F20"/>
        </w:rPr>
        <w:t>percement</w:t>
      </w:r>
      <w:r>
        <w:rPr>
          <w:color w:val="231F20"/>
          <w:spacing w:val="19"/>
        </w:rPr>
        <w:t> </w:t>
      </w:r>
      <w:r>
        <w:rPr>
          <w:color w:val="231F20"/>
          <w:spacing w:val="-4"/>
        </w:rPr>
        <w:t>d’un</w:t>
      </w:r>
    </w:p>
    <w:p>
      <w:pPr>
        <w:pStyle w:val="BodyText"/>
        <w:ind w:left="0"/>
        <w:jc w:val="left"/>
        <w:rPr>
          <w:sz w:val="20"/>
        </w:rPr>
      </w:pPr>
    </w:p>
    <w:p>
      <w:pPr>
        <w:pStyle w:val="BodyText"/>
        <w:ind w:left="0"/>
        <w:jc w:val="left"/>
        <w:rPr>
          <w:sz w:val="20"/>
        </w:rPr>
      </w:pPr>
    </w:p>
    <w:p>
      <w:pPr>
        <w:pStyle w:val="BodyText"/>
        <w:spacing w:before="53"/>
        <w:ind w:left="0"/>
        <w:jc w:val="left"/>
        <w:rPr>
          <w:sz w:val="20"/>
        </w:rPr>
      </w:pPr>
      <w:r>
        <w:rPr/>
        <mc:AlternateContent>
          <mc:Choice Requires="wps">
            <w:drawing>
              <wp:anchor distT="0" distB="0" distL="0" distR="0" allowOverlap="1" layoutInCell="1" locked="0" behindDoc="1" simplePos="0" relativeHeight="487595520">
                <wp:simplePos x="0" y="0"/>
                <wp:positionH relativeFrom="page">
                  <wp:posOffset>629907</wp:posOffset>
                </wp:positionH>
                <wp:positionV relativeFrom="paragraph">
                  <wp:posOffset>194986</wp:posOffset>
                </wp:positionV>
                <wp:extent cx="1829435" cy="9525"/>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353281pt;width:144.020pt;height:.72pt;mso-position-horizontal-relative:page;mso-position-vertical-relative:paragraph;z-index:-15720960;mso-wrap-distance-left:0;mso-wrap-distance-right:0" id="docshape26" filled="true" fillcolor="#231f20" stroked="false">
                <v:fill type="solid"/>
                <w10:wrap type="topAndBottom"/>
              </v:rect>
            </w:pict>
          </mc:Fallback>
        </mc:AlternateContent>
      </w:r>
    </w:p>
    <w:p>
      <w:pPr>
        <w:spacing w:before="91"/>
        <w:ind w:left="111" w:right="0" w:firstLine="0"/>
        <w:jc w:val="both"/>
        <w:rPr>
          <w:sz w:val="20"/>
        </w:rPr>
      </w:pPr>
      <w:r>
        <w:rPr>
          <w:color w:val="76787A"/>
          <w:spacing w:val="-4"/>
          <w:sz w:val="20"/>
          <w:vertAlign w:val="superscript"/>
        </w:rPr>
        <w:t>24</w:t>
      </w:r>
      <w:r>
        <w:rPr>
          <w:color w:val="76787A"/>
          <w:spacing w:val="-17"/>
          <w:sz w:val="20"/>
          <w:vertAlign w:val="baseline"/>
        </w:rPr>
        <w:t> </w:t>
      </w:r>
      <w:r>
        <w:rPr>
          <w:color w:val="231F20"/>
          <w:spacing w:val="-4"/>
          <w:sz w:val="20"/>
          <w:vertAlign w:val="baseline"/>
        </w:rPr>
        <w:t>Louis Léon</w:t>
      </w:r>
      <w:r>
        <w:rPr>
          <w:color w:val="231F20"/>
          <w:spacing w:val="-2"/>
          <w:sz w:val="20"/>
          <w:vertAlign w:val="baseline"/>
        </w:rPr>
        <w:t> </w:t>
      </w:r>
      <w:r>
        <w:rPr>
          <w:color w:val="231F20"/>
          <w:spacing w:val="-4"/>
          <w:sz w:val="20"/>
          <w:vertAlign w:val="baseline"/>
        </w:rPr>
        <w:t>César</w:t>
      </w:r>
      <w:r>
        <w:rPr>
          <w:color w:val="231F20"/>
          <w:spacing w:val="-2"/>
          <w:sz w:val="20"/>
          <w:vertAlign w:val="baseline"/>
        </w:rPr>
        <w:t> </w:t>
      </w:r>
      <w:r>
        <w:rPr>
          <w:color w:val="231F20"/>
          <w:spacing w:val="-4"/>
          <w:sz w:val="20"/>
          <w:vertAlign w:val="baseline"/>
        </w:rPr>
        <w:t>Faidherbe</w:t>
      </w:r>
      <w:r>
        <w:rPr>
          <w:color w:val="231F20"/>
          <w:sz w:val="20"/>
          <w:vertAlign w:val="baseline"/>
        </w:rPr>
        <w:t> </w:t>
      </w:r>
      <w:r>
        <w:rPr>
          <w:color w:val="231F20"/>
          <w:spacing w:val="-4"/>
          <w:sz w:val="20"/>
          <w:vertAlign w:val="baseline"/>
        </w:rPr>
        <w:t>, Gouverneur</w:t>
      </w:r>
      <w:r>
        <w:rPr>
          <w:color w:val="231F20"/>
          <w:spacing w:val="-2"/>
          <w:sz w:val="20"/>
          <w:vertAlign w:val="baseline"/>
        </w:rPr>
        <w:t> </w:t>
      </w:r>
      <w:r>
        <w:rPr>
          <w:color w:val="231F20"/>
          <w:spacing w:val="-4"/>
          <w:sz w:val="20"/>
          <w:vertAlign w:val="baseline"/>
        </w:rPr>
        <w:t>du</w:t>
      </w:r>
      <w:r>
        <w:rPr>
          <w:color w:val="231F20"/>
          <w:sz w:val="20"/>
          <w:vertAlign w:val="baseline"/>
        </w:rPr>
        <w:t> </w:t>
      </w:r>
      <w:r>
        <w:rPr>
          <w:color w:val="231F20"/>
          <w:spacing w:val="-4"/>
          <w:sz w:val="20"/>
          <w:vertAlign w:val="baseline"/>
        </w:rPr>
        <w:t>Sénégal (1854-1861</w:t>
      </w:r>
      <w:r>
        <w:rPr>
          <w:color w:val="231F20"/>
          <w:spacing w:val="-2"/>
          <w:sz w:val="20"/>
          <w:vertAlign w:val="baseline"/>
        </w:rPr>
        <w:t> </w:t>
      </w:r>
      <w:r>
        <w:rPr>
          <w:color w:val="231F20"/>
          <w:spacing w:val="-4"/>
          <w:sz w:val="20"/>
          <w:vertAlign w:val="baseline"/>
        </w:rPr>
        <w:t>et</w:t>
      </w:r>
      <w:r>
        <w:rPr>
          <w:color w:val="231F20"/>
          <w:spacing w:val="-3"/>
          <w:sz w:val="20"/>
          <w:vertAlign w:val="baseline"/>
        </w:rPr>
        <w:t> </w:t>
      </w:r>
      <w:r>
        <w:rPr>
          <w:color w:val="231F20"/>
          <w:spacing w:val="-4"/>
          <w:sz w:val="20"/>
          <w:vertAlign w:val="baseline"/>
        </w:rPr>
        <w:t>1863-1865)</w:t>
      </w:r>
    </w:p>
    <w:p>
      <w:pPr>
        <w:spacing w:before="1"/>
        <w:ind w:left="111" w:right="104" w:firstLine="0"/>
        <w:jc w:val="both"/>
        <w:rPr>
          <w:sz w:val="20"/>
        </w:rPr>
      </w:pPr>
      <w:r>
        <w:rPr>
          <w:color w:val="76787A"/>
          <w:sz w:val="20"/>
          <w:vertAlign w:val="superscript"/>
        </w:rPr>
        <w:t>25</w:t>
      </w:r>
      <w:r>
        <w:rPr>
          <w:color w:val="76787A"/>
          <w:sz w:val="20"/>
          <w:vertAlign w:val="baseline"/>
        </w:rPr>
        <w:t> </w:t>
      </w:r>
      <w:r>
        <w:rPr>
          <w:color w:val="231F20"/>
          <w:sz w:val="20"/>
          <w:vertAlign w:val="baseline"/>
        </w:rPr>
        <w:t>En</w:t>
      </w:r>
      <w:r>
        <w:rPr>
          <w:color w:val="231F20"/>
          <w:spacing w:val="-13"/>
          <w:sz w:val="20"/>
          <w:vertAlign w:val="baseline"/>
        </w:rPr>
        <w:t> </w:t>
      </w:r>
      <w:r>
        <w:rPr>
          <w:color w:val="231F20"/>
          <w:sz w:val="20"/>
          <w:vertAlign w:val="baseline"/>
        </w:rPr>
        <w:t>1857,</w:t>
      </w:r>
      <w:r>
        <w:rPr>
          <w:color w:val="231F20"/>
          <w:spacing w:val="-12"/>
          <w:sz w:val="20"/>
          <w:vertAlign w:val="baseline"/>
        </w:rPr>
        <w:t> </w:t>
      </w:r>
      <w:r>
        <w:rPr>
          <w:color w:val="231F20"/>
          <w:sz w:val="20"/>
          <w:vertAlign w:val="baseline"/>
        </w:rPr>
        <w:t>Louis Faidherbe, en manque d'effectifs venus de la</w:t>
      </w:r>
      <w:r>
        <w:rPr>
          <w:color w:val="231F20"/>
          <w:spacing w:val="-12"/>
          <w:sz w:val="20"/>
          <w:vertAlign w:val="baseline"/>
        </w:rPr>
        <w:t> </w:t>
      </w:r>
      <w:r>
        <w:rPr>
          <w:color w:val="231F20"/>
          <w:sz w:val="20"/>
          <w:vertAlign w:val="baseline"/>
        </w:rPr>
        <w:t>métropole</w:t>
      </w:r>
      <w:r>
        <w:rPr>
          <w:color w:val="231F20"/>
          <w:spacing w:val="-13"/>
          <w:sz w:val="20"/>
          <w:vertAlign w:val="baseline"/>
        </w:rPr>
        <w:t> </w:t>
      </w:r>
      <w:r>
        <w:rPr>
          <w:color w:val="231F20"/>
          <w:sz w:val="20"/>
          <w:vertAlign w:val="baseline"/>
        </w:rPr>
        <w:t>sur les </w:t>
      </w:r>
      <w:r>
        <w:rPr>
          <w:color w:val="231F20"/>
          <w:spacing w:val="-4"/>
          <w:sz w:val="20"/>
          <w:vertAlign w:val="baseline"/>
        </w:rPr>
        <w:t>nouveaux</w:t>
      </w:r>
      <w:r>
        <w:rPr>
          <w:color w:val="231F20"/>
          <w:spacing w:val="-5"/>
          <w:sz w:val="20"/>
          <w:vertAlign w:val="baseline"/>
        </w:rPr>
        <w:t> </w:t>
      </w:r>
      <w:r>
        <w:rPr>
          <w:color w:val="231F20"/>
          <w:spacing w:val="-4"/>
          <w:sz w:val="20"/>
          <w:vertAlign w:val="baseline"/>
        </w:rPr>
        <w:t>territoires</w:t>
      </w:r>
      <w:r>
        <w:rPr>
          <w:color w:val="231F20"/>
          <w:spacing w:val="-8"/>
          <w:sz w:val="20"/>
          <w:vertAlign w:val="baseline"/>
        </w:rPr>
        <w:t> </w:t>
      </w:r>
      <w:r>
        <w:rPr>
          <w:color w:val="231F20"/>
          <w:spacing w:val="-4"/>
          <w:sz w:val="20"/>
          <w:vertAlign w:val="baseline"/>
        </w:rPr>
        <w:t>d’Afrique,</w:t>
      </w:r>
      <w:r>
        <w:rPr>
          <w:color w:val="231F20"/>
          <w:spacing w:val="-9"/>
          <w:sz w:val="20"/>
          <w:vertAlign w:val="baseline"/>
        </w:rPr>
        <w:t> </w:t>
      </w:r>
      <w:r>
        <w:rPr>
          <w:color w:val="231F20"/>
          <w:spacing w:val="-4"/>
          <w:sz w:val="20"/>
          <w:vertAlign w:val="baseline"/>
        </w:rPr>
        <w:t>pour</w:t>
      </w:r>
      <w:r>
        <w:rPr>
          <w:color w:val="231F20"/>
          <w:spacing w:val="-6"/>
          <w:sz w:val="20"/>
          <w:vertAlign w:val="baseline"/>
        </w:rPr>
        <w:t> </w:t>
      </w:r>
      <w:r>
        <w:rPr>
          <w:color w:val="231F20"/>
          <w:spacing w:val="-4"/>
          <w:sz w:val="20"/>
          <w:vertAlign w:val="baseline"/>
        </w:rPr>
        <w:t>faire</w:t>
      </w:r>
      <w:r>
        <w:rPr>
          <w:color w:val="231F20"/>
          <w:spacing w:val="-7"/>
          <w:sz w:val="20"/>
          <w:vertAlign w:val="baseline"/>
        </w:rPr>
        <w:t> </w:t>
      </w:r>
      <w:r>
        <w:rPr>
          <w:color w:val="231F20"/>
          <w:spacing w:val="-4"/>
          <w:sz w:val="20"/>
          <w:vertAlign w:val="baseline"/>
        </w:rPr>
        <w:t>face</w:t>
      </w:r>
      <w:r>
        <w:rPr>
          <w:color w:val="231F20"/>
          <w:spacing w:val="-7"/>
          <w:sz w:val="20"/>
          <w:vertAlign w:val="baseline"/>
        </w:rPr>
        <w:t> </w:t>
      </w:r>
      <w:r>
        <w:rPr>
          <w:color w:val="231F20"/>
          <w:spacing w:val="-4"/>
          <w:sz w:val="20"/>
          <w:vertAlign w:val="baseline"/>
        </w:rPr>
        <w:t>aux</w:t>
      </w:r>
      <w:r>
        <w:rPr>
          <w:color w:val="231F20"/>
          <w:spacing w:val="-5"/>
          <w:sz w:val="20"/>
          <w:vertAlign w:val="baseline"/>
        </w:rPr>
        <w:t> </w:t>
      </w:r>
      <w:r>
        <w:rPr>
          <w:color w:val="231F20"/>
          <w:spacing w:val="-4"/>
          <w:sz w:val="20"/>
          <w:vertAlign w:val="baseline"/>
        </w:rPr>
        <w:t>besoins</w:t>
      </w:r>
      <w:r>
        <w:rPr>
          <w:color w:val="231F20"/>
          <w:spacing w:val="-8"/>
          <w:sz w:val="20"/>
          <w:vertAlign w:val="baseline"/>
        </w:rPr>
        <w:t> </w:t>
      </w:r>
      <w:r>
        <w:rPr>
          <w:color w:val="231F20"/>
          <w:spacing w:val="-4"/>
          <w:sz w:val="20"/>
          <w:vertAlign w:val="baseline"/>
        </w:rPr>
        <w:t>de</w:t>
      </w:r>
      <w:r>
        <w:rPr>
          <w:color w:val="231F20"/>
          <w:sz w:val="20"/>
          <w:vertAlign w:val="baseline"/>
        </w:rPr>
        <w:t> </w:t>
      </w:r>
      <w:r>
        <w:rPr>
          <w:color w:val="231F20"/>
          <w:spacing w:val="-4"/>
          <w:sz w:val="20"/>
          <w:vertAlign w:val="baseline"/>
        </w:rPr>
        <w:t>maintien</w:t>
      </w:r>
      <w:r>
        <w:rPr>
          <w:color w:val="231F20"/>
          <w:spacing w:val="-9"/>
          <w:sz w:val="20"/>
          <w:vertAlign w:val="baseline"/>
        </w:rPr>
        <w:t> </w:t>
      </w:r>
      <w:r>
        <w:rPr>
          <w:color w:val="231F20"/>
          <w:spacing w:val="-4"/>
          <w:sz w:val="20"/>
          <w:vertAlign w:val="baseline"/>
        </w:rPr>
        <w:t>de</w:t>
      </w:r>
      <w:r>
        <w:rPr>
          <w:color w:val="231F20"/>
          <w:spacing w:val="-6"/>
          <w:sz w:val="20"/>
          <w:vertAlign w:val="baseline"/>
        </w:rPr>
        <w:t> </w:t>
      </w:r>
      <w:r>
        <w:rPr>
          <w:color w:val="231F20"/>
          <w:spacing w:val="-4"/>
          <w:sz w:val="20"/>
          <w:vertAlign w:val="baseline"/>
        </w:rPr>
        <w:t>l'ordre</w:t>
      </w:r>
      <w:r>
        <w:rPr>
          <w:color w:val="231F20"/>
          <w:sz w:val="20"/>
          <w:vertAlign w:val="baseline"/>
        </w:rPr>
        <w:t> </w:t>
      </w:r>
      <w:r>
        <w:rPr>
          <w:color w:val="231F20"/>
          <w:spacing w:val="-4"/>
          <w:sz w:val="20"/>
          <w:vertAlign w:val="baseline"/>
        </w:rPr>
        <w:t>générés </w:t>
      </w:r>
      <w:r>
        <w:rPr>
          <w:color w:val="231F20"/>
          <w:sz w:val="20"/>
          <w:vertAlign w:val="baseline"/>
        </w:rPr>
        <w:t>par</w:t>
      </w:r>
      <w:r>
        <w:rPr>
          <w:color w:val="231F20"/>
          <w:spacing w:val="-8"/>
          <w:sz w:val="20"/>
          <w:vertAlign w:val="baseline"/>
        </w:rPr>
        <w:t> </w:t>
      </w:r>
      <w:r>
        <w:rPr>
          <w:color w:val="231F20"/>
          <w:sz w:val="20"/>
          <w:vertAlign w:val="baseline"/>
        </w:rPr>
        <w:t>la</w:t>
      </w:r>
      <w:r>
        <w:rPr>
          <w:color w:val="231F20"/>
          <w:spacing w:val="-9"/>
          <w:sz w:val="20"/>
          <w:vertAlign w:val="baseline"/>
        </w:rPr>
        <w:t> </w:t>
      </w:r>
      <w:r>
        <w:rPr>
          <w:color w:val="231F20"/>
          <w:sz w:val="20"/>
          <w:vertAlign w:val="baseline"/>
        </w:rPr>
        <w:t>phase</w:t>
      </w:r>
      <w:r>
        <w:rPr>
          <w:color w:val="231F20"/>
          <w:spacing w:val="-9"/>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colonisation,</w:t>
      </w:r>
      <w:r>
        <w:rPr>
          <w:color w:val="231F20"/>
          <w:spacing w:val="-7"/>
          <w:sz w:val="20"/>
          <w:vertAlign w:val="baseline"/>
        </w:rPr>
        <w:t> </w:t>
      </w:r>
      <w:r>
        <w:rPr>
          <w:color w:val="231F20"/>
          <w:sz w:val="20"/>
          <w:vertAlign w:val="baseline"/>
        </w:rPr>
        <w:t>crée</w:t>
      </w:r>
      <w:r>
        <w:rPr>
          <w:color w:val="231F20"/>
          <w:spacing w:val="-7"/>
          <w:sz w:val="20"/>
          <w:vertAlign w:val="baseline"/>
        </w:rPr>
        <w:t> </w:t>
      </w:r>
      <w:r>
        <w:rPr>
          <w:color w:val="231F20"/>
          <w:sz w:val="20"/>
          <w:vertAlign w:val="baseline"/>
        </w:rPr>
        <w:t>le</w:t>
      </w:r>
      <w:r>
        <w:rPr>
          <w:color w:val="231F20"/>
          <w:spacing w:val="-9"/>
          <w:sz w:val="20"/>
          <w:vertAlign w:val="baseline"/>
        </w:rPr>
        <w:t> </w:t>
      </w:r>
      <w:r>
        <w:rPr>
          <w:color w:val="231F20"/>
          <w:sz w:val="20"/>
          <w:vertAlign w:val="baseline"/>
        </w:rPr>
        <w:t>corps</w:t>
      </w:r>
      <w:r>
        <w:rPr>
          <w:color w:val="231F20"/>
          <w:spacing w:val="-8"/>
          <w:sz w:val="20"/>
          <w:vertAlign w:val="baseline"/>
        </w:rPr>
        <w:t> </w:t>
      </w:r>
      <w:r>
        <w:rPr>
          <w:color w:val="231F20"/>
          <w:sz w:val="20"/>
          <w:vertAlign w:val="baseline"/>
        </w:rPr>
        <w:t>des</w:t>
      </w:r>
      <w:r>
        <w:rPr>
          <w:color w:val="231F20"/>
          <w:spacing w:val="-7"/>
          <w:sz w:val="20"/>
          <w:vertAlign w:val="baseline"/>
        </w:rPr>
        <w:t> </w:t>
      </w:r>
      <w:r>
        <w:rPr>
          <w:color w:val="231F20"/>
          <w:sz w:val="20"/>
          <w:vertAlign w:val="baseline"/>
        </w:rPr>
        <w:t>tirailleurs</w:t>
      </w:r>
      <w:r>
        <w:rPr>
          <w:color w:val="231F20"/>
          <w:spacing w:val="-10"/>
          <w:sz w:val="20"/>
          <w:vertAlign w:val="baseline"/>
        </w:rPr>
        <w:t> </w:t>
      </w:r>
      <w:r>
        <w:rPr>
          <w:color w:val="231F20"/>
          <w:sz w:val="20"/>
          <w:vertAlign w:val="baseline"/>
        </w:rPr>
        <w:t>sénégalais</w:t>
      </w:r>
    </w:p>
    <w:p>
      <w:pPr>
        <w:spacing w:before="1"/>
        <w:ind w:left="111" w:right="107" w:firstLine="0"/>
        <w:jc w:val="both"/>
        <w:rPr>
          <w:sz w:val="20"/>
        </w:rPr>
      </w:pPr>
      <w:r>
        <w:rPr>
          <w:color w:val="76787A"/>
          <w:sz w:val="20"/>
          <w:vertAlign w:val="superscript"/>
        </w:rPr>
        <w:t>26</w:t>
      </w:r>
      <w:r>
        <w:rPr>
          <w:color w:val="76787A"/>
          <w:spacing w:val="-13"/>
          <w:sz w:val="20"/>
          <w:vertAlign w:val="baseline"/>
        </w:rPr>
        <w:t> </w:t>
      </w:r>
      <w:r>
        <w:rPr>
          <w:color w:val="231F20"/>
          <w:sz w:val="20"/>
          <w:vertAlign w:val="baseline"/>
        </w:rPr>
        <w:t>Jean Suret-Canale, géographe</w:t>
      </w:r>
      <w:r>
        <w:rPr>
          <w:color w:val="231F20"/>
          <w:spacing w:val="-13"/>
          <w:sz w:val="20"/>
          <w:vertAlign w:val="baseline"/>
        </w:rPr>
        <w:t> </w:t>
      </w:r>
      <w:r>
        <w:rPr>
          <w:color w:val="231F20"/>
          <w:sz w:val="20"/>
          <w:vertAlign w:val="baseline"/>
        </w:rPr>
        <w:t>français, historien de l'Afrique, homme de lettres, militant</w:t>
      </w:r>
      <w:r>
        <w:rPr>
          <w:color w:val="231F20"/>
          <w:spacing w:val="-3"/>
          <w:sz w:val="20"/>
          <w:vertAlign w:val="baseline"/>
        </w:rPr>
        <w:t> </w:t>
      </w:r>
      <w:r>
        <w:rPr>
          <w:color w:val="231F20"/>
          <w:sz w:val="20"/>
          <w:vertAlign w:val="baseline"/>
        </w:rPr>
        <w:t>communiste,</w:t>
      </w:r>
      <w:r>
        <w:rPr>
          <w:color w:val="231F20"/>
          <w:spacing w:val="-4"/>
          <w:sz w:val="20"/>
          <w:vertAlign w:val="baseline"/>
        </w:rPr>
        <w:t> </w:t>
      </w:r>
      <w:r>
        <w:rPr>
          <w:color w:val="231F20"/>
          <w:sz w:val="20"/>
          <w:vertAlign w:val="baseline"/>
        </w:rPr>
        <w:t>résistant,</w:t>
      </w:r>
      <w:r>
        <w:rPr>
          <w:color w:val="231F20"/>
          <w:spacing w:val="-4"/>
          <w:sz w:val="20"/>
          <w:vertAlign w:val="baseline"/>
        </w:rPr>
        <w:t> </w:t>
      </w:r>
      <w:r>
        <w:rPr>
          <w:color w:val="231F20"/>
          <w:sz w:val="20"/>
          <w:vertAlign w:val="baseline"/>
        </w:rPr>
        <w:t>anticolonialiste.</w:t>
      </w:r>
    </w:p>
    <w:p>
      <w:pPr>
        <w:spacing w:after="0"/>
        <w:jc w:val="both"/>
        <w:rPr>
          <w:sz w:val="20"/>
        </w:rPr>
        <w:sectPr>
          <w:pgSz w:w="8790" w:h="13610"/>
          <w:pgMar w:header="0" w:footer="802" w:top="1040" w:bottom="1000" w:left="880" w:right="880"/>
        </w:sectPr>
      </w:pPr>
    </w:p>
    <w:p>
      <w:pPr>
        <w:pStyle w:val="BodyText"/>
        <w:spacing w:before="86"/>
        <w:ind w:right="104"/>
      </w:pPr>
      <w:r>
        <w:rPr>
          <w:color w:val="231F20"/>
          <w:spacing w:val="-4"/>
        </w:rPr>
        <w:t>chenal</w:t>
      </w:r>
      <w:r>
        <w:rPr>
          <w:color w:val="76787A"/>
          <w:spacing w:val="-4"/>
          <w:vertAlign w:val="superscript"/>
        </w:rPr>
        <w:t>27</w:t>
      </w:r>
      <w:r>
        <w:rPr>
          <w:color w:val="76787A"/>
          <w:vertAlign w:val="baseline"/>
        </w:rPr>
        <w:t> </w:t>
      </w:r>
      <w:r>
        <w:rPr>
          <w:color w:val="231F20"/>
          <w:spacing w:val="-4"/>
          <w:vertAlign w:val="baseline"/>
        </w:rPr>
        <w:t>pour faciliter</w:t>
      </w:r>
      <w:r>
        <w:rPr>
          <w:color w:val="231F20"/>
          <w:spacing w:val="-7"/>
          <w:vertAlign w:val="baseline"/>
        </w:rPr>
        <w:t> </w:t>
      </w:r>
      <w:r>
        <w:rPr>
          <w:color w:val="231F20"/>
          <w:spacing w:val="-4"/>
          <w:vertAlign w:val="baseline"/>
        </w:rPr>
        <w:t>le</w:t>
      </w:r>
      <w:r>
        <w:rPr>
          <w:color w:val="231F20"/>
          <w:spacing w:val="-7"/>
          <w:vertAlign w:val="baseline"/>
        </w:rPr>
        <w:t> </w:t>
      </w:r>
      <w:r>
        <w:rPr>
          <w:color w:val="231F20"/>
          <w:spacing w:val="-4"/>
          <w:vertAlign w:val="baseline"/>
        </w:rPr>
        <w:t>passage des</w:t>
      </w:r>
      <w:r>
        <w:rPr>
          <w:color w:val="231F20"/>
          <w:spacing w:val="-6"/>
          <w:vertAlign w:val="baseline"/>
        </w:rPr>
        <w:t> </w:t>
      </w:r>
      <w:r>
        <w:rPr>
          <w:color w:val="231F20"/>
          <w:spacing w:val="-4"/>
          <w:vertAlign w:val="baseline"/>
        </w:rPr>
        <w:t>bateaux.</w:t>
      </w:r>
      <w:r>
        <w:rPr>
          <w:color w:val="231F20"/>
          <w:spacing w:val="-6"/>
          <w:vertAlign w:val="baseline"/>
        </w:rPr>
        <w:t> </w:t>
      </w:r>
      <w:r>
        <w:rPr>
          <w:color w:val="231F20"/>
          <w:spacing w:val="-4"/>
          <w:vertAlign w:val="baseline"/>
        </w:rPr>
        <w:t>Le</w:t>
      </w:r>
      <w:r>
        <w:rPr>
          <w:color w:val="231F20"/>
          <w:spacing w:val="-7"/>
          <w:vertAlign w:val="baseline"/>
        </w:rPr>
        <w:t> </w:t>
      </w:r>
      <w:r>
        <w:rPr>
          <w:color w:val="231F20"/>
          <w:spacing w:val="-4"/>
          <w:vertAlign w:val="baseline"/>
        </w:rPr>
        <w:t>roi</w:t>
      </w:r>
      <w:r>
        <w:rPr>
          <w:color w:val="231F20"/>
          <w:spacing w:val="-8"/>
          <w:vertAlign w:val="baseline"/>
        </w:rPr>
        <w:t> </w:t>
      </w:r>
      <w:r>
        <w:rPr>
          <w:color w:val="231F20"/>
          <w:spacing w:val="-4"/>
          <w:vertAlign w:val="baseline"/>
        </w:rPr>
        <w:t>Béhanzin estime</w:t>
      </w:r>
      <w:r>
        <w:rPr>
          <w:color w:val="231F20"/>
          <w:spacing w:val="-9"/>
          <w:vertAlign w:val="baseline"/>
        </w:rPr>
        <w:t> </w:t>
      </w:r>
      <w:r>
        <w:rPr>
          <w:color w:val="231F20"/>
          <w:spacing w:val="-4"/>
          <w:vertAlign w:val="baseline"/>
        </w:rPr>
        <w:t>que </w:t>
      </w:r>
      <w:r>
        <w:rPr>
          <w:color w:val="231F20"/>
          <w:vertAlign w:val="baseline"/>
        </w:rPr>
        <w:t>le</w:t>
      </w:r>
      <w:r>
        <w:rPr>
          <w:color w:val="231F20"/>
          <w:spacing w:val="-15"/>
          <w:vertAlign w:val="baseline"/>
        </w:rPr>
        <w:t> </w:t>
      </w:r>
      <w:r>
        <w:rPr>
          <w:color w:val="231F20"/>
          <w:vertAlign w:val="baseline"/>
        </w:rPr>
        <w:t>comportement</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France</w:t>
      </w:r>
      <w:r>
        <w:rPr>
          <w:color w:val="231F20"/>
          <w:spacing w:val="-15"/>
          <w:vertAlign w:val="baseline"/>
        </w:rPr>
        <w:t> </w:t>
      </w:r>
      <w:r>
        <w:rPr>
          <w:color w:val="231F20"/>
          <w:vertAlign w:val="baseline"/>
        </w:rPr>
        <w:t>est</w:t>
      </w:r>
      <w:r>
        <w:rPr>
          <w:color w:val="231F20"/>
          <w:spacing w:val="-15"/>
          <w:vertAlign w:val="baseline"/>
        </w:rPr>
        <w:t> </w:t>
      </w:r>
      <w:r>
        <w:rPr>
          <w:color w:val="231F20"/>
          <w:vertAlign w:val="baseline"/>
        </w:rPr>
        <w:t>une</w:t>
      </w:r>
      <w:r>
        <w:rPr>
          <w:color w:val="231F20"/>
          <w:spacing w:val="-14"/>
          <w:vertAlign w:val="baseline"/>
        </w:rPr>
        <w:t> </w:t>
      </w:r>
      <w:r>
        <w:rPr>
          <w:color w:val="231F20"/>
          <w:vertAlign w:val="baseline"/>
        </w:rPr>
        <w:t>atteinte</w:t>
      </w:r>
      <w:r>
        <w:rPr>
          <w:color w:val="231F20"/>
          <w:spacing w:val="-15"/>
          <w:vertAlign w:val="baseline"/>
        </w:rPr>
        <w:t> </w:t>
      </w:r>
      <w:r>
        <w:rPr>
          <w:color w:val="231F20"/>
          <w:vertAlign w:val="baseline"/>
        </w:rPr>
        <w:t>à</w:t>
      </w:r>
      <w:r>
        <w:rPr>
          <w:color w:val="231F20"/>
          <w:spacing w:val="-15"/>
          <w:vertAlign w:val="baseline"/>
        </w:rPr>
        <w:t> </w:t>
      </w:r>
      <w:r>
        <w:rPr>
          <w:color w:val="231F20"/>
          <w:vertAlign w:val="baseline"/>
        </w:rPr>
        <w:t>sa</w:t>
      </w:r>
      <w:r>
        <w:rPr>
          <w:color w:val="231F20"/>
          <w:spacing w:val="-15"/>
          <w:vertAlign w:val="baseline"/>
        </w:rPr>
        <w:t> </w:t>
      </w:r>
      <w:r>
        <w:rPr>
          <w:color w:val="231F20"/>
          <w:vertAlign w:val="baseline"/>
        </w:rPr>
        <w:t>souveraineté.</w:t>
      </w:r>
      <w:r>
        <w:rPr>
          <w:color w:val="231F20"/>
          <w:spacing w:val="-15"/>
          <w:vertAlign w:val="baseline"/>
        </w:rPr>
        <w:t> </w:t>
      </w:r>
      <w:r>
        <w:rPr>
          <w:color w:val="231F20"/>
          <w:vertAlign w:val="baseline"/>
        </w:rPr>
        <w:t>Au</w:t>
      </w:r>
      <w:r>
        <w:rPr>
          <w:color w:val="231F20"/>
          <w:spacing w:val="-14"/>
          <w:vertAlign w:val="baseline"/>
        </w:rPr>
        <w:t> </w:t>
      </w:r>
      <w:r>
        <w:rPr>
          <w:color w:val="231F20"/>
          <w:vertAlign w:val="baseline"/>
        </w:rPr>
        <w:t>petit </w:t>
      </w:r>
      <w:r>
        <w:rPr>
          <w:color w:val="231F20"/>
          <w:spacing w:val="-4"/>
          <w:vertAlign w:val="baseline"/>
        </w:rPr>
        <w:t>matin</w:t>
      </w:r>
      <w:r>
        <w:rPr>
          <w:color w:val="231F20"/>
          <w:spacing w:val="-11"/>
          <w:vertAlign w:val="baseline"/>
        </w:rPr>
        <w:t> </w:t>
      </w:r>
      <w:r>
        <w:rPr>
          <w:color w:val="231F20"/>
          <w:spacing w:val="-4"/>
          <w:vertAlign w:val="baseline"/>
        </w:rPr>
        <w:t>du</w:t>
      </w:r>
      <w:r>
        <w:rPr>
          <w:color w:val="231F20"/>
          <w:spacing w:val="-11"/>
          <w:vertAlign w:val="baseline"/>
        </w:rPr>
        <w:t> </w:t>
      </w:r>
      <w:r>
        <w:rPr>
          <w:color w:val="231F20"/>
          <w:spacing w:val="-4"/>
          <w:vertAlign w:val="baseline"/>
        </w:rPr>
        <w:t>4</w:t>
      </w:r>
      <w:r>
        <w:rPr>
          <w:color w:val="231F20"/>
          <w:spacing w:val="-11"/>
          <w:vertAlign w:val="baseline"/>
        </w:rPr>
        <w:t> </w:t>
      </w:r>
      <w:r>
        <w:rPr>
          <w:color w:val="231F20"/>
          <w:spacing w:val="-4"/>
          <w:vertAlign w:val="baseline"/>
        </w:rPr>
        <w:t>mars</w:t>
      </w:r>
      <w:r>
        <w:rPr>
          <w:color w:val="231F20"/>
          <w:spacing w:val="-11"/>
          <w:vertAlign w:val="baseline"/>
        </w:rPr>
        <w:t> </w:t>
      </w:r>
      <w:r>
        <w:rPr>
          <w:color w:val="231F20"/>
          <w:spacing w:val="-4"/>
          <w:vertAlign w:val="baseline"/>
        </w:rPr>
        <w:t>1890,</w:t>
      </w:r>
      <w:r>
        <w:rPr>
          <w:color w:val="231F20"/>
          <w:spacing w:val="-11"/>
          <w:vertAlign w:val="baseline"/>
        </w:rPr>
        <w:t> </w:t>
      </w:r>
      <w:r>
        <w:rPr>
          <w:color w:val="231F20"/>
          <w:spacing w:val="-4"/>
          <w:vertAlign w:val="baseline"/>
        </w:rPr>
        <w:t>il</w:t>
      </w:r>
      <w:r>
        <w:rPr>
          <w:color w:val="231F20"/>
          <w:spacing w:val="-11"/>
          <w:vertAlign w:val="baseline"/>
        </w:rPr>
        <w:t> </w:t>
      </w:r>
      <w:r>
        <w:rPr>
          <w:color w:val="231F20"/>
          <w:spacing w:val="-4"/>
          <w:vertAlign w:val="baseline"/>
        </w:rPr>
        <w:t>lance</w:t>
      </w:r>
      <w:r>
        <w:rPr>
          <w:color w:val="231F20"/>
          <w:spacing w:val="-11"/>
          <w:vertAlign w:val="baseline"/>
        </w:rPr>
        <w:t> </w:t>
      </w:r>
      <w:r>
        <w:rPr>
          <w:color w:val="231F20"/>
          <w:spacing w:val="-4"/>
          <w:vertAlign w:val="baseline"/>
        </w:rPr>
        <w:t>ses</w:t>
      </w:r>
      <w:r>
        <w:rPr>
          <w:color w:val="231F20"/>
          <w:spacing w:val="-11"/>
          <w:vertAlign w:val="baseline"/>
        </w:rPr>
        <w:t> </w:t>
      </w:r>
      <w:r>
        <w:rPr>
          <w:color w:val="231F20"/>
          <w:spacing w:val="-4"/>
          <w:vertAlign w:val="baseline"/>
        </w:rPr>
        <w:t>troupes</w:t>
      </w:r>
      <w:r>
        <w:rPr>
          <w:color w:val="231F20"/>
          <w:spacing w:val="-11"/>
          <w:vertAlign w:val="baseline"/>
        </w:rPr>
        <w:t> </w:t>
      </w:r>
      <w:r>
        <w:rPr>
          <w:color w:val="231F20"/>
          <w:spacing w:val="-4"/>
          <w:vertAlign w:val="baseline"/>
        </w:rPr>
        <w:t>sur</w:t>
      </w:r>
      <w:r>
        <w:rPr>
          <w:color w:val="231F20"/>
          <w:spacing w:val="-11"/>
          <w:vertAlign w:val="baseline"/>
        </w:rPr>
        <w:t> </w:t>
      </w:r>
      <w:r>
        <w:rPr>
          <w:color w:val="231F20"/>
          <w:spacing w:val="-4"/>
          <w:vertAlign w:val="baseline"/>
        </w:rPr>
        <w:t>Cotonou.</w:t>
      </w:r>
      <w:r>
        <w:rPr>
          <w:color w:val="231F20"/>
          <w:spacing w:val="-11"/>
          <w:vertAlign w:val="baseline"/>
        </w:rPr>
        <w:t> </w:t>
      </w:r>
      <w:r>
        <w:rPr>
          <w:color w:val="231F20"/>
          <w:spacing w:val="-4"/>
          <w:vertAlign w:val="baseline"/>
        </w:rPr>
        <w:t>Les</w:t>
      </w:r>
      <w:r>
        <w:rPr>
          <w:color w:val="231F20"/>
          <w:spacing w:val="-11"/>
          <w:vertAlign w:val="baseline"/>
        </w:rPr>
        <w:t> </w:t>
      </w:r>
      <w:r>
        <w:rPr>
          <w:color w:val="231F20"/>
          <w:spacing w:val="-4"/>
          <w:vertAlign w:val="baseline"/>
        </w:rPr>
        <w:t>«</w:t>
      </w:r>
      <w:r>
        <w:rPr>
          <w:color w:val="231F20"/>
          <w:spacing w:val="-11"/>
          <w:vertAlign w:val="baseline"/>
        </w:rPr>
        <w:t> </w:t>
      </w:r>
      <w:r>
        <w:rPr>
          <w:color w:val="231F20"/>
          <w:spacing w:val="-4"/>
          <w:vertAlign w:val="baseline"/>
        </w:rPr>
        <w:t>amazones</w:t>
      </w:r>
      <w:r>
        <w:rPr>
          <w:color w:val="231F20"/>
          <w:spacing w:val="-11"/>
          <w:vertAlign w:val="baseline"/>
        </w:rPr>
        <w:t> </w:t>
      </w:r>
      <w:r>
        <w:rPr>
          <w:color w:val="231F20"/>
          <w:spacing w:val="-4"/>
          <w:vertAlign w:val="baseline"/>
        </w:rPr>
        <w:t>», </w:t>
      </w:r>
      <w:r>
        <w:rPr>
          <w:color w:val="231F20"/>
          <w:vertAlign w:val="baseline"/>
        </w:rPr>
        <w:t>célèbres</w:t>
      </w:r>
      <w:r>
        <w:rPr>
          <w:color w:val="231F20"/>
          <w:spacing w:val="-15"/>
          <w:vertAlign w:val="baseline"/>
        </w:rPr>
        <w:t> </w:t>
      </w:r>
      <w:r>
        <w:rPr>
          <w:color w:val="231F20"/>
          <w:vertAlign w:val="baseline"/>
        </w:rPr>
        <w:t>femmes</w:t>
      </w:r>
      <w:r>
        <w:rPr>
          <w:color w:val="231F20"/>
          <w:spacing w:val="-15"/>
          <w:vertAlign w:val="baseline"/>
        </w:rPr>
        <w:t> </w:t>
      </w:r>
      <w:r>
        <w:rPr>
          <w:color w:val="231F20"/>
          <w:vertAlign w:val="baseline"/>
        </w:rPr>
        <w:t>soldats</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Dahomey</w:t>
      </w:r>
      <w:r>
        <w:rPr>
          <w:color w:val="231F20"/>
          <w:spacing w:val="-15"/>
          <w:vertAlign w:val="baseline"/>
        </w:rPr>
        <w:t> </w:t>
      </w:r>
      <w:r>
        <w:rPr>
          <w:color w:val="231F20"/>
          <w:vertAlign w:val="baseline"/>
        </w:rPr>
        <w:t>en</w:t>
      </w:r>
      <w:r>
        <w:rPr>
          <w:color w:val="231F20"/>
          <w:spacing w:val="-15"/>
          <w:vertAlign w:val="baseline"/>
        </w:rPr>
        <w:t> </w:t>
      </w:r>
      <w:r>
        <w:rPr>
          <w:color w:val="231F20"/>
          <w:vertAlign w:val="baseline"/>
        </w:rPr>
        <w:t>constituent,</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troupes</w:t>
      </w:r>
      <w:r>
        <w:rPr>
          <w:color w:val="231F20"/>
          <w:spacing w:val="-15"/>
          <w:vertAlign w:val="baseline"/>
        </w:rPr>
        <w:t> </w:t>
      </w:r>
      <w:r>
        <w:rPr>
          <w:color w:val="231F20"/>
          <w:vertAlign w:val="baseline"/>
        </w:rPr>
        <w:t>d’élite. </w:t>
      </w:r>
      <w:r>
        <w:rPr>
          <w:color w:val="231F20"/>
          <w:spacing w:val="-2"/>
          <w:vertAlign w:val="baseline"/>
        </w:rPr>
        <w:t>Sous</w:t>
      </w:r>
      <w:r>
        <w:rPr>
          <w:color w:val="231F20"/>
          <w:spacing w:val="-15"/>
          <w:vertAlign w:val="baseline"/>
        </w:rPr>
        <w:t> </w:t>
      </w:r>
      <w:r>
        <w:rPr>
          <w:color w:val="231F20"/>
          <w:spacing w:val="-2"/>
          <w:vertAlign w:val="baseline"/>
        </w:rPr>
        <w:t>le</w:t>
      </w:r>
      <w:r>
        <w:rPr>
          <w:color w:val="231F20"/>
          <w:spacing w:val="-13"/>
          <w:vertAlign w:val="baseline"/>
        </w:rPr>
        <w:t> </w:t>
      </w:r>
      <w:r>
        <w:rPr>
          <w:color w:val="231F20"/>
          <w:spacing w:val="-2"/>
          <w:vertAlign w:val="baseline"/>
        </w:rPr>
        <w:t>feu</w:t>
      </w:r>
      <w:r>
        <w:rPr>
          <w:color w:val="231F20"/>
          <w:spacing w:val="-13"/>
          <w:vertAlign w:val="baseline"/>
        </w:rPr>
        <w:t> </w:t>
      </w:r>
      <w:r>
        <w:rPr>
          <w:color w:val="231F20"/>
          <w:spacing w:val="-2"/>
          <w:vertAlign w:val="baseline"/>
        </w:rPr>
        <w:t>des</w:t>
      </w:r>
      <w:r>
        <w:rPr>
          <w:color w:val="231F20"/>
          <w:spacing w:val="-13"/>
          <w:vertAlign w:val="baseline"/>
        </w:rPr>
        <w:t> </w:t>
      </w:r>
      <w:r>
        <w:rPr>
          <w:color w:val="231F20"/>
          <w:spacing w:val="-2"/>
          <w:vertAlign w:val="baseline"/>
        </w:rPr>
        <w:t>Français,</w:t>
      </w:r>
      <w:r>
        <w:rPr>
          <w:color w:val="231F20"/>
          <w:spacing w:val="-13"/>
          <w:vertAlign w:val="baseline"/>
        </w:rPr>
        <w:t> </w:t>
      </w:r>
      <w:r>
        <w:rPr>
          <w:color w:val="231F20"/>
          <w:spacing w:val="-2"/>
          <w:vertAlign w:val="baseline"/>
        </w:rPr>
        <w:t>certaines</w:t>
      </w:r>
      <w:r>
        <w:rPr>
          <w:color w:val="231F20"/>
          <w:spacing w:val="-13"/>
          <w:vertAlign w:val="baseline"/>
        </w:rPr>
        <w:t> </w:t>
      </w:r>
      <w:r>
        <w:rPr>
          <w:color w:val="231F20"/>
          <w:spacing w:val="-2"/>
          <w:vertAlign w:val="baseline"/>
        </w:rPr>
        <w:t>parviennent</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pénétrer</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l’intérieur</w:t>
      </w:r>
      <w:r>
        <w:rPr>
          <w:color w:val="231F20"/>
          <w:spacing w:val="-13"/>
          <w:vertAlign w:val="baseline"/>
        </w:rPr>
        <w:t> </w:t>
      </w:r>
      <w:r>
        <w:rPr>
          <w:color w:val="231F20"/>
          <w:spacing w:val="-2"/>
          <w:vertAlign w:val="baseline"/>
        </w:rPr>
        <w:t>des fortins</w:t>
      </w:r>
      <w:r>
        <w:rPr>
          <w:color w:val="231F20"/>
          <w:spacing w:val="-13"/>
          <w:vertAlign w:val="baseline"/>
        </w:rPr>
        <w:t> </w:t>
      </w:r>
      <w:r>
        <w:rPr>
          <w:color w:val="231F20"/>
          <w:spacing w:val="-2"/>
          <w:vertAlign w:val="baseline"/>
        </w:rPr>
        <w:t>français.</w:t>
      </w:r>
      <w:r>
        <w:rPr>
          <w:color w:val="231F20"/>
          <w:spacing w:val="-13"/>
          <w:vertAlign w:val="baseline"/>
        </w:rPr>
        <w:t> </w:t>
      </w:r>
      <w:r>
        <w:rPr>
          <w:color w:val="231F20"/>
          <w:spacing w:val="-2"/>
          <w:vertAlign w:val="baseline"/>
        </w:rPr>
        <w:t>Au</w:t>
      </w:r>
      <w:r>
        <w:rPr>
          <w:color w:val="231F20"/>
          <w:spacing w:val="-13"/>
          <w:vertAlign w:val="baseline"/>
        </w:rPr>
        <w:t> </w:t>
      </w:r>
      <w:r>
        <w:rPr>
          <w:color w:val="231F20"/>
          <w:spacing w:val="-2"/>
          <w:vertAlign w:val="baseline"/>
        </w:rPr>
        <w:t>bout</w:t>
      </w:r>
      <w:r>
        <w:rPr>
          <w:color w:val="231F20"/>
          <w:spacing w:val="-11"/>
          <w:vertAlign w:val="baseline"/>
        </w:rPr>
        <w:t> </w:t>
      </w:r>
      <w:r>
        <w:rPr>
          <w:color w:val="231F20"/>
          <w:spacing w:val="-2"/>
          <w:vertAlign w:val="baseline"/>
        </w:rPr>
        <w:t>de</w:t>
      </w:r>
      <w:r>
        <w:rPr>
          <w:color w:val="231F20"/>
          <w:spacing w:val="-12"/>
          <w:vertAlign w:val="baseline"/>
        </w:rPr>
        <w:t> </w:t>
      </w:r>
      <w:r>
        <w:rPr>
          <w:color w:val="231F20"/>
          <w:spacing w:val="-2"/>
          <w:vertAlign w:val="baseline"/>
        </w:rPr>
        <w:t>quatre</w:t>
      </w:r>
      <w:r>
        <w:rPr>
          <w:color w:val="231F20"/>
          <w:spacing w:val="-12"/>
          <w:vertAlign w:val="baseline"/>
        </w:rPr>
        <w:t> </w:t>
      </w:r>
      <w:r>
        <w:rPr>
          <w:color w:val="231F20"/>
          <w:spacing w:val="-2"/>
          <w:vertAlign w:val="baseline"/>
        </w:rPr>
        <w:t>heures</w:t>
      </w:r>
      <w:r>
        <w:rPr>
          <w:color w:val="231F20"/>
          <w:spacing w:val="-12"/>
          <w:vertAlign w:val="baseline"/>
        </w:rPr>
        <w:t> </w:t>
      </w:r>
      <w:r>
        <w:rPr>
          <w:color w:val="231F20"/>
          <w:spacing w:val="-2"/>
          <w:vertAlign w:val="baseline"/>
        </w:rPr>
        <w:t>d’affrontements,</w:t>
      </w:r>
      <w:r>
        <w:rPr>
          <w:color w:val="231F20"/>
          <w:spacing w:val="-12"/>
          <w:vertAlign w:val="baseline"/>
        </w:rPr>
        <w:t> </w:t>
      </w:r>
      <w:r>
        <w:rPr>
          <w:color w:val="231F20"/>
          <w:spacing w:val="-2"/>
          <w:vertAlign w:val="baseline"/>
        </w:rPr>
        <w:t>les</w:t>
      </w:r>
      <w:r>
        <w:rPr>
          <w:color w:val="231F20"/>
          <w:spacing w:val="-12"/>
          <w:vertAlign w:val="baseline"/>
        </w:rPr>
        <w:t> </w:t>
      </w:r>
      <w:r>
        <w:rPr>
          <w:color w:val="231F20"/>
          <w:spacing w:val="-2"/>
          <w:vertAlign w:val="baseline"/>
        </w:rPr>
        <w:t>troupes</w:t>
      </w:r>
      <w:r>
        <w:rPr>
          <w:color w:val="231F20"/>
          <w:spacing w:val="-13"/>
          <w:vertAlign w:val="baseline"/>
        </w:rPr>
        <w:t> </w:t>
      </w:r>
      <w:r>
        <w:rPr>
          <w:color w:val="231F20"/>
          <w:spacing w:val="-2"/>
          <w:vertAlign w:val="baseline"/>
        </w:rPr>
        <w:t>du </w:t>
      </w:r>
      <w:r>
        <w:rPr>
          <w:color w:val="231F20"/>
          <w:vertAlign w:val="baseline"/>
        </w:rPr>
        <w:t>Dahomey</w:t>
      </w:r>
      <w:r>
        <w:rPr>
          <w:color w:val="231F20"/>
          <w:spacing w:val="-14"/>
          <w:vertAlign w:val="baseline"/>
        </w:rPr>
        <w:t> </w:t>
      </w:r>
      <w:r>
        <w:rPr>
          <w:color w:val="231F20"/>
          <w:vertAlign w:val="baseline"/>
        </w:rPr>
        <w:t>se</w:t>
      </w:r>
      <w:r>
        <w:rPr>
          <w:color w:val="231F20"/>
          <w:spacing w:val="-14"/>
          <w:vertAlign w:val="baseline"/>
        </w:rPr>
        <w:t> </w:t>
      </w:r>
      <w:r>
        <w:rPr>
          <w:color w:val="231F20"/>
          <w:vertAlign w:val="baseline"/>
        </w:rPr>
        <w:t>retirent.</w:t>
      </w:r>
      <w:r>
        <w:rPr>
          <w:color w:val="231F20"/>
          <w:spacing w:val="-14"/>
          <w:vertAlign w:val="baseline"/>
        </w:rPr>
        <w:t> </w:t>
      </w:r>
      <w:r>
        <w:rPr>
          <w:color w:val="231F20"/>
          <w:vertAlign w:val="baseline"/>
        </w:rPr>
        <w:t>Quelques</w:t>
      </w:r>
      <w:r>
        <w:rPr>
          <w:color w:val="231F20"/>
          <w:spacing w:val="-15"/>
          <w:vertAlign w:val="baseline"/>
        </w:rPr>
        <w:t> </w:t>
      </w:r>
      <w:r>
        <w:rPr>
          <w:color w:val="231F20"/>
          <w:vertAlign w:val="baseline"/>
        </w:rPr>
        <w:t>mois</w:t>
      </w:r>
      <w:r>
        <w:rPr>
          <w:color w:val="231F20"/>
          <w:spacing w:val="-14"/>
          <w:vertAlign w:val="baseline"/>
        </w:rPr>
        <w:t> </w:t>
      </w:r>
      <w:r>
        <w:rPr>
          <w:color w:val="231F20"/>
          <w:vertAlign w:val="baseline"/>
        </w:rPr>
        <w:t>plus</w:t>
      </w:r>
      <w:r>
        <w:rPr>
          <w:color w:val="231F20"/>
          <w:spacing w:val="-13"/>
          <w:vertAlign w:val="baseline"/>
        </w:rPr>
        <w:t> </w:t>
      </w:r>
      <w:r>
        <w:rPr>
          <w:color w:val="231F20"/>
          <w:vertAlign w:val="baseline"/>
        </w:rPr>
        <w:t>tard,</w:t>
      </w:r>
      <w:r>
        <w:rPr>
          <w:color w:val="231F20"/>
          <w:spacing w:val="-13"/>
          <w:vertAlign w:val="baseline"/>
        </w:rPr>
        <w:t> </w:t>
      </w:r>
      <w:r>
        <w:rPr>
          <w:color w:val="231F20"/>
          <w:vertAlign w:val="baseline"/>
        </w:rPr>
        <w:t>la</w:t>
      </w:r>
      <w:r>
        <w:rPr>
          <w:color w:val="231F20"/>
          <w:spacing w:val="-15"/>
          <w:vertAlign w:val="baseline"/>
        </w:rPr>
        <w:t> </w:t>
      </w:r>
      <w:r>
        <w:rPr>
          <w:color w:val="231F20"/>
          <w:vertAlign w:val="baseline"/>
        </w:rPr>
        <w:t>paix</w:t>
      </w:r>
      <w:r>
        <w:rPr>
          <w:color w:val="231F20"/>
          <w:spacing w:val="-13"/>
          <w:vertAlign w:val="baseline"/>
        </w:rPr>
        <w:t> </w:t>
      </w:r>
      <w:r>
        <w:rPr>
          <w:color w:val="231F20"/>
          <w:vertAlign w:val="baseline"/>
        </w:rPr>
        <w:t>est</w:t>
      </w:r>
      <w:r>
        <w:rPr>
          <w:color w:val="231F20"/>
          <w:spacing w:val="-15"/>
          <w:vertAlign w:val="baseline"/>
        </w:rPr>
        <w:t> </w:t>
      </w:r>
      <w:r>
        <w:rPr>
          <w:color w:val="231F20"/>
          <w:vertAlign w:val="baseline"/>
        </w:rPr>
        <w:t>signée</w:t>
      </w:r>
      <w:r>
        <w:rPr>
          <w:color w:val="231F20"/>
          <w:spacing w:val="-15"/>
          <w:vertAlign w:val="baseline"/>
        </w:rPr>
        <w:t> </w:t>
      </w:r>
      <w:r>
        <w:rPr>
          <w:color w:val="231F20"/>
          <w:vertAlign w:val="baseline"/>
        </w:rPr>
        <w:t>et</w:t>
      </w:r>
      <w:r>
        <w:rPr>
          <w:color w:val="231F20"/>
          <w:spacing w:val="-13"/>
          <w:vertAlign w:val="baseline"/>
        </w:rPr>
        <w:t> </w:t>
      </w:r>
      <w:r>
        <w:rPr>
          <w:color w:val="231F20"/>
          <w:vertAlign w:val="baseline"/>
        </w:rPr>
        <w:t>le</w:t>
      </w:r>
      <w:r>
        <w:rPr>
          <w:color w:val="231F20"/>
          <w:spacing w:val="-15"/>
          <w:vertAlign w:val="baseline"/>
        </w:rPr>
        <w:t> </w:t>
      </w:r>
      <w:r>
        <w:rPr>
          <w:color w:val="231F20"/>
          <w:vertAlign w:val="baseline"/>
        </w:rPr>
        <w:t>roi Béhanzin cède Cotonou et Porto-novo à la France. Mais la paix est de courte</w:t>
      </w:r>
      <w:r>
        <w:rPr>
          <w:color w:val="231F20"/>
          <w:spacing w:val="-13"/>
          <w:vertAlign w:val="baseline"/>
        </w:rPr>
        <w:t> </w:t>
      </w:r>
      <w:r>
        <w:rPr>
          <w:color w:val="231F20"/>
          <w:vertAlign w:val="baseline"/>
        </w:rPr>
        <w:t>durée.</w:t>
      </w:r>
      <w:r>
        <w:rPr>
          <w:color w:val="231F20"/>
          <w:spacing w:val="-15"/>
          <w:vertAlign w:val="baseline"/>
        </w:rPr>
        <w:t> </w:t>
      </w:r>
      <w:r>
        <w:rPr>
          <w:color w:val="231F20"/>
          <w:vertAlign w:val="baseline"/>
        </w:rPr>
        <w:t>Plus</w:t>
      </w:r>
      <w:r>
        <w:rPr>
          <w:color w:val="231F20"/>
          <w:spacing w:val="-13"/>
          <w:vertAlign w:val="baseline"/>
        </w:rPr>
        <w:t> </w:t>
      </w:r>
      <w:r>
        <w:rPr>
          <w:color w:val="231F20"/>
          <w:vertAlign w:val="baseline"/>
        </w:rPr>
        <w:t>de</w:t>
      </w:r>
      <w:r>
        <w:rPr>
          <w:color w:val="231F20"/>
          <w:spacing w:val="-15"/>
          <w:vertAlign w:val="baseline"/>
        </w:rPr>
        <w:t> </w:t>
      </w:r>
      <w:r>
        <w:rPr>
          <w:color w:val="231F20"/>
          <w:vertAlign w:val="baseline"/>
        </w:rPr>
        <w:t>deux</w:t>
      </w:r>
      <w:r>
        <w:rPr>
          <w:color w:val="231F20"/>
          <w:spacing w:val="-13"/>
          <w:vertAlign w:val="baseline"/>
        </w:rPr>
        <w:t> </w:t>
      </w:r>
      <w:r>
        <w:rPr>
          <w:color w:val="231F20"/>
          <w:vertAlign w:val="baseline"/>
        </w:rPr>
        <w:t>mois</w:t>
      </w:r>
      <w:r>
        <w:rPr>
          <w:color w:val="231F20"/>
          <w:spacing w:val="-13"/>
          <w:vertAlign w:val="baseline"/>
        </w:rPr>
        <w:t> </w:t>
      </w:r>
      <w:r>
        <w:rPr>
          <w:color w:val="231F20"/>
          <w:vertAlign w:val="baseline"/>
        </w:rPr>
        <w:t>après</w:t>
      </w:r>
      <w:r>
        <w:rPr>
          <w:color w:val="231F20"/>
          <w:spacing w:val="-15"/>
          <w:vertAlign w:val="baseline"/>
        </w:rPr>
        <w:t> </w:t>
      </w:r>
      <w:r>
        <w:rPr>
          <w:color w:val="231F20"/>
          <w:vertAlign w:val="baseline"/>
        </w:rPr>
        <w:t>la</w:t>
      </w:r>
      <w:r>
        <w:rPr>
          <w:color w:val="231F20"/>
          <w:spacing w:val="-13"/>
          <w:vertAlign w:val="baseline"/>
        </w:rPr>
        <w:t> </w:t>
      </w:r>
      <w:r>
        <w:rPr>
          <w:color w:val="231F20"/>
          <w:vertAlign w:val="baseline"/>
        </w:rPr>
        <w:t>reprise</w:t>
      </w:r>
      <w:r>
        <w:rPr>
          <w:color w:val="231F20"/>
          <w:spacing w:val="-13"/>
          <w:vertAlign w:val="baseline"/>
        </w:rPr>
        <w:t> </w:t>
      </w:r>
      <w:r>
        <w:rPr>
          <w:color w:val="231F20"/>
          <w:vertAlign w:val="baseline"/>
        </w:rPr>
        <w:t>des</w:t>
      </w:r>
      <w:r>
        <w:rPr>
          <w:color w:val="231F20"/>
          <w:spacing w:val="-13"/>
          <w:vertAlign w:val="baseline"/>
        </w:rPr>
        <w:t> </w:t>
      </w:r>
      <w:r>
        <w:rPr>
          <w:color w:val="231F20"/>
          <w:vertAlign w:val="baseline"/>
        </w:rPr>
        <w:t>combats,</w:t>
      </w:r>
      <w:r>
        <w:rPr>
          <w:color w:val="231F20"/>
          <w:spacing w:val="-15"/>
          <w:vertAlign w:val="baseline"/>
        </w:rPr>
        <w:t> </w:t>
      </w:r>
      <w:r>
        <w:rPr>
          <w:color w:val="231F20"/>
          <w:vertAlign w:val="baseline"/>
        </w:rPr>
        <w:t>les</w:t>
      </w:r>
      <w:r>
        <w:rPr>
          <w:color w:val="231F20"/>
          <w:spacing w:val="-12"/>
          <w:vertAlign w:val="baseline"/>
        </w:rPr>
        <w:t> </w:t>
      </w:r>
      <w:r>
        <w:rPr>
          <w:color w:val="231F20"/>
          <w:vertAlign w:val="baseline"/>
        </w:rPr>
        <w:t>soldats français</w:t>
      </w:r>
      <w:r>
        <w:rPr>
          <w:color w:val="231F20"/>
          <w:spacing w:val="-8"/>
          <w:vertAlign w:val="baseline"/>
        </w:rPr>
        <w:t> </w:t>
      </w:r>
      <w:r>
        <w:rPr>
          <w:color w:val="231F20"/>
          <w:vertAlign w:val="baseline"/>
        </w:rPr>
        <w:t>occupent</w:t>
      </w:r>
      <w:r>
        <w:rPr>
          <w:color w:val="231F20"/>
          <w:spacing w:val="-8"/>
          <w:vertAlign w:val="baseline"/>
        </w:rPr>
        <w:t> </w:t>
      </w:r>
      <w:r>
        <w:rPr>
          <w:color w:val="231F20"/>
          <w:vertAlign w:val="baseline"/>
        </w:rPr>
        <w:t>Abomey</w:t>
      </w:r>
      <w:r>
        <w:rPr>
          <w:color w:val="231F20"/>
          <w:spacing w:val="-8"/>
          <w:vertAlign w:val="baseline"/>
        </w:rPr>
        <w:t> </w:t>
      </w:r>
      <w:r>
        <w:rPr>
          <w:color w:val="231F20"/>
          <w:vertAlign w:val="baseline"/>
        </w:rPr>
        <w:t>le</w:t>
      </w:r>
      <w:r>
        <w:rPr>
          <w:color w:val="231F20"/>
          <w:spacing w:val="-11"/>
          <w:vertAlign w:val="baseline"/>
        </w:rPr>
        <w:t> </w:t>
      </w:r>
      <w:r>
        <w:rPr>
          <w:color w:val="231F20"/>
          <w:vertAlign w:val="baseline"/>
        </w:rPr>
        <w:t>17</w:t>
      </w:r>
      <w:r>
        <w:rPr>
          <w:color w:val="231F20"/>
          <w:spacing w:val="-8"/>
          <w:vertAlign w:val="baseline"/>
        </w:rPr>
        <w:t> </w:t>
      </w:r>
      <w:r>
        <w:rPr>
          <w:color w:val="231F20"/>
          <w:vertAlign w:val="baseline"/>
        </w:rPr>
        <w:t>novembre</w:t>
      </w:r>
      <w:r>
        <w:rPr>
          <w:color w:val="231F20"/>
          <w:spacing w:val="-11"/>
          <w:vertAlign w:val="baseline"/>
        </w:rPr>
        <w:t> </w:t>
      </w:r>
      <w:r>
        <w:rPr>
          <w:color w:val="231F20"/>
          <w:vertAlign w:val="baseline"/>
        </w:rPr>
        <w:t>1892.</w:t>
      </w:r>
      <w:r>
        <w:rPr>
          <w:color w:val="231F20"/>
          <w:spacing w:val="-11"/>
          <w:vertAlign w:val="baseline"/>
        </w:rPr>
        <w:t> </w:t>
      </w:r>
      <w:r>
        <w:rPr>
          <w:color w:val="231F20"/>
          <w:vertAlign w:val="baseline"/>
        </w:rPr>
        <w:t>Béhanzin</w:t>
      </w:r>
      <w:r>
        <w:rPr>
          <w:color w:val="231F20"/>
          <w:spacing w:val="-11"/>
          <w:vertAlign w:val="baseline"/>
        </w:rPr>
        <w:t> </w:t>
      </w:r>
      <w:r>
        <w:rPr>
          <w:color w:val="231F20"/>
          <w:vertAlign w:val="baseline"/>
        </w:rPr>
        <w:t>en</w:t>
      </w:r>
      <w:r>
        <w:rPr>
          <w:color w:val="231F20"/>
          <w:spacing w:val="-8"/>
          <w:vertAlign w:val="baseline"/>
        </w:rPr>
        <w:t> </w:t>
      </w:r>
      <w:r>
        <w:rPr>
          <w:color w:val="231F20"/>
          <w:vertAlign w:val="baseline"/>
        </w:rPr>
        <w:t>fuite,</w:t>
      </w:r>
      <w:r>
        <w:rPr>
          <w:color w:val="231F20"/>
          <w:spacing w:val="-11"/>
          <w:vertAlign w:val="baseline"/>
        </w:rPr>
        <w:t> </w:t>
      </w:r>
      <w:r>
        <w:rPr>
          <w:color w:val="231F20"/>
          <w:vertAlign w:val="baseline"/>
        </w:rPr>
        <w:t>est </w:t>
      </w:r>
      <w:r>
        <w:rPr>
          <w:color w:val="231F20"/>
          <w:spacing w:val="-4"/>
          <w:vertAlign w:val="baseline"/>
        </w:rPr>
        <w:t>arrêté</w:t>
      </w:r>
      <w:r>
        <w:rPr>
          <w:color w:val="231F20"/>
          <w:spacing w:val="-7"/>
          <w:vertAlign w:val="baseline"/>
        </w:rPr>
        <w:t> </w:t>
      </w:r>
      <w:r>
        <w:rPr>
          <w:color w:val="231F20"/>
          <w:spacing w:val="-4"/>
          <w:vertAlign w:val="baseline"/>
        </w:rPr>
        <w:t>le</w:t>
      </w:r>
      <w:r>
        <w:rPr>
          <w:color w:val="231F20"/>
          <w:spacing w:val="-7"/>
          <w:vertAlign w:val="baseline"/>
        </w:rPr>
        <w:t> </w:t>
      </w:r>
      <w:r>
        <w:rPr>
          <w:color w:val="231F20"/>
          <w:spacing w:val="-4"/>
          <w:vertAlign w:val="baseline"/>
        </w:rPr>
        <w:t>15</w:t>
      </w:r>
      <w:r>
        <w:rPr>
          <w:color w:val="231F20"/>
          <w:spacing w:val="-9"/>
          <w:vertAlign w:val="baseline"/>
        </w:rPr>
        <w:t> </w:t>
      </w:r>
      <w:r>
        <w:rPr>
          <w:color w:val="231F20"/>
          <w:spacing w:val="-4"/>
          <w:vertAlign w:val="baseline"/>
        </w:rPr>
        <w:t>janvier</w:t>
      </w:r>
      <w:r>
        <w:rPr>
          <w:color w:val="231F20"/>
          <w:spacing w:val="-7"/>
          <w:vertAlign w:val="baseline"/>
        </w:rPr>
        <w:t> </w:t>
      </w:r>
      <w:r>
        <w:rPr>
          <w:color w:val="231F20"/>
          <w:spacing w:val="-4"/>
          <w:vertAlign w:val="baseline"/>
        </w:rPr>
        <w:t>1894.</w:t>
      </w:r>
      <w:r>
        <w:rPr>
          <w:color w:val="231F20"/>
          <w:spacing w:val="-7"/>
          <w:vertAlign w:val="baseline"/>
        </w:rPr>
        <w:t> </w:t>
      </w:r>
      <w:r>
        <w:rPr>
          <w:color w:val="231F20"/>
          <w:spacing w:val="-4"/>
          <w:vertAlign w:val="baseline"/>
        </w:rPr>
        <w:t>Il</w:t>
      </w:r>
      <w:r>
        <w:rPr>
          <w:color w:val="231F20"/>
          <w:spacing w:val="-6"/>
          <w:vertAlign w:val="baseline"/>
        </w:rPr>
        <w:t> </w:t>
      </w:r>
      <w:r>
        <w:rPr>
          <w:color w:val="231F20"/>
          <w:spacing w:val="-4"/>
          <w:vertAlign w:val="baseline"/>
        </w:rPr>
        <w:t>est</w:t>
      </w:r>
      <w:r>
        <w:rPr>
          <w:color w:val="231F20"/>
          <w:spacing w:val="-9"/>
          <w:vertAlign w:val="baseline"/>
        </w:rPr>
        <w:t> </w:t>
      </w:r>
      <w:r>
        <w:rPr>
          <w:color w:val="231F20"/>
          <w:spacing w:val="-4"/>
          <w:vertAlign w:val="baseline"/>
        </w:rPr>
        <w:t>déporté</w:t>
      </w:r>
      <w:r>
        <w:rPr>
          <w:color w:val="231F20"/>
          <w:spacing w:val="-7"/>
          <w:vertAlign w:val="baseline"/>
        </w:rPr>
        <w:t> </w:t>
      </w:r>
      <w:r>
        <w:rPr>
          <w:color w:val="231F20"/>
          <w:spacing w:val="-4"/>
          <w:vertAlign w:val="baseline"/>
        </w:rPr>
        <w:t>à</w:t>
      </w:r>
      <w:r>
        <w:rPr>
          <w:color w:val="231F20"/>
          <w:spacing w:val="-11"/>
          <w:vertAlign w:val="baseline"/>
        </w:rPr>
        <w:t> </w:t>
      </w:r>
      <w:r>
        <w:rPr>
          <w:color w:val="231F20"/>
          <w:spacing w:val="-4"/>
          <w:vertAlign w:val="baseline"/>
        </w:rPr>
        <w:t>la</w:t>
      </w:r>
      <w:r>
        <w:rPr>
          <w:color w:val="231F20"/>
          <w:spacing w:val="-7"/>
          <w:vertAlign w:val="baseline"/>
        </w:rPr>
        <w:t> </w:t>
      </w:r>
      <w:r>
        <w:rPr>
          <w:color w:val="231F20"/>
          <w:spacing w:val="-4"/>
          <w:vertAlign w:val="baseline"/>
        </w:rPr>
        <w:t>Martinique,</w:t>
      </w:r>
      <w:r>
        <w:rPr>
          <w:color w:val="231F20"/>
          <w:spacing w:val="-7"/>
          <w:vertAlign w:val="baseline"/>
        </w:rPr>
        <w:t> </w:t>
      </w:r>
      <w:r>
        <w:rPr>
          <w:color w:val="231F20"/>
          <w:spacing w:val="-4"/>
          <w:vertAlign w:val="baseline"/>
        </w:rPr>
        <w:t>puis</w:t>
      </w:r>
      <w:r>
        <w:rPr>
          <w:color w:val="231F20"/>
          <w:spacing w:val="-8"/>
          <w:vertAlign w:val="baseline"/>
        </w:rPr>
        <w:t> </w:t>
      </w:r>
      <w:r>
        <w:rPr>
          <w:color w:val="231F20"/>
          <w:spacing w:val="-4"/>
          <w:vertAlign w:val="baseline"/>
        </w:rPr>
        <w:t>en</w:t>
      </w:r>
      <w:r>
        <w:rPr>
          <w:color w:val="231F20"/>
          <w:spacing w:val="-7"/>
          <w:vertAlign w:val="baseline"/>
        </w:rPr>
        <w:t> </w:t>
      </w:r>
      <w:r>
        <w:rPr>
          <w:color w:val="231F20"/>
          <w:spacing w:val="-4"/>
          <w:vertAlign w:val="baseline"/>
        </w:rPr>
        <w:t>Algérie</w:t>
      </w:r>
      <w:r>
        <w:rPr>
          <w:color w:val="231F20"/>
          <w:spacing w:val="-9"/>
          <w:vertAlign w:val="baseline"/>
        </w:rPr>
        <w:t> </w:t>
      </w:r>
      <w:r>
        <w:rPr>
          <w:color w:val="231F20"/>
          <w:spacing w:val="-4"/>
          <w:vertAlign w:val="baseline"/>
        </w:rPr>
        <w:t>où </w:t>
      </w:r>
      <w:r>
        <w:rPr>
          <w:color w:val="231F20"/>
          <w:vertAlign w:val="baseline"/>
        </w:rPr>
        <w:t>il décède le 10 décembre 1906.</w:t>
      </w:r>
    </w:p>
    <w:p>
      <w:pPr>
        <w:pStyle w:val="BodyText"/>
        <w:spacing w:before="121"/>
        <w:ind w:right="105" w:firstLine="283"/>
      </w:pPr>
      <w:r>
        <w:rPr>
          <w:color w:val="231F20"/>
        </w:rPr>
        <w:t>Dans le pays mossi (Haute-Volta), dès 1896, la résistance prend la forme d’une guerre de harcèlement des colonnes françaises. Le 17 novembre 1915, les habitants d’un village nommé Bouna, refusent de fournir des "tirailleurs" pour le soutien à la France engagée dans la </w:t>
      </w:r>
      <w:r>
        <w:rPr>
          <w:color w:val="231F20"/>
          <w:spacing w:val="-4"/>
        </w:rPr>
        <w:t>première</w:t>
      </w:r>
      <w:r>
        <w:rPr>
          <w:color w:val="231F20"/>
          <w:spacing w:val="-8"/>
        </w:rPr>
        <w:t> </w:t>
      </w:r>
      <w:r>
        <w:rPr>
          <w:color w:val="231F20"/>
          <w:spacing w:val="-4"/>
        </w:rPr>
        <w:t>guerre</w:t>
      </w:r>
      <w:r>
        <w:rPr>
          <w:color w:val="231F20"/>
          <w:spacing w:val="-8"/>
        </w:rPr>
        <w:t> </w:t>
      </w:r>
      <w:r>
        <w:rPr>
          <w:color w:val="231F20"/>
          <w:spacing w:val="-4"/>
        </w:rPr>
        <w:t>mondiale,</w:t>
      </w:r>
      <w:r>
        <w:rPr>
          <w:color w:val="231F20"/>
          <w:spacing w:val="-10"/>
        </w:rPr>
        <w:t> </w:t>
      </w:r>
      <w:r>
        <w:rPr>
          <w:color w:val="231F20"/>
          <w:spacing w:val="-4"/>
        </w:rPr>
        <w:t>et</w:t>
      </w:r>
      <w:r>
        <w:rPr>
          <w:color w:val="231F20"/>
          <w:spacing w:val="-8"/>
        </w:rPr>
        <w:t> </w:t>
      </w:r>
      <w:r>
        <w:rPr>
          <w:color w:val="231F20"/>
          <w:spacing w:val="-4"/>
        </w:rPr>
        <w:t>appellent</w:t>
      </w:r>
      <w:r>
        <w:rPr>
          <w:color w:val="231F20"/>
          <w:spacing w:val="-7"/>
        </w:rPr>
        <w:t> </w:t>
      </w:r>
      <w:r>
        <w:rPr>
          <w:color w:val="231F20"/>
          <w:spacing w:val="-4"/>
        </w:rPr>
        <w:t>les</w:t>
      </w:r>
      <w:r>
        <w:rPr>
          <w:color w:val="231F20"/>
          <w:spacing w:val="-8"/>
        </w:rPr>
        <w:t> </w:t>
      </w:r>
      <w:r>
        <w:rPr>
          <w:color w:val="231F20"/>
          <w:spacing w:val="-4"/>
        </w:rPr>
        <w:t>villages</w:t>
      </w:r>
      <w:r>
        <w:rPr>
          <w:color w:val="231F20"/>
          <w:spacing w:val="-8"/>
        </w:rPr>
        <w:t> </w:t>
      </w:r>
      <w:r>
        <w:rPr>
          <w:color w:val="231F20"/>
          <w:spacing w:val="-4"/>
        </w:rPr>
        <w:t>environnants</w:t>
      </w:r>
      <w:r>
        <w:rPr>
          <w:color w:val="231F20"/>
          <w:spacing w:val="-8"/>
        </w:rPr>
        <w:t> </w:t>
      </w:r>
      <w:r>
        <w:rPr>
          <w:color w:val="231F20"/>
          <w:spacing w:val="-4"/>
        </w:rPr>
        <w:t>à</w:t>
      </w:r>
      <w:r>
        <w:rPr>
          <w:color w:val="231F20"/>
          <w:spacing w:val="-8"/>
        </w:rPr>
        <w:t> </w:t>
      </w:r>
      <w:r>
        <w:rPr>
          <w:color w:val="231F20"/>
          <w:spacing w:val="-4"/>
        </w:rPr>
        <w:t>prendre </w:t>
      </w:r>
      <w:r>
        <w:rPr>
          <w:color w:val="231F20"/>
          <w:spacing w:val="-2"/>
        </w:rPr>
        <w:t>les</w:t>
      </w:r>
      <w:r>
        <w:rPr>
          <w:color w:val="231F20"/>
          <w:spacing w:val="-13"/>
        </w:rPr>
        <w:t> </w:t>
      </w:r>
      <w:r>
        <w:rPr>
          <w:color w:val="231F20"/>
          <w:spacing w:val="-2"/>
        </w:rPr>
        <w:t>armes.</w:t>
      </w:r>
      <w:r>
        <w:rPr>
          <w:color w:val="231F20"/>
          <w:spacing w:val="-13"/>
        </w:rPr>
        <w:t> </w:t>
      </w:r>
      <w:r>
        <w:rPr>
          <w:color w:val="231F20"/>
          <w:spacing w:val="-2"/>
        </w:rPr>
        <w:t>Deux</w:t>
      </w:r>
      <w:r>
        <w:rPr>
          <w:color w:val="231F20"/>
          <w:spacing w:val="-13"/>
        </w:rPr>
        <w:t> </w:t>
      </w:r>
      <w:r>
        <w:rPr>
          <w:color w:val="231F20"/>
          <w:spacing w:val="-2"/>
        </w:rPr>
        <w:t>jours</w:t>
      </w:r>
      <w:r>
        <w:rPr>
          <w:color w:val="231F20"/>
          <w:spacing w:val="-13"/>
        </w:rPr>
        <w:t> </w:t>
      </w:r>
      <w:r>
        <w:rPr>
          <w:color w:val="231F20"/>
          <w:spacing w:val="-2"/>
        </w:rPr>
        <w:t>plus</w:t>
      </w:r>
      <w:r>
        <w:rPr>
          <w:color w:val="231F20"/>
          <w:spacing w:val="-13"/>
        </w:rPr>
        <w:t> </w:t>
      </w:r>
      <w:r>
        <w:rPr>
          <w:color w:val="231F20"/>
          <w:spacing w:val="-2"/>
        </w:rPr>
        <w:t>tard,</w:t>
      </w:r>
      <w:r>
        <w:rPr>
          <w:color w:val="231F20"/>
          <w:spacing w:val="-13"/>
        </w:rPr>
        <w:t> </w:t>
      </w:r>
      <w:r>
        <w:rPr>
          <w:color w:val="231F20"/>
          <w:spacing w:val="-2"/>
        </w:rPr>
        <w:t>5</w:t>
      </w:r>
      <w:r>
        <w:rPr>
          <w:color w:val="231F20"/>
          <w:spacing w:val="-13"/>
        </w:rPr>
        <w:t> </w:t>
      </w:r>
      <w:r>
        <w:rPr>
          <w:color w:val="231F20"/>
          <w:spacing w:val="-2"/>
        </w:rPr>
        <w:t>villages</w:t>
      </w:r>
      <w:r>
        <w:rPr>
          <w:color w:val="231F20"/>
          <w:spacing w:val="-13"/>
        </w:rPr>
        <w:t> </w:t>
      </w:r>
      <w:r>
        <w:rPr>
          <w:color w:val="231F20"/>
          <w:spacing w:val="-2"/>
        </w:rPr>
        <w:t>répondent</w:t>
      </w:r>
      <w:r>
        <w:rPr>
          <w:color w:val="231F20"/>
          <w:spacing w:val="-13"/>
        </w:rPr>
        <w:t> </w:t>
      </w:r>
      <w:r>
        <w:rPr>
          <w:color w:val="231F20"/>
          <w:spacing w:val="-2"/>
        </w:rPr>
        <w:t>activement</w:t>
      </w:r>
      <w:r>
        <w:rPr>
          <w:color w:val="231F20"/>
          <w:spacing w:val="-13"/>
        </w:rPr>
        <w:t> </w:t>
      </w:r>
      <w:r>
        <w:rPr>
          <w:color w:val="231F20"/>
          <w:spacing w:val="-2"/>
        </w:rPr>
        <w:t>à</w:t>
      </w:r>
      <w:r>
        <w:rPr>
          <w:color w:val="231F20"/>
          <w:spacing w:val="-13"/>
        </w:rPr>
        <w:t> </w:t>
      </w:r>
      <w:r>
        <w:rPr>
          <w:color w:val="231F20"/>
          <w:spacing w:val="-2"/>
        </w:rPr>
        <w:t>l’appel </w:t>
      </w:r>
      <w:r>
        <w:rPr>
          <w:color w:val="231F20"/>
        </w:rPr>
        <w:t>de Bouna. La révolte gagne rapidement</w:t>
      </w:r>
      <w:r>
        <w:rPr>
          <w:color w:val="231F20"/>
          <w:spacing w:val="-1"/>
        </w:rPr>
        <w:t> </w:t>
      </w:r>
      <w:r>
        <w:rPr>
          <w:color w:val="231F20"/>
        </w:rPr>
        <w:t>d’autres</w:t>
      </w:r>
      <w:r>
        <w:rPr>
          <w:color w:val="231F20"/>
          <w:spacing w:val="-1"/>
        </w:rPr>
        <w:t> </w:t>
      </w:r>
      <w:r>
        <w:rPr>
          <w:color w:val="231F20"/>
        </w:rPr>
        <w:t>villages.</w:t>
      </w:r>
      <w:r>
        <w:rPr>
          <w:color w:val="231F20"/>
          <w:spacing w:val="-1"/>
        </w:rPr>
        <w:t> </w:t>
      </w:r>
      <w:r>
        <w:rPr>
          <w:color w:val="231F20"/>
        </w:rPr>
        <w:t>Des chefs de guerre</w:t>
      </w:r>
      <w:r>
        <w:rPr>
          <w:color w:val="231F20"/>
          <w:spacing w:val="-8"/>
        </w:rPr>
        <w:t> </w:t>
      </w:r>
      <w:r>
        <w:rPr>
          <w:color w:val="231F20"/>
        </w:rPr>
        <w:t>parcourent</w:t>
      </w:r>
      <w:r>
        <w:rPr>
          <w:color w:val="231F20"/>
          <w:spacing w:val="-9"/>
        </w:rPr>
        <w:t> </w:t>
      </w:r>
      <w:r>
        <w:rPr>
          <w:color w:val="231F20"/>
        </w:rPr>
        <w:t>la</w:t>
      </w:r>
      <w:r>
        <w:rPr>
          <w:color w:val="231F20"/>
          <w:spacing w:val="-8"/>
        </w:rPr>
        <w:t> </w:t>
      </w:r>
      <w:r>
        <w:rPr>
          <w:color w:val="231F20"/>
        </w:rPr>
        <w:t>région</w:t>
      </w:r>
      <w:r>
        <w:rPr>
          <w:color w:val="231F20"/>
          <w:spacing w:val="-8"/>
        </w:rPr>
        <w:t> </w:t>
      </w:r>
      <w:r>
        <w:rPr>
          <w:color w:val="231F20"/>
        </w:rPr>
        <w:t>pour</w:t>
      </w:r>
      <w:r>
        <w:rPr>
          <w:color w:val="231F20"/>
          <w:spacing w:val="-10"/>
        </w:rPr>
        <w:t> </w:t>
      </w:r>
      <w:r>
        <w:rPr>
          <w:color w:val="231F20"/>
        </w:rPr>
        <w:t>organiser</w:t>
      </w:r>
      <w:r>
        <w:rPr>
          <w:color w:val="231F20"/>
          <w:spacing w:val="-8"/>
        </w:rPr>
        <w:t> </w:t>
      </w:r>
      <w:r>
        <w:rPr>
          <w:color w:val="231F20"/>
        </w:rPr>
        <w:t>la</w:t>
      </w:r>
      <w:r>
        <w:rPr>
          <w:color w:val="231F20"/>
          <w:spacing w:val="-10"/>
        </w:rPr>
        <w:t> </w:t>
      </w:r>
      <w:r>
        <w:rPr>
          <w:color w:val="231F20"/>
        </w:rPr>
        <w:t>mobilisation</w:t>
      </w:r>
      <w:r>
        <w:rPr>
          <w:color w:val="231F20"/>
          <w:spacing w:val="-8"/>
        </w:rPr>
        <w:t> </w:t>
      </w:r>
      <w:r>
        <w:rPr>
          <w:color w:val="231F20"/>
        </w:rPr>
        <w:t>générale.</w:t>
      </w:r>
    </w:p>
    <w:p>
      <w:pPr>
        <w:pStyle w:val="BodyText"/>
        <w:spacing w:before="120"/>
        <w:ind w:right="101" w:firstLine="283"/>
      </w:pPr>
      <w:r>
        <w:rPr>
          <w:color w:val="231F20"/>
        </w:rPr>
        <w:t>En</w:t>
      </w:r>
      <w:r>
        <w:rPr>
          <w:color w:val="231F20"/>
          <w:spacing w:val="-15"/>
        </w:rPr>
        <w:t> </w:t>
      </w:r>
      <w:r>
        <w:rPr>
          <w:color w:val="231F20"/>
        </w:rPr>
        <w:t>Côte</w:t>
      </w:r>
      <w:r>
        <w:rPr>
          <w:color w:val="231F20"/>
          <w:spacing w:val="-11"/>
        </w:rPr>
        <w:t> </w:t>
      </w:r>
      <w:r>
        <w:rPr>
          <w:color w:val="231F20"/>
        </w:rPr>
        <w:t>d’ivoire,</w:t>
      </w:r>
      <w:r>
        <w:rPr>
          <w:color w:val="231F20"/>
          <w:spacing w:val="-13"/>
        </w:rPr>
        <w:t> </w:t>
      </w:r>
      <w:r>
        <w:rPr>
          <w:color w:val="231F20"/>
        </w:rPr>
        <w:t>la</w:t>
      </w:r>
      <w:r>
        <w:rPr>
          <w:color w:val="231F20"/>
          <w:spacing w:val="-12"/>
        </w:rPr>
        <w:t> </w:t>
      </w:r>
      <w:r>
        <w:rPr>
          <w:color w:val="231F20"/>
        </w:rPr>
        <w:t>résistance</w:t>
      </w:r>
      <w:r>
        <w:rPr>
          <w:color w:val="231F20"/>
          <w:spacing w:val="-12"/>
        </w:rPr>
        <w:t> </w:t>
      </w:r>
      <w:r>
        <w:rPr>
          <w:color w:val="231F20"/>
        </w:rPr>
        <w:t>s’exprime</w:t>
      </w:r>
      <w:r>
        <w:rPr>
          <w:color w:val="231F20"/>
          <w:spacing w:val="-13"/>
        </w:rPr>
        <w:t> </w:t>
      </w:r>
      <w:r>
        <w:rPr>
          <w:color w:val="231F20"/>
        </w:rPr>
        <w:t>dès</w:t>
      </w:r>
      <w:r>
        <w:rPr>
          <w:color w:val="231F20"/>
          <w:spacing w:val="-13"/>
        </w:rPr>
        <w:t> </w:t>
      </w:r>
      <w:r>
        <w:rPr>
          <w:color w:val="231F20"/>
        </w:rPr>
        <w:t>la</w:t>
      </w:r>
      <w:r>
        <w:rPr>
          <w:color w:val="231F20"/>
          <w:spacing w:val="-12"/>
        </w:rPr>
        <w:t> </w:t>
      </w:r>
      <w:r>
        <w:rPr>
          <w:color w:val="231F20"/>
        </w:rPr>
        <w:t>phase</w:t>
      </w:r>
      <w:r>
        <w:rPr>
          <w:color w:val="231F20"/>
          <w:spacing w:val="-12"/>
        </w:rPr>
        <w:t> </w:t>
      </w:r>
      <w:r>
        <w:rPr>
          <w:color w:val="231F20"/>
        </w:rPr>
        <w:t>d’exploration</w:t>
      </w:r>
      <w:r>
        <w:rPr>
          <w:color w:val="231F20"/>
          <w:spacing w:val="-15"/>
        </w:rPr>
        <w:t> </w:t>
      </w:r>
      <w:r>
        <w:rPr>
          <w:color w:val="231F20"/>
        </w:rPr>
        <w:t>: Jacqueville</w:t>
      </w:r>
      <w:r>
        <w:rPr>
          <w:color w:val="231F20"/>
          <w:spacing w:val="-7"/>
        </w:rPr>
        <w:t> </w:t>
      </w:r>
      <w:r>
        <w:rPr>
          <w:color w:val="231F20"/>
        </w:rPr>
        <w:t>et</w:t>
      </w:r>
      <w:r>
        <w:rPr>
          <w:color w:val="231F20"/>
          <w:spacing w:val="-7"/>
        </w:rPr>
        <w:t> </w:t>
      </w:r>
      <w:r>
        <w:rPr>
          <w:color w:val="231F20"/>
        </w:rPr>
        <w:t>Lahou</w:t>
      </w:r>
      <w:r>
        <w:rPr>
          <w:color w:val="231F20"/>
          <w:spacing w:val="-7"/>
        </w:rPr>
        <w:t> </w:t>
      </w:r>
      <w:r>
        <w:rPr>
          <w:color w:val="231F20"/>
        </w:rPr>
        <w:t>en</w:t>
      </w:r>
      <w:r>
        <w:rPr>
          <w:color w:val="231F20"/>
          <w:spacing w:val="-9"/>
        </w:rPr>
        <w:t> </w:t>
      </w:r>
      <w:r>
        <w:rPr>
          <w:color w:val="231F20"/>
        </w:rPr>
        <w:t>1890,</w:t>
      </w:r>
      <w:r>
        <w:rPr>
          <w:color w:val="231F20"/>
          <w:spacing w:val="-9"/>
        </w:rPr>
        <w:t> </w:t>
      </w:r>
      <w:r>
        <w:rPr>
          <w:color w:val="231F20"/>
        </w:rPr>
        <w:t>Bonoua</w:t>
      </w:r>
      <w:r>
        <w:rPr>
          <w:color w:val="231F20"/>
          <w:spacing w:val="-7"/>
        </w:rPr>
        <w:t> </w:t>
      </w:r>
      <w:r>
        <w:rPr>
          <w:color w:val="231F20"/>
        </w:rPr>
        <w:t>en</w:t>
      </w:r>
      <w:r>
        <w:rPr>
          <w:color w:val="231F20"/>
          <w:spacing w:val="-9"/>
        </w:rPr>
        <w:t> </w:t>
      </w:r>
      <w:r>
        <w:rPr>
          <w:color w:val="231F20"/>
        </w:rPr>
        <w:t>1894</w:t>
      </w:r>
      <w:r>
        <w:rPr>
          <w:color w:val="231F20"/>
          <w:spacing w:val="-5"/>
        </w:rPr>
        <w:t> </w:t>
      </w:r>
      <w:r>
        <w:rPr>
          <w:color w:val="231F20"/>
        </w:rPr>
        <w:t>et</w:t>
      </w:r>
      <w:r>
        <w:rPr>
          <w:color w:val="231F20"/>
          <w:spacing w:val="-7"/>
        </w:rPr>
        <w:t> </w:t>
      </w:r>
      <w:r>
        <w:rPr>
          <w:color w:val="231F20"/>
        </w:rPr>
        <w:t>1895,</w:t>
      </w:r>
      <w:r>
        <w:rPr>
          <w:color w:val="231F20"/>
          <w:spacing w:val="-7"/>
        </w:rPr>
        <w:t> </w:t>
      </w:r>
      <w:r>
        <w:rPr>
          <w:color w:val="231F20"/>
        </w:rPr>
        <w:t>Dabou</w:t>
      </w:r>
      <w:r>
        <w:rPr>
          <w:color w:val="231F20"/>
          <w:spacing w:val="-9"/>
        </w:rPr>
        <w:t> </w:t>
      </w:r>
      <w:r>
        <w:rPr>
          <w:color w:val="231F20"/>
        </w:rPr>
        <w:t>en</w:t>
      </w:r>
      <w:r>
        <w:rPr>
          <w:color w:val="231F20"/>
          <w:spacing w:val="-8"/>
        </w:rPr>
        <w:t> </w:t>
      </w:r>
      <w:r>
        <w:rPr>
          <w:color w:val="231F20"/>
        </w:rPr>
        <w:t>1897 et</w:t>
      </w:r>
      <w:r>
        <w:rPr>
          <w:color w:val="231F20"/>
          <w:spacing w:val="-7"/>
        </w:rPr>
        <w:t> </w:t>
      </w:r>
      <w:r>
        <w:rPr>
          <w:color w:val="231F20"/>
        </w:rPr>
        <w:t>1898.</w:t>
      </w:r>
      <w:r>
        <w:rPr>
          <w:color w:val="231F20"/>
          <w:spacing w:val="-7"/>
        </w:rPr>
        <w:t> </w:t>
      </w:r>
      <w:r>
        <w:rPr>
          <w:color w:val="231F20"/>
        </w:rPr>
        <w:t>Nommé</w:t>
      </w:r>
      <w:r>
        <w:rPr>
          <w:color w:val="231F20"/>
          <w:spacing w:val="-9"/>
        </w:rPr>
        <w:t> </w:t>
      </w:r>
      <w:r>
        <w:rPr>
          <w:color w:val="231F20"/>
        </w:rPr>
        <w:t>le</w:t>
      </w:r>
      <w:r>
        <w:rPr>
          <w:color w:val="231F20"/>
          <w:spacing w:val="-7"/>
        </w:rPr>
        <w:t> </w:t>
      </w:r>
      <w:r>
        <w:rPr>
          <w:color w:val="231F20"/>
        </w:rPr>
        <w:t>25</w:t>
      </w:r>
      <w:r>
        <w:rPr>
          <w:color w:val="231F20"/>
          <w:spacing w:val="-7"/>
        </w:rPr>
        <w:t> </w:t>
      </w:r>
      <w:r>
        <w:rPr>
          <w:color w:val="231F20"/>
        </w:rPr>
        <w:t>avril</w:t>
      </w:r>
      <w:r>
        <w:rPr>
          <w:color w:val="231F20"/>
          <w:spacing w:val="-7"/>
        </w:rPr>
        <w:t> </w:t>
      </w:r>
      <w:r>
        <w:rPr>
          <w:color w:val="231F20"/>
        </w:rPr>
        <w:t>1906,</w:t>
      </w:r>
      <w:r>
        <w:rPr>
          <w:color w:val="231F20"/>
          <w:spacing w:val="-9"/>
        </w:rPr>
        <w:t> </w:t>
      </w:r>
      <w:r>
        <w:rPr>
          <w:color w:val="231F20"/>
        </w:rPr>
        <w:t>gouverneur</w:t>
      </w:r>
      <w:r>
        <w:rPr>
          <w:color w:val="231F20"/>
          <w:spacing w:val="-7"/>
        </w:rPr>
        <w:t> </w:t>
      </w:r>
      <w:r>
        <w:rPr>
          <w:color w:val="231F20"/>
        </w:rPr>
        <w:t>de</w:t>
      </w:r>
      <w:r>
        <w:rPr>
          <w:color w:val="231F20"/>
          <w:spacing w:val="-9"/>
        </w:rPr>
        <w:t> </w:t>
      </w:r>
      <w:r>
        <w:rPr>
          <w:color w:val="231F20"/>
        </w:rPr>
        <w:t>Côte</w:t>
      </w:r>
      <w:r>
        <w:rPr>
          <w:color w:val="231F20"/>
          <w:spacing w:val="-7"/>
        </w:rPr>
        <w:t> </w:t>
      </w:r>
      <w:r>
        <w:rPr>
          <w:color w:val="231F20"/>
        </w:rPr>
        <w:t>d’ivoire,</w:t>
      </w:r>
      <w:r>
        <w:rPr>
          <w:color w:val="231F20"/>
          <w:spacing w:val="-7"/>
        </w:rPr>
        <w:t> </w:t>
      </w:r>
      <w:r>
        <w:rPr>
          <w:color w:val="231F20"/>
        </w:rPr>
        <w:t>Gabriel Angoulvant opte pour l’accélération forcée de la colonisation.</w:t>
      </w:r>
      <w:r>
        <w:rPr>
          <w:color w:val="231F20"/>
          <w:spacing w:val="-13"/>
        </w:rPr>
        <w:t> </w:t>
      </w:r>
      <w:r>
        <w:rPr>
          <w:color w:val="231F20"/>
        </w:rPr>
        <w:t>De nouvelles résistances apparaissent notamment dans l’Ouest forestier</w:t>
      </w:r>
      <w:r>
        <w:rPr>
          <w:color w:val="231F20"/>
          <w:spacing w:val="-15"/>
        </w:rPr>
        <w:t> </w:t>
      </w:r>
      <w:r>
        <w:rPr>
          <w:color w:val="231F20"/>
        </w:rPr>
        <w:t>: Daloa</w:t>
      </w:r>
      <w:r>
        <w:rPr>
          <w:color w:val="231F20"/>
          <w:spacing w:val="-1"/>
        </w:rPr>
        <w:t> </w:t>
      </w:r>
      <w:r>
        <w:rPr>
          <w:color w:val="231F20"/>
        </w:rPr>
        <w:t>en</w:t>
      </w:r>
      <w:r>
        <w:rPr>
          <w:color w:val="231F20"/>
          <w:spacing w:val="-1"/>
        </w:rPr>
        <w:t> </w:t>
      </w:r>
      <w:r>
        <w:rPr>
          <w:color w:val="231F20"/>
        </w:rPr>
        <w:t>1906,</w:t>
      </w:r>
      <w:r>
        <w:rPr>
          <w:color w:val="231F20"/>
          <w:spacing w:val="-1"/>
        </w:rPr>
        <w:t> </w:t>
      </w:r>
      <w:r>
        <w:rPr>
          <w:color w:val="231F20"/>
        </w:rPr>
        <w:t>Man</w:t>
      </w:r>
      <w:r>
        <w:rPr>
          <w:color w:val="231F20"/>
          <w:spacing w:val="-1"/>
        </w:rPr>
        <w:t> </w:t>
      </w:r>
      <w:r>
        <w:rPr>
          <w:color w:val="231F20"/>
        </w:rPr>
        <w:t>en</w:t>
      </w:r>
      <w:r>
        <w:rPr>
          <w:color w:val="231F20"/>
          <w:spacing w:val="-3"/>
        </w:rPr>
        <w:t> </w:t>
      </w:r>
      <w:r>
        <w:rPr>
          <w:color w:val="231F20"/>
        </w:rPr>
        <w:t>1908,</w:t>
      </w:r>
      <w:r>
        <w:rPr>
          <w:color w:val="231F20"/>
          <w:spacing w:val="-1"/>
        </w:rPr>
        <w:t> </w:t>
      </w:r>
      <w:r>
        <w:rPr>
          <w:color w:val="231F20"/>
        </w:rPr>
        <w:t>chez</w:t>
      </w:r>
      <w:r>
        <w:rPr>
          <w:color w:val="231F20"/>
          <w:spacing w:val="-1"/>
        </w:rPr>
        <w:t> </w:t>
      </w:r>
      <w:r>
        <w:rPr>
          <w:color w:val="231F20"/>
        </w:rPr>
        <w:t>les</w:t>
      </w:r>
      <w:r>
        <w:rPr>
          <w:color w:val="231F20"/>
          <w:spacing w:val="-1"/>
        </w:rPr>
        <w:t> </w:t>
      </w:r>
      <w:r>
        <w:rPr>
          <w:color w:val="231F20"/>
        </w:rPr>
        <w:t>Akan</w:t>
      </w:r>
      <w:r>
        <w:rPr>
          <w:color w:val="231F20"/>
          <w:spacing w:val="-1"/>
        </w:rPr>
        <w:t> </w:t>
      </w:r>
      <w:r>
        <w:rPr>
          <w:color w:val="231F20"/>
        </w:rPr>
        <w:t>du</w:t>
      </w:r>
      <w:r>
        <w:rPr>
          <w:color w:val="231F20"/>
          <w:spacing w:val="-3"/>
        </w:rPr>
        <w:t> </w:t>
      </w:r>
      <w:r>
        <w:rPr>
          <w:color w:val="231F20"/>
        </w:rPr>
        <w:t>sud</w:t>
      </w:r>
      <w:r>
        <w:rPr>
          <w:color w:val="231F20"/>
          <w:spacing w:val="-1"/>
        </w:rPr>
        <w:t> </w:t>
      </w:r>
      <w:r>
        <w:rPr>
          <w:color w:val="231F20"/>
        </w:rPr>
        <w:t>notamment Abbey </w:t>
      </w:r>
      <w:r>
        <w:rPr>
          <w:color w:val="231F20"/>
          <w:spacing w:val="-2"/>
        </w:rPr>
        <w:t>avec</w:t>
      </w:r>
      <w:r>
        <w:rPr>
          <w:color w:val="231F20"/>
          <w:spacing w:val="-15"/>
        </w:rPr>
        <w:t> </w:t>
      </w:r>
      <w:r>
        <w:rPr>
          <w:color w:val="231F20"/>
          <w:spacing w:val="-2"/>
        </w:rPr>
        <w:t>les</w:t>
      </w:r>
      <w:r>
        <w:rPr>
          <w:color w:val="231F20"/>
          <w:spacing w:val="-13"/>
        </w:rPr>
        <w:t> </w:t>
      </w:r>
      <w:r>
        <w:rPr>
          <w:color w:val="231F20"/>
          <w:spacing w:val="-2"/>
        </w:rPr>
        <w:t>attaques</w:t>
      </w:r>
      <w:r>
        <w:rPr>
          <w:color w:val="231F20"/>
          <w:spacing w:val="-13"/>
        </w:rPr>
        <w:t> </w:t>
      </w:r>
      <w:r>
        <w:rPr>
          <w:color w:val="231F20"/>
          <w:spacing w:val="-2"/>
        </w:rPr>
        <w:t>des</w:t>
      </w:r>
      <w:r>
        <w:rPr>
          <w:color w:val="231F20"/>
          <w:spacing w:val="-13"/>
        </w:rPr>
        <w:t> </w:t>
      </w:r>
      <w:r>
        <w:rPr>
          <w:color w:val="231F20"/>
          <w:spacing w:val="-2"/>
        </w:rPr>
        <w:t>postes</w:t>
      </w:r>
      <w:r>
        <w:rPr>
          <w:color w:val="231F20"/>
          <w:spacing w:val="-13"/>
        </w:rPr>
        <w:t> </w:t>
      </w:r>
      <w:r>
        <w:rPr>
          <w:color w:val="231F20"/>
          <w:spacing w:val="-2"/>
        </w:rPr>
        <w:t>d’Agboville</w:t>
      </w:r>
      <w:r>
        <w:rPr>
          <w:color w:val="231F20"/>
          <w:spacing w:val="-13"/>
        </w:rPr>
        <w:t> </w:t>
      </w:r>
      <w:r>
        <w:rPr>
          <w:color w:val="231F20"/>
          <w:spacing w:val="-2"/>
        </w:rPr>
        <w:t>et</w:t>
      </w:r>
      <w:r>
        <w:rPr>
          <w:color w:val="231F20"/>
          <w:spacing w:val="-13"/>
        </w:rPr>
        <w:t> </w:t>
      </w:r>
      <w:r>
        <w:rPr>
          <w:color w:val="231F20"/>
          <w:spacing w:val="-2"/>
        </w:rPr>
        <w:t>d’Adzopé</w:t>
      </w:r>
      <w:r>
        <w:rPr>
          <w:color w:val="231F20"/>
          <w:spacing w:val="-13"/>
        </w:rPr>
        <w:t> </w:t>
      </w:r>
      <w:r>
        <w:rPr>
          <w:color w:val="231F20"/>
          <w:spacing w:val="-2"/>
        </w:rPr>
        <w:t>en</w:t>
      </w:r>
      <w:r>
        <w:rPr>
          <w:color w:val="231F20"/>
          <w:spacing w:val="-13"/>
        </w:rPr>
        <w:t> </w:t>
      </w:r>
      <w:r>
        <w:rPr>
          <w:color w:val="231F20"/>
          <w:spacing w:val="-2"/>
        </w:rPr>
        <w:t>1910,</w:t>
      </w:r>
      <w:r>
        <w:rPr>
          <w:color w:val="231F20"/>
          <w:spacing w:val="-13"/>
        </w:rPr>
        <w:t> </w:t>
      </w:r>
      <w:r>
        <w:rPr>
          <w:color w:val="231F20"/>
          <w:spacing w:val="-2"/>
        </w:rPr>
        <w:t>Sémien</w:t>
      </w:r>
      <w:r>
        <w:rPr>
          <w:color w:val="231F20"/>
          <w:spacing w:val="-13"/>
        </w:rPr>
        <w:t> </w:t>
      </w:r>
      <w:r>
        <w:rPr>
          <w:color w:val="231F20"/>
          <w:spacing w:val="-2"/>
        </w:rPr>
        <w:t>en 1911,</w:t>
      </w:r>
      <w:r>
        <w:rPr>
          <w:color w:val="231F20"/>
          <w:spacing w:val="-13"/>
        </w:rPr>
        <w:t> </w:t>
      </w:r>
      <w:r>
        <w:rPr>
          <w:color w:val="231F20"/>
          <w:spacing w:val="-2"/>
        </w:rPr>
        <w:t>en</w:t>
      </w:r>
      <w:r>
        <w:rPr>
          <w:color w:val="231F20"/>
          <w:spacing w:val="-11"/>
        </w:rPr>
        <w:t> </w:t>
      </w:r>
      <w:r>
        <w:rPr>
          <w:color w:val="231F20"/>
          <w:spacing w:val="-2"/>
        </w:rPr>
        <w:t>pays</w:t>
      </w:r>
      <w:r>
        <w:rPr>
          <w:color w:val="231F20"/>
          <w:spacing w:val="-11"/>
        </w:rPr>
        <w:t> </w:t>
      </w:r>
      <w:r>
        <w:rPr>
          <w:color w:val="231F20"/>
          <w:spacing w:val="-2"/>
        </w:rPr>
        <w:t>Gouro</w:t>
      </w:r>
      <w:r>
        <w:rPr>
          <w:color w:val="231F20"/>
          <w:spacing w:val="-11"/>
        </w:rPr>
        <w:t> </w:t>
      </w:r>
      <w:r>
        <w:rPr>
          <w:color w:val="231F20"/>
          <w:spacing w:val="-2"/>
        </w:rPr>
        <w:t>entre</w:t>
      </w:r>
      <w:r>
        <w:rPr>
          <w:color w:val="231F20"/>
          <w:spacing w:val="-13"/>
        </w:rPr>
        <w:t> </w:t>
      </w:r>
      <w:r>
        <w:rPr>
          <w:color w:val="231F20"/>
          <w:spacing w:val="-2"/>
        </w:rPr>
        <w:t>1907-1914,</w:t>
      </w:r>
      <w:r>
        <w:rPr>
          <w:color w:val="231F20"/>
          <w:spacing w:val="-11"/>
        </w:rPr>
        <w:t> </w:t>
      </w:r>
      <w:r>
        <w:rPr>
          <w:color w:val="231F20"/>
          <w:spacing w:val="-2"/>
        </w:rPr>
        <w:t>en</w:t>
      </w:r>
      <w:r>
        <w:rPr>
          <w:color w:val="231F20"/>
          <w:spacing w:val="-13"/>
        </w:rPr>
        <w:t> </w:t>
      </w:r>
      <w:r>
        <w:rPr>
          <w:color w:val="231F20"/>
          <w:spacing w:val="-2"/>
        </w:rPr>
        <w:t>pays</w:t>
      </w:r>
      <w:r>
        <w:rPr>
          <w:color w:val="231F20"/>
          <w:spacing w:val="-13"/>
        </w:rPr>
        <w:t> </w:t>
      </w:r>
      <w:r>
        <w:rPr>
          <w:color w:val="231F20"/>
          <w:spacing w:val="-2"/>
        </w:rPr>
        <w:t>Lobi</w:t>
      </w:r>
      <w:r>
        <w:rPr>
          <w:color w:val="231F20"/>
          <w:spacing w:val="-13"/>
        </w:rPr>
        <w:t> </w:t>
      </w:r>
      <w:r>
        <w:rPr>
          <w:color w:val="231F20"/>
          <w:spacing w:val="-2"/>
        </w:rPr>
        <w:t>de</w:t>
      </w:r>
      <w:r>
        <w:rPr>
          <w:color w:val="231F20"/>
          <w:spacing w:val="-11"/>
        </w:rPr>
        <w:t> </w:t>
      </w:r>
      <w:r>
        <w:rPr>
          <w:color w:val="231F20"/>
          <w:spacing w:val="-2"/>
        </w:rPr>
        <w:t>1898</w:t>
      </w:r>
      <w:r>
        <w:rPr>
          <w:color w:val="231F20"/>
          <w:spacing w:val="-11"/>
        </w:rPr>
        <w:t> </w:t>
      </w:r>
      <w:r>
        <w:rPr>
          <w:color w:val="231F20"/>
          <w:spacing w:val="-2"/>
        </w:rPr>
        <w:t>à</w:t>
      </w:r>
      <w:r>
        <w:rPr>
          <w:color w:val="231F20"/>
          <w:spacing w:val="-11"/>
        </w:rPr>
        <w:t> </w:t>
      </w:r>
      <w:r>
        <w:rPr>
          <w:color w:val="231F20"/>
          <w:spacing w:val="-2"/>
        </w:rPr>
        <w:t>1920</w:t>
      </w:r>
      <w:r>
        <w:rPr>
          <w:color w:val="231F20"/>
          <w:spacing w:val="-13"/>
        </w:rPr>
        <w:t> </w:t>
      </w:r>
      <w:r>
        <w:rPr>
          <w:color w:val="231F20"/>
          <w:spacing w:val="-2"/>
        </w:rPr>
        <w:t>et</w:t>
      </w:r>
      <w:r>
        <w:rPr>
          <w:color w:val="231F20"/>
          <w:spacing w:val="-10"/>
        </w:rPr>
        <w:t> </w:t>
      </w:r>
      <w:r>
        <w:rPr>
          <w:color w:val="231F20"/>
          <w:spacing w:val="-2"/>
        </w:rPr>
        <w:t>en </w:t>
      </w:r>
      <w:r>
        <w:rPr>
          <w:color w:val="231F20"/>
        </w:rPr>
        <w:t>pays Baoulé de 1893 jusqu’en 1912. Angoulvant </w:t>
      </w:r>
      <w:r>
        <w:rPr>
          <w:color w:val="1F2021"/>
        </w:rPr>
        <w:t>entreprend de </w:t>
      </w:r>
      <w:r>
        <w:rPr>
          <w:color w:val="231F20"/>
        </w:rPr>
        <w:t>1908 </w:t>
      </w:r>
      <w:r>
        <w:rPr>
          <w:color w:val="1F2021"/>
        </w:rPr>
        <w:t>à </w:t>
      </w:r>
      <w:r>
        <w:rPr>
          <w:color w:val="231F20"/>
          <w:spacing w:val="-4"/>
        </w:rPr>
        <w:t>1910</w:t>
      </w:r>
      <w:r>
        <w:rPr>
          <w:color w:val="1F2021"/>
          <w:spacing w:val="-4"/>
        </w:rPr>
        <w:t>,</w:t>
      </w:r>
      <w:r>
        <w:rPr>
          <w:color w:val="1F2021"/>
          <w:spacing w:val="-11"/>
        </w:rPr>
        <w:t> </w:t>
      </w:r>
      <w:r>
        <w:rPr>
          <w:color w:val="1F2021"/>
          <w:spacing w:val="-4"/>
        </w:rPr>
        <w:t>la</w:t>
      </w:r>
      <w:r>
        <w:rPr>
          <w:color w:val="1F2021"/>
          <w:spacing w:val="-9"/>
        </w:rPr>
        <w:t> </w:t>
      </w:r>
      <w:r>
        <w:rPr>
          <w:color w:val="1F2021"/>
          <w:spacing w:val="-4"/>
        </w:rPr>
        <w:t>«</w:t>
      </w:r>
      <w:r>
        <w:rPr>
          <w:color w:val="1F2021"/>
          <w:spacing w:val="-9"/>
        </w:rPr>
        <w:t> </w:t>
      </w:r>
      <w:r>
        <w:rPr>
          <w:color w:val="1F2021"/>
          <w:spacing w:val="-4"/>
        </w:rPr>
        <w:t>pacification</w:t>
      </w:r>
      <w:r>
        <w:rPr>
          <w:color w:val="1F2021"/>
          <w:spacing w:val="-9"/>
        </w:rPr>
        <w:t> </w:t>
      </w:r>
      <w:r>
        <w:rPr>
          <w:color w:val="1F2021"/>
          <w:spacing w:val="-4"/>
        </w:rPr>
        <w:t>sauvage</w:t>
      </w:r>
      <w:r>
        <w:rPr>
          <w:color w:val="1F2021"/>
          <w:spacing w:val="-9"/>
        </w:rPr>
        <w:t> </w:t>
      </w:r>
      <w:r>
        <w:rPr>
          <w:color w:val="1F2021"/>
          <w:spacing w:val="-4"/>
        </w:rPr>
        <w:t>et</w:t>
      </w:r>
      <w:r>
        <w:rPr>
          <w:color w:val="1F2021"/>
          <w:spacing w:val="-9"/>
        </w:rPr>
        <w:t> </w:t>
      </w:r>
      <w:r>
        <w:rPr>
          <w:color w:val="1F2021"/>
          <w:spacing w:val="-4"/>
        </w:rPr>
        <w:t>brutale</w:t>
      </w:r>
      <w:r>
        <w:rPr>
          <w:color w:val="1F2021"/>
          <w:spacing w:val="-9"/>
        </w:rPr>
        <w:t> </w:t>
      </w:r>
      <w:r>
        <w:rPr>
          <w:color w:val="1F2021"/>
          <w:spacing w:val="-4"/>
        </w:rPr>
        <w:t>»</w:t>
      </w:r>
      <w:r>
        <w:rPr>
          <w:color w:val="1F2021"/>
          <w:spacing w:val="-8"/>
        </w:rPr>
        <w:t> </w:t>
      </w:r>
      <w:r>
        <w:rPr>
          <w:color w:val="1F2021"/>
          <w:spacing w:val="-4"/>
        </w:rPr>
        <w:t>du</w:t>
      </w:r>
      <w:r>
        <w:rPr>
          <w:color w:val="1F2021"/>
          <w:spacing w:val="-9"/>
        </w:rPr>
        <w:t> </w:t>
      </w:r>
      <w:r>
        <w:rPr>
          <w:color w:val="1F2021"/>
          <w:spacing w:val="-4"/>
        </w:rPr>
        <w:t>pays</w:t>
      </w:r>
      <w:r>
        <w:rPr>
          <w:color w:val="1F2021"/>
          <w:spacing w:val="-1"/>
        </w:rPr>
        <w:t> </w:t>
      </w:r>
      <w:r>
        <w:rPr>
          <w:color w:val="1F2021"/>
          <w:spacing w:val="-4"/>
        </w:rPr>
        <w:t>:</w:t>
      </w:r>
      <w:r>
        <w:rPr>
          <w:color w:val="1F2021"/>
          <w:spacing w:val="-11"/>
        </w:rPr>
        <w:t> </w:t>
      </w:r>
      <w:r>
        <w:rPr>
          <w:color w:val="1F2021"/>
          <w:spacing w:val="-4"/>
        </w:rPr>
        <w:t>opérations</w:t>
      </w:r>
      <w:r>
        <w:rPr>
          <w:color w:val="1F2021"/>
          <w:spacing w:val="-9"/>
        </w:rPr>
        <w:t> </w:t>
      </w:r>
      <w:r>
        <w:rPr>
          <w:color w:val="1F2021"/>
          <w:spacing w:val="-4"/>
        </w:rPr>
        <w:t>militaires, </w:t>
      </w:r>
      <w:r>
        <w:rPr>
          <w:color w:val="1F2021"/>
          <w:spacing w:val="-2"/>
        </w:rPr>
        <w:t>internements</w:t>
      </w:r>
      <w:r>
        <w:rPr>
          <w:color w:val="1F2021"/>
          <w:spacing w:val="-12"/>
        </w:rPr>
        <w:t> </w:t>
      </w:r>
      <w:r>
        <w:rPr>
          <w:color w:val="1F2021"/>
          <w:spacing w:val="-2"/>
        </w:rPr>
        <w:t>de</w:t>
      </w:r>
      <w:r>
        <w:rPr>
          <w:color w:val="1F2021"/>
          <w:spacing w:val="-11"/>
        </w:rPr>
        <w:t> </w:t>
      </w:r>
      <w:r>
        <w:rPr>
          <w:color w:val="1F2021"/>
          <w:spacing w:val="-2"/>
        </w:rPr>
        <w:t>femmes,</w:t>
      </w:r>
      <w:r>
        <w:rPr>
          <w:color w:val="1F2021"/>
          <w:spacing w:val="-13"/>
        </w:rPr>
        <w:t> </w:t>
      </w:r>
      <w:r>
        <w:rPr>
          <w:color w:val="1F2021"/>
          <w:spacing w:val="-2"/>
        </w:rPr>
        <w:t>d’enfants</w:t>
      </w:r>
      <w:r>
        <w:rPr>
          <w:color w:val="1F2021"/>
          <w:spacing w:val="-11"/>
        </w:rPr>
        <w:t> </w:t>
      </w:r>
      <w:r>
        <w:rPr>
          <w:color w:val="1F2021"/>
          <w:spacing w:val="-2"/>
        </w:rPr>
        <w:t>et</w:t>
      </w:r>
      <w:r>
        <w:rPr>
          <w:color w:val="1F2021"/>
          <w:spacing w:val="-13"/>
        </w:rPr>
        <w:t> </w:t>
      </w:r>
      <w:r>
        <w:rPr>
          <w:color w:val="1F2021"/>
          <w:spacing w:val="-2"/>
        </w:rPr>
        <w:t>de</w:t>
      </w:r>
      <w:r>
        <w:rPr>
          <w:color w:val="1F2021"/>
          <w:spacing w:val="-11"/>
        </w:rPr>
        <w:t> </w:t>
      </w:r>
      <w:r>
        <w:rPr>
          <w:color w:val="1F2021"/>
          <w:spacing w:val="-2"/>
        </w:rPr>
        <w:t>chefs</w:t>
      </w:r>
      <w:r>
        <w:rPr>
          <w:color w:val="1F2021"/>
          <w:spacing w:val="-10"/>
        </w:rPr>
        <w:t> </w:t>
      </w:r>
      <w:r>
        <w:rPr>
          <w:color w:val="1F2021"/>
          <w:spacing w:val="-2"/>
        </w:rPr>
        <w:t>de</w:t>
      </w:r>
      <w:r>
        <w:rPr>
          <w:color w:val="1F2021"/>
          <w:spacing w:val="-10"/>
        </w:rPr>
        <w:t> </w:t>
      </w:r>
      <w:r>
        <w:rPr>
          <w:color w:val="1F2021"/>
          <w:spacing w:val="-2"/>
        </w:rPr>
        <w:t>village,</w:t>
      </w:r>
      <w:r>
        <w:rPr>
          <w:color w:val="1F2021"/>
          <w:spacing w:val="-10"/>
        </w:rPr>
        <w:t> </w:t>
      </w:r>
      <w:r>
        <w:rPr>
          <w:color w:val="1F2021"/>
          <w:spacing w:val="-2"/>
        </w:rPr>
        <w:t>fortes</w:t>
      </w:r>
      <w:r>
        <w:rPr>
          <w:color w:val="1F2021"/>
          <w:spacing w:val="-11"/>
        </w:rPr>
        <w:t> </w:t>
      </w:r>
      <w:r>
        <w:rPr>
          <w:color w:val="1F2021"/>
          <w:spacing w:val="-2"/>
        </w:rPr>
        <w:t>amendes </w:t>
      </w:r>
      <w:r>
        <w:rPr>
          <w:color w:val="1F2021"/>
        </w:rPr>
        <w:t>de guerre, regroupement forcé des villages …</w:t>
      </w:r>
    </w:p>
    <w:p>
      <w:pPr>
        <w:pStyle w:val="BodyText"/>
        <w:spacing w:before="121"/>
        <w:ind w:right="104" w:firstLine="283"/>
      </w:pPr>
      <w:r>
        <w:rPr>
          <w:color w:val="231F20"/>
        </w:rPr>
        <w:t>Finalement, tous les territoires obtenus par la France au congrès de Berlin sont conquis.</w:t>
      </w:r>
    </w:p>
    <w:p>
      <w:pPr>
        <w:pStyle w:val="BodyText"/>
        <w:ind w:left="0"/>
        <w:jc w:val="left"/>
        <w:rPr>
          <w:sz w:val="20"/>
        </w:rPr>
      </w:pPr>
    </w:p>
    <w:p>
      <w:pPr>
        <w:pStyle w:val="BodyText"/>
        <w:spacing w:before="146"/>
        <w:ind w:left="0"/>
        <w:jc w:val="left"/>
        <w:rPr>
          <w:sz w:val="20"/>
        </w:rPr>
      </w:pPr>
      <w:r>
        <w:rPr/>
        <mc:AlternateContent>
          <mc:Choice Requires="wps">
            <w:drawing>
              <wp:anchor distT="0" distB="0" distL="0" distR="0" allowOverlap="1" layoutInCell="1" locked="0" behindDoc="1" simplePos="0" relativeHeight="487596032">
                <wp:simplePos x="0" y="0"/>
                <wp:positionH relativeFrom="page">
                  <wp:posOffset>629907</wp:posOffset>
                </wp:positionH>
                <wp:positionV relativeFrom="paragraph">
                  <wp:posOffset>254201</wp:posOffset>
                </wp:positionV>
                <wp:extent cx="1829435" cy="9525"/>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015881pt;width:144.020pt;height:.71994pt;mso-position-horizontal-relative:page;mso-position-vertical-relative:paragraph;z-index:-15720448;mso-wrap-distance-left:0;mso-wrap-distance-right:0" id="docshape27" filled="true" fillcolor="#231f20" stroked="false">
                <v:fill type="solid"/>
                <w10:wrap type="topAndBottom"/>
              </v:rect>
            </w:pict>
          </mc:Fallback>
        </mc:AlternateContent>
      </w:r>
    </w:p>
    <w:p>
      <w:pPr>
        <w:spacing w:before="91"/>
        <w:ind w:left="111" w:right="105" w:firstLine="0"/>
        <w:jc w:val="both"/>
        <w:rPr>
          <w:sz w:val="20"/>
        </w:rPr>
      </w:pPr>
      <w:r>
        <w:rPr>
          <w:color w:val="76787A"/>
          <w:spacing w:val="-2"/>
          <w:sz w:val="20"/>
          <w:vertAlign w:val="superscript"/>
        </w:rPr>
        <w:t>27</w:t>
      </w:r>
      <w:r>
        <w:rPr>
          <w:color w:val="76787A"/>
          <w:spacing w:val="-6"/>
          <w:sz w:val="20"/>
          <w:vertAlign w:val="baseline"/>
        </w:rPr>
        <w:t> </w:t>
      </w:r>
      <w:r>
        <w:rPr>
          <w:color w:val="231F20"/>
          <w:spacing w:val="-2"/>
          <w:sz w:val="20"/>
          <w:vertAlign w:val="baseline"/>
        </w:rPr>
        <w:t>Passage</w:t>
      </w:r>
      <w:r>
        <w:rPr>
          <w:color w:val="231F20"/>
          <w:spacing w:val="-6"/>
          <w:sz w:val="20"/>
          <w:vertAlign w:val="baseline"/>
        </w:rPr>
        <w:t> </w:t>
      </w:r>
      <w:r>
        <w:rPr>
          <w:color w:val="231F20"/>
          <w:spacing w:val="-2"/>
          <w:sz w:val="20"/>
          <w:vertAlign w:val="baseline"/>
        </w:rPr>
        <w:t>navigable,</w:t>
      </w:r>
      <w:r>
        <w:rPr>
          <w:color w:val="231F20"/>
          <w:spacing w:val="-6"/>
          <w:sz w:val="20"/>
          <w:vertAlign w:val="baseline"/>
        </w:rPr>
        <w:t> </w:t>
      </w:r>
      <w:r>
        <w:rPr>
          <w:color w:val="231F20"/>
          <w:spacing w:val="-2"/>
          <w:sz w:val="20"/>
          <w:vertAlign w:val="baseline"/>
        </w:rPr>
        <w:t>resserré</w:t>
      </w:r>
      <w:r>
        <w:rPr>
          <w:color w:val="231F20"/>
          <w:spacing w:val="-6"/>
          <w:sz w:val="20"/>
          <w:vertAlign w:val="baseline"/>
        </w:rPr>
        <w:t> </w:t>
      </w:r>
      <w:r>
        <w:rPr>
          <w:color w:val="231F20"/>
          <w:spacing w:val="-2"/>
          <w:sz w:val="20"/>
          <w:vertAlign w:val="baseline"/>
        </w:rPr>
        <w:t>entre</w:t>
      </w:r>
      <w:r>
        <w:rPr>
          <w:color w:val="231F20"/>
          <w:spacing w:val="-6"/>
          <w:sz w:val="20"/>
          <w:vertAlign w:val="baseline"/>
        </w:rPr>
        <w:t> </w:t>
      </w:r>
      <w:r>
        <w:rPr>
          <w:color w:val="231F20"/>
          <w:spacing w:val="-2"/>
          <w:sz w:val="20"/>
          <w:vertAlign w:val="baseline"/>
        </w:rPr>
        <w:t>des</w:t>
      </w:r>
      <w:r>
        <w:rPr>
          <w:color w:val="231F20"/>
          <w:spacing w:val="-5"/>
          <w:sz w:val="20"/>
          <w:vertAlign w:val="baseline"/>
        </w:rPr>
        <w:t> </w:t>
      </w:r>
      <w:r>
        <w:rPr>
          <w:color w:val="231F20"/>
          <w:spacing w:val="-2"/>
          <w:sz w:val="20"/>
          <w:vertAlign w:val="baseline"/>
        </w:rPr>
        <w:t>terres</w:t>
      </w:r>
      <w:r>
        <w:rPr>
          <w:color w:val="231F20"/>
          <w:spacing w:val="-8"/>
          <w:sz w:val="20"/>
          <w:vertAlign w:val="baseline"/>
        </w:rPr>
        <w:t> </w:t>
      </w:r>
      <w:r>
        <w:rPr>
          <w:color w:val="231F20"/>
          <w:spacing w:val="-2"/>
          <w:sz w:val="20"/>
          <w:vertAlign w:val="baseline"/>
        </w:rPr>
        <w:t>ou</w:t>
      </w:r>
      <w:r>
        <w:rPr>
          <w:color w:val="231F20"/>
          <w:spacing w:val="-3"/>
          <w:sz w:val="20"/>
          <w:vertAlign w:val="baseline"/>
        </w:rPr>
        <w:t> </w:t>
      </w:r>
      <w:r>
        <w:rPr>
          <w:color w:val="231F20"/>
          <w:spacing w:val="-2"/>
          <w:sz w:val="20"/>
          <w:vertAlign w:val="baseline"/>
        </w:rPr>
        <w:t>des</w:t>
      </w:r>
      <w:r>
        <w:rPr>
          <w:color w:val="231F20"/>
          <w:spacing w:val="-5"/>
          <w:sz w:val="20"/>
          <w:vertAlign w:val="baseline"/>
        </w:rPr>
        <w:t> </w:t>
      </w:r>
      <w:r>
        <w:rPr>
          <w:color w:val="231F20"/>
          <w:spacing w:val="-2"/>
          <w:sz w:val="20"/>
          <w:vertAlign w:val="baseline"/>
        </w:rPr>
        <w:t>hauts</w:t>
      </w:r>
      <w:r>
        <w:rPr>
          <w:color w:val="231F20"/>
          <w:spacing w:val="-8"/>
          <w:sz w:val="20"/>
          <w:vertAlign w:val="baseline"/>
        </w:rPr>
        <w:t> </w:t>
      </w:r>
      <w:r>
        <w:rPr>
          <w:color w:val="231F20"/>
          <w:spacing w:val="-2"/>
          <w:sz w:val="20"/>
          <w:vertAlign w:val="baseline"/>
        </w:rPr>
        <w:t>fonds</w:t>
      </w:r>
      <w:r>
        <w:rPr>
          <w:color w:val="231F20"/>
          <w:spacing w:val="-8"/>
          <w:sz w:val="20"/>
          <w:vertAlign w:val="baseline"/>
        </w:rPr>
        <w:t> </w:t>
      </w:r>
      <w:r>
        <w:rPr>
          <w:color w:val="231F20"/>
          <w:spacing w:val="-2"/>
          <w:sz w:val="20"/>
          <w:vertAlign w:val="baseline"/>
        </w:rPr>
        <w:t>(Larousse)</w:t>
      </w:r>
      <w:r>
        <w:rPr>
          <w:color w:val="231F20"/>
          <w:spacing w:val="-6"/>
          <w:sz w:val="20"/>
          <w:vertAlign w:val="baseline"/>
        </w:rPr>
        <w:t> </w:t>
      </w:r>
      <w:r>
        <w:rPr>
          <w:color w:val="231F20"/>
          <w:spacing w:val="-2"/>
          <w:sz w:val="20"/>
          <w:vertAlign w:val="baseline"/>
        </w:rPr>
        <w:t>.</w:t>
      </w:r>
      <w:r>
        <w:rPr>
          <w:color w:val="231F20"/>
          <w:spacing w:val="-6"/>
          <w:sz w:val="20"/>
          <w:vertAlign w:val="baseline"/>
        </w:rPr>
        <w:t> </w:t>
      </w:r>
      <w:r>
        <w:rPr>
          <w:color w:val="231F20"/>
          <w:spacing w:val="-2"/>
          <w:sz w:val="20"/>
          <w:vertAlign w:val="baseline"/>
        </w:rPr>
        <w:t>Le</w:t>
      </w:r>
      <w:r>
        <w:rPr>
          <w:color w:val="231F20"/>
          <w:spacing w:val="-3"/>
          <w:sz w:val="20"/>
          <w:vertAlign w:val="baseline"/>
        </w:rPr>
        <w:t> </w:t>
      </w:r>
      <w:r>
        <w:rPr>
          <w:color w:val="231F20"/>
          <w:spacing w:val="-2"/>
          <w:sz w:val="20"/>
          <w:vertAlign w:val="baseline"/>
        </w:rPr>
        <w:t>chenal </w:t>
      </w:r>
      <w:r>
        <w:rPr>
          <w:color w:val="231F20"/>
          <w:spacing w:val="-4"/>
          <w:sz w:val="20"/>
          <w:vertAlign w:val="baseline"/>
        </w:rPr>
        <w:t>de Cotonou est</w:t>
      </w:r>
      <w:r>
        <w:rPr>
          <w:color w:val="231F20"/>
          <w:spacing w:val="-7"/>
          <w:sz w:val="20"/>
          <w:vertAlign w:val="baseline"/>
        </w:rPr>
        <w:t> </w:t>
      </w:r>
      <w:r>
        <w:rPr>
          <w:color w:val="231F20"/>
          <w:spacing w:val="-4"/>
          <w:sz w:val="20"/>
          <w:vertAlign w:val="baseline"/>
        </w:rPr>
        <w:t>un</w:t>
      </w:r>
      <w:r>
        <w:rPr>
          <w:color w:val="231F20"/>
          <w:spacing w:val="-6"/>
          <w:sz w:val="20"/>
          <w:vertAlign w:val="baseline"/>
        </w:rPr>
        <w:t> </w:t>
      </w:r>
      <w:r>
        <w:rPr>
          <w:color w:val="231F20"/>
          <w:spacing w:val="-4"/>
          <w:sz w:val="20"/>
          <w:vertAlign w:val="baseline"/>
        </w:rPr>
        <w:t>plan d’eau</w:t>
      </w:r>
      <w:r>
        <w:rPr>
          <w:color w:val="231F20"/>
          <w:spacing w:val="-6"/>
          <w:sz w:val="20"/>
          <w:vertAlign w:val="baseline"/>
        </w:rPr>
        <w:t> </w:t>
      </w:r>
      <w:r>
        <w:rPr>
          <w:color w:val="231F20"/>
          <w:spacing w:val="-4"/>
          <w:sz w:val="20"/>
          <w:vertAlign w:val="baseline"/>
        </w:rPr>
        <w:t>qui relie le</w:t>
      </w:r>
      <w:r>
        <w:rPr>
          <w:color w:val="231F20"/>
          <w:spacing w:val="-7"/>
          <w:sz w:val="20"/>
          <w:vertAlign w:val="baseline"/>
        </w:rPr>
        <w:t> </w:t>
      </w:r>
      <w:r>
        <w:rPr>
          <w:color w:val="231F20"/>
          <w:spacing w:val="-4"/>
          <w:sz w:val="20"/>
          <w:vertAlign w:val="baseline"/>
        </w:rPr>
        <w:t>lac Nokoué,</w:t>
      </w:r>
      <w:r>
        <w:rPr>
          <w:color w:val="231F20"/>
          <w:spacing w:val="-6"/>
          <w:sz w:val="20"/>
          <w:vertAlign w:val="baseline"/>
        </w:rPr>
        <w:t> </w:t>
      </w:r>
      <w:r>
        <w:rPr>
          <w:color w:val="231F20"/>
          <w:spacing w:val="-4"/>
          <w:sz w:val="20"/>
          <w:vertAlign w:val="baseline"/>
        </w:rPr>
        <w:t>le</w:t>
      </w:r>
      <w:r>
        <w:rPr>
          <w:color w:val="231F20"/>
          <w:spacing w:val="-7"/>
          <w:sz w:val="20"/>
          <w:vertAlign w:val="baseline"/>
        </w:rPr>
        <w:t> </w:t>
      </w:r>
      <w:r>
        <w:rPr>
          <w:color w:val="231F20"/>
          <w:spacing w:val="-4"/>
          <w:sz w:val="20"/>
          <w:vertAlign w:val="baseline"/>
        </w:rPr>
        <w:t>plus</w:t>
      </w:r>
      <w:r>
        <w:rPr>
          <w:color w:val="231F20"/>
          <w:spacing w:val="-8"/>
          <w:sz w:val="20"/>
          <w:vertAlign w:val="baseline"/>
        </w:rPr>
        <w:t> </w:t>
      </w:r>
      <w:r>
        <w:rPr>
          <w:color w:val="231F20"/>
          <w:spacing w:val="-4"/>
          <w:sz w:val="20"/>
          <w:vertAlign w:val="baseline"/>
        </w:rPr>
        <w:t>grand</w:t>
      </w:r>
      <w:r>
        <w:rPr>
          <w:color w:val="231F20"/>
          <w:spacing w:val="-6"/>
          <w:sz w:val="20"/>
          <w:vertAlign w:val="baseline"/>
        </w:rPr>
        <w:t> </w:t>
      </w:r>
      <w:r>
        <w:rPr>
          <w:color w:val="231F20"/>
          <w:spacing w:val="-4"/>
          <w:sz w:val="20"/>
          <w:vertAlign w:val="baseline"/>
        </w:rPr>
        <w:t>et le</w:t>
      </w:r>
      <w:r>
        <w:rPr>
          <w:color w:val="231F20"/>
          <w:spacing w:val="-6"/>
          <w:sz w:val="20"/>
          <w:vertAlign w:val="baseline"/>
        </w:rPr>
        <w:t> </w:t>
      </w:r>
      <w:r>
        <w:rPr>
          <w:color w:val="231F20"/>
          <w:spacing w:val="-4"/>
          <w:sz w:val="20"/>
          <w:vertAlign w:val="baseline"/>
        </w:rPr>
        <w:t>plus</w:t>
      </w:r>
      <w:r>
        <w:rPr>
          <w:color w:val="231F20"/>
          <w:spacing w:val="-6"/>
          <w:sz w:val="20"/>
          <w:vertAlign w:val="baseline"/>
        </w:rPr>
        <w:t> </w:t>
      </w:r>
      <w:r>
        <w:rPr>
          <w:color w:val="231F20"/>
          <w:spacing w:val="-4"/>
          <w:sz w:val="20"/>
          <w:vertAlign w:val="baseline"/>
        </w:rPr>
        <w:t>productif</w:t>
      </w:r>
      <w:r>
        <w:rPr>
          <w:color w:val="231F20"/>
          <w:spacing w:val="-6"/>
          <w:sz w:val="20"/>
          <w:vertAlign w:val="baseline"/>
        </w:rPr>
        <w:t> </w:t>
      </w:r>
      <w:r>
        <w:rPr>
          <w:color w:val="231F20"/>
          <w:spacing w:val="-4"/>
          <w:sz w:val="20"/>
          <w:vertAlign w:val="baseline"/>
        </w:rPr>
        <w:t>du </w:t>
      </w:r>
      <w:r>
        <w:rPr>
          <w:color w:val="231F20"/>
          <w:sz w:val="20"/>
          <w:vertAlign w:val="baseline"/>
        </w:rPr>
        <w:t>Bénin</w:t>
      </w:r>
      <w:r>
        <w:rPr>
          <w:color w:val="231F20"/>
          <w:spacing w:val="-5"/>
          <w:sz w:val="20"/>
          <w:vertAlign w:val="baseline"/>
        </w:rPr>
        <w:t> </w:t>
      </w:r>
      <w:r>
        <w:rPr>
          <w:color w:val="231F20"/>
          <w:sz w:val="20"/>
          <w:vertAlign w:val="baseline"/>
        </w:rPr>
        <w:t>(15</w:t>
      </w:r>
      <w:r>
        <w:rPr>
          <w:color w:val="231F20"/>
          <w:spacing w:val="-5"/>
          <w:sz w:val="20"/>
          <w:vertAlign w:val="baseline"/>
        </w:rPr>
        <w:t> </w:t>
      </w:r>
      <w:r>
        <w:rPr>
          <w:color w:val="231F20"/>
          <w:sz w:val="20"/>
          <w:vertAlign w:val="baseline"/>
        </w:rPr>
        <w:t>000</w:t>
      </w:r>
      <w:r>
        <w:rPr>
          <w:color w:val="231F20"/>
          <w:spacing w:val="-5"/>
          <w:sz w:val="20"/>
          <w:vertAlign w:val="baseline"/>
        </w:rPr>
        <w:t> </w:t>
      </w:r>
      <w:r>
        <w:rPr>
          <w:color w:val="231F20"/>
          <w:sz w:val="20"/>
          <w:vertAlign w:val="baseline"/>
        </w:rPr>
        <w:t>ha),</w:t>
      </w:r>
      <w:r>
        <w:rPr>
          <w:color w:val="231F20"/>
          <w:spacing w:val="-3"/>
          <w:sz w:val="20"/>
          <w:vertAlign w:val="baseline"/>
        </w:rPr>
        <w:t> </w:t>
      </w:r>
      <w:r>
        <w:rPr>
          <w:color w:val="231F20"/>
          <w:sz w:val="20"/>
          <w:vertAlign w:val="baseline"/>
        </w:rPr>
        <w:t>à</w:t>
      </w:r>
      <w:r>
        <w:rPr>
          <w:color w:val="231F20"/>
          <w:spacing w:val="-6"/>
          <w:sz w:val="20"/>
          <w:vertAlign w:val="baseline"/>
        </w:rPr>
        <w:t> </w:t>
      </w:r>
      <w:r>
        <w:rPr>
          <w:color w:val="231F20"/>
          <w:sz w:val="20"/>
          <w:vertAlign w:val="baseline"/>
        </w:rPr>
        <w:t>l’océan</w:t>
      </w:r>
      <w:r>
        <w:rPr>
          <w:color w:val="231F20"/>
          <w:spacing w:val="-5"/>
          <w:sz w:val="20"/>
          <w:vertAlign w:val="baseline"/>
        </w:rPr>
        <w:t> </w:t>
      </w:r>
      <w:r>
        <w:rPr>
          <w:color w:val="231F20"/>
          <w:sz w:val="20"/>
          <w:vertAlign w:val="baseline"/>
        </w:rPr>
        <w:t>Atlantique,</w:t>
      </w:r>
      <w:r>
        <w:rPr>
          <w:color w:val="231F20"/>
          <w:spacing w:val="-5"/>
          <w:sz w:val="20"/>
          <w:vertAlign w:val="baseline"/>
        </w:rPr>
        <w:t> </w:t>
      </w:r>
      <w:r>
        <w:rPr>
          <w:color w:val="231F20"/>
          <w:sz w:val="20"/>
          <w:vertAlign w:val="baseline"/>
        </w:rPr>
        <w:t>frontière</w:t>
      </w:r>
      <w:r>
        <w:rPr>
          <w:color w:val="231F20"/>
          <w:spacing w:val="-3"/>
          <w:sz w:val="20"/>
          <w:vertAlign w:val="baseline"/>
        </w:rPr>
        <w:t> </w:t>
      </w:r>
      <w:r>
        <w:rPr>
          <w:color w:val="231F20"/>
          <w:sz w:val="20"/>
          <w:vertAlign w:val="baseline"/>
        </w:rPr>
        <w:t>Sud</w:t>
      </w:r>
      <w:r>
        <w:rPr>
          <w:color w:val="231F20"/>
          <w:spacing w:val="-5"/>
          <w:sz w:val="20"/>
          <w:vertAlign w:val="baseline"/>
        </w:rPr>
        <w:t> </w:t>
      </w:r>
      <w:r>
        <w:rPr>
          <w:color w:val="231F20"/>
          <w:sz w:val="20"/>
          <w:vertAlign w:val="baseline"/>
        </w:rPr>
        <w:t>du</w:t>
      </w:r>
      <w:r>
        <w:rPr>
          <w:color w:val="231F20"/>
          <w:spacing w:val="-5"/>
          <w:sz w:val="20"/>
          <w:vertAlign w:val="baseline"/>
        </w:rPr>
        <w:t> </w:t>
      </w:r>
      <w:r>
        <w:rPr>
          <w:color w:val="231F20"/>
          <w:sz w:val="20"/>
          <w:vertAlign w:val="baseline"/>
        </w:rPr>
        <w:t>pays.</w:t>
      </w:r>
    </w:p>
    <w:p>
      <w:pPr>
        <w:spacing w:after="0"/>
        <w:jc w:val="both"/>
        <w:rPr>
          <w:sz w:val="20"/>
        </w:rPr>
        <w:sectPr>
          <w:pgSz w:w="8790" w:h="13610"/>
          <w:pgMar w:header="0" w:footer="802" w:top="1040" w:bottom="1000" w:left="880" w:right="880"/>
        </w:sectPr>
      </w:pPr>
    </w:p>
    <w:p>
      <w:pPr>
        <w:pStyle w:val="BodyText"/>
        <w:spacing w:before="66"/>
        <w:ind w:right="105" w:firstLine="283"/>
      </w:pPr>
      <w:r>
        <w:rPr>
          <w:color w:val="231F20"/>
        </w:rPr>
        <w:t>Des</w:t>
      </w:r>
      <w:r>
        <w:rPr>
          <w:color w:val="231F20"/>
          <w:spacing w:val="-12"/>
        </w:rPr>
        <w:t> </w:t>
      </w:r>
      <w:r>
        <w:rPr>
          <w:color w:val="231F20"/>
        </w:rPr>
        <w:t>raisons</w:t>
      </w:r>
      <w:r>
        <w:rPr>
          <w:color w:val="231F20"/>
          <w:spacing w:val="-8"/>
        </w:rPr>
        <w:t> </w:t>
      </w:r>
      <w:r>
        <w:rPr>
          <w:color w:val="231F20"/>
        </w:rPr>
        <w:t>expliquent</w:t>
      </w:r>
      <w:r>
        <w:rPr>
          <w:color w:val="231F20"/>
          <w:spacing w:val="-7"/>
        </w:rPr>
        <w:t> </w:t>
      </w:r>
      <w:r>
        <w:rPr>
          <w:color w:val="231F20"/>
        </w:rPr>
        <w:t>l'échec</w:t>
      </w:r>
      <w:r>
        <w:rPr>
          <w:color w:val="231F20"/>
          <w:spacing w:val="-8"/>
        </w:rPr>
        <w:t> </w:t>
      </w:r>
      <w:r>
        <w:rPr>
          <w:color w:val="231F20"/>
        </w:rPr>
        <w:t>des</w:t>
      </w:r>
      <w:r>
        <w:rPr>
          <w:color w:val="231F20"/>
          <w:spacing w:val="-8"/>
        </w:rPr>
        <w:t> </w:t>
      </w:r>
      <w:r>
        <w:rPr>
          <w:color w:val="231F20"/>
        </w:rPr>
        <w:t>résistances</w:t>
      </w:r>
      <w:r>
        <w:rPr>
          <w:color w:val="231F20"/>
          <w:spacing w:val="-8"/>
        </w:rPr>
        <w:t> </w:t>
      </w:r>
      <w:r>
        <w:rPr>
          <w:color w:val="231F20"/>
        </w:rPr>
        <w:t>armées</w:t>
      </w:r>
      <w:r>
        <w:rPr>
          <w:color w:val="231F20"/>
          <w:spacing w:val="-15"/>
        </w:rPr>
        <w:t> </w:t>
      </w:r>
      <w:r>
        <w:rPr>
          <w:color w:val="231F20"/>
        </w:rPr>
        <w:t>:</w:t>
      </w:r>
      <w:r>
        <w:rPr>
          <w:color w:val="231F20"/>
          <w:spacing w:val="-7"/>
        </w:rPr>
        <w:t> </w:t>
      </w:r>
      <w:r>
        <w:rPr>
          <w:color w:val="231F20"/>
        </w:rPr>
        <w:t>la</w:t>
      </w:r>
      <w:r>
        <w:rPr>
          <w:color w:val="231F20"/>
          <w:spacing w:val="-8"/>
        </w:rPr>
        <w:t> </w:t>
      </w:r>
      <w:r>
        <w:rPr>
          <w:color w:val="231F20"/>
        </w:rPr>
        <w:t>supériorité </w:t>
      </w:r>
      <w:r>
        <w:rPr>
          <w:color w:val="231F20"/>
          <w:spacing w:val="-2"/>
        </w:rPr>
        <w:t>de</w:t>
      </w:r>
      <w:r>
        <w:rPr>
          <w:color w:val="231F20"/>
          <w:spacing w:val="-8"/>
        </w:rPr>
        <w:t> </w:t>
      </w:r>
      <w:r>
        <w:rPr>
          <w:color w:val="231F20"/>
          <w:spacing w:val="-2"/>
        </w:rPr>
        <w:t>l'armement</w:t>
      </w:r>
      <w:r>
        <w:rPr>
          <w:color w:val="231F20"/>
          <w:spacing w:val="-7"/>
        </w:rPr>
        <w:t> </w:t>
      </w:r>
      <w:r>
        <w:rPr>
          <w:color w:val="231F20"/>
          <w:spacing w:val="-2"/>
        </w:rPr>
        <w:t>français</w:t>
      </w:r>
      <w:r>
        <w:rPr>
          <w:color w:val="231F20"/>
          <w:spacing w:val="-7"/>
        </w:rPr>
        <w:t> </w:t>
      </w:r>
      <w:r>
        <w:rPr>
          <w:color w:val="231F20"/>
          <w:spacing w:val="-2"/>
        </w:rPr>
        <w:t>(fusils</w:t>
      </w:r>
      <w:r>
        <w:rPr>
          <w:color w:val="231F20"/>
          <w:spacing w:val="-7"/>
        </w:rPr>
        <w:t> </w:t>
      </w:r>
      <w:r>
        <w:rPr>
          <w:color w:val="231F20"/>
          <w:spacing w:val="-2"/>
        </w:rPr>
        <w:t>à</w:t>
      </w:r>
      <w:r>
        <w:rPr>
          <w:color w:val="231F20"/>
          <w:spacing w:val="-11"/>
        </w:rPr>
        <w:t> </w:t>
      </w:r>
      <w:r>
        <w:rPr>
          <w:color w:val="231F20"/>
          <w:spacing w:val="-2"/>
        </w:rPr>
        <w:t>répétition,</w:t>
      </w:r>
      <w:r>
        <w:rPr>
          <w:color w:val="231F20"/>
          <w:spacing w:val="-10"/>
        </w:rPr>
        <w:t> </w:t>
      </w:r>
      <w:r>
        <w:rPr>
          <w:color w:val="231F20"/>
          <w:spacing w:val="-2"/>
        </w:rPr>
        <w:t>contre</w:t>
      </w:r>
      <w:r>
        <w:rPr>
          <w:color w:val="231F20"/>
          <w:spacing w:val="-8"/>
        </w:rPr>
        <w:t> </w:t>
      </w:r>
      <w:r>
        <w:rPr>
          <w:color w:val="231F20"/>
          <w:spacing w:val="-2"/>
        </w:rPr>
        <w:t>fusils</w:t>
      </w:r>
      <w:r>
        <w:rPr>
          <w:color w:val="231F20"/>
          <w:spacing w:val="-8"/>
        </w:rPr>
        <w:t> </w:t>
      </w:r>
      <w:r>
        <w:rPr>
          <w:color w:val="231F20"/>
          <w:spacing w:val="-2"/>
        </w:rPr>
        <w:t>à</w:t>
      </w:r>
      <w:r>
        <w:rPr>
          <w:color w:val="231F20"/>
          <w:spacing w:val="-11"/>
        </w:rPr>
        <w:t> </w:t>
      </w:r>
      <w:r>
        <w:rPr>
          <w:color w:val="231F20"/>
          <w:spacing w:val="-2"/>
        </w:rPr>
        <w:t>silex,</w:t>
      </w:r>
      <w:r>
        <w:rPr>
          <w:color w:val="231F20"/>
          <w:spacing w:val="-10"/>
        </w:rPr>
        <w:t> </w:t>
      </w:r>
      <w:r>
        <w:rPr>
          <w:color w:val="231F20"/>
          <w:spacing w:val="-2"/>
        </w:rPr>
        <w:t>flèches</w:t>
      </w:r>
      <w:r>
        <w:rPr>
          <w:color w:val="231F20"/>
          <w:spacing w:val="-7"/>
        </w:rPr>
        <w:t> </w:t>
      </w:r>
      <w:r>
        <w:rPr>
          <w:color w:val="231F20"/>
          <w:spacing w:val="-2"/>
        </w:rPr>
        <w:t>et </w:t>
      </w:r>
      <w:r>
        <w:rPr>
          <w:color w:val="231F20"/>
        </w:rPr>
        <w:t>sagaies</w:t>
      </w:r>
      <w:r>
        <w:rPr>
          <w:color w:val="231F20"/>
          <w:spacing w:val="-15"/>
        </w:rPr>
        <w:t> </w:t>
      </w:r>
      <w:r>
        <w:rPr>
          <w:color w:val="231F20"/>
        </w:rPr>
        <w:t>; le manque d'encadrement et l'indiscipline tactique des populations ; les rivalités entre chefs de guerre et les inimitiés souvent anciennes entre populations voisines et, malheureusement, la collaboration avec les Français de certains groupes dans une même </w:t>
      </w:r>
      <w:r>
        <w:rPr>
          <w:color w:val="231F20"/>
          <w:spacing w:val="-2"/>
        </w:rPr>
        <w:t>région.</w:t>
      </w:r>
    </w:p>
    <w:p>
      <w:pPr>
        <w:pStyle w:val="BodyText"/>
        <w:spacing w:before="120"/>
        <w:ind w:right="106" w:firstLine="283"/>
      </w:pPr>
      <w:r>
        <w:rPr>
          <w:color w:val="231F20"/>
          <w:spacing w:val="-4"/>
        </w:rPr>
        <w:t>Avec</w:t>
      </w:r>
      <w:r>
        <w:rPr>
          <w:color w:val="231F20"/>
          <w:spacing w:val="-11"/>
        </w:rPr>
        <w:t> </w:t>
      </w:r>
      <w:r>
        <w:rPr>
          <w:color w:val="231F20"/>
          <w:spacing w:val="-4"/>
        </w:rPr>
        <w:t>la</w:t>
      </w:r>
      <w:r>
        <w:rPr>
          <w:color w:val="231F20"/>
          <w:spacing w:val="-11"/>
        </w:rPr>
        <w:t> </w:t>
      </w:r>
      <w:r>
        <w:rPr>
          <w:color w:val="231F20"/>
          <w:spacing w:val="-4"/>
        </w:rPr>
        <w:t>défaite,</w:t>
      </w:r>
      <w:r>
        <w:rPr>
          <w:color w:val="231F20"/>
          <w:spacing w:val="-11"/>
        </w:rPr>
        <w:t> </w:t>
      </w:r>
      <w:r>
        <w:rPr>
          <w:color w:val="231F20"/>
          <w:spacing w:val="-4"/>
        </w:rPr>
        <w:t>les</w:t>
      </w:r>
      <w:r>
        <w:rPr>
          <w:color w:val="231F20"/>
          <w:spacing w:val="-11"/>
        </w:rPr>
        <w:t> </w:t>
      </w:r>
      <w:r>
        <w:rPr>
          <w:color w:val="231F20"/>
          <w:spacing w:val="-4"/>
        </w:rPr>
        <w:t>populations</w:t>
      </w:r>
      <w:r>
        <w:rPr>
          <w:color w:val="231F20"/>
          <w:spacing w:val="-11"/>
        </w:rPr>
        <w:t> </w:t>
      </w:r>
      <w:r>
        <w:rPr>
          <w:color w:val="231F20"/>
          <w:spacing w:val="-4"/>
        </w:rPr>
        <w:t>perdent</w:t>
      </w:r>
      <w:r>
        <w:rPr>
          <w:color w:val="231F20"/>
          <w:spacing w:val="-11"/>
        </w:rPr>
        <w:t> </w:t>
      </w:r>
      <w:r>
        <w:rPr>
          <w:color w:val="231F20"/>
          <w:spacing w:val="-4"/>
        </w:rPr>
        <w:t>leur</w:t>
      </w:r>
      <w:r>
        <w:rPr>
          <w:color w:val="231F20"/>
          <w:spacing w:val="-11"/>
        </w:rPr>
        <w:t> </w:t>
      </w:r>
      <w:r>
        <w:rPr>
          <w:color w:val="231F20"/>
          <w:spacing w:val="-4"/>
        </w:rPr>
        <w:t>indépendance.</w:t>
      </w:r>
      <w:r>
        <w:rPr>
          <w:color w:val="231F20"/>
          <w:spacing w:val="-11"/>
        </w:rPr>
        <w:t> </w:t>
      </w:r>
      <w:r>
        <w:rPr>
          <w:color w:val="231F20"/>
          <w:spacing w:val="-4"/>
        </w:rPr>
        <w:t>Elles</w:t>
      </w:r>
      <w:r>
        <w:rPr>
          <w:color w:val="231F20"/>
          <w:spacing w:val="-11"/>
        </w:rPr>
        <w:t> </w:t>
      </w:r>
      <w:r>
        <w:rPr>
          <w:color w:val="231F20"/>
          <w:spacing w:val="-4"/>
        </w:rPr>
        <w:t>paient </w:t>
      </w:r>
      <w:r>
        <w:rPr>
          <w:color w:val="231F20"/>
        </w:rPr>
        <w:t>de fortes amendes de guerre. Les chefs de la résistance sont tués, ou condamnés à la déportation.</w:t>
      </w:r>
    </w:p>
    <w:p>
      <w:pPr>
        <w:pStyle w:val="BodyText"/>
        <w:spacing w:before="121"/>
        <w:ind w:right="108" w:firstLine="283"/>
      </w:pPr>
      <w:r>
        <w:rPr>
          <w:color w:val="231F20"/>
        </w:rPr>
        <w:t>La défaite provoque une</w:t>
      </w:r>
      <w:r>
        <w:rPr>
          <w:color w:val="231F20"/>
          <w:spacing w:val="-1"/>
        </w:rPr>
        <w:t> </w:t>
      </w:r>
      <w:r>
        <w:rPr>
          <w:color w:val="231F20"/>
        </w:rPr>
        <w:t>crise de</w:t>
      </w:r>
      <w:r>
        <w:rPr>
          <w:color w:val="231F20"/>
          <w:spacing w:val="-2"/>
        </w:rPr>
        <w:t> </w:t>
      </w:r>
      <w:r>
        <w:rPr>
          <w:color w:val="231F20"/>
        </w:rPr>
        <w:t>confiance et</w:t>
      </w:r>
      <w:r>
        <w:rPr>
          <w:color w:val="231F20"/>
          <w:spacing w:val="-1"/>
        </w:rPr>
        <w:t> </w:t>
      </w:r>
      <w:r>
        <w:rPr>
          <w:color w:val="231F20"/>
        </w:rPr>
        <w:t>un</w:t>
      </w:r>
      <w:r>
        <w:rPr>
          <w:color w:val="231F20"/>
          <w:spacing w:val="-3"/>
        </w:rPr>
        <w:t> </w:t>
      </w:r>
      <w:r>
        <w:rPr>
          <w:color w:val="231F20"/>
        </w:rPr>
        <w:t>affaiblissement</w:t>
      </w:r>
      <w:r>
        <w:rPr>
          <w:color w:val="231F20"/>
          <w:spacing w:val="-1"/>
        </w:rPr>
        <w:t> </w:t>
      </w:r>
      <w:r>
        <w:rPr>
          <w:color w:val="231F20"/>
        </w:rPr>
        <w:t>du pouvoir traditionnel (sorciers, féticheurs, chefs). Elle fait le lit de la pénétration des religions monothéistes (islam, christianisme) dans les régions animistes.</w:t>
      </w:r>
    </w:p>
    <w:p>
      <w:pPr>
        <w:pStyle w:val="BodyText"/>
        <w:ind w:left="0"/>
        <w:jc w:val="left"/>
      </w:pPr>
    </w:p>
    <w:p>
      <w:pPr>
        <w:pStyle w:val="BodyText"/>
        <w:spacing w:before="62"/>
        <w:ind w:left="0"/>
        <w:jc w:val="left"/>
      </w:pPr>
    </w:p>
    <w:p>
      <w:pPr>
        <w:pStyle w:val="Heading3"/>
        <w:ind w:left="395"/>
        <w:rPr>
          <w:rFonts w:ascii="Times New Roman" w:hAnsi="Times New Roman"/>
          <w:i w:val="0"/>
          <w:sz w:val="16"/>
        </w:rPr>
      </w:pPr>
      <w:r>
        <w:rPr>
          <w:i/>
          <w:color w:val="231F20"/>
        </w:rPr>
        <w:t>Oui</w:t>
      </w:r>
      <w:r>
        <w:rPr>
          <w:i/>
          <w:color w:val="231F20"/>
          <w:spacing w:val="-12"/>
        </w:rPr>
        <w:t> </w:t>
      </w:r>
      <w:r>
        <w:rPr>
          <w:i/>
          <w:color w:val="231F20"/>
          <w:spacing w:val="-2"/>
        </w:rPr>
        <w:t>Missié</w:t>
      </w:r>
      <w:r>
        <w:rPr>
          <w:rFonts w:ascii="Times New Roman" w:hAnsi="Times New Roman"/>
          <w:i w:val="0"/>
          <w:color w:val="76787A"/>
          <w:spacing w:val="-2"/>
          <w:position w:val="8"/>
          <w:sz w:val="16"/>
        </w:rPr>
        <w:t>28</w:t>
      </w:r>
    </w:p>
    <w:p>
      <w:pPr>
        <w:pStyle w:val="BodyText"/>
        <w:spacing w:before="241"/>
        <w:ind w:left="0"/>
        <w:jc w:val="left"/>
        <w:rPr>
          <w:b/>
        </w:rPr>
      </w:pPr>
    </w:p>
    <w:p>
      <w:pPr>
        <w:pStyle w:val="BodyText"/>
        <w:ind w:right="106" w:firstLine="283"/>
      </w:pPr>
      <w:r>
        <w:rPr>
          <w:color w:val="231F20"/>
        </w:rPr>
        <w:t>La France organise ses territoires en deux grands blocs</w:t>
      </w:r>
      <w:r>
        <w:rPr>
          <w:color w:val="231F20"/>
          <w:spacing w:val="-10"/>
        </w:rPr>
        <w:t> </w:t>
      </w:r>
      <w:r>
        <w:rPr>
          <w:color w:val="231F20"/>
        </w:rPr>
        <w:t>qui </w:t>
      </w:r>
      <w:r>
        <w:rPr>
          <w:color w:val="231F20"/>
          <w:spacing w:val="-2"/>
        </w:rPr>
        <w:t>représentent</w:t>
      </w:r>
      <w:r>
        <w:rPr>
          <w:color w:val="231F20"/>
          <w:spacing w:val="-11"/>
        </w:rPr>
        <w:t> </w:t>
      </w:r>
      <w:r>
        <w:rPr>
          <w:color w:val="231F20"/>
          <w:spacing w:val="-2"/>
        </w:rPr>
        <w:t>14</w:t>
      </w:r>
      <w:r>
        <w:rPr>
          <w:color w:val="231F20"/>
          <w:spacing w:val="-11"/>
        </w:rPr>
        <w:t> </w:t>
      </w:r>
      <w:r>
        <w:rPr>
          <w:color w:val="231F20"/>
          <w:spacing w:val="-2"/>
        </w:rPr>
        <w:t>fois</w:t>
      </w:r>
      <w:r>
        <w:rPr>
          <w:color w:val="231F20"/>
          <w:spacing w:val="-11"/>
        </w:rPr>
        <w:t> </w:t>
      </w:r>
      <w:r>
        <w:rPr>
          <w:color w:val="231F20"/>
          <w:spacing w:val="-2"/>
        </w:rPr>
        <w:t>la</w:t>
      </w:r>
      <w:r>
        <w:rPr>
          <w:color w:val="231F20"/>
          <w:spacing w:val="-11"/>
        </w:rPr>
        <w:t> </w:t>
      </w:r>
      <w:r>
        <w:rPr>
          <w:color w:val="231F20"/>
          <w:spacing w:val="-2"/>
        </w:rPr>
        <w:t>taille</w:t>
      </w:r>
      <w:r>
        <w:rPr>
          <w:color w:val="231F20"/>
          <w:spacing w:val="-13"/>
        </w:rPr>
        <w:t> </w:t>
      </w:r>
      <w:r>
        <w:rPr>
          <w:color w:val="231F20"/>
          <w:spacing w:val="-2"/>
        </w:rPr>
        <w:t>de</w:t>
      </w:r>
      <w:r>
        <w:rPr>
          <w:color w:val="231F20"/>
          <w:spacing w:val="-12"/>
        </w:rPr>
        <w:t> </w:t>
      </w:r>
      <w:r>
        <w:rPr>
          <w:color w:val="231F20"/>
          <w:spacing w:val="-2"/>
        </w:rPr>
        <w:t>la</w:t>
      </w:r>
      <w:r>
        <w:rPr>
          <w:color w:val="231F20"/>
          <w:spacing w:val="-10"/>
        </w:rPr>
        <w:t> </w:t>
      </w:r>
      <w:r>
        <w:rPr>
          <w:color w:val="231F20"/>
          <w:spacing w:val="-2"/>
        </w:rPr>
        <w:t>France</w:t>
      </w:r>
      <w:r>
        <w:rPr>
          <w:color w:val="231F20"/>
          <w:spacing w:val="-11"/>
        </w:rPr>
        <w:t> </w:t>
      </w:r>
      <w:r>
        <w:rPr>
          <w:color w:val="231F20"/>
          <w:spacing w:val="-2"/>
        </w:rPr>
        <w:t>:</w:t>
      </w:r>
      <w:r>
        <w:rPr>
          <w:color w:val="231F20"/>
          <w:spacing w:val="-10"/>
        </w:rPr>
        <w:t> </w:t>
      </w:r>
      <w:r>
        <w:rPr>
          <w:color w:val="231F20"/>
          <w:spacing w:val="-2"/>
        </w:rPr>
        <w:t>Afrique</w:t>
      </w:r>
      <w:r>
        <w:rPr>
          <w:color w:val="231F20"/>
          <w:spacing w:val="-13"/>
        </w:rPr>
        <w:t> </w:t>
      </w:r>
      <w:r>
        <w:rPr>
          <w:color w:val="231F20"/>
          <w:spacing w:val="-2"/>
        </w:rPr>
        <w:t>Occidentale</w:t>
      </w:r>
      <w:r>
        <w:rPr>
          <w:color w:val="231F20"/>
          <w:spacing w:val="-12"/>
        </w:rPr>
        <w:t> </w:t>
      </w:r>
      <w:r>
        <w:rPr>
          <w:color w:val="231F20"/>
          <w:spacing w:val="-2"/>
        </w:rPr>
        <w:t>Française </w:t>
      </w:r>
      <w:r>
        <w:rPr>
          <w:color w:val="231F20"/>
        </w:rPr>
        <w:t>(A.O.F.)</w:t>
      </w:r>
      <w:r>
        <w:rPr>
          <w:color w:val="231F20"/>
          <w:spacing w:val="-1"/>
        </w:rPr>
        <w:t> </w:t>
      </w:r>
      <w:r>
        <w:rPr>
          <w:color w:val="231F20"/>
        </w:rPr>
        <w:t>et</w:t>
      </w:r>
      <w:r>
        <w:rPr>
          <w:color w:val="231F20"/>
          <w:spacing w:val="-1"/>
        </w:rPr>
        <w:t> </w:t>
      </w:r>
      <w:r>
        <w:rPr>
          <w:color w:val="231F20"/>
        </w:rPr>
        <w:t>Afrique</w:t>
      </w:r>
      <w:r>
        <w:rPr>
          <w:color w:val="231F20"/>
          <w:spacing w:val="-1"/>
        </w:rPr>
        <w:t> </w:t>
      </w:r>
      <w:r>
        <w:rPr>
          <w:color w:val="231F20"/>
          <w:shd w:fill="FCFCFC" w:color="auto" w:val="clear"/>
        </w:rPr>
        <w:t>É</w:t>
      </w:r>
      <w:r>
        <w:rPr>
          <w:color w:val="231F20"/>
        </w:rPr>
        <w:t>quatoriale</w:t>
      </w:r>
      <w:r>
        <w:rPr>
          <w:color w:val="231F20"/>
          <w:spacing w:val="-1"/>
        </w:rPr>
        <w:t> </w:t>
      </w:r>
      <w:r>
        <w:rPr>
          <w:color w:val="231F20"/>
        </w:rPr>
        <w:t>Française</w:t>
      </w:r>
      <w:r>
        <w:rPr>
          <w:color w:val="231F20"/>
          <w:spacing w:val="-1"/>
        </w:rPr>
        <w:t> </w:t>
      </w:r>
      <w:r>
        <w:rPr>
          <w:color w:val="231F20"/>
        </w:rPr>
        <w:t>(A.E.F).</w:t>
      </w:r>
    </w:p>
    <w:p>
      <w:pPr>
        <w:pStyle w:val="BodyText"/>
        <w:spacing w:before="120"/>
        <w:ind w:right="105" w:firstLine="283"/>
      </w:pPr>
      <w:r>
        <w:rPr>
          <w:color w:val="231F20"/>
        </w:rPr>
        <w:t>L'Afrique Occidentale Française est constituée de la Mauritanie, du Sénégal,</w:t>
      </w:r>
      <w:r>
        <w:rPr>
          <w:color w:val="231F20"/>
          <w:spacing w:val="-4"/>
        </w:rPr>
        <w:t> </w:t>
      </w:r>
      <w:r>
        <w:rPr>
          <w:color w:val="231F20"/>
        </w:rPr>
        <w:t>du</w:t>
      </w:r>
      <w:r>
        <w:rPr>
          <w:color w:val="231F20"/>
          <w:spacing w:val="-4"/>
        </w:rPr>
        <w:t> </w:t>
      </w:r>
      <w:r>
        <w:rPr>
          <w:color w:val="231F20"/>
        </w:rPr>
        <w:t>Soudan</w:t>
      </w:r>
      <w:r>
        <w:rPr>
          <w:color w:val="231F20"/>
          <w:spacing w:val="-4"/>
        </w:rPr>
        <w:t> </w:t>
      </w:r>
      <w:r>
        <w:rPr>
          <w:color w:val="231F20"/>
        </w:rPr>
        <w:t>français</w:t>
      </w:r>
      <w:r>
        <w:rPr>
          <w:color w:val="231F20"/>
          <w:spacing w:val="-2"/>
        </w:rPr>
        <w:t> </w:t>
      </w:r>
      <w:r>
        <w:rPr>
          <w:color w:val="231F20"/>
        </w:rPr>
        <w:t>(devenu</w:t>
      </w:r>
      <w:r>
        <w:rPr>
          <w:color w:val="231F20"/>
          <w:spacing w:val="-4"/>
        </w:rPr>
        <w:t> </w:t>
      </w:r>
      <w:r>
        <w:rPr>
          <w:color w:val="231F20"/>
        </w:rPr>
        <w:t>le</w:t>
      </w:r>
      <w:r>
        <w:rPr>
          <w:color w:val="231F20"/>
          <w:spacing w:val="-2"/>
        </w:rPr>
        <w:t> </w:t>
      </w:r>
      <w:r>
        <w:rPr>
          <w:color w:val="231F20"/>
        </w:rPr>
        <w:t>Mali),</w:t>
      </w:r>
      <w:r>
        <w:rPr>
          <w:color w:val="231F20"/>
          <w:spacing w:val="-2"/>
        </w:rPr>
        <w:t> </w:t>
      </w:r>
      <w:r>
        <w:rPr>
          <w:color w:val="231F20"/>
        </w:rPr>
        <w:t>de</w:t>
      </w:r>
      <w:r>
        <w:rPr>
          <w:color w:val="231F20"/>
          <w:spacing w:val="-4"/>
        </w:rPr>
        <w:t> </w:t>
      </w:r>
      <w:r>
        <w:rPr>
          <w:color w:val="231F20"/>
        </w:rPr>
        <w:t>la</w:t>
      </w:r>
      <w:r>
        <w:rPr>
          <w:color w:val="231F20"/>
          <w:spacing w:val="-2"/>
        </w:rPr>
        <w:t> </w:t>
      </w:r>
      <w:r>
        <w:rPr>
          <w:color w:val="231F20"/>
        </w:rPr>
        <w:t>Guinée,</w:t>
      </w:r>
      <w:r>
        <w:rPr>
          <w:color w:val="231F20"/>
          <w:spacing w:val="-2"/>
        </w:rPr>
        <w:t> </w:t>
      </w:r>
      <w:r>
        <w:rPr>
          <w:color w:val="231F20"/>
        </w:rPr>
        <w:t>de</w:t>
      </w:r>
      <w:r>
        <w:rPr>
          <w:color w:val="231F20"/>
          <w:spacing w:val="-5"/>
        </w:rPr>
        <w:t> </w:t>
      </w:r>
      <w:r>
        <w:rPr>
          <w:color w:val="231F20"/>
        </w:rPr>
        <w:t>la</w:t>
      </w:r>
      <w:r>
        <w:rPr>
          <w:color w:val="231F20"/>
          <w:spacing w:val="-3"/>
        </w:rPr>
        <w:t> </w:t>
      </w:r>
      <w:r>
        <w:rPr>
          <w:color w:val="231F20"/>
        </w:rPr>
        <w:t>Côte </w:t>
      </w:r>
      <w:r>
        <w:rPr>
          <w:color w:val="231F20"/>
          <w:spacing w:val="-2"/>
        </w:rPr>
        <w:t>d'ivoire,</w:t>
      </w:r>
      <w:r>
        <w:rPr>
          <w:color w:val="231F20"/>
          <w:spacing w:val="-15"/>
        </w:rPr>
        <w:t> </w:t>
      </w:r>
      <w:r>
        <w:rPr>
          <w:color w:val="231F20"/>
          <w:spacing w:val="-2"/>
        </w:rPr>
        <w:t>du</w:t>
      </w:r>
      <w:r>
        <w:rPr>
          <w:color w:val="231F20"/>
          <w:spacing w:val="-13"/>
        </w:rPr>
        <w:t> </w:t>
      </w:r>
      <w:r>
        <w:rPr>
          <w:color w:val="231F20"/>
          <w:spacing w:val="-2"/>
        </w:rPr>
        <w:t>Niger,</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Haute-Volta</w:t>
      </w:r>
      <w:r>
        <w:rPr>
          <w:color w:val="231F20"/>
          <w:spacing w:val="-13"/>
        </w:rPr>
        <w:t> </w:t>
      </w:r>
      <w:r>
        <w:rPr>
          <w:color w:val="231F20"/>
          <w:spacing w:val="-2"/>
        </w:rPr>
        <w:t>(devenue</w:t>
      </w:r>
      <w:r>
        <w:rPr>
          <w:color w:val="231F20"/>
          <w:spacing w:val="-13"/>
        </w:rPr>
        <w:t> </w:t>
      </w:r>
      <w:r>
        <w:rPr>
          <w:color w:val="231F20"/>
          <w:spacing w:val="-2"/>
        </w:rPr>
        <w:t>le</w:t>
      </w:r>
      <w:r>
        <w:rPr>
          <w:color w:val="231F20"/>
          <w:spacing w:val="-13"/>
        </w:rPr>
        <w:t> </w:t>
      </w:r>
      <w:r>
        <w:rPr>
          <w:color w:val="231F20"/>
          <w:spacing w:val="-2"/>
        </w:rPr>
        <w:t>Burkina</w:t>
      </w:r>
      <w:r>
        <w:rPr>
          <w:color w:val="231F20"/>
          <w:spacing w:val="-13"/>
        </w:rPr>
        <w:t> </w:t>
      </w:r>
      <w:r>
        <w:rPr>
          <w:color w:val="231F20"/>
          <w:spacing w:val="-2"/>
        </w:rPr>
        <w:t>Faso),</w:t>
      </w:r>
      <w:r>
        <w:rPr>
          <w:color w:val="231F20"/>
          <w:spacing w:val="-13"/>
        </w:rPr>
        <w:t> </w:t>
      </w:r>
      <w:r>
        <w:rPr>
          <w:color w:val="231F20"/>
          <w:spacing w:val="-2"/>
        </w:rPr>
        <w:t>du</w:t>
      </w:r>
      <w:r>
        <w:rPr>
          <w:color w:val="231F20"/>
          <w:spacing w:val="-13"/>
        </w:rPr>
        <w:t> </w:t>
      </w:r>
      <w:r>
        <w:rPr>
          <w:color w:val="231F20"/>
          <w:spacing w:val="-2"/>
        </w:rPr>
        <w:t>Togo </w:t>
      </w:r>
      <w:r>
        <w:rPr>
          <w:color w:val="231F20"/>
        </w:rPr>
        <w:t>et du Dahomey (devenu le Bénin). Sa superficie est de 4 689 000 kilomètres</w:t>
      </w:r>
      <w:r>
        <w:rPr>
          <w:color w:val="231F20"/>
          <w:spacing w:val="-15"/>
        </w:rPr>
        <w:t> </w:t>
      </w:r>
      <w:r>
        <w:rPr>
          <w:color w:val="231F20"/>
        </w:rPr>
        <w:t>carrés,</w:t>
      </w:r>
      <w:r>
        <w:rPr>
          <w:color w:val="231F20"/>
          <w:spacing w:val="-13"/>
        </w:rPr>
        <w:t> </w:t>
      </w:r>
      <w:r>
        <w:rPr>
          <w:color w:val="231F20"/>
        </w:rPr>
        <w:t>soit</w:t>
      </w:r>
      <w:r>
        <w:rPr>
          <w:color w:val="231F20"/>
          <w:spacing w:val="-13"/>
        </w:rPr>
        <w:t> </w:t>
      </w:r>
      <w:r>
        <w:rPr>
          <w:color w:val="231F20"/>
        </w:rPr>
        <w:t>environ</w:t>
      </w:r>
      <w:r>
        <w:rPr>
          <w:color w:val="231F20"/>
          <w:spacing w:val="-15"/>
        </w:rPr>
        <w:t> </w:t>
      </w:r>
      <w:r>
        <w:rPr>
          <w:color w:val="231F20"/>
        </w:rPr>
        <w:t>sept</w:t>
      </w:r>
      <w:r>
        <w:rPr>
          <w:color w:val="231F20"/>
          <w:spacing w:val="-14"/>
        </w:rPr>
        <w:t> </w:t>
      </w:r>
      <w:r>
        <w:rPr>
          <w:color w:val="231F20"/>
        </w:rPr>
        <w:t>fois</w:t>
      </w:r>
      <w:r>
        <w:rPr>
          <w:color w:val="231F20"/>
          <w:spacing w:val="-14"/>
        </w:rPr>
        <w:t> </w:t>
      </w:r>
      <w:r>
        <w:rPr>
          <w:color w:val="231F20"/>
        </w:rPr>
        <w:t>celle</w:t>
      </w:r>
      <w:r>
        <w:rPr>
          <w:color w:val="231F20"/>
          <w:spacing w:val="-14"/>
        </w:rPr>
        <w:t> </w:t>
      </w:r>
      <w:r>
        <w:rPr>
          <w:color w:val="231F20"/>
        </w:rPr>
        <w:t>de</w:t>
      </w:r>
      <w:r>
        <w:rPr>
          <w:color w:val="231F20"/>
          <w:spacing w:val="-15"/>
        </w:rPr>
        <w:t> </w:t>
      </w:r>
      <w:r>
        <w:rPr>
          <w:color w:val="231F20"/>
        </w:rPr>
        <w:t>la</w:t>
      </w:r>
      <w:r>
        <w:rPr>
          <w:color w:val="231F20"/>
          <w:spacing w:val="-15"/>
        </w:rPr>
        <w:t> </w:t>
      </w:r>
      <w:r>
        <w:rPr>
          <w:color w:val="231F20"/>
        </w:rPr>
        <w:t>France.</w:t>
      </w:r>
      <w:r>
        <w:rPr>
          <w:color w:val="231F20"/>
          <w:spacing w:val="-14"/>
        </w:rPr>
        <w:t> </w:t>
      </w:r>
      <w:r>
        <w:rPr>
          <w:color w:val="231F20"/>
        </w:rPr>
        <w:t>Son</w:t>
      </w:r>
      <w:r>
        <w:rPr>
          <w:color w:val="231F20"/>
          <w:spacing w:val="-13"/>
        </w:rPr>
        <w:t> </w:t>
      </w:r>
      <w:r>
        <w:rPr>
          <w:color w:val="231F20"/>
        </w:rPr>
        <w:t>chef-lieu est</w:t>
      </w:r>
      <w:r>
        <w:rPr>
          <w:color w:val="231F20"/>
          <w:spacing w:val="-8"/>
        </w:rPr>
        <w:t> </w:t>
      </w:r>
      <w:r>
        <w:rPr>
          <w:color w:val="231F20"/>
        </w:rPr>
        <w:t>Saint-Louis</w:t>
      </w:r>
      <w:r>
        <w:rPr>
          <w:color w:val="231F20"/>
          <w:spacing w:val="-6"/>
        </w:rPr>
        <w:t> </w:t>
      </w:r>
      <w:r>
        <w:rPr>
          <w:color w:val="231F20"/>
        </w:rPr>
        <w:t>(Sénégal)</w:t>
      </w:r>
      <w:r>
        <w:rPr>
          <w:color w:val="231F20"/>
          <w:spacing w:val="-11"/>
        </w:rPr>
        <w:t> </w:t>
      </w:r>
      <w:r>
        <w:rPr>
          <w:color w:val="231F20"/>
        </w:rPr>
        <w:t>jusqu'à</w:t>
      </w:r>
      <w:r>
        <w:rPr>
          <w:color w:val="231F20"/>
          <w:spacing w:val="-6"/>
        </w:rPr>
        <w:t> </w:t>
      </w:r>
      <w:r>
        <w:rPr>
          <w:color w:val="231F20"/>
        </w:rPr>
        <w:t>1902,</w:t>
      </w:r>
      <w:r>
        <w:rPr>
          <w:color w:val="231F20"/>
          <w:spacing w:val="-8"/>
        </w:rPr>
        <w:t> </w:t>
      </w:r>
      <w:r>
        <w:rPr>
          <w:color w:val="231F20"/>
        </w:rPr>
        <w:t>puis</w:t>
      </w:r>
      <w:r>
        <w:rPr>
          <w:color w:val="231F20"/>
          <w:spacing w:val="-6"/>
        </w:rPr>
        <w:t> </w:t>
      </w:r>
      <w:r>
        <w:rPr>
          <w:color w:val="231F20"/>
        </w:rPr>
        <w:t>Dakar</w:t>
      </w:r>
      <w:r>
        <w:rPr>
          <w:color w:val="231F20"/>
          <w:spacing w:val="-6"/>
        </w:rPr>
        <w:t> </w:t>
      </w:r>
      <w:r>
        <w:rPr>
          <w:color w:val="231F20"/>
        </w:rPr>
        <w:t>(Sénégal).</w:t>
      </w:r>
    </w:p>
    <w:p>
      <w:pPr>
        <w:pStyle w:val="BodyText"/>
        <w:spacing w:before="120"/>
        <w:ind w:right="104" w:firstLine="283"/>
      </w:pPr>
      <w:r>
        <w:rPr>
          <w:color w:val="231F20"/>
        </w:rPr>
        <w:t>L'Afrique</w:t>
      </w:r>
      <w:r>
        <w:rPr>
          <w:color w:val="231F20"/>
          <w:spacing w:val="-8"/>
        </w:rPr>
        <w:t> </w:t>
      </w:r>
      <w:r>
        <w:rPr>
          <w:color w:val="231F20"/>
          <w:shd w:fill="FCFCFC" w:color="auto" w:val="clear"/>
        </w:rPr>
        <w:t>É</w:t>
      </w:r>
      <w:r>
        <w:rPr>
          <w:color w:val="231F20"/>
        </w:rPr>
        <w:t>quatoriale Française couvre une superficie de 2</w:t>
      </w:r>
      <w:r>
        <w:rPr>
          <w:color w:val="231F20"/>
          <w:spacing w:val="-15"/>
        </w:rPr>
        <w:t> </w:t>
      </w:r>
      <w:r>
        <w:rPr>
          <w:color w:val="231F20"/>
        </w:rPr>
        <w:t>500</w:t>
      </w:r>
      <w:r>
        <w:rPr>
          <w:color w:val="231F20"/>
          <w:spacing w:val="-15"/>
        </w:rPr>
        <w:t> </w:t>
      </w:r>
      <w:r>
        <w:rPr>
          <w:color w:val="231F20"/>
        </w:rPr>
        <w:t>000 kilomètres carrés. Elle est composée du Moyen Congo </w:t>
      </w:r>
      <w:r>
        <w:rPr>
          <w:color w:val="1F2021"/>
        </w:rPr>
        <w:t>dont une partie correspond</w:t>
      </w:r>
      <w:r>
        <w:rPr>
          <w:color w:val="1F2021"/>
          <w:spacing w:val="-15"/>
        </w:rPr>
        <w:t> </w:t>
      </w:r>
      <w:r>
        <w:rPr>
          <w:color w:val="1F2021"/>
        </w:rPr>
        <w:t>au</w:t>
      </w:r>
      <w:r>
        <w:rPr>
          <w:color w:val="1F2021"/>
          <w:spacing w:val="-15"/>
        </w:rPr>
        <w:t> </w:t>
      </w:r>
      <w:r>
        <w:rPr>
          <w:color w:val="231F20"/>
        </w:rPr>
        <w:t>Gabon</w:t>
      </w:r>
      <w:r>
        <w:rPr>
          <w:color w:val="231F20"/>
          <w:spacing w:val="-15"/>
        </w:rPr>
        <w:t> </w:t>
      </w:r>
      <w:r>
        <w:rPr>
          <w:color w:val="231F20"/>
        </w:rPr>
        <w:t>actuel</w:t>
      </w:r>
      <w:r>
        <w:rPr>
          <w:color w:val="1F2021"/>
        </w:rPr>
        <w:t>,</w:t>
      </w:r>
      <w:r>
        <w:rPr>
          <w:color w:val="1F2021"/>
          <w:spacing w:val="-15"/>
        </w:rPr>
        <w:t> </w:t>
      </w:r>
      <w:r>
        <w:rPr>
          <w:color w:val="1F2021"/>
        </w:rPr>
        <w:t>une</w:t>
      </w:r>
      <w:r>
        <w:rPr>
          <w:color w:val="1F2021"/>
          <w:spacing w:val="-15"/>
        </w:rPr>
        <w:t> </w:t>
      </w:r>
      <w:r>
        <w:rPr>
          <w:color w:val="1F2021"/>
        </w:rPr>
        <w:t>autre</w:t>
      </w:r>
      <w:r>
        <w:rPr>
          <w:color w:val="1F2021"/>
          <w:spacing w:val="-15"/>
        </w:rPr>
        <w:t> </w:t>
      </w:r>
      <w:r>
        <w:rPr>
          <w:color w:val="1F2021"/>
        </w:rPr>
        <w:t>à</w:t>
      </w:r>
      <w:r>
        <w:rPr>
          <w:color w:val="1F2021"/>
          <w:spacing w:val="-15"/>
        </w:rPr>
        <w:t> </w:t>
      </w:r>
      <w:r>
        <w:rPr>
          <w:color w:val="1F2021"/>
        </w:rPr>
        <w:t>l'actuelle</w:t>
      </w:r>
      <w:r>
        <w:rPr>
          <w:color w:val="1F2021"/>
          <w:spacing w:val="-15"/>
        </w:rPr>
        <w:t> </w:t>
      </w:r>
      <w:r>
        <w:rPr>
          <w:color w:val="231F20"/>
        </w:rPr>
        <w:t>République</w:t>
      </w:r>
      <w:r>
        <w:rPr>
          <w:color w:val="231F20"/>
          <w:spacing w:val="-15"/>
        </w:rPr>
        <w:t> </w:t>
      </w:r>
      <w:r>
        <w:rPr>
          <w:color w:val="231F20"/>
        </w:rPr>
        <w:t>du</w:t>
      </w:r>
      <w:r>
        <w:rPr>
          <w:color w:val="231F20"/>
          <w:spacing w:val="-15"/>
        </w:rPr>
        <w:t> </w:t>
      </w:r>
      <w:r>
        <w:rPr>
          <w:color w:val="231F20"/>
        </w:rPr>
        <w:t>Congo qui prendra le nom de Congo Brazzaville, de l’Oubangui -Chari, aujourd'hui, Centrafrique et du Tchad.</w:t>
      </w:r>
    </w:p>
    <w:p>
      <w:pPr>
        <w:pStyle w:val="BodyText"/>
        <w:spacing w:before="121"/>
        <w:ind w:left="395"/>
      </w:pPr>
      <w:r>
        <w:rPr>
          <w:color w:val="231F20"/>
          <w:spacing w:val="-2"/>
        </w:rPr>
        <w:t>Dans</w:t>
      </w:r>
      <w:r>
        <w:rPr>
          <w:color w:val="231F20"/>
          <w:spacing w:val="-11"/>
        </w:rPr>
        <w:t> </w:t>
      </w:r>
      <w:r>
        <w:rPr>
          <w:color w:val="231F20"/>
          <w:spacing w:val="-2"/>
        </w:rPr>
        <w:t>les</w:t>
      </w:r>
      <w:r>
        <w:rPr>
          <w:color w:val="231F20"/>
          <w:spacing w:val="-11"/>
        </w:rPr>
        <w:t> </w:t>
      </w:r>
      <w:r>
        <w:rPr>
          <w:color w:val="231F20"/>
          <w:spacing w:val="-2"/>
        </w:rPr>
        <w:t>colonies,</w:t>
      </w:r>
      <w:r>
        <w:rPr>
          <w:color w:val="231F20"/>
          <w:spacing w:val="-8"/>
        </w:rPr>
        <w:t> </w:t>
      </w:r>
      <w:r>
        <w:rPr>
          <w:color w:val="231F20"/>
          <w:spacing w:val="-2"/>
        </w:rPr>
        <w:t>flotte</w:t>
      </w:r>
      <w:r>
        <w:rPr>
          <w:color w:val="231F20"/>
          <w:spacing w:val="-12"/>
        </w:rPr>
        <w:t> </w:t>
      </w:r>
      <w:r>
        <w:rPr>
          <w:color w:val="231F20"/>
          <w:spacing w:val="-2"/>
        </w:rPr>
        <w:t>le</w:t>
      </w:r>
      <w:r>
        <w:rPr>
          <w:color w:val="231F20"/>
          <w:spacing w:val="-12"/>
        </w:rPr>
        <w:t> </w:t>
      </w:r>
      <w:r>
        <w:rPr>
          <w:color w:val="231F20"/>
          <w:spacing w:val="-2"/>
        </w:rPr>
        <w:t>drapeau</w:t>
      </w:r>
      <w:r>
        <w:rPr>
          <w:color w:val="231F20"/>
          <w:spacing w:val="-9"/>
        </w:rPr>
        <w:t> </w:t>
      </w:r>
      <w:r>
        <w:rPr>
          <w:color w:val="231F20"/>
          <w:spacing w:val="-2"/>
        </w:rPr>
        <w:t>de</w:t>
      </w:r>
      <w:r>
        <w:rPr>
          <w:color w:val="231F20"/>
          <w:spacing w:val="-11"/>
        </w:rPr>
        <w:t> </w:t>
      </w:r>
      <w:r>
        <w:rPr>
          <w:color w:val="231F20"/>
          <w:spacing w:val="-2"/>
        </w:rPr>
        <w:t>la</w:t>
      </w:r>
      <w:r>
        <w:rPr>
          <w:color w:val="231F20"/>
          <w:spacing w:val="-9"/>
        </w:rPr>
        <w:t> </w:t>
      </w:r>
      <w:r>
        <w:rPr>
          <w:color w:val="231F20"/>
          <w:spacing w:val="-2"/>
        </w:rPr>
        <w:t>République</w:t>
      </w:r>
      <w:r>
        <w:rPr>
          <w:color w:val="231F20"/>
          <w:spacing w:val="-12"/>
        </w:rPr>
        <w:t> </w:t>
      </w:r>
      <w:r>
        <w:rPr>
          <w:color w:val="231F20"/>
          <w:spacing w:val="-2"/>
        </w:rPr>
        <w:t>Française.</w:t>
      </w:r>
    </w:p>
    <w:p>
      <w:pPr>
        <w:pStyle w:val="BodyText"/>
        <w:spacing w:before="102"/>
        <w:ind w:left="0"/>
        <w:jc w:val="left"/>
        <w:rPr>
          <w:sz w:val="20"/>
        </w:rPr>
      </w:pPr>
      <w:r>
        <w:rPr/>
        <mc:AlternateContent>
          <mc:Choice Requires="wps">
            <w:drawing>
              <wp:anchor distT="0" distB="0" distL="0" distR="0" allowOverlap="1" layoutInCell="1" locked="0" behindDoc="1" simplePos="0" relativeHeight="487596544">
                <wp:simplePos x="0" y="0"/>
                <wp:positionH relativeFrom="page">
                  <wp:posOffset>629907</wp:posOffset>
                </wp:positionH>
                <wp:positionV relativeFrom="paragraph">
                  <wp:posOffset>226412</wp:posOffset>
                </wp:positionV>
                <wp:extent cx="1829435" cy="952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827795pt;width:144.020pt;height:.71994pt;mso-position-horizontal-relative:page;mso-position-vertical-relative:paragraph;z-index:-15719936;mso-wrap-distance-left:0;mso-wrap-distance-right:0" id="docshape28" filled="true" fillcolor="#231f20" stroked="false">
                <v:fill type="solid"/>
                <w10:wrap type="topAndBottom"/>
              </v:rect>
            </w:pict>
          </mc:Fallback>
        </mc:AlternateContent>
      </w:r>
    </w:p>
    <w:p>
      <w:pPr>
        <w:spacing w:before="91"/>
        <w:ind w:left="111" w:right="105" w:firstLine="0"/>
        <w:jc w:val="both"/>
        <w:rPr>
          <w:sz w:val="20"/>
        </w:rPr>
      </w:pPr>
      <w:r>
        <w:rPr>
          <w:color w:val="76787A"/>
          <w:sz w:val="20"/>
          <w:vertAlign w:val="superscript"/>
        </w:rPr>
        <w:t>28</w:t>
      </w:r>
      <w:r>
        <w:rPr>
          <w:color w:val="76787A"/>
          <w:spacing w:val="-13"/>
          <w:sz w:val="20"/>
          <w:vertAlign w:val="baseline"/>
        </w:rPr>
        <w:t> </w:t>
      </w:r>
      <w:r>
        <w:rPr>
          <w:color w:val="231F20"/>
          <w:sz w:val="20"/>
          <w:vertAlign w:val="baseline"/>
        </w:rPr>
        <w:t>Les</w:t>
      </w:r>
      <w:r>
        <w:rPr>
          <w:color w:val="231F20"/>
          <w:spacing w:val="-9"/>
          <w:sz w:val="20"/>
          <w:vertAlign w:val="baseline"/>
        </w:rPr>
        <w:t> </w:t>
      </w:r>
      <w:r>
        <w:rPr>
          <w:color w:val="231F20"/>
          <w:sz w:val="20"/>
          <w:vertAlign w:val="baseline"/>
        </w:rPr>
        <w:t>colonisés</w:t>
      </w:r>
      <w:r>
        <w:rPr>
          <w:color w:val="231F20"/>
          <w:spacing w:val="-3"/>
          <w:sz w:val="20"/>
          <w:vertAlign w:val="baseline"/>
        </w:rPr>
        <w:t> </w:t>
      </w:r>
      <w:r>
        <w:rPr>
          <w:color w:val="231F20"/>
          <w:sz w:val="20"/>
          <w:vertAlign w:val="baseline"/>
        </w:rPr>
        <w:t>analphabètes</w:t>
      </w:r>
      <w:r>
        <w:rPr>
          <w:color w:val="231F20"/>
          <w:spacing w:val="-3"/>
          <w:sz w:val="20"/>
          <w:vertAlign w:val="baseline"/>
        </w:rPr>
        <w:t> </w:t>
      </w:r>
      <w:r>
        <w:rPr>
          <w:color w:val="231F20"/>
          <w:sz w:val="20"/>
          <w:vertAlign w:val="baseline"/>
        </w:rPr>
        <w:t>n’arrivaient</w:t>
      </w:r>
      <w:r>
        <w:rPr>
          <w:color w:val="231F20"/>
          <w:spacing w:val="-4"/>
          <w:sz w:val="20"/>
          <w:vertAlign w:val="baseline"/>
        </w:rPr>
        <w:t> </w:t>
      </w:r>
      <w:r>
        <w:rPr>
          <w:color w:val="231F20"/>
          <w:sz w:val="20"/>
          <w:vertAlign w:val="baseline"/>
        </w:rPr>
        <w:t>pas</w:t>
      </w:r>
      <w:r>
        <w:rPr>
          <w:color w:val="231F20"/>
          <w:spacing w:val="-3"/>
          <w:sz w:val="20"/>
          <w:vertAlign w:val="baseline"/>
        </w:rPr>
        <w:t> </w:t>
      </w:r>
      <w:r>
        <w:rPr>
          <w:color w:val="231F20"/>
          <w:sz w:val="20"/>
          <w:vertAlign w:val="baseline"/>
        </w:rPr>
        <w:t>à</w:t>
      </w:r>
      <w:r>
        <w:rPr>
          <w:color w:val="231F20"/>
          <w:spacing w:val="-4"/>
          <w:sz w:val="20"/>
          <w:vertAlign w:val="baseline"/>
        </w:rPr>
        <w:t> </w:t>
      </w:r>
      <w:r>
        <w:rPr>
          <w:color w:val="231F20"/>
          <w:sz w:val="20"/>
          <w:vertAlign w:val="baseline"/>
        </w:rPr>
        <w:t>dire</w:t>
      </w:r>
      <w:r>
        <w:rPr>
          <w:color w:val="231F20"/>
          <w:spacing w:val="-4"/>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monsieur</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w:t>
      </w:r>
      <w:r>
        <w:rPr>
          <w:color w:val="231F20"/>
          <w:spacing w:val="-2"/>
          <w:sz w:val="20"/>
          <w:vertAlign w:val="baseline"/>
        </w:rPr>
        <w:t> </w:t>
      </w:r>
      <w:r>
        <w:rPr>
          <w:color w:val="231F20"/>
          <w:sz w:val="20"/>
          <w:vertAlign w:val="baseline"/>
        </w:rPr>
        <w:t>ils</w:t>
      </w:r>
      <w:r>
        <w:rPr>
          <w:color w:val="231F20"/>
          <w:spacing w:val="-6"/>
          <w:sz w:val="20"/>
          <w:vertAlign w:val="baseline"/>
        </w:rPr>
        <w:t> </w:t>
      </w:r>
      <w:r>
        <w:rPr>
          <w:color w:val="231F20"/>
          <w:sz w:val="20"/>
          <w:vertAlign w:val="baseline"/>
        </w:rPr>
        <w:t>ne</w:t>
      </w:r>
      <w:r>
        <w:rPr>
          <w:color w:val="231F20"/>
          <w:spacing w:val="-4"/>
          <w:sz w:val="20"/>
          <w:vertAlign w:val="baseline"/>
        </w:rPr>
        <w:t> </w:t>
      </w:r>
      <w:r>
        <w:rPr>
          <w:color w:val="231F20"/>
          <w:sz w:val="20"/>
          <w:vertAlign w:val="baseline"/>
        </w:rPr>
        <w:t>devaient</w:t>
      </w:r>
      <w:r>
        <w:rPr>
          <w:color w:val="231F20"/>
          <w:spacing w:val="-5"/>
          <w:sz w:val="20"/>
          <w:vertAlign w:val="baseline"/>
        </w:rPr>
        <w:t> </w:t>
      </w:r>
      <w:r>
        <w:rPr>
          <w:color w:val="231F20"/>
          <w:sz w:val="20"/>
          <w:vertAlign w:val="baseline"/>
        </w:rPr>
        <w:t>pas </w:t>
      </w:r>
      <w:r>
        <w:rPr>
          <w:color w:val="231F20"/>
          <w:spacing w:val="-4"/>
          <w:sz w:val="20"/>
          <w:vertAlign w:val="baseline"/>
        </w:rPr>
        <w:t>soutenir le regard du blanc : ils</w:t>
      </w:r>
      <w:r>
        <w:rPr>
          <w:color w:val="231F20"/>
          <w:spacing w:val="-8"/>
          <w:sz w:val="20"/>
          <w:vertAlign w:val="baseline"/>
        </w:rPr>
        <w:t> </w:t>
      </w:r>
      <w:r>
        <w:rPr>
          <w:color w:val="231F20"/>
          <w:spacing w:val="-4"/>
          <w:sz w:val="20"/>
          <w:vertAlign w:val="baseline"/>
        </w:rPr>
        <w:t>avaient l’obligation de toujours</w:t>
      </w:r>
      <w:r>
        <w:rPr>
          <w:color w:val="231F20"/>
          <w:spacing w:val="-8"/>
          <w:sz w:val="20"/>
          <w:vertAlign w:val="baseline"/>
        </w:rPr>
        <w:t> </w:t>
      </w:r>
      <w:r>
        <w:rPr>
          <w:color w:val="231F20"/>
          <w:spacing w:val="-4"/>
          <w:sz w:val="20"/>
          <w:vertAlign w:val="baseline"/>
        </w:rPr>
        <w:t>baisser les</w:t>
      </w:r>
      <w:r>
        <w:rPr>
          <w:color w:val="231F20"/>
          <w:spacing w:val="-8"/>
          <w:sz w:val="20"/>
          <w:vertAlign w:val="baseline"/>
        </w:rPr>
        <w:t> </w:t>
      </w:r>
      <w:r>
        <w:rPr>
          <w:color w:val="231F20"/>
          <w:spacing w:val="-4"/>
          <w:sz w:val="20"/>
          <w:vertAlign w:val="baseline"/>
        </w:rPr>
        <w:t>yeux quand ils </w:t>
      </w:r>
      <w:r>
        <w:rPr>
          <w:color w:val="231F20"/>
          <w:sz w:val="20"/>
          <w:vertAlign w:val="baseline"/>
        </w:rPr>
        <w:t>s’adressaient au blanc</w:t>
      </w:r>
    </w:p>
    <w:p>
      <w:pPr>
        <w:spacing w:after="0"/>
        <w:jc w:val="both"/>
        <w:rPr>
          <w:sz w:val="20"/>
        </w:rPr>
        <w:sectPr>
          <w:pgSz w:w="8790" w:h="13610"/>
          <w:pgMar w:header="0" w:footer="802" w:top="1060" w:bottom="1000" w:left="880" w:right="880"/>
        </w:sectPr>
      </w:pPr>
    </w:p>
    <w:p>
      <w:pPr>
        <w:pStyle w:val="BodyText"/>
        <w:spacing w:before="66"/>
        <w:ind w:right="104" w:firstLine="283"/>
      </w:pPr>
      <w:r>
        <w:rPr>
          <w:color w:val="231F20"/>
        </w:rPr>
        <w:t>Lorsqu’ils s’installent dans leurs colonies, les héritiers de la France </w:t>
      </w:r>
      <w:r>
        <w:rPr>
          <w:color w:val="231F20"/>
          <w:spacing w:val="-2"/>
        </w:rPr>
        <w:t>négrière</w:t>
      </w:r>
      <w:r>
        <w:rPr>
          <w:color w:val="231F20"/>
          <w:spacing w:val="-7"/>
        </w:rPr>
        <w:t> </w:t>
      </w:r>
      <w:r>
        <w:rPr>
          <w:color w:val="231F20"/>
          <w:spacing w:val="-2"/>
        </w:rPr>
        <w:t>ont</w:t>
      </w:r>
      <w:r>
        <w:rPr>
          <w:color w:val="231F20"/>
          <w:spacing w:val="-5"/>
        </w:rPr>
        <w:t> </w:t>
      </w:r>
      <w:r>
        <w:rPr>
          <w:color w:val="231F20"/>
          <w:spacing w:val="-2"/>
        </w:rPr>
        <w:t>en</w:t>
      </w:r>
      <w:r>
        <w:rPr>
          <w:color w:val="231F20"/>
          <w:spacing w:val="-7"/>
        </w:rPr>
        <w:t> </w:t>
      </w:r>
      <w:r>
        <w:rPr>
          <w:color w:val="231F20"/>
          <w:spacing w:val="-2"/>
        </w:rPr>
        <w:t>mémoire</w:t>
      </w:r>
      <w:r>
        <w:rPr>
          <w:color w:val="231F20"/>
          <w:spacing w:val="-10"/>
        </w:rPr>
        <w:t> </w:t>
      </w:r>
      <w:r>
        <w:rPr>
          <w:color w:val="231F20"/>
          <w:spacing w:val="-2"/>
        </w:rPr>
        <w:t>que</w:t>
      </w:r>
      <w:r>
        <w:rPr>
          <w:color w:val="231F20"/>
          <w:spacing w:val="-7"/>
        </w:rPr>
        <w:t> </w:t>
      </w:r>
      <w:r>
        <w:rPr>
          <w:color w:val="231F20"/>
          <w:spacing w:val="-2"/>
        </w:rPr>
        <w:t>leur</w:t>
      </w:r>
      <w:r>
        <w:rPr>
          <w:color w:val="231F20"/>
          <w:spacing w:val="-8"/>
        </w:rPr>
        <w:t> </w:t>
      </w:r>
      <w:r>
        <w:rPr>
          <w:color w:val="231F20"/>
          <w:spacing w:val="-2"/>
        </w:rPr>
        <w:t>pays</w:t>
      </w:r>
      <w:r>
        <w:rPr>
          <w:color w:val="231F20"/>
          <w:spacing w:val="-7"/>
        </w:rPr>
        <w:t> </w:t>
      </w:r>
      <w:r>
        <w:rPr>
          <w:color w:val="231F20"/>
          <w:spacing w:val="-2"/>
        </w:rPr>
        <w:t>avait</w:t>
      </w:r>
      <w:r>
        <w:rPr>
          <w:color w:val="231F20"/>
          <w:spacing w:val="-7"/>
        </w:rPr>
        <w:t> </w:t>
      </w:r>
      <w:r>
        <w:rPr>
          <w:color w:val="231F20"/>
          <w:spacing w:val="-2"/>
        </w:rPr>
        <w:t>officialisé</w:t>
      </w:r>
      <w:r>
        <w:rPr>
          <w:color w:val="231F20"/>
          <w:spacing w:val="-8"/>
        </w:rPr>
        <w:t> </w:t>
      </w:r>
      <w:r>
        <w:rPr>
          <w:color w:val="231F20"/>
          <w:spacing w:val="-2"/>
        </w:rPr>
        <w:t>l’esclavage</w:t>
      </w:r>
      <w:r>
        <w:rPr>
          <w:color w:val="231F20"/>
          <w:spacing w:val="-7"/>
        </w:rPr>
        <w:t> </w:t>
      </w:r>
      <w:r>
        <w:rPr>
          <w:color w:val="231F20"/>
          <w:spacing w:val="-2"/>
        </w:rPr>
        <w:t>par</w:t>
      </w:r>
      <w:r>
        <w:rPr>
          <w:color w:val="231F20"/>
          <w:spacing w:val="-8"/>
        </w:rPr>
        <w:t> </w:t>
      </w:r>
      <w:r>
        <w:rPr>
          <w:color w:val="231F20"/>
          <w:spacing w:val="-2"/>
        </w:rPr>
        <w:t>le </w:t>
      </w:r>
      <w:r>
        <w:rPr>
          <w:color w:val="231F20"/>
        </w:rPr>
        <w:t>code</w:t>
      </w:r>
      <w:r>
        <w:rPr>
          <w:color w:val="231F20"/>
          <w:spacing w:val="-15"/>
        </w:rPr>
        <w:t> </w:t>
      </w:r>
      <w:r>
        <w:rPr>
          <w:color w:val="231F20"/>
        </w:rPr>
        <w:t>noir</w:t>
      </w:r>
      <w:r>
        <w:rPr>
          <w:color w:val="231F20"/>
          <w:spacing w:val="-15"/>
        </w:rPr>
        <w:t> </w:t>
      </w:r>
      <w:r>
        <w:rPr>
          <w:color w:val="231F20"/>
        </w:rPr>
        <w:t>promulgué</w:t>
      </w:r>
      <w:r>
        <w:rPr>
          <w:color w:val="231F20"/>
          <w:spacing w:val="-15"/>
        </w:rPr>
        <w:t> </w:t>
      </w:r>
      <w:r>
        <w:rPr>
          <w:color w:val="231F20"/>
        </w:rPr>
        <w:t>en</w:t>
      </w:r>
      <w:r>
        <w:rPr>
          <w:color w:val="231F20"/>
          <w:spacing w:val="-15"/>
        </w:rPr>
        <w:t> </w:t>
      </w:r>
      <w:r>
        <w:rPr>
          <w:color w:val="231F20"/>
        </w:rPr>
        <w:t>1685</w:t>
      </w:r>
      <w:r>
        <w:rPr>
          <w:color w:val="231F20"/>
          <w:spacing w:val="-15"/>
        </w:rPr>
        <w:t> </w:t>
      </w:r>
      <w:r>
        <w:rPr>
          <w:color w:val="231F20"/>
        </w:rPr>
        <w:t>par</w:t>
      </w:r>
      <w:r>
        <w:rPr>
          <w:color w:val="231F20"/>
          <w:spacing w:val="-15"/>
        </w:rPr>
        <w:t> </w:t>
      </w:r>
      <w:r>
        <w:rPr>
          <w:color w:val="231F20"/>
        </w:rPr>
        <w:t>Louis</w:t>
      </w:r>
      <w:r>
        <w:rPr>
          <w:color w:val="231F20"/>
          <w:spacing w:val="-15"/>
        </w:rPr>
        <w:t> </w:t>
      </w:r>
      <w:r>
        <w:rPr>
          <w:color w:val="231F20"/>
        </w:rPr>
        <w:t>XIV,</w:t>
      </w:r>
      <w:r>
        <w:rPr>
          <w:color w:val="231F20"/>
          <w:spacing w:val="-14"/>
        </w:rPr>
        <w:t> </w:t>
      </w:r>
      <w:r>
        <w:rPr>
          <w:color w:val="231F20"/>
        </w:rPr>
        <w:t>que</w:t>
      </w:r>
      <w:r>
        <w:rPr>
          <w:color w:val="231F20"/>
          <w:spacing w:val="-15"/>
        </w:rPr>
        <w:t> </w:t>
      </w:r>
      <w:r>
        <w:rPr>
          <w:color w:val="231F20"/>
        </w:rPr>
        <w:t>ledit</w:t>
      </w:r>
      <w:r>
        <w:rPr>
          <w:color w:val="231F20"/>
          <w:spacing w:val="-15"/>
        </w:rPr>
        <w:t> </w:t>
      </w:r>
      <w:r>
        <w:rPr>
          <w:color w:val="231F20"/>
        </w:rPr>
        <w:t>code</w:t>
      </w:r>
      <w:r>
        <w:rPr>
          <w:color w:val="231F20"/>
          <w:spacing w:val="-14"/>
        </w:rPr>
        <w:t> </w:t>
      </w:r>
      <w:r>
        <w:rPr>
          <w:color w:val="231F20"/>
        </w:rPr>
        <w:t>noir</w:t>
      </w:r>
      <w:r>
        <w:rPr>
          <w:color w:val="231F20"/>
          <w:spacing w:val="-15"/>
        </w:rPr>
        <w:t> </w:t>
      </w:r>
      <w:r>
        <w:rPr>
          <w:color w:val="231F20"/>
        </w:rPr>
        <w:t>déclare </w:t>
      </w:r>
      <w:r>
        <w:rPr>
          <w:color w:val="231F20"/>
          <w:spacing w:val="-4"/>
        </w:rPr>
        <w:t>que</w:t>
      </w:r>
      <w:r>
        <w:rPr>
          <w:color w:val="231F20"/>
          <w:spacing w:val="-10"/>
        </w:rPr>
        <w:t> </w:t>
      </w:r>
      <w:r>
        <w:rPr>
          <w:color w:val="231F20"/>
          <w:spacing w:val="-4"/>
        </w:rPr>
        <w:t>l'esclave</w:t>
      </w:r>
      <w:r>
        <w:rPr>
          <w:color w:val="231F20"/>
          <w:spacing w:val="-10"/>
        </w:rPr>
        <w:t> </w:t>
      </w:r>
      <w:r>
        <w:rPr>
          <w:color w:val="231F20"/>
          <w:spacing w:val="-4"/>
        </w:rPr>
        <w:t>n’a</w:t>
      </w:r>
      <w:r>
        <w:rPr>
          <w:color w:val="231F20"/>
          <w:spacing w:val="-10"/>
        </w:rPr>
        <w:t> </w:t>
      </w:r>
      <w:r>
        <w:rPr>
          <w:color w:val="231F20"/>
          <w:spacing w:val="-4"/>
        </w:rPr>
        <w:t>pas</w:t>
      </w:r>
      <w:r>
        <w:rPr>
          <w:color w:val="231F20"/>
          <w:spacing w:val="-8"/>
        </w:rPr>
        <w:t> </w:t>
      </w:r>
      <w:r>
        <w:rPr>
          <w:color w:val="231F20"/>
          <w:spacing w:val="-4"/>
        </w:rPr>
        <w:t>d'existence</w:t>
      </w:r>
      <w:r>
        <w:rPr>
          <w:color w:val="231F20"/>
          <w:spacing w:val="-10"/>
        </w:rPr>
        <w:t> </w:t>
      </w:r>
      <w:r>
        <w:rPr>
          <w:color w:val="231F20"/>
          <w:spacing w:val="-4"/>
        </w:rPr>
        <w:t>juridique</w:t>
      </w:r>
      <w:r>
        <w:rPr>
          <w:color w:val="231F20"/>
          <w:spacing w:val="-10"/>
        </w:rPr>
        <w:t> </w:t>
      </w:r>
      <w:r>
        <w:rPr>
          <w:color w:val="231F20"/>
          <w:spacing w:val="-4"/>
        </w:rPr>
        <w:t>et</w:t>
      </w:r>
      <w:r>
        <w:rPr>
          <w:color w:val="231F20"/>
          <w:spacing w:val="-8"/>
        </w:rPr>
        <w:t> </w:t>
      </w:r>
      <w:r>
        <w:rPr>
          <w:color w:val="231F20"/>
          <w:spacing w:val="-4"/>
        </w:rPr>
        <w:t>est</w:t>
      </w:r>
      <w:r>
        <w:rPr>
          <w:color w:val="231F20"/>
          <w:spacing w:val="-8"/>
        </w:rPr>
        <w:t> </w:t>
      </w:r>
      <w:r>
        <w:rPr>
          <w:color w:val="231F20"/>
          <w:spacing w:val="-4"/>
        </w:rPr>
        <w:t>la</w:t>
      </w:r>
      <w:r>
        <w:rPr>
          <w:color w:val="231F20"/>
          <w:spacing w:val="-10"/>
        </w:rPr>
        <w:t> </w:t>
      </w:r>
      <w:r>
        <w:rPr>
          <w:color w:val="231F20"/>
          <w:spacing w:val="-4"/>
        </w:rPr>
        <w:t>propriété</w:t>
      </w:r>
      <w:r>
        <w:rPr>
          <w:color w:val="231F20"/>
          <w:spacing w:val="-11"/>
        </w:rPr>
        <w:t> </w:t>
      </w:r>
      <w:r>
        <w:rPr>
          <w:color w:val="231F20"/>
          <w:spacing w:val="-4"/>
        </w:rPr>
        <w:t>du</w:t>
      </w:r>
      <w:r>
        <w:rPr>
          <w:color w:val="231F20"/>
          <w:spacing w:val="-8"/>
        </w:rPr>
        <w:t> </w:t>
      </w:r>
      <w:r>
        <w:rPr>
          <w:color w:val="231F20"/>
          <w:spacing w:val="-4"/>
        </w:rPr>
        <w:t>maître.</w:t>
      </w:r>
      <w:r>
        <w:rPr>
          <w:color w:val="231F20"/>
          <w:spacing w:val="-8"/>
        </w:rPr>
        <w:t> </w:t>
      </w:r>
      <w:r>
        <w:rPr>
          <w:color w:val="231F20"/>
          <w:spacing w:val="-4"/>
        </w:rPr>
        <w:t>Par </w:t>
      </w:r>
      <w:r>
        <w:rPr>
          <w:color w:val="231F20"/>
        </w:rPr>
        <w:t>l’article</w:t>
      </w:r>
      <w:r>
        <w:rPr>
          <w:color w:val="231F20"/>
          <w:spacing w:val="-14"/>
        </w:rPr>
        <w:t> </w:t>
      </w:r>
      <w:r>
        <w:rPr>
          <w:color w:val="231F20"/>
        </w:rPr>
        <w:t>44</w:t>
      </w:r>
      <w:r>
        <w:rPr>
          <w:color w:val="231F20"/>
          <w:spacing w:val="-13"/>
        </w:rPr>
        <w:t> </w:t>
      </w:r>
      <w:r>
        <w:rPr>
          <w:color w:val="231F20"/>
        </w:rPr>
        <w:t>de</w:t>
      </w:r>
      <w:r>
        <w:rPr>
          <w:color w:val="231F20"/>
          <w:spacing w:val="-11"/>
        </w:rPr>
        <w:t> </w:t>
      </w:r>
      <w:r>
        <w:rPr>
          <w:color w:val="231F20"/>
        </w:rPr>
        <w:t>ce</w:t>
      </w:r>
      <w:r>
        <w:rPr>
          <w:color w:val="231F20"/>
          <w:spacing w:val="-11"/>
        </w:rPr>
        <w:t> </w:t>
      </w:r>
      <w:r>
        <w:rPr>
          <w:color w:val="231F20"/>
        </w:rPr>
        <w:t>code,</w:t>
      </w:r>
      <w:r>
        <w:rPr>
          <w:color w:val="231F20"/>
          <w:spacing w:val="-14"/>
        </w:rPr>
        <w:t> </w:t>
      </w:r>
      <w:r>
        <w:rPr>
          <w:color w:val="231F20"/>
        </w:rPr>
        <w:t>l’esclave</w:t>
      </w:r>
      <w:r>
        <w:rPr>
          <w:color w:val="231F20"/>
          <w:spacing w:val="-11"/>
        </w:rPr>
        <w:t> </w:t>
      </w:r>
      <w:r>
        <w:rPr>
          <w:color w:val="231F20"/>
        </w:rPr>
        <w:t>noir</w:t>
      </w:r>
      <w:r>
        <w:rPr>
          <w:color w:val="231F20"/>
          <w:spacing w:val="-12"/>
        </w:rPr>
        <w:t> </w:t>
      </w:r>
      <w:r>
        <w:rPr>
          <w:color w:val="231F20"/>
        </w:rPr>
        <w:t>est</w:t>
      </w:r>
      <w:r>
        <w:rPr>
          <w:color w:val="231F20"/>
          <w:spacing w:val="-13"/>
        </w:rPr>
        <w:t> </w:t>
      </w:r>
      <w:r>
        <w:rPr>
          <w:color w:val="231F20"/>
        </w:rPr>
        <w:t>déclaré</w:t>
      </w:r>
      <w:r>
        <w:rPr>
          <w:color w:val="231F20"/>
          <w:spacing w:val="-11"/>
        </w:rPr>
        <w:t> </w:t>
      </w:r>
      <w:r>
        <w:rPr>
          <w:color w:val="231F20"/>
        </w:rPr>
        <w:t>«</w:t>
      </w:r>
      <w:r>
        <w:rPr>
          <w:color w:val="231F20"/>
          <w:spacing w:val="-15"/>
        </w:rPr>
        <w:t> </w:t>
      </w:r>
      <w:r>
        <w:rPr>
          <w:color w:val="231F20"/>
        </w:rPr>
        <w:t>meuble</w:t>
      </w:r>
      <w:r>
        <w:rPr>
          <w:color w:val="231F20"/>
          <w:spacing w:val="-14"/>
        </w:rPr>
        <w:t> </w:t>
      </w:r>
      <w:r>
        <w:rPr>
          <w:color w:val="231F20"/>
        </w:rPr>
        <w:t>»,</w:t>
      </w:r>
      <w:r>
        <w:rPr>
          <w:color w:val="231F20"/>
          <w:spacing w:val="-13"/>
        </w:rPr>
        <w:t> </w:t>
      </w:r>
      <w:r>
        <w:rPr>
          <w:color w:val="231F20"/>
        </w:rPr>
        <w:t>c'est-à-dire assimilé</w:t>
      </w:r>
      <w:r>
        <w:rPr>
          <w:color w:val="231F20"/>
          <w:spacing w:val="-12"/>
        </w:rPr>
        <w:t> </w:t>
      </w:r>
      <w:r>
        <w:rPr>
          <w:color w:val="231F20"/>
        </w:rPr>
        <w:t>à</w:t>
      </w:r>
      <w:r>
        <w:rPr>
          <w:color w:val="231F20"/>
          <w:spacing w:val="-10"/>
        </w:rPr>
        <w:t> </w:t>
      </w:r>
      <w:r>
        <w:rPr>
          <w:color w:val="231F20"/>
        </w:rPr>
        <w:t>un</w:t>
      </w:r>
      <w:r>
        <w:rPr>
          <w:color w:val="231F20"/>
          <w:spacing w:val="-11"/>
        </w:rPr>
        <w:t> </w:t>
      </w:r>
      <w:r>
        <w:rPr>
          <w:color w:val="231F20"/>
        </w:rPr>
        <w:t>objet</w:t>
      </w:r>
      <w:r>
        <w:rPr>
          <w:color w:val="231F20"/>
          <w:spacing w:val="-10"/>
        </w:rPr>
        <w:t> </w:t>
      </w:r>
      <w:r>
        <w:rPr>
          <w:color w:val="231F20"/>
        </w:rPr>
        <w:t>ou</w:t>
      </w:r>
      <w:r>
        <w:rPr>
          <w:color w:val="231F20"/>
          <w:spacing w:val="-11"/>
        </w:rPr>
        <w:t> </w:t>
      </w:r>
      <w:r>
        <w:rPr>
          <w:color w:val="231F20"/>
        </w:rPr>
        <w:t>une</w:t>
      </w:r>
      <w:r>
        <w:rPr>
          <w:color w:val="231F20"/>
          <w:spacing w:val="-10"/>
        </w:rPr>
        <w:t> </w:t>
      </w:r>
      <w:r>
        <w:rPr>
          <w:color w:val="231F20"/>
        </w:rPr>
        <w:t>marchandise</w:t>
      </w:r>
      <w:r>
        <w:rPr>
          <w:color w:val="231F20"/>
          <w:spacing w:val="-10"/>
        </w:rPr>
        <w:t> </w:t>
      </w:r>
      <w:r>
        <w:rPr>
          <w:color w:val="231F20"/>
        </w:rPr>
        <w:t>qui</w:t>
      </w:r>
      <w:r>
        <w:rPr>
          <w:color w:val="231F20"/>
          <w:spacing w:val="-12"/>
        </w:rPr>
        <w:t> </w:t>
      </w:r>
      <w:r>
        <w:rPr>
          <w:color w:val="231F20"/>
        </w:rPr>
        <w:t>peut</w:t>
      </w:r>
      <w:r>
        <w:rPr>
          <w:color w:val="231F20"/>
          <w:spacing w:val="-11"/>
        </w:rPr>
        <w:t> </w:t>
      </w:r>
      <w:r>
        <w:rPr>
          <w:color w:val="231F20"/>
        </w:rPr>
        <w:t>être</w:t>
      </w:r>
      <w:r>
        <w:rPr>
          <w:color w:val="231F20"/>
          <w:spacing w:val="-10"/>
        </w:rPr>
        <w:t> </w:t>
      </w:r>
      <w:r>
        <w:rPr>
          <w:color w:val="231F20"/>
        </w:rPr>
        <w:t>vendue,</w:t>
      </w:r>
      <w:r>
        <w:rPr>
          <w:color w:val="231F20"/>
          <w:spacing w:val="-11"/>
        </w:rPr>
        <w:t> </w:t>
      </w:r>
      <w:r>
        <w:rPr>
          <w:color w:val="231F20"/>
        </w:rPr>
        <w:t>même</w:t>
      </w:r>
      <w:r>
        <w:rPr>
          <w:color w:val="231F20"/>
          <w:spacing w:val="-12"/>
        </w:rPr>
        <w:t> </w:t>
      </w:r>
      <w:r>
        <w:rPr>
          <w:color w:val="231F20"/>
        </w:rPr>
        <w:t>aux enchères ou transmise par héritage. L’esclavage est certes aboli mais l’indigénat, le régime administratif spécial appliqué aux Noirs, se caractérise par l’absence de libertés essentielles comme la liberté d’expression</w:t>
      </w:r>
      <w:r>
        <w:rPr>
          <w:color w:val="231F20"/>
          <w:spacing w:val="-13"/>
        </w:rPr>
        <w:t> </w:t>
      </w:r>
      <w:r>
        <w:rPr>
          <w:color w:val="231F20"/>
        </w:rPr>
        <w:t>ou</w:t>
      </w:r>
      <w:r>
        <w:rPr>
          <w:color w:val="231F20"/>
          <w:spacing w:val="-13"/>
        </w:rPr>
        <w:t> </w:t>
      </w:r>
      <w:r>
        <w:rPr>
          <w:color w:val="231F20"/>
        </w:rPr>
        <w:t>d’association.</w:t>
      </w:r>
      <w:r>
        <w:rPr>
          <w:color w:val="231F20"/>
          <w:spacing w:val="-11"/>
        </w:rPr>
        <w:t> </w:t>
      </w:r>
      <w:r>
        <w:rPr>
          <w:color w:val="231F20"/>
        </w:rPr>
        <w:t>Interdits</w:t>
      </w:r>
      <w:r>
        <w:rPr>
          <w:color w:val="231F20"/>
          <w:spacing w:val="-13"/>
        </w:rPr>
        <w:t> </w:t>
      </w:r>
      <w:r>
        <w:rPr>
          <w:color w:val="231F20"/>
        </w:rPr>
        <w:t>de</w:t>
      </w:r>
      <w:r>
        <w:rPr>
          <w:color w:val="231F20"/>
          <w:spacing w:val="-14"/>
        </w:rPr>
        <w:t> </w:t>
      </w:r>
      <w:r>
        <w:rPr>
          <w:color w:val="231F20"/>
        </w:rPr>
        <w:t>circuler</w:t>
      </w:r>
      <w:r>
        <w:rPr>
          <w:color w:val="231F20"/>
          <w:spacing w:val="-14"/>
        </w:rPr>
        <w:t> </w:t>
      </w:r>
      <w:r>
        <w:rPr>
          <w:color w:val="231F20"/>
        </w:rPr>
        <w:t>la</w:t>
      </w:r>
      <w:r>
        <w:rPr>
          <w:color w:val="231F20"/>
          <w:spacing w:val="-12"/>
        </w:rPr>
        <w:t> </w:t>
      </w:r>
      <w:r>
        <w:rPr>
          <w:color w:val="231F20"/>
        </w:rPr>
        <w:t>nuit,</w:t>
      </w:r>
      <w:r>
        <w:rPr>
          <w:color w:val="231F20"/>
          <w:spacing w:val="-12"/>
        </w:rPr>
        <w:t> </w:t>
      </w:r>
      <w:r>
        <w:rPr>
          <w:color w:val="231F20"/>
        </w:rPr>
        <w:t>les</w:t>
      </w:r>
      <w:r>
        <w:rPr>
          <w:color w:val="231F20"/>
          <w:spacing w:val="-13"/>
        </w:rPr>
        <w:t> </w:t>
      </w:r>
      <w:r>
        <w:rPr>
          <w:color w:val="231F20"/>
        </w:rPr>
        <w:t>indigènes sont</w:t>
      </w:r>
      <w:r>
        <w:rPr>
          <w:color w:val="231F20"/>
          <w:spacing w:val="-15"/>
        </w:rPr>
        <w:t> </w:t>
      </w:r>
      <w:r>
        <w:rPr>
          <w:color w:val="231F20"/>
        </w:rPr>
        <w:t>corvéables</w:t>
      </w:r>
      <w:r>
        <w:rPr>
          <w:color w:val="231F20"/>
          <w:spacing w:val="-15"/>
        </w:rPr>
        <w:t> </w:t>
      </w:r>
      <w:r>
        <w:rPr>
          <w:color w:val="231F20"/>
        </w:rPr>
        <w:t>à</w:t>
      </w:r>
      <w:r>
        <w:rPr>
          <w:color w:val="231F20"/>
          <w:spacing w:val="-15"/>
        </w:rPr>
        <w:t> </w:t>
      </w:r>
      <w:r>
        <w:rPr>
          <w:color w:val="231F20"/>
        </w:rPr>
        <w:t>merci</w:t>
      </w:r>
      <w:r>
        <w:rPr>
          <w:color w:val="231F20"/>
          <w:spacing w:val="-15"/>
        </w:rPr>
        <w:t> </w:t>
      </w:r>
      <w:r>
        <w:rPr>
          <w:color w:val="231F20"/>
        </w:rPr>
        <w:t>et</w:t>
      </w:r>
      <w:r>
        <w:rPr>
          <w:color w:val="231F20"/>
          <w:spacing w:val="-15"/>
        </w:rPr>
        <w:t> </w:t>
      </w:r>
      <w:r>
        <w:rPr>
          <w:color w:val="231F20"/>
        </w:rPr>
        <w:t>soumis</w:t>
      </w:r>
      <w:r>
        <w:rPr>
          <w:color w:val="231F20"/>
          <w:spacing w:val="-15"/>
        </w:rPr>
        <w:t> </w:t>
      </w:r>
      <w:r>
        <w:rPr>
          <w:color w:val="231F20"/>
        </w:rPr>
        <w:t>à</w:t>
      </w:r>
      <w:r>
        <w:rPr>
          <w:color w:val="231F20"/>
          <w:spacing w:val="-15"/>
        </w:rPr>
        <w:t> </w:t>
      </w:r>
      <w:r>
        <w:rPr>
          <w:color w:val="231F20"/>
        </w:rPr>
        <w:t>de</w:t>
      </w:r>
      <w:r>
        <w:rPr>
          <w:color w:val="231F20"/>
          <w:spacing w:val="-15"/>
        </w:rPr>
        <w:t> </w:t>
      </w:r>
      <w:r>
        <w:rPr>
          <w:color w:val="231F20"/>
        </w:rPr>
        <w:t>nombreuses</w:t>
      </w:r>
      <w:r>
        <w:rPr>
          <w:color w:val="231F20"/>
          <w:spacing w:val="-15"/>
        </w:rPr>
        <w:t> </w:t>
      </w:r>
      <w:r>
        <w:rPr>
          <w:color w:val="231F20"/>
        </w:rPr>
        <w:t>taxes</w:t>
      </w:r>
      <w:r>
        <w:rPr>
          <w:color w:val="231F20"/>
          <w:spacing w:val="-15"/>
        </w:rPr>
        <w:t> </w:t>
      </w:r>
      <w:r>
        <w:rPr>
          <w:color w:val="231F20"/>
        </w:rPr>
        <w:t>coloniales</w:t>
      </w:r>
      <w:r>
        <w:rPr>
          <w:color w:val="231F20"/>
          <w:spacing w:val="-15"/>
        </w:rPr>
        <w:t> </w:t>
      </w:r>
      <w:r>
        <w:rPr>
          <w:color w:val="231F20"/>
        </w:rPr>
        <w:t>dont l’impôt</w:t>
      </w:r>
      <w:r>
        <w:rPr>
          <w:color w:val="231F20"/>
          <w:spacing w:val="28"/>
        </w:rPr>
        <w:t> </w:t>
      </w:r>
      <w:r>
        <w:rPr>
          <w:color w:val="231F20"/>
        </w:rPr>
        <w:t>de</w:t>
      </w:r>
      <w:r>
        <w:rPr>
          <w:color w:val="231F20"/>
          <w:spacing w:val="26"/>
        </w:rPr>
        <w:t> </w:t>
      </w:r>
      <w:r>
        <w:rPr>
          <w:color w:val="231F20"/>
        </w:rPr>
        <w:t>capitation,</w:t>
      </w:r>
      <w:r>
        <w:rPr>
          <w:color w:val="231F20"/>
          <w:spacing w:val="26"/>
        </w:rPr>
        <w:t> </w:t>
      </w:r>
      <w:r>
        <w:rPr>
          <w:color w:val="231F20"/>
        </w:rPr>
        <w:t>tribut</w:t>
      </w:r>
      <w:r>
        <w:rPr>
          <w:color w:val="231F20"/>
          <w:spacing w:val="28"/>
        </w:rPr>
        <w:t> </w:t>
      </w:r>
      <w:r>
        <w:rPr>
          <w:color w:val="231F20"/>
        </w:rPr>
        <w:t>à</w:t>
      </w:r>
      <w:r>
        <w:rPr>
          <w:color w:val="231F20"/>
          <w:spacing w:val="28"/>
        </w:rPr>
        <w:t> </w:t>
      </w:r>
      <w:r>
        <w:rPr>
          <w:color w:val="231F20"/>
        </w:rPr>
        <w:t>payer</w:t>
      </w:r>
      <w:r>
        <w:rPr>
          <w:color w:val="231F20"/>
          <w:spacing w:val="26"/>
        </w:rPr>
        <w:t> </w:t>
      </w:r>
      <w:r>
        <w:rPr>
          <w:color w:val="231F20"/>
        </w:rPr>
        <w:t>pour</w:t>
      </w:r>
      <w:r>
        <w:rPr>
          <w:color w:val="231F20"/>
          <w:spacing w:val="26"/>
        </w:rPr>
        <w:t> </w:t>
      </w:r>
      <w:r>
        <w:rPr>
          <w:color w:val="231F20"/>
        </w:rPr>
        <w:t>la</w:t>
      </w:r>
      <w:r>
        <w:rPr>
          <w:color w:val="231F20"/>
          <w:spacing w:val="28"/>
        </w:rPr>
        <w:t> </w:t>
      </w:r>
      <w:r>
        <w:rPr>
          <w:color w:val="231F20"/>
        </w:rPr>
        <w:t>pacification,</w:t>
      </w:r>
      <w:r>
        <w:rPr>
          <w:color w:val="231F20"/>
          <w:spacing w:val="26"/>
        </w:rPr>
        <w:t> </w:t>
      </w:r>
      <w:r>
        <w:rPr>
          <w:color w:val="231F20"/>
        </w:rPr>
        <w:t>l'accès</w:t>
      </w:r>
      <w:r>
        <w:rPr>
          <w:color w:val="231F20"/>
          <w:spacing w:val="27"/>
        </w:rPr>
        <w:t> </w:t>
      </w:r>
      <w:r>
        <w:rPr>
          <w:color w:val="231F20"/>
        </w:rPr>
        <w:t>à</w:t>
      </w:r>
      <w:r>
        <w:rPr>
          <w:color w:val="231F20"/>
          <w:spacing w:val="26"/>
        </w:rPr>
        <w:t> </w:t>
      </w:r>
      <w:r>
        <w:rPr>
          <w:color w:val="231F20"/>
        </w:rPr>
        <w:t>la</w:t>
      </w:r>
    </w:p>
    <w:p>
      <w:pPr>
        <w:pStyle w:val="BodyText"/>
        <w:spacing w:before="1"/>
      </w:pPr>
      <w:r>
        <w:rPr>
          <w:color w:val="231F20"/>
          <w:spacing w:val="-2"/>
        </w:rPr>
        <w:t>«</w:t>
      </w:r>
      <w:r>
        <w:rPr>
          <w:color w:val="231F20"/>
          <w:spacing w:val="-10"/>
        </w:rPr>
        <w:t> </w:t>
      </w:r>
      <w:r>
        <w:rPr>
          <w:color w:val="231F20"/>
          <w:spacing w:val="-2"/>
        </w:rPr>
        <w:t>civilisation</w:t>
      </w:r>
      <w:r>
        <w:rPr>
          <w:color w:val="231F20"/>
          <w:spacing w:val="-10"/>
        </w:rPr>
        <w:t> </w:t>
      </w:r>
      <w:r>
        <w:rPr>
          <w:color w:val="231F20"/>
          <w:spacing w:val="-2"/>
        </w:rPr>
        <w:t>»</w:t>
      </w:r>
      <w:r>
        <w:rPr>
          <w:color w:val="231F20"/>
          <w:spacing w:val="-7"/>
        </w:rPr>
        <w:t> </w:t>
      </w:r>
      <w:r>
        <w:rPr>
          <w:color w:val="231F20"/>
          <w:spacing w:val="-2"/>
        </w:rPr>
        <w:t>et</w:t>
      </w:r>
      <w:r>
        <w:rPr>
          <w:color w:val="231F20"/>
          <w:spacing w:val="-7"/>
        </w:rPr>
        <w:t> </w:t>
      </w:r>
      <w:r>
        <w:rPr>
          <w:color w:val="231F20"/>
          <w:spacing w:val="-2"/>
        </w:rPr>
        <w:t>à</w:t>
      </w:r>
      <w:r>
        <w:rPr>
          <w:color w:val="231F20"/>
          <w:spacing w:val="-10"/>
        </w:rPr>
        <w:t> </w:t>
      </w:r>
      <w:r>
        <w:rPr>
          <w:color w:val="231F20"/>
          <w:spacing w:val="-2"/>
        </w:rPr>
        <w:t>«</w:t>
      </w:r>
      <w:r>
        <w:rPr>
          <w:color w:val="231F20"/>
          <w:spacing w:val="-7"/>
        </w:rPr>
        <w:t> </w:t>
      </w:r>
      <w:r>
        <w:rPr>
          <w:color w:val="231F20"/>
          <w:spacing w:val="-2"/>
        </w:rPr>
        <w:t>la</w:t>
      </w:r>
      <w:r>
        <w:rPr>
          <w:color w:val="231F20"/>
          <w:spacing w:val="-11"/>
        </w:rPr>
        <w:t> </w:t>
      </w:r>
      <w:r>
        <w:rPr>
          <w:color w:val="231F20"/>
          <w:spacing w:val="-2"/>
        </w:rPr>
        <w:t>protection.</w:t>
      </w:r>
      <w:r>
        <w:rPr>
          <w:color w:val="231F20"/>
          <w:spacing w:val="-10"/>
        </w:rPr>
        <w:t> »</w:t>
      </w:r>
    </w:p>
    <w:p>
      <w:pPr>
        <w:pStyle w:val="BodyText"/>
        <w:spacing w:before="120"/>
        <w:ind w:right="106" w:firstLine="283"/>
      </w:pPr>
      <w:r>
        <w:rPr>
          <w:color w:val="231F20"/>
        </w:rPr>
        <w:t>L’Administration</w:t>
      </w:r>
      <w:r>
        <w:rPr>
          <w:color w:val="231F20"/>
          <w:spacing w:val="-15"/>
        </w:rPr>
        <w:t> </w:t>
      </w:r>
      <w:r>
        <w:rPr>
          <w:color w:val="231F20"/>
        </w:rPr>
        <w:t>coloniale</w:t>
      </w:r>
      <w:r>
        <w:rPr>
          <w:color w:val="231F20"/>
          <w:spacing w:val="-15"/>
        </w:rPr>
        <w:t> </w:t>
      </w:r>
      <w:r>
        <w:rPr>
          <w:color w:val="231F20"/>
        </w:rPr>
        <w:t>a</w:t>
      </w:r>
      <w:r>
        <w:rPr>
          <w:color w:val="231F20"/>
          <w:spacing w:val="-15"/>
        </w:rPr>
        <w:t> </w:t>
      </w:r>
      <w:r>
        <w:rPr>
          <w:color w:val="231F20"/>
        </w:rPr>
        <w:t>pour</w:t>
      </w:r>
      <w:r>
        <w:rPr>
          <w:color w:val="231F20"/>
          <w:spacing w:val="-15"/>
        </w:rPr>
        <w:t> </w:t>
      </w:r>
      <w:r>
        <w:rPr>
          <w:color w:val="231F20"/>
        </w:rPr>
        <w:t>missions</w:t>
      </w:r>
      <w:r>
        <w:rPr>
          <w:color w:val="231F20"/>
          <w:spacing w:val="-15"/>
        </w:rPr>
        <w:t> </w:t>
      </w:r>
      <w:r>
        <w:rPr>
          <w:color w:val="231F20"/>
        </w:rPr>
        <w:t>d’étendre</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renforcer le contrôle militaire des colonies, de protéger leurs compatriotes, d’épauler le travail de « civilisation » des missionnaires et, de faciliter surtout</w:t>
      </w:r>
      <w:r>
        <w:rPr>
          <w:color w:val="231F20"/>
          <w:spacing w:val="-3"/>
        </w:rPr>
        <w:t> </w:t>
      </w:r>
      <w:r>
        <w:rPr>
          <w:color w:val="231F20"/>
        </w:rPr>
        <w:t>l’exploitation économique de</w:t>
      </w:r>
      <w:r>
        <w:rPr>
          <w:color w:val="231F20"/>
          <w:spacing w:val="-3"/>
        </w:rPr>
        <w:t> </w:t>
      </w:r>
      <w:r>
        <w:rPr>
          <w:color w:val="231F20"/>
        </w:rPr>
        <w:t>la colonie.</w:t>
      </w:r>
    </w:p>
    <w:p>
      <w:pPr>
        <w:pStyle w:val="BodyText"/>
        <w:spacing w:before="120"/>
        <w:ind w:right="103" w:firstLine="283"/>
      </w:pPr>
      <w:r>
        <w:rPr>
          <w:color w:val="231F20"/>
        </w:rPr>
        <w:t>La colonie est divisée en cercles, et ceux-ci en subdivisions, </w:t>
      </w:r>
      <w:r>
        <w:rPr>
          <w:color w:val="231F20"/>
          <w:spacing w:val="-2"/>
        </w:rPr>
        <w:t>commandés</w:t>
      </w:r>
      <w:r>
        <w:rPr>
          <w:color w:val="231F20"/>
          <w:spacing w:val="-13"/>
        </w:rPr>
        <w:t> </w:t>
      </w:r>
      <w:r>
        <w:rPr>
          <w:color w:val="231F20"/>
          <w:spacing w:val="-2"/>
        </w:rPr>
        <w:t>les</w:t>
      </w:r>
      <w:r>
        <w:rPr>
          <w:color w:val="231F20"/>
          <w:spacing w:val="-13"/>
        </w:rPr>
        <w:t> </w:t>
      </w:r>
      <w:r>
        <w:rPr>
          <w:color w:val="231F20"/>
          <w:spacing w:val="-2"/>
        </w:rPr>
        <w:t>uns</w:t>
      </w:r>
      <w:r>
        <w:rPr>
          <w:color w:val="231F20"/>
          <w:spacing w:val="-13"/>
        </w:rPr>
        <w:t> </w:t>
      </w:r>
      <w:r>
        <w:rPr>
          <w:color w:val="231F20"/>
          <w:spacing w:val="-2"/>
        </w:rPr>
        <w:t>et</w:t>
      </w:r>
      <w:r>
        <w:rPr>
          <w:color w:val="231F20"/>
          <w:spacing w:val="-13"/>
        </w:rPr>
        <w:t> </w:t>
      </w:r>
      <w:r>
        <w:rPr>
          <w:color w:val="231F20"/>
          <w:spacing w:val="-2"/>
        </w:rPr>
        <w:t>les</w:t>
      </w:r>
      <w:r>
        <w:rPr>
          <w:color w:val="231F20"/>
          <w:spacing w:val="-13"/>
        </w:rPr>
        <w:t> </w:t>
      </w:r>
      <w:r>
        <w:rPr>
          <w:color w:val="231F20"/>
          <w:spacing w:val="-2"/>
        </w:rPr>
        <w:t>autres</w:t>
      </w:r>
      <w:r>
        <w:rPr>
          <w:color w:val="231F20"/>
          <w:spacing w:val="-13"/>
        </w:rPr>
        <w:t> </w:t>
      </w:r>
      <w:r>
        <w:rPr>
          <w:color w:val="231F20"/>
          <w:spacing w:val="-2"/>
        </w:rPr>
        <w:t>par</w:t>
      </w:r>
      <w:r>
        <w:rPr>
          <w:color w:val="231F20"/>
          <w:spacing w:val="-13"/>
        </w:rPr>
        <w:t> </w:t>
      </w:r>
      <w:r>
        <w:rPr>
          <w:color w:val="231F20"/>
          <w:spacing w:val="-2"/>
        </w:rPr>
        <w:t>des</w:t>
      </w:r>
      <w:r>
        <w:rPr>
          <w:color w:val="231F20"/>
          <w:spacing w:val="-13"/>
        </w:rPr>
        <w:t> </w:t>
      </w:r>
      <w:r>
        <w:rPr>
          <w:color w:val="231F20"/>
          <w:spacing w:val="-2"/>
        </w:rPr>
        <w:t>Administrateurs</w:t>
      </w:r>
      <w:r>
        <w:rPr>
          <w:color w:val="231F20"/>
          <w:spacing w:val="-13"/>
        </w:rPr>
        <w:t> </w:t>
      </w:r>
      <w:r>
        <w:rPr>
          <w:color w:val="231F20"/>
          <w:spacing w:val="-2"/>
        </w:rPr>
        <w:t>dotés</w:t>
      </w:r>
      <w:r>
        <w:rPr>
          <w:color w:val="231F20"/>
          <w:spacing w:val="-11"/>
        </w:rPr>
        <w:t> </w:t>
      </w:r>
      <w:r>
        <w:rPr>
          <w:color w:val="231F20"/>
          <w:spacing w:val="-2"/>
        </w:rPr>
        <w:t>de</w:t>
      </w:r>
      <w:r>
        <w:rPr>
          <w:color w:val="231F20"/>
          <w:spacing w:val="-13"/>
        </w:rPr>
        <w:t> </w:t>
      </w:r>
      <w:r>
        <w:rPr>
          <w:color w:val="231F20"/>
          <w:spacing w:val="-2"/>
        </w:rPr>
        <w:t>tous</w:t>
      </w:r>
      <w:r>
        <w:rPr>
          <w:color w:val="231F20"/>
          <w:spacing w:val="-13"/>
        </w:rPr>
        <w:t> </w:t>
      </w:r>
      <w:r>
        <w:rPr>
          <w:color w:val="231F20"/>
          <w:spacing w:val="-2"/>
        </w:rPr>
        <w:t>les </w:t>
      </w:r>
      <w:r>
        <w:rPr>
          <w:color w:val="231F20"/>
        </w:rPr>
        <w:t>pouvoirs et de toutes les responsabilités</w:t>
      </w:r>
      <w:r>
        <w:rPr>
          <w:color w:val="231F20"/>
          <w:spacing w:val="-13"/>
        </w:rPr>
        <w:t> </w:t>
      </w:r>
      <w:r>
        <w:rPr>
          <w:color w:val="231F20"/>
        </w:rPr>
        <w:t>: administration, police, développement économique...Sous leurs ordres sont placés les chefs </w:t>
      </w:r>
      <w:r>
        <w:rPr>
          <w:color w:val="231F20"/>
          <w:spacing w:val="-2"/>
        </w:rPr>
        <w:t>indigènes</w:t>
      </w:r>
      <w:r>
        <w:rPr>
          <w:color w:val="231F20"/>
          <w:spacing w:val="-13"/>
        </w:rPr>
        <w:t> </w:t>
      </w:r>
      <w:r>
        <w:rPr>
          <w:color w:val="231F20"/>
          <w:spacing w:val="-2"/>
        </w:rPr>
        <w:t>:</w:t>
      </w:r>
      <w:r>
        <w:rPr>
          <w:color w:val="231F20"/>
          <w:spacing w:val="-12"/>
        </w:rPr>
        <w:t> </w:t>
      </w:r>
      <w:r>
        <w:rPr>
          <w:color w:val="231F20"/>
          <w:spacing w:val="-2"/>
        </w:rPr>
        <w:t>empereur,</w:t>
      </w:r>
      <w:r>
        <w:rPr>
          <w:color w:val="231F20"/>
          <w:spacing w:val="-12"/>
        </w:rPr>
        <w:t> </w:t>
      </w:r>
      <w:r>
        <w:rPr>
          <w:color w:val="231F20"/>
          <w:spacing w:val="-2"/>
        </w:rPr>
        <w:t>roi,</w:t>
      </w:r>
      <w:r>
        <w:rPr>
          <w:color w:val="231F20"/>
          <w:spacing w:val="-13"/>
        </w:rPr>
        <w:t> </w:t>
      </w:r>
      <w:r>
        <w:rPr>
          <w:color w:val="231F20"/>
          <w:spacing w:val="-2"/>
        </w:rPr>
        <w:t>chef</w:t>
      </w:r>
      <w:r>
        <w:rPr>
          <w:color w:val="231F20"/>
          <w:spacing w:val="-13"/>
        </w:rPr>
        <w:t> </w:t>
      </w:r>
      <w:r>
        <w:rPr>
          <w:color w:val="231F20"/>
          <w:spacing w:val="-2"/>
        </w:rPr>
        <w:t>de</w:t>
      </w:r>
      <w:r>
        <w:rPr>
          <w:color w:val="231F20"/>
          <w:spacing w:val="-12"/>
        </w:rPr>
        <w:t> </w:t>
      </w:r>
      <w:r>
        <w:rPr>
          <w:color w:val="231F20"/>
          <w:spacing w:val="-2"/>
        </w:rPr>
        <w:t>canton</w:t>
      </w:r>
      <w:r>
        <w:rPr>
          <w:color w:val="231F20"/>
          <w:spacing w:val="-12"/>
        </w:rPr>
        <w:t> </w:t>
      </w:r>
      <w:r>
        <w:rPr>
          <w:color w:val="231F20"/>
          <w:spacing w:val="-2"/>
        </w:rPr>
        <w:t>et</w:t>
      </w:r>
      <w:r>
        <w:rPr>
          <w:color w:val="231F20"/>
          <w:spacing w:val="-11"/>
        </w:rPr>
        <w:t> </w:t>
      </w:r>
      <w:r>
        <w:rPr>
          <w:color w:val="231F20"/>
          <w:spacing w:val="-2"/>
        </w:rPr>
        <w:t>de</w:t>
      </w:r>
      <w:r>
        <w:rPr>
          <w:color w:val="231F20"/>
          <w:spacing w:val="-12"/>
        </w:rPr>
        <w:t> </w:t>
      </w:r>
      <w:r>
        <w:rPr>
          <w:color w:val="231F20"/>
          <w:spacing w:val="-2"/>
        </w:rPr>
        <w:t>village.</w:t>
      </w:r>
      <w:r>
        <w:rPr>
          <w:color w:val="231F20"/>
          <w:spacing w:val="-11"/>
        </w:rPr>
        <w:t> </w:t>
      </w:r>
      <w:r>
        <w:rPr>
          <w:color w:val="231F20"/>
          <w:spacing w:val="-2"/>
        </w:rPr>
        <w:t>Sur</w:t>
      </w:r>
      <w:r>
        <w:rPr>
          <w:color w:val="231F20"/>
          <w:spacing w:val="-13"/>
        </w:rPr>
        <w:t> </w:t>
      </w:r>
      <w:r>
        <w:rPr>
          <w:color w:val="231F20"/>
          <w:spacing w:val="-2"/>
        </w:rPr>
        <w:t>la</w:t>
      </w:r>
      <w:r>
        <w:rPr>
          <w:color w:val="231F20"/>
          <w:spacing w:val="-12"/>
        </w:rPr>
        <w:t> </w:t>
      </w:r>
      <w:r>
        <w:rPr>
          <w:color w:val="231F20"/>
          <w:spacing w:val="-2"/>
        </w:rPr>
        <w:t>demande</w:t>
      </w:r>
      <w:r>
        <w:rPr>
          <w:color w:val="231F20"/>
          <w:spacing w:val="-12"/>
        </w:rPr>
        <w:t> </w:t>
      </w:r>
      <w:r>
        <w:rPr>
          <w:color w:val="231F20"/>
          <w:spacing w:val="-2"/>
        </w:rPr>
        <w:t>de </w:t>
      </w:r>
      <w:r>
        <w:rPr>
          <w:color w:val="231F20"/>
        </w:rPr>
        <w:t>l'Administration, chaque village important délègue auprès du </w:t>
      </w:r>
      <w:r>
        <w:rPr>
          <w:color w:val="231F20"/>
          <w:spacing w:val="-2"/>
        </w:rPr>
        <w:t>Commandant</w:t>
      </w:r>
      <w:r>
        <w:rPr>
          <w:color w:val="231F20"/>
          <w:spacing w:val="-3"/>
        </w:rPr>
        <w:t> </w:t>
      </w:r>
      <w:r>
        <w:rPr>
          <w:color w:val="231F20"/>
          <w:spacing w:val="-2"/>
        </w:rPr>
        <w:t>(Administrateur</w:t>
      </w:r>
      <w:r>
        <w:rPr>
          <w:color w:val="231F20"/>
          <w:spacing w:val="-4"/>
        </w:rPr>
        <w:t> </w:t>
      </w:r>
      <w:r>
        <w:rPr>
          <w:color w:val="231F20"/>
          <w:spacing w:val="-2"/>
        </w:rPr>
        <w:t>ou</w:t>
      </w:r>
      <w:r>
        <w:rPr>
          <w:color w:val="231F20"/>
          <w:spacing w:val="-6"/>
        </w:rPr>
        <w:t> </w:t>
      </w:r>
      <w:r>
        <w:rPr>
          <w:color w:val="231F20"/>
          <w:spacing w:val="-2"/>
        </w:rPr>
        <w:t>Chef</w:t>
      </w:r>
      <w:r>
        <w:rPr>
          <w:color w:val="231F20"/>
          <w:spacing w:val="-7"/>
        </w:rPr>
        <w:t> </w:t>
      </w:r>
      <w:r>
        <w:rPr>
          <w:color w:val="231F20"/>
          <w:spacing w:val="-2"/>
        </w:rPr>
        <w:t>de</w:t>
      </w:r>
      <w:r>
        <w:rPr>
          <w:color w:val="231F20"/>
          <w:spacing w:val="-4"/>
        </w:rPr>
        <w:t> </w:t>
      </w:r>
      <w:r>
        <w:rPr>
          <w:color w:val="231F20"/>
          <w:spacing w:val="-2"/>
        </w:rPr>
        <w:t>subdivision)</w:t>
      </w:r>
      <w:r>
        <w:rPr>
          <w:color w:val="231F20"/>
          <w:spacing w:val="-4"/>
        </w:rPr>
        <w:t> </w:t>
      </w:r>
      <w:r>
        <w:rPr>
          <w:color w:val="231F20"/>
          <w:spacing w:val="-2"/>
        </w:rPr>
        <w:t>un</w:t>
      </w:r>
      <w:r>
        <w:rPr>
          <w:color w:val="231F20"/>
          <w:spacing w:val="-8"/>
        </w:rPr>
        <w:t> </w:t>
      </w:r>
      <w:r>
        <w:rPr>
          <w:color w:val="231F20"/>
          <w:spacing w:val="-2"/>
        </w:rPr>
        <w:t>indigène</w:t>
      </w:r>
      <w:r>
        <w:rPr>
          <w:color w:val="231F20"/>
          <w:spacing w:val="-7"/>
        </w:rPr>
        <w:t> </w:t>
      </w:r>
      <w:r>
        <w:rPr>
          <w:color w:val="231F20"/>
          <w:spacing w:val="-2"/>
        </w:rPr>
        <w:t>pour représenter</w:t>
      </w:r>
      <w:r>
        <w:rPr>
          <w:color w:val="231F20"/>
          <w:spacing w:val="-5"/>
        </w:rPr>
        <w:t> </w:t>
      </w:r>
      <w:r>
        <w:rPr>
          <w:color w:val="231F20"/>
          <w:spacing w:val="-2"/>
        </w:rPr>
        <w:t>son</w:t>
      </w:r>
      <w:r>
        <w:rPr>
          <w:color w:val="231F20"/>
          <w:spacing w:val="-7"/>
        </w:rPr>
        <w:t> </w:t>
      </w:r>
      <w:r>
        <w:rPr>
          <w:color w:val="231F20"/>
          <w:spacing w:val="-2"/>
        </w:rPr>
        <w:t>village</w:t>
      </w:r>
      <w:r>
        <w:rPr>
          <w:color w:val="231F20"/>
          <w:spacing w:val="-5"/>
        </w:rPr>
        <w:t> </w:t>
      </w:r>
      <w:r>
        <w:rPr>
          <w:color w:val="231F20"/>
          <w:spacing w:val="-2"/>
        </w:rPr>
        <w:t>dans</w:t>
      </w:r>
      <w:r>
        <w:rPr>
          <w:color w:val="231F20"/>
          <w:spacing w:val="-5"/>
        </w:rPr>
        <w:t> </w:t>
      </w:r>
      <w:r>
        <w:rPr>
          <w:color w:val="231F20"/>
          <w:spacing w:val="-2"/>
        </w:rPr>
        <w:t>certaines</w:t>
      </w:r>
      <w:r>
        <w:rPr>
          <w:color w:val="231F20"/>
          <w:spacing w:val="-5"/>
        </w:rPr>
        <w:t> </w:t>
      </w:r>
      <w:r>
        <w:rPr>
          <w:color w:val="231F20"/>
          <w:spacing w:val="-2"/>
        </w:rPr>
        <w:t>affaires.</w:t>
      </w:r>
      <w:r>
        <w:rPr>
          <w:color w:val="231F20"/>
          <w:spacing w:val="-12"/>
        </w:rPr>
        <w:t> </w:t>
      </w:r>
      <w:r>
        <w:rPr>
          <w:color w:val="231F20"/>
          <w:spacing w:val="-2"/>
        </w:rPr>
        <w:t>Le</w:t>
      </w:r>
      <w:r>
        <w:rPr>
          <w:color w:val="231F20"/>
          <w:spacing w:val="-5"/>
        </w:rPr>
        <w:t> </w:t>
      </w:r>
      <w:r>
        <w:rPr>
          <w:color w:val="231F20"/>
          <w:spacing w:val="-2"/>
        </w:rPr>
        <w:t>représentant</w:t>
      </w:r>
      <w:r>
        <w:rPr>
          <w:color w:val="231F20"/>
          <w:spacing w:val="-6"/>
        </w:rPr>
        <w:t> </w:t>
      </w:r>
      <w:r>
        <w:rPr>
          <w:color w:val="231F20"/>
          <w:spacing w:val="-2"/>
        </w:rPr>
        <w:t>lui-même est</w:t>
      </w:r>
      <w:r>
        <w:rPr>
          <w:color w:val="231F20"/>
          <w:spacing w:val="-15"/>
        </w:rPr>
        <w:t> </w:t>
      </w:r>
      <w:r>
        <w:rPr>
          <w:color w:val="231F20"/>
          <w:spacing w:val="-2"/>
        </w:rPr>
        <w:t>chargé</w:t>
      </w:r>
      <w:r>
        <w:rPr>
          <w:color w:val="231F20"/>
          <w:spacing w:val="-12"/>
        </w:rPr>
        <w:t> </w:t>
      </w:r>
      <w:r>
        <w:rPr>
          <w:color w:val="231F20"/>
          <w:spacing w:val="-2"/>
        </w:rPr>
        <w:t>de</w:t>
      </w:r>
      <w:r>
        <w:rPr>
          <w:color w:val="231F20"/>
          <w:spacing w:val="-12"/>
        </w:rPr>
        <w:t> </w:t>
      </w:r>
      <w:r>
        <w:rPr>
          <w:color w:val="231F20"/>
          <w:spacing w:val="-2"/>
        </w:rPr>
        <w:t>transmettre</w:t>
      </w:r>
      <w:r>
        <w:rPr>
          <w:color w:val="231F20"/>
          <w:spacing w:val="-13"/>
        </w:rPr>
        <w:t> </w:t>
      </w:r>
      <w:r>
        <w:rPr>
          <w:color w:val="231F20"/>
          <w:spacing w:val="-2"/>
        </w:rPr>
        <w:t>à</w:t>
      </w:r>
      <w:r>
        <w:rPr>
          <w:color w:val="231F20"/>
          <w:spacing w:val="-13"/>
        </w:rPr>
        <w:t> </w:t>
      </w:r>
      <w:r>
        <w:rPr>
          <w:color w:val="231F20"/>
          <w:spacing w:val="-2"/>
        </w:rPr>
        <w:t>son</w:t>
      </w:r>
      <w:r>
        <w:rPr>
          <w:color w:val="231F20"/>
          <w:spacing w:val="-12"/>
        </w:rPr>
        <w:t> </w:t>
      </w:r>
      <w:r>
        <w:rPr>
          <w:color w:val="231F20"/>
          <w:spacing w:val="-2"/>
        </w:rPr>
        <w:t>chef</w:t>
      </w:r>
      <w:r>
        <w:rPr>
          <w:color w:val="231F20"/>
          <w:spacing w:val="-12"/>
        </w:rPr>
        <w:t> </w:t>
      </w:r>
      <w:r>
        <w:rPr>
          <w:color w:val="231F20"/>
          <w:spacing w:val="-2"/>
        </w:rPr>
        <w:t>de</w:t>
      </w:r>
      <w:r>
        <w:rPr>
          <w:color w:val="231F20"/>
          <w:spacing w:val="-12"/>
        </w:rPr>
        <w:t> </w:t>
      </w:r>
      <w:r>
        <w:rPr>
          <w:color w:val="231F20"/>
          <w:spacing w:val="-2"/>
        </w:rPr>
        <w:t>village</w:t>
      </w:r>
      <w:r>
        <w:rPr>
          <w:color w:val="231F20"/>
          <w:spacing w:val="-13"/>
        </w:rPr>
        <w:t> </w:t>
      </w:r>
      <w:r>
        <w:rPr>
          <w:color w:val="231F20"/>
          <w:spacing w:val="-2"/>
        </w:rPr>
        <w:t>les</w:t>
      </w:r>
      <w:r>
        <w:rPr>
          <w:color w:val="231F20"/>
          <w:spacing w:val="-12"/>
        </w:rPr>
        <w:t> </w:t>
      </w:r>
      <w:r>
        <w:rPr>
          <w:color w:val="231F20"/>
          <w:spacing w:val="-2"/>
        </w:rPr>
        <w:t>ordres</w:t>
      </w:r>
      <w:r>
        <w:rPr>
          <w:color w:val="231F20"/>
          <w:spacing w:val="-12"/>
        </w:rPr>
        <w:t> </w:t>
      </w:r>
      <w:r>
        <w:rPr>
          <w:color w:val="231F20"/>
          <w:spacing w:val="-2"/>
        </w:rPr>
        <w:t>du</w:t>
      </w:r>
      <w:r>
        <w:rPr>
          <w:color w:val="231F20"/>
          <w:spacing w:val="-11"/>
        </w:rPr>
        <w:t> </w:t>
      </w:r>
      <w:r>
        <w:rPr>
          <w:color w:val="231F20"/>
          <w:spacing w:val="-2"/>
        </w:rPr>
        <w:t>Commandant</w:t>
      </w:r>
    </w:p>
    <w:p>
      <w:pPr>
        <w:pStyle w:val="BodyText"/>
        <w:spacing w:before="1"/>
      </w:pPr>
      <w:r>
        <w:rPr>
          <w:color w:val="231F20"/>
        </w:rPr>
        <w:t>;</w:t>
      </w:r>
      <w:r>
        <w:rPr>
          <w:color w:val="231F20"/>
          <w:spacing w:val="-12"/>
        </w:rPr>
        <w:t> </w:t>
      </w:r>
      <w:r>
        <w:rPr>
          <w:color w:val="231F20"/>
        </w:rPr>
        <w:t>il</w:t>
      </w:r>
      <w:r>
        <w:rPr>
          <w:color w:val="231F20"/>
          <w:spacing w:val="-12"/>
        </w:rPr>
        <w:t> </w:t>
      </w:r>
      <w:r>
        <w:rPr>
          <w:color w:val="231F20"/>
        </w:rPr>
        <w:t>répond</w:t>
      </w:r>
      <w:r>
        <w:rPr>
          <w:color w:val="231F20"/>
          <w:spacing w:val="-12"/>
        </w:rPr>
        <w:t> </w:t>
      </w:r>
      <w:r>
        <w:rPr>
          <w:color w:val="231F20"/>
        </w:rPr>
        <w:t>le</w:t>
      </w:r>
      <w:r>
        <w:rPr>
          <w:color w:val="231F20"/>
          <w:spacing w:val="-13"/>
        </w:rPr>
        <w:t> </w:t>
      </w:r>
      <w:r>
        <w:rPr>
          <w:color w:val="231F20"/>
        </w:rPr>
        <w:t>cas</w:t>
      </w:r>
      <w:r>
        <w:rPr>
          <w:color w:val="231F20"/>
          <w:spacing w:val="-12"/>
        </w:rPr>
        <w:t> </w:t>
      </w:r>
      <w:r>
        <w:rPr>
          <w:color w:val="231F20"/>
        </w:rPr>
        <w:t>échéant</w:t>
      </w:r>
      <w:r>
        <w:rPr>
          <w:color w:val="231F20"/>
          <w:spacing w:val="-14"/>
        </w:rPr>
        <w:t> </w:t>
      </w:r>
      <w:r>
        <w:rPr>
          <w:color w:val="231F20"/>
        </w:rPr>
        <w:t>à</w:t>
      </w:r>
      <w:r>
        <w:rPr>
          <w:color w:val="231F20"/>
          <w:spacing w:val="-12"/>
        </w:rPr>
        <w:t> </w:t>
      </w:r>
      <w:r>
        <w:rPr>
          <w:color w:val="231F20"/>
        </w:rPr>
        <w:t>sa</w:t>
      </w:r>
      <w:r>
        <w:rPr>
          <w:color w:val="231F20"/>
          <w:spacing w:val="-12"/>
        </w:rPr>
        <w:t> </w:t>
      </w:r>
      <w:r>
        <w:rPr>
          <w:color w:val="231F20"/>
          <w:spacing w:val="-2"/>
        </w:rPr>
        <w:t>place.</w:t>
      </w:r>
    </w:p>
    <w:p>
      <w:pPr>
        <w:pStyle w:val="BodyText"/>
        <w:spacing w:before="120"/>
        <w:ind w:left="395"/>
      </w:pPr>
      <w:r>
        <w:rPr>
          <w:color w:val="231F20"/>
          <w:spacing w:val="-4"/>
        </w:rPr>
        <w:t>Le</w:t>
      </w:r>
      <w:r>
        <w:rPr>
          <w:color w:val="231F20"/>
          <w:spacing w:val="-6"/>
        </w:rPr>
        <w:t> </w:t>
      </w:r>
      <w:r>
        <w:rPr>
          <w:color w:val="231F20"/>
          <w:spacing w:val="-4"/>
        </w:rPr>
        <w:t>troc,</w:t>
      </w:r>
      <w:r>
        <w:rPr>
          <w:color w:val="231F20"/>
          <w:spacing w:val="-9"/>
        </w:rPr>
        <w:t> </w:t>
      </w:r>
      <w:r>
        <w:rPr>
          <w:color w:val="231F20"/>
          <w:spacing w:val="-4"/>
        </w:rPr>
        <w:t>système</w:t>
      </w:r>
      <w:r>
        <w:rPr>
          <w:color w:val="231F20"/>
          <w:spacing w:val="-5"/>
        </w:rPr>
        <w:t> </w:t>
      </w:r>
      <w:r>
        <w:rPr>
          <w:color w:val="231F20"/>
          <w:spacing w:val="-4"/>
        </w:rPr>
        <w:t>économique</w:t>
      </w:r>
      <w:r>
        <w:rPr>
          <w:color w:val="231F20"/>
          <w:spacing w:val="-6"/>
        </w:rPr>
        <w:t> </w:t>
      </w:r>
      <w:r>
        <w:rPr>
          <w:color w:val="231F20"/>
          <w:spacing w:val="-4"/>
        </w:rPr>
        <w:t>d’’échange</w:t>
      </w:r>
      <w:r>
        <w:rPr>
          <w:color w:val="231F20"/>
          <w:spacing w:val="-6"/>
        </w:rPr>
        <w:t> </w:t>
      </w:r>
      <w:r>
        <w:rPr>
          <w:color w:val="231F20"/>
          <w:spacing w:val="-4"/>
        </w:rPr>
        <w:t>d’un</w:t>
      </w:r>
      <w:r>
        <w:rPr>
          <w:color w:val="231F20"/>
          <w:spacing w:val="-6"/>
        </w:rPr>
        <w:t> </w:t>
      </w:r>
      <w:r>
        <w:rPr>
          <w:color w:val="231F20"/>
          <w:spacing w:val="-4"/>
        </w:rPr>
        <w:t>bien</w:t>
      </w:r>
      <w:r>
        <w:rPr>
          <w:color w:val="231F20"/>
          <w:spacing w:val="-8"/>
        </w:rPr>
        <w:t> </w:t>
      </w:r>
      <w:r>
        <w:rPr>
          <w:color w:val="231F20"/>
          <w:spacing w:val="-4"/>
        </w:rPr>
        <w:t>contre</w:t>
      </w:r>
      <w:r>
        <w:rPr>
          <w:color w:val="231F20"/>
          <w:spacing w:val="-6"/>
        </w:rPr>
        <w:t> </w:t>
      </w:r>
      <w:r>
        <w:rPr>
          <w:color w:val="231F20"/>
          <w:spacing w:val="-4"/>
        </w:rPr>
        <w:t>un</w:t>
      </w:r>
      <w:r>
        <w:rPr>
          <w:color w:val="231F20"/>
          <w:spacing w:val="-8"/>
        </w:rPr>
        <w:t> </w:t>
      </w:r>
      <w:r>
        <w:rPr>
          <w:color w:val="231F20"/>
          <w:spacing w:val="-4"/>
        </w:rPr>
        <w:t>autre,</w:t>
      </w:r>
      <w:r>
        <w:rPr>
          <w:color w:val="231F20"/>
          <w:spacing w:val="-8"/>
        </w:rPr>
        <w:t> </w:t>
      </w:r>
      <w:r>
        <w:rPr>
          <w:color w:val="231F20"/>
          <w:spacing w:val="-5"/>
        </w:rPr>
        <w:t>est</w:t>
      </w:r>
    </w:p>
    <w:p>
      <w:pPr>
        <w:pStyle w:val="BodyText"/>
        <w:jc w:val="left"/>
      </w:pPr>
      <w:r>
        <w:rPr>
          <w:color w:val="231F20"/>
          <w:spacing w:val="-2"/>
        </w:rPr>
        <w:t>aboli.</w:t>
      </w:r>
    </w:p>
    <w:p>
      <w:pPr>
        <w:pStyle w:val="BodyText"/>
        <w:spacing w:before="120"/>
        <w:ind w:right="104" w:firstLine="283"/>
      </w:pPr>
      <w:r>
        <w:rPr>
          <w:color w:val="231F20"/>
          <w:spacing w:val="-4"/>
        </w:rPr>
        <w:t>Les</w:t>
      </w:r>
      <w:r>
        <w:rPr>
          <w:color w:val="231F20"/>
          <w:spacing w:val="-8"/>
        </w:rPr>
        <w:t> </w:t>
      </w:r>
      <w:r>
        <w:rPr>
          <w:color w:val="231F20"/>
          <w:spacing w:val="-4"/>
        </w:rPr>
        <w:t>villages</w:t>
      </w:r>
      <w:r>
        <w:rPr>
          <w:color w:val="231F20"/>
          <w:spacing w:val="-8"/>
        </w:rPr>
        <w:t> </w:t>
      </w:r>
      <w:r>
        <w:rPr>
          <w:color w:val="231F20"/>
          <w:spacing w:val="-4"/>
        </w:rPr>
        <w:t>sont</w:t>
      </w:r>
      <w:r>
        <w:rPr>
          <w:color w:val="231F20"/>
          <w:spacing w:val="-8"/>
        </w:rPr>
        <w:t> </w:t>
      </w:r>
      <w:r>
        <w:rPr>
          <w:color w:val="231F20"/>
          <w:spacing w:val="-4"/>
        </w:rPr>
        <w:t>déménagés</w:t>
      </w:r>
      <w:r>
        <w:rPr>
          <w:color w:val="231F20"/>
          <w:spacing w:val="-8"/>
        </w:rPr>
        <w:t> </w:t>
      </w:r>
      <w:r>
        <w:rPr>
          <w:color w:val="231F20"/>
          <w:spacing w:val="-4"/>
        </w:rPr>
        <w:t>le</w:t>
      </w:r>
      <w:r>
        <w:rPr>
          <w:color w:val="231F20"/>
          <w:spacing w:val="-11"/>
        </w:rPr>
        <w:t> </w:t>
      </w:r>
      <w:r>
        <w:rPr>
          <w:color w:val="231F20"/>
          <w:spacing w:val="-4"/>
        </w:rPr>
        <w:t>long</w:t>
      </w:r>
      <w:r>
        <w:rPr>
          <w:color w:val="231F20"/>
          <w:spacing w:val="-8"/>
        </w:rPr>
        <w:t> </w:t>
      </w:r>
      <w:r>
        <w:rPr>
          <w:color w:val="231F20"/>
          <w:spacing w:val="-4"/>
        </w:rPr>
        <w:t>des</w:t>
      </w:r>
      <w:r>
        <w:rPr>
          <w:color w:val="231F20"/>
          <w:spacing w:val="-8"/>
        </w:rPr>
        <w:t> </w:t>
      </w:r>
      <w:r>
        <w:rPr>
          <w:color w:val="231F20"/>
          <w:spacing w:val="-4"/>
        </w:rPr>
        <w:t>routes</w:t>
      </w:r>
      <w:r>
        <w:rPr>
          <w:color w:val="231F20"/>
          <w:spacing w:val="-10"/>
        </w:rPr>
        <w:t> </w:t>
      </w:r>
      <w:r>
        <w:rPr>
          <w:color w:val="231F20"/>
          <w:spacing w:val="-4"/>
        </w:rPr>
        <w:t>pour</w:t>
      </w:r>
      <w:r>
        <w:rPr>
          <w:color w:val="231F20"/>
          <w:spacing w:val="-8"/>
        </w:rPr>
        <w:t> </w:t>
      </w:r>
      <w:r>
        <w:rPr>
          <w:color w:val="231F20"/>
          <w:spacing w:val="-4"/>
        </w:rPr>
        <w:t>faciliter</w:t>
      </w:r>
      <w:r>
        <w:rPr>
          <w:color w:val="231F20"/>
          <w:spacing w:val="-8"/>
        </w:rPr>
        <w:t> </w:t>
      </w:r>
      <w:r>
        <w:rPr>
          <w:color w:val="231F20"/>
          <w:spacing w:val="-4"/>
        </w:rPr>
        <w:t>la</w:t>
      </w:r>
      <w:r>
        <w:rPr>
          <w:color w:val="231F20"/>
          <w:spacing w:val="-9"/>
        </w:rPr>
        <w:t> </w:t>
      </w:r>
      <w:r>
        <w:rPr>
          <w:color w:val="231F20"/>
          <w:spacing w:val="-4"/>
        </w:rPr>
        <w:t>collecte d’impôts et les réquisitions de travailleurs. L’Administration fait pression </w:t>
      </w:r>
      <w:r>
        <w:rPr>
          <w:color w:val="231F20"/>
          <w:spacing w:val="-2"/>
        </w:rPr>
        <w:t>sur</w:t>
      </w:r>
      <w:r>
        <w:rPr>
          <w:color w:val="231F20"/>
          <w:spacing w:val="-15"/>
        </w:rPr>
        <w:t> </w:t>
      </w:r>
      <w:r>
        <w:rPr>
          <w:color w:val="231F20"/>
          <w:spacing w:val="-2"/>
        </w:rPr>
        <w:t>les</w:t>
      </w:r>
      <w:r>
        <w:rPr>
          <w:color w:val="231F20"/>
          <w:spacing w:val="-13"/>
        </w:rPr>
        <w:t> </w:t>
      </w:r>
      <w:r>
        <w:rPr>
          <w:color w:val="231F20"/>
          <w:spacing w:val="-2"/>
        </w:rPr>
        <w:t>structures</w:t>
      </w:r>
      <w:r>
        <w:rPr>
          <w:color w:val="231F20"/>
          <w:spacing w:val="-13"/>
        </w:rPr>
        <w:t> </w:t>
      </w:r>
      <w:r>
        <w:rPr>
          <w:color w:val="231F20"/>
          <w:spacing w:val="-2"/>
        </w:rPr>
        <w:t>sociales</w:t>
      </w:r>
      <w:r>
        <w:rPr>
          <w:color w:val="231F20"/>
          <w:spacing w:val="-13"/>
        </w:rPr>
        <w:t> </w:t>
      </w:r>
      <w:r>
        <w:rPr>
          <w:color w:val="231F20"/>
          <w:spacing w:val="-2"/>
        </w:rPr>
        <w:t>pour</w:t>
      </w:r>
      <w:r>
        <w:rPr>
          <w:color w:val="231F20"/>
          <w:spacing w:val="-13"/>
        </w:rPr>
        <w:t> </w:t>
      </w:r>
      <w:r>
        <w:rPr>
          <w:color w:val="231F20"/>
          <w:spacing w:val="-2"/>
        </w:rPr>
        <w:t>recruter</w:t>
      </w:r>
      <w:r>
        <w:rPr>
          <w:color w:val="231F20"/>
          <w:spacing w:val="-13"/>
        </w:rPr>
        <w:t> </w:t>
      </w:r>
      <w:r>
        <w:rPr>
          <w:color w:val="231F20"/>
          <w:spacing w:val="-2"/>
        </w:rPr>
        <w:t>la</w:t>
      </w:r>
      <w:r>
        <w:rPr>
          <w:color w:val="231F20"/>
          <w:spacing w:val="-13"/>
        </w:rPr>
        <w:t> </w:t>
      </w:r>
      <w:r>
        <w:rPr>
          <w:color w:val="231F20"/>
          <w:spacing w:val="-2"/>
        </w:rPr>
        <w:t>main</w:t>
      </w:r>
      <w:r>
        <w:rPr>
          <w:color w:val="231F20"/>
          <w:spacing w:val="-13"/>
        </w:rPr>
        <w:t> </w:t>
      </w:r>
      <w:r>
        <w:rPr>
          <w:color w:val="231F20"/>
          <w:spacing w:val="-2"/>
        </w:rPr>
        <w:t>d’œuvre</w:t>
      </w:r>
      <w:r>
        <w:rPr>
          <w:color w:val="231F20"/>
          <w:spacing w:val="-13"/>
        </w:rPr>
        <w:t> </w:t>
      </w:r>
      <w:r>
        <w:rPr>
          <w:color w:val="231F20"/>
          <w:spacing w:val="-2"/>
        </w:rPr>
        <w:t>pour</w:t>
      </w:r>
      <w:r>
        <w:rPr>
          <w:color w:val="231F20"/>
          <w:spacing w:val="-13"/>
        </w:rPr>
        <w:t> </w:t>
      </w:r>
      <w:r>
        <w:rPr>
          <w:color w:val="231F20"/>
          <w:spacing w:val="-2"/>
        </w:rPr>
        <w:t>les</w:t>
      </w:r>
      <w:r>
        <w:rPr>
          <w:color w:val="231F20"/>
          <w:spacing w:val="-13"/>
        </w:rPr>
        <w:t> </w:t>
      </w:r>
      <w:r>
        <w:rPr>
          <w:color w:val="231F20"/>
          <w:spacing w:val="-2"/>
        </w:rPr>
        <w:t>corvées, </w:t>
      </w:r>
      <w:r>
        <w:rPr>
          <w:color w:val="231F20"/>
        </w:rPr>
        <w:t>la collecte de capitation et n’hésite pas à faire fouetter sur la place publique les chefs de village qui refusent leur collaboration</w:t>
      </w:r>
      <w:r>
        <w:rPr>
          <w:color w:val="231F20"/>
          <w:spacing w:val="-11"/>
        </w:rPr>
        <w:t> </w:t>
      </w:r>
      <w:r>
        <w:rPr>
          <w:color w:val="231F20"/>
        </w:rPr>
        <w:t>: les </w:t>
      </w:r>
      <w:r>
        <w:rPr>
          <w:color w:val="231F20"/>
          <w:spacing w:val="-4"/>
        </w:rPr>
        <w:t>institutions</w:t>
      </w:r>
      <w:r>
        <w:rPr>
          <w:color w:val="231F20"/>
          <w:spacing w:val="-8"/>
        </w:rPr>
        <w:t> </w:t>
      </w:r>
      <w:r>
        <w:rPr>
          <w:color w:val="231F20"/>
          <w:spacing w:val="-4"/>
        </w:rPr>
        <w:t>indigènes</w:t>
      </w:r>
      <w:r>
        <w:rPr>
          <w:color w:val="231F20"/>
          <w:spacing w:val="-6"/>
        </w:rPr>
        <w:t> </w:t>
      </w:r>
      <w:r>
        <w:rPr>
          <w:color w:val="231F20"/>
          <w:spacing w:val="-4"/>
        </w:rPr>
        <w:t>symbolisées</w:t>
      </w:r>
      <w:r>
        <w:rPr>
          <w:color w:val="231F20"/>
          <w:spacing w:val="-6"/>
        </w:rPr>
        <w:t> </w:t>
      </w:r>
      <w:r>
        <w:rPr>
          <w:color w:val="231F20"/>
          <w:spacing w:val="-4"/>
        </w:rPr>
        <w:t>par</w:t>
      </w:r>
      <w:r>
        <w:rPr>
          <w:color w:val="231F20"/>
          <w:spacing w:val="-6"/>
        </w:rPr>
        <w:t> </w:t>
      </w:r>
      <w:r>
        <w:rPr>
          <w:color w:val="231F20"/>
          <w:spacing w:val="-4"/>
        </w:rPr>
        <w:t>le</w:t>
      </w:r>
      <w:r>
        <w:rPr>
          <w:color w:val="231F20"/>
          <w:spacing w:val="-6"/>
        </w:rPr>
        <w:t> </w:t>
      </w:r>
      <w:r>
        <w:rPr>
          <w:color w:val="231F20"/>
          <w:spacing w:val="-4"/>
        </w:rPr>
        <w:t>chef</w:t>
      </w:r>
      <w:r>
        <w:rPr>
          <w:color w:val="231F20"/>
          <w:spacing w:val="-6"/>
        </w:rPr>
        <w:t> </w:t>
      </w:r>
      <w:r>
        <w:rPr>
          <w:color w:val="231F20"/>
          <w:spacing w:val="-4"/>
        </w:rPr>
        <w:t>du</w:t>
      </w:r>
      <w:r>
        <w:rPr>
          <w:color w:val="231F20"/>
          <w:spacing w:val="-6"/>
        </w:rPr>
        <w:t> </w:t>
      </w:r>
      <w:r>
        <w:rPr>
          <w:color w:val="231F20"/>
          <w:spacing w:val="-4"/>
        </w:rPr>
        <w:t>village</w:t>
      </w:r>
      <w:r>
        <w:rPr>
          <w:color w:val="231F20"/>
          <w:spacing w:val="-6"/>
        </w:rPr>
        <w:t> </w:t>
      </w:r>
      <w:r>
        <w:rPr>
          <w:color w:val="231F20"/>
          <w:spacing w:val="-4"/>
        </w:rPr>
        <w:t>perdent</w:t>
      </w:r>
      <w:r>
        <w:rPr>
          <w:color w:val="231F20"/>
          <w:spacing w:val="-5"/>
        </w:rPr>
        <w:t> </w:t>
      </w:r>
      <w:r>
        <w:rPr>
          <w:color w:val="231F20"/>
          <w:spacing w:val="-4"/>
        </w:rPr>
        <w:t>ainsi</w:t>
      </w:r>
      <w:r>
        <w:rPr>
          <w:color w:val="231F20"/>
          <w:spacing w:val="-5"/>
        </w:rPr>
        <w:t> </w:t>
      </w:r>
      <w:r>
        <w:rPr>
          <w:color w:val="231F20"/>
          <w:spacing w:val="-4"/>
        </w:rPr>
        <w:t>leur </w:t>
      </w:r>
      <w:r>
        <w:rPr>
          <w:color w:val="231F20"/>
        </w:rPr>
        <w:t>caractère sacré.</w:t>
      </w:r>
    </w:p>
    <w:p>
      <w:pPr>
        <w:pStyle w:val="BodyText"/>
        <w:spacing w:before="120"/>
        <w:ind w:right="106" w:firstLine="283"/>
        <w:rPr>
          <w:i/>
        </w:rPr>
      </w:pPr>
      <w:r>
        <w:rPr>
          <w:color w:val="231F20"/>
        </w:rPr>
        <w:t>En</w:t>
      </w:r>
      <w:r>
        <w:rPr>
          <w:color w:val="231F20"/>
          <w:spacing w:val="-15"/>
        </w:rPr>
        <w:t> </w:t>
      </w:r>
      <w:r>
        <w:rPr>
          <w:color w:val="231F20"/>
        </w:rPr>
        <w:t>dehors</w:t>
      </w:r>
      <w:r>
        <w:rPr>
          <w:color w:val="231F20"/>
          <w:spacing w:val="-15"/>
        </w:rPr>
        <w:t> </w:t>
      </w:r>
      <w:r>
        <w:rPr>
          <w:color w:val="231F20"/>
        </w:rPr>
        <w:t>des</w:t>
      </w:r>
      <w:r>
        <w:rPr>
          <w:color w:val="231F20"/>
          <w:spacing w:val="-15"/>
        </w:rPr>
        <w:t> </w:t>
      </w:r>
      <w:r>
        <w:rPr>
          <w:color w:val="231F20"/>
        </w:rPr>
        <w:t>exigences</w:t>
      </w:r>
      <w:r>
        <w:rPr>
          <w:color w:val="231F20"/>
          <w:spacing w:val="-15"/>
        </w:rPr>
        <w:t> </w:t>
      </w:r>
      <w:r>
        <w:rPr>
          <w:color w:val="231F20"/>
        </w:rPr>
        <w:t>propres</w:t>
      </w:r>
      <w:r>
        <w:rPr>
          <w:color w:val="231F20"/>
          <w:spacing w:val="-14"/>
        </w:rPr>
        <w:t> </w:t>
      </w:r>
      <w:r>
        <w:rPr>
          <w:color w:val="231F20"/>
        </w:rPr>
        <w:t>de</w:t>
      </w:r>
      <w:r>
        <w:rPr>
          <w:color w:val="231F20"/>
          <w:spacing w:val="-15"/>
        </w:rPr>
        <w:t> </w:t>
      </w:r>
      <w:r>
        <w:rPr>
          <w:color w:val="231F20"/>
        </w:rPr>
        <w:t>l’Administration,</w:t>
      </w:r>
      <w:r>
        <w:rPr>
          <w:color w:val="231F20"/>
          <w:spacing w:val="-14"/>
        </w:rPr>
        <w:t> </w:t>
      </w:r>
      <w:r>
        <w:rPr>
          <w:color w:val="231F20"/>
        </w:rPr>
        <w:t>le</w:t>
      </w:r>
      <w:r>
        <w:rPr>
          <w:color w:val="231F20"/>
          <w:spacing w:val="-14"/>
        </w:rPr>
        <w:t> </w:t>
      </w:r>
      <w:r>
        <w:rPr>
          <w:color w:val="231F20"/>
        </w:rPr>
        <w:t>représentant use</w:t>
      </w:r>
      <w:r>
        <w:rPr>
          <w:color w:val="231F20"/>
          <w:spacing w:val="24"/>
        </w:rPr>
        <w:t> </w:t>
      </w:r>
      <w:r>
        <w:rPr>
          <w:color w:val="231F20"/>
        </w:rPr>
        <w:t>de</w:t>
      </w:r>
      <w:r>
        <w:rPr>
          <w:color w:val="231F20"/>
          <w:spacing w:val="23"/>
        </w:rPr>
        <w:t> </w:t>
      </w:r>
      <w:r>
        <w:rPr>
          <w:color w:val="231F20"/>
        </w:rPr>
        <w:t>sa</w:t>
      </w:r>
      <w:r>
        <w:rPr>
          <w:color w:val="231F20"/>
          <w:spacing w:val="24"/>
        </w:rPr>
        <w:t> </w:t>
      </w:r>
      <w:r>
        <w:rPr>
          <w:color w:val="231F20"/>
        </w:rPr>
        <w:t>«</w:t>
      </w:r>
      <w:r>
        <w:rPr>
          <w:color w:val="231F20"/>
          <w:spacing w:val="-12"/>
        </w:rPr>
        <w:t> </w:t>
      </w:r>
      <w:r>
        <w:rPr>
          <w:color w:val="231F20"/>
        </w:rPr>
        <w:t>position</w:t>
      </w:r>
      <w:r>
        <w:rPr>
          <w:color w:val="231F20"/>
          <w:spacing w:val="-14"/>
        </w:rPr>
        <w:t> </w:t>
      </w:r>
      <w:r>
        <w:rPr>
          <w:color w:val="231F20"/>
        </w:rPr>
        <w:t>»</w:t>
      </w:r>
      <w:r>
        <w:rPr>
          <w:color w:val="231F20"/>
          <w:spacing w:val="24"/>
        </w:rPr>
        <w:t> </w:t>
      </w:r>
      <w:r>
        <w:rPr>
          <w:color w:val="231F20"/>
        </w:rPr>
        <w:t>pour</w:t>
      </w:r>
      <w:r>
        <w:rPr>
          <w:color w:val="231F20"/>
          <w:spacing w:val="25"/>
        </w:rPr>
        <w:t> </w:t>
      </w:r>
      <w:r>
        <w:rPr>
          <w:color w:val="231F20"/>
        </w:rPr>
        <w:t>persécuter</w:t>
      </w:r>
      <w:r>
        <w:rPr>
          <w:color w:val="231F20"/>
          <w:spacing w:val="22"/>
        </w:rPr>
        <w:t> </w:t>
      </w:r>
      <w:r>
        <w:rPr>
          <w:color w:val="231F20"/>
        </w:rPr>
        <w:t>les</w:t>
      </w:r>
      <w:r>
        <w:rPr>
          <w:color w:val="231F20"/>
          <w:spacing w:val="23"/>
        </w:rPr>
        <w:t> </w:t>
      </w:r>
      <w:r>
        <w:rPr>
          <w:color w:val="231F20"/>
        </w:rPr>
        <w:t>villageois</w:t>
      </w:r>
      <w:r>
        <w:rPr>
          <w:color w:val="231F20"/>
          <w:spacing w:val="-13"/>
        </w:rPr>
        <w:t> </w:t>
      </w:r>
      <w:r>
        <w:rPr>
          <w:color w:val="231F20"/>
        </w:rPr>
        <w:t>:</w:t>
      </w:r>
      <w:r>
        <w:rPr>
          <w:color w:val="231F20"/>
          <w:spacing w:val="25"/>
        </w:rPr>
        <w:t> </w:t>
      </w:r>
      <w:r>
        <w:rPr>
          <w:color w:val="231F20"/>
        </w:rPr>
        <w:t>«</w:t>
      </w:r>
      <w:r>
        <w:rPr>
          <w:color w:val="231F20"/>
          <w:spacing w:val="-12"/>
        </w:rPr>
        <w:t> </w:t>
      </w:r>
      <w:r>
        <w:rPr>
          <w:color w:val="231F20"/>
        </w:rPr>
        <w:t>(…)</w:t>
      </w:r>
      <w:r>
        <w:rPr>
          <w:color w:val="231F20"/>
          <w:spacing w:val="25"/>
        </w:rPr>
        <w:t> </w:t>
      </w:r>
      <w:r>
        <w:rPr>
          <w:i/>
          <w:color w:val="231F20"/>
        </w:rPr>
        <w:t>Dès</w:t>
      </w:r>
      <w:r>
        <w:rPr>
          <w:i/>
          <w:color w:val="231F20"/>
          <w:spacing w:val="23"/>
        </w:rPr>
        <w:t> </w:t>
      </w:r>
      <w:r>
        <w:rPr>
          <w:i/>
          <w:color w:val="231F20"/>
          <w:spacing w:val="-2"/>
        </w:rPr>
        <w:t>qu'il</w:t>
      </w:r>
    </w:p>
    <w:p>
      <w:pPr>
        <w:spacing w:after="0"/>
        <w:sectPr>
          <w:pgSz w:w="8790" w:h="13610"/>
          <w:pgMar w:header="0" w:footer="802" w:top="1060" w:bottom="1000" w:left="880" w:right="880"/>
        </w:sectPr>
      </w:pPr>
    </w:p>
    <w:p>
      <w:pPr>
        <w:spacing w:before="66"/>
        <w:ind w:left="111" w:right="103" w:firstLine="0"/>
        <w:jc w:val="both"/>
        <w:rPr>
          <w:i/>
          <w:sz w:val="24"/>
        </w:rPr>
      </w:pPr>
      <w:r>
        <w:rPr>
          <w:i/>
          <w:color w:val="231F20"/>
          <w:spacing w:val="-4"/>
          <w:sz w:val="24"/>
        </w:rPr>
        <w:t>quitte</w:t>
      </w:r>
      <w:r>
        <w:rPr>
          <w:i/>
          <w:color w:val="231F20"/>
          <w:spacing w:val="-7"/>
          <w:sz w:val="24"/>
        </w:rPr>
        <w:t> </w:t>
      </w:r>
      <w:r>
        <w:rPr>
          <w:i/>
          <w:color w:val="231F20"/>
          <w:spacing w:val="-4"/>
          <w:sz w:val="24"/>
        </w:rPr>
        <w:t>son</w:t>
      </w:r>
      <w:r>
        <w:rPr>
          <w:i/>
          <w:color w:val="231F20"/>
          <w:spacing w:val="-7"/>
          <w:sz w:val="24"/>
        </w:rPr>
        <w:t> </w:t>
      </w:r>
      <w:r>
        <w:rPr>
          <w:i/>
          <w:color w:val="231F20"/>
          <w:spacing w:val="-4"/>
          <w:sz w:val="24"/>
        </w:rPr>
        <w:t>village</w:t>
      </w:r>
      <w:r>
        <w:rPr>
          <w:i/>
          <w:color w:val="231F20"/>
          <w:spacing w:val="-7"/>
          <w:sz w:val="24"/>
        </w:rPr>
        <w:t> </w:t>
      </w:r>
      <w:r>
        <w:rPr>
          <w:i/>
          <w:color w:val="231F20"/>
          <w:spacing w:val="-4"/>
          <w:sz w:val="24"/>
        </w:rPr>
        <w:t>pour</w:t>
      </w:r>
      <w:r>
        <w:rPr>
          <w:i/>
          <w:color w:val="231F20"/>
          <w:spacing w:val="-7"/>
          <w:sz w:val="24"/>
        </w:rPr>
        <w:t> </w:t>
      </w:r>
      <w:r>
        <w:rPr>
          <w:i/>
          <w:color w:val="231F20"/>
          <w:spacing w:val="-4"/>
          <w:sz w:val="24"/>
        </w:rPr>
        <w:t>remplir</w:t>
      </w:r>
      <w:r>
        <w:rPr>
          <w:i/>
          <w:color w:val="231F20"/>
          <w:spacing w:val="-7"/>
          <w:sz w:val="24"/>
        </w:rPr>
        <w:t> </w:t>
      </w:r>
      <w:r>
        <w:rPr>
          <w:i/>
          <w:color w:val="231F20"/>
          <w:spacing w:val="-4"/>
          <w:sz w:val="24"/>
        </w:rPr>
        <w:t>son</w:t>
      </w:r>
      <w:r>
        <w:rPr>
          <w:i/>
          <w:color w:val="231F20"/>
          <w:spacing w:val="-7"/>
          <w:sz w:val="24"/>
        </w:rPr>
        <w:t> </w:t>
      </w:r>
      <w:r>
        <w:rPr>
          <w:i/>
          <w:color w:val="231F20"/>
          <w:spacing w:val="-4"/>
          <w:sz w:val="24"/>
        </w:rPr>
        <w:t>nouveau</w:t>
      </w:r>
      <w:r>
        <w:rPr>
          <w:i/>
          <w:color w:val="231F20"/>
          <w:spacing w:val="-7"/>
          <w:sz w:val="24"/>
        </w:rPr>
        <w:t> </w:t>
      </w:r>
      <w:r>
        <w:rPr>
          <w:i/>
          <w:color w:val="231F20"/>
          <w:spacing w:val="-4"/>
          <w:sz w:val="24"/>
        </w:rPr>
        <w:t>rôle,</w:t>
      </w:r>
      <w:r>
        <w:rPr>
          <w:i/>
          <w:color w:val="231F20"/>
          <w:spacing w:val="-7"/>
          <w:sz w:val="24"/>
        </w:rPr>
        <w:t> </w:t>
      </w:r>
      <w:r>
        <w:rPr>
          <w:i/>
          <w:color w:val="231F20"/>
          <w:spacing w:val="-4"/>
          <w:sz w:val="24"/>
        </w:rPr>
        <w:t>il</w:t>
      </w:r>
      <w:r>
        <w:rPr>
          <w:i/>
          <w:color w:val="231F20"/>
          <w:spacing w:val="-6"/>
          <w:sz w:val="24"/>
        </w:rPr>
        <w:t> </w:t>
      </w:r>
      <w:r>
        <w:rPr>
          <w:i/>
          <w:color w:val="231F20"/>
          <w:spacing w:val="-4"/>
          <w:sz w:val="24"/>
        </w:rPr>
        <w:t>n'est</w:t>
      </w:r>
      <w:r>
        <w:rPr>
          <w:i/>
          <w:color w:val="231F20"/>
          <w:spacing w:val="-7"/>
          <w:sz w:val="24"/>
        </w:rPr>
        <w:t> </w:t>
      </w:r>
      <w:r>
        <w:rPr>
          <w:i/>
          <w:color w:val="231F20"/>
          <w:spacing w:val="-4"/>
          <w:sz w:val="24"/>
        </w:rPr>
        <w:t>plus</w:t>
      </w:r>
      <w:r>
        <w:rPr>
          <w:i/>
          <w:color w:val="231F20"/>
          <w:spacing w:val="-7"/>
          <w:sz w:val="24"/>
        </w:rPr>
        <w:t> </w:t>
      </w:r>
      <w:r>
        <w:rPr>
          <w:i/>
          <w:color w:val="231F20"/>
          <w:spacing w:val="-4"/>
          <w:sz w:val="24"/>
        </w:rPr>
        <w:t>ce</w:t>
      </w:r>
      <w:r>
        <w:rPr>
          <w:i/>
          <w:color w:val="231F20"/>
          <w:spacing w:val="-7"/>
          <w:sz w:val="24"/>
        </w:rPr>
        <w:t> </w:t>
      </w:r>
      <w:r>
        <w:rPr>
          <w:i/>
          <w:color w:val="231F20"/>
          <w:spacing w:val="-4"/>
          <w:sz w:val="24"/>
        </w:rPr>
        <w:t>qu'il</w:t>
      </w:r>
      <w:r>
        <w:rPr>
          <w:i/>
          <w:color w:val="231F20"/>
          <w:spacing w:val="-7"/>
          <w:sz w:val="24"/>
        </w:rPr>
        <w:t> </w:t>
      </w:r>
      <w:r>
        <w:rPr>
          <w:i/>
          <w:color w:val="231F20"/>
          <w:spacing w:val="-4"/>
          <w:sz w:val="24"/>
        </w:rPr>
        <w:t>était</w:t>
      </w:r>
      <w:r>
        <w:rPr>
          <w:i/>
          <w:color w:val="231F20"/>
          <w:spacing w:val="-4"/>
          <w:sz w:val="24"/>
        </w:rPr>
        <w:t> </w:t>
      </w:r>
      <w:r>
        <w:rPr>
          <w:i/>
          <w:color w:val="231F20"/>
          <w:sz w:val="24"/>
        </w:rPr>
        <w:t>au village. Il</w:t>
      </w:r>
      <w:r>
        <w:rPr>
          <w:i/>
          <w:color w:val="231F20"/>
          <w:spacing w:val="-1"/>
          <w:sz w:val="24"/>
        </w:rPr>
        <w:t> </w:t>
      </w:r>
      <w:r>
        <w:rPr>
          <w:i/>
          <w:color w:val="231F20"/>
          <w:sz w:val="24"/>
        </w:rPr>
        <w:t>est</w:t>
      </w:r>
      <w:r>
        <w:rPr>
          <w:i/>
          <w:color w:val="231F20"/>
          <w:spacing w:val="-1"/>
          <w:sz w:val="24"/>
        </w:rPr>
        <w:t> </w:t>
      </w:r>
      <w:r>
        <w:rPr>
          <w:i/>
          <w:color w:val="231F20"/>
          <w:sz w:val="24"/>
        </w:rPr>
        <w:t>assimilé</w:t>
      </w:r>
      <w:r>
        <w:rPr>
          <w:i/>
          <w:color w:val="231F20"/>
          <w:spacing w:val="-2"/>
          <w:sz w:val="24"/>
        </w:rPr>
        <w:t> </w:t>
      </w:r>
      <w:r>
        <w:rPr>
          <w:i/>
          <w:color w:val="231F20"/>
          <w:sz w:val="24"/>
        </w:rPr>
        <w:t>au garde-cercle.</w:t>
      </w:r>
      <w:r>
        <w:rPr>
          <w:i/>
          <w:color w:val="231F20"/>
          <w:spacing w:val="-1"/>
          <w:sz w:val="24"/>
        </w:rPr>
        <w:t> </w:t>
      </w:r>
      <w:r>
        <w:rPr>
          <w:i/>
          <w:color w:val="231F20"/>
          <w:sz w:val="24"/>
        </w:rPr>
        <w:t>En</w:t>
      </w:r>
      <w:r>
        <w:rPr>
          <w:i/>
          <w:color w:val="231F20"/>
          <w:spacing w:val="-1"/>
          <w:sz w:val="24"/>
        </w:rPr>
        <w:t> </w:t>
      </w:r>
      <w:r>
        <w:rPr>
          <w:i/>
          <w:color w:val="231F20"/>
          <w:sz w:val="24"/>
        </w:rPr>
        <w:t>mission</w:t>
      </w:r>
      <w:r>
        <w:rPr>
          <w:i/>
          <w:color w:val="231F20"/>
          <w:spacing w:val="-1"/>
          <w:sz w:val="24"/>
        </w:rPr>
        <w:t> </w:t>
      </w:r>
      <w:r>
        <w:rPr>
          <w:i/>
          <w:color w:val="231F20"/>
          <w:sz w:val="24"/>
        </w:rPr>
        <w:t>dans son propre village,</w:t>
      </w:r>
      <w:r>
        <w:rPr>
          <w:i/>
          <w:color w:val="231F20"/>
          <w:spacing w:val="-2"/>
          <w:sz w:val="24"/>
        </w:rPr>
        <w:t> </w:t>
      </w:r>
      <w:r>
        <w:rPr>
          <w:i/>
          <w:color w:val="231F20"/>
          <w:sz w:val="24"/>
        </w:rPr>
        <w:t>il exige des</w:t>
      </w:r>
      <w:r>
        <w:rPr>
          <w:i/>
          <w:color w:val="231F20"/>
          <w:spacing w:val="-2"/>
          <w:sz w:val="24"/>
        </w:rPr>
        <w:t> </w:t>
      </w:r>
      <w:r>
        <w:rPr>
          <w:i/>
          <w:color w:val="231F20"/>
          <w:sz w:val="24"/>
        </w:rPr>
        <w:t>poulets, des œufs;</w:t>
      </w:r>
      <w:r>
        <w:rPr>
          <w:i/>
          <w:color w:val="231F20"/>
          <w:spacing w:val="-2"/>
          <w:sz w:val="24"/>
        </w:rPr>
        <w:t> </w:t>
      </w:r>
      <w:r>
        <w:rPr>
          <w:i/>
          <w:color w:val="231F20"/>
          <w:sz w:val="24"/>
        </w:rPr>
        <w:t>il utilise</w:t>
      </w:r>
      <w:r>
        <w:rPr>
          <w:i/>
          <w:color w:val="231F20"/>
          <w:spacing w:val="-3"/>
          <w:sz w:val="24"/>
        </w:rPr>
        <w:t> </w:t>
      </w:r>
      <w:r>
        <w:rPr>
          <w:i/>
          <w:color w:val="231F20"/>
          <w:sz w:val="24"/>
        </w:rPr>
        <w:t>sa</w:t>
      </w:r>
      <w:r>
        <w:rPr>
          <w:i/>
          <w:color w:val="231F20"/>
          <w:spacing w:val="-1"/>
          <w:sz w:val="24"/>
        </w:rPr>
        <w:t> </w:t>
      </w:r>
      <w:r>
        <w:rPr>
          <w:i/>
          <w:color w:val="231F20"/>
          <w:sz w:val="24"/>
        </w:rPr>
        <w:t>chicote pour</w:t>
      </w:r>
      <w:r>
        <w:rPr>
          <w:i/>
          <w:color w:val="231F20"/>
          <w:spacing w:val="-2"/>
          <w:sz w:val="24"/>
        </w:rPr>
        <w:t> </w:t>
      </w:r>
      <w:r>
        <w:rPr>
          <w:i/>
          <w:color w:val="231F20"/>
          <w:sz w:val="24"/>
        </w:rPr>
        <w:t>se faire </w:t>
      </w:r>
      <w:r>
        <w:rPr>
          <w:i/>
          <w:color w:val="231F20"/>
          <w:spacing w:val="-2"/>
          <w:sz w:val="24"/>
        </w:rPr>
        <w:t>obéir</w:t>
      </w:r>
      <w:r>
        <w:rPr>
          <w:i/>
          <w:color w:val="231F20"/>
          <w:spacing w:val="-13"/>
          <w:sz w:val="24"/>
        </w:rPr>
        <w:t> </w:t>
      </w:r>
      <w:r>
        <w:rPr>
          <w:i/>
          <w:color w:val="231F20"/>
          <w:spacing w:val="-2"/>
          <w:sz w:val="24"/>
        </w:rPr>
        <w:t>et,</w:t>
      </w:r>
      <w:r>
        <w:rPr>
          <w:i/>
          <w:color w:val="231F20"/>
          <w:spacing w:val="-10"/>
          <w:sz w:val="24"/>
        </w:rPr>
        <w:t> </w:t>
      </w:r>
      <w:r>
        <w:rPr>
          <w:i/>
          <w:color w:val="231F20"/>
          <w:spacing w:val="-2"/>
          <w:sz w:val="24"/>
        </w:rPr>
        <w:t>cas</w:t>
      </w:r>
      <w:r>
        <w:rPr>
          <w:i/>
          <w:color w:val="231F20"/>
          <w:spacing w:val="-13"/>
          <w:sz w:val="24"/>
        </w:rPr>
        <w:t> </w:t>
      </w:r>
      <w:r>
        <w:rPr>
          <w:i/>
          <w:color w:val="231F20"/>
          <w:spacing w:val="-2"/>
          <w:sz w:val="24"/>
        </w:rPr>
        <w:t>très</w:t>
      </w:r>
      <w:r>
        <w:rPr>
          <w:i/>
          <w:color w:val="231F20"/>
          <w:spacing w:val="-13"/>
          <w:sz w:val="24"/>
        </w:rPr>
        <w:t> </w:t>
      </w:r>
      <w:r>
        <w:rPr>
          <w:i/>
          <w:color w:val="231F20"/>
          <w:spacing w:val="-2"/>
          <w:sz w:val="24"/>
        </w:rPr>
        <w:t>fréquent</w:t>
      </w:r>
      <w:r>
        <w:rPr>
          <w:i/>
          <w:color w:val="231F20"/>
          <w:spacing w:val="-13"/>
          <w:sz w:val="24"/>
        </w:rPr>
        <w:t> </w:t>
      </w:r>
      <w:r>
        <w:rPr>
          <w:i/>
          <w:color w:val="231F20"/>
          <w:spacing w:val="-2"/>
          <w:sz w:val="24"/>
        </w:rPr>
        <w:t>(…)</w:t>
      </w:r>
      <w:r>
        <w:rPr>
          <w:i/>
          <w:color w:val="231F20"/>
          <w:spacing w:val="-11"/>
          <w:sz w:val="24"/>
        </w:rPr>
        <w:t> </w:t>
      </w:r>
      <w:r>
        <w:rPr>
          <w:i/>
          <w:color w:val="231F20"/>
          <w:spacing w:val="-2"/>
          <w:sz w:val="24"/>
        </w:rPr>
        <w:t>il</w:t>
      </w:r>
      <w:r>
        <w:rPr>
          <w:i/>
          <w:color w:val="231F20"/>
          <w:spacing w:val="-13"/>
          <w:sz w:val="24"/>
        </w:rPr>
        <w:t> </w:t>
      </w:r>
      <w:r>
        <w:rPr>
          <w:i/>
          <w:color w:val="231F20"/>
          <w:spacing w:val="-2"/>
          <w:sz w:val="24"/>
        </w:rPr>
        <w:t>ligote</w:t>
      </w:r>
      <w:r>
        <w:rPr>
          <w:i/>
          <w:color w:val="231F20"/>
          <w:spacing w:val="-11"/>
          <w:sz w:val="24"/>
        </w:rPr>
        <w:t> </w:t>
      </w:r>
      <w:r>
        <w:rPr>
          <w:i/>
          <w:color w:val="231F20"/>
          <w:spacing w:val="-2"/>
          <w:sz w:val="24"/>
        </w:rPr>
        <w:t>son</w:t>
      </w:r>
      <w:r>
        <w:rPr>
          <w:i/>
          <w:color w:val="231F20"/>
          <w:spacing w:val="-11"/>
          <w:sz w:val="24"/>
        </w:rPr>
        <w:t> </w:t>
      </w:r>
      <w:r>
        <w:rPr>
          <w:i/>
          <w:color w:val="231F20"/>
          <w:spacing w:val="-2"/>
          <w:sz w:val="24"/>
        </w:rPr>
        <w:t>chef,</w:t>
      </w:r>
      <w:r>
        <w:rPr>
          <w:i/>
          <w:color w:val="231F20"/>
          <w:spacing w:val="-13"/>
          <w:sz w:val="24"/>
        </w:rPr>
        <w:t> </w:t>
      </w:r>
      <w:r>
        <w:rPr>
          <w:i/>
          <w:color w:val="231F20"/>
          <w:spacing w:val="-2"/>
          <w:sz w:val="24"/>
        </w:rPr>
        <w:t>lui</w:t>
      </w:r>
      <w:r>
        <w:rPr>
          <w:i/>
          <w:color w:val="231F20"/>
          <w:spacing w:val="-13"/>
          <w:sz w:val="24"/>
        </w:rPr>
        <w:t> </w:t>
      </w:r>
      <w:r>
        <w:rPr>
          <w:i/>
          <w:color w:val="231F20"/>
          <w:spacing w:val="-2"/>
          <w:sz w:val="24"/>
        </w:rPr>
        <w:t>passe</w:t>
      </w:r>
      <w:r>
        <w:rPr>
          <w:i/>
          <w:color w:val="231F20"/>
          <w:spacing w:val="-13"/>
          <w:sz w:val="24"/>
        </w:rPr>
        <w:t> </w:t>
      </w:r>
      <w:r>
        <w:rPr>
          <w:i/>
          <w:color w:val="231F20"/>
          <w:spacing w:val="-2"/>
          <w:sz w:val="24"/>
        </w:rPr>
        <w:t>la</w:t>
      </w:r>
      <w:r>
        <w:rPr>
          <w:i/>
          <w:color w:val="231F20"/>
          <w:spacing w:val="-11"/>
          <w:sz w:val="24"/>
        </w:rPr>
        <w:t> </w:t>
      </w:r>
      <w:r>
        <w:rPr>
          <w:i/>
          <w:color w:val="231F20"/>
          <w:spacing w:val="-2"/>
          <w:sz w:val="24"/>
        </w:rPr>
        <w:t>corde</w:t>
      </w:r>
      <w:r>
        <w:rPr>
          <w:i/>
          <w:color w:val="231F20"/>
          <w:spacing w:val="-13"/>
          <w:sz w:val="24"/>
        </w:rPr>
        <w:t> </w:t>
      </w:r>
      <w:r>
        <w:rPr>
          <w:i/>
          <w:color w:val="231F20"/>
          <w:spacing w:val="-2"/>
          <w:sz w:val="24"/>
        </w:rPr>
        <w:t>au</w:t>
      </w:r>
      <w:r>
        <w:rPr>
          <w:i/>
          <w:color w:val="231F20"/>
          <w:spacing w:val="-11"/>
          <w:sz w:val="24"/>
        </w:rPr>
        <w:t> </w:t>
      </w:r>
      <w:r>
        <w:rPr>
          <w:i/>
          <w:color w:val="231F20"/>
          <w:spacing w:val="-2"/>
          <w:sz w:val="24"/>
        </w:rPr>
        <w:t>cou </w:t>
      </w:r>
      <w:r>
        <w:rPr>
          <w:i/>
          <w:color w:val="231F20"/>
          <w:sz w:val="24"/>
        </w:rPr>
        <w:t>et le conduit comme un criminel (…)</w:t>
      </w:r>
      <w:r>
        <w:rPr>
          <w:color w:val="76787A"/>
          <w:sz w:val="24"/>
          <w:vertAlign w:val="superscript"/>
        </w:rPr>
        <w:t>29</w:t>
      </w:r>
      <w:r>
        <w:rPr>
          <w:i/>
          <w:color w:val="231F20"/>
          <w:sz w:val="24"/>
          <w:vertAlign w:val="baseline"/>
        </w:rPr>
        <w:t>».</w:t>
      </w:r>
    </w:p>
    <w:p>
      <w:pPr>
        <w:pStyle w:val="BodyText"/>
        <w:spacing w:before="120"/>
        <w:ind w:right="108" w:firstLine="283"/>
      </w:pPr>
      <w:r>
        <w:rPr>
          <w:color w:val="231F20"/>
          <w:spacing w:val="-4"/>
        </w:rPr>
        <w:t>Pour</w:t>
      </w:r>
      <w:r>
        <w:rPr>
          <w:color w:val="231F20"/>
          <w:spacing w:val="-5"/>
        </w:rPr>
        <w:t> </w:t>
      </w:r>
      <w:r>
        <w:rPr>
          <w:color w:val="231F20"/>
          <w:spacing w:val="-4"/>
        </w:rPr>
        <w:t>augmenter</w:t>
      </w:r>
      <w:r>
        <w:rPr>
          <w:color w:val="231F20"/>
          <w:spacing w:val="-5"/>
        </w:rPr>
        <w:t> </w:t>
      </w:r>
      <w:r>
        <w:rPr>
          <w:color w:val="231F20"/>
          <w:spacing w:val="-4"/>
        </w:rPr>
        <w:t>la</w:t>
      </w:r>
      <w:r>
        <w:rPr>
          <w:color w:val="231F20"/>
          <w:spacing w:val="-8"/>
        </w:rPr>
        <w:t> </w:t>
      </w:r>
      <w:r>
        <w:rPr>
          <w:color w:val="231F20"/>
          <w:spacing w:val="-4"/>
        </w:rPr>
        <w:t>productivité</w:t>
      </w:r>
      <w:r>
        <w:rPr>
          <w:color w:val="231F20"/>
          <w:spacing w:val="-5"/>
        </w:rPr>
        <w:t> </w:t>
      </w:r>
      <w:r>
        <w:rPr>
          <w:color w:val="231F20"/>
          <w:spacing w:val="-4"/>
        </w:rPr>
        <w:t>des</w:t>
      </w:r>
      <w:r>
        <w:rPr>
          <w:color w:val="231F20"/>
          <w:spacing w:val="-7"/>
        </w:rPr>
        <w:t> </w:t>
      </w:r>
      <w:r>
        <w:rPr>
          <w:color w:val="231F20"/>
          <w:spacing w:val="-4"/>
        </w:rPr>
        <w:t>hommes,</w:t>
      </w:r>
      <w:r>
        <w:rPr>
          <w:color w:val="231F20"/>
          <w:spacing w:val="-8"/>
        </w:rPr>
        <w:t> </w:t>
      </w:r>
      <w:r>
        <w:rPr>
          <w:color w:val="231F20"/>
          <w:spacing w:val="-4"/>
        </w:rPr>
        <w:t>l’Administration</w:t>
      </w:r>
      <w:r>
        <w:rPr>
          <w:color w:val="231F20"/>
          <w:spacing w:val="-5"/>
        </w:rPr>
        <w:t> </w:t>
      </w:r>
      <w:r>
        <w:rPr>
          <w:color w:val="231F20"/>
          <w:spacing w:val="-4"/>
        </w:rPr>
        <w:t>n’hésite </w:t>
      </w:r>
      <w:r>
        <w:rPr>
          <w:color w:val="231F20"/>
        </w:rPr>
        <w:t>pas</w:t>
      </w:r>
      <w:r>
        <w:rPr>
          <w:color w:val="231F20"/>
          <w:spacing w:val="-4"/>
        </w:rPr>
        <w:t> </w:t>
      </w:r>
      <w:r>
        <w:rPr>
          <w:color w:val="231F20"/>
        </w:rPr>
        <w:t>à</w:t>
      </w:r>
      <w:r>
        <w:rPr>
          <w:color w:val="231F20"/>
          <w:spacing w:val="-4"/>
        </w:rPr>
        <w:t> </w:t>
      </w:r>
      <w:r>
        <w:rPr>
          <w:color w:val="231F20"/>
        </w:rPr>
        <w:t>parquer</w:t>
      </w:r>
      <w:r>
        <w:rPr>
          <w:color w:val="231F20"/>
          <w:spacing w:val="-6"/>
        </w:rPr>
        <w:t> </w:t>
      </w:r>
      <w:r>
        <w:rPr>
          <w:color w:val="231F20"/>
        </w:rPr>
        <w:t>les</w:t>
      </w:r>
      <w:r>
        <w:rPr>
          <w:color w:val="231F20"/>
          <w:spacing w:val="-4"/>
        </w:rPr>
        <w:t> </w:t>
      </w:r>
      <w:r>
        <w:rPr>
          <w:color w:val="231F20"/>
        </w:rPr>
        <w:t>femmes</w:t>
      </w:r>
      <w:r>
        <w:rPr>
          <w:color w:val="231F20"/>
          <w:spacing w:val="-6"/>
        </w:rPr>
        <w:t> </w:t>
      </w:r>
      <w:r>
        <w:rPr>
          <w:color w:val="231F20"/>
        </w:rPr>
        <w:t>et</w:t>
      </w:r>
      <w:r>
        <w:rPr>
          <w:color w:val="231F20"/>
          <w:spacing w:val="-4"/>
        </w:rPr>
        <w:t> </w:t>
      </w:r>
      <w:r>
        <w:rPr>
          <w:color w:val="231F20"/>
        </w:rPr>
        <w:t>les</w:t>
      </w:r>
      <w:r>
        <w:rPr>
          <w:color w:val="231F20"/>
          <w:spacing w:val="-4"/>
        </w:rPr>
        <w:t> </w:t>
      </w:r>
      <w:r>
        <w:rPr>
          <w:color w:val="231F20"/>
        </w:rPr>
        <w:t>enfants</w:t>
      </w:r>
      <w:r>
        <w:rPr>
          <w:color w:val="231F20"/>
          <w:spacing w:val="-6"/>
        </w:rPr>
        <w:t> </w:t>
      </w:r>
      <w:r>
        <w:rPr>
          <w:color w:val="231F20"/>
        </w:rPr>
        <w:t>dans</w:t>
      </w:r>
      <w:r>
        <w:rPr>
          <w:color w:val="231F20"/>
          <w:spacing w:val="-6"/>
        </w:rPr>
        <w:t> </w:t>
      </w:r>
      <w:r>
        <w:rPr>
          <w:color w:val="231F20"/>
        </w:rPr>
        <w:t>un</w:t>
      </w:r>
      <w:r>
        <w:rPr>
          <w:color w:val="231F20"/>
          <w:spacing w:val="-4"/>
        </w:rPr>
        <w:t> </w:t>
      </w:r>
      <w:r>
        <w:rPr>
          <w:color w:val="231F20"/>
        </w:rPr>
        <w:t>camp</w:t>
      </w:r>
      <w:r>
        <w:rPr>
          <w:color w:val="231F20"/>
          <w:spacing w:val="-4"/>
        </w:rPr>
        <w:t> </w:t>
      </w:r>
      <w:r>
        <w:rPr>
          <w:color w:val="231F20"/>
        </w:rPr>
        <w:t>d’otages.</w:t>
      </w:r>
    </w:p>
    <w:p>
      <w:pPr>
        <w:pStyle w:val="BodyText"/>
        <w:spacing w:before="120"/>
        <w:ind w:right="106" w:firstLine="283"/>
      </w:pPr>
      <w:r>
        <w:rPr>
          <w:color w:val="231F20"/>
          <w:spacing w:val="-6"/>
        </w:rPr>
        <w:t>La femme indigène est un</w:t>
      </w:r>
      <w:r>
        <w:rPr>
          <w:color w:val="231F20"/>
          <w:spacing w:val="-7"/>
        </w:rPr>
        <w:t> </w:t>
      </w:r>
      <w:r>
        <w:rPr>
          <w:color w:val="231F20"/>
          <w:spacing w:val="-6"/>
        </w:rPr>
        <w:t>objet</w:t>
      </w:r>
      <w:r>
        <w:rPr>
          <w:color w:val="231F20"/>
          <w:spacing w:val="-7"/>
        </w:rPr>
        <w:t> </w:t>
      </w:r>
      <w:r>
        <w:rPr>
          <w:color w:val="231F20"/>
          <w:spacing w:val="-6"/>
        </w:rPr>
        <w:t>sexuel</w:t>
      </w:r>
      <w:r>
        <w:rPr>
          <w:color w:val="231F20"/>
          <w:spacing w:val="-7"/>
        </w:rPr>
        <w:t> </w:t>
      </w:r>
      <w:r>
        <w:rPr>
          <w:color w:val="231F20"/>
          <w:spacing w:val="-6"/>
        </w:rPr>
        <w:t>pour assouvir</w:t>
      </w:r>
      <w:r>
        <w:rPr>
          <w:color w:val="231F20"/>
          <w:spacing w:val="-7"/>
        </w:rPr>
        <w:t> </w:t>
      </w:r>
      <w:r>
        <w:rPr>
          <w:color w:val="231F20"/>
          <w:spacing w:val="-6"/>
        </w:rPr>
        <w:t>la libido du</w:t>
      </w:r>
      <w:r>
        <w:rPr>
          <w:color w:val="231F20"/>
          <w:spacing w:val="-8"/>
        </w:rPr>
        <w:t> </w:t>
      </w:r>
      <w:r>
        <w:rPr>
          <w:color w:val="231F20"/>
          <w:spacing w:val="-6"/>
        </w:rPr>
        <w:t>Blanc. </w:t>
      </w:r>
      <w:r>
        <w:rPr>
          <w:color w:val="231F20"/>
        </w:rPr>
        <w:t>Mais</w:t>
      </w:r>
      <w:r>
        <w:rPr>
          <w:color w:val="231F20"/>
          <w:spacing w:val="-10"/>
        </w:rPr>
        <w:t> </w:t>
      </w:r>
      <w:r>
        <w:rPr>
          <w:color w:val="231F20"/>
        </w:rPr>
        <w:t>la</w:t>
      </w:r>
      <w:r>
        <w:rPr>
          <w:color w:val="231F20"/>
          <w:spacing w:val="-10"/>
        </w:rPr>
        <w:t> </w:t>
      </w:r>
      <w:r>
        <w:rPr>
          <w:color w:val="231F20"/>
        </w:rPr>
        <w:t>relation</w:t>
      </w:r>
      <w:r>
        <w:rPr>
          <w:color w:val="231F20"/>
          <w:spacing w:val="-10"/>
        </w:rPr>
        <w:t> </w:t>
      </w:r>
      <w:r>
        <w:rPr>
          <w:color w:val="231F20"/>
        </w:rPr>
        <w:t>du</w:t>
      </w:r>
      <w:r>
        <w:rPr>
          <w:color w:val="231F20"/>
          <w:spacing w:val="-12"/>
        </w:rPr>
        <w:t> </w:t>
      </w:r>
      <w:r>
        <w:rPr>
          <w:color w:val="231F20"/>
        </w:rPr>
        <w:t>Blanc</w:t>
      </w:r>
      <w:r>
        <w:rPr>
          <w:color w:val="231F20"/>
          <w:spacing w:val="-12"/>
        </w:rPr>
        <w:t> </w:t>
      </w:r>
      <w:r>
        <w:rPr>
          <w:color w:val="231F20"/>
        </w:rPr>
        <w:t>avec</w:t>
      </w:r>
      <w:r>
        <w:rPr>
          <w:color w:val="231F20"/>
          <w:spacing w:val="-11"/>
        </w:rPr>
        <w:t> </w:t>
      </w:r>
      <w:r>
        <w:rPr>
          <w:color w:val="231F20"/>
        </w:rPr>
        <w:t>une</w:t>
      </w:r>
      <w:r>
        <w:rPr>
          <w:color w:val="231F20"/>
          <w:spacing w:val="-10"/>
        </w:rPr>
        <w:t> </w:t>
      </w:r>
      <w:r>
        <w:rPr>
          <w:color w:val="231F20"/>
        </w:rPr>
        <w:t>indigène</w:t>
      </w:r>
      <w:r>
        <w:rPr>
          <w:color w:val="231F20"/>
          <w:spacing w:val="-10"/>
        </w:rPr>
        <w:t> </w:t>
      </w:r>
      <w:r>
        <w:rPr>
          <w:color w:val="231F20"/>
        </w:rPr>
        <w:t>doit</w:t>
      </w:r>
      <w:r>
        <w:rPr>
          <w:color w:val="231F20"/>
          <w:spacing w:val="-7"/>
        </w:rPr>
        <w:t> </w:t>
      </w:r>
      <w:r>
        <w:rPr>
          <w:color w:val="231F20"/>
        </w:rPr>
        <w:t>rester</w:t>
      </w:r>
      <w:r>
        <w:rPr>
          <w:color w:val="231F20"/>
          <w:spacing w:val="-10"/>
        </w:rPr>
        <w:t> </w:t>
      </w:r>
      <w:r>
        <w:rPr>
          <w:color w:val="231F20"/>
        </w:rPr>
        <w:t>cachée</w:t>
      </w:r>
      <w:r>
        <w:rPr>
          <w:color w:val="231F20"/>
          <w:spacing w:val="-11"/>
        </w:rPr>
        <w:t> </w:t>
      </w:r>
      <w:r>
        <w:rPr>
          <w:color w:val="231F20"/>
        </w:rPr>
        <w:t>aux</w:t>
      </w:r>
      <w:r>
        <w:rPr>
          <w:color w:val="231F20"/>
          <w:spacing w:val="-10"/>
        </w:rPr>
        <w:t> </w:t>
      </w:r>
      <w:r>
        <w:rPr>
          <w:color w:val="231F20"/>
        </w:rPr>
        <w:t>yeux de toute la communauté blanche</w:t>
      </w:r>
      <w:r>
        <w:rPr>
          <w:color w:val="231F20"/>
          <w:spacing w:val="-14"/>
        </w:rPr>
        <w:t> </w:t>
      </w:r>
      <w:r>
        <w:rPr>
          <w:color w:val="231F20"/>
        </w:rPr>
        <w:t>: il ne faut pas mélanger torchons et serviettes</w:t>
      </w:r>
      <w:r>
        <w:rPr>
          <w:color w:val="231F20"/>
          <w:spacing w:val="-15"/>
        </w:rPr>
        <w:t> </w:t>
      </w:r>
      <w:r>
        <w:rPr>
          <w:color w:val="231F20"/>
        </w:rPr>
        <w:t>;</w:t>
      </w:r>
      <w:r>
        <w:rPr>
          <w:color w:val="231F20"/>
          <w:spacing w:val="-13"/>
        </w:rPr>
        <w:t> </w:t>
      </w:r>
      <w:r>
        <w:rPr>
          <w:color w:val="231F20"/>
        </w:rPr>
        <w:t>si</w:t>
      </w:r>
      <w:r>
        <w:rPr>
          <w:color w:val="231F20"/>
          <w:spacing w:val="-10"/>
        </w:rPr>
        <w:t> </w:t>
      </w:r>
      <w:r>
        <w:rPr>
          <w:color w:val="231F20"/>
        </w:rPr>
        <w:t>un</w:t>
      </w:r>
      <w:r>
        <w:rPr>
          <w:color w:val="231F20"/>
          <w:spacing w:val="-11"/>
        </w:rPr>
        <w:t> </w:t>
      </w:r>
      <w:r>
        <w:rPr>
          <w:color w:val="231F20"/>
        </w:rPr>
        <w:t>enfant</w:t>
      </w:r>
      <w:r>
        <w:rPr>
          <w:color w:val="231F20"/>
          <w:spacing w:val="-10"/>
        </w:rPr>
        <w:t> </w:t>
      </w:r>
      <w:r>
        <w:rPr>
          <w:color w:val="231F20"/>
        </w:rPr>
        <w:t>venait</w:t>
      </w:r>
      <w:r>
        <w:rPr>
          <w:color w:val="231F20"/>
          <w:spacing w:val="-10"/>
        </w:rPr>
        <w:t> </w:t>
      </w:r>
      <w:r>
        <w:rPr>
          <w:color w:val="231F20"/>
        </w:rPr>
        <w:t>à</w:t>
      </w:r>
      <w:r>
        <w:rPr>
          <w:color w:val="231F20"/>
          <w:spacing w:val="-10"/>
        </w:rPr>
        <w:t> </w:t>
      </w:r>
      <w:r>
        <w:rPr>
          <w:color w:val="231F20"/>
        </w:rPr>
        <w:t>naître</w:t>
      </w:r>
      <w:r>
        <w:rPr>
          <w:color w:val="231F20"/>
          <w:spacing w:val="-10"/>
        </w:rPr>
        <w:t> </w:t>
      </w:r>
      <w:r>
        <w:rPr>
          <w:color w:val="231F20"/>
        </w:rPr>
        <w:t>d’une</w:t>
      </w:r>
      <w:r>
        <w:rPr>
          <w:color w:val="231F20"/>
          <w:spacing w:val="-10"/>
        </w:rPr>
        <w:t> </w:t>
      </w:r>
      <w:r>
        <w:rPr>
          <w:color w:val="231F20"/>
        </w:rPr>
        <w:t>union</w:t>
      </w:r>
      <w:r>
        <w:rPr>
          <w:color w:val="231F20"/>
          <w:spacing w:val="-10"/>
        </w:rPr>
        <w:t> </w:t>
      </w:r>
      <w:r>
        <w:rPr>
          <w:color w:val="231F20"/>
        </w:rPr>
        <w:t>entre</w:t>
      </w:r>
      <w:r>
        <w:rPr>
          <w:color w:val="231F20"/>
          <w:spacing w:val="-10"/>
        </w:rPr>
        <w:t> </w:t>
      </w:r>
      <w:r>
        <w:rPr>
          <w:color w:val="231F20"/>
        </w:rPr>
        <w:t>un</w:t>
      </w:r>
      <w:r>
        <w:rPr>
          <w:color w:val="231F20"/>
          <w:spacing w:val="-11"/>
        </w:rPr>
        <w:t> </w:t>
      </w:r>
      <w:r>
        <w:rPr>
          <w:color w:val="231F20"/>
        </w:rPr>
        <w:t>colon</w:t>
      </w:r>
      <w:r>
        <w:rPr>
          <w:color w:val="231F20"/>
          <w:spacing w:val="-11"/>
        </w:rPr>
        <w:t> </w:t>
      </w:r>
      <w:r>
        <w:rPr>
          <w:color w:val="231F20"/>
        </w:rPr>
        <w:t>et</w:t>
      </w:r>
      <w:r>
        <w:rPr>
          <w:color w:val="231F20"/>
          <w:spacing w:val="-10"/>
        </w:rPr>
        <w:t> </w:t>
      </w:r>
      <w:r>
        <w:rPr>
          <w:color w:val="231F20"/>
        </w:rPr>
        <w:t>une indigène,</w:t>
      </w:r>
      <w:r>
        <w:rPr>
          <w:color w:val="231F20"/>
          <w:spacing w:val="-1"/>
        </w:rPr>
        <w:t> </w:t>
      </w:r>
      <w:r>
        <w:rPr>
          <w:color w:val="231F20"/>
        </w:rPr>
        <w:t>l’enfant est</w:t>
      </w:r>
      <w:r>
        <w:rPr>
          <w:color w:val="231F20"/>
          <w:spacing w:val="-2"/>
        </w:rPr>
        <w:t> </w:t>
      </w:r>
      <w:r>
        <w:rPr>
          <w:color w:val="231F20"/>
        </w:rPr>
        <w:t>déclaré de père inconnu.</w:t>
      </w:r>
    </w:p>
    <w:p>
      <w:pPr>
        <w:pStyle w:val="BodyText"/>
        <w:spacing w:before="121"/>
        <w:ind w:right="104" w:firstLine="283"/>
      </w:pPr>
      <w:r>
        <w:rPr>
          <w:color w:val="231F20"/>
        </w:rPr>
        <w:t>Dans les écoles, les empereurs et rois de France sont magnifiés</w:t>
      </w:r>
      <w:r>
        <w:rPr>
          <w:color w:val="231F20"/>
          <w:spacing w:val="-15"/>
        </w:rPr>
        <w:t> </w:t>
      </w:r>
      <w:r>
        <w:rPr>
          <w:color w:val="231F20"/>
        </w:rPr>
        <w:t>; à contrario, les empereurs et rois d’Afrique sont des barbares, des sanguinaires… Les Noirs n’ont pas de langue mais des dialectes… ils n’ont pas de culture… leur religion est fondée sur des croyances et </w:t>
      </w:r>
      <w:r>
        <w:rPr>
          <w:color w:val="231F20"/>
          <w:spacing w:val="-2"/>
        </w:rPr>
        <w:t>légendes</w:t>
      </w:r>
      <w:r>
        <w:rPr>
          <w:color w:val="231F20"/>
          <w:spacing w:val="-11"/>
        </w:rPr>
        <w:t> </w:t>
      </w:r>
      <w:r>
        <w:rPr>
          <w:color w:val="231F20"/>
          <w:spacing w:val="-2"/>
        </w:rPr>
        <w:t>arriérées…</w:t>
      </w:r>
      <w:r>
        <w:rPr>
          <w:color w:val="231F20"/>
          <w:spacing w:val="-12"/>
        </w:rPr>
        <w:t> </w:t>
      </w:r>
      <w:r>
        <w:rPr>
          <w:i/>
          <w:color w:val="231F20"/>
          <w:spacing w:val="-2"/>
        </w:rPr>
        <w:t>«</w:t>
      </w:r>
      <w:r>
        <w:rPr>
          <w:i/>
          <w:color w:val="231F20"/>
          <w:spacing w:val="-10"/>
        </w:rPr>
        <w:t> </w:t>
      </w:r>
      <w:r>
        <w:rPr>
          <w:i/>
          <w:color w:val="231F20"/>
          <w:spacing w:val="-2"/>
        </w:rPr>
        <w:t>Œuvres</w:t>
      </w:r>
      <w:r>
        <w:rPr>
          <w:i/>
          <w:color w:val="231F20"/>
          <w:spacing w:val="-10"/>
        </w:rPr>
        <w:t> </w:t>
      </w:r>
      <w:r>
        <w:rPr>
          <w:i/>
          <w:color w:val="231F20"/>
          <w:spacing w:val="-2"/>
        </w:rPr>
        <w:t>du</w:t>
      </w:r>
      <w:r>
        <w:rPr>
          <w:i/>
          <w:color w:val="231F20"/>
          <w:spacing w:val="-10"/>
        </w:rPr>
        <w:t> </w:t>
      </w:r>
      <w:r>
        <w:rPr>
          <w:i/>
          <w:color w:val="231F20"/>
          <w:spacing w:val="-2"/>
        </w:rPr>
        <w:t>diable</w:t>
      </w:r>
      <w:r>
        <w:rPr>
          <w:i/>
          <w:color w:val="231F20"/>
          <w:spacing w:val="-10"/>
        </w:rPr>
        <w:t> </w:t>
      </w:r>
      <w:r>
        <w:rPr>
          <w:i/>
          <w:color w:val="231F20"/>
          <w:spacing w:val="-2"/>
        </w:rPr>
        <w:t>»,</w:t>
      </w:r>
      <w:r>
        <w:rPr>
          <w:i/>
          <w:color w:val="231F20"/>
          <w:spacing w:val="-13"/>
        </w:rPr>
        <w:t> </w:t>
      </w:r>
      <w:r>
        <w:rPr>
          <w:color w:val="231F20"/>
          <w:spacing w:val="-2"/>
        </w:rPr>
        <w:t>les</w:t>
      </w:r>
      <w:r>
        <w:rPr>
          <w:color w:val="231F20"/>
          <w:spacing w:val="-10"/>
        </w:rPr>
        <w:t> </w:t>
      </w:r>
      <w:r>
        <w:rPr>
          <w:color w:val="231F20"/>
          <w:spacing w:val="-2"/>
        </w:rPr>
        <w:t>masques</w:t>
      </w:r>
      <w:r>
        <w:rPr>
          <w:color w:val="231F20"/>
          <w:spacing w:val="-10"/>
        </w:rPr>
        <w:t> </w:t>
      </w:r>
      <w:r>
        <w:rPr>
          <w:color w:val="231F20"/>
          <w:spacing w:val="-2"/>
        </w:rPr>
        <w:t>et</w:t>
      </w:r>
      <w:r>
        <w:rPr>
          <w:color w:val="231F20"/>
          <w:spacing w:val="-10"/>
        </w:rPr>
        <w:t> </w:t>
      </w:r>
      <w:r>
        <w:rPr>
          <w:color w:val="231F20"/>
          <w:spacing w:val="-2"/>
        </w:rPr>
        <w:t>statuettes</w:t>
      </w:r>
      <w:r>
        <w:rPr>
          <w:color w:val="231F20"/>
          <w:spacing w:val="-13"/>
        </w:rPr>
        <w:t> </w:t>
      </w:r>
      <w:r>
        <w:rPr>
          <w:color w:val="231F20"/>
          <w:spacing w:val="-2"/>
        </w:rPr>
        <w:t>sont </w:t>
      </w:r>
      <w:r>
        <w:rPr>
          <w:color w:val="231F20"/>
        </w:rPr>
        <w:t>brûlés ou confisqués par les missionnaires.</w:t>
      </w:r>
    </w:p>
    <w:p>
      <w:pPr>
        <w:pStyle w:val="BodyText"/>
        <w:spacing w:before="120"/>
        <w:ind w:right="102" w:firstLine="283"/>
      </w:pPr>
      <w:r>
        <w:rPr>
          <w:color w:val="231F20"/>
        </w:rPr>
        <w:t>Faidherbe,</w:t>
      </w:r>
      <w:r>
        <w:rPr>
          <w:color w:val="231F20"/>
          <w:spacing w:val="-7"/>
        </w:rPr>
        <w:t> </w:t>
      </w:r>
      <w:r>
        <w:rPr>
          <w:color w:val="231F20"/>
        </w:rPr>
        <w:t>Gouverneur</w:t>
      </w:r>
      <w:r>
        <w:rPr>
          <w:color w:val="231F20"/>
          <w:spacing w:val="-7"/>
        </w:rPr>
        <w:t> </w:t>
      </w:r>
      <w:r>
        <w:rPr>
          <w:color w:val="231F20"/>
        </w:rPr>
        <w:t>de</w:t>
      </w:r>
      <w:r>
        <w:rPr>
          <w:color w:val="231F20"/>
          <w:spacing w:val="-8"/>
        </w:rPr>
        <w:t> </w:t>
      </w:r>
      <w:r>
        <w:rPr>
          <w:color w:val="231F20"/>
        </w:rPr>
        <w:t>l’AOF,</w:t>
      </w:r>
      <w:r>
        <w:rPr>
          <w:color w:val="231F20"/>
          <w:spacing w:val="-7"/>
        </w:rPr>
        <w:t> </w:t>
      </w:r>
      <w:r>
        <w:rPr>
          <w:color w:val="231F20"/>
        </w:rPr>
        <w:t>fonde</w:t>
      </w:r>
      <w:r>
        <w:rPr>
          <w:color w:val="231F20"/>
          <w:spacing w:val="-7"/>
        </w:rPr>
        <w:t> </w:t>
      </w:r>
      <w:r>
        <w:rPr>
          <w:color w:val="231F20"/>
        </w:rPr>
        <w:t>en</w:t>
      </w:r>
      <w:r>
        <w:rPr>
          <w:color w:val="231F20"/>
          <w:spacing w:val="-7"/>
        </w:rPr>
        <w:t> </w:t>
      </w:r>
      <w:r>
        <w:rPr>
          <w:color w:val="231F20"/>
        </w:rPr>
        <w:t>1854,</w:t>
      </w:r>
      <w:r>
        <w:rPr>
          <w:color w:val="231F20"/>
          <w:spacing w:val="-9"/>
        </w:rPr>
        <w:t> </w:t>
      </w:r>
      <w:r>
        <w:rPr>
          <w:color w:val="231F20"/>
        </w:rPr>
        <w:t>l’École</w:t>
      </w:r>
      <w:r>
        <w:rPr>
          <w:color w:val="231F20"/>
          <w:spacing w:val="-7"/>
        </w:rPr>
        <w:t> </w:t>
      </w:r>
      <w:r>
        <w:rPr>
          <w:color w:val="231F20"/>
        </w:rPr>
        <w:t>des</w:t>
      </w:r>
      <w:r>
        <w:rPr>
          <w:color w:val="231F20"/>
          <w:spacing w:val="-7"/>
        </w:rPr>
        <w:t> </w:t>
      </w:r>
      <w:r>
        <w:rPr>
          <w:color w:val="231F20"/>
        </w:rPr>
        <w:t>otages rebaptisée</w:t>
      </w:r>
      <w:r>
        <w:rPr>
          <w:color w:val="231F20"/>
          <w:spacing w:val="-13"/>
        </w:rPr>
        <w:t> </w:t>
      </w:r>
      <w:r>
        <w:rPr>
          <w:color w:val="231F20"/>
        </w:rPr>
        <w:t>par</w:t>
      </w:r>
      <w:r>
        <w:rPr>
          <w:color w:val="231F20"/>
          <w:spacing w:val="-10"/>
        </w:rPr>
        <w:t> </w:t>
      </w:r>
      <w:r>
        <w:rPr>
          <w:color w:val="231F20"/>
        </w:rPr>
        <w:t>la</w:t>
      </w:r>
      <w:r>
        <w:rPr>
          <w:color w:val="231F20"/>
          <w:spacing w:val="-11"/>
        </w:rPr>
        <w:t> </w:t>
      </w:r>
      <w:r>
        <w:rPr>
          <w:color w:val="231F20"/>
        </w:rPr>
        <w:t>suite</w:t>
      </w:r>
      <w:r>
        <w:rPr>
          <w:color w:val="231F20"/>
          <w:spacing w:val="-10"/>
        </w:rPr>
        <w:t> </w:t>
      </w:r>
      <w:r>
        <w:rPr>
          <w:color w:val="231F20"/>
        </w:rPr>
        <w:t>«</w:t>
      </w:r>
      <w:r>
        <w:rPr>
          <w:color w:val="231F20"/>
          <w:spacing w:val="-15"/>
        </w:rPr>
        <w:t> </w:t>
      </w:r>
      <w:r>
        <w:rPr>
          <w:color w:val="231F20"/>
        </w:rPr>
        <w:t>École</w:t>
      </w:r>
      <w:r>
        <w:rPr>
          <w:color w:val="231F20"/>
          <w:spacing w:val="-10"/>
        </w:rPr>
        <w:t> </w:t>
      </w:r>
      <w:r>
        <w:rPr>
          <w:color w:val="231F20"/>
        </w:rPr>
        <w:t>des</w:t>
      </w:r>
      <w:r>
        <w:rPr>
          <w:color w:val="231F20"/>
          <w:spacing w:val="-9"/>
        </w:rPr>
        <w:t> </w:t>
      </w:r>
      <w:r>
        <w:rPr>
          <w:color w:val="231F20"/>
        </w:rPr>
        <w:t>fils</w:t>
      </w:r>
      <w:r>
        <w:rPr>
          <w:color w:val="231F20"/>
          <w:spacing w:val="-9"/>
        </w:rPr>
        <w:t> </w:t>
      </w:r>
      <w:r>
        <w:rPr>
          <w:color w:val="231F20"/>
        </w:rPr>
        <w:t>de</w:t>
      </w:r>
      <w:r>
        <w:rPr>
          <w:color w:val="231F20"/>
          <w:spacing w:val="-10"/>
        </w:rPr>
        <w:t> </w:t>
      </w:r>
      <w:r>
        <w:rPr>
          <w:color w:val="231F20"/>
        </w:rPr>
        <w:t>chefs</w:t>
      </w:r>
      <w:r>
        <w:rPr>
          <w:color w:val="231F20"/>
          <w:spacing w:val="-10"/>
        </w:rPr>
        <w:t> </w:t>
      </w:r>
      <w:r>
        <w:rPr>
          <w:color w:val="231F20"/>
        </w:rPr>
        <w:t>et</w:t>
      </w:r>
      <w:r>
        <w:rPr>
          <w:color w:val="231F20"/>
          <w:spacing w:val="-9"/>
        </w:rPr>
        <w:t> </w:t>
      </w:r>
      <w:r>
        <w:rPr>
          <w:color w:val="231F20"/>
        </w:rPr>
        <w:t>des</w:t>
      </w:r>
      <w:r>
        <w:rPr>
          <w:color w:val="231F20"/>
          <w:spacing w:val="-9"/>
        </w:rPr>
        <w:t> </w:t>
      </w:r>
      <w:r>
        <w:rPr>
          <w:color w:val="231F20"/>
        </w:rPr>
        <w:t>interprètes</w:t>
      </w:r>
      <w:r>
        <w:rPr>
          <w:color w:val="231F20"/>
          <w:spacing w:val="-15"/>
        </w:rPr>
        <w:t> </w:t>
      </w:r>
      <w:r>
        <w:rPr>
          <w:color w:val="231F20"/>
        </w:rPr>
        <w:t>»,</w:t>
      </w:r>
      <w:r>
        <w:rPr>
          <w:color w:val="231F20"/>
          <w:spacing w:val="-9"/>
        </w:rPr>
        <w:t> </w:t>
      </w:r>
      <w:r>
        <w:rPr>
          <w:color w:val="231F20"/>
        </w:rPr>
        <w:t>puis, en 1857, une</w:t>
      </w:r>
      <w:r>
        <w:rPr>
          <w:color w:val="231F20"/>
          <w:spacing w:val="-1"/>
        </w:rPr>
        <w:t> </w:t>
      </w:r>
      <w:r>
        <w:rPr>
          <w:color w:val="231F20"/>
        </w:rPr>
        <w:t>première école laïque à</w:t>
      </w:r>
      <w:r>
        <w:rPr>
          <w:color w:val="231F20"/>
          <w:spacing w:val="-2"/>
        </w:rPr>
        <w:t> </w:t>
      </w:r>
      <w:r>
        <w:rPr>
          <w:color w:val="231F20"/>
        </w:rPr>
        <w:t>Saint-Louis.</w:t>
      </w:r>
      <w:r>
        <w:rPr>
          <w:color w:val="231F20"/>
          <w:spacing w:val="-1"/>
        </w:rPr>
        <w:t> </w:t>
      </w:r>
      <w:r>
        <w:rPr>
          <w:color w:val="231F20"/>
        </w:rPr>
        <w:t>D’autres écoles sont </w:t>
      </w:r>
      <w:r>
        <w:rPr>
          <w:color w:val="231F20"/>
          <w:spacing w:val="-2"/>
        </w:rPr>
        <w:t>créées</w:t>
      </w:r>
      <w:r>
        <w:rPr>
          <w:color w:val="231F20"/>
          <w:spacing w:val="-8"/>
        </w:rPr>
        <w:t> </w:t>
      </w:r>
      <w:r>
        <w:rPr>
          <w:color w:val="231F20"/>
          <w:spacing w:val="-2"/>
        </w:rPr>
        <w:t>dans</w:t>
      </w:r>
      <w:r>
        <w:rPr>
          <w:color w:val="231F20"/>
          <w:spacing w:val="-11"/>
        </w:rPr>
        <w:t> </w:t>
      </w:r>
      <w:r>
        <w:rPr>
          <w:color w:val="231F20"/>
          <w:spacing w:val="-2"/>
        </w:rPr>
        <w:t>la</w:t>
      </w:r>
      <w:r>
        <w:rPr>
          <w:color w:val="231F20"/>
          <w:spacing w:val="-9"/>
        </w:rPr>
        <w:t> </w:t>
      </w:r>
      <w:r>
        <w:rPr>
          <w:color w:val="231F20"/>
          <w:spacing w:val="-2"/>
        </w:rPr>
        <w:t>foulée</w:t>
      </w:r>
      <w:r>
        <w:rPr>
          <w:color w:val="231F20"/>
          <w:spacing w:val="-11"/>
        </w:rPr>
        <w:t> </w:t>
      </w:r>
      <w:r>
        <w:rPr>
          <w:color w:val="231F20"/>
          <w:spacing w:val="-2"/>
        </w:rPr>
        <w:t>:</w:t>
      </w:r>
      <w:r>
        <w:rPr>
          <w:color w:val="231F20"/>
          <w:spacing w:val="-10"/>
        </w:rPr>
        <w:t> </w:t>
      </w:r>
      <w:r>
        <w:rPr>
          <w:color w:val="231F20"/>
          <w:spacing w:val="-2"/>
        </w:rPr>
        <w:t>primaires</w:t>
      </w:r>
      <w:r>
        <w:rPr>
          <w:color w:val="231F20"/>
          <w:spacing w:val="-11"/>
        </w:rPr>
        <w:t> </w:t>
      </w:r>
      <w:r>
        <w:rPr>
          <w:color w:val="231F20"/>
          <w:spacing w:val="-2"/>
        </w:rPr>
        <w:t>d’abord,</w:t>
      </w:r>
      <w:r>
        <w:rPr>
          <w:color w:val="231F20"/>
          <w:spacing w:val="-10"/>
        </w:rPr>
        <w:t> </w:t>
      </w:r>
      <w:r>
        <w:rPr>
          <w:color w:val="231F20"/>
          <w:spacing w:val="-2"/>
        </w:rPr>
        <w:t>puis</w:t>
      </w:r>
      <w:r>
        <w:rPr>
          <w:color w:val="231F20"/>
          <w:spacing w:val="-11"/>
        </w:rPr>
        <w:t> </w:t>
      </w:r>
      <w:r>
        <w:rPr>
          <w:color w:val="231F20"/>
          <w:spacing w:val="-2"/>
        </w:rPr>
        <w:t>secondaires.</w:t>
      </w:r>
      <w:r>
        <w:rPr>
          <w:color w:val="231F20"/>
          <w:spacing w:val="-10"/>
        </w:rPr>
        <w:t> </w:t>
      </w:r>
      <w:r>
        <w:rPr>
          <w:color w:val="231F20"/>
          <w:spacing w:val="-2"/>
        </w:rPr>
        <w:t>Le</w:t>
      </w:r>
      <w:r>
        <w:rPr>
          <w:color w:val="231F20"/>
          <w:spacing w:val="-8"/>
        </w:rPr>
        <w:t> </w:t>
      </w:r>
      <w:r>
        <w:rPr>
          <w:color w:val="231F20"/>
          <w:spacing w:val="-2"/>
        </w:rPr>
        <w:t>fleuron</w:t>
      </w:r>
      <w:r>
        <w:rPr>
          <w:color w:val="231F20"/>
          <w:spacing w:val="-11"/>
        </w:rPr>
        <w:t> </w:t>
      </w:r>
      <w:r>
        <w:rPr>
          <w:color w:val="231F20"/>
          <w:spacing w:val="-2"/>
        </w:rPr>
        <w:t>de </w:t>
      </w:r>
      <w:r>
        <w:rPr>
          <w:color w:val="231F20"/>
        </w:rPr>
        <w:t>la</w:t>
      </w:r>
      <w:r>
        <w:rPr>
          <w:color w:val="231F20"/>
          <w:spacing w:val="-5"/>
        </w:rPr>
        <w:t> </w:t>
      </w:r>
      <w:r>
        <w:rPr>
          <w:color w:val="231F20"/>
        </w:rPr>
        <w:t>diffusion</w:t>
      </w:r>
      <w:r>
        <w:rPr>
          <w:color w:val="231F20"/>
          <w:spacing w:val="-8"/>
        </w:rPr>
        <w:t> </w:t>
      </w:r>
      <w:r>
        <w:rPr>
          <w:color w:val="231F20"/>
        </w:rPr>
        <w:t>de</w:t>
      </w:r>
      <w:r>
        <w:rPr>
          <w:color w:val="231F20"/>
          <w:spacing w:val="-5"/>
        </w:rPr>
        <w:t> </w:t>
      </w:r>
      <w:r>
        <w:rPr>
          <w:color w:val="231F20"/>
        </w:rPr>
        <w:t>la</w:t>
      </w:r>
      <w:r>
        <w:rPr>
          <w:color w:val="231F20"/>
          <w:spacing w:val="-8"/>
        </w:rPr>
        <w:t> </w:t>
      </w:r>
      <w:r>
        <w:rPr>
          <w:color w:val="231F20"/>
        </w:rPr>
        <w:t>culture</w:t>
      </w:r>
      <w:r>
        <w:rPr>
          <w:color w:val="231F20"/>
          <w:spacing w:val="-8"/>
        </w:rPr>
        <w:t> </w:t>
      </w:r>
      <w:r>
        <w:rPr>
          <w:color w:val="231F20"/>
        </w:rPr>
        <w:t>du</w:t>
      </w:r>
      <w:r>
        <w:rPr>
          <w:color w:val="231F20"/>
          <w:spacing w:val="-5"/>
        </w:rPr>
        <w:t> </w:t>
      </w:r>
      <w:r>
        <w:rPr>
          <w:color w:val="231F20"/>
        </w:rPr>
        <w:t>colon</w:t>
      </w:r>
      <w:r>
        <w:rPr>
          <w:color w:val="231F20"/>
          <w:spacing w:val="-8"/>
        </w:rPr>
        <w:t> </w:t>
      </w:r>
      <w:r>
        <w:rPr>
          <w:color w:val="231F20"/>
        </w:rPr>
        <w:t>est</w:t>
      </w:r>
      <w:r>
        <w:rPr>
          <w:color w:val="231F20"/>
          <w:spacing w:val="-7"/>
        </w:rPr>
        <w:t> </w:t>
      </w:r>
      <w:r>
        <w:rPr>
          <w:color w:val="231F20"/>
        </w:rPr>
        <w:t>sans</w:t>
      </w:r>
      <w:r>
        <w:rPr>
          <w:color w:val="231F20"/>
          <w:spacing w:val="-7"/>
        </w:rPr>
        <w:t> </w:t>
      </w:r>
      <w:r>
        <w:rPr>
          <w:color w:val="231F20"/>
        </w:rPr>
        <w:t>doute</w:t>
      </w:r>
      <w:r>
        <w:rPr>
          <w:color w:val="231F20"/>
          <w:spacing w:val="-8"/>
        </w:rPr>
        <w:t> </w:t>
      </w:r>
      <w:r>
        <w:rPr>
          <w:color w:val="231F20"/>
        </w:rPr>
        <w:t>l’École</w:t>
      </w:r>
      <w:r>
        <w:rPr>
          <w:color w:val="231F20"/>
          <w:spacing w:val="-6"/>
        </w:rPr>
        <w:t> </w:t>
      </w:r>
      <w:r>
        <w:rPr>
          <w:color w:val="231F20"/>
        </w:rPr>
        <w:t>William</w:t>
      </w:r>
      <w:r>
        <w:rPr>
          <w:color w:val="231F20"/>
          <w:spacing w:val="-6"/>
        </w:rPr>
        <w:t> </w:t>
      </w:r>
      <w:r>
        <w:rPr>
          <w:color w:val="231F20"/>
        </w:rPr>
        <w:t>Ponty du nom de William Merleau-Ponty, gouverneur général de l’AOF dès 1908</w:t>
      </w:r>
      <w:r>
        <w:rPr>
          <w:color w:val="231F20"/>
          <w:spacing w:val="-8"/>
        </w:rPr>
        <w:t> </w:t>
      </w:r>
      <w:r>
        <w:rPr>
          <w:color w:val="231F20"/>
        </w:rPr>
        <w:t>et</w:t>
      </w:r>
      <w:r>
        <w:rPr>
          <w:color w:val="231F20"/>
          <w:spacing w:val="-8"/>
        </w:rPr>
        <w:t> </w:t>
      </w:r>
      <w:r>
        <w:rPr>
          <w:color w:val="231F20"/>
        </w:rPr>
        <w:t>décédé</w:t>
      </w:r>
      <w:r>
        <w:rPr>
          <w:color w:val="231F20"/>
          <w:spacing w:val="-10"/>
        </w:rPr>
        <w:t> </w:t>
      </w:r>
      <w:r>
        <w:rPr>
          <w:color w:val="231F20"/>
        </w:rPr>
        <w:t>le</w:t>
      </w:r>
      <w:r>
        <w:rPr>
          <w:color w:val="231F20"/>
          <w:spacing w:val="-8"/>
        </w:rPr>
        <w:t> </w:t>
      </w:r>
      <w:r>
        <w:rPr>
          <w:color w:val="231F20"/>
        </w:rPr>
        <w:t>13</w:t>
      </w:r>
      <w:r>
        <w:rPr>
          <w:color w:val="231F20"/>
          <w:spacing w:val="-8"/>
        </w:rPr>
        <w:t> </w:t>
      </w:r>
      <w:r>
        <w:rPr>
          <w:color w:val="231F20"/>
        </w:rPr>
        <w:t>juin</w:t>
      </w:r>
      <w:r>
        <w:rPr>
          <w:color w:val="231F20"/>
          <w:spacing w:val="-10"/>
        </w:rPr>
        <w:t> </w:t>
      </w:r>
      <w:r>
        <w:rPr>
          <w:color w:val="231F20"/>
        </w:rPr>
        <w:t>1915</w:t>
      </w:r>
      <w:r>
        <w:rPr>
          <w:color w:val="231F20"/>
          <w:spacing w:val="-8"/>
        </w:rPr>
        <w:t> </w:t>
      </w:r>
      <w:r>
        <w:rPr>
          <w:color w:val="231F20"/>
        </w:rPr>
        <w:t>au</w:t>
      </w:r>
      <w:r>
        <w:rPr>
          <w:color w:val="231F20"/>
          <w:spacing w:val="-10"/>
        </w:rPr>
        <w:t> </w:t>
      </w:r>
      <w:r>
        <w:rPr>
          <w:color w:val="231F20"/>
        </w:rPr>
        <w:t>Sénégal</w:t>
      </w:r>
      <w:r>
        <w:rPr>
          <w:color w:val="231F20"/>
          <w:spacing w:val="-8"/>
        </w:rPr>
        <w:t> </w:t>
      </w:r>
      <w:r>
        <w:rPr>
          <w:color w:val="231F20"/>
        </w:rPr>
        <w:t>à</w:t>
      </w:r>
      <w:r>
        <w:rPr>
          <w:color w:val="231F20"/>
          <w:spacing w:val="-8"/>
        </w:rPr>
        <w:t> </w:t>
      </w:r>
      <w:r>
        <w:rPr>
          <w:color w:val="231F20"/>
        </w:rPr>
        <w:t>49</w:t>
      </w:r>
      <w:r>
        <w:rPr>
          <w:color w:val="231F20"/>
          <w:spacing w:val="-8"/>
        </w:rPr>
        <w:t> </w:t>
      </w:r>
      <w:r>
        <w:rPr>
          <w:color w:val="231F20"/>
        </w:rPr>
        <w:t>ans.</w:t>
      </w:r>
      <w:r>
        <w:rPr>
          <w:color w:val="231F20"/>
          <w:spacing w:val="-8"/>
        </w:rPr>
        <w:t> </w:t>
      </w:r>
      <w:r>
        <w:rPr>
          <w:color w:val="231F20"/>
        </w:rPr>
        <w:t>L’École</w:t>
      </w:r>
      <w:r>
        <w:rPr>
          <w:color w:val="231F20"/>
          <w:spacing w:val="-8"/>
        </w:rPr>
        <w:t> </w:t>
      </w:r>
      <w:r>
        <w:rPr>
          <w:color w:val="231F20"/>
        </w:rPr>
        <w:t>fonctionne d’abord</w:t>
      </w:r>
      <w:r>
        <w:rPr>
          <w:color w:val="231F20"/>
          <w:spacing w:val="-15"/>
        </w:rPr>
        <w:t> </w:t>
      </w:r>
      <w:r>
        <w:rPr>
          <w:color w:val="231F20"/>
        </w:rPr>
        <w:t>en</w:t>
      </w:r>
      <w:r>
        <w:rPr>
          <w:color w:val="231F20"/>
          <w:spacing w:val="-15"/>
        </w:rPr>
        <w:t> </w:t>
      </w:r>
      <w:r>
        <w:rPr>
          <w:color w:val="231F20"/>
        </w:rPr>
        <w:t>tant</w:t>
      </w:r>
      <w:r>
        <w:rPr>
          <w:color w:val="231F20"/>
          <w:spacing w:val="-15"/>
        </w:rPr>
        <w:t> </w:t>
      </w:r>
      <w:r>
        <w:rPr>
          <w:color w:val="231F20"/>
        </w:rPr>
        <w:t>que</w:t>
      </w:r>
      <w:r>
        <w:rPr>
          <w:color w:val="231F20"/>
          <w:spacing w:val="-15"/>
        </w:rPr>
        <w:t> </w:t>
      </w:r>
      <w:r>
        <w:rPr>
          <w:color w:val="231F20"/>
        </w:rPr>
        <w:t>section</w:t>
      </w:r>
      <w:r>
        <w:rPr>
          <w:color w:val="231F20"/>
          <w:spacing w:val="-15"/>
        </w:rPr>
        <w:t> </w:t>
      </w:r>
      <w:r>
        <w:rPr>
          <w:color w:val="231F20"/>
        </w:rPr>
        <w:t>de</w:t>
      </w:r>
      <w:r>
        <w:rPr>
          <w:color w:val="231F20"/>
          <w:spacing w:val="-15"/>
        </w:rPr>
        <w:t> </w:t>
      </w:r>
      <w:r>
        <w:rPr>
          <w:color w:val="231F20"/>
        </w:rPr>
        <w:t>l’École</w:t>
      </w:r>
      <w:r>
        <w:rPr>
          <w:color w:val="231F20"/>
          <w:spacing w:val="-15"/>
        </w:rPr>
        <w:t> </w:t>
      </w:r>
      <w:r>
        <w:rPr>
          <w:color w:val="231F20"/>
        </w:rPr>
        <w:t>des</w:t>
      </w:r>
      <w:r>
        <w:rPr>
          <w:color w:val="231F20"/>
          <w:spacing w:val="-15"/>
        </w:rPr>
        <w:t> </w:t>
      </w:r>
      <w:r>
        <w:rPr>
          <w:color w:val="231F20"/>
        </w:rPr>
        <w:t>fils</w:t>
      </w:r>
      <w:r>
        <w:rPr>
          <w:color w:val="231F20"/>
          <w:spacing w:val="-15"/>
        </w:rPr>
        <w:t> </w:t>
      </w:r>
      <w:r>
        <w:rPr>
          <w:color w:val="231F20"/>
        </w:rPr>
        <w:t>de</w:t>
      </w:r>
      <w:r>
        <w:rPr>
          <w:color w:val="231F20"/>
          <w:spacing w:val="-15"/>
        </w:rPr>
        <w:t> </w:t>
      </w:r>
      <w:r>
        <w:rPr>
          <w:color w:val="231F20"/>
        </w:rPr>
        <w:t>chefs</w:t>
      </w:r>
      <w:r>
        <w:rPr>
          <w:color w:val="231F20"/>
          <w:spacing w:val="-15"/>
        </w:rPr>
        <w:t> </w:t>
      </w:r>
      <w:r>
        <w:rPr>
          <w:color w:val="231F20"/>
        </w:rPr>
        <w:t>et</w:t>
      </w:r>
      <w:r>
        <w:rPr>
          <w:color w:val="231F20"/>
          <w:spacing w:val="-15"/>
        </w:rPr>
        <w:t> </w:t>
      </w:r>
      <w:r>
        <w:rPr>
          <w:color w:val="231F20"/>
        </w:rPr>
        <w:t>des</w:t>
      </w:r>
      <w:r>
        <w:rPr>
          <w:color w:val="231F20"/>
          <w:spacing w:val="-15"/>
        </w:rPr>
        <w:t> </w:t>
      </w:r>
      <w:r>
        <w:rPr>
          <w:color w:val="231F20"/>
        </w:rPr>
        <w:t>interprètes. Déplacée sur l’ile de Gorée au large de Dakar en 1913 et rebaptisée « École</w:t>
      </w:r>
      <w:r>
        <w:rPr>
          <w:color w:val="231F20"/>
          <w:spacing w:val="-11"/>
        </w:rPr>
        <w:t> </w:t>
      </w:r>
      <w:r>
        <w:rPr>
          <w:color w:val="231F20"/>
        </w:rPr>
        <w:t>normale</w:t>
      </w:r>
      <w:r>
        <w:rPr>
          <w:color w:val="231F20"/>
          <w:spacing w:val="-7"/>
        </w:rPr>
        <w:t> </w:t>
      </w:r>
      <w:r>
        <w:rPr>
          <w:color w:val="231F20"/>
        </w:rPr>
        <w:t>William</w:t>
      </w:r>
      <w:r>
        <w:rPr>
          <w:color w:val="231F20"/>
          <w:spacing w:val="-6"/>
        </w:rPr>
        <w:t> </w:t>
      </w:r>
      <w:r>
        <w:rPr>
          <w:color w:val="231F20"/>
        </w:rPr>
        <w:t>Ponty</w:t>
      </w:r>
      <w:r>
        <w:rPr>
          <w:color w:val="231F20"/>
          <w:spacing w:val="-15"/>
        </w:rPr>
        <w:t> </w:t>
      </w:r>
      <w:r>
        <w:rPr>
          <w:color w:val="231F20"/>
        </w:rPr>
        <w:t>»,</w:t>
      </w:r>
      <w:r>
        <w:rPr>
          <w:color w:val="231F20"/>
          <w:spacing w:val="-7"/>
        </w:rPr>
        <w:t> </w:t>
      </w:r>
      <w:r>
        <w:rPr>
          <w:color w:val="231F20"/>
        </w:rPr>
        <w:t>elle</w:t>
      </w:r>
      <w:r>
        <w:rPr>
          <w:color w:val="231F20"/>
          <w:spacing w:val="-7"/>
        </w:rPr>
        <w:t> </w:t>
      </w:r>
      <w:r>
        <w:rPr>
          <w:color w:val="231F20"/>
        </w:rPr>
        <w:t>forme</w:t>
      </w:r>
      <w:r>
        <w:rPr>
          <w:color w:val="231F20"/>
          <w:spacing w:val="-5"/>
        </w:rPr>
        <w:t> </w:t>
      </w:r>
      <w:r>
        <w:rPr>
          <w:color w:val="231F20"/>
        </w:rPr>
        <w:t>en</w:t>
      </w:r>
      <w:r>
        <w:rPr>
          <w:color w:val="231F20"/>
          <w:spacing w:val="-7"/>
        </w:rPr>
        <w:t> </w:t>
      </w:r>
      <w:r>
        <w:rPr>
          <w:color w:val="231F20"/>
        </w:rPr>
        <w:t>majorité</w:t>
      </w:r>
      <w:r>
        <w:rPr>
          <w:color w:val="231F20"/>
          <w:spacing w:val="-7"/>
        </w:rPr>
        <w:t> </w:t>
      </w:r>
      <w:r>
        <w:rPr>
          <w:color w:val="231F20"/>
        </w:rPr>
        <w:t>des</w:t>
      </w:r>
      <w:r>
        <w:rPr>
          <w:color w:val="231F20"/>
          <w:spacing w:val="-7"/>
        </w:rPr>
        <w:t> </w:t>
      </w:r>
      <w:r>
        <w:rPr>
          <w:color w:val="231F20"/>
        </w:rPr>
        <w:t>instituteurs, des</w:t>
      </w:r>
      <w:r>
        <w:rPr>
          <w:color w:val="231F20"/>
          <w:spacing w:val="-15"/>
        </w:rPr>
        <w:t> </w:t>
      </w:r>
      <w:r>
        <w:rPr>
          <w:color w:val="231F20"/>
        </w:rPr>
        <w:t>«</w:t>
      </w:r>
      <w:r>
        <w:rPr>
          <w:color w:val="231F20"/>
          <w:spacing w:val="-15"/>
        </w:rPr>
        <w:t> </w:t>
      </w:r>
      <w:r>
        <w:rPr>
          <w:color w:val="231F20"/>
        </w:rPr>
        <w:t>médecins</w:t>
      </w:r>
      <w:r>
        <w:rPr>
          <w:color w:val="231F20"/>
          <w:spacing w:val="-15"/>
        </w:rPr>
        <w:t> </w:t>
      </w:r>
      <w:r>
        <w:rPr>
          <w:color w:val="231F20"/>
        </w:rPr>
        <w:t>indigènes</w:t>
      </w:r>
      <w:r>
        <w:rPr>
          <w:color w:val="231F20"/>
          <w:spacing w:val="-15"/>
        </w:rPr>
        <w:t> </w:t>
      </w:r>
      <w:r>
        <w:rPr>
          <w:color w:val="231F20"/>
        </w:rPr>
        <w:t>»</w:t>
      </w:r>
      <w:r>
        <w:rPr>
          <w:color w:val="231F20"/>
          <w:spacing w:val="-15"/>
        </w:rPr>
        <w:t> </w:t>
      </w:r>
      <w:r>
        <w:rPr>
          <w:color w:val="231F20"/>
        </w:rPr>
        <w:t>et</w:t>
      </w:r>
      <w:r>
        <w:rPr>
          <w:color w:val="231F20"/>
          <w:spacing w:val="-15"/>
        </w:rPr>
        <w:t> </w:t>
      </w:r>
      <w:r>
        <w:rPr>
          <w:color w:val="231F20"/>
        </w:rPr>
        <w:t>des</w:t>
      </w:r>
      <w:r>
        <w:rPr>
          <w:color w:val="231F20"/>
          <w:spacing w:val="-15"/>
        </w:rPr>
        <w:t> </w:t>
      </w:r>
      <w:r>
        <w:rPr>
          <w:color w:val="231F20"/>
        </w:rPr>
        <w:t>cadres</w:t>
      </w:r>
      <w:r>
        <w:rPr>
          <w:color w:val="231F20"/>
          <w:spacing w:val="-15"/>
        </w:rPr>
        <w:t> </w:t>
      </w:r>
      <w:r>
        <w:rPr>
          <w:color w:val="231F20"/>
        </w:rPr>
        <w:t>moyens</w:t>
      </w:r>
      <w:r>
        <w:rPr>
          <w:color w:val="231F20"/>
          <w:spacing w:val="-15"/>
        </w:rPr>
        <w:t> </w:t>
      </w:r>
      <w:r>
        <w:rPr>
          <w:color w:val="231F20"/>
        </w:rPr>
        <w:t>pour</w:t>
      </w:r>
      <w:r>
        <w:rPr>
          <w:color w:val="231F20"/>
          <w:spacing w:val="-15"/>
        </w:rPr>
        <w:t> </w:t>
      </w:r>
      <w:r>
        <w:rPr>
          <w:color w:val="231F20"/>
        </w:rPr>
        <w:t>l’Administration.</w:t>
      </w:r>
    </w:p>
    <w:p>
      <w:pPr>
        <w:pStyle w:val="BodyText"/>
        <w:spacing w:before="121"/>
        <w:ind w:right="105" w:firstLine="283"/>
      </w:pPr>
      <w:r>
        <w:rPr>
          <w:color w:val="231F20"/>
        </w:rPr>
        <w:t>Pour</w:t>
      </w:r>
      <w:r>
        <w:rPr>
          <w:color w:val="231F20"/>
          <w:spacing w:val="-2"/>
        </w:rPr>
        <w:t> </w:t>
      </w:r>
      <w:r>
        <w:rPr>
          <w:color w:val="231F20"/>
        </w:rPr>
        <w:t>relier</w:t>
      </w:r>
      <w:r>
        <w:rPr>
          <w:color w:val="231F20"/>
          <w:spacing w:val="-2"/>
        </w:rPr>
        <w:t> </w:t>
      </w:r>
      <w:r>
        <w:rPr>
          <w:color w:val="231F20"/>
        </w:rPr>
        <w:t>les</w:t>
      </w:r>
      <w:r>
        <w:rPr>
          <w:color w:val="231F20"/>
          <w:spacing w:val="-2"/>
        </w:rPr>
        <w:t> </w:t>
      </w:r>
      <w:r>
        <w:rPr>
          <w:color w:val="231F20"/>
        </w:rPr>
        <w:t>postes</w:t>
      </w:r>
      <w:r>
        <w:rPr>
          <w:color w:val="231F20"/>
          <w:spacing w:val="-2"/>
        </w:rPr>
        <w:t> </w:t>
      </w:r>
      <w:r>
        <w:rPr>
          <w:color w:val="231F20"/>
        </w:rPr>
        <w:t>français</w:t>
      </w:r>
      <w:r>
        <w:rPr>
          <w:color w:val="231F20"/>
          <w:spacing w:val="-2"/>
        </w:rPr>
        <w:t> </w:t>
      </w:r>
      <w:r>
        <w:rPr>
          <w:color w:val="231F20"/>
        </w:rPr>
        <w:t>entre</w:t>
      </w:r>
      <w:r>
        <w:rPr>
          <w:color w:val="231F20"/>
          <w:spacing w:val="-2"/>
        </w:rPr>
        <w:t> </w:t>
      </w:r>
      <w:r>
        <w:rPr>
          <w:color w:val="231F20"/>
        </w:rPr>
        <w:t>eux</w:t>
      </w:r>
      <w:r>
        <w:rPr>
          <w:color w:val="231F20"/>
          <w:spacing w:val="-2"/>
        </w:rPr>
        <w:t> </w:t>
      </w:r>
      <w:r>
        <w:rPr>
          <w:color w:val="231F20"/>
        </w:rPr>
        <w:t>et</w:t>
      </w:r>
      <w:r>
        <w:rPr>
          <w:color w:val="231F20"/>
          <w:spacing w:val="-1"/>
        </w:rPr>
        <w:t> </w:t>
      </w:r>
      <w:r>
        <w:rPr>
          <w:color w:val="231F20"/>
        </w:rPr>
        <w:t>faciliter</w:t>
      </w:r>
      <w:r>
        <w:rPr>
          <w:color w:val="231F20"/>
          <w:spacing w:val="-2"/>
        </w:rPr>
        <w:t> </w:t>
      </w:r>
      <w:r>
        <w:rPr>
          <w:color w:val="231F20"/>
        </w:rPr>
        <w:t>l’écoulement</w:t>
      </w:r>
      <w:r>
        <w:rPr>
          <w:color w:val="231F20"/>
          <w:spacing w:val="-1"/>
        </w:rPr>
        <w:t> </w:t>
      </w:r>
      <w:r>
        <w:rPr>
          <w:color w:val="231F20"/>
        </w:rPr>
        <w:t>des produits locaux vers la côte, de grands travaux d’infrastructures sont menés</w:t>
      </w:r>
      <w:r>
        <w:rPr>
          <w:color w:val="231F20"/>
          <w:spacing w:val="-15"/>
        </w:rPr>
        <w:t> </w:t>
      </w:r>
      <w:r>
        <w:rPr>
          <w:color w:val="231F20"/>
        </w:rPr>
        <w:t>:</w:t>
      </w:r>
      <w:r>
        <w:rPr>
          <w:color w:val="231F20"/>
          <w:spacing w:val="-4"/>
        </w:rPr>
        <w:t> </w:t>
      </w:r>
      <w:r>
        <w:rPr>
          <w:color w:val="231F20"/>
        </w:rPr>
        <w:t>voies ferrées Abidjan-Niger, Conakry-Kankan, Congo-Océan, routes et ports.</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80"/>
        <w:ind w:left="0"/>
        <w:jc w:val="left"/>
        <w:rPr>
          <w:sz w:val="20"/>
        </w:rPr>
      </w:pPr>
      <w:r>
        <w:rPr/>
        <mc:AlternateContent>
          <mc:Choice Requires="wps">
            <w:drawing>
              <wp:anchor distT="0" distB="0" distL="0" distR="0" allowOverlap="1" layoutInCell="1" locked="0" behindDoc="1" simplePos="0" relativeHeight="487597056">
                <wp:simplePos x="0" y="0"/>
                <wp:positionH relativeFrom="page">
                  <wp:posOffset>629907</wp:posOffset>
                </wp:positionH>
                <wp:positionV relativeFrom="paragraph">
                  <wp:posOffset>276054</wp:posOffset>
                </wp:positionV>
                <wp:extent cx="1829435" cy="952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1.736601pt;width:144.020pt;height:.72pt;mso-position-horizontal-relative:page;mso-position-vertical-relative:paragraph;z-index:-15719424;mso-wrap-distance-left:0;mso-wrap-distance-right:0" id="docshape29" filled="true" fillcolor="#231f20" stroked="false">
                <v:fill type="solid"/>
                <w10:wrap type="topAndBottom"/>
              </v:rect>
            </w:pict>
          </mc:Fallback>
        </mc:AlternateContent>
      </w:r>
    </w:p>
    <w:p>
      <w:pPr>
        <w:spacing w:before="94"/>
        <w:ind w:left="111" w:right="0" w:firstLine="0"/>
        <w:jc w:val="left"/>
        <w:rPr>
          <w:i/>
          <w:sz w:val="20"/>
        </w:rPr>
      </w:pPr>
      <w:r>
        <w:rPr>
          <w:color w:val="76787A"/>
          <w:spacing w:val="-4"/>
          <w:sz w:val="20"/>
          <w:vertAlign w:val="superscript"/>
        </w:rPr>
        <w:t>29</w:t>
      </w:r>
      <w:r>
        <w:rPr>
          <w:i/>
          <w:color w:val="231F20"/>
          <w:spacing w:val="-4"/>
          <w:sz w:val="20"/>
          <w:vertAlign w:val="baseline"/>
        </w:rPr>
        <w:t>L'éclaireur de</w:t>
      </w:r>
      <w:r>
        <w:rPr>
          <w:i/>
          <w:color w:val="231F20"/>
          <w:spacing w:val="-3"/>
          <w:sz w:val="20"/>
          <w:vertAlign w:val="baseline"/>
        </w:rPr>
        <w:t> </w:t>
      </w:r>
      <w:r>
        <w:rPr>
          <w:i/>
          <w:color w:val="231F20"/>
          <w:spacing w:val="-4"/>
          <w:sz w:val="20"/>
          <w:vertAlign w:val="baseline"/>
        </w:rPr>
        <w:t>la</w:t>
      </w:r>
      <w:r>
        <w:rPr>
          <w:i/>
          <w:color w:val="231F20"/>
          <w:spacing w:val="-2"/>
          <w:sz w:val="20"/>
          <w:vertAlign w:val="baseline"/>
        </w:rPr>
        <w:t> </w:t>
      </w:r>
      <w:r>
        <w:rPr>
          <w:i/>
          <w:color w:val="231F20"/>
          <w:spacing w:val="-4"/>
          <w:sz w:val="20"/>
          <w:vertAlign w:val="baseline"/>
        </w:rPr>
        <w:t>Côte-d'Ivoire,</w:t>
      </w:r>
      <w:r>
        <w:rPr>
          <w:i/>
          <w:color w:val="231F20"/>
          <w:spacing w:val="-2"/>
          <w:sz w:val="20"/>
          <w:vertAlign w:val="baseline"/>
        </w:rPr>
        <w:t> </w:t>
      </w:r>
      <w:r>
        <w:rPr>
          <w:color w:val="231F20"/>
          <w:spacing w:val="-4"/>
          <w:sz w:val="20"/>
          <w:vertAlign w:val="baseline"/>
        </w:rPr>
        <w:t>Les</w:t>
      </w:r>
      <w:r>
        <w:rPr>
          <w:color w:val="231F20"/>
          <w:spacing w:val="-2"/>
          <w:sz w:val="20"/>
          <w:vertAlign w:val="baseline"/>
        </w:rPr>
        <w:t> </w:t>
      </w:r>
      <w:r>
        <w:rPr>
          <w:color w:val="231F20"/>
          <w:spacing w:val="-4"/>
          <w:sz w:val="20"/>
          <w:vertAlign w:val="baseline"/>
        </w:rPr>
        <w:t>représentants</w:t>
      </w:r>
      <w:r>
        <w:rPr>
          <w:color w:val="231F20"/>
          <w:spacing w:val="-1"/>
          <w:sz w:val="20"/>
          <w:vertAlign w:val="baseline"/>
        </w:rPr>
        <w:t> </w:t>
      </w:r>
      <w:r>
        <w:rPr>
          <w:color w:val="231F20"/>
          <w:spacing w:val="-4"/>
          <w:sz w:val="20"/>
          <w:vertAlign w:val="baseline"/>
        </w:rPr>
        <w:t>et leurs méfaits.</w:t>
      </w:r>
      <w:r>
        <w:rPr>
          <w:color w:val="231F20"/>
          <w:spacing w:val="1"/>
          <w:sz w:val="20"/>
          <w:vertAlign w:val="baseline"/>
        </w:rPr>
        <w:t> </w:t>
      </w:r>
      <w:r>
        <w:rPr>
          <w:i/>
          <w:color w:val="231F20"/>
          <w:spacing w:val="-4"/>
          <w:sz w:val="20"/>
          <w:vertAlign w:val="baseline"/>
        </w:rPr>
        <w:t>n°2,</w:t>
      </w:r>
      <w:r>
        <w:rPr>
          <w:i/>
          <w:color w:val="231F20"/>
          <w:spacing w:val="-3"/>
          <w:sz w:val="20"/>
          <w:vertAlign w:val="baseline"/>
        </w:rPr>
        <w:t> </w:t>
      </w:r>
      <w:r>
        <w:rPr>
          <w:i/>
          <w:color w:val="231F20"/>
          <w:spacing w:val="-4"/>
          <w:sz w:val="20"/>
          <w:vertAlign w:val="baseline"/>
        </w:rPr>
        <w:t>19</w:t>
      </w:r>
      <w:r>
        <w:rPr>
          <w:i/>
          <w:color w:val="231F20"/>
          <w:spacing w:val="-2"/>
          <w:sz w:val="20"/>
          <w:vertAlign w:val="baseline"/>
        </w:rPr>
        <w:t> </w:t>
      </w:r>
      <w:r>
        <w:rPr>
          <w:i/>
          <w:color w:val="231F20"/>
          <w:spacing w:val="-4"/>
          <w:sz w:val="20"/>
          <w:vertAlign w:val="baseline"/>
        </w:rPr>
        <w:t>août</w:t>
      </w:r>
      <w:r>
        <w:rPr>
          <w:i/>
          <w:color w:val="231F20"/>
          <w:spacing w:val="-2"/>
          <w:sz w:val="20"/>
          <w:vertAlign w:val="baseline"/>
        </w:rPr>
        <w:t> </w:t>
      </w:r>
      <w:r>
        <w:rPr>
          <w:i/>
          <w:color w:val="231F20"/>
          <w:spacing w:val="-4"/>
          <w:sz w:val="20"/>
          <w:vertAlign w:val="baseline"/>
        </w:rPr>
        <w:t>1935.</w:t>
      </w:r>
    </w:p>
    <w:p>
      <w:pPr>
        <w:spacing w:after="0"/>
        <w:jc w:val="left"/>
        <w:rPr>
          <w:sz w:val="20"/>
        </w:rPr>
        <w:sectPr>
          <w:pgSz w:w="8790" w:h="13610"/>
          <w:pgMar w:header="0" w:footer="802" w:top="1060" w:bottom="1000" w:left="880" w:right="880"/>
        </w:sectPr>
      </w:pPr>
    </w:p>
    <w:p>
      <w:pPr>
        <w:spacing w:before="86"/>
        <w:ind w:left="111" w:right="105" w:firstLine="283"/>
        <w:jc w:val="both"/>
        <w:rPr>
          <w:sz w:val="24"/>
        </w:rPr>
      </w:pPr>
      <w:r>
        <w:rPr>
          <w:color w:val="231F20"/>
          <w:sz w:val="24"/>
        </w:rPr>
        <w:t>Cet</w:t>
      </w:r>
      <w:r>
        <w:rPr>
          <w:color w:val="231F20"/>
          <w:spacing w:val="-12"/>
          <w:sz w:val="24"/>
        </w:rPr>
        <w:t> </w:t>
      </w:r>
      <w:r>
        <w:rPr>
          <w:color w:val="231F20"/>
          <w:sz w:val="24"/>
        </w:rPr>
        <w:t>article</w:t>
      </w:r>
      <w:r>
        <w:rPr>
          <w:color w:val="231F20"/>
          <w:spacing w:val="-13"/>
          <w:sz w:val="24"/>
        </w:rPr>
        <w:t> </w:t>
      </w:r>
      <w:r>
        <w:rPr>
          <w:color w:val="231F20"/>
          <w:sz w:val="24"/>
        </w:rPr>
        <w:t>"</w:t>
      </w:r>
      <w:r>
        <w:rPr>
          <w:b/>
          <w:i/>
          <w:color w:val="231F20"/>
          <w:sz w:val="24"/>
        </w:rPr>
        <w:t>La</w:t>
      </w:r>
      <w:r>
        <w:rPr>
          <w:b/>
          <w:i/>
          <w:color w:val="231F20"/>
          <w:spacing w:val="-13"/>
          <w:sz w:val="24"/>
        </w:rPr>
        <w:t> </w:t>
      </w:r>
      <w:r>
        <w:rPr>
          <w:b/>
          <w:i/>
          <w:color w:val="231F20"/>
          <w:sz w:val="24"/>
        </w:rPr>
        <w:t>ligne</w:t>
      </w:r>
      <w:r>
        <w:rPr>
          <w:b/>
          <w:i/>
          <w:color w:val="231F20"/>
          <w:spacing w:val="-13"/>
          <w:sz w:val="24"/>
        </w:rPr>
        <w:t> </w:t>
      </w:r>
      <w:r>
        <w:rPr>
          <w:b/>
          <w:i/>
          <w:color w:val="231F20"/>
          <w:sz w:val="24"/>
        </w:rPr>
        <w:t>Congo-Océan</w:t>
      </w:r>
      <w:r>
        <w:rPr>
          <w:b/>
          <w:i/>
          <w:color w:val="231F20"/>
          <w:spacing w:val="-12"/>
          <w:sz w:val="24"/>
        </w:rPr>
        <w:t> </w:t>
      </w:r>
      <w:r>
        <w:rPr>
          <w:b/>
          <w:i/>
          <w:color w:val="231F20"/>
          <w:sz w:val="24"/>
        </w:rPr>
        <w:t>:</w:t>
      </w:r>
      <w:r>
        <w:rPr>
          <w:b/>
          <w:i/>
          <w:color w:val="231F20"/>
          <w:spacing w:val="-13"/>
          <w:sz w:val="24"/>
        </w:rPr>
        <w:t> </w:t>
      </w:r>
      <w:r>
        <w:rPr>
          <w:b/>
          <w:i/>
          <w:color w:val="231F20"/>
          <w:sz w:val="24"/>
        </w:rPr>
        <w:t>une</w:t>
      </w:r>
      <w:r>
        <w:rPr>
          <w:b/>
          <w:i/>
          <w:color w:val="231F20"/>
          <w:spacing w:val="-13"/>
          <w:sz w:val="24"/>
        </w:rPr>
        <w:t> </w:t>
      </w:r>
      <w:r>
        <w:rPr>
          <w:b/>
          <w:i/>
          <w:color w:val="231F20"/>
          <w:sz w:val="24"/>
        </w:rPr>
        <w:t>traverse,</w:t>
      </w:r>
      <w:r>
        <w:rPr>
          <w:b/>
          <w:i/>
          <w:color w:val="231F20"/>
          <w:spacing w:val="-15"/>
          <w:sz w:val="24"/>
        </w:rPr>
        <w:t> </w:t>
      </w:r>
      <w:r>
        <w:rPr>
          <w:b/>
          <w:i/>
          <w:color w:val="231F20"/>
          <w:sz w:val="24"/>
        </w:rPr>
        <w:t>un</w:t>
      </w:r>
      <w:r>
        <w:rPr>
          <w:b/>
          <w:i/>
          <w:color w:val="231F20"/>
          <w:spacing w:val="-12"/>
          <w:sz w:val="24"/>
        </w:rPr>
        <w:t> </w:t>
      </w:r>
      <w:r>
        <w:rPr>
          <w:b/>
          <w:i/>
          <w:color w:val="231F20"/>
          <w:sz w:val="24"/>
        </w:rPr>
        <w:t>mort</w:t>
      </w:r>
      <w:r>
        <w:rPr>
          <w:color w:val="231F20"/>
          <w:sz w:val="24"/>
        </w:rPr>
        <w:t>"</w:t>
      </w:r>
      <w:r>
        <w:rPr>
          <w:color w:val="76787A"/>
          <w:sz w:val="24"/>
          <w:vertAlign w:val="superscript"/>
        </w:rPr>
        <w:t>30</w:t>
      </w:r>
      <w:r>
        <w:rPr>
          <w:color w:val="76787A"/>
          <w:spacing w:val="-15"/>
          <w:sz w:val="24"/>
          <w:vertAlign w:val="baseline"/>
        </w:rPr>
        <w:t> </w:t>
      </w:r>
      <w:r>
        <w:rPr>
          <w:b/>
          <w:color w:val="231F20"/>
          <w:sz w:val="24"/>
          <w:vertAlign w:val="baseline"/>
        </w:rPr>
        <w:t>,</w:t>
      </w:r>
      <w:r>
        <w:rPr>
          <w:b/>
          <w:color w:val="231F20"/>
          <w:spacing w:val="-12"/>
          <w:sz w:val="24"/>
          <w:vertAlign w:val="baseline"/>
        </w:rPr>
        <w:t> </w:t>
      </w:r>
      <w:r>
        <w:rPr>
          <w:color w:val="231F20"/>
          <w:sz w:val="24"/>
          <w:vertAlign w:val="baseline"/>
        </w:rPr>
        <w:t>nous plonge</w:t>
      </w:r>
      <w:r>
        <w:rPr>
          <w:color w:val="231F20"/>
          <w:spacing w:val="-7"/>
          <w:sz w:val="24"/>
          <w:vertAlign w:val="baseline"/>
        </w:rPr>
        <w:t> </w:t>
      </w:r>
      <w:r>
        <w:rPr>
          <w:color w:val="231F20"/>
          <w:sz w:val="24"/>
          <w:vertAlign w:val="baseline"/>
        </w:rPr>
        <w:t>dans</w:t>
      </w:r>
      <w:r>
        <w:rPr>
          <w:color w:val="231F20"/>
          <w:spacing w:val="-6"/>
          <w:sz w:val="24"/>
          <w:vertAlign w:val="baseline"/>
        </w:rPr>
        <w:t> </w:t>
      </w:r>
      <w:r>
        <w:rPr>
          <w:color w:val="231F20"/>
          <w:sz w:val="24"/>
          <w:vertAlign w:val="baseline"/>
        </w:rPr>
        <w:t>les</w:t>
      </w:r>
      <w:r>
        <w:rPr>
          <w:color w:val="231F20"/>
          <w:spacing w:val="-5"/>
          <w:sz w:val="24"/>
          <w:vertAlign w:val="baseline"/>
        </w:rPr>
        <w:t> </w:t>
      </w:r>
      <w:r>
        <w:rPr>
          <w:i/>
          <w:color w:val="231F20"/>
          <w:sz w:val="24"/>
          <w:vertAlign w:val="baseline"/>
        </w:rPr>
        <w:t>"</w:t>
      </w:r>
      <w:r>
        <w:rPr>
          <w:i/>
          <w:color w:val="231F20"/>
          <w:spacing w:val="-2"/>
          <w:sz w:val="24"/>
          <w:vertAlign w:val="baseline"/>
        </w:rPr>
        <w:t> </w:t>
      </w:r>
      <w:r>
        <w:rPr>
          <w:color w:val="231F20"/>
          <w:sz w:val="24"/>
          <w:vertAlign w:val="baseline"/>
        </w:rPr>
        <w:t>bienfaits</w:t>
      </w:r>
      <w:r>
        <w:rPr>
          <w:color w:val="231F20"/>
          <w:spacing w:val="-6"/>
          <w:sz w:val="24"/>
          <w:vertAlign w:val="baseline"/>
        </w:rPr>
        <w:t> </w:t>
      </w:r>
      <w:r>
        <w:rPr>
          <w:i/>
          <w:color w:val="231F20"/>
          <w:sz w:val="24"/>
          <w:vertAlign w:val="baseline"/>
        </w:rPr>
        <w:t>"</w:t>
      </w:r>
      <w:r>
        <w:rPr>
          <w:i/>
          <w:color w:val="231F20"/>
          <w:spacing w:val="-3"/>
          <w:sz w:val="24"/>
          <w:vertAlign w:val="baseline"/>
        </w:rPr>
        <w:t> </w:t>
      </w:r>
      <w:r>
        <w:rPr>
          <w:color w:val="231F20"/>
          <w:sz w:val="24"/>
          <w:vertAlign w:val="baseline"/>
        </w:rPr>
        <w:t>de</w:t>
      </w:r>
      <w:r>
        <w:rPr>
          <w:color w:val="231F20"/>
          <w:spacing w:val="-6"/>
          <w:sz w:val="24"/>
          <w:vertAlign w:val="baseline"/>
        </w:rPr>
        <w:t> </w:t>
      </w:r>
      <w:r>
        <w:rPr>
          <w:color w:val="231F20"/>
          <w:sz w:val="24"/>
          <w:vertAlign w:val="baseline"/>
        </w:rPr>
        <w:t>la</w:t>
      </w:r>
      <w:r>
        <w:rPr>
          <w:color w:val="231F20"/>
          <w:spacing w:val="-3"/>
          <w:sz w:val="24"/>
          <w:vertAlign w:val="baseline"/>
        </w:rPr>
        <w:t> </w:t>
      </w:r>
      <w:r>
        <w:rPr>
          <w:color w:val="231F20"/>
          <w:sz w:val="24"/>
          <w:vertAlign w:val="baseline"/>
        </w:rPr>
        <w:t>civilisation</w:t>
      </w:r>
      <w:r>
        <w:rPr>
          <w:color w:val="231F20"/>
          <w:spacing w:val="-3"/>
          <w:sz w:val="24"/>
          <w:vertAlign w:val="baseline"/>
        </w:rPr>
        <w:t> </w:t>
      </w:r>
      <w:r>
        <w:rPr>
          <w:color w:val="231F20"/>
          <w:sz w:val="24"/>
          <w:vertAlign w:val="baseline"/>
        </w:rPr>
        <w:t>française.</w:t>
      </w:r>
    </w:p>
    <w:p>
      <w:pPr>
        <w:pStyle w:val="BodyText"/>
        <w:spacing w:before="120"/>
        <w:ind w:right="106" w:firstLine="340"/>
      </w:pPr>
      <w:r>
        <w:rPr>
          <w:color w:val="231F20"/>
        </w:rPr>
        <w:t>«</w:t>
      </w:r>
      <w:r>
        <w:rPr>
          <w:color w:val="231F20"/>
          <w:spacing w:val="-12"/>
        </w:rPr>
        <w:t> </w:t>
      </w:r>
      <w:r>
        <w:rPr>
          <w:color w:val="231F20"/>
        </w:rPr>
        <w:t>(…) La future ligne est divisée en plusieurs tronçons, dont la réalisation a été confiée à des entrepreneurs privés (…) Les hommes </w:t>
      </w:r>
      <w:r>
        <w:rPr>
          <w:color w:val="231F20"/>
          <w:spacing w:val="-4"/>
        </w:rPr>
        <w:t>travaillent</w:t>
      </w:r>
      <w:r>
        <w:rPr>
          <w:color w:val="231F20"/>
          <w:spacing w:val="-11"/>
        </w:rPr>
        <w:t> </w:t>
      </w:r>
      <w:r>
        <w:rPr>
          <w:color w:val="231F20"/>
          <w:spacing w:val="-4"/>
        </w:rPr>
        <w:t>sept</w:t>
      </w:r>
      <w:r>
        <w:rPr>
          <w:color w:val="231F20"/>
          <w:spacing w:val="-11"/>
        </w:rPr>
        <w:t> </w:t>
      </w:r>
      <w:r>
        <w:rPr>
          <w:color w:val="231F20"/>
          <w:spacing w:val="-4"/>
        </w:rPr>
        <w:t>jours</w:t>
      </w:r>
      <w:r>
        <w:rPr>
          <w:color w:val="231F20"/>
          <w:spacing w:val="-11"/>
        </w:rPr>
        <w:t> </w:t>
      </w:r>
      <w:r>
        <w:rPr>
          <w:color w:val="231F20"/>
          <w:spacing w:val="-4"/>
        </w:rPr>
        <w:t>sur</w:t>
      </w:r>
      <w:r>
        <w:rPr>
          <w:color w:val="231F20"/>
          <w:spacing w:val="-11"/>
        </w:rPr>
        <w:t> </w:t>
      </w:r>
      <w:r>
        <w:rPr>
          <w:color w:val="231F20"/>
          <w:spacing w:val="-4"/>
        </w:rPr>
        <w:t>sept,</w:t>
      </w:r>
      <w:r>
        <w:rPr>
          <w:color w:val="231F20"/>
          <w:spacing w:val="-11"/>
        </w:rPr>
        <w:t> </w:t>
      </w:r>
      <w:r>
        <w:rPr>
          <w:color w:val="231F20"/>
          <w:spacing w:val="-4"/>
        </w:rPr>
        <w:t>toute</w:t>
      </w:r>
      <w:r>
        <w:rPr>
          <w:color w:val="231F20"/>
          <w:spacing w:val="-11"/>
        </w:rPr>
        <w:t> </w:t>
      </w:r>
      <w:r>
        <w:rPr>
          <w:color w:val="231F20"/>
          <w:spacing w:val="-4"/>
        </w:rPr>
        <w:t>la</w:t>
      </w:r>
      <w:r>
        <w:rPr>
          <w:color w:val="231F20"/>
          <w:spacing w:val="-9"/>
        </w:rPr>
        <w:t> </w:t>
      </w:r>
      <w:r>
        <w:rPr>
          <w:color w:val="231F20"/>
          <w:spacing w:val="-4"/>
        </w:rPr>
        <w:t>journée,</w:t>
      </w:r>
      <w:r>
        <w:rPr>
          <w:color w:val="231F20"/>
          <w:spacing w:val="-11"/>
        </w:rPr>
        <w:t> </w:t>
      </w:r>
      <w:r>
        <w:rPr>
          <w:color w:val="231F20"/>
          <w:spacing w:val="-4"/>
        </w:rPr>
        <w:t>avec</w:t>
      </w:r>
      <w:r>
        <w:rPr>
          <w:color w:val="231F20"/>
          <w:spacing w:val="-9"/>
        </w:rPr>
        <w:t> </w:t>
      </w:r>
      <w:r>
        <w:rPr>
          <w:color w:val="231F20"/>
          <w:spacing w:val="-4"/>
        </w:rPr>
        <w:t>une</w:t>
      </w:r>
      <w:r>
        <w:rPr>
          <w:color w:val="231F20"/>
          <w:spacing w:val="-9"/>
        </w:rPr>
        <w:t> </w:t>
      </w:r>
      <w:r>
        <w:rPr>
          <w:color w:val="231F20"/>
          <w:spacing w:val="-4"/>
        </w:rPr>
        <w:t>seule</w:t>
      </w:r>
      <w:r>
        <w:rPr>
          <w:color w:val="231F20"/>
          <w:spacing w:val="-11"/>
        </w:rPr>
        <w:t> </w:t>
      </w:r>
      <w:r>
        <w:rPr>
          <w:color w:val="231F20"/>
          <w:spacing w:val="-4"/>
        </w:rPr>
        <w:t>courte</w:t>
      </w:r>
      <w:r>
        <w:rPr>
          <w:color w:val="231F20"/>
          <w:spacing w:val="-10"/>
        </w:rPr>
        <w:t> </w:t>
      </w:r>
      <w:r>
        <w:rPr>
          <w:color w:val="231F20"/>
          <w:spacing w:val="-4"/>
        </w:rPr>
        <w:t>pause </w:t>
      </w:r>
      <w:r>
        <w:rPr>
          <w:color w:val="231F20"/>
        </w:rPr>
        <w:t>pour manger. L’approvisionnement des camps, à dos d’homme, est </w:t>
      </w:r>
      <w:r>
        <w:rPr>
          <w:color w:val="231F20"/>
          <w:spacing w:val="-2"/>
        </w:rPr>
        <w:t>aléatoire.</w:t>
      </w:r>
    </w:p>
    <w:p>
      <w:pPr>
        <w:pStyle w:val="BodyText"/>
        <w:spacing w:before="120"/>
        <w:ind w:right="107" w:firstLine="283"/>
      </w:pPr>
      <w:r>
        <w:rPr>
          <w:color w:val="231F20"/>
        </w:rPr>
        <w:t>Encadrés par des miliciens aux ordres des Blancs, principalement originaires d’AOF, les indigènes sont maintenus au travail sous la </w:t>
      </w:r>
      <w:r>
        <w:rPr>
          <w:color w:val="231F20"/>
          <w:spacing w:val="-4"/>
        </w:rPr>
        <w:t>contrainte,</w:t>
      </w:r>
      <w:r>
        <w:rPr>
          <w:color w:val="231F20"/>
          <w:spacing w:val="-6"/>
        </w:rPr>
        <w:t> </w:t>
      </w:r>
      <w:r>
        <w:rPr>
          <w:color w:val="231F20"/>
          <w:spacing w:val="-4"/>
        </w:rPr>
        <w:t>et</w:t>
      </w:r>
      <w:r>
        <w:rPr>
          <w:color w:val="231F20"/>
          <w:spacing w:val="-6"/>
        </w:rPr>
        <w:t> </w:t>
      </w:r>
      <w:r>
        <w:rPr>
          <w:color w:val="231F20"/>
          <w:spacing w:val="-4"/>
        </w:rPr>
        <w:t>ne</w:t>
      </w:r>
      <w:r>
        <w:rPr>
          <w:color w:val="231F20"/>
          <w:spacing w:val="-9"/>
        </w:rPr>
        <w:t> </w:t>
      </w:r>
      <w:r>
        <w:rPr>
          <w:color w:val="231F20"/>
          <w:spacing w:val="-4"/>
        </w:rPr>
        <w:t>touchent</w:t>
      </w:r>
      <w:r>
        <w:rPr>
          <w:color w:val="231F20"/>
          <w:spacing w:val="-7"/>
        </w:rPr>
        <w:t> </w:t>
      </w:r>
      <w:r>
        <w:rPr>
          <w:color w:val="231F20"/>
          <w:spacing w:val="-4"/>
        </w:rPr>
        <w:t>parfois,</w:t>
      </w:r>
      <w:r>
        <w:rPr>
          <w:color w:val="231F20"/>
          <w:spacing w:val="-9"/>
        </w:rPr>
        <w:t> </w:t>
      </w:r>
      <w:r>
        <w:rPr>
          <w:color w:val="231F20"/>
          <w:spacing w:val="-4"/>
        </w:rPr>
        <w:t>pour</w:t>
      </w:r>
      <w:r>
        <w:rPr>
          <w:color w:val="231F20"/>
          <w:spacing w:val="-6"/>
        </w:rPr>
        <w:t> </w:t>
      </w:r>
      <w:r>
        <w:rPr>
          <w:color w:val="231F20"/>
          <w:spacing w:val="-4"/>
        </w:rPr>
        <w:t>tout</w:t>
      </w:r>
      <w:r>
        <w:rPr>
          <w:color w:val="231F20"/>
          <w:spacing w:val="-9"/>
        </w:rPr>
        <w:t> </w:t>
      </w:r>
      <w:r>
        <w:rPr>
          <w:color w:val="231F20"/>
          <w:spacing w:val="-4"/>
        </w:rPr>
        <w:t>salaire,</w:t>
      </w:r>
      <w:r>
        <w:rPr>
          <w:color w:val="231F20"/>
          <w:spacing w:val="-9"/>
        </w:rPr>
        <w:t> </w:t>
      </w:r>
      <w:r>
        <w:rPr>
          <w:color w:val="231F20"/>
          <w:spacing w:val="-4"/>
        </w:rPr>
        <w:t>qu’un</w:t>
      </w:r>
      <w:r>
        <w:rPr>
          <w:color w:val="231F20"/>
          <w:spacing w:val="-6"/>
        </w:rPr>
        <w:t> </w:t>
      </w:r>
      <w:r>
        <w:rPr>
          <w:color w:val="231F20"/>
          <w:spacing w:val="-4"/>
        </w:rPr>
        <w:t>peu</w:t>
      </w:r>
      <w:r>
        <w:rPr>
          <w:color w:val="231F20"/>
          <w:spacing w:val="-6"/>
        </w:rPr>
        <w:t> </w:t>
      </w:r>
      <w:r>
        <w:rPr>
          <w:color w:val="231F20"/>
          <w:spacing w:val="-4"/>
        </w:rPr>
        <w:t>de</w:t>
      </w:r>
      <w:r>
        <w:rPr>
          <w:color w:val="231F20"/>
          <w:spacing w:val="-9"/>
        </w:rPr>
        <w:t> </w:t>
      </w:r>
      <w:r>
        <w:rPr>
          <w:color w:val="231F20"/>
          <w:spacing w:val="-4"/>
        </w:rPr>
        <w:t>sel</w:t>
      </w:r>
      <w:r>
        <w:rPr>
          <w:color w:val="231F20"/>
          <w:spacing w:val="-6"/>
        </w:rPr>
        <w:t> </w:t>
      </w:r>
      <w:r>
        <w:rPr>
          <w:color w:val="231F20"/>
          <w:spacing w:val="-4"/>
        </w:rPr>
        <w:t>ou</w:t>
      </w:r>
      <w:r>
        <w:rPr>
          <w:color w:val="231F20"/>
          <w:spacing w:val="-9"/>
        </w:rPr>
        <w:t> </w:t>
      </w:r>
      <w:r>
        <w:rPr>
          <w:color w:val="231F20"/>
          <w:spacing w:val="-4"/>
        </w:rPr>
        <w:t>de </w:t>
      </w:r>
      <w:r>
        <w:rPr>
          <w:color w:val="231F20"/>
        </w:rPr>
        <w:t>tissu (…)</w:t>
      </w:r>
    </w:p>
    <w:p>
      <w:pPr>
        <w:pStyle w:val="BodyText"/>
        <w:spacing w:before="121"/>
        <w:ind w:right="105" w:firstLine="283"/>
      </w:pPr>
      <w:r>
        <w:rPr>
          <w:color w:val="231F20"/>
        </w:rPr>
        <w:t>Entre</w:t>
      </w:r>
      <w:r>
        <w:rPr>
          <w:color w:val="231F20"/>
          <w:spacing w:val="-8"/>
        </w:rPr>
        <w:t> </w:t>
      </w:r>
      <w:r>
        <w:rPr>
          <w:color w:val="231F20"/>
        </w:rPr>
        <w:t>1925</w:t>
      </w:r>
      <w:r>
        <w:rPr>
          <w:color w:val="231F20"/>
          <w:spacing w:val="-7"/>
        </w:rPr>
        <w:t> </w:t>
      </w:r>
      <w:r>
        <w:rPr>
          <w:color w:val="231F20"/>
        </w:rPr>
        <w:t>et</w:t>
      </w:r>
      <w:r>
        <w:rPr>
          <w:color w:val="231F20"/>
          <w:spacing w:val="-10"/>
        </w:rPr>
        <w:t> </w:t>
      </w:r>
      <w:r>
        <w:rPr>
          <w:color w:val="231F20"/>
        </w:rPr>
        <w:t>1928,</w:t>
      </w:r>
      <w:r>
        <w:rPr>
          <w:color w:val="231F20"/>
          <w:spacing w:val="-8"/>
        </w:rPr>
        <w:t> </w:t>
      </w:r>
      <w:r>
        <w:rPr>
          <w:color w:val="231F20"/>
        </w:rPr>
        <w:t>le</w:t>
      </w:r>
      <w:r>
        <w:rPr>
          <w:color w:val="231F20"/>
          <w:spacing w:val="-11"/>
        </w:rPr>
        <w:t> </w:t>
      </w:r>
      <w:r>
        <w:rPr>
          <w:color w:val="231F20"/>
        </w:rPr>
        <w:t>taux</w:t>
      </w:r>
      <w:r>
        <w:rPr>
          <w:color w:val="231F20"/>
          <w:spacing w:val="-8"/>
        </w:rPr>
        <w:t> </w:t>
      </w:r>
      <w:r>
        <w:rPr>
          <w:color w:val="231F20"/>
        </w:rPr>
        <w:t>de</w:t>
      </w:r>
      <w:r>
        <w:rPr>
          <w:color w:val="231F20"/>
          <w:spacing w:val="-8"/>
        </w:rPr>
        <w:t> </w:t>
      </w:r>
      <w:r>
        <w:rPr>
          <w:color w:val="231F20"/>
        </w:rPr>
        <w:t>mortalité</w:t>
      </w:r>
      <w:r>
        <w:rPr>
          <w:color w:val="231F20"/>
          <w:spacing w:val="-9"/>
        </w:rPr>
        <w:t> </w:t>
      </w:r>
      <w:r>
        <w:rPr>
          <w:color w:val="231F20"/>
        </w:rPr>
        <w:t>sur</w:t>
      </w:r>
      <w:r>
        <w:rPr>
          <w:color w:val="231F20"/>
          <w:spacing w:val="-9"/>
        </w:rPr>
        <w:t> </w:t>
      </w:r>
      <w:r>
        <w:rPr>
          <w:color w:val="231F20"/>
        </w:rPr>
        <w:t>le</w:t>
      </w:r>
      <w:r>
        <w:rPr>
          <w:color w:val="231F20"/>
          <w:spacing w:val="-9"/>
        </w:rPr>
        <w:t> </w:t>
      </w:r>
      <w:r>
        <w:rPr>
          <w:color w:val="231F20"/>
        </w:rPr>
        <w:t>chantier</w:t>
      </w:r>
      <w:r>
        <w:rPr>
          <w:color w:val="231F20"/>
          <w:spacing w:val="-9"/>
        </w:rPr>
        <w:t> </w:t>
      </w:r>
      <w:r>
        <w:rPr>
          <w:color w:val="231F20"/>
        </w:rPr>
        <w:t>dépasse</w:t>
      </w:r>
      <w:r>
        <w:rPr>
          <w:color w:val="231F20"/>
          <w:spacing w:val="-8"/>
        </w:rPr>
        <w:t> </w:t>
      </w:r>
      <w:r>
        <w:rPr>
          <w:color w:val="231F20"/>
        </w:rPr>
        <w:t>20</w:t>
      </w:r>
      <w:r>
        <w:rPr>
          <w:color w:val="231F20"/>
          <w:spacing w:val="-8"/>
        </w:rPr>
        <w:t> </w:t>
      </w:r>
      <w:r>
        <w:rPr>
          <w:color w:val="231F20"/>
        </w:rPr>
        <w:t>% de la population des forçats. Les pires années correspondent à l’afflux </w:t>
      </w:r>
      <w:r>
        <w:rPr>
          <w:color w:val="231F20"/>
          <w:spacing w:val="-2"/>
        </w:rPr>
        <w:t>massif</w:t>
      </w:r>
      <w:r>
        <w:rPr>
          <w:color w:val="231F20"/>
          <w:spacing w:val="-11"/>
        </w:rPr>
        <w:t> </w:t>
      </w:r>
      <w:r>
        <w:rPr>
          <w:color w:val="231F20"/>
          <w:spacing w:val="-2"/>
        </w:rPr>
        <w:t>de</w:t>
      </w:r>
      <w:r>
        <w:rPr>
          <w:color w:val="231F20"/>
          <w:spacing w:val="-11"/>
        </w:rPr>
        <w:t> </w:t>
      </w:r>
      <w:r>
        <w:rPr>
          <w:color w:val="231F20"/>
          <w:spacing w:val="-2"/>
        </w:rPr>
        <w:t>travailleurs</w:t>
      </w:r>
      <w:r>
        <w:rPr>
          <w:color w:val="231F20"/>
          <w:spacing w:val="-9"/>
        </w:rPr>
        <w:t> </w:t>
      </w:r>
      <w:r>
        <w:rPr>
          <w:color w:val="231F20"/>
          <w:spacing w:val="-2"/>
        </w:rPr>
        <w:t>recrutés</w:t>
      </w:r>
      <w:r>
        <w:rPr>
          <w:color w:val="231F20"/>
          <w:spacing w:val="-9"/>
        </w:rPr>
        <w:t> </w:t>
      </w:r>
      <w:r>
        <w:rPr>
          <w:color w:val="231F20"/>
          <w:spacing w:val="-2"/>
        </w:rPr>
        <w:t>au</w:t>
      </w:r>
      <w:r>
        <w:rPr>
          <w:color w:val="231F20"/>
          <w:spacing w:val="-11"/>
        </w:rPr>
        <w:t> </w:t>
      </w:r>
      <w:r>
        <w:rPr>
          <w:color w:val="231F20"/>
          <w:spacing w:val="-2"/>
        </w:rPr>
        <w:t>loin</w:t>
      </w:r>
      <w:r>
        <w:rPr>
          <w:color w:val="231F20"/>
          <w:spacing w:val="-11"/>
        </w:rPr>
        <w:t> </w:t>
      </w:r>
      <w:r>
        <w:rPr>
          <w:color w:val="231F20"/>
          <w:spacing w:val="-2"/>
        </w:rPr>
        <w:t>:</w:t>
      </w:r>
      <w:r>
        <w:rPr>
          <w:color w:val="231F20"/>
          <w:spacing w:val="-9"/>
        </w:rPr>
        <w:t> </w:t>
      </w:r>
      <w:r>
        <w:rPr>
          <w:color w:val="231F20"/>
          <w:spacing w:val="-2"/>
        </w:rPr>
        <w:t>1</w:t>
      </w:r>
      <w:r>
        <w:rPr>
          <w:color w:val="231F20"/>
          <w:spacing w:val="-11"/>
        </w:rPr>
        <w:t> </w:t>
      </w:r>
      <w:r>
        <w:rPr>
          <w:color w:val="231F20"/>
          <w:spacing w:val="-2"/>
        </w:rPr>
        <w:t>341</w:t>
      </w:r>
      <w:r>
        <w:rPr>
          <w:color w:val="231F20"/>
          <w:spacing w:val="-11"/>
        </w:rPr>
        <w:t> </w:t>
      </w:r>
      <w:r>
        <w:rPr>
          <w:color w:val="231F20"/>
          <w:spacing w:val="-2"/>
        </w:rPr>
        <w:t>morts</w:t>
      </w:r>
      <w:r>
        <w:rPr>
          <w:color w:val="231F20"/>
          <w:spacing w:val="-11"/>
        </w:rPr>
        <w:t> </w:t>
      </w:r>
      <w:r>
        <w:rPr>
          <w:color w:val="231F20"/>
          <w:spacing w:val="-2"/>
        </w:rPr>
        <w:t>en</w:t>
      </w:r>
      <w:r>
        <w:rPr>
          <w:color w:val="231F20"/>
          <w:spacing w:val="-9"/>
        </w:rPr>
        <w:t> </w:t>
      </w:r>
      <w:r>
        <w:rPr>
          <w:color w:val="231F20"/>
          <w:spacing w:val="-2"/>
        </w:rPr>
        <w:t>1925</w:t>
      </w:r>
      <w:r>
        <w:rPr>
          <w:color w:val="231F20"/>
          <w:spacing w:val="-11"/>
        </w:rPr>
        <w:t> </w:t>
      </w:r>
      <w:r>
        <w:rPr>
          <w:color w:val="231F20"/>
          <w:spacing w:val="-2"/>
        </w:rPr>
        <w:t>pour</w:t>
      </w:r>
      <w:r>
        <w:rPr>
          <w:color w:val="231F20"/>
          <w:spacing w:val="-11"/>
        </w:rPr>
        <w:t> </w:t>
      </w:r>
      <w:r>
        <w:rPr>
          <w:color w:val="231F20"/>
          <w:spacing w:val="-2"/>
        </w:rPr>
        <w:t>la</w:t>
      </w:r>
      <w:r>
        <w:rPr>
          <w:color w:val="231F20"/>
          <w:spacing w:val="-11"/>
        </w:rPr>
        <w:t> </w:t>
      </w:r>
      <w:r>
        <w:rPr>
          <w:color w:val="231F20"/>
          <w:spacing w:val="-2"/>
        </w:rPr>
        <w:t>seule </w:t>
      </w:r>
      <w:r>
        <w:rPr>
          <w:color w:val="231F20"/>
        </w:rPr>
        <w:t>division</w:t>
      </w:r>
      <w:r>
        <w:rPr>
          <w:color w:val="231F20"/>
          <w:spacing w:val="-2"/>
        </w:rPr>
        <w:t> </w:t>
      </w:r>
      <w:r>
        <w:rPr>
          <w:color w:val="231F20"/>
        </w:rPr>
        <w:t>côtière,</w:t>
      </w:r>
      <w:r>
        <w:rPr>
          <w:color w:val="231F20"/>
          <w:spacing w:val="-2"/>
        </w:rPr>
        <w:t> </w:t>
      </w:r>
      <w:r>
        <w:rPr>
          <w:color w:val="231F20"/>
        </w:rPr>
        <w:t>2</w:t>
      </w:r>
      <w:r>
        <w:rPr>
          <w:color w:val="231F20"/>
          <w:spacing w:val="-5"/>
        </w:rPr>
        <w:t> </w:t>
      </w:r>
      <w:r>
        <w:rPr>
          <w:color w:val="231F20"/>
        </w:rPr>
        <w:t>556</w:t>
      </w:r>
      <w:r>
        <w:rPr>
          <w:color w:val="231F20"/>
          <w:spacing w:val="-5"/>
        </w:rPr>
        <w:t> </w:t>
      </w:r>
      <w:r>
        <w:rPr>
          <w:color w:val="231F20"/>
        </w:rPr>
        <w:t>en</w:t>
      </w:r>
      <w:r>
        <w:rPr>
          <w:color w:val="231F20"/>
          <w:spacing w:val="-5"/>
        </w:rPr>
        <w:t> </w:t>
      </w:r>
      <w:r>
        <w:rPr>
          <w:color w:val="231F20"/>
        </w:rPr>
        <w:t>1926,</w:t>
      </w:r>
      <w:r>
        <w:rPr>
          <w:color w:val="231F20"/>
          <w:spacing w:val="-5"/>
        </w:rPr>
        <w:t> </w:t>
      </w:r>
      <w:r>
        <w:rPr>
          <w:color w:val="231F20"/>
        </w:rPr>
        <w:t>2</w:t>
      </w:r>
      <w:r>
        <w:rPr>
          <w:color w:val="231F20"/>
          <w:spacing w:val="-2"/>
        </w:rPr>
        <w:t> </w:t>
      </w:r>
      <w:r>
        <w:rPr>
          <w:color w:val="231F20"/>
        </w:rPr>
        <w:t>892</w:t>
      </w:r>
      <w:r>
        <w:rPr>
          <w:color w:val="231F20"/>
          <w:spacing w:val="-2"/>
        </w:rPr>
        <w:t> </w:t>
      </w:r>
      <w:r>
        <w:rPr>
          <w:color w:val="231F20"/>
        </w:rPr>
        <w:t>en</w:t>
      </w:r>
      <w:r>
        <w:rPr>
          <w:color w:val="231F20"/>
          <w:spacing w:val="-4"/>
        </w:rPr>
        <w:t> </w:t>
      </w:r>
      <w:r>
        <w:rPr>
          <w:color w:val="231F20"/>
        </w:rPr>
        <w:t>1927,</w:t>
      </w:r>
      <w:r>
        <w:rPr>
          <w:color w:val="231F20"/>
          <w:spacing w:val="-2"/>
        </w:rPr>
        <w:t> </w:t>
      </w:r>
      <w:r>
        <w:rPr>
          <w:color w:val="231F20"/>
        </w:rPr>
        <w:t>2</w:t>
      </w:r>
      <w:r>
        <w:rPr>
          <w:color w:val="231F20"/>
          <w:spacing w:val="-5"/>
        </w:rPr>
        <w:t> </w:t>
      </w:r>
      <w:r>
        <w:rPr>
          <w:color w:val="231F20"/>
        </w:rPr>
        <w:t>635</w:t>
      </w:r>
      <w:r>
        <w:rPr>
          <w:color w:val="231F20"/>
          <w:spacing w:val="-2"/>
        </w:rPr>
        <w:t> </w:t>
      </w:r>
      <w:r>
        <w:rPr>
          <w:color w:val="231F20"/>
        </w:rPr>
        <w:t>en</w:t>
      </w:r>
      <w:r>
        <w:rPr>
          <w:color w:val="231F20"/>
          <w:spacing w:val="-2"/>
        </w:rPr>
        <w:t> </w:t>
      </w:r>
      <w:r>
        <w:rPr>
          <w:color w:val="231F20"/>
        </w:rPr>
        <w:t>1928</w:t>
      </w:r>
      <w:r>
        <w:rPr>
          <w:color w:val="76787A"/>
          <w:vertAlign w:val="superscript"/>
        </w:rPr>
        <w:t>31</w:t>
      </w:r>
    </w:p>
    <w:p>
      <w:pPr>
        <w:pStyle w:val="BodyText"/>
        <w:spacing w:before="120"/>
        <w:ind w:right="106" w:firstLine="283"/>
      </w:pPr>
      <w:r>
        <w:rPr>
          <w:color w:val="231F20"/>
        </w:rPr>
        <w:t>Le</w:t>
      </w:r>
      <w:r>
        <w:rPr>
          <w:color w:val="231F20"/>
          <w:spacing w:val="-9"/>
        </w:rPr>
        <w:t> </w:t>
      </w:r>
      <w:r>
        <w:rPr>
          <w:color w:val="231F20"/>
        </w:rPr>
        <w:t>camp</w:t>
      </w:r>
      <w:r>
        <w:rPr>
          <w:color w:val="231F20"/>
          <w:spacing w:val="-9"/>
        </w:rPr>
        <w:t> </w:t>
      </w:r>
      <w:r>
        <w:rPr>
          <w:color w:val="231F20"/>
        </w:rPr>
        <w:t>du</w:t>
      </w:r>
      <w:r>
        <w:rPr>
          <w:color w:val="231F20"/>
          <w:spacing w:val="-9"/>
        </w:rPr>
        <w:t> </w:t>
      </w:r>
      <w:r>
        <w:rPr>
          <w:color w:val="231F20"/>
        </w:rPr>
        <w:t>kilomètre</w:t>
      </w:r>
      <w:r>
        <w:rPr>
          <w:color w:val="231F20"/>
          <w:spacing w:val="-9"/>
        </w:rPr>
        <w:t> </w:t>
      </w:r>
      <w:r>
        <w:rPr>
          <w:color w:val="231F20"/>
        </w:rPr>
        <w:t>102</w:t>
      </w:r>
      <w:r>
        <w:rPr>
          <w:color w:val="231F20"/>
          <w:spacing w:val="-8"/>
        </w:rPr>
        <w:t> </w:t>
      </w:r>
      <w:r>
        <w:rPr>
          <w:color w:val="231F20"/>
        </w:rPr>
        <w:t>est</w:t>
      </w:r>
      <w:r>
        <w:rPr>
          <w:color w:val="231F20"/>
          <w:spacing w:val="-8"/>
        </w:rPr>
        <w:t> </w:t>
      </w:r>
      <w:r>
        <w:rPr>
          <w:color w:val="231F20"/>
        </w:rPr>
        <w:t>le</w:t>
      </w:r>
      <w:r>
        <w:rPr>
          <w:color w:val="231F20"/>
          <w:spacing w:val="-9"/>
        </w:rPr>
        <w:t> </w:t>
      </w:r>
      <w:r>
        <w:rPr>
          <w:color w:val="231F20"/>
        </w:rPr>
        <w:t>plus</w:t>
      </w:r>
      <w:r>
        <w:rPr>
          <w:color w:val="231F20"/>
          <w:spacing w:val="-8"/>
        </w:rPr>
        <w:t> </w:t>
      </w:r>
      <w:r>
        <w:rPr>
          <w:color w:val="231F20"/>
        </w:rPr>
        <w:t>meurtrier.</w:t>
      </w:r>
      <w:r>
        <w:rPr>
          <w:color w:val="231F20"/>
          <w:spacing w:val="-9"/>
        </w:rPr>
        <w:t> </w:t>
      </w:r>
      <w:r>
        <w:rPr>
          <w:color w:val="231F20"/>
        </w:rPr>
        <w:t>Les</w:t>
      </w:r>
      <w:r>
        <w:rPr>
          <w:color w:val="231F20"/>
          <w:spacing w:val="-8"/>
        </w:rPr>
        <w:t> </w:t>
      </w:r>
      <w:r>
        <w:rPr>
          <w:color w:val="231F20"/>
        </w:rPr>
        <w:t>Saras</w:t>
      </w:r>
      <w:r>
        <w:rPr>
          <w:color w:val="231F20"/>
          <w:spacing w:val="-8"/>
        </w:rPr>
        <w:t> </w:t>
      </w:r>
      <w:r>
        <w:rPr>
          <w:color w:val="231F20"/>
        </w:rPr>
        <w:t>tchadiens, qui</w:t>
      </w:r>
      <w:r>
        <w:rPr>
          <w:color w:val="231F20"/>
          <w:spacing w:val="-9"/>
        </w:rPr>
        <w:t> </w:t>
      </w:r>
      <w:r>
        <w:rPr>
          <w:color w:val="231F20"/>
        </w:rPr>
        <w:t>forment</w:t>
      </w:r>
      <w:r>
        <w:rPr>
          <w:color w:val="231F20"/>
          <w:spacing w:val="-9"/>
        </w:rPr>
        <w:t> </w:t>
      </w:r>
      <w:r>
        <w:rPr>
          <w:color w:val="231F20"/>
        </w:rPr>
        <w:t>les</w:t>
      </w:r>
      <w:r>
        <w:rPr>
          <w:color w:val="231F20"/>
          <w:spacing w:val="-8"/>
        </w:rPr>
        <w:t> </w:t>
      </w:r>
      <w:r>
        <w:rPr>
          <w:color w:val="231F20"/>
        </w:rPr>
        <w:t>trois</w:t>
      </w:r>
      <w:r>
        <w:rPr>
          <w:color w:val="231F20"/>
          <w:spacing w:val="-9"/>
        </w:rPr>
        <w:t> </w:t>
      </w:r>
      <w:r>
        <w:rPr>
          <w:color w:val="231F20"/>
        </w:rPr>
        <w:t>quarts</w:t>
      </w:r>
      <w:r>
        <w:rPr>
          <w:color w:val="231F20"/>
          <w:spacing w:val="-9"/>
        </w:rPr>
        <w:t> </w:t>
      </w:r>
      <w:r>
        <w:rPr>
          <w:color w:val="231F20"/>
        </w:rPr>
        <w:t>des</w:t>
      </w:r>
      <w:r>
        <w:rPr>
          <w:color w:val="231F20"/>
          <w:spacing w:val="-9"/>
        </w:rPr>
        <w:t> </w:t>
      </w:r>
      <w:r>
        <w:rPr>
          <w:color w:val="231F20"/>
        </w:rPr>
        <w:t>forçats</w:t>
      </w:r>
      <w:r>
        <w:rPr>
          <w:color w:val="231F20"/>
          <w:spacing w:val="-9"/>
        </w:rPr>
        <w:t> </w:t>
      </w:r>
      <w:r>
        <w:rPr>
          <w:color w:val="231F20"/>
        </w:rPr>
        <w:t>du</w:t>
      </w:r>
      <w:r>
        <w:rPr>
          <w:color w:val="231F20"/>
          <w:spacing w:val="-9"/>
        </w:rPr>
        <w:t> </w:t>
      </w:r>
      <w:r>
        <w:rPr>
          <w:color w:val="231F20"/>
        </w:rPr>
        <w:t>Mayombe,</w:t>
      </w:r>
      <w:r>
        <w:rPr>
          <w:color w:val="231F20"/>
          <w:spacing w:val="-9"/>
        </w:rPr>
        <w:t> </w:t>
      </w:r>
      <w:r>
        <w:rPr>
          <w:color w:val="231F20"/>
        </w:rPr>
        <w:t>y</w:t>
      </w:r>
      <w:r>
        <w:rPr>
          <w:color w:val="231F20"/>
          <w:spacing w:val="-9"/>
        </w:rPr>
        <w:t> </w:t>
      </w:r>
      <w:r>
        <w:rPr>
          <w:color w:val="231F20"/>
        </w:rPr>
        <w:t>tombent</w:t>
      </w:r>
      <w:r>
        <w:rPr>
          <w:color w:val="231F20"/>
          <w:spacing w:val="-9"/>
        </w:rPr>
        <w:t> </w:t>
      </w:r>
      <w:r>
        <w:rPr>
          <w:color w:val="231F20"/>
        </w:rPr>
        <w:t>comme des mouches. Certains périssent à petit feu, déprimés par leur déracinement brutal, épuisés par la charge de travail, affaiblis par une alimentation insuffisante</w:t>
      </w:r>
      <w:r>
        <w:rPr>
          <w:color w:val="231F20"/>
          <w:spacing w:val="-2"/>
        </w:rPr>
        <w:t> </w:t>
      </w:r>
      <w:r>
        <w:rPr>
          <w:color w:val="231F20"/>
        </w:rPr>
        <w:t>et inadaptée (...)</w:t>
      </w:r>
      <w:r>
        <w:rPr>
          <w:color w:val="231F20"/>
          <w:spacing w:val="-1"/>
        </w:rPr>
        <w:t> </w:t>
      </w:r>
      <w:r>
        <w:rPr>
          <w:color w:val="76787A"/>
          <w:vertAlign w:val="superscript"/>
        </w:rPr>
        <w:t>32</w:t>
      </w:r>
      <w:r>
        <w:rPr>
          <w:color w:val="231F20"/>
          <w:vertAlign w:val="baseline"/>
        </w:rPr>
        <w:t>»</w:t>
      </w:r>
    </w:p>
    <w:p>
      <w:pPr>
        <w:pStyle w:val="BodyText"/>
        <w:spacing w:before="207"/>
        <w:ind w:left="0"/>
        <w:jc w:val="left"/>
      </w:pPr>
    </w:p>
    <w:p>
      <w:pPr>
        <w:pStyle w:val="Heading2"/>
      </w:pPr>
      <w:bookmarkStart w:name="_TOC_250038" w:id="5"/>
      <w:r>
        <w:rPr>
          <w:color w:val="231F20"/>
        </w:rPr>
        <w:t>Le</w:t>
      </w:r>
      <w:r>
        <w:rPr>
          <w:color w:val="231F20"/>
          <w:spacing w:val="-15"/>
        </w:rPr>
        <w:t> </w:t>
      </w:r>
      <w:r>
        <w:rPr>
          <w:color w:val="231F20"/>
        </w:rPr>
        <w:t>leurre</w:t>
      </w:r>
      <w:r>
        <w:rPr>
          <w:color w:val="231F20"/>
          <w:spacing w:val="-15"/>
        </w:rPr>
        <w:t> </w:t>
      </w:r>
      <w:r>
        <w:rPr>
          <w:color w:val="231F20"/>
        </w:rPr>
        <w:t>de</w:t>
      </w:r>
      <w:r>
        <w:rPr>
          <w:color w:val="231F20"/>
          <w:spacing w:val="-15"/>
        </w:rPr>
        <w:t> </w:t>
      </w:r>
      <w:bookmarkEnd w:id="5"/>
      <w:r>
        <w:rPr>
          <w:color w:val="231F20"/>
          <w:spacing w:val="-2"/>
        </w:rPr>
        <w:t>l’assimilation</w:t>
      </w:r>
    </w:p>
    <w:p>
      <w:pPr>
        <w:pStyle w:val="BodyText"/>
        <w:spacing w:before="120"/>
        <w:ind w:left="0"/>
        <w:jc w:val="left"/>
        <w:rPr>
          <w:b/>
        </w:rPr>
      </w:pPr>
    </w:p>
    <w:p>
      <w:pPr>
        <w:pStyle w:val="BodyText"/>
        <w:ind w:right="104" w:firstLine="283"/>
      </w:pPr>
      <w:r>
        <w:rPr>
          <w:color w:val="231F20"/>
        </w:rPr>
        <w:t>Lors de la première guerre mondiale,1914-1918, comme celle de la </w:t>
      </w:r>
      <w:r>
        <w:rPr>
          <w:color w:val="231F20"/>
          <w:spacing w:val="-2"/>
        </w:rPr>
        <w:t>seconde</w:t>
      </w:r>
      <w:r>
        <w:rPr>
          <w:color w:val="231F20"/>
          <w:spacing w:val="-12"/>
        </w:rPr>
        <w:t> </w:t>
      </w:r>
      <w:r>
        <w:rPr>
          <w:color w:val="231F20"/>
          <w:spacing w:val="-2"/>
        </w:rPr>
        <w:t>de</w:t>
      </w:r>
      <w:r>
        <w:rPr>
          <w:color w:val="231F20"/>
          <w:spacing w:val="-13"/>
        </w:rPr>
        <w:t> </w:t>
      </w:r>
      <w:r>
        <w:rPr>
          <w:color w:val="231F20"/>
          <w:spacing w:val="-2"/>
        </w:rPr>
        <w:t>1939-1945,</w:t>
      </w:r>
      <w:r>
        <w:rPr>
          <w:color w:val="231F20"/>
          <w:spacing w:val="-12"/>
        </w:rPr>
        <w:t> </w:t>
      </w:r>
      <w:r>
        <w:rPr>
          <w:color w:val="231F20"/>
          <w:spacing w:val="-2"/>
        </w:rPr>
        <w:t>la</w:t>
      </w:r>
      <w:r>
        <w:rPr>
          <w:color w:val="231F20"/>
          <w:spacing w:val="-13"/>
        </w:rPr>
        <w:t> </w:t>
      </w:r>
      <w:r>
        <w:rPr>
          <w:color w:val="231F20"/>
          <w:spacing w:val="-2"/>
        </w:rPr>
        <w:t>France</w:t>
      </w:r>
      <w:r>
        <w:rPr>
          <w:color w:val="231F20"/>
          <w:spacing w:val="-10"/>
        </w:rPr>
        <w:t> </w:t>
      </w:r>
      <w:r>
        <w:rPr>
          <w:color w:val="231F20"/>
          <w:spacing w:val="-2"/>
        </w:rPr>
        <w:t>fait</w:t>
      </w:r>
      <w:r>
        <w:rPr>
          <w:color w:val="231F20"/>
          <w:spacing w:val="-10"/>
        </w:rPr>
        <w:t> </w:t>
      </w:r>
      <w:r>
        <w:rPr>
          <w:color w:val="231F20"/>
          <w:spacing w:val="-2"/>
        </w:rPr>
        <w:t>appel</w:t>
      </w:r>
      <w:r>
        <w:rPr>
          <w:color w:val="231F20"/>
          <w:spacing w:val="-11"/>
        </w:rPr>
        <w:t> </w:t>
      </w:r>
      <w:r>
        <w:rPr>
          <w:color w:val="231F20"/>
          <w:spacing w:val="-2"/>
        </w:rPr>
        <w:t>à</w:t>
      </w:r>
      <w:r>
        <w:rPr>
          <w:color w:val="231F20"/>
          <w:spacing w:val="-10"/>
        </w:rPr>
        <w:t> </w:t>
      </w:r>
      <w:r>
        <w:rPr>
          <w:color w:val="231F20"/>
          <w:spacing w:val="-2"/>
        </w:rPr>
        <w:t>ses</w:t>
      </w:r>
      <w:r>
        <w:rPr>
          <w:color w:val="231F20"/>
          <w:spacing w:val="-10"/>
        </w:rPr>
        <w:t> </w:t>
      </w:r>
      <w:r>
        <w:rPr>
          <w:color w:val="231F20"/>
          <w:spacing w:val="-2"/>
        </w:rPr>
        <w:t>colonies</w:t>
      </w:r>
      <w:r>
        <w:rPr>
          <w:color w:val="231F20"/>
          <w:spacing w:val="-12"/>
        </w:rPr>
        <w:t> </w:t>
      </w:r>
      <w:r>
        <w:rPr>
          <w:color w:val="231F20"/>
          <w:spacing w:val="-2"/>
        </w:rPr>
        <w:t>pour</w:t>
      </w:r>
      <w:r>
        <w:rPr>
          <w:color w:val="231F20"/>
          <w:spacing w:val="-12"/>
        </w:rPr>
        <w:t> </w:t>
      </w:r>
      <w:r>
        <w:rPr>
          <w:color w:val="231F20"/>
          <w:spacing w:val="-2"/>
        </w:rPr>
        <w:t>la</w:t>
      </w:r>
      <w:r>
        <w:rPr>
          <w:color w:val="231F20"/>
          <w:spacing w:val="-13"/>
        </w:rPr>
        <w:t> </w:t>
      </w:r>
      <w:r>
        <w:rPr>
          <w:color w:val="231F20"/>
          <w:spacing w:val="-2"/>
        </w:rPr>
        <w:t>défense de</w:t>
      </w:r>
      <w:r>
        <w:rPr>
          <w:color w:val="231F20"/>
          <w:spacing w:val="-7"/>
        </w:rPr>
        <w:t> </w:t>
      </w:r>
      <w:r>
        <w:rPr>
          <w:color w:val="231F20"/>
          <w:spacing w:val="-2"/>
        </w:rPr>
        <w:t>la</w:t>
      </w:r>
      <w:r>
        <w:rPr>
          <w:color w:val="231F20"/>
          <w:spacing w:val="-7"/>
        </w:rPr>
        <w:t> </w:t>
      </w:r>
      <w:r>
        <w:rPr>
          <w:color w:val="231F20"/>
          <w:spacing w:val="-2"/>
        </w:rPr>
        <w:t>mère-patrie.</w:t>
      </w:r>
      <w:r>
        <w:rPr>
          <w:color w:val="231F20"/>
          <w:spacing w:val="-6"/>
        </w:rPr>
        <w:t> </w:t>
      </w:r>
      <w:r>
        <w:rPr>
          <w:color w:val="231F20"/>
          <w:spacing w:val="-2"/>
        </w:rPr>
        <w:t>Outre</w:t>
      </w:r>
      <w:r>
        <w:rPr>
          <w:color w:val="231F20"/>
          <w:spacing w:val="-9"/>
        </w:rPr>
        <w:t> </w:t>
      </w:r>
      <w:r>
        <w:rPr>
          <w:color w:val="231F20"/>
          <w:spacing w:val="-2"/>
        </w:rPr>
        <w:t>l'impôt</w:t>
      </w:r>
      <w:r>
        <w:rPr>
          <w:color w:val="231F20"/>
          <w:spacing w:val="-5"/>
        </w:rPr>
        <w:t> </w:t>
      </w:r>
      <w:r>
        <w:rPr>
          <w:color w:val="231F20"/>
          <w:spacing w:val="-2"/>
        </w:rPr>
        <w:t>de</w:t>
      </w:r>
      <w:r>
        <w:rPr>
          <w:color w:val="231F20"/>
          <w:spacing w:val="-9"/>
        </w:rPr>
        <w:t> </w:t>
      </w:r>
      <w:r>
        <w:rPr>
          <w:color w:val="231F20"/>
          <w:spacing w:val="-2"/>
        </w:rPr>
        <w:t>capitation,</w:t>
      </w:r>
      <w:r>
        <w:rPr>
          <w:color w:val="231F20"/>
          <w:spacing w:val="-8"/>
        </w:rPr>
        <w:t> </w:t>
      </w:r>
      <w:r>
        <w:rPr>
          <w:color w:val="231F20"/>
          <w:spacing w:val="-2"/>
        </w:rPr>
        <w:t>il</w:t>
      </w:r>
      <w:r>
        <w:rPr>
          <w:color w:val="231F20"/>
          <w:spacing w:val="-5"/>
        </w:rPr>
        <w:t> </w:t>
      </w:r>
      <w:r>
        <w:rPr>
          <w:color w:val="231F20"/>
          <w:spacing w:val="-2"/>
        </w:rPr>
        <w:t>est</w:t>
      </w:r>
      <w:r>
        <w:rPr>
          <w:color w:val="231F20"/>
          <w:spacing w:val="-7"/>
        </w:rPr>
        <w:t> </w:t>
      </w:r>
      <w:r>
        <w:rPr>
          <w:color w:val="231F20"/>
          <w:spacing w:val="-2"/>
        </w:rPr>
        <w:t>imposé</w:t>
      </w:r>
      <w:r>
        <w:rPr>
          <w:color w:val="231F20"/>
          <w:spacing w:val="-7"/>
        </w:rPr>
        <w:t> </w:t>
      </w:r>
      <w:r>
        <w:rPr>
          <w:color w:val="231F20"/>
          <w:spacing w:val="-2"/>
        </w:rPr>
        <w:t>aux</w:t>
      </w:r>
      <w:r>
        <w:rPr>
          <w:color w:val="231F20"/>
          <w:spacing w:val="-6"/>
        </w:rPr>
        <w:t> </w:t>
      </w:r>
      <w:r>
        <w:rPr>
          <w:color w:val="231F20"/>
          <w:spacing w:val="-2"/>
        </w:rPr>
        <w:t>colonies, </w:t>
      </w:r>
      <w:r>
        <w:rPr>
          <w:color w:val="231F20"/>
          <w:spacing w:val="-4"/>
        </w:rPr>
        <w:t>un</w:t>
      </w:r>
      <w:r>
        <w:rPr>
          <w:color w:val="231F20"/>
          <w:spacing w:val="-11"/>
        </w:rPr>
        <w:t> </w:t>
      </w:r>
      <w:r>
        <w:rPr>
          <w:color w:val="231F20"/>
          <w:spacing w:val="-4"/>
        </w:rPr>
        <w:t>effort</w:t>
      </w:r>
      <w:r>
        <w:rPr>
          <w:color w:val="231F20"/>
          <w:spacing w:val="-11"/>
        </w:rPr>
        <w:t> </w:t>
      </w:r>
      <w:r>
        <w:rPr>
          <w:color w:val="231F20"/>
          <w:spacing w:val="-4"/>
        </w:rPr>
        <w:t>de</w:t>
      </w:r>
      <w:r>
        <w:rPr>
          <w:color w:val="231F20"/>
          <w:spacing w:val="-11"/>
        </w:rPr>
        <w:t> </w:t>
      </w:r>
      <w:r>
        <w:rPr>
          <w:color w:val="231F20"/>
          <w:spacing w:val="-4"/>
        </w:rPr>
        <w:t>guerre</w:t>
      </w:r>
      <w:r>
        <w:rPr>
          <w:color w:val="231F20"/>
          <w:spacing w:val="-11"/>
        </w:rPr>
        <w:t> </w:t>
      </w:r>
      <w:r>
        <w:rPr>
          <w:color w:val="231F20"/>
          <w:spacing w:val="-4"/>
        </w:rPr>
        <w:t>au</w:t>
      </w:r>
      <w:r>
        <w:rPr>
          <w:color w:val="231F20"/>
          <w:spacing w:val="-11"/>
        </w:rPr>
        <w:t> </w:t>
      </w:r>
      <w:r>
        <w:rPr>
          <w:color w:val="231F20"/>
          <w:spacing w:val="-4"/>
        </w:rPr>
        <w:t>niveau</w:t>
      </w:r>
      <w:r>
        <w:rPr>
          <w:color w:val="231F20"/>
          <w:spacing w:val="-11"/>
        </w:rPr>
        <w:t> </w:t>
      </w:r>
      <w:r>
        <w:rPr>
          <w:color w:val="231F20"/>
          <w:spacing w:val="-4"/>
        </w:rPr>
        <w:t>économique</w:t>
      </w:r>
      <w:r>
        <w:rPr>
          <w:color w:val="231F20"/>
          <w:spacing w:val="-11"/>
        </w:rPr>
        <w:t> </w:t>
      </w:r>
      <w:r>
        <w:rPr>
          <w:color w:val="231F20"/>
          <w:spacing w:val="-4"/>
        </w:rPr>
        <w:t>:</w:t>
      </w:r>
      <w:r>
        <w:rPr>
          <w:color w:val="231F20"/>
          <w:spacing w:val="-11"/>
        </w:rPr>
        <w:t> </w:t>
      </w:r>
      <w:r>
        <w:rPr>
          <w:color w:val="231F20"/>
          <w:spacing w:val="-4"/>
        </w:rPr>
        <w:t>«</w:t>
      </w:r>
      <w:r>
        <w:rPr>
          <w:color w:val="231F20"/>
          <w:spacing w:val="-11"/>
        </w:rPr>
        <w:t> </w:t>
      </w:r>
      <w:r>
        <w:rPr>
          <w:color w:val="231F20"/>
          <w:spacing w:val="-4"/>
        </w:rPr>
        <w:t>Un</w:t>
      </w:r>
      <w:r>
        <w:rPr>
          <w:color w:val="231F20"/>
          <w:spacing w:val="-11"/>
        </w:rPr>
        <w:t> </w:t>
      </w:r>
      <w:r>
        <w:rPr>
          <w:color w:val="231F20"/>
          <w:spacing w:val="-4"/>
        </w:rPr>
        <w:t>immense</w:t>
      </w:r>
      <w:r>
        <w:rPr>
          <w:color w:val="231F20"/>
          <w:spacing w:val="-9"/>
        </w:rPr>
        <w:t> </w:t>
      </w:r>
      <w:r>
        <w:rPr>
          <w:color w:val="231F20"/>
          <w:spacing w:val="-4"/>
        </w:rPr>
        <w:t>effort</w:t>
      </w:r>
      <w:r>
        <w:rPr>
          <w:color w:val="231F20"/>
          <w:spacing w:val="-10"/>
        </w:rPr>
        <w:t> </w:t>
      </w:r>
      <w:r>
        <w:rPr>
          <w:color w:val="231F20"/>
          <w:spacing w:val="-4"/>
        </w:rPr>
        <w:t>de</w:t>
      </w:r>
      <w:r>
        <w:rPr>
          <w:color w:val="231F20"/>
          <w:spacing w:val="-11"/>
        </w:rPr>
        <w:t> </w:t>
      </w:r>
      <w:r>
        <w:rPr>
          <w:color w:val="231F20"/>
          <w:spacing w:val="-4"/>
        </w:rPr>
        <w:t>guerre </w:t>
      </w:r>
      <w:r>
        <w:rPr>
          <w:color w:val="231F20"/>
          <w:spacing w:val="-2"/>
        </w:rPr>
        <w:t>fut</w:t>
      </w:r>
      <w:r>
        <w:rPr>
          <w:color w:val="231F20"/>
          <w:spacing w:val="-12"/>
        </w:rPr>
        <w:t> </w:t>
      </w:r>
      <w:r>
        <w:rPr>
          <w:color w:val="231F20"/>
          <w:spacing w:val="-2"/>
        </w:rPr>
        <w:t>demandé</w:t>
      </w:r>
      <w:r>
        <w:rPr>
          <w:color w:val="231F20"/>
          <w:spacing w:val="-10"/>
        </w:rPr>
        <w:t> </w:t>
      </w:r>
      <w:r>
        <w:rPr>
          <w:color w:val="231F20"/>
          <w:spacing w:val="-2"/>
        </w:rPr>
        <w:t>à</w:t>
      </w:r>
      <w:r>
        <w:rPr>
          <w:color w:val="231F20"/>
          <w:spacing w:val="-13"/>
        </w:rPr>
        <w:t> </w:t>
      </w:r>
      <w:r>
        <w:rPr>
          <w:color w:val="231F20"/>
          <w:spacing w:val="-2"/>
        </w:rPr>
        <w:t>la</w:t>
      </w:r>
      <w:r>
        <w:rPr>
          <w:color w:val="231F20"/>
          <w:spacing w:val="-10"/>
        </w:rPr>
        <w:t> </w:t>
      </w:r>
      <w:r>
        <w:rPr>
          <w:color w:val="231F20"/>
          <w:spacing w:val="-2"/>
        </w:rPr>
        <w:t>population</w:t>
      </w:r>
      <w:r>
        <w:rPr>
          <w:color w:val="231F20"/>
          <w:spacing w:val="-11"/>
        </w:rPr>
        <w:t> </w:t>
      </w:r>
      <w:r>
        <w:rPr>
          <w:color w:val="231F20"/>
          <w:spacing w:val="-2"/>
        </w:rPr>
        <w:t>dans</w:t>
      </w:r>
      <w:r>
        <w:rPr>
          <w:color w:val="231F20"/>
          <w:spacing w:val="-12"/>
        </w:rPr>
        <w:t> </w:t>
      </w:r>
      <w:r>
        <w:rPr>
          <w:color w:val="231F20"/>
          <w:spacing w:val="-2"/>
        </w:rPr>
        <w:t>un</w:t>
      </w:r>
      <w:r>
        <w:rPr>
          <w:color w:val="231F20"/>
          <w:spacing w:val="-13"/>
        </w:rPr>
        <w:t> </w:t>
      </w:r>
      <w:r>
        <w:rPr>
          <w:color w:val="231F20"/>
          <w:spacing w:val="-2"/>
        </w:rPr>
        <w:t>désordre</w:t>
      </w:r>
      <w:r>
        <w:rPr>
          <w:color w:val="231F20"/>
          <w:spacing w:val="-10"/>
        </w:rPr>
        <w:t> </w:t>
      </w:r>
      <w:r>
        <w:rPr>
          <w:color w:val="231F20"/>
          <w:spacing w:val="-2"/>
        </w:rPr>
        <w:t>qui</w:t>
      </w:r>
      <w:r>
        <w:rPr>
          <w:color w:val="231F20"/>
          <w:spacing w:val="-10"/>
        </w:rPr>
        <w:t> </w:t>
      </w:r>
      <w:r>
        <w:rPr>
          <w:color w:val="231F20"/>
          <w:spacing w:val="-2"/>
        </w:rPr>
        <w:t>confond</w:t>
      </w:r>
      <w:r>
        <w:rPr>
          <w:color w:val="231F20"/>
          <w:spacing w:val="-13"/>
        </w:rPr>
        <w:t> </w:t>
      </w:r>
      <w:r>
        <w:rPr>
          <w:color w:val="231F20"/>
          <w:spacing w:val="-2"/>
        </w:rPr>
        <w:t>l'imagination</w:t>
      </w:r>
      <w:r>
        <w:rPr>
          <w:color w:val="231F20"/>
          <w:spacing w:val="-13"/>
        </w:rPr>
        <w:t> </w:t>
      </w:r>
      <w:r>
        <w:rPr>
          <w:color w:val="231F20"/>
          <w:spacing w:val="-2"/>
        </w:rPr>
        <w:t>: </w:t>
      </w:r>
      <w:r>
        <w:rPr>
          <w:color w:val="231F20"/>
        </w:rPr>
        <w:t>ainsi les indigènes de Bouaké qui n'ont pas de palmistes se virent contraints d'aller à 100 kilomètres en acheter 100 francs la tine pour la revendre à 8 francs. Ceux de Boundiali (...) obligés de se rendre à 80 kilomètres</w:t>
      </w:r>
      <w:r>
        <w:rPr>
          <w:color w:val="231F20"/>
          <w:spacing w:val="58"/>
        </w:rPr>
        <w:t> </w:t>
      </w:r>
      <w:r>
        <w:rPr>
          <w:color w:val="231F20"/>
        </w:rPr>
        <w:t>à</w:t>
      </w:r>
      <w:r>
        <w:rPr>
          <w:color w:val="231F20"/>
          <w:spacing w:val="58"/>
        </w:rPr>
        <w:t> </w:t>
      </w:r>
      <w:r>
        <w:rPr>
          <w:color w:val="231F20"/>
        </w:rPr>
        <w:t>Odienné</w:t>
      </w:r>
      <w:r>
        <w:rPr>
          <w:color w:val="231F20"/>
          <w:spacing w:val="59"/>
        </w:rPr>
        <w:t> </w:t>
      </w:r>
      <w:r>
        <w:rPr>
          <w:color w:val="231F20"/>
        </w:rPr>
        <w:t>louer</w:t>
      </w:r>
      <w:r>
        <w:rPr>
          <w:color w:val="231F20"/>
          <w:spacing w:val="61"/>
        </w:rPr>
        <w:t> </w:t>
      </w:r>
      <w:r>
        <w:rPr>
          <w:color w:val="231F20"/>
        </w:rPr>
        <w:t>leurs</w:t>
      </w:r>
      <w:r>
        <w:rPr>
          <w:color w:val="231F20"/>
          <w:spacing w:val="59"/>
        </w:rPr>
        <w:t> </w:t>
      </w:r>
      <w:r>
        <w:rPr>
          <w:color w:val="231F20"/>
        </w:rPr>
        <w:t>bras</w:t>
      </w:r>
      <w:r>
        <w:rPr>
          <w:color w:val="231F20"/>
          <w:spacing w:val="58"/>
        </w:rPr>
        <w:t> </w:t>
      </w:r>
      <w:r>
        <w:rPr>
          <w:color w:val="231F20"/>
        </w:rPr>
        <w:t>pendant</w:t>
      </w:r>
      <w:r>
        <w:rPr>
          <w:color w:val="231F20"/>
          <w:spacing w:val="60"/>
        </w:rPr>
        <w:t> </w:t>
      </w:r>
      <w:r>
        <w:rPr>
          <w:color w:val="231F20"/>
        </w:rPr>
        <w:t>10</w:t>
      </w:r>
      <w:r>
        <w:rPr>
          <w:color w:val="231F20"/>
          <w:spacing w:val="58"/>
        </w:rPr>
        <w:t> </w:t>
      </w:r>
      <w:r>
        <w:rPr>
          <w:color w:val="231F20"/>
        </w:rPr>
        <w:t>jours</w:t>
      </w:r>
      <w:r>
        <w:rPr>
          <w:color w:val="231F20"/>
          <w:spacing w:val="59"/>
        </w:rPr>
        <w:t> </w:t>
      </w:r>
      <w:r>
        <w:rPr>
          <w:color w:val="231F20"/>
        </w:rPr>
        <w:t>à</w:t>
      </w:r>
      <w:r>
        <w:rPr>
          <w:color w:val="231F20"/>
          <w:spacing w:val="61"/>
        </w:rPr>
        <w:t> </w:t>
      </w:r>
      <w:r>
        <w:rPr>
          <w:color w:val="231F20"/>
          <w:spacing w:val="-2"/>
        </w:rPr>
        <w:t>d'autres</w:t>
      </w:r>
    </w:p>
    <w:p>
      <w:pPr>
        <w:pStyle w:val="BodyText"/>
        <w:ind w:left="0"/>
        <w:jc w:val="left"/>
        <w:rPr>
          <w:sz w:val="20"/>
        </w:rPr>
      </w:pPr>
    </w:p>
    <w:p>
      <w:pPr>
        <w:pStyle w:val="BodyText"/>
        <w:ind w:left="0"/>
        <w:jc w:val="left"/>
        <w:rPr>
          <w:sz w:val="20"/>
        </w:rPr>
      </w:pPr>
    </w:p>
    <w:p>
      <w:pPr>
        <w:pStyle w:val="BodyText"/>
        <w:spacing w:before="7"/>
        <w:ind w:left="0"/>
        <w:jc w:val="left"/>
        <w:rPr>
          <w:sz w:val="20"/>
        </w:rPr>
      </w:pPr>
      <w:r>
        <w:rPr/>
        <mc:AlternateContent>
          <mc:Choice Requires="wps">
            <w:drawing>
              <wp:anchor distT="0" distB="0" distL="0" distR="0" allowOverlap="1" layoutInCell="1" locked="0" behindDoc="1" simplePos="0" relativeHeight="487597568">
                <wp:simplePos x="0" y="0"/>
                <wp:positionH relativeFrom="page">
                  <wp:posOffset>629907</wp:posOffset>
                </wp:positionH>
                <wp:positionV relativeFrom="paragraph">
                  <wp:posOffset>166298</wp:posOffset>
                </wp:positionV>
                <wp:extent cx="1829435" cy="9525"/>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094393pt;width:144.020pt;height:.72006pt;mso-position-horizontal-relative:page;mso-position-vertical-relative:paragraph;z-index:-15718912;mso-wrap-distance-left:0;mso-wrap-distance-right:0" id="docshape30" filled="true" fillcolor="#231f20" stroked="false">
                <v:fill type="solid"/>
                <w10:wrap type="topAndBottom"/>
              </v:rect>
            </w:pict>
          </mc:Fallback>
        </mc:AlternateContent>
      </w:r>
    </w:p>
    <w:p>
      <w:pPr>
        <w:spacing w:before="91"/>
        <w:ind w:left="111" w:right="0" w:firstLine="0"/>
        <w:jc w:val="left"/>
        <w:rPr>
          <w:sz w:val="20"/>
        </w:rPr>
      </w:pPr>
      <w:r>
        <w:rPr>
          <w:color w:val="231F20"/>
          <w:spacing w:val="-4"/>
          <w:sz w:val="20"/>
          <w:vertAlign w:val="superscript"/>
        </w:rPr>
        <w:t>30</w:t>
      </w:r>
      <w:r>
        <w:rPr>
          <w:color w:val="231F20"/>
          <w:spacing w:val="-4"/>
          <w:sz w:val="20"/>
          <w:vertAlign w:val="baseline"/>
        </w:rPr>
        <w:t>Balthazar</w:t>
      </w:r>
      <w:r>
        <w:rPr>
          <w:color w:val="231F20"/>
          <w:spacing w:val="-2"/>
          <w:sz w:val="20"/>
          <w:vertAlign w:val="baseline"/>
        </w:rPr>
        <w:t> </w:t>
      </w:r>
      <w:r>
        <w:rPr>
          <w:color w:val="231F20"/>
          <w:spacing w:val="-4"/>
          <w:sz w:val="20"/>
          <w:vertAlign w:val="baseline"/>
        </w:rPr>
        <w:t>Gibiat</w:t>
      </w:r>
      <w:r>
        <w:rPr>
          <w:color w:val="231F20"/>
          <w:spacing w:val="-2"/>
          <w:sz w:val="20"/>
          <w:vertAlign w:val="baseline"/>
        </w:rPr>
        <w:t> </w:t>
      </w:r>
      <w:r>
        <w:rPr>
          <w:color w:val="231F20"/>
          <w:spacing w:val="-4"/>
          <w:sz w:val="20"/>
          <w:vertAlign w:val="baseline"/>
        </w:rPr>
        <w:t>/ GEO</w:t>
      </w:r>
      <w:r>
        <w:rPr>
          <w:color w:val="231F20"/>
          <w:spacing w:val="-1"/>
          <w:sz w:val="20"/>
          <w:vertAlign w:val="baseline"/>
        </w:rPr>
        <w:t> </w:t>
      </w:r>
      <w:r>
        <w:rPr>
          <w:color w:val="231F20"/>
          <w:spacing w:val="-4"/>
          <w:sz w:val="20"/>
          <w:vertAlign w:val="baseline"/>
        </w:rPr>
        <w:t>Histoire</w:t>
      </w:r>
      <w:r>
        <w:rPr>
          <w:color w:val="231F20"/>
          <w:spacing w:val="-2"/>
          <w:sz w:val="20"/>
          <w:vertAlign w:val="baseline"/>
        </w:rPr>
        <w:t> </w:t>
      </w:r>
      <w:r>
        <w:rPr>
          <w:color w:val="231F20"/>
          <w:spacing w:val="-4"/>
          <w:sz w:val="20"/>
          <w:vertAlign w:val="baseline"/>
        </w:rPr>
        <w:t>"L'Afrique</w:t>
      </w:r>
      <w:r>
        <w:rPr>
          <w:color w:val="231F20"/>
          <w:spacing w:val="-3"/>
          <w:sz w:val="20"/>
          <w:vertAlign w:val="baseline"/>
        </w:rPr>
        <w:t> </w:t>
      </w:r>
      <w:r>
        <w:rPr>
          <w:color w:val="231F20"/>
          <w:spacing w:val="-4"/>
          <w:sz w:val="20"/>
          <w:vertAlign w:val="baseline"/>
        </w:rPr>
        <w:t>au</w:t>
      </w:r>
      <w:r>
        <w:rPr>
          <w:color w:val="231F20"/>
          <w:spacing w:val="-3"/>
          <w:sz w:val="20"/>
          <w:vertAlign w:val="baseline"/>
        </w:rPr>
        <w:t> </w:t>
      </w:r>
      <w:r>
        <w:rPr>
          <w:color w:val="231F20"/>
          <w:spacing w:val="-4"/>
          <w:sz w:val="20"/>
          <w:vertAlign w:val="baseline"/>
        </w:rPr>
        <w:t>temps</w:t>
      </w:r>
      <w:r>
        <w:rPr>
          <w:color w:val="231F20"/>
          <w:spacing w:val="-3"/>
          <w:sz w:val="20"/>
          <w:vertAlign w:val="baseline"/>
        </w:rPr>
        <w:t> </w:t>
      </w:r>
      <w:r>
        <w:rPr>
          <w:color w:val="231F20"/>
          <w:spacing w:val="-4"/>
          <w:sz w:val="20"/>
          <w:vertAlign w:val="baseline"/>
        </w:rPr>
        <w:t>des colonies"</w:t>
      </w:r>
      <w:r>
        <w:rPr>
          <w:color w:val="231F20"/>
          <w:spacing w:val="-2"/>
          <w:sz w:val="20"/>
          <w:vertAlign w:val="baseline"/>
        </w:rPr>
        <w:t> </w:t>
      </w:r>
      <w:r>
        <w:rPr>
          <w:color w:val="231F20"/>
          <w:spacing w:val="-4"/>
          <w:sz w:val="20"/>
          <w:vertAlign w:val="baseline"/>
        </w:rPr>
        <w:t>n°24</w:t>
      </w:r>
    </w:p>
    <w:p>
      <w:pPr>
        <w:spacing w:before="1"/>
        <w:ind w:left="111" w:right="0" w:firstLine="0"/>
        <w:jc w:val="left"/>
        <w:rPr>
          <w:sz w:val="20"/>
        </w:rPr>
      </w:pPr>
      <w:r>
        <w:rPr>
          <w:color w:val="76787A"/>
          <w:spacing w:val="-4"/>
          <w:position w:val="7"/>
          <w:sz w:val="13"/>
        </w:rPr>
        <w:t>31</w:t>
      </w:r>
      <w:r>
        <w:rPr>
          <w:color w:val="76787A"/>
          <w:spacing w:val="17"/>
          <w:position w:val="7"/>
          <w:sz w:val="13"/>
        </w:rPr>
        <w:t> </w:t>
      </w:r>
      <w:r>
        <w:rPr>
          <w:color w:val="231F20"/>
          <w:spacing w:val="-4"/>
          <w:sz w:val="20"/>
        </w:rPr>
        <w:t>Source</w:t>
      </w:r>
      <w:r>
        <w:rPr>
          <w:color w:val="231F20"/>
          <w:spacing w:val="-5"/>
          <w:sz w:val="20"/>
        </w:rPr>
        <w:t> </w:t>
      </w:r>
      <w:r>
        <w:rPr>
          <w:color w:val="231F20"/>
          <w:spacing w:val="-4"/>
          <w:sz w:val="20"/>
        </w:rPr>
        <w:t>:</w:t>
      </w:r>
      <w:r>
        <w:rPr>
          <w:color w:val="231F20"/>
          <w:spacing w:val="-3"/>
          <w:sz w:val="20"/>
        </w:rPr>
        <w:t> </w:t>
      </w:r>
      <w:r>
        <w:rPr>
          <w:color w:val="231F20"/>
          <w:spacing w:val="-4"/>
          <w:sz w:val="20"/>
        </w:rPr>
        <w:t>Gilles</w:t>
      </w:r>
      <w:r>
        <w:rPr>
          <w:color w:val="231F20"/>
          <w:spacing w:val="-2"/>
          <w:sz w:val="20"/>
        </w:rPr>
        <w:t> </w:t>
      </w:r>
      <w:r>
        <w:rPr>
          <w:color w:val="231F20"/>
          <w:spacing w:val="-4"/>
          <w:sz w:val="20"/>
        </w:rPr>
        <w:t>Sautter,</w:t>
      </w:r>
      <w:r>
        <w:rPr>
          <w:color w:val="231F20"/>
          <w:spacing w:val="-5"/>
          <w:sz w:val="20"/>
        </w:rPr>
        <w:t> </w:t>
      </w:r>
      <w:r>
        <w:rPr>
          <w:color w:val="231F20"/>
          <w:spacing w:val="-4"/>
          <w:sz w:val="20"/>
        </w:rPr>
        <w:t>géographe,</w:t>
      </w:r>
      <w:r>
        <w:rPr>
          <w:color w:val="231F20"/>
          <w:spacing w:val="-2"/>
          <w:sz w:val="20"/>
        </w:rPr>
        <w:t> </w:t>
      </w:r>
      <w:r>
        <w:rPr>
          <w:color w:val="231F20"/>
          <w:spacing w:val="-4"/>
          <w:sz w:val="20"/>
        </w:rPr>
        <w:t>les </w:t>
      </w:r>
      <w:r>
        <w:rPr>
          <w:rFonts w:ascii="Verdana" w:hAnsi="Verdana"/>
          <w:i/>
          <w:color w:val="231F20"/>
          <w:spacing w:val="-4"/>
          <w:sz w:val="20"/>
        </w:rPr>
        <w:t>Cahiers</w:t>
      </w:r>
      <w:r>
        <w:rPr>
          <w:rFonts w:ascii="Verdana" w:hAnsi="Verdana"/>
          <w:i/>
          <w:color w:val="231F20"/>
          <w:spacing w:val="-3"/>
          <w:sz w:val="20"/>
        </w:rPr>
        <w:t> </w:t>
      </w:r>
      <w:r>
        <w:rPr>
          <w:rFonts w:ascii="Verdana" w:hAnsi="Verdana"/>
          <w:i/>
          <w:color w:val="231F20"/>
          <w:spacing w:val="-4"/>
          <w:sz w:val="20"/>
        </w:rPr>
        <w:t>d’Etudes africaines</w:t>
      </w:r>
      <w:r>
        <w:rPr>
          <w:color w:val="231F20"/>
          <w:spacing w:val="-4"/>
          <w:sz w:val="20"/>
        </w:rPr>
        <w:t>,</w:t>
      </w:r>
      <w:r>
        <w:rPr>
          <w:color w:val="231F20"/>
          <w:spacing w:val="-5"/>
          <w:sz w:val="20"/>
        </w:rPr>
        <w:t> </w:t>
      </w:r>
      <w:r>
        <w:rPr>
          <w:color w:val="231F20"/>
          <w:spacing w:val="-4"/>
          <w:sz w:val="20"/>
        </w:rPr>
        <w:t>1967</w:t>
      </w:r>
    </w:p>
    <w:p>
      <w:pPr>
        <w:spacing w:before="0"/>
        <w:ind w:left="111" w:right="0" w:firstLine="0"/>
        <w:jc w:val="left"/>
        <w:rPr>
          <w:sz w:val="20"/>
        </w:rPr>
      </w:pPr>
      <w:r>
        <w:rPr>
          <w:color w:val="76787A"/>
          <w:spacing w:val="-4"/>
          <w:sz w:val="20"/>
          <w:vertAlign w:val="superscript"/>
        </w:rPr>
        <w:t>32</w:t>
      </w:r>
      <w:r>
        <w:rPr>
          <w:color w:val="76787A"/>
          <w:sz w:val="20"/>
          <w:vertAlign w:val="baseline"/>
        </w:rPr>
        <w:t> </w:t>
      </w:r>
      <w:r>
        <w:rPr>
          <w:color w:val="231F20"/>
          <w:spacing w:val="-4"/>
          <w:sz w:val="20"/>
          <w:vertAlign w:val="baseline"/>
        </w:rPr>
        <w:t>Extraits</w:t>
      </w:r>
      <w:r>
        <w:rPr>
          <w:color w:val="231F20"/>
          <w:spacing w:val="-6"/>
          <w:sz w:val="20"/>
          <w:vertAlign w:val="baseline"/>
        </w:rPr>
        <w:t> </w:t>
      </w:r>
      <w:r>
        <w:rPr>
          <w:color w:val="231F20"/>
          <w:spacing w:val="-4"/>
          <w:sz w:val="20"/>
          <w:vertAlign w:val="baseline"/>
        </w:rPr>
        <w:t>du</w:t>
      </w:r>
      <w:r>
        <w:rPr>
          <w:color w:val="231F20"/>
          <w:spacing w:val="-1"/>
          <w:sz w:val="20"/>
          <w:vertAlign w:val="baseline"/>
        </w:rPr>
        <w:t> </w:t>
      </w:r>
      <w:r>
        <w:rPr>
          <w:color w:val="231F20"/>
          <w:spacing w:val="-4"/>
          <w:sz w:val="20"/>
          <w:vertAlign w:val="baseline"/>
        </w:rPr>
        <w:t>journal</w:t>
      </w:r>
      <w:r>
        <w:rPr>
          <w:color w:val="231F20"/>
          <w:spacing w:val="-5"/>
          <w:sz w:val="20"/>
          <w:vertAlign w:val="baseline"/>
        </w:rPr>
        <w:t> </w:t>
      </w:r>
      <w:r>
        <w:rPr>
          <w:color w:val="231F20"/>
          <w:spacing w:val="-4"/>
          <w:sz w:val="20"/>
          <w:vertAlign w:val="baseline"/>
        </w:rPr>
        <w:t>de</w:t>
      </w:r>
      <w:r>
        <w:rPr>
          <w:color w:val="231F20"/>
          <w:spacing w:val="-5"/>
          <w:sz w:val="20"/>
          <w:vertAlign w:val="baseline"/>
        </w:rPr>
        <w:t> </w:t>
      </w:r>
      <w:r>
        <w:rPr>
          <w:color w:val="231F20"/>
          <w:spacing w:val="-4"/>
          <w:sz w:val="20"/>
          <w:vertAlign w:val="baseline"/>
        </w:rPr>
        <w:t>André́</w:t>
      </w:r>
      <w:r>
        <w:rPr>
          <w:color w:val="231F20"/>
          <w:spacing w:val="12"/>
          <w:sz w:val="20"/>
          <w:vertAlign w:val="baseline"/>
        </w:rPr>
        <w:t> </w:t>
      </w:r>
      <w:r>
        <w:rPr>
          <w:color w:val="231F20"/>
          <w:spacing w:val="-4"/>
          <w:sz w:val="20"/>
          <w:vertAlign w:val="baseline"/>
        </w:rPr>
        <w:t>Gide,</w:t>
      </w:r>
      <w:r>
        <w:rPr>
          <w:color w:val="231F20"/>
          <w:spacing w:val="-5"/>
          <w:sz w:val="20"/>
          <w:vertAlign w:val="baseline"/>
        </w:rPr>
        <w:t> </w:t>
      </w:r>
      <w:r>
        <w:rPr>
          <w:color w:val="231F20"/>
          <w:spacing w:val="-4"/>
          <w:sz w:val="20"/>
          <w:vertAlign w:val="baseline"/>
        </w:rPr>
        <w:t>Voyage au Congo (éd.</w:t>
      </w:r>
      <w:r>
        <w:rPr>
          <w:color w:val="231F20"/>
          <w:spacing w:val="-1"/>
          <w:sz w:val="20"/>
          <w:vertAlign w:val="baseline"/>
        </w:rPr>
        <w:t> </w:t>
      </w:r>
      <w:r>
        <w:rPr>
          <w:color w:val="231F20"/>
          <w:spacing w:val="-4"/>
          <w:sz w:val="20"/>
          <w:vertAlign w:val="baseline"/>
        </w:rPr>
        <w:t>Gallimard, 1927)</w:t>
      </w:r>
    </w:p>
    <w:p>
      <w:pPr>
        <w:spacing w:after="0"/>
        <w:jc w:val="left"/>
        <w:rPr>
          <w:sz w:val="20"/>
        </w:rPr>
        <w:sectPr>
          <w:pgSz w:w="8790" w:h="13610"/>
          <w:pgMar w:header="0" w:footer="802" w:top="1040" w:bottom="1000" w:left="880" w:right="880"/>
        </w:sectPr>
      </w:pPr>
    </w:p>
    <w:p>
      <w:pPr>
        <w:pStyle w:val="BodyText"/>
        <w:spacing w:before="66"/>
        <w:ind w:right="109"/>
      </w:pPr>
      <w:r>
        <w:rPr>
          <w:color w:val="231F20"/>
          <w:spacing w:val="-2"/>
        </w:rPr>
        <w:t>indigènes</w:t>
      </w:r>
      <w:r>
        <w:rPr>
          <w:color w:val="231F20"/>
          <w:spacing w:val="-5"/>
        </w:rPr>
        <w:t> </w:t>
      </w:r>
      <w:r>
        <w:rPr>
          <w:color w:val="231F20"/>
          <w:spacing w:val="-2"/>
        </w:rPr>
        <w:t>avant</w:t>
      </w:r>
      <w:r>
        <w:rPr>
          <w:color w:val="231F20"/>
          <w:spacing w:val="-5"/>
        </w:rPr>
        <w:t> </w:t>
      </w:r>
      <w:r>
        <w:rPr>
          <w:color w:val="231F20"/>
          <w:spacing w:val="-2"/>
        </w:rPr>
        <w:t>d'être</w:t>
      </w:r>
      <w:r>
        <w:rPr>
          <w:color w:val="231F20"/>
          <w:spacing w:val="-6"/>
        </w:rPr>
        <w:t> </w:t>
      </w:r>
      <w:r>
        <w:rPr>
          <w:color w:val="231F20"/>
          <w:spacing w:val="-2"/>
        </w:rPr>
        <w:t>autorisés</w:t>
      </w:r>
      <w:r>
        <w:rPr>
          <w:color w:val="231F20"/>
          <w:spacing w:val="-5"/>
        </w:rPr>
        <w:t> </w:t>
      </w:r>
      <w:r>
        <w:rPr>
          <w:color w:val="231F20"/>
          <w:spacing w:val="-2"/>
        </w:rPr>
        <w:t>à</w:t>
      </w:r>
      <w:r>
        <w:rPr>
          <w:color w:val="231F20"/>
          <w:spacing w:val="-6"/>
        </w:rPr>
        <w:t> </w:t>
      </w:r>
      <w:r>
        <w:rPr>
          <w:color w:val="231F20"/>
          <w:spacing w:val="-2"/>
        </w:rPr>
        <w:t>récolter</w:t>
      </w:r>
      <w:r>
        <w:rPr>
          <w:color w:val="231F20"/>
          <w:spacing w:val="-6"/>
        </w:rPr>
        <w:t> </w:t>
      </w:r>
      <w:r>
        <w:rPr>
          <w:color w:val="231F20"/>
          <w:spacing w:val="-2"/>
        </w:rPr>
        <w:t>sur</w:t>
      </w:r>
      <w:r>
        <w:rPr>
          <w:color w:val="231F20"/>
          <w:spacing w:val="-7"/>
        </w:rPr>
        <w:t> </w:t>
      </w:r>
      <w:r>
        <w:rPr>
          <w:color w:val="231F20"/>
          <w:spacing w:val="-2"/>
        </w:rPr>
        <w:t>le</w:t>
      </w:r>
      <w:r>
        <w:rPr>
          <w:color w:val="231F20"/>
          <w:spacing w:val="-6"/>
        </w:rPr>
        <w:t> </w:t>
      </w:r>
      <w:r>
        <w:rPr>
          <w:color w:val="231F20"/>
          <w:spacing w:val="-2"/>
        </w:rPr>
        <w:t>territoire,</w:t>
      </w:r>
      <w:r>
        <w:rPr>
          <w:color w:val="231F20"/>
          <w:spacing w:val="-7"/>
        </w:rPr>
        <w:t> </w:t>
      </w:r>
      <w:r>
        <w:rPr>
          <w:color w:val="231F20"/>
          <w:spacing w:val="-2"/>
        </w:rPr>
        <w:t>le</w:t>
      </w:r>
      <w:r>
        <w:rPr>
          <w:color w:val="231F20"/>
          <w:spacing w:val="-6"/>
        </w:rPr>
        <w:t> </w:t>
      </w:r>
      <w:r>
        <w:rPr>
          <w:color w:val="231F20"/>
          <w:spacing w:val="-2"/>
        </w:rPr>
        <w:t>kilogramme </w:t>
      </w:r>
      <w:r>
        <w:rPr>
          <w:color w:val="231F20"/>
        </w:rPr>
        <w:t>de</w:t>
      </w:r>
      <w:r>
        <w:rPr>
          <w:color w:val="231F20"/>
          <w:spacing w:val="-4"/>
        </w:rPr>
        <w:t> </w:t>
      </w:r>
      <w:r>
        <w:rPr>
          <w:color w:val="231F20"/>
        </w:rPr>
        <w:t>caoutchouc</w:t>
      </w:r>
      <w:r>
        <w:rPr>
          <w:color w:val="231F20"/>
          <w:spacing w:val="-4"/>
        </w:rPr>
        <w:t> </w:t>
      </w:r>
      <w:r>
        <w:rPr>
          <w:color w:val="231F20"/>
        </w:rPr>
        <w:t>réclamé</w:t>
      </w:r>
      <w:r>
        <w:rPr>
          <w:color w:val="231F20"/>
          <w:spacing w:val="-4"/>
        </w:rPr>
        <w:t> </w:t>
      </w:r>
      <w:r>
        <w:rPr>
          <w:color w:val="231F20"/>
        </w:rPr>
        <w:t>à</w:t>
      </w:r>
      <w:r>
        <w:rPr>
          <w:color w:val="231F20"/>
          <w:spacing w:val="-6"/>
        </w:rPr>
        <w:t> </w:t>
      </w:r>
      <w:r>
        <w:rPr>
          <w:color w:val="231F20"/>
        </w:rPr>
        <w:t>chacun</w:t>
      </w:r>
      <w:r>
        <w:rPr>
          <w:color w:val="231F20"/>
          <w:spacing w:val="-4"/>
        </w:rPr>
        <w:t> </w:t>
      </w:r>
      <w:r>
        <w:rPr>
          <w:color w:val="231F20"/>
        </w:rPr>
        <w:t>par</w:t>
      </w:r>
      <w:r>
        <w:rPr>
          <w:color w:val="231F20"/>
          <w:spacing w:val="-4"/>
        </w:rPr>
        <w:t> </w:t>
      </w:r>
      <w:r>
        <w:rPr>
          <w:color w:val="231F20"/>
        </w:rPr>
        <w:t>l'administration</w:t>
      </w:r>
      <w:r>
        <w:rPr>
          <w:color w:val="231F20"/>
          <w:spacing w:val="-4"/>
        </w:rPr>
        <w:t> </w:t>
      </w:r>
      <w:r>
        <w:rPr>
          <w:color w:val="231F20"/>
        </w:rPr>
        <w:t>locale</w:t>
      </w:r>
      <w:r>
        <w:rPr>
          <w:color w:val="76787A"/>
          <w:vertAlign w:val="superscript"/>
        </w:rPr>
        <w:t>33</w:t>
      </w:r>
      <w:r>
        <w:rPr>
          <w:color w:val="231F20"/>
          <w:vertAlign w:val="baseline"/>
        </w:rPr>
        <w:t>».</w:t>
      </w:r>
    </w:p>
    <w:p>
      <w:pPr>
        <w:pStyle w:val="BodyText"/>
        <w:spacing w:before="120"/>
        <w:ind w:right="105" w:firstLine="283"/>
      </w:pPr>
      <w:r>
        <w:rPr>
          <w:color w:val="231F20"/>
          <w:spacing w:val="-4"/>
        </w:rPr>
        <w:t>Le</w:t>
      </w:r>
      <w:r>
        <w:rPr>
          <w:color w:val="231F20"/>
          <w:spacing w:val="-5"/>
        </w:rPr>
        <w:t> </w:t>
      </w:r>
      <w:r>
        <w:rPr>
          <w:color w:val="231F20"/>
          <w:spacing w:val="-4"/>
        </w:rPr>
        <w:t>recrutement</w:t>
      </w:r>
      <w:r>
        <w:rPr>
          <w:color w:val="231F20"/>
          <w:spacing w:val="-7"/>
        </w:rPr>
        <w:t> </w:t>
      </w:r>
      <w:r>
        <w:rPr>
          <w:color w:val="231F20"/>
          <w:spacing w:val="-4"/>
        </w:rPr>
        <w:t>militaire</w:t>
      </w:r>
      <w:r>
        <w:rPr>
          <w:color w:val="231F20"/>
          <w:spacing w:val="-5"/>
        </w:rPr>
        <w:t> </w:t>
      </w:r>
      <w:r>
        <w:rPr>
          <w:color w:val="231F20"/>
          <w:spacing w:val="-4"/>
        </w:rPr>
        <w:t>s'effectue</w:t>
      </w:r>
      <w:r>
        <w:rPr>
          <w:color w:val="231F20"/>
          <w:spacing w:val="-5"/>
        </w:rPr>
        <w:t> </w:t>
      </w:r>
      <w:r>
        <w:rPr>
          <w:color w:val="231F20"/>
          <w:spacing w:val="-4"/>
        </w:rPr>
        <w:t>dans</w:t>
      </w:r>
      <w:r>
        <w:rPr>
          <w:color w:val="231F20"/>
          <w:spacing w:val="-5"/>
        </w:rPr>
        <w:t> </w:t>
      </w:r>
      <w:r>
        <w:rPr>
          <w:color w:val="231F20"/>
          <w:spacing w:val="-4"/>
        </w:rPr>
        <w:t>tous</w:t>
      </w:r>
      <w:r>
        <w:rPr>
          <w:color w:val="231F20"/>
          <w:spacing w:val="-8"/>
        </w:rPr>
        <w:t> </w:t>
      </w:r>
      <w:r>
        <w:rPr>
          <w:color w:val="231F20"/>
          <w:spacing w:val="-4"/>
        </w:rPr>
        <w:t>les</w:t>
      </w:r>
      <w:r>
        <w:rPr>
          <w:color w:val="231F20"/>
          <w:spacing w:val="-5"/>
        </w:rPr>
        <w:t> </w:t>
      </w:r>
      <w:r>
        <w:rPr>
          <w:color w:val="231F20"/>
          <w:spacing w:val="-4"/>
        </w:rPr>
        <w:t>territoires.</w:t>
      </w:r>
      <w:r>
        <w:rPr>
          <w:color w:val="231F20"/>
          <w:spacing w:val="-8"/>
        </w:rPr>
        <w:t> </w:t>
      </w:r>
      <w:r>
        <w:rPr>
          <w:color w:val="231F20"/>
          <w:spacing w:val="-4"/>
        </w:rPr>
        <w:t>Les</w:t>
      </w:r>
      <w:r>
        <w:rPr>
          <w:color w:val="231F20"/>
          <w:spacing w:val="-5"/>
        </w:rPr>
        <w:t> </w:t>
      </w:r>
      <w:r>
        <w:rPr>
          <w:color w:val="231F20"/>
          <w:spacing w:val="-4"/>
        </w:rPr>
        <w:t>recrues </w:t>
      </w:r>
      <w:r>
        <w:rPr>
          <w:color w:val="231F20"/>
        </w:rPr>
        <w:t>sont</w:t>
      </w:r>
      <w:r>
        <w:rPr>
          <w:color w:val="231F20"/>
          <w:spacing w:val="-15"/>
        </w:rPr>
        <w:t> </w:t>
      </w:r>
      <w:r>
        <w:rPr>
          <w:color w:val="231F20"/>
        </w:rPr>
        <w:t>envoyées</w:t>
      </w:r>
      <w:r>
        <w:rPr>
          <w:color w:val="231F20"/>
          <w:spacing w:val="-14"/>
        </w:rPr>
        <w:t> </w:t>
      </w:r>
      <w:r>
        <w:rPr>
          <w:color w:val="231F20"/>
        </w:rPr>
        <w:t>sur</w:t>
      </w:r>
      <w:r>
        <w:rPr>
          <w:color w:val="231F20"/>
          <w:spacing w:val="-15"/>
        </w:rPr>
        <w:t> </w:t>
      </w:r>
      <w:r>
        <w:rPr>
          <w:color w:val="231F20"/>
        </w:rPr>
        <w:t>les</w:t>
      </w:r>
      <w:r>
        <w:rPr>
          <w:color w:val="231F20"/>
          <w:spacing w:val="-15"/>
        </w:rPr>
        <w:t> </w:t>
      </w:r>
      <w:r>
        <w:rPr>
          <w:color w:val="231F20"/>
        </w:rPr>
        <w:t>théâtres</w:t>
      </w:r>
      <w:r>
        <w:rPr>
          <w:color w:val="231F20"/>
          <w:spacing w:val="-15"/>
        </w:rPr>
        <w:t> </w:t>
      </w:r>
      <w:r>
        <w:rPr>
          <w:color w:val="231F20"/>
        </w:rPr>
        <w:t>des</w:t>
      </w:r>
      <w:r>
        <w:rPr>
          <w:color w:val="231F20"/>
          <w:spacing w:val="-15"/>
        </w:rPr>
        <w:t> </w:t>
      </w:r>
      <w:r>
        <w:rPr>
          <w:color w:val="231F20"/>
        </w:rPr>
        <w:t>opérations</w:t>
      </w:r>
      <w:r>
        <w:rPr>
          <w:color w:val="231F20"/>
          <w:spacing w:val="-15"/>
        </w:rPr>
        <w:t> </w:t>
      </w:r>
      <w:r>
        <w:rPr>
          <w:color w:val="231F20"/>
        </w:rPr>
        <w:t>en</w:t>
      </w:r>
      <w:r>
        <w:rPr>
          <w:color w:val="231F20"/>
          <w:spacing w:val="-15"/>
        </w:rPr>
        <w:t> </w:t>
      </w:r>
      <w:r>
        <w:rPr>
          <w:color w:val="231F20"/>
        </w:rPr>
        <w:t>Europe</w:t>
      </w:r>
      <w:r>
        <w:rPr>
          <w:color w:val="231F20"/>
          <w:spacing w:val="-13"/>
        </w:rPr>
        <w:t> </w:t>
      </w:r>
      <w:r>
        <w:rPr>
          <w:color w:val="231F20"/>
        </w:rPr>
        <w:t>et</w:t>
      </w:r>
      <w:r>
        <w:rPr>
          <w:color w:val="231F20"/>
          <w:spacing w:val="-14"/>
        </w:rPr>
        <w:t> </w:t>
      </w:r>
      <w:r>
        <w:rPr>
          <w:color w:val="231F20"/>
        </w:rPr>
        <w:t>en</w:t>
      </w:r>
      <w:r>
        <w:rPr>
          <w:color w:val="231F20"/>
          <w:spacing w:val="-15"/>
        </w:rPr>
        <w:t> </w:t>
      </w:r>
      <w:r>
        <w:rPr>
          <w:color w:val="231F20"/>
        </w:rPr>
        <w:t>Afrique</w:t>
      </w:r>
      <w:r>
        <w:rPr>
          <w:color w:val="231F20"/>
          <w:spacing w:val="-15"/>
        </w:rPr>
        <w:t> </w:t>
      </w:r>
      <w:r>
        <w:rPr>
          <w:color w:val="231F20"/>
        </w:rPr>
        <w:t>du </w:t>
      </w:r>
      <w:r>
        <w:rPr>
          <w:color w:val="231F20"/>
          <w:spacing w:val="-4"/>
        </w:rPr>
        <w:t>Nord.</w:t>
      </w:r>
      <w:r>
        <w:rPr>
          <w:color w:val="231F20"/>
          <w:spacing w:val="-11"/>
        </w:rPr>
        <w:t> </w:t>
      </w:r>
      <w:r>
        <w:rPr>
          <w:color w:val="231F20"/>
          <w:spacing w:val="-4"/>
        </w:rPr>
        <w:t>Entre</w:t>
      </w:r>
      <w:r>
        <w:rPr>
          <w:color w:val="231F20"/>
          <w:spacing w:val="-11"/>
        </w:rPr>
        <w:t> </w:t>
      </w:r>
      <w:r>
        <w:rPr>
          <w:color w:val="231F20"/>
          <w:spacing w:val="-4"/>
        </w:rPr>
        <w:t>1939</w:t>
      </w:r>
      <w:r>
        <w:rPr>
          <w:color w:val="231F20"/>
          <w:spacing w:val="-11"/>
        </w:rPr>
        <w:t> </w:t>
      </w:r>
      <w:r>
        <w:rPr>
          <w:color w:val="231F20"/>
          <w:spacing w:val="-4"/>
        </w:rPr>
        <w:t>et</w:t>
      </w:r>
      <w:r>
        <w:rPr>
          <w:color w:val="231F20"/>
          <w:spacing w:val="-11"/>
        </w:rPr>
        <w:t> </w:t>
      </w:r>
      <w:r>
        <w:rPr>
          <w:color w:val="231F20"/>
          <w:spacing w:val="-4"/>
        </w:rPr>
        <w:t>1944,</w:t>
      </w:r>
      <w:r>
        <w:rPr>
          <w:color w:val="231F20"/>
          <w:spacing w:val="-11"/>
        </w:rPr>
        <w:t> </w:t>
      </w:r>
      <w:r>
        <w:rPr>
          <w:color w:val="231F20"/>
          <w:spacing w:val="-4"/>
        </w:rPr>
        <w:t>ils</w:t>
      </w:r>
      <w:r>
        <w:rPr>
          <w:color w:val="231F20"/>
          <w:spacing w:val="-11"/>
        </w:rPr>
        <w:t> </w:t>
      </w:r>
      <w:r>
        <w:rPr>
          <w:color w:val="231F20"/>
          <w:spacing w:val="-4"/>
        </w:rPr>
        <w:t>sont</w:t>
      </w:r>
      <w:r>
        <w:rPr>
          <w:color w:val="231F20"/>
          <w:spacing w:val="-11"/>
        </w:rPr>
        <w:t> </w:t>
      </w:r>
      <w:r>
        <w:rPr>
          <w:color w:val="231F20"/>
          <w:spacing w:val="-4"/>
        </w:rPr>
        <w:t>près</w:t>
      </w:r>
      <w:r>
        <w:rPr>
          <w:color w:val="231F20"/>
          <w:spacing w:val="-11"/>
        </w:rPr>
        <w:t> </w:t>
      </w:r>
      <w:r>
        <w:rPr>
          <w:color w:val="231F20"/>
          <w:spacing w:val="-4"/>
        </w:rPr>
        <w:t>de</w:t>
      </w:r>
      <w:r>
        <w:rPr>
          <w:color w:val="231F20"/>
          <w:spacing w:val="-11"/>
        </w:rPr>
        <w:t> </w:t>
      </w:r>
      <w:r>
        <w:rPr>
          <w:color w:val="231F20"/>
          <w:spacing w:val="-4"/>
        </w:rPr>
        <w:t>140</w:t>
      </w:r>
      <w:r>
        <w:rPr>
          <w:color w:val="231F20"/>
          <w:spacing w:val="-11"/>
        </w:rPr>
        <w:t> </w:t>
      </w:r>
      <w:r>
        <w:rPr>
          <w:color w:val="231F20"/>
          <w:spacing w:val="-4"/>
        </w:rPr>
        <w:t>000</w:t>
      </w:r>
      <w:r>
        <w:rPr>
          <w:color w:val="231F20"/>
          <w:spacing w:val="-9"/>
        </w:rPr>
        <w:t> </w:t>
      </w:r>
      <w:r>
        <w:rPr>
          <w:color w:val="231F20"/>
          <w:spacing w:val="-4"/>
        </w:rPr>
        <w:t>Africains</w:t>
      </w:r>
      <w:r>
        <w:rPr>
          <w:color w:val="231F20"/>
          <w:spacing w:val="-11"/>
        </w:rPr>
        <w:t> </w:t>
      </w:r>
      <w:r>
        <w:rPr>
          <w:color w:val="231F20"/>
          <w:spacing w:val="-4"/>
        </w:rPr>
        <w:t>engagés.</w:t>
      </w:r>
      <w:r>
        <w:rPr>
          <w:color w:val="231F20"/>
          <w:spacing w:val="-11"/>
        </w:rPr>
        <w:t> </w:t>
      </w:r>
      <w:r>
        <w:rPr>
          <w:color w:val="231F20"/>
          <w:spacing w:val="-4"/>
        </w:rPr>
        <w:t>Près </w:t>
      </w:r>
      <w:r>
        <w:rPr>
          <w:color w:val="231F20"/>
        </w:rPr>
        <w:t>de</w:t>
      </w:r>
      <w:r>
        <w:rPr>
          <w:color w:val="231F20"/>
          <w:spacing w:val="-2"/>
        </w:rPr>
        <w:t> </w:t>
      </w:r>
      <w:r>
        <w:rPr>
          <w:color w:val="231F20"/>
        </w:rPr>
        <w:t>24</w:t>
      </w:r>
      <w:r>
        <w:rPr>
          <w:color w:val="231F20"/>
          <w:spacing w:val="-2"/>
        </w:rPr>
        <w:t> </w:t>
      </w:r>
      <w:r>
        <w:rPr>
          <w:color w:val="231F20"/>
        </w:rPr>
        <w:t>000</w:t>
      </w:r>
      <w:r>
        <w:rPr>
          <w:color w:val="231F20"/>
          <w:spacing w:val="-2"/>
        </w:rPr>
        <w:t> </w:t>
      </w:r>
      <w:r>
        <w:rPr>
          <w:color w:val="231F20"/>
        </w:rPr>
        <w:t>sont</w:t>
      </w:r>
      <w:r>
        <w:rPr>
          <w:color w:val="231F20"/>
          <w:spacing w:val="-4"/>
        </w:rPr>
        <w:t> </w:t>
      </w:r>
      <w:r>
        <w:rPr>
          <w:color w:val="231F20"/>
        </w:rPr>
        <w:t>faits</w:t>
      </w:r>
      <w:r>
        <w:rPr>
          <w:color w:val="231F20"/>
          <w:spacing w:val="-2"/>
        </w:rPr>
        <w:t> </w:t>
      </w:r>
      <w:r>
        <w:rPr>
          <w:color w:val="231F20"/>
        </w:rPr>
        <w:t>prisonniers</w:t>
      </w:r>
      <w:r>
        <w:rPr>
          <w:color w:val="231F20"/>
          <w:spacing w:val="-4"/>
        </w:rPr>
        <w:t> </w:t>
      </w:r>
      <w:r>
        <w:rPr>
          <w:color w:val="231F20"/>
        </w:rPr>
        <w:t>ou</w:t>
      </w:r>
      <w:r>
        <w:rPr>
          <w:color w:val="231F20"/>
          <w:spacing w:val="-2"/>
        </w:rPr>
        <w:t> </w:t>
      </w:r>
      <w:r>
        <w:rPr>
          <w:color w:val="231F20"/>
        </w:rPr>
        <w:t>sont</w:t>
      </w:r>
      <w:r>
        <w:rPr>
          <w:color w:val="231F20"/>
          <w:spacing w:val="-4"/>
        </w:rPr>
        <w:t> </w:t>
      </w:r>
      <w:r>
        <w:rPr>
          <w:color w:val="231F20"/>
        </w:rPr>
        <w:t>tués</w:t>
      </w:r>
      <w:r>
        <w:rPr>
          <w:color w:val="231F20"/>
          <w:spacing w:val="-2"/>
        </w:rPr>
        <w:t> </w:t>
      </w:r>
      <w:r>
        <w:rPr>
          <w:color w:val="231F20"/>
        </w:rPr>
        <w:t>au</w:t>
      </w:r>
      <w:r>
        <w:rPr>
          <w:color w:val="231F20"/>
          <w:spacing w:val="-2"/>
        </w:rPr>
        <w:t> </w:t>
      </w:r>
      <w:r>
        <w:rPr>
          <w:color w:val="231F20"/>
        </w:rPr>
        <w:t>combat.</w:t>
      </w:r>
    </w:p>
    <w:p>
      <w:pPr>
        <w:pStyle w:val="BodyText"/>
        <w:spacing w:before="120"/>
        <w:ind w:right="104" w:firstLine="283"/>
      </w:pPr>
      <w:r>
        <w:rPr>
          <w:color w:val="231F20"/>
        </w:rPr>
        <w:t>A la fin de la deuxième guerre mondiale, le Général de Gaulle</w:t>
      </w:r>
      <w:r>
        <w:rPr>
          <w:color w:val="76787A"/>
          <w:vertAlign w:val="superscript"/>
        </w:rPr>
        <w:t>34</w:t>
      </w:r>
      <w:r>
        <w:rPr>
          <w:color w:val="76787A"/>
          <w:vertAlign w:val="baseline"/>
        </w:rPr>
        <w:t> </w:t>
      </w:r>
      <w:r>
        <w:rPr>
          <w:color w:val="231F20"/>
          <w:vertAlign w:val="baseline"/>
        </w:rPr>
        <w:t>organise du 30 janvier au 8 février 1944 à Brazzaville, la capitale de </w:t>
      </w:r>
      <w:r>
        <w:rPr>
          <w:color w:val="231F20"/>
          <w:spacing w:val="-4"/>
          <w:vertAlign w:val="baseline"/>
        </w:rPr>
        <w:t>l’AEF,</w:t>
      </w:r>
      <w:r>
        <w:rPr>
          <w:color w:val="231F20"/>
          <w:spacing w:val="-11"/>
          <w:vertAlign w:val="baseline"/>
        </w:rPr>
        <w:t> </w:t>
      </w:r>
      <w:r>
        <w:rPr>
          <w:color w:val="231F20"/>
          <w:spacing w:val="-4"/>
          <w:vertAlign w:val="baseline"/>
        </w:rPr>
        <w:t>une</w:t>
      </w:r>
      <w:r>
        <w:rPr>
          <w:color w:val="231F20"/>
          <w:spacing w:val="-11"/>
          <w:vertAlign w:val="baseline"/>
        </w:rPr>
        <w:t> </w:t>
      </w:r>
      <w:r>
        <w:rPr>
          <w:color w:val="231F20"/>
          <w:spacing w:val="-4"/>
          <w:vertAlign w:val="baseline"/>
        </w:rPr>
        <w:t>Conférence</w:t>
      </w:r>
      <w:r>
        <w:rPr>
          <w:color w:val="231F20"/>
          <w:spacing w:val="-11"/>
          <w:vertAlign w:val="baseline"/>
        </w:rPr>
        <w:t> </w:t>
      </w:r>
      <w:r>
        <w:rPr>
          <w:color w:val="231F20"/>
          <w:spacing w:val="-4"/>
          <w:vertAlign w:val="baseline"/>
        </w:rPr>
        <w:t>dite</w:t>
      </w:r>
      <w:r>
        <w:rPr>
          <w:color w:val="231F20"/>
          <w:spacing w:val="-8"/>
          <w:vertAlign w:val="baseline"/>
        </w:rPr>
        <w:t> </w:t>
      </w:r>
      <w:r>
        <w:rPr>
          <w:color w:val="231F20"/>
          <w:spacing w:val="-4"/>
          <w:vertAlign w:val="baseline"/>
        </w:rPr>
        <w:t>"</w:t>
      </w:r>
      <w:r>
        <w:rPr>
          <w:color w:val="231F20"/>
          <w:spacing w:val="-11"/>
          <w:vertAlign w:val="baseline"/>
        </w:rPr>
        <w:t> </w:t>
      </w:r>
      <w:r>
        <w:rPr>
          <w:color w:val="231F20"/>
          <w:spacing w:val="-4"/>
          <w:vertAlign w:val="baseline"/>
        </w:rPr>
        <w:t>Conférence</w:t>
      </w:r>
      <w:r>
        <w:rPr>
          <w:color w:val="231F20"/>
          <w:spacing w:val="-8"/>
          <w:vertAlign w:val="baseline"/>
        </w:rPr>
        <w:t> </w:t>
      </w:r>
      <w:r>
        <w:rPr>
          <w:color w:val="231F20"/>
          <w:spacing w:val="-4"/>
          <w:vertAlign w:val="baseline"/>
        </w:rPr>
        <w:t>Africaine</w:t>
      </w:r>
      <w:r>
        <w:rPr>
          <w:color w:val="231F20"/>
          <w:spacing w:val="-11"/>
          <w:vertAlign w:val="baseline"/>
        </w:rPr>
        <w:t> </w:t>
      </w:r>
      <w:r>
        <w:rPr>
          <w:color w:val="231F20"/>
          <w:spacing w:val="-4"/>
          <w:vertAlign w:val="baseline"/>
        </w:rPr>
        <w:t>Française</w:t>
      </w:r>
      <w:r>
        <w:rPr>
          <w:color w:val="231F20"/>
          <w:spacing w:val="3"/>
          <w:vertAlign w:val="baseline"/>
        </w:rPr>
        <w:t> </w:t>
      </w:r>
      <w:r>
        <w:rPr>
          <w:color w:val="231F20"/>
          <w:spacing w:val="-4"/>
          <w:vertAlign w:val="baseline"/>
        </w:rPr>
        <w:t>".</w:t>
      </w:r>
      <w:r>
        <w:rPr>
          <w:color w:val="231F20"/>
          <w:spacing w:val="-11"/>
          <w:vertAlign w:val="baseline"/>
        </w:rPr>
        <w:t> </w:t>
      </w:r>
      <w:r>
        <w:rPr>
          <w:color w:val="231F20"/>
          <w:spacing w:val="-4"/>
          <w:vertAlign w:val="baseline"/>
        </w:rPr>
        <w:t>A</w:t>
      </w:r>
      <w:r>
        <w:rPr>
          <w:color w:val="231F20"/>
          <w:spacing w:val="-11"/>
          <w:vertAlign w:val="baseline"/>
        </w:rPr>
        <w:t> </w:t>
      </w:r>
      <w:r>
        <w:rPr>
          <w:color w:val="231F20"/>
          <w:spacing w:val="-4"/>
          <w:vertAlign w:val="baseline"/>
        </w:rPr>
        <w:t>l’instar </w:t>
      </w:r>
      <w:r>
        <w:rPr>
          <w:color w:val="231F20"/>
          <w:vertAlign w:val="baseline"/>
        </w:rPr>
        <w:t>de</w:t>
      </w:r>
      <w:r>
        <w:rPr>
          <w:color w:val="231F20"/>
          <w:spacing w:val="-9"/>
          <w:vertAlign w:val="baseline"/>
        </w:rPr>
        <w:t> </w:t>
      </w:r>
      <w:r>
        <w:rPr>
          <w:color w:val="231F20"/>
          <w:vertAlign w:val="baseline"/>
        </w:rPr>
        <w:t>la</w:t>
      </w:r>
      <w:r>
        <w:rPr>
          <w:color w:val="231F20"/>
          <w:spacing w:val="-9"/>
          <w:vertAlign w:val="baseline"/>
        </w:rPr>
        <w:t> </w:t>
      </w:r>
      <w:r>
        <w:rPr>
          <w:color w:val="231F20"/>
          <w:vertAlign w:val="baseline"/>
        </w:rPr>
        <w:t>Conférence</w:t>
      </w:r>
      <w:r>
        <w:rPr>
          <w:color w:val="231F20"/>
          <w:spacing w:val="-9"/>
          <w:vertAlign w:val="baseline"/>
        </w:rPr>
        <w:t> </w:t>
      </w:r>
      <w:r>
        <w:rPr>
          <w:color w:val="231F20"/>
          <w:vertAlign w:val="baseline"/>
        </w:rPr>
        <w:t>de</w:t>
      </w:r>
      <w:r>
        <w:rPr>
          <w:color w:val="231F20"/>
          <w:spacing w:val="-9"/>
          <w:vertAlign w:val="baseline"/>
        </w:rPr>
        <w:t> </w:t>
      </w:r>
      <w:r>
        <w:rPr>
          <w:color w:val="231F20"/>
          <w:vertAlign w:val="baseline"/>
        </w:rPr>
        <w:t>Berlin</w:t>
      </w:r>
      <w:r>
        <w:rPr>
          <w:color w:val="231F20"/>
          <w:spacing w:val="-9"/>
          <w:vertAlign w:val="baseline"/>
        </w:rPr>
        <w:t> </w:t>
      </w:r>
      <w:r>
        <w:rPr>
          <w:color w:val="231F20"/>
          <w:vertAlign w:val="baseline"/>
        </w:rPr>
        <w:t>où</w:t>
      </w:r>
      <w:r>
        <w:rPr>
          <w:color w:val="231F20"/>
          <w:spacing w:val="-9"/>
          <w:vertAlign w:val="baseline"/>
        </w:rPr>
        <w:t> </w:t>
      </w:r>
      <w:r>
        <w:rPr>
          <w:color w:val="231F20"/>
          <w:vertAlign w:val="baseline"/>
        </w:rPr>
        <w:t>le</w:t>
      </w:r>
      <w:r>
        <w:rPr>
          <w:color w:val="231F20"/>
          <w:spacing w:val="-9"/>
          <w:vertAlign w:val="baseline"/>
        </w:rPr>
        <w:t> </w:t>
      </w:r>
      <w:r>
        <w:rPr>
          <w:color w:val="231F20"/>
          <w:vertAlign w:val="baseline"/>
        </w:rPr>
        <w:t>partage</w:t>
      </w:r>
      <w:r>
        <w:rPr>
          <w:color w:val="231F20"/>
          <w:spacing w:val="-9"/>
          <w:vertAlign w:val="baseline"/>
        </w:rPr>
        <w:t> </w:t>
      </w:r>
      <w:r>
        <w:rPr>
          <w:color w:val="231F20"/>
          <w:vertAlign w:val="baseline"/>
        </w:rPr>
        <w:t>de</w:t>
      </w:r>
      <w:r>
        <w:rPr>
          <w:color w:val="231F20"/>
          <w:spacing w:val="-9"/>
          <w:vertAlign w:val="baseline"/>
        </w:rPr>
        <w:t> </w:t>
      </w:r>
      <w:r>
        <w:rPr>
          <w:color w:val="231F20"/>
          <w:vertAlign w:val="baseline"/>
        </w:rPr>
        <w:t>l’Afrique</w:t>
      </w:r>
      <w:r>
        <w:rPr>
          <w:color w:val="231F20"/>
          <w:spacing w:val="-9"/>
          <w:vertAlign w:val="baseline"/>
        </w:rPr>
        <w:t> </w:t>
      </w:r>
      <w:r>
        <w:rPr>
          <w:color w:val="231F20"/>
          <w:vertAlign w:val="baseline"/>
        </w:rPr>
        <w:t>s’est</w:t>
      </w:r>
      <w:r>
        <w:rPr>
          <w:color w:val="231F20"/>
          <w:spacing w:val="-9"/>
          <w:vertAlign w:val="baseline"/>
        </w:rPr>
        <w:t> </w:t>
      </w:r>
      <w:r>
        <w:rPr>
          <w:color w:val="231F20"/>
          <w:vertAlign w:val="baseline"/>
        </w:rPr>
        <w:t>tenu</w:t>
      </w:r>
      <w:r>
        <w:rPr>
          <w:color w:val="231F20"/>
          <w:spacing w:val="-9"/>
          <w:vertAlign w:val="baseline"/>
        </w:rPr>
        <w:t> </w:t>
      </w:r>
      <w:r>
        <w:rPr>
          <w:color w:val="231F20"/>
          <w:vertAlign w:val="baseline"/>
        </w:rPr>
        <w:t>sans</w:t>
      </w:r>
      <w:r>
        <w:rPr>
          <w:color w:val="231F20"/>
          <w:spacing w:val="-10"/>
          <w:vertAlign w:val="baseline"/>
        </w:rPr>
        <w:t> </w:t>
      </w:r>
      <w:r>
        <w:rPr>
          <w:color w:val="231F20"/>
          <w:vertAlign w:val="baseline"/>
        </w:rPr>
        <w:t>les Africains, la Conférence de Brazzaville a lieu sans les colonisés. Elle réunit les Gouverneurs et les grands Administrateurs de l’Afrique </w:t>
      </w:r>
      <w:r>
        <w:rPr>
          <w:color w:val="231F20"/>
          <w:spacing w:val="-4"/>
          <w:vertAlign w:val="baseline"/>
        </w:rPr>
        <w:t>française.</w:t>
      </w:r>
      <w:r>
        <w:rPr>
          <w:color w:val="231F20"/>
          <w:spacing w:val="-11"/>
          <w:vertAlign w:val="baseline"/>
        </w:rPr>
        <w:t> </w:t>
      </w:r>
      <w:r>
        <w:rPr>
          <w:color w:val="231F20"/>
          <w:spacing w:val="-4"/>
          <w:vertAlign w:val="baseline"/>
        </w:rPr>
        <w:t>Le</w:t>
      </w:r>
      <w:r>
        <w:rPr>
          <w:color w:val="231F20"/>
          <w:spacing w:val="-11"/>
          <w:vertAlign w:val="baseline"/>
        </w:rPr>
        <w:t> </w:t>
      </w:r>
      <w:r>
        <w:rPr>
          <w:color w:val="231F20"/>
          <w:spacing w:val="-4"/>
          <w:vertAlign w:val="baseline"/>
        </w:rPr>
        <w:t>seul</w:t>
      </w:r>
      <w:r>
        <w:rPr>
          <w:color w:val="231F20"/>
          <w:spacing w:val="-11"/>
          <w:vertAlign w:val="baseline"/>
        </w:rPr>
        <w:t> </w:t>
      </w:r>
      <w:r>
        <w:rPr>
          <w:color w:val="231F20"/>
          <w:spacing w:val="-4"/>
          <w:vertAlign w:val="baseline"/>
        </w:rPr>
        <w:t>Noir</w:t>
      </w:r>
      <w:r>
        <w:rPr>
          <w:color w:val="231F20"/>
          <w:spacing w:val="-11"/>
          <w:vertAlign w:val="baseline"/>
        </w:rPr>
        <w:t> </w:t>
      </w:r>
      <w:r>
        <w:rPr>
          <w:color w:val="231F20"/>
          <w:spacing w:val="-4"/>
          <w:vertAlign w:val="baseline"/>
        </w:rPr>
        <w:t>dans</w:t>
      </w:r>
      <w:r>
        <w:rPr>
          <w:color w:val="231F20"/>
          <w:spacing w:val="-11"/>
          <w:vertAlign w:val="baseline"/>
        </w:rPr>
        <w:t> </w:t>
      </w:r>
      <w:r>
        <w:rPr>
          <w:color w:val="231F20"/>
          <w:spacing w:val="-4"/>
          <w:vertAlign w:val="baseline"/>
        </w:rPr>
        <w:t>la</w:t>
      </w:r>
      <w:r>
        <w:rPr>
          <w:color w:val="231F20"/>
          <w:spacing w:val="-11"/>
          <w:vertAlign w:val="baseline"/>
        </w:rPr>
        <w:t> </w:t>
      </w:r>
      <w:r>
        <w:rPr>
          <w:color w:val="231F20"/>
          <w:spacing w:val="-4"/>
          <w:vertAlign w:val="baseline"/>
        </w:rPr>
        <w:t>salle</w:t>
      </w:r>
      <w:r>
        <w:rPr>
          <w:color w:val="231F20"/>
          <w:spacing w:val="-11"/>
          <w:vertAlign w:val="baseline"/>
        </w:rPr>
        <w:t> </w:t>
      </w:r>
      <w:r>
        <w:rPr>
          <w:color w:val="231F20"/>
          <w:spacing w:val="-4"/>
          <w:vertAlign w:val="baseline"/>
        </w:rPr>
        <w:t>est</w:t>
      </w:r>
      <w:r>
        <w:rPr>
          <w:color w:val="231F20"/>
          <w:spacing w:val="-11"/>
          <w:vertAlign w:val="baseline"/>
        </w:rPr>
        <w:t> </w:t>
      </w:r>
      <w:r>
        <w:rPr>
          <w:color w:val="231F20"/>
          <w:spacing w:val="-4"/>
          <w:vertAlign w:val="baseline"/>
        </w:rPr>
        <w:t>Félix</w:t>
      </w:r>
      <w:r>
        <w:rPr>
          <w:color w:val="231F20"/>
          <w:spacing w:val="-11"/>
          <w:vertAlign w:val="baseline"/>
        </w:rPr>
        <w:t> </w:t>
      </w:r>
      <w:r>
        <w:rPr>
          <w:color w:val="231F20"/>
          <w:spacing w:val="-4"/>
          <w:vertAlign w:val="baseline"/>
        </w:rPr>
        <w:t>Eboué,</w:t>
      </w:r>
      <w:r>
        <w:rPr>
          <w:color w:val="231F20"/>
          <w:spacing w:val="-11"/>
          <w:vertAlign w:val="baseline"/>
        </w:rPr>
        <w:t> </w:t>
      </w:r>
      <w:r>
        <w:rPr>
          <w:color w:val="231F20"/>
          <w:spacing w:val="-4"/>
          <w:vertAlign w:val="baseline"/>
        </w:rPr>
        <w:t>originaire</w:t>
      </w:r>
      <w:r>
        <w:rPr>
          <w:color w:val="231F20"/>
          <w:spacing w:val="-11"/>
          <w:vertAlign w:val="baseline"/>
        </w:rPr>
        <w:t> </w:t>
      </w:r>
      <w:r>
        <w:rPr>
          <w:color w:val="231F20"/>
          <w:spacing w:val="-4"/>
          <w:vertAlign w:val="baseline"/>
        </w:rPr>
        <w:t>de</w:t>
      </w:r>
      <w:r>
        <w:rPr>
          <w:color w:val="231F20"/>
          <w:spacing w:val="-11"/>
          <w:vertAlign w:val="baseline"/>
        </w:rPr>
        <w:t> </w:t>
      </w:r>
      <w:r>
        <w:rPr>
          <w:color w:val="231F20"/>
          <w:spacing w:val="-4"/>
          <w:vertAlign w:val="baseline"/>
        </w:rPr>
        <w:t>Guyane, </w:t>
      </w:r>
      <w:r>
        <w:rPr>
          <w:color w:val="231F20"/>
          <w:vertAlign w:val="baseline"/>
        </w:rPr>
        <w:t>Gouverneur général de l’AEF, premier Noir à occuper un poste aussi élevé dans</w:t>
      </w:r>
      <w:r>
        <w:rPr>
          <w:color w:val="231F20"/>
          <w:spacing w:val="-1"/>
          <w:vertAlign w:val="baseline"/>
        </w:rPr>
        <w:t> </w:t>
      </w:r>
      <w:r>
        <w:rPr>
          <w:color w:val="231F20"/>
          <w:vertAlign w:val="baseline"/>
        </w:rPr>
        <w:t>l’Administration coloniale française.</w:t>
      </w:r>
    </w:p>
    <w:p>
      <w:pPr>
        <w:pStyle w:val="BodyText"/>
        <w:spacing w:before="121"/>
        <w:ind w:right="111" w:firstLine="283"/>
      </w:pPr>
      <w:r>
        <w:rPr>
          <w:color w:val="231F20"/>
        </w:rPr>
        <w:t>Les</w:t>
      </w:r>
      <w:r>
        <w:rPr>
          <w:color w:val="231F20"/>
          <w:spacing w:val="-7"/>
        </w:rPr>
        <w:t> </w:t>
      </w:r>
      <w:r>
        <w:rPr>
          <w:color w:val="231F20"/>
        </w:rPr>
        <w:t>«</w:t>
      </w:r>
      <w:r>
        <w:rPr>
          <w:color w:val="231F20"/>
          <w:spacing w:val="-7"/>
        </w:rPr>
        <w:t> </w:t>
      </w:r>
      <w:r>
        <w:rPr>
          <w:color w:val="231F20"/>
        </w:rPr>
        <w:t>évolués</w:t>
      </w:r>
      <w:r>
        <w:rPr>
          <w:color w:val="231F20"/>
          <w:spacing w:val="-9"/>
        </w:rPr>
        <w:t> </w:t>
      </w:r>
      <w:r>
        <w:rPr>
          <w:color w:val="231F20"/>
        </w:rPr>
        <w:t>»</w:t>
      </w:r>
      <w:r>
        <w:rPr>
          <w:color w:val="231F20"/>
          <w:spacing w:val="-7"/>
        </w:rPr>
        <w:t> </w:t>
      </w:r>
      <w:r>
        <w:rPr>
          <w:color w:val="231F20"/>
        </w:rPr>
        <w:t>peuvent</w:t>
      </w:r>
      <w:r>
        <w:rPr>
          <w:color w:val="231F20"/>
          <w:spacing w:val="-9"/>
        </w:rPr>
        <w:t> </w:t>
      </w:r>
      <w:r>
        <w:rPr>
          <w:color w:val="231F20"/>
        </w:rPr>
        <w:t>transmettre</w:t>
      </w:r>
      <w:r>
        <w:rPr>
          <w:color w:val="231F20"/>
          <w:spacing w:val="-7"/>
        </w:rPr>
        <w:t> </w:t>
      </w:r>
      <w:r>
        <w:rPr>
          <w:color w:val="231F20"/>
        </w:rPr>
        <w:t>leurs</w:t>
      </w:r>
      <w:r>
        <w:rPr>
          <w:color w:val="231F20"/>
          <w:spacing w:val="-7"/>
        </w:rPr>
        <w:t> </w:t>
      </w:r>
      <w:r>
        <w:rPr>
          <w:color w:val="231F20"/>
        </w:rPr>
        <w:t>revendications</w:t>
      </w:r>
      <w:r>
        <w:rPr>
          <w:color w:val="231F20"/>
          <w:spacing w:val="-7"/>
        </w:rPr>
        <w:t> </w:t>
      </w:r>
      <w:r>
        <w:rPr>
          <w:color w:val="231F20"/>
        </w:rPr>
        <w:t>par</w:t>
      </w:r>
      <w:r>
        <w:rPr>
          <w:color w:val="231F20"/>
          <w:spacing w:val="-9"/>
        </w:rPr>
        <w:t> </w:t>
      </w:r>
      <w:r>
        <w:rPr>
          <w:color w:val="231F20"/>
        </w:rPr>
        <w:t>le</w:t>
      </w:r>
      <w:r>
        <w:rPr>
          <w:color w:val="231F20"/>
          <w:spacing w:val="-9"/>
        </w:rPr>
        <w:t> </w:t>
      </w:r>
      <w:r>
        <w:rPr>
          <w:color w:val="231F20"/>
        </w:rPr>
        <w:t>biais du Gouverneur Eboué.</w:t>
      </w:r>
    </w:p>
    <w:p>
      <w:pPr>
        <w:pStyle w:val="BodyText"/>
        <w:spacing w:before="120"/>
        <w:ind w:right="106" w:firstLine="283"/>
      </w:pPr>
      <w:r>
        <w:rPr>
          <w:color w:val="231F20"/>
          <w:spacing w:val="-2"/>
        </w:rPr>
        <w:t>Le</w:t>
      </w:r>
      <w:r>
        <w:rPr>
          <w:color w:val="231F20"/>
          <w:spacing w:val="-10"/>
        </w:rPr>
        <w:t> </w:t>
      </w:r>
      <w:r>
        <w:rPr>
          <w:color w:val="231F20"/>
          <w:spacing w:val="-2"/>
        </w:rPr>
        <w:t>général</w:t>
      </w:r>
      <w:r>
        <w:rPr>
          <w:color w:val="231F20"/>
          <w:spacing w:val="-8"/>
        </w:rPr>
        <w:t> </w:t>
      </w:r>
      <w:r>
        <w:rPr>
          <w:color w:val="231F20"/>
          <w:spacing w:val="-2"/>
        </w:rPr>
        <w:t>de</w:t>
      </w:r>
      <w:r>
        <w:rPr>
          <w:color w:val="231F20"/>
          <w:spacing w:val="-12"/>
        </w:rPr>
        <w:t> </w:t>
      </w:r>
      <w:r>
        <w:rPr>
          <w:color w:val="231F20"/>
          <w:spacing w:val="-2"/>
        </w:rPr>
        <w:t>Gaulle</w:t>
      </w:r>
      <w:r>
        <w:rPr>
          <w:color w:val="231F20"/>
          <w:spacing w:val="-10"/>
        </w:rPr>
        <w:t> </w:t>
      </w:r>
      <w:r>
        <w:rPr>
          <w:color w:val="231F20"/>
          <w:spacing w:val="-2"/>
        </w:rPr>
        <w:t>prévoit</w:t>
      </w:r>
      <w:r>
        <w:rPr>
          <w:color w:val="231F20"/>
          <w:spacing w:val="-11"/>
        </w:rPr>
        <w:t> </w:t>
      </w:r>
      <w:r>
        <w:rPr>
          <w:color w:val="231F20"/>
          <w:spacing w:val="-2"/>
        </w:rPr>
        <w:t>de</w:t>
      </w:r>
      <w:r>
        <w:rPr>
          <w:color w:val="231F20"/>
          <w:spacing w:val="-10"/>
        </w:rPr>
        <w:t> </w:t>
      </w:r>
      <w:r>
        <w:rPr>
          <w:color w:val="231F20"/>
          <w:spacing w:val="-2"/>
        </w:rPr>
        <w:t>conférer</w:t>
      </w:r>
      <w:r>
        <w:rPr>
          <w:color w:val="231F20"/>
          <w:spacing w:val="-10"/>
        </w:rPr>
        <w:t> </w:t>
      </w:r>
      <w:r>
        <w:rPr>
          <w:color w:val="231F20"/>
          <w:spacing w:val="-2"/>
        </w:rPr>
        <w:t>aux</w:t>
      </w:r>
      <w:r>
        <w:rPr>
          <w:color w:val="231F20"/>
          <w:spacing w:val="-9"/>
        </w:rPr>
        <w:t> </w:t>
      </w:r>
      <w:r>
        <w:rPr>
          <w:color w:val="231F20"/>
          <w:spacing w:val="-2"/>
        </w:rPr>
        <w:t>colonies,</w:t>
      </w:r>
      <w:r>
        <w:rPr>
          <w:color w:val="231F20"/>
          <w:spacing w:val="-9"/>
        </w:rPr>
        <w:t> </w:t>
      </w:r>
      <w:r>
        <w:rPr>
          <w:color w:val="231F20"/>
          <w:spacing w:val="-2"/>
        </w:rPr>
        <w:t>uniquement,</w:t>
      </w:r>
      <w:r>
        <w:rPr>
          <w:color w:val="231F20"/>
          <w:spacing w:val="-11"/>
        </w:rPr>
        <w:t> </w:t>
      </w:r>
      <w:r>
        <w:rPr>
          <w:color w:val="231F20"/>
          <w:spacing w:val="-2"/>
        </w:rPr>
        <w:t>le </w:t>
      </w:r>
      <w:r>
        <w:rPr>
          <w:color w:val="231F20"/>
          <w:spacing w:val="-4"/>
        </w:rPr>
        <w:t>droit</w:t>
      </w:r>
      <w:r>
        <w:rPr>
          <w:color w:val="231F20"/>
          <w:spacing w:val="-11"/>
        </w:rPr>
        <w:t> </w:t>
      </w:r>
      <w:r>
        <w:rPr>
          <w:color w:val="231F20"/>
          <w:spacing w:val="-4"/>
        </w:rPr>
        <w:t>d’élire</w:t>
      </w:r>
      <w:r>
        <w:rPr>
          <w:color w:val="231F20"/>
          <w:spacing w:val="-11"/>
        </w:rPr>
        <w:t> </w:t>
      </w:r>
      <w:r>
        <w:rPr>
          <w:color w:val="231F20"/>
          <w:spacing w:val="-4"/>
        </w:rPr>
        <w:t>des</w:t>
      </w:r>
      <w:r>
        <w:rPr>
          <w:color w:val="231F20"/>
          <w:spacing w:val="-11"/>
        </w:rPr>
        <w:t> </w:t>
      </w:r>
      <w:r>
        <w:rPr>
          <w:color w:val="231F20"/>
          <w:spacing w:val="-4"/>
        </w:rPr>
        <w:t>représentants</w:t>
      </w:r>
      <w:r>
        <w:rPr>
          <w:color w:val="231F20"/>
          <w:spacing w:val="-11"/>
        </w:rPr>
        <w:t> </w:t>
      </w:r>
      <w:r>
        <w:rPr>
          <w:color w:val="231F20"/>
          <w:spacing w:val="-4"/>
        </w:rPr>
        <w:t>dans</w:t>
      </w:r>
      <w:r>
        <w:rPr>
          <w:color w:val="231F20"/>
          <w:spacing w:val="-11"/>
        </w:rPr>
        <w:t> </w:t>
      </w:r>
      <w:r>
        <w:rPr>
          <w:color w:val="231F20"/>
          <w:spacing w:val="-4"/>
        </w:rPr>
        <w:t>les</w:t>
      </w:r>
      <w:r>
        <w:rPr>
          <w:color w:val="231F20"/>
          <w:spacing w:val="-11"/>
        </w:rPr>
        <w:t> </w:t>
      </w:r>
      <w:r>
        <w:rPr>
          <w:color w:val="231F20"/>
          <w:spacing w:val="-4"/>
        </w:rPr>
        <w:t>Assemblées</w:t>
      </w:r>
      <w:r>
        <w:rPr>
          <w:color w:val="231F20"/>
          <w:spacing w:val="-11"/>
        </w:rPr>
        <w:t> </w:t>
      </w:r>
      <w:r>
        <w:rPr>
          <w:color w:val="231F20"/>
          <w:spacing w:val="-4"/>
        </w:rPr>
        <w:t>nationales</w:t>
      </w:r>
      <w:r>
        <w:rPr>
          <w:color w:val="231F20"/>
          <w:spacing w:val="-11"/>
        </w:rPr>
        <w:t> </w:t>
      </w:r>
      <w:r>
        <w:rPr>
          <w:color w:val="231F20"/>
          <w:spacing w:val="-4"/>
        </w:rPr>
        <w:t>mais</w:t>
      </w:r>
      <w:r>
        <w:rPr>
          <w:color w:val="231F20"/>
          <w:spacing w:val="-11"/>
        </w:rPr>
        <w:t> </w:t>
      </w:r>
      <w:r>
        <w:rPr>
          <w:color w:val="231F20"/>
          <w:spacing w:val="-4"/>
        </w:rPr>
        <w:t>il</w:t>
      </w:r>
      <w:r>
        <w:rPr>
          <w:color w:val="231F20"/>
          <w:spacing w:val="-9"/>
        </w:rPr>
        <w:t> </w:t>
      </w:r>
      <w:r>
        <w:rPr>
          <w:color w:val="231F20"/>
          <w:spacing w:val="-4"/>
        </w:rPr>
        <w:t>n’est </w:t>
      </w:r>
      <w:r>
        <w:rPr>
          <w:color w:val="231F20"/>
        </w:rPr>
        <w:t>point question d’indépendance.</w:t>
      </w:r>
    </w:p>
    <w:p>
      <w:pPr>
        <w:pStyle w:val="BodyText"/>
        <w:spacing w:before="120"/>
        <w:ind w:right="104" w:firstLine="283"/>
      </w:pPr>
      <w:r>
        <w:rPr>
          <w:color w:val="231F20"/>
          <w:spacing w:val="-2"/>
        </w:rPr>
        <w:t>A</w:t>
      </w:r>
      <w:r>
        <w:rPr>
          <w:color w:val="231F20"/>
          <w:spacing w:val="-13"/>
        </w:rPr>
        <w:t> </w:t>
      </w:r>
      <w:r>
        <w:rPr>
          <w:color w:val="231F20"/>
          <w:spacing w:val="-2"/>
        </w:rPr>
        <w:t>partir</w:t>
      </w:r>
      <w:r>
        <w:rPr>
          <w:color w:val="231F20"/>
          <w:spacing w:val="-13"/>
        </w:rPr>
        <w:t> </w:t>
      </w:r>
      <w:r>
        <w:rPr>
          <w:color w:val="231F20"/>
          <w:spacing w:val="-2"/>
        </w:rPr>
        <w:t>de</w:t>
      </w:r>
      <w:r>
        <w:rPr>
          <w:color w:val="231F20"/>
          <w:spacing w:val="-11"/>
        </w:rPr>
        <w:t> </w:t>
      </w:r>
      <w:r>
        <w:rPr>
          <w:color w:val="231F20"/>
          <w:spacing w:val="-2"/>
        </w:rPr>
        <w:t>1945,</w:t>
      </w:r>
      <w:r>
        <w:rPr>
          <w:color w:val="231F20"/>
          <w:spacing w:val="-13"/>
        </w:rPr>
        <w:t> </w:t>
      </w:r>
      <w:r>
        <w:rPr>
          <w:color w:val="231F20"/>
          <w:spacing w:val="-2"/>
        </w:rPr>
        <w:t>certains</w:t>
      </w:r>
      <w:r>
        <w:rPr>
          <w:color w:val="231F20"/>
          <w:spacing w:val="-13"/>
        </w:rPr>
        <w:t> </w:t>
      </w:r>
      <w:r>
        <w:rPr>
          <w:color w:val="231F20"/>
          <w:spacing w:val="-2"/>
        </w:rPr>
        <w:t>des</w:t>
      </w:r>
      <w:r>
        <w:rPr>
          <w:color w:val="231F20"/>
          <w:spacing w:val="-11"/>
        </w:rPr>
        <w:t> </w:t>
      </w:r>
      <w:r>
        <w:rPr>
          <w:color w:val="231F20"/>
          <w:spacing w:val="-2"/>
        </w:rPr>
        <w:t>évolués,</w:t>
      </w:r>
      <w:r>
        <w:rPr>
          <w:color w:val="231F20"/>
          <w:spacing w:val="-13"/>
        </w:rPr>
        <w:t> </w:t>
      </w:r>
      <w:r>
        <w:rPr>
          <w:color w:val="231F20"/>
          <w:spacing w:val="-2"/>
        </w:rPr>
        <w:t>«</w:t>
      </w:r>
      <w:r>
        <w:rPr>
          <w:color w:val="231F20"/>
          <w:spacing w:val="-10"/>
        </w:rPr>
        <w:t> </w:t>
      </w:r>
      <w:r>
        <w:rPr>
          <w:color w:val="231F20"/>
          <w:spacing w:val="-2"/>
        </w:rPr>
        <w:t>députés</w:t>
      </w:r>
      <w:r>
        <w:rPr>
          <w:color w:val="231F20"/>
          <w:spacing w:val="-13"/>
        </w:rPr>
        <w:t> </w:t>
      </w:r>
      <w:r>
        <w:rPr>
          <w:color w:val="231F20"/>
          <w:spacing w:val="-2"/>
        </w:rPr>
        <w:t>nègres</w:t>
      </w:r>
      <w:r>
        <w:rPr>
          <w:color w:val="231F20"/>
          <w:spacing w:val="-11"/>
        </w:rPr>
        <w:t> </w:t>
      </w:r>
      <w:r>
        <w:rPr>
          <w:color w:val="231F20"/>
          <w:spacing w:val="-2"/>
        </w:rPr>
        <w:t>»,</w:t>
      </w:r>
      <w:r>
        <w:rPr>
          <w:color w:val="231F20"/>
          <w:spacing w:val="-13"/>
        </w:rPr>
        <w:t> </w:t>
      </w:r>
      <w:r>
        <w:rPr>
          <w:color w:val="231F20"/>
          <w:spacing w:val="-2"/>
        </w:rPr>
        <w:t>légiférèrent </w:t>
      </w:r>
      <w:r>
        <w:rPr>
          <w:color w:val="231F20"/>
        </w:rPr>
        <w:t>à</w:t>
      </w:r>
      <w:r>
        <w:rPr>
          <w:color w:val="231F20"/>
          <w:spacing w:val="-12"/>
        </w:rPr>
        <w:t> </w:t>
      </w:r>
      <w:r>
        <w:rPr>
          <w:color w:val="231F20"/>
        </w:rPr>
        <w:t>Paris.</w:t>
      </w:r>
      <w:r>
        <w:rPr>
          <w:color w:val="231F20"/>
          <w:spacing w:val="-12"/>
        </w:rPr>
        <w:t> </w:t>
      </w:r>
      <w:r>
        <w:rPr>
          <w:color w:val="231F20"/>
        </w:rPr>
        <w:t>D’autres</w:t>
      </w:r>
      <w:r>
        <w:rPr>
          <w:color w:val="231F20"/>
          <w:spacing w:val="-12"/>
        </w:rPr>
        <w:t> </w:t>
      </w:r>
      <w:r>
        <w:rPr>
          <w:color w:val="231F20"/>
        </w:rPr>
        <w:t>siègent</w:t>
      </w:r>
      <w:r>
        <w:rPr>
          <w:color w:val="231F20"/>
          <w:spacing w:val="-12"/>
        </w:rPr>
        <w:t> </w:t>
      </w:r>
      <w:r>
        <w:rPr>
          <w:color w:val="231F20"/>
        </w:rPr>
        <w:t>au</w:t>
      </w:r>
      <w:r>
        <w:rPr>
          <w:color w:val="231F20"/>
          <w:spacing w:val="-12"/>
        </w:rPr>
        <w:t> </w:t>
      </w:r>
      <w:r>
        <w:rPr>
          <w:color w:val="231F20"/>
        </w:rPr>
        <w:t>Sénat,</w:t>
      </w:r>
      <w:r>
        <w:rPr>
          <w:color w:val="231F20"/>
          <w:spacing w:val="-12"/>
        </w:rPr>
        <w:t> </w:t>
      </w:r>
      <w:r>
        <w:rPr>
          <w:color w:val="231F20"/>
        </w:rPr>
        <w:t>au</w:t>
      </w:r>
      <w:r>
        <w:rPr>
          <w:color w:val="231F20"/>
          <w:spacing w:val="-14"/>
        </w:rPr>
        <w:t> </w:t>
      </w:r>
      <w:r>
        <w:rPr>
          <w:color w:val="231F20"/>
        </w:rPr>
        <w:t>Conseil</w:t>
      </w:r>
      <w:r>
        <w:rPr>
          <w:color w:val="231F20"/>
          <w:spacing w:val="-12"/>
        </w:rPr>
        <w:t> </w:t>
      </w:r>
      <w:r>
        <w:rPr>
          <w:color w:val="231F20"/>
        </w:rPr>
        <w:t>Économique</w:t>
      </w:r>
      <w:r>
        <w:rPr>
          <w:color w:val="231F20"/>
          <w:spacing w:val="-12"/>
        </w:rPr>
        <w:t> </w:t>
      </w:r>
      <w:r>
        <w:rPr>
          <w:color w:val="231F20"/>
        </w:rPr>
        <w:t>et</w:t>
      </w:r>
      <w:r>
        <w:rPr>
          <w:color w:val="231F20"/>
          <w:spacing w:val="-12"/>
        </w:rPr>
        <w:t> </w:t>
      </w:r>
      <w:r>
        <w:rPr>
          <w:color w:val="231F20"/>
        </w:rPr>
        <w:t>Social</w:t>
      </w:r>
      <w:r>
        <w:rPr>
          <w:color w:val="231F20"/>
          <w:spacing w:val="-12"/>
        </w:rPr>
        <w:t> </w:t>
      </w:r>
      <w:r>
        <w:rPr>
          <w:color w:val="231F20"/>
        </w:rPr>
        <w:t>et</w:t>
      </w:r>
      <w:r>
        <w:rPr>
          <w:color w:val="231F20"/>
          <w:spacing w:val="-13"/>
        </w:rPr>
        <w:t> </w:t>
      </w:r>
      <w:r>
        <w:rPr>
          <w:color w:val="231F20"/>
        </w:rPr>
        <w:t>à l’Assemblée de l’Union Française</w:t>
      </w:r>
      <w:r>
        <w:rPr>
          <w:color w:val="231F20"/>
          <w:spacing w:val="-15"/>
        </w:rPr>
        <w:t> </w:t>
      </w:r>
      <w:r>
        <w:rPr>
          <w:color w:val="231F20"/>
        </w:rPr>
        <w:t>: ils interviennent surtout dans les débats qui portent sur les colonies.</w:t>
      </w:r>
    </w:p>
    <w:p>
      <w:pPr>
        <w:pStyle w:val="BodyText"/>
        <w:spacing w:before="121"/>
        <w:ind w:right="106" w:firstLine="283"/>
      </w:pPr>
      <w:r>
        <w:rPr>
          <w:color w:val="231F20"/>
          <w:spacing w:val="-4"/>
        </w:rPr>
        <w:t>En</w:t>
      </w:r>
      <w:r>
        <w:rPr>
          <w:color w:val="231F20"/>
          <w:spacing w:val="-5"/>
        </w:rPr>
        <w:t> </w:t>
      </w:r>
      <w:r>
        <w:rPr>
          <w:color w:val="231F20"/>
          <w:spacing w:val="-4"/>
        </w:rPr>
        <w:t>juin</w:t>
      </w:r>
      <w:r>
        <w:rPr>
          <w:color w:val="231F20"/>
          <w:spacing w:val="-5"/>
        </w:rPr>
        <w:t> </w:t>
      </w:r>
      <w:r>
        <w:rPr>
          <w:color w:val="231F20"/>
          <w:spacing w:val="-4"/>
        </w:rPr>
        <w:t>1956,</w:t>
      </w:r>
      <w:r>
        <w:rPr>
          <w:color w:val="231F20"/>
          <w:spacing w:val="-5"/>
        </w:rPr>
        <w:t> </w:t>
      </w:r>
      <w:r>
        <w:rPr>
          <w:color w:val="231F20"/>
          <w:spacing w:val="-4"/>
        </w:rPr>
        <w:t>la</w:t>
      </w:r>
      <w:r>
        <w:rPr>
          <w:color w:val="231F20"/>
          <w:spacing w:val="-7"/>
        </w:rPr>
        <w:t> </w:t>
      </w:r>
      <w:r>
        <w:rPr>
          <w:color w:val="231F20"/>
          <w:spacing w:val="-4"/>
        </w:rPr>
        <w:t>loi-cadre</w:t>
      </w:r>
      <w:r>
        <w:rPr>
          <w:color w:val="231F20"/>
          <w:spacing w:val="-5"/>
        </w:rPr>
        <w:t> </w:t>
      </w:r>
      <w:r>
        <w:rPr>
          <w:color w:val="231F20"/>
          <w:spacing w:val="-4"/>
        </w:rPr>
        <w:t>Defferre</w:t>
      </w:r>
      <w:r>
        <w:rPr>
          <w:color w:val="76787A"/>
          <w:spacing w:val="-4"/>
          <w:vertAlign w:val="superscript"/>
        </w:rPr>
        <w:t>35</w:t>
      </w:r>
      <w:r>
        <w:rPr>
          <w:color w:val="231F20"/>
          <w:spacing w:val="-4"/>
          <w:vertAlign w:val="baseline"/>
        </w:rPr>
        <w:t>attribue</w:t>
      </w:r>
      <w:r>
        <w:rPr>
          <w:color w:val="231F20"/>
          <w:spacing w:val="-5"/>
          <w:vertAlign w:val="baseline"/>
        </w:rPr>
        <w:t> </w:t>
      </w:r>
      <w:r>
        <w:rPr>
          <w:color w:val="231F20"/>
          <w:spacing w:val="-4"/>
          <w:vertAlign w:val="baseline"/>
        </w:rPr>
        <w:t>aux</w:t>
      </w:r>
      <w:r>
        <w:rPr>
          <w:color w:val="231F20"/>
          <w:spacing w:val="-5"/>
          <w:vertAlign w:val="baseline"/>
        </w:rPr>
        <w:t> </w:t>
      </w:r>
      <w:r>
        <w:rPr>
          <w:color w:val="231F20"/>
          <w:spacing w:val="-4"/>
          <w:vertAlign w:val="baseline"/>
        </w:rPr>
        <w:t>colonies</w:t>
      </w:r>
      <w:r>
        <w:rPr>
          <w:color w:val="231F20"/>
          <w:spacing w:val="-5"/>
          <w:vertAlign w:val="baseline"/>
        </w:rPr>
        <w:t> </w:t>
      </w:r>
      <w:r>
        <w:rPr>
          <w:color w:val="231F20"/>
          <w:spacing w:val="-4"/>
          <w:vertAlign w:val="baseline"/>
        </w:rPr>
        <w:t>d’Afrique</w:t>
      </w:r>
      <w:r>
        <w:rPr>
          <w:color w:val="231F20"/>
          <w:spacing w:val="-7"/>
          <w:vertAlign w:val="baseline"/>
        </w:rPr>
        <w:t> </w:t>
      </w:r>
      <w:r>
        <w:rPr>
          <w:color w:val="231F20"/>
          <w:spacing w:val="-4"/>
          <w:vertAlign w:val="baseline"/>
        </w:rPr>
        <w:t>un </w:t>
      </w:r>
      <w:r>
        <w:rPr>
          <w:color w:val="231F20"/>
          <w:vertAlign w:val="baseline"/>
        </w:rPr>
        <w:t>régime d’autonomie interne avec des Assemblées locales élues au </w:t>
      </w:r>
      <w:r>
        <w:rPr>
          <w:color w:val="231F20"/>
          <w:spacing w:val="-4"/>
          <w:vertAlign w:val="baseline"/>
        </w:rPr>
        <w:t>suffrage</w:t>
      </w:r>
      <w:r>
        <w:rPr>
          <w:color w:val="231F20"/>
          <w:spacing w:val="-8"/>
          <w:vertAlign w:val="baseline"/>
        </w:rPr>
        <w:t> </w:t>
      </w:r>
      <w:r>
        <w:rPr>
          <w:color w:val="231F20"/>
          <w:spacing w:val="-4"/>
          <w:vertAlign w:val="baseline"/>
        </w:rPr>
        <w:t>universel</w:t>
      </w:r>
      <w:r>
        <w:rPr>
          <w:color w:val="231F20"/>
          <w:spacing w:val="-8"/>
          <w:vertAlign w:val="baseline"/>
        </w:rPr>
        <w:t> </w:t>
      </w:r>
      <w:r>
        <w:rPr>
          <w:color w:val="231F20"/>
          <w:spacing w:val="-4"/>
          <w:vertAlign w:val="baseline"/>
        </w:rPr>
        <w:t>et</w:t>
      </w:r>
      <w:r>
        <w:rPr>
          <w:color w:val="231F20"/>
          <w:spacing w:val="-8"/>
          <w:vertAlign w:val="baseline"/>
        </w:rPr>
        <w:t> </w:t>
      </w:r>
      <w:r>
        <w:rPr>
          <w:color w:val="231F20"/>
          <w:spacing w:val="-4"/>
          <w:vertAlign w:val="baseline"/>
        </w:rPr>
        <w:t>des</w:t>
      </w:r>
      <w:r>
        <w:rPr>
          <w:color w:val="231F20"/>
          <w:spacing w:val="-12"/>
          <w:vertAlign w:val="baseline"/>
        </w:rPr>
        <w:t> </w:t>
      </w:r>
      <w:r>
        <w:rPr>
          <w:color w:val="231F20"/>
          <w:spacing w:val="-4"/>
          <w:vertAlign w:val="baseline"/>
        </w:rPr>
        <w:t>Conseils</w:t>
      </w:r>
      <w:r>
        <w:rPr>
          <w:color w:val="231F20"/>
          <w:spacing w:val="-8"/>
          <w:vertAlign w:val="baseline"/>
        </w:rPr>
        <w:t> </w:t>
      </w:r>
      <w:r>
        <w:rPr>
          <w:color w:val="231F20"/>
          <w:spacing w:val="-4"/>
          <w:vertAlign w:val="baseline"/>
        </w:rPr>
        <w:t>de</w:t>
      </w:r>
      <w:r>
        <w:rPr>
          <w:color w:val="231F20"/>
          <w:spacing w:val="-8"/>
          <w:vertAlign w:val="baseline"/>
        </w:rPr>
        <w:t> </w:t>
      </w:r>
      <w:r>
        <w:rPr>
          <w:color w:val="231F20"/>
          <w:spacing w:val="-4"/>
          <w:vertAlign w:val="baseline"/>
        </w:rPr>
        <w:t>gouvernement</w:t>
      </w:r>
      <w:r>
        <w:rPr>
          <w:color w:val="231F20"/>
          <w:spacing w:val="-8"/>
          <w:vertAlign w:val="baseline"/>
        </w:rPr>
        <w:t> </w:t>
      </w:r>
      <w:r>
        <w:rPr>
          <w:color w:val="231F20"/>
          <w:spacing w:val="-4"/>
          <w:vertAlign w:val="baseline"/>
        </w:rPr>
        <w:t>chargés</w:t>
      </w:r>
      <w:r>
        <w:rPr>
          <w:color w:val="231F20"/>
          <w:spacing w:val="-8"/>
          <w:vertAlign w:val="baseline"/>
        </w:rPr>
        <w:t> </w:t>
      </w:r>
      <w:r>
        <w:rPr>
          <w:color w:val="231F20"/>
          <w:spacing w:val="-4"/>
          <w:vertAlign w:val="baseline"/>
        </w:rPr>
        <w:t>de</w:t>
      </w:r>
      <w:r>
        <w:rPr>
          <w:color w:val="231F20"/>
          <w:spacing w:val="-7"/>
          <w:vertAlign w:val="baseline"/>
        </w:rPr>
        <w:t> </w:t>
      </w:r>
      <w:r>
        <w:rPr>
          <w:color w:val="231F20"/>
          <w:spacing w:val="-4"/>
          <w:vertAlign w:val="baseline"/>
        </w:rPr>
        <w:t>l’Exécutif.</w:t>
      </w:r>
    </w:p>
    <w:p>
      <w:pPr>
        <w:pStyle w:val="BodyText"/>
        <w:spacing w:before="80"/>
        <w:ind w:left="0"/>
        <w:jc w:val="left"/>
        <w:rPr>
          <w:sz w:val="20"/>
        </w:rPr>
      </w:pPr>
      <w:r>
        <w:rPr/>
        <mc:AlternateContent>
          <mc:Choice Requires="wps">
            <w:drawing>
              <wp:anchor distT="0" distB="0" distL="0" distR="0" allowOverlap="1" layoutInCell="1" locked="0" behindDoc="1" simplePos="0" relativeHeight="487598080">
                <wp:simplePos x="0" y="0"/>
                <wp:positionH relativeFrom="page">
                  <wp:posOffset>629907</wp:posOffset>
                </wp:positionH>
                <wp:positionV relativeFrom="paragraph">
                  <wp:posOffset>212301</wp:posOffset>
                </wp:positionV>
                <wp:extent cx="1829435" cy="9525"/>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716671pt;width:144.020pt;height:.71997pt;mso-position-horizontal-relative:page;mso-position-vertical-relative:paragraph;z-index:-15718400;mso-wrap-distance-left:0;mso-wrap-distance-right:0" id="docshape31" filled="true" fillcolor="#231f20" stroked="false">
                <v:fill type="solid"/>
                <w10:wrap type="topAndBottom"/>
              </v:rect>
            </w:pict>
          </mc:Fallback>
        </mc:AlternateContent>
      </w:r>
    </w:p>
    <w:p>
      <w:pPr>
        <w:spacing w:before="94"/>
        <w:ind w:left="111" w:right="109" w:firstLine="0"/>
        <w:jc w:val="both"/>
        <w:rPr>
          <w:sz w:val="20"/>
        </w:rPr>
      </w:pPr>
      <w:r>
        <w:rPr>
          <w:color w:val="76787A"/>
          <w:spacing w:val="-4"/>
          <w:sz w:val="20"/>
          <w:vertAlign w:val="superscript"/>
        </w:rPr>
        <w:t>33</w:t>
      </w:r>
      <w:r>
        <w:rPr>
          <w:color w:val="76787A"/>
          <w:spacing w:val="6"/>
          <w:sz w:val="20"/>
          <w:vertAlign w:val="baseline"/>
        </w:rPr>
        <w:t> </w:t>
      </w:r>
      <w:r>
        <w:rPr>
          <w:color w:val="231F20"/>
          <w:spacing w:val="-4"/>
          <w:sz w:val="20"/>
          <w:vertAlign w:val="baseline"/>
        </w:rPr>
        <w:t>Côte</w:t>
      </w:r>
      <w:r>
        <w:rPr>
          <w:color w:val="231F20"/>
          <w:spacing w:val="-6"/>
          <w:sz w:val="20"/>
          <w:vertAlign w:val="baseline"/>
        </w:rPr>
        <w:t> </w:t>
      </w:r>
      <w:r>
        <w:rPr>
          <w:color w:val="231F20"/>
          <w:spacing w:val="-4"/>
          <w:sz w:val="20"/>
          <w:vertAlign w:val="baseline"/>
        </w:rPr>
        <w:t>d’ivoire,</w:t>
      </w:r>
      <w:r>
        <w:rPr>
          <w:color w:val="231F20"/>
          <w:spacing w:val="-5"/>
          <w:sz w:val="20"/>
          <w:vertAlign w:val="baseline"/>
        </w:rPr>
        <w:t> </w:t>
      </w:r>
      <w:r>
        <w:rPr>
          <w:color w:val="231F20"/>
          <w:spacing w:val="-4"/>
          <w:sz w:val="20"/>
          <w:vertAlign w:val="baseline"/>
        </w:rPr>
        <w:t>Document</w:t>
      </w:r>
      <w:r>
        <w:rPr>
          <w:color w:val="231F20"/>
          <w:spacing w:val="-6"/>
          <w:sz w:val="20"/>
          <w:vertAlign w:val="baseline"/>
        </w:rPr>
        <w:t> </w:t>
      </w:r>
      <w:r>
        <w:rPr>
          <w:color w:val="231F20"/>
          <w:spacing w:val="-4"/>
          <w:sz w:val="20"/>
          <w:vertAlign w:val="baseline"/>
        </w:rPr>
        <w:t>de</w:t>
      </w:r>
      <w:r>
        <w:rPr>
          <w:color w:val="231F20"/>
          <w:spacing w:val="-6"/>
          <w:sz w:val="20"/>
          <w:vertAlign w:val="baseline"/>
        </w:rPr>
        <w:t> </w:t>
      </w:r>
      <w:r>
        <w:rPr>
          <w:color w:val="231F20"/>
          <w:spacing w:val="-4"/>
          <w:sz w:val="20"/>
          <w:vertAlign w:val="baseline"/>
        </w:rPr>
        <w:t>l'Assemblée</w:t>
      </w:r>
      <w:r>
        <w:rPr>
          <w:color w:val="231F20"/>
          <w:spacing w:val="-5"/>
          <w:sz w:val="20"/>
          <w:vertAlign w:val="baseline"/>
        </w:rPr>
        <w:t> </w:t>
      </w:r>
      <w:r>
        <w:rPr>
          <w:color w:val="231F20"/>
          <w:spacing w:val="-4"/>
          <w:sz w:val="20"/>
          <w:vertAlign w:val="baseline"/>
        </w:rPr>
        <w:t>nationale</w:t>
      </w:r>
      <w:r>
        <w:rPr>
          <w:color w:val="231F20"/>
          <w:spacing w:val="-6"/>
          <w:sz w:val="20"/>
          <w:vertAlign w:val="baseline"/>
        </w:rPr>
        <w:t> </w:t>
      </w:r>
      <w:r>
        <w:rPr>
          <w:color w:val="231F20"/>
          <w:spacing w:val="-4"/>
          <w:sz w:val="20"/>
          <w:vertAlign w:val="baseline"/>
        </w:rPr>
        <w:t>constituante, annexe</w:t>
      </w:r>
      <w:r>
        <w:rPr>
          <w:color w:val="231F20"/>
          <w:spacing w:val="-5"/>
          <w:sz w:val="20"/>
          <w:vertAlign w:val="baseline"/>
        </w:rPr>
        <w:t> </w:t>
      </w:r>
      <w:r>
        <w:rPr>
          <w:color w:val="231F20"/>
          <w:spacing w:val="-4"/>
          <w:sz w:val="20"/>
          <w:vertAlign w:val="baseline"/>
        </w:rPr>
        <w:t>n°</w:t>
      </w:r>
      <w:r>
        <w:rPr>
          <w:color w:val="231F20"/>
          <w:spacing w:val="-6"/>
          <w:sz w:val="20"/>
          <w:vertAlign w:val="baseline"/>
        </w:rPr>
        <w:t> </w:t>
      </w:r>
      <w:r>
        <w:rPr>
          <w:color w:val="231F20"/>
          <w:spacing w:val="-4"/>
          <w:sz w:val="20"/>
          <w:vertAlign w:val="baseline"/>
        </w:rPr>
        <w:t>811, séance </w:t>
      </w:r>
      <w:r>
        <w:rPr>
          <w:color w:val="231F20"/>
          <w:sz w:val="20"/>
          <w:vertAlign w:val="baseline"/>
        </w:rPr>
        <w:t>du 30 mars 1946.</w:t>
      </w:r>
    </w:p>
    <w:p>
      <w:pPr>
        <w:spacing w:before="0"/>
        <w:ind w:left="111" w:right="105" w:firstLine="0"/>
        <w:jc w:val="both"/>
        <w:rPr>
          <w:sz w:val="20"/>
        </w:rPr>
      </w:pPr>
      <w:r>
        <w:rPr>
          <w:color w:val="76787A"/>
          <w:sz w:val="20"/>
          <w:vertAlign w:val="superscript"/>
        </w:rPr>
        <w:t>34</w:t>
      </w:r>
      <w:r>
        <w:rPr>
          <w:color w:val="76787A"/>
          <w:sz w:val="20"/>
          <w:vertAlign w:val="baseline"/>
        </w:rPr>
        <w:t> </w:t>
      </w:r>
      <w:r>
        <w:rPr>
          <w:color w:val="231F20"/>
          <w:sz w:val="20"/>
          <w:vertAlign w:val="baseline"/>
        </w:rPr>
        <w:t>Chef de la France libre</w:t>
      </w:r>
      <w:r>
        <w:rPr>
          <w:color w:val="231F20"/>
          <w:spacing w:val="-13"/>
          <w:sz w:val="20"/>
          <w:vertAlign w:val="baseline"/>
        </w:rPr>
        <w:t> </w:t>
      </w:r>
      <w:r>
        <w:rPr>
          <w:color w:val="231F20"/>
          <w:sz w:val="20"/>
          <w:vertAlign w:val="baseline"/>
        </w:rPr>
        <w:t>puis dirigeant du</w:t>
      </w:r>
      <w:r>
        <w:rPr>
          <w:color w:val="231F20"/>
          <w:spacing w:val="-12"/>
          <w:sz w:val="20"/>
          <w:vertAlign w:val="baseline"/>
        </w:rPr>
        <w:t> </w:t>
      </w:r>
      <w:r>
        <w:rPr>
          <w:color w:val="231F20"/>
          <w:sz w:val="20"/>
          <w:vertAlign w:val="baseline"/>
        </w:rPr>
        <w:t>Comité français de libération nationale pendant la Seconde Guerre mondiale, président du</w:t>
      </w:r>
      <w:r>
        <w:rPr>
          <w:color w:val="231F20"/>
          <w:spacing w:val="-13"/>
          <w:sz w:val="20"/>
          <w:vertAlign w:val="baseline"/>
        </w:rPr>
        <w:t> </w:t>
      </w:r>
      <w:r>
        <w:rPr>
          <w:color w:val="231F20"/>
          <w:sz w:val="20"/>
          <w:vertAlign w:val="baseline"/>
        </w:rPr>
        <w:t>Gouvernement provisoire de la République</w:t>
      </w:r>
      <w:r>
        <w:rPr>
          <w:color w:val="231F20"/>
          <w:spacing w:val="-3"/>
          <w:sz w:val="20"/>
          <w:vertAlign w:val="baseline"/>
        </w:rPr>
        <w:t> </w:t>
      </w:r>
      <w:r>
        <w:rPr>
          <w:color w:val="231F20"/>
          <w:sz w:val="20"/>
          <w:vertAlign w:val="baseline"/>
        </w:rPr>
        <w:t>française</w:t>
      </w:r>
      <w:r>
        <w:rPr>
          <w:color w:val="231F20"/>
          <w:spacing w:val="-13"/>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1944</w:t>
      </w:r>
      <w:r>
        <w:rPr>
          <w:color w:val="231F20"/>
          <w:spacing w:val="-13"/>
          <w:sz w:val="20"/>
          <w:vertAlign w:val="baseline"/>
        </w:rPr>
        <w:t> </w:t>
      </w:r>
      <w:r>
        <w:rPr>
          <w:color w:val="231F20"/>
          <w:sz w:val="20"/>
          <w:vertAlign w:val="baseline"/>
        </w:rPr>
        <w:t>à</w:t>
      </w:r>
      <w:r>
        <w:rPr>
          <w:color w:val="231F20"/>
          <w:spacing w:val="-12"/>
          <w:sz w:val="20"/>
          <w:vertAlign w:val="baseline"/>
        </w:rPr>
        <w:t> </w:t>
      </w:r>
      <w:r>
        <w:rPr>
          <w:color w:val="231F20"/>
          <w:sz w:val="20"/>
          <w:vertAlign w:val="baseline"/>
        </w:rPr>
        <w:t>1946, président du Conseil des ministres français de </w:t>
      </w:r>
      <w:r>
        <w:rPr>
          <w:color w:val="231F20"/>
          <w:spacing w:val="-2"/>
          <w:sz w:val="20"/>
          <w:vertAlign w:val="baseline"/>
        </w:rPr>
        <w:t>1958</w:t>
      </w:r>
      <w:r>
        <w:rPr>
          <w:color w:val="231F20"/>
          <w:spacing w:val="-11"/>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1959,</w:t>
      </w:r>
      <w:r>
        <w:rPr>
          <w:color w:val="231F20"/>
          <w:spacing w:val="-9"/>
          <w:sz w:val="20"/>
          <w:vertAlign w:val="baseline"/>
        </w:rPr>
        <w:t> </w:t>
      </w:r>
      <w:r>
        <w:rPr>
          <w:color w:val="231F20"/>
          <w:spacing w:val="-2"/>
          <w:sz w:val="20"/>
          <w:vertAlign w:val="baseline"/>
        </w:rPr>
        <w:t>instigateur</w:t>
      </w:r>
      <w:r>
        <w:rPr>
          <w:color w:val="231F20"/>
          <w:spacing w:val="-9"/>
          <w:sz w:val="20"/>
          <w:vertAlign w:val="baseline"/>
        </w:rPr>
        <w:t> </w:t>
      </w:r>
      <w:r>
        <w:rPr>
          <w:color w:val="231F20"/>
          <w:spacing w:val="-2"/>
          <w:sz w:val="20"/>
          <w:vertAlign w:val="baseline"/>
        </w:rPr>
        <w:t>de</w:t>
      </w:r>
      <w:r>
        <w:rPr>
          <w:color w:val="231F20"/>
          <w:spacing w:val="-9"/>
          <w:sz w:val="20"/>
          <w:vertAlign w:val="baseline"/>
        </w:rPr>
        <w:t> </w:t>
      </w:r>
      <w:r>
        <w:rPr>
          <w:color w:val="231F20"/>
          <w:spacing w:val="-2"/>
          <w:sz w:val="20"/>
          <w:vertAlign w:val="baseline"/>
        </w:rPr>
        <w:t>la</w:t>
      </w:r>
      <w:r>
        <w:rPr>
          <w:color w:val="231F20"/>
          <w:spacing w:val="-11"/>
          <w:sz w:val="20"/>
          <w:vertAlign w:val="baseline"/>
        </w:rPr>
        <w:t> </w:t>
      </w:r>
      <w:r>
        <w:rPr>
          <w:color w:val="231F20"/>
          <w:spacing w:val="-2"/>
          <w:sz w:val="20"/>
          <w:vertAlign w:val="baseline"/>
        </w:rPr>
        <w:t>Cinquième</w:t>
      </w:r>
      <w:r>
        <w:rPr>
          <w:color w:val="231F20"/>
          <w:spacing w:val="-8"/>
          <w:sz w:val="20"/>
          <w:vertAlign w:val="baseline"/>
        </w:rPr>
        <w:t> </w:t>
      </w:r>
      <w:r>
        <w:rPr>
          <w:color w:val="231F20"/>
          <w:spacing w:val="-2"/>
          <w:sz w:val="20"/>
          <w:vertAlign w:val="baseline"/>
        </w:rPr>
        <w:t>République</w:t>
      </w:r>
      <w:r>
        <w:rPr>
          <w:color w:val="231F20"/>
          <w:spacing w:val="-11"/>
          <w:sz w:val="20"/>
          <w:vertAlign w:val="baseline"/>
        </w:rPr>
        <w:t> </w:t>
      </w:r>
      <w:r>
        <w:rPr>
          <w:color w:val="231F20"/>
          <w:spacing w:val="-2"/>
          <w:sz w:val="20"/>
          <w:vertAlign w:val="baseline"/>
        </w:rPr>
        <w:t>fondée</w:t>
      </w:r>
      <w:r>
        <w:rPr>
          <w:color w:val="231F20"/>
          <w:spacing w:val="-10"/>
          <w:sz w:val="20"/>
          <w:vertAlign w:val="baseline"/>
        </w:rPr>
        <w:t> </w:t>
      </w:r>
      <w:r>
        <w:rPr>
          <w:color w:val="231F20"/>
          <w:spacing w:val="-2"/>
          <w:sz w:val="20"/>
          <w:vertAlign w:val="baseline"/>
        </w:rPr>
        <w:t>en</w:t>
      </w:r>
      <w:r>
        <w:rPr>
          <w:color w:val="231F20"/>
          <w:spacing w:val="-11"/>
          <w:sz w:val="20"/>
          <w:vertAlign w:val="baseline"/>
        </w:rPr>
        <w:t> </w:t>
      </w:r>
      <w:r>
        <w:rPr>
          <w:color w:val="231F20"/>
          <w:spacing w:val="-2"/>
          <w:sz w:val="20"/>
          <w:vertAlign w:val="baseline"/>
        </w:rPr>
        <w:t>1958,</w:t>
      </w:r>
      <w:r>
        <w:rPr>
          <w:color w:val="231F20"/>
          <w:spacing w:val="-9"/>
          <w:sz w:val="20"/>
          <w:vertAlign w:val="baseline"/>
        </w:rPr>
        <w:t> </w:t>
      </w:r>
      <w:r>
        <w:rPr>
          <w:color w:val="231F20"/>
          <w:spacing w:val="-2"/>
          <w:sz w:val="20"/>
          <w:vertAlign w:val="baseline"/>
        </w:rPr>
        <w:t>il</w:t>
      </w:r>
      <w:r>
        <w:rPr>
          <w:color w:val="231F20"/>
          <w:spacing w:val="-10"/>
          <w:sz w:val="20"/>
          <w:vertAlign w:val="baseline"/>
        </w:rPr>
        <w:t> </w:t>
      </w:r>
      <w:r>
        <w:rPr>
          <w:color w:val="231F20"/>
          <w:spacing w:val="-2"/>
          <w:sz w:val="20"/>
          <w:vertAlign w:val="baseline"/>
        </w:rPr>
        <w:t>est</w:t>
      </w:r>
      <w:r>
        <w:rPr>
          <w:color w:val="231F20"/>
          <w:spacing w:val="-11"/>
          <w:sz w:val="20"/>
          <w:vertAlign w:val="baseline"/>
        </w:rPr>
        <w:t> </w:t>
      </w:r>
      <w:r>
        <w:rPr>
          <w:color w:val="231F20"/>
          <w:spacing w:val="-2"/>
          <w:sz w:val="20"/>
          <w:vertAlign w:val="baseline"/>
        </w:rPr>
        <w:t>président</w:t>
      </w:r>
      <w:r>
        <w:rPr>
          <w:color w:val="231F20"/>
          <w:spacing w:val="-10"/>
          <w:sz w:val="20"/>
          <w:vertAlign w:val="baseline"/>
        </w:rPr>
        <w:t> </w:t>
      </w:r>
      <w:r>
        <w:rPr>
          <w:color w:val="231F20"/>
          <w:spacing w:val="-2"/>
          <w:sz w:val="20"/>
          <w:vertAlign w:val="baseline"/>
        </w:rPr>
        <w:t>de la</w:t>
      </w:r>
      <w:r>
        <w:rPr>
          <w:color w:val="231F20"/>
          <w:spacing w:val="-10"/>
          <w:sz w:val="20"/>
          <w:vertAlign w:val="baseline"/>
        </w:rPr>
        <w:t> </w:t>
      </w:r>
      <w:r>
        <w:rPr>
          <w:color w:val="231F20"/>
          <w:spacing w:val="-2"/>
          <w:sz w:val="20"/>
          <w:vertAlign w:val="baseline"/>
        </w:rPr>
        <w:t>République</w:t>
      </w:r>
      <w:r>
        <w:rPr>
          <w:color w:val="231F20"/>
          <w:spacing w:val="-10"/>
          <w:sz w:val="20"/>
          <w:vertAlign w:val="baseline"/>
        </w:rPr>
        <w:t> </w:t>
      </w:r>
      <w:r>
        <w:rPr>
          <w:color w:val="231F20"/>
          <w:spacing w:val="-2"/>
          <w:sz w:val="20"/>
          <w:vertAlign w:val="baseline"/>
        </w:rPr>
        <w:t>française</w:t>
      </w:r>
      <w:r>
        <w:rPr>
          <w:color w:val="231F20"/>
          <w:spacing w:val="-9"/>
          <w:sz w:val="20"/>
          <w:vertAlign w:val="baseline"/>
        </w:rPr>
        <w:t> </w:t>
      </w:r>
      <w:r>
        <w:rPr>
          <w:color w:val="231F20"/>
          <w:spacing w:val="-2"/>
          <w:sz w:val="20"/>
          <w:vertAlign w:val="baseline"/>
        </w:rPr>
        <w:t>du</w:t>
      </w:r>
      <w:r>
        <w:rPr>
          <w:color w:val="231F20"/>
          <w:spacing w:val="-10"/>
          <w:sz w:val="20"/>
          <w:vertAlign w:val="baseline"/>
        </w:rPr>
        <w:t> </w:t>
      </w:r>
      <w:r>
        <w:rPr>
          <w:color w:val="231F20"/>
          <w:spacing w:val="-2"/>
          <w:sz w:val="20"/>
          <w:u w:val="single" w:color="231F20"/>
          <w:vertAlign w:val="baseline"/>
        </w:rPr>
        <w:t>8</w:t>
      </w:r>
      <w:r>
        <w:rPr>
          <w:color w:val="231F20"/>
          <w:spacing w:val="-8"/>
          <w:sz w:val="20"/>
          <w:vertAlign w:val="baseline"/>
        </w:rPr>
        <w:t> </w:t>
      </w:r>
      <w:r>
        <w:rPr>
          <w:color w:val="231F20"/>
          <w:spacing w:val="-2"/>
          <w:sz w:val="20"/>
          <w:vertAlign w:val="baseline"/>
        </w:rPr>
        <w:t>janvier</w:t>
      </w:r>
      <w:r>
        <w:rPr>
          <w:color w:val="231F20"/>
          <w:spacing w:val="-10"/>
          <w:sz w:val="20"/>
          <w:vertAlign w:val="baseline"/>
        </w:rPr>
        <w:t> </w:t>
      </w:r>
      <w:r>
        <w:rPr>
          <w:color w:val="231F20"/>
          <w:spacing w:val="-2"/>
          <w:sz w:val="20"/>
          <w:vertAlign w:val="baseline"/>
        </w:rPr>
        <w:t>1959</w:t>
      </w:r>
      <w:r>
        <w:rPr>
          <w:color w:val="231F20"/>
          <w:spacing w:val="-10"/>
          <w:sz w:val="20"/>
          <w:vertAlign w:val="baseline"/>
        </w:rPr>
        <w:t> </w:t>
      </w:r>
      <w:r>
        <w:rPr>
          <w:color w:val="231F20"/>
          <w:spacing w:val="-2"/>
          <w:sz w:val="20"/>
          <w:vertAlign w:val="baseline"/>
        </w:rPr>
        <w:t>au</w:t>
      </w:r>
      <w:r>
        <w:rPr>
          <w:color w:val="231F20"/>
          <w:spacing w:val="-10"/>
          <w:sz w:val="20"/>
          <w:vertAlign w:val="baseline"/>
        </w:rPr>
        <w:t> </w:t>
      </w:r>
      <w:r>
        <w:rPr>
          <w:color w:val="231F20"/>
          <w:spacing w:val="-2"/>
          <w:sz w:val="20"/>
          <w:vertAlign w:val="baseline"/>
        </w:rPr>
        <w:t>28</w:t>
      </w:r>
      <w:r>
        <w:rPr>
          <w:color w:val="231F20"/>
          <w:spacing w:val="-10"/>
          <w:sz w:val="20"/>
          <w:vertAlign w:val="baseline"/>
        </w:rPr>
        <w:t> </w:t>
      </w:r>
      <w:r>
        <w:rPr>
          <w:color w:val="231F20"/>
          <w:spacing w:val="-2"/>
          <w:sz w:val="20"/>
          <w:vertAlign w:val="baseline"/>
        </w:rPr>
        <w:t>avril</w:t>
      </w:r>
      <w:r>
        <w:rPr>
          <w:color w:val="231F20"/>
          <w:spacing w:val="-10"/>
          <w:sz w:val="20"/>
          <w:vertAlign w:val="baseline"/>
        </w:rPr>
        <w:t> </w:t>
      </w:r>
      <w:r>
        <w:rPr>
          <w:color w:val="231F20"/>
          <w:spacing w:val="-2"/>
          <w:sz w:val="20"/>
          <w:vertAlign w:val="baseline"/>
        </w:rPr>
        <w:t>1969.</w:t>
      </w:r>
      <w:r>
        <w:rPr>
          <w:color w:val="231F20"/>
          <w:spacing w:val="-10"/>
          <w:sz w:val="20"/>
          <w:vertAlign w:val="baseline"/>
        </w:rPr>
        <w:t> </w:t>
      </w:r>
      <w:r>
        <w:rPr>
          <w:color w:val="231F20"/>
          <w:spacing w:val="-2"/>
          <w:sz w:val="20"/>
          <w:vertAlign w:val="baseline"/>
        </w:rPr>
        <w:t>Il</w:t>
      </w:r>
      <w:r>
        <w:rPr>
          <w:color w:val="231F20"/>
          <w:spacing w:val="-11"/>
          <w:sz w:val="20"/>
          <w:vertAlign w:val="baseline"/>
        </w:rPr>
        <w:t> </w:t>
      </w:r>
      <w:r>
        <w:rPr>
          <w:color w:val="231F20"/>
          <w:spacing w:val="-2"/>
          <w:sz w:val="20"/>
          <w:vertAlign w:val="baseline"/>
        </w:rPr>
        <w:t>est</w:t>
      </w:r>
      <w:r>
        <w:rPr>
          <w:color w:val="231F20"/>
          <w:spacing w:val="-8"/>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premier</w:t>
      </w:r>
      <w:r>
        <w:rPr>
          <w:color w:val="231F20"/>
          <w:spacing w:val="-10"/>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occuper</w:t>
      </w:r>
      <w:r>
        <w:rPr>
          <w:color w:val="231F20"/>
          <w:spacing w:val="-8"/>
          <w:sz w:val="20"/>
          <w:vertAlign w:val="baseline"/>
        </w:rPr>
        <w:t> </w:t>
      </w:r>
      <w:r>
        <w:rPr>
          <w:color w:val="231F20"/>
          <w:spacing w:val="-2"/>
          <w:sz w:val="20"/>
          <w:vertAlign w:val="baseline"/>
        </w:rPr>
        <w:t>la </w:t>
      </w:r>
      <w:r>
        <w:rPr>
          <w:color w:val="231F20"/>
          <w:sz w:val="20"/>
          <w:vertAlign w:val="baseline"/>
        </w:rPr>
        <w:t>magistrature</w:t>
      </w:r>
      <w:r>
        <w:rPr>
          <w:color w:val="231F20"/>
          <w:spacing w:val="-2"/>
          <w:sz w:val="20"/>
          <w:vertAlign w:val="baseline"/>
        </w:rPr>
        <w:t> </w:t>
      </w:r>
      <w:r>
        <w:rPr>
          <w:color w:val="231F20"/>
          <w:sz w:val="20"/>
          <w:vertAlign w:val="baseline"/>
        </w:rPr>
        <w:t>suprême</w:t>
      </w:r>
      <w:r>
        <w:rPr>
          <w:color w:val="231F20"/>
          <w:spacing w:val="-2"/>
          <w:sz w:val="20"/>
          <w:vertAlign w:val="baseline"/>
        </w:rPr>
        <w:t> </w:t>
      </w:r>
      <w:r>
        <w:rPr>
          <w:color w:val="231F20"/>
          <w:sz w:val="20"/>
          <w:vertAlign w:val="baseline"/>
        </w:rPr>
        <w:t>sous</w:t>
      </w:r>
      <w:r>
        <w:rPr>
          <w:color w:val="231F20"/>
          <w:spacing w:val="-1"/>
          <w:sz w:val="20"/>
          <w:vertAlign w:val="baseline"/>
        </w:rPr>
        <w:t> </w:t>
      </w:r>
      <w:r>
        <w:rPr>
          <w:color w:val="231F20"/>
          <w:sz w:val="20"/>
          <w:vertAlign w:val="baseline"/>
        </w:rPr>
        <w:t>la</w:t>
      </w:r>
      <w:r>
        <w:rPr>
          <w:color w:val="231F20"/>
          <w:spacing w:val="-2"/>
          <w:sz w:val="20"/>
          <w:vertAlign w:val="baseline"/>
        </w:rPr>
        <w:t> </w:t>
      </w:r>
      <w:r>
        <w:rPr>
          <w:color w:val="231F20"/>
          <w:sz w:val="20"/>
          <w:vertAlign w:val="baseline"/>
        </w:rPr>
        <w:t>Cinquième République.</w:t>
      </w:r>
    </w:p>
    <w:p>
      <w:pPr>
        <w:spacing w:before="0"/>
        <w:ind w:left="111" w:right="107" w:firstLine="0"/>
        <w:jc w:val="both"/>
        <w:rPr>
          <w:sz w:val="20"/>
        </w:rPr>
      </w:pPr>
      <w:r>
        <w:rPr>
          <w:color w:val="76787A"/>
          <w:sz w:val="20"/>
          <w:vertAlign w:val="superscript"/>
        </w:rPr>
        <w:t>35</w:t>
      </w:r>
      <w:r>
        <w:rPr>
          <w:color w:val="76787A"/>
          <w:sz w:val="20"/>
          <w:vertAlign w:val="baseline"/>
        </w:rPr>
        <w:t> </w:t>
      </w:r>
      <w:r>
        <w:rPr>
          <w:color w:val="231F20"/>
          <w:sz w:val="20"/>
          <w:vertAlign w:val="baseline"/>
        </w:rPr>
        <w:t>Gaston Defferre, ministre d’outre-Mer, </w:t>
      </w:r>
      <w:r>
        <w:rPr>
          <w:color w:val="1F2021"/>
          <w:sz w:val="20"/>
          <w:vertAlign w:val="baseline"/>
        </w:rPr>
        <w:t>Né le</w:t>
      </w:r>
      <w:r>
        <w:rPr>
          <w:color w:val="1F2021"/>
          <w:spacing w:val="-13"/>
          <w:sz w:val="20"/>
          <w:vertAlign w:val="baseline"/>
        </w:rPr>
        <w:t> </w:t>
      </w:r>
      <w:r>
        <w:rPr>
          <w:color w:val="1F2021"/>
          <w:sz w:val="20"/>
          <w:vertAlign w:val="baseline"/>
        </w:rPr>
        <w:t>14</w:t>
      </w:r>
      <w:r>
        <w:rPr>
          <w:color w:val="1F2021"/>
          <w:spacing w:val="-12"/>
          <w:sz w:val="20"/>
          <w:vertAlign w:val="baseline"/>
        </w:rPr>
        <w:t> </w:t>
      </w:r>
      <w:r>
        <w:rPr>
          <w:color w:val="1F2021"/>
          <w:sz w:val="20"/>
          <w:vertAlign w:val="baseline"/>
        </w:rPr>
        <w:t>septembre</w:t>
      </w:r>
      <w:r>
        <w:rPr>
          <w:color w:val="1F2021"/>
          <w:spacing w:val="-13"/>
          <w:sz w:val="20"/>
          <w:vertAlign w:val="baseline"/>
        </w:rPr>
        <w:t> </w:t>
      </w:r>
      <w:r>
        <w:rPr>
          <w:color w:val="1F2021"/>
          <w:sz w:val="20"/>
          <w:vertAlign w:val="baseline"/>
        </w:rPr>
        <w:t>1910</w:t>
      </w:r>
      <w:r>
        <w:rPr>
          <w:color w:val="1F2021"/>
          <w:spacing w:val="-12"/>
          <w:sz w:val="20"/>
          <w:vertAlign w:val="baseline"/>
        </w:rPr>
        <w:t> </w:t>
      </w:r>
      <w:r>
        <w:rPr>
          <w:color w:val="1F2021"/>
          <w:sz w:val="20"/>
          <w:vertAlign w:val="baseline"/>
        </w:rPr>
        <w:t>et mort le</w:t>
      </w:r>
      <w:r>
        <w:rPr>
          <w:color w:val="1F2021"/>
          <w:spacing w:val="-13"/>
          <w:sz w:val="20"/>
          <w:vertAlign w:val="baseline"/>
        </w:rPr>
        <w:t> </w:t>
      </w:r>
      <w:r>
        <w:rPr>
          <w:color w:val="1F2021"/>
          <w:sz w:val="20"/>
          <w:vertAlign w:val="baseline"/>
        </w:rPr>
        <w:t>7</w:t>
      </w:r>
      <w:r>
        <w:rPr>
          <w:color w:val="1F2021"/>
          <w:spacing w:val="-12"/>
          <w:sz w:val="20"/>
          <w:vertAlign w:val="baseline"/>
        </w:rPr>
        <w:t> </w:t>
      </w:r>
      <w:r>
        <w:rPr>
          <w:color w:val="1F2021"/>
          <w:sz w:val="20"/>
          <w:vertAlign w:val="baseline"/>
        </w:rPr>
        <w:t>mai </w:t>
      </w:r>
      <w:r>
        <w:rPr>
          <w:color w:val="1F2021"/>
          <w:spacing w:val="-2"/>
          <w:sz w:val="20"/>
          <w:vertAlign w:val="baseline"/>
        </w:rPr>
        <w:t>1986.</w:t>
      </w:r>
    </w:p>
    <w:p>
      <w:pPr>
        <w:spacing w:after="0"/>
        <w:jc w:val="both"/>
        <w:rPr>
          <w:sz w:val="20"/>
        </w:rPr>
        <w:sectPr>
          <w:pgSz w:w="8790" w:h="13610"/>
          <w:pgMar w:header="0" w:footer="802" w:top="1060" w:bottom="1000" w:left="880" w:right="880"/>
        </w:sectPr>
      </w:pPr>
    </w:p>
    <w:p>
      <w:pPr>
        <w:pStyle w:val="BodyText"/>
        <w:spacing w:before="66"/>
        <w:ind w:right="105" w:firstLine="283"/>
      </w:pPr>
      <w:r>
        <w:rPr>
          <w:color w:val="231F20"/>
        </w:rPr>
        <w:t>Le</w:t>
      </w:r>
      <w:r>
        <w:rPr>
          <w:color w:val="231F20"/>
          <w:spacing w:val="-13"/>
        </w:rPr>
        <w:t> </w:t>
      </w:r>
      <w:r>
        <w:rPr>
          <w:color w:val="231F20"/>
        </w:rPr>
        <w:t>président</w:t>
      </w:r>
      <w:r>
        <w:rPr>
          <w:color w:val="231F20"/>
          <w:spacing w:val="-13"/>
        </w:rPr>
        <w:t> </w:t>
      </w:r>
      <w:r>
        <w:rPr>
          <w:color w:val="231F20"/>
        </w:rPr>
        <w:t>Charles</w:t>
      </w:r>
      <w:r>
        <w:rPr>
          <w:color w:val="231F20"/>
          <w:spacing w:val="-13"/>
        </w:rPr>
        <w:t> </w:t>
      </w:r>
      <w:r>
        <w:rPr>
          <w:color w:val="231F20"/>
        </w:rPr>
        <w:t>de</w:t>
      </w:r>
      <w:r>
        <w:rPr>
          <w:color w:val="231F20"/>
          <w:spacing w:val="-14"/>
        </w:rPr>
        <w:t> </w:t>
      </w:r>
      <w:r>
        <w:rPr>
          <w:color w:val="231F20"/>
        </w:rPr>
        <w:t>Gaulle</w:t>
      </w:r>
      <w:r>
        <w:rPr>
          <w:color w:val="231F20"/>
          <w:spacing w:val="-13"/>
        </w:rPr>
        <w:t> </w:t>
      </w:r>
      <w:r>
        <w:rPr>
          <w:color w:val="231F20"/>
        </w:rPr>
        <w:t>veut</w:t>
      </w:r>
      <w:r>
        <w:rPr>
          <w:color w:val="231F20"/>
          <w:spacing w:val="-13"/>
        </w:rPr>
        <w:t> </w:t>
      </w:r>
      <w:r>
        <w:rPr>
          <w:color w:val="231F20"/>
        </w:rPr>
        <w:t>mettre</w:t>
      </w:r>
      <w:r>
        <w:rPr>
          <w:color w:val="231F20"/>
          <w:spacing w:val="-13"/>
        </w:rPr>
        <w:t> </w:t>
      </w:r>
      <w:r>
        <w:rPr>
          <w:color w:val="231F20"/>
        </w:rPr>
        <w:t>en</w:t>
      </w:r>
      <w:r>
        <w:rPr>
          <w:color w:val="231F20"/>
          <w:spacing w:val="-13"/>
        </w:rPr>
        <w:t> </w:t>
      </w:r>
      <w:r>
        <w:rPr>
          <w:color w:val="231F20"/>
        </w:rPr>
        <w:t>place</w:t>
      </w:r>
      <w:r>
        <w:rPr>
          <w:color w:val="231F20"/>
          <w:spacing w:val="-13"/>
        </w:rPr>
        <w:t> </w:t>
      </w:r>
      <w:r>
        <w:rPr>
          <w:color w:val="231F20"/>
        </w:rPr>
        <w:t>la</w:t>
      </w:r>
      <w:r>
        <w:rPr>
          <w:color w:val="231F20"/>
          <w:spacing w:val="-13"/>
        </w:rPr>
        <w:t> </w:t>
      </w:r>
      <w:r>
        <w:rPr>
          <w:color w:val="231F20"/>
        </w:rPr>
        <w:t>Communauté, entité</w:t>
      </w:r>
      <w:r>
        <w:rPr>
          <w:color w:val="231F20"/>
          <w:spacing w:val="-5"/>
        </w:rPr>
        <w:t> </w:t>
      </w:r>
      <w:r>
        <w:rPr>
          <w:color w:val="231F20"/>
        </w:rPr>
        <w:t>inscrite dans la Constitution de la Ve République</w:t>
      </w:r>
      <w:r>
        <w:rPr>
          <w:color w:val="76787A"/>
          <w:vertAlign w:val="superscript"/>
        </w:rPr>
        <w:t>36</w:t>
      </w:r>
      <w:r>
        <w:rPr>
          <w:color w:val="76787A"/>
          <w:spacing w:val="-15"/>
          <w:vertAlign w:val="baseline"/>
        </w:rPr>
        <w:t> </w:t>
      </w:r>
      <w:r>
        <w:rPr>
          <w:color w:val="231F20"/>
          <w:vertAlign w:val="baseline"/>
        </w:rPr>
        <w:t>, composée d’Etats indépendants solidement amarrés à la République. II confie à </w:t>
      </w:r>
      <w:r>
        <w:rPr>
          <w:color w:val="231F20"/>
          <w:spacing w:val="-2"/>
          <w:vertAlign w:val="baseline"/>
        </w:rPr>
        <w:t>Jacques</w:t>
      </w:r>
      <w:r>
        <w:rPr>
          <w:color w:val="231F20"/>
          <w:spacing w:val="-8"/>
          <w:vertAlign w:val="baseline"/>
        </w:rPr>
        <w:t> </w:t>
      </w:r>
      <w:r>
        <w:rPr>
          <w:color w:val="231F20"/>
          <w:spacing w:val="-2"/>
          <w:vertAlign w:val="baseline"/>
        </w:rPr>
        <w:t>Foccart,</w:t>
      </w:r>
      <w:r>
        <w:rPr>
          <w:color w:val="231F20"/>
          <w:spacing w:val="-8"/>
          <w:vertAlign w:val="baseline"/>
        </w:rPr>
        <w:t> </w:t>
      </w:r>
      <w:r>
        <w:rPr>
          <w:color w:val="231F20"/>
          <w:spacing w:val="-2"/>
          <w:vertAlign w:val="baseline"/>
        </w:rPr>
        <w:t>un</w:t>
      </w:r>
      <w:r>
        <w:rPr>
          <w:color w:val="231F20"/>
          <w:spacing w:val="-8"/>
          <w:vertAlign w:val="baseline"/>
        </w:rPr>
        <w:t> </w:t>
      </w:r>
      <w:r>
        <w:rPr>
          <w:color w:val="231F20"/>
          <w:spacing w:val="-2"/>
          <w:vertAlign w:val="baseline"/>
        </w:rPr>
        <w:t>résistant</w:t>
      </w:r>
      <w:r>
        <w:rPr>
          <w:color w:val="231F20"/>
          <w:spacing w:val="-7"/>
          <w:vertAlign w:val="baseline"/>
        </w:rPr>
        <w:t> </w:t>
      </w:r>
      <w:r>
        <w:rPr>
          <w:color w:val="231F20"/>
          <w:spacing w:val="-2"/>
          <w:vertAlign w:val="baseline"/>
        </w:rPr>
        <w:t>de</w:t>
      </w:r>
      <w:r>
        <w:rPr>
          <w:color w:val="231F20"/>
          <w:spacing w:val="-13"/>
          <w:vertAlign w:val="baseline"/>
        </w:rPr>
        <w:t> </w:t>
      </w:r>
      <w:r>
        <w:rPr>
          <w:color w:val="231F20"/>
          <w:spacing w:val="-2"/>
          <w:vertAlign w:val="baseline"/>
        </w:rPr>
        <w:t>la</w:t>
      </w:r>
      <w:r>
        <w:rPr>
          <w:color w:val="231F20"/>
          <w:spacing w:val="-8"/>
          <w:vertAlign w:val="baseline"/>
        </w:rPr>
        <w:t> </w:t>
      </w:r>
      <w:r>
        <w:rPr>
          <w:color w:val="231F20"/>
          <w:spacing w:val="-2"/>
          <w:vertAlign w:val="baseline"/>
        </w:rPr>
        <w:t>guerre</w:t>
      </w:r>
      <w:r>
        <w:rPr>
          <w:color w:val="231F20"/>
          <w:spacing w:val="-8"/>
          <w:vertAlign w:val="baseline"/>
        </w:rPr>
        <w:t> </w:t>
      </w:r>
      <w:r>
        <w:rPr>
          <w:color w:val="231F20"/>
          <w:spacing w:val="-2"/>
          <w:vertAlign w:val="baseline"/>
        </w:rPr>
        <w:t>qu’il</w:t>
      </w:r>
      <w:r>
        <w:rPr>
          <w:color w:val="231F20"/>
          <w:spacing w:val="-7"/>
          <w:vertAlign w:val="baseline"/>
        </w:rPr>
        <w:t> </w:t>
      </w:r>
      <w:r>
        <w:rPr>
          <w:color w:val="231F20"/>
          <w:spacing w:val="-2"/>
          <w:vertAlign w:val="baseline"/>
        </w:rPr>
        <w:t>a</w:t>
      </w:r>
      <w:r>
        <w:rPr>
          <w:color w:val="231F20"/>
          <w:spacing w:val="-11"/>
          <w:vertAlign w:val="baseline"/>
        </w:rPr>
        <w:t> </w:t>
      </w:r>
      <w:r>
        <w:rPr>
          <w:color w:val="231F20"/>
          <w:spacing w:val="-2"/>
          <w:vertAlign w:val="baseline"/>
        </w:rPr>
        <w:t>amené</w:t>
      </w:r>
      <w:r>
        <w:rPr>
          <w:color w:val="231F20"/>
          <w:spacing w:val="-8"/>
          <w:vertAlign w:val="baseline"/>
        </w:rPr>
        <w:t> </w:t>
      </w:r>
      <w:r>
        <w:rPr>
          <w:color w:val="231F20"/>
          <w:spacing w:val="-2"/>
          <w:vertAlign w:val="baseline"/>
        </w:rPr>
        <w:t>dans</w:t>
      </w:r>
      <w:r>
        <w:rPr>
          <w:color w:val="231F20"/>
          <w:spacing w:val="-8"/>
          <w:vertAlign w:val="baseline"/>
        </w:rPr>
        <w:t> </w:t>
      </w:r>
      <w:r>
        <w:rPr>
          <w:color w:val="231F20"/>
          <w:spacing w:val="-2"/>
          <w:vertAlign w:val="baseline"/>
        </w:rPr>
        <w:t>ses</w:t>
      </w:r>
      <w:r>
        <w:rPr>
          <w:color w:val="231F20"/>
          <w:spacing w:val="-8"/>
          <w:vertAlign w:val="baseline"/>
        </w:rPr>
        <w:t> </w:t>
      </w:r>
      <w:r>
        <w:rPr>
          <w:color w:val="231F20"/>
          <w:spacing w:val="-2"/>
          <w:vertAlign w:val="baseline"/>
        </w:rPr>
        <w:t>bagages </w:t>
      </w:r>
      <w:r>
        <w:rPr>
          <w:color w:val="231F20"/>
          <w:vertAlign w:val="baseline"/>
        </w:rPr>
        <w:t>avec</w:t>
      </w:r>
      <w:r>
        <w:rPr>
          <w:color w:val="231F20"/>
          <w:spacing w:val="-4"/>
          <w:vertAlign w:val="baseline"/>
        </w:rPr>
        <w:t> </w:t>
      </w:r>
      <w:r>
        <w:rPr>
          <w:color w:val="231F20"/>
          <w:vertAlign w:val="baseline"/>
        </w:rPr>
        <w:t>lui</w:t>
      </w:r>
      <w:r>
        <w:rPr>
          <w:color w:val="231F20"/>
          <w:spacing w:val="-4"/>
          <w:vertAlign w:val="baseline"/>
        </w:rPr>
        <w:t> </w:t>
      </w:r>
      <w:r>
        <w:rPr>
          <w:color w:val="231F20"/>
          <w:vertAlign w:val="baseline"/>
        </w:rPr>
        <w:t>à</w:t>
      </w:r>
      <w:r>
        <w:rPr>
          <w:color w:val="231F20"/>
          <w:spacing w:val="-4"/>
          <w:vertAlign w:val="baseline"/>
        </w:rPr>
        <w:t> </w:t>
      </w:r>
      <w:r>
        <w:rPr>
          <w:color w:val="231F20"/>
          <w:vertAlign w:val="baseline"/>
        </w:rPr>
        <w:t>Matignon</w:t>
      </w:r>
      <w:r>
        <w:rPr>
          <w:color w:val="231F20"/>
          <w:spacing w:val="-4"/>
          <w:vertAlign w:val="baseline"/>
        </w:rPr>
        <w:t> </w:t>
      </w:r>
      <w:r>
        <w:rPr>
          <w:color w:val="231F20"/>
          <w:vertAlign w:val="baseline"/>
        </w:rPr>
        <w:t>puis</w:t>
      </w:r>
      <w:r>
        <w:rPr>
          <w:color w:val="231F20"/>
          <w:spacing w:val="-6"/>
          <w:vertAlign w:val="baseline"/>
        </w:rPr>
        <w:t> </w:t>
      </w:r>
      <w:r>
        <w:rPr>
          <w:color w:val="231F20"/>
          <w:vertAlign w:val="baseline"/>
        </w:rPr>
        <w:t>à</w:t>
      </w:r>
      <w:r>
        <w:rPr>
          <w:color w:val="231F20"/>
          <w:spacing w:val="-5"/>
          <w:vertAlign w:val="baseline"/>
        </w:rPr>
        <w:t> </w:t>
      </w:r>
      <w:r>
        <w:rPr>
          <w:color w:val="231F20"/>
          <w:vertAlign w:val="baseline"/>
        </w:rPr>
        <w:t>l’Élysée</w:t>
      </w:r>
      <w:r>
        <w:rPr>
          <w:color w:val="231F20"/>
          <w:spacing w:val="-4"/>
          <w:vertAlign w:val="baseline"/>
        </w:rPr>
        <w:t> </w:t>
      </w:r>
      <w:r>
        <w:rPr>
          <w:color w:val="231F20"/>
          <w:vertAlign w:val="baseline"/>
        </w:rPr>
        <w:t>et</w:t>
      </w:r>
      <w:r>
        <w:rPr>
          <w:color w:val="231F20"/>
          <w:spacing w:val="-3"/>
          <w:vertAlign w:val="baseline"/>
        </w:rPr>
        <w:t> </w:t>
      </w:r>
      <w:r>
        <w:rPr>
          <w:color w:val="231F20"/>
          <w:vertAlign w:val="baseline"/>
        </w:rPr>
        <w:t>nommé</w:t>
      </w:r>
      <w:r>
        <w:rPr>
          <w:color w:val="231F20"/>
          <w:spacing w:val="-5"/>
          <w:vertAlign w:val="baseline"/>
        </w:rPr>
        <w:t> </w:t>
      </w:r>
      <w:r>
        <w:rPr>
          <w:color w:val="231F20"/>
          <w:vertAlign w:val="baseline"/>
        </w:rPr>
        <w:t>responsable</w:t>
      </w:r>
      <w:r>
        <w:rPr>
          <w:color w:val="231F20"/>
          <w:spacing w:val="-6"/>
          <w:vertAlign w:val="baseline"/>
        </w:rPr>
        <w:t> </w:t>
      </w:r>
      <w:r>
        <w:rPr>
          <w:color w:val="231F20"/>
          <w:vertAlign w:val="baseline"/>
        </w:rPr>
        <w:t>des</w:t>
      </w:r>
      <w:r>
        <w:rPr>
          <w:color w:val="231F20"/>
          <w:spacing w:val="-4"/>
          <w:vertAlign w:val="baseline"/>
        </w:rPr>
        <w:t> </w:t>
      </w:r>
      <w:r>
        <w:rPr>
          <w:color w:val="231F20"/>
          <w:vertAlign w:val="baseline"/>
        </w:rPr>
        <w:t>Affaires africaines, le soin de réfléchir sur le contenu de la Communauté</w:t>
      </w:r>
      <w:r>
        <w:rPr>
          <w:color w:val="231F20"/>
          <w:spacing w:val="-12"/>
          <w:vertAlign w:val="baseline"/>
        </w:rPr>
        <w:t> </w:t>
      </w:r>
      <w:r>
        <w:rPr>
          <w:color w:val="231F20"/>
          <w:vertAlign w:val="baseline"/>
        </w:rPr>
        <w:t>: transformer la nature juridique des liens qui doivent exister entre la métropole et ses colonies.</w:t>
      </w:r>
    </w:p>
    <w:p>
      <w:pPr>
        <w:pStyle w:val="BodyText"/>
        <w:spacing w:before="121"/>
        <w:ind w:right="104" w:firstLine="283"/>
      </w:pPr>
      <w:r>
        <w:rPr>
          <w:color w:val="231F20"/>
        </w:rPr>
        <w:t>L’article 76 de la Constitution du 4 octobre 1958 de la Cinquième République</w:t>
      </w:r>
      <w:r>
        <w:rPr>
          <w:color w:val="231F20"/>
          <w:spacing w:val="-14"/>
        </w:rPr>
        <w:t> </w:t>
      </w:r>
      <w:r>
        <w:rPr>
          <w:color w:val="231F20"/>
        </w:rPr>
        <w:t>donne</w:t>
      </w:r>
      <w:r>
        <w:rPr>
          <w:color w:val="231F20"/>
          <w:spacing w:val="-13"/>
        </w:rPr>
        <w:t> </w:t>
      </w:r>
      <w:r>
        <w:rPr>
          <w:color w:val="231F20"/>
        </w:rPr>
        <w:t>à</w:t>
      </w:r>
      <w:r>
        <w:rPr>
          <w:color w:val="231F20"/>
          <w:spacing w:val="-14"/>
        </w:rPr>
        <w:t> </w:t>
      </w:r>
      <w:r>
        <w:rPr>
          <w:color w:val="231F20"/>
        </w:rPr>
        <w:t>ses</w:t>
      </w:r>
      <w:r>
        <w:rPr>
          <w:color w:val="231F20"/>
          <w:spacing w:val="-14"/>
        </w:rPr>
        <w:t> </w:t>
      </w:r>
      <w:r>
        <w:rPr>
          <w:color w:val="231F20"/>
        </w:rPr>
        <w:t>Territoires</w:t>
      </w:r>
      <w:r>
        <w:rPr>
          <w:color w:val="231F20"/>
          <w:spacing w:val="-14"/>
        </w:rPr>
        <w:t> </w:t>
      </w:r>
      <w:r>
        <w:rPr>
          <w:color w:val="231F20"/>
        </w:rPr>
        <w:t>d’Outre-Mer,</w:t>
      </w:r>
      <w:r>
        <w:rPr>
          <w:color w:val="231F20"/>
          <w:spacing w:val="-15"/>
        </w:rPr>
        <w:t> </w:t>
      </w:r>
      <w:r>
        <w:rPr>
          <w:color w:val="231F20"/>
        </w:rPr>
        <w:t>le</w:t>
      </w:r>
      <w:r>
        <w:rPr>
          <w:color w:val="231F20"/>
          <w:spacing w:val="-15"/>
        </w:rPr>
        <w:t> </w:t>
      </w:r>
      <w:r>
        <w:rPr>
          <w:color w:val="231F20"/>
        </w:rPr>
        <w:t>choix</w:t>
      </w:r>
      <w:r>
        <w:rPr>
          <w:color w:val="231F20"/>
          <w:spacing w:val="-14"/>
        </w:rPr>
        <w:t> </w:t>
      </w:r>
      <w:r>
        <w:rPr>
          <w:color w:val="231F20"/>
        </w:rPr>
        <w:t>de</w:t>
      </w:r>
      <w:r>
        <w:rPr>
          <w:color w:val="231F20"/>
          <w:spacing w:val="-14"/>
        </w:rPr>
        <w:t> </w:t>
      </w:r>
      <w:r>
        <w:rPr>
          <w:color w:val="231F20"/>
        </w:rPr>
        <w:t>garder</w:t>
      </w:r>
      <w:r>
        <w:rPr>
          <w:color w:val="231F20"/>
          <w:spacing w:val="-14"/>
        </w:rPr>
        <w:t> </w:t>
      </w:r>
      <w:r>
        <w:rPr>
          <w:color w:val="231F20"/>
        </w:rPr>
        <w:t>leur statut au sein de la République.</w:t>
      </w:r>
    </w:p>
    <w:p>
      <w:pPr>
        <w:pStyle w:val="BodyText"/>
        <w:spacing w:before="120"/>
        <w:ind w:right="105" w:firstLine="283"/>
      </w:pPr>
      <w:r>
        <w:rPr>
          <w:color w:val="231F20"/>
        </w:rPr>
        <w:t>S’ils en manifestent la volonté par délibération de leur assemblée territoriale, ils deviennent soit départements d’Outre-Mer de la République, soit, groupés ou non entre eux, Etats membres de la </w:t>
      </w:r>
      <w:r>
        <w:rPr>
          <w:color w:val="231F20"/>
          <w:spacing w:val="-2"/>
        </w:rPr>
        <w:t>Communauté.</w:t>
      </w:r>
    </w:p>
    <w:p>
      <w:pPr>
        <w:pStyle w:val="BodyText"/>
        <w:spacing w:before="120"/>
        <w:ind w:left="395"/>
      </w:pPr>
      <w:r>
        <w:rPr>
          <w:color w:val="231F20"/>
          <w:spacing w:val="-2"/>
        </w:rPr>
        <w:t>Des</w:t>
      </w:r>
      <w:r>
        <w:rPr>
          <w:color w:val="231F20"/>
          <w:spacing w:val="-15"/>
        </w:rPr>
        <w:t> </w:t>
      </w:r>
      <w:r>
        <w:rPr>
          <w:color w:val="231F20"/>
          <w:spacing w:val="-2"/>
        </w:rPr>
        <w:t>groupes</w:t>
      </w:r>
      <w:r>
        <w:rPr>
          <w:color w:val="231F20"/>
          <w:spacing w:val="-13"/>
        </w:rPr>
        <w:t> </w:t>
      </w:r>
      <w:r>
        <w:rPr>
          <w:color w:val="231F20"/>
          <w:spacing w:val="-2"/>
        </w:rPr>
        <w:t>d’intérêts</w:t>
      </w:r>
      <w:r>
        <w:rPr>
          <w:color w:val="231F20"/>
          <w:spacing w:val="-11"/>
        </w:rPr>
        <w:t> </w:t>
      </w:r>
      <w:r>
        <w:rPr>
          <w:color w:val="231F20"/>
          <w:spacing w:val="-2"/>
        </w:rPr>
        <w:t>partisans</w:t>
      </w:r>
      <w:r>
        <w:rPr>
          <w:color w:val="231F20"/>
          <w:spacing w:val="-12"/>
        </w:rPr>
        <w:t> </w:t>
      </w:r>
      <w:r>
        <w:rPr>
          <w:color w:val="231F20"/>
          <w:spacing w:val="-2"/>
        </w:rPr>
        <w:t>se</w:t>
      </w:r>
      <w:r>
        <w:rPr>
          <w:color w:val="231F20"/>
          <w:spacing w:val="-12"/>
        </w:rPr>
        <w:t> </w:t>
      </w:r>
      <w:r>
        <w:rPr>
          <w:color w:val="231F20"/>
          <w:spacing w:val="-2"/>
        </w:rPr>
        <w:t>forment.</w:t>
      </w:r>
      <w:r>
        <w:rPr>
          <w:color w:val="231F20"/>
          <w:spacing w:val="-10"/>
        </w:rPr>
        <w:t> </w:t>
      </w:r>
      <w:r>
        <w:rPr>
          <w:color w:val="231F20"/>
          <w:spacing w:val="-2"/>
        </w:rPr>
        <w:t>La</w:t>
      </w:r>
      <w:r>
        <w:rPr>
          <w:color w:val="231F20"/>
          <w:spacing w:val="-13"/>
        </w:rPr>
        <w:t> </w:t>
      </w:r>
      <w:r>
        <w:rPr>
          <w:color w:val="231F20"/>
          <w:spacing w:val="-2"/>
        </w:rPr>
        <w:t>division</w:t>
      </w:r>
      <w:r>
        <w:rPr>
          <w:color w:val="231F20"/>
          <w:spacing w:val="-12"/>
        </w:rPr>
        <w:t> </w:t>
      </w:r>
      <w:r>
        <w:rPr>
          <w:color w:val="231F20"/>
          <w:spacing w:val="-2"/>
        </w:rPr>
        <w:t>s’installe.</w:t>
      </w:r>
    </w:p>
    <w:p>
      <w:pPr>
        <w:pStyle w:val="BodyText"/>
        <w:spacing w:before="120"/>
        <w:ind w:right="105" w:firstLine="283"/>
      </w:pPr>
      <w:r>
        <w:rPr>
          <w:color w:val="231F20"/>
        </w:rPr>
        <w:t>Léopold Sédar Senghor député du Sénégal, souhaite un projet de </w:t>
      </w:r>
      <w:r>
        <w:rPr>
          <w:color w:val="231F20"/>
          <w:spacing w:val="-4"/>
        </w:rPr>
        <w:t>transformation</w:t>
      </w:r>
      <w:r>
        <w:rPr>
          <w:color w:val="231F20"/>
          <w:spacing w:val="-11"/>
        </w:rPr>
        <w:t> </w:t>
      </w:r>
      <w:r>
        <w:rPr>
          <w:color w:val="231F20"/>
          <w:spacing w:val="-4"/>
        </w:rPr>
        <w:t>progressive</w:t>
      </w:r>
      <w:r>
        <w:rPr>
          <w:color w:val="231F20"/>
          <w:spacing w:val="-11"/>
        </w:rPr>
        <w:t> </w:t>
      </w:r>
      <w:r>
        <w:rPr>
          <w:color w:val="231F20"/>
          <w:spacing w:val="-4"/>
        </w:rPr>
        <w:t>de</w:t>
      </w:r>
      <w:r>
        <w:rPr>
          <w:color w:val="231F20"/>
          <w:spacing w:val="-11"/>
        </w:rPr>
        <w:t> </w:t>
      </w:r>
      <w:r>
        <w:rPr>
          <w:color w:val="231F20"/>
          <w:spacing w:val="-4"/>
        </w:rPr>
        <w:t>l’Union</w:t>
      </w:r>
      <w:r>
        <w:rPr>
          <w:color w:val="231F20"/>
          <w:spacing w:val="-11"/>
        </w:rPr>
        <w:t> </w:t>
      </w:r>
      <w:r>
        <w:rPr>
          <w:color w:val="231F20"/>
          <w:spacing w:val="-4"/>
        </w:rPr>
        <w:t>française</w:t>
      </w:r>
      <w:r>
        <w:rPr>
          <w:color w:val="231F20"/>
          <w:spacing w:val="-11"/>
        </w:rPr>
        <w:t> </w:t>
      </w:r>
      <w:r>
        <w:rPr>
          <w:color w:val="231F20"/>
          <w:spacing w:val="-4"/>
        </w:rPr>
        <w:t>en</w:t>
      </w:r>
      <w:r>
        <w:rPr>
          <w:color w:val="231F20"/>
          <w:spacing w:val="-11"/>
        </w:rPr>
        <w:t> </w:t>
      </w:r>
      <w:r>
        <w:rPr>
          <w:color w:val="231F20"/>
          <w:spacing w:val="-4"/>
        </w:rPr>
        <w:t>une</w:t>
      </w:r>
      <w:r>
        <w:rPr>
          <w:color w:val="231F20"/>
          <w:spacing w:val="-11"/>
        </w:rPr>
        <w:t> </w:t>
      </w:r>
      <w:r>
        <w:rPr>
          <w:color w:val="231F20"/>
          <w:spacing w:val="-4"/>
        </w:rPr>
        <w:t>fédération</w:t>
      </w:r>
      <w:r>
        <w:rPr>
          <w:color w:val="231F20"/>
          <w:spacing w:val="-10"/>
        </w:rPr>
        <w:t> </w:t>
      </w:r>
      <w:r>
        <w:rPr>
          <w:color w:val="231F20"/>
          <w:spacing w:val="-4"/>
        </w:rPr>
        <w:t>d’États. </w:t>
      </w:r>
      <w:r>
        <w:rPr>
          <w:color w:val="231F20"/>
          <w:spacing w:val="-2"/>
        </w:rPr>
        <w:t>Il</w:t>
      </w:r>
      <w:r>
        <w:rPr>
          <w:color w:val="231F20"/>
          <w:spacing w:val="-13"/>
        </w:rPr>
        <w:t> </w:t>
      </w:r>
      <w:r>
        <w:rPr>
          <w:color w:val="231F20"/>
          <w:spacing w:val="-2"/>
        </w:rPr>
        <w:t>souligne</w:t>
      </w:r>
      <w:r>
        <w:rPr>
          <w:color w:val="231F20"/>
          <w:spacing w:val="-13"/>
        </w:rPr>
        <w:t> </w:t>
      </w:r>
      <w:r>
        <w:rPr>
          <w:color w:val="231F20"/>
          <w:spacing w:val="-2"/>
        </w:rPr>
        <w:t>l’ineptie</w:t>
      </w:r>
      <w:r>
        <w:rPr>
          <w:color w:val="231F20"/>
          <w:spacing w:val="-13"/>
        </w:rPr>
        <w:t> </w:t>
      </w:r>
      <w:r>
        <w:rPr>
          <w:color w:val="231F20"/>
          <w:spacing w:val="-2"/>
        </w:rPr>
        <w:t>du</w:t>
      </w:r>
      <w:r>
        <w:rPr>
          <w:color w:val="231F20"/>
          <w:spacing w:val="-13"/>
        </w:rPr>
        <w:t> </w:t>
      </w:r>
      <w:r>
        <w:rPr>
          <w:color w:val="231F20"/>
          <w:spacing w:val="-2"/>
        </w:rPr>
        <w:t>concept</w:t>
      </w:r>
      <w:r>
        <w:rPr>
          <w:color w:val="231F20"/>
          <w:spacing w:val="-13"/>
        </w:rPr>
        <w:t> </w:t>
      </w:r>
      <w:r>
        <w:rPr>
          <w:color w:val="231F20"/>
          <w:spacing w:val="-2"/>
        </w:rPr>
        <w:t>assimilationniste</w:t>
      </w:r>
      <w:r>
        <w:rPr>
          <w:color w:val="76787A"/>
          <w:spacing w:val="-2"/>
          <w:vertAlign w:val="superscript"/>
        </w:rPr>
        <w:t>37</w:t>
      </w:r>
      <w:r>
        <w:rPr>
          <w:color w:val="76787A"/>
          <w:spacing w:val="-13"/>
          <w:vertAlign w:val="baseline"/>
        </w:rPr>
        <w:t> </w:t>
      </w:r>
      <w:r>
        <w:rPr>
          <w:color w:val="231F20"/>
          <w:spacing w:val="-2"/>
          <w:vertAlign w:val="baseline"/>
        </w:rPr>
        <w:t>mais</w:t>
      </w:r>
      <w:r>
        <w:rPr>
          <w:color w:val="231F20"/>
          <w:spacing w:val="-13"/>
          <w:vertAlign w:val="baseline"/>
        </w:rPr>
        <w:t> </w:t>
      </w:r>
      <w:r>
        <w:rPr>
          <w:color w:val="231F20"/>
          <w:spacing w:val="-2"/>
          <w:vertAlign w:val="baseline"/>
        </w:rPr>
        <w:t>tient</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garder</w:t>
      </w:r>
      <w:r>
        <w:rPr>
          <w:color w:val="231F20"/>
          <w:spacing w:val="-13"/>
          <w:vertAlign w:val="baseline"/>
        </w:rPr>
        <w:t> </w:t>
      </w:r>
      <w:r>
        <w:rPr>
          <w:color w:val="231F20"/>
          <w:spacing w:val="-2"/>
          <w:vertAlign w:val="baseline"/>
        </w:rPr>
        <w:t>des </w:t>
      </w:r>
      <w:r>
        <w:rPr>
          <w:color w:val="231F20"/>
          <w:vertAlign w:val="baseline"/>
        </w:rPr>
        <w:t>liens</w:t>
      </w:r>
      <w:r>
        <w:rPr>
          <w:color w:val="231F20"/>
          <w:spacing w:val="-14"/>
          <w:vertAlign w:val="baseline"/>
        </w:rPr>
        <w:t> </w:t>
      </w:r>
      <w:r>
        <w:rPr>
          <w:color w:val="231F20"/>
          <w:vertAlign w:val="baseline"/>
        </w:rPr>
        <w:t>«</w:t>
      </w:r>
      <w:r>
        <w:rPr>
          <w:color w:val="231F20"/>
          <w:spacing w:val="-12"/>
          <w:vertAlign w:val="baseline"/>
        </w:rPr>
        <w:t> </w:t>
      </w:r>
      <w:r>
        <w:rPr>
          <w:color w:val="231F20"/>
          <w:vertAlign w:val="baseline"/>
        </w:rPr>
        <w:t>étroits</w:t>
      </w:r>
      <w:r>
        <w:rPr>
          <w:color w:val="231F20"/>
          <w:spacing w:val="-12"/>
          <w:vertAlign w:val="baseline"/>
        </w:rPr>
        <w:t> </w:t>
      </w:r>
      <w:r>
        <w:rPr>
          <w:color w:val="231F20"/>
          <w:vertAlign w:val="baseline"/>
        </w:rPr>
        <w:t>» avec la France. Ses partisans de la thèse fédérale soutiennent que la réunion de plusieurs territoires en une fédération </w:t>
      </w:r>
      <w:r>
        <w:rPr>
          <w:color w:val="231F20"/>
          <w:spacing w:val="-2"/>
          <w:vertAlign w:val="baseline"/>
        </w:rPr>
        <w:t>faciliterait</w:t>
      </w:r>
      <w:r>
        <w:rPr>
          <w:color w:val="231F20"/>
          <w:spacing w:val="-12"/>
          <w:vertAlign w:val="baseline"/>
        </w:rPr>
        <w:t> </w:t>
      </w:r>
      <w:r>
        <w:rPr>
          <w:color w:val="231F20"/>
          <w:spacing w:val="-2"/>
          <w:vertAlign w:val="baseline"/>
        </w:rPr>
        <w:t>la</w:t>
      </w:r>
      <w:r>
        <w:rPr>
          <w:color w:val="231F20"/>
          <w:spacing w:val="-9"/>
          <w:vertAlign w:val="baseline"/>
        </w:rPr>
        <w:t> </w:t>
      </w:r>
      <w:r>
        <w:rPr>
          <w:color w:val="231F20"/>
          <w:spacing w:val="-2"/>
          <w:vertAlign w:val="baseline"/>
        </w:rPr>
        <w:t>mise</w:t>
      </w:r>
      <w:r>
        <w:rPr>
          <w:color w:val="231F20"/>
          <w:spacing w:val="-9"/>
          <w:vertAlign w:val="baseline"/>
        </w:rPr>
        <w:t> </w:t>
      </w:r>
      <w:r>
        <w:rPr>
          <w:color w:val="231F20"/>
          <w:spacing w:val="-2"/>
          <w:vertAlign w:val="baseline"/>
        </w:rPr>
        <w:t>en</w:t>
      </w:r>
      <w:r>
        <w:rPr>
          <w:color w:val="231F20"/>
          <w:spacing w:val="-9"/>
          <w:vertAlign w:val="baseline"/>
        </w:rPr>
        <w:t> </w:t>
      </w:r>
      <w:r>
        <w:rPr>
          <w:color w:val="231F20"/>
          <w:spacing w:val="-2"/>
          <w:vertAlign w:val="baseline"/>
        </w:rPr>
        <w:t>œuvre</w:t>
      </w:r>
      <w:r>
        <w:rPr>
          <w:color w:val="231F20"/>
          <w:spacing w:val="-9"/>
          <w:vertAlign w:val="baseline"/>
        </w:rPr>
        <w:t> </w:t>
      </w:r>
      <w:r>
        <w:rPr>
          <w:color w:val="231F20"/>
          <w:spacing w:val="-2"/>
          <w:vertAlign w:val="baseline"/>
        </w:rPr>
        <w:t>des</w:t>
      </w:r>
      <w:r>
        <w:rPr>
          <w:color w:val="231F20"/>
          <w:spacing w:val="-9"/>
          <w:vertAlign w:val="baseline"/>
        </w:rPr>
        <w:t> </w:t>
      </w:r>
      <w:r>
        <w:rPr>
          <w:color w:val="231F20"/>
          <w:spacing w:val="-2"/>
          <w:vertAlign w:val="baseline"/>
        </w:rPr>
        <w:t>plans</w:t>
      </w:r>
      <w:r>
        <w:rPr>
          <w:color w:val="231F20"/>
          <w:spacing w:val="-12"/>
          <w:vertAlign w:val="baseline"/>
        </w:rPr>
        <w:t> </w:t>
      </w:r>
      <w:r>
        <w:rPr>
          <w:color w:val="231F20"/>
          <w:spacing w:val="-2"/>
          <w:vertAlign w:val="baseline"/>
        </w:rPr>
        <w:t>de</w:t>
      </w:r>
      <w:r>
        <w:rPr>
          <w:color w:val="231F20"/>
          <w:spacing w:val="-9"/>
          <w:vertAlign w:val="baseline"/>
        </w:rPr>
        <w:t> </w:t>
      </w:r>
      <w:r>
        <w:rPr>
          <w:color w:val="231F20"/>
          <w:spacing w:val="-2"/>
          <w:vertAlign w:val="baseline"/>
        </w:rPr>
        <w:t>développement,</w:t>
      </w:r>
      <w:r>
        <w:rPr>
          <w:color w:val="231F20"/>
          <w:spacing w:val="-12"/>
          <w:vertAlign w:val="baseline"/>
        </w:rPr>
        <w:t> </w:t>
      </w:r>
      <w:r>
        <w:rPr>
          <w:color w:val="231F20"/>
          <w:spacing w:val="-2"/>
          <w:vertAlign w:val="baseline"/>
        </w:rPr>
        <w:t>organiserait</w:t>
      </w:r>
      <w:r>
        <w:rPr>
          <w:color w:val="231F20"/>
          <w:spacing w:val="-8"/>
          <w:vertAlign w:val="baseline"/>
        </w:rPr>
        <w:t> </w:t>
      </w:r>
      <w:r>
        <w:rPr>
          <w:color w:val="231F20"/>
          <w:spacing w:val="-2"/>
          <w:vertAlign w:val="baseline"/>
        </w:rPr>
        <w:t>un </w:t>
      </w:r>
      <w:r>
        <w:rPr>
          <w:color w:val="231F20"/>
          <w:vertAlign w:val="baseline"/>
        </w:rPr>
        <w:t>marché plus vaste et permettrait le dialogue avec la métropole sur une base</w:t>
      </w:r>
      <w:r>
        <w:rPr>
          <w:color w:val="231F20"/>
          <w:spacing w:val="-9"/>
          <w:vertAlign w:val="baseline"/>
        </w:rPr>
        <w:t> </w:t>
      </w:r>
      <w:r>
        <w:rPr>
          <w:color w:val="231F20"/>
          <w:vertAlign w:val="baseline"/>
        </w:rPr>
        <w:t>de</w:t>
      </w:r>
      <w:r>
        <w:rPr>
          <w:color w:val="231F20"/>
          <w:spacing w:val="-9"/>
          <w:vertAlign w:val="baseline"/>
        </w:rPr>
        <w:t> </w:t>
      </w:r>
      <w:r>
        <w:rPr>
          <w:color w:val="231F20"/>
          <w:vertAlign w:val="baseline"/>
        </w:rPr>
        <w:t>relative</w:t>
      </w:r>
      <w:r>
        <w:rPr>
          <w:color w:val="231F20"/>
          <w:spacing w:val="-9"/>
          <w:vertAlign w:val="baseline"/>
        </w:rPr>
        <w:t> </w:t>
      </w:r>
      <w:r>
        <w:rPr>
          <w:color w:val="231F20"/>
          <w:vertAlign w:val="baseline"/>
        </w:rPr>
        <w:t>égalité.</w:t>
      </w:r>
      <w:r>
        <w:rPr>
          <w:color w:val="231F20"/>
          <w:spacing w:val="-9"/>
          <w:vertAlign w:val="baseline"/>
        </w:rPr>
        <w:t> </w:t>
      </w:r>
      <w:r>
        <w:rPr>
          <w:color w:val="231F20"/>
          <w:vertAlign w:val="baseline"/>
        </w:rPr>
        <w:t>À</w:t>
      </w:r>
      <w:r>
        <w:rPr>
          <w:color w:val="231F20"/>
          <w:spacing w:val="-9"/>
          <w:vertAlign w:val="baseline"/>
        </w:rPr>
        <w:t> </w:t>
      </w:r>
      <w:r>
        <w:rPr>
          <w:color w:val="231F20"/>
          <w:vertAlign w:val="baseline"/>
        </w:rPr>
        <w:t>cela</w:t>
      </w:r>
      <w:r>
        <w:rPr>
          <w:color w:val="231F20"/>
          <w:spacing w:val="-9"/>
          <w:vertAlign w:val="baseline"/>
        </w:rPr>
        <w:t> </w:t>
      </w:r>
      <w:r>
        <w:rPr>
          <w:color w:val="231F20"/>
          <w:vertAlign w:val="baseline"/>
        </w:rPr>
        <w:t>les</w:t>
      </w:r>
      <w:r>
        <w:rPr>
          <w:color w:val="231F20"/>
          <w:spacing w:val="-9"/>
          <w:vertAlign w:val="baseline"/>
        </w:rPr>
        <w:t> </w:t>
      </w:r>
      <w:r>
        <w:rPr>
          <w:color w:val="231F20"/>
          <w:vertAlign w:val="baseline"/>
        </w:rPr>
        <w:t>tenants</w:t>
      </w:r>
      <w:r>
        <w:rPr>
          <w:color w:val="231F20"/>
          <w:spacing w:val="-9"/>
          <w:vertAlign w:val="baseline"/>
        </w:rPr>
        <w:t> </w:t>
      </w:r>
      <w:r>
        <w:rPr>
          <w:color w:val="231F20"/>
          <w:vertAlign w:val="baseline"/>
        </w:rPr>
        <w:t>de</w:t>
      </w:r>
      <w:r>
        <w:rPr>
          <w:color w:val="231F20"/>
          <w:spacing w:val="-9"/>
          <w:vertAlign w:val="baseline"/>
        </w:rPr>
        <w:t> </w:t>
      </w:r>
      <w:r>
        <w:rPr>
          <w:color w:val="231F20"/>
          <w:vertAlign w:val="baseline"/>
        </w:rPr>
        <w:t>la</w:t>
      </w:r>
      <w:r>
        <w:rPr>
          <w:color w:val="231F20"/>
          <w:spacing w:val="-9"/>
          <w:vertAlign w:val="baseline"/>
        </w:rPr>
        <w:t> </w:t>
      </w:r>
      <w:r>
        <w:rPr>
          <w:color w:val="231F20"/>
          <w:vertAlign w:val="baseline"/>
        </w:rPr>
        <w:t>thèse</w:t>
      </w:r>
      <w:r>
        <w:rPr>
          <w:color w:val="231F20"/>
          <w:spacing w:val="-9"/>
          <w:vertAlign w:val="baseline"/>
        </w:rPr>
        <w:t> </w:t>
      </w:r>
      <w:r>
        <w:rPr>
          <w:color w:val="231F20"/>
          <w:vertAlign w:val="baseline"/>
        </w:rPr>
        <w:t>territoriale,</w:t>
      </w:r>
      <w:r>
        <w:rPr>
          <w:color w:val="231F20"/>
          <w:spacing w:val="-8"/>
          <w:vertAlign w:val="baseline"/>
        </w:rPr>
        <w:t> </w:t>
      </w:r>
      <w:r>
        <w:rPr>
          <w:color w:val="231F20"/>
          <w:vertAlign w:val="baseline"/>
        </w:rPr>
        <w:t>autour de</w:t>
      </w:r>
      <w:r>
        <w:rPr>
          <w:color w:val="231F20"/>
          <w:spacing w:val="-10"/>
          <w:vertAlign w:val="baseline"/>
        </w:rPr>
        <w:t> </w:t>
      </w:r>
      <w:r>
        <w:rPr>
          <w:color w:val="231F20"/>
          <w:vertAlign w:val="baseline"/>
        </w:rPr>
        <w:t>Félix</w:t>
      </w:r>
      <w:r>
        <w:rPr>
          <w:color w:val="231F20"/>
          <w:spacing w:val="-10"/>
          <w:vertAlign w:val="baseline"/>
        </w:rPr>
        <w:t> </w:t>
      </w:r>
      <w:r>
        <w:rPr>
          <w:color w:val="231F20"/>
          <w:vertAlign w:val="baseline"/>
        </w:rPr>
        <w:t>Houphouët-Boigny,</w:t>
      </w:r>
      <w:r>
        <w:rPr>
          <w:color w:val="231F20"/>
          <w:spacing w:val="-10"/>
          <w:vertAlign w:val="baseline"/>
        </w:rPr>
        <w:t> </w:t>
      </w:r>
      <w:r>
        <w:rPr>
          <w:color w:val="231F20"/>
          <w:vertAlign w:val="baseline"/>
        </w:rPr>
        <w:t>député</w:t>
      </w:r>
      <w:r>
        <w:rPr>
          <w:color w:val="231F20"/>
          <w:spacing w:val="-10"/>
          <w:vertAlign w:val="baseline"/>
        </w:rPr>
        <w:t> </w:t>
      </w:r>
      <w:r>
        <w:rPr>
          <w:color w:val="231F20"/>
          <w:vertAlign w:val="baseline"/>
        </w:rPr>
        <w:t>de</w:t>
      </w:r>
      <w:r>
        <w:rPr>
          <w:color w:val="231F20"/>
          <w:spacing w:val="-11"/>
          <w:vertAlign w:val="baseline"/>
        </w:rPr>
        <w:t> </w:t>
      </w:r>
      <w:r>
        <w:rPr>
          <w:color w:val="231F20"/>
          <w:vertAlign w:val="baseline"/>
        </w:rPr>
        <w:t>Côte</w:t>
      </w:r>
      <w:r>
        <w:rPr>
          <w:color w:val="231F20"/>
          <w:spacing w:val="-11"/>
          <w:vertAlign w:val="baseline"/>
        </w:rPr>
        <w:t> </w:t>
      </w:r>
      <w:r>
        <w:rPr>
          <w:color w:val="231F20"/>
          <w:vertAlign w:val="baseline"/>
        </w:rPr>
        <w:t>d’ivoire,</w:t>
      </w:r>
      <w:r>
        <w:rPr>
          <w:color w:val="231F20"/>
          <w:spacing w:val="-10"/>
          <w:vertAlign w:val="baseline"/>
        </w:rPr>
        <w:t> </w:t>
      </w:r>
      <w:r>
        <w:rPr>
          <w:color w:val="231F20"/>
          <w:vertAlign w:val="baseline"/>
        </w:rPr>
        <w:t>ministre</w:t>
      </w:r>
      <w:r>
        <w:rPr>
          <w:color w:val="231F20"/>
          <w:spacing w:val="-10"/>
          <w:vertAlign w:val="baseline"/>
        </w:rPr>
        <w:t> </w:t>
      </w:r>
      <w:r>
        <w:rPr>
          <w:color w:val="231F20"/>
          <w:vertAlign w:val="baseline"/>
        </w:rPr>
        <w:t>d’État</w:t>
      </w:r>
      <w:r>
        <w:rPr>
          <w:color w:val="231F20"/>
          <w:spacing w:val="-9"/>
          <w:vertAlign w:val="baseline"/>
        </w:rPr>
        <w:t> </w:t>
      </w:r>
      <w:r>
        <w:rPr>
          <w:color w:val="231F20"/>
          <w:vertAlign w:val="baseline"/>
        </w:rPr>
        <w:t>et président</w:t>
      </w:r>
      <w:r>
        <w:rPr>
          <w:color w:val="231F20"/>
          <w:spacing w:val="-7"/>
          <w:vertAlign w:val="baseline"/>
        </w:rPr>
        <w:t> </w:t>
      </w:r>
      <w:r>
        <w:rPr>
          <w:color w:val="231F20"/>
          <w:vertAlign w:val="baseline"/>
        </w:rPr>
        <w:t>du</w:t>
      </w:r>
      <w:r>
        <w:rPr>
          <w:color w:val="231F20"/>
          <w:spacing w:val="-7"/>
          <w:vertAlign w:val="baseline"/>
        </w:rPr>
        <w:t> </w:t>
      </w:r>
      <w:r>
        <w:rPr>
          <w:color w:val="231F20"/>
          <w:vertAlign w:val="baseline"/>
        </w:rPr>
        <w:t>R.D.A</w:t>
      </w:r>
      <w:r>
        <w:rPr>
          <w:color w:val="231F20"/>
          <w:spacing w:val="-5"/>
          <w:vertAlign w:val="baseline"/>
        </w:rPr>
        <w:t> </w:t>
      </w:r>
      <w:r>
        <w:rPr>
          <w:color w:val="231F20"/>
          <w:vertAlign w:val="baseline"/>
        </w:rPr>
        <w:t>(Rassemblement</w:t>
      </w:r>
      <w:r>
        <w:rPr>
          <w:color w:val="231F20"/>
          <w:spacing w:val="-7"/>
          <w:vertAlign w:val="baseline"/>
        </w:rPr>
        <w:t> </w:t>
      </w:r>
      <w:r>
        <w:rPr>
          <w:color w:val="231F20"/>
          <w:vertAlign w:val="baseline"/>
        </w:rPr>
        <w:t>démocratique</w:t>
      </w:r>
      <w:r>
        <w:rPr>
          <w:color w:val="231F20"/>
          <w:spacing w:val="-6"/>
          <w:vertAlign w:val="baseline"/>
        </w:rPr>
        <w:t> </w:t>
      </w:r>
      <w:r>
        <w:rPr>
          <w:color w:val="231F20"/>
          <w:vertAlign w:val="baseline"/>
        </w:rPr>
        <w:t>africain),</w:t>
      </w:r>
      <w:r>
        <w:rPr>
          <w:color w:val="231F20"/>
          <w:spacing w:val="-4"/>
          <w:vertAlign w:val="baseline"/>
        </w:rPr>
        <w:t> </w:t>
      </w:r>
      <w:r>
        <w:rPr>
          <w:color w:val="231F20"/>
          <w:spacing w:val="-2"/>
          <w:vertAlign w:val="baseline"/>
        </w:rPr>
        <w:t>répondent</w:t>
      </w:r>
    </w:p>
    <w:p>
      <w:pPr>
        <w:pStyle w:val="BodyText"/>
        <w:spacing w:before="162"/>
        <w:ind w:left="0"/>
        <w:jc w:val="left"/>
        <w:rPr>
          <w:sz w:val="20"/>
        </w:rPr>
      </w:pPr>
      <w:r>
        <w:rPr/>
        <mc:AlternateContent>
          <mc:Choice Requires="wps">
            <w:drawing>
              <wp:anchor distT="0" distB="0" distL="0" distR="0" allowOverlap="1" layoutInCell="1" locked="0" behindDoc="1" simplePos="0" relativeHeight="487598592">
                <wp:simplePos x="0" y="0"/>
                <wp:positionH relativeFrom="page">
                  <wp:posOffset>629907</wp:posOffset>
                </wp:positionH>
                <wp:positionV relativeFrom="paragraph">
                  <wp:posOffset>264737</wp:posOffset>
                </wp:positionV>
                <wp:extent cx="1829435" cy="9525"/>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845469pt;width:144.020pt;height:.72pt;mso-position-horizontal-relative:page;mso-position-vertical-relative:paragraph;z-index:-15717888;mso-wrap-distance-left:0;mso-wrap-distance-right:0" id="docshape32" filled="true" fillcolor="#231f20" stroked="false">
                <v:fill type="solid"/>
                <w10:wrap type="topAndBottom"/>
              </v:rect>
            </w:pict>
          </mc:Fallback>
        </mc:AlternateContent>
      </w:r>
    </w:p>
    <w:p>
      <w:pPr>
        <w:spacing w:before="94"/>
        <w:ind w:left="111" w:right="103" w:firstLine="0"/>
        <w:jc w:val="both"/>
        <w:rPr>
          <w:sz w:val="20"/>
        </w:rPr>
      </w:pPr>
      <w:r>
        <w:rPr>
          <w:color w:val="1F2021"/>
          <w:sz w:val="20"/>
        </w:rPr>
        <w:t>Membre de la</w:t>
      </w:r>
      <w:r>
        <w:rPr>
          <w:color w:val="1F2021"/>
          <w:spacing w:val="-13"/>
          <w:sz w:val="20"/>
        </w:rPr>
        <w:t> </w:t>
      </w:r>
      <w:r>
        <w:rPr>
          <w:color w:val="1F2021"/>
          <w:sz w:val="20"/>
        </w:rPr>
        <w:t>Section française de l'Internationale ouvrière</w:t>
      </w:r>
      <w:r>
        <w:rPr>
          <w:color w:val="1F2021"/>
          <w:spacing w:val="-13"/>
          <w:sz w:val="20"/>
        </w:rPr>
        <w:t> </w:t>
      </w:r>
      <w:r>
        <w:rPr>
          <w:color w:val="1F2021"/>
          <w:sz w:val="20"/>
        </w:rPr>
        <w:t>(SFIO) puis du</w:t>
      </w:r>
      <w:r>
        <w:rPr>
          <w:color w:val="1F2021"/>
          <w:spacing w:val="-12"/>
          <w:sz w:val="20"/>
        </w:rPr>
        <w:t> </w:t>
      </w:r>
      <w:r>
        <w:rPr>
          <w:color w:val="1F2021"/>
          <w:sz w:val="20"/>
        </w:rPr>
        <w:t>Parti </w:t>
      </w:r>
      <w:r>
        <w:rPr>
          <w:color w:val="1F2021"/>
          <w:spacing w:val="-2"/>
          <w:sz w:val="20"/>
        </w:rPr>
        <w:t>socialiste,</w:t>
      </w:r>
      <w:r>
        <w:rPr>
          <w:color w:val="1F2021"/>
          <w:spacing w:val="-6"/>
          <w:sz w:val="20"/>
        </w:rPr>
        <w:t> </w:t>
      </w:r>
      <w:r>
        <w:rPr>
          <w:color w:val="1F2021"/>
          <w:spacing w:val="-2"/>
          <w:sz w:val="20"/>
        </w:rPr>
        <w:t>il</w:t>
      </w:r>
      <w:r>
        <w:rPr>
          <w:color w:val="1F2021"/>
          <w:spacing w:val="-6"/>
          <w:sz w:val="20"/>
        </w:rPr>
        <w:t> </w:t>
      </w:r>
      <w:r>
        <w:rPr>
          <w:color w:val="1F2021"/>
          <w:spacing w:val="-2"/>
          <w:sz w:val="20"/>
        </w:rPr>
        <w:t>est</w:t>
      </w:r>
      <w:r>
        <w:rPr>
          <w:color w:val="1F2021"/>
          <w:spacing w:val="-7"/>
          <w:sz w:val="20"/>
        </w:rPr>
        <w:t> </w:t>
      </w:r>
      <w:r>
        <w:rPr>
          <w:color w:val="1F2021"/>
          <w:spacing w:val="-2"/>
          <w:sz w:val="20"/>
        </w:rPr>
        <w:t>maire</w:t>
      </w:r>
      <w:r>
        <w:rPr>
          <w:color w:val="1F2021"/>
          <w:spacing w:val="-8"/>
          <w:sz w:val="20"/>
        </w:rPr>
        <w:t> </w:t>
      </w:r>
      <w:r>
        <w:rPr>
          <w:color w:val="1F2021"/>
          <w:spacing w:val="-2"/>
          <w:sz w:val="20"/>
        </w:rPr>
        <w:t>de</w:t>
      </w:r>
      <w:r>
        <w:rPr>
          <w:color w:val="1F2021"/>
          <w:spacing w:val="-5"/>
          <w:sz w:val="20"/>
        </w:rPr>
        <w:t> </w:t>
      </w:r>
      <w:r>
        <w:rPr>
          <w:color w:val="1F2021"/>
          <w:spacing w:val="-2"/>
          <w:sz w:val="20"/>
        </w:rPr>
        <w:t>Marseille</w:t>
      </w:r>
      <w:r>
        <w:rPr>
          <w:color w:val="1F2021"/>
          <w:spacing w:val="-10"/>
          <w:sz w:val="20"/>
        </w:rPr>
        <w:t> </w:t>
      </w:r>
      <w:r>
        <w:rPr>
          <w:color w:val="1F2021"/>
          <w:spacing w:val="-2"/>
          <w:sz w:val="20"/>
        </w:rPr>
        <w:t>d'août</w:t>
      </w:r>
      <w:r>
        <w:rPr>
          <w:color w:val="1F2021"/>
          <w:spacing w:val="-6"/>
          <w:sz w:val="20"/>
        </w:rPr>
        <w:t> </w:t>
      </w:r>
      <w:r>
        <w:rPr>
          <w:color w:val="1F2021"/>
          <w:spacing w:val="-2"/>
          <w:sz w:val="20"/>
        </w:rPr>
        <w:t>1944</w:t>
      </w:r>
      <w:r>
        <w:rPr>
          <w:color w:val="1F2021"/>
          <w:spacing w:val="-9"/>
          <w:sz w:val="20"/>
        </w:rPr>
        <w:t> </w:t>
      </w:r>
      <w:r>
        <w:rPr>
          <w:color w:val="1F2021"/>
          <w:spacing w:val="-2"/>
          <w:sz w:val="20"/>
        </w:rPr>
        <w:t>à</w:t>
      </w:r>
      <w:r>
        <w:rPr>
          <w:color w:val="1F2021"/>
          <w:spacing w:val="-10"/>
          <w:sz w:val="20"/>
        </w:rPr>
        <w:t> </w:t>
      </w:r>
      <w:r>
        <w:rPr>
          <w:color w:val="1F2021"/>
          <w:spacing w:val="-2"/>
          <w:sz w:val="20"/>
        </w:rPr>
        <w:t>novembre</w:t>
      </w:r>
      <w:r>
        <w:rPr>
          <w:color w:val="1F2021"/>
          <w:spacing w:val="-5"/>
          <w:sz w:val="20"/>
        </w:rPr>
        <w:t> </w:t>
      </w:r>
      <w:r>
        <w:rPr>
          <w:color w:val="1F2021"/>
          <w:spacing w:val="-2"/>
          <w:sz w:val="20"/>
        </w:rPr>
        <w:t>1945,</w:t>
      </w:r>
      <w:r>
        <w:rPr>
          <w:color w:val="1F2021"/>
          <w:spacing w:val="-5"/>
          <w:sz w:val="20"/>
        </w:rPr>
        <w:t> </w:t>
      </w:r>
      <w:r>
        <w:rPr>
          <w:color w:val="1F2021"/>
          <w:spacing w:val="-2"/>
          <w:sz w:val="20"/>
        </w:rPr>
        <w:t>puis</w:t>
      </w:r>
      <w:r>
        <w:rPr>
          <w:color w:val="1F2021"/>
          <w:spacing w:val="-7"/>
          <w:sz w:val="20"/>
        </w:rPr>
        <w:t> </w:t>
      </w:r>
      <w:r>
        <w:rPr>
          <w:color w:val="1F2021"/>
          <w:spacing w:val="-2"/>
          <w:sz w:val="20"/>
        </w:rPr>
        <w:t>de</w:t>
      </w:r>
      <w:r>
        <w:rPr>
          <w:color w:val="1F2021"/>
          <w:spacing w:val="-9"/>
          <w:sz w:val="20"/>
        </w:rPr>
        <w:t> </w:t>
      </w:r>
      <w:r>
        <w:rPr>
          <w:color w:val="1F2021"/>
          <w:spacing w:val="-2"/>
          <w:sz w:val="20"/>
        </w:rPr>
        <w:t>mai</w:t>
      </w:r>
      <w:r>
        <w:rPr>
          <w:color w:val="1F2021"/>
          <w:spacing w:val="-6"/>
          <w:sz w:val="20"/>
        </w:rPr>
        <w:t> </w:t>
      </w:r>
      <w:r>
        <w:rPr>
          <w:color w:val="1F2021"/>
          <w:spacing w:val="-2"/>
          <w:sz w:val="20"/>
        </w:rPr>
        <w:t>1953</w:t>
      </w:r>
      <w:r>
        <w:rPr>
          <w:color w:val="1F2021"/>
          <w:spacing w:val="-9"/>
          <w:sz w:val="20"/>
        </w:rPr>
        <w:t> </w:t>
      </w:r>
      <w:r>
        <w:rPr>
          <w:color w:val="1F2021"/>
          <w:spacing w:val="-2"/>
          <w:sz w:val="20"/>
        </w:rPr>
        <w:t>à sa mort.</w:t>
      </w:r>
    </w:p>
    <w:p>
      <w:pPr>
        <w:spacing w:before="0"/>
        <w:ind w:left="111" w:right="104" w:firstLine="0"/>
        <w:jc w:val="both"/>
        <w:rPr>
          <w:sz w:val="20"/>
        </w:rPr>
      </w:pPr>
      <w:r>
        <w:rPr>
          <w:color w:val="1F2021"/>
          <w:sz w:val="20"/>
        </w:rPr>
        <w:t>Parlementaire</w:t>
      </w:r>
      <w:r>
        <w:rPr>
          <w:color w:val="1F2021"/>
          <w:spacing w:val="-13"/>
          <w:sz w:val="20"/>
        </w:rPr>
        <w:t> </w:t>
      </w:r>
      <w:r>
        <w:rPr>
          <w:color w:val="1F2021"/>
          <w:sz w:val="20"/>
        </w:rPr>
        <w:t>et</w:t>
      </w:r>
      <w:r>
        <w:rPr>
          <w:color w:val="1F2021"/>
          <w:spacing w:val="-12"/>
          <w:sz w:val="20"/>
        </w:rPr>
        <w:t> </w:t>
      </w:r>
      <w:r>
        <w:rPr>
          <w:color w:val="1F2021"/>
          <w:sz w:val="20"/>
        </w:rPr>
        <w:t>ministre</w:t>
      </w:r>
      <w:r>
        <w:rPr>
          <w:color w:val="1F2021"/>
          <w:spacing w:val="-13"/>
          <w:sz w:val="20"/>
        </w:rPr>
        <w:t> </w:t>
      </w:r>
      <w:r>
        <w:rPr>
          <w:color w:val="1F2021"/>
          <w:sz w:val="20"/>
        </w:rPr>
        <w:t>à</w:t>
      </w:r>
      <w:r>
        <w:rPr>
          <w:color w:val="1F2021"/>
          <w:spacing w:val="-12"/>
          <w:sz w:val="20"/>
        </w:rPr>
        <w:t> </w:t>
      </w:r>
      <w:r>
        <w:rPr>
          <w:color w:val="1F2021"/>
          <w:sz w:val="20"/>
        </w:rPr>
        <w:t>plusieurs</w:t>
      </w:r>
      <w:r>
        <w:rPr>
          <w:color w:val="1F2021"/>
          <w:spacing w:val="-13"/>
          <w:sz w:val="20"/>
        </w:rPr>
        <w:t> </w:t>
      </w:r>
      <w:r>
        <w:rPr>
          <w:color w:val="1F2021"/>
          <w:sz w:val="20"/>
        </w:rPr>
        <w:t>reprises</w:t>
      </w:r>
      <w:r>
        <w:rPr>
          <w:color w:val="1F2021"/>
          <w:spacing w:val="-12"/>
          <w:sz w:val="20"/>
        </w:rPr>
        <w:t> </w:t>
      </w:r>
      <w:r>
        <w:rPr>
          <w:color w:val="1F2021"/>
          <w:sz w:val="20"/>
        </w:rPr>
        <w:t>sous</w:t>
      </w:r>
      <w:r>
        <w:rPr>
          <w:color w:val="1F2021"/>
          <w:spacing w:val="-13"/>
          <w:sz w:val="20"/>
        </w:rPr>
        <w:t> </w:t>
      </w:r>
      <w:r>
        <w:rPr>
          <w:color w:val="1F2021"/>
          <w:sz w:val="20"/>
        </w:rPr>
        <w:t>les</w:t>
      </w:r>
      <w:r>
        <w:rPr>
          <w:color w:val="1F2021"/>
          <w:spacing w:val="-12"/>
          <w:sz w:val="20"/>
        </w:rPr>
        <w:t> </w:t>
      </w:r>
      <w:r>
        <w:rPr>
          <w:color w:val="1F2021"/>
          <w:sz w:val="20"/>
        </w:rPr>
        <w:t>IV</w:t>
      </w:r>
      <w:r>
        <w:rPr>
          <w:color w:val="1F2021"/>
          <w:sz w:val="20"/>
          <w:vertAlign w:val="superscript"/>
        </w:rPr>
        <w:t>e</w:t>
      </w:r>
      <w:r>
        <w:rPr>
          <w:color w:val="1F2021"/>
          <w:spacing w:val="-13"/>
          <w:sz w:val="20"/>
          <w:vertAlign w:val="baseline"/>
        </w:rPr>
        <w:t> </w:t>
      </w:r>
      <w:r>
        <w:rPr>
          <w:color w:val="1F2021"/>
          <w:sz w:val="20"/>
          <w:vertAlign w:val="baseline"/>
        </w:rPr>
        <w:t>et</w:t>
      </w:r>
      <w:r>
        <w:rPr>
          <w:color w:val="1F2021"/>
          <w:spacing w:val="-12"/>
          <w:sz w:val="20"/>
          <w:vertAlign w:val="baseline"/>
        </w:rPr>
        <w:t> </w:t>
      </w:r>
      <w:r>
        <w:rPr>
          <w:color w:val="1F2021"/>
          <w:sz w:val="20"/>
          <w:vertAlign w:val="baseline"/>
        </w:rPr>
        <w:t>V</w:t>
      </w:r>
      <w:r>
        <w:rPr>
          <w:color w:val="1F2021"/>
          <w:sz w:val="20"/>
          <w:vertAlign w:val="superscript"/>
        </w:rPr>
        <w:t>e</w:t>
      </w:r>
      <w:r>
        <w:rPr>
          <w:color w:val="1F2021"/>
          <w:spacing w:val="-13"/>
          <w:sz w:val="20"/>
          <w:vertAlign w:val="baseline"/>
        </w:rPr>
        <w:t> </w:t>
      </w:r>
      <w:r>
        <w:rPr>
          <w:color w:val="1F2021"/>
          <w:sz w:val="20"/>
          <w:vertAlign w:val="baseline"/>
        </w:rPr>
        <w:t>Républiques,</w:t>
      </w:r>
      <w:r>
        <w:rPr>
          <w:color w:val="1F2021"/>
          <w:spacing w:val="-12"/>
          <w:sz w:val="20"/>
          <w:vertAlign w:val="baseline"/>
        </w:rPr>
        <w:t> </w:t>
      </w:r>
      <w:r>
        <w:rPr>
          <w:color w:val="1F2021"/>
          <w:sz w:val="20"/>
          <w:vertAlign w:val="baseline"/>
        </w:rPr>
        <w:t>«</w:t>
      </w:r>
      <w:r>
        <w:rPr>
          <w:color w:val="1F2021"/>
          <w:spacing w:val="-13"/>
          <w:sz w:val="20"/>
          <w:vertAlign w:val="baseline"/>
        </w:rPr>
        <w:t> </w:t>
      </w:r>
      <w:r>
        <w:rPr>
          <w:color w:val="1F2021"/>
          <w:sz w:val="20"/>
          <w:vertAlign w:val="baseline"/>
        </w:rPr>
        <w:t>numéro deux</w:t>
      </w:r>
      <w:r>
        <w:rPr>
          <w:color w:val="1F2021"/>
          <w:spacing w:val="-13"/>
          <w:sz w:val="20"/>
          <w:vertAlign w:val="baseline"/>
        </w:rPr>
        <w:t> </w:t>
      </w:r>
      <w:r>
        <w:rPr>
          <w:color w:val="1F2021"/>
          <w:sz w:val="20"/>
          <w:vertAlign w:val="baseline"/>
        </w:rPr>
        <w:t>du</w:t>
      </w:r>
      <w:r>
        <w:rPr>
          <w:color w:val="1F2021"/>
          <w:spacing w:val="-12"/>
          <w:sz w:val="20"/>
          <w:vertAlign w:val="baseline"/>
        </w:rPr>
        <w:t> </w:t>
      </w:r>
      <w:r>
        <w:rPr>
          <w:color w:val="1F2021"/>
          <w:sz w:val="20"/>
          <w:vertAlign w:val="baseline"/>
        </w:rPr>
        <w:t>gouvernement</w:t>
      </w:r>
      <w:r>
        <w:rPr>
          <w:color w:val="1F2021"/>
          <w:spacing w:val="-13"/>
          <w:sz w:val="20"/>
          <w:vertAlign w:val="baseline"/>
        </w:rPr>
        <w:t> </w:t>
      </w:r>
      <w:r>
        <w:rPr>
          <w:color w:val="1F2021"/>
          <w:sz w:val="20"/>
          <w:vertAlign w:val="baseline"/>
        </w:rPr>
        <w:t>»</w:t>
      </w:r>
      <w:r>
        <w:rPr>
          <w:color w:val="1F2021"/>
          <w:spacing w:val="-12"/>
          <w:sz w:val="20"/>
          <w:vertAlign w:val="baseline"/>
        </w:rPr>
        <w:t> </w:t>
      </w:r>
      <w:r>
        <w:rPr>
          <w:color w:val="1F2021"/>
          <w:sz w:val="20"/>
          <w:vertAlign w:val="baseline"/>
        </w:rPr>
        <w:t>à</w:t>
      </w:r>
      <w:r>
        <w:rPr>
          <w:color w:val="1F2021"/>
          <w:spacing w:val="-13"/>
          <w:sz w:val="20"/>
          <w:vertAlign w:val="baseline"/>
        </w:rPr>
        <w:t> </w:t>
      </w:r>
      <w:r>
        <w:rPr>
          <w:color w:val="1F2021"/>
          <w:sz w:val="20"/>
          <w:vertAlign w:val="baseline"/>
        </w:rPr>
        <w:t>deux</w:t>
      </w:r>
      <w:r>
        <w:rPr>
          <w:color w:val="1F2021"/>
          <w:spacing w:val="-12"/>
          <w:sz w:val="20"/>
          <w:vertAlign w:val="baseline"/>
        </w:rPr>
        <w:t> </w:t>
      </w:r>
      <w:r>
        <w:rPr>
          <w:color w:val="1F2021"/>
          <w:sz w:val="20"/>
          <w:vertAlign w:val="baseline"/>
        </w:rPr>
        <w:t>reprises,</w:t>
      </w:r>
      <w:r>
        <w:rPr>
          <w:color w:val="1F2021"/>
          <w:spacing w:val="-13"/>
          <w:sz w:val="20"/>
          <w:vertAlign w:val="baseline"/>
        </w:rPr>
        <w:t> </w:t>
      </w:r>
      <w:r>
        <w:rPr>
          <w:color w:val="1F2021"/>
          <w:sz w:val="20"/>
          <w:vertAlign w:val="baseline"/>
        </w:rPr>
        <w:t>candidat</w:t>
      </w:r>
      <w:r>
        <w:rPr>
          <w:color w:val="1F2021"/>
          <w:spacing w:val="-12"/>
          <w:sz w:val="20"/>
          <w:vertAlign w:val="baseline"/>
        </w:rPr>
        <w:t> </w:t>
      </w:r>
      <w:r>
        <w:rPr>
          <w:color w:val="1F2021"/>
          <w:sz w:val="20"/>
          <w:vertAlign w:val="baseline"/>
        </w:rPr>
        <w:t>à</w:t>
      </w:r>
      <w:r>
        <w:rPr>
          <w:color w:val="1F2021"/>
          <w:spacing w:val="-13"/>
          <w:sz w:val="20"/>
          <w:vertAlign w:val="baseline"/>
        </w:rPr>
        <w:t> </w:t>
      </w:r>
      <w:r>
        <w:rPr>
          <w:color w:val="1F2021"/>
          <w:sz w:val="20"/>
          <w:vertAlign w:val="baseline"/>
        </w:rPr>
        <w:t>l'élection</w:t>
      </w:r>
      <w:r>
        <w:rPr>
          <w:color w:val="1F2021"/>
          <w:spacing w:val="-12"/>
          <w:sz w:val="20"/>
          <w:vertAlign w:val="baseline"/>
        </w:rPr>
        <w:t> </w:t>
      </w:r>
      <w:r>
        <w:rPr>
          <w:color w:val="1F2021"/>
          <w:sz w:val="20"/>
          <w:vertAlign w:val="baseline"/>
        </w:rPr>
        <w:t>présidentielle</w:t>
      </w:r>
      <w:r>
        <w:rPr>
          <w:color w:val="1F2021"/>
          <w:spacing w:val="-13"/>
          <w:sz w:val="20"/>
          <w:vertAlign w:val="baseline"/>
        </w:rPr>
        <w:t> </w:t>
      </w:r>
      <w:r>
        <w:rPr>
          <w:color w:val="1F2021"/>
          <w:sz w:val="20"/>
          <w:vertAlign w:val="baseline"/>
        </w:rPr>
        <w:t>de</w:t>
      </w:r>
      <w:r>
        <w:rPr>
          <w:color w:val="1F2021"/>
          <w:spacing w:val="-12"/>
          <w:sz w:val="20"/>
          <w:vertAlign w:val="baseline"/>
        </w:rPr>
        <w:t> </w:t>
      </w:r>
      <w:r>
        <w:rPr>
          <w:color w:val="1F2021"/>
          <w:sz w:val="20"/>
          <w:vertAlign w:val="baseline"/>
        </w:rPr>
        <w:t>1969,</w:t>
      </w:r>
      <w:r>
        <w:rPr>
          <w:color w:val="1F2021"/>
          <w:spacing w:val="-13"/>
          <w:sz w:val="20"/>
          <w:vertAlign w:val="baseline"/>
        </w:rPr>
        <w:t> </w:t>
      </w:r>
      <w:r>
        <w:rPr>
          <w:color w:val="1F2021"/>
          <w:sz w:val="20"/>
          <w:vertAlign w:val="baseline"/>
        </w:rPr>
        <w:t>il donne</w:t>
      </w:r>
      <w:r>
        <w:rPr>
          <w:color w:val="1F2021"/>
          <w:spacing w:val="80"/>
          <w:w w:val="150"/>
          <w:sz w:val="20"/>
          <w:vertAlign w:val="baseline"/>
        </w:rPr>
        <w:t> </w:t>
      </w:r>
      <w:r>
        <w:rPr>
          <w:color w:val="1F2021"/>
          <w:sz w:val="20"/>
          <w:vertAlign w:val="baseline"/>
        </w:rPr>
        <w:t>son</w:t>
      </w:r>
      <w:r>
        <w:rPr>
          <w:color w:val="1F2021"/>
          <w:spacing w:val="80"/>
          <w:w w:val="150"/>
          <w:sz w:val="20"/>
          <w:vertAlign w:val="baseline"/>
        </w:rPr>
        <w:t> </w:t>
      </w:r>
      <w:r>
        <w:rPr>
          <w:color w:val="1F2021"/>
          <w:sz w:val="20"/>
          <w:vertAlign w:val="baseline"/>
        </w:rPr>
        <w:t>nom</w:t>
      </w:r>
      <w:r>
        <w:rPr>
          <w:color w:val="1F2021"/>
          <w:spacing w:val="80"/>
          <w:w w:val="150"/>
          <w:sz w:val="20"/>
          <w:vertAlign w:val="baseline"/>
        </w:rPr>
        <w:t> </w:t>
      </w:r>
      <w:r>
        <w:rPr>
          <w:color w:val="1F2021"/>
          <w:sz w:val="20"/>
          <w:vertAlign w:val="baseline"/>
        </w:rPr>
        <w:t>à</w:t>
      </w:r>
      <w:r>
        <w:rPr>
          <w:color w:val="1F2021"/>
          <w:spacing w:val="80"/>
          <w:w w:val="150"/>
          <w:sz w:val="20"/>
          <w:vertAlign w:val="baseline"/>
        </w:rPr>
        <w:t> </w:t>
      </w:r>
      <w:r>
        <w:rPr>
          <w:color w:val="1F2021"/>
          <w:sz w:val="20"/>
          <w:vertAlign w:val="baseline"/>
        </w:rPr>
        <w:t>deux</w:t>
      </w:r>
      <w:r>
        <w:rPr>
          <w:color w:val="1F2021"/>
          <w:spacing w:val="80"/>
          <w:w w:val="150"/>
          <w:sz w:val="20"/>
          <w:vertAlign w:val="baseline"/>
        </w:rPr>
        <w:t> </w:t>
      </w:r>
      <w:r>
        <w:rPr>
          <w:color w:val="1F2021"/>
          <w:sz w:val="20"/>
          <w:vertAlign w:val="baseline"/>
        </w:rPr>
        <w:t>lois</w:t>
      </w:r>
      <w:r>
        <w:rPr>
          <w:color w:val="1F2021"/>
          <w:spacing w:val="80"/>
          <w:w w:val="150"/>
          <w:sz w:val="20"/>
          <w:vertAlign w:val="baseline"/>
        </w:rPr>
        <w:t> </w:t>
      </w:r>
      <w:r>
        <w:rPr>
          <w:color w:val="1F2021"/>
          <w:sz w:val="20"/>
          <w:vertAlign w:val="baseline"/>
        </w:rPr>
        <w:t>importantes</w:t>
      </w:r>
      <w:r>
        <w:rPr>
          <w:color w:val="1F2021"/>
          <w:spacing w:val="-11"/>
          <w:sz w:val="20"/>
          <w:vertAlign w:val="baseline"/>
        </w:rPr>
        <w:t> </w:t>
      </w:r>
      <w:r>
        <w:rPr>
          <w:color w:val="1F2021"/>
          <w:sz w:val="20"/>
          <w:vertAlign w:val="baseline"/>
        </w:rPr>
        <w:t>dont</w:t>
      </w:r>
      <w:r>
        <w:rPr>
          <w:color w:val="1F2021"/>
          <w:spacing w:val="80"/>
          <w:w w:val="150"/>
          <w:sz w:val="20"/>
          <w:vertAlign w:val="baseline"/>
        </w:rPr>
        <w:t> </w:t>
      </w:r>
      <w:r>
        <w:rPr>
          <w:color w:val="1F2021"/>
          <w:sz w:val="20"/>
          <w:vertAlign w:val="baseline"/>
        </w:rPr>
        <w:t>la</w:t>
      </w:r>
      <w:r>
        <w:rPr>
          <w:color w:val="1F2021"/>
          <w:spacing w:val="-9"/>
          <w:sz w:val="20"/>
          <w:vertAlign w:val="baseline"/>
        </w:rPr>
        <w:t> </w:t>
      </w:r>
      <w:r>
        <w:rPr>
          <w:color w:val="1F2021"/>
          <w:sz w:val="20"/>
          <w:vertAlign w:val="baseline"/>
        </w:rPr>
        <w:t>loi-cadre</w:t>
      </w:r>
      <w:r>
        <w:rPr>
          <w:color w:val="1F2021"/>
          <w:spacing w:val="80"/>
          <w:w w:val="150"/>
          <w:sz w:val="20"/>
          <w:vertAlign w:val="baseline"/>
        </w:rPr>
        <w:t> </w:t>
      </w:r>
      <w:r>
        <w:rPr>
          <w:color w:val="1F2021"/>
          <w:sz w:val="20"/>
          <w:vertAlign w:val="baseline"/>
        </w:rPr>
        <w:t>de</w:t>
      </w:r>
      <w:r>
        <w:rPr>
          <w:color w:val="1F2021"/>
          <w:spacing w:val="80"/>
          <w:w w:val="150"/>
          <w:sz w:val="20"/>
          <w:vertAlign w:val="baseline"/>
        </w:rPr>
        <w:t> </w:t>
      </w:r>
      <w:r>
        <w:rPr>
          <w:color w:val="1F2021"/>
          <w:sz w:val="20"/>
          <w:vertAlign w:val="baseline"/>
        </w:rPr>
        <w:t>1956</w:t>
      </w:r>
      <w:r>
        <w:rPr>
          <w:color w:val="1F2021"/>
          <w:spacing w:val="-12"/>
          <w:sz w:val="20"/>
          <w:vertAlign w:val="baseline"/>
        </w:rPr>
        <w:t> </w:t>
      </w:r>
      <w:r>
        <w:rPr>
          <w:color w:val="1F2021"/>
          <w:sz w:val="20"/>
          <w:vertAlign w:val="baseline"/>
        </w:rPr>
        <w:t>ouvrant la décolonisation en Afrique.</w:t>
      </w:r>
    </w:p>
    <w:p>
      <w:pPr>
        <w:spacing w:before="0"/>
        <w:ind w:left="111" w:right="102" w:firstLine="0"/>
        <w:jc w:val="both"/>
        <w:rPr>
          <w:sz w:val="20"/>
        </w:rPr>
      </w:pPr>
      <w:r>
        <w:rPr>
          <w:color w:val="76787A"/>
          <w:sz w:val="20"/>
          <w:vertAlign w:val="superscript"/>
        </w:rPr>
        <w:t>36</w:t>
      </w:r>
      <w:r>
        <w:rPr>
          <w:color w:val="76787A"/>
          <w:spacing w:val="13"/>
          <w:sz w:val="20"/>
          <w:vertAlign w:val="baseline"/>
        </w:rPr>
        <w:t> </w:t>
      </w:r>
      <w:r>
        <w:rPr>
          <w:color w:val="231F20"/>
          <w:sz w:val="20"/>
          <w:vertAlign w:val="baseline"/>
        </w:rPr>
        <w:t>La</w:t>
      </w:r>
      <w:r>
        <w:rPr>
          <w:color w:val="231F20"/>
          <w:spacing w:val="40"/>
          <w:sz w:val="20"/>
          <w:vertAlign w:val="baseline"/>
        </w:rPr>
        <w:t> </w:t>
      </w:r>
      <w:r>
        <w:rPr>
          <w:color w:val="231F20"/>
          <w:sz w:val="20"/>
          <w:vertAlign w:val="baseline"/>
        </w:rPr>
        <w:t>Constitution</w:t>
      </w:r>
      <w:r>
        <w:rPr>
          <w:color w:val="231F20"/>
          <w:spacing w:val="40"/>
          <w:sz w:val="20"/>
          <w:vertAlign w:val="baseline"/>
        </w:rPr>
        <w:t> </w:t>
      </w:r>
      <w:r>
        <w:rPr>
          <w:color w:val="231F20"/>
          <w:sz w:val="20"/>
          <w:vertAlign w:val="baseline"/>
        </w:rPr>
        <w:t>de</w:t>
      </w:r>
      <w:r>
        <w:rPr>
          <w:color w:val="231F20"/>
          <w:spacing w:val="40"/>
          <w:sz w:val="20"/>
          <w:vertAlign w:val="baseline"/>
        </w:rPr>
        <w:t> </w:t>
      </w:r>
      <w:r>
        <w:rPr>
          <w:color w:val="231F20"/>
          <w:sz w:val="20"/>
          <w:vertAlign w:val="baseline"/>
        </w:rPr>
        <w:t>la</w:t>
      </w:r>
      <w:r>
        <w:rPr>
          <w:color w:val="231F20"/>
          <w:spacing w:val="40"/>
          <w:sz w:val="20"/>
          <w:vertAlign w:val="baseline"/>
        </w:rPr>
        <w:t> </w:t>
      </w:r>
      <w:r>
        <w:rPr>
          <w:color w:val="231F20"/>
          <w:sz w:val="20"/>
          <w:vertAlign w:val="baseline"/>
        </w:rPr>
        <w:t>V</w:t>
      </w:r>
      <w:r>
        <w:rPr>
          <w:color w:val="231F20"/>
          <w:sz w:val="20"/>
          <w:vertAlign w:val="superscript"/>
        </w:rPr>
        <w:t>e</w:t>
      </w:r>
      <w:r>
        <w:rPr>
          <w:color w:val="231F20"/>
          <w:spacing w:val="-11"/>
          <w:sz w:val="20"/>
          <w:vertAlign w:val="baseline"/>
        </w:rPr>
        <w:t> </w:t>
      </w:r>
      <w:r>
        <w:rPr>
          <w:color w:val="231F20"/>
          <w:sz w:val="20"/>
          <w:vertAlign w:val="baseline"/>
        </w:rPr>
        <w:t>République</w:t>
      </w:r>
      <w:r>
        <w:rPr>
          <w:color w:val="231F20"/>
          <w:spacing w:val="40"/>
          <w:sz w:val="20"/>
          <w:vertAlign w:val="baseline"/>
        </w:rPr>
        <w:t> </w:t>
      </w:r>
      <w:r>
        <w:rPr>
          <w:color w:val="231F20"/>
          <w:sz w:val="20"/>
          <w:vertAlign w:val="baseline"/>
        </w:rPr>
        <w:t>a</w:t>
      </w:r>
      <w:r>
        <w:rPr>
          <w:color w:val="231F20"/>
          <w:spacing w:val="40"/>
          <w:sz w:val="20"/>
          <w:vertAlign w:val="baseline"/>
        </w:rPr>
        <w:t> </w:t>
      </w:r>
      <w:r>
        <w:rPr>
          <w:color w:val="231F20"/>
          <w:sz w:val="20"/>
          <w:vertAlign w:val="baseline"/>
        </w:rPr>
        <w:t>été</w:t>
      </w:r>
      <w:r>
        <w:rPr>
          <w:color w:val="231F20"/>
          <w:spacing w:val="40"/>
          <w:sz w:val="20"/>
          <w:vertAlign w:val="baseline"/>
        </w:rPr>
        <w:t> </w:t>
      </w:r>
      <w:r>
        <w:rPr>
          <w:color w:val="231F20"/>
          <w:sz w:val="20"/>
          <w:vertAlign w:val="baseline"/>
        </w:rPr>
        <w:t>adoptée</w:t>
      </w:r>
      <w:r>
        <w:rPr>
          <w:color w:val="231F20"/>
          <w:spacing w:val="40"/>
          <w:sz w:val="20"/>
          <w:vertAlign w:val="baseline"/>
        </w:rPr>
        <w:t> </w:t>
      </w:r>
      <w:r>
        <w:rPr>
          <w:color w:val="231F20"/>
          <w:sz w:val="20"/>
          <w:vertAlign w:val="baseline"/>
        </w:rPr>
        <w:t>par</w:t>
      </w:r>
      <w:r>
        <w:rPr>
          <w:color w:val="231F20"/>
          <w:spacing w:val="40"/>
          <w:sz w:val="20"/>
          <w:vertAlign w:val="baseline"/>
        </w:rPr>
        <w:t> </w:t>
      </w:r>
      <w:r>
        <w:rPr>
          <w:color w:val="231F20"/>
          <w:sz w:val="20"/>
          <w:vertAlign w:val="baseline"/>
        </w:rPr>
        <w:t>le</w:t>
      </w:r>
      <w:r>
        <w:rPr>
          <w:color w:val="231F20"/>
          <w:spacing w:val="40"/>
          <w:sz w:val="20"/>
          <w:vertAlign w:val="baseline"/>
        </w:rPr>
        <w:t> </w:t>
      </w:r>
      <w:r>
        <w:rPr>
          <w:color w:val="231F20"/>
          <w:sz w:val="20"/>
          <w:vertAlign w:val="baseline"/>
        </w:rPr>
        <w:t>Peuple</w:t>
      </w:r>
      <w:r>
        <w:rPr>
          <w:color w:val="231F20"/>
          <w:spacing w:val="40"/>
          <w:sz w:val="20"/>
          <w:vertAlign w:val="baseline"/>
        </w:rPr>
        <w:t> </w:t>
      </w:r>
      <w:r>
        <w:rPr>
          <w:color w:val="231F20"/>
          <w:sz w:val="20"/>
          <w:vertAlign w:val="baseline"/>
        </w:rPr>
        <w:t>français</w:t>
      </w:r>
      <w:r>
        <w:rPr>
          <w:color w:val="231F20"/>
          <w:spacing w:val="40"/>
          <w:sz w:val="20"/>
          <w:vertAlign w:val="baseline"/>
        </w:rPr>
        <w:t> </w:t>
      </w:r>
      <w:r>
        <w:rPr>
          <w:color w:val="231F20"/>
          <w:sz w:val="20"/>
          <w:vertAlign w:val="baseline"/>
        </w:rPr>
        <w:t>par </w:t>
      </w:r>
      <w:r>
        <w:rPr>
          <w:color w:val="231F20"/>
          <w:spacing w:val="-2"/>
          <w:sz w:val="20"/>
          <w:vertAlign w:val="baseline"/>
        </w:rPr>
        <w:t>le</w:t>
      </w:r>
      <w:r>
        <w:rPr>
          <w:color w:val="231F20"/>
          <w:spacing w:val="-13"/>
          <w:sz w:val="20"/>
          <w:vertAlign w:val="baseline"/>
        </w:rPr>
        <w:t> </w:t>
      </w:r>
      <w:r>
        <w:rPr>
          <w:color w:val="231F20"/>
          <w:spacing w:val="-2"/>
          <w:sz w:val="20"/>
          <w:vertAlign w:val="baseline"/>
        </w:rPr>
        <w:t>référendum</w:t>
      </w:r>
      <w:r>
        <w:rPr>
          <w:color w:val="231F20"/>
          <w:spacing w:val="-10"/>
          <w:sz w:val="20"/>
          <w:vertAlign w:val="baseline"/>
        </w:rPr>
        <w:t> </w:t>
      </w:r>
      <w:r>
        <w:rPr>
          <w:color w:val="231F20"/>
          <w:spacing w:val="-2"/>
          <w:sz w:val="20"/>
          <w:vertAlign w:val="baseline"/>
        </w:rPr>
        <w:t>du</w:t>
      </w:r>
      <w:r>
        <w:rPr>
          <w:color w:val="231F20"/>
          <w:spacing w:val="-11"/>
          <w:sz w:val="20"/>
          <w:vertAlign w:val="baseline"/>
        </w:rPr>
        <w:t> </w:t>
      </w:r>
      <w:r>
        <w:rPr>
          <w:color w:val="231F20"/>
          <w:spacing w:val="-2"/>
          <w:sz w:val="20"/>
          <w:vertAlign w:val="baseline"/>
        </w:rPr>
        <w:t>28</w:t>
      </w:r>
      <w:r>
        <w:rPr>
          <w:color w:val="231F20"/>
          <w:spacing w:val="-10"/>
          <w:sz w:val="20"/>
          <w:vertAlign w:val="baseline"/>
        </w:rPr>
        <w:t> </w:t>
      </w:r>
      <w:r>
        <w:rPr>
          <w:color w:val="231F20"/>
          <w:spacing w:val="-2"/>
          <w:sz w:val="20"/>
          <w:vertAlign w:val="baseline"/>
        </w:rPr>
        <w:t>septembre</w:t>
      </w:r>
      <w:r>
        <w:rPr>
          <w:color w:val="231F20"/>
          <w:spacing w:val="-11"/>
          <w:sz w:val="20"/>
          <w:vertAlign w:val="baseline"/>
        </w:rPr>
        <w:t> </w:t>
      </w:r>
      <w:r>
        <w:rPr>
          <w:color w:val="231F20"/>
          <w:spacing w:val="-2"/>
          <w:sz w:val="20"/>
          <w:vertAlign w:val="baseline"/>
        </w:rPr>
        <w:t>1958,</w:t>
      </w:r>
      <w:r>
        <w:rPr>
          <w:color w:val="231F20"/>
          <w:spacing w:val="-10"/>
          <w:sz w:val="20"/>
          <w:vertAlign w:val="baseline"/>
        </w:rPr>
        <w:t> </w:t>
      </w:r>
      <w:r>
        <w:rPr>
          <w:color w:val="231F20"/>
          <w:spacing w:val="-2"/>
          <w:sz w:val="20"/>
          <w:vertAlign w:val="baseline"/>
        </w:rPr>
        <w:t>et</w:t>
      </w:r>
      <w:r>
        <w:rPr>
          <w:color w:val="231F20"/>
          <w:spacing w:val="-11"/>
          <w:sz w:val="20"/>
          <w:vertAlign w:val="baseline"/>
        </w:rPr>
        <w:t> </w:t>
      </w:r>
      <w:r>
        <w:rPr>
          <w:color w:val="231F20"/>
          <w:spacing w:val="-2"/>
          <w:sz w:val="20"/>
          <w:vertAlign w:val="baseline"/>
        </w:rPr>
        <w:t>promulguée</w:t>
      </w:r>
      <w:r>
        <w:rPr>
          <w:color w:val="231F20"/>
          <w:spacing w:val="-10"/>
          <w:sz w:val="20"/>
          <w:vertAlign w:val="baseline"/>
        </w:rPr>
        <w:t> </w:t>
      </w:r>
      <w:r>
        <w:rPr>
          <w:color w:val="231F20"/>
          <w:spacing w:val="-2"/>
          <w:sz w:val="20"/>
          <w:vertAlign w:val="baseline"/>
        </w:rPr>
        <w:t>par</w:t>
      </w:r>
      <w:r>
        <w:rPr>
          <w:color w:val="231F20"/>
          <w:spacing w:val="-11"/>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président</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la</w:t>
      </w:r>
      <w:r>
        <w:rPr>
          <w:color w:val="231F20"/>
          <w:spacing w:val="-11"/>
          <w:sz w:val="20"/>
          <w:vertAlign w:val="baseline"/>
        </w:rPr>
        <w:t> </w:t>
      </w:r>
      <w:r>
        <w:rPr>
          <w:color w:val="231F20"/>
          <w:spacing w:val="-2"/>
          <w:sz w:val="20"/>
          <w:vertAlign w:val="baseline"/>
        </w:rPr>
        <w:t>République</w:t>
      </w:r>
      <w:r>
        <w:rPr>
          <w:color w:val="231F20"/>
          <w:spacing w:val="-10"/>
          <w:sz w:val="20"/>
          <w:vertAlign w:val="baseline"/>
        </w:rPr>
        <w:t> </w:t>
      </w:r>
      <w:r>
        <w:rPr>
          <w:color w:val="231F20"/>
          <w:spacing w:val="-2"/>
          <w:sz w:val="20"/>
          <w:vertAlign w:val="baseline"/>
        </w:rPr>
        <w:t>le </w:t>
      </w:r>
      <w:r>
        <w:rPr>
          <w:color w:val="231F20"/>
          <w:sz w:val="20"/>
          <w:vertAlign w:val="baseline"/>
        </w:rPr>
        <w:t>4 octobre suivant.</w:t>
      </w:r>
    </w:p>
    <w:p>
      <w:pPr>
        <w:spacing w:before="0"/>
        <w:ind w:left="111" w:right="108" w:firstLine="0"/>
        <w:jc w:val="both"/>
        <w:rPr>
          <w:sz w:val="20"/>
        </w:rPr>
      </w:pPr>
      <w:r>
        <w:rPr>
          <w:color w:val="231F20"/>
          <w:sz w:val="20"/>
          <w:vertAlign w:val="superscript"/>
        </w:rPr>
        <w:t>37</w:t>
      </w:r>
      <w:r>
        <w:rPr>
          <w:color w:val="231F20"/>
          <w:spacing w:val="40"/>
          <w:sz w:val="20"/>
          <w:vertAlign w:val="baseline"/>
        </w:rPr>
        <w:t> </w:t>
      </w:r>
      <w:r>
        <w:rPr>
          <w:color w:val="231F20"/>
          <w:sz w:val="20"/>
          <w:vertAlign w:val="baseline"/>
        </w:rPr>
        <w:t>Ce</w:t>
      </w:r>
      <w:r>
        <w:rPr>
          <w:color w:val="231F20"/>
          <w:spacing w:val="73"/>
          <w:sz w:val="20"/>
          <w:vertAlign w:val="baseline"/>
        </w:rPr>
        <w:t> </w:t>
      </w:r>
      <w:r>
        <w:rPr>
          <w:color w:val="231F20"/>
          <w:sz w:val="20"/>
          <w:vertAlign w:val="baseline"/>
        </w:rPr>
        <w:t>principe</w:t>
      </w:r>
      <w:r>
        <w:rPr>
          <w:color w:val="231F20"/>
          <w:spacing w:val="71"/>
          <w:sz w:val="20"/>
          <w:vertAlign w:val="baseline"/>
        </w:rPr>
        <w:t> </w:t>
      </w:r>
      <w:r>
        <w:rPr>
          <w:color w:val="231F20"/>
          <w:sz w:val="20"/>
          <w:vertAlign w:val="baseline"/>
        </w:rPr>
        <w:t>est</w:t>
      </w:r>
      <w:r>
        <w:rPr>
          <w:color w:val="231F20"/>
          <w:spacing w:val="73"/>
          <w:sz w:val="20"/>
          <w:vertAlign w:val="baseline"/>
        </w:rPr>
        <w:t> </w:t>
      </w:r>
      <w:r>
        <w:rPr>
          <w:color w:val="231F20"/>
          <w:sz w:val="20"/>
          <w:vertAlign w:val="baseline"/>
        </w:rPr>
        <w:t>contradictoire</w:t>
      </w:r>
      <w:r>
        <w:rPr>
          <w:color w:val="231F20"/>
          <w:spacing w:val="71"/>
          <w:sz w:val="20"/>
          <w:vertAlign w:val="baseline"/>
        </w:rPr>
        <w:t> </w:t>
      </w:r>
      <w:r>
        <w:rPr>
          <w:color w:val="231F20"/>
          <w:sz w:val="20"/>
          <w:vertAlign w:val="baseline"/>
        </w:rPr>
        <w:t>avec</w:t>
      </w:r>
      <w:r>
        <w:rPr>
          <w:color w:val="231F20"/>
          <w:spacing w:val="71"/>
          <w:sz w:val="20"/>
          <w:vertAlign w:val="baseline"/>
        </w:rPr>
        <w:t> </w:t>
      </w:r>
      <w:r>
        <w:rPr>
          <w:color w:val="231F20"/>
          <w:sz w:val="20"/>
          <w:vertAlign w:val="baseline"/>
        </w:rPr>
        <w:t>la</w:t>
      </w:r>
      <w:r>
        <w:rPr>
          <w:color w:val="231F20"/>
          <w:spacing w:val="71"/>
          <w:sz w:val="20"/>
          <w:vertAlign w:val="baseline"/>
        </w:rPr>
        <w:t> </w:t>
      </w:r>
      <w:r>
        <w:rPr>
          <w:color w:val="231F20"/>
          <w:sz w:val="20"/>
          <w:vertAlign w:val="baseline"/>
        </w:rPr>
        <w:t>politique</w:t>
      </w:r>
      <w:r>
        <w:rPr>
          <w:color w:val="231F20"/>
          <w:spacing w:val="71"/>
          <w:sz w:val="20"/>
          <w:vertAlign w:val="baseline"/>
        </w:rPr>
        <w:t> </w:t>
      </w:r>
      <w:r>
        <w:rPr>
          <w:color w:val="231F20"/>
          <w:sz w:val="20"/>
          <w:vertAlign w:val="baseline"/>
        </w:rPr>
        <w:t>même</w:t>
      </w:r>
      <w:r>
        <w:rPr>
          <w:color w:val="231F20"/>
          <w:spacing w:val="73"/>
          <w:sz w:val="20"/>
          <w:vertAlign w:val="baseline"/>
        </w:rPr>
        <w:t> </w:t>
      </w:r>
      <w:r>
        <w:rPr>
          <w:color w:val="231F20"/>
          <w:sz w:val="20"/>
          <w:vertAlign w:val="baseline"/>
        </w:rPr>
        <w:t>de</w:t>
      </w:r>
      <w:r>
        <w:rPr>
          <w:color w:val="231F20"/>
          <w:spacing w:val="71"/>
          <w:sz w:val="20"/>
          <w:vertAlign w:val="baseline"/>
        </w:rPr>
        <w:t> </w:t>
      </w:r>
      <w:r>
        <w:rPr>
          <w:color w:val="231F20"/>
          <w:sz w:val="20"/>
          <w:vertAlign w:val="baseline"/>
        </w:rPr>
        <w:t>la</w:t>
      </w:r>
      <w:r>
        <w:rPr>
          <w:color w:val="231F20"/>
          <w:spacing w:val="-11"/>
          <w:sz w:val="20"/>
          <w:vertAlign w:val="baseline"/>
        </w:rPr>
        <w:t> </w:t>
      </w:r>
      <w:r>
        <w:rPr>
          <w:color w:val="231F20"/>
          <w:sz w:val="20"/>
          <w:vertAlign w:val="baseline"/>
        </w:rPr>
        <w:t>France</w:t>
      </w:r>
      <w:r>
        <w:rPr>
          <w:color w:val="231F20"/>
          <w:spacing w:val="-12"/>
          <w:sz w:val="20"/>
          <w:vertAlign w:val="baseline"/>
        </w:rPr>
        <w:t> </w:t>
      </w:r>
      <w:r>
        <w:rPr>
          <w:color w:val="231F20"/>
          <w:sz w:val="20"/>
          <w:vertAlign w:val="baseline"/>
        </w:rPr>
        <w:t>d'après la</w:t>
      </w:r>
      <w:r>
        <w:rPr>
          <w:color w:val="231F20"/>
          <w:spacing w:val="-13"/>
          <w:sz w:val="20"/>
          <w:vertAlign w:val="baseline"/>
        </w:rPr>
        <w:t> </w:t>
      </w:r>
      <w:r>
        <w:rPr>
          <w:color w:val="231F20"/>
          <w:sz w:val="20"/>
          <w:vertAlign w:val="baseline"/>
        </w:rPr>
        <w:t>conférence</w:t>
      </w:r>
      <w:r>
        <w:rPr>
          <w:color w:val="231F20"/>
          <w:spacing w:val="-7"/>
          <w:sz w:val="20"/>
          <w:vertAlign w:val="baseline"/>
        </w:rPr>
        <w:t> </w:t>
      </w:r>
      <w:r>
        <w:rPr>
          <w:color w:val="231F20"/>
          <w:sz w:val="20"/>
          <w:vertAlign w:val="baseline"/>
        </w:rPr>
        <w:t>de</w:t>
      </w:r>
      <w:r>
        <w:rPr>
          <w:color w:val="231F20"/>
          <w:spacing w:val="-3"/>
          <w:sz w:val="20"/>
          <w:vertAlign w:val="baseline"/>
        </w:rPr>
        <w:t> </w:t>
      </w:r>
      <w:r>
        <w:rPr>
          <w:color w:val="231F20"/>
          <w:sz w:val="20"/>
          <w:vertAlign w:val="baseline"/>
        </w:rPr>
        <w:t>Berlin.</w:t>
      </w:r>
      <w:r>
        <w:rPr>
          <w:color w:val="231F20"/>
          <w:spacing w:val="-3"/>
          <w:sz w:val="20"/>
          <w:vertAlign w:val="baseline"/>
        </w:rPr>
        <w:t> </w:t>
      </w:r>
      <w:r>
        <w:rPr>
          <w:color w:val="231F20"/>
          <w:sz w:val="20"/>
          <w:vertAlign w:val="baseline"/>
        </w:rPr>
        <w:t>En</w:t>
      </w:r>
      <w:r>
        <w:rPr>
          <w:color w:val="231F20"/>
          <w:spacing w:val="-4"/>
          <w:sz w:val="20"/>
          <w:vertAlign w:val="baseline"/>
        </w:rPr>
        <w:t> </w:t>
      </w:r>
      <w:r>
        <w:rPr>
          <w:color w:val="231F20"/>
          <w:sz w:val="20"/>
          <w:vertAlign w:val="baseline"/>
        </w:rPr>
        <w:t>effet,</w:t>
      </w:r>
      <w:r>
        <w:rPr>
          <w:color w:val="231F20"/>
          <w:spacing w:val="-3"/>
          <w:sz w:val="20"/>
          <w:vertAlign w:val="baseline"/>
        </w:rPr>
        <w:t> </w:t>
      </w:r>
      <w:r>
        <w:rPr>
          <w:color w:val="231F20"/>
          <w:sz w:val="20"/>
          <w:vertAlign w:val="baseline"/>
        </w:rPr>
        <w:t>un</w:t>
      </w:r>
      <w:r>
        <w:rPr>
          <w:color w:val="231F20"/>
          <w:spacing w:val="-1"/>
          <w:sz w:val="20"/>
          <w:vertAlign w:val="baseline"/>
        </w:rPr>
        <w:t> </w:t>
      </w:r>
      <w:r>
        <w:rPr>
          <w:color w:val="231F20"/>
          <w:sz w:val="20"/>
          <w:vertAlign w:val="baseline"/>
        </w:rPr>
        <w:t>statut</w:t>
      </w:r>
      <w:r>
        <w:rPr>
          <w:color w:val="231F20"/>
          <w:spacing w:val="-4"/>
          <w:sz w:val="20"/>
          <w:vertAlign w:val="baseline"/>
        </w:rPr>
        <w:t> </w:t>
      </w:r>
      <w:r>
        <w:rPr>
          <w:color w:val="231F20"/>
          <w:sz w:val="20"/>
          <w:vertAlign w:val="baseline"/>
        </w:rPr>
        <w:t>spécifique</w:t>
      </w:r>
      <w:r>
        <w:rPr>
          <w:color w:val="231F20"/>
          <w:spacing w:val="-3"/>
          <w:sz w:val="20"/>
          <w:vertAlign w:val="baseline"/>
        </w:rPr>
        <w:t> </w:t>
      </w:r>
      <w:r>
        <w:rPr>
          <w:color w:val="231F20"/>
          <w:sz w:val="20"/>
          <w:vertAlign w:val="baseline"/>
        </w:rPr>
        <w:t>subsistait</w:t>
      </w:r>
      <w:r>
        <w:rPr>
          <w:color w:val="231F20"/>
          <w:spacing w:val="-4"/>
          <w:sz w:val="20"/>
          <w:vertAlign w:val="baseline"/>
        </w:rPr>
        <w:t> </w:t>
      </w:r>
      <w:r>
        <w:rPr>
          <w:color w:val="231F20"/>
          <w:sz w:val="20"/>
          <w:vertAlign w:val="baseline"/>
        </w:rPr>
        <w:t>(indigène).</w:t>
      </w:r>
      <w:r>
        <w:rPr>
          <w:color w:val="231F20"/>
          <w:spacing w:val="-3"/>
          <w:sz w:val="20"/>
          <w:vertAlign w:val="baseline"/>
        </w:rPr>
        <w:t> </w:t>
      </w:r>
      <w:r>
        <w:rPr>
          <w:color w:val="231F20"/>
          <w:sz w:val="20"/>
          <w:vertAlign w:val="baseline"/>
        </w:rPr>
        <w:t>on</w:t>
      </w:r>
      <w:r>
        <w:rPr>
          <w:color w:val="231F20"/>
          <w:spacing w:val="-1"/>
          <w:sz w:val="20"/>
          <w:vertAlign w:val="baseline"/>
        </w:rPr>
        <w:t> </w:t>
      </w:r>
      <w:r>
        <w:rPr>
          <w:color w:val="231F20"/>
          <w:sz w:val="20"/>
          <w:vertAlign w:val="baseline"/>
        </w:rPr>
        <w:t>jugeait couramment</w:t>
      </w:r>
      <w:r>
        <w:rPr>
          <w:color w:val="231F20"/>
          <w:spacing w:val="-9"/>
          <w:sz w:val="20"/>
          <w:vertAlign w:val="baseline"/>
        </w:rPr>
        <w:t> </w:t>
      </w:r>
      <w:r>
        <w:rPr>
          <w:color w:val="231F20"/>
          <w:sz w:val="20"/>
          <w:vertAlign w:val="baseline"/>
        </w:rPr>
        <w:t>les</w:t>
      </w:r>
      <w:r>
        <w:rPr>
          <w:color w:val="231F20"/>
          <w:spacing w:val="-13"/>
          <w:sz w:val="20"/>
          <w:vertAlign w:val="baseline"/>
        </w:rPr>
        <w:t> </w:t>
      </w:r>
      <w:r>
        <w:rPr>
          <w:color w:val="231F20"/>
          <w:sz w:val="20"/>
          <w:vertAlign w:val="baseline"/>
        </w:rPr>
        <w:t>peuples</w:t>
      </w:r>
      <w:r>
        <w:rPr>
          <w:color w:val="231F20"/>
          <w:spacing w:val="-12"/>
          <w:sz w:val="20"/>
          <w:vertAlign w:val="baseline"/>
        </w:rPr>
        <w:t> </w:t>
      </w:r>
      <w:r>
        <w:rPr>
          <w:color w:val="231F20"/>
          <w:sz w:val="20"/>
          <w:vertAlign w:val="baseline"/>
        </w:rPr>
        <w:t>colonisés</w:t>
      </w:r>
      <w:r>
        <w:rPr>
          <w:color w:val="231F20"/>
          <w:spacing w:val="-11"/>
          <w:sz w:val="20"/>
          <w:vertAlign w:val="baseline"/>
        </w:rPr>
        <w:t> </w:t>
      </w:r>
      <w:r>
        <w:rPr>
          <w:color w:val="231F20"/>
          <w:sz w:val="20"/>
          <w:vertAlign w:val="baseline"/>
        </w:rPr>
        <w:t>comme</w:t>
      </w:r>
      <w:r>
        <w:rPr>
          <w:color w:val="231F20"/>
          <w:spacing w:val="-12"/>
          <w:sz w:val="20"/>
          <w:vertAlign w:val="baseline"/>
        </w:rPr>
        <w:t> </w:t>
      </w:r>
      <w:r>
        <w:rPr>
          <w:color w:val="231F20"/>
          <w:sz w:val="20"/>
          <w:vertAlign w:val="baseline"/>
        </w:rPr>
        <w:t>étant</w:t>
      </w:r>
      <w:r>
        <w:rPr>
          <w:color w:val="231F20"/>
          <w:spacing w:val="-9"/>
          <w:sz w:val="20"/>
          <w:vertAlign w:val="baseline"/>
        </w:rPr>
        <w:t> </w:t>
      </w:r>
      <w:r>
        <w:rPr>
          <w:color w:val="231F20"/>
          <w:sz w:val="20"/>
          <w:vertAlign w:val="baseline"/>
        </w:rPr>
        <w:t>inférieurs</w:t>
      </w:r>
      <w:r>
        <w:rPr>
          <w:color w:val="231F20"/>
          <w:spacing w:val="-11"/>
          <w:sz w:val="20"/>
          <w:vertAlign w:val="baseline"/>
        </w:rPr>
        <w:t> </w:t>
      </w:r>
      <w:r>
        <w:rPr>
          <w:color w:val="231F20"/>
          <w:sz w:val="20"/>
          <w:vertAlign w:val="baseline"/>
        </w:rPr>
        <w:t>aux</w:t>
      </w:r>
      <w:r>
        <w:rPr>
          <w:color w:val="231F20"/>
          <w:spacing w:val="-13"/>
          <w:sz w:val="20"/>
          <w:vertAlign w:val="baseline"/>
        </w:rPr>
        <w:t> </w:t>
      </w:r>
      <w:r>
        <w:rPr>
          <w:color w:val="231F20"/>
          <w:sz w:val="20"/>
          <w:vertAlign w:val="baseline"/>
        </w:rPr>
        <w:t>métropolitains.</w:t>
      </w:r>
    </w:p>
    <w:p>
      <w:pPr>
        <w:spacing w:after="0"/>
        <w:jc w:val="both"/>
        <w:rPr>
          <w:sz w:val="20"/>
        </w:rPr>
        <w:sectPr>
          <w:pgSz w:w="8790" w:h="13610"/>
          <w:pgMar w:header="0" w:footer="802" w:top="1060" w:bottom="1000" w:left="880" w:right="880"/>
        </w:sectPr>
      </w:pPr>
    </w:p>
    <w:p>
      <w:pPr>
        <w:pStyle w:val="BodyText"/>
        <w:spacing w:before="66"/>
        <w:ind w:right="107"/>
      </w:pPr>
      <w:r>
        <w:rPr>
          <w:color w:val="231F20"/>
        </w:rPr>
        <w:t>que trop de particularismes locaux empêcheraient les fédérations de réussir</w:t>
      </w:r>
      <w:r>
        <w:rPr>
          <w:color w:val="231F20"/>
          <w:spacing w:val="-15"/>
        </w:rPr>
        <w:t> </w:t>
      </w:r>
      <w:r>
        <w:rPr>
          <w:color w:val="231F20"/>
        </w:rPr>
        <w:t>;</w:t>
      </w:r>
      <w:r>
        <w:rPr>
          <w:color w:val="231F20"/>
          <w:spacing w:val="-1"/>
        </w:rPr>
        <w:t> </w:t>
      </w:r>
      <w:r>
        <w:rPr>
          <w:color w:val="231F20"/>
        </w:rPr>
        <w:t>que</w:t>
      </w:r>
      <w:r>
        <w:rPr>
          <w:color w:val="231F20"/>
          <w:spacing w:val="-1"/>
        </w:rPr>
        <w:t> </w:t>
      </w:r>
      <w:r>
        <w:rPr>
          <w:color w:val="231F20"/>
        </w:rPr>
        <w:t>les pays relativement riches comme la Côte d’Ivoire ou le Gabon n’entendent pas se laisser dépouiller sous prétexte de solidarité </w:t>
      </w:r>
      <w:r>
        <w:rPr>
          <w:color w:val="231F20"/>
          <w:spacing w:val="-4"/>
        </w:rPr>
        <w:t>fédérale.</w:t>
      </w:r>
      <w:r>
        <w:rPr>
          <w:color w:val="231F20"/>
          <w:spacing w:val="-11"/>
        </w:rPr>
        <w:t> </w:t>
      </w:r>
      <w:r>
        <w:rPr>
          <w:color w:val="231F20"/>
          <w:spacing w:val="-4"/>
        </w:rPr>
        <w:t>Jacques</w:t>
      </w:r>
      <w:r>
        <w:rPr>
          <w:color w:val="231F20"/>
          <w:spacing w:val="-11"/>
        </w:rPr>
        <w:t> </w:t>
      </w:r>
      <w:r>
        <w:rPr>
          <w:color w:val="231F20"/>
          <w:spacing w:val="-4"/>
        </w:rPr>
        <w:t>Foccart,</w:t>
      </w:r>
      <w:r>
        <w:rPr>
          <w:color w:val="231F20"/>
          <w:spacing w:val="-11"/>
        </w:rPr>
        <w:t> </w:t>
      </w:r>
      <w:r>
        <w:rPr>
          <w:color w:val="231F20"/>
          <w:spacing w:val="-4"/>
        </w:rPr>
        <w:t>en</w:t>
      </w:r>
      <w:r>
        <w:rPr>
          <w:color w:val="231F20"/>
          <w:spacing w:val="-11"/>
        </w:rPr>
        <w:t> </w:t>
      </w:r>
      <w:r>
        <w:rPr>
          <w:color w:val="231F20"/>
          <w:spacing w:val="-4"/>
        </w:rPr>
        <w:t>qui</w:t>
      </w:r>
      <w:r>
        <w:rPr>
          <w:color w:val="231F20"/>
          <w:spacing w:val="-9"/>
        </w:rPr>
        <w:t> </w:t>
      </w:r>
      <w:r>
        <w:rPr>
          <w:color w:val="231F20"/>
          <w:spacing w:val="-4"/>
        </w:rPr>
        <w:t>de</w:t>
      </w:r>
      <w:r>
        <w:rPr>
          <w:color w:val="231F20"/>
          <w:spacing w:val="-11"/>
        </w:rPr>
        <w:t> </w:t>
      </w:r>
      <w:r>
        <w:rPr>
          <w:color w:val="231F20"/>
          <w:spacing w:val="-4"/>
        </w:rPr>
        <w:t>Gaulle</w:t>
      </w:r>
      <w:r>
        <w:rPr>
          <w:color w:val="231F20"/>
          <w:spacing w:val="-9"/>
        </w:rPr>
        <w:t> </w:t>
      </w:r>
      <w:r>
        <w:rPr>
          <w:color w:val="231F20"/>
          <w:spacing w:val="-4"/>
        </w:rPr>
        <w:t>a</w:t>
      </w:r>
      <w:r>
        <w:rPr>
          <w:color w:val="231F20"/>
          <w:spacing w:val="-11"/>
        </w:rPr>
        <w:t> </w:t>
      </w:r>
      <w:r>
        <w:rPr>
          <w:color w:val="231F20"/>
          <w:spacing w:val="-4"/>
        </w:rPr>
        <w:t>une</w:t>
      </w:r>
      <w:r>
        <w:rPr>
          <w:color w:val="231F20"/>
          <w:spacing w:val="-11"/>
        </w:rPr>
        <w:t> </w:t>
      </w:r>
      <w:r>
        <w:rPr>
          <w:color w:val="231F20"/>
          <w:spacing w:val="-4"/>
        </w:rPr>
        <w:t>grande</w:t>
      </w:r>
      <w:r>
        <w:rPr>
          <w:color w:val="231F20"/>
          <w:spacing w:val="-9"/>
        </w:rPr>
        <w:t> </w:t>
      </w:r>
      <w:r>
        <w:rPr>
          <w:color w:val="231F20"/>
          <w:spacing w:val="-4"/>
        </w:rPr>
        <w:t>confiance</w:t>
      </w:r>
      <w:r>
        <w:rPr>
          <w:color w:val="231F20"/>
          <w:spacing w:val="-9"/>
        </w:rPr>
        <w:t> </w:t>
      </w:r>
      <w:r>
        <w:rPr>
          <w:color w:val="231F20"/>
          <w:spacing w:val="-4"/>
        </w:rPr>
        <w:t>préfère </w:t>
      </w:r>
      <w:r>
        <w:rPr>
          <w:color w:val="231F20"/>
        </w:rPr>
        <w:t>la</w:t>
      </w:r>
      <w:r>
        <w:rPr>
          <w:color w:val="231F20"/>
          <w:spacing w:val="-14"/>
        </w:rPr>
        <w:t> </w:t>
      </w:r>
      <w:r>
        <w:rPr>
          <w:color w:val="231F20"/>
        </w:rPr>
        <w:t>balkanisation</w:t>
      </w:r>
      <w:r>
        <w:rPr>
          <w:color w:val="231F20"/>
          <w:spacing w:val="-15"/>
        </w:rPr>
        <w:t> </w:t>
      </w:r>
      <w:r>
        <w:rPr>
          <w:color w:val="231F20"/>
        </w:rPr>
        <w:t>parce</w:t>
      </w:r>
      <w:r>
        <w:rPr>
          <w:color w:val="231F20"/>
          <w:spacing w:val="-12"/>
        </w:rPr>
        <w:t> </w:t>
      </w:r>
      <w:r>
        <w:rPr>
          <w:color w:val="231F20"/>
        </w:rPr>
        <w:t>que</w:t>
      </w:r>
      <w:r>
        <w:rPr>
          <w:color w:val="231F20"/>
          <w:spacing w:val="-15"/>
        </w:rPr>
        <w:t> </w:t>
      </w:r>
      <w:r>
        <w:rPr>
          <w:color w:val="231F20"/>
        </w:rPr>
        <w:t>ça</w:t>
      </w:r>
      <w:r>
        <w:rPr>
          <w:color w:val="231F20"/>
          <w:spacing w:val="-13"/>
        </w:rPr>
        <w:t> </w:t>
      </w:r>
      <w:r>
        <w:rPr>
          <w:color w:val="231F20"/>
        </w:rPr>
        <w:t>lui</w:t>
      </w:r>
      <w:r>
        <w:rPr>
          <w:color w:val="231F20"/>
          <w:spacing w:val="-15"/>
        </w:rPr>
        <w:t> </w:t>
      </w:r>
      <w:r>
        <w:rPr>
          <w:color w:val="231F20"/>
        </w:rPr>
        <w:t>permet</w:t>
      </w:r>
      <w:r>
        <w:rPr>
          <w:color w:val="231F20"/>
          <w:spacing w:val="-14"/>
        </w:rPr>
        <w:t> </w:t>
      </w:r>
      <w:r>
        <w:rPr>
          <w:color w:val="231F20"/>
        </w:rPr>
        <w:t>d’avoir</w:t>
      </w:r>
      <w:r>
        <w:rPr>
          <w:color w:val="231F20"/>
          <w:spacing w:val="-15"/>
        </w:rPr>
        <w:t> </w:t>
      </w:r>
      <w:r>
        <w:rPr>
          <w:color w:val="231F20"/>
        </w:rPr>
        <w:t>un</w:t>
      </w:r>
      <w:r>
        <w:rPr>
          <w:color w:val="231F20"/>
          <w:spacing w:val="-15"/>
        </w:rPr>
        <w:t> </w:t>
      </w:r>
      <w:r>
        <w:rPr>
          <w:color w:val="231F20"/>
        </w:rPr>
        <w:t>meilleur</w:t>
      </w:r>
      <w:r>
        <w:rPr>
          <w:color w:val="231F20"/>
          <w:spacing w:val="-14"/>
        </w:rPr>
        <w:t> </w:t>
      </w:r>
      <w:r>
        <w:rPr>
          <w:color w:val="231F20"/>
        </w:rPr>
        <w:t>contrôle</w:t>
      </w:r>
      <w:r>
        <w:rPr>
          <w:color w:val="231F20"/>
          <w:spacing w:val="-14"/>
        </w:rPr>
        <w:t> </w:t>
      </w:r>
      <w:r>
        <w:rPr>
          <w:color w:val="231F20"/>
        </w:rPr>
        <w:t>sur chacun des États.</w:t>
      </w:r>
    </w:p>
    <w:p>
      <w:pPr>
        <w:pStyle w:val="BodyText"/>
        <w:spacing w:before="120"/>
        <w:ind w:right="108" w:firstLine="283"/>
      </w:pPr>
      <w:r>
        <w:rPr>
          <w:color w:val="231F20"/>
          <w:spacing w:val="-2"/>
        </w:rPr>
        <w:t>Du</w:t>
      </w:r>
      <w:r>
        <w:rPr>
          <w:color w:val="231F20"/>
          <w:spacing w:val="-12"/>
        </w:rPr>
        <w:t> </w:t>
      </w:r>
      <w:r>
        <w:rPr>
          <w:color w:val="231F20"/>
          <w:spacing w:val="-2"/>
        </w:rPr>
        <w:t>20</w:t>
      </w:r>
      <w:r>
        <w:rPr>
          <w:color w:val="231F20"/>
          <w:spacing w:val="-11"/>
        </w:rPr>
        <w:t> </w:t>
      </w:r>
      <w:r>
        <w:rPr>
          <w:color w:val="231F20"/>
          <w:spacing w:val="-2"/>
        </w:rPr>
        <w:t>au</w:t>
      </w:r>
      <w:r>
        <w:rPr>
          <w:color w:val="231F20"/>
          <w:spacing w:val="-11"/>
        </w:rPr>
        <w:t> </w:t>
      </w:r>
      <w:r>
        <w:rPr>
          <w:color w:val="231F20"/>
          <w:spacing w:val="-2"/>
        </w:rPr>
        <w:t>29</w:t>
      </w:r>
      <w:r>
        <w:rPr>
          <w:color w:val="231F20"/>
          <w:spacing w:val="-11"/>
        </w:rPr>
        <w:t> </w:t>
      </w:r>
      <w:r>
        <w:rPr>
          <w:color w:val="231F20"/>
          <w:spacing w:val="-2"/>
        </w:rPr>
        <w:t>août</w:t>
      </w:r>
      <w:r>
        <w:rPr>
          <w:color w:val="231F20"/>
          <w:spacing w:val="-13"/>
        </w:rPr>
        <w:t> </w:t>
      </w:r>
      <w:r>
        <w:rPr>
          <w:color w:val="231F20"/>
          <w:spacing w:val="-2"/>
        </w:rPr>
        <w:t>1958,</w:t>
      </w:r>
      <w:r>
        <w:rPr>
          <w:color w:val="231F20"/>
          <w:spacing w:val="-11"/>
        </w:rPr>
        <w:t> </w:t>
      </w:r>
      <w:r>
        <w:rPr>
          <w:color w:val="231F20"/>
          <w:spacing w:val="-2"/>
        </w:rPr>
        <w:t>de</w:t>
      </w:r>
      <w:r>
        <w:rPr>
          <w:color w:val="231F20"/>
          <w:spacing w:val="-13"/>
        </w:rPr>
        <w:t> </w:t>
      </w:r>
      <w:r>
        <w:rPr>
          <w:color w:val="231F20"/>
          <w:spacing w:val="-2"/>
        </w:rPr>
        <w:t>Gaulle</w:t>
      </w:r>
      <w:r>
        <w:rPr>
          <w:color w:val="231F20"/>
          <w:spacing w:val="-11"/>
        </w:rPr>
        <w:t> </w:t>
      </w:r>
      <w:r>
        <w:rPr>
          <w:color w:val="231F20"/>
          <w:spacing w:val="-2"/>
        </w:rPr>
        <w:t>effectue</w:t>
      </w:r>
      <w:r>
        <w:rPr>
          <w:color w:val="231F20"/>
          <w:spacing w:val="-11"/>
        </w:rPr>
        <w:t> </w:t>
      </w:r>
      <w:r>
        <w:rPr>
          <w:color w:val="231F20"/>
          <w:spacing w:val="-2"/>
        </w:rPr>
        <w:t>un</w:t>
      </w:r>
      <w:r>
        <w:rPr>
          <w:color w:val="231F20"/>
          <w:spacing w:val="-11"/>
        </w:rPr>
        <w:t> </w:t>
      </w:r>
      <w:r>
        <w:rPr>
          <w:color w:val="231F20"/>
          <w:spacing w:val="-2"/>
        </w:rPr>
        <w:t>voyage</w:t>
      </w:r>
      <w:r>
        <w:rPr>
          <w:color w:val="231F20"/>
          <w:spacing w:val="-12"/>
        </w:rPr>
        <w:t> </w:t>
      </w:r>
      <w:r>
        <w:rPr>
          <w:color w:val="231F20"/>
          <w:spacing w:val="-2"/>
        </w:rPr>
        <w:t>à</w:t>
      </w:r>
      <w:r>
        <w:rPr>
          <w:color w:val="231F20"/>
          <w:spacing w:val="-12"/>
        </w:rPr>
        <w:t> </w:t>
      </w:r>
      <w:r>
        <w:rPr>
          <w:color w:val="231F20"/>
          <w:spacing w:val="-2"/>
        </w:rPr>
        <w:t>Madagascar</w:t>
      </w:r>
      <w:r>
        <w:rPr>
          <w:color w:val="231F20"/>
          <w:spacing w:val="-12"/>
        </w:rPr>
        <w:t> </w:t>
      </w:r>
      <w:r>
        <w:rPr>
          <w:color w:val="231F20"/>
          <w:spacing w:val="-2"/>
        </w:rPr>
        <w:t>et </w:t>
      </w:r>
      <w:r>
        <w:rPr>
          <w:color w:val="231F20"/>
        </w:rPr>
        <w:t>dans les territoires africains en vue de faire approuver le statut de la Communauté. Tous disent «</w:t>
      </w:r>
      <w:r>
        <w:rPr>
          <w:color w:val="231F20"/>
          <w:spacing w:val="-15"/>
        </w:rPr>
        <w:t> </w:t>
      </w:r>
      <w:r>
        <w:rPr>
          <w:color w:val="231F20"/>
        </w:rPr>
        <w:t>Oui</w:t>
      </w:r>
      <w:r>
        <w:rPr>
          <w:color w:val="231F20"/>
          <w:spacing w:val="-15"/>
        </w:rPr>
        <w:t> </w:t>
      </w:r>
      <w:r>
        <w:rPr>
          <w:color w:val="231F20"/>
        </w:rPr>
        <w:t>» à la Communauté. Seule, la Guinée Conakry refuse.</w:t>
      </w:r>
    </w:p>
    <w:p>
      <w:pPr>
        <w:pStyle w:val="BodyText"/>
        <w:spacing w:before="121"/>
        <w:ind w:right="104" w:firstLine="283"/>
      </w:pPr>
      <w:r>
        <w:rPr>
          <w:color w:val="231F20"/>
        </w:rPr>
        <w:t>En Afrique Équatoriale Française, le leader francophile du Gabon, </w:t>
      </w:r>
      <w:r>
        <w:rPr>
          <w:color w:val="231F20"/>
          <w:spacing w:val="-4"/>
        </w:rPr>
        <w:t>Léon</w:t>
      </w:r>
      <w:r>
        <w:rPr>
          <w:color w:val="231F20"/>
          <w:spacing w:val="-11"/>
        </w:rPr>
        <w:t> </w:t>
      </w:r>
      <w:r>
        <w:rPr>
          <w:color w:val="231F20"/>
          <w:spacing w:val="-4"/>
        </w:rPr>
        <w:t>M’ba</w:t>
      </w:r>
      <w:r>
        <w:rPr>
          <w:color w:val="231F20"/>
          <w:spacing w:val="-11"/>
        </w:rPr>
        <w:t> </w:t>
      </w:r>
      <w:r>
        <w:rPr>
          <w:color w:val="231F20"/>
          <w:spacing w:val="-4"/>
        </w:rPr>
        <w:t>s’accrochant</w:t>
      </w:r>
      <w:r>
        <w:rPr>
          <w:color w:val="231F20"/>
          <w:spacing w:val="-11"/>
        </w:rPr>
        <w:t> </w:t>
      </w:r>
      <w:r>
        <w:rPr>
          <w:color w:val="231F20"/>
          <w:spacing w:val="-4"/>
        </w:rPr>
        <w:t>à</w:t>
      </w:r>
      <w:r>
        <w:rPr>
          <w:color w:val="231F20"/>
          <w:spacing w:val="-11"/>
        </w:rPr>
        <w:t> </w:t>
      </w:r>
      <w:r>
        <w:rPr>
          <w:color w:val="231F20"/>
          <w:spacing w:val="-4"/>
        </w:rPr>
        <w:t>l’article</w:t>
      </w:r>
      <w:r>
        <w:rPr>
          <w:color w:val="231F20"/>
          <w:spacing w:val="-11"/>
        </w:rPr>
        <w:t> </w:t>
      </w:r>
      <w:r>
        <w:rPr>
          <w:color w:val="231F20"/>
          <w:spacing w:val="-4"/>
        </w:rPr>
        <w:t>76</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Constitution</w:t>
      </w:r>
      <w:r>
        <w:rPr>
          <w:color w:val="231F20"/>
          <w:spacing w:val="-11"/>
        </w:rPr>
        <w:t> </w:t>
      </w:r>
      <w:r>
        <w:rPr>
          <w:color w:val="231F20"/>
          <w:spacing w:val="-4"/>
        </w:rPr>
        <w:t>du</w:t>
      </w:r>
      <w:r>
        <w:rPr>
          <w:color w:val="231F20"/>
          <w:spacing w:val="-11"/>
        </w:rPr>
        <w:t> </w:t>
      </w:r>
      <w:r>
        <w:rPr>
          <w:color w:val="231F20"/>
          <w:spacing w:val="-4"/>
        </w:rPr>
        <w:t>4</w:t>
      </w:r>
      <w:r>
        <w:rPr>
          <w:color w:val="231F20"/>
          <w:spacing w:val="-11"/>
        </w:rPr>
        <w:t> </w:t>
      </w:r>
      <w:r>
        <w:rPr>
          <w:color w:val="231F20"/>
          <w:spacing w:val="-4"/>
        </w:rPr>
        <w:t>octobre</w:t>
      </w:r>
      <w:r>
        <w:rPr>
          <w:color w:val="231F20"/>
          <w:spacing w:val="-11"/>
        </w:rPr>
        <w:t> </w:t>
      </w:r>
      <w:r>
        <w:rPr>
          <w:color w:val="231F20"/>
          <w:spacing w:val="-4"/>
        </w:rPr>
        <w:t>1958 de</w:t>
      </w:r>
      <w:r>
        <w:rPr>
          <w:color w:val="231F20"/>
          <w:spacing w:val="-11"/>
        </w:rPr>
        <w:t> </w:t>
      </w:r>
      <w:r>
        <w:rPr>
          <w:color w:val="231F20"/>
          <w:spacing w:val="-4"/>
        </w:rPr>
        <w:t>la</w:t>
      </w:r>
      <w:r>
        <w:rPr>
          <w:color w:val="231F20"/>
          <w:spacing w:val="-11"/>
        </w:rPr>
        <w:t> </w:t>
      </w:r>
      <w:r>
        <w:rPr>
          <w:color w:val="231F20"/>
          <w:spacing w:val="-4"/>
        </w:rPr>
        <w:t>Cinquième</w:t>
      </w:r>
      <w:r>
        <w:rPr>
          <w:color w:val="231F20"/>
          <w:spacing w:val="-11"/>
        </w:rPr>
        <w:t> </w:t>
      </w:r>
      <w:r>
        <w:rPr>
          <w:color w:val="231F20"/>
          <w:spacing w:val="-4"/>
        </w:rPr>
        <w:t>République,</w:t>
      </w:r>
      <w:r>
        <w:rPr>
          <w:color w:val="231F20"/>
          <w:spacing w:val="-11"/>
        </w:rPr>
        <w:t> </w:t>
      </w:r>
      <w:r>
        <w:rPr>
          <w:color w:val="231F20"/>
          <w:spacing w:val="-4"/>
        </w:rPr>
        <w:t>choisit</w:t>
      </w:r>
      <w:r>
        <w:rPr>
          <w:color w:val="231F20"/>
          <w:spacing w:val="-11"/>
        </w:rPr>
        <w:t> </w:t>
      </w:r>
      <w:r>
        <w:rPr>
          <w:color w:val="231F20"/>
          <w:spacing w:val="-4"/>
        </w:rPr>
        <w:t>la</w:t>
      </w:r>
      <w:r>
        <w:rPr>
          <w:color w:val="231F20"/>
          <w:spacing w:val="-11"/>
        </w:rPr>
        <w:t> </w:t>
      </w:r>
      <w:r>
        <w:rPr>
          <w:color w:val="231F20"/>
          <w:spacing w:val="-4"/>
        </w:rPr>
        <w:t>Départementalisation</w:t>
      </w:r>
      <w:r>
        <w:rPr>
          <w:color w:val="231F20"/>
          <w:spacing w:val="-11"/>
        </w:rPr>
        <w:t> </w:t>
      </w:r>
      <w:r>
        <w:rPr>
          <w:color w:val="231F20"/>
          <w:spacing w:val="-4"/>
        </w:rPr>
        <w:t>qui</w:t>
      </w:r>
      <w:r>
        <w:rPr>
          <w:color w:val="231F20"/>
          <w:spacing w:val="-11"/>
        </w:rPr>
        <w:t> </w:t>
      </w:r>
      <w:r>
        <w:rPr>
          <w:color w:val="231F20"/>
          <w:spacing w:val="-4"/>
        </w:rPr>
        <w:t>ne</w:t>
      </w:r>
      <w:r>
        <w:rPr>
          <w:color w:val="231F20"/>
          <w:spacing w:val="-11"/>
        </w:rPr>
        <w:t> </w:t>
      </w:r>
      <w:r>
        <w:rPr>
          <w:color w:val="231F20"/>
          <w:spacing w:val="-4"/>
        </w:rPr>
        <w:t>faisait </w:t>
      </w:r>
      <w:r>
        <w:rPr>
          <w:color w:val="231F20"/>
        </w:rPr>
        <w:t>pas</w:t>
      </w:r>
      <w:r>
        <w:rPr>
          <w:color w:val="231F20"/>
          <w:spacing w:val="-15"/>
        </w:rPr>
        <w:t> </w:t>
      </w:r>
      <w:r>
        <w:rPr>
          <w:color w:val="231F20"/>
        </w:rPr>
        <w:t>partie</w:t>
      </w:r>
      <w:r>
        <w:rPr>
          <w:color w:val="231F20"/>
          <w:spacing w:val="-15"/>
        </w:rPr>
        <w:t> </w:t>
      </w:r>
      <w:r>
        <w:rPr>
          <w:color w:val="231F20"/>
        </w:rPr>
        <w:t>de</w:t>
      </w:r>
      <w:r>
        <w:rPr>
          <w:color w:val="231F20"/>
          <w:spacing w:val="-15"/>
        </w:rPr>
        <w:t> </w:t>
      </w:r>
      <w:r>
        <w:rPr>
          <w:color w:val="231F20"/>
        </w:rPr>
        <w:t>l’offre</w:t>
      </w:r>
      <w:r>
        <w:rPr>
          <w:color w:val="231F20"/>
          <w:spacing w:val="-15"/>
        </w:rPr>
        <w:t> </w:t>
      </w:r>
      <w:r>
        <w:rPr>
          <w:color w:val="231F20"/>
        </w:rPr>
        <w:t>de</w:t>
      </w:r>
      <w:r>
        <w:rPr>
          <w:color w:val="231F20"/>
          <w:spacing w:val="-15"/>
        </w:rPr>
        <w:t> </w:t>
      </w:r>
      <w:r>
        <w:rPr>
          <w:color w:val="231F20"/>
        </w:rPr>
        <w:t>de</w:t>
      </w:r>
      <w:r>
        <w:rPr>
          <w:color w:val="231F20"/>
          <w:spacing w:val="-15"/>
        </w:rPr>
        <w:t> </w:t>
      </w:r>
      <w:r>
        <w:rPr>
          <w:color w:val="231F20"/>
        </w:rPr>
        <w:t>Gaulle</w:t>
      </w:r>
      <w:r>
        <w:rPr>
          <w:color w:val="231F20"/>
          <w:spacing w:val="-15"/>
        </w:rPr>
        <w:t> </w:t>
      </w:r>
      <w:r>
        <w:rPr>
          <w:color w:val="231F20"/>
        </w:rPr>
        <w:t>aux</w:t>
      </w:r>
      <w:r>
        <w:rPr>
          <w:color w:val="231F20"/>
          <w:spacing w:val="-14"/>
        </w:rPr>
        <w:t> </w:t>
      </w:r>
      <w:r>
        <w:rPr>
          <w:color w:val="231F20"/>
        </w:rPr>
        <w:t>Africains</w:t>
      </w:r>
      <w:r>
        <w:rPr>
          <w:color w:val="231F20"/>
          <w:spacing w:val="-13"/>
        </w:rPr>
        <w:t> </w:t>
      </w:r>
      <w:r>
        <w:rPr>
          <w:i/>
          <w:color w:val="231F20"/>
        </w:rPr>
        <w:t>:«</w:t>
      </w:r>
      <w:r>
        <w:rPr>
          <w:i/>
          <w:color w:val="231F20"/>
          <w:spacing w:val="-15"/>
        </w:rPr>
        <w:t> </w:t>
      </w:r>
      <w:r>
        <w:rPr>
          <w:color w:val="231F20"/>
        </w:rPr>
        <w:t>lor</w:t>
      </w:r>
      <w:r>
        <w:rPr>
          <w:i/>
          <w:color w:val="231F20"/>
        </w:rPr>
        <w:t>s</w:t>
      </w:r>
      <w:r>
        <w:rPr>
          <w:i/>
          <w:color w:val="231F20"/>
          <w:spacing w:val="-14"/>
        </w:rPr>
        <w:t> </w:t>
      </w:r>
      <w:r>
        <w:rPr>
          <w:color w:val="231F20"/>
        </w:rPr>
        <w:t>du</w:t>
      </w:r>
      <w:r>
        <w:rPr>
          <w:color w:val="231F20"/>
          <w:spacing w:val="-15"/>
        </w:rPr>
        <w:t> </w:t>
      </w:r>
      <w:r>
        <w:rPr>
          <w:color w:val="231F20"/>
        </w:rPr>
        <w:t>référendum</w:t>
      </w:r>
      <w:r>
        <w:rPr>
          <w:color w:val="231F20"/>
          <w:spacing w:val="-15"/>
        </w:rPr>
        <w:t> </w:t>
      </w:r>
      <w:r>
        <w:rPr>
          <w:color w:val="231F20"/>
        </w:rPr>
        <w:t>du 24 septembre 1958, les populations Gabonaises approuvèrent par 92% l’adhésion</w:t>
      </w:r>
      <w:r>
        <w:rPr>
          <w:color w:val="231F20"/>
          <w:spacing w:val="-4"/>
        </w:rPr>
        <w:t> </w:t>
      </w:r>
      <w:r>
        <w:rPr>
          <w:color w:val="231F20"/>
        </w:rPr>
        <w:t>du</w:t>
      </w:r>
      <w:r>
        <w:rPr>
          <w:color w:val="231F20"/>
          <w:spacing w:val="-4"/>
        </w:rPr>
        <w:t> </w:t>
      </w:r>
      <w:r>
        <w:rPr>
          <w:color w:val="231F20"/>
        </w:rPr>
        <w:t>Gabon</w:t>
      </w:r>
      <w:r>
        <w:rPr>
          <w:color w:val="231F20"/>
          <w:spacing w:val="-4"/>
        </w:rPr>
        <w:t> </w:t>
      </w:r>
      <w:r>
        <w:rPr>
          <w:color w:val="231F20"/>
        </w:rPr>
        <w:t>à</w:t>
      </w:r>
      <w:r>
        <w:rPr>
          <w:color w:val="231F20"/>
          <w:spacing w:val="-4"/>
        </w:rPr>
        <w:t> </w:t>
      </w:r>
      <w:r>
        <w:rPr>
          <w:color w:val="231F20"/>
        </w:rPr>
        <w:t>la</w:t>
      </w:r>
      <w:r>
        <w:rPr>
          <w:color w:val="231F20"/>
          <w:spacing w:val="-6"/>
        </w:rPr>
        <w:t> </w:t>
      </w:r>
      <w:r>
        <w:rPr>
          <w:color w:val="231F20"/>
        </w:rPr>
        <w:t>Communauté</w:t>
      </w:r>
      <w:r>
        <w:rPr>
          <w:color w:val="231F20"/>
          <w:spacing w:val="-4"/>
        </w:rPr>
        <w:t> </w:t>
      </w:r>
      <w:r>
        <w:rPr>
          <w:color w:val="231F20"/>
        </w:rPr>
        <w:t>française.</w:t>
      </w:r>
      <w:r>
        <w:rPr>
          <w:color w:val="231F20"/>
          <w:spacing w:val="-6"/>
        </w:rPr>
        <w:t> </w:t>
      </w:r>
      <w:r>
        <w:rPr>
          <w:color w:val="231F20"/>
        </w:rPr>
        <w:t>Fort</w:t>
      </w:r>
      <w:r>
        <w:rPr>
          <w:color w:val="231F20"/>
          <w:spacing w:val="-4"/>
        </w:rPr>
        <w:t> </w:t>
      </w:r>
      <w:r>
        <w:rPr>
          <w:color w:val="231F20"/>
        </w:rPr>
        <w:t>de</w:t>
      </w:r>
      <w:r>
        <w:rPr>
          <w:color w:val="231F20"/>
          <w:spacing w:val="-4"/>
        </w:rPr>
        <w:t> </w:t>
      </w:r>
      <w:r>
        <w:rPr>
          <w:color w:val="231F20"/>
        </w:rPr>
        <w:t>ce</w:t>
      </w:r>
      <w:r>
        <w:rPr>
          <w:color w:val="231F20"/>
          <w:spacing w:val="-4"/>
        </w:rPr>
        <w:t> </w:t>
      </w:r>
      <w:r>
        <w:rPr>
          <w:color w:val="231F20"/>
        </w:rPr>
        <w:t>résultat,</w:t>
      </w:r>
      <w:r>
        <w:rPr>
          <w:color w:val="231F20"/>
          <w:spacing w:val="-4"/>
        </w:rPr>
        <w:t> </w:t>
      </w:r>
      <w:r>
        <w:rPr>
          <w:color w:val="231F20"/>
        </w:rPr>
        <w:t>le conseil de gouvernement du Gabon et son Président, Léon M’ba, mandatèrent</w:t>
      </w:r>
      <w:r>
        <w:rPr>
          <w:color w:val="231F20"/>
          <w:spacing w:val="-3"/>
        </w:rPr>
        <w:t> </w:t>
      </w:r>
      <w:r>
        <w:rPr>
          <w:color w:val="231F20"/>
        </w:rPr>
        <w:t>le</w:t>
      </w:r>
      <w:r>
        <w:rPr>
          <w:color w:val="231F20"/>
          <w:spacing w:val="-4"/>
        </w:rPr>
        <w:t> </w:t>
      </w:r>
      <w:r>
        <w:rPr>
          <w:color w:val="231F20"/>
        </w:rPr>
        <w:t>gouverneur</w:t>
      </w:r>
      <w:r>
        <w:rPr>
          <w:color w:val="231F20"/>
          <w:spacing w:val="-2"/>
        </w:rPr>
        <w:t> </w:t>
      </w:r>
      <w:r>
        <w:rPr>
          <w:color w:val="231F20"/>
        </w:rPr>
        <w:t>Louis</w:t>
      </w:r>
      <w:r>
        <w:rPr>
          <w:color w:val="231F20"/>
          <w:spacing w:val="-6"/>
        </w:rPr>
        <w:t> </w:t>
      </w:r>
      <w:r>
        <w:rPr>
          <w:color w:val="231F20"/>
        </w:rPr>
        <w:t>Sanmarco</w:t>
      </w:r>
      <w:r>
        <w:rPr>
          <w:color w:val="231F20"/>
          <w:spacing w:val="-3"/>
        </w:rPr>
        <w:t> </w:t>
      </w:r>
      <w:r>
        <w:rPr>
          <w:color w:val="231F20"/>
        </w:rPr>
        <w:t>à</w:t>
      </w:r>
      <w:r>
        <w:rPr>
          <w:color w:val="231F20"/>
          <w:spacing w:val="-4"/>
        </w:rPr>
        <w:t> </w:t>
      </w:r>
      <w:r>
        <w:rPr>
          <w:color w:val="231F20"/>
        </w:rPr>
        <w:t>Paris,</w:t>
      </w:r>
      <w:r>
        <w:rPr>
          <w:color w:val="231F20"/>
          <w:spacing w:val="-2"/>
        </w:rPr>
        <w:t> </w:t>
      </w:r>
      <w:r>
        <w:rPr>
          <w:color w:val="231F20"/>
        </w:rPr>
        <w:t>afin</w:t>
      </w:r>
      <w:r>
        <w:rPr>
          <w:color w:val="231F20"/>
          <w:spacing w:val="-2"/>
        </w:rPr>
        <w:t> </w:t>
      </w:r>
      <w:r>
        <w:rPr>
          <w:color w:val="231F20"/>
        </w:rPr>
        <w:t>de</w:t>
      </w:r>
      <w:r>
        <w:rPr>
          <w:color w:val="231F20"/>
          <w:spacing w:val="-4"/>
        </w:rPr>
        <w:t> </w:t>
      </w:r>
      <w:r>
        <w:rPr>
          <w:color w:val="231F20"/>
        </w:rPr>
        <w:t>négocier</w:t>
      </w:r>
      <w:r>
        <w:rPr>
          <w:color w:val="231F20"/>
          <w:spacing w:val="-4"/>
        </w:rPr>
        <w:t> </w:t>
      </w:r>
      <w:r>
        <w:rPr>
          <w:color w:val="231F20"/>
        </w:rPr>
        <w:t>la Départementalisation du Gabon. Reçu par le ministre de l’outre-mer, Bernard</w:t>
      </w:r>
      <w:r>
        <w:rPr>
          <w:color w:val="231F20"/>
          <w:spacing w:val="-11"/>
        </w:rPr>
        <w:t> </w:t>
      </w:r>
      <w:r>
        <w:rPr>
          <w:color w:val="231F20"/>
        </w:rPr>
        <w:t>Cornut-Gentille,</w:t>
      </w:r>
      <w:r>
        <w:rPr>
          <w:color w:val="231F20"/>
          <w:spacing w:val="-15"/>
        </w:rPr>
        <w:t> </w:t>
      </w:r>
      <w:r>
        <w:rPr>
          <w:color w:val="231F20"/>
        </w:rPr>
        <w:t>Louis</w:t>
      </w:r>
      <w:r>
        <w:rPr>
          <w:color w:val="231F20"/>
          <w:spacing w:val="-13"/>
        </w:rPr>
        <w:t> </w:t>
      </w:r>
      <w:r>
        <w:rPr>
          <w:color w:val="231F20"/>
        </w:rPr>
        <w:t>Sanmarco</w:t>
      </w:r>
      <w:r>
        <w:rPr>
          <w:color w:val="231F20"/>
          <w:spacing w:val="-11"/>
        </w:rPr>
        <w:t> </w:t>
      </w:r>
      <w:r>
        <w:rPr>
          <w:color w:val="231F20"/>
        </w:rPr>
        <w:t>essuya</w:t>
      </w:r>
      <w:r>
        <w:rPr>
          <w:color w:val="231F20"/>
          <w:spacing w:val="-11"/>
        </w:rPr>
        <w:t> </w:t>
      </w:r>
      <w:r>
        <w:rPr>
          <w:color w:val="231F20"/>
        </w:rPr>
        <w:t>un</w:t>
      </w:r>
      <w:r>
        <w:rPr>
          <w:color w:val="231F20"/>
          <w:spacing w:val="-11"/>
        </w:rPr>
        <w:t> </w:t>
      </w:r>
      <w:r>
        <w:rPr>
          <w:color w:val="231F20"/>
        </w:rPr>
        <w:t>refus</w:t>
      </w:r>
      <w:r>
        <w:rPr>
          <w:color w:val="231F20"/>
          <w:spacing w:val="-11"/>
        </w:rPr>
        <w:t> </w:t>
      </w:r>
      <w:r>
        <w:rPr>
          <w:color w:val="231F20"/>
        </w:rPr>
        <w:t>tonitruant</w:t>
      </w:r>
      <w:r>
        <w:rPr>
          <w:color w:val="231F20"/>
          <w:spacing w:val="-13"/>
        </w:rPr>
        <w:t> </w:t>
      </w:r>
      <w:r>
        <w:rPr>
          <w:color w:val="231F20"/>
        </w:rPr>
        <w:t>:</w:t>
      </w:r>
      <w:r>
        <w:rPr>
          <w:color w:val="231F20"/>
          <w:spacing w:val="-11"/>
        </w:rPr>
        <w:t> </w:t>
      </w:r>
      <w:r>
        <w:rPr>
          <w:color w:val="231F20"/>
        </w:rPr>
        <w:t>« Sanmarco, vous êtes tombé sur la tête !... N’avons-nous pas assez des </w:t>
      </w:r>
      <w:r>
        <w:rPr>
          <w:color w:val="231F20"/>
          <w:spacing w:val="-2"/>
        </w:rPr>
        <w:t>Antilles</w:t>
      </w:r>
      <w:r>
        <w:rPr>
          <w:color w:val="231F20"/>
          <w:spacing w:val="-12"/>
        </w:rPr>
        <w:t> </w:t>
      </w:r>
      <w:r>
        <w:rPr>
          <w:color w:val="231F20"/>
          <w:spacing w:val="-2"/>
        </w:rPr>
        <w:t>?</w:t>
      </w:r>
      <w:r>
        <w:rPr>
          <w:color w:val="231F20"/>
          <w:spacing w:val="-13"/>
        </w:rPr>
        <w:t> </w:t>
      </w:r>
      <w:r>
        <w:rPr>
          <w:color w:val="231F20"/>
          <w:spacing w:val="-2"/>
        </w:rPr>
        <w:t>Allez</w:t>
      </w:r>
      <w:r>
        <w:rPr>
          <w:color w:val="231F20"/>
          <w:spacing w:val="-13"/>
        </w:rPr>
        <w:t> </w:t>
      </w:r>
      <w:r>
        <w:rPr>
          <w:color w:val="231F20"/>
          <w:spacing w:val="-2"/>
        </w:rPr>
        <w:t>à</w:t>
      </w:r>
      <w:r>
        <w:rPr>
          <w:color w:val="231F20"/>
          <w:spacing w:val="-12"/>
        </w:rPr>
        <w:t> </w:t>
      </w:r>
      <w:r>
        <w:rPr>
          <w:color w:val="231F20"/>
          <w:spacing w:val="-2"/>
        </w:rPr>
        <w:t>l’indépendance</w:t>
      </w:r>
      <w:r>
        <w:rPr>
          <w:color w:val="231F20"/>
          <w:spacing w:val="-10"/>
        </w:rPr>
        <w:t> </w:t>
      </w:r>
      <w:r>
        <w:rPr>
          <w:color w:val="231F20"/>
          <w:spacing w:val="-2"/>
        </w:rPr>
        <w:t>comme</w:t>
      </w:r>
      <w:r>
        <w:rPr>
          <w:color w:val="231F20"/>
          <w:spacing w:val="-13"/>
        </w:rPr>
        <w:t> </w:t>
      </w:r>
      <w:r>
        <w:rPr>
          <w:color w:val="231F20"/>
          <w:spacing w:val="-2"/>
        </w:rPr>
        <w:t>tout</w:t>
      </w:r>
      <w:r>
        <w:rPr>
          <w:color w:val="231F20"/>
          <w:spacing w:val="-11"/>
        </w:rPr>
        <w:t> </w:t>
      </w:r>
      <w:r>
        <w:rPr>
          <w:color w:val="231F20"/>
          <w:spacing w:val="-2"/>
        </w:rPr>
        <w:t>le</w:t>
      </w:r>
      <w:r>
        <w:rPr>
          <w:color w:val="231F20"/>
          <w:spacing w:val="-13"/>
        </w:rPr>
        <w:t> </w:t>
      </w:r>
      <w:r>
        <w:rPr>
          <w:color w:val="231F20"/>
          <w:spacing w:val="-2"/>
        </w:rPr>
        <w:t>monde</w:t>
      </w:r>
      <w:r>
        <w:rPr>
          <w:color w:val="231F20"/>
          <w:spacing w:val="-10"/>
        </w:rPr>
        <w:t> </w:t>
      </w:r>
      <w:r>
        <w:rPr>
          <w:color w:val="231F20"/>
          <w:spacing w:val="-2"/>
        </w:rPr>
        <w:t>!</w:t>
      </w:r>
      <w:r>
        <w:rPr>
          <w:color w:val="231F20"/>
          <w:spacing w:val="-13"/>
        </w:rPr>
        <w:t> </w:t>
      </w:r>
      <w:r>
        <w:rPr>
          <w:color w:val="231F20"/>
          <w:spacing w:val="-2"/>
        </w:rPr>
        <w:t>(…)</w:t>
      </w:r>
      <w:r>
        <w:rPr>
          <w:color w:val="231F20"/>
          <w:spacing w:val="-12"/>
        </w:rPr>
        <w:t> </w:t>
      </w:r>
      <w:r>
        <w:rPr>
          <w:color w:val="231F20"/>
          <w:spacing w:val="-2"/>
        </w:rPr>
        <w:t>Le</w:t>
      </w:r>
      <w:r>
        <w:rPr>
          <w:color w:val="231F20"/>
          <w:spacing w:val="-10"/>
        </w:rPr>
        <w:t> </w:t>
      </w:r>
      <w:r>
        <w:rPr>
          <w:color w:val="231F20"/>
          <w:spacing w:val="-2"/>
        </w:rPr>
        <w:t>général </w:t>
      </w:r>
      <w:r>
        <w:rPr>
          <w:color w:val="231F20"/>
        </w:rPr>
        <w:t>de Gaulle expliqua à Alain Peyrefitte</w:t>
      </w:r>
      <w:r>
        <w:rPr>
          <w:color w:val="76787A"/>
          <w:vertAlign w:val="superscript"/>
        </w:rPr>
        <w:t>38</w:t>
      </w:r>
      <w:r>
        <w:rPr>
          <w:color w:val="76787A"/>
          <w:spacing w:val="-11"/>
          <w:vertAlign w:val="baseline"/>
        </w:rPr>
        <w:t> </w:t>
      </w:r>
      <w:r>
        <w:rPr>
          <w:color w:val="231F20"/>
          <w:vertAlign w:val="baseline"/>
        </w:rPr>
        <w:t>: « nous ne pouvons pas tenir</w:t>
      </w:r>
      <w:r>
        <w:rPr>
          <w:color w:val="231F20"/>
          <w:spacing w:val="-1"/>
          <w:vertAlign w:val="baseline"/>
        </w:rPr>
        <w:t> </w:t>
      </w:r>
      <w:r>
        <w:rPr>
          <w:color w:val="231F20"/>
          <w:vertAlign w:val="baseline"/>
        </w:rPr>
        <w:t>à bout</w:t>
      </w:r>
      <w:r>
        <w:rPr>
          <w:color w:val="231F20"/>
          <w:spacing w:val="80"/>
          <w:w w:val="150"/>
          <w:vertAlign w:val="baseline"/>
        </w:rPr>
        <w:t> </w:t>
      </w:r>
      <w:r>
        <w:rPr>
          <w:color w:val="231F20"/>
          <w:vertAlign w:val="baseline"/>
        </w:rPr>
        <w:t>de</w:t>
      </w:r>
      <w:r>
        <w:rPr>
          <w:color w:val="231F20"/>
          <w:spacing w:val="80"/>
          <w:w w:val="150"/>
          <w:vertAlign w:val="baseline"/>
        </w:rPr>
        <w:t> </w:t>
      </w:r>
      <w:r>
        <w:rPr>
          <w:color w:val="231F20"/>
          <w:vertAlign w:val="baseline"/>
        </w:rPr>
        <w:t>bras</w:t>
      </w:r>
      <w:r>
        <w:rPr>
          <w:color w:val="231F20"/>
          <w:spacing w:val="80"/>
          <w:w w:val="150"/>
          <w:vertAlign w:val="baseline"/>
        </w:rPr>
        <w:t> </w:t>
      </w:r>
      <w:r>
        <w:rPr>
          <w:color w:val="231F20"/>
          <w:vertAlign w:val="baseline"/>
        </w:rPr>
        <w:t>cette</w:t>
      </w:r>
      <w:r>
        <w:rPr>
          <w:color w:val="231F20"/>
          <w:spacing w:val="80"/>
          <w:w w:val="150"/>
          <w:vertAlign w:val="baseline"/>
        </w:rPr>
        <w:t> </w:t>
      </w:r>
      <w:r>
        <w:rPr>
          <w:color w:val="231F20"/>
          <w:vertAlign w:val="baseline"/>
        </w:rPr>
        <w:t>population</w:t>
      </w:r>
      <w:r>
        <w:rPr>
          <w:color w:val="231F20"/>
          <w:spacing w:val="80"/>
          <w:w w:val="150"/>
          <w:vertAlign w:val="baseline"/>
        </w:rPr>
        <w:t> </w:t>
      </w:r>
      <w:r>
        <w:rPr>
          <w:color w:val="231F20"/>
          <w:vertAlign w:val="baseline"/>
        </w:rPr>
        <w:t>prolifique</w:t>
      </w:r>
      <w:r>
        <w:rPr>
          <w:color w:val="231F20"/>
          <w:spacing w:val="80"/>
          <w:w w:val="150"/>
          <w:vertAlign w:val="baseline"/>
        </w:rPr>
        <w:t> </w:t>
      </w:r>
      <w:r>
        <w:rPr>
          <w:color w:val="231F20"/>
          <w:vertAlign w:val="baseline"/>
        </w:rPr>
        <w:t>comme</w:t>
      </w:r>
      <w:r>
        <w:rPr>
          <w:color w:val="231F20"/>
          <w:spacing w:val="80"/>
          <w:w w:val="150"/>
          <w:vertAlign w:val="baseline"/>
        </w:rPr>
        <w:t> </w:t>
      </w:r>
      <w:r>
        <w:rPr>
          <w:color w:val="231F20"/>
          <w:vertAlign w:val="baseline"/>
        </w:rPr>
        <w:t>des</w:t>
      </w:r>
      <w:r>
        <w:rPr>
          <w:color w:val="231F20"/>
          <w:spacing w:val="80"/>
          <w:w w:val="150"/>
          <w:vertAlign w:val="baseline"/>
        </w:rPr>
        <w:t> </w:t>
      </w:r>
      <w:r>
        <w:rPr>
          <w:color w:val="231F20"/>
          <w:vertAlign w:val="baseline"/>
        </w:rPr>
        <w:t>lapins </w:t>
      </w:r>
      <w:r>
        <w:rPr>
          <w:color w:val="231F20"/>
          <w:spacing w:val="-2"/>
          <w:vertAlign w:val="baseline"/>
        </w:rPr>
        <w:t>(…)</w:t>
      </w:r>
      <w:r>
        <w:rPr>
          <w:color w:val="231F20"/>
          <w:spacing w:val="-13"/>
          <w:vertAlign w:val="baseline"/>
        </w:rPr>
        <w:t> </w:t>
      </w:r>
      <w:r>
        <w:rPr>
          <w:color w:val="231F20"/>
          <w:spacing w:val="-2"/>
          <w:vertAlign w:val="baseline"/>
        </w:rPr>
        <w:t>Heureusement</w:t>
      </w:r>
      <w:r>
        <w:rPr>
          <w:color w:val="231F20"/>
          <w:spacing w:val="-13"/>
          <w:vertAlign w:val="baseline"/>
        </w:rPr>
        <w:t> </w:t>
      </w:r>
      <w:r>
        <w:rPr>
          <w:color w:val="231F20"/>
          <w:spacing w:val="-2"/>
          <w:vertAlign w:val="baseline"/>
        </w:rPr>
        <w:t>que</w:t>
      </w:r>
      <w:r>
        <w:rPr>
          <w:color w:val="231F20"/>
          <w:spacing w:val="-12"/>
          <w:vertAlign w:val="baseline"/>
        </w:rPr>
        <w:t> </w:t>
      </w:r>
      <w:r>
        <w:rPr>
          <w:color w:val="231F20"/>
          <w:spacing w:val="-2"/>
          <w:vertAlign w:val="baseline"/>
        </w:rPr>
        <w:t>la</w:t>
      </w:r>
      <w:r>
        <w:rPr>
          <w:color w:val="231F20"/>
          <w:spacing w:val="-13"/>
          <w:vertAlign w:val="baseline"/>
        </w:rPr>
        <w:t> </w:t>
      </w:r>
      <w:r>
        <w:rPr>
          <w:color w:val="231F20"/>
          <w:spacing w:val="-2"/>
          <w:vertAlign w:val="baseline"/>
        </w:rPr>
        <w:t>plupart</w:t>
      </w:r>
      <w:r>
        <w:rPr>
          <w:color w:val="231F20"/>
          <w:spacing w:val="-13"/>
          <w:vertAlign w:val="baseline"/>
        </w:rPr>
        <w:t> </w:t>
      </w:r>
      <w:r>
        <w:rPr>
          <w:color w:val="231F20"/>
          <w:spacing w:val="-2"/>
          <w:vertAlign w:val="baseline"/>
        </w:rPr>
        <w:t>de</w:t>
      </w:r>
      <w:r>
        <w:rPr>
          <w:color w:val="231F20"/>
          <w:spacing w:val="-12"/>
          <w:vertAlign w:val="baseline"/>
        </w:rPr>
        <w:t> </w:t>
      </w:r>
      <w:r>
        <w:rPr>
          <w:color w:val="231F20"/>
          <w:spacing w:val="-2"/>
          <w:vertAlign w:val="baseline"/>
        </w:rPr>
        <w:t>nos</w:t>
      </w:r>
      <w:r>
        <w:rPr>
          <w:color w:val="231F20"/>
          <w:spacing w:val="-12"/>
          <w:vertAlign w:val="baseline"/>
        </w:rPr>
        <w:t> </w:t>
      </w:r>
      <w:r>
        <w:rPr>
          <w:color w:val="231F20"/>
          <w:spacing w:val="-2"/>
          <w:vertAlign w:val="baseline"/>
        </w:rPr>
        <w:t>africains</w:t>
      </w:r>
      <w:r>
        <w:rPr>
          <w:color w:val="231F20"/>
          <w:spacing w:val="-12"/>
          <w:vertAlign w:val="baseline"/>
        </w:rPr>
        <w:t> </w:t>
      </w:r>
      <w:r>
        <w:rPr>
          <w:color w:val="231F20"/>
          <w:spacing w:val="-2"/>
          <w:vertAlign w:val="baseline"/>
        </w:rPr>
        <w:t>ont</w:t>
      </w:r>
      <w:r>
        <w:rPr>
          <w:color w:val="231F20"/>
          <w:spacing w:val="-12"/>
          <w:vertAlign w:val="baseline"/>
        </w:rPr>
        <w:t> </w:t>
      </w:r>
      <w:r>
        <w:rPr>
          <w:color w:val="231F20"/>
          <w:spacing w:val="-2"/>
          <w:vertAlign w:val="baseline"/>
        </w:rPr>
        <w:t>bien</w:t>
      </w:r>
      <w:r>
        <w:rPr>
          <w:color w:val="231F20"/>
          <w:spacing w:val="-13"/>
          <w:vertAlign w:val="baseline"/>
        </w:rPr>
        <w:t> </w:t>
      </w:r>
      <w:r>
        <w:rPr>
          <w:color w:val="231F20"/>
          <w:spacing w:val="-2"/>
          <w:vertAlign w:val="baseline"/>
        </w:rPr>
        <w:t>voulu</w:t>
      </w:r>
      <w:r>
        <w:rPr>
          <w:color w:val="231F20"/>
          <w:spacing w:val="-12"/>
          <w:vertAlign w:val="baseline"/>
        </w:rPr>
        <w:t> </w:t>
      </w:r>
      <w:r>
        <w:rPr>
          <w:color w:val="231F20"/>
          <w:spacing w:val="-2"/>
          <w:vertAlign w:val="baseline"/>
        </w:rPr>
        <w:t>prendre </w:t>
      </w:r>
      <w:r>
        <w:rPr>
          <w:color w:val="231F20"/>
          <w:vertAlign w:val="baseline"/>
        </w:rPr>
        <w:t>paisiblement</w:t>
      </w:r>
      <w:r>
        <w:rPr>
          <w:color w:val="231F20"/>
          <w:spacing w:val="-7"/>
          <w:vertAlign w:val="baseline"/>
        </w:rPr>
        <w:t> </w:t>
      </w:r>
      <w:r>
        <w:rPr>
          <w:color w:val="231F20"/>
          <w:vertAlign w:val="baseline"/>
        </w:rPr>
        <w:t>le</w:t>
      </w:r>
      <w:r>
        <w:rPr>
          <w:color w:val="231F20"/>
          <w:spacing w:val="-6"/>
          <w:vertAlign w:val="baseline"/>
        </w:rPr>
        <w:t> </w:t>
      </w:r>
      <w:r>
        <w:rPr>
          <w:color w:val="231F20"/>
          <w:vertAlign w:val="baseline"/>
        </w:rPr>
        <w:t>chemin</w:t>
      </w:r>
      <w:r>
        <w:rPr>
          <w:color w:val="231F20"/>
          <w:spacing w:val="-6"/>
          <w:vertAlign w:val="baseline"/>
        </w:rPr>
        <w:t> </w:t>
      </w:r>
      <w:r>
        <w:rPr>
          <w:color w:val="231F20"/>
          <w:vertAlign w:val="baseline"/>
        </w:rPr>
        <w:t>de</w:t>
      </w:r>
      <w:r>
        <w:rPr>
          <w:color w:val="231F20"/>
          <w:spacing w:val="-9"/>
          <w:vertAlign w:val="baseline"/>
        </w:rPr>
        <w:t> </w:t>
      </w:r>
      <w:r>
        <w:rPr>
          <w:color w:val="231F20"/>
          <w:vertAlign w:val="baseline"/>
        </w:rPr>
        <w:t>l’autonomie,</w:t>
      </w:r>
      <w:r>
        <w:rPr>
          <w:color w:val="231F20"/>
          <w:spacing w:val="-6"/>
          <w:vertAlign w:val="baseline"/>
        </w:rPr>
        <w:t> </w:t>
      </w:r>
      <w:r>
        <w:rPr>
          <w:color w:val="231F20"/>
          <w:vertAlign w:val="baseline"/>
        </w:rPr>
        <w:t>puis</w:t>
      </w:r>
      <w:r>
        <w:rPr>
          <w:color w:val="231F20"/>
          <w:spacing w:val="-6"/>
          <w:vertAlign w:val="baseline"/>
        </w:rPr>
        <w:t> </w:t>
      </w:r>
      <w:r>
        <w:rPr>
          <w:color w:val="231F20"/>
          <w:vertAlign w:val="baseline"/>
        </w:rPr>
        <w:t>de</w:t>
      </w:r>
      <w:r>
        <w:rPr>
          <w:color w:val="231F20"/>
          <w:spacing w:val="-8"/>
          <w:vertAlign w:val="baseline"/>
        </w:rPr>
        <w:t> </w:t>
      </w:r>
      <w:r>
        <w:rPr>
          <w:color w:val="231F20"/>
          <w:vertAlign w:val="baseline"/>
        </w:rPr>
        <w:t>l’indépendance</w:t>
      </w:r>
      <w:r>
        <w:rPr>
          <w:color w:val="231F20"/>
          <w:spacing w:val="-6"/>
          <w:vertAlign w:val="baseline"/>
        </w:rPr>
        <w:t> </w:t>
      </w:r>
      <w:r>
        <w:rPr>
          <w:color w:val="231F20"/>
          <w:vertAlign w:val="baseline"/>
        </w:rPr>
        <w:t>(…)</w:t>
      </w:r>
      <w:r>
        <w:rPr>
          <w:color w:val="231F20"/>
          <w:spacing w:val="-8"/>
          <w:vertAlign w:val="baseline"/>
        </w:rPr>
        <w:t> </w:t>
      </w:r>
      <w:r>
        <w:rPr>
          <w:color w:val="76787A"/>
          <w:vertAlign w:val="superscript"/>
        </w:rPr>
        <w:t>39</w:t>
      </w:r>
    </w:p>
    <w:p>
      <w:pPr>
        <w:pStyle w:val="BodyText"/>
        <w:spacing w:before="121"/>
        <w:ind w:right="104" w:firstLine="283"/>
      </w:pPr>
      <w:r>
        <w:rPr>
          <w:color w:val="231F20"/>
        </w:rPr>
        <w:t>Le</w:t>
      </w:r>
      <w:r>
        <w:rPr>
          <w:color w:val="231F20"/>
          <w:spacing w:val="-8"/>
        </w:rPr>
        <w:t> </w:t>
      </w:r>
      <w:r>
        <w:rPr>
          <w:color w:val="231F20"/>
        </w:rPr>
        <w:t>17</w:t>
      </w:r>
      <w:r>
        <w:rPr>
          <w:color w:val="231F20"/>
          <w:spacing w:val="-15"/>
        </w:rPr>
        <w:t> </w:t>
      </w:r>
      <w:r>
        <w:rPr>
          <w:color w:val="231F20"/>
        </w:rPr>
        <w:t>janvier</w:t>
      </w:r>
      <w:r>
        <w:rPr>
          <w:color w:val="231F20"/>
          <w:spacing w:val="-3"/>
        </w:rPr>
        <w:t> </w:t>
      </w:r>
      <w:r>
        <w:rPr>
          <w:color w:val="231F20"/>
        </w:rPr>
        <w:t>1959,</w:t>
      </w:r>
      <w:r>
        <w:rPr>
          <w:color w:val="231F20"/>
          <w:spacing w:val="-5"/>
        </w:rPr>
        <w:t> </w:t>
      </w:r>
      <w:r>
        <w:rPr>
          <w:color w:val="231F20"/>
        </w:rPr>
        <w:t>le</w:t>
      </w:r>
      <w:r>
        <w:rPr>
          <w:color w:val="231F20"/>
          <w:spacing w:val="-8"/>
        </w:rPr>
        <w:t> </w:t>
      </w:r>
      <w:r>
        <w:rPr>
          <w:color w:val="231F20"/>
        </w:rPr>
        <w:t>Sénégal,</w:t>
      </w:r>
      <w:r>
        <w:rPr>
          <w:color w:val="231F20"/>
          <w:spacing w:val="-5"/>
        </w:rPr>
        <w:t> </w:t>
      </w:r>
      <w:r>
        <w:rPr>
          <w:color w:val="231F20"/>
        </w:rPr>
        <w:t>le</w:t>
      </w:r>
      <w:r>
        <w:rPr>
          <w:color w:val="231F20"/>
          <w:spacing w:val="-5"/>
        </w:rPr>
        <w:t> </w:t>
      </w:r>
      <w:r>
        <w:rPr>
          <w:color w:val="231F20"/>
        </w:rPr>
        <w:t>Dahomey</w:t>
      </w:r>
      <w:r>
        <w:rPr>
          <w:color w:val="231F20"/>
          <w:spacing w:val="-5"/>
        </w:rPr>
        <w:t> </w:t>
      </w:r>
      <w:r>
        <w:rPr>
          <w:color w:val="231F20"/>
        </w:rPr>
        <w:t>(Bénin),</w:t>
      </w:r>
      <w:r>
        <w:rPr>
          <w:color w:val="231F20"/>
          <w:spacing w:val="-5"/>
        </w:rPr>
        <w:t> </w:t>
      </w:r>
      <w:r>
        <w:rPr>
          <w:color w:val="231F20"/>
        </w:rPr>
        <w:t>la</w:t>
      </w:r>
      <w:r>
        <w:rPr>
          <w:color w:val="231F20"/>
          <w:spacing w:val="-4"/>
        </w:rPr>
        <w:t> </w:t>
      </w:r>
      <w:r>
        <w:rPr>
          <w:color w:val="231F20"/>
        </w:rPr>
        <w:t>Haute-Volta (Burkina) et le Soudan français (Mali) adoptent la Constitution de la Fédération du Mali.</w:t>
      </w:r>
    </w:p>
    <w:p>
      <w:pPr>
        <w:pStyle w:val="BodyText"/>
        <w:spacing w:before="120"/>
        <w:ind w:right="106" w:firstLine="283"/>
      </w:pPr>
      <w:r>
        <w:rPr>
          <w:color w:val="231F20"/>
          <w:spacing w:val="-2"/>
        </w:rPr>
        <w:t>Houphouët-Boigny,</w:t>
      </w:r>
      <w:r>
        <w:rPr>
          <w:color w:val="231F20"/>
          <w:spacing w:val="-13"/>
        </w:rPr>
        <w:t> </w:t>
      </w:r>
      <w:r>
        <w:rPr>
          <w:color w:val="231F20"/>
          <w:spacing w:val="-2"/>
        </w:rPr>
        <w:t>le</w:t>
      </w:r>
      <w:r>
        <w:rPr>
          <w:color w:val="231F20"/>
          <w:spacing w:val="-13"/>
        </w:rPr>
        <w:t> </w:t>
      </w:r>
      <w:r>
        <w:rPr>
          <w:color w:val="231F20"/>
          <w:spacing w:val="-2"/>
        </w:rPr>
        <w:t>leader</w:t>
      </w:r>
      <w:r>
        <w:rPr>
          <w:color w:val="231F20"/>
          <w:spacing w:val="-13"/>
        </w:rPr>
        <w:t> </w:t>
      </w:r>
      <w:r>
        <w:rPr>
          <w:color w:val="231F20"/>
          <w:spacing w:val="-2"/>
        </w:rPr>
        <w:t>de</w:t>
      </w:r>
      <w:r>
        <w:rPr>
          <w:color w:val="231F20"/>
          <w:spacing w:val="-12"/>
        </w:rPr>
        <w:t> </w:t>
      </w:r>
      <w:r>
        <w:rPr>
          <w:color w:val="231F20"/>
          <w:spacing w:val="-2"/>
        </w:rPr>
        <w:t>la</w:t>
      </w:r>
      <w:r>
        <w:rPr>
          <w:color w:val="231F20"/>
          <w:spacing w:val="-13"/>
        </w:rPr>
        <w:t> </w:t>
      </w:r>
      <w:r>
        <w:rPr>
          <w:color w:val="231F20"/>
          <w:spacing w:val="-2"/>
        </w:rPr>
        <w:t>Côte</w:t>
      </w:r>
      <w:r>
        <w:rPr>
          <w:color w:val="231F20"/>
          <w:spacing w:val="-11"/>
        </w:rPr>
        <w:t> </w:t>
      </w:r>
      <w:r>
        <w:rPr>
          <w:color w:val="231F20"/>
          <w:spacing w:val="-2"/>
        </w:rPr>
        <w:t>d’Ivoire</w:t>
      </w:r>
      <w:r>
        <w:rPr>
          <w:color w:val="231F20"/>
          <w:spacing w:val="-11"/>
        </w:rPr>
        <w:t> </w:t>
      </w:r>
      <w:r>
        <w:rPr>
          <w:color w:val="231F20"/>
          <w:spacing w:val="-2"/>
        </w:rPr>
        <w:t>conduit</w:t>
      </w:r>
      <w:r>
        <w:rPr>
          <w:color w:val="231F20"/>
          <w:spacing w:val="-11"/>
        </w:rPr>
        <w:t> </w:t>
      </w:r>
      <w:r>
        <w:rPr>
          <w:color w:val="231F20"/>
          <w:spacing w:val="-2"/>
        </w:rPr>
        <w:t>un</w:t>
      </w:r>
      <w:r>
        <w:rPr>
          <w:color w:val="231F20"/>
          <w:spacing w:val="-11"/>
        </w:rPr>
        <w:t> </w:t>
      </w:r>
      <w:r>
        <w:rPr>
          <w:color w:val="231F20"/>
          <w:spacing w:val="-2"/>
        </w:rPr>
        <w:t>mois</w:t>
      </w:r>
      <w:r>
        <w:rPr>
          <w:color w:val="231F20"/>
          <w:spacing w:val="-13"/>
        </w:rPr>
        <w:t> </w:t>
      </w:r>
      <w:r>
        <w:rPr>
          <w:color w:val="231F20"/>
          <w:spacing w:val="-2"/>
        </w:rPr>
        <w:t>plus </w:t>
      </w:r>
      <w:r>
        <w:rPr>
          <w:color w:val="231F20"/>
        </w:rPr>
        <w:t>tard,</w:t>
      </w:r>
      <w:r>
        <w:rPr>
          <w:color w:val="231F20"/>
          <w:spacing w:val="-4"/>
        </w:rPr>
        <w:t> </w:t>
      </w:r>
      <w:r>
        <w:rPr>
          <w:color w:val="231F20"/>
        </w:rPr>
        <w:t>le</w:t>
      </w:r>
      <w:r>
        <w:rPr>
          <w:color w:val="231F20"/>
          <w:spacing w:val="-4"/>
        </w:rPr>
        <w:t> </w:t>
      </w:r>
      <w:r>
        <w:rPr>
          <w:color w:val="231F20"/>
        </w:rPr>
        <w:t>Dahomey</w:t>
      </w:r>
      <w:r>
        <w:rPr>
          <w:color w:val="231F20"/>
          <w:spacing w:val="-4"/>
        </w:rPr>
        <w:t> </w:t>
      </w:r>
      <w:r>
        <w:rPr>
          <w:color w:val="231F20"/>
        </w:rPr>
        <w:t>(Bénin),</w:t>
      </w:r>
      <w:r>
        <w:rPr>
          <w:color w:val="231F20"/>
          <w:spacing w:val="-4"/>
        </w:rPr>
        <w:t> </w:t>
      </w:r>
      <w:r>
        <w:rPr>
          <w:color w:val="231F20"/>
        </w:rPr>
        <w:t>et</w:t>
      </w:r>
      <w:r>
        <w:rPr>
          <w:color w:val="231F20"/>
          <w:spacing w:val="-4"/>
        </w:rPr>
        <w:t> </w:t>
      </w:r>
      <w:r>
        <w:rPr>
          <w:color w:val="231F20"/>
        </w:rPr>
        <w:t>la</w:t>
      </w:r>
      <w:r>
        <w:rPr>
          <w:color w:val="231F20"/>
          <w:spacing w:val="-3"/>
        </w:rPr>
        <w:t> </w:t>
      </w:r>
      <w:r>
        <w:rPr>
          <w:color w:val="231F20"/>
        </w:rPr>
        <w:t>Haute-Volta</w:t>
      </w:r>
      <w:r>
        <w:rPr>
          <w:color w:val="231F20"/>
          <w:spacing w:val="-4"/>
        </w:rPr>
        <w:t> </w:t>
      </w:r>
      <w:r>
        <w:rPr>
          <w:color w:val="231F20"/>
        </w:rPr>
        <w:t>(Burkina)</w:t>
      </w:r>
      <w:r>
        <w:rPr>
          <w:color w:val="231F20"/>
          <w:spacing w:val="-4"/>
        </w:rPr>
        <w:t> </w:t>
      </w:r>
      <w:r>
        <w:rPr>
          <w:color w:val="231F20"/>
        </w:rPr>
        <w:t>à</w:t>
      </w:r>
      <w:r>
        <w:rPr>
          <w:color w:val="231F20"/>
          <w:spacing w:val="-4"/>
        </w:rPr>
        <w:t> </w:t>
      </w:r>
      <w:r>
        <w:rPr>
          <w:color w:val="231F20"/>
        </w:rPr>
        <w:t>se</w:t>
      </w:r>
      <w:r>
        <w:rPr>
          <w:color w:val="231F20"/>
          <w:spacing w:val="-4"/>
        </w:rPr>
        <w:t> </w:t>
      </w:r>
      <w:r>
        <w:rPr>
          <w:color w:val="231F20"/>
        </w:rPr>
        <w:t>retirer</w:t>
      </w:r>
      <w:r>
        <w:rPr>
          <w:color w:val="231F20"/>
          <w:spacing w:val="-4"/>
        </w:rPr>
        <w:t> </w:t>
      </w:r>
      <w:r>
        <w:rPr>
          <w:color w:val="231F20"/>
        </w:rPr>
        <w:t>de</w:t>
      </w:r>
      <w:r>
        <w:rPr>
          <w:color w:val="231F20"/>
          <w:spacing w:val="-4"/>
        </w:rPr>
        <w:t> </w:t>
      </w:r>
      <w:r>
        <w:rPr>
          <w:color w:val="231F20"/>
        </w:rPr>
        <w:t>la Fédération du Mali pour s’allier à son pays et former avec le Niger, le 30</w:t>
      </w:r>
      <w:r>
        <w:rPr>
          <w:color w:val="231F20"/>
          <w:spacing w:val="-15"/>
        </w:rPr>
        <w:t> </w:t>
      </w:r>
      <w:r>
        <w:rPr>
          <w:color w:val="231F20"/>
        </w:rPr>
        <w:t>mai,</w:t>
      </w:r>
      <w:r>
        <w:rPr>
          <w:color w:val="231F20"/>
          <w:spacing w:val="-15"/>
        </w:rPr>
        <w:t> </w:t>
      </w:r>
      <w:r>
        <w:rPr>
          <w:color w:val="231F20"/>
        </w:rPr>
        <w:t>le</w:t>
      </w:r>
      <w:r>
        <w:rPr>
          <w:color w:val="231F20"/>
          <w:spacing w:val="-15"/>
        </w:rPr>
        <w:t> </w:t>
      </w:r>
      <w:r>
        <w:rPr>
          <w:color w:val="231F20"/>
        </w:rPr>
        <w:t>Conseil</w:t>
      </w:r>
      <w:r>
        <w:rPr>
          <w:color w:val="231F20"/>
          <w:spacing w:val="-15"/>
        </w:rPr>
        <w:t> </w:t>
      </w:r>
      <w:r>
        <w:rPr>
          <w:color w:val="231F20"/>
        </w:rPr>
        <w:t>de</w:t>
      </w:r>
      <w:r>
        <w:rPr>
          <w:color w:val="231F20"/>
          <w:spacing w:val="-15"/>
        </w:rPr>
        <w:t> </w:t>
      </w:r>
      <w:r>
        <w:rPr>
          <w:color w:val="231F20"/>
        </w:rPr>
        <w:t>l’Entente,</w:t>
      </w:r>
      <w:r>
        <w:rPr>
          <w:color w:val="231F20"/>
          <w:spacing w:val="-15"/>
        </w:rPr>
        <w:t> </w:t>
      </w:r>
      <w:r>
        <w:rPr>
          <w:color w:val="231F20"/>
        </w:rPr>
        <w:t>un</w:t>
      </w:r>
      <w:r>
        <w:rPr>
          <w:color w:val="231F20"/>
          <w:spacing w:val="-15"/>
        </w:rPr>
        <w:t> </w:t>
      </w:r>
      <w:r>
        <w:rPr>
          <w:color w:val="231F20"/>
        </w:rPr>
        <w:t>organe</w:t>
      </w:r>
      <w:r>
        <w:rPr>
          <w:color w:val="231F20"/>
          <w:spacing w:val="-15"/>
        </w:rPr>
        <w:t> </w:t>
      </w:r>
      <w:r>
        <w:rPr>
          <w:color w:val="231F20"/>
        </w:rPr>
        <w:t>de</w:t>
      </w:r>
      <w:r>
        <w:rPr>
          <w:color w:val="231F20"/>
          <w:spacing w:val="-15"/>
        </w:rPr>
        <w:t> </w:t>
      </w:r>
      <w:r>
        <w:rPr>
          <w:color w:val="231F20"/>
        </w:rPr>
        <w:t>concertation</w:t>
      </w:r>
      <w:r>
        <w:rPr>
          <w:color w:val="231F20"/>
          <w:spacing w:val="-15"/>
        </w:rPr>
        <w:t> </w:t>
      </w:r>
      <w:r>
        <w:rPr>
          <w:color w:val="231F20"/>
        </w:rPr>
        <w:t>sans</w:t>
      </w:r>
      <w:r>
        <w:rPr>
          <w:color w:val="231F20"/>
          <w:spacing w:val="-15"/>
        </w:rPr>
        <w:t> </w:t>
      </w:r>
      <w:r>
        <w:rPr>
          <w:color w:val="231F20"/>
        </w:rPr>
        <w:t>structure d’union.</w:t>
      </w:r>
      <w:r>
        <w:rPr>
          <w:color w:val="231F20"/>
          <w:spacing w:val="-1"/>
        </w:rPr>
        <w:t> </w:t>
      </w:r>
      <w:r>
        <w:rPr>
          <w:color w:val="231F20"/>
        </w:rPr>
        <w:t>La Mauritanie,</w:t>
      </w:r>
      <w:r>
        <w:rPr>
          <w:color w:val="231F20"/>
          <w:spacing w:val="-2"/>
        </w:rPr>
        <w:t> </w:t>
      </w:r>
      <w:r>
        <w:rPr>
          <w:color w:val="231F20"/>
        </w:rPr>
        <w:t>que</w:t>
      </w:r>
      <w:r>
        <w:rPr>
          <w:color w:val="231F20"/>
          <w:spacing w:val="-1"/>
        </w:rPr>
        <w:t> </w:t>
      </w:r>
      <w:r>
        <w:rPr>
          <w:color w:val="231F20"/>
        </w:rPr>
        <w:t>le</w:t>
      </w:r>
      <w:r>
        <w:rPr>
          <w:color w:val="231F20"/>
          <w:spacing w:val="1"/>
        </w:rPr>
        <w:t> </w:t>
      </w:r>
      <w:r>
        <w:rPr>
          <w:color w:val="231F20"/>
        </w:rPr>
        <w:t>Maroc</w:t>
      </w:r>
      <w:r>
        <w:rPr>
          <w:color w:val="231F20"/>
          <w:spacing w:val="-1"/>
        </w:rPr>
        <w:t> </w:t>
      </w:r>
      <w:r>
        <w:rPr>
          <w:color w:val="231F20"/>
        </w:rPr>
        <w:t>revendique</w:t>
      </w:r>
      <w:r>
        <w:rPr>
          <w:color w:val="231F20"/>
          <w:spacing w:val="-1"/>
        </w:rPr>
        <w:t> </w:t>
      </w:r>
      <w:r>
        <w:rPr>
          <w:color w:val="231F20"/>
        </w:rPr>
        <w:t>comme</w:t>
      </w:r>
      <w:r>
        <w:rPr>
          <w:color w:val="231F20"/>
          <w:spacing w:val="-1"/>
        </w:rPr>
        <w:t> </w:t>
      </w:r>
      <w:r>
        <w:rPr>
          <w:color w:val="231F20"/>
        </w:rPr>
        <w:t>partie</w:t>
      </w:r>
      <w:r>
        <w:rPr>
          <w:color w:val="231F20"/>
          <w:spacing w:val="-1"/>
        </w:rPr>
        <w:t> </w:t>
      </w:r>
      <w:r>
        <w:rPr>
          <w:color w:val="231F20"/>
        </w:rPr>
        <w:t>de </w:t>
      </w:r>
      <w:r>
        <w:rPr>
          <w:color w:val="231F20"/>
          <w:spacing w:val="-5"/>
        </w:rPr>
        <w:t>son</w:t>
      </w:r>
    </w:p>
    <w:p>
      <w:pPr>
        <w:pStyle w:val="BodyText"/>
        <w:spacing w:before="25"/>
        <w:ind w:left="0"/>
        <w:jc w:val="left"/>
        <w:rPr>
          <w:sz w:val="20"/>
        </w:rPr>
      </w:pPr>
      <w:r>
        <w:rPr/>
        <mc:AlternateContent>
          <mc:Choice Requires="wps">
            <w:drawing>
              <wp:anchor distT="0" distB="0" distL="0" distR="0" allowOverlap="1" layoutInCell="1" locked="0" behindDoc="1" simplePos="0" relativeHeight="487599104">
                <wp:simplePos x="0" y="0"/>
                <wp:positionH relativeFrom="page">
                  <wp:posOffset>629907</wp:posOffset>
                </wp:positionH>
                <wp:positionV relativeFrom="paragraph">
                  <wp:posOffset>177734</wp:posOffset>
                </wp:positionV>
                <wp:extent cx="1829435" cy="9525"/>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994843pt;width:144.020pt;height:.72pt;mso-position-horizontal-relative:page;mso-position-vertical-relative:paragraph;z-index:-15717376;mso-wrap-distance-left:0;mso-wrap-distance-right:0" id="docshape33" filled="true" fillcolor="#231f20" stroked="false">
                <v:fill type="solid"/>
                <w10:wrap type="topAndBottom"/>
              </v:rect>
            </w:pict>
          </mc:Fallback>
        </mc:AlternateContent>
      </w:r>
    </w:p>
    <w:p>
      <w:pPr>
        <w:spacing w:before="91"/>
        <w:ind w:left="111" w:right="102" w:firstLine="0"/>
        <w:jc w:val="both"/>
        <w:rPr>
          <w:sz w:val="20"/>
        </w:rPr>
      </w:pPr>
      <w:r>
        <w:rPr>
          <w:color w:val="76787A"/>
          <w:sz w:val="20"/>
          <w:vertAlign w:val="superscript"/>
        </w:rPr>
        <w:t>38</w:t>
      </w:r>
      <w:r>
        <w:rPr>
          <w:color w:val="231F20"/>
          <w:sz w:val="20"/>
          <w:vertAlign w:val="baseline"/>
        </w:rPr>
        <w:t>Alain</w:t>
      </w:r>
      <w:r>
        <w:rPr>
          <w:color w:val="231F20"/>
          <w:spacing w:val="-13"/>
          <w:sz w:val="20"/>
          <w:vertAlign w:val="baseline"/>
        </w:rPr>
        <w:t> </w:t>
      </w:r>
      <w:r>
        <w:rPr>
          <w:color w:val="231F20"/>
          <w:sz w:val="20"/>
          <w:vertAlign w:val="baseline"/>
        </w:rPr>
        <w:t>Peyrefitte</w:t>
      </w:r>
      <w:r>
        <w:rPr>
          <w:color w:val="231F20"/>
          <w:spacing w:val="-12"/>
          <w:sz w:val="20"/>
          <w:vertAlign w:val="baseline"/>
        </w:rPr>
        <w:t> </w:t>
      </w:r>
      <w:r>
        <w:rPr>
          <w:color w:val="231F20"/>
          <w:sz w:val="20"/>
          <w:vertAlign w:val="baseline"/>
        </w:rPr>
        <w:t>(1925-1999)</w:t>
      </w:r>
      <w:r>
        <w:rPr>
          <w:color w:val="231F20"/>
          <w:spacing w:val="-10"/>
          <w:sz w:val="20"/>
          <w:vertAlign w:val="baseline"/>
        </w:rPr>
        <w:t> </w:t>
      </w:r>
      <w:r>
        <w:rPr>
          <w:color w:val="231F20"/>
          <w:sz w:val="20"/>
          <w:u w:val="single" w:color="231F20"/>
          <w:vertAlign w:val="baseline"/>
        </w:rPr>
        <w:t>homme d'État</w:t>
      </w:r>
      <w:r>
        <w:rPr>
          <w:color w:val="231F20"/>
          <w:sz w:val="20"/>
          <w:vertAlign w:val="baseline"/>
        </w:rPr>
        <w:t>,</w:t>
      </w:r>
      <w:r>
        <w:rPr>
          <w:color w:val="231F20"/>
          <w:spacing w:val="-13"/>
          <w:sz w:val="20"/>
          <w:vertAlign w:val="baseline"/>
        </w:rPr>
        <w:t> </w:t>
      </w:r>
      <w:r>
        <w:rPr>
          <w:color w:val="231F20"/>
          <w:sz w:val="20"/>
          <w:u w:val="single" w:color="231F20"/>
          <w:vertAlign w:val="baseline"/>
        </w:rPr>
        <w:t>diplomate</w:t>
      </w:r>
      <w:r>
        <w:rPr>
          <w:color w:val="231F20"/>
          <w:spacing w:val="-12"/>
          <w:sz w:val="20"/>
          <w:vertAlign w:val="baseline"/>
        </w:rPr>
        <w:t> </w:t>
      </w:r>
      <w:r>
        <w:rPr>
          <w:color w:val="231F20"/>
          <w:sz w:val="20"/>
          <w:vertAlign w:val="baseline"/>
        </w:rPr>
        <w:t>et</w:t>
      </w:r>
      <w:r>
        <w:rPr>
          <w:color w:val="231F20"/>
          <w:spacing w:val="-13"/>
          <w:sz w:val="20"/>
          <w:vertAlign w:val="baseline"/>
        </w:rPr>
        <w:t> </w:t>
      </w:r>
      <w:r>
        <w:rPr>
          <w:color w:val="231F20"/>
          <w:sz w:val="20"/>
          <w:u w:val="single" w:color="231F20"/>
          <w:vertAlign w:val="baseline"/>
        </w:rPr>
        <w:t>écrivain</w:t>
      </w:r>
      <w:r>
        <w:rPr>
          <w:color w:val="231F20"/>
          <w:spacing w:val="-12"/>
          <w:sz w:val="20"/>
          <w:u w:val="single" w:color="231F20"/>
          <w:vertAlign w:val="baseline"/>
        </w:rPr>
        <w:t> </w:t>
      </w:r>
      <w:r>
        <w:rPr>
          <w:color w:val="231F20"/>
          <w:sz w:val="20"/>
          <w:u w:val="single" w:color="231F20"/>
          <w:vertAlign w:val="baseline"/>
        </w:rPr>
        <w:t>français</w:t>
      </w:r>
      <w:r>
        <w:rPr>
          <w:color w:val="231F20"/>
          <w:sz w:val="20"/>
          <w:vertAlign w:val="baseline"/>
        </w:rPr>
        <w:t>, </w:t>
      </w:r>
      <w:r>
        <w:rPr>
          <w:color w:val="48484A"/>
          <w:sz w:val="20"/>
          <w:vertAlign w:val="baseline"/>
        </w:rPr>
        <w:t>Ministre dans</w:t>
      </w:r>
      <w:r>
        <w:rPr>
          <w:color w:val="48484A"/>
          <w:spacing w:val="-13"/>
          <w:sz w:val="20"/>
          <w:vertAlign w:val="baseline"/>
        </w:rPr>
        <w:t> </w:t>
      </w:r>
      <w:r>
        <w:rPr>
          <w:color w:val="48484A"/>
          <w:sz w:val="20"/>
          <w:vertAlign w:val="baseline"/>
        </w:rPr>
        <w:t>de</w:t>
      </w:r>
      <w:r>
        <w:rPr>
          <w:color w:val="48484A"/>
          <w:spacing w:val="-11"/>
          <w:sz w:val="20"/>
          <w:vertAlign w:val="baseline"/>
        </w:rPr>
        <w:t> </w:t>
      </w:r>
      <w:r>
        <w:rPr>
          <w:color w:val="48484A"/>
          <w:sz w:val="20"/>
          <w:vertAlign w:val="baseline"/>
        </w:rPr>
        <w:t>nombreux</w:t>
      </w:r>
      <w:r>
        <w:rPr>
          <w:color w:val="48484A"/>
          <w:spacing w:val="-9"/>
          <w:sz w:val="20"/>
          <w:vertAlign w:val="baseline"/>
        </w:rPr>
        <w:t> </w:t>
      </w:r>
      <w:r>
        <w:rPr>
          <w:color w:val="48484A"/>
          <w:sz w:val="20"/>
          <w:vertAlign w:val="baseline"/>
        </w:rPr>
        <w:t>gouvernements</w:t>
      </w:r>
      <w:r>
        <w:rPr>
          <w:color w:val="48484A"/>
          <w:spacing w:val="-10"/>
          <w:sz w:val="20"/>
          <w:vertAlign w:val="baseline"/>
        </w:rPr>
        <w:t> </w:t>
      </w:r>
      <w:r>
        <w:rPr>
          <w:color w:val="48484A"/>
          <w:sz w:val="20"/>
          <w:vertAlign w:val="baseline"/>
        </w:rPr>
        <w:t>sous</w:t>
      </w:r>
      <w:r>
        <w:rPr>
          <w:color w:val="48484A"/>
          <w:spacing w:val="-8"/>
          <w:sz w:val="20"/>
          <w:vertAlign w:val="baseline"/>
        </w:rPr>
        <w:t> </w:t>
      </w:r>
      <w:r>
        <w:rPr>
          <w:color w:val="48484A"/>
          <w:sz w:val="20"/>
          <w:vertAlign w:val="baseline"/>
        </w:rPr>
        <w:t>les</w:t>
      </w:r>
      <w:r>
        <w:rPr>
          <w:color w:val="48484A"/>
          <w:spacing w:val="-10"/>
          <w:sz w:val="20"/>
          <w:vertAlign w:val="baseline"/>
        </w:rPr>
        <w:t> </w:t>
      </w:r>
      <w:r>
        <w:rPr>
          <w:color w:val="48484A"/>
          <w:sz w:val="20"/>
          <w:vertAlign w:val="baseline"/>
        </w:rPr>
        <w:t>présidences</w:t>
      </w:r>
      <w:r>
        <w:rPr>
          <w:color w:val="48484A"/>
          <w:spacing w:val="-12"/>
          <w:sz w:val="20"/>
          <w:vertAlign w:val="baseline"/>
        </w:rPr>
        <w:t> </w:t>
      </w:r>
      <w:r>
        <w:rPr>
          <w:color w:val="48484A"/>
          <w:sz w:val="20"/>
          <w:vertAlign w:val="baseline"/>
        </w:rPr>
        <w:t>de</w:t>
      </w:r>
      <w:r>
        <w:rPr>
          <w:color w:val="48484A"/>
          <w:spacing w:val="-9"/>
          <w:sz w:val="20"/>
          <w:vertAlign w:val="baseline"/>
        </w:rPr>
        <w:t> </w:t>
      </w:r>
      <w:r>
        <w:rPr>
          <w:color w:val="48484A"/>
          <w:sz w:val="20"/>
          <w:vertAlign w:val="baseline"/>
        </w:rPr>
        <w:t>Charles</w:t>
      </w:r>
      <w:r>
        <w:rPr>
          <w:color w:val="48484A"/>
          <w:spacing w:val="-10"/>
          <w:sz w:val="20"/>
          <w:vertAlign w:val="baseline"/>
        </w:rPr>
        <w:t> </w:t>
      </w:r>
      <w:r>
        <w:rPr>
          <w:color w:val="48484A"/>
          <w:sz w:val="20"/>
          <w:vertAlign w:val="baseline"/>
        </w:rPr>
        <w:t>de</w:t>
      </w:r>
      <w:r>
        <w:rPr>
          <w:color w:val="48484A"/>
          <w:spacing w:val="-9"/>
          <w:sz w:val="20"/>
          <w:vertAlign w:val="baseline"/>
        </w:rPr>
        <w:t> </w:t>
      </w:r>
      <w:r>
        <w:rPr>
          <w:color w:val="48484A"/>
          <w:sz w:val="20"/>
          <w:vertAlign w:val="baseline"/>
        </w:rPr>
        <w:t>Gaulle,</w:t>
      </w:r>
      <w:r>
        <w:rPr>
          <w:color w:val="48484A"/>
          <w:spacing w:val="-13"/>
          <w:sz w:val="20"/>
          <w:vertAlign w:val="baseline"/>
        </w:rPr>
        <w:t> </w:t>
      </w:r>
      <w:r>
        <w:rPr>
          <w:color w:val="231F20"/>
          <w:sz w:val="20"/>
          <w:u w:val="single" w:color="231F20"/>
          <w:vertAlign w:val="baseline"/>
        </w:rPr>
        <w:t>Georges</w:t>
      </w:r>
      <w:r>
        <w:rPr>
          <w:color w:val="231F20"/>
          <w:sz w:val="20"/>
          <w:vertAlign w:val="baseline"/>
        </w:rPr>
        <w:t> </w:t>
      </w:r>
      <w:r>
        <w:rPr>
          <w:color w:val="231F20"/>
          <w:sz w:val="20"/>
          <w:u w:val="single" w:color="231F20"/>
          <w:vertAlign w:val="baseline"/>
        </w:rPr>
        <w:t>Pompidou</w:t>
      </w:r>
      <w:r>
        <w:rPr>
          <w:color w:val="231F20"/>
          <w:spacing w:val="-11"/>
          <w:sz w:val="20"/>
          <w:vertAlign w:val="baseline"/>
        </w:rPr>
        <w:t> </w:t>
      </w:r>
      <w:r>
        <w:rPr>
          <w:color w:val="231F20"/>
          <w:sz w:val="20"/>
          <w:vertAlign w:val="baseline"/>
        </w:rPr>
        <w:t>puis</w:t>
      </w:r>
      <w:r>
        <w:rPr>
          <w:color w:val="231F20"/>
          <w:spacing w:val="-9"/>
          <w:sz w:val="20"/>
          <w:vertAlign w:val="baseline"/>
        </w:rPr>
        <w:t> </w:t>
      </w:r>
      <w:r>
        <w:rPr>
          <w:color w:val="231F20"/>
          <w:sz w:val="20"/>
          <w:u w:val="single" w:color="231F20"/>
          <w:vertAlign w:val="baseline"/>
        </w:rPr>
        <w:t>Valéry</w:t>
      </w:r>
      <w:r>
        <w:rPr>
          <w:color w:val="231F20"/>
          <w:spacing w:val="-8"/>
          <w:sz w:val="20"/>
          <w:u w:val="single" w:color="231F20"/>
          <w:vertAlign w:val="baseline"/>
        </w:rPr>
        <w:t> </w:t>
      </w:r>
      <w:r>
        <w:rPr>
          <w:color w:val="231F20"/>
          <w:sz w:val="20"/>
          <w:u w:val="single" w:color="231F20"/>
          <w:vertAlign w:val="baseline"/>
        </w:rPr>
        <w:t>Giscard</w:t>
      </w:r>
      <w:r>
        <w:rPr>
          <w:color w:val="231F20"/>
          <w:spacing w:val="-10"/>
          <w:sz w:val="20"/>
          <w:u w:val="single" w:color="231F20"/>
          <w:vertAlign w:val="baseline"/>
        </w:rPr>
        <w:t> </w:t>
      </w:r>
      <w:r>
        <w:rPr>
          <w:color w:val="231F20"/>
          <w:sz w:val="20"/>
          <w:u w:val="single" w:color="231F20"/>
          <w:vertAlign w:val="baseline"/>
        </w:rPr>
        <w:t>d'Estaing</w:t>
      </w:r>
      <w:r>
        <w:rPr>
          <w:color w:val="231F20"/>
          <w:sz w:val="20"/>
          <w:vertAlign w:val="baseline"/>
        </w:rPr>
        <w:t>,</w:t>
      </w:r>
      <w:r>
        <w:rPr>
          <w:color w:val="231F20"/>
          <w:spacing w:val="-10"/>
          <w:sz w:val="20"/>
          <w:vertAlign w:val="baseline"/>
        </w:rPr>
        <w:t> </w:t>
      </w:r>
      <w:r>
        <w:rPr>
          <w:color w:val="231F20"/>
          <w:sz w:val="20"/>
          <w:vertAlign w:val="baseline"/>
        </w:rPr>
        <w:t>membre</w:t>
      </w:r>
      <w:r>
        <w:rPr>
          <w:color w:val="231F20"/>
          <w:spacing w:val="-10"/>
          <w:sz w:val="20"/>
          <w:vertAlign w:val="baseline"/>
        </w:rPr>
        <w:t> </w:t>
      </w:r>
      <w:r>
        <w:rPr>
          <w:color w:val="231F20"/>
          <w:sz w:val="20"/>
          <w:vertAlign w:val="baseline"/>
        </w:rPr>
        <w:t>de</w:t>
      </w:r>
      <w:r>
        <w:rPr>
          <w:color w:val="231F20"/>
          <w:spacing w:val="-11"/>
          <w:sz w:val="20"/>
          <w:vertAlign w:val="baseline"/>
        </w:rPr>
        <w:t> </w:t>
      </w:r>
      <w:r>
        <w:rPr>
          <w:color w:val="231F20"/>
          <w:sz w:val="20"/>
          <w:vertAlign w:val="baseline"/>
        </w:rPr>
        <w:t>l’</w:t>
      </w:r>
      <w:r>
        <w:rPr>
          <w:color w:val="231F20"/>
          <w:sz w:val="20"/>
          <w:u w:val="single" w:color="231F20"/>
          <w:vertAlign w:val="baseline"/>
        </w:rPr>
        <w:t>Académie</w:t>
      </w:r>
      <w:r>
        <w:rPr>
          <w:color w:val="231F20"/>
          <w:spacing w:val="-11"/>
          <w:sz w:val="20"/>
          <w:u w:val="single" w:color="231F20"/>
          <w:vertAlign w:val="baseline"/>
        </w:rPr>
        <w:t> </w:t>
      </w:r>
      <w:r>
        <w:rPr>
          <w:color w:val="231F20"/>
          <w:sz w:val="20"/>
          <w:u w:val="single" w:color="231F20"/>
          <w:vertAlign w:val="baseline"/>
        </w:rPr>
        <w:t>française</w:t>
      </w:r>
      <w:r>
        <w:rPr>
          <w:color w:val="231F20"/>
          <w:sz w:val="20"/>
          <w:vertAlign w:val="baseline"/>
        </w:rPr>
        <w:t>.</w:t>
      </w:r>
    </w:p>
    <w:p>
      <w:pPr>
        <w:spacing w:before="2"/>
        <w:ind w:left="111" w:right="0" w:firstLine="0"/>
        <w:jc w:val="both"/>
        <w:rPr>
          <w:sz w:val="20"/>
        </w:rPr>
      </w:pPr>
      <w:r>
        <w:rPr>
          <w:color w:val="76787A"/>
          <w:spacing w:val="-4"/>
          <w:sz w:val="20"/>
          <w:vertAlign w:val="superscript"/>
        </w:rPr>
        <w:t>39</w:t>
      </w:r>
      <w:r>
        <w:rPr>
          <w:color w:val="231F20"/>
          <w:spacing w:val="-4"/>
          <w:sz w:val="20"/>
          <w:vertAlign w:val="baseline"/>
        </w:rPr>
        <w:t>Alexandre</w:t>
      </w:r>
      <w:r>
        <w:rPr>
          <w:color w:val="231F20"/>
          <w:spacing w:val="-1"/>
          <w:sz w:val="20"/>
          <w:vertAlign w:val="baseline"/>
        </w:rPr>
        <w:t> </w:t>
      </w:r>
      <w:r>
        <w:rPr>
          <w:color w:val="231F20"/>
          <w:spacing w:val="-4"/>
          <w:sz w:val="20"/>
          <w:vertAlign w:val="baseline"/>
        </w:rPr>
        <w:t>Gerbi,</w:t>
      </w:r>
      <w:r>
        <w:rPr>
          <w:color w:val="231F20"/>
          <w:spacing w:val="-1"/>
          <w:sz w:val="20"/>
          <w:vertAlign w:val="baseline"/>
        </w:rPr>
        <w:t> </w:t>
      </w:r>
      <w:r>
        <w:rPr>
          <w:color w:val="231F20"/>
          <w:spacing w:val="-4"/>
          <w:sz w:val="20"/>
          <w:vertAlign w:val="baseline"/>
        </w:rPr>
        <w:t>Ecrivain</w:t>
      </w:r>
      <w:r>
        <w:rPr>
          <w:color w:val="231F20"/>
          <w:spacing w:val="2"/>
          <w:sz w:val="20"/>
          <w:vertAlign w:val="baseline"/>
        </w:rPr>
        <w:t> </w:t>
      </w:r>
      <w:r>
        <w:rPr>
          <w:color w:val="231F20"/>
          <w:spacing w:val="-4"/>
          <w:sz w:val="20"/>
          <w:vertAlign w:val="baseline"/>
        </w:rPr>
        <w:t>Français</w:t>
      </w:r>
    </w:p>
    <w:p>
      <w:pPr>
        <w:spacing w:after="0"/>
        <w:jc w:val="both"/>
        <w:rPr>
          <w:sz w:val="20"/>
        </w:rPr>
        <w:sectPr>
          <w:pgSz w:w="8790" w:h="13610"/>
          <w:pgMar w:header="0" w:footer="802" w:top="1060" w:bottom="1000" w:left="880" w:right="880"/>
        </w:sectPr>
      </w:pPr>
    </w:p>
    <w:p>
      <w:pPr>
        <w:pStyle w:val="BodyText"/>
        <w:spacing w:before="66"/>
        <w:ind w:right="105"/>
      </w:pPr>
      <w:r>
        <w:rPr>
          <w:color w:val="231F20"/>
          <w:spacing w:val="-2"/>
        </w:rPr>
        <w:t>territoire,</w:t>
      </w:r>
      <w:r>
        <w:rPr>
          <w:color w:val="231F20"/>
          <w:spacing w:val="-13"/>
        </w:rPr>
        <w:t> </w:t>
      </w:r>
      <w:r>
        <w:rPr>
          <w:color w:val="231F20"/>
          <w:spacing w:val="-2"/>
        </w:rPr>
        <w:t>reste</w:t>
      </w:r>
      <w:r>
        <w:rPr>
          <w:color w:val="231F20"/>
          <w:spacing w:val="-13"/>
        </w:rPr>
        <w:t> </w:t>
      </w:r>
      <w:r>
        <w:rPr>
          <w:color w:val="231F20"/>
          <w:spacing w:val="-2"/>
        </w:rPr>
        <w:t>à</w:t>
      </w:r>
      <w:r>
        <w:rPr>
          <w:color w:val="231F20"/>
          <w:spacing w:val="-13"/>
        </w:rPr>
        <w:t> </w:t>
      </w:r>
      <w:r>
        <w:rPr>
          <w:color w:val="231F20"/>
          <w:spacing w:val="-2"/>
        </w:rPr>
        <w:t>l’écart</w:t>
      </w:r>
      <w:r>
        <w:rPr>
          <w:color w:val="231F20"/>
          <w:spacing w:val="-11"/>
        </w:rPr>
        <w:t> </w:t>
      </w:r>
      <w:r>
        <w:rPr>
          <w:color w:val="231F20"/>
          <w:spacing w:val="-2"/>
        </w:rPr>
        <w:t>de</w:t>
      </w:r>
      <w:r>
        <w:rPr>
          <w:color w:val="231F20"/>
          <w:spacing w:val="-13"/>
        </w:rPr>
        <w:t> </w:t>
      </w:r>
      <w:r>
        <w:rPr>
          <w:color w:val="231F20"/>
          <w:spacing w:val="-2"/>
        </w:rPr>
        <w:t>la</w:t>
      </w:r>
      <w:r>
        <w:rPr>
          <w:color w:val="231F20"/>
          <w:spacing w:val="-12"/>
        </w:rPr>
        <w:t> </w:t>
      </w:r>
      <w:r>
        <w:rPr>
          <w:color w:val="231F20"/>
          <w:spacing w:val="-2"/>
        </w:rPr>
        <w:t>Fédération</w:t>
      </w:r>
      <w:r>
        <w:rPr>
          <w:color w:val="231F20"/>
          <w:spacing w:val="-12"/>
        </w:rPr>
        <w:t> </w:t>
      </w:r>
      <w:r>
        <w:rPr>
          <w:color w:val="231F20"/>
          <w:spacing w:val="-2"/>
        </w:rPr>
        <w:t>qui</w:t>
      </w:r>
      <w:r>
        <w:rPr>
          <w:color w:val="231F20"/>
          <w:spacing w:val="-11"/>
        </w:rPr>
        <w:t> </w:t>
      </w:r>
      <w:r>
        <w:rPr>
          <w:color w:val="231F20"/>
          <w:spacing w:val="-2"/>
        </w:rPr>
        <w:t>n’a</w:t>
      </w:r>
      <w:r>
        <w:rPr>
          <w:color w:val="231F20"/>
          <w:spacing w:val="-12"/>
        </w:rPr>
        <w:t> </w:t>
      </w:r>
      <w:r>
        <w:rPr>
          <w:color w:val="231F20"/>
          <w:spacing w:val="-2"/>
        </w:rPr>
        <w:t>plus</w:t>
      </w:r>
      <w:r>
        <w:rPr>
          <w:color w:val="231F20"/>
          <w:spacing w:val="-13"/>
        </w:rPr>
        <w:t> </w:t>
      </w:r>
      <w:r>
        <w:rPr>
          <w:color w:val="231F20"/>
          <w:spacing w:val="-2"/>
        </w:rPr>
        <w:t>que</w:t>
      </w:r>
      <w:r>
        <w:rPr>
          <w:color w:val="231F20"/>
          <w:spacing w:val="-12"/>
        </w:rPr>
        <w:t> </w:t>
      </w:r>
      <w:r>
        <w:rPr>
          <w:color w:val="231F20"/>
          <w:spacing w:val="-2"/>
        </w:rPr>
        <w:t>deux</w:t>
      </w:r>
      <w:r>
        <w:rPr>
          <w:color w:val="231F20"/>
          <w:spacing w:val="-11"/>
        </w:rPr>
        <w:t> </w:t>
      </w:r>
      <w:r>
        <w:rPr>
          <w:color w:val="231F20"/>
          <w:spacing w:val="-2"/>
        </w:rPr>
        <w:t>membres</w:t>
      </w:r>
      <w:r>
        <w:rPr>
          <w:color w:val="231F20"/>
          <w:spacing w:val="-10"/>
        </w:rPr>
        <w:t> </w:t>
      </w:r>
      <w:r>
        <w:rPr>
          <w:color w:val="231F20"/>
          <w:spacing w:val="-2"/>
        </w:rPr>
        <w:t>: </w:t>
      </w:r>
      <w:r>
        <w:rPr>
          <w:color w:val="231F20"/>
        </w:rPr>
        <w:t>le</w:t>
      </w:r>
      <w:r>
        <w:rPr>
          <w:color w:val="231F20"/>
          <w:spacing w:val="-7"/>
        </w:rPr>
        <w:t> </w:t>
      </w:r>
      <w:r>
        <w:rPr>
          <w:color w:val="231F20"/>
        </w:rPr>
        <w:t>Soudan</w:t>
      </w:r>
      <w:r>
        <w:rPr>
          <w:color w:val="231F20"/>
          <w:spacing w:val="-6"/>
        </w:rPr>
        <w:t> </w:t>
      </w:r>
      <w:r>
        <w:rPr>
          <w:color w:val="231F20"/>
        </w:rPr>
        <w:t>français</w:t>
      </w:r>
      <w:r>
        <w:rPr>
          <w:color w:val="231F20"/>
          <w:spacing w:val="-6"/>
        </w:rPr>
        <w:t> </w:t>
      </w:r>
      <w:r>
        <w:rPr>
          <w:color w:val="231F20"/>
        </w:rPr>
        <w:t>(Mali)</w:t>
      </w:r>
      <w:r>
        <w:rPr>
          <w:color w:val="231F20"/>
          <w:spacing w:val="-9"/>
        </w:rPr>
        <w:t> </w:t>
      </w:r>
      <w:r>
        <w:rPr>
          <w:color w:val="231F20"/>
        </w:rPr>
        <w:t>et</w:t>
      </w:r>
      <w:r>
        <w:rPr>
          <w:color w:val="231F20"/>
          <w:spacing w:val="-6"/>
        </w:rPr>
        <w:t> </w:t>
      </w:r>
      <w:r>
        <w:rPr>
          <w:color w:val="231F20"/>
        </w:rPr>
        <w:t>le</w:t>
      </w:r>
      <w:r>
        <w:rPr>
          <w:color w:val="231F20"/>
          <w:spacing w:val="-11"/>
        </w:rPr>
        <w:t> </w:t>
      </w:r>
      <w:r>
        <w:rPr>
          <w:color w:val="231F20"/>
        </w:rPr>
        <w:t>Sénégal.</w:t>
      </w:r>
      <w:r>
        <w:rPr>
          <w:color w:val="231F20"/>
          <w:spacing w:val="-7"/>
        </w:rPr>
        <w:t> </w:t>
      </w:r>
      <w:r>
        <w:rPr>
          <w:color w:val="231F20"/>
        </w:rPr>
        <w:t>Exit</w:t>
      </w:r>
      <w:r>
        <w:rPr>
          <w:color w:val="231F20"/>
          <w:spacing w:val="-9"/>
        </w:rPr>
        <w:t> </w:t>
      </w:r>
      <w:r>
        <w:rPr>
          <w:color w:val="231F20"/>
        </w:rPr>
        <w:t>la</w:t>
      </w:r>
      <w:r>
        <w:rPr>
          <w:color w:val="231F20"/>
          <w:spacing w:val="-6"/>
        </w:rPr>
        <w:t> </w:t>
      </w:r>
      <w:r>
        <w:rPr>
          <w:color w:val="231F20"/>
        </w:rPr>
        <w:t>Fédération</w:t>
      </w:r>
      <w:r>
        <w:rPr>
          <w:color w:val="231F20"/>
          <w:spacing w:val="-9"/>
        </w:rPr>
        <w:t> </w:t>
      </w:r>
      <w:r>
        <w:rPr>
          <w:color w:val="231F20"/>
        </w:rPr>
        <w:t>du</w:t>
      </w:r>
      <w:r>
        <w:rPr>
          <w:color w:val="231F20"/>
          <w:spacing w:val="-10"/>
        </w:rPr>
        <w:t> </w:t>
      </w:r>
      <w:r>
        <w:rPr>
          <w:color w:val="231F20"/>
        </w:rPr>
        <w:t>Mali.</w:t>
      </w:r>
    </w:p>
    <w:p>
      <w:pPr>
        <w:pStyle w:val="BodyText"/>
        <w:spacing w:before="120"/>
        <w:ind w:right="105" w:firstLine="283"/>
      </w:pPr>
      <w:r>
        <w:rPr>
          <w:color w:val="231F20"/>
          <w:spacing w:val="-2"/>
        </w:rPr>
        <w:t>En</w:t>
      </w:r>
      <w:r>
        <w:rPr>
          <w:color w:val="231F20"/>
          <w:spacing w:val="-13"/>
        </w:rPr>
        <w:t> </w:t>
      </w:r>
      <w:r>
        <w:rPr>
          <w:color w:val="231F20"/>
          <w:spacing w:val="-2"/>
        </w:rPr>
        <w:t>Afrique</w:t>
      </w:r>
      <w:r>
        <w:rPr>
          <w:color w:val="231F20"/>
          <w:spacing w:val="-12"/>
        </w:rPr>
        <w:t> </w:t>
      </w:r>
      <w:r>
        <w:rPr>
          <w:color w:val="231F20"/>
          <w:spacing w:val="-2"/>
          <w:shd w:fill="FCFCFC" w:color="auto" w:val="clear"/>
        </w:rPr>
        <w:t>É</w:t>
      </w:r>
      <w:r>
        <w:rPr>
          <w:color w:val="231F20"/>
          <w:spacing w:val="-2"/>
        </w:rPr>
        <w:t>quatoriale,</w:t>
      </w:r>
      <w:r>
        <w:rPr>
          <w:color w:val="231F20"/>
          <w:spacing w:val="-12"/>
        </w:rPr>
        <w:t> </w:t>
      </w:r>
      <w:r>
        <w:rPr>
          <w:color w:val="231F20"/>
          <w:spacing w:val="-2"/>
        </w:rPr>
        <w:t>le</w:t>
      </w:r>
      <w:r>
        <w:rPr>
          <w:color w:val="231F20"/>
          <w:spacing w:val="-13"/>
        </w:rPr>
        <w:t> </w:t>
      </w:r>
      <w:r>
        <w:rPr>
          <w:color w:val="231F20"/>
          <w:spacing w:val="-2"/>
        </w:rPr>
        <w:t>Gabon</w:t>
      </w:r>
      <w:r>
        <w:rPr>
          <w:color w:val="231F20"/>
          <w:spacing w:val="-12"/>
        </w:rPr>
        <w:t> </w:t>
      </w:r>
      <w:r>
        <w:rPr>
          <w:color w:val="231F20"/>
          <w:spacing w:val="-2"/>
        </w:rPr>
        <w:t>refuse</w:t>
      </w:r>
      <w:r>
        <w:rPr>
          <w:color w:val="231F20"/>
          <w:spacing w:val="-12"/>
        </w:rPr>
        <w:t> </w:t>
      </w:r>
      <w:r>
        <w:rPr>
          <w:color w:val="231F20"/>
          <w:spacing w:val="-2"/>
        </w:rPr>
        <w:t>de</w:t>
      </w:r>
      <w:r>
        <w:rPr>
          <w:color w:val="231F20"/>
          <w:spacing w:val="-13"/>
        </w:rPr>
        <w:t> </w:t>
      </w:r>
      <w:r>
        <w:rPr>
          <w:color w:val="231F20"/>
          <w:spacing w:val="-2"/>
        </w:rPr>
        <w:t>faire</w:t>
      </w:r>
      <w:r>
        <w:rPr>
          <w:color w:val="231F20"/>
          <w:spacing w:val="-13"/>
        </w:rPr>
        <w:t> </w:t>
      </w:r>
      <w:r>
        <w:rPr>
          <w:color w:val="231F20"/>
          <w:spacing w:val="-2"/>
        </w:rPr>
        <w:t>partie</w:t>
      </w:r>
      <w:r>
        <w:rPr>
          <w:color w:val="231F20"/>
          <w:spacing w:val="-13"/>
        </w:rPr>
        <w:t> </w:t>
      </w:r>
      <w:r>
        <w:rPr>
          <w:color w:val="231F20"/>
          <w:spacing w:val="-2"/>
        </w:rPr>
        <w:t>de</w:t>
      </w:r>
      <w:r>
        <w:rPr>
          <w:color w:val="231F20"/>
          <w:spacing w:val="-13"/>
        </w:rPr>
        <w:t> </w:t>
      </w:r>
      <w:r>
        <w:rPr>
          <w:color w:val="231F20"/>
          <w:spacing w:val="-2"/>
        </w:rPr>
        <w:t>l’Union</w:t>
      </w:r>
      <w:r>
        <w:rPr>
          <w:color w:val="231F20"/>
          <w:spacing w:val="-11"/>
        </w:rPr>
        <w:t> </w:t>
      </w:r>
      <w:r>
        <w:rPr>
          <w:color w:val="231F20"/>
          <w:spacing w:val="-2"/>
        </w:rPr>
        <w:t>des Républiques</w:t>
      </w:r>
      <w:r>
        <w:rPr>
          <w:color w:val="231F20"/>
          <w:spacing w:val="-9"/>
        </w:rPr>
        <w:t> </w:t>
      </w:r>
      <w:r>
        <w:rPr>
          <w:color w:val="231F20"/>
          <w:spacing w:val="-2"/>
        </w:rPr>
        <w:t>d’Afrique</w:t>
      </w:r>
      <w:r>
        <w:rPr>
          <w:color w:val="231F20"/>
          <w:spacing w:val="-9"/>
        </w:rPr>
        <w:t> </w:t>
      </w:r>
      <w:r>
        <w:rPr>
          <w:color w:val="231F20"/>
          <w:spacing w:val="-2"/>
        </w:rPr>
        <w:t>centrale</w:t>
      </w:r>
      <w:r>
        <w:rPr>
          <w:color w:val="231F20"/>
          <w:spacing w:val="-9"/>
        </w:rPr>
        <w:t> </w:t>
      </w:r>
      <w:r>
        <w:rPr>
          <w:color w:val="231F20"/>
          <w:spacing w:val="-2"/>
        </w:rPr>
        <w:t>que</w:t>
      </w:r>
      <w:r>
        <w:rPr>
          <w:color w:val="231F20"/>
          <w:spacing w:val="-12"/>
        </w:rPr>
        <w:t> </w:t>
      </w:r>
      <w:r>
        <w:rPr>
          <w:color w:val="231F20"/>
          <w:spacing w:val="-2"/>
        </w:rPr>
        <w:t>prône</w:t>
      </w:r>
      <w:r>
        <w:rPr>
          <w:color w:val="231F20"/>
          <w:spacing w:val="-10"/>
        </w:rPr>
        <w:t> </w:t>
      </w:r>
      <w:r>
        <w:rPr>
          <w:color w:val="231F20"/>
          <w:spacing w:val="-2"/>
        </w:rPr>
        <w:t>le</w:t>
      </w:r>
      <w:r>
        <w:rPr>
          <w:color w:val="231F20"/>
          <w:spacing w:val="-9"/>
        </w:rPr>
        <w:t> </w:t>
      </w:r>
      <w:r>
        <w:rPr>
          <w:color w:val="231F20"/>
          <w:spacing w:val="-2"/>
        </w:rPr>
        <w:t>leader</w:t>
      </w:r>
      <w:r>
        <w:rPr>
          <w:color w:val="231F20"/>
          <w:spacing w:val="-10"/>
        </w:rPr>
        <w:t> </w:t>
      </w:r>
      <w:r>
        <w:rPr>
          <w:color w:val="231F20"/>
          <w:spacing w:val="-2"/>
        </w:rPr>
        <w:t>de</w:t>
      </w:r>
      <w:r>
        <w:rPr>
          <w:color w:val="231F20"/>
          <w:spacing w:val="-9"/>
        </w:rPr>
        <w:t> </w:t>
      </w:r>
      <w:r>
        <w:rPr>
          <w:color w:val="231F20"/>
          <w:spacing w:val="-2"/>
        </w:rPr>
        <w:t>l’Oubangui-Chari </w:t>
      </w:r>
      <w:r>
        <w:rPr>
          <w:color w:val="231F20"/>
          <w:spacing w:val="-4"/>
        </w:rPr>
        <w:t>(Centrafrique)</w:t>
      </w:r>
      <w:r>
        <w:rPr>
          <w:color w:val="231F20"/>
          <w:spacing w:val="-5"/>
        </w:rPr>
        <w:t> </w:t>
      </w:r>
      <w:r>
        <w:rPr>
          <w:color w:val="231F20"/>
          <w:spacing w:val="-4"/>
        </w:rPr>
        <w:t>Barthélemy Boganda. Ce</w:t>
      </w:r>
      <w:r>
        <w:rPr>
          <w:color w:val="231F20"/>
          <w:spacing w:val="-5"/>
        </w:rPr>
        <w:t> </w:t>
      </w:r>
      <w:r>
        <w:rPr>
          <w:color w:val="231F20"/>
          <w:spacing w:val="-4"/>
        </w:rPr>
        <w:t>dernier</w:t>
      </w:r>
      <w:r>
        <w:rPr>
          <w:color w:val="231F20"/>
          <w:spacing w:val="-5"/>
        </w:rPr>
        <w:t> </w:t>
      </w:r>
      <w:r>
        <w:rPr>
          <w:color w:val="231F20"/>
          <w:spacing w:val="-4"/>
        </w:rPr>
        <w:t>est</w:t>
      </w:r>
      <w:r>
        <w:rPr>
          <w:color w:val="231F20"/>
          <w:spacing w:val="-5"/>
        </w:rPr>
        <w:t> </w:t>
      </w:r>
      <w:r>
        <w:rPr>
          <w:color w:val="231F20"/>
          <w:spacing w:val="-4"/>
        </w:rPr>
        <w:t>victime</w:t>
      </w:r>
      <w:r>
        <w:rPr>
          <w:color w:val="231F20"/>
          <w:spacing w:val="-5"/>
        </w:rPr>
        <w:t> </w:t>
      </w:r>
      <w:r>
        <w:rPr>
          <w:color w:val="231F20"/>
          <w:spacing w:val="-4"/>
        </w:rPr>
        <w:t>d’un accident </w:t>
      </w:r>
      <w:r>
        <w:rPr>
          <w:color w:val="231F20"/>
        </w:rPr>
        <w:t>d’avion</w:t>
      </w:r>
      <w:r>
        <w:rPr>
          <w:color w:val="231F20"/>
          <w:spacing w:val="-13"/>
        </w:rPr>
        <w:t> </w:t>
      </w:r>
      <w:r>
        <w:rPr>
          <w:color w:val="231F20"/>
        </w:rPr>
        <w:t>le</w:t>
      </w:r>
      <w:r>
        <w:rPr>
          <w:color w:val="231F20"/>
          <w:spacing w:val="-8"/>
        </w:rPr>
        <w:t> </w:t>
      </w:r>
      <w:r>
        <w:rPr>
          <w:color w:val="231F20"/>
        </w:rPr>
        <w:t>29</w:t>
      </w:r>
      <w:r>
        <w:rPr>
          <w:color w:val="231F20"/>
          <w:spacing w:val="-15"/>
        </w:rPr>
        <w:t> </w:t>
      </w:r>
      <w:r>
        <w:rPr>
          <w:color w:val="231F20"/>
        </w:rPr>
        <w:t>mars</w:t>
      </w:r>
      <w:r>
        <w:rPr>
          <w:color w:val="231F20"/>
          <w:spacing w:val="-8"/>
        </w:rPr>
        <w:t> </w:t>
      </w:r>
      <w:r>
        <w:rPr>
          <w:color w:val="231F20"/>
        </w:rPr>
        <w:t>1959.</w:t>
      </w:r>
      <w:r>
        <w:rPr>
          <w:color w:val="231F20"/>
          <w:spacing w:val="-10"/>
        </w:rPr>
        <w:t> </w:t>
      </w:r>
      <w:r>
        <w:rPr>
          <w:color w:val="231F20"/>
        </w:rPr>
        <w:t>Avec</w:t>
      </w:r>
      <w:r>
        <w:rPr>
          <w:color w:val="231F20"/>
          <w:spacing w:val="-8"/>
        </w:rPr>
        <w:t> </w:t>
      </w:r>
      <w:r>
        <w:rPr>
          <w:color w:val="231F20"/>
        </w:rPr>
        <w:t>sa</w:t>
      </w:r>
      <w:r>
        <w:rPr>
          <w:color w:val="231F20"/>
          <w:spacing w:val="-8"/>
        </w:rPr>
        <w:t> </w:t>
      </w:r>
      <w:r>
        <w:rPr>
          <w:color w:val="231F20"/>
        </w:rPr>
        <w:t>mort,</w:t>
      </w:r>
      <w:r>
        <w:rPr>
          <w:color w:val="231F20"/>
          <w:spacing w:val="-8"/>
        </w:rPr>
        <w:t> </w:t>
      </w:r>
      <w:r>
        <w:rPr>
          <w:color w:val="231F20"/>
        </w:rPr>
        <w:t>disparaît</w:t>
      </w:r>
      <w:r>
        <w:rPr>
          <w:color w:val="231F20"/>
          <w:spacing w:val="-7"/>
        </w:rPr>
        <w:t> </w:t>
      </w:r>
      <w:r>
        <w:rPr>
          <w:color w:val="231F20"/>
        </w:rPr>
        <w:t>son</w:t>
      </w:r>
      <w:r>
        <w:rPr>
          <w:color w:val="231F20"/>
          <w:spacing w:val="-8"/>
        </w:rPr>
        <w:t> </w:t>
      </w:r>
      <w:r>
        <w:rPr>
          <w:color w:val="231F20"/>
        </w:rPr>
        <w:t>projet</w:t>
      </w:r>
      <w:r>
        <w:rPr>
          <w:color w:val="231F20"/>
          <w:spacing w:val="-7"/>
        </w:rPr>
        <w:t> </w:t>
      </w:r>
      <w:r>
        <w:rPr>
          <w:color w:val="231F20"/>
        </w:rPr>
        <w:t>de</w:t>
      </w:r>
      <w:r>
        <w:rPr>
          <w:color w:val="231F20"/>
          <w:spacing w:val="-10"/>
        </w:rPr>
        <w:t> </w:t>
      </w:r>
      <w:r>
        <w:rPr>
          <w:color w:val="231F20"/>
        </w:rPr>
        <w:t>maintien de la Fédération d’AEF. Les quatre États de l’AEF négocient donc séparément</w:t>
      </w:r>
      <w:r>
        <w:rPr>
          <w:color w:val="231F20"/>
          <w:spacing w:val="-8"/>
        </w:rPr>
        <w:t> </w:t>
      </w:r>
      <w:r>
        <w:rPr>
          <w:color w:val="231F20"/>
        </w:rPr>
        <w:t>le</w:t>
      </w:r>
      <w:r>
        <w:rPr>
          <w:color w:val="231F20"/>
          <w:spacing w:val="-7"/>
        </w:rPr>
        <w:t> </w:t>
      </w:r>
      <w:r>
        <w:rPr>
          <w:color w:val="231F20"/>
        </w:rPr>
        <w:t>transfert</w:t>
      </w:r>
      <w:r>
        <w:rPr>
          <w:color w:val="231F20"/>
          <w:spacing w:val="-8"/>
        </w:rPr>
        <w:t> </w:t>
      </w:r>
      <w:r>
        <w:rPr>
          <w:color w:val="231F20"/>
        </w:rPr>
        <w:t>des</w:t>
      </w:r>
      <w:r>
        <w:rPr>
          <w:color w:val="231F20"/>
          <w:spacing w:val="-7"/>
        </w:rPr>
        <w:t> </w:t>
      </w:r>
      <w:r>
        <w:rPr>
          <w:color w:val="231F20"/>
        </w:rPr>
        <w:t>compétences</w:t>
      </w:r>
      <w:r>
        <w:rPr>
          <w:color w:val="231F20"/>
          <w:spacing w:val="-7"/>
        </w:rPr>
        <w:t> </w:t>
      </w:r>
      <w:r>
        <w:rPr>
          <w:color w:val="231F20"/>
        </w:rPr>
        <w:t>et</w:t>
      </w:r>
      <w:r>
        <w:rPr>
          <w:color w:val="231F20"/>
          <w:spacing w:val="-9"/>
        </w:rPr>
        <w:t> </w:t>
      </w:r>
      <w:r>
        <w:rPr>
          <w:color w:val="231F20"/>
        </w:rPr>
        <w:t>les</w:t>
      </w:r>
      <w:r>
        <w:rPr>
          <w:color w:val="231F20"/>
          <w:spacing w:val="-9"/>
        </w:rPr>
        <w:t> </w:t>
      </w:r>
      <w:r>
        <w:rPr>
          <w:color w:val="231F20"/>
        </w:rPr>
        <w:t>accords</w:t>
      </w:r>
      <w:r>
        <w:rPr>
          <w:color w:val="231F20"/>
          <w:spacing w:val="-7"/>
        </w:rPr>
        <w:t> </w:t>
      </w:r>
      <w:r>
        <w:rPr>
          <w:color w:val="231F20"/>
        </w:rPr>
        <w:t>de</w:t>
      </w:r>
      <w:r>
        <w:rPr>
          <w:color w:val="231F20"/>
          <w:spacing w:val="-7"/>
        </w:rPr>
        <w:t> </w:t>
      </w:r>
      <w:r>
        <w:rPr>
          <w:color w:val="231F20"/>
        </w:rPr>
        <w:t>coopération.</w:t>
      </w:r>
    </w:p>
    <w:p>
      <w:pPr>
        <w:pStyle w:val="BodyText"/>
        <w:spacing w:before="121"/>
        <w:ind w:left="395"/>
      </w:pPr>
      <w:r>
        <w:rPr>
          <w:color w:val="231F20"/>
        </w:rPr>
        <w:t>La</w:t>
      </w:r>
      <w:r>
        <w:rPr>
          <w:color w:val="231F20"/>
          <w:spacing w:val="-17"/>
        </w:rPr>
        <w:t> </w:t>
      </w:r>
      <w:r>
        <w:rPr>
          <w:color w:val="231F20"/>
        </w:rPr>
        <w:t>Communauté</w:t>
      </w:r>
      <w:r>
        <w:rPr>
          <w:color w:val="231F20"/>
          <w:spacing w:val="-14"/>
        </w:rPr>
        <w:t> </w:t>
      </w:r>
      <w:r>
        <w:rPr>
          <w:color w:val="231F20"/>
        </w:rPr>
        <w:t>se</w:t>
      </w:r>
      <w:r>
        <w:rPr>
          <w:color w:val="231F20"/>
          <w:spacing w:val="-14"/>
        </w:rPr>
        <w:t> </w:t>
      </w:r>
      <w:r>
        <w:rPr>
          <w:color w:val="231F20"/>
        </w:rPr>
        <w:t>disloque</w:t>
      </w:r>
      <w:r>
        <w:rPr>
          <w:color w:val="231F20"/>
          <w:spacing w:val="-14"/>
        </w:rPr>
        <w:t> </w:t>
      </w:r>
      <w:r>
        <w:rPr>
          <w:color w:val="231F20"/>
        </w:rPr>
        <w:t>après</w:t>
      </w:r>
      <w:r>
        <w:rPr>
          <w:color w:val="231F20"/>
          <w:spacing w:val="-13"/>
        </w:rPr>
        <w:t> </w:t>
      </w:r>
      <w:r>
        <w:rPr>
          <w:color w:val="231F20"/>
        </w:rPr>
        <w:t>un</w:t>
      </w:r>
      <w:r>
        <w:rPr>
          <w:color w:val="231F20"/>
          <w:spacing w:val="-14"/>
        </w:rPr>
        <w:t> </w:t>
      </w:r>
      <w:r>
        <w:rPr>
          <w:color w:val="231F20"/>
        </w:rPr>
        <w:t>an</w:t>
      </w:r>
      <w:r>
        <w:rPr>
          <w:color w:val="231F20"/>
          <w:spacing w:val="-14"/>
        </w:rPr>
        <w:t> </w:t>
      </w:r>
      <w:r>
        <w:rPr>
          <w:color w:val="231F20"/>
        </w:rPr>
        <w:t>et</w:t>
      </w:r>
      <w:r>
        <w:rPr>
          <w:color w:val="231F20"/>
          <w:spacing w:val="-14"/>
        </w:rPr>
        <w:t> </w:t>
      </w:r>
      <w:r>
        <w:rPr>
          <w:color w:val="231F20"/>
        </w:rPr>
        <w:t>demi</w:t>
      </w:r>
      <w:r>
        <w:rPr>
          <w:color w:val="231F20"/>
          <w:spacing w:val="-14"/>
        </w:rPr>
        <w:t> </w:t>
      </w:r>
      <w:r>
        <w:rPr>
          <w:color w:val="231F20"/>
        </w:rPr>
        <w:t>de</w:t>
      </w:r>
      <w:r>
        <w:rPr>
          <w:color w:val="231F20"/>
          <w:spacing w:val="-15"/>
        </w:rPr>
        <w:t> </w:t>
      </w:r>
      <w:r>
        <w:rPr>
          <w:color w:val="231F20"/>
        </w:rPr>
        <w:t>palabres</w:t>
      </w:r>
      <w:r>
        <w:rPr>
          <w:color w:val="231F20"/>
          <w:spacing w:val="-13"/>
        </w:rPr>
        <w:t> </w:t>
      </w:r>
      <w:r>
        <w:rPr>
          <w:color w:val="231F20"/>
        </w:rPr>
        <w:t>entre</w:t>
      </w:r>
      <w:r>
        <w:rPr>
          <w:color w:val="231F20"/>
          <w:spacing w:val="-15"/>
        </w:rPr>
        <w:t> </w:t>
      </w:r>
      <w:r>
        <w:rPr>
          <w:color w:val="231F20"/>
          <w:spacing w:val="-5"/>
        </w:rPr>
        <w:t>les</w:t>
      </w:r>
    </w:p>
    <w:p>
      <w:pPr>
        <w:pStyle w:val="BodyText"/>
        <w:ind w:right="105"/>
      </w:pPr>
      <w:r>
        <w:rPr>
          <w:color w:val="231F20"/>
          <w:spacing w:val="-2"/>
        </w:rPr>
        <w:t>«</w:t>
      </w:r>
      <w:r>
        <w:rPr>
          <w:color w:val="231F20"/>
          <w:spacing w:val="-13"/>
        </w:rPr>
        <w:t> </w:t>
      </w:r>
      <w:r>
        <w:rPr>
          <w:color w:val="231F20"/>
          <w:spacing w:val="-2"/>
        </w:rPr>
        <w:t>pros</w:t>
      </w:r>
      <w:r>
        <w:rPr>
          <w:color w:val="231F20"/>
          <w:spacing w:val="-13"/>
        </w:rPr>
        <w:t> </w:t>
      </w:r>
      <w:r>
        <w:rPr>
          <w:color w:val="231F20"/>
          <w:spacing w:val="-2"/>
        </w:rPr>
        <w:t>et</w:t>
      </w:r>
      <w:r>
        <w:rPr>
          <w:color w:val="231F20"/>
          <w:spacing w:val="-13"/>
        </w:rPr>
        <w:t> </w:t>
      </w:r>
      <w:r>
        <w:rPr>
          <w:color w:val="231F20"/>
          <w:spacing w:val="-2"/>
        </w:rPr>
        <w:t>les</w:t>
      </w:r>
      <w:r>
        <w:rPr>
          <w:color w:val="231F20"/>
          <w:spacing w:val="-13"/>
        </w:rPr>
        <w:t> </w:t>
      </w:r>
      <w:r>
        <w:rPr>
          <w:color w:val="231F20"/>
          <w:spacing w:val="-2"/>
        </w:rPr>
        <w:t>anti</w:t>
      </w:r>
      <w:r>
        <w:rPr>
          <w:color w:val="231F20"/>
          <w:spacing w:val="-13"/>
        </w:rPr>
        <w:t> </w:t>
      </w:r>
      <w:r>
        <w:rPr>
          <w:color w:val="231F20"/>
          <w:spacing w:val="-2"/>
        </w:rPr>
        <w:t>».</w:t>
      </w:r>
      <w:r>
        <w:rPr>
          <w:color w:val="231F20"/>
          <w:spacing w:val="-13"/>
        </w:rPr>
        <w:t> </w:t>
      </w:r>
      <w:r>
        <w:rPr>
          <w:color w:val="231F20"/>
          <w:spacing w:val="-2"/>
        </w:rPr>
        <w:t>L’indépendance</w:t>
      </w:r>
      <w:r>
        <w:rPr>
          <w:color w:val="231F20"/>
          <w:spacing w:val="-13"/>
        </w:rPr>
        <w:t> </w:t>
      </w:r>
      <w:r>
        <w:rPr>
          <w:color w:val="231F20"/>
          <w:spacing w:val="-2"/>
        </w:rPr>
        <w:t>est</w:t>
      </w:r>
      <w:r>
        <w:rPr>
          <w:color w:val="231F20"/>
          <w:spacing w:val="-13"/>
        </w:rPr>
        <w:t> </w:t>
      </w:r>
      <w:r>
        <w:rPr>
          <w:color w:val="231F20"/>
          <w:spacing w:val="-2"/>
        </w:rPr>
        <w:t>finalement</w:t>
      </w:r>
      <w:r>
        <w:rPr>
          <w:color w:val="231F20"/>
          <w:spacing w:val="-13"/>
        </w:rPr>
        <w:t> </w:t>
      </w:r>
      <w:r>
        <w:rPr>
          <w:color w:val="231F20"/>
          <w:spacing w:val="-2"/>
        </w:rPr>
        <w:t>accordée</w:t>
      </w:r>
      <w:r>
        <w:rPr>
          <w:color w:val="231F20"/>
          <w:spacing w:val="-13"/>
        </w:rPr>
        <w:t> </w:t>
      </w:r>
      <w:r>
        <w:rPr>
          <w:color w:val="231F20"/>
          <w:spacing w:val="-2"/>
        </w:rPr>
        <w:t>aux</w:t>
      </w:r>
      <w:r>
        <w:rPr>
          <w:color w:val="231F20"/>
          <w:spacing w:val="-13"/>
        </w:rPr>
        <w:t> </w:t>
      </w:r>
      <w:r>
        <w:rPr>
          <w:color w:val="231F20"/>
          <w:spacing w:val="-2"/>
        </w:rPr>
        <w:t>colonies. </w:t>
      </w:r>
      <w:r>
        <w:rPr>
          <w:color w:val="231F20"/>
        </w:rPr>
        <w:t>Et, tous les États de la Communauté finissent par proclamer leur indépendance en août 1960.</w:t>
      </w:r>
    </w:p>
    <w:p>
      <w:pPr>
        <w:spacing w:after="0"/>
        <w:sectPr>
          <w:pgSz w:w="8790" w:h="13610"/>
          <w:pgMar w:header="0" w:footer="802" w:top="1060" w:bottom="1000" w:left="880" w:right="880"/>
        </w:sect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spacing w:before="39"/>
        <w:ind w:left="0"/>
        <w:jc w:val="left"/>
        <w:rPr>
          <w:sz w:val="32"/>
        </w:rPr>
      </w:pPr>
    </w:p>
    <w:p>
      <w:pPr>
        <w:spacing w:line="375" w:lineRule="exact" w:before="1"/>
        <w:ind w:left="64" w:right="130" w:firstLine="0"/>
        <w:jc w:val="center"/>
        <w:rPr>
          <w:rFonts w:ascii="Cambria" w:hAnsi="Cambria"/>
          <w:b/>
          <w:sz w:val="32"/>
        </w:rPr>
      </w:pPr>
      <w:r>
        <w:rPr>
          <w:rFonts w:ascii="Cambria" w:hAnsi="Cambria"/>
          <w:b/>
          <w:color w:val="231F20"/>
          <w:spacing w:val="-4"/>
          <w:sz w:val="32"/>
        </w:rPr>
        <w:t>Deuxième</w:t>
      </w:r>
      <w:r>
        <w:rPr>
          <w:rFonts w:ascii="Cambria" w:hAnsi="Cambria"/>
          <w:b/>
          <w:color w:val="231F20"/>
          <w:spacing w:val="-6"/>
          <w:sz w:val="32"/>
        </w:rPr>
        <w:t> </w:t>
      </w:r>
      <w:r>
        <w:rPr>
          <w:rFonts w:ascii="Cambria" w:hAnsi="Cambria"/>
          <w:b/>
          <w:color w:val="231F20"/>
          <w:spacing w:val="-2"/>
          <w:sz w:val="32"/>
        </w:rPr>
        <w:t>partie</w:t>
      </w:r>
    </w:p>
    <w:p>
      <w:pPr>
        <w:pStyle w:val="Heading1"/>
        <w:spacing w:line="375" w:lineRule="exact"/>
        <w:ind w:left="64" w:right="131"/>
      </w:pPr>
      <w:r>
        <w:rPr>
          <w:color w:val="231F20"/>
          <w:spacing w:val="-2"/>
        </w:rPr>
        <w:t>L’ART</w:t>
      </w:r>
      <w:r>
        <w:rPr>
          <w:color w:val="231F20"/>
          <w:spacing w:val="-16"/>
        </w:rPr>
        <w:t> </w:t>
      </w:r>
      <w:r>
        <w:rPr>
          <w:color w:val="231F20"/>
          <w:spacing w:val="-2"/>
        </w:rPr>
        <w:t>DE</w:t>
      </w:r>
      <w:r>
        <w:rPr>
          <w:color w:val="231F20"/>
          <w:spacing w:val="-16"/>
        </w:rPr>
        <w:t> </w:t>
      </w:r>
      <w:r>
        <w:rPr>
          <w:color w:val="231F20"/>
          <w:spacing w:val="-2"/>
        </w:rPr>
        <w:t>CRÉER</w:t>
      </w:r>
      <w:r>
        <w:rPr>
          <w:color w:val="231F20"/>
          <w:spacing w:val="-15"/>
        </w:rPr>
        <w:t> </w:t>
      </w:r>
      <w:r>
        <w:rPr>
          <w:color w:val="231F20"/>
          <w:spacing w:val="-2"/>
        </w:rPr>
        <w:t>DES</w:t>
      </w:r>
      <w:r>
        <w:rPr>
          <w:color w:val="231F20"/>
          <w:spacing w:val="-15"/>
        </w:rPr>
        <w:t> </w:t>
      </w:r>
      <w:r>
        <w:rPr>
          <w:color w:val="231F20"/>
          <w:spacing w:val="-2"/>
        </w:rPr>
        <w:t>ÉTATS</w:t>
      </w:r>
      <w:r>
        <w:rPr>
          <w:color w:val="231F20"/>
          <w:spacing w:val="-15"/>
        </w:rPr>
        <w:t> </w:t>
      </w:r>
      <w:r>
        <w:rPr>
          <w:color w:val="231F20"/>
          <w:spacing w:val="-2"/>
        </w:rPr>
        <w:t>FAILLIS</w:t>
      </w:r>
    </w:p>
    <w:p>
      <w:pPr>
        <w:pStyle w:val="BodyText"/>
        <w:ind w:left="0"/>
        <w:jc w:val="left"/>
        <w:rPr>
          <w:rFonts w:ascii="Cambria"/>
          <w:b/>
          <w:sz w:val="32"/>
        </w:rPr>
      </w:pPr>
    </w:p>
    <w:p>
      <w:pPr>
        <w:pStyle w:val="BodyText"/>
        <w:spacing w:before="77"/>
        <w:ind w:left="0"/>
        <w:jc w:val="left"/>
        <w:rPr>
          <w:rFonts w:ascii="Cambria"/>
          <w:b/>
          <w:sz w:val="32"/>
        </w:rPr>
      </w:pPr>
    </w:p>
    <w:p>
      <w:pPr>
        <w:pStyle w:val="Heading3"/>
        <w:ind w:firstLine="283"/>
        <w:jc w:val="left"/>
        <w:rPr>
          <w:rFonts w:ascii="Times New Roman" w:hAnsi="Times New Roman"/>
          <w:b w:val="0"/>
          <w:i w:val="0"/>
        </w:rPr>
      </w:pPr>
      <w:r>
        <w:rPr>
          <w:rFonts w:ascii="Times New Roman" w:hAnsi="Times New Roman"/>
          <w:i/>
          <w:color w:val="231F20"/>
        </w:rPr>
        <w:t>«</w:t>
      </w:r>
      <w:r>
        <w:rPr>
          <w:rFonts w:ascii="Times New Roman" w:hAnsi="Times New Roman"/>
          <w:i/>
          <w:color w:val="231F20"/>
          <w:spacing w:val="-8"/>
        </w:rPr>
        <w:t> </w:t>
      </w:r>
      <w:r>
        <w:rPr>
          <w:rFonts w:ascii="Times New Roman" w:hAnsi="Times New Roman"/>
          <w:i/>
          <w:color w:val="231F20"/>
        </w:rPr>
        <w:t>Si</w:t>
      </w:r>
      <w:r>
        <w:rPr>
          <w:rFonts w:ascii="Times New Roman" w:hAnsi="Times New Roman"/>
          <w:i/>
          <w:color w:val="231F20"/>
          <w:spacing w:val="-8"/>
        </w:rPr>
        <w:t> </w:t>
      </w:r>
      <w:r>
        <w:rPr>
          <w:rFonts w:ascii="Times New Roman" w:hAnsi="Times New Roman"/>
          <w:i/>
          <w:color w:val="231F20"/>
        </w:rPr>
        <w:t>vous</w:t>
      </w:r>
      <w:r>
        <w:rPr>
          <w:rFonts w:ascii="Times New Roman" w:hAnsi="Times New Roman"/>
          <w:i/>
          <w:color w:val="231F20"/>
          <w:spacing w:val="-8"/>
        </w:rPr>
        <w:t> </w:t>
      </w:r>
      <w:r>
        <w:rPr>
          <w:rFonts w:ascii="Times New Roman" w:hAnsi="Times New Roman"/>
          <w:i/>
          <w:color w:val="231F20"/>
        </w:rPr>
        <w:t>mettez</w:t>
      </w:r>
      <w:r>
        <w:rPr>
          <w:rFonts w:ascii="Times New Roman" w:hAnsi="Times New Roman"/>
          <w:i/>
          <w:color w:val="231F20"/>
          <w:spacing w:val="-8"/>
        </w:rPr>
        <w:t> </w:t>
      </w:r>
      <w:r>
        <w:rPr>
          <w:rFonts w:ascii="Times New Roman" w:hAnsi="Times New Roman"/>
          <w:i/>
          <w:color w:val="231F20"/>
        </w:rPr>
        <w:t>des</w:t>
      </w:r>
      <w:r>
        <w:rPr>
          <w:rFonts w:ascii="Times New Roman" w:hAnsi="Times New Roman"/>
          <w:i/>
          <w:color w:val="231F20"/>
          <w:spacing w:val="-8"/>
        </w:rPr>
        <w:t> </w:t>
      </w:r>
      <w:r>
        <w:rPr>
          <w:rFonts w:ascii="Times New Roman" w:hAnsi="Times New Roman"/>
          <w:i/>
          <w:color w:val="231F20"/>
        </w:rPr>
        <w:t>barrières</w:t>
      </w:r>
      <w:r>
        <w:rPr>
          <w:rFonts w:ascii="Times New Roman" w:hAnsi="Times New Roman"/>
          <w:i/>
          <w:color w:val="231F20"/>
          <w:spacing w:val="-8"/>
        </w:rPr>
        <w:t> </w:t>
      </w:r>
      <w:r>
        <w:rPr>
          <w:rFonts w:ascii="Times New Roman" w:hAnsi="Times New Roman"/>
          <w:i/>
          <w:color w:val="231F20"/>
        </w:rPr>
        <w:t>autour</w:t>
      </w:r>
      <w:r>
        <w:rPr>
          <w:rFonts w:ascii="Times New Roman" w:hAnsi="Times New Roman"/>
          <w:i/>
          <w:color w:val="231F20"/>
          <w:spacing w:val="-8"/>
        </w:rPr>
        <w:t> </w:t>
      </w:r>
      <w:r>
        <w:rPr>
          <w:rFonts w:ascii="Times New Roman" w:hAnsi="Times New Roman"/>
          <w:i/>
          <w:color w:val="231F20"/>
        </w:rPr>
        <w:t>des</w:t>
      </w:r>
      <w:r>
        <w:rPr>
          <w:rFonts w:ascii="Times New Roman" w:hAnsi="Times New Roman"/>
          <w:i/>
          <w:color w:val="231F20"/>
          <w:spacing w:val="-8"/>
        </w:rPr>
        <w:t> </w:t>
      </w:r>
      <w:r>
        <w:rPr>
          <w:rFonts w:ascii="Times New Roman" w:hAnsi="Times New Roman"/>
          <w:i/>
          <w:color w:val="231F20"/>
        </w:rPr>
        <w:t>gens,</w:t>
      </w:r>
      <w:r>
        <w:rPr>
          <w:rFonts w:ascii="Times New Roman" w:hAnsi="Times New Roman"/>
          <w:i/>
          <w:color w:val="231F20"/>
          <w:spacing w:val="-9"/>
        </w:rPr>
        <w:t> </w:t>
      </w:r>
      <w:r>
        <w:rPr>
          <w:rFonts w:ascii="Times New Roman" w:hAnsi="Times New Roman"/>
          <w:i/>
          <w:color w:val="231F20"/>
        </w:rPr>
        <w:t>vous</w:t>
      </w:r>
      <w:r>
        <w:rPr>
          <w:rFonts w:ascii="Times New Roman" w:hAnsi="Times New Roman"/>
          <w:i/>
          <w:color w:val="231F20"/>
          <w:spacing w:val="-8"/>
        </w:rPr>
        <w:t> </w:t>
      </w:r>
      <w:r>
        <w:rPr>
          <w:rFonts w:ascii="Times New Roman" w:hAnsi="Times New Roman"/>
          <w:i/>
          <w:color w:val="231F20"/>
        </w:rPr>
        <w:t>obtiendrez</w:t>
      </w:r>
      <w:r>
        <w:rPr>
          <w:rFonts w:ascii="Times New Roman" w:hAnsi="Times New Roman"/>
          <w:i/>
          <w:color w:val="231F20"/>
          <w:spacing w:val="-8"/>
        </w:rPr>
        <w:t> </w:t>
      </w:r>
      <w:r>
        <w:rPr>
          <w:rFonts w:ascii="Times New Roman" w:hAnsi="Times New Roman"/>
          <w:i/>
          <w:color w:val="231F20"/>
        </w:rPr>
        <w:t>des</w:t>
      </w:r>
      <w:r>
        <w:rPr>
          <w:rFonts w:ascii="Times New Roman" w:hAnsi="Times New Roman"/>
          <w:color w:val="231F20"/>
        </w:rPr>
        <w:t> moutons » </w:t>
      </w:r>
      <w:r>
        <w:rPr>
          <w:rFonts w:ascii="Times New Roman" w:hAnsi="Times New Roman"/>
          <w:b w:val="0"/>
          <w:i w:val="0"/>
          <w:color w:val="231F20"/>
        </w:rPr>
        <w:t>William Mc Knight</w:t>
      </w:r>
      <w:r>
        <w:rPr>
          <w:rFonts w:ascii="Times New Roman" w:hAnsi="Times New Roman"/>
          <w:b w:val="0"/>
          <w:i w:val="0"/>
          <w:color w:val="76787A"/>
          <w:vertAlign w:val="superscript"/>
        </w:rPr>
        <w:t>40</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85"/>
        <w:ind w:left="0"/>
        <w:jc w:val="left"/>
        <w:rPr>
          <w:sz w:val="20"/>
        </w:rPr>
      </w:pPr>
      <w:r>
        <w:rPr/>
        <mc:AlternateContent>
          <mc:Choice Requires="wps">
            <w:drawing>
              <wp:anchor distT="0" distB="0" distL="0" distR="0" allowOverlap="1" layoutInCell="1" locked="0" behindDoc="1" simplePos="0" relativeHeight="487599616">
                <wp:simplePos x="0" y="0"/>
                <wp:positionH relativeFrom="page">
                  <wp:posOffset>629907</wp:posOffset>
                </wp:positionH>
                <wp:positionV relativeFrom="paragraph">
                  <wp:posOffset>215747</wp:posOffset>
                </wp:positionV>
                <wp:extent cx="1829435" cy="9525"/>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988018pt;width:144.020pt;height:.72pt;mso-position-horizontal-relative:page;mso-position-vertical-relative:paragraph;z-index:-15716864;mso-wrap-distance-left:0;mso-wrap-distance-right:0" id="docshape34" filled="true" fillcolor="#231f20" stroked="false">
                <v:fill type="solid"/>
                <w10:wrap type="topAndBottom"/>
              </v:rect>
            </w:pict>
          </mc:Fallback>
        </mc:AlternateContent>
      </w:r>
    </w:p>
    <w:p>
      <w:pPr>
        <w:spacing w:before="94"/>
        <w:ind w:left="111" w:right="0" w:firstLine="0"/>
        <w:jc w:val="left"/>
        <w:rPr>
          <w:sz w:val="20"/>
        </w:rPr>
      </w:pPr>
      <w:r>
        <w:rPr>
          <w:rFonts w:ascii="Arial" w:hAnsi="Arial"/>
          <w:color w:val="76787A"/>
          <w:spacing w:val="-4"/>
          <w:position w:val="6"/>
          <w:sz w:val="12"/>
        </w:rPr>
        <w:t>40</w:t>
      </w:r>
      <w:r>
        <w:rPr>
          <w:rFonts w:ascii="Arial" w:hAnsi="Arial"/>
          <w:color w:val="76787A"/>
          <w:spacing w:val="2"/>
          <w:position w:val="6"/>
          <w:sz w:val="12"/>
        </w:rPr>
        <w:t> </w:t>
      </w:r>
      <w:r>
        <w:rPr>
          <w:color w:val="231F20"/>
          <w:spacing w:val="-4"/>
          <w:sz w:val="20"/>
        </w:rPr>
        <w:t>Homme</w:t>
      </w:r>
      <w:r>
        <w:rPr>
          <w:color w:val="231F20"/>
          <w:spacing w:val="-1"/>
          <w:sz w:val="20"/>
        </w:rPr>
        <w:t> </w:t>
      </w:r>
      <w:r>
        <w:rPr>
          <w:color w:val="231F20"/>
          <w:spacing w:val="-4"/>
          <w:sz w:val="20"/>
        </w:rPr>
        <w:t>d’affaires</w:t>
      </w:r>
      <w:r>
        <w:rPr>
          <w:color w:val="231F20"/>
          <w:spacing w:val="-2"/>
          <w:sz w:val="20"/>
        </w:rPr>
        <w:t> </w:t>
      </w:r>
      <w:r>
        <w:rPr>
          <w:color w:val="231F20"/>
          <w:spacing w:val="-4"/>
          <w:sz w:val="20"/>
        </w:rPr>
        <w:t>et</w:t>
      </w:r>
      <w:r>
        <w:rPr>
          <w:color w:val="231F20"/>
          <w:sz w:val="20"/>
        </w:rPr>
        <w:t> </w:t>
      </w:r>
      <w:r>
        <w:rPr>
          <w:color w:val="231F20"/>
          <w:spacing w:val="-4"/>
          <w:sz w:val="20"/>
        </w:rPr>
        <w:t>philanthrope</w:t>
      </w:r>
      <w:r>
        <w:rPr>
          <w:color w:val="231F20"/>
          <w:spacing w:val="-1"/>
          <w:sz w:val="20"/>
        </w:rPr>
        <w:t> </w:t>
      </w:r>
      <w:r>
        <w:rPr>
          <w:color w:val="231F20"/>
          <w:spacing w:val="-4"/>
          <w:sz w:val="20"/>
        </w:rPr>
        <w:t>américain</w:t>
      </w:r>
    </w:p>
    <w:p>
      <w:pPr>
        <w:spacing w:after="0"/>
        <w:jc w:val="left"/>
        <w:rPr>
          <w:sz w:val="20"/>
        </w:rPr>
        <w:sectPr>
          <w:pgSz w:w="8790" w:h="13610"/>
          <w:pgMar w:header="0" w:footer="802" w:top="1540" w:bottom="1000" w:left="880" w:right="880"/>
        </w:sectPr>
      </w:pPr>
    </w:p>
    <w:p>
      <w:pPr>
        <w:pStyle w:val="BodyText"/>
        <w:spacing w:before="4"/>
        <w:ind w:left="0"/>
        <w:jc w:val="left"/>
        <w:rPr>
          <w:sz w:val="17"/>
        </w:rPr>
      </w:pPr>
    </w:p>
    <w:p>
      <w:pPr>
        <w:spacing w:after="0"/>
        <w:jc w:val="left"/>
        <w:rPr>
          <w:sz w:val="17"/>
        </w:rPr>
        <w:sectPr>
          <w:footerReference w:type="even" r:id="rId27"/>
          <w:pgSz w:w="8790" w:h="13610"/>
          <w:pgMar w:header="0" w:footer="0" w:top="1540" w:bottom="280" w:left="880" w:right="880"/>
        </w:sectPr>
      </w:pPr>
    </w:p>
    <w:p>
      <w:pPr>
        <w:spacing w:before="88"/>
        <w:ind w:left="70" w:right="67" w:firstLine="0"/>
        <w:jc w:val="center"/>
        <w:rPr>
          <w:rFonts w:ascii="Cambria"/>
          <w:b/>
          <w:sz w:val="32"/>
        </w:rPr>
      </w:pPr>
      <w:r>
        <w:rPr>
          <w:rFonts w:ascii="Cambria"/>
          <w:b/>
          <w:color w:val="231F20"/>
          <w:spacing w:val="-4"/>
          <w:sz w:val="32"/>
        </w:rPr>
        <w:t>Chapitre</w:t>
      </w:r>
      <w:r>
        <w:rPr>
          <w:rFonts w:ascii="Cambria"/>
          <w:b/>
          <w:color w:val="231F20"/>
          <w:spacing w:val="-7"/>
          <w:sz w:val="32"/>
        </w:rPr>
        <w:t> </w:t>
      </w:r>
      <w:r>
        <w:rPr>
          <w:rFonts w:ascii="Cambria"/>
          <w:b/>
          <w:color w:val="231F20"/>
          <w:spacing w:val="-10"/>
          <w:sz w:val="32"/>
        </w:rPr>
        <w:t>1</w:t>
      </w:r>
    </w:p>
    <w:p>
      <w:pPr>
        <w:pStyle w:val="Heading1"/>
        <w:spacing w:before="1"/>
        <w:ind w:left="129"/>
      </w:pPr>
      <w:r>
        <w:rPr>
          <w:color w:val="231F20"/>
          <w:spacing w:val="-2"/>
        </w:rPr>
        <w:t>LES</w:t>
      </w:r>
      <w:r>
        <w:rPr>
          <w:color w:val="231F20"/>
          <w:spacing w:val="-16"/>
        </w:rPr>
        <w:t> </w:t>
      </w:r>
      <w:r>
        <w:rPr>
          <w:color w:val="231F20"/>
          <w:spacing w:val="-2"/>
        </w:rPr>
        <w:t>GRANDS</w:t>
      </w:r>
      <w:r>
        <w:rPr>
          <w:color w:val="231F20"/>
          <w:spacing w:val="-15"/>
        </w:rPr>
        <w:t> </w:t>
      </w:r>
      <w:r>
        <w:rPr>
          <w:color w:val="231F20"/>
          <w:spacing w:val="-2"/>
        </w:rPr>
        <w:t>LACS</w:t>
      </w:r>
      <w:r>
        <w:rPr>
          <w:color w:val="231F20"/>
          <w:spacing w:val="-15"/>
        </w:rPr>
        <w:t> </w:t>
      </w:r>
      <w:r>
        <w:rPr>
          <w:color w:val="231F20"/>
          <w:spacing w:val="-2"/>
        </w:rPr>
        <w:t>ROUGES</w:t>
      </w:r>
      <w:r>
        <w:rPr>
          <w:color w:val="231F20"/>
          <w:spacing w:val="-15"/>
        </w:rPr>
        <w:t> </w:t>
      </w:r>
      <w:r>
        <w:rPr>
          <w:color w:val="231F20"/>
          <w:spacing w:val="-2"/>
        </w:rPr>
        <w:t>DE</w:t>
      </w:r>
      <w:r>
        <w:rPr>
          <w:color w:val="231F20"/>
          <w:spacing w:val="-16"/>
        </w:rPr>
        <w:t> </w:t>
      </w:r>
      <w:r>
        <w:rPr>
          <w:color w:val="231F20"/>
          <w:spacing w:val="-4"/>
        </w:rPr>
        <w:t>SANG</w:t>
      </w:r>
    </w:p>
    <w:p>
      <w:pPr>
        <w:pStyle w:val="BodyText"/>
        <w:spacing w:before="234"/>
        <w:ind w:left="0"/>
        <w:jc w:val="left"/>
        <w:rPr>
          <w:rFonts w:ascii="Cambria"/>
          <w:b/>
          <w:sz w:val="32"/>
        </w:rPr>
      </w:pPr>
    </w:p>
    <w:p>
      <w:pPr>
        <w:pStyle w:val="Heading2"/>
        <w:rPr>
          <w:sz w:val="16"/>
        </w:rPr>
      </w:pPr>
      <w:r>
        <w:rPr>
          <w:color w:val="231F20"/>
        </w:rPr>
        <w:t>Le</w:t>
      </w:r>
      <w:r>
        <w:rPr>
          <w:color w:val="231F20"/>
          <w:spacing w:val="-14"/>
        </w:rPr>
        <w:t> </w:t>
      </w:r>
      <w:r>
        <w:rPr>
          <w:color w:val="231F20"/>
        </w:rPr>
        <w:t>géant</w:t>
      </w:r>
      <w:r>
        <w:rPr>
          <w:color w:val="231F20"/>
          <w:spacing w:val="-14"/>
        </w:rPr>
        <w:t> </w:t>
      </w:r>
      <w:r>
        <w:rPr>
          <w:color w:val="231F20"/>
        </w:rPr>
        <w:t>dépecé</w:t>
      </w:r>
      <w:r>
        <w:rPr>
          <w:color w:val="231F20"/>
          <w:spacing w:val="-14"/>
        </w:rPr>
        <w:t> </w:t>
      </w:r>
      <w:r>
        <w:rPr>
          <w:color w:val="231F20"/>
        </w:rPr>
        <w:t>:</w:t>
      </w:r>
      <w:r>
        <w:rPr>
          <w:color w:val="231F20"/>
          <w:spacing w:val="-14"/>
        </w:rPr>
        <w:t> </w:t>
      </w:r>
      <w:r>
        <w:rPr>
          <w:color w:val="231F20"/>
        </w:rPr>
        <w:t>la</w:t>
      </w:r>
      <w:r>
        <w:rPr>
          <w:color w:val="231F20"/>
          <w:spacing w:val="-13"/>
        </w:rPr>
        <w:t> </w:t>
      </w:r>
      <w:r>
        <w:rPr>
          <w:color w:val="231F20"/>
          <w:spacing w:val="-4"/>
        </w:rPr>
        <w:t>RDC</w:t>
      </w:r>
      <w:r>
        <w:rPr>
          <w:color w:val="231F20"/>
          <w:spacing w:val="-4"/>
          <w:position w:val="8"/>
          <w:sz w:val="16"/>
        </w:rPr>
        <w:t>41</w:t>
      </w:r>
    </w:p>
    <w:p>
      <w:pPr>
        <w:pStyle w:val="BodyText"/>
        <w:spacing w:before="122"/>
        <w:ind w:left="0"/>
        <w:jc w:val="left"/>
        <w:rPr>
          <w:b/>
        </w:rPr>
      </w:pPr>
    </w:p>
    <w:p>
      <w:pPr>
        <w:pStyle w:val="Heading3"/>
        <w:spacing w:line="237" w:lineRule="auto"/>
        <w:ind w:right="106" w:firstLine="283"/>
        <w:rPr>
          <w:rFonts w:ascii="Times New Roman" w:hAnsi="Times New Roman"/>
          <w:i/>
        </w:rPr>
      </w:pPr>
      <w:r>
        <w:rPr>
          <w:rFonts w:ascii="Times New Roman" w:hAnsi="Times New Roman"/>
          <w:i/>
          <w:color w:val="231F20"/>
        </w:rPr>
        <w:t>«</w:t>
      </w:r>
      <w:r>
        <w:rPr>
          <w:rFonts w:ascii="Times New Roman" w:hAnsi="Times New Roman"/>
          <w:i/>
          <w:color w:val="231F20"/>
          <w:spacing w:val="-13"/>
        </w:rPr>
        <w:t> </w:t>
      </w:r>
      <w:r>
        <w:rPr>
          <w:rFonts w:ascii="Times New Roman" w:hAnsi="Times New Roman"/>
          <w:i/>
          <w:color w:val="231F20"/>
        </w:rPr>
        <w:t>Indépendance cha-cha tozuwi ye</w:t>
      </w:r>
      <w:r>
        <w:rPr>
          <w:rFonts w:ascii="Times New Roman" w:hAnsi="Times New Roman"/>
          <w:i/>
          <w:color w:val="231F20"/>
          <w:spacing w:val="-15"/>
        </w:rPr>
        <w:t> </w:t>
      </w:r>
      <w:r>
        <w:rPr>
          <w:rFonts w:ascii="Times New Roman" w:hAnsi="Times New Roman"/>
          <w:i/>
          <w:color w:val="231F20"/>
        </w:rPr>
        <w:t>!/ ohkimpwanza cha-cha</w:t>
      </w:r>
      <w:r>
        <w:rPr>
          <w:rFonts w:ascii="Times New Roman" w:hAnsi="Times New Roman"/>
          <w:color w:val="231F20"/>
        </w:rPr>
        <w:t> tubakidi/oh table ronde cha-cha ba gagner o</w:t>
      </w:r>
      <w:r>
        <w:rPr>
          <w:rFonts w:ascii="Times New Roman" w:hAnsi="Times New Roman"/>
          <w:color w:val="231F20"/>
          <w:spacing w:val="-15"/>
        </w:rPr>
        <w:t> </w:t>
      </w:r>
      <w:r>
        <w:rPr>
          <w:rFonts w:ascii="Times New Roman" w:hAnsi="Times New Roman"/>
          <w:color w:val="231F20"/>
        </w:rPr>
        <w:t>!/oh lipanda cha-cha tozuwi ye </w:t>
      </w:r>
      <w:r>
        <w:rPr>
          <w:rFonts w:ascii="Times New Roman" w:hAnsi="Times New Roman"/>
          <w:i w:val="0"/>
          <w:color w:val="231F20"/>
          <w:spacing w:val="14"/>
          <w:position w:val="8"/>
          <w:sz w:val="16"/>
        </w:rPr>
        <w:t>42</w:t>
      </w:r>
      <w:r>
        <w:rPr>
          <w:rFonts w:ascii="Times New Roman" w:hAnsi="Times New Roman"/>
          <w:i/>
          <w:color w:val="231F20"/>
          <w:spacing w:val="14"/>
        </w:rPr>
        <w:t>!» </w:t>
      </w:r>
    </w:p>
    <w:p>
      <w:pPr>
        <w:pStyle w:val="BodyText"/>
        <w:spacing w:before="242"/>
        <w:ind w:left="0"/>
        <w:jc w:val="left"/>
        <w:rPr>
          <w:b/>
          <w:i/>
        </w:rPr>
      </w:pPr>
    </w:p>
    <w:p>
      <w:pPr>
        <w:pStyle w:val="BodyText"/>
        <w:ind w:right="105" w:firstLine="283"/>
      </w:pPr>
      <w:r>
        <w:rPr>
          <w:color w:val="231F20"/>
          <w:spacing w:val="-2"/>
        </w:rPr>
        <w:t>Située</w:t>
      </w:r>
      <w:r>
        <w:rPr>
          <w:color w:val="231F20"/>
          <w:spacing w:val="-13"/>
        </w:rPr>
        <w:t> </w:t>
      </w:r>
      <w:r>
        <w:rPr>
          <w:color w:val="231F20"/>
          <w:spacing w:val="-2"/>
        </w:rPr>
        <w:t>en</w:t>
      </w:r>
      <w:r>
        <w:rPr>
          <w:color w:val="231F20"/>
          <w:spacing w:val="-13"/>
        </w:rPr>
        <w:t> </w:t>
      </w:r>
      <w:r>
        <w:rPr>
          <w:color w:val="231F20"/>
          <w:spacing w:val="-2"/>
        </w:rPr>
        <w:t>Afrique</w:t>
      </w:r>
      <w:r>
        <w:rPr>
          <w:color w:val="231F20"/>
          <w:spacing w:val="-13"/>
        </w:rPr>
        <w:t> </w:t>
      </w:r>
      <w:r>
        <w:rPr>
          <w:color w:val="231F20"/>
          <w:spacing w:val="-2"/>
        </w:rPr>
        <w:t>centrale,</w:t>
      </w:r>
      <w:r>
        <w:rPr>
          <w:color w:val="231F20"/>
          <w:spacing w:val="-13"/>
        </w:rPr>
        <w:t> </w:t>
      </w:r>
      <w:r>
        <w:rPr>
          <w:color w:val="231F20"/>
          <w:spacing w:val="-2"/>
        </w:rPr>
        <w:t>la</w:t>
      </w:r>
      <w:r>
        <w:rPr>
          <w:color w:val="231F20"/>
          <w:spacing w:val="-13"/>
        </w:rPr>
        <w:t> </w:t>
      </w:r>
      <w:r>
        <w:rPr>
          <w:color w:val="231F20"/>
          <w:spacing w:val="-2"/>
        </w:rPr>
        <w:t>République</w:t>
      </w:r>
      <w:r>
        <w:rPr>
          <w:color w:val="231F20"/>
          <w:spacing w:val="-12"/>
        </w:rPr>
        <w:t> </w:t>
      </w:r>
      <w:r>
        <w:rPr>
          <w:color w:val="231F20"/>
          <w:spacing w:val="-2"/>
        </w:rPr>
        <w:t>Démocratique</w:t>
      </w:r>
      <w:r>
        <w:rPr>
          <w:color w:val="231F20"/>
          <w:spacing w:val="-12"/>
        </w:rPr>
        <w:t> </w:t>
      </w:r>
      <w:r>
        <w:rPr>
          <w:color w:val="231F20"/>
          <w:spacing w:val="-2"/>
        </w:rPr>
        <w:t>du</w:t>
      </w:r>
      <w:r>
        <w:rPr>
          <w:color w:val="231F20"/>
          <w:spacing w:val="-13"/>
        </w:rPr>
        <w:t> </w:t>
      </w:r>
      <w:r>
        <w:rPr>
          <w:color w:val="231F20"/>
          <w:spacing w:val="-2"/>
        </w:rPr>
        <w:t>Congo</w:t>
      </w:r>
      <w:r>
        <w:rPr>
          <w:color w:val="231F20"/>
          <w:spacing w:val="-13"/>
        </w:rPr>
        <w:t> </w:t>
      </w:r>
      <w:r>
        <w:rPr>
          <w:color w:val="231F20"/>
          <w:spacing w:val="-2"/>
        </w:rPr>
        <w:t>est </w:t>
      </w:r>
      <w:r>
        <w:rPr>
          <w:color w:val="231F20"/>
          <w:spacing w:val="-4"/>
        </w:rPr>
        <w:t>le</w:t>
      </w:r>
      <w:r>
        <w:rPr>
          <w:color w:val="231F20"/>
          <w:spacing w:val="-10"/>
        </w:rPr>
        <w:t> </w:t>
      </w:r>
      <w:r>
        <w:rPr>
          <w:color w:val="231F20"/>
          <w:spacing w:val="-4"/>
        </w:rPr>
        <w:t>pays</w:t>
      </w:r>
      <w:r>
        <w:rPr>
          <w:color w:val="231F20"/>
          <w:spacing w:val="-9"/>
        </w:rPr>
        <w:t> </w:t>
      </w:r>
      <w:r>
        <w:rPr>
          <w:color w:val="231F20"/>
          <w:spacing w:val="-4"/>
        </w:rPr>
        <w:t>francophone</w:t>
      </w:r>
      <w:r>
        <w:rPr>
          <w:color w:val="231F20"/>
          <w:spacing w:val="-11"/>
        </w:rPr>
        <w:t> </w:t>
      </w:r>
      <w:r>
        <w:rPr>
          <w:color w:val="231F20"/>
          <w:spacing w:val="-4"/>
        </w:rPr>
        <w:t>le</w:t>
      </w:r>
      <w:r>
        <w:rPr>
          <w:color w:val="231F20"/>
          <w:spacing w:val="-9"/>
        </w:rPr>
        <w:t> </w:t>
      </w:r>
      <w:r>
        <w:rPr>
          <w:color w:val="231F20"/>
          <w:spacing w:val="-4"/>
        </w:rPr>
        <w:t>plus</w:t>
      </w:r>
      <w:r>
        <w:rPr>
          <w:color w:val="231F20"/>
          <w:spacing w:val="-9"/>
        </w:rPr>
        <w:t> </w:t>
      </w:r>
      <w:r>
        <w:rPr>
          <w:color w:val="231F20"/>
          <w:spacing w:val="-4"/>
        </w:rPr>
        <w:t>peuplé.</w:t>
      </w:r>
      <w:r>
        <w:rPr>
          <w:color w:val="231F20"/>
          <w:spacing w:val="-9"/>
        </w:rPr>
        <w:t> </w:t>
      </w:r>
      <w:r>
        <w:rPr>
          <w:color w:val="231F20"/>
          <w:spacing w:val="-4"/>
        </w:rPr>
        <w:t>Il</w:t>
      </w:r>
      <w:r>
        <w:rPr>
          <w:color w:val="231F20"/>
          <w:spacing w:val="-9"/>
        </w:rPr>
        <w:t> </w:t>
      </w:r>
      <w:r>
        <w:rPr>
          <w:color w:val="231F20"/>
          <w:spacing w:val="-4"/>
        </w:rPr>
        <w:t>partage</w:t>
      </w:r>
      <w:r>
        <w:rPr>
          <w:color w:val="231F20"/>
          <w:spacing w:val="-9"/>
        </w:rPr>
        <w:t> </w:t>
      </w:r>
      <w:r>
        <w:rPr>
          <w:color w:val="231F20"/>
          <w:spacing w:val="-4"/>
        </w:rPr>
        <w:t>ses</w:t>
      </w:r>
      <w:r>
        <w:rPr>
          <w:color w:val="231F20"/>
          <w:spacing w:val="-9"/>
        </w:rPr>
        <w:t> </w:t>
      </w:r>
      <w:r>
        <w:rPr>
          <w:color w:val="231F20"/>
          <w:spacing w:val="-4"/>
        </w:rPr>
        <w:t>frontières</w:t>
      </w:r>
      <w:r>
        <w:rPr>
          <w:color w:val="231F20"/>
          <w:spacing w:val="-9"/>
        </w:rPr>
        <w:t> </w:t>
      </w:r>
      <w:r>
        <w:rPr>
          <w:color w:val="231F20"/>
          <w:spacing w:val="-4"/>
        </w:rPr>
        <w:t>avec</w:t>
      </w:r>
      <w:r>
        <w:rPr>
          <w:color w:val="231F20"/>
          <w:spacing w:val="-11"/>
        </w:rPr>
        <w:t> </w:t>
      </w:r>
      <w:r>
        <w:rPr>
          <w:color w:val="231F20"/>
          <w:spacing w:val="-4"/>
        </w:rPr>
        <w:t>l’enclave </w:t>
      </w:r>
      <w:r>
        <w:rPr>
          <w:color w:val="231F20"/>
          <w:spacing w:val="-2"/>
        </w:rPr>
        <w:t>de</w:t>
      </w:r>
      <w:r>
        <w:rPr>
          <w:color w:val="231F20"/>
          <w:spacing w:val="-15"/>
        </w:rPr>
        <w:t> </w:t>
      </w:r>
      <w:r>
        <w:rPr>
          <w:color w:val="231F20"/>
          <w:spacing w:val="-2"/>
        </w:rPr>
        <w:t>Cabinda</w:t>
      </w:r>
      <w:r>
        <w:rPr>
          <w:color w:val="231F20"/>
          <w:spacing w:val="-13"/>
        </w:rPr>
        <w:t> </w:t>
      </w:r>
      <w:r>
        <w:rPr>
          <w:color w:val="231F20"/>
          <w:spacing w:val="-2"/>
        </w:rPr>
        <w:t>(Angola)</w:t>
      </w:r>
      <w:r>
        <w:rPr>
          <w:color w:val="231F20"/>
          <w:spacing w:val="-13"/>
        </w:rPr>
        <w:t> </w:t>
      </w:r>
      <w:r>
        <w:rPr>
          <w:color w:val="231F20"/>
          <w:spacing w:val="-2"/>
        </w:rPr>
        <w:t>et</w:t>
      </w:r>
      <w:r>
        <w:rPr>
          <w:color w:val="231F20"/>
          <w:spacing w:val="-13"/>
        </w:rPr>
        <w:t> </w:t>
      </w:r>
      <w:r>
        <w:rPr>
          <w:color w:val="231F20"/>
          <w:spacing w:val="-2"/>
        </w:rPr>
        <w:t>la</w:t>
      </w:r>
      <w:r>
        <w:rPr>
          <w:color w:val="231F20"/>
          <w:spacing w:val="-13"/>
        </w:rPr>
        <w:t> </w:t>
      </w:r>
      <w:r>
        <w:rPr>
          <w:color w:val="231F20"/>
          <w:spacing w:val="-2"/>
        </w:rPr>
        <w:t>République</w:t>
      </w:r>
      <w:r>
        <w:rPr>
          <w:color w:val="231F20"/>
          <w:spacing w:val="-13"/>
        </w:rPr>
        <w:t> </w:t>
      </w:r>
      <w:r>
        <w:rPr>
          <w:color w:val="231F20"/>
          <w:spacing w:val="-2"/>
        </w:rPr>
        <w:t>du</w:t>
      </w:r>
      <w:r>
        <w:rPr>
          <w:color w:val="231F20"/>
          <w:spacing w:val="-13"/>
        </w:rPr>
        <w:t> </w:t>
      </w:r>
      <w:r>
        <w:rPr>
          <w:color w:val="231F20"/>
          <w:spacing w:val="-2"/>
        </w:rPr>
        <w:t>Congo</w:t>
      </w:r>
      <w:r>
        <w:rPr>
          <w:color w:val="231F20"/>
          <w:spacing w:val="-13"/>
        </w:rPr>
        <w:t> </w:t>
      </w:r>
      <w:r>
        <w:rPr>
          <w:color w:val="231F20"/>
          <w:spacing w:val="-2"/>
        </w:rPr>
        <w:t>à</w:t>
      </w:r>
      <w:r>
        <w:rPr>
          <w:color w:val="231F20"/>
          <w:spacing w:val="-13"/>
        </w:rPr>
        <w:t> </w:t>
      </w:r>
      <w:r>
        <w:rPr>
          <w:color w:val="231F20"/>
          <w:spacing w:val="-2"/>
        </w:rPr>
        <w:t>l’Ouest,</w:t>
      </w:r>
      <w:r>
        <w:rPr>
          <w:color w:val="231F20"/>
          <w:spacing w:val="-13"/>
        </w:rPr>
        <w:t> </w:t>
      </w:r>
      <w:r>
        <w:rPr>
          <w:color w:val="231F20"/>
          <w:spacing w:val="-2"/>
        </w:rPr>
        <w:t>la</w:t>
      </w:r>
      <w:r>
        <w:rPr>
          <w:color w:val="231F20"/>
          <w:spacing w:val="-13"/>
        </w:rPr>
        <w:t> </w:t>
      </w:r>
      <w:r>
        <w:rPr>
          <w:color w:val="231F20"/>
          <w:spacing w:val="-2"/>
        </w:rPr>
        <w:t>République </w:t>
      </w:r>
      <w:r>
        <w:rPr>
          <w:color w:val="231F20"/>
        </w:rPr>
        <w:t>Centrafricaine et le Soudan du Sud au Nord, l’Ouganda, le Rwanda, le Burundi</w:t>
      </w:r>
      <w:r>
        <w:rPr>
          <w:color w:val="231F20"/>
          <w:spacing w:val="-5"/>
        </w:rPr>
        <w:t> </w:t>
      </w:r>
      <w:r>
        <w:rPr>
          <w:color w:val="231F20"/>
        </w:rPr>
        <w:t>et</w:t>
      </w:r>
      <w:r>
        <w:rPr>
          <w:color w:val="231F20"/>
          <w:spacing w:val="-4"/>
        </w:rPr>
        <w:t> </w:t>
      </w:r>
      <w:r>
        <w:rPr>
          <w:color w:val="231F20"/>
        </w:rPr>
        <w:t>la</w:t>
      </w:r>
      <w:r>
        <w:rPr>
          <w:color w:val="231F20"/>
          <w:spacing w:val="-5"/>
        </w:rPr>
        <w:t> </w:t>
      </w:r>
      <w:r>
        <w:rPr>
          <w:color w:val="231F20"/>
        </w:rPr>
        <w:t>Tanzanie</w:t>
      </w:r>
      <w:r>
        <w:rPr>
          <w:color w:val="231F20"/>
          <w:spacing w:val="-5"/>
        </w:rPr>
        <w:t> </w:t>
      </w:r>
      <w:r>
        <w:rPr>
          <w:color w:val="231F20"/>
        </w:rPr>
        <w:t>à</w:t>
      </w:r>
      <w:r>
        <w:rPr>
          <w:color w:val="231F20"/>
          <w:spacing w:val="-7"/>
        </w:rPr>
        <w:t> </w:t>
      </w:r>
      <w:r>
        <w:rPr>
          <w:color w:val="231F20"/>
        </w:rPr>
        <w:t>l’Est,</w:t>
      </w:r>
      <w:r>
        <w:rPr>
          <w:color w:val="231F20"/>
          <w:spacing w:val="-7"/>
        </w:rPr>
        <w:t> </w:t>
      </w:r>
      <w:r>
        <w:rPr>
          <w:color w:val="231F20"/>
        </w:rPr>
        <w:t>la</w:t>
      </w:r>
      <w:r>
        <w:rPr>
          <w:color w:val="231F20"/>
          <w:spacing w:val="-5"/>
        </w:rPr>
        <w:t> </w:t>
      </w:r>
      <w:r>
        <w:rPr>
          <w:color w:val="231F20"/>
        </w:rPr>
        <w:t>Zambie</w:t>
      </w:r>
      <w:r>
        <w:rPr>
          <w:color w:val="231F20"/>
          <w:spacing w:val="-5"/>
        </w:rPr>
        <w:t> </w:t>
      </w:r>
      <w:r>
        <w:rPr>
          <w:color w:val="231F20"/>
        </w:rPr>
        <w:t>et</w:t>
      </w:r>
      <w:r>
        <w:rPr>
          <w:color w:val="231F20"/>
          <w:spacing w:val="-4"/>
        </w:rPr>
        <w:t> </w:t>
      </w:r>
      <w:r>
        <w:rPr>
          <w:color w:val="231F20"/>
        </w:rPr>
        <w:t>l’Angola</w:t>
      </w:r>
      <w:r>
        <w:rPr>
          <w:color w:val="231F20"/>
          <w:spacing w:val="-5"/>
        </w:rPr>
        <w:t> </w:t>
      </w:r>
      <w:r>
        <w:rPr>
          <w:color w:val="231F20"/>
        </w:rPr>
        <w:t>au</w:t>
      </w:r>
      <w:r>
        <w:rPr>
          <w:color w:val="231F20"/>
          <w:spacing w:val="-5"/>
        </w:rPr>
        <w:t> </w:t>
      </w:r>
      <w:r>
        <w:rPr>
          <w:color w:val="231F20"/>
        </w:rPr>
        <w:t>Sud.</w:t>
      </w:r>
    </w:p>
    <w:p>
      <w:pPr>
        <w:pStyle w:val="BodyText"/>
        <w:spacing w:before="120"/>
        <w:ind w:right="104" w:firstLine="283"/>
      </w:pPr>
      <w:r>
        <w:rPr>
          <w:color w:val="231F20"/>
        </w:rPr>
        <w:t>Le</w:t>
      </w:r>
      <w:r>
        <w:rPr>
          <w:color w:val="231F20"/>
          <w:spacing w:val="-15"/>
        </w:rPr>
        <w:t> </w:t>
      </w:r>
      <w:r>
        <w:rPr>
          <w:color w:val="231F20"/>
        </w:rPr>
        <w:t>Nord</w:t>
      </w:r>
      <w:r>
        <w:rPr>
          <w:color w:val="231F20"/>
          <w:spacing w:val="-15"/>
        </w:rPr>
        <w:t> </w:t>
      </w:r>
      <w:r>
        <w:rPr>
          <w:color w:val="231F20"/>
        </w:rPr>
        <w:t>du</w:t>
      </w:r>
      <w:r>
        <w:rPr>
          <w:color w:val="231F20"/>
          <w:spacing w:val="-15"/>
        </w:rPr>
        <w:t> </w:t>
      </w:r>
      <w:r>
        <w:rPr>
          <w:color w:val="231F20"/>
        </w:rPr>
        <w:t>pays</w:t>
      </w:r>
      <w:r>
        <w:rPr>
          <w:color w:val="231F20"/>
          <w:spacing w:val="-15"/>
        </w:rPr>
        <w:t> </w:t>
      </w:r>
      <w:r>
        <w:rPr>
          <w:color w:val="231F20"/>
        </w:rPr>
        <w:t>est</w:t>
      </w:r>
      <w:r>
        <w:rPr>
          <w:color w:val="231F20"/>
          <w:spacing w:val="-15"/>
        </w:rPr>
        <w:t> </w:t>
      </w:r>
      <w:r>
        <w:rPr>
          <w:color w:val="231F20"/>
        </w:rPr>
        <w:t>un</w:t>
      </w:r>
      <w:r>
        <w:rPr>
          <w:color w:val="231F20"/>
          <w:spacing w:val="-15"/>
        </w:rPr>
        <w:t> </w:t>
      </w:r>
      <w:r>
        <w:rPr>
          <w:color w:val="231F20"/>
        </w:rPr>
        <w:t>des</w:t>
      </w:r>
      <w:r>
        <w:rPr>
          <w:color w:val="231F20"/>
          <w:spacing w:val="-15"/>
        </w:rPr>
        <w:t> </w:t>
      </w:r>
      <w:r>
        <w:rPr>
          <w:color w:val="231F20"/>
        </w:rPr>
        <w:t>plus</w:t>
      </w:r>
      <w:r>
        <w:rPr>
          <w:color w:val="231F20"/>
          <w:spacing w:val="-15"/>
        </w:rPr>
        <w:t> </w:t>
      </w:r>
      <w:r>
        <w:rPr>
          <w:color w:val="231F20"/>
        </w:rPr>
        <w:t>grands</w:t>
      </w:r>
      <w:r>
        <w:rPr>
          <w:color w:val="231F20"/>
          <w:spacing w:val="-15"/>
        </w:rPr>
        <w:t> </w:t>
      </w:r>
      <w:r>
        <w:rPr>
          <w:color w:val="231F20"/>
        </w:rPr>
        <w:t>domaines</w:t>
      </w:r>
      <w:r>
        <w:rPr>
          <w:color w:val="231F20"/>
          <w:spacing w:val="-15"/>
        </w:rPr>
        <w:t> </w:t>
      </w:r>
      <w:r>
        <w:rPr>
          <w:color w:val="231F20"/>
        </w:rPr>
        <w:t>de</w:t>
      </w:r>
      <w:r>
        <w:rPr>
          <w:color w:val="231F20"/>
          <w:spacing w:val="-15"/>
        </w:rPr>
        <w:t> </w:t>
      </w:r>
      <w:r>
        <w:rPr>
          <w:color w:val="231F20"/>
        </w:rPr>
        <w:t>forêt</w:t>
      </w:r>
      <w:r>
        <w:rPr>
          <w:color w:val="231F20"/>
          <w:spacing w:val="-15"/>
        </w:rPr>
        <w:t> </w:t>
      </w:r>
      <w:r>
        <w:rPr>
          <w:color w:val="231F20"/>
        </w:rPr>
        <w:t>équatoriale au</w:t>
      </w:r>
      <w:r>
        <w:rPr>
          <w:color w:val="231F20"/>
          <w:spacing w:val="-10"/>
        </w:rPr>
        <w:t> </w:t>
      </w:r>
      <w:r>
        <w:rPr>
          <w:color w:val="231F20"/>
        </w:rPr>
        <w:t>monde,</w:t>
      </w:r>
      <w:r>
        <w:rPr>
          <w:color w:val="231F20"/>
          <w:spacing w:val="-10"/>
        </w:rPr>
        <w:t> </w:t>
      </w:r>
      <w:r>
        <w:rPr>
          <w:color w:val="231F20"/>
        </w:rPr>
        <w:t>l’Est</w:t>
      </w:r>
      <w:r>
        <w:rPr>
          <w:color w:val="231F20"/>
          <w:spacing w:val="-10"/>
        </w:rPr>
        <w:t> </w:t>
      </w:r>
      <w:r>
        <w:rPr>
          <w:color w:val="231F20"/>
        </w:rPr>
        <w:t>est</w:t>
      </w:r>
      <w:r>
        <w:rPr>
          <w:color w:val="231F20"/>
          <w:spacing w:val="-11"/>
        </w:rPr>
        <w:t> </w:t>
      </w:r>
      <w:r>
        <w:rPr>
          <w:color w:val="231F20"/>
        </w:rPr>
        <w:t>le</w:t>
      </w:r>
      <w:r>
        <w:rPr>
          <w:color w:val="231F20"/>
          <w:spacing w:val="-10"/>
        </w:rPr>
        <w:t> </w:t>
      </w:r>
      <w:r>
        <w:rPr>
          <w:color w:val="231F20"/>
        </w:rPr>
        <w:t>domaine</w:t>
      </w:r>
      <w:r>
        <w:rPr>
          <w:color w:val="231F20"/>
          <w:spacing w:val="-10"/>
        </w:rPr>
        <w:t> </w:t>
      </w:r>
      <w:r>
        <w:rPr>
          <w:color w:val="231F20"/>
        </w:rPr>
        <w:t>des</w:t>
      </w:r>
      <w:r>
        <w:rPr>
          <w:color w:val="231F20"/>
          <w:spacing w:val="-9"/>
        </w:rPr>
        <w:t> </w:t>
      </w:r>
      <w:r>
        <w:rPr>
          <w:color w:val="231F20"/>
        </w:rPr>
        <w:t>montagnes,</w:t>
      </w:r>
      <w:r>
        <w:rPr>
          <w:color w:val="231F20"/>
          <w:spacing w:val="-10"/>
        </w:rPr>
        <w:t> </w:t>
      </w:r>
      <w:r>
        <w:rPr>
          <w:color w:val="231F20"/>
        </w:rPr>
        <w:t>des</w:t>
      </w:r>
      <w:r>
        <w:rPr>
          <w:color w:val="231F20"/>
          <w:spacing w:val="-9"/>
        </w:rPr>
        <w:t> </w:t>
      </w:r>
      <w:r>
        <w:rPr>
          <w:color w:val="231F20"/>
        </w:rPr>
        <w:t>collines,</w:t>
      </w:r>
      <w:r>
        <w:rPr>
          <w:color w:val="231F20"/>
          <w:spacing w:val="-10"/>
        </w:rPr>
        <w:t> </w:t>
      </w:r>
      <w:r>
        <w:rPr>
          <w:color w:val="231F20"/>
        </w:rPr>
        <w:t>des</w:t>
      </w:r>
      <w:r>
        <w:rPr>
          <w:color w:val="231F20"/>
          <w:spacing w:val="-12"/>
        </w:rPr>
        <w:t> </w:t>
      </w:r>
      <w:r>
        <w:rPr>
          <w:color w:val="231F20"/>
        </w:rPr>
        <w:t>Grands lacs mais aussi des volcans. Le Sud et le Centre, domaine des savanes arborées,</w:t>
      </w:r>
      <w:r>
        <w:rPr>
          <w:color w:val="231F20"/>
          <w:spacing w:val="-15"/>
        </w:rPr>
        <w:t> </w:t>
      </w:r>
      <w:r>
        <w:rPr>
          <w:color w:val="231F20"/>
        </w:rPr>
        <w:t>forment</w:t>
      </w:r>
      <w:r>
        <w:rPr>
          <w:color w:val="231F20"/>
          <w:spacing w:val="-15"/>
        </w:rPr>
        <w:t> </w:t>
      </w:r>
      <w:r>
        <w:rPr>
          <w:color w:val="231F20"/>
        </w:rPr>
        <w:t>un</w:t>
      </w:r>
      <w:r>
        <w:rPr>
          <w:color w:val="231F20"/>
          <w:spacing w:val="-15"/>
        </w:rPr>
        <w:t> </w:t>
      </w:r>
      <w:r>
        <w:rPr>
          <w:color w:val="231F20"/>
        </w:rPr>
        <w:t>haut</w:t>
      </w:r>
      <w:r>
        <w:rPr>
          <w:color w:val="231F20"/>
          <w:spacing w:val="-15"/>
        </w:rPr>
        <w:t> </w:t>
      </w:r>
      <w:r>
        <w:rPr>
          <w:color w:val="231F20"/>
        </w:rPr>
        <w:t>plateau</w:t>
      </w:r>
      <w:r>
        <w:rPr>
          <w:color w:val="231F20"/>
          <w:spacing w:val="-15"/>
        </w:rPr>
        <w:t> </w:t>
      </w:r>
      <w:r>
        <w:rPr>
          <w:color w:val="231F20"/>
        </w:rPr>
        <w:t>riche</w:t>
      </w:r>
      <w:r>
        <w:rPr>
          <w:color w:val="231F20"/>
          <w:spacing w:val="-15"/>
        </w:rPr>
        <w:t> </w:t>
      </w:r>
      <w:r>
        <w:rPr>
          <w:color w:val="231F20"/>
        </w:rPr>
        <w:t>en</w:t>
      </w:r>
      <w:r>
        <w:rPr>
          <w:color w:val="231F20"/>
          <w:spacing w:val="-15"/>
        </w:rPr>
        <w:t> </w:t>
      </w:r>
      <w:r>
        <w:rPr>
          <w:color w:val="231F20"/>
        </w:rPr>
        <w:t>minerais.</w:t>
      </w:r>
      <w:r>
        <w:rPr>
          <w:color w:val="231F20"/>
          <w:spacing w:val="-15"/>
        </w:rPr>
        <w:t> </w:t>
      </w:r>
      <w:r>
        <w:rPr>
          <w:color w:val="231F20"/>
        </w:rPr>
        <w:t>Le</w:t>
      </w:r>
      <w:r>
        <w:rPr>
          <w:color w:val="231F20"/>
          <w:spacing w:val="-15"/>
        </w:rPr>
        <w:t> </w:t>
      </w:r>
      <w:r>
        <w:rPr>
          <w:color w:val="231F20"/>
        </w:rPr>
        <w:t>pays</w:t>
      </w:r>
      <w:r>
        <w:rPr>
          <w:color w:val="231F20"/>
          <w:spacing w:val="-15"/>
        </w:rPr>
        <w:t> </w:t>
      </w:r>
      <w:r>
        <w:rPr>
          <w:color w:val="231F20"/>
        </w:rPr>
        <w:t>croule</w:t>
      </w:r>
      <w:r>
        <w:rPr>
          <w:color w:val="231F20"/>
          <w:spacing w:val="-15"/>
        </w:rPr>
        <w:t> </w:t>
      </w:r>
      <w:r>
        <w:rPr>
          <w:color w:val="231F20"/>
        </w:rPr>
        <w:t>sous ses richesses naturelles abondantes dont une cinquantaine de minerais </w:t>
      </w:r>
      <w:r>
        <w:rPr>
          <w:color w:val="231F20"/>
          <w:spacing w:val="-2"/>
        </w:rPr>
        <w:t>recensés,</w:t>
      </w:r>
      <w:r>
        <w:rPr>
          <w:color w:val="231F20"/>
          <w:spacing w:val="-13"/>
        </w:rPr>
        <w:t> </w:t>
      </w:r>
      <w:r>
        <w:rPr>
          <w:color w:val="231F20"/>
          <w:spacing w:val="-2"/>
        </w:rPr>
        <w:t>mais</w:t>
      </w:r>
      <w:r>
        <w:rPr>
          <w:color w:val="231F20"/>
          <w:spacing w:val="-13"/>
        </w:rPr>
        <w:t> </w:t>
      </w:r>
      <w:r>
        <w:rPr>
          <w:color w:val="231F20"/>
          <w:spacing w:val="-2"/>
        </w:rPr>
        <w:t>seulement</w:t>
      </w:r>
      <w:r>
        <w:rPr>
          <w:color w:val="231F20"/>
          <w:spacing w:val="-13"/>
        </w:rPr>
        <w:t> </w:t>
      </w:r>
      <w:r>
        <w:rPr>
          <w:color w:val="231F20"/>
          <w:spacing w:val="-2"/>
        </w:rPr>
        <w:t>une</w:t>
      </w:r>
      <w:r>
        <w:rPr>
          <w:color w:val="231F20"/>
          <w:spacing w:val="-13"/>
        </w:rPr>
        <w:t> </w:t>
      </w:r>
      <w:r>
        <w:rPr>
          <w:color w:val="231F20"/>
          <w:spacing w:val="-2"/>
        </w:rPr>
        <w:t>douzaine</w:t>
      </w:r>
      <w:r>
        <w:rPr>
          <w:color w:val="231F20"/>
          <w:spacing w:val="-13"/>
        </w:rPr>
        <w:t> </w:t>
      </w:r>
      <w:r>
        <w:rPr>
          <w:color w:val="231F20"/>
          <w:spacing w:val="-2"/>
        </w:rPr>
        <w:t>exploitée</w:t>
      </w:r>
      <w:r>
        <w:rPr>
          <w:color w:val="231F20"/>
          <w:spacing w:val="-13"/>
        </w:rPr>
        <w:t> </w:t>
      </w:r>
      <w:r>
        <w:rPr>
          <w:color w:val="231F20"/>
          <w:spacing w:val="-2"/>
        </w:rPr>
        <w:t>:diamant,</w:t>
      </w:r>
      <w:r>
        <w:rPr>
          <w:color w:val="231F20"/>
          <w:spacing w:val="-13"/>
        </w:rPr>
        <w:t> </w:t>
      </w:r>
      <w:r>
        <w:rPr>
          <w:color w:val="231F20"/>
          <w:spacing w:val="-2"/>
        </w:rPr>
        <w:t>4</w:t>
      </w:r>
      <w:r>
        <w:rPr>
          <w:color w:val="231F20"/>
          <w:spacing w:val="-2"/>
          <w:vertAlign w:val="superscript"/>
        </w:rPr>
        <w:t>e</w:t>
      </w:r>
      <w:r>
        <w:rPr>
          <w:color w:val="231F20"/>
          <w:spacing w:val="-11"/>
          <w:vertAlign w:val="baseline"/>
        </w:rPr>
        <w:t> </w:t>
      </w:r>
      <w:r>
        <w:rPr>
          <w:color w:val="231F20"/>
          <w:spacing w:val="-2"/>
          <w:vertAlign w:val="baseline"/>
        </w:rPr>
        <w:t>producteur </w:t>
      </w:r>
      <w:r>
        <w:rPr>
          <w:color w:val="231F20"/>
          <w:vertAlign w:val="baseline"/>
        </w:rPr>
        <w:t>mondial</w:t>
      </w:r>
      <w:r>
        <w:rPr>
          <w:color w:val="231F20"/>
          <w:spacing w:val="-15"/>
          <w:vertAlign w:val="baseline"/>
        </w:rPr>
        <w:t> </w:t>
      </w:r>
      <w:r>
        <w:rPr>
          <w:color w:val="231F20"/>
          <w:vertAlign w:val="baseline"/>
        </w:rPr>
        <w:t>; or; cuivre, deuxième réserve mondiale avec 10</w:t>
      </w:r>
      <w:r>
        <w:rPr>
          <w:color w:val="231F20"/>
          <w:spacing w:val="-12"/>
          <w:vertAlign w:val="baseline"/>
        </w:rPr>
        <w:t> </w:t>
      </w:r>
      <w:r>
        <w:rPr>
          <w:color w:val="231F20"/>
          <w:vertAlign w:val="baseline"/>
        </w:rPr>
        <w:t>% du total </w:t>
      </w:r>
      <w:r>
        <w:rPr>
          <w:color w:val="231F20"/>
          <w:spacing w:val="-2"/>
          <w:vertAlign w:val="baseline"/>
        </w:rPr>
        <w:t>recensé</w:t>
      </w:r>
      <w:r>
        <w:rPr>
          <w:color w:val="231F20"/>
          <w:spacing w:val="-13"/>
          <w:vertAlign w:val="baseline"/>
        </w:rPr>
        <w:t> </w:t>
      </w:r>
      <w:r>
        <w:rPr>
          <w:color w:val="231F20"/>
          <w:spacing w:val="-2"/>
          <w:vertAlign w:val="baseline"/>
        </w:rPr>
        <w:t>sur</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planète;</w:t>
      </w:r>
      <w:r>
        <w:rPr>
          <w:color w:val="231F20"/>
          <w:spacing w:val="-13"/>
          <w:vertAlign w:val="baseline"/>
        </w:rPr>
        <w:t> </w:t>
      </w:r>
      <w:r>
        <w:rPr>
          <w:color w:val="231F20"/>
          <w:spacing w:val="-2"/>
          <w:vertAlign w:val="baseline"/>
        </w:rPr>
        <w:t>étain</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bauxite;</w:t>
      </w:r>
      <w:r>
        <w:rPr>
          <w:color w:val="231F20"/>
          <w:spacing w:val="-13"/>
          <w:vertAlign w:val="baseline"/>
        </w:rPr>
        <w:t> </w:t>
      </w:r>
      <w:r>
        <w:rPr>
          <w:color w:val="231F20"/>
          <w:spacing w:val="-2"/>
          <w:vertAlign w:val="baseline"/>
        </w:rPr>
        <w:t>fer;</w:t>
      </w:r>
      <w:r>
        <w:rPr>
          <w:color w:val="231F20"/>
          <w:spacing w:val="-13"/>
          <w:vertAlign w:val="baseline"/>
        </w:rPr>
        <w:t> </w:t>
      </w:r>
      <w:r>
        <w:rPr>
          <w:color w:val="231F20"/>
          <w:spacing w:val="-2"/>
          <w:vertAlign w:val="baseline"/>
        </w:rPr>
        <w:t>manganèse</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charbon</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pétrole</w:t>
      </w:r>
      <w:r>
        <w:rPr>
          <w:color w:val="231F20"/>
          <w:spacing w:val="-12"/>
          <w:vertAlign w:val="baseline"/>
        </w:rPr>
        <w:t> </w:t>
      </w:r>
      <w:r>
        <w:rPr>
          <w:color w:val="231F20"/>
          <w:spacing w:val="-2"/>
          <w:vertAlign w:val="baseline"/>
        </w:rPr>
        <w:t>; </w:t>
      </w:r>
      <w:r>
        <w:rPr>
          <w:color w:val="231F20"/>
          <w:vertAlign w:val="baseline"/>
        </w:rPr>
        <w:t>gaz méthane</w:t>
      </w:r>
      <w:r>
        <w:rPr>
          <w:color w:val="231F20"/>
          <w:spacing w:val="-15"/>
          <w:vertAlign w:val="baseline"/>
        </w:rPr>
        <w:t> </w:t>
      </w:r>
      <w:r>
        <w:rPr>
          <w:color w:val="231F20"/>
          <w:vertAlign w:val="baseline"/>
        </w:rPr>
        <w:t>; schistes bitumeux</w:t>
      </w:r>
      <w:r>
        <w:rPr>
          <w:color w:val="231F20"/>
          <w:spacing w:val="-15"/>
          <w:vertAlign w:val="baseline"/>
        </w:rPr>
        <w:t> </w:t>
      </w:r>
      <w:r>
        <w:rPr>
          <w:color w:val="231F20"/>
          <w:vertAlign w:val="baseline"/>
        </w:rPr>
        <w:t>(pétrole, gaz); cobalt, 1/3 à 50% des </w:t>
      </w:r>
      <w:r>
        <w:rPr>
          <w:color w:val="231F20"/>
          <w:spacing w:val="-2"/>
          <w:vertAlign w:val="baseline"/>
        </w:rPr>
        <w:t>réserves</w:t>
      </w:r>
      <w:r>
        <w:rPr>
          <w:color w:val="231F20"/>
          <w:spacing w:val="-7"/>
          <w:vertAlign w:val="baseline"/>
        </w:rPr>
        <w:t> </w:t>
      </w:r>
      <w:r>
        <w:rPr>
          <w:color w:val="231F20"/>
          <w:spacing w:val="-2"/>
          <w:vertAlign w:val="baseline"/>
        </w:rPr>
        <w:t>mondiales;</w:t>
      </w:r>
      <w:r>
        <w:rPr>
          <w:color w:val="231F20"/>
          <w:spacing w:val="-6"/>
          <w:vertAlign w:val="baseline"/>
        </w:rPr>
        <w:t> </w:t>
      </w:r>
      <w:r>
        <w:rPr>
          <w:color w:val="231F20"/>
          <w:spacing w:val="-2"/>
          <w:vertAlign w:val="baseline"/>
        </w:rPr>
        <w:t>des</w:t>
      </w:r>
      <w:r>
        <w:rPr>
          <w:color w:val="231F20"/>
          <w:spacing w:val="-9"/>
          <w:vertAlign w:val="baseline"/>
        </w:rPr>
        <w:t> </w:t>
      </w:r>
      <w:r>
        <w:rPr>
          <w:color w:val="231F20"/>
          <w:spacing w:val="-2"/>
          <w:vertAlign w:val="baseline"/>
        </w:rPr>
        <w:t>métaux</w:t>
      </w:r>
      <w:r>
        <w:rPr>
          <w:color w:val="231F20"/>
          <w:spacing w:val="-6"/>
          <w:vertAlign w:val="baseline"/>
        </w:rPr>
        <w:t> </w:t>
      </w:r>
      <w:r>
        <w:rPr>
          <w:color w:val="231F20"/>
          <w:spacing w:val="-2"/>
          <w:vertAlign w:val="baseline"/>
        </w:rPr>
        <w:t>rares</w:t>
      </w:r>
      <w:r>
        <w:rPr>
          <w:color w:val="231F20"/>
          <w:spacing w:val="-6"/>
          <w:vertAlign w:val="baseline"/>
        </w:rPr>
        <w:t> </w:t>
      </w:r>
      <w:r>
        <w:rPr>
          <w:color w:val="231F20"/>
          <w:spacing w:val="-2"/>
          <w:vertAlign w:val="baseline"/>
        </w:rPr>
        <w:t>comme</w:t>
      </w:r>
      <w:r>
        <w:rPr>
          <w:color w:val="231F20"/>
          <w:spacing w:val="-8"/>
          <w:vertAlign w:val="baseline"/>
        </w:rPr>
        <w:t> </w:t>
      </w:r>
      <w:r>
        <w:rPr>
          <w:color w:val="231F20"/>
          <w:spacing w:val="-2"/>
          <w:vertAlign w:val="baseline"/>
        </w:rPr>
        <w:t>le</w:t>
      </w:r>
      <w:r>
        <w:rPr>
          <w:color w:val="231F20"/>
          <w:spacing w:val="-8"/>
          <w:vertAlign w:val="baseline"/>
        </w:rPr>
        <w:t> </w:t>
      </w:r>
      <w:r>
        <w:rPr>
          <w:color w:val="231F20"/>
          <w:spacing w:val="-2"/>
          <w:vertAlign w:val="baseline"/>
        </w:rPr>
        <w:t>coltan,</w:t>
      </w:r>
      <w:r>
        <w:rPr>
          <w:color w:val="231F20"/>
          <w:spacing w:val="-9"/>
          <w:vertAlign w:val="baseline"/>
        </w:rPr>
        <w:t> </w:t>
      </w:r>
      <w:r>
        <w:rPr>
          <w:color w:val="231F20"/>
          <w:spacing w:val="-2"/>
          <w:vertAlign w:val="baseline"/>
        </w:rPr>
        <w:t>le</w:t>
      </w:r>
      <w:r>
        <w:rPr>
          <w:color w:val="231F20"/>
          <w:spacing w:val="-8"/>
          <w:vertAlign w:val="baseline"/>
        </w:rPr>
        <w:t> </w:t>
      </w:r>
      <w:r>
        <w:rPr>
          <w:color w:val="231F20"/>
          <w:spacing w:val="-2"/>
          <w:vertAlign w:val="baseline"/>
        </w:rPr>
        <w:t>tungstène</w:t>
      </w:r>
      <w:r>
        <w:rPr>
          <w:color w:val="231F20"/>
          <w:spacing w:val="-7"/>
          <w:vertAlign w:val="baseline"/>
        </w:rPr>
        <w:t> </w:t>
      </w:r>
      <w:r>
        <w:rPr>
          <w:color w:val="231F20"/>
          <w:spacing w:val="-2"/>
          <w:vertAlign w:val="baseline"/>
        </w:rPr>
        <w:t>sans </w:t>
      </w:r>
      <w:r>
        <w:rPr>
          <w:color w:val="231F20"/>
          <w:vertAlign w:val="baseline"/>
        </w:rPr>
        <w:t>oublier</w:t>
      </w:r>
      <w:r>
        <w:rPr>
          <w:color w:val="231F20"/>
          <w:spacing w:val="-4"/>
          <w:vertAlign w:val="baseline"/>
        </w:rPr>
        <w:t> </w:t>
      </w:r>
      <w:r>
        <w:rPr>
          <w:color w:val="231F20"/>
          <w:vertAlign w:val="baseline"/>
        </w:rPr>
        <w:t>l’argent,</w:t>
      </w:r>
      <w:r>
        <w:rPr>
          <w:color w:val="231F20"/>
          <w:spacing w:val="-7"/>
          <w:vertAlign w:val="baseline"/>
        </w:rPr>
        <w:t> </w:t>
      </w:r>
      <w:r>
        <w:rPr>
          <w:color w:val="231F20"/>
          <w:vertAlign w:val="baseline"/>
        </w:rPr>
        <w:t>l’uranium,</w:t>
      </w:r>
      <w:r>
        <w:rPr>
          <w:color w:val="231F20"/>
          <w:spacing w:val="-4"/>
          <w:vertAlign w:val="baseline"/>
        </w:rPr>
        <w:t> </w:t>
      </w:r>
      <w:r>
        <w:rPr>
          <w:color w:val="231F20"/>
          <w:vertAlign w:val="baseline"/>
        </w:rPr>
        <w:t>le</w:t>
      </w:r>
      <w:r>
        <w:rPr>
          <w:color w:val="231F20"/>
          <w:spacing w:val="-8"/>
          <w:vertAlign w:val="baseline"/>
        </w:rPr>
        <w:t> </w:t>
      </w:r>
      <w:r>
        <w:rPr>
          <w:color w:val="231F20"/>
          <w:vertAlign w:val="baseline"/>
        </w:rPr>
        <w:t>plomb,</w:t>
      </w:r>
      <w:r>
        <w:rPr>
          <w:color w:val="231F20"/>
          <w:spacing w:val="-7"/>
          <w:vertAlign w:val="baseline"/>
        </w:rPr>
        <w:t> </w:t>
      </w:r>
      <w:r>
        <w:rPr>
          <w:color w:val="231F20"/>
          <w:vertAlign w:val="baseline"/>
        </w:rPr>
        <w:t>le</w:t>
      </w:r>
      <w:r>
        <w:rPr>
          <w:color w:val="231F20"/>
          <w:spacing w:val="-3"/>
          <w:vertAlign w:val="baseline"/>
        </w:rPr>
        <w:t> </w:t>
      </w:r>
      <w:r>
        <w:rPr>
          <w:color w:val="231F20"/>
          <w:vertAlign w:val="baseline"/>
        </w:rPr>
        <w:t>zinc</w:t>
      </w:r>
      <w:r>
        <w:rPr>
          <w:color w:val="231F20"/>
          <w:spacing w:val="-3"/>
          <w:vertAlign w:val="baseline"/>
        </w:rPr>
        <w:t> </w:t>
      </w:r>
      <w:r>
        <w:rPr>
          <w:color w:val="231F20"/>
          <w:vertAlign w:val="baseline"/>
        </w:rPr>
        <w:t>,</w:t>
      </w:r>
      <w:r>
        <w:rPr>
          <w:color w:val="231F20"/>
          <w:spacing w:val="-7"/>
          <w:vertAlign w:val="baseline"/>
        </w:rPr>
        <w:t> </w:t>
      </w:r>
      <w:r>
        <w:rPr>
          <w:color w:val="231F20"/>
          <w:vertAlign w:val="baseline"/>
        </w:rPr>
        <w:t>le</w:t>
      </w:r>
      <w:r>
        <w:rPr>
          <w:color w:val="231F20"/>
          <w:spacing w:val="-3"/>
          <w:vertAlign w:val="baseline"/>
        </w:rPr>
        <w:t> </w:t>
      </w:r>
      <w:r>
        <w:rPr>
          <w:color w:val="231F20"/>
          <w:vertAlign w:val="baseline"/>
        </w:rPr>
        <w:t>cadmium…</w:t>
      </w:r>
    </w:p>
    <w:p>
      <w:pPr>
        <w:pStyle w:val="BodyText"/>
        <w:spacing w:before="121"/>
        <w:ind w:right="105" w:firstLine="283"/>
      </w:pPr>
      <w:r>
        <w:rPr>
          <w:color w:val="231F20"/>
        </w:rPr>
        <w:t>De 1908 à 1960, cette ancienne colonie était appelée Congo belge puis</w:t>
      </w:r>
      <w:r>
        <w:rPr>
          <w:color w:val="231F20"/>
          <w:spacing w:val="-17"/>
        </w:rPr>
        <w:t> </w:t>
      </w:r>
      <w:r>
        <w:rPr>
          <w:color w:val="231F20"/>
        </w:rPr>
        <w:t>Congo-Léopoldville.</w:t>
      </w:r>
      <w:r>
        <w:rPr>
          <w:color w:val="231F20"/>
          <w:spacing w:val="-11"/>
        </w:rPr>
        <w:t> </w:t>
      </w:r>
      <w:r>
        <w:rPr>
          <w:color w:val="231F20"/>
        </w:rPr>
        <w:t>En</w:t>
      </w:r>
      <w:r>
        <w:rPr>
          <w:color w:val="231F20"/>
          <w:spacing w:val="-5"/>
        </w:rPr>
        <w:t> </w:t>
      </w:r>
      <w:r>
        <w:rPr>
          <w:color w:val="231F20"/>
        </w:rPr>
        <w:t>1966,</w:t>
      </w:r>
      <w:r>
        <w:rPr>
          <w:color w:val="231F20"/>
          <w:spacing w:val="-5"/>
        </w:rPr>
        <w:t> </w:t>
      </w:r>
      <w:r>
        <w:rPr>
          <w:color w:val="231F20"/>
        </w:rPr>
        <w:t>le</w:t>
      </w:r>
      <w:r>
        <w:rPr>
          <w:color w:val="231F20"/>
          <w:spacing w:val="-3"/>
        </w:rPr>
        <w:t> </w:t>
      </w:r>
      <w:r>
        <w:rPr>
          <w:color w:val="231F20"/>
        </w:rPr>
        <w:t>pays</w:t>
      </w:r>
      <w:r>
        <w:rPr>
          <w:color w:val="231F20"/>
          <w:spacing w:val="-3"/>
        </w:rPr>
        <w:t> </w:t>
      </w:r>
      <w:r>
        <w:rPr>
          <w:color w:val="231F20"/>
        </w:rPr>
        <w:t>est</w:t>
      </w:r>
      <w:r>
        <w:rPr>
          <w:color w:val="231F20"/>
          <w:spacing w:val="-3"/>
        </w:rPr>
        <w:t> </w:t>
      </w:r>
      <w:r>
        <w:rPr>
          <w:color w:val="231F20"/>
        </w:rPr>
        <w:t>appelé</w:t>
      </w:r>
      <w:r>
        <w:rPr>
          <w:color w:val="231F20"/>
          <w:spacing w:val="-3"/>
        </w:rPr>
        <w:t> </w:t>
      </w:r>
      <w:r>
        <w:rPr>
          <w:color w:val="231F20"/>
        </w:rPr>
        <w:t>Congo-</w:t>
      </w:r>
      <w:r>
        <w:rPr>
          <w:color w:val="231F20"/>
          <w:spacing w:val="-2"/>
        </w:rPr>
        <w:t>Kinshasa.</w:t>
      </w:r>
    </w:p>
    <w:p>
      <w:pPr>
        <w:pStyle w:val="BodyText"/>
        <w:spacing w:before="9"/>
        <w:ind w:left="0"/>
        <w:jc w:val="left"/>
        <w:rPr>
          <w:sz w:val="12"/>
        </w:rPr>
      </w:pPr>
      <w:r>
        <w:rPr/>
        <mc:AlternateContent>
          <mc:Choice Requires="wps">
            <w:drawing>
              <wp:anchor distT="0" distB="0" distL="0" distR="0" allowOverlap="1" layoutInCell="1" locked="0" behindDoc="1" simplePos="0" relativeHeight="487600128">
                <wp:simplePos x="0" y="0"/>
                <wp:positionH relativeFrom="page">
                  <wp:posOffset>629907</wp:posOffset>
                </wp:positionH>
                <wp:positionV relativeFrom="paragraph">
                  <wp:posOffset>108742</wp:posOffset>
                </wp:positionV>
                <wp:extent cx="1829435" cy="952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8.562403pt;width:144.020pt;height:.72pt;mso-position-horizontal-relative:page;mso-position-vertical-relative:paragraph;z-index:-15716352;mso-wrap-distance-left:0;mso-wrap-distance-right:0" id="docshape37" filled="true" fillcolor="#231f20" stroked="false">
                <v:fill type="solid"/>
                <w10:wrap type="topAndBottom"/>
              </v:rect>
            </w:pict>
          </mc:Fallback>
        </mc:AlternateContent>
      </w:r>
    </w:p>
    <w:p>
      <w:pPr>
        <w:spacing w:before="91"/>
        <w:ind w:left="111" w:right="104" w:hanging="1"/>
        <w:jc w:val="both"/>
        <w:rPr>
          <w:sz w:val="20"/>
        </w:rPr>
      </w:pPr>
      <w:r>
        <w:rPr>
          <w:color w:val="76787A"/>
          <w:spacing w:val="-2"/>
          <w:sz w:val="20"/>
          <w:vertAlign w:val="superscript"/>
        </w:rPr>
        <w:t>41</w:t>
      </w:r>
      <w:r>
        <w:rPr>
          <w:color w:val="76787A"/>
          <w:spacing w:val="-11"/>
          <w:sz w:val="20"/>
          <w:vertAlign w:val="baseline"/>
        </w:rPr>
        <w:t> </w:t>
      </w:r>
      <w:r>
        <w:rPr>
          <w:color w:val="231F20"/>
          <w:spacing w:val="-2"/>
          <w:sz w:val="20"/>
          <w:vertAlign w:val="baseline"/>
        </w:rPr>
        <w:t>Sources</w:t>
      </w:r>
      <w:r>
        <w:rPr>
          <w:color w:val="231F20"/>
          <w:spacing w:val="-10"/>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Gauthier</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Villers,</w:t>
      </w:r>
      <w:r>
        <w:rPr>
          <w:color w:val="231F20"/>
          <w:spacing w:val="-10"/>
          <w:sz w:val="20"/>
          <w:vertAlign w:val="baseline"/>
        </w:rPr>
        <w:t> </w:t>
      </w:r>
      <w:r>
        <w:rPr>
          <w:i/>
          <w:color w:val="231F20"/>
          <w:spacing w:val="-2"/>
          <w:sz w:val="20"/>
          <w:vertAlign w:val="baseline"/>
        </w:rPr>
        <w:t>De</w:t>
      </w:r>
      <w:r>
        <w:rPr>
          <w:i/>
          <w:color w:val="231F20"/>
          <w:spacing w:val="-11"/>
          <w:sz w:val="20"/>
          <w:vertAlign w:val="baseline"/>
        </w:rPr>
        <w:t> </w:t>
      </w:r>
      <w:r>
        <w:rPr>
          <w:i/>
          <w:color w:val="231F20"/>
          <w:spacing w:val="-2"/>
          <w:sz w:val="20"/>
          <w:vertAlign w:val="baseline"/>
        </w:rPr>
        <w:t>Mobutu</w:t>
      </w:r>
      <w:r>
        <w:rPr>
          <w:i/>
          <w:color w:val="231F20"/>
          <w:spacing w:val="-10"/>
          <w:sz w:val="20"/>
          <w:vertAlign w:val="baseline"/>
        </w:rPr>
        <w:t> </w:t>
      </w:r>
      <w:r>
        <w:rPr>
          <w:i/>
          <w:color w:val="231F20"/>
          <w:spacing w:val="-2"/>
          <w:sz w:val="20"/>
          <w:vertAlign w:val="baseline"/>
        </w:rPr>
        <w:t>à</w:t>
      </w:r>
      <w:r>
        <w:rPr>
          <w:i/>
          <w:color w:val="231F20"/>
          <w:spacing w:val="-10"/>
          <w:sz w:val="20"/>
          <w:vertAlign w:val="baseline"/>
        </w:rPr>
        <w:t> </w:t>
      </w:r>
      <w:r>
        <w:rPr>
          <w:i/>
          <w:color w:val="231F20"/>
          <w:spacing w:val="-2"/>
          <w:sz w:val="20"/>
          <w:vertAlign w:val="baseline"/>
        </w:rPr>
        <w:t>Mobutu:</w:t>
      </w:r>
      <w:r>
        <w:rPr>
          <w:i/>
          <w:color w:val="231F20"/>
          <w:spacing w:val="-10"/>
          <w:sz w:val="20"/>
          <w:vertAlign w:val="baseline"/>
        </w:rPr>
        <w:t> </w:t>
      </w:r>
      <w:r>
        <w:rPr>
          <w:i/>
          <w:color w:val="231F20"/>
          <w:spacing w:val="-2"/>
          <w:sz w:val="20"/>
          <w:vertAlign w:val="baseline"/>
        </w:rPr>
        <w:t>trente</w:t>
      </w:r>
      <w:r>
        <w:rPr>
          <w:i/>
          <w:color w:val="231F20"/>
          <w:spacing w:val="-11"/>
          <w:sz w:val="20"/>
          <w:vertAlign w:val="baseline"/>
        </w:rPr>
        <w:t> </w:t>
      </w:r>
      <w:r>
        <w:rPr>
          <w:i/>
          <w:color w:val="231F20"/>
          <w:spacing w:val="-2"/>
          <w:sz w:val="20"/>
          <w:vertAlign w:val="baseline"/>
        </w:rPr>
        <w:t>ans</w:t>
      </w:r>
      <w:r>
        <w:rPr>
          <w:i/>
          <w:color w:val="231F20"/>
          <w:spacing w:val="-10"/>
          <w:sz w:val="20"/>
          <w:vertAlign w:val="baseline"/>
        </w:rPr>
        <w:t> </w:t>
      </w:r>
      <w:r>
        <w:rPr>
          <w:i/>
          <w:color w:val="231F20"/>
          <w:spacing w:val="-2"/>
          <w:sz w:val="20"/>
          <w:vertAlign w:val="baseline"/>
        </w:rPr>
        <w:t>de</w:t>
      </w:r>
      <w:r>
        <w:rPr>
          <w:i/>
          <w:color w:val="231F20"/>
          <w:spacing w:val="-11"/>
          <w:sz w:val="20"/>
          <w:vertAlign w:val="baseline"/>
        </w:rPr>
        <w:t> </w:t>
      </w:r>
      <w:r>
        <w:rPr>
          <w:i/>
          <w:color w:val="231F20"/>
          <w:spacing w:val="-2"/>
          <w:sz w:val="20"/>
          <w:vertAlign w:val="baseline"/>
        </w:rPr>
        <w:t>relations</w:t>
      </w:r>
      <w:r>
        <w:rPr>
          <w:i/>
          <w:color w:val="231F20"/>
          <w:spacing w:val="-10"/>
          <w:sz w:val="20"/>
          <w:vertAlign w:val="baseline"/>
        </w:rPr>
        <w:t> </w:t>
      </w:r>
      <w:r>
        <w:rPr>
          <w:i/>
          <w:color w:val="231F20"/>
          <w:spacing w:val="-2"/>
          <w:sz w:val="20"/>
          <w:vertAlign w:val="baseline"/>
        </w:rPr>
        <w:t>Belgique-</w:t>
      </w:r>
      <w:r>
        <w:rPr>
          <w:i/>
          <w:color w:val="231F20"/>
          <w:spacing w:val="-2"/>
          <w:sz w:val="20"/>
          <w:vertAlign w:val="baseline"/>
        </w:rPr>
        <w:t> </w:t>
      </w:r>
      <w:r>
        <w:rPr>
          <w:i/>
          <w:color w:val="231F20"/>
          <w:sz w:val="20"/>
          <w:vertAlign w:val="baseline"/>
        </w:rPr>
        <w:t>Zaïre</w:t>
      </w:r>
      <w:r>
        <w:rPr>
          <w:i/>
          <w:color w:val="231F20"/>
          <w:spacing w:val="-13"/>
          <w:sz w:val="20"/>
          <w:vertAlign w:val="baseline"/>
        </w:rPr>
        <w:t> </w:t>
      </w:r>
      <w:r>
        <w:rPr>
          <w:color w:val="231F20"/>
          <w:sz w:val="20"/>
          <w:vertAlign w:val="baseline"/>
        </w:rPr>
        <w:t>;</w:t>
      </w:r>
      <w:r>
        <w:rPr>
          <w:color w:val="231F20"/>
          <w:spacing w:val="-12"/>
          <w:sz w:val="20"/>
          <w:vertAlign w:val="baseline"/>
        </w:rPr>
        <w:t> </w:t>
      </w:r>
      <w:r>
        <w:rPr>
          <w:color w:val="231F20"/>
          <w:sz w:val="20"/>
          <w:vertAlign w:val="baseline"/>
        </w:rPr>
        <w:t>Ludo</w:t>
      </w:r>
      <w:r>
        <w:rPr>
          <w:color w:val="231F20"/>
          <w:spacing w:val="-13"/>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Witte,</w:t>
      </w:r>
      <w:r>
        <w:rPr>
          <w:color w:val="231F20"/>
          <w:spacing w:val="-8"/>
          <w:sz w:val="20"/>
          <w:vertAlign w:val="baseline"/>
        </w:rPr>
        <w:t> </w:t>
      </w:r>
      <w:r>
        <w:rPr>
          <w:i/>
          <w:color w:val="231F20"/>
          <w:sz w:val="20"/>
          <w:vertAlign w:val="baseline"/>
        </w:rPr>
        <w:t>L'assassinat</w:t>
      </w:r>
      <w:r>
        <w:rPr>
          <w:i/>
          <w:color w:val="231F20"/>
          <w:spacing w:val="-12"/>
          <w:sz w:val="20"/>
          <w:vertAlign w:val="baseline"/>
        </w:rPr>
        <w:t> </w:t>
      </w:r>
      <w:r>
        <w:rPr>
          <w:i/>
          <w:color w:val="231F20"/>
          <w:sz w:val="20"/>
          <w:vertAlign w:val="baseline"/>
        </w:rPr>
        <w:t>de</w:t>
      </w:r>
      <w:r>
        <w:rPr>
          <w:i/>
          <w:color w:val="231F20"/>
          <w:spacing w:val="-11"/>
          <w:sz w:val="20"/>
          <w:vertAlign w:val="baseline"/>
        </w:rPr>
        <w:t> </w:t>
      </w:r>
      <w:r>
        <w:rPr>
          <w:i/>
          <w:color w:val="231F20"/>
          <w:sz w:val="20"/>
          <w:vertAlign w:val="baseline"/>
        </w:rPr>
        <w:t>Lumumba</w:t>
      </w:r>
      <w:r>
        <w:rPr>
          <w:color w:val="231F20"/>
          <w:sz w:val="20"/>
          <w:vertAlign w:val="baseline"/>
        </w:rPr>
        <w:t>,</w:t>
      </w:r>
      <w:r>
        <w:rPr>
          <w:color w:val="231F20"/>
          <w:spacing w:val="-11"/>
          <w:sz w:val="20"/>
          <w:vertAlign w:val="baseline"/>
        </w:rPr>
        <w:t> </w:t>
      </w:r>
      <w:r>
        <w:rPr>
          <w:color w:val="231F20"/>
          <w:sz w:val="20"/>
          <w:vertAlign w:val="baseline"/>
        </w:rPr>
        <w:t>Karthala</w:t>
      </w:r>
      <w:r>
        <w:rPr>
          <w:color w:val="231F20"/>
          <w:spacing w:val="-10"/>
          <w:sz w:val="20"/>
          <w:vertAlign w:val="baseline"/>
        </w:rPr>
        <w:t> </w:t>
      </w:r>
      <w:r>
        <w:rPr>
          <w:color w:val="231F20"/>
          <w:sz w:val="20"/>
          <w:vertAlign w:val="baseline"/>
        </w:rPr>
        <w:t>éditions,</w:t>
      </w:r>
      <w:r>
        <w:rPr>
          <w:color w:val="231F20"/>
          <w:spacing w:val="-11"/>
          <w:sz w:val="20"/>
          <w:vertAlign w:val="baseline"/>
        </w:rPr>
        <w:t> </w:t>
      </w:r>
      <w:r>
        <w:rPr>
          <w:color w:val="231F20"/>
          <w:sz w:val="20"/>
          <w:vertAlign w:val="baseline"/>
        </w:rPr>
        <w:t>2000</w:t>
      </w:r>
      <w:r>
        <w:rPr>
          <w:color w:val="231F20"/>
          <w:spacing w:val="-13"/>
          <w:sz w:val="20"/>
          <w:vertAlign w:val="baseline"/>
        </w:rPr>
        <w:t> </w:t>
      </w:r>
      <w:r>
        <w:rPr>
          <w:color w:val="231F20"/>
          <w:sz w:val="20"/>
          <w:vertAlign w:val="baseline"/>
        </w:rPr>
        <w:t>;</w:t>
      </w:r>
      <w:r>
        <w:rPr>
          <w:color w:val="231F20"/>
          <w:spacing w:val="-11"/>
          <w:sz w:val="20"/>
          <w:vertAlign w:val="baseline"/>
        </w:rPr>
        <w:t> </w:t>
      </w:r>
      <w:r>
        <w:rPr>
          <w:color w:val="231F20"/>
          <w:sz w:val="20"/>
          <w:vertAlign w:val="baseline"/>
        </w:rPr>
        <w:t>Les</w:t>
      </w:r>
      <w:r>
        <w:rPr>
          <w:color w:val="231F20"/>
          <w:spacing w:val="-11"/>
          <w:sz w:val="20"/>
          <w:vertAlign w:val="baseline"/>
        </w:rPr>
        <w:t> </w:t>
      </w:r>
      <w:r>
        <w:rPr>
          <w:color w:val="231F20"/>
          <w:sz w:val="20"/>
          <w:vertAlign w:val="baseline"/>
        </w:rPr>
        <w:t>années Mobutu (1965-1989): l'accroissement exponentiel d'une dette odieuse; Ngimbi Kalumvueziko, </w:t>
      </w:r>
      <w:r>
        <w:rPr>
          <w:i/>
          <w:color w:val="231F20"/>
          <w:sz w:val="20"/>
          <w:vertAlign w:val="baseline"/>
        </w:rPr>
        <w:t>Congo-Zaïre: Le destin tragique d'une nation</w:t>
      </w:r>
      <w:r>
        <w:rPr>
          <w:color w:val="231F20"/>
          <w:sz w:val="20"/>
          <w:vertAlign w:val="baseline"/>
        </w:rPr>
        <w:t>, L'Harmattan</w:t>
      </w:r>
      <w:r>
        <w:rPr>
          <w:color w:val="231F20"/>
          <w:spacing w:val="-13"/>
          <w:sz w:val="20"/>
          <w:vertAlign w:val="baseline"/>
        </w:rPr>
        <w:t> </w:t>
      </w:r>
      <w:r>
        <w:rPr>
          <w:color w:val="231F20"/>
          <w:sz w:val="20"/>
          <w:vertAlign w:val="baseline"/>
        </w:rPr>
        <w:t>; Isidore Ndaywel</w:t>
      </w:r>
      <w:r>
        <w:rPr>
          <w:color w:val="231F20"/>
          <w:spacing w:val="-13"/>
          <w:sz w:val="20"/>
          <w:vertAlign w:val="baseline"/>
        </w:rPr>
        <w:t> </w:t>
      </w:r>
      <w:r>
        <w:rPr>
          <w:color w:val="231F20"/>
          <w:sz w:val="20"/>
          <w:vertAlign w:val="baseline"/>
        </w:rPr>
        <w:t>è</w:t>
      </w:r>
      <w:r>
        <w:rPr>
          <w:color w:val="231F20"/>
          <w:spacing w:val="-12"/>
          <w:sz w:val="20"/>
          <w:vertAlign w:val="baseline"/>
        </w:rPr>
        <w:t> </w:t>
      </w:r>
      <w:r>
        <w:rPr>
          <w:color w:val="231F20"/>
          <w:sz w:val="20"/>
          <w:vertAlign w:val="baseline"/>
        </w:rPr>
        <w:t>Nziem,</w:t>
      </w:r>
      <w:r>
        <w:rPr>
          <w:color w:val="231F20"/>
          <w:spacing w:val="-13"/>
          <w:sz w:val="20"/>
          <w:vertAlign w:val="baseline"/>
        </w:rPr>
        <w:t> </w:t>
      </w:r>
      <w:r>
        <w:rPr>
          <w:color w:val="231F20"/>
          <w:sz w:val="20"/>
          <w:vertAlign w:val="baseline"/>
        </w:rPr>
        <w:t>Théophile</w:t>
      </w:r>
      <w:r>
        <w:rPr>
          <w:color w:val="231F20"/>
          <w:spacing w:val="-12"/>
          <w:sz w:val="20"/>
          <w:vertAlign w:val="baseline"/>
        </w:rPr>
        <w:t> </w:t>
      </w:r>
      <w:r>
        <w:rPr>
          <w:color w:val="231F20"/>
          <w:sz w:val="20"/>
          <w:vertAlign w:val="baseline"/>
        </w:rPr>
        <w:t>Obenga,</w:t>
      </w:r>
      <w:r>
        <w:rPr>
          <w:color w:val="231F20"/>
          <w:spacing w:val="-13"/>
          <w:sz w:val="20"/>
          <w:vertAlign w:val="baseline"/>
        </w:rPr>
        <w:t> </w:t>
      </w:r>
      <w:r>
        <w:rPr>
          <w:color w:val="231F20"/>
          <w:sz w:val="20"/>
          <w:vertAlign w:val="baseline"/>
        </w:rPr>
        <w:t>Pierre</w:t>
      </w:r>
      <w:r>
        <w:rPr>
          <w:color w:val="231F20"/>
          <w:spacing w:val="-12"/>
          <w:sz w:val="20"/>
          <w:vertAlign w:val="baseline"/>
        </w:rPr>
        <w:t> </w:t>
      </w:r>
      <w:r>
        <w:rPr>
          <w:color w:val="231F20"/>
          <w:sz w:val="20"/>
          <w:vertAlign w:val="baseline"/>
        </w:rPr>
        <w:t>Salmon,</w:t>
      </w:r>
      <w:r>
        <w:rPr>
          <w:color w:val="231F20"/>
          <w:spacing w:val="-11"/>
          <w:sz w:val="20"/>
          <w:vertAlign w:val="baseline"/>
        </w:rPr>
        <w:t> </w:t>
      </w:r>
      <w:r>
        <w:rPr>
          <w:i/>
          <w:color w:val="231F20"/>
          <w:sz w:val="20"/>
          <w:vertAlign w:val="baseline"/>
        </w:rPr>
        <w:t>Histoire</w:t>
      </w:r>
      <w:r>
        <w:rPr>
          <w:i/>
          <w:color w:val="231F20"/>
          <w:spacing w:val="-12"/>
          <w:sz w:val="20"/>
          <w:vertAlign w:val="baseline"/>
        </w:rPr>
        <w:t> </w:t>
      </w:r>
      <w:r>
        <w:rPr>
          <w:i/>
          <w:color w:val="231F20"/>
          <w:sz w:val="20"/>
          <w:vertAlign w:val="baseline"/>
        </w:rPr>
        <w:t>générale</w:t>
      </w:r>
      <w:r>
        <w:rPr>
          <w:i/>
          <w:color w:val="231F20"/>
          <w:spacing w:val="-13"/>
          <w:sz w:val="20"/>
          <w:vertAlign w:val="baseline"/>
        </w:rPr>
        <w:t> </w:t>
      </w:r>
      <w:r>
        <w:rPr>
          <w:i/>
          <w:color w:val="231F20"/>
          <w:sz w:val="20"/>
          <w:vertAlign w:val="baseline"/>
        </w:rPr>
        <w:t>du</w:t>
      </w:r>
      <w:r>
        <w:rPr>
          <w:i/>
          <w:color w:val="231F20"/>
          <w:spacing w:val="-12"/>
          <w:sz w:val="20"/>
          <w:vertAlign w:val="baseline"/>
        </w:rPr>
        <w:t> </w:t>
      </w:r>
      <w:r>
        <w:rPr>
          <w:i/>
          <w:color w:val="231F20"/>
          <w:sz w:val="20"/>
          <w:vertAlign w:val="baseline"/>
        </w:rPr>
        <w:t>Congo:</w:t>
      </w:r>
      <w:r>
        <w:rPr>
          <w:i/>
          <w:color w:val="231F20"/>
          <w:spacing w:val="-13"/>
          <w:sz w:val="20"/>
          <w:vertAlign w:val="baseline"/>
        </w:rPr>
        <w:t> </w:t>
      </w:r>
      <w:r>
        <w:rPr>
          <w:i/>
          <w:color w:val="231F20"/>
          <w:sz w:val="20"/>
          <w:vertAlign w:val="baseline"/>
        </w:rPr>
        <w:t>de</w:t>
      </w:r>
      <w:r>
        <w:rPr>
          <w:i/>
          <w:color w:val="231F20"/>
          <w:sz w:val="20"/>
          <w:vertAlign w:val="baseline"/>
        </w:rPr>
        <w:t> </w:t>
      </w:r>
      <w:r>
        <w:rPr>
          <w:i/>
          <w:color w:val="231F20"/>
          <w:spacing w:val="-4"/>
          <w:sz w:val="20"/>
          <w:vertAlign w:val="baseline"/>
        </w:rPr>
        <w:t>l'héritage ancien à la république démocratique ;Mobutu roi du Zaïre</w:t>
      </w:r>
      <w:r>
        <w:rPr>
          <w:color w:val="231F20"/>
          <w:spacing w:val="-4"/>
          <w:sz w:val="20"/>
          <w:vertAlign w:val="baseline"/>
        </w:rPr>
        <w:t>,</w:t>
      </w:r>
      <w:r>
        <w:rPr>
          <w:color w:val="231F20"/>
          <w:spacing w:val="-5"/>
          <w:sz w:val="20"/>
          <w:vertAlign w:val="baseline"/>
        </w:rPr>
        <w:t> </w:t>
      </w:r>
      <w:r>
        <w:rPr>
          <w:color w:val="231F20"/>
          <w:spacing w:val="-4"/>
          <w:sz w:val="20"/>
          <w:vertAlign w:val="baseline"/>
        </w:rPr>
        <w:t>film documentaire </w:t>
      </w:r>
      <w:r>
        <w:rPr>
          <w:color w:val="231F20"/>
          <w:sz w:val="20"/>
          <w:vertAlign w:val="baseline"/>
        </w:rPr>
        <w:t>de Thierry Michel, 1999.</w:t>
      </w:r>
    </w:p>
    <w:p>
      <w:pPr>
        <w:spacing w:before="2"/>
        <w:ind w:left="111" w:right="104" w:firstLine="0"/>
        <w:jc w:val="both"/>
        <w:rPr>
          <w:sz w:val="20"/>
        </w:rPr>
      </w:pPr>
      <w:r>
        <w:rPr>
          <w:color w:val="76787A"/>
          <w:spacing w:val="-4"/>
          <w:sz w:val="20"/>
          <w:vertAlign w:val="superscript"/>
        </w:rPr>
        <w:t>42</w:t>
      </w:r>
      <w:r>
        <w:rPr>
          <w:color w:val="231F20"/>
          <w:spacing w:val="-4"/>
          <w:sz w:val="20"/>
          <w:vertAlign w:val="baseline"/>
        </w:rPr>
        <w:t>«</w:t>
      </w:r>
      <w:r>
        <w:rPr>
          <w:color w:val="231F20"/>
          <w:spacing w:val="-9"/>
          <w:sz w:val="20"/>
          <w:vertAlign w:val="baseline"/>
        </w:rPr>
        <w:t> </w:t>
      </w:r>
      <w:r>
        <w:rPr>
          <w:color w:val="231F20"/>
          <w:spacing w:val="-4"/>
          <w:sz w:val="20"/>
          <w:vertAlign w:val="baseline"/>
        </w:rPr>
        <w:t>nous</w:t>
      </w:r>
      <w:r>
        <w:rPr>
          <w:color w:val="231F20"/>
          <w:spacing w:val="-8"/>
          <w:sz w:val="20"/>
          <w:vertAlign w:val="baseline"/>
        </w:rPr>
        <w:t> </w:t>
      </w:r>
      <w:r>
        <w:rPr>
          <w:color w:val="231F20"/>
          <w:spacing w:val="-4"/>
          <w:sz w:val="20"/>
          <w:vertAlign w:val="baseline"/>
        </w:rPr>
        <w:t>avons</w:t>
      </w:r>
      <w:r>
        <w:rPr>
          <w:color w:val="231F20"/>
          <w:spacing w:val="-9"/>
          <w:sz w:val="20"/>
          <w:vertAlign w:val="baseline"/>
        </w:rPr>
        <w:t> </w:t>
      </w:r>
      <w:r>
        <w:rPr>
          <w:color w:val="231F20"/>
          <w:spacing w:val="-4"/>
          <w:sz w:val="20"/>
          <w:vertAlign w:val="baseline"/>
        </w:rPr>
        <w:t>obtenu</w:t>
      </w:r>
      <w:r>
        <w:rPr>
          <w:color w:val="231F20"/>
          <w:spacing w:val="-8"/>
          <w:sz w:val="20"/>
          <w:vertAlign w:val="baseline"/>
        </w:rPr>
        <w:t> </w:t>
      </w:r>
      <w:r>
        <w:rPr>
          <w:color w:val="231F20"/>
          <w:spacing w:val="-4"/>
          <w:sz w:val="20"/>
          <w:vertAlign w:val="baseline"/>
        </w:rPr>
        <w:t>l’indépendance/</w:t>
      </w:r>
      <w:r>
        <w:rPr>
          <w:color w:val="231F20"/>
          <w:spacing w:val="-9"/>
          <w:sz w:val="20"/>
          <w:vertAlign w:val="baseline"/>
        </w:rPr>
        <w:t> </w:t>
      </w:r>
      <w:r>
        <w:rPr>
          <w:color w:val="231F20"/>
          <w:spacing w:val="-4"/>
          <w:sz w:val="20"/>
          <w:vertAlign w:val="baseline"/>
        </w:rPr>
        <w:t>nous</w:t>
      </w:r>
      <w:r>
        <w:rPr>
          <w:color w:val="231F20"/>
          <w:spacing w:val="-8"/>
          <w:sz w:val="20"/>
          <w:vertAlign w:val="baseline"/>
        </w:rPr>
        <w:t> </w:t>
      </w:r>
      <w:r>
        <w:rPr>
          <w:color w:val="231F20"/>
          <w:spacing w:val="-4"/>
          <w:sz w:val="20"/>
          <w:vertAlign w:val="baseline"/>
        </w:rPr>
        <w:t>voici</w:t>
      </w:r>
      <w:r>
        <w:rPr>
          <w:color w:val="231F20"/>
          <w:spacing w:val="-9"/>
          <w:sz w:val="20"/>
          <w:vertAlign w:val="baseline"/>
        </w:rPr>
        <w:t> </w:t>
      </w:r>
      <w:r>
        <w:rPr>
          <w:color w:val="231F20"/>
          <w:spacing w:val="-4"/>
          <w:sz w:val="20"/>
          <w:vertAlign w:val="baseline"/>
        </w:rPr>
        <w:t>enfin</w:t>
      </w:r>
      <w:r>
        <w:rPr>
          <w:color w:val="231F20"/>
          <w:spacing w:val="-8"/>
          <w:sz w:val="20"/>
          <w:vertAlign w:val="baseline"/>
        </w:rPr>
        <w:t> </w:t>
      </w:r>
      <w:r>
        <w:rPr>
          <w:color w:val="231F20"/>
          <w:spacing w:val="-4"/>
          <w:sz w:val="20"/>
          <w:vertAlign w:val="baseline"/>
        </w:rPr>
        <w:t>libres/</w:t>
      </w:r>
      <w:r>
        <w:rPr>
          <w:color w:val="231F20"/>
          <w:spacing w:val="-9"/>
          <w:sz w:val="20"/>
          <w:vertAlign w:val="baseline"/>
        </w:rPr>
        <w:t> </w:t>
      </w:r>
      <w:r>
        <w:rPr>
          <w:color w:val="231F20"/>
          <w:spacing w:val="-4"/>
          <w:sz w:val="20"/>
          <w:vertAlign w:val="baseline"/>
        </w:rPr>
        <w:t>a</w:t>
      </w:r>
      <w:r>
        <w:rPr>
          <w:color w:val="231F20"/>
          <w:spacing w:val="-8"/>
          <w:sz w:val="20"/>
          <w:vertAlign w:val="baseline"/>
        </w:rPr>
        <w:t> </w:t>
      </w:r>
      <w:r>
        <w:rPr>
          <w:color w:val="231F20"/>
          <w:spacing w:val="-4"/>
          <w:sz w:val="20"/>
          <w:vertAlign w:val="baseline"/>
        </w:rPr>
        <w:t>la</w:t>
      </w:r>
      <w:r>
        <w:rPr>
          <w:color w:val="231F20"/>
          <w:spacing w:val="-9"/>
          <w:sz w:val="20"/>
          <w:vertAlign w:val="baseline"/>
        </w:rPr>
        <w:t> </w:t>
      </w:r>
      <w:r>
        <w:rPr>
          <w:color w:val="231F20"/>
          <w:spacing w:val="-4"/>
          <w:sz w:val="20"/>
          <w:vertAlign w:val="baseline"/>
        </w:rPr>
        <w:t>table</w:t>
      </w:r>
      <w:r>
        <w:rPr>
          <w:color w:val="231F20"/>
          <w:spacing w:val="-8"/>
          <w:sz w:val="20"/>
          <w:vertAlign w:val="baseline"/>
        </w:rPr>
        <w:t> </w:t>
      </w:r>
      <w:r>
        <w:rPr>
          <w:color w:val="231F20"/>
          <w:spacing w:val="-4"/>
          <w:sz w:val="20"/>
          <w:vertAlign w:val="baseline"/>
        </w:rPr>
        <w:t>ronde</w:t>
      </w:r>
      <w:r>
        <w:rPr>
          <w:color w:val="231F20"/>
          <w:spacing w:val="-9"/>
          <w:sz w:val="20"/>
          <w:vertAlign w:val="baseline"/>
        </w:rPr>
        <w:t> </w:t>
      </w:r>
      <w:r>
        <w:rPr>
          <w:color w:val="231F20"/>
          <w:spacing w:val="-4"/>
          <w:sz w:val="20"/>
          <w:vertAlign w:val="baseline"/>
        </w:rPr>
        <w:t>nous</w:t>
      </w:r>
      <w:r>
        <w:rPr>
          <w:color w:val="231F20"/>
          <w:spacing w:val="-8"/>
          <w:sz w:val="20"/>
          <w:vertAlign w:val="baseline"/>
        </w:rPr>
        <w:t> </w:t>
      </w:r>
      <w:r>
        <w:rPr>
          <w:color w:val="231F20"/>
          <w:spacing w:val="-4"/>
          <w:sz w:val="20"/>
          <w:vertAlign w:val="baseline"/>
        </w:rPr>
        <w:t>avons </w:t>
      </w:r>
      <w:r>
        <w:rPr>
          <w:color w:val="231F20"/>
          <w:spacing w:val="-2"/>
          <w:sz w:val="20"/>
          <w:vertAlign w:val="baseline"/>
        </w:rPr>
        <w:t>gagné/</w:t>
      </w:r>
      <w:r>
        <w:rPr>
          <w:color w:val="231F20"/>
          <w:spacing w:val="-8"/>
          <w:sz w:val="20"/>
          <w:vertAlign w:val="baseline"/>
        </w:rPr>
        <w:t> </w:t>
      </w:r>
      <w:r>
        <w:rPr>
          <w:color w:val="231F20"/>
          <w:spacing w:val="-2"/>
          <w:sz w:val="20"/>
          <w:vertAlign w:val="baseline"/>
        </w:rPr>
        <w:t>vive l’indépendance</w:t>
      </w:r>
      <w:r>
        <w:rPr>
          <w:color w:val="231F20"/>
          <w:spacing w:val="-5"/>
          <w:sz w:val="20"/>
          <w:vertAlign w:val="baseline"/>
        </w:rPr>
        <w:t> </w:t>
      </w:r>
      <w:r>
        <w:rPr>
          <w:color w:val="231F20"/>
          <w:spacing w:val="-2"/>
          <w:sz w:val="20"/>
          <w:vertAlign w:val="baseline"/>
        </w:rPr>
        <w:t>que</w:t>
      </w:r>
      <w:r>
        <w:rPr>
          <w:color w:val="231F20"/>
          <w:spacing w:val="-5"/>
          <w:sz w:val="20"/>
          <w:vertAlign w:val="baseline"/>
        </w:rPr>
        <w:t> </w:t>
      </w:r>
      <w:r>
        <w:rPr>
          <w:color w:val="231F20"/>
          <w:spacing w:val="-2"/>
          <w:sz w:val="20"/>
          <w:vertAlign w:val="baseline"/>
        </w:rPr>
        <w:t>nous</w:t>
      </w:r>
      <w:r>
        <w:rPr>
          <w:color w:val="231F20"/>
          <w:spacing w:val="-4"/>
          <w:sz w:val="20"/>
          <w:vertAlign w:val="baseline"/>
        </w:rPr>
        <w:t> </w:t>
      </w:r>
      <w:r>
        <w:rPr>
          <w:color w:val="231F20"/>
          <w:spacing w:val="-2"/>
          <w:sz w:val="20"/>
          <w:vertAlign w:val="baseline"/>
        </w:rPr>
        <w:t>avons</w:t>
      </w:r>
      <w:r>
        <w:rPr>
          <w:color w:val="231F20"/>
          <w:spacing w:val="-6"/>
          <w:sz w:val="20"/>
          <w:vertAlign w:val="baseline"/>
        </w:rPr>
        <w:t> </w:t>
      </w:r>
      <w:r>
        <w:rPr>
          <w:color w:val="231F20"/>
          <w:spacing w:val="-2"/>
          <w:sz w:val="20"/>
          <w:vertAlign w:val="baseline"/>
        </w:rPr>
        <w:t>gagnée</w:t>
      </w:r>
      <w:r>
        <w:rPr>
          <w:color w:val="231F20"/>
          <w:spacing w:val="-10"/>
          <w:sz w:val="20"/>
          <w:vertAlign w:val="baseline"/>
        </w:rPr>
        <w:t> </w:t>
      </w:r>
      <w:r>
        <w:rPr>
          <w:color w:val="231F20"/>
          <w:spacing w:val="-2"/>
          <w:sz w:val="20"/>
          <w:vertAlign w:val="baseline"/>
        </w:rPr>
        <w:t>,»</w:t>
      </w:r>
      <w:r>
        <w:rPr>
          <w:color w:val="231F20"/>
          <w:spacing w:val="-4"/>
          <w:sz w:val="20"/>
          <w:vertAlign w:val="baseline"/>
        </w:rPr>
        <w:t> </w:t>
      </w:r>
      <w:r>
        <w:rPr>
          <w:color w:val="231F20"/>
          <w:spacing w:val="-2"/>
          <w:sz w:val="20"/>
          <w:vertAlign w:val="baseline"/>
        </w:rPr>
        <w:t>chanson</w:t>
      </w:r>
      <w:r>
        <w:rPr>
          <w:color w:val="231F20"/>
          <w:spacing w:val="-4"/>
          <w:sz w:val="20"/>
          <w:vertAlign w:val="baseline"/>
        </w:rPr>
        <w:t> </w:t>
      </w:r>
      <w:r>
        <w:rPr>
          <w:color w:val="231F20"/>
          <w:spacing w:val="-2"/>
          <w:sz w:val="20"/>
          <w:vertAlign w:val="baseline"/>
        </w:rPr>
        <w:t>créée</w:t>
      </w:r>
      <w:r>
        <w:rPr>
          <w:color w:val="231F20"/>
          <w:spacing w:val="-5"/>
          <w:sz w:val="20"/>
          <w:vertAlign w:val="baseline"/>
        </w:rPr>
        <w:t> </w:t>
      </w:r>
      <w:r>
        <w:rPr>
          <w:color w:val="231F20"/>
          <w:spacing w:val="-2"/>
          <w:sz w:val="20"/>
          <w:vertAlign w:val="baseline"/>
        </w:rPr>
        <w:t>le</w:t>
      </w:r>
      <w:r>
        <w:rPr>
          <w:color w:val="231F20"/>
          <w:spacing w:val="-5"/>
          <w:sz w:val="20"/>
          <w:vertAlign w:val="baseline"/>
        </w:rPr>
        <w:t> </w:t>
      </w:r>
      <w:r>
        <w:rPr>
          <w:color w:val="231F20"/>
          <w:spacing w:val="-2"/>
          <w:sz w:val="20"/>
          <w:vertAlign w:val="baseline"/>
        </w:rPr>
        <w:t>20 janvier</w:t>
      </w:r>
      <w:r>
        <w:rPr>
          <w:color w:val="231F20"/>
          <w:spacing w:val="-4"/>
          <w:sz w:val="20"/>
          <w:vertAlign w:val="baseline"/>
        </w:rPr>
        <w:t> </w:t>
      </w:r>
      <w:r>
        <w:rPr>
          <w:color w:val="231F20"/>
          <w:spacing w:val="-2"/>
          <w:sz w:val="20"/>
          <w:vertAlign w:val="baseline"/>
        </w:rPr>
        <w:t>1960 </w:t>
      </w:r>
      <w:r>
        <w:rPr>
          <w:color w:val="231F20"/>
          <w:sz w:val="20"/>
          <w:vertAlign w:val="baseline"/>
        </w:rPr>
        <w:t>par</w:t>
      </w:r>
      <w:r>
        <w:rPr>
          <w:color w:val="231F20"/>
          <w:spacing w:val="-3"/>
          <w:sz w:val="20"/>
          <w:vertAlign w:val="baseline"/>
        </w:rPr>
        <w:t> </w:t>
      </w:r>
      <w:r>
        <w:rPr>
          <w:color w:val="231F20"/>
          <w:sz w:val="20"/>
          <w:vertAlign w:val="baseline"/>
        </w:rPr>
        <w:t>Joseph</w:t>
      </w:r>
      <w:r>
        <w:rPr>
          <w:color w:val="231F20"/>
          <w:spacing w:val="-3"/>
          <w:sz w:val="20"/>
          <w:vertAlign w:val="baseline"/>
        </w:rPr>
        <w:t> </w:t>
      </w:r>
      <w:r>
        <w:rPr>
          <w:color w:val="231F20"/>
          <w:sz w:val="20"/>
          <w:vertAlign w:val="baseline"/>
        </w:rPr>
        <w:t>Kabasele</w:t>
      </w:r>
      <w:r>
        <w:rPr>
          <w:color w:val="231F20"/>
          <w:spacing w:val="-4"/>
          <w:sz w:val="20"/>
          <w:vertAlign w:val="baseline"/>
        </w:rPr>
        <w:t> </w:t>
      </w:r>
      <w:r>
        <w:rPr>
          <w:color w:val="231F20"/>
          <w:sz w:val="20"/>
          <w:vertAlign w:val="baseline"/>
        </w:rPr>
        <w:t>alias</w:t>
      </w:r>
      <w:r>
        <w:rPr>
          <w:color w:val="231F20"/>
          <w:spacing w:val="-3"/>
          <w:sz w:val="20"/>
          <w:vertAlign w:val="baseline"/>
        </w:rPr>
        <w:t> </w:t>
      </w:r>
      <w:r>
        <w:rPr>
          <w:color w:val="231F20"/>
          <w:sz w:val="20"/>
          <w:vertAlign w:val="baseline"/>
        </w:rPr>
        <w:t>grand</w:t>
      </w:r>
      <w:r>
        <w:rPr>
          <w:color w:val="231F20"/>
          <w:spacing w:val="-1"/>
          <w:sz w:val="20"/>
          <w:vertAlign w:val="baseline"/>
        </w:rPr>
        <w:t> </w:t>
      </w:r>
      <w:r>
        <w:rPr>
          <w:color w:val="231F20"/>
          <w:sz w:val="20"/>
          <w:vertAlign w:val="baseline"/>
        </w:rPr>
        <w:t>Kallé</w:t>
      </w:r>
      <w:r>
        <w:rPr>
          <w:color w:val="231F20"/>
          <w:spacing w:val="-1"/>
          <w:sz w:val="20"/>
          <w:vertAlign w:val="baseline"/>
        </w:rPr>
        <w:t> </w:t>
      </w:r>
      <w:r>
        <w:rPr>
          <w:color w:val="231F20"/>
          <w:sz w:val="20"/>
          <w:vertAlign w:val="baseline"/>
        </w:rPr>
        <w:t>et</w:t>
      </w:r>
      <w:r>
        <w:rPr>
          <w:color w:val="231F20"/>
          <w:spacing w:val="-2"/>
          <w:sz w:val="20"/>
          <w:vertAlign w:val="baseline"/>
        </w:rPr>
        <w:t> </w:t>
      </w:r>
      <w:r>
        <w:rPr>
          <w:color w:val="231F20"/>
          <w:sz w:val="20"/>
          <w:vertAlign w:val="baseline"/>
        </w:rPr>
        <w:t>l’African</w:t>
      </w:r>
      <w:r>
        <w:rPr>
          <w:color w:val="231F20"/>
          <w:spacing w:val="-1"/>
          <w:sz w:val="20"/>
          <w:vertAlign w:val="baseline"/>
        </w:rPr>
        <w:t> </w:t>
      </w:r>
      <w:r>
        <w:rPr>
          <w:color w:val="231F20"/>
          <w:sz w:val="20"/>
          <w:vertAlign w:val="baseline"/>
        </w:rPr>
        <w:t>jazz</w:t>
      </w:r>
    </w:p>
    <w:p>
      <w:pPr>
        <w:spacing w:after="0"/>
        <w:jc w:val="both"/>
        <w:rPr>
          <w:sz w:val="20"/>
        </w:rPr>
        <w:sectPr>
          <w:footerReference w:type="default" r:id="rId28"/>
          <w:footerReference w:type="even" r:id="rId29"/>
          <w:pgSz w:w="8790" w:h="13610"/>
          <w:pgMar w:header="0" w:footer="802" w:top="1040" w:bottom="1000" w:left="880" w:right="880"/>
          <w:pgNumType w:start="41"/>
        </w:sectPr>
      </w:pPr>
    </w:p>
    <w:p>
      <w:pPr>
        <w:pStyle w:val="BodyText"/>
        <w:spacing w:before="66"/>
        <w:ind w:right="108"/>
      </w:pPr>
      <w:r>
        <w:rPr>
          <w:color w:val="231F20"/>
        </w:rPr>
        <w:t>Devenu le Zaïre en 1971, il a repris depuis 1997, l’appellation de République Démocratique du Congo. Il est aussi connu familièrement sous le nom de</w:t>
      </w:r>
      <w:r>
        <w:rPr>
          <w:color w:val="231F20"/>
          <w:spacing w:val="-1"/>
        </w:rPr>
        <w:t> </w:t>
      </w:r>
      <w:r>
        <w:rPr>
          <w:color w:val="231F20"/>
        </w:rPr>
        <w:t>RD Congo ou simplement RDC.</w:t>
      </w:r>
    </w:p>
    <w:p>
      <w:pPr>
        <w:pStyle w:val="BodyText"/>
        <w:spacing w:before="120"/>
        <w:ind w:right="107" w:firstLine="283"/>
      </w:pPr>
      <w:r>
        <w:rPr>
          <w:color w:val="231F20"/>
          <w:spacing w:val="-2"/>
        </w:rPr>
        <w:t>Le</w:t>
      </w:r>
      <w:r>
        <w:rPr>
          <w:color w:val="231F20"/>
          <w:spacing w:val="-7"/>
        </w:rPr>
        <w:t> </w:t>
      </w:r>
      <w:r>
        <w:rPr>
          <w:color w:val="231F20"/>
          <w:spacing w:val="-2"/>
        </w:rPr>
        <w:t>30</w:t>
      </w:r>
      <w:r>
        <w:rPr>
          <w:color w:val="231F20"/>
          <w:spacing w:val="-9"/>
        </w:rPr>
        <w:t> </w:t>
      </w:r>
      <w:r>
        <w:rPr>
          <w:color w:val="231F20"/>
          <w:spacing w:val="-2"/>
        </w:rPr>
        <w:t>juin</w:t>
      </w:r>
      <w:r>
        <w:rPr>
          <w:color w:val="231F20"/>
          <w:spacing w:val="-9"/>
        </w:rPr>
        <w:t> </w:t>
      </w:r>
      <w:r>
        <w:rPr>
          <w:color w:val="231F20"/>
          <w:spacing w:val="-2"/>
        </w:rPr>
        <w:t>1960,</w:t>
      </w:r>
      <w:r>
        <w:rPr>
          <w:color w:val="231F20"/>
          <w:spacing w:val="-12"/>
        </w:rPr>
        <w:t> </w:t>
      </w:r>
      <w:r>
        <w:rPr>
          <w:color w:val="231F20"/>
          <w:spacing w:val="-2"/>
        </w:rPr>
        <w:t>l’indépendance</w:t>
      </w:r>
      <w:r>
        <w:rPr>
          <w:color w:val="231F20"/>
          <w:spacing w:val="-7"/>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République</w:t>
      </w:r>
      <w:r>
        <w:rPr>
          <w:color w:val="231F20"/>
          <w:spacing w:val="-13"/>
        </w:rPr>
        <w:t> </w:t>
      </w:r>
      <w:r>
        <w:rPr>
          <w:color w:val="231F20"/>
          <w:spacing w:val="-2"/>
        </w:rPr>
        <w:t>du</w:t>
      </w:r>
      <w:r>
        <w:rPr>
          <w:color w:val="231F20"/>
          <w:spacing w:val="-9"/>
        </w:rPr>
        <w:t> </w:t>
      </w:r>
      <w:r>
        <w:rPr>
          <w:color w:val="231F20"/>
          <w:spacing w:val="-2"/>
        </w:rPr>
        <w:t>Congo</w:t>
      </w:r>
      <w:r>
        <w:rPr>
          <w:color w:val="231F20"/>
          <w:spacing w:val="-9"/>
        </w:rPr>
        <w:t> </w:t>
      </w:r>
      <w:r>
        <w:rPr>
          <w:color w:val="231F20"/>
          <w:spacing w:val="-2"/>
        </w:rPr>
        <w:t>belge</w:t>
      </w:r>
      <w:r>
        <w:rPr>
          <w:color w:val="231F20"/>
          <w:spacing w:val="-12"/>
        </w:rPr>
        <w:t> </w:t>
      </w:r>
      <w:r>
        <w:rPr>
          <w:color w:val="231F20"/>
          <w:spacing w:val="-2"/>
        </w:rPr>
        <w:t>est </w:t>
      </w:r>
      <w:r>
        <w:rPr>
          <w:color w:val="231F20"/>
          <w:spacing w:val="-4"/>
        </w:rPr>
        <w:t>proclamée.</w:t>
      </w:r>
      <w:r>
        <w:rPr>
          <w:color w:val="231F20"/>
          <w:spacing w:val="-11"/>
        </w:rPr>
        <w:t> </w:t>
      </w:r>
      <w:r>
        <w:rPr>
          <w:color w:val="231F20"/>
          <w:spacing w:val="-4"/>
        </w:rPr>
        <w:t>Joseph</w:t>
      </w:r>
      <w:r>
        <w:rPr>
          <w:color w:val="231F20"/>
          <w:spacing w:val="-11"/>
        </w:rPr>
        <w:t> </w:t>
      </w:r>
      <w:r>
        <w:rPr>
          <w:color w:val="231F20"/>
          <w:spacing w:val="-4"/>
        </w:rPr>
        <w:t>Kasa-Vubu</w:t>
      </w:r>
      <w:r>
        <w:rPr>
          <w:color w:val="231F20"/>
          <w:spacing w:val="-11"/>
        </w:rPr>
        <w:t> </w:t>
      </w:r>
      <w:r>
        <w:rPr>
          <w:color w:val="231F20"/>
          <w:spacing w:val="-4"/>
        </w:rPr>
        <w:t>est</w:t>
      </w:r>
      <w:r>
        <w:rPr>
          <w:color w:val="231F20"/>
          <w:spacing w:val="-11"/>
        </w:rPr>
        <w:t> </w:t>
      </w:r>
      <w:r>
        <w:rPr>
          <w:color w:val="231F20"/>
          <w:spacing w:val="-4"/>
        </w:rPr>
        <w:t>élu</w:t>
      </w:r>
      <w:r>
        <w:rPr>
          <w:color w:val="231F20"/>
          <w:spacing w:val="-11"/>
        </w:rPr>
        <w:t> </w:t>
      </w:r>
      <w:r>
        <w:rPr>
          <w:color w:val="231F20"/>
          <w:spacing w:val="-4"/>
        </w:rPr>
        <w:t>Président</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nouvelle</w:t>
      </w:r>
      <w:r>
        <w:rPr>
          <w:color w:val="231F20"/>
          <w:spacing w:val="-11"/>
        </w:rPr>
        <w:t> </w:t>
      </w:r>
      <w:r>
        <w:rPr>
          <w:color w:val="231F20"/>
          <w:spacing w:val="-4"/>
        </w:rPr>
        <w:t>République </w:t>
      </w:r>
      <w:r>
        <w:rPr>
          <w:color w:val="231F20"/>
        </w:rPr>
        <w:t>et Patrice Emery Lumumba, Premier Ministre.</w:t>
      </w:r>
    </w:p>
    <w:p>
      <w:pPr>
        <w:pStyle w:val="BodyText"/>
        <w:spacing w:before="120"/>
        <w:ind w:right="104" w:firstLine="283"/>
      </w:pPr>
      <w:r>
        <w:rPr>
          <w:color w:val="231F20"/>
          <w:spacing w:val="-2"/>
        </w:rPr>
        <w:t>Joseph</w:t>
      </w:r>
      <w:r>
        <w:rPr>
          <w:color w:val="231F20"/>
          <w:spacing w:val="-11"/>
        </w:rPr>
        <w:t> </w:t>
      </w:r>
      <w:r>
        <w:rPr>
          <w:color w:val="231F20"/>
          <w:spacing w:val="-2"/>
        </w:rPr>
        <w:t>Kasa-Vubu</w:t>
      </w:r>
      <w:r>
        <w:rPr>
          <w:color w:val="231F20"/>
          <w:spacing w:val="-9"/>
        </w:rPr>
        <w:t> </w:t>
      </w:r>
      <w:r>
        <w:rPr>
          <w:color w:val="231F20"/>
          <w:spacing w:val="-2"/>
        </w:rPr>
        <w:t>a</w:t>
      </w:r>
      <w:r>
        <w:rPr>
          <w:color w:val="231F20"/>
          <w:spacing w:val="-10"/>
        </w:rPr>
        <w:t> </w:t>
      </w:r>
      <w:r>
        <w:rPr>
          <w:color w:val="231F20"/>
          <w:spacing w:val="-2"/>
        </w:rPr>
        <w:t>fait</w:t>
      </w:r>
      <w:r>
        <w:rPr>
          <w:color w:val="231F20"/>
          <w:spacing w:val="-11"/>
        </w:rPr>
        <w:t> </w:t>
      </w:r>
      <w:r>
        <w:rPr>
          <w:color w:val="231F20"/>
          <w:spacing w:val="-2"/>
        </w:rPr>
        <w:t>ses</w:t>
      </w:r>
      <w:r>
        <w:rPr>
          <w:color w:val="231F20"/>
          <w:spacing w:val="-9"/>
        </w:rPr>
        <w:t> </w:t>
      </w:r>
      <w:r>
        <w:rPr>
          <w:color w:val="231F20"/>
          <w:spacing w:val="-2"/>
        </w:rPr>
        <w:t>études</w:t>
      </w:r>
      <w:r>
        <w:rPr>
          <w:color w:val="231F20"/>
          <w:spacing w:val="-12"/>
        </w:rPr>
        <w:t> </w:t>
      </w:r>
      <w:r>
        <w:rPr>
          <w:color w:val="231F20"/>
          <w:spacing w:val="-2"/>
        </w:rPr>
        <w:t>supérieures</w:t>
      </w:r>
      <w:r>
        <w:rPr>
          <w:color w:val="231F20"/>
          <w:spacing w:val="-9"/>
        </w:rPr>
        <w:t> </w:t>
      </w:r>
      <w:r>
        <w:rPr>
          <w:color w:val="231F20"/>
          <w:spacing w:val="-2"/>
        </w:rPr>
        <w:t>au</w:t>
      </w:r>
      <w:r>
        <w:rPr>
          <w:color w:val="231F20"/>
          <w:spacing w:val="-11"/>
        </w:rPr>
        <w:t> </w:t>
      </w:r>
      <w:r>
        <w:rPr>
          <w:color w:val="231F20"/>
          <w:spacing w:val="-2"/>
        </w:rPr>
        <w:t>grand</w:t>
      </w:r>
      <w:r>
        <w:rPr>
          <w:color w:val="231F20"/>
          <w:spacing w:val="-9"/>
        </w:rPr>
        <w:t> </w:t>
      </w:r>
      <w:r>
        <w:rPr>
          <w:color w:val="231F20"/>
          <w:spacing w:val="-2"/>
        </w:rPr>
        <w:t>séminaire</w:t>
      </w:r>
      <w:r>
        <w:rPr>
          <w:color w:val="231F20"/>
          <w:spacing w:val="-10"/>
        </w:rPr>
        <w:t> </w:t>
      </w:r>
      <w:r>
        <w:rPr>
          <w:color w:val="231F20"/>
          <w:spacing w:val="-2"/>
        </w:rPr>
        <w:t>de Kabwe</w:t>
      </w:r>
      <w:r>
        <w:rPr>
          <w:color w:val="231F20"/>
          <w:spacing w:val="-11"/>
        </w:rPr>
        <w:t> </w:t>
      </w:r>
      <w:r>
        <w:rPr>
          <w:color w:val="231F20"/>
          <w:spacing w:val="-2"/>
        </w:rPr>
        <w:t>au</w:t>
      </w:r>
      <w:r>
        <w:rPr>
          <w:color w:val="231F20"/>
          <w:spacing w:val="-11"/>
        </w:rPr>
        <w:t> </w:t>
      </w:r>
      <w:r>
        <w:rPr>
          <w:color w:val="231F20"/>
          <w:spacing w:val="-2"/>
        </w:rPr>
        <w:t>Kasaï</w:t>
      </w:r>
      <w:r>
        <w:rPr>
          <w:color w:val="231F20"/>
          <w:spacing w:val="-11"/>
        </w:rPr>
        <w:t> </w:t>
      </w:r>
      <w:r>
        <w:rPr>
          <w:color w:val="231F20"/>
          <w:spacing w:val="-2"/>
        </w:rPr>
        <w:t>pour</w:t>
      </w:r>
      <w:r>
        <w:rPr>
          <w:color w:val="231F20"/>
          <w:spacing w:val="-11"/>
        </w:rPr>
        <w:t> </w:t>
      </w:r>
      <w:r>
        <w:rPr>
          <w:color w:val="231F20"/>
          <w:spacing w:val="-2"/>
        </w:rPr>
        <w:t>devenir</w:t>
      </w:r>
      <w:r>
        <w:rPr>
          <w:color w:val="231F20"/>
          <w:spacing w:val="-11"/>
        </w:rPr>
        <w:t> </w:t>
      </w:r>
      <w:r>
        <w:rPr>
          <w:color w:val="231F20"/>
          <w:spacing w:val="-2"/>
        </w:rPr>
        <w:t>prêtre</w:t>
      </w:r>
      <w:r>
        <w:rPr>
          <w:color w:val="231F20"/>
          <w:spacing w:val="-10"/>
        </w:rPr>
        <w:t> </w:t>
      </w:r>
      <w:r>
        <w:rPr>
          <w:color w:val="231F20"/>
          <w:spacing w:val="-2"/>
        </w:rPr>
        <w:t>catholique.</w:t>
      </w:r>
      <w:r>
        <w:rPr>
          <w:color w:val="231F20"/>
          <w:spacing w:val="-11"/>
        </w:rPr>
        <w:t> </w:t>
      </w:r>
      <w:r>
        <w:rPr>
          <w:color w:val="231F20"/>
          <w:spacing w:val="-2"/>
        </w:rPr>
        <w:t>Jugé</w:t>
      </w:r>
      <w:r>
        <w:rPr>
          <w:color w:val="231F20"/>
          <w:spacing w:val="-10"/>
        </w:rPr>
        <w:t> </w:t>
      </w:r>
      <w:r>
        <w:rPr>
          <w:color w:val="231F20"/>
          <w:spacing w:val="-2"/>
        </w:rPr>
        <w:t>trop</w:t>
      </w:r>
      <w:r>
        <w:rPr>
          <w:color w:val="231F20"/>
          <w:spacing w:val="-11"/>
        </w:rPr>
        <w:t> </w:t>
      </w:r>
      <w:r>
        <w:rPr>
          <w:color w:val="231F20"/>
          <w:spacing w:val="-2"/>
        </w:rPr>
        <w:t>indépendant</w:t>
      </w:r>
      <w:r>
        <w:rPr>
          <w:color w:val="231F20"/>
          <w:spacing w:val="-11"/>
        </w:rPr>
        <w:t> </w:t>
      </w:r>
      <w:r>
        <w:rPr>
          <w:color w:val="231F20"/>
          <w:spacing w:val="-2"/>
        </w:rPr>
        <w:t>et </w:t>
      </w:r>
      <w:r>
        <w:rPr>
          <w:color w:val="231F20"/>
        </w:rPr>
        <w:t>trop</w:t>
      </w:r>
      <w:r>
        <w:rPr>
          <w:color w:val="231F20"/>
          <w:spacing w:val="-10"/>
        </w:rPr>
        <w:t> </w:t>
      </w:r>
      <w:r>
        <w:rPr>
          <w:color w:val="231F20"/>
        </w:rPr>
        <w:t>critique,</w:t>
      </w:r>
      <w:r>
        <w:rPr>
          <w:color w:val="231F20"/>
          <w:spacing w:val="-12"/>
        </w:rPr>
        <w:t> </w:t>
      </w:r>
      <w:r>
        <w:rPr>
          <w:color w:val="231F20"/>
        </w:rPr>
        <w:t>il</w:t>
      </w:r>
      <w:r>
        <w:rPr>
          <w:color w:val="231F20"/>
          <w:spacing w:val="-12"/>
        </w:rPr>
        <w:t> </w:t>
      </w:r>
      <w:r>
        <w:rPr>
          <w:color w:val="231F20"/>
        </w:rPr>
        <w:t>est</w:t>
      </w:r>
      <w:r>
        <w:rPr>
          <w:color w:val="231F20"/>
          <w:spacing w:val="-9"/>
        </w:rPr>
        <w:t> </w:t>
      </w:r>
      <w:r>
        <w:rPr>
          <w:color w:val="231F20"/>
        </w:rPr>
        <w:t>exclu</w:t>
      </w:r>
      <w:r>
        <w:rPr>
          <w:color w:val="231F20"/>
          <w:spacing w:val="-12"/>
        </w:rPr>
        <w:t> </w:t>
      </w:r>
      <w:r>
        <w:rPr>
          <w:color w:val="231F20"/>
        </w:rPr>
        <w:t>à</w:t>
      </w:r>
      <w:r>
        <w:rPr>
          <w:color w:val="231F20"/>
          <w:spacing w:val="-11"/>
        </w:rPr>
        <w:t> </w:t>
      </w:r>
      <w:r>
        <w:rPr>
          <w:color w:val="231F20"/>
        </w:rPr>
        <w:t>la</w:t>
      </w:r>
      <w:r>
        <w:rPr>
          <w:color w:val="231F20"/>
          <w:spacing w:val="-10"/>
        </w:rPr>
        <w:t> </w:t>
      </w:r>
      <w:r>
        <w:rPr>
          <w:color w:val="231F20"/>
        </w:rPr>
        <w:t>dernière</w:t>
      </w:r>
      <w:r>
        <w:rPr>
          <w:color w:val="231F20"/>
          <w:spacing w:val="-10"/>
        </w:rPr>
        <w:t> </w:t>
      </w:r>
      <w:r>
        <w:rPr>
          <w:color w:val="231F20"/>
        </w:rPr>
        <w:t>année</w:t>
      </w:r>
      <w:r>
        <w:rPr>
          <w:color w:val="231F20"/>
          <w:spacing w:val="-12"/>
        </w:rPr>
        <w:t> </w:t>
      </w:r>
      <w:r>
        <w:rPr>
          <w:color w:val="231F20"/>
        </w:rPr>
        <w:t>de</w:t>
      </w:r>
      <w:r>
        <w:rPr>
          <w:color w:val="231F20"/>
          <w:spacing w:val="-10"/>
        </w:rPr>
        <w:t> </w:t>
      </w:r>
      <w:r>
        <w:rPr>
          <w:color w:val="231F20"/>
        </w:rPr>
        <w:t>la</w:t>
      </w:r>
      <w:r>
        <w:rPr>
          <w:color w:val="231F20"/>
          <w:spacing w:val="-12"/>
        </w:rPr>
        <w:t> </w:t>
      </w:r>
      <w:r>
        <w:rPr>
          <w:color w:val="231F20"/>
        </w:rPr>
        <w:t>formation.</w:t>
      </w:r>
      <w:r>
        <w:rPr>
          <w:color w:val="231F20"/>
          <w:spacing w:val="-12"/>
        </w:rPr>
        <w:t> </w:t>
      </w:r>
      <w:r>
        <w:rPr>
          <w:color w:val="231F20"/>
        </w:rPr>
        <w:t>Il</w:t>
      </w:r>
      <w:r>
        <w:rPr>
          <w:color w:val="231F20"/>
          <w:spacing w:val="-10"/>
        </w:rPr>
        <w:t> </w:t>
      </w:r>
      <w:r>
        <w:rPr>
          <w:color w:val="231F20"/>
        </w:rPr>
        <w:t>s’engage </w:t>
      </w:r>
      <w:r>
        <w:rPr>
          <w:color w:val="231F20"/>
          <w:spacing w:val="-2"/>
        </w:rPr>
        <w:t>alors</w:t>
      </w:r>
      <w:r>
        <w:rPr>
          <w:color w:val="231F20"/>
          <w:spacing w:val="-8"/>
        </w:rPr>
        <w:t> </w:t>
      </w:r>
      <w:r>
        <w:rPr>
          <w:color w:val="231F20"/>
          <w:spacing w:val="-2"/>
        </w:rPr>
        <w:t>dans</w:t>
      </w:r>
      <w:r>
        <w:rPr>
          <w:color w:val="231F20"/>
          <w:spacing w:val="-8"/>
        </w:rPr>
        <w:t> </w:t>
      </w:r>
      <w:r>
        <w:rPr>
          <w:color w:val="231F20"/>
          <w:spacing w:val="-2"/>
        </w:rPr>
        <w:t>l’enseignement</w:t>
      </w:r>
      <w:r>
        <w:rPr>
          <w:color w:val="231F20"/>
          <w:spacing w:val="-9"/>
        </w:rPr>
        <w:t> </w:t>
      </w:r>
      <w:r>
        <w:rPr>
          <w:color w:val="231F20"/>
          <w:spacing w:val="-2"/>
        </w:rPr>
        <w:t>colonial</w:t>
      </w:r>
      <w:r>
        <w:rPr>
          <w:color w:val="231F20"/>
          <w:spacing w:val="-8"/>
        </w:rPr>
        <w:t> </w:t>
      </w:r>
      <w:r>
        <w:rPr>
          <w:color w:val="231F20"/>
          <w:spacing w:val="-2"/>
        </w:rPr>
        <w:t>qu’il</w:t>
      </w:r>
      <w:r>
        <w:rPr>
          <w:color w:val="231F20"/>
          <w:spacing w:val="-8"/>
        </w:rPr>
        <w:t> </w:t>
      </w:r>
      <w:r>
        <w:rPr>
          <w:color w:val="231F20"/>
          <w:spacing w:val="-2"/>
        </w:rPr>
        <w:t>abandonne</w:t>
      </w:r>
      <w:r>
        <w:rPr>
          <w:color w:val="231F20"/>
          <w:spacing w:val="-9"/>
        </w:rPr>
        <w:t> </w:t>
      </w:r>
      <w:r>
        <w:rPr>
          <w:color w:val="231F20"/>
          <w:spacing w:val="-2"/>
        </w:rPr>
        <w:t>pour</w:t>
      </w:r>
      <w:r>
        <w:rPr>
          <w:color w:val="231F20"/>
          <w:spacing w:val="-8"/>
        </w:rPr>
        <w:t> </w:t>
      </w:r>
      <w:r>
        <w:rPr>
          <w:color w:val="231F20"/>
          <w:spacing w:val="-2"/>
        </w:rPr>
        <w:t>un</w:t>
      </w:r>
      <w:r>
        <w:rPr>
          <w:color w:val="231F20"/>
          <w:spacing w:val="-8"/>
        </w:rPr>
        <w:t> </w:t>
      </w:r>
      <w:r>
        <w:rPr>
          <w:color w:val="231F20"/>
          <w:spacing w:val="-2"/>
        </w:rPr>
        <w:t>emploi</w:t>
      </w:r>
      <w:r>
        <w:rPr>
          <w:color w:val="231F20"/>
          <w:spacing w:val="-8"/>
        </w:rPr>
        <w:t> </w:t>
      </w:r>
      <w:r>
        <w:rPr>
          <w:color w:val="231F20"/>
          <w:spacing w:val="-2"/>
        </w:rPr>
        <w:t>dans </w:t>
      </w:r>
      <w:r>
        <w:rPr>
          <w:color w:val="231F20"/>
        </w:rPr>
        <w:t>une</w:t>
      </w:r>
      <w:r>
        <w:rPr>
          <w:color w:val="231F20"/>
          <w:spacing w:val="-8"/>
        </w:rPr>
        <w:t> </w:t>
      </w:r>
      <w:r>
        <w:rPr>
          <w:color w:val="231F20"/>
        </w:rPr>
        <w:t>société</w:t>
      </w:r>
      <w:r>
        <w:rPr>
          <w:color w:val="231F20"/>
          <w:spacing w:val="-10"/>
        </w:rPr>
        <w:t> </w:t>
      </w:r>
      <w:r>
        <w:rPr>
          <w:color w:val="231F20"/>
        </w:rPr>
        <w:t>minière</w:t>
      </w:r>
      <w:r>
        <w:rPr>
          <w:color w:val="231F20"/>
          <w:spacing w:val="-9"/>
        </w:rPr>
        <w:t> </w:t>
      </w:r>
      <w:r>
        <w:rPr>
          <w:color w:val="231F20"/>
        </w:rPr>
        <w:t>pour</w:t>
      </w:r>
      <w:r>
        <w:rPr>
          <w:color w:val="231F20"/>
          <w:spacing w:val="-10"/>
        </w:rPr>
        <w:t> </w:t>
      </w:r>
      <w:r>
        <w:rPr>
          <w:color w:val="231F20"/>
        </w:rPr>
        <w:t>ensuite</w:t>
      </w:r>
      <w:r>
        <w:rPr>
          <w:color w:val="231F20"/>
          <w:spacing w:val="-8"/>
        </w:rPr>
        <w:t> </w:t>
      </w:r>
      <w:r>
        <w:rPr>
          <w:color w:val="231F20"/>
        </w:rPr>
        <w:t>devenir</w:t>
      </w:r>
      <w:r>
        <w:rPr>
          <w:color w:val="231F20"/>
          <w:spacing w:val="-8"/>
        </w:rPr>
        <w:t> </w:t>
      </w:r>
      <w:r>
        <w:rPr>
          <w:color w:val="231F20"/>
        </w:rPr>
        <w:t>en</w:t>
      </w:r>
      <w:r>
        <w:rPr>
          <w:color w:val="231F20"/>
          <w:spacing w:val="-8"/>
        </w:rPr>
        <w:t> </w:t>
      </w:r>
      <w:r>
        <w:rPr>
          <w:color w:val="231F20"/>
        </w:rPr>
        <w:t>1942,</w:t>
      </w:r>
      <w:r>
        <w:rPr>
          <w:color w:val="231F20"/>
          <w:spacing w:val="-10"/>
        </w:rPr>
        <w:t> </w:t>
      </w:r>
      <w:r>
        <w:rPr>
          <w:color w:val="231F20"/>
        </w:rPr>
        <w:t>comptable</w:t>
      </w:r>
      <w:r>
        <w:rPr>
          <w:color w:val="231F20"/>
          <w:spacing w:val="-8"/>
        </w:rPr>
        <w:t> </w:t>
      </w:r>
      <w:r>
        <w:rPr>
          <w:color w:val="231F20"/>
        </w:rPr>
        <w:t>au</w:t>
      </w:r>
      <w:r>
        <w:rPr>
          <w:color w:val="231F20"/>
          <w:spacing w:val="-9"/>
        </w:rPr>
        <w:t> </w:t>
      </w:r>
      <w:r>
        <w:rPr>
          <w:color w:val="231F20"/>
        </w:rPr>
        <w:t>service des finances du gouvernement colonial à Léopoldville. Il se révèle au </w:t>
      </w:r>
      <w:r>
        <w:rPr>
          <w:color w:val="231F20"/>
          <w:spacing w:val="-2"/>
        </w:rPr>
        <w:t>grand</w:t>
      </w:r>
      <w:r>
        <w:rPr>
          <w:color w:val="231F20"/>
          <w:spacing w:val="-12"/>
        </w:rPr>
        <w:t> </w:t>
      </w:r>
      <w:r>
        <w:rPr>
          <w:color w:val="231F20"/>
          <w:spacing w:val="-2"/>
        </w:rPr>
        <w:t>public</w:t>
      </w:r>
      <w:r>
        <w:rPr>
          <w:color w:val="231F20"/>
          <w:spacing w:val="-13"/>
        </w:rPr>
        <w:t> </w:t>
      </w:r>
      <w:r>
        <w:rPr>
          <w:color w:val="231F20"/>
          <w:spacing w:val="-2"/>
        </w:rPr>
        <w:t>national</w:t>
      </w:r>
      <w:r>
        <w:rPr>
          <w:color w:val="231F20"/>
          <w:spacing w:val="-12"/>
        </w:rPr>
        <w:t> </w:t>
      </w:r>
      <w:r>
        <w:rPr>
          <w:color w:val="231F20"/>
          <w:spacing w:val="-2"/>
        </w:rPr>
        <w:t>et</w:t>
      </w:r>
      <w:r>
        <w:rPr>
          <w:color w:val="231F20"/>
          <w:spacing w:val="-13"/>
        </w:rPr>
        <w:t> </w:t>
      </w:r>
      <w:r>
        <w:rPr>
          <w:color w:val="231F20"/>
          <w:spacing w:val="-2"/>
        </w:rPr>
        <w:t>international</w:t>
      </w:r>
      <w:r>
        <w:rPr>
          <w:color w:val="231F20"/>
          <w:spacing w:val="-11"/>
        </w:rPr>
        <w:t> </w:t>
      </w:r>
      <w:r>
        <w:rPr>
          <w:color w:val="231F20"/>
          <w:spacing w:val="-2"/>
        </w:rPr>
        <w:t>en</w:t>
      </w:r>
      <w:r>
        <w:rPr>
          <w:color w:val="231F20"/>
          <w:spacing w:val="-11"/>
        </w:rPr>
        <w:t> </w:t>
      </w:r>
      <w:r>
        <w:rPr>
          <w:color w:val="231F20"/>
          <w:spacing w:val="-2"/>
        </w:rPr>
        <w:t>tant</w:t>
      </w:r>
      <w:r>
        <w:rPr>
          <w:color w:val="231F20"/>
          <w:spacing w:val="-11"/>
        </w:rPr>
        <w:t> </w:t>
      </w:r>
      <w:r>
        <w:rPr>
          <w:color w:val="231F20"/>
          <w:spacing w:val="-2"/>
        </w:rPr>
        <w:t>que</w:t>
      </w:r>
      <w:r>
        <w:rPr>
          <w:color w:val="231F20"/>
          <w:spacing w:val="-11"/>
        </w:rPr>
        <w:t> </w:t>
      </w:r>
      <w:r>
        <w:rPr>
          <w:color w:val="231F20"/>
          <w:spacing w:val="-2"/>
        </w:rPr>
        <w:t>dirigeant</w:t>
      </w:r>
      <w:r>
        <w:rPr>
          <w:color w:val="231F20"/>
          <w:spacing w:val="-11"/>
        </w:rPr>
        <w:t> </w:t>
      </w:r>
      <w:r>
        <w:rPr>
          <w:color w:val="231F20"/>
          <w:spacing w:val="-2"/>
        </w:rPr>
        <w:t>et</w:t>
      </w:r>
      <w:r>
        <w:rPr>
          <w:color w:val="231F20"/>
          <w:spacing w:val="-12"/>
        </w:rPr>
        <w:t> </w:t>
      </w:r>
      <w:r>
        <w:rPr>
          <w:color w:val="231F20"/>
          <w:spacing w:val="-2"/>
        </w:rPr>
        <w:t>président</w:t>
      </w:r>
      <w:r>
        <w:rPr>
          <w:color w:val="231F20"/>
          <w:spacing w:val="-12"/>
        </w:rPr>
        <w:t> </w:t>
      </w:r>
      <w:r>
        <w:rPr>
          <w:color w:val="231F20"/>
          <w:spacing w:val="-2"/>
        </w:rPr>
        <w:t>de l’Association</w:t>
      </w:r>
      <w:r>
        <w:rPr>
          <w:color w:val="231F20"/>
          <w:spacing w:val="-13"/>
        </w:rPr>
        <w:t> </w:t>
      </w:r>
      <w:r>
        <w:rPr>
          <w:color w:val="231F20"/>
          <w:spacing w:val="-2"/>
        </w:rPr>
        <w:t>de</w:t>
      </w:r>
      <w:r>
        <w:rPr>
          <w:color w:val="231F20"/>
          <w:spacing w:val="-13"/>
        </w:rPr>
        <w:t> </w:t>
      </w:r>
      <w:r>
        <w:rPr>
          <w:color w:val="231F20"/>
          <w:spacing w:val="-2"/>
        </w:rPr>
        <w:t>Bakongo(ABAKO),</w:t>
      </w:r>
      <w:r>
        <w:rPr>
          <w:color w:val="231F20"/>
          <w:spacing w:val="-12"/>
        </w:rPr>
        <w:t> </w:t>
      </w:r>
      <w:r>
        <w:rPr>
          <w:color w:val="231F20"/>
          <w:spacing w:val="-2"/>
        </w:rPr>
        <w:t>peuple</w:t>
      </w:r>
      <w:r>
        <w:rPr>
          <w:color w:val="231F20"/>
          <w:spacing w:val="-12"/>
        </w:rPr>
        <w:t> </w:t>
      </w:r>
      <w:r>
        <w:rPr>
          <w:color w:val="231F20"/>
          <w:spacing w:val="-2"/>
        </w:rPr>
        <w:t>qui</w:t>
      </w:r>
      <w:r>
        <w:rPr>
          <w:color w:val="231F20"/>
          <w:spacing w:val="-12"/>
        </w:rPr>
        <w:t> </w:t>
      </w:r>
      <w:r>
        <w:rPr>
          <w:color w:val="231F20"/>
          <w:spacing w:val="-2"/>
        </w:rPr>
        <w:t>constituait</w:t>
      </w:r>
      <w:r>
        <w:rPr>
          <w:color w:val="231F20"/>
          <w:spacing w:val="-12"/>
        </w:rPr>
        <w:t> </w:t>
      </w:r>
      <w:r>
        <w:rPr>
          <w:color w:val="231F20"/>
          <w:spacing w:val="-2"/>
        </w:rPr>
        <w:t>plus</w:t>
      </w:r>
      <w:r>
        <w:rPr>
          <w:color w:val="231F20"/>
          <w:spacing w:val="-12"/>
        </w:rPr>
        <w:t> </w:t>
      </w:r>
      <w:r>
        <w:rPr>
          <w:color w:val="231F20"/>
          <w:spacing w:val="-2"/>
        </w:rPr>
        <w:t>de</w:t>
      </w:r>
      <w:r>
        <w:rPr>
          <w:color w:val="231F20"/>
          <w:spacing w:val="-13"/>
        </w:rPr>
        <w:t> </w:t>
      </w:r>
      <w:r>
        <w:rPr>
          <w:color w:val="231F20"/>
          <w:spacing w:val="-2"/>
        </w:rPr>
        <w:t>60</w:t>
      </w:r>
      <w:r>
        <w:rPr>
          <w:color w:val="231F20"/>
          <w:spacing w:val="-13"/>
        </w:rPr>
        <w:t> </w:t>
      </w:r>
      <w:r>
        <w:rPr>
          <w:color w:val="231F20"/>
          <w:spacing w:val="-2"/>
        </w:rPr>
        <w:t>% </w:t>
      </w:r>
      <w:r>
        <w:rPr>
          <w:color w:val="231F20"/>
        </w:rPr>
        <w:t>de la population de Léopoldville dans les années 1950. Association </w:t>
      </w:r>
      <w:r>
        <w:rPr>
          <w:color w:val="231F20"/>
          <w:spacing w:val="-4"/>
        </w:rPr>
        <w:t>culturelle</w:t>
      </w:r>
      <w:r>
        <w:rPr>
          <w:color w:val="231F20"/>
          <w:spacing w:val="-6"/>
        </w:rPr>
        <w:t> </w:t>
      </w:r>
      <w:r>
        <w:rPr>
          <w:color w:val="231F20"/>
          <w:spacing w:val="-4"/>
        </w:rPr>
        <w:t>au</w:t>
      </w:r>
      <w:r>
        <w:rPr>
          <w:color w:val="231F20"/>
          <w:spacing w:val="-8"/>
        </w:rPr>
        <w:t> </w:t>
      </w:r>
      <w:r>
        <w:rPr>
          <w:color w:val="231F20"/>
          <w:spacing w:val="-4"/>
        </w:rPr>
        <w:t>départ,</w:t>
      </w:r>
      <w:r>
        <w:rPr>
          <w:color w:val="231F20"/>
          <w:spacing w:val="-8"/>
        </w:rPr>
        <w:t> </w:t>
      </w:r>
      <w:r>
        <w:rPr>
          <w:color w:val="231F20"/>
          <w:spacing w:val="-4"/>
        </w:rPr>
        <w:t>l’ABAKO</w:t>
      </w:r>
      <w:r>
        <w:rPr>
          <w:color w:val="231F20"/>
          <w:spacing w:val="-7"/>
        </w:rPr>
        <w:t> </w:t>
      </w:r>
      <w:r>
        <w:rPr>
          <w:color w:val="231F20"/>
          <w:spacing w:val="-4"/>
        </w:rPr>
        <w:t>se</w:t>
      </w:r>
      <w:r>
        <w:rPr>
          <w:color w:val="231F20"/>
          <w:spacing w:val="-6"/>
        </w:rPr>
        <w:t> </w:t>
      </w:r>
      <w:r>
        <w:rPr>
          <w:color w:val="231F20"/>
          <w:spacing w:val="-4"/>
        </w:rPr>
        <w:t>transforme</w:t>
      </w:r>
      <w:r>
        <w:rPr>
          <w:color w:val="231F20"/>
          <w:spacing w:val="-7"/>
        </w:rPr>
        <w:t> </w:t>
      </w:r>
      <w:r>
        <w:rPr>
          <w:color w:val="231F20"/>
          <w:spacing w:val="-4"/>
        </w:rPr>
        <w:t>en</w:t>
      </w:r>
      <w:r>
        <w:rPr>
          <w:color w:val="231F20"/>
          <w:spacing w:val="-8"/>
        </w:rPr>
        <w:t> </w:t>
      </w:r>
      <w:r>
        <w:rPr>
          <w:color w:val="231F20"/>
          <w:spacing w:val="-4"/>
        </w:rPr>
        <w:t>parti</w:t>
      </w:r>
      <w:r>
        <w:rPr>
          <w:color w:val="231F20"/>
          <w:spacing w:val="-5"/>
        </w:rPr>
        <w:t> </w:t>
      </w:r>
      <w:r>
        <w:rPr>
          <w:color w:val="231F20"/>
          <w:spacing w:val="-4"/>
        </w:rPr>
        <w:t>politique</w:t>
      </w:r>
      <w:r>
        <w:rPr>
          <w:color w:val="231F20"/>
          <w:spacing w:val="-6"/>
        </w:rPr>
        <w:t> </w:t>
      </w:r>
      <w:r>
        <w:rPr>
          <w:color w:val="231F20"/>
          <w:spacing w:val="-4"/>
        </w:rPr>
        <w:t>vers</w:t>
      </w:r>
      <w:r>
        <w:rPr>
          <w:color w:val="231F20"/>
          <w:spacing w:val="-7"/>
        </w:rPr>
        <w:t> </w:t>
      </w:r>
      <w:r>
        <w:rPr>
          <w:color w:val="231F20"/>
          <w:spacing w:val="-4"/>
        </w:rPr>
        <w:t>1955. </w:t>
      </w:r>
      <w:r>
        <w:rPr>
          <w:color w:val="231F20"/>
        </w:rPr>
        <w:t>Joseph</w:t>
      </w:r>
      <w:r>
        <w:rPr>
          <w:color w:val="231F20"/>
          <w:spacing w:val="-8"/>
        </w:rPr>
        <w:t> </w:t>
      </w:r>
      <w:r>
        <w:rPr>
          <w:color w:val="231F20"/>
        </w:rPr>
        <w:t>Kasa-Vubu</w:t>
      </w:r>
      <w:r>
        <w:rPr>
          <w:color w:val="231F20"/>
          <w:spacing w:val="-8"/>
        </w:rPr>
        <w:t> </w:t>
      </w:r>
      <w:r>
        <w:rPr>
          <w:color w:val="231F20"/>
        </w:rPr>
        <w:t>au</w:t>
      </w:r>
      <w:r>
        <w:rPr>
          <w:color w:val="231F20"/>
          <w:spacing w:val="-8"/>
        </w:rPr>
        <w:t> </w:t>
      </w:r>
      <w:r>
        <w:rPr>
          <w:color w:val="231F20"/>
        </w:rPr>
        <w:t>nom</w:t>
      </w:r>
      <w:r>
        <w:rPr>
          <w:color w:val="231F20"/>
          <w:spacing w:val="-7"/>
        </w:rPr>
        <w:t> </w:t>
      </w:r>
      <w:r>
        <w:rPr>
          <w:color w:val="231F20"/>
        </w:rPr>
        <w:t>de</w:t>
      </w:r>
      <w:r>
        <w:rPr>
          <w:color w:val="231F20"/>
          <w:spacing w:val="-8"/>
        </w:rPr>
        <w:t> </w:t>
      </w:r>
      <w:r>
        <w:rPr>
          <w:color w:val="231F20"/>
        </w:rPr>
        <w:t>l’ABAKO,</w:t>
      </w:r>
      <w:r>
        <w:rPr>
          <w:color w:val="231F20"/>
          <w:spacing w:val="-8"/>
        </w:rPr>
        <w:t> </w:t>
      </w:r>
      <w:r>
        <w:rPr>
          <w:color w:val="231F20"/>
        </w:rPr>
        <w:t>réagit</w:t>
      </w:r>
      <w:r>
        <w:rPr>
          <w:color w:val="231F20"/>
          <w:spacing w:val="-8"/>
        </w:rPr>
        <w:t> </w:t>
      </w:r>
      <w:r>
        <w:rPr>
          <w:color w:val="231F20"/>
        </w:rPr>
        <w:t>au</w:t>
      </w:r>
      <w:r>
        <w:rPr>
          <w:color w:val="231F20"/>
          <w:spacing w:val="-8"/>
        </w:rPr>
        <w:t> </w:t>
      </w:r>
      <w:r>
        <w:rPr>
          <w:color w:val="231F20"/>
        </w:rPr>
        <w:t>plan</w:t>
      </w:r>
      <w:r>
        <w:rPr>
          <w:color w:val="231F20"/>
          <w:spacing w:val="-8"/>
        </w:rPr>
        <w:t> </w:t>
      </w:r>
      <w:r>
        <w:rPr>
          <w:color w:val="231F20"/>
        </w:rPr>
        <w:t>Van</w:t>
      </w:r>
      <w:r>
        <w:rPr>
          <w:color w:val="231F20"/>
          <w:spacing w:val="-8"/>
        </w:rPr>
        <w:t> </w:t>
      </w:r>
      <w:r>
        <w:rPr>
          <w:color w:val="231F20"/>
        </w:rPr>
        <w:t>Bilsen</w:t>
      </w:r>
      <w:r>
        <w:rPr>
          <w:color w:val="231F20"/>
          <w:spacing w:val="-8"/>
        </w:rPr>
        <w:t> </w:t>
      </w:r>
      <w:r>
        <w:rPr>
          <w:color w:val="231F20"/>
        </w:rPr>
        <w:t>qui demande que l’élite congolaise soit préparée avant d’accéder à l’indépendance. Ce plan proposait 30 ans pour cette préparation. L’ABAKO</w:t>
      </w:r>
      <w:r>
        <w:rPr>
          <w:color w:val="231F20"/>
          <w:spacing w:val="-1"/>
        </w:rPr>
        <w:t> </w:t>
      </w:r>
      <w:r>
        <w:rPr>
          <w:color w:val="231F20"/>
        </w:rPr>
        <w:t>voulait</w:t>
      </w:r>
      <w:r>
        <w:rPr>
          <w:color w:val="231F20"/>
          <w:spacing w:val="-4"/>
        </w:rPr>
        <w:t> </w:t>
      </w:r>
      <w:r>
        <w:rPr>
          <w:color w:val="231F20"/>
        </w:rPr>
        <w:t>l’indépendance</w:t>
      </w:r>
      <w:r>
        <w:rPr>
          <w:color w:val="231F20"/>
          <w:spacing w:val="-2"/>
        </w:rPr>
        <w:t> </w:t>
      </w:r>
      <w:r>
        <w:rPr>
          <w:color w:val="231F20"/>
        </w:rPr>
        <w:t>immédiate</w:t>
      </w:r>
      <w:r>
        <w:rPr>
          <w:color w:val="231F20"/>
          <w:spacing w:val="-2"/>
        </w:rPr>
        <w:t> </w:t>
      </w:r>
      <w:r>
        <w:rPr>
          <w:color w:val="231F20"/>
        </w:rPr>
        <w:t>du</w:t>
      </w:r>
      <w:r>
        <w:rPr>
          <w:color w:val="231F20"/>
          <w:spacing w:val="-2"/>
        </w:rPr>
        <w:t> </w:t>
      </w:r>
      <w:r>
        <w:rPr>
          <w:color w:val="231F20"/>
        </w:rPr>
        <w:t>Congo.</w:t>
      </w:r>
    </w:p>
    <w:p>
      <w:pPr>
        <w:spacing w:before="121"/>
        <w:ind w:left="111" w:right="105" w:firstLine="283"/>
        <w:jc w:val="both"/>
        <w:rPr>
          <w:i/>
          <w:sz w:val="24"/>
        </w:rPr>
      </w:pPr>
      <w:r>
        <w:rPr>
          <w:color w:val="231F20"/>
          <w:sz w:val="24"/>
        </w:rPr>
        <w:t>Patrice Emery Lumumba élu Premier Ministre, travaillait comme employé</w:t>
      </w:r>
      <w:r>
        <w:rPr>
          <w:color w:val="231F20"/>
          <w:spacing w:val="-15"/>
          <w:sz w:val="24"/>
        </w:rPr>
        <w:t> </w:t>
      </w:r>
      <w:r>
        <w:rPr>
          <w:color w:val="231F20"/>
          <w:sz w:val="24"/>
        </w:rPr>
        <w:t>de</w:t>
      </w:r>
      <w:r>
        <w:rPr>
          <w:color w:val="231F20"/>
          <w:spacing w:val="-15"/>
          <w:sz w:val="24"/>
        </w:rPr>
        <w:t> </w:t>
      </w:r>
      <w:r>
        <w:rPr>
          <w:color w:val="231F20"/>
          <w:sz w:val="24"/>
        </w:rPr>
        <w:t>bureau</w:t>
      </w:r>
      <w:r>
        <w:rPr>
          <w:color w:val="231F20"/>
          <w:spacing w:val="-15"/>
          <w:sz w:val="24"/>
        </w:rPr>
        <w:t> </w:t>
      </w:r>
      <w:r>
        <w:rPr>
          <w:color w:val="231F20"/>
          <w:sz w:val="24"/>
        </w:rPr>
        <w:t>dans</w:t>
      </w:r>
      <w:r>
        <w:rPr>
          <w:color w:val="231F20"/>
          <w:spacing w:val="-15"/>
          <w:sz w:val="24"/>
        </w:rPr>
        <w:t> </w:t>
      </w:r>
      <w:r>
        <w:rPr>
          <w:color w:val="231F20"/>
          <w:sz w:val="24"/>
        </w:rPr>
        <w:t>une</w:t>
      </w:r>
      <w:r>
        <w:rPr>
          <w:color w:val="231F20"/>
          <w:spacing w:val="-15"/>
          <w:sz w:val="24"/>
        </w:rPr>
        <w:t> </w:t>
      </w:r>
      <w:r>
        <w:rPr>
          <w:color w:val="231F20"/>
          <w:sz w:val="24"/>
        </w:rPr>
        <w:t>société</w:t>
      </w:r>
      <w:r>
        <w:rPr>
          <w:color w:val="231F20"/>
          <w:spacing w:val="-15"/>
          <w:sz w:val="24"/>
        </w:rPr>
        <w:t> </w:t>
      </w:r>
      <w:r>
        <w:rPr>
          <w:color w:val="231F20"/>
          <w:sz w:val="24"/>
        </w:rPr>
        <w:t>minière</w:t>
      </w:r>
      <w:r>
        <w:rPr>
          <w:color w:val="231F20"/>
          <w:spacing w:val="-15"/>
          <w:sz w:val="24"/>
        </w:rPr>
        <w:t> </w:t>
      </w:r>
      <w:r>
        <w:rPr>
          <w:color w:val="231F20"/>
          <w:sz w:val="24"/>
        </w:rPr>
        <w:t>de</w:t>
      </w:r>
      <w:r>
        <w:rPr>
          <w:color w:val="231F20"/>
          <w:spacing w:val="-15"/>
          <w:sz w:val="24"/>
        </w:rPr>
        <w:t> </w:t>
      </w:r>
      <w:r>
        <w:rPr>
          <w:color w:val="231F20"/>
          <w:sz w:val="24"/>
        </w:rPr>
        <w:t>la</w:t>
      </w:r>
      <w:r>
        <w:rPr>
          <w:color w:val="231F20"/>
          <w:spacing w:val="-15"/>
          <w:sz w:val="24"/>
        </w:rPr>
        <w:t> </w:t>
      </w:r>
      <w:r>
        <w:rPr>
          <w:color w:val="231F20"/>
          <w:sz w:val="24"/>
        </w:rPr>
        <w:t>province</w:t>
      </w:r>
      <w:r>
        <w:rPr>
          <w:color w:val="231F20"/>
          <w:spacing w:val="-15"/>
          <w:sz w:val="24"/>
        </w:rPr>
        <w:t> </w:t>
      </w:r>
      <w:r>
        <w:rPr>
          <w:color w:val="231F20"/>
          <w:sz w:val="24"/>
        </w:rPr>
        <w:t>du</w:t>
      </w:r>
      <w:r>
        <w:rPr>
          <w:color w:val="231F20"/>
          <w:spacing w:val="-15"/>
          <w:sz w:val="24"/>
        </w:rPr>
        <w:t> </w:t>
      </w:r>
      <w:r>
        <w:rPr>
          <w:color w:val="231F20"/>
          <w:sz w:val="24"/>
        </w:rPr>
        <w:t>Sud-Kivu jusqu’en 1945, puis comme journaliste à Léopoldville, aujourd’hui Kinshasa et Stanleyville rebaptisée Kisangani. En septembre 1954, il reçoit</w:t>
      </w:r>
      <w:r>
        <w:rPr>
          <w:color w:val="231F20"/>
          <w:spacing w:val="-7"/>
          <w:sz w:val="24"/>
        </w:rPr>
        <w:t> </w:t>
      </w:r>
      <w:r>
        <w:rPr>
          <w:color w:val="231F20"/>
          <w:sz w:val="24"/>
        </w:rPr>
        <w:t>sa carte</w:t>
      </w:r>
      <w:r>
        <w:rPr>
          <w:color w:val="231F20"/>
          <w:spacing w:val="-1"/>
          <w:sz w:val="24"/>
        </w:rPr>
        <w:t> </w:t>
      </w:r>
      <w:r>
        <w:rPr>
          <w:color w:val="231F20"/>
          <w:sz w:val="24"/>
        </w:rPr>
        <w:t>d’«</w:t>
      </w:r>
      <w:r>
        <w:rPr>
          <w:color w:val="231F20"/>
          <w:spacing w:val="-15"/>
          <w:sz w:val="24"/>
        </w:rPr>
        <w:t> </w:t>
      </w:r>
      <w:r>
        <w:rPr>
          <w:color w:val="231F20"/>
          <w:sz w:val="24"/>
        </w:rPr>
        <w:t>immatriculé</w:t>
      </w:r>
      <w:r>
        <w:rPr>
          <w:color w:val="231F20"/>
          <w:spacing w:val="-15"/>
          <w:sz w:val="24"/>
        </w:rPr>
        <w:t> </w:t>
      </w:r>
      <w:r>
        <w:rPr>
          <w:color w:val="231F20"/>
          <w:sz w:val="24"/>
        </w:rPr>
        <w:t>», réservée par l’Administration belge à </w:t>
      </w:r>
      <w:r>
        <w:rPr>
          <w:color w:val="231F20"/>
          <w:spacing w:val="-2"/>
          <w:sz w:val="24"/>
        </w:rPr>
        <w:t>quelques</w:t>
      </w:r>
      <w:r>
        <w:rPr>
          <w:color w:val="231F20"/>
          <w:spacing w:val="-11"/>
          <w:sz w:val="24"/>
        </w:rPr>
        <w:t> </w:t>
      </w:r>
      <w:r>
        <w:rPr>
          <w:color w:val="231F20"/>
          <w:spacing w:val="-2"/>
          <w:sz w:val="24"/>
        </w:rPr>
        <w:t>200</w:t>
      </w:r>
      <w:r>
        <w:rPr>
          <w:color w:val="231F20"/>
          <w:spacing w:val="-10"/>
          <w:sz w:val="24"/>
        </w:rPr>
        <w:t> </w:t>
      </w:r>
      <w:r>
        <w:rPr>
          <w:color w:val="231F20"/>
          <w:spacing w:val="-2"/>
          <w:sz w:val="24"/>
        </w:rPr>
        <w:t>éléments</w:t>
      </w:r>
      <w:r>
        <w:rPr>
          <w:color w:val="231F20"/>
          <w:spacing w:val="-10"/>
          <w:sz w:val="24"/>
        </w:rPr>
        <w:t> </w:t>
      </w:r>
      <w:r>
        <w:rPr>
          <w:color w:val="231F20"/>
          <w:spacing w:val="-2"/>
          <w:sz w:val="24"/>
        </w:rPr>
        <w:t>remarqués</w:t>
      </w:r>
      <w:r>
        <w:rPr>
          <w:color w:val="231F20"/>
          <w:spacing w:val="-11"/>
          <w:sz w:val="24"/>
        </w:rPr>
        <w:t> </w:t>
      </w:r>
      <w:r>
        <w:rPr>
          <w:color w:val="231F20"/>
          <w:spacing w:val="-2"/>
          <w:sz w:val="24"/>
        </w:rPr>
        <w:t>du</w:t>
      </w:r>
      <w:r>
        <w:rPr>
          <w:color w:val="231F20"/>
          <w:spacing w:val="-11"/>
          <w:sz w:val="24"/>
        </w:rPr>
        <w:t> </w:t>
      </w:r>
      <w:r>
        <w:rPr>
          <w:color w:val="231F20"/>
          <w:spacing w:val="-2"/>
          <w:sz w:val="24"/>
        </w:rPr>
        <w:t>pays</w:t>
      </w:r>
      <w:r>
        <w:rPr>
          <w:color w:val="231F20"/>
          <w:spacing w:val="-11"/>
          <w:sz w:val="24"/>
        </w:rPr>
        <w:t> </w:t>
      </w:r>
      <w:r>
        <w:rPr>
          <w:color w:val="231F20"/>
          <w:spacing w:val="-2"/>
          <w:sz w:val="24"/>
        </w:rPr>
        <w:t>sur</w:t>
      </w:r>
      <w:r>
        <w:rPr>
          <w:color w:val="231F20"/>
          <w:spacing w:val="-12"/>
          <w:sz w:val="24"/>
        </w:rPr>
        <w:t> </w:t>
      </w:r>
      <w:r>
        <w:rPr>
          <w:color w:val="231F20"/>
          <w:spacing w:val="-2"/>
          <w:sz w:val="24"/>
        </w:rPr>
        <w:t>les</w:t>
      </w:r>
      <w:r>
        <w:rPr>
          <w:color w:val="231F20"/>
          <w:spacing w:val="-10"/>
          <w:sz w:val="24"/>
        </w:rPr>
        <w:t> </w:t>
      </w:r>
      <w:r>
        <w:rPr>
          <w:color w:val="231F20"/>
          <w:spacing w:val="-2"/>
          <w:sz w:val="24"/>
        </w:rPr>
        <w:t>13</w:t>
      </w:r>
      <w:r>
        <w:rPr>
          <w:color w:val="231F20"/>
          <w:spacing w:val="-10"/>
          <w:sz w:val="24"/>
        </w:rPr>
        <w:t> </w:t>
      </w:r>
      <w:r>
        <w:rPr>
          <w:color w:val="231F20"/>
          <w:spacing w:val="-2"/>
          <w:sz w:val="24"/>
        </w:rPr>
        <w:t>millions</w:t>
      </w:r>
      <w:r>
        <w:rPr>
          <w:color w:val="231F20"/>
          <w:spacing w:val="-11"/>
          <w:sz w:val="24"/>
        </w:rPr>
        <w:t> </w:t>
      </w:r>
      <w:r>
        <w:rPr>
          <w:color w:val="231F20"/>
          <w:spacing w:val="-2"/>
          <w:sz w:val="24"/>
        </w:rPr>
        <w:t>d’habitants </w:t>
      </w:r>
      <w:r>
        <w:rPr>
          <w:color w:val="231F20"/>
          <w:spacing w:val="-4"/>
          <w:sz w:val="24"/>
        </w:rPr>
        <w:t>de l’époque:</w:t>
      </w:r>
      <w:r>
        <w:rPr>
          <w:color w:val="231F20"/>
          <w:spacing w:val="-7"/>
          <w:sz w:val="24"/>
        </w:rPr>
        <w:t> </w:t>
      </w:r>
      <w:r>
        <w:rPr>
          <w:color w:val="231F20"/>
          <w:spacing w:val="-4"/>
          <w:sz w:val="24"/>
        </w:rPr>
        <w:t>« </w:t>
      </w:r>
      <w:r>
        <w:rPr>
          <w:i/>
          <w:color w:val="231F20"/>
          <w:spacing w:val="-4"/>
          <w:sz w:val="24"/>
        </w:rPr>
        <w:t>le modèle</w:t>
      </w:r>
      <w:r>
        <w:rPr>
          <w:i/>
          <w:color w:val="231F20"/>
          <w:spacing w:val="-8"/>
          <w:sz w:val="24"/>
        </w:rPr>
        <w:t> </w:t>
      </w:r>
      <w:r>
        <w:rPr>
          <w:i/>
          <w:color w:val="231F20"/>
          <w:spacing w:val="-4"/>
          <w:sz w:val="24"/>
        </w:rPr>
        <w:t>colonial</w:t>
      </w:r>
      <w:r>
        <w:rPr>
          <w:i/>
          <w:color w:val="231F20"/>
          <w:spacing w:val="-7"/>
          <w:sz w:val="24"/>
        </w:rPr>
        <w:t> </w:t>
      </w:r>
      <w:r>
        <w:rPr>
          <w:i/>
          <w:color w:val="231F20"/>
          <w:spacing w:val="-4"/>
          <w:sz w:val="24"/>
        </w:rPr>
        <w:t>belge,</w:t>
      </w:r>
      <w:r>
        <w:rPr>
          <w:i/>
          <w:color w:val="231F20"/>
          <w:spacing w:val="-7"/>
          <w:sz w:val="24"/>
        </w:rPr>
        <w:t> </w:t>
      </w:r>
      <w:r>
        <w:rPr>
          <w:i/>
          <w:color w:val="231F20"/>
          <w:spacing w:val="-4"/>
          <w:sz w:val="24"/>
        </w:rPr>
        <w:t>c’est</w:t>
      </w:r>
      <w:r>
        <w:rPr>
          <w:i/>
          <w:color w:val="231F20"/>
          <w:spacing w:val="-7"/>
          <w:sz w:val="24"/>
        </w:rPr>
        <w:t> </w:t>
      </w:r>
      <w:r>
        <w:rPr>
          <w:i/>
          <w:color w:val="231F20"/>
          <w:spacing w:val="-4"/>
          <w:sz w:val="24"/>
        </w:rPr>
        <w:t>celui de</w:t>
      </w:r>
      <w:r>
        <w:rPr>
          <w:i/>
          <w:color w:val="231F20"/>
          <w:spacing w:val="-6"/>
          <w:sz w:val="24"/>
        </w:rPr>
        <w:t> </w:t>
      </w:r>
      <w:r>
        <w:rPr>
          <w:i/>
          <w:color w:val="231F20"/>
          <w:spacing w:val="-4"/>
          <w:sz w:val="24"/>
        </w:rPr>
        <w:t>l’apartheid. Blancs</w:t>
      </w:r>
      <w:r>
        <w:rPr>
          <w:i/>
          <w:color w:val="231F20"/>
          <w:spacing w:val="-4"/>
          <w:sz w:val="24"/>
        </w:rPr>
        <w:t> </w:t>
      </w:r>
      <w:r>
        <w:rPr>
          <w:i/>
          <w:color w:val="231F20"/>
          <w:sz w:val="24"/>
        </w:rPr>
        <w:t>et</w:t>
      </w:r>
      <w:r>
        <w:rPr>
          <w:i/>
          <w:color w:val="231F20"/>
          <w:spacing w:val="-7"/>
          <w:sz w:val="24"/>
        </w:rPr>
        <w:t> </w:t>
      </w:r>
      <w:r>
        <w:rPr>
          <w:i/>
          <w:color w:val="231F20"/>
          <w:sz w:val="24"/>
        </w:rPr>
        <w:t>Noirs</w:t>
      </w:r>
      <w:r>
        <w:rPr>
          <w:i/>
          <w:color w:val="231F20"/>
          <w:spacing w:val="-7"/>
          <w:sz w:val="24"/>
        </w:rPr>
        <w:t> </w:t>
      </w:r>
      <w:r>
        <w:rPr>
          <w:i/>
          <w:color w:val="231F20"/>
          <w:sz w:val="24"/>
        </w:rPr>
        <w:t>ne</w:t>
      </w:r>
      <w:r>
        <w:rPr>
          <w:i/>
          <w:color w:val="231F20"/>
          <w:spacing w:val="-7"/>
          <w:sz w:val="24"/>
        </w:rPr>
        <w:t> </w:t>
      </w:r>
      <w:r>
        <w:rPr>
          <w:i/>
          <w:color w:val="231F20"/>
          <w:sz w:val="24"/>
        </w:rPr>
        <w:t>pouvaient</w:t>
      </w:r>
      <w:r>
        <w:rPr>
          <w:i/>
          <w:color w:val="231F20"/>
          <w:spacing w:val="-7"/>
          <w:sz w:val="24"/>
        </w:rPr>
        <w:t> </w:t>
      </w:r>
      <w:r>
        <w:rPr>
          <w:i/>
          <w:color w:val="231F20"/>
          <w:sz w:val="24"/>
        </w:rPr>
        <w:t>pas</w:t>
      </w:r>
      <w:r>
        <w:rPr>
          <w:i/>
          <w:color w:val="231F20"/>
          <w:spacing w:val="-9"/>
          <w:sz w:val="24"/>
        </w:rPr>
        <w:t> </w:t>
      </w:r>
      <w:r>
        <w:rPr>
          <w:i/>
          <w:color w:val="231F20"/>
          <w:sz w:val="24"/>
        </w:rPr>
        <w:t>vivre</w:t>
      </w:r>
      <w:r>
        <w:rPr>
          <w:i/>
          <w:color w:val="231F20"/>
          <w:spacing w:val="-7"/>
          <w:sz w:val="24"/>
        </w:rPr>
        <w:t> </w:t>
      </w:r>
      <w:r>
        <w:rPr>
          <w:i/>
          <w:color w:val="231F20"/>
          <w:sz w:val="24"/>
        </w:rPr>
        <w:t>dans</w:t>
      </w:r>
      <w:r>
        <w:rPr>
          <w:i/>
          <w:color w:val="231F20"/>
          <w:spacing w:val="-7"/>
          <w:sz w:val="24"/>
        </w:rPr>
        <w:t> </w:t>
      </w:r>
      <w:r>
        <w:rPr>
          <w:i/>
          <w:color w:val="231F20"/>
          <w:sz w:val="24"/>
        </w:rPr>
        <w:t>le</w:t>
      </w:r>
      <w:r>
        <w:rPr>
          <w:i/>
          <w:color w:val="231F20"/>
          <w:spacing w:val="-7"/>
          <w:sz w:val="24"/>
        </w:rPr>
        <w:t> </w:t>
      </w:r>
      <w:r>
        <w:rPr>
          <w:i/>
          <w:color w:val="231F20"/>
          <w:sz w:val="24"/>
        </w:rPr>
        <w:t>même</w:t>
      </w:r>
      <w:r>
        <w:rPr>
          <w:i/>
          <w:color w:val="231F20"/>
          <w:spacing w:val="-7"/>
          <w:sz w:val="24"/>
        </w:rPr>
        <w:t> </w:t>
      </w:r>
      <w:r>
        <w:rPr>
          <w:i/>
          <w:color w:val="231F20"/>
          <w:sz w:val="24"/>
        </w:rPr>
        <w:t>quartier.</w:t>
      </w:r>
      <w:r>
        <w:rPr>
          <w:i/>
          <w:color w:val="231F20"/>
          <w:spacing w:val="-7"/>
          <w:sz w:val="24"/>
        </w:rPr>
        <w:t> </w:t>
      </w:r>
      <w:r>
        <w:rPr>
          <w:i/>
          <w:color w:val="231F20"/>
          <w:sz w:val="24"/>
        </w:rPr>
        <w:t>Ils</w:t>
      </w:r>
      <w:r>
        <w:rPr>
          <w:i/>
          <w:color w:val="231F20"/>
          <w:spacing w:val="-7"/>
          <w:sz w:val="24"/>
        </w:rPr>
        <w:t> </w:t>
      </w:r>
      <w:r>
        <w:rPr>
          <w:i/>
          <w:color w:val="231F20"/>
          <w:sz w:val="24"/>
        </w:rPr>
        <w:t>ne</w:t>
      </w:r>
      <w:r>
        <w:rPr>
          <w:i/>
          <w:color w:val="231F20"/>
          <w:spacing w:val="-7"/>
          <w:sz w:val="24"/>
        </w:rPr>
        <w:t> </w:t>
      </w:r>
      <w:r>
        <w:rPr>
          <w:i/>
          <w:color w:val="231F20"/>
          <w:sz w:val="24"/>
        </w:rPr>
        <w:t>pouvaient pas occuper les mêmes emplois. A deux-trois mois de l’indépendance, aucun</w:t>
      </w:r>
      <w:r>
        <w:rPr>
          <w:i/>
          <w:color w:val="231F20"/>
          <w:spacing w:val="-9"/>
          <w:sz w:val="24"/>
        </w:rPr>
        <w:t> </w:t>
      </w:r>
      <w:r>
        <w:rPr>
          <w:i/>
          <w:color w:val="231F20"/>
          <w:sz w:val="24"/>
        </w:rPr>
        <w:t>Noir</w:t>
      </w:r>
      <w:r>
        <w:rPr>
          <w:i/>
          <w:color w:val="231F20"/>
          <w:spacing w:val="-9"/>
          <w:sz w:val="24"/>
        </w:rPr>
        <w:t> </w:t>
      </w:r>
      <w:r>
        <w:rPr>
          <w:i/>
          <w:color w:val="231F20"/>
          <w:sz w:val="24"/>
        </w:rPr>
        <w:t>ne</w:t>
      </w:r>
      <w:r>
        <w:rPr>
          <w:i/>
          <w:color w:val="231F20"/>
          <w:spacing w:val="-9"/>
          <w:sz w:val="24"/>
        </w:rPr>
        <w:t> </w:t>
      </w:r>
      <w:r>
        <w:rPr>
          <w:i/>
          <w:color w:val="231F20"/>
          <w:sz w:val="24"/>
        </w:rPr>
        <w:t>pouvait</w:t>
      </w:r>
      <w:r>
        <w:rPr>
          <w:i/>
          <w:color w:val="231F20"/>
          <w:spacing w:val="-9"/>
          <w:sz w:val="24"/>
        </w:rPr>
        <w:t> </w:t>
      </w:r>
      <w:r>
        <w:rPr>
          <w:i/>
          <w:color w:val="231F20"/>
          <w:sz w:val="24"/>
        </w:rPr>
        <w:t>vivre</w:t>
      </w:r>
      <w:r>
        <w:rPr>
          <w:i/>
          <w:color w:val="231F20"/>
          <w:spacing w:val="-9"/>
          <w:sz w:val="24"/>
        </w:rPr>
        <w:t> </w:t>
      </w:r>
      <w:r>
        <w:rPr>
          <w:i/>
          <w:color w:val="231F20"/>
          <w:sz w:val="24"/>
        </w:rPr>
        <w:t>dans</w:t>
      </w:r>
      <w:r>
        <w:rPr>
          <w:i/>
          <w:color w:val="231F20"/>
          <w:spacing w:val="-9"/>
          <w:sz w:val="24"/>
        </w:rPr>
        <w:t> </w:t>
      </w:r>
      <w:r>
        <w:rPr>
          <w:i/>
          <w:color w:val="231F20"/>
          <w:sz w:val="24"/>
        </w:rPr>
        <w:t>le</w:t>
      </w:r>
      <w:r>
        <w:rPr>
          <w:i/>
          <w:color w:val="231F20"/>
          <w:spacing w:val="-9"/>
          <w:sz w:val="24"/>
        </w:rPr>
        <w:t> </w:t>
      </w:r>
      <w:r>
        <w:rPr>
          <w:i/>
          <w:color w:val="231F20"/>
          <w:sz w:val="24"/>
        </w:rPr>
        <w:t>centre</w:t>
      </w:r>
      <w:r>
        <w:rPr>
          <w:i/>
          <w:color w:val="231F20"/>
          <w:spacing w:val="-9"/>
          <w:sz w:val="24"/>
        </w:rPr>
        <w:t> </w:t>
      </w:r>
      <w:r>
        <w:rPr>
          <w:i/>
          <w:color w:val="231F20"/>
          <w:sz w:val="24"/>
        </w:rPr>
        <w:t>européen</w:t>
      </w:r>
      <w:r>
        <w:rPr>
          <w:i/>
          <w:color w:val="231F20"/>
          <w:spacing w:val="-9"/>
          <w:sz w:val="24"/>
        </w:rPr>
        <w:t> </w:t>
      </w:r>
      <w:r>
        <w:rPr>
          <w:i/>
          <w:color w:val="231F20"/>
          <w:sz w:val="24"/>
        </w:rPr>
        <w:t>de</w:t>
      </w:r>
      <w:r>
        <w:rPr>
          <w:i/>
          <w:color w:val="231F20"/>
          <w:spacing w:val="-9"/>
          <w:sz w:val="24"/>
        </w:rPr>
        <w:t> </w:t>
      </w:r>
      <w:r>
        <w:rPr>
          <w:i/>
          <w:color w:val="231F20"/>
          <w:sz w:val="24"/>
        </w:rPr>
        <w:t>Kinshasa,</w:t>
      </w:r>
      <w:r>
        <w:rPr>
          <w:i/>
          <w:color w:val="231F20"/>
          <w:spacing w:val="-9"/>
          <w:sz w:val="24"/>
        </w:rPr>
        <w:t> </w:t>
      </w:r>
      <w:r>
        <w:rPr>
          <w:i/>
          <w:color w:val="231F20"/>
          <w:sz w:val="24"/>
        </w:rPr>
        <w:t>dans les villes européennes. C’était une séparation totale. Les boucheries vendaient</w:t>
      </w:r>
      <w:r>
        <w:rPr>
          <w:i/>
          <w:color w:val="231F20"/>
          <w:spacing w:val="-5"/>
          <w:sz w:val="24"/>
        </w:rPr>
        <w:t> </w:t>
      </w:r>
      <w:r>
        <w:rPr>
          <w:i/>
          <w:color w:val="231F20"/>
          <w:sz w:val="24"/>
        </w:rPr>
        <w:t>par</w:t>
      </w:r>
      <w:r>
        <w:rPr>
          <w:i/>
          <w:color w:val="231F20"/>
          <w:spacing w:val="-3"/>
          <w:sz w:val="24"/>
        </w:rPr>
        <w:t> </w:t>
      </w:r>
      <w:r>
        <w:rPr>
          <w:i/>
          <w:color w:val="231F20"/>
          <w:sz w:val="24"/>
        </w:rPr>
        <w:t>exemple</w:t>
      </w:r>
      <w:r>
        <w:rPr>
          <w:i/>
          <w:color w:val="231F20"/>
          <w:spacing w:val="-3"/>
          <w:sz w:val="24"/>
        </w:rPr>
        <w:t> </w:t>
      </w:r>
      <w:r>
        <w:rPr>
          <w:i/>
          <w:color w:val="231F20"/>
          <w:sz w:val="24"/>
        </w:rPr>
        <w:t>de</w:t>
      </w:r>
      <w:r>
        <w:rPr>
          <w:i/>
          <w:color w:val="231F20"/>
          <w:spacing w:val="-9"/>
          <w:sz w:val="24"/>
        </w:rPr>
        <w:t> </w:t>
      </w:r>
      <w:r>
        <w:rPr>
          <w:i/>
          <w:color w:val="231F20"/>
          <w:sz w:val="24"/>
        </w:rPr>
        <w:t>la</w:t>
      </w:r>
      <w:r>
        <w:rPr>
          <w:i/>
          <w:color w:val="231F20"/>
          <w:spacing w:val="-3"/>
          <w:sz w:val="24"/>
        </w:rPr>
        <w:t> </w:t>
      </w:r>
      <w:r>
        <w:rPr>
          <w:i/>
          <w:color w:val="231F20"/>
          <w:sz w:val="24"/>
        </w:rPr>
        <w:t>viande</w:t>
      </w:r>
      <w:r>
        <w:rPr>
          <w:i/>
          <w:color w:val="231F20"/>
          <w:spacing w:val="-3"/>
          <w:sz w:val="24"/>
        </w:rPr>
        <w:t> </w:t>
      </w:r>
      <w:r>
        <w:rPr>
          <w:i/>
          <w:color w:val="231F20"/>
          <w:sz w:val="24"/>
        </w:rPr>
        <w:t>pour</w:t>
      </w:r>
      <w:r>
        <w:rPr>
          <w:i/>
          <w:color w:val="231F20"/>
          <w:spacing w:val="-5"/>
          <w:sz w:val="24"/>
        </w:rPr>
        <w:t> </w:t>
      </w:r>
      <w:r>
        <w:rPr>
          <w:i/>
          <w:color w:val="231F20"/>
          <w:sz w:val="24"/>
        </w:rPr>
        <w:t>«</w:t>
      </w:r>
      <w:r>
        <w:rPr>
          <w:i/>
          <w:color w:val="231F20"/>
          <w:spacing w:val="-3"/>
          <w:sz w:val="24"/>
        </w:rPr>
        <w:t> </w:t>
      </w:r>
      <w:r>
        <w:rPr>
          <w:i/>
          <w:color w:val="231F20"/>
          <w:sz w:val="24"/>
        </w:rPr>
        <w:t>chiens</w:t>
      </w:r>
      <w:r>
        <w:rPr>
          <w:i/>
          <w:color w:val="231F20"/>
          <w:spacing w:val="-3"/>
          <w:sz w:val="24"/>
        </w:rPr>
        <w:t> </w:t>
      </w:r>
      <w:r>
        <w:rPr>
          <w:i/>
          <w:color w:val="231F20"/>
          <w:sz w:val="24"/>
        </w:rPr>
        <w:t>et</w:t>
      </w:r>
      <w:r>
        <w:rPr>
          <w:i/>
          <w:color w:val="231F20"/>
          <w:spacing w:val="-5"/>
          <w:sz w:val="24"/>
        </w:rPr>
        <w:t> </w:t>
      </w:r>
      <w:r>
        <w:rPr>
          <w:i/>
          <w:color w:val="231F20"/>
          <w:sz w:val="24"/>
        </w:rPr>
        <w:t>Noirs</w:t>
      </w:r>
      <w:r>
        <w:rPr>
          <w:i/>
          <w:color w:val="231F20"/>
          <w:spacing w:val="-6"/>
          <w:sz w:val="24"/>
        </w:rPr>
        <w:t> </w:t>
      </w:r>
      <w:r>
        <w:rPr>
          <w:i/>
          <w:color w:val="231F20"/>
          <w:sz w:val="24"/>
        </w:rPr>
        <w:t>».</w:t>
      </w:r>
      <w:r>
        <w:rPr>
          <w:color w:val="76787A"/>
          <w:sz w:val="24"/>
          <w:vertAlign w:val="superscript"/>
        </w:rPr>
        <w:t>43</w:t>
      </w:r>
      <w:r>
        <w:rPr>
          <w:i/>
          <w:color w:val="231F20"/>
          <w:sz w:val="24"/>
          <w:vertAlign w:val="baseline"/>
        </w:rPr>
        <w:t>.</w:t>
      </w:r>
      <w:r>
        <w:rPr>
          <w:i/>
          <w:color w:val="231F20"/>
          <w:spacing w:val="-3"/>
          <w:sz w:val="24"/>
          <w:vertAlign w:val="baseline"/>
        </w:rPr>
        <w:t> </w:t>
      </w:r>
      <w:r>
        <w:rPr>
          <w:i/>
          <w:color w:val="231F20"/>
          <w:sz w:val="24"/>
          <w:vertAlign w:val="baseline"/>
        </w:rPr>
        <w:t>»</w:t>
      </w:r>
    </w:p>
    <w:p>
      <w:pPr>
        <w:pStyle w:val="BodyText"/>
        <w:spacing w:before="121"/>
        <w:ind w:right="107" w:firstLine="283"/>
      </w:pPr>
      <w:r>
        <w:rPr>
          <w:color w:val="231F20"/>
        </w:rPr>
        <w:t>Patrice</w:t>
      </w:r>
      <w:r>
        <w:rPr>
          <w:color w:val="231F20"/>
          <w:spacing w:val="-15"/>
        </w:rPr>
        <w:t> </w:t>
      </w:r>
      <w:r>
        <w:rPr>
          <w:color w:val="231F20"/>
        </w:rPr>
        <w:t>Emery</w:t>
      </w:r>
      <w:r>
        <w:rPr>
          <w:color w:val="231F20"/>
          <w:spacing w:val="-15"/>
        </w:rPr>
        <w:t> </w:t>
      </w:r>
      <w:r>
        <w:rPr>
          <w:color w:val="231F20"/>
        </w:rPr>
        <w:t>Lumumba</w:t>
      </w:r>
      <w:r>
        <w:rPr>
          <w:color w:val="231F20"/>
          <w:spacing w:val="-15"/>
        </w:rPr>
        <w:t> </w:t>
      </w:r>
      <w:r>
        <w:rPr>
          <w:color w:val="231F20"/>
        </w:rPr>
        <w:t>milite</w:t>
      </w:r>
      <w:r>
        <w:rPr>
          <w:color w:val="231F20"/>
          <w:spacing w:val="-14"/>
        </w:rPr>
        <w:t> </w:t>
      </w:r>
      <w:r>
        <w:rPr>
          <w:color w:val="231F20"/>
        </w:rPr>
        <w:t>pour</w:t>
      </w:r>
      <w:r>
        <w:rPr>
          <w:color w:val="231F20"/>
          <w:spacing w:val="-15"/>
        </w:rPr>
        <w:t> </w:t>
      </w:r>
      <w:r>
        <w:rPr>
          <w:color w:val="231F20"/>
        </w:rPr>
        <w:t>un</w:t>
      </w:r>
      <w:r>
        <w:rPr>
          <w:color w:val="231F20"/>
          <w:spacing w:val="-15"/>
        </w:rPr>
        <w:t> </w:t>
      </w:r>
      <w:r>
        <w:rPr>
          <w:color w:val="231F20"/>
        </w:rPr>
        <w:t>Congo</w:t>
      </w:r>
      <w:r>
        <w:rPr>
          <w:color w:val="231F20"/>
          <w:spacing w:val="-14"/>
        </w:rPr>
        <w:t> </w:t>
      </w:r>
      <w:r>
        <w:rPr>
          <w:color w:val="231F20"/>
        </w:rPr>
        <w:t>uni,</w:t>
      </w:r>
      <w:r>
        <w:rPr>
          <w:color w:val="231F20"/>
          <w:spacing w:val="-15"/>
        </w:rPr>
        <w:t> </w:t>
      </w:r>
      <w:r>
        <w:rPr>
          <w:color w:val="231F20"/>
        </w:rPr>
        <w:t>se</w:t>
      </w:r>
      <w:r>
        <w:rPr>
          <w:color w:val="231F20"/>
          <w:spacing w:val="-14"/>
        </w:rPr>
        <w:t> </w:t>
      </w:r>
      <w:r>
        <w:rPr>
          <w:color w:val="231F20"/>
        </w:rPr>
        <w:t>distinguant</w:t>
      </w:r>
      <w:r>
        <w:rPr>
          <w:color w:val="231F20"/>
          <w:spacing w:val="-14"/>
        </w:rPr>
        <w:t> </w:t>
      </w:r>
      <w:r>
        <w:rPr>
          <w:color w:val="231F20"/>
        </w:rPr>
        <w:t>en </w:t>
      </w:r>
      <w:r>
        <w:rPr>
          <w:color w:val="231F20"/>
          <w:spacing w:val="-2"/>
        </w:rPr>
        <w:t>cela</w:t>
      </w:r>
      <w:r>
        <w:rPr>
          <w:color w:val="231F20"/>
          <w:spacing w:val="-5"/>
        </w:rPr>
        <w:t> </w:t>
      </w:r>
      <w:r>
        <w:rPr>
          <w:color w:val="231F20"/>
          <w:spacing w:val="-2"/>
        </w:rPr>
        <w:t>des</w:t>
      </w:r>
      <w:r>
        <w:rPr>
          <w:color w:val="231F20"/>
          <w:spacing w:val="-5"/>
        </w:rPr>
        <w:t> </w:t>
      </w:r>
      <w:r>
        <w:rPr>
          <w:color w:val="231F20"/>
          <w:spacing w:val="-2"/>
        </w:rPr>
        <w:t>autres</w:t>
      </w:r>
      <w:r>
        <w:rPr>
          <w:color w:val="231F20"/>
          <w:spacing w:val="-7"/>
        </w:rPr>
        <w:t> </w:t>
      </w:r>
      <w:r>
        <w:rPr>
          <w:color w:val="231F20"/>
          <w:spacing w:val="-2"/>
        </w:rPr>
        <w:t>leaders</w:t>
      </w:r>
      <w:r>
        <w:rPr>
          <w:color w:val="231F20"/>
          <w:spacing w:val="-7"/>
        </w:rPr>
        <w:t> </w:t>
      </w:r>
      <w:r>
        <w:rPr>
          <w:color w:val="231F20"/>
          <w:spacing w:val="-2"/>
        </w:rPr>
        <w:t>indépendantistes</w:t>
      </w:r>
      <w:r>
        <w:rPr>
          <w:color w:val="231F20"/>
          <w:spacing w:val="-7"/>
        </w:rPr>
        <w:t> </w:t>
      </w:r>
      <w:r>
        <w:rPr>
          <w:color w:val="231F20"/>
          <w:spacing w:val="-2"/>
        </w:rPr>
        <w:t>dont</w:t>
      </w:r>
      <w:r>
        <w:rPr>
          <w:color w:val="231F20"/>
          <w:spacing w:val="-6"/>
        </w:rPr>
        <w:t> </w:t>
      </w:r>
      <w:r>
        <w:rPr>
          <w:color w:val="231F20"/>
          <w:spacing w:val="-2"/>
        </w:rPr>
        <w:t>les</w:t>
      </w:r>
      <w:r>
        <w:rPr>
          <w:color w:val="231F20"/>
          <w:spacing w:val="-7"/>
        </w:rPr>
        <w:t> </w:t>
      </w:r>
      <w:r>
        <w:rPr>
          <w:color w:val="231F20"/>
          <w:spacing w:val="-2"/>
        </w:rPr>
        <w:t>partis</w:t>
      </w:r>
      <w:r>
        <w:rPr>
          <w:color w:val="231F20"/>
          <w:spacing w:val="-7"/>
        </w:rPr>
        <w:t> </w:t>
      </w:r>
      <w:r>
        <w:rPr>
          <w:color w:val="231F20"/>
          <w:spacing w:val="-2"/>
        </w:rPr>
        <w:t>constitués</w:t>
      </w:r>
      <w:r>
        <w:rPr>
          <w:color w:val="231F20"/>
          <w:spacing w:val="-7"/>
        </w:rPr>
        <w:t> </w:t>
      </w:r>
      <w:r>
        <w:rPr>
          <w:color w:val="231F20"/>
          <w:spacing w:val="-2"/>
        </w:rPr>
        <w:t>sur</w:t>
      </w:r>
      <w:r>
        <w:rPr>
          <w:color w:val="231F20"/>
          <w:spacing w:val="-7"/>
        </w:rPr>
        <w:t> </w:t>
      </w:r>
      <w:r>
        <w:rPr>
          <w:color w:val="231F20"/>
          <w:spacing w:val="-2"/>
        </w:rPr>
        <w:t>des </w:t>
      </w:r>
      <w:r>
        <w:rPr>
          <w:color w:val="231F20"/>
        </w:rPr>
        <w:t>bases ethniques sont davantage favorables au fédéralisme. En octobre 1959,</w:t>
      </w:r>
      <w:r>
        <w:rPr>
          <w:color w:val="231F20"/>
          <w:spacing w:val="27"/>
        </w:rPr>
        <w:t> </w:t>
      </w:r>
      <w:r>
        <w:rPr>
          <w:color w:val="231F20"/>
        </w:rPr>
        <w:t>au</w:t>
      </w:r>
      <w:r>
        <w:rPr>
          <w:color w:val="231F20"/>
          <w:spacing w:val="30"/>
        </w:rPr>
        <w:t> </w:t>
      </w:r>
      <w:r>
        <w:rPr>
          <w:color w:val="231F20"/>
        </w:rPr>
        <w:t>cours</w:t>
      </w:r>
      <w:r>
        <w:rPr>
          <w:color w:val="231F20"/>
          <w:spacing w:val="30"/>
        </w:rPr>
        <w:t> </w:t>
      </w:r>
      <w:r>
        <w:rPr>
          <w:color w:val="231F20"/>
        </w:rPr>
        <w:t>d’une</w:t>
      </w:r>
      <w:r>
        <w:rPr>
          <w:color w:val="231F20"/>
          <w:spacing w:val="29"/>
        </w:rPr>
        <w:t> </w:t>
      </w:r>
      <w:r>
        <w:rPr>
          <w:color w:val="231F20"/>
        </w:rPr>
        <w:t>réunion</w:t>
      </w:r>
      <w:r>
        <w:rPr>
          <w:color w:val="231F20"/>
          <w:spacing w:val="28"/>
        </w:rPr>
        <w:t> </w:t>
      </w:r>
      <w:r>
        <w:rPr>
          <w:color w:val="231F20"/>
        </w:rPr>
        <w:t>organisée</w:t>
      </w:r>
      <w:r>
        <w:rPr>
          <w:color w:val="231F20"/>
          <w:spacing w:val="30"/>
        </w:rPr>
        <w:t> </w:t>
      </w:r>
      <w:r>
        <w:rPr>
          <w:color w:val="231F20"/>
        </w:rPr>
        <w:t>par</w:t>
      </w:r>
      <w:r>
        <w:rPr>
          <w:color w:val="231F20"/>
          <w:spacing w:val="30"/>
        </w:rPr>
        <w:t> </w:t>
      </w:r>
      <w:r>
        <w:rPr>
          <w:color w:val="231F20"/>
        </w:rPr>
        <w:t>les</w:t>
      </w:r>
      <w:r>
        <w:rPr>
          <w:color w:val="231F20"/>
          <w:spacing w:val="28"/>
        </w:rPr>
        <w:t> </w:t>
      </w:r>
      <w:r>
        <w:rPr>
          <w:color w:val="231F20"/>
        </w:rPr>
        <w:t>indépendantistes,</w:t>
      </w:r>
      <w:r>
        <w:rPr>
          <w:color w:val="231F20"/>
          <w:spacing w:val="30"/>
        </w:rPr>
        <w:t> </w:t>
      </w:r>
      <w:r>
        <w:rPr>
          <w:color w:val="231F20"/>
          <w:spacing w:val="-5"/>
        </w:rPr>
        <w:t>les</w:t>
      </w:r>
    </w:p>
    <w:p>
      <w:pPr>
        <w:pStyle w:val="BodyText"/>
        <w:spacing w:before="1"/>
        <w:ind w:left="0"/>
        <w:jc w:val="left"/>
        <w:rPr>
          <w:sz w:val="14"/>
        </w:rPr>
      </w:pPr>
      <w:r>
        <w:rPr/>
        <mc:AlternateContent>
          <mc:Choice Requires="wps">
            <w:drawing>
              <wp:anchor distT="0" distB="0" distL="0" distR="0" allowOverlap="1" layoutInCell="1" locked="0" behindDoc="1" simplePos="0" relativeHeight="487600640">
                <wp:simplePos x="0" y="0"/>
                <wp:positionH relativeFrom="page">
                  <wp:posOffset>629907</wp:posOffset>
                </wp:positionH>
                <wp:positionV relativeFrom="paragraph">
                  <wp:posOffset>118328</wp:posOffset>
                </wp:positionV>
                <wp:extent cx="1829435" cy="9525"/>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9.317187pt;width:144.020pt;height:.72pt;mso-position-horizontal-relative:page;mso-position-vertical-relative:paragraph;z-index:-15715840;mso-wrap-distance-left:0;mso-wrap-distance-right:0" id="docshape38"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43</w:t>
      </w:r>
      <w:r>
        <w:rPr>
          <w:color w:val="231F20"/>
          <w:spacing w:val="-2"/>
          <w:sz w:val="20"/>
          <w:vertAlign w:val="baseline"/>
        </w:rPr>
        <w:t>Jean</w:t>
      </w:r>
      <w:r>
        <w:rPr>
          <w:color w:val="231F20"/>
          <w:spacing w:val="-7"/>
          <w:sz w:val="20"/>
          <w:vertAlign w:val="baseline"/>
        </w:rPr>
        <w:t> </w:t>
      </w:r>
      <w:r>
        <w:rPr>
          <w:color w:val="231F20"/>
          <w:spacing w:val="-2"/>
          <w:sz w:val="20"/>
          <w:vertAlign w:val="baseline"/>
        </w:rPr>
        <w:t>Omasombo,</w:t>
      </w:r>
      <w:r>
        <w:rPr>
          <w:color w:val="231F20"/>
          <w:spacing w:val="-9"/>
          <w:sz w:val="20"/>
          <w:vertAlign w:val="baseline"/>
        </w:rPr>
        <w:t> </w:t>
      </w:r>
      <w:r>
        <w:rPr>
          <w:color w:val="231F20"/>
          <w:spacing w:val="-2"/>
          <w:sz w:val="20"/>
          <w:vertAlign w:val="baseline"/>
        </w:rPr>
        <w:t>historien,</w:t>
      </w:r>
      <w:r>
        <w:rPr>
          <w:color w:val="231F20"/>
          <w:spacing w:val="-9"/>
          <w:sz w:val="20"/>
          <w:vertAlign w:val="baseline"/>
        </w:rPr>
        <w:t> </w:t>
      </w:r>
      <w:r>
        <w:rPr>
          <w:color w:val="231F20"/>
          <w:spacing w:val="-2"/>
          <w:sz w:val="20"/>
          <w:vertAlign w:val="baseline"/>
        </w:rPr>
        <w:t>professeur</w:t>
      </w:r>
      <w:r>
        <w:rPr>
          <w:color w:val="231F20"/>
          <w:spacing w:val="-7"/>
          <w:sz w:val="20"/>
          <w:vertAlign w:val="baseline"/>
        </w:rPr>
        <w:t> </w:t>
      </w:r>
      <w:r>
        <w:rPr>
          <w:color w:val="231F20"/>
          <w:spacing w:val="-2"/>
          <w:sz w:val="20"/>
          <w:vertAlign w:val="baseline"/>
        </w:rPr>
        <w:t>à</w:t>
      </w:r>
      <w:r>
        <w:rPr>
          <w:color w:val="231F20"/>
          <w:spacing w:val="-6"/>
          <w:sz w:val="20"/>
          <w:vertAlign w:val="baseline"/>
        </w:rPr>
        <w:t> </w:t>
      </w:r>
      <w:r>
        <w:rPr>
          <w:color w:val="231F20"/>
          <w:spacing w:val="-2"/>
          <w:sz w:val="20"/>
          <w:vertAlign w:val="baseline"/>
        </w:rPr>
        <w:t>Kinshasa</w:t>
      </w:r>
      <w:r>
        <w:rPr>
          <w:color w:val="231F20"/>
          <w:spacing w:val="-7"/>
          <w:sz w:val="20"/>
          <w:vertAlign w:val="baseline"/>
        </w:rPr>
        <w:t> </w:t>
      </w:r>
      <w:r>
        <w:rPr>
          <w:color w:val="231F20"/>
          <w:spacing w:val="-2"/>
          <w:sz w:val="20"/>
          <w:vertAlign w:val="baseline"/>
        </w:rPr>
        <w:t>et</w:t>
      </w:r>
      <w:r>
        <w:rPr>
          <w:color w:val="231F20"/>
          <w:spacing w:val="-7"/>
          <w:sz w:val="20"/>
          <w:vertAlign w:val="baseline"/>
        </w:rPr>
        <w:t> </w:t>
      </w:r>
      <w:r>
        <w:rPr>
          <w:color w:val="231F20"/>
          <w:spacing w:val="-2"/>
          <w:sz w:val="20"/>
          <w:vertAlign w:val="baseline"/>
        </w:rPr>
        <w:t>chercheur</w:t>
      </w:r>
      <w:r>
        <w:rPr>
          <w:color w:val="231F20"/>
          <w:spacing w:val="-7"/>
          <w:sz w:val="20"/>
          <w:vertAlign w:val="baseline"/>
        </w:rPr>
        <w:t> </w:t>
      </w:r>
      <w:r>
        <w:rPr>
          <w:color w:val="231F20"/>
          <w:spacing w:val="-2"/>
          <w:sz w:val="20"/>
          <w:vertAlign w:val="baseline"/>
        </w:rPr>
        <w:t>à</w:t>
      </w:r>
      <w:r>
        <w:rPr>
          <w:color w:val="231F20"/>
          <w:spacing w:val="-6"/>
          <w:sz w:val="20"/>
          <w:vertAlign w:val="baseline"/>
        </w:rPr>
        <w:t> </w:t>
      </w:r>
      <w:r>
        <w:rPr>
          <w:color w:val="231F20"/>
          <w:spacing w:val="-2"/>
          <w:sz w:val="20"/>
          <w:vertAlign w:val="baseline"/>
        </w:rPr>
        <w:t>l’Africa</w:t>
      </w:r>
      <w:r>
        <w:rPr>
          <w:color w:val="231F20"/>
          <w:spacing w:val="-7"/>
          <w:sz w:val="20"/>
          <w:vertAlign w:val="baseline"/>
        </w:rPr>
        <w:t> </w:t>
      </w:r>
      <w:r>
        <w:rPr>
          <w:color w:val="231F20"/>
          <w:spacing w:val="-2"/>
          <w:sz w:val="20"/>
          <w:vertAlign w:val="baseline"/>
        </w:rPr>
        <w:t>Museum</w:t>
      </w:r>
      <w:r>
        <w:rPr>
          <w:color w:val="231F20"/>
          <w:spacing w:val="-9"/>
          <w:sz w:val="20"/>
          <w:vertAlign w:val="baseline"/>
        </w:rPr>
        <w:t> </w:t>
      </w:r>
      <w:r>
        <w:rPr>
          <w:color w:val="231F20"/>
          <w:spacing w:val="-5"/>
          <w:sz w:val="20"/>
          <w:vertAlign w:val="baseline"/>
        </w:rPr>
        <w:t>de</w:t>
      </w:r>
    </w:p>
    <w:p>
      <w:pPr>
        <w:spacing w:before="0"/>
        <w:ind w:left="111" w:right="0" w:firstLine="0"/>
        <w:jc w:val="left"/>
        <w:rPr>
          <w:sz w:val="20"/>
        </w:rPr>
      </w:pPr>
      <w:r>
        <w:rPr>
          <w:color w:val="231F20"/>
          <w:spacing w:val="-4"/>
          <w:sz w:val="20"/>
        </w:rPr>
        <w:t>Tervuren</w:t>
      </w:r>
      <w:r>
        <w:rPr>
          <w:color w:val="231F20"/>
          <w:spacing w:val="-2"/>
          <w:sz w:val="20"/>
        </w:rPr>
        <w:t> </w:t>
      </w:r>
      <w:r>
        <w:rPr>
          <w:color w:val="231F20"/>
          <w:spacing w:val="-4"/>
          <w:sz w:val="20"/>
        </w:rPr>
        <w:t>en</w:t>
      </w:r>
      <w:r>
        <w:rPr>
          <w:color w:val="231F20"/>
          <w:spacing w:val="-2"/>
          <w:sz w:val="20"/>
        </w:rPr>
        <w:t> </w:t>
      </w:r>
      <w:r>
        <w:rPr>
          <w:color w:val="231F20"/>
          <w:spacing w:val="-4"/>
          <w:sz w:val="20"/>
        </w:rPr>
        <w:t>Belgique,</w:t>
      </w:r>
      <w:r>
        <w:rPr>
          <w:color w:val="231F20"/>
          <w:spacing w:val="-2"/>
          <w:sz w:val="20"/>
        </w:rPr>
        <w:t> </w:t>
      </w:r>
      <w:r>
        <w:rPr>
          <w:color w:val="231F20"/>
          <w:spacing w:val="-4"/>
          <w:sz w:val="20"/>
        </w:rPr>
        <w:t>auteur d'une</w:t>
      </w:r>
      <w:r>
        <w:rPr>
          <w:color w:val="231F20"/>
          <w:spacing w:val="-5"/>
          <w:sz w:val="20"/>
        </w:rPr>
        <w:t> </w:t>
      </w:r>
      <w:r>
        <w:rPr>
          <w:color w:val="231F20"/>
          <w:spacing w:val="-4"/>
          <w:sz w:val="20"/>
        </w:rPr>
        <w:t>biographie</w:t>
      </w:r>
      <w:r>
        <w:rPr>
          <w:color w:val="231F20"/>
          <w:spacing w:val="-5"/>
          <w:sz w:val="20"/>
        </w:rPr>
        <w:t> </w:t>
      </w:r>
      <w:r>
        <w:rPr>
          <w:color w:val="231F20"/>
          <w:spacing w:val="-4"/>
          <w:sz w:val="20"/>
        </w:rPr>
        <w:t>politique de</w:t>
      </w:r>
      <w:r>
        <w:rPr>
          <w:color w:val="231F20"/>
          <w:spacing w:val="-3"/>
          <w:sz w:val="20"/>
        </w:rPr>
        <w:t> </w:t>
      </w:r>
      <w:r>
        <w:rPr>
          <w:color w:val="231F20"/>
          <w:spacing w:val="-4"/>
          <w:sz w:val="20"/>
        </w:rPr>
        <w:t>Patrice</w:t>
      </w:r>
      <w:r>
        <w:rPr>
          <w:color w:val="231F20"/>
          <w:spacing w:val="-5"/>
          <w:sz w:val="20"/>
        </w:rPr>
        <w:t> </w:t>
      </w:r>
      <w:r>
        <w:rPr>
          <w:color w:val="231F20"/>
          <w:spacing w:val="-4"/>
          <w:sz w:val="20"/>
        </w:rPr>
        <w:t>Lumumba.</w:t>
      </w:r>
    </w:p>
    <w:p>
      <w:pPr>
        <w:spacing w:after="0"/>
        <w:jc w:val="left"/>
        <w:rPr>
          <w:sz w:val="20"/>
        </w:rPr>
        <w:sectPr>
          <w:pgSz w:w="8790" w:h="13610"/>
          <w:pgMar w:header="0" w:footer="802" w:top="1060" w:bottom="1000" w:left="880" w:right="880"/>
        </w:sectPr>
      </w:pPr>
    </w:p>
    <w:p>
      <w:pPr>
        <w:pStyle w:val="BodyText"/>
        <w:spacing w:before="66"/>
        <w:ind w:right="108"/>
      </w:pPr>
      <w:r>
        <w:rPr>
          <w:color w:val="231F20"/>
        </w:rPr>
        <w:t>autorités</w:t>
      </w:r>
      <w:r>
        <w:rPr>
          <w:color w:val="231F20"/>
          <w:spacing w:val="-15"/>
        </w:rPr>
        <w:t> </w:t>
      </w:r>
      <w:r>
        <w:rPr>
          <w:color w:val="231F20"/>
        </w:rPr>
        <w:t>belges</w:t>
      </w:r>
      <w:r>
        <w:rPr>
          <w:color w:val="231F20"/>
          <w:spacing w:val="-15"/>
        </w:rPr>
        <w:t> </w:t>
      </w:r>
      <w:r>
        <w:rPr>
          <w:color w:val="231F20"/>
        </w:rPr>
        <w:t>tentent</w:t>
      </w:r>
      <w:r>
        <w:rPr>
          <w:color w:val="231F20"/>
          <w:spacing w:val="-15"/>
        </w:rPr>
        <w:t> </w:t>
      </w:r>
      <w:r>
        <w:rPr>
          <w:color w:val="231F20"/>
        </w:rPr>
        <w:t>de</w:t>
      </w:r>
      <w:r>
        <w:rPr>
          <w:color w:val="231F20"/>
          <w:spacing w:val="-15"/>
        </w:rPr>
        <w:t> </w:t>
      </w:r>
      <w:r>
        <w:rPr>
          <w:color w:val="231F20"/>
        </w:rPr>
        <w:t>s’emparer</w:t>
      </w:r>
      <w:r>
        <w:rPr>
          <w:color w:val="231F20"/>
          <w:spacing w:val="-15"/>
        </w:rPr>
        <w:t> </w:t>
      </w:r>
      <w:r>
        <w:rPr>
          <w:color w:val="231F20"/>
        </w:rPr>
        <w:t>de</w:t>
      </w:r>
      <w:r>
        <w:rPr>
          <w:color w:val="231F20"/>
          <w:spacing w:val="-15"/>
        </w:rPr>
        <w:t> </w:t>
      </w:r>
      <w:r>
        <w:rPr>
          <w:color w:val="231F20"/>
        </w:rPr>
        <w:t>Lumumba,</w:t>
      </w:r>
      <w:r>
        <w:rPr>
          <w:color w:val="231F20"/>
          <w:spacing w:val="-15"/>
        </w:rPr>
        <w:t> </w:t>
      </w:r>
      <w:r>
        <w:rPr>
          <w:color w:val="231F20"/>
        </w:rPr>
        <w:t>ce</w:t>
      </w:r>
      <w:r>
        <w:rPr>
          <w:color w:val="231F20"/>
          <w:spacing w:val="-15"/>
        </w:rPr>
        <w:t> </w:t>
      </w:r>
      <w:r>
        <w:rPr>
          <w:color w:val="231F20"/>
        </w:rPr>
        <w:t>qui</w:t>
      </w:r>
      <w:r>
        <w:rPr>
          <w:color w:val="231F20"/>
          <w:spacing w:val="-15"/>
        </w:rPr>
        <w:t> </w:t>
      </w:r>
      <w:r>
        <w:rPr>
          <w:color w:val="231F20"/>
        </w:rPr>
        <w:t>provoque</w:t>
      </w:r>
      <w:r>
        <w:rPr>
          <w:color w:val="231F20"/>
          <w:spacing w:val="-15"/>
        </w:rPr>
        <w:t> </w:t>
      </w:r>
      <w:r>
        <w:rPr>
          <w:color w:val="231F20"/>
        </w:rPr>
        <w:t>une émeute</w:t>
      </w:r>
      <w:r>
        <w:rPr>
          <w:color w:val="231F20"/>
          <w:spacing w:val="-15"/>
        </w:rPr>
        <w:t> </w:t>
      </w:r>
      <w:r>
        <w:rPr>
          <w:color w:val="231F20"/>
        </w:rPr>
        <w:t>qui</w:t>
      </w:r>
      <w:r>
        <w:rPr>
          <w:color w:val="231F20"/>
          <w:spacing w:val="-15"/>
        </w:rPr>
        <w:t> </w:t>
      </w:r>
      <w:r>
        <w:rPr>
          <w:color w:val="231F20"/>
        </w:rPr>
        <w:t>fait</w:t>
      </w:r>
      <w:r>
        <w:rPr>
          <w:color w:val="231F20"/>
          <w:spacing w:val="-15"/>
        </w:rPr>
        <w:t> </w:t>
      </w:r>
      <w:r>
        <w:rPr>
          <w:color w:val="231F20"/>
        </w:rPr>
        <w:t>une</w:t>
      </w:r>
      <w:r>
        <w:rPr>
          <w:color w:val="231F20"/>
          <w:spacing w:val="-15"/>
        </w:rPr>
        <w:t> </w:t>
      </w:r>
      <w:r>
        <w:rPr>
          <w:color w:val="231F20"/>
        </w:rPr>
        <w:t>trentaine</w:t>
      </w:r>
      <w:r>
        <w:rPr>
          <w:color w:val="231F20"/>
          <w:spacing w:val="-15"/>
        </w:rPr>
        <w:t> </w:t>
      </w:r>
      <w:r>
        <w:rPr>
          <w:color w:val="231F20"/>
        </w:rPr>
        <w:t>de</w:t>
      </w:r>
      <w:r>
        <w:rPr>
          <w:color w:val="231F20"/>
          <w:spacing w:val="-15"/>
        </w:rPr>
        <w:t> </w:t>
      </w:r>
      <w:r>
        <w:rPr>
          <w:color w:val="231F20"/>
        </w:rPr>
        <w:t>morts.</w:t>
      </w:r>
      <w:r>
        <w:rPr>
          <w:color w:val="231F20"/>
          <w:spacing w:val="-15"/>
        </w:rPr>
        <w:t> </w:t>
      </w:r>
      <w:r>
        <w:rPr>
          <w:color w:val="231F20"/>
        </w:rPr>
        <w:t>Lumumba</w:t>
      </w:r>
      <w:r>
        <w:rPr>
          <w:color w:val="231F20"/>
          <w:spacing w:val="-15"/>
        </w:rPr>
        <w:t> </w:t>
      </w:r>
      <w:r>
        <w:rPr>
          <w:color w:val="231F20"/>
        </w:rPr>
        <w:t>est</w:t>
      </w:r>
      <w:r>
        <w:rPr>
          <w:color w:val="231F20"/>
          <w:spacing w:val="-15"/>
        </w:rPr>
        <w:t> </w:t>
      </w:r>
      <w:r>
        <w:rPr>
          <w:color w:val="231F20"/>
        </w:rPr>
        <w:t>arrêté</w:t>
      </w:r>
      <w:r>
        <w:rPr>
          <w:color w:val="231F20"/>
          <w:spacing w:val="-15"/>
        </w:rPr>
        <w:t> </w:t>
      </w:r>
      <w:r>
        <w:rPr>
          <w:color w:val="231F20"/>
        </w:rPr>
        <w:t>et</w:t>
      </w:r>
      <w:r>
        <w:rPr>
          <w:color w:val="231F20"/>
          <w:spacing w:val="-15"/>
        </w:rPr>
        <w:t> </w:t>
      </w:r>
      <w:r>
        <w:rPr>
          <w:color w:val="231F20"/>
        </w:rPr>
        <w:t>condamné </w:t>
      </w:r>
      <w:r>
        <w:rPr>
          <w:color w:val="231F20"/>
          <w:spacing w:val="-2"/>
        </w:rPr>
        <w:t>à</w:t>
      </w:r>
      <w:r>
        <w:rPr>
          <w:color w:val="231F20"/>
          <w:spacing w:val="-15"/>
        </w:rPr>
        <w:t> </w:t>
      </w:r>
      <w:r>
        <w:rPr>
          <w:color w:val="231F20"/>
          <w:spacing w:val="-2"/>
        </w:rPr>
        <w:t>6</w:t>
      </w:r>
      <w:r>
        <w:rPr>
          <w:color w:val="231F20"/>
          <w:spacing w:val="-13"/>
        </w:rPr>
        <w:t> </w:t>
      </w:r>
      <w:r>
        <w:rPr>
          <w:color w:val="231F20"/>
          <w:spacing w:val="-2"/>
        </w:rPr>
        <w:t>mois</w:t>
      </w:r>
      <w:r>
        <w:rPr>
          <w:color w:val="231F20"/>
          <w:spacing w:val="-13"/>
        </w:rPr>
        <w:t> </w:t>
      </w:r>
      <w:r>
        <w:rPr>
          <w:color w:val="231F20"/>
          <w:spacing w:val="-2"/>
        </w:rPr>
        <w:t>de</w:t>
      </w:r>
      <w:r>
        <w:rPr>
          <w:color w:val="231F20"/>
          <w:spacing w:val="-13"/>
        </w:rPr>
        <w:t> </w:t>
      </w:r>
      <w:r>
        <w:rPr>
          <w:color w:val="231F20"/>
          <w:spacing w:val="-2"/>
        </w:rPr>
        <w:t>prison</w:t>
      </w:r>
      <w:r>
        <w:rPr>
          <w:color w:val="231F20"/>
          <w:spacing w:val="-13"/>
        </w:rPr>
        <w:t> </w:t>
      </w:r>
      <w:r>
        <w:rPr>
          <w:color w:val="231F20"/>
          <w:spacing w:val="-2"/>
        </w:rPr>
        <w:t>pour</w:t>
      </w:r>
      <w:r>
        <w:rPr>
          <w:color w:val="231F20"/>
          <w:spacing w:val="-13"/>
        </w:rPr>
        <w:t> </w:t>
      </w:r>
      <w:r>
        <w:rPr>
          <w:color w:val="231F20"/>
          <w:spacing w:val="-2"/>
        </w:rPr>
        <w:t>un</w:t>
      </w:r>
      <w:r>
        <w:rPr>
          <w:color w:val="231F20"/>
          <w:spacing w:val="-13"/>
        </w:rPr>
        <w:t> </w:t>
      </w:r>
      <w:r>
        <w:rPr>
          <w:color w:val="231F20"/>
          <w:spacing w:val="-2"/>
        </w:rPr>
        <w:t>prétendu</w:t>
      </w:r>
      <w:r>
        <w:rPr>
          <w:color w:val="231F20"/>
          <w:spacing w:val="-13"/>
        </w:rPr>
        <w:t> </w:t>
      </w:r>
      <w:r>
        <w:rPr>
          <w:color w:val="231F20"/>
          <w:spacing w:val="-2"/>
        </w:rPr>
        <w:t>détournement</w:t>
      </w:r>
      <w:r>
        <w:rPr>
          <w:color w:val="231F20"/>
          <w:spacing w:val="-13"/>
        </w:rPr>
        <w:t> </w:t>
      </w:r>
      <w:r>
        <w:rPr>
          <w:color w:val="231F20"/>
          <w:spacing w:val="-2"/>
        </w:rPr>
        <w:t>des</w:t>
      </w:r>
      <w:r>
        <w:rPr>
          <w:color w:val="231F20"/>
          <w:spacing w:val="-13"/>
        </w:rPr>
        <w:t> </w:t>
      </w:r>
      <w:r>
        <w:rPr>
          <w:color w:val="231F20"/>
          <w:spacing w:val="-2"/>
        </w:rPr>
        <w:t>fonds</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société </w:t>
      </w:r>
      <w:r>
        <w:rPr>
          <w:color w:val="231F20"/>
        </w:rPr>
        <w:t>minière</w:t>
      </w:r>
      <w:r>
        <w:rPr>
          <w:color w:val="231F20"/>
          <w:spacing w:val="-3"/>
        </w:rPr>
        <w:t> </w:t>
      </w:r>
      <w:r>
        <w:rPr>
          <w:color w:val="231F20"/>
        </w:rPr>
        <w:t>qui</w:t>
      </w:r>
      <w:r>
        <w:rPr>
          <w:color w:val="231F20"/>
          <w:spacing w:val="-3"/>
        </w:rPr>
        <w:t> </w:t>
      </w:r>
      <w:r>
        <w:rPr>
          <w:color w:val="231F20"/>
        </w:rPr>
        <w:t>l’emploie</w:t>
      </w:r>
      <w:r>
        <w:rPr>
          <w:color w:val="231F20"/>
          <w:spacing w:val="-3"/>
        </w:rPr>
        <w:t> </w:t>
      </w:r>
      <w:r>
        <w:rPr>
          <w:color w:val="231F20"/>
        </w:rPr>
        <w:t>au</w:t>
      </w:r>
      <w:r>
        <w:rPr>
          <w:color w:val="231F20"/>
          <w:spacing w:val="-5"/>
        </w:rPr>
        <w:t> </w:t>
      </w:r>
      <w:r>
        <w:rPr>
          <w:color w:val="231F20"/>
        </w:rPr>
        <w:t>profit</w:t>
      </w:r>
      <w:r>
        <w:rPr>
          <w:color w:val="231F20"/>
          <w:spacing w:val="-4"/>
        </w:rPr>
        <w:t> </w:t>
      </w:r>
      <w:r>
        <w:rPr>
          <w:color w:val="231F20"/>
        </w:rPr>
        <w:t>de</w:t>
      </w:r>
      <w:r>
        <w:rPr>
          <w:color w:val="231F20"/>
          <w:spacing w:val="-3"/>
        </w:rPr>
        <w:t> </w:t>
      </w:r>
      <w:r>
        <w:rPr>
          <w:color w:val="231F20"/>
        </w:rPr>
        <w:t>son</w:t>
      </w:r>
      <w:r>
        <w:rPr>
          <w:color w:val="231F20"/>
          <w:spacing w:val="-3"/>
        </w:rPr>
        <w:t> </w:t>
      </w:r>
      <w:r>
        <w:rPr>
          <w:color w:val="231F20"/>
        </w:rPr>
        <w:t>parti</w:t>
      </w:r>
      <w:r>
        <w:rPr>
          <w:color w:val="231F20"/>
          <w:spacing w:val="-3"/>
        </w:rPr>
        <w:t> </w:t>
      </w:r>
      <w:r>
        <w:rPr>
          <w:color w:val="231F20"/>
        </w:rPr>
        <w:t>politique.</w:t>
      </w:r>
    </w:p>
    <w:p>
      <w:pPr>
        <w:pStyle w:val="BodyText"/>
        <w:spacing w:before="120"/>
        <w:ind w:right="105" w:firstLine="283"/>
      </w:pPr>
      <w:r>
        <w:rPr>
          <w:color w:val="231F20"/>
        </w:rPr>
        <w:t>Les troubles de Léopoldville amènent le 13 janvier 1960, le roi Baudouin</w:t>
      </w:r>
      <w:r>
        <w:rPr>
          <w:color w:val="231F20"/>
          <w:spacing w:val="-11"/>
        </w:rPr>
        <w:t> </w:t>
      </w:r>
      <w:r>
        <w:rPr>
          <w:color w:val="231F20"/>
        </w:rPr>
        <w:t>à</w:t>
      </w:r>
      <w:r>
        <w:rPr>
          <w:color w:val="231F20"/>
          <w:spacing w:val="-9"/>
        </w:rPr>
        <w:t> </w:t>
      </w:r>
      <w:r>
        <w:rPr>
          <w:color w:val="231F20"/>
        </w:rPr>
        <w:t>reconsidérer</w:t>
      </w:r>
      <w:r>
        <w:rPr>
          <w:color w:val="231F20"/>
          <w:spacing w:val="-8"/>
        </w:rPr>
        <w:t> </w:t>
      </w:r>
      <w:r>
        <w:rPr>
          <w:color w:val="231F20"/>
        </w:rPr>
        <w:t>le</w:t>
      </w:r>
      <w:r>
        <w:rPr>
          <w:color w:val="231F20"/>
          <w:spacing w:val="-8"/>
        </w:rPr>
        <w:t> </w:t>
      </w:r>
      <w:r>
        <w:rPr>
          <w:color w:val="231F20"/>
        </w:rPr>
        <w:t>plan</w:t>
      </w:r>
      <w:r>
        <w:rPr>
          <w:color w:val="231F20"/>
          <w:spacing w:val="-8"/>
        </w:rPr>
        <w:t> </w:t>
      </w:r>
      <w:r>
        <w:rPr>
          <w:color w:val="231F20"/>
        </w:rPr>
        <w:t>Van</w:t>
      </w:r>
      <w:r>
        <w:rPr>
          <w:color w:val="231F20"/>
          <w:spacing w:val="-8"/>
        </w:rPr>
        <w:t> </w:t>
      </w:r>
      <w:r>
        <w:rPr>
          <w:color w:val="231F20"/>
        </w:rPr>
        <w:t>Bilsen</w:t>
      </w:r>
      <w:r>
        <w:rPr>
          <w:color w:val="231F20"/>
          <w:spacing w:val="-8"/>
        </w:rPr>
        <w:t> </w:t>
      </w:r>
      <w:r>
        <w:rPr>
          <w:color w:val="231F20"/>
        </w:rPr>
        <w:t>s’il</w:t>
      </w:r>
      <w:r>
        <w:rPr>
          <w:color w:val="231F20"/>
          <w:spacing w:val="-8"/>
        </w:rPr>
        <w:t> </w:t>
      </w:r>
      <w:r>
        <w:rPr>
          <w:color w:val="231F20"/>
        </w:rPr>
        <w:t>veut</w:t>
      </w:r>
      <w:r>
        <w:rPr>
          <w:color w:val="231F20"/>
          <w:spacing w:val="-8"/>
        </w:rPr>
        <w:t> </w:t>
      </w:r>
      <w:r>
        <w:rPr>
          <w:color w:val="231F20"/>
        </w:rPr>
        <w:t>sauver</w:t>
      </w:r>
      <w:r>
        <w:rPr>
          <w:color w:val="231F20"/>
          <w:spacing w:val="-10"/>
        </w:rPr>
        <w:t> </w:t>
      </w:r>
      <w:r>
        <w:rPr>
          <w:color w:val="231F20"/>
        </w:rPr>
        <w:t>l’essentiel</w:t>
      </w:r>
      <w:r>
        <w:rPr>
          <w:color w:val="231F20"/>
          <w:spacing w:val="-15"/>
        </w:rPr>
        <w:t> </w:t>
      </w:r>
      <w:r>
        <w:rPr>
          <w:color w:val="231F20"/>
        </w:rPr>
        <w:t>: ne</w:t>
      </w:r>
      <w:r>
        <w:rPr>
          <w:color w:val="231F20"/>
          <w:spacing w:val="-15"/>
        </w:rPr>
        <w:t> </w:t>
      </w:r>
      <w:r>
        <w:rPr>
          <w:color w:val="231F20"/>
        </w:rPr>
        <w:t>pas</w:t>
      </w:r>
      <w:r>
        <w:rPr>
          <w:color w:val="231F20"/>
          <w:spacing w:val="-15"/>
        </w:rPr>
        <w:t> </w:t>
      </w:r>
      <w:r>
        <w:rPr>
          <w:color w:val="231F20"/>
        </w:rPr>
        <w:t>perdre</w:t>
      </w:r>
      <w:r>
        <w:rPr>
          <w:color w:val="231F20"/>
          <w:spacing w:val="-15"/>
        </w:rPr>
        <w:t> </w:t>
      </w:r>
      <w:r>
        <w:rPr>
          <w:color w:val="231F20"/>
        </w:rPr>
        <w:t>le</w:t>
      </w:r>
      <w:r>
        <w:rPr>
          <w:color w:val="231F20"/>
          <w:spacing w:val="-15"/>
        </w:rPr>
        <w:t> </w:t>
      </w:r>
      <w:r>
        <w:rPr>
          <w:color w:val="231F20"/>
        </w:rPr>
        <w:t>contrôle</w:t>
      </w:r>
      <w:r>
        <w:rPr>
          <w:color w:val="231F20"/>
          <w:spacing w:val="-15"/>
        </w:rPr>
        <w:t> </w:t>
      </w:r>
      <w:r>
        <w:rPr>
          <w:color w:val="231F20"/>
        </w:rPr>
        <w:t>des</w:t>
      </w:r>
      <w:r>
        <w:rPr>
          <w:color w:val="231F20"/>
          <w:spacing w:val="-15"/>
        </w:rPr>
        <w:t> </w:t>
      </w:r>
      <w:r>
        <w:rPr>
          <w:color w:val="231F20"/>
        </w:rPr>
        <w:t>richesses</w:t>
      </w:r>
      <w:r>
        <w:rPr>
          <w:color w:val="231F20"/>
          <w:spacing w:val="-15"/>
        </w:rPr>
        <w:t> </w:t>
      </w:r>
      <w:r>
        <w:rPr>
          <w:color w:val="231F20"/>
        </w:rPr>
        <w:t>de</w:t>
      </w:r>
      <w:r>
        <w:rPr>
          <w:color w:val="231F20"/>
          <w:spacing w:val="-15"/>
        </w:rPr>
        <w:t> </w:t>
      </w:r>
      <w:r>
        <w:rPr>
          <w:color w:val="231F20"/>
        </w:rPr>
        <w:t>ce</w:t>
      </w:r>
      <w:r>
        <w:rPr>
          <w:color w:val="231F20"/>
          <w:spacing w:val="-15"/>
        </w:rPr>
        <w:t> </w:t>
      </w:r>
      <w:r>
        <w:rPr>
          <w:color w:val="231F20"/>
        </w:rPr>
        <w:t>vaste</w:t>
      </w:r>
      <w:r>
        <w:rPr>
          <w:color w:val="231F20"/>
          <w:spacing w:val="-15"/>
        </w:rPr>
        <w:t> </w:t>
      </w:r>
      <w:r>
        <w:rPr>
          <w:color w:val="231F20"/>
        </w:rPr>
        <w:t>territoire</w:t>
      </w:r>
      <w:r>
        <w:rPr>
          <w:color w:val="231F20"/>
          <w:spacing w:val="-15"/>
        </w:rPr>
        <w:t> </w:t>
      </w:r>
      <w:r>
        <w:rPr>
          <w:color w:val="231F20"/>
        </w:rPr>
        <w:t>de</w:t>
      </w:r>
      <w:r>
        <w:rPr>
          <w:color w:val="231F20"/>
          <w:spacing w:val="-15"/>
        </w:rPr>
        <w:t> </w:t>
      </w:r>
      <w:r>
        <w:rPr>
          <w:color w:val="231F20"/>
        </w:rPr>
        <w:t>2.345.000 km</w:t>
      </w:r>
      <w:r>
        <w:rPr>
          <w:color w:val="231F20"/>
          <w:vertAlign w:val="superscript"/>
        </w:rPr>
        <w:t>2</w:t>
      </w:r>
      <w:r>
        <w:rPr>
          <w:color w:val="231F20"/>
          <w:vertAlign w:val="baseline"/>
        </w:rPr>
        <w:t>,</w:t>
      </w:r>
      <w:r>
        <w:rPr>
          <w:color w:val="231F20"/>
          <w:spacing w:val="-4"/>
          <w:vertAlign w:val="baseline"/>
        </w:rPr>
        <w:t> </w:t>
      </w:r>
      <w:r>
        <w:rPr>
          <w:color w:val="231F20"/>
          <w:vertAlign w:val="baseline"/>
        </w:rPr>
        <w:t>aux</w:t>
      </w:r>
      <w:r>
        <w:rPr>
          <w:color w:val="231F20"/>
          <w:spacing w:val="-4"/>
          <w:vertAlign w:val="baseline"/>
        </w:rPr>
        <w:t> </w:t>
      </w:r>
      <w:r>
        <w:rPr>
          <w:color w:val="231F20"/>
          <w:vertAlign w:val="baseline"/>
        </w:rPr>
        <w:t>dimensions</w:t>
      </w:r>
      <w:r>
        <w:rPr>
          <w:color w:val="231F20"/>
          <w:spacing w:val="-4"/>
          <w:vertAlign w:val="baseline"/>
        </w:rPr>
        <w:t> </w:t>
      </w:r>
      <w:r>
        <w:rPr>
          <w:color w:val="231F20"/>
          <w:vertAlign w:val="baseline"/>
        </w:rPr>
        <w:t>d’un</w:t>
      </w:r>
      <w:r>
        <w:rPr>
          <w:color w:val="231F20"/>
          <w:spacing w:val="-4"/>
          <w:vertAlign w:val="baseline"/>
        </w:rPr>
        <w:t> </w:t>
      </w:r>
      <w:r>
        <w:rPr>
          <w:color w:val="231F20"/>
          <w:vertAlign w:val="baseline"/>
        </w:rPr>
        <w:t>sous-continent,</w:t>
      </w:r>
      <w:r>
        <w:rPr>
          <w:color w:val="231F20"/>
          <w:spacing w:val="-5"/>
          <w:vertAlign w:val="baseline"/>
        </w:rPr>
        <w:t> </w:t>
      </w:r>
      <w:r>
        <w:rPr>
          <w:color w:val="231F20"/>
          <w:vertAlign w:val="baseline"/>
        </w:rPr>
        <w:t>quatre</w:t>
      </w:r>
      <w:r>
        <w:rPr>
          <w:color w:val="231F20"/>
          <w:spacing w:val="-5"/>
          <w:vertAlign w:val="baseline"/>
        </w:rPr>
        <w:t> </w:t>
      </w:r>
      <w:r>
        <w:rPr>
          <w:color w:val="231F20"/>
          <w:vertAlign w:val="baseline"/>
        </w:rPr>
        <w:t>fois</w:t>
      </w:r>
      <w:r>
        <w:rPr>
          <w:color w:val="231F20"/>
          <w:spacing w:val="-5"/>
          <w:vertAlign w:val="baseline"/>
        </w:rPr>
        <w:t> </w:t>
      </w:r>
      <w:r>
        <w:rPr>
          <w:color w:val="231F20"/>
          <w:vertAlign w:val="baseline"/>
        </w:rPr>
        <w:t>plus</w:t>
      </w:r>
      <w:r>
        <w:rPr>
          <w:color w:val="231F20"/>
          <w:spacing w:val="-5"/>
          <w:vertAlign w:val="baseline"/>
        </w:rPr>
        <w:t> </w:t>
      </w:r>
      <w:r>
        <w:rPr>
          <w:color w:val="231F20"/>
          <w:vertAlign w:val="baseline"/>
        </w:rPr>
        <w:t>grand</w:t>
      </w:r>
      <w:r>
        <w:rPr>
          <w:color w:val="231F20"/>
          <w:spacing w:val="-5"/>
          <w:vertAlign w:val="baseline"/>
        </w:rPr>
        <w:t> </w:t>
      </w:r>
      <w:r>
        <w:rPr>
          <w:color w:val="231F20"/>
          <w:vertAlign w:val="baseline"/>
        </w:rPr>
        <w:t>que</w:t>
      </w:r>
      <w:r>
        <w:rPr>
          <w:color w:val="231F20"/>
          <w:spacing w:val="-5"/>
          <w:vertAlign w:val="baseline"/>
        </w:rPr>
        <w:t> </w:t>
      </w:r>
      <w:r>
        <w:rPr>
          <w:color w:val="231F20"/>
          <w:vertAlign w:val="baseline"/>
        </w:rPr>
        <w:t>la France et 80 fois plus que la Belgique.</w:t>
      </w:r>
    </w:p>
    <w:p>
      <w:pPr>
        <w:pStyle w:val="BodyText"/>
        <w:spacing w:before="121"/>
        <w:ind w:right="105" w:firstLine="283"/>
      </w:pPr>
      <w:r>
        <w:rPr>
          <w:color w:val="231F20"/>
        </w:rPr>
        <w:t>Lors de la table ronde de Bruxelles sur l’indépendance du Congo, Joseph Kasa-Vubu insiste pour obtenir la libération immédiate de </w:t>
      </w:r>
      <w:r>
        <w:rPr>
          <w:color w:val="231F20"/>
          <w:spacing w:val="-4"/>
        </w:rPr>
        <w:t>Lumumba</w:t>
      </w:r>
      <w:r>
        <w:rPr>
          <w:color w:val="231F20"/>
          <w:spacing w:val="-5"/>
        </w:rPr>
        <w:t> </w:t>
      </w:r>
      <w:r>
        <w:rPr>
          <w:color w:val="231F20"/>
          <w:spacing w:val="-4"/>
        </w:rPr>
        <w:t>et sa</w:t>
      </w:r>
      <w:r>
        <w:rPr>
          <w:color w:val="231F20"/>
          <w:spacing w:val="-7"/>
        </w:rPr>
        <w:t> </w:t>
      </w:r>
      <w:r>
        <w:rPr>
          <w:color w:val="231F20"/>
          <w:spacing w:val="-4"/>
        </w:rPr>
        <w:t>participation aux</w:t>
      </w:r>
      <w:r>
        <w:rPr>
          <w:color w:val="231F20"/>
          <w:spacing w:val="-6"/>
        </w:rPr>
        <w:t> </w:t>
      </w:r>
      <w:r>
        <w:rPr>
          <w:color w:val="231F20"/>
          <w:spacing w:val="-4"/>
        </w:rPr>
        <w:t>discussions.</w:t>
      </w:r>
      <w:r>
        <w:rPr>
          <w:color w:val="231F20"/>
          <w:spacing w:val="-6"/>
        </w:rPr>
        <w:t> </w:t>
      </w:r>
      <w:r>
        <w:rPr>
          <w:color w:val="231F20"/>
          <w:spacing w:val="-4"/>
        </w:rPr>
        <w:t>Ce</w:t>
      </w:r>
      <w:r>
        <w:rPr>
          <w:color w:val="231F20"/>
          <w:spacing w:val="-7"/>
        </w:rPr>
        <w:t> </w:t>
      </w:r>
      <w:r>
        <w:rPr>
          <w:color w:val="231F20"/>
          <w:spacing w:val="-4"/>
        </w:rPr>
        <w:t>qui</w:t>
      </w:r>
      <w:r>
        <w:rPr>
          <w:color w:val="231F20"/>
          <w:spacing w:val="-6"/>
        </w:rPr>
        <w:t> </w:t>
      </w:r>
      <w:r>
        <w:rPr>
          <w:color w:val="231F20"/>
          <w:spacing w:val="-4"/>
        </w:rPr>
        <w:t>est</w:t>
      </w:r>
      <w:r>
        <w:rPr>
          <w:color w:val="231F20"/>
          <w:spacing w:val="-6"/>
        </w:rPr>
        <w:t> </w:t>
      </w:r>
      <w:r>
        <w:rPr>
          <w:color w:val="231F20"/>
          <w:spacing w:val="-4"/>
        </w:rPr>
        <w:t>fait</w:t>
      </w:r>
      <w:r>
        <w:rPr>
          <w:color w:val="231F20"/>
          <w:spacing w:val="-6"/>
        </w:rPr>
        <w:t> </w:t>
      </w:r>
      <w:r>
        <w:rPr>
          <w:color w:val="231F20"/>
          <w:spacing w:val="-4"/>
        </w:rPr>
        <w:t>le</w:t>
      </w:r>
      <w:r>
        <w:rPr>
          <w:color w:val="231F20"/>
          <w:spacing w:val="-9"/>
        </w:rPr>
        <w:t> </w:t>
      </w:r>
      <w:r>
        <w:rPr>
          <w:color w:val="231F20"/>
          <w:spacing w:val="-4"/>
        </w:rPr>
        <w:t>26</w:t>
      </w:r>
      <w:r>
        <w:rPr>
          <w:color w:val="231F20"/>
          <w:spacing w:val="-6"/>
        </w:rPr>
        <w:t> </w:t>
      </w:r>
      <w:r>
        <w:rPr>
          <w:color w:val="231F20"/>
          <w:spacing w:val="-4"/>
        </w:rPr>
        <w:t>janvier.</w:t>
      </w:r>
    </w:p>
    <w:p>
      <w:pPr>
        <w:pStyle w:val="BodyText"/>
        <w:spacing w:before="120"/>
        <w:ind w:right="105" w:firstLine="283"/>
      </w:pPr>
      <w:r>
        <w:rPr>
          <w:color w:val="231F20"/>
          <w:spacing w:val="-2"/>
        </w:rPr>
        <w:t>En</w:t>
      </w:r>
      <w:r>
        <w:rPr>
          <w:color w:val="231F20"/>
          <w:spacing w:val="-13"/>
        </w:rPr>
        <w:t> </w:t>
      </w:r>
      <w:r>
        <w:rPr>
          <w:color w:val="231F20"/>
          <w:spacing w:val="-2"/>
        </w:rPr>
        <w:t>Belgique,</w:t>
      </w:r>
      <w:r>
        <w:rPr>
          <w:color w:val="231F20"/>
          <w:spacing w:val="-13"/>
        </w:rPr>
        <w:t> </w:t>
      </w:r>
      <w:r>
        <w:rPr>
          <w:color w:val="231F20"/>
          <w:spacing w:val="-2"/>
        </w:rPr>
        <w:t>malgré</w:t>
      </w:r>
      <w:r>
        <w:rPr>
          <w:color w:val="231F20"/>
          <w:spacing w:val="-13"/>
        </w:rPr>
        <w:t> </w:t>
      </w:r>
      <w:r>
        <w:rPr>
          <w:color w:val="231F20"/>
          <w:spacing w:val="-2"/>
        </w:rPr>
        <w:t>leurs</w:t>
      </w:r>
      <w:r>
        <w:rPr>
          <w:color w:val="231F20"/>
          <w:spacing w:val="-13"/>
        </w:rPr>
        <w:t> </w:t>
      </w:r>
      <w:r>
        <w:rPr>
          <w:color w:val="231F20"/>
          <w:spacing w:val="-2"/>
        </w:rPr>
        <w:t>dissensions</w:t>
      </w:r>
      <w:r>
        <w:rPr>
          <w:color w:val="231F20"/>
          <w:spacing w:val="-13"/>
        </w:rPr>
        <w:t> </w:t>
      </w:r>
      <w:r>
        <w:rPr>
          <w:color w:val="231F20"/>
          <w:spacing w:val="-2"/>
        </w:rPr>
        <w:t>internes,</w:t>
      </w:r>
      <w:r>
        <w:rPr>
          <w:color w:val="231F20"/>
          <w:spacing w:val="-13"/>
        </w:rPr>
        <w:t> </w:t>
      </w:r>
      <w:r>
        <w:rPr>
          <w:color w:val="231F20"/>
          <w:spacing w:val="-2"/>
        </w:rPr>
        <w:t>les</w:t>
      </w:r>
      <w:r>
        <w:rPr>
          <w:color w:val="231F20"/>
          <w:spacing w:val="-13"/>
        </w:rPr>
        <w:t> </w:t>
      </w:r>
      <w:r>
        <w:rPr>
          <w:color w:val="231F20"/>
          <w:spacing w:val="-2"/>
        </w:rPr>
        <w:t>différents</w:t>
      </w:r>
      <w:r>
        <w:rPr>
          <w:color w:val="231F20"/>
          <w:spacing w:val="-13"/>
        </w:rPr>
        <w:t> </w:t>
      </w:r>
      <w:r>
        <w:rPr>
          <w:color w:val="231F20"/>
          <w:spacing w:val="-2"/>
        </w:rPr>
        <w:t>partis</w:t>
      </w:r>
      <w:r>
        <w:rPr>
          <w:color w:val="231F20"/>
          <w:spacing w:val="-13"/>
        </w:rPr>
        <w:t> </w:t>
      </w:r>
      <w:r>
        <w:rPr>
          <w:color w:val="231F20"/>
          <w:spacing w:val="-2"/>
        </w:rPr>
        <w:t>ou </w:t>
      </w:r>
      <w:r>
        <w:rPr>
          <w:color w:val="231F20"/>
        </w:rPr>
        <w:t>mouvements Congolais, l’unitariste Mouvement National Congolais </w:t>
      </w:r>
      <w:r>
        <w:rPr>
          <w:color w:val="231F20"/>
          <w:spacing w:val="-4"/>
        </w:rPr>
        <w:t>(MNC)</w:t>
      </w:r>
      <w:r>
        <w:rPr>
          <w:color w:val="231F20"/>
          <w:spacing w:val="-11"/>
        </w:rPr>
        <w:t> </w:t>
      </w:r>
      <w:r>
        <w:rPr>
          <w:color w:val="231F20"/>
          <w:spacing w:val="-4"/>
        </w:rPr>
        <w:t>de</w:t>
      </w:r>
      <w:r>
        <w:rPr>
          <w:color w:val="231F20"/>
          <w:spacing w:val="-11"/>
        </w:rPr>
        <w:t> </w:t>
      </w:r>
      <w:r>
        <w:rPr>
          <w:color w:val="231F20"/>
          <w:spacing w:val="-4"/>
        </w:rPr>
        <w:t>Patrice</w:t>
      </w:r>
      <w:r>
        <w:rPr>
          <w:color w:val="231F20"/>
          <w:spacing w:val="-11"/>
        </w:rPr>
        <w:t> </w:t>
      </w:r>
      <w:r>
        <w:rPr>
          <w:color w:val="231F20"/>
          <w:spacing w:val="-4"/>
        </w:rPr>
        <w:t>Lumumba,</w:t>
      </w:r>
      <w:r>
        <w:rPr>
          <w:color w:val="231F20"/>
          <w:spacing w:val="-11"/>
        </w:rPr>
        <w:t> </w:t>
      </w:r>
      <w:r>
        <w:rPr>
          <w:color w:val="231F20"/>
          <w:spacing w:val="-4"/>
        </w:rPr>
        <w:t>l’ABAKO,</w:t>
      </w:r>
      <w:r>
        <w:rPr>
          <w:color w:val="231F20"/>
          <w:spacing w:val="-11"/>
        </w:rPr>
        <w:t> </w:t>
      </w:r>
      <w:r>
        <w:rPr>
          <w:color w:val="231F20"/>
          <w:spacing w:val="-4"/>
        </w:rPr>
        <w:t>association</w:t>
      </w:r>
      <w:r>
        <w:rPr>
          <w:color w:val="231F20"/>
          <w:spacing w:val="-11"/>
        </w:rPr>
        <w:t> </w:t>
      </w:r>
      <w:r>
        <w:rPr>
          <w:color w:val="231F20"/>
          <w:spacing w:val="-4"/>
        </w:rPr>
        <w:t>culturelle</w:t>
      </w:r>
      <w:r>
        <w:rPr>
          <w:color w:val="231F20"/>
          <w:spacing w:val="-11"/>
        </w:rPr>
        <w:t> </w:t>
      </w:r>
      <w:r>
        <w:rPr>
          <w:color w:val="231F20"/>
          <w:spacing w:val="-4"/>
        </w:rPr>
        <w:t>de</w:t>
      </w:r>
      <w:r>
        <w:rPr>
          <w:color w:val="231F20"/>
          <w:spacing w:val="-11"/>
        </w:rPr>
        <w:t> </w:t>
      </w:r>
      <w:r>
        <w:rPr>
          <w:color w:val="231F20"/>
          <w:spacing w:val="-4"/>
        </w:rPr>
        <w:t>l’ethnie </w:t>
      </w:r>
      <w:r>
        <w:rPr>
          <w:color w:val="231F20"/>
        </w:rPr>
        <w:t>Bakongo</w:t>
      </w:r>
      <w:r>
        <w:rPr>
          <w:color w:val="231F20"/>
          <w:spacing w:val="-11"/>
        </w:rPr>
        <w:t> </w:t>
      </w:r>
      <w:r>
        <w:rPr>
          <w:color w:val="231F20"/>
        </w:rPr>
        <w:t>du</w:t>
      </w:r>
      <w:r>
        <w:rPr>
          <w:color w:val="231F20"/>
          <w:spacing w:val="-11"/>
        </w:rPr>
        <w:t> </w:t>
      </w:r>
      <w:r>
        <w:rPr>
          <w:color w:val="231F20"/>
        </w:rPr>
        <w:t>fédéraliste</w:t>
      </w:r>
      <w:r>
        <w:rPr>
          <w:color w:val="231F20"/>
          <w:spacing w:val="-11"/>
        </w:rPr>
        <w:t> </w:t>
      </w:r>
      <w:r>
        <w:rPr>
          <w:color w:val="231F20"/>
        </w:rPr>
        <w:t>Kasa-Vubu,</w:t>
      </w:r>
      <w:r>
        <w:rPr>
          <w:color w:val="231F20"/>
          <w:spacing w:val="-11"/>
        </w:rPr>
        <w:t> </w:t>
      </w:r>
      <w:r>
        <w:rPr>
          <w:color w:val="231F20"/>
        </w:rPr>
        <w:t>le</w:t>
      </w:r>
      <w:r>
        <w:rPr>
          <w:color w:val="231F20"/>
          <w:spacing w:val="-14"/>
        </w:rPr>
        <w:t> </w:t>
      </w:r>
      <w:r>
        <w:rPr>
          <w:color w:val="231F20"/>
        </w:rPr>
        <w:t>CONOKAT</w:t>
      </w:r>
      <w:r>
        <w:rPr>
          <w:color w:val="231F20"/>
          <w:spacing w:val="-14"/>
        </w:rPr>
        <w:t> </w:t>
      </w:r>
      <w:r>
        <w:rPr>
          <w:color w:val="231F20"/>
        </w:rPr>
        <w:t>de</w:t>
      </w:r>
      <w:r>
        <w:rPr>
          <w:color w:val="231F20"/>
          <w:spacing w:val="-11"/>
        </w:rPr>
        <w:t> </w:t>
      </w:r>
      <w:r>
        <w:rPr>
          <w:color w:val="231F20"/>
        </w:rPr>
        <w:t>Moïse</w:t>
      </w:r>
      <w:r>
        <w:rPr>
          <w:color w:val="231F20"/>
          <w:spacing w:val="-11"/>
        </w:rPr>
        <w:t> </w:t>
      </w:r>
      <w:r>
        <w:rPr>
          <w:color w:val="231F20"/>
        </w:rPr>
        <w:t>Tshombé, qui</w:t>
      </w:r>
      <w:r>
        <w:rPr>
          <w:color w:val="231F20"/>
          <w:spacing w:val="-7"/>
        </w:rPr>
        <w:t> </w:t>
      </w:r>
      <w:r>
        <w:rPr>
          <w:color w:val="231F20"/>
        </w:rPr>
        <w:t>représente</w:t>
      </w:r>
      <w:r>
        <w:rPr>
          <w:color w:val="231F20"/>
          <w:spacing w:val="-7"/>
        </w:rPr>
        <w:t> </w:t>
      </w:r>
      <w:r>
        <w:rPr>
          <w:color w:val="231F20"/>
        </w:rPr>
        <w:t>la</w:t>
      </w:r>
      <w:r>
        <w:rPr>
          <w:color w:val="231F20"/>
          <w:spacing w:val="-7"/>
        </w:rPr>
        <w:t> </w:t>
      </w:r>
      <w:r>
        <w:rPr>
          <w:color w:val="231F20"/>
        </w:rPr>
        <w:t>province</w:t>
      </w:r>
      <w:r>
        <w:rPr>
          <w:color w:val="231F20"/>
          <w:spacing w:val="-9"/>
        </w:rPr>
        <w:t> </w:t>
      </w:r>
      <w:r>
        <w:rPr>
          <w:color w:val="231F20"/>
        </w:rPr>
        <w:t>du</w:t>
      </w:r>
      <w:r>
        <w:rPr>
          <w:color w:val="231F20"/>
          <w:spacing w:val="-7"/>
        </w:rPr>
        <w:t> </w:t>
      </w:r>
      <w:r>
        <w:rPr>
          <w:color w:val="231F20"/>
        </w:rPr>
        <w:t>Katanga,</w:t>
      </w:r>
      <w:r>
        <w:rPr>
          <w:color w:val="231F20"/>
          <w:spacing w:val="-7"/>
        </w:rPr>
        <w:t> </w:t>
      </w:r>
      <w:r>
        <w:rPr>
          <w:color w:val="231F20"/>
        </w:rPr>
        <w:t>forment</w:t>
      </w:r>
      <w:r>
        <w:rPr>
          <w:color w:val="231F20"/>
          <w:spacing w:val="-7"/>
        </w:rPr>
        <w:t> </w:t>
      </w:r>
      <w:r>
        <w:rPr>
          <w:color w:val="231F20"/>
        </w:rPr>
        <w:t>un</w:t>
      </w:r>
      <w:r>
        <w:rPr>
          <w:color w:val="231F20"/>
          <w:spacing w:val="-8"/>
        </w:rPr>
        <w:t> </w:t>
      </w:r>
      <w:r>
        <w:rPr>
          <w:color w:val="231F20"/>
        </w:rPr>
        <w:t>front</w:t>
      </w:r>
      <w:r>
        <w:rPr>
          <w:color w:val="231F20"/>
          <w:spacing w:val="-7"/>
        </w:rPr>
        <w:t> </w:t>
      </w:r>
      <w:r>
        <w:rPr>
          <w:color w:val="231F20"/>
        </w:rPr>
        <w:t>uni</w:t>
      </w:r>
      <w:r>
        <w:rPr>
          <w:color w:val="231F20"/>
          <w:spacing w:val="-6"/>
        </w:rPr>
        <w:t> </w:t>
      </w:r>
      <w:r>
        <w:rPr>
          <w:color w:val="231F20"/>
        </w:rPr>
        <w:t>et</w:t>
      </w:r>
      <w:r>
        <w:rPr>
          <w:color w:val="231F20"/>
          <w:spacing w:val="-7"/>
        </w:rPr>
        <w:t> </w:t>
      </w:r>
      <w:r>
        <w:rPr>
          <w:color w:val="231F20"/>
        </w:rPr>
        <w:t>«</w:t>
      </w:r>
      <w:r>
        <w:rPr>
          <w:color w:val="231F20"/>
          <w:spacing w:val="-15"/>
        </w:rPr>
        <w:t> </w:t>
      </w:r>
      <w:r>
        <w:rPr>
          <w:color w:val="231F20"/>
        </w:rPr>
        <w:t>dans</w:t>
      </w:r>
      <w:r>
        <w:rPr>
          <w:color w:val="231F20"/>
          <w:spacing w:val="-6"/>
        </w:rPr>
        <w:t> </w:t>
      </w:r>
      <w:r>
        <w:rPr>
          <w:color w:val="231F20"/>
        </w:rPr>
        <w:t>la plus</w:t>
      </w:r>
      <w:r>
        <w:rPr>
          <w:color w:val="231F20"/>
          <w:spacing w:val="-15"/>
        </w:rPr>
        <w:t> </w:t>
      </w:r>
      <w:r>
        <w:rPr>
          <w:color w:val="231F20"/>
        </w:rPr>
        <w:t>totale</w:t>
      </w:r>
      <w:r>
        <w:rPr>
          <w:color w:val="231F20"/>
          <w:spacing w:val="-7"/>
        </w:rPr>
        <w:t> </w:t>
      </w:r>
      <w:r>
        <w:rPr>
          <w:color w:val="231F20"/>
        </w:rPr>
        <w:t>improvisation</w:t>
      </w:r>
      <w:r>
        <w:rPr>
          <w:color w:val="231F20"/>
          <w:spacing w:val="-15"/>
        </w:rPr>
        <w:t> </w:t>
      </w:r>
      <w:r>
        <w:rPr>
          <w:color w:val="231F20"/>
        </w:rPr>
        <w:t>»,</w:t>
      </w:r>
      <w:r>
        <w:rPr>
          <w:color w:val="231F20"/>
          <w:spacing w:val="-6"/>
        </w:rPr>
        <w:t> </w:t>
      </w:r>
      <w:r>
        <w:rPr>
          <w:color w:val="231F20"/>
        </w:rPr>
        <w:t>obtiennent</w:t>
      </w:r>
      <w:r>
        <w:rPr>
          <w:color w:val="231F20"/>
          <w:spacing w:val="-8"/>
        </w:rPr>
        <w:t> </w:t>
      </w:r>
      <w:r>
        <w:rPr>
          <w:color w:val="231F20"/>
        </w:rPr>
        <w:t>que</w:t>
      </w:r>
      <w:r>
        <w:rPr>
          <w:color w:val="231F20"/>
          <w:spacing w:val="-8"/>
        </w:rPr>
        <w:t> </w:t>
      </w:r>
      <w:r>
        <w:rPr>
          <w:color w:val="231F20"/>
        </w:rPr>
        <w:t>l’indépendance</w:t>
      </w:r>
      <w:r>
        <w:rPr>
          <w:color w:val="231F20"/>
          <w:spacing w:val="-6"/>
        </w:rPr>
        <w:t> </w:t>
      </w:r>
      <w:r>
        <w:rPr>
          <w:color w:val="231F20"/>
        </w:rPr>
        <w:t>de</w:t>
      </w:r>
      <w:r>
        <w:rPr>
          <w:color w:val="231F20"/>
          <w:spacing w:val="-8"/>
        </w:rPr>
        <w:t> </w:t>
      </w:r>
      <w:r>
        <w:rPr>
          <w:color w:val="231F20"/>
        </w:rPr>
        <w:t>leur</w:t>
      </w:r>
      <w:r>
        <w:rPr>
          <w:color w:val="231F20"/>
          <w:spacing w:val="-8"/>
        </w:rPr>
        <w:t> </w:t>
      </w:r>
      <w:r>
        <w:rPr>
          <w:color w:val="231F20"/>
        </w:rPr>
        <w:t>pays </w:t>
      </w:r>
      <w:r>
        <w:rPr>
          <w:color w:val="231F20"/>
          <w:spacing w:val="-2"/>
        </w:rPr>
        <w:t>soit</w:t>
      </w:r>
      <w:r>
        <w:rPr>
          <w:color w:val="231F20"/>
          <w:spacing w:val="-15"/>
        </w:rPr>
        <w:t> </w:t>
      </w:r>
      <w:r>
        <w:rPr>
          <w:color w:val="231F20"/>
          <w:spacing w:val="-2"/>
        </w:rPr>
        <w:t>fixée</w:t>
      </w:r>
      <w:r>
        <w:rPr>
          <w:color w:val="231F20"/>
          <w:spacing w:val="-13"/>
        </w:rPr>
        <w:t> </w:t>
      </w:r>
      <w:r>
        <w:rPr>
          <w:color w:val="231F20"/>
          <w:spacing w:val="-2"/>
        </w:rPr>
        <w:t>au</w:t>
      </w:r>
      <w:r>
        <w:rPr>
          <w:color w:val="231F20"/>
          <w:spacing w:val="-13"/>
        </w:rPr>
        <w:t> </w:t>
      </w:r>
      <w:r>
        <w:rPr>
          <w:color w:val="231F20"/>
          <w:spacing w:val="-2"/>
        </w:rPr>
        <w:t>1er</w:t>
      </w:r>
      <w:r>
        <w:rPr>
          <w:color w:val="231F20"/>
          <w:spacing w:val="-13"/>
        </w:rPr>
        <w:t> </w:t>
      </w:r>
      <w:r>
        <w:rPr>
          <w:color w:val="231F20"/>
          <w:spacing w:val="-2"/>
        </w:rPr>
        <w:t>juillet</w:t>
      </w:r>
      <w:r>
        <w:rPr>
          <w:color w:val="231F20"/>
          <w:spacing w:val="-13"/>
        </w:rPr>
        <w:t> </w:t>
      </w:r>
      <w:r>
        <w:rPr>
          <w:color w:val="231F20"/>
          <w:spacing w:val="-2"/>
        </w:rPr>
        <w:t>1960.</w:t>
      </w:r>
      <w:r>
        <w:rPr>
          <w:color w:val="231F20"/>
          <w:spacing w:val="-13"/>
        </w:rPr>
        <w:t> </w:t>
      </w:r>
      <w:r>
        <w:rPr>
          <w:color w:val="231F20"/>
          <w:spacing w:val="-2"/>
        </w:rPr>
        <w:t>Tous</w:t>
      </w:r>
      <w:r>
        <w:rPr>
          <w:color w:val="231F20"/>
          <w:spacing w:val="-13"/>
        </w:rPr>
        <w:t> </w:t>
      </w:r>
      <w:r>
        <w:rPr>
          <w:color w:val="231F20"/>
          <w:spacing w:val="-2"/>
        </w:rPr>
        <w:t>n’avaient</w:t>
      </w:r>
      <w:r>
        <w:rPr>
          <w:color w:val="231F20"/>
          <w:spacing w:val="-13"/>
        </w:rPr>
        <w:t> </w:t>
      </w:r>
      <w:r>
        <w:rPr>
          <w:color w:val="231F20"/>
          <w:spacing w:val="-2"/>
        </w:rPr>
        <w:t>qu’un</w:t>
      </w:r>
      <w:r>
        <w:rPr>
          <w:color w:val="231F20"/>
          <w:spacing w:val="-13"/>
        </w:rPr>
        <w:t> </w:t>
      </w:r>
      <w:r>
        <w:rPr>
          <w:color w:val="231F20"/>
          <w:spacing w:val="-2"/>
        </w:rPr>
        <w:t>but</w:t>
      </w:r>
      <w:r>
        <w:rPr>
          <w:color w:val="231F20"/>
          <w:spacing w:val="-13"/>
        </w:rPr>
        <w:t> </w:t>
      </w:r>
      <w:r>
        <w:rPr>
          <w:color w:val="231F20"/>
          <w:spacing w:val="-2"/>
        </w:rPr>
        <w:t>:</w:t>
      </w:r>
      <w:r>
        <w:rPr>
          <w:color w:val="231F20"/>
          <w:spacing w:val="-13"/>
        </w:rPr>
        <w:t> </w:t>
      </w:r>
      <w:r>
        <w:rPr>
          <w:color w:val="231F20"/>
          <w:spacing w:val="-2"/>
        </w:rPr>
        <w:t>sortir</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tutelle </w:t>
      </w:r>
      <w:r>
        <w:rPr>
          <w:color w:val="231F20"/>
        </w:rPr>
        <w:t>belge. Un traité d’amitié Belgo-Congolais est signé le 29 juin 1960 et l’indépendance du Congo belge, devenu République du Congo, est proclamée le lendemain.</w:t>
      </w:r>
    </w:p>
    <w:p>
      <w:pPr>
        <w:pStyle w:val="BodyText"/>
        <w:spacing w:before="120"/>
        <w:ind w:right="106" w:firstLine="283"/>
      </w:pPr>
      <w:r>
        <w:rPr>
          <w:color w:val="231F20"/>
        </w:rPr>
        <w:t>Au cours de la cérémonie d’accession à l’indépendance du pays, Lumumba</w:t>
      </w:r>
      <w:r>
        <w:rPr>
          <w:color w:val="231F20"/>
          <w:spacing w:val="-14"/>
        </w:rPr>
        <w:t> </w:t>
      </w:r>
      <w:r>
        <w:rPr>
          <w:color w:val="231F20"/>
        </w:rPr>
        <w:t>dénonce</w:t>
      </w:r>
      <w:r>
        <w:rPr>
          <w:color w:val="231F20"/>
          <w:spacing w:val="-14"/>
        </w:rPr>
        <w:t> </w:t>
      </w:r>
      <w:r>
        <w:rPr>
          <w:color w:val="231F20"/>
        </w:rPr>
        <w:t>les</w:t>
      </w:r>
      <w:r>
        <w:rPr>
          <w:color w:val="231F20"/>
          <w:spacing w:val="-14"/>
        </w:rPr>
        <w:t> </w:t>
      </w:r>
      <w:r>
        <w:rPr>
          <w:color w:val="231F20"/>
        </w:rPr>
        <w:t>abus</w:t>
      </w:r>
      <w:r>
        <w:rPr>
          <w:color w:val="231F20"/>
          <w:spacing w:val="-14"/>
        </w:rPr>
        <w:t> </w:t>
      </w:r>
      <w:r>
        <w:rPr>
          <w:color w:val="231F20"/>
        </w:rPr>
        <w:t>de</w:t>
      </w:r>
      <w:r>
        <w:rPr>
          <w:color w:val="231F20"/>
          <w:spacing w:val="-15"/>
        </w:rPr>
        <w:t> </w:t>
      </w:r>
      <w:r>
        <w:rPr>
          <w:color w:val="231F20"/>
        </w:rPr>
        <w:t>la</w:t>
      </w:r>
      <w:r>
        <w:rPr>
          <w:color w:val="231F20"/>
          <w:spacing w:val="-14"/>
        </w:rPr>
        <w:t> </w:t>
      </w:r>
      <w:r>
        <w:rPr>
          <w:color w:val="231F20"/>
        </w:rPr>
        <w:t>politique</w:t>
      </w:r>
      <w:r>
        <w:rPr>
          <w:color w:val="231F20"/>
          <w:spacing w:val="-14"/>
        </w:rPr>
        <w:t> </w:t>
      </w:r>
      <w:r>
        <w:rPr>
          <w:color w:val="231F20"/>
        </w:rPr>
        <w:t>coloniale</w:t>
      </w:r>
      <w:r>
        <w:rPr>
          <w:color w:val="231F20"/>
          <w:spacing w:val="-15"/>
        </w:rPr>
        <w:t> </w:t>
      </w:r>
      <w:r>
        <w:rPr>
          <w:color w:val="231F20"/>
        </w:rPr>
        <w:t>belge</w:t>
      </w:r>
      <w:r>
        <w:rPr>
          <w:color w:val="231F20"/>
          <w:spacing w:val="-14"/>
        </w:rPr>
        <w:t> </w:t>
      </w:r>
      <w:r>
        <w:rPr>
          <w:color w:val="231F20"/>
        </w:rPr>
        <w:t>depuis</w:t>
      </w:r>
      <w:r>
        <w:rPr>
          <w:color w:val="231F20"/>
          <w:spacing w:val="-15"/>
        </w:rPr>
        <w:t> </w:t>
      </w:r>
      <w:r>
        <w:rPr>
          <w:color w:val="231F20"/>
        </w:rPr>
        <w:t>1885. Son</w:t>
      </w:r>
      <w:r>
        <w:rPr>
          <w:color w:val="231F20"/>
          <w:spacing w:val="-15"/>
        </w:rPr>
        <w:t> </w:t>
      </w:r>
      <w:r>
        <w:rPr>
          <w:color w:val="231F20"/>
        </w:rPr>
        <w:t>discours</w:t>
      </w:r>
      <w:r>
        <w:rPr>
          <w:color w:val="231F20"/>
          <w:spacing w:val="-15"/>
        </w:rPr>
        <w:t> </w:t>
      </w:r>
      <w:r>
        <w:rPr>
          <w:color w:val="231F20"/>
        </w:rPr>
        <w:t>proclame</w:t>
      </w:r>
      <w:r>
        <w:rPr>
          <w:color w:val="231F20"/>
          <w:spacing w:val="-15"/>
        </w:rPr>
        <w:t> </w:t>
      </w:r>
      <w:r>
        <w:rPr>
          <w:color w:val="231F20"/>
        </w:rPr>
        <w:t>vivement</w:t>
      </w:r>
      <w:r>
        <w:rPr>
          <w:color w:val="231F20"/>
          <w:spacing w:val="-15"/>
        </w:rPr>
        <w:t> </w:t>
      </w:r>
      <w:r>
        <w:rPr>
          <w:color w:val="231F20"/>
        </w:rPr>
        <w:t>que</w:t>
      </w:r>
      <w:r>
        <w:rPr>
          <w:color w:val="231F20"/>
          <w:spacing w:val="-15"/>
        </w:rPr>
        <w:t> </w:t>
      </w:r>
      <w:r>
        <w:rPr>
          <w:color w:val="231F20"/>
        </w:rPr>
        <w:t>l’indépendance</w:t>
      </w:r>
      <w:r>
        <w:rPr>
          <w:color w:val="231F20"/>
          <w:spacing w:val="-15"/>
        </w:rPr>
        <w:t> </w:t>
      </w:r>
      <w:r>
        <w:rPr>
          <w:color w:val="231F20"/>
        </w:rPr>
        <w:t>marque</w:t>
      </w:r>
      <w:r>
        <w:rPr>
          <w:color w:val="231F20"/>
          <w:spacing w:val="-15"/>
        </w:rPr>
        <w:t> </w:t>
      </w:r>
      <w:r>
        <w:rPr>
          <w:color w:val="231F20"/>
        </w:rPr>
        <w:t>la</w:t>
      </w:r>
      <w:r>
        <w:rPr>
          <w:color w:val="231F20"/>
          <w:spacing w:val="-15"/>
        </w:rPr>
        <w:t> </w:t>
      </w:r>
      <w:r>
        <w:rPr>
          <w:color w:val="231F20"/>
        </w:rPr>
        <w:t>fin</w:t>
      </w:r>
      <w:r>
        <w:rPr>
          <w:color w:val="231F20"/>
          <w:spacing w:val="-15"/>
        </w:rPr>
        <w:t> </w:t>
      </w:r>
      <w:r>
        <w:rPr>
          <w:color w:val="231F20"/>
        </w:rPr>
        <w:t>de</w:t>
      </w:r>
      <w:r>
        <w:rPr>
          <w:color w:val="231F20"/>
          <w:spacing w:val="-15"/>
        </w:rPr>
        <w:t> </w:t>
      </w:r>
      <w:r>
        <w:rPr>
          <w:color w:val="231F20"/>
        </w:rPr>
        <w:t>la </w:t>
      </w:r>
      <w:r>
        <w:rPr>
          <w:color w:val="231F20"/>
          <w:spacing w:val="-2"/>
        </w:rPr>
        <w:t>politique</w:t>
      </w:r>
      <w:r>
        <w:rPr>
          <w:color w:val="231F20"/>
          <w:spacing w:val="-13"/>
        </w:rPr>
        <w:t> </w:t>
      </w:r>
      <w:r>
        <w:rPr>
          <w:color w:val="231F20"/>
          <w:spacing w:val="-2"/>
        </w:rPr>
        <w:t>d’exploitation</w:t>
      </w:r>
      <w:r>
        <w:rPr>
          <w:color w:val="231F20"/>
          <w:spacing w:val="-13"/>
        </w:rPr>
        <w:t> </w:t>
      </w:r>
      <w:r>
        <w:rPr>
          <w:color w:val="231F20"/>
          <w:spacing w:val="-2"/>
        </w:rPr>
        <w:t>et</w:t>
      </w:r>
      <w:r>
        <w:rPr>
          <w:color w:val="231F20"/>
          <w:spacing w:val="-13"/>
        </w:rPr>
        <w:t> </w:t>
      </w:r>
      <w:r>
        <w:rPr>
          <w:color w:val="231F20"/>
          <w:spacing w:val="-2"/>
        </w:rPr>
        <w:t>de</w:t>
      </w:r>
      <w:r>
        <w:rPr>
          <w:color w:val="231F20"/>
          <w:spacing w:val="-12"/>
        </w:rPr>
        <w:t> </w:t>
      </w:r>
      <w:r>
        <w:rPr>
          <w:color w:val="231F20"/>
          <w:spacing w:val="-2"/>
        </w:rPr>
        <w:t>discrimination</w:t>
      </w:r>
      <w:r>
        <w:rPr>
          <w:color w:val="231F20"/>
          <w:spacing w:val="-13"/>
        </w:rPr>
        <w:t> </w:t>
      </w:r>
      <w:r>
        <w:rPr>
          <w:color w:val="231F20"/>
          <w:spacing w:val="-2"/>
        </w:rPr>
        <w:t>et</w:t>
      </w:r>
      <w:r>
        <w:rPr>
          <w:color w:val="231F20"/>
          <w:spacing w:val="-13"/>
        </w:rPr>
        <w:t> </w:t>
      </w:r>
      <w:r>
        <w:rPr>
          <w:color w:val="231F20"/>
          <w:spacing w:val="-2"/>
        </w:rPr>
        <w:t>marque</w:t>
      </w:r>
      <w:r>
        <w:rPr>
          <w:color w:val="231F20"/>
          <w:spacing w:val="-12"/>
        </w:rPr>
        <w:t> </w:t>
      </w:r>
      <w:r>
        <w:rPr>
          <w:color w:val="231F20"/>
          <w:spacing w:val="-2"/>
        </w:rPr>
        <w:t>le</w:t>
      </w:r>
      <w:r>
        <w:rPr>
          <w:color w:val="231F20"/>
          <w:spacing w:val="-12"/>
        </w:rPr>
        <w:t> </w:t>
      </w:r>
      <w:r>
        <w:rPr>
          <w:color w:val="231F20"/>
          <w:spacing w:val="-2"/>
        </w:rPr>
        <w:t>début</w:t>
      </w:r>
      <w:r>
        <w:rPr>
          <w:color w:val="231F20"/>
          <w:spacing w:val="-13"/>
        </w:rPr>
        <w:t> </w:t>
      </w:r>
      <w:r>
        <w:rPr>
          <w:color w:val="231F20"/>
          <w:spacing w:val="-2"/>
        </w:rPr>
        <w:t>d’une</w:t>
      </w:r>
      <w:r>
        <w:rPr>
          <w:color w:val="231F20"/>
          <w:spacing w:val="-12"/>
        </w:rPr>
        <w:t> </w:t>
      </w:r>
      <w:r>
        <w:rPr>
          <w:color w:val="231F20"/>
          <w:spacing w:val="-2"/>
        </w:rPr>
        <w:t>ère </w:t>
      </w:r>
      <w:r>
        <w:rPr>
          <w:color w:val="231F20"/>
        </w:rPr>
        <w:t>nouvelle</w:t>
      </w:r>
      <w:r>
        <w:rPr>
          <w:color w:val="231F20"/>
          <w:spacing w:val="-2"/>
        </w:rPr>
        <w:t> </w:t>
      </w:r>
      <w:r>
        <w:rPr>
          <w:color w:val="231F20"/>
        </w:rPr>
        <w:t>de</w:t>
      </w:r>
      <w:r>
        <w:rPr>
          <w:color w:val="231F20"/>
          <w:spacing w:val="-2"/>
        </w:rPr>
        <w:t> </w:t>
      </w:r>
      <w:r>
        <w:rPr>
          <w:color w:val="231F20"/>
        </w:rPr>
        <w:t>paix,</w:t>
      </w:r>
      <w:r>
        <w:rPr>
          <w:color w:val="231F20"/>
          <w:spacing w:val="-4"/>
        </w:rPr>
        <w:t> </w:t>
      </w:r>
      <w:r>
        <w:rPr>
          <w:color w:val="231F20"/>
        </w:rPr>
        <w:t>de</w:t>
      </w:r>
      <w:r>
        <w:rPr>
          <w:color w:val="231F20"/>
          <w:spacing w:val="-2"/>
        </w:rPr>
        <w:t> </w:t>
      </w:r>
      <w:r>
        <w:rPr>
          <w:color w:val="231F20"/>
        </w:rPr>
        <w:t>justice</w:t>
      </w:r>
      <w:r>
        <w:rPr>
          <w:color w:val="231F20"/>
          <w:spacing w:val="-3"/>
        </w:rPr>
        <w:t> </w:t>
      </w:r>
      <w:r>
        <w:rPr>
          <w:color w:val="231F20"/>
        </w:rPr>
        <w:t>sociale</w:t>
      </w:r>
      <w:r>
        <w:rPr>
          <w:color w:val="231F20"/>
          <w:spacing w:val="-2"/>
        </w:rPr>
        <w:t> </w:t>
      </w:r>
      <w:r>
        <w:rPr>
          <w:color w:val="231F20"/>
        </w:rPr>
        <w:t>et</w:t>
      </w:r>
      <w:r>
        <w:rPr>
          <w:color w:val="231F20"/>
          <w:spacing w:val="-2"/>
        </w:rPr>
        <w:t> </w:t>
      </w:r>
      <w:r>
        <w:rPr>
          <w:color w:val="231F20"/>
        </w:rPr>
        <w:t>de</w:t>
      </w:r>
      <w:r>
        <w:rPr>
          <w:color w:val="231F20"/>
          <w:spacing w:val="-4"/>
        </w:rPr>
        <w:t> </w:t>
      </w:r>
      <w:r>
        <w:rPr>
          <w:color w:val="231F20"/>
        </w:rPr>
        <w:t>libertés.</w:t>
      </w:r>
    </w:p>
    <w:p>
      <w:pPr>
        <w:pStyle w:val="BodyText"/>
        <w:spacing w:before="121"/>
        <w:ind w:left="112" w:right="107" w:firstLine="283"/>
      </w:pPr>
      <w:r>
        <w:rPr>
          <w:color w:val="231F20"/>
        </w:rPr>
        <w:t>Au</w:t>
      </w:r>
      <w:r>
        <w:rPr>
          <w:color w:val="231F20"/>
          <w:spacing w:val="-14"/>
        </w:rPr>
        <w:t> </w:t>
      </w:r>
      <w:r>
        <w:rPr>
          <w:color w:val="231F20"/>
        </w:rPr>
        <w:t>cours</w:t>
      </w:r>
      <w:r>
        <w:rPr>
          <w:color w:val="231F20"/>
          <w:spacing w:val="-14"/>
        </w:rPr>
        <w:t> </w:t>
      </w:r>
      <w:r>
        <w:rPr>
          <w:color w:val="231F20"/>
        </w:rPr>
        <w:t>de</w:t>
      </w:r>
      <w:r>
        <w:rPr>
          <w:color w:val="231F20"/>
          <w:spacing w:val="-15"/>
        </w:rPr>
        <w:t> </w:t>
      </w:r>
      <w:r>
        <w:rPr>
          <w:color w:val="231F20"/>
        </w:rPr>
        <w:t>la</w:t>
      </w:r>
      <w:r>
        <w:rPr>
          <w:color w:val="231F20"/>
          <w:spacing w:val="-14"/>
        </w:rPr>
        <w:t> </w:t>
      </w:r>
      <w:r>
        <w:rPr>
          <w:color w:val="231F20"/>
        </w:rPr>
        <w:t>première</w:t>
      </w:r>
      <w:r>
        <w:rPr>
          <w:color w:val="231F20"/>
          <w:spacing w:val="-15"/>
        </w:rPr>
        <w:t> </w:t>
      </w:r>
      <w:r>
        <w:rPr>
          <w:color w:val="231F20"/>
        </w:rPr>
        <w:t>semaine</w:t>
      </w:r>
      <w:r>
        <w:rPr>
          <w:color w:val="231F20"/>
          <w:spacing w:val="-14"/>
        </w:rPr>
        <w:t> </w:t>
      </w:r>
      <w:r>
        <w:rPr>
          <w:color w:val="231F20"/>
        </w:rPr>
        <w:t>du</w:t>
      </w:r>
      <w:r>
        <w:rPr>
          <w:color w:val="231F20"/>
          <w:spacing w:val="-15"/>
        </w:rPr>
        <w:t> </w:t>
      </w:r>
      <w:r>
        <w:rPr>
          <w:color w:val="231F20"/>
        </w:rPr>
        <w:t>nouvel</w:t>
      </w:r>
      <w:r>
        <w:rPr>
          <w:color w:val="231F20"/>
          <w:spacing w:val="-14"/>
        </w:rPr>
        <w:t> </w:t>
      </w:r>
      <w:r>
        <w:rPr>
          <w:color w:val="231F20"/>
        </w:rPr>
        <w:t>état,</w:t>
      </w:r>
      <w:r>
        <w:rPr>
          <w:color w:val="231F20"/>
          <w:spacing w:val="-14"/>
        </w:rPr>
        <w:t> </w:t>
      </w:r>
      <w:r>
        <w:rPr>
          <w:color w:val="231F20"/>
        </w:rPr>
        <w:t>une</w:t>
      </w:r>
      <w:r>
        <w:rPr>
          <w:color w:val="231F20"/>
          <w:spacing w:val="-14"/>
        </w:rPr>
        <w:t> </w:t>
      </w:r>
      <w:r>
        <w:rPr>
          <w:color w:val="231F20"/>
        </w:rPr>
        <w:t>mutinerie</w:t>
      </w:r>
      <w:r>
        <w:rPr>
          <w:color w:val="231F20"/>
          <w:spacing w:val="-14"/>
        </w:rPr>
        <w:t> </w:t>
      </w:r>
      <w:r>
        <w:rPr>
          <w:color w:val="231F20"/>
        </w:rPr>
        <w:t>éclate dans</w:t>
      </w:r>
      <w:r>
        <w:rPr>
          <w:color w:val="231F20"/>
          <w:spacing w:val="-7"/>
        </w:rPr>
        <w:t> </w:t>
      </w:r>
      <w:r>
        <w:rPr>
          <w:color w:val="231F20"/>
        </w:rPr>
        <w:t>l’armée</w:t>
      </w:r>
      <w:r>
        <w:rPr>
          <w:color w:val="231F20"/>
          <w:spacing w:val="-15"/>
        </w:rPr>
        <w:t> </w:t>
      </w:r>
      <w:r>
        <w:rPr>
          <w:color w:val="231F20"/>
        </w:rPr>
        <w:t>tenue</w:t>
      </w:r>
      <w:r>
        <w:rPr>
          <w:color w:val="231F20"/>
          <w:spacing w:val="-4"/>
        </w:rPr>
        <w:t> </w:t>
      </w:r>
      <w:r>
        <w:rPr>
          <w:color w:val="231F20"/>
        </w:rPr>
        <w:t>par</w:t>
      </w:r>
      <w:r>
        <w:rPr>
          <w:color w:val="231F20"/>
          <w:spacing w:val="-4"/>
        </w:rPr>
        <w:t> </w:t>
      </w:r>
      <w:r>
        <w:rPr>
          <w:color w:val="231F20"/>
        </w:rPr>
        <w:t>des</w:t>
      </w:r>
      <w:r>
        <w:rPr>
          <w:color w:val="231F20"/>
          <w:spacing w:val="-4"/>
        </w:rPr>
        <w:t> </w:t>
      </w:r>
      <w:r>
        <w:rPr>
          <w:color w:val="231F20"/>
        </w:rPr>
        <w:t>officiers</w:t>
      </w:r>
      <w:r>
        <w:rPr>
          <w:color w:val="231F20"/>
          <w:spacing w:val="-4"/>
        </w:rPr>
        <w:t> </w:t>
      </w:r>
      <w:r>
        <w:rPr>
          <w:color w:val="231F20"/>
        </w:rPr>
        <w:t>belges</w:t>
      </w:r>
      <w:r>
        <w:rPr>
          <w:color w:val="231F20"/>
          <w:spacing w:val="-4"/>
        </w:rPr>
        <w:t> </w:t>
      </w:r>
      <w:r>
        <w:rPr>
          <w:color w:val="231F20"/>
        </w:rPr>
        <w:t>;</w:t>
      </w:r>
      <w:r>
        <w:rPr>
          <w:color w:val="231F20"/>
          <w:spacing w:val="-3"/>
        </w:rPr>
        <w:t> </w:t>
      </w:r>
      <w:r>
        <w:rPr>
          <w:color w:val="231F20"/>
        </w:rPr>
        <w:t>s’ensuit</w:t>
      </w:r>
      <w:r>
        <w:rPr>
          <w:color w:val="231F20"/>
          <w:spacing w:val="-3"/>
        </w:rPr>
        <w:t> </w:t>
      </w:r>
      <w:r>
        <w:rPr>
          <w:color w:val="231F20"/>
        </w:rPr>
        <w:t>une</w:t>
      </w:r>
      <w:r>
        <w:rPr>
          <w:color w:val="231F20"/>
          <w:spacing w:val="-4"/>
        </w:rPr>
        <w:t> </w:t>
      </w:r>
      <w:r>
        <w:rPr>
          <w:color w:val="231F20"/>
        </w:rPr>
        <w:t>escalade</w:t>
      </w:r>
      <w:r>
        <w:rPr>
          <w:color w:val="231F20"/>
          <w:spacing w:val="-4"/>
        </w:rPr>
        <w:t> </w:t>
      </w:r>
      <w:r>
        <w:rPr>
          <w:color w:val="231F20"/>
        </w:rPr>
        <w:t>de</w:t>
      </w:r>
      <w:r>
        <w:rPr>
          <w:color w:val="231F20"/>
          <w:spacing w:val="-4"/>
        </w:rPr>
        <w:t> </w:t>
      </w:r>
      <w:r>
        <w:rPr>
          <w:color w:val="231F20"/>
        </w:rPr>
        <w:t>la violence entre civils Blancs et Noirs.</w:t>
      </w:r>
    </w:p>
    <w:p>
      <w:pPr>
        <w:pStyle w:val="BodyText"/>
        <w:spacing w:before="120"/>
        <w:ind w:left="112" w:right="106" w:firstLine="283"/>
      </w:pPr>
      <w:r>
        <w:rPr>
          <w:color w:val="231F20"/>
        </w:rPr>
        <w:t>Le</w:t>
      </w:r>
      <w:r>
        <w:rPr>
          <w:color w:val="231F20"/>
          <w:spacing w:val="-6"/>
        </w:rPr>
        <w:t> </w:t>
      </w:r>
      <w:r>
        <w:rPr>
          <w:color w:val="231F20"/>
        </w:rPr>
        <w:t>11</w:t>
      </w:r>
      <w:r>
        <w:rPr>
          <w:color w:val="231F20"/>
          <w:spacing w:val="-9"/>
        </w:rPr>
        <w:t> </w:t>
      </w:r>
      <w:r>
        <w:rPr>
          <w:color w:val="231F20"/>
        </w:rPr>
        <w:t>juillet</w:t>
      </w:r>
      <w:r>
        <w:rPr>
          <w:color w:val="231F20"/>
          <w:spacing w:val="-6"/>
        </w:rPr>
        <w:t> </w:t>
      </w:r>
      <w:r>
        <w:rPr>
          <w:color w:val="231F20"/>
        </w:rPr>
        <w:t>1960,</w:t>
      </w:r>
      <w:r>
        <w:rPr>
          <w:color w:val="231F20"/>
          <w:spacing w:val="-9"/>
        </w:rPr>
        <w:t> </w:t>
      </w:r>
      <w:r>
        <w:rPr>
          <w:color w:val="231F20"/>
        </w:rPr>
        <w:t>une</w:t>
      </w:r>
      <w:r>
        <w:rPr>
          <w:color w:val="231F20"/>
          <w:spacing w:val="-6"/>
        </w:rPr>
        <w:t> </w:t>
      </w:r>
      <w:r>
        <w:rPr>
          <w:color w:val="231F20"/>
        </w:rPr>
        <w:t>douzaine</w:t>
      </w:r>
      <w:r>
        <w:rPr>
          <w:color w:val="231F20"/>
          <w:spacing w:val="-6"/>
        </w:rPr>
        <w:t> </w:t>
      </w:r>
      <w:r>
        <w:rPr>
          <w:color w:val="231F20"/>
        </w:rPr>
        <w:t>de</w:t>
      </w:r>
      <w:r>
        <w:rPr>
          <w:color w:val="231F20"/>
          <w:spacing w:val="-9"/>
        </w:rPr>
        <w:t> </w:t>
      </w:r>
      <w:r>
        <w:rPr>
          <w:color w:val="231F20"/>
        </w:rPr>
        <w:t>jours</w:t>
      </w:r>
      <w:r>
        <w:rPr>
          <w:color w:val="231F20"/>
          <w:spacing w:val="-6"/>
        </w:rPr>
        <w:t> </w:t>
      </w:r>
      <w:r>
        <w:rPr>
          <w:color w:val="231F20"/>
        </w:rPr>
        <w:t>après</w:t>
      </w:r>
      <w:r>
        <w:rPr>
          <w:color w:val="231F20"/>
          <w:spacing w:val="-8"/>
        </w:rPr>
        <w:t> </w:t>
      </w:r>
      <w:r>
        <w:rPr>
          <w:color w:val="231F20"/>
        </w:rPr>
        <w:t>son</w:t>
      </w:r>
      <w:r>
        <w:rPr>
          <w:color w:val="231F20"/>
          <w:spacing w:val="-6"/>
        </w:rPr>
        <w:t> </w:t>
      </w:r>
      <w:r>
        <w:rPr>
          <w:color w:val="231F20"/>
        </w:rPr>
        <w:t>indépendance,</w:t>
      </w:r>
      <w:r>
        <w:rPr>
          <w:color w:val="231F20"/>
          <w:spacing w:val="-9"/>
        </w:rPr>
        <w:t> </w:t>
      </w:r>
      <w:r>
        <w:rPr>
          <w:color w:val="231F20"/>
        </w:rPr>
        <w:t>le pays est au bord de l’éclatement</w:t>
      </w:r>
      <w:r>
        <w:rPr>
          <w:color w:val="231F20"/>
          <w:spacing w:val="-15"/>
        </w:rPr>
        <w:t> </w:t>
      </w:r>
      <w:r>
        <w:rPr>
          <w:color w:val="231F20"/>
        </w:rPr>
        <w:t>: la province du Katanga se proclame unilatéralement indépendante et prend le nom d’Etat du Katanga. La sécession</w:t>
      </w:r>
      <w:r>
        <w:rPr>
          <w:color w:val="231F20"/>
          <w:spacing w:val="17"/>
        </w:rPr>
        <w:t> </w:t>
      </w:r>
      <w:r>
        <w:rPr>
          <w:color w:val="231F20"/>
        </w:rPr>
        <w:t>est</w:t>
      </w:r>
      <w:r>
        <w:rPr>
          <w:color w:val="231F20"/>
          <w:spacing w:val="20"/>
        </w:rPr>
        <w:t> </w:t>
      </w:r>
      <w:r>
        <w:rPr>
          <w:color w:val="231F20"/>
        </w:rPr>
        <w:t>menée</w:t>
      </w:r>
      <w:r>
        <w:rPr>
          <w:color w:val="231F20"/>
          <w:spacing w:val="19"/>
        </w:rPr>
        <w:t> </w:t>
      </w:r>
      <w:r>
        <w:rPr>
          <w:color w:val="231F20"/>
        </w:rPr>
        <w:t>par</w:t>
      </w:r>
      <w:r>
        <w:rPr>
          <w:color w:val="231F20"/>
          <w:spacing w:val="17"/>
        </w:rPr>
        <w:t> </w:t>
      </w:r>
      <w:r>
        <w:rPr>
          <w:color w:val="231F20"/>
        </w:rPr>
        <w:t>Moïse</w:t>
      </w:r>
      <w:r>
        <w:rPr>
          <w:color w:val="231F20"/>
          <w:spacing w:val="20"/>
        </w:rPr>
        <w:t> </w:t>
      </w:r>
      <w:r>
        <w:rPr>
          <w:color w:val="231F20"/>
        </w:rPr>
        <w:t>Tshombé,</w:t>
      </w:r>
      <w:r>
        <w:rPr>
          <w:color w:val="231F20"/>
          <w:spacing w:val="19"/>
        </w:rPr>
        <w:t> </w:t>
      </w:r>
      <w:r>
        <w:rPr>
          <w:color w:val="231F20"/>
        </w:rPr>
        <w:t>fils</w:t>
      </w:r>
      <w:r>
        <w:rPr>
          <w:color w:val="231F20"/>
          <w:spacing w:val="20"/>
        </w:rPr>
        <w:t> </w:t>
      </w:r>
      <w:r>
        <w:rPr>
          <w:color w:val="231F20"/>
        </w:rPr>
        <w:t>d’un</w:t>
      </w:r>
      <w:r>
        <w:rPr>
          <w:color w:val="231F20"/>
          <w:spacing w:val="20"/>
        </w:rPr>
        <w:t> </w:t>
      </w:r>
      <w:r>
        <w:rPr>
          <w:color w:val="231F20"/>
        </w:rPr>
        <w:t>homme</w:t>
      </w:r>
      <w:r>
        <w:rPr>
          <w:color w:val="231F20"/>
          <w:spacing w:val="20"/>
        </w:rPr>
        <w:t> </w:t>
      </w:r>
      <w:r>
        <w:rPr>
          <w:color w:val="231F20"/>
          <w:spacing w:val="-2"/>
        </w:rPr>
        <w:t>d’affaires,</w:t>
      </w:r>
    </w:p>
    <w:p>
      <w:pPr>
        <w:spacing w:after="0"/>
        <w:sectPr>
          <w:pgSz w:w="8790" w:h="13610"/>
          <w:pgMar w:header="0" w:footer="802" w:top="1060" w:bottom="1000" w:left="880" w:right="880"/>
        </w:sectPr>
      </w:pPr>
    </w:p>
    <w:p>
      <w:pPr>
        <w:pStyle w:val="BodyText"/>
        <w:spacing w:before="86"/>
        <w:ind w:right="103"/>
      </w:pPr>
      <w:r>
        <w:rPr>
          <w:color w:val="231F20"/>
        </w:rPr>
        <w:t>descendant direct de Mwata Yamvo, roi Lunda</w:t>
      </w:r>
      <w:r>
        <w:rPr>
          <w:color w:val="76787A"/>
          <w:vertAlign w:val="superscript"/>
        </w:rPr>
        <w:t>44</w:t>
      </w:r>
      <w:r>
        <w:rPr>
          <w:color w:val="231F20"/>
          <w:vertAlign w:val="baseline"/>
        </w:rPr>
        <w:t>. De graves troubles ethniques éclatent. Les Katangais se mettent à chasser les immigrés </w:t>
      </w:r>
      <w:r>
        <w:rPr>
          <w:color w:val="231F20"/>
          <w:spacing w:val="-2"/>
          <w:vertAlign w:val="baseline"/>
        </w:rPr>
        <w:t>Kasaïens,</w:t>
      </w:r>
      <w:r>
        <w:rPr>
          <w:color w:val="231F20"/>
          <w:spacing w:val="-13"/>
          <w:vertAlign w:val="baseline"/>
        </w:rPr>
        <w:t> </w:t>
      </w:r>
      <w:r>
        <w:rPr>
          <w:color w:val="231F20"/>
          <w:spacing w:val="-2"/>
          <w:vertAlign w:val="baseline"/>
        </w:rPr>
        <w:t>de</w:t>
      </w:r>
      <w:r>
        <w:rPr>
          <w:color w:val="231F20"/>
          <w:spacing w:val="-10"/>
          <w:vertAlign w:val="baseline"/>
        </w:rPr>
        <w:t> </w:t>
      </w:r>
      <w:r>
        <w:rPr>
          <w:color w:val="231F20"/>
          <w:spacing w:val="-2"/>
          <w:vertAlign w:val="baseline"/>
        </w:rPr>
        <w:t>l’ethnie</w:t>
      </w:r>
      <w:r>
        <w:rPr>
          <w:color w:val="231F20"/>
          <w:spacing w:val="-13"/>
          <w:vertAlign w:val="baseline"/>
        </w:rPr>
        <w:t> </w:t>
      </w:r>
      <w:r>
        <w:rPr>
          <w:color w:val="231F20"/>
          <w:spacing w:val="-2"/>
          <w:vertAlign w:val="baseline"/>
        </w:rPr>
        <w:t>luba,</w:t>
      </w:r>
      <w:r>
        <w:rPr>
          <w:color w:val="231F20"/>
          <w:spacing w:val="-10"/>
          <w:vertAlign w:val="baseline"/>
        </w:rPr>
        <w:t> </w:t>
      </w:r>
      <w:r>
        <w:rPr>
          <w:color w:val="231F20"/>
          <w:spacing w:val="-2"/>
          <w:vertAlign w:val="baseline"/>
        </w:rPr>
        <w:t>que</w:t>
      </w:r>
      <w:r>
        <w:rPr>
          <w:color w:val="231F20"/>
          <w:spacing w:val="-10"/>
          <w:vertAlign w:val="baseline"/>
        </w:rPr>
        <w:t> </w:t>
      </w:r>
      <w:r>
        <w:rPr>
          <w:color w:val="231F20"/>
          <w:spacing w:val="-2"/>
          <w:vertAlign w:val="baseline"/>
        </w:rPr>
        <w:t>l’Administration</w:t>
      </w:r>
      <w:r>
        <w:rPr>
          <w:color w:val="231F20"/>
          <w:spacing w:val="-12"/>
          <w:vertAlign w:val="baseline"/>
        </w:rPr>
        <w:t> </w:t>
      </w:r>
      <w:r>
        <w:rPr>
          <w:color w:val="231F20"/>
          <w:spacing w:val="-2"/>
          <w:vertAlign w:val="baseline"/>
        </w:rPr>
        <w:t>coloniale</w:t>
      </w:r>
      <w:r>
        <w:rPr>
          <w:color w:val="231F20"/>
          <w:spacing w:val="-10"/>
          <w:vertAlign w:val="baseline"/>
        </w:rPr>
        <w:t> </w:t>
      </w:r>
      <w:r>
        <w:rPr>
          <w:color w:val="231F20"/>
          <w:spacing w:val="-2"/>
          <w:vertAlign w:val="baseline"/>
        </w:rPr>
        <w:t>avait</w:t>
      </w:r>
      <w:r>
        <w:rPr>
          <w:color w:val="231F20"/>
          <w:spacing w:val="-10"/>
          <w:vertAlign w:val="baseline"/>
        </w:rPr>
        <w:t> </w:t>
      </w:r>
      <w:r>
        <w:rPr>
          <w:color w:val="231F20"/>
          <w:spacing w:val="-2"/>
          <w:vertAlign w:val="baseline"/>
        </w:rPr>
        <w:t>fait</w:t>
      </w:r>
      <w:r>
        <w:rPr>
          <w:color w:val="231F20"/>
          <w:spacing w:val="-12"/>
          <w:vertAlign w:val="baseline"/>
        </w:rPr>
        <w:t> </w:t>
      </w:r>
      <w:r>
        <w:rPr>
          <w:color w:val="231F20"/>
          <w:spacing w:val="-2"/>
          <w:vertAlign w:val="baseline"/>
        </w:rPr>
        <w:t>venir </w:t>
      </w:r>
      <w:r>
        <w:rPr>
          <w:color w:val="231F20"/>
          <w:vertAlign w:val="baseline"/>
        </w:rPr>
        <w:t>pour travailler dans les mines. La Belgique envoie des troupes pour protéger</w:t>
      </w:r>
      <w:r>
        <w:rPr>
          <w:color w:val="231F20"/>
          <w:spacing w:val="-13"/>
          <w:vertAlign w:val="baseline"/>
        </w:rPr>
        <w:t> </w:t>
      </w:r>
      <w:r>
        <w:rPr>
          <w:color w:val="231F20"/>
          <w:vertAlign w:val="baseline"/>
        </w:rPr>
        <w:t>ses</w:t>
      </w:r>
      <w:r>
        <w:rPr>
          <w:color w:val="231F20"/>
          <w:spacing w:val="-13"/>
          <w:vertAlign w:val="baseline"/>
        </w:rPr>
        <w:t> </w:t>
      </w:r>
      <w:r>
        <w:rPr>
          <w:color w:val="231F20"/>
          <w:vertAlign w:val="baseline"/>
        </w:rPr>
        <w:t>ressortissants</w:t>
      </w:r>
      <w:r>
        <w:rPr>
          <w:color w:val="231F20"/>
          <w:spacing w:val="-14"/>
          <w:vertAlign w:val="baseline"/>
        </w:rPr>
        <w:t> </w:t>
      </w:r>
      <w:r>
        <w:rPr>
          <w:color w:val="231F20"/>
          <w:vertAlign w:val="baseline"/>
        </w:rPr>
        <w:t>à</w:t>
      </w:r>
      <w:r>
        <w:rPr>
          <w:color w:val="231F20"/>
          <w:spacing w:val="-13"/>
          <w:vertAlign w:val="baseline"/>
        </w:rPr>
        <w:t> </w:t>
      </w:r>
      <w:r>
        <w:rPr>
          <w:color w:val="231F20"/>
          <w:vertAlign w:val="baseline"/>
        </w:rPr>
        <w:t>Léopoldville,</w:t>
      </w:r>
      <w:r>
        <w:rPr>
          <w:color w:val="231F20"/>
          <w:spacing w:val="-13"/>
          <w:vertAlign w:val="baseline"/>
        </w:rPr>
        <w:t> </w:t>
      </w:r>
      <w:r>
        <w:rPr>
          <w:color w:val="231F20"/>
          <w:vertAlign w:val="baseline"/>
        </w:rPr>
        <w:t>la</w:t>
      </w:r>
      <w:r>
        <w:rPr>
          <w:color w:val="231F20"/>
          <w:spacing w:val="-13"/>
          <w:vertAlign w:val="baseline"/>
        </w:rPr>
        <w:t> </w:t>
      </w:r>
      <w:r>
        <w:rPr>
          <w:color w:val="231F20"/>
          <w:vertAlign w:val="baseline"/>
        </w:rPr>
        <w:t>capitale</w:t>
      </w:r>
      <w:r>
        <w:rPr>
          <w:color w:val="231F20"/>
          <w:spacing w:val="-13"/>
          <w:vertAlign w:val="baseline"/>
        </w:rPr>
        <w:t> </w:t>
      </w:r>
      <w:r>
        <w:rPr>
          <w:color w:val="231F20"/>
          <w:vertAlign w:val="baseline"/>
        </w:rPr>
        <w:t>située</w:t>
      </w:r>
      <w:r>
        <w:rPr>
          <w:color w:val="231F20"/>
          <w:spacing w:val="-12"/>
          <w:vertAlign w:val="baseline"/>
        </w:rPr>
        <w:t> </w:t>
      </w:r>
      <w:r>
        <w:rPr>
          <w:color w:val="231F20"/>
          <w:vertAlign w:val="baseline"/>
        </w:rPr>
        <w:t>dans</w:t>
      </w:r>
      <w:r>
        <w:rPr>
          <w:color w:val="231F20"/>
          <w:spacing w:val="-12"/>
          <w:vertAlign w:val="baseline"/>
        </w:rPr>
        <w:t> </w:t>
      </w:r>
      <w:r>
        <w:rPr>
          <w:color w:val="231F20"/>
          <w:vertAlign w:val="baseline"/>
        </w:rPr>
        <w:t>le</w:t>
      </w:r>
      <w:r>
        <w:rPr>
          <w:color w:val="231F20"/>
          <w:spacing w:val="-10"/>
          <w:vertAlign w:val="baseline"/>
        </w:rPr>
        <w:t> </w:t>
      </w:r>
      <w:r>
        <w:rPr>
          <w:color w:val="231F20"/>
          <w:vertAlign w:val="baseline"/>
        </w:rPr>
        <w:t>Bas- Congo,</w:t>
      </w:r>
      <w:r>
        <w:rPr>
          <w:color w:val="231F20"/>
          <w:spacing w:val="-4"/>
          <w:vertAlign w:val="baseline"/>
        </w:rPr>
        <w:t> </w:t>
      </w:r>
      <w:r>
        <w:rPr>
          <w:color w:val="231F20"/>
          <w:vertAlign w:val="baseline"/>
        </w:rPr>
        <w:t>mais</w:t>
      </w:r>
      <w:r>
        <w:rPr>
          <w:color w:val="231F20"/>
          <w:spacing w:val="-2"/>
          <w:vertAlign w:val="baseline"/>
        </w:rPr>
        <w:t> </w:t>
      </w:r>
      <w:r>
        <w:rPr>
          <w:color w:val="231F20"/>
          <w:vertAlign w:val="baseline"/>
        </w:rPr>
        <w:t>aussi</w:t>
      </w:r>
      <w:r>
        <w:rPr>
          <w:color w:val="231F20"/>
          <w:spacing w:val="-3"/>
          <w:vertAlign w:val="baseline"/>
        </w:rPr>
        <w:t> </w:t>
      </w:r>
      <w:r>
        <w:rPr>
          <w:color w:val="231F20"/>
          <w:vertAlign w:val="baseline"/>
        </w:rPr>
        <w:t>dans</w:t>
      </w:r>
      <w:r>
        <w:rPr>
          <w:color w:val="231F20"/>
          <w:spacing w:val="-4"/>
          <w:vertAlign w:val="baseline"/>
        </w:rPr>
        <w:t> </w:t>
      </w:r>
      <w:r>
        <w:rPr>
          <w:color w:val="231F20"/>
          <w:vertAlign w:val="baseline"/>
        </w:rPr>
        <w:t>d’autres</w:t>
      </w:r>
      <w:r>
        <w:rPr>
          <w:color w:val="231F20"/>
          <w:spacing w:val="-2"/>
          <w:vertAlign w:val="baseline"/>
        </w:rPr>
        <w:t> </w:t>
      </w:r>
      <w:r>
        <w:rPr>
          <w:color w:val="231F20"/>
          <w:vertAlign w:val="baseline"/>
        </w:rPr>
        <w:t>régions,</w:t>
      </w:r>
      <w:r>
        <w:rPr>
          <w:color w:val="231F20"/>
          <w:spacing w:val="-4"/>
          <w:vertAlign w:val="baseline"/>
        </w:rPr>
        <w:t> </w:t>
      </w:r>
      <w:r>
        <w:rPr>
          <w:color w:val="231F20"/>
          <w:vertAlign w:val="baseline"/>
        </w:rPr>
        <w:t>notamment</w:t>
      </w:r>
      <w:r>
        <w:rPr>
          <w:color w:val="231F20"/>
          <w:spacing w:val="-2"/>
          <w:vertAlign w:val="baseline"/>
        </w:rPr>
        <w:t> </w:t>
      </w:r>
      <w:r>
        <w:rPr>
          <w:color w:val="231F20"/>
          <w:vertAlign w:val="baseline"/>
        </w:rPr>
        <w:t>au</w:t>
      </w:r>
      <w:r>
        <w:rPr>
          <w:color w:val="231F20"/>
          <w:spacing w:val="-2"/>
          <w:vertAlign w:val="baseline"/>
        </w:rPr>
        <w:t> </w:t>
      </w:r>
      <w:r>
        <w:rPr>
          <w:color w:val="231F20"/>
          <w:vertAlign w:val="baseline"/>
        </w:rPr>
        <w:t>Katanga,</w:t>
      </w:r>
      <w:r>
        <w:rPr>
          <w:color w:val="231F20"/>
          <w:spacing w:val="-4"/>
          <w:vertAlign w:val="baseline"/>
        </w:rPr>
        <w:t> </w:t>
      </w:r>
      <w:r>
        <w:rPr>
          <w:color w:val="231F20"/>
          <w:vertAlign w:val="baseline"/>
        </w:rPr>
        <w:t>riche région</w:t>
      </w:r>
      <w:r>
        <w:rPr>
          <w:color w:val="231F20"/>
          <w:spacing w:val="-15"/>
          <w:vertAlign w:val="baseline"/>
        </w:rPr>
        <w:t> </w:t>
      </w:r>
      <w:r>
        <w:rPr>
          <w:color w:val="231F20"/>
          <w:vertAlign w:val="baseline"/>
        </w:rPr>
        <w:t>minière.</w:t>
      </w:r>
      <w:r>
        <w:rPr>
          <w:color w:val="231F20"/>
          <w:spacing w:val="-15"/>
          <w:vertAlign w:val="baseline"/>
        </w:rPr>
        <w:t> </w:t>
      </w:r>
      <w:r>
        <w:rPr>
          <w:color w:val="231F20"/>
          <w:vertAlign w:val="baseline"/>
        </w:rPr>
        <w:t>En</w:t>
      </w:r>
      <w:r>
        <w:rPr>
          <w:color w:val="231F20"/>
          <w:spacing w:val="-15"/>
          <w:vertAlign w:val="baseline"/>
        </w:rPr>
        <w:t> </w:t>
      </w:r>
      <w:r>
        <w:rPr>
          <w:color w:val="231F20"/>
          <w:vertAlign w:val="baseline"/>
        </w:rPr>
        <w:t>tout,</w:t>
      </w:r>
      <w:r>
        <w:rPr>
          <w:color w:val="231F20"/>
          <w:spacing w:val="-14"/>
          <w:vertAlign w:val="baseline"/>
        </w:rPr>
        <w:t> </w:t>
      </w:r>
      <w:r>
        <w:rPr>
          <w:color w:val="231F20"/>
          <w:vertAlign w:val="baseline"/>
        </w:rPr>
        <w:t>11</w:t>
      </w:r>
      <w:r>
        <w:rPr>
          <w:color w:val="231F20"/>
          <w:spacing w:val="-15"/>
          <w:vertAlign w:val="baseline"/>
        </w:rPr>
        <w:t> </w:t>
      </w:r>
      <w:r>
        <w:rPr>
          <w:color w:val="231F20"/>
          <w:vertAlign w:val="baseline"/>
        </w:rPr>
        <w:t>000</w:t>
      </w:r>
      <w:r>
        <w:rPr>
          <w:color w:val="231F20"/>
          <w:spacing w:val="-15"/>
          <w:vertAlign w:val="baseline"/>
        </w:rPr>
        <w:t> </w:t>
      </w:r>
      <w:r>
        <w:rPr>
          <w:color w:val="231F20"/>
          <w:vertAlign w:val="baseline"/>
        </w:rPr>
        <w:t>soldats</w:t>
      </w:r>
      <w:r>
        <w:rPr>
          <w:color w:val="231F20"/>
          <w:spacing w:val="-14"/>
          <w:vertAlign w:val="baseline"/>
        </w:rPr>
        <w:t> </w:t>
      </w:r>
      <w:r>
        <w:rPr>
          <w:color w:val="231F20"/>
          <w:vertAlign w:val="baseline"/>
        </w:rPr>
        <w:t>belges</w:t>
      </w:r>
      <w:r>
        <w:rPr>
          <w:color w:val="231F20"/>
          <w:spacing w:val="-12"/>
          <w:vertAlign w:val="baseline"/>
        </w:rPr>
        <w:t> </w:t>
      </w:r>
      <w:r>
        <w:rPr>
          <w:color w:val="231F20"/>
          <w:vertAlign w:val="baseline"/>
        </w:rPr>
        <w:t>sont</w:t>
      </w:r>
      <w:r>
        <w:rPr>
          <w:color w:val="231F20"/>
          <w:spacing w:val="-14"/>
          <w:vertAlign w:val="baseline"/>
        </w:rPr>
        <w:t> </w:t>
      </w:r>
      <w:r>
        <w:rPr>
          <w:color w:val="231F20"/>
          <w:vertAlign w:val="baseline"/>
        </w:rPr>
        <w:t>acheminés</w:t>
      </w:r>
      <w:r>
        <w:rPr>
          <w:color w:val="231F20"/>
          <w:spacing w:val="-12"/>
          <w:vertAlign w:val="baseline"/>
        </w:rPr>
        <w:t> </w:t>
      </w:r>
      <w:r>
        <w:rPr>
          <w:color w:val="231F20"/>
          <w:vertAlign w:val="baseline"/>
        </w:rPr>
        <w:t>au</w:t>
      </w:r>
      <w:r>
        <w:rPr>
          <w:color w:val="231F20"/>
          <w:spacing w:val="-12"/>
          <w:vertAlign w:val="baseline"/>
        </w:rPr>
        <w:t> </w:t>
      </w:r>
      <w:r>
        <w:rPr>
          <w:color w:val="231F20"/>
          <w:vertAlign w:val="baseline"/>
        </w:rPr>
        <w:t>Congo en dix jours, précédés par les troupes spéciales des paras-commandos. </w:t>
      </w:r>
      <w:r>
        <w:rPr>
          <w:color w:val="231F20"/>
          <w:spacing w:val="-2"/>
          <w:vertAlign w:val="baseline"/>
        </w:rPr>
        <w:t>Fort</w:t>
      </w:r>
      <w:r>
        <w:rPr>
          <w:color w:val="231F20"/>
          <w:spacing w:val="-9"/>
          <w:vertAlign w:val="baseline"/>
        </w:rPr>
        <w:t> </w:t>
      </w:r>
      <w:r>
        <w:rPr>
          <w:color w:val="231F20"/>
          <w:spacing w:val="-2"/>
          <w:vertAlign w:val="baseline"/>
        </w:rPr>
        <w:t>du</w:t>
      </w:r>
      <w:r>
        <w:rPr>
          <w:color w:val="231F20"/>
          <w:spacing w:val="-12"/>
          <w:vertAlign w:val="baseline"/>
        </w:rPr>
        <w:t> </w:t>
      </w:r>
      <w:r>
        <w:rPr>
          <w:color w:val="231F20"/>
          <w:spacing w:val="-2"/>
          <w:vertAlign w:val="baseline"/>
        </w:rPr>
        <w:t>soutien</w:t>
      </w:r>
      <w:r>
        <w:rPr>
          <w:color w:val="231F20"/>
          <w:spacing w:val="-12"/>
          <w:vertAlign w:val="baseline"/>
        </w:rPr>
        <w:t> </w:t>
      </w:r>
      <w:r>
        <w:rPr>
          <w:color w:val="231F20"/>
          <w:spacing w:val="-2"/>
          <w:vertAlign w:val="baseline"/>
        </w:rPr>
        <w:t>de</w:t>
      </w:r>
      <w:r>
        <w:rPr>
          <w:color w:val="231F20"/>
          <w:spacing w:val="-9"/>
          <w:vertAlign w:val="baseline"/>
        </w:rPr>
        <w:t> </w:t>
      </w:r>
      <w:r>
        <w:rPr>
          <w:color w:val="231F20"/>
          <w:spacing w:val="-2"/>
          <w:vertAlign w:val="baseline"/>
        </w:rPr>
        <w:t>la</w:t>
      </w:r>
      <w:r>
        <w:rPr>
          <w:color w:val="231F20"/>
          <w:spacing w:val="-12"/>
          <w:vertAlign w:val="baseline"/>
        </w:rPr>
        <w:t> </w:t>
      </w:r>
      <w:r>
        <w:rPr>
          <w:color w:val="231F20"/>
          <w:spacing w:val="-2"/>
          <w:vertAlign w:val="baseline"/>
        </w:rPr>
        <w:t>Belgique</w:t>
      </w:r>
      <w:r>
        <w:rPr>
          <w:color w:val="231F20"/>
          <w:spacing w:val="-9"/>
          <w:vertAlign w:val="baseline"/>
        </w:rPr>
        <w:t> </w:t>
      </w:r>
      <w:r>
        <w:rPr>
          <w:color w:val="231F20"/>
          <w:spacing w:val="-2"/>
          <w:vertAlign w:val="baseline"/>
        </w:rPr>
        <w:t>et</w:t>
      </w:r>
      <w:r>
        <w:rPr>
          <w:color w:val="231F20"/>
          <w:spacing w:val="-11"/>
          <w:vertAlign w:val="baseline"/>
        </w:rPr>
        <w:t> </w:t>
      </w:r>
      <w:r>
        <w:rPr>
          <w:color w:val="231F20"/>
          <w:spacing w:val="-2"/>
          <w:vertAlign w:val="baseline"/>
        </w:rPr>
        <w:t>notamment</w:t>
      </w:r>
      <w:r>
        <w:rPr>
          <w:color w:val="231F20"/>
          <w:spacing w:val="-9"/>
          <w:vertAlign w:val="baseline"/>
        </w:rPr>
        <w:t> </w:t>
      </w:r>
      <w:r>
        <w:rPr>
          <w:color w:val="231F20"/>
          <w:spacing w:val="-2"/>
          <w:vertAlign w:val="baseline"/>
        </w:rPr>
        <w:t>de</w:t>
      </w:r>
      <w:r>
        <w:rPr>
          <w:color w:val="231F20"/>
          <w:spacing w:val="-13"/>
          <w:vertAlign w:val="baseline"/>
        </w:rPr>
        <w:t> </w:t>
      </w:r>
      <w:r>
        <w:rPr>
          <w:color w:val="231F20"/>
          <w:spacing w:val="-2"/>
          <w:vertAlign w:val="baseline"/>
        </w:rPr>
        <w:t>l’Union</w:t>
      </w:r>
      <w:r>
        <w:rPr>
          <w:color w:val="231F20"/>
          <w:spacing w:val="-12"/>
          <w:vertAlign w:val="baseline"/>
        </w:rPr>
        <w:t> </w:t>
      </w:r>
      <w:r>
        <w:rPr>
          <w:color w:val="231F20"/>
          <w:spacing w:val="-2"/>
          <w:vertAlign w:val="baseline"/>
        </w:rPr>
        <w:t>Minière</w:t>
      </w:r>
      <w:r>
        <w:rPr>
          <w:color w:val="231F20"/>
          <w:spacing w:val="-8"/>
          <w:vertAlign w:val="baseline"/>
        </w:rPr>
        <w:t> </w:t>
      </w:r>
      <w:r>
        <w:rPr>
          <w:color w:val="231F20"/>
          <w:spacing w:val="-2"/>
          <w:vertAlign w:val="baseline"/>
        </w:rPr>
        <w:t>du</w:t>
      </w:r>
      <w:r>
        <w:rPr>
          <w:color w:val="231F20"/>
          <w:spacing w:val="-12"/>
          <w:vertAlign w:val="baseline"/>
        </w:rPr>
        <w:t> </w:t>
      </w:r>
      <w:r>
        <w:rPr>
          <w:color w:val="231F20"/>
          <w:spacing w:val="-2"/>
          <w:vertAlign w:val="baseline"/>
        </w:rPr>
        <w:t>Haut </w:t>
      </w:r>
      <w:r>
        <w:rPr>
          <w:color w:val="231F20"/>
          <w:vertAlign w:val="baseline"/>
        </w:rPr>
        <w:t>Katanga, Moïse Tshombé demande au Gouvernement Belge une aide pour</w:t>
      </w:r>
      <w:r>
        <w:rPr>
          <w:color w:val="231F20"/>
          <w:spacing w:val="-7"/>
          <w:vertAlign w:val="baseline"/>
        </w:rPr>
        <w:t> </w:t>
      </w:r>
      <w:r>
        <w:rPr>
          <w:color w:val="231F20"/>
          <w:vertAlign w:val="baseline"/>
        </w:rPr>
        <w:t>constituer</w:t>
      </w:r>
      <w:r>
        <w:rPr>
          <w:color w:val="231F20"/>
          <w:spacing w:val="-7"/>
          <w:vertAlign w:val="baseline"/>
        </w:rPr>
        <w:t> </w:t>
      </w:r>
      <w:r>
        <w:rPr>
          <w:color w:val="231F20"/>
          <w:vertAlign w:val="baseline"/>
        </w:rPr>
        <w:t>et</w:t>
      </w:r>
      <w:r>
        <w:rPr>
          <w:color w:val="231F20"/>
          <w:spacing w:val="-7"/>
          <w:vertAlign w:val="baseline"/>
        </w:rPr>
        <w:t> </w:t>
      </w:r>
      <w:r>
        <w:rPr>
          <w:color w:val="231F20"/>
          <w:vertAlign w:val="baseline"/>
        </w:rPr>
        <w:t>former</w:t>
      </w:r>
      <w:r>
        <w:rPr>
          <w:color w:val="231F20"/>
          <w:spacing w:val="-8"/>
          <w:vertAlign w:val="baseline"/>
        </w:rPr>
        <w:t> </w:t>
      </w:r>
      <w:r>
        <w:rPr>
          <w:color w:val="231F20"/>
          <w:vertAlign w:val="baseline"/>
        </w:rPr>
        <w:t>une</w:t>
      </w:r>
      <w:r>
        <w:rPr>
          <w:color w:val="231F20"/>
          <w:spacing w:val="-7"/>
          <w:vertAlign w:val="baseline"/>
        </w:rPr>
        <w:t> </w:t>
      </w:r>
      <w:r>
        <w:rPr>
          <w:color w:val="231F20"/>
          <w:vertAlign w:val="baseline"/>
        </w:rPr>
        <w:t>Armée</w:t>
      </w:r>
      <w:r>
        <w:rPr>
          <w:color w:val="231F20"/>
          <w:spacing w:val="-7"/>
          <w:vertAlign w:val="baseline"/>
        </w:rPr>
        <w:t> </w:t>
      </w:r>
      <w:r>
        <w:rPr>
          <w:color w:val="231F20"/>
          <w:vertAlign w:val="baseline"/>
        </w:rPr>
        <w:t>Katangaise.</w:t>
      </w:r>
      <w:r>
        <w:rPr>
          <w:color w:val="231F20"/>
          <w:spacing w:val="-8"/>
          <w:vertAlign w:val="baseline"/>
        </w:rPr>
        <w:t> </w:t>
      </w:r>
      <w:r>
        <w:rPr>
          <w:color w:val="231F20"/>
          <w:vertAlign w:val="baseline"/>
        </w:rPr>
        <w:t>Il</w:t>
      </w:r>
      <w:r>
        <w:rPr>
          <w:color w:val="231F20"/>
          <w:spacing w:val="-7"/>
          <w:vertAlign w:val="baseline"/>
        </w:rPr>
        <w:t> </w:t>
      </w:r>
      <w:r>
        <w:rPr>
          <w:color w:val="231F20"/>
          <w:vertAlign w:val="baseline"/>
        </w:rPr>
        <w:t>obtient</w:t>
      </w:r>
      <w:r>
        <w:rPr>
          <w:color w:val="231F20"/>
          <w:spacing w:val="-8"/>
          <w:vertAlign w:val="baseline"/>
        </w:rPr>
        <w:t> </w:t>
      </w:r>
      <w:r>
        <w:rPr>
          <w:color w:val="231F20"/>
          <w:vertAlign w:val="baseline"/>
        </w:rPr>
        <w:t>une</w:t>
      </w:r>
      <w:r>
        <w:rPr>
          <w:color w:val="231F20"/>
          <w:spacing w:val="-7"/>
          <w:vertAlign w:val="baseline"/>
        </w:rPr>
        <w:t> </w:t>
      </w:r>
      <w:r>
        <w:rPr>
          <w:color w:val="231F20"/>
          <w:vertAlign w:val="baseline"/>
        </w:rPr>
        <w:t>réponse positive. La France voulant profiter elle aussi des minerais katangais, </w:t>
      </w:r>
      <w:r>
        <w:rPr>
          <w:color w:val="231F20"/>
          <w:spacing w:val="-2"/>
          <w:vertAlign w:val="baseline"/>
        </w:rPr>
        <w:t>envoie</w:t>
      </w:r>
      <w:r>
        <w:rPr>
          <w:color w:val="231F20"/>
          <w:spacing w:val="-15"/>
          <w:vertAlign w:val="baseline"/>
        </w:rPr>
        <w:t> </w:t>
      </w:r>
      <w:r>
        <w:rPr>
          <w:color w:val="231F20"/>
          <w:spacing w:val="-2"/>
          <w:vertAlign w:val="baseline"/>
        </w:rPr>
        <w:t>à</w:t>
      </w:r>
      <w:r>
        <w:rPr>
          <w:color w:val="231F20"/>
          <w:spacing w:val="-13"/>
          <w:vertAlign w:val="baseline"/>
        </w:rPr>
        <w:t> </w:t>
      </w:r>
      <w:r>
        <w:rPr>
          <w:color w:val="231F20"/>
          <w:spacing w:val="-2"/>
          <w:vertAlign w:val="baseline"/>
        </w:rPr>
        <w:t>Moïse</w:t>
      </w:r>
      <w:r>
        <w:rPr>
          <w:color w:val="231F20"/>
          <w:spacing w:val="-13"/>
          <w:vertAlign w:val="baseline"/>
        </w:rPr>
        <w:t> </w:t>
      </w:r>
      <w:r>
        <w:rPr>
          <w:color w:val="231F20"/>
          <w:spacing w:val="-2"/>
          <w:vertAlign w:val="baseline"/>
        </w:rPr>
        <w:t>Tshombé,</w:t>
      </w:r>
      <w:r>
        <w:rPr>
          <w:color w:val="231F20"/>
          <w:spacing w:val="-13"/>
          <w:vertAlign w:val="baseline"/>
        </w:rPr>
        <w:t> </w:t>
      </w:r>
      <w:r>
        <w:rPr>
          <w:color w:val="231F20"/>
          <w:spacing w:val="-2"/>
          <w:vertAlign w:val="baseline"/>
        </w:rPr>
        <w:t>le</w:t>
      </w:r>
      <w:r>
        <w:rPr>
          <w:color w:val="231F20"/>
          <w:spacing w:val="-13"/>
          <w:vertAlign w:val="baseline"/>
        </w:rPr>
        <w:t> </w:t>
      </w:r>
      <w:r>
        <w:rPr>
          <w:color w:val="231F20"/>
          <w:spacing w:val="-2"/>
          <w:vertAlign w:val="baseline"/>
        </w:rPr>
        <w:t>mercenaire</w:t>
      </w:r>
      <w:r>
        <w:rPr>
          <w:color w:val="231F20"/>
          <w:spacing w:val="-13"/>
          <w:vertAlign w:val="baseline"/>
        </w:rPr>
        <w:t> </w:t>
      </w:r>
      <w:r>
        <w:rPr>
          <w:color w:val="231F20"/>
          <w:spacing w:val="-2"/>
          <w:vertAlign w:val="baseline"/>
        </w:rPr>
        <w:t>Bob</w:t>
      </w:r>
      <w:r>
        <w:rPr>
          <w:color w:val="231F20"/>
          <w:spacing w:val="-13"/>
          <w:vertAlign w:val="baseline"/>
        </w:rPr>
        <w:t> </w:t>
      </w:r>
      <w:r>
        <w:rPr>
          <w:color w:val="231F20"/>
          <w:spacing w:val="-2"/>
          <w:vertAlign w:val="baseline"/>
        </w:rPr>
        <w:t>Denard</w:t>
      </w:r>
      <w:r>
        <w:rPr>
          <w:color w:val="76787A"/>
          <w:spacing w:val="-2"/>
          <w:vertAlign w:val="superscript"/>
        </w:rPr>
        <w:t>45</w:t>
      </w:r>
      <w:r>
        <w:rPr>
          <w:color w:val="76787A"/>
          <w:spacing w:val="-13"/>
          <w:vertAlign w:val="baseline"/>
        </w:rPr>
        <w:t> </w:t>
      </w:r>
      <w:r>
        <w:rPr>
          <w:color w:val="231F20"/>
          <w:spacing w:val="-2"/>
          <w:vertAlign w:val="baseline"/>
        </w:rPr>
        <w:t>et</w:t>
      </w:r>
      <w:r>
        <w:rPr>
          <w:color w:val="231F20"/>
          <w:spacing w:val="-13"/>
          <w:vertAlign w:val="baseline"/>
        </w:rPr>
        <w:t> </w:t>
      </w:r>
      <w:r>
        <w:rPr>
          <w:color w:val="231F20"/>
          <w:spacing w:val="-2"/>
          <w:vertAlign w:val="baseline"/>
        </w:rPr>
        <w:t>ses</w:t>
      </w:r>
      <w:r>
        <w:rPr>
          <w:color w:val="231F20"/>
          <w:spacing w:val="-13"/>
          <w:vertAlign w:val="baseline"/>
        </w:rPr>
        <w:t> </w:t>
      </w:r>
      <w:r>
        <w:rPr>
          <w:color w:val="231F20"/>
          <w:spacing w:val="-2"/>
          <w:vertAlign w:val="baseline"/>
        </w:rPr>
        <w:t>hommes.</w:t>
      </w:r>
      <w:r>
        <w:rPr>
          <w:color w:val="231F20"/>
          <w:spacing w:val="-13"/>
          <w:vertAlign w:val="baseline"/>
        </w:rPr>
        <w:t> </w:t>
      </w:r>
      <w:r>
        <w:rPr>
          <w:color w:val="231F20"/>
          <w:spacing w:val="-2"/>
          <w:vertAlign w:val="baseline"/>
        </w:rPr>
        <w:t>La </w:t>
      </w:r>
      <w:r>
        <w:rPr>
          <w:color w:val="231F20"/>
          <w:vertAlign w:val="baseline"/>
        </w:rPr>
        <w:t>situation</w:t>
      </w:r>
      <w:r>
        <w:rPr>
          <w:color w:val="231F20"/>
          <w:spacing w:val="-3"/>
          <w:vertAlign w:val="baseline"/>
        </w:rPr>
        <w:t> </w:t>
      </w:r>
      <w:r>
        <w:rPr>
          <w:color w:val="231F20"/>
          <w:vertAlign w:val="baseline"/>
        </w:rPr>
        <w:t>se</w:t>
      </w:r>
      <w:r>
        <w:rPr>
          <w:color w:val="231F20"/>
          <w:spacing w:val="-3"/>
          <w:vertAlign w:val="baseline"/>
        </w:rPr>
        <w:t> </w:t>
      </w:r>
      <w:r>
        <w:rPr>
          <w:color w:val="231F20"/>
          <w:vertAlign w:val="baseline"/>
        </w:rPr>
        <w:t>complique</w:t>
      </w:r>
      <w:r>
        <w:rPr>
          <w:color w:val="231F20"/>
          <w:spacing w:val="-3"/>
          <w:vertAlign w:val="baseline"/>
        </w:rPr>
        <w:t> </w:t>
      </w:r>
      <w:r>
        <w:rPr>
          <w:color w:val="231F20"/>
          <w:vertAlign w:val="baseline"/>
        </w:rPr>
        <w:t>avec</w:t>
      </w:r>
      <w:r>
        <w:rPr>
          <w:color w:val="231F20"/>
          <w:spacing w:val="-3"/>
          <w:vertAlign w:val="baseline"/>
        </w:rPr>
        <w:t> </w:t>
      </w:r>
      <w:r>
        <w:rPr>
          <w:color w:val="231F20"/>
          <w:vertAlign w:val="baseline"/>
        </w:rPr>
        <w:t>une</w:t>
      </w:r>
      <w:r>
        <w:rPr>
          <w:color w:val="231F20"/>
          <w:spacing w:val="-7"/>
          <w:vertAlign w:val="baseline"/>
        </w:rPr>
        <w:t> </w:t>
      </w:r>
      <w:r>
        <w:rPr>
          <w:color w:val="231F20"/>
          <w:vertAlign w:val="baseline"/>
        </w:rPr>
        <w:t>autre</w:t>
      </w:r>
      <w:r>
        <w:rPr>
          <w:color w:val="231F20"/>
          <w:spacing w:val="-6"/>
          <w:vertAlign w:val="baseline"/>
        </w:rPr>
        <w:t> </w:t>
      </w:r>
      <w:r>
        <w:rPr>
          <w:color w:val="231F20"/>
          <w:vertAlign w:val="baseline"/>
        </w:rPr>
        <w:t>sécession</w:t>
      </w:r>
      <w:r>
        <w:rPr>
          <w:color w:val="231F20"/>
          <w:spacing w:val="-4"/>
          <w:vertAlign w:val="baseline"/>
        </w:rPr>
        <w:t> </w:t>
      </w:r>
      <w:r>
        <w:rPr>
          <w:color w:val="231F20"/>
          <w:vertAlign w:val="baseline"/>
        </w:rPr>
        <w:t>au</w:t>
      </w:r>
      <w:r>
        <w:rPr>
          <w:color w:val="231F20"/>
          <w:spacing w:val="-5"/>
          <w:vertAlign w:val="baseline"/>
        </w:rPr>
        <w:t> </w:t>
      </w:r>
      <w:r>
        <w:rPr>
          <w:color w:val="231F20"/>
          <w:vertAlign w:val="baseline"/>
        </w:rPr>
        <w:t>Kasaï.</w:t>
      </w:r>
    </w:p>
    <w:p>
      <w:pPr>
        <w:pStyle w:val="BodyText"/>
        <w:spacing w:before="121"/>
        <w:ind w:right="105" w:firstLine="283"/>
      </w:pPr>
      <w:r>
        <w:rPr>
          <w:color w:val="231F20"/>
        </w:rPr>
        <w:t>Face à l’opposition du gouvernement de Lumumba, le 8 août 1960, </w:t>
      </w:r>
      <w:r>
        <w:rPr>
          <w:color w:val="231F20"/>
          <w:spacing w:val="-4"/>
        </w:rPr>
        <w:t>Albert</w:t>
      </w:r>
      <w:r>
        <w:rPr>
          <w:color w:val="231F20"/>
          <w:spacing w:val="-6"/>
        </w:rPr>
        <w:t> </w:t>
      </w:r>
      <w:r>
        <w:rPr>
          <w:color w:val="231F20"/>
          <w:spacing w:val="-4"/>
        </w:rPr>
        <w:t>Kalondji</w:t>
      </w:r>
      <w:r>
        <w:rPr>
          <w:color w:val="231F20"/>
          <w:spacing w:val="-7"/>
        </w:rPr>
        <w:t> </w:t>
      </w:r>
      <w:r>
        <w:rPr>
          <w:color w:val="231F20"/>
          <w:spacing w:val="-4"/>
        </w:rPr>
        <w:t>proclame</w:t>
      </w:r>
      <w:r>
        <w:rPr>
          <w:color w:val="231F20"/>
          <w:spacing w:val="-8"/>
        </w:rPr>
        <w:t> </w:t>
      </w:r>
      <w:r>
        <w:rPr>
          <w:color w:val="231F20"/>
          <w:spacing w:val="-4"/>
        </w:rPr>
        <w:t>l’indépendance</w:t>
      </w:r>
      <w:r>
        <w:rPr>
          <w:color w:val="231F20"/>
          <w:spacing w:val="-6"/>
        </w:rPr>
        <w:t> </w:t>
      </w:r>
      <w:r>
        <w:rPr>
          <w:color w:val="231F20"/>
          <w:spacing w:val="-4"/>
        </w:rPr>
        <w:t>du</w:t>
      </w:r>
      <w:r>
        <w:rPr>
          <w:color w:val="231F20"/>
          <w:spacing w:val="-8"/>
        </w:rPr>
        <w:t> </w:t>
      </w:r>
      <w:r>
        <w:rPr>
          <w:color w:val="231F20"/>
          <w:spacing w:val="-4"/>
        </w:rPr>
        <w:t>Sud-Kasaï</w:t>
      </w:r>
      <w:r>
        <w:rPr>
          <w:color w:val="231F20"/>
          <w:spacing w:val="-5"/>
        </w:rPr>
        <w:t> </w:t>
      </w:r>
      <w:r>
        <w:rPr>
          <w:color w:val="231F20"/>
          <w:spacing w:val="-4"/>
        </w:rPr>
        <w:t>et</w:t>
      </w:r>
      <w:r>
        <w:rPr>
          <w:color w:val="231F20"/>
          <w:spacing w:val="-5"/>
        </w:rPr>
        <w:t> </w:t>
      </w:r>
      <w:r>
        <w:rPr>
          <w:color w:val="231F20"/>
          <w:spacing w:val="-4"/>
        </w:rPr>
        <w:t>fixe</w:t>
      </w:r>
      <w:r>
        <w:rPr>
          <w:color w:val="231F20"/>
          <w:spacing w:val="-10"/>
        </w:rPr>
        <w:t> </w:t>
      </w:r>
      <w:r>
        <w:rPr>
          <w:color w:val="231F20"/>
          <w:spacing w:val="-4"/>
        </w:rPr>
        <w:t>sa</w:t>
      </w:r>
      <w:r>
        <w:rPr>
          <w:color w:val="231F20"/>
          <w:spacing w:val="-6"/>
        </w:rPr>
        <w:t> </w:t>
      </w:r>
      <w:r>
        <w:rPr>
          <w:color w:val="231F20"/>
          <w:spacing w:val="-4"/>
        </w:rPr>
        <w:t>capitale </w:t>
      </w:r>
      <w:r>
        <w:rPr>
          <w:color w:val="231F20"/>
          <w:spacing w:val="-2"/>
        </w:rPr>
        <w:t>à</w:t>
      </w:r>
      <w:r>
        <w:rPr>
          <w:color w:val="231F20"/>
          <w:spacing w:val="-10"/>
        </w:rPr>
        <w:t> </w:t>
      </w:r>
      <w:r>
        <w:rPr>
          <w:color w:val="231F20"/>
          <w:spacing w:val="-2"/>
        </w:rPr>
        <w:t>Bakwanga</w:t>
      </w:r>
      <w:r>
        <w:rPr>
          <w:color w:val="231F20"/>
          <w:spacing w:val="-10"/>
        </w:rPr>
        <w:t> </w:t>
      </w:r>
      <w:r>
        <w:rPr>
          <w:color w:val="231F20"/>
          <w:spacing w:val="-2"/>
        </w:rPr>
        <w:t>devenue</w:t>
      </w:r>
      <w:r>
        <w:rPr>
          <w:color w:val="231F20"/>
          <w:spacing w:val="-9"/>
        </w:rPr>
        <w:t> </w:t>
      </w:r>
      <w:r>
        <w:rPr>
          <w:color w:val="231F20"/>
          <w:spacing w:val="-2"/>
        </w:rPr>
        <w:t>Mbuji-Mayi</w:t>
      </w:r>
      <w:r>
        <w:rPr>
          <w:color w:val="231F20"/>
          <w:spacing w:val="-10"/>
        </w:rPr>
        <w:t> </w:t>
      </w:r>
      <w:r>
        <w:rPr>
          <w:color w:val="231F20"/>
          <w:spacing w:val="-2"/>
        </w:rPr>
        <w:t>depuis</w:t>
      </w:r>
      <w:r>
        <w:rPr>
          <w:color w:val="231F20"/>
          <w:spacing w:val="-12"/>
        </w:rPr>
        <w:t> </w:t>
      </w:r>
      <w:r>
        <w:rPr>
          <w:color w:val="231F20"/>
          <w:spacing w:val="-2"/>
        </w:rPr>
        <w:t>1996.</w:t>
      </w:r>
      <w:r>
        <w:rPr>
          <w:color w:val="231F20"/>
          <w:spacing w:val="-10"/>
        </w:rPr>
        <w:t> </w:t>
      </w:r>
      <w:r>
        <w:rPr>
          <w:color w:val="231F20"/>
          <w:spacing w:val="-2"/>
        </w:rPr>
        <w:t>Lumumba</w:t>
      </w:r>
      <w:r>
        <w:rPr>
          <w:color w:val="231F20"/>
          <w:spacing w:val="-10"/>
        </w:rPr>
        <w:t> </w:t>
      </w:r>
      <w:r>
        <w:rPr>
          <w:color w:val="231F20"/>
          <w:spacing w:val="-2"/>
        </w:rPr>
        <w:t>fait</w:t>
      </w:r>
      <w:r>
        <w:rPr>
          <w:color w:val="231F20"/>
          <w:spacing w:val="-10"/>
        </w:rPr>
        <w:t> </w:t>
      </w:r>
      <w:r>
        <w:rPr>
          <w:color w:val="231F20"/>
          <w:spacing w:val="-2"/>
        </w:rPr>
        <w:t>appel</w:t>
      </w:r>
      <w:r>
        <w:rPr>
          <w:color w:val="231F20"/>
          <w:spacing w:val="-10"/>
        </w:rPr>
        <w:t> </w:t>
      </w:r>
      <w:r>
        <w:rPr>
          <w:color w:val="231F20"/>
          <w:spacing w:val="-2"/>
        </w:rPr>
        <w:t>aux </w:t>
      </w:r>
      <w:r>
        <w:rPr>
          <w:color w:val="231F20"/>
        </w:rPr>
        <w:t>casques bleus de l’ONU et accepte une aide matérielle de l’Union des Républiques Socialistes Soviétiques (URSS) pour réprimer les </w:t>
      </w:r>
      <w:r>
        <w:rPr>
          <w:color w:val="231F20"/>
          <w:spacing w:val="-4"/>
        </w:rPr>
        <w:t>séparatistes.</w:t>
      </w:r>
      <w:r>
        <w:rPr>
          <w:color w:val="231F20"/>
          <w:spacing w:val="-10"/>
        </w:rPr>
        <w:t> </w:t>
      </w:r>
      <w:r>
        <w:rPr>
          <w:color w:val="231F20"/>
          <w:spacing w:val="-4"/>
        </w:rPr>
        <w:t>L’implication</w:t>
      </w:r>
      <w:r>
        <w:rPr>
          <w:color w:val="231F20"/>
          <w:spacing w:val="-10"/>
        </w:rPr>
        <w:t> </w:t>
      </w:r>
      <w:r>
        <w:rPr>
          <w:color w:val="231F20"/>
          <w:spacing w:val="-4"/>
        </w:rPr>
        <w:t>des</w:t>
      </w:r>
      <w:r>
        <w:rPr>
          <w:color w:val="231F20"/>
          <w:spacing w:val="-8"/>
        </w:rPr>
        <w:t> </w:t>
      </w:r>
      <w:r>
        <w:rPr>
          <w:color w:val="231F20"/>
          <w:spacing w:val="-4"/>
        </w:rPr>
        <w:t>soviétiques</w:t>
      </w:r>
      <w:r>
        <w:rPr>
          <w:color w:val="231F20"/>
          <w:spacing w:val="-8"/>
        </w:rPr>
        <w:t> </w:t>
      </w:r>
      <w:r>
        <w:rPr>
          <w:color w:val="231F20"/>
          <w:spacing w:val="-4"/>
        </w:rPr>
        <w:t>est</w:t>
      </w:r>
      <w:r>
        <w:rPr>
          <w:color w:val="231F20"/>
          <w:spacing w:val="-10"/>
        </w:rPr>
        <w:t> </w:t>
      </w:r>
      <w:r>
        <w:rPr>
          <w:color w:val="231F20"/>
          <w:spacing w:val="-4"/>
        </w:rPr>
        <w:t>très</w:t>
      </w:r>
      <w:r>
        <w:rPr>
          <w:color w:val="231F20"/>
          <w:spacing w:val="-8"/>
        </w:rPr>
        <w:t> </w:t>
      </w:r>
      <w:r>
        <w:rPr>
          <w:color w:val="231F20"/>
          <w:spacing w:val="-4"/>
        </w:rPr>
        <w:t>controversée</w:t>
      </w:r>
      <w:r>
        <w:rPr>
          <w:color w:val="231F20"/>
          <w:spacing w:val="-9"/>
        </w:rPr>
        <w:t> </w:t>
      </w:r>
      <w:r>
        <w:rPr>
          <w:color w:val="231F20"/>
          <w:spacing w:val="-4"/>
        </w:rPr>
        <w:t>au</w:t>
      </w:r>
      <w:r>
        <w:rPr>
          <w:color w:val="231F20"/>
          <w:spacing w:val="-10"/>
        </w:rPr>
        <w:t> </w:t>
      </w:r>
      <w:r>
        <w:rPr>
          <w:color w:val="231F20"/>
          <w:spacing w:val="-4"/>
        </w:rPr>
        <w:t>sein</w:t>
      </w:r>
      <w:r>
        <w:rPr>
          <w:color w:val="231F20"/>
          <w:spacing w:val="-9"/>
        </w:rPr>
        <w:t> </w:t>
      </w:r>
      <w:r>
        <w:rPr>
          <w:color w:val="231F20"/>
          <w:spacing w:val="-4"/>
        </w:rPr>
        <w:t>du gouvernement</w:t>
      </w:r>
      <w:r>
        <w:rPr>
          <w:color w:val="231F20"/>
          <w:spacing w:val="-11"/>
        </w:rPr>
        <w:t> </w:t>
      </w:r>
      <w:r>
        <w:rPr>
          <w:color w:val="231F20"/>
          <w:spacing w:val="-4"/>
        </w:rPr>
        <w:t>congolais</w:t>
      </w:r>
      <w:r>
        <w:rPr>
          <w:color w:val="231F20"/>
          <w:spacing w:val="-11"/>
        </w:rPr>
        <w:t> </w:t>
      </w:r>
      <w:r>
        <w:rPr>
          <w:color w:val="231F20"/>
          <w:spacing w:val="-4"/>
        </w:rPr>
        <w:t>et</w:t>
      </w:r>
      <w:r>
        <w:rPr>
          <w:color w:val="231F20"/>
          <w:spacing w:val="-11"/>
        </w:rPr>
        <w:t> </w:t>
      </w:r>
      <w:r>
        <w:rPr>
          <w:color w:val="231F20"/>
          <w:spacing w:val="-4"/>
        </w:rPr>
        <w:t>aboutit</w:t>
      </w:r>
      <w:r>
        <w:rPr>
          <w:color w:val="231F20"/>
          <w:spacing w:val="-11"/>
        </w:rPr>
        <w:t> </w:t>
      </w:r>
      <w:r>
        <w:rPr>
          <w:color w:val="231F20"/>
          <w:spacing w:val="-4"/>
        </w:rPr>
        <w:t>à</w:t>
      </w:r>
      <w:r>
        <w:rPr>
          <w:color w:val="231F20"/>
          <w:spacing w:val="-11"/>
        </w:rPr>
        <w:t> </w:t>
      </w:r>
      <w:r>
        <w:rPr>
          <w:color w:val="231F20"/>
          <w:spacing w:val="-4"/>
        </w:rPr>
        <w:t>un</w:t>
      </w:r>
      <w:r>
        <w:rPr>
          <w:color w:val="231F20"/>
          <w:spacing w:val="-10"/>
        </w:rPr>
        <w:t> </w:t>
      </w:r>
      <w:r>
        <w:rPr>
          <w:color w:val="231F20"/>
          <w:spacing w:val="-4"/>
        </w:rPr>
        <w:t>désaccord</w:t>
      </w:r>
      <w:r>
        <w:rPr>
          <w:color w:val="231F20"/>
          <w:spacing w:val="-11"/>
        </w:rPr>
        <w:t> </w:t>
      </w:r>
      <w:r>
        <w:rPr>
          <w:color w:val="231F20"/>
          <w:spacing w:val="-4"/>
        </w:rPr>
        <w:t>majeur</w:t>
      </w:r>
      <w:r>
        <w:rPr>
          <w:color w:val="231F20"/>
          <w:spacing w:val="-11"/>
        </w:rPr>
        <w:t> </w:t>
      </w:r>
      <w:r>
        <w:rPr>
          <w:color w:val="231F20"/>
          <w:spacing w:val="-4"/>
        </w:rPr>
        <w:t>entre</w:t>
      </w:r>
      <w:r>
        <w:rPr>
          <w:color w:val="231F20"/>
          <w:spacing w:val="-11"/>
        </w:rPr>
        <w:t> </w:t>
      </w:r>
      <w:r>
        <w:rPr>
          <w:color w:val="231F20"/>
          <w:spacing w:val="-4"/>
        </w:rPr>
        <w:t>Lumumba </w:t>
      </w:r>
      <w:r>
        <w:rPr>
          <w:color w:val="231F20"/>
        </w:rPr>
        <w:t>et le président Joseph Kasa-Vubu.</w:t>
      </w:r>
    </w:p>
    <w:p>
      <w:pPr>
        <w:pStyle w:val="BodyText"/>
        <w:spacing w:before="120"/>
        <w:ind w:right="103" w:firstLine="283"/>
      </w:pPr>
      <w:r>
        <w:rPr>
          <w:color w:val="231F20"/>
        </w:rPr>
        <w:t>Sous l’influence de l’ambassadeur de Belgique, Joseph-Désiré Mobutu, chef d’état-major de l’Armée qui doit pourtant son ascension dans la hiérarchie militaire à Lumumba, le fait arrêter et assigner à résidence. Mobutu accuse ensuite Lumumba de sympathie pro- communiste</w:t>
      </w:r>
      <w:r>
        <w:rPr>
          <w:color w:val="231F20"/>
          <w:spacing w:val="-15"/>
        </w:rPr>
        <w:t> </w:t>
      </w:r>
      <w:r>
        <w:rPr>
          <w:color w:val="231F20"/>
        </w:rPr>
        <w:t>pour</w:t>
      </w:r>
      <w:r>
        <w:rPr>
          <w:color w:val="231F20"/>
          <w:spacing w:val="-15"/>
        </w:rPr>
        <w:t> </w:t>
      </w:r>
      <w:r>
        <w:rPr>
          <w:color w:val="231F20"/>
        </w:rPr>
        <w:t>s’attirer</w:t>
      </w:r>
      <w:r>
        <w:rPr>
          <w:color w:val="231F20"/>
          <w:spacing w:val="-15"/>
        </w:rPr>
        <w:t> </w:t>
      </w:r>
      <w:r>
        <w:rPr>
          <w:color w:val="231F20"/>
        </w:rPr>
        <w:t>le</w:t>
      </w:r>
      <w:r>
        <w:rPr>
          <w:color w:val="231F20"/>
          <w:spacing w:val="-15"/>
        </w:rPr>
        <w:t> </w:t>
      </w:r>
      <w:r>
        <w:rPr>
          <w:color w:val="231F20"/>
        </w:rPr>
        <w:t>soutien</w:t>
      </w:r>
      <w:r>
        <w:rPr>
          <w:color w:val="231F20"/>
          <w:spacing w:val="-15"/>
        </w:rPr>
        <w:t> </w:t>
      </w:r>
      <w:r>
        <w:rPr>
          <w:color w:val="231F20"/>
        </w:rPr>
        <w:t>des</w:t>
      </w:r>
      <w:r>
        <w:rPr>
          <w:color w:val="231F20"/>
          <w:spacing w:val="-15"/>
        </w:rPr>
        <w:t> </w:t>
      </w:r>
      <w:r>
        <w:rPr>
          <w:color w:val="231F20"/>
        </w:rPr>
        <w:t>Etats-Unis.</w:t>
      </w:r>
      <w:r>
        <w:rPr>
          <w:color w:val="231F20"/>
          <w:spacing w:val="-15"/>
        </w:rPr>
        <w:t> </w:t>
      </w:r>
      <w:r>
        <w:rPr>
          <w:color w:val="231F20"/>
        </w:rPr>
        <w:t>Maltraité</w:t>
      </w:r>
      <w:r>
        <w:rPr>
          <w:color w:val="231F20"/>
          <w:spacing w:val="-15"/>
        </w:rPr>
        <w:t> </w:t>
      </w:r>
      <w:r>
        <w:rPr>
          <w:color w:val="231F20"/>
        </w:rPr>
        <w:t>et</w:t>
      </w:r>
      <w:r>
        <w:rPr>
          <w:color w:val="231F20"/>
          <w:spacing w:val="-15"/>
        </w:rPr>
        <w:t> </w:t>
      </w:r>
      <w:r>
        <w:rPr>
          <w:color w:val="231F20"/>
        </w:rPr>
        <w:t>torturé, Lumumba est ensuite envoyé au Katanga, livré à son ennemi Moïse </w:t>
      </w:r>
      <w:r>
        <w:rPr>
          <w:color w:val="231F20"/>
          <w:spacing w:val="-2"/>
        </w:rPr>
        <w:t>Tshombé.</w:t>
      </w:r>
    </w:p>
    <w:p>
      <w:pPr>
        <w:pStyle w:val="BodyText"/>
        <w:ind w:left="0"/>
        <w:jc w:val="left"/>
        <w:rPr>
          <w:sz w:val="20"/>
        </w:rPr>
      </w:pPr>
    </w:p>
    <w:p>
      <w:pPr>
        <w:pStyle w:val="BodyText"/>
        <w:spacing w:before="36"/>
        <w:ind w:left="0"/>
        <w:jc w:val="left"/>
        <w:rPr>
          <w:sz w:val="20"/>
        </w:rPr>
      </w:pPr>
      <w:r>
        <w:rPr/>
        <mc:AlternateContent>
          <mc:Choice Requires="wps">
            <w:drawing>
              <wp:anchor distT="0" distB="0" distL="0" distR="0" allowOverlap="1" layoutInCell="1" locked="0" behindDoc="1" simplePos="0" relativeHeight="487601152">
                <wp:simplePos x="0" y="0"/>
                <wp:positionH relativeFrom="page">
                  <wp:posOffset>629907</wp:posOffset>
                </wp:positionH>
                <wp:positionV relativeFrom="paragraph">
                  <wp:posOffset>184276</wp:posOffset>
                </wp:positionV>
                <wp:extent cx="1829435" cy="952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509961pt;width:144.020pt;height:.72pt;mso-position-horizontal-relative:page;mso-position-vertical-relative:paragraph;z-index:-15715328;mso-wrap-distance-left:0;mso-wrap-distance-right:0" id="docshape39" filled="true" fillcolor="#231f20" stroked="false">
                <v:fill type="solid"/>
                <w10:wrap type="topAndBottom"/>
              </v:rect>
            </w:pict>
          </mc:Fallback>
        </mc:AlternateContent>
      </w:r>
    </w:p>
    <w:p>
      <w:pPr>
        <w:spacing w:before="91"/>
        <w:ind w:left="111" w:right="104" w:firstLine="0"/>
        <w:jc w:val="both"/>
        <w:rPr>
          <w:sz w:val="20"/>
        </w:rPr>
      </w:pPr>
      <w:r>
        <w:rPr>
          <w:color w:val="76787A"/>
          <w:sz w:val="20"/>
          <w:vertAlign w:val="superscript"/>
        </w:rPr>
        <w:t>44</w:t>
      </w:r>
      <w:r>
        <w:rPr>
          <w:color w:val="231F20"/>
          <w:sz w:val="20"/>
          <w:vertAlign w:val="baseline"/>
        </w:rPr>
        <w:t>Le</w:t>
      </w:r>
      <w:r>
        <w:rPr>
          <w:color w:val="231F20"/>
          <w:spacing w:val="-13"/>
          <w:sz w:val="20"/>
          <w:vertAlign w:val="baseline"/>
        </w:rPr>
        <w:t> </w:t>
      </w:r>
      <w:r>
        <w:rPr>
          <w:color w:val="231F20"/>
          <w:sz w:val="20"/>
          <w:vertAlign w:val="baseline"/>
        </w:rPr>
        <w:t>royaume</w:t>
      </w:r>
      <w:r>
        <w:rPr>
          <w:color w:val="231F20"/>
          <w:spacing w:val="-12"/>
          <w:sz w:val="20"/>
          <w:vertAlign w:val="baseline"/>
        </w:rPr>
        <w:t> </w:t>
      </w:r>
      <w:r>
        <w:rPr>
          <w:color w:val="231F20"/>
          <w:sz w:val="20"/>
          <w:vertAlign w:val="baseline"/>
        </w:rPr>
        <w:t>lunda</w:t>
      </w:r>
      <w:r>
        <w:rPr>
          <w:color w:val="231F20"/>
          <w:spacing w:val="-12"/>
          <w:sz w:val="20"/>
          <w:vertAlign w:val="baseline"/>
        </w:rPr>
        <w:t> </w:t>
      </w:r>
      <w:r>
        <w:rPr>
          <w:color w:val="231F20"/>
          <w:sz w:val="20"/>
          <w:vertAlign w:val="baseline"/>
        </w:rPr>
        <w:t>était</w:t>
      </w:r>
      <w:r>
        <w:rPr>
          <w:color w:val="231F20"/>
          <w:spacing w:val="-13"/>
          <w:sz w:val="20"/>
          <w:vertAlign w:val="baseline"/>
        </w:rPr>
        <w:t> </w:t>
      </w:r>
      <w:r>
        <w:rPr>
          <w:color w:val="231F20"/>
          <w:sz w:val="20"/>
          <w:vertAlign w:val="baseline"/>
        </w:rPr>
        <w:t>avant</w:t>
      </w:r>
      <w:r>
        <w:rPr>
          <w:color w:val="231F20"/>
          <w:spacing w:val="-12"/>
          <w:sz w:val="20"/>
          <w:vertAlign w:val="baseline"/>
        </w:rPr>
        <w:t> </w:t>
      </w:r>
      <w:r>
        <w:rPr>
          <w:color w:val="231F20"/>
          <w:sz w:val="20"/>
          <w:vertAlign w:val="baseline"/>
        </w:rPr>
        <w:t>l’arrivée</w:t>
      </w:r>
      <w:r>
        <w:rPr>
          <w:color w:val="231F20"/>
          <w:spacing w:val="-12"/>
          <w:sz w:val="20"/>
          <w:vertAlign w:val="baseline"/>
        </w:rPr>
        <w:t> </w:t>
      </w:r>
      <w:r>
        <w:rPr>
          <w:color w:val="231F20"/>
          <w:sz w:val="20"/>
          <w:vertAlign w:val="baseline"/>
        </w:rPr>
        <w:t>des</w:t>
      </w:r>
      <w:r>
        <w:rPr>
          <w:color w:val="231F20"/>
          <w:spacing w:val="-13"/>
          <w:sz w:val="20"/>
          <w:vertAlign w:val="baseline"/>
        </w:rPr>
        <w:t> </w:t>
      </w:r>
      <w:r>
        <w:rPr>
          <w:color w:val="231F20"/>
          <w:sz w:val="20"/>
          <w:vertAlign w:val="baseline"/>
        </w:rPr>
        <w:t>européens,</w:t>
      </w:r>
      <w:r>
        <w:rPr>
          <w:color w:val="231F20"/>
          <w:spacing w:val="-12"/>
          <w:sz w:val="20"/>
          <w:vertAlign w:val="baseline"/>
        </w:rPr>
        <w:t> </w:t>
      </w:r>
      <w:r>
        <w:rPr>
          <w:color w:val="231F20"/>
          <w:sz w:val="20"/>
          <w:vertAlign w:val="baseline"/>
        </w:rPr>
        <w:t>l’un</w:t>
      </w:r>
      <w:r>
        <w:rPr>
          <w:color w:val="231F20"/>
          <w:spacing w:val="-11"/>
          <w:sz w:val="20"/>
          <w:vertAlign w:val="baseline"/>
        </w:rPr>
        <w:t> </w:t>
      </w:r>
      <w:r>
        <w:rPr>
          <w:color w:val="231F20"/>
          <w:sz w:val="20"/>
          <w:vertAlign w:val="baseline"/>
        </w:rPr>
        <w:t>des</w:t>
      </w:r>
      <w:r>
        <w:rPr>
          <w:color w:val="231F20"/>
          <w:spacing w:val="-13"/>
          <w:sz w:val="20"/>
          <w:vertAlign w:val="baseline"/>
        </w:rPr>
        <w:t> </w:t>
      </w:r>
      <w:r>
        <w:rPr>
          <w:color w:val="231F20"/>
          <w:sz w:val="20"/>
          <w:vertAlign w:val="baseline"/>
        </w:rPr>
        <w:t>trois</w:t>
      </w:r>
      <w:r>
        <w:rPr>
          <w:color w:val="231F20"/>
          <w:spacing w:val="-12"/>
          <w:sz w:val="20"/>
          <w:vertAlign w:val="baseline"/>
        </w:rPr>
        <w:t> </w:t>
      </w:r>
      <w:r>
        <w:rPr>
          <w:color w:val="231F20"/>
          <w:sz w:val="20"/>
          <w:vertAlign w:val="baseline"/>
        </w:rPr>
        <w:t>grands</w:t>
      </w:r>
      <w:r>
        <w:rPr>
          <w:color w:val="231F20"/>
          <w:spacing w:val="-13"/>
          <w:sz w:val="20"/>
          <w:vertAlign w:val="baseline"/>
        </w:rPr>
        <w:t> </w:t>
      </w:r>
      <w:r>
        <w:rPr>
          <w:color w:val="231F20"/>
          <w:sz w:val="20"/>
          <w:vertAlign w:val="baseline"/>
        </w:rPr>
        <w:t>royaumes du Congo qui vont éclater sous l’impulsion de la traite et l’émergence de nouveaux </w:t>
      </w:r>
      <w:r>
        <w:rPr>
          <w:color w:val="231F20"/>
          <w:spacing w:val="-4"/>
          <w:sz w:val="20"/>
          <w:vertAlign w:val="baseline"/>
        </w:rPr>
        <w:t>rapports</w:t>
      </w:r>
      <w:r>
        <w:rPr>
          <w:color w:val="231F20"/>
          <w:spacing w:val="-5"/>
          <w:sz w:val="20"/>
          <w:vertAlign w:val="baseline"/>
        </w:rPr>
        <w:t> </w:t>
      </w:r>
      <w:r>
        <w:rPr>
          <w:color w:val="231F20"/>
          <w:spacing w:val="-4"/>
          <w:sz w:val="20"/>
          <w:vertAlign w:val="baseline"/>
        </w:rPr>
        <w:t>de force qui déboucheront sur la colonisation. Tshombé rêve d’un état Bakongo </w:t>
      </w:r>
      <w:r>
        <w:rPr>
          <w:color w:val="231F20"/>
          <w:sz w:val="20"/>
          <w:vertAlign w:val="baseline"/>
        </w:rPr>
        <w:t>couvrant en plus du Katanga en République Démocratique du Congo, une partie du Congo-Brazzaville</w:t>
      </w:r>
      <w:r>
        <w:rPr>
          <w:color w:val="231F20"/>
          <w:spacing w:val="-8"/>
          <w:sz w:val="20"/>
          <w:vertAlign w:val="baseline"/>
        </w:rPr>
        <w:t> </w:t>
      </w:r>
      <w:r>
        <w:rPr>
          <w:color w:val="231F20"/>
          <w:sz w:val="20"/>
          <w:vertAlign w:val="baseline"/>
        </w:rPr>
        <w:t>et</w:t>
      </w:r>
      <w:r>
        <w:rPr>
          <w:color w:val="231F20"/>
          <w:spacing w:val="-9"/>
          <w:sz w:val="20"/>
          <w:vertAlign w:val="baseline"/>
        </w:rPr>
        <w:t> </w:t>
      </w:r>
      <w:r>
        <w:rPr>
          <w:color w:val="231F20"/>
          <w:sz w:val="20"/>
          <w:vertAlign w:val="baseline"/>
        </w:rPr>
        <w:t>du</w:t>
      </w:r>
      <w:r>
        <w:rPr>
          <w:color w:val="231F20"/>
          <w:spacing w:val="-7"/>
          <w:sz w:val="20"/>
          <w:vertAlign w:val="baseline"/>
        </w:rPr>
        <w:t> </w:t>
      </w:r>
      <w:r>
        <w:rPr>
          <w:color w:val="231F20"/>
          <w:sz w:val="20"/>
          <w:vertAlign w:val="baseline"/>
        </w:rPr>
        <w:t>Cabinda</w:t>
      </w:r>
      <w:r>
        <w:rPr>
          <w:color w:val="231F20"/>
          <w:spacing w:val="-8"/>
          <w:sz w:val="20"/>
          <w:vertAlign w:val="baseline"/>
        </w:rPr>
        <w:t> </w:t>
      </w:r>
      <w:r>
        <w:rPr>
          <w:color w:val="231F20"/>
          <w:sz w:val="20"/>
          <w:vertAlign w:val="baseline"/>
        </w:rPr>
        <w:t>dans</w:t>
      </w:r>
      <w:r>
        <w:rPr>
          <w:color w:val="231F20"/>
          <w:spacing w:val="-9"/>
          <w:sz w:val="20"/>
          <w:vertAlign w:val="baseline"/>
        </w:rPr>
        <w:t> </w:t>
      </w:r>
      <w:r>
        <w:rPr>
          <w:color w:val="231F20"/>
          <w:sz w:val="20"/>
          <w:vertAlign w:val="baseline"/>
        </w:rPr>
        <w:t>la</w:t>
      </w:r>
      <w:r>
        <w:rPr>
          <w:color w:val="231F20"/>
          <w:spacing w:val="-8"/>
          <w:sz w:val="20"/>
          <w:vertAlign w:val="baseline"/>
        </w:rPr>
        <w:t> </w:t>
      </w:r>
      <w:r>
        <w:rPr>
          <w:color w:val="231F20"/>
          <w:sz w:val="20"/>
          <w:vertAlign w:val="baseline"/>
        </w:rPr>
        <w:t>région</w:t>
      </w:r>
      <w:r>
        <w:rPr>
          <w:color w:val="231F20"/>
          <w:spacing w:val="-6"/>
          <w:sz w:val="20"/>
          <w:vertAlign w:val="baseline"/>
        </w:rPr>
        <w:t> </w:t>
      </w:r>
      <w:r>
        <w:rPr>
          <w:color w:val="231F20"/>
          <w:sz w:val="20"/>
          <w:vertAlign w:val="baseline"/>
        </w:rPr>
        <w:t>septentrionale</w:t>
      </w:r>
      <w:r>
        <w:rPr>
          <w:color w:val="231F20"/>
          <w:spacing w:val="-8"/>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l’Angola</w:t>
      </w:r>
      <w:r>
        <w:rPr>
          <w:color w:val="231F20"/>
          <w:spacing w:val="-8"/>
          <w:sz w:val="20"/>
          <w:vertAlign w:val="baseline"/>
        </w:rPr>
        <w:t> </w:t>
      </w:r>
      <w:r>
        <w:rPr>
          <w:color w:val="231F20"/>
          <w:sz w:val="20"/>
          <w:vertAlign w:val="baseline"/>
        </w:rPr>
        <w:t>aux</w:t>
      </w:r>
      <w:r>
        <w:rPr>
          <w:color w:val="231F20"/>
          <w:spacing w:val="-8"/>
          <w:sz w:val="20"/>
          <w:vertAlign w:val="baseline"/>
        </w:rPr>
        <w:t> </w:t>
      </w:r>
      <w:r>
        <w:rPr>
          <w:color w:val="231F20"/>
          <w:sz w:val="20"/>
          <w:vertAlign w:val="baseline"/>
        </w:rPr>
        <w:t>fin</w:t>
      </w:r>
      <w:r>
        <w:rPr>
          <w:color w:val="231F20"/>
          <w:spacing w:val="-8"/>
          <w:sz w:val="20"/>
          <w:vertAlign w:val="baseline"/>
        </w:rPr>
        <w:t> </w:t>
      </w:r>
      <w:r>
        <w:rPr>
          <w:color w:val="231F20"/>
          <w:sz w:val="20"/>
          <w:vertAlign w:val="baseline"/>
        </w:rPr>
        <w:t>de réunir dans un même Etat tous les Lundas.</w:t>
      </w:r>
    </w:p>
    <w:p>
      <w:pPr>
        <w:spacing w:before="1"/>
        <w:ind w:left="111" w:right="102" w:firstLine="0"/>
        <w:jc w:val="both"/>
        <w:rPr>
          <w:sz w:val="20"/>
        </w:rPr>
      </w:pPr>
      <w:r>
        <w:rPr>
          <w:color w:val="76787A"/>
          <w:spacing w:val="-2"/>
          <w:sz w:val="20"/>
          <w:vertAlign w:val="superscript"/>
        </w:rPr>
        <w:t>45</w:t>
      </w:r>
      <w:r>
        <w:rPr>
          <w:color w:val="76787A"/>
          <w:spacing w:val="-11"/>
          <w:sz w:val="20"/>
          <w:vertAlign w:val="baseline"/>
        </w:rPr>
        <w:t> </w:t>
      </w:r>
      <w:r>
        <w:rPr>
          <w:color w:val="231F20"/>
          <w:spacing w:val="-2"/>
          <w:sz w:val="20"/>
          <w:vertAlign w:val="baseline"/>
        </w:rPr>
        <w:t>Robert</w:t>
      </w:r>
      <w:r>
        <w:rPr>
          <w:color w:val="231F20"/>
          <w:spacing w:val="-10"/>
          <w:sz w:val="20"/>
          <w:vertAlign w:val="baseline"/>
        </w:rPr>
        <w:t> </w:t>
      </w:r>
      <w:r>
        <w:rPr>
          <w:color w:val="231F20"/>
          <w:spacing w:val="-2"/>
          <w:sz w:val="20"/>
          <w:vertAlign w:val="baseline"/>
        </w:rPr>
        <w:t>Denard,</w:t>
      </w:r>
      <w:r>
        <w:rPr>
          <w:color w:val="231F20"/>
          <w:spacing w:val="-11"/>
          <w:sz w:val="20"/>
          <w:vertAlign w:val="baseline"/>
        </w:rPr>
        <w:t> </w:t>
      </w:r>
      <w:r>
        <w:rPr>
          <w:color w:val="231F20"/>
          <w:spacing w:val="-2"/>
          <w:sz w:val="20"/>
          <w:vertAlign w:val="baseline"/>
        </w:rPr>
        <w:t>dit</w:t>
      </w:r>
      <w:r>
        <w:rPr>
          <w:color w:val="231F20"/>
          <w:spacing w:val="-10"/>
          <w:sz w:val="20"/>
          <w:vertAlign w:val="baseline"/>
        </w:rPr>
        <w:t> </w:t>
      </w:r>
      <w:r>
        <w:rPr>
          <w:color w:val="231F20"/>
          <w:spacing w:val="-2"/>
          <w:sz w:val="20"/>
          <w:vertAlign w:val="baseline"/>
        </w:rPr>
        <w:t>Bob</w:t>
      </w:r>
      <w:r>
        <w:rPr>
          <w:color w:val="231F20"/>
          <w:spacing w:val="-11"/>
          <w:sz w:val="20"/>
          <w:vertAlign w:val="baseline"/>
        </w:rPr>
        <w:t> </w:t>
      </w:r>
      <w:r>
        <w:rPr>
          <w:color w:val="231F20"/>
          <w:spacing w:val="-2"/>
          <w:sz w:val="20"/>
          <w:vertAlign w:val="baseline"/>
        </w:rPr>
        <w:t>Denard,</w:t>
      </w:r>
      <w:r>
        <w:rPr>
          <w:color w:val="231F20"/>
          <w:spacing w:val="-10"/>
          <w:sz w:val="20"/>
          <w:vertAlign w:val="baseline"/>
        </w:rPr>
        <w:t> </w:t>
      </w:r>
      <w:r>
        <w:rPr>
          <w:color w:val="231F20"/>
          <w:spacing w:val="-2"/>
          <w:sz w:val="20"/>
          <w:vertAlign w:val="baseline"/>
        </w:rPr>
        <w:t>né</w:t>
      </w:r>
      <w:r>
        <w:rPr>
          <w:color w:val="231F20"/>
          <w:spacing w:val="-11"/>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7</w:t>
      </w:r>
      <w:r>
        <w:rPr>
          <w:color w:val="231F20"/>
          <w:spacing w:val="-11"/>
          <w:sz w:val="20"/>
          <w:vertAlign w:val="baseline"/>
        </w:rPr>
        <w:t> </w:t>
      </w:r>
      <w:r>
        <w:rPr>
          <w:color w:val="231F20"/>
          <w:spacing w:val="-2"/>
          <w:sz w:val="20"/>
          <w:vertAlign w:val="baseline"/>
        </w:rPr>
        <w:t>avril</w:t>
      </w:r>
      <w:r>
        <w:rPr>
          <w:color w:val="231F20"/>
          <w:spacing w:val="-10"/>
          <w:sz w:val="20"/>
          <w:vertAlign w:val="baseline"/>
        </w:rPr>
        <w:t> </w:t>
      </w:r>
      <w:r>
        <w:rPr>
          <w:color w:val="231F20"/>
          <w:spacing w:val="-2"/>
          <w:sz w:val="20"/>
          <w:vertAlign w:val="baseline"/>
        </w:rPr>
        <w:t>1929</w:t>
      </w:r>
      <w:r>
        <w:rPr>
          <w:color w:val="231F20"/>
          <w:spacing w:val="-11"/>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Grayan-et-l'Hôpital</w:t>
      </w:r>
      <w:r>
        <w:rPr>
          <w:color w:val="231F20"/>
          <w:spacing w:val="-11"/>
          <w:sz w:val="20"/>
          <w:vertAlign w:val="baseline"/>
        </w:rPr>
        <w:t> </w:t>
      </w:r>
      <w:r>
        <w:rPr>
          <w:color w:val="231F20"/>
          <w:spacing w:val="-2"/>
          <w:sz w:val="20"/>
          <w:vertAlign w:val="baseline"/>
        </w:rPr>
        <w:t>en</w:t>
      </w:r>
      <w:r>
        <w:rPr>
          <w:color w:val="231F20"/>
          <w:spacing w:val="-10"/>
          <w:sz w:val="20"/>
          <w:vertAlign w:val="baseline"/>
        </w:rPr>
        <w:t> </w:t>
      </w:r>
      <w:r>
        <w:rPr>
          <w:color w:val="231F20"/>
          <w:spacing w:val="-2"/>
          <w:sz w:val="20"/>
          <w:vertAlign w:val="baseline"/>
        </w:rPr>
        <w:t>Gironde</w:t>
      </w:r>
      <w:r>
        <w:rPr>
          <w:color w:val="231F20"/>
          <w:spacing w:val="-11"/>
          <w:sz w:val="20"/>
          <w:vertAlign w:val="baseline"/>
        </w:rPr>
        <w:t> </w:t>
      </w:r>
      <w:r>
        <w:rPr>
          <w:color w:val="231F20"/>
          <w:spacing w:val="-2"/>
          <w:sz w:val="20"/>
          <w:vertAlign w:val="baseline"/>
        </w:rPr>
        <w:t>et </w:t>
      </w:r>
      <w:r>
        <w:rPr>
          <w:color w:val="231F20"/>
          <w:sz w:val="20"/>
          <w:vertAlign w:val="baseline"/>
        </w:rPr>
        <w:t>mort</w:t>
      </w:r>
      <w:r>
        <w:rPr>
          <w:color w:val="231F20"/>
          <w:spacing w:val="33"/>
          <w:sz w:val="20"/>
          <w:vertAlign w:val="baseline"/>
        </w:rPr>
        <w:t> </w:t>
      </w:r>
      <w:r>
        <w:rPr>
          <w:color w:val="231F20"/>
          <w:sz w:val="20"/>
          <w:vertAlign w:val="baseline"/>
        </w:rPr>
        <w:t>le</w:t>
      </w:r>
      <w:r>
        <w:rPr>
          <w:color w:val="231F20"/>
          <w:spacing w:val="-13"/>
          <w:sz w:val="20"/>
          <w:vertAlign w:val="baseline"/>
        </w:rPr>
        <w:t> </w:t>
      </w:r>
      <w:r>
        <w:rPr>
          <w:color w:val="231F20"/>
          <w:sz w:val="20"/>
          <w:vertAlign w:val="baseline"/>
        </w:rPr>
        <w:t>13</w:t>
      </w:r>
      <w:r>
        <w:rPr>
          <w:color w:val="231F20"/>
          <w:spacing w:val="-12"/>
          <w:sz w:val="20"/>
          <w:vertAlign w:val="baseline"/>
        </w:rPr>
        <w:t> </w:t>
      </w:r>
      <w:r>
        <w:rPr>
          <w:color w:val="231F20"/>
          <w:sz w:val="20"/>
          <w:vertAlign w:val="baseline"/>
        </w:rPr>
        <w:t>octobre</w:t>
      </w:r>
      <w:r>
        <w:rPr>
          <w:color w:val="231F20"/>
          <w:spacing w:val="-13"/>
          <w:sz w:val="20"/>
          <w:vertAlign w:val="baseline"/>
        </w:rPr>
        <w:t> </w:t>
      </w:r>
      <w:r>
        <w:rPr>
          <w:color w:val="231F20"/>
          <w:sz w:val="20"/>
          <w:vertAlign w:val="baseline"/>
        </w:rPr>
        <w:t>2007</w:t>
      </w:r>
      <w:r>
        <w:rPr>
          <w:color w:val="231F20"/>
          <w:spacing w:val="-11"/>
          <w:sz w:val="20"/>
          <w:vertAlign w:val="baseline"/>
        </w:rPr>
        <w:t> </w:t>
      </w:r>
      <w:r>
        <w:rPr>
          <w:color w:val="231F20"/>
          <w:sz w:val="20"/>
          <w:vertAlign w:val="baseline"/>
        </w:rPr>
        <w:t>à</w:t>
      </w:r>
      <w:r>
        <w:rPr>
          <w:color w:val="231F20"/>
          <w:spacing w:val="-13"/>
          <w:sz w:val="20"/>
          <w:vertAlign w:val="baseline"/>
        </w:rPr>
        <w:t> </w:t>
      </w:r>
      <w:r>
        <w:rPr>
          <w:color w:val="231F20"/>
          <w:sz w:val="20"/>
          <w:vertAlign w:val="baseline"/>
        </w:rPr>
        <w:t>Paris</w:t>
      </w:r>
      <w:r>
        <w:rPr>
          <w:color w:val="231F20"/>
          <w:spacing w:val="38"/>
          <w:sz w:val="20"/>
          <w:vertAlign w:val="baseline"/>
        </w:rPr>
        <w:t> </w:t>
      </w:r>
      <w:r>
        <w:rPr>
          <w:color w:val="231F20"/>
          <w:sz w:val="20"/>
          <w:vertAlign w:val="baseline"/>
        </w:rPr>
        <w:t>est</w:t>
      </w:r>
      <w:r>
        <w:rPr>
          <w:color w:val="231F20"/>
          <w:spacing w:val="38"/>
          <w:sz w:val="20"/>
          <w:vertAlign w:val="baseline"/>
        </w:rPr>
        <w:t> </w:t>
      </w:r>
      <w:r>
        <w:rPr>
          <w:color w:val="231F20"/>
          <w:sz w:val="20"/>
          <w:vertAlign w:val="baseline"/>
        </w:rPr>
        <w:t>un</w:t>
      </w:r>
      <w:r>
        <w:rPr>
          <w:color w:val="231F20"/>
          <w:spacing w:val="-13"/>
          <w:sz w:val="20"/>
          <w:vertAlign w:val="baseline"/>
        </w:rPr>
        <w:t> </w:t>
      </w:r>
      <w:r>
        <w:rPr>
          <w:color w:val="231F20"/>
          <w:sz w:val="20"/>
          <w:vertAlign w:val="baseline"/>
        </w:rPr>
        <w:t>mercenaire</w:t>
      </w:r>
      <w:r>
        <w:rPr>
          <w:color w:val="231F20"/>
          <w:spacing w:val="-12"/>
          <w:sz w:val="20"/>
          <w:vertAlign w:val="baseline"/>
        </w:rPr>
        <w:t> </w:t>
      </w:r>
      <w:r>
        <w:rPr>
          <w:color w:val="231F20"/>
          <w:sz w:val="20"/>
          <w:vertAlign w:val="baseline"/>
        </w:rPr>
        <w:t>français.</w:t>
      </w:r>
      <w:r>
        <w:rPr>
          <w:color w:val="231F20"/>
          <w:spacing w:val="36"/>
          <w:sz w:val="20"/>
          <w:vertAlign w:val="baseline"/>
        </w:rPr>
        <w:t> </w:t>
      </w:r>
      <w:r>
        <w:rPr>
          <w:color w:val="231F20"/>
          <w:sz w:val="20"/>
          <w:vertAlign w:val="baseline"/>
        </w:rPr>
        <w:t>Il</w:t>
      </w:r>
      <w:r>
        <w:rPr>
          <w:color w:val="231F20"/>
          <w:spacing w:val="37"/>
          <w:sz w:val="20"/>
          <w:vertAlign w:val="baseline"/>
        </w:rPr>
        <w:t> </w:t>
      </w:r>
      <w:r>
        <w:rPr>
          <w:color w:val="231F20"/>
          <w:sz w:val="20"/>
          <w:vertAlign w:val="baseline"/>
        </w:rPr>
        <w:t>est</w:t>
      </w:r>
      <w:r>
        <w:rPr>
          <w:color w:val="231F20"/>
          <w:spacing w:val="38"/>
          <w:sz w:val="20"/>
          <w:vertAlign w:val="baseline"/>
        </w:rPr>
        <w:t> </w:t>
      </w:r>
      <w:r>
        <w:rPr>
          <w:color w:val="231F20"/>
          <w:sz w:val="20"/>
          <w:vertAlign w:val="baseline"/>
        </w:rPr>
        <w:t>impliqué</w:t>
      </w:r>
      <w:r>
        <w:rPr>
          <w:color w:val="231F20"/>
          <w:spacing w:val="38"/>
          <w:sz w:val="20"/>
          <w:vertAlign w:val="baseline"/>
        </w:rPr>
        <w:t> </w:t>
      </w:r>
      <w:r>
        <w:rPr>
          <w:color w:val="231F20"/>
          <w:sz w:val="20"/>
          <w:vertAlign w:val="baseline"/>
        </w:rPr>
        <w:t>dans</w:t>
      </w:r>
      <w:r>
        <w:rPr>
          <w:color w:val="231F20"/>
          <w:spacing w:val="36"/>
          <w:sz w:val="20"/>
          <w:vertAlign w:val="baseline"/>
        </w:rPr>
        <w:t> </w:t>
      </w:r>
      <w:r>
        <w:rPr>
          <w:color w:val="231F20"/>
          <w:sz w:val="20"/>
          <w:vertAlign w:val="baseline"/>
        </w:rPr>
        <w:t>de nombreux</w:t>
      </w:r>
      <w:r>
        <w:rPr>
          <w:color w:val="231F20"/>
          <w:spacing w:val="-13"/>
          <w:sz w:val="20"/>
          <w:vertAlign w:val="baseline"/>
        </w:rPr>
        <w:t> </w:t>
      </w:r>
      <w:r>
        <w:rPr>
          <w:color w:val="231F20"/>
          <w:sz w:val="20"/>
          <w:vertAlign w:val="baseline"/>
        </w:rPr>
        <w:t>coups d'État</w:t>
      </w:r>
      <w:r>
        <w:rPr>
          <w:color w:val="231F20"/>
          <w:spacing w:val="-13"/>
          <w:sz w:val="20"/>
          <w:vertAlign w:val="baseline"/>
        </w:rPr>
        <w:t> </w:t>
      </w:r>
      <w:r>
        <w:rPr>
          <w:color w:val="231F20"/>
          <w:sz w:val="20"/>
          <w:vertAlign w:val="baseline"/>
        </w:rPr>
        <w:t>en</w:t>
      </w:r>
      <w:r>
        <w:rPr>
          <w:color w:val="231F20"/>
          <w:spacing w:val="-12"/>
          <w:sz w:val="20"/>
          <w:vertAlign w:val="baseline"/>
        </w:rPr>
        <w:t> </w:t>
      </w:r>
      <w:r>
        <w:rPr>
          <w:color w:val="231F20"/>
          <w:sz w:val="20"/>
          <w:vertAlign w:val="baseline"/>
        </w:rPr>
        <w:t>Afrique, souvent au service de la France en période post- coloniale, de 1960 a 1995.</w:t>
      </w:r>
    </w:p>
    <w:p>
      <w:pPr>
        <w:spacing w:after="0"/>
        <w:jc w:val="both"/>
        <w:rPr>
          <w:sz w:val="20"/>
        </w:rPr>
        <w:sectPr>
          <w:pgSz w:w="8790" w:h="13610"/>
          <w:pgMar w:header="0" w:footer="802" w:top="1040" w:bottom="1000" w:left="880" w:right="880"/>
        </w:sectPr>
      </w:pPr>
    </w:p>
    <w:p>
      <w:pPr>
        <w:pStyle w:val="Heading3"/>
        <w:spacing w:before="87"/>
        <w:jc w:val="left"/>
        <w:rPr>
          <w:i/>
        </w:rPr>
      </w:pPr>
      <w:bookmarkStart w:name="_TOC_250037" w:id="6"/>
      <w:r>
        <w:rPr>
          <w:i/>
          <w:color w:val="231F20"/>
          <w:spacing w:val="-2"/>
        </w:rPr>
        <w:t>Le</w:t>
      </w:r>
      <w:r>
        <w:rPr>
          <w:i/>
          <w:color w:val="231F20"/>
          <w:spacing w:val="-8"/>
        </w:rPr>
        <w:t> </w:t>
      </w:r>
      <w:r>
        <w:rPr>
          <w:i/>
          <w:color w:val="231F20"/>
          <w:spacing w:val="-2"/>
        </w:rPr>
        <w:t>17</w:t>
      </w:r>
      <w:r>
        <w:rPr>
          <w:i/>
          <w:color w:val="231F20"/>
          <w:spacing w:val="-8"/>
        </w:rPr>
        <w:t> </w:t>
      </w:r>
      <w:r>
        <w:rPr>
          <w:i/>
          <w:color w:val="231F20"/>
          <w:spacing w:val="-2"/>
        </w:rPr>
        <w:t>janvier</w:t>
      </w:r>
      <w:r>
        <w:rPr>
          <w:i/>
          <w:color w:val="231F20"/>
          <w:spacing w:val="-6"/>
        </w:rPr>
        <w:t> </w:t>
      </w:r>
      <w:r>
        <w:rPr>
          <w:i/>
          <w:color w:val="231F20"/>
          <w:spacing w:val="-2"/>
        </w:rPr>
        <w:t>1961,</w:t>
      </w:r>
      <w:r>
        <w:rPr>
          <w:i/>
          <w:color w:val="231F20"/>
          <w:spacing w:val="-7"/>
        </w:rPr>
        <w:t> </w:t>
      </w:r>
      <w:r>
        <w:rPr>
          <w:i/>
          <w:color w:val="231F20"/>
          <w:spacing w:val="-2"/>
        </w:rPr>
        <w:t>il</w:t>
      </w:r>
      <w:r>
        <w:rPr>
          <w:i/>
          <w:color w:val="231F20"/>
          <w:spacing w:val="-8"/>
        </w:rPr>
        <w:t> </w:t>
      </w:r>
      <w:r>
        <w:rPr>
          <w:i/>
          <w:color w:val="231F20"/>
          <w:spacing w:val="-2"/>
        </w:rPr>
        <w:t>est</w:t>
      </w:r>
      <w:r>
        <w:rPr>
          <w:i/>
          <w:color w:val="231F20"/>
          <w:spacing w:val="-7"/>
        </w:rPr>
        <w:t> </w:t>
      </w:r>
      <w:bookmarkEnd w:id="6"/>
      <w:r>
        <w:rPr>
          <w:i/>
          <w:color w:val="231F20"/>
          <w:spacing w:val="-2"/>
        </w:rPr>
        <w:t>assassiné.</w:t>
      </w:r>
    </w:p>
    <w:p>
      <w:pPr>
        <w:pStyle w:val="BodyText"/>
        <w:spacing w:before="162"/>
        <w:ind w:right="104" w:firstLine="283"/>
      </w:pPr>
      <w:r>
        <w:rPr>
          <w:color w:val="231F20"/>
        </w:rPr>
        <w:t>À</w:t>
      </w:r>
      <w:r>
        <w:rPr>
          <w:color w:val="231F20"/>
          <w:spacing w:val="-10"/>
        </w:rPr>
        <w:t> </w:t>
      </w:r>
      <w:r>
        <w:rPr>
          <w:color w:val="231F20"/>
        </w:rPr>
        <w:t>la</w:t>
      </w:r>
      <w:r>
        <w:rPr>
          <w:color w:val="231F20"/>
          <w:spacing w:val="-11"/>
        </w:rPr>
        <w:t> </w:t>
      </w:r>
      <w:r>
        <w:rPr>
          <w:color w:val="231F20"/>
        </w:rPr>
        <w:t>suite</w:t>
      </w:r>
      <w:r>
        <w:rPr>
          <w:color w:val="231F20"/>
          <w:spacing w:val="-11"/>
        </w:rPr>
        <w:t> </w:t>
      </w:r>
      <w:r>
        <w:rPr>
          <w:color w:val="231F20"/>
        </w:rPr>
        <w:t>de</w:t>
      </w:r>
      <w:r>
        <w:rPr>
          <w:color w:val="231F20"/>
          <w:spacing w:val="-10"/>
        </w:rPr>
        <w:t> </w:t>
      </w:r>
      <w:r>
        <w:rPr>
          <w:color w:val="231F20"/>
        </w:rPr>
        <w:t>la</w:t>
      </w:r>
      <w:r>
        <w:rPr>
          <w:color w:val="231F20"/>
          <w:spacing w:val="-11"/>
        </w:rPr>
        <w:t> </w:t>
      </w:r>
      <w:r>
        <w:rPr>
          <w:color w:val="231F20"/>
        </w:rPr>
        <w:t>disparition</w:t>
      </w:r>
      <w:r>
        <w:rPr>
          <w:color w:val="231F20"/>
          <w:spacing w:val="-11"/>
        </w:rPr>
        <w:t> </w:t>
      </w:r>
      <w:r>
        <w:rPr>
          <w:color w:val="231F20"/>
        </w:rPr>
        <w:t>de</w:t>
      </w:r>
      <w:r>
        <w:rPr>
          <w:color w:val="231F20"/>
          <w:spacing w:val="-11"/>
        </w:rPr>
        <w:t> </w:t>
      </w:r>
      <w:r>
        <w:rPr>
          <w:color w:val="231F20"/>
        </w:rPr>
        <w:t>Lumumba,</w:t>
      </w:r>
      <w:r>
        <w:rPr>
          <w:color w:val="231F20"/>
          <w:spacing w:val="-11"/>
        </w:rPr>
        <w:t> </w:t>
      </w:r>
      <w:r>
        <w:rPr>
          <w:color w:val="231F20"/>
        </w:rPr>
        <w:t>des</w:t>
      </w:r>
      <w:r>
        <w:rPr>
          <w:color w:val="231F20"/>
          <w:spacing w:val="-10"/>
        </w:rPr>
        <w:t> </w:t>
      </w:r>
      <w:r>
        <w:rPr>
          <w:color w:val="231F20"/>
        </w:rPr>
        <w:t>rébellions</w:t>
      </w:r>
      <w:r>
        <w:rPr>
          <w:color w:val="231F20"/>
          <w:spacing w:val="-10"/>
        </w:rPr>
        <w:t> </w:t>
      </w:r>
      <w:r>
        <w:rPr>
          <w:color w:val="231F20"/>
        </w:rPr>
        <w:t>lumumbistes éclatent dans l’Ouest et aboutissent à la création d’une République </w:t>
      </w:r>
      <w:r>
        <w:rPr>
          <w:color w:val="231F20"/>
          <w:spacing w:val="-4"/>
        </w:rPr>
        <w:t>populaire</w:t>
      </w:r>
      <w:r>
        <w:rPr>
          <w:color w:val="231F20"/>
          <w:spacing w:val="-8"/>
        </w:rPr>
        <w:t> </w:t>
      </w:r>
      <w:r>
        <w:rPr>
          <w:color w:val="231F20"/>
          <w:spacing w:val="-4"/>
        </w:rPr>
        <w:t>du</w:t>
      </w:r>
      <w:r>
        <w:rPr>
          <w:color w:val="231F20"/>
          <w:spacing w:val="-8"/>
        </w:rPr>
        <w:t> </w:t>
      </w:r>
      <w:r>
        <w:rPr>
          <w:color w:val="231F20"/>
          <w:spacing w:val="-4"/>
        </w:rPr>
        <w:t>Congo</w:t>
      </w:r>
      <w:r>
        <w:rPr>
          <w:color w:val="231F20"/>
          <w:spacing w:val="-8"/>
        </w:rPr>
        <w:t> </w:t>
      </w:r>
      <w:r>
        <w:rPr>
          <w:color w:val="231F20"/>
          <w:spacing w:val="-4"/>
        </w:rPr>
        <w:t>à</w:t>
      </w:r>
      <w:r>
        <w:rPr>
          <w:color w:val="231F20"/>
          <w:spacing w:val="-11"/>
        </w:rPr>
        <w:t> </w:t>
      </w:r>
      <w:r>
        <w:rPr>
          <w:color w:val="231F20"/>
          <w:spacing w:val="-4"/>
        </w:rPr>
        <w:t>Stanleyville</w:t>
      </w:r>
      <w:r>
        <w:rPr>
          <w:color w:val="231F20"/>
          <w:spacing w:val="-8"/>
        </w:rPr>
        <w:t> </w:t>
      </w:r>
      <w:r>
        <w:rPr>
          <w:color w:val="231F20"/>
          <w:spacing w:val="-4"/>
        </w:rPr>
        <w:t>qui</w:t>
      </w:r>
      <w:r>
        <w:rPr>
          <w:color w:val="231F20"/>
          <w:spacing w:val="-7"/>
        </w:rPr>
        <w:t> </w:t>
      </w:r>
      <w:r>
        <w:rPr>
          <w:color w:val="231F20"/>
          <w:spacing w:val="-4"/>
        </w:rPr>
        <w:t>sera</w:t>
      </w:r>
      <w:r>
        <w:rPr>
          <w:color w:val="231F20"/>
          <w:spacing w:val="-8"/>
        </w:rPr>
        <w:t> </w:t>
      </w:r>
      <w:r>
        <w:rPr>
          <w:color w:val="231F20"/>
          <w:spacing w:val="-4"/>
        </w:rPr>
        <w:t>plus</w:t>
      </w:r>
      <w:r>
        <w:rPr>
          <w:color w:val="231F20"/>
          <w:spacing w:val="-8"/>
        </w:rPr>
        <w:t> </w:t>
      </w:r>
      <w:r>
        <w:rPr>
          <w:color w:val="231F20"/>
          <w:spacing w:val="-4"/>
        </w:rPr>
        <w:t>tard</w:t>
      </w:r>
      <w:r>
        <w:rPr>
          <w:color w:val="231F20"/>
          <w:spacing w:val="-8"/>
        </w:rPr>
        <w:t> </w:t>
      </w:r>
      <w:r>
        <w:rPr>
          <w:color w:val="231F20"/>
          <w:spacing w:val="-4"/>
        </w:rPr>
        <w:t>rebaptisée</w:t>
      </w:r>
      <w:r>
        <w:rPr>
          <w:color w:val="231F20"/>
          <w:spacing w:val="-8"/>
        </w:rPr>
        <w:t> </w:t>
      </w:r>
      <w:r>
        <w:rPr>
          <w:color w:val="231F20"/>
          <w:spacing w:val="-4"/>
        </w:rPr>
        <w:t>Kisangani. </w:t>
      </w:r>
      <w:r>
        <w:rPr>
          <w:color w:val="231F20"/>
        </w:rPr>
        <w:t>Un gouvernement est formé par Antoine Gizenga et les partisans de </w:t>
      </w:r>
      <w:r>
        <w:rPr>
          <w:color w:val="231F20"/>
          <w:spacing w:val="-4"/>
        </w:rPr>
        <w:t>Lumumba</w:t>
      </w:r>
      <w:r>
        <w:rPr>
          <w:color w:val="231F20"/>
          <w:spacing w:val="-6"/>
        </w:rPr>
        <w:t> </w:t>
      </w:r>
      <w:r>
        <w:rPr>
          <w:color w:val="231F20"/>
          <w:spacing w:val="-4"/>
        </w:rPr>
        <w:t>dans</w:t>
      </w:r>
      <w:r>
        <w:rPr>
          <w:color w:val="231F20"/>
          <w:spacing w:val="-8"/>
        </w:rPr>
        <w:t> </w:t>
      </w:r>
      <w:r>
        <w:rPr>
          <w:color w:val="231F20"/>
          <w:spacing w:val="-4"/>
        </w:rPr>
        <w:t>la</w:t>
      </w:r>
      <w:r>
        <w:rPr>
          <w:color w:val="231F20"/>
          <w:spacing w:val="-6"/>
        </w:rPr>
        <w:t> </w:t>
      </w:r>
      <w:r>
        <w:rPr>
          <w:color w:val="231F20"/>
          <w:spacing w:val="-4"/>
        </w:rPr>
        <w:t>ville</w:t>
      </w:r>
      <w:r>
        <w:rPr>
          <w:color w:val="231F20"/>
          <w:spacing w:val="-8"/>
        </w:rPr>
        <w:t> </w:t>
      </w:r>
      <w:r>
        <w:rPr>
          <w:color w:val="231F20"/>
          <w:spacing w:val="-4"/>
        </w:rPr>
        <w:t>de</w:t>
      </w:r>
      <w:r>
        <w:rPr>
          <w:color w:val="231F20"/>
          <w:spacing w:val="-6"/>
        </w:rPr>
        <w:t> </w:t>
      </w:r>
      <w:r>
        <w:rPr>
          <w:color w:val="231F20"/>
          <w:spacing w:val="-4"/>
        </w:rPr>
        <w:t>Stanleyville</w:t>
      </w:r>
      <w:r>
        <w:rPr>
          <w:color w:val="231F20"/>
          <w:spacing w:val="-6"/>
        </w:rPr>
        <w:t> </w:t>
      </w:r>
      <w:r>
        <w:rPr>
          <w:color w:val="231F20"/>
          <w:spacing w:val="-4"/>
        </w:rPr>
        <w:t>à</w:t>
      </w:r>
      <w:r>
        <w:rPr>
          <w:color w:val="231F20"/>
          <w:spacing w:val="-9"/>
        </w:rPr>
        <w:t> </w:t>
      </w:r>
      <w:r>
        <w:rPr>
          <w:color w:val="231F20"/>
          <w:spacing w:val="-4"/>
        </w:rPr>
        <w:t>l’Est.</w:t>
      </w:r>
      <w:r>
        <w:rPr>
          <w:color w:val="231F20"/>
          <w:spacing w:val="-6"/>
        </w:rPr>
        <w:t> </w:t>
      </w:r>
      <w:r>
        <w:rPr>
          <w:color w:val="231F20"/>
          <w:spacing w:val="-4"/>
        </w:rPr>
        <w:t>Ce</w:t>
      </w:r>
      <w:r>
        <w:rPr>
          <w:color w:val="231F20"/>
          <w:spacing w:val="-6"/>
        </w:rPr>
        <w:t> </w:t>
      </w:r>
      <w:r>
        <w:rPr>
          <w:color w:val="231F20"/>
          <w:spacing w:val="-4"/>
        </w:rPr>
        <w:t>gouvernement</w:t>
      </w:r>
      <w:r>
        <w:rPr>
          <w:color w:val="231F20"/>
          <w:spacing w:val="-6"/>
        </w:rPr>
        <w:t> </w:t>
      </w:r>
      <w:r>
        <w:rPr>
          <w:color w:val="231F20"/>
          <w:spacing w:val="-4"/>
        </w:rPr>
        <w:t>recueille </w:t>
      </w:r>
      <w:r>
        <w:rPr>
          <w:color w:val="231F20"/>
        </w:rPr>
        <w:t>le soutien soviétique et est reconnu par 21 pays d’Afrique, d’Asie, et d’Europe de l’Est en février 1961. Les rebelles partisans de Lumumba occupent rapidement deux-tiers du Congo.</w:t>
      </w:r>
    </w:p>
    <w:p>
      <w:pPr>
        <w:pStyle w:val="BodyText"/>
        <w:spacing w:before="120"/>
        <w:ind w:right="107" w:firstLine="283"/>
      </w:pPr>
      <w:r>
        <w:rPr>
          <w:color w:val="231F20"/>
        </w:rPr>
        <w:t>Après</w:t>
      </w:r>
      <w:r>
        <w:rPr>
          <w:color w:val="231F20"/>
          <w:spacing w:val="-15"/>
        </w:rPr>
        <w:t> </w:t>
      </w:r>
      <w:r>
        <w:rPr>
          <w:color w:val="231F20"/>
        </w:rPr>
        <w:t>la</w:t>
      </w:r>
      <w:r>
        <w:rPr>
          <w:color w:val="231F20"/>
          <w:spacing w:val="-15"/>
        </w:rPr>
        <w:t> </w:t>
      </w:r>
      <w:r>
        <w:rPr>
          <w:color w:val="231F20"/>
        </w:rPr>
        <w:t>mort</w:t>
      </w:r>
      <w:r>
        <w:rPr>
          <w:color w:val="231F20"/>
          <w:spacing w:val="-15"/>
        </w:rPr>
        <w:t> </w:t>
      </w:r>
      <w:r>
        <w:rPr>
          <w:color w:val="231F20"/>
        </w:rPr>
        <w:t>de</w:t>
      </w:r>
      <w:r>
        <w:rPr>
          <w:color w:val="231F20"/>
          <w:spacing w:val="-15"/>
        </w:rPr>
        <w:t> </w:t>
      </w:r>
      <w:r>
        <w:rPr>
          <w:color w:val="231F20"/>
        </w:rPr>
        <w:t>Dag</w:t>
      </w:r>
      <w:r>
        <w:rPr>
          <w:color w:val="231F20"/>
          <w:spacing w:val="-15"/>
        </w:rPr>
        <w:t> </w:t>
      </w:r>
      <w:r>
        <w:rPr>
          <w:color w:val="231F20"/>
        </w:rPr>
        <w:t>Hammarskjöld,</w:t>
      </w:r>
      <w:r>
        <w:rPr>
          <w:color w:val="231F20"/>
          <w:spacing w:val="-15"/>
        </w:rPr>
        <w:t> </w:t>
      </w:r>
      <w:r>
        <w:rPr>
          <w:color w:val="231F20"/>
        </w:rPr>
        <w:t>Secrétaire</w:t>
      </w:r>
      <w:r>
        <w:rPr>
          <w:color w:val="231F20"/>
          <w:spacing w:val="-15"/>
        </w:rPr>
        <w:t> </w:t>
      </w:r>
      <w:r>
        <w:rPr>
          <w:color w:val="231F20"/>
        </w:rPr>
        <w:t>Général</w:t>
      </w:r>
      <w:r>
        <w:rPr>
          <w:color w:val="231F20"/>
          <w:spacing w:val="-15"/>
        </w:rPr>
        <w:t> </w:t>
      </w:r>
      <w:r>
        <w:rPr>
          <w:color w:val="231F20"/>
        </w:rPr>
        <w:t>des</w:t>
      </w:r>
      <w:r>
        <w:rPr>
          <w:color w:val="231F20"/>
          <w:spacing w:val="-15"/>
        </w:rPr>
        <w:t> </w:t>
      </w:r>
      <w:r>
        <w:rPr>
          <w:color w:val="231F20"/>
        </w:rPr>
        <w:t>Nations </w:t>
      </w:r>
      <w:r>
        <w:rPr>
          <w:color w:val="231F20"/>
          <w:spacing w:val="-2"/>
        </w:rPr>
        <w:t>Unies</w:t>
      </w:r>
      <w:r>
        <w:rPr>
          <w:color w:val="231F20"/>
          <w:spacing w:val="-13"/>
        </w:rPr>
        <w:t> </w:t>
      </w:r>
      <w:r>
        <w:rPr>
          <w:color w:val="231F20"/>
          <w:spacing w:val="-2"/>
        </w:rPr>
        <w:t>dans</w:t>
      </w:r>
      <w:r>
        <w:rPr>
          <w:color w:val="231F20"/>
          <w:spacing w:val="-13"/>
        </w:rPr>
        <w:t> </w:t>
      </w:r>
      <w:r>
        <w:rPr>
          <w:color w:val="231F20"/>
          <w:spacing w:val="-2"/>
        </w:rPr>
        <w:t>un</w:t>
      </w:r>
      <w:r>
        <w:rPr>
          <w:color w:val="231F20"/>
          <w:spacing w:val="-13"/>
        </w:rPr>
        <w:t> </w:t>
      </w:r>
      <w:r>
        <w:rPr>
          <w:color w:val="231F20"/>
          <w:spacing w:val="-2"/>
        </w:rPr>
        <w:t>accident</w:t>
      </w:r>
      <w:r>
        <w:rPr>
          <w:color w:val="231F20"/>
          <w:spacing w:val="-12"/>
        </w:rPr>
        <w:t> </w:t>
      </w:r>
      <w:r>
        <w:rPr>
          <w:color w:val="231F20"/>
          <w:spacing w:val="-2"/>
        </w:rPr>
        <w:t>d’avion</w:t>
      </w:r>
      <w:r>
        <w:rPr>
          <w:color w:val="231F20"/>
          <w:spacing w:val="-13"/>
        </w:rPr>
        <w:t> </w:t>
      </w:r>
      <w:r>
        <w:rPr>
          <w:color w:val="231F20"/>
          <w:spacing w:val="-2"/>
        </w:rPr>
        <w:t>en</w:t>
      </w:r>
      <w:r>
        <w:rPr>
          <w:color w:val="231F20"/>
          <w:spacing w:val="-13"/>
        </w:rPr>
        <w:t> </w:t>
      </w:r>
      <w:r>
        <w:rPr>
          <w:color w:val="231F20"/>
          <w:spacing w:val="-2"/>
        </w:rPr>
        <w:t>1961,</w:t>
      </w:r>
      <w:r>
        <w:rPr>
          <w:color w:val="231F20"/>
          <w:spacing w:val="-13"/>
        </w:rPr>
        <w:t> </w:t>
      </w:r>
      <w:r>
        <w:rPr>
          <w:color w:val="231F20"/>
          <w:spacing w:val="-2"/>
        </w:rPr>
        <w:t>l’ONU</w:t>
      </w:r>
      <w:r>
        <w:rPr>
          <w:color w:val="231F20"/>
          <w:spacing w:val="-13"/>
        </w:rPr>
        <w:t> </w:t>
      </w:r>
      <w:r>
        <w:rPr>
          <w:color w:val="231F20"/>
          <w:spacing w:val="-2"/>
        </w:rPr>
        <w:t>adopte</w:t>
      </w:r>
      <w:r>
        <w:rPr>
          <w:color w:val="231F20"/>
          <w:spacing w:val="-13"/>
        </w:rPr>
        <w:t> </w:t>
      </w:r>
      <w:r>
        <w:rPr>
          <w:color w:val="231F20"/>
          <w:spacing w:val="-2"/>
        </w:rPr>
        <w:t>une</w:t>
      </w:r>
      <w:r>
        <w:rPr>
          <w:color w:val="231F20"/>
          <w:spacing w:val="-13"/>
        </w:rPr>
        <w:t> </w:t>
      </w:r>
      <w:r>
        <w:rPr>
          <w:color w:val="231F20"/>
          <w:spacing w:val="-2"/>
        </w:rPr>
        <w:t>position</w:t>
      </w:r>
      <w:r>
        <w:rPr>
          <w:color w:val="231F20"/>
          <w:spacing w:val="-13"/>
        </w:rPr>
        <w:t> </w:t>
      </w:r>
      <w:r>
        <w:rPr>
          <w:color w:val="231F20"/>
          <w:spacing w:val="-2"/>
        </w:rPr>
        <w:t>plus </w:t>
      </w:r>
      <w:r>
        <w:rPr>
          <w:color w:val="231F20"/>
        </w:rPr>
        <w:t>agressive envers les séparatistes.</w:t>
      </w:r>
    </w:p>
    <w:p>
      <w:pPr>
        <w:pStyle w:val="BodyText"/>
        <w:spacing w:before="120"/>
        <w:ind w:right="105" w:firstLine="283"/>
      </w:pPr>
      <w:r>
        <w:rPr>
          <w:color w:val="231F20"/>
        </w:rPr>
        <w:t>En 1963,</w:t>
      </w:r>
      <w:r>
        <w:rPr>
          <w:color w:val="231F20"/>
          <w:spacing w:val="-1"/>
        </w:rPr>
        <w:t> </w:t>
      </w:r>
      <w:r>
        <w:rPr>
          <w:color w:val="231F20"/>
        </w:rPr>
        <w:t>avec</w:t>
      </w:r>
      <w:r>
        <w:rPr>
          <w:color w:val="231F20"/>
          <w:spacing w:val="-1"/>
        </w:rPr>
        <w:t> </w:t>
      </w:r>
      <w:r>
        <w:rPr>
          <w:color w:val="231F20"/>
        </w:rPr>
        <w:t>l’aide</w:t>
      </w:r>
      <w:r>
        <w:rPr>
          <w:color w:val="231F20"/>
          <w:spacing w:val="-1"/>
        </w:rPr>
        <w:t> </w:t>
      </w:r>
      <w:r>
        <w:rPr>
          <w:color w:val="231F20"/>
        </w:rPr>
        <w:t>des Etats-Unis,</w:t>
      </w:r>
      <w:r>
        <w:rPr>
          <w:color w:val="231F20"/>
          <w:spacing w:val="-1"/>
        </w:rPr>
        <w:t> </w:t>
      </w:r>
      <w:r>
        <w:rPr>
          <w:color w:val="231F20"/>
        </w:rPr>
        <w:t>Mobutu</w:t>
      </w:r>
      <w:r>
        <w:rPr>
          <w:color w:val="231F20"/>
          <w:spacing w:val="-1"/>
        </w:rPr>
        <w:t> </w:t>
      </w:r>
      <w:r>
        <w:rPr>
          <w:color w:val="231F20"/>
        </w:rPr>
        <w:t>parvient à reconquérir l’ensemble</w:t>
      </w:r>
      <w:r>
        <w:rPr>
          <w:color w:val="231F20"/>
          <w:spacing w:val="-2"/>
        </w:rPr>
        <w:t> </w:t>
      </w:r>
      <w:r>
        <w:rPr>
          <w:color w:val="231F20"/>
        </w:rPr>
        <w:t>du</w:t>
      </w:r>
      <w:r>
        <w:rPr>
          <w:color w:val="231F20"/>
          <w:spacing w:val="-2"/>
        </w:rPr>
        <w:t> </w:t>
      </w:r>
      <w:r>
        <w:rPr>
          <w:color w:val="231F20"/>
        </w:rPr>
        <w:t>territoire.</w:t>
      </w:r>
      <w:r>
        <w:rPr>
          <w:color w:val="231F20"/>
          <w:spacing w:val="-2"/>
        </w:rPr>
        <w:t> </w:t>
      </w:r>
      <w:r>
        <w:rPr>
          <w:color w:val="231F20"/>
        </w:rPr>
        <w:t>Surfant</w:t>
      </w:r>
      <w:r>
        <w:rPr>
          <w:color w:val="231F20"/>
          <w:spacing w:val="-2"/>
        </w:rPr>
        <w:t> </w:t>
      </w:r>
      <w:r>
        <w:rPr>
          <w:color w:val="231F20"/>
        </w:rPr>
        <w:t>sur</w:t>
      </w:r>
      <w:r>
        <w:rPr>
          <w:color w:val="231F20"/>
          <w:spacing w:val="-2"/>
        </w:rPr>
        <w:t> </w:t>
      </w:r>
      <w:r>
        <w:rPr>
          <w:color w:val="231F20"/>
        </w:rPr>
        <w:t>cette</w:t>
      </w:r>
      <w:r>
        <w:rPr>
          <w:color w:val="231F20"/>
          <w:spacing w:val="-2"/>
        </w:rPr>
        <w:t> </w:t>
      </w:r>
      <w:r>
        <w:rPr>
          <w:color w:val="231F20"/>
        </w:rPr>
        <w:t>victoire,</w:t>
      </w:r>
      <w:r>
        <w:rPr>
          <w:color w:val="231F20"/>
          <w:spacing w:val="-3"/>
        </w:rPr>
        <w:t> </w:t>
      </w:r>
      <w:r>
        <w:rPr>
          <w:color w:val="231F20"/>
        </w:rPr>
        <w:t>Mobutu</w:t>
      </w:r>
      <w:r>
        <w:rPr>
          <w:color w:val="231F20"/>
          <w:spacing w:val="-2"/>
        </w:rPr>
        <w:t> </w:t>
      </w:r>
      <w:r>
        <w:rPr>
          <w:color w:val="231F20"/>
        </w:rPr>
        <w:t>s’emploie</w:t>
      </w:r>
      <w:r>
        <w:rPr>
          <w:color w:val="231F20"/>
          <w:spacing w:val="-4"/>
        </w:rPr>
        <w:t> </w:t>
      </w:r>
      <w:r>
        <w:rPr>
          <w:color w:val="231F20"/>
        </w:rPr>
        <w:t>à être vu comme le « pacificateur » du Congo.</w:t>
      </w:r>
    </w:p>
    <w:p>
      <w:pPr>
        <w:pStyle w:val="BodyText"/>
        <w:spacing w:before="120"/>
        <w:ind w:right="106" w:firstLine="283"/>
      </w:pPr>
      <w:r>
        <w:rPr>
          <w:color w:val="231F20"/>
        </w:rPr>
        <w:t>En 1965, il renverse par un coup d’Etat, le président Joseph Kasa- Vubu. Le coup d’Etat est applaudi dans les capitales occidentales qui voient</w:t>
      </w:r>
      <w:r>
        <w:rPr>
          <w:color w:val="231F20"/>
          <w:spacing w:val="-15"/>
        </w:rPr>
        <w:t> </w:t>
      </w:r>
      <w:r>
        <w:rPr>
          <w:color w:val="231F20"/>
        </w:rPr>
        <w:t>en</w:t>
      </w:r>
      <w:r>
        <w:rPr>
          <w:color w:val="231F20"/>
          <w:spacing w:val="-15"/>
        </w:rPr>
        <w:t> </w:t>
      </w:r>
      <w:r>
        <w:rPr>
          <w:color w:val="231F20"/>
        </w:rPr>
        <w:t>lui,</w:t>
      </w:r>
      <w:r>
        <w:rPr>
          <w:color w:val="231F20"/>
          <w:spacing w:val="-15"/>
        </w:rPr>
        <w:t> </w:t>
      </w:r>
      <w:r>
        <w:rPr>
          <w:color w:val="231F20"/>
        </w:rPr>
        <w:t>un</w:t>
      </w:r>
      <w:r>
        <w:rPr>
          <w:color w:val="231F20"/>
          <w:spacing w:val="-15"/>
        </w:rPr>
        <w:t> </w:t>
      </w:r>
      <w:r>
        <w:rPr>
          <w:color w:val="231F20"/>
        </w:rPr>
        <w:t>rempart</w:t>
      </w:r>
      <w:r>
        <w:rPr>
          <w:color w:val="231F20"/>
          <w:spacing w:val="-15"/>
        </w:rPr>
        <w:t> </w:t>
      </w:r>
      <w:r>
        <w:rPr>
          <w:color w:val="231F20"/>
        </w:rPr>
        <w:t>contre</w:t>
      </w:r>
      <w:r>
        <w:rPr>
          <w:color w:val="231F20"/>
          <w:spacing w:val="-15"/>
        </w:rPr>
        <w:t> </w:t>
      </w:r>
      <w:r>
        <w:rPr>
          <w:color w:val="231F20"/>
        </w:rPr>
        <w:t>le</w:t>
      </w:r>
      <w:r>
        <w:rPr>
          <w:color w:val="231F20"/>
          <w:spacing w:val="-15"/>
        </w:rPr>
        <w:t> </w:t>
      </w:r>
      <w:r>
        <w:rPr>
          <w:color w:val="231F20"/>
        </w:rPr>
        <w:t>communisme.</w:t>
      </w:r>
      <w:r>
        <w:rPr>
          <w:color w:val="231F20"/>
          <w:spacing w:val="-15"/>
        </w:rPr>
        <w:t> </w:t>
      </w:r>
      <w:r>
        <w:rPr>
          <w:color w:val="231F20"/>
        </w:rPr>
        <w:t>Le</w:t>
      </w:r>
      <w:r>
        <w:rPr>
          <w:color w:val="231F20"/>
          <w:spacing w:val="-15"/>
        </w:rPr>
        <w:t> </w:t>
      </w:r>
      <w:r>
        <w:rPr>
          <w:color w:val="231F20"/>
        </w:rPr>
        <w:t>Congo</w:t>
      </w:r>
      <w:r>
        <w:rPr>
          <w:color w:val="231F20"/>
          <w:spacing w:val="-15"/>
        </w:rPr>
        <w:t> </w:t>
      </w:r>
      <w:r>
        <w:rPr>
          <w:color w:val="231F20"/>
        </w:rPr>
        <w:t>retrouve</w:t>
      </w:r>
      <w:r>
        <w:rPr>
          <w:color w:val="231F20"/>
          <w:spacing w:val="-15"/>
        </w:rPr>
        <w:t> </w:t>
      </w:r>
      <w:r>
        <w:rPr>
          <w:color w:val="231F20"/>
        </w:rPr>
        <w:t>une certaine stabilité et les investisseurs étrangers se précipitent sur les </w:t>
      </w:r>
      <w:r>
        <w:rPr>
          <w:color w:val="231F20"/>
          <w:spacing w:val="-4"/>
        </w:rPr>
        <w:t>ressources</w:t>
      </w:r>
      <w:r>
        <w:rPr>
          <w:color w:val="231F20"/>
          <w:spacing w:val="-10"/>
        </w:rPr>
        <w:t> </w:t>
      </w:r>
      <w:r>
        <w:rPr>
          <w:color w:val="231F20"/>
          <w:spacing w:val="-4"/>
        </w:rPr>
        <w:t>naturelles</w:t>
      </w:r>
      <w:r>
        <w:rPr>
          <w:color w:val="231F20"/>
          <w:spacing w:val="-10"/>
        </w:rPr>
        <w:t> </w:t>
      </w:r>
      <w:r>
        <w:rPr>
          <w:color w:val="231F20"/>
          <w:spacing w:val="-4"/>
        </w:rPr>
        <w:t>dont</w:t>
      </w:r>
      <w:r>
        <w:rPr>
          <w:color w:val="231F20"/>
          <w:spacing w:val="-10"/>
        </w:rPr>
        <w:t> </w:t>
      </w:r>
      <w:r>
        <w:rPr>
          <w:color w:val="231F20"/>
          <w:spacing w:val="-4"/>
        </w:rPr>
        <w:t>le</w:t>
      </w:r>
      <w:r>
        <w:rPr>
          <w:color w:val="231F20"/>
          <w:spacing w:val="-8"/>
        </w:rPr>
        <w:t> </w:t>
      </w:r>
      <w:r>
        <w:rPr>
          <w:color w:val="231F20"/>
          <w:spacing w:val="-4"/>
        </w:rPr>
        <w:t>pays</w:t>
      </w:r>
      <w:r>
        <w:rPr>
          <w:color w:val="231F20"/>
          <w:spacing w:val="-10"/>
        </w:rPr>
        <w:t> </w:t>
      </w:r>
      <w:r>
        <w:rPr>
          <w:color w:val="231F20"/>
          <w:spacing w:val="-4"/>
        </w:rPr>
        <w:t>est</w:t>
      </w:r>
      <w:r>
        <w:rPr>
          <w:color w:val="231F20"/>
          <w:spacing w:val="-10"/>
        </w:rPr>
        <w:t> </w:t>
      </w:r>
      <w:r>
        <w:rPr>
          <w:color w:val="231F20"/>
          <w:spacing w:val="-4"/>
        </w:rPr>
        <w:t>richement</w:t>
      </w:r>
      <w:r>
        <w:rPr>
          <w:color w:val="231F20"/>
          <w:spacing w:val="-10"/>
        </w:rPr>
        <w:t> </w:t>
      </w:r>
      <w:r>
        <w:rPr>
          <w:color w:val="231F20"/>
          <w:spacing w:val="-4"/>
        </w:rPr>
        <w:t>pourvu.</w:t>
      </w:r>
      <w:r>
        <w:rPr>
          <w:color w:val="231F20"/>
          <w:spacing w:val="-8"/>
        </w:rPr>
        <w:t> </w:t>
      </w:r>
      <w:r>
        <w:rPr>
          <w:color w:val="231F20"/>
          <w:spacing w:val="-4"/>
        </w:rPr>
        <w:t>L’Etat</w:t>
      </w:r>
      <w:r>
        <w:rPr>
          <w:color w:val="231F20"/>
          <w:spacing w:val="-10"/>
        </w:rPr>
        <w:t> </w:t>
      </w:r>
      <w:r>
        <w:rPr>
          <w:color w:val="231F20"/>
          <w:spacing w:val="-4"/>
        </w:rPr>
        <w:t>lance</w:t>
      </w:r>
      <w:r>
        <w:rPr>
          <w:color w:val="231F20"/>
          <w:spacing w:val="-9"/>
        </w:rPr>
        <w:t> </w:t>
      </w:r>
      <w:r>
        <w:rPr>
          <w:color w:val="231F20"/>
          <w:spacing w:val="-4"/>
        </w:rPr>
        <w:t>alors </w:t>
      </w:r>
      <w:r>
        <w:rPr>
          <w:color w:val="231F20"/>
        </w:rPr>
        <w:t>une politique de grands travaux qui donnent lieu rapidement et durablement à une importante corruption des élites politiques et </w:t>
      </w:r>
      <w:r>
        <w:rPr>
          <w:color w:val="231F20"/>
          <w:spacing w:val="-2"/>
        </w:rPr>
        <w:t>administratives.</w:t>
      </w:r>
    </w:p>
    <w:p>
      <w:pPr>
        <w:pStyle w:val="BodyText"/>
        <w:spacing w:before="121"/>
        <w:ind w:right="101" w:firstLine="283"/>
      </w:pPr>
      <w:r>
        <w:rPr>
          <w:color w:val="231F20"/>
        </w:rPr>
        <w:t>En 1971 commence la campagne d’«</w:t>
      </w:r>
      <w:r>
        <w:rPr>
          <w:color w:val="231F20"/>
          <w:spacing w:val="-14"/>
        </w:rPr>
        <w:t> </w:t>
      </w:r>
      <w:r>
        <w:rPr>
          <w:color w:val="231F20"/>
        </w:rPr>
        <w:t>authenticité</w:t>
      </w:r>
      <w:r>
        <w:rPr>
          <w:color w:val="231F20"/>
          <w:spacing w:val="-14"/>
        </w:rPr>
        <w:t> </w:t>
      </w:r>
      <w:r>
        <w:rPr>
          <w:color w:val="231F20"/>
        </w:rPr>
        <w:t>» du président Mobutu</w:t>
      </w:r>
      <w:r>
        <w:rPr>
          <w:color w:val="231F20"/>
          <w:spacing w:val="-15"/>
        </w:rPr>
        <w:t> </w:t>
      </w:r>
      <w:r>
        <w:rPr>
          <w:color w:val="231F20"/>
        </w:rPr>
        <w:t>pour</w:t>
      </w:r>
      <w:r>
        <w:rPr>
          <w:color w:val="231F20"/>
          <w:spacing w:val="-15"/>
        </w:rPr>
        <w:t> </w:t>
      </w:r>
      <w:r>
        <w:rPr>
          <w:color w:val="231F20"/>
        </w:rPr>
        <w:t>affranchir</w:t>
      </w:r>
      <w:r>
        <w:rPr>
          <w:color w:val="231F20"/>
          <w:spacing w:val="-15"/>
        </w:rPr>
        <w:t> </w:t>
      </w:r>
      <w:r>
        <w:rPr>
          <w:color w:val="231F20"/>
        </w:rPr>
        <w:t>la</w:t>
      </w:r>
      <w:r>
        <w:rPr>
          <w:color w:val="231F20"/>
          <w:spacing w:val="-15"/>
        </w:rPr>
        <w:t> </w:t>
      </w:r>
      <w:r>
        <w:rPr>
          <w:color w:val="231F20"/>
        </w:rPr>
        <w:t>population</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culture</w:t>
      </w:r>
      <w:r>
        <w:rPr>
          <w:color w:val="231F20"/>
          <w:spacing w:val="-15"/>
        </w:rPr>
        <w:t> </w:t>
      </w:r>
      <w:r>
        <w:rPr>
          <w:color w:val="231F20"/>
        </w:rPr>
        <w:t>coloniale</w:t>
      </w:r>
      <w:r>
        <w:rPr>
          <w:color w:val="231F20"/>
          <w:spacing w:val="-15"/>
        </w:rPr>
        <w:t> </w:t>
      </w:r>
      <w:r>
        <w:rPr>
          <w:color w:val="231F20"/>
        </w:rPr>
        <w:t>:</w:t>
      </w:r>
      <w:r>
        <w:rPr>
          <w:color w:val="231F20"/>
          <w:spacing w:val="-15"/>
        </w:rPr>
        <w:t> </w:t>
      </w:r>
      <w:r>
        <w:rPr>
          <w:color w:val="231F20"/>
        </w:rPr>
        <w:t>le</w:t>
      </w:r>
      <w:r>
        <w:rPr>
          <w:color w:val="231F20"/>
          <w:spacing w:val="-15"/>
        </w:rPr>
        <w:t> </w:t>
      </w:r>
      <w:r>
        <w:rPr>
          <w:color w:val="231F20"/>
        </w:rPr>
        <w:t>pays</w:t>
      </w:r>
      <w:r>
        <w:rPr>
          <w:color w:val="231F20"/>
          <w:spacing w:val="-15"/>
        </w:rPr>
        <w:t> </w:t>
      </w:r>
      <w:r>
        <w:rPr>
          <w:color w:val="231F20"/>
        </w:rPr>
        <w:t>est </w:t>
      </w:r>
      <w:r>
        <w:rPr>
          <w:color w:val="231F20"/>
          <w:spacing w:val="-2"/>
        </w:rPr>
        <w:t>renommé</w:t>
      </w:r>
      <w:r>
        <w:rPr>
          <w:color w:val="231F20"/>
          <w:spacing w:val="-13"/>
        </w:rPr>
        <w:t> </w:t>
      </w:r>
      <w:r>
        <w:rPr>
          <w:color w:val="231F20"/>
          <w:spacing w:val="-2"/>
        </w:rPr>
        <w:t>République</w:t>
      </w:r>
      <w:r>
        <w:rPr>
          <w:color w:val="231F20"/>
          <w:spacing w:val="-13"/>
        </w:rPr>
        <w:t> </w:t>
      </w:r>
      <w:r>
        <w:rPr>
          <w:color w:val="231F20"/>
          <w:spacing w:val="-2"/>
        </w:rPr>
        <w:t>du</w:t>
      </w:r>
      <w:r>
        <w:rPr>
          <w:color w:val="231F20"/>
          <w:spacing w:val="-13"/>
        </w:rPr>
        <w:t> </w:t>
      </w:r>
      <w:r>
        <w:rPr>
          <w:color w:val="231F20"/>
          <w:spacing w:val="-2"/>
        </w:rPr>
        <w:t>Zaïre,</w:t>
      </w:r>
      <w:r>
        <w:rPr>
          <w:color w:val="231F20"/>
          <w:spacing w:val="-13"/>
        </w:rPr>
        <w:t> </w:t>
      </w:r>
      <w:r>
        <w:rPr>
          <w:color w:val="231F20"/>
          <w:spacing w:val="-2"/>
        </w:rPr>
        <w:t>le</w:t>
      </w:r>
      <w:r>
        <w:rPr>
          <w:color w:val="231F20"/>
          <w:spacing w:val="-13"/>
        </w:rPr>
        <w:t> </w:t>
      </w:r>
      <w:r>
        <w:rPr>
          <w:color w:val="231F20"/>
          <w:spacing w:val="-2"/>
        </w:rPr>
        <w:t>fleuve</w:t>
      </w:r>
      <w:r>
        <w:rPr>
          <w:color w:val="231F20"/>
          <w:spacing w:val="-13"/>
        </w:rPr>
        <w:t> </w:t>
      </w:r>
      <w:r>
        <w:rPr>
          <w:color w:val="231F20"/>
          <w:spacing w:val="-2"/>
        </w:rPr>
        <w:t>Congo</w:t>
      </w:r>
      <w:r>
        <w:rPr>
          <w:color w:val="231F20"/>
          <w:spacing w:val="-13"/>
        </w:rPr>
        <w:t> </w:t>
      </w:r>
      <w:r>
        <w:rPr>
          <w:color w:val="231F20"/>
          <w:spacing w:val="-2"/>
        </w:rPr>
        <w:t>est</w:t>
      </w:r>
      <w:r>
        <w:rPr>
          <w:color w:val="231F20"/>
          <w:spacing w:val="-13"/>
        </w:rPr>
        <w:t> </w:t>
      </w:r>
      <w:r>
        <w:rPr>
          <w:color w:val="231F20"/>
          <w:spacing w:val="-2"/>
        </w:rPr>
        <w:t>rebaptisé</w:t>
      </w:r>
      <w:r>
        <w:rPr>
          <w:color w:val="231F20"/>
          <w:spacing w:val="-13"/>
        </w:rPr>
        <w:t> </w:t>
      </w:r>
      <w:r>
        <w:rPr>
          <w:color w:val="231F20"/>
          <w:spacing w:val="-2"/>
        </w:rPr>
        <w:t>Zaïre</w:t>
      </w:r>
      <w:r>
        <w:rPr>
          <w:color w:val="231F20"/>
          <w:spacing w:val="-13"/>
        </w:rPr>
        <w:t> </w:t>
      </w:r>
      <w:r>
        <w:rPr>
          <w:color w:val="231F20"/>
          <w:spacing w:val="-2"/>
        </w:rPr>
        <w:t>et</w:t>
      </w:r>
      <w:r>
        <w:rPr>
          <w:color w:val="231F20"/>
          <w:spacing w:val="-13"/>
        </w:rPr>
        <w:t> </w:t>
      </w:r>
      <w:r>
        <w:rPr>
          <w:color w:val="231F20"/>
          <w:spacing w:val="-2"/>
        </w:rPr>
        <w:t>une </w:t>
      </w:r>
      <w:r>
        <w:rPr>
          <w:color w:val="231F20"/>
        </w:rPr>
        <w:t>nouvelle monnaie, le Zaïre, divisé en 100 makuta (singulier</w:t>
      </w:r>
      <w:r>
        <w:rPr>
          <w:color w:val="231F20"/>
          <w:spacing w:val="-15"/>
        </w:rPr>
        <w:t> </w:t>
      </w:r>
      <w:r>
        <w:rPr>
          <w:color w:val="231F20"/>
        </w:rPr>
        <w:t>: likuta), remplace</w:t>
      </w:r>
      <w:r>
        <w:rPr>
          <w:color w:val="231F20"/>
          <w:spacing w:val="-4"/>
        </w:rPr>
        <w:t> </w:t>
      </w:r>
      <w:r>
        <w:rPr>
          <w:color w:val="231F20"/>
        </w:rPr>
        <w:t>le</w:t>
      </w:r>
      <w:r>
        <w:rPr>
          <w:color w:val="231F20"/>
          <w:spacing w:val="-4"/>
        </w:rPr>
        <w:t> </w:t>
      </w:r>
      <w:r>
        <w:rPr>
          <w:color w:val="231F20"/>
        </w:rPr>
        <w:t>franc</w:t>
      </w:r>
      <w:r>
        <w:rPr>
          <w:color w:val="231F20"/>
          <w:spacing w:val="-4"/>
        </w:rPr>
        <w:t> </w:t>
      </w:r>
      <w:r>
        <w:rPr>
          <w:color w:val="231F20"/>
        </w:rPr>
        <w:t>Belge.</w:t>
      </w:r>
      <w:r>
        <w:rPr>
          <w:color w:val="231F20"/>
          <w:spacing w:val="-4"/>
        </w:rPr>
        <w:t> </w:t>
      </w:r>
      <w:r>
        <w:rPr>
          <w:color w:val="231F20"/>
        </w:rPr>
        <w:t>Les</w:t>
      </w:r>
      <w:r>
        <w:rPr>
          <w:color w:val="231F20"/>
          <w:spacing w:val="-4"/>
        </w:rPr>
        <w:t> </w:t>
      </w:r>
      <w:r>
        <w:rPr>
          <w:color w:val="231F20"/>
        </w:rPr>
        <w:t>noms</w:t>
      </w:r>
      <w:r>
        <w:rPr>
          <w:color w:val="231F20"/>
          <w:spacing w:val="-4"/>
        </w:rPr>
        <w:t> </w:t>
      </w:r>
      <w:r>
        <w:rPr>
          <w:color w:val="231F20"/>
        </w:rPr>
        <w:t>des</w:t>
      </w:r>
      <w:r>
        <w:rPr>
          <w:color w:val="231F20"/>
          <w:spacing w:val="-4"/>
        </w:rPr>
        <w:t> </w:t>
      </w:r>
      <w:r>
        <w:rPr>
          <w:color w:val="231F20"/>
        </w:rPr>
        <w:t>personnes</w:t>
      </w:r>
      <w:r>
        <w:rPr>
          <w:color w:val="231F20"/>
          <w:spacing w:val="-6"/>
        </w:rPr>
        <w:t> </w:t>
      </w:r>
      <w:r>
        <w:rPr>
          <w:color w:val="231F20"/>
        </w:rPr>
        <w:t>sont</w:t>
      </w:r>
      <w:r>
        <w:rPr>
          <w:color w:val="231F20"/>
          <w:spacing w:val="-3"/>
        </w:rPr>
        <w:t> </w:t>
      </w:r>
      <w:r>
        <w:rPr>
          <w:color w:val="231F20"/>
        </w:rPr>
        <w:t>africanisés. Lui- même abandonne ses prénoms</w:t>
      </w:r>
      <w:r>
        <w:rPr>
          <w:color w:val="231F20"/>
          <w:spacing w:val="-15"/>
        </w:rPr>
        <w:t> </w:t>
      </w:r>
      <w:r>
        <w:rPr>
          <w:color w:val="231F20"/>
        </w:rPr>
        <w:t>Joseph-Désiré pour</w:t>
      </w:r>
      <w:r>
        <w:rPr>
          <w:color w:val="231F20"/>
          <w:spacing w:val="40"/>
        </w:rPr>
        <w:t> </w:t>
      </w:r>
      <w:r>
        <w:rPr>
          <w:color w:val="231F20"/>
        </w:rPr>
        <w:t>Sésé Séko Kuku Ngbendu Wa Za Banga, c’est-à-dire «</w:t>
      </w:r>
      <w:r>
        <w:rPr>
          <w:color w:val="231F20"/>
          <w:spacing w:val="-15"/>
        </w:rPr>
        <w:t> </w:t>
      </w:r>
      <w:r>
        <w:rPr>
          <w:color w:val="231F20"/>
        </w:rPr>
        <w:t>le guerrier qui va de victoire en victoire sans que personne ne puisse l’arrêter</w:t>
      </w:r>
      <w:r>
        <w:rPr>
          <w:color w:val="231F20"/>
          <w:spacing w:val="-15"/>
        </w:rPr>
        <w:t> </w:t>
      </w:r>
      <w:r>
        <w:rPr>
          <w:color w:val="231F20"/>
        </w:rPr>
        <w:t>». Il oblige tous ses concitoyens à supprimer les prénoms à connotation occidentale et à </w:t>
      </w:r>
      <w:r>
        <w:rPr>
          <w:color w:val="231F20"/>
          <w:spacing w:val="-2"/>
        </w:rPr>
        <w:t>rajouter</w:t>
      </w:r>
      <w:r>
        <w:rPr>
          <w:color w:val="231F20"/>
          <w:spacing w:val="-10"/>
        </w:rPr>
        <w:t> </w:t>
      </w:r>
      <w:r>
        <w:rPr>
          <w:color w:val="231F20"/>
          <w:spacing w:val="-2"/>
        </w:rPr>
        <w:t>un</w:t>
      </w:r>
      <w:r>
        <w:rPr>
          <w:color w:val="231F20"/>
          <w:spacing w:val="-7"/>
        </w:rPr>
        <w:t> </w:t>
      </w:r>
      <w:r>
        <w:rPr>
          <w:color w:val="231F20"/>
          <w:spacing w:val="-2"/>
        </w:rPr>
        <w:t>postnom</w:t>
      </w:r>
      <w:r>
        <w:rPr>
          <w:color w:val="231F20"/>
          <w:spacing w:val="-9"/>
        </w:rPr>
        <w:t> </w:t>
      </w:r>
      <w:r>
        <w:rPr>
          <w:color w:val="231F20"/>
          <w:spacing w:val="-2"/>
        </w:rPr>
        <w:t>congolais.</w:t>
      </w:r>
      <w:r>
        <w:rPr>
          <w:color w:val="231F20"/>
          <w:spacing w:val="-6"/>
        </w:rPr>
        <w:t> </w:t>
      </w:r>
      <w:r>
        <w:rPr>
          <w:color w:val="231F20"/>
          <w:spacing w:val="-2"/>
        </w:rPr>
        <w:t>Les</w:t>
      </w:r>
      <w:r>
        <w:rPr>
          <w:color w:val="231F20"/>
          <w:spacing w:val="-9"/>
        </w:rPr>
        <w:t> </w:t>
      </w:r>
      <w:r>
        <w:rPr>
          <w:color w:val="231F20"/>
          <w:spacing w:val="-2"/>
        </w:rPr>
        <w:t>costumes</w:t>
      </w:r>
      <w:r>
        <w:rPr>
          <w:color w:val="231F20"/>
          <w:spacing w:val="-9"/>
        </w:rPr>
        <w:t> </w:t>
      </w:r>
      <w:r>
        <w:rPr>
          <w:color w:val="231F20"/>
          <w:spacing w:val="-2"/>
        </w:rPr>
        <w:t>occidentaux</w:t>
      </w:r>
      <w:r>
        <w:rPr>
          <w:color w:val="231F20"/>
          <w:spacing w:val="-12"/>
        </w:rPr>
        <w:t> </w:t>
      </w:r>
      <w:r>
        <w:rPr>
          <w:color w:val="231F20"/>
          <w:spacing w:val="-2"/>
        </w:rPr>
        <w:t>sont</w:t>
      </w:r>
      <w:r>
        <w:rPr>
          <w:color w:val="231F20"/>
          <w:spacing w:val="-9"/>
        </w:rPr>
        <w:t> </w:t>
      </w:r>
      <w:r>
        <w:rPr>
          <w:color w:val="231F20"/>
          <w:spacing w:val="-2"/>
        </w:rPr>
        <w:t>interdits</w:t>
      </w:r>
      <w:r>
        <w:rPr>
          <w:color w:val="231F20"/>
          <w:spacing w:val="-13"/>
        </w:rPr>
        <w:t> </w:t>
      </w:r>
      <w:r>
        <w:rPr>
          <w:color w:val="231F20"/>
          <w:spacing w:val="-2"/>
        </w:rPr>
        <w:t>: </w:t>
      </w:r>
      <w:r>
        <w:rPr>
          <w:color w:val="231F20"/>
          <w:spacing w:val="-4"/>
        </w:rPr>
        <w:t>l’abacost</w:t>
      </w:r>
      <w:r>
        <w:rPr>
          <w:color w:val="231F20"/>
          <w:spacing w:val="-7"/>
        </w:rPr>
        <w:t> </w:t>
      </w:r>
      <w:r>
        <w:rPr>
          <w:color w:val="231F20"/>
          <w:spacing w:val="-4"/>
        </w:rPr>
        <w:t>(à</w:t>
      </w:r>
      <w:r>
        <w:rPr>
          <w:color w:val="231F20"/>
          <w:spacing w:val="-6"/>
        </w:rPr>
        <w:t> </w:t>
      </w:r>
      <w:r>
        <w:rPr>
          <w:color w:val="231F20"/>
          <w:spacing w:val="-4"/>
        </w:rPr>
        <w:t>bas</w:t>
      </w:r>
      <w:r>
        <w:rPr>
          <w:color w:val="231F20"/>
          <w:spacing w:val="-9"/>
        </w:rPr>
        <w:t> </w:t>
      </w:r>
      <w:r>
        <w:rPr>
          <w:color w:val="231F20"/>
          <w:spacing w:val="-4"/>
        </w:rPr>
        <w:t>le</w:t>
      </w:r>
      <w:r>
        <w:rPr>
          <w:color w:val="231F20"/>
          <w:spacing w:val="-10"/>
        </w:rPr>
        <w:t> </w:t>
      </w:r>
      <w:r>
        <w:rPr>
          <w:color w:val="231F20"/>
          <w:spacing w:val="-4"/>
        </w:rPr>
        <w:t>costume),</w:t>
      </w:r>
      <w:r>
        <w:rPr>
          <w:color w:val="231F20"/>
          <w:spacing w:val="-5"/>
        </w:rPr>
        <w:t> </w:t>
      </w:r>
      <w:r>
        <w:rPr>
          <w:color w:val="231F20"/>
          <w:spacing w:val="-4"/>
        </w:rPr>
        <w:t>veston</w:t>
      </w:r>
      <w:r>
        <w:rPr>
          <w:color w:val="231F20"/>
          <w:spacing w:val="-9"/>
        </w:rPr>
        <w:t> </w:t>
      </w:r>
      <w:r>
        <w:rPr>
          <w:color w:val="231F20"/>
          <w:spacing w:val="-4"/>
        </w:rPr>
        <w:t>d’homme</w:t>
      </w:r>
      <w:r>
        <w:rPr>
          <w:color w:val="231F20"/>
          <w:spacing w:val="-9"/>
        </w:rPr>
        <w:t> </w:t>
      </w:r>
      <w:r>
        <w:rPr>
          <w:color w:val="231F20"/>
          <w:spacing w:val="-4"/>
        </w:rPr>
        <w:t>sans</w:t>
      </w:r>
      <w:r>
        <w:rPr>
          <w:color w:val="231F20"/>
          <w:spacing w:val="-6"/>
        </w:rPr>
        <w:t> </w:t>
      </w:r>
      <w:r>
        <w:rPr>
          <w:color w:val="231F20"/>
          <w:spacing w:val="-4"/>
        </w:rPr>
        <w:t>col,</w:t>
      </w:r>
      <w:r>
        <w:rPr>
          <w:color w:val="231F20"/>
          <w:spacing w:val="-9"/>
        </w:rPr>
        <w:t> </w:t>
      </w:r>
      <w:r>
        <w:rPr>
          <w:color w:val="231F20"/>
          <w:spacing w:val="-4"/>
        </w:rPr>
        <w:t>taillé</w:t>
      </w:r>
      <w:r>
        <w:rPr>
          <w:color w:val="231F20"/>
          <w:spacing w:val="-9"/>
        </w:rPr>
        <w:t> </w:t>
      </w:r>
      <w:r>
        <w:rPr>
          <w:color w:val="231F20"/>
          <w:spacing w:val="-4"/>
        </w:rPr>
        <w:t>dans</w:t>
      </w:r>
      <w:r>
        <w:rPr>
          <w:color w:val="231F20"/>
          <w:spacing w:val="-9"/>
        </w:rPr>
        <w:t> </w:t>
      </w:r>
      <w:r>
        <w:rPr>
          <w:color w:val="231F20"/>
          <w:spacing w:val="-4"/>
        </w:rPr>
        <w:t>un</w:t>
      </w:r>
      <w:r>
        <w:rPr>
          <w:color w:val="231F20"/>
          <w:spacing w:val="-9"/>
        </w:rPr>
        <w:t> </w:t>
      </w:r>
      <w:r>
        <w:rPr>
          <w:color w:val="231F20"/>
          <w:spacing w:val="-4"/>
        </w:rPr>
        <w:t>tissu </w:t>
      </w:r>
      <w:r>
        <w:rPr>
          <w:color w:val="231F20"/>
        </w:rPr>
        <w:t>léger</w:t>
      </w:r>
      <w:r>
        <w:rPr>
          <w:color w:val="231F20"/>
          <w:spacing w:val="-15"/>
        </w:rPr>
        <w:t> </w:t>
      </w:r>
      <w:r>
        <w:rPr>
          <w:color w:val="231F20"/>
        </w:rPr>
        <w:t>et</w:t>
      </w:r>
      <w:r>
        <w:rPr>
          <w:color w:val="231F20"/>
          <w:spacing w:val="-15"/>
        </w:rPr>
        <w:t> </w:t>
      </w:r>
      <w:r>
        <w:rPr>
          <w:color w:val="231F20"/>
        </w:rPr>
        <w:t>généralement</w:t>
      </w:r>
      <w:r>
        <w:rPr>
          <w:color w:val="231F20"/>
          <w:spacing w:val="-15"/>
        </w:rPr>
        <w:t> </w:t>
      </w:r>
      <w:r>
        <w:rPr>
          <w:color w:val="231F20"/>
        </w:rPr>
        <w:t>à</w:t>
      </w:r>
      <w:r>
        <w:rPr>
          <w:color w:val="231F20"/>
          <w:spacing w:val="-15"/>
        </w:rPr>
        <w:t> </w:t>
      </w:r>
      <w:r>
        <w:rPr>
          <w:color w:val="231F20"/>
        </w:rPr>
        <w:t>manches</w:t>
      </w:r>
      <w:r>
        <w:rPr>
          <w:color w:val="231F20"/>
          <w:spacing w:val="-15"/>
        </w:rPr>
        <w:t> </w:t>
      </w:r>
      <w:r>
        <w:rPr>
          <w:color w:val="231F20"/>
        </w:rPr>
        <w:t>courtes</w:t>
      </w:r>
      <w:r>
        <w:rPr>
          <w:color w:val="231F20"/>
          <w:spacing w:val="-15"/>
        </w:rPr>
        <w:t> </w:t>
      </w:r>
      <w:r>
        <w:rPr>
          <w:color w:val="231F20"/>
        </w:rPr>
        <w:t>est</w:t>
      </w:r>
      <w:r>
        <w:rPr>
          <w:color w:val="231F20"/>
          <w:spacing w:val="-15"/>
        </w:rPr>
        <w:t> </w:t>
      </w:r>
      <w:r>
        <w:rPr>
          <w:color w:val="231F20"/>
        </w:rPr>
        <w:t>promulgué.</w:t>
      </w:r>
      <w:r>
        <w:rPr>
          <w:color w:val="231F20"/>
          <w:spacing w:val="-15"/>
        </w:rPr>
        <w:t> </w:t>
      </w:r>
      <w:r>
        <w:rPr>
          <w:color w:val="231F20"/>
        </w:rPr>
        <w:t>De</w:t>
      </w:r>
      <w:r>
        <w:rPr>
          <w:color w:val="231F20"/>
          <w:spacing w:val="-15"/>
        </w:rPr>
        <w:t> </w:t>
      </w:r>
      <w:r>
        <w:rPr>
          <w:color w:val="231F20"/>
        </w:rPr>
        <w:t>nombreuses villes sont rebaptisées. À</w:t>
      </w:r>
      <w:r>
        <w:rPr>
          <w:color w:val="231F20"/>
          <w:spacing w:val="-2"/>
        </w:rPr>
        <w:t> </w:t>
      </w:r>
      <w:r>
        <w:rPr>
          <w:color w:val="231F20"/>
        </w:rPr>
        <w:t>partir</w:t>
      </w:r>
      <w:r>
        <w:rPr>
          <w:color w:val="231F20"/>
          <w:spacing w:val="-1"/>
        </w:rPr>
        <w:t> </w:t>
      </w:r>
      <w:r>
        <w:rPr>
          <w:color w:val="231F20"/>
        </w:rPr>
        <w:t>de 1974, les biens</w:t>
      </w:r>
      <w:r>
        <w:rPr>
          <w:color w:val="231F20"/>
          <w:spacing w:val="-1"/>
        </w:rPr>
        <w:t> </w:t>
      </w:r>
      <w:r>
        <w:rPr>
          <w:color w:val="231F20"/>
        </w:rPr>
        <w:t>dont</w:t>
      </w:r>
      <w:r>
        <w:rPr>
          <w:color w:val="231F20"/>
          <w:spacing w:val="-1"/>
        </w:rPr>
        <w:t> </w:t>
      </w:r>
      <w:r>
        <w:rPr>
          <w:color w:val="231F20"/>
        </w:rPr>
        <w:t>les</w:t>
      </w:r>
      <w:r>
        <w:rPr>
          <w:color w:val="231F20"/>
          <w:spacing w:val="-2"/>
        </w:rPr>
        <w:t> </w:t>
      </w:r>
      <w:r>
        <w:rPr>
          <w:color w:val="231F20"/>
        </w:rPr>
        <w:t>nombreuses </w:t>
      </w:r>
      <w:r>
        <w:rPr>
          <w:color w:val="231F20"/>
          <w:spacing w:val="-4"/>
        </w:rPr>
        <w:t>entreprises</w:t>
      </w:r>
      <w:r>
        <w:rPr>
          <w:color w:val="231F20"/>
          <w:spacing w:val="-10"/>
        </w:rPr>
        <w:t> </w:t>
      </w:r>
      <w:r>
        <w:rPr>
          <w:color w:val="231F20"/>
          <w:spacing w:val="-4"/>
        </w:rPr>
        <w:t>des</w:t>
      </w:r>
      <w:r>
        <w:rPr>
          <w:color w:val="231F20"/>
          <w:spacing w:val="-10"/>
        </w:rPr>
        <w:t> </w:t>
      </w:r>
      <w:r>
        <w:rPr>
          <w:color w:val="231F20"/>
          <w:spacing w:val="-4"/>
        </w:rPr>
        <w:t>étrangers</w:t>
      </w:r>
      <w:r>
        <w:rPr>
          <w:color w:val="231F20"/>
          <w:spacing w:val="-10"/>
        </w:rPr>
        <w:t> </w:t>
      </w:r>
      <w:r>
        <w:rPr>
          <w:color w:val="231F20"/>
          <w:spacing w:val="-4"/>
        </w:rPr>
        <w:t>sont</w:t>
      </w:r>
      <w:r>
        <w:rPr>
          <w:color w:val="231F20"/>
          <w:spacing w:val="-10"/>
        </w:rPr>
        <w:t> </w:t>
      </w:r>
      <w:r>
        <w:rPr>
          <w:color w:val="231F20"/>
          <w:spacing w:val="-4"/>
        </w:rPr>
        <w:t>confisqués</w:t>
      </w:r>
      <w:r>
        <w:rPr>
          <w:color w:val="231F20"/>
          <w:spacing w:val="-11"/>
        </w:rPr>
        <w:t> </w:t>
      </w:r>
      <w:r>
        <w:rPr>
          <w:color w:val="231F20"/>
          <w:spacing w:val="-4"/>
        </w:rPr>
        <w:t>au</w:t>
      </w:r>
      <w:r>
        <w:rPr>
          <w:color w:val="231F20"/>
          <w:spacing w:val="-11"/>
        </w:rPr>
        <w:t> </w:t>
      </w:r>
      <w:r>
        <w:rPr>
          <w:color w:val="231F20"/>
          <w:spacing w:val="-4"/>
        </w:rPr>
        <w:t>nom</w:t>
      </w:r>
      <w:r>
        <w:rPr>
          <w:color w:val="231F20"/>
          <w:spacing w:val="-10"/>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zaïrianisation</w:t>
      </w:r>
      <w:r>
        <w:rPr>
          <w:color w:val="231F20"/>
          <w:spacing w:val="2"/>
        </w:rPr>
        <w:t> </w:t>
      </w:r>
      <w:r>
        <w:rPr>
          <w:color w:val="231F20"/>
          <w:spacing w:val="-4"/>
        </w:rPr>
        <w:t>:</w:t>
      </w:r>
      <w:r>
        <w:rPr>
          <w:color w:val="231F20"/>
          <w:spacing w:val="-10"/>
        </w:rPr>
        <w:t> </w:t>
      </w:r>
      <w:r>
        <w:rPr>
          <w:color w:val="231F20"/>
          <w:spacing w:val="-4"/>
        </w:rPr>
        <w:t>tous </w:t>
      </w:r>
      <w:r>
        <w:rPr>
          <w:color w:val="231F20"/>
        </w:rPr>
        <w:t>les</w:t>
      </w:r>
      <w:r>
        <w:rPr>
          <w:color w:val="231F20"/>
          <w:spacing w:val="-8"/>
        </w:rPr>
        <w:t> </w:t>
      </w:r>
      <w:r>
        <w:rPr>
          <w:color w:val="231F20"/>
        </w:rPr>
        <w:t>proches</w:t>
      </w:r>
      <w:r>
        <w:rPr>
          <w:color w:val="231F20"/>
          <w:spacing w:val="-6"/>
        </w:rPr>
        <w:t> </w:t>
      </w:r>
      <w:r>
        <w:rPr>
          <w:color w:val="231F20"/>
        </w:rPr>
        <w:t>du</w:t>
      </w:r>
      <w:r>
        <w:rPr>
          <w:color w:val="231F20"/>
          <w:spacing w:val="-5"/>
        </w:rPr>
        <w:t> </w:t>
      </w:r>
      <w:r>
        <w:rPr>
          <w:color w:val="231F20"/>
        </w:rPr>
        <w:t>régime</w:t>
      </w:r>
      <w:r>
        <w:rPr>
          <w:color w:val="231F20"/>
          <w:spacing w:val="-8"/>
        </w:rPr>
        <w:t> </w:t>
      </w:r>
      <w:r>
        <w:rPr>
          <w:color w:val="231F20"/>
        </w:rPr>
        <w:t>s’emparent</w:t>
      </w:r>
      <w:r>
        <w:rPr>
          <w:color w:val="231F20"/>
          <w:spacing w:val="-7"/>
        </w:rPr>
        <w:t> </w:t>
      </w:r>
      <w:r>
        <w:rPr>
          <w:color w:val="231F20"/>
        </w:rPr>
        <w:t>des</w:t>
      </w:r>
      <w:r>
        <w:rPr>
          <w:color w:val="231F20"/>
          <w:spacing w:val="-6"/>
        </w:rPr>
        <w:t> </w:t>
      </w:r>
      <w:r>
        <w:rPr>
          <w:color w:val="231F20"/>
        </w:rPr>
        <w:t>entreprises</w:t>
      </w:r>
      <w:r>
        <w:rPr>
          <w:color w:val="231F20"/>
          <w:spacing w:val="-5"/>
        </w:rPr>
        <w:t> </w:t>
      </w:r>
      <w:r>
        <w:rPr>
          <w:color w:val="231F20"/>
        </w:rPr>
        <w:t>sans</w:t>
      </w:r>
      <w:r>
        <w:rPr>
          <w:color w:val="231F20"/>
          <w:spacing w:val="-6"/>
        </w:rPr>
        <w:t> </w:t>
      </w:r>
      <w:r>
        <w:rPr>
          <w:color w:val="231F20"/>
        </w:rPr>
        <w:t>se</w:t>
      </w:r>
      <w:r>
        <w:rPr>
          <w:color w:val="231F20"/>
          <w:spacing w:val="-7"/>
        </w:rPr>
        <w:t> </w:t>
      </w:r>
      <w:r>
        <w:rPr>
          <w:color w:val="231F20"/>
        </w:rPr>
        <w:t>préoccuper</w:t>
      </w:r>
      <w:r>
        <w:rPr>
          <w:color w:val="231F20"/>
          <w:spacing w:val="-7"/>
        </w:rPr>
        <w:t> </w:t>
      </w:r>
      <w:r>
        <w:rPr>
          <w:color w:val="231F20"/>
          <w:spacing w:val="-5"/>
        </w:rPr>
        <w:t>de</w:t>
      </w:r>
    </w:p>
    <w:p>
      <w:pPr>
        <w:spacing w:after="0"/>
        <w:sectPr>
          <w:pgSz w:w="8790" w:h="13610"/>
          <w:pgMar w:header="0" w:footer="802" w:top="1040" w:bottom="1000" w:left="880" w:right="880"/>
        </w:sectPr>
      </w:pPr>
    </w:p>
    <w:p>
      <w:pPr>
        <w:pStyle w:val="BodyText"/>
        <w:spacing w:before="66"/>
        <w:ind w:left="112" w:right="104" w:hanging="1"/>
      </w:pPr>
      <w:r>
        <w:rPr>
          <w:color w:val="231F20"/>
        </w:rPr>
        <w:t>leur gestion. La corruption devient endémique. Nombre d’étrangers </w:t>
      </w:r>
      <w:r>
        <w:rPr>
          <w:color w:val="231F20"/>
          <w:spacing w:val="-4"/>
        </w:rPr>
        <w:t>quittent</w:t>
      </w:r>
      <w:r>
        <w:rPr>
          <w:color w:val="231F20"/>
          <w:spacing w:val="-11"/>
        </w:rPr>
        <w:t> </w:t>
      </w:r>
      <w:r>
        <w:rPr>
          <w:color w:val="231F20"/>
          <w:spacing w:val="-4"/>
        </w:rPr>
        <w:t>le</w:t>
      </w:r>
      <w:r>
        <w:rPr>
          <w:color w:val="231F20"/>
          <w:spacing w:val="-11"/>
        </w:rPr>
        <w:t> </w:t>
      </w:r>
      <w:r>
        <w:rPr>
          <w:color w:val="231F20"/>
          <w:spacing w:val="-4"/>
        </w:rPr>
        <w:t>pays.</w:t>
      </w:r>
      <w:r>
        <w:rPr>
          <w:color w:val="231F20"/>
          <w:spacing w:val="-11"/>
        </w:rPr>
        <w:t> </w:t>
      </w:r>
      <w:r>
        <w:rPr>
          <w:color w:val="231F20"/>
          <w:spacing w:val="-4"/>
        </w:rPr>
        <w:t>La</w:t>
      </w:r>
      <w:r>
        <w:rPr>
          <w:color w:val="231F20"/>
          <w:spacing w:val="-11"/>
        </w:rPr>
        <w:t> </w:t>
      </w:r>
      <w:r>
        <w:rPr>
          <w:color w:val="231F20"/>
          <w:spacing w:val="-4"/>
        </w:rPr>
        <w:t>situation</w:t>
      </w:r>
      <w:r>
        <w:rPr>
          <w:color w:val="231F20"/>
          <w:spacing w:val="-11"/>
        </w:rPr>
        <w:t> </w:t>
      </w:r>
      <w:r>
        <w:rPr>
          <w:color w:val="231F20"/>
          <w:spacing w:val="-4"/>
        </w:rPr>
        <w:t>économique</w:t>
      </w:r>
      <w:r>
        <w:rPr>
          <w:color w:val="231F20"/>
          <w:spacing w:val="-11"/>
        </w:rPr>
        <w:t> </w:t>
      </w:r>
      <w:r>
        <w:rPr>
          <w:color w:val="231F20"/>
          <w:spacing w:val="-4"/>
        </w:rPr>
        <w:t>et</w:t>
      </w:r>
      <w:r>
        <w:rPr>
          <w:color w:val="231F20"/>
          <w:spacing w:val="-11"/>
        </w:rPr>
        <w:t> </w:t>
      </w:r>
      <w:r>
        <w:rPr>
          <w:color w:val="231F20"/>
          <w:spacing w:val="-4"/>
        </w:rPr>
        <w:t>sociale</w:t>
      </w:r>
      <w:r>
        <w:rPr>
          <w:color w:val="231F20"/>
          <w:spacing w:val="-11"/>
        </w:rPr>
        <w:t> </w:t>
      </w:r>
      <w:r>
        <w:rPr>
          <w:color w:val="231F20"/>
          <w:spacing w:val="-4"/>
        </w:rPr>
        <w:t>de</w:t>
      </w:r>
      <w:r>
        <w:rPr>
          <w:color w:val="231F20"/>
          <w:spacing w:val="-11"/>
        </w:rPr>
        <w:t> </w:t>
      </w:r>
      <w:r>
        <w:rPr>
          <w:color w:val="231F20"/>
          <w:spacing w:val="-4"/>
        </w:rPr>
        <w:t>l’écrasante</w:t>
      </w:r>
      <w:r>
        <w:rPr>
          <w:color w:val="231F20"/>
          <w:spacing w:val="-11"/>
        </w:rPr>
        <w:t> </w:t>
      </w:r>
      <w:r>
        <w:rPr>
          <w:color w:val="231F20"/>
          <w:spacing w:val="-4"/>
        </w:rPr>
        <w:t>majorité </w:t>
      </w:r>
      <w:r>
        <w:rPr>
          <w:color w:val="231F20"/>
        </w:rPr>
        <w:t>des zaïrois se dégrade de façon dramatique</w:t>
      </w:r>
      <w:r>
        <w:rPr>
          <w:color w:val="231F20"/>
          <w:spacing w:val="-15"/>
        </w:rPr>
        <w:t> </w:t>
      </w:r>
      <w:r>
        <w:rPr>
          <w:color w:val="231F20"/>
        </w:rPr>
        <w:t>; les hauts fonctionnaires zaïrois</w:t>
      </w:r>
      <w:r>
        <w:rPr>
          <w:color w:val="231F20"/>
          <w:spacing w:val="-12"/>
        </w:rPr>
        <w:t> </w:t>
      </w:r>
      <w:r>
        <w:rPr>
          <w:color w:val="231F20"/>
        </w:rPr>
        <w:t>investissent</w:t>
      </w:r>
      <w:r>
        <w:rPr>
          <w:color w:val="231F20"/>
          <w:spacing w:val="-12"/>
        </w:rPr>
        <w:t> </w:t>
      </w:r>
      <w:r>
        <w:rPr>
          <w:color w:val="231F20"/>
        </w:rPr>
        <w:t>l’argent</w:t>
      </w:r>
      <w:r>
        <w:rPr>
          <w:color w:val="231F20"/>
          <w:spacing w:val="-10"/>
        </w:rPr>
        <w:t> </w:t>
      </w:r>
      <w:r>
        <w:rPr>
          <w:color w:val="231F20"/>
        </w:rPr>
        <w:t>détourné</w:t>
      </w:r>
      <w:r>
        <w:rPr>
          <w:color w:val="231F20"/>
          <w:spacing w:val="-12"/>
        </w:rPr>
        <w:t> </w:t>
      </w:r>
      <w:r>
        <w:rPr>
          <w:color w:val="231F20"/>
        </w:rPr>
        <w:t>sous</w:t>
      </w:r>
      <w:r>
        <w:rPr>
          <w:color w:val="231F20"/>
          <w:spacing w:val="-10"/>
        </w:rPr>
        <w:t> </w:t>
      </w:r>
      <w:r>
        <w:rPr>
          <w:color w:val="231F20"/>
        </w:rPr>
        <w:t>forme</w:t>
      </w:r>
      <w:r>
        <w:rPr>
          <w:color w:val="231F20"/>
          <w:spacing w:val="-12"/>
        </w:rPr>
        <w:t> </w:t>
      </w:r>
      <w:r>
        <w:rPr>
          <w:color w:val="231F20"/>
        </w:rPr>
        <w:t>d’avoirs</w:t>
      </w:r>
      <w:r>
        <w:rPr>
          <w:color w:val="231F20"/>
          <w:spacing w:val="-12"/>
        </w:rPr>
        <w:t> </w:t>
      </w:r>
      <w:r>
        <w:rPr>
          <w:color w:val="231F20"/>
        </w:rPr>
        <w:t>dans</w:t>
      </w:r>
      <w:r>
        <w:rPr>
          <w:color w:val="231F20"/>
          <w:spacing w:val="-12"/>
        </w:rPr>
        <w:t> </w:t>
      </w:r>
      <w:r>
        <w:rPr>
          <w:color w:val="231F20"/>
        </w:rPr>
        <w:t>des</w:t>
      </w:r>
      <w:r>
        <w:rPr>
          <w:color w:val="231F20"/>
          <w:spacing w:val="-12"/>
        </w:rPr>
        <w:t> </w:t>
      </w:r>
      <w:r>
        <w:rPr>
          <w:color w:val="231F20"/>
        </w:rPr>
        <w:t>pays </w:t>
      </w:r>
      <w:r>
        <w:rPr>
          <w:color w:val="231F20"/>
          <w:spacing w:val="-2"/>
        </w:rPr>
        <w:t>occidentaux.</w:t>
      </w:r>
    </w:p>
    <w:p>
      <w:pPr>
        <w:pStyle w:val="BodyText"/>
        <w:spacing w:before="120"/>
        <w:ind w:left="112" w:right="108" w:firstLine="283"/>
      </w:pPr>
      <w:r>
        <w:rPr>
          <w:color w:val="231F20"/>
        </w:rPr>
        <w:t>La corruption et la mauvaise gestion entrainent le pays dans une inflation vertigineuse.</w:t>
      </w:r>
    </w:p>
    <w:p>
      <w:pPr>
        <w:pStyle w:val="BodyText"/>
        <w:spacing w:before="120"/>
        <w:ind w:left="112" w:right="106" w:firstLine="283"/>
      </w:pPr>
      <w:r>
        <w:rPr>
          <w:color w:val="231F20"/>
        </w:rPr>
        <w:t>En 1967, deux ans après son coup d’Etat, Mobutu transforme Gbabolité,</w:t>
      </w:r>
      <w:r>
        <w:rPr>
          <w:color w:val="231F20"/>
          <w:spacing w:val="-15"/>
        </w:rPr>
        <w:t> </w:t>
      </w:r>
      <w:r>
        <w:rPr>
          <w:color w:val="231F20"/>
        </w:rPr>
        <w:t>son</w:t>
      </w:r>
      <w:r>
        <w:rPr>
          <w:color w:val="231F20"/>
          <w:spacing w:val="-15"/>
        </w:rPr>
        <w:t> </w:t>
      </w:r>
      <w:r>
        <w:rPr>
          <w:color w:val="231F20"/>
        </w:rPr>
        <w:t>village</w:t>
      </w:r>
      <w:r>
        <w:rPr>
          <w:color w:val="231F20"/>
          <w:spacing w:val="-15"/>
        </w:rPr>
        <w:t> </w:t>
      </w:r>
      <w:r>
        <w:rPr>
          <w:color w:val="231F20"/>
        </w:rPr>
        <w:t>natal,</w:t>
      </w:r>
      <w:r>
        <w:rPr>
          <w:color w:val="231F20"/>
          <w:spacing w:val="-15"/>
        </w:rPr>
        <w:t> </w:t>
      </w:r>
      <w:r>
        <w:rPr>
          <w:color w:val="231F20"/>
        </w:rPr>
        <w:t>dans</w:t>
      </w:r>
      <w:r>
        <w:rPr>
          <w:color w:val="231F20"/>
          <w:spacing w:val="-15"/>
        </w:rPr>
        <w:t> </w:t>
      </w:r>
      <w:r>
        <w:rPr>
          <w:color w:val="231F20"/>
        </w:rPr>
        <w:t>la</w:t>
      </w:r>
      <w:r>
        <w:rPr>
          <w:color w:val="231F20"/>
          <w:spacing w:val="-15"/>
        </w:rPr>
        <w:t> </w:t>
      </w:r>
      <w:r>
        <w:rPr>
          <w:color w:val="231F20"/>
        </w:rPr>
        <w:t>province</w:t>
      </w:r>
      <w:r>
        <w:rPr>
          <w:color w:val="231F20"/>
          <w:spacing w:val="-15"/>
        </w:rPr>
        <w:t> </w:t>
      </w:r>
      <w:r>
        <w:rPr>
          <w:color w:val="231F20"/>
        </w:rPr>
        <w:t>de</w:t>
      </w:r>
      <w:r>
        <w:rPr>
          <w:color w:val="231F20"/>
          <w:spacing w:val="-15"/>
        </w:rPr>
        <w:t> </w:t>
      </w:r>
      <w:r>
        <w:rPr>
          <w:color w:val="231F20"/>
        </w:rPr>
        <w:t>l’Equateur,</w:t>
      </w:r>
      <w:r>
        <w:rPr>
          <w:color w:val="231F20"/>
          <w:spacing w:val="-15"/>
        </w:rPr>
        <w:t> </w:t>
      </w:r>
      <w:r>
        <w:rPr>
          <w:color w:val="231F20"/>
        </w:rPr>
        <w:t>aux</w:t>
      </w:r>
      <w:r>
        <w:rPr>
          <w:color w:val="231F20"/>
          <w:spacing w:val="-15"/>
        </w:rPr>
        <w:t> </w:t>
      </w:r>
      <w:r>
        <w:rPr>
          <w:color w:val="231F20"/>
        </w:rPr>
        <w:t>confins </w:t>
      </w:r>
      <w:r>
        <w:rPr>
          <w:color w:val="231F20"/>
          <w:spacing w:val="-4"/>
        </w:rPr>
        <w:t>de</w:t>
      </w:r>
      <w:r>
        <w:rPr>
          <w:color w:val="231F20"/>
          <w:spacing w:val="-11"/>
        </w:rPr>
        <w:t> </w:t>
      </w:r>
      <w:r>
        <w:rPr>
          <w:color w:val="231F20"/>
          <w:spacing w:val="-4"/>
        </w:rPr>
        <w:t>la</w:t>
      </w:r>
      <w:r>
        <w:rPr>
          <w:color w:val="231F20"/>
          <w:spacing w:val="-11"/>
        </w:rPr>
        <w:t> </w:t>
      </w:r>
      <w:r>
        <w:rPr>
          <w:color w:val="231F20"/>
          <w:spacing w:val="-4"/>
        </w:rPr>
        <w:t>frontière</w:t>
      </w:r>
      <w:r>
        <w:rPr>
          <w:color w:val="231F20"/>
          <w:spacing w:val="-11"/>
        </w:rPr>
        <w:t> </w:t>
      </w:r>
      <w:r>
        <w:rPr>
          <w:color w:val="231F20"/>
          <w:spacing w:val="-4"/>
        </w:rPr>
        <w:t>avec</w:t>
      </w:r>
      <w:r>
        <w:rPr>
          <w:color w:val="231F20"/>
          <w:spacing w:val="-11"/>
        </w:rPr>
        <w:t> </w:t>
      </w:r>
      <w:r>
        <w:rPr>
          <w:color w:val="231F20"/>
          <w:spacing w:val="-4"/>
        </w:rPr>
        <w:t>la</w:t>
      </w:r>
      <w:r>
        <w:rPr>
          <w:color w:val="231F20"/>
          <w:spacing w:val="-11"/>
        </w:rPr>
        <w:t> </w:t>
      </w:r>
      <w:r>
        <w:rPr>
          <w:color w:val="231F20"/>
          <w:spacing w:val="-4"/>
        </w:rPr>
        <w:t>République</w:t>
      </w:r>
      <w:r>
        <w:rPr>
          <w:color w:val="231F20"/>
          <w:spacing w:val="-11"/>
        </w:rPr>
        <w:t> </w:t>
      </w:r>
      <w:r>
        <w:rPr>
          <w:color w:val="231F20"/>
          <w:spacing w:val="-4"/>
        </w:rPr>
        <w:t>Centrafricaine.</w:t>
      </w:r>
      <w:r>
        <w:rPr>
          <w:color w:val="231F20"/>
          <w:spacing w:val="-11"/>
        </w:rPr>
        <w:t> </w:t>
      </w:r>
      <w:r>
        <w:rPr>
          <w:color w:val="231F20"/>
          <w:spacing w:val="-4"/>
        </w:rPr>
        <w:t>Il</w:t>
      </w:r>
      <w:r>
        <w:rPr>
          <w:color w:val="231F20"/>
          <w:spacing w:val="-11"/>
        </w:rPr>
        <w:t> </w:t>
      </w:r>
      <w:r>
        <w:rPr>
          <w:color w:val="231F20"/>
          <w:spacing w:val="-4"/>
        </w:rPr>
        <w:t>y</w:t>
      </w:r>
      <w:r>
        <w:rPr>
          <w:color w:val="231F20"/>
          <w:spacing w:val="-11"/>
        </w:rPr>
        <w:t> </w:t>
      </w:r>
      <w:r>
        <w:rPr>
          <w:color w:val="231F20"/>
          <w:spacing w:val="-4"/>
        </w:rPr>
        <w:t>construit</w:t>
      </w:r>
      <w:r>
        <w:rPr>
          <w:color w:val="231F20"/>
          <w:spacing w:val="-11"/>
        </w:rPr>
        <w:t> </w:t>
      </w:r>
      <w:r>
        <w:rPr>
          <w:color w:val="231F20"/>
          <w:spacing w:val="-4"/>
        </w:rPr>
        <w:t>un</w:t>
      </w:r>
      <w:r>
        <w:rPr>
          <w:color w:val="231F20"/>
          <w:spacing w:val="-11"/>
        </w:rPr>
        <w:t> </w:t>
      </w:r>
      <w:r>
        <w:rPr>
          <w:color w:val="231F20"/>
          <w:spacing w:val="-4"/>
        </w:rPr>
        <w:t>barrage, </w:t>
      </w:r>
      <w:r>
        <w:rPr>
          <w:color w:val="231F20"/>
        </w:rPr>
        <w:t>une centrale hydroélectrique, un aéroport doté de la plus longue piste d’Afrique centrale et trois palais.</w:t>
      </w:r>
    </w:p>
    <w:p>
      <w:pPr>
        <w:pStyle w:val="BodyText"/>
        <w:spacing w:before="121"/>
        <w:ind w:left="112" w:right="104" w:firstLine="283"/>
      </w:pPr>
      <w:r>
        <w:rPr>
          <w:color w:val="231F20"/>
        </w:rPr>
        <w:t>En 1982, il instaure un régime autoritaire à parti unique, «</w:t>
      </w:r>
      <w:r>
        <w:rPr>
          <w:color w:val="231F20"/>
          <w:spacing w:val="-11"/>
        </w:rPr>
        <w:t> </w:t>
      </w:r>
      <w:r>
        <w:rPr>
          <w:color w:val="231F20"/>
        </w:rPr>
        <w:t>le Mouvement</w:t>
      </w:r>
      <w:r>
        <w:rPr>
          <w:color w:val="231F20"/>
          <w:spacing w:val="-15"/>
        </w:rPr>
        <w:t> </w:t>
      </w:r>
      <w:r>
        <w:rPr>
          <w:color w:val="231F20"/>
        </w:rPr>
        <w:t>Populaire</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Révolution</w:t>
      </w:r>
      <w:r>
        <w:rPr>
          <w:color w:val="231F20"/>
          <w:spacing w:val="-15"/>
        </w:rPr>
        <w:t> </w:t>
      </w:r>
      <w:r>
        <w:rPr>
          <w:color w:val="231F20"/>
        </w:rPr>
        <w:t>».</w:t>
      </w:r>
      <w:r>
        <w:rPr>
          <w:color w:val="231F20"/>
          <w:spacing w:val="-15"/>
        </w:rPr>
        <w:t> </w:t>
      </w:r>
      <w:r>
        <w:rPr>
          <w:color w:val="231F20"/>
        </w:rPr>
        <w:t>Le</w:t>
      </w:r>
      <w:r>
        <w:rPr>
          <w:color w:val="231F20"/>
          <w:spacing w:val="-15"/>
        </w:rPr>
        <w:t> </w:t>
      </w:r>
      <w:r>
        <w:rPr>
          <w:color w:val="231F20"/>
        </w:rPr>
        <w:t>Général-Président</w:t>
      </w:r>
      <w:r>
        <w:rPr>
          <w:color w:val="231F20"/>
          <w:spacing w:val="-15"/>
        </w:rPr>
        <w:t> </w:t>
      </w:r>
      <w:r>
        <w:rPr>
          <w:color w:val="231F20"/>
        </w:rPr>
        <w:t>devient le Maréchal-Président.</w:t>
      </w:r>
    </w:p>
    <w:p>
      <w:pPr>
        <w:pStyle w:val="BodyText"/>
        <w:spacing w:before="120"/>
        <w:ind w:right="102" w:firstLine="283"/>
      </w:pPr>
      <w:r>
        <w:rPr>
          <w:color w:val="231F20"/>
        </w:rPr>
        <w:t>Les</w:t>
      </w:r>
      <w:r>
        <w:rPr>
          <w:color w:val="231F20"/>
          <w:spacing w:val="-9"/>
        </w:rPr>
        <w:t> </w:t>
      </w:r>
      <w:r>
        <w:rPr>
          <w:color w:val="231F20"/>
        </w:rPr>
        <w:t>années</w:t>
      </w:r>
      <w:r>
        <w:rPr>
          <w:color w:val="231F20"/>
          <w:spacing w:val="-9"/>
        </w:rPr>
        <w:t> </w:t>
      </w:r>
      <w:r>
        <w:rPr>
          <w:color w:val="231F20"/>
        </w:rPr>
        <w:t>90</w:t>
      </w:r>
      <w:r>
        <w:rPr>
          <w:color w:val="231F20"/>
          <w:spacing w:val="-10"/>
        </w:rPr>
        <w:t> </w:t>
      </w:r>
      <w:r>
        <w:rPr>
          <w:color w:val="231F20"/>
        </w:rPr>
        <w:t>marquent</w:t>
      </w:r>
      <w:r>
        <w:rPr>
          <w:color w:val="231F20"/>
          <w:spacing w:val="-8"/>
        </w:rPr>
        <w:t> </w:t>
      </w:r>
      <w:r>
        <w:rPr>
          <w:color w:val="231F20"/>
        </w:rPr>
        <w:t>l’affaiblissement</w:t>
      </w:r>
      <w:r>
        <w:rPr>
          <w:color w:val="231F20"/>
          <w:spacing w:val="-8"/>
        </w:rPr>
        <w:t> </w:t>
      </w:r>
      <w:r>
        <w:rPr>
          <w:color w:val="231F20"/>
        </w:rPr>
        <w:t>du</w:t>
      </w:r>
      <w:r>
        <w:rPr>
          <w:color w:val="231F20"/>
          <w:spacing w:val="-9"/>
        </w:rPr>
        <w:t> </w:t>
      </w:r>
      <w:r>
        <w:rPr>
          <w:color w:val="231F20"/>
        </w:rPr>
        <w:t>régime.</w:t>
      </w:r>
      <w:r>
        <w:rPr>
          <w:color w:val="231F20"/>
          <w:spacing w:val="-9"/>
        </w:rPr>
        <w:t> </w:t>
      </w:r>
      <w:r>
        <w:rPr>
          <w:color w:val="231F20"/>
        </w:rPr>
        <w:t>Il</w:t>
      </w:r>
      <w:r>
        <w:rPr>
          <w:color w:val="231F20"/>
          <w:spacing w:val="-8"/>
        </w:rPr>
        <w:t> </w:t>
      </w:r>
      <w:r>
        <w:rPr>
          <w:color w:val="231F20"/>
        </w:rPr>
        <w:t>n’y</w:t>
      </w:r>
      <w:r>
        <w:rPr>
          <w:color w:val="231F20"/>
          <w:spacing w:val="-9"/>
        </w:rPr>
        <w:t> </w:t>
      </w:r>
      <w:r>
        <w:rPr>
          <w:color w:val="231F20"/>
        </w:rPr>
        <w:t>a</w:t>
      </w:r>
      <w:r>
        <w:rPr>
          <w:color w:val="231F20"/>
          <w:spacing w:val="-9"/>
        </w:rPr>
        <w:t> </w:t>
      </w:r>
      <w:r>
        <w:rPr>
          <w:color w:val="231F20"/>
        </w:rPr>
        <w:t>plus</w:t>
      </w:r>
      <w:r>
        <w:rPr>
          <w:color w:val="231F20"/>
          <w:spacing w:val="-10"/>
        </w:rPr>
        <w:t> </w:t>
      </w:r>
      <w:r>
        <w:rPr>
          <w:color w:val="231F20"/>
        </w:rPr>
        <w:t>de guerre</w:t>
      </w:r>
      <w:r>
        <w:rPr>
          <w:color w:val="231F20"/>
          <w:spacing w:val="-15"/>
        </w:rPr>
        <w:t> </w:t>
      </w:r>
      <w:r>
        <w:rPr>
          <w:color w:val="231F20"/>
        </w:rPr>
        <w:t>froide</w:t>
      </w:r>
      <w:r>
        <w:rPr>
          <w:color w:val="231F20"/>
          <w:spacing w:val="-15"/>
        </w:rPr>
        <w:t> </w:t>
      </w:r>
      <w:r>
        <w:rPr>
          <w:color w:val="231F20"/>
        </w:rPr>
        <w:t>entre</w:t>
      </w:r>
      <w:r>
        <w:rPr>
          <w:color w:val="231F20"/>
          <w:spacing w:val="-15"/>
        </w:rPr>
        <w:t> </w:t>
      </w:r>
      <w:r>
        <w:rPr>
          <w:color w:val="231F20"/>
        </w:rPr>
        <w:t>Russes</w:t>
      </w:r>
      <w:r>
        <w:rPr>
          <w:color w:val="231F20"/>
          <w:spacing w:val="-15"/>
        </w:rPr>
        <w:t> </w:t>
      </w:r>
      <w:r>
        <w:rPr>
          <w:color w:val="231F20"/>
        </w:rPr>
        <w:t>et</w:t>
      </w:r>
      <w:r>
        <w:rPr>
          <w:color w:val="231F20"/>
          <w:spacing w:val="-15"/>
        </w:rPr>
        <w:t> </w:t>
      </w:r>
      <w:r>
        <w:rPr>
          <w:color w:val="231F20"/>
        </w:rPr>
        <w:t>Américains.</w:t>
      </w:r>
      <w:r>
        <w:rPr>
          <w:color w:val="231F20"/>
          <w:spacing w:val="-15"/>
        </w:rPr>
        <w:t> </w:t>
      </w:r>
      <w:r>
        <w:rPr>
          <w:color w:val="231F20"/>
        </w:rPr>
        <w:t>Les</w:t>
      </w:r>
      <w:r>
        <w:rPr>
          <w:color w:val="231F20"/>
          <w:spacing w:val="-15"/>
        </w:rPr>
        <w:t> </w:t>
      </w:r>
      <w:r>
        <w:rPr>
          <w:color w:val="231F20"/>
        </w:rPr>
        <w:t>occidentaux</w:t>
      </w:r>
      <w:r>
        <w:rPr>
          <w:color w:val="231F20"/>
          <w:spacing w:val="-15"/>
        </w:rPr>
        <w:t> </w:t>
      </w:r>
      <w:r>
        <w:rPr>
          <w:color w:val="231F20"/>
        </w:rPr>
        <w:t>prennent</w:t>
      </w:r>
      <w:r>
        <w:rPr>
          <w:color w:val="231F20"/>
          <w:spacing w:val="-15"/>
        </w:rPr>
        <w:t> </w:t>
      </w:r>
      <w:r>
        <w:rPr>
          <w:color w:val="231F20"/>
        </w:rPr>
        <w:t>leur </w:t>
      </w:r>
      <w:r>
        <w:rPr>
          <w:color w:val="231F20"/>
          <w:spacing w:val="-4"/>
        </w:rPr>
        <w:t>distance</w:t>
      </w:r>
      <w:r>
        <w:rPr>
          <w:color w:val="231F20"/>
          <w:spacing w:val="-8"/>
        </w:rPr>
        <w:t> </w:t>
      </w:r>
      <w:r>
        <w:rPr>
          <w:color w:val="231F20"/>
          <w:spacing w:val="-4"/>
        </w:rPr>
        <w:t>avec</w:t>
      </w:r>
      <w:r>
        <w:rPr>
          <w:color w:val="231F20"/>
          <w:spacing w:val="-8"/>
        </w:rPr>
        <w:t> </w:t>
      </w:r>
      <w:r>
        <w:rPr>
          <w:color w:val="231F20"/>
          <w:spacing w:val="-4"/>
        </w:rPr>
        <w:t>Mobutu.</w:t>
      </w:r>
      <w:r>
        <w:rPr>
          <w:color w:val="231F20"/>
          <w:spacing w:val="-8"/>
        </w:rPr>
        <w:t> </w:t>
      </w:r>
      <w:r>
        <w:rPr>
          <w:color w:val="231F20"/>
          <w:spacing w:val="-4"/>
        </w:rPr>
        <w:t>En</w:t>
      </w:r>
      <w:r>
        <w:rPr>
          <w:color w:val="231F20"/>
          <w:spacing w:val="-10"/>
        </w:rPr>
        <w:t> </w:t>
      </w:r>
      <w:r>
        <w:rPr>
          <w:color w:val="231F20"/>
          <w:spacing w:val="-4"/>
        </w:rPr>
        <w:t>interne,</w:t>
      </w:r>
      <w:r>
        <w:rPr>
          <w:color w:val="231F20"/>
          <w:spacing w:val="-10"/>
        </w:rPr>
        <w:t> </w:t>
      </w:r>
      <w:r>
        <w:rPr>
          <w:color w:val="231F20"/>
          <w:spacing w:val="-4"/>
        </w:rPr>
        <w:t>l’opposition</w:t>
      </w:r>
      <w:r>
        <w:rPr>
          <w:color w:val="231F20"/>
          <w:spacing w:val="-8"/>
        </w:rPr>
        <w:t> </w:t>
      </w:r>
      <w:r>
        <w:rPr>
          <w:color w:val="231F20"/>
          <w:spacing w:val="-4"/>
        </w:rPr>
        <w:t>ne</w:t>
      </w:r>
      <w:r>
        <w:rPr>
          <w:color w:val="231F20"/>
          <w:spacing w:val="-10"/>
        </w:rPr>
        <w:t> </w:t>
      </w:r>
      <w:r>
        <w:rPr>
          <w:color w:val="231F20"/>
          <w:spacing w:val="-4"/>
        </w:rPr>
        <w:t>le</w:t>
      </w:r>
      <w:r>
        <w:rPr>
          <w:color w:val="231F20"/>
          <w:spacing w:val="-8"/>
        </w:rPr>
        <w:t> </w:t>
      </w:r>
      <w:r>
        <w:rPr>
          <w:color w:val="231F20"/>
          <w:spacing w:val="-4"/>
        </w:rPr>
        <w:t>ménage</w:t>
      </w:r>
      <w:r>
        <w:rPr>
          <w:color w:val="231F20"/>
          <w:spacing w:val="-8"/>
        </w:rPr>
        <w:t> </w:t>
      </w:r>
      <w:r>
        <w:rPr>
          <w:color w:val="231F20"/>
          <w:spacing w:val="-4"/>
        </w:rPr>
        <w:t>point.</w:t>
      </w:r>
      <w:r>
        <w:rPr>
          <w:color w:val="231F20"/>
          <w:spacing w:val="-10"/>
        </w:rPr>
        <w:t> </w:t>
      </w:r>
      <w:r>
        <w:rPr>
          <w:color w:val="231F20"/>
          <w:spacing w:val="-4"/>
        </w:rPr>
        <w:t>Pressé </w:t>
      </w:r>
      <w:r>
        <w:rPr>
          <w:color w:val="231F20"/>
          <w:spacing w:val="-2"/>
        </w:rPr>
        <w:t>par</w:t>
      </w:r>
      <w:r>
        <w:rPr>
          <w:color w:val="231F20"/>
          <w:spacing w:val="-13"/>
        </w:rPr>
        <w:t> </w:t>
      </w:r>
      <w:r>
        <w:rPr>
          <w:color w:val="231F20"/>
          <w:spacing w:val="-2"/>
        </w:rPr>
        <w:t>ses</w:t>
      </w:r>
      <w:r>
        <w:rPr>
          <w:color w:val="231F20"/>
          <w:spacing w:val="-13"/>
        </w:rPr>
        <w:t> </w:t>
      </w:r>
      <w:r>
        <w:rPr>
          <w:color w:val="231F20"/>
          <w:spacing w:val="-2"/>
        </w:rPr>
        <w:t>anciens</w:t>
      </w:r>
      <w:r>
        <w:rPr>
          <w:color w:val="231F20"/>
          <w:spacing w:val="-13"/>
        </w:rPr>
        <w:t> </w:t>
      </w:r>
      <w:r>
        <w:rPr>
          <w:color w:val="231F20"/>
          <w:spacing w:val="-2"/>
        </w:rPr>
        <w:t>parrains</w:t>
      </w:r>
      <w:r>
        <w:rPr>
          <w:color w:val="231F20"/>
          <w:spacing w:val="-13"/>
        </w:rPr>
        <w:t> </w:t>
      </w:r>
      <w:r>
        <w:rPr>
          <w:color w:val="231F20"/>
          <w:spacing w:val="-2"/>
        </w:rPr>
        <w:t>dont</w:t>
      </w:r>
      <w:r>
        <w:rPr>
          <w:color w:val="231F20"/>
          <w:spacing w:val="-13"/>
        </w:rPr>
        <w:t> </w:t>
      </w:r>
      <w:r>
        <w:rPr>
          <w:color w:val="231F20"/>
          <w:spacing w:val="-2"/>
        </w:rPr>
        <w:t>la</w:t>
      </w:r>
      <w:r>
        <w:rPr>
          <w:color w:val="231F20"/>
          <w:spacing w:val="-13"/>
        </w:rPr>
        <w:t> </w:t>
      </w:r>
      <w:r>
        <w:rPr>
          <w:color w:val="231F20"/>
          <w:spacing w:val="-2"/>
        </w:rPr>
        <w:t>Belgique</w:t>
      </w:r>
      <w:r>
        <w:rPr>
          <w:color w:val="231F20"/>
          <w:spacing w:val="-13"/>
        </w:rPr>
        <w:t> </w:t>
      </w:r>
      <w:r>
        <w:rPr>
          <w:color w:val="231F20"/>
          <w:spacing w:val="-2"/>
        </w:rPr>
        <w:t>qui</w:t>
      </w:r>
      <w:r>
        <w:rPr>
          <w:color w:val="231F20"/>
          <w:spacing w:val="-13"/>
        </w:rPr>
        <w:t> </w:t>
      </w:r>
      <w:r>
        <w:rPr>
          <w:color w:val="231F20"/>
          <w:spacing w:val="-2"/>
        </w:rPr>
        <w:t>suspend</w:t>
      </w:r>
      <w:r>
        <w:rPr>
          <w:color w:val="231F20"/>
          <w:spacing w:val="-13"/>
        </w:rPr>
        <w:t> </w:t>
      </w:r>
      <w:r>
        <w:rPr>
          <w:color w:val="231F20"/>
          <w:spacing w:val="-2"/>
        </w:rPr>
        <w:t>sa</w:t>
      </w:r>
      <w:r>
        <w:rPr>
          <w:color w:val="231F20"/>
          <w:spacing w:val="-13"/>
        </w:rPr>
        <w:t> </w:t>
      </w:r>
      <w:r>
        <w:rPr>
          <w:color w:val="231F20"/>
          <w:spacing w:val="-2"/>
        </w:rPr>
        <w:t>coopération</w:t>
      </w:r>
      <w:r>
        <w:rPr>
          <w:color w:val="231F20"/>
          <w:spacing w:val="-13"/>
        </w:rPr>
        <w:t> </w:t>
      </w:r>
      <w:r>
        <w:rPr>
          <w:color w:val="231F20"/>
          <w:spacing w:val="-2"/>
        </w:rPr>
        <w:t>avec </w:t>
      </w:r>
      <w:r>
        <w:rPr>
          <w:color w:val="231F20"/>
        </w:rPr>
        <w:t>son</w:t>
      </w:r>
      <w:r>
        <w:rPr>
          <w:color w:val="231F20"/>
          <w:spacing w:val="-4"/>
        </w:rPr>
        <w:t> </w:t>
      </w:r>
      <w:r>
        <w:rPr>
          <w:color w:val="231F20"/>
        </w:rPr>
        <w:t>pays,</w:t>
      </w:r>
      <w:r>
        <w:rPr>
          <w:color w:val="231F20"/>
          <w:spacing w:val="-2"/>
        </w:rPr>
        <w:t> </w:t>
      </w:r>
      <w:r>
        <w:rPr>
          <w:color w:val="231F20"/>
        </w:rPr>
        <w:t>Mobutu</w:t>
      </w:r>
      <w:r>
        <w:rPr>
          <w:color w:val="231F20"/>
          <w:spacing w:val="-2"/>
        </w:rPr>
        <w:t> </w:t>
      </w:r>
      <w:r>
        <w:rPr>
          <w:color w:val="231F20"/>
        </w:rPr>
        <w:t>a</w:t>
      </w:r>
      <w:r>
        <w:rPr>
          <w:color w:val="231F20"/>
          <w:spacing w:val="-3"/>
        </w:rPr>
        <w:t> </w:t>
      </w:r>
      <w:r>
        <w:rPr>
          <w:color w:val="231F20"/>
        </w:rPr>
        <w:t>des</w:t>
      </w:r>
      <w:r>
        <w:rPr>
          <w:color w:val="231F20"/>
          <w:spacing w:val="-3"/>
        </w:rPr>
        <w:t> </w:t>
      </w:r>
      <w:r>
        <w:rPr>
          <w:color w:val="231F20"/>
        </w:rPr>
        <w:t>«</w:t>
      </w:r>
      <w:r>
        <w:rPr>
          <w:color w:val="231F20"/>
          <w:spacing w:val="-15"/>
        </w:rPr>
        <w:t> </w:t>
      </w:r>
      <w:r>
        <w:rPr>
          <w:color w:val="231F20"/>
        </w:rPr>
        <w:t>larmes</w:t>
      </w:r>
      <w:r>
        <w:rPr>
          <w:color w:val="231F20"/>
          <w:spacing w:val="-2"/>
        </w:rPr>
        <w:t> </w:t>
      </w:r>
      <w:r>
        <w:rPr>
          <w:color w:val="231F20"/>
        </w:rPr>
        <w:t>dans</w:t>
      </w:r>
      <w:r>
        <w:rPr>
          <w:color w:val="231F20"/>
          <w:spacing w:val="-2"/>
        </w:rPr>
        <w:t> </w:t>
      </w:r>
      <w:r>
        <w:rPr>
          <w:color w:val="231F20"/>
        </w:rPr>
        <w:t>la</w:t>
      </w:r>
      <w:r>
        <w:rPr>
          <w:color w:val="231F20"/>
          <w:spacing w:val="-2"/>
        </w:rPr>
        <w:t> </w:t>
      </w:r>
      <w:r>
        <w:rPr>
          <w:color w:val="231F20"/>
        </w:rPr>
        <w:t>voix</w:t>
      </w:r>
      <w:r>
        <w:rPr>
          <w:color w:val="231F20"/>
          <w:spacing w:val="-15"/>
        </w:rPr>
        <w:t> </w:t>
      </w:r>
      <w:r>
        <w:rPr>
          <w:color w:val="231F20"/>
        </w:rPr>
        <w:t>»</w:t>
      </w:r>
      <w:r>
        <w:rPr>
          <w:color w:val="231F20"/>
          <w:spacing w:val="-1"/>
        </w:rPr>
        <w:t> </w:t>
      </w:r>
      <w:r>
        <w:rPr>
          <w:color w:val="231F20"/>
        </w:rPr>
        <w:t>lorsqu’il</w:t>
      </w:r>
      <w:r>
        <w:rPr>
          <w:color w:val="231F20"/>
          <w:spacing w:val="-2"/>
        </w:rPr>
        <w:t> </w:t>
      </w:r>
      <w:r>
        <w:rPr>
          <w:color w:val="231F20"/>
        </w:rPr>
        <w:t>annonce</w:t>
      </w:r>
      <w:r>
        <w:rPr>
          <w:color w:val="231F20"/>
          <w:spacing w:val="-5"/>
        </w:rPr>
        <w:t> </w:t>
      </w:r>
      <w:r>
        <w:rPr>
          <w:color w:val="231F20"/>
        </w:rPr>
        <w:t>la</w:t>
      </w:r>
      <w:r>
        <w:rPr>
          <w:color w:val="231F20"/>
          <w:spacing w:val="-2"/>
        </w:rPr>
        <w:t> </w:t>
      </w:r>
      <w:r>
        <w:rPr>
          <w:color w:val="231F20"/>
        </w:rPr>
        <w:t>fin </w:t>
      </w:r>
      <w:r>
        <w:rPr>
          <w:color w:val="231F20"/>
          <w:spacing w:val="-4"/>
        </w:rPr>
        <w:t>du</w:t>
      </w:r>
      <w:r>
        <w:rPr>
          <w:color w:val="231F20"/>
          <w:spacing w:val="-11"/>
        </w:rPr>
        <w:t> </w:t>
      </w:r>
      <w:r>
        <w:rPr>
          <w:color w:val="231F20"/>
          <w:spacing w:val="-4"/>
        </w:rPr>
        <w:t>parti</w:t>
      </w:r>
      <w:r>
        <w:rPr>
          <w:color w:val="231F20"/>
          <w:spacing w:val="-11"/>
        </w:rPr>
        <w:t> </w:t>
      </w:r>
      <w:r>
        <w:rPr>
          <w:color w:val="231F20"/>
          <w:spacing w:val="-4"/>
        </w:rPr>
        <w:t>unique</w:t>
      </w:r>
      <w:r>
        <w:rPr>
          <w:color w:val="231F20"/>
          <w:spacing w:val="-11"/>
        </w:rPr>
        <w:t> </w:t>
      </w:r>
      <w:r>
        <w:rPr>
          <w:color w:val="231F20"/>
          <w:spacing w:val="-4"/>
        </w:rPr>
        <w:t>le</w:t>
      </w:r>
      <w:r>
        <w:rPr>
          <w:color w:val="231F20"/>
          <w:spacing w:val="-11"/>
        </w:rPr>
        <w:t> </w:t>
      </w:r>
      <w:r>
        <w:rPr>
          <w:color w:val="231F20"/>
          <w:spacing w:val="-4"/>
        </w:rPr>
        <w:t>24</w:t>
      </w:r>
      <w:r>
        <w:rPr>
          <w:color w:val="231F20"/>
          <w:spacing w:val="-11"/>
        </w:rPr>
        <w:t> </w:t>
      </w:r>
      <w:r>
        <w:rPr>
          <w:color w:val="231F20"/>
          <w:spacing w:val="-4"/>
        </w:rPr>
        <w:t>avril</w:t>
      </w:r>
      <w:r>
        <w:rPr>
          <w:color w:val="231F20"/>
          <w:spacing w:val="-11"/>
        </w:rPr>
        <w:t> </w:t>
      </w:r>
      <w:r>
        <w:rPr>
          <w:color w:val="231F20"/>
          <w:spacing w:val="-4"/>
        </w:rPr>
        <w:t>1990.</w:t>
      </w:r>
      <w:r>
        <w:rPr>
          <w:color w:val="231F20"/>
          <w:spacing w:val="-11"/>
        </w:rPr>
        <w:t> </w:t>
      </w:r>
      <w:r>
        <w:rPr>
          <w:color w:val="231F20"/>
          <w:spacing w:val="-4"/>
        </w:rPr>
        <w:t>Dès</w:t>
      </w:r>
      <w:r>
        <w:rPr>
          <w:color w:val="231F20"/>
          <w:spacing w:val="-11"/>
        </w:rPr>
        <w:t> </w:t>
      </w:r>
      <w:r>
        <w:rPr>
          <w:color w:val="231F20"/>
          <w:spacing w:val="-4"/>
        </w:rPr>
        <w:t>cet</w:t>
      </w:r>
      <w:r>
        <w:rPr>
          <w:color w:val="231F20"/>
          <w:spacing w:val="-11"/>
        </w:rPr>
        <w:t> </w:t>
      </w:r>
      <w:r>
        <w:rPr>
          <w:color w:val="231F20"/>
          <w:spacing w:val="-4"/>
        </w:rPr>
        <w:t>instant,</w:t>
      </w:r>
      <w:r>
        <w:rPr>
          <w:color w:val="231F20"/>
          <w:spacing w:val="-11"/>
        </w:rPr>
        <w:t> </w:t>
      </w:r>
      <w:r>
        <w:rPr>
          <w:color w:val="231F20"/>
          <w:spacing w:val="-4"/>
        </w:rPr>
        <w:t>les</w:t>
      </w:r>
      <w:r>
        <w:rPr>
          <w:color w:val="231F20"/>
          <w:spacing w:val="-11"/>
        </w:rPr>
        <w:t> </w:t>
      </w:r>
      <w:r>
        <w:rPr>
          <w:color w:val="231F20"/>
          <w:spacing w:val="-4"/>
        </w:rPr>
        <w:t>masques</w:t>
      </w:r>
      <w:r>
        <w:rPr>
          <w:color w:val="231F20"/>
          <w:spacing w:val="-11"/>
        </w:rPr>
        <w:t> </w:t>
      </w:r>
      <w:r>
        <w:rPr>
          <w:color w:val="231F20"/>
          <w:spacing w:val="-4"/>
        </w:rPr>
        <w:t>tombent.</w:t>
      </w:r>
      <w:r>
        <w:rPr>
          <w:color w:val="231F20"/>
          <w:spacing w:val="-11"/>
        </w:rPr>
        <w:t> </w:t>
      </w:r>
      <w:r>
        <w:rPr>
          <w:color w:val="231F20"/>
          <w:spacing w:val="-4"/>
        </w:rPr>
        <w:t>Des </w:t>
      </w:r>
      <w:r>
        <w:rPr>
          <w:color w:val="231F20"/>
        </w:rPr>
        <w:t>proches</w:t>
      </w:r>
      <w:r>
        <w:rPr>
          <w:color w:val="231F20"/>
          <w:spacing w:val="-11"/>
        </w:rPr>
        <w:t> </w:t>
      </w:r>
      <w:r>
        <w:rPr>
          <w:color w:val="231F20"/>
        </w:rPr>
        <w:t>collaborateurs</w:t>
      </w:r>
      <w:r>
        <w:rPr>
          <w:color w:val="231F20"/>
          <w:spacing w:val="-10"/>
        </w:rPr>
        <w:t> </w:t>
      </w:r>
      <w:r>
        <w:rPr>
          <w:color w:val="231F20"/>
        </w:rPr>
        <w:t>de</w:t>
      </w:r>
      <w:r>
        <w:rPr>
          <w:color w:val="231F20"/>
          <w:spacing w:val="-13"/>
        </w:rPr>
        <w:t> </w:t>
      </w:r>
      <w:r>
        <w:rPr>
          <w:color w:val="231F20"/>
        </w:rPr>
        <w:t>longue</w:t>
      </w:r>
      <w:r>
        <w:rPr>
          <w:color w:val="231F20"/>
          <w:spacing w:val="-12"/>
        </w:rPr>
        <w:t> </w:t>
      </w:r>
      <w:r>
        <w:rPr>
          <w:color w:val="231F20"/>
        </w:rPr>
        <w:t>date</w:t>
      </w:r>
      <w:r>
        <w:rPr>
          <w:color w:val="231F20"/>
          <w:spacing w:val="-11"/>
        </w:rPr>
        <w:t> </w:t>
      </w:r>
      <w:r>
        <w:rPr>
          <w:color w:val="231F20"/>
        </w:rPr>
        <w:t>qui</w:t>
      </w:r>
      <w:r>
        <w:rPr>
          <w:color w:val="231F20"/>
          <w:spacing w:val="-12"/>
        </w:rPr>
        <w:t> </w:t>
      </w:r>
      <w:r>
        <w:rPr>
          <w:color w:val="231F20"/>
        </w:rPr>
        <w:t>le</w:t>
      </w:r>
      <w:r>
        <w:rPr>
          <w:color w:val="231F20"/>
          <w:spacing w:val="-11"/>
        </w:rPr>
        <w:t> </w:t>
      </w:r>
      <w:r>
        <w:rPr>
          <w:color w:val="231F20"/>
        </w:rPr>
        <w:t>vénéraient</w:t>
      </w:r>
      <w:r>
        <w:rPr>
          <w:color w:val="231F20"/>
          <w:spacing w:val="-11"/>
        </w:rPr>
        <w:t> </w:t>
      </w:r>
      <w:r>
        <w:rPr>
          <w:color w:val="231F20"/>
        </w:rPr>
        <w:t>comme</w:t>
      </w:r>
      <w:r>
        <w:rPr>
          <w:color w:val="231F20"/>
          <w:spacing w:val="-11"/>
        </w:rPr>
        <w:t> </w:t>
      </w:r>
      <w:r>
        <w:rPr>
          <w:color w:val="231F20"/>
        </w:rPr>
        <w:t>un</w:t>
      </w:r>
      <w:r>
        <w:rPr>
          <w:color w:val="231F20"/>
          <w:spacing w:val="-11"/>
        </w:rPr>
        <w:t> </w:t>
      </w:r>
      <w:r>
        <w:rPr>
          <w:color w:val="231F20"/>
        </w:rPr>
        <w:t>dieu, basculent dans l’opposition</w:t>
      </w:r>
      <w:r>
        <w:rPr>
          <w:color w:val="231F20"/>
          <w:spacing w:val="-15"/>
        </w:rPr>
        <w:t> </w:t>
      </w:r>
      <w:r>
        <w:rPr>
          <w:color w:val="231F20"/>
        </w:rPr>
        <w:t>; le Parlement qui partage le pouvoir avec </w:t>
      </w:r>
      <w:r>
        <w:rPr>
          <w:color w:val="231F20"/>
          <w:spacing w:val="-2"/>
        </w:rPr>
        <w:t>Mobutu</w:t>
      </w:r>
      <w:r>
        <w:rPr>
          <w:color w:val="231F20"/>
          <w:spacing w:val="-13"/>
        </w:rPr>
        <w:t> </w:t>
      </w:r>
      <w:r>
        <w:rPr>
          <w:color w:val="231F20"/>
          <w:spacing w:val="-2"/>
        </w:rPr>
        <w:t>depuis</w:t>
      </w:r>
      <w:r>
        <w:rPr>
          <w:color w:val="231F20"/>
          <w:spacing w:val="-13"/>
        </w:rPr>
        <w:t> </w:t>
      </w:r>
      <w:r>
        <w:rPr>
          <w:color w:val="231F20"/>
          <w:spacing w:val="-2"/>
        </w:rPr>
        <w:t>la</w:t>
      </w:r>
      <w:r>
        <w:rPr>
          <w:color w:val="231F20"/>
          <w:spacing w:val="-12"/>
        </w:rPr>
        <w:t> </w:t>
      </w:r>
      <w:r>
        <w:rPr>
          <w:color w:val="231F20"/>
          <w:spacing w:val="-2"/>
        </w:rPr>
        <w:t>Conférence</w:t>
      </w:r>
      <w:r>
        <w:rPr>
          <w:color w:val="231F20"/>
          <w:spacing w:val="-13"/>
        </w:rPr>
        <w:t> </w:t>
      </w:r>
      <w:r>
        <w:rPr>
          <w:color w:val="231F20"/>
          <w:spacing w:val="-2"/>
        </w:rPr>
        <w:t>Nationale,</w:t>
      </w:r>
      <w:r>
        <w:rPr>
          <w:color w:val="231F20"/>
          <w:spacing w:val="-13"/>
        </w:rPr>
        <w:t> </w:t>
      </w:r>
      <w:r>
        <w:rPr>
          <w:color w:val="231F20"/>
          <w:spacing w:val="-2"/>
        </w:rPr>
        <w:t>a</w:t>
      </w:r>
      <w:r>
        <w:rPr>
          <w:color w:val="231F20"/>
          <w:spacing w:val="-13"/>
        </w:rPr>
        <w:t> </w:t>
      </w:r>
      <w:r>
        <w:rPr>
          <w:color w:val="231F20"/>
          <w:spacing w:val="-2"/>
        </w:rPr>
        <w:t>le</w:t>
      </w:r>
      <w:r>
        <w:rPr>
          <w:color w:val="231F20"/>
          <w:spacing w:val="-13"/>
        </w:rPr>
        <w:t> </w:t>
      </w:r>
      <w:r>
        <w:rPr>
          <w:color w:val="231F20"/>
          <w:spacing w:val="-2"/>
        </w:rPr>
        <w:t>«</w:t>
      </w:r>
      <w:r>
        <w:rPr>
          <w:color w:val="231F20"/>
          <w:spacing w:val="-10"/>
        </w:rPr>
        <w:t> </w:t>
      </w:r>
      <w:r>
        <w:rPr>
          <w:color w:val="231F20"/>
          <w:spacing w:val="-2"/>
        </w:rPr>
        <w:t>courage</w:t>
      </w:r>
      <w:r>
        <w:rPr>
          <w:color w:val="231F20"/>
          <w:spacing w:val="-11"/>
        </w:rPr>
        <w:t> </w:t>
      </w:r>
      <w:r>
        <w:rPr>
          <w:color w:val="231F20"/>
          <w:spacing w:val="-2"/>
        </w:rPr>
        <w:t>»</w:t>
      </w:r>
      <w:r>
        <w:rPr>
          <w:color w:val="231F20"/>
          <w:spacing w:val="-13"/>
        </w:rPr>
        <w:t> </w:t>
      </w:r>
      <w:r>
        <w:rPr>
          <w:color w:val="231F20"/>
          <w:spacing w:val="-2"/>
        </w:rPr>
        <w:t>d’annoncer</w:t>
      </w:r>
      <w:r>
        <w:rPr>
          <w:color w:val="231F20"/>
          <w:spacing w:val="-12"/>
        </w:rPr>
        <w:t> </w:t>
      </w:r>
      <w:r>
        <w:rPr>
          <w:color w:val="231F20"/>
          <w:spacing w:val="-2"/>
        </w:rPr>
        <w:t>une </w:t>
      </w:r>
      <w:r>
        <w:rPr>
          <w:color w:val="231F20"/>
        </w:rPr>
        <w:t>procédure</w:t>
      </w:r>
      <w:r>
        <w:rPr>
          <w:color w:val="231F20"/>
          <w:spacing w:val="-5"/>
        </w:rPr>
        <w:t> </w:t>
      </w:r>
      <w:r>
        <w:rPr>
          <w:color w:val="231F20"/>
        </w:rPr>
        <w:t>de</w:t>
      </w:r>
      <w:r>
        <w:rPr>
          <w:color w:val="231F20"/>
          <w:spacing w:val="-2"/>
        </w:rPr>
        <w:t> </w:t>
      </w:r>
      <w:r>
        <w:rPr>
          <w:color w:val="231F20"/>
        </w:rPr>
        <w:t>destitution</w:t>
      </w:r>
      <w:r>
        <w:rPr>
          <w:color w:val="231F20"/>
          <w:spacing w:val="-2"/>
        </w:rPr>
        <w:t> </w:t>
      </w:r>
      <w:r>
        <w:rPr>
          <w:color w:val="231F20"/>
        </w:rPr>
        <w:t>du</w:t>
      </w:r>
      <w:r>
        <w:rPr>
          <w:color w:val="231F20"/>
          <w:spacing w:val="-1"/>
        </w:rPr>
        <w:t> </w:t>
      </w:r>
      <w:r>
        <w:rPr>
          <w:color w:val="231F20"/>
        </w:rPr>
        <w:t>président Mobutu</w:t>
      </w:r>
      <w:r>
        <w:rPr>
          <w:color w:val="231F20"/>
          <w:spacing w:val="-1"/>
        </w:rPr>
        <w:t> </w:t>
      </w:r>
      <w:r>
        <w:rPr>
          <w:color w:val="231F20"/>
        </w:rPr>
        <w:t>pour</w:t>
      </w:r>
      <w:r>
        <w:rPr>
          <w:color w:val="231F20"/>
          <w:spacing w:val="-1"/>
        </w:rPr>
        <w:t> </w:t>
      </w:r>
      <w:r>
        <w:rPr>
          <w:color w:val="231F20"/>
        </w:rPr>
        <w:t>haute</w:t>
      </w:r>
      <w:r>
        <w:rPr>
          <w:color w:val="231F20"/>
          <w:spacing w:val="-2"/>
        </w:rPr>
        <w:t> </w:t>
      </w:r>
      <w:r>
        <w:rPr>
          <w:color w:val="231F20"/>
        </w:rPr>
        <w:t>trahison</w:t>
      </w:r>
      <w:r>
        <w:rPr>
          <w:color w:val="231F20"/>
          <w:spacing w:val="-15"/>
        </w:rPr>
        <w:t> </w:t>
      </w:r>
      <w:r>
        <w:rPr>
          <w:color w:val="231F20"/>
        </w:rPr>
        <w:t>; des militaires qui depuis </w:t>
      </w:r>
      <w:r>
        <w:rPr>
          <w:color w:val="1F2023"/>
        </w:rPr>
        <w:t>un bon bout de temps </w:t>
      </w:r>
      <w:r>
        <w:rPr>
          <w:color w:val="231F20"/>
        </w:rPr>
        <w:t>n’ont pas de salaires, </w:t>
      </w:r>
      <w:r>
        <w:rPr>
          <w:color w:val="231F20"/>
          <w:spacing w:val="-2"/>
        </w:rPr>
        <w:t>commettent</w:t>
      </w:r>
      <w:r>
        <w:rPr>
          <w:color w:val="231F20"/>
          <w:spacing w:val="-15"/>
        </w:rPr>
        <w:t> </w:t>
      </w:r>
      <w:r>
        <w:rPr>
          <w:color w:val="231F20"/>
          <w:spacing w:val="-2"/>
        </w:rPr>
        <w:t>de</w:t>
      </w:r>
      <w:r>
        <w:rPr>
          <w:color w:val="231F20"/>
          <w:spacing w:val="-13"/>
        </w:rPr>
        <w:t> </w:t>
      </w:r>
      <w:r>
        <w:rPr>
          <w:color w:val="231F20"/>
          <w:spacing w:val="-2"/>
        </w:rPr>
        <w:t>nombreux</w:t>
      </w:r>
      <w:r>
        <w:rPr>
          <w:color w:val="231F20"/>
          <w:spacing w:val="-13"/>
        </w:rPr>
        <w:t> </w:t>
      </w:r>
      <w:r>
        <w:rPr>
          <w:color w:val="231F20"/>
          <w:spacing w:val="-2"/>
        </w:rPr>
        <w:t>pillages</w:t>
      </w:r>
      <w:r>
        <w:rPr>
          <w:color w:val="231F20"/>
          <w:spacing w:val="-13"/>
        </w:rPr>
        <w:t> </w:t>
      </w:r>
      <w:r>
        <w:rPr>
          <w:color w:val="231F20"/>
          <w:spacing w:val="-2"/>
        </w:rPr>
        <w:t>à</w:t>
      </w:r>
      <w:r>
        <w:rPr>
          <w:color w:val="231F20"/>
          <w:spacing w:val="-13"/>
        </w:rPr>
        <w:t> </w:t>
      </w:r>
      <w:r>
        <w:rPr>
          <w:color w:val="231F20"/>
          <w:spacing w:val="-2"/>
        </w:rPr>
        <w:t>Kinshasa</w:t>
      </w:r>
      <w:r>
        <w:rPr>
          <w:color w:val="231F20"/>
          <w:spacing w:val="-13"/>
        </w:rPr>
        <w:t> </w:t>
      </w:r>
      <w:r>
        <w:rPr>
          <w:color w:val="231F20"/>
          <w:spacing w:val="-2"/>
        </w:rPr>
        <w:t>suivis</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mort</w:t>
      </w:r>
      <w:r>
        <w:rPr>
          <w:color w:val="231F20"/>
          <w:spacing w:val="-13"/>
        </w:rPr>
        <w:t> </w:t>
      </w:r>
      <w:r>
        <w:rPr>
          <w:color w:val="231F20"/>
          <w:spacing w:val="-2"/>
        </w:rPr>
        <w:t>de</w:t>
      </w:r>
      <w:r>
        <w:rPr>
          <w:color w:val="231F20"/>
          <w:spacing w:val="-13"/>
        </w:rPr>
        <w:t> </w:t>
      </w:r>
      <w:r>
        <w:rPr>
          <w:color w:val="231F20"/>
          <w:spacing w:val="-2"/>
        </w:rPr>
        <w:t>plus</w:t>
      </w:r>
      <w:r>
        <w:rPr>
          <w:color w:val="231F20"/>
          <w:spacing w:val="-13"/>
        </w:rPr>
        <w:t> </w:t>
      </w:r>
      <w:r>
        <w:rPr>
          <w:color w:val="231F20"/>
          <w:spacing w:val="-2"/>
        </w:rPr>
        <w:t>de </w:t>
      </w:r>
      <w:r>
        <w:rPr>
          <w:color w:val="231F20"/>
        </w:rPr>
        <w:t>1</w:t>
      </w:r>
      <w:r>
        <w:rPr>
          <w:color w:val="231F20"/>
          <w:spacing w:val="-15"/>
        </w:rPr>
        <w:t> </w:t>
      </w:r>
      <w:r>
        <w:rPr>
          <w:color w:val="231F20"/>
        </w:rPr>
        <w:t>000</w:t>
      </w:r>
      <w:r>
        <w:rPr>
          <w:color w:val="231F20"/>
          <w:spacing w:val="-15"/>
        </w:rPr>
        <w:t> </w:t>
      </w:r>
      <w:r>
        <w:rPr>
          <w:color w:val="231F20"/>
        </w:rPr>
        <w:t>civils.</w:t>
      </w:r>
      <w:r>
        <w:rPr>
          <w:color w:val="231F20"/>
          <w:spacing w:val="-15"/>
        </w:rPr>
        <w:t> </w:t>
      </w:r>
      <w:r>
        <w:rPr>
          <w:color w:val="231F20"/>
        </w:rPr>
        <w:t>1</w:t>
      </w:r>
      <w:r>
        <w:rPr>
          <w:color w:val="231F20"/>
          <w:spacing w:val="-15"/>
        </w:rPr>
        <w:t> </w:t>
      </w:r>
      <w:r>
        <w:rPr>
          <w:color w:val="231F20"/>
        </w:rPr>
        <w:t>300</w:t>
      </w:r>
      <w:r>
        <w:rPr>
          <w:color w:val="231F20"/>
          <w:spacing w:val="-15"/>
        </w:rPr>
        <w:t> </w:t>
      </w:r>
      <w:r>
        <w:rPr>
          <w:color w:val="231F20"/>
        </w:rPr>
        <w:t>européens</w:t>
      </w:r>
      <w:r>
        <w:rPr>
          <w:color w:val="231F20"/>
          <w:spacing w:val="-15"/>
        </w:rPr>
        <w:t> </w:t>
      </w:r>
      <w:r>
        <w:rPr>
          <w:color w:val="231F20"/>
        </w:rPr>
        <w:t>sont</w:t>
      </w:r>
      <w:r>
        <w:rPr>
          <w:color w:val="231F20"/>
          <w:spacing w:val="-15"/>
        </w:rPr>
        <w:t> </w:t>
      </w:r>
      <w:r>
        <w:rPr>
          <w:color w:val="231F20"/>
        </w:rPr>
        <w:t>évacués.</w:t>
      </w:r>
      <w:r>
        <w:rPr>
          <w:color w:val="231F20"/>
          <w:spacing w:val="-15"/>
        </w:rPr>
        <w:t> </w:t>
      </w:r>
      <w:r>
        <w:rPr>
          <w:color w:val="231F20"/>
        </w:rPr>
        <w:t>Dépassé</w:t>
      </w:r>
      <w:r>
        <w:rPr>
          <w:color w:val="231F20"/>
          <w:spacing w:val="-15"/>
        </w:rPr>
        <w:t> </w:t>
      </w:r>
      <w:r>
        <w:rPr>
          <w:color w:val="231F20"/>
        </w:rPr>
        <w:t>par</w:t>
      </w:r>
      <w:r>
        <w:rPr>
          <w:color w:val="231F20"/>
          <w:spacing w:val="-15"/>
        </w:rPr>
        <w:t> </w:t>
      </w:r>
      <w:r>
        <w:rPr>
          <w:color w:val="231F20"/>
        </w:rPr>
        <w:t>les</w:t>
      </w:r>
      <w:r>
        <w:rPr>
          <w:color w:val="231F20"/>
          <w:spacing w:val="-15"/>
        </w:rPr>
        <w:t> </w:t>
      </w:r>
      <w:r>
        <w:rPr>
          <w:color w:val="231F20"/>
        </w:rPr>
        <w:t>évènements, vilipendé par ses compatriotes, touché dans son amour-propre, </w:t>
      </w:r>
      <w:r>
        <w:rPr>
          <w:color w:val="231F20"/>
          <w:spacing w:val="-4"/>
        </w:rPr>
        <w:t>physiquement</w:t>
      </w:r>
      <w:r>
        <w:rPr>
          <w:color w:val="231F20"/>
          <w:spacing w:val="-6"/>
        </w:rPr>
        <w:t> </w:t>
      </w:r>
      <w:r>
        <w:rPr>
          <w:color w:val="231F20"/>
          <w:spacing w:val="-4"/>
        </w:rPr>
        <w:t>miné</w:t>
      </w:r>
      <w:r>
        <w:rPr>
          <w:color w:val="231F20"/>
          <w:spacing w:val="-7"/>
        </w:rPr>
        <w:t> </w:t>
      </w:r>
      <w:r>
        <w:rPr>
          <w:color w:val="231F20"/>
          <w:spacing w:val="-4"/>
        </w:rPr>
        <w:t>par un cancer de la</w:t>
      </w:r>
      <w:r>
        <w:rPr>
          <w:color w:val="231F20"/>
          <w:spacing w:val="-7"/>
        </w:rPr>
        <w:t> </w:t>
      </w:r>
      <w:r>
        <w:rPr>
          <w:color w:val="231F20"/>
          <w:spacing w:val="-4"/>
        </w:rPr>
        <w:t>prostate,</w:t>
      </w:r>
      <w:r>
        <w:rPr>
          <w:color w:val="231F20"/>
          <w:spacing w:val="-5"/>
        </w:rPr>
        <w:t> </w:t>
      </w:r>
      <w:r>
        <w:rPr>
          <w:color w:val="231F20"/>
          <w:spacing w:val="-4"/>
        </w:rPr>
        <w:t>Mobutu</w:t>
      </w:r>
      <w:r>
        <w:rPr>
          <w:color w:val="231F20"/>
          <w:spacing w:val="-6"/>
        </w:rPr>
        <w:t> </w:t>
      </w:r>
      <w:r>
        <w:rPr>
          <w:color w:val="231F20"/>
          <w:spacing w:val="-4"/>
        </w:rPr>
        <w:t>quitte Kinshasa, </w:t>
      </w:r>
      <w:r>
        <w:rPr>
          <w:color w:val="231F20"/>
          <w:spacing w:val="-2"/>
        </w:rPr>
        <w:t>le</w:t>
      </w:r>
      <w:r>
        <w:rPr>
          <w:color w:val="231F20"/>
          <w:spacing w:val="-6"/>
        </w:rPr>
        <w:t> </w:t>
      </w:r>
      <w:r>
        <w:rPr>
          <w:color w:val="231F20"/>
          <w:spacing w:val="-2"/>
        </w:rPr>
        <w:t>centre</w:t>
      </w:r>
      <w:r>
        <w:rPr>
          <w:color w:val="231F20"/>
          <w:spacing w:val="-6"/>
        </w:rPr>
        <w:t> </w:t>
      </w:r>
      <w:r>
        <w:rPr>
          <w:color w:val="231F20"/>
          <w:spacing w:val="-2"/>
        </w:rPr>
        <w:t>du</w:t>
      </w:r>
      <w:r>
        <w:rPr>
          <w:color w:val="231F20"/>
          <w:spacing w:val="-8"/>
        </w:rPr>
        <w:t> </w:t>
      </w:r>
      <w:r>
        <w:rPr>
          <w:color w:val="231F20"/>
          <w:spacing w:val="-2"/>
        </w:rPr>
        <w:t>pouvoir,</w:t>
      </w:r>
      <w:r>
        <w:rPr>
          <w:color w:val="231F20"/>
          <w:spacing w:val="-8"/>
        </w:rPr>
        <w:t> </w:t>
      </w:r>
      <w:r>
        <w:rPr>
          <w:color w:val="231F20"/>
          <w:spacing w:val="-2"/>
        </w:rPr>
        <w:t>et</w:t>
      </w:r>
      <w:r>
        <w:rPr>
          <w:color w:val="231F20"/>
          <w:spacing w:val="-8"/>
        </w:rPr>
        <w:t> </w:t>
      </w:r>
      <w:r>
        <w:rPr>
          <w:color w:val="231F20"/>
          <w:spacing w:val="-2"/>
        </w:rPr>
        <w:t>s’exile</w:t>
      </w:r>
      <w:r>
        <w:rPr>
          <w:color w:val="231F20"/>
          <w:spacing w:val="-9"/>
        </w:rPr>
        <w:t> </w:t>
      </w:r>
      <w:r>
        <w:rPr>
          <w:color w:val="231F20"/>
          <w:spacing w:val="-2"/>
        </w:rPr>
        <w:t>à</w:t>
      </w:r>
      <w:r>
        <w:rPr>
          <w:color w:val="231F20"/>
          <w:spacing w:val="-7"/>
        </w:rPr>
        <w:t> </w:t>
      </w:r>
      <w:r>
        <w:rPr>
          <w:color w:val="231F20"/>
          <w:spacing w:val="-2"/>
        </w:rPr>
        <w:t>Gbadolité.</w:t>
      </w:r>
      <w:r>
        <w:rPr>
          <w:color w:val="231F20"/>
          <w:spacing w:val="-10"/>
        </w:rPr>
        <w:t> </w:t>
      </w:r>
      <w:r>
        <w:rPr>
          <w:color w:val="231F20"/>
          <w:spacing w:val="-2"/>
        </w:rPr>
        <w:t>Son</w:t>
      </w:r>
      <w:r>
        <w:rPr>
          <w:color w:val="231F20"/>
          <w:spacing w:val="-10"/>
        </w:rPr>
        <w:t> </w:t>
      </w:r>
      <w:r>
        <w:rPr>
          <w:color w:val="231F20"/>
          <w:spacing w:val="-2"/>
        </w:rPr>
        <w:t>Premier</w:t>
      </w:r>
      <w:r>
        <w:rPr>
          <w:color w:val="231F20"/>
          <w:spacing w:val="-9"/>
        </w:rPr>
        <w:t> </w:t>
      </w:r>
      <w:r>
        <w:rPr>
          <w:color w:val="231F20"/>
          <w:spacing w:val="-2"/>
        </w:rPr>
        <w:t>Ministre</w:t>
      </w:r>
      <w:r>
        <w:rPr>
          <w:color w:val="231F20"/>
          <w:spacing w:val="-7"/>
        </w:rPr>
        <w:t> </w:t>
      </w:r>
      <w:r>
        <w:rPr>
          <w:color w:val="231F20"/>
          <w:spacing w:val="-2"/>
        </w:rPr>
        <w:t>Kengo </w:t>
      </w:r>
      <w:r>
        <w:rPr>
          <w:color w:val="231F20"/>
        </w:rPr>
        <w:t>Wa Dondo exerce de plus en plus de pouvoir.</w:t>
      </w:r>
    </w:p>
    <w:p>
      <w:pPr>
        <w:pStyle w:val="BodyText"/>
        <w:spacing w:before="127"/>
        <w:ind w:left="0"/>
        <w:jc w:val="left"/>
      </w:pPr>
    </w:p>
    <w:p>
      <w:pPr>
        <w:pStyle w:val="Heading3"/>
        <w:jc w:val="left"/>
      </w:pPr>
      <w:r>
        <w:rPr>
          <w:i/>
          <w:color w:val="231F20"/>
          <w:spacing w:val="-2"/>
        </w:rPr>
        <w:t>L’Armée</w:t>
      </w:r>
      <w:r>
        <w:rPr>
          <w:i/>
          <w:color w:val="231F20"/>
          <w:spacing w:val="-12"/>
        </w:rPr>
        <w:t> </w:t>
      </w:r>
      <w:r>
        <w:rPr>
          <w:i/>
          <w:color w:val="231F20"/>
          <w:spacing w:val="-2"/>
        </w:rPr>
        <w:t>du</w:t>
      </w:r>
      <w:r>
        <w:rPr>
          <w:i/>
          <w:color w:val="231F20"/>
          <w:spacing w:val="-11"/>
        </w:rPr>
        <w:t> </w:t>
      </w:r>
      <w:r>
        <w:rPr>
          <w:i/>
          <w:color w:val="231F20"/>
          <w:spacing w:val="-2"/>
        </w:rPr>
        <w:t>Zaïre</w:t>
      </w:r>
      <w:r>
        <w:rPr>
          <w:i/>
          <w:color w:val="231F20"/>
          <w:spacing w:val="-11"/>
        </w:rPr>
        <w:t> </w:t>
      </w:r>
      <w:r>
        <w:rPr>
          <w:i/>
          <w:color w:val="231F20"/>
          <w:spacing w:val="-2"/>
        </w:rPr>
        <w:t>est</w:t>
      </w:r>
      <w:r>
        <w:rPr>
          <w:i/>
          <w:color w:val="231F20"/>
          <w:spacing w:val="-11"/>
        </w:rPr>
        <w:t> </w:t>
      </w:r>
      <w:r>
        <w:rPr>
          <w:i/>
          <w:color w:val="231F20"/>
          <w:spacing w:val="-2"/>
        </w:rPr>
        <w:t>déliquescente.</w:t>
      </w:r>
      <w:r>
        <w:rPr>
          <w:i/>
          <w:color w:val="231F20"/>
          <w:spacing w:val="-12"/>
        </w:rPr>
        <w:t> </w:t>
      </w:r>
      <w:r>
        <w:rPr>
          <w:i/>
          <w:color w:val="231F20"/>
          <w:spacing w:val="-2"/>
        </w:rPr>
        <w:t>Seule</w:t>
      </w:r>
      <w:r>
        <w:rPr>
          <w:i/>
          <w:color w:val="231F20"/>
          <w:spacing w:val="-11"/>
        </w:rPr>
        <w:t> </w:t>
      </w:r>
      <w:r>
        <w:rPr>
          <w:i/>
          <w:color w:val="231F20"/>
          <w:spacing w:val="-2"/>
        </w:rPr>
        <w:t>la</w:t>
      </w:r>
      <w:r>
        <w:rPr>
          <w:i/>
          <w:color w:val="231F20"/>
          <w:spacing w:val="-11"/>
        </w:rPr>
        <w:t> </w:t>
      </w:r>
      <w:r>
        <w:rPr>
          <w:i/>
          <w:color w:val="231F20"/>
          <w:spacing w:val="-2"/>
        </w:rPr>
        <w:t>division</w:t>
      </w:r>
      <w:r>
        <w:rPr>
          <w:i/>
          <w:color w:val="231F20"/>
          <w:spacing w:val="-11"/>
        </w:rPr>
        <w:t> </w:t>
      </w:r>
      <w:r>
        <w:rPr>
          <w:i/>
          <w:color w:val="231F20"/>
          <w:spacing w:val="-2"/>
        </w:rPr>
        <w:t>spéciale</w:t>
      </w:r>
      <w:r>
        <w:rPr>
          <w:color w:val="231F20"/>
          <w:spacing w:val="-2"/>
        </w:rPr>
        <w:t> </w:t>
      </w:r>
      <w:r>
        <w:rPr>
          <w:color w:val="231F20"/>
        </w:rPr>
        <w:t>présidentielle maintient le régime.</w:t>
      </w:r>
    </w:p>
    <w:p>
      <w:pPr>
        <w:pStyle w:val="BodyText"/>
        <w:spacing w:before="185"/>
        <w:ind w:right="105" w:firstLine="283"/>
      </w:pPr>
      <w:r>
        <w:rPr/>
        <mc:AlternateContent>
          <mc:Choice Requires="wps">
            <w:drawing>
              <wp:anchor distT="0" distB="0" distL="0" distR="0" allowOverlap="1" layoutInCell="1" locked="0" behindDoc="1" simplePos="0" relativeHeight="485554176">
                <wp:simplePos x="0" y="0"/>
                <wp:positionH relativeFrom="page">
                  <wp:posOffset>1360284</wp:posOffset>
                </wp:positionH>
                <wp:positionV relativeFrom="paragraph">
                  <wp:posOffset>276821</wp:posOffset>
                </wp:positionV>
                <wp:extent cx="41275" cy="762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41275" cy="7620"/>
                        </a:xfrm>
                        <a:custGeom>
                          <a:avLst/>
                          <a:gdLst/>
                          <a:ahLst/>
                          <a:cxnLst/>
                          <a:rect l="l" t="t" r="r" b="b"/>
                          <a:pathLst>
                            <a:path w="41275" h="7620">
                              <a:moveTo>
                                <a:pt x="41147" y="0"/>
                              </a:moveTo>
                              <a:lnTo>
                                <a:pt x="0" y="0"/>
                              </a:lnTo>
                              <a:lnTo>
                                <a:pt x="0" y="7620"/>
                              </a:lnTo>
                              <a:lnTo>
                                <a:pt x="41147" y="7620"/>
                              </a:lnTo>
                              <a:lnTo>
                                <a:pt x="4114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07.109001pt;margin-top:21.796944pt;width:3.24pt;height:.600010pt;mso-position-horizontal-relative:page;mso-position-vertical-relative:paragraph;z-index:-17762304" id="docshape40"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5554688">
                <wp:simplePos x="0" y="0"/>
                <wp:positionH relativeFrom="page">
                  <wp:posOffset>4224134</wp:posOffset>
                </wp:positionH>
                <wp:positionV relativeFrom="paragraph">
                  <wp:posOffset>276821</wp:posOffset>
                </wp:positionV>
                <wp:extent cx="41275" cy="762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41275" cy="7620"/>
                        </a:xfrm>
                        <a:custGeom>
                          <a:avLst/>
                          <a:gdLst/>
                          <a:ahLst/>
                          <a:cxnLst/>
                          <a:rect l="l" t="t" r="r" b="b"/>
                          <a:pathLst>
                            <a:path w="41275" h="7620">
                              <a:moveTo>
                                <a:pt x="41148" y="0"/>
                              </a:moveTo>
                              <a:lnTo>
                                <a:pt x="0" y="0"/>
                              </a:lnTo>
                              <a:lnTo>
                                <a:pt x="0" y="7620"/>
                              </a:lnTo>
                              <a:lnTo>
                                <a:pt x="41148" y="7620"/>
                              </a:lnTo>
                              <a:lnTo>
                                <a:pt x="4114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32.609009pt;margin-top:21.796944pt;width:3.24pt;height:.600010pt;mso-position-horizontal-relative:page;mso-position-vertical-relative:paragraph;z-index:-17761792" id="docshape41" filled="true" fillcolor="#231f20" stroked="false">
                <v:fill type="solid"/>
                <w10:wrap type="none"/>
              </v:rect>
            </w:pict>
          </mc:Fallback>
        </mc:AlternateContent>
      </w:r>
      <w:r>
        <w:rPr>
          <w:color w:val="231F20"/>
        </w:rPr>
        <w:t>En</w:t>
      </w:r>
      <w:r>
        <w:rPr>
          <w:color w:val="231F20"/>
          <w:spacing w:val="-15"/>
        </w:rPr>
        <w:t> </w:t>
      </w:r>
      <w:r>
        <w:rPr>
          <w:color w:val="231F20"/>
        </w:rPr>
        <w:t>juillet</w:t>
      </w:r>
      <w:r>
        <w:rPr>
          <w:color w:val="231F20"/>
          <w:spacing w:val="-15"/>
        </w:rPr>
        <w:t> </w:t>
      </w:r>
      <w:r>
        <w:rPr>
          <w:color w:val="231F20"/>
        </w:rPr>
        <w:t>1994,</w:t>
      </w:r>
      <w:r>
        <w:rPr>
          <w:color w:val="231F20"/>
          <w:spacing w:val="-15"/>
        </w:rPr>
        <w:t> </w:t>
      </w:r>
      <w:r>
        <w:rPr>
          <w:color w:val="231F20"/>
        </w:rPr>
        <w:t>au</w:t>
      </w:r>
      <w:r>
        <w:rPr>
          <w:color w:val="231F20"/>
          <w:spacing w:val="-15"/>
        </w:rPr>
        <w:t> </w:t>
      </w:r>
      <w:r>
        <w:rPr>
          <w:color w:val="231F20"/>
        </w:rPr>
        <w:t>Rwanda</w:t>
      </w:r>
      <w:r>
        <w:rPr>
          <w:color w:val="231F20"/>
          <w:spacing w:val="-15"/>
        </w:rPr>
        <w:t> </w:t>
      </w:r>
      <w:r>
        <w:rPr>
          <w:color w:val="231F20"/>
        </w:rPr>
        <w:t>voisin,</w:t>
      </w:r>
      <w:r>
        <w:rPr>
          <w:color w:val="231F20"/>
          <w:spacing w:val="-15"/>
        </w:rPr>
        <w:t> </w:t>
      </w:r>
      <w:r>
        <w:rPr>
          <w:color w:val="231F20"/>
        </w:rPr>
        <w:t>le</w:t>
      </w:r>
      <w:r>
        <w:rPr>
          <w:color w:val="231F20"/>
          <w:spacing w:val="-15"/>
        </w:rPr>
        <w:t> </w:t>
      </w:r>
      <w:r>
        <w:rPr>
          <w:color w:val="231F20"/>
        </w:rPr>
        <w:t>Front</w:t>
      </w:r>
      <w:r>
        <w:rPr>
          <w:color w:val="231F20"/>
          <w:spacing w:val="-15"/>
        </w:rPr>
        <w:t> </w:t>
      </w:r>
      <w:r>
        <w:rPr>
          <w:color w:val="231F20"/>
        </w:rPr>
        <w:t>Patriotique</w:t>
      </w:r>
      <w:r>
        <w:rPr>
          <w:color w:val="231F20"/>
          <w:spacing w:val="-15"/>
        </w:rPr>
        <w:t> </w:t>
      </w:r>
      <w:r>
        <w:rPr>
          <w:color w:val="231F20"/>
        </w:rPr>
        <w:t>a,</w:t>
      </w:r>
      <w:r>
        <w:rPr>
          <w:color w:val="231F20"/>
          <w:spacing w:val="-15"/>
        </w:rPr>
        <w:t> </w:t>
      </w:r>
      <w:r>
        <w:rPr>
          <w:color w:val="231F20"/>
        </w:rPr>
        <w:t>entretemps, pris</w:t>
      </w:r>
      <w:r>
        <w:rPr>
          <w:color w:val="231F20"/>
          <w:spacing w:val="8"/>
        </w:rPr>
        <w:t> </w:t>
      </w:r>
      <w:r>
        <w:rPr>
          <w:color w:val="231F20"/>
        </w:rPr>
        <w:t>le</w:t>
      </w:r>
      <w:r>
        <w:rPr>
          <w:color w:val="231F20"/>
          <w:spacing w:val="14"/>
        </w:rPr>
        <w:t> </w:t>
      </w:r>
      <w:r>
        <w:rPr>
          <w:color w:val="231F20"/>
        </w:rPr>
        <w:t>pouvoir.</w:t>
      </w:r>
      <w:r>
        <w:rPr>
          <w:color w:val="231F20"/>
          <w:spacing w:val="11"/>
        </w:rPr>
        <w:t> </w:t>
      </w:r>
      <w:r>
        <w:rPr>
          <w:color w:val="231F20"/>
        </w:rPr>
        <w:t>Mobutu</w:t>
      </w:r>
      <w:r>
        <w:rPr>
          <w:color w:val="231F20"/>
          <w:spacing w:val="11"/>
        </w:rPr>
        <w:t> </w:t>
      </w:r>
      <w:r>
        <w:rPr>
          <w:color w:val="231F20"/>
        </w:rPr>
        <w:t>accorde</w:t>
      </w:r>
      <w:r>
        <w:rPr>
          <w:color w:val="231F20"/>
          <w:spacing w:val="13"/>
        </w:rPr>
        <w:t> </w:t>
      </w:r>
      <w:r>
        <w:rPr>
          <w:color w:val="231F20"/>
        </w:rPr>
        <w:t>à</w:t>
      </w:r>
      <w:r>
        <w:rPr>
          <w:color w:val="231F20"/>
          <w:spacing w:val="13"/>
        </w:rPr>
        <w:t> </w:t>
      </w:r>
      <w:r>
        <w:rPr>
          <w:color w:val="231F20"/>
        </w:rPr>
        <w:t>la</w:t>
      </w:r>
      <w:r>
        <w:rPr>
          <w:color w:val="231F20"/>
          <w:spacing w:val="12"/>
        </w:rPr>
        <w:t> </w:t>
      </w:r>
      <w:r>
        <w:rPr>
          <w:color w:val="231F20"/>
        </w:rPr>
        <w:t>France</w:t>
      </w:r>
      <w:r>
        <w:rPr>
          <w:color w:val="231F20"/>
          <w:spacing w:val="10"/>
        </w:rPr>
        <w:t> </w:t>
      </w:r>
      <w:r>
        <w:rPr>
          <w:color w:val="231F20"/>
        </w:rPr>
        <w:t>le</w:t>
      </w:r>
      <w:r>
        <w:rPr>
          <w:color w:val="231F20"/>
          <w:spacing w:val="13"/>
        </w:rPr>
        <w:t> </w:t>
      </w:r>
      <w:r>
        <w:rPr>
          <w:color w:val="231F20"/>
        </w:rPr>
        <w:t>droit</w:t>
      </w:r>
      <w:r>
        <w:rPr>
          <w:color w:val="231F20"/>
          <w:spacing w:val="11"/>
        </w:rPr>
        <w:t> </w:t>
      </w:r>
      <w:r>
        <w:rPr>
          <w:color w:val="231F20"/>
        </w:rPr>
        <w:t>d’utiliser</w:t>
      </w:r>
      <w:r>
        <w:rPr>
          <w:color w:val="231F20"/>
          <w:spacing w:val="11"/>
        </w:rPr>
        <w:t> </w:t>
      </w:r>
      <w:r>
        <w:rPr>
          <w:color w:val="231F20"/>
        </w:rPr>
        <w:t>le</w:t>
      </w:r>
      <w:r>
        <w:rPr>
          <w:color w:val="231F20"/>
          <w:spacing w:val="16"/>
        </w:rPr>
        <w:t> </w:t>
      </w:r>
      <w:r>
        <w:rPr>
          <w:color w:val="231F20"/>
          <w:spacing w:val="-4"/>
        </w:rPr>
        <w:t>Kivu</w:t>
      </w:r>
    </w:p>
    <w:p>
      <w:pPr>
        <w:spacing w:after="0"/>
        <w:sectPr>
          <w:pgSz w:w="8790" w:h="13610"/>
          <w:pgMar w:header="0" w:footer="802" w:top="1060" w:bottom="1000" w:left="880" w:right="880"/>
        </w:sectPr>
      </w:pPr>
    </w:p>
    <w:p>
      <w:pPr>
        <w:pStyle w:val="BodyText"/>
        <w:spacing w:before="86"/>
        <w:ind w:right="102"/>
      </w:pPr>
      <w:r>
        <w:rPr>
          <w:color w:val="231F20"/>
        </w:rPr>
        <w:t>comme</w:t>
      </w:r>
      <w:r>
        <w:rPr>
          <w:color w:val="231F20"/>
          <w:spacing w:val="-15"/>
        </w:rPr>
        <w:t> </w:t>
      </w:r>
      <w:r>
        <w:rPr>
          <w:color w:val="231F20"/>
        </w:rPr>
        <w:t>base</w:t>
      </w:r>
      <w:r>
        <w:rPr>
          <w:color w:val="231F20"/>
          <w:spacing w:val="-15"/>
        </w:rPr>
        <w:t> </w:t>
      </w:r>
      <w:r>
        <w:rPr>
          <w:color w:val="231F20"/>
        </w:rPr>
        <w:t>arrière</w:t>
      </w:r>
      <w:r>
        <w:rPr>
          <w:color w:val="231F20"/>
          <w:spacing w:val="-15"/>
        </w:rPr>
        <w:t> </w:t>
      </w:r>
      <w:r>
        <w:rPr>
          <w:color w:val="231F20"/>
        </w:rPr>
        <w:t>de</w:t>
      </w:r>
      <w:r>
        <w:rPr>
          <w:color w:val="231F20"/>
          <w:spacing w:val="-15"/>
        </w:rPr>
        <w:t> </w:t>
      </w:r>
      <w:r>
        <w:rPr>
          <w:color w:val="231F20"/>
        </w:rPr>
        <w:t>son</w:t>
      </w:r>
      <w:r>
        <w:rPr>
          <w:color w:val="231F20"/>
          <w:spacing w:val="-15"/>
        </w:rPr>
        <w:t> </w:t>
      </w:r>
      <w:r>
        <w:rPr>
          <w:color w:val="231F20"/>
        </w:rPr>
        <w:t>opération</w:t>
      </w:r>
      <w:r>
        <w:rPr>
          <w:color w:val="231F20"/>
          <w:spacing w:val="-15"/>
        </w:rPr>
        <w:t> </w:t>
      </w:r>
      <w:r>
        <w:rPr>
          <w:color w:val="231F20"/>
        </w:rPr>
        <w:t>«</w:t>
      </w:r>
      <w:r>
        <w:rPr>
          <w:color w:val="231F20"/>
          <w:spacing w:val="-15"/>
        </w:rPr>
        <w:t> </w:t>
      </w:r>
      <w:r>
        <w:rPr>
          <w:color w:val="231F20"/>
        </w:rPr>
        <w:t>Turquoise</w:t>
      </w:r>
      <w:r>
        <w:rPr>
          <w:color w:val="76787A"/>
          <w:vertAlign w:val="superscript"/>
        </w:rPr>
        <w:t>46</w:t>
      </w:r>
      <w:r>
        <w:rPr>
          <w:color w:val="76787A"/>
          <w:spacing w:val="-15"/>
          <w:vertAlign w:val="baseline"/>
        </w:rPr>
        <w:t> </w:t>
      </w:r>
      <w:r>
        <w:rPr>
          <w:color w:val="231F20"/>
          <w:vertAlign w:val="baseline"/>
        </w:rPr>
        <w:t>»</w:t>
      </w:r>
      <w:r>
        <w:rPr>
          <w:color w:val="231F20"/>
          <w:spacing w:val="-15"/>
          <w:vertAlign w:val="baseline"/>
        </w:rPr>
        <w:t> </w:t>
      </w:r>
      <w:r>
        <w:rPr>
          <w:color w:val="231F20"/>
          <w:vertAlign w:val="baseline"/>
        </w:rPr>
        <w:t>qui</w:t>
      </w:r>
      <w:r>
        <w:rPr>
          <w:color w:val="231F20"/>
          <w:spacing w:val="-15"/>
          <w:vertAlign w:val="baseline"/>
        </w:rPr>
        <w:t> </w:t>
      </w:r>
      <w:r>
        <w:rPr>
          <w:color w:val="231F20"/>
          <w:vertAlign w:val="baseline"/>
        </w:rPr>
        <w:t>permet</w:t>
      </w:r>
      <w:r>
        <w:rPr>
          <w:color w:val="231F20"/>
          <w:spacing w:val="-15"/>
          <w:vertAlign w:val="baseline"/>
        </w:rPr>
        <w:t> </w:t>
      </w:r>
      <w:r>
        <w:rPr>
          <w:color w:val="231F20"/>
          <w:vertAlign w:val="baseline"/>
        </w:rPr>
        <w:t>en</w:t>
      </w:r>
      <w:r>
        <w:rPr>
          <w:color w:val="231F20"/>
          <w:spacing w:val="-15"/>
          <w:vertAlign w:val="baseline"/>
        </w:rPr>
        <w:t> </w:t>
      </w:r>
      <w:r>
        <w:rPr>
          <w:color w:val="231F20"/>
          <w:vertAlign w:val="baseline"/>
        </w:rPr>
        <w:t>juin- juillet</w:t>
      </w:r>
      <w:r>
        <w:rPr>
          <w:color w:val="231F20"/>
          <w:spacing w:val="-11"/>
          <w:vertAlign w:val="baseline"/>
        </w:rPr>
        <w:t> </w:t>
      </w:r>
      <w:r>
        <w:rPr>
          <w:color w:val="231F20"/>
          <w:vertAlign w:val="baseline"/>
        </w:rPr>
        <w:t>1994,</w:t>
      </w:r>
      <w:r>
        <w:rPr>
          <w:color w:val="231F20"/>
          <w:spacing w:val="-12"/>
          <w:vertAlign w:val="baseline"/>
        </w:rPr>
        <w:t> </w:t>
      </w:r>
      <w:r>
        <w:rPr>
          <w:color w:val="231F20"/>
          <w:vertAlign w:val="baseline"/>
        </w:rPr>
        <w:t>la</w:t>
      </w:r>
      <w:r>
        <w:rPr>
          <w:color w:val="231F20"/>
          <w:spacing w:val="-10"/>
          <w:vertAlign w:val="baseline"/>
        </w:rPr>
        <w:t> </w:t>
      </w:r>
      <w:r>
        <w:rPr>
          <w:color w:val="231F20"/>
          <w:vertAlign w:val="baseline"/>
        </w:rPr>
        <w:t>fuite</w:t>
      </w:r>
      <w:r>
        <w:rPr>
          <w:color w:val="231F20"/>
          <w:spacing w:val="-10"/>
          <w:vertAlign w:val="baseline"/>
        </w:rPr>
        <w:t> </w:t>
      </w:r>
      <w:r>
        <w:rPr>
          <w:color w:val="231F20"/>
          <w:vertAlign w:val="baseline"/>
        </w:rPr>
        <w:t>au</w:t>
      </w:r>
      <w:r>
        <w:rPr>
          <w:color w:val="231F20"/>
          <w:spacing w:val="-10"/>
          <w:vertAlign w:val="baseline"/>
        </w:rPr>
        <w:t> </w:t>
      </w:r>
      <w:r>
        <w:rPr>
          <w:color w:val="231F20"/>
          <w:vertAlign w:val="baseline"/>
        </w:rPr>
        <w:t>Zaïre</w:t>
      </w:r>
      <w:r>
        <w:rPr>
          <w:color w:val="231F20"/>
          <w:spacing w:val="-11"/>
          <w:vertAlign w:val="baseline"/>
        </w:rPr>
        <w:t> </w:t>
      </w:r>
      <w:r>
        <w:rPr>
          <w:color w:val="231F20"/>
          <w:vertAlign w:val="baseline"/>
        </w:rPr>
        <w:t>d’environ</w:t>
      </w:r>
      <w:r>
        <w:rPr>
          <w:color w:val="231F20"/>
          <w:spacing w:val="-12"/>
          <w:vertAlign w:val="baseline"/>
        </w:rPr>
        <w:t> </w:t>
      </w:r>
      <w:r>
        <w:rPr>
          <w:color w:val="231F20"/>
          <w:vertAlign w:val="baseline"/>
        </w:rPr>
        <w:t>2</w:t>
      </w:r>
      <w:r>
        <w:rPr>
          <w:color w:val="231F20"/>
          <w:spacing w:val="-10"/>
          <w:vertAlign w:val="baseline"/>
        </w:rPr>
        <w:t> </w:t>
      </w:r>
      <w:r>
        <w:rPr>
          <w:color w:val="231F20"/>
          <w:vertAlign w:val="baseline"/>
        </w:rPr>
        <w:t>millions</w:t>
      </w:r>
      <w:r>
        <w:rPr>
          <w:color w:val="231F20"/>
          <w:spacing w:val="-12"/>
          <w:vertAlign w:val="baseline"/>
        </w:rPr>
        <w:t> </w:t>
      </w:r>
      <w:r>
        <w:rPr>
          <w:color w:val="231F20"/>
          <w:vertAlign w:val="baseline"/>
        </w:rPr>
        <w:t>de</w:t>
      </w:r>
      <w:r>
        <w:rPr>
          <w:color w:val="231F20"/>
          <w:spacing w:val="-10"/>
          <w:vertAlign w:val="baseline"/>
        </w:rPr>
        <w:t> </w:t>
      </w:r>
      <w:r>
        <w:rPr>
          <w:color w:val="231F20"/>
          <w:vertAlign w:val="baseline"/>
        </w:rPr>
        <w:t>réfugiés</w:t>
      </w:r>
      <w:r>
        <w:rPr>
          <w:color w:val="231F20"/>
          <w:spacing w:val="-12"/>
          <w:vertAlign w:val="baseline"/>
        </w:rPr>
        <w:t> </w:t>
      </w:r>
      <w:r>
        <w:rPr>
          <w:color w:val="231F20"/>
          <w:vertAlign w:val="baseline"/>
        </w:rPr>
        <w:t>Rwandais principalement des Hutus composés de membres du gouvernement génocidaire, de l’Armée et des milices interahamwe génocidaires avec leurs armes.</w:t>
      </w:r>
    </w:p>
    <w:p>
      <w:pPr>
        <w:pStyle w:val="BodyText"/>
        <w:spacing w:before="120"/>
        <w:ind w:right="105" w:firstLine="340"/>
      </w:pPr>
      <w:r>
        <w:rPr>
          <w:color w:val="231F20"/>
        </w:rPr>
        <w:t>L’Armée</w:t>
      </w:r>
      <w:r>
        <w:rPr>
          <w:color w:val="231F20"/>
          <w:spacing w:val="-6"/>
        </w:rPr>
        <w:t> </w:t>
      </w:r>
      <w:r>
        <w:rPr>
          <w:color w:val="231F20"/>
        </w:rPr>
        <w:t>française,</w:t>
      </w:r>
      <w:r>
        <w:rPr>
          <w:color w:val="231F20"/>
          <w:spacing w:val="-6"/>
        </w:rPr>
        <w:t> </w:t>
      </w:r>
      <w:r>
        <w:rPr>
          <w:color w:val="231F20"/>
        </w:rPr>
        <w:t>gère</w:t>
      </w:r>
      <w:r>
        <w:rPr>
          <w:color w:val="231F20"/>
          <w:spacing w:val="-7"/>
        </w:rPr>
        <w:t> </w:t>
      </w:r>
      <w:r>
        <w:rPr>
          <w:color w:val="231F20"/>
        </w:rPr>
        <w:t>ce</w:t>
      </w:r>
      <w:r>
        <w:rPr>
          <w:color w:val="231F20"/>
          <w:spacing w:val="-5"/>
        </w:rPr>
        <w:t> </w:t>
      </w:r>
      <w:r>
        <w:rPr>
          <w:color w:val="231F20"/>
        </w:rPr>
        <w:t>déplacement</w:t>
      </w:r>
      <w:r>
        <w:rPr>
          <w:color w:val="231F20"/>
          <w:spacing w:val="-5"/>
        </w:rPr>
        <w:t> </w:t>
      </w:r>
      <w:r>
        <w:rPr>
          <w:color w:val="231F20"/>
        </w:rPr>
        <w:t>massif</w:t>
      </w:r>
      <w:r>
        <w:rPr>
          <w:color w:val="231F20"/>
          <w:spacing w:val="-7"/>
        </w:rPr>
        <w:t> </w:t>
      </w:r>
      <w:r>
        <w:rPr>
          <w:color w:val="231F20"/>
        </w:rPr>
        <w:t>de</w:t>
      </w:r>
      <w:r>
        <w:rPr>
          <w:color w:val="231F20"/>
          <w:spacing w:val="-5"/>
        </w:rPr>
        <w:t> </w:t>
      </w:r>
      <w:r>
        <w:rPr>
          <w:color w:val="231F20"/>
        </w:rPr>
        <w:t>population,</w:t>
      </w:r>
      <w:r>
        <w:rPr>
          <w:color w:val="231F20"/>
          <w:spacing w:val="-5"/>
        </w:rPr>
        <w:t> </w:t>
      </w:r>
      <w:r>
        <w:rPr>
          <w:color w:val="231F20"/>
        </w:rPr>
        <w:t>sans opérer de désarmement. Les réfugiés se regroupent dans d’énormes camps installés très proches de la frontière avec le Rwanda à l’Est du </w:t>
      </w:r>
      <w:r>
        <w:rPr>
          <w:color w:val="231F20"/>
          <w:spacing w:val="-2"/>
        </w:rPr>
        <w:t>Congo.</w:t>
      </w:r>
      <w:r>
        <w:rPr>
          <w:color w:val="231F20"/>
          <w:spacing w:val="-13"/>
        </w:rPr>
        <w:t> </w:t>
      </w:r>
      <w:r>
        <w:rPr>
          <w:color w:val="231F20"/>
          <w:spacing w:val="-2"/>
        </w:rPr>
        <w:t>Les</w:t>
      </w:r>
      <w:r>
        <w:rPr>
          <w:color w:val="231F20"/>
          <w:spacing w:val="-13"/>
        </w:rPr>
        <w:t> </w:t>
      </w:r>
      <w:r>
        <w:rPr>
          <w:color w:val="231F20"/>
          <w:spacing w:val="-2"/>
        </w:rPr>
        <w:t>soldats</w:t>
      </w:r>
      <w:r>
        <w:rPr>
          <w:color w:val="231F20"/>
          <w:spacing w:val="-13"/>
        </w:rPr>
        <w:t> </w:t>
      </w:r>
      <w:r>
        <w:rPr>
          <w:color w:val="231F20"/>
          <w:spacing w:val="-2"/>
        </w:rPr>
        <w:t>et</w:t>
      </w:r>
      <w:r>
        <w:rPr>
          <w:color w:val="231F20"/>
          <w:spacing w:val="-13"/>
        </w:rPr>
        <w:t> </w:t>
      </w:r>
      <w:r>
        <w:rPr>
          <w:color w:val="231F20"/>
          <w:spacing w:val="-2"/>
        </w:rPr>
        <w:t>miliciens</w:t>
      </w:r>
      <w:r>
        <w:rPr>
          <w:color w:val="231F20"/>
          <w:spacing w:val="-13"/>
        </w:rPr>
        <w:t> </w:t>
      </w:r>
      <w:r>
        <w:rPr>
          <w:color w:val="231F20"/>
          <w:spacing w:val="-2"/>
        </w:rPr>
        <w:t>réfugiés</w:t>
      </w:r>
      <w:r>
        <w:rPr>
          <w:color w:val="231F20"/>
          <w:spacing w:val="-13"/>
        </w:rPr>
        <w:t> </w:t>
      </w:r>
      <w:r>
        <w:rPr>
          <w:color w:val="231F20"/>
          <w:spacing w:val="-2"/>
        </w:rPr>
        <w:t>sortent</w:t>
      </w:r>
      <w:r>
        <w:rPr>
          <w:color w:val="231F20"/>
          <w:spacing w:val="-13"/>
        </w:rPr>
        <w:t> </w:t>
      </w:r>
      <w:r>
        <w:rPr>
          <w:color w:val="231F20"/>
          <w:spacing w:val="-2"/>
        </w:rPr>
        <w:t>des</w:t>
      </w:r>
      <w:r>
        <w:rPr>
          <w:color w:val="231F20"/>
          <w:spacing w:val="-13"/>
        </w:rPr>
        <w:t> </w:t>
      </w:r>
      <w:r>
        <w:rPr>
          <w:color w:val="231F20"/>
          <w:spacing w:val="-2"/>
        </w:rPr>
        <w:t>camps</w:t>
      </w:r>
      <w:r>
        <w:rPr>
          <w:color w:val="231F20"/>
          <w:spacing w:val="-12"/>
        </w:rPr>
        <w:t> </w:t>
      </w:r>
      <w:r>
        <w:rPr>
          <w:color w:val="231F20"/>
          <w:spacing w:val="-2"/>
        </w:rPr>
        <w:t>la</w:t>
      </w:r>
      <w:r>
        <w:rPr>
          <w:color w:val="231F20"/>
          <w:spacing w:val="-13"/>
        </w:rPr>
        <w:t> </w:t>
      </w:r>
      <w:r>
        <w:rPr>
          <w:color w:val="231F20"/>
          <w:spacing w:val="-2"/>
        </w:rPr>
        <w:t>nuit</w:t>
      </w:r>
      <w:r>
        <w:rPr>
          <w:color w:val="231F20"/>
          <w:spacing w:val="-13"/>
        </w:rPr>
        <w:t> </w:t>
      </w:r>
      <w:r>
        <w:rPr>
          <w:color w:val="231F20"/>
          <w:spacing w:val="-2"/>
        </w:rPr>
        <w:t>tombée </w:t>
      </w:r>
      <w:r>
        <w:rPr>
          <w:color w:val="231F20"/>
        </w:rPr>
        <w:t>pour des attaques meurtrières contre le Rwanda tout en utilisant les </w:t>
      </w:r>
      <w:r>
        <w:rPr>
          <w:color w:val="231F20"/>
          <w:spacing w:val="-4"/>
        </w:rPr>
        <w:t>réfugiés</w:t>
      </w:r>
      <w:r>
        <w:rPr>
          <w:color w:val="231F20"/>
          <w:spacing w:val="-11"/>
        </w:rPr>
        <w:t> </w:t>
      </w:r>
      <w:r>
        <w:rPr>
          <w:color w:val="231F20"/>
          <w:spacing w:val="-4"/>
        </w:rPr>
        <w:t>civils</w:t>
      </w:r>
      <w:r>
        <w:rPr>
          <w:color w:val="231F20"/>
          <w:spacing w:val="-11"/>
        </w:rPr>
        <w:t> </w:t>
      </w:r>
      <w:r>
        <w:rPr>
          <w:color w:val="231F20"/>
          <w:spacing w:val="-4"/>
        </w:rPr>
        <w:t>comme</w:t>
      </w:r>
      <w:r>
        <w:rPr>
          <w:color w:val="231F20"/>
          <w:spacing w:val="-11"/>
        </w:rPr>
        <w:t> </w:t>
      </w:r>
      <w:r>
        <w:rPr>
          <w:color w:val="231F20"/>
          <w:spacing w:val="-4"/>
        </w:rPr>
        <w:t>otages</w:t>
      </w:r>
      <w:r>
        <w:rPr>
          <w:color w:val="231F20"/>
          <w:spacing w:val="-11"/>
        </w:rPr>
        <w:t> </w:t>
      </w:r>
      <w:r>
        <w:rPr>
          <w:color w:val="231F20"/>
          <w:spacing w:val="-4"/>
        </w:rPr>
        <w:t>et</w:t>
      </w:r>
      <w:r>
        <w:rPr>
          <w:color w:val="231F20"/>
          <w:spacing w:val="-11"/>
        </w:rPr>
        <w:t> </w:t>
      </w:r>
      <w:r>
        <w:rPr>
          <w:color w:val="231F20"/>
          <w:spacing w:val="-4"/>
        </w:rPr>
        <w:t>bouclier</w:t>
      </w:r>
      <w:r>
        <w:rPr>
          <w:color w:val="231F20"/>
          <w:spacing w:val="-11"/>
        </w:rPr>
        <w:t> </w:t>
      </w:r>
      <w:r>
        <w:rPr>
          <w:color w:val="231F20"/>
          <w:spacing w:val="-4"/>
        </w:rPr>
        <w:t>humain</w:t>
      </w:r>
      <w:r>
        <w:rPr>
          <w:color w:val="231F20"/>
          <w:spacing w:val="-11"/>
        </w:rPr>
        <w:t> </w:t>
      </w:r>
      <w:r>
        <w:rPr>
          <w:color w:val="231F20"/>
          <w:spacing w:val="-4"/>
        </w:rPr>
        <w:t>pour</w:t>
      </w:r>
      <w:r>
        <w:rPr>
          <w:color w:val="231F20"/>
          <w:spacing w:val="-11"/>
        </w:rPr>
        <w:t> </w:t>
      </w:r>
      <w:r>
        <w:rPr>
          <w:color w:val="231F20"/>
          <w:spacing w:val="-4"/>
        </w:rPr>
        <w:t>parer</w:t>
      </w:r>
      <w:r>
        <w:rPr>
          <w:color w:val="231F20"/>
          <w:spacing w:val="-11"/>
        </w:rPr>
        <w:t> </w:t>
      </w:r>
      <w:r>
        <w:rPr>
          <w:color w:val="231F20"/>
          <w:spacing w:val="-4"/>
        </w:rPr>
        <w:t>à</w:t>
      </w:r>
      <w:r>
        <w:rPr>
          <w:color w:val="231F20"/>
          <w:spacing w:val="-11"/>
        </w:rPr>
        <w:t> </w:t>
      </w:r>
      <w:r>
        <w:rPr>
          <w:color w:val="231F20"/>
          <w:spacing w:val="-4"/>
        </w:rPr>
        <w:t>toute</w:t>
      </w:r>
      <w:r>
        <w:rPr>
          <w:color w:val="231F20"/>
          <w:spacing w:val="-11"/>
        </w:rPr>
        <w:t> </w:t>
      </w:r>
      <w:r>
        <w:rPr>
          <w:color w:val="231F20"/>
          <w:spacing w:val="-4"/>
        </w:rPr>
        <w:t>contre- </w:t>
      </w:r>
      <w:r>
        <w:rPr>
          <w:color w:val="231F20"/>
        </w:rPr>
        <w:t>attaque du nouveau gouvernement de Kigali. Face à cette situation déstabilisante pour le Rwanda, Paul Kagamé et le président Yoweri Museveni de l’Ouganda qui avait hébergé sa famille suite aux persécutions des Tutsis s’allient à des anti-Mobutu zaïrois dans un </w:t>
      </w:r>
      <w:r>
        <w:rPr>
          <w:color w:val="231F20"/>
          <w:spacing w:val="-4"/>
        </w:rPr>
        <w:t>Mouvement</w:t>
      </w:r>
      <w:r>
        <w:rPr>
          <w:color w:val="231F20"/>
          <w:spacing w:val="-11"/>
        </w:rPr>
        <w:t> </w:t>
      </w:r>
      <w:r>
        <w:rPr>
          <w:color w:val="231F20"/>
          <w:spacing w:val="-4"/>
        </w:rPr>
        <w:t>appelé</w:t>
      </w:r>
      <w:r>
        <w:rPr>
          <w:color w:val="231F20"/>
          <w:spacing w:val="-11"/>
        </w:rPr>
        <w:t> </w:t>
      </w:r>
      <w:r>
        <w:rPr>
          <w:color w:val="231F20"/>
          <w:spacing w:val="-4"/>
        </w:rPr>
        <w:t>Alliance</w:t>
      </w:r>
      <w:r>
        <w:rPr>
          <w:color w:val="231F20"/>
          <w:spacing w:val="-11"/>
        </w:rPr>
        <w:t> </w:t>
      </w:r>
      <w:r>
        <w:rPr>
          <w:color w:val="231F20"/>
          <w:spacing w:val="-4"/>
        </w:rPr>
        <w:t>des</w:t>
      </w:r>
      <w:r>
        <w:rPr>
          <w:color w:val="231F20"/>
          <w:spacing w:val="-11"/>
        </w:rPr>
        <w:t> </w:t>
      </w:r>
      <w:r>
        <w:rPr>
          <w:color w:val="231F20"/>
          <w:spacing w:val="-4"/>
        </w:rPr>
        <w:t>Forces</w:t>
      </w:r>
      <w:r>
        <w:rPr>
          <w:color w:val="231F20"/>
          <w:spacing w:val="-11"/>
        </w:rPr>
        <w:t> </w:t>
      </w:r>
      <w:r>
        <w:rPr>
          <w:color w:val="231F20"/>
          <w:spacing w:val="-4"/>
        </w:rPr>
        <w:t>Démocratiques</w:t>
      </w:r>
      <w:r>
        <w:rPr>
          <w:color w:val="231F20"/>
          <w:spacing w:val="-11"/>
        </w:rPr>
        <w:t> </w:t>
      </w:r>
      <w:r>
        <w:rPr>
          <w:color w:val="231F20"/>
          <w:spacing w:val="-4"/>
        </w:rPr>
        <w:t>pour</w:t>
      </w:r>
      <w:r>
        <w:rPr>
          <w:color w:val="231F20"/>
          <w:spacing w:val="-11"/>
        </w:rPr>
        <w:t> </w:t>
      </w:r>
      <w:r>
        <w:rPr>
          <w:color w:val="231F20"/>
          <w:spacing w:val="-4"/>
        </w:rPr>
        <w:t>la</w:t>
      </w:r>
      <w:r>
        <w:rPr>
          <w:color w:val="231F20"/>
          <w:spacing w:val="-10"/>
        </w:rPr>
        <w:t> </w:t>
      </w:r>
      <w:r>
        <w:rPr>
          <w:color w:val="231F20"/>
          <w:spacing w:val="-4"/>
        </w:rPr>
        <w:t>Libération </w:t>
      </w:r>
      <w:r>
        <w:rPr>
          <w:color w:val="231F20"/>
        </w:rPr>
        <w:t>du Congo(AFDL).</w:t>
      </w:r>
    </w:p>
    <w:p>
      <w:pPr>
        <w:pStyle w:val="BodyText"/>
        <w:spacing w:before="121"/>
        <w:ind w:right="104" w:firstLine="283"/>
      </w:pPr>
      <w:r>
        <w:rPr>
          <w:color w:val="231F20"/>
          <w:spacing w:val="-4"/>
        </w:rPr>
        <w:t>Cette</w:t>
      </w:r>
      <w:r>
        <w:rPr>
          <w:color w:val="231F20"/>
          <w:spacing w:val="-6"/>
        </w:rPr>
        <w:t> </w:t>
      </w:r>
      <w:r>
        <w:rPr>
          <w:color w:val="231F20"/>
          <w:spacing w:val="-4"/>
        </w:rPr>
        <w:t>rébellion armée</w:t>
      </w:r>
      <w:r>
        <w:rPr>
          <w:color w:val="231F20"/>
          <w:spacing w:val="-6"/>
        </w:rPr>
        <w:t> </w:t>
      </w:r>
      <w:r>
        <w:rPr>
          <w:color w:val="231F20"/>
          <w:spacing w:val="-4"/>
        </w:rPr>
        <w:t>vise</w:t>
      </w:r>
      <w:r>
        <w:rPr>
          <w:color w:val="231F20"/>
          <w:spacing w:val="-6"/>
        </w:rPr>
        <w:t> </w:t>
      </w:r>
      <w:r>
        <w:rPr>
          <w:color w:val="231F20"/>
          <w:spacing w:val="-4"/>
        </w:rPr>
        <w:t>officiellement</w:t>
      </w:r>
      <w:r>
        <w:rPr>
          <w:color w:val="231F20"/>
          <w:spacing w:val="-5"/>
        </w:rPr>
        <w:t> </w:t>
      </w:r>
      <w:r>
        <w:rPr>
          <w:color w:val="231F20"/>
          <w:spacing w:val="-4"/>
        </w:rPr>
        <w:t>à renverser Mobutu</w:t>
      </w:r>
      <w:r>
        <w:rPr>
          <w:color w:val="231F20"/>
          <w:spacing w:val="-5"/>
        </w:rPr>
        <w:t> </w:t>
      </w:r>
      <w:r>
        <w:rPr>
          <w:color w:val="231F20"/>
          <w:spacing w:val="-4"/>
        </w:rPr>
        <w:t>mais</w:t>
      </w:r>
      <w:r>
        <w:rPr>
          <w:color w:val="231F20"/>
          <w:spacing w:val="-5"/>
        </w:rPr>
        <w:t> </w:t>
      </w:r>
      <w:r>
        <w:rPr>
          <w:color w:val="231F20"/>
          <w:spacing w:val="-4"/>
        </w:rPr>
        <w:t>sert </w:t>
      </w:r>
      <w:r>
        <w:rPr>
          <w:color w:val="231F20"/>
          <w:spacing w:val="-2"/>
        </w:rPr>
        <w:t>aussi</w:t>
      </w:r>
      <w:r>
        <w:rPr>
          <w:color w:val="231F20"/>
          <w:spacing w:val="-8"/>
        </w:rPr>
        <w:t> </w:t>
      </w:r>
      <w:r>
        <w:rPr>
          <w:color w:val="231F20"/>
          <w:spacing w:val="-2"/>
        </w:rPr>
        <w:t>de</w:t>
      </w:r>
      <w:r>
        <w:rPr>
          <w:color w:val="231F20"/>
          <w:spacing w:val="-8"/>
        </w:rPr>
        <w:t> </w:t>
      </w:r>
      <w:r>
        <w:rPr>
          <w:color w:val="231F20"/>
          <w:spacing w:val="-2"/>
        </w:rPr>
        <w:t>couverture</w:t>
      </w:r>
      <w:r>
        <w:rPr>
          <w:color w:val="231F20"/>
          <w:spacing w:val="-10"/>
        </w:rPr>
        <w:t> </w:t>
      </w:r>
      <w:r>
        <w:rPr>
          <w:color w:val="231F20"/>
          <w:spacing w:val="-2"/>
        </w:rPr>
        <w:t>à</w:t>
      </w:r>
      <w:r>
        <w:rPr>
          <w:color w:val="231F20"/>
          <w:spacing w:val="-10"/>
        </w:rPr>
        <w:t> </w:t>
      </w:r>
      <w:r>
        <w:rPr>
          <w:color w:val="231F20"/>
          <w:spacing w:val="-2"/>
        </w:rPr>
        <w:t>la</w:t>
      </w:r>
      <w:r>
        <w:rPr>
          <w:color w:val="231F20"/>
          <w:spacing w:val="-8"/>
        </w:rPr>
        <w:t> </w:t>
      </w:r>
      <w:r>
        <w:rPr>
          <w:color w:val="231F20"/>
          <w:spacing w:val="-2"/>
        </w:rPr>
        <w:t>pénétration</w:t>
      </w:r>
      <w:r>
        <w:rPr>
          <w:color w:val="231F20"/>
          <w:spacing w:val="-8"/>
        </w:rPr>
        <w:t> </w:t>
      </w:r>
      <w:r>
        <w:rPr>
          <w:color w:val="231F20"/>
          <w:spacing w:val="-2"/>
        </w:rPr>
        <w:t>par</w:t>
      </w:r>
      <w:r>
        <w:rPr>
          <w:color w:val="231F20"/>
          <w:spacing w:val="-10"/>
        </w:rPr>
        <w:t> </w:t>
      </w:r>
      <w:r>
        <w:rPr>
          <w:color w:val="231F20"/>
          <w:spacing w:val="-2"/>
        </w:rPr>
        <w:t>le</w:t>
      </w:r>
      <w:r>
        <w:rPr>
          <w:color w:val="231F20"/>
          <w:spacing w:val="-10"/>
        </w:rPr>
        <w:t> </w:t>
      </w:r>
      <w:r>
        <w:rPr>
          <w:color w:val="231F20"/>
          <w:spacing w:val="-2"/>
        </w:rPr>
        <w:t>Rwanda</w:t>
      </w:r>
      <w:r>
        <w:rPr>
          <w:color w:val="231F20"/>
          <w:spacing w:val="-10"/>
        </w:rPr>
        <w:t> </w:t>
      </w:r>
      <w:r>
        <w:rPr>
          <w:color w:val="231F20"/>
          <w:spacing w:val="-2"/>
        </w:rPr>
        <w:t>et</w:t>
      </w:r>
      <w:r>
        <w:rPr>
          <w:color w:val="231F20"/>
          <w:spacing w:val="-7"/>
        </w:rPr>
        <w:t> </w:t>
      </w:r>
      <w:r>
        <w:rPr>
          <w:color w:val="231F20"/>
          <w:spacing w:val="-2"/>
        </w:rPr>
        <w:t>l’Ouganda</w:t>
      </w:r>
      <w:r>
        <w:rPr>
          <w:color w:val="231F20"/>
          <w:spacing w:val="-11"/>
        </w:rPr>
        <w:t> </w:t>
      </w:r>
      <w:r>
        <w:rPr>
          <w:color w:val="231F20"/>
          <w:spacing w:val="-2"/>
        </w:rPr>
        <w:t>au</w:t>
      </w:r>
      <w:r>
        <w:rPr>
          <w:color w:val="231F20"/>
          <w:spacing w:val="-8"/>
        </w:rPr>
        <w:t> </w:t>
      </w:r>
      <w:r>
        <w:rPr>
          <w:color w:val="231F20"/>
          <w:spacing w:val="-2"/>
        </w:rPr>
        <w:t>Zaïre </w:t>
      </w:r>
      <w:r>
        <w:rPr>
          <w:color w:val="231F20"/>
        </w:rPr>
        <w:t>pour</w:t>
      </w:r>
      <w:r>
        <w:rPr>
          <w:color w:val="231F20"/>
          <w:spacing w:val="-15"/>
        </w:rPr>
        <w:t> </w:t>
      </w:r>
      <w:r>
        <w:rPr>
          <w:color w:val="231F20"/>
        </w:rPr>
        <w:t>traquer</w:t>
      </w:r>
      <w:r>
        <w:rPr>
          <w:color w:val="231F20"/>
          <w:spacing w:val="-15"/>
        </w:rPr>
        <w:t> </w:t>
      </w:r>
      <w:r>
        <w:rPr>
          <w:color w:val="231F20"/>
        </w:rPr>
        <w:t>les</w:t>
      </w:r>
      <w:r>
        <w:rPr>
          <w:color w:val="231F20"/>
          <w:spacing w:val="-15"/>
        </w:rPr>
        <w:t> </w:t>
      </w:r>
      <w:r>
        <w:rPr>
          <w:color w:val="231F20"/>
        </w:rPr>
        <w:t>réfugiés</w:t>
      </w:r>
      <w:r>
        <w:rPr>
          <w:color w:val="231F20"/>
          <w:spacing w:val="-15"/>
        </w:rPr>
        <w:t> </w:t>
      </w:r>
      <w:r>
        <w:rPr>
          <w:color w:val="231F20"/>
        </w:rPr>
        <w:t>Hutus</w:t>
      </w:r>
      <w:r>
        <w:rPr>
          <w:color w:val="231F20"/>
          <w:spacing w:val="-15"/>
        </w:rPr>
        <w:t> </w:t>
      </w:r>
      <w:r>
        <w:rPr>
          <w:color w:val="231F20"/>
        </w:rPr>
        <w:t>et</w:t>
      </w:r>
      <w:r>
        <w:rPr>
          <w:color w:val="231F20"/>
          <w:spacing w:val="-15"/>
        </w:rPr>
        <w:t> </w:t>
      </w:r>
      <w:r>
        <w:rPr>
          <w:color w:val="231F20"/>
        </w:rPr>
        <w:t>aussi,</w:t>
      </w:r>
      <w:r>
        <w:rPr>
          <w:color w:val="231F20"/>
          <w:spacing w:val="-15"/>
        </w:rPr>
        <w:t> </w:t>
      </w:r>
      <w:r>
        <w:rPr>
          <w:color w:val="231F20"/>
        </w:rPr>
        <w:t>accéder</w:t>
      </w:r>
      <w:r>
        <w:rPr>
          <w:color w:val="231F20"/>
          <w:spacing w:val="-15"/>
        </w:rPr>
        <w:t> </w:t>
      </w:r>
      <w:r>
        <w:rPr>
          <w:color w:val="231F20"/>
        </w:rPr>
        <w:t>aux</w:t>
      </w:r>
      <w:r>
        <w:rPr>
          <w:color w:val="231F20"/>
          <w:spacing w:val="-15"/>
        </w:rPr>
        <w:t> </w:t>
      </w:r>
      <w:r>
        <w:rPr>
          <w:color w:val="231F20"/>
        </w:rPr>
        <w:t>immenses</w:t>
      </w:r>
      <w:r>
        <w:rPr>
          <w:color w:val="231F20"/>
          <w:spacing w:val="-15"/>
        </w:rPr>
        <w:t> </w:t>
      </w:r>
      <w:r>
        <w:rPr>
          <w:color w:val="231F20"/>
        </w:rPr>
        <w:t>richesses du sous-sol congolais. Laurent-Désiré Kabila est porté à la tête de </w:t>
      </w:r>
      <w:r>
        <w:rPr>
          <w:color w:val="231F20"/>
          <w:spacing w:val="-4"/>
        </w:rPr>
        <w:t>l’AFDL.</w:t>
      </w:r>
      <w:r>
        <w:rPr>
          <w:color w:val="231F20"/>
          <w:spacing w:val="-9"/>
        </w:rPr>
        <w:t> </w:t>
      </w:r>
      <w:r>
        <w:rPr>
          <w:color w:val="231F20"/>
          <w:spacing w:val="-4"/>
        </w:rPr>
        <w:t>C’est</w:t>
      </w:r>
      <w:r>
        <w:rPr>
          <w:color w:val="231F20"/>
          <w:spacing w:val="-9"/>
        </w:rPr>
        <w:t> </w:t>
      </w:r>
      <w:r>
        <w:rPr>
          <w:color w:val="231F20"/>
          <w:spacing w:val="-4"/>
        </w:rPr>
        <w:t>un</w:t>
      </w:r>
      <w:r>
        <w:rPr>
          <w:color w:val="231F20"/>
          <w:spacing w:val="-9"/>
        </w:rPr>
        <w:t> </w:t>
      </w:r>
      <w:r>
        <w:rPr>
          <w:color w:val="231F20"/>
          <w:spacing w:val="-4"/>
        </w:rPr>
        <w:t>ancien</w:t>
      </w:r>
      <w:r>
        <w:rPr>
          <w:color w:val="231F20"/>
          <w:spacing w:val="-11"/>
        </w:rPr>
        <w:t> </w:t>
      </w:r>
      <w:r>
        <w:rPr>
          <w:color w:val="231F20"/>
          <w:spacing w:val="-4"/>
        </w:rPr>
        <w:t>marxiste</w:t>
      </w:r>
      <w:r>
        <w:rPr>
          <w:color w:val="231F20"/>
          <w:spacing w:val="-9"/>
        </w:rPr>
        <w:t> </w:t>
      </w:r>
      <w:r>
        <w:rPr>
          <w:color w:val="231F20"/>
          <w:spacing w:val="-4"/>
        </w:rPr>
        <w:t>maquisard</w:t>
      </w:r>
      <w:r>
        <w:rPr>
          <w:color w:val="231F20"/>
          <w:spacing w:val="-9"/>
        </w:rPr>
        <w:t> </w:t>
      </w:r>
      <w:r>
        <w:rPr>
          <w:color w:val="231F20"/>
          <w:spacing w:val="-4"/>
        </w:rPr>
        <w:t>congolais</w:t>
      </w:r>
      <w:r>
        <w:rPr>
          <w:color w:val="231F20"/>
          <w:spacing w:val="-9"/>
        </w:rPr>
        <w:t> </w:t>
      </w:r>
      <w:r>
        <w:rPr>
          <w:color w:val="231F20"/>
          <w:spacing w:val="-4"/>
        </w:rPr>
        <w:t>natif</w:t>
      </w:r>
      <w:r>
        <w:rPr>
          <w:color w:val="231F20"/>
          <w:spacing w:val="-11"/>
        </w:rPr>
        <w:t> </w:t>
      </w:r>
      <w:r>
        <w:rPr>
          <w:color w:val="231F20"/>
          <w:spacing w:val="-4"/>
        </w:rPr>
        <w:t>du</w:t>
      </w:r>
      <w:r>
        <w:rPr>
          <w:color w:val="231F20"/>
          <w:spacing w:val="-9"/>
        </w:rPr>
        <w:t> </w:t>
      </w:r>
      <w:r>
        <w:rPr>
          <w:color w:val="231F20"/>
          <w:spacing w:val="-4"/>
        </w:rPr>
        <w:t>Katanga</w:t>
      </w:r>
      <w:r>
        <w:rPr>
          <w:color w:val="231F20"/>
        </w:rPr>
        <w:t> </w:t>
      </w:r>
      <w:r>
        <w:rPr>
          <w:color w:val="231F20"/>
          <w:spacing w:val="-4"/>
        </w:rPr>
        <w:t>; il avait</w:t>
      </w:r>
      <w:r>
        <w:rPr>
          <w:color w:val="231F20"/>
          <w:spacing w:val="-7"/>
        </w:rPr>
        <w:t> </w:t>
      </w:r>
      <w:r>
        <w:rPr>
          <w:color w:val="231F20"/>
          <w:spacing w:val="-4"/>
        </w:rPr>
        <w:t>milité pour l’indépendance du</w:t>
      </w:r>
      <w:r>
        <w:rPr>
          <w:color w:val="231F20"/>
          <w:spacing w:val="-7"/>
        </w:rPr>
        <w:t> </w:t>
      </w:r>
      <w:r>
        <w:rPr>
          <w:color w:val="231F20"/>
          <w:spacing w:val="-4"/>
        </w:rPr>
        <w:t>Congo belge.</w:t>
      </w:r>
      <w:r>
        <w:rPr>
          <w:color w:val="231F20"/>
          <w:spacing w:val="-7"/>
        </w:rPr>
        <w:t> </w:t>
      </w:r>
      <w:r>
        <w:rPr>
          <w:color w:val="231F20"/>
          <w:spacing w:val="-4"/>
        </w:rPr>
        <w:t>Après la</w:t>
      </w:r>
      <w:r>
        <w:rPr>
          <w:color w:val="231F20"/>
          <w:spacing w:val="-7"/>
        </w:rPr>
        <w:t> </w:t>
      </w:r>
      <w:r>
        <w:rPr>
          <w:color w:val="231F20"/>
          <w:spacing w:val="-4"/>
        </w:rPr>
        <w:t>guerre</w:t>
      </w:r>
      <w:r>
        <w:rPr>
          <w:color w:val="231F20"/>
          <w:spacing w:val="-5"/>
        </w:rPr>
        <w:t> </w:t>
      </w:r>
      <w:r>
        <w:rPr>
          <w:color w:val="231F20"/>
          <w:spacing w:val="-4"/>
        </w:rPr>
        <w:t>civile de</w:t>
      </w:r>
      <w:r>
        <w:rPr>
          <w:color w:val="231F20"/>
          <w:spacing w:val="-9"/>
        </w:rPr>
        <w:t> </w:t>
      </w:r>
      <w:r>
        <w:rPr>
          <w:color w:val="231F20"/>
          <w:spacing w:val="-4"/>
        </w:rPr>
        <w:t>1960-1965,</w:t>
      </w:r>
      <w:r>
        <w:rPr>
          <w:color w:val="231F20"/>
          <w:spacing w:val="-11"/>
        </w:rPr>
        <w:t> </w:t>
      </w:r>
      <w:r>
        <w:rPr>
          <w:color w:val="231F20"/>
          <w:spacing w:val="-4"/>
        </w:rPr>
        <w:t>il</w:t>
      </w:r>
      <w:r>
        <w:rPr>
          <w:color w:val="231F20"/>
          <w:spacing w:val="-9"/>
        </w:rPr>
        <w:t> </w:t>
      </w:r>
      <w:r>
        <w:rPr>
          <w:color w:val="231F20"/>
          <w:spacing w:val="-4"/>
        </w:rPr>
        <w:t>avait</w:t>
      </w:r>
      <w:r>
        <w:rPr>
          <w:color w:val="231F20"/>
          <w:spacing w:val="-9"/>
        </w:rPr>
        <w:t> </w:t>
      </w:r>
      <w:r>
        <w:rPr>
          <w:color w:val="231F20"/>
          <w:spacing w:val="-4"/>
        </w:rPr>
        <w:t>fui</w:t>
      </w:r>
      <w:r>
        <w:rPr>
          <w:color w:val="231F20"/>
          <w:spacing w:val="-11"/>
        </w:rPr>
        <w:t> </w:t>
      </w:r>
      <w:r>
        <w:rPr>
          <w:color w:val="231F20"/>
          <w:spacing w:val="-4"/>
        </w:rPr>
        <w:t>en</w:t>
      </w:r>
      <w:r>
        <w:rPr>
          <w:color w:val="231F20"/>
          <w:spacing w:val="-9"/>
        </w:rPr>
        <w:t> </w:t>
      </w:r>
      <w:r>
        <w:rPr>
          <w:color w:val="231F20"/>
          <w:spacing w:val="-4"/>
        </w:rPr>
        <w:t>Tanzanie</w:t>
      </w:r>
      <w:r>
        <w:rPr>
          <w:color w:val="231F20"/>
          <w:spacing w:val="-9"/>
        </w:rPr>
        <w:t> </w:t>
      </w:r>
      <w:r>
        <w:rPr>
          <w:color w:val="231F20"/>
          <w:spacing w:val="-4"/>
        </w:rPr>
        <w:t>où</w:t>
      </w:r>
      <w:r>
        <w:rPr>
          <w:color w:val="231F20"/>
          <w:spacing w:val="-11"/>
        </w:rPr>
        <w:t> </w:t>
      </w:r>
      <w:r>
        <w:rPr>
          <w:color w:val="231F20"/>
          <w:spacing w:val="-4"/>
        </w:rPr>
        <w:t>il</w:t>
      </w:r>
      <w:r>
        <w:rPr>
          <w:color w:val="231F20"/>
          <w:spacing w:val="-9"/>
        </w:rPr>
        <w:t> </w:t>
      </w:r>
      <w:r>
        <w:rPr>
          <w:color w:val="231F20"/>
          <w:spacing w:val="-4"/>
        </w:rPr>
        <w:t>s’est</w:t>
      </w:r>
      <w:r>
        <w:rPr>
          <w:color w:val="231F20"/>
          <w:spacing w:val="-9"/>
        </w:rPr>
        <w:t> </w:t>
      </w:r>
      <w:r>
        <w:rPr>
          <w:color w:val="231F20"/>
          <w:spacing w:val="-4"/>
        </w:rPr>
        <w:t>illustré</w:t>
      </w:r>
      <w:r>
        <w:rPr>
          <w:color w:val="231F20"/>
          <w:spacing w:val="-9"/>
        </w:rPr>
        <w:t> </w:t>
      </w:r>
      <w:r>
        <w:rPr>
          <w:color w:val="231F20"/>
          <w:spacing w:val="-4"/>
        </w:rPr>
        <w:t>comme</w:t>
      </w:r>
      <w:r>
        <w:rPr>
          <w:color w:val="231F20"/>
          <w:spacing w:val="-9"/>
        </w:rPr>
        <w:t> </w:t>
      </w:r>
      <w:r>
        <w:rPr>
          <w:color w:val="231F20"/>
          <w:spacing w:val="-4"/>
        </w:rPr>
        <w:t>trafiquant </w:t>
      </w:r>
      <w:r>
        <w:rPr>
          <w:color w:val="231F20"/>
        </w:rPr>
        <w:t>d’ivoire et d’or. L’AFDL reçoit le financement de lobbys miniers américains et canadiens.</w:t>
      </w:r>
    </w:p>
    <w:p>
      <w:pPr>
        <w:pStyle w:val="BodyText"/>
        <w:spacing w:before="121"/>
        <w:ind w:right="104" w:firstLine="283"/>
      </w:pPr>
      <w:r>
        <w:rPr>
          <w:color w:val="231F20"/>
        </w:rPr>
        <w:t>De nombreux soldats de l’armée zaïroise, peu ou pas payés par le régime Mobutu, excédés par le train de vie des officiers, plus hommes </w:t>
      </w:r>
      <w:r>
        <w:rPr>
          <w:color w:val="231F20"/>
          <w:spacing w:val="-2"/>
        </w:rPr>
        <w:t>d’affaires</w:t>
      </w:r>
      <w:r>
        <w:rPr>
          <w:color w:val="231F20"/>
          <w:spacing w:val="-10"/>
        </w:rPr>
        <w:t> </w:t>
      </w:r>
      <w:r>
        <w:rPr>
          <w:color w:val="231F20"/>
          <w:spacing w:val="-2"/>
        </w:rPr>
        <w:t>que</w:t>
      </w:r>
      <w:r>
        <w:rPr>
          <w:color w:val="231F20"/>
          <w:spacing w:val="-9"/>
        </w:rPr>
        <w:t> </w:t>
      </w:r>
      <w:r>
        <w:rPr>
          <w:color w:val="231F20"/>
          <w:spacing w:val="-2"/>
        </w:rPr>
        <w:t>militaires,</w:t>
      </w:r>
      <w:r>
        <w:rPr>
          <w:color w:val="231F20"/>
          <w:spacing w:val="-10"/>
        </w:rPr>
        <w:t> </w:t>
      </w:r>
      <w:r>
        <w:rPr>
          <w:color w:val="231F20"/>
          <w:spacing w:val="-2"/>
        </w:rPr>
        <w:t>rejoignent</w:t>
      </w:r>
      <w:r>
        <w:rPr>
          <w:color w:val="231F20"/>
          <w:spacing w:val="-9"/>
        </w:rPr>
        <w:t> </w:t>
      </w:r>
      <w:r>
        <w:rPr>
          <w:color w:val="231F20"/>
          <w:spacing w:val="-2"/>
        </w:rPr>
        <w:t>les</w:t>
      </w:r>
      <w:r>
        <w:rPr>
          <w:color w:val="231F20"/>
          <w:spacing w:val="-9"/>
        </w:rPr>
        <w:t> </w:t>
      </w:r>
      <w:r>
        <w:rPr>
          <w:color w:val="231F20"/>
          <w:spacing w:val="-2"/>
        </w:rPr>
        <w:t>troupes</w:t>
      </w:r>
      <w:r>
        <w:rPr>
          <w:color w:val="231F20"/>
          <w:spacing w:val="-9"/>
        </w:rPr>
        <w:t> </w:t>
      </w:r>
      <w:r>
        <w:rPr>
          <w:color w:val="231F20"/>
          <w:spacing w:val="-2"/>
        </w:rPr>
        <w:t>de</w:t>
      </w:r>
      <w:r>
        <w:rPr>
          <w:color w:val="231F20"/>
          <w:spacing w:val="-9"/>
        </w:rPr>
        <w:t> </w:t>
      </w:r>
      <w:r>
        <w:rPr>
          <w:color w:val="231F20"/>
          <w:spacing w:val="-2"/>
        </w:rPr>
        <w:t>Laurent-Désiré</w:t>
      </w:r>
      <w:r>
        <w:rPr>
          <w:color w:val="231F20"/>
          <w:spacing w:val="-9"/>
        </w:rPr>
        <w:t> </w:t>
      </w:r>
      <w:r>
        <w:rPr>
          <w:color w:val="231F20"/>
          <w:spacing w:val="-2"/>
        </w:rPr>
        <w:t>Kabila </w:t>
      </w:r>
      <w:r>
        <w:rPr>
          <w:color w:val="231F20"/>
        </w:rPr>
        <w:t>au</w:t>
      </w:r>
      <w:r>
        <w:rPr>
          <w:color w:val="231F20"/>
          <w:spacing w:val="-12"/>
        </w:rPr>
        <w:t> </w:t>
      </w:r>
      <w:r>
        <w:rPr>
          <w:color w:val="231F20"/>
        </w:rPr>
        <w:t>cours</w:t>
      </w:r>
      <w:r>
        <w:rPr>
          <w:color w:val="231F20"/>
          <w:spacing w:val="-12"/>
        </w:rPr>
        <w:t> </w:t>
      </w:r>
      <w:r>
        <w:rPr>
          <w:color w:val="231F20"/>
        </w:rPr>
        <w:t>de</w:t>
      </w:r>
      <w:r>
        <w:rPr>
          <w:color w:val="231F20"/>
          <w:spacing w:val="-12"/>
        </w:rPr>
        <w:t> </w:t>
      </w:r>
      <w:r>
        <w:rPr>
          <w:color w:val="231F20"/>
        </w:rPr>
        <w:t>leur</w:t>
      </w:r>
      <w:r>
        <w:rPr>
          <w:color w:val="231F20"/>
          <w:spacing w:val="-14"/>
        </w:rPr>
        <w:t> </w:t>
      </w:r>
      <w:r>
        <w:rPr>
          <w:color w:val="231F20"/>
        </w:rPr>
        <w:t>marche</w:t>
      </w:r>
      <w:r>
        <w:rPr>
          <w:color w:val="231F20"/>
          <w:spacing w:val="-12"/>
        </w:rPr>
        <w:t> </w:t>
      </w:r>
      <w:r>
        <w:rPr>
          <w:color w:val="231F20"/>
        </w:rPr>
        <w:t>des</w:t>
      </w:r>
      <w:r>
        <w:rPr>
          <w:color w:val="231F20"/>
          <w:spacing w:val="-12"/>
        </w:rPr>
        <w:t> </w:t>
      </w:r>
      <w:r>
        <w:rPr>
          <w:color w:val="231F20"/>
        </w:rPr>
        <w:t>frontières</w:t>
      </w:r>
      <w:r>
        <w:rPr>
          <w:color w:val="231F20"/>
          <w:spacing w:val="-14"/>
        </w:rPr>
        <w:t> </w:t>
      </w:r>
      <w:r>
        <w:rPr>
          <w:color w:val="231F20"/>
        </w:rPr>
        <w:t>orientales</w:t>
      </w:r>
      <w:r>
        <w:rPr>
          <w:color w:val="231F20"/>
          <w:spacing w:val="-12"/>
        </w:rPr>
        <w:t> </w:t>
      </w:r>
      <w:r>
        <w:rPr>
          <w:color w:val="231F20"/>
        </w:rPr>
        <w:t>du</w:t>
      </w:r>
      <w:r>
        <w:rPr>
          <w:color w:val="231F20"/>
          <w:spacing w:val="-13"/>
        </w:rPr>
        <w:t> </w:t>
      </w:r>
      <w:r>
        <w:rPr>
          <w:color w:val="231F20"/>
        </w:rPr>
        <w:t>pays</w:t>
      </w:r>
      <w:r>
        <w:rPr>
          <w:color w:val="231F20"/>
          <w:spacing w:val="-12"/>
        </w:rPr>
        <w:t> </w:t>
      </w:r>
      <w:r>
        <w:rPr>
          <w:color w:val="231F20"/>
        </w:rPr>
        <w:t>vers</w:t>
      </w:r>
      <w:r>
        <w:rPr>
          <w:color w:val="231F20"/>
          <w:spacing w:val="-12"/>
        </w:rPr>
        <w:t> </w:t>
      </w:r>
      <w:r>
        <w:rPr>
          <w:color w:val="231F20"/>
        </w:rPr>
        <w:t>Kinshasa, la</w:t>
      </w:r>
      <w:r>
        <w:rPr>
          <w:color w:val="231F20"/>
          <w:spacing w:val="-11"/>
        </w:rPr>
        <w:t> </w:t>
      </w:r>
      <w:r>
        <w:rPr>
          <w:color w:val="231F20"/>
        </w:rPr>
        <w:t>capitale.</w:t>
      </w:r>
      <w:r>
        <w:rPr>
          <w:color w:val="231F20"/>
          <w:spacing w:val="-13"/>
        </w:rPr>
        <w:t> </w:t>
      </w:r>
      <w:r>
        <w:rPr>
          <w:color w:val="231F20"/>
        </w:rPr>
        <w:t>Le</w:t>
      </w:r>
      <w:r>
        <w:rPr>
          <w:color w:val="231F20"/>
          <w:spacing w:val="-11"/>
        </w:rPr>
        <w:t> </w:t>
      </w:r>
      <w:r>
        <w:rPr>
          <w:color w:val="231F20"/>
        </w:rPr>
        <w:t>17</w:t>
      </w:r>
      <w:r>
        <w:rPr>
          <w:color w:val="231F20"/>
          <w:spacing w:val="-13"/>
        </w:rPr>
        <w:t> </w:t>
      </w:r>
      <w:r>
        <w:rPr>
          <w:color w:val="231F20"/>
        </w:rPr>
        <w:t>mai</w:t>
      </w:r>
      <w:r>
        <w:rPr>
          <w:color w:val="231F20"/>
          <w:spacing w:val="-10"/>
        </w:rPr>
        <w:t> </w:t>
      </w:r>
      <w:r>
        <w:rPr>
          <w:color w:val="231F20"/>
        </w:rPr>
        <w:t>1997,</w:t>
      </w:r>
      <w:r>
        <w:rPr>
          <w:color w:val="231F20"/>
          <w:spacing w:val="-13"/>
        </w:rPr>
        <w:t> </w:t>
      </w:r>
      <w:r>
        <w:rPr>
          <w:color w:val="231F20"/>
        </w:rPr>
        <w:t>l’armée</w:t>
      </w:r>
      <w:r>
        <w:rPr>
          <w:color w:val="231F20"/>
          <w:spacing w:val="-11"/>
        </w:rPr>
        <w:t> </w:t>
      </w:r>
      <w:r>
        <w:rPr>
          <w:color w:val="231F20"/>
        </w:rPr>
        <w:t>de</w:t>
      </w:r>
      <w:r>
        <w:rPr>
          <w:color w:val="231F20"/>
          <w:spacing w:val="-11"/>
        </w:rPr>
        <w:t> </w:t>
      </w:r>
      <w:r>
        <w:rPr>
          <w:color w:val="231F20"/>
        </w:rPr>
        <w:t>Kabila</w:t>
      </w:r>
      <w:r>
        <w:rPr>
          <w:color w:val="231F20"/>
          <w:spacing w:val="-11"/>
        </w:rPr>
        <w:t> </w:t>
      </w:r>
      <w:r>
        <w:rPr>
          <w:color w:val="231F20"/>
        </w:rPr>
        <w:t>entre</w:t>
      </w:r>
      <w:r>
        <w:rPr>
          <w:color w:val="231F20"/>
          <w:spacing w:val="-11"/>
        </w:rPr>
        <w:t> </w:t>
      </w:r>
      <w:r>
        <w:rPr>
          <w:color w:val="231F20"/>
        </w:rPr>
        <w:t>dans</w:t>
      </w:r>
      <w:r>
        <w:rPr>
          <w:color w:val="231F20"/>
          <w:spacing w:val="-8"/>
        </w:rPr>
        <w:t> </w:t>
      </w:r>
      <w:r>
        <w:rPr>
          <w:color w:val="231F20"/>
        </w:rPr>
        <w:t>Kinshasa</w:t>
      </w:r>
      <w:r>
        <w:rPr>
          <w:color w:val="231F20"/>
          <w:spacing w:val="-11"/>
        </w:rPr>
        <w:t> </w:t>
      </w:r>
      <w:r>
        <w:rPr>
          <w:color w:val="231F20"/>
        </w:rPr>
        <w:t>sans rencontrer de résistance.</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8"/>
        <w:ind w:left="0"/>
        <w:jc w:val="left"/>
        <w:rPr>
          <w:sz w:val="20"/>
        </w:rPr>
      </w:pPr>
      <w:r>
        <w:rPr/>
        <mc:AlternateContent>
          <mc:Choice Requires="wps">
            <w:drawing>
              <wp:anchor distT="0" distB="0" distL="0" distR="0" allowOverlap="1" layoutInCell="1" locked="0" behindDoc="1" simplePos="0" relativeHeight="487602688">
                <wp:simplePos x="0" y="0"/>
                <wp:positionH relativeFrom="page">
                  <wp:posOffset>629907</wp:posOffset>
                </wp:positionH>
                <wp:positionV relativeFrom="paragraph">
                  <wp:posOffset>166579</wp:posOffset>
                </wp:positionV>
                <wp:extent cx="1829435" cy="9525"/>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116467pt;width:144.020pt;height:.71994pt;mso-position-horizontal-relative:page;mso-position-vertical-relative:paragraph;z-index:-15713792;mso-wrap-distance-left:0;mso-wrap-distance-right:0" id="docshape42" filled="true" fillcolor="#231f20" stroked="false">
                <v:fill type="solid"/>
                <w10:wrap type="topAndBottom"/>
              </v:rect>
            </w:pict>
          </mc:Fallback>
        </mc:AlternateContent>
      </w:r>
    </w:p>
    <w:p>
      <w:pPr>
        <w:spacing w:before="91"/>
        <w:ind w:left="111" w:right="105" w:firstLine="0"/>
        <w:jc w:val="both"/>
        <w:rPr>
          <w:sz w:val="20"/>
        </w:rPr>
      </w:pPr>
      <w:r>
        <w:rPr>
          <w:color w:val="76787A"/>
          <w:sz w:val="20"/>
          <w:vertAlign w:val="superscript"/>
        </w:rPr>
        <w:t>46</w:t>
      </w:r>
      <w:r>
        <w:rPr>
          <w:color w:val="76787A"/>
          <w:spacing w:val="55"/>
          <w:sz w:val="20"/>
          <w:vertAlign w:val="baseline"/>
        </w:rPr>
        <w:t> </w:t>
      </w:r>
      <w:r>
        <w:rPr>
          <w:color w:val="231F20"/>
          <w:sz w:val="20"/>
          <w:vertAlign w:val="baseline"/>
        </w:rPr>
        <w:t>Importante</w:t>
      </w:r>
      <w:r>
        <w:rPr>
          <w:color w:val="231F20"/>
          <w:spacing w:val="72"/>
          <w:sz w:val="20"/>
          <w:vertAlign w:val="baseline"/>
        </w:rPr>
        <w:t> </w:t>
      </w:r>
      <w:r>
        <w:rPr>
          <w:color w:val="231F20"/>
          <w:sz w:val="20"/>
          <w:vertAlign w:val="baseline"/>
        </w:rPr>
        <w:t>intervention</w:t>
      </w:r>
      <w:r>
        <w:rPr>
          <w:color w:val="231F20"/>
          <w:spacing w:val="71"/>
          <w:sz w:val="20"/>
          <w:vertAlign w:val="baseline"/>
        </w:rPr>
        <w:t> </w:t>
      </w:r>
      <w:r>
        <w:rPr>
          <w:color w:val="231F20"/>
          <w:sz w:val="20"/>
          <w:vertAlign w:val="baseline"/>
        </w:rPr>
        <w:t>militaire</w:t>
      </w:r>
      <w:r>
        <w:rPr>
          <w:color w:val="231F20"/>
          <w:spacing w:val="70"/>
          <w:sz w:val="20"/>
          <w:vertAlign w:val="baseline"/>
        </w:rPr>
        <w:t> </w:t>
      </w:r>
      <w:r>
        <w:rPr>
          <w:color w:val="231F20"/>
          <w:sz w:val="20"/>
          <w:vertAlign w:val="baseline"/>
        </w:rPr>
        <w:t>française</w:t>
      </w:r>
      <w:r>
        <w:rPr>
          <w:color w:val="231F20"/>
          <w:spacing w:val="70"/>
          <w:sz w:val="20"/>
          <w:vertAlign w:val="baseline"/>
        </w:rPr>
        <w:t> </w:t>
      </w:r>
      <w:r>
        <w:rPr>
          <w:color w:val="231F20"/>
          <w:sz w:val="20"/>
          <w:vertAlign w:val="baseline"/>
        </w:rPr>
        <w:t>avec</w:t>
      </w:r>
      <w:r>
        <w:rPr>
          <w:color w:val="231F20"/>
          <w:spacing w:val="72"/>
          <w:sz w:val="20"/>
          <w:vertAlign w:val="baseline"/>
        </w:rPr>
        <w:t> </w:t>
      </w:r>
      <w:r>
        <w:rPr>
          <w:color w:val="231F20"/>
          <w:sz w:val="20"/>
          <w:vertAlign w:val="baseline"/>
        </w:rPr>
        <w:t>le</w:t>
      </w:r>
      <w:r>
        <w:rPr>
          <w:color w:val="231F20"/>
          <w:spacing w:val="70"/>
          <w:sz w:val="20"/>
          <w:vertAlign w:val="baseline"/>
        </w:rPr>
        <w:t> </w:t>
      </w:r>
      <w:r>
        <w:rPr>
          <w:color w:val="231F20"/>
          <w:sz w:val="20"/>
          <w:vertAlign w:val="baseline"/>
        </w:rPr>
        <w:t>déploiement</w:t>
      </w:r>
      <w:r>
        <w:rPr>
          <w:color w:val="231F20"/>
          <w:spacing w:val="68"/>
          <w:sz w:val="20"/>
          <w:vertAlign w:val="baseline"/>
        </w:rPr>
        <w:t> </w:t>
      </w:r>
      <w:r>
        <w:rPr>
          <w:color w:val="231F20"/>
          <w:sz w:val="20"/>
          <w:vertAlign w:val="baseline"/>
        </w:rPr>
        <w:t>de</w:t>
      </w:r>
      <w:r>
        <w:rPr>
          <w:color w:val="231F20"/>
          <w:spacing w:val="70"/>
          <w:sz w:val="20"/>
          <w:vertAlign w:val="baseline"/>
        </w:rPr>
        <w:t> </w:t>
      </w:r>
      <w:r>
        <w:rPr>
          <w:color w:val="231F20"/>
          <w:sz w:val="20"/>
          <w:vertAlign w:val="baseline"/>
        </w:rPr>
        <w:t>plus</w:t>
      </w:r>
      <w:r>
        <w:rPr>
          <w:color w:val="231F20"/>
          <w:spacing w:val="69"/>
          <w:sz w:val="20"/>
          <w:vertAlign w:val="baseline"/>
        </w:rPr>
        <w:t> </w:t>
      </w:r>
      <w:r>
        <w:rPr>
          <w:color w:val="231F20"/>
          <w:sz w:val="20"/>
          <w:vertAlign w:val="baseline"/>
        </w:rPr>
        <w:t>de </w:t>
      </w:r>
      <w:r>
        <w:rPr>
          <w:color w:val="231F20"/>
          <w:spacing w:val="-4"/>
          <w:sz w:val="20"/>
          <w:vertAlign w:val="baseline"/>
        </w:rPr>
        <w:t>2</w:t>
      </w:r>
      <w:r>
        <w:rPr>
          <w:color w:val="231F20"/>
          <w:sz w:val="20"/>
          <w:vertAlign w:val="baseline"/>
        </w:rPr>
        <w:t> </w:t>
      </w:r>
      <w:r>
        <w:rPr>
          <w:color w:val="231F20"/>
          <w:spacing w:val="-4"/>
          <w:sz w:val="20"/>
          <w:vertAlign w:val="baseline"/>
        </w:rPr>
        <w:t>500</w:t>
      </w:r>
      <w:r>
        <w:rPr>
          <w:color w:val="231F20"/>
          <w:sz w:val="20"/>
          <w:vertAlign w:val="baseline"/>
        </w:rPr>
        <w:t> </w:t>
      </w:r>
      <w:r>
        <w:rPr>
          <w:color w:val="231F20"/>
          <w:spacing w:val="-4"/>
          <w:sz w:val="20"/>
          <w:vertAlign w:val="baseline"/>
        </w:rPr>
        <w:t>hommes.</w:t>
      </w:r>
      <w:r>
        <w:rPr>
          <w:color w:val="231F20"/>
          <w:spacing w:val="-5"/>
          <w:sz w:val="20"/>
          <w:vertAlign w:val="baseline"/>
        </w:rPr>
        <w:t> </w:t>
      </w:r>
      <w:r>
        <w:rPr>
          <w:color w:val="231F20"/>
          <w:spacing w:val="-4"/>
          <w:sz w:val="20"/>
          <w:vertAlign w:val="baseline"/>
        </w:rPr>
        <w:t>Présentée</w:t>
      </w:r>
      <w:r>
        <w:rPr>
          <w:color w:val="231F20"/>
          <w:spacing w:val="-6"/>
          <w:sz w:val="20"/>
          <w:vertAlign w:val="baseline"/>
        </w:rPr>
        <w:t> </w:t>
      </w:r>
      <w:r>
        <w:rPr>
          <w:color w:val="231F20"/>
          <w:spacing w:val="-4"/>
          <w:sz w:val="20"/>
          <w:vertAlign w:val="baseline"/>
        </w:rPr>
        <w:t>par</w:t>
      </w:r>
      <w:r>
        <w:rPr>
          <w:color w:val="231F20"/>
          <w:spacing w:val="-5"/>
          <w:sz w:val="20"/>
          <w:vertAlign w:val="baseline"/>
        </w:rPr>
        <w:t> </w:t>
      </w:r>
      <w:r>
        <w:rPr>
          <w:color w:val="231F20"/>
          <w:spacing w:val="-4"/>
          <w:sz w:val="20"/>
          <w:vertAlign w:val="baseline"/>
        </w:rPr>
        <w:t>la</w:t>
      </w:r>
      <w:r>
        <w:rPr>
          <w:color w:val="231F20"/>
          <w:spacing w:val="-8"/>
          <w:sz w:val="20"/>
          <w:vertAlign w:val="baseline"/>
        </w:rPr>
        <w:t> </w:t>
      </w:r>
      <w:r>
        <w:rPr>
          <w:color w:val="231F20"/>
          <w:spacing w:val="-4"/>
          <w:sz w:val="20"/>
          <w:vertAlign w:val="baseline"/>
        </w:rPr>
        <w:t>France</w:t>
      </w:r>
      <w:r>
        <w:rPr>
          <w:color w:val="231F20"/>
          <w:spacing w:val="-5"/>
          <w:sz w:val="20"/>
          <w:vertAlign w:val="baseline"/>
        </w:rPr>
        <w:t> </w:t>
      </w:r>
      <w:r>
        <w:rPr>
          <w:color w:val="231F20"/>
          <w:spacing w:val="-4"/>
          <w:sz w:val="20"/>
          <w:vertAlign w:val="baseline"/>
        </w:rPr>
        <w:t>comme</w:t>
      </w:r>
      <w:r>
        <w:rPr>
          <w:color w:val="231F20"/>
          <w:spacing w:val="-8"/>
          <w:sz w:val="20"/>
          <w:vertAlign w:val="baseline"/>
        </w:rPr>
        <w:t> </w:t>
      </w:r>
      <w:r>
        <w:rPr>
          <w:color w:val="231F20"/>
          <w:spacing w:val="-4"/>
          <w:sz w:val="20"/>
          <w:vertAlign w:val="baseline"/>
        </w:rPr>
        <w:t>une</w:t>
      </w:r>
      <w:r>
        <w:rPr>
          <w:color w:val="231F20"/>
          <w:spacing w:val="-8"/>
          <w:sz w:val="20"/>
          <w:vertAlign w:val="baseline"/>
        </w:rPr>
        <w:t> </w:t>
      </w:r>
      <w:r>
        <w:rPr>
          <w:color w:val="231F20"/>
          <w:spacing w:val="-4"/>
          <w:sz w:val="20"/>
          <w:vertAlign w:val="baseline"/>
        </w:rPr>
        <w:t>intervention</w:t>
      </w:r>
      <w:r>
        <w:rPr>
          <w:color w:val="231F20"/>
          <w:spacing w:val="-5"/>
          <w:sz w:val="20"/>
          <w:vertAlign w:val="baseline"/>
        </w:rPr>
        <w:t> </w:t>
      </w:r>
      <w:r>
        <w:rPr>
          <w:color w:val="231F20"/>
          <w:spacing w:val="-4"/>
          <w:sz w:val="20"/>
          <w:vertAlign w:val="baseline"/>
        </w:rPr>
        <w:t>humanitaire,</w:t>
      </w:r>
      <w:r>
        <w:rPr>
          <w:color w:val="231F20"/>
          <w:spacing w:val="-5"/>
          <w:sz w:val="20"/>
          <w:vertAlign w:val="baseline"/>
        </w:rPr>
        <w:t> </w:t>
      </w:r>
      <w:r>
        <w:rPr>
          <w:color w:val="231F20"/>
          <w:spacing w:val="-4"/>
          <w:sz w:val="20"/>
          <w:vertAlign w:val="baseline"/>
        </w:rPr>
        <w:t>l’opération </w:t>
      </w:r>
      <w:r>
        <w:rPr>
          <w:color w:val="231F20"/>
          <w:sz w:val="20"/>
          <w:vertAlign w:val="baseline"/>
        </w:rPr>
        <w:t>a</w:t>
      </w:r>
      <w:r>
        <w:rPr>
          <w:color w:val="231F20"/>
          <w:spacing w:val="-10"/>
          <w:sz w:val="20"/>
          <w:vertAlign w:val="baseline"/>
        </w:rPr>
        <w:t> </w:t>
      </w:r>
      <w:r>
        <w:rPr>
          <w:color w:val="231F20"/>
          <w:sz w:val="20"/>
          <w:vertAlign w:val="baseline"/>
        </w:rPr>
        <w:t>été</w:t>
      </w:r>
      <w:r>
        <w:rPr>
          <w:color w:val="231F20"/>
          <w:spacing w:val="-12"/>
          <w:sz w:val="20"/>
          <w:vertAlign w:val="baseline"/>
        </w:rPr>
        <w:t> </w:t>
      </w:r>
      <w:r>
        <w:rPr>
          <w:color w:val="231F20"/>
          <w:sz w:val="20"/>
          <w:vertAlign w:val="baseline"/>
        </w:rPr>
        <w:t>vivement</w:t>
      </w:r>
      <w:r>
        <w:rPr>
          <w:color w:val="231F20"/>
          <w:spacing w:val="-11"/>
          <w:sz w:val="20"/>
          <w:vertAlign w:val="baseline"/>
        </w:rPr>
        <w:t> </w:t>
      </w:r>
      <w:r>
        <w:rPr>
          <w:color w:val="231F20"/>
          <w:sz w:val="20"/>
          <w:vertAlign w:val="baseline"/>
        </w:rPr>
        <w:t>critiquée</w:t>
      </w:r>
      <w:r>
        <w:rPr>
          <w:color w:val="231F20"/>
          <w:spacing w:val="-12"/>
          <w:sz w:val="20"/>
          <w:vertAlign w:val="baseline"/>
        </w:rPr>
        <w:t> </w:t>
      </w:r>
      <w:r>
        <w:rPr>
          <w:color w:val="231F20"/>
          <w:sz w:val="20"/>
          <w:vertAlign w:val="baseline"/>
        </w:rPr>
        <w:t>pour</w:t>
      </w:r>
      <w:r>
        <w:rPr>
          <w:color w:val="231F20"/>
          <w:spacing w:val="-12"/>
          <w:sz w:val="20"/>
          <w:vertAlign w:val="baseline"/>
        </w:rPr>
        <w:t> </w:t>
      </w:r>
      <w:r>
        <w:rPr>
          <w:color w:val="231F20"/>
          <w:sz w:val="20"/>
          <w:vertAlign w:val="baseline"/>
        </w:rPr>
        <w:t>son</w:t>
      </w:r>
      <w:r>
        <w:rPr>
          <w:color w:val="231F20"/>
          <w:spacing w:val="-12"/>
          <w:sz w:val="20"/>
          <w:vertAlign w:val="baseline"/>
        </w:rPr>
        <w:t> </w:t>
      </w:r>
      <w:r>
        <w:rPr>
          <w:color w:val="231F20"/>
          <w:sz w:val="20"/>
          <w:vertAlign w:val="baseline"/>
        </w:rPr>
        <w:t>soutien</w:t>
      </w:r>
      <w:r>
        <w:rPr>
          <w:color w:val="231F20"/>
          <w:spacing w:val="-10"/>
          <w:sz w:val="20"/>
          <w:vertAlign w:val="baseline"/>
        </w:rPr>
        <w:t> </w:t>
      </w:r>
      <w:r>
        <w:rPr>
          <w:color w:val="231F20"/>
          <w:sz w:val="20"/>
          <w:vertAlign w:val="baseline"/>
        </w:rPr>
        <w:t>au</w:t>
      </w:r>
      <w:r>
        <w:rPr>
          <w:color w:val="231F20"/>
          <w:spacing w:val="-12"/>
          <w:sz w:val="20"/>
          <w:vertAlign w:val="baseline"/>
        </w:rPr>
        <w:t> </w:t>
      </w:r>
      <w:r>
        <w:rPr>
          <w:color w:val="231F20"/>
          <w:sz w:val="20"/>
          <w:vertAlign w:val="baseline"/>
        </w:rPr>
        <w:t>gouvernement</w:t>
      </w:r>
      <w:r>
        <w:rPr>
          <w:color w:val="231F20"/>
          <w:spacing w:val="-12"/>
          <w:sz w:val="20"/>
          <w:vertAlign w:val="baseline"/>
        </w:rPr>
        <w:t> </w:t>
      </w:r>
      <w:r>
        <w:rPr>
          <w:color w:val="231F20"/>
          <w:sz w:val="20"/>
          <w:vertAlign w:val="baseline"/>
        </w:rPr>
        <w:t>génocidaire</w:t>
      </w:r>
      <w:r>
        <w:rPr>
          <w:color w:val="231F20"/>
          <w:spacing w:val="-12"/>
          <w:sz w:val="20"/>
          <w:vertAlign w:val="baseline"/>
        </w:rPr>
        <w:t> </w:t>
      </w:r>
      <w:r>
        <w:rPr>
          <w:color w:val="231F20"/>
          <w:sz w:val="20"/>
          <w:vertAlign w:val="baseline"/>
        </w:rPr>
        <w:t>Rwandais</w:t>
      </w:r>
    </w:p>
    <w:p>
      <w:pPr>
        <w:spacing w:after="0"/>
        <w:jc w:val="both"/>
        <w:rPr>
          <w:sz w:val="20"/>
        </w:rPr>
        <w:sectPr>
          <w:pgSz w:w="8790" w:h="13610"/>
          <w:pgMar w:header="0" w:footer="802" w:top="1040" w:bottom="1000" w:left="880" w:right="880"/>
        </w:sectPr>
      </w:pPr>
    </w:p>
    <w:p>
      <w:pPr>
        <w:pStyle w:val="BodyText"/>
        <w:spacing w:before="66"/>
        <w:ind w:right="102" w:firstLine="283"/>
      </w:pPr>
      <w:r>
        <w:rPr>
          <w:color w:val="231F20"/>
          <w:spacing w:val="-2"/>
        </w:rPr>
        <w:t>Laurent-Désiré</w:t>
      </w:r>
      <w:r>
        <w:rPr>
          <w:color w:val="231F20"/>
          <w:spacing w:val="-13"/>
        </w:rPr>
        <w:t> </w:t>
      </w:r>
      <w:r>
        <w:rPr>
          <w:color w:val="231F20"/>
          <w:spacing w:val="-2"/>
        </w:rPr>
        <w:t>Kabila,</w:t>
      </w:r>
      <w:r>
        <w:rPr>
          <w:color w:val="231F20"/>
          <w:spacing w:val="-12"/>
        </w:rPr>
        <w:t> </w:t>
      </w:r>
      <w:r>
        <w:rPr>
          <w:color w:val="231F20"/>
          <w:spacing w:val="-2"/>
        </w:rPr>
        <w:t>prend</w:t>
      </w:r>
      <w:r>
        <w:rPr>
          <w:color w:val="231F20"/>
          <w:spacing w:val="-12"/>
        </w:rPr>
        <w:t> </w:t>
      </w:r>
      <w:r>
        <w:rPr>
          <w:color w:val="231F20"/>
          <w:spacing w:val="-2"/>
        </w:rPr>
        <w:t>le</w:t>
      </w:r>
      <w:r>
        <w:rPr>
          <w:color w:val="231F20"/>
          <w:spacing w:val="-13"/>
        </w:rPr>
        <w:t> </w:t>
      </w:r>
      <w:r>
        <w:rPr>
          <w:color w:val="231F20"/>
          <w:spacing w:val="-2"/>
        </w:rPr>
        <w:t>pouvoir</w:t>
      </w:r>
      <w:r>
        <w:rPr>
          <w:color w:val="231F20"/>
          <w:spacing w:val="-12"/>
        </w:rPr>
        <w:t> </w:t>
      </w:r>
      <w:r>
        <w:rPr>
          <w:color w:val="231F20"/>
          <w:spacing w:val="-2"/>
        </w:rPr>
        <w:t>le</w:t>
      </w:r>
      <w:r>
        <w:rPr>
          <w:color w:val="231F20"/>
          <w:spacing w:val="-12"/>
        </w:rPr>
        <w:t> </w:t>
      </w:r>
      <w:r>
        <w:rPr>
          <w:color w:val="231F20"/>
          <w:spacing w:val="-2"/>
        </w:rPr>
        <w:t>20</w:t>
      </w:r>
      <w:r>
        <w:rPr>
          <w:color w:val="231F20"/>
          <w:spacing w:val="-12"/>
        </w:rPr>
        <w:t> </w:t>
      </w:r>
      <w:r>
        <w:rPr>
          <w:color w:val="231F20"/>
          <w:spacing w:val="-2"/>
        </w:rPr>
        <w:t>mai</w:t>
      </w:r>
      <w:r>
        <w:rPr>
          <w:color w:val="231F20"/>
          <w:spacing w:val="-12"/>
        </w:rPr>
        <w:t> </w:t>
      </w:r>
      <w:r>
        <w:rPr>
          <w:color w:val="231F20"/>
          <w:spacing w:val="-2"/>
        </w:rPr>
        <w:t>1997</w:t>
      </w:r>
      <w:r>
        <w:rPr>
          <w:color w:val="231F20"/>
          <w:spacing w:val="-12"/>
        </w:rPr>
        <w:t> </w:t>
      </w:r>
      <w:r>
        <w:rPr>
          <w:color w:val="231F20"/>
          <w:spacing w:val="-2"/>
        </w:rPr>
        <w:t>et</w:t>
      </w:r>
      <w:r>
        <w:rPr>
          <w:color w:val="231F20"/>
          <w:spacing w:val="-12"/>
        </w:rPr>
        <w:t> </w:t>
      </w:r>
      <w:r>
        <w:rPr>
          <w:color w:val="231F20"/>
          <w:spacing w:val="-2"/>
        </w:rPr>
        <w:t>rebaptise</w:t>
      </w:r>
      <w:r>
        <w:rPr>
          <w:color w:val="231F20"/>
          <w:spacing w:val="-12"/>
        </w:rPr>
        <w:t> </w:t>
      </w:r>
      <w:r>
        <w:rPr>
          <w:color w:val="231F20"/>
          <w:spacing w:val="-2"/>
        </w:rPr>
        <w:t>le </w:t>
      </w:r>
      <w:r>
        <w:rPr>
          <w:color w:val="231F20"/>
        </w:rPr>
        <w:t>Zaïre,</w:t>
      </w:r>
      <w:r>
        <w:rPr>
          <w:color w:val="231F20"/>
          <w:spacing w:val="-15"/>
        </w:rPr>
        <w:t> </w:t>
      </w:r>
      <w:r>
        <w:rPr>
          <w:color w:val="231F20"/>
        </w:rPr>
        <w:t>République</w:t>
      </w:r>
      <w:r>
        <w:rPr>
          <w:color w:val="231F20"/>
          <w:spacing w:val="-14"/>
        </w:rPr>
        <w:t> </w:t>
      </w:r>
      <w:r>
        <w:rPr>
          <w:color w:val="231F20"/>
        </w:rPr>
        <w:t>Démocratique</w:t>
      </w:r>
      <w:r>
        <w:rPr>
          <w:color w:val="231F20"/>
          <w:spacing w:val="-15"/>
        </w:rPr>
        <w:t> </w:t>
      </w:r>
      <w:r>
        <w:rPr>
          <w:color w:val="231F20"/>
        </w:rPr>
        <w:t>du</w:t>
      </w:r>
      <w:r>
        <w:rPr>
          <w:color w:val="231F20"/>
          <w:spacing w:val="-15"/>
        </w:rPr>
        <w:t> </w:t>
      </w:r>
      <w:r>
        <w:rPr>
          <w:color w:val="231F20"/>
        </w:rPr>
        <w:t>Congo.</w:t>
      </w:r>
      <w:r>
        <w:rPr>
          <w:color w:val="231F20"/>
          <w:spacing w:val="-15"/>
        </w:rPr>
        <w:t> </w:t>
      </w:r>
      <w:r>
        <w:rPr>
          <w:color w:val="231F20"/>
        </w:rPr>
        <w:t>Mobutu,</w:t>
      </w:r>
      <w:r>
        <w:rPr>
          <w:color w:val="231F20"/>
          <w:spacing w:val="-13"/>
        </w:rPr>
        <w:t> </w:t>
      </w:r>
      <w:r>
        <w:rPr>
          <w:color w:val="231F20"/>
        </w:rPr>
        <w:t>malade,</w:t>
      </w:r>
      <w:r>
        <w:rPr>
          <w:color w:val="231F20"/>
          <w:spacing w:val="-15"/>
        </w:rPr>
        <w:t> </w:t>
      </w:r>
      <w:r>
        <w:rPr>
          <w:color w:val="231F20"/>
        </w:rPr>
        <w:t>s’exile</w:t>
      </w:r>
      <w:r>
        <w:rPr>
          <w:color w:val="231F20"/>
          <w:spacing w:val="-14"/>
        </w:rPr>
        <w:t> </w:t>
      </w:r>
      <w:r>
        <w:rPr>
          <w:color w:val="231F20"/>
        </w:rPr>
        <w:t>au Maroc, où il décède quatre mois plus tard.</w:t>
      </w:r>
    </w:p>
    <w:p>
      <w:pPr>
        <w:pStyle w:val="BodyText"/>
        <w:spacing w:before="120"/>
        <w:ind w:right="104" w:firstLine="283"/>
      </w:pPr>
      <w:r>
        <w:rPr>
          <w:color w:val="231F20"/>
        </w:rPr>
        <w:t>Une</w:t>
      </w:r>
      <w:r>
        <w:rPr>
          <w:color w:val="231F20"/>
          <w:spacing w:val="-15"/>
        </w:rPr>
        <w:t> </w:t>
      </w:r>
      <w:r>
        <w:rPr>
          <w:color w:val="231F20"/>
        </w:rPr>
        <w:t>fois</w:t>
      </w:r>
      <w:r>
        <w:rPr>
          <w:color w:val="231F20"/>
          <w:spacing w:val="-15"/>
        </w:rPr>
        <w:t> </w:t>
      </w:r>
      <w:r>
        <w:rPr>
          <w:color w:val="231F20"/>
        </w:rPr>
        <w:t>au</w:t>
      </w:r>
      <w:r>
        <w:rPr>
          <w:color w:val="231F20"/>
          <w:spacing w:val="-15"/>
        </w:rPr>
        <w:t> </w:t>
      </w:r>
      <w:r>
        <w:rPr>
          <w:color w:val="231F20"/>
        </w:rPr>
        <w:t>pouvoir,</w:t>
      </w:r>
      <w:r>
        <w:rPr>
          <w:color w:val="231F20"/>
          <w:spacing w:val="-15"/>
        </w:rPr>
        <w:t> </w:t>
      </w:r>
      <w:r>
        <w:rPr>
          <w:color w:val="231F20"/>
        </w:rPr>
        <w:t>Kabila</w:t>
      </w:r>
      <w:r>
        <w:rPr>
          <w:color w:val="231F20"/>
          <w:spacing w:val="-14"/>
        </w:rPr>
        <w:t> </w:t>
      </w:r>
      <w:r>
        <w:rPr>
          <w:color w:val="231F20"/>
        </w:rPr>
        <w:t>veut</w:t>
      </w:r>
      <w:r>
        <w:rPr>
          <w:color w:val="231F20"/>
          <w:spacing w:val="-15"/>
        </w:rPr>
        <w:t> </w:t>
      </w:r>
      <w:r>
        <w:rPr>
          <w:color w:val="231F20"/>
        </w:rPr>
        <w:t>prendre</w:t>
      </w:r>
      <w:r>
        <w:rPr>
          <w:color w:val="231F20"/>
          <w:spacing w:val="-15"/>
        </w:rPr>
        <w:t> </w:t>
      </w:r>
      <w:r>
        <w:rPr>
          <w:color w:val="231F20"/>
        </w:rPr>
        <w:t>ses</w:t>
      </w:r>
      <w:r>
        <w:rPr>
          <w:color w:val="231F20"/>
          <w:spacing w:val="-15"/>
        </w:rPr>
        <w:t> </w:t>
      </w:r>
      <w:r>
        <w:rPr>
          <w:color w:val="231F20"/>
        </w:rPr>
        <w:t>distances</w:t>
      </w:r>
      <w:r>
        <w:rPr>
          <w:color w:val="231F20"/>
          <w:spacing w:val="-14"/>
        </w:rPr>
        <w:t> </w:t>
      </w:r>
      <w:r>
        <w:rPr>
          <w:color w:val="231F20"/>
        </w:rPr>
        <w:t>avec</w:t>
      </w:r>
      <w:r>
        <w:rPr>
          <w:color w:val="231F20"/>
          <w:spacing w:val="-14"/>
        </w:rPr>
        <w:t> </w:t>
      </w:r>
      <w:r>
        <w:rPr>
          <w:color w:val="231F20"/>
        </w:rPr>
        <w:t>ses</w:t>
      </w:r>
      <w:r>
        <w:rPr>
          <w:color w:val="231F20"/>
          <w:spacing w:val="-14"/>
        </w:rPr>
        <w:t> </w:t>
      </w:r>
      <w:r>
        <w:rPr>
          <w:color w:val="231F20"/>
        </w:rPr>
        <w:t>alliés Rwandais et Ougandais. Il nomme un chef d’état-major Katangais à la place du Rwandais qui occupait ce poste, puis, en juillet, renvoie les </w:t>
      </w:r>
      <w:r>
        <w:rPr>
          <w:color w:val="231F20"/>
          <w:spacing w:val="-4"/>
        </w:rPr>
        <w:t>soldats</w:t>
      </w:r>
      <w:r>
        <w:rPr>
          <w:color w:val="231F20"/>
          <w:spacing w:val="-11"/>
        </w:rPr>
        <w:t> </w:t>
      </w:r>
      <w:r>
        <w:rPr>
          <w:color w:val="231F20"/>
          <w:spacing w:val="-4"/>
        </w:rPr>
        <w:t>étrangers</w:t>
      </w:r>
      <w:r>
        <w:rPr>
          <w:color w:val="231F20"/>
          <w:spacing w:val="-9"/>
        </w:rPr>
        <w:t> </w:t>
      </w:r>
      <w:r>
        <w:rPr>
          <w:color w:val="231F20"/>
          <w:spacing w:val="-4"/>
        </w:rPr>
        <w:t>de</w:t>
      </w:r>
      <w:r>
        <w:rPr>
          <w:color w:val="231F20"/>
          <w:spacing w:val="-9"/>
        </w:rPr>
        <w:t> </w:t>
      </w:r>
      <w:r>
        <w:rPr>
          <w:color w:val="231F20"/>
          <w:spacing w:val="-4"/>
        </w:rPr>
        <w:t>l’AFDL.</w:t>
      </w:r>
      <w:r>
        <w:rPr>
          <w:color w:val="231F20"/>
          <w:spacing w:val="-9"/>
        </w:rPr>
        <w:t> </w:t>
      </w:r>
      <w:r>
        <w:rPr>
          <w:color w:val="231F20"/>
          <w:spacing w:val="-4"/>
        </w:rPr>
        <w:t>Mais</w:t>
      </w:r>
      <w:r>
        <w:rPr>
          <w:color w:val="231F20"/>
          <w:spacing w:val="-11"/>
        </w:rPr>
        <w:t> </w:t>
      </w:r>
      <w:r>
        <w:rPr>
          <w:color w:val="231F20"/>
          <w:spacing w:val="-4"/>
        </w:rPr>
        <w:t>les</w:t>
      </w:r>
      <w:r>
        <w:rPr>
          <w:color w:val="231F20"/>
          <w:spacing w:val="-9"/>
        </w:rPr>
        <w:t> </w:t>
      </w:r>
      <w:r>
        <w:rPr>
          <w:color w:val="231F20"/>
          <w:spacing w:val="-4"/>
        </w:rPr>
        <w:t>anciens</w:t>
      </w:r>
      <w:r>
        <w:rPr>
          <w:color w:val="231F20"/>
          <w:spacing w:val="-9"/>
        </w:rPr>
        <w:t> </w:t>
      </w:r>
      <w:r>
        <w:rPr>
          <w:color w:val="231F20"/>
          <w:spacing w:val="-4"/>
        </w:rPr>
        <w:t>«</w:t>
      </w:r>
      <w:r>
        <w:rPr>
          <w:color w:val="231F20"/>
        </w:rPr>
        <w:t> </w:t>
      </w:r>
      <w:r>
        <w:rPr>
          <w:color w:val="231F20"/>
          <w:spacing w:val="-4"/>
        </w:rPr>
        <w:t>amis</w:t>
      </w:r>
      <w:r>
        <w:rPr>
          <w:color w:val="231F20"/>
        </w:rPr>
        <w:t> </w:t>
      </w:r>
      <w:r>
        <w:rPr>
          <w:color w:val="231F20"/>
          <w:spacing w:val="-4"/>
        </w:rPr>
        <w:t>»</w:t>
      </w:r>
      <w:r>
        <w:rPr>
          <w:color w:val="231F20"/>
          <w:spacing w:val="-11"/>
        </w:rPr>
        <w:t> </w:t>
      </w:r>
      <w:r>
        <w:rPr>
          <w:color w:val="231F20"/>
          <w:spacing w:val="-4"/>
        </w:rPr>
        <w:t>de</w:t>
      </w:r>
      <w:r>
        <w:rPr>
          <w:color w:val="231F20"/>
          <w:spacing w:val="-9"/>
        </w:rPr>
        <w:t> </w:t>
      </w:r>
      <w:r>
        <w:rPr>
          <w:color w:val="231F20"/>
          <w:spacing w:val="-4"/>
        </w:rPr>
        <w:t>l’entendent</w:t>
      </w:r>
      <w:r>
        <w:rPr>
          <w:color w:val="231F20"/>
          <w:spacing w:val="-11"/>
        </w:rPr>
        <w:t> </w:t>
      </w:r>
      <w:r>
        <w:rPr>
          <w:color w:val="231F20"/>
          <w:spacing w:val="-4"/>
        </w:rPr>
        <w:t>pas </w:t>
      </w:r>
      <w:r>
        <w:rPr>
          <w:color w:val="231F20"/>
        </w:rPr>
        <w:t>de cette oreille</w:t>
      </w:r>
      <w:r>
        <w:rPr>
          <w:color w:val="231F20"/>
          <w:spacing w:val="-13"/>
        </w:rPr>
        <w:t> </w:t>
      </w:r>
      <w:r>
        <w:rPr>
          <w:color w:val="231F20"/>
        </w:rPr>
        <w:t>: j’y suis, j’y reste ou encore «</w:t>
      </w:r>
      <w:r>
        <w:rPr>
          <w:color w:val="231F20"/>
          <w:spacing w:val="-12"/>
        </w:rPr>
        <w:t> </w:t>
      </w:r>
      <w:r>
        <w:rPr>
          <w:color w:val="231F20"/>
        </w:rPr>
        <w:t>nous, pas bouger</w:t>
      </w:r>
      <w:r>
        <w:rPr>
          <w:color w:val="231F20"/>
          <w:spacing w:val="-13"/>
        </w:rPr>
        <w:t> </w:t>
      </w:r>
      <w:r>
        <w:rPr>
          <w:color w:val="231F20"/>
        </w:rPr>
        <w:t>». Commence alors, une rébellion contre Kabila, soutenue par Kigali, </w:t>
      </w:r>
      <w:r>
        <w:rPr>
          <w:color w:val="231F20"/>
          <w:spacing w:val="-4"/>
        </w:rPr>
        <w:t>Kampala</w:t>
      </w:r>
      <w:r>
        <w:rPr>
          <w:color w:val="231F20"/>
          <w:spacing w:val="-11"/>
        </w:rPr>
        <w:t> </w:t>
      </w:r>
      <w:r>
        <w:rPr>
          <w:color w:val="231F20"/>
          <w:spacing w:val="-4"/>
        </w:rPr>
        <w:t>et</w:t>
      </w:r>
      <w:r>
        <w:rPr>
          <w:color w:val="231F20"/>
          <w:spacing w:val="-11"/>
        </w:rPr>
        <w:t> </w:t>
      </w:r>
      <w:r>
        <w:rPr>
          <w:color w:val="231F20"/>
          <w:spacing w:val="-4"/>
        </w:rPr>
        <w:t>Bujumbura</w:t>
      </w:r>
      <w:r>
        <w:rPr>
          <w:color w:val="76787A"/>
          <w:spacing w:val="-4"/>
          <w:vertAlign w:val="superscript"/>
        </w:rPr>
        <w:t>47</w:t>
      </w:r>
      <w:r>
        <w:rPr>
          <w:color w:val="231F20"/>
          <w:spacing w:val="-4"/>
          <w:vertAlign w:val="baseline"/>
        </w:rPr>
        <w:t>.</w:t>
      </w:r>
      <w:r>
        <w:rPr>
          <w:color w:val="231F20"/>
          <w:spacing w:val="-11"/>
          <w:vertAlign w:val="baseline"/>
        </w:rPr>
        <w:t> </w:t>
      </w:r>
      <w:r>
        <w:rPr>
          <w:color w:val="231F20"/>
          <w:spacing w:val="-4"/>
          <w:vertAlign w:val="baseline"/>
        </w:rPr>
        <w:t>Le</w:t>
      </w:r>
      <w:r>
        <w:rPr>
          <w:color w:val="231F20"/>
          <w:spacing w:val="-11"/>
          <w:vertAlign w:val="baseline"/>
        </w:rPr>
        <w:t> </w:t>
      </w:r>
      <w:r>
        <w:rPr>
          <w:color w:val="231F20"/>
          <w:spacing w:val="-4"/>
          <w:vertAlign w:val="baseline"/>
        </w:rPr>
        <w:t>Zimbabwe,</w:t>
      </w:r>
      <w:r>
        <w:rPr>
          <w:color w:val="231F20"/>
          <w:spacing w:val="-11"/>
          <w:vertAlign w:val="baseline"/>
        </w:rPr>
        <w:t> </w:t>
      </w:r>
      <w:r>
        <w:rPr>
          <w:color w:val="231F20"/>
          <w:spacing w:val="-4"/>
          <w:vertAlign w:val="baseline"/>
        </w:rPr>
        <w:t>l’Angola,</w:t>
      </w:r>
      <w:r>
        <w:rPr>
          <w:color w:val="231F20"/>
          <w:spacing w:val="-11"/>
          <w:vertAlign w:val="baseline"/>
        </w:rPr>
        <w:t> </w:t>
      </w:r>
      <w:r>
        <w:rPr>
          <w:color w:val="231F20"/>
          <w:spacing w:val="-4"/>
          <w:vertAlign w:val="baseline"/>
        </w:rPr>
        <w:t>le</w:t>
      </w:r>
      <w:r>
        <w:rPr>
          <w:color w:val="231F20"/>
          <w:spacing w:val="-11"/>
          <w:vertAlign w:val="baseline"/>
        </w:rPr>
        <w:t> </w:t>
      </w:r>
      <w:r>
        <w:rPr>
          <w:color w:val="231F20"/>
          <w:spacing w:val="-4"/>
          <w:vertAlign w:val="baseline"/>
        </w:rPr>
        <w:t>Tchad</w:t>
      </w:r>
      <w:r>
        <w:rPr>
          <w:color w:val="231F20"/>
          <w:spacing w:val="-11"/>
          <w:vertAlign w:val="baseline"/>
        </w:rPr>
        <w:t> </w:t>
      </w:r>
      <w:r>
        <w:rPr>
          <w:color w:val="231F20"/>
          <w:spacing w:val="-4"/>
          <w:vertAlign w:val="baseline"/>
        </w:rPr>
        <w:t>et</w:t>
      </w:r>
      <w:r>
        <w:rPr>
          <w:color w:val="231F20"/>
          <w:spacing w:val="-11"/>
          <w:vertAlign w:val="baseline"/>
        </w:rPr>
        <w:t> </w:t>
      </w:r>
      <w:r>
        <w:rPr>
          <w:color w:val="231F20"/>
          <w:spacing w:val="-4"/>
          <w:vertAlign w:val="baseline"/>
        </w:rPr>
        <w:t>la</w:t>
      </w:r>
      <w:r>
        <w:rPr>
          <w:color w:val="231F20"/>
          <w:spacing w:val="-11"/>
          <w:vertAlign w:val="baseline"/>
        </w:rPr>
        <w:t> </w:t>
      </w:r>
      <w:r>
        <w:rPr>
          <w:color w:val="231F20"/>
          <w:spacing w:val="-4"/>
          <w:vertAlign w:val="baseline"/>
        </w:rPr>
        <w:t>Namibie </w:t>
      </w:r>
      <w:r>
        <w:rPr>
          <w:color w:val="231F20"/>
          <w:vertAlign w:val="baseline"/>
        </w:rPr>
        <w:t>interviennent</w:t>
      </w:r>
      <w:r>
        <w:rPr>
          <w:color w:val="231F20"/>
          <w:spacing w:val="-1"/>
          <w:vertAlign w:val="baseline"/>
        </w:rPr>
        <w:t> </w:t>
      </w:r>
      <w:r>
        <w:rPr>
          <w:color w:val="231F20"/>
          <w:vertAlign w:val="baseline"/>
        </w:rPr>
        <w:t>militairement</w:t>
      </w:r>
      <w:r>
        <w:rPr>
          <w:color w:val="231F20"/>
          <w:spacing w:val="-2"/>
          <w:vertAlign w:val="baseline"/>
        </w:rPr>
        <w:t> </w:t>
      </w:r>
      <w:r>
        <w:rPr>
          <w:color w:val="231F20"/>
          <w:vertAlign w:val="baseline"/>
        </w:rPr>
        <w:t>aux</w:t>
      </w:r>
      <w:r>
        <w:rPr>
          <w:color w:val="231F20"/>
          <w:spacing w:val="-6"/>
          <w:vertAlign w:val="baseline"/>
        </w:rPr>
        <w:t> </w:t>
      </w:r>
      <w:r>
        <w:rPr>
          <w:color w:val="231F20"/>
          <w:vertAlign w:val="baseline"/>
        </w:rPr>
        <w:t>côtés</w:t>
      </w:r>
      <w:r>
        <w:rPr>
          <w:color w:val="231F20"/>
          <w:spacing w:val="-5"/>
          <w:vertAlign w:val="baseline"/>
        </w:rPr>
        <w:t> </w:t>
      </w:r>
      <w:r>
        <w:rPr>
          <w:color w:val="231F20"/>
          <w:vertAlign w:val="baseline"/>
        </w:rPr>
        <w:t>de</w:t>
      </w:r>
      <w:r>
        <w:rPr>
          <w:color w:val="231F20"/>
          <w:spacing w:val="-4"/>
          <w:vertAlign w:val="baseline"/>
        </w:rPr>
        <w:t> </w:t>
      </w:r>
      <w:r>
        <w:rPr>
          <w:color w:val="231F20"/>
          <w:vertAlign w:val="baseline"/>
        </w:rPr>
        <w:t>Kinshasa.</w:t>
      </w:r>
    </w:p>
    <w:p>
      <w:pPr>
        <w:pStyle w:val="BodyText"/>
        <w:spacing w:before="121"/>
        <w:ind w:right="104" w:firstLine="283"/>
      </w:pPr>
      <w:r>
        <w:rPr>
          <w:color w:val="231F20"/>
        </w:rPr>
        <w:t>Le 16 janvier 2001, Laurent-Désiré Kabila est assassiné. Son fils </w:t>
      </w:r>
      <w:r>
        <w:rPr>
          <w:color w:val="231F20"/>
          <w:spacing w:val="-2"/>
        </w:rPr>
        <w:t>Joseph</w:t>
      </w:r>
      <w:r>
        <w:rPr>
          <w:color w:val="231F20"/>
          <w:spacing w:val="-12"/>
        </w:rPr>
        <w:t> </w:t>
      </w:r>
      <w:r>
        <w:rPr>
          <w:color w:val="231F20"/>
          <w:spacing w:val="-2"/>
        </w:rPr>
        <w:t>Kabila</w:t>
      </w:r>
      <w:r>
        <w:rPr>
          <w:color w:val="231F20"/>
          <w:spacing w:val="-13"/>
        </w:rPr>
        <w:t> </w:t>
      </w:r>
      <w:r>
        <w:rPr>
          <w:color w:val="231F20"/>
          <w:spacing w:val="-2"/>
        </w:rPr>
        <w:t>lui</w:t>
      </w:r>
      <w:r>
        <w:rPr>
          <w:color w:val="231F20"/>
          <w:spacing w:val="-13"/>
        </w:rPr>
        <w:t> </w:t>
      </w:r>
      <w:r>
        <w:rPr>
          <w:color w:val="231F20"/>
          <w:spacing w:val="-2"/>
        </w:rPr>
        <w:t>succède</w:t>
      </w:r>
      <w:r>
        <w:rPr>
          <w:color w:val="231F20"/>
          <w:spacing w:val="-13"/>
        </w:rPr>
        <w:t> </w:t>
      </w:r>
      <w:r>
        <w:rPr>
          <w:color w:val="231F20"/>
          <w:spacing w:val="-2"/>
        </w:rPr>
        <w:t>à</w:t>
      </w:r>
      <w:r>
        <w:rPr>
          <w:color w:val="231F20"/>
          <w:spacing w:val="-12"/>
        </w:rPr>
        <w:t> </w:t>
      </w:r>
      <w:r>
        <w:rPr>
          <w:color w:val="231F20"/>
          <w:spacing w:val="-2"/>
        </w:rPr>
        <w:t>la</w:t>
      </w:r>
      <w:r>
        <w:rPr>
          <w:color w:val="231F20"/>
          <w:spacing w:val="-12"/>
        </w:rPr>
        <w:t> </w:t>
      </w:r>
      <w:r>
        <w:rPr>
          <w:color w:val="231F20"/>
          <w:spacing w:val="-2"/>
        </w:rPr>
        <w:t>tête</w:t>
      </w:r>
      <w:r>
        <w:rPr>
          <w:color w:val="231F20"/>
          <w:spacing w:val="-12"/>
        </w:rPr>
        <w:t> </w:t>
      </w:r>
      <w:r>
        <w:rPr>
          <w:color w:val="231F20"/>
          <w:spacing w:val="-2"/>
        </w:rPr>
        <w:t>de</w:t>
      </w:r>
      <w:r>
        <w:rPr>
          <w:color w:val="231F20"/>
          <w:spacing w:val="-12"/>
        </w:rPr>
        <w:t> </w:t>
      </w:r>
      <w:r>
        <w:rPr>
          <w:color w:val="231F20"/>
          <w:spacing w:val="-2"/>
        </w:rPr>
        <w:t>l’État.</w:t>
      </w:r>
      <w:r>
        <w:rPr>
          <w:color w:val="231F20"/>
          <w:spacing w:val="-10"/>
        </w:rPr>
        <w:t> </w:t>
      </w:r>
      <w:r>
        <w:rPr>
          <w:color w:val="231F20"/>
          <w:spacing w:val="-2"/>
        </w:rPr>
        <w:t>Il</w:t>
      </w:r>
      <w:r>
        <w:rPr>
          <w:color w:val="231F20"/>
          <w:spacing w:val="-10"/>
        </w:rPr>
        <w:t> </w:t>
      </w:r>
      <w:r>
        <w:rPr>
          <w:color w:val="231F20"/>
          <w:spacing w:val="-2"/>
        </w:rPr>
        <w:t>prête</w:t>
      </w:r>
      <w:r>
        <w:rPr>
          <w:color w:val="231F20"/>
          <w:spacing w:val="-13"/>
        </w:rPr>
        <w:t> </w:t>
      </w:r>
      <w:r>
        <w:rPr>
          <w:color w:val="231F20"/>
          <w:spacing w:val="-2"/>
        </w:rPr>
        <w:t>serment</w:t>
      </w:r>
      <w:r>
        <w:rPr>
          <w:color w:val="231F20"/>
          <w:spacing w:val="-13"/>
        </w:rPr>
        <w:t> </w:t>
      </w:r>
      <w:r>
        <w:rPr>
          <w:color w:val="231F20"/>
          <w:spacing w:val="-2"/>
        </w:rPr>
        <w:t>le</w:t>
      </w:r>
      <w:r>
        <w:rPr>
          <w:color w:val="231F20"/>
          <w:spacing w:val="-12"/>
        </w:rPr>
        <w:t> </w:t>
      </w:r>
      <w:r>
        <w:rPr>
          <w:color w:val="231F20"/>
          <w:spacing w:val="-2"/>
        </w:rPr>
        <w:t>26</w:t>
      </w:r>
      <w:r>
        <w:rPr>
          <w:color w:val="231F20"/>
          <w:spacing w:val="-10"/>
        </w:rPr>
        <w:t> </w:t>
      </w:r>
      <w:r>
        <w:rPr>
          <w:color w:val="231F20"/>
          <w:spacing w:val="-2"/>
        </w:rPr>
        <w:t>janvier </w:t>
      </w:r>
      <w:r>
        <w:rPr>
          <w:color w:val="231F20"/>
        </w:rPr>
        <w:t>et</w:t>
      </w:r>
      <w:r>
        <w:rPr>
          <w:color w:val="231F20"/>
          <w:spacing w:val="-12"/>
        </w:rPr>
        <w:t> </w:t>
      </w:r>
      <w:r>
        <w:rPr>
          <w:color w:val="231F20"/>
        </w:rPr>
        <w:t>appelle</w:t>
      </w:r>
      <w:r>
        <w:rPr>
          <w:color w:val="231F20"/>
          <w:spacing w:val="-12"/>
        </w:rPr>
        <w:t> </w:t>
      </w:r>
      <w:r>
        <w:rPr>
          <w:color w:val="231F20"/>
        </w:rPr>
        <w:t>à</w:t>
      </w:r>
      <w:r>
        <w:rPr>
          <w:color w:val="231F20"/>
          <w:spacing w:val="-12"/>
        </w:rPr>
        <w:t> </w:t>
      </w:r>
      <w:r>
        <w:rPr>
          <w:color w:val="231F20"/>
        </w:rPr>
        <w:t>des</w:t>
      </w:r>
      <w:r>
        <w:rPr>
          <w:color w:val="231F20"/>
          <w:spacing w:val="-12"/>
        </w:rPr>
        <w:t> </w:t>
      </w:r>
      <w:r>
        <w:rPr>
          <w:color w:val="231F20"/>
        </w:rPr>
        <w:t>négociations</w:t>
      </w:r>
      <w:r>
        <w:rPr>
          <w:color w:val="231F20"/>
          <w:spacing w:val="-12"/>
        </w:rPr>
        <w:t> </w:t>
      </w:r>
      <w:r>
        <w:rPr>
          <w:color w:val="231F20"/>
        </w:rPr>
        <w:t>pour</w:t>
      </w:r>
      <w:r>
        <w:rPr>
          <w:color w:val="231F20"/>
          <w:spacing w:val="-12"/>
        </w:rPr>
        <w:t> </w:t>
      </w:r>
      <w:r>
        <w:rPr>
          <w:color w:val="231F20"/>
        </w:rPr>
        <w:t>la</w:t>
      </w:r>
      <w:r>
        <w:rPr>
          <w:color w:val="231F20"/>
          <w:spacing w:val="-13"/>
        </w:rPr>
        <w:t> </w:t>
      </w:r>
      <w:r>
        <w:rPr>
          <w:color w:val="231F20"/>
        </w:rPr>
        <w:t>paix.</w:t>
      </w:r>
      <w:r>
        <w:rPr>
          <w:color w:val="231F20"/>
          <w:spacing w:val="-13"/>
        </w:rPr>
        <w:t> </w:t>
      </w:r>
      <w:r>
        <w:rPr>
          <w:color w:val="231F20"/>
        </w:rPr>
        <w:t>En</w:t>
      </w:r>
      <w:r>
        <w:rPr>
          <w:color w:val="231F20"/>
          <w:spacing w:val="-12"/>
        </w:rPr>
        <w:t> </w:t>
      </w:r>
      <w:r>
        <w:rPr>
          <w:color w:val="231F20"/>
        </w:rPr>
        <w:t>février</w:t>
      </w:r>
      <w:r>
        <w:rPr>
          <w:color w:val="231F20"/>
          <w:spacing w:val="-12"/>
        </w:rPr>
        <w:t> </w:t>
      </w:r>
      <w:r>
        <w:rPr>
          <w:color w:val="231F20"/>
        </w:rPr>
        <w:t>2001,</w:t>
      </w:r>
      <w:r>
        <w:rPr>
          <w:color w:val="231F20"/>
          <w:spacing w:val="-13"/>
        </w:rPr>
        <w:t> </w:t>
      </w:r>
      <w:r>
        <w:rPr>
          <w:color w:val="231F20"/>
        </w:rPr>
        <w:t>un</w:t>
      </w:r>
      <w:r>
        <w:rPr>
          <w:color w:val="231F20"/>
          <w:spacing w:val="-12"/>
        </w:rPr>
        <w:t> </w:t>
      </w:r>
      <w:r>
        <w:rPr>
          <w:color w:val="231F20"/>
        </w:rPr>
        <w:t>accord</w:t>
      </w:r>
      <w:r>
        <w:rPr>
          <w:color w:val="231F20"/>
          <w:spacing w:val="-11"/>
        </w:rPr>
        <w:t> </w:t>
      </w:r>
      <w:r>
        <w:rPr>
          <w:color w:val="231F20"/>
        </w:rPr>
        <w:t>de paix</w:t>
      </w:r>
      <w:r>
        <w:rPr>
          <w:color w:val="231F20"/>
          <w:spacing w:val="-1"/>
        </w:rPr>
        <w:t> </w:t>
      </w:r>
      <w:r>
        <w:rPr>
          <w:color w:val="231F20"/>
        </w:rPr>
        <w:t>est signé</w:t>
      </w:r>
      <w:r>
        <w:rPr>
          <w:color w:val="231F20"/>
          <w:spacing w:val="-1"/>
        </w:rPr>
        <w:t> </w:t>
      </w:r>
      <w:r>
        <w:rPr>
          <w:color w:val="231F20"/>
        </w:rPr>
        <w:t>entre</w:t>
      </w:r>
      <w:r>
        <w:rPr>
          <w:color w:val="231F20"/>
          <w:spacing w:val="-1"/>
        </w:rPr>
        <w:t> </w:t>
      </w:r>
      <w:r>
        <w:rPr>
          <w:color w:val="231F20"/>
        </w:rPr>
        <w:t>la</w:t>
      </w:r>
      <w:r>
        <w:rPr>
          <w:color w:val="231F20"/>
          <w:spacing w:val="-4"/>
        </w:rPr>
        <w:t> </w:t>
      </w:r>
      <w:r>
        <w:rPr>
          <w:color w:val="231F20"/>
        </w:rPr>
        <w:t>RDC,</w:t>
      </w:r>
      <w:r>
        <w:rPr>
          <w:color w:val="231F20"/>
          <w:spacing w:val="-2"/>
        </w:rPr>
        <w:t> </w:t>
      </w:r>
      <w:r>
        <w:rPr>
          <w:color w:val="231F20"/>
        </w:rPr>
        <w:t>le</w:t>
      </w:r>
      <w:r>
        <w:rPr>
          <w:color w:val="231F20"/>
          <w:spacing w:val="-1"/>
        </w:rPr>
        <w:t> </w:t>
      </w:r>
      <w:r>
        <w:rPr>
          <w:color w:val="231F20"/>
        </w:rPr>
        <w:t>Rwanda</w:t>
      </w:r>
      <w:r>
        <w:rPr>
          <w:color w:val="231F20"/>
          <w:spacing w:val="-1"/>
        </w:rPr>
        <w:t> </w:t>
      </w:r>
      <w:r>
        <w:rPr>
          <w:color w:val="231F20"/>
        </w:rPr>
        <w:t>et</w:t>
      </w:r>
      <w:r>
        <w:rPr>
          <w:color w:val="231F20"/>
          <w:spacing w:val="-2"/>
        </w:rPr>
        <w:t> </w:t>
      </w:r>
      <w:r>
        <w:rPr>
          <w:color w:val="231F20"/>
        </w:rPr>
        <w:t>l’Ouganda.</w:t>
      </w:r>
    </w:p>
    <w:p>
      <w:pPr>
        <w:pStyle w:val="BodyText"/>
        <w:spacing w:before="120"/>
        <w:ind w:right="107" w:firstLine="283"/>
      </w:pPr>
      <w:r>
        <w:rPr>
          <w:color w:val="231F20"/>
        </w:rPr>
        <w:t>Les</w:t>
      </w:r>
      <w:r>
        <w:rPr>
          <w:color w:val="231F20"/>
          <w:spacing w:val="-4"/>
        </w:rPr>
        <w:t> </w:t>
      </w:r>
      <w:r>
        <w:rPr>
          <w:color w:val="231F20"/>
        </w:rPr>
        <w:t>soldats</w:t>
      </w:r>
      <w:r>
        <w:rPr>
          <w:color w:val="231F20"/>
          <w:spacing w:val="-4"/>
        </w:rPr>
        <w:t> </w:t>
      </w:r>
      <w:r>
        <w:rPr>
          <w:color w:val="231F20"/>
        </w:rPr>
        <w:t>de</w:t>
      </w:r>
      <w:r>
        <w:rPr>
          <w:color w:val="231F20"/>
          <w:spacing w:val="-4"/>
        </w:rPr>
        <w:t> </w:t>
      </w:r>
      <w:r>
        <w:rPr>
          <w:color w:val="231F20"/>
        </w:rPr>
        <w:t>l’ONU</w:t>
      </w:r>
      <w:r>
        <w:rPr>
          <w:color w:val="231F20"/>
          <w:spacing w:val="-4"/>
        </w:rPr>
        <w:t> </w:t>
      </w:r>
      <w:r>
        <w:rPr>
          <w:color w:val="231F20"/>
        </w:rPr>
        <w:t>arrivent</w:t>
      </w:r>
      <w:r>
        <w:rPr>
          <w:color w:val="231F20"/>
          <w:spacing w:val="-4"/>
        </w:rPr>
        <w:t> </w:t>
      </w:r>
      <w:r>
        <w:rPr>
          <w:color w:val="231F20"/>
        </w:rPr>
        <w:t>en</w:t>
      </w:r>
      <w:r>
        <w:rPr>
          <w:color w:val="231F20"/>
          <w:spacing w:val="-5"/>
        </w:rPr>
        <w:t> </w:t>
      </w:r>
      <w:r>
        <w:rPr>
          <w:color w:val="231F20"/>
        </w:rPr>
        <w:t>avril,</w:t>
      </w:r>
      <w:r>
        <w:rPr>
          <w:color w:val="231F20"/>
          <w:spacing w:val="-4"/>
        </w:rPr>
        <w:t> </w:t>
      </w:r>
      <w:r>
        <w:rPr>
          <w:color w:val="231F20"/>
        </w:rPr>
        <w:t>afin</w:t>
      </w:r>
      <w:r>
        <w:rPr>
          <w:color w:val="231F20"/>
          <w:spacing w:val="-6"/>
        </w:rPr>
        <w:t> </w:t>
      </w:r>
      <w:r>
        <w:rPr>
          <w:color w:val="231F20"/>
        </w:rPr>
        <w:t>de</w:t>
      </w:r>
      <w:r>
        <w:rPr>
          <w:color w:val="231F20"/>
          <w:spacing w:val="-4"/>
        </w:rPr>
        <w:t> </w:t>
      </w:r>
      <w:r>
        <w:rPr>
          <w:color w:val="231F20"/>
        </w:rPr>
        <w:t>soutenir</w:t>
      </w:r>
      <w:r>
        <w:rPr>
          <w:color w:val="231F20"/>
          <w:spacing w:val="-4"/>
        </w:rPr>
        <w:t> </w:t>
      </w:r>
      <w:r>
        <w:rPr>
          <w:color w:val="231F20"/>
        </w:rPr>
        <w:t>le</w:t>
      </w:r>
      <w:r>
        <w:rPr>
          <w:color w:val="231F20"/>
          <w:spacing w:val="-4"/>
        </w:rPr>
        <w:t> </w:t>
      </w:r>
      <w:r>
        <w:rPr>
          <w:color w:val="231F20"/>
        </w:rPr>
        <w:t>cessez-le- </w:t>
      </w:r>
      <w:r>
        <w:rPr>
          <w:color w:val="231F20"/>
          <w:spacing w:val="-4"/>
        </w:rPr>
        <w:t>feu,</w:t>
      </w:r>
      <w:r>
        <w:rPr>
          <w:color w:val="231F20"/>
          <w:spacing w:val="-8"/>
        </w:rPr>
        <w:t> </w:t>
      </w:r>
      <w:r>
        <w:rPr>
          <w:color w:val="231F20"/>
          <w:spacing w:val="-4"/>
        </w:rPr>
        <w:t>protéger</w:t>
      </w:r>
      <w:r>
        <w:rPr>
          <w:color w:val="231F20"/>
          <w:spacing w:val="-8"/>
        </w:rPr>
        <w:t> </w:t>
      </w:r>
      <w:r>
        <w:rPr>
          <w:color w:val="231F20"/>
          <w:spacing w:val="-4"/>
        </w:rPr>
        <w:t>les</w:t>
      </w:r>
      <w:r>
        <w:rPr>
          <w:color w:val="231F20"/>
          <w:spacing w:val="-10"/>
        </w:rPr>
        <w:t> </w:t>
      </w:r>
      <w:r>
        <w:rPr>
          <w:color w:val="231F20"/>
          <w:spacing w:val="-4"/>
        </w:rPr>
        <w:t>populations</w:t>
      </w:r>
      <w:r>
        <w:rPr>
          <w:color w:val="231F20"/>
          <w:spacing w:val="-8"/>
        </w:rPr>
        <w:t> </w:t>
      </w:r>
      <w:r>
        <w:rPr>
          <w:color w:val="231F20"/>
          <w:spacing w:val="-4"/>
        </w:rPr>
        <w:t>et</w:t>
      </w:r>
      <w:r>
        <w:rPr>
          <w:color w:val="231F20"/>
          <w:spacing w:val="-8"/>
        </w:rPr>
        <w:t> </w:t>
      </w:r>
      <w:r>
        <w:rPr>
          <w:color w:val="231F20"/>
          <w:spacing w:val="-4"/>
        </w:rPr>
        <w:t>les</w:t>
      </w:r>
      <w:r>
        <w:rPr>
          <w:color w:val="231F20"/>
          <w:spacing w:val="-8"/>
        </w:rPr>
        <w:t> </w:t>
      </w:r>
      <w:r>
        <w:rPr>
          <w:color w:val="231F20"/>
          <w:spacing w:val="-4"/>
        </w:rPr>
        <w:t>organisations</w:t>
      </w:r>
      <w:r>
        <w:rPr>
          <w:color w:val="231F20"/>
          <w:spacing w:val="-8"/>
        </w:rPr>
        <w:t> </w:t>
      </w:r>
      <w:r>
        <w:rPr>
          <w:color w:val="231F20"/>
          <w:spacing w:val="-4"/>
        </w:rPr>
        <w:t>humanitaires.</w:t>
      </w:r>
      <w:r>
        <w:rPr>
          <w:color w:val="231F20"/>
          <w:spacing w:val="-10"/>
        </w:rPr>
        <w:t> </w:t>
      </w:r>
      <w:r>
        <w:rPr>
          <w:color w:val="231F20"/>
          <w:spacing w:val="-4"/>
        </w:rPr>
        <w:t>Comme</w:t>
      </w:r>
      <w:r>
        <w:rPr>
          <w:color w:val="231F20"/>
          <w:spacing w:val="-8"/>
        </w:rPr>
        <w:t> </w:t>
      </w:r>
      <w:r>
        <w:rPr>
          <w:color w:val="231F20"/>
          <w:spacing w:val="-4"/>
        </w:rPr>
        <w:t>de </w:t>
      </w:r>
      <w:r>
        <w:rPr>
          <w:color w:val="231F20"/>
        </w:rPr>
        <w:t>nombreux</w:t>
      </w:r>
      <w:r>
        <w:rPr>
          <w:color w:val="231F20"/>
          <w:spacing w:val="-5"/>
        </w:rPr>
        <w:t> </w:t>
      </w:r>
      <w:r>
        <w:rPr>
          <w:color w:val="231F20"/>
        </w:rPr>
        <w:t>autres</w:t>
      </w:r>
      <w:r>
        <w:rPr>
          <w:color w:val="231F20"/>
          <w:spacing w:val="-5"/>
        </w:rPr>
        <w:t> </w:t>
      </w:r>
      <w:r>
        <w:rPr>
          <w:color w:val="231F20"/>
        </w:rPr>
        <w:t>accords</w:t>
      </w:r>
      <w:r>
        <w:rPr>
          <w:color w:val="231F20"/>
          <w:spacing w:val="-5"/>
        </w:rPr>
        <w:t> </w:t>
      </w:r>
      <w:r>
        <w:rPr>
          <w:color w:val="231F20"/>
        </w:rPr>
        <w:t>qui</w:t>
      </w:r>
      <w:r>
        <w:rPr>
          <w:color w:val="231F20"/>
          <w:spacing w:val="-4"/>
        </w:rPr>
        <w:t> </w:t>
      </w:r>
      <w:r>
        <w:rPr>
          <w:color w:val="231F20"/>
        </w:rPr>
        <w:t>suivront,</w:t>
      </w:r>
      <w:r>
        <w:rPr>
          <w:color w:val="231F20"/>
          <w:spacing w:val="-3"/>
        </w:rPr>
        <w:t> </w:t>
      </w:r>
      <w:r>
        <w:rPr>
          <w:color w:val="231F20"/>
        </w:rPr>
        <w:t>cet</w:t>
      </w:r>
      <w:r>
        <w:rPr>
          <w:color w:val="231F20"/>
          <w:spacing w:val="-2"/>
        </w:rPr>
        <w:t> </w:t>
      </w:r>
      <w:r>
        <w:rPr>
          <w:color w:val="231F20"/>
        </w:rPr>
        <w:t>accord</w:t>
      </w:r>
      <w:r>
        <w:rPr>
          <w:color w:val="231F20"/>
          <w:spacing w:val="-5"/>
        </w:rPr>
        <w:t> </w:t>
      </w:r>
      <w:r>
        <w:rPr>
          <w:color w:val="231F20"/>
        </w:rPr>
        <w:t>sera</w:t>
      </w:r>
      <w:r>
        <w:rPr>
          <w:color w:val="231F20"/>
          <w:spacing w:val="-3"/>
        </w:rPr>
        <w:t> </w:t>
      </w:r>
      <w:r>
        <w:rPr>
          <w:color w:val="231F20"/>
        </w:rPr>
        <w:t>violé.</w:t>
      </w:r>
    </w:p>
    <w:p>
      <w:pPr>
        <w:pStyle w:val="BodyText"/>
        <w:spacing w:before="120"/>
        <w:ind w:right="105" w:firstLine="283"/>
      </w:pPr>
      <w:r>
        <w:rPr>
          <w:color w:val="231F20"/>
          <w:spacing w:val="-2"/>
        </w:rPr>
        <w:t>En</w:t>
      </w:r>
      <w:r>
        <w:rPr>
          <w:color w:val="231F20"/>
          <w:spacing w:val="-10"/>
        </w:rPr>
        <w:t> </w:t>
      </w:r>
      <w:r>
        <w:rPr>
          <w:color w:val="231F20"/>
          <w:spacing w:val="-2"/>
        </w:rPr>
        <w:t>janvier</w:t>
      </w:r>
      <w:r>
        <w:rPr>
          <w:color w:val="231F20"/>
          <w:spacing w:val="-10"/>
        </w:rPr>
        <w:t> </w:t>
      </w:r>
      <w:r>
        <w:rPr>
          <w:color w:val="231F20"/>
          <w:spacing w:val="-2"/>
        </w:rPr>
        <w:t>2019,</w:t>
      </w:r>
      <w:r>
        <w:rPr>
          <w:color w:val="231F20"/>
          <w:spacing w:val="-10"/>
        </w:rPr>
        <w:t> </w:t>
      </w:r>
      <w:r>
        <w:rPr>
          <w:color w:val="231F20"/>
          <w:spacing w:val="-2"/>
        </w:rPr>
        <w:t>Félix</w:t>
      </w:r>
      <w:r>
        <w:rPr>
          <w:color w:val="231F20"/>
          <w:spacing w:val="-10"/>
        </w:rPr>
        <w:t> </w:t>
      </w:r>
      <w:r>
        <w:rPr>
          <w:color w:val="231F20"/>
          <w:spacing w:val="-2"/>
        </w:rPr>
        <w:t>Tshisekedi</w:t>
      </w:r>
      <w:r>
        <w:rPr>
          <w:color w:val="231F20"/>
          <w:spacing w:val="-10"/>
        </w:rPr>
        <w:t> </w:t>
      </w:r>
      <w:r>
        <w:rPr>
          <w:color w:val="231F20"/>
          <w:spacing w:val="-2"/>
        </w:rPr>
        <w:t>succède</w:t>
      </w:r>
      <w:r>
        <w:rPr>
          <w:color w:val="231F20"/>
          <w:spacing w:val="-10"/>
        </w:rPr>
        <w:t> </w:t>
      </w:r>
      <w:r>
        <w:rPr>
          <w:color w:val="231F20"/>
          <w:spacing w:val="-2"/>
        </w:rPr>
        <w:t>à</w:t>
      </w:r>
      <w:r>
        <w:rPr>
          <w:color w:val="231F20"/>
          <w:spacing w:val="-10"/>
        </w:rPr>
        <w:t> </w:t>
      </w:r>
      <w:r>
        <w:rPr>
          <w:color w:val="231F20"/>
          <w:spacing w:val="-2"/>
        </w:rPr>
        <w:t>Joseph</w:t>
      </w:r>
      <w:r>
        <w:rPr>
          <w:color w:val="231F20"/>
          <w:spacing w:val="-12"/>
        </w:rPr>
        <w:t> </w:t>
      </w:r>
      <w:r>
        <w:rPr>
          <w:color w:val="231F20"/>
          <w:spacing w:val="-2"/>
        </w:rPr>
        <w:t>Kabila</w:t>
      </w:r>
      <w:r>
        <w:rPr>
          <w:color w:val="231F20"/>
          <w:spacing w:val="-10"/>
        </w:rPr>
        <w:t> </w:t>
      </w:r>
      <w:r>
        <w:rPr>
          <w:color w:val="231F20"/>
          <w:spacing w:val="-2"/>
        </w:rPr>
        <w:t>à</w:t>
      </w:r>
      <w:r>
        <w:rPr>
          <w:color w:val="231F20"/>
          <w:spacing w:val="-10"/>
        </w:rPr>
        <w:t> </w:t>
      </w:r>
      <w:r>
        <w:rPr>
          <w:color w:val="231F20"/>
          <w:spacing w:val="-2"/>
        </w:rPr>
        <w:t>la</w:t>
      </w:r>
      <w:r>
        <w:rPr>
          <w:color w:val="231F20"/>
          <w:spacing w:val="-11"/>
        </w:rPr>
        <w:t> </w:t>
      </w:r>
      <w:r>
        <w:rPr>
          <w:color w:val="231F20"/>
          <w:spacing w:val="-2"/>
        </w:rPr>
        <w:t>faveur </w:t>
      </w:r>
      <w:r>
        <w:rPr>
          <w:color w:val="231F20"/>
        </w:rPr>
        <w:t>d’un accord électoral conclu avec son prédécesseur. Mais pour les </w:t>
      </w:r>
      <w:r>
        <w:rPr>
          <w:color w:val="231F20"/>
          <w:spacing w:val="-2"/>
        </w:rPr>
        <w:t>Congolais,</w:t>
      </w:r>
      <w:r>
        <w:rPr>
          <w:color w:val="231F20"/>
          <w:spacing w:val="-13"/>
        </w:rPr>
        <w:t> </w:t>
      </w:r>
      <w:r>
        <w:rPr>
          <w:color w:val="231F20"/>
          <w:spacing w:val="-2"/>
        </w:rPr>
        <w:t>rien</w:t>
      </w:r>
      <w:r>
        <w:rPr>
          <w:color w:val="231F20"/>
          <w:spacing w:val="-13"/>
        </w:rPr>
        <w:t> </w:t>
      </w:r>
      <w:r>
        <w:rPr>
          <w:color w:val="231F20"/>
          <w:spacing w:val="-2"/>
        </w:rPr>
        <w:t>ne</w:t>
      </w:r>
      <w:r>
        <w:rPr>
          <w:color w:val="231F20"/>
          <w:spacing w:val="-13"/>
        </w:rPr>
        <w:t> </w:t>
      </w:r>
      <w:r>
        <w:rPr>
          <w:color w:val="231F20"/>
          <w:spacing w:val="-2"/>
        </w:rPr>
        <w:t>change</w:t>
      </w:r>
      <w:r>
        <w:rPr>
          <w:color w:val="231F20"/>
          <w:spacing w:val="-13"/>
        </w:rPr>
        <w:t> </w:t>
      </w:r>
      <w:r>
        <w:rPr>
          <w:color w:val="231F20"/>
          <w:spacing w:val="-2"/>
        </w:rPr>
        <w:t>:</w:t>
      </w:r>
      <w:r>
        <w:rPr>
          <w:color w:val="231F20"/>
          <w:spacing w:val="-13"/>
        </w:rPr>
        <w:t> </w:t>
      </w:r>
      <w:r>
        <w:rPr>
          <w:color w:val="231F20"/>
          <w:spacing w:val="-2"/>
        </w:rPr>
        <w:t>aucune</w:t>
      </w:r>
      <w:r>
        <w:rPr>
          <w:color w:val="231F20"/>
          <w:spacing w:val="-13"/>
        </w:rPr>
        <w:t> </w:t>
      </w:r>
      <w:r>
        <w:rPr>
          <w:color w:val="231F20"/>
          <w:spacing w:val="-2"/>
        </w:rPr>
        <w:t>industrie</w:t>
      </w:r>
      <w:r>
        <w:rPr>
          <w:color w:val="231F20"/>
          <w:spacing w:val="-13"/>
        </w:rPr>
        <w:t> </w:t>
      </w:r>
      <w:r>
        <w:rPr>
          <w:color w:val="231F20"/>
          <w:spacing w:val="-2"/>
        </w:rPr>
        <w:t>de</w:t>
      </w:r>
      <w:r>
        <w:rPr>
          <w:color w:val="231F20"/>
          <w:spacing w:val="-13"/>
        </w:rPr>
        <w:t> </w:t>
      </w:r>
      <w:r>
        <w:rPr>
          <w:color w:val="231F20"/>
          <w:spacing w:val="-2"/>
        </w:rPr>
        <w:t>pointe</w:t>
      </w:r>
      <w:r>
        <w:rPr>
          <w:color w:val="231F20"/>
          <w:spacing w:val="-13"/>
        </w:rPr>
        <w:t> </w:t>
      </w:r>
      <w:r>
        <w:rPr>
          <w:color w:val="231F20"/>
          <w:spacing w:val="-2"/>
        </w:rPr>
        <w:t>n’a</w:t>
      </w:r>
      <w:r>
        <w:rPr>
          <w:color w:val="231F20"/>
          <w:spacing w:val="-13"/>
        </w:rPr>
        <w:t> </w:t>
      </w:r>
      <w:r>
        <w:rPr>
          <w:color w:val="231F20"/>
          <w:spacing w:val="-2"/>
        </w:rPr>
        <w:t>été</w:t>
      </w:r>
      <w:r>
        <w:rPr>
          <w:color w:val="231F20"/>
          <w:spacing w:val="-13"/>
        </w:rPr>
        <w:t> </w:t>
      </w:r>
      <w:r>
        <w:rPr>
          <w:color w:val="231F20"/>
          <w:spacing w:val="-2"/>
        </w:rPr>
        <w:t>développée </w:t>
      </w:r>
      <w:r>
        <w:rPr>
          <w:color w:val="231F20"/>
        </w:rPr>
        <w:t>par les gouvernements successifs du pays dont l’économie souffre des détournements</w:t>
      </w:r>
      <w:r>
        <w:rPr>
          <w:color w:val="231F20"/>
          <w:spacing w:val="-14"/>
        </w:rPr>
        <w:t> </w:t>
      </w:r>
      <w:r>
        <w:rPr>
          <w:color w:val="231F20"/>
        </w:rPr>
        <w:t>de</w:t>
      </w:r>
      <w:r>
        <w:rPr>
          <w:color w:val="231F20"/>
          <w:spacing w:val="-13"/>
        </w:rPr>
        <w:t> </w:t>
      </w:r>
      <w:r>
        <w:rPr>
          <w:color w:val="231F20"/>
        </w:rPr>
        <w:t>fonds,</w:t>
      </w:r>
      <w:r>
        <w:rPr>
          <w:color w:val="231F20"/>
          <w:spacing w:val="-15"/>
        </w:rPr>
        <w:t> </w:t>
      </w:r>
      <w:r>
        <w:rPr>
          <w:color w:val="231F20"/>
        </w:rPr>
        <w:t>de</w:t>
      </w:r>
      <w:r>
        <w:rPr>
          <w:color w:val="231F20"/>
          <w:spacing w:val="-13"/>
        </w:rPr>
        <w:t> </w:t>
      </w:r>
      <w:r>
        <w:rPr>
          <w:color w:val="231F20"/>
        </w:rPr>
        <w:t>l’exploitation</w:t>
      </w:r>
      <w:r>
        <w:rPr>
          <w:color w:val="231F20"/>
          <w:spacing w:val="-15"/>
        </w:rPr>
        <w:t> </w:t>
      </w:r>
      <w:r>
        <w:rPr>
          <w:color w:val="231F20"/>
        </w:rPr>
        <w:t>clandestine</w:t>
      </w:r>
      <w:r>
        <w:rPr>
          <w:color w:val="231F20"/>
          <w:spacing w:val="-13"/>
        </w:rPr>
        <w:t> </w:t>
      </w:r>
      <w:r>
        <w:rPr>
          <w:color w:val="231F20"/>
        </w:rPr>
        <w:t>du</w:t>
      </w:r>
      <w:r>
        <w:rPr>
          <w:color w:val="231F20"/>
          <w:spacing w:val="-15"/>
        </w:rPr>
        <w:t> </w:t>
      </w:r>
      <w:r>
        <w:rPr>
          <w:color w:val="231F20"/>
        </w:rPr>
        <w:t>sous-sol</w:t>
      </w:r>
      <w:r>
        <w:rPr>
          <w:color w:val="231F20"/>
          <w:spacing w:val="-13"/>
        </w:rPr>
        <w:t> </w:t>
      </w:r>
      <w:r>
        <w:rPr>
          <w:color w:val="231F20"/>
        </w:rPr>
        <w:t>et</w:t>
      </w:r>
      <w:r>
        <w:rPr>
          <w:color w:val="231F20"/>
          <w:spacing w:val="-13"/>
        </w:rPr>
        <w:t> </w:t>
      </w:r>
      <w:r>
        <w:rPr>
          <w:color w:val="231F20"/>
        </w:rPr>
        <w:t>des </w:t>
      </w:r>
      <w:r>
        <w:rPr>
          <w:color w:val="231F20"/>
          <w:spacing w:val="-2"/>
        </w:rPr>
        <w:t>conflits</w:t>
      </w:r>
      <w:r>
        <w:rPr>
          <w:color w:val="231F20"/>
          <w:spacing w:val="-6"/>
        </w:rPr>
        <w:t> </w:t>
      </w:r>
      <w:r>
        <w:rPr>
          <w:color w:val="231F20"/>
          <w:spacing w:val="-2"/>
        </w:rPr>
        <w:t>armés.</w:t>
      </w:r>
      <w:r>
        <w:rPr>
          <w:color w:val="231F20"/>
          <w:spacing w:val="-8"/>
        </w:rPr>
        <w:t> </w:t>
      </w:r>
      <w:r>
        <w:rPr>
          <w:color w:val="231F20"/>
          <w:spacing w:val="-2"/>
        </w:rPr>
        <w:t>Rébellions,</w:t>
      </w:r>
      <w:r>
        <w:rPr>
          <w:color w:val="231F20"/>
          <w:spacing w:val="-4"/>
        </w:rPr>
        <w:t> </w:t>
      </w:r>
      <w:r>
        <w:rPr>
          <w:color w:val="231F20"/>
          <w:spacing w:val="-2"/>
        </w:rPr>
        <w:t>contre-rébellions,</w:t>
      </w:r>
      <w:r>
        <w:rPr>
          <w:color w:val="231F20"/>
          <w:spacing w:val="-7"/>
        </w:rPr>
        <w:t> </w:t>
      </w:r>
      <w:r>
        <w:rPr>
          <w:color w:val="231F20"/>
          <w:spacing w:val="-2"/>
        </w:rPr>
        <w:t>milices</w:t>
      </w:r>
      <w:r>
        <w:rPr>
          <w:color w:val="231F20"/>
          <w:spacing w:val="-4"/>
        </w:rPr>
        <w:t> </w:t>
      </w:r>
      <w:r>
        <w:rPr>
          <w:color w:val="231F20"/>
          <w:spacing w:val="-2"/>
        </w:rPr>
        <w:t>d’autodéfense…</w:t>
      </w:r>
      <w:r>
        <w:rPr>
          <w:color w:val="231F20"/>
          <w:spacing w:val="-7"/>
        </w:rPr>
        <w:t> </w:t>
      </w:r>
      <w:r>
        <w:rPr>
          <w:color w:val="231F20"/>
          <w:spacing w:val="-2"/>
        </w:rPr>
        <w:t>la </w:t>
      </w:r>
      <w:r>
        <w:rPr>
          <w:color w:val="231F20"/>
        </w:rPr>
        <w:t>République Démocratique du Congo est déchirée depuis 1998 par des affrontements</w:t>
      </w:r>
      <w:r>
        <w:rPr>
          <w:color w:val="231F20"/>
          <w:spacing w:val="-15"/>
        </w:rPr>
        <w:t> </w:t>
      </w:r>
      <w:r>
        <w:rPr>
          <w:color w:val="231F20"/>
        </w:rPr>
        <w:t>et</w:t>
      </w:r>
      <w:r>
        <w:rPr>
          <w:color w:val="231F20"/>
          <w:spacing w:val="-15"/>
        </w:rPr>
        <w:t> </w:t>
      </w:r>
      <w:r>
        <w:rPr>
          <w:color w:val="231F20"/>
        </w:rPr>
        <w:t>les</w:t>
      </w:r>
      <w:r>
        <w:rPr>
          <w:color w:val="231F20"/>
          <w:spacing w:val="-11"/>
        </w:rPr>
        <w:t> </w:t>
      </w:r>
      <w:r>
        <w:rPr>
          <w:color w:val="231F20"/>
        </w:rPr>
        <w:t>populations</w:t>
      </w:r>
      <w:r>
        <w:rPr>
          <w:color w:val="231F20"/>
          <w:spacing w:val="-11"/>
        </w:rPr>
        <w:t> </w:t>
      </w:r>
      <w:r>
        <w:rPr>
          <w:color w:val="231F20"/>
        </w:rPr>
        <w:t>de</w:t>
      </w:r>
      <w:r>
        <w:rPr>
          <w:color w:val="231F20"/>
          <w:spacing w:val="-11"/>
        </w:rPr>
        <w:t> </w:t>
      </w:r>
      <w:r>
        <w:rPr>
          <w:color w:val="231F20"/>
        </w:rPr>
        <w:t>la</w:t>
      </w:r>
      <w:r>
        <w:rPr>
          <w:color w:val="231F20"/>
          <w:spacing w:val="-9"/>
        </w:rPr>
        <w:t> </w:t>
      </w:r>
      <w:r>
        <w:rPr>
          <w:color w:val="231F20"/>
        </w:rPr>
        <w:t>région</w:t>
      </w:r>
      <w:r>
        <w:rPr>
          <w:color w:val="231F20"/>
          <w:spacing w:val="-11"/>
        </w:rPr>
        <w:t> </w:t>
      </w:r>
      <w:r>
        <w:rPr>
          <w:color w:val="231F20"/>
        </w:rPr>
        <w:t>de</w:t>
      </w:r>
      <w:r>
        <w:rPr>
          <w:color w:val="231F20"/>
          <w:spacing w:val="-12"/>
        </w:rPr>
        <w:t> </w:t>
      </w:r>
      <w:r>
        <w:rPr>
          <w:color w:val="231F20"/>
        </w:rPr>
        <w:t>l’Est</w:t>
      </w:r>
      <w:r>
        <w:rPr>
          <w:color w:val="231F20"/>
          <w:spacing w:val="-10"/>
        </w:rPr>
        <w:t> </w:t>
      </w:r>
      <w:r>
        <w:rPr>
          <w:color w:val="231F20"/>
        </w:rPr>
        <w:t>portent</w:t>
      </w:r>
      <w:r>
        <w:rPr>
          <w:color w:val="231F20"/>
          <w:spacing w:val="-10"/>
        </w:rPr>
        <w:t> </w:t>
      </w:r>
      <w:r>
        <w:rPr>
          <w:color w:val="231F20"/>
        </w:rPr>
        <w:t>le</w:t>
      </w:r>
      <w:r>
        <w:rPr>
          <w:color w:val="231F20"/>
          <w:spacing w:val="-12"/>
        </w:rPr>
        <w:t> </w:t>
      </w:r>
      <w:r>
        <w:rPr>
          <w:color w:val="231F20"/>
        </w:rPr>
        <w:t>poids</w:t>
      </w:r>
      <w:r>
        <w:rPr>
          <w:color w:val="231F20"/>
          <w:spacing w:val="-11"/>
        </w:rPr>
        <w:t> </w:t>
      </w:r>
      <w:r>
        <w:rPr>
          <w:color w:val="231F20"/>
        </w:rPr>
        <w:t>de </w:t>
      </w:r>
      <w:r>
        <w:rPr>
          <w:color w:val="231F20"/>
          <w:spacing w:val="-2"/>
        </w:rPr>
        <w:t>la</w:t>
      </w:r>
      <w:r>
        <w:rPr>
          <w:color w:val="231F20"/>
          <w:spacing w:val="-12"/>
        </w:rPr>
        <w:t> </w:t>
      </w:r>
      <w:r>
        <w:rPr>
          <w:color w:val="231F20"/>
          <w:spacing w:val="-2"/>
        </w:rPr>
        <w:t>loi</w:t>
      </w:r>
      <w:r>
        <w:rPr>
          <w:color w:val="231F20"/>
          <w:spacing w:val="-11"/>
        </w:rPr>
        <w:t> </w:t>
      </w:r>
      <w:r>
        <w:rPr>
          <w:color w:val="231F20"/>
          <w:spacing w:val="-2"/>
        </w:rPr>
        <w:t>de</w:t>
      </w:r>
      <w:r>
        <w:rPr>
          <w:color w:val="231F20"/>
          <w:spacing w:val="-12"/>
        </w:rPr>
        <w:t> </w:t>
      </w:r>
      <w:r>
        <w:rPr>
          <w:color w:val="231F20"/>
          <w:spacing w:val="-2"/>
        </w:rPr>
        <w:t>la</w:t>
      </w:r>
      <w:r>
        <w:rPr>
          <w:color w:val="231F20"/>
          <w:spacing w:val="-12"/>
        </w:rPr>
        <w:t> </w:t>
      </w:r>
      <w:r>
        <w:rPr>
          <w:color w:val="231F20"/>
          <w:spacing w:val="-2"/>
        </w:rPr>
        <w:t>kalachnikov</w:t>
      </w:r>
      <w:r>
        <w:rPr>
          <w:color w:val="231F20"/>
          <w:spacing w:val="-12"/>
        </w:rPr>
        <w:t> </w:t>
      </w:r>
      <w:r>
        <w:rPr>
          <w:color w:val="231F20"/>
          <w:spacing w:val="-2"/>
        </w:rPr>
        <w:t>:</w:t>
      </w:r>
      <w:r>
        <w:rPr>
          <w:color w:val="231F20"/>
          <w:spacing w:val="-11"/>
        </w:rPr>
        <w:t> </w:t>
      </w:r>
      <w:r>
        <w:rPr>
          <w:color w:val="231F20"/>
          <w:spacing w:val="-2"/>
        </w:rPr>
        <w:t>près</w:t>
      </w:r>
      <w:r>
        <w:rPr>
          <w:color w:val="231F20"/>
          <w:spacing w:val="-12"/>
        </w:rPr>
        <w:t> </w:t>
      </w:r>
      <w:r>
        <w:rPr>
          <w:color w:val="231F20"/>
          <w:spacing w:val="-2"/>
        </w:rPr>
        <w:t>de</w:t>
      </w:r>
      <w:r>
        <w:rPr>
          <w:color w:val="231F20"/>
          <w:spacing w:val="-12"/>
        </w:rPr>
        <w:t> </w:t>
      </w:r>
      <w:r>
        <w:rPr>
          <w:color w:val="231F20"/>
          <w:spacing w:val="-2"/>
        </w:rPr>
        <w:t>70</w:t>
      </w:r>
      <w:r>
        <w:rPr>
          <w:color w:val="231F20"/>
          <w:spacing w:val="-10"/>
        </w:rPr>
        <w:t> </w:t>
      </w:r>
      <w:r>
        <w:rPr>
          <w:color w:val="231F20"/>
          <w:spacing w:val="-2"/>
        </w:rPr>
        <w:t>groupes</w:t>
      </w:r>
      <w:r>
        <w:rPr>
          <w:color w:val="231F20"/>
          <w:spacing w:val="-12"/>
        </w:rPr>
        <w:t> </w:t>
      </w:r>
      <w:r>
        <w:rPr>
          <w:color w:val="231F20"/>
          <w:spacing w:val="-2"/>
        </w:rPr>
        <w:t>armés</w:t>
      </w:r>
      <w:r>
        <w:rPr>
          <w:color w:val="231F20"/>
          <w:spacing w:val="-12"/>
        </w:rPr>
        <w:t> </w:t>
      </w:r>
      <w:r>
        <w:rPr>
          <w:color w:val="231F20"/>
          <w:spacing w:val="-2"/>
        </w:rPr>
        <w:t>nationaux</w:t>
      </w:r>
      <w:r>
        <w:rPr>
          <w:color w:val="231F20"/>
          <w:spacing w:val="-12"/>
        </w:rPr>
        <w:t> </w:t>
      </w:r>
      <w:r>
        <w:rPr>
          <w:color w:val="231F20"/>
          <w:spacing w:val="-2"/>
        </w:rPr>
        <w:t>et</w:t>
      </w:r>
      <w:r>
        <w:rPr>
          <w:color w:val="231F20"/>
          <w:spacing w:val="-11"/>
        </w:rPr>
        <w:t> </w:t>
      </w:r>
      <w:r>
        <w:rPr>
          <w:color w:val="231F20"/>
          <w:spacing w:val="-2"/>
        </w:rPr>
        <w:t>étrangers </w:t>
      </w:r>
      <w:r>
        <w:rPr>
          <w:color w:val="231F20"/>
        </w:rPr>
        <w:t>sévissent dans les provinces du Nord-Kivu et du Sud-Kivu. Dans ces régions, à plus de 2</w:t>
      </w:r>
      <w:r>
        <w:rPr>
          <w:color w:val="231F20"/>
          <w:spacing w:val="-15"/>
        </w:rPr>
        <w:t> </w:t>
      </w:r>
      <w:r>
        <w:rPr>
          <w:color w:val="231F20"/>
        </w:rPr>
        <w:t>500 kilomètres de la capitale Kinshasa, l’État est inexistant</w:t>
      </w:r>
      <w:r>
        <w:rPr>
          <w:color w:val="231F20"/>
          <w:spacing w:val="-14"/>
        </w:rPr>
        <w:t> </w:t>
      </w:r>
      <w:r>
        <w:rPr>
          <w:color w:val="231F20"/>
        </w:rPr>
        <w:t>et</w:t>
      </w:r>
      <w:r>
        <w:rPr>
          <w:color w:val="231F20"/>
          <w:spacing w:val="-14"/>
        </w:rPr>
        <w:t> </w:t>
      </w:r>
      <w:r>
        <w:rPr>
          <w:color w:val="231F20"/>
        </w:rPr>
        <w:t>les</w:t>
      </w:r>
      <w:r>
        <w:rPr>
          <w:color w:val="231F20"/>
          <w:spacing w:val="-14"/>
        </w:rPr>
        <w:t> </w:t>
      </w:r>
      <w:r>
        <w:rPr>
          <w:color w:val="231F20"/>
        </w:rPr>
        <w:t>populations</w:t>
      </w:r>
      <w:r>
        <w:rPr>
          <w:color w:val="231F20"/>
          <w:spacing w:val="-15"/>
        </w:rPr>
        <w:t> </w:t>
      </w:r>
      <w:r>
        <w:rPr>
          <w:color w:val="231F20"/>
        </w:rPr>
        <w:t>vivent</w:t>
      </w:r>
      <w:r>
        <w:rPr>
          <w:color w:val="231F20"/>
          <w:spacing w:val="-14"/>
        </w:rPr>
        <w:t> </w:t>
      </w:r>
      <w:r>
        <w:rPr>
          <w:color w:val="231F20"/>
        </w:rPr>
        <w:t>continuellement</w:t>
      </w:r>
      <w:r>
        <w:rPr>
          <w:color w:val="231F20"/>
          <w:spacing w:val="-15"/>
        </w:rPr>
        <w:t> </w:t>
      </w:r>
      <w:r>
        <w:rPr>
          <w:color w:val="231F20"/>
        </w:rPr>
        <w:t>dans</w:t>
      </w:r>
      <w:r>
        <w:rPr>
          <w:color w:val="231F20"/>
          <w:spacing w:val="-15"/>
        </w:rPr>
        <w:t> </w:t>
      </w:r>
      <w:r>
        <w:rPr>
          <w:color w:val="231F20"/>
        </w:rPr>
        <w:t>la</w:t>
      </w:r>
      <w:r>
        <w:rPr>
          <w:color w:val="231F20"/>
          <w:spacing w:val="-14"/>
        </w:rPr>
        <w:t> </w:t>
      </w:r>
      <w:r>
        <w:rPr>
          <w:color w:val="231F20"/>
        </w:rPr>
        <w:t>psychose</w:t>
      </w:r>
      <w:r>
        <w:rPr>
          <w:color w:val="231F20"/>
          <w:spacing w:val="-13"/>
        </w:rPr>
        <w:t> </w:t>
      </w:r>
      <w:r>
        <w:rPr>
          <w:color w:val="231F20"/>
        </w:rPr>
        <w:t>de la guerre.</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63"/>
        <w:ind w:left="0"/>
        <w:jc w:val="left"/>
        <w:rPr>
          <w:sz w:val="20"/>
        </w:rPr>
      </w:pPr>
      <w:r>
        <w:rPr/>
        <mc:AlternateContent>
          <mc:Choice Requires="wps">
            <w:drawing>
              <wp:anchor distT="0" distB="0" distL="0" distR="0" allowOverlap="1" layoutInCell="1" locked="0" behindDoc="1" simplePos="0" relativeHeight="487603200">
                <wp:simplePos x="0" y="0"/>
                <wp:positionH relativeFrom="page">
                  <wp:posOffset>629907</wp:posOffset>
                </wp:positionH>
                <wp:positionV relativeFrom="paragraph">
                  <wp:posOffset>265267</wp:posOffset>
                </wp:positionV>
                <wp:extent cx="1829435" cy="9525"/>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887188pt;width:144.020pt;height:.72pt;mso-position-horizontal-relative:page;mso-position-vertical-relative:paragraph;z-index:-15713280;mso-wrap-distance-left:0;mso-wrap-distance-right:0" id="docshape43"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47</w:t>
      </w:r>
      <w:r>
        <w:rPr>
          <w:color w:val="76787A"/>
          <w:spacing w:val="2"/>
          <w:sz w:val="20"/>
          <w:vertAlign w:val="baseline"/>
        </w:rPr>
        <w:t> </w:t>
      </w:r>
      <w:r>
        <w:rPr>
          <w:color w:val="231F20"/>
          <w:spacing w:val="-4"/>
          <w:sz w:val="20"/>
          <w:vertAlign w:val="baseline"/>
        </w:rPr>
        <w:t>Kampala,</w:t>
      </w:r>
      <w:r>
        <w:rPr>
          <w:color w:val="231F20"/>
          <w:spacing w:val="-1"/>
          <w:sz w:val="20"/>
          <w:vertAlign w:val="baseline"/>
        </w:rPr>
        <w:t> </w:t>
      </w:r>
      <w:r>
        <w:rPr>
          <w:color w:val="231F20"/>
          <w:spacing w:val="-4"/>
          <w:sz w:val="20"/>
          <w:vertAlign w:val="baseline"/>
        </w:rPr>
        <w:t>capitale</w:t>
      </w:r>
      <w:r>
        <w:rPr>
          <w:color w:val="231F20"/>
          <w:spacing w:val="-3"/>
          <w:sz w:val="20"/>
          <w:vertAlign w:val="baseline"/>
        </w:rPr>
        <w:t> </w:t>
      </w:r>
      <w:r>
        <w:rPr>
          <w:color w:val="231F20"/>
          <w:spacing w:val="-4"/>
          <w:sz w:val="20"/>
          <w:vertAlign w:val="baseline"/>
        </w:rPr>
        <w:t>de l’Ouganda</w:t>
      </w:r>
      <w:r>
        <w:rPr>
          <w:color w:val="231F20"/>
          <w:spacing w:val="-2"/>
          <w:sz w:val="20"/>
          <w:vertAlign w:val="baseline"/>
        </w:rPr>
        <w:t> </w:t>
      </w:r>
      <w:r>
        <w:rPr>
          <w:color w:val="231F20"/>
          <w:spacing w:val="-4"/>
          <w:sz w:val="20"/>
          <w:vertAlign w:val="baseline"/>
        </w:rPr>
        <w:t>;</w:t>
      </w:r>
      <w:r>
        <w:rPr>
          <w:color w:val="231F20"/>
          <w:spacing w:val="-1"/>
          <w:sz w:val="20"/>
          <w:vertAlign w:val="baseline"/>
        </w:rPr>
        <w:t> </w:t>
      </w:r>
      <w:r>
        <w:rPr>
          <w:color w:val="231F20"/>
          <w:spacing w:val="-4"/>
          <w:sz w:val="20"/>
          <w:vertAlign w:val="baseline"/>
        </w:rPr>
        <w:t>Bujumbura,</w:t>
      </w:r>
      <w:r>
        <w:rPr>
          <w:color w:val="231F20"/>
          <w:spacing w:val="-3"/>
          <w:sz w:val="20"/>
          <w:vertAlign w:val="baseline"/>
        </w:rPr>
        <w:t> </w:t>
      </w:r>
      <w:r>
        <w:rPr>
          <w:color w:val="231F20"/>
          <w:spacing w:val="-4"/>
          <w:sz w:val="20"/>
          <w:vertAlign w:val="baseline"/>
        </w:rPr>
        <w:t>capitale</w:t>
      </w:r>
      <w:r>
        <w:rPr>
          <w:color w:val="231F20"/>
          <w:spacing w:val="-2"/>
          <w:sz w:val="20"/>
          <w:vertAlign w:val="baseline"/>
        </w:rPr>
        <w:t> </w:t>
      </w:r>
      <w:r>
        <w:rPr>
          <w:color w:val="231F20"/>
          <w:spacing w:val="-4"/>
          <w:sz w:val="20"/>
          <w:vertAlign w:val="baseline"/>
        </w:rPr>
        <w:t>économique</w:t>
      </w:r>
      <w:r>
        <w:rPr>
          <w:color w:val="231F20"/>
          <w:spacing w:val="-2"/>
          <w:sz w:val="20"/>
          <w:vertAlign w:val="baseline"/>
        </w:rPr>
        <w:t> </w:t>
      </w:r>
      <w:r>
        <w:rPr>
          <w:color w:val="231F20"/>
          <w:spacing w:val="-4"/>
          <w:sz w:val="20"/>
          <w:vertAlign w:val="baseline"/>
        </w:rPr>
        <w:t>du</w:t>
      </w:r>
      <w:r>
        <w:rPr>
          <w:color w:val="231F20"/>
          <w:sz w:val="20"/>
          <w:vertAlign w:val="baseline"/>
        </w:rPr>
        <w:t> </w:t>
      </w:r>
      <w:r>
        <w:rPr>
          <w:color w:val="231F20"/>
          <w:spacing w:val="-4"/>
          <w:sz w:val="20"/>
          <w:vertAlign w:val="baseline"/>
        </w:rPr>
        <w:t>Burundi</w:t>
      </w:r>
    </w:p>
    <w:p>
      <w:pPr>
        <w:spacing w:after="0"/>
        <w:jc w:val="left"/>
        <w:rPr>
          <w:sz w:val="20"/>
        </w:rPr>
        <w:sectPr>
          <w:pgSz w:w="8790" w:h="13610"/>
          <w:pgMar w:header="0" w:footer="802" w:top="1060" w:bottom="1000" w:left="880" w:right="880"/>
        </w:sectPr>
      </w:pPr>
    </w:p>
    <w:p>
      <w:pPr>
        <w:pStyle w:val="Heading2"/>
        <w:spacing w:before="72"/>
      </w:pPr>
      <w:bookmarkStart w:name="_TOC_250036" w:id="7"/>
      <w:r>
        <w:rPr>
          <w:color w:val="231F20"/>
        </w:rPr>
        <w:t>La</w:t>
      </w:r>
      <w:r>
        <w:rPr>
          <w:color w:val="231F20"/>
          <w:spacing w:val="-12"/>
        </w:rPr>
        <w:t> </w:t>
      </w:r>
      <w:r>
        <w:rPr>
          <w:color w:val="231F20"/>
        </w:rPr>
        <w:t>culture</w:t>
      </w:r>
      <w:r>
        <w:rPr>
          <w:color w:val="231F20"/>
          <w:spacing w:val="-14"/>
        </w:rPr>
        <w:t> </w:t>
      </w:r>
      <w:r>
        <w:rPr>
          <w:color w:val="231F20"/>
        </w:rPr>
        <w:t>de</w:t>
      </w:r>
      <w:r>
        <w:rPr>
          <w:color w:val="231F20"/>
          <w:spacing w:val="-15"/>
        </w:rPr>
        <w:t> </w:t>
      </w:r>
      <w:r>
        <w:rPr>
          <w:color w:val="231F20"/>
        </w:rPr>
        <w:t>la</w:t>
      </w:r>
      <w:r>
        <w:rPr>
          <w:color w:val="231F20"/>
          <w:spacing w:val="-13"/>
        </w:rPr>
        <w:t> </w:t>
      </w:r>
      <w:bookmarkEnd w:id="7"/>
      <w:r>
        <w:rPr>
          <w:color w:val="231F20"/>
          <w:spacing w:val="-4"/>
        </w:rPr>
        <w:t>haine</w:t>
      </w:r>
    </w:p>
    <w:p>
      <w:pPr>
        <w:pStyle w:val="Heading3"/>
        <w:spacing w:before="248"/>
        <w:jc w:val="left"/>
        <w:rPr>
          <w:rFonts w:ascii="Times New Roman" w:hAnsi="Times New Roman"/>
          <w:b w:val="0"/>
          <w:i w:val="0"/>
        </w:rPr>
      </w:pPr>
      <w:r>
        <w:rPr>
          <w:i/>
          <w:color w:val="231F20"/>
          <w:spacing w:val="-2"/>
        </w:rPr>
        <w:t>La</w:t>
      </w:r>
      <w:r>
        <w:rPr>
          <w:i/>
          <w:color w:val="231F20"/>
          <w:spacing w:val="-8"/>
        </w:rPr>
        <w:t> </w:t>
      </w:r>
      <w:r>
        <w:rPr>
          <w:i/>
          <w:color w:val="231F20"/>
          <w:spacing w:val="-2"/>
        </w:rPr>
        <w:t>République</w:t>
      </w:r>
      <w:r>
        <w:rPr>
          <w:i/>
          <w:color w:val="231F20"/>
          <w:spacing w:val="-9"/>
        </w:rPr>
        <w:t> </w:t>
      </w:r>
      <w:r>
        <w:rPr>
          <w:i/>
          <w:color w:val="231F20"/>
          <w:spacing w:val="-2"/>
        </w:rPr>
        <w:t>du</w:t>
      </w:r>
      <w:r>
        <w:rPr>
          <w:i/>
          <w:color w:val="231F20"/>
          <w:spacing w:val="-8"/>
        </w:rPr>
        <w:t> </w:t>
      </w:r>
      <w:r>
        <w:rPr>
          <w:i/>
          <w:color w:val="231F20"/>
          <w:spacing w:val="-2"/>
        </w:rPr>
        <w:t>Rwanda</w:t>
      </w:r>
      <w:r>
        <w:rPr>
          <w:rFonts w:ascii="Times New Roman" w:hAnsi="Times New Roman"/>
          <w:b w:val="0"/>
          <w:i w:val="0"/>
          <w:color w:val="231F20"/>
          <w:spacing w:val="-2"/>
          <w:vertAlign w:val="superscript"/>
        </w:rPr>
        <w:t>48</w:t>
      </w:r>
    </w:p>
    <w:p>
      <w:pPr>
        <w:pStyle w:val="BodyText"/>
        <w:spacing w:before="253"/>
        <w:ind w:right="105" w:firstLine="283"/>
      </w:pPr>
      <w:r>
        <w:rPr>
          <w:color w:val="231F20"/>
        </w:rPr>
        <w:t>Le Rwanda, surnommé le «</w:t>
      </w:r>
      <w:r>
        <w:rPr>
          <w:color w:val="231F20"/>
          <w:spacing w:val="-15"/>
        </w:rPr>
        <w:t> </w:t>
      </w:r>
      <w:r>
        <w:rPr>
          <w:color w:val="231F20"/>
        </w:rPr>
        <w:t>pays des mille collines</w:t>
      </w:r>
      <w:r>
        <w:rPr>
          <w:color w:val="231F20"/>
          <w:spacing w:val="-13"/>
        </w:rPr>
        <w:t> </w:t>
      </w:r>
      <w:r>
        <w:rPr>
          <w:color w:val="231F20"/>
        </w:rPr>
        <w:t>» en Afrique de </w:t>
      </w:r>
      <w:r>
        <w:rPr>
          <w:color w:val="231F20"/>
          <w:spacing w:val="-4"/>
        </w:rPr>
        <w:t>l’Est</w:t>
      </w:r>
      <w:r>
        <w:rPr>
          <w:color w:val="231F20"/>
          <w:spacing w:val="-11"/>
        </w:rPr>
        <w:t> </w:t>
      </w:r>
      <w:r>
        <w:rPr>
          <w:color w:val="231F20"/>
          <w:spacing w:val="-4"/>
        </w:rPr>
        <w:t>s’étend</w:t>
      </w:r>
      <w:r>
        <w:rPr>
          <w:color w:val="231F20"/>
          <w:spacing w:val="-11"/>
        </w:rPr>
        <w:t> </w:t>
      </w:r>
      <w:r>
        <w:rPr>
          <w:color w:val="231F20"/>
          <w:spacing w:val="-4"/>
        </w:rPr>
        <w:t>sur</w:t>
      </w:r>
      <w:r>
        <w:rPr>
          <w:color w:val="231F20"/>
          <w:spacing w:val="-11"/>
        </w:rPr>
        <w:t> </w:t>
      </w:r>
      <w:r>
        <w:rPr>
          <w:color w:val="231F20"/>
          <w:spacing w:val="-4"/>
        </w:rPr>
        <w:t>26</w:t>
      </w:r>
      <w:r>
        <w:rPr>
          <w:color w:val="231F20"/>
          <w:spacing w:val="-11"/>
        </w:rPr>
        <w:t> </w:t>
      </w:r>
      <w:r>
        <w:rPr>
          <w:color w:val="231F20"/>
          <w:spacing w:val="-4"/>
        </w:rPr>
        <w:t>338</w:t>
      </w:r>
      <w:r>
        <w:rPr>
          <w:color w:val="231F20"/>
          <w:spacing w:val="-11"/>
        </w:rPr>
        <w:t> </w:t>
      </w:r>
      <w:r>
        <w:rPr>
          <w:color w:val="231F20"/>
          <w:spacing w:val="-4"/>
        </w:rPr>
        <w:t>km2</w:t>
      </w:r>
      <w:r>
        <w:rPr>
          <w:color w:val="231F20"/>
          <w:spacing w:val="-3"/>
        </w:rPr>
        <w:t> </w:t>
      </w:r>
      <w:r>
        <w:rPr>
          <w:color w:val="231F20"/>
          <w:spacing w:val="-4"/>
        </w:rPr>
        <w:t>dans</w:t>
      </w:r>
      <w:r>
        <w:rPr>
          <w:color w:val="231F20"/>
          <w:spacing w:val="-11"/>
        </w:rPr>
        <w:t> </w:t>
      </w:r>
      <w:r>
        <w:rPr>
          <w:color w:val="231F20"/>
          <w:spacing w:val="-4"/>
        </w:rPr>
        <w:t>la</w:t>
      </w:r>
      <w:r>
        <w:rPr>
          <w:color w:val="231F20"/>
        </w:rPr>
        <w:t> </w:t>
      </w:r>
      <w:r>
        <w:rPr>
          <w:color w:val="231F20"/>
          <w:spacing w:val="-4"/>
        </w:rPr>
        <w:t>région</w:t>
      </w:r>
      <w:r>
        <w:rPr>
          <w:color w:val="231F20"/>
          <w:spacing w:val="-11"/>
        </w:rPr>
        <w:t> </w:t>
      </w:r>
      <w:r>
        <w:rPr>
          <w:color w:val="231F20"/>
          <w:spacing w:val="-4"/>
        </w:rPr>
        <w:t>des</w:t>
      </w:r>
      <w:r>
        <w:rPr>
          <w:color w:val="231F20"/>
          <w:spacing w:val="-11"/>
        </w:rPr>
        <w:t> </w:t>
      </w:r>
      <w:r>
        <w:rPr>
          <w:color w:val="231F20"/>
          <w:spacing w:val="-4"/>
        </w:rPr>
        <w:t>Grands</w:t>
      </w:r>
      <w:r>
        <w:rPr>
          <w:color w:val="231F20"/>
          <w:spacing w:val="-11"/>
        </w:rPr>
        <w:t> </w:t>
      </w:r>
      <w:r>
        <w:rPr>
          <w:color w:val="231F20"/>
          <w:spacing w:val="-4"/>
        </w:rPr>
        <w:t>Lacs.</w:t>
      </w:r>
      <w:r>
        <w:rPr>
          <w:color w:val="231F20"/>
          <w:spacing w:val="-11"/>
        </w:rPr>
        <w:t> </w:t>
      </w:r>
      <w:r>
        <w:rPr>
          <w:color w:val="231F20"/>
          <w:spacing w:val="-4"/>
        </w:rPr>
        <w:t>Indépendant </w:t>
      </w:r>
      <w:r>
        <w:rPr>
          <w:color w:val="231F20"/>
        </w:rPr>
        <w:t>en</w:t>
      </w:r>
      <w:r>
        <w:rPr>
          <w:color w:val="231F20"/>
          <w:spacing w:val="-15"/>
        </w:rPr>
        <w:t> </w:t>
      </w:r>
      <w:r>
        <w:rPr>
          <w:color w:val="231F20"/>
        </w:rPr>
        <w:t>1962,</w:t>
      </w:r>
      <w:r>
        <w:rPr>
          <w:color w:val="231F20"/>
          <w:spacing w:val="-15"/>
        </w:rPr>
        <w:t> </w:t>
      </w:r>
      <w:r>
        <w:rPr>
          <w:color w:val="231F20"/>
        </w:rPr>
        <w:t>il</w:t>
      </w:r>
      <w:r>
        <w:rPr>
          <w:color w:val="231F20"/>
          <w:spacing w:val="-15"/>
        </w:rPr>
        <w:t> </w:t>
      </w:r>
      <w:r>
        <w:rPr>
          <w:color w:val="231F20"/>
        </w:rPr>
        <w:t>partage</w:t>
      </w:r>
      <w:r>
        <w:rPr>
          <w:color w:val="231F20"/>
          <w:spacing w:val="-15"/>
        </w:rPr>
        <w:t> </w:t>
      </w:r>
      <w:r>
        <w:rPr>
          <w:color w:val="231F20"/>
        </w:rPr>
        <w:t>des</w:t>
      </w:r>
      <w:r>
        <w:rPr>
          <w:color w:val="231F20"/>
          <w:spacing w:val="-15"/>
        </w:rPr>
        <w:t> </w:t>
      </w:r>
      <w:r>
        <w:rPr>
          <w:color w:val="231F20"/>
        </w:rPr>
        <w:t>frontières</w:t>
      </w:r>
      <w:r>
        <w:rPr>
          <w:color w:val="231F20"/>
          <w:spacing w:val="-15"/>
        </w:rPr>
        <w:t> </w:t>
      </w:r>
      <w:r>
        <w:rPr>
          <w:color w:val="231F20"/>
        </w:rPr>
        <w:t>avec</w:t>
      </w:r>
      <w:r>
        <w:rPr>
          <w:color w:val="231F20"/>
          <w:spacing w:val="-15"/>
        </w:rPr>
        <w:t> </w:t>
      </w:r>
      <w:r>
        <w:rPr>
          <w:color w:val="231F20"/>
        </w:rPr>
        <w:t>l’Ouganda</w:t>
      </w:r>
      <w:r>
        <w:rPr>
          <w:color w:val="231F20"/>
          <w:spacing w:val="-15"/>
        </w:rPr>
        <w:t> </w:t>
      </w:r>
      <w:r>
        <w:rPr>
          <w:color w:val="231F20"/>
        </w:rPr>
        <w:t>au</w:t>
      </w:r>
      <w:r>
        <w:rPr>
          <w:color w:val="231F20"/>
          <w:spacing w:val="-15"/>
        </w:rPr>
        <w:t> </w:t>
      </w:r>
      <w:r>
        <w:rPr>
          <w:color w:val="231F20"/>
        </w:rPr>
        <w:t>Nord,</w:t>
      </w:r>
      <w:r>
        <w:rPr>
          <w:color w:val="231F20"/>
          <w:spacing w:val="-15"/>
        </w:rPr>
        <w:t> </w:t>
      </w:r>
      <w:r>
        <w:rPr>
          <w:color w:val="231F20"/>
        </w:rPr>
        <w:t>la</w:t>
      </w:r>
      <w:r>
        <w:rPr>
          <w:color w:val="231F20"/>
          <w:spacing w:val="-15"/>
        </w:rPr>
        <w:t> </w:t>
      </w:r>
      <w:r>
        <w:rPr>
          <w:color w:val="231F20"/>
        </w:rPr>
        <w:t>Tanzanie</w:t>
      </w:r>
      <w:r>
        <w:rPr>
          <w:color w:val="231F20"/>
          <w:spacing w:val="-15"/>
        </w:rPr>
        <w:t> </w:t>
      </w:r>
      <w:r>
        <w:rPr>
          <w:color w:val="231F20"/>
        </w:rPr>
        <w:t>à l’Est,</w:t>
      </w:r>
      <w:r>
        <w:rPr>
          <w:color w:val="231F20"/>
          <w:spacing w:val="-13"/>
        </w:rPr>
        <w:t> </w:t>
      </w:r>
      <w:r>
        <w:rPr>
          <w:color w:val="231F20"/>
        </w:rPr>
        <w:t>la</w:t>
      </w:r>
      <w:r>
        <w:rPr>
          <w:color w:val="231F20"/>
          <w:spacing w:val="-15"/>
        </w:rPr>
        <w:t> </w:t>
      </w:r>
      <w:r>
        <w:rPr>
          <w:color w:val="231F20"/>
        </w:rPr>
        <w:t>République</w:t>
      </w:r>
      <w:r>
        <w:rPr>
          <w:color w:val="231F20"/>
          <w:spacing w:val="-7"/>
        </w:rPr>
        <w:t> </w:t>
      </w:r>
      <w:r>
        <w:rPr>
          <w:color w:val="231F20"/>
        </w:rPr>
        <w:t>Démocratique</w:t>
      </w:r>
      <w:r>
        <w:rPr>
          <w:color w:val="231F20"/>
          <w:spacing w:val="-7"/>
        </w:rPr>
        <w:t> </w:t>
      </w:r>
      <w:r>
        <w:rPr>
          <w:color w:val="231F20"/>
        </w:rPr>
        <w:t>du</w:t>
      </w:r>
      <w:r>
        <w:rPr>
          <w:color w:val="231F20"/>
          <w:spacing w:val="-6"/>
        </w:rPr>
        <w:t> </w:t>
      </w:r>
      <w:r>
        <w:rPr>
          <w:color w:val="231F20"/>
        </w:rPr>
        <w:t>Congo</w:t>
      </w:r>
      <w:r>
        <w:rPr>
          <w:color w:val="231F20"/>
          <w:spacing w:val="-6"/>
        </w:rPr>
        <w:t> </w:t>
      </w:r>
      <w:r>
        <w:rPr>
          <w:color w:val="231F20"/>
        </w:rPr>
        <w:t>à</w:t>
      </w:r>
      <w:r>
        <w:rPr>
          <w:color w:val="231F20"/>
          <w:spacing w:val="-7"/>
        </w:rPr>
        <w:t> </w:t>
      </w:r>
      <w:r>
        <w:rPr>
          <w:color w:val="231F20"/>
        </w:rPr>
        <w:t>l’Ouest</w:t>
      </w:r>
      <w:r>
        <w:rPr>
          <w:color w:val="231F20"/>
          <w:spacing w:val="-5"/>
        </w:rPr>
        <w:t> </w:t>
      </w:r>
      <w:r>
        <w:rPr>
          <w:color w:val="231F20"/>
        </w:rPr>
        <w:t>et</w:t>
      </w:r>
      <w:r>
        <w:rPr>
          <w:color w:val="231F20"/>
          <w:spacing w:val="-6"/>
        </w:rPr>
        <w:t> </w:t>
      </w:r>
      <w:r>
        <w:rPr>
          <w:color w:val="231F20"/>
        </w:rPr>
        <w:t>le</w:t>
      </w:r>
      <w:r>
        <w:rPr>
          <w:color w:val="231F20"/>
          <w:spacing w:val="-15"/>
        </w:rPr>
        <w:t> </w:t>
      </w:r>
      <w:r>
        <w:rPr>
          <w:color w:val="231F20"/>
        </w:rPr>
        <w:t>Burundi</w:t>
      </w:r>
      <w:r>
        <w:rPr>
          <w:color w:val="231F20"/>
          <w:spacing w:val="-6"/>
        </w:rPr>
        <w:t> </w:t>
      </w:r>
      <w:r>
        <w:rPr>
          <w:color w:val="231F20"/>
        </w:rPr>
        <w:t>au </w:t>
      </w:r>
      <w:r>
        <w:rPr>
          <w:color w:val="231F20"/>
          <w:spacing w:val="-4"/>
        </w:rPr>
        <w:t>Sud.</w:t>
      </w:r>
    </w:p>
    <w:p>
      <w:pPr>
        <w:pStyle w:val="BodyText"/>
        <w:spacing w:before="120"/>
        <w:ind w:right="105" w:firstLine="283"/>
      </w:pPr>
      <w:r>
        <w:rPr>
          <w:color w:val="231F20"/>
        </w:rPr>
        <w:t>Le Rwanda et le Burundi ont en commun la</w:t>
      </w:r>
      <w:r>
        <w:rPr>
          <w:color w:val="231F20"/>
          <w:spacing w:val="-12"/>
        </w:rPr>
        <w:t> </w:t>
      </w:r>
      <w:r>
        <w:rPr>
          <w:color w:val="231F20"/>
        </w:rPr>
        <w:t>même population, composée</w:t>
      </w:r>
      <w:r>
        <w:rPr>
          <w:color w:val="231F20"/>
          <w:spacing w:val="-2"/>
        </w:rPr>
        <w:t> </w:t>
      </w:r>
      <w:r>
        <w:rPr>
          <w:color w:val="231F20"/>
        </w:rPr>
        <w:t>essentiellement de</w:t>
      </w:r>
      <w:r>
        <w:rPr>
          <w:color w:val="231F20"/>
          <w:spacing w:val="-15"/>
        </w:rPr>
        <w:t> </w:t>
      </w:r>
      <w:r>
        <w:rPr>
          <w:color w:val="231F20"/>
        </w:rPr>
        <w:t>Hutu, majoritaire en nombre, de Tutsi, la minorité</w:t>
      </w:r>
      <w:r>
        <w:rPr>
          <w:color w:val="231F20"/>
          <w:spacing w:val="-4"/>
        </w:rPr>
        <w:t> </w:t>
      </w:r>
      <w:r>
        <w:rPr>
          <w:color w:val="231F20"/>
        </w:rPr>
        <w:t>et</w:t>
      </w:r>
      <w:r>
        <w:rPr>
          <w:color w:val="231F20"/>
          <w:spacing w:val="-4"/>
        </w:rPr>
        <w:t> </w:t>
      </w:r>
      <w:r>
        <w:rPr>
          <w:color w:val="231F20"/>
        </w:rPr>
        <w:t>de</w:t>
      </w:r>
      <w:r>
        <w:rPr>
          <w:color w:val="231F20"/>
          <w:spacing w:val="-4"/>
        </w:rPr>
        <w:t> </w:t>
      </w:r>
      <w:r>
        <w:rPr>
          <w:color w:val="231F20"/>
        </w:rPr>
        <w:t>Twa</w:t>
      </w:r>
      <w:r>
        <w:rPr>
          <w:color w:val="231F20"/>
          <w:spacing w:val="-4"/>
        </w:rPr>
        <w:t> </w:t>
      </w:r>
      <w:r>
        <w:rPr>
          <w:color w:val="231F20"/>
        </w:rPr>
        <w:t>à</w:t>
      </w:r>
      <w:r>
        <w:rPr>
          <w:color w:val="231F20"/>
          <w:spacing w:val="-6"/>
        </w:rPr>
        <w:t> </w:t>
      </w:r>
      <w:r>
        <w:rPr>
          <w:color w:val="231F20"/>
        </w:rPr>
        <w:t>peine</w:t>
      </w:r>
      <w:r>
        <w:rPr>
          <w:color w:val="231F20"/>
          <w:spacing w:val="-5"/>
        </w:rPr>
        <w:t> </w:t>
      </w:r>
      <w:r>
        <w:rPr>
          <w:color w:val="231F20"/>
        </w:rPr>
        <w:t>un</w:t>
      </w:r>
      <w:r>
        <w:rPr>
          <w:color w:val="231F20"/>
          <w:spacing w:val="-5"/>
        </w:rPr>
        <w:t> </w:t>
      </w:r>
      <w:r>
        <w:rPr>
          <w:color w:val="231F20"/>
        </w:rPr>
        <w:t>pour</w:t>
      </w:r>
      <w:r>
        <w:rPr>
          <w:color w:val="231F20"/>
          <w:spacing w:val="-5"/>
        </w:rPr>
        <w:t> </w:t>
      </w:r>
      <w:r>
        <w:rPr>
          <w:color w:val="231F20"/>
        </w:rPr>
        <w:t>cent</w:t>
      </w:r>
      <w:r>
        <w:rPr>
          <w:color w:val="231F20"/>
          <w:spacing w:val="-5"/>
        </w:rPr>
        <w:t> </w:t>
      </w:r>
      <w:r>
        <w:rPr>
          <w:color w:val="231F20"/>
        </w:rPr>
        <w:t>(01%)</w:t>
      </w:r>
      <w:r>
        <w:rPr>
          <w:color w:val="231F20"/>
          <w:spacing w:val="-5"/>
        </w:rPr>
        <w:t> </w:t>
      </w:r>
      <w:r>
        <w:rPr>
          <w:color w:val="231F20"/>
        </w:rPr>
        <w:t>de</w:t>
      </w:r>
      <w:r>
        <w:rPr>
          <w:color w:val="231F20"/>
          <w:spacing w:val="-7"/>
        </w:rPr>
        <w:t> </w:t>
      </w:r>
      <w:r>
        <w:rPr>
          <w:color w:val="231F20"/>
        </w:rPr>
        <w:t>la</w:t>
      </w:r>
      <w:r>
        <w:rPr>
          <w:color w:val="231F20"/>
          <w:spacing w:val="-4"/>
        </w:rPr>
        <w:t> </w:t>
      </w:r>
      <w:r>
        <w:rPr>
          <w:color w:val="231F20"/>
        </w:rPr>
        <w:t>population.</w:t>
      </w:r>
    </w:p>
    <w:p>
      <w:pPr>
        <w:pStyle w:val="BodyText"/>
        <w:spacing w:before="120"/>
        <w:ind w:left="112" w:right="105" w:firstLine="283"/>
      </w:pPr>
      <w:r>
        <w:rPr>
          <w:color w:val="231F20"/>
        </w:rPr>
        <w:t>Les</w:t>
      </w:r>
      <w:r>
        <w:rPr>
          <w:color w:val="231F20"/>
          <w:spacing w:val="-3"/>
        </w:rPr>
        <w:t> </w:t>
      </w:r>
      <w:r>
        <w:rPr>
          <w:color w:val="231F20"/>
        </w:rPr>
        <w:t>Hutu,</w:t>
      </w:r>
      <w:r>
        <w:rPr>
          <w:color w:val="231F20"/>
          <w:spacing w:val="-3"/>
        </w:rPr>
        <w:t> </w:t>
      </w:r>
      <w:r>
        <w:rPr>
          <w:color w:val="231F20"/>
        </w:rPr>
        <w:t>agriculteurs,</w:t>
      </w:r>
      <w:r>
        <w:rPr>
          <w:color w:val="231F20"/>
          <w:spacing w:val="-3"/>
        </w:rPr>
        <w:t> </w:t>
      </w:r>
      <w:r>
        <w:rPr>
          <w:color w:val="231F20"/>
        </w:rPr>
        <w:t>cultivent</w:t>
      </w:r>
      <w:r>
        <w:rPr>
          <w:color w:val="231F20"/>
          <w:spacing w:val="-4"/>
        </w:rPr>
        <w:t> </w:t>
      </w:r>
      <w:r>
        <w:rPr>
          <w:color w:val="231F20"/>
        </w:rPr>
        <w:t>de</w:t>
      </w:r>
      <w:r>
        <w:rPr>
          <w:color w:val="231F20"/>
          <w:spacing w:val="-3"/>
        </w:rPr>
        <w:t> </w:t>
      </w:r>
      <w:r>
        <w:rPr>
          <w:color w:val="231F20"/>
        </w:rPr>
        <w:t>petits</w:t>
      </w:r>
      <w:r>
        <w:rPr>
          <w:color w:val="231F20"/>
          <w:spacing w:val="-3"/>
        </w:rPr>
        <w:t> </w:t>
      </w:r>
      <w:r>
        <w:rPr>
          <w:color w:val="231F20"/>
        </w:rPr>
        <w:t>lopins</w:t>
      </w:r>
      <w:r>
        <w:rPr>
          <w:color w:val="231F20"/>
          <w:spacing w:val="-3"/>
        </w:rPr>
        <w:t> </w:t>
      </w:r>
      <w:r>
        <w:rPr>
          <w:color w:val="231F20"/>
        </w:rPr>
        <w:t>de</w:t>
      </w:r>
      <w:r>
        <w:rPr>
          <w:color w:val="231F20"/>
          <w:spacing w:val="-3"/>
        </w:rPr>
        <w:t> </w:t>
      </w:r>
      <w:r>
        <w:rPr>
          <w:color w:val="231F20"/>
        </w:rPr>
        <w:t>terre.</w:t>
      </w:r>
      <w:r>
        <w:rPr>
          <w:color w:val="231F20"/>
          <w:spacing w:val="-2"/>
        </w:rPr>
        <w:t> </w:t>
      </w:r>
      <w:r>
        <w:rPr>
          <w:color w:val="231F20"/>
        </w:rPr>
        <w:t>Les</w:t>
      </w:r>
      <w:r>
        <w:rPr>
          <w:color w:val="231F20"/>
          <w:spacing w:val="-3"/>
        </w:rPr>
        <w:t> </w:t>
      </w:r>
      <w:r>
        <w:rPr>
          <w:color w:val="231F20"/>
        </w:rPr>
        <w:t>Tutsis </w:t>
      </w:r>
      <w:r>
        <w:rPr>
          <w:color w:val="231F20"/>
          <w:spacing w:val="-2"/>
        </w:rPr>
        <w:t>sont</w:t>
      </w:r>
      <w:r>
        <w:rPr>
          <w:color w:val="231F20"/>
          <w:spacing w:val="-13"/>
        </w:rPr>
        <w:t> </w:t>
      </w:r>
      <w:r>
        <w:rPr>
          <w:color w:val="231F20"/>
          <w:spacing w:val="-2"/>
        </w:rPr>
        <w:t>traditionnellement</w:t>
      </w:r>
      <w:r>
        <w:rPr>
          <w:color w:val="231F20"/>
          <w:spacing w:val="-13"/>
        </w:rPr>
        <w:t> </w:t>
      </w:r>
      <w:r>
        <w:rPr>
          <w:color w:val="231F20"/>
          <w:spacing w:val="-2"/>
        </w:rPr>
        <w:t>éleveurs</w:t>
      </w:r>
      <w:r>
        <w:rPr>
          <w:color w:val="231F20"/>
          <w:spacing w:val="-13"/>
        </w:rPr>
        <w:t> </w:t>
      </w:r>
      <w:r>
        <w:rPr>
          <w:color w:val="231F20"/>
          <w:spacing w:val="-2"/>
        </w:rPr>
        <w:t>et</w:t>
      </w:r>
      <w:r>
        <w:rPr>
          <w:color w:val="231F20"/>
          <w:spacing w:val="-13"/>
        </w:rPr>
        <w:t> </w:t>
      </w:r>
      <w:r>
        <w:rPr>
          <w:color w:val="231F20"/>
          <w:spacing w:val="-2"/>
        </w:rPr>
        <w:t>propriétaires</w:t>
      </w:r>
      <w:r>
        <w:rPr>
          <w:color w:val="231F20"/>
          <w:spacing w:val="-13"/>
        </w:rPr>
        <w:t> </w:t>
      </w:r>
      <w:r>
        <w:rPr>
          <w:color w:val="231F20"/>
          <w:spacing w:val="-2"/>
        </w:rPr>
        <w:t>de</w:t>
      </w:r>
      <w:r>
        <w:rPr>
          <w:color w:val="231F20"/>
          <w:spacing w:val="-13"/>
        </w:rPr>
        <w:t> </w:t>
      </w:r>
      <w:r>
        <w:rPr>
          <w:color w:val="231F20"/>
          <w:spacing w:val="-2"/>
        </w:rPr>
        <w:t>bovins</w:t>
      </w:r>
      <w:r>
        <w:rPr>
          <w:color w:val="231F20"/>
          <w:spacing w:val="-11"/>
        </w:rPr>
        <w:t> </w:t>
      </w:r>
      <w:r>
        <w:rPr>
          <w:color w:val="231F20"/>
          <w:spacing w:val="-2"/>
        </w:rPr>
        <w:t>:</w:t>
      </w:r>
      <w:r>
        <w:rPr>
          <w:color w:val="231F20"/>
          <w:spacing w:val="-13"/>
        </w:rPr>
        <w:t> </w:t>
      </w:r>
      <w:r>
        <w:rPr>
          <w:color w:val="231F20"/>
          <w:spacing w:val="-2"/>
        </w:rPr>
        <w:t>la</w:t>
      </w:r>
      <w:r>
        <w:rPr>
          <w:color w:val="231F20"/>
          <w:spacing w:val="-12"/>
        </w:rPr>
        <w:t> </w:t>
      </w:r>
      <w:r>
        <w:rPr>
          <w:color w:val="231F20"/>
          <w:spacing w:val="-2"/>
        </w:rPr>
        <w:t>possession de</w:t>
      </w:r>
      <w:r>
        <w:rPr>
          <w:color w:val="231F20"/>
          <w:spacing w:val="-9"/>
        </w:rPr>
        <w:t> </w:t>
      </w:r>
      <w:r>
        <w:rPr>
          <w:color w:val="231F20"/>
          <w:spacing w:val="-2"/>
        </w:rPr>
        <w:t>vaches</w:t>
      </w:r>
      <w:r>
        <w:rPr>
          <w:color w:val="231F20"/>
          <w:spacing w:val="-9"/>
        </w:rPr>
        <w:t> </w:t>
      </w:r>
      <w:r>
        <w:rPr>
          <w:color w:val="231F20"/>
          <w:spacing w:val="-2"/>
        </w:rPr>
        <w:t>est</w:t>
      </w:r>
      <w:r>
        <w:rPr>
          <w:color w:val="231F20"/>
          <w:spacing w:val="-9"/>
        </w:rPr>
        <w:t> </w:t>
      </w:r>
      <w:r>
        <w:rPr>
          <w:color w:val="231F20"/>
          <w:spacing w:val="-2"/>
        </w:rPr>
        <w:t>le</w:t>
      </w:r>
      <w:r>
        <w:rPr>
          <w:color w:val="231F20"/>
          <w:spacing w:val="-11"/>
        </w:rPr>
        <w:t> </w:t>
      </w:r>
      <w:r>
        <w:rPr>
          <w:color w:val="231F20"/>
          <w:spacing w:val="-2"/>
        </w:rPr>
        <w:t>symbole</w:t>
      </w:r>
      <w:r>
        <w:rPr>
          <w:color w:val="231F20"/>
          <w:spacing w:val="-11"/>
        </w:rPr>
        <w:t> </w:t>
      </w:r>
      <w:r>
        <w:rPr>
          <w:color w:val="231F20"/>
          <w:spacing w:val="-2"/>
        </w:rPr>
        <w:t>éminent</w:t>
      </w:r>
      <w:r>
        <w:rPr>
          <w:color w:val="231F20"/>
          <w:spacing w:val="-9"/>
        </w:rPr>
        <w:t> </w:t>
      </w:r>
      <w:r>
        <w:rPr>
          <w:color w:val="231F20"/>
          <w:spacing w:val="-2"/>
        </w:rPr>
        <w:t>de</w:t>
      </w:r>
      <w:r>
        <w:rPr>
          <w:color w:val="231F20"/>
          <w:spacing w:val="-9"/>
        </w:rPr>
        <w:t> </w:t>
      </w:r>
      <w:r>
        <w:rPr>
          <w:color w:val="231F20"/>
          <w:spacing w:val="-2"/>
        </w:rPr>
        <w:t>la</w:t>
      </w:r>
      <w:r>
        <w:rPr>
          <w:color w:val="231F20"/>
          <w:spacing w:val="-9"/>
        </w:rPr>
        <w:t> </w:t>
      </w:r>
      <w:r>
        <w:rPr>
          <w:color w:val="231F20"/>
          <w:spacing w:val="-2"/>
        </w:rPr>
        <w:t>richesse</w:t>
      </w:r>
      <w:r>
        <w:rPr>
          <w:color w:val="231F20"/>
          <w:spacing w:val="-9"/>
        </w:rPr>
        <w:t> </w:t>
      </w:r>
      <w:r>
        <w:rPr>
          <w:color w:val="231F20"/>
          <w:spacing w:val="-2"/>
        </w:rPr>
        <w:t>;</w:t>
      </w:r>
      <w:r>
        <w:rPr>
          <w:color w:val="231F20"/>
          <w:spacing w:val="-8"/>
        </w:rPr>
        <w:t> </w:t>
      </w:r>
      <w:r>
        <w:rPr>
          <w:color w:val="231F20"/>
          <w:spacing w:val="-2"/>
        </w:rPr>
        <w:t>Les</w:t>
      </w:r>
      <w:r>
        <w:rPr>
          <w:color w:val="231F20"/>
          <w:spacing w:val="-8"/>
        </w:rPr>
        <w:t> </w:t>
      </w:r>
      <w:r>
        <w:rPr>
          <w:color w:val="231F20"/>
          <w:spacing w:val="-2"/>
        </w:rPr>
        <w:t>Twa</w:t>
      </w:r>
      <w:r>
        <w:rPr>
          <w:color w:val="231F20"/>
          <w:spacing w:val="-8"/>
        </w:rPr>
        <w:t> </w:t>
      </w:r>
      <w:r>
        <w:rPr>
          <w:color w:val="231F20"/>
          <w:spacing w:val="-2"/>
        </w:rPr>
        <w:t>ont</w:t>
      </w:r>
      <w:r>
        <w:rPr>
          <w:color w:val="231F20"/>
          <w:spacing w:val="-8"/>
        </w:rPr>
        <w:t> </w:t>
      </w:r>
      <w:r>
        <w:rPr>
          <w:color w:val="231F20"/>
          <w:spacing w:val="-2"/>
        </w:rPr>
        <w:t>longtemps </w:t>
      </w:r>
      <w:r>
        <w:rPr>
          <w:color w:val="231F20"/>
        </w:rPr>
        <w:t>gardé les habitudes de leurs descendants, les pygmées, en vivant de la cueillette mais beaucoup se sont reconvertis en artisans. Dans</w:t>
      </w:r>
      <w:r>
        <w:rPr>
          <w:color w:val="231F20"/>
          <w:spacing w:val="-1"/>
        </w:rPr>
        <w:t> </w:t>
      </w:r>
      <w:r>
        <w:rPr>
          <w:color w:val="231F20"/>
        </w:rPr>
        <w:t>les deux royaumes,</w:t>
      </w:r>
      <w:r>
        <w:rPr>
          <w:color w:val="231F20"/>
          <w:spacing w:val="-11"/>
        </w:rPr>
        <w:t> </w:t>
      </w:r>
      <w:r>
        <w:rPr>
          <w:color w:val="231F20"/>
        </w:rPr>
        <w:t>la</w:t>
      </w:r>
      <w:r>
        <w:rPr>
          <w:color w:val="231F20"/>
          <w:spacing w:val="-11"/>
        </w:rPr>
        <w:t> </w:t>
      </w:r>
      <w:r>
        <w:rPr>
          <w:color w:val="231F20"/>
        </w:rPr>
        <w:t>monarchie</w:t>
      </w:r>
      <w:r>
        <w:rPr>
          <w:color w:val="231F20"/>
          <w:spacing w:val="-10"/>
        </w:rPr>
        <w:t> </w:t>
      </w:r>
      <w:r>
        <w:rPr>
          <w:color w:val="231F20"/>
        </w:rPr>
        <w:t>était</w:t>
      </w:r>
      <w:r>
        <w:rPr>
          <w:color w:val="231F20"/>
          <w:spacing w:val="-10"/>
        </w:rPr>
        <w:t> </w:t>
      </w:r>
      <w:r>
        <w:rPr>
          <w:color w:val="231F20"/>
        </w:rPr>
        <w:t>contrôlée</w:t>
      </w:r>
      <w:r>
        <w:rPr>
          <w:color w:val="231F20"/>
          <w:spacing w:val="-9"/>
        </w:rPr>
        <w:t> </w:t>
      </w:r>
      <w:r>
        <w:rPr>
          <w:color w:val="231F20"/>
        </w:rPr>
        <w:t>essentiellement</w:t>
      </w:r>
      <w:r>
        <w:rPr>
          <w:color w:val="231F20"/>
          <w:spacing w:val="-9"/>
        </w:rPr>
        <w:t> </w:t>
      </w:r>
      <w:r>
        <w:rPr>
          <w:color w:val="231F20"/>
        </w:rPr>
        <w:t>par</w:t>
      </w:r>
      <w:r>
        <w:rPr>
          <w:color w:val="231F20"/>
          <w:spacing w:val="-11"/>
        </w:rPr>
        <w:t> </w:t>
      </w:r>
      <w:r>
        <w:rPr>
          <w:color w:val="231F20"/>
        </w:rPr>
        <w:t>les</w:t>
      </w:r>
      <w:r>
        <w:rPr>
          <w:color w:val="231F20"/>
          <w:spacing w:val="-10"/>
        </w:rPr>
        <w:t> </w:t>
      </w:r>
      <w:r>
        <w:rPr>
          <w:color w:val="231F20"/>
        </w:rPr>
        <w:t>Tutsis.</w:t>
      </w:r>
    </w:p>
    <w:p>
      <w:pPr>
        <w:pStyle w:val="BodyText"/>
        <w:spacing w:before="121"/>
        <w:ind w:left="112" w:right="104" w:firstLine="283"/>
      </w:pPr>
      <w:r>
        <w:rPr>
          <w:color w:val="231F20"/>
        </w:rPr>
        <w:t>En 1885, la Conférence de Berlin attribue le Rwanda à l’Empire Allemand.</w:t>
      </w:r>
      <w:r>
        <w:rPr>
          <w:color w:val="231F20"/>
          <w:spacing w:val="-8"/>
        </w:rPr>
        <w:t> </w:t>
      </w:r>
      <w:r>
        <w:rPr>
          <w:color w:val="231F20"/>
        </w:rPr>
        <w:t>À</w:t>
      </w:r>
      <w:r>
        <w:rPr>
          <w:color w:val="231F20"/>
          <w:spacing w:val="-8"/>
        </w:rPr>
        <w:t> </w:t>
      </w:r>
      <w:r>
        <w:rPr>
          <w:color w:val="231F20"/>
        </w:rPr>
        <w:t>partir</w:t>
      </w:r>
      <w:r>
        <w:rPr>
          <w:color w:val="231F20"/>
          <w:spacing w:val="-8"/>
        </w:rPr>
        <w:t> </w:t>
      </w:r>
      <w:r>
        <w:rPr>
          <w:color w:val="231F20"/>
        </w:rPr>
        <w:t>de</w:t>
      </w:r>
      <w:r>
        <w:rPr>
          <w:color w:val="231F20"/>
          <w:spacing w:val="-8"/>
        </w:rPr>
        <w:t> </w:t>
      </w:r>
      <w:r>
        <w:rPr>
          <w:color w:val="231F20"/>
        </w:rPr>
        <w:t>1903,</w:t>
      </w:r>
      <w:r>
        <w:rPr>
          <w:color w:val="231F20"/>
          <w:spacing w:val="-7"/>
        </w:rPr>
        <w:t> </w:t>
      </w:r>
      <w:r>
        <w:rPr>
          <w:color w:val="231F20"/>
        </w:rPr>
        <w:t>le</w:t>
      </w:r>
      <w:r>
        <w:rPr>
          <w:color w:val="231F20"/>
          <w:spacing w:val="-7"/>
        </w:rPr>
        <w:t> </w:t>
      </w:r>
      <w:r>
        <w:rPr>
          <w:color w:val="231F20"/>
        </w:rPr>
        <w:t>Burundi</w:t>
      </w:r>
      <w:r>
        <w:rPr>
          <w:color w:val="231F20"/>
          <w:spacing w:val="-7"/>
        </w:rPr>
        <w:t> </w:t>
      </w:r>
      <w:r>
        <w:rPr>
          <w:color w:val="231F20"/>
        </w:rPr>
        <w:t>fait</w:t>
      </w:r>
      <w:r>
        <w:rPr>
          <w:color w:val="231F20"/>
          <w:spacing w:val="-10"/>
        </w:rPr>
        <w:t> </w:t>
      </w:r>
      <w:r>
        <w:rPr>
          <w:color w:val="231F20"/>
        </w:rPr>
        <w:t>lui</w:t>
      </w:r>
      <w:r>
        <w:rPr>
          <w:color w:val="231F20"/>
          <w:spacing w:val="-7"/>
        </w:rPr>
        <w:t> </w:t>
      </w:r>
      <w:r>
        <w:rPr>
          <w:color w:val="231F20"/>
        </w:rPr>
        <w:t>aussi</w:t>
      </w:r>
      <w:r>
        <w:rPr>
          <w:color w:val="231F20"/>
          <w:spacing w:val="-7"/>
        </w:rPr>
        <w:t> </w:t>
      </w:r>
      <w:r>
        <w:rPr>
          <w:color w:val="231F20"/>
        </w:rPr>
        <w:t>partie</w:t>
      </w:r>
      <w:r>
        <w:rPr>
          <w:color w:val="231F20"/>
          <w:spacing w:val="-8"/>
        </w:rPr>
        <w:t> </w:t>
      </w:r>
      <w:r>
        <w:rPr>
          <w:color w:val="231F20"/>
        </w:rPr>
        <w:t>de</w:t>
      </w:r>
      <w:r>
        <w:rPr>
          <w:color w:val="231F20"/>
          <w:spacing w:val="-8"/>
        </w:rPr>
        <w:t> </w:t>
      </w:r>
      <w:r>
        <w:rPr>
          <w:color w:val="231F20"/>
        </w:rPr>
        <w:t>l’Afrique orientale Allemande.</w:t>
      </w:r>
    </w:p>
    <w:p>
      <w:pPr>
        <w:pStyle w:val="BodyText"/>
        <w:spacing w:before="120"/>
        <w:ind w:left="112" w:right="105" w:firstLine="283"/>
      </w:pPr>
      <w:r>
        <w:rPr>
          <w:color w:val="231F20"/>
        </w:rPr>
        <w:t>A</w:t>
      </w:r>
      <w:r>
        <w:rPr>
          <w:color w:val="231F20"/>
          <w:spacing w:val="-15"/>
        </w:rPr>
        <w:t> </w:t>
      </w:r>
      <w:r>
        <w:rPr>
          <w:color w:val="231F20"/>
        </w:rPr>
        <w:t>leur</w:t>
      </w:r>
      <w:r>
        <w:rPr>
          <w:color w:val="231F20"/>
          <w:spacing w:val="-12"/>
        </w:rPr>
        <w:t> </w:t>
      </w:r>
      <w:r>
        <w:rPr>
          <w:color w:val="231F20"/>
        </w:rPr>
        <w:t>arrivée</w:t>
      </w:r>
      <w:r>
        <w:rPr>
          <w:color w:val="231F20"/>
          <w:spacing w:val="-12"/>
        </w:rPr>
        <w:t> </w:t>
      </w:r>
      <w:r>
        <w:rPr>
          <w:color w:val="231F20"/>
        </w:rPr>
        <w:t>dans</w:t>
      </w:r>
      <w:r>
        <w:rPr>
          <w:color w:val="231F20"/>
          <w:spacing w:val="-12"/>
        </w:rPr>
        <w:t> </w:t>
      </w:r>
      <w:r>
        <w:rPr>
          <w:color w:val="231F20"/>
        </w:rPr>
        <w:t>ces</w:t>
      </w:r>
      <w:r>
        <w:rPr>
          <w:color w:val="231F20"/>
          <w:spacing w:val="-14"/>
        </w:rPr>
        <w:t> </w:t>
      </w:r>
      <w:r>
        <w:rPr>
          <w:color w:val="231F20"/>
        </w:rPr>
        <w:t>«</w:t>
      </w:r>
      <w:r>
        <w:rPr>
          <w:color w:val="231F20"/>
          <w:spacing w:val="-15"/>
        </w:rPr>
        <w:t> </w:t>
      </w:r>
      <w:r>
        <w:rPr>
          <w:color w:val="231F20"/>
        </w:rPr>
        <w:t>deux</w:t>
      </w:r>
      <w:r>
        <w:rPr>
          <w:color w:val="231F20"/>
          <w:spacing w:val="-12"/>
        </w:rPr>
        <w:t> </w:t>
      </w:r>
      <w:r>
        <w:rPr>
          <w:color w:val="231F20"/>
        </w:rPr>
        <w:t>pays</w:t>
      </w:r>
      <w:r>
        <w:rPr>
          <w:color w:val="231F20"/>
          <w:spacing w:val="-14"/>
        </w:rPr>
        <w:t> </w:t>
      </w:r>
      <w:r>
        <w:rPr>
          <w:color w:val="231F20"/>
        </w:rPr>
        <w:t>jumeaux</w:t>
      </w:r>
      <w:r>
        <w:rPr>
          <w:color w:val="231F20"/>
          <w:spacing w:val="-15"/>
        </w:rPr>
        <w:t> </w:t>
      </w:r>
      <w:r>
        <w:rPr>
          <w:color w:val="231F20"/>
        </w:rPr>
        <w:t>»,</w:t>
      </w:r>
      <w:r>
        <w:rPr>
          <w:color w:val="231F20"/>
          <w:spacing w:val="-12"/>
        </w:rPr>
        <w:t> </w:t>
      </w:r>
      <w:r>
        <w:rPr>
          <w:color w:val="231F20"/>
        </w:rPr>
        <w:t>les</w:t>
      </w:r>
      <w:r>
        <w:rPr>
          <w:color w:val="231F20"/>
          <w:spacing w:val="-14"/>
        </w:rPr>
        <w:t> </w:t>
      </w:r>
      <w:r>
        <w:rPr>
          <w:color w:val="231F20"/>
        </w:rPr>
        <w:t>colons</w:t>
      </w:r>
      <w:r>
        <w:rPr>
          <w:color w:val="231F20"/>
          <w:spacing w:val="-14"/>
        </w:rPr>
        <w:t> </w:t>
      </w:r>
      <w:r>
        <w:rPr>
          <w:color w:val="231F20"/>
        </w:rPr>
        <w:t>Allemands </w:t>
      </w:r>
      <w:r>
        <w:rPr>
          <w:color w:val="231F20"/>
          <w:spacing w:val="-2"/>
        </w:rPr>
        <w:t>catégorisent</w:t>
      </w:r>
      <w:r>
        <w:rPr>
          <w:color w:val="231F20"/>
          <w:spacing w:val="-11"/>
        </w:rPr>
        <w:t> </w:t>
      </w:r>
      <w:r>
        <w:rPr>
          <w:color w:val="231F20"/>
          <w:spacing w:val="-2"/>
        </w:rPr>
        <w:t>la</w:t>
      </w:r>
      <w:r>
        <w:rPr>
          <w:color w:val="231F20"/>
          <w:spacing w:val="-9"/>
        </w:rPr>
        <w:t> </w:t>
      </w:r>
      <w:r>
        <w:rPr>
          <w:color w:val="231F20"/>
          <w:spacing w:val="-2"/>
        </w:rPr>
        <w:t>population.</w:t>
      </w:r>
      <w:r>
        <w:rPr>
          <w:color w:val="231F20"/>
          <w:spacing w:val="-11"/>
        </w:rPr>
        <w:t> </w:t>
      </w:r>
      <w:r>
        <w:rPr>
          <w:color w:val="231F20"/>
          <w:spacing w:val="-2"/>
        </w:rPr>
        <w:t>Les</w:t>
      </w:r>
      <w:r>
        <w:rPr>
          <w:color w:val="231F20"/>
          <w:spacing w:val="-9"/>
        </w:rPr>
        <w:t> </w:t>
      </w:r>
      <w:r>
        <w:rPr>
          <w:color w:val="231F20"/>
          <w:spacing w:val="-2"/>
        </w:rPr>
        <w:t>Tutsis</w:t>
      </w:r>
      <w:r>
        <w:rPr>
          <w:color w:val="231F20"/>
          <w:spacing w:val="-11"/>
        </w:rPr>
        <w:t> </w:t>
      </w:r>
      <w:r>
        <w:rPr>
          <w:color w:val="231F20"/>
          <w:spacing w:val="-2"/>
        </w:rPr>
        <w:t>sont</w:t>
      </w:r>
      <w:r>
        <w:rPr>
          <w:color w:val="231F20"/>
          <w:spacing w:val="-8"/>
        </w:rPr>
        <w:t> </w:t>
      </w:r>
      <w:r>
        <w:rPr>
          <w:color w:val="231F20"/>
          <w:spacing w:val="-2"/>
        </w:rPr>
        <w:t>en</w:t>
      </w:r>
      <w:r>
        <w:rPr>
          <w:color w:val="231F20"/>
          <w:spacing w:val="-11"/>
        </w:rPr>
        <w:t> </w:t>
      </w:r>
      <w:r>
        <w:rPr>
          <w:color w:val="231F20"/>
          <w:spacing w:val="-2"/>
        </w:rPr>
        <w:t>général</w:t>
      </w:r>
      <w:r>
        <w:rPr>
          <w:color w:val="231F20"/>
          <w:spacing w:val="-9"/>
        </w:rPr>
        <w:t> </w:t>
      </w:r>
      <w:r>
        <w:rPr>
          <w:color w:val="231F20"/>
          <w:spacing w:val="-2"/>
        </w:rPr>
        <w:t>plus</w:t>
      </w:r>
      <w:r>
        <w:rPr>
          <w:color w:val="231F20"/>
          <w:spacing w:val="-9"/>
        </w:rPr>
        <w:t> </w:t>
      </w:r>
      <w:r>
        <w:rPr>
          <w:color w:val="231F20"/>
          <w:spacing w:val="-2"/>
        </w:rPr>
        <w:t>clairs</w:t>
      </w:r>
      <w:r>
        <w:rPr>
          <w:color w:val="231F20"/>
          <w:spacing w:val="-11"/>
        </w:rPr>
        <w:t> </w:t>
      </w:r>
      <w:r>
        <w:rPr>
          <w:color w:val="231F20"/>
          <w:spacing w:val="-2"/>
        </w:rPr>
        <w:t>de</w:t>
      </w:r>
      <w:r>
        <w:rPr>
          <w:color w:val="231F20"/>
          <w:spacing w:val="-9"/>
        </w:rPr>
        <w:t> </w:t>
      </w:r>
      <w:r>
        <w:rPr>
          <w:color w:val="231F20"/>
          <w:spacing w:val="-2"/>
        </w:rPr>
        <w:t>peau, </w:t>
      </w:r>
      <w:r>
        <w:rPr>
          <w:color w:val="231F20"/>
        </w:rPr>
        <w:t>plus</w:t>
      </w:r>
      <w:r>
        <w:rPr>
          <w:color w:val="231F20"/>
          <w:spacing w:val="-14"/>
        </w:rPr>
        <w:t> </w:t>
      </w:r>
      <w:r>
        <w:rPr>
          <w:color w:val="231F20"/>
        </w:rPr>
        <w:t>grands</w:t>
      </w:r>
      <w:r>
        <w:rPr>
          <w:color w:val="231F20"/>
          <w:spacing w:val="-14"/>
        </w:rPr>
        <w:t> </w:t>
      </w:r>
      <w:r>
        <w:rPr>
          <w:color w:val="231F20"/>
        </w:rPr>
        <w:t>et</w:t>
      </w:r>
      <w:r>
        <w:rPr>
          <w:color w:val="231F20"/>
          <w:spacing w:val="-14"/>
        </w:rPr>
        <w:t> </w:t>
      </w:r>
      <w:r>
        <w:rPr>
          <w:color w:val="231F20"/>
        </w:rPr>
        <w:t>plus</w:t>
      </w:r>
      <w:r>
        <w:rPr>
          <w:color w:val="231F20"/>
          <w:spacing w:val="-12"/>
        </w:rPr>
        <w:t> </w:t>
      </w:r>
      <w:r>
        <w:rPr>
          <w:color w:val="231F20"/>
        </w:rPr>
        <w:t>minces</w:t>
      </w:r>
      <w:r>
        <w:rPr>
          <w:color w:val="231F20"/>
          <w:spacing w:val="-12"/>
        </w:rPr>
        <w:t> </w:t>
      </w:r>
      <w:r>
        <w:rPr>
          <w:color w:val="231F20"/>
        </w:rPr>
        <w:t>que</w:t>
      </w:r>
      <w:r>
        <w:rPr>
          <w:color w:val="231F20"/>
          <w:spacing w:val="-14"/>
        </w:rPr>
        <w:t> </w:t>
      </w:r>
      <w:r>
        <w:rPr>
          <w:color w:val="231F20"/>
        </w:rPr>
        <w:t>la</w:t>
      </w:r>
      <w:r>
        <w:rPr>
          <w:color w:val="231F20"/>
          <w:spacing w:val="-12"/>
        </w:rPr>
        <w:t> </w:t>
      </w:r>
      <w:r>
        <w:rPr>
          <w:color w:val="231F20"/>
        </w:rPr>
        <w:t>majorité</w:t>
      </w:r>
      <w:r>
        <w:rPr>
          <w:color w:val="231F20"/>
          <w:spacing w:val="-12"/>
        </w:rPr>
        <w:t> </w:t>
      </w:r>
      <w:r>
        <w:rPr>
          <w:color w:val="231F20"/>
        </w:rPr>
        <w:t>des</w:t>
      </w:r>
      <w:r>
        <w:rPr>
          <w:color w:val="231F20"/>
          <w:spacing w:val="-14"/>
        </w:rPr>
        <w:t> </w:t>
      </w:r>
      <w:r>
        <w:rPr>
          <w:color w:val="231F20"/>
        </w:rPr>
        <w:t>Hutu</w:t>
      </w:r>
      <w:r>
        <w:rPr>
          <w:color w:val="231F20"/>
          <w:spacing w:val="-12"/>
        </w:rPr>
        <w:t> </w:t>
      </w:r>
      <w:r>
        <w:rPr>
          <w:color w:val="231F20"/>
        </w:rPr>
        <w:t>plus</w:t>
      </w:r>
      <w:r>
        <w:rPr>
          <w:color w:val="231F20"/>
          <w:spacing w:val="-12"/>
        </w:rPr>
        <w:t> </w:t>
      </w:r>
      <w:r>
        <w:rPr>
          <w:color w:val="231F20"/>
        </w:rPr>
        <w:t>petits</w:t>
      </w:r>
      <w:r>
        <w:rPr>
          <w:color w:val="231F20"/>
          <w:spacing w:val="-12"/>
        </w:rPr>
        <w:t> </w:t>
      </w:r>
      <w:r>
        <w:rPr>
          <w:color w:val="231F20"/>
        </w:rPr>
        <w:t>et</w:t>
      </w:r>
      <w:r>
        <w:rPr>
          <w:color w:val="231F20"/>
          <w:spacing w:val="-12"/>
        </w:rPr>
        <w:t> </w:t>
      </w:r>
      <w:r>
        <w:rPr>
          <w:color w:val="231F20"/>
        </w:rPr>
        <w:t>trapus. Les</w:t>
      </w:r>
      <w:r>
        <w:rPr>
          <w:color w:val="231F20"/>
          <w:spacing w:val="-10"/>
        </w:rPr>
        <w:t> </w:t>
      </w:r>
      <w:r>
        <w:rPr>
          <w:color w:val="231F20"/>
        </w:rPr>
        <w:t>colons</w:t>
      </w:r>
      <w:r>
        <w:rPr>
          <w:color w:val="231F20"/>
          <w:spacing w:val="-10"/>
        </w:rPr>
        <w:t> </w:t>
      </w:r>
      <w:r>
        <w:rPr>
          <w:color w:val="231F20"/>
        </w:rPr>
        <w:t>trouvent</w:t>
      </w:r>
      <w:r>
        <w:rPr>
          <w:color w:val="231F20"/>
          <w:spacing w:val="-12"/>
        </w:rPr>
        <w:t> </w:t>
      </w:r>
      <w:r>
        <w:rPr>
          <w:color w:val="231F20"/>
        </w:rPr>
        <w:t>les</w:t>
      </w:r>
      <w:r>
        <w:rPr>
          <w:color w:val="231F20"/>
          <w:spacing w:val="-10"/>
        </w:rPr>
        <w:t> </w:t>
      </w:r>
      <w:r>
        <w:rPr>
          <w:color w:val="231F20"/>
        </w:rPr>
        <w:t>Tutsi</w:t>
      </w:r>
      <w:r>
        <w:rPr>
          <w:color w:val="231F20"/>
          <w:spacing w:val="-12"/>
        </w:rPr>
        <w:t> </w:t>
      </w:r>
      <w:r>
        <w:rPr>
          <w:color w:val="231F20"/>
        </w:rPr>
        <w:t>plus</w:t>
      </w:r>
      <w:r>
        <w:rPr>
          <w:color w:val="231F20"/>
          <w:spacing w:val="-10"/>
        </w:rPr>
        <w:t> </w:t>
      </w:r>
      <w:r>
        <w:rPr>
          <w:color w:val="231F20"/>
        </w:rPr>
        <w:t>beaux</w:t>
      </w:r>
      <w:r>
        <w:rPr>
          <w:color w:val="231F20"/>
          <w:spacing w:val="-10"/>
        </w:rPr>
        <w:t> </w:t>
      </w:r>
      <w:r>
        <w:rPr>
          <w:color w:val="231F20"/>
        </w:rPr>
        <w:t>selon</w:t>
      </w:r>
      <w:r>
        <w:rPr>
          <w:color w:val="231F20"/>
          <w:spacing w:val="-10"/>
        </w:rPr>
        <w:t> </w:t>
      </w:r>
      <w:r>
        <w:rPr>
          <w:color w:val="231F20"/>
        </w:rPr>
        <w:t>leurs</w:t>
      </w:r>
      <w:r>
        <w:rPr>
          <w:color w:val="231F20"/>
          <w:spacing w:val="-10"/>
        </w:rPr>
        <w:t> </w:t>
      </w:r>
      <w:r>
        <w:rPr>
          <w:color w:val="231F20"/>
        </w:rPr>
        <w:t>canons</w:t>
      </w:r>
      <w:r>
        <w:rPr>
          <w:color w:val="231F20"/>
          <w:spacing w:val="-10"/>
        </w:rPr>
        <w:t> </w:t>
      </w:r>
      <w:r>
        <w:rPr>
          <w:color w:val="231F20"/>
        </w:rPr>
        <w:t>de</w:t>
      </w:r>
      <w:r>
        <w:rPr>
          <w:color w:val="231F20"/>
          <w:spacing w:val="-10"/>
        </w:rPr>
        <w:t> </w:t>
      </w:r>
      <w:r>
        <w:rPr>
          <w:color w:val="231F20"/>
        </w:rPr>
        <w:t>beauté</w:t>
      </w:r>
      <w:r>
        <w:rPr>
          <w:color w:val="231F20"/>
          <w:spacing w:val="-11"/>
        </w:rPr>
        <w:t> </w:t>
      </w:r>
      <w:r>
        <w:rPr>
          <w:color w:val="231F20"/>
        </w:rPr>
        <w:t>et </w:t>
      </w:r>
      <w:r>
        <w:rPr>
          <w:color w:val="231F20"/>
          <w:spacing w:val="-4"/>
        </w:rPr>
        <w:t>décrètent</w:t>
      </w:r>
      <w:r>
        <w:rPr>
          <w:color w:val="231F20"/>
          <w:spacing w:val="-5"/>
        </w:rPr>
        <w:t> </w:t>
      </w:r>
      <w:r>
        <w:rPr>
          <w:color w:val="231F20"/>
          <w:spacing w:val="-4"/>
        </w:rPr>
        <w:t>que</w:t>
      </w:r>
      <w:r>
        <w:rPr>
          <w:color w:val="231F20"/>
          <w:spacing w:val="-7"/>
        </w:rPr>
        <w:t> </w:t>
      </w:r>
      <w:r>
        <w:rPr>
          <w:color w:val="231F20"/>
          <w:spacing w:val="-4"/>
        </w:rPr>
        <w:t>c’est</w:t>
      </w:r>
      <w:r>
        <w:rPr>
          <w:color w:val="231F20"/>
          <w:spacing w:val="-8"/>
        </w:rPr>
        <w:t> </w:t>
      </w:r>
      <w:r>
        <w:rPr>
          <w:color w:val="231F20"/>
          <w:spacing w:val="-4"/>
        </w:rPr>
        <w:t>la</w:t>
      </w:r>
      <w:r>
        <w:rPr>
          <w:color w:val="231F20"/>
          <w:spacing w:val="-7"/>
        </w:rPr>
        <w:t> </w:t>
      </w:r>
      <w:r>
        <w:rPr>
          <w:color w:val="231F20"/>
          <w:spacing w:val="-4"/>
        </w:rPr>
        <w:t>race</w:t>
      </w:r>
      <w:r>
        <w:rPr>
          <w:color w:val="231F20"/>
          <w:spacing w:val="-7"/>
        </w:rPr>
        <w:t> </w:t>
      </w:r>
      <w:r>
        <w:rPr>
          <w:color w:val="231F20"/>
          <w:spacing w:val="-4"/>
        </w:rPr>
        <w:t>supérieure,</w:t>
      </w:r>
      <w:r>
        <w:rPr>
          <w:color w:val="231F20"/>
          <w:spacing w:val="-9"/>
        </w:rPr>
        <w:t> </w:t>
      </w:r>
      <w:r>
        <w:rPr>
          <w:color w:val="231F20"/>
          <w:spacing w:val="-4"/>
        </w:rPr>
        <w:t>plus</w:t>
      </w:r>
      <w:r>
        <w:rPr>
          <w:color w:val="231F20"/>
          <w:spacing w:val="-5"/>
        </w:rPr>
        <w:t> </w:t>
      </w:r>
      <w:r>
        <w:rPr>
          <w:color w:val="231F20"/>
          <w:spacing w:val="-4"/>
        </w:rPr>
        <w:t>intelligente,</w:t>
      </w:r>
      <w:r>
        <w:rPr>
          <w:color w:val="231F20"/>
          <w:spacing w:val="-7"/>
        </w:rPr>
        <w:t> </w:t>
      </w:r>
      <w:r>
        <w:rPr>
          <w:color w:val="231F20"/>
          <w:spacing w:val="-4"/>
        </w:rPr>
        <w:t>plus</w:t>
      </w:r>
      <w:r>
        <w:rPr>
          <w:color w:val="231F20"/>
          <w:spacing w:val="-8"/>
        </w:rPr>
        <w:t> </w:t>
      </w:r>
      <w:r>
        <w:rPr>
          <w:color w:val="231F20"/>
          <w:spacing w:val="-4"/>
        </w:rPr>
        <w:t>apte</w:t>
      </w:r>
      <w:r>
        <w:rPr>
          <w:color w:val="231F20"/>
          <w:spacing w:val="-7"/>
        </w:rPr>
        <w:t> </w:t>
      </w:r>
      <w:r>
        <w:rPr>
          <w:color w:val="231F20"/>
          <w:spacing w:val="-4"/>
        </w:rPr>
        <w:t>à</w:t>
      </w:r>
      <w:r>
        <w:rPr>
          <w:color w:val="231F20"/>
          <w:spacing w:val="-10"/>
        </w:rPr>
        <w:t> </w:t>
      </w:r>
      <w:r>
        <w:rPr>
          <w:color w:val="231F20"/>
          <w:spacing w:val="-4"/>
        </w:rPr>
        <w:t>diriger. </w:t>
      </w:r>
      <w:r>
        <w:rPr>
          <w:color w:val="231F20"/>
        </w:rPr>
        <w:t>Les Hutus sont</w:t>
      </w:r>
      <w:r>
        <w:rPr>
          <w:color w:val="231F20"/>
          <w:spacing w:val="-1"/>
        </w:rPr>
        <w:t> </w:t>
      </w:r>
      <w:r>
        <w:rPr>
          <w:color w:val="231F20"/>
        </w:rPr>
        <w:t>qualifiés de « nègres</w:t>
      </w:r>
      <w:r>
        <w:rPr>
          <w:color w:val="231F20"/>
          <w:spacing w:val="-2"/>
        </w:rPr>
        <w:t> </w:t>
      </w:r>
      <w:r>
        <w:rPr>
          <w:color w:val="231F20"/>
        </w:rPr>
        <w:t>bantous ».</w:t>
      </w:r>
    </w:p>
    <w:p>
      <w:pPr>
        <w:pStyle w:val="BodyText"/>
        <w:spacing w:before="120"/>
        <w:ind w:left="112" w:right="107" w:firstLine="283"/>
      </w:pPr>
      <w:r>
        <w:rPr>
          <w:color w:val="231F20"/>
        </w:rPr>
        <w:t>En</w:t>
      </w:r>
      <w:r>
        <w:rPr>
          <w:color w:val="231F20"/>
          <w:spacing w:val="-15"/>
        </w:rPr>
        <w:t> </w:t>
      </w:r>
      <w:r>
        <w:rPr>
          <w:color w:val="231F20"/>
        </w:rPr>
        <w:t>1916, pendant la</w:t>
      </w:r>
      <w:r>
        <w:rPr>
          <w:color w:val="231F20"/>
          <w:spacing w:val="-15"/>
        </w:rPr>
        <w:t> </w:t>
      </w:r>
      <w:r>
        <w:rPr>
          <w:color w:val="231F20"/>
        </w:rPr>
        <w:t>Première Guerre mondiale, dans le cadre de la liquidation de l'Empire colonial allemand, les Belges chassent les Allemands</w:t>
      </w:r>
      <w:r>
        <w:rPr>
          <w:color w:val="231F20"/>
          <w:spacing w:val="-17"/>
        </w:rPr>
        <w:t> </w:t>
      </w:r>
      <w:r>
        <w:rPr>
          <w:color w:val="231F20"/>
        </w:rPr>
        <w:t>du</w:t>
      </w:r>
      <w:r>
        <w:rPr>
          <w:color w:val="231F20"/>
          <w:spacing w:val="-15"/>
        </w:rPr>
        <w:t> </w:t>
      </w:r>
      <w:r>
        <w:rPr>
          <w:color w:val="231F20"/>
        </w:rPr>
        <w:t>Rwanda</w:t>
      </w:r>
      <w:r>
        <w:rPr>
          <w:color w:val="231F20"/>
          <w:spacing w:val="-15"/>
        </w:rPr>
        <w:t> </w:t>
      </w:r>
      <w:r>
        <w:rPr>
          <w:color w:val="231F20"/>
        </w:rPr>
        <w:t>et</w:t>
      </w:r>
      <w:r>
        <w:rPr>
          <w:color w:val="231F20"/>
          <w:spacing w:val="-15"/>
        </w:rPr>
        <w:t> </w:t>
      </w:r>
      <w:r>
        <w:rPr>
          <w:color w:val="231F20"/>
        </w:rPr>
        <w:t>occupent</w:t>
      </w:r>
      <w:r>
        <w:rPr>
          <w:color w:val="231F20"/>
          <w:spacing w:val="-15"/>
        </w:rPr>
        <w:t> </w:t>
      </w:r>
      <w:r>
        <w:rPr>
          <w:color w:val="231F20"/>
        </w:rPr>
        <w:t>à</w:t>
      </w:r>
      <w:r>
        <w:rPr>
          <w:color w:val="231F20"/>
          <w:spacing w:val="-14"/>
        </w:rPr>
        <w:t> </w:t>
      </w:r>
      <w:r>
        <w:rPr>
          <w:color w:val="231F20"/>
        </w:rPr>
        <w:t>leur</w:t>
      </w:r>
      <w:r>
        <w:rPr>
          <w:color w:val="231F20"/>
          <w:spacing w:val="-15"/>
        </w:rPr>
        <w:t> </w:t>
      </w:r>
      <w:r>
        <w:rPr>
          <w:color w:val="231F20"/>
        </w:rPr>
        <w:t>tour</w:t>
      </w:r>
      <w:r>
        <w:rPr>
          <w:color w:val="231F20"/>
          <w:spacing w:val="-15"/>
        </w:rPr>
        <w:t> </w:t>
      </w:r>
      <w:r>
        <w:rPr>
          <w:color w:val="231F20"/>
        </w:rPr>
        <w:t>le</w:t>
      </w:r>
      <w:r>
        <w:rPr>
          <w:color w:val="231F20"/>
          <w:spacing w:val="-13"/>
        </w:rPr>
        <w:t> </w:t>
      </w:r>
      <w:r>
        <w:rPr>
          <w:color w:val="231F20"/>
        </w:rPr>
        <w:t>pays.</w:t>
      </w:r>
      <w:r>
        <w:rPr>
          <w:color w:val="231F20"/>
          <w:spacing w:val="-13"/>
        </w:rPr>
        <w:t> </w:t>
      </w:r>
      <w:r>
        <w:rPr>
          <w:color w:val="231F20"/>
        </w:rPr>
        <w:t>Après</w:t>
      </w:r>
      <w:r>
        <w:rPr>
          <w:color w:val="231F20"/>
          <w:spacing w:val="-15"/>
        </w:rPr>
        <w:t> </w:t>
      </w:r>
      <w:r>
        <w:rPr>
          <w:color w:val="231F20"/>
        </w:rPr>
        <w:t>la</w:t>
      </w:r>
      <w:r>
        <w:rPr>
          <w:color w:val="231F20"/>
          <w:spacing w:val="-13"/>
        </w:rPr>
        <w:t> </w:t>
      </w:r>
      <w:r>
        <w:rPr>
          <w:color w:val="231F20"/>
          <w:spacing w:val="-2"/>
        </w:rPr>
        <w:t>Première</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40"/>
        <w:ind w:left="0"/>
        <w:jc w:val="left"/>
        <w:rPr>
          <w:sz w:val="20"/>
        </w:rPr>
      </w:pPr>
      <w:r>
        <w:rPr/>
        <mc:AlternateContent>
          <mc:Choice Requires="wps">
            <w:drawing>
              <wp:anchor distT="0" distB="0" distL="0" distR="0" allowOverlap="1" layoutInCell="1" locked="0" behindDoc="1" simplePos="0" relativeHeight="487603712">
                <wp:simplePos x="0" y="0"/>
                <wp:positionH relativeFrom="page">
                  <wp:posOffset>629907</wp:posOffset>
                </wp:positionH>
                <wp:positionV relativeFrom="paragraph">
                  <wp:posOffset>250459</wp:posOffset>
                </wp:positionV>
                <wp:extent cx="1829435" cy="952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72121pt;width:144.020pt;height:.72pt;mso-position-horizontal-relative:page;mso-position-vertical-relative:paragraph;z-index:-15712768;mso-wrap-distance-left:0;mso-wrap-distance-right:0" id="docshape44" filled="true" fillcolor="#231f20" stroked="false">
                <v:fill type="solid"/>
                <w10:wrap type="topAndBottom"/>
              </v:rect>
            </w:pict>
          </mc:Fallback>
        </mc:AlternateContent>
      </w:r>
    </w:p>
    <w:p>
      <w:pPr>
        <w:spacing w:before="91"/>
        <w:ind w:left="111" w:right="0" w:firstLine="0"/>
        <w:jc w:val="left"/>
        <w:rPr>
          <w:sz w:val="20"/>
        </w:rPr>
      </w:pPr>
      <w:r>
        <w:rPr>
          <w:color w:val="76787A"/>
          <w:spacing w:val="-4"/>
          <w:sz w:val="20"/>
          <w:vertAlign w:val="superscript"/>
        </w:rPr>
        <w:t>48</w:t>
      </w:r>
      <w:r>
        <w:rPr>
          <w:color w:val="76787A"/>
          <w:spacing w:val="-13"/>
          <w:sz w:val="20"/>
          <w:vertAlign w:val="baseline"/>
        </w:rPr>
        <w:t> </w:t>
      </w:r>
      <w:r>
        <w:rPr>
          <w:color w:val="231F20"/>
          <w:spacing w:val="-4"/>
          <w:sz w:val="20"/>
          <w:vertAlign w:val="baseline"/>
        </w:rPr>
        <w:t>Sources :</w:t>
      </w:r>
      <w:r>
        <w:rPr>
          <w:color w:val="231F20"/>
          <w:spacing w:val="-11"/>
          <w:sz w:val="20"/>
          <w:vertAlign w:val="baseline"/>
        </w:rPr>
        <w:t> </w:t>
      </w:r>
      <w:r>
        <w:rPr>
          <w:color w:val="231F20"/>
          <w:spacing w:val="-4"/>
          <w:sz w:val="20"/>
          <w:vertAlign w:val="baseline"/>
        </w:rPr>
        <w:t>Wikipédia ;Jean-Claude</w:t>
      </w:r>
      <w:r>
        <w:rPr>
          <w:color w:val="231F20"/>
          <w:spacing w:val="-10"/>
          <w:sz w:val="20"/>
          <w:vertAlign w:val="baseline"/>
        </w:rPr>
        <w:t> </w:t>
      </w:r>
      <w:r>
        <w:rPr>
          <w:color w:val="231F20"/>
          <w:spacing w:val="-4"/>
          <w:sz w:val="20"/>
          <w:vertAlign w:val="baseline"/>
        </w:rPr>
        <w:t>Klotchkoff</w:t>
      </w:r>
      <w:r>
        <w:rPr>
          <w:color w:val="231F20"/>
          <w:spacing w:val="-10"/>
          <w:sz w:val="20"/>
          <w:vertAlign w:val="baseline"/>
        </w:rPr>
        <w:t> </w:t>
      </w:r>
      <w:r>
        <w:rPr>
          <w:color w:val="231F20"/>
          <w:spacing w:val="-4"/>
          <w:sz w:val="20"/>
          <w:vertAlign w:val="baseline"/>
        </w:rPr>
        <w:t>(et</w:t>
      </w:r>
      <w:r>
        <w:rPr>
          <w:color w:val="231F20"/>
          <w:spacing w:val="-11"/>
          <w:sz w:val="20"/>
          <w:vertAlign w:val="baseline"/>
        </w:rPr>
        <w:t> </w:t>
      </w:r>
      <w:r>
        <w:rPr>
          <w:color w:val="231F20"/>
          <w:spacing w:val="-4"/>
          <w:sz w:val="20"/>
          <w:vertAlign w:val="baseline"/>
        </w:rPr>
        <w:t>al.), </w:t>
      </w:r>
      <w:r>
        <w:rPr>
          <w:i/>
          <w:color w:val="231F20"/>
          <w:spacing w:val="-4"/>
          <w:sz w:val="20"/>
          <w:vertAlign w:val="baseline"/>
        </w:rPr>
        <w:t>Le</w:t>
      </w:r>
      <w:r>
        <w:rPr>
          <w:i/>
          <w:color w:val="231F20"/>
          <w:spacing w:val="-10"/>
          <w:sz w:val="20"/>
          <w:vertAlign w:val="baseline"/>
        </w:rPr>
        <w:t> </w:t>
      </w:r>
      <w:r>
        <w:rPr>
          <w:i/>
          <w:color w:val="231F20"/>
          <w:spacing w:val="-4"/>
          <w:sz w:val="20"/>
          <w:vertAlign w:val="baseline"/>
        </w:rPr>
        <w:t>Rwanda</w:t>
      </w:r>
      <w:r>
        <w:rPr>
          <w:i/>
          <w:color w:val="231F20"/>
          <w:spacing w:val="-10"/>
          <w:sz w:val="20"/>
          <w:vertAlign w:val="baseline"/>
        </w:rPr>
        <w:t> </w:t>
      </w:r>
      <w:r>
        <w:rPr>
          <w:i/>
          <w:color w:val="231F20"/>
          <w:spacing w:val="-4"/>
          <w:sz w:val="20"/>
          <w:vertAlign w:val="baseline"/>
        </w:rPr>
        <w:t>aujourd'hui</w:t>
      </w:r>
      <w:r>
        <w:rPr>
          <w:color w:val="231F20"/>
          <w:spacing w:val="-4"/>
          <w:sz w:val="20"/>
          <w:vertAlign w:val="baseline"/>
        </w:rPr>
        <w:t>,</w:t>
      </w:r>
      <w:r>
        <w:rPr>
          <w:color w:val="231F20"/>
          <w:spacing w:val="-10"/>
          <w:sz w:val="20"/>
          <w:vertAlign w:val="baseline"/>
        </w:rPr>
        <w:t> </w:t>
      </w:r>
      <w:r>
        <w:rPr>
          <w:color w:val="231F20"/>
          <w:spacing w:val="-4"/>
          <w:sz w:val="20"/>
          <w:vertAlign w:val="baseline"/>
        </w:rPr>
        <w:t>Éditions </w:t>
      </w:r>
      <w:r>
        <w:rPr>
          <w:color w:val="231F20"/>
          <w:sz w:val="20"/>
          <w:vertAlign w:val="baseline"/>
        </w:rPr>
        <w:t>du Jaguar, Paris, 2008 (2</w:t>
      </w:r>
      <w:r>
        <w:rPr>
          <w:color w:val="231F20"/>
          <w:sz w:val="20"/>
          <w:vertAlign w:val="superscript"/>
        </w:rPr>
        <w:t>e</w:t>
      </w:r>
      <w:r>
        <w:rPr>
          <w:color w:val="231F20"/>
          <w:sz w:val="20"/>
          <w:vertAlign w:val="baseline"/>
        </w:rPr>
        <w:t> éd.)</w:t>
      </w:r>
    </w:p>
    <w:p>
      <w:pPr>
        <w:spacing w:before="1"/>
        <w:ind w:left="111" w:right="0" w:firstLine="0"/>
        <w:jc w:val="left"/>
        <w:rPr>
          <w:sz w:val="20"/>
        </w:rPr>
      </w:pPr>
      <w:r>
        <w:rPr>
          <w:color w:val="231F20"/>
          <w:sz w:val="20"/>
        </w:rPr>
        <w:t>Bernard</w:t>
      </w:r>
      <w:r>
        <w:rPr>
          <w:color w:val="231F20"/>
          <w:spacing w:val="1"/>
          <w:sz w:val="20"/>
        </w:rPr>
        <w:t> </w:t>
      </w:r>
      <w:r>
        <w:rPr>
          <w:color w:val="231F20"/>
          <w:sz w:val="20"/>
        </w:rPr>
        <w:t>Lugan,</w:t>
      </w:r>
      <w:r>
        <w:rPr>
          <w:color w:val="231F20"/>
          <w:spacing w:val="-13"/>
          <w:sz w:val="20"/>
        </w:rPr>
        <w:t> </w:t>
      </w:r>
      <w:r>
        <w:rPr>
          <w:i/>
          <w:color w:val="231F20"/>
          <w:sz w:val="20"/>
        </w:rPr>
        <w:t>Histoire</w:t>
      </w:r>
      <w:r>
        <w:rPr>
          <w:i/>
          <w:color w:val="231F20"/>
          <w:spacing w:val="8"/>
          <w:sz w:val="20"/>
        </w:rPr>
        <w:t> </w:t>
      </w:r>
      <w:r>
        <w:rPr>
          <w:i/>
          <w:color w:val="231F20"/>
          <w:sz w:val="20"/>
        </w:rPr>
        <w:t>du</w:t>
      </w:r>
      <w:r>
        <w:rPr>
          <w:i/>
          <w:color w:val="231F20"/>
          <w:spacing w:val="9"/>
          <w:sz w:val="20"/>
        </w:rPr>
        <w:t> </w:t>
      </w:r>
      <w:r>
        <w:rPr>
          <w:i/>
          <w:color w:val="231F20"/>
          <w:sz w:val="20"/>
        </w:rPr>
        <w:t>Rwanda</w:t>
      </w:r>
      <w:r>
        <w:rPr>
          <w:i/>
          <w:color w:val="231F20"/>
          <w:spacing w:val="-13"/>
          <w:sz w:val="20"/>
        </w:rPr>
        <w:t> </w:t>
      </w:r>
      <w:r>
        <w:rPr>
          <w:i/>
          <w:color w:val="231F20"/>
          <w:sz w:val="20"/>
        </w:rPr>
        <w:t>:</w:t>
      </w:r>
      <w:r>
        <w:rPr>
          <w:i/>
          <w:color w:val="231F20"/>
          <w:spacing w:val="8"/>
          <w:sz w:val="20"/>
        </w:rPr>
        <w:t> </w:t>
      </w:r>
      <w:r>
        <w:rPr>
          <w:i/>
          <w:color w:val="231F20"/>
          <w:sz w:val="20"/>
        </w:rPr>
        <w:t>de</w:t>
      </w:r>
      <w:r>
        <w:rPr>
          <w:i/>
          <w:color w:val="231F20"/>
          <w:spacing w:val="9"/>
          <w:sz w:val="20"/>
        </w:rPr>
        <w:t> </w:t>
      </w:r>
      <w:r>
        <w:rPr>
          <w:i/>
          <w:color w:val="231F20"/>
          <w:sz w:val="20"/>
        </w:rPr>
        <w:t>la</w:t>
      </w:r>
      <w:r>
        <w:rPr>
          <w:i/>
          <w:color w:val="231F20"/>
          <w:spacing w:val="9"/>
          <w:sz w:val="20"/>
        </w:rPr>
        <w:t> </w:t>
      </w:r>
      <w:r>
        <w:rPr>
          <w:i/>
          <w:color w:val="231F20"/>
          <w:sz w:val="20"/>
        </w:rPr>
        <w:t>préhistoire</w:t>
      </w:r>
      <w:r>
        <w:rPr>
          <w:i/>
          <w:color w:val="231F20"/>
          <w:spacing w:val="9"/>
          <w:sz w:val="20"/>
        </w:rPr>
        <w:t> </w:t>
      </w:r>
      <w:r>
        <w:rPr>
          <w:i/>
          <w:color w:val="231F20"/>
          <w:sz w:val="20"/>
        </w:rPr>
        <w:t>à</w:t>
      </w:r>
      <w:r>
        <w:rPr>
          <w:i/>
          <w:color w:val="231F20"/>
          <w:spacing w:val="8"/>
          <w:sz w:val="20"/>
        </w:rPr>
        <w:t> </w:t>
      </w:r>
      <w:r>
        <w:rPr>
          <w:i/>
          <w:color w:val="231F20"/>
          <w:sz w:val="20"/>
        </w:rPr>
        <w:t>nos</w:t>
      </w:r>
      <w:r>
        <w:rPr>
          <w:i/>
          <w:color w:val="231F20"/>
          <w:spacing w:val="9"/>
          <w:sz w:val="20"/>
        </w:rPr>
        <w:t> </w:t>
      </w:r>
      <w:r>
        <w:rPr>
          <w:i/>
          <w:color w:val="231F20"/>
          <w:sz w:val="20"/>
        </w:rPr>
        <w:t>jours</w:t>
      </w:r>
      <w:r>
        <w:rPr>
          <w:color w:val="231F20"/>
          <w:sz w:val="20"/>
        </w:rPr>
        <w:t>,</w:t>
      </w:r>
      <w:r>
        <w:rPr>
          <w:color w:val="231F20"/>
          <w:spacing w:val="9"/>
          <w:sz w:val="20"/>
        </w:rPr>
        <w:t> </w:t>
      </w:r>
      <w:r>
        <w:rPr>
          <w:color w:val="231F20"/>
          <w:sz w:val="20"/>
        </w:rPr>
        <w:t>Bartillat, Parijs, 1997,Christel</w:t>
      </w:r>
      <w:r>
        <w:rPr>
          <w:color w:val="231F20"/>
          <w:spacing w:val="-13"/>
          <w:sz w:val="20"/>
        </w:rPr>
        <w:t> </w:t>
      </w:r>
      <w:r>
        <w:rPr>
          <w:color w:val="231F20"/>
          <w:sz w:val="20"/>
        </w:rPr>
        <w:t>Martin,</w:t>
      </w:r>
      <w:r>
        <w:rPr>
          <w:color w:val="231F20"/>
          <w:spacing w:val="-12"/>
          <w:sz w:val="20"/>
        </w:rPr>
        <w:t> </w:t>
      </w:r>
      <w:r>
        <w:rPr>
          <w:i/>
          <w:color w:val="231F20"/>
          <w:sz w:val="20"/>
        </w:rPr>
        <w:t>Un</w:t>
      </w:r>
      <w:r>
        <w:rPr>
          <w:i/>
          <w:color w:val="231F20"/>
          <w:spacing w:val="-13"/>
          <w:sz w:val="20"/>
        </w:rPr>
        <w:t> </w:t>
      </w:r>
      <w:r>
        <w:rPr>
          <w:i/>
          <w:color w:val="231F20"/>
          <w:sz w:val="20"/>
        </w:rPr>
        <w:t>autre</w:t>
      </w:r>
      <w:r>
        <w:rPr>
          <w:i/>
          <w:color w:val="231F20"/>
          <w:spacing w:val="-12"/>
          <w:sz w:val="20"/>
        </w:rPr>
        <w:t> </w:t>
      </w:r>
      <w:r>
        <w:rPr>
          <w:i/>
          <w:color w:val="231F20"/>
          <w:sz w:val="20"/>
        </w:rPr>
        <w:t>Burundi</w:t>
      </w:r>
      <w:r>
        <w:rPr>
          <w:color w:val="231F20"/>
          <w:sz w:val="20"/>
        </w:rPr>
        <w:t>,</w:t>
      </w:r>
      <w:r>
        <w:rPr>
          <w:color w:val="231F20"/>
          <w:spacing w:val="-13"/>
          <w:sz w:val="20"/>
        </w:rPr>
        <w:t> </w:t>
      </w:r>
      <w:r>
        <w:rPr>
          <w:color w:val="231F20"/>
          <w:sz w:val="20"/>
        </w:rPr>
        <w:t>Sepia,</w:t>
      </w:r>
      <w:r>
        <w:rPr>
          <w:color w:val="231F20"/>
          <w:spacing w:val="-12"/>
          <w:sz w:val="20"/>
        </w:rPr>
        <w:t> </w:t>
      </w:r>
      <w:r>
        <w:rPr>
          <w:color w:val="231F20"/>
          <w:sz w:val="20"/>
        </w:rPr>
        <w:t>Saint-Maur-des-Fossés,</w:t>
      </w:r>
      <w:r>
        <w:rPr>
          <w:color w:val="231F20"/>
          <w:spacing w:val="-13"/>
          <w:sz w:val="20"/>
        </w:rPr>
        <w:t> </w:t>
      </w:r>
      <w:r>
        <w:rPr>
          <w:color w:val="231F20"/>
          <w:sz w:val="20"/>
        </w:rPr>
        <w:t>2000,</w:t>
      </w:r>
    </w:p>
    <w:p>
      <w:pPr>
        <w:spacing w:after="0"/>
        <w:jc w:val="left"/>
        <w:rPr>
          <w:sz w:val="20"/>
        </w:rPr>
        <w:sectPr>
          <w:pgSz w:w="8790" w:h="13610"/>
          <w:pgMar w:header="0" w:footer="802" w:top="1280" w:bottom="1000" w:left="880" w:right="880"/>
        </w:sectPr>
      </w:pPr>
    </w:p>
    <w:p>
      <w:pPr>
        <w:pStyle w:val="BodyText"/>
        <w:spacing w:before="86"/>
        <w:ind w:right="104"/>
      </w:pPr>
      <w:r>
        <w:rPr>
          <w:color w:val="231F20"/>
          <w:spacing w:val="-2"/>
        </w:rPr>
        <w:t>Guerre</w:t>
      </w:r>
      <w:r>
        <w:rPr>
          <w:color w:val="231F20"/>
          <w:spacing w:val="-7"/>
        </w:rPr>
        <w:t> </w:t>
      </w:r>
      <w:r>
        <w:rPr>
          <w:color w:val="231F20"/>
          <w:spacing w:val="-2"/>
        </w:rPr>
        <w:t>mondiale,</w:t>
      </w:r>
      <w:r>
        <w:rPr>
          <w:color w:val="231F20"/>
          <w:spacing w:val="-7"/>
        </w:rPr>
        <w:t> </w:t>
      </w:r>
      <w:r>
        <w:rPr>
          <w:color w:val="231F20"/>
          <w:spacing w:val="-2"/>
        </w:rPr>
        <w:t>les</w:t>
      </w:r>
      <w:r>
        <w:rPr>
          <w:color w:val="231F20"/>
          <w:spacing w:val="-7"/>
        </w:rPr>
        <w:t> </w:t>
      </w:r>
      <w:r>
        <w:rPr>
          <w:color w:val="231F20"/>
          <w:spacing w:val="-2"/>
        </w:rPr>
        <w:t>deux</w:t>
      </w:r>
      <w:r>
        <w:rPr>
          <w:color w:val="231F20"/>
          <w:spacing w:val="-7"/>
        </w:rPr>
        <w:t> </w:t>
      </w:r>
      <w:r>
        <w:rPr>
          <w:color w:val="231F20"/>
          <w:spacing w:val="-2"/>
        </w:rPr>
        <w:t>pays</w:t>
      </w:r>
      <w:r>
        <w:rPr>
          <w:color w:val="231F20"/>
          <w:spacing w:val="-7"/>
        </w:rPr>
        <w:t> </w:t>
      </w:r>
      <w:r>
        <w:rPr>
          <w:color w:val="231F20"/>
          <w:spacing w:val="-2"/>
        </w:rPr>
        <w:t>sous</w:t>
      </w:r>
      <w:r>
        <w:rPr>
          <w:color w:val="231F20"/>
          <w:spacing w:val="-7"/>
        </w:rPr>
        <w:t> </w:t>
      </w:r>
      <w:r>
        <w:rPr>
          <w:color w:val="231F20"/>
          <w:spacing w:val="-2"/>
        </w:rPr>
        <w:t>mandat</w:t>
      </w:r>
      <w:r>
        <w:rPr>
          <w:color w:val="231F20"/>
          <w:spacing w:val="-7"/>
        </w:rPr>
        <w:t> </w:t>
      </w:r>
      <w:r>
        <w:rPr>
          <w:color w:val="231F20"/>
          <w:spacing w:val="-2"/>
        </w:rPr>
        <w:t>de</w:t>
      </w:r>
      <w:r>
        <w:rPr>
          <w:color w:val="231F20"/>
          <w:spacing w:val="-10"/>
        </w:rPr>
        <w:t> </w:t>
      </w:r>
      <w:r>
        <w:rPr>
          <w:color w:val="231F20"/>
          <w:spacing w:val="-2"/>
        </w:rPr>
        <w:t>la</w:t>
      </w:r>
      <w:r>
        <w:rPr>
          <w:color w:val="231F20"/>
          <w:spacing w:val="-12"/>
        </w:rPr>
        <w:t> </w:t>
      </w:r>
      <w:r>
        <w:rPr>
          <w:color w:val="231F20"/>
          <w:spacing w:val="-2"/>
        </w:rPr>
        <w:t>Société</w:t>
      </w:r>
      <w:r>
        <w:rPr>
          <w:color w:val="231F20"/>
          <w:spacing w:val="-7"/>
        </w:rPr>
        <w:t> </w:t>
      </w:r>
      <w:r>
        <w:rPr>
          <w:color w:val="231F20"/>
          <w:spacing w:val="-2"/>
        </w:rPr>
        <w:t>des</w:t>
      </w:r>
      <w:r>
        <w:rPr>
          <w:color w:val="231F20"/>
          <w:spacing w:val="-7"/>
        </w:rPr>
        <w:t> </w:t>
      </w:r>
      <w:r>
        <w:rPr>
          <w:color w:val="231F20"/>
          <w:spacing w:val="-2"/>
        </w:rPr>
        <w:t>Nations</w:t>
      </w:r>
      <w:r>
        <w:rPr>
          <w:color w:val="76787A"/>
          <w:spacing w:val="-2"/>
          <w:vertAlign w:val="superscript"/>
        </w:rPr>
        <w:t>49</w:t>
      </w:r>
      <w:r>
        <w:rPr>
          <w:color w:val="231F20"/>
          <w:spacing w:val="-2"/>
          <w:vertAlign w:val="baseline"/>
        </w:rPr>
        <w:t>, </w:t>
      </w:r>
      <w:r>
        <w:rPr>
          <w:color w:val="231F20"/>
          <w:vertAlign w:val="baseline"/>
        </w:rPr>
        <w:t>sont administrés par la Belgique. Lorsqu’ils prennent le relais des Allemands, les Belges maintiennent l’organisation mise en place. Le gouvernement colonial s'appuie sur les autorités locales en place</w:t>
      </w:r>
      <w:r>
        <w:rPr>
          <w:color w:val="231F20"/>
          <w:spacing w:val="-15"/>
          <w:vertAlign w:val="baseline"/>
        </w:rPr>
        <w:t> </w:t>
      </w:r>
      <w:r>
        <w:rPr>
          <w:color w:val="231F20"/>
          <w:vertAlign w:val="baseline"/>
        </w:rPr>
        <w:t>: le Mwami</w:t>
      </w:r>
      <w:r>
        <w:rPr>
          <w:color w:val="76787A"/>
          <w:vertAlign w:val="superscript"/>
        </w:rPr>
        <w:t>50</w:t>
      </w:r>
      <w:r>
        <w:rPr>
          <w:color w:val="76787A"/>
          <w:vertAlign w:val="baseline"/>
        </w:rPr>
        <w:t> </w:t>
      </w:r>
      <w:r>
        <w:rPr>
          <w:color w:val="231F20"/>
          <w:vertAlign w:val="baseline"/>
        </w:rPr>
        <w:t>et l'aristocratie tutsi.</w:t>
      </w:r>
    </w:p>
    <w:p>
      <w:pPr>
        <w:pStyle w:val="BodyText"/>
        <w:spacing w:before="120"/>
        <w:ind w:right="104" w:firstLine="283"/>
      </w:pPr>
      <w:r>
        <w:rPr>
          <w:color w:val="231F20"/>
        </w:rPr>
        <w:t>En</w:t>
      </w:r>
      <w:r>
        <w:rPr>
          <w:color w:val="231F20"/>
          <w:spacing w:val="-15"/>
        </w:rPr>
        <w:t> </w:t>
      </w:r>
      <w:r>
        <w:rPr>
          <w:color w:val="231F20"/>
        </w:rPr>
        <w:t>1931,</w:t>
      </w:r>
      <w:r>
        <w:rPr>
          <w:color w:val="231F20"/>
          <w:spacing w:val="-4"/>
        </w:rPr>
        <w:t> </w:t>
      </w:r>
      <w:r>
        <w:rPr>
          <w:color w:val="231F20"/>
        </w:rPr>
        <w:t>Mwami</w:t>
      </w:r>
      <w:r>
        <w:rPr>
          <w:color w:val="231F20"/>
          <w:spacing w:val="-3"/>
        </w:rPr>
        <w:t> </w:t>
      </w:r>
      <w:r>
        <w:rPr>
          <w:color w:val="231F20"/>
        </w:rPr>
        <w:t>Yuhi</w:t>
      </w:r>
      <w:r>
        <w:rPr>
          <w:color w:val="231F20"/>
          <w:spacing w:val="-3"/>
        </w:rPr>
        <w:t> </w:t>
      </w:r>
      <w:r>
        <w:rPr>
          <w:color w:val="231F20"/>
        </w:rPr>
        <w:t>Musinga</w:t>
      </w:r>
      <w:r>
        <w:rPr>
          <w:color w:val="76787A"/>
          <w:vertAlign w:val="superscript"/>
        </w:rPr>
        <w:t>51</w:t>
      </w:r>
      <w:r>
        <w:rPr>
          <w:color w:val="76787A"/>
          <w:spacing w:val="-14"/>
          <w:vertAlign w:val="baseline"/>
        </w:rPr>
        <w:t> </w:t>
      </w:r>
      <w:r>
        <w:rPr>
          <w:color w:val="231F20"/>
          <w:vertAlign w:val="baseline"/>
        </w:rPr>
        <w:t>qui</w:t>
      </w:r>
      <w:r>
        <w:rPr>
          <w:color w:val="231F20"/>
          <w:spacing w:val="-2"/>
          <w:vertAlign w:val="baseline"/>
        </w:rPr>
        <w:t> </w:t>
      </w:r>
      <w:r>
        <w:rPr>
          <w:color w:val="231F20"/>
          <w:vertAlign w:val="baseline"/>
        </w:rPr>
        <w:t>refuse</w:t>
      </w:r>
      <w:r>
        <w:rPr>
          <w:color w:val="231F20"/>
          <w:spacing w:val="-2"/>
          <w:vertAlign w:val="baseline"/>
        </w:rPr>
        <w:t> </w:t>
      </w:r>
      <w:r>
        <w:rPr>
          <w:color w:val="231F20"/>
          <w:vertAlign w:val="baseline"/>
        </w:rPr>
        <w:t>de</w:t>
      </w:r>
      <w:r>
        <w:rPr>
          <w:color w:val="231F20"/>
          <w:spacing w:val="-2"/>
          <w:vertAlign w:val="baseline"/>
        </w:rPr>
        <w:t> </w:t>
      </w:r>
      <w:r>
        <w:rPr>
          <w:color w:val="231F20"/>
          <w:vertAlign w:val="baseline"/>
        </w:rPr>
        <w:t>se</w:t>
      </w:r>
      <w:r>
        <w:rPr>
          <w:color w:val="231F20"/>
          <w:spacing w:val="-3"/>
          <w:vertAlign w:val="baseline"/>
        </w:rPr>
        <w:t> </w:t>
      </w:r>
      <w:r>
        <w:rPr>
          <w:color w:val="231F20"/>
          <w:vertAlign w:val="baseline"/>
        </w:rPr>
        <w:t>faire</w:t>
      </w:r>
      <w:r>
        <w:rPr>
          <w:color w:val="231F20"/>
          <w:spacing w:val="-2"/>
          <w:vertAlign w:val="baseline"/>
        </w:rPr>
        <w:t> </w:t>
      </w:r>
      <w:r>
        <w:rPr>
          <w:color w:val="231F20"/>
          <w:vertAlign w:val="baseline"/>
        </w:rPr>
        <w:t>baptiser,</w:t>
      </w:r>
      <w:r>
        <w:rPr>
          <w:color w:val="231F20"/>
          <w:spacing w:val="-3"/>
          <w:vertAlign w:val="baseline"/>
        </w:rPr>
        <w:t> </w:t>
      </w:r>
      <w:r>
        <w:rPr>
          <w:color w:val="231F20"/>
          <w:vertAlign w:val="baseline"/>
        </w:rPr>
        <w:t>est contraint de partir en exil dans l'actuelle</w:t>
      </w:r>
      <w:r>
        <w:rPr>
          <w:color w:val="231F20"/>
          <w:spacing w:val="-15"/>
          <w:vertAlign w:val="baseline"/>
        </w:rPr>
        <w:t> </w:t>
      </w:r>
      <w:r>
        <w:rPr>
          <w:color w:val="231F20"/>
          <w:vertAlign w:val="baseline"/>
        </w:rPr>
        <w:t>République Démocratique du Congo. La Belgique confie le pouvoir à son fils Mutara Rudahigwa, converti au catholicisme. Par une série de mesures administratives, les </w:t>
      </w:r>
      <w:r>
        <w:rPr>
          <w:color w:val="231F20"/>
          <w:spacing w:val="-2"/>
          <w:vertAlign w:val="baseline"/>
        </w:rPr>
        <w:t>Belges</w:t>
      </w:r>
      <w:r>
        <w:rPr>
          <w:color w:val="231F20"/>
          <w:spacing w:val="-15"/>
          <w:vertAlign w:val="baseline"/>
        </w:rPr>
        <w:t> </w:t>
      </w:r>
      <w:r>
        <w:rPr>
          <w:color w:val="231F20"/>
          <w:spacing w:val="-2"/>
          <w:vertAlign w:val="baseline"/>
        </w:rPr>
        <w:t>institutionnalisent,</w:t>
      </w:r>
      <w:r>
        <w:rPr>
          <w:color w:val="231F20"/>
          <w:spacing w:val="-13"/>
          <w:vertAlign w:val="baseline"/>
        </w:rPr>
        <w:t> </w:t>
      </w:r>
      <w:r>
        <w:rPr>
          <w:color w:val="231F20"/>
          <w:spacing w:val="-2"/>
          <w:vertAlign w:val="baseline"/>
        </w:rPr>
        <w:t>entre</w:t>
      </w:r>
      <w:r>
        <w:rPr>
          <w:color w:val="231F20"/>
          <w:spacing w:val="-13"/>
          <w:vertAlign w:val="baseline"/>
        </w:rPr>
        <w:t> </w:t>
      </w:r>
      <w:r>
        <w:rPr>
          <w:color w:val="231F20"/>
          <w:spacing w:val="-2"/>
          <w:vertAlign w:val="baseline"/>
        </w:rPr>
        <w:t>1926</w:t>
      </w:r>
      <w:r>
        <w:rPr>
          <w:color w:val="231F20"/>
          <w:spacing w:val="-13"/>
          <w:vertAlign w:val="baseline"/>
        </w:rPr>
        <w:t> </w:t>
      </w:r>
      <w:r>
        <w:rPr>
          <w:color w:val="231F20"/>
          <w:spacing w:val="-2"/>
          <w:vertAlign w:val="baseline"/>
        </w:rPr>
        <w:t>et</w:t>
      </w:r>
      <w:r>
        <w:rPr>
          <w:color w:val="231F20"/>
          <w:spacing w:val="-13"/>
          <w:vertAlign w:val="baseline"/>
        </w:rPr>
        <w:t> </w:t>
      </w:r>
      <w:r>
        <w:rPr>
          <w:color w:val="231F20"/>
          <w:spacing w:val="-2"/>
          <w:vertAlign w:val="baseline"/>
        </w:rPr>
        <w:t>1932,</w:t>
      </w:r>
      <w:r>
        <w:rPr>
          <w:color w:val="231F20"/>
          <w:spacing w:val="-13"/>
          <w:vertAlign w:val="baseline"/>
        </w:rPr>
        <w:t> </w:t>
      </w:r>
      <w:r>
        <w:rPr>
          <w:color w:val="231F20"/>
          <w:spacing w:val="-2"/>
          <w:vertAlign w:val="baseline"/>
        </w:rPr>
        <w:t>le</w:t>
      </w:r>
      <w:r>
        <w:rPr>
          <w:color w:val="231F20"/>
          <w:spacing w:val="-13"/>
          <w:vertAlign w:val="baseline"/>
        </w:rPr>
        <w:t> </w:t>
      </w:r>
      <w:r>
        <w:rPr>
          <w:color w:val="231F20"/>
          <w:spacing w:val="-2"/>
          <w:vertAlign w:val="baseline"/>
        </w:rPr>
        <w:t>clivage</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population. </w:t>
      </w:r>
      <w:r>
        <w:rPr>
          <w:color w:val="231F20"/>
          <w:vertAlign w:val="baseline"/>
        </w:rPr>
        <w:t>L’accès à l’enseignement et aux postes administratifs sont réservés </w:t>
      </w:r>
      <w:r>
        <w:rPr>
          <w:color w:val="231F20"/>
          <w:spacing w:val="-4"/>
          <w:vertAlign w:val="baseline"/>
        </w:rPr>
        <w:t>prioritairement aux Tutsi. Une carte d’identité ethnique est officiellement </w:t>
      </w:r>
      <w:r>
        <w:rPr>
          <w:color w:val="231F20"/>
          <w:vertAlign w:val="baseline"/>
        </w:rPr>
        <w:t>décrétée</w:t>
      </w:r>
      <w:r>
        <w:rPr>
          <w:color w:val="231F20"/>
          <w:spacing w:val="-10"/>
          <w:vertAlign w:val="baseline"/>
        </w:rPr>
        <w:t> </w:t>
      </w:r>
      <w:r>
        <w:rPr>
          <w:color w:val="231F20"/>
          <w:vertAlign w:val="baseline"/>
        </w:rPr>
        <w:t>et</w:t>
      </w:r>
      <w:r>
        <w:rPr>
          <w:color w:val="231F20"/>
          <w:spacing w:val="-9"/>
          <w:vertAlign w:val="baseline"/>
        </w:rPr>
        <w:t> </w:t>
      </w:r>
      <w:r>
        <w:rPr>
          <w:color w:val="231F20"/>
          <w:vertAlign w:val="baseline"/>
        </w:rPr>
        <w:t>des</w:t>
      </w:r>
      <w:r>
        <w:rPr>
          <w:color w:val="231F20"/>
          <w:spacing w:val="-11"/>
          <w:vertAlign w:val="baseline"/>
        </w:rPr>
        <w:t> </w:t>
      </w:r>
      <w:r>
        <w:rPr>
          <w:color w:val="231F20"/>
          <w:vertAlign w:val="baseline"/>
        </w:rPr>
        <w:t>documents</w:t>
      </w:r>
      <w:r>
        <w:rPr>
          <w:color w:val="231F20"/>
          <w:spacing w:val="-10"/>
          <w:vertAlign w:val="baseline"/>
        </w:rPr>
        <w:t> </w:t>
      </w:r>
      <w:r>
        <w:rPr>
          <w:color w:val="231F20"/>
          <w:vertAlign w:val="baseline"/>
        </w:rPr>
        <w:t>administratifs</w:t>
      </w:r>
      <w:r>
        <w:rPr>
          <w:color w:val="231F20"/>
          <w:spacing w:val="-12"/>
          <w:vertAlign w:val="baseline"/>
        </w:rPr>
        <w:t> </w:t>
      </w:r>
      <w:r>
        <w:rPr>
          <w:color w:val="231F20"/>
          <w:vertAlign w:val="baseline"/>
        </w:rPr>
        <w:t>précisent</w:t>
      </w:r>
      <w:r>
        <w:rPr>
          <w:color w:val="231F20"/>
          <w:spacing w:val="-11"/>
          <w:vertAlign w:val="baseline"/>
        </w:rPr>
        <w:t> </w:t>
      </w:r>
      <w:r>
        <w:rPr>
          <w:color w:val="231F20"/>
          <w:vertAlign w:val="baseline"/>
        </w:rPr>
        <w:t>systématiquement</w:t>
      </w:r>
      <w:r>
        <w:rPr>
          <w:color w:val="231F20"/>
          <w:spacing w:val="-11"/>
          <w:vertAlign w:val="baseline"/>
        </w:rPr>
        <w:t> </w:t>
      </w:r>
      <w:r>
        <w:rPr>
          <w:color w:val="231F20"/>
          <w:vertAlign w:val="baseline"/>
        </w:rPr>
        <w:t>la catégorie</w:t>
      </w:r>
      <w:r>
        <w:rPr>
          <w:color w:val="231F20"/>
          <w:spacing w:val="-15"/>
          <w:vertAlign w:val="baseline"/>
        </w:rPr>
        <w:t> </w:t>
      </w:r>
      <w:r>
        <w:rPr>
          <w:color w:val="231F20"/>
          <w:vertAlign w:val="baseline"/>
        </w:rPr>
        <w:t>«</w:t>
      </w:r>
      <w:r>
        <w:rPr>
          <w:color w:val="231F20"/>
          <w:spacing w:val="-15"/>
          <w:vertAlign w:val="baseline"/>
        </w:rPr>
        <w:t> </w:t>
      </w:r>
      <w:r>
        <w:rPr>
          <w:color w:val="231F20"/>
          <w:vertAlign w:val="baseline"/>
        </w:rPr>
        <w:t>ethnique</w:t>
      </w:r>
      <w:r>
        <w:rPr>
          <w:color w:val="231F20"/>
          <w:spacing w:val="-15"/>
          <w:vertAlign w:val="baseline"/>
        </w:rPr>
        <w:t> </w:t>
      </w:r>
      <w:r>
        <w:rPr>
          <w:color w:val="231F20"/>
          <w:vertAlign w:val="baseline"/>
        </w:rPr>
        <w:t>»</w:t>
      </w:r>
      <w:r>
        <w:rPr>
          <w:color w:val="231F20"/>
          <w:spacing w:val="-15"/>
          <w:vertAlign w:val="baseline"/>
        </w:rPr>
        <w:t> </w:t>
      </w:r>
      <w:r>
        <w:rPr>
          <w:color w:val="231F20"/>
          <w:vertAlign w:val="baseline"/>
        </w:rPr>
        <w:t>de</w:t>
      </w:r>
      <w:r>
        <w:rPr>
          <w:color w:val="231F20"/>
          <w:spacing w:val="-13"/>
          <w:vertAlign w:val="baseline"/>
        </w:rPr>
        <w:t> </w:t>
      </w:r>
      <w:r>
        <w:rPr>
          <w:color w:val="231F20"/>
          <w:vertAlign w:val="baseline"/>
        </w:rPr>
        <w:t>chaque</w:t>
      </w:r>
      <w:r>
        <w:rPr>
          <w:color w:val="231F20"/>
          <w:spacing w:val="-11"/>
          <w:vertAlign w:val="baseline"/>
        </w:rPr>
        <w:t> </w:t>
      </w:r>
      <w:r>
        <w:rPr>
          <w:color w:val="231F20"/>
          <w:vertAlign w:val="baseline"/>
        </w:rPr>
        <w:t>personne.</w:t>
      </w:r>
      <w:r>
        <w:rPr>
          <w:color w:val="231F20"/>
          <w:spacing w:val="-11"/>
          <w:vertAlign w:val="baseline"/>
        </w:rPr>
        <w:t> </w:t>
      </w:r>
      <w:r>
        <w:rPr>
          <w:color w:val="231F20"/>
          <w:vertAlign w:val="baseline"/>
        </w:rPr>
        <w:t>Le</w:t>
      </w:r>
      <w:r>
        <w:rPr>
          <w:color w:val="231F20"/>
          <w:spacing w:val="-11"/>
          <w:vertAlign w:val="baseline"/>
        </w:rPr>
        <w:t> </w:t>
      </w:r>
      <w:r>
        <w:rPr>
          <w:color w:val="231F20"/>
          <w:vertAlign w:val="baseline"/>
        </w:rPr>
        <w:t>port</w:t>
      </w:r>
      <w:r>
        <w:rPr>
          <w:color w:val="231F20"/>
          <w:spacing w:val="-13"/>
          <w:vertAlign w:val="baseline"/>
        </w:rPr>
        <w:t> </w:t>
      </w:r>
      <w:r>
        <w:rPr>
          <w:color w:val="231F20"/>
          <w:vertAlign w:val="baseline"/>
        </w:rPr>
        <w:t>de</w:t>
      </w:r>
      <w:r>
        <w:rPr>
          <w:color w:val="231F20"/>
          <w:spacing w:val="-11"/>
          <w:vertAlign w:val="baseline"/>
        </w:rPr>
        <w:t> </w:t>
      </w:r>
      <w:r>
        <w:rPr>
          <w:color w:val="231F20"/>
          <w:vertAlign w:val="baseline"/>
        </w:rPr>
        <w:t>la</w:t>
      </w:r>
      <w:r>
        <w:rPr>
          <w:color w:val="231F20"/>
          <w:spacing w:val="-11"/>
          <w:vertAlign w:val="baseline"/>
        </w:rPr>
        <w:t> </w:t>
      </w:r>
      <w:r>
        <w:rPr>
          <w:color w:val="231F20"/>
          <w:vertAlign w:val="baseline"/>
        </w:rPr>
        <w:t>carte</w:t>
      </w:r>
      <w:r>
        <w:rPr>
          <w:color w:val="231F20"/>
          <w:spacing w:val="-11"/>
          <w:vertAlign w:val="baseline"/>
        </w:rPr>
        <w:t> </w:t>
      </w:r>
      <w:r>
        <w:rPr>
          <w:color w:val="231F20"/>
          <w:vertAlign w:val="baseline"/>
        </w:rPr>
        <w:t>d’identité ethnique</w:t>
      </w:r>
      <w:r>
        <w:rPr>
          <w:color w:val="231F20"/>
          <w:spacing w:val="-2"/>
          <w:vertAlign w:val="baseline"/>
        </w:rPr>
        <w:t> </w:t>
      </w:r>
      <w:r>
        <w:rPr>
          <w:color w:val="231F20"/>
          <w:vertAlign w:val="baseline"/>
        </w:rPr>
        <w:t>est obligatoire. Cette</w:t>
      </w:r>
      <w:r>
        <w:rPr>
          <w:color w:val="231F20"/>
          <w:spacing w:val="-15"/>
          <w:vertAlign w:val="baseline"/>
        </w:rPr>
        <w:t> </w:t>
      </w:r>
      <w:r>
        <w:rPr>
          <w:color w:val="231F20"/>
          <w:vertAlign w:val="baseline"/>
        </w:rPr>
        <w:t>discrimination entretenue par les colons conforte les Tutsi dans leur rôle de classe dominante et engendre un </w:t>
      </w:r>
      <w:r>
        <w:rPr>
          <w:color w:val="231F20"/>
          <w:spacing w:val="-4"/>
          <w:vertAlign w:val="baseline"/>
        </w:rPr>
        <w:t>sentiment</w:t>
      </w:r>
      <w:r>
        <w:rPr>
          <w:color w:val="231F20"/>
          <w:spacing w:val="-11"/>
          <w:vertAlign w:val="baseline"/>
        </w:rPr>
        <w:t> </w:t>
      </w:r>
      <w:r>
        <w:rPr>
          <w:color w:val="231F20"/>
          <w:spacing w:val="-4"/>
          <w:vertAlign w:val="baseline"/>
        </w:rPr>
        <w:t>d’exclusion</w:t>
      </w:r>
      <w:r>
        <w:rPr>
          <w:color w:val="231F20"/>
          <w:spacing w:val="-11"/>
          <w:vertAlign w:val="baseline"/>
        </w:rPr>
        <w:t> </w:t>
      </w:r>
      <w:r>
        <w:rPr>
          <w:color w:val="231F20"/>
          <w:spacing w:val="-4"/>
          <w:vertAlign w:val="baseline"/>
        </w:rPr>
        <w:t>pour</w:t>
      </w:r>
      <w:r>
        <w:rPr>
          <w:color w:val="231F20"/>
          <w:spacing w:val="-11"/>
          <w:vertAlign w:val="baseline"/>
        </w:rPr>
        <w:t> </w:t>
      </w:r>
      <w:r>
        <w:rPr>
          <w:color w:val="231F20"/>
          <w:spacing w:val="-4"/>
          <w:vertAlign w:val="baseline"/>
        </w:rPr>
        <w:t>les</w:t>
      </w:r>
      <w:r>
        <w:rPr>
          <w:color w:val="231F20"/>
          <w:spacing w:val="-11"/>
          <w:vertAlign w:val="baseline"/>
        </w:rPr>
        <w:t> </w:t>
      </w:r>
      <w:r>
        <w:rPr>
          <w:color w:val="231F20"/>
          <w:spacing w:val="-4"/>
          <w:vertAlign w:val="baseline"/>
        </w:rPr>
        <w:t>Hutu</w:t>
      </w:r>
      <w:r>
        <w:rPr>
          <w:color w:val="231F20"/>
          <w:spacing w:val="-11"/>
          <w:vertAlign w:val="baseline"/>
        </w:rPr>
        <w:t> </w:t>
      </w:r>
      <w:r>
        <w:rPr>
          <w:color w:val="231F20"/>
          <w:spacing w:val="-4"/>
          <w:vertAlign w:val="baseline"/>
        </w:rPr>
        <w:t>et</w:t>
      </w:r>
      <w:r>
        <w:rPr>
          <w:color w:val="231F20"/>
          <w:spacing w:val="-11"/>
          <w:vertAlign w:val="baseline"/>
        </w:rPr>
        <w:t> </w:t>
      </w:r>
      <w:r>
        <w:rPr>
          <w:color w:val="231F20"/>
          <w:spacing w:val="-4"/>
          <w:vertAlign w:val="baseline"/>
        </w:rPr>
        <w:t>crée</w:t>
      </w:r>
      <w:r>
        <w:rPr>
          <w:color w:val="231F20"/>
          <w:spacing w:val="-11"/>
          <w:vertAlign w:val="baseline"/>
        </w:rPr>
        <w:t> </w:t>
      </w:r>
      <w:r>
        <w:rPr>
          <w:color w:val="231F20"/>
          <w:spacing w:val="-4"/>
          <w:vertAlign w:val="baseline"/>
        </w:rPr>
        <w:t>des</w:t>
      </w:r>
      <w:r>
        <w:rPr>
          <w:color w:val="231F20"/>
          <w:spacing w:val="-11"/>
          <w:vertAlign w:val="baseline"/>
        </w:rPr>
        <w:t> </w:t>
      </w:r>
      <w:r>
        <w:rPr>
          <w:color w:val="231F20"/>
          <w:spacing w:val="-4"/>
          <w:vertAlign w:val="baseline"/>
        </w:rPr>
        <w:t>frustrations</w:t>
      </w:r>
      <w:r>
        <w:rPr>
          <w:color w:val="231F20"/>
          <w:spacing w:val="-11"/>
          <w:vertAlign w:val="baseline"/>
        </w:rPr>
        <w:t> </w:t>
      </w:r>
      <w:r>
        <w:rPr>
          <w:color w:val="231F20"/>
          <w:spacing w:val="-4"/>
          <w:vertAlign w:val="baseline"/>
        </w:rPr>
        <w:t>et</w:t>
      </w:r>
      <w:r>
        <w:rPr>
          <w:color w:val="231F20"/>
          <w:spacing w:val="-11"/>
          <w:vertAlign w:val="baseline"/>
        </w:rPr>
        <w:t> </w:t>
      </w:r>
      <w:r>
        <w:rPr>
          <w:color w:val="231F20"/>
          <w:spacing w:val="-4"/>
          <w:vertAlign w:val="baseline"/>
        </w:rPr>
        <w:t>des</w:t>
      </w:r>
      <w:r>
        <w:rPr>
          <w:color w:val="231F20"/>
          <w:spacing w:val="-11"/>
          <w:vertAlign w:val="baseline"/>
        </w:rPr>
        <w:t> </w:t>
      </w:r>
      <w:r>
        <w:rPr>
          <w:color w:val="231F20"/>
          <w:spacing w:val="-4"/>
          <w:vertAlign w:val="baseline"/>
        </w:rPr>
        <w:t>tensions </w:t>
      </w:r>
      <w:r>
        <w:rPr>
          <w:color w:val="231F20"/>
          <w:vertAlign w:val="baseline"/>
        </w:rPr>
        <w:t>entre les deux composantes de la population.</w:t>
      </w:r>
    </w:p>
    <w:p>
      <w:pPr>
        <w:pStyle w:val="BodyText"/>
        <w:spacing w:before="121"/>
        <w:ind w:right="104" w:firstLine="283"/>
      </w:pPr>
      <w:r>
        <w:rPr>
          <w:color w:val="231F20"/>
        </w:rPr>
        <w:t>A la faveur des débats sur l’indépendance des colonies, Mutara Rudahigwa</w:t>
      </w:r>
      <w:r>
        <w:rPr>
          <w:color w:val="231F20"/>
          <w:spacing w:val="-15"/>
        </w:rPr>
        <w:t> </w:t>
      </w:r>
      <w:r>
        <w:rPr>
          <w:color w:val="231F20"/>
        </w:rPr>
        <w:t>et</w:t>
      </w:r>
      <w:r>
        <w:rPr>
          <w:color w:val="231F20"/>
          <w:spacing w:val="-2"/>
        </w:rPr>
        <w:t> </w:t>
      </w:r>
      <w:r>
        <w:rPr>
          <w:color w:val="231F20"/>
        </w:rPr>
        <w:t>les Tutsi revendiquent aussi en</w:t>
      </w:r>
      <w:r>
        <w:rPr>
          <w:color w:val="231F20"/>
          <w:spacing w:val="-15"/>
        </w:rPr>
        <w:t> </w:t>
      </w:r>
      <w:r>
        <w:rPr>
          <w:color w:val="231F20"/>
        </w:rPr>
        <w:t>1956, l’indépendance de leur pays auprès de l'ONU.</w:t>
      </w:r>
    </w:p>
    <w:p>
      <w:pPr>
        <w:pStyle w:val="BodyText"/>
        <w:spacing w:before="120"/>
        <w:ind w:right="107" w:firstLine="283"/>
      </w:pPr>
      <w:r>
        <w:rPr>
          <w:color w:val="231F20"/>
          <w:spacing w:val="-2"/>
        </w:rPr>
        <w:t>Cela</w:t>
      </w:r>
      <w:r>
        <w:rPr>
          <w:color w:val="231F20"/>
          <w:spacing w:val="-11"/>
        </w:rPr>
        <w:t> </w:t>
      </w:r>
      <w:r>
        <w:rPr>
          <w:color w:val="231F20"/>
          <w:spacing w:val="-2"/>
        </w:rPr>
        <w:t>déplait</w:t>
      </w:r>
      <w:r>
        <w:rPr>
          <w:color w:val="231F20"/>
          <w:spacing w:val="-12"/>
        </w:rPr>
        <w:t> </w:t>
      </w:r>
      <w:r>
        <w:rPr>
          <w:color w:val="231F20"/>
          <w:spacing w:val="-2"/>
        </w:rPr>
        <w:t>aux</w:t>
      </w:r>
      <w:r>
        <w:rPr>
          <w:color w:val="231F20"/>
          <w:spacing w:val="-13"/>
        </w:rPr>
        <w:t> </w:t>
      </w:r>
      <w:r>
        <w:rPr>
          <w:color w:val="231F20"/>
          <w:spacing w:val="-2"/>
        </w:rPr>
        <w:t>Belges.</w:t>
      </w:r>
      <w:r>
        <w:rPr>
          <w:color w:val="231F20"/>
          <w:spacing w:val="-11"/>
        </w:rPr>
        <w:t> </w:t>
      </w:r>
      <w:r>
        <w:rPr>
          <w:color w:val="231F20"/>
          <w:spacing w:val="-2"/>
        </w:rPr>
        <w:t>Ils</w:t>
      </w:r>
      <w:r>
        <w:rPr>
          <w:color w:val="231F20"/>
          <w:spacing w:val="-11"/>
        </w:rPr>
        <w:t> </w:t>
      </w:r>
      <w:r>
        <w:rPr>
          <w:color w:val="231F20"/>
          <w:spacing w:val="-2"/>
        </w:rPr>
        <w:t>renversent</w:t>
      </w:r>
      <w:r>
        <w:rPr>
          <w:color w:val="231F20"/>
          <w:spacing w:val="-13"/>
        </w:rPr>
        <w:t> </w:t>
      </w:r>
      <w:r>
        <w:rPr>
          <w:color w:val="231F20"/>
          <w:spacing w:val="-2"/>
        </w:rPr>
        <w:t>leur</w:t>
      </w:r>
      <w:r>
        <w:rPr>
          <w:color w:val="231F20"/>
          <w:spacing w:val="-11"/>
        </w:rPr>
        <w:t> </w:t>
      </w:r>
      <w:r>
        <w:rPr>
          <w:color w:val="231F20"/>
          <w:spacing w:val="-2"/>
        </w:rPr>
        <w:t>alliance</w:t>
      </w:r>
      <w:r>
        <w:rPr>
          <w:color w:val="231F20"/>
          <w:spacing w:val="-12"/>
        </w:rPr>
        <w:t> </w:t>
      </w:r>
      <w:r>
        <w:rPr>
          <w:color w:val="231F20"/>
          <w:spacing w:val="-2"/>
        </w:rPr>
        <w:t>au</w:t>
      </w:r>
      <w:r>
        <w:rPr>
          <w:color w:val="231F20"/>
          <w:spacing w:val="-11"/>
        </w:rPr>
        <w:t> </w:t>
      </w:r>
      <w:r>
        <w:rPr>
          <w:color w:val="231F20"/>
          <w:spacing w:val="-2"/>
        </w:rPr>
        <w:t>profit</w:t>
      </w:r>
      <w:r>
        <w:rPr>
          <w:color w:val="231F20"/>
          <w:spacing w:val="-10"/>
        </w:rPr>
        <w:t> </w:t>
      </w:r>
      <w:r>
        <w:rPr>
          <w:color w:val="231F20"/>
          <w:spacing w:val="-2"/>
        </w:rPr>
        <w:t>des</w:t>
      </w:r>
      <w:r>
        <w:rPr>
          <w:color w:val="231F20"/>
          <w:spacing w:val="-10"/>
        </w:rPr>
        <w:t> </w:t>
      </w:r>
      <w:r>
        <w:rPr>
          <w:color w:val="231F20"/>
          <w:spacing w:val="-2"/>
        </w:rPr>
        <w:t>Hutu </w:t>
      </w:r>
      <w:r>
        <w:rPr>
          <w:color w:val="231F20"/>
        </w:rPr>
        <w:t>qui</w:t>
      </w:r>
      <w:r>
        <w:rPr>
          <w:color w:val="231F20"/>
          <w:spacing w:val="-15"/>
        </w:rPr>
        <w:t> </w:t>
      </w:r>
      <w:r>
        <w:rPr>
          <w:color w:val="231F20"/>
        </w:rPr>
        <w:t>représentent</w:t>
      </w:r>
      <w:r>
        <w:rPr>
          <w:color w:val="231F20"/>
          <w:spacing w:val="-15"/>
        </w:rPr>
        <w:t> </w:t>
      </w:r>
      <w:r>
        <w:rPr>
          <w:color w:val="231F20"/>
        </w:rPr>
        <w:t>plus</w:t>
      </w:r>
      <w:r>
        <w:rPr>
          <w:color w:val="231F20"/>
          <w:spacing w:val="-15"/>
        </w:rPr>
        <w:t> </w:t>
      </w:r>
      <w:r>
        <w:rPr>
          <w:color w:val="231F20"/>
        </w:rPr>
        <w:t>de</w:t>
      </w:r>
      <w:r>
        <w:rPr>
          <w:color w:val="231F20"/>
          <w:spacing w:val="-15"/>
        </w:rPr>
        <w:t> </w:t>
      </w:r>
      <w:r>
        <w:rPr>
          <w:color w:val="231F20"/>
        </w:rPr>
        <w:t>80%</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population.</w:t>
      </w:r>
      <w:r>
        <w:rPr>
          <w:color w:val="231F20"/>
          <w:spacing w:val="-15"/>
        </w:rPr>
        <w:t> </w:t>
      </w:r>
      <w:r>
        <w:rPr>
          <w:color w:val="231F20"/>
        </w:rPr>
        <w:t>C’est</w:t>
      </w:r>
      <w:r>
        <w:rPr>
          <w:color w:val="231F20"/>
          <w:spacing w:val="-15"/>
        </w:rPr>
        <w:t> </w:t>
      </w:r>
      <w:r>
        <w:rPr>
          <w:color w:val="231F20"/>
        </w:rPr>
        <w:t>la</w:t>
      </w:r>
      <w:r>
        <w:rPr>
          <w:color w:val="231F20"/>
          <w:spacing w:val="-15"/>
        </w:rPr>
        <w:t> </w:t>
      </w:r>
      <w:r>
        <w:rPr>
          <w:color w:val="231F20"/>
        </w:rPr>
        <w:t>fin</w:t>
      </w:r>
      <w:r>
        <w:rPr>
          <w:color w:val="231F20"/>
          <w:spacing w:val="-15"/>
        </w:rPr>
        <w:t> </w:t>
      </w:r>
      <w:r>
        <w:rPr>
          <w:color w:val="231F20"/>
        </w:rPr>
        <w:t>des</w:t>
      </w:r>
      <w:r>
        <w:rPr>
          <w:color w:val="231F20"/>
          <w:spacing w:val="-15"/>
        </w:rPr>
        <w:t> </w:t>
      </w:r>
      <w:r>
        <w:rPr>
          <w:color w:val="231F20"/>
        </w:rPr>
        <w:t>privilèges dont bénéficiaient jusque-là, les Tutsi.</w:t>
      </w:r>
    </w:p>
    <w:p>
      <w:pPr>
        <w:pStyle w:val="BodyText"/>
        <w:spacing w:before="121"/>
        <w:ind w:right="103" w:firstLine="283"/>
      </w:pPr>
      <w:r>
        <w:rPr>
          <w:color w:val="231F20"/>
        </w:rPr>
        <w:t>Le</w:t>
      </w:r>
      <w:r>
        <w:rPr>
          <w:color w:val="231F20"/>
          <w:spacing w:val="-15"/>
        </w:rPr>
        <w:t> </w:t>
      </w:r>
      <w:r>
        <w:rPr>
          <w:color w:val="231F20"/>
        </w:rPr>
        <w:t>25</w:t>
      </w:r>
      <w:r>
        <w:rPr>
          <w:color w:val="231F20"/>
          <w:spacing w:val="-15"/>
        </w:rPr>
        <w:t> </w:t>
      </w:r>
      <w:r>
        <w:rPr>
          <w:color w:val="231F20"/>
        </w:rPr>
        <w:t>juillet</w:t>
      </w:r>
      <w:r>
        <w:rPr>
          <w:color w:val="231F20"/>
          <w:spacing w:val="-15"/>
        </w:rPr>
        <w:t> </w:t>
      </w:r>
      <w:r>
        <w:rPr>
          <w:color w:val="231F20"/>
        </w:rPr>
        <w:t>1959,</w:t>
      </w:r>
      <w:r>
        <w:rPr>
          <w:color w:val="231F20"/>
          <w:spacing w:val="-15"/>
        </w:rPr>
        <w:t> </w:t>
      </w:r>
      <w:r>
        <w:rPr>
          <w:color w:val="231F20"/>
        </w:rPr>
        <w:t>Mutara</w:t>
      </w:r>
      <w:r>
        <w:rPr>
          <w:color w:val="231F20"/>
          <w:spacing w:val="-15"/>
        </w:rPr>
        <w:t> </w:t>
      </w:r>
      <w:r>
        <w:rPr>
          <w:color w:val="231F20"/>
        </w:rPr>
        <w:t>Rudahigwa</w:t>
      </w:r>
      <w:r>
        <w:rPr>
          <w:color w:val="231F20"/>
          <w:spacing w:val="-15"/>
        </w:rPr>
        <w:t> </w:t>
      </w:r>
      <w:r>
        <w:rPr>
          <w:color w:val="231F20"/>
        </w:rPr>
        <w:t>meurt</w:t>
      </w:r>
      <w:r>
        <w:rPr>
          <w:color w:val="231F20"/>
          <w:spacing w:val="-15"/>
        </w:rPr>
        <w:t> </w:t>
      </w:r>
      <w:r>
        <w:rPr>
          <w:color w:val="231F20"/>
        </w:rPr>
        <w:t>dans</w:t>
      </w:r>
      <w:r>
        <w:rPr>
          <w:color w:val="231F20"/>
          <w:spacing w:val="-15"/>
        </w:rPr>
        <w:t> </w:t>
      </w:r>
      <w:r>
        <w:rPr>
          <w:color w:val="231F20"/>
        </w:rPr>
        <w:t>des</w:t>
      </w:r>
      <w:r>
        <w:rPr>
          <w:color w:val="231F20"/>
          <w:spacing w:val="-15"/>
        </w:rPr>
        <w:t> </w:t>
      </w:r>
      <w:r>
        <w:rPr>
          <w:color w:val="231F20"/>
        </w:rPr>
        <w:t>conditions</w:t>
      </w:r>
      <w:r>
        <w:rPr>
          <w:color w:val="231F20"/>
          <w:spacing w:val="-15"/>
        </w:rPr>
        <w:t> </w:t>
      </w:r>
      <w:r>
        <w:rPr>
          <w:color w:val="231F20"/>
        </w:rPr>
        <w:t>non élucidées.</w:t>
      </w:r>
      <w:r>
        <w:rPr>
          <w:color w:val="231F20"/>
          <w:spacing w:val="-14"/>
        </w:rPr>
        <w:t> </w:t>
      </w:r>
      <w:r>
        <w:rPr>
          <w:color w:val="231F20"/>
        </w:rPr>
        <w:t>Son</w:t>
      </w:r>
      <w:r>
        <w:rPr>
          <w:color w:val="231F20"/>
          <w:spacing w:val="80"/>
        </w:rPr>
        <w:t> </w:t>
      </w:r>
      <w:r>
        <w:rPr>
          <w:color w:val="231F20"/>
        </w:rPr>
        <w:t>demi</w:t>
      </w:r>
      <w:r>
        <w:rPr>
          <w:color w:val="231F20"/>
          <w:spacing w:val="80"/>
        </w:rPr>
        <w:t> </w:t>
      </w:r>
      <w:r>
        <w:rPr>
          <w:color w:val="231F20"/>
        </w:rPr>
        <w:t>frère</w:t>
      </w:r>
      <w:r>
        <w:rPr>
          <w:color w:val="231F20"/>
          <w:spacing w:val="80"/>
        </w:rPr>
        <w:t> </w:t>
      </w:r>
      <w:r>
        <w:rPr>
          <w:color w:val="231F20"/>
        </w:rPr>
        <w:t>Kigeli</w:t>
      </w:r>
      <w:r>
        <w:rPr>
          <w:color w:val="231F20"/>
          <w:spacing w:val="80"/>
        </w:rPr>
        <w:t> </w:t>
      </w:r>
      <w:r>
        <w:rPr>
          <w:color w:val="231F20"/>
        </w:rPr>
        <w:t>V</w:t>
      </w:r>
      <w:r>
        <w:rPr>
          <w:color w:val="231F20"/>
          <w:spacing w:val="80"/>
        </w:rPr>
        <w:t> </w:t>
      </w:r>
      <w:r>
        <w:rPr>
          <w:color w:val="231F20"/>
        </w:rPr>
        <w:t>Ndahindurwa</w:t>
      </w:r>
      <w:r>
        <w:rPr>
          <w:color w:val="231F20"/>
          <w:spacing w:val="80"/>
        </w:rPr>
        <w:t> </w:t>
      </w:r>
      <w:r>
        <w:rPr>
          <w:color w:val="231F20"/>
        </w:rPr>
        <w:t>lui</w:t>
      </w:r>
      <w:r>
        <w:rPr>
          <w:color w:val="231F20"/>
          <w:spacing w:val="80"/>
        </w:rPr>
        <w:t> </w:t>
      </w:r>
      <w:r>
        <w:rPr>
          <w:color w:val="231F20"/>
        </w:rPr>
        <w:t>succède.</w:t>
      </w:r>
      <w:r>
        <w:rPr>
          <w:color w:val="231F20"/>
          <w:spacing w:val="40"/>
        </w:rPr>
        <w:t> </w:t>
      </w:r>
      <w:r>
        <w:rPr>
          <w:color w:val="231F20"/>
        </w:rPr>
        <w:t>Les</w:t>
      </w:r>
      <w:r>
        <w:rPr>
          <w:color w:val="231F20"/>
          <w:spacing w:val="-15"/>
        </w:rPr>
        <w:t> </w:t>
      </w:r>
      <w:r>
        <w:rPr>
          <w:color w:val="231F20"/>
        </w:rPr>
        <w:t>Hutu</w:t>
      </w:r>
      <w:r>
        <w:rPr>
          <w:color w:val="231F20"/>
          <w:spacing w:val="-15"/>
        </w:rPr>
        <w:t> </w:t>
      </w:r>
      <w:r>
        <w:rPr>
          <w:color w:val="231F20"/>
        </w:rPr>
        <w:t>refusent cette succession. Des manifestations dégénèrent en révoltes après la rumeur de l'assassinat d'un homme politique hutu.</w:t>
      </w:r>
      <w:r>
        <w:rPr>
          <w:color w:val="231F20"/>
          <w:spacing w:val="40"/>
        </w:rPr>
        <w:t> </w:t>
      </w:r>
      <w:r>
        <w:rPr>
          <w:color w:val="231F20"/>
        </w:rPr>
        <w:t>Les</w:t>
      </w:r>
      <w:r>
        <w:rPr>
          <w:color w:val="231F20"/>
          <w:spacing w:val="-14"/>
        </w:rPr>
        <w:t> </w:t>
      </w:r>
      <w:r>
        <w:rPr>
          <w:color w:val="231F20"/>
        </w:rPr>
        <w:t>Tutsi</w:t>
      </w:r>
      <w:r>
        <w:rPr>
          <w:color w:val="231F20"/>
          <w:spacing w:val="71"/>
        </w:rPr>
        <w:t> </w:t>
      </w:r>
      <w:r>
        <w:rPr>
          <w:color w:val="231F20"/>
        </w:rPr>
        <w:t>sont</w:t>
      </w:r>
      <w:r>
        <w:rPr>
          <w:color w:val="231F20"/>
          <w:spacing w:val="68"/>
        </w:rPr>
        <w:t> </w:t>
      </w:r>
      <w:r>
        <w:rPr>
          <w:color w:val="231F20"/>
        </w:rPr>
        <w:t>pourchassés</w:t>
      </w:r>
      <w:r>
        <w:rPr>
          <w:color w:val="231F20"/>
          <w:spacing w:val="71"/>
        </w:rPr>
        <w:t> </w:t>
      </w:r>
      <w:r>
        <w:rPr>
          <w:color w:val="231F20"/>
        </w:rPr>
        <w:t>et</w:t>
      </w:r>
      <w:r>
        <w:rPr>
          <w:color w:val="231F20"/>
          <w:spacing w:val="71"/>
        </w:rPr>
        <w:t> </w:t>
      </w:r>
      <w:r>
        <w:rPr>
          <w:color w:val="231F20"/>
        </w:rPr>
        <w:t>massacrés,</w:t>
      </w:r>
      <w:r>
        <w:rPr>
          <w:color w:val="231F20"/>
          <w:spacing w:val="70"/>
        </w:rPr>
        <w:t> </w:t>
      </w:r>
      <w:r>
        <w:rPr>
          <w:color w:val="231F20"/>
        </w:rPr>
        <w:t>le</w:t>
      </w:r>
      <w:r>
        <w:rPr>
          <w:color w:val="231F20"/>
          <w:spacing w:val="71"/>
        </w:rPr>
        <w:t> </w:t>
      </w:r>
      <w:r>
        <w:rPr>
          <w:color w:val="231F20"/>
        </w:rPr>
        <w:t>pays</w:t>
      </w:r>
      <w:r>
        <w:rPr>
          <w:color w:val="231F20"/>
          <w:spacing w:val="70"/>
        </w:rPr>
        <w:t> </w:t>
      </w:r>
      <w:r>
        <w:rPr>
          <w:color w:val="231F20"/>
        </w:rPr>
        <w:t>plonge</w:t>
      </w:r>
      <w:r>
        <w:rPr>
          <w:color w:val="231F20"/>
          <w:spacing w:val="71"/>
        </w:rPr>
        <w:t> </w:t>
      </w:r>
      <w:r>
        <w:rPr>
          <w:color w:val="231F20"/>
        </w:rPr>
        <w:t>alors</w:t>
      </w:r>
      <w:r>
        <w:rPr>
          <w:color w:val="231F20"/>
          <w:spacing w:val="71"/>
        </w:rPr>
        <w:t> </w:t>
      </w:r>
      <w:r>
        <w:rPr>
          <w:color w:val="231F20"/>
          <w:spacing w:val="-5"/>
        </w:rPr>
        <w:t>en</w:t>
      </w:r>
    </w:p>
    <w:p>
      <w:pPr>
        <w:pStyle w:val="BodyText"/>
        <w:spacing w:before="25"/>
        <w:ind w:left="0"/>
        <w:jc w:val="left"/>
        <w:rPr>
          <w:sz w:val="20"/>
        </w:rPr>
      </w:pPr>
      <w:r>
        <w:rPr/>
        <mc:AlternateContent>
          <mc:Choice Requires="wps">
            <w:drawing>
              <wp:anchor distT="0" distB="0" distL="0" distR="0" allowOverlap="1" layoutInCell="1" locked="0" behindDoc="1" simplePos="0" relativeHeight="487604224">
                <wp:simplePos x="0" y="0"/>
                <wp:positionH relativeFrom="page">
                  <wp:posOffset>629907</wp:posOffset>
                </wp:positionH>
                <wp:positionV relativeFrom="paragraph">
                  <wp:posOffset>177279</wp:posOffset>
                </wp:positionV>
                <wp:extent cx="1829435" cy="952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958984pt;width:144.020pt;height:.72pt;mso-position-horizontal-relative:page;mso-position-vertical-relative:paragraph;z-index:-15712256;mso-wrap-distance-left:0;mso-wrap-distance-right:0" id="docshape45" filled="true" fillcolor="#231f20" stroked="false">
                <v:fill type="solid"/>
                <w10:wrap type="topAndBottom"/>
              </v:rect>
            </w:pict>
          </mc:Fallback>
        </mc:AlternateContent>
      </w:r>
    </w:p>
    <w:p>
      <w:pPr>
        <w:spacing w:before="91"/>
        <w:ind w:left="111" w:right="107" w:firstLine="0"/>
        <w:jc w:val="both"/>
        <w:rPr>
          <w:sz w:val="20"/>
        </w:rPr>
      </w:pPr>
      <w:r>
        <w:rPr>
          <w:color w:val="76787A"/>
          <w:sz w:val="20"/>
          <w:vertAlign w:val="superscript"/>
        </w:rPr>
        <w:t>49</w:t>
      </w:r>
      <w:r>
        <w:rPr>
          <w:color w:val="231F20"/>
          <w:sz w:val="20"/>
          <w:vertAlign w:val="baseline"/>
        </w:rPr>
        <w:t>La</w:t>
      </w:r>
      <w:r>
        <w:rPr>
          <w:color w:val="231F20"/>
          <w:spacing w:val="-13"/>
          <w:sz w:val="20"/>
          <w:vertAlign w:val="baseline"/>
        </w:rPr>
        <w:t> </w:t>
      </w:r>
      <w:r>
        <w:rPr>
          <w:color w:val="231F20"/>
          <w:sz w:val="20"/>
          <w:vertAlign w:val="baseline"/>
        </w:rPr>
        <w:t>Société</w:t>
      </w:r>
      <w:r>
        <w:rPr>
          <w:color w:val="231F20"/>
          <w:spacing w:val="-12"/>
          <w:sz w:val="20"/>
          <w:vertAlign w:val="baseline"/>
        </w:rPr>
        <w:t> </w:t>
      </w:r>
      <w:r>
        <w:rPr>
          <w:color w:val="231F20"/>
          <w:sz w:val="20"/>
          <w:vertAlign w:val="baseline"/>
        </w:rPr>
        <w:t>des</w:t>
      </w:r>
      <w:r>
        <w:rPr>
          <w:color w:val="231F20"/>
          <w:spacing w:val="-1"/>
          <w:sz w:val="20"/>
          <w:vertAlign w:val="baseline"/>
        </w:rPr>
        <w:t> </w:t>
      </w:r>
      <w:r>
        <w:rPr>
          <w:color w:val="231F20"/>
          <w:sz w:val="20"/>
          <w:vertAlign w:val="baseline"/>
        </w:rPr>
        <w:t>Nations</w:t>
      </w:r>
      <w:r>
        <w:rPr>
          <w:color w:val="231F20"/>
          <w:spacing w:val="-13"/>
          <w:sz w:val="20"/>
          <w:vertAlign w:val="baseline"/>
        </w:rPr>
        <w:t> </w:t>
      </w:r>
      <w:r>
        <w:rPr>
          <w:color w:val="231F20"/>
          <w:sz w:val="20"/>
          <w:vertAlign w:val="baseline"/>
        </w:rPr>
        <w:t>(SDN</w:t>
      </w:r>
      <w:r>
        <w:rPr>
          <w:color w:val="231F20"/>
          <w:spacing w:val="-12"/>
          <w:sz w:val="20"/>
          <w:vertAlign w:val="baseline"/>
        </w:rPr>
        <w:t> </w:t>
      </w:r>
      <w:r>
        <w:rPr>
          <w:color w:val="231F20"/>
          <w:sz w:val="20"/>
          <w:vertAlign w:val="baseline"/>
        </w:rPr>
        <w:t>) organisation internationale introduite</w:t>
      </w:r>
      <w:r>
        <w:rPr>
          <w:color w:val="231F20"/>
          <w:spacing w:val="-1"/>
          <w:sz w:val="20"/>
          <w:vertAlign w:val="baseline"/>
        </w:rPr>
        <w:t> </w:t>
      </w:r>
      <w:r>
        <w:rPr>
          <w:color w:val="231F20"/>
          <w:sz w:val="20"/>
          <w:vertAlign w:val="baseline"/>
        </w:rPr>
        <w:t>par le traité</w:t>
      </w:r>
      <w:r>
        <w:rPr>
          <w:color w:val="231F20"/>
          <w:spacing w:val="-1"/>
          <w:sz w:val="20"/>
          <w:vertAlign w:val="baseline"/>
        </w:rPr>
        <w:t> </w:t>
      </w:r>
      <w:r>
        <w:rPr>
          <w:color w:val="231F20"/>
          <w:sz w:val="20"/>
          <w:vertAlign w:val="baseline"/>
        </w:rPr>
        <w:t>de Versailles</w:t>
      </w:r>
      <w:r>
        <w:rPr>
          <w:color w:val="231F20"/>
          <w:spacing w:val="71"/>
          <w:sz w:val="20"/>
          <w:vertAlign w:val="baseline"/>
        </w:rPr>
        <w:t> </w:t>
      </w:r>
      <w:r>
        <w:rPr>
          <w:color w:val="231F20"/>
          <w:sz w:val="20"/>
          <w:vertAlign w:val="baseline"/>
        </w:rPr>
        <w:t>en</w:t>
      </w:r>
      <w:r>
        <w:rPr>
          <w:color w:val="231F20"/>
          <w:spacing w:val="73"/>
          <w:sz w:val="20"/>
          <w:vertAlign w:val="baseline"/>
        </w:rPr>
        <w:t> </w:t>
      </w:r>
      <w:r>
        <w:rPr>
          <w:color w:val="231F20"/>
          <w:sz w:val="20"/>
          <w:vertAlign w:val="baseline"/>
        </w:rPr>
        <w:t>1919,</w:t>
      </w:r>
      <w:r>
        <w:rPr>
          <w:color w:val="231F20"/>
          <w:spacing w:val="72"/>
          <w:sz w:val="20"/>
          <w:vertAlign w:val="baseline"/>
        </w:rPr>
        <w:t> </w:t>
      </w:r>
      <w:r>
        <w:rPr>
          <w:color w:val="231F20"/>
          <w:sz w:val="20"/>
          <w:vertAlign w:val="baseline"/>
        </w:rPr>
        <w:t>et</w:t>
      </w:r>
      <w:r>
        <w:rPr>
          <w:color w:val="231F20"/>
          <w:spacing w:val="71"/>
          <w:sz w:val="20"/>
          <w:vertAlign w:val="baseline"/>
        </w:rPr>
        <w:t> </w:t>
      </w:r>
      <w:r>
        <w:rPr>
          <w:color w:val="231F20"/>
          <w:sz w:val="20"/>
          <w:vertAlign w:val="baseline"/>
        </w:rPr>
        <w:t>dissoute</w:t>
      </w:r>
      <w:r>
        <w:rPr>
          <w:color w:val="231F20"/>
          <w:spacing w:val="74"/>
          <w:sz w:val="20"/>
          <w:vertAlign w:val="baseline"/>
        </w:rPr>
        <w:t> </w:t>
      </w:r>
      <w:r>
        <w:rPr>
          <w:color w:val="231F20"/>
          <w:sz w:val="20"/>
          <w:vertAlign w:val="baseline"/>
        </w:rPr>
        <w:t>en</w:t>
      </w:r>
      <w:r>
        <w:rPr>
          <w:color w:val="231F20"/>
          <w:spacing w:val="73"/>
          <w:sz w:val="20"/>
          <w:vertAlign w:val="baseline"/>
        </w:rPr>
        <w:t> </w:t>
      </w:r>
      <w:r>
        <w:rPr>
          <w:color w:val="231F20"/>
          <w:sz w:val="20"/>
          <w:vertAlign w:val="baseline"/>
        </w:rPr>
        <w:t>1946</w:t>
      </w:r>
      <w:r>
        <w:rPr>
          <w:color w:val="231F20"/>
          <w:spacing w:val="73"/>
          <w:sz w:val="20"/>
          <w:vertAlign w:val="baseline"/>
        </w:rPr>
        <w:t> </w:t>
      </w:r>
      <w:r>
        <w:rPr>
          <w:color w:val="231F20"/>
          <w:sz w:val="20"/>
          <w:vertAlign w:val="baseline"/>
        </w:rPr>
        <w:t>après</w:t>
      </w:r>
      <w:r>
        <w:rPr>
          <w:color w:val="231F20"/>
          <w:spacing w:val="71"/>
          <w:sz w:val="20"/>
          <w:vertAlign w:val="baseline"/>
        </w:rPr>
        <w:t> </w:t>
      </w:r>
      <w:r>
        <w:rPr>
          <w:color w:val="231F20"/>
          <w:sz w:val="20"/>
          <w:vertAlign w:val="baseline"/>
        </w:rPr>
        <w:t>la</w:t>
      </w:r>
      <w:r>
        <w:rPr>
          <w:color w:val="231F20"/>
          <w:spacing w:val="72"/>
          <w:sz w:val="20"/>
          <w:vertAlign w:val="baseline"/>
        </w:rPr>
        <w:t> </w:t>
      </w:r>
      <w:r>
        <w:rPr>
          <w:color w:val="231F20"/>
          <w:sz w:val="20"/>
          <w:vertAlign w:val="baseline"/>
        </w:rPr>
        <w:t>Seconde</w:t>
      </w:r>
      <w:r>
        <w:rPr>
          <w:color w:val="231F20"/>
          <w:spacing w:val="72"/>
          <w:sz w:val="20"/>
          <w:vertAlign w:val="baseline"/>
        </w:rPr>
        <w:t> </w:t>
      </w:r>
      <w:r>
        <w:rPr>
          <w:color w:val="231F20"/>
          <w:sz w:val="20"/>
          <w:vertAlign w:val="baseline"/>
        </w:rPr>
        <w:t>Guerre</w:t>
      </w:r>
      <w:r>
        <w:rPr>
          <w:color w:val="231F20"/>
          <w:spacing w:val="71"/>
          <w:sz w:val="20"/>
          <w:vertAlign w:val="baseline"/>
        </w:rPr>
        <w:t> </w:t>
      </w:r>
      <w:r>
        <w:rPr>
          <w:color w:val="231F20"/>
          <w:sz w:val="20"/>
          <w:vertAlign w:val="baseline"/>
        </w:rPr>
        <w:t>mondiale. La</w:t>
      </w:r>
      <w:r>
        <w:rPr>
          <w:color w:val="231F20"/>
          <w:spacing w:val="-4"/>
          <w:sz w:val="20"/>
          <w:vertAlign w:val="baseline"/>
        </w:rPr>
        <w:t> </w:t>
      </w:r>
      <w:r>
        <w:rPr>
          <w:color w:val="231F20"/>
          <w:sz w:val="20"/>
          <w:vertAlign w:val="baseline"/>
        </w:rPr>
        <w:t>SDN</w:t>
      </w:r>
      <w:r>
        <w:rPr>
          <w:color w:val="231F20"/>
          <w:spacing w:val="-4"/>
          <w:sz w:val="20"/>
          <w:vertAlign w:val="baseline"/>
        </w:rPr>
        <w:t> </w:t>
      </w:r>
      <w:r>
        <w:rPr>
          <w:color w:val="231F20"/>
          <w:sz w:val="20"/>
          <w:vertAlign w:val="baseline"/>
        </w:rPr>
        <w:t>sera</w:t>
      </w:r>
      <w:r>
        <w:rPr>
          <w:color w:val="231F20"/>
          <w:spacing w:val="-6"/>
          <w:sz w:val="20"/>
          <w:vertAlign w:val="baseline"/>
        </w:rPr>
        <w:t> </w:t>
      </w:r>
      <w:r>
        <w:rPr>
          <w:color w:val="231F20"/>
          <w:sz w:val="20"/>
          <w:vertAlign w:val="baseline"/>
        </w:rPr>
        <w:t>remplacée</w:t>
      </w:r>
      <w:r>
        <w:rPr>
          <w:color w:val="231F20"/>
          <w:spacing w:val="-6"/>
          <w:sz w:val="20"/>
          <w:vertAlign w:val="baseline"/>
        </w:rPr>
        <w:t> </w:t>
      </w:r>
      <w:r>
        <w:rPr>
          <w:color w:val="231F20"/>
          <w:sz w:val="20"/>
          <w:vertAlign w:val="baseline"/>
        </w:rPr>
        <w:t>par</w:t>
      </w:r>
      <w:r>
        <w:rPr>
          <w:color w:val="231F20"/>
          <w:spacing w:val="-5"/>
          <w:sz w:val="20"/>
          <w:vertAlign w:val="baseline"/>
        </w:rPr>
        <w:t> </w:t>
      </w:r>
      <w:r>
        <w:rPr>
          <w:color w:val="231F20"/>
          <w:sz w:val="20"/>
          <w:vertAlign w:val="baseline"/>
        </w:rPr>
        <w:t>l'ONU</w:t>
      </w:r>
      <w:r>
        <w:rPr>
          <w:color w:val="231F20"/>
          <w:spacing w:val="-4"/>
          <w:sz w:val="20"/>
          <w:vertAlign w:val="baseline"/>
        </w:rPr>
        <w:t> </w:t>
      </w:r>
      <w:r>
        <w:rPr>
          <w:color w:val="231F20"/>
          <w:sz w:val="20"/>
          <w:vertAlign w:val="baseline"/>
        </w:rPr>
        <w:t>à</w:t>
      </w:r>
      <w:r>
        <w:rPr>
          <w:color w:val="231F20"/>
          <w:spacing w:val="-4"/>
          <w:sz w:val="20"/>
          <w:vertAlign w:val="baseline"/>
        </w:rPr>
        <w:t> </w:t>
      </w:r>
      <w:r>
        <w:rPr>
          <w:color w:val="231F20"/>
          <w:sz w:val="20"/>
          <w:vertAlign w:val="baseline"/>
        </w:rPr>
        <w:t>la</w:t>
      </w:r>
      <w:r>
        <w:rPr>
          <w:color w:val="231F20"/>
          <w:spacing w:val="-4"/>
          <w:sz w:val="20"/>
          <w:vertAlign w:val="baseline"/>
        </w:rPr>
        <w:t> </w:t>
      </w:r>
      <w:r>
        <w:rPr>
          <w:color w:val="231F20"/>
          <w:sz w:val="20"/>
          <w:vertAlign w:val="baseline"/>
        </w:rPr>
        <w:t>conférence</w:t>
      </w:r>
      <w:r>
        <w:rPr>
          <w:color w:val="231F20"/>
          <w:spacing w:val="-6"/>
          <w:sz w:val="20"/>
          <w:vertAlign w:val="baseline"/>
        </w:rPr>
        <w:t> </w:t>
      </w:r>
      <w:r>
        <w:rPr>
          <w:color w:val="231F20"/>
          <w:sz w:val="20"/>
          <w:vertAlign w:val="baseline"/>
        </w:rPr>
        <w:t>de</w:t>
      </w:r>
      <w:r>
        <w:rPr>
          <w:color w:val="231F20"/>
          <w:spacing w:val="-6"/>
          <w:sz w:val="20"/>
          <w:vertAlign w:val="baseline"/>
        </w:rPr>
        <w:t> </w:t>
      </w:r>
      <w:r>
        <w:rPr>
          <w:color w:val="231F20"/>
          <w:sz w:val="20"/>
          <w:vertAlign w:val="baseline"/>
        </w:rPr>
        <w:t>Yalta</w:t>
      </w:r>
      <w:r>
        <w:rPr>
          <w:color w:val="231F20"/>
          <w:spacing w:val="-6"/>
          <w:sz w:val="20"/>
          <w:vertAlign w:val="baseline"/>
        </w:rPr>
        <w:t> </w:t>
      </w:r>
      <w:r>
        <w:rPr>
          <w:color w:val="231F20"/>
          <w:sz w:val="20"/>
          <w:vertAlign w:val="baseline"/>
        </w:rPr>
        <w:t>en</w:t>
      </w:r>
      <w:r>
        <w:rPr>
          <w:color w:val="231F20"/>
          <w:spacing w:val="-5"/>
          <w:sz w:val="20"/>
          <w:vertAlign w:val="baseline"/>
        </w:rPr>
        <w:t> </w:t>
      </w:r>
      <w:r>
        <w:rPr>
          <w:color w:val="231F20"/>
          <w:sz w:val="20"/>
          <w:vertAlign w:val="baseline"/>
        </w:rPr>
        <w:t>1945.</w:t>
      </w:r>
    </w:p>
    <w:p>
      <w:pPr>
        <w:spacing w:before="2"/>
        <w:ind w:left="111" w:right="104" w:firstLine="0"/>
        <w:jc w:val="both"/>
        <w:rPr>
          <w:sz w:val="20"/>
        </w:rPr>
      </w:pPr>
      <w:r>
        <w:rPr>
          <w:color w:val="76787A"/>
          <w:spacing w:val="-2"/>
          <w:sz w:val="20"/>
          <w:vertAlign w:val="superscript"/>
        </w:rPr>
        <w:t>50</w:t>
      </w:r>
      <w:r>
        <w:rPr>
          <w:color w:val="1F2023"/>
          <w:spacing w:val="-2"/>
          <w:sz w:val="20"/>
          <w:vertAlign w:val="baseline"/>
        </w:rPr>
        <w:t>Mwami</w:t>
      </w:r>
      <w:r>
        <w:rPr>
          <w:color w:val="1F2023"/>
          <w:spacing w:val="-9"/>
          <w:sz w:val="20"/>
          <w:vertAlign w:val="baseline"/>
        </w:rPr>
        <w:t> </w:t>
      </w:r>
      <w:r>
        <w:rPr>
          <w:color w:val="1F2023"/>
          <w:spacing w:val="-2"/>
          <w:sz w:val="20"/>
          <w:vertAlign w:val="baseline"/>
        </w:rPr>
        <w:t>est</w:t>
      </w:r>
      <w:r>
        <w:rPr>
          <w:color w:val="1F2023"/>
          <w:spacing w:val="-7"/>
          <w:sz w:val="20"/>
          <w:vertAlign w:val="baseline"/>
        </w:rPr>
        <w:t> </w:t>
      </w:r>
      <w:r>
        <w:rPr>
          <w:color w:val="1F2023"/>
          <w:spacing w:val="-2"/>
          <w:sz w:val="20"/>
          <w:vertAlign w:val="baseline"/>
        </w:rPr>
        <w:t>un</w:t>
      </w:r>
      <w:r>
        <w:rPr>
          <w:color w:val="1F2023"/>
          <w:spacing w:val="-6"/>
          <w:sz w:val="20"/>
          <w:vertAlign w:val="baseline"/>
        </w:rPr>
        <w:t> </w:t>
      </w:r>
      <w:r>
        <w:rPr>
          <w:color w:val="1F2023"/>
          <w:spacing w:val="-2"/>
          <w:sz w:val="20"/>
          <w:vertAlign w:val="baseline"/>
        </w:rPr>
        <w:t>titre</w:t>
      </w:r>
      <w:r>
        <w:rPr>
          <w:color w:val="1F2023"/>
          <w:spacing w:val="-9"/>
          <w:sz w:val="20"/>
          <w:vertAlign w:val="baseline"/>
        </w:rPr>
        <w:t> </w:t>
      </w:r>
      <w:r>
        <w:rPr>
          <w:color w:val="1F2023"/>
          <w:spacing w:val="-2"/>
          <w:sz w:val="20"/>
          <w:vertAlign w:val="baseline"/>
        </w:rPr>
        <w:t>royal.</w:t>
      </w:r>
      <w:r>
        <w:rPr>
          <w:color w:val="1F2023"/>
          <w:spacing w:val="-7"/>
          <w:sz w:val="20"/>
          <w:vertAlign w:val="baseline"/>
        </w:rPr>
        <w:t> </w:t>
      </w:r>
      <w:r>
        <w:rPr>
          <w:color w:val="1F2023"/>
          <w:spacing w:val="-2"/>
          <w:sz w:val="20"/>
          <w:vertAlign w:val="baseline"/>
        </w:rPr>
        <w:t>Portent</w:t>
      </w:r>
      <w:r>
        <w:rPr>
          <w:color w:val="1F2023"/>
          <w:spacing w:val="-7"/>
          <w:sz w:val="20"/>
          <w:vertAlign w:val="baseline"/>
        </w:rPr>
        <w:t> </w:t>
      </w:r>
      <w:r>
        <w:rPr>
          <w:color w:val="1F2023"/>
          <w:spacing w:val="-2"/>
          <w:sz w:val="20"/>
          <w:vertAlign w:val="baseline"/>
        </w:rPr>
        <w:t>ce</w:t>
      </w:r>
      <w:r>
        <w:rPr>
          <w:color w:val="1F2023"/>
          <w:spacing w:val="-9"/>
          <w:sz w:val="20"/>
          <w:vertAlign w:val="baseline"/>
        </w:rPr>
        <w:t> </w:t>
      </w:r>
      <w:r>
        <w:rPr>
          <w:color w:val="1F2023"/>
          <w:spacing w:val="-2"/>
          <w:sz w:val="20"/>
          <w:vertAlign w:val="baseline"/>
        </w:rPr>
        <w:t>titre,</w:t>
      </w:r>
      <w:r>
        <w:rPr>
          <w:color w:val="1F2023"/>
          <w:spacing w:val="-6"/>
          <w:sz w:val="20"/>
          <w:vertAlign w:val="baseline"/>
        </w:rPr>
        <w:t> </w:t>
      </w:r>
      <w:r>
        <w:rPr>
          <w:color w:val="1F2021"/>
          <w:spacing w:val="-2"/>
          <w:sz w:val="20"/>
          <w:vertAlign w:val="baseline"/>
        </w:rPr>
        <w:t>le</w:t>
      </w:r>
      <w:r>
        <w:rPr>
          <w:color w:val="1F2021"/>
          <w:spacing w:val="-7"/>
          <w:sz w:val="20"/>
          <w:vertAlign w:val="baseline"/>
        </w:rPr>
        <w:t> </w:t>
      </w:r>
      <w:r>
        <w:rPr>
          <w:color w:val="1F2021"/>
          <w:spacing w:val="-2"/>
          <w:sz w:val="20"/>
          <w:vertAlign w:val="baseline"/>
        </w:rPr>
        <w:t>roi</w:t>
      </w:r>
      <w:r>
        <w:rPr>
          <w:color w:val="1F2021"/>
          <w:spacing w:val="-9"/>
          <w:sz w:val="20"/>
          <w:vertAlign w:val="baseline"/>
        </w:rPr>
        <w:t> </w:t>
      </w:r>
      <w:r>
        <w:rPr>
          <w:color w:val="1F2021"/>
          <w:spacing w:val="-2"/>
          <w:sz w:val="20"/>
          <w:vertAlign w:val="baseline"/>
        </w:rPr>
        <w:t>du</w:t>
      </w:r>
      <w:r>
        <w:rPr>
          <w:color w:val="1F2021"/>
          <w:spacing w:val="-8"/>
          <w:sz w:val="20"/>
          <w:vertAlign w:val="baseline"/>
        </w:rPr>
        <w:t> </w:t>
      </w:r>
      <w:r>
        <w:rPr>
          <w:color w:val="1F2021"/>
          <w:spacing w:val="-2"/>
          <w:sz w:val="20"/>
          <w:vertAlign w:val="baseline"/>
        </w:rPr>
        <w:t>Rwanda</w:t>
      </w:r>
      <w:r>
        <w:rPr>
          <w:color w:val="1F2021"/>
          <w:spacing w:val="-9"/>
          <w:sz w:val="20"/>
          <w:vertAlign w:val="baseline"/>
        </w:rPr>
        <w:t> </w:t>
      </w:r>
      <w:r>
        <w:rPr>
          <w:color w:val="1F2021"/>
          <w:spacing w:val="-2"/>
          <w:sz w:val="20"/>
          <w:vertAlign w:val="baseline"/>
        </w:rPr>
        <w:t>et</w:t>
      </w:r>
      <w:r>
        <w:rPr>
          <w:color w:val="1F2021"/>
          <w:spacing w:val="-6"/>
          <w:sz w:val="20"/>
          <w:vertAlign w:val="baseline"/>
        </w:rPr>
        <w:t> </w:t>
      </w:r>
      <w:r>
        <w:rPr>
          <w:color w:val="1F2021"/>
          <w:spacing w:val="-2"/>
          <w:sz w:val="20"/>
          <w:vertAlign w:val="baseline"/>
        </w:rPr>
        <w:t>les</w:t>
      </w:r>
      <w:r>
        <w:rPr>
          <w:color w:val="1F2021"/>
          <w:spacing w:val="-8"/>
          <w:sz w:val="20"/>
          <w:vertAlign w:val="baseline"/>
        </w:rPr>
        <w:t> </w:t>
      </w:r>
      <w:r>
        <w:rPr>
          <w:color w:val="1F2021"/>
          <w:spacing w:val="-2"/>
          <w:sz w:val="20"/>
          <w:vertAlign w:val="baseline"/>
        </w:rPr>
        <w:t>chefs</w:t>
      </w:r>
      <w:r>
        <w:rPr>
          <w:color w:val="1F2021"/>
          <w:spacing w:val="-8"/>
          <w:sz w:val="20"/>
          <w:vertAlign w:val="baseline"/>
        </w:rPr>
        <w:t> </w:t>
      </w:r>
      <w:r>
        <w:rPr>
          <w:color w:val="1F2021"/>
          <w:spacing w:val="-2"/>
          <w:sz w:val="20"/>
          <w:vertAlign w:val="baseline"/>
        </w:rPr>
        <w:t>de</w:t>
      </w:r>
      <w:r>
        <w:rPr>
          <w:color w:val="1F2021"/>
          <w:spacing w:val="-7"/>
          <w:sz w:val="20"/>
          <w:vertAlign w:val="baseline"/>
        </w:rPr>
        <w:t> </w:t>
      </w:r>
      <w:r>
        <w:rPr>
          <w:color w:val="1F2021"/>
          <w:spacing w:val="-2"/>
          <w:sz w:val="20"/>
          <w:vertAlign w:val="baseline"/>
        </w:rPr>
        <w:t>clans</w:t>
      </w:r>
      <w:r>
        <w:rPr>
          <w:color w:val="1F2021"/>
          <w:spacing w:val="-7"/>
          <w:sz w:val="20"/>
          <w:vertAlign w:val="baseline"/>
        </w:rPr>
        <w:t> </w:t>
      </w:r>
      <w:r>
        <w:rPr>
          <w:color w:val="1F2021"/>
          <w:spacing w:val="-2"/>
          <w:sz w:val="20"/>
          <w:vertAlign w:val="baseline"/>
        </w:rPr>
        <w:t>;</w:t>
      </w:r>
      <w:r>
        <w:rPr>
          <w:color w:val="1F2021"/>
          <w:spacing w:val="-9"/>
          <w:sz w:val="20"/>
          <w:vertAlign w:val="baseline"/>
        </w:rPr>
        <w:t> </w:t>
      </w:r>
      <w:r>
        <w:rPr>
          <w:color w:val="1F2021"/>
          <w:spacing w:val="-2"/>
          <w:sz w:val="20"/>
          <w:vertAlign w:val="baseline"/>
        </w:rPr>
        <w:t>le</w:t>
      </w:r>
      <w:r>
        <w:rPr>
          <w:color w:val="1F2021"/>
          <w:spacing w:val="-9"/>
          <w:sz w:val="20"/>
          <w:vertAlign w:val="baseline"/>
        </w:rPr>
        <w:t> </w:t>
      </w:r>
      <w:r>
        <w:rPr>
          <w:color w:val="1F2021"/>
          <w:spacing w:val="-2"/>
          <w:sz w:val="20"/>
          <w:vertAlign w:val="baseline"/>
        </w:rPr>
        <w:t>roi </w:t>
      </w:r>
      <w:r>
        <w:rPr>
          <w:color w:val="1F2021"/>
          <w:sz w:val="20"/>
          <w:vertAlign w:val="baseline"/>
        </w:rPr>
        <w:t>du Burundi</w:t>
      </w:r>
      <w:r>
        <w:rPr>
          <w:color w:val="1F2021"/>
          <w:spacing w:val="-13"/>
          <w:sz w:val="20"/>
          <w:vertAlign w:val="baseline"/>
        </w:rPr>
        <w:t> </w:t>
      </w:r>
      <w:r>
        <w:rPr>
          <w:color w:val="1F2021"/>
          <w:sz w:val="20"/>
          <w:vertAlign w:val="baseline"/>
        </w:rPr>
        <w:t>; les rois des royaumes se trouvant dans le</w:t>
      </w:r>
      <w:r>
        <w:rPr>
          <w:color w:val="1F2021"/>
          <w:spacing w:val="-11"/>
          <w:sz w:val="20"/>
          <w:vertAlign w:val="baseline"/>
        </w:rPr>
        <w:t> </w:t>
      </w:r>
      <w:r>
        <w:rPr>
          <w:color w:val="1F2021"/>
          <w:sz w:val="20"/>
          <w:vertAlign w:val="baseline"/>
        </w:rPr>
        <w:t>Nord-Kivu, le</w:t>
      </w:r>
      <w:r>
        <w:rPr>
          <w:color w:val="1F2021"/>
          <w:spacing w:val="-13"/>
          <w:sz w:val="20"/>
          <w:vertAlign w:val="baseline"/>
        </w:rPr>
        <w:t> </w:t>
      </w:r>
      <w:r>
        <w:rPr>
          <w:color w:val="1F2021"/>
          <w:sz w:val="20"/>
          <w:vertAlign w:val="baseline"/>
        </w:rPr>
        <w:t>Sud-Kivu</w:t>
      </w:r>
      <w:r>
        <w:rPr>
          <w:color w:val="1F2021"/>
          <w:spacing w:val="-12"/>
          <w:sz w:val="20"/>
          <w:vertAlign w:val="baseline"/>
        </w:rPr>
        <w:t> </w:t>
      </w:r>
      <w:r>
        <w:rPr>
          <w:color w:val="1F2021"/>
          <w:sz w:val="20"/>
          <w:vertAlign w:val="baseline"/>
        </w:rPr>
        <w:t>et le Centre-Est dans l'actuelle</w:t>
      </w:r>
      <w:r>
        <w:rPr>
          <w:color w:val="1F2021"/>
          <w:spacing w:val="-11"/>
          <w:sz w:val="20"/>
          <w:vertAlign w:val="baseline"/>
        </w:rPr>
        <w:t> </w:t>
      </w:r>
      <w:r>
        <w:rPr>
          <w:color w:val="1F2021"/>
          <w:sz w:val="20"/>
          <w:vertAlign w:val="baseline"/>
        </w:rPr>
        <w:t>République démocratique du Congo ainsi que dans</w:t>
      </w:r>
      <w:r>
        <w:rPr>
          <w:color w:val="1F2021"/>
          <w:spacing w:val="80"/>
          <w:sz w:val="20"/>
          <w:vertAlign w:val="baseline"/>
        </w:rPr>
        <w:t> </w:t>
      </w:r>
      <w:r>
        <w:rPr>
          <w:color w:val="1F2021"/>
          <w:sz w:val="20"/>
          <w:vertAlign w:val="baseline"/>
        </w:rPr>
        <w:t>d'autres </w:t>
      </w:r>
      <w:r>
        <w:rPr>
          <w:color w:val="231F20"/>
          <w:sz w:val="20"/>
          <w:vertAlign w:val="baseline"/>
        </w:rPr>
        <w:t>langues</w:t>
      </w:r>
      <w:r>
        <w:rPr>
          <w:color w:val="231F20"/>
          <w:spacing w:val="-2"/>
          <w:sz w:val="20"/>
          <w:vertAlign w:val="baseline"/>
        </w:rPr>
        <w:t> </w:t>
      </w:r>
      <w:r>
        <w:rPr>
          <w:color w:val="231F20"/>
          <w:sz w:val="20"/>
          <w:vertAlign w:val="baseline"/>
        </w:rPr>
        <w:t>bantoues</w:t>
      </w:r>
      <w:r>
        <w:rPr>
          <w:color w:val="231F20"/>
          <w:spacing w:val="-2"/>
          <w:sz w:val="20"/>
          <w:vertAlign w:val="baseline"/>
        </w:rPr>
        <w:t> </w:t>
      </w:r>
      <w:r>
        <w:rPr>
          <w:color w:val="1F2021"/>
          <w:sz w:val="20"/>
          <w:vertAlign w:val="baseline"/>
        </w:rPr>
        <w:t>en </w:t>
      </w:r>
      <w:r>
        <w:rPr>
          <w:color w:val="231F20"/>
          <w:sz w:val="20"/>
          <w:vertAlign w:val="baseline"/>
        </w:rPr>
        <w:t>Zambie</w:t>
      </w:r>
      <w:r>
        <w:rPr>
          <w:color w:val="231F20"/>
          <w:spacing w:val="-1"/>
          <w:sz w:val="20"/>
          <w:vertAlign w:val="baseline"/>
        </w:rPr>
        <w:t> </w:t>
      </w:r>
      <w:r>
        <w:rPr>
          <w:color w:val="1F2021"/>
          <w:sz w:val="20"/>
          <w:vertAlign w:val="baseline"/>
        </w:rPr>
        <w:t>et</w:t>
      </w:r>
      <w:r>
        <w:rPr>
          <w:color w:val="1F2021"/>
          <w:spacing w:val="-1"/>
          <w:sz w:val="20"/>
          <w:vertAlign w:val="baseline"/>
        </w:rPr>
        <w:t> </w:t>
      </w:r>
      <w:r>
        <w:rPr>
          <w:color w:val="1F2021"/>
          <w:sz w:val="20"/>
          <w:vertAlign w:val="baseline"/>
        </w:rPr>
        <w:t>au </w:t>
      </w:r>
      <w:r>
        <w:rPr>
          <w:color w:val="231F20"/>
          <w:sz w:val="20"/>
          <w:vertAlign w:val="baseline"/>
        </w:rPr>
        <w:t>Zimbabwe</w:t>
      </w:r>
      <w:r>
        <w:rPr>
          <w:color w:val="1F2021"/>
          <w:sz w:val="20"/>
          <w:vertAlign w:val="baseline"/>
        </w:rPr>
        <w:t>.</w:t>
      </w:r>
    </w:p>
    <w:p>
      <w:pPr>
        <w:spacing w:before="0"/>
        <w:ind w:left="111" w:right="107" w:firstLine="0"/>
        <w:jc w:val="both"/>
        <w:rPr>
          <w:sz w:val="20"/>
        </w:rPr>
      </w:pPr>
      <w:r>
        <w:rPr>
          <w:color w:val="76787A"/>
          <w:spacing w:val="-2"/>
          <w:sz w:val="20"/>
          <w:vertAlign w:val="superscript"/>
        </w:rPr>
        <w:t>51</w:t>
      </w:r>
      <w:r>
        <w:rPr>
          <w:color w:val="1F2021"/>
          <w:spacing w:val="-2"/>
          <w:sz w:val="20"/>
          <w:vertAlign w:val="baseline"/>
        </w:rPr>
        <w:t>Yuhi</w:t>
      </w:r>
      <w:r>
        <w:rPr>
          <w:color w:val="1F2021"/>
          <w:spacing w:val="-11"/>
          <w:sz w:val="20"/>
          <w:vertAlign w:val="baseline"/>
        </w:rPr>
        <w:t> </w:t>
      </w:r>
      <w:r>
        <w:rPr>
          <w:color w:val="1F2021"/>
          <w:spacing w:val="-2"/>
          <w:sz w:val="20"/>
          <w:vertAlign w:val="baseline"/>
        </w:rPr>
        <w:t>Musinga</w:t>
      </w:r>
      <w:r>
        <w:rPr>
          <w:color w:val="1F2021"/>
          <w:spacing w:val="-7"/>
          <w:sz w:val="20"/>
          <w:vertAlign w:val="baseline"/>
        </w:rPr>
        <w:t> </w:t>
      </w:r>
      <w:r>
        <w:rPr>
          <w:color w:val="1F2021"/>
          <w:spacing w:val="-2"/>
          <w:sz w:val="20"/>
          <w:vertAlign w:val="baseline"/>
        </w:rPr>
        <w:t>favorisa</w:t>
      </w:r>
      <w:r>
        <w:rPr>
          <w:color w:val="1F2021"/>
          <w:spacing w:val="-7"/>
          <w:sz w:val="20"/>
          <w:vertAlign w:val="baseline"/>
        </w:rPr>
        <w:t> </w:t>
      </w:r>
      <w:r>
        <w:rPr>
          <w:color w:val="1F2021"/>
          <w:spacing w:val="-2"/>
          <w:sz w:val="20"/>
          <w:vertAlign w:val="baseline"/>
        </w:rPr>
        <w:t>les</w:t>
      </w:r>
      <w:r>
        <w:rPr>
          <w:color w:val="1F2021"/>
          <w:spacing w:val="-9"/>
          <w:sz w:val="20"/>
          <w:vertAlign w:val="baseline"/>
        </w:rPr>
        <w:t> </w:t>
      </w:r>
      <w:r>
        <w:rPr>
          <w:color w:val="1F2021"/>
          <w:spacing w:val="-2"/>
          <w:sz w:val="20"/>
          <w:vertAlign w:val="baseline"/>
        </w:rPr>
        <w:t>échanges</w:t>
      </w:r>
      <w:r>
        <w:rPr>
          <w:color w:val="1F2021"/>
          <w:spacing w:val="-9"/>
          <w:sz w:val="20"/>
          <w:vertAlign w:val="baseline"/>
        </w:rPr>
        <w:t> </w:t>
      </w:r>
      <w:r>
        <w:rPr>
          <w:color w:val="1F2021"/>
          <w:spacing w:val="-2"/>
          <w:sz w:val="20"/>
          <w:vertAlign w:val="baseline"/>
        </w:rPr>
        <w:t>avec</w:t>
      </w:r>
      <w:r>
        <w:rPr>
          <w:color w:val="1F2021"/>
          <w:spacing w:val="-7"/>
          <w:sz w:val="20"/>
          <w:vertAlign w:val="baseline"/>
        </w:rPr>
        <w:t> </w:t>
      </w:r>
      <w:r>
        <w:rPr>
          <w:color w:val="1F2021"/>
          <w:spacing w:val="-2"/>
          <w:sz w:val="20"/>
          <w:vertAlign w:val="baseline"/>
        </w:rPr>
        <w:t>les</w:t>
      </w:r>
      <w:r>
        <w:rPr>
          <w:color w:val="1F2021"/>
          <w:spacing w:val="-9"/>
          <w:sz w:val="20"/>
          <w:vertAlign w:val="baseline"/>
        </w:rPr>
        <w:t> </w:t>
      </w:r>
      <w:r>
        <w:rPr>
          <w:color w:val="1F2021"/>
          <w:spacing w:val="-2"/>
          <w:sz w:val="20"/>
          <w:vertAlign w:val="baseline"/>
        </w:rPr>
        <w:t>colonisateurs</w:t>
      </w:r>
      <w:r>
        <w:rPr>
          <w:color w:val="1F2021"/>
          <w:spacing w:val="-11"/>
          <w:sz w:val="20"/>
          <w:vertAlign w:val="baseline"/>
        </w:rPr>
        <w:t> </w:t>
      </w:r>
      <w:r>
        <w:rPr>
          <w:color w:val="1F2021"/>
          <w:spacing w:val="-2"/>
          <w:sz w:val="20"/>
          <w:vertAlign w:val="baseline"/>
        </w:rPr>
        <w:t>allemands</w:t>
      </w:r>
      <w:r>
        <w:rPr>
          <w:color w:val="1F2021"/>
          <w:spacing w:val="-8"/>
          <w:sz w:val="20"/>
          <w:vertAlign w:val="baseline"/>
        </w:rPr>
        <w:t> </w:t>
      </w:r>
      <w:r>
        <w:rPr>
          <w:color w:val="1F2021"/>
          <w:spacing w:val="-2"/>
          <w:sz w:val="20"/>
          <w:vertAlign w:val="baseline"/>
        </w:rPr>
        <w:t>mais</w:t>
      </w:r>
      <w:r>
        <w:rPr>
          <w:color w:val="1F2021"/>
          <w:spacing w:val="-9"/>
          <w:sz w:val="20"/>
          <w:vertAlign w:val="baseline"/>
        </w:rPr>
        <w:t> </w:t>
      </w:r>
      <w:r>
        <w:rPr>
          <w:color w:val="1F2021"/>
          <w:spacing w:val="-2"/>
          <w:sz w:val="20"/>
          <w:vertAlign w:val="baseline"/>
        </w:rPr>
        <w:t>se</w:t>
      </w:r>
      <w:r>
        <w:rPr>
          <w:color w:val="1F2021"/>
          <w:spacing w:val="-9"/>
          <w:sz w:val="20"/>
          <w:vertAlign w:val="baseline"/>
        </w:rPr>
        <w:t> </w:t>
      </w:r>
      <w:r>
        <w:rPr>
          <w:color w:val="1F2021"/>
          <w:spacing w:val="-2"/>
          <w:sz w:val="20"/>
          <w:vertAlign w:val="baseline"/>
        </w:rPr>
        <w:t>heurta</w:t>
      </w:r>
      <w:r>
        <w:rPr>
          <w:color w:val="1F2021"/>
          <w:spacing w:val="-7"/>
          <w:sz w:val="20"/>
          <w:vertAlign w:val="baseline"/>
        </w:rPr>
        <w:t> </w:t>
      </w:r>
      <w:r>
        <w:rPr>
          <w:color w:val="1F2021"/>
          <w:spacing w:val="-2"/>
          <w:sz w:val="20"/>
          <w:vertAlign w:val="baseline"/>
        </w:rPr>
        <w:t>à </w:t>
      </w:r>
      <w:r>
        <w:rPr>
          <w:color w:val="1F2021"/>
          <w:sz w:val="20"/>
          <w:vertAlign w:val="baseline"/>
        </w:rPr>
        <w:t>l'administration</w:t>
      </w:r>
      <w:r>
        <w:rPr>
          <w:color w:val="1F2021"/>
          <w:spacing w:val="-9"/>
          <w:sz w:val="20"/>
          <w:vertAlign w:val="baseline"/>
        </w:rPr>
        <w:t> </w:t>
      </w:r>
      <w:r>
        <w:rPr>
          <w:color w:val="1F2021"/>
          <w:sz w:val="20"/>
          <w:vertAlign w:val="baseline"/>
        </w:rPr>
        <w:t>coloniale</w:t>
      </w:r>
      <w:r>
        <w:rPr>
          <w:color w:val="1F2021"/>
          <w:spacing w:val="-9"/>
          <w:sz w:val="20"/>
          <w:vertAlign w:val="baseline"/>
        </w:rPr>
        <w:t> </w:t>
      </w:r>
      <w:r>
        <w:rPr>
          <w:color w:val="1F2021"/>
          <w:sz w:val="20"/>
          <w:vertAlign w:val="baseline"/>
        </w:rPr>
        <w:t>belge</w:t>
      </w:r>
      <w:r>
        <w:rPr>
          <w:color w:val="1F2021"/>
          <w:spacing w:val="-9"/>
          <w:sz w:val="20"/>
          <w:vertAlign w:val="baseline"/>
        </w:rPr>
        <w:t> </w:t>
      </w:r>
      <w:r>
        <w:rPr>
          <w:color w:val="1F2021"/>
          <w:sz w:val="20"/>
          <w:vertAlign w:val="baseline"/>
        </w:rPr>
        <w:t>lorsque</w:t>
      </w:r>
      <w:r>
        <w:rPr>
          <w:color w:val="1F2021"/>
          <w:spacing w:val="-7"/>
          <w:sz w:val="20"/>
          <w:vertAlign w:val="baseline"/>
        </w:rPr>
        <w:t> </w:t>
      </w:r>
      <w:r>
        <w:rPr>
          <w:color w:val="1F2021"/>
          <w:sz w:val="20"/>
          <w:vertAlign w:val="baseline"/>
        </w:rPr>
        <w:t>celle-ci</w:t>
      </w:r>
      <w:r>
        <w:rPr>
          <w:color w:val="1F2021"/>
          <w:spacing w:val="-9"/>
          <w:sz w:val="20"/>
          <w:vertAlign w:val="baseline"/>
        </w:rPr>
        <w:t> </w:t>
      </w:r>
      <w:r>
        <w:rPr>
          <w:color w:val="1F2021"/>
          <w:sz w:val="20"/>
          <w:vertAlign w:val="baseline"/>
        </w:rPr>
        <w:t>reçut</w:t>
      </w:r>
      <w:r>
        <w:rPr>
          <w:color w:val="1F2021"/>
          <w:spacing w:val="-9"/>
          <w:sz w:val="20"/>
          <w:vertAlign w:val="baseline"/>
        </w:rPr>
        <w:t> </w:t>
      </w:r>
      <w:r>
        <w:rPr>
          <w:color w:val="1F2021"/>
          <w:sz w:val="20"/>
          <w:vertAlign w:val="baseline"/>
        </w:rPr>
        <w:t>mandat</w:t>
      </w:r>
      <w:r>
        <w:rPr>
          <w:color w:val="1F2021"/>
          <w:spacing w:val="-11"/>
          <w:sz w:val="20"/>
          <w:vertAlign w:val="baseline"/>
        </w:rPr>
        <w:t> </w:t>
      </w:r>
      <w:r>
        <w:rPr>
          <w:color w:val="1F2021"/>
          <w:sz w:val="20"/>
          <w:vertAlign w:val="baseline"/>
        </w:rPr>
        <w:t>de</w:t>
      </w:r>
      <w:r>
        <w:rPr>
          <w:color w:val="1F2021"/>
          <w:spacing w:val="-7"/>
          <w:sz w:val="20"/>
          <w:vertAlign w:val="baseline"/>
        </w:rPr>
        <w:t> </w:t>
      </w:r>
      <w:r>
        <w:rPr>
          <w:color w:val="1F2021"/>
          <w:sz w:val="20"/>
          <w:vertAlign w:val="baseline"/>
        </w:rPr>
        <w:t>la</w:t>
      </w:r>
      <w:r>
        <w:rPr>
          <w:color w:val="1F2021"/>
          <w:spacing w:val="-7"/>
          <w:sz w:val="20"/>
          <w:vertAlign w:val="baseline"/>
        </w:rPr>
        <w:t> </w:t>
      </w:r>
      <w:r>
        <w:rPr>
          <w:color w:val="1F2021"/>
          <w:sz w:val="20"/>
          <w:vertAlign w:val="baseline"/>
        </w:rPr>
        <w:t>SDN</w:t>
      </w:r>
      <w:r>
        <w:rPr>
          <w:color w:val="1F2021"/>
          <w:spacing w:val="-8"/>
          <w:sz w:val="20"/>
          <w:vertAlign w:val="baseline"/>
        </w:rPr>
        <w:t> </w:t>
      </w:r>
      <w:r>
        <w:rPr>
          <w:color w:val="1F2021"/>
          <w:sz w:val="20"/>
          <w:vertAlign w:val="baseline"/>
        </w:rPr>
        <w:t>à</w:t>
      </w:r>
      <w:r>
        <w:rPr>
          <w:color w:val="1F2021"/>
          <w:spacing w:val="-9"/>
          <w:sz w:val="20"/>
          <w:vertAlign w:val="baseline"/>
        </w:rPr>
        <w:t> </w:t>
      </w:r>
      <w:r>
        <w:rPr>
          <w:color w:val="1F2021"/>
          <w:sz w:val="20"/>
          <w:vertAlign w:val="baseline"/>
        </w:rPr>
        <w:t>l'issue</w:t>
      </w:r>
      <w:r>
        <w:rPr>
          <w:color w:val="1F2021"/>
          <w:spacing w:val="-7"/>
          <w:sz w:val="20"/>
          <w:vertAlign w:val="baseline"/>
        </w:rPr>
        <w:t> </w:t>
      </w:r>
      <w:r>
        <w:rPr>
          <w:color w:val="1F2021"/>
          <w:sz w:val="20"/>
          <w:vertAlign w:val="baseline"/>
        </w:rPr>
        <w:t>de</w:t>
      </w:r>
      <w:r>
        <w:rPr>
          <w:color w:val="1F2021"/>
          <w:spacing w:val="-7"/>
          <w:sz w:val="20"/>
          <w:vertAlign w:val="baseline"/>
        </w:rPr>
        <w:t> </w:t>
      </w:r>
      <w:r>
        <w:rPr>
          <w:color w:val="1F2021"/>
          <w:sz w:val="20"/>
          <w:vertAlign w:val="baseline"/>
        </w:rPr>
        <w:t>la défaite</w:t>
      </w:r>
      <w:r>
        <w:rPr>
          <w:color w:val="1F2021"/>
          <w:spacing w:val="-4"/>
          <w:sz w:val="20"/>
          <w:vertAlign w:val="baseline"/>
        </w:rPr>
        <w:t> </w:t>
      </w:r>
      <w:r>
        <w:rPr>
          <w:color w:val="1F2021"/>
          <w:sz w:val="20"/>
          <w:vertAlign w:val="baseline"/>
        </w:rPr>
        <w:t>allemande</w:t>
      </w:r>
      <w:r>
        <w:rPr>
          <w:color w:val="1F2021"/>
          <w:spacing w:val="-4"/>
          <w:sz w:val="20"/>
          <w:vertAlign w:val="baseline"/>
        </w:rPr>
        <w:t> </w:t>
      </w:r>
      <w:r>
        <w:rPr>
          <w:color w:val="1F2021"/>
          <w:sz w:val="20"/>
          <w:vertAlign w:val="baseline"/>
        </w:rPr>
        <w:t>durant</w:t>
      </w:r>
      <w:r>
        <w:rPr>
          <w:color w:val="1F2021"/>
          <w:spacing w:val="-5"/>
          <w:sz w:val="20"/>
          <w:vertAlign w:val="baseline"/>
        </w:rPr>
        <w:t> </w:t>
      </w:r>
      <w:r>
        <w:rPr>
          <w:color w:val="1F2021"/>
          <w:sz w:val="20"/>
          <w:vertAlign w:val="baseline"/>
        </w:rPr>
        <w:t>la</w:t>
      </w:r>
      <w:r>
        <w:rPr>
          <w:color w:val="1F2021"/>
          <w:spacing w:val="-2"/>
          <w:sz w:val="20"/>
          <w:vertAlign w:val="baseline"/>
        </w:rPr>
        <w:t> </w:t>
      </w:r>
      <w:r>
        <w:rPr>
          <w:color w:val="1F2021"/>
          <w:sz w:val="20"/>
          <w:vertAlign w:val="baseline"/>
        </w:rPr>
        <w:t>Première</w:t>
      </w:r>
      <w:r>
        <w:rPr>
          <w:color w:val="1F2021"/>
          <w:spacing w:val="-2"/>
          <w:sz w:val="20"/>
          <w:vertAlign w:val="baseline"/>
        </w:rPr>
        <w:t> </w:t>
      </w:r>
      <w:r>
        <w:rPr>
          <w:color w:val="1F2021"/>
          <w:sz w:val="20"/>
          <w:vertAlign w:val="baseline"/>
        </w:rPr>
        <w:t>Guerre</w:t>
      </w:r>
      <w:r>
        <w:rPr>
          <w:color w:val="1F2021"/>
          <w:spacing w:val="-4"/>
          <w:sz w:val="20"/>
          <w:vertAlign w:val="baseline"/>
        </w:rPr>
        <w:t> </w:t>
      </w:r>
      <w:r>
        <w:rPr>
          <w:color w:val="1F2021"/>
          <w:sz w:val="20"/>
          <w:vertAlign w:val="baseline"/>
        </w:rPr>
        <w:t>mondiale.</w:t>
      </w:r>
    </w:p>
    <w:p>
      <w:pPr>
        <w:spacing w:after="0"/>
        <w:jc w:val="both"/>
        <w:rPr>
          <w:sz w:val="20"/>
        </w:rPr>
        <w:sectPr>
          <w:pgSz w:w="8790" w:h="13610"/>
          <w:pgMar w:header="0" w:footer="802" w:top="1040" w:bottom="1000" w:left="880" w:right="880"/>
        </w:sectPr>
      </w:pPr>
    </w:p>
    <w:p>
      <w:pPr>
        <w:pStyle w:val="BodyText"/>
        <w:spacing w:before="66"/>
        <w:ind w:right="108"/>
      </w:pPr>
      <w:r>
        <w:rPr>
          <w:color w:val="231F20"/>
        </w:rPr>
        <w:t>novembre</w:t>
      </w:r>
      <w:r>
        <w:rPr>
          <w:color w:val="231F20"/>
          <w:spacing w:val="-8"/>
        </w:rPr>
        <w:t> </w:t>
      </w:r>
      <w:r>
        <w:rPr>
          <w:color w:val="231F20"/>
        </w:rPr>
        <w:t>1959,</w:t>
      </w:r>
      <w:r>
        <w:rPr>
          <w:color w:val="231F20"/>
          <w:spacing w:val="-6"/>
        </w:rPr>
        <w:t> </w:t>
      </w:r>
      <w:r>
        <w:rPr>
          <w:color w:val="231F20"/>
        </w:rPr>
        <w:t>en</w:t>
      </w:r>
      <w:r>
        <w:rPr>
          <w:color w:val="231F20"/>
          <w:spacing w:val="-6"/>
        </w:rPr>
        <w:t> </w:t>
      </w:r>
      <w:r>
        <w:rPr>
          <w:color w:val="231F20"/>
        </w:rPr>
        <w:t>pleine</w:t>
      </w:r>
      <w:r>
        <w:rPr>
          <w:color w:val="231F20"/>
          <w:spacing w:val="-15"/>
        </w:rPr>
        <w:t> </w:t>
      </w:r>
      <w:r>
        <w:rPr>
          <w:color w:val="231F20"/>
        </w:rPr>
        <w:t>guerre</w:t>
      </w:r>
      <w:r>
        <w:rPr>
          <w:color w:val="231F20"/>
          <w:spacing w:val="-4"/>
        </w:rPr>
        <w:t> </w:t>
      </w:r>
      <w:r>
        <w:rPr>
          <w:color w:val="231F20"/>
        </w:rPr>
        <w:t>civile</w:t>
      </w:r>
      <w:r>
        <w:rPr>
          <w:color w:val="231F20"/>
          <w:spacing w:val="-7"/>
        </w:rPr>
        <w:t> </w:t>
      </w:r>
      <w:r>
        <w:rPr>
          <w:color w:val="231F20"/>
        </w:rPr>
        <w:t>qui</w:t>
      </w:r>
      <w:r>
        <w:rPr>
          <w:color w:val="231F20"/>
          <w:spacing w:val="-4"/>
        </w:rPr>
        <w:t> </w:t>
      </w:r>
      <w:r>
        <w:rPr>
          <w:color w:val="231F20"/>
        </w:rPr>
        <w:t>entraîne</w:t>
      </w:r>
      <w:r>
        <w:rPr>
          <w:color w:val="231F20"/>
          <w:spacing w:val="-4"/>
        </w:rPr>
        <w:t> </w:t>
      </w:r>
      <w:r>
        <w:rPr>
          <w:color w:val="231F20"/>
        </w:rPr>
        <w:t>le</w:t>
      </w:r>
      <w:r>
        <w:rPr>
          <w:color w:val="231F20"/>
          <w:spacing w:val="-6"/>
        </w:rPr>
        <w:t> </w:t>
      </w:r>
      <w:r>
        <w:rPr>
          <w:color w:val="231F20"/>
        </w:rPr>
        <w:t>départ</w:t>
      </w:r>
      <w:r>
        <w:rPr>
          <w:color w:val="231F20"/>
          <w:spacing w:val="-6"/>
        </w:rPr>
        <w:t> </w:t>
      </w:r>
      <w:r>
        <w:rPr>
          <w:color w:val="231F20"/>
        </w:rPr>
        <w:t>en</w:t>
      </w:r>
      <w:r>
        <w:rPr>
          <w:color w:val="231F20"/>
          <w:spacing w:val="-8"/>
        </w:rPr>
        <w:t> </w:t>
      </w:r>
      <w:r>
        <w:rPr>
          <w:color w:val="231F20"/>
        </w:rPr>
        <w:t>exil</w:t>
      </w:r>
      <w:r>
        <w:rPr>
          <w:color w:val="231F20"/>
          <w:spacing w:val="-4"/>
        </w:rPr>
        <w:t> </w:t>
      </w:r>
      <w:r>
        <w:rPr>
          <w:color w:val="231F20"/>
        </w:rPr>
        <w:t>de 200000</w:t>
      </w:r>
      <w:r>
        <w:rPr>
          <w:color w:val="231F20"/>
          <w:spacing w:val="-3"/>
        </w:rPr>
        <w:t> </w:t>
      </w:r>
      <w:r>
        <w:rPr>
          <w:color w:val="231F20"/>
        </w:rPr>
        <w:t>à</w:t>
      </w:r>
      <w:r>
        <w:rPr>
          <w:color w:val="231F20"/>
          <w:spacing w:val="-2"/>
        </w:rPr>
        <w:t> </w:t>
      </w:r>
      <w:r>
        <w:rPr>
          <w:color w:val="231F20"/>
        </w:rPr>
        <w:t>300</w:t>
      </w:r>
      <w:r>
        <w:rPr>
          <w:color w:val="231F20"/>
          <w:spacing w:val="-15"/>
        </w:rPr>
        <w:t> </w:t>
      </w:r>
      <w:r>
        <w:rPr>
          <w:color w:val="231F20"/>
        </w:rPr>
        <w:t>000</w:t>
      </w:r>
      <w:r>
        <w:rPr>
          <w:color w:val="231F20"/>
          <w:spacing w:val="-1"/>
        </w:rPr>
        <w:t> </w:t>
      </w:r>
      <w:r>
        <w:rPr>
          <w:color w:val="231F20"/>
        </w:rPr>
        <w:t>Tutsi.</w:t>
      </w:r>
      <w:r>
        <w:rPr>
          <w:color w:val="231F20"/>
          <w:spacing w:val="-3"/>
        </w:rPr>
        <w:t> </w:t>
      </w:r>
      <w:r>
        <w:rPr>
          <w:color w:val="231F20"/>
        </w:rPr>
        <w:t>Kigeli</w:t>
      </w:r>
      <w:r>
        <w:rPr>
          <w:color w:val="231F20"/>
          <w:spacing w:val="-1"/>
        </w:rPr>
        <w:t> </w:t>
      </w:r>
      <w:r>
        <w:rPr>
          <w:color w:val="231F20"/>
        </w:rPr>
        <w:t>V</w:t>
      </w:r>
      <w:r>
        <w:rPr>
          <w:color w:val="231F20"/>
          <w:spacing w:val="-1"/>
        </w:rPr>
        <w:t> </w:t>
      </w:r>
      <w:r>
        <w:rPr>
          <w:color w:val="231F20"/>
        </w:rPr>
        <w:t>baptisé</w:t>
      </w:r>
      <w:r>
        <w:rPr>
          <w:color w:val="231F20"/>
          <w:spacing w:val="-1"/>
        </w:rPr>
        <w:t> </w:t>
      </w:r>
      <w:r>
        <w:rPr>
          <w:color w:val="231F20"/>
        </w:rPr>
        <w:t>sous</w:t>
      </w:r>
      <w:r>
        <w:rPr>
          <w:color w:val="231F20"/>
          <w:spacing w:val="-3"/>
        </w:rPr>
        <w:t> </w:t>
      </w:r>
      <w:r>
        <w:rPr>
          <w:color w:val="231F20"/>
        </w:rPr>
        <w:t>le</w:t>
      </w:r>
      <w:r>
        <w:rPr>
          <w:color w:val="231F20"/>
          <w:spacing w:val="-3"/>
        </w:rPr>
        <w:t> </w:t>
      </w:r>
      <w:r>
        <w:rPr>
          <w:color w:val="231F20"/>
        </w:rPr>
        <w:t>nom</w:t>
      </w:r>
      <w:r>
        <w:rPr>
          <w:color w:val="231F20"/>
          <w:spacing w:val="-3"/>
        </w:rPr>
        <w:t> </w:t>
      </w:r>
      <w:r>
        <w:rPr>
          <w:color w:val="231F20"/>
        </w:rPr>
        <w:t>de</w:t>
      </w:r>
      <w:r>
        <w:rPr>
          <w:color w:val="231F20"/>
          <w:spacing w:val="-15"/>
        </w:rPr>
        <w:t> </w:t>
      </w:r>
      <w:r>
        <w:rPr>
          <w:color w:val="231F20"/>
        </w:rPr>
        <w:t>Jean-Baptiste Ndahindurwa est renversé le</w:t>
      </w:r>
      <w:r>
        <w:rPr>
          <w:color w:val="231F20"/>
          <w:spacing w:val="-13"/>
        </w:rPr>
        <w:t> </w:t>
      </w:r>
      <w:r>
        <w:rPr>
          <w:color w:val="231F20"/>
        </w:rPr>
        <w:t>28</w:t>
      </w:r>
      <w:r>
        <w:rPr>
          <w:color w:val="231F20"/>
          <w:spacing w:val="-13"/>
        </w:rPr>
        <w:t> </w:t>
      </w:r>
      <w:r>
        <w:rPr>
          <w:color w:val="231F20"/>
        </w:rPr>
        <w:t>janvier</w:t>
      </w:r>
      <w:r>
        <w:rPr>
          <w:color w:val="231F20"/>
          <w:spacing w:val="-14"/>
        </w:rPr>
        <w:t> </w:t>
      </w:r>
      <w:r>
        <w:rPr>
          <w:color w:val="231F20"/>
        </w:rPr>
        <w:t>1961 et part en exil. Sous la poussée des Hutu, la monarchie est abolie.</w:t>
      </w:r>
    </w:p>
    <w:p>
      <w:pPr>
        <w:pStyle w:val="BodyText"/>
        <w:spacing w:before="120"/>
        <w:ind w:right="105" w:firstLine="283"/>
      </w:pPr>
      <w:r>
        <w:rPr>
          <w:color w:val="231F20"/>
        </w:rPr>
        <w:t>L’ONU</w:t>
      </w:r>
      <w:r>
        <w:rPr>
          <w:color w:val="231F20"/>
          <w:spacing w:val="-1"/>
        </w:rPr>
        <w:t> </w:t>
      </w:r>
      <w:r>
        <w:rPr>
          <w:color w:val="231F20"/>
        </w:rPr>
        <w:t>fixe</w:t>
      </w:r>
      <w:r>
        <w:rPr>
          <w:color w:val="231F20"/>
          <w:spacing w:val="-1"/>
        </w:rPr>
        <w:t> </w:t>
      </w:r>
      <w:r>
        <w:rPr>
          <w:color w:val="231F20"/>
        </w:rPr>
        <w:t>au</w:t>
      </w:r>
      <w:r>
        <w:rPr>
          <w:color w:val="231F20"/>
          <w:spacing w:val="-1"/>
        </w:rPr>
        <w:t> </w:t>
      </w:r>
      <w:r>
        <w:rPr>
          <w:color w:val="231F20"/>
        </w:rPr>
        <w:t>1er</w:t>
      </w:r>
      <w:r>
        <w:rPr>
          <w:color w:val="231F20"/>
          <w:spacing w:val="-3"/>
        </w:rPr>
        <w:t> </w:t>
      </w:r>
      <w:r>
        <w:rPr>
          <w:color w:val="231F20"/>
        </w:rPr>
        <w:t>juillet</w:t>
      </w:r>
      <w:r>
        <w:rPr>
          <w:color w:val="231F20"/>
          <w:spacing w:val="-2"/>
        </w:rPr>
        <w:t> </w:t>
      </w:r>
      <w:r>
        <w:rPr>
          <w:color w:val="231F20"/>
        </w:rPr>
        <w:t>1962,</w:t>
      </w:r>
      <w:r>
        <w:rPr>
          <w:color w:val="231F20"/>
          <w:spacing w:val="-3"/>
        </w:rPr>
        <w:t> </w:t>
      </w:r>
      <w:r>
        <w:rPr>
          <w:color w:val="231F20"/>
        </w:rPr>
        <w:t>la</w:t>
      </w:r>
      <w:r>
        <w:rPr>
          <w:color w:val="231F20"/>
          <w:spacing w:val="-1"/>
        </w:rPr>
        <w:t> </w:t>
      </w:r>
      <w:r>
        <w:rPr>
          <w:color w:val="231F20"/>
        </w:rPr>
        <w:t>date</w:t>
      </w:r>
      <w:r>
        <w:rPr>
          <w:color w:val="231F20"/>
          <w:spacing w:val="-3"/>
        </w:rPr>
        <w:t> </w:t>
      </w:r>
      <w:r>
        <w:rPr>
          <w:color w:val="231F20"/>
        </w:rPr>
        <w:t>d’indépendance</w:t>
      </w:r>
      <w:r>
        <w:rPr>
          <w:color w:val="231F20"/>
          <w:spacing w:val="-2"/>
        </w:rPr>
        <w:t> </w:t>
      </w:r>
      <w:r>
        <w:rPr>
          <w:color w:val="231F20"/>
        </w:rPr>
        <w:t>de</w:t>
      </w:r>
      <w:r>
        <w:rPr>
          <w:color w:val="231F20"/>
          <w:spacing w:val="-2"/>
        </w:rPr>
        <w:t> </w:t>
      </w:r>
      <w:r>
        <w:rPr>
          <w:color w:val="231F20"/>
        </w:rPr>
        <w:t>l’Etat</w:t>
      </w:r>
      <w:r>
        <w:rPr>
          <w:color w:val="231F20"/>
          <w:spacing w:val="-1"/>
        </w:rPr>
        <w:t> </w:t>
      </w:r>
      <w:r>
        <w:rPr>
          <w:color w:val="231F20"/>
        </w:rPr>
        <w:t>du </w:t>
      </w:r>
      <w:r>
        <w:rPr>
          <w:color w:val="231F20"/>
          <w:spacing w:val="-4"/>
        </w:rPr>
        <w:t>Rwanda</w:t>
      </w:r>
      <w:r>
        <w:rPr>
          <w:color w:val="231F20"/>
          <w:spacing w:val="-11"/>
        </w:rPr>
        <w:t> </w:t>
      </w:r>
      <w:r>
        <w:rPr>
          <w:color w:val="231F20"/>
          <w:spacing w:val="-4"/>
        </w:rPr>
        <w:t>sur</w:t>
      </w:r>
      <w:r>
        <w:rPr>
          <w:color w:val="231F20"/>
          <w:spacing w:val="-11"/>
        </w:rPr>
        <w:t> </w:t>
      </w:r>
      <w:r>
        <w:rPr>
          <w:color w:val="231F20"/>
          <w:spacing w:val="-4"/>
        </w:rPr>
        <w:t>fond</w:t>
      </w:r>
      <w:r>
        <w:rPr>
          <w:color w:val="231F20"/>
          <w:spacing w:val="-11"/>
        </w:rPr>
        <w:t> </w:t>
      </w:r>
      <w:r>
        <w:rPr>
          <w:color w:val="231F20"/>
          <w:spacing w:val="-4"/>
        </w:rPr>
        <w:t>d’antagonisme</w:t>
      </w:r>
      <w:r>
        <w:rPr>
          <w:color w:val="231F20"/>
          <w:spacing w:val="-11"/>
        </w:rPr>
        <w:t> </w:t>
      </w:r>
      <w:r>
        <w:rPr>
          <w:color w:val="231F20"/>
          <w:spacing w:val="-4"/>
        </w:rPr>
        <w:t>entre</w:t>
      </w:r>
      <w:r>
        <w:rPr>
          <w:color w:val="231F20"/>
          <w:spacing w:val="-11"/>
        </w:rPr>
        <w:t> </w:t>
      </w:r>
      <w:r>
        <w:rPr>
          <w:color w:val="231F20"/>
          <w:spacing w:val="-4"/>
        </w:rPr>
        <w:t>Tutsi</w:t>
      </w:r>
      <w:r>
        <w:rPr>
          <w:color w:val="231F20"/>
          <w:spacing w:val="-11"/>
        </w:rPr>
        <w:t> </w:t>
      </w:r>
      <w:r>
        <w:rPr>
          <w:color w:val="231F20"/>
          <w:spacing w:val="-4"/>
        </w:rPr>
        <w:t>et</w:t>
      </w:r>
      <w:r>
        <w:rPr>
          <w:color w:val="231F20"/>
          <w:spacing w:val="-11"/>
        </w:rPr>
        <w:t> </w:t>
      </w:r>
      <w:r>
        <w:rPr>
          <w:color w:val="231F20"/>
          <w:spacing w:val="-4"/>
        </w:rPr>
        <w:t>Hutu.</w:t>
      </w:r>
      <w:r>
        <w:rPr>
          <w:color w:val="231F20"/>
          <w:spacing w:val="-11"/>
        </w:rPr>
        <w:t> </w:t>
      </w:r>
      <w:r>
        <w:rPr>
          <w:color w:val="231F20"/>
          <w:spacing w:val="-4"/>
        </w:rPr>
        <w:t>Au</w:t>
      </w:r>
      <w:r>
        <w:rPr>
          <w:color w:val="231F20"/>
          <w:spacing w:val="-11"/>
        </w:rPr>
        <w:t> </w:t>
      </w:r>
      <w:r>
        <w:rPr>
          <w:color w:val="231F20"/>
          <w:spacing w:val="-4"/>
        </w:rPr>
        <w:t>départ</w:t>
      </w:r>
      <w:r>
        <w:rPr>
          <w:color w:val="231F20"/>
          <w:spacing w:val="-11"/>
        </w:rPr>
        <w:t> </w:t>
      </w:r>
      <w:r>
        <w:rPr>
          <w:color w:val="231F20"/>
          <w:spacing w:val="-4"/>
        </w:rPr>
        <w:t>des</w:t>
      </w:r>
      <w:r>
        <w:rPr>
          <w:color w:val="231F20"/>
          <w:spacing w:val="-11"/>
        </w:rPr>
        <w:t> </w:t>
      </w:r>
      <w:r>
        <w:rPr>
          <w:color w:val="231F20"/>
          <w:spacing w:val="-4"/>
        </w:rPr>
        <w:t>Belges du</w:t>
      </w:r>
      <w:r>
        <w:rPr>
          <w:color w:val="231F20"/>
          <w:spacing w:val="-11"/>
        </w:rPr>
        <w:t> </w:t>
      </w:r>
      <w:r>
        <w:rPr>
          <w:color w:val="231F20"/>
          <w:spacing w:val="-4"/>
        </w:rPr>
        <w:t>pays,</w:t>
      </w:r>
      <w:r>
        <w:rPr>
          <w:color w:val="231F20"/>
          <w:spacing w:val="-11"/>
        </w:rPr>
        <w:t> </w:t>
      </w:r>
      <w:r>
        <w:rPr>
          <w:color w:val="231F20"/>
          <w:spacing w:val="-4"/>
        </w:rPr>
        <w:t>le</w:t>
      </w:r>
      <w:r>
        <w:rPr>
          <w:color w:val="231F20"/>
          <w:spacing w:val="-11"/>
        </w:rPr>
        <w:t> </w:t>
      </w:r>
      <w:r>
        <w:rPr>
          <w:color w:val="231F20"/>
          <w:spacing w:val="-4"/>
        </w:rPr>
        <w:t>pouvoir</w:t>
      </w:r>
      <w:r>
        <w:rPr>
          <w:color w:val="231F20"/>
          <w:spacing w:val="-11"/>
        </w:rPr>
        <w:t> </w:t>
      </w:r>
      <w:r>
        <w:rPr>
          <w:color w:val="231F20"/>
          <w:spacing w:val="-4"/>
        </w:rPr>
        <w:t>passe</w:t>
      </w:r>
      <w:r>
        <w:rPr>
          <w:color w:val="231F20"/>
          <w:spacing w:val="-11"/>
        </w:rPr>
        <w:t> </w:t>
      </w:r>
      <w:r>
        <w:rPr>
          <w:color w:val="231F20"/>
          <w:spacing w:val="-4"/>
        </w:rPr>
        <w:t>aux</w:t>
      </w:r>
      <w:r>
        <w:rPr>
          <w:color w:val="231F20"/>
          <w:spacing w:val="-11"/>
        </w:rPr>
        <w:t> </w:t>
      </w:r>
      <w:r>
        <w:rPr>
          <w:color w:val="231F20"/>
          <w:spacing w:val="-4"/>
        </w:rPr>
        <w:t>mains</w:t>
      </w:r>
      <w:r>
        <w:rPr>
          <w:color w:val="231F20"/>
          <w:spacing w:val="-11"/>
        </w:rPr>
        <w:t> </w:t>
      </w:r>
      <w:r>
        <w:rPr>
          <w:color w:val="231F20"/>
          <w:spacing w:val="-4"/>
        </w:rPr>
        <w:t>des</w:t>
      </w:r>
      <w:r>
        <w:rPr>
          <w:color w:val="231F20"/>
          <w:spacing w:val="-11"/>
        </w:rPr>
        <w:t> </w:t>
      </w:r>
      <w:r>
        <w:rPr>
          <w:color w:val="231F20"/>
          <w:spacing w:val="-4"/>
        </w:rPr>
        <w:t>Hutu.</w:t>
      </w:r>
      <w:r>
        <w:rPr>
          <w:color w:val="231F20"/>
          <w:spacing w:val="-11"/>
        </w:rPr>
        <w:t> </w:t>
      </w:r>
      <w:r>
        <w:rPr>
          <w:color w:val="231F20"/>
          <w:spacing w:val="-4"/>
        </w:rPr>
        <w:t>Le</w:t>
      </w:r>
      <w:r>
        <w:rPr>
          <w:color w:val="231F20"/>
          <w:spacing w:val="-11"/>
        </w:rPr>
        <w:t> </w:t>
      </w:r>
      <w:r>
        <w:rPr>
          <w:color w:val="231F20"/>
          <w:spacing w:val="-4"/>
        </w:rPr>
        <w:t>nouveau</w:t>
      </w:r>
      <w:r>
        <w:rPr>
          <w:color w:val="231F20"/>
          <w:spacing w:val="-11"/>
        </w:rPr>
        <w:t> </w:t>
      </w:r>
      <w:r>
        <w:rPr>
          <w:color w:val="231F20"/>
          <w:spacing w:val="-4"/>
        </w:rPr>
        <w:t>régime</w:t>
      </w:r>
      <w:r>
        <w:rPr>
          <w:color w:val="231F20"/>
          <w:spacing w:val="-11"/>
        </w:rPr>
        <w:t> </w:t>
      </w:r>
      <w:r>
        <w:rPr>
          <w:color w:val="231F20"/>
          <w:spacing w:val="-4"/>
        </w:rPr>
        <w:t>affronte </w:t>
      </w:r>
      <w:r>
        <w:rPr>
          <w:color w:val="231F20"/>
        </w:rPr>
        <w:t>des attaques des exilés Tutsi.</w:t>
      </w:r>
    </w:p>
    <w:p>
      <w:pPr>
        <w:pStyle w:val="BodyText"/>
        <w:spacing w:before="121"/>
        <w:ind w:right="103" w:firstLine="283"/>
      </w:pPr>
      <w:r>
        <w:rPr>
          <w:color w:val="231F20"/>
        </w:rPr>
        <w:t>Après une transition du</w:t>
      </w:r>
      <w:r>
        <w:rPr>
          <w:color w:val="231F20"/>
          <w:spacing w:val="-15"/>
        </w:rPr>
        <w:t> </w:t>
      </w:r>
      <w:r>
        <w:rPr>
          <w:color w:val="231F20"/>
        </w:rPr>
        <w:t>28 janvier 1961</w:t>
      </w:r>
      <w:r>
        <w:rPr>
          <w:color w:val="231F20"/>
          <w:spacing w:val="-12"/>
        </w:rPr>
        <w:t> </w:t>
      </w:r>
      <w:r>
        <w:rPr>
          <w:color w:val="231F20"/>
        </w:rPr>
        <w:t>au</w:t>
      </w:r>
      <w:r>
        <w:rPr>
          <w:color w:val="231F20"/>
          <w:spacing w:val="-13"/>
        </w:rPr>
        <w:t> </w:t>
      </w:r>
      <w:r>
        <w:rPr>
          <w:color w:val="231F20"/>
        </w:rPr>
        <w:t>26 octobre 1961 avec Dominique Mbonyumutwa, Grégoire Kayibanda est élu le 26</w:t>
      </w:r>
      <w:r>
        <w:rPr>
          <w:color w:val="231F20"/>
          <w:spacing w:val="-15"/>
        </w:rPr>
        <w:t> </w:t>
      </w:r>
      <w:r>
        <w:rPr>
          <w:color w:val="231F20"/>
        </w:rPr>
        <w:t>octobre 1961, premier président du Rwanda indépendant.</w:t>
      </w:r>
    </w:p>
    <w:p>
      <w:pPr>
        <w:pStyle w:val="BodyText"/>
        <w:spacing w:before="120"/>
        <w:ind w:right="107" w:firstLine="283"/>
      </w:pPr>
      <w:r>
        <w:rPr>
          <w:color w:val="231F20"/>
        </w:rPr>
        <w:t>En décembre</w:t>
      </w:r>
      <w:r>
        <w:rPr>
          <w:color w:val="231F20"/>
          <w:spacing w:val="-15"/>
        </w:rPr>
        <w:t> </w:t>
      </w:r>
      <w:r>
        <w:rPr>
          <w:color w:val="231F20"/>
        </w:rPr>
        <w:t>1963, de violentes répressions sont exercées sur les Tutsi</w:t>
      </w:r>
      <w:r>
        <w:rPr>
          <w:color w:val="231F20"/>
          <w:spacing w:val="-11"/>
        </w:rPr>
        <w:t> </w:t>
      </w:r>
      <w:r>
        <w:rPr>
          <w:color w:val="231F20"/>
        </w:rPr>
        <w:t>: plusieurs milliers de Tutsi, élèves et professeurs, sont systématiquement</w:t>
      </w:r>
      <w:r>
        <w:rPr>
          <w:color w:val="231F20"/>
          <w:spacing w:val="-8"/>
        </w:rPr>
        <w:t> </w:t>
      </w:r>
      <w:r>
        <w:rPr>
          <w:color w:val="231F20"/>
        </w:rPr>
        <w:t>expulsés</w:t>
      </w:r>
      <w:r>
        <w:rPr>
          <w:color w:val="231F20"/>
          <w:spacing w:val="-8"/>
        </w:rPr>
        <w:t> </w:t>
      </w:r>
      <w:r>
        <w:rPr>
          <w:color w:val="231F20"/>
        </w:rPr>
        <w:t>de</w:t>
      </w:r>
      <w:r>
        <w:rPr>
          <w:color w:val="231F20"/>
          <w:spacing w:val="-10"/>
        </w:rPr>
        <w:t> </w:t>
      </w:r>
      <w:r>
        <w:rPr>
          <w:color w:val="231F20"/>
        </w:rPr>
        <w:t>l'enseignement,</w:t>
      </w:r>
      <w:r>
        <w:rPr>
          <w:color w:val="231F20"/>
          <w:spacing w:val="-8"/>
        </w:rPr>
        <w:t> </w:t>
      </w:r>
      <w:r>
        <w:rPr>
          <w:color w:val="231F20"/>
        </w:rPr>
        <w:t>quelques-uns</w:t>
      </w:r>
      <w:r>
        <w:rPr>
          <w:color w:val="231F20"/>
          <w:spacing w:val="-10"/>
        </w:rPr>
        <w:t> </w:t>
      </w:r>
      <w:r>
        <w:rPr>
          <w:color w:val="231F20"/>
        </w:rPr>
        <w:t>massacrés dans les établissements scolaires. Ces événements provoquent une nouvelle vague d'exode des Tutsi.</w:t>
      </w:r>
    </w:p>
    <w:p>
      <w:pPr>
        <w:pStyle w:val="BodyText"/>
        <w:spacing w:before="120"/>
        <w:ind w:right="105" w:firstLine="283"/>
      </w:pPr>
      <w:r>
        <w:rPr>
          <w:color w:val="231F20"/>
        </w:rPr>
        <w:t>Le</w:t>
      </w:r>
      <w:r>
        <w:rPr>
          <w:color w:val="231F20"/>
          <w:spacing w:val="-15"/>
        </w:rPr>
        <w:t> </w:t>
      </w:r>
      <w:r>
        <w:rPr>
          <w:color w:val="231F20"/>
        </w:rPr>
        <w:t>5</w:t>
      </w:r>
      <w:r>
        <w:rPr>
          <w:color w:val="231F20"/>
          <w:spacing w:val="-15"/>
        </w:rPr>
        <w:t> </w:t>
      </w:r>
      <w:r>
        <w:rPr>
          <w:color w:val="231F20"/>
        </w:rPr>
        <w:t>juillet</w:t>
      </w:r>
      <w:r>
        <w:rPr>
          <w:color w:val="231F20"/>
          <w:spacing w:val="-15"/>
        </w:rPr>
        <w:t> </w:t>
      </w:r>
      <w:r>
        <w:rPr>
          <w:color w:val="231F20"/>
        </w:rPr>
        <w:t>1973, Juvénal Habyarimana, premier chef d'état-major non-belge de l’Armée nationale, puis ministre de la Défense, sous la présidence de</w:t>
      </w:r>
      <w:r>
        <w:rPr>
          <w:color w:val="231F20"/>
          <w:spacing w:val="-14"/>
        </w:rPr>
        <w:t> </w:t>
      </w:r>
      <w:r>
        <w:rPr>
          <w:color w:val="231F20"/>
        </w:rPr>
        <w:t>Grégoire Kayibanda opère un coup d’Etat et prend le pouvoir. Il continue une politique pro-Hutu. Sans opposition, Juvénal Habyarimana</w:t>
      </w:r>
      <w:r>
        <w:rPr>
          <w:color w:val="231F20"/>
          <w:spacing w:val="-9"/>
        </w:rPr>
        <w:t> </w:t>
      </w:r>
      <w:r>
        <w:rPr>
          <w:color w:val="231F20"/>
        </w:rPr>
        <w:t>gagne</w:t>
      </w:r>
      <w:r>
        <w:rPr>
          <w:color w:val="231F20"/>
          <w:spacing w:val="-8"/>
        </w:rPr>
        <w:t> </w:t>
      </w:r>
      <w:r>
        <w:rPr>
          <w:color w:val="231F20"/>
        </w:rPr>
        <w:t>les</w:t>
      </w:r>
      <w:r>
        <w:rPr>
          <w:color w:val="231F20"/>
          <w:spacing w:val="-8"/>
        </w:rPr>
        <w:t> </w:t>
      </w:r>
      <w:r>
        <w:rPr>
          <w:color w:val="231F20"/>
        </w:rPr>
        <w:t>élections</w:t>
      </w:r>
      <w:r>
        <w:rPr>
          <w:color w:val="231F20"/>
          <w:spacing w:val="-9"/>
        </w:rPr>
        <w:t> </w:t>
      </w:r>
      <w:r>
        <w:rPr>
          <w:color w:val="231F20"/>
        </w:rPr>
        <w:t>présidentielles</w:t>
      </w:r>
      <w:r>
        <w:rPr>
          <w:color w:val="231F20"/>
          <w:spacing w:val="-8"/>
        </w:rPr>
        <w:t> </w:t>
      </w:r>
      <w:r>
        <w:rPr>
          <w:color w:val="231F20"/>
        </w:rPr>
        <w:t>en</w:t>
      </w:r>
      <w:r>
        <w:rPr>
          <w:color w:val="231F20"/>
          <w:spacing w:val="-9"/>
        </w:rPr>
        <w:t> </w:t>
      </w:r>
      <w:r>
        <w:rPr>
          <w:color w:val="231F20"/>
        </w:rPr>
        <w:t>1978</w:t>
      </w:r>
      <w:r>
        <w:rPr>
          <w:color w:val="231F20"/>
          <w:spacing w:val="-8"/>
        </w:rPr>
        <w:t> </w:t>
      </w:r>
      <w:r>
        <w:rPr>
          <w:color w:val="231F20"/>
        </w:rPr>
        <w:t>puis</w:t>
      </w:r>
      <w:r>
        <w:rPr>
          <w:color w:val="231F20"/>
          <w:spacing w:val="-8"/>
        </w:rPr>
        <w:t> </w:t>
      </w:r>
      <w:r>
        <w:rPr>
          <w:color w:val="231F20"/>
        </w:rPr>
        <w:t>en</w:t>
      </w:r>
      <w:r>
        <w:rPr>
          <w:color w:val="231F20"/>
          <w:spacing w:val="-6"/>
        </w:rPr>
        <w:t> </w:t>
      </w:r>
      <w:r>
        <w:rPr>
          <w:color w:val="231F20"/>
        </w:rPr>
        <w:t>1983.</w:t>
      </w:r>
    </w:p>
    <w:p>
      <w:pPr>
        <w:pStyle w:val="BodyText"/>
        <w:spacing w:before="120"/>
        <w:ind w:right="110" w:firstLine="283"/>
      </w:pPr>
      <w:r>
        <w:rPr>
          <w:color w:val="231F20"/>
        </w:rPr>
        <w:t>En 1987, les exilés Tutsi s'organisent en Ouganda et créent le Front patriotique rwandais (FPR).</w:t>
      </w:r>
    </w:p>
    <w:p>
      <w:pPr>
        <w:pStyle w:val="BodyText"/>
        <w:spacing w:before="120"/>
        <w:ind w:right="103" w:firstLine="283"/>
      </w:pPr>
      <w:r>
        <w:rPr>
          <w:color w:val="231F20"/>
        </w:rPr>
        <w:t>En</w:t>
      </w:r>
      <w:r>
        <w:rPr>
          <w:color w:val="231F20"/>
          <w:spacing w:val="-10"/>
        </w:rPr>
        <w:t> </w:t>
      </w:r>
      <w:r>
        <w:rPr>
          <w:color w:val="231F20"/>
        </w:rPr>
        <w:t>1988</w:t>
      </w:r>
      <w:r>
        <w:rPr>
          <w:color w:val="231F20"/>
          <w:spacing w:val="-12"/>
        </w:rPr>
        <w:t> </w:t>
      </w:r>
      <w:r>
        <w:rPr>
          <w:color w:val="231F20"/>
        </w:rPr>
        <w:t>Habyarimana</w:t>
      </w:r>
      <w:r>
        <w:rPr>
          <w:color w:val="231F20"/>
          <w:spacing w:val="-10"/>
        </w:rPr>
        <w:t> </w:t>
      </w:r>
      <w:r>
        <w:rPr>
          <w:color w:val="231F20"/>
        </w:rPr>
        <w:t>est</w:t>
      </w:r>
      <w:r>
        <w:rPr>
          <w:color w:val="231F20"/>
          <w:spacing w:val="-12"/>
        </w:rPr>
        <w:t> </w:t>
      </w:r>
      <w:r>
        <w:rPr>
          <w:color w:val="231F20"/>
        </w:rPr>
        <w:t>encore</w:t>
      </w:r>
      <w:r>
        <w:rPr>
          <w:color w:val="231F20"/>
          <w:spacing w:val="-11"/>
        </w:rPr>
        <w:t> </w:t>
      </w:r>
      <w:r>
        <w:rPr>
          <w:color w:val="231F20"/>
        </w:rPr>
        <w:t>élu.</w:t>
      </w:r>
      <w:r>
        <w:rPr>
          <w:color w:val="231F20"/>
          <w:spacing w:val="-12"/>
        </w:rPr>
        <w:t> </w:t>
      </w:r>
      <w:r>
        <w:rPr>
          <w:color w:val="231F20"/>
        </w:rPr>
        <w:t>Sa</w:t>
      </w:r>
      <w:r>
        <w:rPr>
          <w:color w:val="231F20"/>
          <w:spacing w:val="-10"/>
        </w:rPr>
        <w:t> </w:t>
      </w:r>
      <w:r>
        <w:rPr>
          <w:color w:val="231F20"/>
        </w:rPr>
        <w:t>politique</w:t>
      </w:r>
      <w:r>
        <w:rPr>
          <w:color w:val="231F20"/>
          <w:spacing w:val="-12"/>
        </w:rPr>
        <w:t> </w:t>
      </w:r>
      <w:r>
        <w:rPr>
          <w:color w:val="231F20"/>
        </w:rPr>
        <w:t>contre</w:t>
      </w:r>
      <w:r>
        <w:rPr>
          <w:color w:val="231F20"/>
          <w:spacing w:val="-10"/>
        </w:rPr>
        <w:t> </w:t>
      </w:r>
      <w:r>
        <w:rPr>
          <w:color w:val="231F20"/>
        </w:rPr>
        <w:t>les</w:t>
      </w:r>
      <w:r>
        <w:rPr>
          <w:color w:val="231F20"/>
          <w:spacing w:val="-12"/>
        </w:rPr>
        <w:t> </w:t>
      </w:r>
      <w:r>
        <w:rPr>
          <w:color w:val="231F20"/>
        </w:rPr>
        <w:t>Tutsi</w:t>
      </w:r>
      <w:r>
        <w:rPr>
          <w:color w:val="231F20"/>
          <w:spacing w:val="-10"/>
        </w:rPr>
        <w:t> </w:t>
      </w:r>
      <w:r>
        <w:rPr>
          <w:color w:val="231F20"/>
        </w:rPr>
        <w:t>se durcit. Le 1er octobre 1990, le FPR lance sa première offensive sur le Rwanda.</w:t>
      </w:r>
      <w:r>
        <w:rPr>
          <w:color w:val="231F20"/>
          <w:spacing w:val="-8"/>
        </w:rPr>
        <w:t> </w:t>
      </w:r>
      <w:r>
        <w:rPr>
          <w:color w:val="231F20"/>
        </w:rPr>
        <w:t>C’est</w:t>
      </w:r>
      <w:r>
        <w:rPr>
          <w:color w:val="231F20"/>
          <w:spacing w:val="-7"/>
        </w:rPr>
        <w:t> </w:t>
      </w:r>
      <w:r>
        <w:rPr>
          <w:color w:val="231F20"/>
        </w:rPr>
        <w:t>le</w:t>
      </w:r>
      <w:r>
        <w:rPr>
          <w:color w:val="231F20"/>
          <w:spacing w:val="-6"/>
        </w:rPr>
        <w:t> </w:t>
      </w:r>
      <w:r>
        <w:rPr>
          <w:color w:val="231F20"/>
        </w:rPr>
        <w:t>début</w:t>
      </w:r>
      <w:r>
        <w:rPr>
          <w:color w:val="231F20"/>
          <w:spacing w:val="-5"/>
        </w:rPr>
        <w:t> </w:t>
      </w:r>
      <w:r>
        <w:rPr>
          <w:color w:val="231F20"/>
        </w:rPr>
        <w:t>de</w:t>
      </w:r>
      <w:r>
        <w:rPr>
          <w:color w:val="231F20"/>
          <w:spacing w:val="-6"/>
        </w:rPr>
        <w:t> </w:t>
      </w:r>
      <w:r>
        <w:rPr>
          <w:color w:val="231F20"/>
        </w:rPr>
        <w:t>la</w:t>
      </w:r>
      <w:r>
        <w:rPr>
          <w:color w:val="231F20"/>
          <w:spacing w:val="-6"/>
        </w:rPr>
        <w:t> </w:t>
      </w:r>
      <w:r>
        <w:rPr>
          <w:color w:val="231F20"/>
        </w:rPr>
        <w:t>guerre</w:t>
      </w:r>
      <w:r>
        <w:rPr>
          <w:color w:val="231F20"/>
          <w:spacing w:val="-6"/>
        </w:rPr>
        <w:t> </w:t>
      </w:r>
      <w:r>
        <w:rPr>
          <w:color w:val="231F20"/>
        </w:rPr>
        <w:t>civile.</w:t>
      </w:r>
      <w:r>
        <w:rPr>
          <w:color w:val="231F20"/>
          <w:spacing w:val="-7"/>
        </w:rPr>
        <w:t> </w:t>
      </w:r>
      <w:r>
        <w:rPr>
          <w:color w:val="231F20"/>
        </w:rPr>
        <w:t>Juvénal</w:t>
      </w:r>
      <w:r>
        <w:rPr>
          <w:color w:val="231F20"/>
          <w:spacing w:val="-7"/>
        </w:rPr>
        <w:t> </w:t>
      </w:r>
      <w:r>
        <w:rPr>
          <w:color w:val="231F20"/>
        </w:rPr>
        <w:t>Habyarimana</w:t>
      </w:r>
      <w:r>
        <w:rPr>
          <w:color w:val="231F20"/>
          <w:spacing w:val="-9"/>
        </w:rPr>
        <w:t> </w:t>
      </w:r>
      <w:r>
        <w:rPr>
          <w:color w:val="231F20"/>
        </w:rPr>
        <w:t>prend prétexte</w:t>
      </w:r>
      <w:r>
        <w:rPr>
          <w:color w:val="231F20"/>
          <w:spacing w:val="-15"/>
        </w:rPr>
        <w:t> </w:t>
      </w:r>
      <w:r>
        <w:rPr>
          <w:color w:val="231F20"/>
        </w:rPr>
        <w:t>de</w:t>
      </w:r>
      <w:r>
        <w:rPr>
          <w:color w:val="231F20"/>
          <w:spacing w:val="-13"/>
        </w:rPr>
        <w:t> </w:t>
      </w:r>
      <w:r>
        <w:rPr>
          <w:color w:val="231F20"/>
        </w:rPr>
        <w:t>cette</w:t>
      </w:r>
      <w:r>
        <w:rPr>
          <w:color w:val="231F20"/>
          <w:spacing w:val="-13"/>
        </w:rPr>
        <w:t> </w:t>
      </w:r>
      <w:r>
        <w:rPr>
          <w:color w:val="231F20"/>
        </w:rPr>
        <w:t>attaque</w:t>
      </w:r>
      <w:r>
        <w:rPr>
          <w:color w:val="231F20"/>
          <w:spacing w:val="-15"/>
        </w:rPr>
        <w:t> </w:t>
      </w:r>
      <w:r>
        <w:rPr>
          <w:color w:val="231F20"/>
        </w:rPr>
        <w:t>pour</w:t>
      </w:r>
      <w:r>
        <w:rPr>
          <w:color w:val="231F20"/>
          <w:spacing w:val="-13"/>
        </w:rPr>
        <w:t> </w:t>
      </w:r>
      <w:r>
        <w:rPr>
          <w:color w:val="231F20"/>
        </w:rPr>
        <w:t>perpétrer</w:t>
      </w:r>
      <w:r>
        <w:rPr>
          <w:color w:val="231F20"/>
          <w:spacing w:val="-13"/>
        </w:rPr>
        <w:t> </w:t>
      </w:r>
      <w:r>
        <w:rPr>
          <w:color w:val="231F20"/>
        </w:rPr>
        <w:t>des</w:t>
      </w:r>
      <w:r>
        <w:rPr>
          <w:color w:val="231F20"/>
          <w:spacing w:val="-15"/>
        </w:rPr>
        <w:t> </w:t>
      </w:r>
      <w:r>
        <w:rPr>
          <w:color w:val="231F20"/>
        </w:rPr>
        <w:t>exactions</w:t>
      </w:r>
      <w:r>
        <w:rPr>
          <w:color w:val="231F20"/>
          <w:spacing w:val="-13"/>
        </w:rPr>
        <w:t> </w:t>
      </w:r>
      <w:r>
        <w:rPr>
          <w:color w:val="231F20"/>
        </w:rPr>
        <w:t>contre</w:t>
      </w:r>
      <w:r>
        <w:rPr>
          <w:color w:val="231F20"/>
          <w:spacing w:val="-15"/>
        </w:rPr>
        <w:t> </w:t>
      </w:r>
      <w:r>
        <w:rPr>
          <w:color w:val="231F20"/>
        </w:rPr>
        <w:t>les</w:t>
      </w:r>
      <w:r>
        <w:rPr>
          <w:color w:val="231F20"/>
          <w:spacing w:val="-13"/>
        </w:rPr>
        <w:t> </w:t>
      </w:r>
      <w:r>
        <w:rPr>
          <w:color w:val="231F20"/>
        </w:rPr>
        <w:t>Tutsi</w:t>
      </w:r>
      <w:r>
        <w:rPr>
          <w:color w:val="231F20"/>
          <w:spacing w:val="-15"/>
        </w:rPr>
        <w:t> </w:t>
      </w:r>
      <w:r>
        <w:rPr>
          <w:color w:val="231F20"/>
        </w:rPr>
        <w:t>de l’intérieur, accusés de complicité avec les rebelles du FPR. Le gouvernement instaure également les cartes d’identité mentionnant l’appartenance au groupe ethnique.</w:t>
      </w:r>
    </w:p>
    <w:p>
      <w:pPr>
        <w:pStyle w:val="BodyText"/>
        <w:spacing w:before="121"/>
        <w:ind w:right="108" w:firstLine="283"/>
      </w:pPr>
      <w:r>
        <w:rPr>
          <w:color w:val="231F20"/>
          <w:spacing w:val="-2"/>
        </w:rPr>
        <w:t>Dans</w:t>
      </w:r>
      <w:r>
        <w:rPr>
          <w:color w:val="231F20"/>
          <w:spacing w:val="-13"/>
        </w:rPr>
        <w:t> </w:t>
      </w:r>
      <w:r>
        <w:rPr>
          <w:color w:val="231F20"/>
          <w:spacing w:val="-2"/>
        </w:rPr>
        <w:t>le</w:t>
      </w:r>
      <w:r>
        <w:rPr>
          <w:color w:val="231F20"/>
          <w:spacing w:val="-13"/>
        </w:rPr>
        <w:t> </w:t>
      </w:r>
      <w:r>
        <w:rPr>
          <w:color w:val="231F20"/>
          <w:spacing w:val="-2"/>
        </w:rPr>
        <w:t>but</w:t>
      </w:r>
      <w:r>
        <w:rPr>
          <w:color w:val="231F20"/>
          <w:spacing w:val="-13"/>
        </w:rPr>
        <w:t> </w:t>
      </w:r>
      <w:r>
        <w:rPr>
          <w:color w:val="231F20"/>
          <w:spacing w:val="-2"/>
        </w:rPr>
        <w:t>de</w:t>
      </w:r>
      <w:r>
        <w:rPr>
          <w:color w:val="231F20"/>
          <w:spacing w:val="-13"/>
        </w:rPr>
        <w:t> </w:t>
      </w:r>
      <w:r>
        <w:rPr>
          <w:color w:val="231F20"/>
          <w:spacing w:val="-2"/>
        </w:rPr>
        <w:t>mettre</w:t>
      </w:r>
      <w:r>
        <w:rPr>
          <w:color w:val="231F20"/>
          <w:spacing w:val="-13"/>
        </w:rPr>
        <w:t> </w:t>
      </w:r>
      <w:r>
        <w:rPr>
          <w:color w:val="231F20"/>
          <w:spacing w:val="-2"/>
        </w:rPr>
        <w:t>fin</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guerre,</w:t>
      </w:r>
      <w:r>
        <w:rPr>
          <w:color w:val="231F20"/>
          <w:spacing w:val="-13"/>
        </w:rPr>
        <w:t> </w:t>
      </w:r>
      <w:r>
        <w:rPr>
          <w:color w:val="231F20"/>
          <w:spacing w:val="-2"/>
        </w:rPr>
        <w:t>les</w:t>
      </w:r>
      <w:r>
        <w:rPr>
          <w:color w:val="231F20"/>
          <w:spacing w:val="-13"/>
        </w:rPr>
        <w:t> </w:t>
      </w:r>
      <w:r>
        <w:rPr>
          <w:color w:val="231F20"/>
          <w:spacing w:val="-2"/>
        </w:rPr>
        <w:t>accords</w:t>
      </w:r>
      <w:r>
        <w:rPr>
          <w:color w:val="231F20"/>
          <w:spacing w:val="-13"/>
        </w:rPr>
        <w:t> </w:t>
      </w:r>
      <w:r>
        <w:rPr>
          <w:color w:val="231F20"/>
          <w:spacing w:val="-2"/>
        </w:rPr>
        <w:t>d'Arusha</w:t>
      </w:r>
      <w:r>
        <w:rPr>
          <w:color w:val="231F20"/>
          <w:spacing w:val="-13"/>
        </w:rPr>
        <w:t> </w:t>
      </w:r>
      <w:r>
        <w:rPr>
          <w:color w:val="231F20"/>
          <w:spacing w:val="-2"/>
        </w:rPr>
        <w:t>démarrés</w:t>
      </w:r>
      <w:r>
        <w:rPr>
          <w:color w:val="231F20"/>
          <w:spacing w:val="-13"/>
        </w:rPr>
        <w:t> </w:t>
      </w:r>
      <w:r>
        <w:rPr>
          <w:color w:val="231F20"/>
          <w:spacing w:val="-2"/>
        </w:rPr>
        <w:t>en </w:t>
      </w:r>
      <w:r>
        <w:rPr>
          <w:color w:val="231F20"/>
        </w:rPr>
        <w:t>juin 1992 sont signés en août 1993 entre l'État Rwandais et le Front Patriotique Rwandais de Paul Kagame.</w:t>
      </w:r>
    </w:p>
    <w:p>
      <w:pPr>
        <w:pStyle w:val="BodyText"/>
        <w:spacing w:before="120"/>
        <w:ind w:right="110" w:firstLine="283"/>
      </w:pPr>
      <w:r>
        <w:rPr>
          <w:color w:val="231F20"/>
        </w:rPr>
        <w:t>Le</w:t>
      </w:r>
      <w:r>
        <w:rPr>
          <w:color w:val="231F20"/>
          <w:spacing w:val="-15"/>
        </w:rPr>
        <w:t> </w:t>
      </w:r>
      <w:r>
        <w:rPr>
          <w:color w:val="231F20"/>
        </w:rPr>
        <w:t>6</w:t>
      </w:r>
      <w:r>
        <w:rPr>
          <w:color w:val="231F20"/>
          <w:spacing w:val="-15"/>
        </w:rPr>
        <w:t> </w:t>
      </w:r>
      <w:r>
        <w:rPr>
          <w:color w:val="231F20"/>
        </w:rPr>
        <w:t>avril</w:t>
      </w:r>
      <w:r>
        <w:rPr>
          <w:color w:val="231F20"/>
          <w:spacing w:val="-15"/>
        </w:rPr>
        <w:t> </w:t>
      </w:r>
      <w:r>
        <w:rPr>
          <w:color w:val="231F20"/>
        </w:rPr>
        <w:t>1994,</w:t>
      </w:r>
      <w:r>
        <w:rPr>
          <w:color w:val="231F20"/>
          <w:spacing w:val="-15"/>
        </w:rPr>
        <w:t> </w:t>
      </w:r>
      <w:r>
        <w:rPr>
          <w:color w:val="231F20"/>
        </w:rPr>
        <w:t>ensemble</w:t>
      </w:r>
      <w:r>
        <w:rPr>
          <w:color w:val="231F20"/>
          <w:spacing w:val="-15"/>
        </w:rPr>
        <w:t> </w:t>
      </w:r>
      <w:r>
        <w:rPr>
          <w:color w:val="231F20"/>
        </w:rPr>
        <w:t>dans</w:t>
      </w:r>
      <w:r>
        <w:rPr>
          <w:color w:val="231F20"/>
          <w:spacing w:val="-15"/>
        </w:rPr>
        <w:t> </w:t>
      </w:r>
      <w:r>
        <w:rPr>
          <w:color w:val="231F20"/>
        </w:rPr>
        <w:t>le</w:t>
      </w:r>
      <w:r>
        <w:rPr>
          <w:color w:val="231F20"/>
          <w:spacing w:val="-15"/>
        </w:rPr>
        <w:t> </w:t>
      </w:r>
      <w:r>
        <w:rPr>
          <w:color w:val="231F20"/>
        </w:rPr>
        <w:t>même</w:t>
      </w:r>
      <w:r>
        <w:rPr>
          <w:color w:val="231F20"/>
          <w:spacing w:val="-13"/>
        </w:rPr>
        <w:t> </w:t>
      </w:r>
      <w:r>
        <w:rPr>
          <w:color w:val="231F20"/>
        </w:rPr>
        <w:t>avion,</w:t>
      </w:r>
      <w:r>
        <w:rPr>
          <w:color w:val="231F20"/>
          <w:spacing w:val="-15"/>
        </w:rPr>
        <w:t> </w:t>
      </w:r>
      <w:r>
        <w:rPr>
          <w:color w:val="231F20"/>
        </w:rPr>
        <w:t>le</w:t>
      </w:r>
      <w:r>
        <w:rPr>
          <w:color w:val="231F20"/>
          <w:spacing w:val="-14"/>
        </w:rPr>
        <w:t> </w:t>
      </w:r>
      <w:r>
        <w:rPr>
          <w:color w:val="231F20"/>
        </w:rPr>
        <w:t>Président</w:t>
      </w:r>
      <w:r>
        <w:rPr>
          <w:color w:val="231F20"/>
          <w:spacing w:val="-14"/>
        </w:rPr>
        <w:t> </w:t>
      </w:r>
      <w:r>
        <w:rPr>
          <w:color w:val="231F20"/>
        </w:rPr>
        <w:t>rwandais Juvénal Habyarimana et le nouveau Président du Burundi Cyprien </w:t>
      </w:r>
      <w:r>
        <w:rPr>
          <w:color w:val="231F20"/>
          <w:spacing w:val="-2"/>
        </w:rPr>
        <w:t>Ntaryamira</w:t>
      </w:r>
      <w:r>
        <w:rPr>
          <w:color w:val="231F20"/>
          <w:spacing w:val="-13"/>
        </w:rPr>
        <w:t> </w:t>
      </w:r>
      <w:r>
        <w:rPr>
          <w:color w:val="231F20"/>
          <w:spacing w:val="-2"/>
        </w:rPr>
        <w:t>meurent</w:t>
      </w:r>
      <w:r>
        <w:rPr>
          <w:color w:val="231F20"/>
          <w:spacing w:val="-13"/>
        </w:rPr>
        <w:t> </w:t>
      </w:r>
      <w:r>
        <w:rPr>
          <w:color w:val="231F20"/>
          <w:spacing w:val="-2"/>
        </w:rPr>
        <w:t>dans</w:t>
      </w:r>
      <w:r>
        <w:rPr>
          <w:color w:val="231F20"/>
          <w:spacing w:val="-13"/>
        </w:rPr>
        <w:t> </w:t>
      </w:r>
      <w:r>
        <w:rPr>
          <w:color w:val="231F20"/>
          <w:spacing w:val="-2"/>
        </w:rPr>
        <w:t>un</w:t>
      </w:r>
      <w:r>
        <w:rPr>
          <w:color w:val="231F20"/>
          <w:spacing w:val="-13"/>
        </w:rPr>
        <w:t> </w:t>
      </w:r>
      <w:r>
        <w:rPr>
          <w:color w:val="231F20"/>
          <w:spacing w:val="-2"/>
        </w:rPr>
        <w:t>attentat</w:t>
      </w:r>
      <w:r>
        <w:rPr>
          <w:color w:val="231F20"/>
          <w:spacing w:val="-13"/>
        </w:rPr>
        <w:t> </w:t>
      </w:r>
      <w:r>
        <w:rPr>
          <w:color w:val="231F20"/>
          <w:spacing w:val="-2"/>
        </w:rPr>
        <w:t>visant</w:t>
      </w:r>
      <w:r>
        <w:rPr>
          <w:color w:val="231F20"/>
          <w:spacing w:val="-13"/>
        </w:rPr>
        <w:t> </w:t>
      </w:r>
      <w:r>
        <w:rPr>
          <w:color w:val="231F20"/>
          <w:spacing w:val="-2"/>
        </w:rPr>
        <w:t>l'avion</w:t>
      </w:r>
      <w:r>
        <w:rPr>
          <w:color w:val="231F20"/>
          <w:spacing w:val="-13"/>
        </w:rPr>
        <w:t> </w:t>
      </w:r>
      <w:r>
        <w:rPr>
          <w:color w:val="231F20"/>
          <w:spacing w:val="-2"/>
        </w:rPr>
        <w:t>présidentiel</w:t>
      </w:r>
      <w:r>
        <w:rPr>
          <w:color w:val="231F20"/>
          <w:spacing w:val="-13"/>
        </w:rPr>
        <w:t> </w:t>
      </w:r>
      <w:r>
        <w:rPr>
          <w:color w:val="231F20"/>
          <w:spacing w:val="-2"/>
        </w:rPr>
        <w:t>rwandais.</w:t>
      </w:r>
    </w:p>
    <w:p>
      <w:pPr>
        <w:spacing w:after="0"/>
        <w:sectPr>
          <w:pgSz w:w="8790" w:h="13610"/>
          <w:pgMar w:header="0" w:footer="802" w:top="1060" w:bottom="1000" w:left="880" w:right="880"/>
        </w:sectPr>
      </w:pPr>
    </w:p>
    <w:p>
      <w:pPr>
        <w:pStyle w:val="BodyText"/>
        <w:spacing w:before="66"/>
        <w:ind w:right="106" w:firstLine="283"/>
      </w:pPr>
      <w:r>
        <w:rPr>
          <w:color w:val="231F20"/>
        </w:rPr>
        <w:t>Dès</w:t>
      </w:r>
      <w:r>
        <w:rPr>
          <w:color w:val="231F20"/>
          <w:spacing w:val="-15"/>
        </w:rPr>
        <w:t> </w:t>
      </w:r>
      <w:r>
        <w:rPr>
          <w:color w:val="231F20"/>
        </w:rPr>
        <w:t>le</w:t>
      </w:r>
      <w:r>
        <w:rPr>
          <w:color w:val="231F20"/>
          <w:spacing w:val="-15"/>
        </w:rPr>
        <w:t> </w:t>
      </w:r>
      <w:r>
        <w:rPr>
          <w:color w:val="231F20"/>
        </w:rPr>
        <w:t>lendemain</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mort</w:t>
      </w:r>
      <w:r>
        <w:rPr>
          <w:color w:val="231F20"/>
          <w:spacing w:val="-15"/>
        </w:rPr>
        <w:t> </w:t>
      </w:r>
      <w:r>
        <w:rPr>
          <w:color w:val="231F20"/>
        </w:rPr>
        <w:t>du</w:t>
      </w:r>
      <w:r>
        <w:rPr>
          <w:color w:val="231F20"/>
          <w:spacing w:val="-15"/>
        </w:rPr>
        <w:t> </w:t>
      </w:r>
      <w:r>
        <w:rPr>
          <w:color w:val="231F20"/>
        </w:rPr>
        <w:t>Président</w:t>
      </w:r>
      <w:r>
        <w:rPr>
          <w:color w:val="231F20"/>
          <w:spacing w:val="-15"/>
        </w:rPr>
        <w:t> </w:t>
      </w:r>
      <w:r>
        <w:rPr>
          <w:color w:val="231F20"/>
        </w:rPr>
        <w:t>Habyarimana,</w:t>
      </w:r>
      <w:r>
        <w:rPr>
          <w:color w:val="231F20"/>
          <w:spacing w:val="-15"/>
        </w:rPr>
        <w:t> </w:t>
      </w:r>
      <w:r>
        <w:rPr>
          <w:color w:val="231F20"/>
        </w:rPr>
        <w:t>commencent des</w:t>
      </w:r>
      <w:r>
        <w:rPr>
          <w:color w:val="231F20"/>
          <w:spacing w:val="-15"/>
        </w:rPr>
        <w:t> </w:t>
      </w:r>
      <w:r>
        <w:rPr>
          <w:color w:val="231F20"/>
        </w:rPr>
        <w:t>massacres</w:t>
      </w:r>
      <w:r>
        <w:rPr>
          <w:color w:val="231F20"/>
          <w:spacing w:val="-15"/>
        </w:rPr>
        <w:t> </w:t>
      </w:r>
      <w:r>
        <w:rPr>
          <w:color w:val="231F20"/>
        </w:rPr>
        <w:t>à</w:t>
      </w:r>
      <w:r>
        <w:rPr>
          <w:color w:val="231F20"/>
          <w:spacing w:val="-15"/>
        </w:rPr>
        <w:t> </w:t>
      </w:r>
      <w:r>
        <w:rPr>
          <w:color w:val="231F20"/>
        </w:rPr>
        <w:t>grande</w:t>
      </w:r>
      <w:r>
        <w:rPr>
          <w:color w:val="231F20"/>
          <w:spacing w:val="-15"/>
        </w:rPr>
        <w:t> </w:t>
      </w:r>
      <w:r>
        <w:rPr>
          <w:color w:val="231F20"/>
        </w:rPr>
        <w:t>échelle</w:t>
      </w:r>
      <w:r>
        <w:rPr>
          <w:color w:val="231F20"/>
          <w:spacing w:val="-15"/>
        </w:rPr>
        <w:t> </w:t>
      </w:r>
      <w:r>
        <w:rPr>
          <w:color w:val="231F20"/>
        </w:rPr>
        <w:t>des</w:t>
      </w:r>
      <w:r>
        <w:rPr>
          <w:color w:val="231F20"/>
          <w:spacing w:val="-15"/>
        </w:rPr>
        <w:t> </w:t>
      </w:r>
      <w:r>
        <w:rPr>
          <w:color w:val="231F20"/>
        </w:rPr>
        <w:t>Tutsi.</w:t>
      </w:r>
      <w:r>
        <w:rPr>
          <w:color w:val="231F20"/>
          <w:spacing w:val="-15"/>
        </w:rPr>
        <w:t> </w:t>
      </w:r>
      <w:r>
        <w:rPr>
          <w:color w:val="231F20"/>
        </w:rPr>
        <w:t>Des</w:t>
      </w:r>
      <w:r>
        <w:rPr>
          <w:color w:val="231F20"/>
          <w:spacing w:val="-15"/>
        </w:rPr>
        <w:t> </w:t>
      </w:r>
      <w:r>
        <w:rPr>
          <w:color w:val="231F20"/>
        </w:rPr>
        <w:t>listes</w:t>
      </w:r>
      <w:r>
        <w:rPr>
          <w:color w:val="231F20"/>
          <w:spacing w:val="-15"/>
        </w:rPr>
        <w:t> </w:t>
      </w:r>
      <w:r>
        <w:rPr>
          <w:color w:val="231F20"/>
        </w:rPr>
        <w:t>des</w:t>
      </w:r>
      <w:r>
        <w:rPr>
          <w:color w:val="231F20"/>
          <w:spacing w:val="-15"/>
        </w:rPr>
        <w:t> </w:t>
      </w:r>
      <w:r>
        <w:rPr>
          <w:color w:val="231F20"/>
        </w:rPr>
        <w:t>personnes</w:t>
      </w:r>
      <w:r>
        <w:rPr>
          <w:color w:val="231F20"/>
          <w:spacing w:val="-14"/>
        </w:rPr>
        <w:t> </w:t>
      </w:r>
      <w:r>
        <w:rPr>
          <w:color w:val="231F20"/>
        </w:rPr>
        <w:t>à</w:t>
      </w:r>
      <w:r>
        <w:rPr>
          <w:color w:val="231F20"/>
          <w:spacing w:val="-15"/>
        </w:rPr>
        <w:t> </w:t>
      </w:r>
      <w:r>
        <w:rPr>
          <w:color w:val="231F20"/>
        </w:rPr>
        <w:t>tuer sont établies par les autorités dirigées par Théodore Sindikubwabo, désigné président du Gouvernement intérimaire.</w:t>
      </w:r>
    </w:p>
    <w:p>
      <w:pPr>
        <w:pStyle w:val="BodyText"/>
        <w:spacing w:before="120"/>
        <w:ind w:right="104" w:firstLine="283"/>
      </w:pPr>
      <w:r>
        <w:rPr>
          <w:color w:val="231F20"/>
        </w:rPr>
        <w:t>Le pouvoir s’appuie sur les médias gouvernementaux, la Radio- télévision</w:t>
      </w:r>
      <w:r>
        <w:rPr>
          <w:color w:val="231F20"/>
          <w:spacing w:val="-7"/>
        </w:rPr>
        <w:t> </w:t>
      </w:r>
      <w:r>
        <w:rPr>
          <w:color w:val="231F20"/>
        </w:rPr>
        <w:t>libre</w:t>
      </w:r>
      <w:r>
        <w:rPr>
          <w:color w:val="231F20"/>
          <w:spacing w:val="-6"/>
        </w:rPr>
        <w:t> </w:t>
      </w:r>
      <w:r>
        <w:rPr>
          <w:color w:val="231F20"/>
        </w:rPr>
        <w:t>des</w:t>
      </w:r>
      <w:r>
        <w:rPr>
          <w:color w:val="231F20"/>
          <w:spacing w:val="-5"/>
        </w:rPr>
        <w:t> </w:t>
      </w:r>
      <w:r>
        <w:rPr>
          <w:color w:val="231F20"/>
        </w:rPr>
        <w:t>Mille</w:t>
      </w:r>
      <w:r>
        <w:rPr>
          <w:color w:val="231F20"/>
          <w:spacing w:val="-6"/>
        </w:rPr>
        <w:t> </w:t>
      </w:r>
      <w:r>
        <w:rPr>
          <w:color w:val="231F20"/>
        </w:rPr>
        <w:t>collines</w:t>
      </w:r>
      <w:r>
        <w:rPr>
          <w:color w:val="231F20"/>
          <w:spacing w:val="-5"/>
        </w:rPr>
        <w:t> </w:t>
      </w:r>
      <w:r>
        <w:rPr>
          <w:color w:val="231F20"/>
        </w:rPr>
        <w:t>et</w:t>
      </w:r>
      <w:r>
        <w:rPr>
          <w:color w:val="231F20"/>
          <w:spacing w:val="-7"/>
        </w:rPr>
        <w:t> </w:t>
      </w:r>
      <w:r>
        <w:rPr>
          <w:color w:val="231F20"/>
        </w:rPr>
        <w:t>le</w:t>
      </w:r>
      <w:r>
        <w:rPr>
          <w:color w:val="231F20"/>
          <w:spacing w:val="-6"/>
        </w:rPr>
        <w:t> </w:t>
      </w:r>
      <w:r>
        <w:rPr>
          <w:color w:val="231F20"/>
        </w:rPr>
        <w:t>journal</w:t>
      </w:r>
      <w:r>
        <w:rPr>
          <w:color w:val="231F20"/>
          <w:spacing w:val="-5"/>
        </w:rPr>
        <w:t> </w:t>
      </w:r>
      <w:r>
        <w:rPr>
          <w:color w:val="231F20"/>
        </w:rPr>
        <w:t>bimensuel</w:t>
      </w:r>
      <w:r>
        <w:rPr>
          <w:color w:val="231F20"/>
          <w:spacing w:val="-15"/>
        </w:rPr>
        <w:t> </w:t>
      </w:r>
      <w:r>
        <w:rPr>
          <w:color w:val="231F20"/>
        </w:rPr>
        <w:t>Kangura</w:t>
      </w:r>
      <w:r>
        <w:rPr>
          <w:color w:val="231F20"/>
          <w:spacing w:val="-6"/>
        </w:rPr>
        <w:t> </w:t>
      </w:r>
      <w:r>
        <w:rPr>
          <w:color w:val="231F20"/>
        </w:rPr>
        <w:t>pour distiller</w:t>
      </w:r>
      <w:r>
        <w:rPr>
          <w:color w:val="231F20"/>
          <w:spacing w:val="-11"/>
        </w:rPr>
        <w:t> </w:t>
      </w:r>
      <w:r>
        <w:rPr>
          <w:color w:val="231F20"/>
        </w:rPr>
        <w:t>à</w:t>
      </w:r>
      <w:r>
        <w:rPr>
          <w:color w:val="231F20"/>
          <w:spacing w:val="-12"/>
        </w:rPr>
        <w:t> </w:t>
      </w:r>
      <w:r>
        <w:rPr>
          <w:color w:val="231F20"/>
        </w:rPr>
        <w:t>travers</w:t>
      </w:r>
      <w:r>
        <w:rPr>
          <w:color w:val="231F20"/>
          <w:spacing w:val="-12"/>
        </w:rPr>
        <w:t> </w:t>
      </w:r>
      <w:r>
        <w:rPr>
          <w:color w:val="231F20"/>
        </w:rPr>
        <w:t>le</w:t>
      </w:r>
      <w:r>
        <w:rPr>
          <w:color w:val="231F20"/>
          <w:spacing w:val="-12"/>
        </w:rPr>
        <w:t> </w:t>
      </w:r>
      <w:r>
        <w:rPr>
          <w:color w:val="231F20"/>
        </w:rPr>
        <w:t>pays</w:t>
      </w:r>
      <w:r>
        <w:rPr>
          <w:color w:val="231F20"/>
          <w:spacing w:val="-14"/>
        </w:rPr>
        <w:t> </w:t>
      </w:r>
      <w:r>
        <w:rPr>
          <w:color w:val="231F20"/>
        </w:rPr>
        <w:t>une</w:t>
      </w:r>
      <w:r>
        <w:rPr>
          <w:color w:val="231F20"/>
          <w:spacing w:val="-11"/>
        </w:rPr>
        <w:t> </w:t>
      </w:r>
      <w:r>
        <w:rPr>
          <w:color w:val="231F20"/>
        </w:rPr>
        <w:t>idéologie</w:t>
      </w:r>
      <w:r>
        <w:rPr>
          <w:color w:val="231F20"/>
          <w:spacing w:val="-12"/>
        </w:rPr>
        <w:t> </w:t>
      </w:r>
      <w:r>
        <w:rPr>
          <w:color w:val="231F20"/>
        </w:rPr>
        <w:t>de</w:t>
      </w:r>
      <w:r>
        <w:rPr>
          <w:color w:val="231F20"/>
          <w:spacing w:val="-11"/>
        </w:rPr>
        <w:t> </w:t>
      </w:r>
      <w:r>
        <w:rPr>
          <w:color w:val="231F20"/>
        </w:rPr>
        <w:t>haine</w:t>
      </w:r>
      <w:r>
        <w:rPr>
          <w:color w:val="231F20"/>
          <w:spacing w:val="-15"/>
        </w:rPr>
        <w:t> </w:t>
      </w:r>
      <w:r>
        <w:rPr>
          <w:color w:val="231F20"/>
        </w:rPr>
        <w:t>:</w:t>
      </w:r>
      <w:r>
        <w:rPr>
          <w:color w:val="231F20"/>
          <w:spacing w:val="-12"/>
        </w:rPr>
        <w:t> </w:t>
      </w:r>
      <w:r>
        <w:rPr>
          <w:color w:val="231F20"/>
        </w:rPr>
        <w:t>les</w:t>
      </w:r>
      <w:r>
        <w:rPr>
          <w:color w:val="231F20"/>
          <w:spacing w:val="-10"/>
        </w:rPr>
        <w:t> </w:t>
      </w:r>
      <w:r>
        <w:rPr>
          <w:color w:val="231F20"/>
        </w:rPr>
        <w:t>Tutsi</w:t>
      </w:r>
      <w:r>
        <w:rPr>
          <w:color w:val="231F20"/>
          <w:spacing w:val="-12"/>
        </w:rPr>
        <w:t> </w:t>
      </w:r>
      <w:r>
        <w:rPr>
          <w:color w:val="231F20"/>
        </w:rPr>
        <w:t>sont</w:t>
      </w:r>
      <w:r>
        <w:rPr>
          <w:color w:val="231F20"/>
          <w:spacing w:val="-12"/>
        </w:rPr>
        <w:t> </w:t>
      </w:r>
      <w:r>
        <w:rPr>
          <w:color w:val="231F20"/>
        </w:rPr>
        <w:t>qualifiés de « cancrelats » ou «</w:t>
      </w:r>
      <w:r>
        <w:rPr>
          <w:color w:val="231F20"/>
          <w:spacing w:val="-12"/>
        </w:rPr>
        <w:t> </w:t>
      </w:r>
      <w:r>
        <w:rPr>
          <w:color w:val="231F20"/>
        </w:rPr>
        <w:t>cafards</w:t>
      </w:r>
      <w:r>
        <w:rPr>
          <w:color w:val="231F20"/>
          <w:spacing w:val="-13"/>
        </w:rPr>
        <w:t> </w:t>
      </w:r>
      <w:r>
        <w:rPr>
          <w:color w:val="231F20"/>
        </w:rPr>
        <w:t>»à éliminer par la machette</w:t>
      </w:r>
      <w:r>
        <w:rPr>
          <w:color w:val="231F20"/>
          <w:spacing w:val="-14"/>
        </w:rPr>
        <w:t> </w:t>
      </w:r>
      <w:r>
        <w:rPr>
          <w:color w:val="231F20"/>
        </w:rPr>
        <w:t>; le journal Kangura publie le 10</w:t>
      </w:r>
      <w:r>
        <w:rPr>
          <w:color w:val="231F20"/>
          <w:spacing w:val="-13"/>
        </w:rPr>
        <w:t> </w:t>
      </w:r>
      <w:r>
        <w:rPr>
          <w:color w:val="231F20"/>
        </w:rPr>
        <w:t>décembre</w:t>
      </w:r>
      <w:r>
        <w:rPr>
          <w:color w:val="231F20"/>
          <w:spacing w:val="-15"/>
        </w:rPr>
        <w:t> </w:t>
      </w:r>
      <w:r>
        <w:rPr>
          <w:color w:val="231F20"/>
        </w:rPr>
        <w:t>1990, les «</w:t>
      </w:r>
      <w:r>
        <w:rPr>
          <w:color w:val="231F20"/>
          <w:spacing w:val="-14"/>
        </w:rPr>
        <w:t> </w:t>
      </w:r>
      <w:r>
        <w:rPr>
          <w:color w:val="231F20"/>
        </w:rPr>
        <w:t>Dix commandements du </w:t>
      </w:r>
      <w:r>
        <w:rPr>
          <w:color w:val="231F20"/>
          <w:spacing w:val="-4"/>
        </w:rPr>
        <w:t>Hutu</w:t>
      </w:r>
      <w:r>
        <w:rPr>
          <w:color w:val="231F20"/>
          <w:spacing w:val="4"/>
        </w:rPr>
        <w:t> </w:t>
      </w:r>
      <w:r>
        <w:rPr>
          <w:color w:val="231F20"/>
          <w:spacing w:val="-4"/>
        </w:rPr>
        <w:t>»</w:t>
      </w:r>
      <w:r>
        <w:rPr>
          <w:color w:val="76787A"/>
          <w:spacing w:val="-4"/>
          <w:vertAlign w:val="superscript"/>
        </w:rPr>
        <w:t>52</w:t>
      </w:r>
      <w:r>
        <w:rPr>
          <w:color w:val="231F20"/>
          <w:spacing w:val="-4"/>
          <w:vertAlign w:val="baseline"/>
        </w:rPr>
        <w:t>,</w:t>
      </w:r>
      <w:r>
        <w:rPr>
          <w:color w:val="231F20"/>
          <w:spacing w:val="-14"/>
          <w:vertAlign w:val="baseline"/>
        </w:rPr>
        <w:t> </w:t>
      </w:r>
      <w:r>
        <w:rPr>
          <w:color w:val="231F20"/>
          <w:spacing w:val="-4"/>
          <w:vertAlign w:val="baseline"/>
        </w:rPr>
        <w:t>un</w:t>
      </w:r>
      <w:r>
        <w:rPr>
          <w:color w:val="231F20"/>
          <w:spacing w:val="-15"/>
          <w:vertAlign w:val="baseline"/>
        </w:rPr>
        <w:t> </w:t>
      </w:r>
      <w:r>
        <w:rPr>
          <w:color w:val="231F20"/>
          <w:spacing w:val="-4"/>
          <w:vertAlign w:val="baseline"/>
        </w:rPr>
        <w:t>texte</w:t>
      </w:r>
      <w:r>
        <w:rPr>
          <w:color w:val="231F20"/>
          <w:spacing w:val="-14"/>
          <w:vertAlign w:val="baseline"/>
        </w:rPr>
        <w:t> </w:t>
      </w:r>
      <w:r>
        <w:rPr>
          <w:color w:val="231F20"/>
          <w:spacing w:val="-4"/>
          <w:vertAlign w:val="baseline"/>
        </w:rPr>
        <w:t>raciste</w:t>
      </w:r>
      <w:r>
        <w:rPr>
          <w:color w:val="231F20"/>
          <w:spacing w:val="-13"/>
          <w:vertAlign w:val="baseline"/>
        </w:rPr>
        <w:t> </w:t>
      </w:r>
      <w:r>
        <w:rPr>
          <w:color w:val="231F20"/>
          <w:spacing w:val="-4"/>
          <w:vertAlign w:val="baseline"/>
        </w:rPr>
        <w:t>anti-Tutsi</w:t>
      </w:r>
      <w:r>
        <w:rPr>
          <w:color w:val="231F20"/>
          <w:vertAlign w:val="baseline"/>
        </w:rPr>
        <w:t> </w:t>
      </w:r>
      <w:r>
        <w:rPr>
          <w:color w:val="231F20"/>
          <w:spacing w:val="-4"/>
          <w:vertAlign w:val="baseline"/>
        </w:rPr>
        <w:t>;</w:t>
      </w:r>
      <w:r>
        <w:rPr>
          <w:color w:val="231F20"/>
          <w:spacing w:val="-12"/>
          <w:vertAlign w:val="baseline"/>
        </w:rPr>
        <w:t> </w:t>
      </w:r>
      <w:r>
        <w:rPr>
          <w:color w:val="231F20"/>
          <w:spacing w:val="-4"/>
          <w:vertAlign w:val="baseline"/>
        </w:rPr>
        <w:t>une</w:t>
      </w:r>
      <w:r>
        <w:rPr>
          <w:color w:val="231F20"/>
          <w:spacing w:val="-15"/>
          <w:vertAlign w:val="baseline"/>
        </w:rPr>
        <w:t> </w:t>
      </w:r>
      <w:r>
        <w:rPr>
          <w:color w:val="231F20"/>
          <w:spacing w:val="-4"/>
          <w:vertAlign w:val="baseline"/>
        </w:rPr>
        <w:t>milice</w:t>
      </w:r>
      <w:r>
        <w:rPr>
          <w:color w:val="231F20"/>
          <w:spacing w:val="-14"/>
          <w:vertAlign w:val="baseline"/>
        </w:rPr>
        <w:t> </w:t>
      </w:r>
      <w:r>
        <w:rPr>
          <w:color w:val="231F20"/>
          <w:spacing w:val="-4"/>
          <w:vertAlign w:val="baseline"/>
        </w:rPr>
        <w:t>à</w:t>
      </w:r>
      <w:r>
        <w:rPr>
          <w:color w:val="231F20"/>
          <w:spacing w:val="-13"/>
          <w:vertAlign w:val="baseline"/>
        </w:rPr>
        <w:t> </w:t>
      </w:r>
      <w:r>
        <w:rPr>
          <w:color w:val="231F20"/>
          <w:spacing w:val="-4"/>
          <w:vertAlign w:val="baseline"/>
        </w:rPr>
        <w:t>la</w:t>
      </w:r>
      <w:r>
        <w:rPr>
          <w:color w:val="231F20"/>
          <w:spacing w:val="-14"/>
          <w:vertAlign w:val="baseline"/>
        </w:rPr>
        <w:t> </w:t>
      </w:r>
      <w:r>
        <w:rPr>
          <w:color w:val="231F20"/>
          <w:spacing w:val="-4"/>
          <w:vertAlign w:val="baseline"/>
        </w:rPr>
        <w:t>solde</w:t>
      </w:r>
      <w:r>
        <w:rPr>
          <w:color w:val="231F20"/>
          <w:spacing w:val="-13"/>
          <w:vertAlign w:val="baseline"/>
        </w:rPr>
        <w:t> </w:t>
      </w:r>
      <w:r>
        <w:rPr>
          <w:color w:val="231F20"/>
          <w:spacing w:val="-4"/>
          <w:vertAlign w:val="baseline"/>
        </w:rPr>
        <w:t>du</w:t>
      </w:r>
      <w:r>
        <w:rPr>
          <w:color w:val="231F20"/>
          <w:spacing w:val="-13"/>
          <w:vertAlign w:val="baseline"/>
        </w:rPr>
        <w:t> </w:t>
      </w:r>
      <w:r>
        <w:rPr>
          <w:color w:val="231F20"/>
          <w:spacing w:val="-4"/>
          <w:vertAlign w:val="baseline"/>
        </w:rPr>
        <w:t>pouvoir</w:t>
      </w:r>
      <w:r>
        <w:rPr>
          <w:color w:val="231F20"/>
          <w:spacing w:val="-15"/>
          <w:vertAlign w:val="baseline"/>
        </w:rPr>
        <w:t> </w:t>
      </w:r>
      <w:r>
        <w:rPr>
          <w:color w:val="231F20"/>
          <w:spacing w:val="-4"/>
          <w:vertAlign w:val="baseline"/>
        </w:rPr>
        <w:t>Hutu</w:t>
      </w:r>
    </w:p>
    <w:p>
      <w:pPr>
        <w:pStyle w:val="BodyText"/>
        <w:ind w:left="0"/>
        <w:jc w:val="left"/>
        <w:rPr>
          <w:sz w:val="20"/>
        </w:rPr>
      </w:pPr>
    </w:p>
    <w:p>
      <w:pPr>
        <w:pStyle w:val="BodyText"/>
        <w:spacing w:before="84"/>
        <w:ind w:left="0"/>
        <w:jc w:val="left"/>
        <w:rPr>
          <w:sz w:val="20"/>
        </w:rPr>
      </w:pPr>
      <w:r>
        <w:rPr/>
        <mc:AlternateContent>
          <mc:Choice Requires="wps">
            <w:drawing>
              <wp:anchor distT="0" distB="0" distL="0" distR="0" allowOverlap="1" layoutInCell="1" locked="0" behindDoc="1" simplePos="0" relativeHeight="487604736">
                <wp:simplePos x="0" y="0"/>
                <wp:positionH relativeFrom="page">
                  <wp:posOffset>629907</wp:posOffset>
                </wp:positionH>
                <wp:positionV relativeFrom="paragraph">
                  <wp:posOffset>214855</wp:posOffset>
                </wp:positionV>
                <wp:extent cx="1829435" cy="952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917725pt;width:144.020pt;height:.71997pt;mso-position-horizontal-relative:page;mso-position-vertical-relative:paragraph;z-index:-15711744;mso-wrap-distance-left:0;mso-wrap-distance-right:0" id="docshape46" filled="true" fillcolor="#231f20" stroked="false">
                <v:fill type="solid"/>
                <w10:wrap type="topAndBottom"/>
              </v:rect>
            </w:pict>
          </mc:Fallback>
        </mc:AlternateContent>
      </w:r>
    </w:p>
    <w:p>
      <w:pPr>
        <w:spacing w:line="229" w:lineRule="exact" w:before="94"/>
        <w:ind w:left="111" w:right="0" w:firstLine="0"/>
        <w:jc w:val="both"/>
        <w:rPr>
          <w:sz w:val="20"/>
        </w:rPr>
      </w:pPr>
      <w:r>
        <w:rPr>
          <w:color w:val="76787A"/>
          <w:spacing w:val="-4"/>
          <w:sz w:val="20"/>
          <w:vertAlign w:val="superscript"/>
        </w:rPr>
        <w:t>52</w:t>
      </w:r>
      <w:r>
        <w:rPr>
          <w:color w:val="231F20"/>
          <w:spacing w:val="-4"/>
          <w:sz w:val="20"/>
          <w:vertAlign w:val="baseline"/>
        </w:rPr>
        <w:t>Source:</w:t>
      </w:r>
      <w:r>
        <w:rPr>
          <w:color w:val="231F20"/>
          <w:spacing w:val="-3"/>
          <w:sz w:val="20"/>
          <w:vertAlign w:val="baseline"/>
        </w:rPr>
        <w:t> </w:t>
      </w:r>
      <w:r>
        <w:rPr>
          <w:color w:val="231F20"/>
          <w:spacing w:val="-4"/>
          <w:sz w:val="20"/>
          <w:vertAlign w:val="baseline"/>
        </w:rPr>
        <w:t>Jean-Pierre</w:t>
      </w:r>
      <w:r>
        <w:rPr>
          <w:color w:val="231F20"/>
          <w:spacing w:val="-2"/>
          <w:sz w:val="20"/>
          <w:vertAlign w:val="baseline"/>
        </w:rPr>
        <w:t> </w:t>
      </w:r>
      <w:r>
        <w:rPr>
          <w:color w:val="231F20"/>
          <w:spacing w:val="-4"/>
          <w:sz w:val="20"/>
          <w:vertAlign w:val="baseline"/>
        </w:rPr>
        <w:t>Chrétien</w:t>
      </w:r>
      <w:r>
        <w:rPr>
          <w:color w:val="231F20"/>
          <w:spacing w:val="-1"/>
          <w:sz w:val="20"/>
          <w:vertAlign w:val="baseline"/>
        </w:rPr>
        <w:t> </w:t>
      </w:r>
      <w:r>
        <w:rPr>
          <w:color w:val="231F20"/>
          <w:spacing w:val="-4"/>
          <w:sz w:val="20"/>
          <w:vertAlign w:val="baseline"/>
        </w:rPr>
        <w:t>et</w:t>
      </w:r>
      <w:r>
        <w:rPr>
          <w:color w:val="231F20"/>
          <w:spacing w:val="-1"/>
          <w:sz w:val="20"/>
          <w:vertAlign w:val="baseline"/>
        </w:rPr>
        <w:t> </w:t>
      </w:r>
      <w:r>
        <w:rPr>
          <w:color w:val="231F20"/>
          <w:spacing w:val="-4"/>
          <w:sz w:val="20"/>
          <w:vertAlign w:val="baseline"/>
        </w:rPr>
        <w:t>al.</w:t>
      </w:r>
      <w:r>
        <w:rPr>
          <w:color w:val="231F20"/>
          <w:spacing w:val="-2"/>
          <w:sz w:val="20"/>
          <w:vertAlign w:val="baseline"/>
        </w:rPr>
        <w:t> </w:t>
      </w:r>
      <w:r>
        <w:rPr>
          <w:color w:val="231F20"/>
          <w:spacing w:val="-4"/>
          <w:sz w:val="20"/>
          <w:vertAlign w:val="baseline"/>
        </w:rPr>
        <w:t>Les</w:t>
      </w:r>
      <w:r>
        <w:rPr>
          <w:color w:val="231F20"/>
          <w:sz w:val="20"/>
          <w:vertAlign w:val="baseline"/>
        </w:rPr>
        <w:t> </w:t>
      </w:r>
      <w:r>
        <w:rPr>
          <w:color w:val="231F20"/>
          <w:spacing w:val="-4"/>
          <w:sz w:val="20"/>
          <w:vertAlign w:val="baseline"/>
        </w:rPr>
        <w:t>médias</w:t>
      </w:r>
      <w:r>
        <w:rPr>
          <w:color w:val="231F20"/>
          <w:spacing w:val="-1"/>
          <w:sz w:val="20"/>
          <w:vertAlign w:val="baseline"/>
        </w:rPr>
        <w:t> </w:t>
      </w:r>
      <w:r>
        <w:rPr>
          <w:color w:val="231F20"/>
          <w:spacing w:val="-4"/>
          <w:sz w:val="20"/>
          <w:vertAlign w:val="baseline"/>
        </w:rPr>
        <w:t>du</w:t>
      </w:r>
      <w:r>
        <w:rPr>
          <w:color w:val="231F20"/>
          <w:sz w:val="20"/>
          <w:vertAlign w:val="baseline"/>
        </w:rPr>
        <w:t> </w:t>
      </w:r>
      <w:r>
        <w:rPr>
          <w:color w:val="231F20"/>
          <w:spacing w:val="-4"/>
          <w:sz w:val="20"/>
          <w:vertAlign w:val="baseline"/>
        </w:rPr>
        <w:t>génocide,</w:t>
      </w:r>
      <w:r>
        <w:rPr>
          <w:color w:val="231F20"/>
          <w:spacing w:val="-1"/>
          <w:sz w:val="20"/>
          <w:vertAlign w:val="baseline"/>
        </w:rPr>
        <w:t> </w:t>
      </w:r>
      <w:r>
        <w:rPr>
          <w:color w:val="231F20"/>
          <w:spacing w:val="-4"/>
          <w:sz w:val="20"/>
          <w:vertAlign w:val="baseline"/>
        </w:rPr>
        <w:t>page</w:t>
      </w:r>
      <w:r>
        <w:rPr>
          <w:color w:val="231F20"/>
          <w:spacing w:val="-2"/>
          <w:sz w:val="20"/>
          <w:vertAlign w:val="baseline"/>
        </w:rPr>
        <w:t> </w:t>
      </w:r>
      <w:r>
        <w:rPr>
          <w:color w:val="231F20"/>
          <w:spacing w:val="-4"/>
          <w:sz w:val="20"/>
          <w:vertAlign w:val="baseline"/>
        </w:rPr>
        <w:t>141-142.</w:t>
      </w:r>
    </w:p>
    <w:p>
      <w:pPr>
        <w:pStyle w:val="ListParagraph"/>
        <w:numPr>
          <w:ilvl w:val="0"/>
          <w:numId w:val="1"/>
        </w:numPr>
        <w:tabs>
          <w:tab w:pos="393" w:val="left" w:leader="none"/>
          <w:tab w:pos="395" w:val="left" w:leader="none"/>
        </w:tabs>
        <w:spacing w:line="240" w:lineRule="auto" w:before="0" w:after="0"/>
        <w:ind w:left="395" w:right="105" w:hanging="284"/>
        <w:jc w:val="both"/>
        <w:rPr>
          <w:sz w:val="20"/>
        </w:rPr>
      </w:pPr>
      <w:r>
        <w:rPr>
          <w:color w:val="231F20"/>
          <w:spacing w:val="-4"/>
          <w:sz w:val="20"/>
        </w:rPr>
        <w:t>Tout</w:t>
      </w:r>
      <w:r>
        <w:rPr>
          <w:color w:val="231F20"/>
          <w:spacing w:val="-6"/>
          <w:sz w:val="20"/>
        </w:rPr>
        <w:t> </w:t>
      </w:r>
      <w:r>
        <w:rPr>
          <w:color w:val="231F20"/>
          <w:spacing w:val="-4"/>
          <w:sz w:val="20"/>
        </w:rPr>
        <w:t>Muhutu</w:t>
      </w:r>
      <w:r>
        <w:rPr>
          <w:color w:val="231F20"/>
          <w:spacing w:val="-7"/>
          <w:sz w:val="20"/>
        </w:rPr>
        <w:t> </w:t>
      </w:r>
      <w:r>
        <w:rPr>
          <w:color w:val="231F20"/>
          <w:spacing w:val="-4"/>
          <w:sz w:val="20"/>
        </w:rPr>
        <w:t>(*)</w:t>
      </w:r>
      <w:r>
        <w:rPr>
          <w:color w:val="231F20"/>
          <w:spacing w:val="-8"/>
          <w:sz w:val="20"/>
        </w:rPr>
        <w:t> </w:t>
      </w:r>
      <w:r>
        <w:rPr>
          <w:color w:val="231F20"/>
          <w:spacing w:val="-4"/>
          <w:sz w:val="20"/>
        </w:rPr>
        <w:t>doit</w:t>
      </w:r>
      <w:r>
        <w:rPr>
          <w:color w:val="231F20"/>
          <w:spacing w:val="-6"/>
          <w:sz w:val="20"/>
        </w:rPr>
        <w:t> </w:t>
      </w:r>
      <w:r>
        <w:rPr>
          <w:color w:val="231F20"/>
          <w:spacing w:val="-4"/>
          <w:sz w:val="20"/>
        </w:rPr>
        <w:t>savoir</w:t>
      </w:r>
      <w:r>
        <w:rPr>
          <w:color w:val="231F20"/>
          <w:spacing w:val="-8"/>
          <w:sz w:val="20"/>
        </w:rPr>
        <w:t> </w:t>
      </w:r>
      <w:r>
        <w:rPr>
          <w:color w:val="231F20"/>
          <w:spacing w:val="-4"/>
          <w:sz w:val="20"/>
        </w:rPr>
        <w:t>que</w:t>
      </w:r>
      <w:r>
        <w:rPr>
          <w:color w:val="231F20"/>
          <w:spacing w:val="-6"/>
          <w:sz w:val="20"/>
        </w:rPr>
        <w:t> </w:t>
      </w:r>
      <w:r>
        <w:rPr>
          <w:color w:val="231F20"/>
          <w:spacing w:val="-4"/>
          <w:sz w:val="20"/>
        </w:rPr>
        <w:t>Umututsikazi</w:t>
      </w:r>
      <w:r>
        <w:rPr>
          <w:color w:val="231F20"/>
          <w:spacing w:val="-9"/>
          <w:sz w:val="20"/>
        </w:rPr>
        <w:t> </w:t>
      </w:r>
      <w:r>
        <w:rPr>
          <w:color w:val="231F20"/>
          <w:spacing w:val="-4"/>
          <w:sz w:val="20"/>
        </w:rPr>
        <w:t>(*)</w:t>
      </w:r>
      <w:r>
        <w:rPr>
          <w:color w:val="231F20"/>
          <w:spacing w:val="-8"/>
          <w:sz w:val="20"/>
        </w:rPr>
        <w:t> </w:t>
      </w:r>
      <w:r>
        <w:rPr>
          <w:color w:val="231F20"/>
          <w:spacing w:val="-4"/>
          <w:sz w:val="20"/>
        </w:rPr>
        <w:t>(la</w:t>
      </w:r>
      <w:r>
        <w:rPr>
          <w:color w:val="231F20"/>
          <w:spacing w:val="-8"/>
          <w:sz w:val="20"/>
        </w:rPr>
        <w:t> </w:t>
      </w:r>
      <w:r>
        <w:rPr>
          <w:color w:val="231F20"/>
          <w:spacing w:val="-4"/>
          <w:sz w:val="20"/>
        </w:rPr>
        <w:t>femme</w:t>
      </w:r>
      <w:r>
        <w:rPr>
          <w:color w:val="231F20"/>
          <w:spacing w:val="-6"/>
          <w:sz w:val="20"/>
        </w:rPr>
        <w:t> </w:t>
      </w:r>
      <w:r>
        <w:rPr>
          <w:color w:val="231F20"/>
          <w:spacing w:val="-4"/>
          <w:sz w:val="20"/>
        </w:rPr>
        <w:t>tutsi</w:t>
      </w:r>
      <w:r>
        <w:rPr>
          <w:color w:val="231F20"/>
          <w:spacing w:val="-5"/>
          <w:sz w:val="20"/>
        </w:rPr>
        <w:t> </w:t>
      </w:r>
      <w:r>
        <w:rPr>
          <w:color w:val="231F20"/>
          <w:spacing w:val="-4"/>
          <w:sz w:val="20"/>
        </w:rPr>
        <w:t>-</w:t>
      </w:r>
      <w:r>
        <w:rPr>
          <w:color w:val="231F20"/>
          <w:spacing w:val="-5"/>
          <w:sz w:val="20"/>
        </w:rPr>
        <w:t> </w:t>
      </w:r>
      <w:r>
        <w:rPr>
          <w:color w:val="231F20"/>
          <w:spacing w:val="-4"/>
          <w:sz w:val="20"/>
        </w:rPr>
        <w:t>NDLR)</w:t>
      </w:r>
      <w:r>
        <w:rPr>
          <w:color w:val="231F20"/>
          <w:spacing w:val="-8"/>
          <w:sz w:val="20"/>
        </w:rPr>
        <w:t> </w:t>
      </w:r>
      <w:r>
        <w:rPr>
          <w:color w:val="231F20"/>
          <w:spacing w:val="-4"/>
          <w:sz w:val="20"/>
        </w:rPr>
        <w:t>où</w:t>
      </w:r>
      <w:r>
        <w:rPr>
          <w:color w:val="231F20"/>
          <w:spacing w:val="-5"/>
          <w:sz w:val="20"/>
        </w:rPr>
        <w:t> </w:t>
      </w:r>
      <w:r>
        <w:rPr>
          <w:color w:val="231F20"/>
          <w:spacing w:val="-4"/>
          <w:sz w:val="20"/>
        </w:rPr>
        <w:t>qu'elle </w:t>
      </w:r>
      <w:r>
        <w:rPr>
          <w:color w:val="231F20"/>
          <w:spacing w:val="-2"/>
          <w:sz w:val="20"/>
        </w:rPr>
        <w:t>soit,</w:t>
      </w:r>
      <w:r>
        <w:rPr>
          <w:color w:val="231F20"/>
          <w:spacing w:val="-11"/>
          <w:sz w:val="20"/>
        </w:rPr>
        <w:t> </w:t>
      </w:r>
      <w:r>
        <w:rPr>
          <w:color w:val="231F20"/>
          <w:spacing w:val="-2"/>
          <w:sz w:val="20"/>
        </w:rPr>
        <w:t>travaille</w:t>
      </w:r>
      <w:r>
        <w:rPr>
          <w:color w:val="231F20"/>
          <w:spacing w:val="-10"/>
          <w:sz w:val="20"/>
        </w:rPr>
        <w:t> </w:t>
      </w:r>
      <w:r>
        <w:rPr>
          <w:color w:val="231F20"/>
          <w:spacing w:val="-2"/>
          <w:sz w:val="20"/>
        </w:rPr>
        <w:t>à</w:t>
      </w:r>
      <w:r>
        <w:rPr>
          <w:color w:val="231F20"/>
          <w:spacing w:val="-11"/>
          <w:sz w:val="20"/>
        </w:rPr>
        <w:t> </w:t>
      </w:r>
      <w:r>
        <w:rPr>
          <w:color w:val="231F20"/>
          <w:spacing w:val="-2"/>
          <w:sz w:val="20"/>
        </w:rPr>
        <w:t>la</w:t>
      </w:r>
      <w:r>
        <w:rPr>
          <w:color w:val="231F20"/>
          <w:spacing w:val="-10"/>
          <w:sz w:val="20"/>
        </w:rPr>
        <w:t> </w:t>
      </w:r>
      <w:r>
        <w:rPr>
          <w:color w:val="231F20"/>
          <w:spacing w:val="-2"/>
          <w:sz w:val="20"/>
        </w:rPr>
        <w:t>solde</w:t>
      </w:r>
      <w:r>
        <w:rPr>
          <w:color w:val="231F20"/>
          <w:spacing w:val="-11"/>
          <w:sz w:val="20"/>
        </w:rPr>
        <w:t> </w:t>
      </w:r>
      <w:r>
        <w:rPr>
          <w:color w:val="231F20"/>
          <w:spacing w:val="-2"/>
          <w:sz w:val="20"/>
        </w:rPr>
        <w:t>de</w:t>
      </w:r>
      <w:r>
        <w:rPr>
          <w:color w:val="231F20"/>
          <w:spacing w:val="-10"/>
          <w:sz w:val="20"/>
        </w:rPr>
        <w:t> </w:t>
      </w:r>
      <w:r>
        <w:rPr>
          <w:color w:val="231F20"/>
          <w:spacing w:val="-2"/>
          <w:sz w:val="20"/>
        </w:rPr>
        <w:t>son</w:t>
      </w:r>
      <w:r>
        <w:rPr>
          <w:color w:val="231F20"/>
          <w:spacing w:val="-11"/>
          <w:sz w:val="20"/>
        </w:rPr>
        <w:t> </w:t>
      </w:r>
      <w:r>
        <w:rPr>
          <w:color w:val="231F20"/>
          <w:spacing w:val="-2"/>
          <w:sz w:val="20"/>
        </w:rPr>
        <w:t>ethnie</w:t>
      </w:r>
      <w:r>
        <w:rPr>
          <w:color w:val="231F20"/>
          <w:spacing w:val="-10"/>
          <w:sz w:val="20"/>
        </w:rPr>
        <w:t> </w:t>
      </w:r>
      <w:r>
        <w:rPr>
          <w:color w:val="231F20"/>
          <w:spacing w:val="-2"/>
          <w:sz w:val="20"/>
        </w:rPr>
        <w:t>tutsi.</w:t>
      </w:r>
      <w:r>
        <w:rPr>
          <w:color w:val="231F20"/>
          <w:spacing w:val="-11"/>
          <w:sz w:val="20"/>
        </w:rPr>
        <w:t> </w:t>
      </w:r>
      <w:r>
        <w:rPr>
          <w:color w:val="231F20"/>
          <w:spacing w:val="-2"/>
          <w:sz w:val="20"/>
        </w:rPr>
        <w:t>Par</w:t>
      </w:r>
      <w:r>
        <w:rPr>
          <w:color w:val="231F20"/>
          <w:spacing w:val="-10"/>
          <w:sz w:val="20"/>
        </w:rPr>
        <w:t> </w:t>
      </w:r>
      <w:r>
        <w:rPr>
          <w:color w:val="231F20"/>
          <w:spacing w:val="-2"/>
          <w:sz w:val="20"/>
        </w:rPr>
        <w:t>conséquent</w:t>
      </w:r>
      <w:r>
        <w:rPr>
          <w:color w:val="231F20"/>
          <w:spacing w:val="-11"/>
          <w:sz w:val="20"/>
        </w:rPr>
        <w:t> </w:t>
      </w:r>
      <w:r>
        <w:rPr>
          <w:color w:val="231F20"/>
          <w:spacing w:val="-2"/>
          <w:sz w:val="20"/>
        </w:rPr>
        <w:t>est</w:t>
      </w:r>
      <w:r>
        <w:rPr>
          <w:color w:val="231F20"/>
          <w:spacing w:val="-10"/>
          <w:sz w:val="20"/>
        </w:rPr>
        <w:t> </w:t>
      </w:r>
      <w:r>
        <w:rPr>
          <w:color w:val="231F20"/>
          <w:spacing w:val="-2"/>
          <w:sz w:val="20"/>
        </w:rPr>
        <w:t>traître</w:t>
      </w:r>
      <w:r>
        <w:rPr>
          <w:color w:val="231F20"/>
          <w:spacing w:val="-11"/>
          <w:sz w:val="20"/>
        </w:rPr>
        <w:t> </w:t>
      </w:r>
      <w:r>
        <w:rPr>
          <w:color w:val="231F20"/>
          <w:spacing w:val="-2"/>
          <w:sz w:val="20"/>
        </w:rPr>
        <w:t>tout</w:t>
      </w:r>
      <w:r>
        <w:rPr>
          <w:color w:val="231F20"/>
          <w:spacing w:val="-10"/>
          <w:sz w:val="20"/>
        </w:rPr>
        <w:t> </w:t>
      </w:r>
      <w:r>
        <w:rPr>
          <w:color w:val="231F20"/>
          <w:spacing w:val="-2"/>
          <w:sz w:val="20"/>
        </w:rPr>
        <w:t>Muhutu</w:t>
      </w:r>
      <w:r>
        <w:rPr>
          <w:color w:val="231F20"/>
          <w:spacing w:val="-11"/>
          <w:sz w:val="20"/>
        </w:rPr>
        <w:t> </w:t>
      </w:r>
      <w:r>
        <w:rPr>
          <w:color w:val="231F20"/>
          <w:spacing w:val="-2"/>
          <w:sz w:val="20"/>
        </w:rPr>
        <w:t>qui </w:t>
      </w:r>
      <w:r>
        <w:rPr>
          <w:color w:val="231F20"/>
          <w:sz w:val="20"/>
        </w:rPr>
        <w:t>épouse une mututsikazi, qui fait d'une Umututsikazi sa concubine, qui fait d'une Umututsikazi sa secrétaire ou sa protégée.</w:t>
      </w:r>
    </w:p>
    <w:p>
      <w:pPr>
        <w:pStyle w:val="ListParagraph"/>
        <w:numPr>
          <w:ilvl w:val="0"/>
          <w:numId w:val="1"/>
        </w:numPr>
        <w:tabs>
          <w:tab w:pos="393" w:val="left" w:leader="none"/>
          <w:tab w:pos="395" w:val="left" w:leader="none"/>
        </w:tabs>
        <w:spacing w:line="240" w:lineRule="auto" w:before="0" w:after="0"/>
        <w:ind w:left="395" w:right="103" w:hanging="284"/>
        <w:jc w:val="both"/>
        <w:rPr>
          <w:sz w:val="20"/>
        </w:rPr>
      </w:pPr>
      <w:r>
        <w:rPr>
          <w:color w:val="231F20"/>
          <w:sz w:val="20"/>
        </w:rPr>
        <w:t>Tout Muhutu doit savoir que nos filles Bahutukazi sont plus dignes et plus consciencieuses</w:t>
      </w:r>
      <w:r>
        <w:rPr>
          <w:color w:val="231F20"/>
          <w:spacing w:val="-7"/>
          <w:sz w:val="20"/>
        </w:rPr>
        <w:t> </w:t>
      </w:r>
      <w:r>
        <w:rPr>
          <w:color w:val="231F20"/>
          <w:sz w:val="20"/>
        </w:rPr>
        <w:t>dans</w:t>
      </w:r>
      <w:r>
        <w:rPr>
          <w:color w:val="231F20"/>
          <w:spacing w:val="-8"/>
          <w:sz w:val="20"/>
        </w:rPr>
        <w:t> </w:t>
      </w:r>
      <w:r>
        <w:rPr>
          <w:color w:val="231F20"/>
          <w:sz w:val="20"/>
        </w:rPr>
        <w:t>leur</w:t>
      </w:r>
      <w:r>
        <w:rPr>
          <w:color w:val="231F20"/>
          <w:spacing w:val="-7"/>
          <w:sz w:val="20"/>
        </w:rPr>
        <w:t> </w:t>
      </w:r>
      <w:r>
        <w:rPr>
          <w:color w:val="231F20"/>
          <w:sz w:val="20"/>
        </w:rPr>
        <w:t>rôle</w:t>
      </w:r>
      <w:r>
        <w:rPr>
          <w:color w:val="231F20"/>
          <w:spacing w:val="-7"/>
          <w:sz w:val="20"/>
        </w:rPr>
        <w:t> </w:t>
      </w:r>
      <w:r>
        <w:rPr>
          <w:color w:val="231F20"/>
          <w:sz w:val="20"/>
        </w:rPr>
        <w:t>de</w:t>
      </w:r>
      <w:r>
        <w:rPr>
          <w:color w:val="231F20"/>
          <w:spacing w:val="-7"/>
          <w:sz w:val="20"/>
        </w:rPr>
        <w:t> </w:t>
      </w:r>
      <w:r>
        <w:rPr>
          <w:color w:val="231F20"/>
          <w:sz w:val="20"/>
        </w:rPr>
        <w:t>femme,</w:t>
      </w:r>
      <w:r>
        <w:rPr>
          <w:color w:val="231F20"/>
          <w:spacing w:val="-7"/>
          <w:sz w:val="20"/>
        </w:rPr>
        <w:t> </w:t>
      </w:r>
      <w:r>
        <w:rPr>
          <w:color w:val="231F20"/>
          <w:sz w:val="20"/>
        </w:rPr>
        <w:t>d'épouse</w:t>
      </w:r>
      <w:r>
        <w:rPr>
          <w:color w:val="231F20"/>
          <w:spacing w:val="-5"/>
          <w:sz w:val="20"/>
        </w:rPr>
        <w:t> </w:t>
      </w:r>
      <w:r>
        <w:rPr>
          <w:color w:val="231F20"/>
          <w:sz w:val="20"/>
        </w:rPr>
        <w:t>et</w:t>
      </w:r>
      <w:r>
        <w:rPr>
          <w:color w:val="231F20"/>
          <w:spacing w:val="-7"/>
          <w:sz w:val="20"/>
        </w:rPr>
        <w:t> </w:t>
      </w:r>
      <w:r>
        <w:rPr>
          <w:color w:val="231F20"/>
          <w:sz w:val="20"/>
        </w:rPr>
        <w:t>de</w:t>
      </w:r>
      <w:r>
        <w:rPr>
          <w:color w:val="231F20"/>
          <w:spacing w:val="-5"/>
          <w:sz w:val="20"/>
        </w:rPr>
        <w:t> </w:t>
      </w:r>
      <w:r>
        <w:rPr>
          <w:color w:val="231F20"/>
          <w:sz w:val="20"/>
        </w:rPr>
        <w:t>mère</w:t>
      </w:r>
      <w:r>
        <w:rPr>
          <w:color w:val="231F20"/>
          <w:spacing w:val="-7"/>
          <w:sz w:val="20"/>
        </w:rPr>
        <w:t> </w:t>
      </w:r>
      <w:r>
        <w:rPr>
          <w:color w:val="231F20"/>
          <w:sz w:val="20"/>
        </w:rPr>
        <w:t>de</w:t>
      </w:r>
      <w:r>
        <w:rPr>
          <w:color w:val="231F20"/>
          <w:spacing w:val="-7"/>
          <w:sz w:val="20"/>
        </w:rPr>
        <w:t> </w:t>
      </w:r>
      <w:r>
        <w:rPr>
          <w:color w:val="231F20"/>
          <w:sz w:val="20"/>
        </w:rPr>
        <w:t>famille.</w:t>
      </w:r>
      <w:r>
        <w:rPr>
          <w:color w:val="231F20"/>
          <w:spacing w:val="-6"/>
          <w:sz w:val="20"/>
        </w:rPr>
        <w:t> </w:t>
      </w:r>
      <w:r>
        <w:rPr>
          <w:color w:val="231F20"/>
          <w:sz w:val="20"/>
        </w:rPr>
        <w:t>Ne</w:t>
      </w:r>
      <w:r>
        <w:rPr>
          <w:color w:val="231F20"/>
          <w:spacing w:val="-7"/>
          <w:sz w:val="20"/>
        </w:rPr>
        <w:t> </w:t>
      </w:r>
      <w:r>
        <w:rPr>
          <w:color w:val="231F20"/>
          <w:sz w:val="20"/>
        </w:rPr>
        <w:t>sont- elles</w:t>
      </w:r>
      <w:r>
        <w:rPr>
          <w:color w:val="231F20"/>
          <w:spacing w:val="-3"/>
          <w:sz w:val="20"/>
        </w:rPr>
        <w:t> </w:t>
      </w:r>
      <w:r>
        <w:rPr>
          <w:color w:val="231F20"/>
          <w:sz w:val="20"/>
        </w:rPr>
        <w:t>pas jolies,</w:t>
      </w:r>
      <w:r>
        <w:rPr>
          <w:color w:val="231F20"/>
          <w:spacing w:val="-1"/>
          <w:sz w:val="20"/>
        </w:rPr>
        <w:t> </w:t>
      </w:r>
      <w:r>
        <w:rPr>
          <w:color w:val="231F20"/>
          <w:sz w:val="20"/>
        </w:rPr>
        <w:t>bonnes</w:t>
      </w:r>
      <w:r>
        <w:rPr>
          <w:color w:val="231F20"/>
          <w:spacing w:val="-3"/>
          <w:sz w:val="20"/>
        </w:rPr>
        <w:t> </w:t>
      </w:r>
      <w:r>
        <w:rPr>
          <w:color w:val="231F20"/>
          <w:sz w:val="20"/>
        </w:rPr>
        <w:t>secrétaires et</w:t>
      </w:r>
      <w:r>
        <w:rPr>
          <w:color w:val="231F20"/>
          <w:spacing w:val="-3"/>
          <w:sz w:val="20"/>
        </w:rPr>
        <w:t> </w:t>
      </w:r>
      <w:r>
        <w:rPr>
          <w:color w:val="231F20"/>
          <w:sz w:val="20"/>
        </w:rPr>
        <w:t>plus</w:t>
      </w:r>
      <w:r>
        <w:rPr>
          <w:color w:val="231F20"/>
          <w:spacing w:val="-3"/>
          <w:sz w:val="20"/>
        </w:rPr>
        <w:t> </w:t>
      </w:r>
      <w:r>
        <w:rPr>
          <w:color w:val="231F20"/>
          <w:sz w:val="20"/>
        </w:rPr>
        <w:t>honnêtes!</w:t>
      </w:r>
    </w:p>
    <w:p>
      <w:pPr>
        <w:pStyle w:val="ListParagraph"/>
        <w:numPr>
          <w:ilvl w:val="0"/>
          <w:numId w:val="1"/>
        </w:numPr>
        <w:tabs>
          <w:tab w:pos="393" w:val="left" w:leader="none"/>
          <w:tab w:pos="395" w:val="left" w:leader="none"/>
        </w:tabs>
        <w:spacing w:line="240" w:lineRule="auto" w:before="0" w:after="0"/>
        <w:ind w:left="395" w:right="109" w:hanging="284"/>
        <w:jc w:val="both"/>
        <w:rPr>
          <w:sz w:val="20"/>
        </w:rPr>
      </w:pPr>
      <w:r>
        <w:rPr>
          <w:color w:val="231F20"/>
          <w:spacing w:val="-4"/>
          <w:sz w:val="20"/>
        </w:rPr>
        <w:t>Bahutukazi</w:t>
      </w:r>
      <w:r>
        <w:rPr>
          <w:color w:val="231F20"/>
          <w:spacing w:val="-5"/>
          <w:sz w:val="20"/>
        </w:rPr>
        <w:t> </w:t>
      </w:r>
      <w:r>
        <w:rPr>
          <w:color w:val="231F20"/>
          <w:spacing w:val="-4"/>
          <w:sz w:val="20"/>
        </w:rPr>
        <w:t>(femmes</w:t>
      </w:r>
      <w:r>
        <w:rPr>
          <w:color w:val="231F20"/>
          <w:spacing w:val="-6"/>
          <w:sz w:val="20"/>
        </w:rPr>
        <w:t> </w:t>
      </w:r>
      <w:r>
        <w:rPr>
          <w:color w:val="231F20"/>
          <w:spacing w:val="-4"/>
          <w:sz w:val="20"/>
        </w:rPr>
        <w:t>tutsi</w:t>
      </w:r>
      <w:r>
        <w:rPr>
          <w:color w:val="231F20"/>
          <w:spacing w:val="-5"/>
          <w:sz w:val="20"/>
        </w:rPr>
        <w:t> </w:t>
      </w:r>
      <w:r>
        <w:rPr>
          <w:color w:val="231F20"/>
          <w:spacing w:val="-4"/>
          <w:sz w:val="20"/>
        </w:rPr>
        <w:t>-</w:t>
      </w:r>
      <w:r>
        <w:rPr>
          <w:color w:val="231F20"/>
          <w:spacing w:val="-8"/>
          <w:sz w:val="20"/>
        </w:rPr>
        <w:t> </w:t>
      </w:r>
      <w:r>
        <w:rPr>
          <w:color w:val="231F20"/>
          <w:spacing w:val="-4"/>
          <w:sz w:val="20"/>
        </w:rPr>
        <w:t>NDLR), soyez</w:t>
      </w:r>
      <w:r>
        <w:rPr>
          <w:color w:val="231F20"/>
          <w:spacing w:val="-8"/>
          <w:sz w:val="20"/>
        </w:rPr>
        <w:t> </w:t>
      </w:r>
      <w:r>
        <w:rPr>
          <w:color w:val="231F20"/>
          <w:spacing w:val="-4"/>
          <w:sz w:val="20"/>
        </w:rPr>
        <w:t>vigilantes</w:t>
      </w:r>
      <w:r>
        <w:rPr>
          <w:color w:val="231F20"/>
          <w:spacing w:val="-6"/>
          <w:sz w:val="20"/>
        </w:rPr>
        <w:t> </w:t>
      </w:r>
      <w:r>
        <w:rPr>
          <w:color w:val="231F20"/>
          <w:spacing w:val="-4"/>
          <w:sz w:val="20"/>
        </w:rPr>
        <w:t>et</w:t>
      </w:r>
      <w:r>
        <w:rPr>
          <w:color w:val="231F20"/>
          <w:spacing w:val="-9"/>
          <w:sz w:val="20"/>
        </w:rPr>
        <w:t> </w:t>
      </w:r>
      <w:r>
        <w:rPr>
          <w:color w:val="231F20"/>
          <w:spacing w:val="-4"/>
          <w:sz w:val="20"/>
        </w:rPr>
        <w:t>ramenez vos</w:t>
      </w:r>
      <w:r>
        <w:rPr>
          <w:color w:val="231F20"/>
          <w:spacing w:val="-9"/>
          <w:sz w:val="20"/>
        </w:rPr>
        <w:t> </w:t>
      </w:r>
      <w:r>
        <w:rPr>
          <w:color w:val="231F20"/>
          <w:spacing w:val="-4"/>
          <w:sz w:val="20"/>
        </w:rPr>
        <w:t>maris,</w:t>
      </w:r>
      <w:r>
        <w:rPr>
          <w:color w:val="231F20"/>
          <w:spacing w:val="-5"/>
          <w:sz w:val="20"/>
        </w:rPr>
        <w:t> </w:t>
      </w:r>
      <w:r>
        <w:rPr>
          <w:color w:val="231F20"/>
          <w:spacing w:val="-4"/>
          <w:sz w:val="20"/>
        </w:rPr>
        <w:t>vos</w:t>
      </w:r>
      <w:r>
        <w:rPr>
          <w:color w:val="231F20"/>
          <w:spacing w:val="-6"/>
          <w:sz w:val="20"/>
        </w:rPr>
        <w:t> </w:t>
      </w:r>
      <w:r>
        <w:rPr>
          <w:color w:val="231F20"/>
          <w:spacing w:val="-4"/>
          <w:sz w:val="20"/>
        </w:rPr>
        <w:t>frères </w:t>
      </w:r>
      <w:r>
        <w:rPr>
          <w:color w:val="231F20"/>
          <w:sz w:val="20"/>
        </w:rPr>
        <w:t>et vos fils à la raison.</w:t>
      </w:r>
    </w:p>
    <w:p>
      <w:pPr>
        <w:pStyle w:val="ListParagraph"/>
        <w:numPr>
          <w:ilvl w:val="0"/>
          <w:numId w:val="1"/>
        </w:numPr>
        <w:tabs>
          <w:tab w:pos="393" w:val="left" w:leader="none"/>
          <w:tab w:pos="395" w:val="left" w:leader="none"/>
        </w:tabs>
        <w:spacing w:line="240" w:lineRule="auto" w:before="1" w:after="0"/>
        <w:ind w:left="395" w:right="104" w:hanging="284"/>
        <w:jc w:val="both"/>
        <w:rPr>
          <w:sz w:val="20"/>
        </w:rPr>
      </w:pPr>
      <w:r>
        <w:rPr>
          <w:color w:val="231F20"/>
          <w:spacing w:val="-2"/>
          <w:sz w:val="20"/>
        </w:rPr>
        <w:t>Tout</w:t>
      </w:r>
      <w:r>
        <w:rPr>
          <w:color w:val="231F20"/>
          <w:spacing w:val="-9"/>
          <w:sz w:val="20"/>
        </w:rPr>
        <w:t> </w:t>
      </w:r>
      <w:r>
        <w:rPr>
          <w:color w:val="231F20"/>
          <w:spacing w:val="-2"/>
          <w:sz w:val="20"/>
        </w:rPr>
        <w:t>Muhutu</w:t>
      </w:r>
      <w:r>
        <w:rPr>
          <w:color w:val="231F20"/>
          <w:spacing w:val="-9"/>
          <w:sz w:val="20"/>
        </w:rPr>
        <w:t> </w:t>
      </w:r>
      <w:r>
        <w:rPr>
          <w:color w:val="231F20"/>
          <w:spacing w:val="-2"/>
          <w:sz w:val="20"/>
        </w:rPr>
        <w:t>doit</w:t>
      </w:r>
      <w:r>
        <w:rPr>
          <w:color w:val="231F20"/>
          <w:spacing w:val="-8"/>
          <w:sz w:val="20"/>
        </w:rPr>
        <w:t> </w:t>
      </w:r>
      <w:r>
        <w:rPr>
          <w:color w:val="231F20"/>
          <w:spacing w:val="-2"/>
          <w:sz w:val="20"/>
        </w:rPr>
        <w:t>savoir</w:t>
      </w:r>
      <w:r>
        <w:rPr>
          <w:color w:val="231F20"/>
          <w:spacing w:val="-10"/>
          <w:sz w:val="20"/>
        </w:rPr>
        <w:t> </w:t>
      </w:r>
      <w:r>
        <w:rPr>
          <w:color w:val="231F20"/>
          <w:spacing w:val="-2"/>
          <w:sz w:val="20"/>
        </w:rPr>
        <w:t>que</w:t>
      </w:r>
      <w:r>
        <w:rPr>
          <w:color w:val="231F20"/>
          <w:spacing w:val="-8"/>
          <w:sz w:val="20"/>
        </w:rPr>
        <w:t> </w:t>
      </w:r>
      <w:r>
        <w:rPr>
          <w:color w:val="231F20"/>
          <w:spacing w:val="-2"/>
          <w:sz w:val="20"/>
        </w:rPr>
        <w:t>tout</w:t>
      </w:r>
      <w:r>
        <w:rPr>
          <w:color w:val="231F20"/>
          <w:spacing w:val="-8"/>
          <w:sz w:val="20"/>
        </w:rPr>
        <w:t> </w:t>
      </w:r>
      <w:r>
        <w:rPr>
          <w:color w:val="231F20"/>
          <w:spacing w:val="-2"/>
          <w:sz w:val="20"/>
        </w:rPr>
        <w:t>Mututsi</w:t>
      </w:r>
      <w:r>
        <w:rPr>
          <w:color w:val="231F20"/>
          <w:spacing w:val="-8"/>
          <w:sz w:val="20"/>
        </w:rPr>
        <w:t> </w:t>
      </w:r>
      <w:r>
        <w:rPr>
          <w:color w:val="231F20"/>
          <w:spacing w:val="-2"/>
          <w:sz w:val="20"/>
        </w:rPr>
        <w:t>est</w:t>
      </w:r>
      <w:r>
        <w:rPr>
          <w:color w:val="231F20"/>
          <w:spacing w:val="-10"/>
          <w:sz w:val="20"/>
        </w:rPr>
        <w:t> </w:t>
      </w:r>
      <w:r>
        <w:rPr>
          <w:color w:val="231F20"/>
          <w:spacing w:val="-2"/>
          <w:sz w:val="20"/>
        </w:rPr>
        <w:t>malhonnête</w:t>
      </w:r>
      <w:r>
        <w:rPr>
          <w:color w:val="231F20"/>
          <w:spacing w:val="-10"/>
          <w:sz w:val="20"/>
        </w:rPr>
        <w:t> </w:t>
      </w:r>
      <w:r>
        <w:rPr>
          <w:color w:val="231F20"/>
          <w:spacing w:val="-2"/>
          <w:sz w:val="20"/>
        </w:rPr>
        <w:t>dans</w:t>
      </w:r>
      <w:r>
        <w:rPr>
          <w:color w:val="231F20"/>
          <w:spacing w:val="-11"/>
          <w:sz w:val="20"/>
        </w:rPr>
        <w:t> </w:t>
      </w:r>
      <w:r>
        <w:rPr>
          <w:color w:val="231F20"/>
          <w:spacing w:val="-2"/>
          <w:sz w:val="20"/>
        </w:rPr>
        <w:t>les</w:t>
      </w:r>
      <w:r>
        <w:rPr>
          <w:color w:val="231F20"/>
          <w:spacing w:val="-8"/>
          <w:sz w:val="20"/>
        </w:rPr>
        <w:t> </w:t>
      </w:r>
      <w:r>
        <w:rPr>
          <w:color w:val="231F20"/>
          <w:spacing w:val="-2"/>
          <w:sz w:val="20"/>
        </w:rPr>
        <w:t>affaires.</w:t>
      </w:r>
      <w:r>
        <w:rPr>
          <w:color w:val="231F20"/>
          <w:spacing w:val="-8"/>
          <w:sz w:val="20"/>
        </w:rPr>
        <w:t> </w:t>
      </w:r>
      <w:r>
        <w:rPr>
          <w:color w:val="231F20"/>
          <w:spacing w:val="-2"/>
          <w:sz w:val="20"/>
        </w:rPr>
        <w:t>Il</w:t>
      </w:r>
      <w:r>
        <w:rPr>
          <w:color w:val="231F20"/>
          <w:spacing w:val="-10"/>
          <w:sz w:val="20"/>
        </w:rPr>
        <w:t> </w:t>
      </w:r>
      <w:r>
        <w:rPr>
          <w:color w:val="231F20"/>
          <w:spacing w:val="-2"/>
          <w:sz w:val="20"/>
        </w:rPr>
        <w:t>ne</w:t>
      </w:r>
      <w:r>
        <w:rPr>
          <w:color w:val="231F20"/>
          <w:spacing w:val="-10"/>
          <w:sz w:val="20"/>
        </w:rPr>
        <w:t> </w:t>
      </w:r>
      <w:r>
        <w:rPr>
          <w:color w:val="231F20"/>
          <w:spacing w:val="-2"/>
          <w:sz w:val="20"/>
        </w:rPr>
        <w:t>vise </w:t>
      </w:r>
      <w:r>
        <w:rPr>
          <w:color w:val="231F20"/>
          <w:sz w:val="20"/>
        </w:rPr>
        <w:t>que la suprématie de son ethnie. Par conséquent, est traître tout Muhutu:- qui</w:t>
      </w:r>
      <w:r>
        <w:rPr>
          <w:color w:val="231F20"/>
          <w:spacing w:val="-1"/>
          <w:sz w:val="20"/>
        </w:rPr>
        <w:t> </w:t>
      </w:r>
      <w:r>
        <w:rPr>
          <w:color w:val="231F20"/>
          <w:sz w:val="20"/>
        </w:rPr>
        <w:t>fait </w:t>
      </w:r>
      <w:r>
        <w:rPr>
          <w:color w:val="231F20"/>
          <w:spacing w:val="-4"/>
          <w:sz w:val="20"/>
        </w:rPr>
        <w:t>alliance avec les</w:t>
      </w:r>
      <w:r>
        <w:rPr>
          <w:color w:val="231F20"/>
          <w:spacing w:val="-5"/>
          <w:sz w:val="20"/>
        </w:rPr>
        <w:t> </w:t>
      </w:r>
      <w:r>
        <w:rPr>
          <w:color w:val="231F20"/>
          <w:spacing w:val="-4"/>
          <w:sz w:val="20"/>
        </w:rPr>
        <w:t>Batutsi dans ses affaires;- qui investit son argent ou l'argent de l'Etat </w:t>
      </w:r>
      <w:r>
        <w:rPr>
          <w:color w:val="231F20"/>
          <w:sz w:val="20"/>
        </w:rPr>
        <w:t>dans</w:t>
      </w:r>
      <w:r>
        <w:rPr>
          <w:color w:val="231F20"/>
          <w:spacing w:val="-11"/>
          <w:sz w:val="20"/>
        </w:rPr>
        <w:t> </w:t>
      </w:r>
      <w:r>
        <w:rPr>
          <w:color w:val="231F20"/>
          <w:sz w:val="20"/>
        </w:rPr>
        <w:t>une</w:t>
      </w:r>
      <w:r>
        <w:rPr>
          <w:color w:val="231F20"/>
          <w:spacing w:val="-9"/>
          <w:sz w:val="20"/>
        </w:rPr>
        <w:t> </w:t>
      </w:r>
      <w:r>
        <w:rPr>
          <w:color w:val="231F20"/>
          <w:sz w:val="20"/>
        </w:rPr>
        <w:t>entreprise</w:t>
      </w:r>
      <w:r>
        <w:rPr>
          <w:color w:val="231F20"/>
          <w:spacing w:val="-8"/>
          <w:sz w:val="20"/>
        </w:rPr>
        <w:t> </w:t>
      </w:r>
      <w:r>
        <w:rPr>
          <w:color w:val="231F20"/>
          <w:sz w:val="20"/>
        </w:rPr>
        <w:t>d'un</w:t>
      </w:r>
      <w:r>
        <w:rPr>
          <w:color w:val="231F20"/>
          <w:spacing w:val="-8"/>
          <w:sz w:val="20"/>
        </w:rPr>
        <w:t> </w:t>
      </w:r>
      <w:r>
        <w:rPr>
          <w:color w:val="231F20"/>
          <w:sz w:val="20"/>
        </w:rPr>
        <w:t>Mututsi;-</w:t>
      </w:r>
      <w:r>
        <w:rPr>
          <w:color w:val="231F20"/>
          <w:spacing w:val="-8"/>
          <w:sz w:val="20"/>
        </w:rPr>
        <w:t> </w:t>
      </w:r>
      <w:r>
        <w:rPr>
          <w:color w:val="231F20"/>
          <w:sz w:val="20"/>
        </w:rPr>
        <w:t>qui</w:t>
      </w:r>
      <w:r>
        <w:rPr>
          <w:color w:val="231F20"/>
          <w:spacing w:val="-9"/>
          <w:sz w:val="20"/>
        </w:rPr>
        <w:t> </w:t>
      </w:r>
      <w:r>
        <w:rPr>
          <w:color w:val="231F20"/>
          <w:sz w:val="20"/>
        </w:rPr>
        <w:t>prête</w:t>
      </w:r>
      <w:r>
        <w:rPr>
          <w:color w:val="231F20"/>
          <w:spacing w:val="-10"/>
          <w:sz w:val="20"/>
        </w:rPr>
        <w:t> </w:t>
      </w:r>
      <w:r>
        <w:rPr>
          <w:color w:val="231F20"/>
          <w:sz w:val="20"/>
        </w:rPr>
        <w:t>ou</w:t>
      </w:r>
      <w:r>
        <w:rPr>
          <w:color w:val="231F20"/>
          <w:spacing w:val="-8"/>
          <w:sz w:val="20"/>
        </w:rPr>
        <w:t> </w:t>
      </w:r>
      <w:r>
        <w:rPr>
          <w:color w:val="231F20"/>
          <w:sz w:val="20"/>
        </w:rPr>
        <w:t>emprunte</w:t>
      </w:r>
      <w:r>
        <w:rPr>
          <w:color w:val="231F20"/>
          <w:spacing w:val="-10"/>
          <w:sz w:val="20"/>
        </w:rPr>
        <w:t> </w:t>
      </w:r>
      <w:r>
        <w:rPr>
          <w:color w:val="231F20"/>
          <w:sz w:val="20"/>
        </w:rPr>
        <w:t>de</w:t>
      </w:r>
      <w:r>
        <w:rPr>
          <w:color w:val="231F20"/>
          <w:spacing w:val="-8"/>
          <w:sz w:val="20"/>
        </w:rPr>
        <w:t> </w:t>
      </w:r>
      <w:r>
        <w:rPr>
          <w:color w:val="231F20"/>
          <w:sz w:val="20"/>
        </w:rPr>
        <w:t>l'argent</w:t>
      </w:r>
      <w:r>
        <w:rPr>
          <w:color w:val="231F20"/>
          <w:spacing w:val="-10"/>
          <w:sz w:val="20"/>
        </w:rPr>
        <w:t> </w:t>
      </w:r>
      <w:r>
        <w:rPr>
          <w:color w:val="231F20"/>
          <w:sz w:val="20"/>
        </w:rPr>
        <w:t>à</w:t>
      </w:r>
      <w:r>
        <w:rPr>
          <w:color w:val="231F20"/>
          <w:spacing w:val="-9"/>
          <w:sz w:val="20"/>
        </w:rPr>
        <w:t> </w:t>
      </w:r>
      <w:r>
        <w:rPr>
          <w:color w:val="231F20"/>
          <w:sz w:val="20"/>
        </w:rPr>
        <w:t>un</w:t>
      </w:r>
      <w:r>
        <w:rPr>
          <w:color w:val="231F20"/>
          <w:spacing w:val="-8"/>
          <w:sz w:val="20"/>
        </w:rPr>
        <w:t> </w:t>
      </w:r>
      <w:r>
        <w:rPr>
          <w:color w:val="231F20"/>
          <w:sz w:val="20"/>
        </w:rPr>
        <w:t>Mututsi;- qui accorde aux Batutsi des faveurs dans les affaires (l'octroi des licences d'importation, des prêts bancaires, des parcelles de construction, des marchés </w:t>
      </w:r>
      <w:r>
        <w:rPr>
          <w:color w:val="231F20"/>
          <w:spacing w:val="-2"/>
          <w:sz w:val="20"/>
        </w:rPr>
        <w:t>publics...).</w:t>
      </w:r>
    </w:p>
    <w:p>
      <w:pPr>
        <w:pStyle w:val="ListParagraph"/>
        <w:numPr>
          <w:ilvl w:val="0"/>
          <w:numId w:val="1"/>
        </w:numPr>
        <w:tabs>
          <w:tab w:pos="395" w:val="left" w:leader="none"/>
          <w:tab w:pos="440" w:val="left" w:leader="none"/>
        </w:tabs>
        <w:spacing w:line="240" w:lineRule="auto" w:before="0" w:after="0"/>
        <w:ind w:left="395" w:right="105" w:hanging="284"/>
        <w:jc w:val="both"/>
        <w:rPr>
          <w:sz w:val="20"/>
        </w:rPr>
      </w:pPr>
      <w:r>
        <w:rPr>
          <w:color w:val="231F20"/>
          <w:sz w:val="20"/>
        </w:rPr>
        <w:tab/>
      </w:r>
      <w:r>
        <w:rPr>
          <w:color w:val="231F20"/>
          <w:spacing w:val="-2"/>
          <w:sz w:val="20"/>
        </w:rPr>
        <w:t>Les</w:t>
      </w:r>
      <w:r>
        <w:rPr>
          <w:color w:val="231F20"/>
          <w:spacing w:val="-9"/>
          <w:sz w:val="20"/>
        </w:rPr>
        <w:t> </w:t>
      </w:r>
      <w:r>
        <w:rPr>
          <w:color w:val="231F20"/>
          <w:spacing w:val="-2"/>
          <w:sz w:val="20"/>
        </w:rPr>
        <w:t>postes</w:t>
      </w:r>
      <w:r>
        <w:rPr>
          <w:color w:val="231F20"/>
          <w:spacing w:val="-9"/>
          <w:sz w:val="20"/>
        </w:rPr>
        <w:t> </w:t>
      </w:r>
      <w:r>
        <w:rPr>
          <w:color w:val="231F20"/>
          <w:spacing w:val="-2"/>
          <w:sz w:val="20"/>
        </w:rPr>
        <w:t>stratégiques</w:t>
      </w:r>
      <w:r>
        <w:rPr>
          <w:color w:val="231F20"/>
          <w:spacing w:val="-9"/>
          <w:sz w:val="20"/>
        </w:rPr>
        <w:t> </w:t>
      </w:r>
      <w:r>
        <w:rPr>
          <w:color w:val="231F20"/>
          <w:spacing w:val="-2"/>
          <w:sz w:val="20"/>
        </w:rPr>
        <w:t>tant</w:t>
      </w:r>
      <w:r>
        <w:rPr>
          <w:color w:val="231F20"/>
          <w:spacing w:val="-9"/>
          <w:sz w:val="20"/>
        </w:rPr>
        <w:t> </w:t>
      </w:r>
      <w:r>
        <w:rPr>
          <w:color w:val="231F20"/>
          <w:spacing w:val="-2"/>
          <w:sz w:val="20"/>
        </w:rPr>
        <w:t>politiques,</w:t>
      </w:r>
      <w:r>
        <w:rPr>
          <w:color w:val="231F20"/>
          <w:spacing w:val="-9"/>
          <w:sz w:val="20"/>
        </w:rPr>
        <w:t> </w:t>
      </w:r>
      <w:r>
        <w:rPr>
          <w:color w:val="231F20"/>
          <w:spacing w:val="-2"/>
          <w:sz w:val="20"/>
        </w:rPr>
        <w:t>administratifs,</w:t>
      </w:r>
      <w:r>
        <w:rPr>
          <w:color w:val="231F20"/>
          <w:spacing w:val="-9"/>
          <w:sz w:val="20"/>
        </w:rPr>
        <w:t> </w:t>
      </w:r>
      <w:r>
        <w:rPr>
          <w:color w:val="231F20"/>
          <w:spacing w:val="-2"/>
          <w:sz w:val="20"/>
        </w:rPr>
        <w:t>économiques,</w:t>
      </w:r>
      <w:r>
        <w:rPr>
          <w:color w:val="231F20"/>
          <w:spacing w:val="-9"/>
          <w:sz w:val="20"/>
        </w:rPr>
        <w:t> </w:t>
      </w:r>
      <w:r>
        <w:rPr>
          <w:color w:val="231F20"/>
          <w:spacing w:val="-2"/>
          <w:sz w:val="20"/>
        </w:rPr>
        <w:t>militaires</w:t>
      </w:r>
      <w:r>
        <w:rPr>
          <w:color w:val="231F20"/>
          <w:spacing w:val="-9"/>
          <w:sz w:val="20"/>
        </w:rPr>
        <w:t> </w:t>
      </w:r>
      <w:r>
        <w:rPr>
          <w:color w:val="231F20"/>
          <w:spacing w:val="-2"/>
          <w:sz w:val="20"/>
        </w:rPr>
        <w:t>et</w:t>
      </w:r>
      <w:r>
        <w:rPr>
          <w:color w:val="231F20"/>
          <w:spacing w:val="-9"/>
          <w:sz w:val="20"/>
        </w:rPr>
        <w:t> </w:t>
      </w:r>
      <w:r>
        <w:rPr>
          <w:color w:val="231F20"/>
          <w:spacing w:val="-2"/>
          <w:sz w:val="20"/>
        </w:rPr>
        <w:t>de </w:t>
      </w:r>
      <w:r>
        <w:rPr>
          <w:color w:val="231F20"/>
          <w:sz w:val="20"/>
        </w:rPr>
        <w:t>sécurité doivent êtres confiés aux Bahutu.</w:t>
      </w:r>
    </w:p>
    <w:p>
      <w:pPr>
        <w:pStyle w:val="ListParagraph"/>
        <w:numPr>
          <w:ilvl w:val="0"/>
          <w:numId w:val="1"/>
        </w:numPr>
        <w:tabs>
          <w:tab w:pos="393" w:val="left" w:leader="none"/>
          <w:tab w:pos="395" w:val="left" w:leader="none"/>
        </w:tabs>
        <w:spacing w:line="240" w:lineRule="auto" w:before="0" w:after="0"/>
        <w:ind w:left="395" w:right="106" w:hanging="284"/>
        <w:jc w:val="both"/>
        <w:rPr>
          <w:sz w:val="20"/>
        </w:rPr>
      </w:pPr>
      <w:r>
        <w:rPr>
          <w:color w:val="231F20"/>
          <w:spacing w:val="-4"/>
          <w:sz w:val="20"/>
        </w:rPr>
        <w:t>Le</w:t>
      </w:r>
      <w:r>
        <w:rPr>
          <w:color w:val="231F20"/>
          <w:spacing w:val="-9"/>
          <w:sz w:val="20"/>
        </w:rPr>
        <w:t> </w:t>
      </w:r>
      <w:r>
        <w:rPr>
          <w:color w:val="231F20"/>
          <w:spacing w:val="-4"/>
          <w:sz w:val="20"/>
        </w:rPr>
        <w:t>secteur</w:t>
      </w:r>
      <w:r>
        <w:rPr>
          <w:color w:val="231F20"/>
          <w:spacing w:val="-8"/>
          <w:sz w:val="20"/>
        </w:rPr>
        <w:t> </w:t>
      </w:r>
      <w:r>
        <w:rPr>
          <w:color w:val="231F20"/>
          <w:spacing w:val="-4"/>
          <w:sz w:val="20"/>
        </w:rPr>
        <w:t>de</w:t>
      </w:r>
      <w:r>
        <w:rPr>
          <w:color w:val="231F20"/>
          <w:spacing w:val="-9"/>
          <w:sz w:val="20"/>
        </w:rPr>
        <w:t> </w:t>
      </w:r>
      <w:r>
        <w:rPr>
          <w:color w:val="231F20"/>
          <w:spacing w:val="-4"/>
          <w:sz w:val="20"/>
        </w:rPr>
        <w:t>l'enseignement</w:t>
      </w:r>
      <w:r>
        <w:rPr>
          <w:color w:val="231F20"/>
          <w:spacing w:val="-8"/>
          <w:sz w:val="20"/>
        </w:rPr>
        <w:t> </w:t>
      </w:r>
      <w:r>
        <w:rPr>
          <w:color w:val="231F20"/>
          <w:spacing w:val="-4"/>
          <w:sz w:val="20"/>
        </w:rPr>
        <w:t>(élèves,</w:t>
      </w:r>
      <w:r>
        <w:rPr>
          <w:color w:val="231F20"/>
          <w:spacing w:val="-9"/>
          <w:sz w:val="20"/>
        </w:rPr>
        <w:t> </w:t>
      </w:r>
      <w:r>
        <w:rPr>
          <w:color w:val="231F20"/>
          <w:spacing w:val="-4"/>
          <w:sz w:val="20"/>
        </w:rPr>
        <w:t>étudiants,</w:t>
      </w:r>
      <w:r>
        <w:rPr>
          <w:color w:val="231F20"/>
          <w:spacing w:val="-8"/>
          <w:sz w:val="20"/>
        </w:rPr>
        <w:t> </w:t>
      </w:r>
      <w:r>
        <w:rPr>
          <w:color w:val="231F20"/>
          <w:spacing w:val="-4"/>
          <w:sz w:val="20"/>
        </w:rPr>
        <w:t>enseignants)</w:t>
      </w:r>
      <w:r>
        <w:rPr>
          <w:color w:val="231F20"/>
          <w:spacing w:val="-9"/>
          <w:sz w:val="20"/>
        </w:rPr>
        <w:t> </w:t>
      </w:r>
      <w:r>
        <w:rPr>
          <w:color w:val="231F20"/>
          <w:spacing w:val="-4"/>
          <w:sz w:val="20"/>
        </w:rPr>
        <w:t>doit</w:t>
      </w:r>
      <w:r>
        <w:rPr>
          <w:color w:val="231F20"/>
          <w:spacing w:val="-8"/>
          <w:sz w:val="20"/>
        </w:rPr>
        <w:t> </w:t>
      </w:r>
      <w:r>
        <w:rPr>
          <w:color w:val="231F20"/>
          <w:spacing w:val="-4"/>
          <w:sz w:val="20"/>
        </w:rPr>
        <w:t>être</w:t>
      </w:r>
      <w:r>
        <w:rPr>
          <w:color w:val="231F20"/>
          <w:spacing w:val="-9"/>
          <w:sz w:val="20"/>
        </w:rPr>
        <w:t> </w:t>
      </w:r>
      <w:r>
        <w:rPr>
          <w:color w:val="231F20"/>
          <w:spacing w:val="-4"/>
          <w:sz w:val="20"/>
        </w:rPr>
        <w:t>majoritairement </w:t>
      </w:r>
      <w:r>
        <w:rPr>
          <w:color w:val="231F20"/>
          <w:spacing w:val="-2"/>
          <w:sz w:val="20"/>
        </w:rPr>
        <w:t>Hutu.</w:t>
      </w:r>
    </w:p>
    <w:p>
      <w:pPr>
        <w:pStyle w:val="ListParagraph"/>
        <w:numPr>
          <w:ilvl w:val="0"/>
          <w:numId w:val="1"/>
        </w:numPr>
        <w:tabs>
          <w:tab w:pos="395" w:val="left" w:leader="none"/>
          <w:tab w:pos="441" w:val="left" w:leader="none"/>
        </w:tabs>
        <w:spacing w:line="240" w:lineRule="auto" w:before="0" w:after="0"/>
        <w:ind w:left="395" w:right="110" w:hanging="284"/>
        <w:jc w:val="both"/>
        <w:rPr>
          <w:sz w:val="20"/>
        </w:rPr>
      </w:pPr>
      <w:r>
        <w:rPr>
          <w:color w:val="231F20"/>
          <w:sz w:val="20"/>
        </w:rPr>
        <w:tab/>
      </w:r>
      <w:r>
        <w:rPr>
          <w:color w:val="231F20"/>
          <w:spacing w:val="-2"/>
          <w:sz w:val="20"/>
        </w:rPr>
        <w:t>Les</w:t>
      </w:r>
      <w:r>
        <w:rPr>
          <w:color w:val="231F20"/>
          <w:spacing w:val="-7"/>
          <w:sz w:val="20"/>
        </w:rPr>
        <w:t> </w:t>
      </w:r>
      <w:r>
        <w:rPr>
          <w:color w:val="231F20"/>
          <w:spacing w:val="-2"/>
          <w:sz w:val="20"/>
        </w:rPr>
        <w:t>Forces</w:t>
      </w:r>
      <w:r>
        <w:rPr>
          <w:color w:val="231F20"/>
          <w:spacing w:val="-7"/>
          <w:sz w:val="20"/>
        </w:rPr>
        <w:t> </w:t>
      </w:r>
      <w:r>
        <w:rPr>
          <w:color w:val="231F20"/>
          <w:spacing w:val="-2"/>
          <w:sz w:val="20"/>
        </w:rPr>
        <w:t>armées</w:t>
      </w:r>
      <w:r>
        <w:rPr>
          <w:color w:val="231F20"/>
          <w:spacing w:val="-7"/>
          <w:sz w:val="20"/>
        </w:rPr>
        <w:t> </w:t>
      </w:r>
      <w:r>
        <w:rPr>
          <w:color w:val="231F20"/>
          <w:spacing w:val="-2"/>
          <w:sz w:val="20"/>
        </w:rPr>
        <w:t>rwandaises</w:t>
      </w:r>
      <w:r>
        <w:rPr>
          <w:color w:val="231F20"/>
          <w:spacing w:val="-8"/>
          <w:sz w:val="20"/>
        </w:rPr>
        <w:t> </w:t>
      </w:r>
      <w:r>
        <w:rPr>
          <w:color w:val="231F20"/>
          <w:spacing w:val="-2"/>
          <w:sz w:val="20"/>
        </w:rPr>
        <w:t>doivent</w:t>
      </w:r>
      <w:r>
        <w:rPr>
          <w:color w:val="231F20"/>
          <w:spacing w:val="-7"/>
          <w:sz w:val="20"/>
        </w:rPr>
        <w:t> </w:t>
      </w:r>
      <w:r>
        <w:rPr>
          <w:color w:val="231F20"/>
          <w:spacing w:val="-2"/>
          <w:sz w:val="20"/>
        </w:rPr>
        <w:t>être</w:t>
      </w:r>
      <w:r>
        <w:rPr>
          <w:color w:val="231F20"/>
          <w:spacing w:val="-5"/>
          <w:sz w:val="20"/>
        </w:rPr>
        <w:t> </w:t>
      </w:r>
      <w:r>
        <w:rPr>
          <w:color w:val="231F20"/>
          <w:spacing w:val="-2"/>
          <w:sz w:val="20"/>
        </w:rPr>
        <w:t>exclusivement</w:t>
      </w:r>
      <w:r>
        <w:rPr>
          <w:color w:val="231F20"/>
          <w:spacing w:val="-5"/>
          <w:sz w:val="20"/>
        </w:rPr>
        <w:t> </w:t>
      </w:r>
      <w:r>
        <w:rPr>
          <w:color w:val="231F20"/>
          <w:spacing w:val="-2"/>
          <w:sz w:val="20"/>
        </w:rPr>
        <w:t>Hutu.</w:t>
      </w:r>
      <w:r>
        <w:rPr>
          <w:color w:val="231F20"/>
          <w:spacing w:val="-7"/>
          <w:sz w:val="20"/>
        </w:rPr>
        <w:t> </w:t>
      </w:r>
      <w:r>
        <w:rPr>
          <w:color w:val="231F20"/>
          <w:spacing w:val="-2"/>
          <w:sz w:val="20"/>
        </w:rPr>
        <w:t>L'expérience</w:t>
      </w:r>
      <w:r>
        <w:rPr>
          <w:color w:val="231F20"/>
          <w:spacing w:val="-7"/>
          <w:sz w:val="20"/>
        </w:rPr>
        <w:t> </w:t>
      </w:r>
      <w:r>
        <w:rPr>
          <w:color w:val="231F20"/>
          <w:spacing w:val="-2"/>
          <w:sz w:val="20"/>
        </w:rPr>
        <w:t>de</w:t>
      </w:r>
      <w:r>
        <w:rPr>
          <w:color w:val="231F20"/>
          <w:spacing w:val="-5"/>
          <w:sz w:val="20"/>
        </w:rPr>
        <w:t> </w:t>
      </w:r>
      <w:r>
        <w:rPr>
          <w:color w:val="231F20"/>
          <w:spacing w:val="-2"/>
          <w:sz w:val="20"/>
        </w:rPr>
        <w:t>la </w:t>
      </w:r>
      <w:r>
        <w:rPr>
          <w:color w:val="231F20"/>
          <w:sz w:val="20"/>
        </w:rPr>
        <w:t>guerre d'octobre 1990 nous l'enseigne. Aucun militaire ne doit épouser une </w:t>
      </w:r>
      <w:r>
        <w:rPr>
          <w:color w:val="231F20"/>
          <w:spacing w:val="-2"/>
          <w:sz w:val="20"/>
        </w:rPr>
        <w:t>Mututsikazi.</w:t>
      </w:r>
    </w:p>
    <w:p>
      <w:pPr>
        <w:pStyle w:val="ListParagraph"/>
        <w:numPr>
          <w:ilvl w:val="0"/>
          <w:numId w:val="1"/>
        </w:numPr>
        <w:tabs>
          <w:tab w:pos="393" w:val="left" w:leader="none"/>
        </w:tabs>
        <w:spacing w:line="229" w:lineRule="exact" w:before="0" w:after="0"/>
        <w:ind w:left="393" w:right="0" w:hanging="282"/>
        <w:jc w:val="both"/>
        <w:rPr>
          <w:sz w:val="20"/>
        </w:rPr>
      </w:pPr>
      <w:r>
        <w:rPr>
          <w:color w:val="231F20"/>
          <w:spacing w:val="-4"/>
          <w:sz w:val="20"/>
        </w:rPr>
        <w:t>Les</w:t>
      </w:r>
      <w:r>
        <w:rPr>
          <w:color w:val="231F20"/>
          <w:spacing w:val="-3"/>
          <w:sz w:val="20"/>
        </w:rPr>
        <w:t> </w:t>
      </w:r>
      <w:r>
        <w:rPr>
          <w:color w:val="231F20"/>
          <w:spacing w:val="-4"/>
          <w:sz w:val="20"/>
        </w:rPr>
        <w:t>Bahutu</w:t>
      </w:r>
      <w:r>
        <w:rPr>
          <w:color w:val="231F20"/>
          <w:spacing w:val="-2"/>
          <w:sz w:val="20"/>
        </w:rPr>
        <w:t> </w:t>
      </w:r>
      <w:r>
        <w:rPr>
          <w:color w:val="231F20"/>
          <w:spacing w:val="-4"/>
          <w:sz w:val="20"/>
        </w:rPr>
        <w:t>doivent</w:t>
      </w:r>
      <w:r>
        <w:rPr>
          <w:color w:val="231F20"/>
          <w:spacing w:val="-1"/>
          <w:sz w:val="20"/>
        </w:rPr>
        <w:t> </w:t>
      </w:r>
      <w:r>
        <w:rPr>
          <w:color w:val="231F20"/>
          <w:spacing w:val="-4"/>
          <w:sz w:val="20"/>
        </w:rPr>
        <w:t>cesser</w:t>
      </w:r>
      <w:r>
        <w:rPr>
          <w:color w:val="231F20"/>
          <w:spacing w:val="-3"/>
          <w:sz w:val="20"/>
        </w:rPr>
        <w:t> </w:t>
      </w:r>
      <w:r>
        <w:rPr>
          <w:color w:val="231F20"/>
          <w:spacing w:val="-4"/>
          <w:sz w:val="20"/>
        </w:rPr>
        <w:t>d'avoir</w:t>
      </w:r>
      <w:r>
        <w:rPr>
          <w:color w:val="231F20"/>
          <w:spacing w:val="-2"/>
          <w:sz w:val="20"/>
        </w:rPr>
        <w:t> </w:t>
      </w:r>
      <w:r>
        <w:rPr>
          <w:color w:val="231F20"/>
          <w:spacing w:val="-4"/>
          <w:sz w:val="20"/>
        </w:rPr>
        <w:t>pitié</w:t>
      </w:r>
      <w:r>
        <w:rPr>
          <w:color w:val="231F20"/>
          <w:spacing w:val="-2"/>
          <w:sz w:val="20"/>
        </w:rPr>
        <w:t> </w:t>
      </w:r>
      <w:r>
        <w:rPr>
          <w:color w:val="231F20"/>
          <w:spacing w:val="-4"/>
          <w:sz w:val="20"/>
        </w:rPr>
        <w:t>des</w:t>
      </w:r>
      <w:r>
        <w:rPr>
          <w:color w:val="231F20"/>
          <w:spacing w:val="-3"/>
          <w:sz w:val="20"/>
        </w:rPr>
        <w:t> </w:t>
      </w:r>
      <w:r>
        <w:rPr>
          <w:color w:val="231F20"/>
          <w:spacing w:val="-4"/>
          <w:sz w:val="20"/>
        </w:rPr>
        <w:t>Batutsi.</w:t>
      </w:r>
    </w:p>
    <w:p>
      <w:pPr>
        <w:pStyle w:val="ListParagraph"/>
        <w:numPr>
          <w:ilvl w:val="0"/>
          <w:numId w:val="1"/>
        </w:numPr>
        <w:tabs>
          <w:tab w:pos="395" w:val="left" w:leader="none"/>
          <w:tab w:pos="441" w:val="left" w:leader="none"/>
        </w:tabs>
        <w:spacing w:line="240" w:lineRule="auto" w:before="0" w:after="0"/>
        <w:ind w:left="395" w:right="106" w:hanging="284"/>
        <w:jc w:val="both"/>
        <w:rPr>
          <w:sz w:val="20"/>
        </w:rPr>
      </w:pPr>
      <w:r>
        <w:rPr>
          <w:color w:val="231F20"/>
          <w:sz w:val="20"/>
        </w:rPr>
        <w:tab/>
        <w:t>Les</w:t>
      </w:r>
      <w:r>
        <w:rPr>
          <w:color w:val="231F20"/>
          <w:spacing w:val="-4"/>
          <w:sz w:val="20"/>
        </w:rPr>
        <w:t> </w:t>
      </w:r>
      <w:r>
        <w:rPr>
          <w:color w:val="231F20"/>
          <w:sz w:val="20"/>
        </w:rPr>
        <w:t>Bahutu,</w:t>
      </w:r>
      <w:r>
        <w:rPr>
          <w:color w:val="231F20"/>
          <w:spacing w:val="-5"/>
          <w:sz w:val="20"/>
        </w:rPr>
        <w:t> </w:t>
      </w:r>
      <w:r>
        <w:rPr>
          <w:color w:val="231F20"/>
          <w:sz w:val="20"/>
        </w:rPr>
        <w:t>où</w:t>
      </w:r>
      <w:r>
        <w:rPr>
          <w:color w:val="231F20"/>
          <w:spacing w:val="-6"/>
          <w:sz w:val="20"/>
        </w:rPr>
        <w:t> </w:t>
      </w:r>
      <w:r>
        <w:rPr>
          <w:color w:val="231F20"/>
          <w:sz w:val="20"/>
        </w:rPr>
        <w:t>qu'ils</w:t>
      </w:r>
      <w:r>
        <w:rPr>
          <w:color w:val="231F20"/>
          <w:spacing w:val="-4"/>
          <w:sz w:val="20"/>
        </w:rPr>
        <w:t> </w:t>
      </w:r>
      <w:r>
        <w:rPr>
          <w:color w:val="231F20"/>
          <w:sz w:val="20"/>
        </w:rPr>
        <w:t>soient</w:t>
      </w:r>
      <w:r>
        <w:rPr>
          <w:color w:val="231F20"/>
          <w:spacing w:val="-7"/>
          <w:sz w:val="20"/>
        </w:rPr>
        <w:t> </w:t>
      </w:r>
      <w:r>
        <w:rPr>
          <w:color w:val="231F20"/>
          <w:sz w:val="20"/>
        </w:rPr>
        <w:t>doivent</w:t>
      </w:r>
      <w:r>
        <w:rPr>
          <w:color w:val="231F20"/>
          <w:spacing w:val="-5"/>
          <w:sz w:val="20"/>
        </w:rPr>
        <w:t> </w:t>
      </w:r>
      <w:r>
        <w:rPr>
          <w:color w:val="231F20"/>
          <w:sz w:val="20"/>
        </w:rPr>
        <w:t>être</w:t>
      </w:r>
      <w:r>
        <w:rPr>
          <w:color w:val="231F20"/>
          <w:spacing w:val="-5"/>
          <w:sz w:val="20"/>
        </w:rPr>
        <w:t> </w:t>
      </w:r>
      <w:r>
        <w:rPr>
          <w:color w:val="231F20"/>
          <w:sz w:val="20"/>
        </w:rPr>
        <w:t>unis,</w:t>
      </w:r>
      <w:r>
        <w:rPr>
          <w:color w:val="231F20"/>
          <w:spacing w:val="-5"/>
          <w:sz w:val="20"/>
        </w:rPr>
        <w:t> </w:t>
      </w:r>
      <w:r>
        <w:rPr>
          <w:color w:val="231F20"/>
          <w:sz w:val="20"/>
        </w:rPr>
        <w:t>solidaires</w:t>
      </w:r>
      <w:r>
        <w:rPr>
          <w:color w:val="231F20"/>
          <w:spacing w:val="-6"/>
          <w:sz w:val="20"/>
        </w:rPr>
        <w:t> </w:t>
      </w:r>
      <w:r>
        <w:rPr>
          <w:color w:val="231F20"/>
          <w:sz w:val="20"/>
        </w:rPr>
        <w:t>ou</w:t>
      </w:r>
      <w:r>
        <w:rPr>
          <w:color w:val="231F20"/>
          <w:spacing w:val="-7"/>
          <w:sz w:val="20"/>
        </w:rPr>
        <w:t> </w:t>
      </w:r>
      <w:r>
        <w:rPr>
          <w:color w:val="231F20"/>
          <w:sz w:val="20"/>
        </w:rPr>
        <w:t>préoccupés</w:t>
      </w:r>
      <w:r>
        <w:rPr>
          <w:color w:val="231F20"/>
          <w:spacing w:val="-6"/>
          <w:sz w:val="20"/>
        </w:rPr>
        <w:t> </w:t>
      </w:r>
      <w:r>
        <w:rPr>
          <w:color w:val="231F20"/>
          <w:sz w:val="20"/>
        </w:rPr>
        <w:t>du</w:t>
      </w:r>
      <w:r>
        <w:rPr>
          <w:color w:val="231F20"/>
          <w:spacing w:val="-5"/>
          <w:sz w:val="20"/>
        </w:rPr>
        <w:t> </w:t>
      </w:r>
      <w:r>
        <w:rPr>
          <w:color w:val="231F20"/>
          <w:sz w:val="20"/>
        </w:rPr>
        <w:t>sort</w:t>
      </w:r>
      <w:r>
        <w:rPr>
          <w:color w:val="231F20"/>
          <w:spacing w:val="-5"/>
          <w:sz w:val="20"/>
        </w:rPr>
        <w:t> </w:t>
      </w:r>
      <w:r>
        <w:rPr>
          <w:color w:val="231F20"/>
          <w:sz w:val="20"/>
        </w:rPr>
        <w:t>de leurs frères Bahutu.- Les Bahutu de l'intérieur et l'extérieur du Rwanda doivent </w:t>
      </w:r>
      <w:r>
        <w:rPr>
          <w:color w:val="231F20"/>
          <w:spacing w:val="-2"/>
          <w:sz w:val="20"/>
        </w:rPr>
        <w:t>rechercher</w:t>
      </w:r>
      <w:r>
        <w:rPr>
          <w:color w:val="231F20"/>
          <w:spacing w:val="-7"/>
          <w:sz w:val="20"/>
        </w:rPr>
        <w:t> </w:t>
      </w:r>
      <w:r>
        <w:rPr>
          <w:color w:val="231F20"/>
          <w:spacing w:val="-2"/>
          <w:sz w:val="20"/>
        </w:rPr>
        <w:t>constamment</w:t>
      </w:r>
      <w:r>
        <w:rPr>
          <w:color w:val="231F20"/>
          <w:spacing w:val="-10"/>
          <w:sz w:val="20"/>
        </w:rPr>
        <w:t> </w:t>
      </w:r>
      <w:r>
        <w:rPr>
          <w:color w:val="231F20"/>
          <w:spacing w:val="-2"/>
          <w:sz w:val="20"/>
        </w:rPr>
        <w:t>des</w:t>
      </w:r>
      <w:r>
        <w:rPr>
          <w:color w:val="231F20"/>
          <w:spacing w:val="-8"/>
          <w:sz w:val="20"/>
        </w:rPr>
        <w:t> </w:t>
      </w:r>
      <w:r>
        <w:rPr>
          <w:color w:val="231F20"/>
          <w:spacing w:val="-2"/>
          <w:sz w:val="20"/>
        </w:rPr>
        <w:t>amis</w:t>
      </w:r>
      <w:r>
        <w:rPr>
          <w:color w:val="231F20"/>
          <w:spacing w:val="-8"/>
          <w:sz w:val="20"/>
        </w:rPr>
        <w:t> </w:t>
      </w:r>
      <w:r>
        <w:rPr>
          <w:color w:val="231F20"/>
          <w:spacing w:val="-2"/>
          <w:sz w:val="20"/>
        </w:rPr>
        <w:t>et</w:t>
      </w:r>
      <w:r>
        <w:rPr>
          <w:color w:val="231F20"/>
          <w:spacing w:val="-8"/>
          <w:sz w:val="20"/>
        </w:rPr>
        <w:t> </w:t>
      </w:r>
      <w:r>
        <w:rPr>
          <w:color w:val="231F20"/>
          <w:spacing w:val="-2"/>
          <w:sz w:val="20"/>
        </w:rPr>
        <w:t>des</w:t>
      </w:r>
      <w:r>
        <w:rPr>
          <w:color w:val="231F20"/>
          <w:spacing w:val="-8"/>
          <w:sz w:val="20"/>
        </w:rPr>
        <w:t> </w:t>
      </w:r>
      <w:r>
        <w:rPr>
          <w:color w:val="231F20"/>
          <w:spacing w:val="-2"/>
          <w:sz w:val="20"/>
        </w:rPr>
        <w:t>alliés</w:t>
      </w:r>
      <w:r>
        <w:rPr>
          <w:color w:val="231F20"/>
          <w:spacing w:val="-10"/>
          <w:sz w:val="20"/>
        </w:rPr>
        <w:t> </w:t>
      </w:r>
      <w:r>
        <w:rPr>
          <w:color w:val="231F20"/>
          <w:spacing w:val="-2"/>
          <w:sz w:val="20"/>
        </w:rPr>
        <w:t>pour</w:t>
      </w:r>
      <w:r>
        <w:rPr>
          <w:color w:val="231F20"/>
          <w:spacing w:val="-7"/>
          <w:sz w:val="20"/>
        </w:rPr>
        <w:t> </w:t>
      </w:r>
      <w:r>
        <w:rPr>
          <w:color w:val="231F20"/>
          <w:spacing w:val="-2"/>
          <w:sz w:val="20"/>
        </w:rPr>
        <w:t>la</w:t>
      </w:r>
      <w:r>
        <w:rPr>
          <w:color w:val="231F20"/>
          <w:spacing w:val="-8"/>
          <w:sz w:val="20"/>
        </w:rPr>
        <w:t> </w:t>
      </w:r>
      <w:r>
        <w:rPr>
          <w:color w:val="231F20"/>
          <w:spacing w:val="-2"/>
          <w:sz w:val="20"/>
        </w:rPr>
        <w:t>cause</w:t>
      </w:r>
      <w:r>
        <w:rPr>
          <w:color w:val="231F20"/>
          <w:spacing w:val="-10"/>
          <w:sz w:val="20"/>
        </w:rPr>
        <w:t> </w:t>
      </w:r>
      <w:r>
        <w:rPr>
          <w:color w:val="231F20"/>
          <w:spacing w:val="-2"/>
          <w:sz w:val="20"/>
        </w:rPr>
        <w:t>Hutu,</w:t>
      </w:r>
      <w:r>
        <w:rPr>
          <w:color w:val="231F20"/>
          <w:spacing w:val="-7"/>
          <w:sz w:val="20"/>
        </w:rPr>
        <w:t> </w:t>
      </w:r>
      <w:r>
        <w:rPr>
          <w:color w:val="231F20"/>
          <w:spacing w:val="-2"/>
          <w:sz w:val="20"/>
        </w:rPr>
        <w:t>à</w:t>
      </w:r>
      <w:r>
        <w:rPr>
          <w:color w:val="231F20"/>
          <w:spacing w:val="-7"/>
          <w:sz w:val="20"/>
        </w:rPr>
        <w:t> </w:t>
      </w:r>
      <w:r>
        <w:rPr>
          <w:color w:val="231F20"/>
          <w:spacing w:val="-2"/>
          <w:sz w:val="20"/>
        </w:rPr>
        <w:t>commencer</w:t>
      </w:r>
      <w:r>
        <w:rPr>
          <w:color w:val="231F20"/>
          <w:spacing w:val="-7"/>
          <w:sz w:val="20"/>
        </w:rPr>
        <w:t> </w:t>
      </w:r>
      <w:r>
        <w:rPr>
          <w:color w:val="231F20"/>
          <w:spacing w:val="-2"/>
          <w:sz w:val="20"/>
        </w:rPr>
        <w:t>par leurs</w:t>
      </w:r>
      <w:r>
        <w:rPr>
          <w:color w:val="231F20"/>
          <w:spacing w:val="-11"/>
          <w:sz w:val="20"/>
        </w:rPr>
        <w:t> </w:t>
      </w:r>
      <w:r>
        <w:rPr>
          <w:color w:val="231F20"/>
          <w:spacing w:val="-2"/>
          <w:sz w:val="20"/>
        </w:rPr>
        <w:t>frères</w:t>
      </w:r>
      <w:r>
        <w:rPr>
          <w:color w:val="231F20"/>
          <w:spacing w:val="-10"/>
          <w:sz w:val="20"/>
        </w:rPr>
        <w:t> </w:t>
      </w:r>
      <w:r>
        <w:rPr>
          <w:color w:val="231F20"/>
          <w:spacing w:val="-2"/>
          <w:sz w:val="20"/>
        </w:rPr>
        <w:t>bantous.-</w:t>
      </w:r>
      <w:r>
        <w:rPr>
          <w:color w:val="231F20"/>
          <w:spacing w:val="-11"/>
          <w:sz w:val="20"/>
        </w:rPr>
        <w:t> </w:t>
      </w:r>
      <w:r>
        <w:rPr>
          <w:color w:val="231F20"/>
          <w:spacing w:val="-2"/>
          <w:sz w:val="20"/>
        </w:rPr>
        <w:t>Ils</w:t>
      </w:r>
      <w:r>
        <w:rPr>
          <w:color w:val="231F20"/>
          <w:spacing w:val="-10"/>
          <w:sz w:val="20"/>
        </w:rPr>
        <w:t> </w:t>
      </w:r>
      <w:r>
        <w:rPr>
          <w:color w:val="231F20"/>
          <w:spacing w:val="-2"/>
          <w:sz w:val="20"/>
        </w:rPr>
        <w:t>doivent</w:t>
      </w:r>
      <w:r>
        <w:rPr>
          <w:color w:val="231F20"/>
          <w:spacing w:val="-11"/>
          <w:sz w:val="20"/>
        </w:rPr>
        <w:t> </w:t>
      </w:r>
      <w:r>
        <w:rPr>
          <w:color w:val="231F20"/>
          <w:spacing w:val="-2"/>
          <w:sz w:val="20"/>
        </w:rPr>
        <w:t>constamment</w:t>
      </w:r>
      <w:r>
        <w:rPr>
          <w:color w:val="231F20"/>
          <w:spacing w:val="-10"/>
          <w:sz w:val="20"/>
        </w:rPr>
        <w:t> </w:t>
      </w:r>
      <w:r>
        <w:rPr>
          <w:color w:val="231F20"/>
          <w:spacing w:val="-2"/>
          <w:sz w:val="20"/>
        </w:rPr>
        <w:t>contrecarrer</w:t>
      </w:r>
      <w:r>
        <w:rPr>
          <w:color w:val="231F20"/>
          <w:spacing w:val="-11"/>
          <w:sz w:val="20"/>
        </w:rPr>
        <w:t> </w:t>
      </w:r>
      <w:r>
        <w:rPr>
          <w:color w:val="231F20"/>
          <w:spacing w:val="-2"/>
          <w:sz w:val="20"/>
        </w:rPr>
        <w:t>la</w:t>
      </w:r>
      <w:r>
        <w:rPr>
          <w:color w:val="231F20"/>
          <w:spacing w:val="-10"/>
          <w:sz w:val="20"/>
        </w:rPr>
        <w:t> </w:t>
      </w:r>
      <w:r>
        <w:rPr>
          <w:color w:val="231F20"/>
          <w:spacing w:val="-2"/>
          <w:sz w:val="20"/>
        </w:rPr>
        <w:t>propagande</w:t>
      </w:r>
      <w:r>
        <w:rPr>
          <w:color w:val="231F20"/>
          <w:spacing w:val="-11"/>
          <w:sz w:val="20"/>
        </w:rPr>
        <w:t> </w:t>
      </w:r>
      <w:r>
        <w:rPr>
          <w:color w:val="231F20"/>
          <w:spacing w:val="-2"/>
          <w:sz w:val="20"/>
        </w:rPr>
        <w:t>tutsi.-</w:t>
      </w:r>
      <w:r>
        <w:rPr>
          <w:color w:val="231F20"/>
          <w:spacing w:val="-9"/>
          <w:sz w:val="20"/>
        </w:rPr>
        <w:t> </w:t>
      </w:r>
      <w:r>
        <w:rPr>
          <w:color w:val="231F20"/>
          <w:spacing w:val="-2"/>
          <w:sz w:val="20"/>
        </w:rPr>
        <w:t>Les </w:t>
      </w:r>
      <w:r>
        <w:rPr>
          <w:color w:val="231F20"/>
          <w:sz w:val="20"/>
        </w:rPr>
        <w:t>Bahutu</w:t>
      </w:r>
      <w:r>
        <w:rPr>
          <w:color w:val="231F20"/>
          <w:spacing w:val="-8"/>
          <w:sz w:val="20"/>
        </w:rPr>
        <w:t> </w:t>
      </w:r>
      <w:r>
        <w:rPr>
          <w:color w:val="231F20"/>
          <w:sz w:val="20"/>
        </w:rPr>
        <w:t>doivent</w:t>
      </w:r>
      <w:r>
        <w:rPr>
          <w:color w:val="231F20"/>
          <w:spacing w:val="-9"/>
          <w:sz w:val="20"/>
        </w:rPr>
        <w:t> </w:t>
      </w:r>
      <w:r>
        <w:rPr>
          <w:color w:val="231F20"/>
          <w:sz w:val="20"/>
        </w:rPr>
        <w:t>être</w:t>
      </w:r>
      <w:r>
        <w:rPr>
          <w:color w:val="231F20"/>
          <w:spacing w:val="-9"/>
          <w:sz w:val="20"/>
        </w:rPr>
        <w:t> </w:t>
      </w:r>
      <w:r>
        <w:rPr>
          <w:color w:val="231F20"/>
          <w:sz w:val="20"/>
        </w:rPr>
        <w:t>fermes</w:t>
      </w:r>
      <w:r>
        <w:rPr>
          <w:color w:val="231F20"/>
          <w:spacing w:val="-7"/>
          <w:sz w:val="20"/>
        </w:rPr>
        <w:t> </w:t>
      </w:r>
      <w:r>
        <w:rPr>
          <w:color w:val="231F20"/>
          <w:sz w:val="20"/>
        </w:rPr>
        <w:t>et</w:t>
      </w:r>
      <w:r>
        <w:rPr>
          <w:color w:val="231F20"/>
          <w:spacing w:val="-9"/>
          <w:sz w:val="20"/>
        </w:rPr>
        <w:t> </w:t>
      </w:r>
      <w:r>
        <w:rPr>
          <w:color w:val="231F20"/>
          <w:sz w:val="20"/>
        </w:rPr>
        <w:t>vigilants</w:t>
      </w:r>
      <w:r>
        <w:rPr>
          <w:color w:val="231F20"/>
          <w:spacing w:val="-8"/>
          <w:sz w:val="20"/>
        </w:rPr>
        <w:t> </w:t>
      </w:r>
      <w:r>
        <w:rPr>
          <w:color w:val="231F20"/>
          <w:sz w:val="20"/>
        </w:rPr>
        <w:t>contre</w:t>
      </w:r>
      <w:r>
        <w:rPr>
          <w:color w:val="231F20"/>
          <w:spacing w:val="-8"/>
          <w:sz w:val="20"/>
        </w:rPr>
        <w:t> </w:t>
      </w:r>
      <w:r>
        <w:rPr>
          <w:color w:val="231F20"/>
          <w:sz w:val="20"/>
        </w:rPr>
        <w:t>leur</w:t>
      </w:r>
      <w:r>
        <w:rPr>
          <w:color w:val="231F20"/>
          <w:spacing w:val="-8"/>
          <w:sz w:val="20"/>
        </w:rPr>
        <w:t> </w:t>
      </w:r>
      <w:r>
        <w:rPr>
          <w:color w:val="231F20"/>
          <w:sz w:val="20"/>
        </w:rPr>
        <w:t>ennemi</w:t>
      </w:r>
      <w:r>
        <w:rPr>
          <w:color w:val="231F20"/>
          <w:spacing w:val="-7"/>
          <w:sz w:val="20"/>
        </w:rPr>
        <w:t> </w:t>
      </w:r>
      <w:r>
        <w:rPr>
          <w:color w:val="231F20"/>
          <w:sz w:val="20"/>
        </w:rPr>
        <w:t>commun</w:t>
      </w:r>
      <w:r>
        <w:rPr>
          <w:color w:val="231F20"/>
          <w:spacing w:val="-6"/>
          <w:sz w:val="20"/>
        </w:rPr>
        <w:t> </w:t>
      </w:r>
      <w:r>
        <w:rPr>
          <w:color w:val="231F20"/>
          <w:sz w:val="20"/>
        </w:rPr>
        <w:t>tutsi.</w:t>
      </w:r>
    </w:p>
    <w:p>
      <w:pPr>
        <w:pStyle w:val="ListParagraph"/>
        <w:numPr>
          <w:ilvl w:val="0"/>
          <w:numId w:val="1"/>
        </w:numPr>
        <w:tabs>
          <w:tab w:pos="392" w:val="left" w:leader="none"/>
          <w:tab w:pos="395" w:val="left" w:leader="none"/>
        </w:tabs>
        <w:spacing w:line="240" w:lineRule="auto" w:before="0" w:after="0"/>
        <w:ind w:left="395" w:right="109" w:hanging="284"/>
        <w:jc w:val="both"/>
        <w:rPr>
          <w:sz w:val="20"/>
        </w:rPr>
      </w:pPr>
      <w:r>
        <w:rPr>
          <w:color w:val="231F20"/>
          <w:sz w:val="20"/>
        </w:rPr>
        <w:t>La</w:t>
      </w:r>
      <w:r>
        <w:rPr>
          <w:color w:val="231F20"/>
          <w:spacing w:val="-7"/>
          <w:sz w:val="20"/>
        </w:rPr>
        <w:t> </w:t>
      </w:r>
      <w:r>
        <w:rPr>
          <w:color w:val="231F20"/>
          <w:sz w:val="20"/>
        </w:rPr>
        <w:t>Révolution</w:t>
      </w:r>
      <w:r>
        <w:rPr>
          <w:color w:val="231F20"/>
          <w:spacing w:val="-7"/>
          <w:sz w:val="20"/>
        </w:rPr>
        <w:t> </w:t>
      </w:r>
      <w:r>
        <w:rPr>
          <w:color w:val="231F20"/>
          <w:sz w:val="20"/>
        </w:rPr>
        <w:t>sociale</w:t>
      </w:r>
      <w:r>
        <w:rPr>
          <w:color w:val="231F20"/>
          <w:spacing w:val="-9"/>
          <w:sz w:val="20"/>
        </w:rPr>
        <w:t> </w:t>
      </w:r>
      <w:r>
        <w:rPr>
          <w:color w:val="231F20"/>
          <w:sz w:val="20"/>
        </w:rPr>
        <w:t>de</w:t>
      </w:r>
      <w:r>
        <w:rPr>
          <w:color w:val="231F20"/>
          <w:spacing w:val="-9"/>
          <w:sz w:val="20"/>
        </w:rPr>
        <w:t> </w:t>
      </w:r>
      <w:r>
        <w:rPr>
          <w:color w:val="231F20"/>
          <w:sz w:val="20"/>
        </w:rPr>
        <w:t>1959,</w:t>
      </w:r>
      <w:r>
        <w:rPr>
          <w:color w:val="231F20"/>
          <w:spacing w:val="-7"/>
          <w:sz w:val="20"/>
        </w:rPr>
        <w:t> </w:t>
      </w:r>
      <w:r>
        <w:rPr>
          <w:color w:val="231F20"/>
          <w:sz w:val="20"/>
        </w:rPr>
        <w:t>le</w:t>
      </w:r>
      <w:r>
        <w:rPr>
          <w:color w:val="231F20"/>
          <w:spacing w:val="-7"/>
          <w:sz w:val="20"/>
        </w:rPr>
        <w:t> </w:t>
      </w:r>
      <w:r>
        <w:rPr>
          <w:color w:val="231F20"/>
          <w:sz w:val="20"/>
        </w:rPr>
        <w:t>référendum</w:t>
      </w:r>
      <w:r>
        <w:rPr>
          <w:color w:val="231F20"/>
          <w:spacing w:val="-8"/>
          <w:sz w:val="20"/>
        </w:rPr>
        <w:t> </w:t>
      </w:r>
      <w:r>
        <w:rPr>
          <w:color w:val="231F20"/>
          <w:sz w:val="20"/>
        </w:rPr>
        <w:t>de</w:t>
      </w:r>
      <w:r>
        <w:rPr>
          <w:color w:val="231F20"/>
          <w:spacing w:val="-9"/>
          <w:sz w:val="20"/>
        </w:rPr>
        <w:t> </w:t>
      </w:r>
      <w:r>
        <w:rPr>
          <w:color w:val="231F20"/>
          <w:sz w:val="20"/>
        </w:rPr>
        <w:t>1961</w:t>
      </w:r>
      <w:r>
        <w:rPr>
          <w:color w:val="231F20"/>
          <w:spacing w:val="-7"/>
          <w:sz w:val="20"/>
        </w:rPr>
        <w:t> </w:t>
      </w:r>
      <w:r>
        <w:rPr>
          <w:color w:val="231F20"/>
          <w:sz w:val="20"/>
        </w:rPr>
        <w:t>et</w:t>
      </w:r>
      <w:r>
        <w:rPr>
          <w:color w:val="231F20"/>
          <w:spacing w:val="-8"/>
          <w:sz w:val="20"/>
        </w:rPr>
        <w:t> </w:t>
      </w:r>
      <w:r>
        <w:rPr>
          <w:color w:val="231F20"/>
          <w:sz w:val="20"/>
        </w:rPr>
        <w:t>l'idéologie</w:t>
      </w:r>
      <w:r>
        <w:rPr>
          <w:color w:val="231F20"/>
          <w:spacing w:val="-9"/>
          <w:sz w:val="20"/>
        </w:rPr>
        <w:t> </w:t>
      </w:r>
      <w:r>
        <w:rPr>
          <w:color w:val="231F20"/>
          <w:sz w:val="20"/>
        </w:rPr>
        <w:t>Hutu,</w:t>
      </w:r>
      <w:r>
        <w:rPr>
          <w:color w:val="231F20"/>
          <w:spacing w:val="-9"/>
          <w:sz w:val="20"/>
        </w:rPr>
        <w:t> </w:t>
      </w:r>
      <w:r>
        <w:rPr>
          <w:color w:val="231F20"/>
          <w:sz w:val="20"/>
        </w:rPr>
        <w:t>doivent être</w:t>
      </w:r>
      <w:r>
        <w:rPr>
          <w:color w:val="231F20"/>
          <w:spacing w:val="30"/>
          <w:sz w:val="20"/>
        </w:rPr>
        <w:t> </w:t>
      </w:r>
      <w:r>
        <w:rPr>
          <w:color w:val="231F20"/>
          <w:sz w:val="20"/>
        </w:rPr>
        <w:t>enseignés</w:t>
      </w:r>
      <w:r>
        <w:rPr>
          <w:color w:val="231F20"/>
          <w:spacing w:val="28"/>
          <w:sz w:val="20"/>
        </w:rPr>
        <w:t> </w:t>
      </w:r>
      <w:r>
        <w:rPr>
          <w:color w:val="231F20"/>
          <w:sz w:val="20"/>
        </w:rPr>
        <w:t>à</w:t>
      </w:r>
      <w:r>
        <w:rPr>
          <w:color w:val="231F20"/>
          <w:spacing w:val="30"/>
          <w:sz w:val="20"/>
        </w:rPr>
        <w:t> </w:t>
      </w:r>
      <w:r>
        <w:rPr>
          <w:color w:val="231F20"/>
          <w:sz w:val="20"/>
        </w:rPr>
        <w:t>tout</w:t>
      </w:r>
      <w:r>
        <w:rPr>
          <w:color w:val="231F20"/>
          <w:spacing w:val="29"/>
          <w:sz w:val="20"/>
        </w:rPr>
        <w:t> </w:t>
      </w:r>
      <w:r>
        <w:rPr>
          <w:color w:val="231F20"/>
          <w:sz w:val="20"/>
        </w:rPr>
        <w:t>Muhutu</w:t>
      </w:r>
      <w:r>
        <w:rPr>
          <w:color w:val="231F20"/>
          <w:spacing w:val="31"/>
          <w:sz w:val="20"/>
        </w:rPr>
        <w:t> </w:t>
      </w:r>
      <w:r>
        <w:rPr>
          <w:color w:val="231F20"/>
          <w:sz w:val="20"/>
        </w:rPr>
        <w:t>et</w:t>
      </w:r>
      <w:r>
        <w:rPr>
          <w:color w:val="231F20"/>
          <w:spacing w:val="29"/>
          <w:sz w:val="20"/>
        </w:rPr>
        <w:t> </w:t>
      </w:r>
      <w:r>
        <w:rPr>
          <w:color w:val="231F20"/>
          <w:sz w:val="20"/>
        </w:rPr>
        <w:t>à</w:t>
      </w:r>
      <w:r>
        <w:rPr>
          <w:color w:val="231F20"/>
          <w:spacing w:val="30"/>
          <w:sz w:val="20"/>
        </w:rPr>
        <w:t> </w:t>
      </w:r>
      <w:r>
        <w:rPr>
          <w:color w:val="231F20"/>
          <w:sz w:val="20"/>
        </w:rPr>
        <w:t>tous</w:t>
      </w:r>
      <w:r>
        <w:rPr>
          <w:color w:val="231F20"/>
          <w:spacing w:val="31"/>
          <w:sz w:val="20"/>
        </w:rPr>
        <w:t> </w:t>
      </w:r>
      <w:r>
        <w:rPr>
          <w:color w:val="231F20"/>
          <w:sz w:val="20"/>
        </w:rPr>
        <w:t>les</w:t>
      </w:r>
      <w:r>
        <w:rPr>
          <w:color w:val="231F20"/>
          <w:spacing w:val="28"/>
          <w:sz w:val="20"/>
        </w:rPr>
        <w:t> </w:t>
      </w:r>
      <w:r>
        <w:rPr>
          <w:color w:val="231F20"/>
          <w:sz w:val="20"/>
        </w:rPr>
        <w:t>niveaux.Tout</w:t>
      </w:r>
      <w:r>
        <w:rPr>
          <w:color w:val="231F20"/>
          <w:spacing w:val="30"/>
          <w:sz w:val="20"/>
        </w:rPr>
        <w:t> </w:t>
      </w:r>
      <w:r>
        <w:rPr>
          <w:color w:val="231F20"/>
          <w:sz w:val="20"/>
        </w:rPr>
        <w:t>Muhutu</w:t>
      </w:r>
      <w:r>
        <w:rPr>
          <w:color w:val="231F20"/>
          <w:spacing w:val="29"/>
          <w:sz w:val="20"/>
        </w:rPr>
        <w:t> </w:t>
      </w:r>
      <w:r>
        <w:rPr>
          <w:color w:val="231F20"/>
          <w:sz w:val="20"/>
        </w:rPr>
        <w:t>doit</w:t>
      </w:r>
      <w:r>
        <w:rPr>
          <w:color w:val="231F20"/>
          <w:spacing w:val="29"/>
          <w:sz w:val="20"/>
        </w:rPr>
        <w:t> </w:t>
      </w:r>
      <w:r>
        <w:rPr>
          <w:color w:val="231F20"/>
          <w:sz w:val="20"/>
        </w:rPr>
        <w:t>diffuser</w:t>
      </w:r>
    </w:p>
    <w:p>
      <w:pPr>
        <w:spacing w:after="0" w:line="240" w:lineRule="auto"/>
        <w:jc w:val="both"/>
        <w:rPr>
          <w:sz w:val="20"/>
        </w:rPr>
        <w:sectPr>
          <w:pgSz w:w="8790" w:h="13610"/>
          <w:pgMar w:header="0" w:footer="802" w:top="1060" w:bottom="1000" w:left="880" w:right="880"/>
        </w:sectPr>
      </w:pPr>
    </w:p>
    <w:p>
      <w:pPr>
        <w:pStyle w:val="BodyText"/>
        <w:spacing w:before="66"/>
        <w:ind w:right="104"/>
      </w:pPr>
      <w:r>
        <w:rPr>
          <w:color w:val="231F20"/>
        </w:rPr>
        <w:t>est</w:t>
      </w:r>
      <w:r>
        <w:rPr>
          <w:color w:val="231F20"/>
          <w:spacing w:val="-13"/>
        </w:rPr>
        <w:t> </w:t>
      </w:r>
      <w:r>
        <w:rPr>
          <w:color w:val="231F20"/>
        </w:rPr>
        <w:t>mise</w:t>
      </w:r>
      <w:r>
        <w:rPr>
          <w:color w:val="231F20"/>
          <w:spacing w:val="-7"/>
        </w:rPr>
        <w:t> </w:t>
      </w:r>
      <w:r>
        <w:rPr>
          <w:color w:val="231F20"/>
        </w:rPr>
        <w:t>en</w:t>
      </w:r>
      <w:r>
        <w:rPr>
          <w:color w:val="231F20"/>
          <w:spacing w:val="-8"/>
        </w:rPr>
        <w:t> </w:t>
      </w:r>
      <w:r>
        <w:rPr>
          <w:color w:val="231F20"/>
        </w:rPr>
        <w:t>place</w:t>
      </w:r>
      <w:r>
        <w:rPr>
          <w:color w:val="231F20"/>
          <w:spacing w:val="-15"/>
        </w:rPr>
        <w:t> </w:t>
      </w:r>
      <w:r>
        <w:rPr>
          <w:color w:val="231F20"/>
        </w:rPr>
        <w:t>:</w:t>
      </w:r>
      <w:r>
        <w:rPr>
          <w:color w:val="231F20"/>
          <w:spacing w:val="-8"/>
        </w:rPr>
        <w:t> </w:t>
      </w:r>
      <w:r>
        <w:rPr>
          <w:color w:val="231F20"/>
        </w:rPr>
        <w:t>les</w:t>
      </w:r>
      <w:r>
        <w:rPr>
          <w:color w:val="231F20"/>
          <w:spacing w:val="-7"/>
        </w:rPr>
        <w:t> </w:t>
      </w:r>
      <w:r>
        <w:rPr>
          <w:color w:val="231F20"/>
        </w:rPr>
        <w:t>Interahamwe</w:t>
      </w:r>
      <w:r>
        <w:rPr>
          <w:color w:val="231F20"/>
          <w:spacing w:val="-15"/>
        </w:rPr>
        <w:t> </w:t>
      </w:r>
      <w:r>
        <w:rPr>
          <w:color w:val="231F20"/>
        </w:rPr>
        <w:t>(ceux</w:t>
      </w:r>
      <w:r>
        <w:rPr>
          <w:color w:val="231F20"/>
          <w:spacing w:val="-7"/>
        </w:rPr>
        <w:t> </w:t>
      </w:r>
      <w:r>
        <w:rPr>
          <w:color w:val="231F20"/>
        </w:rPr>
        <w:t>qui</w:t>
      </w:r>
      <w:r>
        <w:rPr>
          <w:color w:val="231F20"/>
          <w:spacing w:val="-7"/>
        </w:rPr>
        <w:t> </w:t>
      </w:r>
      <w:r>
        <w:rPr>
          <w:color w:val="231F20"/>
        </w:rPr>
        <w:t>combattent</w:t>
      </w:r>
      <w:r>
        <w:rPr>
          <w:color w:val="231F20"/>
          <w:spacing w:val="-6"/>
        </w:rPr>
        <w:t> </w:t>
      </w:r>
      <w:r>
        <w:rPr>
          <w:color w:val="231F20"/>
        </w:rPr>
        <w:t>ensemble</w:t>
      </w:r>
      <w:r>
        <w:rPr>
          <w:color w:val="231F20"/>
          <w:spacing w:val="-7"/>
        </w:rPr>
        <w:t> </w:t>
      </w:r>
      <w:r>
        <w:rPr>
          <w:color w:val="231F20"/>
        </w:rPr>
        <w:t>)</w:t>
      </w:r>
      <w:r>
        <w:rPr>
          <w:color w:val="231F20"/>
          <w:spacing w:val="-8"/>
        </w:rPr>
        <w:t> </w:t>
      </w:r>
      <w:r>
        <w:rPr>
          <w:color w:val="231F20"/>
        </w:rPr>
        <w:t>en kinyarwanda,</w:t>
      </w:r>
      <w:r>
        <w:rPr>
          <w:color w:val="231F20"/>
          <w:spacing w:val="-3"/>
        </w:rPr>
        <w:t> </w:t>
      </w:r>
      <w:r>
        <w:rPr>
          <w:color w:val="231F20"/>
        </w:rPr>
        <w:t>la langue</w:t>
      </w:r>
      <w:r>
        <w:rPr>
          <w:color w:val="231F20"/>
          <w:spacing w:val="-1"/>
        </w:rPr>
        <w:t> </w:t>
      </w:r>
      <w:r>
        <w:rPr>
          <w:color w:val="231F20"/>
        </w:rPr>
        <w:t>locale. Les bras armés de</w:t>
      </w:r>
      <w:r>
        <w:rPr>
          <w:color w:val="231F20"/>
          <w:spacing w:val="-1"/>
        </w:rPr>
        <w:t> </w:t>
      </w:r>
      <w:r>
        <w:rPr>
          <w:color w:val="231F20"/>
        </w:rPr>
        <w:t>l’Administration</w:t>
      </w:r>
      <w:r>
        <w:rPr>
          <w:color w:val="231F20"/>
          <w:spacing w:val="-1"/>
        </w:rPr>
        <w:t> </w:t>
      </w:r>
      <w:r>
        <w:rPr>
          <w:color w:val="231F20"/>
        </w:rPr>
        <w:t>que sont les milices Hutu Interahamwe et les Forces Armées Rwandaises (FAR) érigent des barrages routiers, fouillent les maisons. Hommes, </w:t>
      </w:r>
      <w:r>
        <w:rPr>
          <w:color w:val="231F20"/>
          <w:spacing w:val="-2"/>
        </w:rPr>
        <w:t>femmes</w:t>
      </w:r>
      <w:r>
        <w:rPr>
          <w:color w:val="231F20"/>
          <w:spacing w:val="-15"/>
        </w:rPr>
        <w:t> </w:t>
      </w:r>
      <w:r>
        <w:rPr>
          <w:color w:val="231F20"/>
          <w:spacing w:val="-2"/>
        </w:rPr>
        <w:t>et</w:t>
      </w:r>
      <w:r>
        <w:rPr>
          <w:color w:val="231F20"/>
          <w:spacing w:val="-13"/>
        </w:rPr>
        <w:t> </w:t>
      </w:r>
      <w:r>
        <w:rPr>
          <w:color w:val="231F20"/>
          <w:spacing w:val="-2"/>
        </w:rPr>
        <w:t>enfants</w:t>
      </w:r>
      <w:r>
        <w:rPr>
          <w:color w:val="231F20"/>
          <w:spacing w:val="-13"/>
        </w:rPr>
        <w:t> </w:t>
      </w:r>
      <w:r>
        <w:rPr>
          <w:color w:val="231F20"/>
          <w:spacing w:val="-2"/>
        </w:rPr>
        <w:t>sont</w:t>
      </w:r>
      <w:r>
        <w:rPr>
          <w:color w:val="231F20"/>
          <w:spacing w:val="-13"/>
        </w:rPr>
        <w:t> </w:t>
      </w:r>
      <w:r>
        <w:rPr>
          <w:color w:val="231F20"/>
          <w:spacing w:val="-2"/>
        </w:rPr>
        <w:t>exterminés</w:t>
      </w:r>
      <w:r>
        <w:rPr>
          <w:color w:val="231F20"/>
          <w:spacing w:val="-13"/>
        </w:rPr>
        <w:t> </w:t>
      </w:r>
      <w:r>
        <w:rPr>
          <w:color w:val="231F20"/>
          <w:spacing w:val="-2"/>
        </w:rPr>
        <w:t>à</w:t>
      </w:r>
      <w:r>
        <w:rPr>
          <w:color w:val="231F20"/>
          <w:spacing w:val="-13"/>
        </w:rPr>
        <w:t> </w:t>
      </w:r>
      <w:r>
        <w:rPr>
          <w:color w:val="231F20"/>
          <w:spacing w:val="-2"/>
        </w:rPr>
        <w:t>coups</w:t>
      </w:r>
      <w:r>
        <w:rPr>
          <w:color w:val="231F20"/>
          <w:spacing w:val="-13"/>
        </w:rPr>
        <w:t> </w:t>
      </w:r>
      <w:r>
        <w:rPr>
          <w:color w:val="231F20"/>
          <w:spacing w:val="-2"/>
        </w:rPr>
        <w:t>de</w:t>
      </w:r>
      <w:r>
        <w:rPr>
          <w:color w:val="231F20"/>
          <w:spacing w:val="-13"/>
        </w:rPr>
        <w:t> </w:t>
      </w:r>
      <w:r>
        <w:rPr>
          <w:color w:val="231F20"/>
          <w:spacing w:val="-2"/>
        </w:rPr>
        <w:t>machettes,</w:t>
      </w:r>
      <w:r>
        <w:rPr>
          <w:color w:val="231F20"/>
          <w:spacing w:val="-13"/>
        </w:rPr>
        <w:t> </w:t>
      </w:r>
      <w:r>
        <w:rPr>
          <w:color w:val="231F20"/>
          <w:spacing w:val="-2"/>
        </w:rPr>
        <w:t>déchiquetés</w:t>
      </w:r>
      <w:r>
        <w:rPr>
          <w:color w:val="231F20"/>
          <w:spacing w:val="-13"/>
        </w:rPr>
        <w:t> </w:t>
      </w:r>
      <w:r>
        <w:rPr>
          <w:color w:val="231F20"/>
          <w:spacing w:val="-2"/>
        </w:rPr>
        <w:t>par </w:t>
      </w:r>
      <w:r>
        <w:rPr>
          <w:color w:val="231F20"/>
          <w:spacing w:val="-6"/>
        </w:rPr>
        <w:t>les grenades</w:t>
      </w:r>
      <w:r>
        <w:rPr>
          <w:color w:val="231F20"/>
          <w:spacing w:val="-9"/>
        </w:rPr>
        <w:t> </w:t>
      </w:r>
      <w:r>
        <w:rPr>
          <w:color w:val="231F20"/>
          <w:spacing w:val="-6"/>
        </w:rPr>
        <w:t>et les obus, dans la rue,</w:t>
      </w:r>
      <w:r>
        <w:rPr>
          <w:color w:val="231F20"/>
          <w:spacing w:val="-9"/>
        </w:rPr>
        <w:t> </w:t>
      </w:r>
      <w:r>
        <w:rPr>
          <w:color w:val="231F20"/>
          <w:spacing w:val="-6"/>
        </w:rPr>
        <w:t>chez eux,</w:t>
      </w:r>
      <w:r>
        <w:rPr>
          <w:color w:val="231F20"/>
          <w:spacing w:val="-7"/>
        </w:rPr>
        <w:t> </w:t>
      </w:r>
      <w:r>
        <w:rPr>
          <w:color w:val="231F20"/>
          <w:spacing w:val="-6"/>
        </w:rPr>
        <w:t>dans</w:t>
      </w:r>
      <w:r>
        <w:rPr>
          <w:color w:val="231F20"/>
          <w:spacing w:val="-9"/>
        </w:rPr>
        <w:t> </w:t>
      </w:r>
      <w:r>
        <w:rPr>
          <w:color w:val="231F20"/>
          <w:spacing w:val="-6"/>
        </w:rPr>
        <w:t>les églises et des écoles </w:t>
      </w:r>
      <w:r>
        <w:rPr>
          <w:color w:val="231F20"/>
        </w:rPr>
        <w:t>où ils ont trouvé refuge.</w:t>
      </w:r>
    </w:p>
    <w:p>
      <w:pPr>
        <w:pStyle w:val="BodyText"/>
        <w:spacing w:before="120"/>
        <w:ind w:right="104" w:firstLine="283"/>
      </w:pPr>
      <w:r>
        <w:rPr>
          <w:color w:val="231F20"/>
          <w:spacing w:val="-4"/>
        </w:rPr>
        <w:t>En</w:t>
      </w:r>
      <w:r>
        <w:rPr>
          <w:color w:val="231F20"/>
          <w:spacing w:val="-11"/>
        </w:rPr>
        <w:t> </w:t>
      </w:r>
      <w:r>
        <w:rPr>
          <w:color w:val="231F20"/>
          <w:spacing w:val="-4"/>
        </w:rPr>
        <w:t>une</w:t>
      </w:r>
      <w:r>
        <w:rPr>
          <w:color w:val="231F20"/>
          <w:spacing w:val="-11"/>
        </w:rPr>
        <w:t> </w:t>
      </w:r>
      <w:r>
        <w:rPr>
          <w:color w:val="231F20"/>
          <w:spacing w:val="-4"/>
        </w:rPr>
        <w:t>dizaine</w:t>
      </w:r>
      <w:r>
        <w:rPr>
          <w:color w:val="231F20"/>
          <w:spacing w:val="-11"/>
        </w:rPr>
        <w:t> </w:t>
      </w:r>
      <w:r>
        <w:rPr>
          <w:color w:val="231F20"/>
          <w:spacing w:val="-4"/>
        </w:rPr>
        <w:t>de</w:t>
      </w:r>
      <w:r>
        <w:rPr>
          <w:color w:val="231F20"/>
          <w:spacing w:val="-11"/>
        </w:rPr>
        <w:t> </w:t>
      </w:r>
      <w:r>
        <w:rPr>
          <w:color w:val="231F20"/>
          <w:spacing w:val="-4"/>
        </w:rPr>
        <w:t>jours,</w:t>
      </w:r>
      <w:r>
        <w:rPr>
          <w:color w:val="231F20"/>
          <w:spacing w:val="-11"/>
        </w:rPr>
        <w:t> </w:t>
      </w:r>
      <w:r>
        <w:rPr>
          <w:color w:val="231F20"/>
          <w:spacing w:val="-4"/>
        </w:rPr>
        <w:t>les</w:t>
      </w:r>
      <w:r>
        <w:rPr>
          <w:color w:val="231F20"/>
          <w:spacing w:val="-11"/>
        </w:rPr>
        <w:t> </w:t>
      </w:r>
      <w:r>
        <w:rPr>
          <w:color w:val="231F20"/>
          <w:spacing w:val="-4"/>
        </w:rPr>
        <w:t>massacres</w:t>
      </w:r>
      <w:r>
        <w:rPr>
          <w:color w:val="231F20"/>
          <w:spacing w:val="-11"/>
        </w:rPr>
        <w:t> </w:t>
      </w:r>
      <w:r>
        <w:rPr>
          <w:color w:val="231F20"/>
          <w:spacing w:val="-4"/>
        </w:rPr>
        <w:t>s’étendent</w:t>
      </w:r>
      <w:r>
        <w:rPr>
          <w:color w:val="231F20"/>
          <w:spacing w:val="-11"/>
        </w:rPr>
        <w:t> </w:t>
      </w:r>
      <w:r>
        <w:rPr>
          <w:color w:val="231F20"/>
          <w:spacing w:val="-4"/>
        </w:rPr>
        <w:t>à</w:t>
      </w:r>
      <w:r>
        <w:rPr>
          <w:color w:val="231F20"/>
          <w:spacing w:val="-11"/>
        </w:rPr>
        <w:t> </w:t>
      </w:r>
      <w:r>
        <w:rPr>
          <w:color w:val="231F20"/>
          <w:spacing w:val="-4"/>
        </w:rPr>
        <w:t>l’ensemble</w:t>
      </w:r>
      <w:r>
        <w:rPr>
          <w:color w:val="231F20"/>
          <w:spacing w:val="-11"/>
        </w:rPr>
        <w:t> </w:t>
      </w:r>
      <w:r>
        <w:rPr>
          <w:color w:val="231F20"/>
          <w:spacing w:val="-4"/>
        </w:rPr>
        <w:t>du</w:t>
      </w:r>
      <w:r>
        <w:rPr>
          <w:color w:val="231F20"/>
          <w:spacing w:val="-11"/>
        </w:rPr>
        <w:t> </w:t>
      </w:r>
      <w:r>
        <w:rPr>
          <w:color w:val="231F20"/>
          <w:spacing w:val="-4"/>
        </w:rPr>
        <w:t>pays. </w:t>
      </w:r>
      <w:r>
        <w:rPr>
          <w:color w:val="231F20"/>
        </w:rPr>
        <w:t>Un quart de la population de la capitale qui comptait alors 200</w:t>
      </w:r>
      <w:r>
        <w:rPr>
          <w:color w:val="231F20"/>
          <w:spacing w:val="-11"/>
        </w:rPr>
        <w:t> </w:t>
      </w:r>
      <w:r>
        <w:rPr>
          <w:color w:val="231F20"/>
        </w:rPr>
        <w:t>000 </w:t>
      </w:r>
      <w:r>
        <w:rPr>
          <w:color w:val="231F20"/>
          <w:spacing w:val="-4"/>
        </w:rPr>
        <w:t>habitants</w:t>
      </w:r>
      <w:r>
        <w:rPr>
          <w:color w:val="231F20"/>
          <w:spacing w:val="-7"/>
        </w:rPr>
        <w:t> </w:t>
      </w:r>
      <w:r>
        <w:rPr>
          <w:color w:val="231F20"/>
          <w:spacing w:val="-4"/>
        </w:rPr>
        <w:t>est</w:t>
      </w:r>
      <w:r>
        <w:rPr>
          <w:color w:val="231F20"/>
          <w:spacing w:val="-6"/>
        </w:rPr>
        <w:t> </w:t>
      </w:r>
      <w:r>
        <w:rPr>
          <w:color w:val="231F20"/>
          <w:spacing w:val="-4"/>
        </w:rPr>
        <w:t>exterminée</w:t>
      </w:r>
      <w:r>
        <w:rPr>
          <w:color w:val="231F20"/>
          <w:spacing w:val="-7"/>
        </w:rPr>
        <w:t> </w:t>
      </w:r>
      <w:r>
        <w:rPr>
          <w:color w:val="231F20"/>
          <w:spacing w:val="-4"/>
        </w:rPr>
        <w:t>en</w:t>
      </w:r>
      <w:r>
        <w:rPr>
          <w:color w:val="231F20"/>
          <w:spacing w:val="-7"/>
        </w:rPr>
        <w:t> </w:t>
      </w:r>
      <w:r>
        <w:rPr>
          <w:color w:val="231F20"/>
          <w:spacing w:val="-4"/>
        </w:rPr>
        <w:t>l’espace</w:t>
      </w:r>
      <w:r>
        <w:rPr>
          <w:color w:val="231F20"/>
          <w:spacing w:val="-7"/>
        </w:rPr>
        <w:t> </w:t>
      </w:r>
      <w:r>
        <w:rPr>
          <w:color w:val="231F20"/>
          <w:spacing w:val="-4"/>
        </w:rPr>
        <w:t>d’un</w:t>
      </w:r>
      <w:r>
        <w:rPr>
          <w:color w:val="231F20"/>
          <w:spacing w:val="-6"/>
        </w:rPr>
        <w:t> </w:t>
      </w:r>
      <w:r>
        <w:rPr>
          <w:color w:val="231F20"/>
          <w:spacing w:val="-4"/>
        </w:rPr>
        <w:t>mois.</w:t>
      </w:r>
      <w:r>
        <w:rPr>
          <w:color w:val="231F20"/>
          <w:spacing w:val="-6"/>
        </w:rPr>
        <w:t> </w:t>
      </w:r>
      <w:r>
        <w:rPr>
          <w:color w:val="231F20"/>
          <w:spacing w:val="-4"/>
        </w:rPr>
        <w:t>Les</w:t>
      </w:r>
      <w:r>
        <w:rPr>
          <w:color w:val="231F20"/>
          <w:spacing w:val="-9"/>
        </w:rPr>
        <w:t> </w:t>
      </w:r>
      <w:r>
        <w:rPr>
          <w:color w:val="231F20"/>
          <w:spacing w:val="-4"/>
        </w:rPr>
        <w:t>tueries</w:t>
      </w:r>
      <w:r>
        <w:rPr>
          <w:color w:val="231F20"/>
          <w:spacing w:val="-9"/>
        </w:rPr>
        <w:t> </w:t>
      </w:r>
      <w:r>
        <w:rPr>
          <w:color w:val="231F20"/>
          <w:spacing w:val="-4"/>
        </w:rPr>
        <w:t>prennent</w:t>
      </w:r>
      <w:r>
        <w:rPr>
          <w:color w:val="231F20"/>
          <w:spacing w:val="-8"/>
        </w:rPr>
        <w:t> </w:t>
      </w:r>
      <w:r>
        <w:rPr>
          <w:color w:val="231F20"/>
          <w:spacing w:val="-4"/>
        </w:rPr>
        <w:t>fin</w:t>
      </w:r>
      <w:r>
        <w:rPr>
          <w:color w:val="231F20"/>
          <w:spacing w:val="-9"/>
        </w:rPr>
        <w:t> </w:t>
      </w:r>
      <w:r>
        <w:rPr>
          <w:color w:val="231F20"/>
          <w:spacing w:val="-4"/>
        </w:rPr>
        <w:t>le </w:t>
      </w:r>
      <w:r>
        <w:rPr>
          <w:color w:val="231F20"/>
          <w:spacing w:val="-2"/>
        </w:rPr>
        <w:t>04</w:t>
      </w:r>
      <w:r>
        <w:rPr>
          <w:color w:val="231F20"/>
          <w:spacing w:val="-10"/>
        </w:rPr>
        <w:t> </w:t>
      </w:r>
      <w:r>
        <w:rPr>
          <w:color w:val="231F20"/>
          <w:spacing w:val="-2"/>
        </w:rPr>
        <w:t>juillet</w:t>
      </w:r>
      <w:r>
        <w:rPr>
          <w:color w:val="231F20"/>
          <w:spacing w:val="-10"/>
        </w:rPr>
        <w:t> </w:t>
      </w:r>
      <w:r>
        <w:rPr>
          <w:color w:val="231F20"/>
          <w:spacing w:val="-2"/>
        </w:rPr>
        <w:t>1994,</w:t>
      </w:r>
      <w:r>
        <w:rPr>
          <w:color w:val="231F20"/>
          <w:spacing w:val="-10"/>
        </w:rPr>
        <w:t> </w:t>
      </w:r>
      <w:r>
        <w:rPr>
          <w:color w:val="231F20"/>
          <w:spacing w:val="-2"/>
        </w:rPr>
        <w:t>avec</w:t>
      </w:r>
      <w:r>
        <w:rPr>
          <w:color w:val="231F20"/>
          <w:spacing w:val="-11"/>
        </w:rPr>
        <w:t> </w:t>
      </w:r>
      <w:r>
        <w:rPr>
          <w:color w:val="231F20"/>
          <w:spacing w:val="-2"/>
        </w:rPr>
        <w:t>la</w:t>
      </w:r>
      <w:r>
        <w:rPr>
          <w:color w:val="231F20"/>
          <w:spacing w:val="-10"/>
        </w:rPr>
        <w:t> </w:t>
      </w:r>
      <w:r>
        <w:rPr>
          <w:color w:val="231F20"/>
          <w:spacing w:val="-2"/>
        </w:rPr>
        <w:t>prise</w:t>
      </w:r>
      <w:r>
        <w:rPr>
          <w:color w:val="231F20"/>
          <w:spacing w:val="-10"/>
        </w:rPr>
        <w:t> </w:t>
      </w:r>
      <w:r>
        <w:rPr>
          <w:color w:val="231F20"/>
          <w:spacing w:val="-2"/>
        </w:rPr>
        <w:t>de</w:t>
      </w:r>
      <w:r>
        <w:rPr>
          <w:color w:val="231F20"/>
          <w:spacing w:val="-10"/>
        </w:rPr>
        <w:t> </w:t>
      </w:r>
      <w:r>
        <w:rPr>
          <w:color w:val="231F20"/>
          <w:spacing w:val="-2"/>
        </w:rPr>
        <w:t>Kigali</w:t>
      </w:r>
      <w:r>
        <w:rPr>
          <w:color w:val="231F20"/>
          <w:spacing w:val="-10"/>
        </w:rPr>
        <w:t> </w:t>
      </w:r>
      <w:r>
        <w:rPr>
          <w:color w:val="231F20"/>
          <w:spacing w:val="-2"/>
        </w:rPr>
        <w:t>par</w:t>
      </w:r>
      <w:r>
        <w:rPr>
          <w:color w:val="231F20"/>
          <w:spacing w:val="-11"/>
        </w:rPr>
        <w:t> </w:t>
      </w:r>
      <w:r>
        <w:rPr>
          <w:color w:val="231F20"/>
          <w:spacing w:val="-2"/>
        </w:rPr>
        <w:t>les</w:t>
      </w:r>
      <w:r>
        <w:rPr>
          <w:color w:val="231F20"/>
          <w:spacing w:val="-10"/>
        </w:rPr>
        <w:t> </w:t>
      </w:r>
      <w:r>
        <w:rPr>
          <w:color w:val="231F20"/>
          <w:spacing w:val="-2"/>
        </w:rPr>
        <w:t>rebelles</w:t>
      </w:r>
      <w:r>
        <w:rPr>
          <w:color w:val="231F20"/>
          <w:spacing w:val="-10"/>
        </w:rPr>
        <w:t> </w:t>
      </w:r>
      <w:r>
        <w:rPr>
          <w:color w:val="231F20"/>
          <w:spacing w:val="-2"/>
        </w:rPr>
        <w:t>du</w:t>
      </w:r>
      <w:r>
        <w:rPr>
          <w:color w:val="231F20"/>
          <w:spacing w:val="-10"/>
        </w:rPr>
        <w:t> </w:t>
      </w:r>
      <w:r>
        <w:rPr>
          <w:color w:val="231F20"/>
          <w:spacing w:val="-2"/>
        </w:rPr>
        <w:t>FPR</w:t>
      </w:r>
      <w:r>
        <w:rPr>
          <w:color w:val="231F20"/>
          <w:spacing w:val="-11"/>
        </w:rPr>
        <w:t> </w:t>
      </w:r>
      <w:r>
        <w:rPr>
          <w:color w:val="231F20"/>
          <w:spacing w:val="-2"/>
        </w:rPr>
        <w:t>dirigés</w:t>
      </w:r>
      <w:r>
        <w:rPr>
          <w:color w:val="231F20"/>
          <w:spacing w:val="-9"/>
        </w:rPr>
        <w:t> </w:t>
      </w:r>
      <w:r>
        <w:rPr>
          <w:color w:val="231F20"/>
          <w:spacing w:val="-2"/>
        </w:rPr>
        <w:t>par </w:t>
      </w:r>
      <w:r>
        <w:rPr>
          <w:color w:val="231F20"/>
        </w:rPr>
        <w:t>Paul Kagame.</w:t>
      </w:r>
    </w:p>
    <w:p>
      <w:pPr>
        <w:pStyle w:val="BodyText"/>
        <w:spacing w:before="121"/>
        <w:ind w:right="105" w:firstLine="283"/>
      </w:pPr>
      <w:r>
        <w:rPr>
          <w:color w:val="231F20"/>
        </w:rPr>
        <w:t>À la suite de sa victoire militaire, le FPR établit un gouvernement d'unité nationale, sur la base des</w:t>
      </w:r>
      <w:r>
        <w:rPr>
          <w:color w:val="231F20"/>
          <w:spacing w:val="-15"/>
        </w:rPr>
        <w:t> </w:t>
      </w:r>
      <w:r>
        <w:rPr>
          <w:color w:val="231F20"/>
        </w:rPr>
        <w:t>accords d'Arusha. Le</w:t>
      </w:r>
      <w:r>
        <w:rPr>
          <w:color w:val="231F20"/>
          <w:spacing w:val="-15"/>
        </w:rPr>
        <w:t> </w:t>
      </w:r>
      <w:r>
        <w:rPr>
          <w:color w:val="231F20"/>
        </w:rPr>
        <w:t>19</w:t>
      </w:r>
      <w:r>
        <w:rPr>
          <w:color w:val="231F20"/>
          <w:spacing w:val="-15"/>
        </w:rPr>
        <w:t> </w:t>
      </w:r>
      <w:r>
        <w:rPr>
          <w:color w:val="231F20"/>
        </w:rPr>
        <w:t>juillet</w:t>
      </w:r>
      <w:r>
        <w:rPr>
          <w:color w:val="231F20"/>
          <w:spacing w:val="-15"/>
        </w:rPr>
        <w:t> </w:t>
      </w:r>
      <w:r>
        <w:rPr>
          <w:color w:val="231F20"/>
        </w:rPr>
        <w:t>1994. Pasteur</w:t>
      </w:r>
      <w:r>
        <w:rPr>
          <w:color w:val="231F20"/>
          <w:spacing w:val="-15"/>
        </w:rPr>
        <w:t> </w:t>
      </w:r>
      <w:r>
        <w:rPr>
          <w:color w:val="231F20"/>
        </w:rPr>
        <w:t>Bizimungu</w:t>
      </w:r>
      <w:r>
        <w:rPr>
          <w:color w:val="231F20"/>
          <w:spacing w:val="-15"/>
        </w:rPr>
        <w:t> </w:t>
      </w:r>
      <w:r>
        <w:rPr>
          <w:color w:val="231F20"/>
        </w:rPr>
        <w:t>devient</w:t>
      </w:r>
      <w:r>
        <w:rPr>
          <w:color w:val="231F20"/>
          <w:spacing w:val="-15"/>
        </w:rPr>
        <w:t> </w:t>
      </w:r>
      <w:r>
        <w:rPr>
          <w:color w:val="231F20"/>
        </w:rPr>
        <w:t>Président</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République,</w:t>
      </w:r>
      <w:r>
        <w:rPr>
          <w:color w:val="231F20"/>
          <w:spacing w:val="-15"/>
        </w:rPr>
        <w:t> </w:t>
      </w:r>
      <w:r>
        <w:rPr>
          <w:color w:val="231F20"/>
        </w:rPr>
        <w:t>et</w:t>
      </w:r>
      <w:r>
        <w:rPr>
          <w:color w:val="231F20"/>
          <w:spacing w:val="-15"/>
        </w:rPr>
        <w:t> </w:t>
      </w:r>
      <w:r>
        <w:rPr>
          <w:color w:val="231F20"/>
        </w:rPr>
        <w:t>Paul</w:t>
      </w:r>
      <w:r>
        <w:rPr>
          <w:color w:val="231F20"/>
          <w:spacing w:val="-15"/>
        </w:rPr>
        <w:t> </w:t>
      </w:r>
      <w:r>
        <w:rPr>
          <w:color w:val="231F20"/>
        </w:rPr>
        <w:t>Kagame, </w:t>
      </w:r>
      <w:r>
        <w:rPr>
          <w:color w:val="231F20"/>
          <w:spacing w:val="-2"/>
        </w:rPr>
        <w:t>Vice-président.</w:t>
      </w:r>
    </w:p>
    <w:p>
      <w:pPr>
        <w:pStyle w:val="BodyText"/>
        <w:spacing w:before="120"/>
        <w:ind w:right="104" w:firstLine="283"/>
      </w:pPr>
      <w:r>
        <w:rPr>
          <w:color w:val="231F20"/>
        </w:rPr>
        <w:t>En</w:t>
      </w:r>
      <w:r>
        <w:rPr>
          <w:color w:val="231F20"/>
          <w:spacing w:val="-13"/>
        </w:rPr>
        <w:t> </w:t>
      </w:r>
      <w:r>
        <w:rPr>
          <w:color w:val="231F20"/>
        </w:rPr>
        <w:t>1996,</w:t>
      </w:r>
      <w:r>
        <w:rPr>
          <w:color w:val="231F20"/>
          <w:spacing w:val="-14"/>
        </w:rPr>
        <w:t> </w:t>
      </w:r>
      <w:r>
        <w:rPr>
          <w:color w:val="231F20"/>
        </w:rPr>
        <w:t>pour</w:t>
      </w:r>
      <w:r>
        <w:rPr>
          <w:color w:val="231F20"/>
          <w:spacing w:val="-13"/>
        </w:rPr>
        <w:t> </w:t>
      </w:r>
      <w:r>
        <w:rPr>
          <w:color w:val="231F20"/>
        </w:rPr>
        <w:t>venir</w:t>
      </w:r>
      <w:r>
        <w:rPr>
          <w:color w:val="231F20"/>
          <w:spacing w:val="-13"/>
        </w:rPr>
        <w:t> </w:t>
      </w:r>
      <w:r>
        <w:rPr>
          <w:color w:val="231F20"/>
        </w:rPr>
        <w:t>à</w:t>
      </w:r>
      <w:r>
        <w:rPr>
          <w:color w:val="231F20"/>
          <w:spacing w:val="-15"/>
        </w:rPr>
        <w:t> </w:t>
      </w:r>
      <w:r>
        <w:rPr>
          <w:color w:val="231F20"/>
        </w:rPr>
        <w:t>bout</w:t>
      </w:r>
      <w:r>
        <w:rPr>
          <w:color w:val="231F20"/>
          <w:spacing w:val="-14"/>
        </w:rPr>
        <w:t> </w:t>
      </w:r>
      <w:r>
        <w:rPr>
          <w:color w:val="231F20"/>
        </w:rPr>
        <w:t>des</w:t>
      </w:r>
      <w:r>
        <w:rPr>
          <w:color w:val="231F20"/>
          <w:spacing w:val="-14"/>
        </w:rPr>
        <w:t> </w:t>
      </w:r>
      <w:r>
        <w:rPr>
          <w:color w:val="231F20"/>
        </w:rPr>
        <w:t>génocidaires</w:t>
      </w:r>
      <w:r>
        <w:rPr>
          <w:color w:val="231F20"/>
          <w:spacing w:val="-14"/>
        </w:rPr>
        <w:t> </w:t>
      </w:r>
      <w:r>
        <w:rPr>
          <w:color w:val="231F20"/>
        </w:rPr>
        <w:t>repliés</w:t>
      </w:r>
      <w:r>
        <w:rPr>
          <w:color w:val="231F20"/>
          <w:spacing w:val="-13"/>
        </w:rPr>
        <w:t> </w:t>
      </w:r>
      <w:r>
        <w:rPr>
          <w:color w:val="231F20"/>
        </w:rPr>
        <w:t>au</w:t>
      </w:r>
      <w:r>
        <w:rPr>
          <w:color w:val="231F20"/>
          <w:spacing w:val="-14"/>
        </w:rPr>
        <w:t> </w:t>
      </w:r>
      <w:r>
        <w:rPr>
          <w:color w:val="231F20"/>
        </w:rPr>
        <w:t>Zaïre,</w:t>
      </w:r>
      <w:r>
        <w:rPr>
          <w:color w:val="231F20"/>
          <w:spacing w:val="-14"/>
        </w:rPr>
        <w:t> </w:t>
      </w:r>
      <w:r>
        <w:rPr>
          <w:color w:val="231F20"/>
        </w:rPr>
        <w:t>le</w:t>
      </w:r>
      <w:r>
        <w:rPr>
          <w:color w:val="231F20"/>
          <w:spacing w:val="-15"/>
        </w:rPr>
        <w:t> </w:t>
      </w:r>
      <w:r>
        <w:rPr>
          <w:color w:val="231F20"/>
        </w:rPr>
        <w:t>Front Patriotique Rwandais (FPR) de Paul Kagamé, allié à l'Ouganda et aux </w:t>
      </w:r>
      <w:r>
        <w:rPr>
          <w:color w:val="231F20"/>
          <w:spacing w:val="-4"/>
        </w:rPr>
        <w:t>rebelles</w:t>
      </w:r>
      <w:r>
        <w:rPr>
          <w:color w:val="231F20"/>
          <w:spacing w:val="-9"/>
        </w:rPr>
        <w:t> </w:t>
      </w:r>
      <w:r>
        <w:rPr>
          <w:color w:val="231F20"/>
          <w:spacing w:val="-4"/>
        </w:rPr>
        <w:t>de</w:t>
      </w:r>
      <w:r>
        <w:rPr>
          <w:color w:val="231F20"/>
          <w:spacing w:val="-10"/>
        </w:rPr>
        <w:t> </w:t>
      </w:r>
      <w:r>
        <w:rPr>
          <w:color w:val="231F20"/>
          <w:spacing w:val="-4"/>
        </w:rPr>
        <w:t>l'Est</w:t>
      </w:r>
      <w:r>
        <w:rPr>
          <w:color w:val="231F20"/>
          <w:spacing w:val="-8"/>
        </w:rPr>
        <w:t> </w:t>
      </w:r>
      <w:r>
        <w:rPr>
          <w:color w:val="231F20"/>
          <w:spacing w:val="-4"/>
        </w:rPr>
        <w:t>du</w:t>
      </w:r>
      <w:r>
        <w:rPr>
          <w:color w:val="231F20"/>
          <w:spacing w:val="-9"/>
        </w:rPr>
        <w:t> </w:t>
      </w:r>
      <w:r>
        <w:rPr>
          <w:color w:val="231F20"/>
          <w:spacing w:val="-4"/>
        </w:rPr>
        <w:t>Zaïre,</w:t>
      </w:r>
      <w:r>
        <w:rPr>
          <w:color w:val="231F20"/>
          <w:spacing w:val="-11"/>
        </w:rPr>
        <w:t> </w:t>
      </w:r>
      <w:r>
        <w:rPr>
          <w:color w:val="231F20"/>
          <w:spacing w:val="-4"/>
        </w:rPr>
        <w:t>envahit</w:t>
      </w:r>
      <w:r>
        <w:rPr>
          <w:color w:val="231F20"/>
          <w:spacing w:val="-8"/>
        </w:rPr>
        <w:t> </w:t>
      </w:r>
      <w:r>
        <w:rPr>
          <w:color w:val="231F20"/>
          <w:spacing w:val="-4"/>
        </w:rPr>
        <w:t>le</w:t>
      </w:r>
      <w:r>
        <w:rPr>
          <w:color w:val="231F20"/>
          <w:spacing w:val="-10"/>
        </w:rPr>
        <w:t> </w:t>
      </w:r>
      <w:r>
        <w:rPr>
          <w:color w:val="231F20"/>
          <w:spacing w:val="-4"/>
        </w:rPr>
        <w:t>Zaïre</w:t>
      </w:r>
      <w:r>
        <w:rPr>
          <w:color w:val="231F20"/>
          <w:spacing w:val="-10"/>
        </w:rPr>
        <w:t> </w:t>
      </w:r>
      <w:r>
        <w:rPr>
          <w:color w:val="231F20"/>
          <w:spacing w:val="-4"/>
        </w:rPr>
        <w:t>et</w:t>
      </w:r>
      <w:r>
        <w:rPr>
          <w:color w:val="231F20"/>
          <w:spacing w:val="-8"/>
        </w:rPr>
        <w:t> </w:t>
      </w:r>
      <w:r>
        <w:rPr>
          <w:color w:val="231F20"/>
          <w:spacing w:val="-4"/>
        </w:rPr>
        <w:t>aide</w:t>
      </w:r>
      <w:r>
        <w:rPr>
          <w:color w:val="231F20"/>
          <w:spacing w:val="-10"/>
        </w:rPr>
        <w:t> </w:t>
      </w:r>
      <w:r>
        <w:rPr>
          <w:color w:val="231F20"/>
          <w:spacing w:val="-4"/>
        </w:rPr>
        <w:t>le</w:t>
      </w:r>
      <w:r>
        <w:rPr>
          <w:color w:val="231F20"/>
          <w:spacing w:val="-6"/>
        </w:rPr>
        <w:t> </w:t>
      </w:r>
      <w:r>
        <w:rPr>
          <w:color w:val="231F20"/>
          <w:spacing w:val="-4"/>
        </w:rPr>
        <w:t>front</w:t>
      </w:r>
      <w:r>
        <w:rPr>
          <w:color w:val="231F20"/>
          <w:spacing w:val="-5"/>
        </w:rPr>
        <w:t> </w:t>
      </w:r>
      <w:r>
        <w:rPr>
          <w:color w:val="231F20"/>
          <w:spacing w:val="-4"/>
        </w:rPr>
        <w:t>rebelle</w:t>
      </w:r>
      <w:r>
        <w:rPr>
          <w:color w:val="231F20"/>
          <w:spacing w:val="-10"/>
        </w:rPr>
        <w:t> </w:t>
      </w:r>
      <w:r>
        <w:rPr>
          <w:color w:val="231F20"/>
          <w:spacing w:val="-4"/>
        </w:rPr>
        <w:t>dirigé</w:t>
      </w:r>
      <w:r>
        <w:rPr>
          <w:color w:val="231F20"/>
          <w:spacing w:val="-10"/>
        </w:rPr>
        <w:t> </w:t>
      </w:r>
      <w:r>
        <w:rPr>
          <w:color w:val="231F20"/>
          <w:spacing w:val="-4"/>
        </w:rPr>
        <w:t>par </w:t>
      </w:r>
      <w:r>
        <w:rPr>
          <w:color w:val="231F20"/>
        </w:rPr>
        <w:t>Laurent Désiré Kabila à renverser en mai 1997, le président du Zaïre, Mobutu Sésé Séko.</w:t>
      </w:r>
    </w:p>
    <w:p>
      <w:pPr>
        <w:pStyle w:val="BodyText"/>
        <w:spacing w:before="120"/>
        <w:ind w:right="106" w:firstLine="283"/>
      </w:pPr>
      <w:r>
        <w:rPr>
          <w:color w:val="231F20"/>
        </w:rPr>
        <w:t>Le</w:t>
      </w:r>
      <w:r>
        <w:rPr>
          <w:color w:val="231F20"/>
          <w:spacing w:val="-15"/>
        </w:rPr>
        <w:t> </w:t>
      </w:r>
      <w:r>
        <w:rPr>
          <w:color w:val="231F20"/>
        </w:rPr>
        <w:t>23</w:t>
      </w:r>
      <w:r>
        <w:rPr>
          <w:color w:val="231F20"/>
          <w:spacing w:val="-15"/>
        </w:rPr>
        <w:t> </w:t>
      </w:r>
      <w:r>
        <w:rPr>
          <w:color w:val="231F20"/>
        </w:rPr>
        <w:t>mars</w:t>
      </w:r>
      <w:r>
        <w:rPr>
          <w:color w:val="231F20"/>
          <w:spacing w:val="-15"/>
        </w:rPr>
        <w:t> </w:t>
      </w:r>
      <w:r>
        <w:rPr>
          <w:color w:val="231F20"/>
        </w:rPr>
        <w:t>2000,</w:t>
      </w:r>
      <w:r>
        <w:rPr>
          <w:color w:val="231F20"/>
          <w:spacing w:val="40"/>
        </w:rPr>
        <w:t> </w:t>
      </w:r>
      <w:r>
        <w:rPr>
          <w:color w:val="231F20"/>
        </w:rPr>
        <w:t>Pasteur</w:t>
      </w:r>
      <w:r>
        <w:rPr>
          <w:color w:val="231F20"/>
          <w:spacing w:val="40"/>
        </w:rPr>
        <w:t> </w:t>
      </w:r>
      <w:r>
        <w:rPr>
          <w:color w:val="231F20"/>
        </w:rPr>
        <w:t>Bizimungu</w:t>
      </w:r>
      <w:r>
        <w:rPr>
          <w:color w:val="231F20"/>
          <w:spacing w:val="40"/>
        </w:rPr>
        <w:t> </w:t>
      </w:r>
      <w:r>
        <w:rPr>
          <w:color w:val="231F20"/>
        </w:rPr>
        <w:t>démissionne</w:t>
      </w:r>
      <w:r>
        <w:rPr>
          <w:color w:val="231F20"/>
          <w:spacing w:val="40"/>
        </w:rPr>
        <w:t> </w:t>
      </w:r>
      <w:r>
        <w:rPr>
          <w:i/>
          <w:color w:val="231F20"/>
        </w:rPr>
        <w:t>«</w:t>
      </w:r>
      <w:r>
        <w:rPr>
          <w:i/>
          <w:color w:val="231F20"/>
          <w:spacing w:val="-15"/>
        </w:rPr>
        <w:t> </w:t>
      </w:r>
      <w:r>
        <w:rPr>
          <w:i/>
          <w:color w:val="231F20"/>
        </w:rPr>
        <w:t>pour</w:t>
      </w:r>
      <w:r>
        <w:rPr>
          <w:i/>
          <w:color w:val="231F20"/>
          <w:spacing w:val="40"/>
        </w:rPr>
        <w:t> </w:t>
      </w:r>
      <w:r>
        <w:rPr>
          <w:i/>
          <w:color w:val="231F20"/>
        </w:rPr>
        <w:t>raisons</w:t>
      </w:r>
      <w:r>
        <w:rPr>
          <w:i/>
          <w:color w:val="231F20"/>
        </w:rPr>
        <w:t> </w:t>
      </w:r>
      <w:r>
        <w:rPr>
          <w:color w:val="231F20"/>
        </w:rPr>
        <w:t>personnelles</w:t>
      </w:r>
      <w:r>
        <w:rPr>
          <w:color w:val="231F20"/>
          <w:spacing w:val="-15"/>
        </w:rPr>
        <w:t> </w:t>
      </w:r>
      <w:r>
        <w:rPr>
          <w:color w:val="231F20"/>
        </w:rPr>
        <w:t>», et le Vice-président Paul Kagame</w:t>
      </w:r>
      <w:r>
        <w:rPr>
          <w:color w:val="231F20"/>
          <w:spacing w:val="-15"/>
        </w:rPr>
        <w:t> </w:t>
      </w:r>
      <w:r>
        <w:rPr>
          <w:color w:val="231F20"/>
        </w:rPr>
        <w:t>lui succède comme Président</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République</w:t>
      </w:r>
      <w:r>
        <w:rPr>
          <w:color w:val="231F20"/>
          <w:spacing w:val="-15"/>
        </w:rPr>
        <w:t> </w:t>
      </w:r>
      <w:r>
        <w:rPr>
          <w:color w:val="231F20"/>
        </w:rPr>
        <w:t>par</w:t>
      </w:r>
      <w:r>
        <w:rPr>
          <w:color w:val="231F20"/>
          <w:spacing w:val="-15"/>
        </w:rPr>
        <w:t> </w:t>
      </w:r>
      <w:r>
        <w:rPr>
          <w:color w:val="231F20"/>
        </w:rPr>
        <w:t>intérim.</w:t>
      </w:r>
      <w:r>
        <w:rPr>
          <w:color w:val="231F20"/>
          <w:spacing w:val="-13"/>
        </w:rPr>
        <w:t> </w:t>
      </w:r>
      <w:r>
        <w:rPr>
          <w:color w:val="231F20"/>
        </w:rPr>
        <w:t>Il</w:t>
      </w:r>
      <w:r>
        <w:rPr>
          <w:color w:val="231F20"/>
          <w:spacing w:val="-13"/>
        </w:rPr>
        <w:t> </w:t>
      </w:r>
      <w:r>
        <w:rPr>
          <w:color w:val="231F20"/>
        </w:rPr>
        <w:t>est</w:t>
      </w:r>
      <w:r>
        <w:rPr>
          <w:color w:val="231F20"/>
          <w:spacing w:val="-13"/>
        </w:rPr>
        <w:t> </w:t>
      </w:r>
      <w:r>
        <w:rPr>
          <w:color w:val="231F20"/>
        </w:rPr>
        <w:t>élu</w:t>
      </w:r>
      <w:r>
        <w:rPr>
          <w:color w:val="231F20"/>
          <w:spacing w:val="-15"/>
        </w:rPr>
        <w:t> </w:t>
      </w:r>
      <w:r>
        <w:rPr>
          <w:color w:val="231F20"/>
        </w:rPr>
        <w:t>moins</w:t>
      </w:r>
      <w:r>
        <w:rPr>
          <w:color w:val="231F20"/>
          <w:spacing w:val="-15"/>
        </w:rPr>
        <w:t> </w:t>
      </w:r>
      <w:r>
        <w:rPr>
          <w:color w:val="231F20"/>
        </w:rPr>
        <w:t>d’un</w:t>
      </w:r>
      <w:r>
        <w:rPr>
          <w:color w:val="231F20"/>
          <w:spacing w:val="-15"/>
        </w:rPr>
        <w:t> </w:t>
      </w:r>
      <w:r>
        <w:rPr>
          <w:color w:val="231F20"/>
        </w:rPr>
        <w:t>mois</w:t>
      </w:r>
      <w:r>
        <w:rPr>
          <w:color w:val="231F20"/>
          <w:spacing w:val="-15"/>
        </w:rPr>
        <w:t> </w:t>
      </w:r>
      <w:r>
        <w:rPr>
          <w:color w:val="231F20"/>
        </w:rPr>
        <w:t>après, le</w:t>
      </w:r>
      <w:r>
        <w:rPr>
          <w:color w:val="231F20"/>
          <w:spacing w:val="-3"/>
        </w:rPr>
        <w:t> </w:t>
      </w:r>
      <w:r>
        <w:rPr>
          <w:color w:val="231F20"/>
        </w:rPr>
        <w:t>17</w:t>
      </w:r>
      <w:r>
        <w:rPr>
          <w:color w:val="231F20"/>
          <w:spacing w:val="-3"/>
        </w:rPr>
        <w:t> </w:t>
      </w:r>
      <w:r>
        <w:rPr>
          <w:color w:val="231F20"/>
        </w:rPr>
        <w:t>avril,</w:t>
      </w:r>
      <w:r>
        <w:rPr>
          <w:color w:val="231F20"/>
          <w:spacing w:val="-3"/>
        </w:rPr>
        <w:t> </w:t>
      </w:r>
      <w:r>
        <w:rPr>
          <w:color w:val="231F20"/>
        </w:rPr>
        <w:t>Président</w:t>
      </w:r>
      <w:r>
        <w:rPr>
          <w:color w:val="231F20"/>
          <w:spacing w:val="-3"/>
        </w:rPr>
        <w:t> </w:t>
      </w:r>
      <w:r>
        <w:rPr>
          <w:color w:val="231F20"/>
        </w:rPr>
        <w:t>de</w:t>
      </w:r>
      <w:r>
        <w:rPr>
          <w:color w:val="231F20"/>
          <w:spacing w:val="-6"/>
        </w:rPr>
        <w:t> </w:t>
      </w:r>
      <w:r>
        <w:rPr>
          <w:color w:val="231F20"/>
        </w:rPr>
        <w:t>la</w:t>
      </w:r>
      <w:r>
        <w:rPr>
          <w:color w:val="231F20"/>
          <w:spacing w:val="-7"/>
        </w:rPr>
        <w:t> </w:t>
      </w:r>
      <w:r>
        <w:rPr>
          <w:color w:val="231F20"/>
        </w:rPr>
        <w:t>République</w:t>
      </w:r>
      <w:r>
        <w:rPr>
          <w:color w:val="231F20"/>
          <w:spacing w:val="-4"/>
        </w:rPr>
        <w:t> </w:t>
      </w:r>
      <w:r>
        <w:rPr>
          <w:color w:val="231F20"/>
        </w:rPr>
        <w:t>par</w:t>
      </w:r>
      <w:r>
        <w:rPr>
          <w:color w:val="231F20"/>
          <w:spacing w:val="-6"/>
        </w:rPr>
        <w:t> </w:t>
      </w:r>
      <w:r>
        <w:rPr>
          <w:color w:val="231F20"/>
        </w:rPr>
        <w:t>le</w:t>
      </w:r>
      <w:r>
        <w:rPr>
          <w:color w:val="231F20"/>
          <w:spacing w:val="-4"/>
        </w:rPr>
        <w:t> </w:t>
      </w:r>
      <w:r>
        <w:rPr>
          <w:color w:val="231F20"/>
        </w:rPr>
        <w:t>Parlement.</w:t>
      </w:r>
    </w:p>
    <w:p>
      <w:pPr>
        <w:pStyle w:val="BodyText"/>
        <w:spacing w:before="121"/>
        <w:ind w:right="105" w:firstLine="283"/>
      </w:pPr>
      <w:r>
        <w:rPr>
          <w:color w:val="231F20"/>
          <w:spacing w:val="-4"/>
        </w:rPr>
        <w:t>À</w:t>
      </w:r>
      <w:r>
        <w:rPr>
          <w:color w:val="231F20"/>
          <w:spacing w:val="-11"/>
        </w:rPr>
        <w:t> </w:t>
      </w:r>
      <w:r>
        <w:rPr>
          <w:color w:val="231F20"/>
          <w:spacing w:val="-4"/>
        </w:rPr>
        <w:t>la</w:t>
      </w:r>
      <w:r>
        <w:rPr>
          <w:color w:val="231F20"/>
          <w:spacing w:val="-10"/>
        </w:rPr>
        <w:t> </w:t>
      </w:r>
      <w:r>
        <w:rPr>
          <w:color w:val="231F20"/>
          <w:spacing w:val="-4"/>
        </w:rPr>
        <w:t>suite</w:t>
      </w:r>
      <w:r>
        <w:rPr>
          <w:color w:val="231F20"/>
          <w:spacing w:val="-8"/>
        </w:rPr>
        <w:t> </w:t>
      </w:r>
      <w:r>
        <w:rPr>
          <w:color w:val="231F20"/>
          <w:spacing w:val="-4"/>
        </w:rPr>
        <w:t>de</w:t>
      </w:r>
      <w:r>
        <w:rPr>
          <w:color w:val="231F20"/>
          <w:spacing w:val="-11"/>
        </w:rPr>
        <w:t> </w:t>
      </w:r>
      <w:r>
        <w:rPr>
          <w:color w:val="231F20"/>
          <w:spacing w:val="-4"/>
        </w:rPr>
        <w:t>l'instauration</w:t>
      </w:r>
      <w:r>
        <w:rPr>
          <w:color w:val="231F20"/>
          <w:spacing w:val="-11"/>
        </w:rPr>
        <w:t> </w:t>
      </w:r>
      <w:r>
        <w:rPr>
          <w:color w:val="231F20"/>
          <w:spacing w:val="-4"/>
        </w:rPr>
        <w:t>d'une</w:t>
      </w:r>
      <w:r>
        <w:rPr>
          <w:color w:val="231F20"/>
        </w:rPr>
        <w:t> </w:t>
      </w:r>
      <w:r>
        <w:rPr>
          <w:color w:val="231F20"/>
          <w:spacing w:val="-4"/>
        </w:rPr>
        <w:t>nouvelle</w:t>
      </w:r>
      <w:r>
        <w:rPr>
          <w:color w:val="231F20"/>
          <w:spacing w:val="-10"/>
        </w:rPr>
        <w:t> </w:t>
      </w:r>
      <w:r>
        <w:rPr>
          <w:color w:val="231F20"/>
          <w:spacing w:val="-4"/>
        </w:rPr>
        <w:t>Constitution</w:t>
      </w:r>
      <w:r>
        <w:rPr>
          <w:color w:val="231F20"/>
        </w:rPr>
        <w:t> </w:t>
      </w:r>
      <w:r>
        <w:rPr>
          <w:color w:val="231F20"/>
          <w:spacing w:val="-4"/>
        </w:rPr>
        <w:t>par</w:t>
      </w:r>
      <w:r>
        <w:rPr>
          <w:color w:val="231F20"/>
          <w:spacing w:val="-8"/>
        </w:rPr>
        <w:t> </w:t>
      </w:r>
      <w:r>
        <w:rPr>
          <w:color w:val="231F20"/>
          <w:spacing w:val="-4"/>
        </w:rPr>
        <w:t>référendum, </w:t>
      </w:r>
      <w:r>
        <w:rPr>
          <w:color w:val="231F20"/>
        </w:rPr>
        <w:t>Kagame est</w:t>
      </w:r>
      <w:r>
        <w:rPr>
          <w:color w:val="231F20"/>
          <w:spacing w:val="-15"/>
        </w:rPr>
        <w:t> </w:t>
      </w:r>
      <w:r>
        <w:rPr>
          <w:color w:val="231F20"/>
        </w:rPr>
        <w:t>élu</w:t>
      </w:r>
      <w:r>
        <w:rPr>
          <w:color w:val="231F20"/>
          <w:spacing w:val="-15"/>
        </w:rPr>
        <w:t> </w:t>
      </w:r>
      <w:r>
        <w:rPr>
          <w:color w:val="231F20"/>
        </w:rPr>
        <w:t>au</w:t>
      </w:r>
      <w:r>
        <w:rPr>
          <w:color w:val="231F20"/>
          <w:spacing w:val="-15"/>
        </w:rPr>
        <w:t> </w:t>
      </w:r>
      <w:r>
        <w:rPr>
          <w:color w:val="231F20"/>
        </w:rPr>
        <w:t>suffrage universel</w:t>
      </w:r>
      <w:r>
        <w:rPr>
          <w:color w:val="231F20"/>
          <w:spacing w:val="-15"/>
        </w:rPr>
        <w:t> </w:t>
      </w:r>
      <w:r>
        <w:rPr>
          <w:color w:val="231F20"/>
        </w:rPr>
        <w:t>direct</w:t>
      </w:r>
      <w:r>
        <w:rPr>
          <w:color w:val="231F20"/>
          <w:spacing w:val="-15"/>
        </w:rPr>
        <w:t> </w:t>
      </w:r>
      <w:r>
        <w:rPr>
          <w:color w:val="231F20"/>
        </w:rPr>
        <w:t>le</w:t>
      </w:r>
      <w:r>
        <w:rPr>
          <w:color w:val="231F20"/>
          <w:spacing w:val="-15"/>
        </w:rPr>
        <w:t> </w:t>
      </w:r>
      <w:r>
        <w:rPr>
          <w:color w:val="231F20"/>
        </w:rPr>
        <w:t>25 août 2003, crédité de 95 % des voix.</w:t>
      </w:r>
    </w:p>
    <w:p>
      <w:pPr>
        <w:pStyle w:val="BodyText"/>
        <w:spacing w:before="120"/>
        <w:ind w:left="395"/>
      </w:pPr>
      <w:r>
        <w:rPr>
          <w:color w:val="231F20"/>
        </w:rPr>
        <w:t>Le</w:t>
      </w:r>
      <w:r>
        <w:rPr>
          <w:color w:val="231F20"/>
          <w:spacing w:val="-15"/>
        </w:rPr>
        <w:t> </w:t>
      </w:r>
      <w:r>
        <w:rPr>
          <w:color w:val="231F20"/>
        </w:rPr>
        <w:t>9</w:t>
      </w:r>
      <w:r>
        <w:rPr>
          <w:color w:val="231F20"/>
          <w:spacing w:val="-15"/>
        </w:rPr>
        <w:t> </w:t>
      </w:r>
      <w:r>
        <w:rPr>
          <w:color w:val="231F20"/>
        </w:rPr>
        <w:t>août</w:t>
      </w:r>
      <w:r>
        <w:rPr>
          <w:color w:val="231F20"/>
          <w:spacing w:val="-15"/>
        </w:rPr>
        <w:t> </w:t>
      </w:r>
      <w:r>
        <w:rPr>
          <w:color w:val="231F20"/>
        </w:rPr>
        <w:t>2010,</w:t>
      </w:r>
      <w:r>
        <w:rPr>
          <w:color w:val="231F20"/>
          <w:spacing w:val="-15"/>
        </w:rPr>
        <w:t> </w:t>
      </w:r>
      <w:r>
        <w:rPr>
          <w:color w:val="231F20"/>
        </w:rPr>
        <w:t>il</w:t>
      </w:r>
      <w:r>
        <w:rPr>
          <w:color w:val="231F20"/>
          <w:spacing w:val="-15"/>
        </w:rPr>
        <w:t> </w:t>
      </w:r>
      <w:r>
        <w:rPr>
          <w:color w:val="231F20"/>
        </w:rPr>
        <w:t>est</w:t>
      </w:r>
      <w:r>
        <w:rPr>
          <w:color w:val="231F20"/>
          <w:spacing w:val="-15"/>
        </w:rPr>
        <w:t> </w:t>
      </w:r>
      <w:r>
        <w:rPr>
          <w:color w:val="231F20"/>
        </w:rPr>
        <w:t>réélu</w:t>
      </w:r>
      <w:r>
        <w:rPr>
          <w:color w:val="231F20"/>
          <w:spacing w:val="-15"/>
        </w:rPr>
        <w:t> </w:t>
      </w:r>
      <w:r>
        <w:rPr>
          <w:color w:val="231F20"/>
        </w:rPr>
        <w:t>Président</w:t>
      </w:r>
      <w:r>
        <w:rPr>
          <w:color w:val="231F20"/>
          <w:spacing w:val="-15"/>
        </w:rPr>
        <w:t> </w:t>
      </w:r>
      <w:r>
        <w:rPr>
          <w:color w:val="231F20"/>
        </w:rPr>
        <w:t>du</w:t>
      </w:r>
      <w:r>
        <w:rPr>
          <w:color w:val="231F20"/>
          <w:spacing w:val="-15"/>
        </w:rPr>
        <w:t> </w:t>
      </w:r>
      <w:r>
        <w:rPr>
          <w:color w:val="231F20"/>
        </w:rPr>
        <w:t>Rwanda</w:t>
      </w:r>
      <w:r>
        <w:rPr>
          <w:color w:val="231F20"/>
          <w:spacing w:val="-15"/>
        </w:rPr>
        <w:t> </w:t>
      </w:r>
      <w:r>
        <w:rPr>
          <w:color w:val="231F20"/>
        </w:rPr>
        <w:t>avec</w:t>
      </w:r>
      <w:r>
        <w:rPr>
          <w:color w:val="231F20"/>
          <w:spacing w:val="-15"/>
        </w:rPr>
        <w:t> </w:t>
      </w:r>
      <w:r>
        <w:rPr>
          <w:color w:val="231F20"/>
        </w:rPr>
        <w:t>93</w:t>
      </w:r>
      <w:r>
        <w:rPr>
          <w:color w:val="231F20"/>
          <w:spacing w:val="-15"/>
        </w:rPr>
        <w:t> </w:t>
      </w:r>
      <w:r>
        <w:rPr>
          <w:color w:val="231F20"/>
        </w:rPr>
        <w:t>%</w:t>
      </w:r>
      <w:r>
        <w:rPr>
          <w:color w:val="231F20"/>
          <w:spacing w:val="-15"/>
        </w:rPr>
        <w:t> </w:t>
      </w:r>
      <w:r>
        <w:rPr>
          <w:color w:val="231F20"/>
        </w:rPr>
        <w:t>des</w:t>
      </w:r>
      <w:r>
        <w:rPr>
          <w:color w:val="231F20"/>
          <w:spacing w:val="-15"/>
        </w:rPr>
        <w:t> </w:t>
      </w:r>
      <w:r>
        <w:rPr>
          <w:color w:val="231F20"/>
          <w:spacing w:val="-2"/>
        </w:rPr>
        <w:t>voix.</w:t>
      </w:r>
    </w:p>
    <w:p>
      <w:pPr>
        <w:pStyle w:val="BodyText"/>
        <w:spacing w:before="120"/>
        <w:ind w:right="107" w:firstLine="283"/>
      </w:pPr>
      <w:r>
        <w:rPr>
          <w:color w:val="231F20"/>
        </w:rPr>
        <w:t>La</w:t>
      </w:r>
      <w:r>
        <w:rPr>
          <w:color w:val="231F20"/>
          <w:spacing w:val="-4"/>
        </w:rPr>
        <w:t> </w:t>
      </w:r>
      <w:r>
        <w:rPr>
          <w:color w:val="231F20"/>
        </w:rPr>
        <w:t>langue</w:t>
      </w:r>
      <w:r>
        <w:rPr>
          <w:color w:val="231F20"/>
          <w:spacing w:val="-4"/>
        </w:rPr>
        <w:t> </w:t>
      </w:r>
      <w:r>
        <w:rPr>
          <w:color w:val="231F20"/>
        </w:rPr>
        <w:t>française,</w:t>
      </w:r>
      <w:r>
        <w:rPr>
          <w:color w:val="231F20"/>
          <w:spacing w:val="-6"/>
        </w:rPr>
        <w:t> </w:t>
      </w:r>
      <w:r>
        <w:rPr>
          <w:color w:val="231F20"/>
        </w:rPr>
        <w:t>langue</w:t>
      </w:r>
      <w:r>
        <w:rPr>
          <w:color w:val="231F20"/>
          <w:spacing w:val="-4"/>
        </w:rPr>
        <w:t> </w:t>
      </w:r>
      <w:r>
        <w:rPr>
          <w:color w:val="231F20"/>
        </w:rPr>
        <w:t>officielle</w:t>
      </w:r>
      <w:r>
        <w:rPr>
          <w:color w:val="231F20"/>
          <w:spacing w:val="-6"/>
        </w:rPr>
        <w:t> </w:t>
      </w:r>
      <w:r>
        <w:rPr>
          <w:color w:val="231F20"/>
        </w:rPr>
        <w:t>du</w:t>
      </w:r>
      <w:r>
        <w:rPr>
          <w:color w:val="231F20"/>
          <w:spacing w:val="-5"/>
        </w:rPr>
        <w:t> </w:t>
      </w:r>
      <w:r>
        <w:rPr>
          <w:color w:val="231F20"/>
        </w:rPr>
        <w:t>Rwanda</w:t>
      </w:r>
      <w:r>
        <w:rPr>
          <w:color w:val="231F20"/>
          <w:spacing w:val="-5"/>
        </w:rPr>
        <w:t> </w:t>
      </w:r>
      <w:r>
        <w:rPr>
          <w:color w:val="231F20"/>
        </w:rPr>
        <w:t>depuis</w:t>
      </w:r>
      <w:r>
        <w:rPr>
          <w:color w:val="231F20"/>
          <w:spacing w:val="-5"/>
        </w:rPr>
        <w:t> </w:t>
      </w:r>
      <w:r>
        <w:rPr>
          <w:color w:val="231F20"/>
        </w:rPr>
        <w:t>la</w:t>
      </w:r>
      <w:r>
        <w:rPr>
          <w:color w:val="231F20"/>
          <w:spacing w:val="-6"/>
        </w:rPr>
        <w:t> </w:t>
      </w:r>
      <w:r>
        <w:rPr>
          <w:color w:val="231F20"/>
        </w:rPr>
        <w:t>présence belge</w:t>
      </w:r>
      <w:r>
        <w:rPr>
          <w:color w:val="231F20"/>
          <w:spacing w:val="-12"/>
        </w:rPr>
        <w:t> </w:t>
      </w:r>
      <w:r>
        <w:rPr>
          <w:color w:val="231F20"/>
        </w:rPr>
        <w:t>au</w:t>
      </w:r>
      <w:r>
        <w:rPr>
          <w:color w:val="231F20"/>
          <w:spacing w:val="-13"/>
        </w:rPr>
        <w:t> </w:t>
      </w:r>
      <w:r>
        <w:rPr>
          <w:color w:val="231F20"/>
        </w:rPr>
        <w:t>début</w:t>
      </w:r>
      <w:r>
        <w:rPr>
          <w:color w:val="231F20"/>
          <w:spacing w:val="-11"/>
        </w:rPr>
        <w:t> </w:t>
      </w:r>
      <w:r>
        <w:rPr>
          <w:color w:val="231F20"/>
        </w:rPr>
        <w:t>du</w:t>
      </w:r>
      <w:r>
        <w:rPr>
          <w:color w:val="231F20"/>
          <w:spacing w:val="-13"/>
        </w:rPr>
        <w:t> </w:t>
      </w:r>
      <w:r>
        <w:rPr>
          <w:color w:val="231F20"/>
        </w:rPr>
        <w:t>XXe</w:t>
      </w:r>
      <w:r>
        <w:rPr>
          <w:color w:val="231F20"/>
          <w:spacing w:val="-15"/>
        </w:rPr>
        <w:t> </w:t>
      </w:r>
      <w:r>
        <w:rPr>
          <w:color w:val="231F20"/>
        </w:rPr>
        <w:t>siècle,</w:t>
      </w:r>
      <w:r>
        <w:rPr>
          <w:color w:val="231F20"/>
          <w:spacing w:val="-11"/>
        </w:rPr>
        <w:t> </w:t>
      </w:r>
      <w:r>
        <w:rPr>
          <w:color w:val="231F20"/>
        </w:rPr>
        <w:t>est</w:t>
      </w:r>
      <w:r>
        <w:rPr>
          <w:color w:val="231F20"/>
          <w:spacing w:val="-10"/>
        </w:rPr>
        <w:t> </w:t>
      </w:r>
      <w:r>
        <w:rPr>
          <w:color w:val="231F20"/>
        </w:rPr>
        <w:t>en</w:t>
      </w:r>
      <w:r>
        <w:rPr>
          <w:color w:val="231F20"/>
          <w:spacing w:val="-13"/>
        </w:rPr>
        <w:t> </w:t>
      </w:r>
      <w:r>
        <w:rPr>
          <w:color w:val="231F20"/>
        </w:rPr>
        <w:t>régression</w:t>
      </w:r>
      <w:r>
        <w:rPr>
          <w:color w:val="231F20"/>
          <w:spacing w:val="-13"/>
        </w:rPr>
        <w:t> </w:t>
      </w:r>
      <w:r>
        <w:rPr>
          <w:color w:val="231F20"/>
        </w:rPr>
        <w:t>dans</w:t>
      </w:r>
      <w:r>
        <w:rPr>
          <w:color w:val="231F20"/>
          <w:spacing w:val="-13"/>
        </w:rPr>
        <w:t> </w:t>
      </w:r>
      <w:r>
        <w:rPr>
          <w:color w:val="231F20"/>
        </w:rPr>
        <w:t>le</w:t>
      </w:r>
      <w:r>
        <w:rPr>
          <w:color w:val="231F20"/>
          <w:spacing w:val="-11"/>
        </w:rPr>
        <w:t> </w:t>
      </w:r>
      <w:r>
        <w:rPr>
          <w:color w:val="231F20"/>
        </w:rPr>
        <w:t>pays</w:t>
      </w:r>
      <w:r>
        <w:rPr>
          <w:color w:val="231F20"/>
          <w:spacing w:val="-11"/>
        </w:rPr>
        <w:t> </w:t>
      </w:r>
      <w:r>
        <w:rPr>
          <w:color w:val="231F20"/>
        </w:rPr>
        <w:t>au</w:t>
      </w:r>
      <w:r>
        <w:rPr>
          <w:color w:val="231F20"/>
          <w:spacing w:val="-14"/>
        </w:rPr>
        <w:t> </w:t>
      </w:r>
      <w:r>
        <w:rPr>
          <w:color w:val="231F20"/>
        </w:rPr>
        <w:t>profit</w:t>
      </w:r>
      <w:r>
        <w:rPr>
          <w:color w:val="231F20"/>
          <w:spacing w:val="-12"/>
        </w:rPr>
        <w:t> </w:t>
      </w:r>
      <w:r>
        <w:rPr>
          <w:color w:val="231F20"/>
        </w:rPr>
        <w:t>de </w:t>
      </w:r>
      <w:r>
        <w:rPr>
          <w:color w:val="231F20"/>
          <w:spacing w:val="-2"/>
        </w:rPr>
        <w:t>l’anglais:</w:t>
      </w:r>
      <w:r>
        <w:rPr>
          <w:color w:val="231F20"/>
          <w:spacing w:val="-13"/>
        </w:rPr>
        <w:t> </w:t>
      </w:r>
      <w:r>
        <w:rPr>
          <w:color w:val="231F20"/>
          <w:spacing w:val="-2"/>
        </w:rPr>
        <w:t>outre</w:t>
      </w:r>
      <w:r>
        <w:rPr>
          <w:color w:val="231F20"/>
          <w:spacing w:val="-13"/>
        </w:rPr>
        <w:t> </w:t>
      </w:r>
      <w:r>
        <w:rPr>
          <w:color w:val="231F20"/>
          <w:spacing w:val="-2"/>
        </w:rPr>
        <w:t>les</w:t>
      </w:r>
      <w:r>
        <w:rPr>
          <w:color w:val="231F20"/>
          <w:spacing w:val="-13"/>
        </w:rPr>
        <w:t> </w:t>
      </w:r>
      <w:r>
        <w:rPr>
          <w:color w:val="231F20"/>
          <w:spacing w:val="-2"/>
        </w:rPr>
        <w:t>relations</w:t>
      </w:r>
      <w:r>
        <w:rPr>
          <w:color w:val="231F20"/>
          <w:spacing w:val="-13"/>
        </w:rPr>
        <w:t> </w:t>
      </w:r>
      <w:r>
        <w:rPr>
          <w:color w:val="231F20"/>
          <w:spacing w:val="-2"/>
        </w:rPr>
        <w:t>tendues</w:t>
      </w:r>
      <w:r>
        <w:rPr>
          <w:color w:val="231F20"/>
          <w:spacing w:val="-13"/>
        </w:rPr>
        <w:t> </w:t>
      </w:r>
      <w:r>
        <w:rPr>
          <w:color w:val="231F20"/>
          <w:spacing w:val="-2"/>
        </w:rPr>
        <w:t>entre</w:t>
      </w:r>
      <w:r>
        <w:rPr>
          <w:color w:val="231F20"/>
          <w:spacing w:val="-12"/>
        </w:rPr>
        <w:t> </w:t>
      </w:r>
      <w:r>
        <w:rPr>
          <w:color w:val="231F20"/>
          <w:spacing w:val="-2"/>
        </w:rPr>
        <w:t>le</w:t>
      </w:r>
      <w:r>
        <w:rPr>
          <w:color w:val="231F20"/>
          <w:spacing w:val="-13"/>
        </w:rPr>
        <w:t> </w:t>
      </w:r>
      <w:r>
        <w:rPr>
          <w:color w:val="231F20"/>
          <w:spacing w:val="-2"/>
        </w:rPr>
        <w:t>régime</w:t>
      </w:r>
      <w:r>
        <w:rPr>
          <w:color w:val="231F20"/>
          <w:spacing w:val="-13"/>
        </w:rPr>
        <w:t> </w:t>
      </w:r>
      <w:r>
        <w:rPr>
          <w:color w:val="231F20"/>
          <w:spacing w:val="-2"/>
        </w:rPr>
        <w:t>de</w:t>
      </w:r>
      <w:r>
        <w:rPr>
          <w:color w:val="231F20"/>
          <w:spacing w:val="-12"/>
        </w:rPr>
        <w:t> </w:t>
      </w:r>
      <w:r>
        <w:rPr>
          <w:color w:val="231F20"/>
          <w:spacing w:val="-2"/>
        </w:rPr>
        <w:t>Paul</w:t>
      </w:r>
      <w:r>
        <w:rPr>
          <w:color w:val="231F20"/>
          <w:spacing w:val="-13"/>
        </w:rPr>
        <w:t> </w:t>
      </w:r>
      <w:r>
        <w:rPr>
          <w:color w:val="231F20"/>
          <w:spacing w:val="-2"/>
        </w:rPr>
        <w:t>Kagamé</w:t>
      </w:r>
      <w:r>
        <w:rPr>
          <w:color w:val="231F20"/>
          <w:spacing w:val="-12"/>
        </w:rPr>
        <w:t> </w:t>
      </w:r>
      <w:r>
        <w:rPr>
          <w:color w:val="231F20"/>
          <w:spacing w:val="-2"/>
        </w:rPr>
        <w:t>et</w:t>
      </w:r>
      <w:r>
        <w:rPr>
          <w:color w:val="231F20"/>
          <w:spacing w:val="-13"/>
        </w:rPr>
        <w:t> </w:t>
      </w:r>
      <w:r>
        <w:rPr>
          <w:color w:val="231F20"/>
          <w:spacing w:val="-5"/>
        </w:rPr>
        <w:t>la</w:t>
      </w:r>
    </w:p>
    <w:p>
      <w:pPr>
        <w:pStyle w:val="BodyText"/>
        <w:spacing w:before="217"/>
        <w:ind w:left="0"/>
        <w:jc w:val="left"/>
        <w:rPr>
          <w:sz w:val="20"/>
        </w:rPr>
      </w:pPr>
      <w:r>
        <w:rPr/>
        <mc:AlternateContent>
          <mc:Choice Requires="wps">
            <w:drawing>
              <wp:anchor distT="0" distB="0" distL="0" distR="0" allowOverlap="1" layoutInCell="1" locked="0" behindDoc="1" simplePos="0" relativeHeight="487605248">
                <wp:simplePos x="0" y="0"/>
                <wp:positionH relativeFrom="page">
                  <wp:posOffset>629907</wp:posOffset>
                </wp:positionH>
                <wp:positionV relativeFrom="paragraph">
                  <wp:posOffset>299624</wp:posOffset>
                </wp:positionV>
                <wp:extent cx="1829435" cy="9525"/>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3.592501pt;width:144.020pt;height:.72pt;mso-position-horizontal-relative:page;mso-position-vertical-relative:paragraph;z-index:-15711232;mso-wrap-distance-left:0;mso-wrap-distance-right:0" id="docshape47" filled="true" fillcolor="#231f20" stroked="false">
                <v:fill type="solid"/>
                <w10:wrap type="topAndBottom"/>
              </v:rect>
            </w:pict>
          </mc:Fallback>
        </mc:AlternateContent>
      </w:r>
    </w:p>
    <w:p>
      <w:pPr>
        <w:spacing w:before="91"/>
        <w:ind w:left="395" w:right="0" w:firstLine="0"/>
        <w:jc w:val="left"/>
        <w:rPr>
          <w:sz w:val="20"/>
        </w:rPr>
      </w:pPr>
      <w:r>
        <w:rPr>
          <w:color w:val="231F20"/>
          <w:sz w:val="20"/>
        </w:rPr>
        <w:t>largement la présente idéologie. Est traître tout Muhutu qui persécutera son frère Muhutu</w:t>
      </w:r>
      <w:r>
        <w:rPr>
          <w:color w:val="231F20"/>
          <w:spacing w:val="-4"/>
          <w:sz w:val="20"/>
        </w:rPr>
        <w:t> </w:t>
      </w:r>
      <w:r>
        <w:rPr>
          <w:color w:val="231F20"/>
          <w:sz w:val="20"/>
        </w:rPr>
        <w:t>pour</w:t>
      </w:r>
      <w:r>
        <w:rPr>
          <w:color w:val="231F20"/>
          <w:spacing w:val="-4"/>
          <w:sz w:val="20"/>
        </w:rPr>
        <w:t> </w:t>
      </w:r>
      <w:r>
        <w:rPr>
          <w:color w:val="231F20"/>
          <w:sz w:val="20"/>
        </w:rPr>
        <w:t>avoir</w:t>
      </w:r>
      <w:r>
        <w:rPr>
          <w:color w:val="231F20"/>
          <w:spacing w:val="-2"/>
          <w:sz w:val="20"/>
        </w:rPr>
        <w:t> </w:t>
      </w:r>
      <w:r>
        <w:rPr>
          <w:color w:val="231F20"/>
          <w:sz w:val="20"/>
        </w:rPr>
        <w:t>lu,</w:t>
      </w:r>
      <w:r>
        <w:rPr>
          <w:color w:val="231F20"/>
          <w:spacing w:val="-5"/>
          <w:sz w:val="20"/>
        </w:rPr>
        <w:t> </w:t>
      </w:r>
      <w:r>
        <w:rPr>
          <w:color w:val="231F20"/>
          <w:sz w:val="20"/>
        </w:rPr>
        <w:t>diffusé</w:t>
      </w:r>
      <w:r>
        <w:rPr>
          <w:color w:val="231F20"/>
          <w:spacing w:val="-4"/>
          <w:sz w:val="20"/>
        </w:rPr>
        <w:t> </w:t>
      </w:r>
      <w:r>
        <w:rPr>
          <w:color w:val="231F20"/>
          <w:sz w:val="20"/>
        </w:rPr>
        <w:t>et</w:t>
      </w:r>
      <w:r>
        <w:rPr>
          <w:color w:val="231F20"/>
          <w:spacing w:val="-3"/>
          <w:sz w:val="20"/>
        </w:rPr>
        <w:t> </w:t>
      </w:r>
      <w:r>
        <w:rPr>
          <w:color w:val="231F20"/>
          <w:sz w:val="20"/>
        </w:rPr>
        <w:t>enseigné</w:t>
      </w:r>
      <w:r>
        <w:rPr>
          <w:color w:val="231F20"/>
          <w:spacing w:val="-4"/>
          <w:sz w:val="20"/>
        </w:rPr>
        <w:t> </w:t>
      </w:r>
      <w:r>
        <w:rPr>
          <w:color w:val="231F20"/>
          <w:sz w:val="20"/>
        </w:rPr>
        <w:t>cette</w:t>
      </w:r>
      <w:r>
        <w:rPr>
          <w:color w:val="231F20"/>
          <w:spacing w:val="-5"/>
          <w:sz w:val="20"/>
        </w:rPr>
        <w:t> </w:t>
      </w:r>
      <w:r>
        <w:rPr>
          <w:color w:val="231F20"/>
          <w:sz w:val="20"/>
        </w:rPr>
        <w:t>idéologie.</w:t>
      </w:r>
    </w:p>
    <w:p>
      <w:pPr>
        <w:spacing w:before="1"/>
        <w:ind w:left="111" w:right="0" w:firstLine="0"/>
        <w:jc w:val="left"/>
        <w:rPr>
          <w:sz w:val="20"/>
        </w:rPr>
      </w:pPr>
      <w:r>
        <w:rPr>
          <w:color w:val="231F20"/>
          <w:spacing w:val="-2"/>
          <w:sz w:val="20"/>
        </w:rPr>
        <w:t>(*)</w:t>
      </w:r>
      <w:r>
        <w:rPr>
          <w:color w:val="231F20"/>
          <w:spacing w:val="-11"/>
          <w:sz w:val="20"/>
        </w:rPr>
        <w:t> </w:t>
      </w:r>
      <w:r>
        <w:rPr>
          <w:color w:val="231F20"/>
          <w:spacing w:val="-2"/>
          <w:sz w:val="20"/>
        </w:rPr>
        <w:t>les</w:t>
      </w:r>
      <w:r>
        <w:rPr>
          <w:color w:val="231F20"/>
          <w:spacing w:val="-10"/>
          <w:sz w:val="20"/>
        </w:rPr>
        <w:t> </w:t>
      </w:r>
      <w:r>
        <w:rPr>
          <w:color w:val="231F20"/>
          <w:spacing w:val="-2"/>
          <w:sz w:val="20"/>
        </w:rPr>
        <w:t>préfixes</w:t>
      </w:r>
      <w:r>
        <w:rPr>
          <w:color w:val="231F20"/>
          <w:spacing w:val="-11"/>
          <w:sz w:val="20"/>
        </w:rPr>
        <w:t> </w:t>
      </w:r>
      <w:r>
        <w:rPr>
          <w:color w:val="231F20"/>
          <w:spacing w:val="-2"/>
          <w:sz w:val="20"/>
        </w:rPr>
        <w:t>et</w:t>
      </w:r>
      <w:r>
        <w:rPr>
          <w:color w:val="231F20"/>
          <w:spacing w:val="-10"/>
          <w:sz w:val="20"/>
        </w:rPr>
        <w:t> </w:t>
      </w:r>
      <w:r>
        <w:rPr>
          <w:color w:val="231F20"/>
          <w:spacing w:val="-2"/>
          <w:sz w:val="20"/>
        </w:rPr>
        <w:t>les</w:t>
      </w:r>
      <w:r>
        <w:rPr>
          <w:color w:val="231F20"/>
          <w:spacing w:val="-11"/>
          <w:sz w:val="20"/>
        </w:rPr>
        <w:t> </w:t>
      </w:r>
      <w:r>
        <w:rPr>
          <w:color w:val="231F20"/>
          <w:spacing w:val="-2"/>
          <w:sz w:val="20"/>
        </w:rPr>
        <w:t>suffixes</w:t>
      </w:r>
      <w:r>
        <w:rPr>
          <w:color w:val="231F20"/>
          <w:spacing w:val="-10"/>
          <w:sz w:val="20"/>
        </w:rPr>
        <w:t> </w:t>
      </w:r>
      <w:r>
        <w:rPr>
          <w:color w:val="231F20"/>
          <w:spacing w:val="-2"/>
          <w:sz w:val="20"/>
        </w:rPr>
        <w:t>qui</w:t>
      </w:r>
      <w:r>
        <w:rPr>
          <w:color w:val="231F20"/>
          <w:spacing w:val="-11"/>
          <w:sz w:val="20"/>
        </w:rPr>
        <w:t> </w:t>
      </w:r>
      <w:r>
        <w:rPr>
          <w:color w:val="231F20"/>
          <w:spacing w:val="-2"/>
          <w:sz w:val="20"/>
        </w:rPr>
        <w:t>accompagnent</w:t>
      </w:r>
      <w:r>
        <w:rPr>
          <w:color w:val="231F20"/>
          <w:spacing w:val="-10"/>
          <w:sz w:val="20"/>
        </w:rPr>
        <w:t> </w:t>
      </w:r>
      <w:r>
        <w:rPr>
          <w:color w:val="231F20"/>
          <w:spacing w:val="-2"/>
          <w:sz w:val="20"/>
        </w:rPr>
        <w:t>les</w:t>
      </w:r>
      <w:r>
        <w:rPr>
          <w:color w:val="231F20"/>
          <w:spacing w:val="-11"/>
          <w:sz w:val="20"/>
        </w:rPr>
        <w:t> </w:t>
      </w:r>
      <w:r>
        <w:rPr>
          <w:color w:val="231F20"/>
          <w:spacing w:val="-2"/>
          <w:sz w:val="20"/>
        </w:rPr>
        <w:t>termes</w:t>
      </w:r>
      <w:r>
        <w:rPr>
          <w:color w:val="231F20"/>
          <w:spacing w:val="-10"/>
          <w:sz w:val="20"/>
        </w:rPr>
        <w:t> </w:t>
      </w:r>
      <w:r>
        <w:rPr>
          <w:color w:val="231F20"/>
          <w:spacing w:val="-2"/>
          <w:sz w:val="20"/>
        </w:rPr>
        <w:t>Hutu</w:t>
      </w:r>
      <w:r>
        <w:rPr>
          <w:color w:val="231F20"/>
          <w:spacing w:val="-11"/>
          <w:sz w:val="20"/>
        </w:rPr>
        <w:t> </w:t>
      </w:r>
      <w:r>
        <w:rPr>
          <w:color w:val="231F20"/>
          <w:spacing w:val="-2"/>
          <w:sz w:val="20"/>
        </w:rPr>
        <w:t>ou</w:t>
      </w:r>
      <w:r>
        <w:rPr>
          <w:color w:val="231F20"/>
          <w:spacing w:val="-10"/>
          <w:sz w:val="20"/>
        </w:rPr>
        <w:t> </w:t>
      </w:r>
      <w:r>
        <w:rPr>
          <w:color w:val="231F20"/>
          <w:spacing w:val="-2"/>
          <w:sz w:val="20"/>
        </w:rPr>
        <w:t>Tutsi</w:t>
      </w:r>
      <w:r>
        <w:rPr>
          <w:color w:val="231F20"/>
          <w:spacing w:val="-11"/>
          <w:sz w:val="20"/>
        </w:rPr>
        <w:t> </w:t>
      </w:r>
      <w:r>
        <w:rPr>
          <w:color w:val="231F20"/>
          <w:spacing w:val="-2"/>
          <w:sz w:val="20"/>
        </w:rPr>
        <w:t>sont</w:t>
      </w:r>
      <w:r>
        <w:rPr>
          <w:color w:val="231F20"/>
          <w:spacing w:val="-10"/>
          <w:sz w:val="20"/>
        </w:rPr>
        <w:t> </w:t>
      </w:r>
      <w:r>
        <w:rPr>
          <w:color w:val="231F20"/>
          <w:spacing w:val="-2"/>
          <w:sz w:val="20"/>
        </w:rPr>
        <w:t>destinés</w:t>
      </w:r>
      <w:r>
        <w:rPr>
          <w:color w:val="231F20"/>
          <w:spacing w:val="-11"/>
          <w:sz w:val="20"/>
        </w:rPr>
        <w:t> </w:t>
      </w:r>
      <w:r>
        <w:rPr>
          <w:color w:val="231F20"/>
          <w:spacing w:val="-2"/>
          <w:sz w:val="20"/>
        </w:rPr>
        <w:t>à </w:t>
      </w:r>
      <w:r>
        <w:rPr>
          <w:color w:val="231F20"/>
          <w:sz w:val="20"/>
        </w:rPr>
        <w:t>définir en</w:t>
      </w:r>
      <w:r>
        <w:rPr>
          <w:color w:val="231F20"/>
          <w:spacing w:val="-1"/>
          <w:sz w:val="20"/>
        </w:rPr>
        <w:t> </w:t>
      </w:r>
      <w:r>
        <w:rPr>
          <w:color w:val="231F20"/>
          <w:sz w:val="20"/>
        </w:rPr>
        <w:t>rwandais</w:t>
      </w:r>
      <w:r>
        <w:rPr>
          <w:color w:val="231F20"/>
          <w:spacing w:val="-1"/>
          <w:sz w:val="20"/>
        </w:rPr>
        <w:t> </w:t>
      </w:r>
      <w:r>
        <w:rPr>
          <w:color w:val="231F20"/>
          <w:sz w:val="20"/>
        </w:rPr>
        <w:t>le</w:t>
      </w:r>
      <w:r>
        <w:rPr>
          <w:color w:val="231F20"/>
          <w:spacing w:val="-2"/>
          <w:sz w:val="20"/>
        </w:rPr>
        <w:t> </w:t>
      </w:r>
      <w:r>
        <w:rPr>
          <w:color w:val="231F20"/>
          <w:sz w:val="20"/>
        </w:rPr>
        <w:t>pluriel et</w:t>
      </w:r>
      <w:r>
        <w:rPr>
          <w:color w:val="231F20"/>
          <w:spacing w:val="-2"/>
          <w:sz w:val="20"/>
        </w:rPr>
        <w:t> </w:t>
      </w:r>
      <w:r>
        <w:rPr>
          <w:color w:val="231F20"/>
          <w:sz w:val="20"/>
        </w:rPr>
        <w:t>le genre</w:t>
      </w:r>
      <w:r>
        <w:rPr>
          <w:color w:val="231F20"/>
          <w:spacing w:val="-2"/>
          <w:sz w:val="20"/>
        </w:rPr>
        <w:t> </w:t>
      </w:r>
      <w:r>
        <w:rPr>
          <w:color w:val="231F20"/>
          <w:sz w:val="20"/>
        </w:rPr>
        <w:t>du mot.</w:t>
      </w:r>
    </w:p>
    <w:p>
      <w:pPr>
        <w:spacing w:after="0"/>
        <w:jc w:val="left"/>
        <w:rPr>
          <w:sz w:val="20"/>
        </w:rPr>
        <w:sectPr>
          <w:pgSz w:w="8790" w:h="13610"/>
          <w:pgMar w:header="0" w:footer="802" w:top="1060" w:bottom="1000" w:left="880" w:right="880"/>
        </w:sectPr>
      </w:pPr>
    </w:p>
    <w:p>
      <w:pPr>
        <w:pStyle w:val="BodyText"/>
        <w:spacing w:before="86"/>
        <w:ind w:right="106"/>
      </w:pPr>
      <w:r>
        <w:rPr>
          <w:color w:val="231F20"/>
        </w:rPr>
        <w:t>France</w:t>
      </w:r>
      <w:r>
        <w:rPr>
          <w:color w:val="231F20"/>
          <w:spacing w:val="-15"/>
        </w:rPr>
        <w:t> </w:t>
      </w:r>
      <w:r>
        <w:rPr>
          <w:color w:val="231F20"/>
        </w:rPr>
        <w:t>aux</w:t>
      </w:r>
      <w:r>
        <w:rPr>
          <w:color w:val="231F20"/>
          <w:spacing w:val="-12"/>
        </w:rPr>
        <w:t> </w:t>
      </w:r>
      <w:r>
        <w:rPr>
          <w:color w:val="231F20"/>
        </w:rPr>
        <w:t>lendemains</w:t>
      </w:r>
      <w:r>
        <w:rPr>
          <w:color w:val="231F20"/>
          <w:spacing w:val="-12"/>
        </w:rPr>
        <w:t> </w:t>
      </w:r>
      <w:r>
        <w:rPr>
          <w:color w:val="231F20"/>
        </w:rPr>
        <w:t>du</w:t>
      </w:r>
      <w:r>
        <w:rPr>
          <w:color w:val="231F20"/>
          <w:spacing w:val="-11"/>
        </w:rPr>
        <w:t> </w:t>
      </w:r>
      <w:r>
        <w:rPr>
          <w:color w:val="231F20"/>
        </w:rPr>
        <w:t>génocide</w:t>
      </w:r>
      <w:r>
        <w:rPr>
          <w:color w:val="231F20"/>
          <w:spacing w:val="-11"/>
        </w:rPr>
        <w:t> </w:t>
      </w:r>
      <w:r>
        <w:rPr>
          <w:color w:val="231F20"/>
        </w:rPr>
        <w:t>de</w:t>
      </w:r>
      <w:r>
        <w:rPr>
          <w:color w:val="231F20"/>
          <w:spacing w:val="-13"/>
        </w:rPr>
        <w:t> </w:t>
      </w:r>
      <w:r>
        <w:rPr>
          <w:color w:val="231F20"/>
        </w:rPr>
        <w:t>1994</w:t>
      </w:r>
      <w:r>
        <w:rPr>
          <w:color w:val="231F20"/>
          <w:spacing w:val="-15"/>
        </w:rPr>
        <w:t> </w:t>
      </w:r>
      <w:r>
        <w:rPr>
          <w:color w:val="76787A"/>
          <w:vertAlign w:val="superscript"/>
        </w:rPr>
        <w:t>53</w:t>
      </w:r>
      <w:r>
        <w:rPr>
          <w:color w:val="231F20"/>
          <w:vertAlign w:val="baseline"/>
        </w:rPr>
        <w:t>,</w:t>
      </w:r>
      <w:r>
        <w:rPr>
          <w:color w:val="231F20"/>
          <w:spacing w:val="-11"/>
          <w:vertAlign w:val="baseline"/>
        </w:rPr>
        <w:t> </w:t>
      </w:r>
      <w:r>
        <w:rPr>
          <w:color w:val="231F20"/>
          <w:vertAlign w:val="baseline"/>
        </w:rPr>
        <w:t>de</w:t>
      </w:r>
      <w:r>
        <w:rPr>
          <w:color w:val="231F20"/>
          <w:spacing w:val="-12"/>
          <w:vertAlign w:val="baseline"/>
        </w:rPr>
        <w:t> </w:t>
      </w:r>
      <w:r>
        <w:rPr>
          <w:color w:val="231F20"/>
          <w:vertAlign w:val="baseline"/>
        </w:rPr>
        <w:t>nombreux</w:t>
      </w:r>
      <w:r>
        <w:rPr>
          <w:color w:val="231F20"/>
          <w:spacing w:val="-12"/>
          <w:vertAlign w:val="baseline"/>
        </w:rPr>
        <w:t> </w:t>
      </w:r>
      <w:r>
        <w:rPr>
          <w:color w:val="231F20"/>
          <w:vertAlign w:val="baseline"/>
        </w:rPr>
        <w:t>Tutsi</w:t>
      </w:r>
      <w:r>
        <w:rPr>
          <w:color w:val="231F20"/>
          <w:spacing w:val="-12"/>
          <w:vertAlign w:val="baseline"/>
        </w:rPr>
        <w:t> </w:t>
      </w:r>
      <w:r>
        <w:rPr>
          <w:color w:val="231F20"/>
          <w:vertAlign w:val="baseline"/>
        </w:rPr>
        <w:t>dont </w:t>
      </w:r>
      <w:r>
        <w:rPr>
          <w:color w:val="231F20"/>
          <w:spacing w:val="-2"/>
          <w:vertAlign w:val="baseline"/>
        </w:rPr>
        <w:t>plusieurs</w:t>
      </w:r>
      <w:r>
        <w:rPr>
          <w:color w:val="231F20"/>
          <w:spacing w:val="-9"/>
          <w:vertAlign w:val="baseline"/>
        </w:rPr>
        <w:t> </w:t>
      </w:r>
      <w:r>
        <w:rPr>
          <w:color w:val="231F20"/>
          <w:spacing w:val="-2"/>
          <w:vertAlign w:val="baseline"/>
        </w:rPr>
        <w:t>dirigeants</w:t>
      </w:r>
      <w:r>
        <w:rPr>
          <w:color w:val="231F20"/>
          <w:spacing w:val="-7"/>
          <w:vertAlign w:val="baseline"/>
        </w:rPr>
        <w:t> </w:t>
      </w:r>
      <w:r>
        <w:rPr>
          <w:color w:val="231F20"/>
          <w:spacing w:val="-2"/>
          <w:vertAlign w:val="baseline"/>
        </w:rPr>
        <w:t>actuels</w:t>
      </w:r>
      <w:r>
        <w:rPr>
          <w:color w:val="231F20"/>
          <w:spacing w:val="-6"/>
          <w:vertAlign w:val="baseline"/>
        </w:rPr>
        <w:t> </w:t>
      </w:r>
      <w:r>
        <w:rPr>
          <w:color w:val="231F20"/>
          <w:spacing w:val="-2"/>
          <w:vertAlign w:val="baseline"/>
        </w:rPr>
        <w:t>ayant</w:t>
      </w:r>
      <w:r>
        <w:rPr>
          <w:color w:val="231F20"/>
          <w:spacing w:val="-6"/>
          <w:vertAlign w:val="baseline"/>
        </w:rPr>
        <w:t> </w:t>
      </w:r>
      <w:r>
        <w:rPr>
          <w:color w:val="231F20"/>
          <w:spacing w:val="-2"/>
          <w:vertAlign w:val="baseline"/>
        </w:rPr>
        <w:t>grandi</w:t>
      </w:r>
      <w:r>
        <w:rPr>
          <w:color w:val="231F20"/>
          <w:spacing w:val="-8"/>
          <w:vertAlign w:val="baseline"/>
        </w:rPr>
        <w:t> </w:t>
      </w:r>
      <w:r>
        <w:rPr>
          <w:color w:val="231F20"/>
          <w:spacing w:val="-2"/>
          <w:vertAlign w:val="baseline"/>
        </w:rPr>
        <w:t>en</w:t>
      </w:r>
      <w:r>
        <w:rPr>
          <w:color w:val="231F20"/>
          <w:spacing w:val="-9"/>
          <w:vertAlign w:val="baseline"/>
        </w:rPr>
        <w:t> </w:t>
      </w:r>
      <w:r>
        <w:rPr>
          <w:color w:val="231F20"/>
          <w:spacing w:val="-2"/>
          <w:vertAlign w:val="baseline"/>
        </w:rPr>
        <w:t>Ouganda,</w:t>
      </w:r>
      <w:r>
        <w:rPr>
          <w:color w:val="231F20"/>
          <w:spacing w:val="-7"/>
          <w:vertAlign w:val="baseline"/>
        </w:rPr>
        <w:t> </w:t>
      </w:r>
      <w:r>
        <w:rPr>
          <w:color w:val="231F20"/>
          <w:spacing w:val="-2"/>
          <w:vertAlign w:val="baseline"/>
        </w:rPr>
        <w:t>ne</w:t>
      </w:r>
      <w:r>
        <w:rPr>
          <w:color w:val="231F20"/>
          <w:spacing w:val="-7"/>
          <w:vertAlign w:val="baseline"/>
        </w:rPr>
        <w:t> </w:t>
      </w:r>
      <w:r>
        <w:rPr>
          <w:color w:val="231F20"/>
          <w:spacing w:val="-2"/>
          <w:vertAlign w:val="baseline"/>
        </w:rPr>
        <w:t>comprennent</w:t>
      </w:r>
      <w:r>
        <w:rPr>
          <w:color w:val="231F20"/>
          <w:spacing w:val="-9"/>
          <w:vertAlign w:val="baseline"/>
        </w:rPr>
        <w:t> </w:t>
      </w:r>
      <w:r>
        <w:rPr>
          <w:color w:val="231F20"/>
          <w:spacing w:val="-2"/>
          <w:vertAlign w:val="baseline"/>
        </w:rPr>
        <w:t>et </w:t>
      </w:r>
      <w:r>
        <w:rPr>
          <w:color w:val="231F20"/>
          <w:vertAlign w:val="baseline"/>
        </w:rPr>
        <w:t>ne</w:t>
      </w:r>
      <w:r>
        <w:rPr>
          <w:color w:val="231F20"/>
          <w:spacing w:val="-4"/>
          <w:vertAlign w:val="baseline"/>
        </w:rPr>
        <w:t> </w:t>
      </w:r>
      <w:r>
        <w:rPr>
          <w:color w:val="231F20"/>
          <w:vertAlign w:val="baseline"/>
        </w:rPr>
        <w:t>parlent</w:t>
      </w:r>
      <w:r>
        <w:rPr>
          <w:color w:val="231F20"/>
          <w:spacing w:val="-5"/>
          <w:vertAlign w:val="baseline"/>
        </w:rPr>
        <w:t> </w:t>
      </w:r>
      <w:r>
        <w:rPr>
          <w:color w:val="231F20"/>
          <w:vertAlign w:val="baseline"/>
        </w:rPr>
        <w:t>que</w:t>
      </w:r>
      <w:r>
        <w:rPr>
          <w:color w:val="231F20"/>
          <w:spacing w:val="-7"/>
          <w:vertAlign w:val="baseline"/>
        </w:rPr>
        <w:t> </w:t>
      </w:r>
      <w:r>
        <w:rPr>
          <w:color w:val="231F20"/>
          <w:vertAlign w:val="baseline"/>
        </w:rPr>
        <w:t>l'anglais</w:t>
      </w:r>
      <w:r>
        <w:rPr>
          <w:color w:val="231F20"/>
          <w:spacing w:val="-7"/>
          <w:vertAlign w:val="baseline"/>
        </w:rPr>
        <w:t> </w:t>
      </w:r>
      <w:r>
        <w:rPr>
          <w:color w:val="231F20"/>
          <w:vertAlign w:val="baseline"/>
        </w:rPr>
        <w:t>la</w:t>
      </w:r>
      <w:r>
        <w:rPr>
          <w:color w:val="231F20"/>
          <w:spacing w:val="-7"/>
          <w:vertAlign w:val="baseline"/>
        </w:rPr>
        <w:t> </w:t>
      </w:r>
      <w:r>
        <w:rPr>
          <w:color w:val="231F20"/>
          <w:vertAlign w:val="baseline"/>
        </w:rPr>
        <w:t>langue</w:t>
      </w:r>
      <w:r>
        <w:rPr>
          <w:color w:val="231F20"/>
          <w:spacing w:val="-4"/>
          <w:vertAlign w:val="baseline"/>
        </w:rPr>
        <w:t> </w:t>
      </w:r>
      <w:r>
        <w:rPr>
          <w:color w:val="231F20"/>
          <w:vertAlign w:val="baseline"/>
        </w:rPr>
        <w:t>officielle</w:t>
      </w:r>
      <w:r>
        <w:rPr>
          <w:color w:val="231F20"/>
          <w:spacing w:val="-4"/>
          <w:vertAlign w:val="baseline"/>
        </w:rPr>
        <w:t> </w:t>
      </w:r>
      <w:r>
        <w:rPr>
          <w:color w:val="231F20"/>
          <w:vertAlign w:val="baseline"/>
        </w:rPr>
        <w:t>du</w:t>
      </w:r>
      <w:r>
        <w:rPr>
          <w:color w:val="231F20"/>
          <w:spacing w:val="-7"/>
          <w:vertAlign w:val="baseline"/>
        </w:rPr>
        <w:t> </w:t>
      </w:r>
      <w:r>
        <w:rPr>
          <w:color w:val="231F20"/>
          <w:vertAlign w:val="baseline"/>
        </w:rPr>
        <w:t>pays</w:t>
      </w:r>
      <w:r>
        <w:rPr>
          <w:color w:val="231F20"/>
          <w:spacing w:val="-9"/>
          <w:vertAlign w:val="baseline"/>
        </w:rPr>
        <w:t> </w:t>
      </w:r>
      <w:r>
        <w:rPr>
          <w:color w:val="231F20"/>
          <w:vertAlign w:val="baseline"/>
        </w:rPr>
        <w:t>d’accueil.</w:t>
      </w:r>
    </w:p>
    <w:p>
      <w:pPr>
        <w:pStyle w:val="BodyText"/>
        <w:spacing w:before="120"/>
        <w:ind w:right="106" w:firstLine="283"/>
      </w:pPr>
      <w:r>
        <w:rPr>
          <w:color w:val="231F20"/>
        </w:rPr>
        <w:t>En</w:t>
      </w:r>
      <w:r>
        <w:rPr>
          <w:color w:val="231F20"/>
          <w:spacing w:val="-8"/>
        </w:rPr>
        <w:t> </w:t>
      </w:r>
      <w:r>
        <w:rPr>
          <w:color w:val="231F20"/>
        </w:rPr>
        <w:t>décembre</w:t>
      </w:r>
      <w:r>
        <w:rPr>
          <w:color w:val="231F20"/>
          <w:spacing w:val="-8"/>
        </w:rPr>
        <w:t> </w:t>
      </w:r>
      <w:r>
        <w:rPr>
          <w:color w:val="231F20"/>
        </w:rPr>
        <w:t>2014,</w:t>
      </w:r>
      <w:r>
        <w:rPr>
          <w:color w:val="231F20"/>
          <w:spacing w:val="-8"/>
        </w:rPr>
        <w:t> </w:t>
      </w:r>
      <w:r>
        <w:rPr>
          <w:color w:val="231F20"/>
        </w:rPr>
        <w:t>les</w:t>
      </w:r>
      <w:r>
        <w:rPr>
          <w:color w:val="231F20"/>
          <w:spacing w:val="-10"/>
        </w:rPr>
        <w:t> </w:t>
      </w:r>
      <w:r>
        <w:rPr>
          <w:color w:val="231F20"/>
        </w:rPr>
        <w:t>nouveaux</w:t>
      </w:r>
      <w:r>
        <w:rPr>
          <w:color w:val="231F20"/>
          <w:spacing w:val="-8"/>
        </w:rPr>
        <w:t> </w:t>
      </w:r>
      <w:r>
        <w:rPr>
          <w:color w:val="231F20"/>
        </w:rPr>
        <w:t>billets</w:t>
      </w:r>
      <w:r>
        <w:rPr>
          <w:color w:val="231F20"/>
          <w:spacing w:val="-8"/>
        </w:rPr>
        <w:t> </w:t>
      </w:r>
      <w:r>
        <w:rPr>
          <w:color w:val="231F20"/>
        </w:rPr>
        <w:t>de</w:t>
      </w:r>
      <w:r>
        <w:rPr>
          <w:color w:val="231F20"/>
          <w:spacing w:val="-8"/>
        </w:rPr>
        <w:t> </w:t>
      </w:r>
      <w:r>
        <w:rPr>
          <w:color w:val="231F20"/>
        </w:rPr>
        <w:t>franc</w:t>
      </w:r>
      <w:r>
        <w:rPr>
          <w:color w:val="231F20"/>
          <w:spacing w:val="-8"/>
        </w:rPr>
        <w:t> </w:t>
      </w:r>
      <w:r>
        <w:rPr>
          <w:color w:val="231F20"/>
        </w:rPr>
        <w:t>rwandais</w:t>
      </w:r>
      <w:r>
        <w:rPr>
          <w:color w:val="231F20"/>
          <w:spacing w:val="-8"/>
        </w:rPr>
        <w:t> </w:t>
      </w:r>
      <w:r>
        <w:rPr>
          <w:color w:val="231F20"/>
        </w:rPr>
        <w:t>sont</w:t>
      </w:r>
      <w:r>
        <w:rPr>
          <w:color w:val="231F20"/>
          <w:spacing w:val="-8"/>
        </w:rPr>
        <w:t> </w:t>
      </w:r>
      <w:r>
        <w:rPr>
          <w:color w:val="231F20"/>
        </w:rPr>
        <w:t>émis en anglais et en kinyarwanda, la langue locale parlée par l'immense majorité</w:t>
      </w:r>
      <w:r>
        <w:rPr>
          <w:color w:val="231F20"/>
          <w:spacing w:val="-10"/>
        </w:rPr>
        <w:t> </w:t>
      </w:r>
      <w:r>
        <w:rPr>
          <w:color w:val="231F20"/>
        </w:rPr>
        <w:t>de</w:t>
      </w:r>
      <w:r>
        <w:rPr>
          <w:color w:val="231F20"/>
          <w:spacing w:val="-13"/>
        </w:rPr>
        <w:t> </w:t>
      </w:r>
      <w:r>
        <w:rPr>
          <w:color w:val="231F20"/>
        </w:rPr>
        <w:t>la</w:t>
      </w:r>
      <w:r>
        <w:rPr>
          <w:color w:val="231F20"/>
          <w:spacing w:val="-12"/>
        </w:rPr>
        <w:t> </w:t>
      </w:r>
      <w:r>
        <w:rPr>
          <w:color w:val="231F20"/>
        </w:rPr>
        <w:t>population,</w:t>
      </w:r>
      <w:r>
        <w:rPr>
          <w:color w:val="231F20"/>
          <w:spacing w:val="-12"/>
        </w:rPr>
        <w:t> </w:t>
      </w:r>
      <w:r>
        <w:rPr>
          <w:color w:val="231F20"/>
        </w:rPr>
        <w:t>également</w:t>
      </w:r>
      <w:r>
        <w:rPr>
          <w:color w:val="231F20"/>
          <w:spacing w:val="-10"/>
        </w:rPr>
        <w:t> </w:t>
      </w:r>
      <w:r>
        <w:rPr>
          <w:color w:val="231F20"/>
        </w:rPr>
        <w:t>érigée</w:t>
      </w:r>
      <w:r>
        <w:rPr>
          <w:color w:val="231F20"/>
          <w:spacing w:val="-10"/>
        </w:rPr>
        <w:t> </w:t>
      </w:r>
      <w:r>
        <w:rPr>
          <w:color w:val="231F20"/>
        </w:rPr>
        <w:t>en</w:t>
      </w:r>
      <w:r>
        <w:rPr>
          <w:color w:val="231F20"/>
          <w:spacing w:val="-13"/>
        </w:rPr>
        <w:t> </w:t>
      </w:r>
      <w:r>
        <w:rPr>
          <w:color w:val="231F20"/>
        </w:rPr>
        <w:t>langue</w:t>
      </w:r>
      <w:r>
        <w:rPr>
          <w:color w:val="231F20"/>
          <w:spacing w:val="-10"/>
        </w:rPr>
        <w:t> </w:t>
      </w:r>
      <w:r>
        <w:rPr>
          <w:color w:val="231F20"/>
        </w:rPr>
        <w:t>officielle.</w:t>
      </w:r>
      <w:r>
        <w:rPr>
          <w:color w:val="231F20"/>
          <w:spacing w:val="-12"/>
        </w:rPr>
        <w:t> </w:t>
      </w:r>
      <w:r>
        <w:rPr>
          <w:color w:val="231F20"/>
        </w:rPr>
        <w:t>Depuis </w:t>
      </w:r>
      <w:r>
        <w:rPr>
          <w:color w:val="231F20"/>
          <w:spacing w:val="-4"/>
        </w:rPr>
        <w:t>février</w:t>
      </w:r>
      <w:r>
        <w:rPr>
          <w:color w:val="231F20"/>
          <w:spacing w:val="-11"/>
        </w:rPr>
        <w:t> </w:t>
      </w:r>
      <w:r>
        <w:rPr>
          <w:color w:val="231F20"/>
          <w:spacing w:val="-4"/>
        </w:rPr>
        <w:t>2017,</w:t>
      </w:r>
      <w:r>
        <w:rPr>
          <w:color w:val="231F20"/>
          <w:spacing w:val="-11"/>
        </w:rPr>
        <w:t> </w:t>
      </w:r>
      <w:r>
        <w:rPr>
          <w:color w:val="231F20"/>
          <w:spacing w:val="-4"/>
        </w:rPr>
        <w:t>le</w:t>
      </w:r>
      <w:r>
        <w:rPr>
          <w:color w:val="231F20"/>
          <w:spacing w:val="-11"/>
        </w:rPr>
        <w:t> </w:t>
      </w:r>
      <w:r>
        <w:rPr>
          <w:color w:val="231F20"/>
          <w:spacing w:val="-4"/>
        </w:rPr>
        <w:t>swahili</w:t>
      </w:r>
      <w:r>
        <w:rPr>
          <w:color w:val="231F20"/>
          <w:spacing w:val="-11"/>
        </w:rPr>
        <w:t> </w:t>
      </w:r>
      <w:r>
        <w:rPr>
          <w:color w:val="231F20"/>
          <w:spacing w:val="-4"/>
        </w:rPr>
        <w:t>a</w:t>
      </w:r>
      <w:r>
        <w:rPr>
          <w:color w:val="231F20"/>
          <w:spacing w:val="-11"/>
        </w:rPr>
        <w:t> </w:t>
      </w:r>
      <w:r>
        <w:rPr>
          <w:color w:val="231F20"/>
          <w:spacing w:val="-4"/>
        </w:rPr>
        <w:t>été</w:t>
      </w:r>
      <w:r>
        <w:rPr>
          <w:color w:val="231F20"/>
          <w:spacing w:val="-11"/>
        </w:rPr>
        <w:t> </w:t>
      </w:r>
      <w:r>
        <w:rPr>
          <w:color w:val="231F20"/>
          <w:spacing w:val="-4"/>
        </w:rPr>
        <w:t>aussi</w:t>
      </w:r>
      <w:r>
        <w:rPr>
          <w:color w:val="231F20"/>
          <w:spacing w:val="-11"/>
        </w:rPr>
        <w:t> </w:t>
      </w:r>
      <w:r>
        <w:rPr>
          <w:color w:val="231F20"/>
          <w:spacing w:val="-4"/>
        </w:rPr>
        <w:t>adopté</w:t>
      </w:r>
      <w:r>
        <w:rPr>
          <w:color w:val="231F20"/>
          <w:spacing w:val="-11"/>
        </w:rPr>
        <w:t> </w:t>
      </w:r>
      <w:r>
        <w:rPr>
          <w:color w:val="231F20"/>
          <w:spacing w:val="-4"/>
        </w:rPr>
        <w:t>comme</w:t>
      </w:r>
      <w:r>
        <w:rPr>
          <w:color w:val="231F20"/>
          <w:spacing w:val="-11"/>
        </w:rPr>
        <w:t> </w:t>
      </w:r>
      <w:r>
        <w:rPr>
          <w:color w:val="231F20"/>
          <w:spacing w:val="-4"/>
        </w:rPr>
        <w:t>langue</w:t>
      </w:r>
      <w:r>
        <w:rPr>
          <w:color w:val="231F20"/>
          <w:spacing w:val="-11"/>
        </w:rPr>
        <w:t> </w:t>
      </w:r>
      <w:r>
        <w:rPr>
          <w:color w:val="231F20"/>
          <w:spacing w:val="-4"/>
        </w:rPr>
        <w:t>nationale</w:t>
      </w:r>
      <w:r>
        <w:rPr>
          <w:color w:val="231F20"/>
          <w:spacing w:val="-11"/>
        </w:rPr>
        <w:t> </w:t>
      </w:r>
      <w:r>
        <w:rPr>
          <w:color w:val="231F20"/>
          <w:spacing w:val="-4"/>
        </w:rPr>
        <w:t>:</w:t>
      </w:r>
      <w:r>
        <w:rPr>
          <w:color w:val="231F20"/>
          <w:spacing w:val="-11"/>
        </w:rPr>
        <w:t> </w:t>
      </w:r>
      <w:r>
        <w:rPr>
          <w:color w:val="231F20"/>
          <w:spacing w:val="-4"/>
        </w:rPr>
        <w:t>fuyant le</w:t>
      </w:r>
      <w:r>
        <w:rPr>
          <w:color w:val="231F20"/>
          <w:spacing w:val="-10"/>
        </w:rPr>
        <w:t> </w:t>
      </w:r>
      <w:r>
        <w:rPr>
          <w:color w:val="231F20"/>
          <w:spacing w:val="-4"/>
        </w:rPr>
        <w:t>génocide,</w:t>
      </w:r>
      <w:r>
        <w:rPr>
          <w:color w:val="231F20"/>
          <w:spacing w:val="-8"/>
        </w:rPr>
        <w:t> </w:t>
      </w:r>
      <w:r>
        <w:rPr>
          <w:color w:val="231F20"/>
          <w:spacing w:val="-4"/>
        </w:rPr>
        <w:t>certains</w:t>
      </w:r>
      <w:r>
        <w:rPr>
          <w:color w:val="231F20"/>
          <w:spacing w:val="-11"/>
        </w:rPr>
        <w:t> </w:t>
      </w:r>
      <w:r>
        <w:rPr>
          <w:color w:val="231F20"/>
          <w:spacing w:val="-4"/>
        </w:rPr>
        <w:t>Rwandais</w:t>
      </w:r>
      <w:r>
        <w:rPr>
          <w:color w:val="231F20"/>
          <w:spacing w:val="-11"/>
        </w:rPr>
        <w:t> </w:t>
      </w:r>
      <w:r>
        <w:rPr>
          <w:color w:val="231F20"/>
          <w:spacing w:val="-4"/>
        </w:rPr>
        <w:t>Tutsi</w:t>
      </w:r>
      <w:r>
        <w:rPr>
          <w:color w:val="231F20"/>
          <w:spacing w:val="-11"/>
        </w:rPr>
        <w:t> </w:t>
      </w:r>
      <w:r>
        <w:rPr>
          <w:color w:val="231F20"/>
          <w:spacing w:val="-4"/>
        </w:rPr>
        <w:t>s’étaient</w:t>
      </w:r>
      <w:r>
        <w:rPr>
          <w:color w:val="231F20"/>
          <w:spacing w:val="-7"/>
        </w:rPr>
        <w:t> </w:t>
      </w:r>
      <w:r>
        <w:rPr>
          <w:color w:val="231F20"/>
          <w:spacing w:val="-4"/>
        </w:rPr>
        <w:t>exilés</w:t>
      </w:r>
      <w:r>
        <w:rPr>
          <w:color w:val="231F20"/>
          <w:spacing w:val="-11"/>
        </w:rPr>
        <w:t> </w:t>
      </w:r>
      <w:r>
        <w:rPr>
          <w:color w:val="231F20"/>
          <w:spacing w:val="-4"/>
        </w:rPr>
        <w:t>dans</w:t>
      </w:r>
      <w:r>
        <w:rPr>
          <w:color w:val="231F20"/>
          <w:spacing w:val="-11"/>
        </w:rPr>
        <w:t> </w:t>
      </w:r>
      <w:r>
        <w:rPr>
          <w:color w:val="231F20"/>
          <w:spacing w:val="-4"/>
        </w:rPr>
        <w:t>des</w:t>
      </w:r>
      <w:r>
        <w:rPr>
          <w:color w:val="231F20"/>
          <w:spacing w:val="-8"/>
        </w:rPr>
        <w:t> </w:t>
      </w:r>
      <w:r>
        <w:rPr>
          <w:color w:val="231F20"/>
          <w:spacing w:val="-4"/>
        </w:rPr>
        <w:t>pays</w:t>
      </w:r>
      <w:r>
        <w:rPr>
          <w:color w:val="231F20"/>
          <w:spacing w:val="-9"/>
        </w:rPr>
        <w:t> </w:t>
      </w:r>
      <w:r>
        <w:rPr>
          <w:color w:val="231F20"/>
          <w:spacing w:val="-4"/>
        </w:rPr>
        <w:t>parlant le</w:t>
      </w:r>
      <w:r>
        <w:rPr>
          <w:color w:val="231F20"/>
          <w:spacing w:val="-11"/>
        </w:rPr>
        <w:t> </w:t>
      </w:r>
      <w:r>
        <w:rPr>
          <w:color w:val="231F20"/>
          <w:spacing w:val="-4"/>
        </w:rPr>
        <w:t>swahili</w:t>
      </w:r>
      <w:r>
        <w:rPr>
          <w:color w:val="231F20"/>
          <w:spacing w:val="-11"/>
        </w:rPr>
        <w:t> </w:t>
      </w:r>
      <w:r>
        <w:rPr>
          <w:color w:val="231F20"/>
          <w:spacing w:val="-4"/>
        </w:rPr>
        <w:t>en</w:t>
      </w:r>
      <w:r>
        <w:rPr>
          <w:color w:val="231F20"/>
          <w:spacing w:val="-11"/>
        </w:rPr>
        <w:t> </w:t>
      </w:r>
      <w:r>
        <w:rPr>
          <w:color w:val="231F20"/>
          <w:spacing w:val="-4"/>
        </w:rPr>
        <w:t>Afrique</w:t>
      </w:r>
      <w:r>
        <w:rPr>
          <w:color w:val="231F20"/>
          <w:spacing w:val="-11"/>
        </w:rPr>
        <w:t> </w:t>
      </w:r>
      <w:r>
        <w:rPr>
          <w:color w:val="231F20"/>
          <w:spacing w:val="-4"/>
        </w:rPr>
        <w:t>de</w:t>
      </w:r>
      <w:r>
        <w:rPr>
          <w:color w:val="231F20"/>
          <w:spacing w:val="-11"/>
        </w:rPr>
        <w:t> </w:t>
      </w:r>
      <w:r>
        <w:rPr>
          <w:color w:val="231F20"/>
          <w:spacing w:val="-4"/>
        </w:rPr>
        <w:t>l'Est.</w:t>
      </w:r>
      <w:r>
        <w:rPr>
          <w:color w:val="231F20"/>
          <w:spacing w:val="-11"/>
        </w:rPr>
        <w:t> </w:t>
      </w:r>
      <w:r>
        <w:rPr>
          <w:color w:val="231F20"/>
          <w:spacing w:val="-4"/>
        </w:rPr>
        <w:t>À</w:t>
      </w:r>
      <w:r>
        <w:rPr>
          <w:color w:val="231F20"/>
          <w:spacing w:val="-11"/>
        </w:rPr>
        <w:t> </w:t>
      </w:r>
      <w:r>
        <w:rPr>
          <w:color w:val="231F20"/>
          <w:spacing w:val="-4"/>
        </w:rPr>
        <w:t>leur</w:t>
      </w:r>
      <w:r>
        <w:rPr>
          <w:color w:val="231F20"/>
          <w:spacing w:val="-11"/>
        </w:rPr>
        <w:t> </w:t>
      </w:r>
      <w:r>
        <w:rPr>
          <w:color w:val="231F20"/>
          <w:spacing w:val="-4"/>
        </w:rPr>
        <w:t>retour</w:t>
      </w:r>
      <w:r>
        <w:rPr>
          <w:color w:val="231F20"/>
          <w:spacing w:val="-11"/>
        </w:rPr>
        <w:t> </w:t>
      </w:r>
      <w:r>
        <w:rPr>
          <w:color w:val="231F20"/>
          <w:spacing w:val="-4"/>
        </w:rPr>
        <w:t>au</w:t>
      </w:r>
      <w:r>
        <w:rPr>
          <w:color w:val="231F20"/>
          <w:spacing w:val="-11"/>
        </w:rPr>
        <w:t> </w:t>
      </w:r>
      <w:r>
        <w:rPr>
          <w:color w:val="231F20"/>
          <w:spacing w:val="-4"/>
        </w:rPr>
        <w:t>pays,</w:t>
      </w:r>
      <w:r>
        <w:rPr>
          <w:color w:val="231F20"/>
          <w:spacing w:val="-11"/>
        </w:rPr>
        <w:t> </w:t>
      </w:r>
      <w:r>
        <w:rPr>
          <w:color w:val="231F20"/>
          <w:spacing w:val="-4"/>
        </w:rPr>
        <w:t>ils</w:t>
      </w:r>
      <w:r>
        <w:rPr>
          <w:color w:val="231F20"/>
          <w:spacing w:val="-11"/>
        </w:rPr>
        <w:t> </w:t>
      </w:r>
      <w:r>
        <w:rPr>
          <w:color w:val="231F20"/>
          <w:spacing w:val="-4"/>
        </w:rPr>
        <w:t>ne</w:t>
      </w:r>
      <w:r>
        <w:rPr>
          <w:color w:val="231F20"/>
          <w:spacing w:val="-11"/>
        </w:rPr>
        <w:t> </w:t>
      </w:r>
      <w:r>
        <w:rPr>
          <w:color w:val="231F20"/>
          <w:spacing w:val="-4"/>
        </w:rPr>
        <w:t>parlent</w:t>
      </w:r>
      <w:r>
        <w:rPr>
          <w:color w:val="231F20"/>
          <w:spacing w:val="-11"/>
        </w:rPr>
        <w:t> </w:t>
      </w:r>
      <w:r>
        <w:rPr>
          <w:color w:val="231F20"/>
          <w:spacing w:val="-4"/>
        </w:rPr>
        <w:t>que</w:t>
      </w:r>
      <w:r>
        <w:rPr>
          <w:color w:val="231F20"/>
          <w:spacing w:val="-11"/>
        </w:rPr>
        <w:t> </w:t>
      </w:r>
      <w:r>
        <w:rPr>
          <w:color w:val="231F20"/>
          <w:spacing w:val="-4"/>
        </w:rPr>
        <w:t>cette </w:t>
      </w:r>
      <w:r>
        <w:rPr>
          <w:color w:val="231F20"/>
          <w:spacing w:val="-2"/>
        </w:rPr>
        <w:t>langue.</w:t>
      </w:r>
    </w:p>
    <w:p>
      <w:pPr>
        <w:pStyle w:val="BodyText"/>
        <w:spacing w:before="121"/>
        <w:ind w:right="107" w:firstLine="283"/>
      </w:pPr>
      <w:r>
        <w:rPr>
          <w:color w:val="231F20"/>
        </w:rPr>
        <w:t>Le</w:t>
      </w:r>
      <w:r>
        <w:rPr>
          <w:color w:val="231F20"/>
          <w:spacing w:val="-15"/>
        </w:rPr>
        <w:t> </w:t>
      </w:r>
      <w:r>
        <w:rPr>
          <w:color w:val="231F20"/>
        </w:rPr>
        <w:t>5</w:t>
      </w:r>
      <w:r>
        <w:rPr>
          <w:color w:val="231F20"/>
          <w:spacing w:val="-11"/>
        </w:rPr>
        <w:t> </w:t>
      </w:r>
      <w:r>
        <w:rPr>
          <w:color w:val="231F20"/>
        </w:rPr>
        <w:t>août</w:t>
      </w:r>
      <w:r>
        <w:rPr>
          <w:color w:val="231F20"/>
          <w:spacing w:val="-12"/>
        </w:rPr>
        <w:t> </w:t>
      </w:r>
      <w:r>
        <w:rPr>
          <w:color w:val="231F20"/>
        </w:rPr>
        <w:t>2017,</w:t>
      </w:r>
      <w:r>
        <w:rPr>
          <w:color w:val="231F20"/>
          <w:spacing w:val="-10"/>
        </w:rPr>
        <w:t> </w:t>
      </w:r>
      <w:r>
        <w:rPr>
          <w:color w:val="231F20"/>
        </w:rPr>
        <w:t>Paul</w:t>
      </w:r>
      <w:r>
        <w:rPr>
          <w:color w:val="231F20"/>
          <w:spacing w:val="-10"/>
        </w:rPr>
        <w:t> </w:t>
      </w:r>
      <w:r>
        <w:rPr>
          <w:color w:val="231F20"/>
        </w:rPr>
        <w:t>Kagamé</w:t>
      </w:r>
      <w:r>
        <w:rPr>
          <w:color w:val="231F20"/>
          <w:spacing w:val="-10"/>
        </w:rPr>
        <w:t> </w:t>
      </w:r>
      <w:r>
        <w:rPr>
          <w:color w:val="231F20"/>
        </w:rPr>
        <w:t>est</w:t>
      </w:r>
      <w:r>
        <w:rPr>
          <w:color w:val="231F20"/>
          <w:spacing w:val="-10"/>
        </w:rPr>
        <w:t> </w:t>
      </w:r>
      <w:r>
        <w:rPr>
          <w:color w:val="231F20"/>
        </w:rPr>
        <w:t>réélu</w:t>
      </w:r>
      <w:r>
        <w:rPr>
          <w:color w:val="231F20"/>
          <w:spacing w:val="-10"/>
        </w:rPr>
        <w:t> </w:t>
      </w:r>
      <w:r>
        <w:rPr>
          <w:color w:val="231F20"/>
        </w:rPr>
        <w:t>avec</w:t>
      </w:r>
      <w:r>
        <w:rPr>
          <w:color w:val="231F20"/>
          <w:spacing w:val="-10"/>
        </w:rPr>
        <w:t> </w:t>
      </w:r>
      <w:r>
        <w:rPr>
          <w:color w:val="231F20"/>
        </w:rPr>
        <w:t>98,8%</w:t>
      </w:r>
      <w:r>
        <w:rPr>
          <w:color w:val="231F20"/>
          <w:spacing w:val="-12"/>
        </w:rPr>
        <w:t> </w:t>
      </w:r>
      <w:r>
        <w:rPr>
          <w:color w:val="231F20"/>
        </w:rPr>
        <w:t>des</w:t>
      </w:r>
      <w:r>
        <w:rPr>
          <w:color w:val="231F20"/>
          <w:spacing w:val="-11"/>
        </w:rPr>
        <w:t> </w:t>
      </w:r>
      <w:r>
        <w:rPr>
          <w:color w:val="231F20"/>
        </w:rPr>
        <w:t>voix,</w:t>
      </w:r>
      <w:r>
        <w:rPr>
          <w:color w:val="231F20"/>
          <w:spacing w:val="-10"/>
        </w:rPr>
        <w:t> </w:t>
      </w:r>
      <w:r>
        <w:rPr>
          <w:color w:val="231F20"/>
        </w:rPr>
        <w:t>pour</w:t>
      </w:r>
      <w:r>
        <w:rPr>
          <w:color w:val="231F20"/>
          <w:spacing w:val="-12"/>
        </w:rPr>
        <w:t> </w:t>
      </w:r>
      <w:r>
        <w:rPr>
          <w:color w:val="231F20"/>
        </w:rPr>
        <w:t>un troisième mandat de sept ans.</w:t>
      </w:r>
    </w:p>
    <w:p>
      <w:pPr>
        <w:pStyle w:val="BodyText"/>
        <w:spacing w:before="206"/>
        <w:ind w:left="0"/>
        <w:jc w:val="left"/>
      </w:pPr>
    </w:p>
    <w:p>
      <w:pPr>
        <w:spacing w:before="0"/>
        <w:ind w:left="395" w:right="0" w:firstLine="0"/>
        <w:jc w:val="left"/>
        <w:rPr>
          <w:b/>
          <w:sz w:val="16"/>
        </w:rPr>
      </w:pPr>
      <w:r>
        <w:rPr>
          <w:rFonts w:ascii="Cambria" w:hAnsi="Cambria"/>
          <w:i/>
          <w:color w:val="231F20"/>
          <w:spacing w:val="-2"/>
          <w:sz w:val="24"/>
        </w:rPr>
        <w:t>La</w:t>
      </w:r>
      <w:r>
        <w:rPr>
          <w:rFonts w:ascii="Cambria" w:hAnsi="Cambria"/>
          <w:i/>
          <w:color w:val="231F20"/>
          <w:spacing w:val="-10"/>
          <w:sz w:val="24"/>
        </w:rPr>
        <w:t> </w:t>
      </w:r>
      <w:r>
        <w:rPr>
          <w:rFonts w:ascii="Cambria" w:hAnsi="Cambria"/>
          <w:i/>
          <w:color w:val="231F20"/>
          <w:spacing w:val="-2"/>
          <w:sz w:val="24"/>
        </w:rPr>
        <w:t>République</w:t>
      </w:r>
      <w:r>
        <w:rPr>
          <w:rFonts w:ascii="Cambria" w:hAnsi="Cambria"/>
          <w:i/>
          <w:color w:val="231F20"/>
          <w:spacing w:val="-10"/>
          <w:sz w:val="24"/>
        </w:rPr>
        <w:t> </w:t>
      </w:r>
      <w:r>
        <w:rPr>
          <w:rFonts w:ascii="Cambria" w:hAnsi="Cambria"/>
          <w:i/>
          <w:color w:val="231F20"/>
          <w:spacing w:val="-2"/>
          <w:sz w:val="24"/>
        </w:rPr>
        <w:t>du</w:t>
      </w:r>
      <w:r>
        <w:rPr>
          <w:rFonts w:ascii="Cambria" w:hAnsi="Cambria"/>
          <w:i/>
          <w:color w:val="231F20"/>
          <w:spacing w:val="-11"/>
          <w:sz w:val="24"/>
        </w:rPr>
        <w:t> </w:t>
      </w:r>
      <w:r>
        <w:rPr>
          <w:rFonts w:ascii="Cambria" w:hAnsi="Cambria"/>
          <w:i/>
          <w:color w:val="231F20"/>
          <w:spacing w:val="-2"/>
          <w:sz w:val="24"/>
        </w:rPr>
        <w:t>Burundi</w:t>
      </w:r>
      <w:r>
        <w:rPr>
          <w:b/>
          <w:color w:val="231F20"/>
          <w:spacing w:val="-2"/>
          <w:position w:val="8"/>
          <w:sz w:val="16"/>
        </w:rPr>
        <w:t>54</w:t>
      </w:r>
    </w:p>
    <w:p>
      <w:pPr>
        <w:pStyle w:val="BodyText"/>
        <w:spacing w:before="255"/>
        <w:ind w:right="107" w:firstLine="283"/>
      </w:pPr>
      <w:r>
        <w:rPr>
          <w:color w:val="231F20"/>
        </w:rPr>
        <w:t>La République du Burundi, sans accès à la mer, possède un grand rivage sur le lac Tanganyika, situé dans la région des Grands Lacs. Le pays est entouré par la Tanzanie à l’Est et au Sud, la République Démocratique</w:t>
      </w:r>
      <w:r>
        <w:rPr>
          <w:color w:val="231F20"/>
          <w:spacing w:val="-1"/>
        </w:rPr>
        <w:t> </w:t>
      </w:r>
      <w:r>
        <w:rPr>
          <w:color w:val="231F20"/>
        </w:rPr>
        <w:t>du</w:t>
      </w:r>
      <w:r>
        <w:rPr>
          <w:color w:val="231F20"/>
          <w:spacing w:val="-3"/>
        </w:rPr>
        <w:t> </w:t>
      </w:r>
      <w:r>
        <w:rPr>
          <w:color w:val="231F20"/>
        </w:rPr>
        <w:t>Congo</w:t>
      </w:r>
      <w:r>
        <w:rPr>
          <w:color w:val="231F20"/>
          <w:spacing w:val="-3"/>
        </w:rPr>
        <w:t> </w:t>
      </w:r>
      <w:r>
        <w:rPr>
          <w:color w:val="231F20"/>
        </w:rPr>
        <w:t>à</w:t>
      </w:r>
      <w:r>
        <w:rPr>
          <w:color w:val="231F20"/>
          <w:spacing w:val="-1"/>
        </w:rPr>
        <w:t> </w:t>
      </w:r>
      <w:r>
        <w:rPr>
          <w:color w:val="231F20"/>
        </w:rPr>
        <w:t>l’Ouest</w:t>
      </w:r>
      <w:r>
        <w:rPr>
          <w:color w:val="231F20"/>
          <w:spacing w:val="-2"/>
        </w:rPr>
        <w:t> </w:t>
      </w:r>
      <w:r>
        <w:rPr>
          <w:color w:val="231F20"/>
        </w:rPr>
        <w:t>et</w:t>
      </w:r>
      <w:r>
        <w:rPr>
          <w:color w:val="231F20"/>
          <w:spacing w:val="-3"/>
        </w:rPr>
        <w:t> </w:t>
      </w:r>
      <w:r>
        <w:rPr>
          <w:color w:val="231F20"/>
        </w:rPr>
        <w:t>le</w:t>
      </w:r>
      <w:r>
        <w:rPr>
          <w:color w:val="231F20"/>
          <w:spacing w:val="-1"/>
        </w:rPr>
        <w:t> </w:t>
      </w:r>
      <w:r>
        <w:rPr>
          <w:color w:val="231F20"/>
        </w:rPr>
        <w:t>Rwanda</w:t>
      </w:r>
      <w:r>
        <w:rPr>
          <w:color w:val="231F20"/>
          <w:spacing w:val="-1"/>
        </w:rPr>
        <w:t> </w:t>
      </w:r>
      <w:r>
        <w:rPr>
          <w:color w:val="231F20"/>
        </w:rPr>
        <w:t>au</w:t>
      </w:r>
      <w:r>
        <w:rPr>
          <w:color w:val="231F20"/>
          <w:spacing w:val="-3"/>
        </w:rPr>
        <w:t> </w:t>
      </w:r>
      <w:r>
        <w:rPr>
          <w:color w:val="231F20"/>
        </w:rPr>
        <w:t>Nord.</w:t>
      </w:r>
    </w:p>
    <w:p>
      <w:pPr>
        <w:pStyle w:val="BodyText"/>
        <w:spacing w:before="121"/>
        <w:ind w:right="112" w:firstLine="283"/>
      </w:pPr>
      <w:r>
        <w:rPr>
          <w:color w:val="231F20"/>
        </w:rPr>
        <w:t>Au</w:t>
      </w:r>
      <w:r>
        <w:rPr>
          <w:color w:val="231F20"/>
          <w:spacing w:val="-9"/>
        </w:rPr>
        <w:t> </w:t>
      </w:r>
      <w:r>
        <w:rPr>
          <w:color w:val="231F20"/>
        </w:rPr>
        <w:t>Burundi</w:t>
      </w:r>
      <w:r>
        <w:rPr>
          <w:color w:val="231F20"/>
          <w:spacing w:val="-9"/>
        </w:rPr>
        <w:t> </w:t>
      </w:r>
      <w:r>
        <w:rPr>
          <w:color w:val="231F20"/>
        </w:rPr>
        <w:t>comme</w:t>
      </w:r>
      <w:r>
        <w:rPr>
          <w:color w:val="231F20"/>
          <w:spacing w:val="-9"/>
        </w:rPr>
        <w:t> </w:t>
      </w:r>
      <w:r>
        <w:rPr>
          <w:color w:val="231F20"/>
        </w:rPr>
        <w:t>au</w:t>
      </w:r>
      <w:r>
        <w:rPr>
          <w:color w:val="231F20"/>
          <w:spacing w:val="-11"/>
        </w:rPr>
        <w:t> </w:t>
      </w:r>
      <w:r>
        <w:rPr>
          <w:color w:val="231F20"/>
        </w:rPr>
        <w:t>Rwanda,</w:t>
      </w:r>
      <w:r>
        <w:rPr>
          <w:color w:val="231F20"/>
          <w:spacing w:val="-11"/>
        </w:rPr>
        <w:t> </w:t>
      </w:r>
      <w:r>
        <w:rPr>
          <w:color w:val="231F20"/>
        </w:rPr>
        <w:t>le</w:t>
      </w:r>
      <w:r>
        <w:rPr>
          <w:color w:val="231F20"/>
          <w:spacing w:val="-9"/>
        </w:rPr>
        <w:t> </w:t>
      </w:r>
      <w:r>
        <w:rPr>
          <w:color w:val="231F20"/>
        </w:rPr>
        <w:t>pouvoir</w:t>
      </w:r>
      <w:r>
        <w:rPr>
          <w:color w:val="231F20"/>
          <w:spacing w:val="-11"/>
        </w:rPr>
        <w:t> </w:t>
      </w:r>
      <w:r>
        <w:rPr>
          <w:color w:val="231F20"/>
        </w:rPr>
        <w:t>politique</w:t>
      </w:r>
      <w:r>
        <w:rPr>
          <w:color w:val="231F20"/>
          <w:spacing w:val="-9"/>
        </w:rPr>
        <w:t> </w:t>
      </w:r>
      <w:r>
        <w:rPr>
          <w:color w:val="231F20"/>
        </w:rPr>
        <w:t>central</w:t>
      </w:r>
      <w:r>
        <w:rPr>
          <w:color w:val="231F20"/>
          <w:spacing w:val="-10"/>
        </w:rPr>
        <w:t> </w:t>
      </w:r>
      <w:r>
        <w:rPr>
          <w:color w:val="231F20"/>
        </w:rPr>
        <w:t>reste</w:t>
      </w:r>
      <w:r>
        <w:rPr>
          <w:color w:val="231F20"/>
          <w:spacing w:val="-10"/>
        </w:rPr>
        <w:t> </w:t>
      </w:r>
      <w:r>
        <w:rPr>
          <w:color w:val="231F20"/>
        </w:rPr>
        <w:t>un </w:t>
      </w:r>
      <w:r>
        <w:rPr>
          <w:color w:val="231F20"/>
          <w:spacing w:val="-2"/>
        </w:rPr>
        <w:t>monopole</w:t>
      </w:r>
      <w:r>
        <w:rPr>
          <w:color w:val="231F20"/>
          <w:spacing w:val="-12"/>
        </w:rPr>
        <w:t> </w:t>
      </w:r>
      <w:r>
        <w:rPr>
          <w:color w:val="231F20"/>
          <w:spacing w:val="-2"/>
        </w:rPr>
        <w:t>de</w:t>
      </w:r>
      <w:r>
        <w:rPr>
          <w:color w:val="231F20"/>
          <w:spacing w:val="-8"/>
        </w:rPr>
        <w:t> </w:t>
      </w:r>
      <w:r>
        <w:rPr>
          <w:color w:val="231F20"/>
          <w:spacing w:val="-2"/>
        </w:rPr>
        <w:t>la</w:t>
      </w:r>
      <w:r>
        <w:rPr>
          <w:color w:val="231F20"/>
          <w:spacing w:val="-11"/>
        </w:rPr>
        <w:t> </w:t>
      </w:r>
      <w:r>
        <w:rPr>
          <w:color w:val="231F20"/>
          <w:spacing w:val="-2"/>
        </w:rPr>
        <w:t>minorité</w:t>
      </w:r>
      <w:r>
        <w:rPr>
          <w:color w:val="231F20"/>
          <w:spacing w:val="-13"/>
        </w:rPr>
        <w:t> </w:t>
      </w:r>
      <w:r>
        <w:rPr>
          <w:color w:val="231F20"/>
          <w:spacing w:val="-2"/>
        </w:rPr>
        <w:t>Tutsi</w:t>
      </w:r>
      <w:r>
        <w:rPr>
          <w:color w:val="231F20"/>
          <w:spacing w:val="-8"/>
        </w:rPr>
        <w:t> </w:t>
      </w:r>
      <w:r>
        <w:rPr>
          <w:color w:val="231F20"/>
          <w:spacing w:val="-2"/>
        </w:rPr>
        <w:t>qui</w:t>
      </w:r>
      <w:r>
        <w:rPr>
          <w:color w:val="231F20"/>
          <w:spacing w:val="-8"/>
        </w:rPr>
        <w:t> </w:t>
      </w:r>
      <w:r>
        <w:rPr>
          <w:color w:val="231F20"/>
          <w:spacing w:val="-2"/>
        </w:rPr>
        <w:t>représente</w:t>
      </w:r>
      <w:r>
        <w:rPr>
          <w:color w:val="231F20"/>
          <w:spacing w:val="-9"/>
        </w:rPr>
        <w:t> </w:t>
      </w:r>
      <w:r>
        <w:rPr>
          <w:color w:val="231F20"/>
          <w:spacing w:val="-2"/>
        </w:rPr>
        <w:t>10</w:t>
      </w:r>
      <w:r>
        <w:rPr>
          <w:color w:val="231F20"/>
          <w:spacing w:val="-11"/>
        </w:rPr>
        <w:t> </w:t>
      </w:r>
      <w:r>
        <w:rPr>
          <w:color w:val="231F20"/>
          <w:spacing w:val="-2"/>
        </w:rPr>
        <w:t>à</w:t>
      </w:r>
      <w:r>
        <w:rPr>
          <w:color w:val="231F20"/>
          <w:spacing w:val="-11"/>
        </w:rPr>
        <w:t> </w:t>
      </w:r>
      <w:r>
        <w:rPr>
          <w:color w:val="231F20"/>
          <w:spacing w:val="-2"/>
        </w:rPr>
        <w:t>15</w:t>
      </w:r>
      <w:r>
        <w:rPr>
          <w:color w:val="231F20"/>
          <w:spacing w:val="-9"/>
        </w:rPr>
        <w:t> </w:t>
      </w:r>
      <w:r>
        <w:rPr>
          <w:color w:val="231F20"/>
          <w:spacing w:val="-2"/>
        </w:rPr>
        <w:t>%</w:t>
      </w:r>
      <w:r>
        <w:rPr>
          <w:color w:val="231F20"/>
          <w:spacing w:val="-9"/>
        </w:rPr>
        <w:t> </w:t>
      </w:r>
      <w:r>
        <w:rPr>
          <w:color w:val="231F20"/>
          <w:spacing w:val="-2"/>
        </w:rPr>
        <w:t>de</w:t>
      </w:r>
      <w:r>
        <w:rPr>
          <w:color w:val="231F20"/>
          <w:spacing w:val="-11"/>
        </w:rPr>
        <w:t> </w:t>
      </w:r>
      <w:r>
        <w:rPr>
          <w:color w:val="231F20"/>
          <w:spacing w:val="-2"/>
        </w:rPr>
        <w:t>la</w:t>
      </w:r>
      <w:r>
        <w:rPr>
          <w:color w:val="231F20"/>
          <w:spacing w:val="-9"/>
        </w:rPr>
        <w:t> </w:t>
      </w:r>
      <w:r>
        <w:rPr>
          <w:color w:val="231F20"/>
          <w:spacing w:val="-2"/>
        </w:rPr>
        <w:t>population.</w:t>
      </w:r>
    </w:p>
    <w:p>
      <w:pPr>
        <w:pStyle w:val="BodyText"/>
        <w:spacing w:before="120"/>
        <w:ind w:right="105" w:firstLine="283"/>
      </w:pPr>
      <w:r>
        <w:rPr>
          <w:color w:val="231F20"/>
          <w:spacing w:val="-2"/>
        </w:rPr>
        <w:t>La</w:t>
      </w:r>
      <w:r>
        <w:rPr>
          <w:color w:val="231F20"/>
          <w:spacing w:val="-7"/>
        </w:rPr>
        <w:t> </w:t>
      </w:r>
      <w:r>
        <w:rPr>
          <w:color w:val="231F20"/>
          <w:spacing w:val="-2"/>
        </w:rPr>
        <w:t>proclamation</w:t>
      </w:r>
      <w:r>
        <w:rPr>
          <w:color w:val="231F20"/>
          <w:spacing w:val="-7"/>
        </w:rPr>
        <w:t> </w:t>
      </w:r>
      <w:r>
        <w:rPr>
          <w:color w:val="231F20"/>
          <w:spacing w:val="-2"/>
        </w:rPr>
        <w:t>de</w:t>
      </w:r>
      <w:r>
        <w:rPr>
          <w:color w:val="231F20"/>
          <w:spacing w:val="-9"/>
        </w:rPr>
        <w:t> </w:t>
      </w:r>
      <w:r>
        <w:rPr>
          <w:color w:val="231F20"/>
          <w:spacing w:val="-2"/>
        </w:rPr>
        <w:t>l’indépendance</w:t>
      </w:r>
      <w:r>
        <w:rPr>
          <w:color w:val="231F20"/>
          <w:spacing w:val="-7"/>
        </w:rPr>
        <w:t> </w:t>
      </w:r>
      <w:r>
        <w:rPr>
          <w:color w:val="231F20"/>
          <w:spacing w:val="-2"/>
        </w:rPr>
        <w:t>le</w:t>
      </w:r>
      <w:r>
        <w:rPr>
          <w:color w:val="231F20"/>
          <w:spacing w:val="-10"/>
        </w:rPr>
        <w:t> </w:t>
      </w:r>
      <w:r>
        <w:rPr>
          <w:color w:val="231F20"/>
          <w:spacing w:val="-2"/>
        </w:rPr>
        <w:t>1er</w:t>
      </w:r>
      <w:r>
        <w:rPr>
          <w:color w:val="231F20"/>
          <w:spacing w:val="-13"/>
        </w:rPr>
        <w:t> </w:t>
      </w:r>
      <w:r>
        <w:rPr>
          <w:color w:val="231F20"/>
          <w:spacing w:val="-2"/>
        </w:rPr>
        <w:t>juillet</w:t>
      </w:r>
      <w:r>
        <w:rPr>
          <w:color w:val="231F20"/>
          <w:spacing w:val="-11"/>
        </w:rPr>
        <w:t> </w:t>
      </w:r>
      <w:r>
        <w:rPr>
          <w:color w:val="231F20"/>
          <w:spacing w:val="-2"/>
        </w:rPr>
        <w:t>1962</w:t>
      </w:r>
      <w:r>
        <w:rPr>
          <w:color w:val="231F20"/>
          <w:spacing w:val="-6"/>
        </w:rPr>
        <w:t> </w:t>
      </w:r>
      <w:r>
        <w:rPr>
          <w:color w:val="231F20"/>
          <w:spacing w:val="-2"/>
        </w:rPr>
        <w:t>se</w:t>
      </w:r>
      <w:r>
        <w:rPr>
          <w:color w:val="231F20"/>
          <w:spacing w:val="-8"/>
        </w:rPr>
        <w:t> </w:t>
      </w:r>
      <w:r>
        <w:rPr>
          <w:color w:val="231F20"/>
          <w:spacing w:val="-2"/>
        </w:rPr>
        <w:t>déroule</w:t>
      </w:r>
      <w:r>
        <w:rPr>
          <w:color w:val="231F20"/>
          <w:spacing w:val="-8"/>
        </w:rPr>
        <w:t> </w:t>
      </w:r>
      <w:r>
        <w:rPr>
          <w:color w:val="231F20"/>
          <w:spacing w:val="-2"/>
        </w:rPr>
        <w:t>dans </w:t>
      </w:r>
      <w:r>
        <w:rPr>
          <w:color w:val="231F20"/>
        </w:rPr>
        <w:t>un climat de conflits ethniques accentués par la crise du Rwanda et la rébellion au Congo belge.</w:t>
      </w:r>
    </w:p>
    <w:p>
      <w:pPr>
        <w:pStyle w:val="BodyText"/>
        <w:spacing w:before="120"/>
        <w:ind w:right="105" w:firstLine="283"/>
      </w:pPr>
      <w:r>
        <w:rPr>
          <w:color w:val="231F20"/>
        </w:rPr>
        <w:t>Le roi Mwambutsa IV</w:t>
      </w:r>
      <w:r>
        <w:rPr>
          <w:color w:val="231F20"/>
          <w:spacing w:val="-10"/>
        </w:rPr>
        <w:t> </w:t>
      </w:r>
      <w:r>
        <w:rPr>
          <w:color w:val="231F20"/>
        </w:rPr>
        <w:t>établit un régime de Monarchie </w:t>
      </w:r>
      <w:r>
        <w:rPr>
          <w:color w:val="231F20"/>
          <w:spacing w:val="-2"/>
        </w:rPr>
        <w:t>Constitutionnelle.</w:t>
      </w:r>
    </w:p>
    <w:p>
      <w:pPr>
        <w:pStyle w:val="BodyText"/>
        <w:spacing w:before="120"/>
        <w:ind w:right="104" w:firstLine="283"/>
      </w:pPr>
      <w:r>
        <w:rPr>
          <w:color w:val="231F20"/>
          <w:spacing w:val="-2"/>
        </w:rPr>
        <w:t>Le</w:t>
      </w:r>
      <w:r>
        <w:rPr>
          <w:color w:val="231F20"/>
          <w:spacing w:val="-13"/>
        </w:rPr>
        <w:t> </w:t>
      </w:r>
      <w:r>
        <w:rPr>
          <w:color w:val="231F20"/>
          <w:spacing w:val="-2"/>
        </w:rPr>
        <w:t>15</w:t>
      </w:r>
      <w:r>
        <w:rPr>
          <w:color w:val="231F20"/>
          <w:spacing w:val="-13"/>
        </w:rPr>
        <w:t> </w:t>
      </w:r>
      <w:r>
        <w:rPr>
          <w:color w:val="231F20"/>
          <w:spacing w:val="-2"/>
        </w:rPr>
        <w:t>janvier</w:t>
      </w:r>
      <w:r>
        <w:rPr>
          <w:color w:val="231F20"/>
          <w:spacing w:val="-13"/>
        </w:rPr>
        <w:t> </w:t>
      </w:r>
      <w:r>
        <w:rPr>
          <w:color w:val="231F20"/>
          <w:spacing w:val="-2"/>
        </w:rPr>
        <w:t>1965,</w:t>
      </w:r>
      <w:r>
        <w:rPr>
          <w:color w:val="231F20"/>
          <w:spacing w:val="-13"/>
        </w:rPr>
        <w:t> </w:t>
      </w:r>
      <w:r>
        <w:rPr>
          <w:color w:val="231F20"/>
          <w:spacing w:val="-2"/>
        </w:rPr>
        <w:t>le</w:t>
      </w:r>
      <w:r>
        <w:rPr>
          <w:color w:val="231F20"/>
          <w:spacing w:val="-13"/>
        </w:rPr>
        <w:t> </w:t>
      </w:r>
      <w:r>
        <w:rPr>
          <w:color w:val="231F20"/>
          <w:spacing w:val="-2"/>
        </w:rPr>
        <w:t>Premier</w:t>
      </w:r>
      <w:r>
        <w:rPr>
          <w:color w:val="231F20"/>
          <w:spacing w:val="-11"/>
        </w:rPr>
        <w:t> </w:t>
      </w:r>
      <w:r>
        <w:rPr>
          <w:color w:val="231F20"/>
          <w:spacing w:val="-2"/>
        </w:rPr>
        <w:t>Ministre</w:t>
      </w:r>
      <w:r>
        <w:rPr>
          <w:color w:val="231F20"/>
          <w:spacing w:val="-13"/>
        </w:rPr>
        <w:t> </w:t>
      </w:r>
      <w:r>
        <w:rPr>
          <w:color w:val="231F20"/>
          <w:spacing w:val="-2"/>
        </w:rPr>
        <w:t>Pierre</w:t>
      </w:r>
      <w:r>
        <w:rPr>
          <w:color w:val="231F20"/>
          <w:spacing w:val="-12"/>
        </w:rPr>
        <w:t> </w:t>
      </w:r>
      <w:r>
        <w:rPr>
          <w:color w:val="231F20"/>
          <w:spacing w:val="-2"/>
        </w:rPr>
        <w:t>Ngendandumwe</w:t>
      </w:r>
      <w:r>
        <w:rPr>
          <w:color w:val="231F20"/>
          <w:spacing w:val="-13"/>
        </w:rPr>
        <w:t> </w:t>
      </w:r>
      <w:r>
        <w:rPr>
          <w:color w:val="231F20"/>
          <w:spacing w:val="-2"/>
        </w:rPr>
        <w:t>(hutu) </w:t>
      </w:r>
      <w:r>
        <w:rPr>
          <w:color w:val="231F20"/>
        </w:rPr>
        <w:t>est assassiné</w:t>
      </w:r>
      <w:r>
        <w:rPr>
          <w:color w:val="231F20"/>
          <w:spacing w:val="-15"/>
        </w:rPr>
        <w:t> </w:t>
      </w:r>
      <w:r>
        <w:rPr>
          <w:color w:val="231F20"/>
        </w:rPr>
        <w:t>: les Hutu attribuent sa mort à des Tutsi. Des émeutes éclatent,</w:t>
      </w:r>
      <w:r>
        <w:rPr>
          <w:color w:val="231F20"/>
          <w:spacing w:val="-3"/>
        </w:rPr>
        <w:t> </w:t>
      </w:r>
      <w:r>
        <w:rPr>
          <w:color w:val="231F20"/>
        </w:rPr>
        <w:t>aussitôt réprimées par le</w:t>
      </w:r>
      <w:r>
        <w:rPr>
          <w:color w:val="231F20"/>
          <w:spacing w:val="-3"/>
        </w:rPr>
        <w:t> </w:t>
      </w:r>
      <w:r>
        <w:rPr>
          <w:color w:val="231F20"/>
        </w:rPr>
        <w:t>gouvernement..</w:t>
      </w:r>
    </w:p>
    <w:p>
      <w:pPr>
        <w:pStyle w:val="BodyText"/>
        <w:spacing w:before="117"/>
        <w:ind w:right="105" w:firstLine="283"/>
      </w:pPr>
      <w:r>
        <w:rPr>
          <w:color w:val="231F20"/>
        </w:rPr>
        <w:t>En Novembre 1966, le Capitaine Michel Micombero, le Premier Ministre,</w:t>
      </w:r>
      <w:r>
        <w:rPr>
          <w:color w:val="231F20"/>
          <w:spacing w:val="49"/>
        </w:rPr>
        <w:t> </w:t>
      </w:r>
      <w:r>
        <w:rPr>
          <w:color w:val="231F20"/>
        </w:rPr>
        <w:t>d'origine</w:t>
      </w:r>
      <w:r>
        <w:rPr>
          <w:color w:val="231F20"/>
          <w:spacing w:val="-12"/>
        </w:rPr>
        <w:t> </w:t>
      </w:r>
      <w:r>
        <w:rPr>
          <w:color w:val="231F20"/>
        </w:rPr>
        <w:t>Tutsi,</w:t>
      </w:r>
      <w:r>
        <w:rPr>
          <w:color w:val="231F20"/>
          <w:spacing w:val="50"/>
        </w:rPr>
        <w:t> </w:t>
      </w:r>
      <w:r>
        <w:rPr>
          <w:color w:val="231F20"/>
        </w:rPr>
        <w:t>renverse</w:t>
      </w:r>
      <w:r>
        <w:rPr>
          <w:color w:val="231F20"/>
          <w:spacing w:val="53"/>
        </w:rPr>
        <w:t> </w:t>
      </w:r>
      <w:r>
        <w:rPr>
          <w:color w:val="231F20"/>
        </w:rPr>
        <w:t>le</w:t>
      </w:r>
      <w:r>
        <w:rPr>
          <w:color w:val="231F20"/>
          <w:spacing w:val="50"/>
        </w:rPr>
        <w:t> </w:t>
      </w:r>
      <w:r>
        <w:rPr>
          <w:color w:val="231F20"/>
        </w:rPr>
        <w:t>roi</w:t>
      </w:r>
      <w:r>
        <w:rPr>
          <w:color w:val="231F20"/>
          <w:spacing w:val="-11"/>
        </w:rPr>
        <w:t> </w:t>
      </w:r>
      <w:r>
        <w:rPr>
          <w:color w:val="231F20"/>
        </w:rPr>
        <w:t>Ntare</w:t>
      </w:r>
      <w:r>
        <w:rPr>
          <w:color w:val="231F20"/>
          <w:spacing w:val="51"/>
        </w:rPr>
        <w:t> </w:t>
      </w:r>
      <w:r>
        <w:rPr>
          <w:color w:val="231F20"/>
        </w:rPr>
        <w:t>V,</w:t>
      </w:r>
      <w:r>
        <w:rPr>
          <w:color w:val="231F20"/>
          <w:spacing w:val="53"/>
        </w:rPr>
        <w:t> </w:t>
      </w:r>
      <w:r>
        <w:rPr>
          <w:color w:val="231F20"/>
        </w:rPr>
        <w:t>prend</w:t>
      </w:r>
      <w:r>
        <w:rPr>
          <w:color w:val="231F20"/>
          <w:spacing w:val="51"/>
        </w:rPr>
        <w:t> </w:t>
      </w:r>
      <w:r>
        <w:rPr>
          <w:color w:val="231F20"/>
        </w:rPr>
        <w:t>le</w:t>
      </w:r>
      <w:r>
        <w:rPr>
          <w:color w:val="231F20"/>
          <w:spacing w:val="53"/>
        </w:rPr>
        <w:t> </w:t>
      </w:r>
      <w:r>
        <w:rPr>
          <w:color w:val="231F20"/>
          <w:spacing w:val="-2"/>
        </w:rPr>
        <w:t>pouvoir,</w:t>
      </w:r>
    </w:p>
    <w:p>
      <w:pPr>
        <w:pStyle w:val="BodyText"/>
        <w:spacing w:before="74"/>
        <w:ind w:left="0"/>
        <w:jc w:val="left"/>
        <w:rPr>
          <w:sz w:val="20"/>
        </w:rPr>
      </w:pPr>
      <w:r>
        <w:rPr/>
        <mc:AlternateContent>
          <mc:Choice Requires="wps">
            <w:drawing>
              <wp:anchor distT="0" distB="0" distL="0" distR="0" allowOverlap="1" layoutInCell="1" locked="0" behindDoc="1" simplePos="0" relativeHeight="487605760">
                <wp:simplePos x="0" y="0"/>
                <wp:positionH relativeFrom="page">
                  <wp:posOffset>629907</wp:posOffset>
                </wp:positionH>
                <wp:positionV relativeFrom="paragraph">
                  <wp:posOffset>208714</wp:posOffset>
                </wp:positionV>
                <wp:extent cx="1829435" cy="9525"/>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434219pt;width:144.020pt;height:.72pt;mso-position-horizontal-relative:page;mso-position-vertical-relative:paragraph;z-index:-15710720;mso-wrap-distance-left:0;mso-wrap-distance-right:0" id="docshape48" filled="true" fillcolor="#231f20" stroked="false">
                <v:fill type="solid"/>
                <w10:wrap type="topAndBottom"/>
              </v:rect>
            </w:pict>
          </mc:Fallback>
        </mc:AlternateContent>
      </w:r>
    </w:p>
    <w:p>
      <w:pPr>
        <w:spacing w:before="91"/>
        <w:ind w:left="111" w:right="105" w:firstLine="0"/>
        <w:jc w:val="both"/>
        <w:rPr>
          <w:sz w:val="20"/>
        </w:rPr>
      </w:pPr>
      <w:r>
        <w:rPr>
          <w:color w:val="76787A"/>
          <w:sz w:val="20"/>
          <w:vertAlign w:val="superscript"/>
        </w:rPr>
        <w:t>53</w:t>
      </w:r>
      <w:r>
        <w:rPr>
          <w:color w:val="231F20"/>
          <w:sz w:val="20"/>
          <w:vertAlign w:val="baseline"/>
        </w:rPr>
        <w:t>Paul</w:t>
      </w:r>
      <w:r>
        <w:rPr>
          <w:color w:val="231F20"/>
          <w:spacing w:val="-11"/>
          <w:sz w:val="20"/>
          <w:vertAlign w:val="baseline"/>
        </w:rPr>
        <w:t> </w:t>
      </w:r>
      <w:r>
        <w:rPr>
          <w:color w:val="231F20"/>
          <w:sz w:val="20"/>
          <w:vertAlign w:val="baseline"/>
        </w:rPr>
        <w:t>Kagamé</w:t>
      </w:r>
      <w:r>
        <w:rPr>
          <w:color w:val="231F20"/>
          <w:spacing w:val="-10"/>
          <w:sz w:val="20"/>
          <w:vertAlign w:val="baseline"/>
        </w:rPr>
        <w:t> </w:t>
      </w:r>
      <w:r>
        <w:rPr>
          <w:color w:val="231F20"/>
          <w:sz w:val="20"/>
          <w:vertAlign w:val="baseline"/>
        </w:rPr>
        <w:t>accusait</w:t>
      </w:r>
      <w:r>
        <w:rPr>
          <w:color w:val="231F20"/>
          <w:spacing w:val="-11"/>
          <w:sz w:val="20"/>
          <w:vertAlign w:val="baseline"/>
        </w:rPr>
        <w:t> </w:t>
      </w:r>
      <w:r>
        <w:rPr>
          <w:color w:val="231F20"/>
          <w:sz w:val="20"/>
          <w:vertAlign w:val="baseline"/>
        </w:rPr>
        <w:t>la</w:t>
      </w:r>
      <w:r>
        <w:rPr>
          <w:color w:val="231F20"/>
          <w:spacing w:val="-10"/>
          <w:sz w:val="20"/>
          <w:vertAlign w:val="baseline"/>
        </w:rPr>
        <w:t> </w:t>
      </w:r>
      <w:r>
        <w:rPr>
          <w:color w:val="231F20"/>
          <w:sz w:val="20"/>
          <w:vertAlign w:val="baseline"/>
        </w:rPr>
        <w:t>France</w:t>
      </w:r>
      <w:r>
        <w:rPr>
          <w:color w:val="231F20"/>
          <w:spacing w:val="-10"/>
          <w:sz w:val="20"/>
          <w:vertAlign w:val="baseline"/>
        </w:rPr>
        <w:t> </w:t>
      </w:r>
      <w:r>
        <w:rPr>
          <w:color w:val="231F20"/>
          <w:sz w:val="20"/>
          <w:vertAlign w:val="baseline"/>
        </w:rPr>
        <w:t>dont</w:t>
      </w:r>
      <w:r>
        <w:rPr>
          <w:color w:val="231F20"/>
          <w:spacing w:val="-10"/>
          <w:sz w:val="20"/>
          <w:vertAlign w:val="baseline"/>
        </w:rPr>
        <w:t> </w:t>
      </w:r>
      <w:r>
        <w:rPr>
          <w:color w:val="231F20"/>
          <w:sz w:val="20"/>
          <w:vertAlign w:val="baseline"/>
        </w:rPr>
        <w:t>les</w:t>
      </w:r>
      <w:r>
        <w:rPr>
          <w:color w:val="231F20"/>
          <w:spacing w:val="-11"/>
          <w:sz w:val="20"/>
          <w:vertAlign w:val="baseline"/>
        </w:rPr>
        <w:t> </w:t>
      </w:r>
      <w:r>
        <w:rPr>
          <w:color w:val="231F20"/>
          <w:sz w:val="20"/>
          <w:vertAlign w:val="baseline"/>
        </w:rPr>
        <w:t>représentants</w:t>
      </w:r>
      <w:r>
        <w:rPr>
          <w:color w:val="231F20"/>
          <w:spacing w:val="-11"/>
          <w:sz w:val="20"/>
          <w:vertAlign w:val="baseline"/>
        </w:rPr>
        <w:t> </w:t>
      </w:r>
      <w:r>
        <w:rPr>
          <w:color w:val="231F20"/>
          <w:sz w:val="20"/>
          <w:vertAlign w:val="baseline"/>
        </w:rPr>
        <w:t>au</w:t>
      </w:r>
      <w:r>
        <w:rPr>
          <w:color w:val="231F20"/>
          <w:spacing w:val="-8"/>
          <w:sz w:val="20"/>
          <w:vertAlign w:val="baseline"/>
        </w:rPr>
        <w:t> </w:t>
      </w:r>
      <w:r>
        <w:rPr>
          <w:color w:val="231F20"/>
          <w:sz w:val="20"/>
          <w:vertAlign w:val="baseline"/>
        </w:rPr>
        <w:t>Rwanda,</w:t>
      </w:r>
      <w:r>
        <w:rPr>
          <w:color w:val="231F20"/>
          <w:spacing w:val="-10"/>
          <w:sz w:val="20"/>
          <w:vertAlign w:val="baseline"/>
        </w:rPr>
        <w:t> </w:t>
      </w:r>
      <w:r>
        <w:rPr>
          <w:color w:val="231F20"/>
          <w:sz w:val="20"/>
          <w:vertAlign w:val="baseline"/>
        </w:rPr>
        <w:t>sachant</w:t>
      </w:r>
      <w:r>
        <w:rPr>
          <w:color w:val="231F20"/>
          <w:spacing w:val="-11"/>
          <w:sz w:val="20"/>
          <w:vertAlign w:val="baseline"/>
        </w:rPr>
        <w:t> </w:t>
      </w:r>
      <w:r>
        <w:rPr>
          <w:color w:val="231F20"/>
          <w:sz w:val="20"/>
          <w:vertAlign w:val="baseline"/>
        </w:rPr>
        <w:t>tout</w:t>
      </w:r>
      <w:r>
        <w:rPr>
          <w:color w:val="231F20"/>
          <w:spacing w:val="-11"/>
          <w:sz w:val="20"/>
          <w:vertAlign w:val="baseline"/>
        </w:rPr>
        <w:t> </w:t>
      </w:r>
      <w:r>
        <w:rPr>
          <w:color w:val="231F20"/>
          <w:sz w:val="20"/>
          <w:vertAlign w:val="baseline"/>
        </w:rPr>
        <w:t>de</w:t>
      </w:r>
      <w:r>
        <w:rPr>
          <w:color w:val="231F20"/>
          <w:spacing w:val="-10"/>
          <w:sz w:val="20"/>
          <w:vertAlign w:val="baseline"/>
        </w:rPr>
        <w:t> </w:t>
      </w:r>
      <w:r>
        <w:rPr>
          <w:color w:val="231F20"/>
          <w:sz w:val="20"/>
          <w:vertAlign w:val="baseline"/>
        </w:rPr>
        <w:t>la </w:t>
      </w:r>
      <w:r>
        <w:rPr>
          <w:color w:val="231F20"/>
          <w:spacing w:val="-2"/>
          <w:sz w:val="20"/>
          <w:vertAlign w:val="baseline"/>
        </w:rPr>
        <w:t>politique</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haine</w:t>
      </w:r>
      <w:r>
        <w:rPr>
          <w:color w:val="231F20"/>
          <w:spacing w:val="-11"/>
          <w:sz w:val="20"/>
          <w:vertAlign w:val="baseline"/>
        </w:rPr>
        <w:t> </w:t>
      </w:r>
      <w:r>
        <w:rPr>
          <w:color w:val="231F20"/>
          <w:spacing w:val="-2"/>
          <w:sz w:val="20"/>
          <w:vertAlign w:val="baseline"/>
        </w:rPr>
        <w:t>pronée</w:t>
      </w:r>
      <w:r>
        <w:rPr>
          <w:color w:val="231F20"/>
          <w:spacing w:val="-10"/>
          <w:sz w:val="20"/>
          <w:vertAlign w:val="baseline"/>
        </w:rPr>
        <w:t> </w:t>
      </w:r>
      <w:r>
        <w:rPr>
          <w:color w:val="231F20"/>
          <w:spacing w:val="-2"/>
          <w:sz w:val="20"/>
          <w:vertAlign w:val="baseline"/>
        </w:rPr>
        <w:t>par</w:t>
      </w:r>
      <w:r>
        <w:rPr>
          <w:color w:val="231F20"/>
          <w:spacing w:val="-11"/>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gouvernement</w:t>
      </w:r>
      <w:r>
        <w:rPr>
          <w:color w:val="231F20"/>
          <w:spacing w:val="-11"/>
          <w:sz w:val="20"/>
          <w:vertAlign w:val="baseline"/>
        </w:rPr>
        <w:t> </w:t>
      </w:r>
      <w:r>
        <w:rPr>
          <w:color w:val="231F20"/>
          <w:spacing w:val="-2"/>
          <w:sz w:val="20"/>
          <w:vertAlign w:val="baseline"/>
        </w:rPr>
        <w:t>Hutu</w:t>
      </w:r>
      <w:r>
        <w:rPr>
          <w:color w:val="231F20"/>
          <w:spacing w:val="-10"/>
          <w:sz w:val="20"/>
          <w:vertAlign w:val="baseline"/>
        </w:rPr>
        <w:t> </w:t>
      </w:r>
      <w:r>
        <w:rPr>
          <w:color w:val="231F20"/>
          <w:spacing w:val="-2"/>
          <w:sz w:val="20"/>
          <w:vertAlign w:val="baseline"/>
        </w:rPr>
        <w:t>du</w:t>
      </w:r>
      <w:r>
        <w:rPr>
          <w:color w:val="231F20"/>
          <w:spacing w:val="-11"/>
          <w:sz w:val="20"/>
          <w:vertAlign w:val="baseline"/>
        </w:rPr>
        <w:t> </w:t>
      </w:r>
      <w:r>
        <w:rPr>
          <w:color w:val="231F20"/>
          <w:spacing w:val="-2"/>
          <w:sz w:val="20"/>
          <w:vertAlign w:val="baseline"/>
        </w:rPr>
        <w:t>président</w:t>
      </w:r>
      <w:r>
        <w:rPr>
          <w:color w:val="231F20"/>
          <w:spacing w:val="-10"/>
          <w:sz w:val="20"/>
          <w:vertAlign w:val="baseline"/>
        </w:rPr>
        <w:t> </w:t>
      </w:r>
      <w:r>
        <w:rPr>
          <w:color w:val="231F20"/>
          <w:spacing w:val="-2"/>
          <w:sz w:val="20"/>
          <w:vertAlign w:val="baseline"/>
        </w:rPr>
        <w:t>Juvénal</w:t>
      </w:r>
      <w:r>
        <w:rPr>
          <w:color w:val="231F20"/>
          <w:spacing w:val="-11"/>
          <w:sz w:val="20"/>
          <w:vertAlign w:val="baseline"/>
        </w:rPr>
        <w:t> </w:t>
      </w:r>
      <w:r>
        <w:rPr>
          <w:color w:val="231F20"/>
          <w:spacing w:val="-2"/>
          <w:sz w:val="20"/>
          <w:vertAlign w:val="baseline"/>
        </w:rPr>
        <w:t>Habyarimana, </w:t>
      </w:r>
      <w:r>
        <w:rPr>
          <w:color w:val="231F20"/>
          <w:sz w:val="20"/>
          <w:vertAlign w:val="baseline"/>
        </w:rPr>
        <w:t>lui avait</w:t>
      </w:r>
      <w:r>
        <w:rPr>
          <w:color w:val="231F20"/>
          <w:spacing w:val="-2"/>
          <w:sz w:val="20"/>
          <w:vertAlign w:val="baseline"/>
        </w:rPr>
        <w:t> </w:t>
      </w:r>
      <w:r>
        <w:rPr>
          <w:color w:val="231F20"/>
          <w:sz w:val="20"/>
          <w:vertAlign w:val="baseline"/>
        </w:rPr>
        <w:t>apporté</w:t>
      </w:r>
      <w:r>
        <w:rPr>
          <w:color w:val="231F20"/>
          <w:spacing w:val="-2"/>
          <w:sz w:val="20"/>
          <w:vertAlign w:val="baseline"/>
        </w:rPr>
        <w:t> </w:t>
      </w:r>
      <w:r>
        <w:rPr>
          <w:color w:val="231F20"/>
          <w:sz w:val="20"/>
          <w:vertAlign w:val="baseline"/>
        </w:rPr>
        <w:t>un</w:t>
      </w:r>
      <w:r>
        <w:rPr>
          <w:color w:val="231F20"/>
          <w:spacing w:val="-1"/>
          <w:sz w:val="20"/>
          <w:vertAlign w:val="baseline"/>
        </w:rPr>
        <w:t> </w:t>
      </w:r>
      <w:r>
        <w:rPr>
          <w:color w:val="231F20"/>
          <w:sz w:val="20"/>
          <w:vertAlign w:val="baseline"/>
        </w:rPr>
        <w:t>soutien en livrant</w:t>
      </w:r>
      <w:r>
        <w:rPr>
          <w:color w:val="231F20"/>
          <w:spacing w:val="-4"/>
          <w:sz w:val="20"/>
          <w:vertAlign w:val="baseline"/>
        </w:rPr>
        <w:t> </w:t>
      </w:r>
      <w:r>
        <w:rPr>
          <w:color w:val="231F20"/>
          <w:sz w:val="20"/>
          <w:vertAlign w:val="baseline"/>
        </w:rPr>
        <w:t>des</w:t>
      </w:r>
      <w:r>
        <w:rPr>
          <w:color w:val="231F20"/>
          <w:spacing w:val="-4"/>
          <w:sz w:val="20"/>
          <w:vertAlign w:val="baseline"/>
        </w:rPr>
        <w:t> </w:t>
      </w:r>
      <w:r>
        <w:rPr>
          <w:color w:val="231F20"/>
          <w:sz w:val="20"/>
          <w:vertAlign w:val="baseline"/>
        </w:rPr>
        <w:t>armes</w:t>
      </w:r>
    </w:p>
    <w:p>
      <w:pPr>
        <w:spacing w:before="2"/>
        <w:ind w:left="111" w:right="105" w:firstLine="0"/>
        <w:jc w:val="both"/>
        <w:rPr>
          <w:sz w:val="20"/>
        </w:rPr>
      </w:pPr>
      <w:r>
        <w:rPr>
          <w:color w:val="76787A"/>
          <w:sz w:val="20"/>
          <w:vertAlign w:val="superscript"/>
        </w:rPr>
        <w:t>54</w:t>
      </w:r>
      <w:r>
        <w:rPr>
          <w:color w:val="76787A"/>
          <w:spacing w:val="-13"/>
          <w:sz w:val="20"/>
          <w:vertAlign w:val="baseline"/>
        </w:rPr>
        <w:t> </w:t>
      </w:r>
      <w:r>
        <w:rPr>
          <w:color w:val="231F20"/>
          <w:sz w:val="20"/>
          <w:vertAlign w:val="baseline"/>
        </w:rPr>
        <w:t>Sources</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Wikipédia</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Augustin</w:t>
      </w:r>
      <w:r>
        <w:rPr>
          <w:color w:val="231F20"/>
          <w:spacing w:val="-12"/>
          <w:sz w:val="20"/>
          <w:vertAlign w:val="baseline"/>
        </w:rPr>
        <w:t> </w:t>
      </w:r>
      <w:r>
        <w:rPr>
          <w:color w:val="231F20"/>
          <w:sz w:val="20"/>
          <w:vertAlign w:val="baseline"/>
        </w:rPr>
        <w:t>Nsanze,</w:t>
      </w:r>
      <w:r>
        <w:rPr>
          <w:color w:val="231F20"/>
          <w:spacing w:val="-13"/>
          <w:sz w:val="20"/>
          <w:vertAlign w:val="baseline"/>
        </w:rPr>
        <w:t> </w:t>
      </w:r>
      <w:r>
        <w:rPr>
          <w:color w:val="231F20"/>
          <w:sz w:val="20"/>
          <w:vertAlign w:val="baseline"/>
        </w:rPr>
        <w:t>Le</w:t>
      </w:r>
      <w:r>
        <w:rPr>
          <w:color w:val="231F20"/>
          <w:spacing w:val="-12"/>
          <w:sz w:val="20"/>
          <w:vertAlign w:val="baseline"/>
        </w:rPr>
        <w:t> </w:t>
      </w:r>
      <w:r>
        <w:rPr>
          <w:color w:val="231F20"/>
          <w:sz w:val="20"/>
          <w:vertAlign w:val="baseline"/>
        </w:rPr>
        <w:t>Burundi</w:t>
      </w:r>
      <w:r>
        <w:rPr>
          <w:color w:val="231F20"/>
          <w:spacing w:val="-13"/>
          <w:sz w:val="20"/>
          <w:vertAlign w:val="baseline"/>
        </w:rPr>
        <w:t> </w:t>
      </w:r>
      <w:r>
        <w:rPr>
          <w:color w:val="231F20"/>
          <w:sz w:val="20"/>
          <w:vertAlign w:val="baseline"/>
        </w:rPr>
        <w:t>contemporain</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L'État-nation</w:t>
      </w:r>
      <w:r>
        <w:rPr>
          <w:color w:val="231F20"/>
          <w:spacing w:val="-12"/>
          <w:sz w:val="20"/>
          <w:vertAlign w:val="baseline"/>
        </w:rPr>
        <w:t> </w:t>
      </w:r>
      <w:r>
        <w:rPr>
          <w:color w:val="231F20"/>
          <w:sz w:val="20"/>
          <w:vertAlign w:val="baseline"/>
        </w:rPr>
        <w:t>en question (1956-2002), L'Harmattan, Paris</w:t>
      </w:r>
    </w:p>
    <w:p>
      <w:pPr>
        <w:spacing w:after="0"/>
        <w:jc w:val="both"/>
        <w:rPr>
          <w:sz w:val="20"/>
        </w:rPr>
        <w:sectPr>
          <w:pgSz w:w="8790" w:h="13610"/>
          <w:pgMar w:header="0" w:footer="802" w:top="1040" w:bottom="1000" w:left="880" w:right="880"/>
        </w:sectPr>
      </w:pPr>
    </w:p>
    <w:p>
      <w:pPr>
        <w:pStyle w:val="BodyText"/>
        <w:spacing w:before="66"/>
        <w:ind w:right="105"/>
      </w:pPr>
      <w:r>
        <w:rPr>
          <w:color w:val="231F20"/>
        </w:rPr>
        <w:t>proclame la République et se fait nommer Président de la première </w:t>
      </w:r>
      <w:r>
        <w:rPr>
          <w:color w:val="231F20"/>
          <w:spacing w:val="-2"/>
        </w:rPr>
        <w:t>République</w:t>
      </w:r>
      <w:r>
        <w:rPr>
          <w:color w:val="231F20"/>
          <w:spacing w:val="-13"/>
        </w:rPr>
        <w:t> </w:t>
      </w:r>
      <w:r>
        <w:rPr>
          <w:color w:val="231F20"/>
          <w:spacing w:val="-2"/>
        </w:rPr>
        <w:t>du</w:t>
      </w:r>
      <w:r>
        <w:rPr>
          <w:color w:val="231F20"/>
          <w:spacing w:val="-13"/>
        </w:rPr>
        <w:t> </w:t>
      </w:r>
      <w:r>
        <w:rPr>
          <w:color w:val="231F20"/>
          <w:spacing w:val="-2"/>
        </w:rPr>
        <w:t>Burundi.</w:t>
      </w:r>
      <w:r>
        <w:rPr>
          <w:color w:val="231F20"/>
          <w:spacing w:val="-13"/>
        </w:rPr>
        <w:t> </w:t>
      </w:r>
      <w:r>
        <w:rPr>
          <w:color w:val="231F20"/>
          <w:spacing w:val="-2"/>
        </w:rPr>
        <w:t>Il</w:t>
      </w:r>
      <w:r>
        <w:rPr>
          <w:color w:val="231F20"/>
          <w:spacing w:val="-13"/>
        </w:rPr>
        <w:t> </w:t>
      </w:r>
      <w:r>
        <w:rPr>
          <w:color w:val="231F20"/>
          <w:spacing w:val="-2"/>
        </w:rPr>
        <w:t>établit</w:t>
      </w:r>
      <w:r>
        <w:rPr>
          <w:color w:val="231F20"/>
          <w:spacing w:val="-13"/>
        </w:rPr>
        <w:t> </w:t>
      </w:r>
      <w:r>
        <w:rPr>
          <w:color w:val="231F20"/>
          <w:spacing w:val="-2"/>
        </w:rPr>
        <w:t>un</w:t>
      </w:r>
      <w:r>
        <w:rPr>
          <w:color w:val="231F20"/>
          <w:spacing w:val="-13"/>
        </w:rPr>
        <w:t> </w:t>
      </w:r>
      <w:r>
        <w:rPr>
          <w:color w:val="231F20"/>
          <w:spacing w:val="-2"/>
        </w:rPr>
        <w:t>régime</w:t>
      </w:r>
      <w:r>
        <w:rPr>
          <w:color w:val="231F20"/>
          <w:spacing w:val="-13"/>
        </w:rPr>
        <w:t> </w:t>
      </w:r>
      <w:r>
        <w:rPr>
          <w:color w:val="231F20"/>
          <w:spacing w:val="-2"/>
        </w:rPr>
        <w:t>militaire</w:t>
      </w:r>
      <w:r>
        <w:rPr>
          <w:color w:val="231F20"/>
          <w:spacing w:val="-13"/>
        </w:rPr>
        <w:t> </w:t>
      </w:r>
      <w:r>
        <w:rPr>
          <w:color w:val="231F20"/>
          <w:spacing w:val="-2"/>
        </w:rPr>
        <w:t>dominé</w:t>
      </w:r>
      <w:r>
        <w:rPr>
          <w:color w:val="231F20"/>
          <w:spacing w:val="-13"/>
        </w:rPr>
        <w:t> </w:t>
      </w:r>
      <w:r>
        <w:rPr>
          <w:color w:val="231F20"/>
          <w:spacing w:val="-2"/>
        </w:rPr>
        <w:t>par</w:t>
      </w:r>
      <w:r>
        <w:rPr>
          <w:color w:val="231F20"/>
          <w:spacing w:val="-13"/>
        </w:rPr>
        <w:t> </w:t>
      </w:r>
      <w:r>
        <w:rPr>
          <w:color w:val="231F20"/>
          <w:spacing w:val="-2"/>
        </w:rPr>
        <w:t>un</w:t>
      </w:r>
      <w:r>
        <w:rPr>
          <w:color w:val="231F20"/>
          <w:spacing w:val="-11"/>
        </w:rPr>
        <w:t> </w:t>
      </w:r>
      <w:r>
        <w:rPr>
          <w:color w:val="231F20"/>
          <w:spacing w:val="-2"/>
        </w:rPr>
        <w:t>Parti </w:t>
      </w:r>
      <w:r>
        <w:rPr>
          <w:color w:val="231F20"/>
        </w:rPr>
        <w:t>unique,</w:t>
      </w:r>
      <w:r>
        <w:rPr>
          <w:color w:val="231F20"/>
          <w:spacing w:val="-1"/>
        </w:rPr>
        <w:t> </w:t>
      </w:r>
      <w:r>
        <w:rPr>
          <w:color w:val="231F20"/>
        </w:rPr>
        <w:t>l’Union</w:t>
      </w:r>
      <w:r>
        <w:rPr>
          <w:color w:val="231F20"/>
          <w:spacing w:val="-3"/>
        </w:rPr>
        <w:t> </w:t>
      </w:r>
      <w:r>
        <w:rPr>
          <w:color w:val="231F20"/>
        </w:rPr>
        <w:t>pour</w:t>
      </w:r>
      <w:r>
        <w:rPr>
          <w:color w:val="231F20"/>
          <w:spacing w:val="-5"/>
        </w:rPr>
        <w:t> </w:t>
      </w:r>
      <w:r>
        <w:rPr>
          <w:color w:val="231F20"/>
        </w:rPr>
        <w:t>le</w:t>
      </w:r>
      <w:r>
        <w:rPr>
          <w:color w:val="231F20"/>
          <w:spacing w:val="-4"/>
        </w:rPr>
        <w:t> </w:t>
      </w:r>
      <w:r>
        <w:rPr>
          <w:color w:val="231F20"/>
        </w:rPr>
        <w:t>Progrès</w:t>
      </w:r>
      <w:r>
        <w:rPr>
          <w:color w:val="231F20"/>
          <w:spacing w:val="-2"/>
        </w:rPr>
        <w:t> </w:t>
      </w:r>
      <w:r>
        <w:rPr>
          <w:color w:val="231F20"/>
        </w:rPr>
        <w:t>National</w:t>
      </w:r>
      <w:r>
        <w:rPr>
          <w:color w:val="231F20"/>
          <w:spacing w:val="-2"/>
        </w:rPr>
        <w:t> </w:t>
      </w:r>
      <w:r>
        <w:rPr>
          <w:color w:val="231F20"/>
        </w:rPr>
        <w:t>(UPRONA).</w:t>
      </w:r>
    </w:p>
    <w:p>
      <w:pPr>
        <w:pStyle w:val="BodyText"/>
        <w:spacing w:before="120"/>
        <w:ind w:right="107" w:firstLine="283"/>
      </w:pPr>
      <w:r>
        <w:rPr>
          <w:color w:val="231F20"/>
          <w:spacing w:val="-2"/>
        </w:rPr>
        <w:t>En</w:t>
      </w:r>
      <w:r>
        <w:rPr>
          <w:color w:val="231F20"/>
          <w:spacing w:val="-13"/>
        </w:rPr>
        <w:t> </w:t>
      </w:r>
      <w:r>
        <w:rPr>
          <w:color w:val="231F20"/>
          <w:spacing w:val="-2"/>
        </w:rPr>
        <w:t>1969</w:t>
      </w:r>
      <w:r>
        <w:rPr>
          <w:color w:val="231F20"/>
          <w:spacing w:val="-13"/>
        </w:rPr>
        <w:t> </w:t>
      </w:r>
      <w:r>
        <w:rPr>
          <w:color w:val="231F20"/>
          <w:spacing w:val="-2"/>
        </w:rPr>
        <w:t>Comme</w:t>
      </w:r>
      <w:r>
        <w:rPr>
          <w:color w:val="231F20"/>
          <w:spacing w:val="-13"/>
        </w:rPr>
        <w:t> </w:t>
      </w:r>
      <w:r>
        <w:rPr>
          <w:color w:val="231F20"/>
          <w:spacing w:val="-2"/>
        </w:rPr>
        <w:t>en</w:t>
      </w:r>
      <w:r>
        <w:rPr>
          <w:color w:val="231F20"/>
          <w:spacing w:val="-13"/>
        </w:rPr>
        <w:t> </w:t>
      </w:r>
      <w:r>
        <w:rPr>
          <w:color w:val="231F20"/>
          <w:spacing w:val="-2"/>
        </w:rPr>
        <w:t>1965,</w:t>
      </w:r>
      <w:r>
        <w:rPr>
          <w:color w:val="231F20"/>
          <w:spacing w:val="-13"/>
        </w:rPr>
        <w:t> </w:t>
      </w:r>
      <w:r>
        <w:rPr>
          <w:color w:val="231F20"/>
          <w:spacing w:val="-2"/>
        </w:rPr>
        <w:t>des</w:t>
      </w:r>
      <w:r>
        <w:rPr>
          <w:color w:val="231F20"/>
          <w:spacing w:val="-13"/>
        </w:rPr>
        <w:t> </w:t>
      </w:r>
      <w:r>
        <w:rPr>
          <w:color w:val="231F20"/>
          <w:spacing w:val="-2"/>
        </w:rPr>
        <w:t>rumeurs</w:t>
      </w:r>
      <w:r>
        <w:rPr>
          <w:color w:val="231F20"/>
          <w:spacing w:val="-13"/>
        </w:rPr>
        <w:t> </w:t>
      </w:r>
      <w:r>
        <w:rPr>
          <w:color w:val="231F20"/>
          <w:spacing w:val="-2"/>
        </w:rPr>
        <w:t>de</w:t>
      </w:r>
      <w:r>
        <w:rPr>
          <w:color w:val="231F20"/>
          <w:spacing w:val="-13"/>
        </w:rPr>
        <w:t> </w:t>
      </w:r>
      <w:r>
        <w:rPr>
          <w:color w:val="231F20"/>
          <w:spacing w:val="-2"/>
        </w:rPr>
        <w:t>coup</w:t>
      </w:r>
      <w:r>
        <w:rPr>
          <w:color w:val="231F20"/>
          <w:spacing w:val="-13"/>
        </w:rPr>
        <w:t> </w:t>
      </w:r>
      <w:r>
        <w:rPr>
          <w:color w:val="231F20"/>
          <w:spacing w:val="-2"/>
        </w:rPr>
        <w:t>d'état</w:t>
      </w:r>
      <w:r>
        <w:rPr>
          <w:color w:val="231F20"/>
          <w:spacing w:val="-13"/>
        </w:rPr>
        <w:t> </w:t>
      </w:r>
      <w:r>
        <w:rPr>
          <w:color w:val="231F20"/>
          <w:spacing w:val="-2"/>
        </w:rPr>
        <w:t>hutu</w:t>
      </w:r>
      <w:r>
        <w:rPr>
          <w:color w:val="231F20"/>
          <w:spacing w:val="-13"/>
        </w:rPr>
        <w:t> </w:t>
      </w:r>
      <w:r>
        <w:rPr>
          <w:color w:val="231F20"/>
          <w:spacing w:val="-2"/>
        </w:rPr>
        <w:t>provoquent </w:t>
      </w:r>
      <w:r>
        <w:rPr>
          <w:color w:val="231F20"/>
        </w:rPr>
        <w:t>l'arrestation</w:t>
      </w:r>
      <w:r>
        <w:rPr>
          <w:color w:val="231F20"/>
          <w:spacing w:val="-15"/>
        </w:rPr>
        <w:t> </w:t>
      </w:r>
      <w:r>
        <w:rPr>
          <w:color w:val="231F20"/>
        </w:rPr>
        <w:t>et</w:t>
      </w:r>
      <w:r>
        <w:rPr>
          <w:color w:val="231F20"/>
          <w:spacing w:val="-14"/>
        </w:rPr>
        <w:t> </w:t>
      </w:r>
      <w:r>
        <w:rPr>
          <w:color w:val="231F20"/>
        </w:rPr>
        <w:t>l'exécution</w:t>
      </w:r>
      <w:r>
        <w:rPr>
          <w:color w:val="231F20"/>
          <w:spacing w:val="-15"/>
        </w:rPr>
        <w:t> </w:t>
      </w:r>
      <w:r>
        <w:rPr>
          <w:color w:val="231F20"/>
        </w:rPr>
        <w:t>de</w:t>
      </w:r>
      <w:r>
        <w:rPr>
          <w:color w:val="231F20"/>
          <w:spacing w:val="-15"/>
        </w:rPr>
        <w:t> </w:t>
      </w:r>
      <w:r>
        <w:rPr>
          <w:color w:val="231F20"/>
        </w:rPr>
        <w:t>nombreuses</w:t>
      </w:r>
      <w:r>
        <w:rPr>
          <w:color w:val="231F20"/>
          <w:spacing w:val="-15"/>
        </w:rPr>
        <w:t> </w:t>
      </w:r>
      <w:r>
        <w:rPr>
          <w:color w:val="231F20"/>
        </w:rPr>
        <w:t>figures</w:t>
      </w:r>
      <w:r>
        <w:rPr>
          <w:color w:val="231F20"/>
          <w:spacing w:val="-14"/>
        </w:rPr>
        <w:t> </w:t>
      </w:r>
      <w:r>
        <w:rPr>
          <w:color w:val="231F20"/>
        </w:rPr>
        <w:t>politiques</w:t>
      </w:r>
      <w:r>
        <w:rPr>
          <w:color w:val="231F20"/>
          <w:spacing w:val="-15"/>
        </w:rPr>
        <w:t> </w:t>
      </w:r>
      <w:r>
        <w:rPr>
          <w:color w:val="231F20"/>
        </w:rPr>
        <w:t>et</w:t>
      </w:r>
      <w:r>
        <w:rPr>
          <w:color w:val="231F20"/>
          <w:spacing w:val="-14"/>
        </w:rPr>
        <w:t> </w:t>
      </w:r>
      <w:r>
        <w:rPr>
          <w:color w:val="231F20"/>
        </w:rPr>
        <w:t>militaires </w:t>
      </w:r>
      <w:r>
        <w:rPr>
          <w:color w:val="231F20"/>
          <w:spacing w:val="-2"/>
        </w:rPr>
        <w:t>hutu.</w:t>
      </w:r>
    </w:p>
    <w:p>
      <w:pPr>
        <w:pStyle w:val="BodyText"/>
        <w:spacing w:before="120"/>
        <w:ind w:right="107" w:firstLine="283"/>
      </w:pPr>
      <w:r>
        <w:rPr>
          <w:color w:val="231F20"/>
        </w:rPr>
        <w:t>En 1972, les Hutu se révoltent contre le régime du président </w:t>
      </w:r>
      <w:r>
        <w:rPr>
          <w:color w:val="231F20"/>
          <w:spacing w:val="-2"/>
        </w:rPr>
        <w:t>Micombero</w:t>
      </w:r>
      <w:r>
        <w:rPr>
          <w:color w:val="231F20"/>
          <w:spacing w:val="-15"/>
        </w:rPr>
        <w:t> </w:t>
      </w:r>
      <w:r>
        <w:rPr>
          <w:color w:val="231F20"/>
          <w:spacing w:val="-2"/>
        </w:rPr>
        <w:t>qu’ils</w:t>
      </w:r>
      <w:r>
        <w:rPr>
          <w:color w:val="231F20"/>
          <w:spacing w:val="-13"/>
        </w:rPr>
        <w:t> </w:t>
      </w:r>
      <w:r>
        <w:rPr>
          <w:color w:val="231F20"/>
          <w:spacing w:val="-2"/>
        </w:rPr>
        <w:t>trouvent</w:t>
      </w:r>
      <w:r>
        <w:rPr>
          <w:color w:val="231F20"/>
          <w:spacing w:val="-13"/>
        </w:rPr>
        <w:t> </w:t>
      </w:r>
      <w:r>
        <w:rPr>
          <w:color w:val="231F20"/>
          <w:spacing w:val="-2"/>
        </w:rPr>
        <w:t>dictatorial</w:t>
      </w:r>
      <w:r>
        <w:rPr>
          <w:color w:val="231F20"/>
          <w:spacing w:val="-13"/>
        </w:rPr>
        <w:t> </w:t>
      </w:r>
      <w:r>
        <w:rPr>
          <w:color w:val="231F20"/>
          <w:spacing w:val="-2"/>
        </w:rPr>
        <w:t>envers</w:t>
      </w:r>
      <w:r>
        <w:rPr>
          <w:color w:val="231F20"/>
          <w:spacing w:val="-13"/>
        </w:rPr>
        <w:t> </w:t>
      </w:r>
      <w:r>
        <w:rPr>
          <w:color w:val="231F20"/>
          <w:spacing w:val="-2"/>
        </w:rPr>
        <w:t>eux.</w:t>
      </w:r>
      <w:r>
        <w:rPr>
          <w:color w:val="231F20"/>
          <w:spacing w:val="-13"/>
        </w:rPr>
        <w:t> </w:t>
      </w:r>
      <w:r>
        <w:rPr>
          <w:color w:val="231F20"/>
          <w:spacing w:val="-2"/>
        </w:rPr>
        <w:t>L'insurrection</w:t>
      </w:r>
      <w:r>
        <w:rPr>
          <w:color w:val="231F20"/>
          <w:spacing w:val="-13"/>
        </w:rPr>
        <w:t> </w:t>
      </w:r>
      <w:r>
        <w:rPr>
          <w:color w:val="231F20"/>
          <w:spacing w:val="-2"/>
        </w:rPr>
        <w:t>Hutu</w:t>
      </w:r>
      <w:r>
        <w:rPr>
          <w:color w:val="231F20"/>
          <w:spacing w:val="-13"/>
        </w:rPr>
        <w:t> </w:t>
      </w:r>
      <w:r>
        <w:rPr>
          <w:color w:val="231F20"/>
          <w:spacing w:val="-2"/>
        </w:rPr>
        <w:t>est </w:t>
      </w:r>
      <w:r>
        <w:rPr>
          <w:color w:val="231F20"/>
        </w:rPr>
        <w:t>durement réprimée</w:t>
      </w:r>
      <w:r>
        <w:rPr>
          <w:color w:val="231F20"/>
          <w:spacing w:val="-14"/>
        </w:rPr>
        <w:t> </w:t>
      </w:r>
      <w:r>
        <w:rPr>
          <w:color w:val="231F20"/>
        </w:rPr>
        <w:t>; les massacres atteignent plusieurs dizaines de milliers de victimes.</w:t>
      </w:r>
    </w:p>
    <w:p>
      <w:pPr>
        <w:pStyle w:val="BodyText"/>
        <w:spacing w:before="121"/>
        <w:ind w:right="103" w:firstLine="283"/>
      </w:pPr>
      <w:r>
        <w:rPr>
          <w:color w:val="231F20"/>
        </w:rPr>
        <w:t>Le président</w:t>
      </w:r>
      <w:r>
        <w:rPr>
          <w:color w:val="231F20"/>
          <w:spacing w:val="-12"/>
        </w:rPr>
        <w:t> </w:t>
      </w:r>
      <w:r>
        <w:rPr>
          <w:color w:val="231F20"/>
        </w:rPr>
        <w:t>Pierre Buyoya décide d'instaurer une démocratie </w:t>
      </w:r>
      <w:r>
        <w:rPr>
          <w:color w:val="231F20"/>
          <w:spacing w:val="-4"/>
        </w:rPr>
        <w:t>multipartite</w:t>
      </w:r>
      <w:r>
        <w:rPr>
          <w:color w:val="231F20"/>
          <w:spacing w:val="-7"/>
        </w:rPr>
        <w:t> </w:t>
      </w:r>
      <w:r>
        <w:rPr>
          <w:color w:val="231F20"/>
          <w:spacing w:val="-4"/>
        </w:rPr>
        <w:t>au</w:t>
      </w:r>
      <w:r>
        <w:rPr>
          <w:color w:val="231F20"/>
          <w:spacing w:val="-9"/>
        </w:rPr>
        <w:t> </w:t>
      </w:r>
      <w:r>
        <w:rPr>
          <w:color w:val="231F20"/>
          <w:spacing w:val="-4"/>
        </w:rPr>
        <w:t>Burundi</w:t>
      </w:r>
      <w:r>
        <w:rPr>
          <w:color w:val="231F20"/>
          <w:spacing w:val="-6"/>
        </w:rPr>
        <w:t> </w:t>
      </w:r>
      <w:r>
        <w:rPr>
          <w:color w:val="231F20"/>
          <w:spacing w:val="-4"/>
        </w:rPr>
        <w:t>et</w:t>
      </w:r>
      <w:r>
        <w:rPr>
          <w:color w:val="231F20"/>
          <w:spacing w:val="-8"/>
        </w:rPr>
        <w:t> </w:t>
      </w:r>
      <w:r>
        <w:rPr>
          <w:color w:val="231F20"/>
          <w:spacing w:val="-4"/>
        </w:rPr>
        <w:t>éviter</w:t>
      </w:r>
      <w:r>
        <w:rPr>
          <w:color w:val="231F20"/>
          <w:spacing w:val="-10"/>
        </w:rPr>
        <w:t> </w:t>
      </w:r>
      <w:r>
        <w:rPr>
          <w:color w:val="231F20"/>
          <w:spacing w:val="-4"/>
        </w:rPr>
        <w:t>les</w:t>
      </w:r>
      <w:r>
        <w:rPr>
          <w:color w:val="231F20"/>
          <w:spacing w:val="-6"/>
        </w:rPr>
        <w:t> </w:t>
      </w:r>
      <w:r>
        <w:rPr>
          <w:color w:val="231F20"/>
          <w:spacing w:val="-4"/>
        </w:rPr>
        <w:t>fréquents</w:t>
      </w:r>
      <w:r>
        <w:rPr>
          <w:color w:val="231F20"/>
          <w:spacing w:val="-9"/>
        </w:rPr>
        <w:t> </w:t>
      </w:r>
      <w:r>
        <w:rPr>
          <w:color w:val="231F20"/>
          <w:spacing w:val="-4"/>
        </w:rPr>
        <w:t>heurts</w:t>
      </w:r>
      <w:r>
        <w:rPr>
          <w:color w:val="231F20"/>
          <w:spacing w:val="-9"/>
        </w:rPr>
        <w:t> </w:t>
      </w:r>
      <w:r>
        <w:rPr>
          <w:color w:val="231F20"/>
          <w:spacing w:val="-4"/>
        </w:rPr>
        <w:t>entre</w:t>
      </w:r>
      <w:r>
        <w:rPr>
          <w:color w:val="231F20"/>
          <w:spacing w:val="-7"/>
        </w:rPr>
        <w:t> </w:t>
      </w:r>
      <w:r>
        <w:rPr>
          <w:color w:val="231F20"/>
          <w:spacing w:val="-4"/>
        </w:rPr>
        <w:t>hutu</w:t>
      </w:r>
      <w:r>
        <w:rPr>
          <w:color w:val="231F20"/>
          <w:spacing w:val="-6"/>
        </w:rPr>
        <w:t> </w:t>
      </w:r>
      <w:r>
        <w:rPr>
          <w:color w:val="231F20"/>
          <w:spacing w:val="-4"/>
        </w:rPr>
        <w:t>et</w:t>
      </w:r>
      <w:r>
        <w:rPr>
          <w:color w:val="231F20"/>
          <w:spacing w:val="-6"/>
        </w:rPr>
        <w:t> </w:t>
      </w:r>
      <w:r>
        <w:rPr>
          <w:color w:val="231F20"/>
          <w:spacing w:val="-4"/>
        </w:rPr>
        <w:t>tutsi.</w:t>
      </w:r>
      <w:r>
        <w:rPr>
          <w:color w:val="231F20"/>
          <w:spacing w:val="-9"/>
        </w:rPr>
        <w:t> </w:t>
      </w:r>
      <w:r>
        <w:rPr>
          <w:color w:val="231F20"/>
          <w:spacing w:val="-4"/>
        </w:rPr>
        <w:t>La nouvelle</w:t>
      </w:r>
      <w:r>
        <w:rPr>
          <w:color w:val="231F20"/>
          <w:spacing w:val="-9"/>
        </w:rPr>
        <w:t> </w:t>
      </w:r>
      <w:r>
        <w:rPr>
          <w:color w:val="231F20"/>
          <w:spacing w:val="-4"/>
        </w:rPr>
        <w:t>Constitution</w:t>
      </w:r>
      <w:r>
        <w:rPr>
          <w:color w:val="231F20"/>
          <w:spacing w:val="-9"/>
        </w:rPr>
        <w:t> </w:t>
      </w:r>
      <w:r>
        <w:rPr>
          <w:color w:val="231F20"/>
          <w:spacing w:val="-4"/>
        </w:rPr>
        <w:t>allant</w:t>
      </w:r>
      <w:r>
        <w:rPr>
          <w:color w:val="231F20"/>
          <w:spacing w:val="-9"/>
        </w:rPr>
        <w:t> </w:t>
      </w:r>
      <w:r>
        <w:rPr>
          <w:color w:val="231F20"/>
          <w:spacing w:val="-4"/>
        </w:rPr>
        <w:t>dans</w:t>
      </w:r>
      <w:r>
        <w:rPr>
          <w:color w:val="231F20"/>
          <w:spacing w:val="-9"/>
        </w:rPr>
        <w:t> </w:t>
      </w:r>
      <w:r>
        <w:rPr>
          <w:color w:val="231F20"/>
          <w:spacing w:val="-4"/>
        </w:rPr>
        <w:t>ce</w:t>
      </w:r>
      <w:r>
        <w:rPr>
          <w:color w:val="231F20"/>
          <w:spacing w:val="-9"/>
        </w:rPr>
        <w:t> </w:t>
      </w:r>
      <w:r>
        <w:rPr>
          <w:color w:val="231F20"/>
          <w:spacing w:val="-4"/>
        </w:rPr>
        <w:t>sens</w:t>
      </w:r>
      <w:r>
        <w:rPr>
          <w:color w:val="231F20"/>
          <w:spacing w:val="-9"/>
        </w:rPr>
        <w:t> </w:t>
      </w:r>
      <w:r>
        <w:rPr>
          <w:color w:val="231F20"/>
          <w:spacing w:val="-4"/>
        </w:rPr>
        <w:t>est</w:t>
      </w:r>
      <w:r>
        <w:rPr>
          <w:color w:val="231F20"/>
          <w:spacing w:val="-7"/>
        </w:rPr>
        <w:t> </w:t>
      </w:r>
      <w:r>
        <w:rPr>
          <w:color w:val="231F20"/>
          <w:spacing w:val="-4"/>
        </w:rPr>
        <w:t>adoptée</w:t>
      </w:r>
      <w:r>
        <w:rPr>
          <w:color w:val="231F20"/>
          <w:spacing w:val="-9"/>
        </w:rPr>
        <w:t> </w:t>
      </w:r>
      <w:r>
        <w:rPr>
          <w:color w:val="231F20"/>
          <w:spacing w:val="-4"/>
        </w:rPr>
        <w:t>en</w:t>
      </w:r>
      <w:r>
        <w:rPr>
          <w:color w:val="231F20"/>
          <w:spacing w:val="-9"/>
        </w:rPr>
        <w:t> </w:t>
      </w:r>
      <w:r>
        <w:rPr>
          <w:color w:val="231F20"/>
          <w:spacing w:val="-4"/>
        </w:rPr>
        <w:t>1992.</w:t>
      </w:r>
      <w:r>
        <w:rPr>
          <w:color w:val="231F20"/>
          <w:spacing w:val="-10"/>
        </w:rPr>
        <w:t> </w:t>
      </w:r>
      <w:r>
        <w:rPr>
          <w:color w:val="231F20"/>
          <w:spacing w:val="-4"/>
        </w:rPr>
        <w:t>Cette</w:t>
      </w:r>
      <w:r>
        <w:rPr>
          <w:color w:val="231F20"/>
          <w:spacing w:val="-10"/>
        </w:rPr>
        <w:t> </w:t>
      </w:r>
      <w:r>
        <w:rPr>
          <w:color w:val="231F20"/>
          <w:spacing w:val="-4"/>
        </w:rPr>
        <w:t>année </w:t>
      </w:r>
      <w:r>
        <w:rPr>
          <w:color w:val="231F20"/>
        </w:rPr>
        <w:t>voit la création d’autres partis dont le</w:t>
      </w:r>
      <w:r>
        <w:rPr>
          <w:color w:val="231F20"/>
          <w:spacing w:val="-12"/>
        </w:rPr>
        <w:t> </w:t>
      </w:r>
      <w:r>
        <w:rPr>
          <w:color w:val="231F20"/>
        </w:rPr>
        <w:t>Front pour la Démocratie du Burundi (FRODEBU), un parti hutu.</w:t>
      </w:r>
    </w:p>
    <w:p>
      <w:pPr>
        <w:pStyle w:val="BodyText"/>
        <w:spacing w:before="120"/>
        <w:ind w:right="108" w:firstLine="283"/>
      </w:pPr>
      <w:r>
        <w:rPr>
          <w:color w:val="231F20"/>
        </w:rPr>
        <w:t>Le</w:t>
      </w:r>
      <w:r>
        <w:rPr>
          <w:color w:val="231F20"/>
          <w:spacing w:val="-15"/>
        </w:rPr>
        <w:t> </w:t>
      </w:r>
      <w:r>
        <w:rPr>
          <w:color w:val="231F20"/>
        </w:rPr>
        <w:t>1</w:t>
      </w:r>
      <w:r>
        <w:rPr>
          <w:color w:val="231F20"/>
          <w:vertAlign w:val="superscript"/>
        </w:rPr>
        <w:t>er</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le</w:t>
      </w:r>
      <w:r>
        <w:rPr>
          <w:color w:val="231F20"/>
          <w:spacing w:val="-15"/>
          <w:vertAlign w:val="baseline"/>
        </w:rPr>
        <w:t> </w:t>
      </w:r>
      <w:r>
        <w:rPr>
          <w:color w:val="231F20"/>
          <w:vertAlign w:val="baseline"/>
        </w:rPr>
        <w:t>30</w:t>
      </w:r>
      <w:r>
        <w:rPr>
          <w:color w:val="231F20"/>
          <w:spacing w:val="-14"/>
          <w:vertAlign w:val="baseline"/>
        </w:rPr>
        <w:t> </w:t>
      </w:r>
      <w:r>
        <w:rPr>
          <w:color w:val="231F20"/>
          <w:vertAlign w:val="baseline"/>
        </w:rPr>
        <w:t>juin</w:t>
      </w:r>
      <w:r>
        <w:rPr>
          <w:color w:val="231F20"/>
          <w:spacing w:val="-14"/>
          <w:vertAlign w:val="baseline"/>
        </w:rPr>
        <w:t> </w:t>
      </w:r>
      <w:r>
        <w:rPr>
          <w:color w:val="231F20"/>
          <w:vertAlign w:val="baseline"/>
        </w:rPr>
        <w:t>1993,</w:t>
      </w:r>
      <w:r>
        <w:rPr>
          <w:color w:val="231F20"/>
          <w:spacing w:val="-14"/>
          <w:vertAlign w:val="baseline"/>
        </w:rPr>
        <w:t> </w:t>
      </w:r>
      <w:r>
        <w:rPr>
          <w:color w:val="231F20"/>
          <w:vertAlign w:val="baseline"/>
        </w:rPr>
        <w:t>sont</w:t>
      </w:r>
      <w:r>
        <w:rPr>
          <w:color w:val="231F20"/>
          <w:spacing w:val="-14"/>
          <w:vertAlign w:val="baseline"/>
        </w:rPr>
        <w:t> </w:t>
      </w:r>
      <w:r>
        <w:rPr>
          <w:color w:val="231F20"/>
          <w:vertAlign w:val="baseline"/>
        </w:rPr>
        <w:t>organisées</w:t>
      </w:r>
      <w:r>
        <w:rPr>
          <w:color w:val="231F20"/>
          <w:spacing w:val="-14"/>
          <w:vertAlign w:val="baseline"/>
        </w:rPr>
        <w:t> </w:t>
      </w:r>
      <w:r>
        <w:rPr>
          <w:color w:val="231F20"/>
          <w:vertAlign w:val="baseline"/>
        </w:rPr>
        <w:t>respectivement</w:t>
      </w:r>
      <w:r>
        <w:rPr>
          <w:color w:val="231F20"/>
          <w:spacing w:val="-13"/>
          <w:vertAlign w:val="baseline"/>
        </w:rPr>
        <w:t> </w:t>
      </w:r>
      <w:r>
        <w:rPr>
          <w:color w:val="231F20"/>
          <w:vertAlign w:val="baseline"/>
        </w:rPr>
        <w:t>les</w:t>
      </w:r>
      <w:r>
        <w:rPr>
          <w:color w:val="231F20"/>
          <w:spacing w:val="-14"/>
          <w:vertAlign w:val="baseline"/>
        </w:rPr>
        <w:t> </w:t>
      </w:r>
      <w:r>
        <w:rPr>
          <w:color w:val="231F20"/>
          <w:vertAlign w:val="baseline"/>
        </w:rPr>
        <w:t>élections présidentielles</w:t>
      </w:r>
      <w:r>
        <w:rPr>
          <w:color w:val="231F20"/>
          <w:spacing w:val="-5"/>
          <w:vertAlign w:val="baseline"/>
        </w:rPr>
        <w:t> </w:t>
      </w:r>
      <w:r>
        <w:rPr>
          <w:color w:val="231F20"/>
          <w:vertAlign w:val="baseline"/>
        </w:rPr>
        <w:t>et</w:t>
      </w:r>
      <w:r>
        <w:rPr>
          <w:color w:val="231F20"/>
          <w:spacing w:val="-4"/>
          <w:vertAlign w:val="baseline"/>
        </w:rPr>
        <w:t> </w:t>
      </w:r>
      <w:r>
        <w:rPr>
          <w:color w:val="231F20"/>
          <w:vertAlign w:val="baseline"/>
        </w:rPr>
        <w:t>législatives.</w:t>
      </w:r>
      <w:r>
        <w:rPr>
          <w:color w:val="231F20"/>
          <w:spacing w:val="-6"/>
          <w:vertAlign w:val="baseline"/>
        </w:rPr>
        <w:t> </w:t>
      </w:r>
      <w:r>
        <w:rPr>
          <w:color w:val="231F20"/>
          <w:vertAlign w:val="baseline"/>
        </w:rPr>
        <w:t>Le</w:t>
      </w:r>
      <w:r>
        <w:rPr>
          <w:color w:val="231F20"/>
          <w:spacing w:val="-4"/>
          <w:vertAlign w:val="baseline"/>
        </w:rPr>
        <w:t> </w:t>
      </w:r>
      <w:r>
        <w:rPr>
          <w:color w:val="231F20"/>
          <w:vertAlign w:val="baseline"/>
        </w:rPr>
        <w:t>nouveau</w:t>
      </w:r>
      <w:r>
        <w:rPr>
          <w:color w:val="231F20"/>
          <w:spacing w:val="-5"/>
          <w:vertAlign w:val="baseline"/>
        </w:rPr>
        <w:t> </w:t>
      </w:r>
      <w:r>
        <w:rPr>
          <w:color w:val="231F20"/>
          <w:vertAlign w:val="baseline"/>
        </w:rPr>
        <w:t>parti</w:t>
      </w:r>
      <w:r>
        <w:rPr>
          <w:color w:val="231F20"/>
          <w:spacing w:val="-5"/>
          <w:vertAlign w:val="baseline"/>
        </w:rPr>
        <w:t> </w:t>
      </w:r>
      <w:r>
        <w:rPr>
          <w:color w:val="231F20"/>
          <w:vertAlign w:val="baseline"/>
        </w:rPr>
        <w:t>hutu</w:t>
      </w:r>
      <w:r>
        <w:rPr>
          <w:color w:val="231F20"/>
          <w:spacing w:val="-4"/>
          <w:vertAlign w:val="baseline"/>
        </w:rPr>
        <w:t> </w:t>
      </w:r>
      <w:r>
        <w:rPr>
          <w:color w:val="231F20"/>
          <w:vertAlign w:val="baseline"/>
        </w:rPr>
        <w:t>remporte</w:t>
      </w:r>
      <w:r>
        <w:rPr>
          <w:color w:val="231F20"/>
          <w:spacing w:val="-5"/>
          <w:vertAlign w:val="baseline"/>
        </w:rPr>
        <w:t> </w:t>
      </w:r>
      <w:r>
        <w:rPr>
          <w:color w:val="231F20"/>
          <w:vertAlign w:val="baseline"/>
        </w:rPr>
        <w:t>ces</w:t>
      </w:r>
      <w:r>
        <w:rPr>
          <w:color w:val="231F20"/>
          <w:spacing w:val="-6"/>
          <w:vertAlign w:val="baseline"/>
        </w:rPr>
        <w:t> </w:t>
      </w:r>
      <w:r>
        <w:rPr>
          <w:color w:val="231F20"/>
          <w:vertAlign w:val="baseline"/>
        </w:rPr>
        <w:t>deux </w:t>
      </w:r>
      <w:r>
        <w:rPr>
          <w:color w:val="231F20"/>
          <w:spacing w:val="-2"/>
          <w:vertAlign w:val="baseline"/>
        </w:rPr>
        <w:t>élections.</w:t>
      </w:r>
    </w:p>
    <w:p>
      <w:pPr>
        <w:pStyle w:val="BodyText"/>
        <w:spacing w:before="120"/>
        <w:ind w:right="103" w:firstLine="283"/>
      </w:pPr>
      <w:r>
        <w:rPr>
          <w:color w:val="231F20"/>
        </w:rPr>
        <w:t>Le candidat du FRODEBU, Melchior Ndadaye</w:t>
      </w:r>
      <w:r>
        <w:rPr>
          <w:color w:val="231F20"/>
          <w:spacing w:val="-10"/>
        </w:rPr>
        <w:t> </w:t>
      </w:r>
      <w:r>
        <w:rPr>
          <w:color w:val="231F20"/>
        </w:rPr>
        <w:t>remporte la </w:t>
      </w:r>
      <w:r>
        <w:rPr>
          <w:color w:val="231F20"/>
          <w:spacing w:val="-2"/>
        </w:rPr>
        <w:t>présidentielle.</w:t>
      </w:r>
      <w:r>
        <w:rPr>
          <w:color w:val="231F20"/>
          <w:spacing w:val="-8"/>
        </w:rPr>
        <w:t> </w:t>
      </w:r>
      <w:r>
        <w:rPr>
          <w:color w:val="231F20"/>
          <w:spacing w:val="-2"/>
        </w:rPr>
        <w:t>Le</w:t>
      </w:r>
      <w:r>
        <w:rPr>
          <w:color w:val="231F20"/>
          <w:spacing w:val="-9"/>
        </w:rPr>
        <w:t> </w:t>
      </w:r>
      <w:r>
        <w:rPr>
          <w:color w:val="231F20"/>
          <w:spacing w:val="-2"/>
        </w:rPr>
        <w:t>FRODEBU</w:t>
      </w:r>
      <w:r>
        <w:rPr>
          <w:color w:val="231F20"/>
          <w:spacing w:val="-8"/>
        </w:rPr>
        <w:t> </w:t>
      </w:r>
      <w:r>
        <w:rPr>
          <w:color w:val="231F20"/>
          <w:spacing w:val="-2"/>
        </w:rPr>
        <w:t>devient</w:t>
      </w:r>
      <w:r>
        <w:rPr>
          <w:color w:val="231F20"/>
          <w:spacing w:val="-7"/>
        </w:rPr>
        <w:t> </w:t>
      </w:r>
      <w:r>
        <w:rPr>
          <w:color w:val="231F20"/>
          <w:spacing w:val="-2"/>
        </w:rPr>
        <w:t>majoritaire</w:t>
      </w:r>
      <w:r>
        <w:rPr>
          <w:color w:val="231F20"/>
          <w:spacing w:val="-9"/>
        </w:rPr>
        <w:t> </w:t>
      </w:r>
      <w:r>
        <w:rPr>
          <w:color w:val="231F20"/>
          <w:spacing w:val="-2"/>
        </w:rPr>
        <w:t>à</w:t>
      </w:r>
      <w:r>
        <w:rPr>
          <w:color w:val="231F20"/>
          <w:spacing w:val="-9"/>
        </w:rPr>
        <w:t> </w:t>
      </w:r>
      <w:r>
        <w:rPr>
          <w:color w:val="231F20"/>
          <w:spacing w:val="-2"/>
        </w:rPr>
        <w:t>l'Assemblée.</w:t>
      </w:r>
      <w:r>
        <w:rPr>
          <w:color w:val="231F20"/>
          <w:spacing w:val="-8"/>
        </w:rPr>
        <w:t> </w:t>
      </w:r>
      <w:r>
        <w:rPr>
          <w:color w:val="231F20"/>
          <w:spacing w:val="-2"/>
        </w:rPr>
        <w:t>Dans</w:t>
      </w:r>
      <w:r>
        <w:rPr>
          <w:color w:val="231F20"/>
          <w:spacing w:val="-8"/>
        </w:rPr>
        <w:t> </w:t>
      </w:r>
      <w:r>
        <w:rPr>
          <w:color w:val="231F20"/>
          <w:spacing w:val="-2"/>
        </w:rPr>
        <w:t>le </w:t>
      </w:r>
      <w:r>
        <w:rPr>
          <w:color w:val="231F20"/>
        </w:rPr>
        <w:t>but de décrisper les tensions entre Hutu et Tutsi en guerre depuis l’indépendance,</w:t>
      </w:r>
      <w:r>
        <w:rPr>
          <w:color w:val="231F20"/>
          <w:spacing w:val="-6"/>
        </w:rPr>
        <w:t> </w:t>
      </w:r>
      <w:r>
        <w:rPr>
          <w:color w:val="231F20"/>
        </w:rPr>
        <w:t>il</w:t>
      </w:r>
      <w:r>
        <w:rPr>
          <w:color w:val="231F20"/>
          <w:spacing w:val="-3"/>
        </w:rPr>
        <w:t> </w:t>
      </w:r>
      <w:r>
        <w:rPr>
          <w:color w:val="231F20"/>
        </w:rPr>
        <w:t>nomme</w:t>
      </w:r>
      <w:r>
        <w:rPr>
          <w:color w:val="231F20"/>
          <w:spacing w:val="-15"/>
        </w:rPr>
        <w:t> </w:t>
      </w:r>
      <w:r>
        <w:rPr>
          <w:color w:val="231F20"/>
        </w:rPr>
        <w:t>Sylvie</w:t>
      </w:r>
      <w:r>
        <w:rPr>
          <w:color w:val="231F20"/>
          <w:spacing w:val="-2"/>
        </w:rPr>
        <w:t> </w:t>
      </w:r>
      <w:r>
        <w:rPr>
          <w:color w:val="231F20"/>
        </w:rPr>
        <w:t>Kinigi,</w:t>
      </w:r>
      <w:r>
        <w:rPr>
          <w:color w:val="231F20"/>
          <w:spacing w:val="-3"/>
        </w:rPr>
        <w:t> </w:t>
      </w:r>
      <w:r>
        <w:rPr>
          <w:color w:val="231F20"/>
        </w:rPr>
        <w:t>une</w:t>
      </w:r>
      <w:r>
        <w:rPr>
          <w:color w:val="231F20"/>
          <w:spacing w:val="-2"/>
        </w:rPr>
        <w:t> </w:t>
      </w:r>
      <w:r>
        <w:rPr>
          <w:color w:val="231F20"/>
        </w:rPr>
        <w:t>Hutu</w:t>
      </w:r>
      <w:r>
        <w:rPr>
          <w:color w:val="231F20"/>
          <w:spacing w:val="-3"/>
        </w:rPr>
        <w:t> </w:t>
      </w:r>
      <w:r>
        <w:rPr>
          <w:color w:val="231F20"/>
        </w:rPr>
        <w:t>au</w:t>
      </w:r>
      <w:r>
        <w:rPr>
          <w:color w:val="231F20"/>
          <w:spacing w:val="-1"/>
        </w:rPr>
        <w:t> </w:t>
      </w:r>
      <w:r>
        <w:rPr>
          <w:color w:val="231F20"/>
        </w:rPr>
        <w:t>poste</w:t>
      </w:r>
      <w:r>
        <w:rPr>
          <w:color w:val="231F20"/>
          <w:spacing w:val="-2"/>
        </w:rPr>
        <w:t> </w:t>
      </w:r>
      <w:r>
        <w:rPr>
          <w:color w:val="231F20"/>
        </w:rPr>
        <w:t>de</w:t>
      </w:r>
      <w:r>
        <w:rPr>
          <w:color w:val="231F20"/>
          <w:spacing w:val="-4"/>
        </w:rPr>
        <w:t> </w:t>
      </w:r>
      <w:r>
        <w:rPr>
          <w:color w:val="231F20"/>
        </w:rPr>
        <w:t>Premier </w:t>
      </w:r>
      <w:r>
        <w:rPr>
          <w:color w:val="231F20"/>
          <w:spacing w:val="-2"/>
        </w:rPr>
        <w:t>Ministre.</w:t>
      </w:r>
    </w:p>
    <w:p>
      <w:pPr>
        <w:pStyle w:val="BodyText"/>
        <w:spacing w:before="120"/>
        <w:ind w:right="104" w:firstLine="283"/>
      </w:pPr>
      <w:r>
        <w:rPr>
          <w:color w:val="231F20"/>
        </w:rPr>
        <w:t>Mais les Tutsi qui ont toujours considéré le pouvoir comme le leur, refusent que des Hutu, «</w:t>
      </w:r>
      <w:r>
        <w:rPr>
          <w:color w:val="231F20"/>
          <w:spacing w:val="-15"/>
        </w:rPr>
        <w:t> </w:t>
      </w:r>
      <w:r>
        <w:rPr>
          <w:color w:val="231F20"/>
        </w:rPr>
        <w:t>des personnes de classe inférieure</w:t>
      </w:r>
      <w:r>
        <w:rPr>
          <w:color w:val="231F20"/>
          <w:spacing w:val="-15"/>
        </w:rPr>
        <w:t> </w:t>
      </w:r>
      <w:r>
        <w:rPr>
          <w:color w:val="231F20"/>
        </w:rPr>
        <w:t>» puissent gouverner le pays.</w:t>
      </w:r>
    </w:p>
    <w:p>
      <w:pPr>
        <w:pStyle w:val="BodyText"/>
        <w:spacing w:before="121"/>
        <w:ind w:right="105" w:firstLine="283"/>
      </w:pPr>
      <w:r>
        <w:rPr>
          <w:color w:val="231F20"/>
        </w:rPr>
        <w:t>Le</w:t>
      </w:r>
      <w:r>
        <w:rPr>
          <w:color w:val="231F20"/>
          <w:spacing w:val="-15"/>
        </w:rPr>
        <w:t> </w:t>
      </w:r>
      <w:r>
        <w:rPr>
          <w:color w:val="231F20"/>
        </w:rPr>
        <w:t>21 octobre 1993, le gouvernement est victime d'un coup d'État. Melchior</w:t>
      </w:r>
      <w:r>
        <w:rPr>
          <w:color w:val="231F20"/>
          <w:spacing w:val="-15"/>
        </w:rPr>
        <w:t> </w:t>
      </w:r>
      <w:r>
        <w:rPr>
          <w:color w:val="231F20"/>
        </w:rPr>
        <w:t>Ndadaye</w:t>
      </w:r>
      <w:r>
        <w:rPr>
          <w:color w:val="231F20"/>
          <w:spacing w:val="-15"/>
        </w:rPr>
        <w:t> </w:t>
      </w:r>
      <w:r>
        <w:rPr>
          <w:color w:val="231F20"/>
        </w:rPr>
        <w:t>et</w:t>
      </w:r>
      <w:r>
        <w:rPr>
          <w:color w:val="231F20"/>
          <w:spacing w:val="-13"/>
        </w:rPr>
        <w:t> </w:t>
      </w:r>
      <w:r>
        <w:rPr>
          <w:color w:val="231F20"/>
        </w:rPr>
        <w:t>plusieurs</w:t>
      </w:r>
      <w:r>
        <w:rPr>
          <w:color w:val="231F20"/>
          <w:spacing w:val="-14"/>
        </w:rPr>
        <w:t> </w:t>
      </w:r>
      <w:r>
        <w:rPr>
          <w:color w:val="231F20"/>
        </w:rPr>
        <w:t>membres</w:t>
      </w:r>
      <w:r>
        <w:rPr>
          <w:color w:val="231F20"/>
          <w:spacing w:val="-12"/>
        </w:rPr>
        <w:t> </w:t>
      </w:r>
      <w:r>
        <w:rPr>
          <w:color w:val="231F20"/>
        </w:rPr>
        <w:t>du</w:t>
      </w:r>
      <w:r>
        <w:rPr>
          <w:color w:val="231F20"/>
          <w:spacing w:val="-13"/>
        </w:rPr>
        <w:t> </w:t>
      </w:r>
      <w:r>
        <w:rPr>
          <w:color w:val="231F20"/>
        </w:rPr>
        <w:t>FRODEBU</w:t>
      </w:r>
      <w:r>
        <w:rPr>
          <w:color w:val="231F20"/>
          <w:spacing w:val="-14"/>
        </w:rPr>
        <w:t> </w:t>
      </w:r>
      <w:r>
        <w:rPr>
          <w:color w:val="231F20"/>
        </w:rPr>
        <w:t>sont</w:t>
      </w:r>
      <w:r>
        <w:rPr>
          <w:color w:val="231F20"/>
          <w:spacing w:val="-14"/>
        </w:rPr>
        <w:t> </w:t>
      </w:r>
      <w:r>
        <w:rPr>
          <w:color w:val="231F20"/>
        </w:rPr>
        <w:t>tués.</w:t>
      </w:r>
      <w:r>
        <w:rPr>
          <w:color w:val="231F20"/>
          <w:spacing w:val="-14"/>
        </w:rPr>
        <w:t> </w:t>
      </w:r>
      <w:r>
        <w:rPr>
          <w:color w:val="231F20"/>
        </w:rPr>
        <w:t>Dans le Centre, le Nord et l'Est du pays, des Tutsi sont, par vengeance, </w:t>
      </w:r>
      <w:r>
        <w:rPr>
          <w:color w:val="231F20"/>
          <w:spacing w:val="-4"/>
        </w:rPr>
        <w:t>massacrés par des Hutu. En réaction, des</w:t>
      </w:r>
      <w:r>
        <w:rPr>
          <w:color w:val="231F20"/>
          <w:spacing w:val="-5"/>
        </w:rPr>
        <w:t> </w:t>
      </w:r>
      <w:r>
        <w:rPr>
          <w:color w:val="231F20"/>
          <w:spacing w:val="-4"/>
        </w:rPr>
        <w:t>militaires</w:t>
      </w:r>
      <w:r>
        <w:rPr>
          <w:color w:val="231F20"/>
          <w:spacing w:val="-5"/>
        </w:rPr>
        <w:t> </w:t>
      </w:r>
      <w:r>
        <w:rPr>
          <w:color w:val="231F20"/>
          <w:spacing w:val="-4"/>
        </w:rPr>
        <w:t>Tutsi contre-attaquent </w:t>
      </w:r>
      <w:r>
        <w:rPr>
          <w:color w:val="231F20"/>
        </w:rPr>
        <w:t>en causant la mort de milliers de Hutu.</w:t>
      </w:r>
    </w:p>
    <w:p>
      <w:pPr>
        <w:pStyle w:val="BodyText"/>
        <w:spacing w:before="120"/>
        <w:ind w:right="104" w:firstLine="283"/>
      </w:pPr>
      <w:r>
        <w:rPr>
          <w:color w:val="231F20"/>
        </w:rPr>
        <w:t>En</w:t>
      </w:r>
      <w:r>
        <w:rPr>
          <w:color w:val="231F20"/>
          <w:spacing w:val="-15"/>
        </w:rPr>
        <w:t> </w:t>
      </w:r>
      <w:r>
        <w:rPr>
          <w:color w:val="231F20"/>
        </w:rPr>
        <w:t>janvier</w:t>
      </w:r>
      <w:r>
        <w:rPr>
          <w:color w:val="231F20"/>
          <w:spacing w:val="-11"/>
        </w:rPr>
        <w:t> </w:t>
      </w:r>
      <w:r>
        <w:rPr>
          <w:color w:val="231F20"/>
        </w:rPr>
        <w:t>1994,</w:t>
      </w:r>
      <w:r>
        <w:rPr>
          <w:color w:val="231F20"/>
          <w:spacing w:val="-9"/>
        </w:rPr>
        <w:t> </w:t>
      </w:r>
      <w:r>
        <w:rPr>
          <w:color w:val="231F20"/>
        </w:rPr>
        <w:t>sous</w:t>
      </w:r>
      <w:r>
        <w:rPr>
          <w:color w:val="231F20"/>
          <w:spacing w:val="-10"/>
        </w:rPr>
        <w:t> </w:t>
      </w:r>
      <w:r>
        <w:rPr>
          <w:color w:val="231F20"/>
        </w:rPr>
        <w:t>l'égide</w:t>
      </w:r>
      <w:r>
        <w:rPr>
          <w:color w:val="231F20"/>
          <w:spacing w:val="-6"/>
        </w:rPr>
        <w:t> </w:t>
      </w:r>
      <w:r>
        <w:rPr>
          <w:color w:val="231F20"/>
        </w:rPr>
        <w:t>de</w:t>
      </w:r>
      <w:r>
        <w:rPr>
          <w:color w:val="231F20"/>
          <w:spacing w:val="-9"/>
        </w:rPr>
        <w:t> </w:t>
      </w:r>
      <w:r>
        <w:rPr>
          <w:color w:val="231F20"/>
        </w:rPr>
        <w:t>l'ONU,</w:t>
      </w:r>
      <w:r>
        <w:rPr>
          <w:color w:val="231F20"/>
          <w:spacing w:val="-9"/>
        </w:rPr>
        <w:t> </w:t>
      </w:r>
      <w:r>
        <w:rPr>
          <w:color w:val="231F20"/>
        </w:rPr>
        <w:t>un</w:t>
      </w:r>
      <w:r>
        <w:rPr>
          <w:color w:val="231F20"/>
          <w:spacing w:val="-9"/>
        </w:rPr>
        <w:t> </w:t>
      </w:r>
      <w:r>
        <w:rPr>
          <w:color w:val="231F20"/>
        </w:rPr>
        <w:t>accord,</w:t>
      </w:r>
      <w:r>
        <w:rPr>
          <w:color w:val="231F20"/>
          <w:spacing w:val="-10"/>
        </w:rPr>
        <w:t> </w:t>
      </w:r>
      <w:r>
        <w:rPr>
          <w:color w:val="231F20"/>
        </w:rPr>
        <w:t>établit</w:t>
      </w:r>
      <w:r>
        <w:rPr>
          <w:color w:val="231F20"/>
          <w:spacing w:val="-8"/>
        </w:rPr>
        <w:t> </w:t>
      </w:r>
      <w:r>
        <w:rPr>
          <w:color w:val="231F20"/>
        </w:rPr>
        <w:t>un</w:t>
      </w:r>
      <w:r>
        <w:rPr>
          <w:color w:val="231F20"/>
          <w:spacing w:val="-9"/>
        </w:rPr>
        <w:t> </w:t>
      </w:r>
      <w:r>
        <w:rPr>
          <w:color w:val="231F20"/>
        </w:rPr>
        <w:t>partage du pouvoir entre Hutu et Tutsi. Le Premier Ministre Sylvie Kinigi qui </w:t>
      </w:r>
      <w:r>
        <w:rPr>
          <w:color w:val="231F20"/>
          <w:spacing w:val="-4"/>
        </w:rPr>
        <w:t>assurait</w:t>
      </w:r>
      <w:r>
        <w:rPr>
          <w:color w:val="231F20"/>
          <w:spacing w:val="-11"/>
        </w:rPr>
        <w:t> </w:t>
      </w:r>
      <w:r>
        <w:rPr>
          <w:color w:val="231F20"/>
          <w:spacing w:val="-4"/>
        </w:rPr>
        <w:t>l'intérim</w:t>
      </w:r>
      <w:r>
        <w:rPr>
          <w:color w:val="231F20"/>
          <w:spacing w:val="-11"/>
        </w:rPr>
        <w:t> </w:t>
      </w:r>
      <w:r>
        <w:rPr>
          <w:color w:val="231F20"/>
          <w:spacing w:val="-4"/>
        </w:rPr>
        <w:t>à</w:t>
      </w:r>
      <w:r>
        <w:rPr>
          <w:color w:val="231F20"/>
          <w:spacing w:val="-11"/>
        </w:rPr>
        <w:t> </w:t>
      </w:r>
      <w:r>
        <w:rPr>
          <w:color w:val="231F20"/>
          <w:spacing w:val="-4"/>
        </w:rPr>
        <w:t>la</w:t>
      </w:r>
      <w:r>
        <w:rPr>
          <w:color w:val="231F20"/>
          <w:spacing w:val="-11"/>
        </w:rPr>
        <w:t> </w:t>
      </w:r>
      <w:r>
        <w:rPr>
          <w:color w:val="231F20"/>
          <w:spacing w:val="-4"/>
        </w:rPr>
        <w:t>tête</w:t>
      </w:r>
      <w:r>
        <w:rPr>
          <w:color w:val="231F20"/>
          <w:spacing w:val="-11"/>
        </w:rPr>
        <w:t> </w:t>
      </w:r>
      <w:r>
        <w:rPr>
          <w:color w:val="231F20"/>
          <w:spacing w:val="-4"/>
        </w:rPr>
        <w:t>du</w:t>
      </w:r>
      <w:r>
        <w:rPr>
          <w:color w:val="231F20"/>
          <w:spacing w:val="-11"/>
        </w:rPr>
        <w:t> </w:t>
      </w:r>
      <w:r>
        <w:rPr>
          <w:color w:val="231F20"/>
          <w:spacing w:val="-4"/>
        </w:rPr>
        <w:t>pays</w:t>
      </w:r>
      <w:r>
        <w:rPr>
          <w:color w:val="231F20"/>
          <w:spacing w:val="-11"/>
        </w:rPr>
        <w:t> </w:t>
      </w:r>
      <w:r>
        <w:rPr>
          <w:color w:val="231F20"/>
          <w:spacing w:val="-4"/>
        </w:rPr>
        <w:t>depuis</w:t>
      </w:r>
      <w:r>
        <w:rPr>
          <w:color w:val="231F20"/>
          <w:spacing w:val="-11"/>
        </w:rPr>
        <w:t> </w:t>
      </w:r>
      <w:r>
        <w:rPr>
          <w:color w:val="231F20"/>
          <w:spacing w:val="-4"/>
        </w:rPr>
        <w:t>l’assassinat</w:t>
      </w:r>
      <w:r>
        <w:rPr>
          <w:color w:val="231F20"/>
          <w:spacing w:val="-11"/>
        </w:rPr>
        <w:t> </w:t>
      </w:r>
      <w:r>
        <w:rPr>
          <w:color w:val="231F20"/>
          <w:spacing w:val="-4"/>
        </w:rPr>
        <w:t>de</w:t>
      </w:r>
      <w:r>
        <w:rPr>
          <w:color w:val="231F20"/>
          <w:spacing w:val="-11"/>
        </w:rPr>
        <w:t> </w:t>
      </w:r>
      <w:r>
        <w:rPr>
          <w:color w:val="231F20"/>
          <w:spacing w:val="-4"/>
        </w:rPr>
        <w:t>Melchior</w:t>
      </w:r>
      <w:r>
        <w:rPr>
          <w:color w:val="231F20"/>
          <w:spacing w:val="-11"/>
        </w:rPr>
        <w:t> </w:t>
      </w:r>
      <w:r>
        <w:rPr>
          <w:color w:val="231F20"/>
          <w:spacing w:val="-4"/>
        </w:rPr>
        <w:t>Ndadaye cède</w:t>
      </w:r>
      <w:r>
        <w:rPr>
          <w:color w:val="231F20"/>
          <w:spacing w:val="-8"/>
        </w:rPr>
        <w:t> </w:t>
      </w:r>
      <w:r>
        <w:rPr>
          <w:color w:val="231F20"/>
          <w:spacing w:val="-4"/>
        </w:rPr>
        <w:t>le</w:t>
      </w:r>
      <w:r>
        <w:rPr>
          <w:color w:val="231F20"/>
          <w:spacing w:val="-8"/>
        </w:rPr>
        <w:t> </w:t>
      </w:r>
      <w:r>
        <w:rPr>
          <w:color w:val="231F20"/>
          <w:spacing w:val="-4"/>
        </w:rPr>
        <w:t>pouvoir</w:t>
      </w:r>
      <w:r>
        <w:rPr>
          <w:color w:val="231F20"/>
          <w:spacing w:val="-8"/>
        </w:rPr>
        <w:t> </w:t>
      </w:r>
      <w:r>
        <w:rPr>
          <w:color w:val="231F20"/>
          <w:spacing w:val="-4"/>
        </w:rPr>
        <w:t>au</w:t>
      </w:r>
      <w:r>
        <w:rPr>
          <w:color w:val="231F20"/>
          <w:spacing w:val="-8"/>
        </w:rPr>
        <w:t> </w:t>
      </w:r>
      <w:r>
        <w:rPr>
          <w:color w:val="231F20"/>
          <w:spacing w:val="-4"/>
        </w:rPr>
        <w:t>Hutu Cyprien</w:t>
      </w:r>
      <w:r>
        <w:rPr>
          <w:color w:val="231F20"/>
          <w:spacing w:val="-10"/>
        </w:rPr>
        <w:t> </w:t>
      </w:r>
      <w:r>
        <w:rPr>
          <w:color w:val="231F20"/>
          <w:spacing w:val="-4"/>
        </w:rPr>
        <w:t>Ntaryamira désigné</w:t>
      </w:r>
      <w:r>
        <w:rPr>
          <w:color w:val="231F20"/>
          <w:spacing w:val="-8"/>
        </w:rPr>
        <w:t> </w:t>
      </w:r>
      <w:r>
        <w:rPr>
          <w:color w:val="231F20"/>
          <w:spacing w:val="-4"/>
        </w:rPr>
        <w:t>Président</w:t>
      </w:r>
      <w:r>
        <w:rPr>
          <w:color w:val="231F20"/>
          <w:spacing w:val="-9"/>
        </w:rPr>
        <w:t> </w:t>
      </w:r>
      <w:r>
        <w:rPr>
          <w:color w:val="231F20"/>
          <w:spacing w:val="-4"/>
        </w:rPr>
        <w:t>tandis</w:t>
      </w:r>
      <w:r>
        <w:rPr>
          <w:color w:val="231F20"/>
          <w:spacing w:val="-7"/>
        </w:rPr>
        <w:t> </w:t>
      </w:r>
      <w:r>
        <w:rPr>
          <w:color w:val="231F20"/>
          <w:spacing w:val="-4"/>
        </w:rPr>
        <w:t>que </w:t>
      </w:r>
      <w:r>
        <w:rPr>
          <w:color w:val="231F20"/>
        </w:rPr>
        <w:t>le</w:t>
      </w:r>
      <w:r>
        <w:rPr>
          <w:color w:val="231F20"/>
          <w:spacing w:val="-3"/>
        </w:rPr>
        <w:t> </w:t>
      </w:r>
      <w:r>
        <w:rPr>
          <w:color w:val="231F20"/>
        </w:rPr>
        <w:t>Tutsi</w:t>
      </w:r>
      <w:r>
        <w:rPr>
          <w:color w:val="231F20"/>
          <w:spacing w:val="-4"/>
        </w:rPr>
        <w:t> </w:t>
      </w:r>
      <w:r>
        <w:rPr>
          <w:color w:val="231F20"/>
        </w:rPr>
        <w:t>Anatole</w:t>
      </w:r>
      <w:r>
        <w:rPr>
          <w:color w:val="231F20"/>
          <w:spacing w:val="-3"/>
        </w:rPr>
        <w:t> </w:t>
      </w:r>
      <w:r>
        <w:rPr>
          <w:color w:val="231F20"/>
        </w:rPr>
        <w:t>Kanyenkiko</w:t>
      </w:r>
      <w:r>
        <w:rPr>
          <w:color w:val="231F20"/>
          <w:spacing w:val="-2"/>
        </w:rPr>
        <w:t> </w:t>
      </w:r>
      <w:r>
        <w:rPr>
          <w:color w:val="231F20"/>
        </w:rPr>
        <w:t>devient</w:t>
      </w:r>
      <w:r>
        <w:rPr>
          <w:color w:val="231F20"/>
          <w:spacing w:val="-3"/>
        </w:rPr>
        <w:t> </w:t>
      </w:r>
      <w:r>
        <w:rPr>
          <w:color w:val="231F20"/>
        </w:rPr>
        <w:t>Premier</w:t>
      </w:r>
      <w:r>
        <w:rPr>
          <w:color w:val="231F20"/>
          <w:spacing w:val="-4"/>
        </w:rPr>
        <w:t> </w:t>
      </w:r>
      <w:r>
        <w:rPr>
          <w:color w:val="231F20"/>
        </w:rPr>
        <w:t>Ministre.</w:t>
      </w:r>
    </w:p>
    <w:p>
      <w:pPr>
        <w:spacing w:after="0"/>
        <w:sectPr>
          <w:pgSz w:w="8790" w:h="13610"/>
          <w:pgMar w:header="0" w:footer="802" w:top="1060" w:bottom="1000" w:left="880" w:right="880"/>
        </w:sectPr>
      </w:pPr>
    </w:p>
    <w:p>
      <w:pPr>
        <w:pStyle w:val="BodyText"/>
        <w:spacing w:before="66"/>
        <w:ind w:right="106" w:firstLine="283"/>
      </w:pPr>
      <w:r>
        <w:rPr>
          <w:color w:val="231F20"/>
        </w:rPr>
        <w:t>Le</w:t>
      </w:r>
      <w:r>
        <w:rPr>
          <w:color w:val="231F20"/>
          <w:spacing w:val="-11"/>
        </w:rPr>
        <w:t> </w:t>
      </w:r>
      <w:r>
        <w:rPr>
          <w:color w:val="231F20"/>
        </w:rPr>
        <w:t>processus</w:t>
      </w:r>
      <w:r>
        <w:rPr>
          <w:color w:val="231F20"/>
          <w:spacing w:val="-10"/>
        </w:rPr>
        <w:t> </w:t>
      </w:r>
      <w:r>
        <w:rPr>
          <w:color w:val="231F20"/>
        </w:rPr>
        <w:t>de</w:t>
      </w:r>
      <w:r>
        <w:rPr>
          <w:color w:val="231F20"/>
          <w:spacing w:val="-11"/>
        </w:rPr>
        <w:t> </w:t>
      </w:r>
      <w:r>
        <w:rPr>
          <w:color w:val="231F20"/>
        </w:rPr>
        <w:t>paix</w:t>
      </w:r>
      <w:r>
        <w:rPr>
          <w:color w:val="231F20"/>
          <w:spacing w:val="-11"/>
        </w:rPr>
        <w:t> </w:t>
      </w:r>
      <w:r>
        <w:rPr>
          <w:color w:val="231F20"/>
        </w:rPr>
        <w:t>se</w:t>
      </w:r>
      <w:r>
        <w:rPr>
          <w:color w:val="231F20"/>
          <w:spacing w:val="-13"/>
        </w:rPr>
        <w:t> </w:t>
      </w:r>
      <w:r>
        <w:rPr>
          <w:color w:val="231F20"/>
        </w:rPr>
        <w:t>grippe</w:t>
      </w:r>
      <w:r>
        <w:rPr>
          <w:color w:val="231F20"/>
          <w:spacing w:val="-11"/>
        </w:rPr>
        <w:t> </w:t>
      </w:r>
      <w:r>
        <w:rPr>
          <w:color w:val="231F20"/>
        </w:rPr>
        <w:t>lorsque</w:t>
      </w:r>
      <w:r>
        <w:rPr>
          <w:color w:val="231F20"/>
          <w:spacing w:val="-13"/>
        </w:rPr>
        <w:t> </w:t>
      </w:r>
      <w:r>
        <w:rPr>
          <w:color w:val="231F20"/>
        </w:rPr>
        <w:t>Cyprien</w:t>
      </w:r>
      <w:r>
        <w:rPr>
          <w:color w:val="231F20"/>
          <w:spacing w:val="-11"/>
        </w:rPr>
        <w:t> </w:t>
      </w:r>
      <w:r>
        <w:rPr>
          <w:color w:val="231F20"/>
        </w:rPr>
        <w:t>Ntaryamira</w:t>
      </w:r>
      <w:r>
        <w:rPr>
          <w:color w:val="231F20"/>
          <w:spacing w:val="-11"/>
        </w:rPr>
        <w:t> </w:t>
      </w:r>
      <w:r>
        <w:rPr>
          <w:color w:val="231F20"/>
        </w:rPr>
        <w:t>trouve</w:t>
      </w:r>
      <w:r>
        <w:rPr>
          <w:color w:val="231F20"/>
          <w:spacing w:val="-13"/>
        </w:rPr>
        <w:t> </w:t>
      </w:r>
      <w:r>
        <w:rPr>
          <w:color w:val="231F20"/>
        </w:rPr>
        <w:t>la mort en compagnie du Président Rwandais dans l’attentat</w:t>
      </w:r>
      <w:r>
        <w:rPr>
          <w:color w:val="231F20"/>
          <w:spacing w:val="-14"/>
        </w:rPr>
        <w:t> </w:t>
      </w:r>
      <w:r>
        <w:rPr>
          <w:color w:val="231F20"/>
        </w:rPr>
        <w:t>de l'avion </w:t>
      </w:r>
      <w:r>
        <w:rPr>
          <w:color w:val="231F20"/>
          <w:spacing w:val="-4"/>
        </w:rPr>
        <w:t>présidentiel</w:t>
      </w:r>
      <w:r>
        <w:rPr>
          <w:color w:val="231F20"/>
          <w:spacing w:val="-11"/>
        </w:rPr>
        <w:t> </w:t>
      </w:r>
      <w:r>
        <w:rPr>
          <w:color w:val="231F20"/>
          <w:spacing w:val="-4"/>
        </w:rPr>
        <w:t>rwandais</w:t>
      </w:r>
      <w:r>
        <w:rPr>
          <w:color w:val="231F20"/>
          <w:spacing w:val="-9"/>
        </w:rPr>
        <w:t> </w:t>
      </w:r>
      <w:r>
        <w:rPr>
          <w:color w:val="231F20"/>
          <w:spacing w:val="-4"/>
        </w:rPr>
        <w:t>du</w:t>
      </w:r>
      <w:r>
        <w:rPr>
          <w:color w:val="231F20"/>
          <w:spacing w:val="-11"/>
        </w:rPr>
        <w:t> </w:t>
      </w:r>
      <w:r>
        <w:rPr>
          <w:color w:val="231F20"/>
          <w:spacing w:val="-4"/>
        </w:rPr>
        <w:t>6</w:t>
      </w:r>
      <w:r>
        <w:rPr>
          <w:color w:val="231F20"/>
          <w:spacing w:val="-11"/>
        </w:rPr>
        <w:t> </w:t>
      </w:r>
      <w:r>
        <w:rPr>
          <w:color w:val="231F20"/>
          <w:spacing w:val="-4"/>
        </w:rPr>
        <w:t>avril</w:t>
      </w:r>
      <w:r>
        <w:rPr>
          <w:color w:val="231F20"/>
          <w:spacing w:val="-11"/>
        </w:rPr>
        <w:t> </w:t>
      </w:r>
      <w:r>
        <w:rPr>
          <w:color w:val="231F20"/>
          <w:spacing w:val="-4"/>
        </w:rPr>
        <w:t>1994,</w:t>
      </w:r>
      <w:r>
        <w:rPr>
          <w:color w:val="231F20"/>
          <w:spacing w:val="-9"/>
        </w:rPr>
        <w:t> </w:t>
      </w:r>
      <w:r>
        <w:rPr>
          <w:color w:val="231F20"/>
          <w:spacing w:val="-4"/>
        </w:rPr>
        <w:t>alors</w:t>
      </w:r>
      <w:r>
        <w:rPr>
          <w:color w:val="231F20"/>
          <w:spacing w:val="-9"/>
        </w:rPr>
        <w:t> </w:t>
      </w:r>
      <w:r>
        <w:rPr>
          <w:color w:val="231F20"/>
          <w:spacing w:val="-4"/>
        </w:rPr>
        <w:t>qu’il</w:t>
      </w:r>
      <w:r>
        <w:rPr>
          <w:color w:val="231F20"/>
          <w:spacing w:val="-9"/>
        </w:rPr>
        <w:t> </w:t>
      </w:r>
      <w:r>
        <w:rPr>
          <w:color w:val="231F20"/>
          <w:spacing w:val="-4"/>
        </w:rPr>
        <w:t>rentre</w:t>
      </w:r>
      <w:r>
        <w:rPr>
          <w:color w:val="231F20"/>
          <w:spacing w:val="-9"/>
        </w:rPr>
        <w:t> </w:t>
      </w:r>
      <w:r>
        <w:rPr>
          <w:color w:val="231F20"/>
          <w:spacing w:val="-4"/>
        </w:rPr>
        <w:t>d’Arhusa</w:t>
      </w:r>
      <w:r>
        <w:rPr>
          <w:color w:val="231F20"/>
          <w:spacing w:val="-9"/>
        </w:rPr>
        <w:t> </w:t>
      </w:r>
      <w:r>
        <w:rPr>
          <w:color w:val="231F20"/>
          <w:spacing w:val="-4"/>
        </w:rPr>
        <w:t>avec</w:t>
      </w:r>
      <w:r>
        <w:rPr>
          <w:color w:val="231F20"/>
          <w:spacing w:val="-9"/>
        </w:rPr>
        <w:t> </w:t>
      </w:r>
      <w:r>
        <w:rPr>
          <w:color w:val="231F20"/>
          <w:spacing w:val="-4"/>
        </w:rPr>
        <w:t>son </w:t>
      </w:r>
      <w:r>
        <w:rPr>
          <w:color w:val="231F20"/>
        </w:rPr>
        <w:t>collègue</w:t>
      </w:r>
      <w:r>
        <w:rPr>
          <w:color w:val="231F20"/>
          <w:spacing w:val="-1"/>
        </w:rPr>
        <w:t> </w:t>
      </w:r>
      <w:r>
        <w:rPr>
          <w:color w:val="231F20"/>
        </w:rPr>
        <w:t>Rwandais</w:t>
      </w:r>
      <w:r>
        <w:rPr>
          <w:color w:val="231F20"/>
          <w:spacing w:val="-1"/>
        </w:rPr>
        <w:t> </w:t>
      </w:r>
      <w:r>
        <w:rPr>
          <w:color w:val="231F20"/>
        </w:rPr>
        <w:t>Juvénal Habyarimana : une autre occasion</w:t>
      </w:r>
      <w:r>
        <w:rPr>
          <w:color w:val="231F20"/>
          <w:spacing w:val="-1"/>
        </w:rPr>
        <w:t> </w:t>
      </w:r>
      <w:r>
        <w:rPr>
          <w:color w:val="231F20"/>
        </w:rPr>
        <w:t>pour</w:t>
      </w:r>
      <w:r>
        <w:rPr>
          <w:color w:val="231F20"/>
          <w:spacing w:val="-2"/>
        </w:rPr>
        <w:t> </w:t>
      </w:r>
      <w:r>
        <w:rPr>
          <w:color w:val="231F20"/>
        </w:rPr>
        <w:t>les deux communautés</w:t>
      </w:r>
      <w:r>
        <w:rPr>
          <w:color w:val="231F20"/>
          <w:spacing w:val="-4"/>
        </w:rPr>
        <w:t> </w:t>
      </w:r>
      <w:r>
        <w:rPr>
          <w:color w:val="231F20"/>
        </w:rPr>
        <w:t>hutu et tutsi</w:t>
      </w:r>
      <w:r>
        <w:rPr>
          <w:color w:val="231F20"/>
          <w:spacing w:val="-2"/>
        </w:rPr>
        <w:t> </w:t>
      </w:r>
      <w:r>
        <w:rPr>
          <w:color w:val="231F20"/>
        </w:rPr>
        <w:t>de</w:t>
      </w:r>
      <w:r>
        <w:rPr>
          <w:color w:val="231F20"/>
          <w:spacing w:val="-4"/>
        </w:rPr>
        <w:t> </w:t>
      </w:r>
      <w:r>
        <w:rPr>
          <w:color w:val="231F20"/>
        </w:rPr>
        <w:t>s’entredéchirer.</w:t>
      </w:r>
    </w:p>
    <w:p>
      <w:pPr>
        <w:pStyle w:val="BodyText"/>
        <w:spacing w:before="120"/>
        <w:ind w:right="107" w:firstLine="283"/>
      </w:pPr>
      <w:r>
        <w:rPr>
          <w:color w:val="231F20"/>
          <w:spacing w:val="-2"/>
        </w:rPr>
        <w:t>Sylvestre</w:t>
      </w:r>
      <w:r>
        <w:rPr>
          <w:color w:val="231F20"/>
          <w:spacing w:val="-12"/>
        </w:rPr>
        <w:t> </w:t>
      </w:r>
      <w:r>
        <w:rPr>
          <w:color w:val="231F20"/>
          <w:spacing w:val="-2"/>
        </w:rPr>
        <w:t>Ntibantunganya,</w:t>
      </w:r>
      <w:r>
        <w:rPr>
          <w:color w:val="231F20"/>
          <w:spacing w:val="-9"/>
        </w:rPr>
        <w:t> </w:t>
      </w:r>
      <w:r>
        <w:rPr>
          <w:color w:val="231F20"/>
          <w:spacing w:val="-2"/>
        </w:rPr>
        <w:t>un</w:t>
      </w:r>
      <w:r>
        <w:rPr>
          <w:color w:val="231F20"/>
          <w:spacing w:val="-11"/>
        </w:rPr>
        <w:t> </w:t>
      </w:r>
      <w:r>
        <w:rPr>
          <w:color w:val="231F20"/>
          <w:spacing w:val="-2"/>
        </w:rPr>
        <w:t>Hutu,</w:t>
      </w:r>
      <w:r>
        <w:rPr>
          <w:color w:val="231F20"/>
          <w:spacing w:val="-11"/>
        </w:rPr>
        <w:t> </w:t>
      </w:r>
      <w:r>
        <w:rPr>
          <w:color w:val="231F20"/>
          <w:spacing w:val="-2"/>
        </w:rPr>
        <w:t>est</w:t>
      </w:r>
      <w:r>
        <w:rPr>
          <w:color w:val="231F20"/>
          <w:spacing w:val="-11"/>
        </w:rPr>
        <w:t> </w:t>
      </w:r>
      <w:r>
        <w:rPr>
          <w:color w:val="231F20"/>
          <w:spacing w:val="-2"/>
        </w:rPr>
        <w:t>nommé</w:t>
      </w:r>
      <w:r>
        <w:rPr>
          <w:color w:val="231F20"/>
          <w:spacing w:val="-12"/>
        </w:rPr>
        <w:t> </w:t>
      </w:r>
      <w:r>
        <w:rPr>
          <w:color w:val="231F20"/>
          <w:spacing w:val="-2"/>
        </w:rPr>
        <w:t>au</w:t>
      </w:r>
      <w:r>
        <w:rPr>
          <w:color w:val="231F20"/>
          <w:spacing w:val="-13"/>
        </w:rPr>
        <w:t> </w:t>
      </w:r>
      <w:r>
        <w:rPr>
          <w:color w:val="231F20"/>
          <w:spacing w:val="-2"/>
        </w:rPr>
        <w:t>mois</w:t>
      </w:r>
      <w:r>
        <w:rPr>
          <w:color w:val="231F20"/>
          <w:spacing w:val="-11"/>
        </w:rPr>
        <w:t> </w:t>
      </w:r>
      <w:r>
        <w:rPr>
          <w:color w:val="231F20"/>
          <w:spacing w:val="-2"/>
        </w:rPr>
        <w:t>de</w:t>
      </w:r>
      <w:r>
        <w:rPr>
          <w:color w:val="231F20"/>
          <w:spacing w:val="-12"/>
        </w:rPr>
        <w:t> </w:t>
      </w:r>
      <w:r>
        <w:rPr>
          <w:color w:val="231F20"/>
          <w:spacing w:val="-2"/>
        </w:rPr>
        <w:t>septembre </w:t>
      </w:r>
      <w:r>
        <w:rPr>
          <w:color w:val="231F20"/>
          <w:spacing w:val="-4"/>
        </w:rPr>
        <w:t>pour</w:t>
      </w:r>
      <w:r>
        <w:rPr>
          <w:color w:val="231F20"/>
          <w:spacing w:val="-7"/>
        </w:rPr>
        <w:t> </w:t>
      </w:r>
      <w:r>
        <w:rPr>
          <w:color w:val="231F20"/>
          <w:spacing w:val="-4"/>
        </w:rPr>
        <w:t>assurer</w:t>
      </w:r>
      <w:r>
        <w:rPr>
          <w:color w:val="231F20"/>
          <w:spacing w:val="-7"/>
        </w:rPr>
        <w:t> </w:t>
      </w:r>
      <w:r>
        <w:rPr>
          <w:color w:val="231F20"/>
          <w:spacing w:val="-4"/>
        </w:rPr>
        <w:t>la</w:t>
      </w:r>
      <w:r>
        <w:rPr>
          <w:color w:val="231F20"/>
          <w:spacing w:val="-7"/>
        </w:rPr>
        <w:t> </w:t>
      </w:r>
      <w:r>
        <w:rPr>
          <w:color w:val="231F20"/>
          <w:spacing w:val="-4"/>
        </w:rPr>
        <w:t>fonction</w:t>
      </w:r>
      <w:r>
        <w:rPr>
          <w:color w:val="231F20"/>
          <w:spacing w:val="-11"/>
        </w:rPr>
        <w:t> </w:t>
      </w:r>
      <w:r>
        <w:rPr>
          <w:color w:val="231F20"/>
          <w:spacing w:val="-4"/>
        </w:rPr>
        <w:t>de</w:t>
      </w:r>
      <w:r>
        <w:rPr>
          <w:color w:val="231F20"/>
          <w:spacing w:val="-10"/>
        </w:rPr>
        <w:t> </w:t>
      </w:r>
      <w:r>
        <w:rPr>
          <w:color w:val="231F20"/>
          <w:spacing w:val="-4"/>
        </w:rPr>
        <w:t>président.</w:t>
      </w:r>
      <w:r>
        <w:rPr>
          <w:color w:val="231F20"/>
          <w:spacing w:val="-9"/>
        </w:rPr>
        <w:t> </w:t>
      </w:r>
      <w:r>
        <w:rPr>
          <w:color w:val="231F20"/>
          <w:spacing w:val="-4"/>
        </w:rPr>
        <w:t>Les</w:t>
      </w:r>
      <w:r>
        <w:rPr>
          <w:color w:val="231F20"/>
          <w:spacing w:val="-11"/>
        </w:rPr>
        <w:t> </w:t>
      </w:r>
      <w:r>
        <w:rPr>
          <w:color w:val="231F20"/>
          <w:spacing w:val="-4"/>
        </w:rPr>
        <w:t>massacres</w:t>
      </w:r>
      <w:r>
        <w:rPr>
          <w:color w:val="231F20"/>
          <w:spacing w:val="-10"/>
        </w:rPr>
        <w:t> </w:t>
      </w:r>
      <w:r>
        <w:rPr>
          <w:color w:val="231F20"/>
          <w:spacing w:val="-4"/>
        </w:rPr>
        <w:t>ethniques</w:t>
      </w:r>
      <w:r>
        <w:rPr>
          <w:color w:val="231F20"/>
          <w:spacing w:val="-8"/>
        </w:rPr>
        <w:t> </w:t>
      </w:r>
      <w:r>
        <w:rPr>
          <w:color w:val="231F20"/>
          <w:spacing w:val="-4"/>
        </w:rPr>
        <w:t>continuent.</w:t>
      </w:r>
    </w:p>
    <w:p>
      <w:pPr>
        <w:pStyle w:val="BodyText"/>
        <w:spacing w:before="120"/>
        <w:ind w:right="110" w:firstLine="283"/>
      </w:pPr>
      <w:r>
        <w:rPr>
          <w:color w:val="231F20"/>
          <w:spacing w:val="-4"/>
        </w:rPr>
        <w:t>Le</w:t>
      </w:r>
      <w:r>
        <w:rPr>
          <w:color w:val="231F20"/>
        </w:rPr>
        <w:t> </w:t>
      </w:r>
      <w:r>
        <w:rPr>
          <w:color w:val="231F20"/>
          <w:spacing w:val="-4"/>
        </w:rPr>
        <w:t>25</w:t>
      </w:r>
      <w:r>
        <w:rPr>
          <w:color w:val="231F20"/>
          <w:spacing w:val="-7"/>
        </w:rPr>
        <w:t> </w:t>
      </w:r>
      <w:r>
        <w:rPr>
          <w:color w:val="231F20"/>
          <w:spacing w:val="-4"/>
        </w:rPr>
        <w:t>juillet</w:t>
      </w:r>
      <w:r>
        <w:rPr>
          <w:color w:val="231F20"/>
          <w:spacing w:val="-8"/>
        </w:rPr>
        <w:t> </w:t>
      </w:r>
      <w:r>
        <w:rPr>
          <w:color w:val="231F20"/>
          <w:spacing w:val="-4"/>
        </w:rPr>
        <w:t>1996,</w:t>
      </w:r>
      <w:r>
        <w:rPr>
          <w:color w:val="231F20"/>
          <w:spacing w:val="-9"/>
        </w:rPr>
        <w:t> </w:t>
      </w:r>
      <w:r>
        <w:rPr>
          <w:color w:val="231F20"/>
          <w:spacing w:val="-4"/>
        </w:rPr>
        <w:t>Pierre</w:t>
      </w:r>
      <w:r>
        <w:rPr>
          <w:color w:val="231F20"/>
          <w:spacing w:val="-9"/>
        </w:rPr>
        <w:t> </w:t>
      </w:r>
      <w:r>
        <w:rPr>
          <w:color w:val="231F20"/>
          <w:spacing w:val="-4"/>
        </w:rPr>
        <w:t>Buyoya,</w:t>
      </w:r>
      <w:r>
        <w:rPr>
          <w:color w:val="231F20"/>
          <w:spacing w:val="-7"/>
        </w:rPr>
        <w:t> </w:t>
      </w:r>
      <w:r>
        <w:rPr>
          <w:color w:val="231F20"/>
          <w:spacing w:val="-4"/>
        </w:rPr>
        <w:t>avec</w:t>
      </w:r>
      <w:r>
        <w:rPr>
          <w:color w:val="231F20"/>
          <w:spacing w:val="-7"/>
        </w:rPr>
        <w:t> </w:t>
      </w:r>
      <w:r>
        <w:rPr>
          <w:color w:val="231F20"/>
          <w:spacing w:val="-4"/>
        </w:rPr>
        <w:t>le</w:t>
      </w:r>
      <w:r>
        <w:rPr>
          <w:color w:val="231F20"/>
          <w:spacing w:val="-9"/>
        </w:rPr>
        <w:t> </w:t>
      </w:r>
      <w:r>
        <w:rPr>
          <w:color w:val="231F20"/>
          <w:spacing w:val="-4"/>
        </w:rPr>
        <w:t>soutien</w:t>
      </w:r>
      <w:r>
        <w:rPr>
          <w:color w:val="231F20"/>
          <w:spacing w:val="-9"/>
        </w:rPr>
        <w:t> </w:t>
      </w:r>
      <w:r>
        <w:rPr>
          <w:color w:val="231F20"/>
          <w:spacing w:val="-4"/>
        </w:rPr>
        <w:t>de</w:t>
      </w:r>
      <w:r>
        <w:rPr>
          <w:color w:val="231F20"/>
          <w:spacing w:val="-7"/>
        </w:rPr>
        <w:t> </w:t>
      </w:r>
      <w:r>
        <w:rPr>
          <w:color w:val="231F20"/>
          <w:spacing w:val="-4"/>
        </w:rPr>
        <w:t>l'Armée,</w:t>
      </w:r>
      <w:r>
        <w:rPr>
          <w:color w:val="231F20"/>
          <w:spacing w:val="-7"/>
        </w:rPr>
        <w:t> </w:t>
      </w:r>
      <w:r>
        <w:rPr>
          <w:color w:val="231F20"/>
          <w:spacing w:val="-4"/>
        </w:rPr>
        <w:t>renverse </w:t>
      </w:r>
      <w:r>
        <w:rPr>
          <w:color w:val="231F20"/>
        </w:rPr>
        <w:t>Sylvestre Ntibantunganya,</w:t>
      </w:r>
      <w:r>
        <w:rPr>
          <w:color w:val="231F20"/>
          <w:spacing w:val="-1"/>
        </w:rPr>
        <w:t> </w:t>
      </w:r>
      <w:r>
        <w:rPr>
          <w:color w:val="231F20"/>
        </w:rPr>
        <w:t>et</w:t>
      </w:r>
      <w:r>
        <w:rPr>
          <w:color w:val="231F20"/>
          <w:spacing w:val="-1"/>
        </w:rPr>
        <w:t> </w:t>
      </w:r>
      <w:r>
        <w:rPr>
          <w:color w:val="231F20"/>
        </w:rPr>
        <w:t>reprend</w:t>
      </w:r>
      <w:r>
        <w:rPr>
          <w:color w:val="231F20"/>
          <w:spacing w:val="-3"/>
        </w:rPr>
        <w:t> </w:t>
      </w:r>
      <w:r>
        <w:rPr>
          <w:color w:val="231F20"/>
        </w:rPr>
        <w:t>le</w:t>
      </w:r>
      <w:r>
        <w:rPr>
          <w:color w:val="231F20"/>
          <w:spacing w:val="-1"/>
        </w:rPr>
        <w:t> </w:t>
      </w:r>
      <w:r>
        <w:rPr>
          <w:color w:val="231F20"/>
        </w:rPr>
        <w:t>pouvoir.</w:t>
      </w:r>
    </w:p>
    <w:p>
      <w:pPr>
        <w:pStyle w:val="BodyText"/>
        <w:spacing w:before="121"/>
        <w:ind w:right="107" w:firstLine="283"/>
      </w:pPr>
      <w:r>
        <w:rPr>
          <w:color w:val="231F20"/>
        </w:rPr>
        <w:t>En 1998, le gouvernement s'ouvre aux Hutu. Cela est le fruit des pourparlers de paix avec les rebelles Hutu sous l'égide des présidents Tanzaniens</w:t>
      </w:r>
      <w:r>
        <w:rPr>
          <w:color w:val="231F20"/>
          <w:spacing w:val="-6"/>
        </w:rPr>
        <w:t> </w:t>
      </w:r>
      <w:r>
        <w:rPr>
          <w:color w:val="231F20"/>
        </w:rPr>
        <w:t>et</w:t>
      </w:r>
      <w:r>
        <w:rPr>
          <w:color w:val="231F20"/>
          <w:spacing w:val="-8"/>
        </w:rPr>
        <w:t> </w:t>
      </w:r>
      <w:r>
        <w:rPr>
          <w:color w:val="231F20"/>
        </w:rPr>
        <w:t>Sud-africain,</w:t>
      </w:r>
      <w:r>
        <w:rPr>
          <w:color w:val="231F20"/>
          <w:spacing w:val="-6"/>
        </w:rPr>
        <w:t> </w:t>
      </w:r>
      <w:r>
        <w:rPr>
          <w:color w:val="231F20"/>
        </w:rPr>
        <w:t>Julius</w:t>
      </w:r>
      <w:r>
        <w:rPr>
          <w:color w:val="231F20"/>
          <w:spacing w:val="-6"/>
        </w:rPr>
        <w:t> </w:t>
      </w:r>
      <w:r>
        <w:rPr>
          <w:color w:val="231F20"/>
        </w:rPr>
        <w:t>Nyerere</w:t>
      </w:r>
      <w:r>
        <w:rPr>
          <w:color w:val="231F20"/>
          <w:spacing w:val="-6"/>
        </w:rPr>
        <w:t> </w:t>
      </w:r>
      <w:r>
        <w:rPr>
          <w:color w:val="231F20"/>
        </w:rPr>
        <w:t>et</w:t>
      </w:r>
      <w:r>
        <w:rPr>
          <w:color w:val="231F20"/>
          <w:spacing w:val="-7"/>
        </w:rPr>
        <w:t> </w:t>
      </w:r>
      <w:r>
        <w:rPr>
          <w:color w:val="231F20"/>
        </w:rPr>
        <w:t>Nelson</w:t>
      </w:r>
      <w:r>
        <w:rPr>
          <w:color w:val="231F20"/>
          <w:spacing w:val="-6"/>
        </w:rPr>
        <w:t> </w:t>
      </w:r>
      <w:r>
        <w:rPr>
          <w:color w:val="231F20"/>
        </w:rPr>
        <w:t>Mandela.</w:t>
      </w:r>
    </w:p>
    <w:p>
      <w:pPr>
        <w:pStyle w:val="BodyText"/>
        <w:spacing w:before="120"/>
        <w:ind w:left="395"/>
      </w:pPr>
      <w:r>
        <w:rPr>
          <w:color w:val="231F20"/>
        </w:rPr>
        <w:t>Ces</w:t>
      </w:r>
      <w:r>
        <w:rPr>
          <w:color w:val="231F20"/>
          <w:spacing w:val="76"/>
        </w:rPr>
        <w:t> </w:t>
      </w:r>
      <w:r>
        <w:rPr>
          <w:color w:val="231F20"/>
        </w:rPr>
        <w:t>pourparlers</w:t>
      </w:r>
      <w:r>
        <w:rPr>
          <w:color w:val="231F20"/>
          <w:spacing w:val="77"/>
        </w:rPr>
        <w:t> </w:t>
      </w:r>
      <w:r>
        <w:rPr>
          <w:color w:val="231F20"/>
        </w:rPr>
        <w:t>de</w:t>
      </w:r>
      <w:r>
        <w:rPr>
          <w:color w:val="231F20"/>
          <w:spacing w:val="78"/>
        </w:rPr>
        <w:t> </w:t>
      </w:r>
      <w:r>
        <w:rPr>
          <w:color w:val="231F20"/>
        </w:rPr>
        <w:t>paix</w:t>
      </w:r>
      <w:r>
        <w:rPr>
          <w:color w:val="231F20"/>
          <w:spacing w:val="78"/>
        </w:rPr>
        <w:t> </w:t>
      </w:r>
      <w:r>
        <w:rPr>
          <w:color w:val="231F20"/>
        </w:rPr>
        <w:t>permettent</w:t>
      </w:r>
      <w:r>
        <w:rPr>
          <w:color w:val="231F20"/>
          <w:spacing w:val="79"/>
        </w:rPr>
        <w:t> </w:t>
      </w:r>
      <w:r>
        <w:rPr>
          <w:color w:val="231F20"/>
        </w:rPr>
        <w:t>en</w:t>
      </w:r>
      <w:r>
        <w:rPr>
          <w:color w:val="231F20"/>
          <w:spacing w:val="-12"/>
        </w:rPr>
        <w:t> </w:t>
      </w:r>
      <w:r>
        <w:rPr>
          <w:color w:val="231F20"/>
        </w:rPr>
        <w:t>août</w:t>
      </w:r>
      <w:r>
        <w:rPr>
          <w:color w:val="231F20"/>
          <w:spacing w:val="76"/>
        </w:rPr>
        <w:t> </w:t>
      </w:r>
      <w:r>
        <w:rPr>
          <w:color w:val="231F20"/>
        </w:rPr>
        <w:t>2000</w:t>
      </w:r>
      <w:r>
        <w:rPr>
          <w:color w:val="231F20"/>
          <w:spacing w:val="77"/>
        </w:rPr>
        <w:t> </w:t>
      </w:r>
      <w:r>
        <w:rPr>
          <w:color w:val="231F20"/>
        </w:rPr>
        <w:t>d’obtenir</w:t>
      </w:r>
      <w:r>
        <w:rPr>
          <w:color w:val="231F20"/>
          <w:spacing w:val="76"/>
        </w:rPr>
        <w:t> </w:t>
      </w:r>
      <w:r>
        <w:rPr>
          <w:color w:val="231F20"/>
          <w:spacing w:val="-5"/>
        </w:rPr>
        <w:t>un</w:t>
      </w:r>
    </w:p>
    <w:p>
      <w:pPr>
        <w:pStyle w:val="BodyText"/>
      </w:pPr>
      <w:r>
        <w:rPr>
          <w:color w:val="231F20"/>
        </w:rPr>
        <w:t>accord</w:t>
      </w:r>
      <w:r>
        <w:rPr>
          <w:color w:val="231F20"/>
          <w:spacing w:val="-14"/>
        </w:rPr>
        <w:t> </w:t>
      </w:r>
      <w:r>
        <w:rPr>
          <w:color w:val="231F20"/>
        </w:rPr>
        <w:t>pour</w:t>
      </w:r>
      <w:r>
        <w:rPr>
          <w:color w:val="231F20"/>
          <w:spacing w:val="64"/>
          <w:w w:val="150"/>
        </w:rPr>
        <w:t> </w:t>
      </w:r>
      <w:r>
        <w:rPr>
          <w:color w:val="231F20"/>
        </w:rPr>
        <w:t>une</w:t>
      </w:r>
      <w:r>
        <w:rPr>
          <w:color w:val="231F20"/>
          <w:spacing w:val="63"/>
          <w:w w:val="150"/>
        </w:rPr>
        <w:t> </w:t>
      </w:r>
      <w:r>
        <w:rPr>
          <w:color w:val="231F20"/>
        </w:rPr>
        <w:t>nouvelle</w:t>
      </w:r>
      <w:r>
        <w:rPr>
          <w:color w:val="231F20"/>
          <w:spacing w:val="66"/>
          <w:w w:val="150"/>
        </w:rPr>
        <w:t> </w:t>
      </w:r>
      <w:r>
        <w:rPr>
          <w:color w:val="231F20"/>
        </w:rPr>
        <w:t>Constitution</w:t>
      </w:r>
      <w:r>
        <w:rPr>
          <w:color w:val="231F20"/>
          <w:spacing w:val="64"/>
          <w:w w:val="150"/>
        </w:rPr>
        <w:t> </w:t>
      </w:r>
      <w:r>
        <w:rPr>
          <w:color w:val="231F20"/>
        </w:rPr>
        <w:t>qui</w:t>
      </w:r>
      <w:r>
        <w:rPr>
          <w:color w:val="231F20"/>
          <w:spacing w:val="66"/>
          <w:w w:val="150"/>
        </w:rPr>
        <w:t> </w:t>
      </w:r>
      <w:r>
        <w:rPr>
          <w:color w:val="231F20"/>
        </w:rPr>
        <w:t>établit</w:t>
      </w:r>
      <w:r>
        <w:rPr>
          <w:color w:val="231F20"/>
          <w:spacing w:val="67"/>
          <w:w w:val="150"/>
        </w:rPr>
        <w:t> </w:t>
      </w:r>
      <w:r>
        <w:rPr>
          <w:color w:val="231F20"/>
        </w:rPr>
        <w:t>une</w:t>
      </w:r>
      <w:r>
        <w:rPr>
          <w:color w:val="231F20"/>
          <w:spacing w:val="66"/>
          <w:w w:val="150"/>
        </w:rPr>
        <w:t> </w:t>
      </w:r>
      <w:r>
        <w:rPr>
          <w:color w:val="231F20"/>
          <w:spacing w:val="-2"/>
        </w:rPr>
        <w:t>alternance</w:t>
      </w:r>
    </w:p>
    <w:p>
      <w:pPr>
        <w:pStyle w:val="BodyText"/>
        <w:ind w:right="106"/>
      </w:pPr>
      <w:r>
        <w:rPr>
          <w:color w:val="231F20"/>
        </w:rPr>
        <w:t>«</w:t>
      </w:r>
      <w:r>
        <w:rPr>
          <w:color w:val="231F20"/>
          <w:spacing w:val="-15"/>
        </w:rPr>
        <w:t> </w:t>
      </w:r>
      <w:r>
        <w:rPr>
          <w:color w:val="231F20"/>
        </w:rPr>
        <w:t>ethnique</w:t>
      </w:r>
      <w:r>
        <w:rPr>
          <w:color w:val="231F20"/>
          <w:spacing w:val="-15"/>
        </w:rPr>
        <w:t> </w:t>
      </w:r>
      <w:r>
        <w:rPr>
          <w:color w:val="231F20"/>
        </w:rPr>
        <w:t>»</w:t>
      </w:r>
      <w:r>
        <w:rPr>
          <w:color w:val="231F20"/>
          <w:spacing w:val="-7"/>
        </w:rPr>
        <w:t> </w:t>
      </w:r>
      <w:r>
        <w:rPr>
          <w:color w:val="231F20"/>
        </w:rPr>
        <w:t>du pouvoir</w:t>
      </w:r>
      <w:r>
        <w:rPr>
          <w:color w:val="231F20"/>
          <w:spacing w:val="-15"/>
        </w:rPr>
        <w:t> </w:t>
      </w:r>
      <w:r>
        <w:rPr>
          <w:color w:val="231F20"/>
        </w:rPr>
        <w:t>: la présidence et la vice-présidence changeant tous</w:t>
      </w:r>
      <w:r>
        <w:rPr>
          <w:color w:val="231F20"/>
          <w:spacing w:val="-14"/>
        </w:rPr>
        <w:t> </w:t>
      </w:r>
      <w:r>
        <w:rPr>
          <w:color w:val="231F20"/>
        </w:rPr>
        <w:t>les</w:t>
      </w:r>
      <w:r>
        <w:rPr>
          <w:color w:val="231F20"/>
          <w:spacing w:val="-11"/>
        </w:rPr>
        <w:t> </w:t>
      </w:r>
      <w:r>
        <w:rPr>
          <w:color w:val="231F20"/>
        </w:rPr>
        <w:t>18</w:t>
      </w:r>
      <w:r>
        <w:rPr>
          <w:color w:val="231F20"/>
          <w:spacing w:val="-11"/>
        </w:rPr>
        <w:t> </w:t>
      </w:r>
      <w:r>
        <w:rPr>
          <w:color w:val="231F20"/>
        </w:rPr>
        <w:t>mois,</w:t>
      </w:r>
      <w:r>
        <w:rPr>
          <w:color w:val="231F20"/>
          <w:spacing w:val="-13"/>
        </w:rPr>
        <w:t> </w:t>
      </w:r>
      <w:r>
        <w:rPr>
          <w:color w:val="231F20"/>
        </w:rPr>
        <w:t>d’un</w:t>
      </w:r>
      <w:r>
        <w:rPr>
          <w:color w:val="231F20"/>
          <w:spacing w:val="-11"/>
        </w:rPr>
        <w:t> </w:t>
      </w:r>
      <w:r>
        <w:rPr>
          <w:color w:val="231F20"/>
        </w:rPr>
        <w:t>Tutsi</w:t>
      </w:r>
      <w:r>
        <w:rPr>
          <w:color w:val="231F20"/>
          <w:spacing w:val="-11"/>
        </w:rPr>
        <w:t> </w:t>
      </w:r>
      <w:r>
        <w:rPr>
          <w:color w:val="231F20"/>
        </w:rPr>
        <w:t>à</w:t>
      </w:r>
      <w:r>
        <w:rPr>
          <w:color w:val="231F20"/>
          <w:spacing w:val="-11"/>
        </w:rPr>
        <w:t> </w:t>
      </w:r>
      <w:r>
        <w:rPr>
          <w:color w:val="231F20"/>
        </w:rPr>
        <w:t>un</w:t>
      </w:r>
      <w:r>
        <w:rPr>
          <w:color w:val="231F20"/>
          <w:spacing w:val="-11"/>
        </w:rPr>
        <w:t> </w:t>
      </w:r>
      <w:r>
        <w:rPr>
          <w:color w:val="231F20"/>
        </w:rPr>
        <w:t>Hutu.</w:t>
      </w:r>
      <w:r>
        <w:rPr>
          <w:color w:val="231F20"/>
          <w:spacing w:val="-11"/>
        </w:rPr>
        <w:t> </w:t>
      </w:r>
      <w:r>
        <w:rPr>
          <w:color w:val="231F20"/>
        </w:rPr>
        <w:t>En</w:t>
      </w:r>
      <w:r>
        <w:rPr>
          <w:color w:val="231F20"/>
          <w:spacing w:val="-15"/>
        </w:rPr>
        <w:t> </w:t>
      </w:r>
      <w:r>
        <w:rPr>
          <w:color w:val="231F20"/>
        </w:rPr>
        <w:t>mars</w:t>
      </w:r>
      <w:r>
        <w:rPr>
          <w:color w:val="231F20"/>
          <w:spacing w:val="-13"/>
        </w:rPr>
        <w:t> </w:t>
      </w:r>
      <w:r>
        <w:rPr>
          <w:color w:val="231F20"/>
        </w:rPr>
        <w:t>2003,</w:t>
      </w:r>
      <w:r>
        <w:rPr>
          <w:color w:val="231F20"/>
          <w:spacing w:val="-11"/>
        </w:rPr>
        <w:t> </w:t>
      </w:r>
      <w:r>
        <w:rPr>
          <w:color w:val="231F20"/>
        </w:rPr>
        <w:t>l'Union</w:t>
      </w:r>
      <w:r>
        <w:rPr>
          <w:color w:val="231F20"/>
          <w:spacing w:val="-11"/>
        </w:rPr>
        <w:t> </w:t>
      </w:r>
      <w:r>
        <w:rPr>
          <w:color w:val="231F20"/>
        </w:rPr>
        <w:t>Africaine envoie</w:t>
      </w:r>
      <w:r>
        <w:rPr>
          <w:color w:val="231F20"/>
          <w:spacing w:val="-13"/>
        </w:rPr>
        <w:t> </w:t>
      </w:r>
      <w:r>
        <w:rPr>
          <w:color w:val="231F20"/>
        </w:rPr>
        <w:t>une</w:t>
      </w:r>
      <w:r>
        <w:rPr>
          <w:color w:val="231F20"/>
          <w:spacing w:val="-13"/>
        </w:rPr>
        <w:t> </w:t>
      </w:r>
      <w:r>
        <w:rPr>
          <w:color w:val="231F20"/>
        </w:rPr>
        <w:t>mission</w:t>
      </w:r>
      <w:r>
        <w:rPr>
          <w:color w:val="231F20"/>
          <w:spacing w:val="-13"/>
        </w:rPr>
        <w:t> </w:t>
      </w:r>
      <w:r>
        <w:rPr>
          <w:color w:val="231F20"/>
        </w:rPr>
        <w:t>de</w:t>
      </w:r>
      <w:r>
        <w:rPr>
          <w:color w:val="231F20"/>
          <w:spacing w:val="-15"/>
        </w:rPr>
        <w:t> </w:t>
      </w:r>
      <w:r>
        <w:rPr>
          <w:color w:val="231F20"/>
        </w:rPr>
        <w:t>maintien</w:t>
      </w:r>
      <w:r>
        <w:rPr>
          <w:color w:val="231F20"/>
          <w:spacing w:val="-13"/>
        </w:rPr>
        <w:t> </w:t>
      </w:r>
      <w:r>
        <w:rPr>
          <w:color w:val="231F20"/>
        </w:rPr>
        <w:t>de</w:t>
      </w:r>
      <w:r>
        <w:rPr>
          <w:color w:val="231F20"/>
          <w:spacing w:val="-15"/>
        </w:rPr>
        <w:t> </w:t>
      </w:r>
      <w:r>
        <w:rPr>
          <w:color w:val="231F20"/>
        </w:rPr>
        <w:t>la</w:t>
      </w:r>
      <w:r>
        <w:rPr>
          <w:color w:val="231F20"/>
          <w:spacing w:val="-14"/>
        </w:rPr>
        <w:t> </w:t>
      </w:r>
      <w:r>
        <w:rPr>
          <w:color w:val="231F20"/>
        </w:rPr>
        <w:t>paix,</w:t>
      </w:r>
      <w:r>
        <w:rPr>
          <w:color w:val="231F20"/>
          <w:spacing w:val="-14"/>
        </w:rPr>
        <w:t> </w:t>
      </w:r>
      <w:r>
        <w:rPr>
          <w:color w:val="231F20"/>
        </w:rPr>
        <w:t>chargée</w:t>
      </w:r>
      <w:r>
        <w:rPr>
          <w:color w:val="231F20"/>
          <w:spacing w:val="-14"/>
        </w:rPr>
        <w:t> </w:t>
      </w:r>
      <w:r>
        <w:rPr>
          <w:color w:val="231F20"/>
        </w:rPr>
        <w:t>du</w:t>
      </w:r>
      <w:r>
        <w:rPr>
          <w:color w:val="231F20"/>
          <w:spacing w:val="-14"/>
        </w:rPr>
        <w:t> </w:t>
      </w:r>
      <w:r>
        <w:rPr>
          <w:color w:val="231F20"/>
        </w:rPr>
        <w:t>désarmement</w:t>
      </w:r>
      <w:r>
        <w:rPr>
          <w:color w:val="231F20"/>
          <w:spacing w:val="-13"/>
        </w:rPr>
        <w:t> </w:t>
      </w:r>
      <w:r>
        <w:rPr>
          <w:color w:val="231F20"/>
        </w:rPr>
        <w:t>des groupes armés.</w:t>
      </w:r>
    </w:p>
    <w:p>
      <w:pPr>
        <w:pStyle w:val="BodyText"/>
        <w:spacing w:before="120"/>
        <w:ind w:right="105" w:firstLine="283"/>
      </w:pPr>
      <w:r>
        <w:rPr>
          <w:color w:val="231F20"/>
          <w:spacing w:val="-4"/>
        </w:rPr>
        <w:t>Le</w:t>
      </w:r>
      <w:r>
        <w:rPr>
          <w:color w:val="231F20"/>
          <w:spacing w:val="-11"/>
        </w:rPr>
        <w:t> </w:t>
      </w:r>
      <w:r>
        <w:rPr>
          <w:color w:val="231F20"/>
          <w:spacing w:val="-4"/>
        </w:rPr>
        <w:t>19</w:t>
      </w:r>
      <w:r>
        <w:rPr>
          <w:color w:val="231F20"/>
          <w:spacing w:val="-11"/>
        </w:rPr>
        <w:t> </w:t>
      </w:r>
      <w:r>
        <w:rPr>
          <w:color w:val="231F20"/>
          <w:spacing w:val="-4"/>
        </w:rPr>
        <w:t>août</w:t>
      </w:r>
      <w:r>
        <w:rPr>
          <w:color w:val="231F20"/>
          <w:spacing w:val="-11"/>
        </w:rPr>
        <w:t> </w:t>
      </w:r>
      <w:r>
        <w:rPr>
          <w:color w:val="231F20"/>
          <w:spacing w:val="-4"/>
        </w:rPr>
        <w:t>2005,</w:t>
      </w:r>
      <w:r>
        <w:rPr>
          <w:color w:val="231F20"/>
          <w:spacing w:val="-9"/>
        </w:rPr>
        <w:t> </w:t>
      </w:r>
      <w:r>
        <w:rPr>
          <w:color w:val="231F20"/>
          <w:spacing w:val="-4"/>
        </w:rPr>
        <w:t>Pierre</w:t>
      </w:r>
      <w:r>
        <w:rPr>
          <w:color w:val="231F20"/>
          <w:spacing w:val="-10"/>
        </w:rPr>
        <w:t> </w:t>
      </w:r>
      <w:r>
        <w:rPr>
          <w:color w:val="231F20"/>
          <w:spacing w:val="-4"/>
        </w:rPr>
        <w:t>Nkurunziza,</w:t>
      </w:r>
      <w:r>
        <w:rPr>
          <w:color w:val="231F20"/>
          <w:spacing w:val="-11"/>
        </w:rPr>
        <w:t> </w:t>
      </w:r>
      <w:r>
        <w:rPr>
          <w:color w:val="231F20"/>
          <w:spacing w:val="-4"/>
        </w:rPr>
        <w:t>membre</w:t>
      </w:r>
      <w:r>
        <w:rPr>
          <w:color w:val="231F20"/>
          <w:spacing w:val="-11"/>
        </w:rPr>
        <w:t> </w:t>
      </w:r>
      <w:r>
        <w:rPr>
          <w:color w:val="231F20"/>
          <w:spacing w:val="-4"/>
        </w:rPr>
        <w:t>du</w:t>
      </w:r>
      <w:r>
        <w:rPr>
          <w:color w:val="231F20"/>
          <w:spacing w:val="-11"/>
        </w:rPr>
        <w:t> </w:t>
      </w:r>
      <w:r>
        <w:rPr>
          <w:color w:val="231F20"/>
          <w:spacing w:val="-4"/>
        </w:rPr>
        <w:t>Conseil</w:t>
      </w:r>
      <w:r>
        <w:rPr>
          <w:color w:val="231F20"/>
          <w:spacing w:val="-11"/>
        </w:rPr>
        <w:t> </w:t>
      </w:r>
      <w:r>
        <w:rPr>
          <w:color w:val="231F20"/>
          <w:spacing w:val="-4"/>
        </w:rPr>
        <w:t>National</w:t>
      </w:r>
      <w:r>
        <w:rPr>
          <w:color w:val="231F20"/>
          <w:spacing w:val="-11"/>
        </w:rPr>
        <w:t> </w:t>
      </w:r>
      <w:r>
        <w:rPr>
          <w:color w:val="231F20"/>
          <w:spacing w:val="-4"/>
        </w:rPr>
        <w:t>pour </w:t>
      </w:r>
      <w:r>
        <w:rPr>
          <w:color w:val="231F20"/>
        </w:rPr>
        <w:t>la Défense de la Démocratie-Forces de Défense de la Démocratie (CNDD-FDD) et candidat unique, est largement élu par les deux chambres du Parlement Burundais.</w:t>
      </w:r>
    </w:p>
    <w:p>
      <w:pPr>
        <w:pStyle w:val="BodyText"/>
        <w:spacing w:before="120"/>
        <w:ind w:right="105" w:firstLine="283"/>
      </w:pPr>
      <w:r>
        <w:rPr>
          <w:color w:val="231F20"/>
        </w:rPr>
        <w:t>Le</w:t>
      </w:r>
      <w:r>
        <w:rPr>
          <w:color w:val="231F20"/>
          <w:spacing w:val="-12"/>
        </w:rPr>
        <w:t> </w:t>
      </w:r>
      <w:r>
        <w:rPr>
          <w:color w:val="231F20"/>
        </w:rPr>
        <w:t>8</w:t>
      </w:r>
      <w:r>
        <w:rPr>
          <w:color w:val="231F20"/>
          <w:spacing w:val="-12"/>
        </w:rPr>
        <w:t> </w:t>
      </w:r>
      <w:r>
        <w:rPr>
          <w:color w:val="231F20"/>
        </w:rPr>
        <w:t>mars</w:t>
      </w:r>
      <w:r>
        <w:rPr>
          <w:color w:val="231F20"/>
          <w:spacing w:val="-15"/>
        </w:rPr>
        <w:t> </w:t>
      </w:r>
      <w:r>
        <w:rPr>
          <w:color w:val="231F20"/>
        </w:rPr>
        <w:t>2014,</w:t>
      </w:r>
      <w:r>
        <w:rPr>
          <w:color w:val="231F20"/>
          <w:spacing w:val="-12"/>
        </w:rPr>
        <w:t> </w:t>
      </w:r>
      <w:r>
        <w:rPr>
          <w:color w:val="231F20"/>
        </w:rPr>
        <w:t>la</w:t>
      </w:r>
      <w:r>
        <w:rPr>
          <w:color w:val="231F20"/>
          <w:spacing w:val="-12"/>
        </w:rPr>
        <w:t> </w:t>
      </w:r>
      <w:r>
        <w:rPr>
          <w:color w:val="231F20"/>
        </w:rPr>
        <w:t>capitale</w:t>
      </w:r>
      <w:r>
        <w:rPr>
          <w:color w:val="231F20"/>
          <w:spacing w:val="-10"/>
        </w:rPr>
        <w:t> </w:t>
      </w:r>
      <w:r>
        <w:rPr>
          <w:color w:val="231F20"/>
        </w:rPr>
        <w:t>est</w:t>
      </w:r>
      <w:r>
        <w:rPr>
          <w:color w:val="231F20"/>
          <w:spacing w:val="-11"/>
        </w:rPr>
        <w:t> </w:t>
      </w:r>
      <w:r>
        <w:rPr>
          <w:color w:val="231F20"/>
        </w:rPr>
        <w:t>secouée</w:t>
      </w:r>
      <w:r>
        <w:rPr>
          <w:color w:val="231F20"/>
          <w:spacing w:val="-10"/>
        </w:rPr>
        <w:t> </w:t>
      </w:r>
      <w:r>
        <w:rPr>
          <w:color w:val="231F20"/>
        </w:rPr>
        <w:t>par</w:t>
      </w:r>
      <w:r>
        <w:rPr>
          <w:color w:val="231F20"/>
          <w:spacing w:val="-12"/>
        </w:rPr>
        <w:t> </w:t>
      </w:r>
      <w:r>
        <w:rPr>
          <w:color w:val="231F20"/>
        </w:rPr>
        <w:t>de</w:t>
      </w:r>
      <w:r>
        <w:rPr>
          <w:color w:val="231F20"/>
          <w:spacing w:val="-10"/>
        </w:rPr>
        <w:t> </w:t>
      </w:r>
      <w:r>
        <w:rPr>
          <w:color w:val="231F20"/>
        </w:rPr>
        <w:t>violents</w:t>
      </w:r>
      <w:r>
        <w:rPr>
          <w:color w:val="231F20"/>
          <w:spacing w:val="-10"/>
        </w:rPr>
        <w:t> </w:t>
      </w:r>
      <w:r>
        <w:rPr>
          <w:color w:val="231F20"/>
        </w:rPr>
        <w:t>affrontements entre la police et des partisans du Mouvement pour la Solidarité et le Développement</w:t>
      </w:r>
      <w:r>
        <w:rPr>
          <w:color w:val="231F20"/>
          <w:spacing w:val="-2"/>
        </w:rPr>
        <w:t> </w:t>
      </w:r>
      <w:r>
        <w:rPr>
          <w:color w:val="231F20"/>
        </w:rPr>
        <w:t>(MSD), un des principaux partis d’opposition</w:t>
      </w:r>
      <w:r>
        <w:rPr>
          <w:color w:val="231F20"/>
          <w:spacing w:val="-15"/>
        </w:rPr>
        <w:t> </w:t>
      </w:r>
      <w:r>
        <w:rPr>
          <w:color w:val="231F20"/>
        </w:rPr>
        <w:t>: Alexis Sinduhije,</w:t>
      </w:r>
      <w:r>
        <w:rPr>
          <w:color w:val="231F20"/>
          <w:spacing w:val="-1"/>
        </w:rPr>
        <w:t> </w:t>
      </w:r>
      <w:r>
        <w:rPr>
          <w:color w:val="231F20"/>
        </w:rPr>
        <w:t>président</w:t>
      </w:r>
      <w:r>
        <w:rPr>
          <w:color w:val="231F20"/>
          <w:spacing w:val="-1"/>
        </w:rPr>
        <w:t> </w:t>
      </w:r>
      <w:r>
        <w:rPr>
          <w:color w:val="231F20"/>
        </w:rPr>
        <w:t>du</w:t>
      </w:r>
      <w:r>
        <w:rPr>
          <w:color w:val="231F20"/>
          <w:spacing w:val="-3"/>
        </w:rPr>
        <w:t> </w:t>
      </w:r>
      <w:r>
        <w:rPr>
          <w:color w:val="231F20"/>
        </w:rPr>
        <w:t>MSD</w:t>
      </w:r>
      <w:r>
        <w:rPr>
          <w:color w:val="231F20"/>
          <w:spacing w:val="-1"/>
        </w:rPr>
        <w:t> </w:t>
      </w:r>
      <w:r>
        <w:rPr>
          <w:color w:val="231F20"/>
        </w:rPr>
        <w:t>de</w:t>
      </w:r>
      <w:r>
        <w:rPr>
          <w:color w:val="231F20"/>
          <w:spacing w:val="-1"/>
        </w:rPr>
        <w:t> </w:t>
      </w:r>
      <w:r>
        <w:rPr>
          <w:color w:val="231F20"/>
        </w:rPr>
        <w:t>retour</w:t>
      </w:r>
      <w:r>
        <w:rPr>
          <w:color w:val="231F20"/>
          <w:spacing w:val="-1"/>
        </w:rPr>
        <w:t> </w:t>
      </w:r>
      <w:r>
        <w:rPr>
          <w:color w:val="231F20"/>
        </w:rPr>
        <w:t>d’exil</w:t>
      </w:r>
      <w:r>
        <w:rPr>
          <w:color w:val="231F20"/>
          <w:spacing w:val="-1"/>
        </w:rPr>
        <w:t> </w:t>
      </w:r>
      <w:r>
        <w:rPr>
          <w:color w:val="231F20"/>
        </w:rPr>
        <w:t>depuis</w:t>
      </w:r>
      <w:r>
        <w:rPr>
          <w:color w:val="231F20"/>
          <w:spacing w:val="-3"/>
        </w:rPr>
        <w:t> </w:t>
      </w:r>
      <w:r>
        <w:rPr>
          <w:color w:val="231F20"/>
        </w:rPr>
        <w:t>moins</w:t>
      </w:r>
      <w:r>
        <w:rPr>
          <w:color w:val="231F20"/>
          <w:spacing w:val="-1"/>
        </w:rPr>
        <w:t> </w:t>
      </w:r>
      <w:r>
        <w:rPr>
          <w:color w:val="231F20"/>
        </w:rPr>
        <w:t>d’un</w:t>
      </w:r>
      <w:r>
        <w:rPr>
          <w:color w:val="231F20"/>
          <w:spacing w:val="-2"/>
        </w:rPr>
        <w:t> </w:t>
      </w:r>
      <w:r>
        <w:rPr>
          <w:color w:val="231F20"/>
        </w:rPr>
        <w:t>an</w:t>
      </w:r>
      <w:r>
        <w:rPr>
          <w:color w:val="231F20"/>
          <w:spacing w:val="-2"/>
        </w:rPr>
        <w:t> </w:t>
      </w:r>
      <w:r>
        <w:rPr>
          <w:color w:val="231F20"/>
        </w:rPr>
        <w:t>est inculpé avec 70 autres membres de son Parti.</w:t>
      </w:r>
    </w:p>
    <w:p>
      <w:pPr>
        <w:pStyle w:val="BodyText"/>
        <w:spacing w:before="121"/>
        <w:ind w:right="106" w:firstLine="283"/>
      </w:pPr>
      <w:r>
        <w:rPr>
          <w:color w:val="231F20"/>
          <w:spacing w:val="-2"/>
        </w:rPr>
        <w:t>L’Union</w:t>
      </w:r>
      <w:r>
        <w:rPr>
          <w:color w:val="231F20"/>
          <w:spacing w:val="-11"/>
        </w:rPr>
        <w:t> </w:t>
      </w:r>
      <w:r>
        <w:rPr>
          <w:color w:val="231F20"/>
          <w:spacing w:val="-2"/>
        </w:rPr>
        <w:t>Européenne</w:t>
      </w:r>
      <w:r>
        <w:rPr>
          <w:color w:val="231F20"/>
          <w:spacing w:val="-10"/>
        </w:rPr>
        <w:t> </w:t>
      </w:r>
      <w:r>
        <w:rPr>
          <w:color w:val="231F20"/>
          <w:spacing w:val="-2"/>
        </w:rPr>
        <w:t>dénonce</w:t>
      </w:r>
      <w:r>
        <w:rPr>
          <w:color w:val="231F20"/>
          <w:spacing w:val="-10"/>
        </w:rPr>
        <w:t> </w:t>
      </w:r>
      <w:r>
        <w:rPr>
          <w:color w:val="231F20"/>
          <w:spacing w:val="-2"/>
        </w:rPr>
        <w:t>en</w:t>
      </w:r>
      <w:r>
        <w:rPr>
          <w:color w:val="231F20"/>
          <w:spacing w:val="-11"/>
        </w:rPr>
        <w:t> </w:t>
      </w:r>
      <w:r>
        <w:rPr>
          <w:color w:val="231F20"/>
          <w:spacing w:val="-2"/>
        </w:rPr>
        <w:t>2012,</w:t>
      </w:r>
      <w:r>
        <w:rPr>
          <w:color w:val="231F20"/>
          <w:spacing w:val="-10"/>
        </w:rPr>
        <w:t> </w:t>
      </w:r>
      <w:r>
        <w:rPr>
          <w:color w:val="231F20"/>
          <w:spacing w:val="-2"/>
        </w:rPr>
        <w:t>les</w:t>
      </w:r>
      <w:r>
        <w:rPr>
          <w:color w:val="231F20"/>
          <w:spacing w:val="-10"/>
        </w:rPr>
        <w:t> </w:t>
      </w:r>
      <w:r>
        <w:rPr>
          <w:color w:val="231F20"/>
          <w:spacing w:val="-2"/>
        </w:rPr>
        <w:t>arrestations</w:t>
      </w:r>
      <w:r>
        <w:rPr>
          <w:color w:val="231F20"/>
          <w:spacing w:val="-10"/>
        </w:rPr>
        <w:t> </w:t>
      </w:r>
      <w:r>
        <w:rPr>
          <w:color w:val="231F20"/>
          <w:spacing w:val="-2"/>
        </w:rPr>
        <w:t>arbitraires,</w:t>
      </w:r>
      <w:r>
        <w:rPr>
          <w:color w:val="231F20"/>
          <w:spacing w:val="-11"/>
        </w:rPr>
        <w:t> </w:t>
      </w:r>
      <w:r>
        <w:rPr>
          <w:color w:val="231F20"/>
          <w:spacing w:val="-2"/>
        </w:rPr>
        <w:t>les </w:t>
      </w:r>
      <w:r>
        <w:rPr>
          <w:color w:val="231F20"/>
        </w:rPr>
        <w:t>exécutions</w:t>
      </w:r>
      <w:r>
        <w:rPr>
          <w:color w:val="231F20"/>
          <w:spacing w:val="-12"/>
        </w:rPr>
        <w:t> </w:t>
      </w:r>
      <w:r>
        <w:rPr>
          <w:color w:val="231F20"/>
        </w:rPr>
        <w:t>extrajudiciaires,</w:t>
      </w:r>
      <w:r>
        <w:rPr>
          <w:color w:val="231F20"/>
          <w:spacing w:val="-14"/>
        </w:rPr>
        <w:t> </w:t>
      </w:r>
      <w:r>
        <w:rPr>
          <w:color w:val="231F20"/>
        </w:rPr>
        <w:t>les</w:t>
      </w:r>
      <w:r>
        <w:rPr>
          <w:color w:val="231F20"/>
          <w:spacing w:val="-13"/>
        </w:rPr>
        <w:t> </w:t>
      </w:r>
      <w:r>
        <w:rPr>
          <w:color w:val="231F20"/>
        </w:rPr>
        <w:t>actes</w:t>
      </w:r>
      <w:r>
        <w:rPr>
          <w:color w:val="231F20"/>
          <w:spacing w:val="-13"/>
        </w:rPr>
        <w:t> </w:t>
      </w:r>
      <w:r>
        <w:rPr>
          <w:color w:val="231F20"/>
        </w:rPr>
        <w:t>de</w:t>
      </w:r>
      <w:r>
        <w:rPr>
          <w:color w:val="231F20"/>
          <w:spacing w:val="-14"/>
        </w:rPr>
        <w:t> </w:t>
      </w:r>
      <w:r>
        <w:rPr>
          <w:color w:val="231F20"/>
        </w:rPr>
        <w:t>torture,</w:t>
      </w:r>
      <w:r>
        <w:rPr>
          <w:color w:val="231F20"/>
          <w:spacing w:val="-13"/>
        </w:rPr>
        <w:t> </w:t>
      </w:r>
      <w:r>
        <w:rPr>
          <w:color w:val="231F20"/>
        </w:rPr>
        <w:t>mais</w:t>
      </w:r>
      <w:r>
        <w:rPr>
          <w:color w:val="231F20"/>
          <w:spacing w:val="-12"/>
        </w:rPr>
        <w:t> </w:t>
      </w:r>
      <w:r>
        <w:rPr>
          <w:color w:val="231F20"/>
        </w:rPr>
        <w:t>aussi</w:t>
      </w:r>
      <w:r>
        <w:rPr>
          <w:color w:val="231F20"/>
          <w:spacing w:val="-13"/>
        </w:rPr>
        <w:t> </w:t>
      </w:r>
      <w:r>
        <w:rPr>
          <w:color w:val="231F20"/>
        </w:rPr>
        <w:t>la</w:t>
      </w:r>
      <w:r>
        <w:rPr>
          <w:color w:val="231F20"/>
          <w:spacing w:val="-12"/>
        </w:rPr>
        <w:t> </w:t>
      </w:r>
      <w:r>
        <w:rPr>
          <w:color w:val="231F20"/>
        </w:rPr>
        <w:t>corruption et le manque d’indépendance de la Justice.</w:t>
      </w:r>
    </w:p>
    <w:p>
      <w:pPr>
        <w:pStyle w:val="BodyText"/>
        <w:spacing w:before="120"/>
        <w:ind w:right="103" w:firstLine="283"/>
      </w:pPr>
      <w:r>
        <w:rPr>
          <w:color w:val="231F20"/>
          <w:spacing w:val="-2"/>
        </w:rPr>
        <w:t>Pierre</w:t>
      </w:r>
      <w:r>
        <w:rPr>
          <w:color w:val="231F20"/>
          <w:spacing w:val="-10"/>
        </w:rPr>
        <w:t> </w:t>
      </w:r>
      <w:r>
        <w:rPr>
          <w:color w:val="231F20"/>
          <w:spacing w:val="-2"/>
        </w:rPr>
        <w:t>Nkurunziza</w:t>
      </w:r>
      <w:r>
        <w:rPr>
          <w:color w:val="231F20"/>
          <w:spacing w:val="-12"/>
        </w:rPr>
        <w:t> </w:t>
      </w:r>
      <w:r>
        <w:rPr>
          <w:color w:val="231F20"/>
          <w:spacing w:val="-2"/>
        </w:rPr>
        <w:t>décide</w:t>
      </w:r>
      <w:r>
        <w:rPr>
          <w:color w:val="231F20"/>
          <w:spacing w:val="-12"/>
        </w:rPr>
        <w:t> </w:t>
      </w:r>
      <w:r>
        <w:rPr>
          <w:color w:val="231F20"/>
          <w:spacing w:val="-2"/>
        </w:rPr>
        <w:t>en</w:t>
      </w:r>
      <w:r>
        <w:rPr>
          <w:color w:val="231F20"/>
          <w:spacing w:val="-10"/>
        </w:rPr>
        <w:t> </w:t>
      </w:r>
      <w:r>
        <w:rPr>
          <w:color w:val="231F20"/>
          <w:spacing w:val="-2"/>
        </w:rPr>
        <w:t>2015</w:t>
      </w:r>
      <w:r>
        <w:rPr>
          <w:color w:val="231F20"/>
          <w:spacing w:val="-12"/>
        </w:rPr>
        <w:t> </w:t>
      </w:r>
      <w:r>
        <w:rPr>
          <w:color w:val="231F20"/>
          <w:spacing w:val="-2"/>
        </w:rPr>
        <w:t>de</w:t>
      </w:r>
      <w:r>
        <w:rPr>
          <w:color w:val="231F20"/>
          <w:spacing w:val="-10"/>
        </w:rPr>
        <w:t> </w:t>
      </w:r>
      <w:r>
        <w:rPr>
          <w:color w:val="231F20"/>
          <w:spacing w:val="-2"/>
        </w:rPr>
        <w:t>briguer</w:t>
      </w:r>
      <w:r>
        <w:rPr>
          <w:color w:val="231F20"/>
          <w:spacing w:val="-12"/>
        </w:rPr>
        <w:t> </w:t>
      </w:r>
      <w:r>
        <w:rPr>
          <w:color w:val="231F20"/>
          <w:spacing w:val="-2"/>
        </w:rPr>
        <w:t>un</w:t>
      </w:r>
      <w:r>
        <w:rPr>
          <w:color w:val="231F20"/>
          <w:spacing w:val="-12"/>
        </w:rPr>
        <w:t> </w:t>
      </w:r>
      <w:r>
        <w:rPr>
          <w:color w:val="231F20"/>
          <w:spacing w:val="-2"/>
        </w:rPr>
        <w:t>troisième</w:t>
      </w:r>
      <w:r>
        <w:rPr>
          <w:color w:val="231F20"/>
          <w:spacing w:val="-12"/>
        </w:rPr>
        <w:t> </w:t>
      </w:r>
      <w:r>
        <w:rPr>
          <w:color w:val="231F20"/>
          <w:spacing w:val="-2"/>
        </w:rPr>
        <w:t>mandat</w:t>
      </w:r>
      <w:r>
        <w:rPr>
          <w:color w:val="231F20"/>
          <w:spacing w:val="-11"/>
        </w:rPr>
        <w:t> </w:t>
      </w:r>
      <w:r>
        <w:rPr>
          <w:color w:val="231F20"/>
          <w:spacing w:val="-2"/>
        </w:rPr>
        <w:t>à</w:t>
      </w:r>
      <w:r>
        <w:rPr>
          <w:color w:val="231F20"/>
          <w:spacing w:val="-9"/>
        </w:rPr>
        <w:t> </w:t>
      </w:r>
      <w:r>
        <w:rPr>
          <w:color w:val="231F20"/>
          <w:spacing w:val="-2"/>
        </w:rPr>
        <w:t>la </w:t>
      </w:r>
      <w:r>
        <w:rPr>
          <w:color w:val="231F20"/>
        </w:rPr>
        <w:t>présidence de la République, ce qui est contraire à l'article 96 de la Constitution promulguée en mars 2005. Sa candidature est néanmoins validée</w:t>
      </w:r>
      <w:r>
        <w:rPr>
          <w:color w:val="231F20"/>
          <w:spacing w:val="40"/>
        </w:rPr>
        <w:t> </w:t>
      </w:r>
      <w:r>
        <w:rPr>
          <w:color w:val="231F20"/>
        </w:rPr>
        <w:t>par</w:t>
      </w:r>
      <w:r>
        <w:rPr>
          <w:color w:val="231F20"/>
          <w:spacing w:val="40"/>
        </w:rPr>
        <w:t> </w:t>
      </w:r>
      <w:r>
        <w:rPr>
          <w:color w:val="231F20"/>
        </w:rPr>
        <w:t>une</w:t>
      </w:r>
      <w:r>
        <w:rPr>
          <w:color w:val="231F20"/>
          <w:spacing w:val="40"/>
        </w:rPr>
        <w:t> </w:t>
      </w:r>
      <w:r>
        <w:rPr>
          <w:color w:val="231F20"/>
        </w:rPr>
        <w:t>décision</w:t>
      </w:r>
      <w:r>
        <w:rPr>
          <w:color w:val="231F20"/>
          <w:spacing w:val="40"/>
        </w:rPr>
        <w:t> </w:t>
      </w:r>
      <w:r>
        <w:rPr>
          <w:color w:val="231F20"/>
        </w:rPr>
        <w:t>controversée</w:t>
      </w:r>
      <w:r>
        <w:rPr>
          <w:color w:val="231F20"/>
          <w:spacing w:val="40"/>
        </w:rPr>
        <w:t> </w:t>
      </w:r>
      <w:r>
        <w:rPr>
          <w:color w:val="231F20"/>
        </w:rPr>
        <w:t>de</w:t>
      </w:r>
      <w:r>
        <w:rPr>
          <w:color w:val="231F20"/>
          <w:spacing w:val="40"/>
        </w:rPr>
        <w:t> </w:t>
      </w:r>
      <w:r>
        <w:rPr>
          <w:color w:val="231F20"/>
        </w:rPr>
        <w:t>la</w:t>
      </w:r>
      <w:r>
        <w:rPr>
          <w:color w:val="231F20"/>
          <w:spacing w:val="-15"/>
        </w:rPr>
        <w:t> </w:t>
      </w:r>
      <w:r>
        <w:rPr>
          <w:color w:val="231F20"/>
        </w:rPr>
        <w:t>Cour</w:t>
      </w:r>
      <w:r>
        <w:rPr>
          <w:color w:val="231F20"/>
          <w:spacing w:val="40"/>
        </w:rPr>
        <w:t> </w:t>
      </w:r>
      <w:r>
        <w:rPr>
          <w:color w:val="231F20"/>
        </w:rPr>
        <w:t>constitutionnelle. Le 6 janvier</w:t>
      </w:r>
      <w:r>
        <w:rPr>
          <w:color w:val="231F20"/>
          <w:spacing w:val="-15"/>
        </w:rPr>
        <w:t> </w:t>
      </w:r>
      <w:r>
        <w:rPr>
          <w:color w:val="231F20"/>
        </w:rPr>
        <w:t>2016, le chef des opérations de maintien de la paix des Nations-Unies dénonce les</w:t>
      </w:r>
      <w:r>
        <w:rPr>
          <w:color w:val="231F20"/>
          <w:spacing w:val="3"/>
        </w:rPr>
        <w:t> </w:t>
      </w:r>
      <w:r>
        <w:rPr>
          <w:color w:val="231F20"/>
        </w:rPr>
        <w:t>violences</w:t>
      </w:r>
      <w:r>
        <w:rPr>
          <w:color w:val="231F20"/>
          <w:spacing w:val="1"/>
        </w:rPr>
        <w:t> </w:t>
      </w:r>
      <w:r>
        <w:rPr>
          <w:color w:val="231F20"/>
        </w:rPr>
        <w:t>qui</w:t>
      </w:r>
      <w:r>
        <w:rPr>
          <w:color w:val="231F20"/>
          <w:spacing w:val="1"/>
        </w:rPr>
        <w:t> </w:t>
      </w:r>
      <w:r>
        <w:rPr>
          <w:color w:val="231F20"/>
        </w:rPr>
        <w:t>ne</w:t>
      </w:r>
      <w:r>
        <w:rPr>
          <w:color w:val="231F20"/>
          <w:spacing w:val="3"/>
        </w:rPr>
        <w:t> </w:t>
      </w:r>
      <w:r>
        <w:rPr>
          <w:color w:val="231F20"/>
        </w:rPr>
        <w:t>cessent</w:t>
      </w:r>
      <w:r>
        <w:rPr>
          <w:color w:val="231F20"/>
          <w:spacing w:val="1"/>
        </w:rPr>
        <w:t> </w:t>
      </w:r>
      <w:r>
        <w:rPr>
          <w:color w:val="231F20"/>
        </w:rPr>
        <w:t>d’augmenter</w:t>
      </w:r>
      <w:r>
        <w:rPr>
          <w:color w:val="231F20"/>
          <w:spacing w:val="2"/>
        </w:rPr>
        <w:t> </w:t>
      </w:r>
      <w:r>
        <w:rPr>
          <w:color w:val="231F20"/>
        </w:rPr>
        <w:t>et</w:t>
      </w:r>
      <w:r>
        <w:rPr>
          <w:color w:val="231F20"/>
          <w:spacing w:val="2"/>
        </w:rPr>
        <w:t> </w:t>
      </w:r>
      <w:r>
        <w:rPr>
          <w:color w:val="231F20"/>
          <w:spacing w:val="-5"/>
        </w:rPr>
        <w:t>les</w:t>
      </w:r>
    </w:p>
    <w:p>
      <w:pPr>
        <w:spacing w:after="0"/>
        <w:sectPr>
          <w:pgSz w:w="8790" w:h="13610"/>
          <w:pgMar w:header="0" w:footer="802" w:top="1060" w:bottom="1000" w:left="880" w:right="880"/>
        </w:sectPr>
      </w:pPr>
    </w:p>
    <w:p>
      <w:pPr>
        <w:pStyle w:val="BodyText"/>
        <w:spacing w:before="66"/>
        <w:ind w:right="108"/>
      </w:pPr>
      <w:r>
        <w:rPr>
          <w:color w:val="231F20"/>
        </w:rPr>
        <w:t>membres</w:t>
      </w:r>
      <w:r>
        <w:rPr>
          <w:color w:val="231F20"/>
          <w:spacing w:val="-15"/>
        </w:rPr>
        <w:t> </w:t>
      </w:r>
      <w:r>
        <w:rPr>
          <w:color w:val="231F20"/>
        </w:rPr>
        <w:t>de</w:t>
      </w:r>
      <w:r>
        <w:rPr>
          <w:color w:val="231F20"/>
          <w:spacing w:val="-15"/>
        </w:rPr>
        <w:t> </w:t>
      </w:r>
      <w:r>
        <w:rPr>
          <w:color w:val="231F20"/>
        </w:rPr>
        <w:t>l’opposition</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société</w:t>
      </w:r>
      <w:r>
        <w:rPr>
          <w:color w:val="231F20"/>
          <w:spacing w:val="-15"/>
        </w:rPr>
        <w:t> </w:t>
      </w:r>
      <w:r>
        <w:rPr>
          <w:color w:val="231F20"/>
        </w:rPr>
        <w:t>civile</w:t>
      </w:r>
      <w:r>
        <w:rPr>
          <w:color w:val="231F20"/>
          <w:spacing w:val="-15"/>
        </w:rPr>
        <w:t> </w:t>
      </w:r>
      <w:r>
        <w:rPr>
          <w:color w:val="231F20"/>
        </w:rPr>
        <w:t>qui</w:t>
      </w:r>
      <w:r>
        <w:rPr>
          <w:color w:val="231F20"/>
          <w:spacing w:val="-15"/>
        </w:rPr>
        <w:t> </w:t>
      </w:r>
      <w:r>
        <w:rPr>
          <w:color w:val="231F20"/>
        </w:rPr>
        <w:t>continuent</w:t>
      </w:r>
      <w:r>
        <w:rPr>
          <w:color w:val="231F20"/>
          <w:spacing w:val="-15"/>
        </w:rPr>
        <w:t> </w:t>
      </w:r>
      <w:r>
        <w:rPr>
          <w:color w:val="231F20"/>
        </w:rPr>
        <w:t>d’être</w:t>
      </w:r>
      <w:r>
        <w:rPr>
          <w:color w:val="231F20"/>
          <w:spacing w:val="-15"/>
        </w:rPr>
        <w:t> </w:t>
      </w:r>
      <w:r>
        <w:rPr>
          <w:color w:val="231F20"/>
        </w:rPr>
        <w:t>pris pour</w:t>
      </w:r>
      <w:r>
        <w:rPr>
          <w:color w:val="231F20"/>
          <w:spacing w:val="-15"/>
        </w:rPr>
        <w:t> </w:t>
      </w:r>
      <w:r>
        <w:rPr>
          <w:color w:val="231F20"/>
        </w:rPr>
        <w:t>cible</w:t>
      </w:r>
      <w:r>
        <w:rPr>
          <w:color w:val="231F20"/>
          <w:spacing w:val="-15"/>
        </w:rPr>
        <w:t> </w:t>
      </w:r>
      <w:r>
        <w:rPr>
          <w:color w:val="231F20"/>
        </w:rPr>
        <w:t>par</w:t>
      </w:r>
      <w:r>
        <w:rPr>
          <w:color w:val="231F20"/>
          <w:spacing w:val="-15"/>
        </w:rPr>
        <w:t> </w:t>
      </w:r>
      <w:r>
        <w:rPr>
          <w:color w:val="231F20"/>
        </w:rPr>
        <w:t>la</w:t>
      </w:r>
      <w:r>
        <w:rPr>
          <w:color w:val="231F20"/>
          <w:spacing w:val="-15"/>
        </w:rPr>
        <w:t> </w:t>
      </w:r>
      <w:r>
        <w:rPr>
          <w:color w:val="231F20"/>
        </w:rPr>
        <w:t>police,</w:t>
      </w:r>
      <w:r>
        <w:rPr>
          <w:color w:val="231F20"/>
          <w:spacing w:val="-15"/>
        </w:rPr>
        <w:t> </w:t>
      </w:r>
      <w:r>
        <w:rPr>
          <w:color w:val="231F20"/>
        </w:rPr>
        <w:t>les</w:t>
      </w:r>
      <w:r>
        <w:rPr>
          <w:color w:val="231F20"/>
          <w:spacing w:val="-15"/>
        </w:rPr>
        <w:t> </w:t>
      </w:r>
      <w:r>
        <w:rPr>
          <w:color w:val="231F20"/>
        </w:rPr>
        <w:t>services</w:t>
      </w:r>
      <w:r>
        <w:rPr>
          <w:color w:val="231F20"/>
          <w:spacing w:val="-15"/>
        </w:rPr>
        <w:t> </w:t>
      </w:r>
      <w:r>
        <w:rPr>
          <w:color w:val="231F20"/>
        </w:rPr>
        <w:t>de</w:t>
      </w:r>
      <w:r>
        <w:rPr>
          <w:color w:val="231F20"/>
          <w:spacing w:val="-15"/>
        </w:rPr>
        <w:t> </w:t>
      </w:r>
      <w:r>
        <w:rPr>
          <w:color w:val="231F20"/>
        </w:rPr>
        <w:t>sécurité</w:t>
      </w:r>
      <w:r>
        <w:rPr>
          <w:color w:val="231F20"/>
          <w:spacing w:val="-15"/>
        </w:rPr>
        <w:t> </w:t>
      </w:r>
      <w:r>
        <w:rPr>
          <w:color w:val="231F20"/>
        </w:rPr>
        <w:t>et</w:t>
      </w:r>
      <w:r>
        <w:rPr>
          <w:color w:val="231F20"/>
          <w:spacing w:val="-15"/>
        </w:rPr>
        <w:t> </w:t>
      </w:r>
      <w:r>
        <w:rPr>
          <w:color w:val="231F20"/>
        </w:rPr>
        <w:t>la</w:t>
      </w:r>
      <w:r>
        <w:rPr>
          <w:color w:val="231F20"/>
          <w:spacing w:val="-15"/>
        </w:rPr>
        <w:t> </w:t>
      </w:r>
      <w:r>
        <w:rPr>
          <w:color w:val="231F20"/>
        </w:rPr>
        <w:t>milice</w:t>
      </w:r>
      <w:r>
        <w:rPr>
          <w:color w:val="231F20"/>
          <w:spacing w:val="-15"/>
        </w:rPr>
        <w:t> </w:t>
      </w:r>
      <w:r>
        <w:rPr>
          <w:color w:val="231F20"/>
        </w:rPr>
        <w:t>des</w:t>
      </w:r>
      <w:r>
        <w:rPr>
          <w:color w:val="231F20"/>
          <w:spacing w:val="-15"/>
        </w:rPr>
        <w:t> </w:t>
      </w:r>
      <w:r>
        <w:rPr>
          <w:color w:val="231F20"/>
        </w:rPr>
        <w:t>jeunes</w:t>
      </w:r>
      <w:r>
        <w:rPr>
          <w:color w:val="231F20"/>
          <w:spacing w:val="-15"/>
        </w:rPr>
        <w:t> </w:t>
      </w:r>
      <w:r>
        <w:rPr>
          <w:color w:val="231F20"/>
        </w:rPr>
        <w:t>du parti CNDD-FDD au pouvoir.</w:t>
      </w:r>
    </w:p>
    <w:p>
      <w:pPr>
        <w:pStyle w:val="BodyText"/>
        <w:spacing w:before="120"/>
        <w:ind w:right="102" w:firstLine="283"/>
      </w:pPr>
      <w:r>
        <w:rPr>
          <w:color w:val="231F20"/>
          <w:spacing w:val="-4"/>
        </w:rPr>
        <w:t>Le</w:t>
      </w:r>
      <w:r>
        <w:rPr>
          <w:color w:val="231F20"/>
          <w:spacing w:val="-6"/>
        </w:rPr>
        <w:t> </w:t>
      </w:r>
      <w:r>
        <w:rPr>
          <w:color w:val="231F20"/>
          <w:spacing w:val="-4"/>
        </w:rPr>
        <w:t>20</w:t>
      </w:r>
      <w:r>
        <w:rPr>
          <w:color w:val="231F20"/>
          <w:spacing w:val="-6"/>
        </w:rPr>
        <w:t> </w:t>
      </w:r>
      <w:r>
        <w:rPr>
          <w:color w:val="231F20"/>
          <w:spacing w:val="-4"/>
        </w:rPr>
        <w:t>septembre, l’ONU</w:t>
      </w:r>
      <w:r>
        <w:rPr>
          <w:color w:val="231F20"/>
          <w:spacing w:val="-9"/>
        </w:rPr>
        <w:t> </w:t>
      </w:r>
      <w:r>
        <w:rPr>
          <w:color w:val="231F20"/>
          <w:spacing w:val="-4"/>
        </w:rPr>
        <w:t>publie</w:t>
      </w:r>
      <w:r>
        <w:rPr>
          <w:color w:val="231F20"/>
          <w:spacing w:val="-6"/>
        </w:rPr>
        <w:t> </w:t>
      </w:r>
      <w:r>
        <w:rPr>
          <w:color w:val="231F20"/>
          <w:spacing w:val="-4"/>
        </w:rPr>
        <w:t>un</w:t>
      </w:r>
      <w:r>
        <w:rPr>
          <w:color w:val="231F20"/>
          <w:spacing w:val="-6"/>
        </w:rPr>
        <w:t> </w:t>
      </w:r>
      <w:r>
        <w:rPr>
          <w:color w:val="231F20"/>
          <w:spacing w:val="-4"/>
        </w:rPr>
        <w:t>rapport</w:t>
      </w:r>
      <w:r>
        <w:rPr>
          <w:color w:val="231F20"/>
          <w:spacing w:val="-6"/>
        </w:rPr>
        <w:t> </w:t>
      </w:r>
      <w:r>
        <w:rPr>
          <w:color w:val="231F20"/>
          <w:spacing w:val="-4"/>
        </w:rPr>
        <w:t>dénonçant</w:t>
      </w:r>
      <w:r>
        <w:rPr>
          <w:color w:val="231F20"/>
          <w:spacing w:val="-6"/>
        </w:rPr>
        <w:t> </w:t>
      </w:r>
      <w:r>
        <w:rPr>
          <w:color w:val="231F20"/>
          <w:spacing w:val="-4"/>
        </w:rPr>
        <w:t>des</w:t>
      </w:r>
      <w:r>
        <w:rPr>
          <w:color w:val="231F20"/>
          <w:spacing w:val="-6"/>
        </w:rPr>
        <w:t> </w:t>
      </w:r>
      <w:r>
        <w:rPr>
          <w:color w:val="231F20"/>
          <w:spacing w:val="-4"/>
        </w:rPr>
        <w:t>violences</w:t>
      </w:r>
      <w:r>
        <w:rPr>
          <w:color w:val="231F20"/>
          <w:spacing w:val="-6"/>
        </w:rPr>
        <w:t> </w:t>
      </w:r>
      <w:r>
        <w:rPr>
          <w:color w:val="231F20"/>
          <w:spacing w:val="-4"/>
        </w:rPr>
        <w:t>de </w:t>
      </w:r>
      <w:r>
        <w:rPr>
          <w:color w:val="231F20"/>
        </w:rPr>
        <w:t>masse et parlant de graves violations des droits de l’homme, qui </w:t>
      </w:r>
      <w:r>
        <w:rPr>
          <w:color w:val="231F20"/>
          <w:spacing w:val="-2"/>
        </w:rPr>
        <w:t>constitueraient</w:t>
      </w:r>
      <w:r>
        <w:rPr>
          <w:color w:val="231F20"/>
          <w:spacing w:val="-15"/>
        </w:rPr>
        <w:t> </w:t>
      </w:r>
      <w:r>
        <w:rPr>
          <w:color w:val="231F20"/>
          <w:spacing w:val="-2"/>
        </w:rPr>
        <w:t>de</w:t>
      </w:r>
      <w:r>
        <w:rPr>
          <w:color w:val="231F20"/>
          <w:spacing w:val="-13"/>
        </w:rPr>
        <w:t> </w:t>
      </w:r>
      <w:r>
        <w:rPr>
          <w:color w:val="231F20"/>
          <w:spacing w:val="-2"/>
        </w:rPr>
        <w:t>«</w:t>
      </w:r>
      <w:r>
        <w:rPr>
          <w:color w:val="231F20"/>
          <w:spacing w:val="-13"/>
        </w:rPr>
        <w:t> </w:t>
      </w:r>
      <w:r>
        <w:rPr>
          <w:color w:val="231F20"/>
          <w:spacing w:val="-2"/>
        </w:rPr>
        <w:t>possibles</w:t>
      </w:r>
      <w:r>
        <w:rPr>
          <w:color w:val="231F20"/>
          <w:spacing w:val="-13"/>
        </w:rPr>
        <w:t> </w:t>
      </w:r>
      <w:r>
        <w:rPr>
          <w:color w:val="231F20"/>
          <w:spacing w:val="-2"/>
        </w:rPr>
        <w:t>crimes</w:t>
      </w:r>
      <w:r>
        <w:rPr>
          <w:color w:val="231F20"/>
          <w:spacing w:val="-13"/>
        </w:rPr>
        <w:t> </w:t>
      </w:r>
      <w:r>
        <w:rPr>
          <w:color w:val="231F20"/>
          <w:spacing w:val="-2"/>
        </w:rPr>
        <w:t>contre</w:t>
      </w:r>
      <w:r>
        <w:rPr>
          <w:color w:val="231F20"/>
          <w:spacing w:val="-13"/>
        </w:rPr>
        <w:t> </w:t>
      </w:r>
      <w:r>
        <w:rPr>
          <w:color w:val="231F20"/>
          <w:spacing w:val="-2"/>
        </w:rPr>
        <w:t>l’humanité</w:t>
      </w:r>
      <w:r>
        <w:rPr>
          <w:color w:val="231F20"/>
          <w:spacing w:val="-13"/>
        </w:rPr>
        <w:t> </w:t>
      </w:r>
      <w:r>
        <w:rPr>
          <w:color w:val="231F20"/>
          <w:spacing w:val="-2"/>
        </w:rPr>
        <w:t>»,</w:t>
      </w:r>
      <w:r>
        <w:rPr>
          <w:color w:val="231F20"/>
          <w:spacing w:val="-13"/>
        </w:rPr>
        <w:t> </w:t>
      </w:r>
      <w:r>
        <w:rPr>
          <w:color w:val="231F20"/>
          <w:spacing w:val="-2"/>
        </w:rPr>
        <w:t>commis</w:t>
      </w:r>
      <w:r>
        <w:rPr>
          <w:color w:val="231F20"/>
          <w:spacing w:val="-13"/>
        </w:rPr>
        <w:t> </w:t>
      </w:r>
      <w:r>
        <w:rPr>
          <w:color w:val="231F20"/>
          <w:spacing w:val="-2"/>
        </w:rPr>
        <w:t>d’avril </w:t>
      </w:r>
      <w:r>
        <w:rPr>
          <w:color w:val="231F20"/>
        </w:rPr>
        <w:t>2015 à fin juin 2016.</w:t>
      </w:r>
    </w:p>
    <w:p>
      <w:pPr>
        <w:pStyle w:val="BodyText"/>
        <w:spacing w:before="241"/>
        <w:ind w:left="0"/>
        <w:jc w:val="left"/>
      </w:pPr>
    </w:p>
    <w:p>
      <w:pPr>
        <w:pStyle w:val="Heading3"/>
        <w:spacing w:before="1"/>
        <w:rPr>
          <w:i/>
        </w:rPr>
      </w:pPr>
      <w:bookmarkStart w:name="_TOC_250035" w:id="8"/>
      <w:r>
        <w:rPr>
          <w:i/>
          <w:color w:val="231F20"/>
          <w:spacing w:val="-2"/>
        </w:rPr>
        <w:t>Le</w:t>
      </w:r>
      <w:r>
        <w:rPr>
          <w:i/>
          <w:color w:val="231F20"/>
          <w:spacing w:val="-8"/>
        </w:rPr>
        <w:t> </w:t>
      </w:r>
      <w:r>
        <w:rPr>
          <w:i/>
          <w:color w:val="231F20"/>
          <w:spacing w:val="-2"/>
        </w:rPr>
        <w:t>7</w:t>
      </w:r>
      <w:r>
        <w:rPr>
          <w:i/>
          <w:color w:val="231F20"/>
          <w:spacing w:val="-8"/>
        </w:rPr>
        <w:t> </w:t>
      </w:r>
      <w:r>
        <w:rPr>
          <w:i/>
          <w:color w:val="231F20"/>
          <w:spacing w:val="-2"/>
        </w:rPr>
        <w:t>octobre,</w:t>
      </w:r>
      <w:r>
        <w:rPr>
          <w:i/>
          <w:color w:val="231F20"/>
          <w:spacing w:val="-7"/>
        </w:rPr>
        <w:t> </w:t>
      </w:r>
      <w:r>
        <w:rPr>
          <w:i/>
          <w:color w:val="231F20"/>
          <w:spacing w:val="-2"/>
        </w:rPr>
        <w:t>le</w:t>
      </w:r>
      <w:r>
        <w:rPr>
          <w:i/>
          <w:color w:val="231F20"/>
          <w:spacing w:val="-9"/>
        </w:rPr>
        <w:t> </w:t>
      </w:r>
      <w:r>
        <w:rPr>
          <w:i/>
          <w:color w:val="231F20"/>
          <w:spacing w:val="-2"/>
        </w:rPr>
        <w:t>Burundi</w:t>
      </w:r>
      <w:r>
        <w:rPr>
          <w:i/>
          <w:color w:val="231F20"/>
          <w:spacing w:val="-8"/>
        </w:rPr>
        <w:t> </w:t>
      </w:r>
      <w:r>
        <w:rPr>
          <w:i/>
          <w:color w:val="231F20"/>
          <w:spacing w:val="-2"/>
        </w:rPr>
        <w:t>annonce</w:t>
      </w:r>
      <w:r>
        <w:rPr>
          <w:i/>
          <w:color w:val="231F20"/>
          <w:spacing w:val="-9"/>
        </w:rPr>
        <w:t> </w:t>
      </w:r>
      <w:r>
        <w:rPr>
          <w:i/>
          <w:color w:val="231F20"/>
          <w:spacing w:val="-2"/>
        </w:rPr>
        <w:t>son</w:t>
      </w:r>
      <w:r>
        <w:rPr>
          <w:i/>
          <w:color w:val="231F20"/>
          <w:spacing w:val="-10"/>
        </w:rPr>
        <w:t> </w:t>
      </w:r>
      <w:r>
        <w:rPr>
          <w:i/>
          <w:color w:val="231F20"/>
          <w:spacing w:val="-2"/>
        </w:rPr>
        <w:t>retrait</w:t>
      </w:r>
      <w:r>
        <w:rPr>
          <w:i/>
          <w:color w:val="231F20"/>
          <w:spacing w:val="-8"/>
        </w:rPr>
        <w:t> </w:t>
      </w:r>
      <w:r>
        <w:rPr>
          <w:i/>
          <w:color w:val="231F20"/>
          <w:spacing w:val="-2"/>
        </w:rPr>
        <w:t>de</w:t>
      </w:r>
      <w:r>
        <w:rPr>
          <w:i/>
          <w:color w:val="231F20"/>
          <w:spacing w:val="-7"/>
        </w:rPr>
        <w:t> </w:t>
      </w:r>
      <w:r>
        <w:rPr>
          <w:i/>
          <w:color w:val="231F20"/>
          <w:spacing w:val="-2"/>
        </w:rPr>
        <w:t>la</w:t>
      </w:r>
      <w:r>
        <w:rPr>
          <w:i/>
          <w:color w:val="231F20"/>
          <w:spacing w:val="-10"/>
        </w:rPr>
        <w:t> </w:t>
      </w:r>
      <w:bookmarkEnd w:id="8"/>
      <w:r>
        <w:rPr>
          <w:i/>
          <w:color w:val="231F20"/>
          <w:spacing w:val="-4"/>
        </w:rPr>
        <w:t>CPI.</w:t>
      </w:r>
    </w:p>
    <w:p>
      <w:pPr>
        <w:pStyle w:val="BodyText"/>
        <w:spacing w:before="255"/>
        <w:ind w:right="108" w:firstLine="283"/>
      </w:pPr>
      <w:r>
        <w:rPr>
          <w:color w:val="231F20"/>
        </w:rPr>
        <w:t>En octobre</w:t>
      </w:r>
      <w:r>
        <w:rPr>
          <w:color w:val="231F20"/>
          <w:spacing w:val="-15"/>
        </w:rPr>
        <w:t> </w:t>
      </w:r>
      <w:r>
        <w:rPr>
          <w:color w:val="231F20"/>
        </w:rPr>
        <w:t>2018, le régime de Nkurunziza suspend les activités des ONG étrangères qui n’appliquent pas la nouvelle loi sur les ONG imposant</w:t>
      </w:r>
      <w:r>
        <w:rPr>
          <w:color w:val="231F20"/>
          <w:spacing w:val="-7"/>
        </w:rPr>
        <w:t> </w:t>
      </w:r>
      <w:r>
        <w:rPr>
          <w:color w:val="231F20"/>
        </w:rPr>
        <w:t>notamment</w:t>
      </w:r>
      <w:r>
        <w:rPr>
          <w:color w:val="231F20"/>
          <w:spacing w:val="-5"/>
        </w:rPr>
        <w:t> </w:t>
      </w:r>
      <w:r>
        <w:rPr>
          <w:color w:val="231F20"/>
        </w:rPr>
        <w:t>des</w:t>
      </w:r>
      <w:r>
        <w:rPr>
          <w:color w:val="231F20"/>
          <w:spacing w:val="-8"/>
        </w:rPr>
        <w:t> </w:t>
      </w:r>
      <w:r>
        <w:rPr>
          <w:color w:val="231F20"/>
        </w:rPr>
        <w:t>quotas</w:t>
      </w:r>
      <w:r>
        <w:rPr>
          <w:color w:val="231F20"/>
          <w:spacing w:val="-8"/>
        </w:rPr>
        <w:t> </w:t>
      </w:r>
      <w:r>
        <w:rPr>
          <w:color w:val="231F20"/>
        </w:rPr>
        <w:t>ethniques</w:t>
      </w:r>
      <w:r>
        <w:rPr>
          <w:color w:val="231F20"/>
          <w:spacing w:val="-6"/>
        </w:rPr>
        <w:t> </w:t>
      </w:r>
      <w:r>
        <w:rPr>
          <w:color w:val="231F20"/>
        </w:rPr>
        <w:t>dans</w:t>
      </w:r>
      <w:r>
        <w:rPr>
          <w:color w:val="231F20"/>
          <w:spacing w:val="-5"/>
        </w:rPr>
        <w:t> </w:t>
      </w:r>
      <w:r>
        <w:rPr>
          <w:color w:val="231F20"/>
        </w:rPr>
        <w:t>leur</w:t>
      </w:r>
      <w:r>
        <w:rPr>
          <w:color w:val="231F20"/>
          <w:spacing w:val="-5"/>
        </w:rPr>
        <w:t> </w:t>
      </w:r>
      <w:r>
        <w:rPr>
          <w:color w:val="231F20"/>
        </w:rPr>
        <w:t>personnel.</w:t>
      </w:r>
    </w:p>
    <w:p>
      <w:pPr>
        <w:pStyle w:val="BodyText"/>
        <w:spacing w:before="120"/>
        <w:ind w:right="107" w:firstLine="283"/>
      </w:pPr>
      <w:r>
        <w:rPr>
          <w:color w:val="231F20"/>
        </w:rPr>
        <w:t>Le 7 janvier</w:t>
      </w:r>
      <w:r>
        <w:rPr>
          <w:color w:val="231F20"/>
          <w:spacing w:val="-15"/>
        </w:rPr>
        <w:t> </w:t>
      </w:r>
      <w:r>
        <w:rPr>
          <w:color w:val="231F20"/>
        </w:rPr>
        <w:t>2019, Handicap International annonce l’arrêt de son programme au Burundi, disant refuser de se conformer au fichage ethnique imposé par la</w:t>
      </w:r>
      <w:r>
        <w:rPr>
          <w:color w:val="231F20"/>
          <w:spacing w:val="-3"/>
        </w:rPr>
        <w:t> </w:t>
      </w:r>
      <w:r>
        <w:rPr>
          <w:color w:val="231F20"/>
        </w:rPr>
        <w:t>nouvelle</w:t>
      </w:r>
      <w:r>
        <w:rPr>
          <w:color w:val="231F20"/>
          <w:spacing w:val="-2"/>
        </w:rPr>
        <w:t> </w:t>
      </w:r>
      <w:r>
        <w:rPr>
          <w:color w:val="231F20"/>
        </w:rPr>
        <w:t>loi burundaise.</w:t>
      </w:r>
    </w:p>
    <w:p>
      <w:pPr>
        <w:pStyle w:val="BodyText"/>
        <w:spacing w:before="120"/>
        <w:ind w:right="105" w:firstLine="283"/>
      </w:pPr>
      <w:r>
        <w:rPr>
          <w:color w:val="231F20"/>
        </w:rPr>
        <w:t>Le</w:t>
      </w:r>
      <w:r>
        <w:rPr>
          <w:color w:val="231F20"/>
          <w:spacing w:val="-15"/>
        </w:rPr>
        <w:t> </w:t>
      </w:r>
      <w:r>
        <w:rPr>
          <w:color w:val="231F20"/>
        </w:rPr>
        <w:t>26 janvier 2020, le CNDD-FDD choisit</w:t>
      </w:r>
      <w:r>
        <w:rPr>
          <w:color w:val="231F20"/>
          <w:spacing w:val="-15"/>
        </w:rPr>
        <w:t> </w:t>
      </w:r>
      <w:r>
        <w:rPr>
          <w:color w:val="231F20"/>
        </w:rPr>
        <w:t>Évariste Ndayishimiye comme candidat à l'élection présidentielle de 2020</w:t>
      </w:r>
      <w:r>
        <w:rPr>
          <w:color w:val="231F20"/>
          <w:spacing w:val="-12"/>
        </w:rPr>
        <w:t> </w:t>
      </w:r>
      <w:r>
        <w:rPr>
          <w:color w:val="231F20"/>
        </w:rPr>
        <w:t>pour succéder à Nkurunziza.</w:t>
      </w:r>
      <w:r>
        <w:rPr>
          <w:color w:val="231F20"/>
          <w:spacing w:val="-2"/>
        </w:rPr>
        <w:t> </w:t>
      </w:r>
      <w:r>
        <w:rPr>
          <w:color w:val="231F20"/>
        </w:rPr>
        <w:t>Il</w:t>
      </w:r>
      <w:r>
        <w:rPr>
          <w:color w:val="231F20"/>
          <w:spacing w:val="-2"/>
        </w:rPr>
        <w:t> </w:t>
      </w:r>
      <w:r>
        <w:rPr>
          <w:color w:val="231F20"/>
        </w:rPr>
        <w:t>est</w:t>
      </w:r>
      <w:r>
        <w:rPr>
          <w:color w:val="231F20"/>
          <w:spacing w:val="-2"/>
        </w:rPr>
        <w:t> </w:t>
      </w:r>
      <w:r>
        <w:rPr>
          <w:color w:val="231F20"/>
        </w:rPr>
        <w:t>élu</w:t>
      </w:r>
      <w:r>
        <w:rPr>
          <w:color w:val="231F20"/>
          <w:spacing w:val="-2"/>
        </w:rPr>
        <w:t> </w:t>
      </w:r>
      <w:r>
        <w:rPr>
          <w:color w:val="231F20"/>
        </w:rPr>
        <w:t>le</w:t>
      </w:r>
      <w:r>
        <w:rPr>
          <w:color w:val="231F20"/>
          <w:spacing w:val="-4"/>
        </w:rPr>
        <w:t> </w:t>
      </w:r>
      <w:r>
        <w:rPr>
          <w:color w:val="231F20"/>
        </w:rPr>
        <w:t>20</w:t>
      </w:r>
      <w:r>
        <w:rPr>
          <w:color w:val="231F20"/>
          <w:spacing w:val="-2"/>
        </w:rPr>
        <w:t> </w:t>
      </w:r>
      <w:r>
        <w:rPr>
          <w:color w:val="231F20"/>
        </w:rPr>
        <w:t>mai</w:t>
      </w:r>
      <w:r>
        <w:rPr>
          <w:color w:val="231F20"/>
          <w:spacing w:val="-3"/>
        </w:rPr>
        <w:t> </w:t>
      </w:r>
      <w:r>
        <w:rPr>
          <w:color w:val="231F20"/>
        </w:rPr>
        <w:t>avec</w:t>
      </w:r>
      <w:r>
        <w:rPr>
          <w:color w:val="231F20"/>
          <w:spacing w:val="-2"/>
        </w:rPr>
        <w:t> </w:t>
      </w:r>
      <w:r>
        <w:rPr>
          <w:color w:val="231F20"/>
        </w:rPr>
        <w:t>68,72</w:t>
      </w:r>
      <w:r>
        <w:rPr>
          <w:color w:val="231F20"/>
          <w:spacing w:val="-2"/>
        </w:rPr>
        <w:t> </w:t>
      </w:r>
      <w:r>
        <w:rPr>
          <w:color w:val="231F20"/>
        </w:rPr>
        <w:t>%</w:t>
      </w:r>
      <w:r>
        <w:rPr>
          <w:color w:val="231F20"/>
          <w:spacing w:val="-4"/>
        </w:rPr>
        <w:t> </w:t>
      </w:r>
      <w:r>
        <w:rPr>
          <w:color w:val="231F20"/>
        </w:rPr>
        <w:t>des</w:t>
      </w:r>
      <w:r>
        <w:rPr>
          <w:color w:val="231F20"/>
          <w:spacing w:val="-2"/>
        </w:rPr>
        <w:t> </w:t>
      </w:r>
      <w:r>
        <w:rPr>
          <w:color w:val="231F20"/>
        </w:rPr>
        <w:t>voix.</w:t>
      </w:r>
    </w:p>
    <w:p>
      <w:pPr>
        <w:spacing w:after="0"/>
        <w:sectPr>
          <w:pgSz w:w="8790" w:h="13610"/>
          <w:pgMar w:header="0" w:footer="802" w:top="1060" w:bottom="1000" w:left="880" w:right="880"/>
        </w:sectPr>
      </w:pPr>
    </w:p>
    <w:p>
      <w:pPr>
        <w:pStyle w:val="BodyText"/>
        <w:spacing w:before="4"/>
        <w:ind w:left="0"/>
        <w:jc w:val="left"/>
        <w:rPr>
          <w:sz w:val="17"/>
        </w:rPr>
      </w:pPr>
    </w:p>
    <w:p>
      <w:pPr>
        <w:spacing w:after="0"/>
        <w:jc w:val="left"/>
        <w:rPr>
          <w:sz w:val="17"/>
        </w:rPr>
        <w:sectPr>
          <w:footerReference w:type="even" r:id="rId30"/>
          <w:pgSz w:w="8790" w:h="13610"/>
          <w:pgMar w:header="0" w:footer="0" w:top="1540" w:bottom="280" w:left="880" w:right="880"/>
        </w:sectPr>
      </w:pPr>
    </w:p>
    <w:p>
      <w:pPr>
        <w:spacing w:before="88"/>
        <w:ind w:left="64" w:right="126" w:firstLine="0"/>
        <w:jc w:val="center"/>
        <w:rPr>
          <w:rFonts w:ascii="Cambria"/>
          <w:b/>
          <w:sz w:val="32"/>
        </w:rPr>
      </w:pPr>
      <w:r>
        <w:rPr>
          <w:rFonts w:ascii="Cambria"/>
          <w:b/>
          <w:color w:val="231F20"/>
          <w:spacing w:val="-4"/>
          <w:sz w:val="32"/>
        </w:rPr>
        <w:t>Chapitre</w:t>
      </w:r>
      <w:r>
        <w:rPr>
          <w:rFonts w:ascii="Cambria"/>
          <w:b/>
          <w:color w:val="231F20"/>
          <w:spacing w:val="-6"/>
          <w:sz w:val="32"/>
        </w:rPr>
        <w:t> </w:t>
      </w:r>
      <w:r>
        <w:rPr>
          <w:rFonts w:ascii="Cambria"/>
          <w:b/>
          <w:color w:val="231F20"/>
          <w:spacing w:val="-10"/>
          <w:sz w:val="32"/>
        </w:rPr>
        <w:t>2</w:t>
      </w:r>
    </w:p>
    <w:p>
      <w:pPr>
        <w:pStyle w:val="Heading1"/>
        <w:spacing w:before="1"/>
      </w:pPr>
      <w:r>
        <w:rPr>
          <w:color w:val="231F20"/>
          <w:spacing w:val="-2"/>
        </w:rPr>
        <w:t>DES</w:t>
      </w:r>
      <w:r>
        <w:rPr>
          <w:color w:val="231F20"/>
          <w:spacing w:val="-15"/>
        </w:rPr>
        <w:t> </w:t>
      </w:r>
      <w:r>
        <w:rPr>
          <w:color w:val="231F20"/>
          <w:spacing w:val="-2"/>
        </w:rPr>
        <w:t>ÉTATS</w:t>
      </w:r>
      <w:r>
        <w:rPr>
          <w:color w:val="231F20"/>
          <w:spacing w:val="-15"/>
        </w:rPr>
        <w:t> </w:t>
      </w:r>
      <w:r>
        <w:rPr>
          <w:color w:val="231F20"/>
          <w:spacing w:val="-2"/>
        </w:rPr>
        <w:t>CONFISQUÉS</w:t>
      </w:r>
    </w:p>
    <w:p>
      <w:pPr>
        <w:pStyle w:val="BodyText"/>
        <w:spacing w:before="134"/>
        <w:ind w:left="0"/>
        <w:jc w:val="left"/>
        <w:rPr>
          <w:rFonts w:ascii="Cambria"/>
          <w:b/>
          <w:sz w:val="32"/>
        </w:rPr>
      </w:pPr>
    </w:p>
    <w:p>
      <w:pPr>
        <w:pStyle w:val="Heading3"/>
        <w:ind w:left="0" w:right="108"/>
        <w:jc w:val="right"/>
        <w:rPr>
          <w:rFonts w:ascii="Times New Roman" w:hAnsi="Times New Roman"/>
          <w:i/>
        </w:rPr>
      </w:pPr>
      <w:r>
        <w:rPr>
          <w:rFonts w:ascii="Times New Roman" w:hAnsi="Times New Roman"/>
          <w:i/>
          <w:color w:val="231F20"/>
          <w:spacing w:val="-2"/>
        </w:rPr>
        <w:t>«</w:t>
      </w:r>
      <w:r>
        <w:rPr>
          <w:rFonts w:ascii="Times New Roman" w:hAnsi="Times New Roman"/>
          <w:i/>
          <w:color w:val="231F20"/>
          <w:spacing w:val="-9"/>
        </w:rPr>
        <w:t> </w:t>
      </w:r>
      <w:r>
        <w:rPr>
          <w:rFonts w:ascii="Times New Roman" w:hAnsi="Times New Roman"/>
          <w:i/>
          <w:color w:val="231F20"/>
          <w:spacing w:val="-2"/>
        </w:rPr>
        <w:t>les</w:t>
      </w:r>
      <w:r>
        <w:rPr>
          <w:rFonts w:ascii="Times New Roman" w:hAnsi="Times New Roman"/>
          <w:i/>
          <w:color w:val="231F20"/>
          <w:spacing w:val="-12"/>
        </w:rPr>
        <w:t> </w:t>
      </w:r>
      <w:r>
        <w:rPr>
          <w:rFonts w:ascii="Times New Roman" w:hAnsi="Times New Roman"/>
          <w:i/>
          <w:color w:val="231F20"/>
          <w:spacing w:val="-2"/>
        </w:rPr>
        <w:t>véritables</w:t>
      </w:r>
      <w:r>
        <w:rPr>
          <w:rFonts w:ascii="Times New Roman" w:hAnsi="Times New Roman"/>
          <w:i/>
          <w:color w:val="231F20"/>
          <w:spacing w:val="-10"/>
        </w:rPr>
        <w:t> </w:t>
      </w:r>
      <w:r>
        <w:rPr>
          <w:rFonts w:ascii="Times New Roman" w:hAnsi="Times New Roman"/>
          <w:i/>
          <w:color w:val="231F20"/>
          <w:spacing w:val="-2"/>
        </w:rPr>
        <w:t>accords</w:t>
      </w:r>
      <w:r>
        <w:rPr>
          <w:rFonts w:ascii="Times New Roman" w:hAnsi="Times New Roman"/>
          <w:i/>
          <w:color w:val="231F20"/>
          <w:spacing w:val="-12"/>
        </w:rPr>
        <w:t> </w:t>
      </w:r>
      <w:r>
        <w:rPr>
          <w:rFonts w:ascii="Times New Roman" w:hAnsi="Times New Roman"/>
          <w:i/>
          <w:color w:val="231F20"/>
          <w:spacing w:val="-2"/>
        </w:rPr>
        <w:t>sont</w:t>
      </w:r>
      <w:r>
        <w:rPr>
          <w:rFonts w:ascii="Times New Roman" w:hAnsi="Times New Roman"/>
          <w:i/>
          <w:color w:val="231F20"/>
          <w:spacing w:val="-11"/>
        </w:rPr>
        <w:t> </w:t>
      </w:r>
      <w:r>
        <w:rPr>
          <w:rFonts w:ascii="Times New Roman" w:hAnsi="Times New Roman"/>
          <w:i/>
          <w:color w:val="231F20"/>
          <w:spacing w:val="-2"/>
        </w:rPr>
        <w:t>les</w:t>
      </w:r>
      <w:r>
        <w:rPr>
          <w:rFonts w:ascii="Times New Roman" w:hAnsi="Times New Roman"/>
          <w:i/>
          <w:color w:val="231F20"/>
          <w:spacing w:val="-12"/>
        </w:rPr>
        <w:t> </w:t>
      </w:r>
      <w:r>
        <w:rPr>
          <w:rFonts w:ascii="Times New Roman" w:hAnsi="Times New Roman"/>
          <w:i/>
          <w:color w:val="231F20"/>
          <w:spacing w:val="-2"/>
        </w:rPr>
        <w:t>accords</w:t>
      </w:r>
      <w:r>
        <w:rPr>
          <w:rFonts w:ascii="Times New Roman" w:hAnsi="Times New Roman"/>
          <w:i/>
          <w:color w:val="231F20"/>
          <w:spacing w:val="-10"/>
        </w:rPr>
        <w:t> </w:t>
      </w:r>
      <w:r>
        <w:rPr>
          <w:rFonts w:ascii="Times New Roman" w:hAnsi="Times New Roman"/>
          <w:i/>
          <w:color w:val="231F20"/>
          <w:spacing w:val="-2"/>
        </w:rPr>
        <w:t>en</w:t>
      </w:r>
      <w:r>
        <w:rPr>
          <w:rFonts w:ascii="Times New Roman" w:hAnsi="Times New Roman"/>
          <w:i/>
          <w:color w:val="231F20"/>
          <w:spacing w:val="-9"/>
        </w:rPr>
        <w:t> </w:t>
      </w:r>
      <w:r>
        <w:rPr>
          <w:rFonts w:ascii="Times New Roman" w:hAnsi="Times New Roman"/>
          <w:i/>
          <w:color w:val="231F20"/>
          <w:spacing w:val="-2"/>
        </w:rPr>
        <w:t>arrière-pensée</w:t>
      </w:r>
    </w:p>
    <w:p>
      <w:pPr>
        <w:spacing w:before="0"/>
        <w:ind w:left="0" w:right="109" w:firstLine="0"/>
        <w:jc w:val="right"/>
        <w:rPr>
          <w:sz w:val="24"/>
        </w:rPr>
      </w:pPr>
      <w:r>
        <w:rPr>
          <w:b/>
          <w:i/>
          <w:color w:val="231F20"/>
          <w:spacing w:val="-2"/>
          <w:sz w:val="24"/>
        </w:rPr>
        <w:t>(Paul</w:t>
      </w:r>
      <w:r>
        <w:rPr>
          <w:b/>
          <w:i/>
          <w:color w:val="231F20"/>
          <w:spacing w:val="-10"/>
          <w:sz w:val="24"/>
        </w:rPr>
        <w:t> </w:t>
      </w:r>
      <w:r>
        <w:rPr>
          <w:i/>
          <w:color w:val="231F20"/>
          <w:spacing w:val="-2"/>
          <w:sz w:val="24"/>
        </w:rPr>
        <w:t>Valéry)</w:t>
      </w:r>
      <w:r>
        <w:rPr>
          <w:color w:val="231F20"/>
          <w:spacing w:val="-2"/>
          <w:sz w:val="24"/>
          <w:vertAlign w:val="superscript"/>
        </w:rPr>
        <w:t>55</w:t>
      </w:r>
    </w:p>
    <w:p>
      <w:pPr>
        <w:pStyle w:val="BodyText"/>
        <w:spacing w:before="240"/>
        <w:ind w:left="0"/>
        <w:jc w:val="left"/>
      </w:pPr>
    </w:p>
    <w:p>
      <w:pPr>
        <w:pStyle w:val="Heading2"/>
        <w:spacing w:before="1"/>
        <w:jc w:val="both"/>
      </w:pPr>
      <w:bookmarkStart w:name="_TOC_250034" w:id="9"/>
      <w:r>
        <w:rPr>
          <w:color w:val="231F20"/>
        </w:rPr>
        <w:t>Les</w:t>
      </w:r>
      <w:r>
        <w:rPr>
          <w:color w:val="231F20"/>
          <w:spacing w:val="-11"/>
        </w:rPr>
        <w:t> </w:t>
      </w:r>
      <w:r>
        <w:rPr>
          <w:color w:val="231F20"/>
        </w:rPr>
        <w:t>ex</w:t>
      </w:r>
      <w:r>
        <w:rPr>
          <w:color w:val="231F20"/>
          <w:spacing w:val="-10"/>
        </w:rPr>
        <w:t> </w:t>
      </w:r>
      <w:bookmarkEnd w:id="9"/>
      <w:r>
        <w:rPr>
          <w:color w:val="231F20"/>
          <w:spacing w:val="-5"/>
        </w:rPr>
        <w:t>AEF</w:t>
      </w:r>
    </w:p>
    <w:p>
      <w:pPr>
        <w:pStyle w:val="BodyText"/>
        <w:spacing w:before="87"/>
        <w:ind w:left="0"/>
        <w:jc w:val="left"/>
        <w:rPr>
          <w:b/>
        </w:rPr>
      </w:pPr>
    </w:p>
    <w:p>
      <w:pPr>
        <w:pStyle w:val="Heading3"/>
        <w:rPr>
          <w:rFonts w:ascii="Times New Roman" w:hAnsi="Times New Roman"/>
          <w:b w:val="0"/>
          <w:i w:val="0"/>
        </w:rPr>
      </w:pPr>
      <w:r>
        <w:rPr>
          <w:i/>
          <w:color w:val="231F20"/>
          <w:spacing w:val="-2"/>
        </w:rPr>
        <w:t>La</w:t>
      </w:r>
      <w:r>
        <w:rPr>
          <w:i/>
          <w:color w:val="231F20"/>
          <w:spacing w:val="-9"/>
        </w:rPr>
        <w:t> </w:t>
      </w:r>
      <w:r>
        <w:rPr>
          <w:i/>
          <w:color w:val="231F20"/>
          <w:spacing w:val="-2"/>
        </w:rPr>
        <w:t>République</w:t>
      </w:r>
      <w:r>
        <w:rPr>
          <w:i/>
          <w:color w:val="231F20"/>
          <w:spacing w:val="-9"/>
        </w:rPr>
        <w:t> </w:t>
      </w:r>
      <w:r>
        <w:rPr>
          <w:i/>
          <w:color w:val="231F20"/>
          <w:spacing w:val="-2"/>
        </w:rPr>
        <w:t>du</w:t>
      </w:r>
      <w:r>
        <w:rPr>
          <w:i/>
          <w:color w:val="231F20"/>
          <w:spacing w:val="-8"/>
        </w:rPr>
        <w:t> </w:t>
      </w:r>
      <w:r>
        <w:rPr>
          <w:i/>
          <w:color w:val="231F20"/>
          <w:spacing w:val="-2"/>
        </w:rPr>
        <w:t>Congo</w:t>
      </w:r>
      <w:r>
        <w:rPr>
          <w:rFonts w:ascii="Times New Roman" w:hAnsi="Times New Roman"/>
          <w:b w:val="0"/>
          <w:i w:val="0"/>
          <w:color w:val="231F20"/>
          <w:spacing w:val="-2"/>
          <w:vertAlign w:val="superscript"/>
        </w:rPr>
        <w:t>56</w:t>
      </w:r>
    </w:p>
    <w:p>
      <w:pPr>
        <w:pStyle w:val="BodyText"/>
        <w:spacing w:line="390" w:lineRule="atLeast" w:before="139"/>
        <w:ind w:left="395" w:right="102"/>
      </w:pPr>
      <w:r>
        <w:rPr>
          <w:color w:val="231F20"/>
        </w:rPr>
        <w:t>Le 15 août 1960, la République du Congo accède à l’indépendance Plus</w:t>
      </w:r>
      <w:r>
        <w:rPr>
          <w:color w:val="231F20"/>
          <w:spacing w:val="66"/>
          <w:w w:val="150"/>
        </w:rPr>
        <w:t> </w:t>
      </w:r>
      <w:r>
        <w:rPr>
          <w:color w:val="231F20"/>
        </w:rPr>
        <w:t>connue</w:t>
      </w:r>
      <w:r>
        <w:rPr>
          <w:color w:val="231F20"/>
          <w:spacing w:val="69"/>
          <w:w w:val="150"/>
        </w:rPr>
        <w:t> </w:t>
      </w:r>
      <w:r>
        <w:rPr>
          <w:color w:val="231F20"/>
        </w:rPr>
        <w:t>sous</w:t>
      </w:r>
      <w:r>
        <w:rPr>
          <w:color w:val="231F20"/>
          <w:spacing w:val="69"/>
          <w:w w:val="150"/>
        </w:rPr>
        <w:t> </w:t>
      </w:r>
      <w:r>
        <w:rPr>
          <w:color w:val="231F20"/>
        </w:rPr>
        <w:t>l’appellation</w:t>
      </w:r>
      <w:r>
        <w:rPr>
          <w:color w:val="231F20"/>
          <w:spacing w:val="66"/>
          <w:w w:val="150"/>
        </w:rPr>
        <w:t> </w:t>
      </w:r>
      <w:r>
        <w:rPr>
          <w:color w:val="231F20"/>
        </w:rPr>
        <w:t>de</w:t>
      </w:r>
      <w:r>
        <w:rPr>
          <w:color w:val="231F20"/>
          <w:spacing w:val="69"/>
          <w:w w:val="150"/>
        </w:rPr>
        <w:t> </w:t>
      </w:r>
      <w:r>
        <w:rPr>
          <w:color w:val="231F20"/>
        </w:rPr>
        <w:t>Congo-Brazzaville</w:t>
      </w:r>
      <w:r>
        <w:rPr>
          <w:color w:val="231F20"/>
          <w:spacing w:val="69"/>
          <w:w w:val="150"/>
        </w:rPr>
        <w:t> </w:t>
      </w:r>
      <w:r>
        <w:rPr>
          <w:color w:val="231F20"/>
        </w:rPr>
        <w:t>pour</w:t>
      </w:r>
      <w:r>
        <w:rPr>
          <w:color w:val="231F20"/>
          <w:spacing w:val="69"/>
          <w:w w:val="150"/>
        </w:rPr>
        <w:t> </w:t>
      </w:r>
      <w:r>
        <w:rPr>
          <w:color w:val="231F20"/>
          <w:spacing w:val="-5"/>
        </w:rPr>
        <w:t>la</w:t>
      </w:r>
    </w:p>
    <w:p>
      <w:pPr>
        <w:pStyle w:val="BodyText"/>
        <w:spacing w:before="6"/>
        <w:ind w:left="112" w:right="108" w:hanging="1"/>
      </w:pPr>
      <w:r>
        <w:rPr>
          <w:color w:val="231F20"/>
          <w:spacing w:val="-2"/>
        </w:rPr>
        <w:t>différencier</w:t>
      </w:r>
      <w:r>
        <w:rPr>
          <w:color w:val="231F20"/>
          <w:spacing w:val="-15"/>
        </w:rPr>
        <w:t> </w:t>
      </w:r>
      <w:r>
        <w:rPr>
          <w:color w:val="231F20"/>
          <w:spacing w:val="-2"/>
        </w:rPr>
        <w:t>du</w:t>
      </w:r>
      <w:r>
        <w:rPr>
          <w:color w:val="231F20"/>
          <w:spacing w:val="-13"/>
        </w:rPr>
        <w:t> </w:t>
      </w:r>
      <w:r>
        <w:rPr>
          <w:color w:val="231F20"/>
          <w:spacing w:val="-2"/>
        </w:rPr>
        <w:t>grand</w:t>
      </w:r>
      <w:r>
        <w:rPr>
          <w:color w:val="231F20"/>
          <w:spacing w:val="-13"/>
        </w:rPr>
        <w:t> </w:t>
      </w:r>
      <w:r>
        <w:rPr>
          <w:color w:val="231F20"/>
          <w:spacing w:val="-2"/>
        </w:rPr>
        <w:t>voisin</w:t>
      </w:r>
      <w:r>
        <w:rPr>
          <w:color w:val="231F20"/>
          <w:spacing w:val="-13"/>
        </w:rPr>
        <w:t> </w:t>
      </w:r>
      <w:r>
        <w:rPr>
          <w:color w:val="231F20"/>
          <w:spacing w:val="-2"/>
        </w:rPr>
        <w:t>le</w:t>
      </w:r>
      <w:r>
        <w:rPr>
          <w:color w:val="231F20"/>
          <w:spacing w:val="-13"/>
        </w:rPr>
        <w:t> </w:t>
      </w:r>
      <w:r>
        <w:rPr>
          <w:color w:val="231F20"/>
          <w:spacing w:val="-2"/>
        </w:rPr>
        <w:t>Congo-Kinshasa,</w:t>
      </w:r>
      <w:r>
        <w:rPr>
          <w:color w:val="231F20"/>
          <w:spacing w:val="-13"/>
        </w:rPr>
        <w:t> </w:t>
      </w:r>
      <w:r>
        <w:rPr>
          <w:color w:val="231F20"/>
          <w:spacing w:val="-2"/>
        </w:rPr>
        <w:t>la</w:t>
      </w:r>
      <w:r>
        <w:rPr>
          <w:color w:val="231F20"/>
          <w:spacing w:val="-13"/>
        </w:rPr>
        <w:t> </w:t>
      </w:r>
      <w:r>
        <w:rPr>
          <w:color w:val="231F20"/>
          <w:spacing w:val="-2"/>
        </w:rPr>
        <w:t>République</w:t>
      </w:r>
      <w:r>
        <w:rPr>
          <w:color w:val="231F20"/>
          <w:spacing w:val="-13"/>
        </w:rPr>
        <w:t> </w:t>
      </w:r>
      <w:r>
        <w:rPr>
          <w:color w:val="231F20"/>
          <w:spacing w:val="-2"/>
        </w:rPr>
        <w:t>du</w:t>
      </w:r>
      <w:r>
        <w:rPr>
          <w:color w:val="231F20"/>
          <w:spacing w:val="-13"/>
        </w:rPr>
        <w:t> </w:t>
      </w:r>
      <w:r>
        <w:rPr>
          <w:color w:val="231F20"/>
          <w:spacing w:val="-2"/>
        </w:rPr>
        <w:t>Congo </w:t>
      </w:r>
      <w:r>
        <w:rPr>
          <w:color w:val="231F20"/>
        </w:rPr>
        <w:t>a aussi été connue sous le nom de République Populaire du Congo de 1969 à</w:t>
      </w:r>
      <w:r>
        <w:rPr>
          <w:color w:val="231F20"/>
          <w:spacing w:val="-2"/>
        </w:rPr>
        <w:t> </w:t>
      </w:r>
      <w:r>
        <w:rPr>
          <w:color w:val="231F20"/>
        </w:rPr>
        <w:t>1992</w:t>
      </w:r>
      <w:r>
        <w:rPr>
          <w:color w:val="231F20"/>
          <w:spacing w:val="-2"/>
        </w:rPr>
        <w:t> </w:t>
      </w:r>
      <w:r>
        <w:rPr>
          <w:color w:val="231F20"/>
        </w:rPr>
        <w:t>avant</w:t>
      </w:r>
      <w:r>
        <w:rPr>
          <w:color w:val="231F20"/>
          <w:spacing w:val="-2"/>
        </w:rPr>
        <w:t> </w:t>
      </w:r>
      <w:r>
        <w:rPr>
          <w:color w:val="231F20"/>
        </w:rPr>
        <w:t>de reprendre son</w:t>
      </w:r>
      <w:r>
        <w:rPr>
          <w:color w:val="231F20"/>
          <w:spacing w:val="-2"/>
        </w:rPr>
        <w:t> </w:t>
      </w:r>
      <w:r>
        <w:rPr>
          <w:color w:val="231F20"/>
        </w:rPr>
        <w:t>nom</w:t>
      </w:r>
      <w:r>
        <w:rPr>
          <w:color w:val="231F20"/>
          <w:spacing w:val="-1"/>
        </w:rPr>
        <w:t> </w:t>
      </w:r>
      <w:r>
        <w:rPr>
          <w:color w:val="231F20"/>
        </w:rPr>
        <w:t>d’origine.</w:t>
      </w:r>
    </w:p>
    <w:p>
      <w:pPr>
        <w:pStyle w:val="BodyText"/>
        <w:spacing w:before="120"/>
        <w:ind w:left="112" w:right="104" w:firstLine="283"/>
      </w:pPr>
      <w:r>
        <w:rPr>
          <w:color w:val="231F20"/>
          <w:spacing w:val="-4"/>
        </w:rPr>
        <w:t>L’abbé</w:t>
      </w:r>
      <w:r>
        <w:rPr>
          <w:color w:val="231F20"/>
          <w:spacing w:val="-5"/>
        </w:rPr>
        <w:t> </w:t>
      </w:r>
      <w:r>
        <w:rPr>
          <w:color w:val="231F20"/>
          <w:spacing w:val="-4"/>
        </w:rPr>
        <w:t>Fulbert Youlou,</w:t>
      </w:r>
      <w:r>
        <w:rPr>
          <w:color w:val="231F20"/>
          <w:spacing w:val="-6"/>
        </w:rPr>
        <w:t> </w:t>
      </w:r>
      <w:r>
        <w:rPr>
          <w:color w:val="231F20"/>
          <w:spacing w:val="-4"/>
        </w:rPr>
        <w:t>premier</w:t>
      </w:r>
      <w:r>
        <w:rPr>
          <w:color w:val="231F20"/>
          <w:spacing w:val="-7"/>
        </w:rPr>
        <w:t> </w:t>
      </w:r>
      <w:r>
        <w:rPr>
          <w:color w:val="231F20"/>
          <w:spacing w:val="-4"/>
        </w:rPr>
        <w:t>Président</w:t>
      </w:r>
      <w:r>
        <w:rPr>
          <w:color w:val="231F20"/>
          <w:spacing w:val="-5"/>
        </w:rPr>
        <w:t> </w:t>
      </w:r>
      <w:r>
        <w:rPr>
          <w:color w:val="231F20"/>
          <w:spacing w:val="-4"/>
        </w:rPr>
        <w:t>de</w:t>
      </w:r>
      <w:r>
        <w:rPr>
          <w:color w:val="231F20"/>
          <w:spacing w:val="-7"/>
        </w:rPr>
        <w:t> </w:t>
      </w:r>
      <w:r>
        <w:rPr>
          <w:color w:val="231F20"/>
          <w:spacing w:val="-4"/>
        </w:rPr>
        <w:t>la</w:t>
      </w:r>
      <w:r>
        <w:rPr>
          <w:color w:val="231F20"/>
          <w:spacing w:val="-5"/>
        </w:rPr>
        <w:t> </w:t>
      </w:r>
      <w:r>
        <w:rPr>
          <w:color w:val="231F20"/>
          <w:spacing w:val="-4"/>
        </w:rPr>
        <w:t>nouvelle</w:t>
      </w:r>
      <w:r>
        <w:rPr>
          <w:color w:val="231F20"/>
          <w:spacing w:val="-7"/>
        </w:rPr>
        <w:t> </w:t>
      </w:r>
      <w:r>
        <w:rPr>
          <w:color w:val="231F20"/>
          <w:spacing w:val="-4"/>
        </w:rPr>
        <w:t>République</w:t>
      </w:r>
      <w:r>
        <w:rPr>
          <w:color w:val="231F20"/>
          <w:spacing w:val="-5"/>
        </w:rPr>
        <w:t> </w:t>
      </w:r>
      <w:r>
        <w:rPr>
          <w:color w:val="231F20"/>
          <w:spacing w:val="-4"/>
        </w:rPr>
        <w:t>a </w:t>
      </w:r>
      <w:r>
        <w:rPr>
          <w:color w:val="231F20"/>
          <w:spacing w:val="-2"/>
        </w:rPr>
        <w:t>étudié</w:t>
      </w:r>
      <w:r>
        <w:rPr>
          <w:color w:val="231F20"/>
          <w:spacing w:val="-6"/>
        </w:rPr>
        <w:t> </w:t>
      </w:r>
      <w:r>
        <w:rPr>
          <w:color w:val="231F20"/>
          <w:spacing w:val="-2"/>
        </w:rPr>
        <w:t>au</w:t>
      </w:r>
      <w:r>
        <w:rPr>
          <w:color w:val="231F20"/>
          <w:spacing w:val="-9"/>
        </w:rPr>
        <w:t> </w:t>
      </w:r>
      <w:r>
        <w:rPr>
          <w:color w:val="231F20"/>
          <w:spacing w:val="-2"/>
        </w:rPr>
        <w:t>Petit</w:t>
      </w:r>
      <w:r>
        <w:rPr>
          <w:color w:val="231F20"/>
          <w:spacing w:val="-7"/>
        </w:rPr>
        <w:t> </w:t>
      </w:r>
      <w:r>
        <w:rPr>
          <w:color w:val="231F20"/>
          <w:spacing w:val="-2"/>
        </w:rPr>
        <w:t>séminaire</w:t>
      </w:r>
      <w:r>
        <w:rPr>
          <w:color w:val="231F20"/>
          <w:spacing w:val="-9"/>
        </w:rPr>
        <w:t> </w:t>
      </w:r>
      <w:r>
        <w:rPr>
          <w:color w:val="231F20"/>
          <w:spacing w:val="-2"/>
        </w:rPr>
        <w:t>de</w:t>
      </w:r>
      <w:r>
        <w:rPr>
          <w:color w:val="231F20"/>
          <w:spacing w:val="-6"/>
        </w:rPr>
        <w:t> </w:t>
      </w:r>
      <w:r>
        <w:rPr>
          <w:color w:val="231F20"/>
          <w:spacing w:val="-2"/>
        </w:rPr>
        <w:t>Brazzaville,</w:t>
      </w:r>
      <w:r>
        <w:rPr>
          <w:color w:val="231F20"/>
          <w:spacing w:val="-6"/>
        </w:rPr>
        <w:t> </w:t>
      </w:r>
      <w:r>
        <w:rPr>
          <w:color w:val="231F20"/>
          <w:spacing w:val="-2"/>
        </w:rPr>
        <w:t>au</w:t>
      </w:r>
      <w:r>
        <w:rPr>
          <w:color w:val="231F20"/>
          <w:spacing w:val="-9"/>
        </w:rPr>
        <w:t> </w:t>
      </w:r>
      <w:r>
        <w:rPr>
          <w:color w:val="231F20"/>
          <w:spacing w:val="-2"/>
        </w:rPr>
        <w:t>grand</w:t>
      </w:r>
      <w:r>
        <w:rPr>
          <w:color w:val="231F20"/>
          <w:spacing w:val="-6"/>
        </w:rPr>
        <w:t> </w:t>
      </w:r>
      <w:r>
        <w:rPr>
          <w:color w:val="231F20"/>
          <w:spacing w:val="-2"/>
        </w:rPr>
        <w:t>séminaire</w:t>
      </w:r>
      <w:r>
        <w:rPr>
          <w:color w:val="231F20"/>
          <w:spacing w:val="-9"/>
        </w:rPr>
        <w:t> </w:t>
      </w:r>
      <w:r>
        <w:rPr>
          <w:color w:val="231F20"/>
          <w:spacing w:val="-2"/>
        </w:rPr>
        <w:t>de</w:t>
      </w:r>
      <w:r>
        <w:rPr>
          <w:color w:val="231F20"/>
          <w:spacing w:val="-8"/>
        </w:rPr>
        <w:t> </w:t>
      </w:r>
      <w:r>
        <w:rPr>
          <w:color w:val="231F20"/>
          <w:spacing w:val="-2"/>
        </w:rPr>
        <w:t>Yaoundé </w:t>
      </w:r>
      <w:r>
        <w:rPr>
          <w:color w:val="231F20"/>
        </w:rPr>
        <w:t>et</w:t>
      </w:r>
      <w:r>
        <w:rPr>
          <w:color w:val="231F20"/>
          <w:spacing w:val="-8"/>
        </w:rPr>
        <w:t> </w:t>
      </w:r>
      <w:r>
        <w:rPr>
          <w:color w:val="231F20"/>
        </w:rPr>
        <w:t>à</w:t>
      </w:r>
      <w:r>
        <w:rPr>
          <w:color w:val="231F20"/>
          <w:spacing w:val="-11"/>
        </w:rPr>
        <w:t> </w:t>
      </w:r>
      <w:r>
        <w:rPr>
          <w:color w:val="231F20"/>
        </w:rPr>
        <w:t>Libreville</w:t>
      </w:r>
      <w:r>
        <w:rPr>
          <w:color w:val="231F20"/>
          <w:spacing w:val="-9"/>
        </w:rPr>
        <w:t> </w:t>
      </w:r>
      <w:r>
        <w:rPr>
          <w:color w:val="231F20"/>
        </w:rPr>
        <w:t>(Gabon)</w:t>
      </w:r>
      <w:r>
        <w:rPr>
          <w:color w:val="231F20"/>
          <w:spacing w:val="-11"/>
        </w:rPr>
        <w:t> </w:t>
      </w:r>
      <w:r>
        <w:rPr>
          <w:color w:val="231F20"/>
        </w:rPr>
        <w:t>où</w:t>
      </w:r>
      <w:r>
        <w:rPr>
          <w:color w:val="231F20"/>
          <w:spacing w:val="-9"/>
        </w:rPr>
        <w:t> </w:t>
      </w:r>
      <w:r>
        <w:rPr>
          <w:color w:val="231F20"/>
        </w:rPr>
        <w:t>il</w:t>
      </w:r>
      <w:r>
        <w:rPr>
          <w:color w:val="231F20"/>
          <w:spacing w:val="-8"/>
        </w:rPr>
        <w:t> </w:t>
      </w:r>
      <w:r>
        <w:rPr>
          <w:color w:val="231F20"/>
        </w:rPr>
        <w:t>a</w:t>
      </w:r>
      <w:r>
        <w:rPr>
          <w:color w:val="231F20"/>
          <w:spacing w:val="-11"/>
        </w:rPr>
        <w:t> </w:t>
      </w:r>
      <w:r>
        <w:rPr>
          <w:color w:val="231F20"/>
        </w:rPr>
        <w:t>terminé</w:t>
      </w:r>
      <w:r>
        <w:rPr>
          <w:color w:val="231F20"/>
          <w:spacing w:val="-11"/>
        </w:rPr>
        <w:t> </w:t>
      </w:r>
      <w:r>
        <w:rPr>
          <w:color w:val="231F20"/>
        </w:rPr>
        <w:t>ses</w:t>
      </w:r>
      <w:r>
        <w:rPr>
          <w:color w:val="231F20"/>
          <w:spacing w:val="-10"/>
        </w:rPr>
        <w:t> </w:t>
      </w:r>
      <w:r>
        <w:rPr>
          <w:color w:val="231F20"/>
        </w:rPr>
        <w:t>études</w:t>
      </w:r>
      <w:r>
        <w:rPr>
          <w:color w:val="231F20"/>
          <w:spacing w:val="-12"/>
        </w:rPr>
        <w:t> </w:t>
      </w:r>
      <w:r>
        <w:rPr>
          <w:color w:val="231F20"/>
        </w:rPr>
        <w:t>de</w:t>
      </w:r>
      <w:r>
        <w:rPr>
          <w:color w:val="231F20"/>
          <w:spacing w:val="-9"/>
        </w:rPr>
        <w:t> </w:t>
      </w:r>
      <w:r>
        <w:rPr>
          <w:color w:val="231F20"/>
        </w:rPr>
        <w:t>théologie.</w:t>
      </w:r>
      <w:r>
        <w:rPr>
          <w:color w:val="231F20"/>
          <w:spacing w:val="-10"/>
        </w:rPr>
        <w:t> </w:t>
      </w:r>
      <w:r>
        <w:rPr>
          <w:color w:val="231F20"/>
        </w:rPr>
        <w:t>Ordonné prêtre le 9 juin 1946, l’abbé Fulbert Youlou s’intéresse surtout à la politique et présente sa candidature, au sein du collège africain, aux élections territoriales de</w:t>
      </w:r>
      <w:r>
        <w:rPr>
          <w:color w:val="231F20"/>
          <w:spacing w:val="-15"/>
        </w:rPr>
        <w:t> </w:t>
      </w:r>
      <w:r>
        <w:rPr>
          <w:color w:val="231F20"/>
        </w:rPr>
        <w:t>1947. Il enregistre un cuisant échec. Pour ses compatriotes, il est</w:t>
      </w:r>
      <w:r>
        <w:rPr>
          <w:color w:val="231F20"/>
          <w:spacing w:val="-15"/>
        </w:rPr>
        <w:t> </w:t>
      </w:r>
      <w:r>
        <w:rPr>
          <w:color w:val="231F20"/>
        </w:rPr>
        <w:t>«</w:t>
      </w:r>
      <w:r>
        <w:rPr>
          <w:color w:val="231F20"/>
          <w:spacing w:val="-15"/>
        </w:rPr>
        <w:t> </w:t>
      </w:r>
      <w:r>
        <w:rPr>
          <w:color w:val="231F20"/>
        </w:rPr>
        <w:t>l’homme de l’Église des Blancs</w:t>
      </w:r>
      <w:r>
        <w:rPr>
          <w:color w:val="231F20"/>
          <w:spacing w:val="-15"/>
        </w:rPr>
        <w:t> </w:t>
      </w:r>
      <w:r>
        <w:rPr>
          <w:color w:val="231F20"/>
        </w:rPr>
        <w:t>». Pour espérer </w:t>
      </w:r>
      <w:r>
        <w:rPr>
          <w:color w:val="231F20"/>
          <w:spacing w:val="-2"/>
        </w:rPr>
        <w:t>poursuivre</w:t>
      </w:r>
      <w:r>
        <w:rPr>
          <w:color w:val="231F20"/>
          <w:spacing w:val="-7"/>
        </w:rPr>
        <w:t> </w:t>
      </w:r>
      <w:r>
        <w:rPr>
          <w:color w:val="231F20"/>
          <w:spacing w:val="-2"/>
        </w:rPr>
        <w:t>une</w:t>
      </w:r>
      <w:r>
        <w:rPr>
          <w:color w:val="231F20"/>
          <w:spacing w:val="-5"/>
        </w:rPr>
        <w:t> </w:t>
      </w:r>
      <w:r>
        <w:rPr>
          <w:color w:val="231F20"/>
          <w:spacing w:val="-2"/>
        </w:rPr>
        <w:t>carrière</w:t>
      </w:r>
      <w:r>
        <w:rPr>
          <w:color w:val="231F20"/>
          <w:spacing w:val="-5"/>
        </w:rPr>
        <w:t> </w:t>
      </w:r>
      <w:r>
        <w:rPr>
          <w:color w:val="231F20"/>
          <w:spacing w:val="-2"/>
        </w:rPr>
        <w:t>politique,</w:t>
      </w:r>
      <w:r>
        <w:rPr>
          <w:color w:val="231F20"/>
          <w:spacing w:val="-6"/>
        </w:rPr>
        <w:t> </w:t>
      </w:r>
      <w:r>
        <w:rPr>
          <w:color w:val="231F20"/>
          <w:spacing w:val="-2"/>
        </w:rPr>
        <w:t>il</w:t>
      </w:r>
      <w:r>
        <w:rPr>
          <w:color w:val="231F20"/>
          <w:spacing w:val="-6"/>
        </w:rPr>
        <w:t> </w:t>
      </w:r>
      <w:r>
        <w:rPr>
          <w:color w:val="231F20"/>
          <w:spacing w:val="-2"/>
        </w:rPr>
        <w:t>doit</w:t>
      </w:r>
      <w:r>
        <w:rPr>
          <w:color w:val="231F20"/>
          <w:spacing w:val="-6"/>
        </w:rPr>
        <w:t> </w:t>
      </w:r>
      <w:r>
        <w:rPr>
          <w:color w:val="231F20"/>
          <w:spacing w:val="-2"/>
        </w:rPr>
        <w:t>se</w:t>
      </w:r>
      <w:r>
        <w:rPr>
          <w:color w:val="231F20"/>
          <w:spacing w:val="-8"/>
        </w:rPr>
        <w:t> </w:t>
      </w:r>
      <w:r>
        <w:rPr>
          <w:color w:val="231F20"/>
          <w:spacing w:val="-2"/>
        </w:rPr>
        <w:t>donner</w:t>
      </w:r>
      <w:r>
        <w:rPr>
          <w:color w:val="231F20"/>
          <w:spacing w:val="-7"/>
        </w:rPr>
        <w:t> </w:t>
      </w:r>
      <w:r>
        <w:rPr>
          <w:color w:val="231F20"/>
          <w:spacing w:val="-2"/>
        </w:rPr>
        <w:t>l’image</w:t>
      </w:r>
      <w:r>
        <w:rPr>
          <w:color w:val="231F20"/>
          <w:spacing w:val="-8"/>
        </w:rPr>
        <w:t> </w:t>
      </w:r>
      <w:r>
        <w:rPr>
          <w:color w:val="231F20"/>
          <w:spacing w:val="-2"/>
        </w:rPr>
        <w:t>d’un</w:t>
      </w:r>
      <w:r>
        <w:rPr>
          <w:color w:val="231F20"/>
          <w:spacing w:val="-5"/>
        </w:rPr>
        <w:t> </w:t>
      </w:r>
      <w:r>
        <w:rPr>
          <w:color w:val="231F20"/>
          <w:spacing w:val="-2"/>
        </w:rPr>
        <w:t>résistant </w:t>
      </w:r>
      <w:r>
        <w:rPr>
          <w:color w:val="231F20"/>
          <w:spacing w:val="-4"/>
        </w:rPr>
        <w:t>africain.</w:t>
      </w:r>
      <w:r>
        <w:rPr>
          <w:color w:val="231F20"/>
          <w:spacing w:val="-5"/>
        </w:rPr>
        <w:t> </w:t>
      </w:r>
      <w:r>
        <w:rPr>
          <w:color w:val="231F20"/>
          <w:spacing w:val="-4"/>
        </w:rPr>
        <w:t>Cela</w:t>
      </w:r>
      <w:r>
        <w:rPr>
          <w:color w:val="231F20"/>
          <w:spacing w:val="-6"/>
        </w:rPr>
        <w:t> </w:t>
      </w:r>
      <w:r>
        <w:rPr>
          <w:color w:val="231F20"/>
          <w:spacing w:val="-4"/>
        </w:rPr>
        <w:t>lui</w:t>
      </w:r>
      <w:r>
        <w:rPr>
          <w:color w:val="231F20"/>
          <w:spacing w:val="-5"/>
        </w:rPr>
        <w:t> </w:t>
      </w:r>
      <w:r>
        <w:rPr>
          <w:color w:val="231F20"/>
          <w:spacing w:val="-4"/>
        </w:rPr>
        <w:t>réussit. Il</w:t>
      </w:r>
      <w:r>
        <w:rPr>
          <w:color w:val="231F20"/>
          <w:spacing w:val="-5"/>
        </w:rPr>
        <w:t> </w:t>
      </w:r>
      <w:r>
        <w:rPr>
          <w:color w:val="231F20"/>
          <w:spacing w:val="-4"/>
        </w:rPr>
        <w:t>gagne</w:t>
      </w:r>
      <w:r>
        <w:rPr>
          <w:color w:val="231F20"/>
          <w:spacing w:val="-6"/>
        </w:rPr>
        <w:t> </w:t>
      </w:r>
      <w:r>
        <w:rPr>
          <w:color w:val="231F20"/>
          <w:spacing w:val="-4"/>
        </w:rPr>
        <w:t>les</w:t>
      </w:r>
      <w:r>
        <w:rPr>
          <w:color w:val="231F20"/>
          <w:spacing w:val="-5"/>
        </w:rPr>
        <w:t> </w:t>
      </w:r>
      <w:r>
        <w:rPr>
          <w:color w:val="231F20"/>
          <w:spacing w:val="-4"/>
        </w:rPr>
        <w:t>élections</w:t>
      </w:r>
      <w:r>
        <w:rPr>
          <w:color w:val="231F20"/>
          <w:spacing w:val="-5"/>
        </w:rPr>
        <w:t> </w:t>
      </w:r>
      <w:r>
        <w:rPr>
          <w:color w:val="231F20"/>
          <w:spacing w:val="-4"/>
        </w:rPr>
        <w:t>municipales</w:t>
      </w:r>
      <w:r>
        <w:rPr>
          <w:color w:val="231F20"/>
          <w:spacing w:val="-6"/>
        </w:rPr>
        <w:t> </w:t>
      </w:r>
      <w:r>
        <w:rPr>
          <w:color w:val="231F20"/>
          <w:spacing w:val="-4"/>
        </w:rPr>
        <w:t>de</w:t>
      </w:r>
      <w:r>
        <w:rPr>
          <w:color w:val="231F20"/>
          <w:spacing w:val="-6"/>
        </w:rPr>
        <w:t> </w:t>
      </w:r>
      <w:r>
        <w:rPr>
          <w:color w:val="231F20"/>
          <w:spacing w:val="-4"/>
        </w:rPr>
        <w:t>Brazzaville </w:t>
      </w:r>
      <w:r>
        <w:rPr>
          <w:color w:val="231F20"/>
        </w:rPr>
        <w:t>en 1956. Son parti, l'Union Démocratique de Défense des Intérêts Africains</w:t>
      </w:r>
      <w:r>
        <w:rPr>
          <w:color w:val="231F20"/>
          <w:spacing w:val="-15"/>
        </w:rPr>
        <w:t> </w:t>
      </w:r>
      <w:r>
        <w:rPr>
          <w:color w:val="231F20"/>
        </w:rPr>
        <w:t>(UDDIA)</w:t>
      </w:r>
      <w:r>
        <w:rPr>
          <w:color w:val="231F20"/>
          <w:spacing w:val="-13"/>
        </w:rPr>
        <w:t> </w:t>
      </w:r>
      <w:r>
        <w:rPr>
          <w:color w:val="231F20"/>
        </w:rPr>
        <w:t>remporte</w:t>
      </w:r>
      <w:r>
        <w:rPr>
          <w:color w:val="231F20"/>
          <w:spacing w:val="-13"/>
        </w:rPr>
        <w:t> </w:t>
      </w:r>
      <w:r>
        <w:rPr>
          <w:color w:val="231F20"/>
        </w:rPr>
        <w:t>22</w:t>
      </w:r>
      <w:r>
        <w:rPr>
          <w:color w:val="231F20"/>
          <w:spacing w:val="-15"/>
        </w:rPr>
        <w:t> </w:t>
      </w:r>
      <w:r>
        <w:rPr>
          <w:color w:val="231F20"/>
        </w:rPr>
        <w:t>sièges</w:t>
      </w:r>
      <w:r>
        <w:rPr>
          <w:color w:val="231F20"/>
          <w:spacing w:val="-13"/>
        </w:rPr>
        <w:t> </w:t>
      </w:r>
      <w:r>
        <w:rPr>
          <w:color w:val="231F20"/>
        </w:rPr>
        <w:t>à</w:t>
      </w:r>
      <w:r>
        <w:rPr>
          <w:color w:val="231F20"/>
          <w:spacing w:val="-15"/>
        </w:rPr>
        <w:t> </w:t>
      </w:r>
      <w:r>
        <w:rPr>
          <w:color w:val="231F20"/>
        </w:rPr>
        <w:t>l'Assemblée</w:t>
      </w:r>
      <w:r>
        <w:rPr>
          <w:color w:val="231F20"/>
          <w:spacing w:val="-13"/>
        </w:rPr>
        <w:t> </w:t>
      </w:r>
      <w:r>
        <w:rPr>
          <w:color w:val="231F20"/>
        </w:rPr>
        <w:t>territoriale</w:t>
      </w:r>
      <w:r>
        <w:rPr>
          <w:color w:val="231F20"/>
          <w:spacing w:val="-13"/>
        </w:rPr>
        <w:t> </w:t>
      </w:r>
      <w:r>
        <w:rPr>
          <w:color w:val="231F20"/>
        </w:rPr>
        <w:t>contre 23</w:t>
      </w:r>
      <w:r>
        <w:rPr>
          <w:color w:val="231F20"/>
          <w:spacing w:val="-7"/>
        </w:rPr>
        <w:t> </w:t>
      </w:r>
      <w:r>
        <w:rPr>
          <w:color w:val="231F20"/>
        </w:rPr>
        <w:t>pour</w:t>
      </w:r>
      <w:r>
        <w:rPr>
          <w:color w:val="231F20"/>
          <w:spacing w:val="-7"/>
        </w:rPr>
        <w:t> </w:t>
      </w:r>
      <w:r>
        <w:rPr>
          <w:color w:val="231F20"/>
        </w:rPr>
        <w:t>ses</w:t>
      </w:r>
      <w:r>
        <w:rPr>
          <w:color w:val="231F20"/>
          <w:spacing w:val="-8"/>
        </w:rPr>
        <w:t> </w:t>
      </w:r>
      <w:r>
        <w:rPr>
          <w:color w:val="231F20"/>
        </w:rPr>
        <w:t>opposants.</w:t>
      </w:r>
      <w:r>
        <w:rPr>
          <w:color w:val="231F20"/>
          <w:spacing w:val="-7"/>
        </w:rPr>
        <w:t> </w:t>
      </w:r>
      <w:r>
        <w:rPr>
          <w:color w:val="231F20"/>
        </w:rPr>
        <w:t>Comme</w:t>
      </w:r>
      <w:r>
        <w:rPr>
          <w:color w:val="231F20"/>
          <w:spacing w:val="-6"/>
        </w:rPr>
        <w:t> </w:t>
      </w:r>
      <w:r>
        <w:rPr>
          <w:color w:val="231F20"/>
        </w:rPr>
        <w:t>les</w:t>
      </w:r>
      <w:r>
        <w:rPr>
          <w:color w:val="231F20"/>
          <w:spacing w:val="-6"/>
        </w:rPr>
        <w:t> </w:t>
      </w:r>
      <w:r>
        <w:rPr>
          <w:color w:val="231F20"/>
        </w:rPr>
        <w:t>autres</w:t>
      </w:r>
      <w:r>
        <w:rPr>
          <w:color w:val="231F20"/>
          <w:spacing w:val="-7"/>
        </w:rPr>
        <w:t> </w:t>
      </w:r>
      <w:r>
        <w:rPr>
          <w:color w:val="231F20"/>
        </w:rPr>
        <w:t>leaders</w:t>
      </w:r>
      <w:r>
        <w:rPr>
          <w:color w:val="231F20"/>
          <w:spacing w:val="-7"/>
        </w:rPr>
        <w:t> </w:t>
      </w:r>
      <w:r>
        <w:rPr>
          <w:color w:val="231F20"/>
        </w:rPr>
        <w:t>d'Afrique</w:t>
      </w:r>
      <w:r>
        <w:rPr>
          <w:color w:val="231F20"/>
          <w:spacing w:val="-6"/>
        </w:rPr>
        <w:t> </w:t>
      </w:r>
      <w:r>
        <w:rPr>
          <w:color w:val="231F20"/>
        </w:rPr>
        <w:t>Équatoriale </w:t>
      </w:r>
      <w:r>
        <w:rPr>
          <w:color w:val="231F20"/>
          <w:spacing w:val="-2"/>
        </w:rPr>
        <w:t>Française,</w:t>
      </w:r>
      <w:r>
        <w:rPr>
          <w:color w:val="231F20"/>
          <w:spacing w:val="-7"/>
        </w:rPr>
        <w:t> </w:t>
      </w:r>
      <w:r>
        <w:rPr>
          <w:color w:val="231F20"/>
          <w:spacing w:val="-2"/>
        </w:rPr>
        <w:t>Fulbert</w:t>
      </w:r>
      <w:r>
        <w:rPr>
          <w:color w:val="231F20"/>
          <w:spacing w:val="-7"/>
        </w:rPr>
        <w:t> </w:t>
      </w:r>
      <w:r>
        <w:rPr>
          <w:color w:val="231F20"/>
          <w:spacing w:val="-2"/>
        </w:rPr>
        <w:t>Youlou</w:t>
      </w:r>
      <w:r>
        <w:rPr>
          <w:color w:val="231F20"/>
          <w:spacing w:val="-9"/>
        </w:rPr>
        <w:t> </w:t>
      </w:r>
      <w:r>
        <w:rPr>
          <w:color w:val="231F20"/>
          <w:spacing w:val="-2"/>
        </w:rPr>
        <w:t>adhère</w:t>
      </w:r>
      <w:r>
        <w:rPr>
          <w:color w:val="231F20"/>
          <w:spacing w:val="-7"/>
        </w:rPr>
        <w:t> </w:t>
      </w:r>
      <w:r>
        <w:rPr>
          <w:color w:val="231F20"/>
          <w:spacing w:val="-2"/>
        </w:rPr>
        <w:t>au</w:t>
      </w:r>
      <w:r>
        <w:rPr>
          <w:color w:val="231F20"/>
          <w:spacing w:val="-7"/>
        </w:rPr>
        <w:t> </w:t>
      </w:r>
      <w:r>
        <w:rPr>
          <w:color w:val="231F20"/>
          <w:spacing w:val="-2"/>
        </w:rPr>
        <w:t>système</w:t>
      </w:r>
      <w:r>
        <w:rPr>
          <w:color w:val="231F20"/>
          <w:spacing w:val="-7"/>
        </w:rPr>
        <w:t> </w:t>
      </w:r>
      <w:r>
        <w:rPr>
          <w:color w:val="231F20"/>
          <w:spacing w:val="-2"/>
        </w:rPr>
        <w:t>de</w:t>
      </w:r>
      <w:r>
        <w:rPr>
          <w:color w:val="231F20"/>
          <w:spacing w:val="-7"/>
        </w:rPr>
        <w:t> </w:t>
      </w:r>
      <w:r>
        <w:rPr>
          <w:color w:val="231F20"/>
          <w:spacing w:val="-2"/>
        </w:rPr>
        <w:t>décolonisation</w:t>
      </w:r>
      <w:r>
        <w:rPr>
          <w:color w:val="231F20"/>
          <w:spacing w:val="-7"/>
        </w:rPr>
        <w:t> </w:t>
      </w:r>
      <w:r>
        <w:rPr>
          <w:color w:val="231F20"/>
          <w:spacing w:val="-2"/>
        </w:rPr>
        <w:t>organisé </w:t>
      </w:r>
      <w:r>
        <w:rPr>
          <w:color w:val="231F20"/>
        </w:rPr>
        <w:t>par de Gaulle dans le cadre de la Communauté, en faisant voter favorablement</w:t>
      </w:r>
      <w:r>
        <w:rPr>
          <w:color w:val="231F20"/>
          <w:spacing w:val="-1"/>
        </w:rPr>
        <w:t> </w:t>
      </w:r>
      <w:r>
        <w:rPr>
          <w:color w:val="231F20"/>
        </w:rPr>
        <w:t>au</w:t>
      </w:r>
      <w:r>
        <w:rPr>
          <w:color w:val="231F20"/>
          <w:spacing w:val="-3"/>
        </w:rPr>
        <w:t> </w:t>
      </w:r>
      <w:r>
        <w:rPr>
          <w:color w:val="231F20"/>
        </w:rPr>
        <w:t>référendum</w:t>
      </w:r>
      <w:r>
        <w:rPr>
          <w:color w:val="231F20"/>
          <w:spacing w:val="-3"/>
        </w:rPr>
        <w:t> </w:t>
      </w:r>
      <w:r>
        <w:rPr>
          <w:color w:val="231F20"/>
        </w:rPr>
        <w:t>de</w:t>
      </w:r>
      <w:r>
        <w:rPr>
          <w:color w:val="231F20"/>
          <w:spacing w:val="-4"/>
        </w:rPr>
        <w:t> </w:t>
      </w:r>
      <w:r>
        <w:rPr>
          <w:color w:val="231F20"/>
        </w:rPr>
        <w:t>septembre</w:t>
      </w:r>
      <w:r>
        <w:rPr>
          <w:color w:val="231F20"/>
          <w:spacing w:val="-2"/>
        </w:rPr>
        <w:t> </w:t>
      </w:r>
      <w:r>
        <w:rPr>
          <w:color w:val="231F20"/>
        </w:rPr>
        <w:t>1958</w:t>
      </w:r>
      <w:r>
        <w:rPr>
          <w:color w:val="231F20"/>
          <w:spacing w:val="-3"/>
        </w:rPr>
        <w:t> </w:t>
      </w:r>
      <w:r>
        <w:rPr>
          <w:color w:val="231F20"/>
        </w:rPr>
        <w:t>:</w:t>
      </w:r>
      <w:r>
        <w:rPr>
          <w:color w:val="231F20"/>
          <w:spacing w:val="-3"/>
        </w:rPr>
        <w:t> </w:t>
      </w:r>
      <w:r>
        <w:rPr>
          <w:color w:val="231F20"/>
        </w:rPr>
        <w:t>le</w:t>
      </w:r>
      <w:r>
        <w:rPr>
          <w:color w:val="231F20"/>
          <w:spacing w:val="-4"/>
        </w:rPr>
        <w:t> </w:t>
      </w:r>
      <w:r>
        <w:rPr>
          <w:color w:val="231F20"/>
        </w:rPr>
        <w:t>oui</w:t>
      </w:r>
      <w:r>
        <w:rPr>
          <w:color w:val="231F20"/>
          <w:spacing w:val="-3"/>
        </w:rPr>
        <w:t> </w:t>
      </w:r>
      <w:r>
        <w:rPr>
          <w:color w:val="231F20"/>
        </w:rPr>
        <w:t>l'emporte</w:t>
      </w:r>
      <w:r>
        <w:rPr>
          <w:color w:val="231F20"/>
          <w:spacing w:val="-4"/>
        </w:rPr>
        <w:t> </w:t>
      </w:r>
      <w:r>
        <w:rPr>
          <w:color w:val="231F20"/>
        </w:rPr>
        <w:t>très </w:t>
      </w:r>
      <w:r>
        <w:rPr>
          <w:color w:val="231F20"/>
          <w:spacing w:val="-2"/>
        </w:rPr>
        <w:t>largement.</w:t>
      </w:r>
      <w:r>
        <w:rPr>
          <w:color w:val="231F20"/>
          <w:spacing w:val="-11"/>
        </w:rPr>
        <w:t> </w:t>
      </w:r>
      <w:r>
        <w:rPr>
          <w:color w:val="231F20"/>
          <w:spacing w:val="-2"/>
        </w:rPr>
        <w:t>Le</w:t>
      </w:r>
      <w:r>
        <w:rPr>
          <w:color w:val="231F20"/>
          <w:spacing w:val="-13"/>
        </w:rPr>
        <w:t> </w:t>
      </w:r>
      <w:r>
        <w:rPr>
          <w:color w:val="231F20"/>
          <w:spacing w:val="-2"/>
        </w:rPr>
        <w:t>28</w:t>
      </w:r>
      <w:r>
        <w:rPr>
          <w:color w:val="231F20"/>
          <w:spacing w:val="-11"/>
        </w:rPr>
        <w:t> </w:t>
      </w:r>
      <w:r>
        <w:rPr>
          <w:color w:val="231F20"/>
          <w:spacing w:val="-2"/>
        </w:rPr>
        <w:t>novembre</w:t>
      </w:r>
      <w:r>
        <w:rPr>
          <w:color w:val="231F20"/>
          <w:spacing w:val="-11"/>
        </w:rPr>
        <w:t> </w:t>
      </w:r>
      <w:r>
        <w:rPr>
          <w:color w:val="231F20"/>
          <w:spacing w:val="-2"/>
        </w:rPr>
        <w:t>1958,</w:t>
      </w:r>
      <w:r>
        <w:rPr>
          <w:color w:val="231F20"/>
          <w:spacing w:val="-13"/>
        </w:rPr>
        <w:t> </w:t>
      </w:r>
      <w:r>
        <w:rPr>
          <w:color w:val="231F20"/>
          <w:spacing w:val="-2"/>
        </w:rPr>
        <w:t>il</w:t>
      </w:r>
      <w:r>
        <w:rPr>
          <w:color w:val="231F20"/>
          <w:spacing w:val="-12"/>
        </w:rPr>
        <w:t> </w:t>
      </w:r>
      <w:r>
        <w:rPr>
          <w:color w:val="231F20"/>
          <w:spacing w:val="-2"/>
        </w:rPr>
        <w:t>fait</w:t>
      </w:r>
      <w:r>
        <w:rPr>
          <w:color w:val="231F20"/>
          <w:spacing w:val="-10"/>
        </w:rPr>
        <w:t> </w:t>
      </w:r>
      <w:r>
        <w:rPr>
          <w:color w:val="231F20"/>
          <w:spacing w:val="-2"/>
        </w:rPr>
        <w:t>proclamer</w:t>
      </w:r>
      <w:r>
        <w:rPr>
          <w:color w:val="231F20"/>
          <w:spacing w:val="-13"/>
        </w:rPr>
        <w:t> </w:t>
      </w:r>
      <w:r>
        <w:rPr>
          <w:color w:val="231F20"/>
          <w:spacing w:val="-2"/>
        </w:rPr>
        <w:t>la</w:t>
      </w:r>
      <w:r>
        <w:rPr>
          <w:color w:val="231F20"/>
          <w:spacing w:val="-11"/>
        </w:rPr>
        <w:t> </w:t>
      </w:r>
      <w:r>
        <w:rPr>
          <w:color w:val="231F20"/>
          <w:spacing w:val="-2"/>
        </w:rPr>
        <w:t>République</w:t>
      </w:r>
      <w:r>
        <w:rPr>
          <w:color w:val="231F20"/>
          <w:spacing w:val="-12"/>
        </w:rPr>
        <w:t> </w:t>
      </w:r>
      <w:r>
        <w:rPr>
          <w:color w:val="231F20"/>
          <w:spacing w:val="-2"/>
        </w:rPr>
        <w:t>par</w:t>
      </w:r>
      <w:r>
        <w:rPr>
          <w:color w:val="231F20"/>
          <w:spacing w:val="-13"/>
        </w:rPr>
        <w:t> </w:t>
      </w:r>
      <w:r>
        <w:rPr>
          <w:color w:val="231F20"/>
          <w:spacing w:val="-2"/>
        </w:rPr>
        <w:t>son </w:t>
      </w:r>
      <w:r>
        <w:rPr>
          <w:color w:val="231F20"/>
        </w:rPr>
        <w:t>seul</w:t>
      </w:r>
      <w:r>
        <w:rPr>
          <w:color w:val="231F20"/>
          <w:spacing w:val="26"/>
        </w:rPr>
        <w:t> </w:t>
      </w:r>
      <w:r>
        <w:rPr>
          <w:color w:val="231F20"/>
        </w:rPr>
        <w:t>parti.</w:t>
      </w:r>
      <w:r>
        <w:rPr>
          <w:color w:val="231F20"/>
          <w:spacing w:val="26"/>
        </w:rPr>
        <w:t> </w:t>
      </w:r>
      <w:r>
        <w:rPr>
          <w:color w:val="231F20"/>
        </w:rPr>
        <w:t>Youlou</w:t>
      </w:r>
      <w:r>
        <w:rPr>
          <w:color w:val="231F20"/>
          <w:spacing w:val="26"/>
        </w:rPr>
        <w:t> </w:t>
      </w:r>
      <w:r>
        <w:rPr>
          <w:color w:val="231F20"/>
        </w:rPr>
        <w:t>est</w:t>
      </w:r>
      <w:r>
        <w:rPr>
          <w:color w:val="231F20"/>
          <w:spacing w:val="27"/>
        </w:rPr>
        <w:t> </w:t>
      </w:r>
      <w:r>
        <w:rPr>
          <w:color w:val="231F20"/>
        </w:rPr>
        <w:t>nommé</w:t>
      </w:r>
      <w:r>
        <w:rPr>
          <w:color w:val="231F20"/>
          <w:spacing w:val="25"/>
        </w:rPr>
        <w:t> </w:t>
      </w:r>
      <w:r>
        <w:rPr>
          <w:color w:val="231F20"/>
        </w:rPr>
        <w:t>Premier</w:t>
      </w:r>
      <w:r>
        <w:rPr>
          <w:color w:val="231F20"/>
          <w:spacing w:val="26"/>
        </w:rPr>
        <w:t> </w:t>
      </w:r>
      <w:r>
        <w:rPr>
          <w:color w:val="231F20"/>
        </w:rPr>
        <w:t>ministre</w:t>
      </w:r>
      <w:r>
        <w:rPr>
          <w:color w:val="231F20"/>
          <w:spacing w:val="26"/>
        </w:rPr>
        <w:t> </w:t>
      </w:r>
      <w:r>
        <w:rPr>
          <w:color w:val="231F20"/>
        </w:rPr>
        <w:t>le</w:t>
      </w:r>
      <w:r>
        <w:rPr>
          <w:color w:val="231F20"/>
          <w:spacing w:val="23"/>
        </w:rPr>
        <w:t> </w:t>
      </w:r>
      <w:r>
        <w:rPr>
          <w:color w:val="231F20"/>
        </w:rPr>
        <w:t>8</w:t>
      </w:r>
      <w:r>
        <w:rPr>
          <w:color w:val="231F20"/>
          <w:spacing w:val="26"/>
        </w:rPr>
        <w:t> </w:t>
      </w:r>
      <w:r>
        <w:rPr>
          <w:color w:val="231F20"/>
        </w:rPr>
        <w:t>décembre</w:t>
      </w:r>
      <w:r>
        <w:rPr>
          <w:color w:val="231F20"/>
          <w:spacing w:val="26"/>
        </w:rPr>
        <w:t> </w:t>
      </w:r>
      <w:r>
        <w:rPr>
          <w:color w:val="231F20"/>
        </w:rPr>
        <w:t>et</w:t>
      </w:r>
      <w:r>
        <w:rPr>
          <w:color w:val="231F20"/>
          <w:spacing w:val="26"/>
        </w:rPr>
        <w:t> </w:t>
      </w:r>
      <w:r>
        <w:rPr>
          <w:color w:val="231F20"/>
          <w:spacing w:val="-4"/>
        </w:rPr>
        <w:t>fait</w:t>
      </w:r>
    </w:p>
    <w:p>
      <w:pPr>
        <w:pStyle w:val="BodyText"/>
        <w:ind w:left="0"/>
        <w:jc w:val="left"/>
        <w:rPr>
          <w:sz w:val="20"/>
        </w:rPr>
      </w:pPr>
    </w:p>
    <w:p>
      <w:pPr>
        <w:pStyle w:val="BodyText"/>
        <w:spacing w:before="75"/>
        <w:ind w:left="0"/>
        <w:jc w:val="left"/>
        <w:rPr>
          <w:sz w:val="20"/>
        </w:rPr>
      </w:pPr>
      <w:r>
        <w:rPr/>
        <mc:AlternateContent>
          <mc:Choice Requires="wps">
            <w:drawing>
              <wp:anchor distT="0" distB="0" distL="0" distR="0" allowOverlap="1" layoutInCell="1" locked="0" behindDoc="1" simplePos="0" relativeHeight="487606272">
                <wp:simplePos x="0" y="0"/>
                <wp:positionH relativeFrom="page">
                  <wp:posOffset>629907</wp:posOffset>
                </wp:positionH>
                <wp:positionV relativeFrom="paragraph">
                  <wp:posOffset>209086</wp:posOffset>
                </wp:positionV>
                <wp:extent cx="1829435" cy="9525"/>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463537pt;width:144.020pt;height:.71994pt;mso-position-horizontal-relative:page;mso-position-vertical-relative:paragraph;z-index:-15710208;mso-wrap-distance-left:0;mso-wrap-distance-right:0" id="docshape51" filled="true" fillcolor="#231f20" stroked="false">
                <v:fill type="solid"/>
                <w10:wrap type="topAndBottom"/>
              </v:rect>
            </w:pict>
          </mc:Fallback>
        </mc:AlternateContent>
      </w:r>
    </w:p>
    <w:p>
      <w:pPr>
        <w:spacing w:before="91"/>
        <w:ind w:left="111" w:right="0" w:firstLine="0"/>
        <w:jc w:val="left"/>
        <w:rPr>
          <w:sz w:val="20"/>
        </w:rPr>
      </w:pPr>
      <w:r>
        <w:rPr>
          <w:color w:val="231F20"/>
          <w:spacing w:val="-2"/>
          <w:sz w:val="20"/>
          <w:vertAlign w:val="superscript"/>
        </w:rPr>
        <w:t>55</w:t>
      </w:r>
      <w:r>
        <w:rPr>
          <w:color w:val="231F20"/>
          <w:spacing w:val="-10"/>
          <w:sz w:val="20"/>
          <w:vertAlign w:val="baseline"/>
        </w:rPr>
        <w:t> </w:t>
      </w:r>
      <w:r>
        <w:rPr>
          <w:color w:val="231F20"/>
          <w:spacing w:val="-2"/>
          <w:sz w:val="20"/>
          <w:vertAlign w:val="baseline"/>
        </w:rPr>
        <w:t>Paul</w:t>
      </w:r>
      <w:r>
        <w:rPr>
          <w:color w:val="231F20"/>
          <w:spacing w:val="-9"/>
          <w:sz w:val="20"/>
          <w:vertAlign w:val="baseline"/>
        </w:rPr>
        <w:t> </w:t>
      </w:r>
      <w:r>
        <w:rPr>
          <w:color w:val="231F20"/>
          <w:spacing w:val="-2"/>
          <w:sz w:val="20"/>
          <w:vertAlign w:val="baseline"/>
        </w:rPr>
        <w:t>Valéry,</w:t>
      </w:r>
      <w:r>
        <w:rPr>
          <w:color w:val="231F20"/>
          <w:spacing w:val="-9"/>
          <w:sz w:val="20"/>
          <w:vertAlign w:val="baseline"/>
        </w:rPr>
        <w:t> </w:t>
      </w:r>
      <w:r>
        <w:rPr>
          <w:color w:val="231F20"/>
          <w:spacing w:val="-2"/>
          <w:sz w:val="20"/>
          <w:vertAlign w:val="baseline"/>
        </w:rPr>
        <w:t>nom</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plume,</w:t>
      </w:r>
      <w:r>
        <w:rPr>
          <w:color w:val="231F20"/>
          <w:spacing w:val="-9"/>
          <w:sz w:val="20"/>
          <w:vertAlign w:val="baseline"/>
        </w:rPr>
        <w:t> </w:t>
      </w:r>
      <w:r>
        <w:rPr>
          <w:color w:val="231F20"/>
          <w:spacing w:val="-2"/>
          <w:sz w:val="20"/>
          <w:vertAlign w:val="baseline"/>
        </w:rPr>
        <w:t>Ambroise</w:t>
      </w:r>
      <w:r>
        <w:rPr>
          <w:color w:val="231F20"/>
          <w:spacing w:val="-9"/>
          <w:sz w:val="20"/>
          <w:vertAlign w:val="baseline"/>
        </w:rPr>
        <w:t> </w:t>
      </w:r>
      <w:r>
        <w:rPr>
          <w:color w:val="231F20"/>
          <w:spacing w:val="-2"/>
          <w:sz w:val="20"/>
          <w:vertAlign w:val="baseline"/>
        </w:rPr>
        <w:t>Paul</w:t>
      </w:r>
      <w:r>
        <w:rPr>
          <w:color w:val="231F20"/>
          <w:spacing w:val="-11"/>
          <w:sz w:val="20"/>
          <w:vertAlign w:val="baseline"/>
        </w:rPr>
        <w:t> </w:t>
      </w:r>
      <w:r>
        <w:rPr>
          <w:color w:val="231F20"/>
          <w:spacing w:val="-2"/>
          <w:sz w:val="20"/>
          <w:vertAlign w:val="baseline"/>
        </w:rPr>
        <w:t>Toussaint</w:t>
      </w:r>
      <w:r>
        <w:rPr>
          <w:color w:val="231F20"/>
          <w:spacing w:val="-10"/>
          <w:sz w:val="20"/>
          <w:vertAlign w:val="baseline"/>
        </w:rPr>
        <w:t> </w:t>
      </w:r>
      <w:r>
        <w:rPr>
          <w:color w:val="231F20"/>
          <w:spacing w:val="-2"/>
          <w:sz w:val="20"/>
          <w:vertAlign w:val="baseline"/>
        </w:rPr>
        <w:t>Jules</w:t>
      </w:r>
      <w:r>
        <w:rPr>
          <w:color w:val="231F20"/>
          <w:spacing w:val="-11"/>
          <w:sz w:val="20"/>
          <w:vertAlign w:val="baseline"/>
        </w:rPr>
        <w:t> </w:t>
      </w:r>
      <w:r>
        <w:rPr>
          <w:color w:val="231F20"/>
          <w:spacing w:val="-2"/>
          <w:sz w:val="20"/>
          <w:vertAlign w:val="baseline"/>
        </w:rPr>
        <w:t>Valéry.</w:t>
      </w:r>
      <w:r>
        <w:rPr>
          <w:color w:val="231F20"/>
          <w:spacing w:val="-10"/>
          <w:sz w:val="20"/>
          <w:vertAlign w:val="baseline"/>
        </w:rPr>
        <w:t> </w:t>
      </w:r>
      <w:r>
        <w:rPr>
          <w:color w:val="231F20"/>
          <w:spacing w:val="-2"/>
          <w:sz w:val="20"/>
          <w:vertAlign w:val="baseline"/>
        </w:rPr>
        <w:t>Écrivain,</w:t>
      </w:r>
      <w:r>
        <w:rPr>
          <w:color w:val="231F20"/>
          <w:spacing w:val="-11"/>
          <w:sz w:val="20"/>
          <w:vertAlign w:val="baseline"/>
        </w:rPr>
        <w:t> </w:t>
      </w:r>
      <w:r>
        <w:rPr>
          <w:color w:val="231F20"/>
          <w:spacing w:val="-2"/>
          <w:sz w:val="20"/>
          <w:vertAlign w:val="baseline"/>
        </w:rPr>
        <w:t>poète</w:t>
      </w:r>
      <w:r>
        <w:rPr>
          <w:color w:val="231F20"/>
          <w:spacing w:val="-10"/>
          <w:sz w:val="20"/>
          <w:vertAlign w:val="baseline"/>
        </w:rPr>
        <w:t> </w:t>
      </w:r>
      <w:r>
        <w:rPr>
          <w:color w:val="231F20"/>
          <w:spacing w:val="-2"/>
          <w:sz w:val="20"/>
          <w:vertAlign w:val="baseline"/>
        </w:rPr>
        <w:t>et </w:t>
      </w:r>
      <w:r>
        <w:rPr>
          <w:color w:val="231F20"/>
          <w:sz w:val="20"/>
          <w:vertAlign w:val="baseline"/>
        </w:rPr>
        <w:t>philosophe</w:t>
      </w:r>
      <w:r>
        <w:rPr>
          <w:color w:val="231F20"/>
          <w:spacing w:val="-9"/>
          <w:sz w:val="20"/>
          <w:vertAlign w:val="baseline"/>
        </w:rPr>
        <w:t> </w:t>
      </w:r>
      <w:r>
        <w:rPr>
          <w:color w:val="231F20"/>
          <w:sz w:val="20"/>
          <w:vertAlign w:val="baseline"/>
        </w:rPr>
        <w:t>français</w:t>
      </w:r>
      <w:r>
        <w:rPr>
          <w:color w:val="231F20"/>
          <w:spacing w:val="-8"/>
          <w:sz w:val="20"/>
          <w:vertAlign w:val="baseline"/>
        </w:rPr>
        <w:t> </w:t>
      </w:r>
      <w:r>
        <w:rPr>
          <w:color w:val="231F20"/>
          <w:sz w:val="20"/>
          <w:vertAlign w:val="baseline"/>
        </w:rPr>
        <w:t>né</w:t>
      </w:r>
      <w:r>
        <w:rPr>
          <w:color w:val="231F20"/>
          <w:spacing w:val="-6"/>
          <w:sz w:val="20"/>
          <w:vertAlign w:val="baseline"/>
        </w:rPr>
        <w:t> </w:t>
      </w:r>
      <w:r>
        <w:rPr>
          <w:color w:val="231F20"/>
          <w:sz w:val="20"/>
          <w:vertAlign w:val="baseline"/>
        </w:rPr>
        <w:t>le</w:t>
      </w:r>
      <w:r>
        <w:rPr>
          <w:color w:val="231F20"/>
          <w:spacing w:val="-8"/>
          <w:sz w:val="20"/>
          <w:vertAlign w:val="baseline"/>
        </w:rPr>
        <w:t> </w:t>
      </w:r>
      <w:r>
        <w:rPr>
          <w:color w:val="231F20"/>
          <w:sz w:val="20"/>
          <w:vertAlign w:val="baseline"/>
        </w:rPr>
        <w:t>30</w:t>
      </w:r>
      <w:r>
        <w:rPr>
          <w:color w:val="231F20"/>
          <w:spacing w:val="-8"/>
          <w:sz w:val="20"/>
          <w:vertAlign w:val="baseline"/>
        </w:rPr>
        <w:t> </w:t>
      </w:r>
      <w:r>
        <w:rPr>
          <w:color w:val="231F20"/>
          <w:sz w:val="20"/>
          <w:vertAlign w:val="baseline"/>
        </w:rPr>
        <w:t>octobre</w:t>
      </w:r>
      <w:r>
        <w:rPr>
          <w:color w:val="231F20"/>
          <w:spacing w:val="-8"/>
          <w:sz w:val="20"/>
          <w:vertAlign w:val="baseline"/>
        </w:rPr>
        <w:t> </w:t>
      </w:r>
      <w:r>
        <w:rPr>
          <w:color w:val="231F20"/>
          <w:sz w:val="20"/>
          <w:vertAlign w:val="baseline"/>
        </w:rPr>
        <w:t>1871</w:t>
      </w:r>
      <w:r>
        <w:rPr>
          <w:color w:val="231F20"/>
          <w:spacing w:val="-6"/>
          <w:sz w:val="20"/>
          <w:vertAlign w:val="baseline"/>
        </w:rPr>
        <w:t> </w:t>
      </w:r>
      <w:r>
        <w:rPr>
          <w:color w:val="231F20"/>
          <w:sz w:val="20"/>
          <w:vertAlign w:val="baseline"/>
        </w:rPr>
        <w:t>à</w:t>
      </w:r>
      <w:r>
        <w:rPr>
          <w:color w:val="231F20"/>
          <w:spacing w:val="-9"/>
          <w:sz w:val="20"/>
          <w:vertAlign w:val="baseline"/>
        </w:rPr>
        <w:t> </w:t>
      </w:r>
      <w:r>
        <w:rPr>
          <w:color w:val="231F20"/>
          <w:sz w:val="20"/>
          <w:vertAlign w:val="baseline"/>
        </w:rPr>
        <w:t>Sète</w:t>
      </w:r>
      <w:r>
        <w:rPr>
          <w:color w:val="231F20"/>
          <w:spacing w:val="-8"/>
          <w:sz w:val="20"/>
          <w:vertAlign w:val="baseline"/>
        </w:rPr>
        <w:t> </w:t>
      </w:r>
      <w:r>
        <w:rPr>
          <w:color w:val="231F20"/>
          <w:sz w:val="20"/>
          <w:vertAlign w:val="baseline"/>
        </w:rPr>
        <w:t>et</w:t>
      </w:r>
      <w:r>
        <w:rPr>
          <w:color w:val="231F20"/>
          <w:spacing w:val="-9"/>
          <w:sz w:val="20"/>
          <w:vertAlign w:val="baseline"/>
        </w:rPr>
        <w:t> </w:t>
      </w:r>
      <w:r>
        <w:rPr>
          <w:color w:val="231F20"/>
          <w:sz w:val="20"/>
          <w:vertAlign w:val="baseline"/>
        </w:rPr>
        <w:t>mort</w:t>
      </w:r>
      <w:r>
        <w:rPr>
          <w:color w:val="231F20"/>
          <w:spacing w:val="-9"/>
          <w:sz w:val="20"/>
          <w:vertAlign w:val="baseline"/>
        </w:rPr>
        <w:t> </w:t>
      </w:r>
      <w:r>
        <w:rPr>
          <w:color w:val="231F20"/>
          <w:sz w:val="20"/>
          <w:vertAlign w:val="baseline"/>
        </w:rPr>
        <w:t>le</w:t>
      </w:r>
      <w:r>
        <w:rPr>
          <w:color w:val="231F20"/>
          <w:spacing w:val="-8"/>
          <w:sz w:val="20"/>
          <w:vertAlign w:val="baseline"/>
        </w:rPr>
        <w:t> </w:t>
      </w:r>
      <w:r>
        <w:rPr>
          <w:color w:val="231F20"/>
          <w:sz w:val="20"/>
          <w:vertAlign w:val="baseline"/>
        </w:rPr>
        <w:t>20</w:t>
      </w:r>
      <w:r>
        <w:rPr>
          <w:color w:val="231F20"/>
          <w:spacing w:val="-9"/>
          <w:sz w:val="20"/>
          <w:vertAlign w:val="baseline"/>
        </w:rPr>
        <w:t> </w:t>
      </w:r>
      <w:r>
        <w:rPr>
          <w:color w:val="231F20"/>
          <w:sz w:val="20"/>
          <w:vertAlign w:val="baseline"/>
        </w:rPr>
        <w:t>juillet</w:t>
      </w:r>
      <w:r>
        <w:rPr>
          <w:color w:val="231F20"/>
          <w:spacing w:val="-9"/>
          <w:sz w:val="20"/>
          <w:vertAlign w:val="baseline"/>
        </w:rPr>
        <w:t> </w:t>
      </w:r>
      <w:r>
        <w:rPr>
          <w:color w:val="231F20"/>
          <w:sz w:val="20"/>
          <w:vertAlign w:val="baseline"/>
        </w:rPr>
        <w:t>1945</w:t>
      </w:r>
      <w:r>
        <w:rPr>
          <w:color w:val="231F20"/>
          <w:spacing w:val="-8"/>
          <w:sz w:val="20"/>
          <w:vertAlign w:val="baseline"/>
        </w:rPr>
        <w:t> </w:t>
      </w:r>
      <w:r>
        <w:rPr>
          <w:color w:val="231F20"/>
          <w:sz w:val="20"/>
          <w:vertAlign w:val="baseline"/>
        </w:rPr>
        <w:t>à</w:t>
      </w:r>
      <w:r>
        <w:rPr>
          <w:color w:val="231F20"/>
          <w:spacing w:val="-7"/>
          <w:sz w:val="20"/>
          <w:vertAlign w:val="baseline"/>
        </w:rPr>
        <w:t> </w:t>
      </w:r>
      <w:r>
        <w:rPr>
          <w:color w:val="231F20"/>
          <w:sz w:val="20"/>
          <w:vertAlign w:val="baseline"/>
        </w:rPr>
        <w:t>Paris.</w:t>
      </w:r>
    </w:p>
    <w:p>
      <w:pPr>
        <w:spacing w:before="1"/>
        <w:ind w:left="111" w:right="0" w:firstLine="0"/>
        <w:jc w:val="left"/>
        <w:rPr>
          <w:sz w:val="20"/>
        </w:rPr>
      </w:pPr>
      <w:r>
        <w:rPr>
          <w:color w:val="76787A"/>
          <w:spacing w:val="-4"/>
          <w:sz w:val="20"/>
          <w:vertAlign w:val="superscript"/>
        </w:rPr>
        <w:t>56</w:t>
      </w:r>
      <w:r>
        <w:rPr>
          <w:color w:val="76787A"/>
          <w:spacing w:val="-17"/>
          <w:sz w:val="20"/>
          <w:vertAlign w:val="baseline"/>
        </w:rPr>
        <w:t> </w:t>
      </w:r>
      <w:r>
        <w:rPr>
          <w:color w:val="231F20"/>
          <w:spacing w:val="-4"/>
          <w:sz w:val="20"/>
          <w:vertAlign w:val="baseline"/>
        </w:rPr>
        <w:t>Sources</w:t>
      </w:r>
      <w:r>
        <w:rPr>
          <w:color w:val="231F20"/>
          <w:spacing w:val="-3"/>
          <w:sz w:val="20"/>
          <w:vertAlign w:val="baseline"/>
        </w:rPr>
        <w:t> </w:t>
      </w:r>
      <w:r>
        <w:rPr>
          <w:color w:val="231F20"/>
          <w:spacing w:val="-4"/>
          <w:sz w:val="20"/>
          <w:vertAlign w:val="baseline"/>
        </w:rPr>
        <w:t>: Wikipédia</w:t>
      </w:r>
      <w:r>
        <w:rPr>
          <w:color w:val="231F20"/>
          <w:spacing w:val="-1"/>
          <w:sz w:val="20"/>
          <w:vertAlign w:val="baseline"/>
        </w:rPr>
        <w:t> </w:t>
      </w:r>
      <w:r>
        <w:rPr>
          <w:color w:val="231F20"/>
          <w:spacing w:val="-4"/>
          <w:sz w:val="20"/>
          <w:vertAlign w:val="baseline"/>
        </w:rPr>
        <w:t>; </w:t>
      </w:r>
      <w:hyperlink r:id="rId33">
        <w:r>
          <w:rPr>
            <w:color w:val="231F20"/>
            <w:spacing w:val="-4"/>
            <w:sz w:val="20"/>
            <w:vertAlign w:val="baseline"/>
          </w:rPr>
          <w:t>http://www.larousse.fr/encyclopedie/pays/Congo/</w:t>
        </w:r>
      </w:hyperlink>
      <w:r>
        <w:rPr>
          <w:color w:val="231F20"/>
          <w:spacing w:val="-1"/>
          <w:sz w:val="20"/>
          <w:vertAlign w:val="baseline"/>
        </w:rPr>
        <w:t> </w:t>
      </w:r>
      <w:r>
        <w:rPr>
          <w:color w:val="231F20"/>
          <w:spacing w:val="-10"/>
          <w:sz w:val="20"/>
          <w:vertAlign w:val="baseline"/>
        </w:rPr>
        <w:t>-</w:t>
      </w:r>
    </w:p>
    <w:p>
      <w:pPr>
        <w:spacing w:after="0"/>
        <w:jc w:val="left"/>
        <w:rPr>
          <w:sz w:val="20"/>
        </w:rPr>
        <w:sectPr>
          <w:footerReference w:type="default" r:id="rId31"/>
          <w:footerReference w:type="even" r:id="rId32"/>
          <w:pgSz w:w="8790" w:h="13610"/>
          <w:pgMar w:header="0" w:footer="802" w:top="1040" w:bottom="1000" w:left="880" w:right="880"/>
          <w:pgNumType w:start="59"/>
        </w:sectPr>
      </w:pPr>
    </w:p>
    <w:p>
      <w:pPr>
        <w:pStyle w:val="BodyText"/>
        <w:spacing w:before="66"/>
        <w:ind w:right="106"/>
      </w:pPr>
      <w:r>
        <w:rPr>
          <w:color w:val="231F20"/>
          <w:spacing w:val="-2"/>
        </w:rPr>
        <w:t>transférer</w:t>
      </w:r>
      <w:r>
        <w:rPr>
          <w:color w:val="231F20"/>
          <w:spacing w:val="-11"/>
        </w:rPr>
        <w:t> </w:t>
      </w:r>
      <w:r>
        <w:rPr>
          <w:color w:val="231F20"/>
          <w:spacing w:val="-2"/>
        </w:rPr>
        <w:t>la</w:t>
      </w:r>
      <w:r>
        <w:rPr>
          <w:color w:val="231F20"/>
          <w:spacing w:val="-11"/>
        </w:rPr>
        <w:t> </w:t>
      </w:r>
      <w:r>
        <w:rPr>
          <w:color w:val="231F20"/>
          <w:spacing w:val="-2"/>
        </w:rPr>
        <w:t>capitale</w:t>
      </w:r>
      <w:r>
        <w:rPr>
          <w:color w:val="231F20"/>
          <w:spacing w:val="-11"/>
        </w:rPr>
        <w:t> </w:t>
      </w:r>
      <w:r>
        <w:rPr>
          <w:color w:val="231F20"/>
          <w:spacing w:val="-2"/>
        </w:rPr>
        <w:t>de</w:t>
      </w:r>
      <w:r>
        <w:rPr>
          <w:color w:val="231F20"/>
          <w:spacing w:val="-13"/>
        </w:rPr>
        <w:t> </w:t>
      </w:r>
      <w:r>
        <w:rPr>
          <w:color w:val="231F20"/>
          <w:spacing w:val="-2"/>
        </w:rPr>
        <w:t>Pointe-Noire</w:t>
      </w:r>
      <w:r>
        <w:rPr>
          <w:color w:val="231F20"/>
          <w:spacing w:val="-11"/>
        </w:rPr>
        <w:t> </w:t>
      </w:r>
      <w:r>
        <w:rPr>
          <w:color w:val="231F20"/>
          <w:spacing w:val="-2"/>
        </w:rPr>
        <w:t>à</w:t>
      </w:r>
      <w:r>
        <w:rPr>
          <w:color w:val="231F20"/>
          <w:spacing w:val="-11"/>
        </w:rPr>
        <w:t> </w:t>
      </w:r>
      <w:r>
        <w:rPr>
          <w:color w:val="231F20"/>
          <w:spacing w:val="-2"/>
        </w:rPr>
        <w:t>Brazzaville,</w:t>
      </w:r>
      <w:r>
        <w:rPr>
          <w:color w:val="231F20"/>
          <w:spacing w:val="-13"/>
        </w:rPr>
        <w:t> </w:t>
      </w:r>
      <w:r>
        <w:rPr>
          <w:color w:val="231F20"/>
          <w:spacing w:val="-2"/>
        </w:rPr>
        <w:t>où</w:t>
      </w:r>
      <w:r>
        <w:rPr>
          <w:color w:val="231F20"/>
          <w:spacing w:val="-11"/>
        </w:rPr>
        <w:t> </w:t>
      </w:r>
      <w:r>
        <w:rPr>
          <w:color w:val="231F20"/>
          <w:spacing w:val="-2"/>
        </w:rPr>
        <w:t>il</w:t>
      </w:r>
      <w:r>
        <w:rPr>
          <w:color w:val="231F20"/>
          <w:spacing w:val="-11"/>
        </w:rPr>
        <w:t> </w:t>
      </w:r>
      <w:r>
        <w:rPr>
          <w:color w:val="231F20"/>
          <w:spacing w:val="-2"/>
        </w:rPr>
        <w:t>a</w:t>
      </w:r>
      <w:r>
        <w:rPr>
          <w:color w:val="231F20"/>
          <w:spacing w:val="-13"/>
        </w:rPr>
        <w:t> </w:t>
      </w:r>
      <w:r>
        <w:rPr>
          <w:color w:val="231F20"/>
          <w:spacing w:val="-2"/>
        </w:rPr>
        <w:t>ses</w:t>
      </w:r>
      <w:r>
        <w:rPr>
          <w:color w:val="231F20"/>
          <w:spacing w:val="-11"/>
        </w:rPr>
        <w:t> </w:t>
      </w:r>
      <w:r>
        <w:rPr>
          <w:color w:val="231F20"/>
          <w:spacing w:val="-2"/>
        </w:rPr>
        <w:t>principaux soutiens.</w:t>
      </w:r>
    </w:p>
    <w:p>
      <w:pPr>
        <w:pStyle w:val="BodyText"/>
        <w:spacing w:before="120"/>
        <w:ind w:right="103" w:firstLine="283"/>
      </w:pPr>
      <w:r>
        <w:rPr>
          <w:color w:val="231F20"/>
        </w:rPr>
        <w:t>Le</w:t>
      </w:r>
      <w:r>
        <w:rPr>
          <w:color w:val="231F20"/>
          <w:spacing w:val="-15"/>
        </w:rPr>
        <w:t> </w:t>
      </w:r>
      <w:r>
        <w:rPr>
          <w:color w:val="231F20"/>
        </w:rPr>
        <w:t>16</w:t>
      </w:r>
      <w:r>
        <w:rPr>
          <w:color w:val="231F20"/>
          <w:spacing w:val="-15"/>
        </w:rPr>
        <w:t> </w:t>
      </w:r>
      <w:r>
        <w:rPr>
          <w:color w:val="231F20"/>
        </w:rPr>
        <w:t>février</w:t>
      </w:r>
      <w:r>
        <w:rPr>
          <w:color w:val="231F20"/>
          <w:spacing w:val="-15"/>
        </w:rPr>
        <w:t> </w:t>
      </w:r>
      <w:r>
        <w:rPr>
          <w:color w:val="231F20"/>
        </w:rPr>
        <w:t>1960,</w:t>
      </w:r>
      <w:r>
        <w:rPr>
          <w:color w:val="231F20"/>
          <w:spacing w:val="-2"/>
        </w:rPr>
        <w:t> </w:t>
      </w:r>
      <w:r>
        <w:rPr>
          <w:color w:val="231F20"/>
        </w:rPr>
        <w:t>afin de satisfaire l’opinion publique congolaise, l’Abbé Yolou renvoie du gouvernement, les européens notamment le ministre des Finances, celui des Affaires économiques ainsi que le Secrétaire d’État à l’Information. Il conserve dans son équipe Alfred Delarue,</w:t>
      </w:r>
      <w:r>
        <w:rPr>
          <w:color w:val="231F20"/>
          <w:spacing w:val="-15"/>
        </w:rPr>
        <w:t> </w:t>
      </w:r>
      <w:r>
        <w:rPr>
          <w:color w:val="231F20"/>
        </w:rPr>
        <w:t>le</w:t>
      </w:r>
      <w:r>
        <w:rPr>
          <w:color w:val="231F20"/>
          <w:spacing w:val="-15"/>
        </w:rPr>
        <w:t> </w:t>
      </w:r>
      <w:r>
        <w:rPr>
          <w:color w:val="231F20"/>
        </w:rPr>
        <w:t>chef</w:t>
      </w:r>
      <w:r>
        <w:rPr>
          <w:color w:val="231F20"/>
          <w:spacing w:val="-15"/>
        </w:rPr>
        <w:t> </w:t>
      </w:r>
      <w:r>
        <w:rPr>
          <w:color w:val="231F20"/>
        </w:rPr>
        <w:t>du</w:t>
      </w:r>
      <w:r>
        <w:rPr>
          <w:color w:val="231F20"/>
          <w:spacing w:val="-15"/>
        </w:rPr>
        <w:t> </w:t>
      </w:r>
      <w:r>
        <w:rPr>
          <w:color w:val="231F20"/>
        </w:rPr>
        <w:t>service</w:t>
      </w:r>
      <w:r>
        <w:rPr>
          <w:color w:val="231F20"/>
          <w:spacing w:val="-15"/>
        </w:rPr>
        <w:t> </w:t>
      </w:r>
      <w:r>
        <w:rPr>
          <w:color w:val="231F20"/>
        </w:rPr>
        <w:t>«</w:t>
      </w:r>
      <w:r>
        <w:rPr>
          <w:color w:val="231F20"/>
          <w:spacing w:val="-15"/>
        </w:rPr>
        <w:t> </w:t>
      </w:r>
      <w:r>
        <w:rPr>
          <w:color w:val="231F20"/>
        </w:rPr>
        <w:t>Documentation</w:t>
      </w:r>
      <w:r>
        <w:rPr>
          <w:color w:val="231F20"/>
          <w:spacing w:val="-15"/>
        </w:rPr>
        <w:t> </w:t>
      </w:r>
      <w:r>
        <w:rPr>
          <w:color w:val="231F20"/>
        </w:rPr>
        <w:t>».</w:t>
      </w:r>
      <w:r>
        <w:rPr>
          <w:color w:val="231F20"/>
          <w:spacing w:val="-15"/>
        </w:rPr>
        <w:t> </w:t>
      </w:r>
      <w:r>
        <w:rPr>
          <w:color w:val="231F20"/>
        </w:rPr>
        <w:t>Ce</w:t>
      </w:r>
      <w:r>
        <w:rPr>
          <w:color w:val="231F20"/>
          <w:spacing w:val="-15"/>
        </w:rPr>
        <w:t> </w:t>
      </w:r>
      <w:r>
        <w:rPr>
          <w:color w:val="231F20"/>
        </w:rPr>
        <w:t>dernier,</w:t>
      </w:r>
      <w:r>
        <w:rPr>
          <w:color w:val="231F20"/>
          <w:spacing w:val="-15"/>
        </w:rPr>
        <w:t> </w:t>
      </w:r>
      <w:r>
        <w:rPr>
          <w:color w:val="231F20"/>
        </w:rPr>
        <w:t>ancien</w:t>
      </w:r>
      <w:r>
        <w:rPr>
          <w:color w:val="231F20"/>
          <w:spacing w:val="-15"/>
        </w:rPr>
        <w:t> </w:t>
      </w:r>
      <w:r>
        <w:rPr>
          <w:color w:val="231F20"/>
        </w:rPr>
        <w:t>grand officier</w:t>
      </w:r>
      <w:r>
        <w:rPr>
          <w:color w:val="231F20"/>
          <w:spacing w:val="-6"/>
        </w:rPr>
        <w:t> </w:t>
      </w:r>
      <w:r>
        <w:rPr>
          <w:color w:val="231F20"/>
        </w:rPr>
        <w:t>de</w:t>
      </w:r>
      <w:r>
        <w:rPr>
          <w:color w:val="231F20"/>
          <w:spacing w:val="-7"/>
        </w:rPr>
        <w:t> </w:t>
      </w:r>
      <w:r>
        <w:rPr>
          <w:color w:val="231F20"/>
        </w:rPr>
        <w:t>la</w:t>
      </w:r>
      <w:r>
        <w:rPr>
          <w:color w:val="231F20"/>
          <w:spacing w:val="-6"/>
        </w:rPr>
        <w:t> </w:t>
      </w:r>
      <w:r>
        <w:rPr>
          <w:color w:val="231F20"/>
        </w:rPr>
        <w:t>préfecture</w:t>
      </w:r>
      <w:r>
        <w:rPr>
          <w:color w:val="231F20"/>
          <w:spacing w:val="-6"/>
        </w:rPr>
        <w:t> </w:t>
      </w:r>
      <w:r>
        <w:rPr>
          <w:color w:val="231F20"/>
        </w:rPr>
        <w:t>de</w:t>
      </w:r>
      <w:r>
        <w:rPr>
          <w:color w:val="231F20"/>
          <w:spacing w:val="-6"/>
        </w:rPr>
        <w:t> </w:t>
      </w:r>
      <w:r>
        <w:rPr>
          <w:color w:val="231F20"/>
        </w:rPr>
        <w:t>Paris</w:t>
      </w:r>
      <w:r>
        <w:rPr>
          <w:color w:val="231F20"/>
          <w:spacing w:val="-7"/>
        </w:rPr>
        <w:t> </w:t>
      </w:r>
      <w:r>
        <w:rPr>
          <w:color w:val="231F20"/>
        </w:rPr>
        <w:t>organise</w:t>
      </w:r>
      <w:r>
        <w:rPr>
          <w:color w:val="231F20"/>
          <w:spacing w:val="-6"/>
        </w:rPr>
        <w:t> </w:t>
      </w:r>
      <w:r>
        <w:rPr>
          <w:color w:val="231F20"/>
        </w:rPr>
        <w:t>avec</w:t>
      </w:r>
      <w:r>
        <w:rPr>
          <w:color w:val="231F20"/>
          <w:spacing w:val="-7"/>
        </w:rPr>
        <w:t> </w:t>
      </w:r>
      <w:r>
        <w:rPr>
          <w:color w:val="231F20"/>
        </w:rPr>
        <w:t>l’Abbé,</w:t>
      </w:r>
      <w:r>
        <w:rPr>
          <w:color w:val="231F20"/>
          <w:spacing w:val="-6"/>
        </w:rPr>
        <w:t> </w:t>
      </w:r>
      <w:r>
        <w:rPr>
          <w:color w:val="231F20"/>
        </w:rPr>
        <w:t>l’élimination</w:t>
      </w:r>
      <w:r>
        <w:rPr>
          <w:color w:val="231F20"/>
          <w:spacing w:val="-5"/>
        </w:rPr>
        <w:t> </w:t>
      </w:r>
      <w:r>
        <w:rPr>
          <w:color w:val="231F20"/>
        </w:rPr>
        <w:t>de </w:t>
      </w:r>
      <w:r>
        <w:rPr>
          <w:color w:val="231F20"/>
          <w:spacing w:val="-2"/>
        </w:rPr>
        <w:t>l’extrême-gauche</w:t>
      </w:r>
      <w:r>
        <w:rPr>
          <w:color w:val="231F20"/>
          <w:spacing w:val="-6"/>
        </w:rPr>
        <w:t> </w:t>
      </w:r>
      <w:r>
        <w:rPr>
          <w:color w:val="231F20"/>
          <w:spacing w:val="-2"/>
        </w:rPr>
        <w:t>congolaise,</w:t>
      </w:r>
      <w:r>
        <w:rPr>
          <w:color w:val="231F20"/>
          <w:spacing w:val="-6"/>
        </w:rPr>
        <w:t> </w:t>
      </w:r>
      <w:r>
        <w:rPr>
          <w:color w:val="231F20"/>
          <w:spacing w:val="-2"/>
        </w:rPr>
        <w:t>regroupée</w:t>
      </w:r>
      <w:r>
        <w:rPr>
          <w:color w:val="231F20"/>
          <w:spacing w:val="-6"/>
        </w:rPr>
        <w:t> </w:t>
      </w:r>
      <w:r>
        <w:rPr>
          <w:color w:val="231F20"/>
          <w:spacing w:val="-2"/>
        </w:rPr>
        <w:t>dans</w:t>
      </w:r>
      <w:r>
        <w:rPr>
          <w:color w:val="231F20"/>
          <w:spacing w:val="-5"/>
        </w:rPr>
        <w:t> </w:t>
      </w:r>
      <w:r>
        <w:rPr>
          <w:color w:val="231F20"/>
          <w:spacing w:val="-2"/>
        </w:rPr>
        <w:t>la</w:t>
      </w:r>
      <w:r>
        <w:rPr>
          <w:color w:val="231F20"/>
          <w:spacing w:val="-8"/>
        </w:rPr>
        <w:t> </w:t>
      </w:r>
      <w:r>
        <w:rPr>
          <w:color w:val="231F20"/>
          <w:spacing w:val="-2"/>
        </w:rPr>
        <w:t>Confédération</w:t>
      </w:r>
      <w:r>
        <w:rPr>
          <w:color w:val="231F20"/>
          <w:spacing w:val="-8"/>
        </w:rPr>
        <w:t> </w:t>
      </w:r>
      <w:r>
        <w:rPr>
          <w:color w:val="231F20"/>
          <w:spacing w:val="-2"/>
        </w:rPr>
        <w:t>Générale </w:t>
      </w:r>
      <w:r>
        <w:rPr>
          <w:color w:val="231F20"/>
        </w:rPr>
        <w:t>Africaine des Travailleurs (CGTA) et dans l’Union de la Jeunesse Congolaise</w:t>
      </w:r>
      <w:r>
        <w:rPr>
          <w:color w:val="231F20"/>
          <w:spacing w:val="-9"/>
        </w:rPr>
        <w:t> </w:t>
      </w:r>
      <w:r>
        <w:rPr>
          <w:color w:val="231F20"/>
        </w:rPr>
        <w:t>(UJC).</w:t>
      </w:r>
      <w:r>
        <w:rPr>
          <w:color w:val="231F20"/>
          <w:spacing w:val="-4"/>
        </w:rPr>
        <w:t> </w:t>
      </w:r>
      <w:r>
        <w:rPr>
          <w:color w:val="231F20"/>
        </w:rPr>
        <w:t>Sous</w:t>
      </w:r>
      <w:r>
        <w:rPr>
          <w:color w:val="231F20"/>
          <w:spacing w:val="-4"/>
        </w:rPr>
        <w:t> </w:t>
      </w:r>
      <w:r>
        <w:rPr>
          <w:color w:val="231F20"/>
        </w:rPr>
        <w:t>couvert</w:t>
      </w:r>
      <w:r>
        <w:rPr>
          <w:color w:val="231F20"/>
          <w:spacing w:val="-3"/>
        </w:rPr>
        <w:t> </w:t>
      </w:r>
      <w:r>
        <w:rPr>
          <w:color w:val="231F20"/>
        </w:rPr>
        <w:t>d’un</w:t>
      </w:r>
      <w:r>
        <w:rPr>
          <w:color w:val="231F20"/>
          <w:spacing w:val="-3"/>
        </w:rPr>
        <w:t> </w:t>
      </w:r>
      <w:r>
        <w:rPr>
          <w:color w:val="231F20"/>
        </w:rPr>
        <w:t>pseudo</w:t>
      </w:r>
      <w:r>
        <w:rPr>
          <w:color w:val="231F20"/>
          <w:spacing w:val="-4"/>
        </w:rPr>
        <w:t> </w:t>
      </w:r>
      <w:r>
        <w:rPr>
          <w:color w:val="231F20"/>
        </w:rPr>
        <w:t>«</w:t>
      </w:r>
      <w:r>
        <w:rPr>
          <w:color w:val="231F20"/>
          <w:spacing w:val="-15"/>
        </w:rPr>
        <w:t> </w:t>
      </w:r>
      <w:r>
        <w:rPr>
          <w:color w:val="231F20"/>
        </w:rPr>
        <w:t>complot</w:t>
      </w:r>
      <w:r>
        <w:rPr>
          <w:color w:val="231F20"/>
          <w:spacing w:val="-2"/>
        </w:rPr>
        <w:t> </w:t>
      </w:r>
      <w:r>
        <w:rPr>
          <w:color w:val="231F20"/>
        </w:rPr>
        <w:t>communiste</w:t>
      </w:r>
      <w:r>
        <w:rPr>
          <w:color w:val="231F20"/>
          <w:spacing w:val="-15"/>
        </w:rPr>
        <w:t> </w:t>
      </w:r>
      <w:r>
        <w:rPr>
          <w:color w:val="231F20"/>
        </w:rPr>
        <w:t>», Youlou</w:t>
      </w:r>
      <w:r>
        <w:rPr>
          <w:color w:val="231F20"/>
          <w:spacing w:val="-15"/>
        </w:rPr>
        <w:t> </w:t>
      </w:r>
      <w:r>
        <w:rPr>
          <w:color w:val="231F20"/>
        </w:rPr>
        <w:t>fait</w:t>
      </w:r>
      <w:r>
        <w:rPr>
          <w:color w:val="231F20"/>
          <w:spacing w:val="-15"/>
        </w:rPr>
        <w:t> </w:t>
      </w:r>
      <w:r>
        <w:rPr>
          <w:color w:val="231F20"/>
        </w:rPr>
        <w:t>arrêter</w:t>
      </w:r>
      <w:r>
        <w:rPr>
          <w:color w:val="231F20"/>
          <w:spacing w:val="-15"/>
        </w:rPr>
        <w:t> </w:t>
      </w:r>
      <w:r>
        <w:rPr>
          <w:color w:val="231F20"/>
        </w:rPr>
        <w:t>le</w:t>
      </w:r>
      <w:r>
        <w:rPr>
          <w:color w:val="231F20"/>
          <w:spacing w:val="-15"/>
        </w:rPr>
        <w:t> </w:t>
      </w:r>
      <w:r>
        <w:rPr>
          <w:color w:val="231F20"/>
        </w:rPr>
        <w:t>9</w:t>
      </w:r>
      <w:r>
        <w:rPr>
          <w:color w:val="231F20"/>
          <w:spacing w:val="-15"/>
        </w:rPr>
        <w:t> </w:t>
      </w:r>
      <w:r>
        <w:rPr>
          <w:color w:val="231F20"/>
        </w:rPr>
        <w:t>mai</w:t>
      </w:r>
      <w:r>
        <w:rPr>
          <w:color w:val="231F20"/>
          <w:spacing w:val="-15"/>
        </w:rPr>
        <w:t> </w:t>
      </w:r>
      <w:r>
        <w:rPr>
          <w:color w:val="231F20"/>
        </w:rPr>
        <w:t>1960,</w:t>
      </w:r>
      <w:r>
        <w:rPr>
          <w:color w:val="231F20"/>
          <w:spacing w:val="-15"/>
        </w:rPr>
        <w:t> </w:t>
      </w:r>
      <w:r>
        <w:rPr>
          <w:color w:val="231F20"/>
        </w:rPr>
        <w:t>les</w:t>
      </w:r>
      <w:r>
        <w:rPr>
          <w:color w:val="231F20"/>
          <w:spacing w:val="-15"/>
        </w:rPr>
        <w:t> </w:t>
      </w:r>
      <w:r>
        <w:rPr>
          <w:color w:val="231F20"/>
        </w:rPr>
        <w:t>chefs</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CGTA</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l’UJC</w:t>
      </w:r>
      <w:r>
        <w:rPr>
          <w:color w:val="231F20"/>
          <w:spacing w:val="-15"/>
        </w:rPr>
        <w:t> </w:t>
      </w:r>
      <w:r>
        <w:rPr>
          <w:color w:val="231F20"/>
        </w:rPr>
        <w:t>ainsi que son éternel opposant Simon Kikounga N’Go. Le lendemain, l’Assemblée adopte une série de lois restreignant les</w:t>
      </w:r>
      <w:r>
        <w:rPr>
          <w:color w:val="231F20"/>
          <w:spacing w:val="-12"/>
        </w:rPr>
        <w:t> </w:t>
      </w:r>
      <w:r>
        <w:rPr>
          <w:color w:val="231F20"/>
        </w:rPr>
        <w:t>libertés individuelles. Ainsi, est désormais condamnable toute manifestation </w:t>
      </w:r>
      <w:r>
        <w:rPr>
          <w:color w:val="231F20"/>
          <w:spacing w:val="-4"/>
        </w:rPr>
        <w:t>organisée</w:t>
      </w:r>
      <w:r>
        <w:rPr>
          <w:color w:val="231F20"/>
          <w:spacing w:val="-7"/>
        </w:rPr>
        <w:t> </w:t>
      </w:r>
      <w:r>
        <w:rPr>
          <w:color w:val="231F20"/>
          <w:spacing w:val="-4"/>
        </w:rPr>
        <w:t>contre</w:t>
      </w:r>
      <w:r>
        <w:rPr>
          <w:color w:val="231F20"/>
          <w:spacing w:val="-7"/>
        </w:rPr>
        <w:t> </w:t>
      </w:r>
      <w:r>
        <w:rPr>
          <w:color w:val="231F20"/>
          <w:spacing w:val="-4"/>
        </w:rPr>
        <w:t>le</w:t>
      </w:r>
      <w:r>
        <w:rPr>
          <w:color w:val="231F20"/>
          <w:spacing w:val="-7"/>
        </w:rPr>
        <w:t> </w:t>
      </w:r>
      <w:r>
        <w:rPr>
          <w:color w:val="231F20"/>
          <w:spacing w:val="-4"/>
        </w:rPr>
        <w:t>Gouvernement</w:t>
      </w:r>
      <w:r>
        <w:rPr>
          <w:color w:val="231F20"/>
          <w:spacing w:val="-7"/>
        </w:rPr>
        <w:t> </w:t>
      </w:r>
      <w:r>
        <w:rPr>
          <w:color w:val="231F20"/>
          <w:spacing w:val="-4"/>
        </w:rPr>
        <w:t>ainsi</w:t>
      </w:r>
      <w:r>
        <w:rPr>
          <w:color w:val="231F20"/>
          <w:spacing w:val="-8"/>
        </w:rPr>
        <w:t> </w:t>
      </w:r>
      <w:r>
        <w:rPr>
          <w:color w:val="231F20"/>
          <w:spacing w:val="-4"/>
        </w:rPr>
        <w:t>que</w:t>
      </w:r>
      <w:r>
        <w:rPr>
          <w:color w:val="231F20"/>
          <w:spacing w:val="-7"/>
        </w:rPr>
        <w:t> </w:t>
      </w:r>
      <w:r>
        <w:rPr>
          <w:color w:val="231F20"/>
          <w:spacing w:val="-4"/>
        </w:rPr>
        <w:t>les</w:t>
      </w:r>
      <w:r>
        <w:rPr>
          <w:color w:val="231F20"/>
          <w:spacing w:val="-5"/>
        </w:rPr>
        <w:t> </w:t>
      </w:r>
      <w:r>
        <w:rPr>
          <w:color w:val="231F20"/>
          <w:spacing w:val="-4"/>
        </w:rPr>
        <w:t>publications</w:t>
      </w:r>
      <w:r>
        <w:rPr>
          <w:color w:val="231F20"/>
          <w:spacing w:val="-7"/>
        </w:rPr>
        <w:t> </w:t>
      </w:r>
      <w:r>
        <w:rPr>
          <w:color w:val="231F20"/>
          <w:spacing w:val="-4"/>
        </w:rPr>
        <w:t>incitant</w:t>
      </w:r>
      <w:r>
        <w:rPr>
          <w:color w:val="231F20"/>
          <w:spacing w:val="-5"/>
        </w:rPr>
        <w:t> </w:t>
      </w:r>
      <w:r>
        <w:rPr>
          <w:color w:val="231F20"/>
          <w:spacing w:val="-4"/>
        </w:rPr>
        <w:t>à</w:t>
      </w:r>
      <w:r>
        <w:rPr>
          <w:color w:val="231F20"/>
          <w:spacing w:val="-7"/>
        </w:rPr>
        <w:t> </w:t>
      </w:r>
      <w:r>
        <w:rPr>
          <w:color w:val="231F20"/>
          <w:spacing w:val="-4"/>
        </w:rPr>
        <w:t>ces </w:t>
      </w:r>
      <w:r>
        <w:rPr>
          <w:color w:val="231F20"/>
        </w:rPr>
        <w:t>démonstrations. Par ailleurs, ces lois permettent également à Youlou </w:t>
      </w:r>
      <w:r>
        <w:rPr>
          <w:color w:val="231F20"/>
          <w:spacing w:val="-2"/>
        </w:rPr>
        <w:t>d’emprisonner</w:t>
      </w:r>
      <w:r>
        <w:rPr>
          <w:color w:val="231F20"/>
          <w:spacing w:val="-5"/>
        </w:rPr>
        <w:t> </w:t>
      </w:r>
      <w:r>
        <w:rPr>
          <w:color w:val="231F20"/>
          <w:spacing w:val="-2"/>
        </w:rPr>
        <w:t>ou</w:t>
      </w:r>
      <w:r>
        <w:rPr>
          <w:color w:val="231F20"/>
          <w:spacing w:val="-5"/>
        </w:rPr>
        <w:t> </w:t>
      </w:r>
      <w:r>
        <w:rPr>
          <w:color w:val="231F20"/>
          <w:spacing w:val="-2"/>
        </w:rPr>
        <w:t>d’expulser</w:t>
      </w:r>
      <w:r>
        <w:rPr>
          <w:color w:val="231F20"/>
          <w:spacing w:val="-3"/>
        </w:rPr>
        <w:t> </w:t>
      </w:r>
      <w:r>
        <w:rPr>
          <w:color w:val="231F20"/>
          <w:spacing w:val="-2"/>
        </w:rPr>
        <w:t>légalement</w:t>
      </w:r>
      <w:r>
        <w:rPr>
          <w:color w:val="231F20"/>
          <w:spacing w:val="-4"/>
        </w:rPr>
        <w:t> </w:t>
      </w:r>
      <w:r>
        <w:rPr>
          <w:color w:val="231F20"/>
          <w:spacing w:val="-2"/>
        </w:rPr>
        <w:t>tout</w:t>
      </w:r>
      <w:r>
        <w:rPr>
          <w:color w:val="231F20"/>
          <w:spacing w:val="-4"/>
        </w:rPr>
        <w:t> </w:t>
      </w:r>
      <w:r>
        <w:rPr>
          <w:color w:val="231F20"/>
          <w:spacing w:val="-2"/>
        </w:rPr>
        <w:t>individu</w:t>
      </w:r>
      <w:r>
        <w:rPr>
          <w:color w:val="231F20"/>
          <w:spacing w:val="-3"/>
        </w:rPr>
        <w:t> </w:t>
      </w:r>
      <w:r>
        <w:rPr>
          <w:color w:val="231F20"/>
          <w:spacing w:val="-2"/>
        </w:rPr>
        <w:t>considéré</w:t>
      </w:r>
      <w:r>
        <w:rPr>
          <w:color w:val="231F20"/>
          <w:spacing w:val="-5"/>
        </w:rPr>
        <w:t> </w:t>
      </w:r>
      <w:r>
        <w:rPr>
          <w:color w:val="231F20"/>
          <w:spacing w:val="-2"/>
        </w:rPr>
        <w:t>comme </w:t>
      </w:r>
      <w:r>
        <w:rPr>
          <w:color w:val="231F20"/>
        </w:rPr>
        <w:t>dangereux pour la stabilité du régime.</w:t>
      </w:r>
    </w:p>
    <w:p>
      <w:pPr>
        <w:pStyle w:val="BodyText"/>
        <w:spacing w:before="121"/>
        <w:ind w:right="105" w:firstLine="283"/>
      </w:pPr>
      <w:r>
        <w:rPr>
          <w:color w:val="231F20"/>
        </w:rPr>
        <w:t>Devenu Chef de l’État, un</w:t>
      </w:r>
      <w:r>
        <w:rPr>
          <w:color w:val="231F20"/>
          <w:spacing w:val="-12"/>
        </w:rPr>
        <w:t> </w:t>
      </w:r>
      <w:r>
        <w:rPr>
          <w:color w:val="231F20"/>
        </w:rPr>
        <w:t>culte de la personnalité</w:t>
      </w:r>
      <w:r>
        <w:rPr>
          <w:color w:val="231F20"/>
          <w:spacing w:val="-15"/>
        </w:rPr>
        <w:t> </w:t>
      </w:r>
      <w:r>
        <w:rPr>
          <w:color w:val="231F20"/>
        </w:rPr>
        <w:t>se développe </w:t>
      </w:r>
      <w:r>
        <w:rPr>
          <w:color w:val="231F20"/>
          <w:spacing w:val="-2"/>
        </w:rPr>
        <w:t>progressivement</w:t>
      </w:r>
      <w:r>
        <w:rPr>
          <w:color w:val="231F20"/>
          <w:spacing w:val="-8"/>
        </w:rPr>
        <w:t> </w:t>
      </w:r>
      <w:r>
        <w:rPr>
          <w:color w:val="231F20"/>
          <w:spacing w:val="-2"/>
        </w:rPr>
        <w:t>autour</w:t>
      </w:r>
      <w:r>
        <w:rPr>
          <w:color w:val="231F20"/>
          <w:spacing w:val="-9"/>
        </w:rPr>
        <w:t> </w:t>
      </w:r>
      <w:r>
        <w:rPr>
          <w:color w:val="231F20"/>
          <w:spacing w:val="-2"/>
        </w:rPr>
        <w:t>de</w:t>
      </w:r>
      <w:r>
        <w:rPr>
          <w:color w:val="231F20"/>
          <w:spacing w:val="-10"/>
        </w:rPr>
        <w:t> </w:t>
      </w:r>
      <w:r>
        <w:rPr>
          <w:color w:val="231F20"/>
          <w:spacing w:val="-2"/>
        </w:rPr>
        <w:t>lui,</w:t>
      </w:r>
      <w:r>
        <w:rPr>
          <w:color w:val="231F20"/>
          <w:spacing w:val="-9"/>
        </w:rPr>
        <w:t> </w:t>
      </w:r>
      <w:r>
        <w:rPr>
          <w:color w:val="231F20"/>
          <w:spacing w:val="-2"/>
        </w:rPr>
        <w:t>avec,</w:t>
      </w:r>
      <w:r>
        <w:rPr>
          <w:color w:val="231F20"/>
          <w:spacing w:val="-9"/>
        </w:rPr>
        <w:t> </w:t>
      </w:r>
      <w:r>
        <w:rPr>
          <w:color w:val="231F20"/>
          <w:spacing w:val="-2"/>
        </w:rPr>
        <w:t>notamment,</w:t>
      </w:r>
      <w:r>
        <w:rPr>
          <w:color w:val="231F20"/>
          <w:spacing w:val="-10"/>
        </w:rPr>
        <w:t> </w:t>
      </w:r>
      <w:r>
        <w:rPr>
          <w:color w:val="231F20"/>
          <w:spacing w:val="-2"/>
        </w:rPr>
        <w:t>l'impression</w:t>
      </w:r>
      <w:r>
        <w:rPr>
          <w:color w:val="231F20"/>
          <w:spacing w:val="-9"/>
        </w:rPr>
        <w:t> </w:t>
      </w:r>
      <w:r>
        <w:rPr>
          <w:color w:val="231F20"/>
          <w:spacing w:val="-2"/>
        </w:rPr>
        <w:t>de</w:t>
      </w:r>
      <w:r>
        <w:rPr>
          <w:color w:val="231F20"/>
          <w:spacing w:val="-10"/>
        </w:rPr>
        <w:t> </w:t>
      </w:r>
      <w:r>
        <w:rPr>
          <w:color w:val="231F20"/>
          <w:spacing w:val="-2"/>
        </w:rPr>
        <w:t>timbres </w:t>
      </w:r>
      <w:r>
        <w:rPr>
          <w:color w:val="231F20"/>
        </w:rPr>
        <w:t>à son effigie.</w:t>
      </w:r>
    </w:p>
    <w:p>
      <w:pPr>
        <w:pStyle w:val="BodyText"/>
        <w:spacing w:before="120"/>
        <w:ind w:right="104" w:firstLine="283"/>
      </w:pPr>
      <w:r>
        <w:rPr>
          <w:color w:val="231F20"/>
        </w:rPr>
        <w:t>Dans le mois qui suit l'indépendance, une</w:t>
      </w:r>
      <w:r>
        <w:rPr>
          <w:color w:val="231F20"/>
          <w:spacing w:val="-14"/>
        </w:rPr>
        <w:t> </w:t>
      </w:r>
      <w:r>
        <w:rPr>
          <w:color w:val="231F20"/>
        </w:rPr>
        <w:t>motion de censure</w:t>
      </w:r>
      <w:r>
        <w:rPr>
          <w:color w:val="231F20"/>
          <w:spacing w:val="-14"/>
        </w:rPr>
        <w:t> </w:t>
      </w:r>
      <w:r>
        <w:rPr>
          <w:color w:val="231F20"/>
        </w:rPr>
        <w:t>est déposée à</w:t>
      </w:r>
      <w:r>
        <w:rPr>
          <w:color w:val="231F20"/>
          <w:spacing w:val="-1"/>
        </w:rPr>
        <w:t> </w:t>
      </w:r>
      <w:r>
        <w:rPr>
          <w:color w:val="231F20"/>
        </w:rPr>
        <w:t>l’Assemblée contre</w:t>
      </w:r>
      <w:r>
        <w:rPr>
          <w:color w:val="231F20"/>
          <w:spacing w:val="-1"/>
        </w:rPr>
        <w:t> </w:t>
      </w:r>
      <w:r>
        <w:rPr>
          <w:color w:val="231F20"/>
        </w:rPr>
        <w:t>son</w:t>
      </w:r>
      <w:r>
        <w:rPr>
          <w:color w:val="231F20"/>
          <w:spacing w:val="-1"/>
        </w:rPr>
        <w:t> </w:t>
      </w:r>
      <w:r>
        <w:rPr>
          <w:color w:val="231F20"/>
        </w:rPr>
        <w:t>gouvernement.</w:t>
      </w:r>
      <w:r>
        <w:rPr>
          <w:color w:val="231F20"/>
          <w:spacing w:val="-1"/>
        </w:rPr>
        <w:t> </w:t>
      </w:r>
      <w:r>
        <w:rPr>
          <w:color w:val="231F20"/>
        </w:rPr>
        <w:t>Youlou</w:t>
      </w:r>
      <w:r>
        <w:rPr>
          <w:color w:val="231F20"/>
          <w:spacing w:val="-1"/>
        </w:rPr>
        <w:t> </w:t>
      </w:r>
      <w:r>
        <w:rPr>
          <w:color w:val="231F20"/>
        </w:rPr>
        <w:t>sort en plein hémicycle,</w:t>
      </w:r>
      <w:r>
        <w:rPr>
          <w:color w:val="231F20"/>
          <w:spacing w:val="-10"/>
        </w:rPr>
        <w:t> </w:t>
      </w:r>
      <w:r>
        <w:rPr>
          <w:color w:val="231F20"/>
        </w:rPr>
        <w:t>un</w:t>
      </w:r>
      <w:r>
        <w:rPr>
          <w:color w:val="231F20"/>
          <w:spacing w:val="-10"/>
        </w:rPr>
        <w:t> </w:t>
      </w:r>
      <w:r>
        <w:rPr>
          <w:color w:val="231F20"/>
        </w:rPr>
        <w:t>revolver</w:t>
      </w:r>
      <w:r>
        <w:rPr>
          <w:color w:val="231F20"/>
          <w:spacing w:val="-10"/>
        </w:rPr>
        <w:t> </w:t>
      </w:r>
      <w:r>
        <w:rPr>
          <w:color w:val="231F20"/>
        </w:rPr>
        <w:t>de</w:t>
      </w:r>
      <w:r>
        <w:rPr>
          <w:color w:val="231F20"/>
          <w:spacing w:val="-12"/>
        </w:rPr>
        <w:t> </w:t>
      </w:r>
      <w:r>
        <w:rPr>
          <w:color w:val="231F20"/>
        </w:rPr>
        <w:t>sa</w:t>
      </w:r>
      <w:r>
        <w:rPr>
          <w:color w:val="231F20"/>
          <w:spacing w:val="-10"/>
        </w:rPr>
        <w:t> </w:t>
      </w:r>
      <w:r>
        <w:rPr>
          <w:color w:val="231F20"/>
        </w:rPr>
        <w:t>soutane</w:t>
      </w:r>
      <w:r>
        <w:rPr>
          <w:color w:val="231F20"/>
          <w:spacing w:val="-10"/>
        </w:rPr>
        <w:t> </w:t>
      </w:r>
      <w:r>
        <w:rPr>
          <w:color w:val="231F20"/>
        </w:rPr>
        <w:t>et</w:t>
      </w:r>
      <w:r>
        <w:rPr>
          <w:color w:val="231F20"/>
          <w:spacing w:val="-9"/>
        </w:rPr>
        <w:t> </w:t>
      </w:r>
      <w:r>
        <w:rPr>
          <w:color w:val="231F20"/>
        </w:rPr>
        <w:t>force</w:t>
      </w:r>
      <w:r>
        <w:rPr>
          <w:color w:val="231F20"/>
          <w:spacing w:val="-10"/>
        </w:rPr>
        <w:t> </w:t>
      </w:r>
      <w:r>
        <w:rPr>
          <w:color w:val="231F20"/>
        </w:rPr>
        <w:t>les</w:t>
      </w:r>
      <w:r>
        <w:rPr>
          <w:color w:val="231F20"/>
          <w:spacing w:val="-9"/>
        </w:rPr>
        <w:t> </w:t>
      </w:r>
      <w:r>
        <w:rPr>
          <w:color w:val="231F20"/>
        </w:rPr>
        <w:t>impertinents</w:t>
      </w:r>
      <w:r>
        <w:rPr>
          <w:color w:val="231F20"/>
          <w:spacing w:val="-10"/>
        </w:rPr>
        <w:t> </w:t>
      </w:r>
      <w:r>
        <w:rPr>
          <w:color w:val="231F20"/>
        </w:rPr>
        <w:t>députés</w:t>
      </w:r>
      <w:r>
        <w:rPr>
          <w:color w:val="231F20"/>
          <w:spacing w:val="-10"/>
        </w:rPr>
        <w:t> </w:t>
      </w:r>
      <w:r>
        <w:rPr>
          <w:color w:val="231F20"/>
        </w:rPr>
        <w:t>à retirer leur motion.</w:t>
      </w:r>
    </w:p>
    <w:p>
      <w:pPr>
        <w:pStyle w:val="BodyText"/>
        <w:spacing w:before="121"/>
        <w:ind w:right="104" w:firstLine="283"/>
      </w:pPr>
      <w:r>
        <w:rPr>
          <w:color w:val="231F20"/>
        </w:rPr>
        <w:t>Le</w:t>
      </w:r>
      <w:r>
        <w:rPr>
          <w:color w:val="231F20"/>
          <w:spacing w:val="-15"/>
        </w:rPr>
        <w:t> </w:t>
      </w:r>
      <w:r>
        <w:rPr>
          <w:color w:val="231F20"/>
        </w:rPr>
        <w:t>2</w:t>
      </w:r>
      <w:r>
        <w:rPr>
          <w:color w:val="231F20"/>
          <w:spacing w:val="-15"/>
        </w:rPr>
        <w:t> </w:t>
      </w:r>
      <w:r>
        <w:rPr>
          <w:color w:val="231F20"/>
        </w:rPr>
        <w:t>mars</w:t>
      </w:r>
      <w:r>
        <w:rPr>
          <w:color w:val="231F20"/>
          <w:spacing w:val="-15"/>
        </w:rPr>
        <w:t> </w:t>
      </w:r>
      <w:r>
        <w:rPr>
          <w:color w:val="231F20"/>
        </w:rPr>
        <w:t>1961,</w:t>
      </w:r>
      <w:r>
        <w:rPr>
          <w:color w:val="231F20"/>
          <w:spacing w:val="-15"/>
        </w:rPr>
        <w:t> </w:t>
      </w:r>
      <w:r>
        <w:rPr>
          <w:color w:val="231F20"/>
        </w:rPr>
        <w:t>une</w:t>
      </w:r>
      <w:r>
        <w:rPr>
          <w:color w:val="231F20"/>
          <w:spacing w:val="-15"/>
        </w:rPr>
        <w:t> </w:t>
      </w:r>
      <w:r>
        <w:rPr>
          <w:color w:val="231F20"/>
        </w:rPr>
        <w:t>nouvelle</w:t>
      </w:r>
      <w:r>
        <w:rPr>
          <w:color w:val="231F20"/>
          <w:spacing w:val="-15"/>
        </w:rPr>
        <w:t> </w:t>
      </w:r>
      <w:r>
        <w:rPr>
          <w:color w:val="231F20"/>
        </w:rPr>
        <w:t>Constitution</w:t>
      </w:r>
      <w:r>
        <w:rPr>
          <w:color w:val="231F20"/>
          <w:spacing w:val="-15"/>
        </w:rPr>
        <w:t> </w:t>
      </w:r>
      <w:r>
        <w:rPr>
          <w:color w:val="231F20"/>
        </w:rPr>
        <w:t>est</w:t>
      </w:r>
      <w:r>
        <w:rPr>
          <w:color w:val="231F20"/>
          <w:spacing w:val="-15"/>
        </w:rPr>
        <w:t> </w:t>
      </w:r>
      <w:r>
        <w:rPr>
          <w:color w:val="231F20"/>
        </w:rPr>
        <w:t>adoptée.</w:t>
      </w:r>
      <w:r>
        <w:rPr>
          <w:color w:val="231F20"/>
          <w:spacing w:val="-15"/>
        </w:rPr>
        <w:t> </w:t>
      </w:r>
      <w:r>
        <w:rPr>
          <w:color w:val="231F20"/>
        </w:rPr>
        <w:t>Elle</w:t>
      </w:r>
      <w:r>
        <w:rPr>
          <w:color w:val="231F20"/>
          <w:spacing w:val="-12"/>
        </w:rPr>
        <w:t> </w:t>
      </w:r>
      <w:r>
        <w:rPr>
          <w:color w:val="231F20"/>
        </w:rPr>
        <w:t>consacre un régime présidentiel renforcé et institue l’indépendance entre les pouvoirs Exécutif et Législatif</w:t>
      </w:r>
      <w:r>
        <w:rPr>
          <w:color w:val="231F20"/>
          <w:spacing w:val="-15"/>
        </w:rPr>
        <w:t> </w:t>
      </w:r>
      <w:r>
        <w:rPr>
          <w:color w:val="231F20"/>
        </w:rPr>
        <w:t>: l’Assemblée ne peut pas renverser le Gouvernement tandis que le Président de la République ne peut plus dissoudre la Chambre. A la suite de sa décision d’imposer le monopartisme,</w:t>
      </w:r>
      <w:r>
        <w:rPr>
          <w:color w:val="231F20"/>
          <w:spacing w:val="-14"/>
        </w:rPr>
        <w:t> </w:t>
      </w:r>
      <w:r>
        <w:rPr>
          <w:color w:val="231F20"/>
        </w:rPr>
        <w:t>les</w:t>
      </w:r>
      <w:r>
        <w:rPr>
          <w:color w:val="231F20"/>
          <w:spacing w:val="-14"/>
        </w:rPr>
        <w:t> </w:t>
      </w:r>
      <w:r>
        <w:rPr>
          <w:color w:val="231F20"/>
        </w:rPr>
        <w:t>syndicats</w:t>
      </w:r>
      <w:r>
        <w:rPr>
          <w:color w:val="231F20"/>
          <w:spacing w:val="-12"/>
        </w:rPr>
        <w:t> </w:t>
      </w:r>
      <w:r>
        <w:rPr>
          <w:color w:val="231F20"/>
        </w:rPr>
        <w:t>paralysent</w:t>
      </w:r>
      <w:r>
        <w:rPr>
          <w:color w:val="231F20"/>
          <w:spacing w:val="-11"/>
        </w:rPr>
        <w:t> </w:t>
      </w:r>
      <w:r>
        <w:rPr>
          <w:color w:val="231F20"/>
        </w:rPr>
        <w:t>par</w:t>
      </w:r>
      <w:r>
        <w:rPr>
          <w:color w:val="231F20"/>
          <w:spacing w:val="-14"/>
        </w:rPr>
        <w:t> </w:t>
      </w:r>
      <w:r>
        <w:rPr>
          <w:color w:val="231F20"/>
        </w:rPr>
        <w:t>des</w:t>
      </w:r>
      <w:r>
        <w:rPr>
          <w:color w:val="231F20"/>
          <w:spacing w:val="-12"/>
        </w:rPr>
        <w:t> </w:t>
      </w:r>
      <w:r>
        <w:rPr>
          <w:color w:val="231F20"/>
        </w:rPr>
        <w:t>grèves</w:t>
      </w:r>
      <w:r>
        <w:rPr>
          <w:color w:val="231F20"/>
          <w:spacing w:val="-12"/>
        </w:rPr>
        <w:t> </w:t>
      </w:r>
      <w:r>
        <w:rPr>
          <w:color w:val="231F20"/>
        </w:rPr>
        <w:t>et</w:t>
      </w:r>
      <w:r>
        <w:rPr>
          <w:color w:val="231F20"/>
          <w:spacing w:val="-14"/>
        </w:rPr>
        <w:t> </w:t>
      </w:r>
      <w:r>
        <w:rPr>
          <w:color w:val="231F20"/>
        </w:rPr>
        <w:t>des</w:t>
      </w:r>
      <w:r>
        <w:rPr>
          <w:color w:val="231F20"/>
          <w:spacing w:val="-11"/>
        </w:rPr>
        <w:t> </w:t>
      </w:r>
      <w:r>
        <w:rPr>
          <w:color w:val="231F20"/>
        </w:rPr>
        <w:t>marches</w:t>
      </w:r>
      <w:r>
        <w:rPr>
          <w:color w:val="231F20"/>
          <w:spacing w:val="-14"/>
        </w:rPr>
        <w:t> </w:t>
      </w:r>
      <w:r>
        <w:rPr>
          <w:color w:val="231F20"/>
        </w:rPr>
        <w:t>la capitale Brazzaville les 13, 14 et 15 août 1963. Ces trois jours sont baptisés par les Congolais, les «</w:t>
      </w:r>
      <w:r>
        <w:rPr>
          <w:color w:val="231F20"/>
          <w:spacing w:val="-13"/>
        </w:rPr>
        <w:t> </w:t>
      </w:r>
      <w:r>
        <w:rPr>
          <w:color w:val="231F20"/>
        </w:rPr>
        <w:t>trois glorieuses</w:t>
      </w:r>
      <w:r>
        <w:rPr>
          <w:color w:val="231F20"/>
          <w:spacing w:val="-15"/>
        </w:rPr>
        <w:t> </w:t>
      </w:r>
      <w:r>
        <w:rPr>
          <w:color w:val="231F20"/>
        </w:rPr>
        <w:t>» en référence à la révolution de juillet 1830 en France</w:t>
      </w:r>
      <w:r>
        <w:rPr>
          <w:color w:val="76787A"/>
          <w:vertAlign w:val="superscript"/>
        </w:rPr>
        <w:t>57</w:t>
      </w:r>
      <w:r>
        <w:rPr>
          <w:color w:val="231F20"/>
          <w:vertAlign w:val="baseline"/>
        </w:rPr>
        <w:t>. Des dirigeants syndicaux sont arrêtés</w:t>
      </w:r>
      <w:r>
        <w:rPr>
          <w:color w:val="231F20"/>
          <w:spacing w:val="11"/>
          <w:vertAlign w:val="baseline"/>
        </w:rPr>
        <w:t> </w:t>
      </w:r>
      <w:r>
        <w:rPr>
          <w:color w:val="231F20"/>
          <w:vertAlign w:val="baseline"/>
        </w:rPr>
        <w:t>et</w:t>
      </w:r>
      <w:r>
        <w:rPr>
          <w:color w:val="231F20"/>
          <w:spacing w:val="11"/>
          <w:vertAlign w:val="baseline"/>
        </w:rPr>
        <w:t> </w:t>
      </w:r>
      <w:r>
        <w:rPr>
          <w:color w:val="231F20"/>
          <w:vertAlign w:val="baseline"/>
        </w:rPr>
        <w:t>emprisonnés</w:t>
      </w:r>
      <w:r>
        <w:rPr>
          <w:color w:val="231F20"/>
          <w:spacing w:val="10"/>
          <w:vertAlign w:val="baseline"/>
        </w:rPr>
        <w:t> </w:t>
      </w:r>
      <w:r>
        <w:rPr>
          <w:color w:val="231F20"/>
          <w:vertAlign w:val="baseline"/>
        </w:rPr>
        <w:t>donnant</w:t>
      </w:r>
      <w:r>
        <w:rPr>
          <w:color w:val="231F20"/>
          <w:spacing w:val="11"/>
          <w:vertAlign w:val="baseline"/>
        </w:rPr>
        <w:t> </w:t>
      </w:r>
      <w:r>
        <w:rPr>
          <w:color w:val="231F20"/>
          <w:vertAlign w:val="baseline"/>
        </w:rPr>
        <w:t>lieu</w:t>
      </w:r>
      <w:r>
        <w:rPr>
          <w:color w:val="231F20"/>
          <w:spacing w:val="10"/>
          <w:vertAlign w:val="baseline"/>
        </w:rPr>
        <w:t> </w:t>
      </w:r>
      <w:r>
        <w:rPr>
          <w:color w:val="231F20"/>
          <w:vertAlign w:val="baseline"/>
        </w:rPr>
        <w:t>à</w:t>
      </w:r>
      <w:r>
        <w:rPr>
          <w:color w:val="231F20"/>
          <w:spacing w:val="10"/>
          <w:vertAlign w:val="baseline"/>
        </w:rPr>
        <w:t> </w:t>
      </w:r>
      <w:r>
        <w:rPr>
          <w:color w:val="231F20"/>
          <w:vertAlign w:val="baseline"/>
        </w:rPr>
        <w:t>des</w:t>
      </w:r>
      <w:r>
        <w:rPr>
          <w:color w:val="231F20"/>
          <w:spacing w:val="10"/>
          <w:vertAlign w:val="baseline"/>
        </w:rPr>
        <w:t> </w:t>
      </w:r>
      <w:r>
        <w:rPr>
          <w:color w:val="231F20"/>
          <w:vertAlign w:val="baseline"/>
        </w:rPr>
        <w:t>manifestations</w:t>
      </w:r>
      <w:r>
        <w:rPr>
          <w:color w:val="231F20"/>
          <w:spacing w:val="10"/>
          <w:vertAlign w:val="baseline"/>
        </w:rPr>
        <w:t> </w:t>
      </w:r>
      <w:r>
        <w:rPr>
          <w:color w:val="231F20"/>
          <w:vertAlign w:val="baseline"/>
        </w:rPr>
        <w:t>violentes</w:t>
      </w:r>
      <w:r>
        <w:rPr>
          <w:color w:val="231F20"/>
          <w:spacing w:val="10"/>
          <w:vertAlign w:val="baseline"/>
        </w:rPr>
        <w:t> </w:t>
      </w:r>
      <w:r>
        <w:rPr>
          <w:color w:val="231F20"/>
          <w:spacing w:val="-5"/>
          <w:vertAlign w:val="baseline"/>
        </w:rPr>
        <w:t>qui</w:t>
      </w:r>
    </w:p>
    <w:p>
      <w:pPr>
        <w:pStyle w:val="BodyText"/>
        <w:spacing w:before="1"/>
        <w:ind w:left="0"/>
        <w:jc w:val="left"/>
        <w:rPr>
          <w:sz w:val="14"/>
        </w:rPr>
      </w:pPr>
      <w:r>
        <w:rPr/>
        <mc:AlternateContent>
          <mc:Choice Requires="wps">
            <w:drawing>
              <wp:anchor distT="0" distB="0" distL="0" distR="0" allowOverlap="1" layoutInCell="1" locked="0" behindDoc="1" simplePos="0" relativeHeight="487606784">
                <wp:simplePos x="0" y="0"/>
                <wp:positionH relativeFrom="page">
                  <wp:posOffset>629907</wp:posOffset>
                </wp:positionH>
                <wp:positionV relativeFrom="paragraph">
                  <wp:posOffset>118328</wp:posOffset>
                </wp:positionV>
                <wp:extent cx="1829435" cy="952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9.317187pt;width:144.020pt;height:.72pt;mso-position-horizontal-relative:page;mso-position-vertical-relative:paragraph;z-index:-15709696;mso-wrap-distance-left:0;mso-wrap-distance-right:0" id="docshape52" filled="true" fillcolor="#231f20" stroked="false">
                <v:fill type="solid"/>
                <w10:wrap type="topAndBottom"/>
              </v:rect>
            </w:pict>
          </mc:Fallback>
        </mc:AlternateContent>
      </w:r>
    </w:p>
    <w:p>
      <w:pPr>
        <w:spacing w:before="94"/>
        <w:ind w:left="111" w:right="0" w:firstLine="0"/>
        <w:jc w:val="left"/>
        <w:rPr>
          <w:sz w:val="20"/>
        </w:rPr>
      </w:pPr>
      <w:r>
        <w:rPr>
          <w:color w:val="76787A"/>
          <w:sz w:val="20"/>
          <w:vertAlign w:val="superscript"/>
        </w:rPr>
        <w:t>57</w:t>
      </w:r>
      <w:r>
        <w:rPr>
          <w:color w:val="76787A"/>
          <w:spacing w:val="-13"/>
          <w:sz w:val="20"/>
          <w:vertAlign w:val="baseline"/>
        </w:rPr>
        <w:t> </w:t>
      </w:r>
      <w:r>
        <w:rPr>
          <w:color w:val="231F20"/>
          <w:sz w:val="20"/>
          <w:vertAlign w:val="baseline"/>
        </w:rPr>
        <w:t>Cette révolution dite</w:t>
      </w:r>
      <w:r>
        <w:rPr>
          <w:color w:val="231F20"/>
          <w:spacing w:val="-12"/>
          <w:sz w:val="20"/>
          <w:vertAlign w:val="baseline"/>
        </w:rPr>
        <w:t> </w:t>
      </w:r>
      <w:r>
        <w:rPr>
          <w:color w:val="231F20"/>
          <w:sz w:val="20"/>
          <w:vertAlign w:val="baseline"/>
        </w:rPr>
        <w:t>les</w:t>
      </w:r>
      <w:r>
        <w:rPr>
          <w:color w:val="231F20"/>
          <w:spacing w:val="3"/>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trois</w:t>
      </w:r>
      <w:r>
        <w:rPr>
          <w:color w:val="231F20"/>
          <w:spacing w:val="9"/>
          <w:sz w:val="20"/>
          <w:vertAlign w:val="baseline"/>
        </w:rPr>
        <w:t> </w:t>
      </w:r>
      <w:r>
        <w:rPr>
          <w:color w:val="231F20"/>
          <w:sz w:val="20"/>
          <w:vertAlign w:val="baseline"/>
        </w:rPr>
        <w:t>glorieuses</w:t>
      </w:r>
      <w:r>
        <w:rPr>
          <w:color w:val="231F20"/>
          <w:spacing w:val="-13"/>
          <w:sz w:val="20"/>
          <w:vertAlign w:val="baseline"/>
        </w:rPr>
        <w:t> </w:t>
      </w:r>
      <w:r>
        <w:rPr>
          <w:color w:val="231F20"/>
          <w:sz w:val="20"/>
          <w:vertAlign w:val="baseline"/>
        </w:rPr>
        <w:t>»,</w:t>
      </w:r>
      <w:r>
        <w:rPr>
          <w:color w:val="231F20"/>
          <w:spacing w:val="8"/>
          <w:sz w:val="20"/>
          <w:vertAlign w:val="baseline"/>
        </w:rPr>
        <w:t> </w:t>
      </w:r>
      <w:r>
        <w:rPr>
          <w:color w:val="231F20"/>
          <w:sz w:val="20"/>
          <w:vertAlign w:val="baseline"/>
        </w:rPr>
        <w:t>s’était</w:t>
      </w:r>
      <w:r>
        <w:rPr>
          <w:color w:val="231F20"/>
          <w:spacing w:val="7"/>
          <w:sz w:val="20"/>
          <w:vertAlign w:val="baseline"/>
        </w:rPr>
        <w:t> </w:t>
      </w:r>
      <w:r>
        <w:rPr>
          <w:color w:val="231F20"/>
          <w:sz w:val="20"/>
          <w:vertAlign w:val="baseline"/>
        </w:rPr>
        <w:t>déroulée</w:t>
      </w:r>
      <w:r>
        <w:rPr>
          <w:color w:val="231F20"/>
          <w:spacing w:val="8"/>
          <w:sz w:val="20"/>
          <w:vertAlign w:val="baseline"/>
        </w:rPr>
        <w:t> </w:t>
      </w:r>
      <w:r>
        <w:rPr>
          <w:color w:val="231F20"/>
          <w:sz w:val="20"/>
          <w:vertAlign w:val="baseline"/>
        </w:rPr>
        <w:t>sur</w:t>
      </w:r>
      <w:r>
        <w:rPr>
          <w:color w:val="231F20"/>
          <w:spacing w:val="7"/>
          <w:sz w:val="20"/>
          <w:vertAlign w:val="baseline"/>
        </w:rPr>
        <w:t> </w:t>
      </w:r>
      <w:r>
        <w:rPr>
          <w:color w:val="231F20"/>
          <w:sz w:val="20"/>
          <w:vertAlign w:val="baseline"/>
        </w:rPr>
        <w:t>trois</w:t>
      </w:r>
      <w:r>
        <w:rPr>
          <w:color w:val="231F20"/>
          <w:spacing w:val="9"/>
          <w:sz w:val="20"/>
          <w:vertAlign w:val="baseline"/>
        </w:rPr>
        <w:t> </w:t>
      </w:r>
      <w:r>
        <w:rPr>
          <w:color w:val="231F20"/>
          <w:sz w:val="20"/>
          <w:vertAlign w:val="baseline"/>
        </w:rPr>
        <w:t>journées,</w:t>
      </w:r>
      <w:r>
        <w:rPr>
          <w:color w:val="231F20"/>
          <w:spacing w:val="7"/>
          <w:sz w:val="20"/>
          <w:vertAlign w:val="baseline"/>
        </w:rPr>
        <w:t> </w:t>
      </w:r>
      <w:r>
        <w:rPr>
          <w:color w:val="231F20"/>
          <w:spacing w:val="-5"/>
          <w:sz w:val="20"/>
          <w:vertAlign w:val="baseline"/>
        </w:rPr>
        <w:t>les</w:t>
      </w:r>
    </w:p>
    <w:p>
      <w:pPr>
        <w:spacing w:before="0"/>
        <w:ind w:left="111" w:right="0" w:firstLine="0"/>
        <w:jc w:val="left"/>
        <w:rPr>
          <w:sz w:val="20"/>
        </w:rPr>
      </w:pPr>
      <w:r>
        <w:rPr>
          <w:color w:val="231F20"/>
          <w:spacing w:val="-2"/>
          <w:sz w:val="20"/>
        </w:rPr>
        <w:t>27,28</w:t>
      </w:r>
      <w:r>
        <w:rPr>
          <w:color w:val="231F20"/>
          <w:spacing w:val="-11"/>
          <w:sz w:val="20"/>
        </w:rPr>
        <w:t> </w:t>
      </w:r>
      <w:r>
        <w:rPr>
          <w:color w:val="231F20"/>
          <w:spacing w:val="-2"/>
          <w:sz w:val="20"/>
        </w:rPr>
        <w:t>et</w:t>
      </w:r>
      <w:r>
        <w:rPr>
          <w:color w:val="231F20"/>
          <w:spacing w:val="-10"/>
          <w:sz w:val="20"/>
        </w:rPr>
        <w:t> </w:t>
      </w:r>
      <w:r>
        <w:rPr>
          <w:color w:val="231F20"/>
          <w:spacing w:val="-2"/>
          <w:sz w:val="20"/>
        </w:rPr>
        <w:t>29</w:t>
      </w:r>
      <w:r>
        <w:rPr>
          <w:color w:val="231F20"/>
          <w:spacing w:val="-11"/>
          <w:sz w:val="20"/>
        </w:rPr>
        <w:t> </w:t>
      </w:r>
      <w:r>
        <w:rPr>
          <w:color w:val="231F20"/>
          <w:spacing w:val="-2"/>
          <w:sz w:val="20"/>
        </w:rPr>
        <w:t>juillet</w:t>
      </w:r>
      <w:r>
        <w:rPr>
          <w:color w:val="231F20"/>
          <w:spacing w:val="-10"/>
          <w:sz w:val="20"/>
        </w:rPr>
        <w:t> </w:t>
      </w:r>
      <w:r>
        <w:rPr>
          <w:color w:val="231F20"/>
          <w:spacing w:val="-2"/>
          <w:sz w:val="20"/>
        </w:rPr>
        <w:t>1830</w:t>
      </w:r>
      <w:r>
        <w:rPr>
          <w:color w:val="231F20"/>
          <w:spacing w:val="-11"/>
          <w:sz w:val="20"/>
        </w:rPr>
        <w:t> </w:t>
      </w:r>
      <w:r>
        <w:rPr>
          <w:color w:val="231F20"/>
          <w:spacing w:val="-2"/>
          <w:sz w:val="20"/>
        </w:rPr>
        <w:t>à</w:t>
      </w:r>
      <w:r>
        <w:rPr>
          <w:color w:val="231F20"/>
          <w:spacing w:val="-10"/>
          <w:sz w:val="20"/>
        </w:rPr>
        <w:t> </w:t>
      </w:r>
      <w:r>
        <w:rPr>
          <w:color w:val="231F20"/>
          <w:spacing w:val="-2"/>
          <w:sz w:val="20"/>
        </w:rPr>
        <w:t>Paris</w:t>
      </w:r>
      <w:r>
        <w:rPr>
          <w:color w:val="231F20"/>
          <w:spacing w:val="-11"/>
          <w:sz w:val="20"/>
        </w:rPr>
        <w:t> </w:t>
      </w:r>
      <w:r>
        <w:rPr>
          <w:color w:val="231F20"/>
          <w:spacing w:val="-2"/>
          <w:sz w:val="20"/>
        </w:rPr>
        <w:t>et</w:t>
      </w:r>
      <w:r>
        <w:rPr>
          <w:color w:val="231F20"/>
          <w:spacing w:val="-10"/>
          <w:sz w:val="20"/>
        </w:rPr>
        <w:t> </w:t>
      </w:r>
      <w:r>
        <w:rPr>
          <w:color w:val="231F20"/>
          <w:spacing w:val="-2"/>
          <w:sz w:val="20"/>
        </w:rPr>
        <w:t>mis</w:t>
      </w:r>
      <w:r>
        <w:rPr>
          <w:color w:val="231F20"/>
          <w:spacing w:val="-10"/>
          <w:sz w:val="20"/>
        </w:rPr>
        <w:t> </w:t>
      </w:r>
      <w:r>
        <w:rPr>
          <w:color w:val="231F20"/>
          <w:spacing w:val="-2"/>
          <w:sz w:val="20"/>
        </w:rPr>
        <w:t>sur</w:t>
      </w:r>
      <w:r>
        <w:rPr>
          <w:color w:val="231F20"/>
          <w:spacing w:val="-10"/>
          <w:sz w:val="20"/>
        </w:rPr>
        <w:t> </w:t>
      </w:r>
      <w:r>
        <w:rPr>
          <w:color w:val="231F20"/>
          <w:spacing w:val="-2"/>
          <w:sz w:val="20"/>
        </w:rPr>
        <w:t>le</w:t>
      </w:r>
      <w:r>
        <w:rPr>
          <w:color w:val="231F20"/>
          <w:spacing w:val="-11"/>
          <w:sz w:val="20"/>
        </w:rPr>
        <w:t> </w:t>
      </w:r>
      <w:r>
        <w:rPr>
          <w:color w:val="231F20"/>
          <w:spacing w:val="-2"/>
          <w:sz w:val="20"/>
        </w:rPr>
        <w:t>trône</w:t>
      </w:r>
      <w:r>
        <w:rPr>
          <w:color w:val="231F20"/>
          <w:spacing w:val="-8"/>
          <w:sz w:val="20"/>
        </w:rPr>
        <w:t> </w:t>
      </w:r>
      <w:r>
        <w:rPr>
          <w:color w:val="231F20"/>
          <w:spacing w:val="-2"/>
          <w:sz w:val="20"/>
        </w:rPr>
        <w:t>Louis</w:t>
      </w:r>
      <w:r>
        <w:rPr>
          <w:color w:val="231F20"/>
          <w:spacing w:val="-10"/>
          <w:sz w:val="20"/>
        </w:rPr>
        <w:t> </w:t>
      </w:r>
      <w:r>
        <w:rPr>
          <w:color w:val="231F20"/>
          <w:spacing w:val="-2"/>
          <w:sz w:val="20"/>
        </w:rPr>
        <w:t>Philippe</w:t>
      </w:r>
      <w:r>
        <w:rPr>
          <w:color w:val="231F20"/>
          <w:spacing w:val="-11"/>
          <w:sz w:val="20"/>
        </w:rPr>
        <w:t> </w:t>
      </w:r>
      <w:r>
        <w:rPr>
          <w:color w:val="231F20"/>
          <w:spacing w:val="-5"/>
          <w:sz w:val="20"/>
        </w:rPr>
        <w:t>I</w:t>
      </w:r>
      <w:r>
        <w:rPr>
          <w:color w:val="231F20"/>
          <w:spacing w:val="-5"/>
          <w:sz w:val="20"/>
          <w:vertAlign w:val="superscript"/>
        </w:rPr>
        <w:t>er</w:t>
      </w:r>
    </w:p>
    <w:p>
      <w:pPr>
        <w:spacing w:after="0"/>
        <w:jc w:val="left"/>
        <w:rPr>
          <w:sz w:val="20"/>
        </w:rPr>
        <w:sectPr>
          <w:pgSz w:w="8790" w:h="13610"/>
          <w:pgMar w:header="0" w:footer="802" w:top="1060" w:bottom="1000" w:left="880" w:right="880"/>
        </w:sectPr>
      </w:pPr>
    </w:p>
    <w:p>
      <w:pPr>
        <w:pStyle w:val="BodyText"/>
        <w:spacing w:before="66"/>
      </w:pPr>
      <w:r>
        <w:rPr>
          <w:color w:val="231F20"/>
          <w:spacing w:val="-4"/>
        </w:rPr>
        <w:t>occasionnent</w:t>
      </w:r>
      <w:r>
        <w:rPr>
          <w:color w:val="231F20"/>
          <w:spacing w:val="-10"/>
        </w:rPr>
        <w:t> </w:t>
      </w:r>
      <w:r>
        <w:rPr>
          <w:color w:val="231F20"/>
          <w:spacing w:val="-4"/>
        </w:rPr>
        <w:t>des</w:t>
      </w:r>
      <w:r>
        <w:rPr>
          <w:color w:val="231F20"/>
          <w:spacing w:val="-13"/>
        </w:rPr>
        <w:t> </w:t>
      </w:r>
      <w:r>
        <w:rPr>
          <w:color w:val="231F20"/>
          <w:spacing w:val="-4"/>
        </w:rPr>
        <w:t>morts.</w:t>
      </w:r>
      <w:r>
        <w:rPr>
          <w:color w:val="231F20"/>
          <w:spacing w:val="-13"/>
        </w:rPr>
        <w:t> </w:t>
      </w:r>
      <w:r>
        <w:rPr>
          <w:color w:val="231F20"/>
          <w:spacing w:val="-4"/>
        </w:rPr>
        <w:t>Sans</w:t>
      </w:r>
      <w:r>
        <w:rPr>
          <w:color w:val="231F20"/>
          <w:spacing w:val="-11"/>
        </w:rPr>
        <w:t> </w:t>
      </w:r>
      <w:r>
        <w:rPr>
          <w:color w:val="231F20"/>
          <w:spacing w:val="-4"/>
        </w:rPr>
        <w:t>soutien,</w:t>
      </w:r>
      <w:r>
        <w:rPr>
          <w:color w:val="231F20"/>
          <w:spacing w:val="-9"/>
        </w:rPr>
        <w:t> </w:t>
      </w:r>
      <w:r>
        <w:rPr>
          <w:color w:val="231F20"/>
          <w:spacing w:val="-4"/>
        </w:rPr>
        <w:t>abandonné</w:t>
      </w:r>
      <w:r>
        <w:rPr>
          <w:color w:val="231F20"/>
          <w:spacing w:val="-10"/>
        </w:rPr>
        <w:t> </w:t>
      </w:r>
      <w:r>
        <w:rPr>
          <w:color w:val="231F20"/>
          <w:spacing w:val="-4"/>
        </w:rPr>
        <w:t>par</w:t>
      </w:r>
      <w:r>
        <w:rPr>
          <w:color w:val="231F20"/>
          <w:spacing w:val="-10"/>
        </w:rPr>
        <w:t> </w:t>
      </w:r>
      <w:r>
        <w:rPr>
          <w:color w:val="231F20"/>
          <w:spacing w:val="-4"/>
        </w:rPr>
        <w:t>le</w:t>
      </w:r>
      <w:r>
        <w:rPr>
          <w:color w:val="231F20"/>
          <w:spacing w:val="-10"/>
        </w:rPr>
        <w:t> </w:t>
      </w:r>
      <w:r>
        <w:rPr>
          <w:color w:val="231F20"/>
          <w:spacing w:val="-4"/>
        </w:rPr>
        <w:t>général</w:t>
      </w:r>
      <w:r>
        <w:rPr>
          <w:color w:val="231F20"/>
          <w:spacing w:val="-12"/>
        </w:rPr>
        <w:t> </w:t>
      </w:r>
      <w:r>
        <w:rPr>
          <w:color w:val="231F20"/>
          <w:spacing w:val="-4"/>
        </w:rPr>
        <w:t>de</w:t>
      </w:r>
      <w:r>
        <w:rPr>
          <w:color w:val="231F20"/>
          <w:spacing w:val="-10"/>
        </w:rPr>
        <w:t> </w:t>
      </w:r>
      <w:r>
        <w:rPr>
          <w:color w:val="231F20"/>
          <w:spacing w:val="-4"/>
        </w:rPr>
        <w:t>Gaulle,</w:t>
      </w:r>
    </w:p>
    <w:p>
      <w:pPr>
        <w:pStyle w:val="BodyText"/>
      </w:pPr>
      <w:r>
        <w:rPr>
          <w:color w:val="231F20"/>
          <w:spacing w:val="-2"/>
        </w:rPr>
        <w:t>l’abbé</w:t>
      </w:r>
      <w:r>
        <w:rPr>
          <w:color w:val="231F20"/>
          <w:spacing w:val="-14"/>
        </w:rPr>
        <w:t> </w:t>
      </w:r>
      <w:r>
        <w:rPr>
          <w:color w:val="231F20"/>
          <w:spacing w:val="-2"/>
        </w:rPr>
        <w:t>Fulbert</w:t>
      </w:r>
      <w:r>
        <w:rPr>
          <w:color w:val="231F20"/>
          <w:spacing w:val="-10"/>
        </w:rPr>
        <w:t> </w:t>
      </w:r>
      <w:r>
        <w:rPr>
          <w:color w:val="231F20"/>
          <w:spacing w:val="-2"/>
        </w:rPr>
        <w:t>Youlou</w:t>
      </w:r>
      <w:r>
        <w:rPr>
          <w:color w:val="231F20"/>
          <w:spacing w:val="-13"/>
        </w:rPr>
        <w:t> </w:t>
      </w:r>
      <w:r>
        <w:rPr>
          <w:color w:val="231F20"/>
          <w:spacing w:val="-2"/>
        </w:rPr>
        <w:t>démissionne</w:t>
      </w:r>
      <w:r>
        <w:rPr>
          <w:color w:val="231F20"/>
          <w:spacing w:val="-10"/>
        </w:rPr>
        <w:t> </w:t>
      </w:r>
      <w:r>
        <w:rPr>
          <w:color w:val="231F20"/>
          <w:spacing w:val="-2"/>
        </w:rPr>
        <w:t>sous</w:t>
      </w:r>
      <w:r>
        <w:rPr>
          <w:color w:val="231F20"/>
          <w:spacing w:val="-13"/>
        </w:rPr>
        <w:t> </w:t>
      </w:r>
      <w:r>
        <w:rPr>
          <w:color w:val="231F20"/>
          <w:spacing w:val="-2"/>
        </w:rPr>
        <w:t>la</w:t>
      </w:r>
      <w:r>
        <w:rPr>
          <w:color w:val="231F20"/>
          <w:spacing w:val="-10"/>
        </w:rPr>
        <w:t> </w:t>
      </w:r>
      <w:r>
        <w:rPr>
          <w:color w:val="231F20"/>
          <w:spacing w:val="-2"/>
        </w:rPr>
        <w:t>pression</w:t>
      </w:r>
      <w:r>
        <w:rPr>
          <w:color w:val="231F20"/>
          <w:spacing w:val="-11"/>
        </w:rPr>
        <w:t> </w:t>
      </w:r>
      <w:r>
        <w:rPr>
          <w:color w:val="231F20"/>
          <w:spacing w:val="-2"/>
        </w:rPr>
        <w:t>des</w:t>
      </w:r>
      <w:r>
        <w:rPr>
          <w:color w:val="231F20"/>
          <w:spacing w:val="-12"/>
        </w:rPr>
        <w:t> </w:t>
      </w:r>
      <w:r>
        <w:rPr>
          <w:color w:val="231F20"/>
          <w:spacing w:val="-2"/>
        </w:rPr>
        <w:t>syndicalistes.</w:t>
      </w:r>
    </w:p>
    <w:p>
      <w:pPr>
        <w:pStyle w:val="BodyText"/>
        <w:spacing w:before="120"/>
        <w:ind w:left="395"/>
      </w:pPr>
      <w:r>
        <w:rPr>
          <w:color w:val="231F20"/>
        </w:rPr>
        <w:t>Le</w:t>
      </w:r>
      <w:r>
        <w:rPr>
          <w:color w:val="231F20"/>
          <w:spacing w:val="48"/>
        </w:rPr>
        <w:t> </w:t>
      </w:r>
      <w:r>
        <w:rPr>
          <w:color w:val="231F20"/>
        </w:rPr>
        <w:t>15</w:t>
      </w:r>
      <w:r>
        <w:rPr>
          <w:color w:val="231F20"/>
          <w:spacing w:val="47"/>
        </w:rPr>
        <w:t> </w:t>
      </w:r>
      <w:r>
        <w:rPr>
          <w:color w:val="231F20"/>
        </w:rPr>
        <w:t>août</w:t>
      </w:r>
      <w:r>
        <w:rPr>
          <w:color w:val="231F20"/>
          <w:spacing w:val="50"/>
        </w:rPr>
        <w:t> </w:t>
      </w:r>
      <w:r>
        <w:rPr>
          <w:color w:val="231F20"/>
        </w:rPr>
        <w:t>1963,</w:t>
      </w:r>
      <w:r>
        <w:rPr>
          <w:color w:val="231F20"/>
          <w:spacing w:val="46"/>
        </w:rPr>
        <w:t> </w:t>
      </w:r>
      <w:r>
        <w:rPr>
          <w:color w:val="231F20"/>
        </w:rPr>
        <w:t>en</w:t>
      </w:r>
      <w:r>
        <w:rPr>
          <w:color w:val="231F20"/>
          <w:spacing w:val="47"/>
        </w:rPr>
        <w:t> </w:t>
      </w:r>
      <w:r>
        <w:rPr>
          <w:color w:val="231F20"/>
        </w:rPr>
        <w:t>remplacement</w:t>
      </w:r>
      <w:r>
        <w:rPr>
          <w:color w:val="231F20"/>
          <w:spacing w:val="47"/>
        </w:rPr>
        <w:t> </w:t>
      </w:r>
      <w:r>
        <w:rPr>
          <w:color w:val="231F20"/>
        </w:rPr>
        <w:t>de</w:t>
      </w:r>
      <w:r>
        <w:rPr>
          <w:color w:val="231F20"/>
          <w:spacing w:val="47"/>
        </w:rPr>
        <w:t> </w:t>
      </w:r>
      <w:r>
        <w:rPr>
          <w:color w:val="231F20"/>
        </w:rPr>
        <w:t>l’abbé</w:t>
      </w:r>
      <w:r>
        <w:rPr>
          <w:color w:val="231F20"/>
          <w:spacing w:val="47"/>
        </w:rPr>
        <w:t> </w:t>
      </w:r>
      <w:r>
        <w:rPr>
          <w:color w:val="231F20"/>
        </w:rPr>
        <w:t>Youlou,</w:t>
      </w:r>
      <w:r>
        <w:rPr>
          <w:color w:val="231F20"/>
          <w:spacing w:val="49"/>
        </w:rPr>
        <w:t> </w:t>
      </w:r>
      <w:r>
        <w:rPr>
          <w:color w:val="231F20"/>
          <w:spacing w:val="-2"/>
        </w:rPr>
        <w:t>Alphonse</w:t>
      </w:r>
    </w:p>
    <w:p>
      <w:pPr>
        <w:pStyle w:val="BodyText"/>
      </w:pPr>
      <w:r>
        <w:rPr>
          <w:color w:val="231F20"/>
          <w:spacing w:val="-2"/>
        </w:rPr>
        <w:t>Massaba-Débat</w:t>
      </w:r>
      <w:r>
        <w:rPr>
          <w:color w:val="231F20"/>
          <w:spacing w:val="-11"/>
        </w:rPr>
        <w:t> </w:t>
      </w:r>
      <w:r>
        <w:rPr>
          <w:color w:val="231F20"/>
          <w:spacing w:val="-2"/>
        </w:rPr>
        <w:t>est</w:t>
      </w:r>
      <w:r>
        <w:rPr>
          <w:color w:val="231F20"/>
          <w:spacing w:val="-11"/>
        </w:rPr>
        <w:t> </w:t>
      </w:r>
      <w:r>
        <w:rPr>
          <w:color w:val="231F20"/>
          <w:spacing w:val="-2"/>
        </w:rPr>
        <w:t>mis</w:t>
      </w:r>
      <w:r>
        <w:rPr>
          <w:color w:val="231F20"/>
          <w:spacing w:val="-7"/>
        </w:rPr>
        <w:t> </w:t>
      </w:r>
      <w:r>
        <w:rPr>
          <w:color w:val="231F20"/>
          <w:spacing w:val="-2"/>
        </w:rPr>
        <w:t>au</w:t>
      </w:r>
      <w:r>
        <w:rPr>
          <w:color w:val="231F20"/>
          <w:spacing w:val="-11"/>
        </w:rPr>
        <w:t> </w:t>
      </w:r>
      <w:r>
        <w:rPr>
          <w:color w:val="231F20"/>
          <w:spacing w:val="-2"/>
        </w:rPr>
        <w:t>pouvoir</w:t>
      </w:r>
      <w:r>
        <w:rPr>
          <w:color w:val="231F20"/>
          <w:spacing w:val="-11"/>
        </w:rPr>
        <w:t> </w:t>
      </w:r>
      <w:r>
        <w:rPr>
          <w:color w:val="231F20"/>
          <w:spacing w:val="-2"/>
        </w:rPr>
        <w:t>par</w:t>
      </w:r>
      <w:r>
        <w:rPr>
          <w:color w:val="231F20"/>
          <w:spacing w:val="-10"/>
        </w:rPr>
        <w:t> </w:t>
      </w:r>
      <w:r>
        <w:rPr>
          <w:color w:val="231F20"/>
          <w:spacing w:val="-2"/>
        </w:rPr>
        <w:t>des</w:t>
      </w:r>
      <w:r>
        <w:rPr>
          <w:color w:val="231F20"/>
          <w:spacing w:val="-9"/>
        </w:rPr>
        <w:t> </w:t>
      </w:r>
      <w:r>
        <w:rPr>
          <w:color w:val="231F20"/>
          <w:spacing w:val="-2"/>
        </w:rPr>
        <w:t>chefs</w:t>
      </w:r>
      <w:r>
        <w:rPr>
          <w:color w:val="231F20"/>
          <w:spacing w:val="-10"/>
        </w:rPr>
        <w:t> </w:t>
      </w:r>
      <w:r>
        <w:rPr>
          <w:color w:val="231F20"/>
          <w:spacing w:val="-2"/>
        </w:rPr>
        <w:t>militaires.</w:t>
      </w:r>
    </w:p>
    <w:p>
      <w:pPr>
        <w:pStyle w:val="BodyText"/>
        <w:spacing w:before="120"/>
        <w:ind w:right="104" w:firstLine="283"/>
      </w:pPr>
      <w:r>
        <w:rPr>
          <w:color w:val="231F20"/>
          <w:spacing w:val="-4"/>
        </w:rPr>
        <w:t>Président</w:t>
      </w:r>
      <w:r>
        <w:rPr>
          <w:color w:val="231F20"/>
          <w:spacing w:val="-7"/>
        </w:rPr>
        <w:t> </w:t>
      </w:r>
      <w:r>
        <w:rPr>
          <w:color w:val="231F20"/>
          <w:spacing w:val="-4"/>
        </w:rPr>
        <w:t>de</w:t>
      </w:r>
      <w:r>
        <w:rPr>
          <w:color w:val="231F20"/>
          <w:spacing w:val="-9"/>
        </w:rPr>
        <w:t> </w:t>
      </w:r>
      <w:r>
        <w:rPr>
          <w:color w:val="231F20"/>
          <w:spacing w:val="-4"/>
        </w:rPr>
        <w:t>l'Assemblée</w:t>
      </w:r>
      <w:r>
        <w:rPr>
          <w:color w:val="231F20"/>
          <w:spacing w:val="-7"/>
        </w:rPr>
        <w:t> </w:t>
      </w:r>
      <w:r>
        <w:rPr>
          <w:color w:val="231F20"/>
          <w:spacing w:val="-4"/>
        </w:rPr>
        <w:t>nationale</w:t>
      </w:r>
      <w:r>
        <w:rPr>
          <w:color w:val="231F20"/>
          <w:spacing w:val="-7"/>
        </w:rPr>
        <w:t> </w:t>
      </w:r>
      <w:r>
        <w:rPr>
          <w:color w:val="231F20"/>
          <w:spacing w:val="-4"/>
        </w:rPr>
        <w:t>de</w:t>
      </w:r>
      <w:r>
        <w:rPr>
          <w:color w:val="231F20"/>
          <w:spacing w:val="-7"/>
        </w:rPr>
        <w:t> </w:t>
      </w:r>
      <w:r>
        <w:rPr>
          <w:color w:val="231F20"/>
          <w:spacing w:val="-4"/>
        </w:rPr>
        <w:t>1959</w:t>
      </w:r>
      <w:r>
        <w:rPr>
          <w:color w:val="231F20"/>
          <w:spacing w:val="-7"/>
        </w:rPr>
        <w:t> </w:t>
      </w:r>
      <w:r>
        <w:rPr>
          <w:color w:val="231F20"/>
          <w:spacing w:val="-4"/>
        </w:rPr>
        <w:t>à</w:t>
      </w:r>
      <w:r>
        <w:rPr>
          <w:color w:val="231F20"/>
          <w:spacing w:val="-7"/>
        </w:rPr>
        <w:t> </w:t>
      </w:r>
      <w:r>
        <w:rPr>
          <w:color w:val="231F20"/>
          <w:spacing w:val="-4"/>
        </w:rPr>
        <w:t>1961,</w:t>
      </w:r>
      <w:r>
        <w:rPr>
          <w:color w:val="231F20"/>
          <w:spacing w:val="-9"/>
        </w:rPr>
        <w:t> </w:t>
      </w:r>
      <w:r>
        <w:rPr>
          <w:color w:val="231F20"/>
          <w:spacing w:val="-4"/>
        </w:rPr>
        <w:t>ministre</w:t>
      </w:r>
      <w:r>
        <w:rPr>
          <w:color w:val="231F20"/>
          <w:spacing w:val="-9"/>
        </w:rPr>
        <w:t> </w:t>
      </w:r>
      <w:r>
        <w:rPr>
          <w:color w:val="231F20"/>
          <w:spacing w:val="-4"/>
        </w:rPr>
        <w:t>du</w:t>
      </w:r>
      <w:r>
        <w:rPr>
          <w:color w:val="231F20"/>
          <w:spacing w:val="-7"/>
        </w:rPr>
        <w:t> </w:t>
      </w:r>
      <w:r>
        <w:rPr>
          <w:color w:val="231F20"/>
          <w:spacing w:val="-4"/>
        </w:rPr>
        <w:t>Plan</w:t>
      </w:r>
      <w:r>
        <w:rPr>
          <w:color w:val="231F20"/>
          <w:spacing w:val="-6"/>
        </w:rPr>
        <w:t> </w:t>
      </w:r>
      <w:r>
        <w:rPr>
          <w:color w:val="231F20"/>
          <w:spacing w:val="-4"/>
        </w:rPr>
        <w:t>et </w:t>
      </w:r>
      <w:r>
        <w:rPr>
          <w:color w:val="231F20"/>
          <w:spacing w:val="-2"/>
        </w:rPr>
        <w:t>de</w:t>
      </w:r>
      <w:r>
        <w:rPr>
          <w:color w:val="231F20"/>
          <w:spacing w:val="-6"/>
        </w:rPr>
        <w:t> </w:t>
      </w:r>
      <w:r>
        <w:rPr>
          <w:color w:val="231F20"/>
          <w:spacing w:val="-2"/>
        </w:rPr>
        <w:t>l'Équipement</w:t>
      </w:r>
      <w:r>
        <w:rPr>
          <w:color w:val="231F20"/>
          <w:spacing w:val="-7"/>
        </w:rPr>
        <w:t> </w:t>
      </w:r>
      <w:r>
        <w:rPr>
          <w:color w:val="231F20"/>
          <w:spacing w:val="-2"/>
        </w:rPr>
        <w:t>dans</w:t>
      </w:r>
      <w:r>
        <w:rPr>
          <w:color w:val="231F20"/>
          <w:spacing w:val="-8"/>
        </w:rPr>
        <w:t> </w:t>
      </w:r>
      <w:r>
        <w:rPr>
          <w:color w:val="231F20"/>
          <w:spacing w:val="-2"/>
        </w:rPr>
        <w:t>le</w:t>
      </w:r>
      <w:r>
        <w:rPr>
          <w:color w:val="231F20"/>
          <w:spacing w:val="-10"/>
        </w:rPr>
        <w:t> </w:t>
      </w:r>
      <w:r>
        <w:rPr>
          <w:color w:val="231F20"/>
          <w:spacing w:val="-2"/>
        </w:rPr>
        <w:t>Gouvernement</w:t>
      </w:r>
      <w:r>
        <w:rPr>
          <w:color w:val="231F20"/>
          <w:spacing w:val="-5"/>
        </w:rPr>
        <w:t> </w:t>
      </w:r>
      <w:r>
        <w:rPr>
          <w:color w:val="231F20"/>
          <w:spacing w:val="-2"/>
        </w:rPr>
        <w:t>Fulbert</w:t>
      </w:r>
      <w:r>
        <w:rPr>
          <w:color w:val="231F20"/>
          <w:spacing w:val="-7"/>
        </w:rPr>
        <w:t> </w:t>
      </w:r>
      <w:r>
        <w:rPr>
          <w:color w:val="231F20"/>
          <w:spacing w:val="-2"/>
        </w:rPr>
        <w:t>Youlou</w:t>
      </w:r>
      <w:r>
        <w:rPr>
          <w:color w:val="231F20"/>
          <w:spacing w:val="-8"/>
        </w:rPr>
        <w:t> </w:t>
      </w:r>
      <w:r>
        <w:rPr>
          <w:color w:val="231F20"/>
          <w:spacing w:val="-2"/>
        </w:rPr>
        <w:t>qu’il</w:t>
      </w:r>
      <w:r>
        <w:rPr>
          <w:color w:val="231F20"/>
          <w:spacing w:val="-7"/>
        </w:rPr>
        <w:t> </w:t>
      </w:r>
      <w:r>
        <w:rPr>
          <w:color w:val="231F20"/>
          <w:spacing w:val="-2"/>
        </w:rPr>
        <w:t>avait</w:t>
      </w:r>
      <w:r>
        <w:rPr>
          <w:color w:val="231F20"/>
          <w:spacing w:val="-7"/>
        </w:rPr>
        <w:t> </w:t>
      </w:r>
      <w:r>
        <w:rPr>
          <w:color w:val="231F20"/>
          <w:spacing w:val="-2"/>
        </w:rPr>
        <w:t>quitté </w:t>
      </w:r>
      <w:r>
        <w:rPr>
          <w:color w:val="231F20"/>
        </w:rPr>
        <w:t>en 1963 à la suite de divergences avec le chef de l’État, Alphonse Massaba-Débat et son équipe se prononcent en faveur du socialisme, </w:t>
      </w:r>
      <w:r>
        <w:rPr>
          <w:color w:val="231F20"/>
          <w:spacing w:val="-2"/>
        </w:rPr>
        <w:t>qualifié</w:t>
      </w:r>
      <w:r>
        <w:rPr>
          <w:color w:val="231F20"/>
          <w:spacing w:val="-4"/>
        </w:rPr>
        <w:t> </w:t>
      </w:r>
      <w:r>
        <w:rPr>
          <w:color w:val="231F20"/>
          <w:spacing w:val="-2"/>
        </w:rPr>
        <w:t>de</w:t>
      </w:r>
      <w:r>
        <w:rPr>
          <w:color w:val="231F20"/>
          <w:spacing w:val="-8"/>
        </w:rPr>
        <w:t> </w:t>
      </w:r>
      <w:r>
        <w:rPr>
          <w:color w:val="231F20"/>
          <w:spacing w:val="-2"/>
        </w:rPr>
        <w:t>«</w:t>
      </w:r>
      <w:r>
        <w:rPr>
          <w:color w:val="231F20"/>
          <w:spacing w:val="-10"/>
        </w:rPr>
        <w:t> </w:t>
      </w:r>
      <w:r>
        <w:rPr>
          <w:color w:val="231F20"/>
          <w:spacing w:val="-2"/>
        </w:rPr>
        <w:t>socialisme</w:t>
      </w:r>
      <w:r>
        <w:rPr>
          <w:color w:val="231F20"/>
          <w:spacing w:val="-4"/>
        </w:rPr>
        <w:t> </w:t>
      </w:r>
      <w:r>
        <w:rPr>
          <w:color w:val="231F20"/>
          <w:spacing w:val="-2"/>
        </w:rPr>
        <w:t>bantou</w:t>
      </w:r>
      <w:r>
        <w:rPr>
          <w:color w:val="231F20"/>
          <w:spacing w:val="-13"/>
        </w:rPr>
        <w:t> </w:t>
      </w:r>
      <w:r>
        <w:rPr>
          <w:color w:val="231F20"/>
          <w:spacing w:val="-2"/>
        </w:rPr>
        <w:t>».</w:t>
      </w:r>
      <w:r>
        <w:rPr>
          <w:color w:val="231F20"/>
          <w:spacing w:val="-5"/>
        </w:rPr>
        <w:t> </w:t>
      </w:r>
      <w:r>
        <w:rPr>
          <w:color w:val="231F20"/>
          <w:spacing w:val="-2"/>
        </w:rPr>
        <w:t>En</w:t>
      </w:r>
      <w:r>
        <w:rPr>
          <w:color w:val="231F20"/>
          <w:spacing w:val="-7"/>
        </w:rPr>
        <w:t> </w:t>
      </w:r>
      <w:r>
        <w:rPr>
          <w:color w:val="231F20"/>
          <w:spacing w:val="-2"/>
        </w:rPr>
        <w:t>matière</w:t>
      </w:r>
      <w:r>
        <w:rPr>
          <w:color w:val="231F20"/>
          <w:spacing w:val="-8"/>
        </w:rPr>
        <w:t> </w:t>
      </w:r>
      <w:r>
        <w:rPr>
          <w:color w:val="231F20"/>
          <w:spacing w:val="-2"/>
        </w:rPr>
        <w:t>de</w:t>
      </w:r>
      <w:r>
        <w:rPr>
          <w:color w:val="231F20"/>
          <w:spacing w:val="-5"/>
        </w:rPr>
        <w:t> </w:t>
      </w:r>
      <w:r>
        <w:rPr>
          <w:color w:val="231F20"/>
          <w:spacing w:val="-2"/>
        </w:rPr>
        <w:t>politique</w:t>
      </w:r>
      <w:r>
        <w:rPr>
          <w:color w:val="231F20"/>
          <w:spacing w:val="-8"/>
        </w:rPr>
        <w:t> </w:t>
      </w:r>
      <w:r>
        <w:rPr>
          <w:color w:val="231F20"/>
          <w:spacing w:val="-2"/>
        </w:rPr>
        <w:t>internationale, c’est</w:t>
      </w:r>
      <w:r>
        <w:rPr>
          <w:color w:val="231F20"/>
          <w:spacing w:val="-8"/>
        </w:rPr>
        <w:t> </w:t>
      </w:r>
      <w:r>
        <w:rPr>
          <w:color w:val="231F20"/>
          <w:spacing w:val="-2"/>
        </w:rPr>
        <w:t>le</w:t>
      </w:r>
      <w:r>
        <w:rPr>
          <w:color w:val="231F20"/>
          <w:spacing w:val="-11"/>
        </w:rPr>
        <w:t> </w:t>
      </w:r>
      <w:r>
        <w:rPr>
          <w:color w:val="231F20"/>
          <w:spacing w:val="-2"/>
        </w:rPr>
        <w:t>temps</w:t>
      </w:r>
      <w:r>
        <w:rPr>
          <w:color w:val="231F20"/>
          <w:spacing w:val="-8"/>
        </w:rPr>
        <w:t> </w:t>
      </w:r>
      <w:r>
        <w:rPr>
          <w:color w:val="231F20"/>
          <w:spacing w:val="-2"/>
        </w:rPr>
        <w:t>du</w:t>
      </w:r>
      <w:r>
        <w:rPr>
          <w:color w:val="231F20"/>
          <w:spacing w:val="-8"/>
        </w:rPr>
        <w:t> </w:t>
      </w:r>
      <w:r>
        <w:rPr>
          <w:color w:val="231F20"/>
          <w:spacing w:val="-2"/>
        </w:rPr>
        <w:t>rapprochement</w:t>
      </w:r>
      <w:r>
        <w:rPr>
          <w:color w:val="231F20"/>
          <w:spacing w:val="-8"/>
        </w:rPr>
        <w:t> </w:t>
      </w:r>
      <w:r>
        <w:rPr>
          <w:color w:val="231F20"/>
          <w:spacing w:val="-2"/>
        </w:rPr>
        <w:t>avec</w:t>
      </w:r>
      <w:r>
        <w:rPr>
          <w:color w:val="231F20"/>
          <w:spacing w:val="-8"/>
        </w:rPr>
        <w:t> </w:t>
      </w:r>
      <w:r>
        <w:rPr>
          <w:color w:val="231F20"/>
          <w:spacing w:val="-2"/>
        </w:rPr>
        <w:t>la</w:t>
      </w:r>
      <w:r>
        <w:rPr>
          <w:color w:val="231F20"/>
          <w:spacing w:val="-12"/>
        </w:rPr>
        <w:t> </w:t>
      </w:r>
      <w:r>
        <w:rPr>
          <w:color w:val="231F20"/>
          <w:spacing w:val="-2"/>
        </w:rPr>
        <w:t>Chine</w:t>
      </w:r>
      <w:r>
        <w:rPr>
          <w:color w:val="231F20"/>
          <w:spacing w:val="-8"/>
        </w:rPr>
        <w:t> </w:t>
      </w:r>
      <w:r>
        <w:rPr>
          <w:color w:val="231F20"/>
          <w:spacing w:val="-2"/>
        </w:rPr>
        <w:t>communiste</w:t>
      </w:r>
      <w:r>
        <w:rPr>
          <w:color w:val="231F20"/>
          <w:spacing w:val="-8"/>
        </w:rPr>
        <w:t> </w:t>
      </w:r>
      <w:r>
        <w:rPr>
          <w:color w:val="231F20"/>
          <w:spacing w:val="-2"/>
        </w:rPr>
        <w:t>et</w:t>
      </w:r>
      <w:r>
        <w:rPr>
          <w:color w:val="231F20"/>
          <w:spacing w:val="-10"/>
        </w:rPr>
        <w:t> </w:t>
      </w:r>
      <w:r>
        <w:rPr>
          <w:color w:val="231F20"/>
          <w:spacing w:val="-2"/>
        </w:rPr>
        <w:t>Cuba.</w:t>
      </w:r>
      <w:r>
        <w:rPr>
          <w:color w:val="231F20"/>
          <w:spacing w:val="-9"/>
        </w:rPr>
        <w:t> </w:t>
      </w:r>
      <w:r>
        <w:rPr>
          <w:color w:val="231F20"/>
          <w:spacing w:val="-2"/>
        </w:rPr>
        <w:t>Les </w:t>
      </w:r>
      <w:r>
        <w:rPr>
          <w:color w:val="231F20"/>
        </w:rPr>
        <w:t>relations</w:t>
      </w:r>
      <w:r>
        <w:rPr>
          <w:color w:val="231F20"/>
          <w:spacing w:val="-5"/>
        </w:rPr>
        <w:t> </w:t>
      </w:r>
      <w:r>
        <w:rPr>
          <w:color w:val="231F20"/>
        </w:rPr>
        <w:t>diplomatiques</w:t>
      </w:r>
      <w:r>
        <w:rPr>
          <w:color w:val="231F20"/>
          <w:spacing w:val="-5"/>
        </w:rPr>
        <w:t> </w:t>
      </w:r>
      <w:r>
        <w:rPr>
          <w:color w:val="231F20"/>
        </w:rPr>
        <w:t>sont</w:t>
      </w:r>
      <w:r>
        <w:rPr>
          <w:color w:val="231F20"/>
          <w:spacing w:val="-3"/>
        </w:rPr>
        <w:t> </w:t>
      </w:r>
      <w:r>
        <w:rPr>
          <w:color w:val="231F20"/>
        </w:rPr>
        <w:t>rompues</w:t>
      </w:r>
      <w:r>
        <w:rPr>
          <w:color w:val="231F20"/>
          <w:spacing w:val="-3"/>
        </w:rPr>
        <w:t> </w:t>
      </w:r>
      <w:r>
        <w:rPr>
          <w:color w:val="231F20"/>
        </w:rPr>
        <w:t>avec</w:t>
      </w:r>
      <w:r>
        <w:rPr>
          <w:color w:val="231F20"/>
          <w:spacing w:val="-6"/>
        </w:rPr>
        <w:t> </w:t>
      </w:r>
      <w:r>
        <w:rPr>
          <w:color w:val="231F20"/>
        </w:rPr>
        <w:t>les</w:t>
      </w:r>
      <w:r>
        <w:rPr>
          <w:color w:val="231F20"/>
          <w:spacing w:val="-3"/>
        </w:rPr>
        <w:t> </w:t>
      </w:r>
      <w:r>
        <w:rPr>
          <w:color w:val="231F20"/>
        </w:rPr>
        <w:t>États-Unis.</w:t>
      </w:r>
      <w:r>
        <w:rPr>
          <w:color w:val="231F20"/>
          <w:spacing w:val="-6"/>
        </w:rPr>
        <w:t> </w:t>
      </w:r>
      <w:r>
        <w:rPr>
          <w:color w:val="231F20"/>
        </w:rPr>
        <w:t>Les</w:t>
      </w:r>
      <w:r>
        <w:rPr>
          <w:color w:val="231F20"/>
          <w:spacing w:val="-3"/>
        </w:rPr>
        <w:t> </w:t>
      </w:r>
      <w:r>
        <w:rPr>
          <w:color w:val="231F20"/>
        </w:rPr>
        <w:t>rapports </w:t>
      </w:r>
      <w:r>
        <w:rPr>
          <w:color w:val="231F20"/>
          <w:spacing w:val="-2"/>
        </w:rPr>
        <w:t>sont</w:t>
      </w:r>
      <w:r>
        <w:rPr>
          <w:color w:val="231F20"/>
          <w:spacing w:val="-11"/>
        </w:rPr>
        <w:t> </w:t>
      </w:r>
      <w:r>
        <w:rPr>
          <w:color w:val="231F20"/>
          <w:spacing w:val="-2"/>
        </w:rPr>
        <w:t>difficiles</w:t>
      </w:r>
      <w:r>
        <w:rPr>
          <w:color w:val="231F20"/>
          <w:spacing w:val="-10"/>
        </w:rPr>
        <w:t> </w:t>
      </w:r>
      <w:r>
        <w:rPr>
          <w:color w:val="231F20"/>
          <w:spacing w:val="-2"/>
        </w:rPr>
        <w:t>avec</w:t>
      </w:r>
      <w:r>
        <w:rPr>
          <w:color w:val="231F20"/>
          <w:spacing w:val="-12"/>
        </w:rPr>
        <w:t> </w:t>
      </w:r>
      <w:r>
        <w:rPr>
          <w:color w:val="231F20"/>
          <w:spacing w:val="-2"/>
        </w:rPr>
        <w:t>le</w:t>
      </w:r>
      <w:r>
        <w:rPr>
          <w:color w:val="231F20"/>
          <w:spacing w:val="-10"/>
        </w:rPr>
        <w:t> </w:t>
      </w:r>
      <w:r>
        <w:rPr>
          <w:color w:val="231F20"/>
          <w:spacing w:val="-2"/>
        </w:rPr>
        <w:t>grand</w:t>
      </w:r>
      <w:r>
        <w:rPr>
          <w:color w:val="231F20"/>
          <w:spacing w:val="-10"/>
        </w:rPr>
        <w:t> </w:t>
      </w:r>
      <w:r>
        <w:rPr>
          <w:color w:val="231F20"/>
          <w:spacing w:val="-2"/>
        </w:rPr>
        <w:t>voisin,</w:t>
      </w:r>
      <w:r>
        <w:rPr>
          <w:color w:val="231F20"/>
          <w:spacing w:val="-12"/>
        </w:rPr>
        <w:t> </w:t>
      </w:r>
      <w:r>
        <w:rPr>
          <w:color w:val="231F20"/>
          <w:spacing w:val="-2"/>
        </w:rPr>
        <w:t>la</w:t>
      </w:r>
      <w:r>
        <w:rPr>
          <w:color w:val="231F20"/>
          <w:spacing w:val="-12"/>
        </w:rPr>
        <w:t> </w:t>
      </w:r>
      <w:r>
        <w:rPr>
          <w:color w:val="231F20"/>
          <w:spacing w:val="-2"/>
        </w:rPr>
        <w:t>RDC</w:t>
      </w:r>
      <w:r>
        <w:rPr>
          <w:color w:val="231F20"/>
          <w:spacing w:val="-11"/>
        </w:rPr>
        <w:t> </w:t>
      </w:r>
      <w:r>
        <w:rPr>
          <w:color w:val="231F20"/>
          <w:spacing w:val="-2"/>
        </w:rPr>
        <w:t>de</w:t>
      </w:r>
      <w:r>
        <w:rPr>
          <w:color w:val="231F20"/>
          <w:spacing w:val="-10"/>
        </w:rPr>
        <w:t> </w:t>
      </w:r>
      <w:r>
        <w:rPr>
          <w:color w:val="231F20"/>
          <w:spacing w:val="-2"/>
        </w:rPr>
        <w:t>Mobutu.</w:t>
      </w:r>
      <w:r>
        <w:rPr>
          <w:color w:val="231F20"/>
          <w:spacing w:val="-12"/>
        </w:rPr>
        <w:t> </w:t>
      </w:r>
      <w:r>
        <w:rPr>
          <w:color w:val="231F20"/>
          <w:spacing w:val="-2"/>
        </w:rPr>
        <w:t>Le</w:t>
      </w:r>
      <w:r>
        <w:rPr>
          <w:color w:val="231F20"/>
          <w:spacing w:val="-10"/>
        </w:rPr>
        <w:t> </w:t>
      </w:r>
      <w:r>
        <w:rPr>
          <w:color w:val="231F20"/>
          <w:spacing w:val="-2"/>
        </w:rPr>
        <w:t>31juillet</w:t>
      </w:r>
      <w:r>
        <w:rPr>
          <w:color w:val="231F20"/>
          <w:spacing w:val="-11"/>
        </w:rPr>
        <w:t> </w:t>
      </w:r>
      <w:r>
        <w:rPr>
          <w:color w:val="231F20"/>
          <w:spacing w:val="-2"/>
        </w:rPr>
        <w:t>1968 </w:t>
      </w:r>
      <w:r>
        <w:rPr>
          <w:color w:val="231F20"/>
        </w:rPr>
        <w:t>le Capitaine Marien Ngouabi arrêté et mis en prison par le régime du président</w:t>
      </w:r>
      <w:r>
        <w:rPr>
          <w:color w:val="231F20"/>
          <w:spacing w:val="-15"/>
        </w:rPr>
        <w:t> </w:t>
      </w:r>
      <w:r>
        <w:rPr>
          <w:color w:val="231F20"/>
        </w:rPr>
        <w:t>Massaba-Débat</w:t>
      </w:r>
      <w:r>
        <w:rPr>
          <w:color w:val="231F20"/>
          <w:spacing w:val="-15"/>
        </w:rPr>
        <w:t> </w:t>
      </w:r>
      <w:r>
        <w:rPr>
          <w:color w:val="231F20"/>
        </w:rPr>
        <w:t>est</w:t>
      </w:r>
      <w:r>
        <w:rPr>
          <w:color w:val="231F20"/>
          <w:spacing w:val="-15"/>
        </w:rPr>
        <w:t> </w:t>
      </w:r>
      <w:r>
        <w:rPr>
          <w:color w:val="231F20"/>
        </w:rPr>
        <w:t>libéré</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suite</w:t>
      </w:r>
      <w:r>
        <w:rPr>
          <w:color w:val="231F20"/>
          <w:spacing w:val="-15"/>
        </w:rPr>
        <w:t> </w:t>
      </w:r>
      <w:r>
        <w:rPr>
          <w:color w:val="231F20"/>
        </w:rPr>
        <w:t>d’un</w:t>
      </w:r>
      <w:r>
        <w:rPr>
          <w:color w:val="231F20"/>
          <w:spacing w:val="-15"/>
        </w:rPr>
        <w:t> </w:t>
      </w:r>
      <w:r>
        <w:rPr>
          <w:color w:val="231F20"/>
        </w:rPr>
        <w:t>coup</w:t>
      </w:r>
      <w:r>
        <w:rPr>
          <w:color w:val="231F20"/>
          <w:spacing w:val="-15"/>
        </w:rPr>
        <w:t> </w:t>
      </w:r>
      <w:r>
        <w:rPr>
          <w:color w:val="231F20"/>
        </w:rPr>
        <w:t>d’Etat.</w:t>
      </w:r>
      <w:r>
        <w:rPr>
          <w:color w:val="231F20"/>
          <w:spacing w:val="-15"/>
        </w:rPr>
        <w:t> </w:t>
      </w:r>
      <w:r>
        <w:rPr>
          <w:color w:val="231F20"/>
        </w:rPr>
        <w:t>Le</w:t>
      </w:r>
      <w:r>
        <w:rPr>
          <w:color w:val="231F20"/>
          <w:spacing w:val="-15"/>
        </w:rPr>
        <w:t> </w:t>
      </w:r>
      <w:r>
        <w:rPr>
          <w:color w:val="231F20"/>
        </w:rPr>
        <w:t>2</w:t>
      </w:r>
      <w:r>
        <w:rPr>
          <w:color w:val="231F20"/>
          <w:spacing w:val="-15"/>
        </w:rPr>
        <w:t> </w:t>
      </w:r>
      <w:r>
        <w:rPr>
          <w:color w:val="231F20"/>
        </w:rPr>
        <w:t>août 1968, Massaba-Débat est déposé par l’Armée.</w:t>
      </w:r>
    </w:p>
    <w:p>
      <w:pPr>
        <w:pStyle w:val="BodyText"/>
        <w:spacing w:before="121"/>
        <w:ind w:right="107" w:firstLine="283"/>
      </w:pPr>
      <w:r>
        <w:rPr>
          <w:color w:val="231F20"/>
          <w:spacing w:val="-2"/>
        </w:rPr>
        <w:t>Le</w:t>
      </w:r>
      <w:r>
        <w:rPr>
          <w:color w:val="231F20"/>
          <w:spacing w:val="-8"/>
        </w:rPr>
        <w:t> </w:t>
      </w:r>
      <w:r>
        <w:rPr>
          <w:color w:val="231F20"/>
          <w:spacing w:val="-2"/>
        </w:rPr>
        <w:t>Capitaine</w:t>
      </w:r>
      <w:r>
        <w:rPr>
          <w:color w:val="231F20"/>
          <w:spacing w:val="-8"/>
        </w:rPr>
        <w:t> </w:t>
      </w:r>
      <w:r>
        <w:rPr>
          <w:color w:val="231F20"/>
          <w:spacing w:val="-2"/>
        </w:rPr>
        <w:t>Alfred</w:t>
      </w:r>
      <w:r>
        <w:rPr>
          <w:color w:val="231F20"/>
          <w:spacing w:val="-10"/>
        </w:rPr>
        <w:t> </w:t>
      </w:r>
      <w:r>
        <w:rPr>
          <w:color w:val="231F20"/>
          <w:spacing w:val="-2"/>
        </w:rPr>
        <w:t>Raoul,</w:t>
      </w:r>
      <w:r>
        <w:rPr>
          <w:color w:val="231F20"/>
          <w:spacing w:val="-10"/>
        </w:rPr>
        <w:t> </w:t>
      </w:r>
      <w:r>
        <w:rPr>
          <w:color w:val="231F20"/>
          <w:spacing w:val="-2"/>
        </w:rPr>
        <w:t>proche</w:t>
      </w:r>
      <w:r>
        <w:rPr>
          <w:color w:val="231F20"/>
          <w:spacing w:val="-10"/>
        </w:rPr>
        <w:t> </w:t>
      </w:r>
      <w:r>
        <w:rPr>
          <w:color w:val="231F20"/>
          <w:spacing w:val="-2"/>
        </w:rPr>
        <w:t>du</w:t>
      </w:r>
      <w:r>
        <w:rPr>
          <w:color w:val="231F20"/>
          <w:spacing w:val="-10"/>
        </w:rPr>
        <w:t> </w:t>
      </w:r>
      <w:r>
        <w:rPr>
          <w:color w:val="231F20"/>
          <w:spacing w:val="-2"/>
        </w:rPr>
        <w:t>Capitaine</w:t>
      </w:r>
      <w:r>
        <w:rPr>
          <w:color w:val="231F20"/>
          <w:spacing w:val="-10"/>
        </w:rPr>
        <w:t> </w:t>
      </w:r>
      <w:r>
        <w:rPr>
          <w:color w:val="231F20"/>
          <w:spacing w:val="-2"/>
        </w:rPr>
        <w:t>Marien</w:t>
      </w:r>
      <w:r>
        <w:rPr>
          <w:color w:val="231F20"/>
          <w:spacing w:val="-8"/>
        </w:rPr>
        <w:t> </w:t>
      </w:r>
      <w:r>
        <w:rPr>
          <w:color w:val="231F20"/>
          <w:spacing w:val="-2"/>
        </w:rPr>
        <w:t>Ngouabi,</w:t>
      </w:r>
      <w:r>
        <w:rPr>
          <w:color w:val="231F20"/>
          <w:spacing w:val="-9"/>
        </w:rPr>
        <w:t> </w:t>
      </w:r>
      <w:r>
        <w:rPr>
          <w:color w:val="231F20"/>
          <w:spacing w:val="-2"/>
        </w:rPr>
        <w:t>fait </w:t>
      </w:r>
      <w:r>
        <w:rPr>
          <w:color w:val="231F20"/>
        </w:rPr>
        <w:t>fonction</w:t>
      </w:r>
      <w:r>
        <w:rPr>
          <w:color w:val="231F20"/>
          <w:spacing w:val="-6"/>
        </w:rPr>
        <w:t> </w:t>
      </w:r>
      <w:r>
        <w:rPr>
          <w:color w:val="231F20"/>
        </w:rPr>
        <w:t>de</w:t>
      </w:r>
      <w:r>
        <w:rPr>
          <w:color w:val="231F20"/>
          <w:spacing w:val="-9"/>
        </w:rPr>
        <w:t> </w:t>
      </w:r>
      <w:r>
        <w:rPr>
          <w:color w:val="231F20"/>
        </w:rPr>
        <w:t>Chef</w:t>
      </w:r>
      <w:r>
        <w:rPr>
          <w:color w:val="231F20"/>
          <w:spacing w:val="-6"/>
        </w:rPr>
        <w:t> </w:t>
      </w:r>
      <w:r>
        <w:rPr>
          <w:color w:val="231F20"/>
        </w:rPr>
        <w:t>de</w:t>
      </w:r>
      <w:r>
        <w:rPr>
          <w:color w:val="231F20"/>
          <w:spacing w:val="-9"/>
        </w:rPr>
        <w:t> </w:t>
      </w:r>
      <w:r>
        <w:rPr>
          <w:color w:val="231F20"/>
        </w:rPr>
        <w:t>l’État</w:t>
      </w:r>
      <w:r>
        <w:rPr>
          <w:color w:val="231F20"/>
          <w:spacing w:val="-6"/>
        </w:rPr>
        <w:t> </w:t>
      </w:r>
      <w:r>
        <w:rPr>
          <w:color w:val="231F20"/>
        </w:rPr>
        <w:t>jusqu’à</w:t>
      </w:r>
      <w:r>
        <w:rPr>
          <w:color w:val="231F20"/>
          <w:spacing w:val="-7"/>
        </w:rPr>
        <w:t> </w:t>
      </w:r>
      <w:r>
        <w:rPr>
          <w:color w:val="231F20"/>
        </w:rPr>
        <w:t>ce</w:t>
      </w:r>
      <w:r>
        <w:rPr>
          <w:color w:val="231F20"/>
          <w:spacing w:val="-7"/>
        </w:rPr>
        <w:t> </w:t>
      </w:r>
      <w:r>
        <w:rPr>
          <w:color w:val="231F20"/>
        </w:rPr>
        <w:t>que</w:t>
      </w:r>
      <w:r>
        <w:rPr>
          <w:color w:val="231F20"/>
          <w:spacing w:val="-9"/>
        </w:rPr>
        <w:t> </w:t>
      </w:r>
      <w:r>
        <w:rPr>
          <w:color w:val="231F20"/>
        </w:rPr>
        <w:t>le</w:t>
      </w:r>
      <w:r>
        <w:rPr>
          <w:color w:val="231F20"/>
          <w:spacing w:val="-9"/>
        </w:rPr>
        <w:t> </w:t>
      </w:r>
      <w:r>
        <w:rPr>
          <w:color w:val="231F20"/>
        </w:rPr>
        <w:t>Capitaine</w:t>
      </w:r>
      <w:r>
        <w:rPr>
          <w:color w:val="231F20"/>
          <w:spacing w:val="-7"/>
        </w:rPr>
        <w:t> </w:t>
      </w:r>
      <w:r>
        <w:rPr>
          <w:color w:val="231F20"/>
        </w:rPr>
        <w:t>Marien</w:t>
      </w:r>
      <w:r>
        <w:rPr>
          <w:color w:val="231F20"/>
          <w:spacing w:val="-9"/>
        </w:rPr>
        <w:t> </w:t>
      </w:r>
      <w:r>
        <w:rPr>
          <w:color w:val="231F20"/>
        </w:rPr>
        <w:t>Ngouabi, </w:t>
      </w:r>
      <w:r>
        <w:rPr>
          <w:color w:val="231F20"/>
          <w:spacing w:val="-4"/>
        </w:rPr>
        <w:t>qui</w:t>
      </w:r>
      <w:r>
        <w:rPr>
          <w:color w:val="231F20"/>
          <w:spacing w:val="-10"/>
        </w:rPr>
        <w:t> </w:t>
      </w:r>
      <w:r>
        <w:rPr>
          <w:color w:val="231F20"/>
          <w:spacing w:val="-4"/>
        </w:rPr>
        <w:t>s’est</w:t>
      </w:r>
      <w:r>
        <w:rPr>
          <w:color w:val="231F20"/>
          <w:spacing w:val="-6"/>
        </w:rPr>
        <w:t> </w:t>
      </w:r>
      <w:r>
        <w:rPr>
          <w:color w:val="231F20"/>
          <w:spacing w:val="-4"/>
        </w:rPr>
        <w:t>entretemps</w:t>
      </w:r>
      <w:r>
        <w:rPr>
          <w:color w:val="231F20"/>
          <w:spacing w:val="-10"/>
        </w:rPr>
        <w:t> </w:t>
      </w:r>
      <w:r>
        <w:rPr>
          <w:color w:val="231F20"/>
          <w:spacing w:val="-4"/>
        </w:rPr>
        <w:t>promu</w:t>
      </w:r>
      <w:r>
        <w:rPr>
          <w:color w:val="231F20"/>
          <w:spacing w:val="-7"/>
        </w:rPr>
        <w:t> </w:t>
      </w:r>
      <w:r>
        <w:rPr>
          <w:color w:val="231F20"/>
          <w:spacing w:val="-4"/>
        </w:rPr>
        <w:t>au</w:t>
      </w:r>
      <w:r>
        <w:rPr>
          <w:color w:val="231F20"/>
          <w:spacing w:val="-7"/>
        </w:rPr>
        <w:t> </w:t>
      </w:r>
      <w:r>
        <w:rPr>
          <w:color w:val="231F20"/>
          <w:spacing w:val="-4"/>
        </w:rPr>
        <w:t>grade</w:t>
      </w:r>
      <w:r>
        <w:rPr>
          <w:color w:val="231F20"/>
          <w:spacing w:val="-11"/>
        </w:rPr>
        <w:t> </w:t>
      </w:r>
      <w:r>
        <w:rPr>
          <w:color w:val="231F20"/>
          <w:spacing w:val="-4"/>
        </w:rPr>
        <w:t>de</w:t>
      </w:r>
      <w:r>
        <w:rPr>
          <w:color w:val="231F20"/>
          <w:spacing w:val="-7"/>
        </w:rPr>
        <w:t> </w:t>
      </w:r>
      <w:r>
        <w:rPr>
          <w:color w:val="231F20"/>
          <w:spacing w:val="-4"/>
        </w:rPr>
        <w:t>Commandant,</w:t>
      </w:r>
      <w:r>
        <w:rPr>
          <w:color w:val="231F20"/>
          <w:spacing w:val="-6"/>
        </w:rPr>
        <w:t> </w:t>
      </w:r>
      <w:r>
        <w:rPr>
          <w:color w:val="231F20"/>
          <w:spacing w:val="-4"/>
        </w:rPr>
        <w:t>prenne</w:t>
      </w:r>
      <w:r>
        <w:rPr>
          <w:color w:val="231F20"/>
          <w:spacing w:val="-7"/>
        </w:rPr>
        <w:t> </w:t>
      </w:r>
      <w:r>
        <w:rPr>
          <w:color w:val="231F20"/>
          <w:spacing w:val="-4"/>
        </w:rPr>
        <w:t>les</w:t>
      </w:r>
      <w:r>
        <w:rPr>
          <w:color w:val="231F20"/>
          <w:spacing w:val="-6"/>
        </w:rPr>
        <w:t> </w:t>
      </w:r>
      <w:r>
        <w:rPr>
          <w:color w:val="231F20"/>
          <w:spacing w:val="-4"/>
        </w:rPr>
        <w:t>rênes</w:t>
      </w:r>
      <w:r>
        <w:rPr>
          <w:color w:val="231F20"/>
          <w:spacing w:val="-10"/>
        </w:rPr>
        <w:t> </w:t>
      </w:r>
      <w:r>
        <w:rPr>
          <w:color w:val="231F20"/>
          <w:spacing w:val="-4"/>
        </w:rPr>
        <w:t>du </w:t>
      </w:r>
      <w:r>
        <w:rPr>
          <w:color w:val="231F20"/>
        </w:rPr>
        <w:t>pouvoir le 31 décembre 1968.</w:t>
      </w:r>
    </w:p>
    <w:p>
      <w:pPr>
        <w:pStyle w:val="BodyText"/>
        <w:spacing w:before="120"/>
        <w:ind w:left="395"/>
      </w:pPr>
      <w:r>
        <w:rPr>
          <w:color w:val="231F20"/>
        </w:rPr>
        <w:t>Le</w:t>
      </w:r>
      <w:r>
        <w:rPr>
          <w:color w:val="231F20"/>
          <w:spacing w:val="61"/>
          <w:w w:val="150"/>
        </w:rPr>
        <w:t> </w:t>
      </w:r>
      <w:r>
        <w:rPr>
          <w:color w:val="231F20"/>
        </w:rPr>
        <w:t>1er</w:t>
      </w:r>
      <w:r>
        <w:rPr>
          <w:color w:val="231F20"/>
          <w:spacing w:val="61"/>
          <w:w w:val="150"/>
        </w:rPr>
        <w:t> </w:t>
      </w:r>
      <w:r>
        <w:rPr>
          <w:color w:val="231F20"/>
        </w:rPr>
        <w:t>janvier</w:t>
      </w:r>
      <w:r>
        <w:rPr>
          <w:color w:val="231F20"/>
          <w:spacing w:val="61"/>
          <w:w w:val="150"/>
        </w:rPr>
        <w:t> </w:t>
      </w:r>
      <w:r>
        <w:rPr>
          <w:color w:val="231F20"/>
        </w:rPr>
        <w:t>1970,</w:t>
      </w:r>
      <w:r>
        <w:rPr>
          <w:color w:val="231F20"/>
          <w:spacing w:val="60"/>
          <w:w w:val="150"/>
        </w:rPr>
        <w:t> </w:t>
      </w:r>
      <w:r>
        <w:rPr>
          <w:color w:val="231F20"/>
        </w:rPr>
        <w:t>la</w:t>
      </w:r>
      <w:r>
        <w:rPr>
          <w:color w:val="231F20"/>
          <w:spacing w:val="64"/>
          <w:w w:val="150"/>
        </w:rPr>
        <w:t> </w:t>
      </w:r>
      <w:r>
        <w:rPr>
          <w:color w:val="231F20"/>
        </w:rPr>
        <w:t>République</w:t>
      </w:r>
      <w:r>
        <w:rPr>
          <w:color w:val="231F20"/>
          <w:spacing w:val="61"/>
          <w:w w:val="150"/>
        </w:rPr>
        <w:t> </w:t>
      </w:r>
      <w:r>
        <w:rPr>
          <w:color w:val="231F20"/>
        </w:rPr>
        <w:t>du</w:t>
      </w:r>
      <w:r>
        <w:rPr>
          <w:color w:val="231F20"/>
          <w:spacing w:val="60"/>
          <w:w w:val="150"/>
        </w:rPr>
        <w:t> </w:t>
      </w:r>
      <w:r>
        <w:rPr>
          <w:color w:val="231F20"/>
        </w:rPr>
        <w:t>Congo</w:t>
      </w:r>
      <w:r>
        <w:rPr>
          <w:color w:val="231F20"/>
          <w:spacing w:val="64"/>
          <w:w w:val="150"/>
        </w:rPr>
        <w:t> </w:t>
      </w:r>
      <w:r>
        <w:rPr>
          <w:color w:val="231F20"/>
        </w:rPr>
        <w:t>est</w:t>
      </w:r>
      <w:r>
        <w:rPr>
          <w:color w:val="231F20"/>
          <w:spacing w:val="62"/>
          <w:w w:val="150"/>
        </w:rPr>
        <w:t> </w:t>
      </w:r>
      <w:r>
        <w:rPr>
          <w:color w:val="231F20"/>
          <w:spacing w:val="-2"/>
        </w:rPr>
        <w:t>rebaptisée</w:t>
      </w:r>
    </w:p>
    <w:p>
      <w:pPr>
        <w:pStyle w:val="BodyText"/>
        <w:ind w:right="111"/>
      </w:pPr>
      <w:r>
        <w:rPr>
          <w:color w:val="231F20"/>
          <w:spacing w:val="-2"/>
        </w:rPr>
        <w:t>«</w:t>
      </w:r>
      <w:r>
        <w:rPr>
          <w:color w:val="231F20"/>
          <w:spacing w:val="-11"/>
        </w:rPr>
        <w:t> </w:t>
      </w:r>
      <w:r>
        <w:rPr>
          <w:color w:val="231F20"/>
          <w:spacing w:val="-2"/>
        </w:rPr>
        <w:t>République</w:t>
      </w:r>
      <w:r>
        <w:rPr>
          <w:color w:val="231F20"/>
          <w:spacing w:val="-9"/>
        </w:rPr>
        <w:t> </w:t>
      </w:r>
      <w:r>
        <w:rPr>
          <w:color w:val="231F20"/>
          <w:spacing w:val="-2"/>
        </w:rPr>
        <w:t>Populaire</w:t>
      </w:r>
      <w:r>
        <w:rPr>
          <w:color w:val="231F20"/>
          <w:spacing w:val="-8"/>
        </w:rPr>
        <w:t> </w:t>
      </w:r>
      <w:r>
        <w:rPr>
          <w:color w:val="231F20"/>
          <w:spacing w:val="-2"/>
        </w:rPr>
        <w:t>du</w:t>
      </w:r>
      <w:r>
        <w:rPr>
          <w:color w:val="231F20"/>
          <w:spacing w:val="-8"/>
        </w:rPr>
        <w:t> </w:t>
      </w:r>
      <w:r>
        <w:rPr>
          <w:color w:val="231F20"/>
          <w:spacing w:val="-2"/>
        </w:rPr>
        <w:t>Congo</w:t>
      </w:r>
      <w:r>
        <w:rPr>
          <w:color w:val="231F20"/>
          <w:spacing w:val="-10"/>
        </w:rPr>
        <w:t> </w:t>
      </w:r>
      <w:r>
        <w:rPr>
          <w:color w:val="231F20"/>
          <w:spacing w:val="-2"/>
        </w:rPr>
        <w:t>»,</w:t>
      </w:r>
      <w:r>
        <w:rPr>
          <w:color w:val="231F20"/>
          <w:spacing w:val="-8"/>
        </w:rPr>
        <w:t> </w:t>
      </w:r>
      <w:r>
        <w:rPr>
          <w:color w:val="231F20"/>
          <w:spacing w:val="-2"/>
        </w:rPr>
        <w:t>adopte</w:t>
      </w:r>
      <w:r>
        <w:rPr>
          <w:color w:val="231F20"/>
          <w:spacing w:val="-8"/>
        </w:rPr>
        <w:t> </w:t>
      </w:r>
      <w:r>
        <w:rPr>
          <w:color w:val="231F20"/>
          <w:spacing w:val="-2"/>
        </w:rPr>
        <w:t>un</w:t>
      </w:r>
      <w:r>
        <w:rPr>
          <w:color w:val="231F20"/>
          <w:spacing w:val="-9"/>
        </w:rPr>
        <w:t> </w:t>
      </w:r>
      <w:r>
        <w:rPr>
          <w:color w:val="231F20"/>
          <w:spacing w:val="-2"/>
        </w:rPr>
        <w:t>nouveau</w:t>
      </w:r>
      <w:r>
        <w:rPr>
          <w:color w:val="231F20"/>
          <w:spacing w:val="-8"/>
        </w:rPr>
        <w:t> </w:t>
      </w:r>
      <w:r>
        <w:rPr>
          <w:color w:val="231F20"/>
          <w:spacing w:val="-2"/>
        </w:rPr>
        <w:t>drapeau</w:t>
      </w:r>
      <w:r>
        <w:rPr>
          <w:color w:val="231F20"/>
          <w:spacing w:val="-8"/>
        </w:rPr>
        <w:t> </w:t>
      </w:r>
      <w:r>
        <w:rPr>
          <w:color w:val="231F20"/>
          <w:spacing w:val="-2"/>
        </w:rPr>
        <w:t>(rouge) </w:t>
      </w:r>
      <w:r>
        <w:rPr>
          <w:color w:val="231F20"/>
        </w:rPr>
        <w:t>et</w:t>
      </w:r>
      <w:r>
        <w:rPr>
          <w:color w:val="231F20"/>
          <w:spacing w:val="-1"/>
        </w:rPr>
        <w:t> </w:t>
      </w:r>
      <w:r>
        <w:rPr>
          <w:color w:val="231F20"/>
        </w:rPr>
        <w:t>un</w:t>
      </w:r>
      <w:r>
        <w:rPr>
          <w:color w:val="231F20"/>
          <w:spacing w:val="-4"/>
        </w:rPr>
        <w:t> </w:t>
      </w:r>
      <w:r>
        <w:rPr>
          <w:color w:val="231F20"/>
        </w:rPr>
        <w:t>nouvel</w:t>
      </w:r>
      <w:r>
        <w:rPr>
          <w:color w:val="231F20"/>
          <w:spacing w:val="-1"/>
        </w:rPr>
        <w:t> </w:t>
      </w:r>
      <w:r>
        <w:rPr>
          <w:color w:val="231F20"/>
        </w:rPr>
        <w:t>hymne</w:t>
      </w:r>
      <w:r>
        <w:rPr>
          <w:color w:val="231F20"/>
          <w:spacing w:val="-1"/>
        </w:rPr>
        <w:t> </w:t>
      </w:r>
      <w:r>
        <w:rPr>
          <w:color w:val="231F20"/>
        </w:rPr>
        <w:t>national :«</w:t>
      </w:r>
      <w:r>
        <w:rPr>
          <w:color w:val="231F20"/>
          <w:spacing w:val="-1"/>
        </w:rPr>
        <w:t> </w:t>
      </w:r>
      <w:r>
        <w:rPr>
          <w:color w:val="231F20"/>
        </w:rPr>
        <w:t>les</w:t>
      </w:r>
      <w:r>
        <w:rPr>
          <w:color w:val="231F20"/>
          <w:spacing w:val="-4"/>
        </w:rPr>
        <w:t> </w:t>
      </w:r>
      <w:r>
        <w:rPr>
          <w:color w:val="231F20"/>
        </w:rPr>
        <w:t>trois</w:t>
      </w:r>
      <w:r>
        <w:rPr>
          <w:color w:val="231F20"/>
          <w:spacing w:val="-4"/>
        </w:rPr>
        <w:t> </w:t>
      </w:r>
      <w:r>
        <w:rPr>
          <w:color w:val="231F20"/>
        </w:rPr>
        <w:t>glorieuses</w:t>
      </w:r>
      <w:r>
        <w:rPr>
          <w:color w:val="231F20"/>
          <w:spacing w:val="-6"/>
        </w:rPr>
        <w:t> </w:t>
      </w:r>
      <w:r>
        <w:rPr>
          <w:color w:val="231F20"/>
        </w:rPr>
        <w:t>».</w:t>
      </w:r>
    </w:p>
    <w:p>
      <w:pPr>
        <w:pStyle w:val="BodyText"/>
        <w:spacing w:before="120"/>
        <w:ind w:right="107" w:firstLine="283"/>
      </w:pPr>
      <w:r>
        <w:rPr>
          <w:color w:val="231F20"/>
        </w:rPr>
        <w:t>Le</w:t>
      </w:r>
      <w:r>
        <w:rPr>
          <w:color w:val="231F20"/>
          <w:spacing w:val="-4"/>
        </w:rPr>
        <w:t> </w:t>
      </w:r>
      <w:r>
        <w:rPr>
          <w:color w:val="231F20"/>
        </w:rPr>
        <w:t>18</w:t>
      </w:r>
      <w:r>
        <w:rPr>
          <w:color w:val="231F20"/>
          <w:spacing w:val="-5"/>
        </w:rPr>
        <w:t> </w:t>
      </w:r>
      <w:r>
        <w:rPr>
          <w:color w:val="231F20"/>
        </w:rPr>
        <w:t>mars</w:t>
      </w:r>
      <w:r>
        <w:rPr>
          <w:color w:val="231F20"/>
          <w:spacing w:val="-4"/>
        </w:rPr>
        <w:t> </w:t>
      </w:r>
      <w:r>
        <w:rPr>
          <w:color w:val="231F20"/>
        </w:rPr>
        <w:t>1977,</w:t>
      </w:r>
      <w:r>
        <w:rPr>
          <w:color w:val="231F20"/>
          <w:spacing w:val="-5"/>
        </w:rPr>
        <w:t> </w:t>
      </w:r>
      <w:r>
        <w:rPr>
          <w:color w:val="231F20"/>
        </w:rPr>
        <w:t>le</w:t>
      </w:r>
      <w:r>
        <w:rPr>
          <w:color w:val="231F20"/>
          <w:spacing w:val="-5"/>
        </w:rPr>
        <w:t> </w:t>
      </w:r>
      <w:r>
        <w:rPr>
          <w:color w:val="231F20"/>
        </w:rPr>
        <w:t>Président</w:t>
      </w:r>
      <w:r>
        <w:rPr>
          <w:color w:val="231F20"/>
          <w:spacing w:val="-5"/>
        </w:rPr>
        <w:t> </w:t>
      </w:r>
      <w:r>
        <w:rPr>
          <w:color w:val="231F20"/>
        </w:rPr>
        <w:t>Marien</w:t>
      </w:r>
      <w:r>
        <w:rPr>
          <w:color w:val="231F20"/>
          <w:spacing w:val="-5"/>
        </w:rPr>
        <w:t> </w:t>
      </w:r>
      <w:r>
        <w:rPr>
          <w:color w:val="231F20"/>
        </w:rPr>
        <w:t>Ngouabi</w:t>
      </w:r>
      <w:r>
        <w:rPr>
          <w:color w:val="231F20"/>
          <w:spacing w:val="-3"/>
        </w:rPr>
        <w:t> </w:t>
      </w:r>
      <w:r>
        <w:rPr>
          <w:color w:val="231F20"/>
        </w:rPr>
        <w:t>est</w:t>
      </w:r>
      <w:r>
        <w:rPr>
          <w:color w:val="231F20"/>
          <w:spacing w:val="-5"/>
        </w:rPr>
        <w:t> </w:t>
      </w:r>
      <w:r>
        <w:rPr>
          <w:color w:val="231F20"/>
        </w:rPr>
        <w:t>assassiné</w:t>
      </w:r>
      <w:r>
        <w:rPr>
          <w:color w:val="231F20"/>
          <w:spacing w:val="-4"/>
        </w:rPr>
        <w:t> </w:t>
      </w:r>
      <w:r>
        <w:rPr>
          <w:color w:val="231F20"/>
        </w:rPr>
        <w:t>dans</w:t>
      </w:r>
      <w:r>
        <w:rPr>
          <w:color w:val="231F20"/>
          <w:spacing w:val="-3"/>
        </w:rPr>
        <w:t> </w:t>
      </w:r>
      <w:r>
        <w:rPr>
          <w:color w:val="231F20"/>
        </w:rPr>
        <w:t>sa résidence.</w:t>
      </w:r>
      <w:r>
        <w:rPr>
          <w:color w:val="231F20"/>
          <w:spacing w:val="-14"/>
        </w:rPr>
        <w:t> </w:t>
      </w:r>
      <w:r>
        <w:rPr>
          <w:color w:val="231F20"/>
        </w:rPr>
        <w:t>Alphonse</w:t>
      </w:r>
      <w:r>
        <w:rPr>
          <w:color w:val="231F20"/>
          <w:spacing w:val="-14"/>
        </w:rPr>
        <w:t> </w:t>
      </w:r>
      <w:r>
        <w:rPr>
          <w:color w:val="231F20"/>
        </w:rPr>
        <w:t>Massamba-Débat,</w:t>
      </w:r>
      <w:r>
        <w:rPr>
          <w:color w:val="231F20"/>
          <w:spacing w:val="-15"/>
        </w:rPr>
        <w:t> </w:t>
      </w:r>
      <w:r>
        <w:rPr>
          <w:color w:val="231F20"/>
        </w:rPr>
        <w:t>présenté</w:t>
      </w:r>
      <w:r>
        <w:rPr>
          <w:color w:val="231F20"/>
          <w:spacing w:val="-14"/>
        </w:rPr>
        <w:t> </w:t>
      </w:r>
      <w:r>
        <w:rPr>
          <w:color w:val="231F20"/>
        </w:rPr>
        <w:t>comme</w:t>
      </w:r>
      <w:r>
        <w:rPr>
          <w:color w:val="231F20"/>
          <w:spacing w:val="-14"/>
        </w:rPr>
        <w:t> </w:t>
      </w:r>
      <w:r>
        <w:rPr>
          <w:color w:val="231F20"/>
        </w:rPr>
        <w:t>l'instigateur</w:t>
      </w:r>
      <w:r>
        <w:rPr>
          <w:color w:val="231F20"/>
          <w:spacing w:val="-14"/>
        </w:rPr>
        <w:t> </w:t>
      </w:r>
      <w:r>
        <w:rPr>
          <w:color w:val="231F20"/>
        </w:rPr>
        <w:t>du complot</w:t>
      </w:r>
      <w:r>
        <w:rPr>
          <w:color w:val="231F20"/>
          <w:spacing w:val="-15"/>
        </w:rPr>
        <w:t> </w:t>
      </w:r>
      <w:r>
        <w:rPr>
          <w:color w:val="231F20"/>
        </w:rPr>
        <w:t>contre</w:t>
      </w:r>
      <w:r>
        <w:rPr>
          <w:color w:val="231F20"/>
          <w:spacing w:val="-15"/>
        </w:rPr>
        <w:t> </w:t>
      </w:r>
      <w:r>
        <w:rPr>
          <w:color w:val="231F20"/>
        </w:rPr>
        <w:t>son</w:t>
      </w:r>
      <w:r>
        <w:rPr>
          <w:color w:val="231F20"/>
          <w:spacing w:val="-15"/>
        </w:rPr>
        <w:t> </w:t>
      </w:r>
      <w:r>
        <w:rPr>
          <w:color w:val="231F20"/>
        </w:rPr>
        <w:t>successeur,</w:t>
      </w:r>
      <w:r>
        <w:rPr>
          <w:color w:val="231F20"/>
          <w:spacing w:val="-15"/>
        </w:rPr>
        <w:t> </w:t>
      </w:r>
      <w:r>
        <w:rPr>
          <w:color w:val="231F20"/>
        </w:rPr>
        <w:t>est</w:t>
      </w:r>
      <w:r>
        <w:rPr>
          <w:color w:val="231F20"/>
          <w:spacing w:val="-15"/>
        </w:rPr>
        <w:t> </w:t>
      </w:r>
      <w:r>
        <w:rPr>
          <w:color w:val="231F20"/>
        </w:rPr>
        <w:t>condamné</w:t>
      </w:r>
      <w:r>
        <w:rPr>
          <w:color w:val="231F20"/>
          <w:spacing w:val="-15"/>
        </w:rPr>
        <w:t> </w:t>
      </w:r>
      <w:r>
        <w:rPr>
          <w:color w:val="231F20"/>
        </w:rPr>
        <w:t>à</w:t>
      </w:r>
      <w:r>
        <w:rPr>
          <w:color w:val="231F20"/>
          <w:spacing w:val="-15"/>
        </w:rPr>
        <w:t> </w:t>
      </w:r>
      <w:r>
        <w:rPr>
          <w:color w:val="231F20"/>
        </w:rPr>
        <w:t>mort.</w:t>
      </w:r>
      <w:r>
        <w:rPr>
          <w:color w:val="231F20"/>
          <w:spacing w:val="-15"/>
        </w:rPr>
        <w:t> </w:t>
      </w:r>
      <w:r>
        <w:rPr>
          <w:color w:val="231F20"/>
        </w:rPr>
        <w:t>L'ancien</w:t>
      </w:r>
      <w:r>
        <w:rPr>
          <w:color w:val="231F20"/>
          <w:spacing w:val="-15"/>
        </w:rPr>
        <w:t> </w:t>
      </w:r>
      <w:r>
        <w:rPr>
          <w:color w:val="231F20"/>
        </w:rPr>
        <w:t>Président de la République</w:t>
      </w:r>
      <w:r>
        <w:rPr>
          <w:color w:val="231F20"/>
          <w:spacing w:val="-2"/>
        </w:rPr>
        <w:t> </w:t>
      </w:r>
      <w:r>
        <w:rPr>
          <w:color w:val="231F20"/>
        </w:rPr>
        <w:t>est exécuté le</w:t>
      </w:r>
      <w:r>
        <w:rPr>
          <w:color w:val="231F20"/>
          <w:spacing w:val="-1"/>
        </w:rPr>
        <w:t> </w:t>
      </w:r>
      <w:r>
        <w:rPr>
          <w:color w:val="231F20"/>
        </w:rPr>
        <w:t>25</w:t>
      </w:r>
      <w:r>
        <w:rPr>
          <w:color w:val="231F20"/>
          <w:spacing w:val="-1"/>
        </w:rPr>
        <w:t> </w:t>
      </w:r>
      <w:r>
        <w:rPr>
          <w:color w:val="231F20"/>
        </w:rPr>
        <w:t>mars 1977.</w:t>
      </w:r>
    </w:p>
    <w:p>
      <w:pPr>
        <w:pStyle w:val="BodyText"/>
        <w:spacing w:before="121"/>
        <w:ind w:right="107" w:firstLine="283"/>
      </w:pPr>
      <w:r>
        <w:rPr>
          <w:color w:val="231F20"/>
        </w:rPr>
        <w:t>Le 03 avril 1977, Joachim Yhombi-Opango, numéro un du Comité Militaire</w:t>
      </w:r>
      <w:r>
        <w:rPr>
          <w:color w:val="231F20"/>
          <w:spacing w:val="-5"/>
        </w:rPr>
        <w:t> </w:t>
      </w:r>
      <w:r>
        <w:rPr>
          <w:color w:val="231F20"/>
        </w:rPr>
        <w:t>du</w:t>
      </w:r>
      <w:r>
        <w:rPr>
          <w:color w:val="231F20"/>
          <w:spacing w:val="-8"/>
        </w:rPr>
        <w:t> </w:t>
      </w:r>
      <w:r>
        <w:rPr>
          <w:color w:val="231F20"/>
        </w:rPr>
        <w:t>Parti</w:t>
      </w:r>
      <w:r>
        <w:rPr>
          <w:color w:val="231F20"/>
          <w:spacing w:val="-5"/>
        </w:rPr>
        <w:t> </w:t>
      </w:r>
      <w:r>
        <w:rPr>
          <w:color w:val="231F20"/>
        </w:rPr>
        <w:t>est</w:t>
      </w:r>
      <w:r>
        <w:rPr>
          <w:color w:val="231F20"/>
          <w:spacing w:val="-5"/>
        </w:rPr>
        <w:t> </w:t>
      </w:r>
      <w:r>
        <w:rPr>
          <w:color w:val="231F20"/>
        </w:rPr>
        <w:t>désigné</w:t>
      </w:r>
      <w:r>
        <w:rPr>
          <w:color w:val="231F20"/>
          <w:spacing w:val="-6"/>
        </w:rPr>
        <w:t> </w:t>
      </w:r>
      <w:r>
        <w:rPr>
          <w:color w:val="231F20"/>
        </w:rPr>
        <w:t>par</w:t>
      </w:r>
      <w:r>
        <w:rPr>
          <w:color w:val="231F20"/>
          <w:spacing w:val="-6"/>
        </w:rPr>
        <w:t> </w:t>
      </w:r>
      <w:r>
        <w:rPr>
          <w:color w:val="231F20"/>
        </w:rPr>
        <w:t>ses</w:t>
      </w:r>
      <w:r>
        <w:rPr>
          <w:color w:val="231F20"/>
          <w:spacing w:val="-8"/>
        </w:rPr>
        <w:t> </w:t>
      </w:r>
      <w:r>
        <w:rPr>
          <w:color w:val="231F20"/>
        </w:rPr>
        <w:t>pairs</w:t>
      </w:r>
      <w:r>
        <w:rPr>
          <w:color w:val="231F20"/>
          <w:spacing w:val="-6"/>
        </w:rPr>
        <w:t> </w:t>
      </w:r>
      <w:r>
        <w:rPr>
          <w:color w:val="231F20"/>
        </w:rPr>
        <w:t>pour</w:t>
      </w:r>
      <w:r>
        <w:rPr>
          <w:color w:val="231F20"/>
          <w:spacing w:val="-9"/>
        </w:rPr>
        <w:t> </w:t>
      </w:r>
      <w:r>
        <w:rPr>
          <w:color w:val="231F20"/>
        </w:rPr>
        <w:t>diriger</w:t>
      </w:r>
      <w:r>
        <w:rPr>
          <w:color w:val="231F20"/>
          <w:spacing w:val="-6"/>
        </w:rPr>
        <w:t> </w:t>
      </w:r>
      <w:r>
        <w:rPr>
          <w:color w:val="231F20"/>
        </w:rPr>
        <w:t>le</w:t>
      </w:r>
      <w:r>
        <w:rPr>
          <w:color w:val="231F20"/>
          <w:spacing w:val="-5"/>
        </w:rPr>
        <w:t> </w:t>
      </w:r>
      <w:r>
        <w:rPr>
          <w:color w:val="231F20"/>
        </w:rPr>
        <w:t>pays.</w:t>
      </w:r>
    </w:p>
    <w:p>
      <w:pPr>
        <w:pStyle w:val="BodyText"/>
        <w:spacing w:before="120"/>
        <w:ind w:right="105" w:firstLine="283"/>
      </w:pPr>
      <w:r>
        <w:rPr>
          <w:color w:val="231F20"/>
        </w:rPr>
        <w:t>Le 06 avril, il prête serment et devient le quatrième Président de la République du Congo. Il renoue avec la France</w:t>
      </w:r>
      <w:r>
        <w:rPr>
          <w:color w:val="231F20"/>
          <w:spacing w:val="-12"/>
        </w:rPr>
        <w:t> </w:t>
      </w:r>
      <w:r>
        <w:rPr>
          <w:color w:val="231F20"/>
        </w:rPr>
        <w:t>:</w:t>
      </w:r>
      <w:r>
        <w:rPr>
          <w:color w:val="231F20"/>
          <w:spacing w:val="-13"/>
        </w:rPr>
        <w:t> </w:t>
      </w:r>
      <w:r>
        <w:rPr>
          <w:color w:val="231F20"/>
        </w:rPr>
        <w:t>les relations entre </w:t>
      </w:r>
      <w:r>
        <w:rPr>
          <w:color w:val="231F20"/>
          <w:spacing w:val="-2"/>
        </w:rPr>
        <w:t>l’ancienne</w:t>
      </w:r>
      <w:r>
        <w:rPr>
          <w:color w:val="231F20"/>
          <w:spacing w:val="-13"/>
        </w:rPr>
        <w:t> </w:t>
      </w:r>
      <w:r>
        <w:rPr>
          <w:color w:val="231F20"/>
          <w:spacing w:val="-2"/>
        </w:rPr>
        <w:t>métropole</w:t>
      </w:r>
      <w:r>
        <w:rPr>
          <w:color w:val="231F20"/>
          <w:spacing w:val="-11"/>
        </w:rPr>
        <w:t> </w:t>
      </w:r>
      <w:r>
        <w:rPr>
          <w:color w:val="231F20"/>
          <w:spacing w:val="-2"/>
        </w:rPr>
        <w:t>et</w:t>
      </w:r>
      <w:r>
        <w:rPr>
          <w:color w:val="231F20"/>
          <w:spacing w:val="-13"/>
        </w:rPr>
        <w:t> </w:t>
      </w:r>
      <w:r>
        <w:rPr>
          <w:color w:val="231F20"/>
          <w:spacing w:val="-2"/>
        </w:rPr>
        <w:t>le</w:t>
      </w:r>
      <w:r>
        <w:rPr>
          <w:color w:val="231F20"/>
          <w:spacing w:val="-11"/>
        </w:rPr>
        <w:t> </w:t>
      </w:r>
      <w:r>
        <w:rPr>
          <w:color w:val="231F20"/>
          <w:spacing w:val="-2"/>
        </w:rPr>
        <w:t>Congo</w:t>
      </w:r>
      <w:r>
        <w:rPr>
          <w:color w:val="231F20"/>
          <w:spacing w:val="-11"/>
        </w:rPr>
        <w:t> </w:t>
      </w:r>
      <w:r>
        <w:rPr>
          <w:color w:val="231F20"/>
          <w:spacing w:val="-2"/>
        </w:rPr>
        <w:t>étaient</w:t>
      </w:r>
      <w:r>
        <w:rPr>
          <w:color w:val="231F20"/>
          <w:spacing w:val="-11"/>
        </w:rPr>
        <w:t> </w:t>
      </w:r>
      <w:r>
        <w:rPr>
          <w:color w:val="231F20"/>
          <w:spacing w:val="-2"/>
        </w:rPr>
        <w:t>difficiles</w:t>
      </w:r>
      <w:r>
        <w:rPr>
          <w:color w:val="231F20"/>
          <w:spacing w:val="-12"/>
        </w:rPr>
        <w:t> </w:t>
      </w:r>
      <w:r>
        <w:rPr>
          <w:color w:val="231F20"/>
          <w:spacing w:val="-2"/>
        </w:rPr>
        <w:t>sous</w:t>
      </w:r>
      <w:r>
        <w:rPr>
          <w:color w:val="231F20"/>
          <w:spacing w:val="-12"/>
        </w:rPr>
        <w:t> </w:t>
      </w:r>
      <w:r>
        <w:rPr>
          <w:color w:val="231F20"/>
          <w:spacing w:val="-2"/>
        </w:rPr>
        <w:t>Marien</w:t>
      </w:r>
      <w:r>
        <w:rPr>
          <w:color w:val="231F20"/>
          <w:spacing w:val="-10"/>
        </w:rPr>
        <w:t> </w:t>
      </w:r>
      <w:r>
        <w:rPr>
          <w:color w:val="231F20"/>
          <w:spacing w:val="-2"/>
        </w:rPr>
        <w:t>Ngouabi. </w:t>
      </w:r>
      <w:r>
        <w:rPr>
          <w:color w:val="231F20"/>
        </w:rPr>
        <w:t>Après 13 ans de rupture les relations diplomatiques sont également rétablies avec les États-Unis.</w:t>
      </w:r>
    </w:p>
    <w:p>
      <w:pPr>
        <w:pStyle w:val="BodyText"/>
        <w:spacing w:before="120"/>
        <w:ind w:right="107" w:firstLine="283"/>
      </w:pPr>
      <w:r>
        <w:rPr>
          <w:color w:val="231F20"/>
        </w:rPr>
        <w:t>Le</w:t>
      </w:r>
      <w:r>
        <w:rPr>
          <w:color w:val="231F20"/>
          <w:spacing w:val="-15"/>
        </w:rPr>
        <w:t> </w:t>
      </w:r>
      <w:r>
        <w:rPr>
          <w:color w:val="231F20"/>
        </w:rPr>
        <w:t>5</w:t>
      </w:r>
      <w:r>
        <w:rPr>
          <w:color w:val="231F20"/>
          <w:spacing w:val="-15"/>
        </w:rPr>
        <w:t> </w:t>
      </w:r>
      <w:r>
        <w:rPr>
          <w:color w:val="231F20"/>
        </w:rPr>
        <w:t>février</w:t>
      </w:r>
      <w:r>
        <w:rPr>
          <w:color w:val="231F20"/>
          <w:spacing w:val="-15"/>
        </w:rPr>
        <w:t> </w:t>
      </w:r>
      <w:r>
        <w:rPr>
          <w:color w:val="231F20"/>
        </w:rPr>
        <w:t>1979,</w:t>
      </w:r>
      <w:r>
        <w:rPr>
          <w:color w:val="231F20"/>
          <w:spacing w:val="-15"/>
        </w:rPr>
        <w:t> </w:t>
      </w:r>
      <w:r>
        <w:rPr>
          <w:color w:val="231F20"/>
        </w:rPr>
        <w:t>Yhombi-Opango</w:t>
      </w:r>
      <w:r>
        <w:rPr>
          <w:color w:val="231F20"/>
          <w:spacing w:val="-15"/>
        </w:rPr>
        <w:t> </w:t>
      </w:r>
      <w:r>
        <w:rPr>
          <w:color w:val="231F20"/>
        </w:rPr>
        <w:t>est</w:t>
      </w:r>
      <w:r>
        <w:rPr>
          <w:color w:val="231F20"/>
          <w:spacing w:val="-15"/>
        </w:rPr>
        <w:t> </w:t>
      </w:r>
      <w:r>
        <w:rPr>
          <w:color w:val="231F20"/>
        </w:rPr>
        <w:t>renversé</w:t>
      </w:r>
      <w:r>
        <w:rPr>
          <w:color w:val="231F20"/>
          <w:spacing w:val="-15"/>
        </w:rPr>
        <w:t> </w:t>
      </w:r>
      <w:r>
        <w:rPr>
          <w:color w:val="231F20"/>
        </w:rPr>
        <w:t>par</w:t>
      </w:r>
      <w:r>
        <w:rPr>
          <w:color w:val="231F20"/>
          <w:spacing w:val="-15"/>
        </w:rPr>
        <w:t> </w:t>
      </w:r>
      <w:r>
        <w:rPr>
          <w:color w:val="231F20"/>
        </w:rPr>
        <w:t>le</w:t>
      </w:r>
      <w:r>
        <w:rPr>
          <w:color w:val="231F20"/>
          <w:spacing w:val="-15"/>
        </w:rPr>
        <w:t> </w:t>
      </w:r>
      <w:r>
        <w:rPr>
          <w:color w:val="231F20"/>
        </w:rPr>
        <w:t>Colonel</w:t>
      </w:r>
      <w:r>
        <w:rPr>
          <w:color w:val="231F20"/>
          <w:spacing w:val="-15"/>
        </w:rPr>
        <w:t> </w:t>
      </w:r>
      <w:r>
        <w:rPr>
          <w:color w:val="231F20"/>
        </w:rPr>
        <w:t>Denis Sassou</w:t>
      </w:r>
      <w:r>
        <w:rPr>
          <w:color w:val="231F20"/>
          <w:spacing w:val="-10"/>
        </w:rPr>
        <w:t> </w:t>
      </w:r>
      <w:r>
        <w:rPr>
          <w:color w:val="231F20"/>
        </w:rPr>
        <w:t>Nguesso.</w:t>
      </w:r>
      <w:r>
        <w:rPr>
          <w:color w:val="231F20"/>
          <w:spacing w:val="-12"/>
        </w:rPr>
        <w:t> </w:t>
      </w:r>
      <w:r>
        <w:rPr>
          <w:color w:val="231F20"/>
        </w:rPr>
        <w:t>Justifiant</w:t>
      </w:r>
      <w:r>
        <w:rPr>
          <w:color w:val="231F20"/>
          <w:spacing w:val="-11"/>
        </w:rPr>
        <w:t> </w:t>
      </w:r>
      <w:r>
        <w:rPr>
          <w:color w:val="231F20"/>
        </w:rPr>
        <w:t>le</w:t>
      </w:r>
      <w:r>
        <w:rPr>
          <w:color w:val="231F20"/>
          <w:spacing w:val="-10"/>
        </w:rPr>
        <w:t> </w:t>
      </w:r>
      <w:r>
        <w:rPr>
          <w:color w:val="231F20"/>
        </w:rPr>
        <w:t>coup</w:t>
      </w:r>
      <w:r>
        <w:rPr>
          <w:color w:val="231F20"/>
          <w:spacing w:val="-12"/>
        </w:rPr>
        <w:t> </w:t>
      </w:r>
      <w:r>
        <w:rPr>
          <w:color w:val="231F20"/>
        </w:rPr>
        <w:t>de</w:t>
      </w:r>
      <w:r>
        <w:rPr>
          <w:color w:val="231F20"/>
          <w:spacing w:val="-10"/>
        </w:rPr>
        <w:t> </w:t>
      </w:r>
      <w:r>
        <w:rPr>
          <w:color w:val="231F20"/>
        </w:rPr>
        <w:t>force,</w:t>
      </w:r>
      <w:r>
        <w:rPr>
          <w:color w:val="231F20"/>
          <w:spacing w:val="-12"/>
        </w:rPr>
        <w:t> </w:t>
      </w:r>
      <w:r>
        <w:rPr>
          <w:color w:val="231F20"/>
        </w:rPr>
        <w:t>le</w:t>
      </w:r>
      <w:r>
        <w:rPr>
          <w:color w:val="231F20"/>
          <w:spacing w:val="-12"/>
        </w:rPr>
        <w:t> </w:t>
      </w:r>
      <w:r>
        <w:rPr>
          <w:color w:val="231F20"/>
        </w:rPr>
        <w:t>Colonel</w:t>
      </w:r>
      <w:r>
        <w:rPr>
          <w:color w:val="231F20"/>
          <w:spacing w:val="-11"/>
        </w:rPr>
        <w:t> </w:t>
      </w:r>
      <w:r>
        <w:rPr>
          <w:color w:val="231F20"/>
        </w:rPr>
        <w:t>Sassou</w:t>
      </w:r>
      <w:r>
        <w:rPr>
          <w:color w:val="231F20"/>
          <w:spacing w:val="-11"/>
        </w:rPr>
        <w:t> </w:t>
      </w:r>
      <w:r>
        <w:rPr>
          <w:color w:val="231F20"/>
        </w:rPr>
        <w:t>Nguesso explique</w:t>
      </w:r>
      <w:r>
        <w:rPr>
          <w:color w:val="231F20"/>
          <w:spacing w:val="-15"/>
        </w:rPr>
        <w:t> </w:t>
      </w:r>
      <w:r>
        <w:rPr>
          <w:color w:val="231F20"/>
        </w:rPr>
        <w:t>que</w:t>
      </w:r>
      <w:r>
        <w:rPr>
          <w:color w:val="231F20"/>
          <w:spacing w:val="-15"/>
        </w:rPr>
        <w:t> </w:t>
      </w:r>
      <w:r>
        <w:rPr>
          <w:color w:val="231F20"/>
        </w:rPr>
        <w:t>c’est</w:t>
      </w:r>
      <w:r>
        <w:rPr>
          <w:color w:val="231F20"/>
          <w:spacing w:val="-11"/>
        </w:rPr>
        <w:t> </w:t>
      </w:r>
      <w:r>
        <w:rPr>
          <w:color w:val="231F20"/>
        </w:rPr>
        <w:t>pour</w:t>
      </w:r>
      <w:r>
        <w:rPr>
          <w:color w:val="231F20"/>
          <w:spacing w:val="-12"/>
        </w:rPr>
        <w:t> </w:t>
      </w:r>
      <w:r>
        <w:rPr>
          <w:color w:val="231F20"/>
        </w:rPr>
        <w:t>rompre</w:t>
      </w:r>
      <w:r>
        <w:rPr>
          <w:color w:val="231F20"/>
          <w:spacing w:val="-12"/>
        </w:rPr>
        <w:t> </w:t>
      </w:r>
      <w:r>
        <w:rPr>
          <w:color w:val="231F20"/>
        </w:rPr>
        <w:t>avec</w:t>
      </w:r>
      <w:r>
        <w:rPr>
          <w:color w:val="231F20"/>
          <w:spacing w:val="-12"/>
        </w:rPr>
        <w:t> </w:t>
      </w:r>
      <w:r>
        <w:rPr>
          <w:color w:val="231F20"/>
        </w:rPr>
        <w:t>«</w:t>
      </w:r>
      <w:r>
        <w:rPr>
          <w:color w:val="231F20"/>
          <w:spacing w:val="-15"/>
        </w:rPr>
        <w:t> </w:t>
      </w:r>
      <w:r>
        <w:rPr>
          <w:color w:val="231F20"/>
        </w:rPr>
        <w:t>la</w:t>
      </w:r>
      <w:r>
        <w:rPr>
          <w:color w:val="231F20"/>
          <w:spacing w:val="-12"/>
        </w:rPr>
        <w:t> </w:t>
      </w:r>
      <w:r>
        <w:rPr>
          <w:color w:val="231F20"/>
        </w:rPr>
        <w:t>politique</w:t>
      </w:r>
      <w:r>
        <w:rPr>
          <w:color w:val="231F20"/>
          <w:spacing w:val="-14"/>
        </w:rPr>
        <w:t> </w:t>
      </w:r>
      <w:r>
        <w:rPr>
          <w:color w:val="231F20"/>
        </w:rPr>
        <w:t>d’irresponsabilité,</w:t>
      </w:r>
      <w:r>
        <w:rPr>
          <w:color w:val="231F20"/>
          <w:spacing w:val="-11"/>
        </w:rPr>
        <w:t> </w:t>
      </w:r>
      <w:r>
        <w:rPr>
          <w:color w:val="231F20"/>
          <w:spacing w:val="-5"/>
        </w:rPr>
        <w:t>de</w:t>
      </w:r>
    </w:p>
    <w:p>
      <w:pPr>
        <w:spacing w:after="0"/>
        <w:sectPr>
          <w:pgSz w:w="8790" w:h="13610"/>
          <w:pgMar w:header="0" w:footer="802" w:top="1060" w:bottom="1000" w:left="880" w:right="880"/>
        </w:sectPr>
      </w:pPr>
    </w:p>
    <w:p>
      <w:pPr>
        <w:pStyle w:val="BodyText"/>
        <w:spacing w:before="66"/>
      </w:pPr>
      <w:r>
        <w:rPr>
          <w:color w:val="231F20"/>
        </w:rPr>
        <w:t>démission</w:t>
      </w:r>
      <w:r>
        <w:rPr>
          <w:color w:val="231F20"/>
          <w:spacing w:val="35"/>
        </w:rPr>
        <w:t>  </w:t>
      </w:r>
      <w:r>
        <w:rPr>
          <w:color w:val="231F20"/>
        </w:rPr>
        <w:t>nationale,</w:t>
      </w:r>
      <w:r>
        <w:rPr>
          <w:color w:val="231F20"/>
          <w:spacing w:val="38"/>
        </w:rPr>
        <w:t>  </w:t>
      </w:r>
      <w:r>
        <w:rPr>
          <w:color w:val="231F20"/>
        </w:rPr>
        <w:t>d’obscurantisme</w:t>
      </w:r>
      <w:r>
        <w:rPr>
          <w:color w:val="231F20"/>
          <w:spacing w:val="37"/>
        </w:rPr>
        <w:t>  </w:t>
      </w:r>
      <w:r>
        <w:rPr>
          <w:color w:val="231F20"/>
        </w:rPr>
        <w:t>et</w:t>
      </w:r>
      <w:r>
        <w:rPr>
          <w:color w:val="231F20"/>
          <w:spacing w:val="38"/>
        </w:rPr>
        <w:t>  </w:t>
      </w:r>
      <w:r>
        <w:rPr>
          <w:color w:val="231F20"/>
        </w:rPr>
        <w:t>d’aplatissement</w:t>
      </w:r>
      <w:r>
        <w:rPr>
          <w:color w:val="231F20"/>
          <w:spacing w:val="38"/>
        </w:rPr>
        <w:t>  </w:t>
      </w:r>
      <w:r>
        <w:rPr>
          <w:color w:val="231F20"/>
          <w:spacing w:val="-2"/>
        </w:rPr>
        <w:t>devant</w:t>
      </w:r>
    </w:p>
    <w:p>
      <w:pPr>
        <w:pStyle w:val="BodyText"/>
      </w:pPr>
      <w:r>
        <w:rPr>
          <w:color w:val="231F20"/>
          <w:spacing w:val="-4"/>
        </w:rPr>
        <w:t>l’impérialisme</w:t>
      </w:r>
      <w:r>
        <w:rPr>
          <w:color w:val="231F20"/>
          <w:spacing w:val="-2"/>
        </w:rPr>
        <w:t> </w:t>
      </w:r>
      <w:r>
        <w:rPr>
          <w:color w:val="231F20"/>
          <w:spacing w:val="-4"/>
        </w:rPr>
        <w:t>des</w:t>
      </w:r>
      <w:r>
        <w:rPr>
          <w:color w:val="231F20"/>
          <w:spacing w:val="4"/>
        </w:rPr>
        <w:t> </w:t>
      </w:r>
      <w:r>
        <w:rPr>
          <w:color w:val="231F20"/>
          <w:spacing w:val="-4"/>
        </w:rPr>
        <w:t>éléments</w:t>
      </w:r>
      <w:r>
        <w:rPr>
          <w:color w:val="231F20"/>
        </w:rPr>
        <w:t> </w:t>
      </w:r>
      <w:r>
        <w:rPr>
          <w:color w:val="231F20"/>
          <w:spacing w:val="-4"/>
        </w:rPr>
        <w:t>de</w:t>
      </w:r>
      <w:r>
        <w:rPr>
          <w:color w:val="231F20"/>
          <w:spacing w:val="2"/>
        </w:rPr>
        <w:t> </w:t>
      </w:r>
      <w:r>
        <w:rPr>
          <w:color w:val="231F20"/>
          <w:spacing w:val="-4"/>
        </w:rPr>
        <w:t>la</w:t>
      </w:r>
      <w:r>
        <w:rPr>
          <w:color w:val="231F20"/>
          <w:spacing w:val="2"/>
        </w:rPr>
        <w:t> </w:t>
      </w:r>
      <w:r>
        <w:rPr>
          <w:color w:val="231F20"/>
          <w:spacing w:val="-4"/>
        </w:rPr>
        <w:t>bourgeoisie</w:t>
      </w:r>
      <w:r>
        <w:rPr>
          <w:color w:val="231F20"/>
          <w:spacing w:val="3"/>
        </w:rPr>
        <w:t> </w:t>
      </w:r>
      <w:r>
        <w:rPr>
          <w:color w:val="231F20"/>
          <w:spacing w:val="-4"/>
        </w:rPr>
        <w:t>bureaucratique</w:t>
      </w:r>
      <w:r>
        <w:rPr>
          <w:color w:val="231F20"/>
          <w:spacing w:val="-1"/>
        </w:rPr>
        <w:t> </w:t>
      </w:r>
      <w:r>
        <w:rPr>
          <w:color w:val="231F20"/>
          <w:spacing w:val="-5"/>
        </w:rPr>
        <w:t>».</w:t>
      </w:r>
    </w:p>
    <w:p>
      <w:pPr>
        <w:pStyle w:val="BodyText"/>
        <w:spacing w:before="120"/>
        <w:ind w:right="106" w:firstLine="283"/>
      </w:pPr>
      <w:r>
        <w:rPr>
          <w:color w:val="231F20"/>
        </w:rPr>
        <w:t>Il</w:t>
      </w:r>
      <w:r>
        <w:rPr>
          <w:color w:val="231F20"/>
          <w:spacing w:val="-8"/>
        </w:rPr>
        <w:t> </w:t>
      </w:r>
      <w:r>
        <w:rPr>
          <w:color w:val="231F20"/>
        </w:rPr>
        <w:t>ne</w:t>
      </w:r>
      <w:r>
        <w:rPr>
          <w:color w:val="231F20"/>
          <w:spacing w:val="-9"/>
        </w:rPr>
        <w:t> </w:t>
      </w:r>
      <w:r>
        <w:rPr>
          <w:color w:val="231F20"/>
        </w:rPr>
        <w:t>réussit</w:t>
      </w:r>
      <w:r>
        <w:rPr>
          <w:color w:val="231F20"/>
          <w:spacing w:val="-9"/>
        </w:rPr>
        <w:t> </w:t>
      </w:r>
      <w:r>
        <w:rPr>
          <w:color w:val="231F20"/>
        </w:rPr>
        <w:t>pas</w:t>
      </w:r>
      <w:r>
        <w:rPr>
          <w:color w:val="231F20"/>
          <w:spacing w:val="-9"/>
        </w:rPr>
        <w:t> </w:t>
      </w:r>
      <w:r>
        <w:rPr>
          <w:color w:val="231F20"/>
        </w:rPr>
        <w:t>à</w:t>
      </w:r>
      <w:r>
        <w:rPr>
          <w:color w:val="231F20"/>
          <w:spacing w:val="-9"/>
        </w:rPr>
        <w:t> </w:t>
      </w:r>
      <w:r>
        <w:rPr>
          <w:color w:val="231F20"/>
        </w:rPr>
        <w:t>apporter</w:t>
      </w:r>
      <w:r>
        <w:rPr>
          <w:color w:val="231F20"/>
          <w:spacing w:val="-9"/>
        </w:rPr>
        <w:t> </w:t>
      </w:r>
      <w:r>
        <w:rPr>
          <w:color w:val="231F20"/>
        </w:rPr>
        <w:t>la</w:t>
      </w:r>
      <w:r>
        <w:rPr>
          <w:color w:val="231F20"/>
          <w:spacing w:val="-9"/>
        </w:rPr>
        <w:t> </w:t>
      </w:r>
      <w:r>
        <w:rPr>
          <w:color w:val="231F20"/>
        </w:rPr>
        <w:t>paix</w:t>
      </w:r>
      <w:r>
        <w:rPr>
          <w:color w:val="231F20"/>
          <w:spacing w:val="-9"/>
        </w:rPr>
        <w:t> </w:t>
      </w:r>
      <w:r>
        <w:rPr>
          <w:color w:val="231F20"/>
        </w:rPr>
        <w:t>et</w:t>
      </w:r>
      <w:r>
        <w:rPr>
          <w:color w:val="231F20"/>
          <w:spacing w:val="-9"/>
        </w:rPr>
        <w:t> </w:t>
      </w:r>
      <w:r>
        <w:rPr>
          <w:color w:val="231F20"/>
        </w:rPr>
        <w:t>la</w:t>
      </w:r>
      <w:r>
        <w:rPr>
          <w:color w:val="231F20"/>
          <w:spacing w:val="-9"/>
        </w:rPr>
        <w:t> </w:t>
      </w:r>
      <w:r>
        <w:rPr>
          <w:color w:val="231F20"/>
        </w:rPr>
        <w:t>stabilité</w:t>
      </w:r>
      <w:r>
        <w:rPr>
          <w:color w:val="231F20"/>
          <w:spacing w:val="-9"/>
        </w:rPr>
        <w:t> </w:t>
      </w:r>
      <w:r>
        <w:rPr>
          <w:color w:val="231F20"/>
        </w:rPr>
        <w:t>économique</w:t>
      </w:r>
      <w:r>
        <w:rPr>
          <w:color w:val="231F20"/>
          <w:spacing w:val="-10"/>
        </w:rPr>
        <w:t> </w:t>
      </w:r>
      <w:r>
        <w:rPr>
          <w:color w:val="231F20"/>
        </w:rPr>
        <w:t>au</w:t>
      </w:r>
      <w:r>
        <w:rPr>
          <w:color w:val="231F20"/>
          <w:spacing w:val="-9"/>
        </w:rPr>
        <w:t> </w:t>
      </w:r>
      <w:r>
        <w:rPr>
          <w:color w:val="231F20"/>
        </w:rPr>
        <w:t>pays. Au</w:t>
      </w:r>
      <w:r>
        <w:rPr>
          <w:color w:val="231F20"/>
          <w:spacing w:val="-13"/>
        </w:rPr>
        <w:t> </w:t>
      </w:r>
      <w:r>
        <w:rPr>
          <w:color w:val="231F20"/>
        </w:rPr>
        <w:t>contraire,</w:t>
      </w:r>
      <w:r>
        <w:rPr>
          <w:color w:val="231F20"/>
          <w:spacing w:val="-13"/>
        </w:rPr>
        <w:t> </w:t>
      </w:r>
      <w:r>
        <w:rPr>
          <w:color w:val="231F20"/>
        </w:rPr>
        <w:t>dès</w:t>
      </w:r>
      <w:r>
        <w:rPr>
          <w:color w:val="231F20"/>
          <w:spacing w:val="-13"/>
        </w:rPr>
        <w:t> </w:t>
      </w:r>
      <w:r>
        <w:rPr>
          <w:color w:val="231F20"/>
        </w:rPr>
        <w:t>1985,</w:t>
      </w:r>
      <w:r>
        <w:rPr>
          <w:color w:val="231F20"/>
          <w:spacing w:val="-14"/>
        </w:rPr>
        <w:t> </w:t>
      </w:r>
      <w:r>
        <w:rPr>
          <w:color w:val="231F20"/>
        </w:rPr>
        <w:t>les</w:t>
      </w:r>
      <w:r>
        <w:rPr>
          <w:color w:val="231F20"/>
          <w:spacing w:val="-13"/>
        </w:rPr>
        <w:t> </w:t>
      </w:r>
      <w:r>
        <w:rPr>
          <w:color w:val="231F20"/>
        </w:rPr>
        <w:t>tensions</w:t>
      </w:r>
      <w:r>
        <w:rPr>
          <w:color w:val="231F20"/>
          <w:spacing w:val="-12"/>
        </w:rPr>
        <w:t> </w:t>
      </w:r>
      <w:r>
        <w:rPr>
          <w:color w:val="231F20"/>
        </w:rPr>
        <w:t>s’accentuent.</w:t>
      </w:r>
      <w:r>
        <w:rPr>
          <w:color w:val="231F20"/>
          <w:spacing w:val="-13"/>
        </w:rPr>
        <w:t> </w:t>
      </w:r>
      <w:r>
        <w:rPr>
          <w:color w:val="231F20"/>
        </w:rPr>
        <w:t>La</w:t>
      </w:r>
      <w:r>
        <w:rPr>
          <w:color w:val="231F20"/>
          <w:spacing w:val="-13"/>
        </w:rPr>
        <w:t> </w:t>
      </w:r>
      <w:r>
        <w:rPr>
          <w:color w:val="231F20"/>
        </w:rPr>
        <w:t>dette</w:t>
      </w:r>
      <w:r>
        <w:rPr>
          <w:color w:val="231F20"/>
          <w:spacing w:val="-13"/>
        </w:rPr>
        <w:t> </w:t>
      </w:r>
      <w:r>
        <w:rPr>
          <w:color w:val="231F20"/>
        </w:rPr>
        <w:t>extérieure</w:t>
      </w:r>
      <w:r>
        <w:rPr>
          <w:color w:val="231F20"/>
          <w:spacing w:val="-13"/>
        </w:rPr>
        <w:t> </w:t>
      </w:r>
      <w:r>
        <w:rPr>
          <w:color w:val="231F20"/>
        </w:rPr>
        <w:t>du </w:t>
      </w:r>
      <w:r>
        <w:rPr>
          <w:color w:val="231F20"/>
          <w:spacing w:val="-4"/>
        </w:rPr>
        <w:t>Congo devient</w:t>
      </w:r>
      <w:r>
        <w:rPr>
          <w:color w:val="231F20"/>
          <w:spacing w:val="-5"/>
        </w:rPr>
        <w:t> </w:t>
      </w:r>
      <w:r>
        <w:rPr>
          <w:color w:val="231F20"/>
          <w:spacing w:val="-4"/>
        </w:rPr>
        <w:t>impossible</w:t>
      </w:r>
      <w:r>
        <w:rPr>
          <w:color w:val="231F20"/>
          <w:spacing w:val="-6"/>
        </w:rPr>
        <w:t> </w:t>
      </w:r>
      <w:r>
        <w:rPr>
          <w:color w:val="231F20"/>
          <w:spacing w:val="-4"/>
        </w:rPr>
        <w:t>à maîtriser.</w:t>
      </w:r>
      <w:r>
        <w:rPr>
          <w:color w:val="231F20"/>
          <w:spacing w:val="-5"/>
        </w:rPr>
        <w:t> </w:t>
      </w:r>
      <w:r>
        <w:rPr>
          <w:color w:val="231F20"/>
          <w:spacing w:val="-4"/>
        </w:rPr>
        <w:t>Un</w:t>
      </w:r>
      <w:r>
        <w:rPr>
          <w:color w:val="231F20"/>
          <w:spacing w:val="-6"/>
        </w:rPr>
        <w:t> </w:t>
      </w:r>
      <w:r>
        <w:rPr>
          <w:color w:val="231F20"/>
          <w:spacing w:val="-4"/>
        </w:rPr>
        <w:t>plan</w:t>
      </w:r>
      <w:r>
        <w:rPr>
          <w:color w:val="231F20"/>
          <w:spacing w:val="-6"/>
        </w:rPr>
        <w:t> </w:t>
      </w:r>
      <w:r>
        <w:rPr>
          <w:color w:val="231F20"/>
          <w:spacing w:val="-4"/>
        </w:rPr>
        <w:t>d’ajustement structurel est </w:t>
      </w:r>
      <w:r>
        <w:rPr>
          <w:color w:val="231F20"/>
        </w:rPr>
        <w:t>adopté au mois de juin. Les lycées puis les syndicats s’opposent à des projets</w:t>
      </w:r>
      <w:r>
        <w:rPr>
          <w:color w:val="231F20"/>
          <w:spacing w:val="-1"/>
        </w:rPr>
        <w:t> </w:t>
      </w:r>
      <w:r>
        <w:rPr>
          <w:color w:val="231F20"/>
        </w:rPr>
        <w:t>du</w:t>
      </w:r>
      <w:r>
        <w:rPr>
          <w:color w:val="231F20"/>
          <w:spacing w:val="-2"/>
        </w:rPr>
        <w:t> </w:t>
      </w:r>
      <w:r>
        <w:rPr>
          <w:color w:val="231F20"/>
        </w:rPr>
        <w:t>plan.</w:t>
      </w:r>
      <w:r>
        <w:rPr>
          <w:color w:val="231F20"/>
          <w:spacing w:val="-2"/>
        </w:rPr>
        <w:t> </w:t>
      </w:r>
      <w:r>
        <w:rPr>
          <w:color w:val="231F20"/>
        </w:rPr>
        <w:t>La</w:t>
      </w:r>
      <w:r>
        <w:rPr>
          <w:color w:val="231F20"/>
          <w:spacing w:val="-3"/>
        </w:rPr>
        <w:t> </w:t>
      </w:r>
      <w:r>
        <w:rPr>
          <w:color w:val="231F20"/>
        </w:rPr>
        <w:t>fin</w:t>
      </w:r>
      <w:r>
        <w:rPr>
          <w:color w:val="231F20"/>
          <w:spacing w:val="-1"/>
        </w:rPr>
        <w:t> </w:t>
      </w:r>
      <w:r>
        <w:rPr>
          <w:color w:val="231F20"/>
        </w:rPr>
        <w:t>de</w:t>
      </w:r>
      <w:r>
        <w:rPr>
          <w:color w:val="231F20"/>
          <w:spacing w:val="-3"/>
        </w:rPr>
        <w:t> </w:t>
      </w:r>
      <w:r>
        <w:rPr>
          <w:color w:val="231F20"/>
        </w:rPr>
        <w:t>l’année</w:t>
      </w:r>
      <w:r>
        <w:rPr>
          <w:color w:val="231F20"/>
          <w:spacing w:val="-3"/>
        </w:rPr>
        <w:t> </w:t>
      </w:r>
      <w:r>
        <w:rPr>
          <w:color w:val="231F20"/>
        </w:rPr>
        <w:t>1990</w:t>
      </w:r>
      <w:r>
        <w:rPr>
          <w:color w:val="231F20"/>
          <w:spacing w:val="-2"/>
        </w:rPr>
        <w:t> </w:t>
      </w:r>
      <w:r>
        <w:rPr>
          <w:color w:val="231F20"/>
        </w:rPr>
        <w:t>est</w:t>
      </w:r>
      <w:r>
        <w:rPr>
          <w:color w:val="231F20"/>
          <w:spacing w:val="-2"/>
        </w:rPr>
        <w:t> </w:t>
      </w:r>
      <w:r>
        <w:rPr>
          <w:color w:val="231F20"/>
        </w:rPr>
        <w:t>marquée</w:t>
      </w:r>
      <w:r>
        <w:rPr>
          <w:color w:val="231F20"/>
          <w:spacing w:val="-1"/>
        </w:rPr>
        <w:t> </w:t>
      </w:r>
      <w:r>
        <w:rPr>
          <w:color w:val="231F20"/>
        </w:rPr>
        <w:t>par</w:t>
      </w:r>
      <w:r>
        <w:rPr>
          <w:color w:val="231F20"/>
          <w:spacing w:val="-2"/>
        </w:rPr>
        <w:t> </w:t>
      </w:r>
      <w:r>
        <w:rPr>
          <w:color w:val="231F20"/>
        </w:rPr>
        <w:t>de</w:t>
      </w:r>
      <w:r>
        <w:rPr>
          <w:color w:val="231F20"/>
          <w:spacing w:val="-1"/>
        </w:rPr>
        <w:t> </w:t>
      </w:r>
      <w:r>
        <w:rPr>
          <w:color w:val="231F20"/>
        </w:rPr>
        <w:t>nombreuses grèves. Le Président est amené à accepter la tenue d’une Conférence Nationale qui dès son ouverture, le 25 février 1991, se proclame souveraine. Elle est présidée par un prélat</w:t>
      </w:r>
      <w:r>
        <w:rPr>
          <w:color w:val="231F20"/>
          <w:spacing w:val="-15"/>
        </w:rPr>
        <w:t> </w:t>
      </w:r>
      <w:r>
        <w:rPr>
          <w:color w:val="231F20"/>
        </w:rPr>
        <w:t>: Mgr Ernest Kombo, élu en juin</w:t>
      </w:r>
      <w:r>
        <w:rPr>
          <w:color w:val="231F20"/>
          <w:spacing w:val="-15"/>
        </w:rPr>
        <w:t> </w:t>
      </w:r>
      <w:r>
        <w:rPr>
          <w:color w:val="231F20"/>
        </w:rPr>
        <w:t>par</w:t>
      </w:r>
      <w:r>
        <w:rPr>
          <w:color w:val="231F20"/>
          <w:spacing w:val="-15"/>
        </w:rPr>
        <w:t> </w:t>
      </w:r>
      <w:r>
        <w:rPr>
          <w:color w:val="231F20"/>
        </w:rPr>
        <w:t>la</w:t>
      </w:r>
      <w:r>
        <w:rPr>
          <w:color w:val="231F20"/>
          <w:spacing w:val="-15"/>
        </w:rPr>
        <w:t> </w:t>
      </w:r>
      <w:r>
        <w:rPr>
          <w:color w:val="231F20"/>
        </w:rPr>
        <w:t>Conférence,</w:t>
      </w:r>
      <w:r>
        <w:rPr>
          <w:color w:val="231F20"/>
          <w:spacing w:val="-15"/>
        </w:rPr>
        <w:t> </w:t>
      </w:r>
      <w:r>
        <w:rPr>
          <w:color w:val="231F20"/>
        </w:rPr>
        <w:t>Président</w:t>
      </w:r>
      <w:r>
        <w:rPr>
          <w:color w:val="231F20"/>
          <w:spacing w:val="-15"/>
        </w:rPr>
        <w:t> </w:t>
      </w:r>
      <w:r>
        <w:rPr>
          <w:color w:val="231F20"/>
        </w:rPr>
        <w:t>du</w:t>
      </w:r>
      <w:r>
        <w:rPr>
          <w:color w:val="231F20"/>
          <w:spacing w:val="-15"/>
        </w:rPr>
        <w:t> </w:t>
      </w:r>
      <w:r>
        <w:rPr>
          <w:color w:val="231F20"/>
        </w:rPr>
        <w:t>Conseil</w:t>
      </w:r>
      <w:r>
        <w:rPr>
          <w:color w:val="231F20"/>
          <w:spacing w:val="-15"/>
        </w:rPr>
        <w:t> </w:t>
      </w:r>
      <w:r>
        <w:rPr>
          <w:color w:val="231F20"/>
        </w:rPr>
        <w:t>Supérieur</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République du Congo.</w:t>
      </w:r>
    </w:p>
    <w:p>
      <w:pPr>
        <w:pStyle w:val="BodyText"/>
        <w:spacing w:before="121"/>
        <w:ind w:right="105" w:firstLine="283"/>
      </w:pPr>
      <w:r>
        <w:rPr>
          <w:color w:val="231F20"/>
          <w:spacing w:val="-4"/>
        </w:rPr>
        <w:t>Des représentants de</w:t>
      </w:r>
      <w:r>
        <w:rPr>
          <w:color w:val="231F20"/>
          <w:spacing w:val="-5"/>
        </w:rPr>
        <w:t> </w:t>
      </w:r>
      <w:r>
        <w:rPr>
          <w:color w:val="231F20"/>
          <w:spacing w:val="-4"/>
        </w:rPr>
        <w:t>l’État, de</w:t>
      </w:r>
      <w:r>
        <w:rPr>
          <w:color w:val="231F20"/>
          <w:spacing w:val="-5"/>
        </w:rPr>
        <w:t> </w:t>
      </w:r>
      <w:r>
        <w:rPr>
          <w:color w:val="231F20"/>
          <w:spacing w:val="-4"/>
        </w:rPr>
        <w:t>Partis</w:t>
      </w:r>
      <w:r>
        <w:rPr>
          <w:color w:val="231F20"/>
          <w:spacing w:val="-6"/>
        </w:rPr>
        <w:t> </w:t>
      </w:r>
      <w:r>
        <w:rPr>
          <w:color w:val="231F20"/>
          <w:spacing w:val="-4"/>
        </w:rPr>
        <w:t>politiques et d’Associations de</w:t>
      </w:r>
      <w:r>
        <w:rPr>
          <w:color w:val="231F20"/>
          <w:spacing w:val="-5"/>
        </w:rPr>
        <w:t> </w:t>
      </w:r>
      <w:r>
        <w:rPr>
          <w:color w:val="231F20"/>
          <w:spacing w:val="-4"/>
        </w:rPr>
        <w:t>la </w:t>
      </w:r>
      <w:r>
        <w:rPr>
          <w:color w:val="231F20"/>
        </w:rPr>
        <w:t>Société</w:t>
      </w:r>
      <w:r>
        <w:rPr>
          <w:color w:val="231F20"/>
          <w:spacing w:val="-4"/>
        </w:rPr>
        <w:t> </w:t>
      </w:r>
      <w:r>
        <w:rPr>
          <w:color w:val="231F20"/>
        </w:rPr>
        <w:t>Civile</w:t>
      </w:r>
      <w:r>
        <w:rPr>
          <w:color w:val="231F20"/>
          <w:spacing w:val="-4"/>
        </w:rPr>
        <w:t> </w:t>
      </w:r>
      <w:r>
        <w:rPr>
          <w:color w:val="231F20"/>
        </w:rPr>
        <w:t>siègent</w:t>
      </w:r>
      <w:r>
        <w:rPr>
          <w:color w:val="231F20"/>
          <w:spacing w:val="-3"/>
        </w:rPr>
        <w:t> </w:t>
      </w:r>
      <w:r>
        <w:rPr>
          <w:color w:val="231F20"/>
        </w:rPr>
        <w:t>au</w:t>
      </w:r>
      <w:r>
        <w:rPr>
          <w:color w:val="231F20"/>
          <w:spacing w:val="-6"/>
        </w:rPr>
        <w:t> </w:t>
      </w:r>
      <w:r>
        <w:rPr>
          <w:color w:val="231F20"/>
        </w:rPr>
        <w:t>Conseil.</w:t>
      </w:r>
      <w:r>
        <w:rPr>
          <w:color w:val="231F20"/>
          <w:spacing w:val="-6"/>
        </w:rPr>
        <w:t> </w:t>
      </w:r>
      <w:r>
        <w:rPr>
          <w:color w:val="231F20"/>
        </w:rPr>
        <w:t>Le</w:t>
      </w:r>
      <w:r>
        <w:rPr>
          <w:color w:val="231F20"/>
          <w:spacing w:val="-5"/>
        </w:rPr>
        <w:t> </w:t>
      </w:r>
      <w:r>
        <w:rPr>
          <w:color w:val="231F20"/>
        </w:rPr>
        <w:t>Président</w:t>
      </w:r>
      <w:r>
        <w:rPr>
          <w:color w:val="231F20"/>
          <w:spacing w:val="-6"/>
        </w:rPr>
        <w:t> </w:t>
      </w:r>
      <w:r>
        <w:rPr>
          <w:color w:val="231F20"/>
        </w:rPr>
        <w:t>Sassou-Nguesso</w:t>
      </w:r>
      <w:r>
        <w:rPr>
          <w:color w:val="231F20"/>
          <w:spacing w:val="-4"/>
        </w:rPr>
        <w:t> </w:t>
      </w:r>
      <w:r>
        <w:rPr>
          <w:color w:val="231F20"/>
        </w:rPr>
        <w:t>reste</w:t>
      </w:r>
      <w:r>
        <w:rPr>
          <w:color w:val="231F20"/>
          <w:spacing w:val="-5"/>
        </w:rPr>
        <w:t> </w:t>
      </w:r>
      <w:r>
        <w:rPr>
          <w:color w:val="231F20"/>
        </w:rPr>
        <w:t>à </w:t>
      </w:r>
      <w:r>
        <w:rPr>
          <w:color w:val="231F20"/>
          <w:spacing w:val="-2"/>
        </w:rPr>
        <w:t>son</w:t>
      </w:r>
      <w:r>
        <w:rPr>
          <w:color w:val="231F20"/>
          <w:spacing w:val="-13"/>
        </w:rPr>
        <w:t> </w:t>
      </w:r>
      <w:r>
        <w:rPr>
          <w:color w:val="231F20"/>
          <w:spacing w:val="-2"/>
        </w:rPr>
        <w:t>poste</w:t>
      </w:r>
      <w:r>
        <w:rPr>
          <w:color w:val="231F20"/>
          <w:spacing w:val="-13"/>
        </w:rPr>
        <w:t> </w:t>
      </w:r>
      <w:r>
        <w:rPr>
          <w:color w:val="231F20"/>
          <w:spacing w:val="-2"/>
        </w:rPr>
        <w:t>mais</w:t>
      </w:r>
      <w:r>
        <w:rPr>
          <w:color w:val="231F20"/>
          <w:spacing w:val="-13"/>
        </w:rPr>
        <w:t> </w:t>
      </w:r>
      <w:r>
        <w:rPr>
          <w:color w:val="231F20"/>
          <w:spacing w:val="-2"/>
        </w:rPr>
        <w:t>se</w:t>
      </w:r>
      <w:r>
        <w:rPr>
          <w:color w:val="231F20"/>
          <w:spacing w:val="-13"/>
        </w:rPr>
        <w:t> </w:t>
      </w:r>
      <w:r>
        <w:rPr>
          <w:color w:val="231F20"/>
          <w:spacing w:val="-2"/>
        </w:rPr>
        <w:t>voit</w:t>
      </w:r>
      <w:r>
        <w:rPr>
          <w:color w:val="231F20"/>
          <w:spacing w:val="-13"/>
        </w:rPr>
        <w:t> </w:t>
      </w:r>
      <w:r>
        <w:rPr>
          <w:color w:val="231F20"/>
          <w:spacing w:val="-2"/>
        </w:rPr>
        <w:t>retirer</w:t>
      </w:r>
      <w:r>
        <w:rPr>
          <w:color w:val="231F20"/>
          <w:spacing w:val="-13"/>
        </w:rPr>
        <w:t> </w:t>
      </w:r>
      <w:r>
        <w:rPr>
          <w:color w:val="231F20"/>
          <w:spacing w:val="-2"/>
        </w:rPr>
        <w:t>la</w:t>
      </w:r>
      <w:r>
        <w:rPr>
          <w:color w:val="231F20"/>
          <w:spacing w:val="-13"/>
        </w:rPr>
        <w:t> </w:t>
      </w:r>
      <w:r>
        <w:rPr>
          <w:color w:val="231F20"/>
          <w:spacing w:val="-2"/>
        </w:rPr>
        <w:t>plupart</w:t>
      </w:r>
      <w:r>
        <w:rPr>
          <w:color w:val="231F20"/>
          <w:spacing w:val="-13"/>
        </w:rPr>
        <w:t> </w:t>
      </w:r>
      <w:r>
        <w:rPr>
          <w:color w:val="231F20"/>
          <w:spacing w:val="-2"/>
        </w:rPr>
        <w:t>de</w:t>
      </w:r>
      <w:r>
        <w:rPr>
          <w:color w:val="231F20"/>
          <w:spacing w:val="-13"/>
        </w:rPr>
        <w:t> </w:t>
      </w:r>
      <w:r>
        <w:rPr>
          <w:color w:val="231F20"/>
          <w:spacing w:val="-2"/>
        </w:rPr>
        <w:t>ses</w:t>
      </w:r>
      <w:r>
        <w:rPr>
          <w:color w:val="231F20"/>
          <w:spacing w:val="-13"/>
        </w:rPr>
        <w:t> </w:t>
      </w:r>
      <w:r>
        <w:rPr>
          <w:color w:val="231F20"/>
          <w:spacing w:val="-2"/>
        </w:rPr>
        <w:t>prérogatives.</w:t>
      </w:r>
      <w:r>
        <w:rPr>
          <w:color w:val="231F20"/>
          <w:spacing w:val="-13"/>
        </w:rPr>
        <w:t> </w:t>
      </w:r>
      <w:r>
        <w:rPr>
          <w:color w:val="231F20"/>
          <w:spacing w:val="-2"/>
        </w:rPr>
        <w:t>Les</w:t>
      </w:r>
      <w:r>
        <w:rPr>
          <w:color w:val="231F20"/>
          <w:spacing w:val="-13"/>
        </w:rPr>
        <w:t> </w:t>
      </w:r>
      <w:r>
        <w:rPr>
          <w:color w:val="231F20"/>
          <w:spacing w:val="-2"/>
        </w:rPr>
        <w:t>symboles de</w:t>
      </w:r>
      <w:r>
        <w:rPr>
          <w:color w:val="231F20"/>
          <w:spacing w:val="-12"/>
        </w:rPr>
        <w:t> </w:t>
      </w:r>
      <w:r>
        <w:rPr>
          <w:color w:val="231F20"/>
          <w:spacing w:val="-2"/>
        </w:rPr>
        <w:t>la</w:t>
      </w:r>
      <w:r>
        <w:rPr>
          <w:color w:val="231F20"/>
          <w:spacing w:val="-12"/>
        </w:rPr>
        <w:t> </w:t>
      </w:r>
      <w:r>
        <w:rPr>
          <w:color w:val="231F20"/>
          <w:spacing w:val="-2"/>
        </w:rPr>
        <w:t>première</w:t>
      </w:r>
      <w:r>
        <w:rPr>
          <w:color w:val="231F20"/>
          <w:spacing w:val="-12"/>
        </w:rPr>
        <w:t> </w:t>
      </w:r>
      <w:r>
        <w:rPr>
          <w:color w:val="231F20"/>
          <w:spacing w:val="-2"/>
        </w:rPr>
        <w:t>République,</w:t>
      </w:r>
      <w:r>
        <w:rPr>
          <w:color w:val="231F20"/>
          <w:spacing w:val="-11"/>
        </w:rPr>
        <w:t> </w:t>
      </w:r>
      <w:r>
        <w:rPr>
          <w:color w:val="231F20"/>
          <w:spacing w:val="-2"/>
        </w:rPr>
        <w:t>la</w:t>
      </w:r>
      <w:r>
        <w:rPr>
          <w:color w:val="231F20"/>
          <w:spacing w:val="-11"/>
        </w:rPr>
        <w:t> </w:t>
      </w:r>
      <w:r>
        <w:rPr>
          <w:color w:val="231F20"/>
          <w:spacing w:val="-2"/>
        </w:rPr>
        <w:t>Congolaise,</w:t>
      </w:r>
      <w:r>
        <w:rPr>
          <w:color w:val="231F20"/>
          <w:spacing w:val="-13"/>
        </w:rPr>
        <w:t> </w:t>
      </w:r>
      <w:r>
        <w:rPr>
          <w:color w:val="231F20"/>
          <w:spacing w:val="-2"/>
        </w:rPr>
        <w:t>l’hymne</w:t>
      </w:r>
      <w:r>
        <w:rPr>
          <w:color w:val="231F20"/>
          <w:spacing w:val="-11"/>
        </w:rPr>
        <w:t> </w:t>
      </w:r>
      <w:r>
        <w:rPr>
          <w:color w:val="231F20"/>
          <w:spacing w:val="-2"/>
        </w:rPr>
        <w:t>national</w:t>
      </w:r>
      <w:r>
        <w:rPr>
          <w:color w:val="231F20"/>
          <w:spacing w:val="-11"/>
        </w:rPr>
        <w:t> </w:t>
      </w:r>
      <w:r>
        <w:rPr>
          <w:color w:val="231F20"/>
          <w:spacing w:val="-2"/>
        </w:rPr>
        <w:t>et</w:t>
      </w:r>
      <w:r>
        <w:rPr>
          <w:color w:val="231F20"/>
          <w:spacing w:val="-13"/>
        </w:rPr>
        <w:t> </w:t>
      </w:r>
      <w:r>
        <w:rPr>
          <w:color w:val="231F20"/>
          <w:spacing w:val="-2"/>
        </w:rPr>
        <w:t>le</w:t>
      </w:r>
      <w:r>
        <w:rPr>
          <w:color w:val="231F20"/>
          <w:spacing w:val="-12"/>
        </w:rPr>
        <w:t> </w:t>
      </w:r>
      <w:r>
        <w:rPr>
          <w:color w:val="231F20"/>
          <w:spacing w:val="-2"/>
        </w:rPr>
        <w:t>drapeau </w:t>
      </w:r>
      <w:r>
        <w:rPr>
          <w:color w:val="231F20"/>
        </w:rPr>
        <w:t>tricolore</w:t>
      </w:r>
      <w:r>
        <w:rPr>
          <w:color w:val="231F20"/>
          <w:spacing w:val="-8"/>
        </w:rPr>
        <w:t> </w:t>
      </w:r>
      <w:r>
        <w:rPr>
          <w:color w:val="231F20"/>
        </w:rPr>
        <w:t>(le</w:t>
      </w:r>
      <w:r>
        <w:rPr>
          <w:color w:val="231F20"/>
          <w:spacing w:val="-8"/>
        </w:rPr>
        <w:t> </w:t>
      </w:r>
      <w:r>
        <w:rPr>
          <w:color w:val="231F20"/>
        </w:rPr>
        <w:t>rouge</w:t>
      </w:r>
      <w:r>
        <w:rPr>
          <w:color w:val="231F20"/>
          <w:spacing w:val="-8"/>
        </w:rPr>
        <w:t> </w:t>
      </w:r>
      <w:r>
        <w:rPr>
          <w:color w:val="231F20"/>
        </w:rPr>
        <w:t>pour</w:t>
      </w:r>
      <w:r>
        <w:rPr>
          <w:color w:val="231F20"/>
          <w:spacing w:val="-8"/>
        </w:rPr>
        <w:t> </w:t>
      </w:r>
      <w:r>
        <w:rPr>
          <w:color w:val="231F20"/>
        </w:rPr>
        <w:t>la</w:t>
      </w:r>
      <w:r>
        <w:rPr>
          <w:color w:val="231F20"/>
          <w:spacing w:val="-10"/>
        </w:rPr>
        <w:t> </w:t>
      </w:r>
      <w:r>
        <w:rPr>
          <w:color w:val="231F20"/>
        </w:rPr>
        <w:t>lutte</w:t>
      </w:r>
      <w:r>
        <w:rPr>
          <w:color w:val="231F20"/>
          <w:spacing w:val="-8"/>
        </w:rPr>
        <w:t> </w:t>
      </w:r>
      <w:r>
        <w:rPr>
          <w:color w:val="231F20"/>
        </w:rPr>
        <w:t>de</w:t>
      </w:r>
      <w:r>
        <w:rPr>
          <w:color w:val="231F20"/>
          <w:spacing w:val="-10"/>
        </w:rPr>
        <w:t> </w:t>
      </w:r>
      <w:r>
        <w:rPr>
          <w:color w:val="231F20"/>
        </w:rPr>
        <w:t>liberté</w:t>
      </w:r>
      <w:r>
        <w:rPr>
          <w:color w:val="231F20"/>
          <w:spacing w:val="-14"/>
        </w:rPr>
        <w:t> </w:t>
      </w:r>
      <w:r>
        <w:rPr>
          <w:color w:val="231F20"/>
        </w:rPr>
        <w:t>;</w:t>
      </w:r>
      <w:r>
        <w:rPr>
          <w:color w:val="231F20"/>
          <w:spacing w:val="-10"/>
        </w:rPr>
        <w:t> </w:t>
      </w:r>
      <w:r>
        <w:rPr>
          <w:color w:val="231F20"/>
        </w:rPr>
        <w:t>le</w:t>
      </w:r>
      <w:r>
        <w:rPr>
          <w:color w:val="231F20"/>
          <w:spacing w:val="-8"/>
        </w:rPr>
        <w:t> </w:t>
      </w:r>
      <w:r>
        <w:rPr>
          <w:color w:val="231F20"/>
        </w:rPr>
        <w:t>vert</w:t>
      </w:r>
      <w:r>
        <w:rPr>
          <w:color w:val="231F20"/>
          <w:spacing w:val="-7"/>
        </w:rPr>
        <w:t> </w:t>
      </w:r>
      <w:r>
        <w:rPr>
          <w:color w:val="231F20"/>
        </w:rPr>
        <w:t>pour</w:t>
      </w:r>
      <w:r>
        <w:rPr>
          <w:color w:val="231F20"/>
          <w:spacing w:val="-8"/>
        </w:rPr>
        <w:t> </w:t>
      </w:r>
      <w:r>
        <w:rPr>
          <w:color w:val="231F20"/>
        </w:rPr>
        <w:t>la</w:t>
      </w:r>
      <w:r>
        <w:rPr>
          <w:color w:val="231F20"/>
          <w:spacing w:val="-7"/>
        </w:rPr>
        <w:t> </w:t>
      </w:r>
      <w:r>
        <w:rPr>
          <w:color w:val="231F20"/>
        </w:rPr>
        <w:t>nature</w:t>
      </w:r>
      <w:r>
        <w:rPr>
          <w:color w:val="231F20"/>
          <w:spacing w:val="-8"/>
        </w:rPr>
        <w:t> </w:t>
      </w:r>
      <w:r>
        <w:rPr>
          <w:color w:val="231F20"/>
        </w:rPr>
        <w:t>du</w:t>
      </w:r>
      <w:r>
        <w:rPr>
          <w:color w:val="231F20"/>
          <w:spacing w:val="-8"/>
        </w:rPr>
        <w:t> </w:t>
      </w:r>
      <w:r>
        <w:rPr>
          <w:color w:val="231F20"/>
        </w:rPr>
        <w:t>pays </w:t>
      </w:r>
      <w:r>
        <w:rPr>
          <w:color w:val="231F20"/>
          <w:spacing w:val="-4"/>
        </w:rPr>
        <w:t>et</w:t>
      </w:r>
      <w:r>
        <w:rPr>
          <w:color w:val="231F20"/>
          <w:spacing w:val="-7"/>
        </w:rPr>
        <w:t> </w:t>
      </w:r>
      <w:r>
        <w:rPr>
          <w:color w:val="231F20"/>
          <w:spacing w:val="-4"/>
        </w:rPr>
        <w:t>le</w:t>
      </w:r>
      <w:r>
        <w:rPr>
          <w:color w:val="231F20"/>
          <w:spacing w:val="-11"/>
        </w:rPr>
        <w:t> </w:t>
      </w:r>
      <w:r>
        <w:rPr>
          <w:color w:val="231F20"/>
          <w:spacing w:val="-4"/>
        </w:rPr>
        <w:t>jaune</w:t>
      </w:r>
      <w:r>
        <w:rPr>
          <w:color w:val="231F20"/>
          <w:spacing w:val="-11"/>
        </w:rPr>
        <w:t> </w:t>
      </w:r>
      <w:r>
        <w:rPr>
          <w:color w:val="231F20"/>
          <w:spacing w:val="-4"/>
        </w:rPr>
        <w:t>symbolisant</w:t>
      </w:r>
      <w:r>
        <w:rPr>
          <w:color w:val="231F20"/>
          <w:spacing w:val="-10"/>
        </w:rPr>
        <w:t> </w:t>
      </w:r>
      <w:r>
        <w:rPr>
          <w:color w:val="231F20"/>
          <w:spacing w:val="-4"/>
        </w:rPr>
        <w:t>les</w:t>
      </w:r>
      <w:r>
        <w:rPr>
          <w:color w:val="231F20"/>
          <w:spacing w:val="-10"/>
        </w:rPr>
        <w:t> </w:t>
      </w:r>
      <w:r>
        <w:rPr>
          <w:color w:val="231F20"/>
          <w:spacing w:val="-4"/>
        </w:rPr>
        <w:t>richesses</w:t>
      </w:r>
      <w:r>
        <w:rPr>
          <w:color w:val="231F20"/>
          <w:spacing w:val="-8"/>
        </w:rPr>
        <w:t> </w:t>
      </w:r>
      <w:r>
        <w:rPr>
          <w:color w:val="231F20"/>
          <w:spacing w:val="-4"/>
        </w:rPr>
        <w:t>naturelles</w:t>
      </w:r>
      <w:r>
        <w:rPr>
          <w:color w:val="231F20"/>
          <w:spacing w:val="-8"/>
        </w:rPr>
        <w:t> </w:t>
      </w:r>
      <w:r>
        <w:rPr>
          <w:color w:val="231F20"/>
          <w:spacing w:val="-4"/>
        </w:rPr>
        <w:t>de</w:t>
      </w:r>
      <w:r>
        <w:rPr>
          <w:color w:val="231F20"/>
          <w:spacing w:val="-11"/>
        </w:rPr>
        <w:t> </w:t>
      </w:r>
      <w:r>
        <w:rPr>
          <w:color w:val="231F20"/>
          <w:spacing w:val="-4"/>
        </w:rPr>
        <w:t>la</w:t>
      </w:r>
      <w:r>
        <w:rPr>
          <w:color w:val="231F20"/>
          <w:spacing w:val="-10"/>
        </w:rPr>
        <w:t> </w:t>
      </w:r>
      <w:r>
        <w:rPr>
          <w:color w:val="231F20"/>
          <w:spacing w:val="-4"/>
        </w:rPr>
        <w:t>nature)</w:t>
      </w:r>
      <w:r>
        <w:rPr>
          <w:color w:val="231F20"/>
          <w:spacing w:val="-10"/>
        </w:rPr>
        <w:t> </w:t>
      </w:r>
      <w:r>
        <w:rPr>
          <w:color w:val="231F20"/>
          <w:spacing w:val="-4"/>
        </w:rPr>
        <w:t>sont</w:t>
      </w:r>
      <w:r>
        <w:rPr>
          <w:color w:val="231F20"/>
          <w:spacing w:val="-10"/>
        </w:rPr>
        <w:t> </w:t>
      </w:r>
      <w:r>
        <w:rPr>
          <w:color w:val="231F20"/>
          <w:spacing w:val="-4"/>
        </w:rPr>
        <w:t>restaurés. Une</w:t>
      </w:r>
      <w:r>
        <w:rPr>
          <w:color w:val="231F20"/>
          <w:spacing w:val="-9"/>
        </w:rPr>
        <w:t> </w:t>
      </w:r>
      <w:r>
        <w:rPr>
          <w:color w:val="231F20"/>
          <w:spacing w:val="-4"/>
        </w:rPr>
        <w:t>nouvelle</w:t>
      </w:r>
      <w:r>
        <w:rPr>
          <w:color w:val="231F20"/>
          <w:spacing w:val="-11"/>
        </w:rPr>
        <w:t> </w:t>
      </w:r>
      <w:r>
        <w:rPr>
          <w:color w:val="231F20"/>
          <w:spacing w:val="-4"/>
        </w:rPr>
        <w:t>Constitution</w:t>
      </w:r>
      <w:r>
        <w:rPr>
          <w:color w:val="231F20"/>
          <w:spacing w:val="-11"/>
        </w:rPr>
        <w:t> </w:t>
      </w:r>
      <w:r>
        <w:rPr>
          <w:color w:val="231F20"/>
          <w:spacing w:val="-4"/>
        </w:rPr>
        <w:t>est</w:t>
      </w:r>
      <w:r>
        <w:rPr>
          <w:color w:val="231F20"/>
          <w:spacing w:val="-8"/>
        </w:rPr>
        <w:t> </w:t>
      </w:r>
      <w:r>
        <w:rPr>
          <w:color w:val="231F20"/>
          <w:spacing w:val="-4"/>
        </w:rPr>
        <w:t>approuvée</w:t>
      </w:r>
      <w:r>
        <w:rPr>
          <w:color w:val="231F20"/>
          <w:spacing w:val="-8"/>
        </w:rPr>
        <w:t> </w:t>
      </w:r>
      <w:r>
        <w:rPr>
          <w:color w:val="231F20"/>
          <w:spacing w:val="-4"/>
        </w:rPr>
        <w:t>par</w:t>
      </w:r>
      <w:r>
        <w:rPr>
          <w:color w:val="231F20"/>
          <w:spacing w:val="-11"/>
        </w:rPr>
        <w:t> </w:t>
      </w:r>
      <w:r>
        <w:rPr>
          <w:color w:val="231F20"/>
          <w:spacing w:val="-4"/>
        </w:rPr>
        <w:t>référendum</w:t>
      </w:r>
      <w:r>
        <w:rPr>
          <w:color w:val="231F20"/>
          <w:spacing w:val="-11"/>
        </w:rPr>
        <w:t> </w:t>
      </w:r>
      <w:r>
        <w:rPr>
          <w:color w:val="231F20"/>
          <w:spacing w:val="-4"/>
        </w:rPr>
        <w:t>le</w:t>
      </w:r>
      <w:r>
        <w:rPr>
          <w:color w:val="231F20"/>
          <w:spacing w:val="-8"/>
        </w:rPr>
        <w:t> </w:t>
      </w:r>
      <w:r>
        <w:rPr>
          <w:color w:val="231F20"/>
          <w:spacing w:val="-4"/>
        </w:rPr>
        <w:t>15</w:t>
      </w:r>
      <w:r>
        <w:rPr>
          <w:color w:val="231F20"/>
          <w:spacing w:val="-11"/>
        </w:rPr>
        <w:t> </w:t>
      </w:r>
      <w:r>
        <w:rPr>
          <w:color w:val="231F20"/>
          <w:spacing w:val="-4"/>
        </w:rPr>
        <w:t>mars</w:t>
      </w:r>
      <w:r>
        <w:rPr>
          <w:color w:val="231F20"/>
          <w:spacing w:val="-11"/>
        </w:rPr>
        <w:t> </w:t>
      </w:r>
      <w:r>
        <w:rPr>
          <w:color w:val="231F20"/>
          <w:spacing w:val="-4"/>
        </w:rPr>
        <w:t>1992, </w:t>
      </w:r>
      <w:r>
        <w:rPr>
          <w:color w:val="231F20"/>
        </w:rPr>
        <w:t>avec</w:t>
      </w:r>
      <w:r>
        <w:rPr>
          <w:color w:val="231F20"/>
          <w:spacing w:val="57"/>
        </w:rPr>
        <w:t> </w:t>
      </w:r>
      <w:r>
        <w:rPr>
          <w:color w:val="231F20"/>
        </w:rPr>
        <w:t>96,3</w:t>
      </w:r>
      <w:r>
        <w:rPr>
          <w:color w:val="231F20"/>
          <w:spacing w:val="-13"/>
        </w:rPr>
        <w:t> </w:t>
      </w:r>
      <w:r>
        <w:rPr>
          <w:color w:val="231F20"/>
        </w:rPr>
        <w:t>%</w:t>
      </w:r>
      <w:r>
        <w:rPr>
          <w:color w:val="231F20"/>
          <w:spacing w:val="57"/>
        </w:rPr>
        <w:t> </w:t>
      </w:r>
      <w:r>
        <w:rPr>
          <w:color w:val="231F20"/>
        </w:rPr>
        <w:t>de</w:t>
      </w:r>
      <w:r>
        <w:rPr>
          <w:color w:val="231F20"/>
          <w:spacing w:val="60"/>
        </w:rPr>
        <w:t> </w:t>
      </w:r>
      <w:r>
        <w:rPr>
          <w:color w:val="231F20"/>
        </w:rPr>
        <w:t>oui.</w:t>
      </w:r>
      <w:r>
        <w:rPr>
          <w:color w:val="231F20"/>
          <w:spacing w:val="57"/>
        </w:rPr>
        <w:t> </w:t>
      </w:r>
      <w:r>
        <w:rPr>
          <w:color w:val="231F20"/>
        </w:rPr>
        <w:t>La</w:t>
      </w:r>
      <w:r>
        <w:rPr>
          <w:color w:val="231F20"/>
          <w:spacing w:val="58"/>
        </w:rPr>
        <w:t> </w:t>
      </w:r>
      <w:r>
        <w:rPr>
          <w:color w:val="231F20"/>
        </w:rPr>
        <w:t>République</w:t>
      </w:r>
      <w:r>
        <w:rPr>
          <w:color w:val="231F20"/>
          <w:spacing w:val="57"/>
        </w:rPr>
        <w:t> </w:t>
      </w:r>
      <w:r>
        <w:rPr>
          <w:color w:val="231F20"/>
        </w:rPr>
        <w:t>Populaire</w:t>
      </w:r>
      <w:r>
        <w:rPr>
          <w:color w:val="231F20"/>
          <w:spacing w:val="57"/>
        </w:rPr>
        <w:t> </w:t>
      </w:r>
      <w:r>
        <w:rPr>
          <w:color w:val="231F20"/>
        </w:rPr>
        <w:t>du</w:t>
      </w:r>
      <w:r>
        <w:rPr>
          <w:color w:val="231F20"/>
          <w:spacing w:val="57"/>
        </w:rPr>
        <w:t> </w:t>
      </w:r>
      <w:r>
        <w:rPr>
          <w:color w:val="231F20"/>
        </w:rPr>
        <w:t>Congo</w:t>
      </w:r>
      <w:r>
        <w:rPr>
          <w:color w:val="231F20"/>
          <w:spacing w:val="60"/>
        </w:rPr>
        <w:t> </w:t>
      </w:r>
      <w:r>
        <w:rPr>
          <w:color w:val="231F20"/>
          <w:spacing w:val="-2"/>
        </w:rPr>
        <w:t>redevient</w:t>
      </w:r>
    </w:p>
    <w:p>
      <w:pPr>
        <w:pStyle w:val="BodyText"/>
        <w:ind w:right="105"/>
      </w:pPr>
      <w:r>
        <w:rPr>
          <w:color w:val="231F20"/>
        </w:rPr>
        <w:t>«</w:t>
      </w:r>
      <w:r>
        <w:rPr>
          <w:color w:val="231F20"/>
          <w:spacing w:val="-14"/>
        </w:rPr>
        <w:t> </w:t>
      </w:r>
      <w:r>
        <w:rPr>
          <w:color w:val="231F20"/>
        </w:rPr>
        <w:t>République du Congo</w:t>
      </w:r>
      <w:r>
        <w:rPr>
          <w:color w:val="231F20"/>
          <w:spacing w:val="-15"/>
        </w:rPr>
        <w:t> </w:t>
      </w:r>
      <w:r>
        <w:rPr>
          <w:color w:val="231F20"/>
        </w:rPr>
        <w:t>». Dans la foulée, se tiennent les différents scrutins</w:t>
      </w:r>
      <w:r>
        <w:rPr>
          <w:color w:val="231F20"/>
          <w:spacing w:val="-15"/>
        </w:rPr>
        <w:t> </w:t>
      </w:r>
      <w:r>
        <w:rPr>
          <w:color w:val="231F20"/>
        </w:rPr>
        <w:t>: Pascal Lissouba remporte la présidentielle avec 61,3</w:t>
      </w:r>
      <w:r>
        <w:rPr>
          <w:color w:val="231F20"/>
          <w:spacing w:val="-13"/>
        </w:rPr>
        <w:t> </w:t>
      </w:r>
      <w:r>
        <w:rPr>
          <w:color w:val="231F20"/>
        </w:rPr>
        <w:t>% des </w:t>
      </w:r>
      <w:r>
        <w:rPr>
          <w:color w:val="231F20"/>
          <w:spacing w:val="-2"/>
        </w:rPr>
        <w:t>suffrages.</w:t>
      </w:r>
    </w:p>
    <w:p>
      <w:pPr>
        <w:pStyle w:val="BodyText"/>
        <w:spacing w:before="120"/>
        <w:ind w:right="107" w:firstLine="283"/>
      </w:pPr>
      <w:r>
        <w:rPr>
          <w:color w:val="231F20"/>
        </w:rPr>
        <w:t>Les</w:t>
      </w:r>
      <w:r>
        <w:rPr>
          <w:color w:val="231F20"/>
          <w:spacing w:val="-1"/>
        </w:rPr>
        <w:t> </w:t>
      </w:r>
      <w:r>
        <w:rPr>
          <w:color w:val="231F20"/>
        </w:rPr>
        <w:t>résultats</w:t>
      </w:r>
      <w:r>
        <w:rPr>
          <w:color w:val="231F20"/>
          <w:spacing w:val="-1"/>
        </w:rPr>
        <w:t> </w:t>
      </w:r>
      <w:r>
        <w:rPr>
          <w:color w:val="231F20"/>
        </w:rPr>
        <w:t>de</w:t>
      </w:r>
      <w:r>
        <w:rPr>
          <w:color w:val="231F20"/>
          <w:spacing w:val="-3"/>
        </w:rPr>
        <w:t> </w:t>
      </w:r>
      <w:r>
        <w:rPr>
          <w:color w:val="231F20"/>
        </w:rPr>
        <w:t>la</w:t>
      </w:r>
      <w:r>
        <w:rPr>
          <w:color w:val="231F20"/>
          <w:spacing w:val="-2"/>
        </w:rPr>
        <w:t> </w:t>
      </w:r>
      <w:r>
        <w:rPr>
          <w:color w:val="231F20"/>
        </w:rPr>
        <w:t>présidentielle</w:t>
      </w:r>
      <w:r>
        <w:rPr>
          <w:color w:val="231F20"/>
          <w:spacing w:val="-1"/>
        </w:rPr>
        <w:t> </w:t>
      </w:r>
      <w:r>
        <w:rPr>
          <w:color w:val="231F20"/>
        </w:rPr>
        <w:t>sonnent</w:t>
      </w:r>
      <w:r>
        <w:rPr>
          <w:color w:val="231F20"/>
          <w:spacing w:val="-2"/>
        </w:rPr>
        <w:t> </w:t>
      </w:r>
      <w:r>
        <w:rPr>
          <w:color w:val="231F20"/>
        </w:rPr>
        <w:t>le</w:t>
      </w:r>
      <w:r>
        <w:rPr>
          <w:color w:val="231F20"/>
          <w:spacing w:val="-1"/>
        </w:rPr>
        <w:t> </w:t>
      </w:r>
      <w:r>
        <w:rPr>
          <w:color w:val="231F20"/>
        </w:rPr>
        <w:t>début</w:t>
      </w:r>
      <w:r>
        <w:rPr>
          <w:color w:val="231F20"/>
          <w:spacing w:val="-3"/>
        </w:rPr>
        <w:t> </w:t>
      </w:r>
      <w:r>
        <w:rPr>
          <w:color w:val="231F20"/>
        </w:rPr>
        <w:t>de</w:t>
      </w:r>
      <w:r>
        <w:rPr>
          <w:color w:val="231F20"/>
          <w:spacing w:val="-1"/>
        </w:rPr>
        <w:t> </w:t>
      </w:r>
      <w:r>
        <w:rPr>
          <w:color w:val="231F20"/>
        </w:rPr>
        <w:t>la</w:t>
      </w:r>
      <w:r>
        <w:rPr>
          <w:color w:val="231F20"/>
          <w:spacing w:val="-1"/>
        </w:rPr>
        <w:t> </w:t>
      </w:r>
      <w:r>
        <w:rPr>
          <w:color w:val="231F20"/>
        </w:rPr>
        <w:t>guerre civile </w:t>
      </w:r>
      <w:r>
        <w:rPr>
          <w:color w:val="231F20"/>
          <w:spacing w:val="-2"/>
        </w:rPr>
        <w:t>entretenue</w:t>
      </w:r>
      <w:r>
        <w:rPr>
          <w:color w:val="231F20"/>
          <w:spacing w:val="-10"/>
        </w:rPr>
        <w:t> </w:t>
      </w:r>
      <w:r>
        <w:rPr>
          <w:color w:val="231F20"/>
          <w:spacing w:val="-2"/>
        </w:rPr>
        <w:t>par</w:t>
      </w:r>
      <w:r>
        <w:rPr>
          <w:color w:val="231F20"/>
          <w:spacing w:val="-12"/>
        </w:rPr>
        <w:t> </w:t>
      </w:r>
      <w:r>
        <w:rPr>
          <w:color w:val="231F20"/>
          <w:spacing w:val="-2"/>
        </w:rPr>
        <w:t>trois</w:t>
      </w:r>
      <w:r>
        <w:rPr>
          <w:color w:val="231F20"/>
          <w:spacing w:val="-10"/>
        </w:rPr>
        <w:t> </w:t>
      </w:r>
      <w:r>
        <w:rPr>
          <w:color w:val="231F20"/>
          <w:spacing w:val="-2"/>
        </w:rPr>
        <w:t>hommes</w:t>
      </w:r>
      <w:r>
        <w:rPr>
          <w:color w:val="231F20"/>
          <w:spacing w:val="-11"/>
        </w:rPr>
        <w:t> </w:t>
      </w:r>
      <w:r>
        <w:rPr>
          <w:color w:val="231F20"/>
          <w:spacing w:val="-2"/>
        </w:rPr>
        <w:t>:</w:t>
      </w:r>
      <w:r>
        <w:rPr>
          <w:color w:val="231F20"/>
          <w:spacing w:val="-10"/>
        </w:rPr>
        <w:t> </w:t>
      </w:r>
      <w:r>
        <w:rPr>
          <w:color w:val="231F20"/>
          <w:spacing w:val="-2"/>
        </w:rPr>
        <w:t>Bernard</w:t>
      </w:r>
      <w:r>
        <w:rPr>
          <w:color w:val="231F20"/>
          <w:spacing w:val="-10"/>
        </w:rPr>
        <w:t> </w:t>
      </w:r>
      <w:r>
        <w:rPr>
          <w:color w:val="231F20"/>
          <w:spacing w:val="-2"/>
        </w:rPr>
        <w:t>Kolelas,</w:t>
      </w:r>
      <w:r>
        <w:rPr>
          <w:color w:val="231F20"/>
          <w:spacing w:val="-12"/>
        </w:rPr>
        <w:t> </w:t>
      </w:r>
      <w:r>
        <w:rPr>
          <w:color w:val="231F20"/>
          <w:spacing w:val="-2"/>
        </w:rPr>
        <w:t>Pascal</w:t>
      </w:r>
      <w:r>
        <w:rPr>
          <w:color w:val="231F20"/>
          <w:spacing w:val="-9"/>
        </w:rPr>
        <w:t> </w:t>
      </w:r>
      <w:r>
        <w:rPr>
          <w:color w:val="231F20"/>
          <w:spacing w:val="-2"/>
        </w:rPr>
        <w:t>Lissouba</w:t>
      </w:r>
      <w:r>
        <w:rPr>
          <w:color w:val="231F20"/>
          <w:spacing w:val="-11"/>
        </w:rPr>
        <w:t> </w:t>
      </w:r>
      <w:r>
        <w:rPr>
          <w:color w:val="231F20"/>
          <w:spacing w:val="-2"/>
        </w:rPr>
        <w:t>et</w:t>
      </w:r>
      <w:r>
        <w:rPr>
          <w:color w:val="231F20"/>
          <w:spacing w:val="-9"/>
        </w:rPr>
        <w:t> </w:t>
      </w:r>
      <w:r>
        <w:rPr>
          <w:color w:val="231F20"/>
          <w:spacing w:val="-2"/>
        </w:rPr>
        <w:t>Denis Sassou</w:t>
      </w:r>
      <w:r>
        <w:rPr>
          <w:color w:val="231F20"/>
          <w:spacing w:val="-5"/>
        </w:rPr>
        <w:t> </w:t>
      </w:r>
      <w:r>
        <w:rPr>
          <w:color w:val="231F20"/>
          <w:spacing w:val="-2"/>
        </w:rPr>
        <w:t>Nguesso.</w:t>
      </w:r>
      <w:r>
        <w:rPr>
          <w:color w:val="231F20"/>
          <w:spacing w:val="-8"/>
        </w:rPr>
        <w:t> </w:t>
      </w:r>
      <w:r>
        <w:rPr>
          <w:color w:val="231F20"/>
          <w:spacing w:val="-2"/>
        </w:rPr>
        <w:t>Ces</w:t>
      </w:r>
      <w:r>
        <w:rPr>
          <w:color w:val="231F20"/>
          <w:spacing w:val="-8"/>
        </w:rPr>
        <w:t> </w:t>
      </w:r>
      <w:r>
        <w:rPr>
          <w:color w:val="231F20"/>
          <w:spacing w:val="-2"/>
        </w:rPr>
        <w:t>personnalités</w:t>
      </w:r>
      <w:r>
        <w:rPr>
          <w:color w:val="231F20"/>
          <w:spacing w:val="-8"/>
        </w:rPr>
        <w:t> </w:t>
      </w:r>
      <w:r>
        <w:rPr>
          <w:color w:val="231F20"/>
          <w:spacing w:val="-2"/>
        </w:rPr>
        <w:t>de</w:t>
      </w:r>
      <w:r>
        <w:rPr>
          <w:color w:val="231F20"/>
          <w:spacing w:val="-9"/>
        </w:rPr>
        <w:t> </w:t>
      </w:r>
      <w:r>
        <w:rPr>
          <w:color w:val="231F20"/>
          <w:spacing w:val="-2"/>
        </w:rPr>
        <w:t>la</w:t>
      </w:r>
      <w:r>
        <w:rPr>
          <w:color w:val="231F20"/>
          <w:spacing w:val="-9"/>
        </w:rPr>
        <w:t> </w:t>
      </w:r>
      <w:r>
        <w:rPr>
          <w:color w:val="231F20"/>
          <w:spacing w:val="-2"/>
        </w:rPr>
        <w:t>scène</w:t>
      </w:r>
      <w:r>
        <w:rPr>
          <w:color w:val="231F20"/>
          <w:spacing w:val="-8"/>
        </w:rPr>
        <w:t> </w:t>
      </w:r>
      <w:r>
        <w:rPr>
          <w:color w:val="231F20"/>
          <w:spacing w:val="-2"/>
        </w:rPr>
        <w:t>politique</w:t>
      </w:r>
      <w:r>
        <w:rPr>
          <w:color w:val="231F20"/>
          <w:spacing w:val="-5"/>
        </w:rPr>
        <w:t> </w:t>
      </w:r>
      <w:r>
        <w:rPr>
          <w:color w:val="231F20"/>
          <w:spacing w:val="-2"/>
        </w:rPr>
        <w:t>congolaise</w:t>
      </w:r>
      <w:r>
        <w:rPr>
          <w:color w:val="231F20"/>
          <w:spacing w:val="-8"/>
        </w:rPr>
        <w:t> </w:t>
      </w:r>
      <w:r>
        <w:rPr>
          <w:color w:val="231F20"/>
          <w:spacing w:val="-2"/>
        </w:rPr>
        <w:t>vont </w:t>
      </w:r>
      <w:r>
        <w:rPr>
          <w:color w:val="231F20"/>
        </w:rPr>
        <w:t>mettre</w:t>
      </w:r>
      <w:r>
        <w:rPr>
          <w:color w:val="231F20"/>
          <w:spacing w:val="-5"/>
        </w:rPr>
        <w:t> </w:t>
      </w:r>
      <w:r>
        <w:rPr>
          <w:color w:val="231F20"/>
        </w:rPr>
        <w:t>le</w:t>
      </w:r>
      <w:r>
        <w:rPr>
          <w:color w:val="231F20"/>
          <w:spacing w:val="-3"/>
        </w:rPr>
        <w:t> </w:t>
      </w:r>
      <w:r>
        <w:rPr>
          <w:color w:val="231F20"/>
        </w:rPr>
        <w:t>pays</w:t>
      </w:r>
      <w:r>
        <w:rPr>
          <w:color w:val="231F20"/>
          <w:spacing w:val="-2"/>
        </w:rPr>
        <w:t> </w:t>
      </w:r>
      <w:r>
        <w:rPr>
          <w:color w:val="231F20"/>
        </w:rPr>
        <w:t>à</w:t>
      </w:r>
      <w:r>
        <w:rPr>
          <w:color w:val="231F20"/>
          <w:spacing w:val="-3"/>
        </w:rPr>
        <w:t> </w:t>
      </w:r>
      <w:r>
        <w:rPr>
          <w:color w:val="231F20"/>
        </w:rPr>
        <w:t>feu</w:t>
      </w:r>
      <w:r>
        <w:rPr>
          <w:color w:val="231F20"/>
          <w:spacing w:val="-3"/>
        </w:rPr>
        <w:t> </w:t>
      </w:r>
      <w:r>
        <w:rPr>
          <w:color w:val="231F20"/>
        </w:rPr>
        <w:t>et</w:t>
      </w:r>
      <w:r>
        <w:rPr>
          <w:color w:val="231F20"/>
          <w:spacing w:val="-3"/>
        </w:rPr>
        <w:t> </w:t>
      </w:r>
      <w:r>
        <w:rPr>
          <w:color w:val="231F20"/>
        </w:rPr>
        <w:t>à</w:t>
      </w:r>
      <w:r>
        <w:rPr>
          <w:color w:val="231F20"/>
          <w:spacing w:val="-2"/>
        </w:rPr>
        <w:t> </w:t>
      </w:r>
      <w:r>
        <w:rPr>
          <w:color w:val="231F20"/>
        </w:rPr>
        <w:t>sang</w:t>
      </w:r>
      <w:r>
        <w:rPr>
          <w:color w:val="231F20"/>
          <w:spacing w:val="-3"/>
        </w:rPr>
        <w:t> </w:t>
      </w:r>
      <w:r>
        <w:rPr>
          <w:color w:val="231F20"/>
        </w:rPr>
        <w:t>de</w:t>
      </w:r>
      <w:r>
        <w:rPr>
          <w:color w:val="231F20"/>
          <w:spacing w:val="-5"/>
        </w:rPr>
        <w:t> </w:t>
      </w:r>
      <w:r>
        <w:rPr>
          <w:color w:val="231F20"/>
        </w:rPr>
        <w:t>juin</w:t>
      </w:r>
      <w:r>
        <w:rPr>
          <w:color w:val="231F20"/>
          <w:spacing w:val="-3"/>
        </w:rPr>
        <w:t> </w:t>
      </w:r>
      <w:r>
        <w:rPr>
          <w:color w:val="231F20"/>
        </w:rPr>
        <w:t>1993</w:t>
      </w:r>
      <w:r>
        <w:rPr>
          <w:color w:val="231F20"/>
          <w:spacing w:val="-3"/>
        </w:rPr>
        <w:t> </w:t>
      </w:r>
      <w:r>
        <w:rPr>
          <w:color w:val="231F20"/>
        </w:rPr>
        <w:t>à</w:t>
      </w:r>
      <w:r>
        <w:rPr>
          <w:color w:val="231F20"/>
          <w:spacing w:val="-3"/>
        </w:rPr>
        <w:t> </w:t>
      </w:r>
      <w:r>
        <w:rPr>
          <w:color w:val="231F20"/>
        </w:rPr>
        <w:t>décembre</w:t>
      </w:r>
      <w:r>
        <w:rPr>
          <w:color w:val="231F20"/>
          <w:spacing w:val="-3"/>
        </w:rPr>
        <w:t> </w:t>
      </w:r>
      <w:r>
        <w:rPr>
          <w:color w:val="231F20"/>
        </w:rPr>
        <w:t>1999.</w:t>
      </w:r>
    </w:p>
    <w:p>
      <w:pPr>
        <w:pStyle w:val="BodyText"/>
        <w:spacing w:before="121"/>
        <w:ind w:right="104" w:firstLine="283"/>
      </w:pPr>
      <w:r>
        <w:rPr>
          <w:color w:val="231F20"/>
          <w:spacing w:val="-4"/>
        </w:rPr>
        <w:t>Bernard</w:t>
      </w:r>
      <w:r>
        <w:rPr>
          <w:color w:val="231F20"/>
          <w:spacing w:val="-8"/>
        </w:rPr>
        <w:t> </w:t>
      </w:r>
      <w:r>
        <w:rPr>
          <w:color w:val="231F20"/>
          <w:spacing w:val="-4"/>
        </w:rPr>
        <w:t>Kolelas</w:t>
      </w:r>
      <w:r>
        <w:rPr>
          <w:color w:val="231F20"/>
          <w:spacing w:val="-8"/>
        </w:rPr>
        <w:t> </w:t>
      </w:r>
      <w:r>
        <w:rPr>
          <w:color w:val="231F20"/>
          <w:spacing w:val="-4"/>
        </w:rPr>
        <w:t>est</w:t>
      </w:r>
      <w:r>
        <w:rPr>
          <w:color w:val="231F20"/>
          <w:spacing w:val="-6"/>
        </w:rPr>
        <w:t> </w:t>
      </w:r>
      <w:r>
        <w:rPr>
          <w:color w:val="231F20"/>
          <w:spacing w:val="-4"/>
        </w:rPr>
        <w:t>titulaire</w:t>
      </w:r>
      <w:r>
        <w:rPr>
          <w:color w:val="231F20"/>
          <w:spacing w:val="-9"/>
        </w:rPr>
        <w:t> </w:t>
      </w:r>
      <w:r>
        <w:rPr>
          <w:color w:val="231F20"/>
          <w:spacing w:val="-4"/>
        </w:rPr>
        <w:t>d’une</w:t>
      </w:r>
      <w:r>
        <w:rPr>
          <w:color w:val="231F20"/>
          <w:spacing w:val="-9"/>
        </w:rPr>
        <w:t> </w:t>
      </w:r>
      <w:r>
        <w:rPr>
          <w:color w:val="231F20"/>
          <w:spacing w:val="-4"/>
        </w:rPr>
        <w:t>licence</w:t>
      </w:r>
      <w:r>
        <w:rPr>
          <w:color w:val="231F20"/>
          <w:spacing w:val="-9"/>
        </w:rPr>
        <w:t> </w:t>
      </w:r>
      <w:r>
        <w:rPr>
          <w:color w:val="231F20"/>
          <w:spacing w:val="-4"/>
        </w:rPr>
        <w:t>en</w:t>
      </w:r>
      <w:r>
        <w:rPr>
          <w:color w:val="231F20"/>
          <w:spacing w:val="-8"/>
        </w:rPr>
        <w:t> </w:t>
      </w:r>
      <w:r>
        <w:rPr>
          <w:color w:val="231F20"/>
          <w:spacing w:val="-4"/>
        </w:rPr>
        <w:t>droit</w:t>
      </w:r>
      <w:r>
        <w:rPr>
          <w:color w:val="231F20"/>
          <w:spacing w:val="-8"/>
        </w:rPr>
        <w:t> </w:t>
      </w:r>
      <w:r>
        <w:rPr>
          <w:color w:val="231F20"/>
          <w:spacing w:val="-4"/>
        </w:rPr>
        <w:t>public</w:t>
      </w:r>
      <w:r>
        <w:rPr>
          <w:color w:val="231F20"/>
          <w:spacing w:val="-9"/>
        </w:rPr>
        <w:t> </w:t>
      </w:r>
      <w:r>
        <w:rPr>
          <w:color w:val="231F20"/>
          <w:spacing w:val="-4"/>
        </w:rPr>
        <w:t>à</w:t>
      </w:r>
      <w:r>
        <w:rPr>
          <w:color w:val="231F20"/>
          <w:spacing w:val="-9"/>
        </w:rPr>
        <w:t> </w:t>
      </w:r>
      <w:r>
        <w:rPr>
          <w:color w:val="231F20"/>
          <w:spacing w:val="-4"/>
        </w:rPr>
        <w:t>l’université </w:t>
      </w:r>
      <w:r>
        <w:rPr>
          <w:color w:val="231F20"/>
          <w:spacing w:val="-2"/>
        </w:rPr>
        <w:t>de</w:t>
      </w:r>
      <w:r>
        <w:rPr>
          <w:color w:val="231F20"/>
          <w:spacing w:val="-13"/>
        </w:rPr>
        <w:t> </w:t>
      </w:r>
      <w:r>
        <w:rPr>
          <w:color w:val="231F20"/>
          <w:spacing w:val="-2"/>
        </w:rPr>
        <w:t>Bordeaux</w:t>
      </w:r>
      <w:r>
        <w:rPr>
          <w:color w:val="231F20"/>
          <w:spacing w:val="-13"/>
        </w:rPr>
        <w:t> </w:t>
      </w:r>
      <w:r>
        <w:rPr>
          <w:color w:val="231F20"/>
          <w:spacing w:val="-2"/>
        </w:rPr>
        <w:t>(France).</w:t>
      </w:r>
      <w:r>
        <w:rPr>
          <w:color w:val="231F20"/>
          <w:spacing w:val="-13"/>
        </w:rPr>
        <w:t> </w:t>
      </w:r>
      <w:r>
        <w:rPr>
          <w:color w:val="231F20"/>
          <w:spacing w:val="-2"/>
        </w:rPr>
        <w:t>Il</w:t>
      </w:r>
      <w:r>
        <w:rPr>
          <w:color w:val="231F20"/>
          <w:spacing w:val="-13"/>
        </w:rPr>
        <w:t> </w:t>
      </w:r>
      <w:r>
        <w:rPr>
          <w:color w:val="231F20"/>
          <w:spacing w:val="-2"/>
        </w:rPr>
        <w:t>est</w:t>
      </w:r>
      <w:r>
        <w:rPr>
          <w:color w:val="231F20"/>
          <w:spacing w:val="-13"/>
        </w:rPr>
        <w:t> </w:t>
      </w:r>
      <w:r>
        <w:rPr>
          <w:color w:val="231F20"/>
          <w:spacing w:val="-2"/>
        </w:rPr>
        <w:t>aussi</w:t>
      </w:r>
      <w:r>
        <w:rPr>
          <w:color w:val="231F20"/>
          <w:spacing w:val="-13"/>
        </w:rPr>
        <w:t> </w:t>
      </w:r>
      <w:r>
        <w:rPr>
          <w:color w:val="231F20"/>
          <w:spacing w:val="-2"/>
        </w:rPr>
        <w:t>titulaire</w:t>
      </w:r>
      <w:r>
        <w:rPr>
          <w:color w:val="231F20"/>
          <w:spacing w:val="-13"/>
        </w:rPr>
        <w:t> </w:t>
      </w:r>
      <w:r>
        <w:rPr>
          <w:color w:val="231F20"/>
          <w:spacing w:val="-2"/>
        </w:rPr>
        <w:t>de</w:t>
      </w:r>
      <w:r>
        <w:rPr>
          <w:color w:val="231F20"/>
          <w:spacing w:val="-13"/>
        </w:rPr>
        <w:t> </w:t>
      </w:r>
      <w:r>
        <w:rPr>
          <w:color w:val="231F20"/>
          <w:spacing w:val="-2"/>
        </w:rPr>
        <w:t>certificats</w:t>
      </w:r>
      <w:r>
        <w:rPr>
          <w:color w:val="231F20"/>
          <w:spacing w:val="-13"/>
        </w:rPr>
        <w:t> </w:t>
      </w:r>
      <w:r>
        <w:rPr>
          <w:color w:val="231F20"/>
          <w:spacing w:val="-2"/>
        </w:rPr>
        <w:t>en</w:t>
      </w:r>
      <w:r>
        <w:rPr>
          <w:color w:val="231F20"/>
          <w:spacing w:val="-13"/>
        </w:rPr>
        <w:t> </w:t>
      </w:r>
      <w:r>
        <w:rPr>
          <w:color w:val="231F20"/>
          <w:spacing w:val="-2"/>
        </w:rPr>
        <w:t>psychologie</w:t>
      </w:r>
      <w:r>
        <w:rPr>
          <w:color w:val="231F20"/>
          <w:spacing w:val="-13"/>
        </w:rPr>
        <w:t> </w:t>
      </w:r>
      <w:r>
        <w:rPr>
          <w:color w:val="231F20"/>
          <w:spacing w:val="-2"/>
        </w:rPr>
        <w:t>et </w:t>
      </w:r>
      <w:r>
        <w:rPr>
          <w:color w:val="231F20"/>
        </w:rPr>
        <w:t>sociologie. Auteur de quatre ouvrages</w:t>
      </w:r>
      <w:r>
        <w:rPr>
          <w:color w:val="76787A"/>
          <w:vertAlign w:val="superscript"/>
        </w:rPr>
        <w:t>58</w:t>
      </w:r>
      <w:r>
        <w:rPr>
          <w:color w:val="76787A"/>
          <w:vertAlign w:val="baseline"/>
        </w:rPr>
        <w:t> </w:t>
      </w:r>
      <w:r>
        <w:rPr>
          <w:color w:val="231F20"/>
          <w:vertAlign w:val="baseline"/>
        </w:rPr>
        <w:t>.</w:t>
      </w:r>
    </w:p>
    <w:p>
      <w:pPr>
        <w:pStyle w:val="BodyText"/>
        <w:spacing w:before="120"/>
        <w:ind w:right="106" w:firstLine="283"/>
      </w:pPr>
      <w:r>
        <w:rPr>
          <w:color w:val="231F20"/>
          <w:spacing w:val="-6"/>
        </w:rPr>
        <w:t>Pascal Lissouba est agronome de formation. En 1961, il soutient à</w:t>
      </w:r>
      <w:r>
        <w:rPr>
          <w:color w:val="231F20"/>
          <w:spacing w:val="-8"/>
        </w:rPr>
        <w:t> </w:t>
      </w:r>
      <w:r>
        <w:rPr>
          <w:color w:val="231F20"/>
          <w:spacing w:val="-6"/>
        </w:rPr>
        <w:t>Paris </w:t>
      </w:r>
      <w:r>
        <w:rPr>
          <w:color w:val="231F20"/>
        </w:rPr>
        <w:t>sa</w:t>
      </w:r>
      <w:r>
        <w:rPr>
          <w:color w:val="231F20"/>
          <w:spacing w:val="-13"/>
        </w:rPr>
        <w:t> </w:t>
      </w:r>
      <w:r>
        <w:rPr>
          <w:color w:val="231F20"/>
        </w:rPr>
        <w:t>thèse</w:t>
      </w:r>
      <w:r>
        <w:rPr>
          <w:color w:val="231F20"/>
          <w:spacing w:val="-13"/>
        </w:rPr>
        <w:t> </w:t>
      </w:r>
      <w:r>
        <w:rPr>
          <w:color w:val="231F20"/>
        </w:rPr>
        <w:t>d’État</w:t>
      </w:r>
      <w:r>
        <w:rPr>
          <w:color w:val="231F20"/>
          <w:spacing w:val="-13"/>
        </w:rPr>
        <w:t> </w:t>
      </w:r>
      <w:r>
        <w:rPr>
          <w:color w:val="231F20"/>
        </w:rPr>
        <w:t>et</w:t>
      </w:r>
      <w:r>
        <w:rPr>
          <w:color w:val="231F20"/>
          <w:spacing w:val="-13"/>
        </w:rPr>
        <w:t> </w:t>
      </w:r>
      <w:r>
        <w:rPr>
          <w:color w:val="231F20"/>
        </w:rPr>
        <w:t>accède</w:t>
      </w:r>
      <w:r>
        <w:rPr>
          <w:color w:val="231F20"/>
          <w:spacing w:val="-13"/>
        </w:rPr>
        <w:t> </w:t>
      </w:r>
      <w:r>
        <w:rPr>
          <w:color w:val="231F20"/>
        </w:rPr>
        <w:t>au</w:t>
      </w:r>
      <w:r>
        <w:rPr>
          <w:color w:val="231F20"/>
          <w:spacing w:val="-13"/>
        </w:rPr>
        <w:t> </w:t>
      </w:r>
      <w:r>
        <w:rPr>
          <w:color w:val="231F20"/>
        </w:rPr>
        <w:t>grade</w:t>
      </w:r>
      <w:r>
        <w:rPr>
          <w:color w:val="231F20"/>
          <w:spacing w:val="-13"/>
        </w:rPr>
        <w:t> </w:t>
      </w:r>
      <w:r>
        <w:rPr>
          <w:color w:val="231F20"/>
        </w:rPr>
        <w:t>de</w:t>
      </w:r>
      <w:r>
        <w:rPr>
          <w:color w:val="231F20"/>
          <w:spacing w:val="-13"/>
        </w:rPr>
        <w:t> </w:t>
      </w:r>
      <w:r>
        <w:rPr>
          <w:color w:val="231F20"/>
        </w:rPr>
        <w:t>docteur</w:t>
      </w:r>
      <w:r>
        <w:rPr>
          <w:color w:val="231F20"/>
          <w:spacing w:val="-13"/>
        </w:rPr>
        <w:t> </w:t>
      </w:r>
      <w:r>
        <w:rPr>
          <w:color w:val="231F20"/>
        </w:rPr>
        <w:t>ès</w:t>
      </w:r>
      <w:r>
        <w:rPr>
          <w:color w:val="231F20"/>
          <w:spacing w:val="-13"/>
        </w:rPr>
        <w:t> </w:t>
      </w:r>
      <w:r>
        <w:rPr>
          <w:color w:val="231F20"/>
        </w:rPr>
        <w:t>science.</w:t>
      </w:r>
      <w:r>
        <w:rPr>
          <w:color w:val="231F20"/>
          <w:spacing w:val="-13"/>
        </w:rPr>
        <w:t> </w:t>
      </w:r>
      <w:r>
        <w:rPr>
          <w:color w:val="231F20"/>
        </w:rPr>
        <w:t>Il</w:t>
      </w:r>
      <w:r>
        <w:rPr>
          <w:color w:val="231F20"/>
          <w:spacing w:val="-13"/>
        </w:rPr>
        <w:t> </w:t>
      </w:r>
      <w:r>
        <w:rPr>
          <w:color w:val="231F20"/>
        </w:rPr>
        <w:t>est</w:t>
      </w:r>
      <w:r>
        <w:rPr>
          <w:color w:val="231F20"/>
          <w:spacing w:val="-13"/>
        </w:rPr>
        <w:t> </w:t>
      </w:r>
      <w:r>
        <w:rPr>
          <w:color w:val="231F20"/>
        </w:rPr>
        <w:t>Chargé</w:t>
      </w:r>
      <w:r>
        <w:rPr>
          <w:color w:val="231F20"/>
          <w:spacing w:val="-13"/>
        </w:rPr>
        <w:t> </w:t>
      </w:r>
      <w:r>
        <w:rPr>
          <w:color w:val="231F20"/>
        </w:rPr>
        <w:t>de Recherches à l’ORSTOM en juin 1961.</w:t>
      </w:r>
    </w:p>
    <w:p>
      <w:pPr>
        <w:pStyle w:val="BodyText"/>
        <w:spacing w:before="179"/>
        <w:ind w:left="0"/>
        <w:jc w:val="left"/>
        <w:rPr>
          <w:sz w:val="20"/>
        </w:rPr>
      </w:pPr>
      <w:r>
        <w:rPr/>
        <mc:AlternateContent>
          <mc:Choice Requires="wps">
            <w:drawing>
              <wp:anchor distT="0" distB="0" distL="0" distR="0" allowOverlap="1" layoutInCell="1" locked="0" behindDoc="1" simplePos="0" relativeHeight="487607296">
                <wp:simplePos x="0" y="0"/>
                <wp:positionH relativeFrom="page">
                  <wp:posOffset>629907</wp:posOffset>
                </wp:positionH>
                <wp:positionV relativeFrom="paragraph">
                  <wp:posOffset>275255</wp:posOffset>
                </wp:positionV>
                <wp:extent cx="1829435" cy="9525"/>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1.673672pt;width:144.020pt;height:.72pt;mso-position-horizontal-relative:page;mso-position-vertical-relative:paragraph;z-index:-15709184;mso-wrap-distance-left:0;mso-wrap-distance-right:0" id="docshape53" filled="true" fillcolor="#231f20" stroked="false">
                <v:fill type="solid"/>
                <w10:wrap type="topAndBottom"/>
              </v:rect>
            </w:pict>
          </mc:Fallback>
        </mc:AlternateContent>
      </w:r>
    </w:p>
    <w:p>
      <w:pPr>
        <w:spacing w:before="94"/>
        <w:ind w:left="111" w:right="106" w:hanging="1"/>
        <w:jc w:val="both"/>
        <w:rPr>
          <w:sz w:val="20"/>
        </w:rPr>
      </w:pPr>
      <w:r>
        <w:rPr>
          <w:rFonts w:ascii="Arial" w:hAnsi="Arial"/>
          <w:color w:val="76787A"/>
          <w:spacing w:val="-2"/>
          <w:position w:val="6"/>
          <w:sz w:val="13"/>
        </w:rPr>
        <w:t>58</w:t>
      </w:r>
      <w:r>
        <w:rPr>
          <w:rFonts w:ascii="Arial" w:hAnsi="Arial"/>
          <w:color w:val="76787A"/>
          <w:spacing w:val="5"/>
          <w:position w:val="6"/>
          <w:sz w:val="13"/>
        </w:rPr>
        <w:t> </w:t>
      </w:r>
      <w:r>
        <w:rPr>
          <w:color w:val="231F20"/>
          <w:spacing w:val="-2"/>
          <w:sz w:val="20"/>
        </w:rPr>
        <w:t>L'Afrique</w:t>
      </w:r>
      <w:r>
        <w:rPr>
          <w:color w:val="231F20"/>
          <w:spacing w:val="-8"/>
          <w:sz w:val="20"/>
        </w:rPr>
        <w:t> </w:t>
      </w:r>
      <w:r>
        <w:rPr>
          <w:color w:val="231F20"/>
          <w:spacing w:val="-2"/>
          <w:sz w:val="20"/>
        </w:rPr>
        <w:t>d'aujourd'hui</w:t>
      </w:r>
      <w:r>
        <w:rPr>
          <w:color w:val="231F20"/>
          <w:spacing w:val="-8"/>
          <w:sz w:val="20"/>
        </w:rPr>
        <w:t> </w:t>
      </w:r>
      <w:r>
        <w:rPr>
          <w:color w:val="231F20"/>
          <w:spacing w:val="-2"/>
          <w:sz w:val="20"/>
        </w:rPr>
        <w:t>et</w:t>
      </w:r>
      <w:r>
        <w:rPr>
          <w:color w:val="231F20"/>
          <w:spacing w:val="-8"/>
          <w:sz w:val="20"/>
        </w:rPr>
        <w:t> </w:t>
      </w:r>
      <w:r>
        <w:rPr>
          <w:color w:val="231F20"/>
          <w:spacing w:val="-2"/>
          <w:sz w:val="20"/>
        </w:rPr>
        <w:t>la</w:t>
      </w:r>
      <w:r>
        <w:rPr>
          <w:color w:val="231F20"/>
          <w:spacing w:val="-8"/>
          <w:sz w:val="20"/>
        </w:rPr>
        <w:t> </w:t>
      </w:r>
      <w:r>
        <w:rPr>
          <w:color w:val="231F20"/>
          <w:spacing w:val="-2"/>
          <w:sz w:val="20"/>
        </w:rPr>
        <w:t>Foi</w:t>
      </w:r>
      <w:r>
        <w:rPr>
          <w:color w:val="231F20"/>
          <w:spacing w:val="-8"/>
          <w:sz w:val="20"/>
        </w:rPr>
        <w:t> </w:t>
      </w:r>
      <w:r>
        <w:rPr>
          <w:color w:val="231F20"/>
          <w:spacing w:val="-2"/>
          <w:sz w:val="20"/>
        </w:rPr>
        <w:t>chrétienne,</w:t>
      </w:r>
      <w:r>
        <w:rPr>
          <w:color w:val="231F20"/>
          <w:spacing w:val="-8"/>
          <w:sz w:val="20"/>
        </w:rPr>
        <w:t> </w:t>
      </w:r>
      <w:r>
        <w:rPr>
          <w:color w:val="231F20"/>
          <w:spacing w:val="-2"/>
          <w:sz w:val="20"/>
        </w:rPr>
        <w:t>la</w:t>
      </w:r>
      <w:r>
        <w:rPr>
          <w:color w:val="231F20"/>
          <w:spacing w:val="-8"/>
          <w:sz w:val="20"/>
        </w:rPr>
        <w:t> </w:t>
      </w:r>
      <w:r>
        <w:rPr>
          <w:color w:val="231F20"/>
          <w:spacing w:val="-2"/>
          <w:sz w:val="20"/>
        </w:rPr>
        <w:t>Philosophie</w:t>
      </w:r>
      <w:r>
        <w:rPr>
          <w:color w:val="231F20"/>
          <w:spacing w:val="-8"/>
          <w:sz w:val="20"/>
        </w:rPr>
        <w:t> </w:t>
      </w:r>
      <w:r>
        <w:rPr>
          <w:color w:val="231F20"/>
          <w:spacing w:val="-2"/>
          <w:sz w:val="20"/>
        </w:rPr>
        <w:t>Matswaniste</w:t>
      </w:r>
      <w:r>
        <w:rPr>
          <w:color w:val="231F20"/>
          <w:spacing w:val="-11"/>
          <w:sz w:val="20"/>
        </w:rPr>
        <w:t> </w:t>
      </w:r>
      <w:r>
        <w:rPr>
          <w:color w:val="231F20"/>
          <w:spacing w:val="-2"/>
          <w:sz w:val="20"/>
        </w:rPr>
        <w:t>et</w:t>
      </w:r>
      <w:r>
        <w:rPr>
          <w:color w:val="231F20"/>
          <w:spacing w:val="-8"/>
          <w:sz w:val="20"/>
        </w:rPr>
        <w:t> </w:t>
      </w:r>
      <w:r>
        <w:rPr>
          <w:color w:val="231F20"/>
          <w:spacing w:val="-2"/>
          <w:sz w:val="20"/>
        </w:rPr>
        <w:t>le</w:t>
      </w:r>
      <w:r>
        <w:rPr>
          <w:color w:val="231F20"/>
          <w:spacing w:val="-9"/>
          <w:sz w:val="20"/>
        </w:rPr>
        <w:t> </w:t>
      </w:r>
      <w:r>
        <w:rPr>
          <w:color w:val="231F20"/>
          <w:spacing w:val="-2"/>
          <w:sz w:val="20"/>
        </w:rPr>
        <w:t>Pouvoir politique</w:t>
      </w:r>
      <w:r>
        <w:rPr>
          <w:color w:val="231F20"/>
          <w:spacing w:val="-6"/>
          <w:sz w:val="20"/>
        </w:rPr>
        <w:t> </w:t>
      </w:r>
      <w:r>
        <w:rPr>
          <w:color w:val="231F20"/>
          <w:spacing w:val="-2"/>
          <w:sz w:val="20"/>
        </w:rPr>
        <w:t>publiés</w:t>
      </w:r>
      <w:r>
        <w:rPr>
          <w:color w:val="231F20"/>
          <w:spacing w:val="-6"/>
          <w:sz w:val="20"/>
        </w:rPr>
        <w:t> </w:t>
      </w:r>
      <w:r>
        <w:rPr>
          <w:color w:val="231F20"/>
          <w:spacing w:val="-2"/>
          <w:sz w:val="20"/>
        </w:rPr>
        <w:t>aux</w:t>
      </w:r>
      <w:r>
        <w:rPr>
          <w:color w:val="231F20"/>
          <w:spacing w:val="-4"/>
          <w:sz w:val="20"/>
        </w:rPr>
        <w:t> </w:t>
      </w:r>
      <w:r>
        <w:rPr>
          <w:color w:val="231F20"/>
          <w:spacing w:val="-2"/>
          <w:sz w:val="20"/>
        </w:rPr>
        <w:t>Éditions</w:t>
      </w:r>
      <w:r>
        <w:rPr>
          <w:color w:val="231F20"/>
          <w:spacing w:val="-7"/>
          <w:sz w:val="20"/>
        </w:rPr>
        <w:t> </w:t>
      </w:r>
      <w:r>
        <w:rPr>
          <w:color w:val="231F20"/>
          <w:spacing w:val="-2"/>
          <w:sz w:val="20"/>
        </w:rPr>
        <w:t>la</w:t>
      </w:r>
      <w:r>
        <w:rPr>
          <w:color w:val="231F20"/>
          <w:spacing w:val="-6"/>
          <w:sz w:val="20"/>
        </w:rPr>
        <w:t> </w:t>
      </w:r>
      <w:r>
        <w:rPr>
          <w:color w:val="231F20"/>
          <w:spacing w:val="-2"/>
          <w:sz w:val="20"/>
        </w:rPr>
        <w:t>pensée</w:t>
      </w:r>
      <w:r>
        <w:rPr>
          <w:color w:val="231F20"/>
          <w:spacing w:val="-6"/>
          <w:sz w:val="20"/>
        </w:rPr>
        <w:t> </w:t>
      </w:r>
      <w:r>
        <w:rPr>
          <w:color w:val="231F20"/>
          <w:spacing w:val="-2"/>
          <w:sz w:val="20"/>
        </w:rPr>
        <w:t>universelle</w:t>
      </w:r>
      <w:r>
        <w:rPr>
          <w:color w:val="231F20"/>
          <w:spacing w:val="-10"/>
          <w:sz w:val="20"/>
        </w:rPr>
        <w:t> </w:t>
      </w:r>
      <w:r>
        <w:rPr>
          <w:color w:val="231F20"/>
          <w:spacing w:val="-2"/>
          <w:sz w:val="20"/>
        </w:rPr>
        <w:t>;</w:t>
      </w:r>
      <w:r>
        <w:rPr>
          <w:color w:val="231F20"/>
          <w:spacing w:val="-6"/>
          <w:sz w:val="20"/>
        </w:rPr>
        <w:t> </w:t>
      </w:r>
      <w:r>
        <w:rPr>
          <w:color w:val="231F20"/>
          <w:spacing w:val="-2"/>
          <w:sz w:val="20"/>
        </w:rPr>
        <w:t>le</w:t>
      </w:r>
      <w:r>
        <w:rPr>
          <w:color w:val="231F20"/>
          <w:spacing w:val="-6"/>
          <w:sz w:val="20"/>
        </w:rPr>
        <w:t> </w:t>
      </w:r>
      <w:r>
        <w:rPr>
          <w:color w:val="231F20"/>
          <w:spacing w:val="-2"/>
          <w:sz w:val="20"/>
        </w:rPr>
        <w:t>Déchirement,</w:t>
      </w:r>
      <w:r>
        <w:rPr>
          <w:color w:val="231F20"/>
          <w:spacing w:val="-5"/>
          <w:sz w:val="20"/>
        </w:rPr>
        <w:t> </w:t>
      </w:r>
      <w:r>
        <w:rPr>
          <w:color w:val="231F20"/>
          <w:spacing w:val="-2"/>
          <w:sz w:val="20"/>
        </w:rPr>
        <w:t>roman</w:t>
      </w:r>
      <w:r>
        <w:rPr>
          <w:color w:val="231F20"/>
          <w:spacing w:val="-5"/>
          <w:sz w:val="20"/>
        </w:rPr>
        <w:t> </w:t>
      </w:r>
      <w:r>
        <w:rPr>
          <w:color w:val="231F20"/>
          <w:spacing w:val="-2"/>
          <w:sz w:val="20"/>
        </w:rPr>
        <w:t>publié</w:t>
      </w:r>
      <w:r>
        <w:rPr>
          <w:color w:val="231F20"/>
          <w:spacing w:val="-6"/>
          <w:sz w:val="20"/>
        </w:rPr>
        <w:t> </w:t>
      </w:r>
      <w:r>
        <w:rPr>
          <w:color w:val="231F20"/>
          <w:spacing w:val="-2"/>
          <w:sz w:val="20"/>
        </w:rPr>
        <w:t>aux </w:t>
      </w:r>
      <w:r>
        <w:rPr>
          <w:color w:val="231F20"/>
          <w:sz w:val="20"/>
        </w:rPr>
        <w:t>Nouvelles</w:t>
      </w:r>
      <w:r>
        <w:rPr>
          <w:color w:val="231F20"/>
          <w:spacing w:val="-9"/>
          <w:sz w:val="20"/>
        </w:rPr>
        <w:t> </w:t>
      </w:r>
      <w:r>
        <w:rPr>
          <w:color w:val="231F20"/>
          <w:sz w:val="20"/>
        </w:rPr>
        <w:t>Éditions</w:t>
      </w:r>
      <w:r>
        <w:rPr>
          <w:color w:val="231F20"/>
          <w:spacing w:val="-9"/>
          <w:sz w:val="20"/>
        </w:rPr>
        <w:t> </w:t>
      </w:r>
      <w:r>
        <w:rPr>
          <w:color w:val="231F20"/>
          <w:sz w:val="20"/>
        </w:rPr>
        <w:t>Ivoiriennes,</w:t>
      </w:r>
      <w:r>
        <w:rPr>
          <w:color w:val="231F20"/>
          <w:spacing w:val="-8"/>
          <w:sz w:val="20"/>
        </w:rPr>
        <w:t> </w:t>
      </w:r>
      <w:r>
        <w:rPr>
          <w:color w:val="231F20"/>
          <w:sz w:val="20"/>
        </w:rPr>
        <w:t>Les</w:t>
      </w:r>
      <w:r>
        <w:rPr>
          <w:color w:val="231F20"/>
          <w:spacing w:val="-9"/>
          <w:sz w:val="20"/>
        </w:rPr>
        <w:t> </w:t>
      </w:r>
      <w:r>
        <w:rPr>
          <w:color w:val="231F20"/>
          <w:sz w:val="20"/>
        </w:rPr>
        <w:t>Épreuves</w:t>
      </w:r>
      <w:r>
        <w:rPr>
          <w:color w:val="231F20"/>
          <w:spacing w:val="-8"/>
          <w:sz w:val="20"/>
        </w:rPr>
        <w:t> </w:t>
      </w:r>
      <w:r>
        <w:rPr>
          <w:color w:val="231F20"/>
          <w:sz w:val="20"/>
        </w:rPr>
        <w:t>initiatiques</w:t>
      </w:r>
      <w:r>
        <w:rPr>
          <w:color w:val="231F20"/>
          <w:spacing w:val="-10"/>
          <w:sz w:val="20"/>
        </w:rPr>
        <w:t> </w:t>
      </w:r>
      <w:r>
        <w:rPr>
          <w:color w:val="231F20"/>
          <w:sz w:val="20"/>
        </w:rPr>
        <w:t>chez</w:t>
      </w:r>
      <w:r>
        <w:rPr>
          <w:color w:val="231F20"/>
          <w:spacing w:val="-8"/>
          <w:sz w:val="20"/>
        </w:rPr>
        <w:t> </w:t>
      </w:r>
      <w:r>
        <w:rPr>
          <w:color w:val="231F20"/>
          <w:sz w:val="20"/>
        </w:rPr>
        <w:t>les</w:t>
      </w:r>
      <w:r>
        <w:rPr>
          <w:color w:val="231F20"/>
          <w:spacing w:val="-10"/>
          <w:sz w:val="20"/>
        </w:rPr>
        <w:t> </w:t>
      </w:r>
      <w:r>
        <w:rPr>
          <w:color w:val="231F20"/>
          <w:sz w:val="20"/>
        </w:rPr>
        <w:t>Bantu,</w:t>
      </w:r>
      <w:r>
        <w:rPr>
          <w:color w:val="231F20"/>
          <w:spacing w:val="-7"/>
          <w:sz w:val="20"/>
        </w:rPr>
        <w:t> </w:t>
      </w:r>
      <w:r>
        <w:rPr>
          <w:color w:val="231F20"/>
          <w:sz w:val="20"/>
        </w:rPr>
        <w:t>essai</w:t>
      </w:r>
      <w:r>
        <w:rPr>
          <w:color w:val="231F20"/>
          <w:spacing w:val="-9"/>
          <w:sz w:val="20"/>
        </w:rPr>
        <w:t> </w:t>
      </w:r>
      <w:r>
        <w:rPr>
          <w:color w:val="231F20"/>
          <w:sz w:val="20"/>
        </w:rPr>
        <w:t>publié aux Éditions Menaibuc.</w:t>
      </w:r>
    </w:p>
    <w:p>
      <w:pPr>
        <w:spacing w:after="0"/>
        <w:jc w:val="both"/>
        <w:rPr>
          <w:sz w:val="20"/>
        </w:rPr>
        <w:sectPr>
          <w:pgSz w:w="8790" w:h="13610"/>
          <w:pgMar w:header="0" w:footer="802" w:top="1060" w:bottom="1000" w:left="880" w:right="880"/>
        </w:sectPr>
      </w:pPr>
    </w:p>
    <w:p>
      <w:pPr>
        <w:pStyle w:val="BodyText"/>
        <w:spacing w:before="66"/>
        <w:ind w:right="106" w:firstLine="283"/>
      </w:pPr>
      <w:r>
        <w:rPr>
          <w:color w:val="231F20"/>
        </w:rPr>
        <w:t>Denis</w:t>
      </w:r>
      <w:r>
        <w:rPr>
          <w:color w:val="231F20"/>
          <w:spacing w:val="-13"/>
        </w:rPr>
        <w:t> </w:t>
      </w:r>
      <w:r>
        <w:rPr>
          <w:color w:val="231F20"/>
        </w:rPr>
        <w:t>Sassou</w:t>
      </w:r>
      <w:r>
        <w:rPr>
          <w:color w:val="231F20"/>
          <w:spacing w:val="-13"/>
        </w:rPr>
        <w:t> </w:t>
      </w:r>
      <w:r>
        <w:rPr>
          <w:color w:val="231F20"/>
        </w:rPr>
        <w:t>Nguesso</w:t>
      </w:r>
      <w:r>
        <w:rPr>
          <w:color w:val="231F20"/>
          <w:spacing w:val="-10"/>
        </w:rPr>
        <w:t> </w:t>
      </w:r>
      <w:r>
        <w:rPr>
          <w:color w:val="231F20"/>
        </w:rPr>
        <w:t>est</w:t>
      </w:r>
      <w:r>
        <w:rPr>
          <w:color w:val="231F20"/>
          <w:spacing w:val="-10"/>
        </w:rPr>
        <w:t> </w:t>
      </w:r>
      <w:r>
        <w:rPr>
          <w:color w:val="231F20"/>
        </w:rPr>
        <w:t>l’un</w:t>
      </w:r>
      <w:r>
        <w:rPr>
          <w:color w:val="231F20"/>
          <w:spacing w:val="-13"/>
        </w:rPr>
        <w:t> </w:t>
      </w:r>
      <w:r>
        <w:rPr>
          <w:color w:val="231F20"/>
        </w:rPr>
        <w:t>des</w:t>
      </w:r>
      <w:r>
        <w:rPr>
          <w:color w:val="231F20"/>
          <w:spacing w:val="-13"/>
        </w:rPr>
        <w:t> </w:t>
      </w:r>
      <w:r>
        <w:rPr>
          <w:color w:val="231F20"/>
        </w:rPr>
        <w:t>premiers</w:t>
      </w:r>
      <w:r>
        <w:rPr>
          <w:color w:val="231F20"/>
          <w:spacing w:val="-12"/>
        </w:rPr>
        <w:t> </w:t>
      </w:r>
      <w:r>
        <w:rPr>
          <w:color w:val="231F20"/>
        </w:rPr>
        <w:t>officiers</w:t>
      </w:r>
      <w:r>
        <w:rPr>
          <w:color w:val="231F20"/>
          <w:spacing w:val="-10"/>
        </w:rPr>
        <w:t> </w:t>
      </w:r>
      <w:r>
        <w:rPr>
          <w:color w:val="231F20"/>
        </w:rPr>
        <w:t>du</w:t>
      </w:r>
      <w:r>
        <w:rPr>
          <w:color w:val="231F20"/>
          <w:spacing w:val="-13"/>
        </w:rPr>
        <w:t> </w:t>
      </w:r>
      <w:r>
        <w:rPr>
          <w:color w:val="231F20"/>
        </w:rPr>
        <w:t>groupement </w:t>
      </w:r>
      <w:r>
        <w:rPr>
          <w:color w:val="231F20"/>
          <w:spacing w:val="-4"/>
        </w:rPr>
        <w:t>aéroporté,</w:t>
      </w:r>
      <w:r>
        <w:rPr>
          <w:color w:val="231F20"/>
          <w:spacing w:val="-6"/>
        </w:rPr>
        <w:t> </w:t>
      </w:r>
      <w:r>
        <w:rPr>
          <w:color w:val="231F20"/>
          <w:spacing w:val="-4"/>
        </w:rPr>
        <w:t>premier bataillon parachutiste</w:t>
      </w:r>
      <w:r>
        <w:rPr>
          <w:color w:val="231F20"/>
          <w:spacing w:val="-7"/>
        </w:rPr>
        <w:t> </w:t>
      </w:r>
      <w:r>
        <w:rPr>
          <w:color w:val="231F20"/>
          <w:spacing w:val="-4"/>
        </w:rPr>
        <w:t>de</w:t>
      </w:r>
      <w:r>
        <w:rPr>
          <w:color w:val="231F20"/>
          <w:spacing w:val="-7"/>
        </w:rPr>
        <w:t> </w:t>
      </w:r>
      <w:r>
        <w:rPr>
          <w:color w:val="231F20"/>
          <w:spacing w:val="-4"/>
        </w:rPr>
        <w:t>l’Armée congolaise. De</w:t>
      </w:r>
      <w:r>
        <w:rPr>
          <w:color w:val="231F20"/>
          <w:spacing w:val="-7"/>
        </w:rPr>
        <w:t> </w:t>
      </w:r>
      <w:r>
        <w:rPr>
          <w:color w:val="231F20"/>
          <w:spacing w:val="-4"/>
        </w:rPr>
        <w:t>1968 </w:t>
      </w:r>
      <w:r>
        <w:rPr>
          <w:color w:val="231F20"/>
          <w:spacing w:val="-2"/>
        </w:rPr>
        <w:t>à</w:t>
      </w:r>
      <w:r>
        <w:rPr>
          <w:color w:val="231F20"/>
          <w:spacing w:val="-15"/>
        </w:rPr>
        <w:t> </w:t>
      </w:r>
      <w:r>
        <w:rPr>
          <w:color w:val="231F20"/>
          <w:spacing w:val="-2"/>
        </w:rPr>
        <w:t>1975,</w:t>
      </w:r>
      <w:r>
        <w:rPr>
          <w:color w:val="231F20"/>
          <w:spacing w:val="-13"/>
        </w:rPr>
        <w:t> </w:t>
      </w:r>
      <w:r>
        <w:rPr>
          <w:color w:val="231F20"/>
          <w:spacing w:val="-2"/>
        </w:rPr>
        <w:t>il</w:t>
      </w:r>
      <w:r>
        <w:rPr>
          <w:color w:val="231F20"/>
          <w:spacing w:val="-13"/>
        </w:rPr>
        <w:t> </w:t>
      </w:r>
      <w:r>
        <w:rPr>
          <w:color w:val="231F20"/>
          <w:spacing w:val="-2"/>
        </w:rPr>
        <w:t>commande</w:t>
      </w:r>
      <w:r>
        <w:rPr>
          <w:color w:val="231F20"/>
          <w:spacing w:val="-13"/>
        </w:rPr>
        <w:t> </w:t>
      </w:r>
      <w:r>
        <w:rPr>
          <w:color w:val="231F20"/>
          <w:spacing w:val="-2"/>
        </w:rPr>
        <w:t>successivement</w:t>
      </w:r>
      <w:r>
        <w:rPr>
          <w:color w:val="231F20"/>
          <w:spacing w:val="-13"/>
        </w:rPr>
        <w:t> </w:t>
      </w:r>
      <w:r>
        <w:rPr>
          <w:color w:val="231F20"/>
          <w:spacing w:val="-2"/>
        </w:rPr>
        <w:t>le</w:t>
      </w:r>
      <w:r>
        <w:rPr>
          <w:color w:val="231F20"/>
          <w:spacing w:val="-13"/>
        </w:rPr>
        <w:t> </w:t>
      </w:r>
      <w:r>
        <w:rPr>
          <w:color w:val="231F20"/>
          <w:spacing w:val="-2"/>
        </w:rPr>
        <w:t>Groupement</w:t>
      </w:r>
      <w:r>
        <w:rPr>
          <w:color w:val="231F20"/>
          <w:spacing w:val="-13"/>
        </w:rPr>
        <w:t> </w:t>
      </w:r>
      <w:r>
        <w:rPr>
          <w:color w:val="231F20"/>
          <w:spacing w:val="-2"/>
        </w:rPr>
        <w:t>Aéroporté,</w:t>
      </w:r>
      <w:r>
        <w:rPr>
          <w:color w:val="231F20"/>
          <w:spacing w:val="-13"/>
        </w:rPr>
        <w:t> </w:t>
      </w:r>
      <w:r>
        <w:rPr>
          <w:color w:val="231F20"/>
          <w:spacing w:val="-2"/>
        </w:rPr>
        <w:t>l’Armée </w:t>
      </w:r>
      <w:r>
        <w:rPr>
          <w:color w:val="231F20"/>
        </w:rPr>
        <w:t>de</w:t>
      </w:r>
      <w:r>
        <w:rPr>
          <w:color w:val="231F20"/>
          <w:spacing w:val="-15"/>
        </w:rPr>
        <w:t> </w:t>
      </w:r>
      <w:r>
        <w:rPr>
          <w:color w:val="231F20"/>
        </w:rPr>
        <w:t>terre</w:t>
      </w:r>
      <w:r>
        <w:rPr>
          <w:color w:val="231F20"/>
          <w:spacing w:val="-15"/>
        </w:rPr>
        <w:t> </w:t>
      </w:r>
      <w:r>
        <w:rPr>
          <w:color w:val="231F20"/>
        </w:rPr>
        <w:t>et</w:t>
      </w:r>
      <w:r>
        <w:rPr>
          <w:color w:val="231F20"/>
          <w:spacing w:val="-15"/>
        </w:rPr>
        <w:t> </w:t>
      </w:r>
      <w:r>
        <w:rPr>
          <w:color w:val="231F20"/>
        </w:rPr>
        <w:t>la</w:t>
      </w:r>
      <w:r>
        <w:rPr>
          <w:color w:val="231F20"/>
          <w:spacing w:val="-15"/>
        </w:rPr>
        <w:t> </w:t>
      </w:r>
      <w:r>
        <w:rPr>
          <w:color w:val="231F20"/>
        </w:rPr>
        <w:t>Zone</w:t>
      </w:r>
      <w:r>
        <w:rPr>
          <w:color w:val="231F20"/>
          <w:spacing w:val="-15"/>
        </w:rPr>
        <w:t> </w:t>
      </w:r>
      <w:r>
        <w:rPr>
          <w:color w:val="231F20"/>
        </w:rPr>
        <w:t>Militaire</w:t>
      </w:r>
      <w:r>
        <w:rPr>
          <w:color w:val="231F20"/>
          <w:spacing w:val="-15"/>
        </w:rPr>
        <w:t> </w:t>
      </w:r>
      <w:r>
        <w:rPr>
          <w:color w:val="231F20"/>
        </w:rPr>
        <w:t>de</w:t>
      </w:r>
      <w:r>
        <w:rPr>
          <w:color w:val="231F20"/>
          <w:spacing w:val="-15"/>
        </w:rPr>
        <w:t> </w:t>
      </w:r>
      <w:r>
        <w:rPr>
          <w:color w:val="231F20"/>
        </w:rPr>
        <w:t>Brazzaville</w:t>
      </w:r>
      <w:r>
        <w:rPr>
          <w:color w:val="231F20"/>
          <w:spacing w:val="-15"/>
        </w:rPr>
        <w:t> </w:t>
      </w:r>
      <w:r>
        <w:rPr>
          <w:color w:val="231F20"/>
        </w:rPr>
        <w:t>puis</w:t>
      </w:r>
      <w:r>
        <w:rPr>
          <w:color w:val="231F20"/>
          <w:spacing w:val="-15"/>
        </w:rPr>
        <w:t> </w:t>
      </w:r>
      <w:r>
        <w:rPr>
          <w:color w:val="231F20"/>
        </w:rPr>
        <w:t>dirige</w:t>
      </w:r>
      <w:r>
        <w:rPr>
          <w:color w:val="231F20"/>
          <w:spacing w:val="-14"/>
        </w:rPr>
        <w:t> </w:t>
      </w:r>
      <w:r>
        <w:rPr>
          <w:color w:val="231F20"/>
        </w:rPr>
        <w:t>la</w:t>
      </w:r>
      <w:r>
        <w:rPr>
          <w:color w:val="231F20"/>
          <w:spacing w:val="-15"/>
        </w:rPr>
        <w:t> </w:t>
      </w:r>
      <w:r>
        <w:rPr>
          <w:color w:val="231F20"/>
        </w:rPr>
        <w:t>Sécurité</w:t>
      </w:r>
      <w:r>
        <w:rPr>
          <w:color w:val="231F20"/>
          <w:spacing w:val="-14"/>
        </w:rPr>
        <w:t> </w:t>
      </w:r>
      <w:r>
        <w:rPr>
          <w:color w:val="231F20"/>
        </w:rPr>
        <w:t>d’État, </w:t>
      </w:r>
      <w:r>
        <w:rPr>
          <w:color w:val="231F20"/>
          <w:spacing w:val="-4"/>
        </w:rPr>
        <w:t>les</w:t>
      </w:r>
      <w:r>
        <w:rPr>
          <w:color w:val="231F20"/>
          <w:spacing w:val="-10"/>
        </w:rPr>
        <w:t> </w:t>
      </w:r>
      <w:r>
        <w:rPr>
          <w:color w:val="231F20"/>
          <w:spacing w:val="-4"/>
        </w:rPr>
        <w:t>services</w:t>
      </w:r>
      <w:r>
        <w:rPr>
          <w:color w:val="231F20"/>
          <w:spacing w:val="-10"/>
        </w:rPr>
        <w:t> </w:t>
      </w:r>
      <w:r>
        <w:rPr>
          <w:color w:val="231F20"/>
          <w:spacing w:val="-4"/>
        </w:rPr>
        <w:t>de</w:t>
      </w:r>
      <w:r>
        <w:rPr>
          <w:color w:val="231F20"/>
          <w:spacing w:val="-10"/>
        </w:rPr>
        <w:t> </w:t>
      </w:r>
      <w:r>
        <w:rPr>
          <w:color w:val="231F20"/>
          <w:spacing w:val="-4"/>
        </w:rPr>
        <w:t>renseignement</w:t>
      </w:r>
      <w:r>
        <w:rPr>
          <w:color w:val="231F20"/>
          <w:spacing w:val="-9"/>
        </w:rPr>
        <w:t> </w:t>
      </w:r>
      <w:r>
        <w:rPr>
          <w:color w:val="231F20"/>
          <w:spacing w:val="-4"/>
        </w:rPr>
        <w:t>du</w:t>
      </w:r>
      <w:r>
        <w:rPr>
          <w:color w:val="231F20"/>
          <w:spacing w:val="-11"/>
        </w:rPr>
        <w:t> </w:t>
      </w:r>
      <w:r>
        <w:rPr>
          <w:color w:val="231F20"/>
          <w:spacing w:val="-4"/>
        </w:rPr>
        <w:t>Congo.</w:t>
      </w:r>
      <w:r>
        <w:rPr>
          <w:color w:val="231F20"/>
          <w:spacing w:val="-10"/>
        </w:rPr>
        <w:t> </w:t>
      </w:r>
      <w:r>
        <w:rPr>
          <w:color w:val="231F20"/>
          <w:spacing w:val="-4"/>
        </w:rPr>
        <w:t>Il</w:t>
      </w:r>
      <w:r>
        <w:rPr>
          <w:color w:val="231F20"/>
          <w:spacing w:val="-9"/>
        </w:rPr>
        <w:t> </w:t>
      </w:r>
      <w:r>
        <w:rPr>
          <w:color w:val="231F20"/>
          <w:spacing w:val="-4"/>
        </w:rPr>
        <w:t>est</w:t>
      </w:r>
      <w:r>
        <w:rPr>
          <w:color w:val="231F20"/>
          <w:spacing w:val="-10"/>
        </w:rPr>
        <w:t> </w:t>
      </w:r>
      <w:r>
        <w:rPr>
          <w:color w:val="231F20"/>
          <w:spacing w:val="-4"/>
        </w:rPr>
        <w:t>en</w:t>
      </w:r>
      <w:r>
        <w:rPr>
          <w:color w:val="231F20"/>
          <w:spacing w:val="-10"/>
        </w:rPr>
        <w:t> </w:t>
      </w:r>
      <w:r>
        <w:rPr>
          <w:color w:val="231F20"/>
          <w:spacing w:val="-4"/>
        </w:rPr>
        <w:t>1989,</w:t>
      </w:r>
      <w:r>
        <w:rPr>
          <w:color w:val="231F20"/>
          <w:spacing w:val="-10"/>
        </w:rPr>
        <w:t> </w:t>
      </w:r>
      <w:r>
        <w:rPr>
          <w:color w:val="231F20"/>
          <w:spacing w:val="-4"/>
        </w:rPr>
        <w:t>Général</w:t>
      </w:r>
      <w:r>
        <w:rPr>
          <w:color w:val="231F20"/>
          <w:spacing w:val="-10"/>
        </w:rPr>
        <w:t> </w:t>
      </w:r>
      <w:r>
        <w:rPr>
          <w:color w:val="231F20"/>
          <w:spacing w:val="-4"/>
        </w:rPr>
        <w:t>d’Armée. </w:t>
      </w:r>
      <w:r>
        <w:rPr>
          <w:color w:val="231F20"/>
        </w:rPr>
        <w:t>Chacun des trois hommes a sa milice</w:t>
      </w:r>
      <w:r>
        <w:rPr>
          <w:color w:val="231F20"/>
          <w:spacing w:val="-13"/>
        </w:rPr>
        <w:t> </w:t>
      </w:r>
      <w:r>
        <w:rPr>
          <w:color w:val="231F20"/>
        </w:rPr>
        <w:t>: les Ninjas pour Kolelas, les Cocoyes</w:t>
      </w:r>
      <w:r>
        <w:rPr>
          <w:color w:val="231F20"/>
          <w:spacing w:val="-4"/>
        </w:rPr>
        <w:t> </w:t>
      </w:r>
      <w:r>
        <w:rPr>
          <w:color w:val="231F20"/>
        </w:rPr>
        <w:t>pour</w:t>
      </w:r>
      <w:r>
        <w:rPr>
          <w:color w:val="231F20"/>
          <w:spacing w:val="-5"/>
        </w:rPr>
        <w:t> </w:t>
      </w:r>
      <w:r>
        <w:rPr>
          <w:color w:val="231F20"/>
        </w:rPr>
        <w:t>Lissouba</w:t>
      </w:r>
      <w:r>
        <w:rPr>
          <w:color w:val="231F20"/>
          <w:spacing w:val="-2"/>
        </w:rPr>
        <w:t> </w:t>
      </w:r>
      <w:r>
        <w:rPr>
          <w:color w:val="231F20"/>
        </w:rPr>
        <w:t>et</w:t>
      </w:r>
      <w:r>
        <w:rPr>
          <w:color w:val="231F20"/>
          <w:spacing w:val="-3"/>
        </w:rPr>
        <w:t> </w:t>
      </w:r>
      <w:r>
        <w:rPr>
          <w:color w:val="231F20"/>
        </w:rPr>
        <w:t>les</w:t>
      </w:r>
      <w:r>
        <w:rPr>
          <w:color w:val="231F20"/>
          <w:spacing w:val="-4"/>
        </w:rPr>
        <w:t> </w:t>
      </w:r>
      <w:r>
        <w:rPr>
          <w:color w:val="231F20"/>
        </w:rPr>
        <w:t>Cobras</w:t>
      </w:r>
      <w:r>
        <w:rPr>
          <w:color w:val="231F20"/>
          <w:spacing w:val="-4"/>
        </w:rPr>
        <w:t> </w:t>
      </w:r>
      <w:r>
        <w:rPr>
          <w:color w:val="231F20"/>
        </w:rPr>
        <w:t>pour</w:t>
      </w:r>
      <w:r>
        <w:rPr>
          <w:color w:val="231F20"/>
          <w:spacing w:val="-4"/>
        </w:rPr>
        <w:t> </w:t>
      </w:r>
      <w:r>
        <w:rPr>
          <w:color w:val="231F20"/>
        </w:rPr>
        <w:t>Sassou</w:t>
      </w:r>
      <w:r>
        <w:rPr>
          <w:color w:val="231F20"/>
          <w:spacing w:val="-2"/>
        </w:rPr>
        <w:t> </w:t>
      </w:r>
      <w:r>
        <w:rPr>
          <w:color w:val="231F20"/>
        </w:rPr>
        <w:t>Nguesso</w:t>
      </w:r>
    </w:p>
    <w:p>
      <w:pPr>
        <w:pStyle w:val="BodyText"/>
        <w:spacing w:before="120"/>
        <w:ind w:left="112" w:right="106" w:firstLine="283"/>
      </w:pPr>
      <w:r>
        <w:rPr>
          <w:color w:val="231F20"/>
          <w:spacing w:val="-4"/>
        </w:rPr>
        <w:t>En</w:t>
      </w:r>
      <w:r>
        <w:rPr>
          <w:color w:val="231F20"/>
          <w:spacing w:val="-9"/>
        </w:rPr>
        <w:t> </w:t>
      </w:r>
      <w:r>
        <w:rPr>
          <w:color w:val="231F20"/>
          <w:spacing w:val="-4"/>
        </w:rPr>
        <w:t>juillet</w:t>
      </w:r>
      <w:r>
        <w:rPr>
          <w:color w:val="231F20"/>
          <w:spacing w:val="-11"/>
        </w:rPr>
        <w:t> </w:t>
      </w:r>
      <w:r>
        <w:rPr>
          <w:color w:val="231F20"/>
          <w:spacing w:val="-4"/>
        </w:rPr>
        <w:t>1993,</w:t>
      </w:r>
      <w:r>
        <w:rPr>
          <w:color w:val="231F20"/>
          <w:spacing w:val="-11"/>
        </w:rPr>
        <w:t> </w:t>
      </w:r>
      <w:r>
        <w:rPr>
          <w:color w:val="231F20"/>
          <w:spacing w:val="-4"/>
        </w:rPr>
        <w:t>les</w:t>
      </w:r>
      <w:r>
        <w:rPr>
          <w:color w:val="231F20"/>
          <w:spacing w:val="-11"/>
        </w:rPr>
        <w:t> </w:t>
      </w:r>
      <w:r>
        <w:rPr>
          <w:color w:val="231F20"/>
          <w:spacing w:val="-4"/>
        </w:rPr>
        <w:t>Cocoyes</w:t>
      </w:r>
      <w:r>
        <w:rPr>
          <w:color w:val="231F20"/>
          <w:spacing w:val="-9"/>
        </w:rPr>
        <w:t> </w:t>
      </w:r>
      <w:r>
        <w:rPr>
          <w:color w:val="231F20"/>
          <w:spacing w:val="-4"/>
        </w:rPr>
        <w:t>et</w:t>
      </w:r>
      <w:r>
        <w:rPr>
          <w:color w:val="231F20"/>
          <w:spacing w:val="-11"/>
        </w:rPr>
        <w:t> </w:t>
      </w:r>
      <w:r>
        <w:rPr>
          <w:color w:val="231F20"/>
          <w:spacing w:val="-4"/>
        </w:rPr>
        <w:t>les</w:t>
      </w:r>
      <w:r>
        <w:rPr>
          <w:color w:val="231F20"/>
          <w:spacing w:val="-11"/>
        </w:rPr>
        <w:t> </w:t>
      </w:r>
      <w:r>
        <w:rPr>
          <w:color w:val="231F20"/>
          <w:spacing w:val="-4"/>
        </w:rPr>
        <w:t>Ninjas</w:t>
      </w:r>
      <w:r>
        <w:rPr>
          <w:color w:val="231F20"/>
          <w:spacing w:val="-11"/>
        </w:rPr>
        <w:t> </w:t>
      </w:r>
      <w:r>
        <w:rPr>
          <w:color w:val="231F20"/>
          <w:spacing w:val="-4"/>
        </w:rPr>
        <w:t>s’affrontent</w:t>
      </w:r>
      <w:r>
        <w:rPr>
          <w:color w:val="231F20"/>
          <w:spacing w:val="-9"/>
        </w:rPr>
        <w:t> </w:t>
      </w:r>
      <w:r>
        <w:rPr>
          <w:color w:val="231F20"/>
          <w:spacing w:val="-4"/>
        </w:rPr>
        <w:t>dans</w:t>
      </w:r>
      <w:r>
        <w:rPr>
          <w:color w:val="231F20"/>
          <w:spacing w:val="-11"/>
        </w:rPr>
        <w:t> </w:t>
      </w:r>
      <w:r>
        <w:rPr>
          <w:color w:val="231F20"/>
          <w:spacing w:val="-4"/>
        </w:rPr>
        <w:t>les</w:t>
      </w:r>
      <w:r>
        <w:rPr>
          <w:color w:val="231F20"/>
          <w:spacing w:val="-11"/>
        </w:rPr>
        <w:t> </w:t>
      </w:r>
      <w:r>
        <w:rPr>
          <w:color w:val="231F20"/>
          <w:spacing w:val="-4"/>
        </w:rPr>
        <w:t>quartiers </w:t>
      </w:r>
      <w:r>
        <w:rPr>
          <w:color w:val="231F20"/>
          <w:spacing w:val="-2"/>
        </w:rPr>
        <w:t>Sud</w:t>
      </w:r>
      <w:r>
        <w:rPr>
          <w:color w:val="231F20"/>
          <w:spacing w:val="-15"/>
        </w:rPr>
        <w:t> </w:t>
      </w:r>
      <w:r>
        <w:rPr>
          <w:color w:val="231F20"/>
          <w:spacing w:val="-2"/>
        </w:rPr>
        <w:t>de</w:t>
      </w:r>
      <w:r>
        <w:rPr>
          <w:color w:val="231F20"/>
          <w:spacing w:val="-13"/>
        </w:rPr>
        <w:t> </w:t>
      </w:r>
      <w:r>
        <w:rPr>
          <w:color w:val="231F20"/>
          <w:spacing w:val="-2"/>
        </w:rPr>
        <w:t>Brazzaville.</w:t>
      </w:r>
      <w:r>
        <w:rPr>
          <w:color w:val="231F20"/>
          <w:spacing w:val="-13"/>
        </w:rPr>
        <w:t> </w:t>
      </w:r>
      <w:r>
        <w:rPr>
          <w:color w:val="231F20"/>
          <w:spacing w:val="-2"/>
        </w:rPr>
        <w:t>C’est</w:t>
      </w:r>
      <w:r>
        <w:rPr>
          <w:color w:val="231F20"/>
          <w:spacing w:val="-13"/>
        </w:rPr>
        <w:t> </w:t>
      </w:r>
      <w:r>
        <w:rPr>
          <w:color w:val="231F20"/>
          <w:spacing w:val="-2"/>
        </w:rPr>
        <w:t>le</w:t>
      </w:r>
      <w:r>
        <w:rPr>
          <w:color w:val="231F20"/>
          <w:spacing w:val="-13"/>
        </w:rPr>
        <w:t> </w:t>
      </w:r>
      <w:r>
        <w:rPr>
          <w:color w:val="231F20"/>
          <w:spacing w:val="-2"/>
        </w:rPr>
        <w:t>premier</w:t>
      </w:r>
      <w:r>
        <w:rPr>
          <w:color w:val="231F20"/>
          <w:spacing w:val="-13"/>
        </w:rPr>
        <w:t> </w:t>
      </w:r>
      <w:r>
        <w:rPr>
          <w:color w:val="231F20"/>
          <w:spacing w:val="-2"/>
        </w:rPr>
        <w:t>affrontement</w:t>
      </w:r>
      <w:r>
        <w:rPr>
          <w:color w:val="231F20"/>
          <w:spacing w:val="-13"/>
        </w:rPr>
        <w:t> </w:t>
      </w:r>
      <w:r>
        <w:rPr>
          <w:color w:val="231F20"/>
          <w:spacing w:val="-2"/>
        </w:rPr>
        <w:t>civil.</w:t>
      </w:r>
      <w:r>
        <w:rPr>
          <w:color w:val="231F20"/>
          <w:spacing w:val="-13"/>
        </w:rPr>
        <w:t> </w:t>
      </w:r>
      <w:r>
        <w:rPr>
          <w:color w:val="231F20"/>
          <w:spacing w:val="-2"/>
        </w:rPr>
        <w:t>En</w:t>
      </w:r>
      <w:r>
        <w:rPr>
          <w:color w:val="231F20"/>
          <w:spacing w:val="-13"/>
        </w:rPr>
        <w:t> </w:t>
      </w:r>
      <w:r>
        <w:rPr>
          <w:color w:val="231F20"/>
          <w:spacing w:val="-2"/>
        </w:rPr>
        <w:t>1994,</w:t>
      </w:r>
      <w:r>
        <w:rPr>
          <w:color w:val="231F20"/>
          <w:spacing w:val="-13"/>
        </w:rPr>
        <w:t> </w:t>
      </w:r>
      <w:r>
        <w:rPr>
          <w:color w:val="231F20"/>
          <w:spacing w:val="-2"/>
        </w:rPr>
        <w:t>dans</w:t>
      </w:r>
      <w:r>
        <w:rPr>
          <w:color w:val="231F20"/>
          <w:spacing w:val="-13"/>
        </w:rPr>
        <w:t> </w:t>
      </w:r>
      <w:r>
        <w:rPr>
          <w:color w:val="231F20"/>
          <w:spacing w:val="-2"/>
        </w:rPr>
        <w:t>un </w:t>
      </w:r>
      <w:r>
        <w:rPr>
          <w:color w:val="231F20"/>
        </w:rPr>
        <w:t>souci d’apaisement, Kolélas intègre le gouvernement du Président Lissouba, comme «</w:t>
      </w:r>
      <w:r>
        <w:rPr>
          <w:color w:val="231F20"/>
          <w:spacing w:val="-15"/>
        </w:rPr>
        <w:t> </w:t>
      </w:r>
      <w:r>
        <w:rPr>
          <w:color w:val="231F20"/>
        </w:rPr>
        <w:t>opposition constructive</w:t>
      </w:r>
      <w:r>
        <w:rPr>
          <w:color w:val="231F20"/>
          <w:spacing w:val="-15"/>
        </w:rPr>
        <w:t> </w:t>
      </w:r>
      <w:r>
        <w:rPr>
          <w:color w:val="231F20"/>
        </w:rPr>
        <w:t>». Sassou est hostile au compromis d’«</w:t>
      </w:r>
      <w:r>
        <w:rPr>
          <w:color w:val="231F20"/>
          <w:spacing w:val="-10"/>
        </w:rPr>
        <w:t> </w:t>
      </w:r>
      <w:r>
        <w:rPr>
          <w:color w:val="231F20"/>
        </w:rPr>
        <w:t>opposition constructive</w:t>
      </w:r>
      <w:r>
        <w:rPr>
          <w:color w:val="231F20"/>
          <w:spacing w:val="-11"/>
        </w:rPr>
        <w:t> </w:t>
      </w:r>
      <w:r>
        <w:rPr>
          <w:color w:val="231F20"/>
        </w:rPr>
        <w:t>» et poursuit son </w:t>
      </w:r>
      <w:r>
        <w:rPr>
          <w:color w:val="231F20"/>
          <w:spacing w:val="-2"/>
        </w:rPr>
        <w:t>approvisionnement</w:t>
      </w:r>
      <w:r>
        <w:rPr>
          <w:color w:val="231F20"/>
          <w:spacing w:val="-7"/>
        </w:rPr>
        <w:t> </w:t>
      </w:r>
      <w:r>
        <w:rPr>
          <w:color w:val="231F20"/>
          <w:spacing w:val="-2"/>
        </w:rPr>
        <w:t>en</w:t>
      </w:r>
      <w:r>
        <w:rPr>
          <w:color w:val="231F20"/>
          <w:spacing w:val="-8"/>
        </w:rPr>
        <w:t> </w:t>
      </w:r>
      <w:r>
        <w:rPr>
          <w:color w:val="231F20"/>
          <w:spacing w:val="-2"/>
        </w:rPr>
        <w:t>armes</w:t>
      </w:r>
      <w:r>
        <w:rPr>
          <w:color w:val="231F20"/>
          <w:spacing w:val="-8"/>
        </w:rPr>
        <w:t> </w:t>
      </w:r>
      <w:r>
        <w:rPr>
          <w:color w:val="231F20"/>
          <w:spacing w:val="-2"/>
        </w:rPr>
        <w:t>depuis</w:t>
      </w:r>
      <w:r>
        <w:rPr>
          <w:color w:val="231F20"/>
          <w:spacing w:val="-8"/>
        </w:rPr>
        <w:t> </w:t>
      </w:r>
      <w:r>
        <w:rPr>
          <w:color w:val="231F20"/>
          <w:spacing w:val="-2"/>
        </w:rPr>
        <w:t>les</w:t>
      </w:r>
      <w:r>
        <w:rPr>
          <w:color w:val="231F20"/>
          <w:spacing w:val="-11"/>
        </w:rPr>
        <w:t> </w:t>
      </w:r>
      <w:r>
        <w:rPr>
          <w:color w:val="231F20"/>
          <w:spacing w:val="-2"/>
        </w:rPr>
        <w:t>pays</w:t>
      </w:r>
      <w:r>
        <w:rPr>
          <w:color w:val="231F20"/>
          <w:spacing w:val="-8"/>
        </w:rPr>
        <w:t> </w:t>
      </w:r>
      <w:r>
        <w:rPr>
          <w:color w:val="231F20"/>
          <w:spacing w:val="-2"/>
        </w:rPr>
        <w:t>voisins.</w:t>
      </w:r>
      <w:r>
        <w:rPr>
          <w:color w:val="231F20"/>
          <w:spacing w:val="-8"/>
        </w:rPr>
        <w:t> </w:t>
      </w:r>
      <w:r>
        <w:rPr>
          <w:color w:val="231F20"/>
          <w:spacing w:val="-2"/>
        </w:rPr>
        <w:t>Le</w:t>
      </w:r>
      <w:r>
        <w:rPr>
          <w:color w:val="231F20"/>
          <w:spacing w:val="-8"/>
        </w:rPr>
        <w:t> </w:t>
      </w:r>
      <w:r>
        <w:rPr>
          <w:color w:val="231F20"/>
          <w:spacing w:val="-2"/>
        </w:rPr>
        <w:t>5</w:t>
      </w:r>
      <w:r>
        <w:rPr>
          <w:color w:val="231F20"/>
          <w:spacing w:val="-8"/>
        </w:rPr>
        <w:t> </w:t>
      </w:r>
      <w:r>
        <w:rPr>
          <w:color w:val="231F20"/>
          <w:spacing w:val="-2"/>
        </w:rPr>
        <w:t>juin</w:t>
      </w:r>
      <w:r>
        <w:rPr>
          <w:color w:val="231F20"/>
          <w:spacing w:val="-8"/>
        </w:rPr>
        <w:t> </w:t>
      </w:r>
      <w:r>
        <w:rPr>
          <w:color w:val="231F20"/>
          <w:spacing w:val="-2"/>
        </w:rPr>
        <w:t>1997,</w:t>
      </w:r>
      <w:r>
        <w:rPr>
          <w:color w:val="231F20"/>
          <w:spacing w:val="-8"/>
        </w:rPr>
        <w:t> </w:t>
      </w:r>
      <w:r>
        <w:rPr>
          <w:color w:val="231F20"/>
          <w:spacing w:val="-2"/>
        </w:rPr>
        <w:t>des </w:t>
      </w:r>
      <w:r>
        <w:rPr>
          <w:color w:val="231F20"/>
        </w:rPr>
        <w:t>militaires gouvernementaux entourent sa résidence. Il déploie alors un </w:t>
      </w:r>
      <w:r>
        <w:rPr>
          <w:color w:val="231F20"/>
          <w:spacing w:val="-4"/>
        </w:rPr>
        <w:t>impressionnant</w:t>
      </w:r>
      <w:r>
        <w:rPr>
          <w:color w:val="231F20"/>
          <w:spacing w:val="-11"/>
        </w:rPr>
        <w:t> </w:t>
      </w:r>
      <w:r>
        <w:rPr>
          <w:color w:val="231F20"/>
          <w:spacing w:val="-4"/>
        </w:rPr>
        <w:t>armement</w:t>
      </w:r>
      <w:r>
        <w:rPr>
          <w:color w:val="231F20"/>
          <w:spacing w:val="-11"/>
        </w:rPr>
        <w:t> </w:t>
      </w:r>
      <w:r>
        <w:rPr>
          <w:color w:val="231F20"/>
          <w:spacing w:val="-4"/>
        </w:rPr>
        <w:t>(chars</w:t>
      </w:r>
      <w:r>
        <w:rPr>
          <w:color w:val="231F20"/>
          <w:spacing w:val="-11"/>
        </w:rPr>
        <w:t> </w:t>
      </w:r>
      <w:r>
        <w:rPr>
          <w:color w:val="231F20"/>
          <w:spacing w:val="-4"/>
        </w:rPr>
        <w:t>légers,</w:t>
      </w:r>
      <w:r>
        <w:rPr>
          <w:color w:val="231F20"/>
          <w:spacing w:val="-11"/>
        </w:rPr>
        <w:t> </w:t>
      </w:r>
      <w:r>
        <w:rPr>
          <w:color w:val="231F20"/>
          <w:spacing w:val="-4"/>
        </w:rPr>
        <w:t>canons)</w:t>
      </w:r>
      <w:r>
        <w:rPr>
          <w:color w:val="231F20"/>
          <w:spacing w:val="-11"/>
        </w:rPr>
        <w:t> </w:t>
      </w:r>
      <w:r>
        <w:rPr>
          <w:color w:val="231F20"/>
          <w:spacing w:val="-4"/>
        </w:rPr>
        <w:t>et</w:t>
      </w:r>
      <w:r>
        <w:rPr>
          <w:color w:val="231F20"/>
          <w:spacing w:val="-10"/>
        </w:rPr>
        <w:t> </w:t>
      </w:r>
      <w:r>
        <w:rPr>
          <w:color w:val="231F20"/>
          <w:spacing w:val="-4"/>
        </w:rPr>
        <w:t>ses</w:t>
      </w:r>
      <w:r>
        <w:rPr>
          <w:color w:val="231F20"/>
          <w:spacing w:val="-10"/>
        </w:rPr>
        <w:t> </w:t>
      </w:r>
      <w:r>
        <w:rPr>
          <w:color w:val="231F20"/>
          <w:spacing w:val="-4"/>
        </w:rPr>
        <w:t>troupes</w:t>
      </w:r>
      <w:r>
        <w:rPr>
          <w:color w:val="231F20"/>
          <w:spacing w:val="-11"/>
        </w:rPr>
        <w:t> </w:t>
      </w:r>
      <w:r>
        <w:rPr>
          <w:color w:val="231F20"/>
          <w:spacing w:val="-4"/>
        </w:rPr>
        <w:t>combattent </w:t>
      </w:r>
      <w:r>
        <w:rPr>
          <w:color w:val="231F20"/>
        </w:rPr>
        <w:t>l’Armée</w:t>
      </w:r>
      <w:r>
        <w:rPr>
          <w:color w:val="231F20"/>
          <w:spacing w:val="-9"/>
        </w:rPr>
        <w:t> </w:t>
      </w:r>
      <w:r>
        <w:rPr>
          <w:color w:val="231F20"/>
        </w:rPr>
        <w:t>congolaise.</w:t>
      </w:r>
      <w:r>
        <w:rPr>
          <w:color w:val="231F20"/>
          <w:spacing w:val="-9"/>
        </w:rPr>
        <w:t> </w:t>
      </w:r>
      <w:r>
        <w:rPr>
          <w:color w:val="231F20"/>
        </w:rPr>
        <w:t>Le</w:t>
      </w:r>
      <w:r>
        <w:rPr>
          <w:color w:val="231F20"/>
          <w:spacing w:val="-9"/>
        </w:rPr>
        <w:t> </w:t>
      </w:r>
      <w:r>
        <w:rPr>
          <w:color w:val="231F20"/>
        </w:rPr>
        <w:t>15</w:t>
      </w:r>
      <w:r>
        <w:rPr>
          <w:color w:val="231F20"/>
          <w:spacing w:val="-9"/>
        </w:rPr>
        <w:t> </w:t>
      </w:r>
      <w:r>
        <w:rPr>
          <w:color w:val="231F20"/>
        </w:rPr>
        <w:t>octobre</w:t>
      </w:r>
      <w:r>
        <w:rPr>
          <w:color w:val="231F20"/>
          <w:spacing w:val="-9"/>
        </w:rPr>
        <w:t> </w:t>
      </w:r>
      <w:r>
        <w:rPr>
          <w:color w:val="231F20"/>
        </w:rPr>
        <w:t>1997,</w:t>
      </w:r>
      <w:r>
        <w:rPr>
          <w:color w:val="231F20"/>
          <w:spacing w:val="-11"/>
        </w:rPr>
        <w:t> </w:t>
      </w:r>
      <w:r>
        <w:rPr>
          <w:color w:val="231F20"/>
        </w:rPr>
        <w:t>la</w:t>
      </w:r>
      <w:r>
        <w:rPr>
          <w:color w:val="231F20"/>
          <w:spacing w:val="-9"/>
        </w:rPr>
        <w:t> </w:t>
      </w:r>
      <w:r>
        <w:rPr>
          <w:color w:val="231F20"/>
        </w:rPr>
        <w:t>guerre</w:t>
      </w:r>
      <w:r>
        <w:rPr>
          <w:color w:val="231F20"/>
          <w:spacing w:val="-9"/>
        </w:rPr>
        <w:t> </w:t>
      </w:r>
      <w:r>
        <w:rPr>
          <w:color w:val="231F20"/>
        </w:rPr>
        <w:t>civile</w:t>
      </w:r>
      <w:r>
        <w:rPr>
          <w:color w:val="231F20"/>
          <w:spacing w:val="-11"/>
        </w:rPr>
        <w:t> </w:t>
      </w:r>
      <w:r>
        <w:rPr>
          <w:color w:val="231F20"/>
        </w:rPr>
        <w:t>du</w:t>
      </w:r>
      <w:r>
        <w:rPr>
          <w:color w:val="231F20"/>
          <w:spacing w:val="-9"/>
        </w:rPr>
        <w:t> </w:t>
      </w:r>
      <w:r>
        <w:rPr>
          <w:color w:val="231F20"/>
        </w:rPr>
        <w:t>Congo</w:t>
      </w:r>
      <w:r>
        <w:rPr>
          <w:color w:val="231F20"/>
          <w:spacing w:val="-9"/>
        </w:rPr>
        <w:t> </w:t>
      </w:r>
      <w:r>
        <w:rPr>
          <w:color w:val="231F20"/>
        </w:rPr>
        <w:t>voit la victoire de Denis Sassou-Nguesso, aidé par des troupes Angolaises. Pascal Lissouba</w:t>
      </w:r>
      <w:r>
        <w:rPr>
          <w:color w:val="231F20"/>
          <w:spacing w:val="-2"/>
        </w:rPr>
        <w:t> </w:t>
      </w:r>
      <w:r>
        <w:rPr>
          <w:color w:val="231F20"/>
        </w:rPr>
        <w:t>quitte</w:t>
      </w:r>
      <w:r>
        <w:rPr>
          <w:color w:val="231F20"/>
          <w:spacing w:val="-2"/>
        </w:rPr>
        <w:t> </w:t>
      </w:r>
      <w:r>
        <w:rPr>
          <w:color w:val="231F20"/>
        </w:rPr>
        <w:t>le</w:t>
      </w:r>
      <w:r>
        <w:rPr>
          <w:color w:val="231F20"/>
          <w:spacing w:val="-3"/>
        </w:rPr>
        <w:t> </w:t>
      </w:r>
      <w:r>
        <w:rPr>
          <w:color w:val="231F20"/>
        </w:rPr>
        <w:t>pouvoir et</w:t>
      </w:r>
      <w:r>
        <w:rPr>
          <w:color w:val="231F20"/>
          <w:spacing w:val="-2"/>
        </w:rPr>
        <w:t> </w:t>
      </w:r>
      <w:r>
        <w:rPr>
          <w:color w:val="231F20"/>
        </w:rPr>
        <w:t>part en</w:t>
      </w:r>
      <w:r>
        <w:rPr>
          <w:color w:val="231F20"/>
          <w:spacing w:val="-2"/>
        </w:rPr>
        <w:t> </w:t>
      </w:r>
      <w:r>
        <w:rPr>
          <w:color w:val="231F20"/>
        </w:rPr>
        <w:t>exil.</w:t>
      </w:r>
    </w:p>
    <w:p>
      <w:pPr>
        <w:pStyle w:val="BodyText"/>
        <w:spacing w:before="121"/>
        <w:ind w:left="112" w:right="108" w:firstLine="283"/>
      </w:pPr>
      <w:r>
        <w:rPr>
          <w:color w:val="231F20"/>
        </w:rPr>
        <w:t>Sassou devenu président, abroge la Constitution de 1992 et met en place</w:t>
      </w:r>
      <w:r>
        <w:rPr>
          <w:color w:val="231F20"/>
          <w:spacing w:val="-15"/>
        </w:rPr>
        <w:t> </w:t>
      </w:r>
      <w:r>
        <w:rPr>
          <w:color w:val="231F20"/>
        </w:rPr>
        <w:t>des</w:t>
      </w:r>
      <w:r>
        <w:rPr>
          <w:color w:val="231F20"/>
          <w:spacing w:val="-15"/>
        </w:rPr>
        <w:t> </w:t>
      </w:r>
      <w:r>
        <w:rPr>
          <w:color w:val="231F20"/>
        </w:rPr>
        <w:t>instances</w:t>
      </w:r>
      <w:r>
        <w:rPr>
          <w:color w:val="231F20"/>
          <w:spacing w:val="-15"/>
        </w:rPr>
        <w:t> </w:t>
      </w:r>
      <w:r>
        <w:rPr>
          <w:color w:val="231F20"/>
        </w:rPr>
        <w:t>provisoires</w:t>
      </w:r>
      <w:r>
        <w:rPr>
          <w:color w:val="231F20"/>
          <w:spacing w:val="-15"/>
        </w:rPr>
        <w:t> </w:t>
      </w:r>
      <w:r>
        <w:rPr>
          <w:color w:val="231F20"/>
        </w:rPr>
        <w:t>de</w:t>
      </w:r>
      <w:r>
        <w:rPr>
          <w:color w:val="231F20"/>
          <w:spacing w:val="-15"/>
        </w:rPr>
        <w:t> </w:t>
      </w:r>
      <w:r>
        <w:rPr>
          <w:color w:val="231F20"/>
        </w:rPr>
        <w:t>gouvernement,</w:t>
      </w:r>
      <w:r>
        <w:rPr>
          <w:color w:val="231F20"/>
          <w:spacing w:val="-15"/>
        </w:rPr>
        <w:t> </w:t>
      </w:r>
      <w:r>
        <w:rPr>
          <w:color w:val="231F20"/>
        </w:rPr>
        <w:t>notamment</w:t>
      </w:r>
      <w:r>
        <w:rPr>
          <w:color w:val="231F20"/>
          <w:spacing w:val="-15"/>
        </w:rPr>
        <w:t> </w:t>
      </w:r>
      <w:r>
        <w:rPr>
          <w:color w:val="231F20"/>
        </w:rPr>
        <w:t>le</w:t>
      </w:r>
      <w:r>
        <w:rPr>
          <w:color w:val="231F20"/>
          <w:spacing w:val="-15"/>
        </w:rPr>
        <w:t> </w:t>
      </w:r>
      <w:r>
        <w:rPr>
          <w:color w:val="231F20"/>
        </w:rPr>
        <w:t>Conseil National de Transition (CNT).</w:t>
      </w:r>
    </w:p>
    <w:p>
      <w:pPr>
        <w:pStyle w:val="BodyText"/>
        <w:spacing w:before="120"/>
        <w:ind w:left="112" w:right="103" w:firstLine="283"/>
      </w:pPr>
      <w:r>
        <w:rPr>
          <w:color w:val="231F20"/>
        </w:rPr>
        <w:t>Le conflit reprend fin 1998. La population des quartiers sud de Brazzaville doit fuir en décembre 1998</w:t>
      </w:r>
      <w:r>
        <w:rPr>
          <w:color w:val="231F20"/>
          <w:spacing w:val="-14"/>
        </w:rPr>
        <w:t> </w:t>
      </w:r>
      <w:r>
        <w:rPr>
          <w:color w:val="231F20"/>
        </w:rPr>
        <w:t>; l’Armée y mène ensuite une opération</w:t>
      </w:r>
      <w:r>
        <w:rPr>
          <w:color w:val="231F20"/>
          <w:spacing w:val="-3"/>
        </w:rPr>
        <w:t> </w:t>
      </w:r>
      <w:r>
        <w:rPr>
          <w:color w:val="231F20"/>
        </w:rPr>
        <w:t>de</w:t>
      </w:r>
      <w:r>
        <w:rPr>
          <w:color w:val="231F20"/>
          <w:spacing w:val="-3"/>
        </w:rPr>
        <w:t> </w:t>
      </w:r>
      <w:r>
        <w:rPr>
          <w:color w:val="231F20"/>
        </w:rPr>
        <w:t>«</w:t>
      </w:r>
      <w:r>
        <w:rPr>
          <w:color w:val="231F20"/>
          <w:spacing w:val="-4"/>
        </w:rPr>
        <w:t> </w:t>
      </w:r>
      <w:r>
        <w:rPr>
          <w:color w:val="231F20"/>
        </w:rPr>
        <w:t>nettoyage</w:t>
      </w:r>
      <w:r>
        <w:rPr>
          <w:color w:val="231F20"/>
          <w:spacing w:val="-6"/>
        </w:rPr>
        <w:t> </w:t>
      </w:r>
      <w:r>
        <w:rPr>
          <w:color w:val="231F20"/>
        </w:rPr>
        <w:t>»</w:t>
      </w:r>
      <w:r>
        <w:rPr>
          <w:color w:val="231F20"/>
          <w:spacing w:val="-3"/>
        </w:rPr>
        <w:t> </w:t>
      </w:r>
      <w:r>
        <w:rPr>
          <w:color w:val="231F20"/>
        </w:rPr>
        <w:t>qui</w:t>
      </w:r>
      <w:r>
        <w:rPr>
          <w:color w:val="231F20"/>
          <w:spacing w:val="-4"/>
        </w:rPr>
        <w:t> </w:t>
      </w:r>
      <w:r>
        <w:rPr>
          <w:color w:val="231F20"/>
        </w:rPr>
        <w:t>fait</w:t>
      </w:r>
      <w:r>
        <w:rPr>
          <w:color w:val="231F20"/>
          <w:spacing w:val="-6"/>
        </w:rPr>
        <w:t> </w:t>
      </w:r>
      <w:r>
        <w:rPr>
          <w:color w:val="231F20"/>
        </w:rPr>
        <w:t>de</w:t>
      </w:r>
      <w:r>
        <w:rPr>
          <w:color w:val="231F20"/>
          <w:spacing w:val="-3"/>
        </w:rPr>
        <w:t> </w:t>
      </w:r>
      <w:r>
        <w:rPr>
          <w:color w:val="231F20"/>
        </w:rPr>
        <w:t>nombreuses</w:t>
      </w:r>
      <w:r>
        <w:rPr>
          <w:color w:val="231F20"/>
          <w:spacing w:val="-5"/>
        </w:rPr>
        <w:t> </w:t>
      </w:r>
      <w:r>
        <w:rPr>
          <w:color w:val="231F20"/>
        </w:rPr>
        <w:t>victimes.</w:t>
      </w:r>
    </w:p>
    <w:p>
      <w:pPr>
        <w:pStyle w:val="BodyText"/>
        <w:spacing w:before="121"/>
        <w:ind w:left="112" w:right="104" w:firstLine="283"/>
      </w:pPr>
      <w:r>
        <w:rPr>
          <w:color w:val="231F20"/>
          <w:spacing w:val="-2"/>
        </w:rPr>
        <w:t>En</w:t>
      </w:r>
      <w:r>
        <w:rPr>
          <w:color w:val="231F20"/>
          <w:spacing w:val="-13"/>
        </w:rPr>
        <w:t> </w:t>
      </w:r>
      <w:r>
        <w:rPr>
          <w:color w:val="231F20"/>
          <w:spacing w:val="-2"/>
        </w:rPr>
        <w:t>2002</w:t>
      </w:r>
      <w:r>
        <w:rPr>
          <w:color w:val="231F20"/>
          <w:spacing w:val="-13"/>
        </w:rPr>
        <w:t> </w:t>
      </w:r>
      <w:r>
        <w:rPr>
          <w:color w:val="231F20"/>
          <w:spacing w:val="-2"/>
        </w:rPr>
        <w:t>est</w:t>
      </w:r>
      <w:r>
        <w:rPr>
          <w:color w:val="231F20"/>
          <w:spacing w:val="-13"/>
        </w:rPr>
        <w:t> </w:t>
      </w:r>
      <w:r>
        <w:rPr>
          <w:color w:val="231F20"/>
          <w:spacing w:val="-2"/>
        </w:rPr>
        <w:t>adoptée</w:t>
      </w:r>
      <w:r>
        <w:rPr>
          <w:color w:val="231F20"/>
          <w:spacing w:val="-13"/>
        </w:rPr>
        <w:t> </w:t>
      </w:r>
      <w:r>
        <w:rPr>
          <w:color w:val="231F20"/>
          <w:spacing w:val="-2"/>
        </w:rPr>
        <w:t>une</w:t>
      </w:r>
      <w:r>
        <w:rPr>
          <w:color w:val="231F20"/>
          <w:spacing w:val="-13"/>
        </w:rPr>
        <w:t> </w:t>
      </w:r>
      <w:r>
        <w:rPr>
          <w:color w:val="231F20"/>
          <w:spacing w:val="-2"/>
        </w:rPr>
        <w:t>nouvelle</w:t>
      </w:r>
      <w:r>
        <w:rPr>
          <w:color w:val="231F20"/>
          <w:spacing w:val="-13"/>
        </w:rPr>
        <w:t> </w:t>
      </w:r>
      <w:r>
        <w:rPr>
          <w:color w:val="231F20"/>
          <w:spacing w:val="-2"/>
        </w:rPr>
        <w:t>Constitution.</w:t>
      </w:r>
      <w:r>
        <w:rPr>
          <w:color w:val="231F20"/>
          <w:spacing w:val="-13"/>
        </w:rPr>
        <w:t> </w:t>
      </w:r>
      <w:r>
        <w:rPr>
          <w:color w:val="231F20"/>
          <w:spacing w:val="-2"/>
        </w:rPr>
        <w:t>Elle</w:t>
      </w:r>
      <w:r>
        <w:rPr>
          <w:color w:val="231F20"/>
          <w:spacing w:val="-13"/>
        </w:rPr>
        <w:t> </w:t>
      </w:r>
      <w:r>
        <w:rPr>
          <w:color w:val="231F20"/>
          <w:spacing w:val="-2"/>
        </w:rPr>
        <w:t>supprime</w:t>
      </w:r>
      <w:r>
        <w:rPr>
          <w:color w:val="231F20"/>
          <w:spacing w:val="-13"/>
        </w:rPr>
        <w:t> </w:t>
      </w:r>
      <w:r>
        <w:rPr>
          <w:color w:val="231F20"/>
          <w:spacing w:val="-2"/>
        </w:rPr>
        <w:t>le</w:t>
      </w:r>
      <w:r>
        <w:rPr>
          <w:color w:val="231F20"/>
          <w:spacing w:val="-13"/>
        </w:rPr>
        <w:t> </w:t>
      </w:r>
      <w:r>
        <w:rPr>
          <w:color w:val="231F20"/>
          <w:spacing w:val="-2"/>
        </w:rPr>
        <w:t>poste </w:t>
      </w:r>
      <w:r>
        <w:rPr>
          <w:color w:val="231F20"/>
        </w:rPr>
        <w:t>de Premier Ministre et renforce les pouvoirs du Président de la République.</w:t>
      </w:r>
      <w:r>
        <w:rPr>
          <w:color w:val="231F20"/>
          <w:spacing w:val="-7"/>
        </w:rPr>
        <w:t> </w:t>
      </w:r>
      <w:r>
        <w:rPr>
          <w:color w:val="231F20"/>
        </w:rPr>
        <w:t>Le</w:t>
      </w:r>
      <w:r>
        <w:rPr>
          <w:color w:val="231F20"/>
          <w:spacing w:val="-9"/>
        </w:rPr>
        <w:t> </w:t>
      </w:r>
      <w:r>
        <w:rPr>
          <w:color w:val="231F20"/>
        </w:rPr>
        <w:t>Président</w:t>
      </w:r>
      <w:r>
        <w:rPr>
          <w:color w:val="231F20"/>
          <w:spacing w:val="-8"/>
        </w:rPr>
        <w:t> </w:t>
      </w:r>
      <w:r>
        <w:rPr>
          <w:color w:val="231F20"/>
        </w:rPr>
        <w:t>est</w:t>
      </w:r>
      <w:r>
        <w:rPr>
          <w:color w:val="231F20"/>
          <w:spacing w:val="-7"/>
        </w:rPr>
        <w:t> </w:t>
      </w:r>
      <w:r>
        <w:rPr>
          <w:color w:val="231F20"/>
        </w:rPr>
        <w:t>élu</w:t>
      </w:r>
      <w:r>
        <w:rPr>
          <w:color w:val="231F20"/>
          <w:spacing w:val="-8"/>
        </w:rPr>
        <w:t> </w:t>
      </w:r>
      <w:r>
        <w:rPr>
          <w:color w:val="231F20"/>
        </w:rPr>
        <w:t>pour</w:t>
      </w:r>
      <w:r>
        <w:rPr>
          <w:color w:val="231F20"/>
          <w:spacing w:val="-7"/>
        </w:rPr>
        <w:t> </w:t>
      </w:r>
      <w:r>
        <w:rPr>
          <w:color w:val="231F20"/>
        </w:rPr>
        <w:t>un</w:t>
      </w:r>
      <w:r>
        <w:rPr>
          <w:color w:val="231F20"/>
          <w:spacing w:val="-7"/>
        </w:rPr>
        <w:t> </w:t>
      </w:r>
      <w:r>
        <w:rPr>
          <w:color w:val="231F20"/>
        </w:rPr>
        <w:t>Mandat</w:t>
      </w:r>
      <w:r>
        <w:rPr>
          <w:color w:val="231F20"/>
          <w:spacing w:val="-9"/>
        </w:rPr>
        <w:t> </w:t>
      </w:r>
      <w:r>
        <w:rPr>
          <w:color w:val="231F20"/>
        </w:rPr>
        <w:t>de</w:t>
      </w:r>
      <w:r>
        <w:rPr>
          <w:color w:val="231F20"/>
          <w:spacing w:val="-7"/>
        </w:rPr>
        <w:t> </w:t>
      </w:r>
      <w:r>
        <w:rPr>
          <w:color w:val="231F20"/>
        </w:rPr>
        <w:t>7</w:t>
      </w:r>
      <w:r>
        <w:rPr>
          <w:color w:val="231F20"/>
          <w:spacing w:val="-7"/>
        </w:rPr>
        <w:t> </w:t>
      </w:r>
      <w:r>
        <w:rPr>
          <w:color w:val="231F20"/>
        </w:rPr>
        <w:t>ans</w:t>
      </w:r>
      <w:r>
        <w:rPr>
          <w:color w:val="231F20"/>
          <w:spacing w:val="-8"/>
        </w:rPr>
        <w:t> </w:t>
      </w:r>
      <w:r>
        <w:rPr>
          <w:color w:val="231F20"/>
        </w:rPr>
        <w:t>renouvelable une seule fois. La même année a lieu l’élection du Président de la République</w:t>
      </w:r>
      <w:r>
        <w:rPr>
          <w:color w:val="231F20"/>
          <w:spacing w:val="-5"/>
        </w:rPr>
        <w:t> </w:t>
      </w:r>
      <w:r>
        <w:rPr>
          <w:color w:val="231F20"/>
        </w:rPr>
        <w:t>;</w:t>
      </w:r>
      <w:r>
        <w:rPr>
          <w:color w:val="231F20"/>
          <w:spacing w:val="-4"/>
        </w:rPr>
        <w:t> </w:t>
      </w:r>
      <w:r>
        <w:rPr>
          <w:color w:val="231F20"/>
        </w:rPr>
        <w:t>Denis</w:t>
      </w:r>
      <w:r>
        <w:rPr>
          <w:color w:val="231F20"/>
          <w:spacing w:val="-7"/>
        </w:rPr>
        <w:t> </w:t>
      </w:r>
      <w:r>
        <w:rPr>
          <w:color w:val="231F20"/>
        </w:rPr>
        <w:t>Sassou-Nguesso</w:t>
      </w:r>
      <w:r>
        <w:rPr>
          <w:color w:val="231F20"/>
          <w:spacing w:val="-7"/>
        </w:rPr>
        <w:t> </w:t>
      </w:r>
      <w:r>
        <w:rPr>
          <w:color w:val="231F20"/>
        </w:rPr>
        <w:t>est</w:t>
      </w:r>
      <w:r>
        <w:rPr>
          <w:color w:val="231F20"/>
          <w:spacing w:val="-6"/>
        </w:rPr>
        <w:t> </w:t>
      </w:r>
      <w:r>
        <w:rPr>
          <w:color w:val="231F20"/>
        </w:rPr>
        <w:t>reconduit</w:t>
      </w:r>
      <w:r>
        <w:rPr>
          <w:color w:val="231F20"/>
          <w:spacing w:val="-4"/>
        </w:rPr>
        <w:t> </w:t>
      </w:r>
      <w:r>
        <w:rPr>
          <w:color w:val="231F20"/>
        </w:rPr>
        <w:t>à</w:t>
      </w:r>
      <w:r>
        <w:rPr>
          <w:color w:val="231F20"/>
          <w:spacing w:val="-8"/>
        </w:rPr>
        <w:t> </w:t>
      </w:r>
      <w:r>
        <w:rPr>
          <w:color w:val="231F20"/>
        </w:rPr>
        <w:t>son</w:t>
      </w:r>
      <w:r>
        <w:rPr>
          <w:color w:val="231F20"/>
          <w:spacing w:val="-7"/>
        </w:rPr>
        <w:t> </w:t>
      </w:r>
      <w:r>
        <w:rPr>
          <w:color w:val="231F20"/>
        </w:rPr>
        <w:t>poste.</w:t>
      </w:r>
    </w:p>
    <w:p>
      <w:pPr>
        <w:pStyle w:val="BodyText"/>
        <w:spacing w:before="120"/>
        <w:ind w:left="112" w:right="105" w:firstLine="283"/>
      </w:pPr>
      <w:r>
        <w:rPr>
          <w:color w:val="231F20"/>
        </w:rPr>
        <w:t>En</w:t>
      </w:r>
      <w:r>
        <w:rPr>
          <w:color w:val="231F20"/>
          <w:spacing w:val="-1"/>
        </w:rPr>
        <w:t> </w:t>
      </w:r>
      <w:r>
        <w:rPr>
          <w:color w:val="231F20"/>
        </w:rPr>
        <w:t>2015,</w:t>
      </w:r>
      <w:r>
        <w:rPr>
          <w:color w:val="231F20"/>
          <w:spacing w:val="-3"/>
        </w:rPr>
        <w:t> </w:t>
      </w:r>
      <w:r>
        <w:rPr>
          <w:color w:val="231F20"/>
        </w:rPr>
        <w:t>il</w:t>
      </w:r>
      <w:r>
        <w:rPr>
          <w:color w:val="231F20"/>
          <w:spacing w:val="-3"/>
        </w:rPr>
        <w:t> </w:t>
      </w:r>
      <w:r>
        <w:rPr>
          <w:color w:val="231F20"/>
        </w:rPr>
        <w:t>propose</w:t>
      </w:r>
      <w:r>
        <w:rPr>
          <w:color w:val="231F20"/>
          <w:spacing w:val="-1"/>
        </w:rPr>
        <w:t> </w:t>
      </w:r>
      <w:r>
        <w:rPr>
          <w:color w:val="231F20"/>
        </w:rPr>
        <w:t>de</w:t>
      </w:r>
      <w:r>
        <w:rPr>
          <w:color w:val="231F20"/>
          <w:spacing w:val="-3"/>
        </w:rPr>
        <w:t> </w:t>
      </w:r>
      <w:r>
        <w:rPr>
          <w:color w:val="231F20"/>
        </w:rPr>
        <w:t>modifier</w:t>
      </w:r>
      <w:r>
        <w:rPr>
          <w:color w:val="231F20"/>
          <w:spacing w:val="-3"/>
        </w:rPr>
        <w:t> </w:t>
      </w:r>
      <w:r>
        <w:rPr>
          <w:color w:val="231F20"/>
        </w:rPr>
        <w:t>la</w:t>
      </w:r>
      <w:r>
        <w:rPr>
          <w:color w:val="231F20"/>
          <w:spacing w:val="-3"/>
        </w:rPr>
        <w:t> </w:t>
      </w:r>
      <w:r>
        <w:rPr>
          <w:color w:val="231F20"/>
        </w:rPr>
        <w:t>Constitution. L’opposition</w:t>
      </w:r>
      <w:r>
        <w:rPr>
          <w:color w:val="231F20"/>
          <w:spacing w:val="-3"/>
        </w:rPr>
        <w:t> </w:t>
      </w:r>
      <w:r>
        <w:rPr>
          <w:color w:val="231F20"/>
        </w:rPr>
        <w:t>y</w:t>
      </w:r>
      <w:r>
        <w:rPr>
          <w:color w:val="231F20"/>
          <w:spacing w:val="-1"/>
        </w:rPr>
        <w:t> </w:t>
      </w:r>
      <w:r>
        <w:rPr>
          <w:color w:val="231F20"/>
        </w:rPr>
        <w:t>voit une</w:t>
      </w:r>
      <w:r>
        <w:rPr>
          <w:color w:val="231F20"/>
          <w:spacing w:val="-12"/>
        </w:rPr>
        <w:t> </w:t>
      </w:r>
      <w:r>
        <w:rPr>
          <w:color w:val="231F20"/>
        </w:rPr>
        <w:t>manœuvre</w:t>
      </w:r>
      <w:r>
        <w:rPr>
          <w:color w:val="231F20"/>
          <w:spacing w:val="-12"/>
        </w:rPr>
        <w:t> </w:t>
      </w:r>
      <w:r>
        <w:rPr>
          <w:color w:val="231F20"/>
        </w:rPr>
        <w:t>pour</w:t>
      </w:r>
      <w:r>
        <w:rPr>
          <w:color w:val="231F20"/>
          <w:spacing w:val="-12"/>
        </w:rPr>
        <w:t> </w:t>
      </w:r>
      <w:r>
        <w:rPr>
          <w:color w:val="231F20"/>
        </w:rPr>
        <w:t>se</w:t>
      </w:r>
      <w:r>
        <w:rPr>
          <w:color w:val="231F20"/>
          <w:spacing w:val="-12"/>
        </w:rPr>
        <w:t> </w:t>
      </w:r>
      <w:r>
        <w:rPr>
          <w:color w:val="231F20"/>
        </w:rPr>
        <w:t>présenter</w:t>
      </w:r>
      <w:r>
        <w:rPr>
          <w:color w:val="231F20"/>
          <w:spacing w:val="-12"/>
        </w:rPr>
        <w:t> </w:t>
      </w:r>
      <w:r>
        <w:rPr>
          <w:color w:val="231F20"/>
        </w:rPr>
        <w:t>une</w:t>
      </w:r>
      <w:r>
        <w:rPr>
          <w:color w:val="231F20"/>
          <w:spacing w:val="-12"/>
        </w:rPr>
        <w:t> </w:t>
      </w:r>
      <w:r>
        <w:rPr>
          <w:color w:val="231F20"/>
        </w:rPr>
        <w:t>troisième</w:t>
      </w:r>
      <w:r>
        <w:rPr>
          <w:color w:val="231F20"/>
          <w:spacing w:val="-12"/>
        </w:rPr>
        <w:t> </w:t>
      </w:r>
      <w:r>
        <w:rPr>
          <w:color w:val="231F20"/>
        </w:rPr>
        <w:t>fois</w:t>
      </w:r>
      <w:r>
        <w:rPr>
          <w:color w:val="231F20"/>
          <w:spacing w:val="-14"/>
        </w:rPr>
        <w:t> </w:t>
      </w:r>
      <w:r>
        <w:rPr>
          <w:color w:val="231F20"/>
        </w:rPr>
        <w:t>à</w:t>
      </w:r>
      <w:r>
        <w:rPr>
          <w:color w:val="231F20"/>
          <w:spacing w:val="-12"/>
        </w:rPr>
        <w:t> </w:t>
      </w:r>
      <w:r>
        <w:rPr>
          <w:color w:val="231F20"/>
        </w:rPr>
        <w:t>la</w:t>
      </w:r>
      <w:r>
        <w:rPr>
          <w:color w:val="231F20"/>
          <w:spacing w:val="-12"/>
        </w:rPr>
        <w:t> </w:t>
      </w:r>
      <w:r>
        <w:rPr>
          <w:color w:val="231F20"/>
        </w:rPr>
        <w:t>Présidence</w:t>
      </w:r>
      <w:r>
        <w:rPr>
          <w:color w:val="231F20"/>
          <w:spacing w:val="-12"/>
        </w:rPr>
        <w:t> </w:t>
      </w:r>
      <w:r>
        <w:rPr>
          <w:color w:val="231F20"/>
        </w:rPr>
        <w:t>de</w:t>
      </w:r>
      <w:r>
        <w:rPr>
          <w:color w:val="231F20"/>
          <w:spacing w:val="-12"/>
        </w:rPr>
        <w:t> </w:t>
      </w:r>
      <w:r>
        <w:rPr>
          <w:color w:val="231F20"/>
        </w:rPr>
        <w:t>la </w:t>
      </w:r>
      <w:r>
        <w:rPr>
          <w:color w:val="231F20"/>
          <w:spacing w:val="-4"/>
        </w:rPr>
        <w:t>République,</w:t>
      </w:r>
      <w:r>
        <w:rPr>
          <w:color w:val="231F20"/>
          <w:spacing w:val="-7"/>
        </w:rPr>
        <w:t> </w:t>
      </w:r>
      <w:r>
        <w:rPr>
          <w:color w:val="231F20"/>
          <w:spacing w:val="-4"/>
        </w:rPr>
        <w:t>le</w:t>
      </w:r>
      <w:r>
        <w:rPr>
          <w:color w:val="231F20"/>
          <w:spacing w:val="-7"/>
        </w:rPr>
        <w:t> </w:t>
      </w:r>
      <w:r>
        <w:rPr>
          <w:color w:val="231F20"/>
          <w:spacing w:val="-4"/>
        </w:rPr>
        <w:t>nombre de</w:t>
      </w:r>
      <w:r>
        <w:rPr>
          <w:color w:val="231F20"/>
          <w:spacing w:val="-10"/>
        </w:rPr>
        <w:t> </w:t>
      </w:r>
      <w:r>
        <w:rPr>
          <w:color w:val="231F20"/>
          <w:spacing w:val="-4"/>
        </w:rPr>
        <w:t>mandats</w:t>
      </w:r>
      <w:r>
        <w:rPr>
          <w:color w:val="231F20"/>
          <w:spacing w:val="-7"/>
        </w:rPr>
        <w:t> </w:t>
      </w:r>
      <w:r>
        <w:rPr>
          <w:color w:val="231F20"/>
          <w:spacing w:val="-4"/>
        </w:rPr>
        <w:t>étant</w:t>
      </w:r>
      <w:r>
        <w:rPr>
          <w:color w:val="231F20"/>
          <w:spacing w:val="-6"/>
        </w:rPr>
        <w:t> </w:t>
      </w:r>
      <w:r>
        <w:rPr>
          <w:color w:val="231F20"/>
          <w:spacing w:val="-4"/>
        </w:rPr>
        <w:t>limité</w:t>
      </w:r>
      <w:r>
        <w:rPr>
          <w:color w:val="231F20"/>
          <w:spacing w:val="-7"/>
        </w:rPr>
        <w:t> </w:t>
      </w:r>
      <w:r>
        <w:rPr>
          <w:color w:val="231F20"/>
          <w:spacing w:val="-4"/>
        </w:rPr>
        <w:t>à</w:t>
      </w:r>
      <w:r>
        <w:rPr>
          <w:color w:val="231F20"/>
          <w:spacing w:val="-5"/>
        </w:rPr>
        <w:t> </w:t>
      </w:r>
      <w:r>
        <w:rPr>
          <w:color w:val="231F20"/>
          <w:spacing w:val="-4"/>
        </w:rPr>
        <w:t>deux par</w:t>
      </w:r>
      <w:r>
        <w:rPr>
          <w:color w:val="231F20"/>
          <w:spacing w:val="-7"/>
        </w:rPr>
        <w:t> </w:t>
      </w:r>
      <w:r>
        <w:rPr>
          <w:color w:val="231F20"/>
          <w:spacing w:val="-4"/>
        </w:rPr>
        <w:t>la</w:t>
      </w:r>
      <w:r>
        <w:rPr>
          <w:color w:val="231F20"/>
          <w:spacing w:val="-7"/>
        </w:rPr>
        <w:t> </w:t>
      </w:r>
      <w:r>
        <w:rPr>
          <w:color w:val="231F20"/>
          <w:spacing w:val="-4"/>
        </w:rPr>
        <w:t>Constitution. </w:t>
      </w:r>
      <w:r>
        <w:rPr>
          <w:color w:val="231F20"/>
        </w:rPr>
        <w:t>Dénoncée comme une "tricherie" par l'opposition, la nouvelle Constitution est adoptée à plus de 92 % par référendum l'issue du référendum du 25 octobre et entre en vigueur le 6 novembre 2015. La précédente constitution limitait à deux le nombre de mandats que peut </w:t>
      </w:r>
      <w:r>
        <w:rPr>
          <w:color w:val="231F20"/>
          <w:spacing w:val="-2"/>
        </w:rPr>
        <w:t>exercer</w:t>
      </w:r>
      <w:r>
        <w:rPr>
          <w:color w:val="231F20"/>
          <w:spacing w:val="-8"/>
        </w:rPr>
        <w:t> </w:t>
      </w:r>
      <w:r>
        <w:rPr>
          <w:color w:val="231F20"/>
          <w:spacing w:val="-2"/>
        </w:rPr>
        <w:t>un</w:t>
      </w:r>
      <w:r>
        <w:rPr>
          <w:color w:val="231F20"/>
          <w:spacing w:val="-8"/>
        </w:rPr>
        <w:t> </w:t>
      </w:r>
      <w:r>
        <w:rPr>
          <w:color w:val="231F20"/>
          <w:spacing w:val="-2"/>
        </w:rPr>
        <w:t>chef</w:t>
      </w:r>
      <w:r>
        <w:rPr>
          <w:color w:val="231F20"/>
          <w:spacing w:val="-8"/>
        </w:rPr>
        <w:t> </w:t>
      </w:r>
      <w:r>
        <w:rPr>
          <w:color w:val="231F20"/>
          <w:spacing w:val="-2"/>
        </w:rPr>
        <w:t>de</w:t>
      </w:r>
      <w:r>
        <w:rPr>
          <w:color w:val="231F20"/>
          <w:spacing w:val="-9"/>
        </w:rPr>
        <w:t> </w:t>
      </w:r>
      <w:r>
        <w:rPr>
          <w:color w:val="231F20"/>
          <w:spacing w:val="-2"/>
        </w:rPr>
        <w:t>l'État,</w:t>
      </w:r>
      <w:r>
        <w:rPr>
          <w:color w:val="231F20"/>
          <w:spacing w:val="-12"/>
        </w:rPr>
        <w:t> </w:t>
      </w:r>
      <w:r>
        <w:rPr>
          <w:color w:val="231F20"/>
          <w:spacing w:val="-2"/>
        </w:rPr>
        <w:t>et</w:t>
      </w:r>
      <w:r>
        <w:rPr>
          <w:color w:val="231F20"/>
          <w:spacing w:val="-8"/>
        </w:rPr>
        <w:t> </w:t>
      </w:r>
      <w:r>
        <w:rPr>
          <w:color w:val="231F20"/>
          <w:spacing w:val="-2"/>
        </w:rPr>
        <w:t>à</w:t>
      </w:r>
      <w:r>
        <w:rPr>
          <w:color w:val="231F20"/>
          <w:spacing w:val="-8"/>
        </w:rPr>
        <w:t> </w:t>
      </w:r>
      <w:r>
        <w:rPr>
          <w:color w:val="231F20"/>
          <w:spacing w:val="-2"/>
        </w:rPr>
        <w:t>70</w:t>
      </w:r>
      <w:r>
        <w:rPr>
          <w:color w:val="231F20"/>
          <w:spacing w:val="-10"/>
        </w:rPr>
        <w:t> </w:t>
      </w:r>
      <w:r>
        <w:rPr>
          <w:color w:val="231F20"/>
          <w:spacing w:val="-2"/>
        </w:rPr>
        <w:t>ans</w:t>
      </w:r>
      <w:r>
        <w:rPr>
          <w:color w:val="231F20"/>
          <w:spacing w:val="-10"/>
        </w:rPr>
        <w:t> </w:t>
      </w:r>
      <w:r>
        <w:rPr>
          <w:color w:val="231F20"/>
          <w:spacing w:val="-2"/>
        </w:rPr>
        <w:t>l'âge</w:t>
      </w:r>
      <w:r>
        <w:rPr>
          <w:color w:val="231F20"/>
          <w:spacing w:val="-10"/>
        </w:rPr>
        <w:t> </w:t>
      </w:r>
      <w:r>
        <w:rPr>
          <w:color w:val="231F20"/>
          <w:spacing w:val="-2"/>
        </w:rPr>
        <w:t>maximal</w:t>
      </w:r>
      <w:r>
        <w:rPr>
          <w:color w:val="231F20"/>
          <w:spacing w:val="-11"/>
        </w:rPr>
        <w:t> </w:t>
      </w:r>
      <w:r>
        <w:rPr>
          <w:color w:val="231F20"/>
          <w:spacing w:val="-2"/>
        </w:rPr>
        <w:t>pour</w:t>
      </w:r>
      <w:r>
        <w:rPr>
          <w:color w:val="231F20"/>
          <w:spacing w:val="-8"/>
        </w:rPr>
        <w:t> </w:t>
      </w:r>
      <w:r>
        <w:rPr>
          <w:color w:val="231F20"/>
          <w:spacing w:val="-2"/>
        </w:rPr>
        <w:t>être</w:t>
      </w:r>
      <w:r>
        <w:rPr>
          <w:color w:val="231F20"/>
          <w:spacing w:val="-7"/>
        </w:rPr>
        <w:t> </w:t>
      </w:r>
      <w:r>
        <w:rPr>
          <w:color w:val="231F20"/>
          <w:spacing w:val="-2"/>
        </w:rPr>
        <w:t>candidat.</w:t>
      </w:r>
      <w:r>
        <w:rPr>
          <w:color w:val="231F20"/>
          <w:spacing w:val="-6"/>
        </w:rPr>
        <w:t> </w:t>
      </w:r>
      <w:r>
        <w:rPr>
          <w:color w:val="231F20"/>
          <w:spacing w:val="-5"/>
        </w:rPr>
        <w:t>La</w:t>
      </w:r>
    </w:p>
    <w:p>
      <w:pPr>
        <w:spacing w:after="0"/>
        <w:sectPr>
          <w:pgSz w:w="8790" w:h="13610"/>
          <w:pgMar w:header="0" w:footer="802" w:top="1060" w:bottom="1000" w:left="880" w:right="880"/>
        </w:sectPr>
      </w:pPr>
    </w:p>
    <w:p>
      <w:pPr>
        <w:pStyle w:val="BodyText"/>
        <w:spacing w:before="66"/>
      </w:pPr>
      <w:r>
        <w:rPr>
          <w:color w:val="231F20"/>
          <w:spacing w:val="-4"/>
        </w:rPr>
        <w:t>nouvelle constitution</w:t>
      </w:r>
      <w:r>
        <w:rPr>
          <w:color w:val="231F20"/>
          <w:spacing w:val="-3"/>
        </w:rPr>
        <w:t> </w:t>
      </w:r>
      <w:r>
        <w:rPr>
          <w:color w:val="231F20"/>
          <w:spacing w:val="-4"/>
        </w:rPr>
        <w:t>permet à</w:t>
      </w:r>
      <w:r>
        <w:rPr>
          <w:color w:val="231F20"/>
          <w:spacing w:val="-6"/>
        </w:rPr>
        <w:t> </w:t>
      </w:r>
      <w:r>
        <w:rPr>
          <w:color w:val="231F20"/>
          <w:spacing w:val="-4"/>
        </w:rPr>
        <w:t>Sassou</w:t>
      </w:r>
      <w:r>
        <w:rPr>
          <w:color w:val="231F20"/>
          <w:spacing w:val="-6"/>
        </w:rPr>
        <w:t> </w:t>
      </w:r>
      <w:r>
        <w:rPr>
          <w:color w:val="231F20"/>
          <w:spacing w:val="-4"/>
        </w:rPr>
        <w:t>Nguesso</w:t>
      </w:r>
      <w:r>
        <w:rPr>
          <w:color w:val="231F20"/>
          <w:spacing w:val="-3"/>
        </w:rPr>
        <w:t> </w:t>
      </w:r>
      <w:r>
        <w:rPr>
          <w:color w:val="231F20"/>
          <w:spacing w:val="-4"/>
        </w:rPr>
        <w:t>âgé</w:t>
      </w:r>
      <w:r>
        <w:rPr>
          <w:color w:val="231F20"/>
          <w:spacing w:val="-7"/>
        </w:rPr>
        <w:t> </w:t>
      </w:r>
      <w:r>
        <w:rPr>
          <w:color w:val="231F20"/>
          <w:spacing w:val="-4"/>
        </w:rPr>
        <w:t>de 72</w:t>
      </w:r>
      <w:r>
        <w:rPr>
          <w:color w:val="231F20"/>
          <w:spacing w:val="-5"/>
        </w:rPr>
        <w:t> </w:t>
      </w:r>
      <w:r>
        <w:rPr>
          <w:color w:val="231F20"/>
          <w:spacing w:val="-4"/>
        </w:rPr>
        <w:t>ans</w:t>
      </w:r>
      <w:r>
        <w:rPr>
          <w:color w:val="231F20"/>
          <w:spacing w:val="-6"/>
        </w:rPr>
        <w:t> </w:t>
      </w:r>
      <w:r>
        <w:rPr>
          <w:color w:val="231F20"/>
          <w:spacing w:val="-4"/>
        </w:rPr>
        <w:t>et cumulant</w:t>
      </w:r>
    </w:p>
    <w:p>
      <w:pPr>
        <w:pStyle w:val="BodyText"/>
      </w:pPr>
      <w:r>
        <w:rPr>
          <w:color w:val="231F20"/>
          <w:spacing w:val="-2"/>
        </w:rPr>
        <w:t>une</w:t>
      </w:r>
      <w:r>
        <w:rPr>
          <w:color w:val="231F20"/>
          <w:spacing w:val="-11"/>
        </w:rPr>
        <w:t> </w:t>
      </w:r>
      <w:r>
        <w:rPr>
          <w:color w:val="231F20"/>
          <w:spacing w:val="-2"/>
        </w:rPr>
        <w:t>trentaine</w:t>
      </w:r>
      <w:r>
        <w:rPr>
          <w:color w:val="231F20"/>
          <w:spacing w:val="-11"/>
        </w:rPr>
        <w:t> </w:t>
      </w:r>
      <w:r>
        <w:rPr>
          <w:color w:val="231F20"/>
          <w:spacing w:val="-2"/>
        </w:rPr>
        <w:t>d’années</w:t>
      </w:r>
      <w:r>
        <w:rPr>
          <w:color w:val="231F20"/>
          <w:spacing w:val="-8"/>
        </w:rPr>
        <w:t> </w:t>
      </w:r>
      <w:r>
        <w:rPr>
          <w:color w:val="231F20"/>
          <w:spacing w:val="-2"/>
        </w:rPr>
        <w:t>au</w:t>
      </w:r>
      <w:r>
        <w:rPr>
          <w:color w:val="231F20"/>
          <w:spacing w:val="-11"/>
        </w:rPr>
        <w:t> </w:t>
      </w:r>
      <w:r>
        <w:rPr>
          <w:color w:val="231F20"/>
          <w:spacing w:val="-2"/>
        </w:rPr>
        <w:t>pouvoir</w:t>
      </w:r>
      <w:r>
        <w:rPr>
          <w:color w:val="231F20"/>
          <w:spacing w:val="-8"/>
        </w:rPr>
        <w:t> </w:t>
      </w:r>
      <w:r>
        <w:rPr>
          <w:color w:val="231F20"/>
          <w:spacing w:val="-2"/>
        </w:rPr>
        <w:t>de</w:t>
      </w:r>
      <w:r>
        <w:rPr>
          <w:color w:val="231F20"/>
          <w:spacing w:val="-11"/>
        </w:rPr>
        <w:t> </w:t>
      </w:r>
      <w:r>
        <w:rPr>
          <w:color w:val="231F20"/>
          <w:spacing w:val="-2"/>
        </w:rPr>
        <w:t>se</w:t>
      </w:r>
      <w:r>
        <w:rPr>
          <w:color w:val="231F20"/>
          <w:spacing w:val="-8"/>
        </w:rPr>
        <w:t> </w:t>
      </w:r>
      <w:r>
        <w:rPr>
          <w:color w:val="231F20"/>
          <w:spacing w:val="-2"/>
        </w:rPr>
        <w:t>représenter</w:t>
      </w:r>
      <w:r>
        <w:rPr>
          <w:color w:val="231F20"/>
          <w:spacing w:val="-11"/>
        </w:rPr>
        <w:t> </w:t>
      </w:r>
      <w:r>
        <w:rPr>
          <w:color w:val="231F20"/>
          <w:spacing w:val="-2"/>
        </w:rPr>
        <w:t>en</w:t>
      </w:r>
      <w:r>
        <w:rPr>
          <w:color w:val="231F20"/>
          <w:spacing w:val="-8"/>
        </w:rPr>
        <w:t> </w:t>
      </w:r>
      <w:r>
        <w:rPr>
          <w:color w:val="231F20"/>
          <w:spacing w:val="-2"/>
        </w:rPr>
        <w:t>2016.</w:t>
      </w:r>
    </w:p>
    <w:p>
      <w:pPr>
        <w:pStyle w:val="BodyText"/>
        <w:spacing w:before="120"/>
        <w:ind w:right="106" w:firstLine="283"/>
      </w:pPr>
      <w:r>
        <w:rPr>
          <w:color w:val="231F20"/>
          <w:spacing w:val="-2"/>
        </w:rPr>
        <w:t>Dans</w:t>
      </w:r>
      <w:r>
        <w:rPr>
          <w:color w:val="231F20"/>
          <w:spacing w:val="-13"/>
        </w:rPr>
        <w:t> </w:t>
      </w:r>
      <w:r>
        <w:rPr>
          <w:color w:val="231F20"/>
          <w:spacing w:val="-2"/>
        </w:rPr>
        <w:t>la</w:t>
      </w:r>
      <w:r>
        <w:rPr>
          <w:color w:val="231F20"/>
          <w:spacing w:val="-13"/>
        </w:rPr>
        <w:t> </w:t>
      </w:r>
      <w:r>
        <w:rPr>
          <w:color w:val="231F20"/>
          <w:spacing w:val="-2"/>
        </w:rPr>
        <w:t>nouvelle</w:t>
      </w:r>
      <w:r>
        <w:rPr>
          <w:color w:val="231F20"/>
          <w:spacing w:val="-13"/>
        </w:rPr>
        <w:t> </w:t>
      </w:r>
      <w:r>
        <w:rPr>
          <w:color w:val="231F20"/>
          <w:spacing w:val="-2"/>
        </w:rPr>
        <w:t>Constitution,</w:t>
      </w:r>
      <w:r>
        <w:rPr>
          <w:color w:val="231F20"/>
          <w:spacing w:val="-13"/>
        </w:rPr>
        <w:t> </w:t>
      </w:r>
      <w:r>
        <w:rPr>
          <w:color w:val="231F20"/>
          <w:spacing w:val="-2"/>
        </w:rPr>
        <w:t>«</w:t>
      </w:r>
      <w:r>
        <w:rPr>
          <w:color w:val="231F20"/>
          <w:spacing w:val="-13"/>
        </w:rPr>
        <w:t> </w:t>
      </w:r>
      <w:r>
        <w:rPr>
          <w:color w:val="231F20"/>
          <w:spacing w:val="-2"/>
        </w:rPr>
        <w:t>Le</w:t>
      </w:r>
      <w:r>
        <w:rPr>
          <w:color w:val="231F20"/>
          <w:spacing w:val="-13"/>
        </w:rPr>
        <w:t> </w:t>
      </w:r>
      <w:r>
        <w:rPr>
          <w:color w:val="231F20"/>
          <w:spacing w:val="-2"/>
        </w:rPr>
        <w:t>mandat</w:t>
      </w:r>
      <w:r>
        <w:rPr>
          <w:color w:val="231F20"/>
          <w:spacing w:val="-13"/>
        </w:rPr>
        <w:t> </w:t>
      </w:r>
      <w:r>
        <w:rPr>
          <w:color w:val="231F20"/>
          <w:spacing w:val="-2"/>
        </w:rPr>
        <w:t>du</w:t>
      </w:r>
      <w:r>
        <w:rPr>
          <w:color w:val="231F20"/>
          <w:spacing w:val="-13"/>
        </w:rPr>
        <w:t> </w:t>
      </w:r>
      <w:r>
        <w:rPr>
          <w:color w:val="231F20"/>
          <w:spacing w:val="-2"/>
        </w:rPr>
        <w:t>chef</w:t>
      </w:r>
      <w:r>
        <w:rPr>
          <w:color w:val="231F20"/>
          <w:spacing w:val="-13"/>
        </w:rPr>
        <w:t> </w:t>
      </w:r>
      <w:r>
        <w:rPr>
          <w:color w:val="231F20"/>
          <w:spacing w:val="-2"/>
        </w:rPr>
        <w:t>de</w:t>
      </w:r>
      <w:r>
        <w:rPr>
          <w:color w:val="231F20"/>
          <w:spacing w:val="-13"/>
        </w:rPr>
        <w:t> </w:t>
      </w:r>
      <w:r>
        <w:rPr>
          <w:color w:val="231F20"/>
          <w:spacing w:val="-2"/>
        </w:rPr>
        <w:t>l’État</w:t>
      </w:r>
      <w:r>
        <w:rPr>
          <w:color w:val="231F20"/>
          <w:spacing w:val="-13"/>
        </w:rPr>
        <w:t> </w:t>
      </w:r>
      <w:r>
        <w:rPr>
          <w:color w:val="231F20"/>
          <w:spacing w:val="-2"/>
        </w:rPr>
        <w:t>est</w:t>
      </w:r>
      <w:r>
        <w:rPr>
          <w:color w:val="231F20"/>
          <w:spacing w:val="-13"/>
        </w:rPr>
        <w:t> </w:t>
      </w:r>
      <w:r>
        <w:rPr>
          <w:color w:val="231F20"/>
          <w:spacing w:val="-2"/>
        </w:rPr>
        <w:t>réduit </w:t>
      </w:r>
      <w:r>
        <w:rPr>
          <w:color w:val="231F20"/>
        </w:rPr>
        <w:t>de</w:t>
      </w:r>
      <w:r>
        <w:rPr>
          <w:color w:val="231F20"/>
          <w:spacing w:val="-15"/>
        </w:rPr>
        <w:t> </w:t>
      </w:r>
      <w:r>
        <w:rPr>
          <w:color w:val="231F20"/>
        </w:rPr>
        <w:t>7</w:t>
      </w:r>
      <w:r>
        <w:rPr>
          <w:color w:val="231F20"/>
          <w:spacing w:val="-15"/>
        </w:rPr>
        <w:t> </w:t>
      </w:r>
      <w:r>
        <w:rPr>
          <w:color w:val="231F20"/>
        </w:rPr>
        <w:t>à</w:t>
      </w:r>
      <w:r>
        <w:rPr>
          <w:color w:val="231F20"/>
          <w:spacing w:val="-15"/>
        </w:rPr>
        <w:t> </w:t>
      </w:r>
      <w:r>
        <w:rPr>
          <w:color w:val="231F20"/>
        </w:rPr>
        <w:t>5</w:t>
      </w:r>
      <w:r>
        <w:rPr>
          <w:color w:val="231F20"/>
          <w:spacing w:val="-13"/>
        </w:rPr>
        <w:t> </w:t>
      </w:r>
      <w:r>
        <w:rPr>
          <w:color w:val="231F20"/>
        </w:rPr>
        <w:t>ans.</w:t>
      </w:r>
      <w:r>
        <w:rPr>
          <w:color w:val="231F20"/>
          <w:spacing w:val="-13"/>
        </w:rPr>
        <w:t> </w:t>
      </w:r>
      <w:r>
        <w:rPr>
          <w:color w:val="231F20"/>
        </w:rPr>
        <w:t>Il</w:t>
      </w:r>
      <w:r>
        <w:rPr>
          <w:color w:val="231F20"/>
          <w:spacing w:val="-13"/>
        </w:rPr>
        <w:t> </w:t>
      </w:r>
      <w:r>
        <w:rPr>
          <w:color w:val="231F20"/>
        </w:rPr>
        <w:t>est</w:t>
      </w:r>
      <w:r>
        <w:rPr>
          <w:color w:val="231F20"/>
          <w:spacing w:val="-15"/>
        </w:rPr>
        <w:t> </w:t>
      </w:r>
      <w:r>
        <w:rPr>
          <w:color w:val="231F20"/>
        </w:rPr>
        <w:t>renouvelable</w:t>
      </w:r>
      <w:r>
        <w:rPr>
          <w:color w:val="231F20"/>
          <w:spacing w:val="-13"/>
        </w:rPr>
        <w:t> </w:t>
      </w:r>
      <w:r>
        <w:rPr>
          <w:color w:val="231F20"/>
        </w:rPr>
        <w:t>deux</w:t>
      </w:r>
      <w:r>
        <w:rPr>
          <w:color w:val="231F20"/>
          <w:spacing w:val="-13"/>
        </w:rPr>
        <w:t> </w:t>
      </w:r>
      <w:r>
        <w:rPr>
          <w:color w:val="231F20"/>
        </w:rPr>
        <w:t>fois</w:t>
      </w:r>
      <w:r>
        <w:rPr>
          <w:color w:val="231F20"/>
          <w:spacing w:val="-15"/>
        </w:rPr>
        <w:t> </w:t>
      </w:r>
      <w:r>
        <w:rPr>
          <w:color w:val="231F20"/>
        </w:rPr>
        <w:t>».</w:t>
      </w:r>
      <w:r>
        <w:rPr>
          <w:color w:val="231F20"/>
          <w:spacing w:val="-15"/>
        </w:rPr>
        <w:t> </w:t>
      </w:r>
      <w:r>
        <w:rPr>
          <w:color w:val="231F20"/>
        </w:rPr>
        <w:t>Si</w:t>
      </w:r>
      <w:r>
        <w:rPr>
          <w:color w:val="231F20"/>
          <w:spacing w:val="-15"/>
        </w:rPr>
        <w:t> </w:t>
      </w:r>
      <w:r>
        <w:rPr>
          <w:color w:val="231F20"/>
        </w:rPr>
        <w:t>une</w:t>
      </w:r>
      <w:r>
        <w:rPr>
          <w:color w:val="231F20"/>
          <w:spacing w:val="-15"/>
        </w:rPr>
        <w:t> </w:t>
      </w:r>
      <w:r>
        <w:rPr>
          <w:color w:val="231F20"/>
        </w:rPr>
        <w:t>limite</w:t>
      </w:r>
      <w:r>
        <w:rPr>
          <w:color w:val="231F20"/>
          <w:spacing w:val="-15"/>
        </w:rPr>
        <w:t> </w:t>
      </w:r>
      <w:r>
        <w:rPr>
          <w:color w:val="231F20"/>
        </w:rPr>
        <w:t>d’âge</w:t>
      </w:r>
      <w:r>
        <w:rPr>
          <w:color w:val="231F20"/>
          <w:spacing w:val="-14"/>
        </w:rPr>
        <w:t> </w:t>
      </w:r>
      <w:r>
        <w:rPr>
          <w:color w:val="231F20"/>
        </w:rPr>
        <w:t>basse</w:t>
      </w:r>
      <w:r>
        <w:rPr>
          <w:color w:val="231F20"/>
          <w:spacing w:val="-14"/>
        </w:rPr>
        <w:t> </w:t>
      </w:r>
      <w:r>
        <w:rPr>
          <w:color w:val="231F20"/>
        </w:rPr>
        <w:t>est rajeunie</w:t>
      </w:r>
      <w:r>
        <w:rPr>
          <w:color w:val="231F20"/>
          <w:spacing w:val="-5"/>
        </w:rPr>
        <w:t> </w:t>
      </w:r>
      <w:r>
        <w:rPr>
          <w:color w:val="231F20"/>
        </w:rPr>
        <w:t>à</w:t>
      </w:r>
      <w:r>
        <w:rPr>
          <w:color w:val="231F20"/>
          <w:spacing w:val="-7"/>
        </w:rPr>
        <w:t> </w:t>
      </w:r>
      <w:r>
        <w:rPr>
          <w:color w:val="231F20"/>
        </w:rPr>
        <w:t>30</w:t>
      </w:r>
      <w:r>
        <w:rPr>
          <w:color w:val="231F20"/>
          <w:spacing w:val="-5"/>
        </w:rPr>
        <w:t> </w:t>
      </w:r>
      <w:r>
        <w:rPr>
          <w:color w:val="231F20"/>
        </w:rPr>
        <w:t>ans,</w:t>
      </w:r>
      <w:r>
        <w:rPr>
          <w:color w:val="231F20"/>
          <w:spacing w:val="-5"/>
        </w:rPr>
        <w:t> </w:t>
      </w:r>
      <w:r>
        <w:rPr>
          <w:color w:val="231F20"/>
        </w:rPr>
        <w:t>aucune</w:t>
      </w:r>
      <w:r>
        <w:rPr>
          <w:color w:val="231F20"/>
          <w:spacing w:val="-10"/>
        </w:rPr>
        <w:t> </w:t>
      </w:r>
      <w:r>
        <w:rPr>
          <w:color w:val="231F20"/>
        </w:rPr>
        <w:t>référence</w:t>
      </w:r>
      <w:r>
        <w:rPr>
          <w:color w:val="231F20"/>
          <w:spacing w:val="-5"/>
        </w:rPr>
        <w:t> </w:t>
      </w:r>
      <w:r>
        <w:rPr>
          <w:color w:val="231F20"/>
        </w:rPr>
        <w:t>n’est</w:t>
      </w:r>
      <w:r>
        <w:rPr>
          <w:color w:val="231F20"/>
          <w:spacing w:val="-5"/>
        </w:rPr>
        <w:t> </w:t>
      </w:r>
      <w:r>
        <w:rPr>
          <w:color w:val="231F20"/>
        </w:rPr>
        <w:t>faite</w:t>
      </w:r>
      <w:r>
        <w:rPr>
          <w:color w:val="231F20"/>
          <w:spacing w:val="-8"/>
        </w:rPr>
        <w:t> </w:t>
      </w:r>
      <w:r>
        <w:rPr>
          <w:color w:val="231F20"/>
        </w:rPr>
        <w:t>quant</w:t>
      </w:r>
      <w:r>
        <w:rPr>
          <w:color w:val="231F20"/>
          <w:spacing w:val="-6"/>
        </w:rPr>
        <w:t> </w:t>
      </w:r>
      <w:r>
        <w:rPr>
          <w:color w:val="231F20"/>
        </w:rPr>
        <w:t>à</w:t>
      </w:r>
      <w:r>
        <w:rPr>
          <w:color w:val="231F20"/>
          <w:spacing w:val="-5"/>
        </w:rPr>
        <w:t> </w:t>
      </w:r>
      <w:r>
        <w:rPr>
          <w:color w:val="231F20"/>
        </w:rPr>
        <w:t>l’âge</w:t>
      </w:r>
      <w:r>
        <w:rPr>
          <w:color w:val="231F20"/>
          <w:spacing w:val="-5"/>
        </w:rPr>
        <w:t> </w:t>
      </w:r>
      <w:r>
        <w:rPr>
          <w:color w:val="231F20"/>
        </w:rPr>
        <w:t>limite.</w:t>
      </w:r>
    </w:p>
    <w:p>
      <w:pPr>
        <w:pStyle w:val="BodyText"/>
        <w:spacing w:before="120"/>
        <w:ind w:right="110" w:firstLine="283"/>
      </w:pPr>
      <w:r>
        <w:rPr>
          <w:color w:val="231F20"/>
        </w:rPr>
        <w:t>Le</w:t>
      </w:r>
      <w:r>
        <w:rPr>
          <w:color w:val="231F20"/>
          <w:spacing w:val="-2"/>
        </w:rPr>
        <w:t> </w:t>
      </w:r>
      <w:r>
        <w:rPr>
          <w:color w:val="231F20"/>
        </w:rPr>
        <w:t>23</w:t>
      </w:r>
      <w:r>
        <w:rPr>
          <w:color w:val="231F20"/>
          <w:spacing w:val="-15"/>
        </w:rPr>
        <w:t> </w:t>
      </w:r>
      <w:r>
        <w:rPr>
          <w:color w:val="231F20"/>
        </w:rPr>
        <w:t>mars 2021, le chef</w:t>
      </w:r>
      <w:r>
        <w:rPr>
          <w:color w:val="231F20"/>
          <w:spacing w:val="-1"/>
        </w:rPr>
        <w:t> </w:t>
      </w:r>
      <w:r>
        <w:rPr>
          <w:color w:val="231F20"/>
        </w:rPr>
        <w:t>de l’État sortant remporte la présidentielle dès le premier tour. Agé de 77</w:t>
      </w:r>
      <w:r>
        <w:rPr>
          <w:color w:val="231F20"/>
          <w:spacing w:val="-10"/>
        </w:rPr>
        <w:t> </w:t>
      </w:r>
      <w:r>
        <w:rPr>
          <w:color w:val="231F20"/>
        </w:rPr>
        <w:t>ans, il entame un quatrième mandat </w:t>
      </w:r>
      <w:r>
        <w:rPr>
          <w:color w:val="231F20"/>
          <w:spacing w:val="-2"/>
        </w:rPr>
        <w:t>consécutif.</w:t>
      </w:r>
    </w:p>
    <w:p>
      <w:pPr>
        <w:pStyle w:val="BodyText"/>
        <w:spacing w:before="121"/>
        <w:ind w:right="104" w:firstLine="283"/>
      </w:pPr>
      <w:r>
        <w:rPr>
          <w:color w:val="231F20"/>
        </w:rPr>
        <w:t>Le Congo est heureux d’être éligible à l’Initiative des Pays Pauvres Très</w:t>
      </w:r>
      <w:r>
        <w:rPr>
          <w:color w:val="231F20"/>
          <w:spacing w:val="-11"/>
        </w:rPr>
        <w:t> </w:t>
      </w:r>
      <w:r>
        <w:rPr>
          <w:color w:val="231F20"/>
        </w:rPr>
        <w:t>Endettés</w:t>
      </w:r>
      <w:r>
        <w:rPr>
          <w:color w:val="231F20"/>
          <w:spacing w:val="-11"/>
        </w:rPr>
        <w:t> </w:t>
      </w:r>
      <w:r>
        <w:rPr>
          <w:color w:val="231F20"/>
        </w:rPr>
        <w:t>(IPPTE),</w:t>
      </w:r>
      <w:r>
        <w:rPr>
          <w:color w:val="231F20"/>
          <w:spacing w:val="-13"/>
        </w:rPr>
        <w:t> </w:t>
      </w:r>
      <w:r>
        <w:rPr>
          <w:color w:val="231F20"/>
        </w:rPr>
        <w:t>une</w:t>
      </w:r>
      <w:r>
        <w:rPr>
          <w:color w:val="231F20"/>
          <w:spacing w:val="-12"/>
        </w:rPr>
        <w:t> </w:t>
      </w:r>
      <w:r>
        <w:rPr>
          <w:color w:val="231F20"/>
        </w:rPr>
        <w:t>initiative</w:t>
      </w:r>
      <w:r>
        <w:rPr>
          <w:color w:val="231F20"/>
          <w:spacing w:val="-13"/>
        </w:rPr>
        <w:t> </w:t>
      </w:r>
      <w:r>
        <w:rPr>
          <w:color w:val="231F20"/>
        </w:rPr>
        <w:t>qui</w:t>
      </w:r>
      <w:r>
        <w:rPr>
          <w:color w:val="231F20"/>
          <w:spacing w:val="-11"/>
        </w:rPr>
        <w:t> </w:t>
      </w:r>
      <w:r>
        <w:rPr>
          <w:color w:val="231F20"/>
        </w:rPr>
        <w:t>vise</w:t>
      </w:r>
      <w:r>
        <w:rPr>
          <w:color w:val="231F20"/>
          <w:spacing w:val="-12"/>
        </w:rPr>
        <w:t> </w:t>
      </w:r>
      <w:r>
        <w:rPr>
          <w:color w:val="231F20"/>
        </w:rPr>
        <w:t>à</w:t>
      </w:r>
      <w:r>
        <w:rPr>
          <w:color w:val="231F20"/>
          <w:spacing w:val="-12"/>
        </w:rPr>
        <w:t> </w:t>
      </w:r>
      <w:r>
        <w:rPr>
          <w:color w:val="231F20"/>
        </w:rPr>
        <w:t>assister</w:t>
      </w:r>
      <w:r>
        <w:rPr>
          <w:color w:val="231F20"/>
          <w:spacing w:val="-13"/>
        </w:rPr>
        <w:t> </w:t>
      </w:r>
      <w:r>
        <w:rPr>
          <w:color w:val="231F20"/>
        </w:rPr>
        <w:t>les</w:t>
      </w:r>
      <w:r>
        <w:rPr>
          <w:color w:val="231F20"/>
          <w:spacing w:val="-11"/>
        </w:rPr>
        <w:t> </w:t>
      </w:r>
      <w:r>
        <w:rPr>
          <w:color w:val="231F20"/>
        </w:rPr>
        <w:t>pays</w:t>
      </w:r>
      <w:r>
        <w:rPr>
          <w:color w:val="231F20"/>
          <w:spacing w:val="-13"/>
        </w:rPr>
        <w:t> </w:t>
      </w:r>
      <w:r>
        <w:rPr>
          <w:color w:val="231F20"/>
        </w:rPr>
        <w:t>les</w:t>
      </w:r>
      <w:r>
        <w:rPr>
          <w:color w:val="231F20"/>
          <w:spacing w:val="-11"/>
        </w:rPr>
        <w:t> </w:t>
      </w:r>
      <w:r>
        <w:rPr>
          <w:color w:val="231F20"/>
        </w:rPr>
        <w:t>plus </w:t>
      </w:r>
      <w:r>
        <w:rPr>
          <w:color w:val="231F20"/>
          <w:spacing w:val="-2"/>
        </w:rPr>
        <w:t>pauvres</w:t>
      </w:r>
      <w:r>
        <w:rPr>
          <w:color w:val="231F20"/>
          <w:spacing w:val="-13"/>
        </w:rPr>
        <w:t> </w:t>
      </w:r>
      <w:r>
        <w:rPr>
          <w:color w:val="231F20"/>
          <w:spacing w:val="-2"/>
        </w:rPr>
        <w:t>du</w:t>
      </w:r>
      <w:r>
        <w:rPr>
          <w:color w:val="231F20"/>
          <w:spacing w:val="-13"/>
        </w:rPr>
        <w:t> </w:t>
      </w:r>
      <w:r>
        <w:rPr>
          <w:color w:val="231F20"/>
          <w:spacing w:val="-2"/>
        </w:rPr>
        <w:t>monde</w:t>
      </w:r>
      <w:r>
        <w:rPr>
          <w:color w:val="231F20"/>
          <w:spacing w:val="-13"/>
        </w:rPr>
        <w:t> </w:t>
      </w:r>
      <w:r>
        <w:rPr>
          <w:color w:val="231F20"/>
          <w:spacing w:val="-2"/>
        </w:rPr>
        <w:t>en</w:t>
      </w:r>
      <w:r>
        <w:rPr>
          <w:color w:val="231F20"/>
          <w:spacing w:val="-13"/>
        </w:rPr>
        <w:t> </w:t>
      </w:r>
      <w:r>
        <w:rPr>
          <w:color w:val="231F20"/>
          <w:spacing w:val="-2"/>
        </w:rPr>
        <w:t>rendant</w:t>
      </w:r>
      <w:r>
        <w:rPr>
          <w:color w:val="231F20"/>
          <w:spacing w:val="-13"/>
        </w:rPr>
        <w:t> </w:t>
      </w:r>
      <w:r>
        <w:rPr>
          <w:color w:val="231F20"/>
          <w:spacing w:val="-2"/>
        </w:rPr>
        <w:t>leurs</w:t>
      </w:r>
      <w:r>
        <w:rPr>
          <w:color w:val="231F20"/>
          <w:spacing w:val="-13"/>
        </w:rPr>
        <w:t> </w:t>
      </w:r>
      <w:r>
        <w:rPr>
          <w:color w:val="231F20"/>
          <w:spacing w:val="-2"/>
        </w:rPr>
        <w:t>dettes</w:t>
      </w:r>
      <w:r>
        <w:rPr>
          <w:color w:val="231F20"/>
          <w:spacing w:val="-13"/>
        </w:rPr>
        <w:t> </w:t>
      </w:r>
      <w:r>
        <w:rPr>
          <w:color w:val="231F20"/>
          <w:spacing w:val="-2"/>
        </w:rPr>
        <w:t>internationales</w:t>
      </w:r>
      <w:r>
        <w:rPr>
          <w:color w:val="231F20"/>
          <w:spacing w:val="-13"/>
        </w:rPr>
        <w:t> </w:t>
      </w:r>
      <w:r>
        <w:rPr>
          <w:color w:val="231F20"/>
          <w:spacing w:val="-2"/>
        </w:rPr>
        <w:t>«</w:t>
      </w:r>
      <w:r>
        <w:rPr>
          <w:color w:val="231F20"/>
          <w:spacing w:val="-13"/>
        </w:rPr>
        <w:t> </w:t>
      </w:r>
      <w:r>
        <w:rPr>
          <w:color w:val="231F20"/>
          <w:spacing w:val="-2"/>
        </w:rPr>
        <w:t>soutenables</w:t>
      </w:r>
      <w:r>
        <w:rPr>
          <w:color w:val="231F20"/>
          <w:spacing w:val="-13"/>
        </w:rPr>
        <w:t> </w:t>
      </w:r>
      <w:r>
        <w:rPr>
          <w:color w:val="231F20"/>
          <w:spacing w:val="-2"/>
        </w:rPr>
        <w:t>». </w:t>
      </w:r>
      <w:r>
        <w:rPr>
          <w:color w:val="231F20"/>
        </w:rPr>
        <w:t>Pourtant, le Congo est loin d’être un pays pauvre. Pays producteur de pétrole,</w:t>
      </w:r>
      <w:r>
        <w:rPr>
          <w:color w:val="231F20"/>
          <w:spacing w:val="-2"/>
        </w:rPr>
        <w:t> </w:t>
      </w:r>
      <w:r>
        <w:rPr>
          <w:color w:val="231F20"/>
        </w:rPr>
        <w:t>il</w:t>
      </w:r>
      <w:r>
        <w:rPr>
          <w:color w:val="231F20"/>
          <w:spacing w:val="-3"/>
        </w:rPr>
        <w:t> </w:t>
      </w:r>
      <w:r>
        <w:rPr>
          <w:color w:val="231F20"/>
        </w:rPr>
        <w:t>souffre</w:t>
      </w:r>
      <w:r>
        <w:rPr>
          <w:color w:val="231F20"/>
          <w:spacing w:val="-3"/>
        </w:rPr>
        <w:t> </w:t>
      </w:r>
      <w:r>
        <w:rPr>
          <w:color w:val="231F20"/>
        </w:rPr>
        <w:t>de</w:t>
      </w:r>
      <w:r>
        <w:rPr>
          <w:color w:val="231F20"/>
          <w:spacing w:val="-1"/>
        </w:rPr>
        <w:t> </w:t>
      </w:r>
      <w:r>
        <w:rPr>
          <w:color w:val="231F20"/>
        </w:rPr>
        <w:t>la</w:t>
      </w:r>
      <w:r>
        <w:rPr>
          <w:color w:val="231F20"/>
          <w:spacing w:val="-3"/>
        </w:rPr>
        <w:t> </w:t>
      </w:r>
      <w:r>
        <w:rPr>
          <w:color w:val="231F20"/>
        </w:rPr>
        <w:t>mauvaise</w:t>
      </w:r>
      <w:r>
        <w:rPr>
          <w:color w:val="231F20"/>
          <w:spacing w:val="-3"/>
        </w:rPr>
        <w:t> </w:t>
      </w:r>
      <w:r>
        <w:rPr>
          <w:color w:val="231F20"/>
        </w:rPr>
        <w:t>gouvernance.</w:t>
      </w:r>
      <w:r>
        <w:rPr>
          <w:color w:val="231F20"/>
          <w:spacing w:val="-1"/>
        </w:rPr>
        <w:t> </w:t>
      </w:r>
      <w:r>
        <w:rPr>
          <w:color w:val="231F20"/>
        </w:rPr>
        <w:t>Il</w:t>
      </w:r>
      <w:r>
        <w:rPr>
          <w:color w:val="231F20"/>
          <w:spacing w:val="-1"/>
        </w:rPr>
        <w:t> </w:t>
      </w:r>
      <w:r>
        <w:rPr>
          <w:color w:val="231F20"/>
        </w:rPr>
        <w:t>paie</w:t>
      </w:r>
      <w:r>
        <w:rPr>
          <w:color w:val="231F20"/>
          <w:spacing w:val="-1"/>
        </w:rPr>
        <w:t> </w:t>
      </w:r>
      <w:r>
        <w:rPr>
          <w:color w:val="231F20"/>
        </w:rPr>
        <w:t>aussi</w:t>
      </w:r>
      <w:r>
        <w:rPr>
          <w:color w:val="231F20"/>
          <w:spacing w:val="-2"/>
        </w:rPr>
        <w:t> </w:t>
      </w:r>
      <w:r>
        <w:rPr>
          <w:color w:val="231F20"/>
        </w:rPr>
        <w:t>les</w:t>
      </w:r>
      <w:r>
        <w:rPr>
          <w:color w:val="231F20"/>
          <w:spacing w:val="-2"/>
        </w:rPr>
        <w:t> </w:t>
      </w:r>
      <w:r>
        <w:rPr>
          <w:color w:val="231F20"/>
        </w:rPr>
        <w:t>lourdes </w:t>
      </w:r>
      <w:r>
        <w:rPr>
          <w:color w:val="231F20"/>
          <w:spacing w:val="-2"/>
        </w:rPr>
        <w:t>dettes</w:t>
      </w:r>
      <w:r>
        <w:rPr>
          <w:color w:val="231F20"/>
          <w:spacing w:val="-13"/>
        </w:rPr>
        <w:t> </w:t>
      </w:r>
      <w:r>
        <w:rPr>
          <w:color w:val="231F20"/>
          <w:spacing w:val="-2"/>
        </w:rPr>
        <w:t>engagées</w:t>
      </w:r>
      <w:r>
        <w:rPr>
          <w:color w:val="231F20"/>
          <w:spacing w:val="-13"/>
        </w:rPr>
        <w:t> </w:t>
      </w:r>
      <w:r>
        <w:rPr>
          <w:color w:val="231F20"/>
          <w:spacing w:val="-2"/>
        </w:rPr>
        <w:t>par</w:t>
      </w:r>
      <w:r>
        <w:rPr>
          <w:color w:val="231F20"/>
          <w:spacing w:val="-13"/>
        </w:rPr>
        <w:t> </w:t>
      </w:r>
      <w:r>
        <w:rPr>
          <w:color w:val="231F20"/>
          <w:spacing w:val="-2"/>
        </w:rPr>
        <w:t>les</w:t>
      </w:r>
      <w:r>
        <w:rPr>
          <w:color w:val="231F20"/>
          <w:spacing w:val="-13"/>
        </w:rPr>
        <w:t> </w:t>
      </w:r>
      <w:r>
        <w:rPr>
          <w:color w:val="231F20"/>
          <w:spacing w:val="-2"/>
        </w:rPr>
        <w:t>autorités</w:t>
      </w:r>
      <w:r>
        <w:rPr>
          <w:color w:val="231F20"/>
          <w:spacing w:val="-13"/>
        </w:rPr>
        <w:t> </w:t>
      </w:r>
      <w:r>
        <w:rPr>
          <w:color w:val="231F20"/>
          <w:spacing w:val="-2"/>
        </w:rPr>
        <w:t>sur</w:t>
      </w:r>
      <w:r>
        <w:rPr>
          <w:color w:val="231F20"/>
          <w:spacing w:val="-13"/>
        </w:rPr>
        <w:t> </w:t>
      </w:r>
      <w:r>
        <w:rPr>
          <w:color w:val="231F20"/>
          <w:spacing w:val="-2"/>
        </w:rPr>
        <w:t>les</w:t>
      </w:r>
      <w:r>
        <w:rPr>
          <w:color w:val="231F20"/>
          <w:spacing w:val="-13"/>
        </w:rPr>
        <w:t> </w:t>
      </w:r>
      <w:r>
        <w:rPr>
          <w:color w:val="231F20"/>
          <w:spacing w:val="-2"/>
        </w:rPr>
        <w:t>ressources</w:t>
      </w:r>
      <w:r>
        <w:rPr>
          <w:color w:val="231F20"/>
          <w:spacing w:val="-13"/>
        </w:rPr>
        <w:t> </w:t>
      </w:r>
      <w:r>
        <w:rPr>
          <w:color w:val="231F20"/>
          <w:spacing w:val="-2"/>
        </w:rPr>
        <w:t>pétrolières,</w:t>
      </w:r>
      <w:r>
        <w:rPr>
          <w:color w:val="231F20"/>
          <w:spacing w:val="-13"/>
        </w:rPr>
        <w:t> </w:t>
      </w:r>
      <w:r>
        <w:rPr>
          <w:color w:val="231F20"/>
          <w:spacing w:val="-2"/>
        </w:rPr>
        <w:t>dans</w:t>
      </w:r>
      <w:r>
        <w:rPr>
          <w:color w:val="231F20"/>
          <w:spacing w:val="-13"/>
        </w:rPr>
        <w:t> </w:t>
      </w:r>
      <w:r>
        <w:rPr>
          <w:color w:val="231F20"/>
          <w:spacing w:val="-2"/>
        </w:rPr>
        <w:t>le</w:t>
      </w:r>
      <w:r>
        <w:rPr>
          <w:color w:val="231F20"/>
          <w:spacing w:val="-13"/>
        </w:rPr>
        <w:t> </w:t>
      </w:r>
      <w:r>
        <w:rPr>
          <w:color w:val="231F20"/>
          <w:spacing w:val="-2"/>
        </w:rPr>
        <w:t>but </w:t>
      </w:r>
      <w:r>
        <w:rPr>
          <w:color w:val="231F20"/>
        </w:rPr>
        <w:t>de financer les guerres de pouvoir.</w:t>
      </w:r>
    </w:p>
    <w:p>
      <w:pPr>
        <w:pStyle w:val="BodyText"/>
        <w:spacing w:before="165"/>
        <w:ind w:left="0"/>
        <w:jc w:val="left"/>
      </w:pPr>
    </w:p>
    <w:p>
      <w:pPr>
        <w:pStyle w:val="Heading3"/>
        <w:rPr>
          <w:rFonts w:ascii="Times New Roman" w:hAnsi="Times New Roman"/>
          <w:i w:val="0"/>
          <w:sz w:val="16"/>
        </w:rPr>
      </w:pPr>
      <w:r>
        <w:rPr>
          <w:i/>
          <w:color w:val="231F20"/>
          <w:spacing w:val="-2"/>
        </w:rPr>
        <w:t>La</w:t>
      </w:r>
      <w:r>
        <w:rPr>
          <w:i/>
          <w:color w:val="231F20"/>
          <w:spacing w:val="-10"/>
        </w:rPr>
        <w:t> </w:t>
      </w:r>
      <w:r>
        <w:rPr>
          <w:i/>
          <w:color w:val="231F20"/>
          <w:spacing w:val="-2"/>
        </w:rPr>
        <w:t>République</w:t>
      </w:r>
      <w:r>
        <w:rPr>
          <w:i/>
          <w:color w:val="231F20"/>
          <w:spacing w:val="-9"/>
        </w:rPr>
        <w:t> </w:t>
      </w:r>
      <w:r>
        <w:rPr>
          <w:i/>
          <w:color w:val="231F20"/>
          <w:spacing w:val="-2"/>
        </w:rPr>
        <w:t>Centrafricaine</w:t>
      </w:r>
      <w:r>
        <w:rPr>
          <w:rFonts w:ascii="Times New Roman" w:hAnsi="Times New Roman"/>
          <w:i w:val="0"/>
          <w:color w:val="231F20"/>
          <w:spacing w:val="-2"/>
          <w:position w:val="8"/>
          <w:sz w:val="16"/>
        </w:rPr>
        <w:t>59</w:t>
      </w:r>
    </w:p>
    <w:p>
      <w:pPr>
        <w:spacing w:before="255"/>
        <w:ind w:left="111" w:right="107" w:firstLine="340"/>
        <w:jc w:val="both"/>
        <w:rPr>
          <w:sz w:val="24"/>
        </w:rPr>
      </w:pPr>
      <w:r>
        <w:rPr>
          <w:i/>
          <w:color w:val="231F20"/>
          <w:spacing w:val="-4"/>
          <w:sz w:val="24"/>
        </w:rPr>
        <w:t>«</w:t>
      </w:r>
      <w:r>
        <w:rPr>
          <w:i/>
          <w:color w:val="231F20"/>
          <w:spacing w:val="-1"/>
          <w:sz w:val="24"/>
        </w:rPr>
        <w:t> </w:t>
      </w:r>
      <w:r>
        <w:rPr>
          <w:i/>
          <w:color w:val="231F20"/>
          <w:spacing w:val="-4"/>
          <w:sz w:val="24"/>
        </w:rPr>
        <w:t>Libérer</w:t>
      </w:r>
      <w:r>
        <w:rPr>
          <w:i/>
          <w:color w:val="231F20"/>
          <w:spacing w:val="-11"/>
          <w:sz w:val="24"/>
        </w:rPr>
        <w:t> </w:t>
      </w:r>
      <w:r>
        <w:rPr>
          <w:i/>
          <w:color w:val="231F20"/>
          <w:spacing w:val="-4"/>
          <w:sz w:val="24"/>
        </w:rPr>
        <w:t>l’Afrique</w:t>
      </w:r>
      <w:r>
        <w:rPr>
          <w:i/>
          <w:color w:val="231F20"/>
          <w:spacing w:val="-10"/>
          <w:sz w:val="24"/>
        </w:rPr>
        <w:t> </w:t>
      </w:r>
      <w:r>
        <w:rPr>
          <w:i/>
          <w:color w:val="231F20"/>
          <w:spacing w:val="-4"/>
          <w:sz w:val="24"/>
        </w:rPr>
        <w:t>et</w:t>
      </w:r>
      <w:r>
        <w:rPr>
          <w:i/>
          <w:color w:val="231F20"/>
          <w:spacing w:val="-11"/>
          <w:sz w:val="24"/>
        </w:rPr>
        <w:t> </w:t>
      </w:r>
      <w:r>
        <w:rPr>
          <w:i/>
          <w:color w:val="231F20"/>
          <w:spacing w:val="-4"/>
          <w:sz w:val="24"/>
        </w:rPr>
        <w:t>les</w:t>
      </w:r>
      <w:r>
        <w:rPr>
          <w:i/>
          <w:color w:val="231F20"/>
          <w:spacing w:val="-11"/>
          <w:sz w:val="24"/>
        </w:rPr>
        <w:t> </w:t>
      </w:r>
      <w:r>
        <w:rPr>
          <w:i/>
          <w:color w:val="231F20"/>
          <w:spacing w:val="-4"/>
          <w:sz w:val="24"/>
        </w:rPr>
        <w:t>Africains</w:t>
      </w:r>
      <w:r>
        <w:rPr>
          <w:i/>
          <w:color w:val="231F20"/>
          <w:spacing w:val="-10"/>
          <w:sz w:val="24"/>
        </w:rPr>
        <w:t> </w:t>
      </w:r>
      <w:r>
        <w:rPr>
          <w:i/>
          <w:color w:val="231F20"/>
          <w:spacing w:val="-4"/>
          <w:sz w:val="24"/>
        </w:rPr>
        <w:t>de</w:t>
      </w:r>
      <w:r>
        <w:rPr>
          <w:i/>
          <w:color w:val="231F20"/>
          <w:spacing w:val="-10"/>
          <w:sz w:val="24"/>
        </w:rPr>
        <w:t> </w:t>
      </w:r>
      <w:r>
        <w:rPr>
          <w:i/>
          <w:color w:val="231F20"/>
          <w:spacing w:val="-4"/>
          <w:sz w:val="24"/>
        </w:rPr>
        <w:t>la</w:t>
      </w:r>
      <w:r>
        <w:rPr>
          <w:i/>
          <w:color w:val="231F20"/>
          <w:spacing w:val="-11"/>
          <w:sz w:val="24"/>
        </w:rPr>
        <w:t> </w:t>
      </w:r>
      <w:r>
        <w:rPr>
          <w:i/>
          <w:color w:val="231F20"/>
          <w:spacing w:val="-4"/>
          <w:sz w:val="24"/>
        </w:rPr>
        <w:t>servitude</w:t>
      </w:r>
      <w:r>
        <w:rPr>
          <w:i/>
          <w:color w:val="231F20"/>
          <w:spacing w:val="-10"/>
          <w:sz w:val="24"/>
        </w:rPr>
        <w:t> </w:t>
      </w:r>
      <w:r>
        <w:rPr>
          <w:i/>
          <w:color w:val="231F20"/>
          <w:spacing w:val="-4"/>
          <w:sz w:val="24"/>
        </w:rPr>
        <w:t>et</w:t>
      </w:r>
      <w:r>
        <w:rPr>
          <w:i/>
          <w:color w:val="231F20"/>
          <w:spacing w:val="-8"/>
          <w:sz w:val="24"/>
        </w:rPr>
        <w:t> </w:t>
      </w:r>
      <w:r>
        <w:rPr>
          <w:i/>
          <w:color w:val="231F20"/>
          <w:spacing w:val="-4"/>
          <w:sz w:val="24"/>
        </w:rPr>
        <w:t>de</w:t>
      </w:r>
      <w:r>
        <w:rPr>
          <w:i/>
          <w:color w:val="231F20"/>
          <w:spacing w:val="-11"/>
          <w:sz w:val="24"/>
        </w:rPr>
        <w:t> </w:t>
      </w:r>
      <w:r>
        <w:rPr>
          <w:i/>
          <w:color w:val="231F20"/>
          <w:spacing w:val="-4"/>
          <w:sz w:val="24"/>
        </w:rPr>
        <w:t>la</w:t>
      </w:r>
      <w:r>
        <w:rPr>
          <w:i/>
          <w:color w:val="231F20"/>
          <w:spacing w:val="-10"/>
          <w:sz w:val="24"/>
        </w:rPr>
        <w:t> </w:t>
      </w:r>
      <w:r>
        <w:rPr>
          <w:i/>
          <w:color w:val="231F20"/>
          <w:spacing w:val="-4"/>
          <w:sz w:val="24"/>
        </w:rPr>
        <w:t>misère,</w:t>
      </w:r>
      <w:r>
        <w:rPr>
          <w:i/>
          <w:color w:val="231F20"/>
          <w:spacing w:val="-11"/>
          <w:sz w:val="24"/>
        </w:rPr>
        <w:t> </w:t>
      </w:r>
      <w:r>
        <w:rPr>
          <w:i/>
          <w:color w:val="231F20"/>
          <w:spacing w:val="-4"/>
          <w:sz w:val="24"/>
        </w:rPr>
        <w:t>telle</w:t>
      </w:r>
      <w:r>
        <w:rPr>
          <w:i/>
          <w:color w:val="231F20"/>
          <w:spacing w:val="-4"/>
          <w:sz w:val="24"/>
        </w:rPr>
        <w:t> </w:t>
      </w:r>
      <w:r>
        <w:rPr>
          <w:i/>
          <w:color w:val="231F20"/>
          <w:sz w:val="24"/>
        </w:rPr>
        <w:t>est</w:t>
      </w:r>
      <w:r>
        <w:rPr>
          <w:i/>
          <w:color w:val="231F20"/>
          <w:spacing w:val="-9"/>
          <w:sz w:val="24"/>
        </w:rPr>
        <w:t> </w:t>
      </w:r>
      <w:r>
        <w:rPr>
          <w:i/>
          <w:color w:val="231F20"/>
          <w:sz w:val="24"/>
        </w:rPr>
        <w:t>ma</w:t>
      </w:r>
      <w:r>
        <w:rPr>
          <w:i/>
          <w:color w:val="231F20"/>
          <w:spacing w:val="-12"/>
          <w:sz w:val="24"/>
        </w:rPr>
        <w:t> </w:t>
      </w:r>
      <w:r>
        <w:rPr>
          <w:i/>
          <w:color w:val="231F20"/>
          <w:sz w:val="24"/>
        </w:rPr>
        <w:t>raison</w:t>
      </w:r>
      <w:r>
        <w:rPr>
          <w:i/>
          <w:color w:val="231F20"/>
          <w:spacing w:val="-12"/>
          <w:sz w:val="24"/>
        </w:rPr>
        <w:t> </w:t>
      </w:r>
      <w:r>
        <w:rPr>
          <w:i/>
          <w:color w:val="231F20"/>
          <w:sz w:val="24"/>
        </w:rPr>
        <w:t>d’être</w:t>
      </w:r>
      <w:r>
        <w:rPr>
          <w:i/>
          <w:color w:val="231F20"/>
          <w:spacing w:val="-9"/>
          <w:sz w:val="24"/>
        </w:rPr>
        <w:t> </w:t>
      </w:r>
      <w:r>
        <w:rPr>
          <w:i/>
          <w:color w:val="231F20"/>
          <w:sz w:val="24"/>
        </w:rPr>
        <w:t>et</w:t>
      </w:r>
      <w:r>
        <w:rPr>
          <w:i/>
          <w:color w:val="231F20"/>
          <w:spacing w:val="-11"/>
          <w:sz w:val="24"/>
        </w:rPr>
        <w:t> </w:t>
      </w:r>
      <w:r>
        <w:rPr>
          <w:i/>
          <w:color w:val="231F20"/>
          <w:sz w:val="24"/>
        </w:rPr>
        <w:t>le</w:t>
      </w:r>
      <w:r>
        <w:rPr>
          <w:i/>
          <w:color w:val="231F20"/>
          <w:spacing w:val="-12"/>
          <w:sz w:val="24"/>
        </w:rPr>
        <w:t> </w:t>
      </w:r>
      <w:r>
        <w:rPr>
          <w:i/>
          <w:color w:val="231F20"/>
          <w:sz w:val="24"/>
        </w:rPr>
        <w:t>sens</w:t>
      </w:r>
      <w:r>
        <w:rPr>
          <w:i/>
          <w:color w:val="231F20"/>
          <w:spacing w:val="-10"/>
          <w:sz w:val="24"/>
        </w:rPr>
        <w:t> </w:t>
      </w:r>
      <w:r>
        <w:rPr>
          <w:i/>
          <w:color w:val="231F20"/>
          <w:sz w:val="24"/>
        </w:rPr>
        <w:t>de</w:t>
      </w:r>
      <w:r>
        <w:rPr>
          <w:i/>
          <w:color w:val="231F20"/>
          <w:spacing w:val="-9"/>
          <w:sz w:val="24"/>
        </w:rPr>
        <w:t> </w:t>
      </w:r>
      <w:r>
        <w:rPr>
          <w:i/>
          <w:color w:val="231F20"/>
          <w:sz w:val="24"/>
        </w:rPr>
        <w:t>mon</w:t>
      </w:r>
      <w:r>
        <w:rPr>
          <w:i/>
          <w:color w:val="231F20"/>
          <w:spacing w:val="-10"/>
          <w:sz w:val="24"/>
        </w:rPr>
        <w:t> </w:t>
      </w:r>
      <w:r>
        <w:rPr>
          <w:i/>
          <w:color w:val="231F20"/>
          <w:sz w:val="24"/>
        </w:rPr>
        <w:t>existence.</w:t>
      </w:r>
      <w:r>
        <w:rPr>
          <w:i/>
          <w:color w:val="231F20"/>
          <w:spacing w:val="-12"/>
          <w:sz w:val="24"/>
        </w:rPr>
        <w:t> </w:t>
      </w:r>
      <w:r>
        <w:rPr>
          <w:color w:val="231F20"/>
          <w:sz w:val="24"/>
        </w:rPr>
        <w:t>»</w:t>
      </w:r>
      <w:r>
        <w:rPr>
          <w:color w:val="231F20"/>
          <w:spacing w:val="-12"/>
          <w:sz w:val="24"/>
        </w:rPr>
        <w:t> </w:t>
      </w:r>
      <w:r>
        <w:rPr>
          <w:color w:val="231F20"/>
          <w:sz w:val="24"/>
        </w:rPr>
        <w:t>Barthélemy</w:t>
      </w:r>
      <w:r>
        <w:rPr>
          <w:color w:val="231F20"/>
          <w:spacing w:val="-12"/>
          <w:sz w:val="24"/>
        </w:rPr>
        <w:t> </w:t>
      </w:r>
      <w:r>
        <w:rPr>
          <w:color w:val="231F20"/>
          <w:sz w:val="24"/>
        </w:rPr>
        <w:t>Boganda</w:t>
      </w:r>
    </w:p>
    <w:p>
      <w:pPr>
        <w:pStyle w:val="BodyText"/>
        <w:spacing w:before="121"/>
        <w:ind w:right="103" w:firstLine="283"/>
      </w:pPr>
      <w:r>
        <w:rPr>
          <w:color w:val="231F20"/>
        </w:rPr>
        <w:t>L’histoire moderne du pays commence avec Barthélemy Boganda lorsqu’il</w:t>
      </w:r>
      <w:r>
        <w:rPr>
          <w:color w:val="231F20"/>
          <w:spacing w:val="-11"/>
        </w:rPr>
        <w:t> </w:t>
      </w:r>
      <w:r>
        <w:rPr>
          <w:color w:val="231F20"/>
        </w:rPr>
        <w:t>est</w:t>
      </w:r>
      <w:r>
        <w:rPr>
          <w:color w:val="231F20"/>
          <w:spacing w:val="-12"/>
        </w:rPr>
        <w:t> </w:t>
      </w:r>
      <w:r>
        <w:rPr>
          <w:color w:val="231F20"/>
        </w:rPr>
        <w:t>élu</w:t>
      </w:r>
      <w:r>
        <w:rPr>
          <w:color w:val="231F20"/>
          <w:spacing w:val="-11"/>
        </w:rPr>
        <w:t> </w:t>
      </w:r>
      <w:r>
        <w:rPr>
          <w:color w:val="231F20"/>
        </w:rPr>
        <w:t>au</w:t>
      </w:r>
      <w:r>
        <w:rPr>
          <w:color w:val="231F20"/>
          <w:spacing w:val="-12"/>
        </w:rPr>
        <w:t> </w:t>
      </w:r>
      <w:r>
        <w:rPr>
          <w:color w:val="231F20"/>
        </w:rPr>
        <w:t>poste</w:t>
      </w:r>
      <w:r>
        <w:rPr>
          <w:color w:val="231F20"/>
          <w:spacing w:val="-14"/>
        </w:rPr>
        <w:t> </w:t>
      </w:r>
      <w:r>
        <w:rPr>
          <w:color w:val="231F20"/>
        </w:rPr>
        <w:t>de</w:t>
      </w:r>
      <w:r>
        <w:rPr>
          <w:color w:val="231F20"/>
          <w:spacing w:val="-12"/>
        </w:rPr>
        <w:t> </w:t>
      </w:r>
      <w:r>
        <w:rPr>
          <w:color w:val="231F20"/>
        </w:rPr>
        <w:t>président</w:t>
      </w:r>
      <w:r>
        <w:rPr>
          <w:color w:val="231F20"/>
          <w:spacing w:val="-11"/>
        </w:rPr>
        <w:t> </w:t>
      </w:r>
      <w:r>
        <w:rPr>
          <w:color w:val="231F20"/>
        </w:rPr>
        <w:t>du</w:t>
      </w:r>
      <w:r>
        <w:rPr>
          <w:color w:val="231F20"/>
          <w:spacing w:val="-9"/>
        </w:rPr>
        <w:t> </w:t>
      </w:r>
      <w:r>
        <w:rPr>
          <w:color w:val="231F20"/>
        </w:rPr>
        <w:t>gouvernement</w:t>
      </w:r>
      <w:r>
        <w:rPr>
          <w:color w:val="231F20"/>
          <w:spacing w:val="-11"/>
        </w:rPr>
        <w:t> </w:t>
      </w:r>
      <w:r>
        <w:rPr>
          <w:color w:val="231F20"/>
        </w:rPr>
        <w:t>le</w:t>
      </w:r>
      <w:r>
        <w:rPr>
          <w:color w:val="231F20"/>
          <w:spacing w:val="-12"/>
        </w:rPr>
        <w:t> </w:t>
      </w:r>
      <w:r>
        <w:rPr>
          <w:color w:val="231F20"/>
        </w:rPr>
        <w:t>1er</w:t>
      </w:r>
      <w:r>
        <w:rPr>
          <w:color w:val="231F20"/>
          <w:spacing w:val="-11"/>
        </w:rPr>
        <w:t> </w:t>
      </w:r>
      <w:r>
        <w:rPr>
          <w:color w:val="231F20"/>
        </w:rPr>
        <w:t>décembre 1958. C’est lui qui met en place les institutions de la République. Il contribue ainsi personnellement à l’élaboration du drapeau national initialement</w:t>
      </w:r>
      <w:r>
        <w:rPr>
          <w:color w:val="231F20"/>
          <w:spacing w:val="-8"/>
        </w:rPr>
        <w:t> </w:t>
      </w:r>
      <w:r>
        <w:rPr>
          <w:color w:val="231F20"/>
        </w:rPr>
        <w:t>conçu</w:t>
      </w:r>
      <w:r>
        <w:rPr>
          <w:color w:val="231F20"/>
          <w:spacing w:val="-8"/>
        </w:rPr>
        <w:t> </w:t>
      </w:r>
      <w:r>
        <w:rPr>
          <w:color w:val="231F20"/>
        </w:rPr>
        <w:t>pour</w:t>
      </w:r>
      <w:r>
        <w:rPr>
          <w:color w:val="231F20"/>
          <w:spacing w:val="-8"/>
        </w:rPr>
        <w:t> </w:t>
      </w:r>
      <w:r>
        <w:rPr>
          <w:color w:val="231F20"/>
        </w:rPr>
        <w:t>la</w:t>
      </w:r>
      <w:r>
        <w:rPr>
          <w:color w:val="231F20"/>
          <w:spacing w:val="-8"/>
        </w:rPr>
        <w:t> </w:t>
      </w:r>
      <w:r>
        <w:rPr>
          <w:color w:val="231F20"/>
        </w:rPr>
        <w:t>grande</w:t>
      </w:r>
      <w:r>
        <w:rPr>
          <w:color w:val="231F20"/>
          <w:spacing w:val="-8"/>
        </w:rPr>
        <w:t> </w:t>
      </w:r>
      <w:r>
        <w:rPr>
          <w:color w:val="231F20"/>
        </w:rPr>
        <w:t>République</w:t>
      </w:r>
      <w:r>
        <w:rPr>
          <w:color w:val="231F20"/>
          <w:spacing w:val="-10"/>
        </w:rPr>
        <w:t> </w:t>
      </w:r>
      <w:r>
        <w:rPr>
          <w:color w:val="231F20"/>
        </w:rPr>
        <w:t>Centrafricaine</w:t>
      </w:r>
      <w:r>
        <w:rPr>
          <w:color w:val="231F20"/>
          <w:spacing w:val="-8"/>
        </w:rPr>
        <w:t> </w:t>
      </w:r>
      <w:r>
        <w:rPr>
          <w:color w:val="231F20"/>
        </w:rPr>
        <w:t>qui</w:t>
      </w:r>
      <w:r>
        <w:rPr>
          <w:color w:val="231F20"/>
          <w:spacing w:val="-8"/>
        </w:rPr>
        <w:t> </w:t>
      </w:r>
      <w:r>
        <w:rPr>
          <w:color w:val="231F20"/>
        </w:rPr>
        <w:t>devait être</w:t>
      </w:r>
      <w:r>
        <w:rPr>
          <w:color w:val="231F20"/>
          <w:spacing w:val="-3"/>
        </w:rPr>
        <w:t> </w:t>
      </w:r>
      <w:r>
        <w:rPr>
          <w:color w:val="231F20"/>
        </w:rPr>
        <w:t>une</w:t>
      </w:r>
      <w:r>
        <w:rPr>
          <w:color w:val="231F20"/>
          <w:spacing w:val="-1"/>
        </w:rPr>
        <w:t> </w:t>
      </w:r>
      <w:r>
        <w:rPr>
          <w:color w:val="231F20"/>
        </w:rPr>
        <w:t>fédération</w:t>
      </w:r>
      <w:r>
        <w:rPr>
          <w:color w:val="231F20"/>
          <w:spacing w:val="-3"/>
        </w:rPr>
        <w:t> </w:t>
      </w:r>
      <w:r>
        <w:rPr>
          <w:color w:val="231F20"/>
        </w:rPr>
        <w:t>d’</w:t>
      </w:r>
      <w:r>
        <w:rPr>
          <w:color w:val="231F20"/>
          <w:shd w:fill="FCFCFC" w:color="auto" w:val="clear"/>
        </w:rPr>
        <w:t>É</w:t>
      </w:r>
      <w:r>
        <w:rPr>
          <w:color w:val="231F20"/>
        </w:rPr>
        <w:t>tats</w:t>
      </w:r>
      <w:r>
        <w:rPr>
          <w:color w:val="231F20"/>
          <w:spacing w:val="-15"/>
        </w:rPr>
        <w:t> </w:t>
      </w:r>
      <w:r>
        <w:rPr>
          <w:color w:val="231F20"/>
        </w:rPr>
        <w:t>selon</w:t>
      </w:r>
      <w:r>
        <w:rPr>
          <w:color w:val="231F20"/>
          <w:spacing w:val="-1"/>
        </w:rPr>
        <w:t> </w:t>
      </w:r>
      <w:r>
        <w:rPr>
          <w:color w:val="231F20"/>
        </w:rPr>
        <w:t>son</w:t>
      </w:r>
      <w:r>
        <w:rPr>
          <w:color w:val="231F20"/>
          <w:spacing w:val="-1"/>
        </w:rPr>
        <w:t> </w:t>
      </w:r>
      <w:r>
        <w:rPr>
          <w:color w:val="231F20"/>
        </w:rPr>
        <w:t>rêve</w:t>
      </w:r>
      <w:r>
        <w:rPr>
          <w:color w:val="231F20"/>
          <w:spacing w:val="-4"/>
        </w:rPr>
        <w:t> </w:t>
      </w:r>
      <w:r>
        <w:rPr>
          <w:color w:val="231F20"/>
        </w:rPr>
        <w:t>:</w:t>
      </w:r>
      <w:r>
        <w:rPr>
          <w:color w:val="231F20"/>
          <w:spacing w:val="-2"/>
        </w:rPr>
        <w:t> </w:t>
      </w:r>
      <w:r>
        <w:rPr>
          <w:color w:val="231F20"/>
        </w:rPr>
        <w:t>la</w:t>
      </w:r>
      <w:r>
        <w:rPr>
          <w:color w:val="231F20"/>
          <w:spacing w:val="-1"/>
        </w:rPr>
        <w:t> </w:t>
      </w:r>
      <w:r>
        <w:rPr>
          <w:color w:val="231F20"/>
        </w:rPr>
        <w:t>couleur</w:t>
      </w:r>
      <w:r>
        <w:rPr>
          <w:color w:val="231F20"/>
          <w:spacing w:val="-1"/>
        </w:rPr>
        <w:t> </w:t>
      </w:r>
      <w:r>
        <w:rPr>
          <w:color w:val="231F20"/>
        </w:rPr>
        <w:t>bleue</w:t>
      </w:r>
      <w:r>
        <w:rPr>
          <w:color w:val="231F20"/>
          <w:spacing w:val="-4"/>
        </w:rPr>
        <w:t> </w:t>
      </w:r>
      <w:r>
        <w:rPr>
          <w:color w:val="231F20"/>
        </w:rPr>
        <w:t>du</w:t>
      </w:r>
      <w:r>
        <w:rPr>
          <w:color w:val="231F20"/>
          <w:spacing w:val="-3"/>
        </w:rPr>
        <w:t> </w:t>
      </w:r>
      <w:r>
        <w:rPr>
          <w:color w:val="231F20"/>
        </w:rPr>
        <w:t>drapeau correspond</w:t>
      </w:r>
      <w:r>
        <w:rPr>
          <w:color w:val="231F20"/>
          <w:spacing w:val="-6"/>
        </w:rPr>
        <w:t> </w:t>
      </w:r>
      <w:r>
        <w:rPr>
          <w:color w:val="231F20"/>
        </w:rPr>
        <w:t>au</w:t>
      </w:r>
      <w:r>
        <w:rPr>
          <w:color w:val="231F20"/>
          <w:spacing w:val="-6"/>
        </w:rPr>
        <w:t> </w:t>
      </w:r>
      <w:r>
        <w:rPr>
          <w:color w:val="231F20"/>
        </w:rPr>
        <w:t>congo</w:t>
      </w:r>
      <w:r>
        <w:rPr>
          <w:color w:val="231F20"/>
          <w:spacing w:val="-6"/>
        </w:rPr>
        <w:t> </w:t>
      </w:r>
      <w:r>
        <w:rPr>
          <w:color w:val="231F20"/>
        </w:rPr>
        <w:t>et</w:t>
      </w:r>
      <w:r>
        <w:rPr>
          <w:color w:val="231F20"/>
          <w:spacing w:val="-7"/>
        </w:rPr>
        <w:t> </w:t>
      </w:r>
      <w:r>
        <w:rPr>
          <w:color w:val="231F20"/>
        </w:rPr>
        <w:t>l’océan</w:t>
      </w:r>
      <w:r>
        <w:rPr>
          <w:color w:val="231F20"/>
          <w:spacing w:val="-5"/>
        </w:rPr>
        <w:t> </w:t>
      </w:r>
      <w:r>
        <w:rPr>
          <w:color w:val="231F20"/>
        </w:rPr>
        <w:t>qui</w:t>
      </w:r>
      <w:r>
        <w:rPr>
          <w:color w:val="231F20"/>
          <w:spacing w:val="-6"/>
        </w:rPr>
        <w:t> </w:t>
      </w:r>
      <w:r>
        <w:rPr>
          <w:color w:val="231F20"/>
        </w:rPr>
        <w:t>le</w:t>
      </w:r>
      <w:r>
        <w:rPr>
          <w:color w:val="231F20"/>
          <w:spacing w:val="-6"/>
        </w:rPr>
        <w:t> </w:t>
      </w:r>
      <w:r>
        <w:rPr>
          <w:color w:val="231F20"/>
        </w:rPr>
        <w:t>berce</w:t>
      </w:r>
      <w:r>
        <w:rPr>
          <w:color w:val="231F20"/>
          <w:spacing w:val="-15"/>
        </w:rPr>
        <w:t> </w:t>
      </w:r>
      <w:r>
        <w:rPr>
          <w:color w:val="231F20"/>
        </w:rPr>
        <w:t>;</w:t>
      </w:r>
      <w:r>
        <w:rPr>
          <w:color w:val="231F20"/>
          <w:spacing w:val="-6"/>
        </w:rPr>
        <w:t> </w:t>
      </w:r>
      <w:r>
        <w:rPr>
          <w:color w:val="231F20"/>
        </w:rPr>
        <w:t>la</w:t>
      </w:r>
      <w:r>
        <w:rPr>
          <w:color w:val="231F20"/>
          <w:spacing w:val="-4"/>
        </w:rPr>
        <w:t> </w:t>
      </w:r>
      <w:r>
        <w:rPr>
          <w:color w:val="231F20"/>
        </w:rPr>
        <w:t>couleur</w:t>
      </w:r>
      <w:r>
        <w:rPr>
          <w:color w:val="231F20"/>
          <w:spacing w:val="-6"/>
        </w:rPr>
        <w:t> </w:t>
      </w:r>
      <w:r>
        <w:rPr>
          <w:color w:val="231F20"/>
        </w:rPr>
        <w:t>blanche</w:t>
      </w:r>
      <w:r>
        <w:rPr>
          <w:color w:val="231F20"/>
          <w:spacing w:val="-6"/>
        </w:rPr>
        <w:t> </w:t>
      </w:r>
      <w:r>
        <w:rPr>
          <w:color w:val="231F20"/>
        </w:rPr>
        <w:t>pour</w:t>
      </w:r>
      <w:r>
        <w:rPr>
          <w:color w:val="231F20"/>
          <w:spacing w:val="-6"/>
        </w:rPr>
        <w:t> </w:t>
      </w:r>
      <w:r>
        <w:rPr>
          <w:color w:val="231F20"/>
        </w:rPr>
        <w:t>le Tchad</w:t>
      </w:r>
      <w:r>
        <w:rPr>
          <w:color w:val="231F20"/>
          <w:spacing w:val="-15"/>
        </w:rPr>
        <w:t> </w:t>
      </w:r>
      <w:r>
        <w:rPr>
          <w:color w:val="231F20"/>
        </w:rPr>
        <w:t>et</w:t>
      </w:r>
      <w:r>
        <w:rPr>
          <w:color w:val="231F20"/>
          <w:spacing w:val="-15"/>
        </w:rPr>
        <w:t> </w:t>
      </w:r>
      <w:r>
        <w:rPr>
          <w:color w:val="231F20"/>
        </w:rPr>
        <w:t>son</w:t>
      </w:r>
      <w:r>
        <w:rPr>
          <w:color w:val="231F20"/>
          <w:spacing w:val="-15"/>
        </w:rPr>
        <w:t> </w:t>
      </w:r>
      <w:r>
        <w:rPr>
          <w:color w:val="231F20"/>
        </w:rPr>
        <w:t>coton</w:t>
      </w:r>
      <w:r>
        <w:rPr>
          <w:color w:val="231F20"/>
          <w:spacing w:val="-15"/>
        </w:rPr>
        <w:t> </w:t>
      </w:r>
      <w:r>
        <w:rPr>
          <w:color w:val="231F20"/>
        </w:rPr>
        <w:t>;</w:t>
      </w:r>
      <w:r>
        <w:rPr>
          <w:color w:val="231F20"/>
          <w:spacing w:val="-15"/>
        </w:rPr>
        <w:t> </w:t>
      </w:r>
      <w:r>
        <w:rPr>
          <w:color w:val="231F20"/>
        </w:rPr>
        <w:t>la</w:t>
      </w:r>
      <w:r>
        <w:rPr>
          <w:color w:val="231F20"/>
          <w:spacing w:val="-15"/>
        </w:rPr>
        <w:t> </w:t>
      </w:r>
      <w:r>
        <w:rPr>
          <w:color w:val="231F20"/>
        </w:rPr>
        <w:t>couleur</w:t>
      </w:r>
      <w:r>
        <w:rPr>
          <w:color w:val="231F20"/>
          <w:spacing w:val="-15"/>
        </w:rPr>
        <w:t> </w:t>
      </w:r>
      <w:r>
        <w:rPr>
          <w:color w:val="231F20"/>
        </w:rPr>
        <w:t>verte</w:t>
      </w:r>
      <w:r>
        <w:rPr>
          <w:color w:val="231F20"/>
          <w:spacing w:val="-15"/>
        </w:rPr>
        <w:t> </w:t>
      </w:r>
      <w:r>
        <w:rPr>
          <w:color w:val="231F20"/>
        </w:rPr>
        <w:t>symbolise</w:t>
      </w:r>
      <w:r>
        <w:rPr>
          <w:color w:val="231F20"/>
          <w:spacing w:val="-15"/>
        </w:rPr>
        <w:t> </w:t>
      </w:r>
      <w:r>
        <w:rPr>
          <w:color w:val="231F20"/>
        </w:rPr>
        <w:t>le</w:t>
      </w:r>
      <w:r>
        <w:rPr>
          <w:color w:val="231F20"/>
          <w:spacing w:val="-15"/>
        </w:rPr>
        <w:t> </w:t>
      </w:r>
      <w:r>
        <w:rPr>
          <w:color w:val="231F20"/>
        </w:rPr>
        <w:t>Gabon</w:t>
      </w:r>
      <w:r>
        <w:rPr>
          <w:color w:val="231F20"/>
          <w:spacing w:val="-15"/>
        </w:rPr>
        <w:t> </w:t>
      </w:r>
      <w:r>
        <w:rPr>
          <w:color w:val="231F20"/>
        </w:rPr>
        <w:t>et</w:t>
      </w:r>
      <w:r>
        <w:rPr>
          <w:color w:val="231F20"/>
          <w:spacing w:val="-15"/>
        </w:rPr>
        <w:t> </w:t>
      </w:r>
      <w:r>
        <w:rPr>
          <w:color w:val="231F20"/>
        </w:rPr>
        <w:t>ses</w:t>
      </w:r>
      <w:r>
        <w:rPr>
          <w:color w:val="231F20"/>
          <w:spacing w:val="-15"/>
        </w:rPr>
        <w:t> </w:t>
      </w:r>
      <w:r>
        <w:rPr>
          <w:color w:val="231F20"/>
        </w:rPr>
        <w:t>forêts</w:t>
      </w:r>
      <w:r>
        <w:rPr>
          <w:color w:val="231F20"/>
          <w:spacing w:val="-15"/>
        </w:rPr>
        <w:t> </w:t>
      </w:r>
      <w:r>
        <w:rPr>
          <w:color w:val="231F20"/>
        </w:rPr>
        <w:t>;</w:t>
      </w:r>
      <w:r>
        <w:rPr>
          <w:color w:val="231F20"/>
          <w:spacing w:val="-15"/>
        </w:rPr>
        <w:t> </w:t>
      </w:r>
      <w:r>
        <w:rPr>
          <w:color w:val="231F20"/>
        </w:rPr>
        <w:t>la </w:t>
      </w:r>
      <w:r>
        <w:rPr>
          <w:color w:val="231F20"/>
          <w:spacing w:val="-4"/>
        </w:rPr>
        <w:t>couleur</w:t>
      </w:r>
      <w:r>
        <w:rPr>
          <w:color w:val="231F20"/>
          <w:spacing w:val="-8"/>
        </w:rPr>
        <w:t> </w:t>
      </w:r>
      <w:r>
        <w:rPr>
          <w:color w:val="231F20"/>
          <w:spacing w:val="-4"/>
        </w:rPr>
        <w:t>jaune</w:t>
      </w:r>
      <w:r>
        <w:rPr>
          <w:color w:val="231F20"/>
          <w:spacing w:val="-8"/>
        </w:rPr>
        <w:t> </w:t>
      </w:r>
      <w:r>
        <w:rPr>
          <w:color w:val="231F20"/>
          <w:spacing w:val="-4"/>
        </w:rPr>
        <w:t>pour</w:t>
      </w:r>
      <w:r>
        <w:rPr>
          <w:color w:val="231F20"/>
          <w:spacing w:val="-11"/>
        </w:rPr>
        <w:t> </w:t>
      </w:r>
      <w:r>
        <w:rPr>
          <w:color w:val="231F20"/>
          <w:spacing w:val="-4"/>
        </w:rPr>
        <w:t>l’Oubangui-Chari</w:t>
      </w:r>
      <w:r>
        <w:rPr>
          <w:color w:val="231F20"/>
          <w:spacing w:val="-7"/>
        </w:rPr>
        <w:t> </w:t>
      </w:r>
      <w:r>
        <w:rPr>
          <w:color w:val="231F20"/>
          <w:spacing w:val="-4"/>
        </w:rPr>
        <w:t>et</w:t>
      </w:r>
      <w:r>
        <w:rPr>
          <w:color w:val="231F20"/>
          <w:spacing w:val="-8"/>
        </w:rPr>
        <w:t> </w:t>
      </w:r>
      <w:r>
        <w:rPr>
          <w:color w:val="231F20"/>
          <w:spacing w:val="-4"/>
        </w:rPr>
        <w:t>ses</w:t>
      </w:r>
      <w:r>
        <w:rPr>
          <w:color w:val="231F20"/>
          <w:spacing w:val="-8"/>
        </w:rPr>
        <w:t> </w:t>
      </w:r>
      <w:r>
        <w:rPr>
          <w:color w:val="231F20"/>
          <w:spacing w:val="-4"/>
        </w:rPr>
        <w:t>richesses</w:t>
      </w:r>
      <w:r>
        <w:rPr>
          <w:color w:val="231F20"/>
          <w:spacing w:val="-10"/>
        </w:rPr>
        <w:t> </w:t>
      </w:r>
      <w:r>
        <w:rPr>
          <w:color w:val="231F20"/>
          <w:spacing w:val="-4"/>
        </w:rPr>
        <w:t>minières</w:t>
      </w:r>
      <w:r>
        <w:rPr>
          <w:color w:val="231F20"/>
        </w:rPr>
        <w:t> </w:t>
      </w:r>
      <w:r>
        <w:rPr>
          <w:color w:val="231F20"/>
          <w:spacing w:val="-4"/>
        </w:rPr>
        <w:t>;</w:t>
      </w:r>
      <w:r>
        <w:rPr>
          <w:color w:val="231F20"/>
          <w:spacing w:val="-10"/>
        </w:rPr>
        <w:t> </w:t>
      </w:r>
      <w:r>
        <w:rPr>
          <w:color w:val="231F20"/>
          <w:spacing w:val="-4"/>
        </w:rPr>
        <w:t>la</w:t>
      </w:r>
      <w:r>
        <w:rPr>
          <w:color w:val="231F20"/>
          <w:spacing w:val="-9"/>
        </w:rPr>
        <w:t> </w:t>
      </w:r>
      <w:r>
        <w:rPr>
          <w:color w:val="231F20"/>
          <w:spacing w:val="-4"/>
        </w:rPr>
        <w:t>couleur </w:t>
      </w:r>
      <w:r>
        <w:rPr>
          <w:color w:val="231F20"/>
        </w:rPr>
        <w:t>rouge</w:t>
      </w:r>
      <w:r>
        <w:rPr>
          <w:color w:val="231F20"/>
          <w:spacing w:val="-15"/>
        </w:rPr>
        <w:t> </w:t>
      </w:r>
      <w:r>
        <w:rPr>
          <w:color w:val="231F20"/>
        </w:rPr>
        <w:t>correspond</w:t>
      </w:r>
      <w:r>
        <w:rPr>
          <w:color w:val="231F20"/>
          <w:spacing w:val="-15"/>
        </w:rPr>
        <w:t> </w:t>
      </w:r>
      <w:r>
        <w:rPr>
          <w:color w:val="231F20"/>
        </w:rPr>
        <w:t>au</w:t>
      </w:r>
      <w:r>
        <w:rPr>
          <w:color w:val="231F20"/>
          <w:spacing w:val="-15"/>
        </w:rPr>
        <w:t> </w:t>
      </w:r>
      <w:r>
        <w:rPr>
          <w:color w:val="231F20"/>
        </w:rPr>
        <w:t>sang</w:t>
      </w:r>
      <w:r>
        <w:rPr>
          <w:color w:val="231F20"/>
          <w:spacing w:val="-15"/>
        </w:rPr>
        <w:t> </w:t>
      </w:r>
      <w:r>
        <w:rPr>
          <w:color w:val="231F20"/>
        </w:rPr>
        <w:t>versé</w:t>
      </w:r>
      <w:r>
        <w:rPr>
          <w:color w:val="231F20"/>
          <w:spacing w:val="-15"/>
        </w:rPr>
        <w:t> </w:t>
      </w:r>
      <w:r>
        <w:rPr>
          <w:color w:val="231F20"/>
        </w:rPr>
        <w:t>par</w:t>
      </w:r>
      <w:r>
        <w:rPr>
          <w:color w:val="231F20"/>
          <w:spacing w:val="-15"/>
        </w:rPr>
        <w:t> </w:t>
      </w:r>
      <w:r>
        <w:rPr>
          <w:color w:val="231F20"/>
        </w:rPr>
        <w:t>tous</w:t>
      </w:r>
      <w:r>
        <w:rPr>
          <w:color w:val="231F20"/>
          <w:spacing w:val="-15"/>
        </w:rPr>
        <w:t> </w:t>
      </w:r>
      <w:r>
        <w:rPr>
          <w:color w:val="231F20"/>
        </w:rPr>
        <w:t>les</w:t>
      </w:r>
      <w:r>
        <w:rPr>
          <w:color w:val="231F20"/>
          <w:spacing w:val="-15"/>
        </w:rPr>
        <w:t> </w:t>
      </w:r>
      <w:r>
        <w:rPr>
          <w:color w:val="231F20"/>
        </w:rPr>
        <w:t>martyrs.</w:t>
      </w:r>
      <w:r>
        <w:rPr>
          <w:color w:val="231F20"/>
          <w:spacing w:val="-15"/>
        </w:rPr>
        <w:t> </w:t>
      </w:r>
      <w:r>
        <w:rPr>
          <w:color w:val="231F20"/>
        </w:rPr>
        <w:t>Enfin</w:t>
      </w:r>
      <w:r>
        <w:rPr>
          <w:color w:val="231F20"/>
          <w:spacing w:val="-15"/>
        </w:rPr>
        <w:t> </w:t>
      </w:r>
      <w:r>
        <w:rPr>
          <w:color w:val="231F20"/>
        </w:rPr>
        <w:t>l’étoile</w:t>
      </w:r>
      <w:r>
        <w:rPr>
          <w:color w:val="231F20"/>
          <w:spacing w:val="-15"/>
        </w:rPr>
        <w:t> </w:t>
      </w:r>
      <w:r>
        <w:rPr>
          <w:color w:val="231F20"/>
        </w:rPr>
        <w:t>guide </w:t>
      </w:r>
      <w:r>
        <w:rPr>
          <w:color w:val="231F20"/>
          <w:spacing w:val="-4"/>
        </w:rPr>
        <w:t>les</w:t>
      </w:r>
      <w:r>
        <w:rPr>
          <w:color w:val="231F20"/>
          <w:spacing w:val="-5"/>
        </w:rPr>
        <w:t> </w:t>
      </w:r>
      <w:r>
        <w:rPr>
          <w:color w:val="231F20"/>
          <w:spacing w:val="-4"/>
        </w:rPr>
        <w:t>pas</w:t>
      </w:r>
      <w:r>
        <w:rPr>
          <w:color w:val="231F20"/>
          <w:spacing w:val="-5"/>
        </w:rPr>
        <w:t> </w:t>
      </w:r>
      <w:r>
        <w:rPr>
          <w:color w:val="231F20"/>
          <w:spacing w:val="-4"/>
        </w:rPr>
        <w:t>du</w:t>
      </w:r>
      <w:r>
        <w:rPr>
          <w:color w:val="231F20"/>
          <w:spacing w:val="-5"/>
        </w:rPr>
        <w:t> </w:t>
      </w:r>
      <w:r>
        <w:rPr>
          <w:color w:val="231F20"/>
          <w:spacing w:val="-4"/>
        </w:rPr>
        <w:t>peuple</w:t>
      </w:r>
      <w:r>
        <w:rPr>
          <w:color w:val="231F20"/>
          <w:spacing w:val="-8"/>
        </w:rPr>
        <w:t> </w:t>
      </w:r>
      <w:r>
        <w:rPr>
          <w:color w:val="231F20"/>
          <w:spacing w:val="-4"/>
        </w:rPr>
        <w:t>noir</w:t>
      </w:r>
      <w:r>
        <w:rPr>
          <w:color w:val="231F20"/>
          <w:spacing w:val="-6"/>
        </w:rPr>
        <w:t> </w:t>
      </w:r>
      <w:r>
        <w:rPr>
          <w:color w:val="231F20"/>
          <w:spacing w:val="-4"/>
        </w:rPr>
        <w:t>vers</w:t>
      </w:r>
      <w:r>
        <w:rPr>
          <w:color w:val="231F20"/>
          <w:spacing w:val="-7"/>
        </w:rPr>
        <w:t> </w:t>
      </w:r>
      <w:r>
        <w:rPr>
          <w:color w:val="231F20"/>
          <w:spacing w:val="-4"/>
        </w:rPr>
        <w:t>la</w:t>
      </w:r>
      <w:r>
        <w:rPr>
          <w:color w:val="231F20"/>
          <w:spacing w:val="-8"/>
        </w:rPr>
        <w:t> </w:t>
      </w:r>
      <w:r>
        <w:rPr>
          <w:color w:val="231F20"/>
          <w:spacing w:val="-4"/>
        </w:rPr>
        <w:t>liberté</w:t>
      </w:r>
      <w:r>
        <w:rPr>
          <w:color w:val="231F20"/>
          <w:spacing w:val="-6"/>
        </w:rPr>
        <w:t> </w:t>
      </w:r>
      <w:r>
        <w:rPr>
          <w:color w:val="231F20"/>
          <w:spacing w:val="-4"/>
        </w:rPr>
        <w:t>et</w:t>
      </w:r>
      <w:r>
        <w:rPr>
          <w:color w:val="231F20"/>
          <w:spacing w:val="-7"/>
        </w:rPr>
        <w:t> </w:t>
      </w:r>
      <w:r>
        <w:rPr>
          <w:color w:val="231F20"/>
          <w:spacing w:val="-4"/>
        </w:rPr>
        <w:t>l’émancipation.</w:t>
      </w:r>
      <w:r>
        <w:rPr>
          <w:color w:val="231F20"/>
          <w:spacing w:val="-5"/>
        </w:rPr>
        <w:t> </w:t>
      </w:r>
      <w:r>
        <w:rPr>
          <w:color w:val="231F20"/>
          <w:spacing w:val="-4"/>
        </w:rPr>
        <w:t>Il</w:t>
      </w:r>
      <w:r>
        <w:rPr>
          <w:color w:val="231F20"/>
          <w:spacing w:val="-5"/>
        </w:rPr>
        <w:t> </w:t>
      </w:r>
      <w:r>
        <w:rPr>
          <w:color w:val="231F20"/>
          <w:spacing w:val="-4"/>
        </w:rPr>
        <w:t>énonce</w:t>
      </w:r>
      <w:r>
        <w:rPr>
          <w:color w:val="231F20"/>
          <w:spacing w:val="-6"/>
        </w:rPr>
        <w:t> </w:t>
      </w:r>
      <w:r>
        <w:rPr>
          <w:color w:val="231F20"/>
          <w:spacing w:val="-4"/>
        </w:rPr>
        <w:t>la</w:t>
      </w:r>
      <w:r>
        <w:rPr>
          <w:color w:val="231F20"/>
          <w:spacing w:val="-8"/>
        </w:rPr>
        <w:t> </w:t>
      </w:r>
      <w:r>
        <w:rPr>
          <w:color w:val="231F20"/>
          <w:spacing w:val="-4"/>
        </w:rPr>
        <w:t>devise </w:t>
      </w:r>
      <w:r>
        <w:rPr>
          <w:color w:val="231F20"/>
        </w:rPr>
        <w:t>du pays «</w:t>
      </w:r>
      <w:r>
        <w:rPr>
          <w:color w:val="231F20"/>
          <w:spacing w:val="-14"/>
        </w:rPr>
        <w:t> </w:t>
      </w:r>
      <w:r>
        <w:rPr>
          <w:color w:val="231F20"/>
        </w:rPr>
        <w:t>unité, dignité, travail</w:t>
      </w:r>
      <w:r>
        <w:rPr>
          <w:color w:val="231F20"/>
          <w:spacing w:val="-13"/>
        </w:rPr>
        <w:t> </w:t>
      </w:r>
      <w:r>
        <w:rPr>
          <w:color w:val="231F20"/>
        </w:rPr>
        <w:t>» à laquelle est attaché le principe «</w:t>
      </w:r>
      <w:r>
        <w:rPr>
          <w:color w:val="231F20"/>
          <w:spacing w:val="-12"/>
        </w:rPr>
        <w:t> </w:t>
      </w:r>
      <w:r>
        <w:rPr>
          <w:color w:val="231F20"/>
        </w:rPr>
        <w:t>zo kwe zo</w:t>
      </w:r>
      <w:r>
        <w:rPr>
          <w:color w:val="231F20"/>
          <w:spacing w:val="-13"/>
        </w:rPr>
        <w:t> </w:t>
      </w:r>
      <w:r>
        <w:rPr>
          <w:color w:val="231F20"/>
        </w:rPr>
        <w:t>» (tout être humain est une personne ou un homme en vaut un autre)</w:t>
      </w:r>
      <w:r>
        <w:rPr>
          <w:color w:val="231F20"/>
          <w:spacing w:val="-16"/>
        </w:rPr>
        <w:t> </w:t>
      </w:r>
      <w:r>
        <w:rPr>
          <w:color w:val="231F20"/>
        </w:rPr>
        <w:t>;</w:t>
      </w:r>
      <w:r>
        <w:rPr>
          <w:color w:val="231F20"/>
          <w:spacing w:val="24"/>
        </w:rPr>
        <w:t> </w:t>
      </w:r>
      <w:r>
        <w:rPr>
          <w:color w:val="231F20"/>
        </w:rPr>
        <w:t>enfin</w:t>
      </w:r>
      <w:r>
        <w:rPr>
          <w:color w:val="231F20"/>
          <w:spacing w:val="23"/>
        </w:rPr>
        <w:t> </w:t>
      </w:r>
      <w:r>
        <w:rPr>
          <w:color w:val="231F20"/>
        </w:rPr>
        <w:t>il</w:t>
      </w:r>
      <w:r>
        <w:rPr>
          <w:color w:val="231F20"/>
          <w:spacing w:val="25"/>
        </w:rPr>
        <w:t> </w:t>
      </w:r>
      <w:r>
        <w:rPr>
          <w:color w:val="231F20"/>
        </w:rPr>
        <w:t>compose</w:t>
      </w:r>
      <w:r>
        <w:rPr>
          <w:color w:val="231F20"/>
          <w:spacing w:val="21"/>
        </w:rPr>
        <w:t> </w:t>
      </w:r>
      <w:r>
        <w:rPr>
          <w:color w:val="231F20"/>
        </w:rPr>
        <w:t>en</w:t>
      </w:r>
      <w:r>
        <w:rPr>
          <w:color w:val="231F20"/>
          <w:spacing w:val="24"/>
        </w:rPr>
        <w:t> </w:t>
      </w:r>
      <w:r>
        <w:rPr>
          <w:color w:val="231F20"/>
        </w:rPr>
        <w:t>partie</w:t>
      </w:r>
      <w:r>
        <w:rPr>
          <w:color w:val="231F20"/>
          <w:spacing w:val="21"/>
        </w:rPr>
        <w:t> </w:t>
      </w:r>
      <w:r>
        <w:rPr>
          <w:color w:val="231F20"/>
        </w:rPr>
        <w:t>les</w:t>
      </w:r>
      <w:r>
        <w:rPr>
          <w:color w:val="231F20"/>
          <w:spacing w:val="23"/>
        </w:rPr>
        <w:t> </w:t>
      </w:r>
      <w:r>
        <w:rPr>
          <w:color w:val="231F20"/>
        </w:rPr>
        <w:t>paroles</w:t>
      </w:r>
      <w:r>
        <w:rPr>
          <w:color w:val="231F20"/>
          <w:spacing w:val="24"/>
        </w:rPr>
        <w:t> </w:t>
      </w:r>
      <w:r>
        <w:rPr>
          <w:color w:val="231F20"/>
        </w:rPr>
        <w:t>en</w:t>
      </w:r>
      <w:r>
        <w:rPr>
          <w:color w:val="231F20"/>
          <w:spacing w:val="22"/>
        </w:rPr>
        <w:t> </w:t>
      </w:r>
      <w:r>
        <w:rPr>
          <w:color w:val="231F20"/>
        </w:rPr>
        <w:t>français</w:t>
      </w:r>
      <w:r>
        <w:rPr>
          <w:color w:val="231F20"/>
          <w:spacing w:val="22"/>
        </w:rPr>
        <w:t> </w:t>
      </w:r>
      <w:r>
        <w:rPr>
          <w:color w:val="231F20"/>
        </w:rPr>
        <w:t>de</w:t>
      </w:r>
      <w:r>
        <w:rPr>
          <w:color w:val="231F20"/>
          <w:spacing w:val="22"/>
        </w:rPr>
        <w:t> </w:t>
      </w:r>
      <w:r>
        <w:rPr>
          <w:color w:val="231F20"/>
          <w:spacing w:val="-2"/>
        </w:rPr>
        <w:t>l’hymne</w:t>
      </w:r>
    </w:p>
    <w:p>
      <w:pPr>
        <w:pStyle w:val="BodyText"/>
        <w:ind w:left="0"/>
        <w:jc w:val="left"/>
        <w:rPr>
          <w:sz w:val="20"/>
        </w:rPr>
      </w:pPr>
    </w:p>
    <w:p>
      <w:pPr>
        <w:pStyle w:val="BodyText"/>
        <w:ind w:left="0"/>
        <w:jc w:val="left"/>
        <w:rPr>
          <w:sz w:val="20"/>
        </w:rPr>
      </w:pPr>
    </w:p>
    <w:p>
      <w:pPr>
        <w:pStyle w:val="BodyText"/>
        <w:spacing w:before="104"/>
        <w:ind w:left="0"/>
        <w:jc w:val="left"/>
        <w:rPr>
          <w:sz w:val="20"/>
        </w:rPr>
      </w:pPr>
      <w:r>
        <w:rPr/>
        <mc:AlternateContent>
          <mc:Choice Requires="wps">
            <w:drawing>
              <wp:anchor distT="0" distB="0" distL="0" distR="0" allowOverlap="1" layoutInCell="1" locked="0" behindDoc="1" simplePos="0" relativeHeight="487607808">
                <wp:simplePos x="0" y="0"/>
                <wp:positionH relativeFrom="page">
                  <wp:posOffset>629907</wp:posOffset>
                </wp:positionH>
                <wp:positionV relativeFrom="paragraph">
                  <wp:posOffset>227326</wp:posOffset>
                </wp:positionV>
                <wp:extent cx="1829435" cy="9525"/>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899687pt;width:144.020pt;height:.72pt;mso-position-horizontal-relative:page;mso-position-vertical-relative:paragraph;z-index:-15708672;mso-wrap-distance-left:0;mso-wrap-distance-right:0" id="docshape54"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59</w:t>
      </w:r>
      <w:r>
        <w:rPr>
          <w:color w:val="76787A"/>
          <w:spacing w:val="2"/>
          <w:sz w:val="20"/>
          <w:vertAlign w:val="baseline"/>
        </w:rPr>
        <w:t> </w:t>
      </w:r>
      <w:r>
        <w:rPr>
          <w:color w:val="231F20"/>
          <w:spacing w:val="-4"/>
          <w:sz w:val="20"/>
          <w:vertAlign w:val="baseline"/>
        </w:rPr>
        <w:t>Source</w:t>
      </w:r>
      <w:r>
        <w:rPr>
          <w:color w:val="231F20"/>
          <w:spacing w:val="-2"/>
          <w:sz w:val="20"/>
          <w:vertAlign w:val="baseline"/>
        </w:rPr>
        <w:t> </w:t>
      </w:r>
      <w:r>
        <w:rPr>
          <w:color w:val="231F20"/>
          <w:spacing w:val="-4"/>
          <w:sz w:val="20"/>
          <w:vertAlign w:val="baseline"/>
        </w:rPr>
        <w:t>Wikipédia</w:t>
      </w:r>
      <w:r>
        <w:rPr>
          <w:color w:val="231F20"/>
          <w:spacing w:val="-2"/>
          <w:sz w:val="20"/>
          <w:vertAlign w:val="baseline"/>
        </w:rPr>
        <w:t> </w:t>
      </w:r>
      <w:r>
        <w:rPr>
          <w:color w:val="231F20"/>
          <w:spacing w:val="-10"/>
          <w:sz w:val="20"/>
          <w:vertAlign w:val="baseline"/>
        </w:rPr>
        <w:t>;</w:t>
      </w:r>
    </w:p>
    <w:p>
      <w:pPr>
        <w:spacing w:after="0"/>
        <w:jc w:val="left"/>
        <w:rPr>
          <w:sz w:val="20"/>
        </w:rPr>
        <w:sectPr>
          <w:pgSz w:w="8790" w:h="13610"/>
          <w:pgMar w:header="0" w:footer="802" w:top="1060" w:bottom="1000" w:left="880" w:right="880"/>
        </w:sectPr>
      </w:pPr>
    </w:p>
    <w:p>
      <w:pPr>
        <w:pStyle w:val="BodyText"/>
        <w:spacing w:before="66"/>
        <w:ind w:right="105"/>
      </w:pPr>
      <w:r>
        <w:rPr>
          <w:color w:val="231F20"/>
        </w:rPr>
        <w:t>national</w:t>
      </w:r>
      <w:r>
        <w:rPr>
          <w:color w:val="231F20"/>
          <w:spacing w:val="-13"/>
        </w:rPr>
        <w:t> </w:t>
      </w:r>
      <w:r>
        <w:rPr>
          <w:color w:val="231F20"/>
        </w:rPr>
        <w:t>«</w:t>
      </w:r>
      <w:r>
        <w:rPr>
          <w:color w:val="231F20"/>
          <w:spacing w:val="-15"/>
        </w:rPr>
        <w:t> </w:t>
      </w:r>
      <w:r>
        <w:rPr>
          <w:color w:val="231F20"/>
        </w:rPr>
        <w:t>la renaissance.</w:t>
      </w:r>
      <w:r>
        <w:rPr>
          <w:color w:val="231F20"/>
          <w:spacing w:val="-15"/>
        </w:rPr>
        <w:t> </w:t>
      </w:r>
      <w:r>
        <w:rPr>
          <w:color w:val="231F20"/>
        </w:rPr>
        <w:t>» et écrit le préambule de la Constitution détaillant</w:t>
      </w:r>
      <w:r>
        <w:rPr>
          <w:color w:val="231F20"/>
          <w:spacing w:val="-12"/>
        </w:rPr>
        <w:t> </w:t>
      </w:r>
      <w:r>
        <w:rPr>
          <w:color w:val="231F20"/>
        </w:rPr>
        <w:t>toutes</w:t>
      </w:r>
      <w:r>
        <w:rPr>
          <w:color w:val="231F20"/>
          <w:spacing w:val="-12"/>
        </w:rPr>
        <w:t> </w:t>
      </w:r>
      <w:r>
        <w:rPr>
          <w:color w:val="231F20"/>
        </w:rPr>
        <w:t>les</w:t>
      </w:r>
      <w:r>
        <w:rPr>
          <w:color w:val="231F20"/>
          <w:spacing w:val="-12"/>
        </w:rPr>
        <w:t> </w:t>
      </w:r>
      <w:r>
        <w:rPr>
          <w:color w:val="231F20"/>
        </w:rPr>
        <w:t>libertés</w:t>
      </w:r>
      <w:r>
        <w:rPr>
          <w:color w:val="231F20"/>
          <w:spacing w:val="-10"/>
        </w:rPr>
        <w:t> </w:t>
      </w:r>
      <w:r>
        <w:rPr>
          <w:color w:val="231F20"/>
        </w:rPr>
        <w:t>publiques</w:t>
      </w:r>
      <w:r>
        <w:rPr>
          <w:color w:val="231F20"/>
          <w:spacing w:val="-11"/>
        </w:rPr>
        <w:t> </w:t>
      </w:r>
      <w:r>
        <w:rPr>
          <w:color w:val="231F20"/>
        </w:rPr>
        <w:t>reconnues</w:t>
      </w:r>
      <w:r>
        <w:rPr>
          <w:color w:val="231F20"/>
          <w:spacing w:val="-11"/>
        </w:rPr>
        <w:t> </w:t>
      </w:r>
      <w:r>
        <w:rPr>
          <w:color w:val="231F20"/>
        </w:rPr>
        <w:t>aux</w:t>
      </w:r>
      <w:r>
        <w:rPr>
          <w:color w:val="231F20"/>
          <w:spacing w:val="-12"/>
        </w:rPr>
        <w:t> </w:t>
      </w:r>
      <w:r>
        <w:rPr>
          <w:color w:val="231F20"/>
        </w:rPr>
        <w:t>Centrafricains.</w:t>
      </w:r>
    </w:p>
    <w:p>
      <w:pPr>
        <w:pStyle w:val="BodyText"/>
        <w:spacing w:before="120"/>
        <w:ind w:right="101" w:firstLine="283"/>
      </w:pPr>
      <w:r>
        <w:rPr>
          <w:color w:val="231F20"/>
          <w:spacing w:val="-4"/>
        </w:rPr>
        <w:t>Le</w:t>
      </w:r>
      <w:r>
        <w:rPr>
          <w:color w:val="231F20"/>
          <w:spacing w:val="-11"/>
        </w:rPr>
        <w:t> </w:t>
      </w:r>
      <w:r>
        <w:rPr>
          <w:color w:val="231F20"/>
          <w:spacing w:val="-4"/>
        </w:rPr>
        <w:t>père</w:t>
      </w:r>
      <w:r>
        <w:rPr>
          <w:color w:val="231F20"/>
          <w:spacing w:val="-11"/>
        </w:rPr>
        <w:t> </w:t>
      </w:r>
      <w:r>
        <w:rPr>
          <w:color w:val="231F20"/>
          <w:spacing w:val="-4"/>
        </w:rPr>
        <w:t>de</w:t>
      </w:r>
      <w:r>
        <w:rPr>
          <w:color w:val="231F20"/>
          <w:spacing w:val="-11"/>
        </w:rPr>
        <w:t> </w:t>
      </w:r>
      <w:r>
        <w:rPr>
          <w:color w:val="231F20"/>
          <w:spacing w:val="-4"/>
        </w:rPr>
        <w:t>Barthélemy</w:t>
      </w:r>
      <w:r>
        <w:rPr>
          <w:color w:val="231F20"/>
          <w:spacing w:val="-11"/>
        </w:rPr>
        <w:t> </w:t>
      </w:r>
      <w:r>
        <w:rPr>
          <w:color w:val="231F20"/>
          <w:spacing w:val="-4"/>
        </w:rPr>
        <w:t>Boganda</w:t>
      </w:r>
      <w:r>
        <w:rPr>
          <w:color w:val="231F20"/>
          <w:spacing w:val="-10"/>
        </w:rPr>
        <w:t> </w:t>
      </w:r>
      <w:r>
        <w:rPr>
          <w:color w:val="231F20"/>
          <w:spacing w:val="-4"/>
        </w:rPr>
        <w:t>aurait</w:t>
      </w:r>
      <w:r>
        <w:rPr>
          <w:color w:val="231F20"/>
          <w:spacing w:val="-11"/>
        </w:rPr>
        <w:t> </w:t>
      </w:r>
      <w:r>
        <w:rPr>
          <w:color w:val="231F20"/>
          <w:spacing w:val="-4"/>
        </w:rPr>
        <w:t>été</w:t>
      </w:r>
      <w:r>
        <w:rPr>
          <w:color w:val="231F20"/>
          <w:spacing w:val="-11"/>
        </w:rPr>
        <w:t> </w:t>
      </w:r>
      <w:r>
        <w:rPr>
          <w:color w:val="231F20"/>
          <w:spacing w:val="-4"/>
        </w:rPr>
        <w:t>tué</w:t>
      </w:r>
      <w:r>
        <w:rPr>
          <w:color w:val="231F20"/>
          <w:spacing w:val="-11"/>
        </w:rPr>
        <w:t> </w:t>
      </w:r>
      <w:r>
        <w:rPr>
          <w:color w:val="231F20"/>
          <w:spacing w:val="-4"/>
        </w:rPr>
        <w:t>au</w:t>
      </w:r>
      <w:r>
        <w:rPr>
          <w:color w:val="231F20"/>
          <w:spacing w:val="-10"/>
        </w:rPr>
        <w:t> </w:t>
      </w:r>
      <w:r>
        <w:rPr>
          <w:color w:val="231F20"/>
          <w:spacing w:val="-4"/>
        </w:rPr>
        <w:t>cours</w:t>
      </w:r>
      <w:r>
        <w:rPr>
          <w:color w:val="231F20"/>
          <w:spacing w:val="-11"/>
        </w:rPr>
        <w:t> </w:t>
      </w:r>
      <w:r>
        <w:rPr>
          <w:color w:val="231F20"/>
          <w:spacing w:val="-4"/>
        </w:rPr>
        <w:t>d’une</w:t>
      </w:r>
      <w:r>
        <w:rPr>
          <w:color w:val="231F20"/>
          <w:spacing w:val="-11"/>
        </w:rPr>
        <w:t> </w:t>
      </w:r>
      <w:r>
        <w:rPr>
          <w:color w:val="231F20"/>
          <w:spacing w:val="-4"/>
        </w:rPr>
        <w:t>opération </w:t>
      </w:r>
      <w:r>
        <w:rPr>
          <w:color w:val="231F20"/>
          <w:spacing w:val="-2"/>
        </w:rPr>
        <w:t>militaire</w:t>
      </w:r>
      <w:r>
        <w:rPr>
          <w:color w:val="231F20"/>
          <w:spacing w:val="-15"/>
        </w:rPr>
        <w:t> </w:t>
      </w:r>
      <w:r>
        <w:rPr>
          <w:color w:val="231F20"/>
          <w:spacing w:val="-2"/>
        </w:rPr>
        <w:t>menée</w:t>
      </w:r>
      <w:r>
        <w:rPr>
          <w:color w:val="231F20"/>
          <w:spacing w:val="-13"/>
        </w:rPr>
        <w:t> </w:t>
      </w:r>
      <w:r>
        <w:rPr>
          <w:color w:val="231F20"/>
          <w:spacing w:val="-2"/>
        </w:rPr>
        <w:t>contre</w:t>
      </w:r>
      <w:r>
        <w:rPr>
          <w:color w:val="231F20"/>
          <w:spacing w:val="-13"/>
        </w:rPr>
        <w:t> </w:t>
      </w:r>
      <w:r>
        <w:rPr>
          <w:color w:val="231F20"/>
          <w:spacing w:val="-2"/>
        </w:rPr>
        <w:t>son</w:t>
      </w:r>
      <w:r>
        <w:rPr>
          <w:color w:val="231F20"/>
          <w:spacing w:val="-13"/>
        </w:rPr>
        <w:t> </w:t>
      </w:r>
      <w:r>
        <w:rPr>
          <w:color w:val="231F20"/>
          <w:spacing w:val="-2"/>
        </w:rPr>
        <w:t>village,</w:t>
      </w:r>
      <w:r>
        <w:rPr>
          <w:color w:val="231F20"/>
          <w:spacing w:val="-13"/>
        </w:rPr>
        <w:t> </w:t>
      </w:r>
      <w:r>
        <w:rPr>
          <w:color w:val="231F20"/>
          <w:spacing w:val="-2"/>
        </w:rPr>
        <w:t>sa</w:t>
      </w:r>
      <w:r>
        <w:rPr>
          <w:color w:val="231F20"/>
          <w:spacing w:val="-13"/>
        </w:rPr>
        <w:t> </w:t>
      </w:r>
      <w:r>
        <w:rPr>
          <w:color w:val="231F20"/>
          <w:spacing w:val="-2"/>
        </w:rPr>
        <w:t>mère</w:t>
      </w:r>
      <w:r>
        <w:rPr>
          <w:color w:val="231F20"/>
          <w:spacing w:val="-13"/>
        </w:rPr>
        <w:t> </w:t>
      </w:r>
      <w:r>
        <w:rPr>
          <w:color w:val="231F20"/>
          <w:spacing w:val="-2"/>
        </w:rPr>
        <w:t>battue</w:t>
      </w:r>
      <w:r>
        <w:rPr>
          <w:color w:val="231F20"/>
          <w:spacing w:val="-13"/>
        </w:rPr>
        <w:t> </w:t>
      </w:r>
      <w:r>
        <w:rPr>
          <w:color w:val="231F20"/>
          <w:spacing w:val="-2"/>
        </w:rPr>
        <w:t>jusque</w:t>
      </w:r>
      <w:r>
        <w:rPr>
          <w:color w:val="231F20"/>
          <w:spacing w:val="-13"/>
        </w:rPr>
        <w:t> </w:t>
      </w:r>
      <w:r>
        <w:rPr>
          <w:color w:val="231F20"/>
          <w:spacing w:val="-2"/>
        </w:rPr>
        <w:t>mort</w:t>
      </w:r>
      <w:r>
        <w:rPr>
          <w:color w:val="231F20"/>
          <w:spacing w:val="-13"/>
        </w:rPr>
        <w:t> </w:t>
      </w:r>
      <w:r>
        <w:rPr>
          <w:color w:val="231F20"/>
          <w:spacing w:val="-2"/>
        </w:rPr>
        <w:t>s’en</w:t>
      </w:r>
      <w:r>
        <w:rPr>
          <w:color w:val="231F20"/>
          <w:spacing w:val="-13"/>
        </w:rPr>
        <w:t> </w:t>
      </w:r>
      <w:r>
        <w:rPr>
          <w:color w:val="231F20"/>
          <w:spacing w:val="-2"/>
        </w:rPr>
        <w:t>suive, </w:t>
      </w:r>
      <w:r>
        <w:rPr>
          <w:color w:val="231F20"/>
        </w:rPr>
        <w:t>par un milicien de la compagnie forestière Sangha-Oubangui (CFSO) pour n’avoir pas apporté assez de caoutchouc. Orphelin</w:t>
      </w:r>
      <w:r>
        <w:rPr>
          <w:color w:val="231F20"/>
          <w:spacing w:val="-15"/>
        </w:rPr>
        <w:t> </w:t>
      </w:r>
      <w:r>
        <w:rPr>
          <w:color w:val="231F20"/>
        </w:rPr>
        <w:t>par la faute de l’Administration coloniale, l’enfant est recueilli par les missionnaires. Plus</w:t>
      </w:r>
      <w:r>
        <w:rPr>
          <w:color w:val="231F20"/>
          <w:spacing w:val="-5"/>
        </w:rPr>
        <w:t> </w:t>
      </w:r>
      <w:r>
        <w:rPr>
          <w:color w:val="231F20"/>
        </w:rPr>
        <w:t>tard,</w:t>
      </w:r>
      <w:r>
        <w:rPr>
          <w:color w:val="231F20"/>
          <w:spacing w:val="-5"/>
        </w:rPr>
        <w:t> </w:t>
      </w:r>
      <w:r>
        <w:rPr>
          <w:color w:val="231F20"/>
        </w:rPr>
        <w:t>il</w:t>
      </w:r>
      <w:r>
        <w:rPr>
          <w:color w:val="231F20"/>
          <w:spacing w:val="-5"/>
        </w:rPr>
        <w:t> </w:t>
      </w:r>
      <w:r>
        <w:rPr>
          <w:color w:val="231F20"/>
        </w:rPr>
        <w:t>sera</w:t>
      </w:r>
      <w:r>
        <w:rPr>
          <w:color w:val="231F20"/>
          <w:spacing w:val="-6"/>
        </w:rPr>
        <w:t> </w:t>
      </w:r>
      <w:r>
        <w:rPr>
          <w:color w:val="231F20"/>
        </w:rPr>
        <w:t>le</w:t>
      </w:r>
      <w:r>
        <w:rPr>
          <w:color w:val="231F20"/>
          <w:spacing w:val="-6"/>
        </w:rPr>
        <w:t> </w:t>
      </w:r>
      <w:r>
        <w:rPr>
          <w:color w:val="231F20"/>
        </w:rPr>
        <w:t>premier</w:t>
      </w:r>
      <w:r>
        <w:rPr>
          <w:color w:val="231F20"/>
          <w:spacing w:val="-6"/>
        </w:rPr>
        <w:t> </w:t>
      </w:r>
      <w:r>
        <w:rPr>
          <w:color w:val="231F20"/>
        </w:rPr>
        <w:t>natif</w:t>
      </w:r>
      <w:r>
        <w:rPr>
          <w:color w:val="231F20"/>
          <w:spacing w:val="-6"/>
        </w:rPr>
        <w:t> </w:t>
      </w:r>
      <w:r>
        <w:rPr>
          <w:color w:val="231F20"/>
        </w:rPr>
        <w:t>de</w:t>
      </w:r>
      <w:r>
        <w:rPr>
          <w:color w:val="231F20"/>
          <w:spacing w:val="-8"/>
        </w:rPr>
        <w:t> </w:t>
      </w:r>
      <w:r>
        <w:rPr>
          <w:color w:val="231F20"/>
        </w:rPr>
        <w:t>l’Oubangui-Chari</w:t>
      </w:r>
      <w:r>
        <w:rPr>
          <w:color w:val="231F20"/>
          <w:spacing w:val="-5"/>
        </w:rPr>
        <w:t> </w:t>
      </w:r>
      <w:r>
        <w:rPr>
          <w:color w:val="231F20"/>
        </w:rPr>
        <w:t>à</w:t>
      </w:r>
      <w:r>
        <w:rPr>
          <w:color w:val="231F20"/>
          <w:spacing w:val="-6"/>
        </w:rPr>
        <w:t> </w:t>
      </w:r>
      <w:r>
        <w:rPr>
          <w:color w:val="231F20"/>
        </w:rPr>
        <w:t>avoir</w:t>
      </w:r>
      <w:r>
        <w:rPr>
          <w:color w:val="231F20"/>
          <w:spacing w:val="-5"/>
        </w:rPr>
        <w:t> </w:t>
      </w:r>
      <w:r>
        <w:rPr>
          <w:color w:val="231F20"/>
        </w:rPr>
        <w:t>accès</w:t>
      </w:r>
      <w:r>
        <w:rPr>
          <w:color w:val="231F20"/>
          <w:spacing w:val="-6"/>
        </w:rPr>
        <w:t> </w:t>
      </w:r>
      <w:r>
        <w:rPr>
          <w:color w:val="231F20"/>
        </w:rPr>
        <w:t>aux études secondaires, également le premier à atteindre l’enseignement supérieur</w:t>
      </w:r>
      <w:r>
        <w:rPr>
          <w:color w:val="231F20"/>
          <w:spacing w:val="-15"/>
        </w:rPr>
        <w:t> </w:t>
      </w:r>
      <w:r>
        <w:rPr>
          <w:color w:val="231F20"/>
        </w:rPr>
        <w:t>avec</w:t>
      </w:r>
      <w:r>
        <w:rPr>
          <w:color w:val="231F20"/>
          <w:spacing w:val="-15"/>
        </w:rPr>
        <w:t> </w:t>
      </w:r>
      <w:r>
        <w:rPr>
          <w:color w:val="231F20"/>
        </w:rPr>
        <w:t>son</w:t>
      </w:r>
      <w:r>
        <w:rPr>
          <w:color w:val="231F20"/>
          <w:spacing w:val="-15"/>
        </w:rPr>
        <w:t> </w:t>
      </w:r>
      <w:r>
        <w:rPr>
          <w:color w:val="231F20"/>
        </w:rPr>
        <w:t>admission</w:t>
      </w:r>
      <w:r>
        <w:rPr>
          <w:color w:val="231F20"/>
          <w:spacing w:val="-15"/>
        </w:rPr>
        <w:t> </w:t>
      </w:r>
      <w:r>
        <w:rPr>
          <w:color w:val="231F20"/>
        </w:rPr>
        <w:t>en</w:t>
      </w:r>
      <w:r>
        <w:rPr>
          <w:color w:val="231F20"/>
          <w:spacing w:val="-15"/>
        </w:rPr>
        <w:t> </w:t>
      </w:r>
      <w:r>
        <w:rPr>
          <w:color w:val="231F20"/>
        </w:rPr>
        <w:t>octobre</w:t>
      </w:r>
      <w:r>
        <w:rPr>
          <w:color w:val="231F20"/>
          <w:spacing w:val="-15"/>
        </w:rPr>
        <w:t> </w:t>
      </w:r>
      <w:r>
        <w:rPr>
          <w:color w:val="231F20"/>
        </w:rPr>
        <w:t>1931</w:t>
      </w:r>
      <w:r>
        <w:rPr>
          <w:color w:val="231F20"/>
          <w:spacing w:val="-15"/>
        </w:rPr>
        <w:t> </w:t>
      </w:r>
      <w:r>
        <w:rPr>
          <w:color w:val="231F20"/>
        </w:rPr>
        <w:t>au</w:t>
      </w:r>
      <w:r>
        <w:rPr>
          <w:color w:val="231F20"/>
          <w:spacing w:val="-15"/>
        </w:rPr>
        <w:t> </w:t>
      </w:r>
      <w:r>
        <w:rPr>
          <w:color w:val="231F20"/>
        </w:rPr>
        <w:t>grand</w:t>
      </w:r>
      <w:r>
        <w:rPr>
          <w:color w:val="231F20"/>
          <w:spacing w:val="-15"/>
        </w:rPr>
        <w:t> </w:t>
      </w:r>
      <w:r>
        <w:rPr>
          <w:color w:val="231F20"/>
        </w:rPr>
        <w:t>séminaire</w:t>
      </w:r>
      <w:r>
        <w:rPr>
          <w:color w:val="231F20"/>
          <w:spacing w:val="-15"/>
        </w:rPr>
        <w:t> </w:t>
      </w:r>
      <w:r>
        <w:rPr>
          <w:color w:val="231F20"/>
        </w:rPr>
        <w:t>Saint- Laurent</w:t>
      </w:r>
      <w:r>
        <w:rPr>
          <w:color w:val="231F20"/>
          <w:spacing w:val="-9"/>
        </w:rPr>
        <w:t> </w:t>
      </w:r>
      <w:r>
        <w:rPr>
          <w:color w:val="231F20"/>
        </w:rPr>
        <w:t>de</w:t>
      </w:r>
      <w:r>
        <w:rPr>
          <w:color w:val="231F20"/>
          <w:spacing w:val="-7"/>
        </w:rPr>
        <w:t> </w:t>
      </w:r>
      <w:r>
        <w:rPr>
          <w:color w:val="231F20"/>
        </w:rPr>
        <w:t>Mvolye</w:t>
      </w:r>
      <w:r>
        <w:rPr>
          <w:color w:val="231F20"/>
          <w:spacing w:val="-6"/>
        </w:rPr>
        <w:t> </w:t>
      </w:r>
      <w:r>
        <w:rPr>
          <w:color w:val="231F20"/>
        </w:rPr>
        <w:t>à</w:t>
      </w:r>
      <w:r>
        <w:rPr>
          <w:color w:val="231F20"/>
          <w:spacing w:val="-9"/>
        </w:rPr>
        <w:t> </w:t>
      </w:r>
      <w:r>
        <w:rPr>
          <w:color w:val="231F20"/>
        </w:rPr>
        <w:t>Yaoundé,</w:t>
      </w:r>
      <w:r>
        <w:rPr>
          <w:color w:val="231F20"/>
          <w:spacing w:val="-9"/>
        </w:rPr>
        <w:t> </w:t>
      </w:r>
      <w:r>
        <w:rPr>
          <w:color w:val="231F20"/>
        </w:rPr>
        <w:t>le</w:t>
      </w:r>
      <w:r>
        <w:rPr>
          <w:color w:val="231F20"/>
          <w:spacing w:val="-9"/>
        </w:rPr>
        <w:t> </w:t>
      </w:r>
      <w:r>
        <w:rPr>
          <w:color w:val="231F20"/>
        </w:rPr>
        <w:t>premier</w:t>
      </w:r>
      <w:r>
        <w:rPr>
          <w:color w:val="231F20"/>
          <w:spacing w:val="-9"/>
        </w:rPr>
        <w:t> </w:t>
      </w:r>
      <w:r>
        <w:rPr>
          <w:color w:val="231F20"/>
        </w:rPr>
        <w:t>bachelier</w:t>
      </w:r>
      <w:r>
        <w:rPr>
          <w:color w:val="231F20"/>
          <w:spacing w:val="-7"/>
        </w:rPr>
        <w:t> </w:t>
      </w:r>
      <w:r>
        <w:rPr>
          <w:color w:val="231F20"/>
        </w:rPr>
        <w:t>et</w:t>
      </w:r>
      <w:r>
        <w:rPr>
          <w:color w:val="231F20"/>
          <w:spacing w:val="-8"/>
        </w:rPr>
        <w:t> </w:t>
      </w:r>
      <w:r>
        <w:rPr>
          <w:color w:val="231F20"/>
        </w:rPr>
        <w:t>le</w:t>
      </w:r>
      <w:r>
        <w:rPr>
          <w:color w:val="231F20"/>
          <w:spacing w:val="-9"/>
        </w:rPr>
        <w:t> </w:t>
      </w:r>
      <w:r>
        <w:rPr>
          <w:color w:val="231F20"/>
        </w:rPr>
        <w:t>premier</w:t>
      </w:r>
      <w:r>
        <w:rPr>
          <w:color w:val="231F20"/>
          <w:spacing w:val="-9"/>
        </w:rPr>
        <w:t> </w:t>
      </w:r>
      <w:r>
        <w:rPr>
          <w:color w:val="231F20"/>
        </w:rPr>
        <w:t>prêtre indigène ordonné de l’Oubangui-Chari.</w:t>
      </w:r>
    </w:p>
    <w:p>
      <w:pPr>
        <w:pStyle w:val="BodyText"/>
        <w:spacing w:before="121"/>
        <w:ind w:right="105" w:firstLine="283"/>
      </w:pPr>
      <w:r>
        <w:rPr>
          <w:color w:val="231F20"/>
          <w:spacing w:val="-4"/>
        </w:rPr>
        <w:t>Prêtre,</w:t>
      </w:r>
      <w:r>
        <w:rPr>
          <w:color w:val="231F20"/>
          <w:spacing w:val="-10"/>
        </w:rPr>
        <w:t> </w:t>
      </w:r>
      <w:r>
        <w:rPr>
          <w:color w:val="231F20"/>
          <w:spacing w:val="-4"/>
        </w:rPr>
        <w:t>il</w:t>
      </w:r>
      <w:r>
        <w:rPr>
          <w:color w:val="231F20"/>
          <w:spacing w:val="-6"/>
        </w:rPr>
        <w:t> </w:t>
      </w:r>
      <w:r>
        <w:rPr>
          <w:color w:val="231F20"/>
          <w:spacing w:val="-4"/>
        </w:rPr>
        <w:t>est</w:t>
      </w:r>
      <w:r>
        <w:rPr>
          <w:color w:val="231F20"/>
          <w:spacing w:val="-6"/>
        </w:rPr>
        <w:t> </w:t>
      </w:r>
      <w:r>
        <w:rPr>
          <w:color w:val="231F20"/>
          <w:spacing w:val="-4"/>
        </w:rPr>
        <w:t>contre</w:t>
      </w:r>
      <w:r>
        <w:rPr>
          <w:color w:val="231F20"/>
          <w:spacing w:val="-9"/>
        </w:rPr>
        <w:t> </w:t>
      </w:r>
      <w:r>
        <w:rPr>
          <w:color w:val="231F20"/>
          <w:spacing w:val="-4"/>
        </w:rPr>
        <w:t>le</w:t>
      </w:r>
      <w:r>
        <w:rPr>
          <w:color w:val="231F20"/>
          <w:spacing w:val="-7"/>
        </w:rPr>
        <w:t> </w:t>
      </w:r>
      <w:r>
        <w:rPr>
          <w:color w:val="231F20"/>
          <w:spacing w:val="-4"/>
        </w:rPr>
        <w:t>célibat</w:t>
      </w:r>
      <w:r>
        <w:rPr>
          <w:color w:val="231F20"/>
          <w:spacing w:val="-6"/>
        </w:rPr>
        <w:t> </w:t>
      </w:r>
      <w:r>
        <w:rPr>
          <w:color w:val="231F20"/>
          <w:spacing w:val="-4"/>
        </w:rPr>
        <w:t>des</w:t>
      </w:r>
      <w:r>
        <w:rPr>
          <w:color w:val="231F20"/>
          <w:spacing w:val="-9"/>
        </w:rPr>
        <w:t> </w:t>
      </w:r>
      <w:r>
        <w:rPr>
          <w:color w:val="231F20"/>
          <w:spacing w:val="-4"/>
        </w:rPr>
        <w:t>prêtres.</w:t>
      </w:r>
      <w:r>
        <w:rPr>
          <w:color w:val="231F20"/>
          <w:spacing w:val="-9"/>
        </w:rPr>
        <w:t> </w:t>
      </w:r>
      <w:r>
        <w:rPr>
          <w:color w:val="231F20"/>
          <w:spacing w:val="-4"/>
        </w:rPr>
        <w:t>Aussi</w:t>
      </w:r>
      <w:r>
        <w:rPr>
          <w:color w:val="231F20"/>
          <w:spacing w:val="-6"/>
        </w:rPr>
        <w:t> </w:t>
      </w:r>
      <w:r>
        <w:rPr>
          <w:color w:val="231F20"/>
          <w:spacing w:val="-4"/>
        </w:rPr>
        <w:t>adresse-</w:t>
      </w:r>
      <w:r>
        <w:rPr>
          <w:color w:val="231F20"/>
          <w:spacing w:val="-7"/>
        </w:rPr>
        <w:t> </w:t>
      </w:r>
      <w:r>
        <w:rPr>
          <w:color w:val="231F20"/>
          <w:spacing w:val="-4"/>
        </w:rPr>
        <w:t>t-</w:t>
      </w:r>
      <w:r>
        <w:rPr>
          <w:color w:val="231F20"/>
          <w:spacing w:val="-11"/>
        </w:rPr>
        <w:t> </w:t>
      </w:r>
      <w:r>
        <w:rPr>
          <w:color w:val="231F20"/>
          <w:spacing w:val="-4"/>
        </w:rPr>
        <w:t>il</w:t>
      </w:r>
      <w:r>
        <w:rPr>
          <w:color w:val="231F20"/>
          <w:spacing w:val="-6"/>
        </w:rPr>
        <w:t> </w:t>
      </w:r>
      <w:r>
        <w:rPr>
          <w:color w:val="231F20"/>
          <w:spacing w:val="-4"/>
        </w:rPr>
        <w:t>au</w:t>
      </w:r>
      <w:r>
        <w:rPr>
          <w:color w:val="231F20"/>
          <w:spacing w:val="-9"/>
        </w:rPr>
        <w:t> </w:t>
      </w:r>
      <w:r>
        <w:rPr>
          <w:color w:val="231F20"/>
          <w:spacing w:val="-4"/>
        </w:rPr>
        <w:t>Vatican une</w:t>
      </w:r>
      <w:r>
        <w:rPr>
          <w:color w:val="231F20"/>
          <w:spacing w:val="-6"/>
        </w:rPr>
        <w:t> </w:t>
      </w:r>
      <w:r>
        <w:rPr>
          <w:color w:val="231F20"/>
          <w:spacing w:val="-4"/>
        </w:rPr>
        <w:t>lettre</w:t>
      </w:r>
      <w:r>
        <w:rPr>
          <w:color w:val="231F20"/>
          <w:spacing w:val="-9"/>
        </w:rPr>
        <w:t> </w:t>
      </w:r>
      <w:r>
        <w:rPr>
          <w:color w:val="231F20"/>
          <w:spacing w:val="-4"/>
        </w:rPr>
        <w:t>dans</w:t>
      </w:r>
      <w:r>
        <w:rPr>
          <w:color w:val="231F20"/>
          <w:spacing w:val="-9"/>
        </w:rPr>
        <w:t> </w:t>
      </w:r>
      <w:r>
        <w:rPr>
          <w:color w:val="231F20"/>
          <w:spacing w:val="-4"/>
        </w:rPr>
        <w:t>laquelle</w:t>
      </w:r>
      <w:r>
        <w:rPr>
          <w:color w:val="231F20"/>
          <w:spacing w:val="-9"/>
        </w:rPr>
        <w:t> </w:t>
      </w:r>
      <w:r>
        <w:rPr>
          <w:color w:val="231F20"/>
          <w:spacing w:val="-4"/>
        </w:rPr>
        <w:t>il</w:t>
      </w:r>
      <w:r>
        <w:rPr>
          <w:color w:val="231F20"/>
          <w:spacing w:val="-8"/>
        </w:rPr>
        <w:t> </w:t>
      </w:r>
      <w:r>
        <w:rPr>
          <w:color w:val="231F20"/>
          <w:spacing w:val="-4"/>
        </w:rPr>
        <w:t>expose,</w:t>
      </w:r>
      <w:r>
        <w:rPr>
          <w:color w:val="231F20"/>
          <w:spacing w:val="-9"/>
        </w:rPr>
        <w:t> </w:t>
      </w:r>
      <w:r>
        <w:rPr>
          <w:color w:val="231F20"/>
          <w:spacing w:val="-4"/>
        </w:rPr>
        <w:t>selon</w:t>
      </w:r>
      <w:r>
        <w:rPr>
          <w:color w:val="231F20"/>
          <w:spacing w:val="-9"/>
        </w:rPr>
        <w:t> </w:t>
      </w:r>
      <w:r>
        <w:rPr>
          <w:color w:val="231F20"/>
          <w:spacing w:val="-4"/>
        </w:rPr>
        <w:t>lui,</w:t>
      </w:r>
      <w:r>
        <w:rPr>
          <w:color w:val="231F20"/>
          <w:spacing w:val="-9"/>
        </w:rPr>
        <w:t> </w:t>
      </w:r>
      <w:r>
        <w:rPr>
          <w:color w:val="231F20"/>
          <w:spacing w:val="-4"/>
        </w:rPr>
        <w:t>toute</w:t>
      </w:r>
      <w:r>
        <w:rPr>
          <w:color w:val="231F20"/>
          <w:spacing w:val="-6"/>
        </w:rPr>
        <w:t> </w:t>
      </w:r>
      <w:r>
        <w:rPr>
          <w:color w:val="231F20"/>
          <w:spacing w:val="-4"/>
        </w:rPr>
        <w:t>l’absurdité</w:t>
      </w:r>
      <w:r>
        <w:rPr>
          <w:color w:val="231F20"/>
          <w:spacing w:val="-6"/>
        </w:rPr>
        <w:t> </w:t>
      </w:r>
      <w:r>
        <w:rPr>
          <w:color w:val="231F20"/>
          <w:spacing w:val="-4"/>
        </w:rPr>
        <w:t>et</w:t>
      </w:r>
      <w:r>
        <w:rPr>
          <w:color w:val="231F20"/>
          <w:spacing w:val="-8"/>
        </w:rPr>
        <w:t> </w:t>
      </w:r>
      <w:r>
        <w:rPr>
          <w:color w:val="231F20"/>
          <w:spacing w:val="-4"/>
        </w:rPr>
        <w:t>les</w:t>
      </w:r>
      <w:r>
        <w:rPr>
          <w:color w:val="231F20"/>
          <w:spacing w:val="-9"/>
        </w:rPr>
        <w:t> </w:t>
      </w:r>
      <w:r>
        <w:rPr>
          <w:color w:val="231F20"/>
          <w:spacing w:val="-4"/>
        </w:rPr>
        <w:t>dangers </w:t>
      </w:r>
      <w:r>
        <w:rPr>
          <w:color w:val="231F20"/>
        </w:rPr>
        <w:t>du maintien de cette règle dans les églises. Fin 1949, il avertit ses </w:t>
      </w:r>
      <w:r>
        <w:rPr>
          <w:color w:val="231F20"/>
          <w:spacing w:val="-2"/>
        </w:rPr>
        <w:t>supérieurs</w:t>
      </w:r>
      <w:r>
        <w:rPr>
          <w:color w:val="231F20"/>
          <w:spacing w:val="-9"/>
        </w:rPr>
        <w:t> </w:t>
      </w:r>
      <w:r>
        <w:rPr>
          <w:color w:val="231F20"/>
          <w:spacing w:val="-2"/>
        </w:rPr>
        <w:t>de</w:t>
      </w:r>
      <w:r>
        <w:rPr>
          <w:color w:val="231F20"/>
          <w:spacing w:val="-7"/>
        </w:rPr>
        <w:t> </w:t>
      </w:r>
      <w:r>
        <w:rPr>
          <w:color w:val="231F20"/>
          <w:spacing w:val="-2"/>
        </w:rPr>
        <w:t>son</w:t>
      </w:r>
      <w:r>
        <w:rPr>
          <w:color w:val="231F20"/>
          <w:spacing w:val="-9"/>
        </w:rPr>
        <w:t> </w:t>
      </w:r>
      <w:r>
        <w:rPr>
          <w:color w:val="231F20"/>
          <w:spacing w:val="-2"/>
        </w:rPr>
        <w:t>intention</w:t>
      </w:r>
      <w:r>
        <w:rPr>
          <w:color w:val="231F20"/>
          <w:spacing w:val="-7"/>
        </w:rPr>
        <w:t> </w:t>
      </w:r>
      <w:r>
        <w:rPr>
          <w:color w:val="231F20"/>
          <w:spacing w:val="-2"/>
        </w:rPr>
        <w:t>de</w:t>
      </w:r>
      <w:r>
        <w:rPr>
          <w:color w:val="231F20"/>
          <w:spacing w:val="-7"/>
        </w:rPr>
        <w:t> </w:t>
      </w:r>
      <w:r>
        <w:rPr>
          <w:color w:val="231F20"/>
          <w:spacing w:val="-2"/>
        </w:rPr>
        <w:t>se</w:t>
      </w:r>
      <w:r>
        <w:rPr>
          <w:color w:val="231F20"/>
          <w:spacing w:val="-9"/>
        </w:rPr>
        <w:t> </w:t>
      </w:r>
      <w:r>
        <w:rPr>
          <w:color w:val="231F20"/>
          <w:spacing w:val="-2"/>
        </w:rPr>
        <w:t>marier</w:t>
      </w:r>
      <w:r>
        <w:rPr>
          <w:color w:val="231F20"/>
          <w:spacing w:val="-7"/>
        </w:rPr>
        <w:t> </w:t>
      </w:r>
      <w:r>
        <w:rPr>
          <w:color w:val="231F20"/>
          <w:spacing w:val="-2"/>
        </w:rPr>
        <w:t>avec</w:t>
      </w:r>
      <w:r>
        <w:rPr>
          <w:color w:val="231F20"/>
          <w:spacing w:val="-4"/>
        </w:rPr>
        <w:t> </w:t>
      </w:r>
      <w:r>
        <w:rPr>
          <w:color w:val="231F20"/>
          <w:spacing w:val="-2"/>
        </w:rPr>
        <w:t>son</w:t>
      </w:r>
      <w:r>
        <w:rPr>
          <w:color w:val="231F20"/>
          <w:spacing w:val="-7"/>
        </w:rPr>
        <w:t> </w:t>
      </w:r>
      <w:r>
        <w:rPr>
          <w:color w:val="231F20"/>
          <w:spacing w:val="-2"/>
        </w:rPr>
        <w:t>Assistante,</w:t>
      </w:r>
      <w:r>
        <w:rPr>
          <w:color w:val="231F20"/>
          <w:spacing w:val="-6"/>
        </w:rPr>
        <w:t> </w:t>
      </w:r>
      <w:r>
        <w:rPr>
          <w:color w:val="231F20"/>
          <w:spacing w:val="-2"/>
        </w:rPr>
        <w:t>la</w:t>
      </w:r>
      <w:r>
        <w:rPr>
          <w:color w:val="231F20"/>
          <w:spacing w:val="-7"/>
        </w:rPr>
        <w:t> </w:t>
      </w:r>
      <w:r>
        <w:rPr>
          <w:color w:val="231F20"/>
          <w:spacing w:val="-2"/>
        </w:rPr>
        <w:t>française Michelle</w:t>
      </w:r>
      <w:r>
        <w:rPr>
          <w:color w:val="231F20"/>
          <w:spacing w:val="-15"/>
        </w:rPr>
        <w:t> </w:t>
      </w:r>
      <w:r>
        <w:rPr>
          <w:color w:val="231F20"/>
          <w:spacing w:val="-2"/>
        </w:rPr>
        <w:t>Jourdain.</w:t>
      </w:r>
      <w:r>
        <w:rPr>
          <w:color w:val="231F20"/>
          <w:spacing w:val="-13"/>
        </w:rPr>
        <w:t> </w:t>
      </w:r>
      <w:r>
        <w:rPr>
          <w:color w:val="231F20"/>
          <w:spacing w:val="-2"/>
        </w:rPr>
        <w:t>La</w:t>
      </w:r>
      <w:r>
        <w:rPr>
          <w:color w:val="231F20"/>
          <w:spacing w:val="-13"/>
        </w:rPr>
        <w:t> </w:t>
      </w:r>
      <w:r>
        <w:rPr>
          <w:color w:val="231F20"/>
          <w:spacing w:val="-2"/>
        </w:rPr>
        <w:t>réaction</w:t>
      </w:r>
      <w:r>
        <w:rPr>
          <w:color w:val="231F20"/>
          <w:spacing w:val="-13"/>
        </w:rPr>
        <w:t> </w:t>
      </w:r>
      <w:r>
        <w:rPr>
          <w:color w:val="231F20"/>
          <w:spacing w:val="-2"/>
        </w:rPr>
        <w:t>de</w:t>
      </w:r>
      <w:r>
        <w:rPr>
          <w:color w:val="231F20"/>
          <w:spacing w:val="-13"/>
        </w:rPr>
        <w:t> </w:t>
      </w:r>
      <w:r>
        <w:rPr>
          <w:color w:val="231F20"/>
          <w:spacing w:val="-2"/>
        </w:rPr>
        <w:t>sa</w:t>
      </w:r>
      <w:r>
        <w:rPr>
          <w:color w:val="231F20"/>
          <w:spacing w:val="-13"/>
        </w:rPr>
        <w:t> </w:t>
      </w:r>
      <w:r>
        <w:rPr>
          <w:color w:val="231F20"/>
          <w:spacing w:val="-2"/>
        </w:rPr>
        <w:t>hiérarchie</w:t>
      </w:r>
      <w:r>
        <w:rPr>
          <w:color w:val="231F20"/>
          <w:spacing w:val="-13"/>
        </w:rPr>
        <w:t> </w:t>
      </w:r>
      <w:r>
        <w:rPr>
          <w:color w:val="231F20"/>
          <w:spacing w:val="-2"/>
        </w:rPr>
        <w:t>catholique</w:t>
      </w:r>
      <w:r>
        <w:rPr>
          <w:color w:val="231F20"/>
          <w:spacing w:val="-13"/>
        </w:rPr>
        <w:t> </w:t>
      </w:r>
      <w:r>
        <w:rPr>
          <w:color w:val="231F20"/>
          <w:spacing w:val="-2"/>
        </w:rPr>
        <w:t>est</w:t>
      </w:r>
      <w:r>
        <w:rPr>
          <w:color w:val="231F20"/>
          <w:spacing w:val="-13"/>
        </w:rPr>
        <w:t> </w:t>
      </w:r>
      <w:r>
        <w:rPr>
          <w:color w:val="231F20"/>
          <w:spacing w:val="-2"/>
        </w:rPr>
        <w:t>immédiate. </w:t>
      </w:r>
      <w:r>
        <w:rPr>
          <w:color w:val="231F20"/>
          <w:spacing w:val="-6"/>
        </w:rPr>
        <w:t>Le 25 novembre 1949, il est suspendu. Il ne peut plus</w:t>
      </w:r>
      <w:r>
        <w:rPr>
          <w:color w:val="231F20"/>
          <w:spacing w:val="-8"/>
        </w:rPr>
        <w:t> </w:t>
      </w:r>
      <w:r>
        <w:rPr>
          <w:color w:val="231F20"/>
          <w:spacing w:val="-6"/>
        </w:rPr>
        <w:t>exercer ses fonctions </w:t>
      </w:r>
      <w:r>
        <w:rPr>
          <w:color w:val="231F20"/>
        </w:rPr>
        <w:t>sacerdotales</w:t>
      </w:r>
      <w:r>
        <w:rPr>
          <w:color w:val="231F20"/>
          <w:spacing w:val="-6"/>
        </w:rPr>
        <w:t> </w:t>
      </w:r>
      <w:r>
        <w:rPr>
          <w:color w:val="231F20"/>
        </w:rPr>
        <w:t>en</w:t>
      </w:r>
      <w:r>
        <w:rPr>
          <w:color w:val="231F20"/>
          <w:spacing w:val="-5"/>
        </w:rPr>
        <w:t> </w:t>
      </w:r>
      <w:r>
        <w:rPr>
          <w:color w:val="231F20"/>
        </w:rPr>
        <w:t>public,</w:t>
      </w:r>
      <w:r>
        <w:rPr>
          <w:color w:val="231F20"/>
          <w:spacing w:val="-5"/>
        </w:rPr>
        <w:t> </w:t>
      </w:r>
      <w:r>
        <w:rPr>
          <w:color w:val="231F20"/>
        </w:rPr>
        <w:t>ni</w:t>
      </w:r>
      <w:r>
        <w:rPr>
          <w:color w:val="231F20"/>
          <w:spacing w:val="-5"/>
        </w:rPr>
        <w:t> </w:t>
      </w:r>
      <w:r>
        <w:rPr>
          <w:color w:val="231F20"/>
        </w:rPr>
        <w:t>porter</w:t>
      </w:r>
      <w:r>
        <w:rPr>
          <w:color w:val="231F20"/>
          <w:spacing w:val="-6"/>
        </w:rPr>
        <w:t> </w:t>
      </w:r>
      <w:r>
        <w:rPr>
          <w:color w:val="231F20"/>
        </w:rPr>
        <w:t>la</w:t>
      </w:r>
      <w:r>
        <w:rPr>
          <w:color w:val="231F20"/>
          <w:spacing w:val="-5"/>
        </w:rPr>
        <w:t> </w:t>
      </w:r>
      <w:r>
        <w:rPr>
          <w:color w:val="231F20"/>
        </w:rPr>
        <w:t>soutane.</w:t>
      </w:r>
      <w:r>
        <w:rPr>
          <w:color w:val="231F20"/>
          <w:spacing w:val="-6"/>
        </w:rPr>
        <w:t> </w:t>
      </w:r>
      <w:r>
        <w:rPr>
          <w:color w:val="231F20"/>
        </w:rPr>
        <w:t>Son</w:t>
      </w:r>
      <w:r>
        <w:rPr>
          <w:color w:val="231F20"/>
          <w:spacing w:val="-6"/>
        </w:rPr>
        <w:t> </w:t>
      </w:r>
      <w:r>
        <w:rPr>
          <w:color w:val="231F20"/>
        </w:rPr>
        <w:t>mariage</w:t>
      </w:r>
      <w:r>
        <w:rPr>
          <w:color w:val="231F20"/>
          <w:spacing w:val="-5"/>
        </w:rPr>
        <w:t> </w:t>
      </w:r>
      <w:r>
        <w:rPr>
          <w:color w:val="231F20"/>
        </w:rPr>
        <w:t>avec</w:t>
      </w:r>
      <w:r>
        <w:rPr>
          <w:color w:val="231F20"/>
          <w:spacing w:val="-6"/>
        </w:rPr>
        <w:t> </w:t>
      </w:r>
      <w:r>
        <w:rPr>
          <w:color w:val="231F20"/>
        </w:rPr>
        <w:t>Michelle Jourdain,</w:t>
      </w:r>
      <w:r>
        <w:rPr>
          <w:color w:val="231F20"/>
          <w:spacing w:val="-1"/>
        </w:rPr>
        <w:t> </w:t>
      </w:r>
      <w:r>
        <w:rPr>
          <w:color w:val="231F20"/>
        </w:rPr>
        <w:t>enceinte,</w:t>
      </w:r>
      <w:r>
        <w:rPr>
          <w:color w:val="231F20"/>
          <w:spacing w:val="-1"/>
        </w:rPr>
        <w:t> </w:t>
      </w:r>
      <w:r>
        <w:rPr>
          <w:color w:val="231F20"/>
        </w:rPr>
        <w:t>est</w:t>
      </w:r>
      <w:r>
        <w:rPr>
          <w:color w:val="231F20"/>
          <w:spacing w:val="-1"/>
        </w:rPr>
        <w:t> </w:t>
      </w:r>
      <w:r>
        <w:rPr>
          <w:color w:val="231F20"/>
        </w:rPr>
        <w:t>célébré le 13</w:t>
      </w:r>
      <w:r>
        <w:rPr>
          <w:color w:val="231F20"/>
          <w:spacing w:val="-3"/>
        </w:rPr>
        <w:t> </w:t>
      </w:r>
      <w:r>
        <w:rPr>
          <w:color w:val="231F20"/>
        </w:rPr>
        <w:t>juin 1950.</w:t>
      </w:r>
    </w:p>
    <w:p>
      <w:pPr>
        <w:pStyle w:val="BodyText"/>
        <w:spacing w:before="120"/>
        <w:ind w:right="105" w:firstLine="283"/>
      </w:pPr>
      <w:r>
        <w:rPr>
          <w:color w:val="231F20"/>
          <w:spacing w:val="-2"/>
        </w:rPr>
        <w:t>Politicien,</w:t>
      </w:r>
      <w:r>
        <w:rPr>
          <w:color w:val="231F20"/>
          <w:spacing w:val="-5"/>
        </w:rPr>
        <w:t> </w:t>
      </w:r>
      <w:r>
        <w:rPr>
          <w:color w:val="231F20"/>
          <w:spacing w:val="-2"/>
        </w:rPr>
        <w:t>il</w:t>
      </w:r>
      <w:r>
        <w:rPr>
          <w:color w:val="231F20"/>
          <w:spacing w:val="-5"/>
        </w:rPr>
        <w:t> </w:t>
      </w:r>
      <w:r>
        <w:rPr>
          <w:color w:val="231F20"/>
          <w:spacing w:val="-2"/>
        </w:rPr>
        <w:t>prône</w:t>
      </w:r>
      <w:r>
        <w:rPr>
          <w:color w:val="231F20"/>
          <w:spacing w:val="-7"/>
        </w:rPr>
        <w:t> </w:t>
      </w:r>
      <w:r>
        <w:rPr>
          <w:color w:val="231F20"/>
          <w:spacing w:val="-2"/>
        </w:rPr>
        <w:t>l’indépendance</w:t>
      </w:r>
      <w:r>
        <w:rPr>
          <w:color w:val="231F20"/>
          <w:spacing w:val="-5"/>
        </w:rPr>
        <w:t> </w:t>
      </w:r>
      <w:r>
        <w:rPr>
          <w:color w:val="231F20"/>
          <w:spacing w:val="-2"/>
        </w:rPr>
        <w:t>des</w:t>
      </w:r>
      <w:r>
        <w:rPr>
          <w:color w:val="231F20"/>
          <w:spacing w:val="-5"/>
        </w:rPr>
        <w:t> </w:t>
      </w:r>
      <w:r>
        <w:rPr>
          <w:color w:val="231F20"/>
          <w:spacing w:val="-2"/>
        </w:rPr>
        <w:t>colonies</w:t>
      </w:r>
      <w:r>
        <w:rPr>
          <w:color w:val="231F20"/>
          <w:spacing w:val="-5"/>
        </w:rPr>
        <w:t> </w:t>
      </w:r>
      <w:r>
        <w:rPr>
          <w:color w:val="231F20"/>
          <w:spacing w:val="-2"/>
        </w:rPr>
        <w:t>et</w:t>
      </w:r>
      <w:r>
        <w:rPr>
          <w:color w:val="231F20"/>
          <w:spacing w:val="-9"/>
        </w:rPr>
        <w:t> </w:t>
      </w:r>
      <w:r>
        <w:rPr>
          <w:color w:val="231F20"/>
          <w:spacing w:val="-2"/>
        </w:rPr>
        <w:t>propose</w:t>
      </w:r>
      <w:r>
        <w:rPr>
          <w:color w:val="231F20"/>
          <w:spacing w:val="-7"/>
        </w:rPr>
        <w:t> </w:t>
      </w:r>
      <w:r>
        <w:rPr>
          <w:color w:val="231F20"/>
          <w:spacing w:val="-2"/>
        </w:rPr>
        <w:t>la</w:t>
      </w:r>
      <w:r>
        <w:rPr>
          <w:color w:val="231F20"/>
          <w:spacing w:val="-5"/>
        </w:rPr>
        <w:t> </w:t>
      </w:r>
      <w:r>
        <w:rPr>
          <w:color w:val="231F20"/>
          <w:spacing w:val="-2"/>
        </w:rPr>
        <w:t>création </w:t>
      </w:r>
      <w:r>
        <w:rPr>
          <w:color w:val="231F20"/>
          <w:spacing w:val="-4"/>
        </w:rPr>
        <w:t>d’un</w:t>
      </w:r>
      <w:r>
        <w:rPr>
          <w:color w:val="231F20"/>
          <w:spacing w:val="-6"/>
        </w:rPr>
        <w:t> </w:t>
      </w:r>
      <w:r>
        <w:rPr>
          <w:color w:val="231F20"/>
          <w:spacing w:val="-4"/>
        </w:rPr>
        <w:t>État</w:t>
      </w:r>
      <w:r>
        <w:rPr>
          <w:color w:val="231F20"/>
          <w:spacing w:val="-5"/>
        </w:rPr>
        <w:t> </w:t>
      </w:r>
      <w:r>
        <w:rPr>
          <w:color w:val="231F20"/>
          <w:spacing w:val="-4"/>
        </w:rPr>
        <w:t>d’Afrique</w:t>
      </w:r>
      <w:r>
        <w:rPr>
          <w:color w:val="231F20"/>
          <w:spacing w:val="-6"/>
        </w:rPr>
        <w:t> </w:t>
      </w:r>
      <w:r>
        <w:rPr>
          <w:color w:val="231F20"/>
          <w:spacing w:val="-4"/>
        </w:rPr>
        <w:t>centrale</w:t>
      </w:r>
      <w:r>
        <w:rPr>
          <w:color w:val="231F20"/>
          <w:spacing w:val="-6"/>
        </w:rPr>
        <w:t> </w:t>
      </w:r>
      <w:r>
        <w:rPr>
          <w:color w:val="231F20"/>
          <w:spacing w:val="-4"/>
        </w:rPr>
        <w:t>unique</w:t>
      </w:r>
      <w:r>
        <w:rPr>
          <w:color w:val="231F20"/>
          <w:spacing w:val="-6"/>
        </w:rPr>
        <w:t> </w:t>
      </w:r>
      <w:r>
        <w:rPr>
          <w:color w:val="231F20"/>
          <w:spacing w:val="-4"/>
        </w:rPr>
        <w:t>permettant</w:t>
      </w:r>
      <w:r>
        <w:rPr>
          <w:color w:val="231F20"/>
          <w:spacing w:val="-5"/>
        </w:rPr>
        <w:t> </w:t>
      </w:r>
      <w:r>
        <w:rPr>
          <w:color w:val="231F20"/>
          <w:spacing w:val="-4"/>
        </w:rPr>
        <w:t>d’éviter</w:t>
      </w:r>
      <w:r>
        <w:rPr>
          <w:color w:val="231F20"/>
          <w:spacing w:val="-6"/>
        </w:rPr>
        <w:t> </w:t>
      </w:r>
      <w:r>
        <w:rPr>
          <w:color w:val="231F20"/>
          <w:spacing w:val="-4"/>
        </w:rPr>
        <w:t>l’éclatement de</w:t>
      </w:r>
      <w:r>
        <w:rPr>
          <w:color w:val="231F20"/>
          <w:spacing w:val="-9"/>
        </w:rPr>
        <w:t> </w:t>
      </w:r>
      <w:r>
        <w:rPr>
          <w:color w:val="231F20"/>
          <w:spacing w:val="-4"/>
        </w:rPr>
        <w:t>la </w:t>
      </w:r>
      <w:r>
        <w:rPr>
          <w:color w:val="231F20"/>
          <w:spacing w:val="-6"/>
        </w:rPr>
        <w:t>région en</w:t>
      </w:r>
      <w:r>
        <w:rPr>
          <w:color w:val="231F20"/>
          <w:spacing w:val="-8"/>
        </w:rPr>
        <w:t> </w:t>
      </w:r>
      <w:r>
        <w:rPr>
          <w:color w:val="231F20"/>
          <w:spacing w:val="-6"/>
        </w:rPr>
        <w:t>territoires</w:t>
      </w:r>
      <w:r>
        <w:rPr>
          <w:color w:val="231F20"/>
          <w:spacing w:val="-8"/>
        </w:rPr>
        <w:t> </w:t>
      </w:r>
      <w:r>
        <w:rPr>
          <w:color w:val="231F20"/>
          <w:spacing w:val="-6"/>
        </w:rPr>
        <w:t>trop petits, non viables, et sans rôle à</w:t>
      </w:r>
      <w:r>
        <w:rPr>
          <w:color w:val="231F20"/>
          <w:spacing w:val="-8"/>
        </w:rPr>
        <w:t> </w:t>
      </w:r>
      <w:r>
        <w:rPr>
          <w:color w:val="231F20"/>
          <w:spacing w:val="-6"/>
        </w:rPr>
        <w:t>jouer sur la scène </w:t>
      </w:r>
      <w:r>
        <w:rPr>
          <w:color w:val="231F20"/>
        </w:rPr>
        <w:t>internationale.</w:t>
      </w:r>
      <w:r>
        <w:rPr>
          <w:color w:val="231F20"/>
          <w:spacing w:val="-7"/>
        </w:rPr>
        <w:t> </w:t>
      </w:r>
      <w:r>
        <w:rPr>
          <w:color w:val="231F20"/>
        </w:rPr>
        <w:t>Il</w:t>
      </w:r>
      <w:r>
        <w:rPr>
          <w:color w:val="231F20"/>
          <w:spacing w:val="-7"/>
        </w:rPr>
        <w:t> </w:t>
      </w:r>
      <w:r>
        <w:rPr>
          <w:color w:val="231F20"/>
        </w:rPr>
        <w:t>est</w:t>
      </w:r>
      <w:r>
        <w:rPr>
          <w:color w:val="231F20"/>
          <w:spacing w:val="-9"/>
        </w:rPr>
        <w:t> </w:t>
      </w:r>
      <w:r>
        <w:rPr>
          <w:color w:val="231F20"/>
        </w:rPr>
        <w:t>détesté</w:t>
      </w:r>
      <w:r>
        <w:rPr>
          <w:color w:val="231F20"/>
          <w:spacing w:val="-8"/>
        </w:rPr>
        <w:t> </w:t>
      </w:r>
      <w:r>
        <w:rPr>
          <w:color w:val="231F20"/>
        </w:rPr>
        <w:t>par</w:t>
      </w:r>
      <w:r>
        <w:rPr>
          <w:color w:val="231F20"/>
          <w:spacing w:val="-8"/>
        </w:rPr>
        <w:t> </w:t>
      </w:r>
      <w:r>
        <w:rPr>
          <w:color w:val="231F20"/>
        </w:rPr>
        <w:t>les</w:t>
      </w:r>
      <w:r>
        <w:rPr>
          <w:color w:val="231F20"/>
          <w:spacing w:val="-8"/>
        </w:rPr>
        <w:t> </w:t>
      </w:r>
      <w:r>
        <w:rPr>
          <w:color w:val="231F20"/>
        </w:rPr>
        <w:t>colons</w:t>
      </w:r>
      <w:r>
        <w:rPr>
          <w:color w:val="231F20"/>
          <w:spacing w:val="-7"/>
        </w:rPr>
        <w:t> </w:t>
      </w:r>
      <w:r>
        <w:rPr>
          <w:color w:val="231F20"/>
        </w:rPr>
        <w:t>et</w:t>
      </w:r>
      <w:r>
        <w:rPr>
          <w:color w:val="231F20"/>
          <w:spacing w:val="-9"/>
        </w:rPr>
        <w:t> </w:t>
      </w:r>
      <w:r>
        <w:rPr>
          <w:color w:val="231F20"/>
        </w:rPr>
        <w:t>le</w:t>
      </w:r>
      <w:r>
        <w:rPr>
          <w:color w:val="231F20"/>
          <w:spacing w:val="-8"/>
        </w:rPr>
        <w:t> </w:t>
      </w:r>
      <w:r>
        <w:rPr>
          <w:color w:val="231F20"/>
        </w:rPr>
        <w:t>pouvoir</w:t>
      </w:r>
      <w:r>
        <w:rPr>
          <w:color w:val="231F20"/>
          <w:spacing w:val="-8"/>
        </w:rPr>
        <w:t> </w:t>
      </w:r>
      <w:r>
        <w:rPr>
          <w:color w:val="231F20"/>
        </w:rPr>
        <w:t>colonial.</w:t>
      </w:r>
    </w:p>
    <w:p>
      <w:pPr>
        <w:pStyle w:val="BodyText"/>
        <w:spacing w:before="121"/>
        <w:ind w:right="106" w:firstLine="283"/>
      </w:pPr>
      <w:r>
        <w:rPr>
          <w:color w:val="231F20"/>
        </w:rPr>
        <w:t>Le</w:t>
      </w:r>
      <w:r>
        <w:rPr>
          <w:color w:val="231F20"/>
          <w:spacing w:val="-4"/>
        </w:rPr>
        <w:t> </w:t>
      </w:r>
      <w:r>
        <w:rPr>
          <w:color w:val="231F20"/>
        </w:rPr>
        <w:t>29</w:t>
      </w:r>
      <w:r>
        <w:rPr>
          <w:color w:val="231F20"/>
          <w:spacing w:val="-4"/>
        </w:rPr>
        <w:t> </w:t>
      </w:r>
      <w:r>
        <w:rPr>
          <w:color w:val="231F20"/>
        </w:rPr>
        <w:t>mars</w:t>
      </w:r>
      <w:r>
        <w:rPr>
          <w:color w:val="231F20"/>
          <w:spacing w:val="-5"/>
        </w:rPr>
        <w:t> </w:t>
      </w:r>
      <w:r>
        <w:rPr>
          <w:color w:val="231F20"/>
        </w:rPr>
        <w:t>1959,</w:t>
      </w:r>
      <w:r>
        <w:rPr>
          <w:color w:val="231F20"/>
          <w:spacing w:val="-4"/>
        </w:rPr>
        <w:t> </w:t>
      </w:r>
      <w:r>
        <w:rPr>
          <w:color w:val="231F20"/>
        </w:rPr>
        <w:t>Boganda,</w:t>
      </w:r>
      <w:r>
        <w:rPr>
          <w:color w:val="231F20"/>
          <w:spacing w:val="-4"/>
        </w:rPr>
        <w:t> </w:t>
      </w:r>
      <w:r>
        <w:rPr>
          <w:color w:val="231F20"/>
        </w:rPr>
        <w:t>en</w:t>
      </w:r>
      <w:r>
        <w:rPr>
          <w:color w:val="231F20"/>
          <w:spacing w:val="-4"/>
        </w:rPr>
        <w:t> </w:t>
      </w:r>
      <w:r>
        <w:rPr>
          <w:color w:val="231F20"/>
        </w:rPr>
        <w:t>pleine</w:t>
      </w:r>
      <w:r>
        <w:rPr>
          <w:color w:val="231F20"/>
          <w:spacing w:val="-4"/>
        </w:rPr>
        <w:t> </w:t>
      </w:r>
      <w:r>
        <w:rPr>
          <w:color w:val="231F20"/>
        </w:rPr>
        <w:t>campagne</w:t>
      </w:r>
      <w:r>
        <w:rPr>
          <w:color w:val="231F20"/>
          <w:spacing w:val="-4"/>
        </w:rPr>
        <w:t> </w:t>
      </w:r>
      <w:r>
        <w:rPr>
          <w:color w:val="231F20"/>
        </w:rPr>
        <w:t>électorale</w:t>
      </w:r>
      <w:r>
        <w:rPr>
          <w:color w:val="231F20"/>
          <w:spacing w:val="-4"/>
        </w:rPr>
        <w:t> </w:t>
      </w:r>
      <w:r>
        <w:rPr>
          <w:color w:val="231F20"/>
        </w:rPr>
        <w:t>se</w:t>
      </w:r>
      <w:r>
        <w:rPr>
          <w:color w:val="231F20"/>
          <w:spacing w:val="-4"/>
        </w:rPr>
        <w:t> </w:t>
      </w:r>
      <w:r>
        <w:rPr>
          <w:color w:val="231F20"/>
        </w:rPr>
        <w:t>rend</w:t>
      </w:r>
      <w:r>
        <w:rPr>
          <w:color w:val="231F20"/>
          <w:spacing w:val="-3"/>
        </w:rPr>
        <w:t> </w:t>
      </w:r>
      <w:r>
        <w:rPr>
          <w:color w:val="231F20"/>
        </w:rPr>
        <w:t>à Berbérati</w:t>
      </w:r>
      <w:r>
        <w:rPr>
          <w:color w:val="231F20"/>
          <w:spacing w:val="-15"/>
        </w:rPr>
        <w:t> </w:t>
      </w:r>
      <w:r>
        <w:rPr>
          <w:color w:val="231F20"/>
        </w:rPr>
        <w:t>la</w:t>
      </w:r>
      <w:r>
        <w:rPr>
          <w:color w:val="231F20"/>
          <w:spacing w:val="-15"/>
        </w:rPr>
        <w:t> </w:t>
      </w:r>
      <w:r>
        <w:rPr>
          <w:color w:val="231F20"/>
        </w:rPr>
        <w:t>troisième</w:t>
      </w:r>
      <w:r>
        <w:rPr>
          <w:color w:val="231F20"/>
          <w:spacing w:val="-15"/>
        </w:rPr>
        <w:t> </w:t>
      </w:r>
      <w:r>
        <w:rPr>
          <w:color w:val="231F20"/>
        </w:rPr>
        <w:t>ville</w:t>
      </w:r>
      <w:r>
        <w:rPr>
          <w:color w:val="231F20"/>
          <w:spacing w:val="-15"/>
        </w:rPr>
        <w:t> </w:t>
      </w:r>
      <w:r>
        <w:rPr>
          <w:color w:val="231F20"/>
        </w:rPr>
        <w:t>du</w:t>
      </w:r>
      <w:r>
        <w:rPr>
          <w:color w:val="231F20"/>
          <w:spacing w:val="-15"/>
        </w:rPr>
        <w:t> </w:t>
      </w:r>
      <w:r>
        <w:rPr>
          <w:color w:val="231F20"/>
        </w:rPr>
        <w:t>territoire.</w:t>
      </w:r>
      <w:r>
        <w:rPr>
          <w:color w:val="231F20"/>
          <w:spacing w:val="-15"/>
        </w:rPr>
        <w:t> </w:t>
      </w:r>
      <w:r>
        <w:rPr>
          <w:color w:val="231F20"/>
        </w:rPr>
        <w:t>L’avion</w:t>
      </w:r>
      <w:r>
        <w:rPr>
          <w:color w:val="231F20"/>
          <w:spacing w:val="-15"/>
        </w:rPr>
        <w:t> </w:t>
      </w:r>
      <w:r>
        <w:rPr>
          <w:color w:val="231F20"/>
        </w:rPr>
        <w:t>régulier</w:t>
      </w:r>
      <w:r>
        <w:rPr>
          <w:color w:val="231F20"/>
          <w:spacing w:val="-15"/>
        </w:rPr>
        <w:t> </w:t>
      </w:r>
      <w:r>
        <w:rPr>
          <w:color w:val="231F20"/>
        </w:rPr>
        <w:t>qu’il</w:t>
      </w:r>
      <w:r>
        <w:rPr>
          <w:color w:val="231F20"/>
          <w:spacing w:val="-15"/>
        </w:rPr>
        <w:t> </w:t>
      </w:r>
      <w:r>
        <w:rPr>
          <w:color w:val="231F20"/>
        </w:rPr>
        <w:t>emprunte pour</w:t>
      </w:r>
      <w:r>
        <w:rPr>
          <w:color w:val="231F20"/>
          <w:spacing w:val="-7"/>
        </w:rPr>
        <w:t> </w:t>
      </w:r>
      <w:r>
        <w:rPr>
          <w:color w:val="231F20"/>
        </w:rPr>
        <w:t>regagner</w:t>
      </w:r>
      <w:r>
        <w:rPr>
          <w:color w:val="231F20"/>
          <w:spacing w:val="-8"/>
        </w:rPr>
        <w:t> </w:t>
      </w:r>
      <w:r>
        <w:rPr>
          <w:color w:val="231F20"/>
        </w:rPr>
        <w:t>Bangui</w:t>
      </w:r>
      <w:r>
        <w:rPr>
          <w:color w:val="231F20"/>
          <w:spacing w:val="-8"/>
        </w:rPr>
        <w:t> </w:t>
      </w:r>
      <w:r>
        <w:rPr>
          <w:color w:val="231F20"/>
        </w:rPr>
        <w:t>s’écrase.</w:t>
      </w:r>
      <w:r>
        <w:rPr>
          <w:color w:val="231F20"/>
          <w:spacing w:val="-7"/>
        </w:rPr>
        <w:t> </w:t>
      </w:r>
      <w:r>
        <w:rPr>
          <w:color w:val="231F20"/>
        </w:rPr>
        <w:t>Aucun</w:t>
      </w:r>
      <w:r>
        <w:rPr>
          <w:color w:val="231F20"/>
          <w:spacing w:val="-8"/>
        </w:rPr>
        <w:t> </w:t>
      </w:r>
      <w:r>
        <w:rPr>
          <w:color w:val="231F20"/>
        </w:rPr>
        <w:t>des</w:t>
      </w:r>
      <w:r>
        <w:rPr>
          <w:color w:val="231F20"/>
          <w:spacing w:val="-7"/>
        </w:rPr>
        <w:t> </w:t>
      </w:r>
      <w:r>
        <w:rPr>
          <w:color w:val="231F20"/>
        </w:rPr>
        <w:t>neuf</w:t>
      </w:r>
      <w:r>
        <w:rPr>
          <w:color w:val="231F20"/>
          <w:spacing w:val="-8"/>
        </w:rPr>
        <w:t> </w:t>
      </w:r>
      <w:r>
        <w:rPr>
          <w:color w:val="231F20"/>
        </w:rPr>
        <w:t>occupants</w:t>
      </w:r>
      <w:r>
        <w:rPr>
          <w:color w:val="231F20"/>
          <w:spacing w:val="-8"/>
        </w:rPr>
        <w:t> </w:t>
      </w:r>
      <w:r>
        <w:rPr>
          <w:color w:val="231F20"/>
        </w:rPr>
        <w:t>de</w:t>
      </w:r>
      <w:r>
        <w:rPr>
          <w:color w:val="231F20"/>
          <w:spacing w:val="-7"/>
        </w:rPr>
        <w:t> </w:t>
      </w:r>
      <w:r>
        <w:rPr>
          <w:color w:val="231F20"/>
        </w:rPr>
        <w:t>l’appareil </w:t>
      </w:r>
      <w:r>
        <w:rPr>
          <w:color w:val="231F20"/>
          <w:spacing w:val="-2"/>
        </w:rPr>
        <w:t>ne</w:t>
      </w:r>
      <w:r>
        <w:rPr>
          <w:color w:val="231F20"/>
          <w:spacing w:val="-8"/>
        </w:rPr>
        <w:t> </w:t>
      </w:r>
      <w:r>
        <w:rPr>
          <w:color w:val="231F20"/>
          <w:spacing w:val="-2"/>
        </w:rPr>
        <w:t>survit</w:t>
      </w:r>
      <w:r>
        <w:rPr>
          <w:color w:val="231F20"/>
          <w:spacing w:val="-7"/>
        </w:rPr>
        <w:t> </w:t>
      </w:r>
      <w:r>
        <w:rPr>
          <w:color w:val="231F20"/>
          <w:spacing w:val="-2"/>
        </w:rPr>
        <w:t>à</w:t>
      </w:r>
      <w:r>
        <w:rPr>
          <w:color w:val="231F20"/>
          <w:spacing w:val="-10"/>
        </w:rPr>
        <w:t> </w:t>
      </w:r>
      <w:r>
        <w:rPr>
          <w:color w:val="231F20"/>
          <w:spacing w:val="-2"/>
        </w:rPr>
        <w:t>l’accident.</w:t>
      </w:r>
      <w:r>
        <w:rPr>
          <w:color w:val="231F20"/>
          <w:spacing w:val="-10"/>
        </w:rPr>
        <w:t> </w:t>
      </w:r>
      <w:r>
        <w:rPr>
          <w:color w:val="231F20"/>
          <w:spacing w:val="-2"/>
        </w:rPr>
        <w:t>Accident</w:t>
      </w:r>
      <w:r>
        <w:rPr>
          <w:color w:val="231F20"/>
          <w:spacing w:val="-8"/>
        </w:rPr>
        <w:t> </w:t>
      </w:r>
      <w:r>
        <w:rPr>
          <w:color w:val="231F20"/>
          <w:spacing w:val="-2"/>
        </w:rPr>
        <w:t>ou</w:t>
      </w:r>
      <w:r>
        <w:rPr>
          <w:color w:val="231F20"/>
          <w:spacing w:val="-10"/>
        </w:rPr>
        <w:t> </w:t>
      </w:r>
      <w:r>
        <w:rPr>
          <w:color w:val="231F20"/>
          <w:spacing w:val="-2"/>
        </w:rPr>
        <w:t>assassinat</w:t>
      </w:r>
      <w:r>
        <w:rPr>
          <w:color w:val="231F20"/>
          <w:spacing w:val="-12"/>
        </w:rPr>
        <w:t> </w:t>
      </w:r>
      <w:r>
        <w:rPr>
          <w:color w:val="231F20"/>
          <w:spacing w:val="-2"/>
        </w:rPr>
        <w:t>?</w:t>
      </w:r>
      <w:r>
        <w:rPr>
          <w:color w:val="231F20"/>
          <w:spacing w:val="-10"/>
        </w:rPr>
        <w:t> </w:t>
      </w:r>
      <w:r>
        <w:rPr>
          <w:color w:val="231F20"/>
          <w:spacing w:val="-2"/>
        </w:rPr>
        <w:t>Sa</w:t>
      </w:r>
      <w:r>
        <w:rPr>
          <w:color w:val="231F20"/>
          <w:spacing w:val="-10"/>
        </w:rPr>
        <w:t> </w:t>
      </w:r>
      <w:r>
        <w:rPr>
          <w:color w:val="231F20"/>
          <w:spacing w:val="-2"/>
        </w:rPr>
        <w:t>mort</w:t>
      </w:r>
      <w:r>
        <w:rPr>
          <w:color w:val="231F20"/>
          <w:spacing w:val="-8"/>
        </w:rPr>
        <w:t> </w:t>
      </w:r>
      <w:r>
        <w:rPr>
          <w:color w:val="231F20"/>
          <w:spacing w:val="-2"/>
        </w:rPr>
        <w:t>est</w:t>
      </w:r>
      <w:r>
        <w:rPr>
          <w:color w:val="231F20"/>
          <w:spacing w:val="-10"/>
        </w:rPr>
        <w:t> </w:t>
      </w:r>
      <w:r>
        <w:rPr>
          <w:color w:val="231F20"/>
          <w:spacing w:val="-2"/>
        </w:rPr>
        <w:t>suivie</w:t>
      </w:r>
      <w:r>
        <w:rPr>
          <w:color w:val="231F20"/>
          <w:spacing w:val="-10"/>
        </w:rPr>
        <w:t> </w:t>
      </w:r>
      <w:r>
        <w:rPr>
          <w:color w:val="231F20"/>
          <w:spacing w:val="-2"/>
        </w:rPr>
        <w:t>par</w:t>
      </w:r>
      <w:r>
        <w:rPr>
          <w:color w:val="231F20"/>
          <w:spacing w:val="-10"/>
        </w:rPr>
        <w:t> </w:t>
      </w:r>
      <w:r>
        <w:rPr>
          <w:color w:val="231F20"/>
          <w:spacing w:val="-2"/>
        </w:rPr>
        <w:t>une </w:t>
      </w:r>
      <w:r>
        <w:rPr>
          <w:color w:val="231F20"/>
        </w:rPr>
        <w:t>guerre de succession entre ses partisans, notamment</w:t>
      </w:r>
      <w:r>
        <w:rPr>
          <w:color w:val="231F20"/>
          <w:spacing w:val="-13"/>
        </w:rPr>
        <w:t> </w:t>
      </w:r>
      <w:r>
        <w:rPr>
          <w:color w:val="231F20"/>
        </w:rPr>
        <w:t>Abel Goumba, président</w:t>
      </w:r>
      <w:r>
        <w:rPr>
          <w:color w:val="231F20"/>
          <w:spacing w:val="-1"/>
        </w:rPr>
        <w:t> </w:t>
      </w:r>
      <w:r>
        <w:rPr>
          <w:color w:val="231F20"/>
        </w:rPr>
        <w:t>du</w:t>
      </w:r>
      <w:r>
        <w:rPr>
          <w:color w:val="231F20"/>
          <w:spacing w:val="-1"/>
        </w:rPr>
        <w:t> </w:t>
      </w:r>
      <w:r>
        <w:rPr>
          <w:color w:val="231F20"/>
        </w:rPr>
        <w:t>gouvernement</w:t>
      </w:r>
      <w:r>
        <w:rPr>
          <w:color w:val="231F20"/>
          <w:spacing w:val="-1"/>
        </w:rPr>
        <w:t> </w:t>
      </w:r>
      <w:r>
        <w:rPr>
          <w:color w:val="231F20"/>
        </w:rPr>
        <w:t>par</w:t>
      </w:r>
      <w:r>
        <w:rPr>
          <w:color w:val="231F20"/>
          <w:spacing w:val="-1"/>
        </w:rPr>
        <w:t> </w:t>
      </w:r>
      <w:r>
        <w:rPr>
          <w:color w:val="231F20"/>
        </w:rPr>
        <w:t>intérim</w:t>
      </w:r>
      <w:r>
        <w:rPr>
          <w:color w:val="231F20"/>
          <w:spacing w:val="-1"/>
        </w:rPr>
        <w:t> </w:t>
      </w:r>
      <w:r>
        <w:rPr>
          <w:color w:val="231F20"/>
        </w:rPr>
        <w:t>qui</w:t>
      </w:r>
      <w:r>
        <w:rPr>
          <w:color w:val="231F20"/>
          <w:spacing w:val="-3"/>
        </w:rPr>
        <w:t> </w:t>
      </w:r>
      <w:r>
        <w:rPr>
          <w:color w:val="231F20"/>
        </w:rPr>
        <w:t>se</w:t>
      </w:r>
      <w:r>
        <w:rPr>
          <w:color w:val="231F20"/>
          <w:spacing w:val="-1"/>
        </w:rPr>
        <w:t> </w:t>
      </w:r>
      <w:r>
        <w:rPr>
          <w:color w:val="231F20"/>
        </w:rPr>
        <w:t>positionne</w:t>
      </w:r>
      <w:r>
        <w:rPr>
          <w:color w:val="231F20"/>
          <w:spacing w:val="-1"/>
        </w:rPr>
        <w:t> </w:t>
      </w:r>
      <w:r>
        <w:rPr>
          <w:color w:val="231F20"/>
        </w:rPr>
        <w:t>comme</w:t>
      </w:r>
      <w:r>
        <w:rPr>
          <w:color w:val="231F20"/>
          <w:spacing w:val="-3"/>
        </w:rPr>
        <w:t> </w:t>
      </w:r>
      <w:r>
        <w:rPr>
          <w:color w:val="231F20"/>
        </w:rPr>
        <w:t>le</w:t>
      </w:r>
      <w:r>
        <w:rPr>
          <w:color w:val="231F20"/>
          <w:spacing w:val="-2"/>
        </w:rPr>
        <w:t> </w:t>
      </w:r>
      <w:r>
        <w:rPr>
          <w:color w:val="231F20"/>
        </w:rPr>
        <w:t>fils spirituel</w:t>
      </w:r>
      <w:r>
        <w:rPr>
          <w:color w:val="231F20"/>
          <w:spacing w:val="-14"/>
        </w:rPr>
        <w:t> </w:t>
      </w:r>
      <w:r>
        <w:rPr>
          <w:color w:val="231F20"/>
        </w:rPr>
        <w:t>de</w:t>
      </w:r>
      <w:r>
        <w:rPr>
          <w:color w:val="231F20"/>
          <w:spacing w:val="-14"/>
        </w:rPr>
        <w:t> </w:t>
      </w:r>
      <w:r>
        <w:rPr>
          <w:color w:val="231F20"/>
        </w:rPr>
        <w:t>Boganda</w:t>
      </w:r>
      <w:r>
        <w:rPr>
          <w:color w:val="231F20"/>
          <w:spacing w:val="-15"/>
        </w:rPr>
        <w:t> </w:t>
      </w:r>
      <w:r>
        <w:rPr>
          <w:color w:val="231F20"/>
        </w:rPr>
        <w:t>et</w:t>
      </w:r>
      <w:r>
        <w:rPr>
          <w:color w:val="231F20"/>
          <w:spacing w:val="-12"/>
        </w:rPr>
        <w:t> </w:t>
      </w:r>
      <w:r>
        <w:rPr>
          <w:color w:val="231F20"/>
        </w:rPr>
        <w:t>David</w:t>
      </w:r>
      <w:r>
        <w:rPr>
          <w:color w:val="231F20"/>
          <w:spacing w:val="-12"/>
        </w:rPr>
        <w:t> </w:t>
      </w:r>
      <w:r>
        <w:rPr>
          <w:color w:val="231F20"/>
        </w:rPr>
        <w:t>Dacko,</w:t>
      </w:r>
      <w:r>
        <w:rPr>
          <w:color w:val="231F20"/>
          <w:spacing w:val="-12"/>
        </w:rPr>
        <w:t> </w:t>
      </w:r>
      <w:r>
        <w:rPr>
          <w:color w:val="231F20"/>
        </w:rPr>
        <w:t>cousin</w:t>
      </w:r>
      <w:r>
        <w:rPr>
          <w:color w:val="231F20"/>
          <w:spacing w:val="-14"/>
        </w:rPr>
        <w:t> </w:t>
      </w:r>
      <w:r>
        <w:rPr>
          <w:color w:val="231F20"/>
        </w:rPr>
        <w:t>du</w:t>
      </w:r>
      <w:r>
        <w:rPr>
          <w:color w:val="231F20"/>
          <w:spacing w:val="-12"/>
        </w:rPr>
        <w:t> </w:t>
      </w:r>
      <w:r>
        <w:rPr>
          <w:color w:val="231F20"/>
        </w:rPr>
        <w:t>défunt</w:t>
      </w:r>
      <w:r>
        <w:rPr>
          <w:color w:val="231F20"/>
          <w:spacing w:val="-12"/>
        </w:rPr>
        <w:t> </w:t>
      </w:r>
      <w:r>
        <w:rPr>
          <w:color w:val="231F20"/>
        </w:rPr>
        <w:t>qui</w:t>
      </w:r>
      <w:r>
        <w:rPr>
          <w:color w:val="231F20"/>
          <w:spacing w:val="-14"/>
        </w:rPr>
        <w:t> </w:t>
      </w:r>
      <w:r>
        <w:rPr>
          <w:color w:val="231F20"/>
        </w:rPr>
        <w:t>met</w:t>
      </w:r>
      <w:r>
        <w:rPr>
          <w:color w:val="231F20"/>
          <w:spacing w:val="-12"/>
        </w:rPr>
        <w:t> </w:t>
      </w:r>
      <w:r>
        <w:rPr>
          <w:color w:val="231F20"/>
        </w:rPr>
        <w:t>en</w:t>
      </w:r>
      <w:r>
        <w:rPr>
          <w:color w:val="231F20"/>
          <w:spacing w:val="-14"/>
        </w:rPr>
        <w:t> </w:t>
      </w:r>
      <w:r>
        <w:rPr>
          <w:color w:val="231F20"/>
        </w:rPr>
        <w:t>avant son lien familial.</w:t>
      </w:r>
    </w:p>
    <w:p>
      <w:pPr>
        <w:pStyle w:val="BodyText"/>
        <w:spacing w:before="120"/>
        <w:ind w:right="105" w:firstLine="283"/>
      </w:pPr>
      <w:r>
        <w:rPr>
          <w:color w:val="231F20"/>
        </w:rPr>
        <w:t>Grâce</w:t>
      </w:r>
      <w:r>
        <w:rPr>
          <w:color w:val="231F20"/>
          <w:spacing w:val="-3"/>
        </w:rPr>
        <w:t> </w:t>
      </w:r>
      <w:r>
        <w:rPr>
          <w:color w:val="231F20"/>
        </w:rPr>
        <w:t>au</w:t>
      </w:r>
      <w:r>
        <w:rPr>
          <w:color w:val="231F20"/>
          <w:spacing w:val="-3"/>
        </w:rPr>
        <w:t> </w:t>
      </w:r>
      <w:r>
        <w:rPr>
          <w:color w:val="231F20"/>
        </w:rPr>
        <w:t>soutien</w:t>
      </w:r>
      <w:r>
        <w:rPr>
          <w:color w:val="231F20"/>
          <w:spacing w:val="-5"/>
        </w:rPr>
        <w:t> </w:t>
      </w:r>
      <w:r>
        <w:rPr>
          <w:color w:val="231F20"/>
        </w:rPr>
        <w:t>des</w:t>
      </w:r>
      <w:r>
        <w:rPr>
          <w:color w:val="231F20"/>
          <w:spacing w:val="-5"/>
        </w:rPr>
        <w:t> </w:t>
      </w:r>
      <w:r>
        <w:rPr>
          <w:color w:val="231F20"/>
        </w:rPr>
        <w:t>colons</w:t>
      </w:r>
      <w:r>
        <w:rPr>
          <w:color w:val="231F20"/>
          <w:spacing w:val="-3"/>
        </w:rPr>
        <w:t> </w:t>
      </w:r>
      <w:r>
        <w:rPr>
          <w:color w:val="231F20"/>
        </w:rPr>
        <w:t>de</w:t>
      </w:r>
      <w:r>
        <w:rPr>
          <w:color w:val="231F20"/>
          <w:spacing w:val="-6"/>
        </w:rPr>
        <w:t> </w:t>
      </w:r>
      <w:r>
        <w:rPr>
          <w:color w:val="231F20"/>
        </w:rPr>
        <w:t>la</w:t>
      </w:r>
      <w:r>
        <w:rPr>
          <w:color w:val="231F20"/>
          <w:spacing w:val="-4"/>
        </w:rPr>
        <w:t> </w:t>
      </w:r>
      <w:r>
        <w:rPr>
          <w:color w:val="231F20"/>
        </w:rPr>
        <w:t>chambre</w:t>
      </w:r>
      <w:r>
        <w:rPr>
          <w:color w:val="231F20"/>
          <w:spacing w:val="-6"/>
        </w:rPr>
        <w:t> </w:t>
      </w:r>
      <w:r>
        <w:rPr>
          <w:color w:val="231F20"/>
        </w:rPr>
        <w:t>de</w:t>
      </w:r>
      <w:r>
        <w:rPr>
          <w:color w:val="231F20"/>
          <w:spacing w:val="-3"/>
        </w:rPr>
        <w:t> </w:t>
      </w:r>
      <w:r>
        <w:rPr>
          <w:color w:val="231F20"/>
        </w:rPr>
        <w:t>commerce</w:t>
      </w:r>
      <w:r>
        <w:rPr>
          <w:color w:val="231F20"/>
          <w:spacing w:val="-3"/>
        </w:rPr>
        <w:t> </w:t>
      </w:r>
      <w:r>
        <w:rPr>
          <w:color w:val="231F20"/>
        </w:rPr>
        <w:t>de</w:t>
      </w:r>
      <w:r>
        <w:rPr>
          <w:color w:val="231F20"/>
          <w:spacing w:val="-6"/>
        </w:rPr>
        <w:t> </w:t>
      </w:r>
      <w:r>
        <w:rPr>
          <w:color w:val="231F20"/>
        </w:rPr>
        <w:t>Bangui, Dacko s’impose face à Goumba. Il fait appel à son cousin Jean-Bedel Bokassa,</w:t>
      </w:r>
      <w:r>
        <w:rPr>
          <w:color w:val="231F20"/>
          <w:spacing w:val="-4"/>
        </w:rPr>
        <w:t> </w:t>
      </w:r>
      <w:r>
        <w:rPr>
          <w:color w:val="231F20"/>
        </w:rPr>
        <w:t>capitaine</w:t>
      </w:r>
      <w:r>
        <w:rPr>
          <w:color w:val="231F20"/>
          <w:spacing w:val="-4"/>
        </w:rPr>
        <w:t> </w:t>
      </w:r>
      <w:r>
        <w:rPr>
          <w:color w:val="231F20"/>
        </w:rPr>
        <w:t>dans</w:t>
      </w:r>
      <w:r>
        <w:rPr>
          <w:color w:val="231F20"/>
          <w:spacing w:val="-4"/>
        </w:rPr>
        <w:t> </w:t>
      </w:r>
      <w:r>
        <w:rPr>
          <w:color w:val="231F20"/>
        </w:rPr>
        <w:t>l’armée</w:t>
      </w:r>
      <w:r>
        <w:rPr>
          <w:color w:val="231F20"/>
          <w:spacing w:val="-3"/>
        </w:rPr>
        <w:t> </w:t>
      </w:r>
      <w:r>
        <w:rPr>
          <w:color w:val="231F20"/>
        </w:rPr>
        <w:t>française</w:t>
      </w:r>
      <w:r>
        <w:rPr>
          <w:color w:val="231F20"/>
          <w:spacing w:val="-5"/>
        </w:rPr>
        <w:t> </w:t>
      </w:r>
      <w:r>
        <w:rPr>
          <w:color w:val="231F20"/>
        </w:rPr>
        <w:t>pour</w:t>
      </w:r>
      <w:r>
        <w:rPr>
          <w:color w:val="231F20"/>
          <w:spacing w:val="-5"/>
        </w:rPr>
        <w:t> </w:t>
      </w:r>
      <w:r>
        <w:rPr>
          <w:color w:val="231F20"/>
        </w:rPr>
        <w:t>réorganiser</w:t>
      </w:r>
      <w:r>
        <w:rPr>
          <w:color w:val="231F20"/>
          <w:spacing w:val="-5"/>
        </w:rPr>
        <w:t> </w:t>
      </w:r>
      <w:r>
        <w:rPr>
          <w:color w:val="231F20"/>
        </w:rPr>
        <w:t>l’Armée</w:t>
      </w:r>
      <w:r>
        <w:rPr>
          <w:color w:val="231F20"/>
          <w:spacing w:val="-4"/>
        </w:rPr>
        <w:t> </w:t>
      </w:r>
      <w:r>
        <w:rPr>
          <w:color w:val="231F20"/>
        </w:rPr>
        <w:t>du pays fraichement indépendant.</w:t>
      </w:r>
    </w:p>
    <w:p>
      <w:pPr>
        <w:spacing w:after="0"/>
        <w:sectPr>
          <w:pgSz w:w="8790" w:h="13610"/>
          <w:pgMar w:header="0" w:footer="802" w:top="1060" w:bottom="1000" w:left="880" w:right="880"/>
        </w:sectPr>
      </w:pPr>
    </w:p>
    <w:p>
      <w:pPr>
        <w:pStyle w:val="BodyText"/>
        <w:spacing w:before="86"/>
        <w:ind w:right="102" w:firstLine="283"/>
      </w:pPr>
      <w:r>
        <w:rPr>
          <w:color w:val="231F20"/>
        </w:rPr>
        <w:t>Bokassa s’était engagé dans</w:t>
      </w:r>
      <w:r>
        <w:rPr>
          <w:color w:val="231F20"/>
          <w:spacing w:val="-15"/>
        </w:rPr>
        <w:t> </w:t>
      </w:r>
      <w:r>
        <w:rPr>
          <w:color w:val="231F20"/>
        </w:rPr>
        <w:t>la Coloniale</w:t>
      </w:r>
      <w:r>
        <w:rPr>
          <w:color w:val="231F20"/>
          <w:vertAlign w:val="superscript"/>
        </w:rPr>
        <w:t>60</w:t>
      </w:r>
      <w:r>
        <w:rPr>
          <w:color w:val="231F20"/>
          <w:vertAlign w:val="baseline"/>
        </w:rPr>
        <w:t> de l'armée française en mai</w:t>
      </w:r>
      <w:r>
        <w:rPr>
          <w:color w:val="231F20"/>
          <w:spacing w:val="-13"/>
          <w:vertAlign w:val="baseline"/>
        </w:rPr>
        <w:t> </w:t>
      </w:r>
      <w:r>
        <w:rPr>
          <w:color w:val="231F20"/>
          <w:vertAlign w:val="baseline"/>
        </w:rPr>
        <w:t>1939.</w:t>
      </w:r>
      <w:r>
        <w:rPr>
          <w:color w:val="231F20"/>
          <w:spacing w:val="80"/>
          <w:vertAlign w:val="baseline"/>
        </w:rPr>
        <w:t> </w:t>
      </w:r>
      <w:r>
        <w:rPr>
          <w:color w:val="231F20"/>
          <w:vertAlign w:val="baseline"/>
        </w:rPr>
        <w:t>Sergent</w:t>
      </w:r>
      <w:r>
        <w:rPr>
          <w:color w:val="231F20"/>
          <w:spacing w:val="80"/>
          <w:vertAlign w:val="baseline"/>
        </w:rPr>
        <w:t> </w:t>
      </w:r>
      <w:r>
        <w:rPr>
          <w:color w:val="231F20"/>
          <w:vertAlign w:val="baseline"/>
        </w:rPr>
        <w:t>des</w:t>
      </w:r>
      <w:r>
        <w:rPr>
          <w:color w:val="231F20"/>
          <w:spacing w:val="-15"/>
          <w:vertAlign w:val="baseline"/>
        </w:rPr>
        <w:t> </w:t>
      </w:r>
      <w:r>
        <w:rPr>
          <w:color w:val="231F20"/>
          <w:vertAlign w:val="baseline"/>
        </w:rPr>
        <w:t>Forces</w:t>
      </w:r>
      <w:r>
        <w:rPr>
          <w:color w:val="231F20"/>
          <w:spacing w:val="80"/>
          <w:vertAlign w:val="baseline"/>
        </w:rPr>
        <w:t> </w:t>
      </w:r>
      <w:r>
        <w:rPr>
          <w:color w:val="231F20"/>
          <w:vertAlign w:val="baseline"/>
        </w:rPr>
        <w:t>françaises</w:t>
      </w:r>
      <w:r>
        <w:rPr>
          <w:color w:val="231F20"/>
          <w:spacing w:val="80"/>
          <w:vertAlign w:val="baseline"/>
        </w:rPr>
        <w:t> </w:t>
      </w:r>
      <w:r>
        <w:rPr>
          <w:color w:val="231F20"/>
          <w:vertAlign w:val="baseline"/>
        </w:rPr>
        <w:t>libres</w:t>
      </w:r>
      <w:r>
        <w:rPr>
          <w:color w:val="231F20"/>
          <w:spacing w:val="-14"/>
          <w:vertAlign w:val="baseline"/>
        </w:rPr>
        <w:t> </w:t>
      </w:r>
      <w:r>
        <w:rPr>
          <w:color w:val="231F20"/>
          <w:vertAlign w:val="baseline"/>
        </w:rPr>
        <w:t>(FFL),</w:t>
      </w:r>
      <w:r>
        <w:rPr>
          <w:color w:val="231F20"/>
          <w:spacing w:val="80"/>
          <w:vertAlign w:val="baseline"/>
        </w:rPr>
        <w:t> </w:t>
      </w:r>
      <w:r>
        <w:rPr>
          <w:color w:val="231F20"/>
          <w:vertAlign w:val="baseline"/>
        </w:rPr>
        <w:t>il</w:t>
      </w:r>
      <w:r>
        <w:rPr>
          <w:color w:val="231F20"/>
          <w:spacing w:val="80"/>
          <w:vertAlign w:val="baseline"/>
        </w:rPr>
        <w:t> </w:t>
      </w:r>
      <w:r>
        <w:rPr>
          <w:color w:val="231F20"/>
          <w:vertAlign w:val="baseline"/>
        </w:rPr>
        <w:t>participe au</w:t>
      </w:r>
      <w:r>
        <w:rPr>
          <w:color w:val="231F20"/>
          <w:spacing w:val="-15"/>
          <w:vertAlign w:val="baseline"/>
        </w:rPr>
        <w:t> </w:t>
      </w:r>
      <w:r>
        <w:rPr>
          <w:color w:val="231F20"/>
          <w:vertAlign w:val="baseline"/>
        </w:rPr>
        <w:t>débarquement</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Provence</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à</w:t>
      </w:r>
      <w:r>
        <w:rPr>
          <w:color w:val="231F20"/>
          <w:spacing w:val="-14"/>
          <w:vertAlign w:val="baseline"/>
        </w:rPr>
        <w:t> </w:t>
      </w:r>
      <w:r>
        <w:rPr>
          <w:color w:val="231F20"/>
          <w:vertAlign w:val="baseline"/>
        </w:rPr>
        <w:t>la</w:t>
      </w:r>
      <w:r>
        <w:rPr>
          <w:color w:val="231F20"/>
          <w:spacing w:val="-14"/>
          <w:vertAlign w:val="baseline"/>
        </w:rPr>
        <w:t> </w:t>
      </w:r>
      <w:r>
        <w:rPr>
          <w:color w:val="231F20"/>
          <w:vertAlign w:val="baseline"/>
        </w:rPr>
        <w:t>bataille</w:t>
      </w:r>
      <w:r>
        <w:rPr>
          <w:color w:val="231F20"/>
          <w:spacing w:val="-14"/>
          <w:vertAlign w:val="baseline"/>
        </w:rPr>
        <w:t> </w:t>
      </w:r>
      <w:r>
        <w:rPr>
          <w:color w:val="231F20"/>
          <w:vertAlign w:val="baseline"/>
        </w:rPr>
        <w:t>du</w:t>
      </w:r>
      <w:r>
        <w:rPr>
          <w:color w:val="231F20"/>
          <w:spacing w:val="-15"/>
          <w:vertAlign w:val="baseline"/>
        </w:rPr>
        <w:t> </w:t>
      </w:r>
      <w:r>
        <w:rPr>
          <w:color w:val="231F20"/>
          <w:vertAlign w:val="baseline"/>
        </w:rPr>
        <w:t>Rhin.</w:t>
      </w:r>
      <w:r>
        <w:rPr>
          <w:color w:val="231F20"/>
          <w:spacing w:val="-13"/>
          <w:vertAlign w:val="baseline"/>
        </w:rPr>
        <w:t> </w:t>
      </w:r>
      <w:r>
        <w:rPr>
          <w:color w:val="231F20"/>
          <w:vertAlign w:val="baseline"/>
        </w:rPr>
        <w:t>Après</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guerre,</w:t>
      </w:r>
      <w:r>
        <w:rPr>
          <w:color w:val="231F20"/>
          <w:spacing w:val="-15"/>
          <w:vertAlign w:val="baseline"/>
        </w:rPr>
        <w:t> </w:t>
      </w:r>
      <w:r>
        <w:rPr>
          <w:color w:val="231F20"/>
          <w:vertAlign w:val="baseline"/>
        </w:rPr>
        <w:t>il devient</w:t>
      </w:r>
      <w:r>
        <w:rPr>
          <w:color w:val="231F20"/>
          <w:spacing w:val="80"/>
          <w:vertAlign w:val="baseline"/>
        </w:rPr>
        <w:t> </w:t>
      </w:r>
      <w:r>
        <w:rPr>
          <w:color w:val="231F20"/>
          <w:vertAlign w:val="baseline"/>
        </w:rPr>
        <w:t>élève</w:t>
      </w:r>
      <w:r>
        <w:rPr>
          <w:color w:val="231F20"/>
          <w:spacing w:val="80"/>
          <w:vertAlign w:val="baseline"/>
        </w:rPr>
        <w:t> </w:t>
      </w:r>
      <w:r>
        <w:rPr>
          <w:color w:val="231F20"/>
          <w:vertAlign w:val="baseline"/>
        </w:rPr>
        <w:t>du</w:t>
      </w:r>
      <w:r>
        <w:rPr>
          <w:color w:val="231F20"/>
          <w:spacing w:val="-15"/>
          <w:vertAlign w:val="baseline"/>
        </w:rPr>
        <w:t> </w:t>
      </w:r>
      <w:r>
        <w:rPr>
          <w:color w:val="231F20"/>
          <w:vertAlign w:val="baseline"/>
        </w:rPr>
        <w:t>Prytanée</w:t>
      </w:r>
      <w:r>
        <w:rPr>
          <w:color w:val="231F20"/>
          <w:spacing w:val="80"/>
          <w:vertAlign w:val="baseline"/>
        </w:rPr>
        <w:t> </w:t>
      </w:r>
      <w:r>
        <w:rPr>
          <w:color w:val="231F20"/>
          <w:vertAlign w:val="baseline"/>
        </w:rPr>
        <w:t>militaire</w:t>
      </w:r>
      <w:r>
        <w:rPr>
          <w:color w:val="231F20"/>
          <w:spacing w:val="80"/>
          <w:vertAlign w:val="baseline"/>
        </w:rPr>
        <w:t> </w:t>
      </w:r>
      <w:r>
        <w:rPr>
          <w:color w:val="231F20"/>
          <w:vertAlign w:val="baseline"/>
        </w:rPr>
        <w:t>de</w:t>
      </w:r>
      <w:r>
        <w:rPr>
          <w:color w:val="231F20"/>
          <w:spacing w:val="80"/>
          <w:vertAlign w:val="baseline"/>
        </w:rPr>
        <w:t> </w:t>
      </w:r>
      <w:r>
        <w:rPr>
          <w:color w:val="231F20"/>
          <w:vertAlign w:val="baseline"/>
        </w:rPr>
        <w:t>Saint-Louis</w:t>
      </w:r>
      <w:r>
        <w:rPr>
          <w:color w:val="231F20"/>
          <w:spacing w:val="-15"/>
          <w:vertAlign w:val="baseline"/>
        </w:rPr>
        <w:t> </w:t>
      </w:r>
      <w:r>
        <w:rPr>
          <w:color w:val="231F20"/>
          <w:vertAlign w:val="baseline"/>
        </w:rPr>
        <w:t>au</w:t>
      </w:r>
      <w:r>
        <w:rPr>
          <w:color w:val="231F20"/>
          <w:spacing w:val="-15"/>
          <w:vertAlign w:val="baseline"/>
        </w:rPr>
        <w:t> </w:t>
      </w:r>
      <w:r>
        <w:rPr>
          <w:color w:val="231F20"/>
          <w:vertAlign w:val="baseline"/>
        </w:rPr>
        <w:t>Sénégal</w:t>
      </w:r>
      <w:r>
        <w:rPr>
          <w:color w:val="231F20"/>
          <w:spacing w:val="-15"/>
          <w:vertAlign w:val="baseline"/>
        </w:rPr>
        <w:t> </w:t>
      </w:r>
      <w:r>
        <w:rPr>
          <w:color w:val="231F20"/>
          <w:vertAlign w:val="baseline"/>
        </w:rPr>
        <w:t>puis à</w:t>
      </w:r>
      <w:r>
        <w:rPr>
          <w:color w:val="231F20"/>
          <w:spacing w:val="-15"/>
          <w:vertAlign w:val="baseline"/>
        </w:rPr>
        <w:t> </w:t>
      </w:r>
      <w:r>
        <w:rPr>
          <w:color w:val="231F20"/>
          <w:vertAlign w:val="baseline"/>
        </w:rPr>
        <w:t>Châlons-sur-Marne.</w:t>
      </w:r>
      <w:r>
        <w:rPr>
          <w:color w:val="231F20"/>
          <w:spacing w:val="40"/>
          <w:vertAlign w:val="baseline"/>
        </w:rPr>
        <w:t> </w:t>
      </w:r>
      <w:r>
        <w:rPr>
          <w:color w:val="231F20"/>
          <w:vertAlign w:val="baseline"/>
        </w:rPr>
        <w:t>Il</w:t>
      </w:r>
      <w:r>
        <w:rPr>
          <w:color w:val="231F20"/>
          <w:spacing w:val="40"/>
          <w:vertAlign w:val="baseline"/>
        </w:rPr>
        <w:t> </w:t>
      </w:r>
      <w:r>
        <w:rPr>
          <w:color w:val="231F20"/>
          <w:vertAlign w:val="baseline"/>
        </w:rPr>
        <w:t>combat</w:t>
      </w:r>
      <w:r>
        <w:rPr>
          <w:color w:val="231F20"/>
          <w:spacing w:val="40"/>
          <w:vertAlign w:val="baseline"/>
        </w:rPr>
        <w:t> </w:t>
      </w:r>
      <w:r>
        <w:rPr>
          <w:color w:val="231F20"/>
          <w:vertAlign w:val="baseline"/>
        </w:rPr>
        <w:t>ensuite</w:t>
      </w:r>
      <w:r>
        <w:rPr>
          <w:color w:val="231F20"/>
          <w:spacing w:val="40"/>
          <w:vertAlign w:val="baseline"/>
        </w:rPr>
        <w:t> </w:t>
      </w:r>
      <w:r>
        <w:rPr>
          <w:color w:val="231F20"/>
          <w:vertAlign w:val="baseline"/>
        </w:rPr>
        <w:t>en</w:t>
      </w:r>
      <w:r>
        <w:rPr>
          <w:color w:val="231F20"/>
          <w:spacing w:val="-14"/>
          <w:vertAlign w:val="baseline"/>
        </w:rPr>
        <w:t> </w:t>
      </w:r>
      <w:r>
        <w:rPr>
          <w:color w:val="231F20"/>
          <w:vertAlign w:val="baseline"/>
        </w:rPr>
        <w:t>Indochine</w:t>
      </w:r>
      <w:r>
        <w:rPr>
          <w:color w:val="231F20"/>
          <w:spacing w:val="-15"/>
          <w:vertAlign w:val="baseline"/>
        </w:rPr>
        <w:t> </w:t>
      </w:r>
      <w:r>
        <w:rPr>
          <w:color w:val="231F20"/>
          <w:vertAlign w:val="baseline"/>
        </w:rPr>
        <w:t>et</w:t>
      </w:r>
      <w:r>
        <w:rPr>
          <w:color w:val="231F20"/>
          <w:spacing w:val="40"/>
          <w:vertAlign w:val="baseline"/>
        </w:rPr>
        <w:t> </w:t>
      </w:r>
      <w:r>
        <w:rPr>
          <w:color w:val="231F20"/>
          <w:vertAlign w:val="baseline"/>
        </w:rPr>
        <w:t>en</w:t>
      </w:r>
      <w:r>
        <w:rPr>
          <w:color w:val="231F20"/>
          <w:spacing w:val="-15"/>
          <w:vertAlign w:val="baseline"/>
        </w:rPr>
        <w:t> </w:t>
      </w:r>
      <w:r>
        <w:rPr>
          <w:color w:val="231F20"/>
          <w:vertAlign w:val="baseline"/>
        </w:rPr>
        <w:t>Algérie, obtient la</w:t>
      </w:r>
      <w:r>
        <w:rPr>
          <w:color w:val="231F20"/>
          <w:spacing w:val="-15"/>
          <w:vertAlign w:val="baseline"/>
        </w:rPr>
        <w:t> </w:t>
      </w:r>
      <w:r>
        <w:rPr>
          <w:color w:val="231F20"/>
          <w:vertAlign w:val="baseline"/>
        </w:rPr>
        <w:t>Légion d'honneur</w:t>
      </w:r>
      <w:r>
        <w:rPr>
          <w:color w:val="231F20"/>
          <w:spacing w:val="-15"/>
          <w:vertAlign w:val="baseline"/>
        </w:rPr>
        <w:t> </w:t>
      </w:r>
      <w:r>
        <w:rPr>
          <w:color w:val="231F20"/>
          <w:vertAlign w:val="baseline"/>
        </w:rPr>
        <w:t>et la</w:t>
      </w:r>
      <w:r>
        <w:rPr>
          <w:color w:val="231F20"/>
          <w:spacing w:val="-15"/>
          <w:vertAlign w:val="baseline"/>
        </w:rPr>
        <w:t> </w:t>
      </w:r>
      <w:r>
        <w:rPr>
          <w:color w:val="231F20"/>
          <w:vertAlign w:val="baseline"/>
        </w:rPr>
        <w:t>croix de guerre. Il termine sa carrière </w:t>
      </w:r>
      <w:r>
        <w:rPr>
          <w:color w:val="231F20"/>
          <w:spacing w:val="-4"/>
          <w:vertAlign w:val="baseline"/>
        </w:rPr>
        <w:t>dans</w:t>
      </w:r>
      <w:r>
        <w:rPr>
          <w:color w:val="231F20"/>
          <w:spacing w:val="-9"/>
          <w:vertAlign w:val="baseline"/>
        </w:rPr>
        <w:t> </w:t>
      </w:r>
      <w:r>
        <w:rPr>
          <w:color w:val="231F20"/>
          <w:spacing w:val="-4"/>
          <w:vertAlign w:val="baseline"/>
        </w:rPr>
        <w:t>l'armée</w:t>
      </w:r>
      <w:r>
        <w:rPr>
          <w:color w:val="231F20"/>
          <w:spacing w:val="-9"/>
          <w:vertAlign w:val="baseline"/>
        </w:rPr>
        <w:t> </w:t>
      </w:r>
      <w:r>
        <w:rPr>
          <w:color w:val="231F20"/>
          <w:spacing w:val="-4"/>
          <w:vertAlign w:val="baseline"/>
        </w:rPr>
        <w:t>française</w:t>
      </w:r>
      <w:r>
        <w:rPr>
          <w:color w:val="231F20"/>
          <w:vertAlign w:val="baseline"/>
        </w:rPr>
        <w:t> </w:t>
      </w:r>
      <w:r>
        <w:rPr>
          <w:color w:val="231F20"/>
          <w:spacing w:val="-4"/>
          <w:vertAlign w:val="baseline"/>
        </w:rPr>
        <w:t>avec</w:t>
      </w:r>
      <w:r>
        <w:rPr>
          <w:color w:val="231F20"/>
          <w:spacing w:val="-9"/>
          <w:vertAlign w:val="baseline"/>
        </w:rPr>
        <w:t> </w:t>
      </w:r>
      <w:r>
        <w:rPr>
          <w:color w:val="231F20"/>
          <w:spacing w:val="-4"/>
          <w:vertAlign w:val="baseline"/>
        </w:rPr>
        <w:t>le</w:t>
      </w:r>
      <w:r>
        <w:rPr>
          <w:color w:val="231F20"/>
          <w:spacing w:val="-9"/>
          <w:vertAlign w:val="baseline"/>
        </w:rPr>
        <w:t> </w:t>
      </w:r>
      <w:r>
        <w:rPr>
          <w:color w:val="231F20"/>
          <w:spacing w:val="-4"/>
          <w:vertAlign w:val="baseline"/>
        </w:rPr>
        <w:t>grade</w:t>
      </w:r>
      <w:r>
        <w:rPr>
          <w:color w:val="231F20"/>
          <w:spacing w:val="-9"/>
          <w:vertAlign w:val="baseline"/>
        </w:rPr>
        <w:t> </w:t>
      </w:r>
      <w:r>
        <w:rPr>
          <w:color w:val="231F20"/>
          <w:spacing w:val="-4"/>
          <w:vertAlign w:val="baseline"/>
        </w:rPr>
        <w:t>de</w:t>
      </w:r>
      <w:r>
        <w:rPr>
          <w:color w:val="231F20"/>
          <w:vertAlign w:val="baseline"/>
        </w:rPr>
        <w:t> </w:t>
      </w:r>
      <w:r>
        <w:rPr>
          <w:color w:val="231F20"/>
          <w:spacing w:val="-4"/>
          <w:vertAlign w:val="baseline"/>
        </w:rPr>
        <w:t>Capitaine.</w:t>
      </w:r>
      <w:r>
        <w:rPr>
          <w:color w:val="231F20"/>
          <w:spacing w:val="-9"/>
          <w:vertAlign w:val="baseline"/>
        </w:rPr>
        <w:t> </w:t>
      </w:r>
      <w:r>
        <w:rPr>
          <w:color w:val="231F20"/>
          <w:spacing w:val="-4"/>
          <w:vertAlign w:val="baseline"/>
        </w:rPr>
        <w:t>Lorsqu’il</w:t>
      </w:r>
      <w:r>
        <w:rPr>
          <w:color w:val="231F20"/>
          <w:spacing w:val="-8"/>
          <w:vertAlign w:val="baseline"/>
        </w:rPr>
        <w:t> </w:t>
      </w:r>
      <w:r>
        <w:rPr>
          <w:color w:val="231F20"/>
          <w:spacing w:val="-4"/>
          <w:vertAlign w:val="baseline"/>
        </w:rPr>
        <w:t>est</w:t>
      </w:r>
      <w:r>
        <w:rPr>
          <w:color w:val="231F20"/>
          <w:spacing w:val="-9"/>
          <w:vertAlign w:val="baseline"/>
        </w:rPr>
        <w:t> </w:t>
      </w:r>
      <w:r>
        <w:rPr>
          <w:color w:val="231F20"/>
          <w:spacing w:val="-4"/>
          <w:vertAlign w:val="baseline"/>
        </w:rPr>
        <w:t>appelé</w:t>
      </w:r>
      <w:r>
        <w:rPr>
          <w:color w:val="231F20"/>
          <w:spacing w:val="-10"/>
          <w:vertAlign w:val="baseline"/>
        </w:rPr>
        <w:t> </w:t>
      </w:r>
      <w:r>
        <w:rPr>
          <w:color w:val="231F20"/>
          <w:spacing w:val="-4"/>
          <w:vertAlign w:val="baseline"/>
        </w:rPr>
        <w:t>par </w:t>
      </w:r>
      <w:r>
        <w:rPr>
          <w:color w:val="231F20"/>
          <w:vertAlign w:val="baseline"/>
        </w:rPr>
        <w:t>Dacko, il ne quitte pas l'Armée française mais est détaché comme Conseiller</w:t>
      </w:r>
      <w:r>
        <w:rPr>
          <w:color w:val="231F20"/>
          <w:spacing w:val="-15"/>
          <w:vertAlign w:val="baseline"/>
        </w:rPr>
        <w:t> </w:t>
      </w:r>
      <w:r>
        <w:rPr>
          <w:color w:val="231F20"/>
          <w:vertAlign w:val="baseline"/>
        </w:rPr>
        <w:t>Militaire</w:t>
      </w:r>
      <w:r>
        <w:rPr>
          <w:color w:val="231F20"/>
          <w:spacing w:val="-15"/>
          <w:vertAlign w:val="baseline"/>
        </w:rPr>
        <w:t> </w:t>
      </w:r>
      <w:r>
        <w:rPr>
          <w:color w:val="231F20"/>
          <w:vertAlign w:val="baseline"/>
        </w:rPr>
        <w:t>Technique</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l'Armée</w:t>
      </w:r>
      <w:r>
        <w:rPr>
          <w:color w:val="231F20"/>
          <w:spacing w:val="-15"/>
          <w:vertAlign w:val="baseline"/>
        </w:rPr>
        <w:t> </w:t>
      </w:r>
      <w:r>
        <w:rPr>
          <w:color w:val="231F20"/>
          <w:vertAlign w:val="baseline"/>
        </w:rPr>
        <w:t>pour</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création,</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formation et</w:t>
      </w:r>
      <w:r>
        <w:rPr>
          <w:color w:val="231F20"/>
          <w:spacing w:val="-9"/>
          <w:vertAlign w:val="baseline"/>
        </w:rPr>
        <w:t> </w:t>
      </w:r>
      <w:r>
        <w:rPr>
          <w:color w:val="231F20"/>
          <w:vertAlign w:val="baseline"/>
        </w:rPr>
        <w:t>l'encadrement</w:t>
      </w:r>
      <w:r>
        <w:rPr>
          <w:color w:val="231F20"/>
          <w:spacing w:val="-9"/>
          <w:vertAlign w:val="baseline"/>
        </w:rPr>
        <w:t> </w:t>
      </w:r>
      <w:r>
        <w:rPr>
          <w:color w:val="231F20"/>
          <w:vertAlign w:val="baseline"/>
        </w:rPr>
        <w:t>de</w:t>
      </w:r>
      <w:r>
        <w:rPr>
          <w:color w:val="231F20"/>
          <w:spacing w:val="-11"/>
          <w:vertAlign w:val="baseline"/>
        </w:rPr>
        <w:t> </w:t>
      </w:r>
      <w:r>
        <w:rPr>
          <w:color w:val="231F20"/>
          <w:vertAlign w:val="baseline"/>
        </w:rPr>
        <w:t>l'Armée</w:t>
      </w:r>
      <w:r>
        <w:rPr>
          <w:color w:val="231F20"/>
          <w:spacing w:val="-10"/>
          <w:vertAlign w:val="baseline"/>
        </w:rPr>
        <w:t> </w:t>
      </w:r>
      <w:r>
        <w:rPr>
          <w:color w:val="231F20"/>
          <w:vertAlign w:val="baseline"/>
        </w:rPr>
        <w:t>Centrafricaine.</w:t>
      </w:r>
      <w:r>
        <w:rPr>
          <w:color w:val="231F20"/>
          <w:spacing w:val="-10"/>
          <w:vertAlign w:val="baseline"/>
        </w:rPr>
        <w:t> </w:t>
      </w:r>
      <w:r>
        <w:rPr>
          <w:color w:val="231F20"/>
          <w:vertAlign w:val="baseline"/>
        </w:rPr>
        <w:t>Il</w:t>
      </w:r>
      <w:r>
        <w:rPr>
          <w:color w:val="231F20"/>
          <w:spacing w:val="-9"/>
          <w:vertAlign w:val="baseline"/>
        </w:rPr>
        <w:t> </w:t>
      </w:r>
      <w:r>
        <w:rPr>
          <w:color w:val="231F20"/>
          <w:vertAlign w:val="baseline"/>
        </w:rPr>
        <w:t>demande</w:t>
      </w:r>
      <w:r>
        <w:rPr>
          <w:color w:val="231F20"/>
          <w:spacing w:val="-10"/>
          <w:vertAlign w:val="baseline"/>
        </w:rPr>
        <w:t> </w:t>
      </w:r>
      <w:r>
        <w:rPr>
          <w:color w:val="231F20"/>
          <w:vertAlign w:val="baseline"/>
        </w:rPr>
        <w:t>par</w:t>
      </w:r>
      <w:r>
        <w:rPr>
          <w:color w:val="231F20"/>
          <w:spacing w:val="-10"/>
          <w:vertAlign w:val="baseline"/>
        </w:rPr>
        <w:t> </w:t>
      </w:r>
      <w:r>
        <w:rPr>
          <w:color w:val="231F20"/>
          <w:vertAlign w:val="baseline"/>
        </w:rPr>
        <w:t>la</w:t>
      </w:r>
      <w:r>
        <w:rPr>
          <w:color w:val="231F20"/>
          <w:spacing w:val="-10"/>
          <w:vertAlign w:val="baseline"/>
        </w:rPr>
        <w:t> </w:t>
      </w:r>
      <w:r>
        <w:rPr>
          <w:color w:val="231F20"/>
          <w:vertAlign w:val="baseline"/>
        </w:rPr>
        <w:t>suite,</w:t>
      </w:r>
      <w:r>
        <w:rPr>
          <w:color w:val="231F20"/>
          <w:spacing w:val="-11"/>
          <w:vertAlign w:val="baseline"/>
        </w:rPr>
        <w:t> </w:t>
      </w:r>
      <w:r>
        <w:rPr>
          <w:color w:val="231F20"/>
          <w:vertAlign w:val="baseline"/>
        </w:rPr>
        <w:t>son </w:t>
      </w:r>
      <w:r>
        <w:rPr>
          <w:color w:val="231F20"/>
          <w:spacing w:val="-2"/>
          <w:vertAlign w:val="baseline"/>
        </w:rPr>
        <w:t>départ</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l'Armée</w:t>
      </w:r>
      <w:r>
        <w:rPr>
          <w:color w:val="231F20"/>
          <w:spacing w:val="-13"/>
          <w:vertAlign w:val="baseline"/>
        </w:rPr>
        <w:t> </w:t>
      </w:r>
      <w:r>
        <w:rPr>
          <w:color w:val="231F20"/>
          <w:spacing w:val="-2"/>
          <w:vertAlign w:val="baseline"/>
        </w:rPr>
        <w:t>française</w:t>
      </w:r>
      <w:r>
        <w:rPr>
          <w:color w:val="231F20"/>
          <w:spacing w:val="-13"/>
          <w:vertAlign w:val="baseline"/>
        </w:rPr>
        <w:t> </w:t>
      </w:r>
      <w:r>
        <w:rPr>
          <w:color w:val="231F20"/>
          <w:spacing w:val="-2"/>
          <w:vertAlign w:val="baseline"/>
        </w:rPr>
        <w:t>pour</w:t>
      </w:r>
      <w:r>
        <w:rPr>
          <w:color w:val="231F20"/>
          <w:spacing w:val="-13"/>
          <w:vertAlign w:val="baseline"/>
        </w:rPr>
        <w:t> </w:t>
      </w:r>
      <w:r>
        <w:rPr>
          <w:color w:val="231F20"/>
          <w:spacing w:val="-2"/>
          <w:vertAlign w:val="baseline"/>
        </w:rPr>
        <w:t>être</w:t>
      </w:r>
      <w:r>
        <w:rPr>
          <w:color w:val="231F20"/>
          <w:spacing w:val="-13"/>
          <w:vertAlign w:val="baseline"/>
        </w:rPr>
        <w:t> </w:t>
      </w:r>
      <w:r>
        <w:rPr>
          <w:color w:val="231F20"/>
          <w:spacing w:val="-2"/>
          <w:vertAlign w:val="baseline"/>
        </w:rPr>
        <w:t>incorporé</w:t>
      </w:r>
      <w:r>
        <w:rPr>
          <w:color w:val="231F20"/>
          <w:spacing w:val="-13"/>
          <w:vertAlign w:val="baseline"/>
        </w:rPr>
        <w:t> </w:t>
      </w:r>
      <w:r>
        <w:rPr>
          <w:color w:val="231F20"/>
          <w:spacing w:val="-2"/>
          <w:vertAlign w:val="baseline"/>
        </w:rPr>
        <w:t>comme</w:t>
      </w:r>
      <w:r>
        <w:rPr>
          <w:color w:val="231F20"/>
          <w:spacing w:val="-13"/>
          <w:vertAlign w:val="baseline"/>
        </w:rPr>
        <w:t> </w:t>
      </w:r>
      <w:r>
        <w:rPr>
          <w:color w:val="231F20"/>
          <w:spacing w:val="-2"/>
          <w:vertAlign w:val="baseline"/>
        </w:rPr>
        <w:t>officier</w:t>
      </w:r>
      <w:r>
        <w:rPr>
          <w:color w:val="231F20"/>
          <w:spacing w:val="-13"/>
          <w:vertAlign w:val="baseline"/>
        </w:rPr>
        <w:t> </w:t>
      </w:r>
      <w:r>
        <w:rPr>
          <w:color w:val="231F20"/>
          <w:spacing w:val="-2"/>
          <w:vertAlign w:val="baseline"/>
        </w:rPr>
        <w:t>supérieur </w:t>
      </w:r>
      <w:r>
        <w:rPr>
          <w:color w:val="231F20"/>
          <w:vertAlign w:val="baseline"/>
        </w:rPr>
        <w:t>dans l'Armée Centrafricaine où il est nommé Colonel, Conseiller militaire, puis Chef d’État-Major.</w:t>
      </w:r>
    </w:p>
    <w:p>
      <w:pPr>
        <w:pStyle w:val="BodyText"/>
        <w:spacing w:before="121"/>
        <w:ind w:right="104" w:firstLine="283"/>
      </w:pPr>
      <w:r>
        <w:rPr>
          <w:color w:val="231F20"/>
          <w:spacing w:val="-4"/>
        </w:rPr>
        <w:t>À</w:t>
      </w:r>
      <w:r>
        <w:rPr>
          <w:color w:val="231F20"/>
          <w:spacing w:val="-11"/>
        </w:rPr>
        <w:t> </w:t>
      </w:r>
      <w:r>
        <w:rPr>
          <w:color w:val="231F20"/>
          <w:spacing w:val="-4"/>
        </w:rPr>
        <w:t>la</w:t>
      </w:r>
      <w:r>
        <w:rPr>
          <w:color w:val="231F20"/>
          <w:spacing w:val="-11"/>
        </w:rPr>
        <w:t> </w:t>
      </w:r>
      <w:r>
        <w:rPr>
          <w:color w:val="231F20"/>
          <w:spacing w:val="-4"/>
        </w:rPr>
        <w:t>fin</w:t>
      </w:r>
      <w:r>
        <w:rPr>
          <w:color w:val="231F20"/>
          <w:spacing w:val="-11"/>
        </w:rPr>
        <w:t> </w:t>
      </w:r>
      <w:r>
        <w:rPr>
          <w:color w:val="231F20"/>
          <w:spacing w:val="-4"/>
        </w:rPr>
        <w:t>de</w:t>
      </w:r>
      <w:r>
        <w:rPr>
          <w:color w:val="231F20"/>
          <w:spacing w:val="-11"/>
        </w:rPr>
        <w:t> </w:t>
      </w:r>
      <w:r>
        <w:rPr>
          <w:color w:val="231F20"/>
          <w:spacing w:val="-4"/>
        </w:rPr>
        <w:t>l’année</w:t>
      </w:r>
      <w:r>
        <w:rPr>
          <w:color w:val="231F20"/>
          <w:spacing w:val="-11"/>
        </w:rPr>
        <w:t> </w:t>
      </w:r>
      <w:r>
        <w:rPr>
          <w:color w:val="231F20"/>
          <w:spacing w:val="-4"/>
        </w:rPr>
        <w:t>1965,</w:t>
      </w:r>
      <w:r>
        <w:rPr>
          <w:color w:val="231F20"/>
          <w:spacing w:val="-11"/>
        </w:rPr>
        <w:t> </w:t>
      </w:r>
      <w:r>
        <w:rPr>
          <w:color w:val="231F20"/>
          <w:spacing w:val="-4"/>
        </w:rPr>
        <w:t>le</w:t>
      </w:r>
      <w:r>
        <w:rPr>
          <w:color w:val="231F20"/>
          <w:spacing w:val="-10"/>
        </w:rPr>
        <w:t> </w:t>
      </w:r>
      <w:r>
        <w:rPr>
          <w:color w:val="231F20"/>
          <w:spacing w:val="-4"/>
        </w:rPr>
        <w:t>chef</w:t>
      </w:r>
      <w:r>
        <w:rPr>
          <w:color w:val="231F20"/>
          <w:spacing w:val="-10"/>
        </w:rPr>
        <w:t> </w:t>
      </w:r>
      <w:r>
        <w:rPr>
          <w:color w:val="231F20"/>
          <w:spacing w:val="-4"/>
        </w:rPr>
        <w:t>de</w:t>
      </w:r>
      <w:r>
        <w:rPr>
          <w:color w:val="231F20"/>
          <w:spacing w:val="-10"/>
        </w:rPr>
        <w:t> </w:t>
      </w:r>
      <w:r>
        <w:rPr>
          <w:color w:val="231F20"/>
          <w:spacing w:val="-4"/>
        </w:rPr>
        <w:t>la</w:t>
      </w:r>
      <w:r>
        <w:rPr>
          <w:color w:val="231F20"/>
          <w:spacing w:val="-11"/>
        </w:rPr>
        <w:t> </w:t>
      </w:r>
      <w:r>
        <w:rPr>
          <w:color w:val="231F20"/>
          <w:spacing w:val="-4"/>
        </w:rPr>
        <w:t>gendarmerie</w:t>
      </w:r>
      <w:r>
        <w:rPr>
          <w:color w:val="231F20"/>
          <w:spacing w:val="-10"/>
        </w:rPr>
        <w:t> </w:t>
      </w:r>
      <w:r>
        <w:rPr>
          <w:color w:val="231F20"/>
          <w:spacing w:val="-4"/>
        </w:rPr>
        <w:t>tente</w:t>
      </w:r>
      <w:r>
        <w:rPr>
          <w:color w:val="231F20"/>
          <w:spacing w:val="-10"/>
        </w:rPr>
        <w:t> </w:t>
      </w:r>
      <w:r>
        <w:rPr>
          <w:color w:val="231F20"/>
          <w:spacing w:val="-4"/>
        </w:rPr>
        <w:t>un</w:t>
      </w:r>
      <w:r>
        <w:rPr>
          <w:color w:val="231F20"/>
          <w:spacing w:val="-11"/>
        </w:rPr>
        <w:t> </w:t>
      </w:r>
      <w:r>
        <w:rPr>
          <w:color w:val="231F20"/>
          <w:spacing w:val="-4"/>
        </w:rPr>
        <w:t>coup</w:t>
      </w:r>
      <w:r>
        <w:rPr>
          <w:color w:val="231F20"/>
          <w:spacing w:val="-11"/>
        </w:rPr>
        <w:t> </w:t>
      </w:r>
      <w:r>
        <w:rPr>
          <w:color w:val="231F20"/>
          <w:spacing w:val="-4"/>
        </w:rPr>
        <w:t>d’État contre</w:t>
      </w:r>
      <w:r>
        <w:rPr>
          <w:color w:val="231F20"/>
          <w:spacing w:val="-11"/>
        </w:rPr>
        <w:t> </w:t>
      </w:r>
      <w:r>
        <w:rPr>
          <w:color w:val="231F20"/>
          <w:spacing w:val="-4"/>
        </w:rPr>
        <w:t>David</w:t>
      </w:r>
      <w:r>
        <w:rPr>
          <w:color w:val="231F20"/>
          <w:spacing w:val="-11"/>
        </w:rPr>
        <w:t> </w:t>
      </w:r>
      <w:r>
        <w:rPr>
          <w:color w:val="231F20"/>
          <w:spacing w:val="-4"/>
        </w:rPr>
        <w:t>Dacko</w:t>
      </w:r>
      <w:r>
        <w:rPr>
          <w:color w:val="231F20"/>
          <w:spacing w:val="-11"/>
        </w:rPr>
        <w:t> </w:t>
      </w:r>
      <w:r>
        <w:rPr>
          <w:color w:val="231F20"/>
          <w:spacing w:val="-4"/>
        </w:rPr>
        <w:t>et</w:t>
      </w:r>
      <w:r>
        <w:rPr>
          <w:color w:val="231F20"/>
          <w:spacing w:val="-11"/>
        </w:rPr>
        <w:t> </w:t>
      </w:r>
      <w:r>
        <w:rPr>
          <w:color w:val="231F20"/>
          <w:spacing w:val="-4"/>
        </w:rPr>
        <w:t>envoie</w:t>
      </w:r>
      <w:r>
        <w:rPr>
          <w:color w:val="231F20"/>
          <w:spacing w:val="-11"/>
        </w:rPr>
        <w:t> </w:t>
      </w:r>
      <w:r>
        <w:rPr>
          <w:color w:val="231F20"/>
          <w:spacing w:val="-4"/>
        </w:rPr>
        <w:t>également</w:t>
      </w:r>
      <w:r>
        <w:rPr>
          <w:color w:val="231F20"/>
          <w:spacing w:val="-11"/>
        </w:rPr>
        <w:t> </w:t>
      </w:r>
      <w:r>
        <w:rPr>
          <w:color w:val="231F20"/>
          <w:spacing w:val="-4"/>
        </w:rPr>
        <w:t>des</w:t>
      </w:r>
      <w:r>
        <w:rPr>
          <w:color w:val="231F20"/>
          <w:spacing w:val="-11"/>
        </w:rPr>
        <w:t> </w:t>
      </w:r>
      <w:r>
        <w:rPr>
          <w:color w:val="231F20"/>
          <w:spacing w:val="-4"/>
        </w:rPr>
        <w:t>gendarmes</w:t>
      </w:r>
      <w:r>
        <w:rPr>
          <w:color w:val="231F20"/>
          <w:spacing w:val="-11"/>
        </w:rPr>
        <w:t> </w:t>
      </w:r>
      <w:r>
        <w:rPr>
          <w:color w:val="231F20"/>
          <w:spacing w:val="-4"/>
        </w:rPr>
        <w:t>pour</w:t>
      </w:r>
      <w:r>
        <w:rPr>
          <w:color w:val="231F20"/>
          <w:spacing w:val="-11"/>
        </w:rPr>
        <w:t> </w:t>
      </w:r>
      <w:r>
        <w:rPr>
          <w:color w:val="231F20"/>
          <w:spacing w:val="-4"/>
        </w:rPr>
        <w:t>arrêter</w:t>
      </w:r>
      <w:r>
        <w:rPr>
          <w:color w:val="231F20"/>
          <w:spacing w:val="-11"/>
        </w:rPr>
        <w:t> </w:t>
      </w:r>
      <w:r>
        <w:rPr>
          <w:color w:val="231F20"/>
          <w:spacing w:val="-4"/>
        </w:rPr>
        <w:t>Jean- </w:t>
      </w:r>
      <w:r>
        <w:rPr>
          <w:color w:val="231F20"/>
        </w:rPr>
        <w:t>Bedel</w:t>
      </w:r>
      <w:r>
        <w:rPr>
          <w:color w:val="231F20"/>
          <w:spacing w:val="-15"/>
        </w:rPr>
        <w:t> </w:t>
      </w:r>
      <w:r>
        <w:rPr>
          <w:color w:val="231F20"/>
        </w:rPr>
        <w:t>Bokassa.</w:t>
      </w:r>
      <w:r>
        <w:rPr>
          <w:color w:val="231F20"/>
          <w:spacing w:val="-15"/>
        </w:rPr>
        <w:t> </w:t>
      </w:r>
      <w:r>
        <w:rPr>
          <w:color w:val="231F20"/>
        </w:rPr>
        <w:t>Ce</w:t>
      </w:r>
      <w:r>
        <w:rPr>
          <w:color w:val="231F20"/>
          <w:spacing w:val="-15"/>
        </w:rPr>
        <w:t> </w:t>
      </w:r>
      <w:r>
        <w:rPr>
          <w:color w:val="231F20"/>
        </w:rPr>
        <w:t>dernier</w:t>
      </w:r>
      <w:r>
        <w:rPr>
          <w:color w:val="231F20"/>
          <w:spacing w:val="-15"/>
        </w:rPr>
        <w:t> </w:t>
      </w:r>
      <w:r>
        <w:rPr>
          <w:color w:val="231F20"/>
        </w:rPr>
        <w:t>neutralise</w:t>
      </w:r>
      <w:r>
        <w:rPr>
          <w:color w:val="231F20"/>
          <w:spacing w:val="-15"/>
        </w:rPr>
        <w:t> </w:t>
      </w:r>
      <w:r>
        <w:rPr>
          <w:color w:val="231F20"/>
        </w:rPr>
        <w:t>les</w:t>
      </w:r>
      <w:r>
        <w:rPr>
          <w:color w:val="231F20"/>
          <w:spacing w:val="-15"/>
        </w:rPr>
        <w:t> </w:t>
      </w:r>
      <w:r>
        <w:rPr>
          <w:color w:val="231F20"/>
        </w:rPr>
        <w:t>gendarmes</w:t>
      </w:r>
      <w:r>
        <w:rPr>
          <w:color w:val="231F20"/>
          <w:spacing w:val="-15"/>
        </w:rPr>
        <w:t> </w:t>
      </w:r>
      <w:r>
        <w:rPr>
          <w:color w:val="231F20"/>
        </w:rPr>
        <w:t>et</w:t>
      </w:r>
      <w:r>
        <w:rPr>
          <w:color w:val="231F20"/>
          <w:spacing w:val="-15"/>
        </w:rPr>
        <w:t> </w:t>
      </w:r>
      <w:r>
        <w:rPr>
          <w:color w:val="231F20"/>
        </w:rPr>
        <w:t>renverse</w:t>
      </w:r>
      <w:r>
        <w:rPr>
          <w:color w:val="231F20"/>
          <w:spacing w:val="-15"/>
        </w:rPr>
        <w:t> </w:t>
      </w:r>
      <w:r>
        <w:rPr>
          <w:color w:val="231F20"/>
        </w:rPr>
        <w:t>Dacko</w:t>
      </w:r>
      <w:r>
        <w:rPr>
          <w:color w:val="231F20"/>
          <w:spacing w:val="-15"/>
        </w:rPr>
        <w:t> </w:t>
      </w:r>
      <w:r>
        <w:rPr>
          <w:color w:val="231F20"/>
        </w:rPr>
        <w:t>à son</w:t>
      </w:r>
      <w:r>
        <w:rPr>
          <w:color w:val="231F20"/>
          <w:spacing w:val="-9"/>
        </w:rPr>
        <w:t> </w:t>
      </w:r>
      <w:r>
        <w:rPr>
          <w:color w:val="231F20"/>
        </w:rPr>
        <w:t>propre</w:t>
      </w:r>
      <w:r>
        <w:rPr>
          <w:color w:val="231F20"/>
          <w:spacing w:val="-9"/>
        </w:rPr>
        <w:t> </w:t>
      </w:r>
      <w:r>
        <w:rPr>
          <w:color w:val="231F20"/>
        </w:rPr>
        <w:t>avantage.</w:t>
      </w:r>
      <w:r>
        <w:rPr>
          <w:color w:val="231F20"/>
          <w:spacing w:val="-9"/>
        </w:rPr>
        <w:t> </w:t>
      </w:r>
      <w:r>
        <w:rPr>
          <w:color w:val="231F20"/>
        </w:rPr>
        <w:t>La</w:t>
      </w:r>
      <w:r>
        <w:rPr>
          <w:color w:val="231F20"/>
          <w:spacing w:val="-9"/>
        </w:rPr>
        <w:t> </w:t>
      </w:r>
      <w:r>
        <w:rPr>
          <w:color w:val="231F20"/>
        </w:rPr>
        <w:t>France</w:t>
      </w:r>
      <w:r>
        <w:rPr>
          <w:color w:val="231F20"/>
          <w:spacing w:val="-9"/>
        </w:rPr>
        <w:t> </w:t>
      </w:r>
      <w:r>
        <w:rPr>
          <w:color w:val="231F20"/>
        </w:rPr>
        <w:t>soutient</w:t>
      </w:r>
      <w:r>
        <w:rPr>
          <w:color w:val="231F20"/>
          <w:spacing w:val="-9"/>
        </w:rPr>
        <w:t> </w:t>
      </w:r>
      <w:r>
        <w:rPr>
          <w:color w:val="231F20"/>
        </w:rPr>
        <w:t>Bokassa</w:t>
      </w:r>
      <w:r>
        <w:rPr>
          <w:color w:val="231F20"/>
          <w:spacing w:val="-9"/>
        </w:rPr>
        <w:t> </w:t>
      </w:r>
      <w:r>
        <w:rPr>
          <w:color w:val="231F20"/>
        </w:rPr>
        <w:t>favorable</w:t>
      </w:r>
      <w:r>
        <w:rPr>
          <w:color w:val="231F20"/>
          <w:spacing w:val="-9"/>
        </w:rPr>
        <w:t> </w:t>
      </w:r>
      <w:r>
        <w:rPr>
          <w:color w:val="231F20"/>
        </w:rPr>
        <w:t>à</w:t>
      </w:r>
      <w:r>
        <w:rPr>
          <w:color w:val="231F20"/>
          <w:spacing w:val="-9"/>
        </w:rPr>
        <w:t> </w:t>
      </w:r>
      <w:r>
        <w:rPr>
          <w:color w:val="231F20"/>
        </w:rPr>
        <w:t>la</w:t>
      </w:r>
      <w:r>
        <w:rPr>
          <w:color w:val="231F20"/>
          <w:spacing w:val="-9"/>
        </w:rPr>
        <w:t> </w:t>
      </w:r>
      <w:r>
        <w:rPr>
          <w:color w:val="231F20"/>
        </w:rPr>
        <w:t>défense de ses intérêts dans la région</w:t>
      </w:r>
      <w:r>
        <w:rPr>
          <w:color w:val="231F20"/>
          <w:spacing w:val="-15"/>
        </w:rPr>
        <w:t> </w:t>
      </w:r>
      <w:r>
        <w:rPr>
          <w:color w:val="231F20"/>
        </w:rPr>
        <w:t>: position géographique stratégique de la Centrafrique,</w:t>
      </w:r>
      <w:r>
        <w:rPr>
          <w:color w:val="231F20"/>
          <w:spacing w:val="-1"/>
        </w:rPr>
        <w:t> </w:t>
      </w:r>
      <w:r>
        <w:rPr>
          <w:color w:val="231F20"/>
        </w:rPr>
        <w:t>mines</w:t>
      </w:r>
      <w:r>
        <w:rPr>
          <w:color w:val="231F20"/>
          <w:spacing w:val="-1"/>
        </w:rPr>
        <w:t> </w:t>
      </w:r>
      <w:r>
        <w:rPr>
          <w:color w:val="231F20"/>
        </w:rPr>
        <w:t>d’uranium, or,</w:t>
      </w:r>
      <w:r>
        <w:rPr>
          <w:color w:val="231F20"/>
          <w:spacing w:val="-1"/>
        </w:rPr>
        <w:t> </w:t>
      </w:r>
      <w:r>
        <w:rPr>
          <w:color w:val="231F20"/>
        </w:rPr>
        <w:t>diamant,</w:t>
      </w:r>
      <w:r>
        <w:rPr>
          <w:color w:val="231F20"/>
          <w:spacing w:val="-1"/>
        </w:rPr>
        <w:t> </w:t>
      </w:r>
      <w:r>
        <w:rPr>
          <w:color w:val="231F20"/>
        </w:rPr>
        <w:t>etc.</w:t>
      </w:r>
    </w:p>
    <w:p>
      <w:pPr>
        <w:pStyle w:val="BodyText"/>
        <w:spacing w:before="120"/>
        <w:ind w:right="104" w:firstLine="283"/>
      </w:pPr>
      <w:r>
        <w:rPr>
          <w:color w:val="231F20"/>
        </w:rPr>
        <w:t>En novembre 1970, les téléspectateurs du monde entier découvrent Bokassa</w:t>
      </w:r>
      <w:r>
        <w:rPr>
          <w:color w:val="231F20"/>
          <w:spacing w:val="-15"/>
        </w:rPr>
        <w:t> </w:t>
      </w:r>
      <w:r>
        <w:rPr>
          <w:color w:val="231F20"/>
        </w:rPr>
        <w:t>aux obsèques du général de Gaulle</w:t>
      </w:r>
      <w:r>
        <w:rPr>
          <w:color w:val="231F20"/>
          <w:spacing w:val="-13"/>
        </w:rPr>
        <w:t> </w:t>
      </w:r>
      <w:r>
        <w:rPr>
          <w:color w:val="231F20"/>
        </w:rPr>
        <w:t>en la Cathédrale Notre- Dame-de-Paris. La messe de requiem rassemble en ce lieu, les représentants de 103 pays dont 80 chefs d’État. Jean-Bedel Bokassa démontre</w:t>
      </w:r>
      <w:r>
        <w:rPr>
          <w:color w:val="231F20"/>
          <w:spacing w:val="-15"/>
        </w:rPr>
        <w:t> </w:t>
      </w:r>
      <w:r>
        <w:rPr>
          <w:color w:val="231F20"/>
        </w:rPr>
        <w:t>au</w:t>
      </w:r>
      <w:r>
        <w:rPr>
          <w:color w:val="231F20"/>
          <w:spacing w:val="-12"/>
        </w:rPr>
        <w:t> </w:t>
      </w:r>
      <w:r>
        <w:rPr>
          <w:color w:val="231F20"/>
        </w:rPr>
        <w:t>monde</w:t>
      </w:r>
      <w:r>
        <w:rPr>
          <w:color w:val="231F20"/>
          <w:spacing w:val="-13"/>
        </w:rPr>
        <w:t> </w:t>
      </w:r>
      <w:r>
        <w:rPr>
          <w:color w:val="231F20"/>
        </w:rPr>
        <w:t>que</w:t>
      </w:r>
      <w:r>
        <w:rPr>
          <w:color w:val="231F20"/>
          <w:spacing w:val="-13"/>
        </w:rPr>
        <w:t> </w:t>
      </w:r>
      <w:r>
        <w:rPr>
          <w:color w:val="231F20"/>
        </w:rPr>
        <w:t>l’émotion</w:t>
      </w:r>
      <w:r>
        <w:rPr>
          <w:color w:val="231F20"/>
          <w:spacing w:val="-12"/>
        </w:rPr>
        <w:t> </w:t>
      </w:r>
      <w:r>
        <w:rPr>
          <w:color w:val="231F20"/>
        </w:rPr>
        <w:t>est</w:t>
      </w:r>
      <w:r>
        <w:rPr>
          <w:color w:val="231F20"/>
          <w:spacing w:val="-12"/>
        </w:rPr>
        <w:t> </w:t>
      </w:r>
      <w:r>
        <w:rPr>
          <w:color w:val="231F20"/>
        </w:rPr>
        <w:t>nègre</w:t>
      </w:r>
      <w:r>
        <w:rPr>
          <w:color w:val="231F20"/>
          <w:spacing w:val="-15"/>
        </w:rPr>
        <w:t> </w:t>
      </w:r>
      <w:r>
        <w:rPr>
          <w:color w:val="231F20"/>
        </w:rPr>
        <w:t>:</w:t>
      </w:r>
      <w:r>
        <w:rPr>
          <w:color w:val="231F20"/>
          <w:spacing w:val="-10"/>
        </w:rPr>
        <w:t> </w:t>
      </w:r>
      <w:r>
        <w:rPr>
          <w:color w:val="231F20"/>
        </w:rPr>
        <w:t>Il</w:t>
      </w:r>
      <w:r>
        <w:rPr>
          <w:color w:val="231F20"/>
          <w:spacing w:val="-12"/>
        </w:rPr>
        <w:t> </w:t>
      </w:r>
      <w:r>
        <w:rPr>
          <w:color w:val="231F20"/>
        </w:rPr>
        <w:t>pleure</w:t>
      </w:r>
      <w:r>
        <w:rPr>
          <w:color w:val="231F20"/>
          <w:spacing w:val="-11"/>
        </w:rPr>
        <w:t> </w:t>
      </w:r>
      <w:r>
        <w:rPr>
          <w:color w:val="231F20"/>
        </w:rPr>
        <w:t>à</w:t>
      </w:r>
      <w:r>
        <w:rPr>
          <w:color w:val="231F20"/>
          <w:spacing w:val="-11"/>
        </w:rPr>
        <w:t> </w:t>
      </w:r>
      <w:r>
        <w:rPr>
          <w:color w:val="231F20"/>
        </w:rPr>
        <w:t>chaudes</w:t>
      </w:r>
      <w:r>
        <w:rPr>
          <w:color w:val="231F20"/>
          <w:spacing w:val="-12"/>
        </w:rPr>
        <w:t> </w:t>
      </w:r>
      <w:r>
        <w:rPr>
          <w:color w:val="231F20"/>
        </w:rPr>
        <w:t>larmes en criant,</w:t>
      </w:r>
      <w:r>
        <w:rPr>
          <w:color w:val="231F20"/>
          <w:spacing w:val="-1"/>
        </w:rPr>
        <w:t> </w:t>
      </w:r>
      <w:r>
        <w:rPr>
          <w:color w:val="231F20"/>
        </w:rPr>
        <w:t>à tue-tête,</w:t>
      </w:r>
      <w:r>
        <w:rPr>
          <w:color w:val="231F20"/>
          <w:spacing w:val="-1"/>
        </w:rPr>
        <w:t> </w:t>
      </w:r>
      <w:r>
        <w:rPr>
          <w:color w:val="231F20"/>
        </w:rPr>
        <w:t>« j’ai perdu mon papa.</w:t>
      </w:r>
      <w:r>
        <w:rPr>
          <w:color w:val="231F20"/>
          <w:spacing w:val="-1"/>
        </w:rPr>
        <w:t> </w:t>
      </w:r>
      <w:r>
        <w:rPr>
          <w:color w:val="231F20"/>
        </w:rPr>
        <w:t>»</w:t>
      </w:r>
    </w:p>
    <w:p>
      <w:pPr>
        <w:pStyle w:val="BodyText"/>
        <w:spacing w:before="121"/>
        <w:ind w:left="395"/>
      </w:pPr>
      <w:r>
        <w:rPr>
          <w:color w:val="231F20"/>
        </w:rPr>
        <w:t>Le</w:t>
      </w:r>
      <w:r>
        <w:rPr>
          <w:color w:val="231F20"/>
          <w:spacing w:val="-6"/>
        </w:rPr>
        <w:t> </w:t>
      </w:r>
      <w:r>
        <w:rPr>
          <w:color w:val="231F20"/>
        </w:rPr>
        <w:t>2</w:t>
      </w:r>
      <w:r>
        <w:rPr>
          <w:color w:val="231F20"/>
          <w:spacing w:val="-6"/>
        </w:rPr>
        <w:t> </w:t>
      </w:r>
      <w:r>
        <w:rPr>
          <w:color w:val="231F20"/>
        </w:rPr>
        <w:t>mars</w:t>
      </w:r>
      <w:r>
        <w:rPr>
          <w:color w:val="231F20"/>
          <w:spacing w:val="-6"/>
        </w:rPr>
        <w:t> </w:t>
      </w:r>
      <w:r>
        <w:rPr>
          <w:color w:val="231F20"/>
        </w:rPr>
        <w:t>1972,</w:t>
      </w:r>
      <w:r>
        <w:rPr>
          <w:color w:val="231F20"/>
          <w:spacing w:val="-7"/>
        </w:rPr>
        <w:t> </w:t>
      </w:r>
      <w:r>
        <w:rPr>
          <w:color w:val="231F20"/>
        </w:rPr>
        <w:t>Jean-Bedel</w:t>
      </w:r>
      <w:r>
        <w:rPr>
          <w:color w:val="231F20"/>
          <w:spacing w:val="-6"/>
        </w:rPr>
        <w:t> </w:t>
      </w:r>
      <w:r>
        <w:rPr>
          <w:color w:val="231F20"/>
        </w:rPr>
        <w:t>Bokassa</w:t>
      </w:r>
      <w:r>
        <w:rPr>
          <w:color w:val="231F20"/>
          <w:spacing w:val="-5"/>
        </w:rPr>
        <w:t> </w:t>
      </w:r>
      <w:r>
        <w:rPr>
          <w:color w:val="231F20"/>
        </w:rPr>
        <w:t>s’autoproclame</w:t>
      </w:r>
      <w:r>
        <w:rPr>
          <w:color w:val="231F20"/>
          <w:spacing w:val="-7"/>
        </w:rPr>
        <w:t> </w:t>
      </w:r>
      <w:r>
        <w:rPr>
          <w:color w:val="231F20"/>
        </w:rPr>
        <w:t>Président</w:t>
      </w:r>
      <w:r>
        <w:rPr>
          <w:color w:val="231F20"/>
          <w:spacing w:val="-7"/>
        </w:rPr>
        <w:t> </w:t>
      </w:r>
      <w:r>
        <w:rPr>
          <w:color w:val="231F20"/>
        </w:rPr>
        <w:t>à</w:t>
      </w:r>
      <w:r>
        <w:rPr>
          <w:color w:val="231F20"/>
          <w:spacing w:val="-6"/>
        </w:rPr>
        <w:t> </w:t>
      </w:r>
      <w:r>
        <w:rPr>
          <w:color w:val="231F20"/>
          <w:spacing w:val="-5"/>
        </w:rPr>
        <w:t>vie</w:t>
      </w:r>
    </w:p>
    <w:p>
      <w:pPr>
        <w:pStyle w:val="BodyText"/>
      </w:pPr>
      <w:r>
        <w:rPr>
          <w:color w:val="231F20"/>
          <w:spacing w:val="-2"/>
        </w:rPr>
        <w:t>puis</w:t>
      </w:r>
      <w:r>
        <w:rPr>
          <w:color w:val="231F20"/>
          <w:spacing w:val="-12"/>
        </w:rPr>
        <w:t> </w:t>
      </w:r>
      <w:r>
        <w:rPr>
          <w:color w:val="231F20"/>
          <w:spacing w:val="-2"/>
        </w:rPr>
        <w:t>se</w:t>
      </w:r>
      <w:r>
        <w:rPr>
          <w:color w:val="231F20"/>
          <w:spacing w:val="-7"/>
        </w:rPr>
        <w:t> </w:t>
      </w:r>
      <w:r>
        <w:rPr>
          <w:color w:val="231F20"/>
          <w:spacing w:val="-2"/>
        </w:rPr>
        <w:t>promeut</w:t>
      </w:r>
      <w:r>
        <w:rPr>
          <w:color w:val="231F20"/>
          <w:spacing w:val="-8"/>
        </w:rPr>
        <w:t> </w:t>
      </w:r>
      <w:r>
        <w:rPr>
          <w:color w:val="231F20"/>
          <w:spacing w:val="-2"/>
        </w:rPr>
        <w:t>Maréchal</w:t>
      </w:r>
      <w:r>
        <w:rPr>
          <w:color w:val="231F20"/>
          <w:spacing w:val="-8"/>
        </w:rPr>
        <w:t> </w:t>
      </w:r>
      <w:r>
        <w:rPr>
          <w:color w:val="231F20"/>
          <w:spacing w:val="-2"/>
        </w:rPr>
        <w:t>le</w:t>
      </w:r>
      <w:r>
        <w:rPr>
          <w:color w:val="231F20"/>
          <w:spacing w:val="-7"/>
        </w:rPr>
        <w:t> </w:t>
      </w:r>
      <w:r>
        <w:rPr>
          <w:color w:val="231F20"/>
          <w:spacing w:val="-2"/>
        </w:rPr>
        <w:t>19</w:t>
      </w:r>
      <w:r>
        <w:rPr>
          <w:color w:val="231F20"/>
          <w:spacing w:val="-9"/>
        </w:rPr>
        <w:t> </w:t>
      </w:r>
      <w:r>
        <w:rPr>
          <w:color w:val="231F20"/>
          <w:spacing w:val="-2"/>
        </w:rPr>
        <w:t>mai</w:t>
      </w:r>
      <w:r>
        <w:rPr>
          <w:color w:val="231F20"/>
          <w:spacing w:val="-8"/>
        </w:rPr>
        <w:t> </w:t>
      </w:r>
      <w:r>
        <w:rPr>
          <w:color w:val="231F20"/>
          <w:spacing w:val="-4"/>
        </w:rPr>
        <w:t>1974.</w:t>
      </w:r>
    </w:p>
    <w:p>
      <w:pPr>
        <w:pStyle w:val="BodyText"/>
        <w:spacing w:before="120"/>
        <w:ind w:right="108" w:firstLine="283"/>
      </w:pPr>
      <w:r>
        <w:rPr>
          <w:color w:val="231F20"/>
          <w:spacing w:val="-4"/>
        </w:rPr>
        <w:t>En</w:t>
      </w:r>
      <w:r>
        <w:rPr>
          <w:color w:val="231F20"/>
          <w:spacing w:val="-8"/>
        </w:rPr>
        <w:t> </w:t>
      </w:r>
      <w:r>
        <w:rPr>
          <w:color w:val="231F20"/>
          <w:spacing w:val="-4"/>
        </w:rPr>
        <w:t>1976,</w:t>
      </w:r>
      <w:r>
        <w:rPr>
          <w:color w:val="231F20"/>
          <w:spacing w:val="-8"/>
        </w:rPr>
        <w:t> </w:t>
      </w:r>
      <w:r>
        <w:rPr>
          <w:color w:val="231F20"/>
          <w:spacing w:val="-4"/>
        </w:rPr>
        <w:t>il</w:t>
      </w:r>
      <w:r>
        <w:rPr>
          <w:color w:val="231F20"/>
          <w:spacing w:val="-7"/>
        </w:rPr>
        <w:t> </w:t>
      </w:r>
      <w:r>
        <w:rPr>
          <w:color w:val="231F20"/>
          <w:spacing w:val="-4"/>
        </w:rPr>
        <w:t>se</w:t>
      </w:r>
      <w:r>
        <w:rPr>
          <w:color w:val="231F20"/>
          <w:spacing w:val="-8"/>
        </w:rPr>
        <w:t> </w:t>
      </w:r>
      <w:r>
        <w:rPr>
          <w:color w:val="231F20"/>
          <w:spacing w:val="-4"/>
        </w:rPr>
        <w:t>met</w:t>
      </w:r>
      <w:r>
        <w:rPr>
          <w:color w:val="231F20"/>
          <w:spacing w:val="-8"/>
        </w:rPr>
        <w:t> </w:t>
      </w:r>
      <w:r>
        <w:rPr>
          <w:color w:val="231F20"/>
          <w:spacing w:val="-4"/>
        </w:rPr>
        <w:t>sous</w:t>
      </w:r>
      <w:r>
        <w:rPr>
          <w:color w:val="231F20"/>
          <w:spacing w:val="-7"/>
        </w:rPr>
        <w:t> </w:t>
      </w:r>
      <w:r>
        <w:rPr>
          <w:color w:val="231F20"/>
          <w:spacing w:val="-4"/>
        </w:rPr>
        <w:t>le</w:t>
      </w:r>
      <w:r>
        <w:rPr>
          <w:color w:val="231F20"/>
          <w:spacing w:val="-10"/>
        </w:rPr>
        <w:t> </w:t>
      </w:r>
      <w:r>
        <w:rPr>
          <w:color w:val="231F20"/>
          <w:spacing w:val="-4"/>
        </w:rPr>
        <w:t>manteau</w:t>
      </w:r>
      <w:r>
        <w:rPr>
          <w:color w:val="231F20"/>
          <w:spacing w:val="-8"/>
        </w:rPr>
        <w:t> </w:t>
      </w:r>
      <w:r>
        <w:rPr>
          <w:color w:val="231F20"/>
          <w:spacing w:val="-4"/>
        </w:rPr>
        <w:t>de</w:t>
      </w:r>
      <w:r>
        <w:rPr>
          <w:color w:val="231F20"/>
          <w:spacing w:val="-8"/>
        </w:rPr>
        <w:t> </w:t>
      </w:r>
      <w:r>
        <w:rPr>
          <w:color w:val="231F20"/>
          <w:spacing w:val="-4"/>
        </w:rPr>
        <w:t>Mouammar</w:t>
      </w:r>
      <w:r>
        <w:rPr>
          <w:color w:val="231F20"/>
          <w:spacing w:val="-8"/>
        </w:rPr>
        <w:t> </w:t>
      </w:r>
      <w:r>
        <w:rPr>
          <w:color w:val="231F20"/>
          <w:spacing w:val="-4"/>
        </w:rPr>
        <w:t>Kadhafi,</w:t>
      </w:r>
      <w:r>
        <w:rPr>
          <w:color w:val="231F20"/>
          <w:spacing w:val="-8"/>
        </w:rPr>
        <w:t> </w:t>
      </w:r>
      <w:r>
        <w:rPr>
          <w:color w:val="231F20"/>
          <w:spacing w:val="-4"/>
        </w:rPr>
        <w:t>le</w:t>
      </w:r>
      <w:r>
        <w:rPr>
          <w:color w:val="231F20"/>
          <w:spacing w:val="-8"/>
        </w:rPr>
        <w:t> </w:t>
      </w:r>
      <w:r>
        <w:rPr>
          <w:color w:val="231F20"/>
          <w:spacing w:val="-4"/>
        </w:rPr>
        <w:t>guide</w:t>
      </w:r>
      <w:r>
        <w:rPr>
          <w:color w:val="231F20"/>
          <w:spacing w:val="-11"/>
        </w:rPr>
        <w:t> </w:t>
      </w:r>
      <w:r>
        <w:rPr>
          <w:color w:val="231F20"/>
          <w:spacing w:val="-4"/>
        </w:rPr>
        <w:t>de </w:t>
      </w:r>
      <w:r>
        <w:rPr>
          <w:color w:val="231F20"/>
        </w:rPr>
        <w:t>la</w:t>
      </w:r>
      <w:r>
        <w:rPr>
          <w:color w:val="231F20"/>
          <w:spacing w:val="-15"/>
        </w:rPr>
        <w:t> </w:t>
      </w:r>
      <w:r>
        <w:rPr>
          <w:color w:val="231F20"/>
        </w:rPr>
        <w:t>République</w:t>
      </w:r>
      <w:r>
        <w:rPr>
          <w:color w:val="231F20"/>
          <w:spacing w:val="-15"/>
        </w:rPr>
        <w:t> </w:t>
      </w:r>
      <w:r>
        <w:rPr>
          <w:color w:val="231F20"/>
        </w:rPr>
        <w:t>Arabe</w:t>
      </w:r>
      <w:r>
        <w:rPr>
          <w:color w:val="231F20"/>
          <w:spacing w:val="-15"/>
        </w:rPr>
        <w:t> </w:t>
      </w:r>
      <w:r>
        <w:rPr>
          <w:color w:val="231F20"/>
        </w:rPr>
        <w:t>Libyenne,</w:t>
      </w:r>
      <w:r>
        <w:rPr>
          <w:color w:val="231F20"/>
          <w:spacing w:val="-15"/>
        </w:rPr>
        <w:t> </w:t>
      </w:r>
      <w:r>
        <w:rPr>
          <w:color w:val="231F20"/>
        </w:rPr>
        <w:t>se</w:t>
      </w:r>
      <w:r>
        <w:rPr>
          <w:color w:val="231F20"/>
          <w:spacing w:val="-14"/>
        </w:rPr>
        <w:t> </w:t>
      </w:r>
      <w:r>
        <w:rPr>
          <w:color w:val="231F20"/>
        </w:rPr>
        <w:t>convertit</w:t>
      </w:r>
      <w:r>
        <w:rPr>
          <w:color w:val="231F20"/>
          <w:spacing w:val="-15"/>
        </w:rPr>
        <w:t> </w:t>
      </w:r>
      <w:r>
        <w:rPr>
          <w:color w:val="231F20"/>
        </w:rPr>
        <w:t>à</w:t>
      </w:r>
      <w:r>
        <w:rPr>
          <w:color w:val="231F20"/>
          <w:spacing w:val="-15"/>
        </w:rPr>
        <w:t> </w:t>
      </w:r>
      <w:r>
        <w:rPr>
          <w:color w:val="231F20"/>
        </w:rPr>
        <w:t>l’islam</w:t>
      </w:r>
      <w:r>
        <w:rPr>
          <w:color w:val="231F20"/>
          <w:spacing w:val="-14"/>
        </w:rPr>
        <w:t> </w:t>
      </w:r>
      <w:r>
        <w:rPr>
          <w:color w:val="231F20"/>
        </w:rPr>
        <w:t>et</w:t>
      </w:r>
      <w:r>
        <w:rPr>
          <w:color w:val="231F20"/>
          <w:spacing w:val="-14"/>
        </w:rPr>
        <w:t> </w:t>
      </w:r>
      <w:r>
        <w:rPr>
          <w:color w:val="231F20"/>
        </w:rPr>
        <w:t>change</w:t>
      </w:r>
      <w:r>
        <w:rPr>
          <w:color w:val="231F20"/>
          <w:spacing w:val="-15"/>
        </w:rPr>
        <w:t> </w:t>
      </w:r>
      <w:r>
        <w:rPr>
          <w:color w:val="231F20"/>
        </w:rPr>
        <w:t>son</w:t>
      </w:r>
      <w:r>
        <w:rPr>
          <w:color w:val="231F20"/>
          <w:spacing w:val="-15"/>
        </w:rPr>
        <w:t> </w:t>
      </w:r>
      <w:r>
        <w:rPr>
          <w:color w:val="231F20"/>
        </w:rPr>
        <w:t>nom en Ahmed Salaheddine Bokassa.</w:t>
      </w:r>
    </w:p>
    <w:p>
      <w:pPr>
        <w:pStyle w:val="BodyText"/>
        <w:spacing w:before="120"/>
        <w:ind w:right="105" w:firstLine="283"/>
      </w:pPr>
      <w:r>
        <w:rPr>
          <w:color w:val="231F20"/>
        </w:rPr>
        <w:t>Le 4 décembre 1977, sous la goguenarde approbation de la France, Bokassa</w:t>
      </w:r>
      <w:r>
        <w:rPr>
          <w:color w:val="231F20"/>
          <w:spacing w:val="-15"/>
        </w:rPr>
        <w:t> </w:t>
      </w:r>
      <w:r>
        <w:rPr>
          <w:color w:val="231F20"/>
        </w:rPr>
        <w:t>se</w:t>
      </w:r>
      <w:r>
        <w:rPr>
          <w:color w:val="231F20"/>
          <w:spacing w:val="-15"/>
        </w:rPr>
        <w:t> </w:t>
      </w:r>
      <w:r>
        <w:rPr>
          <w:color w:val="231F20"/>
        </w:rPr>
        <w:t>couronne</w:t>
      </w:r>
      <w:r>
        <w:rPr>
          <w:color w:val="231F20"/>
          <w:spacing w:val="-15"/>
        </w:rPr>
        <w:t> </w:t>
      </w:r>
      <w:r>
        <w:rPr>
          <w:color w:val="231F20"/>
        </w:rPr>
        <w:t>«</w:t>
      </w:r>
      <w:r>
        <w:rPr>
          <w:color w:val="231F20"/>
          <w:spacing w:val="-15"/>
        </w:rPr>
        <w:t> </w:t>
      </w:r>
      <w:r>
        <w:rPr>
          <w:color w:val="231F20"/>
        </w:rPr>
        <w:t>Empereur</w:t>
      </w:r>
      <w:r>
        <w:rPr>
          <w:color w:val="231F20"/>
          <w:spacing w:val="-15"/>
        </w:rPr>
        <w:t> </w:t>
      </w:r>
      <w:r>
        <w:rPr>
          <w:color w:val="231F20"/>
        </w:rPr>
        <w:t>de</w:t>
      </w:r>
      <w:r>
        <w:rPr>
          <w:color w:val="231F20"/>
          <w:spacing w:val="-15"/>
        </w:rPr>
        <w:t> </w:t>
      </w:r>
      <w:r>
        <w:rPr>
          <w:color w:val="231F20"/>
        </w:rPr>
        <w:t>Centrafrique</w:t>
      </w:r>
      <w:r>
        <w:rPr>
          <w:color w:val="231F20"/>
          <w:spacing w:val="-15"/>
        </w:rPr>
        <w:t> </w:t>
      </w:r>
      <w:r>
        <w:rPr>
          <w:color w:val="231F20"/>
        </w:rPr>
        <w:t>»</w:t>
      </w:r>
      <w:r>
        <w:rPr>
          <w:color w:val="231F20"/>
          <w:spacing w:val="-15"/>
        </w:rPr>
        <w:t> </w:t>
      </w:r>
      <w:r>
        <w:rPr>
          <w:color w:val="231F20"/>
        </w:rPr>
        <w:t>et</w:t>
      </w:r>
      <w:r>
        <w:rPr>
          <w:color w:val="231F20"/>
          <w:spacing w:val="-15"/>
        </w:rPr>
        <w:t> </w:t>
      </w:r>
      <w:r>
        <w:rPr>
          <w:color w:val="231F20"/>
        </w:rPr>
        <w:t>devient</w:t>
      </w:r>
      <w:r>
        <w:rPr>
          <w:color w:val="231F20"/>
          <w:spacing w:val="-15"/>
        </w:rPr>
        <w:t> </w:t>
      </w:r>
      <w:r>
        <w:rPr>
          <w:color w:val="231F20"/>
        </w:rPr>
        <w:t>Empereur Bokassa1er</w:t>
      </w:r>
      <w:r>
        <w:rPr>
          <w:color w:val="231F20"/>
          <w:spacing w:val="-5"/>
        </w:rPr>
        <w:t> </w:t>
      </w:r>
      <w:r>
        <w:rPr>
          <w:color w:val="231F20"/>
        </w:rPr>
        <w:t>en</w:t>
      </w:r>
      <w:r>
        <w:rPr>
          <w:color w:val="231F20"/>
          <w:spacing w:val="-5"/>
        </w:rPr>
        <w:t> </w:t>
      </w:r>
      <w:r>
        <w:rPr>
          <w:color w:val="231F20"/>
        </w:rPr>
        <w:t>présence</w:t>
      </w:r>
      <w:r>
        <w:rPr>
          <w:color w:val="231F20"/>
          <w:spacing w:val="-6"/>
        </w:rPr>
        <w:t> </w:t>
      </w:r>
      <w:r>
        <w:rPr>
          <w:color w:val="231F20"/>
        </w:rPr>
        <w:t>de</w:t>
      </w:r>
      <w:r>
        <w:rPr>
          <w:color w:val="231F20"/>
          <w:spacing w:val="-5"/>
        </w:rPr>
        <w:t> </w:t>
      </w:r>
      <w:r>
        <w:rPr>
          <w:color w:val="231F20"/>
        </w:rPr>
        <w:t>5</w:t>
      </w:r>
      <w:r>
        <w:rPr>
          <w:color w:val="231F20"/>
          <w:spacing w:val="-15"/>
        </w:rPr>
        <w:t> </w:t>
      </w:r>
      <w:r>
        <w:rPr>
          <w:color w:val="231F20"/>
        </w:rPr>
        <w:t>000</w:t>
      </w:r>
      <w:r>
        <w:rPr>
          <w:color w:val="231F20"/>
          <w:spacing w:val="-5"/>
        </w:rPr>
        <w:t> </w:t>
      </w:r>
      <w:r>
        <w:rPr>
          <w:color w:val="231F20"/>
        </w:rPr>
        <w:t>invités,</w:t>
      </w:r>
      <w:r>
        <w:rPr>
          <w:color w:val="231F20"/>
          <w:spacing w:val="-5"/>
        </w:rPr>
        <w:t> </w:t>
      </w:r>
      <w:r>
        <w:rPr>
          <w:color w:val="231F20"/>
        </w:rPr>
        <w:t>dont</w:t>
      </w:r>
      <w:r>
        <w:rPr>
          <w:color w:val="231F20"/>
          <w:spacing w:val="-5"/>
        </w:rPr>
        <w:t> </w:t>
      </w:r>
      <w:r>
        <w:rPr>
          <w:color w:val="231F20"/>
        </w:rPr>
        <w:t>le</w:t>
      </w:r>
      <w:r>
        <w:rPr>
          <w:color w:val="231F20"/>
          <w:spacing w:val="-6"/>
        </w:rPr>
        <w:t> </w:t>
      </w:r>
      <w:r>
        <w:rPr>
          <w:color w:val="231F20"/>
        </w:rPr>
        <w:t>ministre</w:t>
      </w:r>
      <w:r>
        <w:rPr>
          <w:color w:val="231F20"/>
          <w:spacing w:val="-5"/>
        </w:rPr>
        <w:t> </w:t>
      </w:r>
      <w:r>
        <w:rPr>
          <w:color w:val="231F20"/>
        </w:rPr>
        <w:t>français</w:t>
      </w:r>
      <w:r>
        <w:rPr>
          <w:color w:val="231F20"/>
          <w:spacing w:val="-6"/>
        </w:rPr>
        <w:t> </w:t>
      </w:r>
      <w:r>
        <w:rPr>
          <w:color w:val="231F20"/>
        </w:rPr>
        <w:t>de</w:t>
      </w:r>
      <w:r>
        <w:rPr>
          <w:color w:val="231F20"/>
          <w:spacing w:val="-6"/>
        </w:rPr>
        <w:t> </w:t>
      </w:r>
      <w:r>
        <w:rPr>
          <w:color w:val="231F20"/>
        </w:rPr>
        <w:t>la</w:t>
      </w:r>
    </w:p>
    <w:p>
      <w:pPr>
        <w:pStyle w:val="BodyText"/>
        <w:spacing w:before="8"/>
        <w:ind w:left="0"/>
        <w:jc w:val="left"/>
        <w:rPr>
          <w:sz w:val="15"/>
        </w:rPr>
      </w:pPr>
      <w:r>
        <w:rPr/>
        <mc:AlternateContent>
          <mc:Choice Requires="wps">
            <w:drawing>
              <wp:anchor distT="0" distB="0" distL="0" distR="0" allowOverlap="1" layoutInCell="1" locked="0" behindDoc="1" simplePos="0" relativeHeight="487608320">
                <wp:simplePos x="0" y="0"/>
                <wp:positionH relativeFrom="page">
                  <wp:posOffset>629907</wp:posOffset>
                </wp:positionH>
                <wp:positionV relativeFrom="paragraph">
                  <wp:posOffset>130475</wp:posOffset>
                </wp:positionV>
                <wp:extent cx="1829435" cy="9525"/>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0.273672pt;width:144.020pt;height:.72pt;mso-position-horizontal-relative:page;mso-position-vertical-relative:paragraph;z-index:-15708160;mso-wrap-distance-left:0;mso-wrap-distance-right:0" id="docshape55" filled="true" fillcolor="#231f20" stroked="false">
                <v:fill type="solid"/>
                <w10:wrap type="topAndBottom"/>
              </v:rect>
            </w:pict>
          </mc:Fallback>
        </mc:AlternateContent>
      </w:r>
    </w:p>
    <w:p>
      <w:pPr>
        <w:spacing w:line="240" w:lineRule="auto" w:before="91"/>
        <w:ind w:left="111" w:right="105" w:firstLine="0"/>
        <w:jc w:val="both"/>
        <w:rPr>
          <w:sz w:val="20"/>
        </w:rPr>
      </w:pPr>
      <w:r>
        <w:rPr>
          <w:color w:val="76787A"/>
          <w:sz w:val="20"/>
          <w:vertAlign w:val="superscript"/>
        </w:rPr>
        <w:t>60</w:t>
      </w:r>
      <w:r>
        <w:rPr>
          <w:color w:val="76787A"/>
          <w:spacing w:val="-13"/>
          <w:sz w:val="20"/>
          <w:vertAlign w:val="baseline"/>
        </w:rPr>
        <w:t> </w:t>
      </w:r>
      <w:r>
        <w:rPr>
          <w:color w:val="231F20"/>
          <w:sz w:val="20"/>
          <w:vertAlign w:val="baseline"/>
        </w:rPr>
        <w:t>Les</w:t>
      </w:r>
      <w:r>
        <w:rPr>
          <w:color w:val="231F20"/>
          <w:spacing w:val="-12"/>
          <w:sz w:val="20"/>
          <w:vertAlign w:val="baseline"/>
        </w:rPr>
        <w:t> </w:t>
      </w:r>
      <w:r>
        <w:rPr>
          <w:color w:val="231F20"/>
          <w:sz w:val="20"/>
          <w:vertAlign w:val="baseline"/>
        </w:rPr>
        <w:t>troupes</w:t>
      </w:r>
      <w:r>
        <w:rPr>
          <w:color w:val="231F20"/>
          <w:spacing w:val="-13"/>
          <w:sz w:val="20"/>
          <w:vertAlign w:val="baseline"/>
        </w:rPr>
        <w:t> </w:t>
      </w:r>
      <w:r>
        <w:rPr>
          <w:color w:val="231F20"/>
          <w:sz w:val="20"/>
          <w:vertAlign w:val="baseline"/>
        </w:rPr>
        <w:t>coloniales,</w:t>
      </w:r>
      <w:r>
        <w:rPr>
          <w:color w:val="231F20"/>
          <w:spacing w:val="-12"/>
          <w:sz w:val="20"/>
          <w:vertAlign w:val="baseline"/>
        </w:rPr>
        <w:t> </w:t>
      </w:r>
      <w:r>
        <w:rPr>
          <w:color w:val="231F20"/>
          <w:sz w:val="20"/>
          <w:vertAlign w:val="baseline"/>
        </w:rPr>
        <w:t>dites</w:t>
      </w:r>
      <w:r>
        <w:rPr>
          <w:color w:val="231F20"/>
          <w:spacing w:val="-13"/>
          <w:sz w:val="20"/>
          <w:vertAlign w:val="baseline"/>
        </w:rPr>
        <w:t> </w:t>
      </w:r>
      <w:r>
        <w:rPr>
          <w:color w:val="231F20"/>
          <w:sz w:val="20"/>
          <w:vertAlign w:val="baseline"/>
        </w:rPr>
        <w:t>«</w:t>
      </w:r>
      <w:r>
        <w:rPr>
          <w:color w:val="231F20"/>
          <w:spacing w:val="-12"/>
          <w:sz w:val="20"/>
          <w:vertAlign w:val="baseline"/>
        </w:rPr>
        <w:t> </w:t>
      </w:r>
      <w:r>
        <w:rPr>
          <w:color w:val="231F20"/>
          <w:sz w:val="20"/>
          <w:vertAlign w:val="baseline"/>
        </w:rPr>
        <w:t>la</w:t>
      </w:r>
      <w:r>
        <w:rPr>
          <w:color w:val="231F20"/>
          <w:spacing w:val="-13"/>
          <w:sz w:val="20"/>
          <w:vertAlign w:val="baseline"/>
        </w:rPr>
        <w:t> </w:t>
      </w:r>
      <w:r>
        <w:rPr>
          <w:color w:val="231F20"/>
          <w:sz w:val="20"/>
          <w:vertAlign w:val="baseline"/>
        </w:rPr>
        <w:t>Coloniale</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étaient</w:t>
      </w:r>
      <w:r>
        <w:rPr>
          <w:color w:val="231F20"/>
          <w:spacing w:val="-12"/>
          <w:sz w:val="20"/>
          <w:vertAlign w:val="baseline"/>
        </w:rPr>
        <w:t> </w:t>
      </w:r>
      <w:r>
        <w:rPr>
          <w:color w:val="231F20"/>
          <w:sz w:val="20"/>
          <w:vertAlign w:val="baseline"/>
        </w:rPr>
        <w:t>un</w:t>
      </w:r>
      <w:r>
        <w:rPr>
          <w:color w:val="231F20"/>
          <w:spacing w:val="-8"/>
          <w:sz w:val="20"/>
          <w:vertAlign w:val="baseline"/>
        </w:rPr>
        <w:t> </w:t>
      </w:r>
      <w:r>
        <w:rPr>
          <w:color w:val="231F20"/>
          <w:sz w:val="20"/>
          <w:vertAlign w:val="baseline"/>
        </w:rPr>
        <w:t>ensemble</w:t>
      </w:r>
      <w:r>
        <w:rPr>
          <w:color w:val="231F20"/>
          <w:spacing w:val="-11"/>
          <w:sz w:val="20"/>
          <w:vertAlign w:val="baseline"/>
        </w:rPr>
        <w:t> </w:t>
      </w:r>
      <w:r>
        <w:rPr>
          <w:color w:val="231F20"/>
          <w:sz w:val="20"/>
          <w:vertAlign w:val="baseline"/>
        </w:rPr>
        <w:t>d'unités</w:t>
      </w:r>
      <w:r>
        <w:rPr>
          <w:color w:val="231F20"/>
          <w:spacing w:val="-9"/>
          <w:sz w:val="20"/>
          <w:vertAlign w:val="baseline"/>
        </w:rPr>
        <w:t> </w:t>
      </w:r>
      <w:r>
        <w:rPr>
          <w:color w:val="231F20"/>
          <w:sz w:val="20"/>
          <w:vertAlign w:val="baseline"/>
        </w:rPr>
        <w:t>militaires françaises stationnées dans les colonies et mises sur pied, à l'origine, pour assurer la </w:t>
      </w:r>
      <w:r>
        <w:rPr>
          <w:color w:val="231F20"/>
          <w:spacing w:val="-2"/>
          <w:sz w:val="20"/>
          <w:vertAlign w:val="baseline"/>
        </w:rPr>
        <w:t>défense</w:t>
      </w:r>
      <w:r>
        <w:rPr>
          <w:color w:val="231F20"/>
          <w:spacing w:val="-13"/>
          <w:sz w:val="20"/>
          <w:vertAlign w:val="baseline"/>
        </w:rPr>
        <w:t> </w:t>
      </w:r>
      <w:r>
        <w:rPr>
          <w:color w:val="231F20"/>
          <w:spacing w:val="-2"/>
          <w:sz w:val="20"/>
          <w:vertAlign w:val="baseline"/>
        </w:rPr>
        <w:t>des</w:t>
      </w:r>
      <w:r>
        <w:rPr>
          <w:color w:val="231F20"/>
          <w:spacing w:val="-10"/>
          <w:sz w:val="20"/>
          <w:vertAlign w:val="baseline"/>
        </w:rPr>
        <w:t> </w:t>
      </w:r>
      <w:r>
        <w:rPr>
          <w:color w:val="231F20"/>
          <w:spacing w:val="-2"/>
          <w:sz w:val="20"/>
          <w:vertAlign w:val="baseline"/>
        </w:rPr>
        <w:t>ports</w:t>
      </w:r>
      <w:r>
        <w:rPr>
          <w:color w:val="231F20"/>
          <w:spacing w:val="-11"/>
          <w:sz w:val="20"/>
          <w:vertAlign w:val="baseline"/>
        </w:rPr>
        <w:t> </w:t>
      </w:r>
      <w:r>
        <w:rPr>
          <w:color w:val="231F20"/>
          <w:spacing w:val="-2"/>
          <w:sz w:val="20"/>
          <w:vertAlign w:val="baseline"/>
        </w:rPr>
        <w:t>et</w:t>
      </w:r>
      <w:r>
        <w:rPr>
          <w:color w:val="231F20"/>
          <w:spacing w:val="-10"/>
          <w:sz w:val="20"/>
          <w:vertAlign w:val="baseline"/>
        </w:rPr>
        <w:t> </w:t>
      </w:r>
      <w:r>
        <w:rPr>
          <w:color w:val="231F20"/>
          <w:spacing w:val="-2"/>
          <w:sz w:val="20"/>
          <w:vertAlign w:val="baseline"/>
        </w:rPr>
        <w:t>des</w:t>
      </w:r>
      <w:r>
        <w:rPr>
          <w:color w:val="231F20"/>
          <w:spacing w:val="-11"/>
          <w:sz w:val="20"/>
          <w:vertAlign w:val="baseline"/>
        </w:rPr>
        <w:t> </w:t>
      </w:r>
      <w:r>
        <w:rPr>
          <w:color w:val="231F20"/>
          <w:spacing w:val="-2"/>
          <w:sz w:val="20"/>
          <w:vertAlign w:val="baseline"/>
        </w:rPr>
        <w:t>possessions</w:t>
      </w:r>
      <w:r>
        <w:rPr>
          <w:color w:val="231F20"/>
          <w:spacing w:val="-10"/>
          <w:sz w:val="20"/>
          <w:vertAlign w:val="baseline"/>
        </w:rPr>
        <w:t> </w:t>
      </w:r>
      <w:r>
        <w:rPr>
          <w:color w:val="231F20"/>
          <w:spacing w:val="-2"/>
          <w:sz w:val="20"/>
          <w:vertAlign w:val="baseline"/>
        </w:rPr>
        <w:t>outre-mer</w:t>
      </w:r>
      <w:r>
        <w:rPr>
          <w:color w:val="231F20"/>
          <w:spacing w:val="-11"/>
          <w:sz w:val="20"/>
          <w:vertAlign w:val="baseline"/>
        </w:rPr>
        <w:t> </w:t>
      </w:r>
      <w:r>
        <w:rPr>
          <w:color w:val="231F20"/>
          <w:spacing w:val="-2"/>
          <w:sz w:val="20"/>
          <w:vertAlign w:val="baseline"/>
        </w:rPr>
        <w:t>autres</w:t>
      </w:r>
      <w:r>
        <w:rPr>
          <w:color w:val="231F20"/>
          <w:spacing w:val="-10"/>
          <w:sz w:val="20"/>
          <w:vertAlign w:val="baseline"/>
        </w:rPr>
        <w:t> </w:t>
      </w:r>
      <w:r>
        <w:rPr>
          <w:color w:val="231F20"/>
          <w:spacing w:val="-2"/>
          <w:sz w:val="20"/>
          <w:vertAlign w:val="baseline"/>
        </w:rPr>
        <w:t>que</w:t>
      </w:r>
      <w:r>
        <w:rPr>
          <w:color w:val="231F20"/>
          <w:spacing w:val="-11"/>
          <w:sz w:val="20"/>
          <w:vertAlign w:val="baseline"/>
        </w:rPr>
        <w:t> </w:t>
      </w:r>
      <w:r>
        <w:rPr>
          <w:color w:val="231F20"/>
          <w:spacing w:val="-2"/>
          <w:sz w:val="20"/>
          <w:vertAlign w:val="baseline"/>
        </w:rPr>
        <w:t>l'Afrique</w:t>
      </w:r>
      <w:r>
        <w:rPr>
          <w:color w:val="231F20"/>
          <w:spacing w:val="-10"/>
          <w:sz w:val="20"/>
          <w:vertAlign w:val="baseline"/>
        </w:rPr>
        <w:t> </w:t>
      </w:r>
      <w:r>
        <w:rPr>
          <w:color w:val="231F20"/>
          <w:spacing w:val="-2"/>
          <w:sz w:val="20"/>
          <w:vertAlign w:val="baseline"/>
        </w:rPr>
        <w:t>du</w:t>
      </w:r>
      <w:r>
        <w:rPr>
          <w:color w:val="231F20"/>
          <w:spacing w:val="-11"/>
          <w:sz w:val="20"/>
          <w:vertAlign w:val="baseline"/>
        </w:rPr>
        <w:t> </w:t>
      </w:r>
      <w:r>
        <w:rPr>
          <w:color w:val="231F20"/>
          <w:spacing w:val="-2"/>
          <w:sz w:val="20"/>
          <w:vertAlign w:val="baseline"/>
        </w:rPr>
        <w:t>Nord</w:t>
      </w:r>
      <w:r>
        <w:rPr>
          <w:color w:val="231F20"/>
          <w:spacing w:val="-10"/>
          <w:sz w:val="20"/>
          <w:vertAlign w:val="baseline"/>
        </w:rPr>
        <w:t> </w:t>
      </w:r>
      <w:r>
        <w:rPr>
          <w:color w:val="231F20"/>
          <w:spacing w:val="-2"/>
          <w:sz w:val="20"/>
          <w:vertAlign w:val="baseline"/>
        </w:rPr>
        <w:t>même</w:t>
      </w:r>
      <w:r>
        <w:rPr>
          <w:color w:val="231F20"/>
          <w:spacing w:val="-11"/>
          <w:sz w:val="20"/>
          <w:vertAlign w:val="baseline"/>
        </w:rPr>
        <w:t> </w:t>
      </w:r>
      <w:r>
        <w:rPr>
          <w:color w:val="231F20"/>
          <w:spacing w:val="-2"/>
          <w:sz w:val="20"/>
          <w:vertAlign w:val="baseline"/>
        </w:rPr>
        <w:t>si</w:t>
      </w:r>
      <w:r>
        <w:rPr>
          <w:color w:val="231F20"/>
          <w:spacing w:val="-10"/>
          <w:sz w:val="20"/>
          <w:vertAlign w:val="baseline"/>
        </w:rPr>
        <w:t> </w:t>
      </w:r>
      <w:r>
        <w:rPr>
          <w:color w:val="231F20"/>
          <w:spacing w:val="-2"/>
          <w:sz w:val="20"/>
          <w:vertAlign w:val="baseline"/>
        </w:rPr>
        <w:t>ces troupes sont employées massivement en</w:t>
      </w:r>
      <w:r>
        <w:rPr>
          <w:color w:val="231F20"/>
          <w:spacing w:val="-8"/>
          <w:sz w:val="20"/>
          <w:vertAlign w:val="baseline"/>
        </w:rPr>
        <w:t> </w:t>
      </w:r>
      <w:r>
        <w:rPr>
          <w:color w:val="231F20"/>
          <w:spacing w:val="-2"/>
          <w:sz w:val="20"/>
          <w:vertAlign w:val="baseline"/>
        </w:rPr>
        <w:t>France métropolitaine</w:t>
      </w:r>
      <w:r>
        <w:rPr>
          <w:color w:val="231F20"/>
          <w:spacing w:val="-10"/>
          <w:sz w:val="20"/>
          <w:vertAlign w:val="baseline"/>
        </w:rPr>
        <w:t> </w:t>
      </w:r>
      <w:r>
        <w:rPr>
          <w:color w:val="231F20"/>
          <w:spacing w:val="-2"/>
          <w:sz w:val="20"/>
          <w:vertAlign w:val="baseline"/>
        </w:rPr>
        <w:t>et au</w:t>
      </w:r>
      <w:r>
        <w:rPr>
          <w:color w:val="231F20"/>
          <w:spacing w:val="-11"/>
          <w:sz w:val="20"/>
          <w:vertAlign w:val="baseline"/>
        </w:rPr>
        <w:t> </w:t>
      </w:r>
      <w:r>
        <w:rPr>
          <w:color w:val="231F20"/>
          <w:spacing w:val="-2"/>
          <w:sz w:val="20"/>
          <w:vertAlign w:val="baseline"/>
        </w:rPr>
        <w:t>Maghreb</w:t>
      </w:r>
      <w:r>
        <w:rPr>
          <w:color w:val="231F20"/>
          <w:spacing w:val="-9"/>
          <w:sz w:val="20"/>
          <w:vertAlign w:val="baseline"/>
        </w:rPr>
        <w:t> </w:t>
      </w:r>
      <w:r>
        <w:rPr>
          <w:color w:val="231F20"/>
          <w:spacing w:val="-2"/>
          <w:sz w:val="20"/>
          <w:vertAlign w:val="baseline"/>
        </w:rPr>
        <w:t>au cours </w:t>
      </w:r>
      <w:r>
        <w:rPr>
          <w:color w:val="231F20"/>
          <w:sz w:val="20"/>
          <w:vertAlign w:val="baseline"/>
        </w:rPr>
        <w:t>du </w:t>
      </w:r>
      <w:r>
        <w:rPr>
          <w:color w:val="231F20"/>
          <w:sz w:val="16"/>
          <w:vertAlign w:val="baseline"/>
        </w:rPr>
        <w:t>XX</w:t>
      </w:r>
      <w:r>
        <w:rPr>
          <w:color w:val="231F20"/>
          <w:position w:val="7"/>
          <w:sz w:val="13"/>
          <w:vertAlign w:val="baseline"/>
        </w:rPr>
        <w:t>e</w:t>
      </w:r>
      <w:r>
        <w:rPr>
          <w:color w:val="231F20"/>
          <w:spacing w:val="36"/>
          <w:position w:val="7"/>
          <w:sz w:val="13"/>
          <w:vertAlign w:val="baseline"/>
        </w:rPr>
        <w:t> </w:t>
      </w:r>
      <w:r>
        <w:rPr>
          <w:color w:val="231F20"/>
          <w:sz w:val="20"/>
          <w:vertAlign w:val="baseline"/>
        </w:rPr>
        <w:t>siècle.</w:t>
      </w:r>
    </w:p>
    <w:p>
      <w:pPr>
        <w:spacing w:after="0" w:line="240" w:lineRule="auto"/>
        <w:jc w:val="both"/>
        <w:rPr>
          <w:sz w:val="20"/>
        </w:rPr>
        <w:sectPr>
          <w:pgSz w:w="8790" w:h="13610"/>
          <w:pgMar w:header="0" w:footer="802" w:top="1040" w:bottom="1000" w:left="880" w:right="880"/>
        </w:sectPr>
      </w:pPr>
    </w:p>
    <w:p>
      <w:pPr>
        <w:pStyle w:val="BodyText"/>
        <w:spacing w:before="66"/>
        <w:ind w:right="108"/>
      </w:pPr>
      <w:r>
        <w:rPr>
          <w:color w:val="231F20"/>
        </w:rPr>
        <w:t>coopération Robert Galley. Tenue, couronne, sceptre, trône sont confectionnés par des artisans français.</w:t>
      </w:r>
    </w:p>
    <w:p>
      <w:pPr>
        <w:pStyle w:val="BodyText"/>
        <w:spacing w:before="120"/>
        <w:ind w:right="106" w:firstLine="283"/>
      </w:pPr>
      <w:r>
        <w:rPr>
          <w:color w:val="231F20"/>
          <w:spacing w:val="-2"/>
        </w:rPr>
        <w:t>Dans</w:t>
      </w:r>
      <w:r>
        <w:rPr>
          <w:color w:val="231F20"/>
          <w:spacing w:val="-7"/>
        </w:rPr>
        <w:t> </w:t>
      </w:r>
      <w:r>
        <w:rPr>
          <w:color w:val="231F20"/>
          <w:spacing w:val="-2"/>
        </w:rPr>
        <w:t>la</w:t>
      </w:r>
      <w:r>
        <w:rPr>
          <w:color w:val="231F20"/>
          <w:spacing w:val="-7"/>
        </w:rPr>
        <w:t> </w:t>
      </w:r>
      <w:r>
        <w:rPr>
          <w:color w:val="231F20"/>
          <w:spacing w:val="-2"/>
        </w:rPr>
        <w:t>chaleur</w:t>
      </w:r>
      <w:r>
        <w:rPr>
          <w:color w:val="231F20"/>
          <w:spacing w:val="-7"/>
        </w:rPr>
        <w:t> </w:t>
      </w:r>
      <w:r>
        <w:rPr>
          <w:color w:val="231F20"/>
          <w:spacing w:val="-2"/>
        </w:rPr>
        <w:t>tropicale,</w:t>
      </w:r>
      <w:r>
        <w:rPr>
          <w:color w:val="231F20"/>
          <w:spacing w:val="-8"/>
        </w:rPr>
        <w:t> </w:t>
      </w:r>
      <w:r>
        <w:rPr>
          <w:color w:val="231F20"/>
          <w:spacing w:val="-2"/>
        </w:rPr>
        <w:t>Bokassa</w:t>
      </w:r>
      <w:r>
        <w:rPr>
          <w:color w:val="231F20"/>
          <w:spacing w:val="-7"/>
        </w:rPr>
        <w:t> </w:t>
      </w:r>
      <w:r>
        <w:rPr>
          <w:color w:val="231F20"/>
          <w:spacing w:val="-2"/>
        </w:rPr>
        <w:t>revêt</w:t>
      </w:r>
      <w:r>
        <w:rPr>
          <w:color w:val="231F20"/>
          <w:spacing w:val="-7"/>
        </w:rPr>
        <w:t> </w:t>
      </w:r>
      <w:r>
        <w:rPr>
          <w:color w:val="231F20"/>
          <w:spacing w:val="-2"/>
        </w:rPr>
        <w:t>une</w:t>
      </w:r>
      <w:r>
        <w:rPr>
          <w:color w:val="231F20"/>
          <w:spacing w:val="-7"/>
        </w:rPr>
        <w:t> </w:t>
      </w:r>
      <w:r>
        <w:rPr>
          <w:color w:val="231F20"/>
          <w:spacing w:val="-2"/>
        </w:rPr>
        <w:t>réplique</w:t>
      </w:r>
      <w:r>
        <w:rPr>
          <w:color w:val="231F20"/>
          <w:spacing w:val="-8"/>
        </w:rPr>
        <w:t> </w:t>
      </w:r>
      <w:r>
        <w:rPr>
          <w:color w:val="231F20"/>
          <w:spacing w:val="-2"/>
        </w:rPr>
        <w:t>du</w:t>
      </w:r>
      <w:r>
        <w:rPr>
          <w:color w:val="231F20"/>
          <w:spacing w:val="-7"/>
        </w:rPr>
        <w:t> </w:t>
      </w:r>
      <w:r>
        <w:rPr>
          <w:color w:val="231F20"/>
          <w:spacing w:val="-2"/>
        </w:rPr>
        <w:t>costume</w:t>
      </w:r>
      <w:r>
        <w:rPr>
          <w:color w:val="231F20"/>
          <w:spacing w:val="-8"/>
        </w:rPr>
        <w:t> </w:t>
      </w:r>
      <w:r>
        <w:rPr>
          <w:color w:val="231F20"/>
          <w:spacing w:val="-2"/>
        </w:rPr>
        <w:t>que portait</w:t>
      </w:r>
      <w:r>
        <w:rPr>
          <w:color w:val="231F20"/>
          <w:spacing w:val="-13"/>
        </w:rPr>
        <w:t> </w:t>
      </w:r>
      <w:r>
        <w:rPr>
          <w:color w:val="231F20"/>
          <w:spacing w:val="-2"/>
        </w:rPr>
        <w:t>Napoléon</w:t>
      </w:r>
      <w:r>
        <w:rPr>
          <w:color w:val="231F20"/>
          <w:spacing w:val="-13"/>
        </w:rPr>
        <w:t> </w:t>
      </w:r>
      <w:r>
        <w:rPr>
          <w:color w:val="231F20"/>
          <w:spacing w:val="-2"/>
        </w:rPr>
        <w:t>Bonaparte</w:t>
      </w:r>
      <w:r>
        <w:rPr>
          <w:color w:val="231F20"/>
          <w:spacing w:val="-2"/>
          <w:vertAlign w:val="superscript"/>
        </w:rPr>
        <w:t>61</w:t>
      </w:r>
      <w:r>
        <w:rPr>
          <w:color w:val="231F20"/>
          <w:spacing w:val="-13"/>
          <w:vertAlign w:val="baseline"/>
        </w:rPr>
        <w:t> </w:t>
      </w:r>
      <w:r>
        <w:rPr>
          <w:color w:val="231F20"/>
          <w:spacing w:val="-2"/>
          <w:vertAlign w:val="baseline"/>
        </w:rPr>
        <w:t>lors</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son</w:t>
      </w:r>
      <w:r>
        <w:rPr>
          <w:color w:val="231F20"/>
          <w:spacing w:val="-13"/>
          <w:vertAlign w:val="baseline"/>
        </w:rPr>
        <w:t> </w:t>
      </w:r>
      <w:r>
        <w:rPr>
          <w:color w:val="231F20"/>
          <w:spacing w:val="-2"/>
          <w:vertAlign w:val="baseline"/>
        </w:rPr>
        <w:t>sacre</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une</w:t>
      </w:r>
      <w:r>
        <w:rPr>
          <w:color w:val="231F20"/>
          <w:spacing w:val="-13"/>
          <w:vertAlign w:val="baseline"/>
        </w:rPr>
        <w:t> </w:t>
      </w:r>
      <w:r>
        <w:rPr>
          <w:color w:val="231F20"/>
          <w:spacing w:val="-2"/>
          <w:vertAlign w:val="baseline"/>
        </w:rPr>
        <w:t>épaisse</w:t>
      </w:r>
      <w:r>
        <w:rPr>
          <w:color w:val="231F20"/>
          <w:spacing w:val="-13"/>
          <w:vertAlign w:val="baseline"/>
        </w:rPr>
        <w:t> </w:t>
      </w:r>
      <w:r>
        <w:rPr>
          <w:color w:val="231F20"/>
          <w:spacing w:val="-2"/>
          <w:vertAlign w:val="baseline"/>
        </w:rPr>
        <w:t>cape</w:t>
      </w:r>
      <w:r>
        <w:rPr>
          <w:color w:val="231F20"/>
          <w:spacing w:val="-13"/>
          <w:vertAlign w:val="baseline"/>
        </w:rPr>
        <w:t> </w:t>
      </w:r>
      <w:r>
        <w:rPr>
          <w:color w:val="231F20"/>
          <w:spacing w:val="-2"/>
          <w:vertAlign w:val="baseline"/>
        </w:rPr>
        <w:t>écarlate </w:t>
      </w:r>
      <w:r>
        <w:rPr>
          <w:color w:val="231F20"/>
          <w:vertAlign w:val="baseline"/>
        </w:rPr>
        <w:t>doublée</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fourrure</w:t>
      </w:r>
      <w:r>
        <w:rPr>
          <w:color w:val="231F20"/>
          <w:spacing w:val="-15"/>
          <w:vertAlign w:val="baseline"/>
        </w:rPr>
        <w:t> </w:t>
      </w:r>
      <w:r>
        <w:rPr>
          <w:color w:val="231F20"/>
          <w:vertAlign w:val="baseline"/>
        </w:rPr>
        <w:t>d’hermine</w:t>
      </w:r>
      <w:r>
        <w:rPr>
          <w:color w:val="231F20"/>
          <w:spacing w:val="-14"/>
          <w:vertAlign w:val="baseline"/>
        </w:rPr>
        <w:t> </w:t>
      </w:r>
      <w:r>
        <w:rPr>
          <w:color w:val="231F20"/>
          <w:vertAlign w:val="baseline"/>
        </w:rPr>
        <w:t>blanche</w:t>
      </w:r>
      <w:r>
        <w:rPr>
          <w:color w:val="231F20"/>
          <w:spacing w:val="-14"/>
          <w:vertAlign w:val="baseline"/>
        </w:rPr>
        <w:t> </w:t>
      </w:r>
      <w:r>
        <w:rPr>
          <w:color w:val="231F20"/>
          <w:vertAlign w:val="baseline"/>
        </w:rPr>
        <w:t>et</w:t>
      </w:r>
      <w:r>
        <w:rPr>
          <w:color w:val="231F20"/>
          <w:spacing w:val="-15"/>
          <w:vertAlign w:val="baseline"/>
        </w:rPr>
        <w:t> </w:t>
      </w:r>
      <w:r>
        <w:rPr>
          <w:color w:val="231F20"/>
          <w:vertAlign w:val="baseline"/>
        </w:rPr>
        <w:t>d’une</w:t>
      </w:r>
      <w:r>
        <w:rPr>
          <w:color w:val="231F20"/>
          <w:spacing w:val="-14"/>
          <w:vertAlign w:val="baseline"/>
        </w:rPr>
        <w:t> </w:t>
      </w:r>
      <w:r>
        <w:rPr>
          <w:color w:val="231F20"/>
          <w:vertAlign w:val="baseline"/>
        </w:rPr>
        <w:t>robe</w:t>
      </w:r>
      <w:r>
        <w:rPr>
          <w:color w:val="231F20"/>
          <w:spacing w:val="-14"/>
          <w:vertAlign w:val="baseline"/>
        </w:rPr>
        <w:t> </w:t>
      </w:r>
      <w:r>
        <w:rPr>
          <w:color w:val="231F20"/>
          <w:vertAlign w:val="baseline"/>
        </w:rPr>
        <w:t>incrustée</w:t>
      </w:r>
      <w:r>
        <w:rPr>
          <w:color w:val="231F20"/>
          <w:spacing w:val="-14"/>
          <w:vertAlign w:val="baseline"/>
        </w:rPr>
        <w:t> </w:t>
      </w:r>
      <w:r>
        <w:rPr>
          <w:color w:val="231F20"/>
          <w:vertAlign w:val="baseline"/>
        </w:rPr>
        <w:t>de</w:t>
      </w:r>
      <w:r>
        <w:rPr>
          <w:color w:val="231F20"/>
          <w:spacing w:val="-15"/>
          <w:vertAlign w:val="baseline"/>
        </w:rPr>
        <w:t> </w:t>
      </w:r>
      <w:r>
        <w:rPr>
          <w:color w:val="231F20"/>
          <w:vertAlign w:val="baseline"/>
        </w:rPr>
        <w:t>perles sur</w:t>
      </w:r>
      <w:r>
        <w:rPr>
          <w:color w:val="231F20"/>
          <w:spacing w:val="-6"/>
          <w:vertAlign w:val="baseline"/>
        </w:rPr>
        <w:t> </w:t>
      </w:r>
      <w:r>
        <w:rPr>
          <w:color w:val="231F20"/>
          <w:vertAlign w:val="baseline"/>
        </w:rPr>
        <w:t>laquelle</w:t>
      </w:r>
      <w:r>
        <w:rPr>
          <w:color w:val="231F20"/>
          <w:spacing w:val="-9"/>
          <w:vertAlign w:val="baseline"/>
        </w:rPr>
        <w:t> </w:t>
      </w:r>
      <w:r>
        <w:rPr>
          <w:color w:val="231F20"/>
          <w:vertAlign w:val="baseline"/>
        </w:rPr>
        <w:t>sont</w:t>
      </w:r>
      <w:r>
        <w:rPr>
          <w:color w:val="231F20"/>
          <w:spacing w:val="-6"/>
          <w:vertAlign w:val="baseline"/>
        </w:rPr>
        <w:t> </w:t>
      </w:r>
      <w:r>
        <w:rPr>
          <w:color w:val="231F20"/>
          <w:vertAlign w:val="baseline"/>
        </w:rPr>
        <w:t>brodés</w:t>
      </w:r>
      <w:r>
        <w:rPr>
          <w:color w:val="231F20"/>
          <w:spacing w:val="-7"/>
          <w:vertAlign w:val="baseline"/>
        </w:rPr>
        <w:t> </w:t>
      </w:r>
      <w:r>
        <w:rPr>
          <w:color w:val="231F20"/>
          <w:vertAlign w:val="baseline"/>
        </w:rPr>
        <w:t>en</w:t>
      </w:r>
      <w:r>
        <w:rPr>
          <w:color w:val="231F20"/>
          <w:spacing w:val="-6"/>
          <w:vertAlign w:val="baseline"/>
        </w:rPr>
        <w:t> </w:t>
      </w:r>
      <w:r>
        <w:rPr>
          <w:color w:val="231F20"/>
          <w:vertAlign w:val="baseline"/>
        </w:rPr>
        <w:t>fils</w:t>
      </w:r>
      <w:r>
        <w:rPr>
          <w:color w:val="231F20"/>
          <w:spacing w:val="-7"/>
          <w:vertAlign w:val="baseline"/>
        </w:rPr>
        <w:t> </w:t>
      </w:r>
      <w:r>
        <w:rPr>
          <w:color w:val="231F20"/>
          <w:vertAlign w:val="baseline"/>
        </w:rPr>
        <w:t>d’or,</w:t>
      </w:r>
      <w:r>
        <w:rPr>
          <w:color w:val="231F20"/>
          <w:spacing w:val="-6"/>
          <w:vertAlign w:val="baseline"/>
        </w:rPr>
        <w:t> </w:t>
      </w:r>
      <w:r>
        <w:rPr>
          <w:color w:val="231F20"/>
          <w:vertAlign w:val="baseline"/>
        </w:rPr>
        <w:t>des</w:t>
      </w:r>
      <w:r>
        <w:rPr>
          <w:color w:val="231F20"/>
          <w:spacing w:val="-9"/>
          <w:vertAlign w:val="baseline"/>
        </w:rPr>
        <w:t> </w:t>
      </w:r>
      <w:r>
        <w:rPr>
          <w:color w:val="231F20"/>
          <w:vertAlign w:val="baseline"/>
        </w:rPr>
        <w:t>soleils</w:t>
      </w:r>
      <w:r>
        <w:rPr>
          <w:color w:val="231F20"/>
          <w:spacing w:val="-7"/>
          <w:vertAlign w:val="baseline"/>
        </w:rPr>
        <w:t> </w:t>
      </w:r>
      <w:r>
        <w:rPr>
          <w:color w:val="231F20"/>
          <w:vertAlign w:val="baseline"/>
        </w:rPr>
        <w:t>et</w:t>
      </w:r>
      <w:r>
        <w:rPr>
          <w:color w:val="231F20"/>
          <w:spacing w:val="-9"/>
          <w:vertAlign w:val="baseline"/>
        </w:rPr>
        <w:t> </w:t>
      </w:r>
      <w:r>
        <w:rPr>
          <w:color w:val="231F20"/>
          <w:vertAlign w:val="baseline"/>
        </w:rPr>
        <w:t>des</w:t>
      </w:r>
      <w:r>
        <w:rPr>
          <w:color w:val="231F20"/>
          <w:spacing w:val="-7"/>
          <w:vertAlign w:val="baseline"/>
        </w:rPr>
        <w:t> </w:t>
      </w:r>
      <w:r>
        <w:rPr>
          <w:color w:val="231F20"/>
          <w:vertAlign w:val="baseline"/>
        </w:rPr>
        <w:t>abeilles.</w:t>
      </w:r>
    </w:p>
    <w:p>
      <w:pPr>
        <w:pStyle w:val="BodyText"/>
        <w:spacing w:before="120"/>
        <w:ind w:right="104" w:firstLine="283"/>
      </w:pPr>
      <w:r>
        <w:rPr>
          <w:color w:val="231F20"/>
        </w:rPr>
        <w:t>La cérémonie est très fastueuse</w:t>
      </w:r>
      <w:r>
        <w:rPr>
          <w:color w:val="231F20"/>
          <w:spacing w:val="-15"/>
        </w:rPr>
        <w:t> </w:t>
      </w:r>
      <w:r>
        <w:rPr>
          <w:color w:val="231F20"/>
        </w:rPr>
        <w:t>: 10</w:t>
      </w:r>
      <w:r>
        <w:rPr>
          <w:color w:val="231F20"/>
          <w:spacing w:val="-15"/>
        </w:rPr>
        <w:t> </w:t>
      </w:r>
      <w:r>
        <w:rPr>
          <w:color w:val="231F20"/>
        </w:rPr>
        <w:t>000 pièces d’orfèvrerie, 200 uniformes</w:t>
      </w:r>
      <w:r>
        <w:rPr>
          <w:color w:val="231F20"/>
          <w:spacing w:val="-15"/>
        </w:rPr>
        <w:t> </w:t>
      </w:r>
      <w:r>
        <w:rPr>
          <w:color w:val="231F20"/>
        </w:rPr>
        <w:t>d’apparat,</w:t>
      </w:r>
      <w:r>
        <w:rPr>
          <w:color w:val="231F20"/>
          <w:spacing w:val="-15"/>
        </w:rPr>
        <w:t> </w:t>
      </w:r>
      <w:r>
        <w:rPr>
          <w:color w:val="231F20"/>
        </w:rPr>
        <w:t>600</w:t>
      </w:r>
      <w:r>
        <w:rPr>
          <w:color w:val="231F20"/>
          <w:spacing w:val="-15"/>
        </w:rPr>
        <w:t> </w:t>
      </w:r>
      <w:r>
        <w:rPr>
          <w:color w:val="231F20"/>
        </w:rPr>
        <w:t>smokings</w:t>
      </w:r>
      <w:r>
        <w:rPr>
          <w:color w:val="231F20"/>
          <w:spacing w:val="-15"/>
        </w:rPr>
        <w:t> </w:t>
      </w:r>
      <w:r>
        <w:rPr>
          <w:color w:val="231F20"/>
        </w:rPr>
        <w:t>et</w:t>
      </w:r>
      <w:r>
        <w:rPr>
          <w:color w:val="231F20"/>
          <w:spacing w:val="-15"/>
        </w:rPr>
        <w:t> </w:t>
      </w:r>
      <w:r>
        <w:rPr>
          <w:color w:val="231F20"/>
        </w:rPr>
        <w:t>pas</w:t>
      </w:r>
      <w:r>
        <w:rPr>
          <w:color w:val="231F20"/>
          <w:spacing w:val="-15"/>
        </w:rPr>
        <w:t> </w:t>
      </w:r>
      <w:r>
        <w:rPr>
          <w:color w:val="231F20"/>
        </w:rPr>
        <w:t>moins</w:t>
      </w:r>
      <w:r>
        <w:rPr>
          <w:color w:val="231F20"/>
          <w:spacing w:val="-15"/>
        </w:rPr>
        <w:t> </w:t>
      </w:r>
      <w:r>
        <w:rPr>
          <w:color w:val="231F20"/>
        </w:rPr>
        <w:t>de</w:t>
      </w:r>
      <w:r>
        <w:rPr>
          <w:color w:val="231F20"/>
          <w:spacing w:val="-15"/>
        </w:rPr>
        <w:t> </w:t>
      </w:r>
      <w:r>
        <w:rPr>
          <w:color w:val="231F20"/>
        </w:rPr>
        <w:t>60</w:t>
      </w:r>
      <w:r>
        <w:rPr>
          <w:color w:val="231F20"/>
          <w:spacing w:val="-15"/>
        </w:rPr>
        <w:t> </w:t>
      </w:r>
      <w:r>
        <w:rPr>
          <w:color w:val="231F20"/>
        </w:rPr>
        <w:t>000</w:t>
      </w:r>
      <w:r>
        <w:rPr>
          <w:color w:val="231F20"/>
          <w:spacing w:val="-15"/>
        </w:rPr>
        <w:t> </w:t>
      </w:r>
      <w:r>
        <w:rPr>
          <w:color w:val="231F20"/>
        </w:rPr>
        <w:t>bouteilles</w:t>
      </w:r>
      <w:r>
        <w:rPr>
          <w:color w:val="231F20"/>
          <w:spacing w:val="-15"/>
        </w:rPr>
        <w:t> </w:t>
      </w:r>
      <w:r>
        <w:rPr>
          <w:color w:val="231F20"/>
        </w:rPr>
        <w:t>de </w:t>
      </w:r>
      <w:r>
        <w:rPr>
          <w:color w:val="231F20"/>
          <w:spacing w:val="-4"/>
        </w:rPr>
        <w:t>champagne</w:t>
      </w:r>
      <w:r>
        <w:rPr>
          <w:color w:val="231F20"/>
          <w:spacing w:val="-11"/>
        </w:rPr>
        <w:t> </w:t>
      </w:r>
      <w:r>
        <w:rPr>
          <w:color w:val="231F20"/>
          <w:spacing w:val="-4"/>
        </w:rPr>
        <w:t>et</w:t>
      </w:r>
      <w:r>
        <w:rPr>
          <w:color w:val="231F20"/>
          <w:spacing w:val="-11"/>
        </w:rPr>
        <w:t> </w:t>
      </w:r>
      <w:r>
        <w:rPr>
          <w:color w:val="231F20"/>
          <w:spacing w:val="-4"/>
        </w:rPr>
        <w:t>de</w:t>
      </w:r>
      <w:r>
        <w:rPr>
          <w:color w:val="231F20"/>
          <w:spacing w:val="-11"/>
        </w:rPr>
        <w:t> </w:t>
      </w:r>
      <w:r>
        <w:rPr>
          <w:color w:val="231F20"/>
          <w:spacing w:val="-4"/>
        </w:rPr>
        <w:t>vin.,</w:t>
      </w:r>
      <w:r>
        <w:rPr>
          <w:color w:val="231F20"/>
          <w:spacing w:val="-11"/>
        </w:rPr>
        <w:t> </w:t>
      </w:r>
      <w:r>
        <w:rPr>
          <w:color w:val="231F20"/>
          <w:spacing w:val="-4"/>
        </w:rPr>
        <w:t>un</w:t>
      </w:r>
      <w:r>
        <w:rPr>
          <w:color w:val="231F20"/>
          <w:spacing w:val="-11"/>
        </w:rPr>
        <w:t> </w:t>
      </w:r>
      <w:r>
        <w:rPr>
          <w:color w:val="231F20"/>
          <w:spacing w:val="-4"/>
        </w:rPr>
        <w:t>trône</w:t>
      </w:r>
      <w:r>
        <w:rPr>
          <w:color w:val="231F20"/>
          <w:spacing w:val="-11"/>
        </w:rPr>
        <w:t> </w:t>
      </w:r>
      <w:r>
        <w:rPr>
          <w:color w:val="231F20"/>
          <w:spacing w:val="-4"/>
        </w:rPr>
        <w:t>monumental</w:t>
      </w:r>
      <w:r>
        <w:rPr>
          <w:color w:val="231F20"/>
          <w:spacing w:val="-11"/>
        </w:rPr>
        <w:t> </w:t>
      </w:r>
      <w:r>
        <w:rPr>
          <w:color w:val="231F20"/>
          <w:spacing w:val="-4"/>
        </w:rPr>
        <w:t>créé</w:t>
      </w:r>
      <w:r>
        <w:rPr>
          <w:color w:val="231F20"/>
          <w:spacing w:val="-11"/>
        </w:rPr>
        <w:t> </w:t>
      </w:r>
      <w:r>
        <w:rPr>
          <w:color w:val="231F20"/>
          <w:spacing w:val="-4"/>
        </w:rPr>
        <w:t>par</w:t>
      </w:r>
      <w:r>
        <w:rPr>
          <w:color w:val="231F20"/>
          <w:spacing w:val="-11"/>
        </w:rPr>
        <w:t> </w:t>
      </w:r>
      <w:r>
        <w:rPr>
          <w:color w:val="231F20"/>
          <w:spacing w:val="-4"/>
        </w:rPr>
        <w:t>un</w:t>
      </w:r>
      <w:r>
        <w:rPr>
          <w:color w:val="231F20"/>
          <w:spacing w:val="-11"/>
        </w:rPr>
        <w:t> </w:t>
      </w:r>
      <w:r>
        <w:rPr>
          <w:color w:val="231F20"/>
          <w:spacing w:val="-4"/>
        </w:rPr>
        <w:t>sculpteur</w:t>
      </w:r>
      <w:r>
        <w:rPr>
          <w:color w:val="231F20"/>
          <w:spacing w:val="-11"/>
        </w:rPr>
        <w:t> </w:t>
      </w:r>
      <w:r>
        <w:rPr>
          <w:color w:val="231F20"/>
          <w:spacing w:val="-4"/>
        </w:rPr>
        <w:t>français, empruntant</w:t>
      </w:r>
      <w:r>
        <w:rPr>
          <w:color w:val="231F20"/>
          <w:spacing w:val="-6"/>
        </w:rPr>
        <w:t> </w:t>
      </w:r>
      <w:r>
        <w:rPr>
          <w:color w:val="231F20"/>
          <w:spacing w:val="-4"/>
        </w:rPr>
        <w:t>le</w:t>
      </w:r>
      <w:r>
        <w:rPr>
          <w:color w:val="231F20"/>
          <w:spacing w:val="-8"/>
        </w:rPr>
        <w:t> </w:t>
      </w:r>
      <w:r>
        <w:rPr>
          <w:color w:val="231F20"/>
          <w:spacing w:val="-4"/>
        </w:rPr>
        <w:t>symbole</w:t>
      </w:r>
      <w:r>
        <w:rPr>
          <w:color w:val="231F20"/>
          <w:spacing w:val="-6"/>
        </w:rPr>
        <w:t> </w:t>
      </w:r>
      <w:r>
        <w:rPr>
          <w:color w:val="231F20"/>
          <w:spacing w:val="-4"/>
        </w:rPr>
        <w:t>de</w:t>
      </w:r>
      <w:r>
        <w:rPr>
          <w:color w:val="231F20"/>
          <w:spacing w:val="-8"/>
        </w:rPr>
        <w:t> </w:t>
      </w:r>
      <w:r>
        <w:rPr>
          <w:color w:val="231F20"/>
          <w:spacing w:val="-4"/>
        </w:rPr>
        <w:t>l’aigle</w:t>
      </w:r>
      <w:r>
        <w:rPr>
          <w:color w:val="231F20"/>
          <w:spacing w:val="-6"/>
        </w:rPr>
        <w:t> </w:t>
      </w:r>
      <w:r>
        <w:rPr>
          <w:color w:val="231F20"/>
          <w:spacing w:val="-4"/>
        </w:rPr>
        <w:t>à</w:t>
      </w:r>
      <w:r>
        <w:rPr>
          <w:color w:val="231F20"/>
          <w:spacing w:val="-7"/>
        </w:rPr>
        <w:t> </w:t>
      </w:r>
      <w:r>
        <w:rPr>
          <w:color w:val="231F20"/>
          <w:spacing w:val="-4"/>
        </w:rPr>
        <w:t>Napoléon.</w:t>
      </w:r>
      <w:r>
        <w:rPr>
          <w:color w:val="231F20"/>
          <w:spacing w:val="-6"/>
        </w:rPr>
        <w:t> </w:t>
      </w:r>
      <w:r>
        <w:rPr>
          <w:color w:val="231F20"/>
          <w:spacing w:val="-4"/>
        </w:rPr>
        <w:t>La</w:t>
      </w:r>
      <w:r>
        <w:rPr>
          <w:color w:val="231F20"/>
          <w:spacing w:val="-6"/>
        </w:rPr>
        <w:t> </w:t>
      </w:r>
      <w:r>
        <w:rPr>
          <w:color w:val="231F20"/>
          <w:spacing w:val="-4"/>
        </w:rPr>
        <w:t>garde-robe</w:t>
      </w:r>
      <w:r>
        <w:rPr>
          <w:color w:val="231F20"/>
          <w:spacing w:val="-6"/>
        </w:rPr>
        <w:t> </w:t>
      </w:r>
      <w:r>
        <w:rPr>
          <w:color w:val="231F20"/>
          <w:spacing w:val="-4"/>
        </w:rPr>
        <w:t>impériale</w:t>
      </w:r>
      <w:r>
        <w:rPr>
          <w:color w:val="231F20"/>
          <w:spacing w:val="-5"/>
        </w:rPr>
        <w:t> </w:t>
      </w:r>
      <w:r>
        <w:rPr>
          <w:color w:val="231F20"/>
          <w:spacing w:val="-4"/>
        </w:rPr>
        <w:t>est </w:t>
      </w:r>
      <w:r>
        <w:rPr>
          <w:color w:val="231F20"/>
        </w:rPr>
        <w:t>l’œuvre d’un grand couturier français. La couronne en or pur est confectionnée par un joaillier français …</w:t>
      </w:r>
    </w:p>
    <w:p>
      <w:pPr>
        <w:pStyle w:val="BodyText"/>
        <w:spacing w:before="121"/>
        <w:ind w:right="111" w:firstLine="283"/>
      </w:pPr>
      <w:r>
        <w:rPr>
          <w:color w:val="231F20"/>
        </w:rPr>
        <w:t>À la fin de la cérémonie, le nouvel empereur remonte les rues de Bangui</w:t>
      </w:r>
      <w:r>
        <w:rPr>
          <w:color w:val="231F20"/>
          <w:spacing w:val="-10"/>
        </w:rPr>
        <w:t> </w:t>
      </w:r>
      <w:r>
        <w:rPr>
          <w:color w:val="231F20"/>
        </w:rPr>
        <w:t>à</w:t>
      </w:r>
      <w:r>
        <w:rPr>
          <w:color w:val="231F20"/>
          <w:spacing w:val="-13"/>
        </w:rPr>
        <w:t> </w:t>
      </w:r>
      <w:r>
        <w:rPr>
          <w:color w:val="231F20"/>
        </w:rPr>
        <w:t>bord</w:t>
      </w:r>
      <w:r>
        <w:rPr>
          <w:color w:val="231F20"/>
          <w:spacing w:val="-12"/>
        </w:rPr>
        <w:t> </w:t>
      </w:r>
      <w:r>
        <w:rPr>
          <w:color w:val="231F20"/>
        </w:rPr>
        <w:t>d’un</w:t>
      </w:r>
      <w:r>
        <w:rPr>
          <w:color w:val="231F20"/>
          <w:spacing w:val="-12"/>
        </w:rPr>
        <w:t> </w:t>
      </w:r>
      <w:r>
        <w:rPr>
          <w:color w:val="231F20"/>
        </w:rPr>
        <w:t>carrosse</w:t>
      </w:r>
      <w:r>
        <w:rPr>
          <w:color w:val="231F20"/>
          <w:spacing w:val="-10"/>
        </w:rPr>
        <w:t> </w:t>
      </w:r>
      <w:r>
        <w:rPr>
          <w:color w:val="231F20"/>
        </w:rPr>
        <w:t>de</w:t>
      </w:r>
      <w:r>
        <w:rPr>
          <w:color w:val="231F20"/>
          <w:spacing w:val="-13"/>
        </w:rPr>
        <w:t> </w:t>
      </w:r>
      <w:r>
        <w:rPr>
          <w:color w:val="231F20"/>
        </w:rPr>
        <w:t>bronze</w:t>
      </w:r>
      <w:r>
        <w:rPr>
          <w:color w:val="231F20"/>
          <w:spacing w:val="-13"/>
        </w:rPr>
        <w:t> </w:t>
      </w:r>
      <w:r>
        <w:rPr>
          <w:color w:val="231F20"/>
        </w:rPr>
        <w:t>et</w:t>
      </w:r>
      <w:r>
        <w:rPr>
          <w:color w:val="231F20"/>
          <w:spacing w:val="-13"/>
        </w:rPr>
        <w:t> </w:t>
      </w:r>
      <w:r>
        <w:rPr>
          <w:color w:val="231F20"/>
        </w:rPr>
        <w:t>d’or</w:t>
      </w:r>
      <w:r>
        <w:rPr>
          <w:color w:val="231F20"/>
          <w:spacing w:val="-13"/>
        </w:rPr>
        <w:t> </w:t>
      </w:r>
      <w:r>
        <w:rPr>
          <w:color w:val="231F20"/>
        </w:rPr>
        <w:t>par</w:t>
      </w:r>
      <w:r>
        <w:rPr>
          <w:color w:val="231F20"/>
          <w:spacing w:val="-13"/>
        </w:rPr>
        <w:t> </w:t>
      </w:r>
      <w:r>
        <w:rPr>
          <w:color w:val="231F20"/>
        </w:rPr>
        <w:t>huit</w:t>
      </w:r>
      <w:r>
        <w:rPr>
          <w:color w:val="231F20"/>
          <w:spacing w:val="-12"/>
        </w:rPr>
        <w:t> </w:t>
      </w:r>
      <w:r>
        <w:rPr>
          <w:color w:val="231F20"/>
        </w:rPr>
        <w:t>chevaux</w:t>
      </w:r>
      <w:r>
        <w:rPr>
          <w:color w:val="231F20"/>
          <w:spacing w:val="-12"/>
        </w:rPr>
        <w:t> </w:t>
      </w:r>
      <w:r>
        <w:rPr>
          <w:color w:val="231F20"/>
        </w:rPr>
        <w:t>envoyés par l’Élysée</w:t>
      </w:r>
      <w:r>
        <w:rPr>
          <w:color w:val="231F20"/>
          <w:vertAlign w:val="superscript"/>
        </w:rPr>
        <w:t>62</w:t>
      </w:r>
      <w:r>
        <w:rPr>
          <w:color w:val="231F20"/>
          <w:vertAlign w:val="baseline"/>
        </w:rPr>
        <w:t>.</w:t>
      </w:r>
    </w:p>
    <w:p>
      <w:pPr>
        <w:pStyle w:val="BodyText"/>
        <w:spacing w:before="120"/>
        <w:ind w:right="108" w:firstLine="283"/>
      </w:pPr>
      <w:r>
        <w:rPr>
          <w:color w:val="231F20"/>
        </w:rPr>
        <w:t>Lorsque</w:t>
      </w:r>
      <w:r>
        <w:rPr>
          <w:color w:val="231F20"/>
          <w:spacing w:val="-5"/>
        </w:rPr>
        <w:t> </w:t>
      </w:r>
      <w:r>
        <w:rPr>
          <w:color w:val="231F20"/>
        </w:rPr>
        <w:t>Paris</w:t>
      </w:r>
      <w:r>
        <w:rPr>
          <w:color w:val="231F20"/>
          <w:spacing w:val="-2"/>
        </w:rPr>
        <w:t> </w:t>
      </w:r>
      <w:r>
        <w:rPr>
          <w:color w:val="231F20"/>
        </w:rPr>
        <w:t>constate</w:t>
      </w:r>
      <w:r>
        <w:rPr>
          <w:color w:val="231F20"/>
          <w:spacing w:val="-2"/>
        </w:rPr>
        <w:t> </w:t>
      </w:r>
      <w:r>
        <w:rPr>
          <w:color w:val="231F20"/>
        </w:rPr>
        <w:t>que</w:t>
      </w:r>
      <w:r>
        <w:rPr>
          <w:color w:val="231F20"/>
          <w:spacing w:val="-2"/>
        </w:rPr>
        <w:t> </w:t>
      </w:r>
      <w:r>
        <w:rPr>
          <w:color w:val="231F20"/>
        </w:rPr>
        <w:t>Bokassa</w:t>
      </w:r>
      <w:r>
        <w:rPr>
          <w:color w:val="231F20"/>
          <w:spacing w:val="-4"/>
        </w:rPr>
        <w:t> </w:t>
      </w:r>
      <w:r>
        <w:rPr>
          <w:color w:val="231F20"/>
        </w:rPr>
        <w:t>se</w:t>
      </w:r>
      <w:r>
        <w:rPr>
          <w:color w:val="231F20"/>
          <w:spacing w:val="-1"/>
        </w:rPr>
        <w:t> </w:t>
      </w:r>
      <w:r>
        <w:rPr>
          <w:color w:val="231F20"/>
        </w:rPr>
        <w:t>rapproche</w:t>
      </w:r>
      <w:r>
        <w:rPr>
          <w:color w:val="231F20"/>
          <w:spacing w:val="-2"/>
        </w:rPr>
        <w:t> </w:t>
      </w:r>
      <w:r>
        <w:rPr>
          <w:color w:val="231F20"/>
        </w:rPr>
        <w:t>de</w:t>
      </w:r>
      <w:r>
        <w:rPr>
          <w:color w:val="231F20"/>
          <w:spacing w:val="-2"/>
        </w:rPr>
        <w:t> </w:t>
      </w:r>
      <w:r>
        <w:rPr>
          <w:color w:val="231F20"/>
        </w:rPr>
        <w:t>plus</w:t>
      </w:r>
      <w:r>
        <w:rPr>
          <w:color w:val="231F20"/>
          <w:spacing w:val="-2"/>
        </w:rPr>
        <w:t> </w:t>
      </w:r>
      <w:r>
        <w:rPr>
          <w:color w:val="231F20"/>
        </w:rPr>
        <w:t>en</w:t>
      </w:r>
      <w:r>
        <w:rPr>
          <w:color w:val="231F20"/>
          <w:spacing w:val="-4"/>
        </w:rPr>
        <w:t> </w:t>
      </w:r>
      <w:r>
        <w:rPr>
          <w:color w:val="231F20"/>
        </w:rPr>
        <w:t>plus</w:t>
      </w:r>
      <w:r>
        <w:rPr>
          <w:color w:val="231F20"/>
          <w:spacing w:val="-4"/>
        </w:rPr>
        <w:t> </w:t>
      </w:r>
      <w:r>
        <w:rPr>
          <w:color w:val="231F20"/>
        </w:rPr>
        <w:t>du leader libyen Kadhafi dont la politique au Tchad est en contradiction complète</w:t>
      </w:r>
      <w:r>
        <w:rPr>
          <w:color w:val="231F20"/>
          <w:spacing w:val="-6"/>
        </w:rPr>
        <w:t> </w:t>
      </w:r>
      <w:r>
        <w:rPr>
          <w:color w:val="231F20"/>
        </w:rPr>
        <w:t>avec</w:t>
      </w:r>
      <w:r>
        <w:rPr>
          <w:color w:val="231F20"/>
          <w:spacing w:val="-7"/>
        </w:rPr>
        <w:t> </w:t>
      </w:r>
      <w:r>
        <w:rPr>
          <w:color w:val="231F20"/>
        </w:rPr>
        <w:t>les</w:t>
      </w:r>
      <w:r>
        <w:rPr>
          <w:color w:val="231F20"/>
          <w:spacing w:val="-5"/>
        </w:rPr>
        <w:t> </w:t>
      </w:r>
      <w:r>
        <w:rPr>
          <w:color w:val="231F20"/>
        </w:rPr>
        <w:t>intérêts</w:t>
      </w:r>
      <w:r>
        <w:rPr>
          <w:color w:val="231F20"/>
          <w:spacing w:val="-6"/>
        </w:rPr>
        <w:t> </w:t>
      </w:r>
      <w:r>
        <w:rPr>
          <w:color w:val="231F20"/>
        </w:rPr>
        <w:t>français,</w:t>
      </w:r>
      <w:r>
        <w:rPr>
          <w:color w:val="231F20"/>
          <w:spacing w:val="-5"/>
        </w:rPr>
        <w:t> </w:t>
      </w:r>
      <w:r>
        <w:rPr>
          <w:color w:val="231F20"/>
        </w:rPr>
        <w:t>Paris</w:t>
      </w:r>
      <w:r>
        <w:rPr>
          <w:color w:val="231F20"/>
          <w:spacing w:val="-6"/>
        </w:rPr>
        <w:t> </w:t>
      </w:r>
      <w:r>
        <w:rPr>
          <w:color w:val="231F20"/>
        </w:rPr>
        <w:t>décide</w:t>
      </w:r>
      <w:r>
        <w:rPr>
          <w:color w:val="231F20"/>
          <w:spacing w:val="-6"/>
        </w:rPr>
        <w:t> </w:t>
      </w:r>
      <w:r>
        <w:rPr>
          <w:color w:val="231F20"/>
        </w:rPr>
        <w:t>de</w:t>
      </w:r>
      <w:r>
        <w:rPr>
          <w:color w:val="231F20"/>
          <w:spacing w:val="-4"/>
        </w:rPr>
        <w:t> </w:t>
      </w:r>
      <w:r>
        <w:rPr>
          <w:color w:val="231F20"/>
        </w:rPr>
        <w:t>s’en</w:t>
      </w:r>
      <w:r>
        <w:rPr>
          <w:color w:val="231F20"/>
          <w:spacing w:val="-6"/>
        </w:rPr>
        <w:t> </w:t>
      </w:r>
      <w:r>
        <w:rPr>
          <w:color w:val="231F20"/>
        </w:rPr>
        <w:t>débarrasser</w:t>
      </w:r>
      <w:r>
        <w:rPr>
          <w:color w:val="231F20"/>
          <w:spacing w:val="-15"/>
        </w:rPr>
        <w:t> </w:t>
      </w:r>
      <w:r>
        <w:rPr>
          <w:color w:val="231F20"/>
        </w:rPr>
        <w:t>:</w:t>
      </w:r>
      <w:r>
        <w:rPr>
          <w:color w:val="231F20"/>
          <w:spacing w:val="-5"/>
        </w:rPr>
        <w:t> </w:t>
      </w:r>
      <w:r>
        <w:rPr>
          <w:color w:val="231F20"/>
        </w:rPr>
        <w:t>la </w:t>
      </w:r>
      <w:r>
        <w:rPr>
          <w:color w:val="231F20"/>
          <w:spacing w:val="-4"/>
        </w:rPr>
        <w:t>presse française</w:t>
      </w:r>
      <w:r>
        <w:rPr>
          <w:color w:val="231F20"/>
          <w:spacing w:val="-5"/>
        </w:rPr>
        <w:t> </w:t>
      </w:r>
      <w:r>
        <w:rPr>
          <w:color w:val="231F20"/>
          <w:spacing w:val="-4"/>
        </w:rPr>
        <w:t>le présente comme</w:t>
      </w:r>
      <w:r>
        <w:rPr>
          <w:color w:val="231F20"/>
          <w:spacing w:val="-5"/>
        </w:rPr>
        <w:t> </w:t>
      </w:r>
      <w:r>
        <w:rPr>
          <w:color w:val="231F20"/>
          <w:spacing w:val="-4"/>
        </w:rPr>
        <w:t>un dictateur sanguinaire. Les services secrets</w:t>
      </w:r>
      <w:r>
        <w:rPr>
          <w:color w:val="231F20"/>
          <w:spacing w:val="-5"/>
        </w:rPr>
        <w:t> </w:t>
      </w:r>
      <w:r>
        <w:rPr>
          <w:color w:val="231F20"/>
          <w:spacing w:val="-4"/>
        </w:rPr>
        <w:t>français,</w:t>
      </w:r>
      <w:r>
        <w:rPr>
          <w:color w:val="231F20"/>
          <w:spacing w:val="-8"/>
        </w:rPr>
        <w:t> </w:t>
      </w:r>
      <w:r>
        <w:rPr>
          <w:color w:val="231F20"/>
          <w:spacing w:val="-4"/>
        </w:rPr>
        <w:t>le</w:t>
      </w:r>
      <w:r>
        <w:rPr>
          <w:color w:val="231F20"/>
          <w:spacing w:val="-8"/>
        </w:rPr>
        <w:t> </w:t>
      </w:r>
      <w:r>
        <w:rPr>
          <w:color w:val="231F20"/>
          <w:spacing w:val="-4"/>
        </w:rPr>
        <w:t>font</w:t>
      </w:r>
      <w:r>
        <w:rPr>
          <w:color w:val="231F20"/>
          <w:spacing w:val="-6"/>
        </w:rPr>
        <w:t> </w:t>
      </w:r>
      <w:r>
        <w:rPr>
          <w:color w:val="231F20"/>
          <w:spacing w:val="-4"/>
        </w:rPr>
        <w:t>passer</w:t>
      </w:r>
      <w:r>
        <w:rPr>
          <w:color w:val="231F20"/>
          <w:spacing w:val="-5"/>
        </w:rPr>
        <w:t> </w:t>
      </w:r>
      <w:r>
        <w:rPr>
          <w:color w:val="231F20"/>
          <w:spacing w:val="-4"/>
        </w:rPr>
        <w:t>pour</w:t>
      </w:r>
      <w:r>
        <w:rPr>
          <w:color w:val="231F20"/>
          <w:spacing w:val="-7"/>
        </w:rPr>
        <w:t> </w:t>
      </w:r>
      <w:r>
        <w:rPr>
          <w:color w:val="231F20"/>
          <w:spacing w:val="-4"/>
        </w:rPr>
        <w:t>un</w:t>
      </w:r>
      <w:r>
        <w:rPr>
          <w:color w:val="231F20"/>
          <w:spacing w:val="-5"/>
        </w:rPr>
        <w:t> </w:t>
      </w:r>
      <w:r>
        <w:rPr>
          <w:color w:val="231F20"/>
          <w:spacing w:val="-4"/>
        </w:rPr>
        <w:t>cannibale.</w:t>
      </w:r>
      <w:r>
        <w:rPr>
          <w:color w:val="231F20"/>
          <w:spacing w:val="-7"/>
        </w:rPr>
        <w:t> </w:t>
      </w:r>
      <w:r>
        <w:rPr>
          <w:color w:val="231F20"/>
          <w:spacing w:val="-4"/>
        </w:rPr>
        <w:t>«</w:t>
      </w:r>
      <w:r>
        <w:rPr>
          <w:color w:val="231F20"/>
          <w:spacing w:val="1"/>
        </w:rPr>
        <w:t> </w:t>
      </w:r>
      <w:r>
        <w:rPr>
          <w:color w:val="231F20"/>
          <w:spacing w:val="-4"/>
        </w:rPr>
        <w:t>L’Opération</w:t>
      </w:r>
      <w:r>
        <w:rPr>
          <w:color w:val="231F20"/>
          <w:spacing w:val="-9"/>
        </w:rPr>
        <w:t> </w:t>
      </w:r>
      <w:r>
        <w:rPr>
          <w:color w:val="231F20"/>
          <w:spacing w:val="-4"/>
        </w:rPr>
        <w:t>Ca-Ban</w:t>
      </w:r>
      <w:r>
        <w:rPr>
          <w:color w:val="231F20"/>
          <w:spacing w:val="-4"/>
          <w:vertAlign w:val="superscript"/>
        </w:rPr>
        <w:t>63</w:t>
      </w:r>
    </w:p>
    <w:p>
      <w:pPr>
        <w:pStyle w:val="BodyText"/>
      </w:pPr>
      <w:r>
        <w:rPr>
          <w:color w:val="231F20"/>
        </w:rPr>
        <w:t>»</w:t>
      </w:r>
      <w:r>
        <w:rPr>
          <w:color w:val="231F20"/>
          <w:spacing w:val="-10"/>
        </w:rPr>
        <w:t> </w:t>
      </w:r>
      <w:r>
        <w:rPr>
          <w:color w:val="231F20"/>
        </w:rPr>
        <w:t>est</w:t>
      </w:r>
      <w:r>
        <w:rPr>
          <w:color w:val="231F20"/>
          <w:spacing w:val="-9"/>
        </w:rPr>
        <w:t> </w:t>
      </w:r>
      <w:r>
        <w:rPr>
          <w:color w:val="231F20"/>
          <w:spacing w:val="-2"/>
        </w:rPr>
        <w:t>organisée.</w:t>
      </w:r>
    </w:p>
    <w:p>
      <w:pPr>
        <w:pStyle w:val="BodyText"/>
        <w:spacing w:before="120"/>
        <w:ind w:right="107" w:firstLine="283"/>
      </w:pPr>
      <w:r>
        <w:rPr>
          <w:color w:val="231F20"/>
        </w:rPr>
        <w:t>Le</w:t>
      </w:r>
      <w:r>
        <w:rPr>
          <w:color w:val="231F20"/>
          <w:spacing w:val="-8"/>
        </w:rPr>
        <w:t> </w:t>
      </w:r>
      <w:r>
        <w:rPr>
          <w:color w:val="231F20"/>
        </w:rPr>
        <w:t>20</w:t>
      </w:r>
      <w:r>
        <w:rPr>
          <w:color w:val="231F20"/>
          <w:spacing w:val="-10"/>
        </w:rPr>
        <w:t> </w:t>
      </w:r>
      <w:r>
        <w:rPr>
          <w:color w:val="231F20"/>
        </w:rPr>
        <w:t>septembre</w:t>
      </w:r>
      <w:r>
        <w:rPr>
          <w:color w:val="231F20"/>
          <w:spacing w:val="-10"/>
        </w:rPr>
        <w:t> </w:t>
      </w:r>
      <w:r>
        <w:rPr>
          <w:color w:val="231F20"/>
        </w:rPr>
        <w:t>1979,</w:t>
      </w:r>
      <w:r>
        <w:rPr>
          <w:color w:val="231F20"/>
          <w:spacing w:val="-10"/>
        </w:rPr>
        <w:t> </w:t>
      </w:r>
      <w:r>
        <w:rPr>
          <w:color w:val="231F20"/>
        </w:rPr>
        <w:t>un</w:t>
      </w:r>
      <w:r>
        <w:rPr>
          <w:color w:val="231F20"/>
          <w:spacing w:val="-8"/>
        </w:rPr>
        <w:t> </w:t>
      </w:r>
      <w:r>
        <w:rPr>
          <w:color w:val="231F20"/>
        </w:rPr>
        <w:t>commando</w:t>
      </w:r>
      <w:r>
        <w:rPr>
          <w:color w:val="231F20"/>
          <w:spacing w:val="-11"/>
        </w:rPr>
        <w:t> </w:t>
      </w:r>
      <w:r>
        <w:rPr>
          <w:color w:val="231F20"/>
        </w:rPr>
        <w:t>infiltré</w:t>
      </w:r>
      <w:r>
        <w:rPr>
          <w:color w:val="231F20"/>
          <w:spacing w:val="-10"/>
        </w:rPr>
        <w:t> </w:t>
      </w:r>
      <w:r>
        <w:rPr>
          <w:color w:val="231F20"/>
        </w:rPr>
        <w:t>remet</w:t>
      </w:r>
      <w:r>
        <w:rPr>
          <w:color w:val="231F20"/>
          <w:spacing w:val="-8"/>
        </w:rPr>
        <w:t> </w:t>
      </w:r>
      <w:r>
        <w:rPr>
          <w:color w:val="231F20"/>
        </w:rPr>
        <w:t>aux</w:t>
      </w:r>
      <w:r>
        <w:rPr>
          <w:color w:val="231F20"/>
          <w:spacing w:val="-10"/>
        </w:rPr>
        <w:t> </w:t>
      </w:r>
      <w:r>
        <w:rPr>
          <w:color w:val="231F20"/>
        </w:rPr>
        <w:t>alentours</w:t>
      </w:r>
      <w:r>
        <w:rPr>
          <w:color w:val="231F20"/>
          <w:spacing w:val="-10"/>
        </w:rPr>
        <w:t> </w:t>
      </w:r>
      <w:r>
        <w:rPr>
          <w:color w:val="231F20"/>
        </w:rPr>
        <w:t>de minuit et demi, l’ancien président David Dacko au pouvoir. Dacko </w:t>
      </w:r>
      <w:r>
        <w:rPr>
          <w:color w:val="231F20"/>
          <w:spacing w:val="-2"/>
        </w:rPr>
        <w:t>annonce</w:t>
      </w:r>
      <w:r>
        <w:rPr>
          <w:color w:val="231F20"/>
          <w:spacing w:val="-8"/>
        </w:rPr>
        <w:t> </w:t>
      </w:r>
      <w:r>
        <w:rPr>
          <w:color w:val="231F20"/>
          <w:spacing w:val="-2"/>
        </w:rPr>
        <w:t>officiellement</w:t>
      </w:r>
      <w:r>
        <w:rPr>
          <w:color w:val="231F20"/>
          <w:spacing w:val="-7"/>
        </w:rPr>
        <w:t> </w:t>
      </w:r>
      <w:r>
        <w:rPr>
          <w:color w:val="231F20"/>
          <w:spacing w:val="-2"/>
        </w:rPr>
        <w:t>la</w:t>
      </w:r>
      <w:r>
        <w:rPr>
          <w:color w:val="231F20"/>
          <w:spacing w:val="-10"/>
        </w:rPr>
        <w:t> </w:t>
      </w:r>
      <w:r>
        <w:rPr>
          <w:color w:val="231F20"/>
          <w:spacing w:val="-2"/>
        </w:rPr>
        <w:t>chute</w:t>
      </w:r>
      <w:r>
        <w:rPr>
          <w:color w:val="231F20"/>
          <w:spacing w:val="-7"/>
        </w:rPr>
        <w:t> </w:t>
      </w:r>
      <w:r>
        <w:rPr>
          <w:color w:val="231F20"/>
          <w:spacing w:val="-2"/>
        </w:rPr>
        <w:t>de</w:t>
      </w:r>
      <w:r>
        <w:rPr>
          <w:color w:val="231F20"/>
          <w:spacing w:val="-8"/>
        </w:rPr>
        <w:t> </w:t>
      </w:r>
      <w:r>
        <w:rPr>
          <w:color w:val="231F20"/>
          <w:spacing w:val="-2"/>
        </w:rPr>
        <w:t>l’Empire</w:t>
      </w:r>
      <w:r>
        <w:rPr>
          <w:color w:val="231F20"/>
          <w:spacing w:val="-8"/>
        </w:rPr>
        <w:t> </w:t>
      </w:r>
      <w:r>
        <w:rPr>
          <w:color w:val="231F20"/>
          <w:spacing w:val="-2"/>
        </w:rPr>
        <w:t>Centrafricain</w:t>
      </w:r>
      <w:r>
        <w:rPr>
          <w:color w:val="231F20"/>
          <w:spacing w:val="-8"/>
        </w:rPr>
        <w:t> </w:t>
      </w:r>
      <w:r>
        <w:rPr>
          <w:color w:val="231F20"/>
          <w:spacing w:val="-2"/>
        </w:rPr>
        <w:t>et</w:t>
      </w:r>
      <w:r>
        <w:rPr>
          <w:color w:val="231F20"/>
          <w:spacing w:val="-7"/>
        </w:rPr>
        <w:t> </w:t>
      </w:r>
      <w:r>
        <w:rPr>
          <w:color w:val="231F20"/>
          <w:spacing w:val="-2"/>
        </w:rPr>
        <w:t>proclame</w:t>
      </w:r>
      <w:r>
        <w:rPr>
          <w:color w:val="231F20"/>
          <w:spacing w:val="-9"/>
        </w:rPr>
        <w:t> </w:t>
      </w:r>
      <w:r>
        <w:rPr>
          <w:color w:val="231F20"/>
          <w:spacing w:val="-2"/>
        </w:rPr>
        <w:t>le </w:t>
      </w:r>
      <w:r>
        <w:rPr>
          <w:color w:val="231F20"/>
        </w:rPr>
        <w:t>rétablissement de la République.</w:t>
      </w:r>
    </w:p>
    <w:p>
      <w:pPr>
        <w:pStyle w:val="BodyText"/>
        <w:spacing w:before="121"/>
        <w:ind w:right="106" w:firstLine="283"/>
      </w:pPr>
      <w:r>
        <w:rPr>
          <w:color w:val="231F20"/>
        </w:rPr>
        <w:t>Le 1er septembre 1981, David Dacko est chassé du pouvoir par le général André Kolingba.</w:t>
      </w:r>
      <w:r>
        <w:rPr>
          <w:color w:val="231F20"/>
          <w:spacing w:val="-1"/>
        </w:rPr>
        <w:t> </w:t>
      </w:r>
      <w:r>
        <w:rPr>
          <w:color w:val="231F20"/>
        </w:rPr>
        <w:t>C’est un officier formé à</w:t>
      </w:r>
      <w:r>
        <w:rPr>
          <w:color w:val="231F20"/>
          <w:spacing w:val="-2"/>
        </w:rPr>
        <w:t> </w:t>
      </w:r>
      <w:r>
        <w:rPr>
          <w:color w:val="231F20"/>
        </w:rPr>
        <w:t>l’école des officiers </w:t>
      </w:r>
      <w:r>
        <w:rPr>
          <w:color w:val="231F20"/>
          <w:spacing w:val="-2"/>
        </w:rPr>
        <w:t>d’active</w:t>
      </w:r>
      <w:r>
        <w:rPr>
          <w:color w:val="231F20"/>
          <w:spacing w:val="-8"/>
        </w:rPr>
        <w:t> </w:t>
      </w:r>
      <w:r>
        <w:rPr>
          <w:color w:val="231F20"/>
          <w:spacing w:val="-2"/>
        </w:rPr>
        <w:t>de</w:t>
      </w:r>
      <w:r>
        <w:rPr>
          <w:color w:val="231F20"/>
          <w:spacing w:val="-6"/>
        </w:rPr>
        <w:t> </w:t>
      </w:r>
      <w:r>
        <w:rPr>
          <w:color w:val="231F20"/>
          <w:spacing w:val="-2"/>
        </w:rPr>
        <w:t>Fréjus</w:t>
      </w:r>
      <w:r>
        <w:rPr>
          <w:color w:val="231F20"/>
          <w:spacing w:val="-8"/>
        </w:rPr>
        <w:t> </w:t>
      </w:r>
      <w:r>
        <w:rPr>
          <w:color w:val="231F20"/>
          <w:spacing w:val="-2"/>
        </w:rPr>
        <w:t>et</w:t>
      </w:r>
      <w:r>
        <w:rPr>
          <w:color w:val="231F20"/>
          <w:spacing w:val="-6"/>
        </w:rPr>
        <w:t> </w:t>
      </w:r>
      <w:r>
        <w:rPr>
          <w:color w:val="231F20"/>
          <w:spacing w:val="-2"/>
        </w:rPr>
        <w:t>à</w:t>
      </w:r>
      <w:r>
        <w:rPr>
          <w:color w:val="231F20"/>
          <w:spacing w:val="-9"/>
        </w:rPr>
        <w:t> </w:t>
      </w:r>
      <w:r>
        <w:rPr>
          <w:color w:val="231F20"/>
          <w:spacing w:val="-2"/>
        </w:rPr>
        <w:t>l’école</w:t>
      </w:r>
      <w:r>
        <w:rPr>
          <w:color w:val="231F20"/>
          <w:spacing w:val="-7"/>
        </w:rPr>
        <w:t> </w:t>
      </w:r>
      <w:r>
        <w:rPr>
          <w:color w:val="231F20"/>
          <w:spacing w:val="-2"/>
        </w:rPr>
        <w:t>des</w:t>
      </w:r>
      <w:r>
        <w:rPr>
          <w:color w:val="231F20"/>
          <w:spacing w:val="-8"/>
        </w:rPr>
        <w:t> </w:t>
      </w:r>
      <w:r>
        <w:rPr>
          <w:color w:val="231F20"/>
          <w:spacing w:val="-2"/>
        </w:rPr>
        <w:t>transmissions</w:t>
      </w:r>
      <w:r>
        <w:rPr>
          <w:color w:val="231F20"/>
          <w:spacing w:val="-8"/>
        </w:rPr>
        <w:t> </w:t>
      </w:r>
      <w:r>
        <w:rPr>
          <w:color w:val="231F20"/>
          <w:spacing w:val="-2"/>
        </w:rPr>
        <w:t>de</w:t>
      </w:r>
      <w:r>
        <w:rPr>
          <w:color w:val="231F20"/>
          <w:spacing w:val="-8"/>
        </w:rPr>
        <w:t> </w:t>
      </w:r>
      <w:r>
        <w:rPr>
          <w:color w:val="231F20"/>
          <w:spacing w:val="-2"/>
        </w:rPr>
        <w:t>Montargis</w:t>
      </w:r>
      <w:r>
        <w:rPr>
          <w:color w:val="231F20"/>
          <w:spacing w:val="-6"/>
        </w:rPr>
        <w:t> </w:t>
      </w:r>
      <w:r>
        <w:rPr>
          <w:color w:val="231F20"/>
          <w:spacing w:val="-2"/>
        </w:rPr>
        <w:t>en</w:t>
      </w:r>
      <w:r>
        <w:rPr>
          <w:color w:val="231F20"/>
          <w:spacing w:val="-4"/>
        </w:rPr>
        <w:t> </w:t>
      </w:r>
      <w:r>
        <w:rPr>
          <w:color w:val="231F20"/>
          <w:spacing w:val="-2"/>
        </w:rPr>
        <w:t>France. </w:t>
      </w:r>
      <w:r>
        <w:rPr>
          <w:color w:val="231F20"/>
        </w:rPr>
        <w:t>Il établit un régime militaire.</w:t>
      </w:r>
    </w:p>
    <w:p>
      <w:pPr>
        <w:pStyle w:val="BodyText"/>
        <w:spacing w:before="120"/>
        <w:ind w:right="104" w:firstLine="283"/>
      </w:pPr>
      <w:r>
        <w:rPr>
          <w:color w:val="231F20"/>
        </w:rPr>
        <w:t>En</w:t>
      </w:r>
      <w:r>
        <w:rPr>
          <w:color w:val="231F20"/>
          <w:spacing w:val="-7"/>
        </w:rPr>
        <w:t> </w:t>
      </w:r>
      <w:r>
        <w:rPr>
          <w:color w:val="231F20"/>
        </w:rPr>
        <w:t>1993,</w:t>
      </w:r>
      <w:r>
        <w:rPr>
          <w:color w:val="231F20"/>
          <w:spacing w:val="-9"/>
        </w:rPr>
        <w:t> </w:t>
      </w:r>
      <w:r>
        <w:rPr>
          <w:color w:val="231F20"/>
        </w:rPr>
        <w:t>les</w:t>
      </w:r>
      <w:r>
        <w:rPr>
          <w:color w:val="231F20"/>
          <w:spacing w:val="-9"/>
        </w:rPr>
        <w:t> </w:t>
      </w:r>
      <w:r>
        <w:rPr>
          <w:color w:val="231F20"/>
        </w:rPr>
        <w:t>premières</w:t>
      </w:r>
      <w:r>
        <w:rPr>
          <w:color w:val="231F20"/>
          <w:spacing w:val="-7"/>
        </w:rPr>
        <w:t> </w:t>
      </w:r>
      <w:r>
        <w:rPr>
          <w:color w:val="231F20"/>
        </w:rPr>
        <w:t>élections</w:t>
      </w:r>
      <w:r>
        <w:rPr>
          <w:color w:val="231F20"/>
          <w:spacing w:val="-9"/>
        </w:rPr>
        <w:t> </w:t>
      </w:r>
      <w:r>
        <w:rPr>
          <w:color w:val="231F20"/>
        </w:rPr>
        <w:t>multipartites</w:t>
      </w:r>
      <w:r>
        <w:rPr>
          <w:color w:val="231F20"/>
          <w:spacing w:val="-9"/>
        </w:rPr>
        <w:t> </w:t>
      </w:r>
      <w:r>
        <w:rPr>
          <w:color w:val="231F20"/>
        </w:rPr>
        <w:t>ont</w:t>
      </w:r>
      <w:r>
        <w:rPr>
          <w:color w:val="231F20"/>
          <w:spacing w:val="-8"/>
        </w:rPr>
        <w:t> </w:t>
      </w:r>
      <w:r>
        <w:rPr>
          <w:color w:val="231F20"/>
        </w:rPr>
        <w:t>lieu</w:t>
      </w:r>
      <w:r>
        <w:rPr>
          <w:color w:val="231F20"/>
          <w:spacing w:val="-7"/>
        </w:rPr>
        <w:t> </w:t>
      </w:r>
      <w:r>
        <w:rPr>
          <w:color w:val="231F20"/>
        </w:rPr>
        <w:t>et</w:t>
      </w:r>
      <w:r>
        <w:rPr>
          <w:color w:val="231F20"/>
          <w:spacing w:val="-8"/>
        </w:rPr>
        <w:t> </w:t>
      </w:r>
      <w:r>
        <w:rPr>
          <w:color w:val="231F20"/>
        </w:rPr>
        <w:t>Ange-Félix Patassé</w:t>
      </w:r>
      <w:r>
        <w:rPr>
          <w:color w:val="231F20"/>
          <w:spacing w:val="-1"/>
        </w:rPr>
        <w:t> </w:t>
      </w:r>
      <w:r>
        <w:rPr>
          <w:color w:val="231F20"/>
        </w:rPr>
        <w:t>est élu Président de la République.</w:t>
      </w:r>
    </w:p>
    <w:p>
      <w:pPr>
        <w:pStyle w:val="BodyText"/>
        <w:ind w:left="0"/>
        <w:jc w:val="left"/>
        <w:rPr>
          <w:sz w:val="20"/>
        </w:rPr>
      </w:pPr>
    </w:p>
    <w:p>
      <w:pPr>
        <w:pStyle w:val="BodyText"/>
        <w:spacing w:before="33"/>
        <w:ind w:left="0"/>
        <w:jc w:val="left"/>
        <w:rPr>
          <w:sz w:val="20"/>
        </w:rPr>
      </w:pPr>
      <w:r>
        <w:rPr/>
        <mc:AlternateContent>
          <mc:Choice Requires="wps">
            <w:drawing>
              <wp:anchor distT="0" distB="0" distL="0" distR="0" allowOverlap="1" layoutInCell="1" locked="0" behindDoc="1" simplePos="0" relativeHeight="487608832">
                <wp:simplePos x="0" y="0"/>
                <wp:positionH relativeFrom="page">
                  <wp:posOffset>629907</wp:posOffset>
                </wp:positionH>
                <wp:positionV relativeFrom="paragraph">
                  <wp:posOffset>182528</wp:posOffset>
                </wp:positionV>
                <wp:extent cx="1829435" cy="9525"/>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372305pt;width:144.020pt;height:.72pt;mso-position-horizontal-relative:page;mso-position-vertical-relative:paragraph;z-index:-15707648;mso-wrap-distance-left:0;mso-wrap-distance-right:0" id="docshape56" filled="true" fillcolor="#231f20" stroked="false">
                <v:fill type="solid"/>
                <w10:wrap type="topAndBottom"/>
              </v:rect>
            </w:pict>
          </mc:Fallback>
        </mc:AlternateContent>
      </w:r>
    </w:p>
    <w:p>
      <w:pPr>
        <w:spacing w:before="91"/>
        <w:ind w:left="111" w:right="0" w:firstLine="0"/>
        <w:jc w:val="left"/>
        <w:rPr>
          <w:sz w:val="20"/>
        </w:rPr>
      </w:pPr>
      <w:r>
        <w:rPr>
          <w:color w:val="76787A"/>
          <w:sz w:val="20"/>
          <w:vertAlign w:val="superscript"/>
        </w:rPr>
        <w:t>61</w:t>
      </w:r>
      <w:r>
        <w:rPr>
          <w:color w:val="48484A"/>
          <w:sz w:val="20"/>
          <w:vertAlign w:val="baseline"/>
        </w:rPr>
        <w:t>Napoléon</w:t>
      </w:r>
      <w:r>
        <w:rPr>
          <w:color w:val="48484A"/>
          <w:spacing w:val="-13"/>
          <w:sz w:val="20"/>
          <w:vertAlign w:val="baseline"/>
        </w:rPr>
        <w:t> </w:t>
      </w:r>
      <w:r>
        <w:rPr>
          <w:color w:val="48484A"/>
          <w:sz w:val="20"/>
          <w:vertAlign w:val="baseline"/>
        </w:rPr>
        <w:t>I</w:t>
      </w:r>
      <w:r>
        <w:rPr>
          <w:color w:val="48484A"/>
          <w:sz w:val="20"/>
          <w:vertAlign w:val="superscript"/>
        </w:rPr>
        <w:t>er</w:t>
      </w:r>
      <w:r>
        <w:rPr>
          <w:color w:val="48484A"/>
          <w:sz w:val="20"/>
          <w:vertAlign w:val="baseline"/>
        </w:rPr>
        <w:t>,</w:t>
      </w:r>
      <w:r>
        <w:rPr>
          <w:color w:val="48484A"/>
          <w:spacing w:val="-5"/>
          <w:sz w:val="20"/>
          <w:vertAlign w:val="baseline"/>
        </w:rPr>
        <w:t> </w:t>
      </w:r>
      <w:r>
        <w:rPr>
          <w:color w:val="48484A"/>
          <w:sz w:val="20"/>
          <w:vertAlign w:val="baseline"/>
        </w:rPr>
        <w:t>né le</w:t>
      </w:r>
      <w:r>
        <w:rPr>
          <w:color w:val="48484A"/>
          <w:spacing w:val="-13"/>
          <w:sz w:val="20"/>
          <w:vertAlign w:val="baseline"/>
        </w:rPr>
        <w:t> </w:t>
      </w:r>
      <w:r>
        <w:rPr>
          <w:color w:val="231F20"/>
          <w:sz w:val="20"/>
          <w:vertAlign w:val="baseline"/>
        </w:rPr>
        <w:t>15 août 1769 </w:t>
      </w:r>
      <w:r>
        <w:rPr>
          <w:color w:val="48484A"/>
          <w:sz w:val="20"/>
          <w:vertAlign w:val="baseline"/>
        </w:rPr>
        <w:t>et</w:t>
      </w:r>
      <w:r>
        <w:rPr>
          <w:color w:val="48484A"/>
          <w:spacing w:val="-2"/>
          <w:sz w:val="20"/>
          <w:vertAlign w:val="baseline"/>
        </w:rPr>
        <w:t> </w:t>
      </w:r>
      <w:r>
        <w:rPr>
          <w:color w:val="48484A"/>
          <w:sz w:val="20"/>
          <w:vertAlign w:val="baseline"/>
        </w:rPr>
        <w:t>mort le</w:t>
      </w:r>
      <w:r>
        <w:rPr>
          <w:color w:val="48484A"/>
          <w:spacing w:val="-13"/>
          <w:sz w:val="20"/>
          <w:vertAlign w:val="baseline"/>
        </w:rPr>
        <w:t> </w:t>
      </w:r>
      <w:r>
        <w:rPr>
          <w:color w:val="231F20"/>
          <w:sz w:val="20"/>
          <w:vertAlign w:val="baseline"/>
        </w:rPr>
        <w:t>5 mai</w:t>
      </w:r>
      <w:r>
        <w:rPr>
          <w:color w:val="231F20"/>
          <w:spacing w:val="-2"/>
          <w:sz w:val="20"/>
          <w:vertAlign w:val="baseline"/>
        </w:rPr>
        <w:t> </w:t>
      </w:r>
      <w:r>
        <w:rPr>
          <w:color w:val="231F20"/>
          <w:sz w:val="20"/>
          <w:vertAlign w:val="baseline"/>
        </w:rPr>
        <w:t>1821</w:t>
      </w:r>
      <w:r>
        <w:rPr>
          <w:color w:val="231F20"/>
          <w:spacing w:val="-13"/>
          <w:sz w:val="20"/>
          <w:vertAlign w:val="baseline"/>
        </w:rPr>
        <w:t> </w:t>
      </w:r>
      <w:r>
        <w:rPr>
          <w:color w:val="48484A"/>
          <w:sz w:val="20"/>
          <w:vertAlign w:val="baseline"/>
        </w:rPr>
        <w:t>, est</w:t>
      </w:r>
      <w:r>
        <w:rPr>
          <w:color w:val="48484A"/>
          <w:spacing w:val="-1"/>
          <w:sz w:val="20"/>
          <w:vertAlign w:val="baseline"/>
        </w:rPr>
        <w:t> </w:t>
      </w:r>
      <w:r>
        <w:rPr>
          <w:color w:val="48484A"/>
          <w:sz w:val="20"/>
          <w:vertAlign w:val="baseline"/>
        </w:rPr>
        <w:t>le premier</w:t>
      </w:r>
      <w:r>
        <w:rPr>
          <w:color w:val="48484A"/>
          <w:spacing w:val="-13"/>
          <w:sz w:val="20"/>
          <w:vertAlign w:val="baseline"/>
        </w:rPr>
        <w:t> </w:t>
      </w:r>
      <w:r>
        <w:rPr>
          <w:color w:val="231F20"/>
          <w:sz w:val="20"/>
          <w:vertAlign w:val="baseline"/>
        </w:rPr>
        <w:t>empereur des Français</w:t>
      </w:r>
      <w:r>
        <w:rPr>
          <w:color w:val="48484A"/>
          <w:sz w:val="20"/>
          <w:vertAlign w:val="baseline"/>
        </w:rPr>
        <w:t>,</w:t>
      </w:r>
      <w:r>
        <w:rPr>
          <w:color w:val="48484A"/>
          <w:spacing w:val="-6"/>
          <w:sz w:val="20"/>
          <w:vertAlign w:val="baseline"/>
        </w:rPr>
        <w:t> </w:t>
      </w:r>
      <w:r>
        <w:rPr>
          <w:color w:val="48484A"/>
          <w:sz w:val="20"/>
          <w:vertAlign w:val="baseline"/>
        </w:rPr>
        <w:t>du</w:t>
      </w:r>
      <w:r>
        <w:rPr>
          <w:color w:val="48484A"/>
          <w:spacing w:val="-5"/>
          <w:sz w:val="20"/>
          <w:vertAlign w:val="baseline"/>
        </w:rPr>
        <w:t> </w:t>
      </w:r>
      <w:r>
        <w:rPr>
          <w:color w:val="231F20"/>
          <w:sz w:val="20"/>
          <w:vertAlign w:val="baseline"/>
        </w:rPr>
        <w:t>18</w:t>
      </w:r>
      <w:r>
        <w:rPr>
          <w:color w:val="231F20"/>
          <w:spacing w:val="-5"/>
          <w:sz w:val="20"/>
          <w:vertAlign w:val="baseline"/>
        </w:rPr>
        <w:t> </w:t>
      </w:r>
      <w:r>
        <w:rPr>
          <w:color w:val="231F20"/>
          <w:sz w:val="20"/>
          <w:vertAlign w:val="baseline"/>
        </w:rPr>
        <w:t>mai</w:t>
      </w:r>
      <w:r>
        <w:rPr>
          <w:color w:val="231F20"/>
          <w:spacing w:val="-6"/>
          <w:sz w:val="20"/>
          <w:vertAlign w:val="baseline"/>
        </w:rPr>
        <w:t> </w:t>
      </w:r>
      <w:r>
        <w:rPr>
          <w:color w:val="231F20"/>
          <w:sz w:val="20"/>
          <w:vertAlign w:val="baseline"/>
        </w:rPr>
        <w:t>1804</w:t>
      </w:r>
      <w:r>
        <w:rPr>
          <w:color w:val="231F20"/>
          <w:spacing w:val="-5"/>
          <w:sz w:val="20"/>
          <w:vertAlign w:val="baseline"/>
        </w:rPr>
        <w:t> </w:t>
      </w:r>
      <w:r>
        <w:rPr>
          <w:color w:val="48484A"/>
          <w:sz w:val="20"/>
          <w:vertAlign w:val="baseline"/>
        </w:rPr>
        <w:t>au</w:t>
      </w:r>
      <w:r>
        <w:rPr>
          <w:color w:val="48484A"/>
          <w:spacing w:val="-5"/>
          <w:sz w:val="20"/>
          <w:vertAlign w:val="baseline"/>
        </w:rPr>
        <w:t> </w:t>
      </w:r>
      <w:r>
        <w:rPr>
          <w:color w:val="231F20"/>
          <w:sz w:val="20"/>
          <w:vertAlign w:val="baseline"/>
        </w:rPr>
        <w:t>6</w:t>
      </w:r>
      <w:r>
        <w:rPr>
          <w:color w:val="231F20"/>
          <w:spacing w:val="-8"/>
          <w:sz w:val="20"/>
          <w:vertAlign w:val="baseline"/>
        </w:rPr>
        <w:t> </w:t>
      </w:r>
      <w:r>
        <w:rPr>
          <w:color w:val="231F20"/>
          <w:sz w:val="20"/>
          <w:vertAlign w:val="baseline"/>
        </w:rPr>
        <w:t>avril</w:t>
      </w:r>
      <w:r>
        <w:rPr>
          <w:color w:val="231F20"/>
          <w:spacing w:val="-6"/>
          <w:sz w:val="20"/>
          <w:vertAlign w:val="baseline"/>
        </w:rPr>
        <w:t> </w:t>
      </w:r>
      <w:r>
        <w:rPr>
          <w:color w:val="231F20"/>
          <w:sz w:val="20"/>
          <w:vertAlign w:val="baseline"/>
        </w:rPr>
        <w:t>1814</w:t>
      </w:r>
      <w:r>
        <w:rPr>
          <w:color w:val="231F20"/>
          <w:spacing w:val="-5"/>
          <w:sz w:val="20"/>
          <w:vertAlign w:val="baseline"/>
        </w:rPr>
        <w:t> </w:t>
      </w:r>
      <w:r>
        <w:rPr>
          <w:color w:val="48484A"/>
          <w:sz w:val="20"/>
          <w:vertAlign w:val="baseline"/>
        </w:rPr>
        <w:t>et</w:t>
      </w:r>
      <w:r>
        <w:rPr>
          <w:color w:val="48484A"/>
          <w:spacing w:val="-6"/>
          <w:sz w:val="20"/>
          <w:vertAlign w:val="baseline"/>
        </w:rPr>
        <w:t> </w:t>
      </w:r>
      <w:r>
        <w:rPr>
          <w:color w:val="48484A"/>
          <w:sz w:val="20"/>
          <w:vertAlign w:val="baseline"/>
        </w:rPr>
        <w:t>du</w:t>
      </w:r>
      <w:r>
        <w:rPr>
          <w:color w:val="48484A"/>
          <w:spacing w:val="-5"/>
          <w:sz w:val="20"/>
          <w:vertAlign w:val="baseline"/>
        </w:rPr>
        <w:t> </w:t>
      </w:r>
      <w:r>
        <w:rPr>
          <w:color w:val="231F20"/>
          <w:sz w:val="20"/>
          <w:vertAlign w:val="baseline"/>
        </w:rPr>
        <w:t>20</w:t>
      </w:r>
      <w:r>
        <w:rPr>
          <w:color w:val="231F20"/>
          <w:spacing w:val="-5"/>
          <w:sz w:val="20"/>
          <w:vertAlign w:val="baseline"/>
        </w:rPr>
        <w:t> </w:t>
      </w:r>
      <w:r>
        <w:rPr>
          <w:color w:val="231F20"/>
          <w:sz w:val="20"/>
          <w:vertAlign w:val="baseline"/>
        </w:rPr>
        <w:t>mars</w:t>
      </w:r>
      <w:r>
        <w:rPr>
          <w:color w:val="231F20"/>
          <w:spacing w:val="-8"/>
          <w:sz w:val="20"/>
          <w:vertAlign w:val="baseline"/>
        </w:rPr>
        <w:t> </w:t>
      </w:r>
      <w:r>
        <w:rPr>
          <w:color w:val="231F20"/>
          <w:sz w:val="20"/>
          <w:vertAlign w:val="baseline"/>
        </w:rPr>
        <w:t>1815</w:t>
      </w:r>
      <w:r>
        <w:rPr>
          <w:color w:val="231F20"/>
          <w:spacing w:val="-5"/>
          <w:sz w:val="20"/>
          <w:vertAlign w:val="baseline"/>
        </w:rPr>
        <w:t> </w:t>
      </w:r>
      <w:r>
        <w:rPr>
          <w:color w:val="48484A"/>
          <w:sz w:val="20"/>
          <w:vertAlign w:val="baseline"/>
        </w:rPr>
        <w:t>au</w:t>
      </w:r>
      <w:r>
        <w:rPr>
          <w:color w:val="48484A"/>
          <w:spacing w:val="-5"/>
          <w:sz w:val="20"/>
          <w:vertAlign w:val="baseline"/>
        </w:rPr>
        <w:t> </w:t>
      </w:r>
      <w:r>
        <w:rPr>
          <w:color w:val="231F20"/>
          <w:sz w:val="20"/>
          <w:vertAlign w:val="baseline"/>
        </w:rPr>
        <w:t>22</w:t>
      </w:r>
      <w:r>
        <w:rPr>
          <w:color w:val="231F20"/>
          <w:spacing w:val="-5"/>
          <w:sz w:val="20"/>
          <w:vertAlign w:val="baseline"/>
        </w:rPr>
        <w:t> </w:t>
      </w:r>
      <w:r>
        <w:rPr>
          <w:color w:val="231F20"/>
          <w:sz w:val="20"/>
          <w:vertAlign w:val="baseline"/>
        </w:rPr>
        <w:t>juin</w:t>
      </w:r>
      <w:r>
        <w:rPr>
          <w:color w:val="231F20"/>
          <w:spacing w:val="-5"/>
          <w:sz w:val="20"/>
          <w:vertAlign w:val="baseline"/>
        </w:rPr>
        <w:t> </w:t>
      </w:r>
      <w:r>
        <w:rPr>
          <w:color w:val="231F20"/>
          <w:sz w:val="20"/>
          <w:vertAlign w:val="baseline"/>
        </w:rPr>
        <w:t>1815</w:t>
      </w:r>
      <w:r>
        <w:rPr>
          <w:color w:val="48484A"/>
          <w:sz w:val="20"/>
          <w:vertAlign w:val="baseline"/>
        </w:rPr>
        <w:t>.</w:t>
      </w:r>
    </w:p>
    <w:p>
      <w:pPr>
        <w:spacing w:before="1"/>
        <w:ind w:left="111" w:right="0" w:firstLine="0"/>
        <w:jc w:val="left"/>
        <w:rPr>
          <w:sz w:val="20"/>
        </w:rPr>
      </w:pPr>
      <w:r>
        <w:rPr>
          <w:color w:val="76787A"/>
          <w:sz w:val="20"/>
          <w:vertAlign w:val="superscript"/>
        </w:rPr>
        <w:t>62</w:t>
      </w:r>
      <w:r>
        <w:rPr>
          <w:color w:val="48484A"/>
          <w:sz w:val="20"/>
          <w:vertAlign w:val="baseline"/>
        </w:rPr>
        <w:t>Olivier</w:t>
      </w:r>
      <w:r>
        <w:rPr>
          <w:color w:val="48484A"/>
          <w:spacing w:val="-13"/>
          <w:sz w:val="20"/>
          <w:vertAlign w:val="baseline"/>
        </w:rPr>
        <w:t> </w:t>
      </w:r>
      <w:r>
        <w:rPr>
          <w:color w:val="48484A"/>
          <w:sz w:val="20"/>
          <w:vertAlign w:val="baseline"/>
        </w:rPr>
        <w:t>Thomas,</w:t>
      </w:r>
      <w:r>
        <w:rPr>
          <w:color w:val="48484A"/>
          <w:spacing w:val="-5"/>
          <w:sz w:val="20"/>
          <w:vertAlign w:val="baseline"/>
        </w:rPr>
        <w:t> </w:t>
      </w:r>
      <w:r>
        <w:rPr>
          <w:color w:val="48484A"/>
          <w:sz w:val="20"/>
          <w:vertAlign w:val="baseline"/>
        </w:rPr>
        <w:t>«</w:t>
      </w:r>
      <w:r>
        <w:rPr>
          <w:color w:val="48484A"/>
          <w:spacing w:val="-13"/>
          <w:sz w:val="20"/>
          <w:vertAlign w:val="baseline"/>
        </w:rPr>
        <w:t> </w:t>
      </w:r>
      <w:r>
        <w:rPr>
          <w:color w:val="48484A"/>
          <w:sz w:val="20"/>
          <w:vertAlign w:val="baseline"/>
        </w:rPr>
        <w:t>Les</w:t>
      </w:r>
      <w:r>
        <w:rPr>
          <w:color w:val="48484A"/>
          <w:spacing w:val="-5"/>
          <w:sz w:val="20"/>
          <w:vertAlign w:val="baseline"/>
        </w:rPr>
        <w:t> </w:t>
      </w:r>
      <w:r>
        <w:rPr>
          <w:color w:val="48484A"/>
          <w:sz w:val="20"/>
          <w:vertAlign w:val="baseline"/>
        </w:rPr>
        <w:t>dessous du sacre de</w:t>
      </w:r>
      <w:r>
        <w:rPr>
          <w:color w:val="48484A"/>
          <w:spacing w:val="5"/>
          <w:sz w:val="20"/>
          <w:vertAlign w:val="baseline"/>
        </w:rPr>
        <w:t> </w:t>
      </w:r>
      <w:r>
        <w:rPr>
          <w:color w:val="48484A"/>
          <w:sz w:val="20"/>
          <w:vertAlign w:val="baseline"/>
        </w:rPr>
        <w:t>Bokassa</w:t>
      </w:r>
      <w:r>
        <w:rPr>
          <w:color w:val="48484A"/>
          <w:spacing w:val="-13"/>
          <w:sz w:val="20"/>
          <w:vertAlign w:val="baseline"/>
        </w:rPr>
        <w:t> </w:t>
      </w:r>
      <w:r>
        <w:rPr>
          <w:color w:val="48484A"/>
          <w:sz w:val="20"/>
          <w:vertAlign w:val="baseline"/>
        </w:rPr>
        <w:t>I</w:t>
      </w:r>
      <w:r>
        <w:rPr>
          <w:color w:val="48484A"/>
          <w:sz w:val="20"/>
          <w:vertAlign w:val="superscript"/>
        </w:rPr>
        <w:t>er</w:t>
      </w:r>
      <w:r>
        <w:rPr>
          <w:color w:val="48484A"/>
          <w:spacing w:val="-22"/>
          <w:sz w:val="20"/>
          <w:vertAlign w:val="baseline"/>
        </w:rPr>
        <w:t> </w:t>
      </w:r>
      <w:r>
        <w:rPr>
          <w:color w:val="48484A"/>
          <w:sz w:val="20"/>
          <w:vertAlign w:val="baseline"/>
        </w:rPr>
        <w:t>; Jean-Pierre Bat, «</w:t>
      </w:r>
      <w:r>
        <w:rPr>
          <w:color w:val="48484A"/>
          <w:spacing w:val="-13"/>
          <w:sz w:val="20"/>
          <w:vertAlign w:val="baseline"/>
        </w:rPr>
        <w:t> </w:t>
      </w:r>
      <w:r>
        <w:rPr>
          <w:color w:val="48484A"/>
          <w:sz w:val="20"/>
          <w:vertAlign w:val="baseline"/>
        </w:rPr>
        <w:t>Bokassa, dernier empereur d'Afrique »</w:t>
      </w:r>
    </w:p>
    <w:p>
      <w:pPr>
        <w:spacing w:before="1"/>
        <w:ind w:left="111" w:right="0" w:firstLine="0"/>
        <w:jc w:val="left"/>
        <w:rPr>
          <w:sz w:val="20"/>
        </w:rPr>
      </w:pPr>
      <w:r>
        <w:rPr>
          <w:color w:val="76787A"/>
          <w:spacing w:val="-2"/>
          <w:sz w:val="20"/>
          <w:vertAlign w:val="superscript"/>
        </w:rPr>
        <w:t>63</w:t>
      </w:r>
      <w:r>
        <w:rPr>
          <w:color w:val="76787A"/>
          <w:spacing w:val="-9"/>
          <w:sz w:val="20"/>
          <w:vertAlign w:val="baseline"/>
        </w:rPr>
        <w:t> </w:t>
      </w:r>
      <w:r>
        <w:rPr>
          <w:color w:val="231F20"/>
          <w:spacing w:val="-2"/>
          <w:sz w:val="20"/>
          <w:vertAlign w:val="baseline"/>
        </w:rPr>
        <w:t>Ca</w:t>
      </w:r>
      <w:r>
        <w:rPr>
          <w:color w:val="231F20"/>
          <w:spacing w:val="-9"/>
          <w:sz w:val="20"/>
          <w:vertAlign w:val="baseline"/>
        </w:rPr>
        <w:t> </w:t>
      </w:r>
      <w:r>
        <w:rPr>
          <w:color w:val="231F20"/>
          <w:spacing w:val="-2"/>
          <w:sz w:val="20"/>
          <w:vertAlign w:val="baseline"/>
        </w:rPr>
        <w:t>pour</w:t>
      </w:r>
      <w:r>
        <w:rPr>
          <w:color w:val="231F20"/>
          <w:spacing w:val="-9"/>
          <w:sz w:val="20"/>
          <w:vertAlign w:val="baseline"/>
        </w:rPr>
        <w:t> </w:t>
      </w:r>
      <w:r>
        <w:rPr>
          <w:color w:val="231F20"/>
          <w:spacing w:val="-2"/>
          <w:sz w:val="20"/>
          <w:vertAlign w:val="baseline"/>
        </w:rPr>
        <w:t>Centrafrique</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Ban</w:t>
      </w:r>
      <w:r>
        <w:rPr>
          <w:color w:val="231F20"/>
          <w:spacing w:val="-11"/>
          <w:sz w:val="20"/>
          <w:vertAlign w:val="baseline"/>
        </w:rPr>
        <w:t> </w:t>
      </w:r>
      <w:r>
        <w:rPr>
          <w:color w:val="231F20"/>
          <w:spacing w:val="-2"/>
          <w:sz w:val="20"/>
          <w:vertAlign w:val="baseline"/>
        </w:rPr>
        <w:t>pour</w:t>
      </w:r>
      <w:r>
        <w:rPr>
          <w:color w:val="231F20"/>
          <w:spacing w:val="-9"/>
          <w:sz w:val="20"/>
          <w:vertAlign w:val="baseline"/>
        </w:rPr>
        <w:t> </w:t>
      </w:r>
      <w:r>
        <w:rPr>
          <w:color w:val="231F20"/>
          <w:spacing w:val="-2"/>
          <w:sz w:val="20"/>
          <w:vertAlign w:val="baseline"/>
        </w:rPr>
        <w:t>Bangui</w:t>
      </w:r>
    </w:p>
    <w:p>
      <w:pPr>
        <w:spacing w:after="0"/>
        <w:jc w:val="left"/>
        <w:rPr>
          <w:sz w:val="20"/>
        </w:rPr>
        <w:sectPr>
          <w:pgSz w:w="8790" w:h="13610"/>
          <w:pgMar w:header="0" w:footer="802" w:top="1060" w:bottom="1000" w:left="880" w:right="880"/>
        </w:sectPr>
      </w:pPr>
    </w:p>
    <w:p>
      <w:pPr>
        <w:pStyle w:val="BodyText"/>
        <w:spacing w:before="66"/>
        <w:ind w:right="104" w:firstLine="283"/>
      </w:pPr>
      <w:r>
        <w:rPr>
          <w:color w:val="231F20"/>
        </w:rPr>
        <w:t>En 2001, le général François Bozizé tente un coup d’État contre </w:t>
      </w:r>
      <w:r>
        <w:rPr>
          <w:color w:val="231F20"/>
          <w:spacing w:val="-4"/>
        </w:rPr>
        <w:t>Patassé.</w:t>
      </w:r>
      <w:r>
        <w:rPr>
          <w:color w:val="231F20"/>
          <w:spacing w:val="-5"/>
        </w:rPr>
        <w:t> </w:t>
      </w:r>
      <w:r>
        <w:rPr>
          <w:color w:val="231F20"/>
          <w:spacing w:val="-4"/>
        </w:rPr>
        <w:t>Le</w:t>
      </w:r>
      <w:r>
        <w:rPr>
          <w:color w:val="231F20"/>
          <w:spacing w:val="-8"/>
        </w:rPr>
        <w:t> </w:t>
      </w:r>
      <w:r>
        <w:rPr>
          <w:color w:val="231F20"/>
          <w:spacing w:val="-4"/>
        </w:rPr>
        <w:t>coup</w:t>
      </w:r>
      <w:r>
        <w:rPr>
          <w:color w:val="231F20"/>
          <w:spacing w:val="-7"/>
        </w:rPr>
        <w:t> </w:t>
      </w:r>
      <w:r>
        <w:rPr>
          <w:color w:val="231F20"/>
          <w:spacing w:val="-4"/>
        </w:rPr>
        <w:t>de</w:t>
      </w:r>
      <w:r>
        <w:rPr>
          <w:color w:val="231F20"/>
          <w:spacing w:val="-8"/>
        </w:rPr>
        <w:t> </w:t>
      </w:r>
      <w:r>
        <w:rPr>
          <w:color w:val="231F20"/>
          <w:spacing w:val="-4"/>
        </w:rPr>
        <w:t>force</w:t>
      </w:r>
      <w:r>
        <w:rPr>
          <w:color w:val="231F20"/>
          <w:spacing w:val="-8"/>
        </w:rPr>
        <w:t> </w:t>
      </w:r>
      <w:r>
        <w:rPr>
          <w:color w:val="231F20"/>
          <w:spacing w:val="-4"/>
        </w:rPr>
        <w:t>échoue.</w:t>
      </w:r>
      <w:r>
        <w:rPr>
          <w:color w:val="231F20"/>
          <w:spacing w:val="-6"/>
        </w:rPr>
        <w:t> </w:t>
      </w:r>
      <w:r>
        <w:rPr>
          <w:color w:val="231F20"/>
          <w:spacing w:val="-4"/>
        </w:rPr>
        <w:t>Deux</w:t>
      </w:r>
      <w:r>
        <w:rPr>
          <w:color w:val="231F20"/>
          <w:spacing w:val="-5"/>
        </w:rPr>
        <w:t> </w:t>
      </w:r>
      <w:r>
        <w:rPr>
          <w:color w:val="231F20"/>
          <w:spacing w:val="-4"/>
        </w:rPr>
        <w:t>ans</w:t>
      </w:r>
      <w:r>
        <w:rPr>
          <w:color w:val="231F20"/>
          <w:spacing w:val="-7"/>
        </w:rPr>
        <w:t> </w:t>
      </w:r>
      <w:r>
        <w:rPr>
          <w:color w:val="231F20"/>
          <w:spacing w:val="-4"/>
        </w:rPr>
        <w:t>plus</w:t>
      </w:r>
      <w:r>
        <w:rPr>
          <w:color w:val="231F20"/>
          <w:spacing w:val="-7"/>
        </w:rPr>
        <w:t> </w:t>
      </w:r>
      <w:r>
        <w:rPr>
          <w:color w:val="231F20"/>
          <w:spacing w:val="-4"/>
        </w:rPr>
        <w:t>tard,</w:t>
      </w:r>
      <w:r>
        <w:rPr>
          <w:color w:val="231F20"/>
          <w:spacing w:val="-8"/>
        </w:rPr>
        <w:t> </w:t>
      </w:r>
      <w:r>
        <w:rPr>
          <w:color w:val="231F20"/>
          <w:spacing w:val="-4"/>
        </w:rPr>
        <w:t>il</w:t>
      </w:r>
      <w:r>
        <w:rPr>
          <w:color w:val="231F20"/>
          <w:spacing w:val="-7"/>
        </w:rPr>
        <w:t> </w:t>
      </w:r>
      <w:r>
        <w:rPr>
          <w:color w:val="231F20"/>
          <w:spacing w:val="-4"/>
        </w:rPr>
        <w:t>récidive</w:t>
      </w:r>
      <w:r>
        <w:rPr>
          <w:color w:val="231F20"/>
          <w:spacing w:val="-5"/>
        </w:rPr>
        <w:t> </w:t>
      </w:r>
      <w:r>
        <w:rPr>
          <w:color w:val="231F20"/>
          <w:spacing w:val="-4"/>
        </w:rPr>
        <w:t>et réussit le</w:t>
      </w:r>
      <w:r>
        <w:rPr>
          <w:color w:val="231F20"/>
          <w:spacing w:val="-7"/>
        </w:rPr>
        <w:t> </w:t>
      </w:r>
      <w:r>
        <w:rPr>
          <w:color w:val="231F20"/>
          <w:spacing w:val="-4"/>
        </w:rPr>
        <w:t>15</w:t>
      </w:r>
      <w:r>
        <w:rPr>
          <w:color w:val="231F20"/>
          <w:spacing w:val="-7"/>
        </w:rPr>
        <w:t> </w:t>
      </w:r>
      <w:r>
        <w:rPr>
          <w:color w:val="231F20"/>
          <w:spacing w:val="-4"/>
        </w:rPr>
        <w:t>mars</w:t>
      </w:r>
      <w:r>
        <w:rPr>
          <w:color w:val="231F20"/>
          <w:spacing w:val="-7"/>
        </w:rPr>
        <w:t> </w:t>
      </w:r>
      <w:r>
        <w:rPr>
          <w:color w:val="231F20"/>
          <w:spacing w:val="-4"/>
        </w:rPr>
        <w:t>à</w:t>
      </w:r>
      <w:r>
        <w:rPr>
          <w:color w:val="231F20"/>
          <w:spacing w:val="-7"/>
        </w:rPr>
        <w:t> </w:t>
      </w:r>
      <w:r>
        <w:rPr>
          <w:color w:val="231F20"/>
          <w:spacing w:val="-4"/>
        </w:rPr>
        <w:t>renverser</w:t>
      </w:r>
      <w:r>
        <w:rPr>
          <w:color w:val="231F20"/>
          <w:spacing w:val="-9"/>
        </w:rPr>
        <w:t> </w:t>
      </w:r>
      <w:r>
        <w:rPr>
          <w:color w:val="231F20"/>
          <w:spacing w:val="-4"/>
        </w:rPr>
        <w:t>le</w:t>
      </w:r>
      <w:r>
        <w:rPr>
          <w:color w:val="231F20"/>
          <w:spacing w:val="-7"/>
        </w:rPr>
        <w:t> </w:t>
      </w:r>
      <w:r>
        <w:rPr>
          <w:color w:val="231F20"/>
          <w:spacing w:val="-4"/>
        </w:rPr>
        <w:t>président</w:t>
      </w:r>
      <w:r>
        <w:rPr>
          <w:color w:val="231F20"/>
          <w:spacing w:val="-9"/>
        </w:rPr>
        <w:t> </w:t>
      </w:r>
      <w:r>
        <w:rPr>
          <w:color w:val="231F20"/>
          <w:spacing w:val="-4"/>
        </w:rPr>
        <w:t>Patassé.</w:t>
      </w:r>
      <w:r>
        <w:rPr>
          <w:color w:val="231F20"/>
          <w:spacing w:val="-7"/>
        </w:rPr>
        <w:t> </w:t>
      </w:r>
      <w:r>
        <w:rPr>
          <w:color w:val="231F20"/>
          <w:spacing w:val="-4"/>
        </w:rPr>
        <w:t>Après</w:t>
      </w:r>
      <w:r>
        <w:rPr>
          <w:color w:val="231F20"/>
          <w:spacing w:val="-6"/>
        </w:rPr>
        <w:t> </w:t>
      </w:r>
      <w:r>
        <w:rPr>
          <w:color w:val="231F20"/>
          <w:spacing w:val="-4"/>
        </w:rPr>
        <w:t>2005,</w:t>
      </w:r>
      <w:r>
        <w:rPr>
          <w:color w:val="231F20"/>
          <w:spacing w:val="-7"/>
        </w:rPr>
        <w:t> </w:t>
      </w:r>
      <w:r>
        <w:rPr>
          <w:color w:val="231F20"/>
          <w:spacing w:val="-4"/>
        </w:rPr>
        <w:t>il</w:t>
      </w:r>
      <w:r>
        <w:rPr>
          <w:color w:val="231F20"/>
          <w:spacing w:val="-6"/>
        </w:rPr>
        <w:t> </w:t>
      </w:r>
      <w:r>
        <w:rPr>
          <w:color w:val="231F20"/>
          <w:spacing w:val="-4"/>
        </w:rPr>
        <w:t>se</w:t>
      </w:r>
      <w:r>
        <w:rPr>
          <w:color w:val="231F20"/>
          <w:spacing w:val="-8"/>
        </w:rPr>
        <w:t> </w:t>
      </w:r>
      <w:r>
        <w:rPr>
          <w:color w:val="231F20"/>
          <w:spacing w:val="-4"/>
        </w:rPr>
        <w:t>rapproche</w:t>
      </w:r>
      <w:r>
        <w:rPr>
          <w:color w:val="231F20"/>
          <w:spacing w:val="-7"/>
        </w:rPr>
        <w:t> </w:t>
      </w:r>
      <w:r>
        <w:rPr>
          <w:color w:val="231F20"/>
          <w:spacing w:val="-4"/>
        </w:rPr>
        <w:t>de la</w:t>
      </w:r>
      <w:r>
        <w:rPr>
          <w:color w:val="231F20"/>
          <w:spacing w:val="-7"/>
        </w:rPr>
        <w:t> </w:t>
      </w:r>
      <w:r>
        <w:rPr>
          <w:color w:val="231F20"/>
          <w:spacing w:val="-4"/>
        </w:rPr>
        <w:t>Chine</w:t>
      </w:r>
      <w:r>
        <w:rPr>
          <w:color w:val="231F20"/>
          <w:spacing w:val="-7"/>
        </w:rPr>
        <w:t> </w:t>
      </w:r>
      <w:r>
        <w:rPr>
          <w:color w:val="231F20"/>
          <w:spacing w:val="-4"/>
        </w:rPr>
        <w:t>qui</w:t>
      </w:r>
      <w:r>
        <w:rPr>
          <w:color w:val="231F20"/>
          <w:spacing w:val="-9"/>
        </w:rPr>
        <w:t> </w:t>
      </w:r>
      <w:r>
        <w:rPr>
          <w:color w:val="231F20"/>
          <w:spacing w:val="-4"/>
        </w:rPr>
        <w:t>multiplie</w:t>
      </w:r>
      <w:r>
        <w:rPr>
          <w:color w:val="231F20"/>
          <w:spacing w:val="-7"/>
        </w:rPr>
        <w:t> </w:t>
      </w:r>
      <w:r>
        <w:rPr>
          <w:color w:val="231F20"/>
          <w:spacing w:val="-4"/>
        </w:rPr>
        <w:t>les</w:t>
      </w:r>
      <w:r>
        <w:rPr>
          <w:color w:val="231F20"/>
          <w:spacing w:val="-9"/>
        </w:rPr>
        <w:t> </w:t>
      </w:r>
      <w:r>
        <w:rPr>
          <w:color w:val="231F20"/>
          <w:spacing w:val="-4"/>
        </w:rPr>
        <w:t>aides,</w:t>
      </w:r>
      <w:r>
        <w:rPr>
          <w:color w:val="231F20"/>
          <w:spacing w:val="-7"/>
        </w:rPr>
        <w:t> </w:t>
      </w:r>
      <w:r>
        <w:rPr>
          <w:color w:val="231F20"/>
          <w:spacing w:val="-4"/>
        </w:rPr>
        <w:t>accroît</w:t>
      </w:r>
      <w:r>
        <w:rPr>
          <w:color w:val="231F20"/>
          <w:spacing w:val="-6"/>
        </w:rPr>
        <w:t> </w:t>
      </w:r>
      <w:r>
        <w:rPr>
          <w:color w:val="231F20"/>
          <w:spacing w:val="-4"/>
        </w:rPr>
        <w:t>ses</w:t>
      </w:r>
      <w:r>
        <w:rPr>
          <w:color w:val="231F20"/>
          <w:spacing w:val="-6"/>
        </w:rPr>
        <w:t> </w:t>
      </w:r>
      <w:r>
        <w:rPr>
          <w:color w:val="231F20"/>
          <w:spacing w:val="-4"/>
        </w:rPr>
        <w:t>investissements</w:t>
      </w:r>
      <w:r>
        <w:rPr>
          <w:color w:val="231F20"/>
          <w:spacing w:val="-7"/>
        </w:rPr>
        <w:t> </w:t>
      </w:r>
      <w:r>
        <w:rPr>
          <w:color w:val="231F20"/>
          <w:spacing w:val="-4"/>
        </w:rPr>
        <w:t>avec</w:t>
      </w:r>
      <w:r>
        <w:rPr>
          <w:color w:val="231F20"/>
          <w:spacing w:val="-7"/>
        </w:rPr>
        <w:t> </w:t>
      </w:r>
      <w:r>
        <w:rPr>
          <w:color w:val="231F20"/>
          <w:spacing w:val="-4"/>
        </w:rPr>
        <w:t>moins</w:t>
      </w:r>
      <w:r>
        <w:rPr>
          <w:color w:val="231F20"/>
          <w:spacing w:val="-9"/>
        </w:rPr>
        <w:t> </w:t>
      </w:r>
      <w:r>
        <w:rPr>
          <w:color w:val="231F20"/>
          <w:spacing w:val="-4"/>
        </w:rPr>
        <w:t>de </w:t>
      </w:r>
      <w:r>
        <w:rPr>
          <w:color w:val="231F20"/>
        </w:rPr>
        <w:t>conditionnalités contrairement à la France. Bozizé confie la réserve pétrolière</w:t>
      </w:r>
      <w:r>
        <w:rPr>
          <w:color w:val="231F20"/>
          <w:spacing w:val="-11"/>
        </w:rPr>
        <w:t> </w:t>
      </w:r>
      <w:r>
        <w:rPr>
          <w:color w:val="231F20"/>
        </w:rPr>
        <w:t>de</w:t>
      </w:r>
      <w:r>
        <w:rPr>
          <w:color w:val="231F20"/>
          <w:spacing w:val="-11"/>
        </w:rPr>
        <w:t> </w:t>
      </w:r>
      <w:r>
        <w:rPr>
          <w:color w:val="231F20"/>
        </w:rPr>
        <w:t>Boromata</w:t>
      </w:r>
      <w:r>
        <w:rPr>
          <w:color w:val="231F20"/>
          <w:spacing w:val="-10"/>
        </w:rPr>
        <w:t> </w:t>
      </w:r>
      <w:r>
        <w:rPr>
          <w:color w:val="231F20"/>
        </w:rPr>
        <w:t>aux</w:t>
      </w:r>
      <w:r>
        <w:rPr>
          <w:color w:val="231F20"/>
          <w:spacing w:val="-11"/>
        </w:rPr>
        <w:t> </w:t>
      </w:r>
      <w:r>
        <w:rPr>
          <w:color w:val="231F20"/>
        </w:rPr>
        <w:t>Chinois,</w:t>
      </w:r>
      <w:r>
        <w:rPr>
          <w:color w:val="231F20"/>
          <w:spacing w:val="-11"/>
        </w:rPr>
        <w:t> </w:t>
      </w:r>
      <w:r>
        <w:rPr>
          <w:color w:val="231F20"/>
        </w:rPr>
        <w:t>au</w:t>
      </w:r>
      <w:r>
        <w:rPr>
          <w:color w:val="231F20"/>
          <w:spacing w:val="-11"/>
        </w:rPr>
        <w:t> </w:t>
      </w:r>
      <w:r>
        <w:rPr>
          <w:color w:val="231F20"/>
        </w:rPr>
        <w:t>détriment</w:t>
      </w:r>
      <w:r>
        <w:rPr>
          <w:color w:val="231F20"/>
          <w:spacing w:val="-10"/>
        </w:rPr>
        <w:t> </w:t>
      </w:r>
      <w:r>
        <w:rPr>
          <w:color w:val="231F20"/>
        </w:rPr>
        <w:t>de</w:t>
      </w:r>
      <w:r>
        <w:rPr>
          <w:color w:val="231F20"/>
          <w:spacing w:val="-11"/>
        </w:rPr>
        <w:t> </w:t>
      </w:r>
      <w:r>
        <w:rPr>
          <w:color w:val="231F20"/>
        </w:rPr>
        <w:t>la</w:t>
      </w:r>
      <w:r>
        <w:rPr>
          <w:color w:val="231F20"/>
          <w:spacing w:val="-11"/>
        </w:rPr>
        <w:t> </w:t>
      </w:r>
      <w:r>
        <w:rPr>
          <w:color w:val="231F20"/>
        </w:rPr>
        <w:t>France</w:t>
      </w:r>
      <w:r>
        <w:rPr>
          <w:color w:val="231F20"/>
          <w:spacing w:val="-11"/>
        </w:rPr>
        <w:t> </w:t>
      </w:r>
      <w:r>
        <w:rPr>
          <w:color w:val="231F20"/>
        </w:rPr>
        <w:t>et</w:t>
      </w:r>
      <w:r>
        <w:rPr>
          <w:color w:val="231F20"/>
          <w:spacing w:val="-11"/>
        </w:rPr>
        <w:t> </w:t>
      </w:r>
      <w:r>
        <w:rPr>
          <w:color w:val="231F20"/>
        </w:rPr>
        <w:t>de</w:t>
      </w:r>
      <w:r>
        <w:rPr>
          <w:color w:val="231F20"/>
          <w:spacing w:val="-11"/>
        </w:rPr>
        <w:t> </w:t>
      </w:r>
      <w:r>
        <w:rPr>
          <w:color w:val="231F20"/>
        </w:rPr>
        <w:t>son allié,</w:t>
      </w:r>
      <w:r>
        <w:rPr>
          <w:color w:val="231F20"/>
          <w:spacing w:val="-7"/>
        </w:rPr>
        <w:t> </w:t>
      </w:r>
      <w:r>
        <w:rPr>
          <w:color w:val="231F20"/>
        </w:rPr>
        <w:t>les</w:t>
      </w:r>
      <w:r>
        <w:rPr>
          <w:color w:val="231F20"/>
          <w:spacing w:val="-3"/>
        </w:rPr>
        <w:t> </w:t>
      </w:r>
      <w:r>
        <w:rPr>
          <w:color w:val="231F20"/>
        </w:rPr>
        <w:t>USA.</w:t>
      </w:r>
      <w:r>
        <w:rPr>
          <w:color w:val="231F20"/>
          <w:spacing w:val="-5"/>
        </w:rPr>
        <w:t> </w:t>
      </w:r>
      <w:r>
        <w:rPr>
          <w:color w:val="231F20"/>
        </w:rPr>
        <w:t>Le</w:t>
      </w:r>
      <w:r>
        <w:rPr>
          <w:color w:val="231F20"/>
          <w:spacing w:val="-5"/>
        </w:rPr>
        <w:t> </w:t>
      </w:r>
      <w:r>
        <w:rPr>
          <w:color w:val="231F20"/>
        </w:rPr>
        <w:t>rapprochement</w:t>
      </w:r>
      <w:r>
        <w:rPr>
          <w:color w:val="231F20"/>
          <w:spacing w:val="-5"/>
        </w:rPr>
        <w:t> </w:t>
      </w:r>
      <w:r>
        <w:rPr>
          <w:color w:val="231F20"/>
        </w:rPr>
        <w:t>entre</w:t>
      </w:r>
      <w:r>
        <w:rPr>
          <w:color w:val="231F20"/>
          <w:spacing w:val="-5"/>
        </w:rPr>
        <w:t> </w:t>
      </w:r>
      <w:r>
        <w:rPr>
          <w:color w:val="231F20"/>
        </w:rPr>
        <w:t>Bozizé</w:t>
      </w:r>
      <w:r>
        <w:rPr>
          <w:color w:val="231F20"/>
          <w:spacing w:val="-4"/>
        </w:rPr>
        <w:t> </w:t>
      </w:r>
      <w:r>
        <w:rPr>
          <w:color w:val="231F20"/>
        </w:rPr>
        <w:t>et</w:t>
      </w:r>
      <w:r>
        <w:rPr>
          <w:color w:val="231F20"/>
          <w:spacing w:val="-5"/>
        </w:rPr>
        <w:t> </w:t>
      </w:r>
      <w:r>
        <w:rPr>
          <w:color w:val="231F20"/>
        </w:rPr>
        <w:t>Hu</w:t>
      </w:r>
      <w:r>
        <w:rPr>
          <w:color w:val="231F20"/>
          <w:spacing w:val="-3"/>
        </w:rPr>
        <w:t> </w:t>
      </w:r>
      <w:r>
        <w:rPr>
          <w:color w:val="231F20"/>
        </w:rPr>
        <w:t>Jintao</w:t>
      </w:r>
      <w:r>
        <w:rPr>
          <w:color w:val="231F20"/>
          <w:spacing w:val="-5"/>
        </w:rPr>
        <w:t> </w:t>
      </w:r>
      <w:r>
        <w:rPr>
          <w:color w:val="231F20"/>
        </w:rPr>
        <w:t>permet</w:t>
      </w:r>
      <w:r>
        <w:rPr>
          <w:color w:val="231F20"/>
          <w:spacing w:val="-4"/>
        </w:rPr>
        <w:t> </w:t>
      </w:r>
      <w:r>
        <w:rPr>
          <w:color w:val="231F20"/>
        </w:rPr>
        <w:t>à</w:t>
      </w:r>
      <w:r>
        <w:rPr>
          <w:color w:val="231F20"/>
          <w:spacing w:val="-5"/>
        </w:rPr>
        <w:t> </w:t>
      </w:r>
      <w:r>
        <w:rPr>
          <w:color w:val="231F20"/>
        </w:rPr>
        <w:t>la compagnie chinoise China National Petroleum Corporation(CNPC) de reprendre le permis de recherche, développement et exploitation du pétrole de Boromata, dans le Nord-Est de la Centrafrique. Ange Félix Patassé,</w:t>
      </w:r>
      <w:r>
        <w:rPr>
          <w:color w:val="231F20"/>
          <w:spacing w:val="-10"/>
        </w:rPr>
        <w:t> </w:t>
      </w:r>
      <w:r>
        <w:rPr>
          <w:color w:val="231F20"/>
        </w:rPr>
        <w:t>son</w:t>
      </w:r>
      <w:r>
        <w:rPr>
          <w:color w:val="231F20"/>
          <w:spacing w:val="-10"/>
        </w:rPr>
        <w:t> </w:t>
      </w:r>
      <w:r>
        <w:rPr>
          <w:color w:val="231F20"/>
        </w:rPr>
        <w:t>prédécesseur</w:t>
      </w:r>
      <w:r>
        <w:rPr>
          <w:color w:val="231F20"/>
          <w:spacing w:val="-12"/>
        </w:rPr>
        <w:t> </w:t>
      </w:r>
      <w:r>
        <w:rPr>
          <w:color w:val="231F20"/>
        </w:rPr>
        <w:t>avait</w:t>
      </w:r>
      <w:r>
        <w:rPr>
          <w:color w:val="231F20"/>
          <w:spacing w:val="-9"/>
        </w:rPr>
        <w:t> </w:t>
      </w:r>
      <w:r>
        <w:rPr>
          <w:color w:val="231F20"/>
        </w:rPr>
        <w:t>accordé</w:t>
      </w:r>
      <w:r>
        <w:rPr>
          <w:color w:val="231F20"/>
          <w:spacing w:val="-10"/>
        </w:rPr>
        <w:t> </w:t>
      </w:r>
      <w:r>
        <w:rPr>
          <w:color w:val="231F20"/>
        </w:rPr>
        <w:t>un</w:t>
      </w:r>
      <w:r>
        <w:rPr>
          <w:color w:val="231F20"/>
          <w:spacing w:val="-10"/>
        </w:rPr>
        <w:t> </w:t>
      </w:r>
      <w:r>
        <w:rPr>
          <w:color w:val="231F20"/>
        </w:rPr>
        <w:t>permis</w:t>
      </w:r>
      <w:r>
        <w:rPr>
          <w:color w:val="231F20"/>
          <w:spacing w:val="-12"/>
        </w:rPr>
        <w:t> </w:t>
      </w:r>
      <w:r>
        <w:rPr>
          <w:color w:val="231F20"/>
        </w:rPr>
        <w:t>similaire</w:t>
      </w:r>
      <w:r>
        <w:rPr>
          <w:color w:val="231F20"/>
          <w:spacing w:val="-10"/>
        </w:rPr>
        <w:t> </w:t>
      </w:r>
      <w:r>
        <w:rPr>
          <w:color w:val="231F20"/>
        </w:rPr>
        <w:t>au</w:t>
      </w:r>
      <w:r>
        <w:rPr>
          <w:color w:val="231F20"/>
          <w:spacing w:val="-12"/>
        </w:rPr>
        <w:t> </w:t>
      </w:r>
      <w:r>
        <w:rPr>
          <w:color w:val="231F20"/>
        </w:rPr>
        <w:t>pétrolier GRYNBERG rsm des États-Unis</w:t>
      </w:r>
      <w:r>
        <w:rPr>
          <w:color w:val="231F20"/>
          <w:spacing w:val="-15"/>
        </w:rPr>
        <w:t> </w:t>
      </w:r>
      <w:r>
        <w:rPr>
          <w:color w:val="231F20"/>
        </w:rPr>
        <w:t>: l’industriel de Denver, invoquant l’insécurité, n’avait pas pu conduire les recherches et le permis avait expiré en 2004.</w:t>
      </w:r>
    </w:p>
    <w:p>
      <w:pPr>
        <w:pStyle w:val="BodyText"/>
        <w:spacing w:before="121"/>
        <w:ind w:right="104" w:firstLine="283"/>
      </w:pPr>
      <w:r>
        <w:rPr>
          <w:color w:val="231F20"/>
          <w:spacing w:val="-2"/>
        </w:rPr>
        <w:t>Une</w:t>
      </w:r>
      <w:r>
        <w:rPr>
          <w:color w:val="231F20"/>
          <w:spacing w:val="-10"/>
        </w:rPr>
        <w:t> </w:t>
      </w:r>
      <w:r>
        <w:rPr>
          <w:color w:val="231F20"/>
          <w:spacing w:val="-2"/>
        </w:rPr>
        <w:t>coalition</w:t>
      </w:r>
      <w:r>
        <w:rPr>
          <w:color w:val="231F20"/>
          <w:spacing w:val="-10"/>
        </w:rPr>
        <w:t> </w:t>
      </w:r>
      <w:r>
        <w:rPr>
          <w:color w:val="231F20"/>
          <w:spacing w:val="-2"/>
        </w:rPr>
        <w:t>anti-Bozizé</w:t>
      </w:r>
      <w:r>
        <w:rPr>
          <w:color w:val="231F20"/>
          <w:spacing w:val="-12"/>
        </w:rPr>
        <w:t> </w:t>
      </w:r>
      <w:r>
        <w:rPr>
          <w:color w:val="231F20"/>
          <w:spacing w:val="-2"/>
        </w:rPr>
        <w:t>se</w:t>
      </w:r>
      <w:r>
        <w:rPr>
          <w:color w:val="231F20"/>
          <w:spacing w:val="-9"/>
        </w:rPr>
        <w:t> </w:t>
      </w:r>
      <w:r>
        <w:rPr>
          <w:color w:val="231F20"/>
          <w:spacing w:val="-2"/>
        </w:rPr>
        <w:t>forme</w:t>
      </w:r>
      <w:r>
        <w:rPr>
          <w:color w:val="231F20"/>
          <w:spacing w:val="-9"/>
        </w:rPr>
        <w:t> </w:t>
      </w:r>
      <w:r>
        <w:rPr>
          <w:color w:val="231F20"/>
          <w:spacing w:val="-2"/>
        </w:rPr>
        <w:t>en</w:t>
      </w:r>
      <w:r>
        <w:rPr>
          <w:color w:val="231F20"/>
          <w:spacing w:val="-9"/>
        </w:rPr>
        <w:t> </w:t>
      </w:r>
      <w:r>
        <w:rPr>
          <w:color w:val="231F20"/>
          <w:spacing w:val="-2"/>
        </w:rPr>
        <w:t>août</w:t>
      </w:r>
      <w:r>
        <w:rPr>
          <w:color w:val="231F20"/>
          <w:spacing w:val="-9"/>
        </w:rPr>
        <w:t> </w:t>
      </w:r>
      <w:r>
        <w:rPr>
          <w:color w:val="231F20"/>
          <w:spacing w:val="-2"/>
        </w:rPr>
        <w:t>2012</w:t>
      </w:r>
      <w:r>
        <w:rPr>
          <w:color w:val="231F20"/>
          <w:spacing w:val="-11"/>
        </w:rPr>
        <w:t> </w:t>
      </w:r>
      <w:r>
        <w:rPr>
          <w:color w:val="231F20"/>
          <w:spacing w:val="-2"/>
        </w:rPr>
        <w:t>sous</w:t>
      </w:r>
      <w:r>
        <w:rPr>
          <w:color w:val="231F20"/>
          <w:spacing w:val="-9"/>
        </w:rPr>
        <w:t> </w:t>
      </w:r>
      <w:r>
        <w:rPr>
          <w:color w:val="231F20"/>
          <w:spacing w:val="-2"/>
        </w:rPr>
        <w:t>l’appellation</w:t>
      </w:r>
      <w:r>
        <w:rPr>
          <w:color w:val="231F20"/>
          <w:spacing w:val="-9"/>
        </w:rPr>
        <w:t> </w:t>
      </w:r>
      <w:r>
        <w:rPr>
          <w:color w:val="231F20"/>
          <w:spacing w:val="-2"/>
        </w:rPr>
        <w:t>de </w:t>
      </w:r>
      <w:r>
        <w:rPr>
          <w:color w:val="231F20"/>
        </w:rPr>
        <w:t>Seleka. Composée de partis politiques et de forces rebelles dont des mercenaires Tchadiens, Libyens et Soudanais, la force armée se </w:t>
      </w:r>
      <w:r>
        <w:rPr>
          <w:color w:val="231F20"/>
          <w:spacing w:val="-2"/>
        </w:rPr>
        <w:t>caractérise</w:t>
      </w:r>
      <w:r>
        <w:rPr>
          <w:color w:val="231F20"/>
          <w:spacing w:val="-12"/>
        </w:rPr>
        <w:t> </w:t>
      </w:r>
      <w:r>
        <w:rPr>
          <w:color w:val="231F20"/>
          <w:spacing w:val="-2"/>
        </w:rPr>
        <w:t>par</w:t>
      </w:r>
      <w:r>
        <w:rPr>
          <w:color w:val="231F20"/>
          <w:spacing w:val="-12"/>
        </w:rPr>
        <w:t> </w:t>
      </w:r>
      <w:r>
        <w:rPr>
          <w:color w:val="231F20"/>
          <w:spacing w:val="-2"/>
        </w:rPr>
        <w:t>une</w:t>
      </w:r>
      <w:r>
        <w:rPr>
          <w:color w:val="231F20"/>
          <w:spacing w:val="-12"/>
        </w:rPr>
        <w:t> </w:t>
      </w:r>
      <w:r>
        <w:rPr>
          <w:color w:val="231F20"/>
          <w:spacing w:val="-2"/>
        </w:rPr>
        <w:t>coloration</w:t>
      </w:r>
      <w:r>
        <w:rPr>
          <w:color w:val="231F20"/>
          <w:spacing w:val="-12"/>
        </w:rPr>
        <w:t> </w:t>
      </w:r>
      <w:r>
        <w:rPr>
          <w:color w:val="231F20"/>
          <w:spacing w:val="-2"/>
        </w:rPr>
        <w:t>religieuse</w:t>
      </w:r>
      <w:r>
        <w:rPr>
          <w:color w:val="231F20"/>
          <w:spacing w:val="-12"/>
        </w:rPr>
        <w:t> </w:t>
      </w:r>
      <w:r>
        <w:rPr>
          <w:color w:val="231F20"/>
          <w:spacing w:val="-2"/>
        </w:rPr>
        <w:t>musulmane</w:t>
      </w:r>
      <w:r>
        <w:rPr>
          <w:color w:val="231F20"/>
          <w:spacing w:val="-13"/>
        </w:rPr>
        <w:t> </w:t>
      </w:r>
      <w:r>
        <w:rPr>
          <w:color w:val="231F20"/>
          <w:spacing w:val="-2"/>
        </w:rPr>
        <w:t>dans</w:t>
      </w:r>
      <w:r>
        <w:rPr>
          <w:color w:val="231F20"/>
          <w:spacing w:val="-12"/>
        </w:rPr>
        <w:t> </w:t>
      </w:r>
      <w:r>
        <w:rPr>
          <w:color w:val="231F20"/>
          <w:spacing w:val="-2"/>
        </w:rPr>
        <w:t>un</w:t>
      </w:r>
      <w:r>
        <w:rPr>
          <w:color w:val="231F20"/>
          <w:spacing w:val="-12"/>
        </w:rPr>
        <w:t> </w:t>
      </w:r>
      <w:r>
        <w:rPr>
          <w:color w:val="231F20"/>
          <w:spacing w:val="-2"/>
        </w:rPr>
        <w:t>pays</w:t>
      </w:r>
      <w:r>
        <w:rPr>
          <w:color w:val="231F20"/>
          <w:spacing w:val="-11"/>
        </w:rPr>
        <w:t> </w:t>
      </w:r>
      <w:r>
        <w:rPr>
          <w:color w:val="231F20"/>
          <w:spacing w:val="-2"/>
        </w:rPr>
        <w:t>dont</w:t>
      </w:r>
      <w:r>
        <w:rPr>
          <w:color w:val="231F20"/>
          <w:spacing w:val="-11"/>
        </w:rPr>
        <w:t> </w:t>
      </w:r>
      <w:r>
        <w:rPr>
          <w:color w:val="231F20"/>
          <w:spacing w:val="-2"/>
        </w:rPr>
        <w:t>la </w:t>
      </w:r>
      <w:r>
        <w:rPr>
          <w:color w:val="231F20"/>
        </w:rPr>
        <w:t>population est à 80 % chrétienne.</w:t>
      </w:r>
    </w:p>
    <w:p>
      <w:pPr>
        <w:pStyle w:val="BodyText"/>
        <w:spacing w:before="120"/>
        <w:ind w:right="103" w:firstLine="283"/>
      </w:pPr>
      <w:r>
        <w:rPr>
          <w:color w:val="231F20"/>
          <w:spacing w:val="-2"/>
        </w:rPr>
        <w:t>En</w:t>
      </w:r>
      <w:r>
        <w:rPr>
          <w:color w:val="231F20"/>
          <w:spacing w:val="-9"/>
        </w:rPr>
        <w:t> </w:t>
      </w:r>
      <w:r>
        <w:rPr>
          <w:color w:val="231F20"/>
          <w:spacing w:val="-2"/>
        </w:rPr>
        <w:t>mars</w:t>
      </w:r>
      <w:r>
        <w:rPr>
          <w:color w:val="231F20"/>
          <w:spacing w:val="-9"/>
        </w:rPr>
        <w:t> </w:t>
      </w:r>
      <w:r>
        <w:rPr>
          <w:color w:val="231F20"/>
          <w:spacing w:val="-2"/>
        </w:rPr>
        <w:t>2013,</w:t>
      </w:r>
      <w:r>
        <w:rPr>
          <w:color w:val="231F20"/>
          <w:spacing w:val="-9"/>
        </w:rPr>
        <w:t> </w:t>
      </w:r>
      <w:r>
        <w:rPr>
          <w:color w:val="231F20"/>
          <w:spacing w:val="-2"/>
        </w:rPr>
        <w:t>les</w:t>
      </w:r>
      <w:r>
        <w:rPr>
          <w:color w:val="231F20"/>
          <w:spacing w:val="-9"/>
        </w:rPr>
        <w:t> </w:t>
      </w:r>
      <w:r>
        <w:rPr>
          <w:color w:val="231F20"/>
          <w:spacing w:val="-2"/>
        </w:rPr>
        <w:t>forces</w:t>
      </w:r>
      <w:r>
        <w:rPr>
          <w:color w:val="231F20"/>
          <w:spacing w:val="-9"/>
        </w:rPr>
        <w:t> </w:t>
      </w:r>
      <w:r>
        <w:rPr>
          <w:color w:val="231F20"/>
          <w:spacing w:val="-2"/>
        </w:rPr>
        <w:t>de</w:t>
      </w:r>
      <w:r>
        <w:rPr>
          <w:color w:val="231F20"/>
          <w:spacing w:val="-9"/>
        </w:rPr>
        <w:t> </w:t>
      </w:r>
      <w:r>
        <w:rPr>
          <w:color w:val="231F20"/>
          <w:spacing w:val="-2"/>
        </w:rPr>
        <w:t>la</w:t>
      </w:r>
      <w:r>
        <w:rPr>
          <w:color w:val="231F20"/>
          <w:spacing w:val="-9"/>
        </w:rPr>
        <w:t> </w:t>
      </w:r>
      <w:r>
        <w:rPr>
          <w:color w:val="231F20"/>
          <w:spacing w:val="-2"/>
        </w:rPr>
        <w:t>Seleka</w:t>
      </w:r>
      <w:r>
        <w:rPr>
          <w:color w:val="231F20"/>
          <w:spacing w:val="-9"/>
        </w:rPr>
        <w:t> </w:t>
      </w:r>
      <w:r>
        <w:rPr>
          <w:color w:val="231F20"/>
          <w:spacing w:val="-2"/>
        </w:rPr>
        <w:t>s’emparent</w:t>
      </w:r>
      <w:r>
        <w:rPr>
          <w:color w:val="231F20"/>
          <w:spacing w:val="-9"/>
        </w:rPr>
        <w:t> </w:t>
      </w:r>
      <w:r>
        <w:rPr>
          <w:color w:val="231F20"/>
          <w:spacing w:val="-2"/>
        </w:rPr>
        <w:t>de</w:t>
      </w:r>
      <w:r>
        <w:rPr>
          <w:color w:val="231F20"/>
          <w:spacing w:val="-9"/>
        </w:rPr>
        <w:t> </w:t>
      </w:r>
      <w:r>
        <w:rPr>
          <w:color w:val="231F20"/>
          <w:spacing w:val="-2"/>
        </w:rPr>
        <w:t>Bangui</w:t>
      </w:r>
      <w:r>
        <w:rPr>
          <w:color w:val="231F20"/>
          <w:spacing w:val="-9"/>
        </w:rPr>
        <w:t> </w:t>
      </w:r>
      <w:r>
        <w:rPr>
          <w:color w:val="231F20"/>
          <w:spacing w:val="-2"/>
        </w:rPr>
        <w:t>et</w:t>
      </w:r>
      <w:r>
        <w:rPr>
          <w:color w:val="231F20"/>
          <w:spacing w:val="-9"/>
        </w:rPr>
        <w:t> </w:t>
      </w:r>
      <w:r>
        <w:rPr>
          <w:color w:val="231F20"/>
          <w:spacing w:val="-2"/>
        </w:rPr>
        <w:t>Bozizé </w:t>
      </w:r>
      <w:r>
        <w:rPr>
          <w:color w:val="231F20"/>
        </w:rPr>
        <w:t>s’enfuit. Michel Djotodia, membre de la Seleka, s’auto-proclame président</w:t>
      </w:r>
      <w:r>
        <w:rPr>
          <w:color w:val="231F20"/>
          <w:spacing w:val="-2"/>
        </w:rPr>
        <w:t> </w:t>
      </w:r>
      <w:r>
        <w:rPr>
          <w:color w:val="231F20"/>
        </w:rPr>
        <w:t>de</w:t>
      </w:r>
      <w:r>
        <w:rPr>
          <w:color w:val="231F20"/>
          <w:spacing w:val="-2"/>
        </w:rPr>
        <w:t> </w:t>
      </w:r>
      <w:r>
        <w:rPr>
          <w:color w:val="231F20"/>
        </w:rPr>
        <w:t>la</w:t>
      </w:r>
      <w:r>
        <w:rPr>
          <w:color w:val="231F20"/>
          <w:spacing w:val="-3"/>
        </w:rPr>
        <w:t> </w:t>
      </w:r>
      <w:r>
        <w:rPr>
          <w:color w:val="231F20"/>
        </w:rPr>
        <w:t>République</w:t>
      </w:r>
      <w:r>
        <w:rPr>
          <w:color w:val="231F20"/>
          <w:spacing w:val="-2"/>
        </w:rPr>
        <w:t> </w:t>
      </w:r>
      <w:r>
        <w:rPr>
          <w:color w:val="231F20"/>
        </w:rPr>
        <w:t>Centrafricaine.</w:t>
      </w:r>
      <w:r>
        <w:rPr>
          <w:color w:val="231F20"/>
          <w:spacing w:val="-1"/>
        </w:rPr>
        <w:t> </w:t>
      </w:r>
      <w:r>
        <w:rPr>
          <w:color w:val="231F20"/>
        </w:rPr>
        <w:t>Mais</w:t>
      </w:r>
      <w:r>
        <w:rPr>
          <w:color w:val="231F20"/>
          <w:spacing w:val="-3"/>
        </w:rPr>
        <w:t> </w:t>
      </w:r>
      <w:r>
        <w:rPr>
          <w:color w:val="231F20"/>
        </w:rPr>
        <w:t>des</w:t>
      </w:r>
      <w:r>
        <w:rPr>
          <w:color w:val="231F20"/>
          <w:spacing w:val="-1"/>
        </w:rPr>
        <w:t> </w:t>
      </w:r>
      <w:r>
        <w:rPr>
          <w:color w:val="231F20"/>
        </w:rPr>
        <w:t>incompréhensions entre</w:t>
      </w:r>
      <w:r>
        <w:rPr>
          <w:color w:val="231F20"/>
          <w:spacing w:val="-11"/>
        </w:rPr>
        <w:t> </w:t>
      </w:r>
      <w:r>
        <w:rPr>
          <w:color w:val="231F20"/>
        </w:rPr>
        <w:t>les</w:t>
      </w:r>
      <w:r>
        <w:rPr>
          <w:color w:val="231F20"/>
          <w:spacing w:val="-11"/>
        </w:rPr>
        <w:t> </w:t>
      </w:r>
      <w:r>
        <w:rPr>
          <w:color w:val="231F20"/>
        </w:rPr>
        <w:t>différents</w:t>
      </w:r>
      <w:r>
        <w:rPr>
          <w:color w:val="231F20"/>
          <w:spacing w:val="-11"/>
        </w:rPr>
        <w:t> </w:t>
      </w:r>
      <w:r>
        <w:rPr>
          <w:color w:val="231F20"/>
        </w:rPr>
        <w:t>groupes</w:t>
      </w:r>
      <w:r>
        <w:rPr>
          <w:color w:val="231F20"/>
          <w:spacing w:val="-11"/>
        </w:rPr>
        <w:t> </w:t>
      </w:r>
      <w:r>
        <w:rPr>
          <w:color w:val="231F20"/>
        </w:rPr>
        <w:t>rebelles</w:t>
      </w:r>
      <w:r>
        <w:rPr>
          <w:color w:val="231F20"/>
          <w:spacing w:val="-11"/>
        </w:rPr>
        <w:t> </w:t>
      </w:r>
      <w:r>
        <w:rPr>
          <w:color w:val="231F20"/>
        </w:rPr>
        <w:t>d’une</w:t>
      </w:r>
      <w:r>
        <w:rPr>
          <w:color w:val="231F20"/>
          <w:spacing w:val="-11"/>
        </w:rPr>
        <w:t> </w:t>
      </w:r>
      <w:r>
        <w:rPr>
          <w:color w:val="231F20"/>
        </w:rPr>
        <w:t>part,</w:t>
      </w:r>
      <w:r>
        <w:rPr>
          <w:color w:val="231F20"/>
          <w:spacing w:val="-11"/>
        </w:rPr>
        <w:t> </w:t>
      </w:r>
      <w:r>
        <w:rPr>
          <w:color w:val="231F20"/>
        </w:rPr>
        <w:t>et</w:t>
      </w:r>
      <w:r>
        <w:rPr>
          <w:color w:val="231F20"/>
          <w:spacing w:val="-12"/>
        </w:rPr>
        <w:t> </w:t>
      </w:r>
      <w:r>
        <w:rPr>
          <w:color w:val="231F20"/>
        </w:rPr>
        <w:t>entre</w:t>
      </w:r>
      <w:r>
        <w:rPr>
          <w:color w:val="231F20"/>
          <w:spacing w:val="-11"/>
        </w:rPr>
        <w:t> </w:t>
      </w:r>
      <w:r>
        <w:rPr>
          <w:color w:val="231F20"/>
        </w:rPr>
        <w:t>certains</w:t>
      </w:r>
      <w:r>
        <w:rPr>
          <w:color w:val="231F20"/>
          <w:spacing w:val="-11"/>
        </w:rPr>
        <w:t> </w:t>
      </w:r>
      <w:r>
        <w:rPr>
          <w:color w:val="231F20"/>
        </w:rPr>
        <w:t>chefs</w:t>
      </w:r>
      <w:r>
        <w:rPr>
          <w:color w:val="231F20"/>
          <w:spacing w:val="-10"/>
        </w:rPr>
        <w:t> </w:t>
      </w:r>
      <w:r>
        <w:rPr>
          <w:color w:val="231F20"/>
        </w:rPr>
        <w:t>et </w:t>
      </w:r>
      <w:r>
        <w:rPr>
          <w:color w:val="231F20"/>
          <w:spacing w:val="-4"/>
        </w:rPr>
        <w:t>leurs</w:t>
      </w:r>
      <w:r>
        <w:rPr>
          <w:color w:val="231F20"/>
          <w:spacing w:val="-8"/>
        </w:rPr>
        <w:t> </w:t>
      </w:r>
      <w:r>
        <w:rPr>
          <w:color w:val="231F20"/>
          <w:spacing w:val="-4"/>
        </w:rPr>
        <w:t>éléments</w:t>
      </w:r>
      <w:r>
        <w:rPr>
          <w:color w:val="231F20"/>
          <w:spacing w:val="-11"/>
        </w:rPr>
        <w:t> </w:t>
      </w:r>
      <w:r>
        <w:rPr>
          <w:color w:val="231F20"/>
          <w:spacing w:val="-4"/>
        </w:rPr>
        <w:t>d’autre</w:t>
      </w:r>
      <w:r>
        <w:rPr>
          <w:color w:val="231F20"/>
          <w:spacing w:val="-11"/>
        </w:rPr>
        <w:t> </w:t>
      </w:r>
      <w:r>
        <w:rPr>
          <w:color w:val="231F20"/>
          <w:spacing w:val="-4"/>
        </w:rPr>
        <w:t>part,</w:t>
      </w:r>
      <w:r>
        <w:rPr>
          <w:color w:val="231F20"/>
          <w:spacing w:val="-8"/>
        </w:rPr>
        <w:t> </w:t>
      </w:r>
      <w:r>
        <w:rPr>
          <w:color w:val="231F20"/>
          <w:spacing w:val="-4"/>
        </w:rPr>
        <w:t>débouchent</w:t>
      </w:r>
      <w:r>
        <w:rPr>
          <w:color w:val="231F20"/>
          <w:spacing w:val="-8"/>
        </w:rPr>
        <w:t> </w:t>
      </w:r>
      <w:r>
        <w:rPr>
          <w:color w:val="231F20"/>
          <w:spacing w:val="-4"/>
        </w:rPr>
        <w:t>sur</w:t>
      </w:r>
      <w:r>
        <w:rPr>
          <w:color w:val="231F20"/>
          <w:spacing w:val="-11"/>
        </w:rPr>
        <w:t> </w:t>
      </w:r>
      <w:r>
        <w:rPr>
          <w:color w:val="231F20"/>
          <w:spacing w:val="-4"/>
        </w:rPr>
        <w:t>des</w:t>
      </w:r>
      <w:r>
        <w:rPr>
          <w:color w:val="231F20"/>
          <w:spacing w:val="-8"/>
        </w:rPr>
        <w:t> </w:t>
      </w:r>
      <w:r>
        <w:rPr>
          <w:color w:val="231F20"/>
          <w:spacing w:val="-4"/>
        </w:rPr>
        <w:t>atrocités</w:t>
      </w:r>
      <w:r>
        <w:rPr>
          <w:color w:val="231F20"/>
          <w:spacing w:val="-8"/>
        </w:rPr>
        <w:t> </w:t>
      </w:r>
      <w:r>
        <w:rPr>
          <w:color w:val="231F20"/>
          <w:spacing w:val="-4"/>
        </w:rPr>
        <w:t>généralisées</w:t>
      </w:r>
      <w:r>
        <w:rPr>
          <w:color w:val="231F20"/>
          <w:spacing w:val="-10"/>
        </w:rPr>
        <w:t> </w:t>
      </w:r>
      <w:r>
        <w:rPr>
          <w:color w:val="231F20"/>
          <w:spacing w:val="-4"/>
        </w:rPr>
        <w:t>dans </w:t>
      </w:r>
      <w:r>
        <w:rPr>
          <w:color w:val="231F20"/>
        </w:rPr>
        <w:t>le pays. Les nombreuses exactions commises par les miliciens de la Seleka, conduisent à la naissance de milices d’auto-défense</w:t>
      </w:r>
      <w:r>
        <w:rPr>
          <w:color w:val="231F20"/>
          <w:spacing w:val="-15"/>
        </w:rPr>
        <w:t> </w:t>
      </w:r>
      <w:r>
        <w:rPr>
          <w:color w:val="231F20"/>
        </w:rPr>
        <w:t>: les Anti- Balaka</w:t>
      </w:r>
      <w:r>
        <w:rPr>
          <w:color w:val="231F20"/>
          <w:vertAlign w:val="superscript"/>
        </w:rPr>
        <w:t>64</w:t>
      </w:r>
      <w:r>
        <w:rPr>
          <w:color w:val="231F20"/>
          <w:spacing w:val="-15"/>
          <w:vertAlign w:val="baseline"/>
        </w:rPr>
        <w:t> </w:t>
      </w:r>
      <w:r>
        <w:rPr>
          <w:color w:val="231F20"/>
          <w:vertAlign w:val="baseline"/>
        </w:rPr>
        <w:t>. A la violence des éléments de la Seleka, les Anti- Balaka répondent aussi par la violence. Les Anti-Balaka sont majoritairement animistes et chrétiens. Ils sont rejoints par les partisans du président Bozizé</w:t>
      </w:r>
      <w:r>
        <w:rPr>
          <w:color w:val="231F20"/>
          <w:spacing w:val="-3"/>
          <w:vertAlign w:val="baseline"/>
        </w:rPr>
        <w:t> </w:t>
      </w:r>
      <w:r>
        <w:rPr>
          <w:color w:val="231F20"/>
          <w:vertAlign w:val="baseline"/>
        </w:rPr>
        <w:t>en</w:t>
      </w:r>
      <w:r>
        <w:rPr>
          <w:color w:val="231F20"/>
          <w:spacing w:val="-3"/>
          <w:vertAlign w:val="baseline"/>
        </w:rPr>
        <w:t> </w:t>
      </w:r>
      <w:r>
        <w:rPr>
          <w:color w:val="231F20"/>
          <w:vertAlign w:val="baseline"/>
        </w:rPr>
        <w:t>fuite</w:t>
      </w:r>
      <w:r>
        <w:rPr>
          <w:color w:val="231F20"/>
          <w:spacing w:val="-5"/>
          <w:vertAlign w:val="baseline"/>
        </w:rPr>
        <w:t> </w:t>
      </w:r>
      <w:r>
        <w:rPr>
          <w:color w:val="231F20"/>
          <w:vertAlign w:val="baseline"/>
        </w:rPr>
        <w:t>et</w:t>
      </w:r>
      <w:r>
        <w:rPr>
          <w:color w:val="231F20"/>
          <w:spacing w:val="-3"/>
          <w:vertAlign w:val="baseline"/>
        </w:rPr>
        <w:t> </w:t>
      </w:r>
      <w:r>
        <w:rPr>
          <w:color w:val="231F20"/>
          <w:vertAlign w:val="baseline"/>
        </w:rPr>
        <w:t>d’anciens</w:t>
      </w:r>
      <w:r>
        <w:rPr>
          <w:color w:val="231F20"/>
          <w:spacing w:val="-3"/>
          <w:vertAlign w:val="baseline"/>
        </w:rPr>
        <w:t> </w:t>
      </w:r>
      <w:r>
        <w:rPr>
          <w:color w:val="231F20"/>
          <w:vertAlign w:val="baseline"/>
        </w:rPr>
        <w:t>soldats</w:t>
      </w:r>
      <w:r>
        <w:rPr>
          <w:color w:val="231F20"/>
          <w:spacing w:val="-4"/>
          <w:vertAlign w:val="baseline"/>
        </w:rPr>
        <w:t> </w:t>
      </w:r>
      <w:r>
        <w:rPr>
          <w:color w:val="231F20"/>
          <w:vertAlign w:val="baseline"/>
        </w:rPr>
        <w:t>des</w:t>
      </w:r>
      <w:r>
        <w:rPr>
          <w:color w:val="231F20"/>
          <w:spacing w:val="-4"/>
          <w:vertAlign w:val="baseline"/>
        </w:rPr>
        <w:t> </w:t>
      </w:r>
      <w:r>
        <w:rPr>
          <w:color w:val="231F20"/>
          <w:vertAlign w:val="baseline"/>
        </w:rPr>
        <w:t>Forces</w:t>
      </w:r>
      <w:r>
        <w:rPr>
          <w:color w:val="231F20"/>
          <w:spacing w:val="-3"/>
          <w:vertAlign w:val="baseline"/>
        </w:rPr>
        <w:t> </w:t>
      </w:r>
      <w:r>
        <w:rPr>
          <w:color w:val="231F20"/>
          <w:vertAlign w:val="baseline"/>
        </w:rPr>
        <w:t>Armées</w:t>
      </w:r>
      <w:r>
        <w:rPr>
          <w:color w:val="231F20"/>
          <w:spacing w:val="-5"/>
          <w:vertAlign w:val="baseline"/>
        </w:rPr>
        <w:t> </w:t>
      </w:r>
      <w:r>
        <w:rPr>
          <w:color w:val="231F20"/>
          <w:vertAlign w:val="baseline"/>
        </w:rPr>
        <w:t>Centrafricaines hostiles au nouveau président.</w:t>
      </w:r>
    </w:p>
    <w:p>
      <w:pPr>
        <w:pStyle w:val="BodyText"/>
        <w:spacing w:before="121"/>
        <w:ind w:right="103" w:firstLine="283"/>
      </w:pPr>
      <w:r>
        <w:rPr>
          <w:color w:val="231F20"/>
        </w:rPr>
        <w:t>Le</w:t>
      </w:r>
      <w:r>
        <w:rPr>
          <w:color w:val="231F20"/>
          <w:spacing w:val="-15"/>
        </w:rPr>
        <w:t> </w:t>
      </w:r>
      <w:r>
        <w:rPr>
          <w:color w:val="231F20"/>
        </w:rPr>
        <w:t>5</w:t>
      </w:r>
      <w:r>
        <w:rPr>
          <w:color w:val="231F20"/>
          <w:spacing w:val="-15"/>
        </w:rPr>
        <w:t> </w:t>
      </w:r>
      <w:r>
        <w:rPr>
          <w:color w:val="231F20"/>
        </w:rPr>
        <w:t>décembre</w:t>
      </w:r>
      <w:r>
        <w:rPr>
          <w:color w:val="231F20"/>
          <w:spacing w:val="-15"/>
        </w:rPr>
        <w:t> </w:t>
      </w:r>
      <w:r>
        <w:rPr>
          <w:color w:val="231F20"/>
        </w:rPr>
        <w:t>2013,</w:t>
      </w:r>
      <w:r>
        <w:rPr>
          <w:color w:val="231F20"/>
          <w:spacing w:val="-15"/>
        </w:rPr>
        <w:t> </w:t>
      </w:r>
      <w:r>
        <w:rPr>
          <w:color w:val="231F20"/>
        </w:rPr>
        <w:t>une</w:t>
      </w:r>
      <w:r>
        <w:rPr>
          <w:color w:val="231F20"/>
          <w:spacing w:val="-15"/>
        </w:rPr>
        <w:t> </w:t>
      </w:r>
      <w:r>
        <w:rPr>
          <w:color w:val="231F20"/>
        </w:rPr>
        <w:t>résolution</w:t>
      </w:r>
      <w:r>
        <w:rPr>
          <w:color w:val="231F20"/>
          <w:spacing w:val="-15"/>
        </w:rPr>
        <w:t> </w:t>
      </w:r>
      <w:r>
        <w:rPr>
          <w:color w:val="231F20"/>
        </w:rPr>
        <w:t>des</w:t>
      </w:r>
      <w:r>
        <w:rPr>
          <w:color w:val="231F20"/>
          <w:spacing w:val="-15"/>
        </w:rPr>
        <w:t> </w:t>
      </w:r>
      <w:r>
        <w:rPr>
          <w:color w:val="231F20"/>
        </w:rPr>
        <w:t>Nations</w:t>
      </w:r>
      <w:r>
        <w:rPr>
          <w:color w:val="231F20"/>
          <w:spacing w:val="-15"/>
        </w:rPr>
        <w:t> </w:t>
      </w:r>
      <w:r>
        <w:rPr>
          <w:color w:val="231F20"/>
        </w:rPr>
        <w:t>Unies</w:t>
      </w:r>
      <w:r>
        <w:rPr>
          <w:color w:val="231F20"/>
          <w:spacing w:val="-15"/>
        </w:rPr>
        <w:t> </w:t>
      </w:r>
      <w:r>
        <w:rPr>
          <w:color w:val="231F20"/>
        </w:rPr>
        <w:t>donne</w:t>
      </w:r>
      <w:r>
        <w:rPr>
          <w:color w:val="231F20"/>
          <w:spacing w:val="-15"/>
        </w:rPr>
        <w:t> </w:t>
      </w:r>
      <w:r>
        <w:rPr>
          <w:color w:val="231F20"/>
        </w:rPr>
        <w:t>mandat </w:t>
      </w:r>
      <w:r>
        <w:rPr>
          <w:color w:val="231F20"/>
          <w:spacing w:val="-2"/>
        </w:rPr>
        <w:t>à</w:t>
      </w:r>
      <w:r>
        <w:rPr>
          <w:color w:val="231F20"/>
          <w:spacing w:val="-8"/>
        </w:rPr>
        <w:t> </w:t>
      </w:r>
      <w:r>
        <w:rPr>
          <w:color w:val="231F20"/>
          <w:spacing w:val="-2"/>
        </w:rPr>
        <w:t>la</w:t>
      </w:r>
      <w:r>
        <w:rPr>
          <w:color w:val="231F20"/>
          <w:spacing w:val="-8"/>
        </w:rPr>
        <w:t> </w:t>
      </w:r>
      <w:r>
        <w:rPr>
          <w:color w:val="231F20"/>
          <w:spacing w:val="-2"/>
        </w:rPr>
        <w:t>France</w:t>
      </w:r>
      <w:r>
        <w:rPr>
          <w:color w:val="231F20"/>
          <w:spacing w:val="-8"/>
        </w:rPr>
        <w:t> </w:t>
      </w:r>
      <w:r>
        <w:rPr>
          <w:color w:val="231F20"/>
          <w:spacing w:val="-2"/>
        </w:rPr>
        <w:t>d’envoyer</w:t>
      </w:r>
      <w:r>
        <w:rPr>
          <w:color w:val="231F20"/>
          <w:spacing w:val="-8"/>
        </w:rPr>
        <w:t> </w:t>
      </w:r>
      <w:r>
        <w:rPr>
          <w:color w:val="231F20"/>
          <w:spacing w:val="-2"/>
        </w:rPr>
        <w:t>des</w:t>
      </w:r>
      <w:r>
        <w:rPr>
          <w:color w:val="231F20"/>
          <w:spacing w:val="-8"/>
        </w:rPr>
        <w:t> </w:t>
      </w:r>
      <w:r>
        <w:rPr>
          <w:color w:val="231F20"/>
          <w:spacing w:val="-2"/>
        </w:rPr>
        <w:t>troupes</w:t>
      </w:r>
      <w:r>
        <w:rPr>
          <w:color w:val="231F20"/>
          <w:spacing w:val="-8"/>
        </w:rPr>
        <w:t> </w:t>
      </w:r>
      <w:r>
        <w:rPr>
          <w:color w:val="231F20"/>
          <w:spacing w:val="-2"/>
        </w:rPr>
        <w:t>armées</w:t>
      </w:r>
      <w:r>
        <w:rPr>
          <w:color w:val="231F20"/>
          <w:spacing w:val="-8"/>
        </w:rPr>
        <w:t> </w:t>
      </w:r>
      <w:r>
        <w:rPr>
          <w:color w:val="231F20"/>
          <w:spacing w:val="-2"/>
        </w:rPr>
        <w:t>en</w:t>
      </w:r>
      <w:r>
        <w:rPr>
          <w:color w:val="231F20"/>
          <w:spacing w:val="-11"/>
        </w:rPr>
        <w:t> </w:t>
      </w:r>
      <w:r>
        <w:rPr>
          <w:color w:val="231F20"/>
          <w:spacing w:val="-2"/>
        </w:rPr>
        <w:t>République</w:t>
      </w:r>
      <w:r>
        <w:rPr>
          <w:color w:val="231F20"/>
          <w:spacing w:val="-11"/>
        </w:rPr>
        <w:t> </w:t>
      </w:r>
      <w:r>
        <w:rPr>
          <w:color w:val="231F20"/>
          <w:spacing w:val="-2"/>
        </w:rPr>
        <w:t>Centrafricaine</w:t>
      </w:r>
      <w:r>
        <w:rPr>
          <w:color w:val="231F20"/>
          <w:spacing w:val="-10"/>
        </w:rPr>
        <w:t> </w:t>
      </w:r>
      <w:r>
        <w:rPr>
          <w:color w:val="231F20"/>
          <w:spacing w:val="-2"/>
        </w:rPr>
        <w:t>: </w:t>
      </w:r>
      <w:r>
        <w:rPr>
          <w:color w:val="231F20"/>
        </w:rPr>
        <w:t>c’est l’opération</w:t>
      </w:r>
      <w:r>
        <w:rPr>
          <w:color w:val="231F20"/>
          <w:spacing w:val="-1"/>
        </w:rPr>
        <w:t> </w:t>
      </w:r>
      <w:r>
        <w:rPr>
          <w:color w:val="231F20"/>
        </w:rPr>
        <w:t>SANGARIS. Cette</w:t>
      </w:r>
      <w:r>
        <w:rPr>
          <w:color w:val="231F20"/>
          <w:spacing w:val="-2"/>
        </w:rPr>
        <w:t> </w:t>
      </w:r>
      <w:r>
        <w:rPr>
          <w:color w:val="231F20"/>
        </w:rPr>
        <w:t>opération est</w:t>
      </w:r>
      <w:r>
        <w:rPr>
          <w:color w:val="231F20"/>
          <w:spacing w:val="-2"/>
        </w:rPr>
        <w:t> </w:t>
      </w:r>
      <w:r>
        <w:rPr>
          <w:color w:val="231F20"/>
        </w:rPr>
        <w:t>la</w:t>
      </w:r>
      <w:r>
        <w:rPr>
          <w:color w:val="231F20"/>
          <w:spacing w:val="-1"/>
        </w:rPr>
        <w:t> </w:t>
      </w:r>
      <w:r>
        <w:rPr>
          <w:color w:val="231F20"/>
        </w:rPr>
        <w:t>7ème</w:t>
      </w:r>
      <w:r>
        <w:rPr>
          <w:color w:val="231F20"/>
          <w:spacing w:val="-2"/>
        </w:rPr>
        <w:t> </w:t>
      </w:r>
      <w:r>
        <w:rPr>
          <w:color w:val="231F20"/>
        </w:rPr>
        <w:t>intervention militaire</w:t>
      </w:r>
      <w:r>
        <w:rPr>
          <w:color w:val="231F20"/>
          <w:spacing w:val="-3"/>
        </w:rPr>
        <w:t> </w:t>
      </w:r>
      <w:r>
        <w:rPr>
          <w:color w:val="231F20"/>
        </w:rPr>
        <w:t>française</w:t>
      </w:r>
      <w:r>
        <w:rPr>
          <w:color w:val="231F20"/>
          <w:spacing w:val="-6"/>
        </w:rPr>
        <w:t> </w:t>
      </w:r>
      <w:r>
        <w:rPr>
          <w:color w:val="231F20"/>
        </w:rPr>
        <w:t>dans</w:t>
      </w:r>
      <w:r>
        <w:rPr>
          <w:color w:val="231F20"/>
          <w:spacing w:val="-4"/>
        </w:rPr>
        <w:t> </w:t>
      </w:r>
      <w:r>
        <w:rPr>
          <w:color w:val="231F20"/>
        </w:rPr>
        <w:t>le</w:t>
      </w:r>
      <w:r>
        <w:rPr>
          <w:color w:val="231F20"/>
          <w:spacing w:val="-6"/>
        </w:rPr>
        <w:t> </w:t>
      </w:r>
      <w:r>
        <w:rPr>
          <w:color w:val="231F20"/>
        </w:rPr>
        <w:t>pays</w:t>
      </w:r>
      <w:r>
        <w:rPr>
          <w:color w:val="231F20"/>
          <w:spacing w:val="-3"/>
        </w:rPr>
        <w:t> </w:t>
      </w:r>
      <w:r>
        <w:rPr>
          <w:color w:val="231F20"/>
        </w:rPr>
        <w:t>depuis</w:t>
      </w:r>
      <w:r>
        <w:rPr>
          <w:color w:val="231F20"/>
          <w:spacing w:val="-5"/>
        </w:rPr>
        <w:t> </w:t>
      </w:r>
      <w:r>
        <w:rPr>
          <w:color w:val="231F20"/>
        </w:rPr>
        <w:t>l’indépendance.</w:t>
      </w:r>
    </w:p>
    <w:p>
      <w:pPr>
        <w:pStyle w:val="BodyText"/>
        <w:spacing w:before="100"/>
        <w:ind w:left="0"/>
        <w:jc w:val="left"/>
        <w:rPr>
          <w:sz w:val="20"/>
        </w:rPr>
      </w:pPr>
      <w:r>
        <w:rPr/>
        <mc:AlternateContent>
          <mc:Choice Requires="wps">
            <w:drawing>
              <wp:anchor distT="0" distB="0" distL="0" distR="0" allowOverlap="1" layoutInCell="1" locked="0" behindDoc="1" simplePos="0" relativeHeight="487609344">
                <wp:simplePos x="0" y="0"/>
                <wp:positionH relativeFrom="page">
                  <wp:posOffset>629907</wp:posOffset>
                </wp:positionH>
                <wp:positionV relativeFrom="paragraph">
                  <wp:posOffset>224994</wp:posOffset>
                </wp:positionV>
                <wp:extent cx="1829435" cy="9525"/>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716076pt;width:144.020pt;height:.71994pt;mso-position-horizontal-relative:page;mso-position-vertical-relative:paragraph;z-index:-15707136;mso-wrap-distance-left:0;mso-wrap-distance-right:0" id="docshape57" filled="true" fillcolor="#231f20" stroked="false">
                <v:fill type="solid"/>
                <w10:wrap type="topAndBottom"/>
              </v:rect>
            </w:pict>
          </mc:Fallback>
        </mc:AlternateContent>
      </w:r>
    </w:p>
    <w:p>
      <w:pPr>
        <w:spacing w:before="91"/>
        <w:ind w:left="111" w:right="106" w:firstLine="0"/>
        <w:jc w:val="both"/>
        <w:rPr>
          <w:sz w:val="20"/>
        </w:rPr>
      </w:pPr>
      <w:r>
        <w:rPr>
          <w:color w:val="76787A"/>
          <w:spacing w:val="-2"/>
          <w:sz w:val="20"/>
          <w:vertAlign w:val="superscript"/>
        </w:rPr>
        <w:t>64</w:t>
      </w:r>
      <w:r>
        <w:rPr>
          <w:color w:val="76787A"/>
          <w:spacing w:val="-7"/>
          <w:sz w:val="20"/>
          <w:vertAlign w:val="baseline"/>
        </w:rPr>
        <w:t> </w:t>
      </w:r>
      <w:r>
        <w:rPr>
          <w:color w:val="231F20"/>
          <w:spacing w:val="-2"/>
          <w:sz w:val="20"/>
          <w:vertAlign w:val="baseline"/>
        </w:rPr>
        <w:t>milices</w:t>
      </w:r>
      <w:r>
        <w:rPr>
          <w:color w:val="231F20"/>
          <w:spacing w:val="-7"/>
          <w:sz w:val="20"/>
          <w:vertAlign w:val="baseline"/>
        </w:rPr>
        <w:t> </w:t>
      </w:r>
      <w:r>
        <w:rPr>
          <w:color w:val="231F20"/>
          <w:spacing w:val="-2"/>
          <w:sz w:val="20"/>
          <w:vertAlign w:val="baseline"/>
        </w:rPr>
        <w:t>armées</w:t>
      </w:r>
      <w:r>
        <w:rPr>
          <w:color w:val="231F20"/>
          <w:spacing w:val="-8"/>
          <w:sz w:val="20"/>
          <w:vertAlign w:val="baseline"/>
        </w:rPr>
        <w:t> </w:t>
      </w:r>
      <w:r>
        <w:rPr>
          <w:color w:val="231F20"/>
          <w:spacing w:val="-2"/>
          <w:sz w:val="20"/>
          <w:vertAlign w:val="baseline"/>
        </w:rPr>
        <w:t>essentiellement</w:t>
      </w:r>
      <w:r>
        <w:rPr>
          <w:color w:val="231F20"/>
          <w:spacing w:val="-9"/>
          <w:sz w:val="20"/>
          <w:vertAlign w:val="baseline"/>
        </w:rPr>
        <w:t> </w:t>
      </w:r>
      <w:r>
        <w:rPr>
          <w:color w:val="231F20"/>
          <w:spacing w:val="-2"/>
          <w:sz w:val="20"/>
          <w:vertAlign w:val="baseline"/>
        </w:rPr>
        <w:t>de</w:t>
      </w:r>
      <w:r>
        <w:rPr>
          <w:color w:val="231F20"/>
          <w:spacing w:val="-6"/>
          <w:sz w:val="20"/>
          <w:vertAlign w:val="baseline"/>
        </w:rPr>
        <w:t> </w:t>
      </w:r>
      <w:r>
        <w:rPr>
          <w:color w:val="231F20"/>
          <w:spacing w:val="-2"/>
          <w:sz w:val="20"/>
          <w:vertAlign w:val="baseline"/>
        </w:rPr>
        <w:t>machettes</w:t>
      </w:r>
      <w:r>
        <w:rPr>
          <w:color w:val="231F20"/>
          <w:spacing w:val="-8"/>
          <w:sz w:val="20"/>
          <w:vertAlign w:val="baseline"/>
        </w:rPr>
        <w:t> </w:t>
      </w:r>
      <w:r>
        <w:rPr>
          <w:color w:val="231F20"/>
          <w:spacing w:val="-2"/>
          <w:sz w:val="20"/>
          <w:vertAlign w:val="baseline"/>
        </w:rPr>
        <w:t>et</w:t>
      </w:r>
      <w:r>
        <w:rPr>
          <w:color w:val="231F20"/>
          <w:spacing w:val="-8"/>
          <w:sz w:val="20"/>
          <w:vertAlign w:val="baseline"/>
        </w:rPr>
        <w:t> </w:t>
      </w:r>
      <w:r>
        <w:rPr>
          <w:color w:val="231F20"/>
          <w:spacing w:val="-2"/>
          <w:sz w:val="20"/>
          <w:vertAlign w:val="baseline"/>
        </w:rPr>
        <w:t>d’arcs,</w:t>
      </w:r>
      <w:r>
        <w:rPr>
          <w:color w:val="231F20"/>
          <w:spacing w:val="-8"/>
          <w:sz w:val="20"/>
          <w:vertAlign w:val="baseline"/>
        </w:rPr>
        <w:t> </w:t>
      </w:r>
      <w:r>
        <w:rPr>
          <w:color w:val="231F20"/>
          <w:spacing w:val="-2"/>
          <w:sz w:val="20"/>
          <w:vertAlign w:val="baseline"/>
        </w:rPr>
        <w:t>portent</w:t>
      </w:r>
      <w:r>
        <w:rPr>
          <w:color w:val="231F20"/>
          <w:spacing w:val="-9"/>
          <w:sz w:val="20"/>
          <w:vertAlign w:val="baseline"/>
        </w:rPr>
        <w:t> </w:t>
      </w:r>
      <w:r>
        <w:rPr>
          <w:color w:val="231F20"/>
          <w:spacing w:val="-2"/>
          <w:sz w:val="20"/>
          <w:vertAlign w:val="baseline"/>
        </w:rPr>
        <w:t>des</w:t>
      </w:r>
      <w:r>
        <w:rPr>
          <w:color w:val="231F20"/>
          <w:spacing w:val="-8"/>
          <w:sz w:val="20"/>
          <w:vertAlign w:val="baseline"/>
        </w:rPr>
        <w:t> </w:t>
      </w:r>
      <w:r>
        <w:rPr>
          <w:color w:val="231F20"/>
          <w:spacing w:val="-2"/>
          <w:sz w:val="20"/>
          <w:vertAlign w:val="baseline"/>
        </w:rPr>
        <w:t>colliers</w:t>
      </w:r>
      <w:r>
        <w:rPr>
          <w:color w:val="231F20"/>
          <w:spacing w:val="-9"/>
          <w:sz w:val="20"/>
          <w:vertAlign w:val="baseline"/>
        </w:rPr>
        <w:t> </w:t>
      </w:r>
      <w:r>
        <w:rPr>
          <w:color w:val="231F20"/>
          <w:spacing w:val="-2"/>
          <w:sz w:val="20"/>
          <w:vertAlign w:val="baseline"/>
        </w:rPr>
        <w:t>et</w:t>
      </w:r>
      <w:r>
        <w:rPr>
          <w:color w:val="231F20"/>
          <w:spacing w:val="-7"/>
          <w:sz w:val="20"/>
          <w:vertAlign w:val="baseline"/>
        </w:rPr>
        <w:t> </w:t>
      </w:r>
      <w:r>
        <w:rPr>
          <w:color w:val="231F20"/>
          <w:spacing w:val="-2"/>
          <w:sz w:val="20"/>
          <w:vertAlign w:val="baseline"/>
        </w:rPr>
        <w:t>des</w:t>
      </w:r>
      <w:r>
        <w:rPr>
          <w:color w:val="231F20"/>
          <w:spacing w:val="-9"/>
          <w:sz w:val="20"/>
          <w:vertAlign w:val="baseline"/>
        </w:rPr>
        <w:t> </w:t>
      </w:r>
      <w:r>
        <w:rPr>
          <w:color w:val="231F20"/>
          <w:spacing w:val="-2"/>
          <w:sz w:val="20"/>
          <w:vertAlign w:val="baseline"/>
        </w:rPr>
        <w:t>gris- </w:t>
      </w:r>
      <w:r>
        <w:rPr>
          <w:color w:val="231F20"/>
          <w:sz w:val="20"/>
          <w:vertAlign w:val="baseline"/>
        </w:rPr>
        <w:t>gris</w:t>
      </w:r>
      <w:r>
        <w:rPr>
          <w:color w:val="231F20"/>
          <w:spacing w:val="-13"/>
          <w:sz w:val="20"/>
          <w:vertAlign w:val="baseline"/>
        </w:rPr>
        <w:t> </w:t>
      </w:r>
      <w:r>
        <w:rPr>
          <w:color w:val="231F20"/>
          <w:sz w:val="20"/>
          <w:vertAlign w:val="baseline"/>
        </w:rPr>
        <w:t>appelés</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anti-balles</w:t>
      </w:r>
      <w:r>
        <w:rPr>
          <w:color w:val="231F20"/>
          <w:spacing w:val="-12"/>
          <w:sz w:val="20"/>
          <w:vertAlign w:val="baseline"/>
        </w:rPr>
        <w:t> </w:t>
      </w:r>
      <w:r>
        <w:rPr>
          <w:color w:val="231F20"/>
          <w:sz w:val="20"/>
          <w:vertAlign w:val="baseline"/>
        </w:rPr>
        <w:t>ak</w:t>
      </w:r>
      <w:r>
        <w:rPr>
          <w:color w:val="231F20"/>
          <w:spacing w:val="-13"/>
          <w:sz w:val="20"/>
          <w:vertAlign w:val="baseline"/>
        </w:rPr>
        <w:t> </w:t>
      </w:r>
      <w:r>
        <w:rPr>
          <w:color w:val="231F20"/>
          <w:sz w:val="20"/>
          <w:vertAlign w:val="baseline"/>
        </w:rPr>
        <w:t>»</w:t>
      </w:r>
      <w:r>
        <w:rPr>
          <w:color w:val="231F20"/>
          <w:spacing w:val="-9"/>
          <w:sz w:val="20"/>
          <w:vertAlign w:val="baseline"/>
        </w:rPr>
        <w:t> </w:t>
      </w:r>
      <w:r>
        <w:rPr>
          <w:color w:val="231F20"/>
          <w:sz w:val="20"/>
          <w:vertAlign w:val="baseline"/>
        </w:rPr>
        <w:t>qui</w:t>
      </w:r>
      <w:r>
        <w:rPr>
          <w:color w:val="231F20"/>
          <w:spacing w:val="-11"/>
          <w:sz w:val="20"/>
          <w:vertAlign w:val="baseline"/>
        </w:rPr>
        <w:t> </w:t>
      </w:r>
      <w:r>
        <w:rPr>
          <w:color w:val="231F20"/>
          <w:sz w:val="20"/>
          <w:vertAlign w:val="baseline"/>
        </w:rPr>
        <w:t>protégeraient</w:t>
      </w:r>
      <w:r>
        <w:rPr>
          <w:color w:val="231F20"/>
          <w:spacing w:val="-9"/>
          <w:sz w:val="20"/>
          <w:vertAlign w:val="baseline"/>
        </w:rPr>
        <w:t> </w:t>
      </w:r>
      <w:r>
        <w:rPr>
          <w:color w:val="231F20"/>
          <w:sz w:val="20"/>
          <w:vertAlign w:val="baseline"/>
        </w:rPr>
        <w:t>ses</w:t>
      </w:r>
      <w:r>
        <w:rPr>
          <w:color w:val="231F20"/>
          <w:spacing w:val="-10"/>
          <w:sz w:val="20"/>
          <w:vertAlign w:val="baseline"/>
        </w:rPr>
        <w:t> </w:t>
      </w:r>
      <w:r>
        <w:rPr>
          <w:color w:val="231F20"/>
          <w:sz w:val="20"/>
          <w:vertAlign w:val="baseline"/>
        </w:rPr>
        <w:t>porteurs</w:t>
      </w:r>
      <w:r>
        <w:rPr>
          <w:color w:val="231F20"/>
          <w:spacing w:val="-10"/>
          <w:sz w:val="20"/>
          <w:vertAlign w:val="baseline"/>
        </w:rPr>
        <w:t> </w:t>
      </w:r>
      <w:r>
        <w:rPr>
          <w:color w:val="231F20"/>
          <w:sz w:val="20"/>
          <w:vertAlign w:val="baseline"/>
        </w:rPr>
        <w:t>contre</w:t>
      </w:r>
      <w:r>
        <w:rPr>
          <w:color w:val="231F20"/>
          <w:spacing w:val="-9"/>
          <w:sz w:val="20"/>
          <w:vertAlign w:val="baseline"/>
        </w:rPr>
        <w:t> </w:t>
      </w:r>
      <w:r>
        <w:rPr>
          <w:color w:val="231F20"/>
          <w:sz w:val="20"/>
          <w:vertAlign w:val="baseline"/>
        </w:rPr>
        <w:t>les</w:t>
      </w:r>
      <w:r>
        <w:rPr>
          <w:color w:val="231F20"/>
          <w:spacing w:val="-11"/>
          <w:sz w:val="20"/>
          <w:vertAlign w:val="baseline"/>
        </w:rPr>
        <w:t> </w:t>
      </w:r>
      <w:r>
        <w:rPr>
          <w:color w:val="231F20"/>
          <w:sz w:val="20"/>
          <w:vertAlign w:val="baseline"/>
        </w:rPr>
        <w:t>balles</w:t>
      </w:r>
      <w:r>
        <w:rPr>
          <w:color w:val="231F20"/>
          <w:spacing w:val="-10"/>
          <w:sz w:val="20"/>
          <w:vertAlign w:val="baseline"/>
        </w:rPr>
        <w:t> </w:t>
      </w:r>
      <w:r>
        <w:rPr>
          <w:color w:val="231F20"/>
          <w:sz w:val="20"/>
          <w:vertAlign w:val="baseline"/>
        </w:rPr>
        <w:t>des</w:t>
      </w:r>
      <w:r>
        <w:rPr>
          <w:color w:val="231F20"/>
          <w:spacing w:val="-11"/>
          <w:sz w:val="20"/>
          <w:vertAlign w:val="baseline"/>
        </w:rPr>
        <w:t> </w:t>
      </w:r>
      <w:r>
        <w:rPr>
          <w:color w:val="231F20"/>
          <w:sz w:val="20"/>
          <w:vertAlign w:val="baseline"/>
        </w:rPr>
        <w:t>fusils </w:t>
      </w:r>
      <w:r>
        <w:rPr>
          <w:color w:val="231F20"/>
          <w:spacing w:val="-2"/>
          <w:sz w:val="20"/>
          <w:vertAlign w:val="baseline"/>
        </w:rPr>
        <w:t>ak-47.</w:t>
      </w:r>
    </w:p>
    <w:p>
      <w:pPr>
        <w:spacing w:after="0"/>
        <w:jc w:val="both"/>
        <w:rPr>
          <w:sz w:val="20"/>
        </w:rPr>
        <w:sectPr>
          <w:pgSz w:w="8790" w:h="13610"/>
          <w:pgMar w:header="0" w:footer="802" w:top="1060" w:bottom="1000" w:left="880" w:right="880"/>
        </w:sectPr>
      </w:pPr>
    </w:p>
    <w:p>
      <w:pPr>
        <w:pStyle w:val="BodyText"/>
        <w:spacing w:before="66"/>
        <w:ind w:right="107" w:firstLine="283"/>
      </w:pPr>
      <w:r>
        <w:rPr>
          <w:color w:val="231F20"/>
        </w:rPr>
        <w:t>Les affrontements entre groupes armés musulmans et milices chrétiennes animistes "anti-balaka" ont causé des milliers de morts et forcé</w:t>
      </w:r>
      <w:r>
        <w:rPr>
          <w:color w:val="231F20"/>
          <w:spacing w:val="40"/>
        </w:rPr>
        <w:t> </w:t>
      </w:r>
      <w:r>
        <w:rPr>
          <w:color w:val="231F20"/>
        </w:rPr>
        <w:t>près</w:t>
      </w:r>
      <w:r>
        <w:rPr>
          <w:color w:val="231F20"/>
          <w:spacing w:val="40"/>
        </w:rPr>
        <w:t> </w:t>
      </w:r>
      <w:r>
        <w:rPr>
          <w:color w:val="231F20"/>
        </w:rPr>
        <w:t>du</w:t>
      </w:r>
      <w:r>
        <w:rPr>
          <w:color w:val="231F20"/>
          <w:spacing w:val="40"/>
        </w:rPr>
        <w:t> </w:t>
      </w:r>
      <w:r>
        <w:rPr>
          <w:color w:val="231F20"/>
        </w:rPr>
        <w:t>quart</w:t>
      </w:r>
      <w:r>
        <w:rPr>
          <w:color w:val="231F20"/>
          <w:spacing w:val="40"/>
        </w:rPr>
        <w:t> </w:t>
      </w:r>
      <w:r>
        <w:rPr>
          <w:color w:val="231F20"/>
        </w:rPr>
        <w:t>des</w:t>
      </w:r>
      <w:r>
        <w:rPr>
          <w:color w:val="231F20"/>
          <w:spacing w:val="40"/>
        </w:rPr>
        <w:t> </w:t>
      </w:r>
      <w:r>
        <w:rPr>
          <w:color w:val="231F20"/>
        </w:rPr>
        <w:t>4,7</w:t>
      </w:r>
      <w:r>
        <w:rPr>
          <w:color w:val="231F20"/>
          <w:spacing w:val="40"/>
        </w:rPr>
        <w:t> </w:t>
      </w:r>
      <w:r>
        <w:rPr>
          <w:color w:val="231F20"/>
        </w:rPr>
        <w:t>millions</w:t>
      </w:r>
      <w:r>
        <w:rPr>
          <w:color w:val="231F20"/>
          <w:spacing w:val="40"/>
        </w:rPr>
        <w:t> </w:t>
      </w:r>
      <w:r>
        <w:rPr>
          <w:color w:val="231F20"/>
        </w:rPr>
        <w:t>de</w:t>
      </w:r>
      <w:r>
        <w:rPr>
          <w:color w:val="231F20"/>
          <w:spacing w:val="40"/>
        </w:rPr>
        <w:t> </w:t>
      </w:r>
      <w:r>
        <w:rPr>
          <w:color w:val="231F20"/>
        </w:rPr>
        <w:t>Centrafricains</w:t>
      </w:r>
      <w:r>
        <w:rPr>
          <w:color w:val="231F20"/>
          <w:spacing w:val="40"/>
        </w:rPr>
        <w:t> </w:t>
      </w:r>
      <w:r>
        <w:rPr>
          <w:color w:val="231F20"/>
        </w:rPr>
        <w:t>à</w:t>
      </w:r>
      <w:r>
        <w:rPr>
          <w:color w:val="231F20"/>
          <w:spacing w:val="40"/>
        </w:rPr>
        <w:t> </w:t>
      </w:r>
      <w:r>
        <w:rPr>
          <w:color w:val="231F20"/>
        </w:rPr>
        <w:t>l'exil.</w:t>
      </w:r>
      <w:r>
        <w:rPr>
          <w:color w:val="231F20"/>
          <w:spacing w:val="80"/>
          <w:w w:val="150"/>
        </w:rPr>
        <w:t> </w:t>
      </w:r>
      <w:r>
        <w:rPr>
          <w:color w:val="231F20"/>
        </w:rPr>
        <w:t>Jugé responsable de la crise en Centrafrique, le président Djotodia est poussé à la démission le 10 janvier 2014.La Seleka se mue en Front </w:t>
      </w:r>
      <w:r>
        <w:rPr>
          <w:color w:val="231F20"/>
          <w:spacing w:val="-2"/>
        </w:rPr>
        <w:t>Populaire</w:t>
      </w:r>
      <w:r>
        <w:rPr>
          <w:color w:val="231F20"/>
          <w:spacing w:val="-15"/>
        </w:rPr>
        <w:t> </w:t>
      </w:r>
      <w:r>
        <w:rPr>
          <w:color w:val="231F20"/>
          <w:spacing w:val="-2"/>
        </w:rPr>
        <w:t>Pour</w:t>
      </w:r>
      <w:r>
        <w:rPr>
          <w:color w:val="231F20"/>
          <w:spacing w:val="-13"/>
        </w:rPr>
        <w:t> </w:t>
      </w:r>
      <w:r>
        <w:rPr>
          <w:color w:val="231F20"/>
          <w:spacing w:val="-2"/>
        </w:rPr>
        <w:t>la</w:t>
      </w:r>
      <w:r>
        <w:rPr>
          <w:color w:val="231F20"/>
          <w:spacing w:val="-12"/>
        </w:rPr>
        <w:t> </w:t>
      </w:r>
      <w:r>
        <w:rPr>
          <w:color w:val="231F20"/>
          <w:spacing w:val="-2"/>
        </w:rPr>
        <w:t>Renaissance</w:t>
      </w:r>
      <w:r>
        <w:rPr>
          <w:color w:val="231F20"/>
          <w:spacing w:val="-10"/>
        </w:rPr>
        <w:t> </w:t>
      </w:r>
      <w:r>
        <w:rPr>
          <w:color w:val="231F20"/>
          <w:spacing w:val="-2"/>
        </w:rPr>
        <w:t>de</w:t>
      </w:r>
      <w:r>
        <w:rPr>
          <w:color w:val="231F20"/>
          <w:spacing w:val="-11"/>
        </w:rPr>
        <w:t> </w:t>
      </w:r>
      <w:r>
        <w:rPr>
          <w:color w:val="231F20"/>
          <w:spacing w:val="-2"/>
        </w:rPr>
        <w:t>la</w:t>
      </w:r>
      <w:r>
        <w:rPr>
          <w:color w:val="231F20"/>
          <w:spacing w:val="-12"/>
        </w:rPr>
        <w:t> </w:t>
      </w:r>
      <w:r>
        <w:rPr>
          <w:color w:val="231F20"/>
          <w:spacing w:val="-2"/>
        </w:rPr>
        <w:t>Centrafrique</w:t>
      </w:r>
      <w:r>
        <w:rPr>
          <w:color w:val="231F20"/>
          <w:spacing w:val="-10"/>
        </w:rPr>
        <w:t> </w:t>
      </w:r>
      <w:r>
        <w:rPr>
          <w:color w:val="231F20"/>
          <w:spacing w:val="-2"/>
        </w:rPr>
        <w:t>(FPRC)</w:t>
      </w:r>
      <w:r>
        <w:rPr>
          <w:color w:val="231F20"/>
          <w:spacing w:val="-11"/>
        </w:rPr>
        <w:t> </w:t>
      </w:r>
      <w:r>
        <w:rPr>
          <w:color w:val="231F20"/>
          <w:spacing w:val="-2"/>
        </w:rPr>
        <w:t>en</w:t>
      </w:r>
      <w:r>
        <w:rPr>
          <w:color w:val="231F20"/>
          <w:spacing w:val="-12"/>
        </w:rPr>
        <w:t> </w:t>
      </w:r>
      <w:r>
        <w:rPr>
          <w:color w:val="231F20"/>
          <w:spacing w:val="-2"/>
        </w:rPr>
        <w:t>juillet</w:t>
      </w:r>
      <w:r>
        <w:rPr>
          <w:color w:val="231F20"/>
          <w:spacing w:val="-9"/>
        </w:rPr>
        <w:t> </w:t>
      </w:r>
      <w:r>
        <w:rPr>
          <w:color w:val="231F20"/>
          <w:spacing w:val="-2"/>
        </w:rPr>
        <w:t>2014.</w:t>
      </w:r>
    </w:p>
    <w:p>
      <w:pPr>
        <w:pStyle w:val="BodyText"/>
        <w:spacing w:before="120"/>
        <w:ind w:right="104" w:firstLine="283"/>
      </w:pPr>
      <w:r>
        <w:rPr>
          <w:color w:val="231F20"/>
          <w:spacing w:val="-2"/>
        </w:rPr>
        <w:t>Le</w:t>
      </w:r>
      <w:r>
        <w:rPr>
          <w:color w:val="231F20"/>
          <w:spacing w:val="-8"/>
        </w:rPr>
        <w:t> </w:t>
      </w:r>
      <w:r>
        <w:rPr>
          <w:color w:val="231F20"/>
          <w:spacing w:val="-2"/>
        </w:rPr>
        <w:t>20</w:t>
      </w:r>
      <w:r>
        <w:rPr>
          <w:color w:val="231F20"/>
          <w:spacing w:val="-8"/>
        </w:rPr>
        <w:t> </w:t>
      </w:r>
      <w:r>
        <w:rPr>
          <w:color w:val="231F20"/>
          <w:spacing w:val="-2"/>
        </w:rPr>
        <w:t>janvier,</w:t>
      </w:r>
      <w:r>
        <w:rPr>
          <w:color w:val="231F20"/>
          <w:spacing w:val="-7"/>
        </w:rPr>
        <w:t> </w:t>
      </w:r>
      <w:r>
        <w:rPr>
          <w:color w:val="231F20"/>
          <w:spacing w:val="-2"/>
        </w:rPr>
        <w:t>une</w:t>
      </w:r>
      <w:r>
        <w:rPr>
          <w:color w:val="231F20"/>
          <w:spacing w:val="-10"/>
        </w:rPr>
        <w:t> </w:t>
      </w:r>
      <w:r>
        <w:rPr>
          <w:color w:val="231F20"/>
          <w:spacing w:val="-2"/>
        </w:rPr>
        <w:t>militante</w:t>
      </w:r>
      <w:r>
        <w:rPr>
          <w:color w:val="231F20"/>
          <w:spacing w:val="-8"/>
        </w:rPr>
        <w:t> </w:t>
      </w:r>
      <w:r>
        <w:rPr>
          <w:color w:val="231F20"/>
          <w:spacing w:val="-2"/>
        </w:rPr>
        <w:t>des</w:t>
      </w:r>
      <w:r>
        <w:rPr>
          <w:color w:val="231F20"/>
          <w:spacing w:val="-9"/>
        </w:rPr>
        <w:t> </w:t>
      </w:r>
      <w:r>
        <w:rPr>
          <w:color w:val="231F20"/>
          <w:spacing w:val="-2"/>
        </w:rPr>
        <w:t>droits</w:t>
      </w:r>
      <w:r>
        <w:rPr>
          <w:color w:val="231F20"/>
          <w:spacing w:val="-11"/>
        </w:rPr>
        <w:t> </w:t>
      </w:r>
      <w:r>
        <w:rPr>
          <w:color w:val="231F20"/>
          <w:spacing w:val="-2"/>
        </w:rPr>
        <w:t>des</w:t>
      </w:r>
      <w:r>
        <w:rPr>
          <w:color w:val="231F20"/>
          <w:spacing w:val="-9"/>
        </w:rPr>
        <w:t> </w:t>
      </w:r>
      <w:r>
        <w:rPr>
          <w:color w:val="231F20"/>
          <w:spacing w:val="-2"/>
        </w:rPr>
        <w:t>femmes,</w:t>
      </w:r>
      <w:r>
        <w:rPr>
          <w:color w:val="231F20"/>
          <w:spacing w:val="-10"/>
        </w:rPr>
        <w:t> </w:t>
      </w:r>
      <w:r>
        <w:rPr>
          <w:color w:val="231F20"/>
          <w:spacing w:val="-2"/>
        </w:rPr>
        <w:t>Catherine</w:t>
      </w:r>
      <w:r>
        <w:rPr>
          <w:color w:val="231F20"/>
          <w:spacing w:val="-9"/>
        </w:rPr>
        <w:t> </w:t>
      </w:r>
      <w:r>
        <w:rPr>
          <w:color w:val="231F20"/>
          <w:spacing w:val="-2"/>
        </w:rPr>
        <w:t>Samba- </w:t>
      </w:r>
      <w:r>
        <w:rPr>
          <w:color w:val="231F20"/>
        </w:rPr>
        <w:t>Panza, maire de Bangui, titulaire d’une licence en sciences de l’information et de la communication et d'un</w:t>
      </w:r>
      <w:r>
        <w:rPr>
          <w:color w:val="231F20"/>
          <w:spacing w:val="-13"/>
        </w:rPr>
        <w:t> </w:t>
      </w:r>
      <w:r>
        <w:rPr>
          <w:color w:val="231F20"/>
        </w:rPr>
        <w:t>diplôme d’études supérieures</w:t>
      </w:r>
      <w:r>
        <w:rPr>
          <w:color w:val="231F20"/>
          <w:spacing w:val="40"/>
        </w:rPr>
        <w:t> </w:t>
      </w:r>
      <w:r>
        <w:rPr>
          <w:color w:val="231F20"/>
        </w:rPr>
        <w:t>spécialisées</w:t>
      </w:r>
      <w:r>
        <w:rPr>
          <w:color w:val="231F20"/>
          <w:spacing w:val="-15"/>
        </w:rPr>
        <w:t> </w:t>
      </w:r>
      <w:r>
        <w:rPr>
          <w:color w:val="231F20"/>
        </w:rPr>
        <w:t>(DESS)</w:t>
      </w:r>
      <w:r>
        <w:rPr>
          <w:color w:val="231F20"/>
          <w:spacing w:val="40"/>
        </w:rPr>
        <w:t> </w:t>
      </w:r>
      <w:r>
        <w:rPr>
          <w:color w:val="231F20"/>
        </w:rPr>
        <w:t>en</w:t>
      </w:r>
      <w:r>
        <w:rPr>
          <w:color w:val="231F20"/>
          <w:spacing w:val="-15"/>
        </w:rPr>
        <w:t> </w:t>
      </w:r>
      <w:r>
        <w:rPr>
          <w:color w:val="231F20"/>
        </w:rPr>
        <w:t>droit</w:t>
      </w:r>
      <w:r>
        <w:rPr>
          <w:color w:val="231F20"/>
          <w:spacing w:val="40"/>
        </w:rPr>
        <w:t> </w:t>
      </w:r>
      <w:r>
        <w:rPr>
          <w:color w:val="231F20"/>
        </w:rPr>
        <w:t>des</w:t>
      </w:r>
      <w:r>
        <w:rPr>
          <w:color w:val="231F20"/>
          <w:spacing w:val="40"/>
        </w:rPr>
        <w:t> </w:t>
      </w:r>
      <w:r>
        <w:rPr>
          <w:color w:val="231F20"/>
        </w:rPr>
        <w:t>assurances</w:t>
      </w:r>
      <w:r>
        <w:rPr>
          <w:color w:val="231F20"/>
          <w:spacing w:val="-15"/>
        </w:rPr>
        <w:t> </w:t>
      </w:r>
      <w:r>
        <w:rPr>
          <w:color w:val="231F20"/>
        </w:rPr>
        <w:t>obtenus</w:t>
      </w:r>
      <w:r>
        <w:rPr>
          <w:color w:val="231F20"/>
          <w:spacing w:val="40"/>
        </w:rPr>
        <w:t> </w:t>
      </w:r>
      <w:r>
        <w:rPr>
          <w:color w:val="231F20"/>
        </w:rPr>
        <w:t>à l’université</w:t>
      </w:r>
      <w:r>
        <w:rPr>
          <w:color w:val="231F20"/>
          <w:spacing w:val="-1"/>
        </w:rPr>
        <w:t> </w:t>
      </w:r>
      <w:r>
        <w:rPr>
          <w:color w:val="231F20"/>
        </w:rPr>
        <w:t>Panthéon-Assas</w:t>
      </w:r>
      <w:r>
        <w:rPr>
          <w:color w:val="231F20"/>
          <w:spacing w:val="-1"/>
        </w:rPr>
        <w:t> </w:t>
      </w:r>
      <w:r>
        <w:rPr>
          <w:color w:val="231F20"/>
        </w:rPr>
        <w:t>(Paris</w:t>
      </w:r>
      <w:r>
        <w:rPr>
          <w:color w:val="231F20"/>
          <w:spacing w:val="-1"/>
        </w:rPr>
        <w:t> </w:t>
      </w:r>
      <w:r>
        <w:rPr>
          <w:color w:val="231F20"/>
        </w:rPr>
        <w:t>II),</w:t>
      </w:r>
      <w:r>
        <w:rPr>
          <w:color w:val="231F20"/>
          <w:spacing w:val="-1"/>
        </w:rPr>
        <w:t> </w:t>
      </w:r>
      <w:r>
        <w:rPr>
          <w:color w:val="231F20"/>
        </w:rPr>
        <w:t>formatrice</w:t>
      </w:r>
      <w:r>
        <w:rPr>
          <w:color w:val="231F20"/>
          <w:spacing w:val="-1"/>
        </w:rPr>
        <w:t> </w:t>
      </w:r>
      <w:r>
        <w:rPr>
          <w:color w:val="231F20"/>
        </w:rPr>
        <w:t>en</w:t>
      </w:r>
      <w:r>
        <w:rPr>
          <w:color w:val="231F20"/>
          <w:spacing w:val="-1"/>
        </w:rPr>
        <w:t> </w:t>
      </w:r>
      <w:r>
        <w:rPr>
          <w:color w:val="231F20"/>
        </w:rPr>
        <w:t>droits</w:t>
      </w:r>
      <w:r>
        <w:rPr>
          <w:color w:val="231F20"/>
          <w:spacing w:val="-1"/>
        </w:rPr>
        <w:t> </w:t>
      </w:r>
      <w:r>
        <w:rPr>
          <w:color w:val="231F20"/>
        </w:rPr>
        <w:t>humains</w:t>
      </w:r>
      <w:r>
        <w:rPr>
          <w:color w:val="231F20"/>
          <w:spacing w:val="-1"/>
        </w:rPr>
        <w:t> </w:t>
      </w:r>
      <w:r>
        <w:rPr>
          <w:color w:val="231F20"/>
        </w:rPr>
        <w:t>au sein du programme Afrique d'Amnesty International, est élue par le Conseil</w:t>
      </w:r>
      <w:r>
        <w:rPr>
          <w:color w:val="231F20"/>
          <w:spacing w:val="-15"/>
        </w:rPr>
        <w:t> </w:t>
      </w:r>
      <w:r>
        <w:rPr>
          <w:color w:val="231F20"/>
        </w:rPr>
        <w:t>National</w:t>
      </w:r>
      <w:r>
        <w:rPr>
          <w:color w:val="231F20"/>
          <w:spacing w:val="-15"/>
        </w:rPr>
        <w:t> </w:t>
      </w:r>
      <w:r>
        <w:rPr>
          <w:color w:val="231F20"/>
        </w:rPr>
        <w:t>de</w:t>
      </w:r>
      <w:r>
        <w:rPr>
          <w:color w:val="231F20"/>
          <w:spacing w:val="-15"/>
        </w:rPr>
        <w:t> </w:t>
      </w:r>
      <w:r>
        <w:rPr>
          <w:color w:val="231F20"/>
        </w:rPr>
        <w:t>Transition</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République</w:t>
      </w:r>
      <w:r>
        <w:rPr>
          <w:color w:val="231F20"/>
          <w:spacing w:val="-15"/>
        </w:rPr>
        <w:t> </w:t>
      </w:r>
      <w:r>
        <w:rPr>
          <w:color w:val="231F20"/>
        </w:rPr>
        <w:t>Centrafricaine</w:t>
      </w:r>
      <w:r>
        <w:rPr>
          <w:color w:val="231F20"/>
          <w:spacing w:val="-15"/>
        </w:rPr>
        <w:t> </w:t>
      </w:r>
      <w:r>
        <w:rPr>
          <w:color w:val="231F20"/>
        </w:rPr>
        <w:t>au</w:t>
      </w:r>
      <w:r>
        <w:rPr>
          <w:color w:val="231F20"/>
          <w:spacing w:val="-15"/>
        </w:rPr>
        <w:t> </w:t>
      </w:r>
      <w:r>
        <w:rPr>
          <w:color w:val="231F20"/>
        </w:rPr>
        <w:t>poste de Chef de l’</w:t>
      </w:r>
      <w:r>
        <w:rPr>
          <w:color w:val="231F20"/>
          <w:shd w:fill="FCFCFC" w:color="auto" w:val="clear"/>
        </w:rPr>
        <w:t>É</w:t>
      </w:r>
      <w:r>
        <w:rPr>
          <w:color w:val="231F20"/>
        </w:rPr>
        <w:t>tat de Transition.</w:t>
      </w:r>
    </w:p>
    <w:p>
      <w:pPr>
        <w:pStyle w:val="BodyText"/>
        <w:spacing w:before="121"/>
        <w:ind w:right="104" w:firstLine="283"/>
      </w:pPr>
      <w:r>
        <w:rPr>
          <w:color w:val="231F20"/>
        </w:rPr>
        <w:t>Le 30 mars 2016, Faustin-Archange Touadéra, Premier ministre de 2008 à</w:t>
      </w:r>
      <w:r>
        <w:rPr>
          <w:color w:val="231F20"/>
          <w:spacing w:val="-1"/>
        </w:rPr>
        <w:t> </w:t>
      </w:r>
      <w:r>
        <w:rPr>
          <w:color w:val="231F20"/>
        </w:rPr>
        <w:t>2013</w:t>
      </w:r>
      <w:r>
        <w:rPr>
          <w:color w:val="231F20"/>
          <w:spacing w:val="-1"/>
        </w:rPr>
        <w:t> </w:t>
      </w:r>
      <w:r>
        <w:rPr>
          <w:color w:val="231F20"/>
        </w:rPr>
        <w:t>est élu</w:t>
      </w:r>
      <w:r>
        <w:rPr>
          <w:color w:val="231F20"/>
          <w:spacing w:val="-1"/>
        </w:rPr>
        <w:t> </w:t>
      </w:r>
      <w:r>
        <w:rPr>
          <w:color w:val="231F20"/>
        </w:rPr>
        <w:t>président de</w:t>
      </w:r>
      <w:r>
        <w:rPr>
          <w:color w:val="231F20"/>
          <w:spacing w:val="-1"/>
        </w:rPr>
        <w:t> </w:t>
      </w:r>
      <w:r>
        <w:rPr>
          <w:color w:val="231F20"/>
        </w:rPr>
        <w:t>la République.</w:t>
      </w:r>
    </w:p>
    <w:p>
      <w:pPr>
        <w:pStyle w:val="BodyText"/>
        <w:spacing w:before="120"/>
        <w:ind w:right="105" w:firstLine="283"/>
      </w:pPr>
      <w:r>
        <w:rPr>
          <w:color w:val="231F20"/>
        </w:rPr>
        <w:t>Durant</w:t>
      </w:r>
      <w:r>
        <w:rPr>
          <w:color w:val="231F20"/>
          <w:spacing w:val="-7"/>
        </w:rPr>
        <w:t> </w:t>
      </w:r>
      <w:r>
        <w:rPr>
          <w:color w:val="231F20"/>
        </w:rPr>
        <w:t>son</w:t>
      </w:r>
      <w:r>
        <w:rPr>
          <w:color w:val="231F20"/>
          <w:spacing w:val="-7"/>
        </w:rPr>
        <w:t> </w:t>
      </w:r>
      <w:r>
        <w:rPr>
          <w:color w:val="231F20"/>
        </w:rPr>
        <w:t>premier</w:t>
      </w:r>
      <w:r>
        <w:rPr>
          <w:color w:val="231F20"/>
          <w:spacing w:val="-8"/>
        </w:rPr>
        <w:t> </w:t>
      </w:r>
      <w:r>
        <w:rPr>
          <w:color w:val="231F20"/>
        </w:rPr>
        <w:t>mandat</w:t>
      </w:r>
      <w:r>
        <w:rPr>
          <w:color w:val="231F20"/>
          <w:spacing w:val="-7"/>
        </w:rPr>
        <w:t> </w:t>
      </w:r>
      <w:r>
        <w:rPr>
          <w:color w:val="231F20"/>
        </w:rPr>
        <w:t>de</w:t>
      </w:r>
      <w:r>
        <w:rPr>
          <w:color w:val="231F20"/>
          <w:spacing w:val="-7"/>
        </w:rPr>
        <w:t> </w:t>
      </w:r>
      <w:r>
        <w:rPr>
          <w:color w:val="231F20"/>
        </w:rPr>
        <w:t>cinq</w:t>
      </w:r>
      <w:r>
        <w:rPr>
          <w:color w:val="231F20"/>
          <w:spacing w:val="-7"/>
        </w:rPr>
        <w:t> </w:t>
      </w:r>
      <w:r>
        <w:rPr>
          <w:color w:val="231F20"/>
        </w:rPr>
        <w:t>ans,</w:t>
      </w:r>
      <w:r>
        <w:rPr>
          <w:color w:val="231F20"/>
          <w:spacing w:val="-7"/>
        </w:rPr>
        <w:t> </w:t>
      </w:r>
      <w:r>
        <w:rPr>
          <w:color w:val="231F20"/>
        </w:rPr>
        <w:t>il</w:t>
      </w:r>
      <w:r>
        <w:rPr>
          <w:color w:val="231F20"/>
          <w:spacing w:val="-6"/>
        </w:rPr>
        <w:t> </w:t>
      </w:r>
      <w:r>
        <w:rPr>
          <w:color w:val="231F20"/>
        </w:rPr>
        <w:t>ne</w:t>
      </w:r>
      <w:r>
        <w:rPr>
          <w:color w:val="231F20"/>
          <w:spacing w:val="-7"/>
        </w:rPr>
        <w:t> </w:t>
      </w:r>
      <w:r>
        <w:rPr>
          <w:color w:val="231F20"/>
        </w:rPr>
        <w:t>réussit</w:t>
      </w:r>
      <w:r>
        <w:rPr>
          <w:color w:val="231F20"/>
          <w:spacing w:val="-7"/>
        </w:rPr>
        <w:t> </w:t>
      </w:r>
      <w:r>
        <w:rPr>
          <w:color w:val="231F20"/>
        </w:rPr>
        <w:t>pas</w:t>
      </w:r>
      <w:r>
        <w:rPr>
          <w:color w:val="231F20"/>
          <w:spacing w:val="-7"/>
        </w:rPr>
        <w:t> </w:t>
      </w:r>
      <w:r>
        <w:rPr>
          <w:color w:val="231F20"/>
        </w:rPr>
        <w:t>à</w:t>
      </w:r>
      <w:r>
        <w:rPr>
          <w:color w:val="231F20"/>
          <w:spacing w:val="-7"/>
        </w:rPr>
        <w:t> </w:t>
      </w:r>
      <w:r>
        <w:rPr>
          <w:color w:val="231F20"/>
        </w:rPr>
        <w:t>pacifier</w:t>
      </w:r>
      <w:r>
        <w:rPr>
          <w:color w:val="231F20"/>
          <w:spacing w:val="-7"/>
        </w:rPr>
        <w:t> </w:t>
      </w:r>
      <w:r>
        <w:rPr>
          <w:color w:val="231F20"/>
        </w:rPr>
        <w:t>le pays.</w:t>
      </w:r>
      <w:r>
        <w:rPr>
          <w:color w:val="231F20"/>
          <w:spacing w:val="-11"/>
        </w:rPr>
        <w:t> </w:t>
      </w:r>
      <w:r>
        <w:rPr>
          <w:color w:val="231F20"/>
        </w:rPr>
        <w:t>Son</w:t>
      </w:r>
      <w:r>
        <w:rPr>
          <w:color w:val="231F20"/>
          <w:spacing w:val="-10"/>
        </w:rPr>
        <w:t> </w:t>
      </w:r>
      <w:r>
        <w:rPr>
          <w:color w:val="231F20"/>
        </w:rPr>
        <w:t>gouvernement</w:t>
      </w:r>
      <w:r>
        <w:rPr>
          <w:color w:val="231F20"/>
          <w:spacing w:val="-11"/>
        </w:rPr>
        <w:t> </w:t>
      </w:r>
      <w:r>
        <w:rPr>
          <w:color w:val="231F20"/>
        </w:rPr>
        <w:t>tient</w:t>
      </w:r>
      <w:r>
        <w:rPr>
          <w:color w:val="231F20"/>
          <w:spacing w:val="-11"/>
        </w:rPr>
        <w:t> </w:t>
      </w:r>
      <w:r>
        <w:rPr>
          <w:color w:val="231F20"/>
        </w:rPr>
        <w:t>grâce</w:t>
      </w:r>
      <w:r>
        <w:rPr>
          <w:color w:val="231F20"/>
          <w:spacing w:val="-10"/>
        </w:rPr>
        <w:t> </w:t>
      </w:r>
      <w:r>
        <w:rPr>
          <w:color w:val="231F20"/>
        </w:rPr>
        <w:t>à</w:t>
      </w:r>
      <w:r>
        <w:rPr>
          <w:color w:val="231F20"/>
          <w:spacing w:val="-14"/>
        </w:rPr>
        <w:t> </w:t>
      </w:r>
      <w:r>
        <w:rPr>
          <w:color w:val="231F20"/>
        </w:rPr>
        <w:t>l’opération</w:t>
      </w:r>
      <w:r>
        <w:rPr>
          <w:color w:val="231F20"/>
          <w:spacing w:val="-11"/>
        </w:rPr>
        <w:t> </w:t>
      </w:r>
      <w:r>
        <w:rPr>
          <w:color w:val="231F20"/>
        </w:rPr>
        <w:t>de</w:t>
      </w:r>
      <w:r>
        <w:rPr>
          <w:color w:val="231F20"/>
          <w:spacing w:val="-10"/>
        </w:rPr>
        <w:t> </w:t>
      </w:r>
      <w:r>
        <w:rPr>
          <w:color w:val="231F20"/>
        </w:rPr>
        <w:t>maintien</w:t>
      </w:r>
      <w:r>
        <w:rPr>
          <w:color w:val="231F20"/>
          <w:spacing w:val="-11"/>
        </w:rPr>
        <w:t> </w:t>
      </w:r>
      <w:r>
        <w:rPr>
          <w:color w:val="231F20"/>
        </w:rPr>
        <w:t>de</w:t>
      </w:r>
      <w:r>
        <w:rPr>
          <w:color w:val="231F20"/>
          <w:spacing w:val="-12"/>
        </w:rPr>
        <w:t> </w:t>
      </w:r>
      <w:r>
        <w:rPr>
          <w:color w:val="231F20"/>
        </w:rPr>
        <w:t>la</w:t>
      </w:r>
      <w:r>
        <w:rPr>
          <w:color w:val="231F20"/>
          <w:spacing w:val="-12"/>
        </w:rPr>
        <w:t> </w:t>
      </w:r>
      <w:r>
        <w:rPr>
          <w:color w:val="231F20"/>
        </w:rPr>
        <w:t>paix des</w:t>
      </w:r>
      <w:r>
        <w:rPr>
          <w:color w:val="231F20"/>
          <w:spacing w:val="-9"/>
        </w:rPr>
        <w:t> </w:t>
      </w:r>
      <w:r>
        <w:rPr>
          <w:color w:val="231F20"/>
        </w:rPr>
        <w:t>Nations</w:t>
      </w:r>
      <w:r>
        <w:rPr>
          <w:color w:val="231F20"/>
          <w:spacing w:val="-5"/>
        </w:rPr>
        <w:t> </w:t>
      </w:r>
      <w:r>
        <w:rPr>
          <w:color w:val="231F20"/>
        </w:rPr>
        <w:t>Unies,</w:t>
      </w:r>
      <w:r>
        <w:rPr>
          <w:color w:val="231F20"/>
          <w:spacing w:val="-7"/>
        </w:rPr>
        <w:t> </w:t>
      </w:r>
      <w:r>
        <w:rPr>
          <w:color w:val="231F20"/>
        </w:rPr>
        <w:t>la</w:t>
      </w:r>
      <w:r>
        <w:rPr>
          <w:color w:val="231F20"/>
          <w:spacing w:val="-15"/>
        </w:rPr>
        <w:t> </w:t>
      </w:r>
      <w:r>
        <w:rPr>
          <w:color w:val="231F20"/>
        </w:rPr>
        <w:t>MINUSCA</w:t>
      </w:r>
      <w:r>
        <w:rPr>
          <w:color w:val="231F20"/>
          <w:spacing w:val="-15"/>
        </w:rPr>
        <w:t> </w:t>
      </w:r>
      <w:r>
        <w:rPr>
          <w:color w:val="231F20"/>
        </w:rPr>
        <w:t>:</w:t>
      </w:r>
      <w:r>
        <w:rPr>
          <w:color w:val="231F20"/>
          <w:spacing w:val="-6"/>
        </w:rPr>
        <w:t> </w:t>
      </w:r>
      <w:r>
        <w:rPr>
          <w:color w:val="231F20"/>
        </w:rPr>
        <w:t>les</w:t>
      </w:r>
      <w:r>
        <w:rPr>
          <w:color w:val="231F20"/>
          <w:spacing w:val="-5"/>
        </w:rPr>
        <w:t> </w:t>
      </w:r>
      <w:r>
        <w:rPr>
          <w:color w:val="231F20"/>
        </w:rPr>
        <w:t>deux</w:t>
      </w:r>
      <w:r>
        <w:rPr>
          <w:color w:val="231F20"/>
          <w:spacing w:val="-7"/>
        </w:rPr>
        <w:t> </w:t>
      </w:r>
      <w:r>
        <w:rPr>
          <w:color w:val="231F20"/>
        </w:rPr>
        <w:t>tiers</w:t>
      </w:r>
      <w:r>
        <w:rPr>
          <w:color w:val="231F20"/>
          <w:spacing w:val="-7"/>
        </w:rPr>
        <w:t> </w:t>
      </w:r>
      <w:r>
        <w:rPr>
          <w:color w:val="231F20"/>
        </w:rPr>
        <w:t>du</w:t>
      </w:r>
      <w:r>
        <w:rPr>
          <w:color w:val="231F20"/>
          <w:spacing w:val="-4"/>
        </w:rPr>
        <w:t> </w:t>
      </w:r>
      <w:r>
        <w:rPr>
          <w:color w:val="231F20"/>
        </w:rPr>
        <w:t>pays</w:t>
      </w:r>
      <w:r>
        <w:rPr>
          <w:color w:val="231F20"/>
          <w:spacing w:val="-5"/>
        </w:rPr>
        <w:t> </w:t>
      </w:r>
      <w:r>
        <w:rPr>
          <w:color w:val="231F20"/>
        </w:rPr>
        <w:t>sont</w:t>
      </w:r>
      <w:r>
        <w:rPr>
          <w:color w:val="231F20"/>
          <w:spacing w:val="-5"/>
        </w:rPr>
        <w:t> </w:t>
      </w:r>
      <w:r>
        <w:rPr>
          <w:color w:val="231F20"/>
        </w:rPr>
        <w:t>contrôlés par</w:t>
      </w:r>
      <w:r>
        <w:rPr>
          <w:color w:val="231F20"/>
          <w:spacing w:val="-2"/>
        </w:rPr>
        <w:t> </w:t>
      </w:r>
      <w:r>
        <w:rPr>
          <w:color w:val="231F20"/>
        </w:rPr>
        <w:t>des</w:t>
      </w:r>
      <w:r>
        <w:rPr>
          <w:color w:val="231F20"/>
          <w:spacing w:val="-2"/>
        </w:rPr>
        <w:t> </w:t>
      </w:r>
      <w:r>
        <w:rPr>
          <w:color w:val="231F20"/>
        </w:rPr>
        <w:t>forces</w:t>
      </w:r>
      <w:r>
        <w:rPr>
          <w:color w:val="231F20"/>
          <w:spacing w:val="-2"/>
        </w:rPr>
        <w:t> </w:t>
      </w:r>
      <w:r>
        <w:rPr>
          <w:color w:val="231F20"/>
        </w:rPr>
        <w:t>armées</w:t>
      </w:r>
      <w:r>
        <w:rPr>
          <w:color w:val="231F20"/>
          <w:spacing w:val="-2"/>
        </w:rPr>
        <w:t> </w:t>
      </w:r>
      <w:r>
        <w:rPr>
          <w:color w:val="231F20"/>
        </w:rPr>
        <w:t>qui</w:t>
      </w:r>
      <w:r>
        <w:rPr>
          <w:color w:val="231F20"/>
          <w:spacing w:val="-3"/>
        </w:rPr>
        <w:t> </w:t>
      </w:r>
      <w:r>
        <w:rPr>
          <w:color w:val="231F20"/>
        </w:rPr>
        <w:t>échappent</w:t>
      </w:r>
      <w:r>
        <w:rPr>
          <w:color w:val="231F20"/>
          <w:spacing w:val="-2"/>
        </w:rPr>
        <w:t> </w:t>
      </w:r>
      <w:r>
        <w:rPr>
          <w:color w:val="231F20"/>
        </w:rPr>
        <w:t>au</w:t>
      </w:r>
      <w:r>
        <w:rPr>
          <w:color w:val="231F20"/>
          <w:spacing w:val="-4"/>
        </w:rPr>
        <w:t> </w:t>
      </w:r>
      <w:r>
        <w:rPr>
          <w:color w:val="231F20"/>
        </w:rPr>
        <w:t>pouvoir</w:t>
      </w:r>
      <w:r>
        <w:rPr>
          <w:color w:val="231F20"/>
          <w:spacing w:val="-2"/>
        </w:rPr>
        <w:t> </w:t>
      </w:r>
      <w:r>
        <w:rPr>
          <w:color w:val="231F20"/>
        </w:rPr>
        <w:t>en</w:t>
      </w:r>
      <w:r>
        <w:rPr>
          <w:color w:val="231F20"/>
          <w:spacing w:val="-6"/>
        </w:rPr>
        <w:t> </w:t>
      </w:r>
      <w:r>
        <w:rPr>
          <w:color w:val="231F20"/>
        </w:rPr>
        <w:t>place.</w:t>
      </w:r>
    </w:p>
    <w:p>
      <w:pPr>
        <w:pStyle w:val="BodyText"/>
        <w:spacing w:before="120"/>
        <w:ind w:right="105" w:firstLine="283"/>
      </w:pPr>
      <w:r>
        <w:rPr>
          <w:color w:val="231F20"/>
          <w:spacing w:val="-2"/>
        </w:rPr>
        <w:t>À</w:t>
      </w:r>
      <w:r>
        <w:rPr>
          <w:color w:val="231F20"/>
          <w:spacing w:val="-8"/>
        </w:rPr>
        <w:t> </w:t>
      </w:r>
      <w:r>
        <w:rPr>
          <w:color w:val="231F20"/>
          <w:spacing w:val="-2"/>
        </w:rPr>
        <w:t>partir</w:t>
      </w:r>
      <w:r>
        <w:rPr>
          <w:color w:val="231F20"/>
          <w:spacing w:val="-8"/>
        </w:rPr>
        <w:t> </w:t>
      </w:r>
      <w:r>
        <w:rPr>
          <w:color w:val="231F20"/>
          <w:spacing w:val="-2"/>
        </w:rPr>
        <w:t>du</w:t>
      </w:r>
      <w:r>
        <w:rPr>
          <w:color w:val="231F20"/>
          <w:spacing w:val="-8"/>
        </w:rPr>
        <w:t> </w:t>
      </w:r>
      <w:r>
        <w:rPr>
          <w:color w:val="231F20"/>
          <w:spacing w:val="-2"/>
        </w:rPr>
        <w:t>18</w:t>
      </w:r>
      <w:r>
        <w:rPr>
          <w:color w:val="231F20"/>
          <w:spacing w:val="-11"/>
        </w:rPr>
        <w:t> </w:t>
      </w:r>
      <w:r>
        <w:rPr>
          <w:color w:val="231F20"/>
          <w:spacing w:val="-2"/>
        </w:rPr>
        <w:t>décembre,</w:t>
      </w:r>
      <w:r>
        <w:rPr>
          <w:color w:val="231F20"/>
          <w:spacing w:val="-11"/>
        </w:rPr>
        <w:t> </w:t>
      </w:r>
      <w:r>
        <w:rPr>
          <w:color w:val="231F20"/>
          <w:spacing w:val="-2"/>
        </w:rPr>
        <w:t>une</w:t>
      </w:r>
      <w:r>
        <w:rPr>
          <w:color w:val="231F20"/>
          <w:spacing w:val="-8"/>
        </w:rPr>
        <w:t> </w:t>
      </w:r>
      <w:r>
        <w:rPr>
          <w:color w:val="231F20"/>
          <w:spacing w:val="-2"/>
        </w:rPr>
        <w:t>coalition</w:t>
      </w:r>
      <w:r>
        <w:rPr>
          <w:color w:val="231F20"/>
          <w:spacing w:val="-8"/>
        </w:rPr>
        <w:t> </w:t>
      </w:r>
      <w:r>
        <w:rPr>
          <w:color w:val="231F20"/>
          <w:spacing w:val="-2"/>
        </w:rPr>
        <w:t>de</w:t>
      </w:r>
      <w:r>
        <w:rPr>
          <w:color w:val="231F20"/>
          <w:spacing w:val="-8"/>
        </w:rPr>
        <w:t> </w:t>
      </w:r>
      <w:r>
        <w:rPr>
          <w:color w:val="231F20"/>
          <w:spacing w:val="-2"/>
        </w:rPr>
        <w:t>groupes</w:t>
      </w:r>
      <w:r>
        <w:rPr>
          <w:color w:val="231F20"/>
          <w:spacing w:val="-8"/>
        </w:rPr>
        <w:t> </w:t>
      </w:r>
      <w:r>
        <w:rPr>
          <w:color w:val="231F20"/>
          <w:spacing w:val="-2"/>
        </w:rPr>
        <w:t>armés,</w:t>
      </w:r>
      <w:r>
        <w:rPr>
          <w:color w:val="231F20"/>
          <w:spacing w:val="-8"/>
        </w:rPr>
        <w:t> </w:t>
      </w:r>
      <w:r>
        <w:rPr>
          <w:color w:val="231F20"/>
          <w:spacing w:val="-2"/>
        </w:rPr>
        <w:t>la</w:t>
      </w:r>
      <w:r>
        <w:rPr>
          <w:color w:val="231F20"/>
          <w:spacing w:val="-12"/>
        </w:rPr>
        <w:t> </w:t>
      </w:r>
      <w:r>
        <w:rPr>
          <w:color w:val="231F20"/>
          <w:spacing w:val="-2"/>
        </w:rPr>
        <w:t>Coalition </w:t>
      </w:r>
      <w:r>
        <w:rPr>
          <w:color w:val="231F20"/>
        </w:rPr>
        <w:t>des patriotes pour le changement</w:t>
      </w:r>
      <w:r>
        <w:rPr>
          <w:color w:val="231F20"/>
          <w:spacing w:val="-15"/>
        </w:rPr>
        <w:t> </w:t>
      </w:r>
      <w:r>
        <w:rPr>
          <w:color w:val="231F20"/>
        </w:rPr>
        <w:t>(CPC), se forme dans le but de faire pression sur le gouvernement pour reporter le nouveau scrutin </w:t>
      </w:r>
      <w:r>
        <w:rPr>
          <w:color w:val="231F20"/>
          <w:spacing w:val="-4"/>
        </w:rPr>
        <w:t>présidentiel.</w:t>
      </w:r>
      <w:r>
        <w:rPr>
          <w:color w:val="231F20"/>
          <w:spacing w:val="-11"/>
        </w:rPr>
        <w:t> </w:t>
      </w:r>
      <w:r>
        <w:rPr>
          <w:color w:val="231F20"/>
          <w:spacing w:val="-4"/>
        </w:rPr>
        <w:t>Ce</w:t>
      </w:r>
      <w:r>
        <w:rPr>
          <w:color w:val="231F20"/>
          <w:spacing w:val="-11"/>
        </w:rPr>
        <w:t> </w:t>
      </w:r>
      <w:r>
        <w:rPr>
          <w:color w:val="231F20"/>
          <w:spacing w:val="-4"/>
        </w:rPr>
        <w:t>projet</w:t>
      </w:r>
      <w:r>
        <w:rPr>
          <w:color w:val="231F20"/>
          <w:spacing w:val="-11"/>
        </w:rPr>
        <w:t> </w:t>
      </w:r>
      <w:r>
        <w:rPr>
          <w:color w:val="231F20"/>
          <w:spacing w:val="-4"/>
        </w:rPr>
        <w:t>de</w:t>
      </w:r>
      <w:r>
        <w:rPr>
          <w:color w:val="231F20"/>
          <w:spacing w:val="-11"/>
        </w:rPr>
        <w:t> </w:t>
      </w:r>
      <w:r>
        <w:rPr>
          <w:color w:val="231F20"/>
          <w:spacing w:val="-4"/>
        </w:rPr>
        <w:t>report</w:t>
      </w:r>
      <w:r>
        <w:rPr>
          <w:color w:val="231F20"/>
          <w:spacing w:val="-11"/>
        </w:rPr>
        <w:t> </w:t>
      </w:r>
      <w:r>
        <w:rPr>
          <w:color w:val="231F20"/>
          <w:spacing w:val="-4"/>
        </w:rPr>
        <w:t>avait</w:t>
      </w:r>
      <w:r>
        <w:rPr>
          <w:color w:val="231F20"/>
          <w:spacing w:val="-11"/>
        </w:rPr>
        <w:t> </w:t>
      </w:r>
      <w:r>
        <w:rPr>
          <w:color w:val="231F20"/>
          <w:spacing w:val="-4"/>
        </w:rPr>
        <w:t>été</w:t>
      </w:r>
      <w:r>
        <w:rPr>
          <w:color w:val="231F20"/>
          <w:spacing w:val="-11"/>
        </w:rPr>
        <w:t> </w:t>
      </w:r>
      <w:r>
        <w:rPr>
          <w:color w:val="231F20"/>
          <w:spacing w:val="-4"/>
        </w:rPr>
        <w:t>tenté</w:t>
      </w:r>
      <w:r>
        <w:rPr>
          <w:color w:val="231F20"/>
          <w:spacing w:val="-11"/>
        </w:rPr>
        <w:t> </w:t>
      </w:r>
      <w:r>
        <w:rPr>
          <w:color w:val="231F20"/>
          <w:spacing w:val="-4"/>
        </w:rPr>
        <w:t>en</w:t>
      </w:r>
      <w:r>
        <w:rPr>
          <w:color w:val="231F20"/>
          <w:spacing w:val="-11"/>
        </w:rPr>
        <w:t> </w:t>
      </w:r>
      <w:r>
        <w:rPr>
          <w:color w:val="231F20"/>
          <w:spacing w:val="-4"/>
        </w:rPr>
        <w:t>juin</w:t>
      </w:r>
      <w:r>
        <w:rPr>
          <w:color w:val="231F20"/>
          <w:spacing w:val="-11"/>
        </w:rPr>
        <w:t> </w:t>
      </w:r>
      <w:r>
        <w:rPr>
          <w:color w:val="231F20"/>
          <w:spacing w:val="-4"/>
        </w:rPr>
        <w:t>par</w:t>
      </w:r>
      <w:r>
        <w:rPr>
          <w:color w:val="231F20"/>
          <w:spacing w:val="-11"/>
        </w:rPr>
        <w:t> </w:t>
      </w:r>
      <w:r>
        <w:rPr>
          <w:color w:val="231F20"/>
          <w:spacing w:val="-4"/>
        </w:rPr>
        <w:t>le</w:t>
      </w:r>
      <w:r>
        <w:rPr>
          <w:color w:val="231F20"/>
          <w:spacing w:val="-11"/>
        </w:rPr>
        <w:t> </w:t>
      </w:r>
      <w:r>
        <w:rPr>
          <w:color w:val="231F20"/>
          <w:spacing w:val="-4"/>
        </w:rPr>
        <w:t>gouvernement </w:t>
      </w:r>
      <w:r>
        <w:rPr>
          <w:color w:val="231F20"/>
        </w:rPr>
        <w:t>et refusé par la Cour constitutionnelle</w:t>
      </w:r>
      <w:r>
        <w:rPr>
          <w:color w:val="231F20"/>
          <w:spacing w:val="-15"/>
        </w:rPr>
        <w:t> </w:t>
      </w:r>
      <w:r>
        <w:rPr>
          <w:color w:val="231F20"/>
        </w:rPr>
        <w:t>: la Constitution interdit toute prolongation</w:t>
      </w:r>
      <w:r>
        <w:rPr>
          <w:color w:val="231F20"/>
          <w:spacing w:val="-7"/>
        </w:rPr>
        <w:t> </w:t>
      </w:r>
      <w:r>
        <w:rPr>
          <w:color w:val="231F20"/>
        </w:rPr>
        <w:t>du</w:t>
      </w:r>
      <w:r>
        <w:rPr>
          <w:color w:val="231F20"/>
          <w:spacing w:val="-7"/>
        </w:rPr>
        <w:t> </w:t>
      </w:r>
      <w:r>
        <w:rPr>
          <w:color w:val="231F20"/>
        </w:rPr>
        <w:t>mandat</w:t>
      </w:r>
      <w:r>
        <w:rPr>
          <w:color w:val="231F20"/>
          <w:spacing w:val="-9"/>
        </w:rPr>
        <w:t> </w:t>
      </w:r>
      <w:r>
        <w:rPr>
          <w:color w:val="231F20"/>
        </w:rPr>
        <w:t>du</w:t>
      </w:r>
      <w:r>
        <w:rPr>
          <w:color w:val="231F20"/>
          <w:spacing w:val="-7"/>
        </w:rPr>
        <w:t> </w:t>
      </w:r>
      <w:r>
        <w:rPr>
          <w:color w:val="231F20"/>
        </w:rPr>
        <w:t>président</w:t>
      </w:r>
      <w:r>
        <w:rPr>
          <w:color w:val="231F20"/>
          <w:spacing w:val="-7"/>
        </w:rPr>
        <w:t> </w:t>
      </w:r>
      <w:r>
        <w:rPr>
          <w:color w:val="231F20"/>
        </w:rPr>
        <w:t>en</w:t>
      </w:r>
      <w:r>
        <w:rPr>
          <w:color w:val="231F20"/>
          <w:spacing w:val="-7"/>
        </w:rPr>
        <w:t> </w:t>
      </w:r>
      <w:r>
        <w:rPr>
          <w:color w:val="231F20"/>
        </w:rPr>
        <w:t>exercice</w:t>
      </w:r>
      <w:r>
        <w:rPr>
          <w:color w:val="231F20"/>
          <w:spacing w:val="-7"/>
        </w:rPr>
        <w:t> </w:t>
      </w:r>
      <w:r>
        <w:rPr>
          <w:color w:val="231F20"/>
        </w:rPr>
        <w:t>au-delà</w:t>
      </w:r>
      <w:r>
        <w:rPr>
          <w:color w:val="231F20"/>
          <w:spacing w:val="-7"/>
        </w:rPr>
        <w:t> </w:t>
      </w:r>
      <w:r>
        <w:rPr>
          <w:color w:val="231F20"/>
        </w:rPr>
        <w:t>de</w:t>
      </w:r>
      <w:r>
        <w:rPr>
          <w:color w:val="231F20"/>
          <w:spacing w:val="-7"/>
        </w:rPr>
        <w:t> </w:t>
      </w:r>
      <w:r>
        <w:rPr>
          <w:color w:val="231F20"/>
        </w:rPr>
        <w:t>son</w:t>
      </w:r>
      <w:r>
        <w:rPr>
          <w:color w:val="231F20"/>
          <w:spacing w:val="-10"/>
        </w:rPr>
        <w:t> </w:t>
      </w:r>
      <w:r>
        <w:rPr>
          <w:color w:val="231F20"/>
        </w:rPr>
        <w:t>terme.</w:t>
      </w:r>
    </w:p>
    <w:p>
      <w:pPr>
        <w:pStyle w:val="BodyText"/>
        <w:spacing w:before="121"/>
        <w:ind w:right="104" w:firstLine="283"/>
      </w:pPr>
      <w:r>
        <w:rPr>
          <w:color w:val="231F20"/>
          <w:spacing w:val="-2"/>
        </w:rPr>
        <w:t>Le</w:t>
      </w:r>
      <w:r>
        <w:rPr>
          <w:color w:val="231F20"/>
          <w:spacing w:val="-15"/>
        </w:rPr>
        <w:t> </w:t>
      </w:r>
      <w:r>
        <w:rPr>
          <w:color w:val="231F20"/>
          <w:spacing w:val="-2"/>
        </w:rPr>
        <w:t>27</w:t>
      </w:r>
      <w:r>
        <w:rPr>
          <w:color w:val="231F20"/>
          <w:spacing w:val="-13"/>
        </w:rPr>
        <w:t> </w:t>
      </w:r>
      <w:r>
        <w:rPr>
          <w:color w:val="231F20"/>
          <w:spacing w:val="-2"/>
        </w:rPr>
        <w:t>décembre</w:t>
      </w:r>
      <w:r>
        <w:rPr>
          <w:color w:val="231F20"/>
          <w:spacing w:val="-13"/>
        </w:rPr>
        <w:t> </w:t>
      </w:r>
      <w:r>
        <w:rPr>
          <w:color w:val="231F20"/>
          <w:spacing w:val="-2"/>
        </w:rPr>
        <w:t>2020</w:t>
      </w:r>
      <w:r>
        <w:rPr>
          <w:color w:val="231F20"/>
          <w:spacing w:val="-13"/>
        </w:rPr>
        <w:t> </w:t>
      </w:r>
      <w:r>
        <w:rPr>
          <w:color w:val="231F20"/>
          <w:spacing w:val="-2"/>
        </w:rPr>
        <w:t>a</w:t>
      </w:r>
      <w:r>
        <w:rPr>
          <w:color w:val="231F20"/>
          <w:spacing w:val="-13"/>
        </w:rPr>
        <w:t> </w:t>
      </w:r>
      <w:r>
        <w:rPr>
          <w:color w:val="231F20"/>
          <w:spacing w:val="-2"/>
        </w:rPr>
        <w:t>lieu</w:t>
      </w:r>
      <w:r>
        <w:rPr>
          <w:color w:val="231F20"/>
          <w:spacing w:val="-13"/>
        </w:rPr>
        <w:t> </w:t>
      </w:r>
      <w:r>
        <w:rPr>
          <w:color w:val="231F20"/>
          <w:spacing w:val="-2"/>
        </w:rPr>
        <w:t>l’élection</w:t>
      </w:r>
      <w:r>
        <w:rPr>
          <w:color w:val="231F20"/>
          <w:spacing w:val="-13"/>
        </w:rPr>
        <w:t> </w:t>
      </w:r>
      <w:r>
        <w:rPr>
          <w:color w:val="231F20"/>
          <w:spacing w:val="-2"/>
        </w:rPr>
        <w:t>présidentielle.</w:t>
      </w:r>
      <w:r>
        <w:rPr>
          <w:color w:val="231F20"/>
          <w:spacing w:val="-13"/>
        </w:rPr>
        <w:t> </w:t>
      </w:r>
      <w:r>
        <w:rPr>
          <w:color w:val="231F20"/>
          <w:spacing w:val="-2"/>
        </w:rPr>
        <w:t>Elle</w:t>
      </w:r>
      <w:r>
        <w:rPr>
          <w:color w:val="231F20"/>
          <w:spacing w:val="-13"/>
        </w:rPr>
        <w:t> </w:t>
      </w:r>
      <w:r>
        <w:rPr>
          <w:color w:val="231F20"/>
          <w:spacing w:val="-2"/>
        </w:rPr>
        <w:t>se</w:t>
      </w:r>
      <w:r>
        <w:rPr>
          <w:color w:val="231F20"/>
          <w:spacing w:val="-13"/>
        </w:rPr>
        <w:t> </w:t>
      </w:r>
      <w:r>
        <w:rPr>
          <w:color w:val="231F20"/>
          <w:spacing w:val="-2"/>
        </w:rPr>
        <w:t>situe</w:t>
      </w:r>
      <w:r>
        <w:rPr>
          <w:color w:val="231F20"/>
          <w:spacing w:val="-13"/>
        </w:rPr>
        <w:t> </w:t>
      </w:r>
      <w:r>
        <w:rPr>
          <w:color w:val="231F20"/>
          <w:spacing w:val="-2"/>
        </w:rPr>
        <w:t>dans </w:t>
      </w:r>
      <w:r>
        <w:rPr>
          <w:color w:val="231F20"/>
        </w:rPr>
        <w:t>le</w:t>
      </w:r>
      <w:r>
        <w:rPr>
          <w:color w:val="231F20"/>
          <w:spacing w:val="-5"/>
        </w:rPr>
        <w:t> </w:t>
      </w:r>
      <w:r>
        <w:rPr>
          <w:color w:val="231F20"/>
        </w:rPr>
        <w:t>contexte</w:t>
      </w:r>
      <w:r>
        <w:rPr>
          <w:color w:val="231F20"/>
          <w:spacing w:val="-3"/>
        </w:rPr>
        <w:t> </w:t>
      </w:r>
      <w:r>
        <w:rPr>
          <w:color w:val="231F20"/>
        </w:rPr>
        <w:t>de</w:t>
      </w:r>
      <w:r>
        <w:rPr>
          <w:color w:val="231F20"/>
          <w:spacing w:val="-3"/>
        </w:rPr>
        <w:t> </w:t>
      </w:r>
      <w:r>
        <w:rPr>
          <w:color w:val="231F20"/>
        </w:rPr>
        <w:t>la</w:t>
      </w:r>
      <w:r>
        <w:rPr>
          <w:color w:val="231F20"/>
          <w:spacing w:val="-15"/>
        </w:rPr>
        <w:t> </w:t>
      </w:r>
      <w:r>
        <w:rPr>
          <w:color w:val="231F20"/>
        </w:rPr>
        <w:t>pandémie</w:t>
      </w:r>
      <w:r>
        <w:rPr>
          <w:color w:val="231F20"/>
          <w:spacing w:val="-4"/>
        </w:rPr>
        <w:t> </w:t>
      </w:r>
      <w:r>
        <w:rPr>
          <w:color w:val="231F20"/>
        </w:rPr>
        <w:t>de</w:t>
      </w:r>
      <w:r>
        <w:rPr>
          <w:color w:val="231F20"/>
          <w:spacing w:val="-3"/>
        </w:rPr>
        <w:t> </w:t>
      </w:r>
      <w:r>
        <w:rPr>
          <w:color w:val="231F20"/>
        </w:rPr>
        <w:t>Covid-19.</w:t>
      </w:r>
      <w:r>
        <w:rPr>
          <w:color w:val="231F20"/>
          <w:spacing w:val="-5"/>
        </w:rPr>
        <w:t> </w:t>
      </w:r>
      <w:r>
        <w:rPr>
          <w:color w:val="231F20"/>
        </w:rPr>
        <w:t>Par</w:t>
      </w:r>
      <w:r>
        <w:rPr>
          <w:color w:val="231F20"/>
          <w:spacing w:val="-3"/>
        </w:rPr>
        <w:t> </w:t>
      </w:r>
      <w:r>
        <w:rPr>
          <w:color w:val="231F20"/>
        </w:rPr>
        <w:t>ailleurs,</w:t>
      </w:r>
      <w:r>
        <w:rPr>
          <w:color w:val="231F20"/>
          <w:spacing w:val="-3"/>
        </w:rPr>
        <w:t> </w:t>
      </w:r>
      <w:r>
        <w:rPr>
          <w:color w:val="231F20"/>
        </w:rPr>
        <w:t>le</w:t>
      </w:r>
      <w:r>
        <w:rPr>
          <w:color w:val="231F20"/>
          <w:spacing w:val="-3"/>
        </w:rPr>
        <w:t> </w:t>
      </w:r>
      <w:r>
        <w:rPr>
          <w:color w:val="231F20"/>
        </w:rPr>
        <w:t>premier</w:t>
      </w:r>
      <w:r>
        <w:rPr>
          <w:color w:val="231F20"/>
          <w:spacing w:val="-3"/>
        </w:rPr>
        <w:t> </w:t>
      </w:r>
      <w:r>
        <w:rPr>
          <w:color w:val="231F20"/>
        </w:rPr>
        <w:t>tour</w:t>
      </w:r>
      <w:r>
        <w:rPr>
          <w:color w:val="231F20"/>
          <w:spacing w:val="-5"/>
        </w:rPr>
        <w:t> </w:t>
      </w:r>
      <w:r>
        <w:rPr>
          <w:color w:val="231F20"/>
        </w:rPr>
        <w:t>se </w:t>
      </w:r>
      <w:r>
        <w:rPr>
          <w:color w:val="231F20"/>
          <w:spacing w:val="-2"/>
        </w:rPr>
        <w:t>tient</w:t>
      </w:r>
      <w:r>
        <w:rPr>
          <w:color w:val="231F20"/>
          <w:spacing w:val="-13"/>
        </w:rPr>
        <w:t> </w:t>
      </w:r>
      <w:r>
        <w:rPr>
          <w:color w:val="231F20"/>
          <w:spacing w:val="-2"/>
        </w:rPr>
        <w:t>sous</w:t>
      </w:r>
      <w:r>
        <w:rPr>
          <w:color w:val="231F20"/>
          <w:spacing w:val="-13"/>
        </w:rPr>
        <w:t> </w:t>
      </w:r>
      <w:r>
        <w:rPr>
          <w:color w:val="231F20"/>
          <w:spacing w:val="-2"/>
        </w:rPr>
        <w:t>la</w:t>
      </w:r>
      <w:r>
        <w:rPr>
          <w:color w:val="231F20"/>
          <w:spacing w:val="-13"/>
        </w:rPr>
        <w:t> </w:t>
      </w:r>
      <w:r>
        <w:rPr>
          <w:color w:val="231F20"/>
          <w:spacing w:val="-2"/>
        </w:rPr>
        <w:t>menace</w:t>
      </w:r>
      <w:r>
        <w:rPr>
          <w:color w:val="231F20"/>
          <w:spacing w:val="-13"/>
        </w:rPr>
        <w:t> </w:t>
      </w:r>
      <w:r>
        <w:rPr>
          <w:color w:val="231F20"/>
          <w:spacing w:val="-2"/>
        </w:rPr>
        <w:t>des</w:t>
      </w:r>
      <w:r>
        <w:rPr>
          <w:color w:val="231F20"/>
          <w:spacing w:val="-13"/>
        </w:rPr>
        <w:t> </w:t>
      </w:r>
      <w:r>
        <w:rPr>
          <w:color w:val="231F20"/>
          <w:spacing w:val="-2"/>
        </w:rPr>
        <w:t>groupes</w:t>
      </w:r>
      <w:r>
        <w:rPr>
          <w:color w:val="231F20"/>
          <w:spacing w:val="-13"/>
        </w:rPr>
        <w:t> </w:t>
      </w:r>
      <w:r>
        <w:rPr>
          <w:color w:val="231F20"/>
          <w:spacing w:val="-2"/>
        </w:rPr>
        <w:t>armées.</w:t>
      </w:r>
      <w:r>
        <w:rPr>
          <w:color w:val="231F20"/>
          <w:spacing w:val="-13"/>
        </w:rPr>
        <w:t> </w:t>
      </w:r>
      <w:r>
        <w:rPr>
          <w:color w:val="231F20"/>
          <w:spacing w:val="-2"/>
        </w:rPr>
        <w:t>Le</w:t>
      </w:r>
      <w:r>
        <w:rPr>
          <w:color w:val="231F20"/>
          <w:spacing w:val="-12"/>
        </w:rPr>
        <w:t> </w:t>
      </w:r>
      <w:r>
        <w:rPr>
          <w:color w:val="231F20"/>
          <w:spacing w:val="-2"/>
        </w:rPr>
        <w:t>déploiement</w:t>
      </w:r>
      <w:r>
        <w:rPr>
          <w:color w:val="231F20"/>
          <w:spacing w:val="-10"/>
        </w:rPr>
        <w:t> </w:t>
      </w:r>
      <w:r>
        <w:rPr>
          <w:color w:val="231F20"/>
          <w:spacing w:val="-2"/>
        </w:rPr>
        <w:t>des</w:t>
      </w:r>
      <w:r>
        <w:rPr>
          <w:color w:val="231F20"/>
          <w:spacing w:val="-12"/>
        </w:rPr>
        <w:t> </w:t>
      </w:r>
      <w:r>
        <w:rPr>
          <w:color w:val="231F20"/>
          <w:spacing w:val="-2"/>
        </w:rPr>
        <w:t>forces</w:t>
      </w:r>
      <w:r>
        <w:rPr>
          <w:color w:val="231F20"/>
          <w:spacing w:val="-12"/>
        </w:rPr>
        <w:t> </w:t>
      </w:r>
      <w:r>
        <w:rPr>
          <w:color w:val="231F20"/>
          <w:spacing w:val="-2"/>
        </w:rPr>
        <w:t>de</w:t>
      </w:r>
      <w:r>
        <w:rPr>
          <w:color w:val="231F20"/>
          <w:spacing w:val="-13"/>
        </w:rPr>
        <w:t> </w:t>
      </w:r>
      <w:r>
        <w:rPr>
          <w:color w:val="231F20"/>
          <w:spacing w:val="-2"/>
        </w:rPr>
        <w:t>la </w:t>
      </w:r>
      <w:r>
        <w:rPr>
          <w:color w:val="231F20"/>
        </w:rPr>
        <w:t>MINUSCA permet aux opérations de vote d'avoir lieu dans le calme, notamment dans la capitale</w:t>
      </w:r>
      <w:r>
        <w:rPr>
          <w:color w:val="231F20"/>
          <w:spacing w:val="-15"/>
        </w:rPr>
        <w:t> </w:t>
      </w:r>
      <w:r>
        <w:rPr>
          <w:color w:val="231F20"/>
        </w:rPr>
        <w:t>Bangui</w:t>
      </w:r>
      <w:r>
        <w:rPr>
          <w:color w:val="231F20"/>
          <w:spacing w:val="-15"/>
        </w:rPr>
        <w:t> </w:t>
      </w:r>
      <w:r>
        <w:rPr>
          <w:color w:val="231F20"/>
        </w:rPr>
        <w:t>et les principales grandes villes. </w:t>
      </w:r>
      <w:r>
        <w:rPr>
          <w:color w:val="231F20"/>
          <w:spacing w:val="-4"/>
        </w:rPr>
        <w:t>Néanmoins,</w:t>
      </w:r>
      <w:r>
        <w:rPr>
          <w:color w:val="231F20"/>
          <w:spacing w:val="-11"/>
        </w:rPr>
        <w:t> </w:t>
      </w:r>
      <w:r>
        <w:rPr>
          <w:color w:val="231F20"/>
          <w:spacing w:val="-4"/>
        </w:rPr>
        <w:t>le</w:t>
      </w:r>
      <w:r>
        <w:rPr>
          <w:color w:val="231F20"/>
          <w:spacing w:val="-11"/>
        </w:rPr>
        <w:t> </w:t>
      </w:r>
      <w:r>
        <w:rPr>
          <w:color w:val="231F20"/>
          <w:spacing w:val="-4"/>
        </w:rPr>
        <w:t>jour</w:t>
      </w:r>
      <w:r>
        <w:rPr>
          <w:color w:val="231F20"/>
          <w:spacing w:val="-11"/>
        </w:rPr>
        <w:t> </w:t>
      </w:r>
      <w:r>
        <w:rPr>
          <w:color w:val="231F20"/>
          <w:spacing w:val="-4"/>
        </w:rPr>
        <w:t>du</w:t>
      </w:r>
      <w:r>
        <w:rPr>
          <w:color w:val="231F20"/>
          <w:spacing w:val="-11"/>
        </w:rPr>
        <w:t> </w:t>
      </w:r>
      <w:r>
        <w:rPr>
          <w:color w:val="231F20"/>
          <w:spacing w:val="-4"/>
        </w:rPr>
        <w:t>vote,</w:t>
      </w:r>
      <w:r>
        <w:rPr>
          <w:color w:val="231F20"/>
          <w:spacing w:val="-11"/>
        </w:rPr>
        <w:t> </w:t>
      </w:r>
      <w:r>
        <w:rPr>
          <w:color w:val="231F20"/>
          <w:spacing w:val="-4"/>
        </w:rPr>
        <w:t>des</w:t>
      </w:r>
      <w:r>
        <w:rPr>
          <w:color w:val="231F20"/>
          <w:spacing w:val="-11"/>
        </w:rPr>
        <w:t> </w:t>
      </w:r>
      <w:r>
        <w:rPr>
          <w:color w:val="231F20"/>
          <w:spacing w:val="-4"/>
        </w:rPr>
        <w:t>rebelles</w:t>
      </w:r>
      <w:r>
        <w:rPr>
          <w:color w:val="231F20"/>
          <w:spacing w:val="-11"/>
        </w:rPr>
        <w:t> </w:t>
      </w:r>
      <w:r>
        <w:rPr>
          <w:color w:val="231F20"/>
          <w:spacing w:val="-4"/>
        </w:rPr>
        <w:t>armés</w:t>
      </w:r>
      <w:r>
        <w:rPr>
          <w:color w:val="231F20"/>
          <w:spacing w:val="-11"/>
        </w:rPr>
        <w:t> </w:t>
      </w:r>
      <w:r>
        <w:rPr>
          <w:color w:val="231F20"/>
          <w:spacing w:val="-4"/>
        </w:rPr>
        <w:t>dans</w:t>
      </w:r>
      <w:r>
        <w:rPr>
          <w:color w:val="231F20"/>
          <w:spacing w:val="-11"/>
        </w:rPr>
        <w:t> </w:t>
      </w:r>
      <w:r>
        <w:rPr>
          <w:color w:val="231F20"/>
          <w:spacing w:val="-4"/>
        </w:rPr>
        <w:t>le</w:t>
      </w:r>
      <w:r>
        <w:rPr>
          <w:color w:val="231F20"/>
          <w:spacing w:val="-11"/>
        </w:rPr>
        <w:t> </w:t>
      </w:r>
      <w:r>
        <w:rPr>
          <w:color w:val="231F20"/>
          <w:spacing w:val="-4"/>
        </w:rPr>
        <w:t>Nord-ouest</w:t>
      </w:r>
      <w:r>
        <w:rPr>
          <w:color w:val="231F20"/>
          <w:spacing w:val="-11"/>
        </w:rPr>
        <w:t> </w:t>
      </w:r>
      <w:r>
        <w:rPr>
          <w:color w:val="231F20"/>
          <w:spacing w:val="-4"/>
        </w:rPr>
        <w:t>du</w:t>
      </w:r>
      <w:r>
        <w:rPr>
          <w:color w:val="231F20"/>
          <w:spacing w:val="-11"/>
        </w:rPr>
        <w:t> </w:t>
      </w:r>
      <w:r>
        <w:rPr>
          <w:color w:val="231F20"/>
          <w:spacing w:val="-4"/>
        </w:rPr>
        <w:t>pays </w:t>
      </w:r>
      <w:r>
        <w:rPr>
          <w:color w:val="231F20"/>
        </w:rPr>
        <w:t>empêchent</w:t>
      </w:r>
      <w:r>
        <w:rPr>
          <w:color w:val="231F20"/>
          <w:spacing w:val="-3"/>
        </w:rPr>
        <w:t> </w:t>
      </w:r>
      <w:r>
        <w:rPr>
          <w:color w:val="231F20"/>
        </w:rPr>
        <w:t>environ</w:t>
      </w:r>
      <w:r>
        <w:rPr>
          <w:color w:val="231F20"/>
          <w:spacing w:val="-3"/>
        </w:rPr>
        <w:t> </w:t>
      </w:r>
      <w:r>
        <w:rPr>
          <w:color w:val="231F20"/>
        </w:rPr>
        <w:t>800</w:t>
      </w:r>
      <w:r>
        <w:rPr>
          <w:color w:val="231F20"/>
          <w:spacing w:val="-3"/>
        </w:rPr>
        <w:t> </w:t>
      </w:r>
      <w:r>
        <w:rPr>
          <w:color w:val="231F20"/>
        </w:rPr>
        <w:t>bureaux</w:t>
      </w:r>
      <w:r>
        <w:rPr>
          <w:color w:val="231F20"/>
          <w:spacing w:val="-3"/>
        </w:rPr>
        <w:t> </w:t>
      </w:r>
      <w:r>
        <w:rPr>
          <w:color w:val="231F20"/>
        </w:rPr>
        <w:t>de</w:t>
      </w:r>
      <w:r>
        <w:rPr>
          <w:color w:val="231F20"/>
          <w:spacing w:val="-3"/>
        </w:rPr>
        <w:t> </w:t>
      </w:r>
      <w:r>
        <w:rPr>
          <w:color w:val="231F20"/>
        </w:rPr>
        <w:t>votes</w:t>
      </w:r>
      <w:r>
        <w:rPr>
          <w:color w:val="231F20"/>
          <w:spacing w:val="-5"/>
        </w:rPr>
        <w:t> </w:t>
      </w:r>
      <w:r>
        <w:rPr>
          <w:color w:val="231F20"/>
        </w:rPr>
        <w:t>sur</w:t>
      </w:r>
      <w:r>
        <w:rPr>
          <w:color w:val="231F20"/>
          <w:spacing w:val="-3"/>
        </w:rPr>
        <w:t> </w:t>
      </w:r>
      <w:r>
        <w:rPr>
          <w:color w:val="231F20"/>
        </w:rPr>
        <w:t>5</w:t>
      </w:r>
      <w:r>
        <w:rPr>
          <w:color w:val="231F20"/>
          <w:spacing w:val="-6"/>
        </w:rPr>
        <w:t> </w:t>
      </w:r>
      <w:r>
        <w:rPr>
          <w:color w:val="231F20"/>
        </w:rPr>
        <w:t>408</w:t>
      </w:r>
      <w:r>
        <w:rPr>
          <w:color w:val="231F20"/>
          <w:spacing w:val="-8"/>
        </w:rPr>
        <w:t> </w:t>
      </w:r>
      <w:r>
        <w:rPr>
          <w:color w:val="231F20"/>
        </w:rPr>
        <w:t>d'ouvrir.</w:t>
      </w:r>
    </w:p>
    <w:p>
      <w:pPr>
        <w:pStyle w:val="BodyText"/>
        <w:spacing w:before="120"/>
        <w:ind w:right="106" w:firstLine="283"/>
      </w:pPr>
      <w:r>
        <w:rPr>
          <w:color w:val="231F20"/>
        </w:rPr>
        <w:t>Le président sortant</w:t>
      </w:r>
      <w:r>
        <w:rPr>
          <w:color w:val="231F20"/>
          <w:spacing w:val="-14"/>
        </w:rPr>
        <w:t> </w:t>
      </w:r>
      <w:r>
        <w:rPr>
          <w:color w:val="231F20"/>
        </w:rPr>
        <w:t>Faustin-Archange Touadéra</w:t>
      </w:r>
      <w:r>
        <w:rPr>
          <w:color w:val="231F20"/>
          <w:spacing w:val="-15"/>
        </w:rPr>
        <w:t> </w:t>
      </w:r>
      <w:r>
        <w:rPr>
          <w:color w:val="231F20"/>
        </w:rPr>
        <w:t>est réélu dès le premier tour avec 53,92 % des suffrages.</w:t>
      </w:r>
    </w:p>
    <w:p>
      <w:pPr>
        <w:pStyle w:val="BodyText"/>
        <w:spacing w:before="120"/>
        <w:ind w:left="395"/>
      </w:pPr>
      <w:r>
        <w:rPr>
          <w:color w:val="231F20"/>
          <w:spacing w:val="-2"/>
        </w:rPr>
        <w:t>Les</w:t>
      </w:r>
      <w:r>
        <w:rPr>
          <w:color w:val="231F20"/>
          <w:spacing w:val="-12"/>
        </w:rPr>
        <w:t> </w:t>
      </w:r>
      <w:r>
        <w:rPr>
          <w:color w:val="231F20"/>
          <w:spacing w:val="-2"/>
        </w:rPr>
        <w:t>richesses</w:t>
      </w:r>
      <w:r>
        <w:rPr>
          <w:color w:val="231F20"/>
          <w:spacing w:val="-12"/>
        </w:rPr>
        <w:t> </w:t>
      </w:r>
      <w:r>
        <w:rPr>
          <w:color w:val="231F20"/>
          <w:spacing w:val="-2"/>
        </w:rPr>
        <w:t>de</w:t>
      </w:r>
      <w:r>
        <w:rPr>
          <w:color w:val="231F20"/>
          <w:spacing w:val="-12"/>
        </w:rPr>
        <w:t> </w:t>
      </w:r>
      <w:r>
        <w:rPr>
          <w:color w:val="231F20"/>
          <w:spacing w:val="-2"/>
        </w:rPr>
        <w:t>la</w:t>
      </w:r>
      <w:r>
        <w:rPr>
          <w:color w:val="231F20"/>
          <w:spacing w:val="-12"/>
        </w:rPr>
        <w:t> </w:t>
      </w:r>
      <w:r>
        <w:rPr>
          <w:color w:val="231F20"/>
          <w:spacing w:val="-2"/>
        </w:rPr>
        <w:t>RCA</w:t>
      </w:r>
      <w:r>
        <w:rPr>
          <w:color w:val="231F20"/>
          <w:spacing w:val="-12"/>
        </w:rPr>
        <w:t> </w:t>
      </w:r>
      <w:r>
        <w:rPr>
          <w:color w:val="231F20"/>
          <w:spacing w:val="-2"/>
        </w:rPr>
        <w:t>nourrissent</w:t>
      </w:r>
      <w:r>
        <w:rPr>
          <w:color w:val="231F20"/>
          <w:spacing w:val="-11"/>
        </w:rPr>
        <w:t> </w:t>
      </w:r>
      <w:r>
        <w:rPr>
          <w:color w:val="231F20"/>
          <w:spacing w:val="-2"/>
        </w:rPr>
        <w:t>ses</w:t>
      </w:r>
      <w:r>
        <w:rPr>
          <w:color w:val="231F20"/>
          <w:spacing w:val="-11"/>
        </w:rPr>
        <w:t> </w:t>
      </w:r>
      <w:r>
        <w:rPr>
          <w:color w:val="231F20"/>
          <w:spacing w:val="-2"/>
        </w:rPr>
        <w:t>conflits</w:t>
      </w:r>
      <w:r>
        <w:rPr>
          <w:color w:val="231F20"/>
          <w:spacing w:val="-12"/>
        </w:rPr>
        <w:t> </w:t>
      </w:r>
      <w:r>
        <w:rPr>
          <w:color w:val="231F20"/>
          <w:spacing w:val="-2"/>
        </w:rPr>
        <w:t>depuis</w:t>
      </w:r>
      <w:r>
        <w:rPr>
          <w:color w:val="231F20"/>
          <w:spacing w:val="-11"/>
        </w:rPr>
        <w:t> </w:t>
      </w:r>
      <w:r>
        <w:rPr>
          <w:color w:val="231F20"/>
          <w:spacing w:val="-2"/>
        </w:rPr>
        <w:t>des</w:t>
      </w:r>
      <w:r>
        <w:rPr>
          <w:color w:val="231F20"/>
          <w:spacing w:val="-11"/>
        </w:rPr>
        <w:t> </w:t>
      </w:r>
      <w:r>
        <w:rPr>
          <w:color w:val="231F20"/>
          <w:spacing w:val="-2"/>
        </w:rPr>
        <w:t>décennies.</w:t>
      </w:r>
    </w:p>
    <w:p>
      <w:pPr>
        <w:pStyle w:val="BodyText"/>
      </w:pPr>
      <w:r>
        <w:rPr>
          <w:color w:val="231F20"/>
          <w:spacing w:val="-2"/>
        </w:rPr>
        <w:t>Le</w:t>
      </w:r>
      <w:r>
        <w:rPr>
          <w:color w:val="231F20"/>
          <w:spacing w:val="-11"/>
        </w:rPr>
        <w:t> </w:t>
      </w:r>
      <w:r>
        <w:rPr>
          <w:color w:val="231F20"/>
          <w:spacing w:val="-2"/>
        </w:rPr>
        <w:t>pays</w:t>
      </w:r>
      <w:r>
        <w:rPr>
          <w:color w:val="231F20"/>
          <w:spacing w:val="-9"/>
        </w:rPr>
        <w:t> </w:t>
      </w:r>
      <w:r>
        <w:rPr>
          <w:color w:val="231F20"/>
          <w:spacing w:val="-2"/>
        </w:rPr>
        <w:t>compte</w:t>
      </w:r>
      <w:r>
        <w:rPr>
          <w:color w:val="231F20"/>
          <w:spacing w:val="-8"/>
        </w:rPr>
        <w:t> </w:t>
      </w:r>
      <w:r>
        <w:rPr>
          <w:color w:val="231F20"/>
          <w:spacing w:val="-2"/>
        </w:rPr>
        <w:t>des</w:t>
      </w:r>
      <w:r>
        <w:rPr>
          <w:color w:val="231F20"/>
          <w:spacing w:val="-9"/>
        </w:rPr>
        <w:t> </w:t>
      </w:r>
      <w:r>
        <w:rPr>
          <w:color w:val="231F20"/>
          <w:spacing w:val="-2"/>
        </w:rPr>
        <w:t>gisements</w:t>
      </w:r>
      <w:r>
        <w:rPr>
          <w:color w:val="231F20"/>
          <w:spacing w:val="-9"/>
        </w:rPr>
        <w:t> </w:t>
      </w:r>
      <w:r>
        <w:rPr>
          <w:color w:val="231F20"/>
          <w:spacing w:val="-2"/>
        </w:rPr>
        <w:t>d’aluminium,</w:t>
      </w:r>
      <w:r>
        <w:rPr>
          <w:color w:val="231F20"/>
          <w:spacing w:val="-8"/>
        </w:rPr>
        <w:t> </w:t>
      </w:r>
      <w:r>
        <w:rPr>
          <w:color w:val="231F20"/>
          <w:spacing w:val="-2"/>
        </w:rPr>
        <w:t>de</w:t>
      </w:r>
      <w:r>
        <w:rPr>
          <w:color w:val="231F20"/>
          <w:spacing w:val="-9"/>
        </w:rPr>
        <w:t> </w:t>
      </w:r>
      <w:r>
        <w:rPr>
          <w:color w:val="231F20"/>
          <w:spacing w:val="-2"/>
        </w:rPr>
        <w:t>cuivre,</w:t>
      </w:r>
      <w:r>
        <w:rPr>
          <w:color w:val="231F20"/>
          <w:spacing w:val="-8"/>
        </w:rPr>
        <w:t> </w:t>
      </w:r>
      <w:r>
        <w:rPr>
          <w:color w:val="231F20"/>
          <w:spacing w:val="-2"/>
        </w:rPr>
        <w:t>d’or,</w:t>
      </w:r>
      <w:r>
        <w:rPr>
          <w:color w:val="231F20"/>
          <w:spacing w:val="-9"/>
        </w:rPr>
        <w:t> </w:t>
      </w:r>
      <w:r>
        <w:rPr>
          <w:color w:val="231F20"/>
          <w:spacing w:val="-2"/>
        </w:rPr>
        <w:t>de</w:t>
      </w:r>
      <w:r>
        <w:rPr>
          <w:color w:val="231F20"/>
          <w:spacing w:val="-8"/>
        </w:rPr>
        <w:t> </w:t>
      </w:r>
      <w:r>
        <w:rPr>
          <w:color w:val="231F20"/>
          <w:spacing w:val="-2"/>
        </w:rPr>
        <w:t>diamant,</w:t>
      </w:r>
    </w:p>
    <w:p>
      <w:pPr>
        <w:spacing w:after="0"/>
        <w:sectPr>
          <w:pgSz w:w="8790" w:h="13610"/>
          <w:pgMar w:header="0" w:footer="802" w:top="1060" w:bottom="1000" w:left="880" w:right="880"/>
        </w:sectPr>
      </w:pPr>
    </w:p>
    <w:p>
      <w:pPr>
        <w:pStyle w:val="BodyText"/>
        <w:spacing w:before="66"/>
        <w:ind w:right="107"/>
      </w:pPr>
      <w:r>
        <w:rPr>
          <w:color w:val="231F20"/>
        </w:rPr>
        <w:t>d’uranium, du pétrole ainsi que d’importantes ressources en bois tropicaux.</w:t>
      </w:r>
      <w:r>
        <w:rPr>
          <w:color w:val="231F20"/>
          <w:spacing w:val="-4"/>
        </w:rPr>
        <w:t> </w:t>
      </w:r>
      <w:r>
        <w:rPr>
          <w:color w:val="231F20"/>
        </w:rPr>
        <w:t>La</w:t>
      </w:r>
      <w:r>
        <w:rPr>
          <w:color w:val="231F20"/>
          <w:spacing w:val="-1"/>
        </w:rPr>
        <w:t> </w:t>
      </w:r>
      <w:r>
        <w:rPr>
          <w:color w:val="231F20"/>
        </w:rPr>
        <w:t>forêt</w:t>
      </w:r>
      <w:r>
        <w:rPr>
          <w:color w:val="231F20"/>
          <w:spacing w:val="-1"/>
        </w:rPr>
        <w:t> </w:t>
      </w:r>
      <w:r>
        <w:rPr>
          <w:color w:val="231F20"/>
        </w:rPr>
        <w:t>centrafricaine</w:t>
      </w:r>
      <w:r>
        <w:rPr>
          <w:color w:val="231F20"/>
          <w:spacing w:val="-1"/>
        </w:rPr>
        <w:t> </w:t>
      </w:r>
      <w:r>
        <w:rPr>
          <w:color w:val="231F20"/>
        </w:rPr>
        <w:t>couvre</w:t>
      </w:r>
      <w:r>
        <w:rPr>
          <w:color w:val="231F20"/>
          <w:spacing w:val="-4"/>
        </w:rPr>
        <w:t> </w:t>
      </w:r>
      <w:r>
        <w:rPr>
          <w:color w:val="231F20"/>
        </w:rPr>
        <w:t>une</w:t>
      </w:r>
      <w:r>
        <w:rPr>
          <w:color w:val="231F20"/>
          <w:spacing w:val="-4"/>
        </w:rPr>
        <w:t> </w:t>
      </w:r>
      <w:r>
        <w:rPr>
          <w:color w:val="231F20"/>
        </w:rPr>
        <w:t>superficie</w:t>
      </w:r>
      <w:r>
        <w:rPr>
          <w:color w:val="231F20"/>
          <w:spacing w:val="-4"/>
        </w:rPr>
        <w:t> </w:t>
      </w:r>
      <w:r>
        <w:rPr>
          <w:color w:val="231F20"/>
        </w:rPr>
        <w:t>de</w:t>
      </w:r>
      <w:r>
        <w:rPr>
          <w:color w:val="231F20"/>
          <w:spacing w:val="-1"/>
        </w:rPr>
        <w:t> </w:t>
      </w:r>
      <w:r>
        <w:rPr>
          <w:color w:val="231F20"/>
        </w:rPr>
        <w:t>3,8</w:t>
      </w:r>
      <w:r>
        <w:rPr>
          <w:color w:val="231F20"/>
          <w:spacing w:val="-4"/>
        </w:rPr>
        <w:t> </w:t>
      </w:r>
      <w:r>
        <w:rPr>
          <w:color w:val="231F20"/>
        </w:rPr>
        <w:t>millions </w:t>
      </w:r>
      <w:r>
        <w:rPr>
          <w:color w:val="231F20"/>
          <w:spacing w:val="-2"/>
        </w:rPr>
        <w:t>d’hectares.</w:t>
      </w:r>
    </w:p>
    <w:p>
      <w:pPr>
        <w:pStyle w:val="BodyText"/>
        <w:spacing w:before="120"/>
        <w:ind w:right="107" w:firstLine="283"/>
      </w:pPr>
      <w:r>
        <w:rPr>
          <w:color w:val="231F20"/>
        </w:rPr>
        <w:t>Durant la colonisation, les entreprises étrangères ont exploité à outrance le diamant, l’or, le coton, le bois, le caoutchouc et d’autres </w:t>
      </w:r>
      <w:r>
        <w:rPr>
          <w:color w:val="231F20"/>
          <w:spacing w:val="-2"/>
        </w:rPr>
        <w:t>ressources</w:t>
      </w:r>
      <w:r>
        <w:rPr>
          <w:color w:val="231F20"/>
          <w:spacing w:val="-11"/>
        </w:rPr>
        <w:t> </w:t>
      </w:r>
      <w:r>
        <w:rPr>
          <w:color w:val="231F20"/>
          <w:spacing w:val="-2"/>
        </w:rPr>
        <w:t>naturelles</w:t>
      </w:r>
      <w:r>
        <w:rPr>
          <w:color w:val="231F20"/>
          <w:spacing w:val="-13"/>
        </w:rPr>
        <w:t> </w:t>
      </w:r>
      <w:r>
        <w:rPr>
          <w:color w:val="231F20"/>
          <w:spacing w:val="-2"/>
        </w:rPr>
        <w:t>du</w:t>
      </w:r>
      <w:r>
        <w:rPr>
          <w:color w:val="231F20"/>
          <w:spacing w:val="-11"/>
        </w:rPr>
        <w:t> </w:t>
      </w:r>
      <w:r>
        <w:rPr>
          <w:color w:val="231F20"/>
          <w:spacing w:val="-2"/>
        </w:rPr>
        <w:t>pays.</w:t>
      </w:r>
      <w:r>
        <w:rPr>
          <w:color w:val="231F20"/>
          <w:spacing w:val="-11"/>
        </w:rPr>
        <w:t> </w:t>
      </w:r>
      <w:r>
        <w:rPr>
          <w:color w:val="231F20"/>
          <w:spacing w:val="-2"/>
        </w:rPr>
        <w:t>Elles</w:t>
      </w:r>
      <w:r>
        <w:rPr>
          <w:color w:val="231F20"/>
          <w:spacing w:val="-11"/>
        </w:rPr>
        <w:t> </w:t>
      </w:r>
      <w:r>
        <w:rPr>
          <w:color w:val="231F20"/>
          <w:spacing w:val="-2"/>
        </w:rPr>
        <w:t>ont</w:t>
      </w:r>
      <w:r>
        <w:rPr>
          <w:color w:val="231F20"/>
          <w:spacing w:val="-13"/>
        </w:rPr>
        <w:t> </w:t>
      </w:r>
      <w:r>
        <w:rPr>
          <w:color w:val="231F20"/>
          <w:spacing w:val="-2"/>
        </w:rPr>
        <w:t>laissé</w:t>
      </w:r>
      <w:r>
        <w:rPr>
          <w:color w:val="231F20"/>
          <w:spacing w:val="-11"/>
        </w:rPr>
        <w:t> </w:t>
      </w:r>
      <w:r>
        <w:rPr>
          <w:color w:val="231F20"/>
          <w:spacing w:val="-2"/>
        </w:rPr>
        <w:t>derrière</w:t>
      </w:r>
      <w:r>
        <w:rPr>
          <w:color w:val="231F20"/>
          <w:spacing w:val="-11"/>
        </w:rPr>
        <w:t> </w:t>
      </w:r>
      <w:r>
        <w:rPr>
          <w:color w:val="231F20"/>
          <w:spacing w:val="-2"/>
        </w:rPr>
        <w:t>elles,</w:t>
      </w:r>
      <w:r>
        <w:rPr>
          <w:color w:val="231F20"/>
          <w:spacing w:val="-11"/>
        </w:rPr>
        <w:t> </w:t>
      </w:r>
      <w:r>
        <w:rPr>
          <w:color w:val="231F20"/>
          <w:spacing w:val="-2"/>
        </w:rPr>
        <w:t>un</w:t>
      </w:r>
      <w:r>
        <w:rPr>
          <w:color w:val="231F20"/>
          <w:spacing w:val="-11"/>
        </w:rPr>
        <w:t> </w:t>
      </w:r>
      <w:r>
        <w:rPr>
          <w:color w:val="231F20"/>
          <w:spacing w:val="-2"/>
        </w:rPr>
        <w:t>pays</w:t>
      </w:r>
      <w:r>
        <w:rPr>
          <w:color w:val="231F20"/>
          <w:spacing w:val="-11"/>
        </w:rPr>
        <w:t> </w:t>
      </w:r>
      <w:r>
        <w:rPr>
          <w:color w:val="231F20"/>
          <w:spacing w:val="-2"/>
        </w:rPr>
        <w:t>avec très</w:t>
      </w:r>
      <w:r>
        <w:rPr>
          <w:color w:val="231F20"/>
          <w:spacing w:val="-11"/>
        </w:rPr>
        <w:t> </w:t>
      </w:r>
      <w:r>
        <w:rPr>
          <w:color w:val="231F20"/>
          <w:spacing w:val="-2"/>
        </w:rPr>
        <w:t>peu</w:t>
      </w:r>
      <w:r>
        <w:rPr>
          <w:color w:val="231F20"/>
          <w:spacing w:val="-13"/>
        </w:rPr>
        <w:t> </w:t>
      </w:r>
      <w:r>
        <w:rPr>
          <w:color w:val="231F20"/>
          <w:spacing w:val="-2"/>
        </w:rPr>
        <w:t>d’infrastructures</w:t>
      </w:r>
      <w:r>
        <w:rPr>
          <w:color w:val="231F20"/>
          <w:spacing w:val="-13"/>
        </w:rPr>
        <w:t> </w:t>
      </w:r>
      <w:r>
        <w:rPr>
          <w:color w:val="231F20"/>
          <w:spacing w:val="-2"/>
        </w:rPr>
        <w:t>à</w:t>
      </w:r>
      <w:r>
        <w:rPr>
          <w:color w:val="231F20"/>
          <w:spacing w:val="-12"/>
        </w:rPr>
        <w:t> </w:t>
      </w:r>
      <w:r>
        <w:rPr>
          <w:color w:val="231F20"/>
          <w:spacing w:val="-2"/>
        </w:rPr>
        <w:t>même</w:t>
      </w:r>
      <w:r>
        <w:rPr>
          <w:color w:val="231F20"/>
          <w:spacing w:val="-10"/>
        </w:rPr>
        <w:t> </w:t>
      </w:r>
      <w:r>
        <w:rPr>
          <w:color w:val="231F20"/>
          <w:spacing w:val="-2"/>
        </w:rPr>
        <w:t>de</w:t>
      </w:r>
      <w:r>
        <w:rPr>
          <w:color w:val="231F20"/>
          <w:spacing w:val="-13"/>
        </w:rPr>
        <w:t> </w:t>
      </w:r>
      <w:r>
        <w:rPr>
          <w:color w:val="231F20"/>
          <w:spacing w:val="-2"/>
        </w:rPr>
        <w:t>soutenir</w:t>
      </w:r>
      <w:r>
        <w:rPr>
          <w:color w:val="231F20"/>
          <w:spacing w:val="-13"/>
        </w:rPr>
        <w:t> </w:t>
      </w:r>
      <w:r>
        <w:rPr>
          <w:color w:val="231F20"/>
          <w:spacing w:val="-2"/>
        </w:rPr>
        <w:t>un</w:t>
      </w:r>
      <w:r>
        <w:rPr>
          <w:color w:val="231F20"/>
          <w:spacing w:val="-11"/>
        </w:rPr>
        <w:t> </w:t>
      </w:r>
      <w:r>
        <w:rPr>
          <w:color w:val="231F20"/>
          <w:spacing w:val="-2"/>
        </w:rPr>
        <w:t>développement</w:t>
      </w:r>
      <w:r>
        <w:rPr>
          <w:color w:val="231F20"/>
          <w:spacing w:val="-13"/>
        </w:rPr>
        <w:t> </w:t>
      </w:r>
      <w:r>
        <w:rPr>
          <w:color w:val="231F20"/>
          <w:spacing w:val="-2"/>
        </w:rPr>
        <w:t>durable.</w:t>
      </w:r>
    </w:p>
    <w:p>
      <w:pPr>
        <w:pStyle w:val="BodyText"/>
        <w:spacing w:before="120"/>
        <w:ind w:right="104" w:firstLine="283"/>
      </w:pPr>
      <w:r>
        <w:rPr>
          <w:color w:val="231F20"/>
        </w:rPr>
        <w:t>Quelques petites industries développées dans les années 1970 sous Bokassa</w:t>
      </w:r>
      <w:r>
        <w:rPr>
          <w:color w:val="231F20"/>
          <w:spacing w:val="-5"/>
        </w:rPr>
        <w:t> </w:t>
      </w:r>
      <w:r>
        <w:rPr>
          <w:color w:val="231F20"/>
        </w:rPr>
        <w:t>(manufactures</w:t>
      </w:r>
      <w:r>
        <w:rPr>
          <w:color w:val="231F20"/>
          <w:spacing w:val="-3"/>
        </w:rPr>
        <w:t> </w:t>
      </w:r>
      <w:r>
        <w:rPr>
          <w:color w:val="231F20"/>
        </w:rPr>
        <w:t>de</w:t>
      </w:r>
      <w:r>
        <w:rPr>
          <w:color w:val="231F20"/>
          <w:spacing w:val="-2"/>
        </w:rPr>
        <w:t> </w:t>
      </w:r>
      <w:r>
        <w:rPr>
          <w:color w:val="231F20"/>
        </w:rPr>
        <w:t>tissus,</w:t>
      </w:r>
      <w:r>
        <w:rPr>
          <w:color w:val="231F20"/>
          <w:spacing w:val="-3"/>
        </w:rPr>
        <w:t> </w:t>
      </w:r>
      <w:r>
        <w:rPr>
          <w:color w:val="231F20"/>
        </w:rPr>
        <w:t>de</w:t>
      </w:r>
      <w:r>
        <w:rPr>
          <w:color w:val="231F20"/>
          <w:spacing w:val="-2"/>
        </w:rPr>
        <w:t> </w:t>
      </w:r>
      <w:r>
        <w:rPr>
          <w:color w:val="231F20"/>
        </w:rPr>
        <w:t>chaussures...)</w:t>
      </w:r>
      <w:r>
        <w:rPr>
          <w:color w:val="231F20"/>
          <w:spacing w:val="-4"/>
        </w:rPr>
        <w:t> </w:t>
      </w:r>
      <w:r>
        <w:rPr>
          <w:color w:val="231F20"/>
        </w:rPr>
        <w:t>ont</w:t>
      </w:r>
      <w:r>
        <w:rPr>
          <w:color w:val="231F20"/>
          <w:spacing w:val="-1"/>
        </w:rPr>
        <w:t> </w:t>
      </w:r>
      <w:r>
        <w:rPr>
          <w:color w:val="231F20"/>
        </w:rPr>
        <w:t>disparu</w:t>
      </w:r>
      <w:r>
        <w:rPr>
          <w:color w:val="231F20"/>
          <w:spacing w:val="-15"/>
        </w:rPr>
        <w:t> </w:t>
      </w:r>
      <w:r>
        <w:rPr>
          <w:color w:val="231F20"/>
        </w:rPr>
        <w:t>;</w:t>
      </w:r>
      <w:r>
        <w:rPr>
          <w:color w:val="231F20"/>
          <w:spacing w:val="-3"/>
        </w:rPr>
        <w:t> </w:t>
      </w:r>
      <w:r>
        <w:rPr>
          <w:color w:val="231F20"/>
        </w:rPr>
        <w:t>le</w:t>
      </w:r>
      <w:r>
        <w:rPr>
          <w:color w:val="231F20"/>
          <w:spacing w:val="-3"/>
        </w:rPr>
        <w:t> </w:t>
      </w:r>
      <w:r>
        <w:rPr>
          <w:color w:val="231F20"/>
        </w:rPr>
        <w:t>tissu </w:t>
      </w:r>
      <w:r>
        <w:rPr>
          <w:color w:val="231F20"/>
          <w:spacing w:val="-4"/>
        </w:rPr>
        <w:t>industriel,</w:t>
      </w:r>
      <w:r>
        <w:rPr>
          <w:color w:val="231F20"/>
          <w:spacing w:val="-5"/>
        </w:rPr>
        <w:t> </w:t>
      </w:r>
      <w:r>
        <w:rPr>
          <w:color w:val="231F20"/>
          <w:spacing w:val="-4"/>
        </w:rPr>
        <w:t>qui</w:t>
      </w:r>
      <w:r>
        <w:rPr>
          <w:color w:val="231F20"/>
          <w:spacing w:val="-5"/>
        </w:rPr>
        <w:t> </w:t>
      </w:r>
      <w:r>
        <w:rPr>
          <w:color w:val="231F20"/>
          <w:spacing w:val="-4"/>
        </w:rPr>
        <w:t>n’a</w:t>
      </w:r>
      <w:r>
        <w:rPr>
          <w:color w:val="231F20"/>
          <w:spacing w:val="-5"/>
        </w:rPr>
        <w:t> </w:t>
      </w:r>
      <w:r>
        <w:rPr>
          <w:color w:val="231F20"/>
          <w:spacing w:val="-4"/>
        </w:rPr>
        <w:t>jamais</w:t>
      </w:r>
      <w:r>
        <w:rPr>
          <w:color w:val="231F20"/>
          <w:spacing w:val="-7"/>
        </w:rPr>
        <w:t> </w:t>
      </w:r>
      <w:r>
        <w:rPr>
          <w:color w:val="231F20"/>
          <w:spacing w:val="-4"/>
        </w:rPr>
        <w:t>été</w:t>
      </w:r>
      <w:r>
        <w:rPr>
          <w:color w:val="231F20"/>
          <w:spacing w:val="-7"/>
        </w:rPr>
        <w:t> </w:t>
      </w:r>
      <w:r>
        <w:rPr>
          <w:color w:val="231F20"/>
          <w:spacing w:val="-4"/>
        </w:rPr>
        <w:t>très</w:t>
      </w:r>
      <w:r>
        <w:rPr>
          <w:color w:val="231F20"/>
          <w:spacing w:val="-7"/>
        </w:rPr>
        <w:t> </w:t>
      </w:r>
      <w:r>
        <w:rPr>
          <w:color w:val="231F20"/>
          <w:spacing w:val="-4"/>
        </w:rPr>
        <w:t>développé</w:t>
      </w:r>
      <w:r>
        <w:rPr>
          <w:color w:val="231F20"/>
          <w:spacing w:val="-7"/>
        </w:rPr>
        <w:t> </w:t>
      </w:r>
      <w:r>
        <w:rPr>
          <w:color w:val="231F20"/>
          <w:spacing w:val="-4"/>
        </w:rPr>
        <w:t>souffre</w:t>
      </w:r>
      <w:r>
        <w:rPr>
          <w:color w:val="231F20"/>
          <w:spacing w:val="-7"/>
        </w:rPr>
        <w:t> </w:t>
      </w:r>
      <w:r>
        <w:rPr>
          <w:color w:val="231F20"/>
          <w:spacing w:val="-4"/>
        </w:rPr>
        <w:t>des</w:t>
      </w:r>
      <w:r>
        <w:rPr>
          <w:color w:val="231F20"/>
          <w:spacing w:val="-5"/>
        </w:rPr>
        <w:t> </w:t>
      </w:r>
      <w:r>
        <w:rPr>
          <w:color w:val="231F20"/>
          <w:spacing w:val="-4"/>
        </w:rPr>
        <w:t>troubles</w:t>
      </w:r>
      <w:r>
        <w:rPr>
          <w:color w:val="231F20"/>
          <w:spacing w:val="-5"/>
        </w:rPr>
        <w:t> </w:t>
      </w:r>
      <w:r>
        <w:rPr>
          <w:color w:val="231F20"/>
          <w:spacing w:val="-4"/>
        </w:rPr>
        <w:t>militaires </w:t>
      </w:r>
      <w:r>
        <w:rPr>
          <w:color w:val="231F20"/>
        </w:rPr>
        <w:t>et politiques successifs. Il est aujourd’hui quasiment inexistant. Les services publics (eau, électricité, téléphone filaire...), sont dans des </w:t>
      </w:r>
      <w:r>
        <w:rPr>
          <w:color w:val="231F20"/>
          <w:spacing w:val="-2"/>
        </w:rPr>
        <w:t>situations</w:t>
      </w:r>
      <w:r>
        <w:rPr>
          <w:color w:val="231F20"/>
          <w:spacing w:val="-13"/>
        </w:rPr>
        <w:t> </w:t>
      </w:r>
      <w:r>
        <w:rPr>
          <w:color w:val="231F20"/>
          <w:spacing w:val="-2"/>
        </w:rPr>
        <w:t>financières</w:t>
      </w:r>
      <w:r>
        <w:rPr>
          <w:color w:val="231F20"/>
          <w:spacing w:val="-11"/>
        </w:rPr>
        <w:t> </w:t>
      </w:r>
      <w:r>
        <w:rPr>
          <w:color w:val="231F20"/>
          <w:spacing w:val="-2"/>
        </w:rPr>
        <w:t>difficiles,</w:t>
      </w:r>
      <w:r>
        <w:rPr>
          <w:color w:val="231F20"/>
          <w:spacing w:val="-11"/>
        </w:rPr>
        <w:t> </w:t>
      </w:r>
      <w:r>
        <w:rPr>
          <w:color w:val="231F20"/>
          <w:spacing w:val="-2"/>
        </w:rPr>
        <w:t>et</w:t>
      </w:r>
      <w:r>
        <w:rPr>
          <w:color w:val="231F20"/>
          <w:spacing w:val="-10"/>
        </w:rPr>
        <w:t> </w:t>
      </w:r>
      <w:r>
        <w:rPr>
          <w:color w:val="231F20"/>
          <w:spacing w:val="-2"/>
        </w:rPr>
        <w:t>les</w:t>
      </w:r>
      <w:r>
        <w:rPr>
          <w:color w:val="231F20"/>
          <w:spacing w:val="-10"/>
        </w:rPr>
        <w:t> </w:t>
      </w:r>
      <w:r>
        <w:rPr>
          <w:color w:val="231F20"/>
          <w:spacing w:val="-2"/>
        </w:rPr>
        <w:t>équipements,</w:t>
      </w:r>
      <w:r>
        <w:rPr>
          <w:color w:val="231F20"/>
          <w:spacing w:val="-13"/>
        </w:rPr>
        <w:t> </w:t>
      </w:r>
      <w:r>
        <w:rPr>
          <w:color w:val="231F20"/>
          <w:spacing w:val="-2"/>
        </w:rPr>
        <w:t>faute</w:t>
      </w:r>
      <w:r>
        <w:rPr>
          <w:color w:val="231F20"/>
          <w:spacing w:val="-11"/>
        </w:rPr>
        <w:t> </w:t>
      </w:r>
      <w:r>
        <w:rPr>
          <w:color w:val="231F20"/>
          <w:spacing w:val="-2"/>
        </w:rPr>
        <w:t>de</w:t>
      </w:r>
      <w:r>
        <w:rPr>
          <w:color w:val="231F20"/>
          <w:spacing w:val="-13"/>
        </w:rPr>
        <w:t> </w:t>
      </w:r>
      <w:r>
        <w:rPr>
          <w:color w:val="231F20"/>
          <w:spacing w:val="-2"/>
        </w:rPr>
        <w:t>maintenance et</w:t>
      </w:r>
      <w:r>
        <w:rPr>
          <w:color w:val="231F20"/>
          <w:spacing w:val="-8"/>
        </w:rPr>
        <w:t> </w:t>
      </w:r>
      <w:r>
        <w:rPr>
          <w:color w:val="231F20"/>
          <w:spacing w:val="-2"/>
        </w:rPr>
        <w:t>d’investissement,</w:t>
      </w:r>
      <w:r>
        <w:rPr>
          <w:color w:val="231F20"/>
          <w:spacing w:val="-10"/>
        </w:rPr>
        <w:t> </w:t>
      </w:r>
      <w:r>
        <w:rPr>
          <w:color w:val="231F20"/>
          <w:spacing w:val="-2"/>
        </w:rPr>
        <w:t>sont</w:t>
      </w:r>
      <w:r>
        <w:rPr>
          <w:color w:val="231F20"/>
          <w:spacing w:val="-9"/>
        </w:rPr>
        <w:t> </w:t>
      </w:r>
      <w:r>
        <w:rPr>
          <w:color w:val="231F20"/>
          <w:spacing w:val="-2"/>
        </w:rPr>
        <w:t>pour</w:t>
      </w:r>
      <w:r>
        <w:rPr>
          <w:color w:val="231F20"/>
          <w:spacing w:val="-8"/>
        </w:rPr>
        <w:t> </w:t>
      </w:r>
      <w:r>
        <w:rPr>
          <w:color w:val="231F20"/>
          <w:spacing w:val="-2"/>
        </w:rPr>
        <w:t>la</w:t>
      </w:r>
      <w:r>
        <w:rPr>
          <w:color w:val="231F20"/>
          <w:spacing w:val="-8"/>
        </w:rPr>
        <w:t> </w:t>
      </w:r>
      <w:r>
        <w:rPr>
          <w:color w:val="231F20"/>
          <w:spacing w:val="-2"/>
        </w:rPr>
        <w:t>plupart</w:t>
      </w:r>
      <w:r>
        <w:rPr>
          <w:color w:val="231F20"/>
          <w:spacing w:val="-10"/>
        </w:rPr>
        <w:t> </w:t>
      </w:r>
      <w:r>
        <w:rPr>
          <w:color w:val="231F20"/>
          <w:spacing w:val="-2"/>
        </w:rPr>
        <w:t>vétustes,</w:t>
      </w:r>
      <w:r>
        <w:rPr>
          <w:color w:val="231F20"/>
          <w:spacing w:val="-8"/>
        </w:rPr>
        <w:t> </w:t>
      </w:r>
      <w:r>
        <w:rPr>
          <w:color w:val="231F20"/>
          <w:spacing w:val="-2"/>
        </w:rPr>
        <w:t>entraînant</w:t>
      </w:r>
      <w:r>
        <w:rPr>
          <w:color w:val="231F20"/>
          <w:spacing w:val="-9"/>
        </w:rPr>
        <w:t> </w:t>
      </w:r>
      <w:r>
        <w:rPr>
          <w:color w:val="231F20"/>
          <w:spacing w:val="-2"/>
        </w:rPr>
        <w:t>des</w:t>
      </w:r>
      <w:r>
        <w:rPr>
          <w:color w:val="231F20"/>
          <w:spacing w:val="-8"/>
        </w:rPr>
        <w:t> </w:t>
      </w:r>
      <w:r>
        <w:rPr>
          <w:color w:val="231F20"/>
          <w:spacing w:val="-2"/>
        </w:rPr>
        <w:t>ruptures </w:t>
      </w:r>
      <w:r>
        <w:rPr>
          <w:color w:val="231F20"/>
        </w:rPr>
        <w:t>de service très fréquentes.</w:t>
      </w:r>
    </w:p>
    <w:p>
      <w:pPr>
        <w:pStyle w:val="BodyText"/>
        <w:spacing w:before="121"/>
        <w:ind w:right="103" w:firstLine="283"/>
      </w:pPr>
      <w:r>
        <w:rPr>
          <w:color w:val="231F20"/>
          <w:spacing w:val="-4"/>
        </w:rPr>
        <w:t>Le</w:t>
      </w:r>
      <w:r>
        <w:rPr>
          <w:color w:val="231F20"/>
          <w:spacing w:val="-7"/>
        </w:rPr>
        <w:t> </w:t>
      </w:r>
      <w:r>
        <w:rPr>
          <w:color w:val="231F20"/>
          <w:spacing w:val="-4"/>
        </w:rPr>
        <w:t>poids</w:t>
      </w:r>
      <w:r>
        <w:rPr>
          <w:color w:val="231F20"/>
          <w:spacing w:val="-9"/>
        </w:rPr>
        <w:t> </w:t>
      </w:r>
      <w:r>
        <w:rPr>
          <w:color w:val="231F20"/>
          <w:spacing w:val="-4"/>
        </w:rPr>
        <w:t>important</w:t>
      </w:r>
      <w:r>
        <w:rPr>
          <w:color w:val="231F20"/>
          <w:spacing w:val="-6"/>
        </w:rPr>
        <w:t> </w:t>
      </w:r>
      <w:r>
        <w:rPr>
          <w:color w:val="231F20"/>
          <w:spacing w:val="-4"/>
        </w:rPr>
        <w:t>de</w:t>
      </w:r>
      <w:r>
        <w:rPr>
          <w:color w:val="231F20"/>
          <w:spacing w:val="-7"/>
        </w:rPr>
        <w:t> </w:t>
      </w:r>
      <w:r>
        <w:rPr>
          <w:color w:val="231F20"/>
          <w:spacing w:val="-4"/>
        </w:rPr>
        <w:t>la</w:t>
      </w:r>
      <w:r>
        <w:rPr>
          <w:color w:val="231F20"/>
          <w:spacing w:val="-7"/>
        </w:rPr>
        <w:t> </w:t>
      </w:r>
      <w:r>
        <w:rPr>
          <w:color w:val="231F20"/>
          <w:spacing w:val="-4"/>
        </w:rPr>
        <w:t>dette</w:t>
      </w:r>
      <w:r>
        <w:rPr>
          <w:color w:val="231F20"/>
          <w:spacing w:val="-8"/>
        </w:rPr>
        <w:t> </w:t>
      </w:r>
      <w:r>
        <w:rPr>
          <w:color w:val="231F20"/>
          <w:spacing w:val="-4"/>
        </w:rPr>
        <w:t>dans</w:t>
      </w:r>
      <w:r>
        <w:rPr>
          <w:color w:val="231F20"/>
          <w:spacing w:val="-7"/>
        </w:rPr>
        <w:t> </w:t>
      </w:r>
      <w:r>
        <w:rPr>
          <w:color w:val="231F20"/>
          <w:spacing w:val="-4"/>
        </w:rPr>
        <w:t>le</w:t>
      </w:r>
      <w:r>
        <w:rPr>
          <w:color w:val="231F20"/>
          <w:spacing w:val="-7"/>
        </w:rPr>
        <w:t> </w:t>
      </w:r>
      <w:r>
        <w:rPr>
          <w:color w:val="231F20"/>
          <w:spacing w:val="-4"/>
        </w:rPr>
        <w:t>budget</w:t>
      </w:r>
      <w:r>
        <w:rPr>
          <w:color w:val="231F20"/>
          <w:spacing w:val="-6"/>
        </w:rPr>
        <w:t> </w:t>
      </w:r>
      <w:r>
        <w:rPr>
          <w:color w:val="231F20"/>
          <w:spacing w:val="-4"/>
        </w:rPr>
        <w:t>national</w:t>
      </w:r>
      <w:r>
        <w:rPr>
          <w:color w:val="231F20"/>
          <w:spacing w:val="-6"/>
        </w:rPr>
        <w:t> </w:t>
      </w:r>
      <w:r>
        <w:rPr>
          <w:color w:val="231F20"/>
          <w:spacing w:val="-4"/>
        </w:rPr>
        <w:t>et</w:t>
      </w:r>
      <w:r>
        <w:rPr>
          <w:color w:val="231F20"/>
          <w:spacing w:val="-6"/>
        </w:rPr>
        <w:t> </w:t>
      </w:r>
      <w:r>
        <w:rPr>
          <w:color w:val="231F20"/>
          <w:spacing w:val="-4"/>
        </w:rPr>
        <w:t>la</w:t>
      </w:r>
      <w:r>
        <w:rPr>
          <w:color w:val="231F20"/>
          <w:spacing w:val="-7"/>
        </w:rPr>
        <w:t> </w:t>
      </w:r>
      <w:r>
        <w:rPr>
          <w:color w:val="231F20"/>
          <w:spacing w:val="-4"/>
        </w:rPr>
        <w:t>faiblesse</w:t>
      </w:r>
      <w:r>
        <w:rPr>
          <w:color w:val="231F20"/>
          <w:spacing w:val="-7"/>
        </w:rPr>
        <w:t> </w:t>
      </w:r>
      <w:r>
        <w:rPr>
          <w:color w:val="231F20"/>
          <w:spacing w:val="-4"/>
        </w:rPr>
        <w:t>du </w:t>
      </w:r>
      <w:r>
        <w:rPr>
          <w:color w:val="231F20"/>
          <w:spacing w:val="-2"/>
        </w:rPr>
        <w:t>niveau</w:t>
      </w:r>
      <w:r>
        <w:rPr>
          <w:color w:val="231F20"/>
          <w:spacing w:val="-11"/>
        </w:rPr>
        <w:t> </w:t>
      </w:r>
      <w:r>
        <w:rPr>
          <w:color w:val="231F20"/>
          <w:spacing w:val="-2"/>
        </w:rPr>
        <w:t>des</w:t>
      </w:r>
      <w:r>
        <w:rPr>
          <w:color w:val="231F20"/>
          <w:spacing w:val="-8"/>
        </w:rPr>
        <w:t> </w:t>
      </w:r>
      <w:r>
        <w:rPr>
          <w:color w:val="231F20"/>
          <w:spacing w:val="-2"/>
        </w:rPr>
        <w:t>ressources</w:t>
      </w:r>
      <w:r>
        <w:rPr>
          <w:color w:val="231F20"/>
          <w:spacing w:val="-10"/>
        </w:rPr>
        <w:t> </w:t>
      </w:r>
      <w:r>
        <w:rPr>
          <w:color w:val="231F20"/>
          <w:spacing w:val="-2"/>
        </w:rPr>
        <w:t>propres,</w:t>
      </w:r>
      <w:r>
        <w:rPr>
          <w:color w:val="231F20"/>
          <w:spacing w:val="-8"/>
        </w:rPr>
        <w:t> </w:t>
      </w:r>
      <w:r>
        <w:rPr>
          <w:color w:val="231F20"/>
          <w:spacing w:val="-2"/>
        </w:rPr>
        <w:t>rendent</w:t>
      </w:r>
      <w:r>
        <w:rPr>
          <w:color w:val="231F20"/>
          <w:spacing w:val="-10"/>
        </w:rPr>
        <w:t> </w:t>
      </w:r>
      <w:r>
        <w:rPr>
          <w:color w:val="231F20"/>
          <w:spacing w:val="-2"/>
        </w:rPr>
        <w:t>la</w:t>
      </w:r>
      <w:r>
        <w:rPr>
          <w:color w:val="231F20"/>
          <w:spacing w:val="-11"/>
        </w:rPr>
        <w:t> </w:t>
      </w:r>
      <w:r>
        <w:rPr>
          <w:color w:val="231F20"/>
          <w:spacing w:val="-2"/>
        </w:rPr>
        <w:t>gestion</w:t>
      </w:r>
      <w:r>
        <w:rPr>
          <w:color w:val="231F20"/>
          <w:spacing w:val="-10"/>
        </w:rPr>
        <w:t> </w:t>
      </w:r>
      <w:r>
        <w:rPr>
          <w:color w:val="231F20"/>
          <w:spacing w:val="-2"/>
        </w:rPr>
        <w:t>de</w:t>
      </w:r>
      <w:r>
        <w:rPr>
          <w:color w:val="231F20"/>
          <w:spacing w:val="-11"/>
        </w:rPr>
        <w:t> </w:t>
      </w:r>
      <w:r>
        <w:rPr>
          <w:color w:val="231F20"/>
          <w:spacing w:val="-2"/>
        </w:rPr>
        <w:t>l’État</w:t>
      </w:r>
      <w:r>
        <w:rPr>
          <w:color w:val="231F20"/>
          <w:spacing w:val="-10"/>
        </w:rPr>
        <w:t> </w:t>
      </w:r>
      <w:r>
        <w:rPr>
          <w:color w:val="231F20"/>
          <w:spacing w:val="-2"/>
        </w:rPr>
        <w:t>difficile</w:t>
      </w:r>
      <w:r>
        <w:rPr>
          <w:color w:val="231F20"/>
          <w:spacing w:val="-11"/>
        </w:rPr>
        <w:t> </w:t>
      </w:r>
      <w:r>
        <w:rPr>
          <w:color w:val="231F20"/>
          <w:spacing w:val="-2"/>
        </w:rPr>
        <w:t>:</w:t>
      </w:r>
      <w:r>
        <w:rPr>
          <w:color w:val="231F20"/>
          <w:spacing w:val="-9"/>
        </w:rPr>
        <w:t> </w:t>
      </w:r>
      <w:r>
        <w:rPr>
          <w:color w:val="231F20"/>
          <w:spacing w:val="-2"/>
        </w:rPr>
        <w:t>non- </w:t>
      </w:r>
      <w:r>
        <w:rPr>
          <w:color w:val="231F20"/>
        </w:rPr>
        <w:t>paiement</w:t>
      </w:r>
      <w:r>
        <w:rPr>
          <w:color w:val="231F20"/>
          <w:spacing w:val="-5"/>
        </w:rPr>
        <w:t> </w:t>
      </w:r>
      <w:r>
        <w:rPr>
          <w:color w:val="231F20"/>
        </w:rPr>
        <w:t>de</w:t>
      </w:r>
      <w:r>
        <w:rPr>
          <w:color w:val="231F20"/>
          <w:spacing w:val="-5"/>
        </w:rPr>
        <w:t> </w:t>
      </w:r>
      <w:r>
        <w:rPr>
          <w:color w:val="231F20"/>
        </w:rPr>
        <w:t>salaires</w:t>
      </w:r>
      <w:r>
        <w:rPr>
          <w:color w:val="231F20"/>
          <w:spacing w:val="-6"/>
        </w:rPr>
        <w:t> </w:t>
      </w:r>
      <w:r>
        <w:rPr>
          <w:color w:val="231F20"/>
        </w:rPr>
        <w:t>des</w:t>
      </w:r>
      <w:r>
        <w:rPr>
          <w:color w:val="231F20"/>
          <w:spacing w:val="-6"/>
        </w:rPr>
        <w:t> </w:t>
      </w:r>
      <w:r>
        <w:rPr>
          <w:color w:val="231F20"/>
        </w:rPr>
        <w:t>fonctionnaires,</w:t>
      </w:r>
      <w:r>
        <w:rPr>
          <w:color w:val="231F20"/>
          <w:spacing w:val="-5"/>
        </w:rPr>
        <w:t> </w:t>
      </w:r>
      <w:r>
        <w:rPr>
          <w:color w:val="231F20"/>
        </w:rPr>
        <w:t>grèves</w:t>
      </w:r>
      <w:r>
        <w:rPr>
          <w:color w:val="231F20"/>
          <w:spacing w:val="-6"/>
        </w:rPr>
        <w:t> </w:t>
      </w:r>
      <w:r>
        <w:rPr>
          <w:color w:val="231F20"/>
        </w:rPr>
        <w:t>et</w:t>
      </w:r>
      <w:r>
        <w:rPr>
          <w:color w:val="231F20"/>
          <w:spacing w:val="-6"/>
        </w:rPr>
        <w:t> </w:t>
      </w:r>
      <w:r>
        <w:rPr>
          <w:color w:val="231F20"/>
        </w:rPr>
        <w:t>mouvements</w:t>
      </w:r>
      <w:r>
        <w:rPr>
          <w:color w:val="231F20"/>
          <w:spacing w:val="-6"/>
        </w:rPr>
        <w:t> </w:t>
      </w:r>
      <w:r>
        <w:rPr>
          <w:color w:val="231F20"/>
        </w:rPr>
        <w:t>sociaux contribuent</w:t>
      </w:r>
      <w:r>
        <w:rPr>
          <w:color w:val="231F20"/>
          <w:spacing w:val="-6"/>
        </w:rPr>
        <w:t> </w:t>
      </w:r>
      <w:r>
        <w:rPr>
          <w:color w:val="231F20"/>
        </w:rPr>
        <w:t>à</w:t>
      </w:r>
      <w:r>
        <w:rPr>
          <w:color w:val="231F20"/>
          <w:spacing w:val="-4"/>
        </w:rPr>
        <w:t> </w:t>
      </w:r>
      <w:r>
        <w:rPr>
          <w:color w:val="231F20"/>
        </w:rPr>
        <w:t>la</w:t>
      </w:r>
      <w:r>
        <w:rPr>
          <w:color w:val="231F20"/>
          <w:spacing w:val="-4"/>
        </w:rPr>
        <w:t> </w:t>
      </w:r>
      <w:r>
        <w:rPr>
          <w:color w:val="231F20"/>
        </w:rPr>
        <w:t>fragilité</w:t>
      </w:r>
      <w:r>
        <w:rPr>
          <w:color w:val="231F20"/>
          <w:spacing w:val="-4"/>
        </w:rPr>
        <w:t> </w:t>
      </w:r>
      <w:r>
        <w:rPr>
          <w:color w:val="231F20"/>
        </w:rPr>
        <w:t>des</w:t>
      </w:r>
      <w:r>
        <w:rPr>
          <w:color w:val="231F20"/>
          <w:spacing w:val="-4"/>
        </w:rPr>
        <w:t> </w:t>
      </w:r>
      <w:r>
        <w:rPr>
          <w:color w:val="231F20"/>
        </w:rPr>
        <w:t>institutions</w:t>
      </w:r>
      <w:r>
        <w:rPr>
          <w:color w:val="231F20"/>
          <w:spacing w:val="-4"/>
        </w:rPr>
        <w:t> </w:t>
      </w:r>
      <w:r>
        <w:rPr>
          <w:color w:val="231F20"/>
        </w:rPr>
        <w:t>politiques.</w:t>
      </w:r>
    </w:p>
    <w:p>
      <w:pPr>
        <w:pStyle w:val="BodyText"/>
        <w:spacing w:before="120"/>
        <w:ind w:right="103" w:firstLine="283"/>
      </w:pPr>
      <w:r>
        <w:rPr>
          <w:color w:val="231F20"/>
        </w:rPr>
        <w:t>L’autorité gouvernementale arrive à peine à s’exercer à Bangui, la </w:t>
      </w:r>
      <w:r>
        <w:rPr>
          <w:color w:val="231F20"/>
          <w:spacing w:val="-4"/>
        </w:rPr>
        <w:t>capitale;</w:t>
      </w:r>
      <w:r>
        <w:rPr>
          <w:color w:val="231F20"/>
          <w:spacing w:val="-7"/>
        </w:rPr>
        <w:t> </w:t>
      </w:r>
      <w:r>
        <w:rPr>
          <w:color w:val="231F20"/>
          <w:spacing w:val="-4"/>
        </w:rPr>
        <w:t>la</w:t>
      </w:r>
      <w:r>
        <w:rPr>
          <w:color w:val="231F20"/>
          <w:spacing w:val="-6"/>
        </w:rPr>
        <w:t> </w:t>
      </w:r>
      <w:r>
        <w:rPr>
          <w:color w:val="231F20"/>
          <w:spacing w:val="-4"/>
        </w:rPr>
        <w:t>circulation</w:t>
      </w:r>
      <w:r>
        <w:rPr>
          <w:color w:val="231F20"/>
          <w:spacing w:val="-8"/>
        </w:rPr>
        <w:t> </w:t>
      </w:r>
      <w:r>
        <w:rPr>
          <w:color w:val="231F20"/>
          <w:spacing w:val="-4"/>
        </w:rPr>
        <w:t>routière</w:t>
      </w:r>
      <w:r>
        <w:rPr>
          <w:color w:val="231F20"/>
          <w:spacing w:val="-10"/>
        </w:rPr>
        <w:t> </w:t>
      </w:r>
      <w:r>
        <w:rPr>
          <w:color w:val="231F20"/>
          <w:spacing w:val="-4"/>
        </w:rPr>
        <w:t>dans</w:t>
      </w:r>
      <w:r>
        <w:rPr>
          <w:color w:val="231F20"/>
          <w:spacing w:val="-8"/>
        </w:rPr>
        <w:t> </w:t>
      </w:r>
      <w:r>
        <w:rPr>
          <w:color w:val="231F20"/>
          <w:spacing w:val="-4"/>
        </w:rPr>
        <w:t>les</w:t>
      </w:r>
      <w:r>
        <w:rPr>
          <w:color w:val="231F20"/>
          <w:spacing w:val="-9"/>
        </w:rPr>
        <w:t> </w:t>
      </w:r>
      <w:r>
        <w:rPr>
          <w:color w:val="231F20"/>
          <w:spacing w:val="-4"/>
        </w:rPr>
        <w:t>provinces</w:t>
      </w:r>
      <w:r>
        <w:rPr>
          <w:color w:val="231F20"/>
          <w:spacing w:val="-5"/>
        </w:rPr>
        <w:t> </w:t>
      </w:r>
      <w:r>
        <w:rPr>
          <w:color w:val="231F20"/>
          <w:spacing w:val="-4"/>
        </w:rPr>
        <w:t>reste</w:t>
      </w:r>
      <w:r>
        <w:rPr>
          <w:color w:val="231F20"/>
          <w:spacing w:val="-10"/>
        </w:rPr>
        <w:t> </w:t>
      </w:r>
      <w:r>
        <w:rPr>
          <w:color w:val="231F20"/>
          <w:spacing w:val="-4"/>
        </w:rPr>
        <w:t>très</w:t>
      </w:r>
      <w:r>
        <w:rPr>
          <w:color w:val="231F20"/>
          <w:spacing w:val="-10"/>
        </w:rPr>
        <w:t> </w:t>
      </w:r>
      <w:r>
        <w:rPr>
          <w:color w:val="231F20"/>
          <w:spacing w:val="-4"/>
        </w:rPr>
        <w:t>difficile</w:t>
      </w:r>
      <w:r>
        <w:rPr>
          <w:color w:val="231F20"/>
          <w:spacing w:val="-6"/>
        </w:rPr>
        <w:t> </w:t>
      </w:r>
      <w:r>
        <w:rPr>
          <w:color w:val="231F20"/>
          <w:spacing w:val="-4"/>
        </w:rPr>
        <w:t>et</w:t>
      </w:r>
      <w:r>
        <w:rPr>
          <w:color w:val="231F20"/>
          <w:spacing w:val="-7"/>
        </w:rPr>
        <w:t> </w:t>
      </w:r>
      <w:r>
        <w:rPr>
          <w:color w:val="231F20"/>
          <w:spacing w:val="-4"/>
        </w:rPr>
        <w:t>très </w:t>
      </w:r>
      <w:r>
        <w:rPr>
          <w:color w:val="231F20"/>
        </w:rPr>
        <w:t>dangereuse</w:t>
      </w:r>
      <w:r>
        <w:rPr>
          <w:color w:val="231F20"/>
          <w:spacing w:val="-15"/>
        </w:rPr>
        <w:t> </w:t>
      </w:r>
      <w:r>
        <w:rPr>
          <w:color w:val="231F20"/>
        </w:rPr>
        <w:t>:</w:t>
      </w:r>
      <w:r>
        <w:rPr>
          <w:color w:val="231F20"/>
          <w:spacing w:val="-9"/>
        </w:rPr>
        <w:t> </w:t>
      </w:r>
      <w:r>
        <w:rPr>
          <w:color w:val="231F20"/>
        </w:rPr>
        <w:t>routes</w:t>
      </w:r>
      <w:r>
        <w:rPr>
          <w:color w:val="231F20"/>
          <w:spacing w:val="-15"/>
        </w:rPr>
        <w:t> </w:t>
      </w:r>
      <w:r>
        <w:rPr>
          <w:color w:val="231F20"/>
        </w:rPr>
        <w:t>trop</w:t>
      </w:r>
      <w:r>
        <w:rPr>
          <w:color w:val="231F20"/>
          <w:spacing w:val="-2"/>
        </w:rPr>
        <w:t> </w:t>
      </w:r>
      <w:r>
        <w:rPr>
          <w:color w:val="231F20"/>
        </w:rPr>
        <w:t>dégradées, présence de nombreux coupeurs de </w:t>
      </w:r>
      <w:r>
        <w:rPr>
          <w:color w:val="231F20"/>
          <w:spacing w:val="-2"/>
        </w:rPr>
        <w:t>routes</w:t>
      </w:r>
      <w:r>
        <w:rPr>
          <w:color w:val="231F20"/>
          <w:spacing w:val="-2"/>
          <w:vertAlign w:val="superscript"/>
        </w:rPr>
        <w:t>65</w:t>
      </w:r>
      <w:r>
        <w:rPr>
          <w:color w:val="231F20"/>
          <w:spacing w:val="-2"/>
          <w:vertAlign w:val="baseline"/>
        </w:rPr>
        <w:t>.</w:t>
      </w:r>
      <w:r>
        <w:rPr>
          <w:color w:val="231F20"/>
          <w:spacing w:val="-9"/>
          <w:vertAlign w:val="baseline"/>
        </w:rPr>
        <w:t> </w:t>
      </w:r>
      <w:r>
        <w:rPr>
          <w:color w:val="231F20"/>
          <w:spacing w:val="-2"/>
          <w:vertAlign w:val="baseline"/>
        </w:rPr>
        <w:t>Voyager</w:t>
      </w:r>
      <w:r>
        <w:rPr>
          <w:color w:val="231F20"/>
          <w:spacing w:val="-8"/>
          <w:vertAlign w:val="baseline"/>
        </w:rPr>
        <w:t> </w:t>
      </w:r>
      <w:r>
        <w:rPr>
          <w:color w:val="231F20"/>
          <w:spacing w:val="-2"/>
          <w:vertAlign w:val="baseline"/>
        </w:rPr>
        <w:t>hors</w:t>
      </w:r>
      <w:r>
        <w:rPr>
          <w:color w:val="231F20"/>
          <w:spacing w:val="-9"/>
          <w:vertAlign w:val="baseline"/>
        </w:rPr>
        <w:t> </w:t>
      </w:r>
      <w:r>
        <w:rPr>
          <w:color w:val="231F20"/>
          <w:spacing w:val="-2"/>
          <w:vertAlign w:val="baseline"/>
        </w:rPr>
        <w:t>de</w:t>
      </w:r>
      <w:r>
        <w:rPr>
          <w:color w:val="231F20"/>
          <w:spacing w:val="-11"/>
          <w:vertAlign w:val="baseline"/>
        </w:rPr>
        <w:t> </w:t>
      </w:r>
      <w:r>
        <w:rPr>
          <w:color w:val="231F20"/>
          <w:spacing w:val="-2"/>
          <w:vertAlign w:val="baseline"/>
        </w:rPr>
        <w:t>Bangui,</w:t>
      </w:r>
      <w:r>
        <w:rPr>
          <w:color w:val="231F20"/>
          <w:spacing w:val="-11"/>
          <w:vertAlign w:val="baseline"/>
        </w:rPr>
        <w:t> </w:t>
      </w:r>
      <w:r>
        <w:rPr>
          <w:color w:val="231F20"/>
          <w:spacing w:val="-2"/>
          <w:vertAlign w:val="baseline"/>
        </w:rPr>
        <w:t>la</w:t>
      </w:r>
      <w:r>
        <w:rPr>
          <w:color w:val="231F20"/>
          <w:spacing w:val="-11"/>
          <w:vertAlign w:val="baseline"/>
        </w:rPr>
        <w:t> </w:t>
      </w:r>
      <w:r>
        <w:rPr>
          <w:color w:val="231F20"/>
          <w:spacing w:val="-2"/>
          <w:vertAlign w:val="baseline"/>
        </w:rPr>
        <w:t>capitale</w:t>
      </w:r>
      <w:r>
        <w:rPr>
          <w:color w:val="231F20"/>
          <w:spacing w:val="-11"/>
          <w:vertAlign w:val="baseline"/>
        </w:rPr>
        <w:t> </w:t>
      </w:r>
      <w:r>
        <w:rPr>
          <w:color w:val="231F20"/>
          <w:spacing w:val="-2"/>
          <w:vertAlign w:val="baseline"/>
        </w:rPr>
        <w:t>devient</w:t>
      </w:r>
      <w:r>
        <w:rPr>
          <w:color w:val="231F20"/>
          <w:spacing w:val="-11"/>
          <w:vertAlign w:val="baseline"/>
        </w:rPr>
        <w:t> </w:t>
      </w:r>
      <w:r>
        <w:rPr>
          <w:color w:val="231F20"/>
          <w:spacing w:val="-2"/>
          <w:vertAlign w:val="baseline"/>
        </w:rPr>
        <w:t>dans</w:t>
      </w:r>
      <w:r>
        <w:rPr>
          <w:color w:val="231F20"/>
          <w:spacing w:val="-9"/>
          <w:vertAlign w:val="baseline"/>
        </w:rPr>
        <w:t> </w:t>
      </w:r>
      <w:r>
        <w:rPr>
          <w:color w:val="231F20"/>
          <w:spacing w:val="-2"/>
          <w:vertAlign w:val="baseline"/>
        </w:rPr>
        <w:t>ces</w:t>
      </w:r>
      <w:r>
        <w:rPr>
          <w:color w:val="231F20"/>
          <w:spacing w:val="-11"/>
          <w:vertAlign w:val="baseline"/>
        </w:rPr>
        <w:t> </w:t>
      </w:r>
      <w:r>
        <w:rPr>
          <w:color w:val="231F20"/>
          <w:spacing w:val="-2"/>
          <w:vertAlign w:val="baseline"/>
        </w:rPr>
        <w:t>conditions </w:t>
      </w:r>
      <w:r>
        <w:rPr>
          <w:color w:val="231F20"/>
          <w:vertAlign w:val="baseline"/>
        </w:rPr>
        <w:t>est</w:t>
      </w:r>
      <w:r>
        <w:rPr>
          <w:color w:val="231F20"/>
          <w:spacing w:val="-12"/>
          <w:vertAlign w:val="baseline"/>
        </w:rPr>
        <w:t> </w:t>
      </w:r>
      <w:r>
        <w:rPr>
          <w:color w:val="231F20"/>
          <w:vertAlign w:val="baseline"/>
        </w:rPr>
        <w:t>très</w:t>
      </w:r>
      <w:r>
        <w:rPr>
          <w:color w:val="231F20"/>
          <w:spacing w:val="-15"/>
          <w:vertAlign w:val="baseline"/>
        </w:rPr>
        <w:t> </w:t>
      </w:r>
      <w:r>
        <w:rPr>
          <w:color w:val="231F20"/>
          <w:vertAlign w:val="baseline"/>
        </w:rPr>
        <w:t>périlleux</w:t>
      </w:r>
      <w:r>
        <w:rPr>
          <w:color w:val="231F20"/>
          <w:spacing w:val="-13"/>
          <w:vertAlign w:val="baseline"/>
        </w:rPr>
        <w:t> </w:t>
      </w:r>
      <w:r>
        <w:rPr>
          <w:color w:val="231F20"/>
          <w:vertAlign w:val="baseline"/>
        </w:rPr>
        <w:t>et</w:t>
      </w:r>
      <w:r>
        <w:rPr>
          <w:color w:val="231F20"/>
          <w:spacing w:val="-12"/>
          <w:vertAlign w:val="baseline"/>
        </w:rPr>
        <w:t> </w:t>
      </w:r>
      <w:r>
        <w:rPr>
          <w:color w:val="231F20"/>
          <w:vertAlign w:val="baseline"/>
        </w:rPr>
        <w:t>les</w:t>
      </w:r>
      <w:r>
        <w:rPr>
          <w:color w:val="231F20"/>
          <w:spacing w:val="-14"/>
          <w:vertAlign w:val="baseline"/>
        </w:rPr>
        <w:t> </w:t>
      </w:r>
      <w:r>
        <w:rPr>
          <w:color w:val="231F20"/>
          <w:vertAlign w:val="baseline"/>
        </w:rPr>
        <w:t>rares</w:t>
      </w:r>
      <w:r>
        <w:rPr>
          <w:color w:val="231F20"/>
          <w:spacing w:val="-13"/>
          <w:vertAlign w:val="baseline"/>
        </w:rPr>
        <w:t> </w:t>
      </w:r>
      <w:r>
        <w:rPr>
          <w:color w:val="231F20"/>
          <w:vertAlign w:val="baseline"/>
        </w:rPr>
        <w:t>véhicules</w:t>
      </w:r>
      <w:r>
        <w:rPr>
          <w:color w:val="231F20"/>
          <w:spacing w:val="-13"/>
          <w:vertAlign w:val="baseline"/>
        </w:rPr>
        <w:t> </w:t>
      </w:r>
      <w:r>
        <w:rPr>
          <w:color w:val="231F20"/>
          <w:vertAlign w:val="baseline"/>
        </w:rPr>
        <w:t>de</w:t>
      </w:r>
      <w:r>
        <w:rPr>
          <w:color w:val="231F20"/>
          <w:spacing w:val="-15"/>
          <w:vertAlign w:val="baseline"/>
        </w:rPr>
        <w:t> </w:t>
      </w:r>
      <w:r>
        <w:rPr>
          <w:color w:val="231F20"/>
          <w:vertAlign w:val="baseline"/>
        </w:rPr>
        <w:t>transport</w:t>
      </w:r>
      <w:r>
        <w:rPr>
          <w:color w:val="231F20"/>
          <w:spacing w:val="-14"/>
          <w:vertAlign w:val="baseline"/>
        </w:rPr>
        <w:t> </w:t>
      </w:r>
      <w:r>
        <w:rPr>
          <w:color w:val="231F20"/>
          <w:vertAlign w:val="baseline"/>
        </w:rPr>
        <w:t>de</w:t>
      </w:r>
      <w:r>
        <w:rPr>
          <w:color w:val="231F20"/>
          <w:spacing w:val="-13"/>
          <w:vertAlign w:val="baseline"/>
        </w:rPr>
        <w:t> </w:t>
      </w:r>
      <w:r>
        <w:rPr>
          <w:color w:val="231F20"/>
          <w:vertAlign w:val="baseline"/>
        </w:rPr>
        <w:t>marchandises</w:t>
      </w:r>
      <w:r>
        <w:rPr>
          <w:color w:val="231F20"/>
          <w:spacing w:val="-13"/>
          <w:vertAlign w:val="baseline"/>
        </w:rPr>
        <w:t> </w:t>
      </w:r>
      <w:r>
        <w:rPr>
          <w:color w:val="231F20"/>
          <w:vertAlign w:val="baseline"/>
        </w:rPr>
        <w:t>qui, par nécessité, s’aventurent sur ces «</w:t>
      </w:r>
      <w:r>
        <w:rPr>
          <w:color w:val="231F20"/>
          <w:spacing w:val="-14"/>
          <w:vertAlign w:val="baseline"/>
        </w:rPr>
        <w:t> </w:t>
      </w:r>
      <w:r>
        <w:rPr>
          <w:color w:val="231F20"/>
          <w:vertAlign w:val="baseline"/>
        </w:rPr>
        <w:t>routes</w:t>
      </w:r>
      <w:r>
        <w:rPr>
          <w:color w:val="231F20"/>
          <w:spacing w:val="-14"/>
          <w:vertAlign w:val="baseline"/>
        </w:rPr>
        <w:t> </w:t>
      </w:r>
      <w:r>
        <w:rPr>
          <w:color w:val="231F20"/>
          <w:vertAlign w:val="baseline"/>
        </w:rPr>
        <w:t>» présentent une image surréaliste</w:t>
      </w:r>
      <w:r>
        <w:rPr>
          <w:color w:val="231F20"/>
          <w:spacing w:val="-15"/>
          <w:vertAlign w:val="baseline"/>
        </w:rPr>
        <w:t> </w:t>
      </w:r>
      <w:r>
        <w:rPr>
          <w:color w:val="231F20"/>
          <w:vertAlign w:val="baseline"/>
        </w:rPr>
        <w:t>d’hommes,</w:t>
      </w:r>
      <w:r>
        <w:rPr>
          <w:color w:val="231F20"/>
          <w:spacing w:val="-15"/>
          <w:vertAlign w:val="baseline"/>
        </w:rPr>
        <w:t> </w:t>
      </w:r>
      <w:r>
        <w:rPr>
          <w:color w:val="231F20"/>
          <w:vertAlign w:val="baseline"/>
        </w:rPr>
        <w:t>d’enfants</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femmes</w:t>
      </w:r>
      <w:r>
        <w:rPr>
          <w:color w:val="231F20"/>
          <w:spacing w:val="-15"/>
          <w:vertAlign w:val="baseline"/>
        </w:rPr>
        <w:t> </w:t>
      </w:r>
      <w:r>
        <w:rPr>
          <w:color w:val="231F20"/>
          <w:vertAlign w:val="baseline"/>
        </w:rPr>
        <w:t>dont</w:t>
      </w:r>
      <w:r>
        <w:rPr>
          <w:color w:val="231F20"/>
          <w:spacing w:val="-15"/>
          <w:vertAlign w:val="baseline"/>
        </w:rPr>
        <w:t> </w:t>
      </w:r>
      <w:r>
        <w:rPr>
          <w:color w:val="231F20"/>
          <w:vertAlign w:val="baseline"/>
        </w:rPr>
        <w:t>certaines</w:t>
      </w:r>
      <w:r>
        <w:rPr>
          <w:color w:val="231F20"/>
          <w:spacing w:val="-15"/>
          <w:vertAlign w:val="baseline"/>
        </w:rPr>
        <w:t> </w:t>
      </w:r>
      <w:r>
        <w:rPr>
          <w:color w:val="231F20"/>
          <w:vertAlign w:val="baseline"/>
        </w:rPr>
        <w:t>portent</w:t>
      </w:r>
      <w:r>
        <w:rPr>
          <w:color w:val="231F20"/>
          <w:spacing w:val="-15"/>
          <w:vertAlign w:val="baseline"/>
        </w:rPr>
        <w:t> </w:t>
      </w:r>
      <w:r>
        <w:rPr>
          <w:color w:val="231F20"/>
          <w:vertAlign w:val="baseline"/>
        </w:rPr>
        <w:t>des nourrissons,</w:t>
      </w:r>
      <w:r>
        <w:rPr>
          <w:color w:val="231F20"/>
          <w:spacing w:val="-2"/>
          <w:vertAlign w:val="baseline"/>
        </w:rPr>
        <w:t> </w:t>
      </w:r>
      <w:r>
        <w:rPr>
          <w:color w:val="231F20"/>
          <w:vertAlign w:val="baseline"/>
        </w:rPr>
        <w:t>agrippés</w:t>
      </w:r>
      <w:r>
        <w:rPr>
          <w:color w:val="231F20"/>
          <w:spacing w:val="-4"/>
          <w:vertAlign w:val="baseline"/>
        </w:rPr>
        <w:t> </w:t>
      </w:r>
      <w:r>
        <w:rPr>
          <w:color w:val="231F20"/>
          <w:vertAlign w:val="baseline"/>
        </w:rPr>
        <w:t>sur</w:t>
      </w:r>
      <w:r>
        <w:rPr>
          <w:color w:val="231F20"/>
          <w:spacing w:val="-7"/>
          <w:vertAlign w:val="baseline"/>
        </w:rPr>
        <w:t> </w:t>
      </w:r>
      <w:r>
        <w:rPr>
          <w:color w:val="231F20"/>
          <w:vertAlign w:val="baseline"/>
        </w:rPr>
        <w:t>tout</w:t>
      </w:r>
      <w:r>
        <w:rPr>
          <w:color w:val="231F20"/>
          <w:spacing w:val="-4"/>
          <w:vertAlign w:val="baseline"/>
        </w:rPr>
        <w:t> </w:t>
      </w:r>
      <w:r>
        <w:rPr>
          <w:color w:val="231F20"/>
          <w:vertAlign w:val="baseline"/>
        </w:rPr>
        <w:t>endroit</w:t>
      </w:r>
      <w:r>
        <w:rPr>
          <w:color w:val="231F20"/>
          <w:spacing w:val="-3"/>
          <w:vertAlign w:val="baseline"/>
        </w:rPr>
        <w:t> </w:t>
      </w:r>
      <w:r>
        <w:rPr>
          <w:color w:val="231F20"/>
          <w:vertAlign w:val="baseline"/>
        </w:rPr>
        <w:t>du</w:t>
      </w:r>
      <w:r>
        <w:rPr>
          <w:color w:val="231F20"/>
          <w:spacing w:val="-4"/>
          <w:vertAlign w:val="baseline"/>
        </w:rPr>
        <w:t> </w:t>
      </w:r>
      <w:r>
        <w:rPr>
          <w:color w:val="231F20"/>
          <w:vertAlign w:val="baseline"/>
        </w:rPr>
        <w:t>véhicule</w:t>
      </w:r>
      <w:r>
        <w:rPr>
          <w:color w:val="231F20"/>
          <w:spacing w:val="-4"/>
          <w:vertAlign w:val="baseline"/>
        </w:rPr>
        <w:t> </w:t>
      </w:r>
      <w:r>
        <w:rPr>
          <w:color w:val="231F20"/>
          <w:vertAlign w:val="baseline"/>
        </w:rPr>
        <w:t>sur</w:t>
      </w:r>
      <w:r>
        <w:rPr>
          <w:color w:val="231F20"/>
          <w:spacing w:val="-3"/>
          <w:vertAlign w:val="baseline"/>
        </w:rPr>
        <w:t> </w:t>
      </w:r>
      <w:r>
        <w:rPr>
          <w:color w:val="231F20"/>
          <w:vertAlign w:val="baseline"/>
        </w:rPr>
        <w:t>lequel,</w:t>
      </w:r>
      <w:r>
        <w:rPr>
          <w:color w:val="231F20"/>
          <w:spacing w:val="-5"/>
          <w:vertAlign w:val="baseline"/>
        </w:rPr>
        <w:t> </w:t>
      </w:r>
      <w:r>
        <w:rPr>
          <w:color w:val="231F20"/>
          <w:vertAlign w:val="baseline"/>
        </w:rPr>
        <w:t>des</w:t>
      </w:r>
      <w:r>
        <w:rPr>
          <w:color w:val="231F20"/>
          <w:spacing w:val="-4"/>
          <w:vertAlign w:val="baseline"/>
        </w:rPr>
        <w:t> </w:t>
      </w:r>
      <w:r>
        <w:rPr>
          <w:color w:val="231F20"/>
          <w:vertAlign w:val="baseline"/>
        </w:rPr>
        <w:t>mains peuvent prendre prise. De nombreux accidents aux conséquences dramatiques</w:t>
      </w:r>
      <w:r>
        <w:rPr>
          <w:color w:val="231F20"/>
          <w:spacing w:val="-6"/>
          <w:vertAlign w:val="baseline"/>
        </w:rPr>
        <w:t> </w:t>
      </w:r>
      <w:r>
        <w:rPr>
          <w:color w:val="231F20"/>
          <w:vertAlign w:val="baseline"/>
        </w:rPr>
        <w:t>sont</w:t>
      </w:r>
      <w:r>
        <w:rPr>
          <w:color w:val="231F20"/>
          <w:spacing w:val="-4"/>
          <w:vertAlign w:val="baseline"/>
        </w:rPr>
        <w:t> </w:t>
      </w:r>
      <w:r>
        <w:rPr>
          <w:color w:val="231F20"/>
          <w:vertAlign w:val="baseline"/>
        </w:rPr>
        <w:t>toujours</w:t>
      </w:r>
      <w:r>
        <w:rPr>
          <w:color w:val="231F20"/>
          <w:spacing w:val="-7"/>
          <w:vertAlign w:val="baseline"/>
        </w:rPr>
        <w:t> </w:t>
      </w:r>
      <w:r>
        <w:rPr>
          <w:color w:val="231F20"/>
          <w:vertAlign w:val="baseline"/>
        </w:rPr>
        <w:t>à</w:t>
      </w:r>
      <w:r>
        <w:rPr>
          <w:color w:val="231F20"/>
          <w:spacing w:val="-4"/>
          <w:vertAlign w:val="baseline"/>
        </w:rPr>
        <w:t> </w:t>
      </w:r>
      <w:r>
        <w:rPr>
          <w:color w:val="231F20"/>
          <w:vertAlign w:val="baseline"/>
        </w:rPr>
        <w:t>déplorer</w:t>
      </w:r>
      <w:r>
        <w:rPr>
          <w:color w:val="231F20"/>
          <w:spacing w:val="-7"/>
          <w:vertAlign w:val="baseline"/>
        </w:rPr>
        <w:t> </w:t>
      </w:r>
      <w:r>
        <w:rPr>
          <w:color w:val="231F20"/>
          <w:vertAlign w:val="baseline"/>
        </w:rPr>
        <w:t>sur</w:t>
      </w:r>
      <w:r>
        <w:rPr>
          <w:color w:val="231F20"/>
          <w:spacing w:val="-5"/>
          <w:vertAlign w:val="baseline"/>
        </w:rPr>
        <w:t> </w:t>
      </w:r>
      <w:r>
        <w:rPr>
          <w:color w:val="231F20"/>
          <w:vertAlign w:val="baseline"/>
        </w:rPr>
        <w:t>ces</w:t>
      </w:r>
      <w:r>
        <w:rPr>
          <w:color w:val="231F20"/>
          <w:spacing w:val="-7"/>
          <w:vertAlign w:val="baseline"/>
        </w:rPr>
        <w:t> </w:t>
      </w:r>
      <w:r>
        <w:rPr>
          <w:color w:val="231F20"/>
          <w:vertAlign w:val="baseline"/>
        </w:rPr>
        <w:t>«</w:t>
      </w:r>
      <w:r>
        <w:rPr>
          <w:color w:val="231F20"/>
          <w:spacing w:val="-4"/>
          <w:vertAlign w:val="baseline"/>
        </w:rPr>
        <w:t> </w:t>
      </w:r>
      <w:r>
        <w:rPr>
          <w:color w:val="231F20"/>
          <w:vertAlign w:val="baseline"/>
        </w:rPr>
        <w:t>routes</w:t>
      </w:r>
      <w:r>
        <w:rPr>
          <w:color w:val="231F20"/>
          <w:spacing w:val="-5"/>
          <w:vertAlign w:val="baseline"/>
        </w:rPr>
        <w:t> </w:t>
      </w:r>
      <w:r>
        <w:rPr>
          <w:color w:val="231F20"/>
          <w:vertAlign w:val="baseline"/>
        </w:rPr>
        <w:t>de</w:t>
      </w:r>
      <w:r>
        <w:rPr>
          <w:color w:val="231F20"/>
          <w:spacing w:val="-5"/>
          <w:vertAlign w:val="baseline"/>
        </w:rPr>
        <w:t> </w:t>
      </w:r>
      <w:r>
        <w:rPr>
          <w:color w:val="231F20"/>
          <w:vertAlign w:val="baseline"/>
        </w:rPr>
        <w:t>la</w:t>
      </w:r>
      <w:r>
        <w:rPr>
          <w:color w:val="231F20"/>
          <w:spacing w:val="-8"/>
          <w:vertAlign w:val="baseline"/>
        </w:rPr>
        <w:t> </w:t>
      </w:r>
      <w:r>
        <w:rPr>
          <w:color w:val="231F20"/>
          <w:vertAlign w:val="baseline"/>
        </w:rPr>
        <w:t>mort</w:t>
      </w:r>
      <w:r>
        <w:rPr>
          <w:color w:val="231F20"/>
          <w:spacing w:val="-4"/>
          <w:vertAlign w:val="baseline"/>
        </w:rPr>
        <w:t> </w:t>
      </w:r>
      <w:r>
        <w:rPr>
          <w:color w:val="231F20"/>
          <w:vertAlign w:val="baseline"/>
        </w:rPr>
        <w:t>».</w:t>
      </w:r>
    </w:p>
    <w:p>
      <w:pPr>
        <w:pStyle w:val="BodyText"/>
        <w:spacing w:before="208"/>
        <w:ind w:left="0"/>
        <w:jc w:val="left"/>
      </w:pPr>
    </w:p>
    <w:p>
      <w:pPr>
        <w:pStyle w:val="Heading3"/>
        <w:rPr>
          <w:rFonts w:ascii="Times New Roman" w:hAnsi="Times New Roman"/>
          <w:b w:val="0"/>
          <w:i w:val="0"/>
        </w:rPr>
      </w:pPr>
      <w:r>
        <w:rPr>
          <w:i/>
          <w:color w:val="231F20"/>
          <w:spacing w:val="-2"/>
        </w:rPr>
        <w:t>La</w:t>
      </w:r>
      <w:r>
        <w:rPr>
          <w:i/>
          <w:color w:val="231F20"/>
          <w:spacing w:val="-9"/>
        </w:rPr>
        <w:t> </w:t>
      </w:r>
      <w:r>
        <w:rPr>
          <w:i/>
          <w:color w:val="231F20"/>
          <w:spacing w:val="-2"/>
        </w:rPr>
        <w:t>République</w:t>
      </w:r>
      <w:r>
        <w:rPr>
          <w:i/>
          <w:color w:val="231F20"/>
          <w:spacing w:val="-9"/>
        </w:rPr>
        <w:t> </w:t>
      </w:r>
      <w:r>
        <w:rPr>
          <w:i/>
          <w:color w:val="231F20"/>
          <w:spacing w:val="-2"/>
        </w:rPr>
        <w:t>du</w:t>
      </w:r>
      <w:r>
        <w:rPr>
          <w:i/>
          <w:color w:val="231F20"/>
          <w:spacing w:val="-8"/>
        </w:rPr>
        <w:t> </w:t>
      </w:r>
      <w:r>
        <w:rPr>
          <w:i/>
          <w:color w:val="231F20"/>
          <w:spacing w:val="-2"/>
        </w:rPr>
        <w:t>Cameroun</w:t>
      </w:r>
      <w:r>
        <w:rPr>
          <w:rFonts w:ascii="Times New Roman" w:hAnsi="Times New Roman"/>
          <w:b w:val="0"/>
          <w:i w:val="0"/>
          <w:color w:val="231F20"/>
          <w:spacing w:val="-2"/>
          <w:vertAlign w:val="superscript"/>
        </w:rPr>
        <w:t>66</w:t>
      </w:r>
    </w:p>
    <w:p>
      <w:pPr>
        <w:pStyle w:val="BodyText"/>
        <w:spacing w:before="253"/>
        <w:ind w:right="107" w:firstLine="283"/>
      </w:pPr>
      <w:r>
        <w:rPr>
          <w:color w:val="231F20"/>
        </w:rPr>
        <w:t>Jeudi 4 novembre 1982</w:t>
      </w:r>
      <w:r>
        <w:rPr>
          <w:color w:val="231F20"/>
          <w:spacing w:val="-14"/>
        </w:rPr>
        <w:t> </w:t>
      </w:r>
      <w:r>
        <w:rPr>
          <w:color w:val="231F20"/>
        </w:rPr>
        <w:t>: le Président de la République Ahmadou Babatoura</w:t>
      </w:r>
      <w:r>
        <w:rPr>
          <w:color w:val="231F20"/>
          <w:spacing w:val="-11"/>
        </w:rPr>
        <w:t> </w:t>
      </w:r>
      <w:r>
        <w:rPr>
          <w:color w:val="231F20"/>
        </w:rPr>
        <w:t>Ahidjo</w:t>
      </w:r>
      <w:r>
        <w:rPr>
          <w:color w:val="231F20"/>
          <w:spacing w:val="-11"/>
        </w:rPr>
        <w:t> </w:t>
      </w:r>
      <w:r>
        <w:rPr>
          <w:color w:val="231F20"/>
        </w:rPr>
        <w:t>plus</w:t>
      </w:r>
      <w:r>
        <w:rPr>
          <w:color w:val="231F20"/>
          <w:spacing w:val="-11"/>
        </w:rPr>
        <w:t> </w:t>
      </w:r>
      <w:r>
        <w:rPr>
          <w:color w:val="231F20"/>
        </w:rPr>
        <w:t>connu</w:t>
      </w:r>
      <w:r>
        <w:rPr>
          <w:color w:val="231F20"/>
          <w:spacing w:val="-11"/>
        </w:rPr>
        <w:t> </w:t>
      </w:r>
      <w:r>
        <w:rPr>
          <w:color w:val="231F20"/>
        </w:rPr>
        <w:t>sous</w:t>
      </w:r>
      <w:r>
        <w:rPr>
          <w:color w:val="231F20"/>
          <w:spacing w:val="-11"/>
        </w:rPr>
        <w:t> </w:t>
      </w:r>
      <w:r>
        <w:rPr>
          <w:color w:val="231F20"/>
        </w:rPr>
        <w:t>Ahmadou</w:t>
      </w:r>
      <w:r>
        <w:rPr>
          <w:color w:val="231F20"/>
          <w:spacing w:val="-11"/>
        </w:rPr>
        <w:t> </w:t>
      </w:r>
      <w:r>
        <w:rPr>
          <w:color w:val="231F20"/>
        </w:rPr>
        <w:t>Ahidjo</w:t>
      </w:r>
      <w:r>
        <w:rPr>
          <w:color w:val="231F20"/>
          <w:spacing w:val="-9"/>
        </w:rPr>
        <w:t> </w:t>
      </w:r>
      <w:r>
        <w:rPr>
          <w:color w:val="231F20"/>
        </w:rPr>
        <w:t>âgé</w:t>
      </w:r>
      <w:r>
        <w:rPr>
          <w:color w:val="231F20"/>
          <w:spacing w:val="-11"/>
        </w:rPr>
        <w:t> </w:t>
      </w:r>
      <w:r>
        <w:rPr>
          <w:color w:val="231F20"/>
        </w:rPr>
        <w:t>de</w:t>
      </w:r>
      <w:r>
        <w:rPr>
          <w:color w:val="231F20"/>
          <w:spacing w:val="-11"/>
        </w:rPr>
        <w:t> </w:t>
      </w:r>
      <w:r>
        <w:rPr>
          <w:color w:val="231F20"/>
        </w:rPr>
        <w:t>58</w:t>
      </w:r>
      <w:r>
        <w:rPr>
          <w:color w:val="231F20"/>
          <w:spacing w:val="-11"/>
        </w:rPr>
        <w:t> </w:t>
      </w:r>
      <w:r>
        <w:rPr>
          <w:color w:val="231F20"/>
        </w:rPr>
        <w:t>ans</w:t>
      </w:r>
      <w:r>
        <w:rPr>
          <w:color w:val="231F20"/>
          <w:spacing w:val="-10"/>
        </w:rPr>
        <w:t> </w:t>
      </w:r>
      <w:r>
        <w:rPr>
          <w:color w:val="231F20"/>
        </w:rPr>
        <w:t>dont 22</w:t>
      </w:r>
      <w:r>
        <w:rPr>
          <w:color w:val="231F20"/>
          <w:spacing w:val="28"/>
        </w:rPr>
        <w:t> </w:t>
      </w:r>
      <w:r>
        <w:rPr>
          <w:color w:val="231F20"/>
        </w:rPr>
        <w:t>de</w:t>
      </w:r>
      <w:r>
        <w:rPr>
          <w:color w:val="231F20"/>
          <w:spacing w:val="29"/>
        </w:rPr>
        <w:t> </w:t>
      </w:r>
      <w:r>
        <w:rPr>
          <w:color w:val="231F20"/>
        </w:rPr>
        <w:t>pouvoir</w:t>
      </w:r>
      <w:r>
        <w:rPr>
          <w:color w:val="231F20"/>
          <w:spacing w:val="29"/>
        </w:rPr>
        <w:t> </w:t>
      </w:r>
      <w:r>
        <w:rPr>
          <w:color w:val="231F20"/>
        </w:rPr>
        <w:t>absolu,</w:t>
      </w:r>
      <w:r>
        <w:rPr>
          <w:color w:val="231F20"/>
          <w:spacing w:val="28"/>
        </w:rPr>
        <w:t> </w:t>
      </w:r>
      <w:r>
        <w:rPr>
          <w:color w:val="231F20"/>
        </w:rPr>
        <w:t>décide</w:t>
      </w:r>
      <w:r>
        <w:rPr>
          <w:color w:val="231F20"/>
          <w:spacing w:val="29"/>
        </w:rPr>
        <w:t> </w:t>
      </w:r>
      <w:r>
        <w:rPr>
          <w:color w:val="231F20"/>
        </w:rPr>
        <w:t>de</w:t>
      </w:r>
      <w:r>
        <w:rPr>
          <w:color w:val="231F20"/>
          <w:spacing w:val="29"/>
        </w:rPr>
        <w:t> </w:t>
      </w:r>
      <w:r>
        <w:rPr>
          <w:color w:val="231F20"/>
        </w:rPr>
        <w:t>se</w:t>
      </w:r>
      <w:r>
        <w:rPr>
          <w:color w:val="231F20"/>
          <w:spacing w:val="29"/>
        </w:rPr>
        <w:t> </w:t>
      </w:r>
      <w:r>
        <w:rPr>
          <w:color w:val="231F20"/>
        </w:rPr>
        <w:t>retirer</w:t>
      </w:r>
      <w:r>
        <w:rPr>
          <w:color w:val="231F20"/>
          <w:spacing w:val="29"/>
        </w:rPr>
        <w:t> </w:t>
      </w:r>
      <w:r>
        <w:rPr>
          <w:color w:val="231F20"/>
        </w:rPr>
        <w:t>du</w:t>
      </w:r>
      <w:r>
        <w:rPr>
          <w:color w:val="231F20"/>
          <w:spacing w:val="29"/>
        </w:rPr>
        <w:t> </w:t>
      </w:r>
      <w:r>
        <w:rPr>
          <w:color w:val="231F20"/>
        </w:rPr>
        <w:t>pouvoir</w:t>
      </w:r>
      <w:r>
        <w:rPr>
          <w:color w:val="231F20"/>
          <w:spacing w:val="29"/>
        </w:rPr>
        <w:t> </w:t>
      </w:r>
      <w:r>
        <w:rPr>
          <w:color w:val="231F20"/>
        </w:rPr>
        <w:t>pour</w:t>
      </w:r>
      <w:r>
        <w:rPr>
          <w:color w:val="231F20"/>
          <w:spacing w:val="29"/>
        </w:rPr>
        <w:t> </w:t>
      </w:r>
      <w:r>
        <w:rPr>
          <w:color w:val="231F20"/>
        </w:rPr>
        <w:t>cause</w:t>
      </w:r>
      <w:r>
        <w:rPr>
          <w:color w:val="231F20"/>
          <w:spacing w:val="29"/>
        </w:rPr>
        <w:t> </w:t>
      </w:r>
      <w:r>
        <w:rPr>
          <w:color w:val="231F20"/>
          <w:spacing w:val="-5"/>
        </w:rPr>
        <w:t>de</w:t>
      </w:r>
    </w:p>
    <w:p>
      <w:pPr>
        <w:pStyle w:val="BodyText"/>
        <w:spacing w:before="18"/>
        <w:ind w:left="0"/>
        <w:jc w:val="left"/>
        <w:rPr>
          <w:sz w:val="20"/>
        </w:rPr>
      </w:pPr>
      <w:r>
        <w:rPr/>
        <mc:AlternateContent>
          <mc:Choice Requires="wps">
            <w:drawing>
              <wp:anchor distT="0" distB="0" distL="0" distR="0" allowOverlap="1" layoutInCell="1" locked="0" behindDoc="1" simplePos="0" relativeHeight="487609856">
                <wp:simplePos x="0" y="0"/>
                <wp:positionH relativeFrom="page">
                  <wp:posOffset>629907</wp:posOffset>
                </wp:positionH>
                <wp:positionV relativeFrom="paragraph">
                  <wp:posOffset>173295</wp:posOffset>
                </wp:positionV>
                <wp:extent cx="1829435" cy="9525"/>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645312pt;width:144.020pt;height:.72pt;mso-position-horizontal-relative:page;mso-position-vertical-relative:paragraph;z-index:-15706624;mso-wrap-distance-left:0;mso-wrap-distance-right:0" id="docshape58"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65</w:t>
      </w:r>
      <w:r>
        <w:rPr>
          <w:color w:val="76787A"/>
          <w:spacing w:val="2"/>
          <w:sz w:val="20"/>
          <w:vertAlign w:val="baseline"/>
        </w:rPr>
        <w:t> </w:t>
      </w:r>
      <w:r>
        <w:rPr>
          <w:color w:val="231F20"/>
          <w:spacing w:val="-4"/>
          <w:sz w:val="20"/>
          <w:vertAlign w:val="baseline"/>
        </w:rPr>
        <w:t>Bandes</w:t>
      </w:r>
      <w:r>
        <w:rPr>
          <w:color w:val="231F20"/>
          <w:spacing w:val="-1"/>
          <w:sz w:val="20"/>
          <w:vertAlign w:val="baseline"/>
        </w:rPr>
        <w:t> </w:t>
      </w:r>
      <w:r>
        <w:rPr>
          <w:color w:val="231F20"/>
          <w:spacing w:val="-4"/>
          <w:sz w:val="20"/>
          <w:vertAlign w:val="baseline"/>
        </w:rPr>
        <w:t>armées</w:t>
      </w:r>
      <w:r>
        <w:rPr>
          <w:color w:val="231F20"/>
          <w:spacing w:val="-1"/>
          <w:sz w:val="20"/>
          <w:vertAlign w:val="baseline"/>
        </w:rPr>
        <w:t> </w:t>
      </w:r>
      <w:r>
        <w:rPr>
          <w:color w:val="231F20"/>
          <w:spacing w:val="-4"/>
          <w:sz w:val="20"/>
          <w:vertAlign w:val="baseline"/>
        </w:rPr>
        <w:t>qui</w:t>
      </w:r>
      <w:r>
        <w:rPr>
          <w:color w:val="231F20"/>
          <w:spacing w:val="-3"/>
          <w:sz w:val="20"/>
          <w:vertAlign w:val="baseline"/>
        </w:rPr>
        <w:t> </w:t>
      </w:r>
      <w:r>
        <w:rPr>
          <w:color w:val="231F20"/>
          <w:spacing w:val="-4"/>
          <w:sz w:val="20"/>
          <w:vertAlign w:val="baseline"/>
        </w:rPr>
        <w:t>dépouillent</w:t>
      </w:r>
      <w:r>
        <w:rPr>
          <w:color w:val="231F20"/>
          <w:spacing w:val="-2"/>
          <w:sz w:val="20"/>
          <w:vertAlign w:val="baseline"/>
        </w:rPr>
        <w:t> </w:t>
      </w:r>
      <w:r>
        <w:rPr>
          <w:color w:val="231F20"/>
          <w:spacing w:val="-4"/>
          <w:sz w:val="20"/>
          <w:vertAlign w:val="baseline"/>
        </w:rPr>
        <w:t>les voyageurs,</w:t>
      </w:r>
    </w:p>
    <w:p>
      <w:pPr>
        <w:spacing w:before="0"/>
        <w:ind w:left="111" w:right="0" w:firstLine="0"/>
        <w:jc w:val="left"/>
        <w:rPr>
          <w:sz w:val="20"/>
        </w:rPr>
      </w:pPr>
      <w:r>
        <w:rPr>
          <w:color w:val="76787A"/>
          <w:spacing w:val="-4"/>
          <w:sz w:val="20"/>
          <w:vertAlign w:val="superscript"/>
        </w:rPr>
        <w:t>66</w:t>
      </w:r>
      <w:r>
        <w:rPr>
          <w:color w:val="76787A"/>
          <w:spacing w:val="2"/>
          <w:sz w:val="20"/>
          <w:vertAlign w:val="baseline"/>
        </w:rPr>
        <w:t> </w:t>
      </w:r>
      <w:r>
        <w:rPr>
          <w:color w:val="231F20"/>
          <w:spacing w:val="-4"/>
          <w:sz w:val="20"/>
          <w:vertAlign w:val="baseline"/>
        </w:rPr>
        <w:t>Source</w:t>
      </w:r>
      <w:r>
        <w:rPr>
          <w:color w:val="231F20"/>
          <w:spacing w:val="-2"/>
          <w:sz w:val="20"/>
          <w:vertAlign w:val="baseline"/>
        </w:rPr>
        <w:t> </w:t>
      </w:r>
      <w:r>
        <w:rPr>
          <w:color w:val="231F20"/>
          <w:spacing w:val="-4"/>
          <w:sz w:val="20"/>
          <w:vertAlign w:val="baseline"/>
        </w:rPr>
        <w:t>Wikipédia</w:t>
      </w:r>
      <w:r>
        <w:rPr>
          <w:color w:val="231F20"/>
          <w:spacing w:val="-2"/>
          <w:sz w:val="20"/>
          <w:vertAlign w:val="baseline"/>
        </w:rPr>
        <w:t> </w:t>
      </w:r>
      <w:r>
        <w:rPr>
          <w:color w:val="231F20"/>
          <w:spacing w:val="-10"/>
          <w:sz w:val="20"/>
          <w:vertAlign w:val="baseline"/>
        </w:rPr>
        <w:t>;</w:t>
      </w:r>
    </w:p>
    <w:p>
      <w:pPr>
        <w:spacing w:after="0"/>
        <w:jc w:val="left"/>
        <w:rPr>
          <w:sz w:val="20"/>
        </w:rPr>
        <w:sectPr>
          <w:pgSz w:w="8790" w:h="13610"/>
          <w:pgMar w:header="0" w:footer="802" w:top="1060" w:bottom="1000" w:left="880" w:right="880"/>
        </w:sectPr>
      </w:pPr>
    </w:p>
    <w:p>
      <w:pPr>
        <w:pStyle w:val="BodyText"/>
        <w:spacing w:before="66"/>
        <w:ind w:right="102"/>
      </w:pPr>
      <w:r>
        <w:rPr>
          <w:color w:val="231F20"/>
        </w:rPr>
        <w:t>problèmes de santé et invite les citoyens à apporter leur soutien au successeur constitutionnel, Paul Biya. Cette décision surprend : les </w:t>
      </w:r>
      <w:r>
        <w:rPr>
          <w:color w:val="231F20"/>
          <w:spacing w:val="-4"/>
        </w:rPr>
        <w:t>présidents</w:t>
      </w:r>
      <w:r>
        <w:rPr>
          <w:color w:val="231F20"/>
          <w:spacing w:val="-10"/>
        </w:rPr>
        <w:t> </w:t>
      </w:r>
      <w:r>
        <w:rPr>
          <w:color w:val="231F20"/>
          <w:spacing w:val="-4"/>
        </w:rPr>
        <w:t>africains</w:t>
      </w:r>
      <w:r>
        <w:rPr>
          <w:color w:val="231F20"/>
          <w:spacing w:val="-8"/>
        </w:rPr>
        <w:t> </w:t>
      </w:r>
      <w:r>
        <w:rPr>
          <w:color w:val="231F20"/>
          <w:spacing w:val="-4"/>
        </w:rPr>
        <w:t>ont</w:t>
      </w:r>
      <w:r>
        <w:rPr>
          <w:color w:val="231F20"/>
          <w:spacing w:val="-10"/>
        </w:rPr>
        <w:t> </w:t>
      </w:r>
      <w:r>
        <w:rPr>
          <w:color w:val="231F20"/>
          <w:spacing w:val="-4"/>
        </w:rPr>
        <w:t>habitué</w:t>
      </w:r>
      <w:r>
        <w:rPr>
          <w:color w:val="231F20"/>
          <w:spacing w:val="-11"/>
        </w:rPr>
        <w:t> </w:t>
      </w:r>
      <w:r>
        <w:rPr>
          <w:color w:val="231F20"/>
          <w:spacing w:val="-4"/>
        </w:rPr>
        <w:t>leurs</w:t>
      </w:r>
      <w:r>
        <w:rPr>
          <w:color w:val="231F20"/>
          <w:spacing w:val="-8"/>
        </w:rPr>
        <w:t> </w:t>
      </w:r>
      <w:r>
        <w:rPr>
          <w:color w:val="231F20"/>
          <w:spacing w:val="-4"/>
        </w:rPr>
        <w:t>concitoyens</w:t>
      </w:r>
      <w:r>
        <w:rPr>
          <w:color w:val="231F20"/>
          <w:spacing w:val="-10"/>
        </w:rPr>
        <w:t> </w:t>
      </w:r>
      <w:r>
        <w:rPr>
          <w:color w:val="231F20"/>
          <w:spacing w:val="-4"/>
        </w:rPr>
        <w:t>à</w:t>
      </w:r>
      <w:r>
        <w:rPr>
          <w:color w:val="231F20"/>
          <w:spacing w:val="-11"/>
        </w:rPr>
        <w:t> </w:t>
      </w:r>
      <w:r>
        <w:rPr>
          <w:color w:val="231F20"/>
          <w:spacing w:val="-4"/>
        </w:rPr>
        <w:t>vouloir</w:t>
      </w:r>
      <w:r>
        <w:rPr>
          <w:color w:val="231F20"/>
          <w:spacing w:val="-8"/>
        </w:rPr>
        <w:t> </w:t>
      </w:r>
      <w:r>
        <w:rPr>
          <w:color w:val="231F20"/>
          <w:spacing w:val="-4"/>
        </w:rPr>
        <w:t>demeurer</w:t>
      </w:r>
      <w:r>
        <w:rPr>
          <w:color w:val="231F20"/>
          <w:spacing w:val="-9"/>
        </w:rPr>
        <w:t> </w:t>
      </w:r>
      <w:r>
        <w:rPr>
          <w:color w:val="231F20"/>
          <w:spacing w:val="-4"/>
        </w:rPr>
        <w:t>à</w:t>
      </w:r>
      <w:r>
        <w:rPr>
          <w:color w:val="231F20"/>
          <w:spacing w:val="-11"/>
        </w:rPr>
        <w:t> </w:t>
      </w:r>
      <w:r>
        <w:rPr>
          <w:color w:val="231F20"/>
          <w:spacing w:val="-4"/>
        </w:rPr>
        <w:t>vie </w:t>
      </w:r>
      <w:r>
        <w:rPr>
          <w:color w:val="231F20"/>
        </w:rPr>
        <w:t>au pouvoir. Ahmadou Babatoura Ahidjo devient, après Senghor du </w:t>
      </w:r>
      <w:r>
        <w:rPr>
          <w:color w:val="231F20"/>
          <w:spacing w:val="-2"/>
        </w:rPr>
        <w:t>Sénégal,</w:t>
      </w:r>
      <w:r>
        <w:rPr>
          <w:color w:val="231F20"/>
          <w:spacing w:val="-13"/>
        </w:rPr>
        <w:t> </w:t>
      </w:r>
      <w:r>
        <w:rPr>
          <w:color w:val="231F20"/>
          <w:spacing w:val="-2"/>
        </w:rPr>
        <w:t>le</w:t>
      </w:r>
      <w:r>
        <w:rPr>
          <w:color w:val="231F20"/>
          <w:spacing w:val="-13"/>
        </w:rPr>
        <w:t> </w:t>
      </w:r>
      <w:r>
        <w:rPr>
          <w:color w:val="231F20"/>
          <w:spacing w:val="-2"/>
        </w:rPr>
        <w:t>deuxième</w:t>
      </w:r>
      <w:r>
        <w:rPr>
          <w:color w:val="231F20"/>
          <w:spacing w:val="-11"/>
        </w:rPr>
        <w:t> </w:t>
      </w:r>
      <w:r>
        <w:rPr>
          <w:color w:val="231F20"/>
          <w:spacing w:val="-2"/>
        </w:rPr>
        <w:t>président</w:t>
      </w:r>
      <w:r>
        <w:rPr>
          <w:color w:val="231F20"/>
          <w:spacing w:val="-12"/>
        </w:rPr>
        <w:t> </w:t>
      </w:r>
      <w:r>
        <w:rPr>
          <w:color w:val="231F20"/>
          <w:spacing w:val="-2"/>
        </w:rPr>
        <w:t>africain</w:t>
      </w:r>
      <w:r>
        <w:rPr>
          <w:color w:val="231F20"/>
          <w:spacing w:val="-13"/>
        </w:rPr>
        <w:t> </w:t>
      </w:r>
      <w:r>
        <w:rPr>
          <w:color w:val="231F20"/>
          <w:spacing w:val="-2"/>
        </w:rPr>
        <w:t>en</w:t>
      </w:r>
      <w:r>
        <w:rPr>
          <w:color w:val="231F20"/>
          <w:spacing w:val="-11"/>
        </w:rPr>
        <w:t> </w:t>
      </w:r>
      <w:r>
        <w:rPr>
          <w:color w:val="231F20"/>
          <w:spacing w:val="-2"/>
        </w:rPr>
        <w:t>exercice</w:t>
      </w:r>
      <w:r>
        <w:rPr>
          <w:color w:val="231F20"/>
          <w:spacing w:val="-13"/>
        </w:rPr>
        <w:t> </w:t>
      </w:r>
      <w:r>
        <w:rPr>
          <w:color w:val="231F20"/>
          <w:spacing w:val="-2"/>
        </w:rPr>
        <w:t>à</w:t>
      </w:r>
      <w:r>
        <w:rPr>
          <w:color w:val="231F20"/>
          <w:spacing w:val="-11"/>
        </w:rPr>
        <w:t> </w:t>
      </w:r>
      <w:r>
        <w:rPr>
          <w:color w:val="231F20"/>
          <w:spacing w:val="-2"/>
        </w:rPr>
        <w:t>quitter</w:t>
      </w:r>
      <w:r>
        <w:rPr>
          <w:color w:val="231F20"/>
          <w:spacing w:val="-13"/>
        </w:rPr>
        <w:t> </w:t>
      </w:r>
      <w:r>
        <w:rPr>
          <w:color w:val="231F20"/>
          <w:spacing w:val="-2"/>
        </w:rPr>
        <w:t>de</w:t>
      </w:r>
      <w:r>
        <w:rPr>
          <w:color w:val="231F20"/>
          <w:spacing w:val="-11"/>
        </w:rPr>
        <w:t> </w:t>
      </w:r>
      <w:r>
        <w:rPr>
          <w:color w:val="231F20"/>
          <w:spacing w:val="-2"/>
        </w:rPr>
        <w:t>plein</w:t>
      </w:r>
      <w:r>
        <w:rPr>
          <w:color w:val="231F20"/>
          <w:spacing w:val="-13"/>
        </w:rPr>
        <w:t> </w:t>
      </w:r>
      <w:r>
        <w:rPr>
          <w:color w:val="231F20"/>
          <w:spacing w:val="-2"/>
        </w:rPr>
        <w:t>gré, </w:t>
      </w:r>
      <w:r>
        <w:rPr>
          <w:color w:val="231F20"/>
        </w:rPr>
        <w:t>le pouvoir.</w:t>
      </w:r>
    </w:p>
    <w:p>
      <w:pPr>
        <w:pStyle w:val="BodyText"/>
        <w:spacing w:before="120"/>
        <w:ind w:right="105" w:firstLine="283"/>
      </w:pPr>
      <w:r>
        <w:rPr>
          <w:color w:val="231F20"/>
        </w:rPr>
        <w:t>Le Cameroun fait frontière avec le Nigéria et l’Océan Atlantique à </w:t>
      </w:r>
      <w:r>
        <w:rPr>
          <w:color w:val="231F20"/>
          <w:spacing w:val="-2"/>
        </w:rPr>
        <w:t>l’Ouest,</w:t>
      </w:r>
      <w:r>
        <w:rPr>
          <w:color w:val="231F20"/>
          <w:spacing w:val="-15"/>
        </w:rPr>
        <w:t> </w:t>
      </w:r>
      <w:r>
        <w:rPr>
          <w:color w:val="231F20"/>
          <w:spacing w:val="-2"/>
        </w:rPr>
        <w:t>la</w:t>
      </w:r>
      <w:r>
        <w:rPr>
          <w:color w:val="231F20"/>
          <w:spacing w:val="-13"/>
        </w:rPr>
        <w:t> </w:t>
      </w:r>
      <w:r>
        <w:rPr>
          <w:color w:val="231F20"/>
          <w:spacing w:val="-2"/>
        </w:rPr>
        <w:t>République</w:t>
      </w:r>
      <w:r>
        <w:rPr>
          <w:color w:val="231F20"/>
          <w:spacing w:val="-13"/>
        </w:rPr>
        <w:t> </w:t>
      </w:r>
      <w:r>
        <w:rPr>
          <w:color w:val="231F20"/>
          <w:spacing w:val="-2"/>
        </w:rPr>
        <w:t>Centrafricaine</w:t>
      </w:r>
      <w:r>
        <w:rPr>
          <w:color w:val="231F20"/>
          <w:spacing w:val="-13"/>
        </w:rPr>
        <w:t> </w:t>
      </w:r>
      <w:r>
        <w:rPr>
          <w:color w:val="231F20"/>
          <w:spacing w:val="-2"/>
        </w:rPr>
        <w:t>et</w:t>
      </w:r>
      <w:r>
        <w:rPr>
          <w:color w:val="231F20"/>
          <w:spacing w:val="-13"/>
        </w:rPr>
        <w:t> </w:t>
      </w:r>
      <w:r>
        <w:rPr>
          <w:color w:val="231F20"/>
          <w:spacing w:val="-2"/>
        </w:rPr>
        <w:t>le</w:t>
      </w:r>
      <w:r>
        <w:rPr>
          <w:color w:val="231F20"/>
          <w:spacing w:val="-13"/>
        </w:rPr>
        <w:t> </w:t>
      </w:r>
      <w:r>
        <w:rPr>
          <w:color w:val="231F20"/>
          <w:spacing w:val="-2"/>
        </w:rPr>
        <w:t>Tchad</w:t>
      </w:r>
      <w:r>
        <w:rPr>
          <w:color w:val="231F20"/>
          <w:spacing w:val="-13"/>
        </w:rPr>
        <w:t> </w:t>
      </w:r>
      <w:r>
        <w:rPr>
          <w:color w:val="231F20"/>
          <w:spacing w:val="-2"/>
        </w:rPr>
        <w:t>à</w:t>
      </w:r>
      <w:r>
        <w:rPr>
          <w:color w:val="231F20"/>
          <w:spacing w:val="-13"/>
        </w:rPr>
        <w:t> </w:t>
      </w:r>
      <w:r>
        <w:rPr>
          <w:color w:val="231F20"/>
          <w:spacing w:val="-2"/>
        </w:rPr>
        <w:t>l’Est,</w:t>
      </w:r>
      <w:r>
        <w:rPr>
          <w:color w:val="231F20"/>
          <w:spacing w:val="-13"/>
        </w:rPr>
        <w:t> </w:t>
      </w:r>
      <w:r>
        <w:rPr>
          <w:color w:val="231F20"/>
          <w:spacing w:val="-2"/>
        </w:rPr>
        <w:t>le</w:t>
      </w:r>
      <w:r>
        <w:rPr>
          <w:color w:val="231F20"/>
          <w:spacing w:val="-13"/>
        </w:rPr>
        <w:t> </w:t>
      </w:r>
      <w:r>
        <w:rPr>
          <w:color w:val="231F20"/>
          <w:spacing w:val="-2"/>
        </w:rPr>
        <w:t>Lac</w:t>
      </w:r>
      <w:r>
        <w:rPr>
          <w:color w:val="231F20"/>
          <w:spacing w:val="-13"/>
        </w:rPr>
        <w:t> </w:t>
      </w:r>
      <w:r>
        <w:rPr>
          <w:color w:val="231F20"/>
          <w:spacing w:val="-2"/>
        </w:rPr>
        <w:t>Tchad</w:t>
      </w:r>
      <w:r>
        <w:rPr>
          <w:color w:val="231F20"/>
          <w:spacing w:val="-13"/>
        </w:rPr>
        <w:t> </w:t>
      </w:r>
      <w:r>
        <w:rPr>
          <w:color w:val="231F20"/>
          <w:spacing w:val="-2"/>
        </w:rPr>
        <w:t>au </w:t>
      </w:r>
      <w:r>
        <w:rPr>
          <w:color w:val="231F20"/>
        </w:rPr>
        <w:t>Nord,</w:t>
      </w:r>
      <w:r>
        <w:rPr>
          <w:color w:val="231F20"/>
          <w:spacing w:val="-3"/>
        </w:rPr>
        <w:t> </w:t>
      </w:r>
      <w:r>
        <w:rPr>
          <w:color w:val="231F20"/>
        </w:rPr>
        <w:t>le</w:t>
      </w:r>
      <w:r>
        <w:rPr>
          <w:color w:val="231F20"/>
          <w:spacing w:val="-3"/>
        </w:rPr>
        <w:t> </w:t>
      </w:r>
      <w:r>
        <w:rPr>
          <w:color w:val="231F20"/>
        </w:rPr>
        <w:t>Gabon,</w:t>
      </w:r>
      <w:r>
        <w:rPr>
          <w:color w:val="231F20"/>
          <w:spacing w:val="-3"/>
        </w:rPr>
        <w:t> </w:t>
      </w:r>
      <w:r>
        <w:rPr>
          <w:color w:val="231F20"/>
        </w:rPr>
        <w:t>la</w:t>
      </w:r>
      <w:r>
        <w:rPr>
          <w:color w:val="231F20"/>
          <w:spacing w:val="-3"/>
        </w:rPr>
        <w:t> </w:t>
      </w:r>
      <w:r>
        <w:rPr>
          <w:color w:val="231F20"/>
        </w:rPr>
        <w:t>République</w:t>
      </w:r>
      <w:r>
        <w:rPr>
          <w:color w:val="231F20"/>
          <w:spacing w:val="-3"/>
        </w:rPr>
        <w:t> </w:t>
      </w:r>
      <w:r>
        <w:rPr>
          <w:color w:val="231F20"/>
        </w:rPr>
        <w:t>du</w:t>
      </w:r>
      <w:r>
        <w:rPr>
          <w:color w:val="231F20"/>
          <w:spacing w:val="-3"/>
        </w:rPr>
        <w:t> </w:t>
      </w:r>
      <w:r>
        <w:rPr>
          <w:color w:val="231F20"/>
        </w:rPr>
        <w:t>Congo</w:t>
      </w:r>
      <w:r>
        <w:rPr>
          <w:color w:val="231F20"/>
          <w:spacing w:val="-3"/>
        </w:rPr>
        <w:t> </w:t>
      </w:r>
      <w:r>
        <w:rPr>
          <w:color w:val="231F20"/>
        </w:rPr>
        <w:t>et</w:t>
      </w:r>
      <w:r>
        <w:rPr>
          <w:color w:val="231F20"/>
          <w:spacing w:val="-2"/>
        </w:rPr>
        <w:t> </w:t>
      </w:r>
      <w:r>
        <w:rPr>
          <w:color w:val="231F20"/>
        </w:rPr>
        <w:t>la</w:t>
      </w:r>
      <w:r>
        <w:rPr>
          <w:color w:val="231F20"/>
          <w:spacing w:val="-3"/>
        </w:rPr>
        <w:t> </w:t>
      </w:r>
      <w:r>
        <w:rPr>
          <w:color w:val="231F20"/>
        </w:rPr>
        <w:t>Guinée Équatoriale</w:t>
      </w:r>
      <w:r>
        <w:rPr>
          <w:color w:val="231F20"/>
          <w:spacing w:val="-3"/>
        </w:rPr>
        <w:t> </w:t>
      </w:r>
      <w:r>
        <w:rPr>
          <w:color w:val="231F20"/>
        </w:rPr>
        <w:t>et</w:t>
      </w:r>
      <w:r>
        <w:rPr>
          <w:color w:val="231F20"/>
          <w:spacing w:val="-4"/>
        </w:rPr>
        <w:t> </w:t>
      </w:r>
      <w:r>
        <w:rPr>
          <w:color w:val="231F20"/>
        </w:rPr>
        <w:t>le Golfe de Guinée au Sud.</w:t>
      </w:r>
    </w:p>
    <w:p>
      <w:pPr>
        <w:pStyle w:val="BodyText"/>
        <w:spacing w:before="121"/>
        <w:ind w:right="106" w:firstLine="283"/>
      </w:pPr>
      <w:r>
        <w:rPr>
          <w:color w:val="231F20"/>
        </w:rPr>
        <w:t>Ancienne</w:t>
      </w:r>
      <w:r>
        <w:rPr>
          <w:color w:val="231F20"/>
          <w:spacing w:val="-14"/>
        </w:rPr>
        <w:t> </w:t>
      </w:r>
      <w:r>
        <w:rPr>
          <w:color w:val="231F20"/>
        </w:rPr>
        <w:t>colonie</w:t>
      </w:r>
      <w:r>
        <w:rPr>
          <w:color w:val="231F20"/>
          <w:spacing w:val="-14"/>
        </w:rPr>
        <w:t> </w:t>
      </w:r>
      <w:r>
        <w:rPr>
          <w:color w:val="231F20"/>
        </w:rPr>
        <w:t>Allemande,</w:t>
      </w:r>
      <w:r>
        <w:rPr>
          <w:color w:val="231F20"/>
          <w:spacing w:val="-14"/>
        </w:rPr>
        <w:t> </w:t>
      </w:r>
      <w:r>
        <w:rPr>
          <w:color w:val="231F20"/>
        </w:rPr>
        <w:t>le</w:t>
      </w:r>
      <w:r>
        <w:rPr>
          <w:color w:val="231F20"/>
          <w:spacing w:val="-14"/>
        </w:rPr>
        <w:t> </w:t>
      </w:r>
      <w:r>
        <w:rPr>
          <w:color w:val="231F20"/>
        </w:rPr>
        <w:t>territoire</w:t>
      </w:r>
      <w:r>
        <w:rPr>
          <w:color w:val="231F20"/>
          <w:spacing w:val="-13"/>
        </w:rPr>
        <w:t> </w:t>
      </w:r>
      <w:r>
        <w:rPr>
          <w:color w:val="231F20"/>
        </w:rPr>
        <w:t>est</w:t>
      </w:r>
      <w:r>
        <w:rPr>
          <w:color w:val="231F20"/>
          <w:spacing w:val="-14"/>
        </w:rPr>
        <w:t> </w:t>
      </w:r>
      <w:r>
        <w:rPr>
          <w:color w:val="231F20"/>
        </w:rPr>
        <w:t>placé</w:t>
      </w:r>
      <w:r>
        <w:rPr>
          <w:color w:val="231F20"/>
          <w:spacing w:val="-14"/>
        </w:rPr>
        <w:t> </w:t>
      </w:r>
      <w:r>
        <w:rPr>
          <w:color w:val="231F20"/>
        </w:rPr>
        <w:t>en</w:t>
      </w:r>
      <w:r>
        <w:rPr>
          <w:color w:val="231F20"/>
          <w:spacing w:val="-14"/>
        </w:rPr>
        <w:t> </w:t>
      </w:r>
      <w:r>
        <w:rPr>
          <w:color w:val="231F20"/>
        </w:rPr>
        <w:t>1918,</w:t>
      </w:r>
      <w:r>
        <w:rPr>
          <w:color w:val="231F20"/>
          <w:spacing w:val="-14"/>
        </w:rPr>
        <w:t> </w:t>
      </w:r>
      <w:r>
        <w:rPr>
          <w:color w:val="231F20"/>
        </w:rPr>
        <w:t>à</w:t>
      </w:r>
      <w:r>
        <w:rPr>
          <w:color w:val="231F20"/>
          <w:spacing w:val="-14"/>
        </w:rPr>
        <w:t> </w:t>
      </w:r>
      <w:r>
        <w:rPr>
          <w:color w:val="231F20"/>
        </w:rPr>
        <w:t>l’issue de</w:t>
      </w:r>
      <w:r>
        <w:rPr>
          <w:color w:val="231F20"/>
          <w:spacing w:val="-11"/>
        </w:rPr>
        <w:t> </w:t>
      </w:r>
      <w:r>
        <w:rPr>
          <w:color w:val="231F20"/>
        </w:rPr>
        <w:t>la</w:t>
      </w:r>
      <w:r>
        <w:rPr>
          <w:color w:val="231F20"/>
          <w:spacing w:val="-10"/>
        </w:rPr>
        <w:t> </w:t>
      </w:r>
      <w:r>
        <w:rPr>
          <w:color w:val="231F20"/>
        </w:rPr>
        <w:t>Première</w:t>
      </w:r>
      <w:r>
        <w:rPr>
          <w:color w:val="231F20"/>
          <w:spacing w:val="-11"/>
        </w:rPr>
        <w:t> </w:t>
      </w:r>
      <w:r>
        <w:rPr>
          <w:color w:val="231F20"/>
        </w:rPr>
        <w:t>Guerre</w:t>
      </w:r>
      <w:r>
        <w:rPr>
          <w:color w:val="231F20"/>
          <w:spacing w:val="-13"/>
        </w:rPr>
        <w:t> </w:t>
      </w:r>
      <w:r>
        <w:rPr>
          <w:color w:val="231F20"/>
        </w:rPr>
        <w:t>mondiale</w:t>
      </w:r>
      <w:r>
        <w:rPr>
          <w:color w:val="231F20"/>
          <w:spacing w:val="-13"/>
        </w:rPr>
        <w:t> </w:t>
      </w:r>
      <w:r>
        <w:rPr>
          <w:color w:val="231F20"/>
        </w:rPr>
        <w:t>perdue</w:t>
      </w:r>
      <w:r>
        <w:rPr>
          <w:color w:val="231F20"/>
          <w:spacing w:val="-11"/>
        </w:rPr>
        <w:t> </w:t>
      </w:r>
      <w:r>
        <w:rPr>
          <w:color w:val="231F20"/>
        </w:rPr>
        <w:t>par</w:t>
      </w:r>
      <w:r>
        <w:rPr>
          <w:color w:val="231F20"/>
          <w:spacing w:val="-13"/>
        </w:rPr>
        <w:t> </w:t>
      </w:r>
      <w:r>
        <w:rPr>
          <w:color w:val="231F20"/>
        </w:rPr>
        <w:t>les</w:t>
      </w:r>
      <w:r>
        <w:rPr>
          <w:color w:val="231F20"/>
          <w:spacing w:val="-11"/>
        </w:rPr>
        <w:t> </w:t>
      </w:r>
      <w:r>
        <w:rPr>
          <w:color w:val="231F20"/>
        </w:rPr>
        <w:t>Allemands,</w:t>
      </w:r>
      <w:r>
        <w:rPr>
          <w:color w:val="231F20"/>
          <w:spacing w:val="-13"/>
        </w:rPr>
        <w:t> </w:t>
      </w:r>
      <w:r>
        <w:rPr>
          <w:color w:val="231F20"/>
        </w:rPr>
        <w:t>sous</w:t>
      </w:r>
      <w:r>
        <w:rPr>
          <w:color w:val="231F20"/>
          <w:spacing w:val="-10"/>
        </w:rPr>
        <w:t> </w:t>
      </w:r>
      <w:r>
        <w:rPr>
          <w:color w:val="231F20"/>
        </w:rPr>
        <w:t>mandat </w:t>
      </w:r>
      <w:r>
        <w:rPr>
          <w:color w:val="231F20"/>
          <w:spacing w:val="-2"/>
        </w:rPr>
        <w:t>de</w:t>
      </w:r>
      <w:r>
        <w:rPr>
          <w:color w:val="231F20"/>
          <w:spacing w:val="-15"/>
        </w:rPr>
        <w:t> </w:t>
      </w:r>
      <w:r>
        <w:rPr>
          <w:color w:val="231F20"/>
          <w:spacing w:val="-2"/>
        </w:rPr>
        <w:t>la</w:t>
      </w:r>
      <w:r>
        <w:rPr>
          <w:color w:val="231F20"/>
          <w:spacing w:val="-13"/>
        </w:rPr>
        <w:t> </w:t>
      </w:r>
      <w:r>
        <w:rPr>
          <w:color w:val="231F20"/>
          <w:spacing w:val="-2"/>
        </w:rPr>
        <w:t>Société</w:t>
      </w:r>
      <w:r>
        <w:rPr>
          <w:color w:val="231F20"/>
          <w:spacing w:val="-13"/>
        </w:rPr>
        <w:t> </w:t>
      </w:r>
      <w:r>
        <w:rPr>
          <w:color w:val="231F20"/>
          <w:spacing w:val="-2"/>
        </w:rPr>
        <w:t>Des</w:t>
      </w:r>
      <w:r>
        <w:rPr>
          <w:color w:val="231F20"/>
          <w:spacing w:val="-13"/>
        </w:rPr>
        <w:t> </w:t>
      </w:r>
      <w:r>
        <w:rPr>
          <w:color w:val="231F20"/>
          <w:spacing w:val="-2"/>
        </w:rPr>
        <w:t>Nations</w:t>
      </w:r>
      <w:r>
        <w:rPr>
          <w:color w:val="231F20"/>
          <w:spacing w:val="-13"/>
        </w:rPr>
        <w:t> </w:t>
      </w:r>
      <w:r>
        <w:rPr>
          <w:color w:val="231F20"/>
          <w:spacing w:val="-2"/>
        </w:rPr>
        <w:t>(SDN)</w:t>
      </w:r>
      <w:r>
        <w:rPr>
          <w:color w:val="231F20"/>
          <w:spacing w:val="-13"/>
        </w:rPr>
        <w:t> </w:t>
      </w:r>
      <w:r>
        <w:rPr>
          <w:color w:val="231F20"/>
          <w:spacing w:val="-2"/>
        </w:rPr>
        <w:t>qui</w:t>
      </w:r>
      <w:r>
        <w:rPr>
          <w:color w:val="231F20"/>
          <w:spacing w:val="-13"/>
        </w:rPr>
        <w:t> </w:t>
      </w:r>
      <w:r>
        <w:rPr>
          <w:color w:val="231F20"/>
          <w:spacing w:val="-2"/>
        </w:rPr>
        <w:t>le</w:t>
      </w:r>
      <w:r>
        <w:rPr>
          <w:color w:val="231F20"/>
          <w:spacing w:val="-13"/>
        </w:rPr>
        <w:t> </w:t>
      </w:r>
      <w:r>
        <w:rPr>
          <w:color w:val="231F20"/>
          <w:spacing w:val="-2"/>
        </w:rPr>
        <w:t>donne</w:t>
      </w:r>
      <w:r>
        <w:rPr>
          <w:color w:val="231F20"/>
          <w:spacing w:val="-13"/>
        </w:rPr>
        <w:t> </w:t>
      </w:r>
      <w:r>
        <w:rPr>
          <w:color w:val="231F20"/>
          <w:spacing w:val="-2"/>
        </w:rPr>
        <w:t>en</w:t>
      </w:r>
      <w:r>
        <w:rPr>
          <w:color w:val="231F20"/>
          <w:spacing w:val="-13"/>
        </w:rPr>
        <w:t> </w:t>
      </w:r>
      <w:r>
        <w:rPr>
          <w:color w:val="231F20"/>
          <w:spacing w:val="-2"/>
        </w:rPr>
        <w:t>partage</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France</w:t>
      </w:r>
      <w:r>
        <w:rPr>
          <w:color w:val="231F20"/>
          <w:spacing w:val="-13"/>
        </w:rPr>
        <w:t> </w:t>
      </w:r>
      <w:r>
        <w:rPr>
          <w:color w:val="231F20"/>
          <w:spacing w:val="-2"/>
        </w:rPr>
        <w:t>et</w:t>
      </w:r>
      <w:r>
        <w:rPr>
          <w:color w:val="231F20"/>
          <w:spacing w:val="-13"/>
        </w:rPr>
        <w:t> </w:t>
      </w:r>
      <w:r>
        <w:rPr>
          <w:color w:val="231F20"/>
          <w:spacing w:val="-2"/>
        </w:rPr>
        <w:t>au Royaume-Uni.</w:t>
      </w:r>
    </w:p>
    <w:p>
      <w:pPr>
        <w:pStyle w:val="BodyText"/>
        <w:spacing w:before="120"/>
        <w:ind w:right="107" w:firstLine="283"/>
      </w:pPr>
      <w:r>
        <w:rPr>
          <w:color w:val="231F20"/>
        </w:rPr>
        <w:t>Au lendemain de la Seconde Guerre mondiale, des mouvements </w:t>
      </w:r>
      <w:r>
        <w:rPr>
          <w:color w:val="231F20"/>
          <w:spacing w:val="-4"/>
        </w:rPr>
        <w:t>indépendantistes</w:t>
      </w:r>
      <w:r>
        <w:rPr>
          <w:color w:val="231F20"/>
          <w:spacing w:val="-5"/>
        </w:rPr>
        <w:t> </w:t>
      </w:r>
      <w:r>
        <w:rPr>
          <w:color w:val="231F20"/>
          <w:spacing w:val="-4"/>
        </w:rPr>
        <w:t>et réunificateurs émergent</w:t>
      </w:r>
      <w:r>
        <w:rPr>
          <w:color w:val="231F20"/>
          <w:spacing w:val="-6"/>
        </w:rPr>
        <w:t> </w:t>
      </w:r>
      <w:r>
        <w:rPr>
          <w:color w:val="231F20"/>
          <w:spacing w:val="-4"/>
        </w:rPr>
        <w:t>tant dans</w:t>
      </w:r>
      <w:r>
        <w:rPr>
          <w:color w:val="231F20"/>
          <w:spacing w:val="-7"/>
        </w:rPr>
        <w:t> </w:t>
      </w:r>
      <w:r>
        <w:rPr>
          <w:color w:val="231F20"/>
          <w:spacing w:val="-4"/>
        </w:rPr>
        <w:t>la</w:t>
      </w:r>
      <w:r>
        <w:rPr>
          <w:color w:val="231F20"/>
          <w:spacing w:val="-5"/>
        </w:rPr>
        <w:t> </w:t>
      </w:r>
      <w:r>
        <w:rPr>
          <w:color w:val="231F20"/>
          <w:spacing w:val="-4"/>
        </w:rPr>
        <w:t>partie</w:t>
      </w:r>
      <w:r>
        <w:rPr>
          <w:color w:val="231F20"/>
          <w:spacing w:val="-6"/>
        </w:rPr>
        <w:t> </w:t>
      </w:r>
      <w:r>
        <w:rPr>
          <w:color w:val="231F20"/>
          <w:spacing w:val="-4"/>
        </w:rPr>
        <w:t>britannique </w:t>
      </w:r>
      <w:r>
        <w:rPr>
          <w:color w:val="231F20"/>
        </w:rPr>
        <w:t>que française.</w:t>
      </w:r>
    </w:p>
    <w:p>
      <w:pPr>
        <w:pStyle w:val="BodyText"/>
        <w:spacing w:before="120"/>
        <w:ind w:right="106" w:firstLine="283"/>
      </w:pPr>
      <w:r>
        <w:rPr>
          <w:color w:val="231F20"/>
        </w:rPr>
        <w:t>En mai 1949, le Dr Emmanuel Endeley crée le Cameroon National </w:t>
      </w:r>
      <w:r>
        <w:rPr>
          <w:color w:val="231F20"/>
          <w:spacing w:val="-4"/>
        </w:rPr>
        <w:t>Federation</w:t>
      </w:r>
      <w:r>
        <w:rPr>
          <w:color w:val="231F20"/>
          <w:spacing w:val="-11"/>
        </w:rPr>
        <w:t> </w:t>
      </w:r>
      <w:r>
        <w:rPr>
          <w:color w:val="231F20"/>
          <w:spacing w:val="-4"/>
        </w:rPr>
        <w:t>(CNF)</w:t>
      </w:r>
      <w:r>
        <w:rPr>
          <w:color w:val="231F20"/>
          <w:spacing w:val="-11"/>
        </w:rPr>
        <w:t> </w:t>
      </w:r>
      <w:r>
        <w:rPr>
          <w:color w:val="231F20"/>
          <w:spacing w:val="-4"/>
        </w:rPr>
        <w:t>qui</w:t>
      </w:r>
      <w:r>
        <w:rPr>
          <w:color w:val="231F20"/>
          <w:spacing w:val="-10"/>
        </w:rPr>
        <w:t> </w:t>
      </w:r>
      <w:r>
        <w:rPr>
          <w:color w:val="231F20"/>
          <w:spacing w:val="-4"/>
        </w:rPr>
        <w:t>lutte</w:t>
      </w:r>
      <w:r>
        <w:rPr>
          <w:color w:val="231F20"/>
          <w:spacing w:val="-8"/>
        </w:rPr>
        <w:t> </w:t>
      </w:r>
      <w:r>
        <w:rPr>
          <w:color w:val="231F20"/>
          <w:spacing w:val="-4"/>
        </w:rPr>
        <w:t>pour</w:t>
      </w:r>
      <w:r>
        <w:rPr>
          <w:color w:val="231F20"/>
          <w:spacing w:val="-11"/>
        </w:rPr>
        <w:t> </w:t>
      </w:r>
      <w:r>
        <w:rPr>
          <w:color w:val="231F20"/>
          <w:spacing w:val="-4"/>
        </w:rPr>
        <w:t>l'autonomie</w:t>
      </w:r>
      <w:r>
        <w:rPr>
          <w:color w:val="231F20"/>
          <w:spacing w:val="-8"/>
        </w:rPr>
        <w:t> </w:t>
      </w:r>
      <w:r>
        <w:rPr>
          <w:color w:val="231F20"/>
          <w:spacing w:val="-4"/>
        </w:rPr>
        <w:t>et</w:t>
      </w:r>
      <w:r>
        <w:rPr>
          <w:color w:val="231F20"/>
          <w:spacing w:val="-11"/>
        </w:rPr>
        <w:t> </w:t>
      </w:r>
      <w:r>
        <w:rPr>
          <w:color w:val="231F20"/>
          <w:spacing w:val="-4"/>
        </w:rPr>
        <w:t>la</w:t>
      </w:r>
      <w:r>
        <w:rPr>
          <w:color w:val="231F20"/>
          <w:spacing w:val="-11"/>
        </w:rPr>
        <w:t> </w:t>
      </w:r>
      <w:r>
        <w:rPr>
          <w:color w:val="231F20"/>
          <w:spacing w:val="-4"/>
        </w:rPr>
        <w:t>séparation</w:t>
      </w:r>
      <w:r>
        <w:rPr>
          <w:color w:val="231F20"/>
          <w:spacing w:val="-11"/>
        </w:rPr>
        <w:t> </w:t>
      </w:r>
      <w:r>
        <w:rPr>
          <w:color w:val="231F20"/>
          <w:spacing w:val="-4"/>
        </w:rPr>
        <w:t>du</w:t>
      </w:r>
      <w:r>
        <w:rPr>
          <w:color w:val="231F20"/>
          <w:spacing w:val="-11"/>
        </w:rPr>
        <w:t> </w:t>
      </w:r>
      <w:r>
        <w:rPr>
          <w:color w:val="231F20"/>
          <w:spacing w:val="-4"/>
        </w:rPr>
        <w:t>Cameroun </w:t>
      </w:r>
      <w:r>
        <w:rPr>
          <w:color w:val="231F20"/>
        </w:rPr>
        <w:t>britannique de la fédération nigériane.</w:t>
      </w:r>
    </w:p>
    <w:p>
      <w:pPr>
        <w:pStyle w:val="BodyText"/>
        <w:spacing w:before="120"/>
        <w:ind w:right="104" w:firstLine="283"/>
      </w:pPr>
      <w:r>
        <w:rPr>
          <w:color w:val="231F20"/>
          <w:spacing w:val="-2"/>
        </w:rPr>
        <w:t>Des</w:t>
      </w:r>
      <w:r>
        <w:rPr>
          <w:color w:val="231F20"/>
          <w:spacing w:val="-13"/>
        </w:rPr>
        <w:t> </w:t>
      </w:r>
      <w:r>
        <w:rPr>
          <w:color w:val="231F20"/>
          <w:spacing w:val="-2"/>
        </w:rPr>
        <w:t>dissidents</w:t>
      </w:r>
      <w:r>
        <w:rPr>
          <w:color w:val="231F20"/>
          <w:spacing w:val="-13"/>
        </w:rPr>
        <w:t> </w:t>
      </w:r>
      <w:r>
        <w:rPr>
          <w:color w:val="231F20"/>
          <w:spacing w:val="-2"/>
        </w:rPr>
        <w:t>du</w:t>
      </w:r>
      <w:r>
        <w:rPr>
          <w:color w:val="231F20"/>
          <w:spacing w:val="-13"/>
        </w:rPr>
        <w:t> </w:t>
      </w:r>
      <w:r>
        <w:rPr>
          <w:color w:val="231F20"/>
          <w:spacing w:val="-2"/>
        </w:rPr>
        <w:t>CNF</w:t>
      </w:r>
      <w:r>
        <w:rPr>
          <w:color w:val="231F20"/>
          <w:spacing w:val="-13"/>
        </w:rPr>
        <w:t> </w:t>
      </w:r>
      <w:r>
        <w:rPr>
          <w:color w:val="231F20"/>
          <w:spacing w:val="-2"/>
        </w:rPr>
        <w:t>fondent</w:t>
      </w:r>
      <w:r>
        <w:rPr>
          <w:color w:val="231F20"/>
          <w:spacing w:val="-13"/>
        </w:rPr>
        <w:t> </w:t>
      </w:r>
      <w:r>
        <w:rPr>
          <w:color w:val="231F20"/>
          <w:spacing w:val="-2"/>
        </w:rPr>
        <w:t>le</w:t>
      </w:r>
      <w:r>
        <w:rPr>
          <w:color w:val="231F20"/>
          <w:spacing w:val="-13"/>
        </w:rPr>
        <w:t> </w:t>
      </w:r>
      <w:r>
        <w:rPr>
          <w:color w:val="231F20"/>
          <w:spacing w:val="-2"/>
        </w:rPr>
        <w:t>Kamerun</w:t>
      </w:r>
      <w:r>
        <w:rPr>
          <w:color w:val="231F20"/>
          <w:spacing w:val="-13"/>
        </w:rPr>
        <w:t> </w:t>
      </w:r>
      <w:r>
        <w:rPr>
          <w:color w:val="231F20"/>
          <w:spacing w:val="-2"/>
        </w:rPr>
        <w:t>United</w:t>
      </w:r>
      <w:r>
        <w:rPr>
          <w:color w:val="231F20"/>
          <w:spacing w:val="-13"/>
        </w:rPr>
        <w:t> </w:t>
      </w:r>
      <w:r>
        <w:rPr>
          <w:color w:val="231F20"/>
          <w:spacing w:val="-2"/>
        </w:rPr>
        <w:t>National</w:t>
      </w:r>
      <w:r>
        <w:rPr>
          <w:color w:val="231F20"/>
          <w:spacing w:val="-13"/>
        </w:rPr>
        <w:t> </w:t>
      </w:r>
      <w:r>
        <w:rPr>
          <w:color w:val="231F20"/>
          <w:spacing w:val="-2"/>
        </w:rPr>
        <w:t>Congress </w:t>
      </w:r>
      <w:r>
        <w:rPr>
          <w:color w:val="231F20"/>
        </w:rPr>
        <w:t>(KUNC)</w:t>
      </w:r>
      <w:r>
        <w:rPr>
          <w:color w:val="231F20"/>
          <w:spacing w:val="-14"/>
        </w:rPr>
        <w:t> </w:t>
      </w:r>
      <w:r>
        <w:rPr>
          <w:color w:val="231F20"/>
        </w:rPr>
        <w:t>jugeant</w:t>
      </w:r>
      <w:r>
        <w:rPr>
          <w:color w:val="231F20"/>
          <w:spacing w:val="-15"/>
        </w:rPr>
        <w:t> </w:t>
      </w:r>
      <w:r>
        <w:rPr>
          <w:color w:val="231F20"/>
        </w:rPr>
        <w:t>le</w:t>
      </w:r>
      <w:r>
        <w:rPr>
          <w:color w:val="231F20"/>
          <w:spacing w:val="-14"/>
        </w:rPr>
        <w:t> </w:t>
      </w:r>
      <w:r>
        <w:rPr>
          <w:color w:val="231F20"/>
        </w:rPr>
        <w:t>CNF</w:t>
      </w:r>
      <w:r>
        <w:rPr>
          <w:color w:val="231F20"/>
          <w:spacing w:val="-14"/>
        </w:rPr>
        <w:t> </w:t>
      </w:r>
      <w:r>
        <w:rPr>
          <w:color w:val="231F20"/>
        </w:rPr>
        <w:t>trop</w:t>
      </w:r>
      <w:r>
        <w:rPr>
          <w:color w:val="231F20"/>
          <w:spacing w:val="-12"/>
        </w:rPr>
        <w:t> </w:t>
      </w:r>
      <w:r>
        <w:rPr>
          <w:color w:val="231F20"/>
        </w:rPr>
        <w:t>frileux</w:t>
      </w:r>
      <w:r>
        <w:rPr>
          <w:color w:val="231F20"/>
          <w:spacing w:val="-13"/>
        </w:rPr>
        <w:t> </w:t>
      </w:r>
      <w:r>
        <w:rPr>
          <w:color w:val="231F20"/>
        </w:rPr>
        <w:t>sur</w:t>
      </w:r>
      <w:r>
        <w:rPr>
          <w:color w:val="231F20"/>
          <w:spacing w:val="-14"/>
        </w:rPr>
        <w:t> </w:t>
      </w:r>
      <w:r>
        <w:rPr>
          <w:color w:val="231F20"/>
        </w:rPr>
        <w:t>la</w:t>
      </w:r>
      <w:r>
        <w:rPr>
          <w:color w:val="231F20"/>
          <w:spacing w:val="-14"/>
        </w:rPr>
        <w:t> </w:t>
      </w:r>
      <w:r>
        <w:rPr>
          <w:color w:val="231F20"/>
        </w:rPr>
        <w:t>question</w:t>
      </w:r>
      <w:r>
        <w:rPr>
          <w:color w:val="231F20"/>
          <w:spacing w:val="-12"/>
        </w:rPr>
        <w:t> </w:t>
      </w:r>
      <w:r>
        <w:rPr>
          <w:color w:val="231F20"/>
        </w:rPr>
        <w:t>de</w:t>
      </w:r>
      <w:r>
        <w:rPr>
          <w:color w:val="231F20"/>
          <w:spacing w:val="-14"/>
        </w:rPr>
        <w:t> </w:t>
      </w:r>
      <w:r>
        <w:rPr>
          <w:color w:val="231F20"/>
        </w:rPr>
        <w:t>la</w:t>
      </w:r>
      <w:r>
        <w:rPr>
          <w:color w:val="231F20"/>
          <w:spacing w:val="-12"/>
        </w:rPr>
        <w:t> </w:t>
      </w:r>
      <w:r>
        <w:rPr>
          <w:color w:val="231F20"/>
        </w:rPr>
        <w:t>revendication. La proposition du KUNC est simple</w:t>
      </w:r>
      <w:r>
        <w:rPr>
          <w:color w:val="231F20"/>
          <w:spacing w:val="-10"/>
        </w:rPr>
        <w:t> </w:t>
      </w:r>
      <w:r>
        <w:rPr>
          <w:color w:val="231F20"/>
        </w:rPr>
        <w:t>: la restauration du «</w:t>
      </w:r>
      <w:r>
        <w:rPr>
          <w:color w:val="231F20"/>
          <w:spacing w:val="-12"/>
        </w:rPr>
        <w:t> </w:t>
      </w:r>
      <w:r>
        <w:rPr>
          <w:color w:val="231F20"/>
        </w:rPr>
        <w:t>grand Kamerun</w:t>
      </w:r>
      <w:r>
        <w:rPr>
          <w:color w:val="231F20"/>
          <w:spacing w:val="-15"/>
        </w:rPr>
        <w:t> </w:t>
      </w:r>
      <w:r>
        <w:rPr>
          <w:color w:val="231F20"/>
        </w:rPr>
        <w:t>» du temps de l'empire colonial allemand d'où l'orthographe </w:t>
      </w:r>
      <w:r>
        <w:rPr>
          <w:color w:val="231F20"/>
          <w:spacing w:val="-2"/>
        </w:rPr>
        <w:t>utilisé.</w:t>
      </w:r>
    </w:p>
    <w:p>
      <w:pPr>
        <w:pStyle w:val="BodyText"/>
        <w:spacing w:before="121"/>
        <w:ind w:right="104" w:firstLine="283"/>
      </w:pPr>
      <w:r>
        <w:rPr>
          <w:color w:val="231F20"/>
          <w:spacing w:val="-4"/>
        </w:rPr>
        <w:t>L’Union</w:t>
      </w:r>
      <w:r>
        <w:rPr>
          <w:color w:val="231F20"/>
          <w:spacing w:val="-8"/>
        </w:rPr>
        <w:t> </w:t>
      </w:r>
      <w:r>
        <w:rPr>
          <w:color w:val="231F20"/>
          <w:spacing w:val="-4"/>
        </w:rPr>
        <w:t>des</w:t>
      </w:r>
      <w:r>
        <w:rPr>
          <w:color w:val="231F20"/>
          <w:spacing w:val="-7"/>
        </w:rPr>
        <w:t> </w:t>
      </w:r>
      <w:r>
        <w:rPr>
          <w:color w:val="231F20"/>
          <w:spacing w:val="-4"/>
        </w:rPr>
        <w:t>Populations</w:t>
      </w:r>
      <w:r>
        <w:rPr>
          <w:color w:val="231F20"/>
          <w:spacing w:val="-11"/>
        </w:rPr>
        <w:t> </w:t>
      </w:r>
      <w:r>
        <w:rPr>
          <w:color w:val="231F20"/>
          <w:spacing w:val="-4"/>
        </w:rPr>
        <w:t>du</w:t>
      </w:r>
      <w:r>
        <w:rPr>
          <w:color w:val="231F20"/>
          <w:spacing w:val="-8"/>
        </w:rPr>
        <w:t> </w:t>
      </w:r>
      <w:r>
        <w:rPr>
          <w:color w:val="231F20"/>
          <w:spacing w:val="-4"/>
        </w:rPr>
        <w:t>Cameroun</w:t>
      </w:r>
      <w:r>
        <w:rPr>
          <w:color w:val="231F20"/>
          <w:spacing w:val="-8"/>
        </w:rPr>
        <w:t> </w:t>
      </w:r>
      <w:r>
        <w:rPr>
          <w:color w:val="231F20"/>
          <w:spacing w:val="-4"/>
        </w:rPr>
        <w:t>(UPC)</w:t>
      </w:r>
      <w:r>
        <w:rPr>
          <w:color w:val="231F20"/>
          <w:spacing w:val="-8"/>
        </w:rPr>
        <w:t> </w:t>
      </w:r>
      <w:r>
        <w:rPr>
          <w:color w:val="231F20"/>
          <w:spacing w:val="-4"/>
        </w:rPr>
        <w:t>implantée</w:t>
      </w:r>
      <w:r>
        <w:rPr>
          <w:color w:val="231F20"/>
          <w:spacing w:val="-8"/>
        </w:rPr>
        <w:t> </w:t>
      </w:r>
      <w:r>
        <w:rPr>
          <w:color w:val="231F20"/>
          <w:spacing w:val="-4"/>
        </w:rPr>
        <w:t>sur</w:t>
      </w:r>
      <w:r>
        <w:rPr>
          <w:color w:val="231F20"/>
          <w:spacing w:val="-8"/>
        </w:rPr>
        <w:t> </w:t>
      </w:r>
      <w:r>
        <w:rPr>
          <w:color w:val="231F20"/>
          <w:spacing w:val="-4"/>
        </w:rPr>
        <w:t>le</w:t>
      </w:r>
      <w:r>
        <w:rPr>
          <w:color w:val="231F20"/>
          <w:spacing w:val="-8"/>
        </w:rPr>
        <w:t> </w:t>
      </w:r>
      <w:r>
        <w:rPr>
          <w:color w:val="231F20"/>
          <w:spacing w:val="-4"/>
        </w:rPr>
        <w:t>littoral, dans</w:t>
      </w:r>
      <w:r>
        <w:rPr>
          <w:color w:val="231F20"/>
          <w:spacing w:val="-11"/>
        </w:rPr>
        <w:t> </w:t>
      </w:r>
      <w:r>
        <w:rPr>
          <w:color w:val="231F20"/>
          <w:spacing w:val="-4"/>
        </w:rPr>
        <w:t>le</w:t>
      </w:r>
      <w:r>
        <w:rPr>
          <w:color w:val="231F20"/>
          <w:spacing w:val="-11"/>
        </w:rPr>
        <w:t> </w:t>
      </w:r>
      <w:r>
        <w:rPr>
          <w:color w:val="231F20"/>
          <w:spacing w:val="-4"/>
        </w:rPr>
        <w:t>Centre,</w:t>
      </w:r>
      <w:r>
        <w:rPr>
          <w:color w:val="231F20"/>
          <w:spacing w:val="-11"/>
        </w:rPr>
        <w:t> </w:t>
      </w:r>
      <w:r>
        <w:rPr>
          <w:color w:val="231F20"/>
          <w:spacing w:val="-4"/>
        </w:rPr>
        <w:t>le</w:t>
      </w:r>
      <w:r>
        <w:rPr>
          <w:color w:val="231F20"/>
          <w:spacing w:val="-11"/>
        </w:rPr>
        <w:t> </w:t>
      </w:r>
      <w:r>
        <w:rPr>
          <w:color w:val="231F20"/>
          <w:spacing w:val="-4"/>
        </w:rPr>
        <w:t>Sud</w:t>
      </w:r>
      <w:r>
        <w:rPr>
          <w:color w:val="231F20"/>
          <w:spacing w:val="-11"/>
        </w:rPr>
        <w:t> </w:t>
      </w:r>
      <w:r>
        <w:rPr>
          <w:color w:val="231F20"/>
          <w:spacing w:val="-4"/>
        </w:rPr>
        <w:t>et</w:t>
      </w:r>
      <w:r>
        <w:rPr>
          <w:color w:val="231F20"/>
          <w:spacing w:val="-11"/>
        </w:rPr>
        <w:t> </w:t>
      </w:r>
      <w:r>
        <w:rPr>
          <w:color w:val="231F20"/>
          <w:spacing w:val="-4"/>
        </w:rPr>
        <w:t>l’Ouest,</w:t>
      </w:r>
      <w:r>
        <w:rPr>
          <w:color w:val="231F20"/>
          <w:spacing w:val="-11"/>
        </w:rPr>
        <w:t> </w:t>
      </w:r>
      <w:r>
        <w:rPr>
          <w:color w:val="231F20"/>
          <w:spacing w:val="-4"/>
        </w:rPr>
        <w:t>parmi</w:t>
      </w:r>
      <w:r>
        <w:rPr>
          <w:color w:val="231F20"/>
          <w:spacing w:val="-11"/>
        </w:rPr>
        <w:t> </w:t>
      </w:r>
      <w:r>
        <w:rPr>
          <w:color w:val="231F20"/>
          <w:spacing w:val="-4"/>
        </w:rPr>
        <w:t>les</w:t>
      </w:r>
      <w:r>
        <w:rPr>
          <w:color w:val="231F20"/>
          <w:spacing w:val="-11"/>
        </w:rPr>
        <w:t> </w:t>
      </w:r>
      <w:r>
        <w:rPr>
          <w:color w:val="231F20"/>
          <w:spacing w:val="-4"/>
        </w:rPr>
        <w:t>populations</w:t>
      </w:r>
      <w:r>
        <w:rPr>
          <w:color w:val="231F20"/>
          <w:spacing w:val="-11"/>
        </w:rPr>
        <w:t> </w:t>
      </w:r>
      <w:r>
        <w:rPr>
          <w:color w:val="231F20"/>
          <w:spacing w:val="-4"/>
        </w:rPr>
        <w:t>Bamiléké</w:t>
      </w:r>
      <w:r>
        <w:rPr>
          <w:color w:val="231F20"/>
          <w:spacing w:val="-11"/>
        </w:rPr>
        <w:t> </w:t>
      </w:r>
      <w:r>
        <w:rPr>
          <w:color w:val="231F20"/>
          <w:spacing w:val="-4"/>
        </w:rPr>
        <w:t>et</w:t>
      </w:r>
      <w:r>
        <w:rPr>
          <w:color w:val="231F20"/>
          <w:spacing w:val="-11"/>
        </w:rPr>
        <w:t> </w:t>
      </w:r>
      <w:r>
        <w:rPr>
          <w:color w:val="231F20"/>
          <w:spacing w:val="-4"/>
        </w:rPr>
        <w:t>Bassa, </w:t>
      </w:r>
      <w:r>
        <w:rPr>
          <w:color w:val="231F20"/>
          <w:spacing w:val="-2"/>
        </w:rPr>
        <w:t>réclame</w:t>
      </w:r>
      <w:r>
        <w:rPr>
          <w:color w:val="231F20"/>
          <w:spacing w:val="-10"/>
        </w:rPr>
        <w:t> </w:t>
      </w:r>
      <w:r>
        <w:rPr>
          <w:color w:val="231F20"/>
          <w:spacing w:val="-2"/>
        </w:rPr>
        <w:t>également</w:t>
      </w:r>
      <w:r>
        <w:rPr>
          <w:color w:val="231F20"/>
          <w:spacing w:val="-11"/>
        </w:rPr>
        <w:t> </w:t>
      </w:r>
      <w:r>
        <w:rPr>
          <w:color w:val="231F20"/>
          <w:spacing w:val="-2"/>
        </w:rPr>
        <w:t>l’indépendance</w:t>
      </w:r>
      <w:r>
        <w:rPr>
          <w:color w:val="231F20"/>
          <w:spacing w:val="-10"/>
        </w:rPr>
        <w:t> </w:t>
      </w:r>
      <w:r>
        <w:rPr>
          <w:color w:val="231F20"/>
          <w:spacing w:val="-2"/>
        </w:rPr>
        <w:t>et</w:t>
      </w:r>
      <w:r>
        <w:rPr>
          <w:color w:val="231F20"/>
          <w:spacing w:val="-11"/>
        </w:rPr>
        <w:t> </w:t>
      </w:r>
      <w:r>
        <w:rPr>
          <w:color w:val="231F20"/>
          <w:spacing w:val="-2"/>
        </w:rPr>
        <w:t>la</w:t>
      </w:r>
      <w:r>
        <w:rPr>
          <w:color w:val="231F20"/>
          <w:spacing w:val="-10"/>
        </w:rPr>
        <w:t> </w:t>
      </w:r>
      <w:r>
        <w:rPr>
          <w:color w:val="231F20"/>
          <w:spacing w:val="-2"/>
        </w:rPr>
        <w:t>réunification</w:t>
      </w:r>
      <w:r>
        <w:rPr>
          <w:color w:val="231F20"/>
          <w:spacing w:val="-10"/>
        </w:rPr>
        <w:t> </w:t>
      </w:r>
      <w:r>
        <w:rPr>
          <w:color w:val="231F20"/>
          <w:spacing w:val="-2"/>
        </w:rPr>
        <w:t>des</w:t>
      </w:r>
      <w:r>
        <w:rPr>
          <w:color w:val="231F20"/>
          <w:spacing w:val="-11"/>
        </w:rPr>
        <w:t> </w:t>
      </w:r>
      <w:r>
        <w:rPr>
          <w:color w:val="231F20"/>
          <w:spacing w:val="-2"/>
        </w:rPr>
        <w:t>deux</w:t>
      </w:r>
      <w:r>
        <w:rPr>
          <w:color w:val="231F20"/>
          <w:spacing w:val="-11"/>
        </w:rPr>
        <w:t> </w:t>
      </w:r>
      <w:r>
        <w:rPr>
          <w:color w:val="231F20"/>
          <w:spacing w:val="-2"/>
        </w:rPr>
        <w:t>territoires </w:t>
      </w:r>
      <w:r>
        <w:rPr>
          <w:color w:val="231F20"/>
        </w:rPr>
        <w:t>français</w:t>
      </w:r>
      <w:r>
        <w:rPr>
          <w:color w:val="231F20"/>
          <w:spacing w:val="-15"/>
        </w:rPr>
        <w:t> </w:t>
      </w:r>
      <w:r>
        <w:rPr>
          <w:color w:val="231F20"/>
        </w:rPr>
        <w:t>et</w:t>
      </w:r>
      <w:r>
        <w:rPr>
          <w:color w:val="231F20"/>
          <w:spacing w:val="-15"/>
        </w:rPr>
        <w:t> </w:t>
      </w:r>
      <w:r>
        <w:rPr>
          <w:color w:val="231F20"/>
        </w:rPr>
        <w:t>britannique.</w:t>
      </w:r>
      <w:r>
        <w:rPr>
          <w:color w:val="231F20"/>
          <w:spacing w:val="-15"/>
        </w:rPr>
        <w:t> </w:t>
      </w:r>
      <w:r>
        <w:rPr>
          <w:color w:val="231F20"/>
        </w:rPr>
        <w:t>La</w:t>
      </w:r>
      <w:r>
        <w:rPr>
          <w:color w:val="231F20"/>
          <w:spacing w:val="-15"/>
        </w:rPr>
        <w:t> </w:t>
      </w:r>
      <w:r>
        <w:rPr>
          <w:color w:val="231F20"/>
        </w:rPr>
        <w:t>France</w:t>
      </w:r>
      <w:r>
        <w:rPr>
          <w:color w:val="231F20"/>
          <w:spacing w:val="-15"/>
        </w:rPr>
        <w:t> </w:t>
      </w:r>
      <w:r>
        <w:rPr>
          <w:color w:val="231F20"/>
        </w:rPr>
        <w:t>refuse.</w:t>
      </w:r>
      <w:r>
        <w:rPr>
          <w:color w:val="231F20"/>
          <w:spacing w:val="-15"/>
        </w:rPr>
        <w:t> </w:t>
      </w:r>
      <w:r>
        <w:rPr>
          <w:color w:val="231F20"/>
        </w:rPr>
        <w:t>L’UPC</w:t>
      </w:r>
      <w:r>
        <w:rPr>
          <w:color w:val="231F20"/>
          <w:spacing w:val="-15"/>
        </w:rPr>
        <w:t> </w:t>
      </w:r>
      <w:r>
        <w:rPr>
          <w:color w:val="231F20"/>
        </w:rPr>
        <w:t>se</w:t>
      </w:r>
      <w:r>
        <w:rPr>
          <w:color w:val="231F20"/>
          <w:spacing w:val="-14"/>
        </w:rPr>
        <w:t> </w:t>
      </w:r>
      <w:r>
        <w:rPr>
          <w:color w:val="231F20"/>
        </w:rPr>
        <w:t>tourne</w:t>
      </w:r>
      <w:r>
        <w:rPr>
          <w:color w:val="231F20"/>
          <w:spacing w:val="-15"/>
        </w:rPr>
        <w:t> </w:t>
      </w:r>
      <w:r>
        <w:rPr>
          <w:color w:val="231F20"/>
        </w:rPr>
        <w:t>vers</w:t>
      </w:r>
      <w:r>
        <w:rPr>
          <w:color w:val="231F20"/>
          <w:spacing w:val="-15"/>
        </w:rPr>
        <w:t> </w:t>
      </w:r>
      <w:r>
        <w:rPr>
          <w:color w:val="231F20"/>
        </w:rPr>
        <w:t>l’ONU</w:t>
      </w:r>
      <w:r>
        <w:rPr>
          <w:color w:val="231F20"/>
          <w:spacing w:val="-15"/>
        </w:rPr>
        <w:t> </w:t>
      </w:r>
      <w:r>
        <w:rPr>
          <w:color w:val="231F20"/>
        </w:rPr>
        <w:t>: sans succès. Alors, les dirigeants de l’UPC radicalisent leurs modes </w:t>
      </w:r>
      <w:r>
        <w:rPr>
          <w:color w:val="231F20"/>
          <w:spacing w:val="-4"/>
        </w:rPr>
        <w:t>d’action</w:t>
      </w:r>
      <w:r>
        <w:rPr>
          <w:color w:val="231F20"/>
          <w:spacing w:val="-9"/>
        </w:rPr>
        <w:t> </w:t>
      </w:r>
      <w:r>
        <w:rPr>
          <w:color w:val="231F20"/>
          <w:spacing w:val="-4"/>
        </w:rPr>
        <w:t>politique</w:t>
      </w:r>
      <w:r>
        <w:rPr>
          <w:color w:val="231F20"/>
          <w:spacing w:val="-7"/>
        </w:rPr>
        <w:t> </w:t>
      </w:r>
      <w:r>
        <w:rPr>
          <w:color w:val="231F20"/>
          <w:spacing w:val="-4"/>
        </w:rPr>
        <w:t>en</w:t>
      </w:r>
      <w:r>
        <w:rPr>
          <w:color w:val="231F20"/>
          <w:spacing w:val="-7"/>
        </w:rPr>
        <w:t> </w:t>
      </w:r>
      <w:r>
        <w:rPr>
          <w:color w:val="231F20"/>
          <w:spacing w:val="-4"/>
        </w:rPr>
        <w:t>utilisant</w:t>
      </w:r>
      <w:r>
        <w:rPr>
          <w:color w:val="231F20"/>
          <w:spacing w:val="-7"/>
        </w:rPr>
        <w:t> </w:t>
      </w:r>
      <w:r>
        <w:rPr>
          <w:color w:val="231F20"/>
          <w:spacing w:val="-4"/>
        </w:rPr>
        <w:t>la</w:t>
      </w:r>
      <w:r>
        <w:rPr>
          <w:color w:val="231F20"/>
          <w:spacing w:val="-7"/>
        </w:rPr>
        <w:t> </w:t>
      </w:r>
      <w:r>
        <w:rPr>
          <w:color w:val="231F20"/>
          <w:spacing w:val="-4"/>
        </w:rPr>
        <w:t>grève.</w:t>
      </w:r>
      <w:r>
        <w:rPr>
          <w:color w:val="231F20"/>
          <w:spacing w:val="-8"/>
        </w:rPr>
        <w:t> </w:t>
      </w:r>
      <w:r>
        <w:rPr>
          <w:color w:val="231F20"/>
          <w:spacing w:val="-4"/>
        </w:rPr>
        <w:t>En</w:t>
      </w:r>
      <w:r>
        <w:rPr>
          <w:color w:val="231F20"/>
          <w:spacing w:val="-6"/>
        </w:rPr>
        <w:t> </w:t>
      </w:r>
      <w:r>
        <w:rPr>
          <w:color w:val="231F20"/>
          <w:spacing w:val="-4"/>
        </w:rPr>
        <w:t>mai</w:t>
      </w:r>
      <w:r>
        <w:rPr>
          <w:color w:val="231F20"/>
          <w:spacing w:val="-9"/>
        </w:rPr>
        <w:t> </w:t>
      </w:r>
      <w:r>
        <w:rPr>
          <w:color w:val="231F20"/>
          <w:spacing w:val="-4"/>
        </w:rPr>
        <w:t>1955</w:t>
      </w:r>
      <w:r>
        <w:rPr>
          <w:color w:val="231F20"/>
          <w:spacing w:val="-9"/>
        </w:rPr>
        <w:t> </w:t>
      </w:r>
      <w:r>
        <w:rPr>
          <w:color w:val="231F20"/>
          <w:spacing w:val="-4"/>
        </w:rPr>
        <w:t>à</w:t>
      </w:r>
      <w:r>
        <w:rPr>
          <w:color w:val="231F20"/>
          <w:spacing w:val="-7"/>
        </w:rPr>
        <w:t> </w:t>
      </w:r>
      <w:r>
        <w:rPr>
          <w:color w:val="231F20"/>
          <w:spacing w:val="-4"/>
        </w:rPr>
        <w:t>la</w:t>
      </w:r>
      <w:r>
        <w:rPr>
          <w:color w:val="231F20"/>
          <w:spacing w:val="-7"/>
        </w:rPr>
        <w:t> </w:t>
      </w:r>
      <w:r>
        <w:rPr>
          <w:color w:val="231F20"/>
          <w:spacing w:val="-4"/>
        </w:rPr>
        <w:t>suite</w:t>
      </w:r>
      <w:r>
        <w:rPr>
          <w:color w:val="231F20"/>
          <w:spacing w:val="-7"/>
        </w:rPr>
        <w:t> </w:t>
      </w:r>
      <w:r>
        <w:rPr>
          <w:color w:val="231F20"/>
          <w:spacing w:val="-4"/>
        </w:rPr>
        <w:t>de</w:t>
      </w:r>
      <w:r>
        <w:rPr>
          <w:color w:val="231F20"/>
          <w:spacing w:val="-7"/>
        </w:rPr>
        <w:t> </w:t>
      </w:r>
      <w:r>
        <w:rPr>
          <w:color w:val="231F20"/>
          <w:spacing w:val="-4"/>
        </w:rPr>
        <w:t>violentes </w:t>
      </w:r>
      <w:r>
        <w:rPr>
          <w:color w:val="231F20"/>
        </w:rPr>
        <w:t>manifestations, le gouvernement français répond par la répression</w:t>
      </w:r>
      <w:r>
        <w:rPr>
          <w:color w:val="231F20"/>
          <w:spacing w:val="-15"/>
        </w:rPr>
        <w:t> </w:t>
      </w:r>
      <w:r>
        <w:rPr>
          <w:color w:val="231F20"/>
        </w:rPr>
        <w:t>: de nombreux morts du côté camerounais. Accusée d'avoir organisé les manifestations, l’UPC est dissoute et ses dirigeants font l’objet d’une chasse à l’homme. Les plus chanceux fuient à l'étranger</w:t>
      </w:r>
      <w:r>
        <w:rPr>
          <w:color w:val="231F20"/>
          <w:spacing w:val="-12"/>
        </w:rPr>
        <w:t> </w:t>
      </w:r>
      <w:r>
        <w:rPr>
          <w:color w:val="231F20"/>
        </w:rPr>
        <w:t>; les moins chanceux sont liquidés physiquement,</w:t>
      </w:r>
    </w:p>
    <w:p>
      <w:pPr>
        <w:spacing w:after="0"/>
        <w:sectPr>
          <w:pgSz w:w="8790" w:h="13610"/>
          <w:pgMar w:header="0" w:footer="802" w:top="1060" w:bottom="1000" w:left="880" w:right="880"/>
        </w:sectPr>
      </w:pPr>
    </w:p>
    <w:p>
      <w:pPr>
        <w:pStyle w:val="BodyText"/>
        <w:spacing w:before="66"/>
        <w:ind w:right="103" w:firstLine="283"/>
      </w:pPr>
      <w:r>
        <w:rPr>
          <w:color w:val="231F20"/>
        </w:rPr>
        <w:t>En 1957, André-Marie M'Bida devient Premier ministre de la République</w:t>
      </w:r>
      <w:r>
        <w:rPr>
          <w:color w:val="231F20"/>
          <w:spacing w:val="-13"/>
        </w:rPr>
        <w:t> </w:t>
      </w:r>
      <w:r>
        <w:rPr>
          <w:color w:val="231F20"/>
        </w:rPr>
        <w:t>autonome</w:t>
      </w:r>
      <w:r>
        <w:rPr>
          <w:color w:val="231F20"/>
          <w:spacing w:val="-15"/>
        </w:rPr>
        <w:t> </w:t>
      </w:r>
      <w:r>
        <w:rPr>
          <w:color w:val="231F20"/>
        </w:rPr>
        <w:t>du</w:t>
      </w:r>
      <w:r>
        <w:rPr>
          <w:color w:val="231F20"/>
          <w:spacing w:val="-15"/>
        </w:rPr>
        <w:t> </w:t>
      </w:r>
      <w:r>
        <w:rPr>
          <w:color w:val="231F20"/>
        </w:rPr>
        <w:t>Cameroun.</w:t>
      </w:r>
      <w:r>
        <w:rPr>
          <w:color w:val="231F20"/>
          <w:spacing w:val="-13"/>
        </w:rPr>
        <w:t> </w:t>
      </w:r>
      <w:r>
        <w:rPr>
          <w:color w:val="231F20"/>
        </w:rPr>
        <w:t>La</w:t>
      </w:r>
      <w:r>
        <w:rPr>
          <w:color w:val="231F20"/>
          <w:spacing w:val="-13"/>
        </w:rPr>
        <w:t> </w:t>
      </w:r>
      <w:r>
        <w:rPr>
          <w:color w:val="231F20"/>
        </w:rPr>
        <w:t>personnalité</w:t>
      </w:r>
      <w:r>
        <w:rPr>
          <w:color w:val="231F20"/>
          <w:spacing w:val="-13"/>
        </w:rPr>
        <w:t> </w:t>
      </w:r>
      <w:r>
        <w:rPr>
          <w:color w:val="231F20"/>
        </w:rPr>
        <w:t>de</w:t>
      </w:r>
      <w:r>
        <w:rPr>
          <w:color w:val="231F20"/>
          <w:spacing w:val="-13"/>
        </w:rPr>
        <w:t> </w:t>
      </w:r>
      <w:r>
        <w:rPr>
          <w:color w:val="231F20"/>
        </w:rPr>
        <w:t>M'Bida</w:t>
      </w:r>
      <w:r>
        <w:rPr>
          <w:color w:val="231F20"/>
          <w:spacing w:val="-13"/>
        </w:rPr>
        <w:t> </w:t>
      </w:r>
      <w:r>
        <w:rPr>
          <w:color w:val="231F20"/>
        </w:rPr>
        <w:t>est</w:t>
      </w:r>
      <w:r>
        <w:rPr>
          <w:color w:val="231F20"/>
          <w:spacing w:val="-15"/>
        </w:rPr>
        <w:t> </w:t>
      </w:r>
      <w:r>
        <w:rPr>
          <w:color w:val="231F20"/>
        </w:rPr>
        <w:t>loin de faire l'unanimité. Certains de ses compatriotes estiment qu’il est en </w:t>
      </w:r>
      <w:r>
        <w:rPr>
          <w:color w:val="231F20"/>
          <w:spacing w:val="-2"/>
        </w:rPr>
        <w:t>grande</w:t>
      </w:r>
      <w:r>
        <w:rPr>
          <w:color w:val="231F20"/>
          <w:spacing w:val="-13"/>
        </w:rPr>
        <w:t> </w:t>
      </w:r>
      <w:r>
        <w:rPr>
          <w:color w:val="231F20"/>
          <w:spacing w:val="-2"/>
        </w:rPr>
        <w:t>partie</w:t>
      </w:r>
      <w:r>
        <w:rPr>
          <w:color w:val="231F20"/>
          <w:spacing w:val="-13"/>
        </w:rPr>
        <w:t> </w:t>
      </w:r>
      <w:r>
        <w:rPr>
          <w:color w:val="231F20"/>
          <w:spacing w:val="-2"/>
        </w:rPr>
        <w:t>responsable</w:t>
      </w:r>
      <w:r>
        <w:rPr>
          <w:color w:val="231F20"/>
          <w:spacing w:val="-13"/>
        </w:rPr>
        <w:t> </w:t>
      </w:r>
      <w:r>
        <w:rPr>
          <w:color w:val="231F20"/>
          <w:spacing w:val="-2"/>
        </w:rPr>
        <w:t>de</w:t>
      </w:r>
      <w:r>
        <w:rPr>
          <w:color w:val="231F20"/>
          <w:spacing w:val="-9"/>
        </w:rPr>
        <w:t> </w:t>
      </w:r>
      <w:r>
        <w:rPr>
          <w:color w:val="231F20"/>
          <w:spacing w:val="-2"/>
        </w:rPr>
        <w:t>la</w:t>
      </w:r>
      <w:r>
        <w:rPr>
          <w:color w:val="231F20"/>
          <w:spacing w:val="-13"/>
        </w:rPr>
        <w:t> </w:t>
      </w:r>
      <w:r>
        <w:rPr>
          <w:color w:val="231F20"/>
          <w:spacing w:val="-2"/>
        </w:rPr>
        <w:t>rupture</w:t>
      </w:r>
      <w:r>
        <w:rPr>
          <w:color w:val="231F20"/>
          <w:spacing w:val="-13"/>
        </w:rPr>
        <w:t> </w:t>
      </w:r>
      <w:r>
        <w:rPr>
          <w:color w:val="231F20"/>
          <w:spacing w:val="-2"/>
        </w:rPr>
        <w:t>de</w:t>
      </w:r>
      <w:r>
        <w:rPr>
          <w:color w:val="231F20"/>
          <w:spacing w:val="-13"/>
        </w:rPr>
        <w:t> </w:t>
      </w:r>
      <w:r>
        <w:rPr>
          <w:color w:val="231F20"/>
          <w:spacing w:val="-2"/>
        </w:rPr>
        <w:t>tout</w:t>
      </w:r>
      <w:r>
        <w:rPr>
          <w:color w:val="231F20"/>
          <w:spacing w:val="-12"/>
        </w:rPr>
        <w:t> </w:t>
      </w:r>
      <w:r>
        <w:rPr>
          <w:color w:val="231F20"/>
          <w:spacing w:val="-2"/>
        </w:rPr>
        <w:t>dialogue</w:t>
      </w:r>
      <w:r>
        <w:rPr>
          <w:color w:val="231F20"/>
          <w:spacing w:val="-11"/>
        </w:rPr>
        <w:t> </w:t>
      </w:r>
      <w:r>
        <w:rPr>
          <w:color w:val="231F20"/>
          <w:spacing w:val="-2"/>
        </w:rPr>
        <w:t>avec</w:t>
      </w:r>
      <w:r>
        <w:rPr>
          <w:color w:val="231F20"/>
          <w:spacing w:val="-13"/>
        </w:rPr>
        <w:t> </w:t>
      </w:r>
      <w:r>
        <w:rPr>
          <w:color w:val="231F20"/>
          <w:spacing w:val="-2"/>
        </w:rPr>
        <w:t>les</w:t>
      </w:r>
      <w:r>
        <w:rPr>
          <w:color w:val="231F20"/>
          <w:spacing w:val="-13"/>
        </w:rPr>
        <w:t> </w:t>
      </w:r>
      <w:r>
        <w:rPr>
          <w:color w:val="231F20"/>
          <w:spacing w:val="-2"/>
        </w:rPr>
        <w:t>hommes </w:t>
      </w:r>
      <w:r>
        <w:rPr>
          <w:color w:val="231F20"/>
        </w:rPr>
        <w:t>de</w:t>
      </w:r>
      <w:r>
        <w:rPr>
          <w:color w:val="231F20"/>
          <w:spacing w:val="-15"/>
        </w:rPr>
        <w:t> </w:t>
      </w:r>
      <w:r>
        <w:rPr>
          <w:color w:val="231F20"/>
        </w:rPr>
        <w:t>l'UPC,</w:t>
      </w:r>
      <w:r>
        <w:rPr>
          <w:color w:val="231F20"/>
          <w:spacing w:val="-15"/>
        </w:rPr>
        <w:t> </w:t>
      </w:r>
      <w:r>
        <w:rPr>
          <w:color w:val="231F20"/>
        </w:rPr>
        <w:t>qui</w:t>
      </w:r>
      <w:r>
        <w:rPr>
          <w:color w:val="231F20"/>
          <w:spacing w:val="-15"/>
        </w:rPr>
        <w:t> </w:t>
      </w:r>
      <w:r>
        <w:rPr>
          <w:color w:val="231F20"/>
        </w:rPr>
        <w:t>contrôlent</w:t>
      </w:r>
      <w:r>
        <w:rPr>
          <w:color w:val="231F20"/>
          <w:spacing w:val="-15"/>
        </w:rPr>
        <w:t> </w:t>
      </w:r>
      <w:r>
        <w:rPr>
          <w:color w:val="231F20"/>
        </w:rPr>
        <w:t>plusieurs</w:t>
      </w:r>
      <w:r>
        <w:rPr>
          <w:color w:val="231F20"/>
          <w:spacing w:val="-15"/>
        </w:rPr>
        <w:t> </w:t>
      </w:r>
      <w:r>
        <w:rPr>
          <w:color w:val="231F20"/>
        </w:rPr>
        <w:t>régions</w:t>
      </w:r>
      <w:r>
        <w:rPr>
          <w:color w:val="231F20"/>
          <w:spacing w:val="-15"/>
        </w:rPr>
        <w:t> </w:t>
      </w:r>
      <w:r>
        <w:rPr>
          <w:color w:val="231F20"/>
        </w:rPr>
        <w:t>du</w:t>
      </w:r>
      <w:r>
        <w:rPr>
          <w:color w:val="231F20"/>
          <w:spacing w:val="-15"/>
        </w:rPr>
        <w:t> </w:t>
      </w:r>
      <w:r>
        <w:rPr>
          <w:color w:val="231F20"/>
        </w:rPr>
        <w:t>pays.</w:t>
      </w:r>
      <w:r>
        <w:rPr>
          <w:color w:val="231F20"/>
          <w:spacing w:val="-15"/>
        </w:rPr>
        <w:t> </w:t>
      </w:r>
      <w:r>
        <w:rPr>
          <w:color w:val="231F20"/>
        </w:rPr>
        <w:t>Aristocrate,</w:t>
      </w:r>
      <w:r>
        <w:rPr>
          <w:color w:val="231F20"/>
          <w:spacing w:val="-15"/>
        </w:rPr>
        <w:t> </w:t>
      </w:r>
      <w:r>
        <w:rPr>
          <w:color w:val="231F20"/>
        </w:rPr>
        <w:t>fils</w:t>
      </w:r>
      <w:r>
        <w:rPr>
          <w:color w:val="231F20"/>
          <w:spacing w:val="-15"/>
        </w:rPr>
        <w:t> </w:t>
      </w:r>
      <w:r>
        <w:rPr>
          <w:color w:val="231F20"/>
        </w:rPr>
        <w:t>d’un </w:t>
      </w:r>
      <w:r>
        <w:rPr>
          <w:color w:val="231F20"/>
          <w:spacing w:val="-2"/>
        </w:rPr>
        <w:t>chef</w:t>
      </w:r>
      <w:r>
        <w:rPr>
          <w:color w:val="231F20"/>
          <w:spacing w:val="-13"/>
        </w:rPr>
        <w:t> </w:t>
      </w:r>
      <w:r>
        <w:rPr>
          <w:color w:val="231F20"/>
          <w:spacing w:val="-2"/>
        </w:rPr>
        <w:t>traditionnel,</w:t>
      </w:r>
      <w:r>
        <w:rPr>
          <w:color w:val="231F20"/>
          <w:spacing w:val="-13"/>
        </w:rPr>
        <w:t> </w:t>
      </w:r>
      <w:r>
        <w:rPr>
          <w:color w:val="231F20"/>
          <w:spacing w:val="-2"/>
        </w:rPr>
        <w:t>André-Marie</w:t>
      </w:r>
      <w:r>
        <w:rPr>
          <w:color w:val="231F20"/>
          <w:spacing w:val="-11"/>
        </w:rPr>
        <w:t> </w:t>
      </w:r>
      <w:r>
        <w:rPr>
          <w:color w:val="231F20"/>
          <w:spacing w:val="-2"/>
        </w:rPr>
        <w:t>M'Bida</w:t>
      </w:r>
      <w:r>
        <w:rPr>
          <w:color w:val="231F20"/>
          <w:spacing w:val="-12"/>
        </w:rPr>
        <w:t> </w:t>
      </w:r>
      <w:r>
        <w:rPr>
          <w:color w:val="231F20"/>
          <w:spacing w:val="-2"/>
        </w:rPr>
        <w:t>a</w:t>
      </w:r>
      <w:r>
        <w:rPr>
          <w:color w:val="231F20"/>
          <w:spacing w:val="-12"/>
        </w:rPr>
        <w:t> </w:t>
      </w:r>
      <w:r>
        <w:rPr>
          <w:color w:val="231F20"/>
          <w:spacing w:val="-2"/>
        </w:rPr>
        <w:t>fait</w:t>
      </w:r>
      <w:r>
        <w:rPr>
          <w:color w:val="231F20"/>
          <w:spacing w:val="-13"/>
        </w:rPr>
        <w:t> </w:t>
      </w:r>
      <w:r>
        <w:rPr>
          <w:color w:val="231F20"/>
          <w:spacing w:val="-2"/>
        </w:rPr>
        <w:t>des</w:t>
      </w:r>
      <w:r>
        <w:rPr>
          <w:color w:val="231F20"/>
          <w:spacing w:val="-12"/>
        </w:rPr>
        <w:t> </w:t>
      </w:r>
      <w:r>
        <w:rPr>
          <w:color w:val="231F20"/>
          <w:spacing w:val="-2"/>
        </w:rPr>
        <w:t>études</w:t>
      </w:r>
      <w:r>
        <w:rPr>
          <w:color w:val="231F20"/>
          <w:spacing w:val="-12"/>
        </w:rPr>
        <w:t> </w:t>
      </w:r>
      <w:r>
        <w:rPr>
          <w:color w:val="231F20"/>
          <w:spacing w:val="-2"/>
        </w:rPr>
        <w:t>de</w:t>
      </w:r>
      <w:r>
        <w:rPr>
          <w:color w:val="231F20"/>
          <w:spacing w:val="-13"/>
        </w:rPr>
        <w:t> </w:t>
      </w:r>
      <w:r>
        <w:rPr>
          <w:color w:val="231F20"/>
          <w:spacing w:val="-2"/>
        </w:rPr>
        <w:t>philosophie</w:t>
      </w:r>
      <w:r>
        <w:rPr>
          <w:color w:val="231F20"/>
          <w:spacing w:val="-13"/>
        </w:rPr>
        <w:t> </w:t>
      </w:r>
      <w:r>
        <w:rPr>
          <w:color w:val="231F20"/>
          <w:spacing w:val="-2"/>
        </w:rPr>
        <w:t>et </w:t>
      </w:r>
      <w:r>
        <w:rPr>
          <w:color w:val="231F20"/>
        </w:rPr>
        <w:t>de théologie ainsi que des études juridiques. Ancien professeur de mathématiques</w:t>
      </w:r>
      <w:r>
        <w:rPr>
          <w:color w:val="231F20"/>
          <w:spacing w:val="-3"/>
        </w:rPr>
        <w:t> </w:t>
      </w:r>
      <w:r>
        <w:rPr>
          <w:color w:val="231F20"/>
        </w:rPr>
        <w:t>et</w:t>
      </w:r>
      <w:r>
        <w:rPr>
          <w:color w:val="231F20"/>
          <w:spacing w:val="-4"/>
        </w:rPr>
        <w:t> </w:t>
      </w:r>
      <w:r>
        <w:rPr>
          <w:color w:val="231F20"/>
        </w:rPr>
        <w:t>de</w:t>
      </w:r>
      <w:r>
        <w:rPr>
          <w:color w:val="231F20"/>
          <w:spacing w:val="-6"/>
        </w:rPr>
        <w:t> </w:t>
      </w:r>
      <w:r>
        <w:rPr>
          <w:color w:val="231F20"/>
        </w:rPr>
        <w:t>latin,</w:t>
      </w:r>
      <w:r>
        <w:rPr>
          <w:color w:val="231F20"/>
          <w:spacing w:val="-3"/>
        </w:rPr>
        <w:t> </w:t>
      </w:r>
      <w:r>
        <w:rPr>
          <w:color w:val="231F20"/>
        </w:rPr>
        <w:t>directeur</w:t>
      </w:r>
      <w:r>
        <w:rPr>
          <w:color w:val="231F20"/>
          <w:spacing w:val="-5"/>
        </w:rPr>
        <w:t> </w:t>
      </w:r>
      <w:r>
        <w:rPr>
          <w:color w:val="231F20"/>
        </w:rPr>
        <w:t>de</w:t>
      </w:r>
      <w:r>
        <w:rPr>
          <w:color w:val="231F20"/>
          <w:spacing w:val="-6"/>
        </w:rPr>
        <w:t> </w:t>
      </w:r>
      <w:r>
        <w:rPr>
          <w:color w:val="231F20"/>
        </w:rPr>
        <w:t>l’école</w:t>
      </w:r>
      <w:r>
        <w:rPr>
          <w:color w:val="231F20"/>
          <w:spacing w:val="-6"/>
        </w:rPr>
        <w:t> </w:t>
      </w:r>
      <w:r>
        <w:rPr>
          <w:color w:val="231F20"/>
        </w:rPr>
        <w:t>rurale</w:t>
      </w:r>
      <w:r>
        <w:rPr>
          <w:color w:val="231F20"/>
          <w:spacing w:val="-2"/>
        </w:rPr>
        <w:t> </w:t>
      </w:r>
      <w:r>
        <w:rPr>
          <w:color w:val="231F20"/>
        </w:rPr>
        <w:t>en</w:t>
      </w:r>
      <w:r>
        <w:rPr>
          <w:color w:val="231F20"/>
          <w:spacing w:val="-5"/>
        </w:rPr>
        <w:t> </w:t>
      </w:r>
      <w:r>
        <w:rPr>
          <w:color w:val="231F20"/>
        </w:rPr>
        <w:t>1943,</w:t>
      </w:r>
      <w:r>
        <w:rPr>
          <w:color w:val="231F20"/>
          <w:spacing w:val="-5"/>
        </w:rPr>
        <w:t> </w:t>
      </w:r>
      <w:r>
        <w:rPr>
          <w:color w:val="231F20"/>
        </w:rPr>
        <w:t>agent</w:t>
      </w:r>
      <w:r>
        <w:rPr>
          <w:color w:val="231F20"/>
          <w:spacing w:val="-4"/>
        </w:rPr>
        <w:t> </w:t>
      </w:r>
      <w:r>
        <w:rPr>
          <w:color w:val="231F20"/>
        </w:rPr>
        <w:t>du trésor à</w:t>
      </w:r>
      <w:r>
        <w:rPr>
          <w:color w:val="231F20"/>
          <w:spacing w:val="-15"/>
        </w:rPr>
        <w:t> </w:t>
      </w:r>
      <w:r>
        <w:rPr>
          <w:color w:val="231F20"/>
        </w:rPr>
        <w:t>Yaoundé</w:t>
      </w:r>
      <w:r>
        <w:rPr>
          <w:color w:val="231F20"/>
          <w:spacing w:val="-15"/>
        </w:rPr>
        <w:t> </w:t>
      </w:r>
      <w:r>
        <w:rPr>
          <w:color w:val="231F20"/>
        </w:rPr>
        <w:t>en 1945, agent d’affaires jusqu’en 1954, M'Bida est financièrement</w:t>
      </w:r>
      <w:r>
        <w:rPr>
          <w:color w:val="231F20"/>
          <w:spacing w:val="-3"/>
        </w:rPr>
        <w:t> </w:t>
      </w:r>
      <w:r>
        <w:rPr>
          <w:color w:val="231F20"/>
        </w:rPr>
        <w:t>autonome</w:t>
      </w:r>
      <w:r>
        <w:rPr>
          <w:color w:val="231F20"/>
          <w:vertAlign w:val="superscript"/>
        </w:rPr>
        <w:t>67</w:t>
      </w:r>
      <w:r>
        <w:rPr>
          <w:color w:val="231F20"/>
          <w:spacing w:val="-15"/>
          <w:vertAlign w:val="baseline"/>
        </w:rPr>
        <w:t> </w:t>
      </w:r>
      <w:r>
        <w:rPr>
          <w:color w:val="231F20"/>
          <w:vertAlign w:val="baseline"/>
        </w:rPr>
        <w:t>. Les colons le jugent trop indépendant et nationaliste</w:t>
      </w:r>
      <w:r>
        <w:rPr>
          <w:color w:val="231F20"/>
          <w:vertAlign w:val="superscript"/>
        </w:rPr>
        <w:t>68</w:t>
      </w:r>
      <w:r>
        <w:rPr>
          <w:color w:val="231F20"/>
          <w:spacing w:val="-15"/>
          <w:vertAlign w:val="baseline"/>
        </w:rPr>
        <w:t> </w:t>
      </w:r>
      <w:r>
        <w:rPr>
          <w:color w:val="231F20"/>
          <w:vertAlign w:val="baseline"/>
        </w:rPr>
        <w:t>:</w:t>
      </w:r>
      <w:r>
        <w:rPr>
          <w:color w:val="231F20"/>
          <w:spacing w:val="-15"/>
          <w:vertAlign w:val="baseline"/>
        </w:rPr>
        <w:t> </w:t>
      </w:r>
      <w:r>
        <w:rPr>
          <w:color w:val="231F20"/>
          <w:vertAlign w:val="baseline"/>
        </w:rPr>
        <w:t>André-Marie</w:t>
      </w:r>
      <w:r>
        <w:rPr>
          <w:color w:val="231F20"/>
          <w:spacing w:val="-15"/>
          <w:vertAlign w:val="baseline"/>
        </w:rPr>
        <w:t> </w:t>
      </w:r>
      <w:r>
        <w:rPr>
          <w:color w:val="231F20"/>
          <w:vertAlign w:val="baseline"/>
        </w:rPr>
        <w:t>M'Bida</w:t>
      </w:r>
      <w:r>
        <w:rPr>
          <w:color w:val="231F20"/>
          <w:spacing w:val="-15"/>
          <w:vertAlign w:val="baseline"/>
        </w:rPr>
        <w:t> </w:t>
      </w:r>
      <w:r>
        <w:rPr>
          <w:color w:val="231F20"/>
          <w:vertAlign w:val="baseline"/>
        </w:rPr>
        <w:t>leur</w:t>
      </w:r>
      <w:r>
        <w:rPr>
          <w:color w:val="231F20"/>
          <w:spacing w:val="-15"/>
          <w:vertAlign w:val="baseline"/>
        </w:rPr>
        <w:t> </w:t>
      </w:r>
      <w:r>
        <w:rPr>
          <w:color w:val="231F20"/>
          <w:vertAlign w:val="baseline"/>
        </w:rPr>
        <w:t>ordonne</w:t>
      </w:r>
      <w:r>
        <w:rPr>
          <w:color w:val="231F20"/>
          <w:spacing w:val="-15"/>
          <w:vertAlign w:val="baseline"/>
        </w:rPr>
        <w:t> </w:t>
      </w:r>
      <w:r>
        <w:rPr>
          <w:color w:val="231F20"/>
          <w:vertAlign w:val="baseline"/>
        </w:rPr>
        <w:t>d’ailleurs</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retirer</w:t>
      </w:r>
      <w:r>
        <w:rPr>
          <w:color w:val="231F20"/>
          <w:spacing w:val="-15"/>
          <w:vertAlign w:val="baseline"/>
        </w:rPr>
        <w:t> </w:t>
      </w:r>
      <w:r>
        <w:rPr>
          <w:color w:val="231F20"/>
          <w:vertAlign w:val="baseline"/>
        </w:rPr>
        <w:t>de leurs cafés les affiches portant la mention «</w:t>
      </w:r>
      <w:r>
        <w:rPr>
          <w:color w:val="231F20"/>
          <w:spacing w:val="-15"/>
          <w:vertAlign w:val="baseline"/>
        </w:rPr>
        <w:t> </w:t>
      </w:r>
      <w:r>
        <w:rPr>
          <w:color w:val="231F20"/>
          <w:vertAlign w:val="baseline"/>
        </w:rPr>
        <w:t>interdit aux chiens et aux Noirs</w:t>
      </w:r>
      <w:r>
        <w:rPr>
          <w:color w:val="231F20"/>
          <w:spacing w:val="-14"/>
          <w:vertAlign w:val="baseline"/>
        </w:rPr>
        <w:t> </w:t>
      </w:r>
      <w:r>
        <w:rPr>
          <w:color w:val="231F20"/>
          <w:vertAlign w:val="baseline"/>
        </w:rPr>
        <w:t>».</w:t>
      </w:r>
      <w:r>
        <w:rPr>
          <w:color w:val="231F20"/>
          <w:spacing w:val="31"/>
          <w:vertAlign w:val="baseline"/>
        </w:rPr>
        <w:t> </w:t>
      </w:r>
      <w:r>
        <w:rPr>
          <w:color w:val="231F20"/>
          <w:vertAlign w:val="baseline"/>
        </w:rPr>
        <w:t>Il</w:t>
      </w:r>
      <w:r>
        <w:rPr>
          <w:color w:val="231F20"/>
          <w:spacing w:val="31"/>
          <w:vertAlign w:val="baseline"/>
        </w:rPr>
        <w:t> </w:t>
      </w:r>
      <w:r>
        <w:rPr>
          <w:color w:val="231F20"/>
          <w:vertAlign w:val="baseline"/>
        </w:rPr>
        <w:t>se</w:t>
      </w:r>
      <w:r>
        <w:rPr>
          <w:color w:val="231F20"/>
          <w:spacing w:val="30"/>
          <w:vertAlign w:val="baseline"/>
        </w:rPr>
        <w:t> </w:t>
      </w:r>
      <w:r>
        <w:rPr>
          <w:color w:val="231F20"/>
          <w:vertAlign w:val="baseline"/>
        </w:rPr>
        <w:t>met</w:t>
      </w:r>
      <w:r>
        <w:rPr>
          <w:color w:val="231F20"/>
          <w:spacing w:val="31"/>
          <w:vertAlign w:val="baseline"/>
        </w:rPr>
        <w:t> </w:t>
      </w:r>
      <w:r>
        <w:rPr>
          <w:color w:val="231F20"/>
          <w:vertAlign w:val="baseline"/>
        </w:rPr>
        <w:t>à</w:t>
      </w:r>
      <w:r>
        <w:rPr>
          <w:color w:val="231F20"/>
          <w:spacing w:val="30"/>
          <w:vertAlign w:val="baseline"/>
        </w:rPr>
        <w:t> </w:t>
      </w:r>
      <w:r>
        <w:rPr>
          <w:color w:val="231F20"/>
          <w:vertAlign w:val="baseline"/>
        </w:rPr>
        <w:t>dos</w:t>
      </w:r>
      <w:r>
        <w:rPr>
          <w:color w:val="231F20"/>
          <w:spacing w:val="28"/>
          <w:vertAlign w:val="baseline"/>
        </w:rPr>
        <w:t> </w:t>
      </w:r>
      <w:r>
        <w:rPr>
          <w:color w:val="231F20"/>
          <w:vertAlign w:val="baseline"/>
        </w:rPr>
        <w:t>les</w:t>
      </w:r>
      <w:r>
        <w:rPr>
          <w:color w:val="231F20"/>
          <w:spacing w:val="31"/>
          <w:vertAlign w:val="baseline"/>
        </w:rPr>
        <w:t> </w:t>
      </w:r>
      <w:r>
        <w:rPr>
          <w:color w:val="231F20"/>
          <w:vertAlign w:val="baseline"/>
        </w:rPr>
        <w:t>chefs</w:t>
      </w:r>
      <w:r>
        <w:rPr>
          <w:color w:val="231F20"/>
          <w:spacing w:val="30"/>
          <w:vertAlign w:val="baseline"/>
        </w:rPr>
        <w:t> </w:t>
      </w:r>
      <w:r>
        <w:rPr>
          <w:color w:val="231F20"/>
          <w:vertAlign w:val="baseline"/>
        </w:rPr>
        <w:t>de</w:t>
      </w:r>
      <w:r>
        <w:rPr>
          <w:color w:val="231F20"/>
          <w:spacing w:val="30"/>
          <w:vertAlign w:val="baseline"/>
        </w:rPr>
        <w:t> </w:t>
      </w:r>
      <w:r>
        <w:rPr>
          <w:color w:val="231F20"/>
          <w:vertAlign w:val="baseline"/>
        </w:rPr>
        <w:t>l’Église</w:t>
      </w:r>
      <w:r>
        <w:rPr>
          <w:color w:val="231F20"/>
          <w:spacing w:val="30"/>
          <w:vertAlign w:val="baseline"/>
        </w:rPr>
        <w:t> </w:t>
      </w:r>
      <w:r>
        <w:rPr>
          <w:color w:val="231F20"/>
          <w:vertAlign w:val="baseline"/>
        </w:rPr>
        <w:t>catholique</w:t>
      </w:r>
      <w:r>
        <w:rPr>
          <w:color w:val="231F20"/>
          <w:spacing w:val="30"/>
          <w:vertAlign w:val="baseline"/>
        </w:rPr>
        <w:t> </w:t>
      </w:r>
      <w:r>
        <w:rPr>
          <w:color w:val="231F20"/>
          <w:vertAlign w:val="baseline"/>
        </w:rPr>
        <w:t>en</w:t>
      </w:r>
      <w:r>
        <w:rPr>
          <w:color w:val="231F20"/>
          <w:spacing w:val="30"/>
          <w:vertAlign w:val="baseline"/>
        </w:rPr>
        <w:t> </w:t>
      </w:r>
      <w:r>
        <w:rPr>
          <w:color w:val="231F20"/>
          <w:vertAlign w:val="baseline"/>
        </w:rPr>
        <w:t>exigeant la « camerounisation » du clergé.</w:t>
      </w:r>
    </w:p>
    <w:p>
      <w:pPr>
        <w:pStyle w:val="BodyText"/>
        <w:spacing w:before="121"/>
        <w:ind w:right="103" w:firstLine="283"/>
      </w:pPr>
      <w:r>
        <w:rPr>
          <w:color w:val="231F20"/>
        </w:rPr>
        <w:t>Le 16 février 1958, le Haut-Commissaire de la République, </w:t>
      </w:r>
      <w:r>
        <w:rPr>
          <w:color w:val="231F20"/>
          <w:spacing w:val="-2"/>
        </w:rPr>
        <w:t>Représentant</w:t>
      </w:r>
      <w:r>
        <w:rPr>
          <w:color w:val="231F20"/>
          <w:spacing w:val="-9"/>
        </w:rPr>
        <w:t> </w:t>
      </w:r>
      <w:r>
        <w:rPr>
          <w:color w:val="231F20"/>
          <w:spacing w:val="-2"/>
        </w:rPr>
        <w:t>de</w:t>
      </w:r>
      <w:r>
        <w:rPr>
          <w:color w:val="231F20"/>
          <w:spacing w:val="-10"/>
        </w:rPr>
        <w:t> </w:t>
      </w:r>
      <w:r>
        <w:rPr>
          <w:color w:val="231F20"/>
          <w:spacing w:val="-2"/>
        </w:rPr>
        <w:t>l’État</w:t>
      </w:r>
      <w:r>
        <w:rPr>
          <w:color w:val="231F20"/>
          <w:spacing w:val="-8"/>
        </w:rPr>
        <w:t> </w:t>
      </w:r>
      <w:r>
        <w:rPr>
          <w:color w:val="231F20"/>
          <w:spacing w:val="-2"/>
        </w:rPr>
        <w:t>français,</w:t>
      </w:r>
      <w:r>
        <w:rPr>
          <w:color w:val="231F20"/>
          <w:spacing w:val="-10"/>
        </w:rPr>
        <w:t> </w:t>
      </w:r>
      <w:r>
        <w:rPr>
          <w:color w:val="231F20"/>
          <w:spacing w:val="-2"/>
        </w:rPr>
        <w:t>Jean</w:t>
      </w:r>
      <w:r>
        <w:rPr>
          <w:color w:val="231F20"/>
          <w:spacing w:val="-11"/>
        </w:rPr>
        <w:t> </w:t>
      </w:r>
      <w:r>
        <w:rPr>
          <w:color w:val="231F20"/>
          <w:spacing w:val="-2"/>
        </w:rPr>
        <w:t>Ramadier</w:t>
      </w:r>
      <w:r>
        <w:rPr>
          <w:color w:val="231F20"/>
          <w:spacing w:val="-8"/>
        </w:rPr>
        <w:t> </w:t>
      </w:r>
      <w:r>
        <w:rPr>
          <w:color w:val="231F20"/>
          <w:spacing w:val="-2"/>
        </w:rPr>
        <w:t>réussit</w:t>
      </w:r>
      <w:r>
        <w:rPr>
          <w:color w:val="231F20"/>
          <w:spacing w:val="-8"/>
        </w:rPr>
        <w:t> </w:t>
      </w:r>
      <w:r>
        <w:rPr>
          <w:color w:val="231F20"/>
          <w:spacing w:val="-2"/>
        </w:rPr>
        <w:t>avec</w:t>
      </w:r>
      <w:r>
        <w:rPr>
          <w:color w:val="231F20"/>
          <w:spacing w:val="-11"/>
        </w:rPr>
        <w:t> </w:t>
      </w:r>
      <w:r>
        <w:rPr>
          <w:color w:val="231F20"/>
          <w:spacing w:val="-2"/>
        </w:rPr>
        <w:t>la</w:t>
      </w:r>
      <w:r>
        <w:rPr>
          <w:color w:val="231F20"/>
          <w:spacing w:val="-9"/>
        </w:rPr>
        <w:t> </w:t>
      </w:r>
      <w:r>
        <w:rPr>
          <w:color w:val="231F20"/>
          <w:spacing w:val="-2"/>
        </w:rPr>
        <w:t>complicité </w:t>
      </w:r>
      <w:r>
        <w:rPr>
          <w:color w:val="231F20"/>
        </w:rPr>
        <w:t>de</w:t>
      </w:r>
      <w:r>
        <w:rPr>
          <w:color w:val="231F20"/>
          <w:spacing w:val="-3"/>
        </w:rPr>
        <w:t> </w:t>
      </w:r>
      <w:r>
        <w:rPr>
          <w:color w:val="231F20"/>
        </w:rPr>
        <w:t>Ahmadou</w:t>
      </w:r>
      <w:r>
        <w:rPr>
          <w:color w:val="231F20"/>
          <w:spacing w:val="-3"/>
        </w:rPr>
        <w:t> </w:t>
      </w:r>
      <w:r>
        <w:rPr>
          <w:color w:val="231F20"/>
        </w:rPr>
        <w:t>Ahidjo,</w:t>
      </w:r>
      <w:r>
        <w:rPr>
          <w:color w:val="231F20"/>
          <w:spacing w:val="-5"/>
        </w:rPr>
        <w:t> </w:t>
      </w:r>
      <w:r>
        <w:rPr>
          <w:color w:val="231F20"/>
        </w:rPr>
        <w:t>à</w:t>
      </w:r>
      <w:r>
        <w:rPr>
          <w:color w:val="231F20"/>
          <w:spacing w:val="-3"/>
        </w:rPr>
        <w:t> </w:t>
      </w:r>
      <w:r>
        <w:rPr>
          <w:color w:val="231F20"/>
        </w:rPr>
        <w:t>retourner</w:t>
      </w:r>
      <w:r>
        <w:rPr>
          <w:color w:val="231F20"/>
          <w:spacing w:val="-5"/>
        </w:rPr>
        <w:t> </w:t>
      </w:r>
      <w:r>
        <w:rPr>
          <w:color w:val="231F20"/>
        </w:rPr>
        <w:t>une</w:t>
      </w:r>
      <w:r>
        <w:rPr>
          <w:color w:val="231F20"/>
          <w:spacing w:val="-5"/>
        </w:rPr>
        <w:t> </w:t>
      </w:r>
      <w:r>
        <w:rPr>
          <w:color w:val="231F20"/>
        </w:rPr>
        <w:t>partie</w:t>
      </w:r>
      <w:r>
        <w:rPr>
          <w:color w:val="231F20"/>
          <w:spacing w:val="-5"/>
        </w:rPr>
        <w:t> </w:t>
      </w:r>
      <w:r>
        <w:rPr>
          <w:color w:val="231F20"/>
        </w:rPr>
        <w:t>du</w:t>
      </w:r>
      <w:r>
        <w:rPr>
          <w:color w:val="231F20"/>
          <w:spacing w:val="-5"/>
        </w:rPr>
        <w:t> </w:t>
      </w:r>
      <w:r>
        <w:rPr>
          <w:color w:val="231F20"/>
        </w:rPr>
        <w:t>gouvernement</w:t>
      </w:r>
      <w:r>
        <w:rPr>
          <w:color w:val="231F20"/>
          <w:spacing w:val="-5"/>
        </w:rPr>
        <w:t> </w:t>
      </w:r>
      <w:r>
        <w:rPr>
          <w:color w:val="231F20"/>
        </w:rPr>
        <w:t>d’André- </w:t>
      </w:r>
      <w:r>
        <w:rPr>
          <w:color w:val="231F20"/>
          <w:spacing w:val="-2"/>
        </w:rPr>
        <w:t>Marie</w:t>
      </w:r>
      <w:r>
        <w:rPr>
          <w:color w:val="231F20"/>
          <w:spacing w:val="-7"/>
        </w:rPr>
        <w:t> </w:t>
      </w:r>
      <w:r>
        <w:rPr>
          <w:color w:val="231F20"/>
          <w:spacing w:val="-2"/>
        </w:rPr>
        <w:t>M'Bida</w:t>
      </w:r>
      <w:r>
        <w:rPr>
          <w:color w:val="231F20"/>
          <w:spacing w:val="-6"/>
        </w:rPr>
        <w:t> </w:t>
      </w:r>
      <w:r>
        <w:rPr>
          <w:color w:val="231F20"/>
          <w:spacing w:val="-2"/>
        </w:rPr>
        <w:t>et</w:t>
      </w:r>
      <w:r>
        <w:rPr>
          <w:color w:val="231F20"/>
          <w:spacing w:val="-9"/>
        </w:rPr>
        <w:t> </w:t>
      </w:r>
      <w:r>
        <w:rPr>
          <w:color w:val="231F20"/>
          <w:spacing w:val="-2"/>
        </w:rPr>
        <w:t>des</w:t>
      </w:r>
      <w:r>
        <w:rPr>
          <w:color w:val="231F20"/>
          <w:spacing w:val="-7"/>
        </w:rPr>
        <w:t> </w:t>
      </w:r>
      <w:r>
        <w:rPr>
          <w:color w:val="231F20"/>
          <w:spacing w:val="-2"/>
        </w:rPr>
        <w:t>parlementaires</w:t>
      </w:r>
      <w:r>
        <w:rPr>
          <w:color w:val="231F20"/>
          <w:spacing w:val="-9"/>
        </w:rPr>
        <w:t> </w:t>
      </w:r>
      <w:r>
        <w:rPr>
          <w:color w:val="231F20"/>
          <w:spacing w:val="-2"/>
        </w:rPr>
        <w:t>contre</w:t>
      </w:r>
      <w:r>
        <w:rPr>
          <w:color w:val="231F20"/>
          <w:spacing w:val="-7"/>
        </w:rPr>
        <w:t> </w:t>
      </w:r>
      <w:r>
        <w:rPr>
          <w:color w:val="231F20"/>
          <w:spacing w:val="-2"/>
        </w:rPr>
        <w:t>lui.</w:t>
      </w:r>
      <w:r>
        <w:rPr>
          <w:color w:val="231F20"/>
          <w:spacing w:val="-8"/>
        </w:rPr>
        <w:t> </w:t>
      </w:r>
      <w:r>
        <w:rPr>
          <w:color w:val="231F20"/>
          <w:spacing w:val="-2"/>
        </w:rPr>
        <w:t>En</w:t>
      </w:r>
      <w:r>
        <w:rPr>
          <w:color w:val="231F20"/>
          <w:spacing w:val="-7"/>
        </w:rPr>
        <w:t> </w:t>
      </w:r>
      <w:r>
        <w:rPr>
          <w:color w:val="231F20"/>
          <w:spacing w:val="-2"/>
        </w:rPr>
        <w:t>démissionnant</w:t>
      </w:r>
      <w:r>
        <w:rPr>
          <w:color w:val="231F20"/>
          <w:spacing w:val="-6"/>
        </w:rPr>
        <w:t> </w:t>
      </w:r>
      <w:r>
        <w:rPr>
          <w:color w:val="231F20"/>
          <w:spacing w:val="-2"/>
        </w:rPr>
        <w:t>avec</w:t>
      </w:r>
      <w:r>
        <w:rPr>
          <w:color w:val="231F20"/>
          <w:spacing w:val="-8"/>
        </w:rPr>
        <w:t> </w:t>
      </w:r>
      <w:r>
        <w:rPr>
          <w:color w:val="231F20"/>
          <w:spacing w:val="-2"/>
        </w:rPr>
        <w:t>la </w:t>
      </w:r>
      <w:r>
        <w:rPr>
          <w:color w:val="231F20"/>
        </w:rPr>
        <w:t>totalité des ministres du Nord qui lui sont fidèles, Ahidjo paralyse le fonctionnement du gouvernement. Mbida est obligé d’abandonner le </w:t>
      </w:r>
      <w:r>
        <w:rPr>
          <w:color w:val="231F20"/>
          <w:spacing w:val="-2"/>
        </w:rPr>
        <w:t>pouvoir.</w:t>
      </w:r>
    </w:p>
    <w:p>
      <w:pPr>
        <w:pStyle w:val="BodyText"/>
        <w:spacing w:before="241"/>
        <w:ind w:left="0"/>
        <w:jc w:val="left"/>
      </w:pPr>
    </w:p>
    <w:p>
      <w:pPr>
        <w:pStyle w:val="Heading3"/>
        <w:jc w:val="left"/>
        <w:rPr>
          <w:i/>
        </w:rPr>
      </w:pPr>
      <w:bookmarkStart w:name="_TOC_250033" w:id="10"/>
      <w:r>
        <w:rPr>
          <w:i/>
          <w:color w:val="231F20"/>
          <w:spacing w:val="-2"/>
        </w:rPr>
        <w:t>Ahmadou</w:t>
      </w:r>
      <w:r>
        <w:rPr>
          <w:i/>
          <w:color w:val="231F20"/>
          <w:spacing w:val="-12"/>
        </w:rPr>
        <w:t> </w:t>
      </w:r>
      <w:r>
        <w:rPr>
          <w:i/>
          <w:color w:val="231F20"/>
          <w:spacing w:val="-2"/>
        </w:rPr>
        <w:t>Ahidjo</w:t>
      </w:r>
      <w:r>
        <w:rPr>
          <w:i/>
          <w:color w:val="231F20"/>
          <w:spacing w:val="-10"/>
        </w:rPr>
        <w:t> </w:t>
      </w:r>
      <w:r>
        <w:rPr>
          <w:i/>
          <w:color w:val="231F20"/>
          <w:spacing w:val="-2"/>
        </w:rPr>
        <w:t>le</w:t>
      </w:r>
      <w:r>
        <w:rPr>
          <w:i/>
          <w:color w:val="231F20"/>
          <w:spacing w:val="-11"/>
        </w:rPr>
        <w:t> </w:t>
      </w:r>
      <w:r>
        <w:rPr>
          <w:i/>
          <w:color w:val="231F20"/>
          <w:spacing w:val="-2"/>
        </w:rPr>
        <w:t>remplace</w:t>
      </w:r>
      <w:r>
        <w:rPr>
          <w:i/>
          <w:color w:val="231F20"/>
          <w:spacing w:val="-8"/>
        </w:rPr>
        <w:t> </w:t>
      </w:r>
      <w:r>
        <w:rPr>
          <w:i/>
          <w:color w:val="231F20"/>
          <w:spacing w:val="-2"/>
        </w:rPr>
        <w:t>deux</w:t>
      </w:r>
      <w:r>
        <w:rPr>
          <w:i/>
          <w:color w:val="231F20"/>
          <w:spacing w:val="-11"/>
        </w:rPr>
        <w:t> </w:t>
      </w:r>
      <w:r>
        <w:rPr>
          <w:i/>
          <w:color w:val="231F20"/>
          <w:spacing w:val="-2"/>
        </w:rPr>
        <w:t>jours</w:t>
      </w:r>
      <w:r>
        <w:rPr>
          <w:i/>
          <w:color w:val="231F20"/>
          <w:spacing w:val="-10"/>
        </w:rPr>
        <w:t> </w:t>
      </w:r>
      <w:r>
        <w:rPr>
          <w:i/>
          <w:color w:val="231F20"/>
          <w:spacing w:val="-2"/>
        </w:rPr>
        <w:t>plus</w:t>
      </w:r>
      <w:r>
        <w:rPr>
          <w:i/>
          <w:color w:val="231F20"/>
          <w:spacing w:val="-11"/>
        </w:rPr>
        <w:t> </w:t>
      </w:r>
      <w:bookmarkEnd w:id="10"/>
      <w:r>
        <w:rPr>
          <w:i/>
          <w:color w:val="231F20"/>
          <w:spacing w:val="-2"/>
        </w:rPr>
        <w:t>tard.</w:t>
      </w:r>
    </w:p>
    <w:p>
      <w:pPr>
        <w:pStyle w:val="BodyText"/>
        <w:spacing w:before="256"/>
        <w:ind w:right="104" w:firstLine="283"/>
      </w:pPr>
      <w:r>
        <w:rPr>
          <w:color w:val="231F20"/>
        </w:rPr>
        <w:t>Francophile, autodidacte, sorti de l’école coranique et de l’école primaire,</w:t>
      </w:r>
      <w:r>
        <w:rPr>
          <w:color w:val="231F20"/>
          <w:spacing w:val="-7"/>
        </w:rPr>
        <w:t> </w:t>
      </w:r>
      <w:r>
        <w:rPr>
          <w:color w:val="231F20"/>
        </w:rPr>
        <w:t>ayant</w:t>
      </w:r>
      <w:r>
        <w:rPr>
          <w:color w:val="231F20"/>
          <w:spacing w:val="-7"/>
        </w:rPr>
        <w:t> </w:t>
      </w:r>
      <w:r>
        <w:rPr>
          <w:color w:val="231F20"/>
        </w:rPr>
        <w:t>intégré</w:t>
      </w:r>
      <w:r>
        <w:rPr>
          <w:color w:val="231F20"/>
          <w:spacing w:val="-8"/>
        </w:rPr>
        <w:t> </w:t>
      </w:r>
      <w:r>
        <w:rPr>
          <w:color w:val="231F20"/>
        </w:rPr>
        <w:t>l’Administration</w:t>
      </w:r>
      <w:r>
        <w:rPr>
          <w:color w:val="231F20"/>
          <w:spacing w:val="-7"/>
        </w:rPr>
        <w:t> </w:t>
      </w:r>
      <w:r>
        <w:rPr>
          <w:color w:val="231F20"/>
        </w:rPr>
        <w:t>française</w:t>
      </w:r>
      <w:r>
        <w:rPr>
          <w:color w:val="231F20"/>
          <w:spacing w:val="-9"/>
        </w:rPr>
        <w:t> </w:t>
      </w:r>
      <w:r>
        <w:rPr>
          <w:color w:val="231F20"/>
        </w:rPr>
        <w:t>comme</w:t>
      </w:r>
      <w:r>
        <w:rPr>
          <w:color w:val="231F20"/>
          <w:spacing w:val="-8"/>
        </w:rPr>
        <w:t> </w:t>
      </w:r>
      <w:r>
        <w:rPr>
          <w:color w:val="231F20"/>
        </w:rPr>
        <w:t>télégraphiste </w:t>
      </w:r>
      <w:r>
        <w:rPr>
          <w:color w:val="231F20"/>
          <w:spacing w:val="-6"/>
        </w:rPr>
        <w:t>puis opérateur radio, Ahidjo a le profil recherché par</w:t>
      </w:r>
      <w:r>
        <w:rPr>
          <w:color w:val="231F20"/>
          <w:spacing w:val="-7"/>
        </w:rPr>
        <w:t> </w:t>
      </w:r>
      <w:r>
        <w:rPr>
          <w:color w:val="231F20"/>
          <w:spacing w:val="-6"/>
        </w:rPr>
        <w:t>la France pour diriger </w:t>
      </w:r>
      <w:r>
        <w:rPr>
          <w:color w:val="231F20"/>
          <w:spacing w:val="-4"/>
        </w:rPr>
        <w:t>le</w:t>
      </w:r>
      <w:r>
        <w:rPr>
          <w:color w:val="231F20"/>
          <w:spacing w:val="-11"/>
        </w:rPr>
        <w:t> </w:t>
      </w:r>
      <w:r>
        <w:rPr>
          <w:color w:val="231F20"/>
          <w:spacing w:val="-4"/>
        </w:rPr>
        <w:t>futur</w:t>
      </w:r>
      <w:r>
        <w:rPr>
          <w:color w:val="231F20"/>
          <w:spacing w:val="-11"/>
        </w:rPr>
        <w:t> </w:t>
      </w:r>
      <w:r>
        <w:rPr>
          <w:color w:val="231F20"/>
          <w:spacing w:val="-4"/>
        </w:rPr>
        <w:t>État.</w:t>
      </w:r>
      <w:r>
        <w:rPr>
          <w:color w:val="231F20"/>
          <w:spacing w:val="-11"/>
        </w:rPr>
        <w:t> </w:t>
      </w:r>
      <w:r>
        <w:rPr>
          <w:color w:val="231F20"/>
          <w:spacing w:val="-4"/>
        </w:rPr>
        <w:t>Élu</w:t>
      </w:r>
      <w:r>
        <w:rPr>
          <w:color w:val="231F20"/>
          <w:spacing w:val="-11"/>
        </w:rPr>
        <w:t> </w:t>
      </w:r>
      <w:r>
        <w:rPr>
          <w:color w:val="231F20"/>
          <w:spacing w:val="-4"/>
        </w:rPr>
        <w:t>à</w:t>
      </w:r>
      <w:r>
        <w:rPr>
          <w:color w:val="231F20"/>
          <w:spacing w:val="-11"/>
        </w:rPr>
        <w:t> </w:t>
      </w:r>
      <w:r>
        <w:rPr>
          <w:color w:val="231F20"/>
          <w:spacing w:val="-4"/>
        </w:rPr>
        <w:t>l’Assemblée</w:t>
      </w:r>
      <w:r>
        <w:rPr>
          <w:color w:val="231F20"/>
          <w:spacing w:val="-11"/>
        </w:rPr>
        <w:t> </w:t>
      </w:r>
      <w:r>
        <w:rPr>
          <w:color w:val="231F20"/>
          <w:spacing w:val="-4"/>
        </w:rPr>
        <w:t>Territoriale</w:t>
      </w:r>
      <w:r>
        <w:rPr>
          <w:color w:val="231F20"/>
          <w:spacing w:val="-11"/>
        </w:rPr>
        <w:t> </w:t>
      </w:r>
      <w:r>
        <w:rPr>
          <w:color w:val="231F20"/>
          <w:spacing w:val="-4"/>
        </w:rPr>
        <w:t>du</w:t>
      </w:r>
      <w:r>
        <w:rPr>
          <w:color w:val="231F20"/>
          <w:spacing w:val="-11"/>
        </w:rPr>
        <w:t> </w:t>
      </w:r>
      <w:r>
        <w:rPr>
          <w:color w:val="231F20"/>
          <w:spacing w:val="-4"/>
        </w:rPr>
        <w:t>Cameroun</w:t>
      </w:r>
      <w:r>
        <w:rPr>
          <w:color w:val="231F20"/>
          <w:spacing w:val="-11"/>
        </w:rPr>
        <w:t> </w:t>
      </w:r>
      <w:r>
        <w:rPr>
          <w:color w:val="231F20"/>
          <w:spacing w:val="-4"/>
        </w:rPr>
        <w:t>en</w:t>
      </w:r>
      <w:r>
        <w:rPr>
          <w:color w:val="231F20"/>
          <w:spacing w:val="-11"/>
        </w:rPr>
        <w:t> </w:t>
      </w:r>
      <w:r>
        <w:rPr>
          <w:color w:val="231F20"/>
          <w:spacing w:val="-4"/>
        </w:rPr>
        <w:t>1947,</w:t>
      </w:r>
      <w:r>
        <w:rPr>
          <w:color w:val="231F20"/>
          <w:spacing w:val="-11"/>
        </w:rPr>
        <w:t> </w:t>
      </w:r>
      <w:r>
        <w:rPr>
          <w:color w:val="231F20"/>
          <w:spacing w:val="-4"/>
        </w:rPr>
        <w:t>Ahidjo </w:t>
      </w:r>
      <w:r>
        <w:rPr>
          <w:color w:val="231F20"/>
        </w:rPr>
        <w:t>est Conseiller de l’Assemblée de l’Union Française de 1953 à 1958 et</w:t>
      </w:r>
    </w:p>
    <w:p>
      <w:pPr>
        <w:pStyle w:val="BodyText"/>
        <w:spacing w:before="159"/>
        <w:ind w:left="0"/>
        <w:jc w:val="left"/>
        <w:rPr>
          <w:sz w:val="20"/>
        </w:rPr>
      </w:pPr>
      <w:r>
        <w:rPr/>
        <mc:AlternateContent>
          <mc:Choice Requires="wps">
            <w:drawing>
              <wp:anchor distT="0" distB="0" distL="0" distR="0" allowOverlap="1" layoutInCell="1" locked="0" behindDoc="1" simplePos="0" relativeHeight="487610368">
                <wp:simplePos x="0" y="0"/>
                <wp:positionH relativeFrom="page">
                  <wp:posOffset>629907</wp:posOffset>
                </wp:positionH>
                <wp:positionV relativeFrom="paragraph">
                  <wp:posOffset>262741</wp:posOffset>
                </wp:positionV>
                <wp:extent cx="1829435" cy="9525"/>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688282pt;width:144.020pt;height:.72pt;mso-position-horizontal-relative:page;mso-position-vertical-relative:paragraph;z-index:-15706112;mso-wrap-distance-left:0;mso-wrap-distance-right:0" id="docshape59" filled="true" fillcolor="#231f20" stroked="false">
                <v:fill type="solid"/>
                <w10:wrap type="topAndBottom"/>
              </v:rect>
            </w:pict>
          </mc:Fallback>
        </mc:AlternateContent>
      </w:r>
    </w:p>
    <w:p>
      <w:pPr>
        <w:spacing w:before="91"/>
        <w:ind w:left="111" w:right="106" w:firstLine="0"/>
        <w:jc w:val="both"/>
        <w:rPr>
          <w:sz w:val="20"/>
        </w:rPr>
      </w:pPr>
      <w:r>
        <w:rPr>
          <w:color w:val="76787A"/>
          <w:sz w:val="20"/>
          <w:vertAlign w:val="superscript"/>
        </w:rPr>
        <w:t>67</w:t>
      </w:r>
      <w:r>
        <w:rPr>
          <w:color w:val="1F2021"/>
          <w:sz w:val="20"/>
          <w:vertAlign w:val="baseline"/>
        </w:rPr>
        <w:t>Sources</w:t>
      </w:r>
      <w:r>
        <w:rPr>
          <w:color w:val="1F2021"/>
          <w:spacing w:val="-13"/>
          <w:sz w:val="20"/>
          <w:vertAlign w:val="baseline"/>
        </w:rPr>
        <w:t> </w:t>
      </w:r>
      <w:r>
        <w:rPr>
          <w:color w:val="1F2021"/>
          <w:sz w:val="20"/>
          <w:vertAlign w:val="baseline"/>
        </w:rPr>
        <w:t>:</w:t>
      </w:r>
      <w:r>
        <w:rPr>
          <w:color w:val="1F2021"/>
          <w:spacing w:val="-12"/>
          <w:sz w:val="20"/>
          <w:vertAlign w:val="baseline"/>
        </w:rPr>
        <w:t> </w:t>
      </w:r>
      <w:r>
        <w:rPr>
          <w:color w:val="1F2021"/>
          <w:sz w:val="20"/>
          <w:vertAlign w:val="baseline"/>
        </w:rPr>
        <w:t>wikipédia,</w:t>
      </w:r>
      <w:r>
        <w:rPr>
          <w:color w:val="1F2021"/>
          <w:spacing w:val="-13"/>
          <w:sz w:val="20"/>
          <w:vertAlign w:val="baseline"/>
        </w:rPr>
        <w:t> </w:t>
      </w:r>
      <w:r>
        <w:rPr>
          <w:color w:val="1F2021"/>
          <w:sz w:val="20"/>
          <w:vertAlign w:val="baseline"/>
        </w:rPr>
        <w:t>Hubert</w:t>
      </w:r>
      <w:r>
        <w:rPr>
          <w:color w:val="1F2021"/>
          <w:spacing w:val="-10"/>
          <w:sz w:val="20"/>
          <w:vertAlign w:val="baseline"/>
        </w:rPr>
        <w:t> </w:t>
      </w:r>
      <w:r>
        <w:rPr>
          <w:color w:val="1F2021"/>
          <w:sz w:val="20"/>
          <w:vertAlign w:val="baseline"/>
        </w:rPr>
        <w:t>Mono</w:t>
      </w:r>
      <w:r>
        <w:rPr>
          <w:color w:val="1F2021"/>
          <w:spacing w:val="-4"/>
          <w:sz w:val="20"/>
          <w:vertAlign w:val="baseline"/>
        </w:rPr>
        <w:t> </w:t>
      </w:r>
      <w:r>
        <w:rPr>
          <w:color w:val="1F2021"/>
          <w:sz w:val="20"/>
          <w:vertAlign w:val="baseline"/>
        </w:rPr>
        <w:t>Ndjana,</w:t>
      </w:r>
      <w:r>
        <w:rPr>
          <w:color w:val="1F2021"/>
          <w:spacing w:val="-6"/>
          <w:sz w:val="20"/>
          <w:vertAlign w:val="baseline"/>
        </w:rPr>
        <w:t> </w:t>
      </w:r>
      <w:r>
        <w:rPr>
          <w:color w:val="1F2021"/>
          <w:sz w:val="20"/>
          <w:vertAlign w:val="baseline"/>
        </w:rPr>
        <w:t>«</w:t>
      </w:r>
      <w:r>
        <w:rPr>
          <w:color w:val="1F2021"/>
          <w:spacing w:val="-13"/>
          <w:sz w:val="20"/>
          <w:vertAlign w:val="baseline"/>
        </w:rPr>
        <w:t> </w:t>
      </w:r>
      <w:r>
        <w:rPr>
          <w:color w:val="1F2021"/>
          <w:sz w:val="20"/>
          <w:vertAlign w:val="baseline"/>
        </w:rPr>
        <w:t>André-Marie</w:t>
      </w:r>
      <w:r>
        <w:rPr>
          <w:color w:val="1F2021"/>
          <w:spacing w:val="-5"/>
          <w:sz w:val="20"/>
          <w:vertAlign w:val="baseline"/>
        </w:rPr>
        <w:t> </w:t>
      </w:r>
      <w:r>
        <w:rPr>
          <w:color w:val="1F2021"/>
          <w:sz w:val="20"/>
          <w:vertAlign w:val="baseline"/>
        </w:rPr>
        <w:t>Mbida</w:t>
      </w:r>
      <w:r>
        <w:rPr>
          <w:color w:val="1F2021"/>
          <w:spacing w:val="-13"/>
          <w:sz w:val="20"/>
          <w:vertAlign w:val="baseline"/>
        </w:rPr>
        <w:t> </w:t>
      </w:r>
      <w:r>
        <w:rPr>
          <w:color w:val="1F2021"/>
          <w:sz w:val="20"/>
          <w:vertAlign w:val="baseline"/>
        </w:rPr>
        <w:t>»,</w:t>
      </w:r>
      <w:r>
        <w:rPr>
          <w:color w:val="1F2021"/>
          <w:spacing w:val="-6"/>
          <w:sz w:val="20"/>
          <w:vertAlign w:val="baseline"/>
        </w:rPr>
        <w:t> </w:t>
      </w:r>
      <w:r>
        <w:rPr>
          <w:color w:val="1F2021"/>
          <w:sz w:val="20"/>
          <w:vertAlign w:val="baseline"/>
        </w:rPr>
        <w:t>op.</w:t>
      </w:r>
      <w:r>
        <w:rPr>
          <w:color w:val="1F2021"/>
          <w:spacing w:val="-6"/>
          <w:sz w:val="20"/>
          <w:vertAlign w:val="baseline"/>
        </w:rPr>
        <w:t> </w:t>
      </w:r>
      <w:r>
        <w:rPr>
          <w:color w:val="1F2021"/>
          <w:sz w:val="20"/>
          <w:vertAlign w:val="baseline"/>
        </w:rPr>
        <w:t>cit.,</w:t>
      </w:r>
      <w:r>
        <w:rPr>
          <w:color w:val="1F2021"/>
          <w:spacing w:val="-13"/>
          <w:sz w:val="20"/>
          <w:vertAlign w:val="baseline"/>
        </w:rPr>
        <w:t> </w:t>
      </w:r>
      <w:r>
        <w:rPr>
          <w:color w:val="1F2021"/>
          <w:sz w:val="20"/>
          <w:vertAlign w:val="baseline"/>
        </w:rPr>
        <w:t>p.</w:t>
      </w:r>
      <w:r>
        <w:rPr>
          <w:color w:val="1F2021"/>
          <w:spacing w:val="-12"/>
          <w:sz w:val="20"/>
          <w:vertAlign w:val="baseline"/>
        </w:rPr>
        <w:t> </w:t>
      </w:r>
      <w:r>
        <w:rPr>
          <w:color w:val="1F2021"/>
          <w:sz w:val="20"/>
          <w:vertAlign w:val="baseline"/>
        </w:rPr>
        <w:t>508</w:t>
      </w:r>
      <w:r>
        <w:rPr>
          <w:color w:val="1F2021"/>
          <w:spacing w:val="-6"/>
          <w:sz w:val="20"/>
          <w:vertAlign w:val="baseline"/>
        </w:rPr>
        <w:t> </w:t>
      </w:r>
      <w:r>
        <w:rPr>
          <w:color w:val="1F2021"/>
          <w:sz w:val="20"/>
          <w:vertAlign w:val="baseline"/>
        </w:rPr>
        <w:t>( Comme</w:t>
      </w:r>
      <w:r>
        <w:rPr>
          <w:color w:val="1F2021"/>
          <w:spacing w:val="-13"/>
          <w:sz w:val="20"/>
          <w:vertAlign w:val="baseline"/>
        </w:rPr>
        <w:t> </w:t>
      </w:r>
      <w:r>
        <w:rPr>
          <w:color w:val="1F2021"/>
          <w:sz w:val="20"/>
          <w:vertAlign w:val="baseline"/>
        </w:rPr>
        <w:t>agent</w:t>
      </w:r>
      <w:r>
        <w:rPr>
          <w:color w:val="1F2021"/>
          <w:spacing w:val="-12"/>
          <w:sz w:val="20"/>
          <w:vertAlign w:val="baseline"/>
        </w:rPr>
        <w:t> </w:t>
      </w:r>
      <w:r>
        <w:rPr>
          <w:color w:val="1F2021"/>
          <w:sz w:val="20"/>
          <w:vertAlign w:val="baseline"/>
        </w:rPr>
        <w:t>d'affaires,</w:t>
      </w:r>
      <w:r>
        <w:rPr>
          <w:color w:val="1F2021"/>
          <w:spacing w:val="-13"/>
          <w:sz w:val="20"/>
          <w:vertAlign w:val="baseline"/>
        </w:rPr>
        <w:t> </w:t>
      </w:r>
      <w:r>
        <w:rPr>
          <w:color w:val="1F2021"/>
          <w:sz w:val="20"/>
          <w:vertAlign w:val="baseline"/>
        </w:rPr>
        <w:t>ses</w:t>
      </w:r>
      <w:r>
        <w:rPr>
          <w:color w:val="1F2021"/>
          <w:spacing w:val="-12"/>
          <w:sz w:val="20"/>
          <w:vertAlign w:val="baseline"/>
        </w:rPr>
        <w:t> </w:t>
      </w:r>
      <w:r>
        <w:rPr>
          <w:color w:val="1F2021"/>
          <w:sz w:val="20"/>
          <w:vertAlign w:val="baseline"/>
        </w:rPr>
        <w:t>revenus</w:t>
      </w:r>
      <w:r>
        <w:rPr>
          <w:color w:val="1F2021"/>
          <w:spacing w:val="-13"/>
          <w:sz w:val="20"/>
          <w:vertAlign w:val="baseline"/>
        </w:rPr>
        <w:t> </w:t>
      </w:r>
      <w:r>
        <w:rPr>
          <w:color w:val="1F2021"/>
          <w:sz w:val="20"/>
          <w:vertAlign w:val="baseline"/>
        </w:rPr>
        <w:t>mensuels</w:t>
      </w:r>
      <w:r>
        <w:rPr>
          <w:color w:val="1F2021"/>
          <w:spacing w:val="-12"/>
          <w:sz w:val="20"/>
          <w:vertAlign w:val="baseline"/>
        </w:rPr>
        <w:t> </w:t>
      </w:r>
      <w:r>
        <w:rPr>
          <w:color w:val="1F2021"/>
          <w:sz w:val="20"/>
          <w:vertAlign w:val="baseline"/>
        </w:rPr>
        <w:t>varient</w:t>
      </w:r>
      <w:r>
        <w:rPr>
          <w:color w:val="1F2021"/>
          <w:spacing w:val="-13"/>
          <w:sz w:val="20"/>
          <w:vertAlign w:val="baseline"/>
        </w:rPr>
        <w:t> </w:t>
      </w:r>
      <w:r>
        <w:rPr>
          <w:color w:val="1F2021"/>
          <w:sz w:val="20"/>
          <w:vertAlign w:val="baseline"/>
        </w:rPr>
        <w:t>entre</w:t>
      </w:r>
      <w:r>
        <w:rPr>
          <w:color w:val="1F2021"/>
          <w:spacing w:val="-12"/>
          <w:sz w:val="20"/>
          <w:vertAlign w:val="baseline"/>
        </w:rPr>
        <w:t> </w:t>
      </w:r>
      <w:r>
        <w:rPr>
          <w:color w:val="1F2021"/>
          <w:sz w:val="20"/>
          <w:vertAlign w:val="baseline"/>
        </w:rPr>
        <w:t>500</w:t>
      </w:r>
      <w:r>
        <w:rPr>
          <w:color w:val="1F2021"/>
          <w:spacing w:val="-13"/>
          <w:sz w:val="20"/>
          <w:vertAlign w:val="baseline"/>
        </w:rPr>
        <w:t> </w:t>
      </w:r>
      <w:r>
        <w:rPr>
          <w:color w:val="1F2021"/>
          <w:sz w:val="20"/>
          <w:vertAlign w:val="baseline"/>
        </w:rPr>
        <w:t>000</w:t>
      </w:r>
      <w:r>
        <w:rPr>
          <w:color w:val="1F2021"/>
          <w:spacing w:val="-12"/>
          <w:sz w:val="20"/>
          <w:vertAlign w:val="baseline"/>
        </w:rPr>
        <w:t> </w:t>
      </w:r>
      <w:r>
        <w:rPr>
          <w:color w:val="1F2021"/>
          <w:sz w:val="20"/>
          <w:vertAlign w:val="baseline"/>
        </w:rPr>
        <w:t>Francs</w:t>
      </w:r>
      <w:r>
        <w:rPr>
          <w:color w:val="1F2021"/>
          <w:spacing w:val="-13"/>
          <w:sz w:val="20"/>
          <w:vertAlign w:val="baseline"/>
        </w:rPr>
        <w:t> </w:t>
      </w:r>
      <w:r>
        <w:rPr>
          <w:color w:val="1F2021"/>
          <w:sz w:val="20"/>
          <w:vertAlign w:val="baseline"/>
        </w:rPr>
        <w:t>et</w:t>
      </w:r>
      <w:r>
        <w:rPr>
          <w:color w:val="1F2021"/>
          <w:spacing w:val="-12"/>
          <w:sz w:val="20"/>
          <w:vertAlign w:val="baseline"/>
        </w:rPr>
        <w:t> </w:t>
      </w:r>
      <w:r>
        <w:rPr>
          <w:color w:val="1F2021"/>
          <w:sz w:val="20"/>
          <w:vertAlign w:val="baseline"/>
        </w:rPr>
        <w:t>800</w:t>
      </w:r>
      <w:r>
        <w:rPr>
          <w:color w:val="1F2021"/>
          <w:spacing w:val="-13"/>
          <w:sz w:val="20"/>
          <w:vertAlign w:val="baseline"/>
        </w:rPr>
        <w:t> </w:t>
      </w:r>
      <w:r>
        <w:rPr>
          <w:color w:val="1F2021"/>
          <w:sz w:val="20"/>
          <w:vertAlign w:val="baseline"/>
        </w:rPr>
        <w:t>000 Francs CFA voire un million</w:t>
      </w:r>
      <w:r>
        <w:rPr>
          <w:color w:val="231F20"/>
          <w:sz w:val="20"/>
          <w:vertAlign w:val="baseline"/>
        </w:rPr>
        <w:t>)</w:t>
      </w:r>
    </w:p>
    <w:p>
      <w:pPr>
        <w:spacing w:before="2"/>
        <w:ind w:left="111" w:right="105" w:firstLine="0"/>
        <w:jc w:val="both"/>
        <w:rPr>
          <w:i/>
          <w:sz w:val="20"/>
        </w:rPr>
      </w:pPr>
      <w:r>
        <w:rPr>
          <w:color w:val="76787A"/>
          <w:spacing w:val="-2"/>
          <w:sz w:val="20"/>
          <w:vertAlign w:val="superscript"/>
        </w:rPr>
        <w:t>68</w:t>
      </w:r>
      <w:r>
        <w:rPr>
          <w:color w:val="76787A"/>
          <w:spacing w:val="-11"/>
          <w:sz w:val="20"/>
          <w:vertAlign w:val="baseline"/>
        </w:rPr>
        <w:t> </w:t>
      </w:r>
      <w:r>
        <w:rPr>
          <w:color w:val="231F20"/>
          <w:spacing w:val="-2"/>
          <w:sz w:val="20"/>
          <w:vertAlign w:val="baseline"/>
        </w:rPr>
        <w:t>Extrait</w:t>
      </w:r>
      <w:r>
        <w:rPr>
          <w:color w:val="231F20"/>
          <w:spacing w:val="-10"/>
          <w:sz w:val="20"/>
          <w:vertAlign w:val="baseline"/>
        </w:rPr>
        <w:t> </w:t>
      </w:r>
      <w:r>
        <w:rPr>
          <w:color w:val="231F20"/>
          <w:spacing w:val="-2"/>
          <w:sz w:val="20"/>
          <w:vertAlign w:val="baseline"/>
        </w:rPr>
        <w:t>in</w:t>
      </w:r>
      <w:r>
        <w:rPr>
          <w:color w:val="231F20"/>
          <w:spacing w:val="-4"/>
          <w:sz w:val="20"/>
          <w:vertAlign w:val="baseline"/>
        </w:rPr>
        <w:t> </w:t>
      </w:r>
      <w:r>
        <w:rPr>
          <w:color w:val="231F20"/>
          <w:spacing w:val="-2"/>
          <w:sz w:val="20"/>
          <w:vertAlign w:val="baseline"/>
        </w:rPr>
        <w:t>wikipédia</w:t>
      </w:r>
      <w:r>
        <w:rPr>
          <w:color w:val="231F20"/>
          <w:spacing w:val="-10"/>
          <w:sz w:val="20"/>
          <w:vertAlign w:val="baseline"/>
        </w:rPr>
        <w:t> </w:t>
      </w:r>
      <w:r>
        <w:rPr>
          <w:color w:val="231F20"/>
          <w:spacing w:val="-2"/>
          <w:sz w:val="20"/>
          <w:vertAlign w:val="baseline"/>
        </w:rPr>
        <w:t>«</w:t>
      </w:r>
      <w:r>
        <w:rPr>
          <w:color w:val="231F20"/>
          <w:spacing w:val="-8"/>
          <w:sz w:val="20"/>
          <w:vertAlign w:val="baseline"/>
        </w:rPr>
        <w:t> </w:t>
      </w:r>
      <w:r>
        <w:rPr>
          <w:i/>
          <w:color w:val="231F20"/>
          <w:spacing w:val="-2"/>
          <w:sz w:val="20"/>
          <w:vertAlign w:val="baseline"/>
        </w:rPr>
        <w:t>À</w:t>
      </w:r>
      <w:r>
        <w:rPr>
          <w:i/>
          <w:color w:val="231F20"/>
          <w:spacing w:val="-4"/>
          <w:sz w:val="20"/>
          <w:vertAlign w:val="baseline"/>
        </w:rPr>
        <w:t> </w:t>
      </w:r>
      <w:r>
        <w:rPr>
          <w:i/>
          <w:color w:val="231F20"/>
          <w:spacing w:val="-2"/>
          <w:sz w:val="20"/>
          <w:vertAlign w:val="baseline"/>
        </w:rPr>
        <w:t>la</w:t>
      </w:r>
      <w:r>
        <w:rPr>
          <w:i/>
          <w:color w:val="231F20"/>
          <w:spacing w:val="-3"/>
          <w:sz w:val="20"/>
          <w:vertAlign w:val="baseline"/>
        </w:rPr>
        <w:t> </w:t>
      </w:r>
      <w:r>
        <w:rPr>
          <w:i/>
          <w:color w:val="231F20"/>
          <w:spacing w:val="-2"/>
          <w:sz w:val="20"/>
          <w:vertAlign w:val="baseline"/>
        </w:rPr>
        <w:t>suite de</w:t>
      </w:r>
      <w:r>
        <w:rPr>
          <w:i/>
          <w:color w:val="231F20"/>
          <w:spacing w:val="-4"/>
          <w:sz w:val="20"/>
          <w:vertAlign w:val="baseline"/>
        </w:rPr>
        <w:t> </w:t>
      </w:r>
      <w:r>
        <w:rPr>
          <w:i/>
          <w:color w:val="231F20"/>
          <w:spacing w:val="-2"/>
          <w:sz w:val="20"/>
          <w:vertAlign w:val="baseline"/>
        </w:rPr>
        <w:t>la</w:t>
      </w:r>
      <w:r>
        <w:rPr>
          <w:i/>
          <w:color w:val="231F20"/>
          <w:spacing w:val="-3"/>
          <w:sz w:val="20"/>
          <w:vertAlign w:val="baseline"/>
        </w:rPr>
        <w:t> </w:t>
      </w:r>
      <w:r>
        <w:rPr>
          <w:i/>
          <w:color w:val="231F20"/>
          <w:spacing w:val="-2"/>
          <w:sz w:val="20"/>
          <w:vertAlign w:val="baseline"/>
        </w:rPr>
        <w:t>conférence</w:t>
      </w:r>
      <w:r>
        <w:rPr>
          <w:i/>
          <w:color w:val="231F20"/>
          <w:spacing w:val="-4"/>
          <w:sz w:val="20"/>
          <w:vertAlign w:val="baseline"/>
        </w:rPr>
        <w:t> </w:t>
      </w:r>
      <w:r>
        <w:rPr>
          <w:i/>
          <w:color w:val="231F20"/>
          <w:spacing w:val="-2"/>
          <w:sz w:val="20"/>
          <w:vertAlign w:val="baseline"/>
        </w:rPr>
        <w:t>de</w:t>
      </w:r>
      <w:r>
        <w:rPr>
          <w:i/>
          <w:color w:val="231F20"/>
          <w:spacing w:val="-3"/>
          <w:sz w:val="20"/>
          <w:vertAlign w:val="baseline"/>
        </w:rPr>
        <w:t> </w:t>
      </w:r>
      <w:r>
        <w:rPr>
          <w:i/>
          <w:color w:val="231F20"/>
          <w:spacing w:val="-2"/>
          <w:sz w:val="20"/>
          <w:vertAlign w:val="baseline"/>
        </w:rPr>
        <w:t>Brazzaville, ces</w:t>
      </w:r>
      <w:r>
        <w:rPr>
          <w:i/>
          <w:color w:val="231F20"/>
          <w:spacing w:val="-3"/>
          <w:sz w:val="20"/>
          <w:vertAlign w:val="baseline"/>
        </w:rPr>
        <w:t> </w:t>
      </w:r>
      <w:r>
        <w:rPr>
          <w:i/>
          <w:color w:val="231F20"/>
          <w:spacing w:val="-2"/>
          <w:sz w:val="20"/>
          <w:vertAlign w:val="baseline"/>
        </w:rPr>
        <w:t>derniers</w:t>
      </w:r>
      <w:r>
        <w:rPr>
          <w:i/>
          <w:color w:val="231F20"/>
          <w:spacing w:val="-5"/>
          <w:sz w:val="20"/>
          <w:vertAlign w:val="baseline"/>
        </w:rPr>
        <w:t> </w:t>
      </w:r>
      <w:r>
        <w:rPr>
          <w:i/>
          <w:color w:val="231F20"/>
          <w:spacing w:val="-2"/>
          <w:sz w:val="20"/>
          <w:vertAlign w:val="baseline"/>
        </w:rPr>
        <w:t>avaient</w:t>
      </w:r>
      <w:r>
        <w:rPr>
          <w:i/>
          <w:color w:val="231F20"/>
          <w:spacing w:val="-2"/>
          <w:sz w:val="20"/>
          <w:vertAlign w:val="baseline"/>
        </w:rPr>
        <w:t> </w:t>
      </w:r>
      <w:r>
        <w:rPr>
          <w:i/>
          <w:color w:val="231F20"/>
          <w:sz w:val="20"/>
          <w:vertAlign w:val="baseline"/>
        </w:rPr>
        <w:t>créé,</w:t>
      </w:r>
      <w:r>
        <w:rPr>
          <w:i/>
          <w:color w:val="231F20"/>
          <w:spacing w:val="-13"/>
          <w:sz w:val="20"/>
          <w:vertAlign w:val="baseline"/>
        </w:rPr>
        <w:t> </w:t>
      </w:r>
      <w:r>
        <w:rPr>
          <w:i/>
          <w:color w:val="231F20"/>
          <w:sz w:val="20"/>
          <w:vertAlign w:val="baseline"/>
        </w:rPr>
        <w:t>le</w:t>
      </w:r>
      <w:r>
        <w:rPr>
          <w:i/>
          <w:color w:val="231F20"/>
          <w:spacing w:val="-12"/>
          <w:sz w:val="20"/>
          <w:vertAlign w:val="baseline"/>
        </w:rPr>
        <w:t> </w:t>
      </w:r>
      <w:r>
        <w:rPr>
          <w:i/>
          <w:color w:val="231F20"/>
          <w:sz w:val="20"/>
          <w:vertAlign w:val="baseline"/>
        </w:rPr>
        <w:t>15</w:t>
      </w:r>
      <w:r>
        <w:rPr>
          <w:i/>
          <w:color w:val="231F20"/>
          <w:spacing w:val="-13"/>
          <w:sz w:val="20"/>
          <w:vertAlign w:val="baseline"/>
        </w:rPr>
        <w:t> </w:t>
      </w:r>
      <w:r>
        <w:rPr>
          <w:i/>
          <w:color w:val="231F20"/>
          <w:sz w:val="20"/>
          <w:vertAlign w:val="baseline"/>
        </w:rPr>
        <w:t>avril</w:t>
      </w:r>
      <w:r>
        <w:rPr>
          <w:i/>
          <w:color w:val="231F20"/>
          <w:spacing w:val="-12"/>
          <w:sz w:val="20"/>
          <w:vertAlign w:val="baseline"/>
        </w:rPr>
        <w:t> </w:t>
      </w:r>
      <w:r>
        <w:rPr>
          <w:i/>
          <w:color w:val="231F20"/>
          <w:sz w:val="20"/>
          <w:vertAlign w:val="baseline"/>
        </w:rPr>
        <w:t>1945,</w:t>
      </w:r>
      <w:r>
        <w:rPr>
          <w:i/>
          <w:color w:val="231F20"/>
          <w:spacing w:val="-13"/>
          <w:sz w:val="20"/>
          <w:vertAlign w:val="baseline"/>
        </w:rPr>
        <w:t> </w:t>
      </w:r>
      <w:r>
        <w:rPr>
          <w:i/>
          <w:color w:val="231F20"/>
          <w:sz w:val="20"/>
          <w:vertAlign w:val="baseline"/>
        </w:rPr>
        <w:t>l'Association</w:t>
      </w:r>
      <w:r>
        <w:rPr>
          <w:i/>
          <w:color w:val="231F20"/>
          <w:spacing w:val="-12"/>
          <w:sz w:val="20"/>
          <w:vertAlign w:val="baseline"/>
        </w:rPr>
        <w:t> </w:t>
      </w:r>
      <w:r>
        <w:rPr>
          <w:i/>
          <w:color w:val="231F20"/>
          <w:sz w:val="20"/>
          <w:vertAlign w:val="baseline"/>
        </w:rPr>
        <w:t>des</w:t>
      </w:r>
      <w:r>
        <w:rPr>
          <w:i/>
          <w:color w:val="231F20"/>
          <w:spacing w:val="-13"/>
          <w:sz w:val="20"/>
          <w:vertAlign w:val="baseline"/>
        </w:rPr>
        <w:t> </w:t>
      </w:r>
      <w:r>
        <w:rPr>
          <w:i/>
          <w:color w:val="231F20"/>
          <w:sz w:val="20"/>
          <w:vertAlign w:val="baseline"/>
        </w:rPr>
        <w:t>Colons</w:t>
      </w:r>
      <w:r>
        <w:rPr>
          <w:i/>
          <w:color w:val="231F20"/>
          <w:spacing w:val="-12"/>
          <w:sz w:val="20"/>
          <w:vertAlign w:val="baseline"/>
        </w:rPr>
        <w:t> </w:t>
      </w:r>
      <w:r>
        <w:rPr>
          <w:i/>
          <w:color w:val="231F20"/>
          <w:sz w:val="20"/>
          <w:vertAlign w:val="baseline"/>
        </w:rPr>
        <w:t>du</w:t>
      </w:r>
      <w:r>
        <w:rPr>
          <w:i/>
          <w:color w:val="231F20"/>
          <w:spacing w:val="-13"/>
          <w:sz w:val="20"/>
          <w:vertAlign w:val="baseline"/>
        </w:rPr>
        <w:t> </w:t>
      </w:r>
      <w:r>
        <w:rPr>
          <w:i/>
          <w:color w:val="231F20"/>
          <w:sz w:val="20"/>
          <w:vertAlign w:val="baseline"/>
        </w:rPr>
        <w:t>Cameroun</w:t>
      </w:r>
      <w:r>
        <w:rPr>
          <w:i/>
          <w:color w:val="231F20"/>
          <w:spacing w:val="-12"/>
          <w:sz w:val="20"/>
          <w:vertAlign w:val="baseline"/>
        </w:rPr>
        <w:t> </w:t>
      </w:r>
      <w:r>
        <w:rPr>
          <w:i/>
          <w:color w:val="231F20"/>
          <w:sz w:val="20"/>
          <w:vertAlign w:val="baseline"/>
        </w:rPr>
        <w:t>(ASCOCAM)</w:t>
      </w:r>
      <w:r>
        <w:rPr>
          <w:i/>
          <w:color w:val="231F20"/>
          <w:spacing w:val="-13"/>
          <w:sz w:val="20"/>
          <w:vertAlign w:val="baseline"/>
        </w:rPr>
        <w:t> </w:t>
      </w:r>
      <w:r>
        <w:rPr>
          <w:i/>
          <w:color w:val="231F20"/>
          <w:sz w:val="20"/>
          <w:vertAlign w:val="baseline"/>
        </w:rPr>
        <w:t>dans</w:t>
      </w:r>
      <w:r>
        <w:rPr>
          <w:i/>
          <w:color w:val="231F20"/>
          <w:spacing w:val="-12"/>
          <w:sz w:val="20"/>
          <w:vertAlign w:val="baseline"/>
        </w:rPr>
        <w:t> </w:t>
      </w:r>
      <w:r>
        <w:rPr>
          <w:i/>
          <w:color w:val="231F20"/>
          <w:sz w:val="20"/>
          <w:vertAlign w:val="baseline"/>
        </w:rPr>
        <w:t>le</w:t>
      </w:r>
      <w:r>
        <w:rPr>
          <w:i/>
          <w:color w:val="231F20"/>
          <w:spacing w:val="-13"/>
          <w:sz w:val="20"/>
          <w:vertAlign w:val="baseline"/>
        </w:rPr>
        <w:t> </w:t>
      </w:r>
      <w:r>
        <w:rPr>
          <w:i/>
          <w:color w:val="231F20"/>
          <w:sz w:val="20"/>
          <w:vertAlign w:val="baseline"/>
        </w:rPr>
        <w:t>but </w:t>
      </w:r>
      <w:r>
        <w:rPr>
          <w:i/>
          <w:color w:val="231F20"/>
          <w:spacing w:val="-2"/>
          <w:sz w:val="20"/>
          <w:vertAlign w:val="baseline"/>
        </w:rPr>
        <w:t>de</w:t>
      </w:r>
      <w:r>
        <w:rPr>
          <w:i/>
          <w:color w:val="231F20"/>
          <w:spacing w:val="-5"/>
          <w:sz w:val="20"/>
          <w:vertAlign w:val="baseline"/>
        </w:rPr>
        <w:t> </w:t>
      </w:r>
      <w:r>
        <w:rPr>
          <w:i/>
          <w:color w:val="231F20"/>
          <w:spacing w:val="-2"/>
          <w:sz w:val="20"/>
          <w:vertAlign w:val="baseline"/>
        </w:rPr>
        <w:t>défendre</w:t>
      </w:r>
      <w:r>
        <w:rPr>
          <w:i/>
          <w:color w:val="231F20"/>
          <w:spacing w:val="-3"/>
          <w:sz w:val="20"/>
          <w:vertAlign w:val="baseline"/>
        </w:rPr>
        <w:t> </w:t>
      </w:r>
      <w:r>
        <w:rPr>
          <w:i/>
          <w:color w:val="231F20"/>
          <w:spacing w:val="-2"/>
          <w:sz w:val="20"/>
          <w:vertAlign w:val="baseline"/>
        </w:rPr>
        <w:t>leurs</w:t>
      </w:r>
      <w:r>
        <w:rPr>
          <w:i/>
          <w:color w:val="231F20"/>
          <w:spacing w:val="-5"/>
          <w:sz w:val="20"/>
          <w:vertAlign w:val="baseline"/>
        </w:rPr>
        <w:t> </w:t>
      </w:r>
      <w:r>
        <w:rPr>
          <w:i/>
          <w:color w:val="231F20"/>
          <w:spacing w:val="-2"/>
          <w:sz w:val="20"/>
          <w:vertAlign w:val="baseline"/>
        </w:rPr>
        <w:t>intérêts</w:t>
      </w:r>
      <w:r>
        <w:rPr>
          <w:i/>
          <w:color w:val="231F20"/>
          <w:spacing w:val="-6"/>
          <w:sz w:val="20"/>
          <w:vertAlign w:val="baseline"/>
        </w:rPr>
        <w:t> </w:t>
      </w:r>
      <w:r>
        <w:rPr>
          <w:i/>
          <w:color w:val="231F20"/>
          <w:spacing w:val="-2"/>
          <w:sz w:val="20"/>
          <w:vertAlign w:val="baseline"/>
        </w:rPr>
        <w:t>et</w:t>
      </w:r>
      <w:r>
        <w:rPr>
          <w:i/>
          <w:color w:val="231F20"/>
          <w:spacing w:val="-6"/>
          <w:sz w:val="20"/>
          <w:vertAlign w:val="baseline"/>
        </w:rPr>
        <w:t> </w:t>
      </w:r>
      <w:r>
        <w:rPr>
          <w:i/>
          <w:color w:val="231F20"/>
          <w:spacing w:val="-2"/>
          <w:sz w:val="20"/>
          <w:vertAlign w:val="baseline"/>
        </w:rPr>
        <w:t>d'empêcher</w:t>
      </w:r>
      <w:r>
        <w:rPr>
          <w:i/>
          <w:color w:val="231F20"/>
          <w:spacing w:val="-5"/>
          <w:sz w:val="20"/>
          <w:vertAlign w:val="baseline"/>
        </w:rPr>
        <w:t> </w:t>
      </w:r>
      <w:r>
        <w:rPr>
          <w:i/>
          <w:color w:val="231F20"/>
          <w:spacing w:val="-2"/>
          <w:sz w:val="20"/>
          <w:vertAlign w:val="baseline"/>
        </w:rPr>
        <w:t>le</w:t>
      </w:r>
      <w:r>
        <w:rPr>
          <w:i/>
          <w:color w:val="231F20"/>
          <w:spacing w:val="-6"/>
          <w:sz w:val="20"/>
          <w:vertAlign w:val="baseline"/>
        </w:rPr>
        <w:t> </w:t>
      </w:r>
      <w:r>
        <w:rPr>
          <w:i/>
          <w:color w:val="231F20"/>
          <w:spacing w:val="-2"/>
          <w:sz w:val="20"/>
          <w:vertAlign w:val="baseline"/>
        </w:rPr>
        <w:t>progrès</w:t>
      </w:r>
      <w:r>
        <w:rPr>
          <w:i/>
          <w:color w:val="231F20"/>
          <w:spacing w:val="-5"/>
          <w:sz w:val="20"/>
          <w:vertAlign w:val="baseline"/>
        </w:rPr>
        <w:t> </w:t>
      </w:r>
      <w:r>
        <w:rPr>
          <w:i/>
          <w:color w:val="231F20"/>
          <w:spacing w:val="-2"/>
          <w:sz w:val="20"/>
          <w:vertAlign w:val="baseline"/>
        </w:rPr>
        <w:t>social</w:t>
      </w:r>
      <w:r>
        <w:rPr>
          <w:i/>
          <w:color w:val="231F20"/>
          <w:spacing w:val="-6"/>
          <w:sz w:val="20"/>
          <w:vertAlign w:val="baseline"/>
        </w:rPr>
        <w:t> </w:t>
      </w:r>
      <w:r>
        <w:rPr>
          <w:i/>
          <w:color w:val="231F20"/>
          <w:spacing w:val="-2"/>
          <w:sz w:val="20"/>
          <w:vertAlign w:val="baseline"/>
        </w:rPr>
        <w:t>revendiqué</w:t>
      </w:r>
      <w:r>
        <w:rPr>
          <w:i/>
          <w:color w:val="231F20"/>
          <w:spacing w:val="-5"/>
          <w:sz w:val="20"/>
          <w:vertAlign w:val="baseline"/>
        </w:rPr>
        <w:t> </w:t>
      </w:r>
      <w:r>
        <w:rPr>
          <w:i/>
          <w:color w:val="231F20"/>
          <w:spacing w:val="-2"/>
          <w:sz w:val="20"/>
          <w:vertAlign w:val="baseline"/>
        </w:rPr>
        <w:t>par</w:t>
      </w:r>
      <w:r>
        <w:rPr>
          <w:i/>
          <w:color w:val="231F20"/>
          <w:spacing w:val="-6"/>
          <w:sz w:val="20"/>
          <w:vertAlign w:val="baseline"/>
        </w:rPr>
        <w:t> </w:t>
      </w:r>
      <w:r>
        <w:rPr>
          <w:i/>
          <w:color w:val="231F20"/>
          <w:spacing w:val="-2"/>
          <w:sz w:val="20"/>
          <w:vertAlign w:val="baseline"/>
        </w:rPr>
        <w:t>les</w:t>
      </w:r>
      <w:r>
        <w:rPr>
          <w:i/>
          <w:color w:val="231F20"/>
          <w:spacing w:val="-5"/>
          <w:sz w:val="20"/>
          <w:vertAlign w:val="baseline"/>
        </w:rPr>
        <w:t> </w:t>
      </w:r>
      <w:r>
        <w:rPr>
          <w:i/>
          <w:color w:val="231F20"/>
          <w:spacing w:val="-2"/>
          <w:sz w:val="20"/>
          <w:vertAlign w:val="baseline"/>
        </w:rPr>
        <w:t>syndicats. Des</w:t>
      </w:r>
      <w:r>
        <w:rPr>
          <w:i/>
          <w:color w:val="231F20"/>
          <w:spacing w:val="-11"/>
          <w:sz w:val="20"/>
          <w:vertAlign w:val="baseline"/>
        </w:rPr>
        <w:t> </w:t>
      </w:r>
      <w:r>
        <w:rPr>
          <w:i/>
          <w:color w:val="231F20"/>
          <w:spacing w:val="-2"/>
          <w:sz w:val="20"/>
          <w:vertAlign w:val="baseline"/>
        </w:rPr>
        <w:t>affrontements</w:t>
      </w:r>
      <w:r>
        <w:rPr>
          <w:i/>
          <w:color w:val="231F20"/>
          <w:spacing w:val="-10"/>
          <w:sz w:val="20"/>
          <w:vertAlign w:val="baseline"/>
        </w:rPr>
        <w:t> </w:t>
      </w:r>
      <w:r>
        <w:rPr>
          <w:i/>
          <w:color w:val="231F20"/>
          <w:spacing w:val="-2"/>
          <w:sz w:val="20"/>
          <w:vertAlign w:val="baseline"/>
        </w:rPr>
        <w:t>violents</w:t>
      </w:r>
      <w:r>
        <w:rPr>
          <w:i/>
          <w:color w:val="231F20"/>
          <w:spacing w:val="-11"/>
          <w:sz w:val="20"/>
          <w:vertAlign w:val="baseline"/>
        </w:rPr>
        <w:t> </w:t>
      </w:r>
      <w:r>
        <w:rPr>
          <w:i/>
          <w:color w:val="231F20"/>
          <w:spacing w:val="-2"/>
          <w:sz w:val="20"/>
          <w:vertAlign w:val="baseline"/>
        </w:rPr>
        <w:t>eurent</w:t>
      </w:r>
      <w:r>
        <w:rPr>
          <w:i/>
          <w:color w:val="231F20"/>
          <w:spacing w:val="-10"/>
          <w:sz w:val="20"/>
          <w:vertAlign w:val="baseline"/>
        </w:rPr>
        <w:t> </w:t>
      </w:r>
      <w:r>
        <w:rPr>
          <w:i/>
          <w:color w:val="231F20"/>
          <w:spacing w:val="-2"/>
          <w:sz w:val="20"/>
          <w:vertAlign w:val="baseline"/>
        </w:rPr>
        <w:t>lieu</w:t>
      </w:r>
      <w:r>
        <w:rPr>
          <w:i/>
          <w:color w:val="231F20"/>
          <w:spacing w:val="-11"/>
          <w:sz w:val="20"/>
          <w:vertAlign w:val="baseline"/>
        </w:rPr>
        <w:t> </w:t>
      </w:r>
      <w:r>
        <w:rPr>
          <w:i/>
          <w:color w:val="231F20"/>
          <w:spacing w:val="-2"/>
          <w:sz w:val="20"/>
          <w:vertAlign w:val="baseline"/>
        </w:rPr>
        <w:t>entre</w:t>
      </w:r>
      <w:r>
        <w:rPr>
          <w:i/>
          <w:color w:val="231F20"/>
          <w:spacing w:val="-10"/>
          <w:sz w:val="20"/>
          <w:vertAlign w:val="baseline"/>
        </w:rPr>
        <w:t> </w:t>
      </w:r>
      <w:r>
        <w:rPr>
          <w:i/>
          <w:color w:val="231F20"/>
          <w:spacing w:val="-2"/>
          <w:sz w:val="20"/>
          <w:vertAlign w:val="baseline"/>
        </w:rPr>
        <w:t>les</w:t>
      </w:r>
      <w:r>
        <w:rPr>
          <w:i/>
          <w:color w:val="231F20"/>
          <w:spacing w:val="-11"/>
          <w:sz w:val="20"/>
          <w:vertAlign w:val="baseline"/>
        </w:rPr>
        <w:t> </w:t>
      </w:r>
      <w:r>
        <w:rPr>
          <w:i/>
          <w:color w:val="231F20"/>
          <w:spacing w:val="-2"/>
          <w:sz w:val="20"/>
          <w:vertAlign w:val="baseline"/>
        </w:rPr>
        <w:t>membres</w:t>
      </w:r>
      <w:r>
        <w:rPr>
          <w:i/>
          <w:color w:val="231F20"/>
          <w:spacing w:val="-10"/>
          <w:sz w:val="20"/>
          <w:vertAlign w:val="baseline"/>
        </w:rPr>
        <w:t> </w:t>
      </w:r>
      <w:r>
        <w:rPr>
          <w:i/>
          <w:color w:val="231F20"/>
          <w:spacing w:val="-2"/>
          <w:sz w:val="20"/>
          <w:vertAlign w:val="baseline"/>
        </w:rPr>
        <w:t>les</w:t>
      </w:r>
      <w:r>
        <w:rPr>
          <w:i/>
          <w:color w:val="231F20"/>
          <w:spacing w:val="-11"/>
          <w:sz w:val="20"/>
          <w:vertAlign w:val="baseline"/>
        </w:rPr>
        <w:t> </w:t>
      </w:r>
      <w:r>
        <w:rPr>
          <w:i/>
          <w:color w:val="231F20"/>
          <w:spacing w:val="-2"/>
          <w:sz w:val="20"/>
          <w:vertAlign w:val="baseline"/>
        </w:rPr>
        <w:t>plus</w:t>
      </w:r>
      <w:r>
        <w:rPr>
          <w:i/>
          <w:color w:val="231F20"/>
          <w:spacing w:val="-10"/>
          <w:sz w:val="20"/>
          <w:vertAlign w:val="baseline"/>
        </w:rPr>
        <w:t> </w:t>
      </w:r>
      <w:r>
        <w:rPr>
          <w:i/>
          <w:color w:val="231F20"/>
          <w:spacing w:val="-2"/>
          <w:sz w:val="20"/>
          <w:vertAlign w:val="baseline"/>
        </w:rPr>
        <w:t>radicaux</w:t>
      </w:r>
      <w:r>
        <w:rPr>
          <w:i/>
          <w:color w:val="231F20"/>
          <w:spacing w:val="-11"/>
          <w:sz w:val="20"/>
          <w:vertAlign w:val="baseline"/>
        </w:rPr>
        <w:t> </w:t>
      </w:r>
      <w:r>
        <w:rPr>
          <w:i/>
          <w:color w:val="231F20"/>
          <w:spacing w:val="-2"/>
          <w:sz w:val="20"/>
          <w:vertAlign w:val="baseline"/>
        </w:rPr>
        <w:t>du</w:t>
      </w:r>
      <w:r>
        <w:rPr>
          <w:i/>
          <w:color w:val="231F20"/>
          <w:spacing w:val="-10"/>
          <w:sz w:val="20"/>
          <w:vertAlign w:val="baseline"/>
        </w:rPr>
        <w:t> </w:t>
      </w:r>
      <w:r>
        <w:rPr>
          <w:i/>
          <w:color w:val="231F20"/>
          <w:spacing w:val="-2"/>
          <w:sz w:val="20"/>
          <w:vertAlign w:val="baseline"/>
        </w:rPr>
        <w:t>colonat</w:t>
      </w:r>
      <w:r>
        <w:rPr>
          <w:i/>
          <w:color w:val="231F20"/>
          <w:spacing w:val="-10"/>
          <w:sz w:val="20"/>
          <w:vertAlign w:val="baseline"/>
        </w:rPr>
        <w:t> </w:t>
      </w:r>
      <w:r>
        <w:rPr>
          <w:i/>
          <w:color w:val="231F20"/>
          <w:spacing w:val="-2"/>
          <w:sz w:val="20"/>
          <w:vertAlign w:val="baseline"/>
        </w:rPr>
        <w:t>et </w:t>
      </w:r>
      <w:r>
        <w:rPr>
          <w:i/>
          <w:color w:val="231F20"/>
          <w:sz w:val="20"/>
          <w:vertAlign w:val="baseline"/>
        </w:rPr>
        <w:t>les</w:t>
      </w:r>
      <w:r>
        <w:rPr>
          <w:i/>
          <w:color w:val="231F20"/>
          <w:spacing w:val="-13"/>
          <w:sz w:val="20"/>
          <w:vertAlign w:val="baseline"/>
        </w:rPr>
        <w:t> </w:t>
      </w:r>
      <w:r>
        <w:rPr>
          <w:i/>
          <w:color w:val="231F20"/>
          <w:sz w:val="20"/>
          <w:vertAlign w:val="baseline"/>
        </w:rPr>
        <w:t>«</w:t>
      </w:r>
      <w:r>
        <w:rPr>
          <w:i/>
          <w:color w:val="231F20"/>
          <w:spacing w:val="-12"/>
          <w:sz w:val="20"/>
          <w:vertAlign w:val="baseline"/>
        </w:rPr>
        <w:t> </w:t>
      </w:r>
      <w:r>
        <w:rPr>
          <w:i/>
          <w:color w:val="231F20"/>
          <w:sz w:val="20"/>
          <w:vertAlign w:val="baseline"/>
        </w:rPr>
        <w:t>indigènes</w:t>
      </w:r>
      <w:r>
        <w:rPr>
          <w:i/>
          <w:color w:val="231F20"/>
          <w:spacing w:val="-13"/>
          <w:sz w:val="20"/>
          <w:vertAlign w:val="baseline"/>
        </w:rPr>
        <w:t> </w:t>
      </w:r>
      <w:r>
        <w:rPr>
          <w:i/>
          <w:color w:val="231F20"/>
          <w:sz w:val="20"/>
          <w:vertAlign w:val="baseline"/>
        </w:rPr>
        <w:t>»</w:t>
      </w:r>
      <w:r>
        <w:rPr>
          <w:i/>
          <w:color w:val="231F20"/>
          <w:spacing w:val="-7"/>
          <w:sz w:val="20"/>
          <w:vertAlign w:val="baseline"/>
        </w:rPr>
        <w:t> </w:t>
      </w:r>
      <w:r>
        <w:rPr>
          <w:i/>
          <w:color w:val="231F20"/>
          <w:sz w:val="20"/>
          <w:vertAlign w:val="baseline"/>
        </w:rPr>
        <w:t>en</w:t>
      </w:r>
      <w:r>
        <w:rPr>
          <w:i/>
          <w:color w:val="231F20"/>
          <w:spacing w:val="-4"/>
          <w:sz w:val="20"/>
          <w:vertAlign w:val="baseline"/>
        </w:rPr>
        <w:t> </w:t>
      </w:r>
      <w:r>
        <w:rPr>
          <w:i/>
          <w:color w:val="231F20"/>
          <w:sz w:val="20"/>
          <w:vertAlign w:val="baseline"/>
        </w:rPr>
        <w:t>septembre</w:t>
      </w:r>
      <w:r>
        <w:rPr>
          <w:i/>
          <w:color w:val="231F20"/>
          <w:spacing w:val="-7"/>
          <w:sz w:val="20"/>
          <w:vertAlign w:val="baseline"/>
        </w:rPr>
        <w:t> </w:t>
      </w:r>
      <w:r>
        <w:rPr>
          <w:i/>
          <w:color w:val="231F20"/>
          <w:sz w:val="20"/>
          <w:vertAlign w:val="baseline"/>
        </w:rPr>
        <w:t>1945.</w:t>
      </w:r>
      <w:r>
        <w:rPr>
          <w:i/>
          <w:color w:val="231F20"/>
          <w:spacing w:val="-7"/>
          <w:sz w:val="20"/>
          <w:vertAlign w:val="baseline"/>
        </w:rPr>
        <w:t> </w:t>
      </w:r>
      <w:r>
        <w:rPr>
          <w:i/>
          <w:color w:val="231F20"/>
          <w:sz w:val="20"/>
          <w:vertAlign w:val="baseline"/>
        </w:rPr>
        <w:t>Selon</w:t>
      </w:r>
      <w:r>
        <w:rPr>
          <w:i/>
          <w:color w:val="231F20"/>
          <w:spacing w:val="-5"/>
          <w:sz w:val="20"/>
          <w:vertAlign w:val="baseline"/>
        </w:rPr>
        <w:t> </w:t>
      </w:r>
      <w:r>
        <w:rPr>
          <w:i/>
          <w:color w:val="231F20"/>
          <w:sz w:val="20"/>
          <w:vertAlign w:val="baseline"/>
        </w:rPr>
        <w:t>des</w:t>
      </w:r>
      <w:r>
        <w:rPr>
          <w:i/>
          <w:color w:val="231F20"/>
          <w:spacing w:val="-7"/>
          <w:sz w:val="20"/>
          <w:vertAlign w:val="baseline"/>
        </w:rPr>
        <w:t> </w:t>
      </w:r>
      <w:r>
        <w:rPr>
          <w:i/>
          <w:color w:val="231F20"/>
          <w:sz w:val="20"/>
          <w:vertAlign w:val="baseline"/>
        </w:rPr>
        <w:t>archives</w:t>
      </w:r>
      <w:r>
        <w:rPr>
          <w:i/>
          <w:color w:val="231F20"/>
          <w:spacing w:val="-7"/>
          <w:sz w:val="20"/>
          <w:vertAlign w:val="baseline"/>
        </w:rPr>
        <w:t> </w:t>
      </w:r>
      <w:r>
        <w:rPr>
          <w:i/>
          <w:color w:val="231F20"/>
          <w:sz w:val="20"/>
          <w:vertAlign w:val="baseline"/>
        </w:rPr>
        <w:t>retrouvées</w:t>
      </w:r>
      <w:r>
        <w:rPr>
          <w:i/>
          <w:color w:val="231F20"/>
          <w:spacing w:val="-8"/>
          <w:sz w:val="20"/>
          <w:vertAlign w:val="baseline"/>
        </w:rPr>
        <w:t> </w:t>
      </w:r>
      <w:r>
        <w:rPr>
          <w:i/>
          <w:color w:val="231F20"/>
          <w:sz w:val="20"/>
          <w:vertAlign w:val="baseline"/>
        </w:rPr>
        <w:t>par</w:t>
      </w:r>
      <w:r>
        <w:rPr>
          <w:i/>
          <w:color w:val="231F20"/>
          <w:spacing w:val="-8"/>
          <w:sz w:val="20"/>
          <w:vertAlign w:val="baseline"/>
        </w:rPr>
        <w:t> </w:t>
      </w:r>
      <w:r>
        <w:rPr>
          <w:i/>
          <w:color w:val="231F20"/>
          <w:sz w:val="20"/>
          <w:vertAlign w:val="baseline"/>
        </w:rPr>
        <w:t>les</w:t>
      </w:r>
      <w:r>
        <w:rPr>
          <w:i/>
          <w:color w:val="231F20"/>
          <w:spacing w:val="-8"/>
          <w:sz w:val="20"/>
          <w:vertAlign w:val="baseline"/>
        </w:rPr>
        <w:t> </w:t>
      </w:r>
      <w:r>
        <w:rPr>
          <w:i/>
          <w:color w:val="231F20"/>
          <w:sz w:val="20"/>
          <w:vertAlign w:val="baseline"/>
        </w:rPr>
        <w:t>auteurs</w:t>
      </w:r>
      <w:r>
        <w:rPr>
          <w:i/>
          <w:color w:val="231F20"/>
          <w:spacing w:val="-8"/>
          <w:sz w:val="20"/>
          <w:vertAlign w:val="baseline"/>
        </w:rPr>
        <w:t> </w:t>
      </w:r>
      <w:r>
        <w:rPr>
          <w:i/>
          <w:color w:val="231F20"/>
          <w:sz w:val="20"/>
          <w:vertAlign w:val="baseline"/>
        </w:rPr>
        <w:t>du </w:t>
      </w:r>
      <w:r>
        <w:rPr>
          <w:i/>
          <w:color w:val="231F20"/>
          <w:spacing w:val="-4"/>
          <w:sz w:val="20"/>
          <w:vertAlign w:val="baseline"/>
        </w:rPr>
        <w:t>livre</w:t>
      </w:r>
      <w:r>
        <w:rPr>
          <w:i/>
          <w:color w:val="231F20"/>
          <w:spacing w:val="-5"/>
          <w:sz w:val="20"/>
          <w:vertAlign w:val="baseline"/>
        </w:rPr>
        <w:t> </w:t>
      </w:r>
      <w:r>
        <w:rPr>
          <w:i/>
          <w:color w:val="231F20"/>
          <w:spacing w:val="-4"/>
          <w:sz w:val="20"/>
          <w:vertAlign w:val="baseline"/>
        </w:rPr>
        <w:t>Kamerun,</w:t>
      </w:r>
      <w:r>
        <w:rPr>
          <w:i/>
          <w:color w:val="231F20"/>
          <w:spacing w:val="-8"/>
          <w:sz w:val="20"/>
          <w:vertAlign w:val="baseline"/>
        </w:rPr>
        <w:t> </w:t>
      </w:r>
      <w:r>
        <w:rPr>
          <w:i/>
          <w:color w:val="231F20"/>
          <w:spacing w:val="-4"/>
          <w:sz w:val="20"/>
          <w:vertAlign w:val="baseline"/>
        </w:rPr>
        <w:t>"de nombreux</w:t>
      </w:r>
      <w:r>
        <w:rPr>
          <w:i/>
          <w:color w:val="231F20"/>
          <w:spacing w:val="-7"/>
          <w:sz w:val="20"/>
          <w:vertAlign w:val="baseline"/>
        </w:rPr>
        <w:t> </w:t>
      </w:r>
      <w:r>
        <w:rPr>
          <w:i/>
          <w:color w:val="231F20"/>
          <w:spacing w:val="-4"/>
          <w:sz w:val="20"/>
          <w:vertAlign w:val="baseline"/>
        </w:rPr>
        <w:t>Africains</w:t>
      </w:r>
      <w:r>
        <w:rPr>
          <w:i/>
          <w:color w:val="231F20"/>
          <w:spacing w:val="-7"/>
          <w:sz w:val="20"/>
          <w:vertAlign w:val="baseline"/>
        </w:rPr>
        <w:t> </w:t>
      </w:r>
      <w:r>
        <w:rPr>
          <w:i/>
          <w:color w:val="231F20"/>
          <w:spacing w:val="-4"/>
          <w:sz w:val="20"/>
          <w:vertAlign w:val="baseline"/>
        </w:rPr>
        <w:t>sont</w:t>
      </w:r>
      <w:r>
        <w:rPr>
          <w:i/>
          <w:color w:val="231F20"/>
          <w:spacing w:val="-9"/>
          <w:sz w:val="20"/>
          <w:vertAlign w:val="baseline"/>
        </w:rPr>
        <w:t> </w:t>
      </w:r>
      <w:r>
        <w:rPr>
          <w:i/>
          <w:color w:val="231F20"/>
          <w:spacing w:val="-4"/>
          <w:sz w:val="20"/>
          <w:vertAlign w:val="baseline"/>
        </w:rPr>
        <w:t>à cette</w:t>
      </w:r>
      <w:r>
        <w:rPr>
          <w:i/>
          <w:color w:val="231F20"/>
          <w:spacing w:val="-5"/>
          <w:sz w:val="20"/>
          <w:vertAlign w:val="baseline"/>
        </w:rPr>
        <w:t> </w:t>
      </w:r>
      <w:r>
        <w:rPr>
          <w:i/>
          <w:color w:val="231F20"/>
          <w:spacing w:val="-4"/>
          <w:sz w:val="20"/>
          <w:vertAlign w:val="baseline"/>
        </w:rPr>
        <w:t>occasion,</w:t>
      </w:r>
      <w:r>
        <w:rPr>
          <w:i/>
          <w:color w:val="231F20"/>
          <w:spacing w:val="-8"/>
          <w:sz w:val="20"/>
          <w:vertAlign w:val="baseline"/>
        </w:rPr>
        <w:t> </w:t>
      </w:r>
      <w:r>
        <w:rPr>
          <w:i/>
          <w:color w:val="231F20"/>
          <w:spacing w:val="-4"/>
          <w:sz w:val="20"/>
          <w:vertAlign w:val="baseline"/>
        </w:rPr>
        <w:t>abattus</w:t>
      </w:r>
      <w:r>
        <w:rPr>
          <w:i/>
          <w:color w:val="231F20"/>
          <w:spacing w:val="-7"/>
          <w:sz w:val="20"/>
          <w:vertAlign w:val="baseline"/>
        </w:rPr>
        <w:t> </w:t>
      </w:r>
      <w:r>
        <w:rPr>
          <w:i/>
          <w:color w:val="231F20"/>
          <w:spacing w:val="-4"/>
          <w:sz w:val="20"/>
          <w:vertAlign w:val="baseline"/>
        </w:rPr>
        <w:t>dans</w:t>
      </w:r>
      <w:r>
        <w:rPr>
          <w:i/>
          <w:color w:val="231F20"/>
          <w:spacing w:val="-7"/>
          <w:sz w:val="20"/>
          <w:vertAlign w:val="baseline"/>
        </w:rPr>
        <w:t> </w:t>
      </w:r>
      <w:r>
        <w:rPr>
          <w:i/>
          <w:color w:val="231F20"/>
          <w:spacing w:val="-4"/>
          <w:sz w:val="20"/>
          <w:vertAlign w:val="baseline"/>
        </w:rPr>
        <w:t>le</w:t>
      </w:r>
      <w:r>
        <w:rPr>
          <w:i/>
          <w:color w:val="231F20"/>
          <w:spacing w:val="-5"/>
          <w:sz w:val="20"/>
          <w:vertAlign w:val="baseline"/>
        </w:rPr>
        <w:t> </w:t>
      </w:r>
      <w:r>
        <w:rPr>
          <w:i/>
          <w:color w:val="231F20"/>
          <w:spacing w:val="-4"/>
          <w:sz w:val="20"/>
          <w:vertAlign w:val="baseline"/>
        </w:rPr>
        <w:t>dos, le</w:t>
      </w:r>
      <w:r>
        <w:rPr>
          <w:i/>
          <w:color w:val="231F20"/>
          <w:spacing w:val="-8"/>
          <w:sz w:val="20"/>
          <w:vertAlign w:val="baseline"/>
        </w:rPr>
        <w:t> </w:t>
      </w:r>
      <w:r>
        <w:rPr>
          <w:i/>
          <w:color w:val="231F20"/>
          <w:spacing w:val="-4"/>
          <w:sz w:val="20"/>
          <w:vertAlign w:val="baseline"/>
        </w:rPr>
        <w:t>plus </w:t>
      </w:r>
      <w:r>
        <w:rPr>
          <w:i/>
          <w:color w:val="231F20"/>
          <w:sz w:val="20"/>
          <w:vertAlign w:val="baseline"/>
        </w:rPr>
        <w:t>souvent avec des fusils de chasse ". »</w:t>
      </w:r>
    </w:p>
    <w:p>
      <w:pPr>
        <w:spacing w:after="0"/>
        <w:jc w:val="both"/>
        <w:rPr>
          <w:sz w:val="20"/>
        </w:rPr>
        <w:sectPr>
          <w:pgSz w:w="8790" w:h="13610"/>
          <w:pgMar w:header="0" w:footer="802" w:top="1060" w:bottom="1000" w:left="880" w:right="880"/>
        </w:sectPr>
      </w:pPr>
    </w:p>
    <w:p>
      <w:pPr>
        <w:pStyle w:val="BodyText"/>
        <w:spacing w:before="66"/>
        <w:ind w:right="101"/>
      </w:pPr>
      <w:r>
        <w:rPr>
          <w:color w:val="231F20"/>
        </w:rPr>
        <w:t>Président</w:t>
      </w:r>
      <w:r>
        <w:rPr>
          <w:color w:val="231F20"/>
          <w:spacing w:val="-4"/>
        </w:rPr>
        <w:t> </w:t>
      </w:r>
      <w:r>
        <w:rPr>
          <w:color w:val="231F20"/>
        </w:rPr>
        <w:t>de</w:t>
      </w:r>
      <w:r>
        <w:rPr>
          <w:color w:val="231F20"/>
          <w:spacing w:val="-4"/>
        </w:rPr>
        <w:t> </w:t>
      </w:r>
      <w:r>
        <w:rPr>
          <w:color w:val="231F20"/>
        </w:rPr>
        <w:t>celle-ci</w:t>
      </w:r>
      <w:r>
        <w:rPr>
          <w:color w:val="231F20"/>
          <w:spacing w:val="-4"/>
        </w:rPr>
        <w:t> </w:t>
      </w:r>
      <w:r>
        <w:rPr>
          <w:color w:val="231F20"/>
        </w:rPr>
        <w:t>en</w:t>
      </w:r>
      <w:r>
        <w:rPr>
          <w:color w:val="231F20"/>
          <w:spacing w:val="-4"/>
        </w:rPr>
        <w:t> </w:t>
      </w:r>
      <w:r>
        <w:rPr>
          <w:color w:val="231F20"/>
        </w:rPr>
        <w:t>1957.</w:t>
      </w:r>
      <w:r>
        <w:rPr>
          <w:color w:val="231F20"/>
          <w:spacing w:val="-4"/>
        </w:rPr>
        <w:t> </w:t>
      </w:r>
      <w:r>
        <w:rPr>
          <w:color w:val="231F20"/>
        </w:rPr>
        <w:t>Après</w:t>
      </w:r>
      <w:r>
        <w:rPr>
          <w:color w:val="231F20"/>
          <w:spacing w:val="-6"/>
        </w:rPr>
        <w:t> </w:t>
      </w:r>
      <w:r>
        <w:rPr>
          <w:color w:val="231F20"/>
        </w:rPr>
        <w:t>l’octroi</w:t>
      </w:r>
      <w:r>
        <w:rPr>
          <w:color w:val="231F20"/>
          <w:spacing w:val="-4"/>
        </w:rPr>
        <w:t> </w:t>
      </w:r>
      <w:r>
        <w:rPr>
          <w:color w:val="231F20"/>
        </w:rPr>
        <w:t>de</w:t>
      </w:r>
      <w:r>
        <w:rPr>
          <w:color w:val="231F20"/>
          <w:spacing w:val="-6"/>
        </w:rPr>
        <w:t> </w:t>
      </w:r>
      <w:r>
        <w:rPr>
          <w:color w:val="231F20"/>
        </w:rPr>
        <w:t>l’Autonomie</w:t>
      </w:r>
      <w:r>
        <w:rPr>
          <w:color w:val="231F20"/>
          <w:spacing w:val="-6"/>
        </w:rPr>
        <w:t> </w:t>
      </w:r>
      <w:r>
        <w:rPr>
          <w:color w:val="231F20"/>
        </w:rPr>
        <w:t>interne</w:t>
      </w:r>
      <w:r>
        <w:rPr>
          <w:color w:val="231F20"/>
          <w:spacing w:val="-4"/>
        </w:rPr>
        <w:t> </w:t>
      </w:r>
      <w:r>
        <w:rPr>
          <w:color w:val="231F20"/>
        </w:rPr>
        <w:t>au Cameroun, il est Vice-Premier ministre chargé de l’intérieur. En mai </w:t>
      </w:r>
      <w:r>
        <w:rPr>
          <w:color w:val="231F20"/>
          <w:spacing w:val="-2"/>
        </w:rPr>
        <w:t>1957,</w:t>
      </w:r>
      <w:r>
        <w:rPr>
          <w:color w:val="231F20"/>
          <w:spacing w:val="-13"/>
        </w:rPr>
        <w:t> </w:t>
      </w:r>
      <w:r>
        <w:rPr>
          <w:color w:val="231F20"/>
          <w:spacing w:val="-2"/>
        </w:rPr>
        <w:t>il</w:t>
      </w:r>
      <w:r>
        <w:rPr>
          <w:color w:val="231F20"/>
          <w:spacing w:val="-11"/>
        </w:rPr>
        <w:t> </w:t>
      </w:r>
      <w:r>
        <w:rPr>
          <w:color w:val="231F20"/>
          <w:spacing w:val="-2"/>
        </w:rPr>
        <w:t>est</w:t>
      </w:r>
      <w:r>
        <w:rPr>
          <w:color w:val="231F20"/>
          <w:spacing w:val="-11"/>
        </w:rPr>
        <w:t> </w:t>
      </w:r>
      <w:r>
        <w:rPr>
          <w:color w:val="231F20"/>
          <w:spacing w:val="-2"/>
        </w:rPr>
        <w:t>nommé</w:t>
      </w:r>
      <w:r>
        <w:rPr>
          <w:color w:val="231F20"/>
          <w:spacing w:val="-11"/>
        </w:rPr>
        <w:t> </w:t>
      </w:r>
      <w:r>
        <w:rPr>
          <w:color w:val="231F20"/>
          <w:spacing w:val="-2"/>
        </w:rPr>
        <w:t>Ministre</w:t>
      </w:r>
      <w:r>
        <w:rPr>
          <w:color w:val="231F20"/>
          <w:spacing w:val="-11"/>
        </w:rPr>
        <w:t> </w:t>
      </w:r>
      <w:r>
        <w:rPr>
          <w:color w:val="231F20"/>
          <w:spacing w:val="-2"/>
        </w:rPr>
        <w:t>de</w:t>
      </w:r>
      <w:r>
        <w:rPr>
          <w:color w:val="231F20"/>
          <w:spacing w:val="-11"/>
        </w:rPr>
        <w:t> </w:t>
      </w:r>
      <w:r>
        <w:rPr>
          <w:color w:val="231F20"/>
          <w:spacing w:val="-2"/>
        </w:rPr>
        <w:t>l’intérieur</w:t>
      </w:r>
      <w:r>
        <w:rPr>
          <w:color w:val="231F20"/>
          <w:spacing w:val="-12"/>
        </w:rPr>
        <w:t> </w:t>
      </w:r>
      <w:r>
        <w:rPr>
          <w:color w:val="231F20"/>
          <w:spacing w:val="-2"/>
        </w:rPr>
        <w:t>dans</w:t>
      </w:r>
      <w:r>
        <w:rPr>
          <w:color w:val="231F20"/>
          <w:spacing w:val="-12"/>
        </w:rPr>
        <w:t> </w:t>
      </w:r>
      <w:r>
        <w:rPr>
          <w:color w:val="231F20"/>
          <w:spacing w:val="-2"/>
        </w:rPr>
        <w:t>le</w:t>
      </w:r>
      <w:r>
        <w:rPr>
          <w:color w:val="231F20"/>
          <w:spacing w:val="-13"/>
        </w:rPr>
        <w:t> </w:t>
      </w:r>
      <w:r>
        <w:rPr>
          <w:color w:val="231F20"/>
          <w:spacing w:val="-2"/>
        </w:rPr>
        <w:t>gouvernement</w:t>
      </w:r>
      <w:r>
        <w:rPr>
          <w:color w:val="231F20"/>
          <w:spacing w:val="-13"/>
        </w:rPr>
        <w:t> </w:t>
      </w:r>
      <w:r>
        <w:rPr>
          <w:color w:val="231F20"/>
          <w:spacing w:val="-2"/>
        </w:rPr>
        <w:t>M’bida. Devenu</w:t>
      </w:r>
      <w:r>
        <w:rPr>
          <w:color w:val="231F20"/>
          <w:spacing w:val="-12"/>
        </w:rPr>
        <w:t> </w:t>
      </w:r>
      <w:r>
        <w:rPr>
          <w:color w:val="231F20"/>
          <w:spacing w:val="-2"/>
        </w:rPr>
        <w:t>l’homme</w:t>
      </w:r>
      <w:r>
        <w:rPr>
          <w:color w:val="231F20"/>
          <w:spacing w:val="-12"/>
        </w:rPr>
        <w:t> </w:t>
      </w:r>
      <w:r>
        <w:rPr>
          <w:color w:val="231F20"/>
          <w:spacing w:val="-2"/>
        </w:rPr>
        <w:t>fort</w:t>
      </w:r>
      <w:r>
        <w:rPr>
          <w:color w:val="231F20"/>
          <w:spacing w:val="-11"/>
        </w:rPr>
        <w:t> </w:t>
      </w:r>
      <w:r>
        <w:rPr>
          <w:color w:val="231F20"/>
          <w:spacing w:val="-2"/>
        </w:rPr>
        <w:t>du</w:t>
      </w:r>
      <w:r>
        <w:rPr>
          <w:color w:val="231F20"/>
          <w:spacing w:val="-13"/>
        </w:rPr>
        <w:t> </w:t>
      </w:r>
      <w:r>
        <w:rPr>
          <w:color w:val="231F20"/>
          <w:spacing w:val="-2"/>
        </w:rPr>
        <w:t>Cameroun</w:t>
      </w:r>
      <w:r>
        <w:rPr>
          <w:color w:val="231F20"/>
          <w:spacing w:val="-12"/>
        </w:rPr>
        <w:t> </w:t>
      </w:r>
      <w:r>
        <w:rPr>
          <w:color w:val="231F20"/>
          <w:spacing w:val="-2"/>
        </w:rPr>
        <w:t>après</w:t>
      </w:r>
      <w:r>
        <w:rPr>
          <w:color w:val="231F20"/>
          <w:spacing w:val="-11"/>
        </w:rPr>
        <w:t> </w:t>
      </w:r>
      <w:r>
        <w:rPr>
          <w:color w:val="231F20"/>
          <w:spacing w:val="-2"/>
        </w:rPr>
        <w:t>avoir</w:t>
      </w:r>
      <w:r>
        <w:rPr>
          <w:color w:val="231F20"/>
          <w:spacing w:val="-10"/>
        </w:rPr>
        <w:t> </w:t>
      </w:r>
      <w:r>
        <w:rPr>
          <w:color w:val="231F20"/>
          <w:spacing w:val="-2"/>
        </w:rPr>
        <w:t>fait</w:t>
      </w:r>
      <w:r>
        <w:rPr>
          <w:color w:val="231F20"/>
          <w:spacing w:val="-11"/>
        </w:rPr>
        <w:t> </w:t>
      </w:r>
      <w:r>
        <w:rPr>
          <w:color w:val="231F20"/>
          <w:spacing w:val="-2"/>
        </w:rPr>
        <w:t>tomber</w:t>
      </w:r>
      <w:r>
        <w:rPr>
          <w:color w:val="231F20"/>
          <w:spacing w:val="-12"/>
        </w:rPr>
        <w:t> </w:t>
      </w:r>
      <w:r>
        <w:rPr>
          <w:color w:val="231F20"/>
          <w:spacing w:val="-2"/>
        </w:rPr>
        <w:t>André-Marie </w:t>
      </w:r>
      <w:r>
        <w:rPr>
          <w:color w:val="231F20"/>
        </w:rPr>
        <w:t>M'Bida, Ahidjo s’appuie sur son Parti, l’Union Camerounaise, et les troupes françaises, pour lutter contre la rébellion de l’Union des Populations</w:t>
      </w:r>
      <w:r>
        <w:rPr>
          <w:color w:val="231F20"/>
          <w:spacing w:val="-15"/>
        </w:rPr>
        <w:t> </w:t>
      </w:r>
      <w:r>
        <w:rPr>
          <w:color w:val="231F20"/>
        </w:rPr>
        <w:t>Camerounaises</w:t>
      </w:r>
      <w:r>
        <w:rPr>
          <w:color w:val="231F20"/>
          <w:spacing w:val="-14"/>
        </w:rPr>
        <w:t> </w:t>
      </w:r>
      <w:r>
        <w:rPr>
          <w:color w:val="231F20"/>
        </w:rPr>
        <w:t>(U.P.C.)</w:t>
      </w:r>
      <w:r>
        <w:rPr>
          <w:color w:val="231F20"/>
          <w:spacing w:val="-14"/>
        </w:rPr>
        <w:t> </w:t>
      </w:r>
      <w:r>
        <w:rPr>
          <w:color w:val="231F20"/>
        </w:rPr>
        <w:t>en</w:t>
      </w:r>
      <w:r>
        <w:rPr>
          <w:color w:val="231F20"/>
          <w:spacing w:val="-15"/>
        </w:rPr>
        <w:t> </w:t>
      </w:r>
      <w:r>
        <w:rPr>
          <w:color w:val="231F20"/>
        </w:rPr>
        <w:t>pays</w:t>
      </w:r>
      <w:r>
        <w:rPr>
          <w:color w:val="231F20"/>
          <w:spacing w:val="-15"/>
        </w:rPr>
        <w:t> </w:t>
      </w:r>
      <w:r>
        <w:rPr>
          <w:color w:val="231F20"/>
        </w:rPr>
        <w:t>Bassa</w:t>
      </w:r>
      <w:r>
        <w:rPr>
          <w:color w:val="231F20"/>
          <w:spacing w:val="-15"/>
        </w:rPr>
        <w:t> </w:t>
      </w:r>
      <w:r>
        <w:rPr>
          <w:color w:val="231F20"/>
        </w:rPr>
        <w:t>et</w:t>
      </w:r>
      <w:r>
        <w:rPr>
          <w:color w:val="231F20"/>
          <w:spacing w:val="-15"/>
        </w:rPr>
        <w:t> </w:t>
      </w:r>
      <w:r>
        <w:rPr>
          <w:color w:val="231F20"/>
        </w:rPr>
        <w:t>Bamiléké.</w:t>
      </w:r>
      <w:r>
        <w:rPr>
          <w:color w:val="231F20"/>
          <w:spacing w:val="-13"/>
        </w:rPr>
        <w:t> </w:t>
      </w:r>
      <w:r>
        <w:rPr>
          <w:color w:val="231F20"/>
        </w:rPr>
        <w:t>Ruben </w:t>
      </w:r>
      <w:r>
        <w:rPr>
          <w:color w:val="231F20"/>
          <w:spacing w:val="-2"/>
        </w:rPr>
        <w:t>Um</w:t>
      </w:r>
      <w:r>
        <w:rPr>
          <w:color w:val="231F20"/>
          <w:spacing w:val="-15"/>
        </w:rPr>
        <w:t> </w:t>
      </w:r>
      <w:r>
        <w:rPr>
          <w:color w:val="231F20"/>
          <w:spacing w:val="-2"/>
        </w:rPr>
        <w:t>Nyobe</w:t>
      </w:r>
      <w:r>
        <w:rPr>
          <w:color w:val="231F20"/>
          <w:spacing w:val="-13"/>
        </w:rPr>
        <w:t> </w:t>
      </w:r>
      <w:r>
        <w:rPr>
          <w:color w:val="231F20"/>
          <w:spacing w:val="-2"/>
        </w:rPr>
        <w:t>le</w:t>
      </w:r>
      <w:r>
        <w:rPr>
          <w:color w:val="231F20"/>
          <w:spacing w:val="-13"/>
        </w:rPr>
        <w:t> </w:t>
      </w:r>
      <w:r>
        <w:rPr>
          <w:color w:val="231F20"/>
          <w:spacing w:val="-2"/>
        </w:rPr>
        <w:t>chef</w:t>
      </w:r>
      <w:r>
        <w:rPr>
          <w:color w:val="231F20"/>
          <w:spacing w:val="-13"/>
        </w:rPr>
        <w:t> </w:t>
      </w:r>
      <w:r>
        <w:rPr>
          <w:color w:val="231F20"/>
          <w:spacing w:val="-2"/>
        </w:rPr>
        <w:t>de</w:t>
      </w:r>
      <w:r>
        <w:rPr>
          <w:color w:val="231F20"/>
          <w:spacing w:val="-13"/>
        </w:rPr>
        <w:t> </w:t>
      </w:r>
      <w:r>
        <w:rPr>
          <w:color w:val="231F20"/>
          <w:spacing w:val="-2"/>
        </w:rPr>
        <w:t>l'UPC</w:t>
      </w:r>
      <w:r>
        <w:rPr>
          <w:color w:val="231F20"/>
          <w:spacing w:val="-13"/>
        </w:rPr>
        <w:t> </w:t>
      </w:r>
      <w:r>
        <w:rPr>
          <w:color w:val="231F20"/>
          <w:spacing w:val="-2"/>
        </w:rPr>
        <w:t>est</w:t>
      </w:r>
      <w:r>
        <w:rPr>
          <w:color w:val="231F20"/>
          <w:spacing w:val="-13"/>
        </w:rPr>
        <w:t> </w:t>
      </w:r>
      <w:r>
        <w:rPr>
          <w:color w:val="231F20"/>
          <w:spacing w:val="-2"/>
        </w:rPr>
        <w:t>tué</w:t>
      </w:r>
      <w:r>
        <w:rPr>
          <w:color w:val="231F20"/>
          <w:spacing w:val="-13"/>
        </w:rPr>
        <w:t> </w:t>
      </w:r>
      <w:r>
        <w:rPr>
          <w:color w:val="231F20"/>
          <w:spacing w:val="-2"/>
        </w:rPr>
        <w:t>par</w:t>
      </w:r>
      <w:r>
        <w:rPr>
          <w:color w:val="231F20"/>
          <w:spacing w:val="-13"/>
        </w:rPr>
        <w:t> </w:t>
      </w:r>
      <w:r>
        <w:rPr>
          <w:color w:val="231F20"/>
          <w:spacing w:val="-2"/>
        </w:rPr>
        <w:t>l'Armée</w:t>
      </w:r>
      <w:r>
        <w:rPr>
          <w:color w:val="231F20"/>
          <w:spacing w:val="-13"/>
        </w:rPr>
        <w:t> </w:t>
      </w:r>
      <w:r>
        <w:rPr>
          <w:color w:val="231F20"/>
          <w:spacing w:val="-2"/>
        </w:rPr>
        <w:t>française</w:t>
      </w:r>
      <w:r>
        <w:rPr>
          <w:color w:val="231F20"/>
          <w:spacing w:val="-13"/>
        </w:rPr>
        <w:t> </w:t>
      </w:r>
      <w:r>
        <w:rPr>
          <w:color w:val="231F20"/>
          <w:spacing w:val="-2"/>
        </w:rPr>
        <w:t>le</w:t>
      </w:r>
      <w:r>
        <w:rPr>
          <w:color w:val="231F20"/>
          <w:spacing w:val="-13"/>
        </w:rPr>
        <w:t> </w:t>
      </w:r>
      <w:r>
        <w:rPr>
          <w:color w:val="231F20"/>
          <w:spacing w:val="-2"/>
        </w:rPr>
        <w:t>13</w:t>
      </w:r>
      <w:r>
        <w:rPr>
          <w:color w:val="231F20"/>
          <w:spacing w:val="-13"/>
        </w:rPr>
        <w:t> </w:t>
      </w:r>
      <w:r>
        <w:rPr>
          <w:color w:val="231F20"/>
          <w:spacing w:val="-2"/>
        </w:rPr>
        <w:t>septembre 1958.</w:t>
      </w:r>
    </w:p>
    <w:p>
      <w:pPr>
        <w:pStyle w:val="BodyText"/>
        <w:spacing w:before="121"/>
        <w:ind w:right="105" w:firstLine="283"/>
      </w:pPr>
      <w:r>
        <w:rPr>
          <w:color w:val="231F20"/>
        </w:rPr>
        <w:t>Le</w:t>
      </w:r>
      <w:r>
        <w:rPr>
          <w:color w:val="231F20"/>
          <w:spacing w:val="-10"/>
        </w:rPr>
        <w:t> </w:t>
      </w:r>
      <w:r>
        <w:rPr>
          <w:color w:val="231F20"/>
        </w:rPr>
        <w:t>1er</w:t>
      </w:r>
      <w:r>
        <w:rPr>
          <w:color w:val="231F20"/>
          <w:spacing w:val="-10"/>
        </w:rPr>
        <w:t> </w:t>
      </w:r>
      <w:r>
        <w:rPr>
          <w:color w:val="231F20"/>
        </w:rPr>
        <w:t>janvier</w:t>
      </w:r>
      <w:r>
        <w:rPr>
          <w:color w:val="231F20"/>
          <w:spacing w:val="-10"/>
        </w:rPr>
        <w:t> </w:t>
      </w:r>
      <w:r>
        <w:rPr>
          <w:color w:val="231F20"/>
        </w:rPr>
        <w:t>1960,</w:t>
      </w:r>
      <w:r>
        <w:rPr>
          <w:color w:val="231F20"/>
          <w:spacing w:val="-9"/>
        </w:rPr>
        <w:t> </w:t>
      </w:r>
      <w:r>
        <w:rPr>
          <w:color w:val="231F20"/>
        </w:rPr>
        <w:t>sous</w:t>
      </w:r>
      <w:r>
        <w:rPr>
          <w:color w:val="231F20"/>
          <w:spacing w:val="-12"/>
        </w:rPr>
        <w:t> </w:t>
      </w:r>
      <w:r>
        <w:rPr>
          <w:color w:val="231F20"/>
        </w:rPr>
        <w:t>l’appellation</w:t>
      </w:r>
      <w:r>
        <w:rPr>
          <w:color w:val="231F20"/>
          <w:spacing w:val="-10"/>
        </w:rPr>
        <w:t> </w:t>
      </w:r>
      <w:r>
        <w:rPr>
          <w:color w:val="231F20"/>
        </w:rPr>
        <w:t>de</w:t>
      </w:r>
      <w:r>
        <w:rPr>
          <w:color w:val="231F20"/>
          <w:spacing w:val="-10"/>
        </w:rPr>
        <w:t> </w:t>
      </w:r>
      <w:r>
        <w:rPr>
          <w:color w:val="231F20"/>
        </w:rPr>
        <w:t>République</w:t>
      </w:r>
      <w:r>
        <w:rPr>
          <w:color w:val="231F20"/>
          <w:spacing w:val="-10"/>
        </w:rPr>
        <w:t> </w:t>
      </w:r>
      <w:r>
        <w:rPr>
          <w:color w:val="231F20"/>
        </w:rPr>
        <w:t>du</w:t>
      </w:r>
      <w:r>
        <w:rPr>
          <w:color w:val="231F20"/>
          <w:spacing w:val="-10"/>
        </w:rPr>
        <w:t> </w:t>
      </w:r>
      <w:r>
        <w:rPr>
          <w:color w:val="231F20"/>
        </w:rPr>
        <w:t>Cameroun, </w:t>
      </w:r>
      <w:r>
        <w:rPr>
          <w:color w:val="231F20"/>
          <w:spacing w:val="-4"/>
        </w:rPr>
        <w:t>la</w:t>
      </w:r>
      <w:r>
        <w:rPr>
          <w:color w:val="231F20"/>
          <w:spacing w:val="-11"/>
        </w:rPr>
        <w:t> </w:t>
      </w:r>
      <w:r>
        <w:rPr>
          <w:color w:val="231F20"/>
          <w:spacing w:val="-4"/>
        </w:rPr>
        <w:t>partie</w:t>
      </w:r>
      <w:r>
        <w:rPr>
          <w:color w:val="231F20"/>
          <w:spacing w:val="-11"/>
        </w:rPr>
        <w:t> </w:t>
      </w:r>
      <w:r>
        <w:rPr>
          <w:color w:val="231F20"/>
          <w:spacing w:val="-4"/>
        </w:rPr>
        <w:t>française</w:t>
      </w:r>
      <w:r>
        <w:rPr>
          <w:color w:val="231F20"/>
          <w:spacing w:val="-11"/>
        </w:rPr>
        <w:t> </w:t>
      </w:r>
      <w:r>
        <w:rPr>
          <w:color w:val="231F20"/>
          <w:spacing w:val="-4"/>
        </w:rPr>
        <w:t>accède</w:t>
      </w:r>
      <w:r>
        <w:rPr>
          <w:color w:val="231F20"/>
          <w:spacing w:val="-11"/>
        </w:rPr>
        <w:t> </w:t>
      </w:r>
      <w:r>
        <w:rPr>
          <w:color w:val="231F20"/>
          <w:spacing w:val="-4"/>
        </w:rPr>
        <w:t>à</w:t>
      </w:r>
      <w:r>
        <w:rPr>
          <w:color w:val="231F20"/>
          <w:spacing w:val="-11"/>
        </w:rPr>
        <w:t> </w:t>
      </w:r>
      <w:r>
        <w:rPr>
          <w:color w:val="231F20"/>
          <w:spacing w:val="-4"/>
        </w:rPr>
        <w:t>l’indépendance</w:t>
      </w:r>
      <w:r>
        <w:rPr>
          <w:color w:val="231F20"/>
          <w:spacing w:val="-11"/>
        </w:rPr>
        <w:t> </w:t>
      </w:r>
      <w:r>
        <w:rPr>
          <w:color w:val="231F20"/>
          <w:spacing w:val="-4"/>
        </w:rPr>
        <w:t>dans</w:t>
      </w:r>
      <w:r>
        <w:rPr>
          <w:color w:val="231F20"/>
          <w:spacing w:val="-11"/>
        </w:rPr>
        <w:t> </w:t>
      </w:r>
      <w:r>
        <w:rPr>
          <w:color w:val="231F20"/>
          <w:spacing w:val="-4"/>
        </w:rPr>
        <w:t>une</w:t>
      </w:r>
      <w:r>
        <w:rPr>
          <w:color w:val="231F20"/>
          <w:spacing w:val="-11"/>
        </w:rPr>
        <w:t> </w:t>
      </w:r>
      <w:r>
        <w:rPr>
          <w:color w:val="231F20"/>
          <w:spacing w:val="-4"/>
        </w:rPr>
        <w:t>atmosphère</w:t>
      </w:r>
      <w:r>
        <w:rPr>
          <w:color w:val="231F20"/>
          <w:spacing w:val="-11"/>
        </w:rPr>
        <w:t> </w:t>
      </w:r>
      <w:r>
        <w:rPr>
          <w:color w:val="231F20"/>
          <w:spacing w:val="-4"/>
        </w:rPr>
        <w:t>de</w:t>
      </w:r>
      <w:r>
        <w:rPr>
          <w:color w:val="231F20"/>
          <w:spacing w:val="-11"/>
        </w:rPr>
        <w:t> </w:t>
      </w:r>
      <w:r>
        <w:rPr>
          <w:color w:val="231F20"/>
          <w:spacing w:val="-4"/>
        </w:rPr>
        <w:t>guerre civile. Ahmadou</w:t>
      </w:r>
      <w:r>
        <w:rPr>
          <w:color w:val="231F20"/>
          <w:spacing w:val="-6"/>
        </w:rPr>
        <w:t> </w:t>
      </w:r>
      <w:r>
        <w:rPr>
          <w:color w:val="231F20"/>
          <w:spacing w:val="-4"/>
        </w:rPr>
        <w:t>Ahidjo est élu</w:t>
      </w:r>
      <w:r>
        <w:rPr>
          <w:color w:val="231F20"/>
          <w:spacing w:val="-7"/>
        </w:rPr>
        <w:t> </w:t>
      </w:r>
      <w:r>
        <w:rPr>
          <w:color w:val="231F20"/>
          <w:spacing w:val="-4"/>
        </w:rPr>
        <w:t>Président</w:t>
      </w:r>
      <w:r>
        <w:rPr>
          <w:color w:val="231F20"/>
          <w:spacing w:val="-7"/>
        </w:rPr>
        <w:t> </w:t>
      </w:r>
      <w:r>
        <w:rPr>
          <w:color w:val="231F20"/>
          <w:spacing w:val="-4"/>
        </w:rPr>
        <w:t>de la</w:t>
      </w:r>
      <w:r>
        <w:rPr>
          <w:color w:val="231F20"/>
          <w:spacing w:val="-7"/>
        </w:rPr>
        <w:t> </w:t>
      </w:r>
      <w:r>
        <w:rPr>
          <w:color w:val="231F20"/>
          <w:spacing w:val="-4"/>
        </w:rPr>
        <w:t>République. Une</w:t>
      </w:r>
      <w:r>
        <w:rPr>
          <w:color w:val="231F20"/>
          <w:spacing w:val="-8"/>
        </w:rPr>
        <w:t> </w:t>
      </w:r>
      <w:r>
        <w:rPr>
          <w:color w:val="231F20"/>
          <w:spacing w:val="-4"/>
        </w:rPr>
        <w:t>partie</w:t>
      </w:r>
      <w:r>
        <w:rPr>
          <w:color w:val="231F20"/>
          <w:spacing w:val="-7"/>
        </w:rPr>
        <w:t> </w:t>
      </w:r>
      <w:r>
        <w:rPr>
          <w:color w:val="231F20"/>
          <w:spacing w:val="-4"/>
        </w:rPr>
        <w:t>du </w:t>
      </w:r>
      <w:r>
        <w:rPr>
          <w:color w:val="231F20"/>
        </w:rPr>
        <w:t>pays sous administration britannique rejoint la République en octobre 1961</w:t>
      </w:r>
      <w:r>
        <w:rPr>
          <w:color w:val="231F20"/>
          <w:spacing w:val="-15"/>
        </w:rPr>
        <w:t> </w:t>
      </w:r>
      <w:r>
        <w:rPr>
          <w:color w:val="231F20"/>
        </w:rPr>
        <w:t>tandis</w:t>
      </w:r>
      <w:r>
        <w:rPr>
          <w:color w:val="231F20"/>
          <w:spacing w:val="-14"/>
        </w:rPr>
        <w:t> </w:t>
      </w:r>
      <w:r>
        <w:rPr>
          <w:color w:val="231F20"/>
        </w:rPr>
        <w:t>que</w:t>
      </w:r>
      <w:r>
        <w:rPr>
          <w:color w:val="231F20"/>
          <w:spacing w:val="-15"/>
        </w:rPr>
        <w:t> </w:t>
      </w:r>
      <w:r>
        <w:rPr>
          <w:color w:val="231F20"/>
        </w:rPr>
        <w:t>l’autre</w:t>
      </w:r>
      <w:r>
        <w:rPr>
          <w:color w:val="231F20"/>
          <w:spacing w:val="-13"/>
        </w:rPr>
        <w:t> </w:t>
      </w:r>
      <w:r>
        <w:rPr>
          <w:color w:val="231F20"/>
        </w:rPr>
        <w:t>partie</w:t>
      </w:r>
      <w:r>
        <w:rPr>
          <w:color w:val="231F20"/>
          <w:spacing w:val="-13"/>
        </w:rPr>
        <w:t> </w:t>
      </w:r>
      <w:r>
        <w:rPr>
          <w:color w:val="231F20"/>
        </w:rPr>
        <w:t>reste</w:t>
      </w:r>
      <w:r>
        <w:rPr>
          <w:color w:val="231F20"/>
          <w:spacing w:val="-14"/>
        </w:rPr>
        <w:t> </w:t>
      </w:r>
      <w:r>
        <w:rPr>
          <w:color w:val="231F20"/>
        </w:rPr>
        <w:t>avec</w:t>
      </w:r>
      <w:r>
        <w:rPr>
          <w:color w:val="231F20"/>
          <w:spacing w:val="-14"/>
        </w:rPr>
        <w:t> </w:t>
      </w:r>
      <w:r>
        <w:rPr>
          <w:color w:val="231F20"/>
        </w:rPr>
        <w:t>le</w:t>
      </w:r>
      <w:r>
        <w:rPr>
          <w:color w:val="231F20"/>
          <w:spacing w:val="-14"/>
        </w:rPr>
        <w:t> </w:t>
      </w:r>
      <w:r>
        <w:rPr>
          <w:color w:val="231F20"/>
        </w:rPr>
        <w:t>Nigéria.</w:t>
      </w:r>
      <w:r>
        <w:rPr>
          <w:color w:val="231F20"/>
          <w:spacing w:val="-15"/>
        </w:rPr>
        <w:t> </w:t>
      </w:r>
      <w:r>
        <w:rPr>
          <w:color w:val="231F20"/>
        </w:rPr>
        <w:t>L’État</w:t>
      </w:r>
      <w:r>
        <w:rPr>
          <w:color w:val="231F20"/>
          <w:spacing w:val="-13"/>
        </w:rPr>
        <w:t> </w:t>
      </w:r>
      <w:r>
        <w:rPr>
          <w:color w:val="231F20"/>
        </w:rPr>
        <w:t>prend</w:t>
      </w:r>
      <w:r>
        <w:rPr>
          <w:color w:val="231F20"/>
          <w:spacing w:val="-13"/>
        </w:rPr>
        <w:t> </w:t>
      </w:r>
      <w:r>
        <w:rPr>
          <w:color w:val="231F20"/>
        </w:rPr>
        <w:t>alors</w:t>
      </w:r>
      <w:r>
        <w:rPr>
          <w:color w:val="231F20"/>
          <w:spacing w:val="-13"/>
        </w:rPr>
        <w:t> </w:t>
      </w:r>
      <w:r>
        <w:rPr>
          <w:color w:val="231F20"/>
        </w:rPr>
        <w:t>le nom de République Fédérale du Cameroun. Le 20 mai 1972, il est renommé République Unie du Cameroun puis redevient en 1984, République du Cameroun.</w:t>
      </w:r>
    </w:p>
    <w:p>
      <w:pPr>
        <w:pStyle w:val="BodyText"/>
        <w:spacing w:before="120"/>
        <w:ind w:right="105" w:firstLine="283"/>
      </w:pPr>
      <w:r>
        <w:rPr>
          <w:color w:val="231F20"/>
          <w:spacing w:val="-4"/>
        </w:rPr>
        <w:t>Après</w:t>
      </w:r>
      <w:r>
        <w:rPr>
          <w:color w:val="231F20"/>
          <w:spacing w:val="-11"/>
        </w:rPr>
        <w:t> </w:t>
      </w:r>
      <w:r>
        <w:rPr>
          <w:color w:val="231F20"/>
          <w:spacing w:val="-4"/>
        </w:rPr>
        <w:t>la</w:t>
      </w:r>
      <w:r>
        <w:rPr>
          <w:color w:val="231F20"/>
          <w:spacing w:val="-11"/>
        </w:rPr>
        <w:t> </w:t>
      </w:r>
      <w:r>
        <w:rPr>
          <w:color w:val="231F20"/>
          <w:spacing w:val="-4"/>
        </w:rPr>
        <w:t>démission</w:t>
      </w:r>
      <w:r>
        <w:rPr>
          <w:color w:val="231F20"/>
          <w:spacing w:val="-11"/>
        </w:rPr>
        <w:t> </w:t>
      </w:r>
      <w:r>
        <w:rPr>
          <w:color w:val="231F20"/>
          <w:spacing w:val="-4"/>
        </w:rPr>
        <w:t>du</w:t>
      </w:r>
      <w:r>
        <w:rPr>
          <w:color w:val="231F20"/>
          <w:spacing w:val="-11"/>
        </w:rPr>
        <w:t> </w:t>
      </w:r>
      <w:r>
        <w:rPr>
          <w:color w:val="231F20"/>
          <w:spacing w:val="-4"/>
        </w:rPr>
        <w:t>président</w:t>
      </w:r>
      <w:r>
        <w:rPr>
          <w:color w:val="231F20"/>
          <w:spacing w:val="-10"/>
        </w:rPr>
        <w:t> </w:t>
      </w:r>
      <w:r>
        <w:rPr>
          <w:color w:val="231F20"/>
          <w:spacing w:val="-4"/>
        </w:rPr>
        <w:t>Ahidjo</w:t>
      </w:r>
      <w:r>
        <w:rPr>
          <w:color w:val="231F20"/>
          <w:spacing w:val="-10"/>
        </w:rPr>
        <w:t> </w:t>
      </w:r>
      <w:r>
        <w:rPr>
          <w:color w:val="231F20"/>
          <w:spacing w:val="-4"/>
        </w:rPr>
        <w:t>du</w:t>
      </w:r>
      <w:r>
        <w:rPr>
          <w:color w:val="231F20"/>
          <w:spacing w:val="-10"/>
        </w:rPr>
        <w:t> </w:t>
      </w:r>
      <w:r>
        <w:rPr>
          <w:color w:val="231F20"/>
          <w:spacing w:val="-4"/>
        </w:rPr>
        <w:t>pouvoir</w:t>
      </w:r>
      <w:r>
        <w:rPr>
          <w:color w:val="231F20"/>
          <w:spacing w:val="-10"/>
        </w:rPr>
        <w:t> </w:t>
      </w:r>
      <w:r>
        <w:rPr>
          <w:color w:val="231F20"/>
          <w:spacing w:val="-4"/>
        </w:rPr>
        <w:t>en</w:t>
      </w:r>
      <w:r>
        <w:rPr>
          <w:color w:val="231F20"/>
          <w:spacing w:val="-10"/>
        </w:rPr>
        <w:t> </w:t>
      </w:r>
      <w:r>
        <w:rPr>
          <w:color w:val="231F20"/>
          <w:spacing w:val="-4"/>
        </w:rPr>
        <w:t>novembre</w:t>
      </w:r>
      <w:r>
        <w:rPr>
          <w:color w:val="231F20"/>
          <w:spacing w:val="-10"/>
        </w:rPr>
        <w:t> </w:t>
      </w:r>
      <w:r>
        <w:rPr>
          <w:color w:val="231F20"/>
          <w:spacing w:val="-4"/>
        </w:rPr>
        <w:t>1982, </w:t>
      </w:r>
      <w:r>
        <w:rPr>
          <w:color w:val="231F20"/>
          <w:spacing w:val="-2"/>
        </w:rPr>
        <w:t>Paul</w:t>
      </w:r>
      <w:r>
        <w:rPr>
          <w:color w:val="231F20"/>
          <w:spacing w:val="-11"/>
        </w:rPr>
        <w:t> </w:t>
      </w:r>
      <w:r>
        <w:rPr>
          <w:color w:val="231F20"/>
          <w:spacing w:val="-2"/>
        </w:rPr>
        <w:t>Biya</w:t>
      </w:r>
      <w:r>
        <w:rPr>
          <w:color w:val="231F20"/>
          <w:spacing w:val="-9"/>
        </w:rPr>
        <w:t> </w:t>
      </w:r>
      <w:r>
        <w:rPr>
          <w:color w:val="231F20"/>
          <w:spacing w:val="-2"/>
        </w:rPr>
        <w:t>devient</w:t>
      </w:r>
      <w:r>
        <w:rPr>
          <w:color w:val="231F20"/>
          <w:spacing w:val="-9"/>
        </w:rPr>
        <w:t> </w:t>
      </w:r>
      <w:r>
        <w:rPr>
          <w:color w:val="231F20"/>
          <w:spacing w:val="-2"/>
        </w:rPr>
        <w:t>le</w:t>
      </w:r>
      <w:r>
        <w:rPr>
          <w:color w:val="231F20"/>
          <w:spacing w:val="-9"/>
        </w:rPr>
        <w:t> </w:t>
      </w:r>
      <w:r>
        <w:rPr>
          <w:color w:val="231F20"/>
          <w:spacing w:val="-2"/>
        </w:rPr>
        <w:t>deuxième</w:t>
      </w:r>
      <w:r>
        <w:rPr>
          <w:color w:val="231F20"/>
          <w:spacing w:val="-9"/>
        </w:rPr>
        <w:t> </w:t>
      </w:r>
      <w:r>
        <w:rPr>
          <w:color w:val="231F20"/>
          <w:spacing w:val="-2"/>
        </w:rPr>
        <w:t>président</w:t>
      </w:r>
      <w:r>
        <w:rPr>
          <w:color w:val="231F20"/>
          <w:spacing w:val="-9"/>
        </w:rPr>
        <w:t> </w:t>
      </w:r>
      <w:r>
        <w:rPr>
          <w:color w:val="231F20"/>
          <w:spacing w:val="-2"/>
        </w:rPr>
        <w:t>de</w:t>
      </w:r>
      <w:r>
        <w:rPr>
          <w:color w:val="231F20"/>
          <w:spacing w:val="-11"/>
        </w:rPr>
        <w:t> </w:t>
      </w:r>
      <w:r>
        <w:rPr>
          <w:color w:val="231F20"/>
          <w:spacing w:val="-2"/>
        </w:rPr>
        <w:t>la</w:t>
      </w:r>
      <w:r>
        <w:rPr>
          <w:color w:val="231F20"/>
          <w:spacing w:val="-8"/>
        </w:rPr>
        <w:t> </w:t>
      </w:r>
      <w:r>
        <w:rPr>
          <w:color w:val="231F20"/>
          <w:spacing w:val="-2"/>
        </w:rPr>
        <w:t>République</w:t>
      </w:r>
      <w:r>
        <w:rPr>
          <w:color w:val="231F20"/>
          <w:spacing w:val="-9"/>
        </w:rPr>
        <w:t> </w:t>
      </w:r>
      <w:r>
        <w:rPr>
          <w:color w:val="231F20"/>
          <w:spacing w:val="-2"/>
        </w:rPr>
        <w:t>du</w:t>
      </w:r>
      <w:r>
        <w:rPr>
          <w:color w:val="231F20"/>
          <w:spacing w:val="-9"/>
        </w:rPr>
        <w:t> </w:t>
      </w:r>
      <w:r>
        <w:rPr>
          <w:color w:val="231F20"/>
          <w:spacing w:val="-2"/>
        </w:rPr>
        <w:t>Cameroun. </w:t>
      </w:r>
      <w:r>
        <w:rPr>
          <w:color w:val="231F20"/>
        </w:rPr>
        <w:t>Il est titulaire d’une licence en droit public obtenu en 1961 à Paris. En 1968,</w:t>
      </w:r>
      <w:r>
        <w:rPr>
          <w:color w:val="231F20"/>
          <w:spacing w:val="-15"/>
        </w:rPr>
        <w:t> </w:t>
      </w:r>
      <w:r>
        <w:rPr>
          <w:color w:val="231F20"/>
        </w:rPr>
        <w:t>il</w:t>
      </w:r>
      <w:r>
        <w:rPr>
          <w:color w:val="231F20"/>
          <w:spacing w:val="-13"/>
        </w:rPr>
        <w:t> </w:t>
      </w:r>
      <w:r>
        <w:rPr>
          <w:color w:val="231F20"/>
        </w:rPr>
        <w:t>est</w:t>
      </w:r>
      <w:r>
        <w:rPr>
          <w:color w:val="231F20"/>
          <w:spacing w:val="-13"/>
        </w:rPr>
        <w:t> </w:t>
      </w:r>
      <w:r>
        <w:rPr>
          <w:color w:val="231F20"/>
        </w:rPr>
        <w:t>nommé</w:t>
      </w:r>
      <w:r>
        <w:rPr>
          <w:color w:val="231F20"/>
          <w:spacing w:val="-13"/>
        </w:rPr>
        <w:t> </w:t>
      </w:r>
      <w:r>
        <w:rPr>
          <w:color w:val="231F20"/>
        </w:rPr>
        <w:t>Ministre</w:t>
      </w:r>
      <w:r>
        <w:rPr>
          <w:color w:val="231F20"/>
          <w:spacing w:val="-13"/>
        </w:rPr>
        <w:t> </w:t>
      </w:r>
      <w:r>
        <w:rPr>
          <w:color w:val="231F20"/>
        </w:rPr>
        <w:t>Secrétaire</w:t>
      </w:r>
      <w:r>
        <w:rPr>
          <w:color w:val="231F20"/>
          <w:spacing w:val="-13"/>
        </w:rPr>
        <w:t> </w:t>
      </w:r>
      <w:r>
        <w:rPr>
          <w:color w:val="231F20"/>
        </w:rPr>
        <w:t>Général</w:t>
      </w:r>
      <w:r>
        <w:rPr>
          <w:color w:val="231F20"/>
          <w:spacing w:val="-14"/>
        </w:rPr>
        <w:t> </w:t>
      </w:r>
      <w:r>
        <w:rPr>
          <w:color w:val="231F20"/>
        </w:rPr>
        <w:t>à</w:t>
      </w:r>
      <w:r>
        <w:rPr>
          <w:color w:val="231F20"/>
          <w:spacing w:val="-13"/>
        </w:rPr>
        <w:t> </w:t>
      </w:r>
      <w:r>
        <w:rPr>
          <w:color w:val="231F20"/>
        </w:rPr>
        <w:t>la</w:t>
      </w:r>
      <w:r>
        <w:rPr>
          <w:color w:val="231F20"/>
          <w:spacing w:val="-15"/>
        </w:rPr>
        <w:t> </w:t>
      </w:r>
      <w:r>
        <w:rPr>
          <w:color w:val="231F20"/>
        </w:rPr>
        <w:t>Présidence,</w:t>
      </w:r>
      <w:r>
        <w:rPr>
          <w:color w:val="231F20"/>
          <w:spacing w:val="-15"/>
        </w:rPr>
        <w:t> </w:t>
      </w:r>
      <w:r>
        <w:rPr>
          <w:color w:val="231F20"/>
        </w:rPr>
        <w:t>puis,</w:t>
      </w:r>
      <w:r>
        <w:rPr>
          <w:color w:val="231F20"/>
          <w:spacing w:val="-13"/>
        </w:rPr>
        <w:t> </w:t>
      </w:r>
      <w:r>
        <w:rPr>
          <w:color w:val="231F20"/>
        </w:rPr>
        <w:t>en 1975, Premier Ministre d’Ahidjo donc successeur constitutionnel du Président en cas de vacance du pouvoir.</w:t>
      </w:r>
    </w:p>
    <w:p>
      <w:pPr>
        <w:pStyle w:val="BodyText"/>
        <w:spacing w:before="120"/>
        <w:ind w:right="102" w:firstLine="283"/>
      </w:pPr>
      <w:r>
        <w:rPr>
          <w:color w:val="231F20"/>
        </w:rPr>
        <w:t>Ahidjo</w:t>
      </w:r>
      <w:r>
        <w:rPr>
          <w:color w:val="231F20"/>
          <w:spacing w:val="-8"/>
        </w:rPr>
        <w:t> </w:t>
      </w:r>
      <w:r>
        <w:rPr>
          <w:color w:val="231F20"/>
        </w:rPr>
        <w:t>n’est</w:t>
      </w:r>
      <w:r>
        <w:rPr>
          <w:color w:val="231F20"/>
          <w:spacing w:val="-10"/>
        </w:rPr>
        <w:t> </w:t>
      </w:r>
      <w:r>
        <w:rPr>
          <w:color w:val="231F20"/>
        </w:rPr>
        <w:t>plus</w:t>
      </w:r>
      <w:r>
        <w:rPr>
          <w:color w:val="231F20"/>
          <w:spacing w:val="-10"/>
        </w:rPr>
        <w:t> </w:t>
      </w:r>
      <w:r>
        <w:rPr>
          <w:color w:val="231F20"/>
        </w:rPr>
        <w:t>le</w:t>
      </w:r>
      <w:r>
        <w:rPr>
          <w:color w:val="231F20"/>
          <w:spacing w:val="-9"/>
        </w:rPr>
        <w:t> </w:t>
      </w:r>
      <w:r>
        <w:rPr>
          <w:color w:val="231F20"/>
        </w:rPr>
        <w:t>chef</w:t>
      </w:r>
      <w:r>
        <w:rPr>
          <w:color w:val="231F20"/>
          <w:spacing w:val="-10"/>
        </w:rPr>
        <w:t> </w:t>
      </w:r>
      <w:r>
        <w:rPr>
          <w:color w:val="231F20"/>
        </w:rPr>
        <w:t>de</w:t>
      </w:r>
      <w:r>
        <w:rPr>
          <w:color w:val="231F20"/>
          <w:spacing w:val="-9"/>
        </w:rPr>
        <w:t> </w:t>
      </w:r>
      <w:r>
        <w:rPr>
          <w:color w:val="231F20"/>
        </w:rPr>
        <w:t>l’État</w:t>
      </w:r>
      <w:r>
        <w:rPr>
          <w:color w:val="231F20"/>
          <w:spacing w:val="-10"/>
        </w:rPr>
        <w:t> </w:t>
      </w:r>
      <w:r>
        <w:rPr>
          <w:color w:val="231F20"/>
        </w:rPr>
        <w:t>depuis</w:t>
      </w:r>
      <w:r>
        <w:rPr>
          <w:color w:val="231F20"/>
          <w:spacing w:val="-10"/>
        </w:rPr>
        <w:t> </w:t>
      </w:r>
      <w:r>
        <w:rPr>
          <w:color w:val="231F20"/>
        </w:rPr>
        <w:t>le</w:t>
      </w:r>
      <w:r>
        <w:rPr>
          <w:color w:val="231F20"/>
          <w:spacing w:val="-8"/>
        </w:rPr>
        <w:t> </w:t>
      </w:r>
      <w:r>
        <w:rPr>
          <w:color w:val="231F20"/>
        </w:rPr>
        <w:t>6</w:t>
      </w:r>
      <w:r>
        <w:rPr>
          <w:color w:val="231F20"/>
          <w:spacing w:val="-10"/>
        </w:rPr>
        <w:t> </w:t>
      </w:r>
      <w:r>
        <w:rPr>
          <w:color w:val="231F20"/>
        </w:rPr>
        <w:t>novembre</w:t>
      </w:r>
      <w:r>
        <w:rPr>
          <w:color w:val="231F20"/>
          <w:spacing w:val="-8"/>
        </w:rPr>
        <w:t> </w:t>
      </w:r>
      <w:r>
        <w:rPr>
          <w:color w:val="231F20"/>
        </w:rPr>
        <w:t>1982</w:t>
      </w:r>
      <w:r>
        <w:rPr>
          <w:color w:val="231F20"/>
          <w:spacing w:val="-8"/>
        </w:rPr>
        <w:t> </w:t>
      </w:r>
      <w:r>
        <w:rPr>
          <w:color w:val="231F20"/>
        </w:rPr>
        <w:t>mais</w:t>
      </w:r>
      <w:r>
        <w:rPr>
          <w:color w:val="231F20"/>
          <w:spacing w:val="-10"/>
        </w:rPr>
        <w:t> </w:t>
      </w:r>
      <w:r>
        <w:rPr>
          <w:color w:val="231F20"/>
        </w:rPr>
        <w:t>il </w:t>
      </w:r>
      <w:r>
        <w:rPr>
          <w:color w:val="231F20"/>
          <w:spacing w:val="-2"/>
        </w:rPr>
        <w:t>demeure</w:t>
      </w:r>
      <w:r>
        <w:rPr>
          <w:color w:val="231F20"/>
          <w:spacing w:val="-15"/>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tête</w:t>
      </w:r>
      <w:r>
        <w:rPr>
          <w:color w:val="231F20"/>
          <w:spacing w:val="-13"/>
        </w:rPr>
        <w:t> </w:t>
      </w:r>
      <w:r>
        <w:rPr>
          <w:color w:val="231F20"/>
          <w:spacing w:val="-2"/>
        </w:rPr>
        <w:t>de</w:t>
      </w:r>
      <w:r>
        <w:rPr>
          <w:color w:val="231F20"/>
          <w:spacing w:val="-13"/>
        </w:rPr>
        <w:t> </w:t>
      </w:r>
      <w:r>
        <w:rPr>
          <w:color w:val="231F20"/>
          <w:spacing w:val="-2"/>
        </w:rPr>
        <w:t>l’Union</w:t>
      </w:r>
      <w:r>
        <w:rPr>
          <w:color w:val="231F20"/>
          <w:spacing w:val="-13"/>
        </w:rPr>
        <w:t> </w:t>
      </w:r>
      <w:r>
        <w:rPr>
          <w:color w:val="231F20"/>
          <w:spacing w:val="-2"/>
        </w:rPr>
        <w:t>Nationale</w:t>
      </w:r>
      <w:r>
        <w:rPr>
          <w:color w:val="231F20"/>
          <w:spacing w:val="-13"/>
        </w:rPr>
        <w:t> </w:t>
      </w:r>
      <w:r>
        <w:rPr>
          <w:color w:val="231F20"/>
          <w:spacing w:val="-2"/>
        </w:rPr>
        <w:t>Camerounaise,</w:t>
      </w:r>
      <w:r>
        <w:rPr>
          <w:color w:val="231F20"/>
          <w:spacing w:val="-13"/>
        </w:rPr>
        <w:t> </w:t>
      </w:r>
      <w:r>
        <w:rPr>
          <w:color w:val="231F20"/>
          <w:spacing w:val="-2"/>
        </w:rPr>
        <w:t>le</w:t>
      </w:r>
      <w:r>
        <w:rPr>
          <w:color w:val="231F20"/>
          <w:spacing w:val="-13"/>
        </w:rPr>
        <w:t> </w:t>
      </w:r>
      <w:r>
        <w:rPr>
          <w:color w:val="231F20"/>
          <w:spacing w:val="-2"/>
        </w:rPr>
        <w:t>Parti</w:t>
      </w:r>
      <w:r>
        <w:rPr>
          <w:color w:val="231F20"/>
          <w:spacing w:val="-13"/>
        </w:rPr>
        <w:t> </w:t>
      </w:r>
      <w:r>
        <w:rPr>
          <w:color w:val="231F20"/>
          <w:spacing w:val="-2"/>
        </w:rPr>
        <w:t>au</w:t>
      </w:r>
      <w:r>
        <w:rPr>
          <w:color w:val="231F20"/>
          <w:spacing w:val="-13"/>
        </w:rPr>
        <w:t> </w:t>
      </w:r>
      <w:r>
        <w:rPr>
          <w:color w:val="231F20"/>
          <w:spacing w:val="-2"/>
        </w:rPr>
        <w:t>pouvoir </w:t>
      </w:r>
      <w:r>
        <w:rPr>
          <w:color w:val="231F20"/>
          <w:spacing w:val="-4"/>
        </w:rPr>
        <w:t>au</w:t>
      </w:r>
      <w:r>
        <w:rPr>
          <w:color w:val="231F20"/>
          <w:spacing w:val="-11"/>
        </w:rPr>
        <w:t> </w:t>
      </w:r>
      <w:r>
        <w:rPr>
          <w:color w:val="231F20"/>
          <w:spacing w:val="-4"/>
        </w:rPr>
        <w:t>grand</w:t>
      </w:r>
      <w:r>
        <w:rPr>
          <w:color w:val="231F20"/>
          <w:spacing w:val="-11"/>
        </w:rPr>
        <w:t> </w:t>
      </w:r>
      <w:r>
        <w:rPr>
          <w:color w:val="231F20"/>
          <w:spacing w:val="-4"/>
        </w:rPr>
        <w:t>dépit</w:t>
      </w:r>
      <w:r>
        <w:rPr>
          <w:color w:val="231F20"/>
          <w:spacing w:val="-11"/>
        </w:rPr>
        <w:t> </w:t>
      </w:r>
      <w:r>
        <w:rPr>
          <w:color w:val="231F20"/>
          <w:spacing w:val="-4"/>
        </w:rPr>
        <w:t>de</w:t>
      </w:r>
      <w:r>
        <w:rPr>
          <w:color w:val="231F20"/>
          <w:spacing w:val="-11"/>
        </w:rPr>
        <w:t> </w:t>
      </w:r>
      <w:r>
        <w:rPr>
          <w:color w:val="231F20"/>
          <w:spacing w:val="-4"/>
        </w:rPr>
        <w:t>Biya.</w:t>
      </w:r>
      <w:r>
        <w:rPr>
          <w:color w:val="231F20"/>
          <w:spacing w:val="-11"/>
        </w:rPr>
        <w:t> </w:t>
      </w:r>
      <w:r>
        <w:rPr>
          <w:color w:val="231F20"/>
          <w:spacing w:val="-4"/>
        </w:rPr>
        <w:t>À</w:t>
      </w:r>
      <w:r>
        <w:rPr>
          <w:color w:val="231F20"/>
          <w:spacing w:val="-11"/>
        </w:rPr>
        <w:t> </w:t>
      </w:r>
      <w:r>
        <w:rPr>
          <w:color w:val="231F20"/>
          <w:spacing w:val="-4"/>
        </w:rPr>
        <w:t>l’aide</w:t>
      </w:r>
      <w:r>
        <w:rPr>
          <w:color w:val="231F20"/>
          <w:spacing w:val="-11"/>
        </w:rPr>
        <w:t> </w:t>
      </w:r>
      <w:r>
        <w:rPr>
          <w:color w:val="231F20"/>
          <w:spacing w:val="-4"/>
        </w:rPr>
        <w:t>de</w:t>
      </w:r>
      <w:r>
        <w:rPr>
          <w:color w:val="231F20"/>
          <w:spacing w:val="-11"/>
        </w:rPr>
        <w:t> </w:t>
      </w:r>
      <w:r>
        <w:rPr>
          <w:color w:val="231F20"/>
          <w:spacing w:val="-4"/>
        </w:rPr>
        <w:t>remaniements</w:t>
      </w:r>
      <w:r>
        <w:rPr>
          <w:color w:val="231F20"/>
          <w:spacing w:val="-11"/>
        </w:rPr>
        <w:t> </w:t>
      </w:r>
      <w:r>
        <w:rPr>
          <w:color w:val="231F20"/>
          <w:spacing w:val="-4"/>
        </w:rPr>
        <w:t>ministériels,</w:t>
      </w:r>
      <w:r>
        <w:rPr>
          <w:color w:val="231F20"/>
          <w:spacing w:val="-11"/>
        </w:rPr>
        <w:t> </w:t>
      </w:r>
      <w:r>
        <w:rPr>
          <w:color w:val="231F20"/>
          <w:spacing w:val="-4"/>
        </w:rPr>
        <w:t>Biya</w:t>
      </w:r>
      <w:r>
        <w:rPr>
          <w:color w:val="231F20"/>
          <w:spacing w:val="-11"/>
        </w:rPr>
        <w:t> </w:t>
      </w:r>
      <w:r>
        <w:rPr>
          <w:color w:val="231F20"/>
          <w:spacing w:val="-4"/>
        </w:rPr>
        <w:t>écarte </w:t>
      </w:r>
      <w:r>
        <w:rPr>
          <w:color w:val="231F20"/>
        </w:rPr>
        <w:t>de son gouvernement les proches d’Ahidjo, surtout les nordistes. Le 6 avril 1984, une tentative de coup d’Etat, menée par des éléments de la Garde Républicaine restés fidèles à Ahidjo, échoue de justesse grâce à l’intervention de l’Armée. Paul biya se sert de cette crise pour faire le ménage.</w:t>
      </w:r>
      <w:r>
        <w:rPr>
          <w:color w:val="231F20"/>
          <w:spacing w:val="-8"/>
        </w:rPr>
        <w:t> </w:t>
      </w:r>
      <w:r>
        <w:rPr>
          <w:color w:val="231F20"/>
        </w:rPr>
        <w:t>Ahidjo</w:t>
      </w:r>
      <w:r>
        <w:rPr>
          <w:color w:val="231F20"/>
          <w:spacing w:val="-9"/>
        </w:rPr>
        <w:t> </w:t>
      </w:r>
      <w:r>
        <w:rPr>
          <w:color w:val="231F20"/>
        </w:rPr>
        <w:t>qui</w:t>
      </w:r>
      <w:r>
        <w:rPr>
          <w:color w:val="231F20"/>
          <w:spacing w:val="-8"/>
        </w:rPr>
        <w:t> </w:t>
      </w:r>
      <w:r>
        <w:rPr>
          <w:color w:val="231F20"/>
        </w:rPr>
        <w:t>se</w:t>
      </w:r>
      <w:r>
        <w:rPr>
          <w:color w:val="231F20"/>
          <w:spacing w:val="-9"/>
        </w:rPr>
        <w:t> </w:t>
      </w:r>
      <w:r>
        <w:rPr>
          <w:color w:val="231F20"/>
        </w:rPr>
        <w:t>trouve</w:t>
      </w:r>
      <w:r>
        <w:rPr>
          <w:color w:val="231F20"/>
          <w:spacing w:val="-8"/>
        </w:rPr>
        <w:t> </w:t>
      </w:r>
      <w:r>
        <w:rPr>
          <w:color w:val="231F20"/>
        </w:rPr>
        <w:t>en</w:t>
      </w:r>
      <w:r>
        <w:rPr>
          <w:color w:val="231F20"/>
          <w:spacing w:val="-9"/>
        </w:rPr>
        <w:t> </w:t>
      </w:r>
      <w:r>
        <w:rPr>
          <w:color w:val="231F20"/>
        </w:rPr>
        <w:t>France</w:t>
      </w:r>
      <w:r>
        <w:rPr>
          <w:color w:val="231F20"/>
          <w:spacing w:val="-8"/>
        </w:rPr>
        <w:t> </w:t>
      </w:r>
      <w:r>
        <w:rPr>
          <w:color w:val="231F20"/>
        </w:rPr>
        <w:t>est</w:t>
      </w:r>
      <w:r>
        <w:rPr>
          <w:color w:val="231F20"/>
          <w:spacing w:val="-8"/>
        </w:rPr>
        <w:t> </w:t>
      </w:r>
      <w:r>
        <w:rPr>
          <w:color w:val="231F20"/>
        </w:rPr>
        <w:t>accusé</w:t>
      </w:r>
      <w:r>
        <w:rPr>
          <w:color w:val="231F20"/>
          <w:spacing w:val="-8"/>
        </w:rPr>
        <w:t> </w:t>
      </w:r>
      <w:r>
        <w:rPr>
          <w:color w:val="231F20"/>
        </w:rPr>
        <w:t>de</w:t>
      </w:r>
      <w:r>
        <w:rPr>
          <w:color w:val="231F20"/>
          <w:spacing w:val="-8"/>
        </w:rPr>
        <w:t> </w:t>
      </w:r>
      <w:r>
        <w:rPr>
          <w:color w:val="231F20"/>
        </w:rPr>
        <w:t>complot</w:t>
      </w:r>
      <w:r>
        <w:rPr>
          <w:color w:val="231F20"/>
          <w:spacing w:val="-9"/>
        </w:rPr>
        <w:t> </w:t>
      </w:r>
      <w:r>
        <w:rPr>
          <w:color w:val="231F20"/>
        </w:rPr>
        <w:t>par</w:t>
      </w:r>
      <w:r>
        <w:rPr>
          <w:color w:val="231F20"/>
          <w:spacing w:val="-8"/>
        </w:rPr>
        <w:t> </w:t>
      </w:r>
      <w:r>
        <w:rPr>
          <w:color w:val="231F20"/>
        </w:rPr>
        <w:t>Biya et</w:t>
      </w:r>
      <w:r>
        <w:rPr>
          <w:color w:val="231F20"/>
          <w:spacing w:val="-15"/>
        </w:rPr>
        <w:t> </w:t>
      </w:r>
      <w:r>
        <w:rPr>
          <w:color w:val="231F20"/>
        </w:rPr>
        <w:t>condamné</w:t>
      </w:r>
      <w:r>
        <w:rPr>
          <w:color w:val="231F20"/>
          <w:spacing w:val="-15"/>
        </w:rPr>
        <w:t> </w:t>
      </w:r>
      <w:r>
        <w:rPr>
          <w:color w:val="231F20"/>
        </w:rPr>
        <w:t>à</w:t>
      </w:r>
      <w:r>
        <w:rPr>
          <w:color w:val="231F20"/>
          <w:spacing w:val="-15"/>
        </w:rPr>
        <w:t> </w:t>
      </w:r>
      <w:r>
        <w:rPr>
          <w:color w:val="231F20"/>
        </w:rPr>
        <w:t>mort</w:t>
      </w:r>
      <w:r>
        <w:rPr>
          <w:color w:val="231F20"/>
          <w:spacing w:val="-15"/>
        </w:rPr>
        <w:t> </w:t>
      </w:r>
      <w:r>
        <w:rPr>
          <w:color w:val="231F20"/>
        </w:rPr>
        <w:t>par</w:t>
      </w:r>
      <w:r>
        <w:rPr>
          <w:color w:val="231F20"/>
          <w:spacing w:val="-15"/>
        </w:rPr>
        <w:t> </w:t>
      </w:r>
      <w:r>
        <w:rPr>
          <w:color w:val="231F20"/>
        </w:rPr>
        <w:t>contumace.</w:t>
      </w:r>
      <w:r>
        <w:rPr>
          <w:color w:val="231F20"/>
          <w:spacing w:val="-15"/>
        </w:rPr>
        <w:t> </w:t>
      </w:r>
      <w:r>
        <w:rPr>
          <w:color w:val="231F20"/>
        </w:rPr>
        <w:t>Devenu</w:t>
      </w:r>
      <w:r>
        <w:rPr>
          <w:color w:val="231F20"/>
          <w:spacing w:val="-15"/>
        </w:rPr>
        <w:t> </w:t>
      </w:r>
      <w:r>
        <w:rPr>
          <w:color w:val="231F20"/>
        </w:rPr>
        <w:t>persona</w:t>
      </w:r>
      <w:r>
        <w:rPr>
          <w:color w:val="231F20"/>
          <w:spacing w:val="-15"/>
        </w:rPr>
        <w:t> </w:t>
      </w:r>
      <w:r>
        <w:rPr>
          <w:color w:val="231F20"/>
        </w:rPr>
        <w:t>non</w:t>
      </w:r>
      <w:r>
        <w:rPr>
          <w:color w:val="231F20"/>
          <w:spacing w:val="-15"/>
        </w:rPr>
        <w:t> </w:t>
      </w:r>
      <w:r>
        <w:rPr>
          <w:color w:val="231F20"/>
        </w:rPr>
        <w:t>grata</w:t>
      </w:r>
      <w:r>
        <w:rPr>
          <w:color w:val="231F20"/>
          <w:spacing w:val="-15"/>
        </w:rPr>
        <w:t> </w:t>
      </w:r>
      <w:r>
        <w:rPr>
          <w:color w:val="231F20"/>
        </w:rPr>
        <w:t>à</w:t>
      </w:r>
      <w:r>
        <w:rPr>
          <w:color w:val="231F20"/>
          <w:spacing w:val="-15"/>
        </w:rPr>
        <w:t> </w:t>
      </w:r>
      <w:r>
        <w:rPr>
          <w:color w:val="231F20"/>
        </w:rPr>
        <w:t>Paris,</w:t>
      </w:r>
      <w:r>
        <w:rPr>
          <w:color w:val="231F20"/>
          <w:spacing w:val="-15"/>
        </w:rPr>
        <w:t> </w:t>
      </w:r>
      <w:r>
        <w:rPr>
          <w:color w:val="231F20"/>
        </w:rPr>
        <w:t>il </w:t>
      </w:r>
      <w:r>
        <w:rPr>
          <w:color w:val="231F20"/>
          <w:spacing w:val="-2"/>
        </w:rPr>
        <w:t>est</w:t>
      </w:r>
      <w:r>
        <w:rPr>
          <w:color w:val="231F20"/>
          <w:spacing w:val="-15"/>
        </w:rPr>
        <w:t> </w:t>
      </w:r>
      <w:r>
        <w:rPr>
          <w:color w:val="231F20"/>
          <w:spacing w:val="-2"/>
        </w:rPr>
        <w:t>accueilli</w:t>
      </w:r>
      <w:r>
        <w:rPr>
          <w:color w:val="231F20"/>
          <w:spacing w:val="-13"/>
        </w:rPr>
        <w:t> </w:t>
      </w:r>
      <w:r>
        <w:rPr>
          <w:color w:val="231F20"/>
          <w:spacing w:val="-2"/>
        </w:rPr>
        <w:t>au</w:t>
      </w:r>
      <w:r>
        <w:rPr>
          <w:color w:val="231F20"/>
          <w:spacing w:val="-13"/>
        </w:rPr>
        <w:t> </w:t>
      </w:r>
      <w:r>
        <w:rPr>
          <w:color w:val="231F20"/>
          <w:spacing w:val="-2"/>
        </w:rPr>
        <w:t>Sénégal</w:t>
      </w:r>
      <w:r>
        <w:rPr>
          <w:color w:val="231F20"/>
          <w:spacing w:val="-13"/>
        </w:rPr>
        <w:t> </w:t>
      </w:r>
      <w:r>
        <w:rPr>
          <w:color w:val="231F20"/>
          <w:spacing w:val="-2"/>
        </w:rPr>
        <w:t>où</w:t>
      </w:r>
      <w:r>
        <w:rPr>
          <w:color w:val="231F20"/>
          <w:spacing w:val="-13"/>
        </w:rPr>
        <w:t> </w:t>
      </w:r>
      <w:r>
        <w:rPr>
          <w:color w:val="231F20"/>
          <w:spacing w:val="-2"/>
        </w:rPr>
        <w:t>il</w:t>
      </w:r>
      <w:r>
        <w:rPr>
          <w:color w:val="231F20"/>
          <w:spacing w:val="-13"/>
        </w:rPr>
        <w:t> </w:t>
      </w:r>
      <w:r>
        <w:rPr>
          <w:color w:val="231F20"/>
          <w:spacing w:val="-2"/>
        </w:rPr>
        <w:t>meurt</w:t>
      </w:r>
      <w:r>
        <w:rPr>
          <w:color w:val="231F20"/>
          <w:spacing w:val="-13"/>
        </w:rPr>
        <w:t> </w:t>
      </w:r>
      <w:r>
        <w:rPr>
          <w:color w:val="231F20"/>
          <w:spacing w:val="-2"/>
        </w:rPr>
        <w:t>d’une</w:t>
      </w:r>
      <w:r>
        <w:rPr>
          <w:color w:val="231F20"/>
          <w:spacing w:val="-13"/>
        </w:rPr>
        <w:t> </w:t>
      </w:r>
      <w:r>
        <w:rPr>
          <w:color w:val="231F20"/>
          <w:spacing w:val="-2"/>
        </w:rPr>
        <w:t>crise</w:t>
      </w:r>
      <w:r>
        <w:rPr>
          <w:color w:val="231F20"/>
          <w:spacing w:val="-13"/>
        </w:rPr>
        <w:t> </w:t>
      </w:r>
      <w:r>
        <w:rPr>
          <w:color w:val="231F20"/>
          <w:spacing w:val="-2"/>
        </w:rPr>
        <w:t>cardiaque,</w:t>
      </w:r>
      <w:r>
        <w:rPr>
          <w:color w:val="231F20"/>
          <w:spacing w:val="-13"/>
        </w:rPr>
        <w:t> </w:t>
      </w:r>
      <w:r>
        <w:rPr>
          <w:color w:val="231F20"/>
          <w:spacing w:val="-2"/>
        </w:rPr>
        <w:t>le</w:t>
      </w:r>
      <w:r>
        <w:rPr>
          <w:color w:val="231F20"/>
          <w:spacing w:val="-13"/>
        </w:rPr>
        <w:t> </w:t>
      </w:r>
      <w:r>
        <w:rPr>
          <w:color w:val="231F20"/>
          <w:spacing w:val="-2"/>
        </w:rPr>
        <w:t>30</w:t>
      </w:r>
      <w:r>
        <w:rPr>
          <w:color w:val="231F20"/>
          <w:spacing w:val="-13"/>
        </w:rPr>
        <w:t> </w:t>
      </w:r>
      <w:r>
        <w:rPr>
          <w:color w:val="231F20"/>
          <w:spacing w:val="-2"/>
        </w:rPr>
        <w:t>novembre 1989.</w:t>
      </w:r>
    </w:p>
    <w:p>
      <w:pPr>
        <w:pStyle w:val="BodyText"/>
        <w:spacing w:before="121"/>
        <w:ind w:right="105" w:firstLine="283"/>
      </w:pPr>
      <w:r>
        <w:rPr>
          <w:color w:val="231F20"/>
        </w:rPr>
        <w:t>Depuis fin 2016, les régions anglophones du nord-ouest et du sud- </w:t>
      </w:r>
      <w:r>
        <w:rPr>
          <w:color w:val="231F20"/>
          <w:spacing w:val="-4"/>
        </w:rPr>
        <w:t>ouest</w:t>
      </w:r>
      <w:r>
        <w:rPr>
          <w:color w:val="231F20"/>
          <w:spacing w:val="-11"/>
        </w:rPr>
        <w:t> </w:t>
      </w:r>
      <w:r>
        <w:rPr>
          <w:color w:val="231F20"/>
          <w:spacing w:val="-4"/>
        </w:rPr>
        <w:t>sont</w:t>
      </w:r>
      <w:r>
        <w:rPr>
          <w:color w:val="231F20"/>
          <w:spacing w:val="-11"/>
        </w:rPr>
        <w:t> </w:t>
      </w:r>
      <w:r>
        <w:rPr>
          <w:color w:val="231F20"/>
          <w:spacing w:val="-4"/>
        </w:rPr>
        <w:t>confrontées</w:t>
      </w:r>
      <w:r>
        <w:rPr>
          <w:color w:val="231F20"/>
          <w:spacing w:val="-11"/>
        </w:rPr>
        <w:t> </w:t>
      </w:r>
      <w:r>
        <w:rPr>
          <w:color w:val="231F20"/>
          <w:spacing w:val="-4"/>
        </w:rPr>
        <w:t>à</w:t>
      </w:r>
      <w:r>
        <w:rPr>
          <w:color w:val="231F20"/>
          <w:spacing w:val="-11"/>
        </w:rPr>
        <w:t> </w:t>
      </w:r>
      <w:r>
        <w:rPr>
          <w:color w:val="231F20"/>
          <w:spacing w:val="-4"/>
        </w:rPr>
        <w:t>une</w:t>
      </w:r>
      <w:r>
        <w:rPr>
          <w:color w:val="231F20"/>
          <w:spacing w:val="-11"/>
        </w:rPr>
        <w:t> </w:t>
      </w:r>
      <w:r>
        <w:rPr>
          <w:color w:val="231F20"/>
          <w:spacing w:val="-4"/>
        </w:rPr>
        <w:t>grave</w:t>
      </w:r>
      <w:r>
        <w:rPr>
          <w:color w:val="231F20"/>
          <w:spacing w:val="-11"/>
        </w:rPr>
        <w:t> </w:t>
      </w:r>
      <w:r>
        <w:rPr>
          <w:color w:val="231F20"/>
          <w:spacing w:val="-4"/>
        </w:rPr>
        <w:t>crise</w:t>
      </w:r>
      <w:r>
        <w:rPr>
          <w:color w:val="231F20"/>
          <w:spacing w:val="-11"/>
        </w:rPr>
        <w:t> </w:t>
      </w:r>
      <w:r>
        <w:rPr>
          <w:color w:val="231F20"/>
          <w:spacing w:val="-4"/>
        </w:rPr>
        <w:t>sociopolitique.</w:t>
      </w:r>
      <w:r>
        <w:rPr>
          <w:color w:val="231F20"/>
          <w:spacing w:val="-11"/>
        </w:rPr>
        <w:t> </w:t>
      </w:r>
      <w:r>
        <w:rPr>
          <w:color w:val="231F20"/>
          <w:spacing w:val="-4"/>
        </w:rPr>
        <w:t>La</w:t>
      </w:r>
      <w:r>
        <w:rPr>
          <w:color w:val="231F20"/>
          <w:spacing w:val="-11"/>
        </w:rPr>
        <w:t> </w:t>
      </w:r>
      <w:r>
        <w:rPr>
          <w:color w:val="231F20"/>
          <w:spacing w:val="-4"/>
        </w:rPr>
        <w:t>crise</w:t>
      </w:r>
      <w:r>
        <w:rPr>
          <w:color w:val="231F20"/>
          <w:spacing w:val="-11"/>
        </w:rPr>
        <w:t> </w:t>
      </w:r>
      <w:r>
        <w:rPr>
          <w:color w:val="231F20"/>
          <w:spacing w:val="-4"/>
        </w:rPr>
        <w:t>s'est</w:t>
      </w:r>
      <w:r>
        <w:rPr>
          <w:color w:val="231F20"/>
          <w:spacing w:val="-11"/>
        </w:rPr>
        <w:t> </w:t>
      </w:r>
      <w:r>
        <w:rPr>
          <w:color w:val="231F20"/>
          <w:spacing w:val="-4"/>
        </w:rPr>
        <w:t>muée </w:t>
      </w:r>
      <w:r>
        <w:rPr>
          <w:color w:val="231F20"/>
        </w:rPr>
        <w:t>en</w:t>
      </w:r>
      <w:r>
        <w:rPr>
          <w:color w:val="231F20"/>
          <w:spacing w:val="-1"/>
        </w:rPr>
        <w:t> </w:t>
      </w:r>
      <w:r>
        <w:rPr>
          <w:color w:val="231F20"/>
        </w:rPr>
        <w:t>conflit</w:t>
      </w:r>
      <w:r>
        <w:rPr>
          <w:color w:val="231F20"/>
          <w:spacing w:val="-3"/>
        </w:rPr>
        <w:t> </w:t>
      </w:r>
      <w:r>
        <w:rPr>
          <w:color w:val="231F20"/>
        </w:rPr>
        <w:t>armé</w:t>
      </w:r>
      <w:r>
        <w:rPr>
          <w:color w:val="231F20"/>
          <w:spacing w:val="-4"/>
        </w:rPr>
        <w:t> </w:t>
      </w:r>
      <w:r>
        <w:rPr>
          <w:color w:val="231F20"/>
        </w:rPr>
        <w:t>fin</w:t>
      </w:r>
      <w:r>
        <w:rPr>
          <w:color w:val="231F20"/>
          <w:spacing w:val="-4"/>
        </w:rPr>
        <w:t> </w:t>
      </w:r>
      <w:r>
        <w:rPr>
          <w:color w:val="231F20"/>
        </w:rPr>
        <w:t>2017.</w:t>
      </w:r>
      <w:r>
        <w:rPr>
          <w:color w:val="231F20"/>
          <w:spacing w:val="-5"/>
        </w:rPr>
        <w:t> </w:t>
      </w:r>
      <w:r>
        <w:rPr>
          <w:color w:val="231F20"/>
        </w:rPr>
        <w:t>Ce</w:t>
      </w:r>
      <w:r>
        <w:rPr>
          <w:color w:val="231F20"/>
          <w:spacing w:val="-2"/>
        </w:rPr>
        <w:t> </w:t>
      </w:r>
      <w:r>
        <w:rPr>
          <w:color w:val="231F20"/>
        </w:rPr>
        <w:t>conflit</w:t>
      </w:r>
      <w:r>
        <w:rPr>
          <w:color w:val="231F20"/>
          <w:spacing w:val="-1"/>
        </w:rPr>
        <w:t> </w:t>
      </w:r>
      <w:r>
        <w:rPr>
          <w:color w:val="231F20"/>
        </w:rPr>
        <w:t>est</w:t>
      </w:r>
      <w:r>
        <w:rPr>
          <w:color w:val="231F20"/>
          <w:spacing w:val="-3"/>
        </w:rPr>
        <w:t> </w:t>
      </w:r>
      <w:r>
        <w:rPr>
          <w:color w:val="231F20"/>
        </w:rPr>
        <w:t>lié</w:t>
      </w:r>
      <w:r>
        <w:rPr>
          <w:color w:val="231F20"/>
          <w:spacing w:val="-4"/>
        </w:rPr>
        <w:t> </w:t>
      </w:r>
      <w:r>
        <w:rPr>
          <w:color w:val="231F20"/>
        </w:rPr>
        <w:t>à</w:t>
      </w:r>
      <w:r>
        <w:rPr>
          <w:color w:val="231F20"/>
          <w:spacing w:val="-4"/>
        </w:rPr>
        <w:t> </w:t>
      </w:r>
      <w:r>
        <w:rPr>
          <w:color w:val="231F20"/>
        </w:rPr>
        <w:t>la</w:t>
      </w:r>
      <w:r>
        <w:rPr>
          <w:color w:val="231F20"/>
          <w:spacing w:val="-2"/>
        </w:rPr>
        <w:t> </w:t>
      </w:r>
      <w:r>
        <w:rPr>
          <w:color w:val="231F20"/>
        </w:rPr>
        <w:t>situation</w:t>
      </w:r>
      <w:r>
        <w:rPr>
          <w:color w:val="231F20"/>
          <w:spacing w:val="-4"/>
        </w:rPr>
        <w:t> </w:t>
      </w:r>
      <w:r>
        <w:rPr>
          <w:color w:val="231F20"/>
        </w:rPr>
        <w:t>socio-politique spécifique</w:t>
      </w:r>
      <w:r>
        <w:rPr>
          <w:color w:val="231F20"/>
          <w:spacing w:val="12"/>
        </w:rPr>
        <w:t> </w:t>
      </w:r>
      <w:r>
        <w:rPr>
          <w:color w:val="231F20"/>
        </w:rPr>
        <w:t>dans</w:t>
      </w:r>
      <w:r>
        <w:rPr>
          <w:color w:val="231F20"/>
          <w:spacing w:val="13"/>
        </w:rPr>
        <w:t> </w:t>
      </w:r>
      <w:r>
        <w:rPr>
          <w:color w:val="231F20"/>
        </w:rPr>
        <w:t>ces</w:t>
      </w:r>
      <w:r>
        <w:rPr>
          <w:color w:val="231F20"/>
          <w:spacing w:val="14"/>
        </w:rPr>
        <w:t> </w:t>
      </w:r>
      <w:r>
        <w:rPr>
          <w:color w:val="231F20"/>
        </w:rPr>
        <w:t>régions</w:t>
      </w:r>
      <w:r>
        <w:rPr>
          <w:color w:val="231F20"/>
          <w:spacing w:val="-15"/>
        </w:rPr>
        <w:t> </w:t>
      </w:r>
      <w:r>
        <w:rPr>
          <w:color w:val="231F20"/>
        </w:rPr>
        <w:t>:</w:t>
      </w:r>
      <w:r>
        <w:rPr>
          <w:color w:val="231F20"/>
          <w:spacing w:val="10"/>
        </w:rPr>
        <w:t> </w:t>
      </w:r>
      <w:r>
        <w:rPr>
          <w:color w:val="231F20"/>
        </w:rPr>
        <w:t>initialement</w:t>
      </w:r>
      <w:r>
        <w:rPr>
          <w:color w:val="231F20"/>
          <w:spacing w:val="13"/>
        </w:rPr>
        <w:t> </w:t>
      </w:r>
      <w:r>
        <w:rPr>
          <w:color w:val="231F20"/>
        </w:rPr>
        <w:t>basée</w:t>
      </w:r>
      <w:r>
        <w:rPr>
          <w:color w:val="231F20"/>
          <w:spacing w:val="13"/>
        </w:rPr>
        <w:t> </w:t>
      </w:r>
      <w:r>
        <w:rPr>
          <w:color w:val="231F20"/>
        </w:rPr>
        <w:t>sur</w:t>
      </w:r>
      <w:r>
        <w:rPr>
          <w:color w:val="231F20"/>
          <w:spacing w:val="13"/>
        </w:rPr>
        <w:t> </w:t>
      </w:r>
      <w:r>
        <w:rPr>
          <w:color w:val="231F20"/>
        </w:rPr>
        <w:t>des</w:t>
      </w:r>
      <w:r>
        <w:rPr>
          <w:color w:val="231F20"/>
          <w:spacing w:val="13"/>
        </w:rPr>
        <w:t> </w:t>
      </w:r>
      <w:r>
        <w:rPr>
          <w:color w:val="231F20"/>
          <w:spacing w:val="-2"/>
        </w:rPr>
        <w:t>revendications</w:t>
      </w:r>
    </w:p>
    <w:p>
      <w:pPr>
        <w:spacing w:after="0"/>
        <w:sectPr>
          <w:pgSz w:w="8790" w:h="13610"/>
          <w:pgMar w:header="0" w:footer="802" w:top="1060" w:bottom="1000" w:left="880" w:right="880"/>
        </w:sectPr>
      </w:pPr>
    </w:p>
    <w:p>
      <w:pPr>
        <w:pStyle w:val="BodyText"/>
        <w:spacing w:before="66"/>
        <w:ind w:right="105"/>
      </w:pPr>
      <w:r>
        <w:rPr>
          <w:color w:val="231F20"/>
          <w:spacing w:val="-2"/>
        </w:rPr>
        <w:t>corporatistes</w:t>
      </w:r>
      <w:r>
        <w:rPr>
          <w:color w:val="231F20"/>
          <w:spacing w:val="-15"/>
        </w:rPr>
        <w:t> </w:t>
      </w:r>
      <w:r>
        <w:rPr>
          <w:color w:val="231F20"/>
          <w:spacing w:val="-2"/>
        </w:rPr>
        <w:t>des</w:t>
      </w:r>
      <w:r>
        <w:rPr>
          <w:color w:val="231F20"/>
          <w:spacing w:val="-13"/>
        </w:rPr>
        <w:t> </w:t>
      </w:r>
      <w:r>
        <w:rPr>
          <w:color w:val="231F20"/>
          <w:spacing w:val="-2"/>
        </w:rPr>
        <w:t>avocats</w:t>
      </w:r>
      <w:r>
        <w:rPr>
          <w:color w:val="231F20"/>
          <w:spacing w:val="-13"/>
        </w:rPr>
        <w:t> </w:t>
      </w:r>
      <w:r>
        <w:rPr>
          <w:color w:val="231F20"/>
          <w:spacing w:val="-2"/>
        </w:rPr>
        <w:t>et</w:t>
      </w:r>
      <w:r>
        <w:rPr>
          <w:color w:val="231F20"/>
          <w:spacing w:val="-13"/>
        </w:rPr>
        <w:t> </w:t>
      </w:r>
      <w:r>
        <w:rPr>
          <w:color w:val="231F20"/>
          <w:spacing w:val="-2"/>
        </w:rPr>
        <w:t>enseignants,</w:t>
      </w:r>
      <w:r>
        <w:rPr>
          <w:color w:val="231F20"/>
          <w:spacing w:val="-13"/>
        </w:rPr>
        <w:t> </w:t>
      </w:r>
      <w:r>
        <w:rPr>
          <w:color w:val="231F20"/>
          <w:spacing w:val="-2"/>
        </w:rPr>
        <w:t>la</w:t>
      </w:r>
      <w:r>
        <w:rPr>
          <w:color w:val="231F20"/>
          <w:spacing w:val="-13"/>
        </w:rPr>
        <w:t> </w:t>
      </w:r>
      <w:r>
        <w:rPr>
          <w:color w:val="231F20"/>
          <w:spacing w:val="-2"/>
        </w:rPr>
        <w:t>crise</w:t>
      </w:r>
      <w:r>
        <w:rPr>
          <w:color w:val="231F20"/>
          <w:spacing w:val="-13"/>
        </w:rPr>
        <w:t> </w:t>
      </w:r>
      <w:r>
        <w:rPr>
          <w:color w:val="231F20"/>
          <w:spacing w:val="-2"/>
        </w:rPr>
        <w:t>bascule</w:t>
      </w:r>
      <w:r>
        <w:rPr>
          <w:color w:val="231F20"/>
          <w:spacing w:val="-13"/>
        </w:rPr>
        <w:t> </w:t>
      </w:r>
      <w:r>
        <w:rPr>
          <w:color w:val="231F20"/>
          <w:spacing w:val="-2"/>
        </w:rPr>
        <w:t>progressivement </w:t>
      </w:r>
      <w:r>
        <w:rPr>
          <w:color w:val="231F20"/>
        </w:rPr>
        <w:t>vers des revendications</w:t>
      </w:r>
      <w:r>
        <w:rPr>
          <w:color w:val="231F20"/>
          <w:spacing w:val="-10"/>
        </w:rPr>
        <w:t> </w:t>
      </w:r>
      <w:r>
        <w:rPr>
          <w:color w:val="231F20"/>
        </w:rPr>
        <w:t>sécessionnistes en raison du refus du gouvernement d'ouvrir un débat sur le retour au</w:t>
      </w:r>
      <w:r>
        <w:rPr>
          <w:color w:val="231F20"/>
          <w:spacing w:val="-15"/>
        </w:rPr>
        <w:t> </w:t>
      </w:r>
      <w:r>
        <w:rPr>
          <w:color w:val="231F20"/>
        </w:rPr>
        <w:t>fédéralisme. Selon le gouvernement, plus de 80</w:t>
      </w:r>
      <w:r>
        <w:rPr>
          <w:color w:val="231F20"/>
          <w:spacing w:val="-14"/>
        </w:rPr>
        <w:t> </w:t>
      </w:r>
      <w:r>
        <w:rPr>
          <w:color w:val="231F20"/>
        </w:rPr>
        <w:t>membres des forces de sécurité ont été tués dans</w:t>
      </w:r>
      <w:r>
        <w:rPr>
          <w:color w:val="231F20"/>
          <w:spacing w:val="40"/>
        </w:rPr>
        <w:t> </w:t>
      </w:r>
      <w:r>
        <w:rPr>
          <w:color w:val="231F20"/>
        </w:rPr>
        <w:t>ces</w:t>
      </w:r>
      <w:r>
        <w:rPr>
          <w:color w:val="231F20"/>
          <w:spacing w:val="40"/>
        </w:rPr>
        <w:t> </w:t>
      </w:r>
      <w:r>
        <w:rPr>
          <w:color w:val="231F20"/>
        </w:rPr>
        <w:t>combats</w:t>
      </w:r>
      <w:r>
        <w:rPr>
          <w:color w:val="231F20"/>
          <w:spacing w:val="40"/>
        </w:rPr>
        <w:t> </w:t>
      </w:r>
      <w:r>
        <w:rPr>
          <w:color w:val="231F20"/>
        </w:rPr>
        <w:t>qui</w:t>
      </w:r>
      <w:r>
        <w:rPr>
          <w:color w:val="231F20"/>
          <w:spacing w:val="40"/>
        </w:rPr>
        <w:t> </w:t>
      </w:r>
      <w:r>
        <w:rPr>
          <w:color w:val="231F20"/>
        </w:rPr>
        <w:t>les</w:t>
      </w:r>
      <w:r>
        <w:rPr>
          <w:color w:val="231F20"/>
          <w:spacing w:val="40"/>
        </w:rPr>
        <w:t> </w:t>
      </w:r>
      <w:r>
        <w:rPr>
          <w:color w:val="231F20"/>
        </w:rPr>
        <w:t>opposent</w:t>
      </w:r>
      <w:r>
        <w:rPr>
          <w:color w:val="231F20"/>
          <w:spacing w:val="40"/>
        </w:rPr>
        <w:t> </w:t>
      </w:r>
      <w:r>
        <w:rPr>
          <w:color w:val="231F20"/>
        </w:rPr>
        <w:t>à</w:t>
      </w:r>
      <w:r>
        <w:rPr>
          <w:color w:val="231F20"/>
          <w:spacing w:val="40"/>
        </w:rPr>
        <w:t> </w:t>
      </w:r>
      <w:r>
        <w:rPr>
          <w:color w:val="231F20"/>
        </w:rPr>
        <w:t>des</w:t>
      </w:r>
      <w:r>
        <w:rPr>
          <w:color w:val="231F20"/>
          <w:spacing w:val="40"/>
        </w:rPr>
        <w:t> </w:t>
      </w:r>
      <w:r>
        <w:rPr>
          <w:color w:val="231F20"/>
        </w:rPr>
        <w:t>groupes</w:t>
      </w:r>
      <w:r>
        <w:rPr>
          <w:color w:val="231F20"/>
          <w:spacing w:val="40"/>
        </w:rPr>
        <w:t> </w:t>
      </w:r>
      <w:r>
        <w:rPr>
          <w:color w:val="231F20"/>
        </w:rPr>
        <w:t>armés.</w:t>
      </w:r>
      <w:r>
        <w:rPr>
          <w:color w:val="231F20"/>
          <w:spacing w:val="40"/>
        </w:rPr>
        <w:t> </w:t>
      </w:r>
      <w:r>
        <w:rPr>
          <w:color w:val="231F20"/>
        </w:rPr>
        <w:t>Plus</w:t>
      </w:r>
      <w:r>
        <w:rPr>
          <w:color w:val="231F20"/>
          <w:spacing w:val="40"/>
        </w:rPr>
        <w:t> </w:t>
      </w:r>
      <w:r>
        <w:rPr>
          <w:color w:val="231F20"/>
        </w:rPr>
        <w:t>de 600</w:t>
      </w:r>
      <w:r>
        <w:rPr>
          <w:color w:val="231F20"/>
          <w:spacing w:val="-15"/>
        </w:rPr>
        <w:t> </w:t>
      </w:r>
      <w:r>
        <w:rPr>
          <w:color w:val="231F20"/>
        </w:rPr>
        <w:t>personnes</w:t>
      </w:r>
      <w:r>
        <w:rPr>
          <w:color w:val="231F20"/>
          <w:spacing w:val="-14"/>
        </w:rPr>
        <w:t> </w:t>
      </w:r>
      <w:r>
        <w:rPr>
          <w:color w:val="231F20"/>
        </w:rPr>
        <w:t>auraient</w:t>
      </w:r>
      <w:r>
        <w:rPr>
          <w:color w:val="231F20"/>
          <w:spacing w:val="-11"/>
        </w:rPr>
        <w:t> </w:t>
      </w:r>
      <w:r>
        <w:rPr>
          <w:color w:val="231F20"/>
        </w:rPr>
        <w:t>été</w:t>
      </w:r>
      <w:r>
        <w:rPr>
          <w:color w:val="231F20"/>
          <w:spacing w:val="-12"/>
        </w:rPr>
        <w:t> </w:t>
      </w:r>
      <w:r>
        <w:rPr>
          <w:color w:val="231F20"/>
        </w:rPr>
        <w:t>arrêtées</w:t>
      </w:r>
      <w:r>
        <w:rPr>
          <w:color w:val="231F20"/>
          <w:spacing w:val="-11"/>
        </w:rPr>
        <w:t> </w:t>
      </w:r>
      <w:r>
        <w:rPr>
          <w:color w:val="231F20"/>
        </w:rPr>
        <w:t>depuis</w:t>
      </w:r>
      <w:r>
        <w:rPr>
          <w:color w:val="231F20"/>
          <w:spacing w:val="-13"/>
        </w:rPr>
        <w:t> </w:t>
      </w:r>
      <w:r>
        <w:rPr>
          <w:color w:val="231F20"/>
        </w:rPr>
        <w:t>le</w:t>
      </w:r>
      <w:r>
        <w:rPr>
          <w:color w:val="231F20"/>
          <w:spacing w:val="-11"/>
        </w:rPr>
        <w:t> </w:t>
      </w:r>
      <w:r>
        <w:rPr>
          <w:color w:val="231F20"/>
        </w:rPr>
        <w:t>début</w:t>
      </w:r>
      <w:r>
        <w:rPr>
          <w:color w:val="231F20"/>
          <w:spacing w:val="-12"/>
        </w:rPr>
        <w:t> </w:t>
      </w:r>
      <w:r>
        <w:rPr>
          <w:color w:val="231F20"/>
        </w:rPr>
        <w:t>de</w:t>
      </w:r>
      <w:r>
        <w:rPr>
          <w:color w:val="231F20"/>
          <w:spacing w:val="-11"/>
        </w:rPr>
        <w:t> </w:t>
      </w:r>
      <w:r>
        <w:rPr>
          <w:color w:val="231F20"/>
        </w:rPr>
        <w:t>la</w:t>
      </w:r>
      <w:r>
        <w:rPr>
          <w:color w:val="231F20"/>
          <w:spacing w:val="-11"/>
        </w:rPr>
        <w:t> </w:t>
      </w:r>
      <w:r>
        <w:rPr>
          <w:color w:val="231F20"/>
        </w:rPr>
        <w:t>crise,</w:t>
      </w:r>
      <w:r>
        <w:rPr>
          <w:color w:val="231F20"/>
          <w:spacing w:val="-11"/>
        </w:rPr>
        <w:t> </w:t>
      </w:r>
      <w:r>
        <w:rPr>
          <w:color w:val="231F20"/>
        </w:rPr>
        <w:t>selon</w:t>
      </w:r>
      <w:r>
        <w:rPr>
          <w:color w:val="231F20"/>
          <w:spacing w:val="-11"/>
        </w:rPr>
        <w:t> </w:t>
      </w:r>
      <w:r>
        <w:rPr>
          <w:color w:val="231F20"/>
        </w:rPr>
        <w:t>des sources onusiennes.</w:t>
      </w:r>
    </w:p>
    <w:p>
      <w:pPr>
        <w:pStyle w:val="BodyText"/>
        <w:spacing w:before="120"/>
        <w:ind w:right="104" w:firstLine="283"/>
      </w:pPr>
      <w:r>
        <w:rPr>
          <w:color w:val="231F20"/>
        </w:rPr>
        <w:t>De son histoire coloniale, environ 80 % de la population est </w:t>
      </w:r>
      <w:r>
        <w:rPr>
          <w:color w:val="231F20"/>
          <w:spacing w:val="-2"/>
        </w:rPr>
        <w:t>francophone</w:t>
      </w:r>
      <w:r>
        <w:rPr>
          <w:color w:val="231F20"/>
          <w:spacing w:val="-11"/>
        </w:rPr>
        <w:t> </w:t>
      </w:r>
      <w:r>
        <w:rPr>
          <w:color w:val="231F20"/>
          <w:spacing w:val="-2"/>
        </w:rPr>
        <w:t>et</w:t>
      </w:r>
      <w:r>
        <w:rPr>
          <w:color w:val="231F20"/>
          <w:spacing w:val="-10"/>
        </w:rPr>
        <w:t> </w:t>
      </w:r>
      <w:r>
        <w:rPr>
          <w:color w:val="231F20"/>
          <w:spacing w:val="-2"/>
        </w:rPr>
        <w:t>vit</w:t>
      </w:r>
      <w:r>
        <w:rPr>
          <w:color w:val="231F20"/>
          <w:spacing w:val="-12"/>
        </w:rPr>
        <w:t> </w:t>
      </w:r>
      <w:r>
        <w:rPr>
          <w:color w:val="231F20"/>
          <w:spacing w:val="-2"/>
        </w:rPr>
        <w:t>dans</w:t>
      </w:r>
      <w:r>
        <w:rPr>
          <w:color w:val="231F20"/>
          <w:spacing w:val="-12"/>
        </w:rPr>
        <w:t> </w:t>
      </w:r>
      <w:r>
        <w:rPr>
          <w:color w:val="231F20"/>
          <w:spacing w:val="-2"/>
        </w:rPr>
        <w:t>des</w:t>
      </w:r>
      <w:r>
        <w:rPr>
          <w:color w:val="231F20"/>
          <w:spacing w:val="-10"/>
        </w:rPr>
        <w:t> </w:t>
      </w:r>
      <w:r>
        <w:rPr>
          <w:color w:val="231F20"/>
          <w:spacing w:val="-2"/>
        </w:rPr>
        <w:t>subdivisions</w:t>
      </w:r>
      <w:r>
        <w:rPr>
          <w:color w:val="231F20"/>
          <w:spacing w:val="-12"/>
        </w:rPr>
        <w:t> </w:t>
      </w:r>
      <w:r>
        <w:rPr>
          <w:color w:val="231F20"/>
          <w:spacing w:val="-2"/>
        </w:rPr>
        <w:t>francophones.</w:t>
      </w:r>
      <w:r>
        <w:rPr>
          <w:color w:val="231F20"/>
          <w:spacing w:val="-10"/>
        </w:rPr>
        <w:t> </w:t>
      </w:r>
      <w:r>
        <w:rPr>
          <w:color w:val="231F20"/>
          <w:spacing w:val="-2"/>
        </w:rPr>
        <w:t>Les</w:t>
      </w:r>
      <w:r>
        <w:rPr>
          <w:color w:val="231F20"/>
          <w:spacing w:val="-12"/>
        </w:rPr>
        <w:t> </w:t>
      </w:r>
      <w:r>
        <w:rPr>
          <w:color w:val="231F20"/>
          <w:spacing w:val="-2"/>
        </w:rPr>
        <w:t>deux</w:t>
      </w:r>
      <w:r>
        <w:rPr>
          <w:color w:val="231F20"/>
          <w:spacing w:val="-13"/>
        </w:rPr>
        <w:t> </w:t>
      </w:r>
      <w:r>
        <w:rPr>
          <w:color w:val="231F20"/>
          <w:spacing w:val="-2"/>
        </w:rPr>
        <w:t>régions </w:t>
      </w:r>
      <w:r>
        <w:rPr>
          <w:color w:val="231F20"/>
        </w:rPr>
        <w:t>au Nord-Ouest et Sud-Ouest limitrophes avec le Nigéria sont </w:t>
      </w:r>
      <w:r>
        <w:rPr>
          <w:color w:val="231F20"/>
          <w:spacing w:val="-4"/>
        </w:rPr>
        <w:t>anglophones.</w:t>
      </w:r>
      <w:r>
        <w:rPr>
          <w:color w:val="231F20"/>
          <w:spacing w:val="-5"/>
        </w:rPr>
        <w:t> </w:t>
      </w:r>
      <w:r>
        <w:rPr>
          <w:color w:val="231F20"/>
          <w:spacing w:val="-4"/>
        </w:rPr>
        <w:t>Officiellement,</w:t>
      </w:r>
      <w:r>
        <w:rPr>
          <w:color w:val="231F20"/>
          <w:spacing w:val="-6"/>
        </w:rPr>
        <w:t> </w:t>
      </w:r>
      <w:r>
        <w:rPr>
          <w:color w:val="231F20"/>
          <w:spacing w:val="-4"/>
        </w:rPr>
        <w:t>le français</w:t>
      </w:r>
      <w:r>
        <w:rPr>
          <w:color w:val="231F20"/>
          <w:spacing w:val="-5"/>
        </w:rPr>
        <w:t> </w:t>
      </w:r>
      <w:r>
        <w:rPr>
          <w:color w:val="231F20"/>
          <w:spacing w:val="-4"/>
        </w:rPr>
        <w:t>et</w:t>
      </w:r>
      <w:r>
        <w:rPr>
          <w:color w:val="231F20"/>
          <w:spacing w:val="-6"/>
        </w:rPr>
        <w:t> </w:t>
      </w:r>
      <w:r>
        <w:rPr>
          <w:color w:val="231F20"/>
          <w:spacing w:val="-4"/>
        </w:rPr>
        <w:t>l’anglais</w:t>
      </w:r>
      <w:r>
        <w:rPr>
          <w:color w:val="231F20"/>
          <w:spacing w:val="-5"/>
        </w:rPr>
        <w:t> </w:t>
      </w:r>
      <w:r>
        <w:rPr>
          <w:color w:val="231F20"/>
          <w:spacing w:val="-4"/>
        </w:rPr>
        <w:t>sont les deux</w:t>
      </w:r>
      <w:r>
        <w:rPr>
          <w:color w:val="231F20"/>
          <w:spacing w:val="-5"/>
        </w:rPr>
        <w:t> </w:t>
      </w:r>
      <w:r>
        <w:rPr>
          <w:color w:val="231F20"/>
          <w:spacing w:val="-4"/>
        </w:rPr>
        <w:t>langues </w:t>
      </w:r>
      <w:r>
        <w:rPr>
          <w:color w:val="231F20"/>
        </w:rPr>
        <w:t>de l’Administration, de l’Enseignement et des Médias. Ce bilinguisme permet au Cameroun de faire à la fois partie du monde francophone et anglophone. Dans les faits, le français est largement avantagé dans </w:t>
      </w:r>
      <w:r>
        <w:rPr>
          <w:color w:val="231F20"/>
          <w:spacing w:val="-2"/>
        </w:rPr>
        <w:t>l’Administration</w:t>
      </w:r>
      <w:r>
        <w:rPr>
          <w:color w:val="231F20"/>
          <w:spacing w:val="-13"/>
        </w:rPr>
        <w:t> </w:t>
      </w:r>
      <w:r>
        <w:rPr>
          <w:color w:val="231F20"/>
          <w:spacing w:val="-2"/>
        </w:rPr>
        <w:t>et</w:t>
      </w:r>
      <w:r>
        <w:rPr>
          <w:color w:val="231F20"/>
          <w:spacing w:val="-13"/>
        </w:rPr>
        <w:t> </w:t>
      </w:r>
      <w:r>
        <w:rPr>
          <w:color w:val="231F20"/>
          <w:spacing w:val="-2"/>
        </w:rPr>
        <w:t>les</w:t>
      </w:r>
      <w:r>
        <w:rPr>
          <w:color w:val="231F20"/>
          <w:spacing w:val="-13"/>
        </w:rPr>
        <w:t> </w:t>
      </w:r>
      <w:r>
        <w:rPr>
          <w:color w:val="231F20"/>
          <w:spacing w:val="-2"/>
        </w:rPr>
        <w:t>Médias.</w:t>
      </w:r>
      <w:r>
        <w:rPr>
          <w:color w:val="231F20"/>
          <w:spacing w:val="-13"/>
        </w:rPr>
        <w:t> </w:t>
      </w:r>
      <w:r>
        <w:rPr>
          <w:color w:val="231F20"/>
          <w:spacing w:val="-2"/>
        </w:rPr>
        <w:t>Cela</w:t>
      </w:r>
      <w:r>
        <w:rPr>
          <w:color w:val="231F20"/>
          <w:spacing w:val="-13"/>
        </w:rPr>
        <w:t> </w:t>
      </w:r>
      <w:r>
        <w:rPr>
          <w:color w:val="231F20"/>
          <w:spacing w:val="-2"/>
        </w:rPr>
        <w:t>amène</w:t>
      </w:r>
      <w:r>
        <w:rPr>
          <w:color w:val="231F20"/>
          <w:spacing w:val="-13"/>
        </w:rPr>
        <w:t> </w:t>
      </w:r>
      <w:r>
        <w:rPr>
          <w:color w:val="231F20"/>
          <w:spacing w:val="-2"/>
        </w:rPr>
        <w:t>les</w:t>
      </w:r>
      <w:r>
        <w:rPr>
          <w:color w:val="231F20"/>
          <w:spacing w:val="-13"/>
        </w:rPr>
        <w:t> </w:t>
      </w:r>
      <w:r>
        <w:rPr>
          <w:color w:val="231F20"/>
          <w:spacing w:val="-2"/>
        </w:rPr>
        <w:t>anglophones</w:t>
      </w:r>
      <w:r>
        <w:rPr>
          <w:color w:val="231F20"/>
          <w:spacing w:val="-13"/>
        </w:rPr>
        <w:t> </w:t>
      </w:r>
      <w:r>
        <w:rPr>
          <w:color w:val="231F20"/>
          <w:spacing w:val="-2"/>
        </w:rPr>
        <w:t>à</w:t>
      </w:r>
      <w:r>
        <w:rPr>
          <w:color w:val="231F20"/>
          <w:spacing w:val="-13"/>
        </w:rPr>
        <w:t> </w:t>
      </w:r>
      <w:r>
        <w:rPr>
          <w:color w:val="231F20"/>
          <w:spacing w:val="-2"/>
        </w:rPr>
        <w:t>se</w:t>
      </w:r>
      <w:r>
        <w:rPr>
          <w:color w:val="231F20"/>
          <w:spacing w:val="-13"/>
        </w:rPr>
        <w:t> </w:t>
      </w:r>
      <w:r>
        <w:rPr>
          <w:color w:val="231F20"/>
          <w:spacing w:val="-2"/>
        </w:rPr>
        <w:t>plaindre </w:t>
      </w:r>
      <w:r>
        <w:rPr>
          <w:color w:val="231F20"/>
        </w:rPr>
        <w:t>de</w:t>
      </w:r>
      <w:r>
        <w:rPr>
          <w:color w:val="231F20"/>
          <w:spacing w:val="-15"/>
        </w:rPr>
        <w:t> </w:t>
      </w:r>
      <w:r>
        <w:rPr>
          <w:color w:val="231F20"/>
        </w:rPr>
        <w:t>discrimination</w:t>
      </w:r>
      <w:r>
        <w:rPr>
          <w:color w:val="231F20"/>
          <w:spacing w:val="-15"/>
        </w:rPr>
        <w:t> </w:t>
      </w:r>
      <w:r>
        <w:rPr>
          <w:color w:val="231F20"/>
        </w:rPr>
        <w:t>à</w:t>
      </w:r>
      <w:r>
        <w:rPr>
          <w:color w:val="231F20"/>
          <w:spacing w:val="-15"/>
        </w:rPr>
        <w:t> </w:t>
      </w:r>
      <w:r>
        <w:rPr>
          <w:color w:val="231F20"/>
        </w:rPr>
        <w:t>l’égard</w:t>
      </w:r>
      <w:r>
        <w:rPr>
          <w:color w:val="231F20"/>
          <w:spacing w:val="-15"/>
        </w:rPr>
        <w:t> </w:t>
      </w:r>
      <w:r>
        <w:rPr>
          <w:color w:val="231F20"/>
        </w:rPr>
        <w:t>de</w:t>
      </w:r>
      <w:r>
        <w:rPr>
          <w:color w:val="231F20"/>
          <w:spacing w:val="-15"/>
        </w:rPr>
        <w:t> </w:t>
      </w:r>
      <w:r>
        <w:rPr>
          <w:color w:val="231F20"/>
        </w:rPr>
        <w:t>leur</w:t>
      </w:r>
      <w:r>
        <w:rPr>
          <w:color w:val="231F20"/>
          <w:spacing w:val="-15"/>
        </w:rPr>
        <w:t> </w:t>
      </w:r>
      <w:r>
        <w:rPr>
          <w:color w:val="231F20"/>
        </w:rPr>
        <w:t>langue.</w:t>
      </w:r>
      <w:r>
        <w:rPr>
          <w:color w:val="231F20"/>
          <w:spacing w:val="-15"/>
        </w:rPr>
        <w:t> </w:t>
      </w:r>
      <w:r>
        <w:rPr>
          <w:color w:val="231F20"/>
        </w:rPr>
        <w:t>Mais</w:t>
      </w:r>
      <w:r>
        <w:rPr>
          <w:color w:val="231F20"/>
          <w:spacing w:val="-15"/>
        </w:rPr>
        <w:t> </w:t>
      </w:r>
      <w:r>
        <w:rPr>
          <w:color w:val="231F20"/>
        </w:rPr>
        <w:t>face</w:t>
      </w:r>
      <w:r>
        <w:rPr>
          <w:color w:val="231F20"/>
          <w:spacing w:val="-15"/>
        </w:rPr>
        <w:t> </w:t>
      </w:r>
      <w:r>
        <w:rPr>
          <w:color w:val="231F20"/>
        </w:rPr>
        <w:t>aux</w:t>
      </w:r>
      <w:r>
        <w:rPr>
          <w:color w:val="231F20"/>
          <w:spacing w:val="-15"/>
        </w:rPr>
        <w:t> </w:t>
      </w:r>
      <w:r>
        <w:rPr>
          <w:color w:val="231F20"/>
        </w:rPr>
        <w:t>manifestations pour</w:t>
      </w:r>
      <w:r>
        <w:rPr>
          <w:color w:val="231F20"/>
          <w:spacing w:val="-10"/>
        </w:rPr>
        <w:t> </w:t>
      </w:r>
      <w:r>
        <w:rPr>
          <w:color w:val="231F20"/>
        </w:rPr>
        <w:t>faire</w:t>
      </w:r>
      <w:r>
        <w:rPr>
          <w:color w:val="231F20"/>
          <w:spacing w:val="-10"/>
        </w:rPr>
        <w:t> </w:t>
      </w:r>
      <w:r>
        <w:rPr>
          <w:color w:val="231F20"/>
        </w:rPr>
        <w:t>entendre</w:t>
      </w:r>
      <w:r>
        <w:rPr>
          <w:color w:val="231F20"/>
          <w:spacing w:val="-11"/>
        </w:rPr>
        <w:t> </w:t>
      </w:r>
      <w:r>
        <w:rPr>
          <w:color w:val="231F20"/>
        </w:rPr>
        <w:t>leurs</w:t>
      </w:r>
      <w:r>
        <w:rPr>
          <w:color w:val="231F20"/>
          <w:spacing w:val="-12"/>
        </w:rPr>
        <w:t> </w:t>
      </w:r>
      <w:r>
        <w:rPr>
          <w:color w:val="231F20"/>
        </w:rPr>
        <w:t>revendications,</w:t>
      </w:r>
      <w:r>
        <w:rPr>
          <w:color w:val="231F20"/>
          <w:spacing w:val="-10"/>
        </w:rPr>
        <w:t> </w:t>
      </w:r>
      <w:r>
        <w:rPr>
          <w:color w:val="231F20"/>
        </w:rPr>
        <w:t>le</w:t>
      </w:r>
      <w:r>
        <w:rPr>
          <w:color w:val="231F20"/>
          <w:spacing w:val="-11"/>
        </w:rPr>
        <w:t> </w:t>
      </w:r>
      <w:r>
        <w:rPr>
          <w:color w:val="231F20"/>
        </w:rPr>
        <w:t>gouvernement</w:t>
      </w:r>
      <w:r>
        <w:rPr>
          <w:color w:val="231F20"/>
          <w:spacing w:val="-8"/>
        </w:rPr>
        <w:t> </w:t>
      </w:r>
      <w:r>
        <w:rPr>
          <w:color w:val="231F20"/>
        </w:rPr>
        <w:t>répond</w:t>
      </w:r>
      <w:r>
        <w:rPr>
          <w:color w:val="231F20"/>
          <w:spacing w:val="-11"/>
        </w:rPr>
        <w:t> </w:t>
      </w:r>
      <w:r>
        <w:rPr>
          <w:color w:val="231F20"/>
        </w:rPr>
        <w:t>par</w:t>
      </w:r>
      <w:r>
        <w:rPr>
          <w:color w:val="231F20"/>
          <w:spacing w:val="-10"/>
        </w:rPr>
        <w:t> </w:t>
      </w:r>
      <w:r>
        <w:rPr>
          <w:color w:val="231F20"/>
        </w:rPr>
        <w:t>la force armée</w:t>
      </w:r>
      <w:r>
        <w:rPr>
          <w:color w:val="231F20"/>
          <w:spacing w:val="-14"/>
        </w:rPr>
        <w:t> </w:t>
      </w:r>
      <w:r>
        <w:rPr>
          <w:color w:val="231F20"/>
        </w:rPr>
        <w:t>: déploiement important de policiers pour disperser les manifestants, arrestations musclées, incarcération des leaders du mouvement pour rébellion et «</w:t>
      </w:r>
      <w:r>
        <w:rPr>
          <w:color w:val="231F20"/>
          <w:spacing w:val="-12"/>
        </w:rPr>
        <w:t> </w:t>
      </w:r>
      <w:r>
        <w:rPr>
          <w:color w:val="231F20"/>
        </w:rPr>
        <w:t>actions terroristes</w:t>
      </w:r>
      <w:r>
        <w:rPr>
          <w:color w:val="231F20"/>
          <w:spacing w:val="-13"/>
        </w:rPr>
        <w:t> </w:t>
      </w:r>
      <w:r>
        <w:rPr>
          <w:color w:val="231F20"/>
        </w:rPr>
        <w:t>» et… coupures </w:t>
      </w:r>
      <w:r>
        <w:rPr>
          <w:color w:val="231F20"/>
          <w:spacing w:val="-2"/>
        </w:rPr>
        <w:t>d’internet</w:t>
      </w:r>
      <w:r>
        <w:rPr>
          <w:color w:val="231F20"/>
          <w:spacing w:val="-7"/>
        </w:rPr>
        <w:t> </w:t>
      </w:r>
      <w:r>
        <w:rPr>
          <w:color w:val="231F20"/>
          <w:spacing w:val="-2"/>
        </w:rPr>
        <w:t>dans</w:t>
      </w:r>
      <w:r>
        <w:rPr>
          <w:color w:val="231F20"/>
          <w:spacing w:val="-10"/>
        </w:rPr>
        <w:t> </w:t>
      </w:r>
      <w:r>
        <w:rPr>
          <w:color w:val="231F20"/>
          <w:spacing w:val="-2"/>
        </w:rPr>
        <w:t>les</w:t>
      </w:r>
      <w:r>
        <w:rPr>
          <w:color w:val="231F20"/>
          <w:spacing w:val="-8"/>
        </w:rPr>
        <w:t> </w:t>
      </w:r>
      <w:r>
        <w:rPr>
          <w:color w:val="231F20"/>
          <w:spacing w:val="-2"/>
        </w:rPr>
        <w:t>deux</w:t>
      </w:r>
      <w:r>
        <w:rPr>
          <w:color w:val="231F20"/>
          <w:spacing w:val="-8"/>
        </w:rPr>
        <w:t> </w:t>
      </w:r>
      <w:r>
        <w:rPr>
          <w:color w:val="231F20"/>
          <w:spacing w:val="-2"/>
        </w:rPr>
        <w:t>régions</w:t>
      </w:r>
      <w:r>
        <w:rPr>
          <w:color w:val="231F20"/>
          <w:spacing w:val="-8"/>
        </w:rPr>
        <w:t> </w:t>
      </w:r>
      <w:r>
        <w:rPr>
          <w:color w:val="231F20"/>
          <w:spacing w:val="-2"/>
        </w:rPr>
        <w:t>anglophones</w:t>
      </w:r>
      <w:r>
        <w:rPr>
          <w:color w:val="231F20"/>
          <w:spacing w:val="-10"/>
        </w:rPr>
        <w:t> </w:t>
      </w:r>
      <w:r>
        <w:rPr>
          <w:color w:val="231F20"/>
          <w:spacing w:val="-2"/>
        </w:rPr>
        <w:t>:</w:t>
      </w:r>
      <w:r>
        <w:rPr>
          <w:color w:val="231F20"/>
          <w:spacing w:val="-10"/>
        </w:rPr>
        <w:t> </w:t>
      </w:r>
      <w:r>
        <w:rPr>
          <w:color w:val="231F20"/>
          <w:spacing w:val="-2"/>
        </w:rPr>
        <w:t>les</w:t>
      </w:r>
      <w:r>
        <w:rPr>
          <w:color w:val="231F20"/>
          <w:spacing w:val="-11"/>
        </w:rPr>
        <w:t> </w:t>
      </w:r>
      <w:r>
        <w:rPr>
          <w:color w:val="231F20"/>
          <w:spacing w:val="-2"/>
        </w:rPr>
        <w:t>deux</w:t>
      </w:r>
      <w:r>
        <w:rPr>
          <w:color w:val="231F20"/>
          <w:spacing w:val="-10"/>
        </w:rPr>
        <w:t> </w:t>
      </w:r>
      <w:r>
        <w:rPr>
          <w:color w:val="231F20"/>
          <w:spacing w:val="-2"/>
        </w:rPr>
        <w:t>régions</w:t>
      </w:r>
      <w:r>
        <w:rPr>
          <w:color w:val="231F20"/>
          <w:spacing w:val="-8"/>
        </w:rPr>
        <w:t> </w:t>
      </w:r>
      <w:r>
        <w:rPr>
          <w:color w:val="231F20"/>
          <w:spacing w:val="-2"/>
        </w:rPr>
        <w:t>au</w:t>
      </w:r>
      <w:r>
        <w:rPr>
          <w:color w:val="231F20"/>
          <w:spacing w:val="-8"/>
        </w:rPr>
        <w:t> </w:t>
      </w:r>
      <w:r>
        <w:rPr>
          <w:color w:val="231F20"/>
          <w:spacing w:val="-2"/>
        </w:rPr>
        <w:t>Nord- </w:t>
      </w:r>
      <w:r>
        <w:rPr>
          <w:color w:val="231F20"/>
        </w:rPr>
        <w:t>ouest et</w:t>
      </w:r>
      <w:r>
        <w:rPr>
          <w:color w:val="231F20"/>
          <w:spacing w:val="-2"/>
        </w:rPr>
        <w:t> </w:t>
      </w:r>
      <w:r>
        <w:rPr>
          <w:color w:val="231F20"/>
        </w:rPr>
        <w:t>Sud-ouest</w:t>
      </w:r>
      <w:r>
        <w:rPr>
          <w:color w:val="231F20"/>
          <w:spacing w:val="-2"/>
        </w:rPr>
        <w:t> </w:t>
      </w:r>
      <w:r>
        <w:rPr>
          <w:color w:val="231F20"/>
        </w:rPr>
        <w:t>limitrophes avec</w:t>
      </w:r>
      <w:r>
        <w:rPr>
          <w:color w:val="231F20"/>
          <w:spacing w:val="-1"/>
        </w:rPr>
        <w:t> </w:t>
      </w:r>
      <w:r>
        <w:rPr>
          <w:color w:val="231F20"/>
        </w:rPr>
        <w:t>le</w:t>
      </w:r>
      <w:r>
        <w:rPr>
          <w:color w:val="231F20"/>
          <w:spacing w:val="-3"/>
        </w:rPr>
        <w:t> </w:t>
      </w:r>
      <w:r>
        <w:rPr>
          <w:color w:val="231F20"/>
        </w:rPr>
        <w:t>Nigéria.</w:t>
      </w:r>
    </w:p>
    <w:p>
      <w:pPr>
        <w:pStyle w:val="BodyText"/>
        <w:spacing w:before="121"/>
        <w:ind w:right="106" w:firstLine="283"/>
      </w:pPr>
      <w:r>
        <w:rPr>
          <w:color w:val="231F20"/>
        </w:rPr>
        <w:t>Le Cameroun souffre aussi des incursions de la secte islamiste nigériane</w:t>
      </w:r>
      <w:r>
        <w:rPr>
          <w:color w:val="231F20"/>
          <w:spacing w:val="-15"/>
        </w:rPr>
        <w:t> </w:t>
      </w:r>
      <w:r>
        <w:rPr>
          <w:color w:val="231F20"/>
        </w:rPr>
        <w:t>boko</w:t>
      </w:r>
      <w:r>
        <w:rPr>
          <w:color w:val="231F20"/>
          <w:spacing w:val="-15"/>
        </w:rPr>
        <w:t> </w:t>
      </w:r>
      <w:r>
        <w:rPr>
          <w:color w:val="231F20"/>
        </w:rPr>
        <w:t>haram.</w:t>
      </w:r>
      <w:r>
        <w:rPr>
          <w:color w:val="231F20"/>
          <w:spacing w:val="-15"/>
        </w:rPr>
        <w:t> </w:t>
      </w:r>
      <w:r>
        <w:rPr>
          <w:color w:val="231F20"/>
        </w:rPr>
        <w:t>Depuis</w:t>
      </w:r>
      <w:r>
        <w:rPr>
          <w:color w:val="231F20"/>
          <w:spacing w:val="-15"/>
        </w:rPr>
        <w:t> </w:t>
      </w:r>
      <w:r>
        <w:rPr>
          <w:color w:val="231F20"/>
        </w:rPr>
        <w:t>2013,</w:t>
      </w:r>
      <w:r>
        <w:rPr>
          <w:color w:val="231F20"/>
          <w:spacing w:val="-15"/>
        </w:rPr>
        <w:t> </w:t>
      </w:r>
      <w:r>
        <w:rPr>
          <w:color w:val="231F20"/>
        </w:rPr>
        <w:t>le</w:t>
      </w:r>
      <w:r>
        <w:rPr>
          <w:color w:val="231F20"/>
          <w:spacing w:val="-15"/>
        </w:rPr>
        <w:t> </w:t>
      </w:r>
      <w:r>
        <w:rPr>
          <w:color w:val="231F20"/>
        </w:rPr>
        <w:t>pays</w:t>
      </w:r>
      <w:r>
        <w:rPr>
          <w:color w:val="231F20"/>
          <w:spacing w:val="-13"/>
        </w:rPr>
        <w:t> </w:t>
      </w:r>
      <w:r>
        <w:rPr>
          <w:color w:val="231F20"/>
        </w:rPr>
        <w:t>fait</w:t>
      </w:r>
      <w:r>
        <w:rPr>
          <w:color w:val="231F20"/>
          <w:spacing w:val="-14"/>
        </w:rPr>
        <w:t> </w:t>
      </w:r>
      <w:r>
        <w:rPr>
          <w:color w:val="231F20"/>
        </w:rPr>
        <w:t>face</w:t>
      </w:r>
      <w:r>
        <w:rPr>
          <w:color w:val="231F20"/>
          <w:spacing w:val="-14"/>
        </w:rPr>
        <w:t> </w:t>
      </w:r>
      <w:r>
        <w:rPr>
          <w:color w:val="231F20"/>
        </w:rPr>
        <w:t>à</w:t>
      </w:r>
      <w:r>
        <w:rPr>
          <w:color w:val="231F20"/>
          <w:spacing w:val="-15"/>
        </w:rPr>
        <w:t> </w:t>
      </w:r>
      <w:r>
        <w:rPr>
          <w:color w:val="231F20"/>
        </w:rPr>
        <w:t>la</w:t>
      </w:r>
      <w:r>
        <w:rPr>
          <w:color w:val="231F20"/>
          <w:spacing w:val="-14"/>
        </w:rPr>
        <w:t> </w:t>
      </w:r>
      <w:r>
        <w:rPr>
          <w:color w:val="231F20"/>
        </w:rPr>
        <w:t>dégradation</w:t>
      </w:r>
      <w:r>
        <w:rPr>
          <w:color w:val="231F20"/>
          <w:spacing w:val="-15"/>
        </w:rPr>
        <w:t> </w:t>
      </w:r>
      <w:r>
        <w:rPr>
          <w:color w:val="231F20"/>
        </w:rPr>
        <w:t>de sa</w:t>
      </w:r>
      <w:r>
        <w:rPr>
          <w:color w:val="231F20"/>
          <w:spacing w:val="-1"/>
        </w:rPr>
        <w:t> </w:t>
      </w:r>
      <w:r>
        <w:rPr>
          <w:color w:val="231F20"/>
        </w:rPr>
        <w:t>situation</w:t>
      </w:r>
      <w:r>
        <w:rPr>
          <w:color w:val="231F20"/>
          <w:spacing w:val="-3"/>
        </w:rPr>
        <w:t> </w:t>
      </w:r>
      <w:r>
        <w:rPr>
          <w:color w:val="231F20"/>
        </w:rPr>
        <w:t>sécuritaire</w:t>
      </w:r>
      <w:r>
        <w:rPr>
          <w:color w:val="231F20"/>
          <w:spacing w:val="-1"/>
        </w:rPr>
        <w:t> </w:t>
      </w:r>
      <w:r>
        <w:rPr>
          <w:color w:val="231F20"/>
        </w:rPr>
        <w:t>dans</w:t>
      </w:r>
      <w:r>
        <w:rPr>
          <w:color w:val="231F20"/>
          <w:spacing w:val="-1"/>
        </w:rPr>
        <w:t> </w:t>
      </w:r>
      <w:r>
        <w:rPr>
          <w:color w:val="231F20"/>
        </w:rPr>
        <w:t>l’extrême-nord</w:t>
      </w:r>
      <w:r>
        <w:rPr>
          <w:color w:val="231F20"/>
          <w:spacing w:val="-1"/>
        </w:rPr>
        <w:t> </w:t>
      </w:r>
      <w:r>
        <w:rPr>
          <w:color w:val="231F20"/>
        </w:rPr>
        <w:t>de</w:t>
      </w:r>
      <w:r>
        <w:rPr>
          <w:color w:val="231F20"/>
          <w:spacing w:val="-3"/>
        </w:rPr>
        <w:t> </w:t>
      </w:r>
      <w:r>
        <w:rPr>
          <w:color w:val="231F20"/>
        </w:rPr>
        <w:t>son</w:t>
      </w:r>
      <w:r>
        <w:rPr>
          <w:color w:val="231F20"/>
          <w:spacing w:val="-3"/>
        </w:rPr>
        <w:t> </w:t>
      </w:r>
      <w:r>
        <w:rPr>
          <w:color w:val="231F20"/>
        </w:rPr>
        <w:t>territoire</w:t>
      </w:r>
      <w:r>
        <w:rPr>
          <w:color w:val="231F20"/>
          <w:spacing w:val="-1"/>
        </w:rPr>
        <w:t> </w:t>
      </w:r>
      <w:r>
        <w:rPr>
          <w:color w:val="231F20"/>
        </w:rPr>
        <w:t>du</w:t>
      </w:r>
      <w:r>
        <w:rPr>
          <w:color w:val="231F20"/>
          <w:spacing w:val="-1"/>
        </w:rPr>
        <w:t> </w:t>
      </w:r>
      <w:r>
        <w:rPr>
          <w:color w:val="231F20"/>
        </w:rPr>
        <w:t>fait</w:t>
      </w:r>
      <w:r>
        <w:rPr>
          <w:color w:val="231F20"/>
          <w:spacing w:val="-1"/>
        </w:rPr>
        <w:t> </w:t>
      </w:r>
      <w:r>
        <w:rPr>
          <w:color w:val="231F20"/>
        </w:rPr>
        <w:t>des attaques de la secte.</w:t>
      </w:r>
    </w:p>
    <w:p>
      <w:pPr>
        <w:pStyle w:val="BodyText"/>
        <w:spacing w:before="121"/>
        <w:ind w:right="105" w:firstLine="283"/>
      </w:pPr>
      <w:r>
        <w:rPr>
          <w:color w:val="231F20"/>
        </w:rPr>
        <w:t>Le 7 octobre 2018, dans ce contexte d'importantes violences dans l’extrême-Nord et le Nord-ouest du pays, est organisée l’élection présidentielle.</w:t>
      </w:r>
      <w:r>
        <w:rPr>
          <w:color w:val="231F20"/>
          <w:spacing w:val="-4"/>
        </w:rPr>
        <w:t> </w:t>
      </w:r>
      <w:r>
        <w:rPr>
          <w:color w:val="231F20"/>
        </w:rPr>
        <w:t>Sans</w:t>
      </w:r>
      <w:r>
        <w:rPr>
          <w:color w:val="231F20"/>
          <w:spacing w:val="-6"/>
        </w:rPr>
        <w:t> </w:t>
      </w:r>
      <w:r>
        <w:rPr>
          <w:color w:val="231F20"/>
        </w:rPr>
        <w:t>surprise,</w:t>
      </w:r>
      <w:r>
        <w:rPr>
          <w:color w:val="231F20"/>
          <w:spacing w:val="-3"/>
        </w:rPr>
        <w:t> </w:t>
      </w:r>
      <w:r>
        <w:rPr>
          <w:color w:val="231F20"/>
        </w:rPr>
        <w:t>pour</w:t>
      </w:r>
      <w:r>
        <w:rPr>
          <w:color w:val="231F20"/>
          <w:spacing w:val="-6"/>
        </w:rPr>
        <w:t> </w:t>
      </w:r>
      <w:r>
        <w:rPr>
          <w:color w:val="231F20"/>
        </w:rPr>
        <w:t>la</w:t>
      </w:r>
      <w:r>
        <w:rPr>
          <w:color w:val="231F20"/>
          <w:spacing w:val="-6"/>
        </w:rPr>
        <w:t> </w:t>
      </w:r>
      <w:r>
        <w:rPr>
          <w:color w:val="231F20"/>
        </w:rPr>
        <w:t>septième</w:t>
      </w:r>
      <w:r>
        <w:rPr>
          <w:color w:val="231F20"/>
          <w:spacing w:val="-5"/>
        </w:rPr>
        <w:t> </w:t>
      </w:r>
      <w:r>
        <w:rPr>
          <w:color w:val="231F20"/>
        </w:rPr>
        <w:t>fois,</w:t>
      </w:r>
      <w:r>
        <w:rPr>
          <w:color w:val="231F20"/>
          <w:spacing w:val="-5"/>
        </w:rPr>
        <w:t> </w:t>
      </w:r>
      <w:r>
        <w:rPr>
          <w:color w:val="231F20"/>
        </w:rPr>
        <w:t>le</w:t>
      </w:r>
      <w:r>
        <w:rPr>
          <w:color w:val="231F20"/>
          <w:spacing w:val="-6"/>
        </w:rPr>
        <w:t> </w:t>
      </w:r>
      <w:r>
        <w:rPr>
          <w:color w:val="231F20"/>
        </w:rPr>
        <w:t>président</w:t>
      </w:r>
      <w:r>
        <w:rPr>
          <w:color w:val="231F20"/>
          <w:spacing w:val="-6"/>
        </w:rPr>
        <w:t> </w:t>
      </w:r>
      <w:r>
        <w:rPr>
          <w:color w:val="231F20"/>
        </w:rPr>
        <w:t>Bya</w:t>
      </w:r>
      <w:r>
        <w:rPr>
          <w:color w:val="231F20"/>
          <w:spacing w:val="-4"/>
        </w:rPr>
        <w:t> </w:t>
      </w:r>
      <w:r>
        <w:rPr>
          <w:color w:val="231F20"/>
        </w:rPr>
        <w:t>est reconduit à la magistrature suprême de l’État. Paul Biya, né</w:t>
      </w:r>
      <w:r>
        <w:rPr>
          <w:color w:val="231F20"/>
          <w:spacing w:val="-14"/>
        </w:rPr>
        <w:t> </w:t>
      </w:r>
      <w:r>
        <w:rPr>
          <w:color w:val="231F20"/>
        </w:rPr>
        <w:t>Paul Barthélemy</w:t>
      </w:r>
      <w:r>
        <w:rPr>
          <w:color w:val="231F20"/>
          <w:spacing w:val="-5"/>
        </w:rPr>
        <w:t> </w:t>
      </w:r>
      <w:r>
        <w:rPr>
          <w:color w:val="231F20"/>
        </w:rPr>
        <w:t>Biya'a</w:t>
      </w:r>
      <w:r>
        <w:rPr>
          <w:color w:val="231F20"/>
          <w:spacing w:val="-2"/>
        </w:rPr>
        <w:t> </w:t>
      </w:r>
      <w:r>
        <w:rPr>
          <w:color w:val="231F20"/>
        </w:rPr>
        <w:t>bi</w:t>
      </w:r>
      <w:r>
        <w:rPr>
          <w:color w:val="231F20"/>
          <w:spacing w:val="-4"/>
        </w:rPr>
        <w:t> </w:t>
      </w:r>
      <w:r>
        <w:rPr>
          <w:color w:val="231F20"/>
        </w:rPr>
        <w:t>Mvondo</w:t>
      </w:r>
      <w:r>
        <w:rPr>
          <w:color w:val="231F20"/>
          <w:spacing w:val="-2"/>
        </w:rPr>
        <w:t> </w:t>
      </w:r>
      <w:r>
        <w:rPr>
          <w:color w:val="231F20"/>
        </w:rPr>
        <w:t>est</w:t>
      </w:r>
      <w:r>
        <w:rPr>
          <w:color w:val="231F20"/>
          <w:spacing w:val="-2"/>
        </w:rPr>
        <w:t> </w:t>
      </w:r>
      <w:r>
        <w:rPr>
          <w:color w:val="231F20"/>
        </w:rPr>
        <w:t>au</w:t>
      </w:r>
      <w:r>
        <w:rPr>
          <w:color w:val="231F20"/>
          <w:spacing w:val="-5"/>
        </w:rPr>
        <w:t> </w:t>
      </w:r>
      <w:r>
        <w:rPr>
          <w:color w:val="231F20"/>
        </w:rPr>
        <w:t>pouvoir</w:t>
      </w:r>
      <w:r>
        <w:rPr>
          <w:color w:val="231F20"/>
          <w:spacing w:val="-5"/>
        </w:rPr>
        <w:t> </w:t>
      </w:r>
      <w:r>
        <w:rPr>
          <w:color w:val="231F20"/>
        </w:rPr>
        <w:t>depuis</w:t>
      </w:r>
      <w:r>
        <w:rPr>
          <w:color w:val="231F20"/>
          <w:spacing w:val="-3"/>
        </w:rPr>
        <w:t> </w:t>
      </w:r>
      <w:r>
        <w:rPr>
          <w:color w:val="231F20"/>
        </w:rPr>
        <w:t>1982.</w:t>
      </w:r>
    </w:p>
    <w:p>
      <w:pPr>
        <w:pStyle w:val="BodyText"/>
        <w:spacing w:before="120"/>
        <w:ind w:right="106" w:firstLine="283"/>
      </w:pPr>
      <w:r>
        <w:rPr>
          <w:color w:val="231F20"/>
          <w:spacing w:val="-2"/>
        </w:rPr>
        <w:t>L’économie</w:t>
      </w:r>
      <w:r>
        <w:rPr>
          <w:color w:val="231F20"/>
          <w:spacing w:val="-13"/>
        </w:rPr>
        <w:t> </w:t>
      </w:r>
      <w:r>
        <w:rPr>
          <w:color w:val="231F20"/>
          <w:spacing w:val="-2"/>
        </w:rPr>
        <w:t>camerounaise,</w:t>
      </w:r>
      <w:r>
        <w:rPr>
          <w:color w:val="231F20"/>
          <w:spacing w:val="-13"/>
        </w:rPr>
        <w:t> </w:t>
      </w:r>
      <w:r>
        <w:rPr>
          <w:color w:val="231F20"/>
          <w:spacing w:val="-2"/>
        </w:rPr>
        <w:t>moteur</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Communauté</w:t>
      </w:r>
      <w:r>
        <w:rPr>
          <w:color w:val="231F20"/>
          <w:spacing w:val="-13"/>
        </w:rPr>
        <w:t> </w:t>
      </w:r>
      <w:r>
        <w:rPr>
          <w:color w:val="231F20"/>
          <w:spacing w:val="-2"/>
        </w:rPr>
        <w:t>Economique</w:t>
      </w:r>
      <w:r>
        <w:rPr>
          <w:color w:val="231F20"/>
          <w:spacing w:val="-13"/>
        </w:rPr>
        <w:t> </w:t>
      </w:r>
      <w:r>
        <w:rPr>
          <w:color w:val="231F20"/>
          <w:spacing w:val="-2"/>
        </w:rPr>
        <w:t>et Monétaire</w:t>
      </w:r>
      <w:r>
        <w:rPr>
          <w:color w:val="231F20"/>
          <w:spacing w:val="-15"/>
        </w:rPr>
        <w:t> </w:t>
      </w:r>
      <w:r>
        <w:rPr>
          <w:color w:val="231F20"/>
          <w:spacing w:val="-2"/>
        </w:rPr>
        <w:t>des</w:t>
      </w:r>
      <w:r>
        <w:rPr>
          <w:color w:val="231F20"/>
          <w:spacing w:val="-13"/>
        </w:rPr>
        <w:t> </w:t>
      </w:r>
      <w:r>
        <w:rPr>
          <w:color w:val="231F20"/>
          <w:spacing w:val="-2"/>
        </w:rPr>
        <w:t>États</w:t>
      </w:r>
      <w:r>
        <w:rPr>
          <w:color w:val="231F20"/>
          <w:spacing w:val="-13"/>
        </w:rPr>
        <w:t> </w:t>
      </w:r>
      <w:r>
        <w:rPr>
          <w:color w:val="231F20"/>
          <w:spacing w:val="-2"/>
        </w:rPr>
        <w:t>de</w:t>
      </w:r>
      <w:r>
        <w:rPr>
          <w:color w:val="231F20"/>
          <w:spacing w:val="-13"/>
        </w:rPr>
        <w:t> </w:t>
      </w:r>
      <w:r>
        <w:rPr>
          <w:color w:val="231F20"/>
          <w:spacing w:val="-2"/>
        </w:rPr>
        <w:t>l’Afrique</w:t>
      </w:r>
      <w:r>
        <w:rPr>
          <w:color w:val="231F20"/>
          <w:spacing w:val="-13"/>
        </w:rPr>
        <w:t> </w:t>
      </w:r>
      <w:r>
        <w:rPr>
          <w:color w:val="231F20"/>
          <w:spacing w:val="-2"/>
        </w:rPr>
        <w:t>Centrale</w:t>
      </w:r>
      <w:r>
        <w:rPr>
          <w:color w:val="231F20"/>
          <w:spacing w:val="-13"/>
        </w:rPr>
        <w:t> </w:t>
      </w:r>
      <w:r>
        <w:rPr>
          <w:color w:val="231F20"/>
          <w:spacing w:val="-2"/>
        </w:rPr>
        <w:t>(CEMAC)</w:t>
      </w:r>
      <w:r>
        <w:rPr>
          <w:color w:val="231F20"/>
          <w:spacing w:val="-13"/>
        </w:rPr>
        <w:t> </w:t>
      </w:r>
      <w:r>
        <w:rPr>
          <w:color w:val="231F20"/>
          <w:spacing w:val="-2"/>
        </w:rPr>
        <w:t>est</w:t>
      </w:r>
      <w:r>
        <w:rPr>
          <w:color w:val="231F20"/>
          <w:spacing w:val="-13"/>
        </w:rPr>
        <w:t> </w:t>
      </w:r>
      <w:r>
        <w:rPr>
          <w:color w:val="231F20"/>
          <w:spacing w:val="-2"/>
        </w:rPr>
        <w:t>richement</w:t>
      </w:r>
      <w:r>
        <w:rPr>
          <w:color w:val="231F20"/>
          <w:spacing w:val="-13"/>
        </w:rPr>
        <w:t> </w:t>
      </w:r>
      <w:r>
        <w:rPr>
          <w:color w:val="231F20"/>
          <w:spacing w:val="-2"/>
        </w:rPr>
        <w:t>dotée </w:t>
      </w:r>
      <w:r>
        <w:rPr>
          <w:color w:val="231F20"/>
        </w:rPr>
        <w:t>en</w:t>
      </w:r>
      <w:r>
        <w:rPr>
          <w:color w:val="231F20"/>
          <w:spacing w:val="-8"/>
        </w:rPr>
        <w:t> </w:t>
      </w:r>
      <w:r>
        <w:rPr>
          <w:color w:val="231F20"/>
        </w:rPr>
        <w:t>ressources</w:t>
      </w:r>
      <w:r>
        <w:rPr>
          <w:color w:val="231F20"/>
          <w:spacing w:val="-8"/>
        </w:rPr>
        <w:t> </w:t>
      </w:r>
      <w:r>
        <w:rPr>
          <w:color w:val="231F20"/>
        </w:rPr>
        <w:t>naturelles</w:t>
      </w:r>
      <w:r>
        <w:rPr>
          <w:color w:val="231F20"/>
          <w:spacing w:val="-8"/>
        </w:rPr>
        <w:t> </w:t>
      </w:r>
      <w:r>
        <w:rPr>
          <w:color w:val="231F20"/>
        </w:rPr>
        <w:t>et</w:t>
      </w:r>
      <w:r>
        <w:rPr>
          <w:color w:val="231F20"/>
          <w:spacing w:val="-8"/>
        </w:rPr>
        <w:t> </w:t>
      </w:r>
      <w:r>
        <w:rPr>
          <w:color w:val="231F20"/>
        </w:rPr>
        <w:t>agricoles.</w:t>
      </w:r>
      <w:r>
        <w:rPr>
          <w:color w:val="231F20"/>
          <w:spacing w:val="-8"/>
        </w:rPr>
        <w:t> </w:t>
      </w:r>
      <w:r>
        <w:rPr>
          <w:color w:val="231F20"/>
        </w:rPr>
        <w:t>Malheureusement,</w:t>
      </w:r>
      <w:r>
        <w:rPr>
          <w:color w:val="231F20"/>
          <w:spacing w:val="-10"/>
        </w:rPr>
        <w:t> </w:t>
      </w:r>
      <w:r>
        <w:rPr>
          <w:color w:val="231F20"/>
        </w:rPr>
        <w:t>le</w:t>
      </w:r>
      <w:r>
        <w:rPr>
          <w:color w:val="231F20"/>
          <w:spacing w:val="-8"/>
        </w:rPr>
        <w:t> </w:t>
      </w:r>
      <w:r>
        <w:rPr>
          <w:color w:val="231F20"/>
        </w:rPr>
        <w:t>pays</w:t>
      </w:r>
      <w:r>
        <w:rPr>
          <w:color w:val="231F20"/>
          <w:spacing w:val="-9"/>
        </w:rPr>
        <w:t> </w:t>
      </w:r>
      <w:r>
        <w:rPr>
          <w:color w:val="231F20"/>
        </w:rPr>
        <w:t>connaît des</w:t>
      </w:r>
      <w:r>
        <w:rPr>
          <w:color w:val="231F20"/>
          <w:spacing w:val="-5"/>
        </w:rPr>
        <w:t> </w:t>
      </w:r>
      <w:r>
        <w:rPr>
          <w:color w:val="231F20"/>
        </w:rPr>
        <w:t>problèmes</w:t>
      </w:r>
      <w:r>
        <w:rPr>
          <w:color w:val="231F20"/>
          <w:spacing w:val="-7"/>
        </w:rPr>
        <w:t> </w:t>
      </w:r>
      <w:r>
        <w:rPr>
          <w:color w:val="231F20"/>
        </w:rPr>
        <w:t>de</w:t>
      </w:r>
      <w:r>
        <w:rPr>
          <w:color w:val="231F20"/>
          <w:spacing w:val="-5"/>
        </w:rPr>
        <w:t> </w:t>
      </w:r>
      <w:r>
        <w:rPr>
          <w:color w:val="231F20"/>
        </w:rPr>
        <w:t>gouvernance</w:t>
      </w:r>
      <w:r>
        <w:rPr>
          <w:color w:val="231F20"/>
          <w:spacing w:val="-5"/>
        </w:rPr>
        <w:t> </w:t>
      </w:r>
      <w:r>
        <w:rPr>
          <w:color w:val="231F20"/>
        </w:rPr>
        <w:t>qui</w:t>
      </w:r>
      <w:r>
        <w:rPr>
          <w:color w:val="231F20"/>
          <w:spacing w:val="-5"/>
        </w:rPr>
        <w:t> </w:t>
      </w:r>
      <w:r>
        <w:rPr>
          <w:color w:val="231F20"/>
        </w:rPr>
        <w:t>freinent</w:t>
      </w:r>
      <w:r>
        <w:rPr>
          <w:color w:val="231F20"/>
          <w:spacing w:val="-6"/>
        </w:rPr>
        <w:t> </w:t>
      </w:r>
      <w:r>
        <w:rPr>
          <w:color w:val="231F20"/>
        </w:rPr>
        <w:t>son</w:t>
      </w:r>
      <w:r>
        <w:rPr>
          <w:color w:val="231F20"/>
          <w:spacing w:val="-7"/>
        </w:rPr>
        <w:t> </w:t>
      </w:r>
      <w:r>
        <w:rPr>
          <w:color w:val="231F20"/>
        </w:rPr>
        <w:t>développement.</w:t>
      </w:r>
    </w:p>
    <w:p>
      <w:pPr>
        <w:spacing w:after="0"/>
        <w:sectPr>
          <w:pgSz w:w="8790" w:h="13610"/>
          <w:pgMar w:header="0" w:footer="802" w:top="1060" w:bottom="1000" w:left="880" w:right="880"/>
        </w:sectPr>
      </w:pPr>
    </w:p>
    <w:p>
      <w:pPr>
        <w:pStyle w:val="Heading3"/>
        <w:spacing w:before="85"/>
        <w:rPr>
          <w:rFonts w:ascii="Times New Roman" w:hAnsi="Times New Roman"/>
          <w:i w:val="0"/>
          <w:sz w:val="16"/>
        </w:rPr>
      </w:pPr>
      <w:r>
        <w:rPr>
          <w:i/>
          <w:color w:val="231F20"/>
          <w:spacing w:val="-2"/>
        </w:rPr>
        <w:t>La</w:t>
      </w:r>
      <w:r>
        <w:rPr>
          <w:i/>
          <w:color w:val="231F20"/>
          <w:spacing w:val="-9"/>
        </w:rPr>
        <w:t> </w:t>
      </w:r>
      <w:r>
        <w:rPr>
          <w:i/>
          <w:color w:val="231F20"/>
          <w:spacing w:val="-2"/>
        </w:rPr>
        <w:t>République</w:t>
      </w:r>
      <w:r>
        <w:rPr>
          <w:i/>
          <w:color w:val="231F20"/>
          <w:spacing w:val="-10"/>
        </w:rPr>
        <w:t> </w:t>
      </w:r>
      <w:r>
        <w:rPr>
          <w:i/>
          <w:color w:val="231F20"/>
          <w:spacing w:val="-2"/>
        </w:rPr>
        <w:t>du</w:t>
      </w:r>
      <w:r>
        <w:rPr>
          <w:i/>
          <w:color w:val="231F20"/>
          <w:spacing w:val="-8"/>
        </w:rPr>
        <w:t> </w:t>
      </w:r>
      <w:r>
        <w:rPr>
          <w:i/>
          <w:color w:val="231F20"/>
          <w:spacing w:val="-2"/>
        </w:rPr>
        <w:t>Gabon</w:t>
      </w:r>
      <w:r>
        <w:rPr>
          <w:rFonts w:ascii="Times New Roman" w:hAnsi="Times New Roman"/>
          <w:i w:val="0"/>
          <w:color w:val="231F20"/>
          <w:spacing w:val="-2"/>
          <w:position w:val="8"/>
          <w:sz w:val="16"/>
        </w:rPr>
        <w:t>69</w:t>
      </w:r>
    </w:p>
    <w:p>
      <w:pPr>
        <w:spacing w:before="256"/>
        <w:ind w:left="111" w:right="105" w:firstLine="283"/>
        <w:jc w:val="both"/>
        <w:rPr>
          <w:i/>
          <w:sz w:val="24"/>
        </w:rPr>
      </w:pPr>
      <w:r>
        <w:rPr>
          <w:color w:val="231F20"/>
          <w:sz w:val="24"/>
        </w:rPr>
        <w:t>Le</w:t>
      </w:r>
      <w:r>
        <w:rPr>
          <w:color w:val="231F20"/>
          <w:spacing w:val="-12"/>
          <w:sz w:val="24"/>
        </w:rPr>
        <w:t> </w:t>
      </w:r>
      <w:r>
        <w:rPr>
          <w:color w:val="231F20"/>
          <w:sz w:val="24"/>
        </w:rPr>
        <w:t>17</w:t>
      </w:r>
      <w:r>
        <w:rPr>
          <w:color w:val="231F20"/>
          <w:spacing w:val="-15"/>
          <w:sz w:val="24"/>
        </w:rPr>
        <w:t> </w:t>
      </w:r>
      <w:r>
        <w:rPr>
          <w:color w:val="231F20"/>
          <w:sz w:val="24"/>
        </w:rPr>
        <w:t>août</w:t>
      </w:r>
      <w:r>
        <w:rPr>
          <w:color w:val="231F20"/>
          <w:spacing w:val="-14"/>
          <w:sz w:val="24"/>
        </w:rPr>
        <w:t> </w:t>
      </w:r>
      <w:r>
        <w:rPr>
          <w:color w:val="231F20"/>
          <w:sz w:val="24"/>
        </w:rPr>
        <w:t>1960,</w:t>
      </w:r>
      <w:r>
        <w:rPr>
          <w:color w:val="231F20"/>
          <w:spacing w:val="-13"/>
          <w:sz w:val="24"/>
        </w:rPr>
        <w:t> </w:t>
      </w:r>
      <w:r>
        <w:rPr>
          <w:color w:val="231F20"/>
          <w:sz w:val="24"/>
        </w:rPr>
        <w:t>le</w:t>
      </w:r>
      <w:r>
        <w:rPr>
          <w:color w:val="231F20"/>
          <w:spacing w:val="-14"/>
          <w:sz w:val="24"/>
        </w:rPr>
        <w:t> </w:t>
      </w:r>
      <w:r>
        <w:rPr>
          <w:color w:val="231F20"/>
          <w:sz w:val="24"/>
        </w:rPr>
        <w:t>Gabon</w:t>
      </w:r>
      <w:r>
        <w:rPr>
          <w:color w:val="231F20"/>
          <w:spacing w:val="-15"/>
          <w:sz w:val="24"/>
        </w:rPr>
        <w:t> </w:t>
      </w:r>
      <w:r>
        <w:rPr>
          <w:color w:val="231F20"/>
          <w:sz w:val="24"/>
        </w:rPr>
        <w:t>,</w:t>
      </w:r>
      <w:r>
        <w:rPr>
          <w:color w:val="231F20"/>
          <w:spacing w:val="-11"/>
          <w:sz w:val="24"/>
        </w:rPr>
        <w:t> </w:t>
      </w:r>
      <w:r>
        <w:rPr>
          <w:color w:val="231F20"/>
          <w:sz w:val="24"/>
        </w:rPr>
        <w:t>frontalier</w:t>
      </w:r>
      <w:r>
        <w:rPr>
          <w:color w:val="231F20"/>
          <w:spacing w:val="-12"/>
          <w:sz w:val="24"/>
        </w:rPr>
        <w:t> </w:t>
      </w:r>
      <w:r>
        <w:rPr>
          <w:color w:val="231F20"/>
          <w:sz w:val="24"/>
        </w:rPr>
        <w:t>à</w:t>
      </w:r>
      <w:r>
        <w:rPr>
          <w:color w:val="231F20"/>
          <w:spacing w:val="-14"/>
          <w:sz w:val="24"/>
        </w:rPr>
        <w:t> </w:t>
      </w:r>
      <w:r>
        <w:rPr>
          <w:color w:val="231F20"/>
          <w:sz w:val="24"/>
        </w:rPr>
        <w:t>l’Est,</w:t>
      </w:r>
      <w:r>
        <w:rPr>
          <w:color w:val="231F20"/>
          <w:spacing w:val="-11"/>
          <w:sz w:val="24"/>
        </w:rPr>
        <w:t> </w:t>
      </w:r>
      <w:r>
        <w:rPr>
          <w:color w:val="231F20"/>
          <w:sz w:val="24"/>
        </w:rPr>
        <w:t>au</w:t>
      </w:r>
      <w:r>
        <w:rPr>
          <w:color w:val="231F20"/>
          <w:spacing w:val="-13"/>
          <w:sz w:val="24"/>
        </w:rPr>
        <w:t> </w:t>
      </w:r>
      <w:r>
        <w:rPr>
          <w:color w:val="231F20"/>
          <w:sz w:val="24"/>
        </w:rPr>
        <w:t>Sud-est</w:t>
      </w:r>
      <w:r>
        <w:rPr>
          <w:color w:val="231F20"/>
          <w:spacing w:val="-13"/>
          <w:sz w:val="24"/>
        </w:rPr>
        <w:t> </w:t>
      </w:r>
      <w:r>
        <w:rPr>
          <w:color w:val="231F20"/>
          <w:sz w:val="24"/>
        </w:rPr>
        <w:t>et</w:t>
      </w:r>
      <w:r>
        <w:rPr>
          <w:color w:val="231F20"/>
          <w:spacing w:val="-12"/>
          <w:sz w:val="24"/>
        </w:rPr>
        <w:t> </w:t>
      </w:r>
      <w:r>
        <w:rPr>
          <w:color w:val="231F20"/>
          <w:sz w:val="24"/>
        </w:rPr>
        <w:t>au</w:t>
      </w:r>
      <w:r>
        <w:rPr>
          <w:color w:val="231F20"/>
          <w:spacing w:val="-13"/>
          <w:sz w:val="24"/>
        </w:rPr>
        <w:t> </w:t>
      </w:r>
      <w:r>
        <w:rPr>
          <w:color w:val="231F20"/>
          <w:sz w:val="24"/>
        </w:rPr>
        <w:t>Sud</w:t>
      </w:r>
      <w:r>
        <w:rPr>
          <w:color w:val="231F20"/>
          <w:spacing w:val="-13"/>
          <w:sz w:val="24"/>
        </w:rPr>
        <w:t> </w:t>
      </w:r>
      <w:r>
        <w:rPr>
          <w:color w:val="231F20"/>
          <w:sz w:val="24"/>
        </w:rPr>
        <w:t>de la</w:t>
      </w:r>
      <w:r>
        <w:rPr>
          <w:color w:val="231F20"/>
          <w:spacing w:val="-1"/>
          <w:sz w:val="24"/>
        </w:rPr>
        <w:t> </w:t>
      </w:r>
      <w:r>
        <w:rPr>
          <w:color w:val="231F20"/>
          <w:sz w:val="24"/>
        </w:rPr>
        <w:t>République</w:t>
      </w:r>
      <w:r>
        <w:rPr>
          <w:color w:val="231F20"/>
          <w:spacing w:val="-1"/>
          <w:sz w:val="24"/>
        </w:rPr>
        <w:t> </w:t>
      </w:r>
      <w:r>
        <w:rPr>
          <w:color w:val="231F20"/>
          <w:sz w:val="24"/>
        </w:rPr>
        <w:t>du</w:t>
      </w:r>
      <w:r>
        <w:rPr>
          <w:color w:val="231F20"/>
          <w:spacing w:val="-1"/>
          <w:sz w:val="24"/>
        </w:rPr>
        <w:t> </w:t>
      </w:r>
      <w:r>
        <w:rPr>
          <w:color w:val="231F20"/>
          <w:sz w:val="24"/>
        </w:rPr>
        <w:t>Congo,</w:t>
      </w:r>
      <w:r>
        <w:rPr>
          <w:color w:val="231F20"/>
          <w:spacing w:val="-3"/>
          <w:sz w:val="24"/>
        </w:rPr>
        <w:t> </w:t>
      </w:r>
      <w:r>
        <w:rPr>
          <w:color w:val="231F20"/>
          <w:sz w:val="24"/>
        </w:rPr>
        <w:t>au</w:t>
      </w:r>
      <w:r>
        <w:rPr>
          <w:color w:val="231F20"/>
          <w:spacing w:val="-1"/>
          <w:sz w:val="24"/>
        </w:rPr>
        <w:t> </w:t>
      </w:r>
      <w:r>
        <w:rPr>
          <w:color w:val="231F20"/>
          <w:sz w:val="24"/>
        </w:rPr>
        <w:t>Nord-ouest</w:t>
      </w:r>
      <w:r>
        <w:rPr>
          <w:color w:val="231F20"/>
          <w:spacing w:val="-3"/>
          <w:sz w:val="24"/>
        </w:rPr>
        <w:t> </w:t>
      </w:r>
      <w:r>
        <w:rPr>
          <w:color w:val="231F20"/>
          <w:sz w:val="24"/>
        </w:rPr>
        <w:t>de</w:t>
      </w:r>
      <w:r>
        <w:rPr>
          <w:color w:val="231F20"/>
          <w:spacing w:val="-1"/>
          <w:sz w:val="24"/>
        </w:rPr>
        <w:t> </w:t>
      </w:r>
      <w:r>
        <w:rPr>
          <w:color w:val="231F20"/>
          <w:sz w:val="24"/>
        </w:rPr>
        <w:t>la</w:t>
      </w:r>
      <w:r>
        <w:rPr>
          <w:color w:val="231F20"/>
          <w:spacing w:val="-1"/>
          <w:sz w:val="24"/>
        </w:rPr>
        <w:t> </w:t>
      </w:r>
      <w:r>
        <w:rPr>
          <w:color w:val="231F20"/>
          <w:sz w:val="24"/>
        </w:rPr>
        <w:t>Guinée</w:t>
      </w:r>
      <w:r>
        <w:rPr>
          <w:color w:val="231F20"/>
          <w:spacing w:val="-1"/>
          <w:sz w:val="24"/>
        </w:rPr>
        <w:t> </w:t>
      </w:r>
      <w:r>
        <w:rPr>
          <w:color w:val="231F20"/>
          <w:sz w:val="24"/>
        </w:rPr>
        <w:t>Equatoriale</w:t>
      </w:r>
      <w:r>
        <w:rPr>
          <w:color w:val="231F20"/>
          <w:spacing w:val="-1"/>
          <w:sz w:val="24"/>
        </w:rPr>
        <w:t> </w:t>
      </w:r>
      <w:r>
        <w:rPr>
          <w:color w:val="231F20"/>
          <w:sz w:val="24"/>
        </w:rPr>
        <w:t>et au Nord du Cameroun, accède à l’indépendance. </w:t>
      </w:r>
      <w:r>
        <w:rPr>
          <w:i/>
          <w:color w:val="231F20"/>
          <w:sz w:val="24"/>
        </w:rPr>
        <w:t>«</w:t>
      </w:r>
      <w:r>
        <w:rPr>
          <w:i/>
          <w:color w:val="231F20"/>
          <w:spacing w:val="-15"/>
          <w:sz w:val="24"/>
        </w:rPr>
        <w:t> </w:t>
      </w:r>
      <w:r>
        <w:rPr>
          <w:i/>
          <w:color w:val="231F20"/>
          <w:sz w:val="24"/>
        </w:rPr>
        <w:t>Certains historiens</w:t>
      </w:r>
      <w:r>
        <w:rPr>
          <w:i/>
          <w:color w:val="231F20"/>
          <w:sz w:val="24"/>
        </w:rPr>
        <w:t> révèlent qu'en février 1960, Léon Mba a décidé d'adopter le drapeau tricolore (bleu, blanc et rouge) qui se serait différencié du drapeau français par l'apposition du dessin de l'arbre dominant de la forêt gabonaise, l'okoumé (…)</w:t>
      </w:r>
    </w:p>
    <w:p>
      <w:pPr>
        <w:spacing w:before="121"/>
        <w:ind w:left="111" w:right="104" w:firstLine="0"/>
        <w:jc w:val="both"/>
        <w:rPr>
          <w:i/>
          <w:sz w:val="24"/>
        </w:rPr>
      </w:pPr>
      <w:r>
        <w:rPr>
          <w:color w:val="231F20"/>
          <w:sz w:val="24"/>
        </w:rPr>
        <w:t>Jacques Foccar, «</w:t>
      </w:r>
      <w:r>
        <w:rPr>
          <w:color w:val="231F20"/>
          <w:spacing w:val="-11"/>
          <w:sz w:val="24"/>
        </w:rPr>
        <w:t> </w:t>
      </w:r>
      <w:r>
        <w:rPr>
          <w:color w:val="231F20"/>
          <w:sz w:val="24"/>
        </w:rPr>
        <w:t>le monsieur Afrique</w:t>
      </w:r>
      <w:r>
        <w:rPr>
          <w:color w:val="231F20"/>
          <w:spacing w:val="-11"/>
          <w:sz w:val="24"/>
        </w:rPr>
        <w:t> </w:t>
      </w:r>
      <w:r>
        <w:rPr>
          <w:color w:val="231F20"/>
          <w:sz w:val="24"/>
        </w:rPr>
        <w:t>» de de Gaulle le lui aurait déconseillé.</w:t>
      </w:r>
      <w:r>
        <w:rPr>
          <w:color w:val="231F20"/>
          <w:spacing w:val="-4"/>
          <w:sz w:val="24"/>
        </w:rPr>
        <w:t> </w:t>
      </w:r>
      <w:r>
        <w:rPr>
          <w:color w:val="231F20"/>
          <w:sz w:val="24"/>
        </w:rPr>
        <w:t>Au</w:t>
      </w:r>
      <w:r>
        <w:rPr>
          <w:color w:val="231F20"/>
          <w:spacing w:val="-4"/>
          <w:sz w:val="24"/>
        </w:rPr>
        <w:t> </w:t>
      </w:r>
      <w:r>
        <w:rPr>
          <w:color w:val="231F20"/>
          <w:sz w:val="24"/>
        </w:rPr>
        <w:t>Gabon,</w:t>
      </w:r>
      <w:r>
        <w:rPr>
          <w:color w:val="231F20"/>
          <w:spacing w:val="-4"/>
          <w:sz w:val="24"/>
        </w:rPr>
        <w:t> </w:t>
      </w:r>
      <w:r>
        <w:rPr>
          <w:color w:val="231F20"/>
          <w:sz w:val="24"/>
        </w:rPr>
        <w:t>le</w:t>
      </w:r>
      <w:r>
        <w:rPr>
          <w:color w:val="231F20"/>
          <w:spacing w:val="-5"/>
          <w:sz w:val="24"/>
        </w:rPr>
        <w:t> </w:t>
      </w:r>
      <w:r>
        <w:rPr>
          <w:color w:val="231F20"/>
          <w:sz w:val="24"/>
        </w:rPr>
        <w:t>choix</w:t>
      </w:r>
      <w:r>
        <w:rPr>
          <w:color w:val="231F20"/>
          <w:spacing w:val="-4"/>
          <w:sz w:val="24"/>
        </w:rPr>
        <w:t> </w:t>
      </w:r>
      <w:r>
        <w:rPr>
          <w:color w:val="231F20"/>
          <w:sz w:val="24"/>
        </w:rPr>
        <w:t>de</w:t>
      </w:r>
      <w:r>
        <w:rPr>
          <w:color w:val="231F20"/>
          <w:spacing w:val="-6"/>
          <w:sz w:val="24"/>
        </w:rPr>
        <w:t> </w:t>
      </w:r>
      <w:r>
        <w:rPr>
          <w:color w:val="231F20"/>
          <w:sz w:val="24"/>
        </w:rPr>
        <w:t>Léon</w:t>
      </w:r>
      <w:r>
        <w:rPr>
          <w:color w:val="231F20"/>
          <w:spacing w:val="-4"/>
          <w:sz w:val="24"/>
        </w:rPr>
        <w:t> </w:t>
      </w:r>
      <w:r>
        <w:rPr>
          <w:color w:val="231F20"/>
          <w:sz w:val="24"/>
        </w:rPr>
        <w:t>Mba</w:t>
      </w:r>
      <w:r>
        <w:rPr>
          <w:color w:val="231F20"/>
          <w:spacing w:val="-2"/>
          <w:sz w:val="24"/>
        </w:rPr>
        <w:t> </w:t>
      </w:r>
      <w:r>
        <w:rPr>
          <w:color w:val="231F20"/>
          <w:sz w:val="24"/>
        </w:rPr>
        <w:t>est</w:t>
      </w:r>
      <w:r>
        <w:rPr>
          <w:color w:val="231F20"/>
          <w:spacing w:val="-6"/>
          <w:sz w:val="24"/>
        </w:rPr>
        <w:t> </w:t>
      </w:r>
      <w:r>
        <w:rPr>
          <w:color w:val="231F20"/>
          <w:sz w:val="24"/>
        </w:rPr>
        <w:t>combattue</w:t>
      </w:r>
      <w:r>
        <w:rPr>
          <w:color w:val="231F20"/>
          <w:spacing w:val="-4"/>
          <w:sz w:val="24"/>
        </w:rPr>
        <w:t> </w:t>
      </w:r>
      <w:r>
        <w:rPr>
          <w:color w:val="231F20"/>
          <w:sz w:val="24"/>
        </w:rPr>
        <w:t>aussi</w:t>
      </w:r>
      <w:r>
        <w:rPr>
          <w:color w:val="231F20"/>
          <w:spacing w:val="-6"/>
          <w:sz w:val="24"/>
        </w:rPr>
        <w:t> </w:t>
      </w:r>
      <w:r>
        <w:rPr>
          <w:color w:val="231F20"/>
          <w:sz w:val="24"/>
        </w:rPr>
        <w:t>bien par</w:t>
      </w:r>
      <w:r>
        <w:rPr>
          <w:color w:val="231F20"/>
          <w:spacing w:val="-15"/>
          <w:sz w:val="24"/>
        </w:rPr>
        <w:t> </w:t>
      </w:r>
      <w:r>
        <w:rPr>
          <w:color w:val="231F20"/>
          <w:sz w:val="24"/>
        </w:rPr>
        <w:t>l’opposition</w:t>
      </w:r>
      <w:r>
        <w:rPr>
          <w:color w:val="231F20"/>
          <w:spacing w:val="-15"/>
          <w:sz w:val="24"/>
        </w:rPr>
        <w:t> </w:t>
      </w:r>
      <w:r>
        <w:rPr>
          <w:color w:val="231F20"/>
          <w:sz w:val="24"/>
        </w:rPr>
        <w:t>(l’Union</w:t>
      </w:r>
      <w:r>
        <w:rPr>
          <w:color w:val="231F20"/>
          <w:spacing w:val="-15"/>
          <w:sz w:val="24"/>
        </w:rPr>
        <w:t> </w:t>
      </w:r>
      <w:r>
        <w:rPr>
          <w:color w:val="231F20"/>
          <w:sz w:val="24"/>
        </w:rPr>
        <w:t>démocratique</w:t>
      </w:r>
      <w:r>
        <w:rPr>
          <w:color w:val="231F20"/>
          <w:spacing w:val="-15"/>
          <w:sz w:val="24"/>
        </w:rPr>
        <w:t> </w:t>
      </w:r>
      <w:r>
        <w:rPr>
          <w:color w:val="231F20"/>
          <w:sz w:val="24"/>
        </w:rPr>
        <w:t>et</w:t>
      </w:r>
      <w:r>
        <w:rPr>
          <w:color w:val="231F20"/>
          <w:spacing w:val="-15"/>
          <w:sz w:val="24"/>
        </w:rPr>
        <w:t> </w:t>
      </w:r>
      <w:r>
        <w:rPr>
          <w:color w:val="231F20"/>
          <w:sz w:val="24"/>
        </w:rPr>
        <w:t>sociale</w:t>
      </w:r>
      <w:r>
        <w:rPr>
          <w:color w:val="231F20"/>
          <w:spacing w:val="-15"/>
          <w:sz w:val="24"/>
        </w:rPr>
        <w:t> </w:t>
      </w:r>
      <w:r>
        <w:rPr>
          <w:color w:val="231F20"/>
          <w:sz w:val="24"/>
        </w:rPr>
        <w:t>gabonaise</w:t>
      </w:r>
      <w:r>
        <w:rPr>
          <w:color w:val="231F20"/>
          <w:spacing w:val="-15"/>
          <w:sz w:val="24"/>
        </w:rPr>
        <w:t> </w:t>
      </w:r>
      <w:r>
        <w:rPr>
          <w:color w:val="231F20"/>
          <w:sz w:val="24"/>
        </w:rPr>
        <w:t>(UDSG)</w:t>
      </w:r>
      <w:r>
        <w:rPr>
          <w:color w:val="231F20"/>
          <w:spacing w:val="-15"/>
          <w:sz w:val="24"/>
        </w:rPr>
        <w:t> </w:t>
      </w:r>
      <w:r>
        <w:rPr>
          <w:color w:val="231F20"/>
          <w:sz w:val="24"/>
        </w:rPr>
        <w:t>de </w:t>
      </w:r>
      <w:r>
        <w:rPr>
          <w:color w:val="231F20"/>
          <w:spacing w:val="-4"/>
          <w:sz w:val="24"/>
        </w:rPr>
        <w:t>Jean-Hilaire Aubame,</w:t>
      </w:r>
      <w:r>
        <w:rPr>
          <w:color w:val="231F20"/>
          <w:spacing w:val="-6"/>
          <w:sz w:val="24"/>
        </w:rPr>
        <w:t> </w:t>
      </w:r>
      <w:r>
        <w:rPr>
          <w:color w:val="231F20"/>
          <w:spacing w:val="-4"/>
          <w:sz w:val="24"/>
        </w:rPr>
        <w:t>son</w:t>
      </w:r>
      <w:r>
        <w:rPr>
          <w:color w:val="231F20"/>
          <w:spacing w:val="-6"/>
          <w:sz w:val="24"/>
        </w:rPr>
        <w:t> </w:t>
      </w:r>
      <w:r>
        <w:rPr>
          <w:color w:val="231F20"/>
          <w:spacing w:val="-4"/>
          <w:sz w:val="24"/>
        </w:rPr>
        <w:t>principal</w:t>
      </w:r>
      <w:r>
        <w:rPr>
          <w:color w:val="231F20"/>
          <w:spacing w:val="-6"/>
          <w:sz w:val="24"/>
        </w:rPr>
        <w:t> </w:t>
      </w:r>
      <w:r>
        <w:rPr>
          <w:color w:val="231F20"/>
          <w:spacing w:val="-4"/>
          <w:sz w:val="24"/>
        </w:rPr>
        <w:t>rival politique)</w:t>
      </w:r>
      <w:r>
        <w:rPr>
          <w:color w:val="231F20"/>
          <w:spacing w:val="-7"/>
          <w:sz w:val="24"/>
        </w:rPr>
        <w:t> </w:t>
      </w:r>
      <w:r>
        <w:rPr>
          <w:color w:val="231F20"/>
          <w:spacing w:val="-4"/>
          <w:sz w:val="24"/>
        </w:rPr>
        <w:t>que par</w:t>
      </w:r>
      <w:r>
        <w:rPr>
          <w:color w:val="231F20"/>
          <w:spacing w:val="-7"/>
          <w:sz w:val="24"/>
        </w:rPr>
        <w:t> </w:t>
      </w:r>
      <w:r>
        <w:rPr>
          <w:color w:val="231F20"/>
          <w:spacing w:val="-4"/>
          <w:sz w:val="24"/>
        </w:rPr>
        <w:t>ses</w:t>
      </w:r>
      <w:r>
        <w:rPr>
          <w:color w:val="231F20"/>
          <w:spacing w:val="-7"/>
          <w:sz w:val="24"/>
        </w:rPr>
        <w:t> </w:t>
      </w:r>
      <w:r>
        <w:rPr>
          <w:color w:val="231F20"/>
          <w:spacing w:val="-4"/>
          <w:sz w:val="24"/>
        </w:rPr>
        <w:t>alliés</w:t>
      </w:r>
      <w:r>
        <w:rPr>
          <w:color w:val="231F20"/>
          <w:spacing w:val="-6"/>
          <w:sz w:val="24"/>
        </w:rPr>
        <w:t> </w:t>
      </w:r>
      <w:r>
        <w:rPr>
          <w:color w:val="231F20"/>
          <w:spacing w:val="-4"/>
          <w:sz w:val="24"/>
        </w:rPr>
        <w:t>dont </w:t>
      </w:r>
      <w:r>
        <w:rPr>
          <w:color w:val="231F20"/>
          <w:spacing w:val="-2"/>
          <w:sz w:val="24"/>
        </w:rPr>
        <w:t>Paul-Marie</w:t>
      </w:r>
      <w:r>
        <w:rPr>
          <w:color w:val="231F20"/>
          <w:spacing w:val="-7"/>
          <w:sz w:val="24"/>
        </w:rPr>
        <w:t> </w:t>
      </w:r>
      <w:r>
        <w:rPr>
          <w:color w:val="231F20"/>
          <w:spacing w:val="-2"/>
          <w:sz w:val="24"/>
        </w:rPr>
        <w:t>Gondjout,</w:t>
      </w:r>
      <w:r>
        <w:rPr>
          <w:color w:val="231F20"/>
          <w:spacing w:val="-8"/>
          <w:sz w:val="24"/>
        </w:rPr>
        <w:t> </w:t>
      </w:r>
      <w:r>
        <w:rPr>
          <w:color w:val="231F20"/>
          <w:spacing w:val="-2"/>
          <w:sz w:val="24"/>
        </w:rPr>
        <w:t>secrétaire</w:t>
      </w:r>
      <w:r>
        <w:rPr>
          <w:color w:val="231F20"/>
          <w:spacing w:val="-8"/>
          <w:sz w:val="24"/>
        </w:rPr>
        <w:t> </w:t>
      </w:r>
      <w:r>
        <w:rPr>
          <w:color w:val="231F20"/>
          <w:spacing w:val="-2"/>
          <w:sz w:val="24"/>
        </w:rPr>
        <w:t>général</w:t>
      </w:r>
      <w:r>
        <w:rPr>
          <w:color w:val="231F20"/>
          <w:spacing w:val="-8"/>
          <w:sz w:val="24"/>
        </w:rPr>
        <w:t> </w:t>
      </w:r>
      <w:r>
        <w:rPr>
          <w:color w:val="231F20"/>
          <w:spacing w:val="-2"/>
          <w:sz w:val="24"/>
        </w:rPr>
        <w:t>du</w:t>
      </w:r>
      <w:r>
        <w:rPr>
          <w:color w:val="231F20"/>
          <w:spacing w:val="-8"/>
          <w:sz w:val="24"/>
        </w:rPr>
        <w:t> </w:t>
      </w:r>
      <w:r>
        <w:rPr>
          <w:color w:val="231F20"/>
          <w:spacing w:val="-2"/>
          <w:sz w:val="24"/>
        </w:rPr>
        <w:t>Bloc</w:t>
      </w:r>
      <w:r>
        <w:rPr>
          <w:color w:val="231F20"/>
          <w:spacing w:val="-6"/>
          <w:sz w:val="24"/>
        </w:rPr>
        <w:t> </w:t>
      </w:r>
      <w:r>
        <w:rPr>
          <w:color w:val="231F20"/>
          <w:spacing w:val="-2"/>
          <w:sz w:val="24"/>
        </w:rPr>
        <w:t>démocratique</w:t>
      </w:r>
      <w:r>
        <w:rPr>
          <w:color w:val="231F20"/>
          <w:spacing w:val="-6"/>
          <w:sz w:val="24"/>
        </w:rPr>
        <w:t> </w:t>
      </w:r>
      <w:r>
        <w:rPr>
          <w:color w:val="231F20"/>
          <w:spacing w:val="-2"/>
          <w:sz w:val="24"/>
        </w:rPr>
        <w:t>gabonais (BDG).</w:t>
      </w:r>
      <w:r>
        <w:rPr>
          <w:color w:val="231F20"/>
          <w:spacing w:val="-9"/>
          <w:sz w:val="24"/>
        </w:rPr>
        <w:t> </w:t>
      </w:r>
      <w:r>
        <w:rPr>
          <w:color w:val="231F20"/>
          <w:spacing w:val="-2"/>
          <w:sz w:val="24"/>
        </w:rPr>
        <w:t>(…)</w:t>
      </w:r>
      <w:r>
        <w:rPr>
          <w:color w:val="231F20"/>
          <w:spacing w:val="-9"/>
          <w:sz w:val="24"/>
        </w:rPr>
        <w:t> </w:t>
      </w:r>
      <w:r>
        <w:rPr>
          <w:i/>
          <w:color w:val="231F20"/>
          <w:spacing w:val="-2"/>
          <w:sz w:val="24"/>
        </w:rPr>
        <w:t>Fin</w:t>
      </w:r>
      <w:r>
        <w:rPr>
          <w:i/>
          <w:color w:val="231F20"/>
          <w:spacing w:val="-9"/>
          <w:sz w:val="24"/>
        </w:rPr>
        <w:t> </w:t>
      </w:r>
      <w:r>
        <w:rPr>
          <w:i/>
          <w:color w:val="231F20"/>
          <w:spacing w:val="-2"/>
          <w:sz w:val="24"/>
        </w:rPr>
        <w:t>tacticien,</w:t>
      </w:r>
      <w:r>
        <w:rPr>
          <w:i/>
          <w:color w:val="231F20"/>
          <w:spacing w:val="-12"/>
          <w:sz w:val="24"/>
        </w:rPr>
        <w:t> </w:t>
      </w:r>
      <w:r>
        <w:rPr>
          <w:i/>
          <w:color w:val="231F20"/>
          <w:spacing w:val="-2"/>
          <w:sz w:val="24"/>
        </w:rPr>
        <w:t>Léon</w:t>
      </w:r>
      <w:r>
        <w:rPr>
          <w:i/>
          <w:color w:val="231F20"/>
          <w:spacing w:val="-9"/>
          <w:sz w:val="24"/>
        </w:rPr>
        <w:t> </w:t>
      </w:r>
      <w:r>
        <w:rPr>
          <w:i/>
          <w:color w:val="231F20"/>
          <w:spacing w:val="-2"/>
          <w:sz w:val="24"/>
        </w:rPr>
        <w:t>Mba</w:t>
      </w:r>
      <w:r>
        <w:rPr>
          <w:i/>
          <w:color w:val="231F20"/>
          <w:spacing w:val="-12"/>
          <w:sz w:val="24"/>
        </w:rPr>
        <w:t> </w:t>
      </w:r>
      <w:r>
        <w:rPr>
          <w:i/>
          <w:color w:val="231F20"/>
          <w:spacing w:val="-2"/>
          <w:sz w:val="24"/>
        </w:rPr>
        <w:t>s'est</w:t>
      </w:r>
      <w:r>
        <w:rPr>
          <w:i/>
          <w:color w:val="231F20"/>
          <w:spacing w:val="-12"/>
          <w:sz w:val="24"/>
        </w:rPr>
        <w:t> </w:t>
      </w:r>
      <w:r>
        <w:rPr>
          <w:i/>
          <w:color w:val="231F20"/>
          <w:spacing w:val="-2"/>
          <w:sz w:val="24"/>
        </w:rPr>
        <w:t>finalement</w:t>
      </w:r>
      <w:r>
        <w:rPr>
          <w:i/>
          <w:color w:val="231F20"/>
          <w:spacing w:val="-9"/>
          <w:sz w:val="24"/>
        </w:rPr>
        <w:t> </w:t>
      </w:r>
      <w:r>
        <w:rPr>
          <w:i/>
          <w:color w:val="231F20"/>
          <w:spacing w:val="-2"/>
          <w:sz w:val="24"/>
        </w:rPr>
        <w:t>plié</w:t>
      </w:r>
      <w:r>
        <w:rPr>
          <w:i/>
          <w:color w:val="231F20"/>
          <w:spacing w:val="-9"/>
          <w:sz w:val="24"/>
        </w:rPr>
        <w:t> </w:t>
      </w:r>
      <w:r>
        <w:rPr>
          <w:i/>
          <w:color w:val="231F20"/>
          <w:spacing w:val="-2"/>
          <w:sz w:val="24"/>
        </w:rPr>
        <w:t>à</w:t>
      </w:r>
      <w:r>
        <w:rPr>
          <w:i/>
          <w:color w:val="231F20"/>
          <w:spacing w:val="-9"/>
          <w:sz w:val="24"/>
        </w:rPr>
        <w:t> </w:t>
      </w:r>
      <w:r>
        <w:rPr>
          <w:i/>
          <w:color w:val="231F20"/>
          <w:spacing w:val="-2"/>
          <w:sz w:val="24"/>
        </w:rPr>
        <w:t>la</w:t>
      </w:r>
      <w:r>
        <w:rPr>
          <w:i/>
          <w:color w:val="231F20"/>
          <w:spacing w:val="-9"/>
          <w:sz w:val="24"/>
        </w:rPr>
        <w:t> </w:t>
      </w:r>
      <w:r>
        <w:rPr>
          <w:i/>
          <w:color w:val="231F20"/>
          <w:spacing w:val="-2"/>
          <w:sz w:val="24"/>
        </w:rPr>
        <w:t>volonté</w:t>
      </w:r>
      <w:r>
        <w:rPr>
          <w:i/>
          <w:color w:val="231F20"/>
          <w:spacing w:val="-9"/>
          <w:sz w:val="24"/>
        </w:rPr>
        <w:t> </w:t>
      </w:r>
      <w:r>
        <w:rPr>
          <w:i/>
          <w:color w:val="231F20"/>
          <w:spacing w:val="-2"/>
          <w:sz w:val="24"/>
        </w:rPr>
        <w:t>de</w:t>
      </w:r>
      <w:r>
        <w:rPr>
          <w:i/>
          <w:color w:val="231F20"/>
          <w:spacing w:val="-2"/>
          <w:sz w:val="24"/>
        </w:rPr>
        <w:t> </w:t>
      </w:r>
      <w:r>
        <w:rPr>
          <w:i/>
          <w:color w:val="231F20"/>
          <w:sz w:val="24"/>
        </w:rPr>
        <w:t>la</w:t>
      </w:r>
      <w:r>
        <w:rPr>
          <w:i/>
          <w:color w:val="231F20"/>
          <w:spacing w:val="-5"/>
          <w:sz w:val="24"/>
        </w:rPr>
        <w:t> </w:t>
      </w:r>
      <w:r>
        <w:rPr>
          <w:i/>
          <w:color w:val="231F20"/>
          <w:sz w:val="24"/>
        </w:rPr>
        <w:t>majorité</w:t>
      </w:r>
      <w:r>
        <w:rPr>
          <w:i/>
          <w:color w:val="231F20"/>
          <w:spacing w:val="-5"/>
          <w:sz w:val="24"/>
        </w:rPr>
        <w:t> </w:t>
      </w:r>
      <w:r>
        <w:rPr>
          <w:i/>
          <w:color w:val="231F20"/>
          <w:sz w:val="24"/>
        </w:rPr>
        <w:t>et</w:t>
      </w:r>
      <w:r>
        <w:rPr>
          <w:i/>
          <w:color w:val="231F20"/>
          <w:spacing w:val="-5"/>
          <w:sz w:val="24"/>
        </w:rPr>
        <w:t> </w:t>
      </w:r>
      <w:r>
        <w:rPr>
          <w:i/>
          <w:color w:val="231F20"/>
          <w:sz w:val="24"/>
        </w:rPr>
        <w:t>a</w:t>
      </w:r>
      <w:r>
        <w:rPr>
          <w:i/>
          <w:color w:val="231F20"/>
          <w:spacing w:val="-8"/>
          <w:sz w:val="24"/>
        </w:rPr>
        <w:t> </w:t>
      </w:r>
      <w:r>
        <w:rPr>
          <w:i/>
          <w:color w:val="231F20"/>
          <w:sz w:val="24"/>
        </w:rPr>
        <w:t>renoncé</w:t>
      </w:r>
      <w:r>
        <w:rPr>
          <w:i/>
          <w:color w:val="231F20"/>
          <w:spacing w:val="-8"/>
          <w:sz w:val="24"/>
        </w:rPr>
        <w:t> </w:t>
      </w:r>
      <w:r>
        <w:rPr>
          <w:i/>
          <w:color w:val="231F20"/>
          <w:sz w:val="24"/>
        </w:rPr>
        <w:t>à</w:t>
      </w:r>
      <w:r>
        <w:rPr>
          <w:i/>
          <w:color w:val="231F20"/>
          <w:spacing w:val="-8"/>
          <w:sz w:val="24"/>
        </w:rPr>
        <w:t> </w:t>
      </w:r>
      <w:r>
        <w:rPr>
          <w:i/>
          <w:color w:val="231F20"/>
          <w:sz w:val="24"/>
        </w:rPr>
        <w:t>ce</w:t>
      </w:r>
      <w:r>
        <w:rPr>
          <w:i/>
          <w:color w:val="231F20"/>
          <w:spacing w:val="-5"/>
          <w:sz w:val="24"/>
        </w:rPr>
        <w:t> </w:t>
      </w:r>
      <w:r>
        <w:rPr>
          <w:i/>
          <w:color w:val="231F20"/>
          <w:sz w:val="24"/>
        </w:rPr>
        <w:t>drapeau</w:t>
      </w:r>
      <w:r>
        <w:rPr>
          <w:i/>
          <w:color w:val="231F20"/>
          <w:spacing w:val="-5"/>
          <w:sz w:val="24"/>
        </w:rPr>
        <w:t> </w:t>
      </w:r>
      <w:r>
        <w:rPr>
          <w:i/>
          <w:color w:val="231F20"/>
          <w:sz w:val="24"/>
        </w:rPr>
        <w:t>qui</w:t>
      </w:r>
      <w:r>
        <w:rPr>
          <w:i/>
          <w:color w:val="231F20"/>
          <w:spacing w:val="-5"/>
          <w:sz w:val="24"/>
        </w:rPr>
        <w:t> </w:t>
      </w:r>
      <w:r>
        <w:rPr>
          <w:i/>
          <w:color w:val="231F20"/>
          <w:sz w:val="24"/>
        </w:rPr>
        <w:t>rappelait</w:t>
      </w:r>
      <w:r>
        <w:rPr>
          <w:i/>
          <w:color w:val="231F20"/>
          <w:spacing w:val="-7"/>
          <w:sz w:val="24"/>
        </w:rPr>
        <w:t> </w:t>
      </w:r>
      <w:r>
        <w:rPr>
          <w:i/>
          <w:color w:val="231F20"/>
          <w:sz w:val="24"/>
        </w:rPr>
        <w:t>trop</w:t>
      </w:r>
      <w:r>
        <w:rPr>
          <w:i/>
          <w:color w:val="231F20"/>
          <w:spacing w:val="-8"/>
          <w:sz w:val="24"/>
        </w:rPr>
        <w:t> </w:t>
      </w:r>
      <w:r>
        <w:rPr>
          <w:i/>
          <w:color w:val="231F20"/>
          <w:sz w:val="24"/>
        </w:rPr>
        <w:t>la</w:t>
      </w:r>
      <w:r>
        <w:rPr>
          <w:i/>
          <w:color w:val="231F20"/>
          <w:spacing w:val="-5"/>
          <w:sz w:val="24"/>
        </w:rPr>
        <w:t> </w:t>
      </w:r>
      <w:r>
        <w:rPr>
          <w:i/>
          <w:color w:val="231F20"/>
          <w:sz w:val="24"/>
        </w:rPr>
        <w:t>colonie</w:t>
      </w:r>
      <w:r>
        <w:rPr>
          <w:i/>
          <w:color w:val="231F20"/>
          <w:spacing w:val="-5"/>
          <w:sz w:val="24"/>
        </w:rPr>
        <w:t> </w:t>
      </w:r>
      <w:r>
        <w:rPr>
          <w:i/>
          <w:color w:val="231F20"/>
          <w:sz w:val="24"/>
        </w:rPr>
        <w:t>»</w:t>
      </w:r>
      <w:r>
        <w:rPr>
          <w:color w:val="231F20"/>
          <w:sz w:val="24"/>
          <w:vertAlign w:val="superscript"/>
        </w:rPr>
        <w:t>70</w:t>
      </w:r>
      <w:r>
        <w:rPr>
          <w:i/>
          <w:color w:val="231F20"/>
          <w:sz w:val="24"/>
          <w:vertAlign w:val="baseline"/>
        </w:rPr>
        <w:t>.</w:t>
      </w:r>
    </w:p>
    <w:p>
      <w:pPr>
        <w:pStyle w:val="BodyText"/>
        <w:spacing w:before="120"/>
        <w:ind w:right="104" w:firstLine="283"/>
      </w:pPr>
      <w:r>
        <w:rPr>
          <w:color w:val="231F20"/>
          <w:spacing w:val="-2"/>
        </w:rPr>
        <w:t>Trois</w:t>
      </w:r>
      <w:r>
        <w:rPr>
          <w:color w:val="231F20"/>
          <w:spacing w:val="-9"/>
        </w:rPr>
        <w:t> </w:t>
      </w:r>
      <w:r>
        <w:rPr>
          <w:color w:val="231F20"/>
          <w:spacing w:val="-2"/>
        </w:rPr>
        <w:t>ans</w:t>
      </w:r>
      <w:r>
        <w:rPr>
          <w:color w:val="231F20"/>
          <w:spacing w:val="-9"/>
        </w:rPr>
        <w:t> </w:t>
      </w:r>
      <w:r>
        <w:rPr>
          <w:color w:val="231F20"/>
          <w:spacing w:val="-2"/>
        </w:rPr>
        <w:t>après</w:t>
      </w:r>
      <w:r>
        <w:rPr>
          <w:color w:val="231F20"/>
          <w:spacing w:val="-12"/>
        </w:rPr>
        <w:t> </w:t>
      </w:r>
      <w:r>
        <w:rPr>
          <w:color w:val="231F20"/>
          <w:spacing w:val="-2"/>
        </w:rPr>
        <w:t>l’indépendance,</w:t>
      </w:r>
      <w:r>
        <w:rPr>
          <w:color w:val="231F20"/>
          <w:spacing w:val="-9"/>
        </w:rPr>
        <w:t> </w:t>
      </w:r>
      <w:r>
        <w:rPr>
          <w:color w:val="231F20"/>
          <w:spacing w:val="-2"/>
        </w:rPr>
        <w:t>Léon</w:t>
      </w:r>
      <w:r>
        <w:rPr>
          <w:color w:val="231F20"/>
          <w:spacing w:val="-9"/>
        </w:rPr>
        <w:t> </w:t>
      </w:r>
      <w:r>
        <w:rPr>
          <w:color w:val="231F20"/>
          <w:spacing w:val="-2"/>
        </w:rPr>
        <w:t>Mba</w:t>
      </w:r>
      <w:r>
        <w:rPr>
          <w:color w:val="231F20"/>
          <w:spacing w:val="-9"/>
        </w:rPr>
        <w:t> </w:t>
      </w:r>
      <w:r>
        <w:rPr>
          <w:color w:val="231F20"/>
          <w:spacing w:val="-2"/>
        </w:rPr>
        <w:t>est</w:t>
      </w:r>
      <w:r>
        <w:rPr>
          <w:color w:val="231F20"/>
          <w:spacing w:val="-8"/>
        </w:rPr>
        <w:t> </w:t>
      </w:r>
      <w:r>
        <w:rPr>
          <w:color w:val="231F20"/>
          <w:spacing w:val="-2"/>
        </w:rPr>
        <w:t>victime</w:t>
      </w:r>
      <w:r>
        <w:rPr>
          <w:color w:val="231F20"/>
          <w:spacing w:val="-10"/>
        </w:rPr>
        <w:t> </w:t>
      </w:r>
      <w:r>
        <w:rPr>
          <w:color w:val="231F20"/>
          <w:spacing w:val="-2"/>
        </w:rPr>
        <w:t>d’une</w:t>
      </w:r>
      <w:r>
        <w:rPr>
          <w:color w:val="231F20"/>
          <w:spacing w:val="-10"/>
        </w:rPr>
        <w:t> </w:t>
      </w:r>
      <w:r>
        <w:rPr>
          <w:color w:val="231F20"/>
          <w:spacing w:val="-2"/>
        </w:rPr>
        <w:t>tentative </w:t>
      </w:r>
      <w:r>
        <w:rPr>
          <w:color w:val="231F20"/>
        </w:rPr>
        <w:t>de coup d’</w:t>
      </w:r>
      <w:r>
        <w:rPr>
          <w:color w:val="231F20"/>
          <w:shd w:fill="FCFCFC" w:color="auto" w:val="clear"/>
        </w:rPr>
        <w:t>É</w:t>
      </w:r>
      <w:r>
        <w:rPr>
          <w:color w:val="231F20"/>
        </w:rPr>
        <w:t>tat. Dans la nuit du 17 au 18 février 1964, des militaires l’arrêtent ainsi que d’autres personnalités dont le Président de l’Assemblée Nationale Louis Bigman, et plusieurs ministres. Les putschistes</w:t>
      </w:r>
      <w:r>
        <w:rPr>
          <w:color w:val="231F20"/>
          <w:spacing w:val="-12"/>
        </w:rPr>
        <w:t> </w:t>
      </w:r>
      <w:r>
        <w:rPr>
          <w:color w:val="231F20"/>
        </w:rPr>
        <w:t>forment</w:t>
      </w:r>
      <w:r>
        <w:rPr>
          <w:color w:val="231F20"/>
          <w:spacing w:val="-12"/>
        </w:rPr>
        <w:t> </w:t>
      </w:r>
      <w:r>
        <w:rPr>
          <w:color w:val="231F20"/>
        </w:rPr>
        <w:t>un</w:t>
      </w:r>
      <w:r>
        <w:rPr>
          <w:color w:val="231F20"/>
          <w:spacing w:val="-12"/>
        </w:rPr>
        <w:t> </w:t>
      </w:r>
      <w:r>
        <w:rPr>
          <w:color w:val="231F20"/>
        </w:rPr>
        <w:t>gouvernement</w:t>
      </w:r>
      <w:r>
        <w:rPr>
          <w:color w:val="231F20"/>
          <w:spacing w:val="-12"/>
        </w:rPr>
        <w:t> </w:t>
      </w:r>
      <w:r>
        <w:rPr>
          <w:color w:val="231F20"/>
        </w:rPr>
        <w:t>provisoire</w:t>
      </w:r>
      <w:r>
        <w:rPr>
          <w:color w:val="231F20"/>
          <w:spacing w:val="-12"/>
        </w:rPr>
        <w:t> </w:t>
      </w:r>
      <w:r>
        <w:rPr>
          <w:color w:val="231F20"/>
        </w:rPr>
        <w:t>dirigé</w:t>
      </w:r>
      <w:r>
        <w:rPr>
          <w:color w:val="231F20"/>
          <w:spacing w:val="-12"/>
        </w:rPr>
        <w:t> </w:t>
      </w:r>
      <w:r>
        <w:rPr>
          <w:color w:val="231F20"/>
        </w:rPr>
        <w:t>par</w:t>
      </w:r>
      <w:r>
        <w:rPr>
          <w:color w:val="231F20"/>
          <w:spacing w:val="-14"/>
        </w:rPr>
        <w:t> </w:t>
      </w:r>
      <w:r>
        <w:rPr>
          <w:color w:val="231F20"/>
        </w:rPr>
        <w:t>Jean-Hilaire </w:t>
      </w:r>
      <w:r>
        <w:rPr>
          <w:color w:val="231F20"/>
          <w:spacing w:val="-2"/>
        </w:rPr>
        <w:t>Aubame.</w:t>
      </w:r>
    </w:p>
    <w:p>
      <w:pPr>
        <w:pStyle w:val="BodyText"/>
        <w:spacing w:before="120"/>
        <w:ind w:right="104" w:firstLine="283"/>
      </w:pPr>
      <w:r>
        <w:rPr>
          <w:color w:val="231F20"/>
        </w:rPr>
        <w:t>Mais le Général de Gaulle qui apprécie les privilèges accordés aux </w:t>
      </w:r>
      <w:r>
        <w:rPr>
          <w:color w:val="231F20"/>
          <w:spacing w:val="-4"/>
        </w:rPr>
        <w:t>français</w:t>
      </w:r>
      <w:r>
        <w:rPr>
          <w:color w:val="231F20"/>
          <w:spacing w:val="-11"/>
        </w:rPr>
        <w:t> </w:t>
      </w:r>
      <w:r>
        <w:rPr>
          <w:color w:val="231F20"/>
          <w:spacing w:val="-4"/>
        </w:rPr>
        <w:t>par</w:t>
      </w:r>
      <w:r>
        <w:rPr>
          <w:color w:val="231F20"/>
          <w:spacing w:val="-11"/>
        </w:rPr>
        <w:t> </w:t>
      </w:r>
      <w:r>
        <w:rPr>
          <w:color w:val="231F20"/>
          <w:spacing w:val="-4"/>
        </w:rPr>
        <w:t>Léon</w:t>
      </w:r>
      <w:r>
        <w:rPr>
          <w:color w:val="231F20"/>
          <w:spacing w:val="-11"/>
        </w:rPr>
        <w:t> </w:t>
      </w:r>
      <w:r>
        <w:rPr>
          <w:color w:val="231F20"/>
          <w:spacing w:val="-4"/>
        </w:rPr>
        <w:t>Mba</w:t>
      </w:r>
      <w:r>
        <w:rPr>
          <w:color w:val="231F20"/>
          <w:spacing w:val="-11"/>
        </w:rPr>
        <w:t> </w:t>
      </w:r>
      <w:r>
        <w:rPr>
          <w:color w:val="231F20"/>
          <w:spacing w:val="-4"/>
        </w:rPr>
        <w:t>ordonne</w:t>
      </w:r>
      <w:r>
        <w:rPr>
          <w:color w:val="231F20"/>
          <w:spacing w:val="-11"/>
        </w:rPr>
        <w:t> </w:t>
      </w:r>
      <w:r>
        <w:rPr>
          <w:color w:val="231F20"/>
          <w:spacing w:val="-4"/>
        </w:rPr>
        <w:t>l’intervention</w:t>
      </w:r>
      <w:r>
        <w:rPr>
          <w:color w:val="231F20"/>
          <w:spacing w:val="-11"/>
        </w:rPr>
        <w:t> </w:t>
      </w:r>
      <w:r>
        <w:rPr>
          <w:color w:val="231F20"/>
          <w:spacing w:val="-4"/>
        </w:rPr>
        <w:t>de</w:t>
      </w:r>
      <w:r>
        <w:rPr>
          <w:color w:val="231F20"/>
          <w:spacing w:val="-11"/>
        </w:rPr>
        <w:t> </w:t>
      </w:r>
      <w:r>
        <w:rPr>
          <w:color w:val="231F20"/>
          <w:spacing w:val="-4"/>
        </w:rPr>
        <w:t>l’Armée</w:t>
      </w:r>
      <w:r>
        <w:rPr>
          <w:color w:val="231F20"/>
          <w:spacing w:val="-11"/>
        </w:rPr>
        <w:t> </w:t>
      </w:r>
      <w:r>
        <w:rPr>
          <w:color w:val="231F20"/>
          <w:spacing w:val="-4"/>
        </w:rPr>
        <w:t>française.</w:t>
      </w:r>
      <w:r>
        <w:rPr>
          <w:color w:val="231F20"/>
          <w:spacing w:val="-11"/>
        </w:rPr>
        <w:t> </w:t>
      </w:r>
      <w:r>
        <w:rPr>
          <w:color w:val="231F20"/>
          <w:spacing w:val="-4"/>
        </w:rPr>
        <w:t>2</w:t>
      </w:r>
      <w:r>
        <w:rPr>
          <w:color w:val="231F20"/>
          <w:spacing w:val="-3"/>
        </w:rPr>
        <w:t> </w:t>
      </w:r>
      <w:r>
        <w:rPr>
          <w:color w:val="231F20"/>
          <w:spacing w:val="-4"/>
        </w:rPr>
        <w:t>000 soldats</w:t>
      </w:r>
      <w:r>
        <w:rPr>
          <w:color w:val="231F20"/>
          <w:spacing w:val="-8"/>
        </w:rPr>
        <w:t> </w:t>
      </w:r>
      <w:r>
        <w:rPr>
          <w:color w:val="231F20"/>
          <w:spacing w:val="-4"/>
        </w:rPr>
        <w:t>français</w:t>
      </w:r>
      <w:r>
        <w:rPr>
          <w:color w:val="231F20"/>
          <w:spacing w:val="-8"/>
        </w:rPr>
        <w:t> </w:t>
      </w:r>
      <w:r>
        <w:rPr>
          <w:color w:val="231F20"/>
          <w:spacing w:val="-4"/>
        </w:rPr>
        <w:t>sont</w:t>
      </w:r>
      <w:r>
        <w:rPr>
          <w:color w:val="231F20"/>
          <w:spacing w:val="-8"/>
        </w:rPr>
        <w:t> </w:t>
      </w:r>
      <w:r>
        <w:rPr>
          <w:color w:val="231F20"/>
          <w:spacing w:val="-4"/>
        </w:rPr>
        <w:t>acheminés</w:t>
      </w:r>
      <w:r>
        <w:rPr>
          <w:color w:val="231F20"/>
          <w:spacing w:val="-8"/>
        </w:rPr>
        <w:t> </w:t>
      </w:r>
      <w:r>
        <w:rPr>
          <w:color w:val="231F20"/>
          <w:spacing w:val="-4"/>
        </w:rPr>
        <w:t>de</w:t>
      </w:r>
      <w:r>
        <w:rPr>
          <w:color w:val="231F20"/>
          <w:spacing w:val="-9"/>
        </w:rPr>
        <w:t> </w:t>
      </w:r>
      <w:r>
        <w:rPr>
          <w:color w:val="231F20"/>
          <w:spacing w:val="-4"/>
        </w:rPr>
        <w:t>Dakar</w:t>
      </w:r>
      <w:r>
        <w:rPr>
          <w:color w:val="231F20"/>
          <w:spacing w:val="-9"/>
        </w:rPr>
        <w:t> </w:t>
      </w:r>
      <w:r>
        <w:rPr>
          <w:color w:val="231F20"/>
          <w:spacing w:val="-4"/>
        </w:rPr>
        <w:t>et</w:t>
      </w:r>
      <w:r>
        <w:rPr>
          <w:color w:val="231F20"/>
          <w:spacing w:val="-7"/>
        </w:rPr>
        <w:t> </w:t>
      </w:r>
      <w:r>
        <w:rPr>
          <w:color w:val="231F20"/>
          <w:spacing w:val="-4"/>
        </w:rPr>
        <w:t>de</w:t>
      </w:r>
      <w:r>
        <w:rPr>
          <w:color w:val="231F20"/>
          <w:spacing w:val="-11"/>
        </w:rPr>
        <w:t> </w:t>
      </w:r>
      <w:r>
        <w:rPr>
          <w:color w:val="231F20"/>
          <w:spacing w:val="-4"/>
        </w:rPr>
        <w:t>Brazzaville.</w:t>
      </w:r>
      <w:r>
        <w:rPr>
          <w:color w:val="231F20"/>
          <w:spacing w:val="-8"/>
        </w:rPr>
        <w:t> </w:t>
      </w:r>
      <w:r>
        <w:rPr>
          <w:color w:val="231F20"/>
          <w:spacing w:val="-4"/>
        </w:rPr>
        <w:t>Ils</w:t>
      </w:r>
      <w:r>
        <w:rPr>
          <w:color w:val="231F20"/>
          <w:spacing w:val="-9"/>
        </w:rPr>
        <w:t> </w:t>
      </w:r>
      <w:r>
        <w:rPr>
          <w:color w:val="231F20"/>
          <w:spacing w:val="-4"/>
        </w:rPr>
        <w:t>débarquent </w:t>
      </w:r>
      <w:r>
        <w:rPr>
          <w:color w:val="231F20"/>
        </w:rPr>
        <w:t>à</w:t>
      </w:r>
      <w:r>
        <w:rPr>
          <w:color w:val="231F20"/>
          <w:spacing w:val="-8"/>
        </w:rPr>
        <w:t> </w:t>
      </w:r>
      <w:r>
        <w:rPr>
          <w:color w:val="231F20"/>
        </w:rPr>
        <w:t>Libreville</w:t>
      </w:r>
      <w:r>
        <w:rPr>
          <w:color w:val="231F20"/>
          <w:spacing w:val="-8"/>
        </w:rPr>
        <w:t> </w:t>
      </w:r>
      <w:r>
        <w:rPr>
          <w:color w:val="231F20"/>
        </w:rPr>
        <w:t>dans</w:t>
      </w:r>
      <w:r>
        <w:rPr>
          <w:color w:val="231F20"/>
          <w:spacing w:val="-9"/>
        </w:rPr>
        <w:t> </w:t>
      </w:r>
      <w:r>
        <w:rPr>
          <w:color w:val="231F20"/>
        </w:rPr>
        <w:t>la</w:t>
      </w:r>
      <w:r>
        <w:rPr>
          <w:color w:val="231F20"/>
          <w:spacing w:val="-10"/>
        </w:rPr>
        <w:t> </w:t>
      </w:r>
      <w:r>
        <w:rPr>
          <w:color w:val="231F20"/>
        </w:rPr>
        <w:t>nuit</w:t>
      </w:r>
      <w:r>
        <w:rPr>
          <w:color w:val="231F20"/>
          <w:spacing w:val="-9"/>
        </w:rPr>
        <w:t> </w:t>
      </w:r>
      <w:r>
        <w:rPr>
          <w:color w:val="231F20"/>
        </w:rPr>
        <w:t>du</w:t>
      </w:r>
      <w:r>
        <w:rPr>
          <w:color w:val="231F20"/>
          <w:spacing w:val="-8"/>
        </w:rPr>
        <w:t> </w:t>
      </w:r>
      <w:r>
        <w:rPr>
          <w:color w:val="231F20"/>
        </w:rPr>
        <w:t>18</w:t>
      </w:r>
      <w:r>
        <w:rPr>
          <w:color w:val="231F20"/>
          <w:spacing w:val="-9"/>
        </w:rPr>
        <w:t> </w:t>
      </w:r>
      <w:r>
        <w:rPr>
          <w:color w:val="231F20"/>
        </w:rPr>
        <w:t>au</w:t>
      </w:r>
      <w:r>
        <w:rPr>
          <w:color w:val="231F20"/>
          <w:spacing w:val="-8"/>
        </w:rPr>
        <w:t> </w:t>
      </w:r>
      <w:r>
        <w:rPr>
          <w:color w:val="231F20"/>
        </w:rPr>
        <w:t>19</w:t>
      </w:r>
      <w:r>
        <w:rPr>
          <w:color w:val="231F20"/>
          <w:spacing w:val="-9"/>
        </w:rPr>
        <w:t> </w:t>
      </w:r>
      <w:r>
        <w:rPr>
          <w:color w:val="231F20"/>
        </w:rPr>
        <w:t>février</w:t>
      </w:r>
      <w:r>
        <w:rPr>
          <w:color w:val="231F20"/>
          <w:spacing w:val="-10"/>
        </w:rPr>
        <w:t> </w:t>
      </w:r>
      <w:r>
        <w:rPr>
          <w:color w:val="231F20"/>
        </w:rPr>
        <w:t>et</w:t>
      </w:r>
      <w:r>
        <w:rPr>
          <w:color w:val="231F20"/>
          <w:spacing w:val="-7"/>
        </w:rPr>
        <w:t> </w:t>
      </w:r>
      <w:r>
        <w:rPr>
          <w:color w:val="231F20"/>
        </w:rPr>
        <w:t>rétablissent</w:t>
      </w:r>
      <w:r>
        <w:rPr>
          <w:color w:val="231F20"/>
          <w:spacing w:val="-9"/>
        </w:rPr>
        <w:t> </w:t>
      </w:r>
      <w:r>
        <w:rPr>
          <w:color w:val="231F20"/>
        </w:rPr>
        <w:t>Léon</w:t>
      </w:r>
      <w:r>
        <w:rPr>
          <w:color w:val="231F20"/>
          <w:spacing w:val="-10"/>
        </w:rPr>
        <w:t> </w:t>
      </w:r>
      <w:r>
        <w:rPr>
          <w:color w:val="231F20"/>
        </w:rPr>
        <w:t>Mba</w:t>
      </w:r>
      <w:r>
        <w:rPr>
          <w:color w:val="231F20"/>
          <w:spacing w:val="-8"/>
        </w:rPr>
        <w:t> </w:t>
      </w:r>
      <w:r>
        <w:rPr>
          <w:color w:val="231F20"/>
        </w:rPr>
        <w:t>au </w:t>
      </w:r>
      <w:r>
        <w:rPr>
          <w:color w:val="231F20"/>
          <w:spacing w:val="-2"/>
        </w:rPr>
        <w:t>pouvoir.</w:t>
      </w:r>
    </w:p>
    <w:p>
      <w:pPr>
        <w:pStyle w:val="BodyText"/>
        <w:spacing w:before="120"/>
        <w:ind w:right="104" w:firstLine="283"/>
      </w:pPr>
      <w:r>
        <w:rPr>
          <w:color w:val="231F20"/>
        </w:rPr>
        <w:t>En 1965, Paris porte son choix sur Albert-Bernard Bongo pour </w:t>
      </w:r>
      <w:r>
        <w:rPr>
          <w:color w:val="231F20"/>
          <w:spacing w:val="-2"/>
        </w:rPr>
        <w:t>succéder</w:t>
      </w:r>
      <w:r>
        <w:rPr>
          <w:color w:val="231F20"/>
          <w:spacing w:val="-10"/>
        </w:rPr>
        <w:t> </w:t>
      </w:r>
      <w:r>
        <w:rPr>
          <w:color w:val="231F20"/>
          <w:spacing w:val="-2"/>
        </w:rPr>
        <w:t>à</w:t>
      </w:r>
      <w:r>
        <w:rPr>
          <w:color w:val="231F20"/>
          <w:spacing w:val="-10"/>
        </w:rPr>
        <w:t> </w:t>
      </w:r>
      <w:r>
        <w:rPr>
          <w:color w:val="231F20"/>
          <w:spacing w:val="-2"/>
        </w:rPr>
        <w:t>«</w:t>
      </w:r>
      <w:r>
        <w:rPr>
          <w:color w:val="231F20"/>
          <w:spacing w:val="-11"/>
        </w:rPr>
        <w:t> </w:t>
      </w:r>
      <w:r>
        <w:rPr>
          <w:color w:val="231F20"/>
          <w:spacing w:val="-2"/>
        </w:rPr>
        <w:t>l’ami</w:t>
      </w:r>
      <w:r>
        <w:rPr>
          <w:color w:val="231F20"/>
          <w:spacing w:val="-9"/>
        </w:rPr>
        <w:t> </w:t>
      </w:r>
      <w:r>
        <w:rPr>
          <w:color w:val="231F20"/>
          <w:spacing w:val="-2"/>
        </w:rPr>
        <w:t>»</w:t>
      </w:r>
      <w:r>
        <w:rPr>
          <w:color w:val="231F20"/>
          <w:spacing w:val="-11"/>
        </w:rPr>
        <w:t> </w:t>
      </w:r>
      <w:r>
        <w:rPr>
          <w:color w:val="231F20"/>
          <w:spacing w:val="-2"/>
        </w:rPr>
        <w:t>vieillissant</w:t>
      </w:r>
      <w:r>
        <w:rPr>
          <w:color w:val="231F20"/>
          <w:spacing w:val="-8"/>
        </w:rPr>
        <w:t> </w:t>
      </w:r>
      <w:r>
        <w:rPr>
          <w:color w:val="231F20"/>
          <w:spacing w:val="-2"/>
        </w:rPr>
        <w:t>et</w:t>
      </w:r>
      <w:r>
        <w:rPr>
          <w:color w:val="231F20"/>
          <w:spacing w:val="-11"/>
        </w:rPr>
        <w:t> </w:t>
      </w:r>
      <w:r>
        <w:rPr>
          <w:color w:val="231F20"/>
          <w:spacing w:val="-2"/>
        </w:rPr>
        <w:t>malade.</w:t>
      </w:r>
      <w:r>
        <w:rPr>
          <w:color w:val="231F20"/>
          <w:spacing w:val="-11"/>
        </w:rPr>
        <w:t> </w:t>
      </w:r>
      <w:r>
        <w:rPr>
          <w:color w:val="231F20"/>
          <w:spacing w:val="-2"/>
        </w:rPr>
        <w:t>Bongo</w:t>
      </w:r>
      <w:r>
        <w:rPr>
          <w:color w:val="231F20"/>
          <w:spacing w:val="-12"/>
        </w:rPr>
        <w:t> </w:t>
      </w:r>
      <w:r>
        <w:rPr>
          <w:color w:val="231F20"/>
          <w:spacing w:val="-2"/>
        </w:rPr>
        <w:t>est</w:t>
      </w:r>
      <w:r>
        <w:rPr>
          <w:color w:val="231F20"/>
          <w:spacing w:val="-11"/>
        </w:rPr>
        <w:t> </w:t>
      </w:r>
      <w:r>
        <w:rPr>
          <w:color w:val="231F20"/>
          <w:spacing w:val="-2"/>
        </w:rPr>
        <w:t>jeune.</w:t>
      </w:r>
      <w:r>
        <w:rPr>
          <w:color w:val="231F20"/>
          <w:spacing w:val="-12"/>
        </w:rPr>
        <w:t> </w:t>
      </w:r>
      <w:r>
        <w:rPr>
          <w:color w:val="231F20"/>
          <w:spacing w:val="-2"/>
        </w:rPr>
        <w:t>Il</w:t>
      </w:r>
      <w:r>
        <w:rPr>
          <w:color w:val="231F20"/>
          <w:spacing w:val="-9"/>
        </w:rPr>
        <w:t> </w:t>
      </w:r>
      <w:r>
        <w:rPr>
          <w:color w:val="231F20"/>
          <w:spacing w:val="-2"/>
        </w:rPr>
        <w:t>est</w:t>
      </w:r>
      <w:r>
        <w:rPr>
          <w:color w:val="231F20"/>
          <w:spacing w:val="-11"/>
        </w:rPr>
        <w:t> </w:t>
      </w:r>
      <w:r>
        <w:rPr>
          <w:color w:val="231F20"/>
          <w:spacing w:val="-2"/>
        </w:rPr>
        <w:t>le</w:t>
      </w:r>
      <w:r>
        <w:rPr>
          <w:color w:val="231F20"/>
          <w:spacing w:val="-11"/>
        </w:rPr>
        <w:t> </w:t>
      </w:r>
      <w:r>
        <w:rPr>
          <w:color w:val="231F20"/>
          <w:spacing w:val="-2"/>
        </w:rPr>
        <w:t>Chef </w:t>
      </w:r>
      <w:r>
        <w:rPr>
          <w:color w:val="231F20"/>
        </w:rPr>
        <w:t>de</w:t>
      </w:r>
      <w:r>
        <w:rPr>
          <w:color w:val="231F20"/>
          <w:spacing w:val="-15"/>
        </w:rPr>
        <w:t> </w:t>
      </w:r>
      <w:r>
        <w:rPr>
          <w:color w:val="231F20"/>
        </w:rPr>
        <w:t>Cabinet</w:t>
      </w:r>
      <w:r>
        <w:rPr>
          <w:color w:val="231F20"/>
          <w:spacing w:val="-15"/>
        </w:rPr>
        <w:t> </w:t>
      </w:r>
      <w:r>
        <w:rPr>
          <w:color w:val="231F20"/>
        </w:rPr>
        <w:t>du</w:t>
      </w:r>
      <w:r>
        <w:rPr>
          <w:color w:val="231F20"/>
          <w:spacing w:val="-15"/>
        </w:rPr>
        <w:t> </w:t>
      </w:r>
      <w:r>
        <w:rPr>
          <w:color w:val="231F20"/>
        </w:rPr>
        <w:t>Président</w:t>
      </w:r>
      <w:r>
        <w:rPr>
          <w:color w:val="231F20"/>
          <w:spacing w:val="-15"/>
        </w:rPr>
        <w:t> </w:t>
      </w:r>
      <w:r>
        <w:rPr>
          <w:color w:val="231F20"/>
        </w:rPr>
        <w:t>Léon</w:t>
      </w:r>
      <w:r>
        <w:rPr>
          <w:color w:val="231F20"/>
          <w:spacing w:val="-15"/>
        </w:rPr>
        <w:t> </w:t>
      </w:r>
      <w:r>
        <w:rPr>
          <w:color w:val="231F20"/>
        </w:rPr>
        <w:t>Mba.</w:t>
      </w:r>
      <w:r>
        <w:rPr>
          <w:color w:val="231F20"/>
          <w:spacing w:val="-15"/>
        </w:rPr>
        <w:t> </w:t>
      </w:r>
      <w:r>
        <w:rPr>
          <w:color w:val="231F20"/>
        </w:rPr>
        <w:t>Le</w:t>
      </w:r>
      <w:r>
        <w:rPr>
          <w:color w:val="231F20"/>
          <w:spacing w:val="-15"/>
        </w:rPr>
        <w:t> </w:t>
      </w:r>
      <w:r>
        <w:rPr>
          <w:color w:val="231F20"/>
        </w:rPr>
        <w:t>24</w:t>
      </w:r>
      <w:r>
        <w:rPr>
          <w:color w:val="231F20"/>
          <w:spacing w:val="-15"/>
        </w:rPr>
        <w:t> </w:t>
      </w:r>
      <w:r>
        <w:rPr>
          <w:color w:val="231F20"/>
        </w:rPr>
        <w:t>septembre</w:t>
      </w:r>
      <w:r>
        <w:rPr>
          <w:color w:val="231F20"/>
          <w:spacing w:val="-15"/>
        </w:rPr>
        <w:t> </w:t>
      </w:r>
      <w:r>
        <w:rPr>
          <w:color w:val="231F20"/>
        </w:rPr>
        <w:t>1965,</w:t>
      </w:r>
      <w:r>
        <w:rPr>
          <w:color w:val="231F20"/>
          <w:spacing w:val="-15"/>
        </w:rPr>
        <w:t> </w:t>
      </w:r>
      <w:r>
        <w:rPr>
          <w:color w:val="231F20"/>
        </w:rPr>
        <w:t>il</w:t>
      </w:r>
      <w:r>
        <w:rPr>
          <w:color w:val="231F20"/>
          <w:spacing w:val="-15"/>
        </w:rPr>
        <w:t> </w:t>
      </w:r>
      <w:r>
        <w:rPr>
          <w:color w:val="231F20"/>
        </w:rPr>
        <w:t>est</w:t>
      </w:r>
      <w:r>
        <w:rPr>
          <w:color w:val="231F20"/>
          <w:spacing w:val="-15"/>
        </w:rPr>
        <w:t> </w:t>
      </w:r>
      <w:r>
        <w:rPr>
          <w:color w:val="231F20"/>
        </w:rPr>
        <w:t>nommé </w:t>
      </w:r>
      <w:r>
        <w:rPr>
          <w:color w:val="231F20"/>
          <w:spacing w:val="-2"/>
        </w:rPr>
        <w:t>Ministre</w:t>
      </w:r>
      <w:r>
        <w:rPr>
          <w:color w:val="231F20"/>
          <w:spacing w:val="-15"/>
        </w:rPr>
        <w:t> </w:t>
      </w:r>
      <w:r>
        <w:rPr>
          <w:color w:val="231F20"/>
          <w:spacing w:val="-2"/>
        </w:rPr>
        <w:t>délégué</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Présidence.</w:t>
      </w:r>
      <w:r>
        <w:rPr>
          <w:color w:val="231F20"/>
          <w:spacing w:val="-13"/>
        </w:rPr>
        <w:t> </w:t>
      </w:r>
      <w:r>
        <w:rPr>
          <w:color w:val="231F20"/>
          <w:spacing w:val="-2"/>
        </w:rPr>
        <w:t>En</w:t>
      </w:r>
      <w:r>
        <w:rPr>
          <w:color w:val="231F20"/>
          <w:spacing w:val="-13"/>
        </w:rPr>
        <w:t> </w:t>
      </w:r>
      <w:r>
        <w:rPr>
          <w:color w:val="231F20"/>
          <w:spacing w:val="-2"/>
        </w:rPr>
        <w:t>août</w:t>
      </w:r>
      <w:r>
        <w:rPr>
          <w:color w:val="231F20"/>
          <w:spacing w:val="-13"/>
        </w:rPr>
        <w:t> </w:t>
      </w:r>
      <w:r>
        <w:rPr>
          <w:color w:val="231F20"/>
          <w:spacing w:val="-2"/>
        </w:rPr>
        <w:t>1966,</w:t>
      </w:r>
      <w:r>
        <w:rPr>
          <w:color w:val="231F20"/>
          <w:spacing w:val="-13"/>
        </w:rPr>
        <w:t> </w:t>
      </w:r>
      <w:r>
        <w:rPr>
          <w:color w:val="231F20"/>
          <w:spacing w:val="-2"/>
        </w:rPr>
        <w:t>Léon</w:t>
      </w:r>
      <w:r>
        <w:rPr>
          <w:color w:val="231F20"/>
          <w:spacing w:val="-13"/>
        </w:rPr>
        <w:t> </w:t>
      </w:r>
      <w:r>
        <w:rPr>
          <w:color w:val="231F20"/>
          <w:spacing w:val="-2"/>
        </w:rPr>
        <w:t>Mba</w:t>
      </w:r>
      <w:r>
        <w:rPr>
          <w:color w:val="231F20"/>
          <w:spacing w:val="-13"/>
        </w:rPr>
        <w:t> </w:t>
      </w:r>
      <w:r>
        <w:rPr>
          <w:color w:val="231F20"/>
          <w:spacing w:val="-2"/>
        </w:rPr>
        <w:t>est</w:t>
      </w:r>
      <w:r>
        <w:rPr>
          <w:color w:val="231F20"/>
          <w:spacing w:val="-13"/>
        </w:rPr>
        <w:t> </w:t>
      </w:r>
      <w:r>
        <w:rPr>
          <w:color w:val="231F20"/>
          <w:spacing w:val="-2"/>
        </w:rPr>
        <w:t>hospitalisé </w:t>
      </w:r>
      <w:r>
        <w:rPr>
          <w:color w:val="231F20"/>
        </w:rPr>
        <w:t>à Paris.</w:t>
      </w:r>
    </w:p>
    <w:p>
      <w:pPr>
        <w:pStyle w:val="BodyText"/>
        <w:spacing w:before="121"/>
        <w:ind w:right="104" w:firstLine="283"/>
      </w:pPr>
      <w:r>
        <w:rPr>
          <w:color w:val="231F20"/>
        </w:rPr>
        <w:t>Le</w:t>
      </w:r>
      <w:r>
        <w:rPr>
          <w:color w:val="231F20"/>
          <w:spacing w:val="-15"/>
        </w:rPr>
        <w:t> </w:t>
      </w:r>
      <w:r>
        <w:rPr>
          <w:color w:val="231F20"/>
        </w:rPr>
        <w:t>14</w:t>
      </w:r>
      <w:r>
        <w:rPr>
          <w:color w:val="231F20"/>
          <w:spacing w:val="-15"/>
        </w:rPr>
        <w:t> </w:t>
      </w:r>
      <w:r>
        <w:rPr>
          <w:color w:val="231F20"/>
        </w:rPr>
        <w:t>novembre</w:t>
      </w:r>
      <w:r>
        <w:rPr>
          <w:color w:val="231F20"/>
          <w:spacing w:val="-15"/>
        </w:rPr>
        <w:t> </w:t>
      </w:r>
      <w:r>
        <w:rPr>
          <w:color w:val="231F20"/>
        </w:rPr>
        <w:t>1966,</w:t>
      </w:r>
      <w:r>
        <w:rPr>
          <w:color w:val="231F20"/>
          <w:spacing w:val="-15"/>
        </w:rPr>
        <w:t> </w:t>
      </w:r>
      <w:r>
        <w:rPr>
          <w:color w:val="231F20"/>
        </w:rPr>
        <w:t>Bongo</w:t>
      </w:r>
      <w:r>
        <w:rPr>
          <w:color w:val="231F20"/>
          <w:spacing w:val="-15"/>
        </w:rPr>
        <w:t> </w:t>
      </w:r>
      <w:r>
        <w:rPr>
          <w:color w:val="231F20"/>
        </w:rPr>
        <w:t>est</w:t>
      </w:r>
      <w:r>
        <w:rPr>
          <w:color w:val="231F20"/>
          <w:spacing w:val="-15"/>
        </w:rPr>
        <w:t> </w:t>
      </w:r>
      <w:r>
        <w:rPr>
          <w:color w:val="231F20"/>
        </w:rPr>
        <w:t>nommé</w:t>
      </w:r>
      <w:r>
        <w:rPr>
          <w:color w:val="231F20"/>
          <w:spacing w:val="-14"/>
        </w:rPr>
        <w:t> </w:t>
      </w:r>
      <w:r>
        <w:rPr>
          <w:color w:val="231F20"/>
        </w:rPr>
        <w:t>vice-président</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place</w:t>
      </w:r>
      <w:r>
        <w:rPr>
          <w:color w:val="231F20"/>
          <w:spacing w:val="-15"/>
        </w:rPr>
        <w:t> </w:t>
      </w:r>
      <w:r>
        <w:rPr>
          <w:color w:val="231F20"/>
        </w:rPr>
        <w:t>de </w:t>
      </w:r>
      <w:r>
        <w:rPr>
          <w:color w:val="231F20"/>
          <w:spacing w:val="-4"/>
        </w:rPr>
        <w:t>Paul-Marie</w:t>
      </w:r>
      <w:r>
        <w:rPr>
          <w:color w:val="231F20"/>
          <w:spacing w:val="-8"/>
        </w:rPr>
        <w:t> </w:t>
      </w:r>
      <w:r>
        <w:rPr>
          <w:color w:val="231F20"/>
          <w:spacing w:val="-4"/>
        </w:rPr>
        <w:t>Yembit</w:t>
      </w:r>
      <w:r>
        <w:rPr>
          <w:color w:val="231F20"/>
          <w:spacing w:val="-7"/>
        </w:rPr>
        <w:t> </w:t>
      </w:r>
      <w:r>
        <w:rPr>
          <w:color w:val="231F20"/>
          <w:spacing w:val="-4"/>
        </w:rPr>
        <w:t>par</w:t>
      </w:r>
      <w:r>
        <w:rPr>
          <w:color w:val="231F20"/>
          <w:spacing w:val="-7"/>
        </w:rPr>
        <w:t> </w:t>
      </w:r>
      <w:r>
        <w:rPr>
          <w:color w:val="231F20"/>
          <w:spacing w:val="-4"/>
        </w:rPr>
        <w:t>un</w:t>
      </w:r>
      <w:r>
        <w:rPr>
          <w:color w:val="231F20"/>
          <w:spacing w:val="-9"/>
        </w:rPr>
        <w:t> </w:t>
      </w:r>
      <w:r>
        <w:rPr>
          <w:color w:val="231F20"/>
          <w:spacing w:val="-4"/>
        </w:rPr>
        <w:t>message</w:t>
      </w:r>
      <w:r>
        <w:rPr>
          <w:color w:val="231F20"/>
          <w:spacing w:val="-9"/>
        </w:rPr>
        <w:t> </w:t>
      </w:r>
      <w:r>
        <w:rPr>
          <w:color w:val="231F20"/>
          <w:spacing w:val="-4"/>
        </w:rPr>
        <w:t>radiotélévisé</w:t>
      </w:r>
      <w:r>
        <w:rPr>
          <w:color w:val="231F20"/>
          <w:spacing w:val="-6"/>
        </w:rPr>
        <w:t> </w:t>
      </w:r>
      <w:r>
        <w:rPr>
          <w:color w:val="231F20"/>
          <w:spacing w:val="-4"/>
        </w:rPr>
        <w:t>de</w:t>
      </w:r>
      <w:r>
        <w:rPr>
          <w:color w:val="231F20"/>
          <w:spacing w:val="-10"/>
        </w:rPr>
        <w:t> </w:t>
      </w:r>
      <w:r>
        <w:rPr>
          <w:color w:val="231F20"/>
          <w:spacing w:val="-4"/>
        </w:rPr>
        <w:t>Léon</w:t>
      </w:r>
      <w:r>
        <w:rPr>
          <w:color w:val="231F20"/>
          <w:spacing w:val="-7"/>
        </w:rPr>
        <w:t> </w:t>
      </w:r>
      <w:r>
        <w:rPr>
          <w:color w:val="231F20"/>
          <w:spacing w:val="-4"/>
        </w:rPr>
        <w:t>Mba,</w:t>
      </w:r>
      <w:r>
        <w:rPr>
          <w:color w:val="231F20"/>
          <w:spacing w:val="-7"/>
        </w:rPr>
        <w:t> </w:t>
      </w:r>
      <w:r>
        <w:rPr>
          <w:color w:val="231F20"/>
          <w:spacing w:val="-4"/>
        </w:rPr>
        <w:t>enregistré</w:t>
      </w:r>
    </w:p>
    <w:p>
      <w:pPr>
        <w:pStyle w:val="BodyText"/>
        <w:spacing w:before="150"/>
        <w:ind w:left="0"/>
        <w:jc w:val="left"/>
        <w:rPr>
          <w:sz w:val="20"/>
        </w:rPr>
      </w:pPr>
      <w:r>
        <w:rPr/>
        <mc:AlternateContent>
          <mc:Choice Requires="wps">
            <w:drawing>
              <wp:anchor distT="0" distB="0" distL="0" distR="0" allowOverlap="1" layoutInCell="1" locked="0" behindDoc="1" simplePos="0" relativeHeight="487610880">
                <wp:simplePos x="0" y="0"/>
                <wp:positionH relativeFrom="page">
                  <wp:posOffset>629907</wp:posOffset>
                </wp:positionH>
                <wp:positionV relativeFrom="paragraph">
                  <wp:posOffset>256892</wp:posOffset>
                </wp:positionV>
                <wp:extent cx="1829435" cy="9525"/>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227795pt;width:144.020pt;height:.71994pt;mso-position-horizontal-relative:page;mso-position-vertical-relative:paragraph;z-index:-15705600;mso-wrap-distance-left:0;mso-wrap-distance-right:0" id="docshape60" filled="true" fillcolor="#231f20" stroked="false">
                <v:fill type="solid"/>
                <w10:wrap type="topAndBottom"/>
              </v:rect>
            </w:pict>
          </mc:Fallback>
        </mc:AlternateContent>
      </w:r>
    </w:p>
    <w:p>
      <w:pPr>
        <w:spacing w:before="91"/>
        <w:ind w:left="111" w:right="0" w:firstLine="0"/>
        <w:jc w:val="left"/>
        <w:rPr>
          <w:sz w:val="20"/>
        </w:rPr>
      </w:pPr>
      <w:r>
        <w:rPr>
          <w:color w:val="231F20"/>
          <w:spacing w:val="-4"/>
          <w:sz w:val="20"/>
          <w:vertAlign w:val="superscript"/>
        </w:rPr>
        <w:t>69</w:t>
      </w:r>
      <w:r>
        <w:rPr>
          <w:color w:val="231F20"/>
          <w:spacing w:val="3"/>
          <w:sz w:val="20"/>
          <w:vertAlign w:val="baseline"/>
        </w:rPr>
        <w:t> </w:t>
      </w:r>
      <w:r>
        <w:rPr>
          <w:color w:val="231F20"/>
          <w:spacing w:val="-4"/>
          <w:sz w:val="20"/>
          <w:vertAlign w:val="baseline"/>
        </w:rPr>
        <w:t>source Wikipédia</w:t>
      </w:r>
      <w:r>
        <w:rPr>
          <w:color w:val="231F20"/>
          <w:spacing w:val="1"/>
          <w:sz w:val="20"/>
          <w:vertAlign w:val="baseline"/>
        </w:rPr>
        <w:t> </w:t>
      </w:r>
      <w:r>
        <w:rPr>
          <w:color w:val="231F20"/>
          <w:spacing w:val="-10"/>
          <w:sz w:val="20"/>
          <w:vertAlign w:val="baseline"/>
        </w:rPr>
        <w:t>;</w:t>
      </w:r>
    </w:p>
    <w:p>
      <w:pPr>
        <w:spacing w:before="1"/>
        <w:ind w:left="111" w:right="0" w:firstLine="0"/>
        <w:jc w:val="left"/>
        <w:rPr>
          <w:sz w:val="20"/>
        </w:rPr>
      </w:pPr>
      <w:r>
        <w:rPr>
          <w:color w:val="231F20"/>
          <w:spacing w:val="-2"/>
          <w:sz w:val="20"/>
          <w:vertAlign w:val="superscript"/>
        </w:rPr>
        <w:t>70</w:t>
      </w:r>
      <w:r>
        <w:rPr>
          <w:color w:val="231F20"/>
          <w:spacing w:val="-21"/>
          <w:sz w:val="20"/>
          <w:vertAlign w:val="baseline"/>
        </w:rPr>
        <w:t> </w:t>
      </w:r>
      <w:r>
        <w:rPr>
          <w:color w:val="231F20"/>
          <w:spacing w:val="-2"/>
          <w:sz w:val="20"/>
          <w:vertAlign w:val="baseline"/>
        </w:rPr>
        <w:t>Yves-Laurent</w:t>
      </w:r>
      <w:r>
        <w:rPr>
          <w:color w:val="231F20"/>
          <w:spacing w:val="-11"/>
          <w:sz w:val="20"/>
          <w:vertAlign w:val="baseline"/>
        </w:rPr>
        <w:t> </w:t>
      </w:r>
      <w:r>
        <w:rPr>
          <w:color w:val="231F20"/>
          <w:spacing w:val="-2"/>
          <w:sz w:val="20"/>
          <w:vertAlign w:val="baseline"/>
        </w:rPr>
        <w:t>Goma,</w:t>
      </w:r>
      <w:r>
        <w:rPr>
          <w:color w:val="231F20"/>
          <w:spacing w:val="-10"/>
          <w:sz w:val="20"/>
          <w:vertAlign w:val="baseline"/>
        </w:rPr>
        <w:t> </w:t>
      </w:r>
      <w:r>
        <w:rPr>
          <w:color w:val="231F20"/>
          <w:spacing w:val="-2"/>
          <w:sz w:val="20"/>
          <w:vertAlign w:val="baseline"/>
        </w:rPr>
        <w:t>RFI,</w:t>
      </w:r>
      <w:r>
        <w:rPr>
          <w:color w:val="231F20"/>
          <w:spacing w:val="-11"/>
          <w:sz w:val="20"/>
          <w:vertAlign w:val="baseline"/>
        </w:rPr>
        <w:t> </w:t>
      </w:r>
      <w:r>
        <w:rPr>
          <w:color w:val="231F20"/>
          <w:spacing w:val="-2"/>
          <w:sz w:val="20"/>
          <w:vertAlign w:val="baseline"/>
        </w:rPr>
        <w:t>Léon</w:t>
      </w:r>
      <w:r>
        <w:rPr>
          <w:color w:val="231F20"/>
          <w:spacing w:val="-10"/>
          <w:sz w:val="20"/>
          <w:vertAlign w:val="baseline"/>
        </w:rPr>
        <w:t> </w:t>
      </w:r>
      <w:r>
        <w:rPr>
          <w:color w:val="231F20"/>
          <w:spacing w:val="-2"/>
          <w:sz w:val="20"/>
          <w:vertAlign w:val="baseline"/>
        </w:rPr>
        <w:t>Mba</w:t>
      </w:r>
      <w:r>
        <w:rPr>
          <w:color w:val="231F20"/>
          <w:spacing w:val="-11"/>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président</w:t>
      </w:r>
      <w:r>
        <w:rPr>
          <w:color w:val="231F20"/>
          <w:spacing w:val="-11"/>
          <w:sz w:val="20"/>
          <w:vertAlign w:val="baseline"/>
        </w:rPr>
        <w:t> </w:t>
      </w:r>
      <w:r>
        <w:rPr>
          <w:color w:val="231F20"/>
          <w:spacing w:val="-2"/>
          <w:sz w:val="20"/>
          <w:vertAlign w:val="baseline"/>
        </w:rPr>
        <w:t>qui</w:t>
      </w:r>
      <w:r>
        <w:rPr>
          <w:color w:val="231F20"/>
          <w:spacing w:val="-10"/>
          <w:sz w:val="20"/>
          <w:vertAlign w:val="baseline"/>
        </w:rPr>
        <w:t> </w:t>
      </w:r>
      <w:r>
        <w:rPr>
          <w:color w:val="231F20"/>
          <w:spacing w:val="-2"/>
          <w:sz w:val="20"/>
          <w:vertAlign w:val="baseline"/>
        </w:rPr>
        <w:t>ne</w:t>
      </w:r>
      <w:r>
        <w:rPr>
          <w:color w:val="231F20"/>
          <w:spacing w:val="-11"/>
          <w:sz w:val="20"/>
          <w:vertAlign w:val="baseline"/>
        </w:rPr>
        <w:t> </w:t>
      </w:r>
      <w:r>
        <w:rPr>
          <w:color w:val="231F20"/>
          <w:spacing w:val="-2"/>
          <w:sz w:val="20"/>
          <w:vertAlign w:val="baseline"/>
        </w:rPr>
        <w:t>voulait</w:t>
      </w:r>
      <w:r>
        <w:rPr>
          <w:color w:val="231F20"/>
          <w:spacing w:val="-10"/>
          <w:sz w:val="20"/>
          <w:vertAlign w:val="baseline"/>
        </w:rPr>
        <w:t> </w:t>
      </w:r>
      <w:r>
        <w:rPr>
          <w:color w:val="231F20"/>
          <w:spacing w:val="-2"/>
          <w:sz w:val="20"/>
          <w:vertAlign w:val="baseline"/>
        </w:rPr>
        <w:t>pas</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l'indépendance </w:t>
      </w:r>
      <w:r>
        <w:rPr>
          <w:color w:val="231F20"/>
          <w:sz w:val="20"/>
          <w:vertAlign w:val="baseline"/>
        </w:rPr>
        <w:t>du</w:t>
      </w:r>
      <w:r>
        <w:rPr>
          <w:color w:val="231F20"/>
          <w:spacing w:val="-8"/>
          <w:sz w:val="20"/>
          <w:vertAlign w:val="baseline"/>
        </w:rPr>
        <w:t> </w:t>
      </w:r>
      <w:r>
        <w:rPr>
          <w:color w:val="231F20"/>
          <w:sz w:val="20"/>
          <w:vertAlign w:val="baseline"/>
        </w:rPr>
        <w:t>Gabon,Publié</w:t>
      </w:r>
      <w:r>
        <w:rPr>
          <w:color w:val="231F20"/>
          <w:spacing w:val="-6"/>
          <w:sz w:val="20"/>
          <w:vertAlign w:val="baseline"/>
        </w:rPr>
        <w:t> </w:t>
      </w:r>
      <w:r>
        <w:rPr>
          <w:color w:val="231F20"/>
          <w:sz w:val="20"/>
          <w:vertAlign w:val="baseline"/>
        </w:rPr>
        <w:t>le</w:t>
      </w:r>
      <w:r>
        <w:rPr>
          <w:color w:val="231F20"/>
          <w:spacing w:val="-8"/>
          <w:sz w:val="20"/>
          <w:vertAlign w:val="baseline"/>
        </w:rPr>
        <w:t> </w:t>
      </w:r>
      <w:r>
        <w:rPr>
          <w:color w:val="231F20"/>
          <w:sz w:val="20"/>
          <w:vertAlign w:val="baseline"/>
        </w:rPr>
        <w:t>16/08/2010</w:t>
      </w:r>
      <w:r>
        <w:rPr>
          <w:color w:val="231F20"/>
          <w:spacing w:val="-8"/>
          <w:sz w:val="20"/>
          <w:vertAlign w:val="baseline"/>
        </w:rPr>
        <w:t> </w:t>
      </w:r>
      <w:r>
        <w:rPr>
          <w:color w:val="231F20"/>
          <w:sz w:val="20"/>
          <w:vertAlign w:val="baseline"/>
        </w:rPr>
        <w:t>-</w:t>
      </w:r>
      <w:r>
        <w:rPr>
          <w:color w:val="231F20"/>
          <w:spacing w:val="-8"/>
          <w:sz w:val="20"/>
          <w:vertAlign w:val="baseline"/>
        </w:rPr>
        <w:t> </w:t>
      </w:r>
      <w:r>
        <w:rPr>
          <w:color w:val="231F20"/>
          <w:sz w:val="20"/>
          <w:vertAlign w:val="baseline"/>
        </w:rPr>
        <w:t>20:50,Modifié</w:t>
      </w:r>
      <w:r>
        <w:rPr>
          <w:color w:val="231F20"/>
          <w:spacing w:val="-9"/>
          <w:sz w:val="20"/>
          <w:vertAlign w:val="baseline"/>
        </w:rPr>
        <w:t> </w:t>
      </w:r>
      <w:r>
        <w:rPr>
          <w:color w:val="231F20"/>
          <w:sz w:val="20"/>
          <w:vertAlign w:val="baseline"/>
        </w:rPr>
        <w:t>le</w:t>
      </w:r>
      <w:r>
        <w:rPr>
          <w:color w:val="231F20"/>
          <w:spacing w:val="-8"/>
          <w:sz w:val="20"/>
          <w:vertAlign w:val="baseline"/>
        </w:rPr>
        <w:t> </w:t>
      </w:r>
      <w:r>
        <w:rPr>
          <w:color w:val="231F20"/>
          <w:sz w:val="20"/>
          <w:vertAlign w:val="baseline"/>
        </w:rPr>
        <w:t>:</w:t>
      </w:r>
      <w:r>
        <w:rPr>
          <w:color w:val="231F20"/>
          <w:spacing w:val="-9"/>
          <w:sz w:val="20"/>
          <w:vertAlign w:val="baseline"/>
        </w:rPr>
        <w:t> </w:t>
      </w:r>
      <w:r>
        <w:rPr>
          <w:color w:val="231F20"/>
          <w:sz w:val="20"/>
          <w:vertAlign w:val="baseline"/>
        </w:rPr>
        <w:t>23/08/2010</w:t>
      </w:r>
      <w:r>
        <w:rPr>
          <w:color w:val="231F20"/>
          <w:spacing w:val="-6"/>
          <w:sz w:val="20"/>
          <w:vertAlign w:val="baseline"/>
        </w:rPr>
        <w:t> </w:t>
      </w:r>
      <w:r>
        <w:rPr>
          <w:color w:val="231F20"/>
          <w:sz w:val="20"/>
          <w:vertAlign w:val="baseline"/>
        </w:rPr>
        <w:t>-</w:t>
      </w:r>
      <w:r>
        <w:rPr>
          <w:color w:val="231F20"/>
          <w:spacing w:val="-8"/>
          <w:sz w:val="20"/>
          <w:vertAlign w:val="baseline"/>
        </w:rPr>
        <w:t> </w:t>
      </w:r>
      <w:r>
        <w:rPr>
          <w:color w:val="231F20"/>
          <w:sz w:val="20"/>
          <w:vertAlign w:val="baseline"/>
        </w:rPr>
        <w:t>21:25</w:t>
      </w:r>
    </w:p>
    <w:p>
      <w:pPr>
        <w:spacing w:after="0"/>
        <w:jc w:val="left"/>
        <w:rPr>
          <w:sz w:val="20"/>
        </w:rPr>
        <w:sectPr>
          <w:pgSz w:w="8790" w:h="13610"/>
          <w:pgMar w:header="0" w:footer="802" w:top="1040" w:bottom="1000" w:left="880" w:right="880"/>
        </w:sectPr>
      </w:pPr>
    </w:p>
    <w:p>
      <w:pPr>
        <w:pStyle w:val="BodyText"/>
        <w:spacing w:before="66"/>
        <w:ind w:right="106"/>
      </w:pPr>
      <w:r>
        <w:rPr>
          <w:color w:val="231F20"/>
        </w:rPr>
        <w:t>dans sa chambre de l’hôpital Claude-Bernard à Paris. Une réforme constitutionnelle en février 1967 légitime le dauphin. Des élections </w:t>
      </w:r>
      <w:r>
        <w:rPr>
          <w:color w:val="231F20"/>
          <w:spacing w:val="-2"/>
        </w:rPr>
        <w:t>législatives</w:t>
      </w:r>
      <w:r>
        <w:rPr>
          <w:color w:val="231F20"/>
          <w:spacing w:val="-9"/>
        </w:rPr>
        <w:t> </w:t>
      </w:r>
      <w:r>
        <w:rPr>
          <w:color w:val="231F20"/>
          <w:spacing w:val="-2"/>
        </w:rPr>
        <w:t>et</w:t>
      </w:r>
      <w:r>
        <w:rPr>
          <w:color w:val="231F20"/>
          <w:spacing w:val="-7"/>
        </w:rPr>
        <w:t> </w:t>
      </w:r>
      <w:r>
        <w:rPr>
          <w:color w:val="231F20"/>
          <w:spacing w:val="-2"/>
        </w:rPr>
        <w:t>présidentielles</w:t>
      </w:r>
      <w:r>
        <w:rPr>
          <w:color w:val="231F20"/>
          <w:spacing w:val="-7"/>
        </w:rPr>
        <w:t> </w:t>
      </w:r>
      <w:r>
        <w:rPr>
          <w:color w:val="231F20"/>
          <w:spacing w:val="-2"/>
        </w:rPr>
        <w:t>anticipées</w:t>
      </w:r>
      <w:r>
        <w:rPr>
          <w:color w:val="231F20"/>
          <w:spacing w:val="-9"/>
        </w:rPr>
        <w:t> </w:t>
      </w:r>
      <w:r>
        <w:rPr>
          <w:color w:val="231F20"/>
          <w:spacing w:val="-2"/>
        </w:rPr>
        <w:t>sont</w:t>
      </w:r>
      <w:r>
        <w:rPr>
          <w:color w:val="231F20"/>
          <w:spacing w:val="-7"/>
        </w:rPr>
        <w:t> </w:t>
      </w:r>
      <w:r>
        <w:rPr>
          <w:color w:val="231F20"/>
          <w:spacing w:val="-2"/>
        </w:rPr>
        <w:t>organisées</w:t>
      </w:r>
      <w:r>
        <w:rPr>
          <w:color w:val="231F20"/>
          <w:spacing w:val="-7"/>
        </w:rPr>
        <w:t> </w:t>
      </w:r>
      <w:r>
        <w:rPr>
          <w:color w:val="231F20"/>
          <w:spacing w:val="-2"/>
        </w:rPr>
        <w:t>le</w:t>
      </w:r>
      <w:r>
        <w:rPr>
          <w:color w:val="231F20"/>
          <w:spacing w:val="-10"/>
        </w:rPr>
        <w:t> </w:t>
      </w:r>
      <w:r>
        <w:rPr>
          <w:color w:val="231F20"/>
          <w:spacing w:val="-2"/>
        </w:rPr>
        <w:t>19</w:t>
      </w:r>
      <w:r>
        <w:rPr>
          <w:color w:val="231F20"/>
          <w:spacing w:val="-9"/>
        </w:rPr>
        <w:t> </w:t>
      </w:r>
      <w:r>
        <w:rPr>
          <w:color w:val="231F20"/>
          <w:spacing w:val="-2"/>
        </w:rPr>
        <w:t>mars</w:t>
      </w:r>
      <w:r>
        <w:rPr>
          <w:color w:val="231F20"/>
          <w:spacing w:val="-6"/>
        </w:rPr>
        <w:t> </w:t>
      </w:r>
      <w:r>
        <w:rPr>
          <w:color w:val="231F20"/>
          <w:spacing w:val="-2"/>
        </w:rPr>
        <w:t>1967. </w:t>
      </w:r>
      <w:r>
        <w:rPr>
          <w:color w:val="231F20"/>
        </w:rPr>
        <w:t>Léon</w:t>
      </w:r>
      <w:r>
        <w:rPr>
          <w:color w:val="231F20"/>
          <w:spacing w:val="-15"/>
        </w:rPr>
        <w:t> </w:t>
      </w:r>
      <w:r>
        <w:rPr>
          <w:color w:val="231F20"/>
        </w:rPr>
        <w:t>Mba</w:t>
      </w:r>
      <w:r>
        <w:rPr>
          <w:color w:val="231F20"/>
          <w:spacing w:val="-15"/>
        </w:rPr>
        <w:t> </w:t>
      </w:r>
      <w:r>
        <w:rPr>
          <w:color w:val="231F20"/>
        </w:rPr>
        <w:t>est</w:t>
      </w:r>
      <w:r>
        <w:rPr>
          <w:color w:val="231F20"/>
          <w:spacing w:val="-15"/>
        </w:rPr>
        <w:t> </w:t>
      </w:r>
      <w:r>
        <w:rPr>
          <w:color w:val="231F20"/>
        </w:rPr>
        <w:t>réélu</w:t>
      </w:r>
      <w:r>
        <w:rPr>
          <w:color w:val="231F20"/>
          <w:spacing w:val="-15"/>
        </w:rPr>
        <w:t> </w:t>
      </w:r>
      <w:r>
        <w:rPr>
          <w:color w:val="231F20"/>
        </w:rPr>
        <w:t>avec</w:t>
      </w:r>
      <w:r>
        <w:rPr>
          <w:color w:val="231F20"/>
          <w:spacing w:val="-15"/>
        </w:rPr>
        <w:t> </w:t>
      </w:r>
      <w:r>
        <w:rPr>
          <w:color w:val="231F20"/>
        </w:rPr>
        <w:t>99,90%</w:t>
      </w:r>
      <w:r>
        <w:rPr>
          <w:color w:val="231F20"/>
          <w:spacing w:val="-15"/>
        </w:rPr>
        <w:t> </w:t>
      </w:r>
      <w:r>
        <w:rPr>
          <w:color w:val="231F20"/>
        </w:rPr>
        <w:t>des</w:t>
      </w:r>
      <w:r>
        <w:rPr>
          <w:color w:val="231F20"/>
          <w:spacing w:val="-15"/>
        </w:rPr>
        <w:t> </w:t>
      </w:r>
      <w:r>
        <w:rPr>
          <w:color w:val="231F20"/>
        </w:rPr>
        <w:t>suffrages.</w:t>
      </w:r>
      <w:r>
        <w:rPr>
          <w:color w:val="231F20"/>
          <w:spacing w:val="-15"/>
        </w:rPr>
        <w:t> </w:t>
      </w:r>
      <w:r>
        <w:rPr>
          <w:color w:val="231F20"/>
        </w:rPr>
        <w:t>Le</w:t>
      </w:r>
      <w:r>
        <w:rPr>
          <w:color w:val="231F20"/>
          <w:spacing w:val="-15"/>
        </w:rPr>
        <w:t> </w:t>
      </w:r>
      <w:r>
        <w:rPr>
          <w:color w:val="231F20"/>
        </w:rPr>
        <w:t>27</w:t>
      </w:r>
      <w:r>
        <w:rPr>
          <w:color w:val="231F20"/>
          <w:spacing w:val="-15"/>
        </w:rPr>
        <w:t> </w:t>
      </w:r>
      <w:r>
        <w:rPr>
          <w:color w:val="231F20"/>
        </w:rPr>
        <w:t>novembre</w:t>
      </w:r>
      <w:r>
        <w:rPr>
          <w:color w:val="231F20"/>
          <w:spacing w:val="-15"/>
        </w:rPr>
        <w:t> </w:t>
      </w:r>
      <w:r>
        <w:rPr>
          <w:color w:val="231F20"/>
        </w:rPr>
        <w:t>1967,</w:t>
      </w:r>
      <w:r>
        <w:rPr>
          <w:color w:val="231F20"/>
          <w:spacing w:val="-15"/>
        </w:rPr>
        <w:t> </w:t>
      </w:r>
      <w:r>
        <w:rPr>
          <w:color w:val="231F20"/>
        </w:rPr>
        <w:t>il meurt</w:t>
      </w:r>
      <w:r>
        <w:rPr>
          <w:color w:val="231F20"/>
          <w:spacing w:val="-15"/>
        </w:rPr>
        <w:t> </w:t>
      </w:r>
      <w:r>
        <w:rPr>
          <w:color w:val="231F20"/>
        </w:rPr>
        <w:t>à</w:t>
      </w:r>
      <w:r>
        <w:rPr>
          <w:color w:val="231F20"/>
          <w:spacing w:val="-15"/>
        </w:rPr>
        <w:t> </w:t>
      </w:r>
      <w:r>
        <w:rPr>
          <w:color w:val="231F20"/>
        </w:rPr>
        <w:t>Paris</w:t>
      </w:r>
      <w:r>
        <w:rPr>
          <w:color w:val="231F20"/>
          <w:spacing w:val="-15"/>
        </w:rPr>
        <w:t> </w:t>
      </w:r>
      <w:r>
        <w:rPr>
          <w:color w:val="231F20"/>
        </w:rPr>
        <w:t>des</w:t>
      </w:r>
      <w:r>
        <w:rPr>
          <w:color w:val="231F20"/>
          <w:spacing w:val="-15"/>
        </w:rPr>
        <w:t> </w:t>
      </w:r>
      <w:r>
        <w:rPr>
          <w:color w:val="231F20"/>
        </w:rPr>
        <w:t>suites</w:t>
      </w:r>
      <w:r>
        <w:rPr>
          <w:color w:val="231F20"/>
          <w:spacing w:val="-15"/>
        </w:rPr>
        <w:t> </w:t>
      </w:r>
      <w:r>
        <w:rPr>
          <w:color w:val="231F20"/>
        </w:rPr>
        <w:t>d’un</w:t>
      </w:r>
      <w:r>
        <w:rPr>
          <w:color w:val="231F20"/>
          <w:spacing w:val="-14"/>
        </w:rPr>
        <w:t> </w:t>
      </w:r>
      <w:r>
        <w:rPr>
          <w:color w:val="231F20"/>
        </w:rPr>
        <w:t>cancer.</w:t>
      </w:r>
      <w:r>
        <w:rPr>
          <w:color w:val="231F20"/>
          <w:spacing w:val="-14"/>
        </w:rPr>
        <w:t> </w:t>
      </w:r>
      <w:r>
        <w:rPr>
          <w:color w:val="231F20"/>
        </w:rPr>
        <w:t>Albert-Bernard</w:t>
      </w:r>
      <w:r>
        <w:rPr>
          <w:color w:val="231F20"/>
          <w:spacing w:val="-14"/>
        </w:rPr>
        <w:t> </w:t>
      </w:r>
      <w:r>
        <w:rPr>
          <w:color w:val="231F20"/>
        </w:rPr>
        <w:t>Bongo</w:t>
      </w:r>
      <w:r>
        <w:rPr>
          <w:color w:val="231F20"/>
          <w:spacing w:val="-15"/>
        </w:rPr>
        <w:t> </w:t>
      </w:r>
      <w:r>
        <w:rPr>
          <w:color w:val="231F20"/>
        </w:rPr>
        <w:t>lui</w:t>
      </w:r>
      <w:r>
        <w:rPr>
          <w:color w:val="231F20"/>
          <w:spacing w:val="-14"/>
        </w:rPr>
        <w:t> </w:t>
      </w:r>
      <w:r>
        <w:rPr>
          <w:color w:val="231F20"/>
        </w:rPr>
        <w:t>succède. Il est âgé de 32 ans.</w:t>
      </w:r>
    </w:p>
    <w:p>
      <w:pPr>
        <w:pStyle w:val="BodyText"/>
        <w:spacing w:before="120"/>
        <w:ind w:right="107" w:firstLine="283"/>
      </w:pPr>
      <w:r>
        <w:rPr>
          <w:color w:val="231F20"/>
        </w:rPr>
        <w:t>Le</w:t>
      </w:r>
      <w:r>
        <w:rPr>
          <w:color w:val="231F20"/>
          <w:spacing w:val="-15"/>
        </w:rPr>
        <w:t> </w:t>
      </w:r>
      <w:r>
        <w:rPr>
          <w:color w:val="231F20"/>
        </w:rPr>
        <w:t>jeune</w:t>
      </w:r>
      <w:r>
        <w:rPr>
          <w:color w:val="231F20"/>
          <w:spacing w:val="-15"/>
        </w:rPr>
        <w:t> </w:t>
      </w:r>
      <w:r>
        <w:rPr>
          <w:color w:val="231F20"/>
        </w:rPr>
        <w:t>Président</w:t>
      </w:r>
      <w:r>
        <w:rPr>
          <w:color w:val="231F20"/>
          <w:spacing w:val="-15"/>
        </w:rPr>
        <w:t> </w:t>
      </w:r>
      <w:r>
        <w:rPr>
          <w:color w:val="231F20"/>
        </w:rPr>
        <w:t>dissout</w:t>
      </w:r>
      <w:r>
        <w:rPr>
          <w:color w:val="231F20"/>
          <w:spacing w:val="-15"/>
        </w:rPr>
        <w:t> </w:t>
      </w:r>
      <w:r>
        <w:rPr>
          <w:color w:val="231F20"/>
        </w:rPr>
        <w:t>tous</w:t>
      </w:r>
      <w:r>
        <w:rPr>
          <w:color w:val="231F20"/>
          <w:spacing w:val="-15"/>
        </w:rPr>
        <w:t> </w:t>
      </w:r>
      <w:r>
        <w:rPr>
          <w:color w:val="231F20"/>
        </w:rPr>
        <w:t>les</w:t>
      </w:r>
      <w:r>
        <w:rPr>
          <w:color w:val="231F20"/>
          <w:spacing w:val="-15"/>
        </w:rPr>
        <w:t> </w:t>
      </w:r>
      <w:r>
        <w:rPr>
          <w:color w:val="231F20"/>
        </w:rPr>
        <w:t>partis</w:t>
      </w:r>
      <w:r>
        <w:rPr>
          <w:color w:val="231F20"/>
          <w:spacing w:val="-15"/>
        </w:rPr>
        <w:t> </w:t>
      </w:r>
      <w:r>
        <w:rPr>
          <w:color w:val="231F20"/>
        </w:rPr>
        <w:t>politiques</w:t>
      </w:r>
      <w:r>
        <w:rPr>
          <w:color w:val="231F20"/>
          <w:spacing w:val="-15"/>
        </w:rPr>
        <w:t> </w:t>
      </w:r>
      <w:r>
        <w:rPr>
          <w:color w:val="231F20"/>
        </w:rPr>
        <w:t>et</w:t>
      </w:r>
      <w:r>
        <w:rPr>
          <w:color w:val="231F20"/>
          <w:spacing w:val="-13"/>
        </w:rPr>
        <w:t> </w:t>
      </w:r>
      <w:r>
        <w:rPr>
          <w:color w:val="231F20"/>
        </w:rPr>
        <w:t>crée</w:t>
      </w:r>
      <w:r>
        <w:rPr>
          <w:color w:val="231F20"/>
          <w:spacing w:val="-15"/>
        </w:rPr>
        <w:t> </w:t>
      </w:r>
      <w:r>
        <w:rPr>
          <w:color w:val="231F20"/>
        </w:rPr>
        <w:t>le</w:t>
      </w:r>
      <w:r>
        <w:rPr>
          <w:color w:val="231F20"/>
          <w:spacing w:val="-15"/>
        </w:rPr>
        <w:t> </w:t>
      </w:r>
      <w:r>
        <w:rPr>
          <w:color w:val="231F20"/>
        </w:rPr>
        <w:t>12</w:t>
      </w:r>
      <w:r>
        <w:rPr>
          <w:color w:val="231F20"/>
          <w:spacing w:val="-15"/>
        </w:rPr>
        <w:t> </w:t>
      </w:r>
      <w:r>
        <w:rPr>
          <w:color w:val="231F20"/>
        </w:rPr>
        <w:t>mars 1968, le Parti Démocratique Gabonais (PDG) qui sera érigé en parti unique. Comme son prédécesseur, Bongo s’appuie sur la France pour consolider</w:t>
      </w:r>
      <w:r>
        <w:rPr>
          <w:color w:val="231F20"/>
          <w:spacing w:val="-6"/>
        </w:rPr>
        <w:t> </w:t>
      </w:r>
      <w:r>
        <w:rPr>
          <w:color w:val="231F20"/>
        </w:rPr>
        <w:t>son</w:t>
      </w:r>
      <w:r>
        <w:rPr>
          <w:color w:val="231F20"/>
          <w:spacing w:val="-6"/>
        </w:rPr>
        <w:t> </w:t>
      </w:r>
      <w:r>
        <w:rPr>
          <w:color w:val="231F20"/>
        </w:rPr>
        <w:t>pouvoir</w:t>
      </w:r>
      <w:r>
        <w:rPr>
          <w:color w:val="231F20"/>
          <w:spacing w:val="-6"/>
        </w:rPr>
        <w:t> </w:t>
      </w:r>
      <w:r>
        <w:rPr>
          <w:color w:val="231F20"/>
        </w:rPr>
        <w:t>qu’il</w:t>
      </w:r>
      <w:r>
        <w:rPr>
          <w:color w:val="231F20"/>
          <w:spacing w:val="-6"/>
        </w:rPr>
        <w:t> </w:t>
      </w:r>
      <w:r>
        <w:rPr>
          <w:color w:val="231F20"/>
        </w:rPr>
        <w:t>conservera</w:t>
      </w:r>
      <w:r>
        <w:rPr>
          <w:color w:val="231F20"/>
          <w:spacing w:val="-7"/>
        </w:rPr>
        <w:t> </w:t>
      </w:r>
      <w:r>
        <w:rPr>
          <w:color w:val="231F20"/>
        </w:rPr>
        <w:t>jusqu’à</w:t>
      </w:r>
      <w:r>
        <w:rPr>
          <w:color w:val="231F20"/>
          <w:spacing w:val="-9"/>
        </w:rPr>
        <w:t> </w:t>
      </w:r>
      <w:r>
        <w:rPr>
          <w:color w:val="231F20"/>
        </w:rPr>
        <w:t>sa</w:t>
      </w:r>
      <w:r>
        <w:rPr>
          <w:color w:val="231F20"/>
          <w:spacing w:val="-9"/>
        </w:rPr>
        <w:t> </w:t>
      </w:r>
      <w:r>
        <w:rPr>
          <w:color w:val="231F20"/>
        </w:rPr>
        <w:t>mort</w:t>
      </w:r>
      <w:r>
        <w:rPr>
          <w:color w:val="231F20"/>
          <w:spacing w:val="-9"/>
        </w:rPr>
        <w:t> </w:t>
      </w:r>
      <w:r>
        <w:rPr>
          <w:color w:val="231F20"/>
        </w:rPr>
        <w:t>le</w:t>
      </w:r>
      <w:r>
        <w:rPr>
          <w:color w:val="231F20"/>
          <w:spacing w:val="-7"/>
        </w:rPr>
        <w:t> </w:t>
      </w:r>
      <w:r>
        <w:rPr>
          <w:color w:val="231F20"/>
        </w:rPr>
        <w:t>8</w:t>
      </w:r>
      <w:r>
        <w:rPr>
          <w:color w:val="231F20"/>
          <w:spacing w:val="-9"/>
        </w:rPr>
        <w:t> </w:t>
      </w:r>
      <w:r>
        <w:rPr>
          <w:color w:val="231F20"/>
        </w:rPr>
        <w:t>juin</w:t>
      </w:r>
      <w:r>
        <w:rPr>
          <w:color w:val="231F20"/>
          <w:spacing w:val="-6"/>
        </w:rPr>
        <w:t> </w:t>
      </w:r>
      <w:r>
        <w:rPr>
          <w:color w:val="231F20"/>
        </w:rPr>
        <w:t>2009.</w:t>
      </w:r>
    </w:p>
    <w:p>
      <w:pPr>
        <w:pStyle w:val="BodyText"/>
        <w:spacing w:before="121"/>
        <w:ind w:right="104" w:firstLine="283"/>
      </w:pPr>
      <w:r>
        <w:rPr>
          <w:color w:val="231F20"/>
        </w:rPr>
        <w:t>Le</w:t>
      </w:r>
      <w:r>
        <w:rPr>
          <w:color w:val="231F20"/>
          <w:spacing w:val="-12"/>
        </w:rPr>
        <w:t> </w:t>
      </w:r>
      <w:r>
        <w:rPr>
          <w:color w:val="231F20"/>
        </w:rPr>
        <w:t>3</w:t>
      </w:r>
      <w:r>
        <w:rPr>
          <w:color w:val="231F20"/>
          <w:spacing w:val="-15"/>
        </w:rPr>
        <w:t> </w:t>
      </w:r>
      <w:r>
        <w:rPr>
          <w:color w:val="231F20"/>
        </w:rPr>
        <w:t>Septembre</w:t>
      </w:r>
      <w:r>
        <w:rPr>
          <w:color w:val="231F20"/>
          <w:spacing w:val="-15"/>
        </w:rPr>
        <w:t> </w:t>
      </w:r>
      <w:r>
        <w:rPr>
          <w:color w:val="231F20"/>
        </w:rPr>
        <w:t>2009,</w:t>
      </w:r>
      <w:r>
        <w:rPr>
          <w:color w:val="231F20"/>
          <w:spacing w:val="-8"/>
        </w:rPr>
        <w:t> </w:t>
      </w:r>
      <w:r>
        <w:rPr>
          <w:color w:val="231F20"/>
        </w:rPr>
        <w:t>Ali</w:t>
      </w:r>
      <w:r>
        <w:rPr>
          <w:color w:val="231F20"/>
          <w:spacing w:val="-8"/>
        </w:rPr>
        <w:t> </w:t>
      </w:r>
      <w:r>
        <w:rPr>
          <w:color w:val="231F20"/>
        </w:rPr>
        <w:t>Bongo</w:t>
      </w:r>
      <w:r>
        <w:rPr>
          <w:color w:val="231F20"/>
          <w:spacing w:val="-9"/>
        </w:rPr>
        <w:t> </w:t>
      </w:r>
      <w:r>
        <w:rPr>
          <w:color w:val="231F20"/>
        </w:rPr>
        <w:t>Ondimba,</w:t>
      </w:r>
      <w:r>
        <w:rPr>
          <w:color w:val="231F20"/>
          <w:spacing w:val="-9"/>
        </w:rPr>
        <w:t> </w:t>
      </w:r>
      <w:r>
        <w:rPr>
          <w:color w:val="231F20"/>
        </w:rPr>
        <w:t>ministre</w:t>
      </w:r>
      <w:r>
        <w:rPr>
          <w:color w:val="231F20"/>
          <w:spacing w:val="-6"/>
        </w:rPr>
        <w:t> </w:t>
      </w:r>
      <w:r>
        <w:rPr>
          <w:color w:val="231F20"/>
        </w:rPr>
        <w:t>de</w:t>
      </w:r>
      <w:r>
        <w:rPr>
          <w:color w:val="231F20"/>
          <w:spacing w:val="-9"/>
        </w:rPr>
        <w:t> </w:t>
      </w:r>
      <w:r>
        <w:rPr>
          <w:color w:val="231F20"/>
        </w:rPr>
        <w:t>la</w:t>
      </w:r>
      <w:r>
        <w:rPr>
          <w:color w:val="231F20"/>
          <w:spacing w:val="-6"/>
        </w:rPr>
        <w:t> </w:t>
      </w:r>
      <w:r>
        <w:rPr>
          <w:color w:val="231F20"/>
        </w:rPr>
        <w:t>défense</w:t>
      </w:r>
      <w:r>
        <w:rPr>
          <w:color w:val="231F20"/>
          <w:spacing w:val="-8"/>
        </w:rPr>
        <w:t> </w:t>
      </w:r>
      <w:r>
        <w:rPr>
          <w:color w:val="231F20"/>
        </w:rPr>
        <w:t>et fils</w:t>
      </w:r>
      <w:r>
        <w:rPr>
          <w:color w:val="231F20"/>
          <w:spacing w:val="-4"/>
        </w:rPr>
        <w:t> </w:t>
      </w:r>
      <w:r>
        <w:rPr>
          <w:color w:val="231F20"/>
        </w:rPr>
        <w:t>de</w:t>
      </w:r>
      <w:r>
        <w:rPr>
          <w:color w:val="231F20"/>
          <w:spacing w:val="-4"/>
        </w:rPr>
        <w:t> </w:t>
      </w:r>
      <w:r>
        <w:rPr>
          <w:color w:val="231F20"/>
        </w:rPr>
        <w:t>Bongo</w:t>
      </w:r>
      <w:r>
        <w:rPr>
          <w:color w:val="231F20"/>
          <w:spacing w:val="-4"/>
        </w:rPr>
        <w:t> </w:t>
      </w:r>
      <w:r>
        <w:rPr>
          <w:color w:val="231F20"/>
        </w:rPr>
        <w:t>devient</w:t>
      </w:r>
      <w:r>
        <w:rPr>
          <w:color w:val="231F20"/>
          <w:spacing w:val="-4"/>
        </w:rPr>
        <w:t> </w:t>
      </w:r>
      <w:r>
        <w:rPr>
          <w:color w:val="231F20"/>
        </w:rPr>
        <w:t>le</w:t>
      </w:r>
      <w:r>
        <w:rPr>
          <w:color w:val="231F20"/>
          <w:spacing w:val="-4"/>
        </w:rPr>
        <w:t> </w:t>
      </w:r>
      <w:r>
        <w:rPr>
          <w:color w:val="231F20"/>
        </w:rPr>
        <w:t>troisième</w:t>
      </w:r>
      <w:r>
        <w:rPr>
          <w:color w:val="231F20"/>
          <w:spacing w:val="-2"/>
        </w:rPr>
        <w:t> </w:t>
      </w:r>
      <w:r>
        <w:rPr>
          <w:color w:val="231F20"/>
        </w:rPr>
        <w:t>président</w:t>
      </w:r>
      <w:r>
        <w:rPr>
          <w:color w:val="231F20"/>
          <w:spacing w:val="-4"/>
        </w:rPr>
        <w:t> </w:t>
      </w:r>
      <w:r>
        <w:rPr>
          <w:color w:val="231F20"/>
        </w:rPr>
        <w:t>du</w:t>
      </w:r>
      <w:r>
        <w:rPr>
          <w:color w:val="231F20"/>
          <w:spacing w:val="-2"/>
        </w:rPr>
        <w:t> </w:t>
      </w:r>
      <w:r>
        <w:rPr>
          <w:color w:val="231F20"/>
        </w:rPr>
        <w:t>Gabon,</w:t>
      </w:r>
      <w:r>
        <w:rPr>
          <w:color w:val="231F20"/>
          <w:spacing w:val="-4"/>
        </w:rPr>
        <w:t> </w:t>
      </w:r>
      <w:r>
        <w:rPr>
          <w:color w:val="231F20"/>
        </w:rPr>
        <w:t>élu</w:t>
      </w:r>
      <w:r>
        <w:rPr>
          <w:color w:val="231F20"/>
          <w:spacing w:val="-4"/>
        </w:rPr>
        <w:t> </w:t>
      </w:r>
      <w:r>
        <w:rPr>
          <w:color w:val="231F20"/>
        </w:rPr>
        <w:t>à</w:t>
      </w:r>
      <w:r>
        <w:rPr>
          <w:color w:val="231F20"/>
          <w:spacing w:val="-5"/>
        </w:rPr>
        <w:t> </w:t>
      </w:r>
      <w:r>
        <w:rPr>
          <w:color w:val="231F20"/>
        </w:rPr>
        <w:t>l’occasion </w:t>
      </w:r>
      <w:r>
        <w:rPr>
          <w:color w:val="231F20"/>
          <w:spacing w:val="-2"/>
        </w:rPr>
        <w:t>d’un</w:t>
      </w:r>
      <w:r>
        <w:rPr>
          <w:color w:val="231F20"/>
          <w:spacing w:val="-9"/>
        </w:rPr>
        <w:t> </w:t>
      </w:r>
      <w:r>
        <w:rPr>
          <w:color w:val="231F20"/>
          <w:spacing w:val="-2"/>
        </w:rPr>
        <w:t>scrutin</w:t>
      </w:r>
      <w:r>
        <w:rPr>
          <w:color w:val="231F20"/>
          <w:spacing w:val="-11"/>
        </w:rPr>
        <w:t> </w:t>
      </w:r>
      <w:r>
        <w:rPr>
          <w:color w:val="231F20"/>
          <w:spacing w:val="-2"/>
        </w:rPr>
        <w:t>majoritaire</w:t>
      </w:r>
      <w:r>
        <w:rPr>
          <w:color w:val="231F20"/>
          <w:spacing w:val="-9"/>
        </w:rPr>
        <w:t> </w:t>
      </w:r>
      <w:r>
        <w:rPr>
          <w:color w:val="231F20"/>
          <w:spacing w:val="-2"/>
        </w:rPr>
        <w:t>à</w:t>
      </w:r>
      <w:r>
        <w:rPr>
          <w:color w:val="231F20"/>
          <w:spacing w:val="-12"/>
        </w:rPr>
        <w:t> </w:t>
      </w:r>
      <w:r>
        <w:rPr>
          <w:color w:val="231F20"/>
          <w:spacing w:val="-2"/>
        </w:rPr>
        <w:t>un</w:t>
      </w:r>
      <w:r>
        <w:rPr>
          <w:color w:val="231F20"/>
          <w:spacing w:val="-9"/>
        </w:rPr>
        <w:t> </w:t>
      </w:r>
      <w:r>
        <w:rPr>
          <w:color w:val="231F20"/>
          <w:spacing w:val="-2"/>
        </w:rPr>
        <w:t>tour.</w:t>
      </w:r>
      <w:r>
        <w:rPr>
          <w:color w:val="231F20"/>
          <w:spacing w:val="-10"/>
        </w:rPr>
        <w:t> </w:t>
      </w:r>
      <w:r>
        <w:rPr>
          <w:color w:val="231F20"/>
          <w:spacing w:val="-2"/>
        </w:rPr>
        <w:t>Les</w:t>
      </w:r>
      <w:r>
        <w:rPr>
          <w:color w:val="231F20"/>
          <w:spacing w:val="-11"/>
        </w:rPr>
        <w:t> </w:t>
      </w:r>
      <w:r>
        <w:rPr>
          <w:color w:val="231F20"/>
          <w:spacing w:val="-2"/>
        </w:rPr>
        <w:t>résultats</w:t>
      </w:r>
      <w:r>
        <w:rPr>
          <w:color w:val="231F20"/>
          <w:spacing w:val="-9"/>
        </w:rPr>
        <w:t> </w:t>
      </w:r>
      <w:r>
        <w:rPr>
          <w:color w:val="231F20"/>
          <w:spacing w:val="-2"/>
        </w:rPr>
        <w:t>officiels</w:t>
      </w:r>
      <w:r>
        <w:rPr>
          <w:color w:val="231F20"/>
          <w:spacing w:val="-12"/>
        </w:rPr>
        <w:t> </w:t>
      </w:r>
      <w:r>
        <w:rPr>
          <w:color w:val="231F20"/>
          <w:spacing w:val="-2"/>
        </w:rPr>
        <w:t>indiquent</w:t>
      </w:r>
      <w:r>
        <w:rPr>
          <w:color w:val="231F20"/>
          <w:spacing w:val="-9"/>
        </w:rPr>
        <w:t> </w:t>
      </w:r>
      <w:r>
        <w:rPr>
          <w:color w:val="231F20"/>
          <w:spacing w:val="-2"/>
        </w:rPr>
        <w:t>qu’Ali </w:t>
      </w:r>
      <w:r>
        <w:rPr>
          <w:color w:val="231F20"/>
        </w:rPr>
        <w:t>Bongo</w:t>
      </w:r>
      <w:r>
        <w:rPr>
          <w:color w:val="231F20"/>
          <w:spacing w:val="19"/>
        </w:rPr>
        <w:t> </w:t>
      </w:r>
      <w:r>
        <w:rPr>
          <w:color w:val="231F20"/>
        </w:rPr>
        <w:t>est</w:t>
      </w:r>
      <w:r>
        <w:rPr>
          <w:color w:val="231F20"/>
          <w:spacing w:val="19"/>
        </w:rPr>
        <w:t> </w:t>
      </w:r>
      <w:r>
        <w:rPr>
          <w:color w:val="231F20"/>
        </w:rPr>
        <w:t>élu</w:t>
      </w:r>
      <w:r>
        <w:rPr>
          <w:color w:val="231F20"/>
          <w:spacing w:val="19"/>
        </w:rPr>
        <w:t> </w:t>
      </w:r>
      <w:r>
        <w:rPr>
          <w:color w:val="231F20"/>
        </w:rPr>
        <w:t>président</w:t>
      </w:r>
      <w:r>
        <w:rPr>
          <w:color w:val="231F20"/>
          <w:spacing w:val="17"/>
        </w:rPr>
        <w:t> </w:t>
      </w:r>
      <w:r>
        <w:rPr>
          <w:color w:val="231F20"/>
        </w:rPr>
        <w:t>de</w:t>
      </w:r>
      <w:r>
        <w:rPr>
          <w:color w:val="231F20"/>
          <w:spacing w:val="19"/>
        </w:rPr>
        <w:t> </w:t>
      </w:r>
      <w:r>
        <w:rPr>
          <w:color w:val="231F20"/>
        </w:rPr>
        <w:t>la</w:t>
      </w:r>
      <w:r>
        <w:rPr>
          <w:color w:val="231F20"/>
          <w:spacing w:val="19"/>
        </w:rPr>
        <w:t> </w:t>
      </w:r>
      <w:r>
        <w:rPr>
          <w:color w:val="231F20"/>
        </w:rPr>
        <w:t>République</w:t>
      </w:r>
      <w:r>
        <w:rPr>
          <w:color w:val="231F20"/>
          <w:spacing w:val="19"/>
        </w:rPr>
        <w:t> </w:t>
      </w:r>
      <w:r>
        <w:rPr>
          <w:color w:val="231F20"/>
        </w:rPr>
        <w:t>avec</w:t>
      </w:r>
      <w:r>
        <w:rPr>
          <w:color w:val="231F20"/>
          <w:spacing w:val="19"/>
        </w:rPr>
        <w:t> </w:t>
      </w:r>
      <w:r>
        <w:rPr>
          <w:color w:val="231F20"/>
        </w:rPr>
        <w:t>41,7</w:t>
      </w:r>
      <w:r>
        <w:rPr>
          <w:color w:val="231F20"/>
          <w:spacing w:val="-12"/>
        </w:rPr>
        <w:t> </w:t>
      </w:r>
      <w:r>
        <w:rPr>
          <w:color w:val="231F20"/>
        </w:rPr>
        <w:t>%</w:t>
      </w:r>
      <w:r>
        <w:rPr>
          <w:color w:val="231F20"/>
          <w:spacing w:val="19"/>
        </w:rPr>
        <w:t> </w:t>
      </w:r>
      <w:r>
        <w:rPr>
          <w:color w:val="231F20"/>
        </w:rPr>
        <w:t>des</w:t>
      </w:r>
      <w:r>
        <w:rPr>
          <w:color w:val="231F20"/>
          <w:spacing w:val="19"/>
        </w:rPr>
        <w:t> </w:t>
      </w:r>
      <w:r>
        <w:rPr>
          <w:color w:val="231F20"/>
        </w:rPr>
        <w:t>voix,</w:t>
      </w:r>
      <w:r>
        <w:rPr>
          <w:color w:val="231F20"/>
          <w:spacing w:val="18"/>
        </w:rPr>
        <w:t> </w:t>
      </w:r>
      <w:r>
        <w:rPr>
          <w:color w:val="231F20"/>
        </w:rPr>
        <w:t>face à</w:t>
      </w:r>
      <w:r>
        <w:rPr>
          <w:color w:val="231F20"/>
          <w:spacing w:val="-14"/>
        </w:rPr>
        <w:t> </w:t>
      </w:r>
      <w:r>
        <w:rPr>
          <w:color w:val="231F20"/>
        </w:rPr>
        <w:t>Pierre</w:t>
      </w:r>
      <w:r>
        <w:rPr>
          <w:color w:val="231F20"/>
          <w:spacing w:val="40"/>
        </w:rPr>
        <w:t> </w:t>
      </w:r>
      <w:r>
        <w:rPr>
          <w:color w:val="231F20"/>
        </w:rPr>
        <w:t>Mamboundou</w:t>
      </w:r>
      <w:r>
        <w:rPr>
          <w:color w:val="231F20"/>
          <w:spacing w:val="-14"/>
        </w:rPr>
        <w:t> </w:t>
      </w:r>
      <w:r>
        <w:rPr>
          <w:color w:val="231F20"/>
        </w:rPr>
        <w:t>(25,6</w:t>
      </w:r>
      <w:r>
        <w:rPr>
          <w:color w:val="231F20"/>
          <w:spacing w:val="-14"/>
        </w:rPr>
        <w:t> </w:t>
      </w:r>
      <w:r>
        <w:rPr>
          <w:color w:val="231F20"/>
        </w:rPr>
        <w:t>%)</w:t>
      </w:r>
      <w:r>
        <w:rPr>
          <w:color w:val="231F20"/>
          <w:spacing w:val="40"/>
        </w:rPr>
        <w:t> </w:t>
      </w:r>
      <w:r>
        <w:rPr>
          <w:color w:val="231F20"/>
        </w:rPr>
        <w:t>et</w:t>
      </w:r>
      <w:r>
        <w:rPr>
          <w:color w:val="231F20"/>
          <w:spacing w:val="-14"/>
        </w:rPr>
        <w:t> </w:t>
      </w:r>
      <w:r>
        <w:rPr>
          <w:color w:val="231F20"/>
        </w:rPr>
        <w:t>André</w:t>
      </w:r>
      <w:r>
        <w:rPr>
          <w:color w:val="231F20"/>
          <w:spacing w:val="40"/>
        </w:rPr>
        <w:t> </w:t>
      </w:r>
      <w:r>
        <w:rPr>
          <w:color w:val="231F20"/>
        </w:rPr>
        <w:t>Mba</w:t>
      </w:r>
      <w:r>
        <w:rPr>
          <w:color w:val="231F20"/>
          <w:spacing w:val="40"/>
        </w:rPr>
        <w:t> </w:t>
      </w:r>
      <w:r>
        <w:rPr>
          <w:color w:val="231F20"/>
        </w:rPr>
        <w:t>Obame</w:t>
      </w:r>
      <w:r>
        <w:rPr>
          <w:color w:val="231F20"/>
          <w:spacing w:val="-14"/>
        </w:rPr>
        <w:t> </w:t>
      </w:r>
      <w:r>
        <w:rPr>
          <w:color w:val="231F20"/>
        </w:rPr>
        <w:t>(25,3</w:t>
      </w:r>
      <w:r>
        <w:rPr>
          <w:color w:val="231F20"/>
          <w:spacing w:val="-14"/>
        </w:rPr>
        <w:t> </w:t>
      </w:r>
      <w:r>
        <w:rPr>
          <w:color w:val="231F20"/>
        </w:rPr>
        <w:t>%).</w:t>
      </w:r>
      <w:r>
        <w:rPr>
          <w:color w:val="231F20"/>
          <w:spacing w:val="40"/>
        </w:rPr>
        <w:t> </w:t>
      </w:r>
      <w:r>
        <w:rPr>
          <w:color w:val="231F20"/>
        </w:rPr>
        <w:t>Ces derniers contestent la légalité de la proclamation et la sincérité des </w:t>
      </w:r>
      <w:r>
        <w:rPr>
          <w:color w:val="231F20"/>
          <w:spacing w:val="-4"/>
        </w:rPr>
        <w:t>résultats.</w:t>
      </w:r>
      <w:r>
        <w:rPr>
          <w:color w:val="231F20"/>
          <w:spacing w:val="-9"/>
        </w:rPr>
        <w:t> </w:t>
      </w:r>
      <w:r>
        <w:rPr>
          <w:color w:val="231F20"/>
          <w:spacing w:val="-4"/>
        </w:rPr>
        <w:t>À</w:t>
      </w:r>
      <w:r>
        <w:rPr>
          <w:color w:val="231F20"/>
          <w:spacing w:val="-11"/>
        </w:rPr>
        <w:t> </w:t>
      </w:r>
      <w:r>
        <w:rPr>
          <w:color w:val="231F20"/>
          <w:spacing w:val="-4"/>
        </w:rPr>
        <w:t>la</w:t>
      </w:r>
      <w:r>
        <w:rPr>
          <w:color w:val="231F20"/>
          <w:spacing w:val="-9"/>
        </w:rPr>
        <w:t> </w:t>
      </w:r>
      <w:r>
        <w:rPr>
          <w:color w:val="231F20"/>
          <w:spacing w:val="-4"/>
        </w:rPr>
        <w:t>suite</w:t>
      </w:r>
      <w:r>
        <w:rPr>
          <w:color w:val="231F20"/>
          <w:spacing w:val="-9"/>
        </w:rPr>
        <w:t> </w:t>
      </w:r>
      <w:r>
        <w:rPr>
          <w:color w:val="231F20"/>
          <w:spacing w:val="-4"/>
        </w:rPr>
        <w:t>de</w:t>
      </w:r>
      <w:r>
        <w:rPr>
          <w:color w:val="231F20"/>
          <w:spacing w:val="-9"/>
        </w:rPr>
        <w:t> </w:t>
      </w:r>
      <w:r>
        <w:rPr>
          <w:color w:val="231F20"/>
          <w:spacing w:val="-4"/>
        </w:rPr>
        <w:t>l'annonce</w:t>
      </w:r>
      <w:r>
        <w:rPr>
          <w:color w:val="231F20"/>
          <w:spacing w:val="-9"/>
        </w:rPr>
        <w:t> </w:t>
      </w:r>
      <w:r>
        <w:rPr>
          <w:color w:val="231F20"/>
          <w:spacing w:val="-4"/>
        </w:rPr>
        <w:t>des</w:t>
      </w:r>
      <w:r>
        <w:rPr>
          <w:color w:val="231F20"/>
          <w:spacing w:val="-9"/>
        </w:rPr>
        <w:t> </w:t>
      </w:r>
      <w:r>
        <w:rPr>
          <w:color w:val="231F20"/>
          <w:spacing w:val="-4"/>
        </w:rPr>
        <w:t>résultats,</w:t>
      </w:r>
      <w:r>
        <w:rPr>
          <w:color w:val="231F20"/>
          <w:spacing w:val="-9"/>
        </w:rPr>
        <w:t> </w:t>
      </w:r>
      <w:r>
        <w:rPr>
          <w:color w:val="231F20"/>
          <w:spacing w:val="-4"/>
        </w:rPr>
        <w:t>des</w:t>
      </w:r>
      <w:r>
        <w:rPr>
          <w:color w:val="231F20"/>
          <w:spacing w:val="-9"/>
        </w:rPr>
        <w:t> </w:t>
      </w:r>
      <w:r>
        <w:rPr>
          <w:color w:val="231F20"/>
          <w:spacing w:val="-4"/>
        </w:rPr>
        <w:t>émeutes</w:t>
      </w:r>
      <w:r>
        <w:rPr>
          <w:color w:val="231F20"/>
          <w:spacing w:val="-9"/>
        </w:rPr>
        <w:t> </w:t>
      </w:r>
      <w:r>
        <w:rPr>
          <w:color w:val="231F20"/>
          <w:spacing w:val="-4"/>
        </w:rPr>
        <w:t>éclatent</w:t>
      </w:r>
      <w:r>
        <w:rPr>
          <w:color w:val="231F20"/>
          <w:spacing w:val="-8"/>
        </w:rPr>
        <w:t> </w:t>
      </w:r>
      <w:r>
        <w:rPr>
          <w:color w:val="231F20"/>
          <w:spacing w:val="-4"/>
        </w:rPr>
        <w:t>à</w:t>
      </w:r>
      <w:r>
        <w:rPr>
          <w:color w:val="231F20"/>
        </w:rPr>
        <w:t> </w:t>
      </w:r>
      <w:r>
        <w:rPr>
          <w:color w:val="231F20"/>
          <w:spacing w:val="-4"/>
        </w:rPr>
        <w:t>Port- </w:t>
      </w:r>
      <w:r>
        <w:rPr>
          <w:color w:val="231F20"/>
        </w:rPr>
        <w:t>Gentil</w:t>
      </w:r>
      <w:r>
        <w:rPr>
          <w:color w:val="231F20"/>
          <w:spacing w:val="-5"/>
        </w:rPr>
        <w:t> </w:t>
      </w:r>
      <w:r>
        <w:rPr>
          <w:color w:val="231F20"/>
        </w:rPr>
        <w:t>et</w:t>
      </w:r>
      <w:r>
        <w:rPr>
          <w:color w:val="231F20"/>
          <w:spacing w:val="-8"/>
        </w:rPr>
        <w:t> </w:t>
      </w:r>
      <w:r>
        <w:rPr>
          <w:color w:val="231F20"/>
        </w:rPr>
        <w:t>sont</w:t>
      </w:r>
      <w:r>
        <w:rPr>
          <w:color w:val="231F20"/>
          <w:spacing w:val="-5"/>
        </w:rPr>
        <w:t> </w:t>
      </w:r>
      <w:r>
        <w:rPr>
          <w:color w:val="231F20"/>
        </w:rPr>
        <w:t>violemment</w:t>
      </w:r>
      <w:r>
        <w:rPr>
          <w:color w:val="231F20"/>
          <w:spacing w:val="-7"/>
        </w:rPr>
        <w:t> </w:t>
      </w:r>
      <w:r>
        <w:rPr>
          <w:color w:val="231F20"/>
        </w:rPr>
        <w:t>réprimées,</w:t>
      </w:r>
      <w:r>
        <w:rPr>
          <w:color w:val="231F20"/>
          <w:spacing w:val="-8"/>
        </w:rPr>
        <w:t> </w:t>
      </w:r>
      <w:r>
        <w:rPr>
          <w:color w:val="231F20"/>
        </w:rPr>
        <w:t>faisant</w:t>
      </w:r>
      <w:r>
        <w:rPr>
          <w:color w:val="231F20"/>
          <w:spacing w:val="-5"/>
        </w:rPr>
        <w:t> </w:t>
      </w:r>
      <w:r>
        <w:rPr>
          <w:color w:val="231F20"/>
        </w:rPr>
        <w:t>au</w:t>
      </w:r>
      <w:r>
        <w:rPr>
          <w:color w:val="231F20"/>
          <w:spacing w:val="-8"/>
        </w:rPr>
        <w:t> </w:t>
      </w:r>
      <w:r>
        <w:rPr>
          <w:color w:val="231F20"/>
        </w:rPr>
        <w:t>moins</w:t>
      </w:r>
      <w:r>
        <w:rPr>
          <w:color w:val="231F20"/>
          <w:spacing w:val="-5"/>
        </w:rPr>
        <w:t> </w:t>
      </w:r>
      <w:r>
        <w:rPr>
          <w:color w:val="231F20"/>
        </w:rPr>
        <w:t>15</w:t>
      </w:r>
      <w:r>
        <w:rPr>
          <w:color w:val="231F20"/>
          <w:spacing w:val="-8"/>
        </w:rPr>
        <w:t> </w:t>
      </w:r>
      <w:r>
        <w:rPr>
          <w:color w:val="231F20"/>
        </w:rPr>
        <w:t>morts.</w:t>
      </w:r>
    </w:p>
    <w:p>
      <w:pPr>
        <w:pStyle w:val="BodyText"/>
        <w:spacing w:before="120"/>
        <w:ind w:right="104" w:firstLine="283"/>
      </w:pPr>
      <w:r>
        <w:rPr>
          <w:color w:val="231F20"/>
        </w:rPr>
        <w:t>Après la validation des résultats de l'élection, Ali Bongo est investi le</w:t>
      </w:r>
      <w:r>
        <w:rPr>
          <w:color w:val="231F20"/>
          <w:spacing w:val="-15"/>
        </w:rPr>
        <w:t> </w:t>
      </w:r>
      <w:r>
        <w:rPr>
          <w:color w:val="231F20"/>
        </w:rPr>
        <w:t>16</w:t>
      </w:r>
      <w:r>
        <w:rPr>
          <w:color w:val="231F20"/>
          <w:spacing w:val="-13"/>
        </w:rPr>
        <w:t> </w:t>
      </w:r>
      <w:r>
        <w:rPr>
          <w:color w:val="231F20"/>
        </w:rPr>
        <w:t>octobre</w:t>
      </w:r>
      <w:r>
        <w:rPr>
          <w:color w:val="231F20"/>
          <w:spacing w:val="-12"/>
        </w:rPr>
        <w:t> </w:t>
      </w:r>
      <w:r>
        <w:rPr>
          <w:color w:val="231F20"/>
        </w:rPr>
        <w:t>2009.</w:t>
      </w:r>
      <w:r>
        <w:rPr>
          <w:color w:val="231F20"/>
          <w:spacing w:val="-11"/>
        </w:rPr>
        <w:t> </w:t>
      </w:r>
      <w:r>
        <w:rPr>
          <w:color w:val="231F20"/>
        </w:rPr>
        <w:t>Ali</w:t>
      </w:r>
      <w:r>
        <w:rPr>
          <w:color w:val="231F20"/>
          <w:spacing w:val="-13"/>
        </w:rPr>
        <w:t> </w:t>
      </w:r>
      <w:r>
        <w:rPr>
          <w:color w:val="231F20"/>
        </w:rPr>
        <w:t>Bongo</w:t>
      </w:r>
      <w:r>
        <w:rPr>
          <w:color w:val="231F20"/>
          <w:spacing w:val="-11"/>
        </w:rPr>
        <w:t> </w:t>
      </w:r>
      <w:r>
        <w:rPr>
          <w:color w:val="231F20"/>
        </w:rPr>
        <w:t>est</w:t>
      </w:r>
      <w:r>
        <w:rPr>
          <w:color w:val="231F20"/>
          <w:spacing w:val="-11"/>
        </w:rPr>
        <w:t> </w:t>
      </w:r>
      <w:r>
        <w:rPr>
          <w:color w:val="231F20"/>
        </w:rPr>
        <w:t>réélu</w:t>
      </w:r>
      <w:r>
        <w:rPr>
          <w:color w:val="231F20"/>
          <w:spacing w:val="-13"/>
        </w:rPr>
        <w:t> </w:t>
      </w:r>
      <w:r>
        <w:rPr>
          <w:color w:val="231F20"/>
        </w:rPr>
        <w:t>le</w:t>
      </w:r>
      <w:r>
        <w:rPr>
          <w:color w:val="231F20"/>
          <w:spacing w:val="-11"/>
        </w:rPr>
        <w:t> </w:t>
      </w:r>
      <w:r>
        <w:rPr>
          <w:color w:val="231F20"/>
        </w:rPr>
        <w:t>27</w:t>
      </w:r>
      <w:r>
        <w:rPr>
          <w:color w:val="231F20"/>
          <w:spacing w:val="-11"/>
        </w:rPr>
        <w:t> </w:t>
      </w:r>
      <w:r>
        <w:rPr>
          <w:color w:val="231F20"/>
        </w:rPr>
        <w:t>août</w:t>
      </w:r>
      <w:r>
        <w:rPr>
          <w:color w:val="231F20"/>
          <w:spacing w:val="-12"/>
        </w:rPr>
        <w:t> </w:t>
      </w:r>
      <w:r>
        <w:rPr>
          <w:color w:val="231F20"/>
        </w:rPr>
        <w:t>2016</w:t>
      </w:r>
      <w:r>
        <w:rPr>
          <w:color w:val="231F20"/>
          <w:spacing w:val="-11"/>
        </w:rPr>
        <w:t> </w:t>
      </w:r>
      <w:r>
        <w:rPr>
          <w:color w:val="231F20"/>
        </w:rPr>
        <w:t>avec</w:t>
      </w:r>
      <w:r>
        <w:rPr>
          <w:color w:val="231F20"/>
          <w:spacing w:val="-11"/>
        </w:rPr>
        <w:t> </w:t>
      </w:r>
      <w:r>
        <w:rPr>
          <w:color w:val="231F20"/>
        </w:rPr>
        <w:t>49,8</w:t>
      </w:r>
      <w:r>
        <w:rPr>
          <w:color w:val="231F20"/>
          <w:spacing w:val="-13"/>
        </w:rPr>
        <w:t> </w:t>
      </w:r>
      <w:r>
        <w:rPr>
          <w:color w:val="231F20"/>
        </w:rPr>
        <w:t>%</w:t>
      </w:r>
      <w:r>
        <w:rPr>
          <w:color w:val="231F20"/>
          <w:spacing w:val="-14"/>
        </w:rPr>
        <w:t> </w:t>
      </w:r>
      <w:r>
        <w:rPr>
          <w:color w:val="231F20"/>
        </w:rPr>
        <w:t>des voix. Sa victoire est contestée par l'opposition, dont le principal candidat,</w:t>
      </w:r>
      <w:r>
        <w:rPr>
          <w:color w:val="231F20"/>
          <w:spacing w:val="-15"/>
        </w:rPr>
        <w:t> </w:t>
      </w:r>
      <w:r>
        <w:rPr>
          <w:color w:val="231F20"/>
        </w:rPr>
        <w:t>Jean</w:t>
      </w:r>
      <w:r>
        <w:rPr>
          <w:color w:val="231F20"/>
          <w:spacing w:val="-15"/>
        </w:rPr>
        <w:t> </w:t>
      </w:r>
      <w:r>
        <w:rPr>
          <w:color w:val="231F20"/>
        </w:rPr>
        <w:t>Ping</w:t>
      </w:r>
      <w:r>
        <w:rPr>
          <w:color w:val="231F20"/>
          <w:spacing w:val="-15"/>
        </w:rPr>
        <w:t> </w:t>
      </w:r>
      <w:r>
        <w:rPr>
          <w:color w:val="231F20"/>
        </w:rPr>
        <w:t>battu</w:t>
      </w:r>
      <w:r>
        <w:rPr>
          <w:color w:val="231F20"/>
          <w:spacing w:val="-15"/>
        </w:rPr>
        <w:t> </w:t>
      </w:r>
      <w:r>
        <w:rPr>
          <w:color w:val="231F20"/>
        </w:rPr>
        <w:t>de</w:t>
      </w:r>
      <w:r>
        <w:rPr>
          <w:color w:val="231F20"/>
          <w:spacing w:val="-15"/>
        </w:rPr>
        <w:t> </w:t>
      </w:r>
      <w:r>
        <w:rPr>
          <w:color w:val="231F20"/>
        </w:rPr>
        <w:t>seulement</w:t>
      </w:r>
      <w:r>
        <w:rPr>
          <w:color w:val="231F20"/>
          <w:spacing w:val="-15"/>
        </w:rPr>
        <w:t> </w:t>
      </w:r>
      <w:r>
        <w:rPr>
          <w:color w:val="231F20"/>
        </w:rPr>
        <w:t>5</w:t>
      </w:r>
      <w:r>
        <w:rPr>
          <w:color w:val="231F20"/>
          <w:spacing w:val="-15"/>
        </w:rPr>
        <w:t> </w:t>
      </w:r>
      <w:r>
        <w:rPr>
          <w:color w:val="231F20"/>
        </w:rPr>
        <w:t>000</w:t>
      </w:r>
      <w:r>
        <w:rPr>
          <w:color w:val="231F20"/>
          <w:spacing w:val="-15"/>
        </w:rPr>
        <w:t> </w:t>
      </w:r>
      <w:r>
        <w:rPr>
          <w:color w:val="231F20"/>
        </w:rPr>
        <w:t>voix</w:t>
      </w:r>
      <w:r>
        <w:rPr>
          <w:color w:val="231F20"/>
          <w:spacing w:val="-15"/>
        </w:rPr>
        <w:t> </w:t>
      </w:r>
      <w:r>
        <w:rPr>
          <w:color w:val="231F20"/>
        </w:rPr>
        <w:t>par</w:t>
      </w:r>
      <w:r>
        <w:rPr>
          <w:color w:val="231F20"/>
          <w:spacing w:val="-15"/>
        </w:rPr>
        <w:t> </w:t>
      </w:r>
      <w:r>
        <w:rPr>
          <w:color w:val="231F20"/>
        </w:rPr>
        <w:t>Bongo.</w:t>
      </w:r>
      <w:r>
        <w:rPr>
          <w:color w:val="231F20"/>
          <w:spacing w:val="-15"/>
        </w:rPr>
        <w:t> </w:t>
      </w:r>
      <w:r>
        <w:rPr>
          <w:color w:val="231F20"/>
        </w:rPr>
        <w:t>Jean</w:t>
      </w:r>
      <w:r>
        <w:rPr>
          <w:color w:val="231F20"/>
          <w:spacing w:val="-15"/>
        </w:rPr>
        <w:t> </w:t>
      </w:r>
      <w:r>
        <w:rPr>
          <w:color w:val="231F20"/>
        </w:rPr>
        <w:t>Ping, ancien cacique du régime passé dans l'opposition, demande un recomptage</w:t>
      </w:r>
      <w:r>
        <w:rPr>
          <w:color w:val="231F20"/>
          <w:spacing w:val="-14"/>
        </w:rPr>
        <w:t> </w:t>
      </w:r>
      <w:r>
        <w:rPr>
          <w:color w:val="231F20"/>
        </w:rPr>
        <w:t>des</w:t>
      </w:r>
      <w:r>
        <w:rPr>
          <w:color w:val="231F20"/>
          <w:spacing w:val="-13"/>
        </w:rPr>
        <w:t> </w:t>
      </w:r>
      <w:r>
        <w:rPr>
          <w:color w:val="231F20"/>
        </w:rPr>
        <w:t>bulletins</w:t>
      </w:r>
      <w:r>
        <w:rPr>
          <w:color w:val="231F20"/>
          <w:spacing w:val="-15"/>
        </w:rPr>
        <w:t> </w:t>
      </w:r>
      <w:r>
        <w:rPr>
          <w:color w:val="231F20"/>
        </w:rPr>
        <w:t>de</w:t>
      </w:r>
      <w:r>
        <w:rPr>
          <w:color w:val="231F20"/>
          <w:spacing w:val="-12"/>
        </w:rPr>
        <w:t> </w:t>
      </w:r>
      <w:r>
        <w:rPr>
          <w:color w:val="231F20"/>
        </w:rPr>
        <w:t>vote</w:t>
      </w:r>
      <w:r>
        <w:rPr>
          <w:color w:val="231F20"/>
          <w:spacing w:val="-12"/>
        </w:rPr>
        <w:t> </w:t>
      </w:r>
      <w:r>
        <w:rPr>
          <w:color w:val="231F20"/>
        </w:rPr>
        <w:t>dans</w:t>
      </w:r>
      <w:r>
        <w:rPr>
          <w:color w:val="231F20"/>
          <w:spacing w:val="-13"/>
        </w:rPr>
        <w:t> </w:t>
      </w:r>
      <w:r>
        <w:rPr>
          <w:color w:val="231F20"/>
        </w:rPr>
        <w:t>la</w:t>
      </w:r>
      <w:r>
        <w:rPr>
          <w:color w:val="231F20"/>
          <w:spacing w:val="-12"/>
        </w:rPr>
        <w:t> </w:t>
      </w:r>
      <w:r>
        <w:rPr>
          <w:color w:val="231F20"/>
        </w:rPr>
        <w:t>province</w:t>
      </w:r>
      <w:r>
        <w:rPr>
          <w:color w:val="231F20"/>
          <w:spacing w:val="-15"/>
        </w:rPr>
        <w:t> </w:t>
      </w:r>
      <w:r>
        <w:rPr>
          <w:color w:val="231F20"/>
        </w:rPr>
        <w:t>du</w:t>
      </w:r>
      <w:r>
        <w:rPr>
          <w:color w:val="231F20"/>
          <w:spacing w:val="-12"/>
        </w:rPr>
        <w:t> </w:t>
      </w:r>
      <w:r>
        <w:rPr>
          <w:color w:val="231F20"/>
        </w:rPr>
        <w:t>Haut-Ogooué,</w:t>
      </w:r>
      <w:r>
        <w:rPr>
          <w:color w:val="231F20"/>
          <w:spacing w:val="-12"/>
        </w:rPr>
        <w:t> </w:t>
      </w:r>
      <w:r>
        <w:rPr>
          <w:color w:val="231F20"/>
        </w:rPr>
        <w:t>fief </w:t>
      </w:r>
      <w:r>
        <w:rPr>
          <w:color w:val="231F20"/>
          <w:spacing w:val="-2"/>
        </w:rPr>
        <w:t>familial</w:t>
      </w:r>
      <w:r>
        <w:rPr>
          <w:color w:val="231F20"/>
          <w:spacing w:val="-15"/>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famille</w:t>
      </w:r>
      <w:r>
        <w:rPr>
          <w:color w:val="231F20"/>
          <w:spacing w:val="-13"/>
        </w:rPr>
        <w:t> </w:t>
      </w:r>
      <w:r>
        <w:rPr>
          <w:color w:val="231F20"/>
          <w:spacing w:val="-2"/>
        </w:rPr>
        <w:t>Bongo</w:t>
      </w:r>
      <w:r>
        <w:rPr>
          <w:color w:val="231F20"/>
          <w:spacing w:val="-13"/>
        </w:rPr>
        <w:t> </w:t>
      </w:r>
      <w:r>
        <w:rPr>
          <w:color w:val="231F20"/>
          <w:spacing w:val="-2"/>
        </w:rPr>
        <w:t>où</w:t>
      </w:r>
      <w:r>
        <w:rPr>
          <w:color w:val="231F20"/>
          <w:spacing w:val="-13"/>
        </w:rPr>
        <w:t> </w:t>
      </w:r>
      <w:r>
        <w:rPr>
          <w:color w:val="231F20"/>
          <w:spacing w:val="-2"/>
        </w:rPr>
        <w:t>le</w:t>
      </w:r>
      <w:r>
        <w:rPr>
          <w:color w:val="231F20"/>
          <w:spacing w:val="-13"/>
        </w:rPr>
        <w:t> </w:t>
      </w:r>
      <w:r>
        <w:rPr>
          <w:color w:val="231F20"/>
          <w:spacing w:val="-2"/>
        </w:rPr>
        <w:t>président</w:t>
      </w:r>
      <w:r>
        <w:rPr>
          <w:color w:val="231F20"/>
          <w:spacing w:val="-13"/>
        </w:rPr>
        <w:t> </w:t>
      </w:r>
      <w:r>
        <w:rPr>
          <w:color w:val="231F20"/>
          <w:spacing w:val="-2"/>
        </w:rPr>
        <w:t>sortant</w:t>
      </w:r>
      <w:r>
        <w:rPr>
          <w:color w:val="231F20"/>
          <w:spacing w:val="-13"/>
        </w:rPr>
        <w:t> </w:t>
      </w:r>
      <w:r>
        <w:rPr>
          <w:color w:val="231F20"/>
          <w:spacing w:val="-2"/>
        </w:rPr>
        <w:t>avait</w:t>
      </w:r>
      <w:r>
        <w:rPr>
          <w:color w:val="231F20"/>
          <w:spacing w:val="-13"/>
        </w:rPr>
        <w:t> </w:t>
      </w:r>
      <w:r>
        <w:rPr>
          <w:color w:val="231F20"/>
          <w:spacing w:val="-2"/>
        </w:rPr>
        <w:t>obtenu,</w:t>
      </w:r>
      <w:r>
        <w:rPr>
          <w:color w:val="231F20"/>
          <w:spacing w:val="-13"/>
        </w:rPr>
        <w:t> </w:t>
      </w:r>
      <w:r>
        <w:rPr>
          <w:color w:val="231F20"/>
          <w:spacing w:val="-2"/>
        </w:rPr>
        <w:t>selon</w:t>
      </w:r>
      <w:r>
        <w:rPr>
          <w:color w:val="231F20"/>
          <w:spacing w:val="-13"/>
        </w:rPr>
        <w:t> </w:t>
      </w:r>
      <w:r>
        <w:rPr>
          <w:color w:val="231F20"/>
          <w:spacing w:val="-2"/>
        </w:rPr>
        <w:t>les </w:t>
      </w:r>
      <w:r>
        <w:rPr>
          <w:color w:val="231F20"/>
          <w:spacing w:val="-4"/>
        </w:rPr>
        <w:t>résultats</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commission</w:t>
      </w:r>
      <w:r>
        <w:rPr>
          <w:color w:val="231F20"/>
          <w:spacing w:val="-11"/>
        </w:rPr>
        <w:t> </w:t>
      </w:r>
      <w:r>
        <w:rPr>
          <w:color w:val="231F20"/>
          <w:spacing w:val="-4"/>
        </w:rPr>
        <w:t>électorale</w:t>
      </w:r>
      <w:r>
        <w:rPr>
          <w:color w:val="231F20"/>
          <w:spacing w:val="-11"/>
        </w:rPr>
        <w:t> </w:t>
      </w:r>
      <w:r>
        <w:rPr>
          <w:color w:val="231F20"/>
          <w:spacing w:val="-4"/>
        </w:rPr>
        <w:t>95%</w:t>
      </w:r>
      <w:r>
        <w:rPr>
          <w:color w:val="231F20"/>
          <w:spacing w:val="-11"/>
        </w:rPr>
        <w:t> </w:t>
      </w:r>
      <w:r>
        <w:rPr>
          <w:color w:val="231F20"/>
          <w:spacing w:val="-4"/>
        </w:rPr>
        <w:t>des</w:t>
      </w:r>
      <w:r>
        <w:rPr>
          <w:color w:val="231F20"/>
          <w:spacing w:val="-11"/>
        </w:rPr>
        <w:t> </w:t>
      </w:r>
      <w:r>
        <w:rPr>
          <w:color w:val="231F20"/>
          <w:spacing w:val="-4"/>
        </w:rPr>
        <w:t>voix</w:t>
      </w:r>
      <w:r>
        <w:rPr>
          <w:color w:val="231F20"/>
          <w:spacing w:val="-11"/>
        </w:rPr>
        <w:t> </w:t>
      </w:r>
      <w:r>
        <w:rPr>
          <w:color w:val="231F20"/>
          <w:spacing w:val="-4"/>
        </w:rPr>
        <w:t>lui</w:t>
      </w:r>
      <w:r>
        <w:rPr>
          <w:color w:val="231F20"/>
          <w:spacing w:val="-11"/>
        </w:rPr>
        <w:t> </w:t>
      </w:r>
      <w:r>
        <w:rPr>
          <w:color w:val="231F20"/>
          <w:spacing w:val="-4"/>
        </w:rPr>
        <w:t>garantissant</w:t>
      </w:r>
      <w:r>
        <w:rPr>
          <w:color w:val="231F20"/>
          <w:spacing w:val="-11"/>
        </w:rPr>
        <w:t> </w:t>
      </w:r>
      <w:r>
        <w:rPr>
          <w:color w:val="231F20"/>
          <w:spacing w:val="-4"/>
        </w:rPr>
        <w:t>au</w:t>
      </w:r>
      <w:r>
        <w:rPr>
          <w:color w:val="231F20"/>
          <w:spacing w:val="-11"/>
        </w:rPr>
        <w:t> </w:t>
      </w:r>
      <w:r>
        <w:rPr>
          <w:color w:val="231F20"/>
          <w:spacing w:val="-4"/>
        </w:rPr>
        <w:t>plan </w:t>
      </w:r>
      <w:r>
        <w:rPr>
          <w:color w:val="231F20"/>
          <w:spacing w:val="-2"/>
        </w:rPr>
        <w:t>national</w:t>
      </w:r>
      <w:r>
        <w:rPr>
          <w:color w:val="231F20"/>
          <w:spacing w:val="-8"/>
        </w:rPr>
        <w:t> </w:t>
      </w:r>
      <w:r>
        <w:rPr>
          <w:color w:val="231F20"/>
          <w:spacing w:val="-2"/>
        </w:rPr>
        <w:t>une</w:t>
      </w:r>
      <w:r>
        <w:rPr>
          <w:color w:val="231F20"/>
          <w:spacing w:val="-8"/>
        </w:rPr>
        <w:t> </w:t>
      </w:r>
      <w:r>
        <w:rPr>
          <w:color w:val="231F20"/>
          <w:spacing w:val="-2"/>
        </w:rPr>
        <w:t>avance</w:t>
      </w:r>
      <w:r>
        <w:rPr>
          <w:color w:val="231F20"/>
          <w:spacing w:val="-8"/>
        </w:rPr>
        <w:t> </w:t>
      </w:r>
      <w:r>
        <w:rPr>
          <w:color w:val="231F20"/>
          <w:spacing w:val="-2"/>
        </w:rPr>
        <w:t>de</w:t>
      </w:r>
      <w:r>
        <w:rPr>
          <w:color w:val="231F20"/>
          <w:spacing w:val="-11"/>
        </w:rPr>
        <w:t> </w:t>
      </w:r>
      <w:r>
        <w:rPr>
          <w:color w:val="231F20"/>
          <w:spacing w:val="-2"/>
        </w:rPr>
        <w:t>quelque</w:t>
      </w:r>
      <w:r>
        <w:rPr>
          <w:color w:val="231F20"/>
          <w:spacing w:val="-8"/>
        </w:rPr>
        <w:t> </w:t>
      </w:r>
      <w:r>
        <w:rPr>
          <w:color w:val="231F20"/>
          <w:spacing w:val="-2"/>
        </w:rPr>
        <w:t>5.000</w:t>
      </w:r>
      <w:r>
        <w:rPr>
          <w:color w:val="231F20"/>
          <w:spacing w:val="-11"/>
        </w:rPr>
        <w:t> </w:t>
      </w:r>
      <w:r>
        <w:rPr>
          <w:color w:val="231F20"/>
          <w:spacing w:val="-2"/>
        </w:rPr>
        <w:t>voix</w:t>
      </w:r>
      <w:r>
        <w:rPr>
          <w:color w:val="231F20"/>
          <w:spacing w:val="-9"/>
        </w:rPr>
        <w:t> </w:t>
      </w:r>
      <w:r>
        <w:rPr>
          <w:color w:val="231F20"/>
          <w:spacing w:val="-2"/>
        </w:rPr>
        <w:t>sur</w:t>
      </w:r>
      <w:r>
        <w:rPr>
          <w:color w:val="231F20"/>
          <w:spacing w:val="-12"/>
        </w:rPr>
        <w:t> </w:t>
      </w:r>
      <w:r>
        <w:rPr>
          <w:color w:val="231F20"/>
          <w:spacing w:val="-2"/>
        </w:rPr>
        <w:t>Jean</w:t>
      </w:r>
      <w:r>
        <w:rPr>
          <w:color w:val="231F20"/>
          <w:spacing w:val="-11"/>
        </w:rPr>
        <w:t> </w:t>
      </w:r>
      <w:r>
        <w:rPr>
          <w:color w:val="231F20"/>
          <w:spacing w:val="-2"/>
        </w:rPr>
        <w:t>Ping,</w:t>
      </w:r>
      <w:r>
        <w:rPr>
          <w:color w:val="231F20"/>
          <w:spacing w:val="-9"/>
        </w:rPr>
        <w:t> </w:t>
      </w:r>
      <w:r>
        <w:rPr>
          <w:color w:val="231F20"/>
          <w:spacing w:val="-2"/>
        </w:rPr>
        <w:t>sur</w:t>
      </w:r>
      <w:r>
        <w:rPr>
          <w:color w:val="231F20"/>
          <w:spacing w:val="-9"/>
        </w:rPr>
        <w:t> </w:t>
      </w:r>
      <w:r>
        <w:rPr>
          <w:color w:val="231F20"/>
          <w:spacing w:val="-2"/>
        </w:rPr>
        <w:t>un</w:t>
      </w:r>
      <w:r>
        <w:rPr>
          <w:color w:val="231F20"/>
          <w:spacing w:val="-13"/>
        </w:rPr>
        <w:t> </w:t>
      </w:r>
      <w:r>
        <w:rPr>
          <w:color w:val="231F20"/>
          <w:spacing w:val="-2"/>
        </w:rPr>
        <w:t>peu</w:t>
      </w:r>
      <w:r>
        <w:rPr>
          <w:color w:val="231F20"/>
          <w:spacing w:val="-11"/>
        </w:rPr>
        <w:t> </w:t>
      </w:r>
      <w:r>
        <w:rPr>
          <w:color w:val="231F20"/>
          <w:spacing w:val="-2"/>
        </w:rPr>
        <w:t>plus </w:t>
      </w:r>
      <w:r>
        <w:rPr>
          <w:color w:val="231F20"/>
        </w:rPr>
        <w:t>de</w:t>
      </w:r>
      <w:r>
        <w:rPr>
          <w:color w:val="231F20"/>
          <w:spacing w:val="-15"/>
        </w:rPr>
        <w:t> </w:t>
      </w:r>
      <w:r>
        <w:rPr>
          <w:color w:val="231F20"/>
        </w:rPr>
        <w:t>325.000</w:t>
      </w:r>
      <w:r>
        <w:rPr>
          <w:color w:val="231F20"/>
          <w:spacing w:val="-15"/>
        </w:rPr>
        <w:t> </w:t>
      </w:r>
      <w:r>
        <w:rPr>
          <w:color w:val="231F20"/>
        </w:rPr>
        <w:t>électeurs.</w:t>
      </w:r>
      <w:r>
        <w:rPr>
          <w:color w:val="231F20"/>
          <w:spacing w:val="-12"/>
        </w:rPr>
        <w:t> </w:t>
      </w:r>
      <w:r>
        <w:rPr>
          <w:color w:val="231F20"/>
        </w:rPr>
        <w:t>Le</w:t>
      </w:r>
      <w:r>
        <w:rPr>
          <w:color w:val="231F20"/>
          <w:spacing w:val="-12"/>
        </w:rPr>
        <w:t> </w:t>
      </w:r>
      <w:r>
        <w:rPr>
          <w:color w:val="231F20"/>
        </w:rPr>
        <w:t>recomptage</w:t>
      </w:r>
      <w:r>
        <w:rPr>
          <w:color w:val="231F20"/>
          <w:spacing w:val="-13"/>
        </w:rPr>
        <w:t> </w:t>
      </w:r>
      <w:r>
        <w:rPr>
          <w:color w:val="231F20"/>
        </w:rPr>
        <w:t>des</w:t>
      </w:r>
      <w:r>
        <w:rPr>
          <w:color w:val="231F20"/>
          <w:spacing w:val="-13"/>
        </w:rPr>
        <w:t> </w:t>
      </w:r>
      <w:r>
        <w:rPr>
          <w:color w:val="231F20"/>
        </w:rPr>
        <w:t>bulletins</w:t>
      </w:r>
      <w:r>
        <w:rPr>
          <w:color w:val="231F20"/>
          <w:spacing w:val="-13"/>
        </w:rPr>
        <w:t> </w:t>
      </w:r>
      <w:r>
        <w:rPr>
          <w:color w:val="231F20"/>
        </w:rPr>
        <w:t>n’aura</w:t>
      </w:r>
      <w:r>
        <w:rPr>
          <w:color w:val="231F20"/>
          <w:spacing w:val="-11"/>
        </w:rPr>
        <w:t> </w:t>
      </w:r>
      <w:r>
        <w:rPr>
          <w:color w:val="231F20"/>
        </w:rPr>
        <w:t>pas</w:t>
      </w:r>
      <w:r>
        <w:rPr>
          <w:color w:val="231F20"/>
          <w:spacing w:val="-13"/>
        </w:rPr>
        <w:t> </w:t>
      </w:r>
      <w:r>
        <w:rPr>
          <w:color w:val="231F20"/>
        </w:rPr>
        <w:t>lieu</w:t>
      </w:r>
      <w:r>
        <w:rPr>
          <w:color w:val="231F20"/>
          <w:spacing w:val="-15"/>
        </w:rPr>
        <w:t> </w:t>
      </w:r>
      <w:r>
        <w:rPr>
          <w:color w:val="231F20"/>
        </w:rPr>
        <w:t>:</w:t>
      </w:r>
      <w:r>
        <w:rPr>
          <w:color w:val="231F20"/>
          <w:spacing w:val="-13"/>
        </w:rPr>
        <w:t> </w:t>
      </w:r>
      <w:r>
        <w:rPr>
          <w:color w:val="231F20"/>
        </w:rPr>
        <w:t>le</w:t>
      </w:r>
      <w:r>
        <w:rPr>
          <w:color w:val="231F20"/>
          <w:spacing w:val="-15"/>
        </w:rPr>
        <w:t> </w:t>
      </w:r>
      <w:r>
        <w:rPr>
          <w:color w:val="231F20"/>
        </w:rPr>
        <w:t>24 septembre Ali Bongo est proclamé vainqueur par la Cour constitutionnelle présidée par sa belle-mère,</w:t>
      </w:r>
      <w:r>
        <w:rPr>
          <w:color w:val="231F20"/>
          <w:spacing w:val="-15"/>
        </w:rPr>
        <w:t> </w:t>
      </w:r>
      <w:r>
        <w:rPr>
          <w:color w:val="231F20"/>
        </w:rPr>
        <w:t>Marie-Madeleine </w:t>
      </w:r>
      <w:r>
        <w:rPr>
          <w:color w:val="231F20"/>
          <w:spacing w:val="-2"/>
        </w:rPr>
        <w:t>Mborantsuo,</w:t>
      </w:r>
      <w:r>
        <w:rPr>
          <w:color w:val="231F20"/>
          <w:spacing w:val="-13"/>
        </w:rPr>
        <w:t> </w:t>
      </w:r>
      <w:r>
        <w:rPr>
          <w:color w:val="231F20"/>
          <w:spacing w:val="-2"/>
        </w:rPr>
        <w:t>avec</w:t>
      </w:r>
      <w:r>
        <w:rPr>
          <w:color w:val="231F20"/>
          <w:spacing w:val="-13"/>
        </w:rPr>
        <w:t> </w:t>
      </w:r>
      <w:r>
        <w:rPr>
          <w:color w:val="231F20"/>
          <w:spacing w:val="-2"/>
        </w:rPr>
        <w:t>50,66</w:t>
      </w:r>
      <w:r>
        <w:rPr>
          <w:color w:val="231F20"/>
          <w:spacing w:val="-13"/>
        </w:rPr>
        <w:t> </w:t>
      </w:r>
      <w:r>
        <w:rPr>
          <w:color w:val="231F20"/>
          <w:spacing w:val="-2"/>
        </w:rPr>
        <w:t>%</w:t>
      </w:r>
      <w:r>
        <w:rPr>
          <w:color w:val="231F20"/>
          <w:spacing w:val="-13"/>
        </w:rPr>
        <w:t> </w:t>
      </w:r>
      <w:r>
        <w:rPr>
          <w:color w:val="231F20"/>
          <w:spacing w:val="-2"/>
        </w:rPr>
        <w:t>des</w:t>
      </w:r>
      <w:r>
        <w:rPr>
          <w:color w:val="231F20"/>
          <w:spacing w:val="-13"/>
        </w:rPr>
        <w:t> </w:t>
      </w:r>
      <w:r>
        <w:rPr>
          <w:color w:val="231F20"/>
          <w:spacing w:val="-2"/>
        </w:rPr>
        <w:t>voix,</w:t>
      </w:r>
      <w:r>
        <w:rPr>
          <w:color w:val="231F20"/>
          <w:spacing w:val="-13"/>
        </w:rPr>
        <w:t> </w:t>
      </w:r>
      <w:r>
        <w:rPr>
          <w:color w:val="231F20"/>
          <w:spacing w:val="-2"/>
        </w:rPr>
        <w:t>suivi</w:t>
      </w:r>
      <w:r>
        <w:rPr>
          <w:color w:val="231F20"/>
          <w:spacing w:val="-13"/>
        </w:rPr>
        <w:t> </w:t>
      </w:r>
      <w:r>
        <w:rPr>
          <w:color w:val="231F20"/>
          <w:spacing w:val="-2"/>
        </w:rPr>
        <w:t>de</w:t>
      </w:r>
      <w:r>
        <w:rPr>
          <w:color w:val="231F20"/>
          <w:spacing w:val="-11"/>
        </w:rPr>
        <w:t> </w:t>
      </w:r>
      <w:r>
        <w:rPr>
          <w:color w:val="231F20"/>
          <w:spacing w:val="-2"/>
        </w:rPr>
        <w:t>Jean</w:t>
      </w:r>
      <w:r>
        <w:rPr>
          <w:color w:val="231F20"/>
          <w:spacing w:val="-13"/>
        </w:rPr>
        <w:t> </w:t>
      </w:r>
      <w:r>
        <w:rPr>
          <w:color w:val="231F20"/>
          <w:spacing w:val="-2"/>
        </w:rPr>
        <w:t>Ping</w:t>
      </w:r>
      <w:r>
        <w:rPr>
          <w:color w:val="231F20"/>
          <w:spacing w:val="-8"/>
        </w:rPr>
        <w:t> </w:t>
      </w:r>
      <w:r>
        <w:rPr>
          <w:color w:val="231F20"/>
          <w:spacing w:val="-2"/>
        </w:rPr>
        <w:t>avec</w:t>
      </w:r>
      <w:r>
        <w:rPr>
          <w:color w:val="231F20"/>
          <w:spacing w:val="-13"/>
        </w:rPr>
        <w:t> </w:t>
      </w:r>
      <w:r>
        <w:rPr>
          <w:color w:val="231F20"/>
          <w:spacing w:val="-2"/>
        </w:rPr>
        <w:t>47,24</w:t>
      </w:r>
      <w:r>
        <w:rPr>
          <w:color w:val="231F20"/>
          <w:spacing w:val="-8"/>
        </w:rPr>
        <w:t> </w:t>
      </w:r>
      <w:r>
        <w:rPr>
          <w:color w:val="231F20"/>
          <w:spacing w:val="-2"/>
        </w:rPr>
        <w:t>%</w:t>
      </w:r>
      <w:r>
        <w:rPr>
          <w:color w:val="231F20"/>
          <w:spacing w:val="-13"/>
        </w:rPr>
        <w:t> </w:t>
      </w:r>
      <w:r>
        <w:rPr>
          <w:color w:val="231F20"/>
          <w:spacing w:val="-2"/>
        </w:rPr>
        <w:t>des suffrages.</w:t>
      </w:r>
    </w:p>
    <w:p>
      <w:pPr>
        <w:pStyle w:val="BodyText"/>
        <w:spacing w:before="121"/>
        <w:ind w:right="107" w:firstLine="283"/>
      </w:pPr>
      <w:r>
        <w:rPr>
          <w:color w:val="231F20"/>
        </w:rPr>
        <w:t>Les résultats proclamés,</w:t>
      </w:r>
      <w:r>
        <w:rPr>
          <w:color w:val="231F20"/>
          <w:spacing w:val="-14"/>
        </w:rPr>
        <w:t> </w:t>
      </w:r>
      <w:r>
        <w:rPr>
          <w:color w:val="231F20"/>
        </w:rPr>
        <w:t>les partisans de l’opposition prennent massivement la rue pour dénoncer selon eux la fraude. L'Assemblée nationale du Gabon est mise à feu.</w:t>
      </w:r>
    </w:p>
    <w:p>
      <w:pPr>
        <w:pStyle w:val="BodyText"/>
        <w:spacing w:before="120"/>
        <w:ind w:right="106" w:firstLine="283"/>
      </w:pPr>
      <w:r>
        <w:rPr>
          <w:color w:val="231F20"/>
        </w:rPr>
        <w:t>Une faible population, d’importantes ressources forestières et un pétrole</w:t>
      </w:r>
      <w:r>
        <w:rPr>
          <w:color w:val="231F20"/>
          <w:spacing w:val="-6"/>
        </w:rPr>
        <w:t> </w:t>
      </w:r>
      <w:r>
        <w:rPr>
          <w:color w:val="231F20"/>
        </w:rPr>
        <w:t>abondant,</w:t>
      </w:r>
      <w:r>
        <w:rPr>
          <w:color w:val="231F20"/>
          <w:spacing w:val="-9"/>
        </w:rPr>
        <w:t> </w:t>
      </w:r>
      <w:r>
        <w:rPr>
          <w:color w:val="231F20"/>
        </w:rPr>
        <w:t>le</w:t>
      </w:r>
      <w:r>
        <w:rPr>
          <w:color w:val="231F20"/>
          <w:spacing w:val="-5"/>
        </w:rPr>
        <w:t> </w:t>
      </w:r>
      <w:r>
        <w:rPr>
          <w:color w:val="231F20"/>
        </w:rPr>
        <w:t>Gabon</w:t>
      </w:r>
      <w:r>
        <w:rPr>
          <w:color w:val="231F20"/>
          <w:spacing w:val="-6"/>
        </w:rPr>
        <w:t> </w:t>
      </w:r>
      <w:r>
        <w:rPr>
          <w:color w:val="231F20"/>
        </w:rPr>
        <w:t>est</w:t>
      </w:r>
      <w:r>
        <w:rPr>
          <w:color w:val="231F20"/>
          <w:spacing w:val="-8"/>
        </w:rPr>
        <w:t> </w:t>
      </w:r>
      <w:r>
        <w:rPr>
          <w:color w:val="231F20"/>
        </w:rPr>
        <w:t>un</w:t>
      </w:r>
      <w:r>
        <w:rPr>
          <w:color w:val="231F20"/>
          <w:spacing w:val="-9"/>
        </w:rPr>
        <w:t> </w:t>
      </w:r>
      <w:r>
        <w:rPr>
          <w:color w:val="231F20"/>
        </w:rPr>
        <w:t>pays</w:t>
      </w:r>
      <w:r>
        <w:rPr>
          <w:color w:val="231F20"/>
          <w:spacing w:val="-8"/>
        </w:rPr>
        <w:t> </w:t>
      </w:r>
      <w:r>
        <w:rPr>
          <w:color w:val="231F20"/>
        </w:rPr>
        <w:t>au</w:t>
      </w:r>
      <w:r>
        <w:rPr>
          <w:color w:val="231F20"/>
          <w:spacing w:val="-6"/>
        </w:rPr>
        <w:t> </w:t>
      </w:r>
      <w:r>
        <w:rPr>
          <w:color w:val="231F20"/>
        </w:rPr>
        <w:t>sous-sol</w:t>
      </w:r>
      <w:r>
        <w:rPr>
          <w:color w:val="231F20"/>
          <w:spacing w:val="-9"/>
        </w:rPr>
        <w:t> </w:t>
      </w:r>
      <w:r>
        <w:rPr>
          <w:color w:val="231F20"/>
        </w:rPr>
        <w:t>très</w:t>
      </w:r>
      <w:r>
        <w:rPr>
          <w:color w:val="231F20"/>
          <w:spacing w:val="-6"/>
        </w:rPr>
        <w:t> </w:t>
      </w:r>
      <w:r>
        <w:rPr>
          <w:color w:val="231F20"/>
        </w:rPr>
        <w:t>riche.</w:t>
      </w:r>
      <w:r>
        <w:rPr>
          <w:color w:val="231F20"/>
          <w:spacing w:val="-7"/>
        </w:rPr>
        <w:t> </w:t>
      </w:r>
      <w:r>
        <w:rPr>
          <w:color w:val="231F20"/>
        </w:rPr>
        <w:t>Il</w:t>
      </w:r>
      <w:r>
        <w:rPr>
          <w:color w:val="231F20"/>
          <w:spacing w:val="-6"/>
        </w:rPr>
        <w:t> </w:t>
      </w:r>
      <w:r>
        <w:rPr>
          <w:color w:val="231F20"/>
        </w:rPr>
        <w:t>exporte </w:t>
      </w:r>
      <w:r>
        <w:rPr>
          <w:color w:val="231F20"/>
          <w:spacing w:val="-4"/>
        </w:rPr>
        <w:t>outre</w:t>
      </w:r>
      <w:r>
        <w:rPr>
          <w:color w:val="231F20"/>
          <w:spacing w:val="-7"/>
        </w:rPr>
        <w:t> </w:t>
      </w:r>
      <w:r>
        <w:rPr>
          <w:color w:val="231F20"/>
          <w:spacing w:val="-4"/>
        </w:rPr>
        <w:t>le</w:t>
      </w:r>
      <w:r>
        <w:rPr>
          <w:color w:val="231F20"/>
          <w:spacing w:val="-7"/>
        </w:rPr>
        <w:t> </w:t>
      </w:r>
      <w:r>
        <w:rPr>
          <w:color w:val="231F20"/>
          <w:spacing w:val="-4"/>
        </w:rPr>
        <w:t>pétrole,</w:t>
      </w:r>
      <w:r>
        <w:rPr>
          <w:color w:val="231F20"/>
          <w:spacing w:val="-6"/>
        </w:rPr>
        <w:t> </w:t>
      </w:r>
      <w:r>
        <w:rPr>
          <w:color w:val="231F20"/>
          <w:spacing w:val="-4"/>
        </w:rPr>
        <w:t>du</w:t>
      </w:r>
      <w:r>
        <w:rPr>
          <w:color w:val="231F20"/>
          <w:spacing w:val="-9"/>
        </w:rPr>
        <w:t> </w:t>
      </w:r>
      <w:r>
        <w:rPr>
          <w:color w:val="231F20"/>
          <w:spacing w:val="-4"/>
        </w:rPr>
        <w:t>manganèse,</w:t>
      </w:r>
      <w:r>
        <w:rPr>
          <w:color w:val="231F20"/>
          <w:spacing w:val="-7"/>
        </w:rPr>
        <w:t> </w:t>
      </w:r>
      <w:r>
        <w:rPr>
          <w:color w:val="231F20"/>
          <w:spacing w:val="-4"/>
        </w:rPr>
        <w:t>du</w:t>
      </w:r>
      <w:r>
        <w:rPr>
          <w:color w:val="231F20"/>
          <w:spacing w:val="-7"/>
        </w:rPr>
        <w:t> </w:t>
      </w:r>
      <w:r>
        <w:rPr>
          <w:color w:val="231F20"/>
          <w:spacing w:val="-4"/>
        </w:rPr>
        <w:t>gaz,</w:t>
      </w:r>
      <w:r>
        <w:rPr>
          <w:color w:val="231F20"/>
          <w:spacing w:val="-6"/>
        </w:rPr>
        <w:t> </w:t>
      </w:r>
      <w:r>
        <w:rPr>
          <w:color w:val="231F20"/>
          <w:spacing w:val="-4"/>
        </w:rPr>
        <w:t>du</w:t>
      </w:r>
      <w:r>
        <w:rPr>
          <w:color w:val="231F20"/>
          <w:spacing w:val="-7"/>
        </w:rPr>
        <w:t> </w:t>
      </w:r>
      <w:r>
        <w:rPr>
          <w:color w:val="231F20"/>
          <w:spacing w:val="-4"/>
        </w:rPr>
        <w:t>fer,</w:t>
      </w:r>
      <w:r>
        <w:rPr>
          <w:color w:val="231F20"/>
          <w:spacing w:val="-7"/>
        </w:rPr>
        <w:t> </w:t>
      </w:r>
      <w:r>
        <w:rPr>
          <w:color w:val="231F20"/>
          <w:spacing w:val="-4"/>
        </w:rPr>
        <w:t>du</w:t>
      </w:r>
      <w:r>
        <w:rPr>
          <w:color w:val="231F20"/>
          <w:spacing w:val="-6"/>
        </w:rPr>
        <w:t> </w:t>
      </w:r>
      <w:r>
        <w:rPr>
          <w:color w:val="231F20"/>
          <w:spacing w:val="-4"/>
        </w:rPr>
        <w:t>bois</w:t>
      </w:r>
      <w:r>
        <w:rPr>
          <w:color w:val="231F20"/>
          <w:spacing w:val="-7"/>
        </w:rPr>
        <w:t> </w:t>
      </w:r>
      <w:r>
        <w:rPr>
          <w:color w:val="231F20"/>
          <w:spacing w:val="-4"/>
        </w:rPr>
        <w:t>et</w:t>
      </w:r>
      <w:r>
        <w:rPr>
          <w:color w:val="231F20"/>
          <w:spacing w:val="-9"/>
        </w:rPr>
        <w:t> </w:t>
      </w:r>
      <w:r>
        <w:rPr>
          <w:color w:val="231F20"/>
          <w:spacing w:val="-4"/>
        </w:rPr>
        <w:t>d’autres</w:t>
      </w:r>
      <w:r>
        <w:rPr>
          <w:color w:val="231F20"/>
          <w:spacing w:val="-6"/>
        </w:rPr>
        <w:t> </w:t>
      </w:r>
      <w:r>
        <w:rPr>
          <w:color w:val="231F20"/>
          <w:spacing w:val="-4"/>
        </w:rPr>
        <w:t>produits</w:t>
      </w:r>
    </w:p>
    <w:p>
      <w:pPr>
        <w:spacing w:after="0"/>
        <w:sectPr>
          <w:pgSz w:w="8790" w:h="13610"/>
          <w:pgMar w:header="0" w:footer="802" w:top="1060" w:bottom="1000" w:left="880" w:right="880"/>
        </w:sectPr>
      </w:pPr>
    </w:p>
    <w:p>
      <w:pPr>
        <w:pStyle w:val="BodyText"/>
        <w:spacing w:before="66"/>
        <w:ind w:right="105"/>
      </w:pPr>
      <w:r>
        <w:rPr>
          <w:color w:val="231F20"/>
        </w:rPr>
        <w:t>de son sol et de son sous-sol. Cependant, du fait de l’inégalité dans la </w:t>
      </w:r>
      <w:r>
        <w:rPr>
          <w:color w:val="231F20"/>
          <w:spacing w:val="-2"/>
        </w:rPr>
        <w:t>répartition</w:t>
      </w:r>
      <w:r>
        <w:rPr>
          <w:color w:val="231F20"/>
          <w:spacing w:val="-5"/>
        </w:rPr>
        <w:t> </w:t>
      </w:r>
      <w:r>
        <w:rPr>
          <w:color w:val="231F20"/>
          <w:spacing w:val="-2"/>
        </w:rPr>
        <w:t>des</w:t>
      </w:r>
      <w:r>
        <w:rPr>
          <w:color w:val="231F20"/>
          <w:spacing w:val="-5"/>
        </w:rPr>
        <w:t> </w:t>
      </w:r>
      <w:r>
        <w:rPr>
          <w:color w:val="231F20"/>
          <w:spacing w:val="-2"/>
        </w:rPr>
        <w:t>revenus,</w:t>
      </w:r>
      <w:r>
        <w:rPr>
          <w:color w:val="231F20"/>
          <w:spacing w:val="-5"/>
        </w:rPr>
        <w:t> </w:t>
      </w:r>
      <w:r>
        <w:rPr>
          <w:color w:val="231F20"/>
          <w:spacing w:val="-2"/>
        </w:rPr>
        <w:t>une</w:t>
      </w:r>
      <w:r>
        <w:rPr>
          <w:color w:val="231F20"/>
          <w:spacing w:val="-4"/>
        </w:rPr>
        <w:t> </w:t>
      </w:r>
      <w:r>
        <w:rPr>
          <w:color w:val="231F20"/>
          <w:spacing w:val="-2"/>
        </w:rPr>
        <w:t>proportion</w:t>
      </w:r>
      <w:r>
        <w:rPr>
          <w:color w:val="231F20"/>
          <w:spacing w:val="-5"/>
        </w:rPr>
        <w:t> </w:t>
      </w:r>
      <w:r>
        <w:rPr>
          <w:color w:val="231F20"/>
          <w:spacing w:val="-2"/>
        </w:rPr>
        <w:t>importante</w:t>
      </w:r>
      <w:r>
        <w:rPr>
          <w:color w:val="231F20"/>
          <w:spacing w:val="-9"/>
        </w:rPr>
        <w:t> </w:t>
      </w:r>
      <w:r>
        <w:rPr>
          <w:color w:val="231F20"/>
          <w:spacing w:val="-2"/>
        </w:rPr>
        <w:t>de</w:t>
      </w:r>
      <w:r>
        <w:rPr>
          <w:color w:val="231F20"/>
          <w:spacing w:val="-4"/>
        </w:rPr>
        <w:t> </w:t>
      </w:r>
      <w:r>
        <w:rPr>
          <w:color w:val="231F20"/>
          <w:spacing w:val="-2"/>
        </w:rPr>
        <w:t>la</w:t>
      </w:r>
      <w:r>
        <w:rPr>
          <w:color w:val="231F20"/>
          <w:spacing w:val="-6"/>
        </w:rPr>
        <w:t> </w:t>
      </w:r>
      <w:r>
        <w:rPr>
          <w:color w:val="231F20"/>
          <w:spacing w:val="-2"/>
        </w:rPr>
        <w:t>population</w:t>
      </w:r>
      <w:r>
        <w:rPr>
          <w:color w:val="231F20"/>
          <w:spacing w:val="-4"/>
        </w:rPr>
        <w:t> </w:t>
      </w:r>
      <w:r>
        <w:rPr>
          <w:color w:val="231F20"/>
          <w:spacing w:val="-2"/>
        </w:rPr>
        <w:t>reste pauvre.</w:t>
      </w:r>
    </w:p>
    <w:p>
      <w:pPr>
        <w:pStyle w:val="Heading3"/>
        <w:spacing w:before="119"/>
        <w:rPr>
          <w:rFonts w:ascii="Times New Roman" w:hAnsi="Times New Roman"/>
          <w:i w:val="0"/>
          <w:sz w:val="16"/>
        </w:rPr>
      </w:pPr>
      <w:r>
        <w:rPr>
          <w:i/>
          <w:color w:val="231F20"/>
          <w:spacing w:val="-2"/>
        </w:rPr>
        <w:t>La</w:t>
      </w:r>
      <w:r>
        <w:rPr>
          <w:i/>
          <w:color w:val="231F20"/>
          <w:spacing w:val="-8"/>
        </w:rPr>
        <w:t> </w:t>
      </w:r>
      <w:r>
        <w:rPr>
          <w:i/>
          <w:color w:val="231F20"/>
          <w:spacing w:val="-2"/>
        </w:rPr>
        <w:t>République</w:t>
      </w:r>
      <w:r>
        <w:rPr>
          <w:i/>
          <w:color w:val="231F20"/>
          <w:spacing w:val="-8"/>
        </w:rPr>
        <w:t> </w:t>
      </w:r>
      <w:r>
        <w:rPr>
          <w:i/>
          <w:color w:val="231F20"/>
          <w:spacing w:val="-2"/>
        </w:rPr>
        <w:t>du</w:t>
      </w:r>
      <w:r>
        <w:rPr>
          <w:i/>
          <w:color w:val="231F20"/>
          <w:spacing w:val="-7"/>
        </w:rPr>
        <w:t> </w:t>
      </w:r>
      <w:r>
        <w:rPr>
          <w:i/>
          <w:color w:val="231F20"/>
          <w:spacing w:val="-2"/>
        </w:rPr>
        <w:t>Tchad</w:t>
      </w:r>
      <w:r>
        <w:rPr>
          <w:rFonts w:ascii="Times New Roman" w:hAnsi="Times New Roman"/>
          <w:i w:val="0"/>
          <w:color w:val="231F20"/>
          <w:spacing w:val="-2"/>
          <w:position w:val="8"/>
          <w:sz w:val="16"/>
        </w:rPr>
        <w:t>71</w:t>
      </w:r>
    </w:p>
    <w:p>
      <w:pPr>
        <w:pStyle w:val="BodyText"/>
        <w:spacing w:before="256"/>
        <w:ind w:right="105" w:firstLine="283"/>
      </w:pPr>
      <w:r>
        <w:rPr>
          <w:color w:val="231F20"/>
        </w:rPr>
        <w:t>Depuis</w:t>
      </w:r>
      <w:r>
        <w:rPr>
          <w:color w:val="231F20"/>
          <w:spacing w:val="-13"/>
        </w:rPr>
        <w:t> </w:t>
      </w:r>
      <w:r>
        <w:rPr>
          <w:color w:val="231F20"/>
        </w:rPr>
        <w:t>son</w:t>
      </w:r>
      <w:r>
        <w:rPr>
          <w:color w:val="231F20"/>
          <w:spacing w:val="-13"/>
        </w:rPr>
        <w:t> </w:t>
      </w:r>
      <w:r>
        <w:rPr>
          <w:color w:val="231F20"/>
        </w:rPr>
        <w:t>indépendance,</w:t>
      </w:r>
      <w:r>
        <w:rPr>
          <w:color w:val="231F20"/>
          <w:spacing w:val="-12"/>
        </w:rPr>
        <w:t> </w:t>
      </w:r>
      <w:r>
        <w:rPr>
          <w:color w:val="231F20"/>
        </w:rPr>
        <w:t>le</w:t>
      </w:r>
      <w:r>
        <w:rPr>
          <w:color w:val="231F20"/>
          <w:spacing w:val="-14"/>
        </w:rPr>
        <w:t> </w:t>
      </w:r>
      <w:r>
        <w:rPr>
          <w:color w:val="231F20"/>
        </w:rPr>
        <w:t>Tchad</w:t>
      </w:r>
      <w:r>
        <w:rPr>
          <w:color w:val="231F20"/>
          <w:spacing w:val="-12"/>
        </w:rPr>
        <w:t> </w:t>
      </w:r>
      <w:r>
        <w:rPr>
          <w:color w:val="231F20"/>
        </w:rPr>
        <w:t>est</w:t>
      </w:r>
      <w:r>
        <w:rPr>
          <w:color w:val="231F20"/>
          <w:spacing w:val="-12"/>
        </w:rPr>
        <w:t> </w:t>
      </w:r>
      <w:r>
        <w:rPr>
          <w:color w:val="231F20"/>
        </w:rPr>
        <w:t>secoué</w:t>
      </w:r>
      <w:r>
        <w:rPr>
          <w:color w:val="231F20"/>
          <w:spacing w:val="-12"/>
        </w:rPr>
        <w:t> </w:t>
      </w:r>
      <w:r>
        <w:rPr>
          <w:color w:val="231F20"/>
        </w:rPr>
        <w:t>par</w:t>
      </w:r>
      <w:r>
        <w:rPr>
          <w:color w:val="231F20"/>
          <w:spacing w:val="-15"/>
        </w:rPr>
        <w:t> </w:t>
      </w:r>
      <w:r>
        <w:rPr>
          <w:color w:val="231F20"/>
        </w:rPr>
        <w:t>les</w:t>
      </w:r>
      <w:r>
        <w:rPr>
          <w:color w:val="231F20"/>
          <w:spacing w:val="-10"/>
        </w:rPr>
        <w:t> </w:t>
      </w:r>
      <w:r>
        <w:rPr>
          <w:color w:val="231F20"/>
        </w:rPr>
        <w:t>conflits</w:t>
      </w:r>
      <w:r>
        <w:rPr>
          <w:color w:val="231F20"/>
          <w:spacing w:val="-13"/>
        </w:rPr>
        <w:t> </w:t>
      </w:r>
      <w:r>
        <w:rPr>
          <w:color w:val="231F20"/>
        </w:rPr>
        <w:t>armés, ponctués</w:t>
      </w:r>
      <w:r>
        <w:rPr>
          <w:color w:val="231F20"/>
          <w:spacing w:val="-9"/>
        </w:rPr>
        <w:t> </w:t>
      </w:r>
      <w:r>
        <w:rPr>
          <w:color w:val="231F20"/>
        </w:rPr>
        <w:t>de</w:t>
      </w:r>
      <w:r>
        <w:rPr>
          <w:color w:val="231F20"/>
          <w:spacing w:val="-7"/>
        </w:rPr>
        <w:t> </w:t>
      </w:r>
      <w:r>
        <w:rPr>
          <w:color w:val="231F20"/>
        </w:rPr>
        <w:t>coups</w:t>
      </w:r>
      <w:r>
        <w:rPr>
          <w:color w:val="231F20"/>
          <w:spacing w:val="-9"/>
        </w:rPr>
        <w:t> </w:t>
      </w:r>
      <w:r>
        <w:rPr>
          <w:color w:val="231F20"/>
        </w:rPr>
        <w:t>d'État</w:t>
      </w:r>
      <w:r>
        <w:rPr>
          <w:color w:val="231F20"/>
          <w:spacing w:val="-9"/>
        </w:rPr>
        <w:t> </w:t>
      </w:r>
      <w:r>
        <w:rPr>
          <w:color w:val="231F20"/>
        </w:rPr>
        <w:t>et</w:t>
      </w:r>
      <w:r>
        <w:rPr>
          <w:color w:val="231F20"/>
          <w:spacing w:val="-7"/>
        </w:rPr>
        <w:t> </w:t>
      </w:r>
      <w:r>
        <w:rPr>
          <w:color w:val="231F20"/>
        </w:rPr>
        <w:t>d'interventions</w:t>
      </w:r>
      <w:r>
        <w:rPr>
          <w:color w:val="231F20"/>
          <w:spacing w:val="-9"/>
        </w:rPr>
        <w:t> </w:t>
      </w:r>
      <w:r>
        <w:rPr>
          <w:color w:val="231F20"/>
        </w:rPr>
        <w:t>de</w:t>
      </w:r>
      <w:r>
        <w:rPr>
          <w:color w:val="231F20"/>
          <w:spacing w:val="-7"/>
        </w:rPr>
        <w:t> </w:t>
      </w:r>
      <w:r>
        <w:rPr>
          <w:color w:val="231F20"/>
        </w:rPr>
        <w:t>l'Armée</w:t>
      </w:r>
      <w:r>
        <w:rPr>
          <w:color w:val="231F20"/>
          <w:spacing w:val="-7"/>
        </w:rPr>
        <w:t> </w:t>
      </w:r>
      <w:r>
        <w:rPr>
          <w:color w:val="231F20"/>
        </w:rPr>
        <w:t>française.</w:t>
      </w:r>
    </w:p>
    <w:p>
      <w:pPr>
        <w:pStyle w:val="BodyText"/>
        <w:spacing w:before="120"/>
        <w:ind w:right="104" w:firstLine="283"/>
      </w:pPr>
      <w:r>
        <w:rPr>
          <w:color w:val="231F20"/>
        </w:rPr>
        <w:t>Le Tchad est le cinquième pays le plus vaste d’Afrique après le Soudan,</w:t>
      </w:r>
      <w:r>
        <w:rPr>
          <w:color w:val="231F20"/>
          <w:spacing w:val="-15"/>
        </w:rPr>
        <w:t> </w:t>
      </w:r>
      <w:r>
        <w:rPr>
          <w:color w:val="231F20"/>
        </w:rPr>
        <w:t>l’Algérie,</w:t>
      </w:r>
      <w:r>
        <w:rPr>
          <w:color w:val="231F20"/>
          <w:spacing w:val="-15"/>
        </w:rPr>
        <w:t> </w:t>
      </w:r>
      <w:r>
        <w:rPr>
          <w:color w:val="231F20"/>
        </w:rPr>
        <w:t>la</w:t>
      </w:r>
      <w:r>
        <w:rPr>
          <w:color w:val="231F20"/>
          <w:spacing w:val="-15"/>
        </w:rPr>
        <w:t> </w:t>
      </w:r>
      <w:r>
        <w:rPr>
          <w:color w:val="231F20"/>
        </w:rPr>
        <w:t>République</w:t>
      </w:r>
      <w:r>
        <w:rPr>
          <w:color w:val="231F20"/>
          <w:spacing w:val="-15"/>
        </w:rPr>
        <w:t> </w:t>
      </w:r>
      <w:r>
        <w:rPr>
          <w:color w:val="231F20"/>
        </w:rPr>
        <w:t>Démocratique</w:t>
      </w:r>
      <w:r>
        <w:rPr>
          <w:color w:val="231F20"/>
          <w:spacing w:val="-15"/>
        </w:rPr>
        <w:t> </w:t>
      </w:r>
      <w:r>
        <w:rPr>
          <w:color w:val="231F20"/>
        </w:rPr>
        <w:t>du</w:t>
      </w:r>
      <w:r>
        <w:rPr>
          <w:color w:val="231F20"/>
          <w:spacing w:val="-15"/>
        </w:rPr>
        <w:t> </w:t>
      </w:r>
      <w:r>
        <w:rPr>
          <w:color w:val="231F20"/>
        </w:rPr>
        <w:t>Congo</w:t>
      </w:r>
      <w:r>
        <w:rPr>
          <w:color w:val="231F20"/>
          <w:spacing w:val="-15"/>
        </w:rPr>
        <w:t> </w:t>
      </w:r>
      <w:r>
        <w:rPr>
          <w:color w:val="231F20"/>
        </w:rPr>
        <w:t>et</w:t>
      </w:r>
      <w:r>
        <w:rPr>
          <w:color w:val="231F20"/>
          <w:spacing w:val="-15"/>
        </w:rPr>
        <w:t> </w:t>
      </w:r>
      <w:r>
        <w:rPr>
          <w:color w:val="231F20"/>
        </w:rPr>
        <w:t>la</w:t>
      </w:r>
      <w:r>
        <w:rPr>
          <w:color w:val="231F20"/>
          <w:spacing w:val="-15"/>
        </w:rPr>
        <w:t> </w:t>
      </w:r>
      <w:r>
        <w:rPr>
          <w:color w:val="231F20"/>
        </w:rPr>
        <w:t>Libye.</w:t>
      </w:r>
      <w:r>
        <w:rPr>
          <w:color w:val="231F20"/>
          <w:spacing w:val="-15"/>
        </w:rPr>
        <w:t> </w:t>
      </w:r>
      <w:r>
        <w:rPr>
          <w:color w:val="231F20"/>
        </w:rPr>
        <w:t>Il est</w:t>
      </w:r>
      <w:r>
        <w:rPr>
          <w:color w:val="231F20"/>
          <w:spacing w:val="-1"/>
        </w:rPr>
        <w:t> </w:t>
      </w:r>
      <w:r>
        <w:rPr>
          <w:color w:val="231F20"/>
        </w:rPr>
        <w:t>le</w:t>
      </w:r>
      <w:r>
        <w:rPr>
          <w:color w:val="231F20"/>
          <w:spacing w:val="-4"/>
        </w:rPr>
        <w:t> </w:t>
      </w:r>
      <w:r>
        <w:rPr>
          <w:color w:val="231F20"/>
        </w:rPr>
        <w:t>vingtième</w:t>
      </w:r>
      <w:r>
        <w:rPr>
          <w:color w:val="231F20"/>
          <w:spacing w:val="-3"/>
        </w:rPr>
        <w:t> </w:t>
      </w:r>
      <w:r>
        <w:rPr>
          <w:color w:val="231F20"/>
        </w:rPr>
        <w:t>pays</w:t>
      </w:r>
      <w:r>
        <w:rPr>
          <w:color w:val="231F20"/>
          <w:spacing w:val="-2"/>
        </w:rPr>
        <w:t> </w:t>
      </w:r>
      <w:r>
        <w:rPr>
          <w:color w:val="231F20"/>
        </w:rPr>
        <w:t>le</w:t>
      </w:r>
      <w:r>
        <w:rPr>
          <w:color w:val="231F20"/>
          <w:spacing w:val="-1"/>
        </w:rPr>
        <w:t> </w:t>
      </w:r>
      <w:r>
        <w:rPr>
          <w:color w:val="231F20"/>
        </w:rPr>
        <w:t>plus</w:t>
      </w:r>
      <w:r>
        <w:rPr>
          <w:color w:val="231F20"/>
          <w:spacing w:val="-4"/>
        </w:rPr>
        <w:t> </w:t>
      </w:r>
      <w:r>
        <w:rPr>
          <w:color w:val="231F20"/>
        </w:rPr>
        <w:t>vaste</w:t>
      </w:r>
      <w:r>
        <w:rPr>
          <w:color w:val="231F20"/>
          <w:spacing w:val="-1"/>
        </w:rPr>
        <w:t> </w:t>
      </w:r>
      <w:r>
        <w:rPr>
          <w:color w:val="231F20"/>
        </w:rPr>
        <w:t>au</w:t>
      </w:r>
      <w:r>
        <w:rPr>
          <w:color w:val="231F20"/>
          <w:spacing w:val="-1"/>
        </w:rPr>
        <w:t> </w:t>
      </w:r>
      <w:r>
        <w:rPr>
          <w:color w:val="231F20"/>
        </w:rPr>
        <w:t>monde</w:t>
      </w:r>
      <w:r>
        <w:rPr>
          <w:color w:val="231F20"/>
          <w:spacing w:val="-3"/>
        </w:rPr>
        <w:t> </w:t>
      </w:r>
      <w:r>
        <w:rPr>
          <w:color w:val="231F20"/>
        </w:rPr>
        <w:t>: 1</w:t>
      </w:r>
      <w:r>
        <w:rPr>
          <w:color w:val="231F20"/>
          <w:spacing w:val="-4"/>
        </w:rPr>
        <w:t> </w:t>
      </w:r>
      <w:r>
        <w:rPr>
          <w:color w:val="231F20"/>
        </w:rPr>
        <w:t>284</w:t>
      </w:r>
      <w:r>
        <w:rPr>
          <w:color w:val="231F20"/>
          <w:spacing w:val="-1"/>
        </w:rPr>
        <w:t> </w:t>
      </w:r>
      <w:r>
        <w:rPr>
          <w:color w:val="231F20"/>
        </w:rPr>
        <w:t>000</w:t>
      </w:r>
      <w:r>
        <w:rPr>
          <w:color w:val="231F20"/>
          <w:spacing w:val="-4"/>
        </w:rPr>
        <w:t> </w:t>
      </w:r>
      <w:r>
        <w:rPr>
          <w:color w:val="231F20"/>
        </w:rPr>
        <w:t>km2.</w:t>
      </w:r>
      <w:r>
        <w:rPr>
          <w:color w:val="231F20"/>
          <w:spacing w:val="-4"/>
        </w:rPr>
        <w:t> </w:t>
      </w:r>
      <w:r>
        <w:rPr>
          <w:color w:val="231F20"/>
        </w:rPr>
        <w:t>Situé</w:t>
      </w:r>
      <w:r>
        <w:rPr>
          <w:color w:val="231F20"/>
          <w:spacing w:val="-2"/>
        </w:rPr>
        <w:t> </w:t>
      </w:r>
      <w:r>
        <w:rPr>
          <w:color w:val="231F20"/>
        </w:rPr>
        <w:t>au Sud de la Libye, au Nord de la République Centrafricaine, à l’Est du </w:t>
      </w:r>
      <w:r>
        <w:rPr>
          <w:color w:val="231F20"/>
          <w:spacing w:val="-2"/>
        </w:rPr>
        <w:t>Niger,</w:t>
      </w:r>
      <w:r>
        <w:rPr>
          <w:color w:val="231F20"/>
          <w:spacing w:val="-15"/>
        </w:rPr>
        <w:t> </w:t>
      </w:r>
      <w:r>
        <w:rPr>
          <w:color w:val="231F20"/>
          <w:spacing w:val="-2"/>
        </w:rPr>
        <w:t>du</w:t>
      </w:r>
      <w:r>
        <w:rPr>
          <w:color w:val="231F20"/>
          <w:spacing w:val="-13"/>
        </w:rPr>
        <w:t> </w:t>
      </w:r>
      <w:r>
        <w:rPr>
          <w:color w:val="231F20"/>
          <w:spacing w:val="-2"/>
        </w:rPr>
        <w:t>Nigéria,</w:t>
      </w:r>
      <w:r>
        <w:rPr>
          <w:color w:val="231F20"/>
          <w:spacing w:val="-13"/>
        </w:rPr>
        <w:t> </w:t>
      </w:r>
      <w:r>
        <w:rPr>
          <w:color w:val="231F20"/>
          <w:spacing w:val="-2"/>
        </w:rPr>
        <w:t>du</w:t>
      </w:r>
      <w:r>
        <w:rPr>
          <w:color w:val="231F20"/>
          <w:spacing w:val="-13"/>
        </w:rPr>
        <w:t> </w:t>
      </w:r>
      <w:r>
        <w:rPr>
          <w:color w:val="231F20"/>
          <w:spacing w:val="-2"/>
        </w:rPr>
        <w:t>Cameroun</w:t>
      </w:r>
      <w:r>
        <w:rPr>
          <w:color w:val="231F20"/>
          <w:spacing w:val="-13"/>
        </w:rPr>
        <w:t> </w:t>
      </w:r>
      <w:r>
        <w:rPr>
          <w:color w:val="231F20"/>
          <w:spacing w:val="-2"/>
        </w:rPr>
        <w:t>et</w:t>
      </w:r>
      <w:r>
        <w:rPr>
          <w:color w:val="231F20"/>
          <w:spacing w:val="-13"/>
        </w:rPr>
        <w:t> </w:t>
      </w:r>
      <w:r>
        <w:rPr>
          <w:color w:val="231F20"/>
          <w:spacing w:val="-2"/>
        </w:rPr>
        <w:t>à</w:t>
      </w:r>
      <w:r>
        <w:rPr>
          <w:color w:val="231F20"/>
          <w:spacing w:val="-13"/>
        </w:rPr>
        <w:t> </w:t>
      </w:r>
      <w:r>
        <w:rPr>
          <w:color w:val="231F20"/>
          <w:spacing w:val="-2"/>
        </w:rPr>
        <w:t>l’Ouest</w:t>
      </w:r>
      <w:r>
        <w:rPr>
          <w:color w:val="231F20"/>
          <w:spacing w:val="-13"/>
        </w:rPr>
        <w:t> </w:t>
      </w:r>
      <w:r>
        <w:rPr>
          <w:color w:val="231F20"/>
          <w:spacing w:val="-2"/>
        </w:rPr>
        <w:t>du</w:t>
      </w:r>
      <w:r>
        <w:rPr>
          <w:color w:val="231F20"/>
          <w:spacing w:val="-13"/>
        </w:rPr>
        <w:t> </w:t>
      </w:r>
      <w:r>
        <w:rPr>
          <w:color w:val="231F20"/>
          <w:spacing w:val="-2"/>
        </w:rPr>
        <w:t>Soudan,</w:t>
      </w:r>
      <w:r>
        <w:rPr>
          <w:color w:val="231F20"/>
          <w:spacing w:val="-13"/>
        </w:rPr>
        <w:t> </w:t>
      </w:r>
      <w:r>
        <w:rPr>
          <w:color w:val="231F20"/>
          <w:spacing w:val="-2"/>
        </w:rPr>
        <w:t>le</w:t>
      </w:r>
      <w:r>
        <w:rPr>
          <w:color w:val="231F20"/>
          <w:spacing w:val="-13"/>
        </w:rPr>
        <w:t> </w:t>
      </w:r>
      <w:r>
        <w:rPr>
          <w:color w:val="231F20"/>
          <w:spacing w:val="-2"/>
        </w:rPr>
        <w:t>pays</w:t>
      </w:r>
      <w:r>
        <w:rPr>
          <w:color w:val="231F20"/>
          <w:spacing w:val="-13"/>
        </w:rPr>
        <w:t> </w:t>
      </w:r>
      <w:r>
        <w:rPr>
          <w:color w:val="231F20"/>
          <w:spacing w:val="-2"/>
        </w:rPr>
        <w:t>constitue </w:t>
      </w:r>
      <w:r>
        <w:rPr>
          <w:color w:val="231F20"/>
        </w:rPr>
        <w:t>un</w:t>
      </w:r>
      <w:r>
        <w:rPr>
          <w:color w:val="231F20"/>
          <w:spacing w:val="-9"/>
        </w:rPr>
        <w:t> </w:t>
      </w:r>
      <w:r>
        <w:rPr>
          <w:color w:val="231F20"/>
        </w:rPr>
        <w:t>carrefour</w:t>
      </w:r>
      <w:r>
        <w:rPr>
          <w:color w:val="231F20"/>
          <w:spacing w:val="-9"/>
        </w:rPr>
        <w:t> </w:t>
      </w:r>
      <w:r>
        <w:rPr>
          <w:color w:val="231F20"/>
        </w:rPr>
        <w:t>de</w:t>
      </w:r>
      <w:r>
        <w:rPr>
          <w:color w:val="231F20"/>
          <w:spacing w:val="-9"/>
        </w:rPr>
        <w:t> </w:t>
      </w:r>
      <w:r>
        <w:rPr>
          <w:color w:val="231F20"/>
        </w:rPr>
        <w:t>civilisations</w:t>
      </w:r>
      <w:r>
        <w:rPr>
          <w:color w:val="231F20"/>
          <w:spacing w:val="-9"/>
        </w:rPr>
        <w:t> </w:t>
      </w:r>
      <w:r>
        <w:rPr>
          <w:color w:val="231F20"/>
        </w:rPr>
        <w:t>entre</w:t>
      </w:r>
      <w:r>
        <w:rPr>
          <w:color w:val="231F20"/>
          <w:spacing w:val="-11"/>
        </w:rPr>
        <w:t> </w:t>
      </w:r>
      <w:r>
        <w:rPr>
          <w:color w:val="231F20"/>
        </w:rPr>
        <w:t>l’Afrique</w:t>
      </w:r>
      <w:r>
        <w:rPr>
          <w:color w:val="231F20"/>
          <w:spacing w:val="-9"/>
        </w:rPr>
        <w:t> </w:t>
      </w:r>
      <w:r>
        <w:rPr>
          <w:color w:val="231F20"/>
        </w:rPr>
        <w:t>Arabe</w:t>
      </w:r>
      <w:r>
        <w:rPr>
          <w:color w:val="231F20"/>
          <w:spacing w:val="-9"/>
        </w:rPr>
        <w:t> </w:t>
      </w:r>
      <w:r>
        <w:rPr>
          <w:color w:val="231F20"/>
        </w:rPr>
        <w:t>et</w:t>
      </w:r>
      <w:r>
        <w:rPr>
          <w:color w:val="231F20"/>
          <w:spacing w:val="-8"/>
        </w:rPr>
        <w:t> </w:t>
      </w:r>
      <w:r>
        <w:rPr>
          <w:color w:val="231F20"/>
        </w:rPr>
        <w:t>l’Afrique</w:t>
      </w:r>
      <w:r>
        <w:rPr>
          <w:color w:val="231F20"/>
          <w:spacing w:val="-10"/>
        </w:rPr>
        <w:t> </w:t>
      </w:r>
      <w:r>
        <w:rPr>
          <w:color w:val="231F20"/>
        </w:rPr>
        <w:t>Noire.</w:t>
      </w:r>
    </w:p>
    <w:p>
      <w:pPr>
        <w:pStyle w:val="BodyText"/>
        <w:spacing w:before="121"/>
        <w:ind w:right="104" w:firstLine="283"/>
      </w:pPr>
      <w:r>
        <w:rPr>
          <w:color w:val="231F20"/>
        </w:rPr>
        <w:t>Le</w:t>
      </w:r>
      <w:r>
        <w:rPr>
          <w:color w:val="231F20"/>
          <w:spacing w:val="-9"/>
        </w:rPr>
        <w:t> </w:t>
      </w:r>
      <w:r>
        <w:rPr>
          <w:color w:val="231F20"/>
        </w:rPr>
        <w:t>Nord</w:t>
      </w:r>
      <w:r>
        <w:rPr>
          <w:color w:val="231F20"/>
          <w:spacing w:val="-8"/>
        </w:rPr>
        <w:t> </w:t>
      </w:r>
      <w:r>
        <w:rPr>
          <w:color w:val="231F20"/>
        </w:rPr>
        <w:t>et</w:t>
      </w:r>
      <w:r>
        <w:rPr>
          <w:color w:val="231F20"/>
          <w:spacing w:val="-11"/>
        </w:rPr>
        <w:t> </w:t>
      </w:r>
      <w:r>
        <w:rPr>
          <w:color w:val="231F20"/>
        </w:rPr>
        <w:t>l'Est</w:t>
      </w:r>
      <w:r>
        <w:rPr>
          <w:color w:val="231F20"/>
          <w:spacing w:val="-8"/>
        </w:rPr>
        <w:t> </w:t>
      </w:r>
      <w:r>
        <w:rPr>
          <w:color w:val="231F20"/>
        </w:rPr>
        <w:t>formées</w:t>
      </w:r>
      <w:r>
        <w:rPr>
          <w:color w:val="231F20"/>
          <w:spacing w:val="-11"/>
        </w:rPr>
        <w:t> </w:t>
      </w:r>
      <w:r>
        <w:rPr>
          <w:color w:val="231F20"/>
        </w:rPr>
        <w:t>de</w:t>
      </w:r>
      <w:r>
        <w:rPr>
          <w:color w:val="231F20"/>
          <w:spacing w:val="-9"/>
        </w:rPr>
        <w:t> </w:t>
      </w:r>
      <w:r>
        <w:rPr>
          <w:color w:val="231F20"/>
        </w:rPr>
        <w:t>grands</w:t>
      </w:r>
      <w:r>
        <w:rPr>
          <w:color w:val="231F20"/>
          <w:spacing w:val="-11"/>
        </w:rPr>
        <w:t> </w:t>
      </w:r>
      <w:r>
        <w:rPr>
          <w:color w:val="231F20"/>
        </w:rPr>
        <w:t>sultanats</w:t>
      </w:r>
      <w:r>
        <w:rPr>
          <w:color w:val="231F20"/>
          <w:spacing w:val="-11"/>
        </w:rPr>
        <w:t> </w:t>
      </w:r>
      <w:r>
        <w:rPr>
          <w:color w:val="231F20"/>
        </w:rPr>
        <w:t>(le</w:t>
      </w:r>
      <w:r>
        <w:rPr>
          <w:color w:val="231F20"/>
          <w:spacing w:val="-11"/>
        </w:rPr>
        <w:t> </w:t>
      </w:r>
      <w:r>
        <w:rPr>
          <w:color w:val="231F20"/>
        </w:rPr>
        <w:t>puissant</w:t>
      </w:r>
      <w:r>
        <w:rPr>
          <w:color w:val="231F20"/>
          <w:spacing w:val="-8"/>
        </w:rPr>
        <w:t> </w:t>
      </w:r>
      <w:r>
        <w:rPr>
          <w:color w:val="231F20"/>
        </w:rPr>
        <w:t>royaume</w:t>
      </w:r>
      <w:r>
        <w:rPr>
          <w:color w:val="231F20"/>
          <w:spacing w:val="-12"/>
        </w:rPr>
        <w:t> </w:t>
      </w:r>
      <w:r>
        <w:rPr>
          <w:color w:val="231F20"/>
        </w:rPr>
        <w:t>du Kanem-</w:t>
      </w:r>
      <w:r>
        <w:rPr>
          <w:color w:val="231F20"/>
          <w:spacing w:val="-2"/>
        </w:rPr>
        <w:t> </w:t>
      </w:r>
      <w:r>
        <w:rPr>
          <w:color w:val="231F20"/>
        </w:rPr>
        <w:t>Bornou,</w:t>
      </w:r>
      <w:r>
        <w:rPr>
          <w:color w:val="231F20"/>
          <w:spacing w:val="-4"/>
        </w:rPr>
        <w:t> </w:t>
      </w:r>
      <w:r>
        <w:rPr>
          <w:color w:val="231F20"/>
        </w:rPr>
        <w:t>le</w:t>
      </w:r>
      <w:r>
        <w:rPr>
          <w:color w:val="231F20"/>
          <w:spacing w:val="-2"/>
        </w:rPr>
        <w:t> </w:t>
      </w:r>
      <w:r>
        <w:rPr>
          <w:color w:val="231F20"/>
        </w:rPr>
        <w:t>royaume</w:t>
      </w:r>
      <w:r>
        <w:rPr>
          <w:color w:val="231F20"/>
          <w:spacing w:val="-2"/>
        </w:rPr>
        <w:t> </w:t>
      </w:r>
      <w:r>
        <w:rPr>
          <w:color w:val="231F20"/>
        </w:rPr>
        <w:t>du Ouaddaï</w:t>
      </w:r>
      <w:r>
        <w:rPr>
          <w:color w:val="231F20"/>
          <w:spacing w:val="-4"/>
        </w:rPr>
        <w:t> </w:t>
      </w:r>
      <w:r>
        <w:rPr>
          <w:color w:val="231F20"/>
        </w:rPr>
        <w:t>;</w:t>
      </w:r>
      <w:r>
        <w:rPr>
          <w:color w:val="231F20"/>
          <w:spacing w:val="-3"/>
        </w:rPr>
        <w:t> </w:t>
      </w:r>
      <w:r>
        <w:rPr>
          <w:color w:val="231F20"/>
        </w:rPr>
        <w:t>le</w:t>
      </w:r>
      <w:r>
        <w:rPr>
          <w:color w:val="231F20"/>
          <w:spacing w:val="-2"/>
        </w:rPr>
        <w:t> </w:t>
      </w:r>
      <w:r>
        <w:rPr>
          <w:color w:val="231F20"/>
        </w:rPr>
        <w:t>royaume</w:t>
      </w:r>
      <w:r>
        <w:rPr>
          <w:color w:val="231F20"/>
          <w:spacing w:val="-2"/>
        </w:rPr>
        <w:t> </w:t>
      </w:r>
      <w:r>
        <w:rPr>
          <w:color w:val="231F20"/>
        </w:rPr>
        <w:t>du</w:t>
      </w:r>
      <w:r>
        <w:rPr>
          <w:color w:val="231F20"/>
          <w:spacing w:val="-4"/>
        </w:rPr>
        <w:t> </w:t>
      </w:r>
      <w:r>
        <w:rPr>
          <w:color w:val="231F20"/>
        </w:rPr>
        <w:t>Baguirmi</w:t>
      </w:r>
      <w:r>
        <w:rPr>
          <w:color w:val="231F20"/>
          <w:spacing w:val="-1"/>
        </w:rPr>
        <w:t> </w:t>
      </w:r>
      <w:r>
        <w:rPr>
          <w:color w:val="231F20"/>
        </w:rPr>
        <w:t>,</w:t>
      </w:r>
      <w:r>
        <w:rPr>
          <w:color w:val="231F20"/>
          <w:spacing w:val="-4"/>
        </w:rPr>
        <w:t> </w:t>
      </w:r>
      <w:r>
        <w:rPr>
          <w:color w:val="231F20"/>
        </w:rPr>
        <w:t>le </w:t>
      </w:r>
      <w:r>
        <w:rPr>
          <w:color w:val="231F20"/>
          <w:spacing w:val="-2"/>
        </w:rPr>
        <w:t>royaume</w:t>
      </w:r>
      <w:r>
        <w:rPr>
          <w:color w:val="231F20"/>
          <w:spacing w:val="-11"/>
        </w:rPr>
        <w:t> </w:t>
      </w:r>
      <w:r>
        <w:rPr>
          <w:color w:val="231F20"/>
          <w:spacing w:val="-2"/>
        </w:rPr>
        <w:t>Bilala</w:t>
      </w:r>
      <w:r>
        <w:rPr>
          <w:color w:val="231F20"/>
          <w:spacing w:val="-8"/>
        </w:rPr>
        <w:t> </w:t>
      </w:r>
      <w:r>
        <w:rPr>
          <w:color w:val="231F20"/>
          <w:spacing w:val="-2"/>
        </w:rPr>
        <w:t>de</w:t>
      </w:r>
      <w:r>
        <w:rPr>
          <w:color w:val="231F20"/>
          <w:spacing w:val="-11"/>
        </w:rPr>
        <w:t> </w:t>
      </w:r>
      <w:r>
        <w:rPr>
          <w:color w:val="231F20"/>
          <w:spacing w:val="-2"/>
        </w:rPr>
        <w:t>Yao-Fitri,</w:t>
      </w:r>
      <w:r>
        <w:rPr>
          <w:color w:val="231F20"/>
          <w:spacing w:val="-11"/>
        </w:rPr>
        <w:t> </w:t>
      </w:r>
      <w:r>
        <w:rPr>
          <w:color w:val="231F20"/>
          <w:spacing w:val="-2"/>
        </w:rPr>
        <w:t>le</w:t>
      </w:r>
      <w:r>
        <w:rPr>
          <w:color w:val="231F20"/>
          <w:spacing w:val="-9"/>
        </w:rPr>
        <w:t> </w:t>
      </w:r>
      <w:r>
        <w:rPr>
          <w:color w:val="231F20"/>
          <w:spacing w:val="-2"/>
        </w:rPr>
        <w:t>royaume</w:t>
      </w:r>
      <w:r>
        <w:rPr>
          <w:color w:val="231F20"/>
          <w:spacing w:val="-11"/>
        </w:rPr>
        <w:t> </w:t>
      </w:r>
      <w:r>
        <w:rPr>
          <w:color w:val="231F20"/>
          <w:spacing w:val="-2"/>
        </w:rPr>
        <w:t>Moundang</w:t>
      </w:r>
      <w:r>
        <w:rPr>
          <w:color w:val="231F20"/>
          <w:spacing w:val="-10"/>
        </w:rPr>
        <w:t> </w:t>
      </w:r>
      <w:r>
        <w:rPr>
          <w:color w:val="231F20"/>
          <w:spacing w:val="-2"/>
        </w:rPr>
        <w:t>de</w:t>
      </w:r>
      <w:r>
        <w:rPr>
          <w:color w:val="231F20"/>
          <w:spacing w:val="-8"/>
        </w:rPr>
        <w:t> </w:t>
      </w:r>
      <w:r>
        <w:rPr>
          <w:color w:val="231F20"/>
          <w:spacing w:val="-2"/>
        </w:rPr>
        <w:t>Léré,</w:t>
      </w:r>
      <w:r>
        <w:rPr>
          <w:color w:val="231F20"/>
          <w:spacing w:val="-10"/>
        </w:rPr>
        <w:t> </w:t>
      </w:r>
      <w:r>
        <w:rPr>
          <w:color w:val="231F20"/>
          <w:spacing w:val="-2"/>
        </w:rPr>
        <w:t>le</w:t>
      </w:r>
      <w:r>
        <w:rPr>
          <w:color w:val="231F20"/>
          <w:spacing w:val="-8"/>
        </w:rPr>
        <w:t> </w:t>
      </w:r>
      <w:r>
        <w:rPr>
          <w:color w:val="231F20"/>
          <w:spacing w:val="-2"/>
        </w:rPr>
        <w:t>royaume </w:t>
      </w:r>
      <w:r>
        <w:rPr>
          <w:color w:val="231F20"/>
        </w:rPr>
        <w:t>Toupouri de Doré ou encore, le royaume Kenga de Mataya) se sont opposé</w:t>
      </w:r>
      <w:r>
        <w:rPr>
          <w:color w:val="231F20"/>
          <w:spacing w:val="-3"/>
        </w:rPr>
        <w:t> </w:t>
      </w:r>
      <w:r>
        <w:rPr>
          <w:color w:val="231F20"/>
        </w:rPr>
        <w:t>pendant 17</w:t>
      </w:r>
      <w:r>
        <w:rPr>
          <w:color w:val="231F20"/>
          <w:spacing w:val="-3"/>
        </w:rPr>
        <w:t> </w:t>
      </w:r>
      <w:r>
        <w:rPr>
          <w:color w:val="231F20"/>
        </w:rPr>
        <w:t>ans à</w:t>
      </w:r>
      <w:r>
        <w:rPr>
          <w:color w:val="231F20"/>
          <w:spacing w:val="-3"/>
        </w:rPr>
        <w:t> </w:t>
      </w:r>
      <w:r>
        <w:rPr>
          <w:color w:val="231F20"/>
        </w:rPr>
        <w:t>la</w:t>
      </w:r>
      <w:r>
        <w:rPr>
          <w:color w:val="231F20"/>
          <w:spacing w:val="-2"/>
        </w:rPr>
        <w:t> </w:t>
      </w:r>
      <w:r>
        <w:rPr>
          <w:color w:val="231F20"/>
        </w:rPr>
        <w:t>pénétration</w:t>
      </w:r>
      <w:r>
        <w:rPr>
          <w:color w:val="231F20"/>
          <w:spacing w:val="-3"/>
        </w:rPr>
        <w:t> </w:t>
      </w:r>
      <w:r>
        <w:rPr>
          <w:color w:val="231F20"/>
        </w:rPr>
        <w:t>des Français.</w:t>
      </w:r>
    </w:p>
    <w:p>
      <w:pPr>
        <w:pStyle w:val="BodyText"/>
        <w:spacing w:before="120"/>
        <w:ind w:right="108" w:firstLine="283"/>
      </w:pPr>
      <w:r>
        <w:rPr>
          <w:color w:val="231F20"/>
        </w:rPr>
        <w:t>Maîtres</w:t>
      </w:r>
      <w:r>
        <w:rPr>
          <w:color w:val="231F20"/>
          <w:spacing w:val="-10"/>
        </w:rPr>
        <w:t> </w:t>
      </w:r>
      <w:r>
        <w:rPr>
          <w:color w:val="231F20"/>
        </w:rPr>
        <w:t>absolus</w:t>
      </w:r>
      <w:r>
        <w:rPr>
          <w:color w:val="231F20"/>
          <w:spacing w:val="-8"/>
        </w:rPr>
        <w:t> </w:t>
      </w:r>
      <w:r>
        <w:rPr>
          <w:color w:val="231F20"/>
        </w:rPr>
        <w:t>pendant</w:t>
      </w:r>
      <w:r>
        <w:rPr>
          <w:color w:val="231F20"/>
          <w:spacing w:val="-10"/>
        </w:rPr>
        <w:t> </w:t>
      </w:r>
      <w:r>
        <w:rPr>
          <w:color w:val="231F20"/>
        </w:rPr>
        <w:t>des</w:t>
      </w:r>
      <w:r>
        <w:rPr>
          <w:color w:val="231F20"/>
          <w:spacing w:val="-10"/>
        </w:rPr>
        <w:t> </w:t>
      </w:r>
      <w:r>
        <w:rPr>
          <w:color w:val="231F20"/>
        </w:rPr>
        <w:t>siècles</w:t>
      </w:r>
      <w:r>
        <w:rPr>
          <w:color w:val="231F20"/>
          <w:spacing w:val="-11"/>
        </w:rPr>
        <w:t> </w:t>
      </w:r>
      <w:r>
        <w:rPr>
          <w:color w:val="231F20"/>
        </w:rPr>
        <w:t>sur</w:t>
      </w:r>
      <w:r>
        <w:rPr>
          <w:color w:val="231F20"/>
          <w:spacing w:val="-10"/>
        </w:rPr>
        <w:t> </w:t>
      </w:r>
      <w:r>
        <w:rPr>
          <w:color w:val="231F20"/>
        </w:rPr>
        <w:t>ce</w:t>
      </w:r>
      <w:r>
        <w:rPr>
          <w:color w:val="231F20"/>
          <w:spacing w:val="-10"/>
        </w:rPr>
        <w:t> </w:t>
      </w:r>
      <w:r>
        <w:rPr>
          <w:color w:val="231F20"/>
        </w:rPr>
        <w:t>vaste</w:t>
      </w:r>
      <w:r>
        <w:rPr>
          <w:color w:val="231F20"/>
          <w:spacing w:val="-10"/>
        </w:rPr>
        <w:t> </w:t>
      </w:r>
      <w:r>
        <w:rPr>
          <w:color w:val="231F20"/>
        </w:rPr>
        <w:t>territoire,</w:t>
      </w:r>
      <w:r>
        <w:rPr>
          <w:color w:val="231F20"/>
          <w:spacing w:val="-10"/>
        </w:rPr>
        <w:t> </w:t>
      </w:r>
      <w:r>
        <w:rPr>
          <w:color w:val="231F20"/>
        </w:rPr>
        <w:t>les</w:t>
      </w:r>
      <w:r>
        <w:rPr>
          <w:color w:val="231F20"/>
          <w:spacing w:val="-9"/>
        </w:rPr>
        <w:t> </w:t>
      </w:r>
      <w:r>
        <w:rPr>
          <w:color w:val="231F20"/>
        </w:rPr>
        <w:t>grands sultanats</w:t>
      </w:r>
      <w:r>
        <w:rPr>
          <w:color w:val="231F20"/>
          <w:spacing w:val="-13"/>
        </w:rPr>
        <w:t> </w:t>
      </w:r>
      <w:r>
        <w:rPr>
          <w:color w:val="231F20"/>
        </w:rPr>
        <w:t>du</w:t>
      </w:r>
      <w:r>
        <w:rPr>
          <w:color w:val="231F20"/>
          <w:spacing w:val="-13"/>
        </w:rPr>
        <w:t> </w:t>
      </w:r>
      <w:r>
        <w:rPr>
          <w:color w:val="231F20"/>
        </w:rPr>
        <w:t>Nord</w:t>
      </w:r>
      <w:r>
        <w:rPr>
          <w:color w:val="231F20"/>
          <w:spacing w:val="-13"/>
        </w:rPr>
        <w:t> </w:t>
      </w:r>
      <w:r>
        <w:rPr>
          <w:color w:val="231F20"/>
        </w:rPr>
        <w:t>pratiquent</w:t>
      </w:r>
      <w:r>
        <w:rPr>
          <w:color w:val="231F20"/>
          <w:spacing w:val="-10"/>
        </w:rPr>
        <w:t> </w:t>
      </w:r>
      <w:r>
        <w:rPr>
          <w:color w:val="231F20"/>
        </w:rPr>
        <w:t>l’élevage,</w:t>
      </w:r>
      <w:r>
        <w:rPr>
          <w:color w:val="231F20"/>
          <w:spacing w:val="-13"/>
        </w:rPr>
        <w:t> </w:t>
      </w:r>
      <w:r>
        <w:rPr>
          <w:color w:val="231F20"/>
        </w:rPr>
        <w:t>la</w:t>
      </w:r>
      <w:r>
        <w:rPr>
          <w:color w:val="231F20"/>
          <w:spacing w:val="-13"/>
        </w:rPr>
        <w:t> </w:t>
      </w:r>
      <w:r>
        <w:rPr>
          <w:color w:val="231F20"/>
        </w:rPr>
        <w:t>pêche,</w:t>
      </w:r>
      <w:r>
        <w:rPr>
          <w:color w:val="231F20"/>
          <w:spacing w:val="-13"/>
        </w:rPr>
        <w:t> </w:t>
      </w:r>
      <w:r>
        <w:rPr>
          <w:color w:val="231F20"/>
        </w:rPr>
        <w:t>la</w:t>
      </w:r>
      <w:r>
        <w:rPr>
          <w:color w:val="231F20"/>
          <w:spacing w:val="-11"/>
        </w:rPr>
        <w:t> </w:t>
      </w:r>
      <w:r>
        <w:rPr>
          <w:color w:val="231F20"/>
        </w:rPr>
        <w:t>chasse</w:t>
      </w:r>
      <w:r>
        <w:rPr>
          <w:color w:val="231F20"/>
          <w:spacing w:val="-11"/>
        </w:rPr>
        <w:t> </w:t>
      </w:r>
      <w:r>
        <w:rPr>
          <w:color w:val="231F20"/>
        </w:rPr>
        <w:t>et</w:t>
      </w:r>
      <w:r>
        <w:rPr>
          <w:color w:val="231F20"/>
          <w:spacing w:val="-10"/>
        </w:rPr>
        <w:t> </w:t>
      </w:r>
      <w:r>
        <w:rPr>
          <w:color w:val="231F20"/>
        </w:rPr>
        <w:t>des</w:t>
      </w:r>
      <w:r>
        <w:rPr>
          <w:color w:val="231F20"/>
          <w:spacing w:val="-11"/>
        </w:rPr>
        <w:t> </w:t>
      </w:r>
      <w:r>
        <w:rPr>
          <w:color w:val="231F20"/>
        </w:rPr>
        <w:t>razzias </w:t>
      </w:r>
      <w:r>
        <w:rPr>
          <w:color w:val="231F20"/>
          <w:spacing w:val="-4"/>
        </w:rPr>
        <w:t>esclavagistes</w:t>
      </w:r>
      <w:r>
        <w:rPr>
          <w:color w:val="231F20"/>
          <w:spacing w:val="-6"/>
        </w:rPr>
        <w:t> </w:t>
      </w:r>
      <w:r>
        <w:rPr>
          <w:color w:val="231F20"/>
          <w:spacing w:val="-4"/>
        </w:rPr>
        <w:t>dans</w:t>
      </w:r>
      <w:r>
        <w:rPr>
          <w:color w:val="231F20"/>
          <w:spacing w:val="-6"/>
        </w:rPr>
        <w:t> </w:t>
      </w:r>
      <w:r>
        <w:rPr>
          <w:color w:val="231F20"/>
          <w:spacing w:val="-4"/>
        </w:rPr>
        <w:t>le</w:t>
      </w:r>
      <w:r>
        <w:rPr>
          <w:color w:val="231F20"/>
          <w:spacing w:val="-10"/>
        </w:rPr>
        <w:t> </w:t>
      </w:r>
      <w:r>
        <w:rPr>
          <w:color w:val="231F20"/>
          <w:spacing w:val="-4"/>
        </w:rPr>
        <w:t>Sud</w:t>
      </w:r>
      <w:r>
        <w:rPr>
          <w:color w:val="231F20"/>
          <w:spacing w:val="-8"/>
        </w:rPr>
        <w:t> </w:t>
      </w:r>
      <w:r>
        <w:rPr>
          <w:color w:val="231F20"/>
          <w:spacing w:val="-4"/>
        </w:rPr>
        <w:t>Ces</w:t>
      </w:r>
      <w:r>
        <w:rPr>
          <w:color w:val="231F20"/>
          <w:spacing w:val="-6"/>
        </w:rPr>
        <w:t> </w:t>
      </w:r>
      <w:r>
        <w:rPr>
          <w:color w:val="231F20"/>
          <w:spacing w:val="-4"/>
        </w:rPr>
        <w:t>sultanats</w:t>
      </w:r>
      <w:r>
        <w:rPr>
          <w:color w:val="231F20"/>
          <w:spacing w:val="-6"/>
        </w:rPr>
        <w:t> </w:t>
      </w:r>
      <w:r>
        <w:rPr>
          <w:color w:val="231F20"/>
          <w:spacing w:val="-4"/>
        </w:rPr>
        <w:t>ont</w:t>
      </w:r>
      <w:r>
        <w:rPr>
          <w:color w:val="231F20"/>
          <w:spacing w:val="-6"/>
        </w:rPr>
        <w:t> </w:t>
      </w:r>
      <w:r>
        <w:rPr>
          <w:color w:val="231F20"/>
          <w:spacing w:val="-4"/>
        </w:rPr>
        <w:t>du</w:t>
      </w:r>
      <w:r>
        <w:rPr>
          <w:color w:val="231F20"/>
          <w:spacing w:val="-9"/>
        </w:rPr>
        <w:t> </w:t>
      </w:r>
      <w:r>
        <w:rPr>
          <w:color w:val="231F20"/>
          <w:spacing w:val="-4"/>
        </w:rPr>
        <w:t>mal</w:t>
      </w:r>
      <w:r>
        <w:rPr>
          <w:color w:val="231F20"/>
          <w:spacing w:val="-6"/>
        </w:rPr>
        <w:t> </w:t>
      </w:r>
      <w:r>
        <w:rPr>
          <w:color w:val="231F20"/>
          <w:spacing w:val="-4"/>
        </w:rPr>
        <w:t>à</w:t>
      </w:r>
      <w:r>
        <w:rPr>
          <w:color w:val="231F20"/>
          <w:spacing w:val="-10"/>
        </w:rPr>
        <w:t> </w:t>
      </w:r>
      <w:r>
        <w:rPr>
          <w:color w:val="231F20"/>
          <w:spacing w:val="-4"/>
        </w:rPr>
        <w:t>accepter</w:t>
      </w:r>
      <w:r>
        <w:rPr>
          <w:color w:val="231F20"/>
          <w:spacing w:val="-7"/>
        </w:rPr>
        <w:t> </w:t>
      </w:r>
      <w:r>
        <w:rPr>
          <w:color w:val="231F20"/>
          <w:spacing w:val="-4"/>
        </w:rPr>
        <w:t>l‘arrivée</w:t>
      </w:r>
      <w:r>
        <w:rPr>
          <w:color w:val="231F20"/>
          <w:spacing w:val="-7"/>
        </w:rPr>
        <w:t> </w:t>
      </w:r>
      <w:r>
        <w:rPr>
          <w:color w:val="231F20"/>
          <w:spacing w:val="-4"/>
        </w:rPr>
        <w:t>des </w:t>
      </w:r>
      <w:r>
        <w:rPr>
          <w:color w:val="231F20"/>
        </w:rPr>
        <w:t>français</w:t>
      </w:r>
      <w:r>
        <w:rPr>
          <w:color w:val="231F20"/>
          <w:spacing w:val="-2"/>
        </w:rPr>
        <w:t> </w:t>
      </w:r>
      <w:r>
        <w:rPr>
          <w:color w:val="231F20"/>
        </w:rPr>
        <w:t>et</w:t>
      </w:r>
      <w:r>
        <w:rPr>
          <w:color w:val="231F20"/>
          <w:spacing w:val="-3"/>
        </w:rPr>
        <w:t> </w:t>
      </w:r>
      <w:r>
        <w:rPr>
          <w:color w:val="231F20"/>
        </w:rPr>
        <w:t>leur</w:t>
      </w:r>
      <w:r>
        <w:rPr>
          <w:color w:val="231F20"/>
          <w:spacing w:val="-4"/>
        </w:rPr>
        <w:t> </w:t>
      </w:r>
      <w:r>
        <w:rPr>
          <w:color w:val="231F20"/>
        </w:rPr>
        <w:t>refusent</w:t>
      </w:r>
      <w:r>
        <w:rPr>
          <w:color w:val="231F20"/>
          <w:spacing w:val="-6"/>
        </w:rPr>
        <w:t> </w:t>
      </w:r>
      <w:r>
        <w:rPr>
          <w:color w:val="231F20"/>
        </w:rPr>
        <w:t>la</w:t>
      </w:r>
      <w:r>
        <w:rPr>
          <w:color w:val="231F20"/>
          <w:spacing w:val="-3"/>
        </w:rPr>
        <w:t> </w:t>
      </w:r>
      <w:r>
        <w:rPr>
          <w:color w:val="231F20"/>
        </w:rPr>
        <w:t>suprématie</w:t>
      </w:r>
      <w:r>
        <w:rPr>
          <w:color w:val="231F20"/>
          <w:spacing w:val="-5"/>
        </w:rPr>
        <w:t> </w:t>
      </w:r>
      <w:r>
        <w:rPr>
          <w:color w:val="231F20"/>
        </w:rPr>
        <w:t>sur</w:t>
      </w:r>
      <w:r>
        <w:rPr>
          <w:color w:val="231F20"/>
          <w:spacing w:val="-4"/>
        </w:rPr>
        <w:t> </w:t>
      </w:r>
      <w:r>
        <w:rPr>
          <w:color w:val="231F20"/>
        </w:rPr>
        <w:t>leur</w:t>
      </w:r>
      <w:r>
        <w:rPr>
          <w:color w:val="231F20"/>
          <w:spacing w:val="-4"/>
        </w:rPr>
        <w:t> </w:t>
      </w:r>
      <w:r>
        <w:rPr>
          <w:color w:val="231F20"/>
        </w:rPr>
        <w:t>territoire</w:t>
      </w:r>
      <w:r>
        <w:rPr>
          <w:color w:val="231F20"/>
          <w:spacing w:val="-3"/>
        </w:rPr>
        <w:t> </w:t>
      </w:r>
      <w:r>
        <w:rPr>
          <w:color w:val="231F20"/>
        </w:rPr>
        <w:t>du</w:t>
      </w:r>
      <w:r>
        <w:rPr>
          <w:color w:val="231F20"/>
          <w:spacing w:val="-3"/>
        </w:rPr>
        <w:t> </w:t>
      </w:r>
      <w:r>
        <w:rPr>
          <w:color w:val="231F20"/>
        </w:rPr>
        <w:t>Nord</w:t>
      </w:r>
      <w:r>
        <w:rPr>
          <w:color w:val="231F20"/>
          <w:spacing w:val="-4"/>
        </w:rPr>
        <w:t> </w:t>
      </w:r>
      <w:r>
        <w:rPr>
          <w:color w:val="231F20"/>
        </w:rPr>
        <w:t>et</w:t>
      </w:r>
      <w:r>
        <w:rPr>
          <w:color w:val="231F20"/>
          <w:spacing w:val="-4"/>
        </w:rPr>
        <w:t> </w:t>
      </w:r>
      <w:r>
        <w:rPr>
          <w:color w:val="231F20"/>
        </w:rPr>
        <w:t>leur terrain de chasse du sud.</w:t>
      </w:r>
    </w:p>
    <w:p>
      <w:pPr>
        <w:pStyle w:val="BodyText"/>
        <w:spacing w:before="120"/>
        <w:ind w:right="105" w:firstLine="283"/>
      </w:pPr>
      <w:r>
        <w:rPr>
          <w:color w:val="231F20"/>
        </w:rPr>
        <w:t>Mais</w:t>
      </w:r>
      <w:r>
        <w:rPr>
          <w:color w:val="231F20"/>
          <w:spacing w:val="-9"/>
        </w:rPr>
        <w:t> </w:t>
      </w:r>
      <w:r>
        <w:rPr>
          <w:color w:val="231F20"/>
        </w:rPr>
        <w:t>le</w:t>
      </w:r>
      <w:r>
        <w:rPr>
          <w:color w:val="231F20"/>
          <w:spacing w:val="-9"/>
        </w:rPr>
        <w:t> </w:t>
      </w:r>
      <w:r>
        <w:rPr>
          <w:color w:val="231F20"/>
        </w:rPr>
        <w:t>Kanem-Bornou,</w:t>
      </w:r>
      <w:r>
        <w:rPr>
          <w:color w:val="231F20"/>
          <w:spacing w:val="-9"/>
        </w:rPr>
        <w:t> </w:t>
      </w:r>
      <w:r>
        <w:rPr>
          <w:color w:val="231F20"/>
        </w:rPr>
        <w:t>le</w:t>
      </w:r>
      <w:r>
        <w:rPr>
          <w:color w:val="231F20"/>
          <w:spacing w:val="-9"/>
        </w:rPr>
        <w:t> </w:t>
      </w:r>
      <w:r>
        <w:rPr>
          <w:color w:val="231F20"/>
        </w:rPr>
        <w:t>plus</w:t>
      </w:r>
      <w:r>
        <w:rPr>
          <w:color w:val="231F20"/>
          <w:spacing w:val="-9"/>
        </w:rPr>
        <w:t> </w:t>
      </w:r>
      <w:r>
        <w:rPr>
          <w:color w:val="231F20"/>
        </w:rPr>
        <w:t>puissant</w:t>
      </w:r>
      <w:r>
        <w:rPr>
          <w:color w:val="231F20"/>
          <w:spacing w:val="-9"/>
        </w:rPr>
        <w:t> </w:t>
      </w:r>
      <w:r>
        <w:rPr>
          <w:color w:val="231F20"/>
        </w:rPr>
        <w:t>des</w:t>
      </w:r>
      <w:r>
        <w:rPr>
          <w:color w:val="231F20"/>
          <w:spacing w:val="-9"/>
        </w:rPr>
        <w:t> </w:t>
      </w:r>
      <w:r>
        <w:rPr>
          <w:color w:val="231F20"/>
        </w:rPr>
        <w:t>royaumes</w:t>
      </w:r>
      <w:r>
        <w:rPr>
          <w:color w:val="231F20"/>
          <w:spacing w:val="-9"/>
        </w:rPr>
        <w:t> </w:t>
      </w:r>
      <w:r>
        <w:rPr>
          <w:color w:val="231F20"/>
        </w:rPr>
        <w:t>du</w:t>
      </w:r>
      <w:r>
        <w:rPr>
          <w:color w:val="231F20"/>
          <w:spacing w:val="-9"/>
        </w:rPr>
        <w:t> </w:t>
      </w:r>
      <w:r>
        <w:rPr>
          <w:color w:val="231F20"/>
        </w:rPr>
        <w:t>Nord</w:t>
      </w:r>
      <w:r>
        <w:rPr>
          <w:color w:val="231F20"/>
          <w:spacing w:val="-9"/>
        </w:rPr>
        <w:t> </w:t>
      </w:r>
      <w:r>
        <w:rPr>
          <w:color w:val="231F20"/>
        </w:rPr>
        <w:t>dont </w:t>
      </w:r>
      <w:r>
        <w:rPr>
          <w:color w:val="231F20"/>
          <w:spacing w:val="-2"/>
        </w:rPr>
        <w:t>la</w:t>
      </w:r>
      <w:r>
        <w:rPr>
          <w:color w:val="231F20"/>
          <w:spacing w:val="-12"/>
        </w:rPr>
        <w:t> </w:t>
      </w:r>
      <w:r>
        <w:rPr>
          <w:color w:val="231F20"/>
          <w:spacing w:val="-2"/>
        </w:rPr>
        <w:t>prospérité</w:t>
      </w:r>
      <w:r>
        <w:rPr>
          <w:color w:val="231F20"/>
          <w:spacing w:val="-11"/>
        </w:rPr>
        <w:t> </w:t>
      </w:r>
      <w:r>
        <w:rPr>
          <w:color w:val="231F20"/>
          <w:spacing w:val="-2"/>
        </w:rPr>
        <w:t>est</w:t>
      </w:r>
      <w:r>
        <w:rPr>
          <w:color w:val="231F20"/>
          <w:spacing w:val="-11"/>
        </w:rPr>
        <w:t> </w:t>
      </w:r>
      <w:r>
        <w:rPr>
          <w:color w:val="231F20"/>
          <w:spacing w:val="-2"/>
        </w:rPr>
        <w:t>essentiellement</w:t>
      </w:r>
      <w:r>
        <w:rPr>
          <w:color w:val="231F20"/>
          <w:spacing w:val="-11"/>
        </w:rPr>
        <w:t> </w:t>
      </w:r>
      <w:r>
        <w:rPr>
          <w:color w:val="231F20"/>
          <w:spacing w:val="-2"/>
        </w:rPr>
        <w:t>basée</w:t>
      </w:r>
      <w:r>
        <w:rPr>
          <w:color w:val="231F20"/>
          <w:spacing w:val="-13"/>
        </w:rPr>
        <w:t> </w:t>
      </w:r>
      <w:r>
        <w:rPr>
          <w:color w:val="231F20"/>
          <w:spacing w:val="-2"/>
        </w:rPr>
        <w:t>sur</w:t>
      </w:r>
      <w:r>
        <w:rPr>
          <w:color w:val="231F20"/>
          <w:spacing w:val="-11"/>
        </w:rPr>
        <w:t> </w:t>
      </w:r>
      <w:r>
        <w:rPr>
          <w:color w:val="231F20"/>
          <w:spacing w:val="-2"/>
        </w:rPr>
        <w:t>le</w:t>
      </w:r>
      <w:r>
        <w:rPr>
          <w:color w:val="231F20"/>
          <w:spacing w:val="-13"/>
        </w:rPr>
        <w:t> </w:t>
      </w:r>
      <w:r>
        <w:rPr>
          <w:color w:val="231F20"/>
          <w:spacing w:val="-2"/>
        </w:rPr>
        <w:t>trafic</w:t>
      </w:r>
      <w:r>
        <w:rPr>
          <w:color w:val="231F20"/>
          <w:spacing w:val="-11"/>
        </w:rPr>
        <w:t> </w:t>
      </w:r>
      <w:r>
        <w:rPr>
          <w:color w:val="231F20"/>
          <w:spacing w:val="-2"/>
        </w:rPr>
        <w:t>des</w:t>
      </w:r>
      <w:r>
        <w:rPr>
          <w:color w:val="231F20"/>
          <w:spacing w:val="-11"/>
        </w:rPr>
        <w:t> </w:t>
      </w:r>
      <w:r>
        <w:rPr>
          <w:color w:val="231F20"/>
          <w:spacing w:val="-2"/>
        </w:rPr>
        <w:t>esclaves</w:t>
      </w:r>
      <w:r>
        <w:rPr>
          <w:color w:val="231F20"/>
          <w:spacing w:val="-12"/>
        </w:rPr>
        <w:t> </w:t>
      </w:r>
      <w:r>
        <w:rPr>
          <w:color w:val="231F20"/>
          <w:spacing w:val="-2"/>
        </w:rPr>
        <w:t>est</w:t>
      </w:r>
      <w:r>
        <w:rPr>
          <w:color w:val="231F20"/>
          <w:spacing w:val="-11"/>
        </w:rPr>
        <w:t> </w:t>
      </w:r>
      <w:r>
        <w:rPr>
          <w:color w:val="231F20"/>
          <w:spacing w:val="-2"/>
        </w:rPr>
        <w:t>écrasé </w:t>
      </w:r>
      <w:r>
        <w:rPr>
          <w:color w:val="231F20"/>
        </w:rPr>
        <w:t>par les troupes coloniales françaises en 1900.</w:t>
      </w:r>
    </w:p>
    <w:p>
      <w:pPr>
        <w:pStyle w:val="BodyText"/>
        <w:spacing w:before="120"/>
        <w:ind w:right="110" w:firstLine="283"/>
      </w:pPr>
      <w:r>
        <w:rPr>
          <w:color w:val="231F20"/>
        </w:rPr>
        <w:t>Le</w:t>
      </w:r>
      <w:r>
        <w:rPr>
          <w:color w:val="231F20"/>
          <w:spacing w:val="-15"/>
        </w:rPr>
        <w:t> </w:t>
      </w:r>
      <w:r>
        <w:rPr>
          <w:color w:val="231F20"/>
        </w:rPr>
        <w:t>22 avril 1900 marque donc, le début de la conquête du territoire Tchadien par l'Armée française.</w:t>
      </w:r>
    </w:p>
    <w:p>
      <w:pPr>
        <w:pStyle w:val="BodyText"/>
        <w:spacing w:before="120"/>
        <w:ind w:right="105" w:firstLine="283"/>
      </w:pPr>
      <w:r>
        <w:rPr>
          <w:color w:val="231F20"/>
        </w:rPr>
        <w:t>Le</w:t>
      </w:r>
      <w:r>
        <w:rPr>
          <w:color w:val="231F20"/>
          <w:spacing w:val="-5"/>
        </w:rPr>
        <w:t> </w:t>
      </w:r>
      <w:r>
        <w:rPr>
          <w:color w:val="231F20"/>
        </w:rPr>
        <w:t>Sud</w:t>
      </w:r>
      <w:r>
        <w:rPr>
          <w:color w:val="231F20"/>
          <w:spacing w:val="-4"/>
        </w:rPr>
        <w:t> </w:t>
      </w:r>
      <w:r>
        <w:rPr>
          <w:color w:val="231F20"/>
        </w:rPr>
        <w:t>est</w:t>
      </w:r>
      <w:r>
        <w:rPr>
          <w:color w:val="231F20"/>
          <w:spacing w:val="-4"/>
        </w:rPr>
        <w:t> </w:t>
      </w:r>
      <w:r>
        <w:rPr>
          <w:color w:val="231F20"/>
        </w:rPr>
        <w:t>peuplé</w:t>
      </w:r>
      <w:r>
        <w:rPr>
          <w:color w:val="231F20"/>
          <w:spacing w:val="-5"/>
        </w:rPr>
        <w:t> </w:t>
      </w:r>
      <w:r>
        <w:rPr>
          <w:color w:val="231F20"/>
        </w:rPr>
        <w:t>de</w:t>
      </w:r>
      <w:r>
        <w:rPr>
          <w:color w:val="231F20"/>
          <w:spacing w:val="-5"/>
        </w:rPr>
        <w:t> </w:t>
      </w:r>
      <w:r>
        <w:rPr>
          <w:color w:val="231F20"/>
        </w:rPr>
        <w:t>Noirs</w:t>
      </w:r>
      <w:r>
        <w:rPr>
          <w:color w:val="231F20"/>
          <w:spacing w:val="-4"/>
        </w:rPr>
        <w:t> </w:t>
      </w:r>
      <w:r>
        <w:rPr>
          <w:color w:val="231F20"/>
        </w:rPr>
        <w:t>animistes.</w:t>
      </w:r>
      <w:r>
        <w:rPr>
          <w:color w:val="231F20"/>
          <w:spacing w:val="-4"/>
        </w:rPr>
        <w:t> </w:t>
      </w:r>
      <w:r>
        <w:rPr>
          <w:color w:val="231F20"/>
        </w:rPr>
        <w:t>C’est</w:t>
      </w:r>
      <w:r>
        <w:rPr>
          <w:color w:val="231F20"/>
          <w:spacing w:val="-4"/>
        </w:rPr>
        <w:t> </w:t>
      </w:r>
      <w:r>
        <w:rPr>
          <w:color w:val="231F20"/>
        </w:rPr>
        <w:t>dans</w:t>
      </w:r>
      <w:r>
        <w:rPr>
          <w:color w:val="231F20"/>
          <w:spacing w:val="-4"/>
        </w:rPr>
        <w:t> </w:t>
      </w:r>
      <w:r>
        <w:rPr>
          <w:color w:val="231F20"/>
        </w:rPr>
        <w:t>cette</w:t>
      </w:r>
      <w:r>
        <w:rPr>
          <w:color w:val="231F20"/>
          <w:spacing w:val="-5"/>
        </w:rPr>
        <w:t> </w:t>
      </w:r>
      <w:r>
        <w:rPr>
          <w:color w:val="231F20"/>
        </w:rPr>
        <w:t>partie</w:t>
      </w:r>
      <w:r>
        <w:rPr>
          <w:color w:val="231F20"/>
          <w:spacing w:val="-5"/>
        </w:rPr>
        <w:t> </w:t>
      </w:r>
      <w:r>
        <w:rPr>
          <w:color w:val="231F20"/>
        </w:rPr>
        <w:t>que</w:t>
      </w:r>
      <w:r>
        <w:rPr>
          <w:color w:val="231F20"/>
          <w:spacing w:val="-4"/>
        </w:rPr>
        <w:t> </w:t>
      </w:r>
      <w:r>
        <w:rPr>
          <w:color w:val="231F20"/>
        </w:rPr>
        <w:t>les colons</w:t>
      </w:r>
      <w:r>
        <w:rPr>
          <w:color w:val="231F20"/>
          <w:spacing w:val="-8"/>
        </w:rPr>
        <w:t> </w:t>
      </w:r>
      <w:r>
        <w:rPr>
          <w:color w:val="231F20"/>
        </w:rPr>
        <w:t>s’installent</w:t>
      </w:r>
      <w:r>
        <w:rPr>
          <w:color w:val="231F20"/>
          <w:spacing w:val="-7"/>
        </w:rPr>
        <w:t> </w:t>
      </w:r>
      <w:r>
        <w:rPr>
          <w:color w:val="231F20"/>
        </w:rPr>
        <w:t>à</w:t>
      </w:r>
      <w:r>
        <w:rPr>
          <w:color w:val="231F20"/>
          <w:spacing w:val="-9"/>
        </w:rPr>
        <w:t> </w:t>
      </w:r>
      <w:r>
        <w:rPr>
          <w:color w:val="231F20"/>
        </w:rPr>
        <w:t>leur</w:t>
      </w:r>
      <w:r>
        <w:rPr>
          <w:color w:val="231F20"/>
          <w:spacing w:val="-9"/>
        </w:rPr>
        <w:t> </w:t>
      </w:r>
      <w:r>
        <w:rPr>
          <w:color w:val="231F20"/>
        </w:rPr>
        <w:t>arrivée</w:t>
      </w:r>
      <w:r>
        <w:rPr>
          <w:color w:val="231F20"/>
          <w:spacing w:val="-7"/>
        </w:rPr>
        <w:t> </w:t>
      </w:r>
      <w:r>
        <w:rPr>
          <w:color w:val="231F20"/>
        </w:rPr>
        <w:t>et</w:t>
      </w:r>
      <w:r>
        <w:rPr>
          <w:color w:val="231F20"/>
          <w:spacing w:val="-7"/>
        </w:rPr>
        <w:t> </w:t>
      </w:r>
      <w:r>
        <w:rPr>
          <w:color w:val="231F20"/>
        </w:rPr>
        <w:t>ouvrent</w:t>
      </w:r>
      <w:r>
        <w:rPr>
          <w:color w:val="231F20"/>
          <w:spacing w:val="-8"/>
        </w:rPr>
        <w:t> </w:t>
      </w:r>
      <w:r>
        <w:rPr>
          <w:color w:val="231F20"/>
        </w:rPr>
        <w:t>des</w:t>
      </w:r>
      <w:r>
        <w:rPr>
          <w:color w:val="231F20"/>
          <w:spacing w:val="-8"/>
        </w:rPr>
        <w:t> </w:t>
      </w:r>
      <w:r>
        <w:rPr>
          <w:color w:val="231F20"/>
        </w:rPr>
        <w:t>écoles</w:t>
      </w:r>
      <w:r>
        <w:rPr>
          <w:color w:val="231F20"/>
          <w:spacing w:val="-7"/>
        </w:rPr>
        <w:t> </w:t>
      </w:r>
      <w:r>
        <w:rPr>
          <w:color w:val="231F20"/>
        </w:rPr>
        <w:t>et</w:t>
      </w:r>
      <w:r>
        <w:rPr>
          <w:color w:val="231F20"/>
          <w:spacing w:val="-7"/>
        </w:rPr>
        <w:t> </w:t>
      </w:r>
      <w:r>
        <w:rPr>
          <w:color w:val="231F20"/>
        </w:rPr>
        <w:t>y</w:t>
      </w:r>
      <w:r>
        <w:rPr>
          <w:color w:val="231F20"/>
          <w:spacing w:val="-9"/>
        </w:rPr>
        <w:t> </w:t>
      </w:r>
      <w:r>
        <w:rPr>
          <w:color w:val="231F20"/>
        </w:rPr>
        <w:t>enseignent</w:t>
      </w:r>
      <w:r>
        <w:rPr>
          <w:color w:val="231F20"/>
          <w:spacing w:val="-8"/>
        </w:rPr>
        <w:t> </w:t>
      </w:r>
      <w:r>
        <w:rPr>
          <w:color w:val="231F20"/>
        </w:rPr>
        <w:t>la religion chrétienne. Les Sudistes sont formés dans les domaines de l’Administration et de l’Armée. Les grandes sociétés coloniales sont installées dans</w:t>
      </w:r>
      <w:r>
        <w:rPr>
          <w:color w:val="231F20"/>
          <w:spacing w:val="1"/>
        </w:rPr>
        <w:t> </w:t>
      </w:r>
      <w:r>
        <w:rPr>
          <w:color w:val="231F20"/>
        </w:rPr>
        <w:t>le</w:t>
      </w:r>
      <w:r>
        <w:rPr>
          <w:color w:val="231F20"/>
          <w:spacing w:val="1"/>
        </w:rPr>
        <w:t> </w:t>
      </w:r>
      <w:r>
        <w:rPr>
          <w:color w:val="231F20"/>
        </w:rPr>
        <w:t>Sud</w:t>
      </w:r>
      <w:r>
        <w:rPr>
          <w:color w:val="231F20"/>
          <w:spacing w:val="2"/>
        </w:rPr>
        <w:t> </w:t>
      </w:r>
      <w:r>
        <w:rPr>
          <w:color w:val="231F20"/>
        </w:rPr>
        <w:t>:</w:t>
      </w:r>
      <w:r>
        <w:rPr>
          <w:color w:val="231F20"/>
          <w:spacing w:val="2"/>
        </w:rPr>
        <w:t> </w:t>
      </w:r>
      <w:r>
        <w:rPr>
          <w:color w:val="231F20"/>
        </w:rPr>
        <w:t>Coton</w:t>
      </w:r>
      <w:r>
        <w:rPr>
          <w:color w:val="231F20"/>
          <w:spacing w:val="1"/>
        </w:rPr>
        <w:t> </w:t>
      </w:r>
      <w:r>
        <w:rPr>
          <w:color w:val="231F20"/>
        </w:rPr>
        <w:t>Tchad,</w:t>
      </w:r>
      <w:r>
        <w:rPr>
          <w:color w:val="231F20"/>
          <w:spacing w:val="1"/>
        </w:rPr>
        <w:t> </w:t>
      </w:r>
      <w:r>
        <w:rPr>
          <w:color w:val="231F20"/>
        </w:rPr>
        <w:t>Sonasut-Banda,</w:t>
      </w:r>
      <w:r>
        <w:rPr>
          <w:color w:val="231F20"/>
          <w:spacing w:val="2"/>
        </w:rPr>
        <w:t> </w:t>
      </w:r>
      <w:r>
        <w:rPr>
          <w:color w:val="231F20"/>
        </w:rPr>
        <w:t>Huilerie,</w:t>
      </w:r>
      <w:r>
        <w:rPr>
          <w:color w:val="231F20"/>
          <w:spacing w:val="1"/>
        </w:rPr>
        <w:t> </w:t>
      </w:r>
      <w:r>
        <w:rPr>
          <w:color w:val="231F20"/>
          <w:spacing w:val="-2"/>
        </w:rPr>
        <w:t>Société</w:t>
      </w:r>
    </w:p>
    <w:p>
      <w:pPr>
        <w:pStyle w:val="BodyText"/>
        <w:ind w:left="0"/>
        <w:jc w:val="left"/>
        <w:rPr>
          <w:sz w:val="20"/>
        </w:rPr>
      </w:pPr>
    </w:p>
    <w:p>
      <w:pPr>
        <w:pStyle w:val="BodyText"/>
        <w:spacing w:before="185"/>
        <w:ind w:left="0"/>
        <w:jc w:val="left"/>
        <w:rPr>
          <w:sz w:val="20"/>
        </w:rPr>
      </w:pPr>
      <w:r>
        <w:rPr/>
        <mc:AlternateContent>
          <mc:Choice Requires="wps">
            <w:drawing>
              <wp:anchor distT="0" distB="0" distL="0" distR="0" allowOverlap="1" layoutInCell="1" locked="0" behindDoc="1" simplePos="0" relativeHeight="487611392">
                <wp:simplePos x="0" y="0"/>
                <wp:positionH relativeFrom="page">
                  <wp:posOffset>629907</wp:posOffset>
                </wp:positionH>
                <wp:positionV relativeFrom="paragraph">
                  <wp:posOffset>279114</wp:posOffset>
                </wp:positionV>
                <wp:extent cx="1829435" cy="9525"/>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1.977539pt;width:144.020pt;height:.72pt;mso-position-horizontal-relative:page;mso-position-vertical-relative:paragraph;z-index:-15705088;mso-wrap-distance-left:0;mso-wrap-distance-right:0" id="docshape61" filled="true" fillcolor="#231f20" stroked="false">
                <v:fill type="solid"/>
                <w10:wrap type="topAndBottom"/>
              </v:rect>
            </w:pict>
          </mc:Fallback>
        </mc:AlternateContent>
      </w:r>
    </w:p>
    <w:p>
      <w:pPr>
        <w:spacing w:before="94"/>
        <w:ind w:left="111" w:right="0" w:firstLine="0"/>
        <w:jc w:val="left"/>
        <w:rPr>
          <w:sz w:val="20"/>
        </w:rPr>
      </w:pPr>
      <w:r>
        <w:rPr>
          <w:color w:val="76787A"/>
          <w:sz w:val="20"/>
          <w:vertAlign w:val="superscript"/>
        </w:rPr>
        <w:t>71</w:t>
      </w:r>
      <w:r>
        <w:rPr>
          <w:color w:val="76787A"/>
          <w:spacing w:val="-13"/>
          <w:sz w:val="20"/>
          <w:vertAlign w:val="baseline"/>
        </w:rPr>
        <w:t> </w:t>
      </w:r>
      <w:r>
        <w:rPr>
          <w:color w:val="231F20"/>
          <w:sz w:val="20"/>
          <w:vertAlign w:val="baseline"/>
        </w:rPr>
        <w:t>Sources</w:t>
      </w:r>
      <w:r>
        <w:rPr>
          <w:color w:val="231F20"/>
          <w:spacing w:val="-3"/>
          <w:sz w:val="20"/>
          <w:vertAlign w:val="baseline"/>
        </w:rPr>
        <w:t> </w:t>
      </w:r>
      <w:r>
        <w:rPr>
          <w:color w:val="231F20"/>
          <w:sz w:val="20"/>
          <w:vertAlign w:val="baseline"/>
        </w:rPr>
        <w:t>Wikipédia</w:t>
      </w:r>
      <w:r>
        <w:rPr>
          <w:color w:val="231F20"/>
          <w:spacing w:val="-12"/>
          <w:sz w:val="20"/>
          <w:vertAlign w:val="baseline"/>
        </w:rPr>
        <w:t> </w:t>
      </w:r>
      <w:r>
        <w:rPr>
          <w:color w:val="231F20"/>
          <w:sz w:val="20"/>
          <w:vertAlign w:val="baseline"/>
        </w:rPr>
        <w:t>;</w:t>
      </w:r>
      <w:r>
        <w:rPr>
          <w:color w:val="231F20"/>
          <w:spacing w:val="-1"/>
          <w:sz w:val="20"/>
          <w:vertAlign w:val="baseline"/>
        </w:rPr>
        <w:t> </w:t>
      </w:r>
      <w:r>
        <w:rPr>
          <w:color w:val="1F2021"/>
          <w:sz w:val="20"/>
          <w:vertAlign w:val="baseline"/>
        </w:rPr>
        <w:t>Jean Chapelle,</w:t>
      </w:r>
      <w:r>
        <w:rPr>
          <w:color w:val="1F2021"/>
          <w:spacing w:val="-13"/>
          <w:sz w:val="20"/>
          <w:vertAlign w:val="baseline"/>
        </w:rPr>
        <w:t> </w:t>
      </w:r>
      <w:r>
        <w:rPr>
          <w:i/>
          <w:color w:val="1F2021"/>
          <w:sz w:val="20"/>
          <w:vertAlign w:val="baseline"/>
        </w:rPr>
        <w:t>Nomades noirs du Sahara</w:t>
      </w:r>
      <w:r>
        <w:rPr>
          <w:color w:val="1F2021"/>
          <w:sz w:val="20"/>
          <w:vertAlign w:val="baseline"/>
        </w:rPr>
        <w:t>, L'Harmattan, Paris, </w:t>
      </w:r>
      <w:r>
        <w:rPr>
          <w:color w:val="1F2021"/>
          <w:spacing w:val="-4"/>
          <w:sz w:val="20"/>
          <w:vertAlign w:val="baseline"/>
        </w:rPr>
        <w:t>1982</w:t>
      </w:r>
    </w:p>
    <w:p>
      <w:pPr>
        <w:spacing w:after="0"/>
        <w:jc w:val="left"/>
        <w:rPr>
          <w:sz w:val="20"/>
        </w:rPr>
        <w:sectPr>
          <w:pgSz w:w="8790" w:h="13610"/>
          <w:pgMar w:header="0" w:footer="802" w:top="1060" w:bottom="1000" w:left="880" w:right="880"/>
        </w:sectPr>
      </w:pPr>
    </w:p>
    <w:p>
      <w:pPr>
        <w:pStyle w:val="BodyText"/>
        <w:spacing w:before="66"/>
        <w:ind w:right="109"/>
      </w:pPr>
      <w:r>
        <w:rPr>
          <w:color w:val="231F20"/>
        </w:rPr>
        <w:t>des Textiles du Tchad (STT), Brasseries du Logone, Manufacture des Cigarettes du Tchad (MCT).</w:t>
      </w:r>
    </w:p>
    <w:p>
      <w:pPr>
        <w:pStyle w:val="BodyText"/>
        <w:spacing w:before="120"/>
        <w:ind w:right="104" w:firstLine="283"/>
      </w:pPr>
      <w:r>
        <w:rPr>
          <w:color w:val="231F20"/>
          <w:spacing w:val="-2"/>
        </w:rPr>
        <w:t>En</w:t>
      </w:r>
      <w:r>
        <w:rPr>
          <w:color w:val="231F20"/>
          <w:spacing w:val="-9"/>
        </w:rPr>
        <w:t> </w:t>
      </w:r>
      <w:r>
        <w:rPr>
          <w:color w:val="231F20"/>
          <w:spacing w:val="-2"/>
        </w:rPr>
        <w:t>1910,</w:t>
      </w:r>
      <w:r>
        <w:rPr>
          <w:color w:val="231F20"/>
          <w:spacing w:val="-9"/>
        </w:rPr>
        <w:t> </w:t>
      </w:r>
      <w:r>
        <w:rPr>
          <w:color w:val="231F20"/>
          <w:spacing w:val="-2"/>
        </w:rPr>
        <w:t>le</w:t>
      </w:r>
      <w:r>
        <w:rPr>
          <w:color w:val="231F20"/>
          <w:spacing w:val="-9"/>
        </w:rPr>
        <w:t> </w:t>
      </w:r>
      <w:r>
        <w:rPr>
          <w:color w:val="231F20"/>
          <w:spacing w:val="-2"/>
        </w:rPr>
        <w:t>Tchad</w:t>
      </w:r>
      <w:r>
        <w:rPr>
          <w:color w:val="231F20"/>
          <w:spacing w:val="-9"/>
        </w:rPr>
        <w:t> </w:t>
      </w:r>
      <w:r>
        <w:rPr>
          <w:color w:val="231F20"/>
          <w:spacing w:val="-2"/>
        </w:rPr>
        <w:t>est</w:t>
      </w:r>
      <w:r>
        <w:rPr>
          <w:color w:val="231F20"/>
          <w:spacing w:val="-8"/>
        </w:rPr>
        <w:t> </w:t>
      </w:r>
      <w:r>
        <w:rPr>
          <w:color w:val="231F20"/>
          <w:spacing w:val="-2"/>
        </w:rPr>
        <w:t>rattaché</w:t>
      </w:r>
      <w:r>
        <w:rPr>
          <w:color w:val="231F20"/>
          <w:spacing w:val="-9"/>
        </w:rPr>
        <w:t> </w:t>
      </w:r>
      <w:r>
        <w:rPr>
          <w:color w:val="231F20"/>
          <w:spacing w:val="-2"/>
        </w:rPr>
        <w:t>à</w:t>
      </w:r>
      <w:r>
        <w:rPr>
          <w:color w:val="231F20"/>
          <w:spacing w:val="-9"/>
        </w:rPr>
        <w:t> </w:t>
      </w:r>
      <w:r>
        <w:rPr>
          <w:color w:val="231F20"/>
          <w:spacing w:val="-2"/>
        </w:rPr>
        <w:t>l’Afrique</w:t>
      </w:r>
      <w:r>
        <w:rPr>
          <w:color w:val="231F20"/>
          <w:spacing w:val="-9"/>
        </w:rPr>
        <w:t> </w:t>
      </w:r>
      <w:r>
        <w:rPr>
          <w:color w:val="231F20"/>
          <w:spacing w:val="-2"/>
        </w:rPr>
        <w:t>Équatoriale</w:t>
      </w:r>
      <w:r>
        <w:rPr>
          <w:color w:val="231F20"/>
          <w:spacing w:val="-9"/>
        </w:rPr>
        <w:t> </w:t>
      </w:r>
      <w:r>
        <w:rPr>
          <w:color w:val="231F20"/>
          <w:spacing w:val="-2"/>
        </w:rPr>
        <w:t>française</w:t>
      </w:r>
      <w:r>
        <w:rPr>
          <w:color w:val="231F20"/>
          <w:spacing w:val="-9"/>
        </w:rPr>
        <w:t> </w:t>
      </w:r>
      <w:r>
        <w:rPr>
          <w:color w:val="231F20"/>
          <w:spacing w:val="-2"/>
        </w:rPr>
        <w:t>avant </w:t>
      </w:r>
      <w:r>
        <w:rPr>
          <w:color w:val="231F20"/>
        </w:rPr>
        <w:t>de devenir, dix ans plus tard, une colonie. Avec le tracé des frontières, </w:t>
      </w:r>
      <w:r>
        <w:rPr>
          <w:color w:val="231F20"/>
          <w:spacing w:val="-4"/>
        </w:rPr>
        <w:t>certaines</w:t>
      </w:r>
      <w:r>
        <w:rPr>
          <w:color w:val="231F20"/>
          <w:spacing w:val="-6"/>
        </w:rPr>
        <w:t> </w:t>
      </w:r>
      <w:r>
        <w:rPr>
          <w:color w:val="231F20"/>
          <w:spacing w:val="-4"/>
        </w:rPr>
        <w:t>ethnies</w:t>
      </w:r>
      <w:r>
        <w:rPr>
          <w:color w:val="231F20"/>
          <w:spacing w:val="-6"/>
        </w:rPr>
        <w:t> </w:t>
      </w:r>
      <w:r>
        <w:rPr>
          <w:color w:val="231F20"/>
          <w:spacing w:val="-4"/>
        </w:rPr>
        <w:t>ne</w:t>
      </w:r>
      <w:r>
        <w:rPr>
          <w:color w:val="231F20"/>
          <w:spacing w:val="-6"/>
        </w:rPr>
        <w:t> </w:t>
      </w:r>
      <w:r>
        <w:rPr>
          <w:color w:val="231F20"/>
          <w:spacing w:val="-4"/>
        </w:rPr>
        <w:t>vivent</w:t>
      </w:r>
      <w:r>
        <w:rPr>
          <w:color w:val="231F20"/>
          <w:spacing w:val="-7"/>
        </w:rPr>
        <w:t> </w:t>
      </w:r>
      <w:r>
        <w:rPr>
          <w:color w:val="231F20"/>
          <w:spacing w:val="-4"/>
        </w:rPr>
        <w:t>que</w:t>
      </w:r>
      <w:r>
        <w:rPr>
          <w:color w:val="231F20"/>
          <w:spacing w:val="-6"/>
        </w:rPr>
        <w:t> </w:t>
      </w:r>
      <w:r>
        <w:rPr>
          <w:color w:val="231F20"/>
          <w:spacing w:val="-4"/>
        </w:rPr>
        <w:t>sur</w:t>
      </w:r>
      <w:r>
        <w:rPr>
          <w:color w:val="231F20"/>
          <w:spacing w:val="-6"/>
        </w:rPr>
        <w:t> </w:t>
      </w:r>
      <w:r>
        <w:rPr>
          <w:color w:val="231F20"/>
          <w:spacing w:val="-4"/>
        </w:rPr>
        <w:t>une</w:t>
      </w:r>
      <w:r>
        <w:rPr>
          <w:color w:val="231F20"/>
          <w:spacing w:val="-6"/>
        </w:rPr>
        <w:t> </w:t>
      </w:r>
      <w:r>
        <w:rPr>
          <w:color w:val="231F20"/>
          <w:spacing w:val="-4"/>
        </w:rPr>
        <w:t>partie</w:t>
      </w:r>
      <w:r>
        <w:rPr>
          <w:color w:val="231F20"/>
          <w:spacing w:val="-6"/>
        </w:rPr>
        <w:t> </w:t>
      </w:r>
      <w:r>
        <w:rPr>
          <w:color w:val="231F20"/>
          <w:spacing w:val="-4"/>
        </w:rPr>
        <w:t>du</w:t>
      </w:r>
      <w:r>
        <w:rPr>
          <w:color w:val="231F20"/>
          <w:spacing w:val="-6"/>
        </w:rPr>
        <w:t> </w:t>
      </w:r>
      <w:r>
        <w:rPr>
          <w:color w:val="231F20"/>
          <w:spacing w:val="-4"/>
        </w:rPr>
        <w:t>territoire</w:t>
      </w:r>
      <w:r>
        <w:rPr>
          <w:color w:val="231F20"/>
          <w:spacing w:val="-6"/>
        </w:rPr>
        <w:t> </w:t>
      </w:r>
      <w:r>
        <w:rPr>
          <w:color w:val="231F20"/>
          <w:spacing w:val="-4"/>
        </w:rPr>
        <w:t>du</w:t>
      </w:r>
      <w:r>
        <w:rPr>
          <w:color w:val="231F20"/>
          <w:spacing w:val="-6"/>
        </w:rPr>
        <w:t> </w:t>
      </w:r>
      <w:r>
        <w:rPr>
          <w:color w:val="231F20"/>
          <w:spacing w:val="-4"/>
        </w:rPr>
        <w:t>Tchad</w:t>
      </w:r>
      <w:r>
        <w:rPr>
          <w:color w:val="231F20"/>
          <w:spacing w:val="-9"/>
        </w:rPr>
        <w:t> </w:t>
      </w:r>
      <w:r>
        <w:rPr>
          <w:color w:val="231F20"/>
          <w:spacing w:val="-4"/>
        </w:rPr>
        <w:t>tandis </w:t>
      </w:r>
      <w:r>
        <w:rPr>
          <w:color w:val="231F20"/>
        </w:rPr>
        <w:t>que</w:t>
      </w:r>
      <w:r>
        <w:rPr>
          <w:color w:val="231F20"/>
          <w:spacing w:val="-9"/>
        </w:rPr>
        <w:t> </w:t>
      </w:r>
      <w:r>
        <w:rPr>
          <w:color w:val="231F20"/>
        </w:rPr>
        <w:t>d’autres</w:t>
      </w:r>
      <w:r>
        <w:rPr>
          <w:color w:val="231F20"/>
          <w:spacing w:val="-8"/>
        </w:rPr>
        <w:t> </w:t>
      </w:r>
      <w:r>
        <w:rPr>
          <w:color w:val="231F20"/>
        </w:rPr>
        <w:t>habitent</w:t>
      </w:r>
      <w:r>
        <w:rPr>
          <w:color w:val="231F20"/>
          <w:spacing w:val="-8"/>
        </w:rPr>
        <w:t> </w:t>
      </w:r>
      <w:r>
        <w:rPr>
          <w:color w:val="231F20"/>
        </w:rPr>
        <w:t>à</w:t>
      </w:r>
      <w:r>
        <w:rPr>
          <w:color w:val="231F20"/>
          <w:spacing w:val="-9"/>
        </w:rPr>
        <w:t> </w:t>
      </w:r>
      <w:r>
        <w:rPr>
          <w:color w:val="231F20"/>
        </w:rPr>
        <w:t>la</w:t>
      </w:r>
      <w:r>
        <w:rPr>
          <w:color w:val="231F20"/>
          <w:spacing w:val="-12"/>
        </w:rPr>
        <w:t> </w:t>
      </w:r>
      <w:r>
        <w:rPr>
          <w:color w:val="231F20"/>
        </w:rPr>
        <w:t>fois</w:t>
      </w:r>
      <w:r>
        <w:rPr>
          <w:color w:val="231F20"/>
          <w:spacing w:val="-8"/>
        </w:rPr>
        <w:t> </w:t>
      </w:r>
      <w:r>
        <w:rPr>
          <w:color w:val="231F20"/>
        </w:rPr>
        <w:t>au</w:t>
      </w:r>
      <w:r>
        <w:rPr>
          <w:color w:val="231F20"/>
          <w:spacing w:val="-8"/>
        </w:rPr>
        <w:t> </w:t>
      </w:r>
      <w:r>
        <w:rPr>
          <w:color w:val="231F20"/>
        </w:rPr>
        <w:t>Tchad</w:t>
      </w:r>
      <w:r>
        <w:rPr>
          <w:color w:val="231F20"/>
          <w:spacing w:val="-8"/>
        </w:rPr>
        <w:t> </w:t>
      </w:r>
      <w:r>
        <w:rPr>
          <w:color w:val="231F20"/>
        </w:rPr>
        <w:t>et</w:t>
      </w:r>
      <w:r>
        <w:rPr>
          <w:color w:val="231F20"/>
          <w:spacing w:val="-11"/>
        </w:rPr>
        <w:t> </w:t>
      </w:r>
      <w:r>
        <w:rPr>
          <w:color w:val="231F20"/>
        </w:rPr>
        <w:t>dans</w:t>
      </w:r>
      <w:r>
        <w:rPr>
          <w:color w:val="231F20"/>
          <w:spacing w:val="-9"/>
        </w:rPr>
        <w:t> </w:t>
      </w:r>
      <w:r>
        <w:rPr>
          <w:color w:val="231F20"/>
        </w:rPr>
        <w:t>des</w:t>
      </w:r>
      <w:r>
        <w:rPr>
          <w:color w:val="231F20"/>
          <w:spacing w:val="-11"/>
        </w:rPr>
        <w:t> </w:t>
      </w:r>
      <w:r>
        <w:rPr>
          <w:color w:val="231F20"/>
        </w:rPr>
        <w:t>pays</w:t>
      </w:r>
      <w:r>
        <w:rPr>
          <w:color w:val="231F20"/>
          <w:spacing w:val="-9"/>
        </w:rPr>
        <w:t> </w:t>
      </w:r>
      <w:r>
        <w:rPr>
          <w:color w:val="231F20"/>
        </w:rPr>
        <w:t>voisins</w:t>
      </w:r>
      <w:r>
        <w:rPr>
          <w:color w:val="231F20"/>
          <w:spacing w:val="-13"/>
        </w:rPr>
        <w:t> </w:t>
      </w:r>
      <w:r>
        <w:rPr>
          <w:color w:val="231F20"/>
        </w:rPr>
        <w:t>:</w:t>
      </w:r>
      <w:r>
        <w:rPr>
          <w:color w:val="231F20"/>
          <w:spacing w:val="-8"/>
        </w:rPr>
        <w:t> </w:t>
      </w:r>
      <w:r>
        <w:rPr>
          <w:color w:val="231F20"/>
        </w:rPr>
        <w:t>le</w:t>
      </w:r>
      <w:r>
        <w:rPr>
          <w:color w:val="231F20"/>
          <w:spacing w:val="-9"/>
        </w:rPr>
        <w:t> </w:t>
      </w:r>
      <w:r>
        <w:rPr>
          <w:color w:val="231F20"/>
        </w:rPr>
        <w:t>Lac </w:t>
      </w:r>
      <w:r>
        <w:rPr>
          <w:color w:val="231F20"/>
          <w:spacing w:val="-4"/>
        </w:rPr>
        <w:t>Tchad est</w:t>
      </w:r>
      <w:r>
        <w:rPr>
          <w:color w:val="231F20"/>
          <w:spacing w:val="-7"/>
        </w:rPr>
        <w:t> </w:t>
      </w:r>
      <w:r>
        <w:rPr>
          <w:color w:val="231F20"/>
          <w:spacing w:val="-4"/>
        </w:rPr>
        <w:t>partagé</w:t>
      </w:r>
      <w:r>
        <w:rPr>
          <w:color w:val="231F20"/>
          <w:spacing w:val="-7"/>
        </w:rPr>
        <w:t> </w:t>
      </w:r>
      <w:r>
        <w:rPr>
          <w:color w:val="231F20"/>
          <w:spacing w:val="-4"/>
        </w:rPr>
        <w:t>par</w:t>
      </w:r>
      <w:r>
        <w:rPr>
          <w:color w:val="231F20"/>
          <w:spacing w:val="-7"/>
        </w:rPr>
        <w:t> </w:t>
      </w:r>
      <w:r>
        <w:rPr>
          <w:color w:val="231F20"/>
          <w:spacing w:val="-4"/>
        </w:rPr>
        <w:t>quatre États,</w:t>
      </w:r>
      <w:r>
        <w:rPr>
          <w:color w:val="231F20"/>
          <w:spacing w:val="-6"/>
        </w:rPr>
        <w:t> </w:t>
      </w:r>
      <w:r>
        <w:rPr>
          <w:color w:val="231F20"/>
          <w:spacing w:val="-4"/>
        </w:rPr>
        <w:t>le</w:t>
      </w:r>
      <w:r>
        <w:rPr>
          <w:color w:val="231F20"/>
          <w:spacing w:val="-7"/>
        </w:rPr>
        <w:t> </w:t>
      </w:r>
      <w:r>
        <w:rPr>
          <w:color w:val="231F20"/>
          <w:spacing w:val="-4"/>
        </w:rPr>
        <w:t>Tchad,</w:t>
      </w:r>
      <w:r>
        <w:rPr>
          <w:color w:val="231F20"/>
          <w:spacing w:val="-9"/>
        </w:rPr>
        <w:t> </w:t>
      </w:r>
      <w:r>
        <w:rPr>
          <w:color w:val="231F20"/>
          <w:spacing w:val="-4"/>
        </w:rPr>
        <w:t>le</w:t>
      </w:r>
      <w:r>
        <w:rPr>
          <w:color w:val="231F20"/>
          <w:spacing w:val="-7"/>
        </w:rPr>
        <w:t> </w:t>
      </w:r>
      <w:r>
        <w:rPr>
          <w:color w:val="231F20"/>
          <w:spacing w:val="-4"/>
        </w:rPr>
        <w:t>Cameroun,</w:t>
      </w:r>
      <w:r>
        <w:rPr>
          <w:color w:val="231F20"/>
          <w:spacing w:val="-7"/>
        </w:rPr>
        <w:t> </w:t>
      </w:r>
      <w:r>
        <w:rPr>
          <w:color w:val="231F20"/>
          <w:spacing w:val="-4"/>
        </w:rPr>
        <w:t>le</w:t>
      </w:r>
      <w:r>
        <w:rPr>
          <w:color w:val="231F20"/>
          <w:spacing w:val="-7"/>
        </w:rPr>
        <w:t> </w:t>
      </w:r>
      <w:r>
        <w:rPr>
          <w:color w:val="231F20"/>
          <w:spacing w:val="-4"/>
        </w:rPr>
        <w:t>Nigéria</w:t>
      </w:r>
      <w:r>
        <w:rPr>
          <w:color w:val="231F20"/>
          <w:spacing w:val="-5"/>
        </w:rPr>
        <w:t> </w:t>
      </w:r>
      <w:r>
        <w:rPr>
          <w:color w:val="231F20"/>
          <w:spacing w:val="-4"/>
        </w:rPr>
        <w:t>et</w:t>
      </w:r>
      <w:r>
        <w:rPr>
          <w:color w:val="231F20"/>
          <w:spacing w:val="-8"/>
        </w:rPr>
        <w:t> </w:t>
      </w:r>
      <w:r>
        <w:rPr>
          <w:color w:val="231F20"/>
          <w:spacing w:val="-4"/>
        </w:rPr>
        <w:t>le </w:t>
      </w:r>
      <w:r>
        <w:rPr>
          <w:color w:val="231F20"/>
          <w:spacing w:val="-2"/>
        </w:rPr>
        <w:t>Niger.</w:t>
      </w:r>
    </w:p>
    <w:p>
      <w:pPr>
        <w:pStyle w:val="BodyText"/>
        <w:spacing w:before="121"/>
        <w:ind w:right="105" w:firstLine="283"/>
      </w:pPr>
      <w:r>
        <w:rPr>
          <w:color w:val="231F20"/>
        </w:rPr>
        <w:t>Le</w:t>
      </w:r>
      <w:r>
        <w:rPr>
          <w:color w:val="231F20"/>
          <w:spacing w:val="-11"/>
        </w:rPr>
        <w:t> </w:t>
      </w:r>
      <w:r>
        <w:rPr>
          <w:color w:val="231F20"/>
        </w:rPr>
        <w:t>11</w:t>
      </w:r>
      <w:r>
        <w:rPr>
          <w:color w:val="231F20"/>
          <w:spacing w:val="-11"/>
        </w:rPr>
        <w:t> </w:t>
      </w:r>
      <w:r>
        <w:rPr>
          <w:color w:val="231F20"/>
        </w:rPr>
        <w:t>août</w:t>
      </w:r>
      <w:r>
        <w:rPr>
          <w:color w:val="231F20"/>
          <w:spacing w:val="-11"/>
        </w:rPr>
        <w:t> </w:t>
      </w:r>
      <w:r>
        <w:rPr>
          <w:color w:val="231F20"/>
        </w:rPr>
        <w:t>1960,</w:t>
      </w:r>
      <w:r>
        <w:rPr>
          <w:color w:val="231F20"/>
          <w:spacing w:val="-13"/>
        </w:rPr>
        <w:t> </w:t>
      </w:r>
      <w:r>
        <w:rPr>
          <w:color w:val="231F20"/>
        </w:rPr>
        <w:t>le</w:t>
      </w:r>
      <w:r>
        <w:rPr>
          <w:color w:val="231F20"/>
          <w:spacing w:val="-11"/>
        </w:rPr>
        <w:t> </w:t>
      </w:r>
      <w:r>
        <w:rPr>
          <w:color w:val="231F20"/>
        </w:rPr>
        <w:t>Tchad</w:t>
      </w:r>
      <w:r>
        <w:rPr>
          <w:color w:val="231F20"/>
          <w:spacing w:val="-11"/>
        </w:rPr>
        <w:t> </w:t>
      </w:r>
      <w:r>
        <w:rPr>
          <w:color w:val="231F20"/>
        </w:rPr>
        <w:t>devient</w:t>
      </w:r>
      <w:r>
        <w:rPr>
          <w:color w:val="231F20"/>
          <w:spacing w:val="-11"/>
        </w:rPr>
        <w:t> </w:t>
      </w:r>
      <w:r>
        <w:rPr>
          <w:color w:val="231F20"/>
        </w:rPr>
        <w:t>indépendant</w:t>
      </w:r>
      <w:r>
        <w:rPr>
          <w:color w:val="231F20"/>
          <w:spacing w:val="-9"/>
        </w:rPr>
        <w:t> </w:t>
      </w:r>
      <w:r>
        <w:rPr>
          <w:color w:val="231F20"/>
        </w:rPr>
        <w:t>et</w:t>
      </w:r>
      <w:r>
        <w:rPr>
          <w:color w:val="231F20"/>
          <w:spacing w:val="-11"/>
        </w:rPr>
        <w:t> </w:t>
      </w:r>
      <w:r>
        <w:rPr>
          <w:color w:val="231F20"/>
        </w:rPr>
        <w:t>la</w:t>
      </w:r>
      <w:r>
        <w:rPr>
          <w:color w:val="231F20"/>
          <w:spacing w:val="-12"/>
        </w:rPr>
        <w:t> </w:t>
      </w:r>
      <w:r>
        <w:rPr>
          <w:color w:val="231F20"/>
        </w:rPr>
        <w:t>langue</w:t>
      </w:r>
      <w:r>
        <w:rPr>
          <w:color w:val="231F20"/>
          <w:spacing w:val="-11"/>
        </w:rPr>
        <w:t> </w:t>
      </w:r>
      <w:r>
        <w:rPr>
          <w:color w:val="231F20"/>
        </w:rPr>
        <w:t>officielle </w:t>
      </w:r>
      <w:r>
        <w:rPr>
          <w:color w:val="231F20"/>
          <w:spacing w:val="-4"/>
        </w:rPr>
        <w:t>est</w:t>
      </w:r>
      <w:r>
        <w:rPr>
          <w:color w:val="231F20"/>
          <w:spacing w:val="-11"/>
        </w:rPr>
        <w:t> </w:t>
      </w:r>
      <w:r>
        <w:rPr>
          <w:color w:val="231F20"/>
          <w:spacing w:val="-4"/>
        </w:rPr>
        <w:t>le</w:t>
      </w:r>
      <w:r>
        <w:rPr>
          <w:color w:val="231F20"/>
          <w:spacing w:val="-11"/>
        </w:rPr>
        <w:t> </w:t>
      </w:r>
      <w:r>
        <w:rPr>
          <w:color w:val="231F20"/>
          <w:spacing w:val="-4"/>
        </w:rPr>
        <w:t>français.</w:t>
      </w:r>
      <w:r>
        <w:rPr>
          <w:color w:val="231F20"/>
          <w:spacing w:val="-7"/>
        </w:rPr>
        <w:t> </w:t>
      </w:r>
      <w:r>
        <w:rPr>
          <w:color w:val="231F20"/>
          <w:spacing w:val="-4"/>
        </w:rPr>
        <w:t>François</w:t>
      </w:r>
      <w:r>
        <w:rPr>
          <w:color w:val="231F20"/>
          <w:spacing w:val="-8"/>
        </w:rPr>
        <w:t> </w:t>
      </w:r>
      <w:r>
        <w:rPr>
          <w:color w:val="231F20"/>
          <w:spacing w:val="-4"/>
        </w:rPr>
        <w:t>Ngarta</w:t>
      </w:r>
      <w:r>
        <w:rPr>
          <w:color w:val="231F20"/>
          <w:spacing w:val="-8"/>
        </w:rPr>
        <w:t> </w:t>
      </w:r>
      <w:r>
        <w:rPr>
          <w:color w:val="231F20"/>
          <w:spacing w:val="-4"/>
        </w:rPr>
        <w:t>Tombalbaye,</w:t>
      </w:r>
      <w:r>
        <w:rPr>
          <w:color w:val="231F20"/>
          <w:spacing w:val="-8"/>
        </w:rPr>
        <w:t> </w:t>
      </w:r>
      <w:r>
        <w:rPr>
          <w:color w:val="231F20"/>
          <w:spacing w:val="-4"/>
        </w:rPr>
        <w:t>originaire</w:t>
      </w:r>
      <w:r>
        <w:rPr>
          <w:color w:val="231F20"/>
          <w:spacing w:val="-8"/>
        </w:rPr>
        <w:t> </w:t>
      </w:r>
      <w:r>
        <w:rPr>
          <w:color w:val="231F20"/>
          <w:spacing w:val="-4"/>
        </w:rPr>
        <w:t>du</w:t>
      </w:r>
      <w:r>
        <w:rPr>
          <w:color w:val="231F20"/>
          <w:spacing w:val="-11"/>
        </w:rPr>
        <w:t> </w:t>
      </w:r>
      <w:r>
        <w:rPr>
          <w:color w:val="231F20"/>
          <w:spacing w:val="-4"/>
        </w:rPr>
        <w:t>Sud,</w:t>
      </w:r>
      <w:r>
        <w:rPr>
          <w:color w:val="231F20"/>
          <w:spacing w:val="-11"/>
        </w:rPr>
        <w:t> </w:t>
      </w:r>
      <w:r>
        <w:rPr>
          <w:color w:val="231F20"/>
          <w:spacing w:val="-4"/>
        </w:rPr>
        <w:t>instituteur </w:t>
      </w:r>
      <w:r>
        <w:rPr>
          <w:color w:val="231F20"/>
          <w:spacing w:val="-2"/>
        </w:rPr>
        <w:t>de</w:t>
      </w:r>
      <w:r>
        <w:rPr>
          <w:color w:val="231F20"/>
          <w:spacing w:val="-9"/>
        </w:rPr>
        <w:t> </w:t>
      </w:r>
      <w:r>
        <w:rPr>
          <w:color w:val="231F20"/>
          <w:spacing w:val="-2"/>
        </w:rPr>
        <w:t>formation</w:t>
      </w:r>
      <w:r>
        <w:rPr>
          <w:color w:val="231F20"/>
          <w:spacing w:val="-9"/>
        </w:rPr>
        <w:t> </w:t>
      </w:r>
      <w:r>
        <w:rPr>
          <w:color w:val="231F20"/>
          <w:spacing w:val="-2"/>
        </w:rPr>
        <w:t>et</w:t>
      </w:r>
      <w:r>
        <w:rPr>
          <w:color w:val="231F20"/>
          <w:spacing w:val="-11"/>
        </w:rPr>
        <w:t> </w:t>
      </w:r>
      <w:r>
        <w:rPr>
          <w:color w:val="231F20"/>
          <w:spacing w:val="-2"/>
        </w:rPr>
        <w:t>de</w:t>
      </w:r>
      <w:r>
        <w:rPr>
          <w:color w:val="231F20"/>
          <w:spacing w:val="-12"/>
        </w:rPr>
        <w:t> </w:t>
      </w:r>
      <w:r>
        <w:rPr>
          <w:color w:val="231F20"/>
          <w:spacing w:val="-2"/>
        </w:rPr>
        <w:t>confession</w:t>
      </w:r>
      <w:r>
        <w:rPr>
          <w:color w:val="231F20"/>
          <w:spacing w:val="-11"/>
        </w:rPr>
        <w:t> </w:t>
      </w:r>
      <w:r>
        <w:rPr>
          <w:color w:val="231F20"/>
          <w:spacing w:val="-2"/>
        </w:rPr>
        <w:t>chrétienne</w:t>
      </w:r>
      <w:r>
        <w:rPr>
          <w:color w:val="231F20"/>
          <w:spacing w:val="-9"/>
        </w:rPr>
        <w:t> </w:t>
      </w:r>
      <w:r>
        <w:rPr>
          <w:color w:val="231F20"/>
          <w:spacing w:val="-2"/>
        </w:rPr>
        <w:t>en</w:t>
      </w:r>
      <w:r>
        <w:rPr>
          <w:color w:val="231F20"/>
          <w:spacing w:val="-9"/>
        </w:rPr>
        <w:t> </w:t>
      </w:r>
      <w:r>
        <w:rPr>
          <w:color w:val="231F20"/>
          <w:spacing w:val="-2"/>
        </w:rPr>
        <w:t>devient</w:t>
      </w:r>
      <w:r>
        <w:rPr>
          <w:color w:val="231F20"/>
          <w:spacing w:val="-11"/>
        </w:rPr>
        <w:t> </w:t>
      </w:r>
      <w:r>
        <w:rPr>
          <w:color w:val="231F20"/>
          <w:spacing w:val="-2"/>
        </w:rPr>
        <w:t>le</w:t>
      </w:r>
      <w:r>
        <w:rPr>
          <w:color w:val="231F20"/>
          <w:spacing w:val="-12"/>
        </w:rPr>
        <w:t> </w:t>
      </w:r>
      <w:r>
        <w:rPr>
          <w:color w:val="231F20"/>
          <w:spacing w:val="-2"/>
        </w:rPr>
        <w:t>premier</w:t>
      </w:r>
      <w:r>
        <w:rPr>
          <w:color w:val="231F20"/>
          <w:spacing w:val="-13"/>
        </w:rPr>
        <w:t> </w:t>
      </w:r>
      <w:r>
        <w:rPr>
          <w:color w:val="231F20"/>
          <w:spacing w:val="-2"/>
        </w:rPr>
        <w:t>Président. Membre</w:t>
      </w:r>
      <w:r>
        <w:rPr>
          <w:color w:val="231F20"/>
          <w:spacing w:val="-9"/>
        </w:rPr>
        <w:t> </w:t>
      </w:r>
      <w:r>
        <w:rPr>
          <w:color w:val="231F20"/>
          <w:spacing w:val="-2"/>
        </w:rPr>
        <w:t>du</w:t>
      </w:r>
      <w:r>
        <w:rPr>
          <w:color w:val="231F20"/>
          <w:spacing w:val="-12"/>
        </w:rPr>
        <w:t> </w:t>
      </w:r>
      <w:r>
        <w:rPr>
          <w:color w:val="231F20"/>
          <w:spacing w:val="-2"/>
        </w:rPr>
        <w:t>Parti</w:t>
      </w:r>
      <w:r>
        <w:rPr>
          <w:color w:val="231F20"/>
          <w:spacing w:val="-11"/>
        </w:rPr>
        <w:t> </w:t>
      </w:r>
      <w:r>
        <w:rPr>
          <w:color w:val="231F20"/>
          <w:spacing w:val="-2"/>
        </w:rPr>
        <w:t>Progressiste</w:t>
      </w:r>
      <w:r>
        <w:rPr>
          <w:color w:val="231F20"/>
          <w:spacing w:val="-9"/>
        </w:rPr>
        <w:t> </w:t>
      </w:r>
      <w:r>
        <w:rPr>
          <w:color w:val="231F20"/>
          <w:spacing w:val="-2"/>
        </w:rPr>
        <w:t>Tchadien</w:t>
      </w:r>
      <w:r>
        <w:rPr>
          <w:color w:val="231F20"/>
          <w:spacing w:val="-9"/>
        </w:rPr>
        <w:t> </w:t>
      </w:r>
      <w:r>
        <w:rPr>
          <w:color w:val="231F20"/>
          <w:spacing w:val="-2"/>
        </w:rPr>
        <w:t>(PPT),</w:t>
      </w:r>
      <w:r>
        <w:rPr>
          <w:color w:val="231F20"/>
          <w:spacing w:val="-9"/>
        </w:rPr>
        <w:t> </w:t>
      </w:r>
      <w:r>
        <w:rPr>
          <w:color w:val="231F20"/>
          <w:spacing w:val="-2"/>
        </w:rPr>
        <w:t>section</w:t>
      </w:r>
      <w:r>
        <w:rPr>
          <w:color w:val="231F20"/>
          <w:spacing w:val="-9"/>
        </w:rPr>
        <w:t> </w:t>
      </w:r>
      <w:r>
        <w:rPr>
          <w:color w:val="231F20"/>
          <w:spacing w:val="-2"/>
        </w:rPr>
        <w:t>locale</w:t>
      </w:r>
      <w:r>
        <w:rPr>
          <w:color w:val="231F20"/>
          <w:spacing w:val="-9"/>
        </w:rPr>
        <w:t> </w:t>
      </w:r>
      <w:r>
        <w:rPr>
          <w:color w:val="231F20"/>
          <w:spacing w:val="-2"/>
        </w:rPr>
        <w:t>du</w:t>
      </w:r>
      <w:r>
        <w:rPr>
          <w:color w:val="231F20"/>
          <w:spacing w:val="-11"/>
        </w:rPr>
        <w:t> </w:t>
      </w:r>
      <w:r>
        <w:rPr>
          <w:color w:val="231F20"/>
          <w:spacing w:val="-2"/>
        </w:rPr>
        <w:t>RDA,</w:t>
      </w:r>
      <w:r>
        <w:rPr>
          <w:color w:val="231F20"/>
          <w:spacing w:val="-11"/>
        </w:rPr>
        <w:t> </w:t>
      </w:r>
      <w:r>
        <w:rPr>
          <w:color w:val="231F20"/>
          <w:spacing w:val="-2"/>
        </w:rPr>
        <w:t>il dissout</w:t>
      </w:r>
      <w:r>
        <w:rPr>
          <w:color w:val="231F20"/>
          <w:spacing w:val="-15"/>
        </w:rPr>
        <w:t> </w:t>
      </w:r>
      <w:r>
        <w:rPr>
          <w:color w:val="231F20"/>
          <w:spacing w:val="-2"/>
        </w:rPr>
        <w:t>toutes</w:t>
      </w:r>
      <w:r>
        <w:rPr>
          <w:color w:val="231F20"/>
          <w:spacing w:val="-13"/>
        </w:rPr>
        <w:t> </w:t>
      </w:r>
      <w:r>
        <w:rPr>
          <w:color w:val="231F20"/>
          <w:spacing w:val="-2"/>
        </w:rPr>
        <w:t>les</w:t>
      </w:r>
      <w:r>
        <w:rPr>
          <w:color w:val="231F20"/>
          <w:spacing w:val="-13"/>
        </w:rPr>
        <w:t> </w:t>
      </w:r>
      <w:r>
        <w:rPr>
          <w:color w:val="231F20"/>
          <w:spacing w:val="-2"/>
        </w:rPr>
        <w:t>autres</w:t>
      </w:r>
      <w:r>
        <w:rPr>
          <w:color w:val="231F20"/>
          <w:spacing w:val="-13"/>
        </w:rPr>
        <w:t> </w:t>
      </w:r>
      <w:r>
        <w:rPr>
          <w:color w:val="231F20"/>
          <w:spacing w:val="-2"/>
        </w:rPr>
        <w:t>formations</w:t>
      </w:r>
      <w:r>
        <w:rPr>
          <w:color w:val="231F20"/>
          <w:spacing w:val="-13"/>
        </w:rPr>
        <w:t> </w:t>
      </w:r>
      <w:r>
        <w:rPr>
          <w:color w:val="231F20"/>
          <w:spacing w:val="-2"/>
        </w:rPr>
        <w:t>politiques</w:t>
      </w:r>
      <w:r>
        <w:rPr>
          <w:color w:val="231F20"/>
          <w:spacing w:val="-13"/>
        </w:rPr>
        <w:t> </w:t>
      </w:r>
      <w:r>
        <w:rPr>
          <w:color w:val="231F20"/>
          <w:spacing w:val="-2"/>
        </w:rPr>
        <w:t>le</w:t>
      </w:r>
      <w:r>
        <w:rPr>
          <w:color w:val="231F20"/>
          <w:spacing w:val="-13"/>
        </w:rPr>
        <w:t> </w:t>
      </w:r>
      <w:r>
        <w:rPr>
          <w:color w:val="231F20"/>
          <w:spacing w:val="-2"/>
        </w:rPr>
        <w:t>19</w:t>
      </w:r>
      <w:r>
        <w:rPr>
          <w:color w:val="231F20"/>
          <w:spacing w:val="-13"/>
        </w:rPr>
        <w:t> </w:t>
      </w:r>
      <w:r>
        <w:rPr>
          <w:color w:val="231F20"/>
          <w:spacing w:val="-2"/>
        </w:rPr>
        <w:t>janvier</w:t>
      </w:r>
      <w:r>
        <w:rPr>
          <w:color w:val="231F20"/>
          <w:spacing w:val="-13"/>
        </w:rPr>
        <w:t> </w:t>
      </w:r>
      <w:r>
        <w:rPr>
          <w:color w:val="231F20"/>
          <w:spacing w:val="-2"/>
        </w:rPr>
        <w:t>1962</w:t>
      </w:r>
      <w:r>
        <w:rPr>
          <w:color w:val="231F20"/>
          <w:spacing w:val="-13"/>
        </w:rPr>
        <w:t> </w:t>
      </w:r>
      <w:r>
        <w:rPr>
          <w:color w:val="231F20"/>
          <w:spacing w:val="-2"/>
        </w:rPr>
        <w:t>et</w:t>
      </w:r>
      <w:r>
        <w:rPr>
          <w:color w:val="231F20"/>
          <w:spacing w:val="-13"/>
        </w:rPr>
        <w:t> </w:t>
      </w:r>
      <w:r>
        <w:rPr>
          <w:color w:val="231F20"/>
          <w:spacing w:val="-2"/>
        </w:rPr>
        <w:t>fait</w:t>
      </w:r>
      <w:r>
        <w:rPr>
          <w:color w:val="231F20"/>
          <w:spacing w:val="-13"/>
        </w:rPr>
        <w:t> </w:t>
      </w:r>
      <w:r>
        <w:rPr>
          <w:color w:val="231F20"/>
          <w:spacing w:val="-2"/>
        </w:rPr>
        <w:t>de son</w:t>
      </w:r>
      <w:r>
        <w:rPr>
          <w:color w:val="231F20"/>
          <w:spacing w:val="-12"/>
        </w:rPr>
        <w:t> </w:t>
      </w:r>
      <w:r>
        <w:rPr>
          <w:color w:val="231F20"/>
          <w:spacing w:val="-2"/>
        </w:rPr>
        <w:t>parti,</w:t>
      </w:r>
      <w:r>
        <w:rPr>
          <w:color w:val="231F20"/>
          <w:spacing w:val="-11"/>
        </w:rPr>
        <w:t> </w:t>
      </w:r>
      <w:r>
        <w:rPr>
          <w:color w:val="231F20"/>
          <w:spacing w:val="-2"/>
        </w:rPr>
        <w:t>l’unique</w:t>
      </w:r>
      <w:r>
        <w:rPr>
          <w:color w:val="231F20"/>
          <w:spacing w:val="-11"/>
        </w:rPr>
        <w:t> </w:t>
      </w:r>
      <w:r>
        <w:rPr>
          <w:color w:val="231F20"/>
          <w:spacing w:val="-2"/>
        </w:rPr>
        <w:t>formation</w:t>
      </w:r>
      <w:r>
        <w:rPr>
          <w:color w:val="231F20"/>
          <w:spacing w:val="-11"/>
        </w:rPr>
        <w:t> </w:t>
      </w:r>
      <w:r>
        <w:rPr>
          <w:color w:val="231F20"/>
          <w:spacing w:val="-2"/>
        </w:rPr>
        <w:t>autorisée.</w:t>
      </w:r>
      <w:r>
        <w:rPr>
          <w:color w:val="231F20"/>
          <w:spacing w:val="-11"/>
        </w:rPr>
        <w:t> </w:t>
      </w:r>
      <w:r>
        <w:rPr>
          <w:color w:val="231F20"/>
          <w:spacing w:val="-2"/>
        </w:rPr>
        <w:t>Il</w:t>
      </w:r>
      <w:r>
        <w:rPr>
          <w:color w:val="231F20"/>
          <w:spacing w:val="-10"/>
        </w:rPr>
        <w:t> </w:t>
      </w:r>
      <w:r>
        <w:rPr>
          <w:color w:val="231F20"/>
          <w:spacing w:val="-2"/>
        </w:rPr>
        <w:t>assure</w:t>
      </w:r>
      <w:r>
        <w:rPr>
          <w:color w:val="231F20"/>
          <w:spacing w:val="-11"/>
        </w:rPr>
        <w:t> </w:t>
      </w:r>
      <w:r>
        <w:rPr>
          <w:color w:val="231F20"/>
          <w:spacing w:val="-2"/>
        </w:rPr>
        <w:t>l’emprise</w:t>
      </w:r>
      <w:r>
        <w:rPr>
          <w:color w:val="231F20"/>
          <w:spacing w:val="-13"/>
        </w:rPr>
        <w:t> </w:t>
      </w:r>
      <w:r>
        <w:rPr>
          <w:color w:val="231F20"/>
          <w:spacing w:val="-2"/>
        </w:rPr>
        <w:t>des</w:t>
      </w:r>
      <w:r>
        <w:rPr>
          <w:color w:val="231F20"/>
          <w:spacing w:val="-12"/>
        </w:rPr>
        <w:t> </w:t>
      </w:r>
      <w:r>
        <w:rPr>
          <w:color w:val="231F20"/>
          <w:spacing w:val="-2"/>
        </w:rPr>
        <w:t>sudistes</w:t>
      </w:r>
      <w:r>
        <w:rPr>
          <w:color w:val="231F20"/>
          <w:spacing w:val="-11"/>
        </w:rPr>
        <w:t> </w:t>
      </w:r>
      <w:r>
        <w:rPr>
          <w:color w:val="231F20"/>
          <w:spacing w:val="-2"/>
        </w:rPr>
        <w:t>et </w:t>
      </w:r>
      <w:r>
        <w:rPr>
          <w:color w:val="231F20"/>
          <w:spacing w:val="-4"/>
        </w:rPr>
        <w:t>surtout</w:t>
      </w:r>
      <w:r>
        <w:rPr>
          <w:color w:val="231F20"/>
          <w:spacing w:val="-8"/>
        </w:rPr>
        <w:t> </w:t>
      </w:r>
      <w:r>
        <w:rPr>
          <w:color w:val="231F20"/>
          <w:spacing w:val="-4"/>
        </w:rPr>
        <w:t>les</w:t>
      </w:r>
      <w:r>
        <w:rPr>
          <w:color w:val="231F20"/>
          <w:spacing w:val="-9"/>
        </w:rPr>
        <w:t> </w:t>
      </w:r>
      <w:r>
        <w:rPr>
          <w:color w:val="231F20"/>
          <w:spacing w:val="-4"/>
        </w:rPr>
        <w:t>membres</w:t>
      </w:r>
      <w:r>
        <w:rPr>
          <w:color w:val="231F20"/>
          <w:spacing w:val="-9"/>
        </w:rPr>
        <w:t> </w:t>
      </w:r>
      <w:r>
        <w:rPr>
          <w:color w:val="231F20"/>
          <w:spacing w:val="-4"/>
        </w:rPr>
        <w:t>de</w:t>
      </w:r>
      <w:r>
        <w:rPr>
          <w:color w:val="231F20"/>
          <w:spacing w:val="-6"/>
        </w:rPr>
        <w:t> </w:t>
      </w:r>
      <w:r>
        <w:rPr>
          <w:color w:val="231F20"/>
          <w:spacing w:val="-4"/>
        </w:rPr>
        <w:t>son</w:t>
      </w:r>
      <w:r>
        <w:rPr>
          <w:color w:val="231F20"/>
          <w:spacing w:val="-5"/>
        </w:rPr>
        <w:t> </w:t>
      </w:r>
      <w:r>
        <w:rPr>
          <w:color w:val="231F20"/>
          <w:spacing w:val="-4"/>
        </w:rPr>
        <w:t>clan,</w:t>
      </w:r>
      <w:r>
        <w:rPr>
          <w:color w:val="231F20"/>
          <w:spacing w:val="-11"/>
        </w:rPr>
        <w:t> </w:t>
      </w:r>
      <w:r>
        <w:rPr>
          <w:color w:val="231F20"/>
          <w:spacing w:val="-4"/>
        </w:rPr>
        <w:t>les</w:t>
      </w:r>
      <w:r>
        <w:rPr>
          <w:color w:val="231F20"/>
          <w:spacing w:val="-9"/>
        </w:rPr>
        <w:t> </w:t>
      </w:r>
      <w:r>
        <w:rPr>
          <w:color w:val="231F20"/>
          <w:spacing w:val="-4"/>
        </w:rPr>
        <w:t>Sara,</w:t>
      </w:r>
      <w:r>
        <w:rPr>
          <w:color w:val="231F20"/>
          <w:spacing w:val="-9"/>
        </w:rPr>
        <w:t> </w:t>
      </w:r>
      <w:r>
        <w:rPr>
          <w:color w:val="231F20"/>
          <w:spacing w:val="-4"/>
        </w:rPr>
        <w:t>sur</w:t>
      </w:r>
      <w:r>
        <w:rPr>
          <w:color w:val="231F20"/>
          <w:spacing w:val="-10"/>
        </w:rPr>
        <w:t> </w:t>
      </w:r>
      <w:r>
        <w:rPr>
          <w:color w:val="231F20"/>
          <w:spacing w:val="-4"/>
        </w:rPr>
        <w:t>l’Administration</w:t>
      </w:r>
      <w:r>
        <w:rPr>
          <w:color w:val="231F20"/>
          <w:spacing w:val="-9"/>
        </w:rPr>
        <w:t> </w:t>
      </w:r>
      <w:r>
        <w:rPr>
          <w:color w:val="231F20"/>
          <w:spacing w:val="-4"/>
        </w:rPr>
        <w:t>et</w:t>
      </w:r>
      <w:r>
        <w:rPr>
          <w:color w:val="231F20"/>
          <w:spacing w:val="-8"/>
        </w:rPr>
        <w:t> </w:t>
      </w:r>
      <w:r>
        <w:rPr>
          <w:color w:val="231F20"/>
          <w:spacing w:val="-4"/>
        </w:rPr>
        <w:t>l’Armée </w:t>
      </w:r>
      <w:r>
        <w:rPr>
          <w:color w:val="231F20"/>
        </w:rPr>
        <w:t>nationale. Les populations du Nord se rebellent contre la domination politique</w:t>
      </w:r>
      <w:r>
        <w:rPr>
          <w:color w:val="231F20"/>
          <w:spacing w:val="-15"/>
        </w:rPr>
        <w:t> </w:t>
      </w:r>
      <w:r>
        <w:rPr>
          <w:color w:val="231F20"/>
        </w:rPr>
        <w:t>des</w:t>
      </w:r>
      <w:r>
        <w:rPr>
          <w:color w:val="231F20"/>
          <w:spacing w:val="-15"/>
        </w:rPr>
        <w:t> </w:t>
      </w:r>
      <w:r>
        <w:rPr>
          <w:color w:val="231F20"/>
        </w:rPr>
        <w:t>ethnies</w:t>
      </w:r>
      <w:r>
        <w:rPr>
          <w:color w:val="231F20"/>
          <w:spacing w:val="-15"/>
        </w:rPr>
        <w:t> </w:t>
      </w:r>
      <w:r>
        <w:rPr>
          <w:color w:val="231F20"/>
        </w:rPr>
        <w:t>du</w:t>
      </w:r>
      <w:r>
        <w:rPr>
          <w:color w:val="231F20"/>
          <w:spacing w:val="-15"/>
        </w:rPr>
        <w:t> </w:t>
      </w:r>
      <w:r>
        <w:rPr>
          <w:color w:val="231F20"/>
        </w:rPr>
        <w:t>sud</w:t>
      </w:r>
      <w:r>
        <w:rPr>
          <w:color w:val="231F20"/>
          <w:spacing w:val="-15"/>
        </w:rPr>
        <w:t> </w:t>
      </w:r>
      <w:r>
        <w:rPr>
          <w:color w:val="231F20"/>
        </w:rPr>
        <w:t>sur</w:t>
      </w:r>
      <w:r>
        <w:rPr>
          <w:color w:val="231F20"/>
          <w:spacing w:val="-15"/>
        </w:rPr>
        <w:t> </w:t>
      </w:r>
      <w:r>
        <w:rPr>
          <w:color w:val="231F20"/>
        </w:rPr>
        <w:t>celles</w:t>
      </w:r>
      <w:r>
        <w:rPr>
          <w:color w:val="231F20"/>
          <w:spacing w:val="-15"/>
        </w:rPr>
        <w:t> </w:t>
      </w:r>
      <w:r>
        <w:rPr>
          <w:color w:val="231F20"/>
        </w:rPr>
        <w:t>du</w:t>
      </w:r>
      <w:r>
        <w:rPr>
          <w:color w:val="231F20"/>
          <w:spacing w:val="-15"/>
        </w:rPr>
        <w:t> </w:t>
      </w:r>
      <w:r>
        <w:rPr>
          <w:color w:val="231F20"/>
        </w:rPr>
        <w:t>nord</w:t>
      </w:r>
      <w:r>
        <w:rPr>
          <w:color w:val="231F20"/>
          <w:spacing w:val="-15"/>
        </w:rPr>
        <w:t> </w:t>
      </w:r>
      <w:r>
        <w:rPr>
          <w:color w:val="231F20"/>
        </w:rPr>
        <w:t>et</w:t>
      </w:r>
      <w:r>
        <w:rPr>
          <w:color w:val="231F20"/>
          <w:spacing w:val="-15"/>
        </w:rPr>
        <w:t> </w:t>
      </w:r>
      <w:r>
        <w:rPr>
          <w:color w:val="231F20"/>
        </w:rPr>
        <w:t>du</w:t>
      </w:r>
      <w:r>
        <w:rPr>
          <w:color w:val="231F20"/>
          <w:spacing w:val="-15"/>
        </w:rPr>
        <w:t> </w:t>
      </w:r>
      <w:r>
        <w:rPr>
          <w:color w:val="231F20"/>
        </w:rPr>
        <w:t>centre.</w:t>
      </w:r>
      <w:r>
        <w:rPr>
          <w:color w:val="231F20"/>
          <w:spacing w:val="-15"/>
        </w:rPr>
        <w:t> </w:t>
      </w:r>
      <w:r>
        <w:rPr>
          <w:color w:val="231F20"/>
        </w:rPr>
        <w:t>Pour</w:t>
      </w:r>
      <w:r>
        <w:rPr>
          <w:color w:val="231F20"/>
          <w:spacing w:val="-15"/>
        </w:rPr>
        <w:t> </w:t>
      </w:r>
      <w:r>
        <w:rPr>
          <w:color w:val="231F20"/>
        </w:rPr>
        <w:t>elles,</w:t>
      </w:r>
      <w:r>
        <w:rPr>
          <w:color w:val="231F20"/>
          <w:spacing w:val="-15"/>
        </w:rPr>
        <w:t> </w:t>
      </w:r>
      <w:r>
        <w:rPr>
          <w:color w:val="231F20"/>
        </w:rPr>
        <w:t>ce sont</w:t>
      </w:r>
      <w:r>
        <w:rPr>
          <w:color w:val="231F20"/>
          <w:spacing w:val="-2"/>
        </w:rPr>
        <w:t> </w:t>
      </w:r>
      <w:r>
        <w:rPr>
          <w:color w:val="231F20"/>
        </w:rPr>
        <w:t>des</w:t>
      </w:r>
      <w:r>
        <w:rPr>
          <w:color w:val="231F20"/>
          <w:spacing w:val="-1"/>
        </w:rPr>
        <w:t> </w:t>
      </w:r>
      <w:r>
        <w:rPr>
          <w:color w:val="231F20"/>
        </w:rPr>
        <w:t>Noirs,</w:t>
      </w:r>
      <w:r>
        <w:rPr>
          <w:color w:val="231F20"/>
          <w:spacing w:val="-3"/>
        </w:rPr>
        <w:t> </w:t>
      </w:r>
      <w:r>
        <w:rPr>
          <w:color w:val="231F20"/>
        </w:rPr>
        <w:t>des</w:t>
      </w:r>
      <w:r>
        <w:rPr>
          <w:color w:val="231F20"/>
          <w:spacing w:val="-1"/>
        </w:rPr>
        <w:t> </w:t>
      </w:r>
      <w:r>
        <w:rPr>
          <w:color w:val="231F20"/>
        </w:rPr>
        <w:t>esclaves</w:t>
      </w:r>
      <w:r>
        <w:rPr>
          <w:color w:val="231F20"/>
          <w:spacing w:val="-1"/>
        </w:rPr>
        <w:t> </w:t>
      </w:r>
      <w:r>
        <w:rPr>
          <w:color w:val="231F20"/>
        </w:rPr>
        <w:t>qui</w:t>
      </w:r>
      <w:r>
        <w:rPr>
          <w:color w:val="231F20"/>
          <w:spacing w:val="-2"/>
        </w:rPr>
        <w:t> </w:t>
      </w:r>
      <w:r>
        <w:rPr>
          <w:color w:val="231F20"/>
        </w:rPr>
        <w:t>dirigent le</w:t>
      </w:r>
      <w:r>
        <w:rPr>
          <w:color w:val="231F20"/>
          <w:spacing w:val="-2"/>
        </w:rPr>
        <w:t> </w:t>
      </w:r>
      <w:r>
        <w:rPr>
          <w:color w:val="231F20"/>
        </w:rPr>
        <w:t>pays</w:t>
      </w:r>
      <w:r>
        <w:rPr>
          <w:color w:val="231F20"/>
          <w:spacing w:val="-1"/>
        </w:rPr>
        <w:t> </w:t>
      </w:r>
      <w:r>
        <w:rPr>
          <w:color w:val="231F20"/>
        </w:rPr>
        <w:t>!</w:t>
      </w:r>
    </w:p>
    <w:p>
      <w:pPr>
        <w:pStyle w:val="BodyText"/>
        <w:spacing w:before="120"/>
        <w:ind w:right="103" w:firstLine="283"/>
      </w:pPr>
      <w:r>
        <w:rPr>
          <w:color w:val="231F20"/>
          <w:spacing w:val="-2"/>
        </w:rPr>
        <w:t>Dès</w:t>
      </w:r>
      <w:r>
        <w:rPr>
          <w:color w:val="231F20"/>
          <w:spacing w:val="-10"/>
        </w:rPr>
        <w:t> </w:t>
      </w:r>
      <w:r>
        <w:rPr>
          <w:color w:val="231F20"/>
          <w:spacing w:val="-2"/>
        </w:rPr>
        <w:t>1963,</w:t>
      </w:r>
      <w:r>
        <w:rPr>
          <w:color w:val="231F20"/>
          <w:spacing w:val="-13"/>
        </w:rPr>
        <w:t> </w:t>
      </w:r>
      <w:r>
        <w:rPr>
          <w:color w:val="231F20"/>
          <w:spacing w:val="-2"/>
        </w:rPr>
        <w:t>Tombalbaye</w:t>
      </w:r>
      <w:r>
        <w:rPr>
          <w:color w:val="231F20"/>
          <w:spacing w:val="-10"/>
        </w:rPr>
        <w:t> </w:t>
      </w:r>
      <w:r>
        <w:rPr>
          <w:color w:val="231F20"/>
          <w:spacing w:val="-2"/>
        </w:rPr>
        <w:t>réprime</w:t>
      </w:r>
      <w:r>
        <w:rPr>
          <w:color w:val="231F20"/>
          <w:spacing w:val="-10"/>
        </w:rPr>
        <w:t> </w:t>
      </w:r>
      <w:r>
        <w:rPr>
          <w:color w:val="231F20"/>
          <w:spacing w:val="-2"/>
        </w:rPr>
        <w:t>durement</w:t>
      </w:r>
      <w:r>
        <w:rPr>
          <w:color w:val="231F20"/>
          <w:spacing w:val="-12"/>
        </w:rPr>
        <w:t> </w:t>
      </w:r>
      <w:r>
        <w:rPr>
          <w:color w:val="231F20"/>
          <w:spacing w:val="-2"/>
        </w:rPr>
        <w:t>les</w:t>
      </w:r>
      <w:r>
        <w:rPr>
          <w:color w:val="231F20"/>
          <w:spacing w:val="-10"/>
        </w:rPr>
        <w:t> </w:t>
      </w:r>
      <w:r>
        <w:rPr>
          <w:color w:val="231F20"/>
          <w:spacing w:val="-2"/>
        </w:rPr>
        <w:t>révoltes</w:t>
      </w:r>
      <w:r>
        <w:rPr>
          <w:color w:val="231F20"/>
          <w:spacing w:val="-10"/>
        </w:rPr>
        <w:t> </w:t>
      </w:r>
      <w:r>
        <w:rPr>
          <w:color w:val="231F20"/>
          <w:spacing w:val="-2"/>
        </w:rPr>
        <w:t>des</w:t>
      </w:r>
      <w:r>
        <w:rPr>
          <w:color w:val="231F20"/>
          <w:spacing w:val="-10"/>
        </w:rPr>
        <w:t> </w:t>
      </w:r>
      <w:r>
        <w:rPr>
          <w:color w:val="231F20"/>
          <w:spacing w:val="-2"/>
        </w:rPr>
        <w:t>musulmans </w:t>
      </w:r>
      <w:r>
        <w:rPr>
          <w:color w:val="231F20"/>
        </w:rPr>
        <w:t>du Nord. En</w:t>
      </w:r>
      <w:r>
        <w:rPr>
          <w:color w:val="231F20"/>
          <w:spacing w:val="-14"/>
        </w:rPr>
        <w:t> </w:t>
      </w:r>
      <w:r>
        <w:rPr>
          <w:color w:val="231F20"/>
        </w:rPr>
        <w:t>octobre 1965, lors du soulèvement de paysans du Nord </w:t>
      </w:r>
      <w:r>
        <w:rPr>
          <w:color w:val="231F20"/>
          <w:spacing w:val="-2"/>
        </w:rPr>
        <w:t>contre</w:t>
      </w:r>
      <w:r>
        <w:rPr>
          <w:color w:val="231F20"/>
          <w:spacing w:val="-13"/>
        </w:rPr>
        <w:t> </w:t>
      </w:r>
      <w:r>
        <w:rPr>
          <w:color w:val="231F20"/>
          <w:spacing w:val="-2"/>
        </w:rPr>
        <w:t>un</w:t>
      </w:r>
      <w:r>
        <w:rPr>
          <w:color w:val="231F20"/>
          <w:spacing w:val="-13"/>
        </w:rPr>
        <w:t> </w:t>
      </w:r>
      <w:r>
        <w:rPr>
          <w:color w:val="231F20"/>
          <w:spacing w:val="-2"/>
        </w:rPr>
        <w:t>emprunt</w:t>
      </w:r>
      <w:r>
        <w:rPr>
          <w:color w:val="231F20"/>
          <w:spacing w:val="-12"/>
        </w:rPr>
        <w:t> </w:t>
      </w:r>
      <w:r>
        <w:rPr>
          <w:color w:val="231F20"/>
          <w:spacing w:val="-2"/>
        </w:rPr>
        <w:t>forcé</w:t>
      </w:r>
      <w:r>
        <w:rPr>
          <w:color w:val="231F20"/>
          <w:spacing w:val="-12"/>
        </w:rPr>
        <w:t> </w:t>
      </w:r>
      <w:r>
        <w:rPr>
          <w:color w:val="231F20"/>
          <w:spacing w:val="-2"/>
        </w:rPr>
        <w:t>payable</w:t>
      </w:r>
      <w:r>
        <w:rPr>
          <w:color w:val="231F20"/>
          <w:spacing w:val="-13"/>
        </w:rPr>
        <w:t> </w:t>
      </w:r>
      <w:r>
        <w:rPr>
          <w:color w:val="231F20"/>
          <w:spacing w:val="-2"/>
        </w:rPr>
        <w:t>en</w:t>
      </w:r>
      <w:r>
        <w:rPr>
          <w:color w:val="231F20"/>
          <w:spacing w:val="-12"/>
        </w:rPr>
        <w:t> </w:t>
      </w:r>
      <w:r>
        <w:rPr>
          <w:color w:val="231F20"/>
          <w:spacing w:val="-2"/>
        </w:rPr>
        <w:t>bétail</w:t>
      </w:r>
      <w:r>
        <w:rPr>
          <w:color w:val="231F20"/>
          <w:spacing w:val="-11"/>
        </w:rPr>
        <w:t> </w:t>
      </w:r>
      <w:r>
        <w:rPr>
          <w:color w:val="231F20"/>
          <w:spacing w:val="-2"/>
        </w:rPr>
        <w:t>et</w:t>
      </w:r>
      <w:r>
        <w:rPr>
          <w:color w:val="231F20"/>
          <w:spacing w:val="-13"/>
        </w:rPr>
        <w:t> </w:t>
      </w:r>
      <w:r>
        <w:rPr>
          <w:color w:val="231F20"/>
          <w:spacing w:val="-2"/>
        </w:rPr>
        <w:t>le</w:t>
      </w:r>
      <w:r>
        <w:rPr>
          <w:color w:val="231F20"/>
          <w:spacing w:val="-12"/>
        </w:rPr>
        <w:t> </w:t>
      </w:r>
      <w:r>
        <w:rPr>
          <w:color w:val="231F20"/>
          <w:spacing w:val="-2"/>
        </w:rPr>
        <w:t>quadruplement</w:t>
      </w:r>
      <w:r>
        <w:rPr>
          <w:color w:val="231F20"/>
          <w:spacing w:val="-11"/>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"taxe civique”,</w:t>
      </w:r>
      <w:r>
        <w:rPr>
          <w:color w:val="231F20"/>
          <w:spacing w:val="-15"/>
        </w:rPr>
        <w:t> </w:t>
      </w:r>
      <w:r>
        <w:rPr>
          <w:color w:val="231F20"/>
          <w:spacing w:val="-2"/>
        </w:rPr>
        <w:t>une</w:t>
      </w:r>
      <w:r>
        <w:rPr>
          <w:color w:val="231F20"/>
          <w:spacing w:val="-13"/>
        </w:rPr>
        <w:t> </w:t>
      </w:r>
      <w:r>
        <w:rPr>
          <w:color w:val="231F20"/>
          <w:spacing w:val="-2"/>
        </w:rPr>
        <w:t>dizaine</w:t>
      </w:r>
      <w:r>
        <w:rPr>
          <w:color w:val="231F20"/>
          <w:spacing w:val="-13"/>
        </w:rPr>
        <w:t> </w:t>
      </w:r>
      <w:r>
        <w:rPr>
          <w:color w:val="231F20"/>
          <w:spacing w:val="-2"/>
        </w:rPr>
        <w:t>de</w:t>
      </w:r>
      <w:r>
        <w:rPr>
          <w:color w:val="231F20"/>
          <w:spacing w:val="-13"/>
        </w:rPr>
        <w:t> </w:t>
      </w:r>
      <w:r>
        <w:rPr>
          <w:color w:val="231F20"/>
          <w:spacing w:val="-2"/>
        </w:rPr>
        <w:t>fonctionnaires</w:t>
      </w:r>
      <w:r>
        <w:rPr>
          <w:color w:val="231F20"/>
          <w:spacing w:val="-13"/>
        </w:rPr>
        <w:t> </w:t>
      </w:r>
      <w:r>
        <w:rPr>
          <w:color w:val="231F20"/>
          <w:spacing w:val="-2"/>
        </w:rPr>
        <w:t>sont</w:t>
      </w:r>
      <w:r>
        <w:rPr>
          <w:color w:val="231F20"/>
          <w:spacing w:val="-13"/>
        </w:rPr>
        <w:t> </w:t>
      </w:r>
      <w:r>
        <w:rPr>
          <w:color w:val="231F20"/>
          <w:spacing w:val="-2"/>
        </w:rPr>
        <w:t>tués.</w:t>
      </w:r>
      <w:r>
        <w:rPr>
          <w:color w:val="231F20"/>
          <w:spacing w:val="-13"/>
        </w:rPr>
        <w:t> </w:t>
      </w:r>
      <w:r>
        <w:rPr>
          <w:color w:val="231F20"/>
          <w:spacing w:val="-2"/>
        </w:rPr>
        <w:t>En</w:t>
      </w:r>
      <w:r>
        <w:rPr>
          <w:color w:val="231F20"/>
          <w:spacing w:val="-13"/>
        </w:rPr>
        <w:t> </w:t>
      </w:r>
      <w:r>
        <w:rPr>
          <w:color w:val="231F20"/>
          <w:spacing w:val="-2"/>
        </w:rPr>
        <w:t>représailles,</w:t>
      </w:r>
      <w:r>
        <w:rPr>
          <w:color w:val="231F20"/>
          <w:spacing w:val="-13"/>
        </w:rPr>
        <w:t> </w:t>
      </w:r>
      <w:r>
        <w:rPr>
          <w:color w:val="231F20"/>
          <w:spacing w:val="-2"/>
        </w:rPr>
        <w:t>l’armée </w:t>
      </w:r>
      <w:r>
        <w:rPr>
          <w:color w:val="231F20"/>
        </w:rPr>
        <w:t>nationale tchadienne rase plusieurs villages.</w:t>
      </w:r>
    </w:p>
    <w:p>
      <w:pPr>
        <w:pStyle w:val="BodyText"/>
        <w:spacing w:before="120"/>
        <w:ind w:right="103" w:firstLine="283"/>
      </w:pPr>
      <w:r>
        <w:rPr>
          <w:color w:val="231F20"/>
          <w:spacing w:val="-2"/>
        </w:rPr>
        <w:t>Des</w:t>
      </w:r>
      <w:r>
        <w:rPr>
          <w:color w:val="231F20"/>
          <w:spacing w:val="-7"/>
        </w:rPr>
        <w:t> </w:t>
      </w:r>
      <w:r>
        <w:rPr>
          <w:color w:val="231F20"/>
          <w:spacing w:val="-2"/>
        </w:rPr>
        <w:t>soulèvements</w:t>
      </w:r>
      <w:r>
        <w:rPr>
          <w:color w:val="231F20"/>
          <w:spacing w:val="-6"/>
        </w:rPr>
        <w:t> </w:t>
      </w:r>
      <w:r>
        <w:rPr>
          <w:color w:val="231F20"/>
          <w:spacing w:val="-2"/>
        </w:rPr>
        <w:t>éclatent</w:t>
      </w:r>
      <w:r>
        <w:rPr>
          <w:color w:val="231F20"/>
          <w:spacing w:val="-6"/>
        </w:rPr>
        <w:t> </w:t>
      </w:r>
      <w:r>
        <w:rPr>
          <w:color w:val="231F20"/>
          <w:spacing w:val="-2"/>
        </w:rPr>
        <w:t>régulièrement</w:t>
      </w:r>
      <w:r>
        <w:rPr>
          <w:color w:val="231F20"/>
          <w:spacing w:val="-6"/>
        </w:rPr>
        <w:t> </w:t>
      </w:r>
      <w:r>
        <w:rPr>
          <w:color w:val="231F20"/>
          <w:spacing w:val="-2"/>
        </w:rPr>
        <w:t>dans</w:t>
      </w:r>
      <w:r>
        <w:rPr>
          <w:color w:val="231F20"/>
          <w:spacing w:val="-8"/>
        </w:rPr>
        <w:t> </w:t>
      </w:r>
      <w:r>
        <w:rPr>
          <w:color w:val="231F20"/>
          <w:spacing w:val="-2"/>
        </w:rPr>
        <w:t>le</w:t>
      </w:r>
      <w:r>
        <w:rPr>
          <w:color w:val="231F20"/>
          <w:spacing w:val="-7"/>
        </w:rPr>
        <w:t> </w:t>
      </w:r>
      <w:r>
        <w:rPr>
          <w:color w:val="231F20"/>
          <w:spacing w:val="-2"/>
        </w:rPr>
        <w:t>Nord,</w:t>
      </w:r>
      <w:r>
        <w:rPr>
          <w:color w:val="231F20"/>
          <w:spacing w:val="-7"/>
        </w:rPr>
        <w:t> </w:t>
      </w:r>
      <w:r>
        <w:rPr>
          <w:color w:val="231F20"/>
          <w:spacing w:val="-2"/>
        </w:rPr>
        <w:t>réprimées</w:t>
      </w:r>
      <w:r>
        <w:rPr>
          <w:color w:val="231F20"/>
          <w:spacing w:val="-5"/>
        </w:rPr>
        <w:t> </w:t>
      </w:r>
      <w:r>
        <w:rPr>
          <w:color w:val="231F20"/>
          <w:spacing w:val="-2"/>
        </w:rPr>
        <w:t>par </w:t>
      </w:r>
      <w:r>
        <w:rPr>
          <w:color w:val="231F20"/>
        </w:rPr>
        <w:t>le</w:t>
      </w:r>
      <w:r>
        <w:rPr>
          <w:color w:val="231F20"/>
          <w:spacing w:val="-6"/>
        </w:rPr>
        <w:t> </w:t>
      </w:r>
      <w:r>
        <w:rPr>
          <w:color w:val="231F20"/>
        </w:rPr>
        <w:t>gouvernement.</w:t>
      </w:r>
      <w:r>
        <w:rPr>
          <w:color w:val="231F20"/>
          <w:spacing w:val="-7"/>
        </w:rPr>
        <w:t> </w:t>
      </w:r>
      <w:r>
        <w:rPr>
          <w:color w:val="231F20"/>
        </w:rPr>
        <w:t>Réfugiés</w:t>
      </w:r>
      <w:r>
        <w:rPr>
          <w:color w:val="231F20"/>
          <w:spacing w:val="-6"/>
        </w:rPr>
        <w:t> </w:t>
      </w:r>
      <w:r>
        <w:rPr>
          <w:color w:val="231F20"/>
        </w:rPr>
        <w:t>au</w:t>
      </w:r>
      <w:r>
        <w:rPr>
          <w:color w:val="231F20"/>
          <w:spacing w:val="-6"/>
        </w:rPr>
        <w:t> </w:t>
      </w:r>
      <w:r>
        <w:rPr>
          <w:color w:val="231F20"/>
        </w:rPr>
        <w:t>Soudan,</w:t>
      </w:r>
      <w:r>
        <w:rPr>
          <w:color w:val="231F20"/>
          <w:spacing w:val="-6"/>
        </w:rPr>
        <w:t> </w:t>
      </w:r>
      <w:r>
        <w:rPr>
          <w:color w:val="231F20"/>
        </w:rPr>
        <w:t>les</w:t>
      </w:r>
      <w:r>
        <w:rPr>
          <w:color w:val="231F20"/>
          <w:spacing w:val="-7"/>
        </w:rPr>
        <w:t> </w:t>
      </w:r>
      <w:r>
        <w:rPr>
          <w:color w:val="231F20"/>
        </w:rPr>
        <w:t>leaders</w:t>
      </w:r>
      <w:r>
        <w:rPr>
          <w:color w:val="231F20"/>
          <w:spacing w:val="-7"/>
        </w:rPr>
        <w:t> </w:t>
      </w:r>
      <w:r>
        <w:rPr>
          <w:color w:val="231F20"/>
        </w:rPr>
        <w:t>du</w:t>
      </w:r>
      <w:r>
        <w:rPr>
          <w:color w:val="231F20"/>
          <w:spacing w:val="-4"/>
        </w:rPr>
        <w:t> </w:t>
      </w:r>
      <w:r>
        <w:rPr>
          <w:color w:val="231F20"/>
        </w:rPr>
        <w:t>Nord,</w:t>
      </w:r>
      <w:r>
        <w:rPr>
          <w:color w:val="231F20"/>
          <w:spacing w:val="-6"/>
        </w:rPr>
        <w:t> </w:t>
      </w:r>
      <w:r>
        <w:rPr>
          <w:color w:val="231F20"/>
        </w:rPr>
        <w:t>en</w:t>
      </w:r>
      <w:r>
        <w:rPr>
          <w:color w:val="231F20"/>
          <w:spacing w:val="-6"/>
        </w:rPr>
        <w:t> </w:t>
      </w:r>
      <w:r>
        <w:rPr>
          <w:color w:val="231F20"/>
        </w:rPr>
        <w:t>majorité des</w:t>
      </w:r>
      <w:r>
        <w:rPr>
          <w:color w:val="231F20"/>
          <w:spacing w:val="-15"/>
        </w:rPr>
        <w:t> </w:t>
      </w:r>
      <w:r>
        <w:rPr>
          <w:color w:val="231F20"/>
        </w:rPr>
        <w:t>musulmans</w:t>
      </w:r>
      <w:r>
        <w:rPr>
          <w:color w:val="231F20"/>
          <w:spacing w:val="-15"/>
        </w:rPr>
        <w:t> </w:t>
      </w:r>
      <w:r>
        <w:rPr>
          <w:color w:val="231F20"/>
        </w:rPr>
        <w:t>du</w:t>
      </w:r>
      <w:r>
        <w:rPr>
          <w:color w:val="231F20"/>
          <w:spacing w:val="-15"/>
        </w:rPr>
        <w:t> </w:t>
      </w:r>
      <w:r>
        <w:rPr>
          <w:color w:val="231F20"/>
        </w:rPr>
        <w:t>Nord</w:t>
      </w:r>
      <w:r>
        <w:rPr>
          <w:color w:val="231F20"/>
          <w:spacing w:val="-15"/>
        </w:rPr>
        <w:t> </w:t>
      </w:r>
      <w:r>
        <w:rPr>
          <w:color w:val="231F20"/>
        </w:rPr>
        <w:t>et</w:t>
      </w:r>
      <w:r>
        <w:rPr>
          <w:color w:val="231F20"/>
          <w:spacing w:val="-15"/>
        </w:rPr>
        <w:t> </w:t>
      </w:r>
      <w:r>
        <w:rPr>
          <w:color w:val="231F20"/>
        </w:rPr>
        <w:t>du</w:t>
      </w:r>
      <w:r>
        <w:rPr>
          <w:color w:val="231F20"/>
          <w:spacing w:val="-15"/>
        </w:rPr>
        <w:t> </w:t>
      </w:r>
      <w:r>
        <w:rPr>
          <w:color w:val="231F20"/>
        </w:rPr>
        <w:t>Centre-Est</w:t>
      </w:r>
      <w:r>
        <w:rPr>
          <w:color w:val="231F20"/>
          <w:spacing w:val="-15"/>
        </w:rPr>
        <w:t> </w:t>
      </w:r>
      <w:r>
        <w:rPr>
          <w:color w:val="231F20"/>
        </w:rPr>
        <w:t>unissent</w:t>
      </w:r>
      <w:r>
        <w:rPr>
          <w:color w:val="231F20"/>
          <w:spacing w:val="-15"/>
        </w:rPr>
        <w:t> </w:t>
      </w:r>
      <w:r>
        <w:rPr>
          <w:color w:val="231F20"/>
        </w:rPr>
        <w:t>leurs</w:t>
      </w:r>
      <w:r>
        <w:rPr>
          <w:color w:val="231F20"/>
          <w:spacing w:val="-15"/>
        </w:rPr>
        <w:t> </w:t>
      </w:r>
      <w:r>
        <w:rPr>
          <w:color w:val="231F20"/>
        </w:rPr>
        <w:t>forces</w:t>
      </w:r>
      <w:r>
        <w:rPr>
          <w:color w:val="231F20"/>
          <w:spacing w:val="-15"/>
        </w:rPr>
        <w:t> </w:t>
      </w:r>
      <w:r>
        <w:rPr>
          <w:color w:val="231F20"/>
        </w:rPr>
        <w:t>au</w:t>
      </w:r>
      <w:r>
        <w:rPr>
          <w:color w:val="231F20"/>
          <w:spacing w:val="-15"/>
        </w:rPr>
        <w:t> </w:t>
      </w:r>
      <w:r>
        <w:rPr>
          <w:color w:val="231F20"/>
        </w:rPr>
        <w:t>sein</w:t>
      </w:r>
      <w:r>
        <w:rPr>
          <w:color w:val="231F20"/>
          <w:spacing w:val="-15"/>
        </w:rPr>
        <w:t> </w:t>
      </w:r>
      <w:r>
        <w:rPr>
          <w:color w:val="231F20"/>
        </w:rPr>
        <w:t>de l'Union nationale tchadienne</w:t>
      </w:r>
      <w:r>
        <w:rPr>
          <w:color w:val="231F20"/>
          <w:spacing w:val="-15"/>
        </w:rPr>
        <w:t> </w:t>
      </w:r>
      <w:r>
        <w:rPr>
          <w:color w:val="231F20"/>
        </w:rPr>
        <w:t>dirigée par Ibrahim Abatcha</w:t>
      </w:r>
      <w:r>
        <w:rPr>
          <w:color w:val="231F20"/>
          <w:vertAlign w:val="superscript"/>
        </w:rPr>
        <w:t>72</w:t>
      </w:r>
      <w:r>
        <w:rPr>
          <w:color w:val="231F20"/>
          <w:vertAlign w:val="baseline"/>
        </w:rPr>
        <w:t> qui fonde ensuite</w:t>
      </w:r>
      <w:r>
        <w:rPr>
          <w:color w:val="231F20"/>
          <w:spacing w:val="-12"/>
          <w:vertAlign w:val="baseline"/>
        </w:rPr>
        <w:t> </w:t>
      </w:r>
      <w:r>
        <w:rPr>
          <w:color w:val="231F20"/>
          <w:vertAlign w:val="baseline"/>
        </w:rPr>
        <w:t>le</w:t>
      </w:r>
      <w:r>
        <w:rPr>
          <w:color w:val="231F20"/>
          <w:spacing w:val="-15"/>
          <w:vertAlign w:val="baseline"/>
        </w:rPr>
        <w:t> </w:t>
      </w:r>
      <w:r>
        <w:rPr>
          <w:color w:val="231F20"/>
          <w:vertAlign w:val="baseline"/>
        </w:rPr>
        <w:t>Front</w:t>
      </w:r>
      <w:r>
        <w:rPr>
          <w:color w:val="231F20"/>
          <w:spacing w:val="-6"/>
          <w:vertAlign w:val="baseline"/>
        </w:rPr>
        <w:t> </w:t>
      </w:r>
      <w:r>
        <w:rPr>
          <w:color w:val="231F20"/>
          <w:vertAlign w:val="baseline"/>
        </w:rPr>
        <w:t>de</w:t>
      </w:r>
      <w:r>
        <w:rPr>
          <w:color w:val="231F20"/>
          <w:spacing w:val="-7"/>
          <w:vertAlign w:val="baseline"/>
        </w:rPr>
        <w:t> </w:t>
      </w:r>
      <w:r>
        <w:rPr>
          <w:color w:val="231F20"/>
          <w:vertAlign w:val="baseline"/>
        </w:rPr>
        <w:t>libération</w:t>
      </w:r>
      <w:r>
        <w:rPr>
          <w:color w:val="231F20"/>
          <w:spacing w:val="-7"/>
          <w:vertAlign w:val="baseline"/>
        </w:rPr>
        <w:t> </w:t>
      </w:r>
      <w:r>
        <w:rPr>
          <w:color w:val="231F20"/>
          <w:vertAlign w:val="baseline"/>
        </w:rPr>
        <w:t>du</w:t>
      </w:r>
      <w:r>
        <w:rPr>
          <w:color w:val="231F20"/>
          <w:spacing w:val="-7"/>
          <w:vertAlign w:val="baseline"/>
        </w:rPr>
        <w:t> </w:t>
      </w:r>
      <w:r>
        <w:rPr>
          <w:color w:val="231F20"/>
          <w:vertAlign w:val="baseline"/>
        </w:rPr>
        <w:t>Tchad</w:t>
      </w:r>
      <w:r>
        <w:rPr>
          <w:color w:val="231F20"/>
          <w:spacing w:val="-3"/>
          <w:vertAlign w:val="baseline"/>
        </w:rPr>
        <w:t> </w:t>
      </w:r>
      <w:r>
        <w:rPr>
          <w:color w:val="231F20"/>
          <w:vertAlign w:val="baseline"/>
        </w:rPr>
        <w:t>(FROLINAT),</w:t>
      </w:r>
      <w:r>
        <w:rPr>
          <w:color w:val="231F20"/>
          <w:spacing w:val="-4"/>
          <w:vertAlign w:val="baseline"/>
        </w:rPr>
        <w:t> </w:t>
      </w:r>
      <w:r>
        <w:rPr>
          <w:color w:val="231F20"/>
          <w:vertAlign w:val="baseline"/>
        </w:rPr>
        <w:t>une</w:t>
      </w:r>
      <w:r>
        <w:rPr>
          <w:color w:val="231F20"/>
          <w:spacing w:val="-7"/>
          <w:vertAlign w:val="baseline"/>
        </w:rPr>
        <w:t> </w:t>
      </w:r>
      <w:r>
        <w:rPr>
          <w:color w:val="231F20"/>
          <w:vertAlign w:val="baseline"/>
        </w:rPr>
        <w:t>organisation politico-militaire dont l'objectif est de lutter contre le régime sudiste considéré</w:t>
      </w:r>
      <w:r>
        <w:rPr>
          <w:color w:val="231F20"/>
          <w:spacing w:val="-15"/>
          <w:vertAlign w:val="baseline"/>
        </w:rPr>
        <w:t> </w:t>
      </w:r>
      <w:r>
        <w:rPr>
          <w:color w:val="231F20"/>
          <w:vertAlign w:val="baseline"/>
        </w:rPr>
        <w:t>comme</w:t>
      </w:r>
      <w:r>
        <w:rPr>
          <w:color w:val="231F20"/>
          <w:spacing w:val="-15"/>
          <w:vertAlign w:val="baseline"/>
        </w:rPr>
        <w:t> </w:t>
      </w:r>
      <w:r>
        <w:rPr>
          <w:color w:val="231F20"/>
          <w:vertAlign w:val="baseline"/>
        </w:rPr>
        <w:t>discriminant</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populations</w:t>
      </w:r>
      <w:r>
        <w:rPr>
          <w:color w:val="231F20"/>
          <w:spacing w:val="-15"/>
          <w:vertAlign w:val="baseline"/>
        </w:rPr>
        <w:t> </w:t>
      </w:r>
      <w:r>
        <w:rPr>
          <w:color w:val="231F20"/>
          <w:vertAlign w:val="baseline"/>
        </w:rPr>
        <w:t>musulmanes</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Nord,</w:t>
      </w:r>
      <w:r>
        <w:rPr>
          <w:color w:val="231F20"/>
          <w:spacing w:val="-15"/>
          <w:vertAlign w:val="baseline"/>
        </w:rPr>
        <w:t> </w:t>
      </w:r>
      <w:r>
        <w:rPr>
          <w:color w:val="231F20"/>
          <w:vertAlign w:val="baseline"/>
        </w:rPr>
        <w:t>du Centre</w:t>
      </w:r>
      <w:r>
        <w:rPr>
          <w:color w:val="231F20"/>
          <w:spacing w:val="-5"/>
          <w:vertAlign w:val="baseline"/>
        </w:rPr>
        <w:t> </w:t>
      </w:r>
      <w:r>
        <w:rPr>
          <w:color w:val="231F20"/>
          <w:vertAlign w:val="baseline"/>
        </w:rPr>
        <w:t>et</w:t>
      </w:r>
      <w:r>
        <w:rPr>
          <w:color w:val="231F20"/>
          <w:spacing w:val="-6"/>
          <w:vertAlign w:val="baseline"/>
        </w:rPr>
        <w:t> </w:t>
      </w:r>
      <w:r>
        <w:rPr>
          <w:color w:val="231F20"/>
          <w:vertAlign w:val="baseline"/>
        </w:rPr>
        <w:t>de</w:t>
      </w:r>
      <w:r>
        <w:rPr>
          <w:color w:val="231F20"/>
          <w:spacing w:val="-5"/>
          <w:vertAlign w:val="baseline"/>
        </w:rPr>
        <w:t> </w:t>
      </w:r>
      <w:r>
        <w:rPr>
          <w:color w:val="231F20"/>
          <w:vertAlign w:val="baseline"/>
        </w:rPr>
        <w:t>l’Est</w:t>
      </w:r>
      <w:r>
        <w:rPr>
          <w:color w:val="231F20"/>
          <w:spacing w:val="-6"/>
          <w:vertAlign w:val="baseline"/>
        </w:rPr>
        <w:t> </w:t>
      </w:r>
      <w:r>
        <w:rPr>
          <w:color w:val="231F20"/>
          <w:vertAlign w:val="baseline"/>
        </w:rPr>
        <w:t>et</w:t>
      </w:r>
      <w:r>
        <w:rPr>
          <w:color w:val="231F20"/>
          <w:spacing w:val="-5"/>
          <w:vertAlign w:val="baseline"/>
        </w:rPr>
        <w:t> </w:t>
      </w:r>
      <w:r>
        <w:rPr>
          <w:color w:val="231F20"/>
          <w:vertAlign w:val="baseline"/>
        </w:rPr>
        <w:t>le</w:t>
      </w:r>
      <w:r>
        <w:rPr>
          <w:color w:val="231F20"/>
          <w:spacing w:val="-5"/>
          <w:vertAlign w:val="baseline"/>
        </w:rPr>
        <w:t> </w:t>
      </w:r>
      <w:r>
        <w:rPr>
          <w:color w:val="231F20"/>
          <w:vertAlign w:val="baseline"/>
        </w:rPr>
        <w:t>renversement</w:t>
      </w:r>
      <w:r>
        <w:rPr>
          <w:color w:val="231F20"/>
          <w:spacing w:val="-4"/>
          <w:vertAlign w:val="baseline"/>
        </w:rPr>
        <w:t> </w:t>
      </w:r>
      <w:r>
        <w:rPr>
          <w:color w:val="231F20"/>
          <w:vertAlign w:val="baseline"/>
        </w:rPr>
        <w:t>par</w:t>
      </w:r>
      <w:r>
        <w:rPr>
          <w:color w:val="231F20"/>
          <w:spacing w:val="-5"/>
          <w:vertAlign w:val="baseline"/>
        </w:rPr>
        <w:t> </w:t>
      </w:r>
      <w:r>
        <w:rPr>
          <w:color w:val="231F20"/>
          <w:vertAlign w:val="baseline"/>
        </w:rPr>
        <w:t>la</w:t>
      </w:r>
      <w:r>
        <w:rPr>
          <w:color w:val="231F20"/>
          <w:spacing w:val="-6"/>
          <w:vertAlign w:val="baseline"/>
        </w:rPr>
        <w:t> </w:t>
      </w:r>
      <w:r>
        <w:rPr>
          <w:color w:val="231F20"/>
          <w:vertAlign w:val="baseline"/>
        </w:rPr>
        <w:t>force</w:t>
      </w:r>
      <w:r>
        <w:rPr>
          <w:color w:val="231F20"/>
          <w:spacing w:val="-5"/>
          <w:vertAlign w:val="baseline"/>
        </w:rPr>
        <w:t> </w:t>
      </w:r>
      <w:r>
        <w:rPr>
          <w:color w:val="231F20"/>
          <w:vertAlign w:val="baseline"/>
        </w:rPr>
        <w:t>du</w:t>
      </w:r>
      <w:r>
        <w:rPr>
          <w:color w:val="231F20"/>
          <w:spacing w:val="-4"/>
          <w:vertAlign w:val="baseline"/>
        </w:rPr>
        <w:t> </w:t>
      </w:r>
      <w:r>
        <w:rPr>
          <w:color w:val="231F20"/>
          <w:vertAlign w:val="baseline"/>
        </w:rPr>
        <w:t>régime</w:t>
      </w:r>
      <w:r>
        <w:rPr>
          <w:color w:val="231F20"/>
          <w:spacing w:val="-6"/>
          <w:vertAlign w:val="baseline"/>
        </w:rPr>
        <w:t> </w:t>
      </w:r>
      <w:r>
        <w:rPr>
          <w:color w:val="231F20"/>
          <w:vertAlign w:val="baseline"/>
        </w:rPr>
        <w:t>de</w:t>
      </w:r>
      <w:r>
        <w:rPr>
          <w:color w:val="231F20"/>
          <w:spacing w:val="-15"/>
          <w:vertAlign w:val="baseline"/>
        </w:rPr>
        <w:t> </w:t>
      </w:r>
      <w:r>
        <w:rPr>
          <w:color w:val="231F20"/>
          <w:vertAlign w:val="baseline"/>
        </w:rPr>
        <w:t>François Tombalbaye.Mais</w:t>
      </w:r>
      <w:r>
        <w:rPr>
          <w:color w:val="231F20"/>
          <w:spacing w:val="-12"/>
          <w:vertAlign w:val="baseline"/>
        </w:rPr>
        <w:t> </w:t>
      </w:r>
      <w:r>
        <w:rPr>
          <w:color w:val="231F20"/>
          <w:vertAlign w:val="baseline"/>
        </w:rPr>
        <w:t>peu</w:t>
      </w:r>
      <w:r>
        <w:rPr>
          <w:color w:val="231F20"/>
          <w:spacing w:val="-12"/>
          <w:vertAlign w:val="baseline"/>
        </w:rPr>
        <w:t> </w:t>
      </w:r>
      <w:r>
        <w:rPr>
          <w:color w:val="231F20"/>
          <w:vertAlign w:val="baseline"/>
        </w:rPr>
        <w:t>de</w:t>
      </w:r>
      <w:r>
        <w:rPr>
          <w:color w:val="231F20"/>
          <w:spacing w:val="-14"/>
          <w:vertAlign w:val="baseline"/>
        </w:rPr>
        <w:t> </w:t>
      </w:r>
      <w:r>
        <w:rPr>
          <w:color w:val="231F20"/>
          <w:vertAlign w:val="baseline"/>
        </w:rPr>
        <w:t>temps</w:t>
      </w:r>
      <w:r>
        <w:rPr>
          <w:color w:val="231F20"/>
          <w:spacing w:val="-12"/>
          <w:vertAlign w:val="baseline"/>
        </w:rPr>
        <w:t> </w:t>
      </w:r>
      <w:r>
        <w:rPr>
          <w:color w:val="231F20"/>
          <w:vertAlign w:val="baseline"/>
        </w:rPr>
        <w:t>après</w:t>
      </w:r>
      <w:r>
        <w:rPr>
          <w:color w:val="231F20"/>
          <w:spacing w:val="-14"/>
          <w:vertAlign w:val="baseline"/>
        </w:rPr>
        <w:t> </w:t>
      </w:r>
      <w:r>
        <w:rPr>
          <w:color w:val="231F20"/>
          <w:vertAlign w:val="baseline"/>
        </w:rPr>
        <w:t>sa</w:t>
      </w:r>
      <w:r>
        <w:rPr>
          <w:color w:val="231F20"/>
          <w:spacing w:val="-12"/>
          <w:vertAlign w:val="baseline"/>
        </w:rPr>
        <w:t> </w:t>
      </w:r>
      <w:r>
        <w:rPr>
          <w:color w:val="231F20"/>
          <w:vertAlign w:val="baseline"/>
        </w:rPr>
        <w:t>création,</w:t>
      </w:r>
      <w:r>
        <w:rPr>
          <w:color w:val="231F20"/>
          <w:spacing w:val="-12"/>
          <w:vertAlign w:val="baseline"/>
        </w:rPr>
        <w:t> </w:t>
      </w:r>
      <w:r>
        <w:rPr>
          <w:color w:val="231F20"/>
          <w:vertAlign w:val="baseline"/>
        </w:rPr>
        <w:t>le</w:t>
      </w:r>
      <w:r>
        <w:rPr>
          <w:color w:val="231F20"/>
          <w:spacing w:val="-12"/>
          <w:vertAlign w:val="baseline"/>
        </w:rPr>
        <w:t> </w:t>
      </w:r>
      <w:r>
        <w:rPr>
          <w:color w:val="231F20"/>
          <w:vertAlign w:val="baseline"/>
        </w:rPr>
        <w:t>FROLINAT</w:t>
      </w:r>
      <w:r>
        <w:rPr>
          <w:color w:val="231F20"/>
          <w:spacing w:val="-12"/>
          <w:vertAlign w:val="baseline"/>
        </w:rPr>
        <w:t> </w:t>
      </w:r>
      <w:r>
        <w:rPr>
          <w:color w:val="231F20"/>
          <w:vertAlign w:val="baseline"/>
        </w:rPr>
        <w:t>éclate en plusieurs mouvements dont les plus significatifs sont les Forces Armées</w:t>
      </w:r>
      <w:r>
        <w:rPr>
          <w:color w:val="231F20"/>
          <w:spacing w:val="-3"/>
          <w:vertAlign w:val="baseline"/>
        </w:rPr>
        <w:t> </w:t>
      </w:r>
      <w:r>
        <w:rPr>
          <w:color w:val="231F20"/>
          <w:vertAlign w:val="baseline"/>
        </w:rPr>
        <w:t>Populaires</w:t>
      </w:r>
      <w:r>
        <w:rPr>
          <w:color w:val="231F20"/>
          <w:spacing w:val="-3"/>
          <w:vertAlign w:val="baseline"/>
        </w:rPr>
        <w:t> </w:t>
      </w:r>
      <w:r>
        <w:rPr>
          <w:color w:val="231F20"/>
          <w:vertAlign w:val="baseline"/>
        </w:rPr>
        <w:t>(FAP)</w:t>
      </w:r>
      <w:r>
        <w:rPr>
          <w:color w:val="231F20"/>
          <w:spacing w:val="-3"/>
          <w:vertAlign w:val="baseline"/>
        </w:rPr>
        <w:t> </w:t>
      </w:r>
      <w:r>
        <w:rPr>
          <w:color w:val="231F20"/>
          <w:vertAlign w:val="baseline"/>
        </w:rPr>
        <w:t>et</w:t>
      </w:r>
      <w:r>
        <w:rPr>
          <w:color w:val="231F20"/>
          <w:spacing w:val="-3"/>
          <w:vertAlign w:val="baseline"/>
        </w:rPr>
        <w:t> </w:t>
      </w:r>
      <w:r>
        <w:rPr>
          <w:color w:val="231F20"/>
          <w:vertAlign w:val="baseline"/>
        </w:rPr>
        <w:t>les</w:t>
      </w:r>
      <w:r>
        <w:rPr>
          <w:color w:val="231F20"/>
          <w:spacing w:val="-4"/>
          <w:vertAlign w:val="baseline"/>
        </w:rPr>
        <w:t> </w:t>
      </w:r>
      <w:r>
        <w:rPr>
          <w:color w:val="231F20"/>
          <w:vertAlign w:val="baseline"/>
        </w:rPr>
        <w:t>Forces</w:t>
      </w:r>
      <w:r>
        <w:rPr>
          <w:color w:val="231F20"/>
          <w:spacing w:val="-3"/>
          <w:vertAlign w:val="baseline"/>
        </w:rPr>
        <w:t> </w:t>
      </w:r>
      <w:r>
        <w:rPr>
          <w:color w:val="231F20"/>
          <w:vertAlign w:val="baseline"/>
        </w:rPr>
        <w:t>Armées</w:t>
      </w:r>
      <w:r>
        <w:rPr>
          <w:color w:val="231F20"/>
          <w:spacing w:val="-5"/>
          <w:vertAlign w:val="baseline"/>
        </w:rPr>
        <w:t> </w:t>
      </w:r>
      <w:r>
        <w:rPr>
          <w:color w:val="231F20"/>
          <w:vertAlign w:val="baseline"/>
        </w:rPr>
        <w:t>du</w:t>
      </w:r>
      <w:r>
        <w:rPr>
          <w:color w:val="231F20"/>
          <w:spacing w:val="-5"/>
          <w:vertAlign w:val="baseline"/>
        </w:rPr>
        <w:t> </w:t>
      </w:r>
      <w:r>
        <w:rPr>
          <w:color w:val="231F20"/>
          <w:vertAlign w:val="baseline"/>
        </w:rPr>
        <w:t>Nord</w:t>
      </w:r>
      <w:r>
        <w:rPr>
          <w:color w:val="231F20"/>
          <w:spacing w:val="-3"/>
          <w:vertAlign w:val="baseline"/>
        </w:rPr>
        <w:t> </w:t>
      </w:r>
      <w:r>
        <w:rPr>
          <w:color w:val="231F20"/>
          <w:vertAlign w:val="baseline"/>
        </w:rPr>
        <w:t>(FAN).</w:t>
      </w:r>
    </w:p>
    <w:p>
      <w:pPr>
        <w:pStyle w:val="BodyText"/>
        <w:ind w:left="0"/>
        <w:jc w:val="left"/>
        <w:rPr>
          <w:sz w:val="20"/>
        </w:rPr>
      </w:pPr>
    </w:p>
    <w:p>
      <w:pPr>
        <w:pStyle w:val="BodyText"/>
        <w:ind w:left="0"/>
        <w:jc w:val="left"/>
        <w:rPr>
          <w:sz w:val="20"/>
        </w:rPr>
      </w:pPr>
    </w:p>
    <w:p>
      <w:pPr>
        <w:pStyle w:val="BodyText"/>
        <w:spacing w:before="25"/>
        <w:ind w:left="0"/>
        <w:jc w:val="left"/>
        <w:rPr>
          <w:sz w:val="20"/>
        </w:rPr>
      </w:pPr>
      <w:r>
        <w:rPr/>
        <mc:AlternateContent>
          <mc:Choice Requires="wps">
            <w:drawing>
              <wp:anchor distT="0" distB="0" distL="0" distR="0" allowOverlap="1" layoutInCell="1" locked="0" behindDoc="1" simplePos="0" relativeHeight="487611904">
                <wp:simplePos x="0" y="0"/>
                <wp:positionH relativeFrom="page">
                  <wp:posOffset>629907</wp:posOffset>
                </wp:positionH>
                <wp:positionV relativeFrom="paragraph">
                  <wp:posOffset>177378</wp:posOffset>
                </wp:positionV>
                <wp:extent cx="1829435" cy="9525"/>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966797pt;width:144.020pt;height:.72pt;mso-position-horizontal-relative:page;mso-position-vertical-relative:paragraph;z-index:-15704576;mso-wrap-distance-left:0;mso-wrap-distance-right:0" id="docshape62" filled="true" fillcolor="#231f20" stroked="false">
                <v:fill type="solid"/>
                <w10:wrap type="topAndBottom"/>
              </v:rect>
            </w:pict>
          </mc:Fallback>
        </mc:AlternateContent>
      </w:r>
    </w:p>
    <w:p>
      <w:pPr>
        <w:spacing w:before="94"/>
        <w:ind w:left="111" w:right="0" w:firstLine="0"/>
        <w:jc w:val="left"/>
        <w:rPr>
          <w:sz w:val="20"/>
        </w:rPr>
      </w:pPr>
      <w:r>
        <w:rPr>
          <w:color w:val="231F20"/>
          <w:sz w:val="20"/>
          <w:vertAlign w:val="superscript"/>
        </w:rPr>
        <w:t>72</w:t>
      </w:r>
      <w:r>
        <w:rPr>
          <w:color w:val="231F20"/>
          <w:sz w:val="20"/>
          <w:vertAlign w:val="baseline"/>
        </w:rPr>
        <w:t>premier</w:t>
      </w:r>
      <w:r>
        <w:rPr>
          <w:color w:val="231F20"/>
          <w:spacing w:val="10"/>
          <w:sz w:val="20"/>
          <w:vertAlign w:val="baseline"/>
        </w:rPr>
        <w:t> </w:t>
      </w:r>
      <w:r>
        <w:rPr>
          <w:color w:val="231F20"/>
          <w:sz w:val="20"/>
          <w:vertAlign w:val="baseline"/>
        </w:rPr>
        <w:t>chef</w:t>
      </w:r>
      <w:r>
        <w:rPr>
          <w:color w:val="231F20"/>
          <w:spacing w:val="10"/>
          <w:sz w:val="20"/>
          <w:vertAlign w:val="baseline"/>
        </w:rPr>
        <w:t> </w:t>
      </w:r>
      <w:r>
        <w:rPr>
          <w:color w:val="231F20"/>
          <w:sz w:val="20"/>
          <w:vertAlign w:val="baseline"/>
        </w:rPr>
        <w:t>et commandant.du</w:t>
      </w:r>
      <w:r>
        <w:rPr>
          <w:color w:val="231F20"/>
          <w:spacing w:val="10"/>
          <w:sz w:val="20"/>
          <w:vertAlign w:val="baseline"/>
        </w:rPr>
        <w:t> </w:t>
      </w:r>
      <w:r>
        <w:rPr>
          <w:color w:val="231F20"/>
          <w:sz w:val="20"/>
          <w:vertAlign w:val="baseline"/>
        </w:rPr>
        <w:t>FROLINAT,</w:t>
      </w:r>
      <w:r>
        <w:rPr>
          <w:color w:val="231F20"/>
          <w:spacing w:val="10"/>
          <w:sz w:val="20"/>
          <w:vertAlign w:val="baseline"/>
        </w:rPr>
        <w:t> </w:t>
      </w:r>
      <w:r>
        <w:rPr>
          <w:color w:val="231F20"/>
          <w:sz w:val="20"/>
          <w:vertAlign w:val="baseline"/>
        </w:rPr>
        <w:t>il est tué</w:t>
      </w:r>
      <w:r>
        <w:rPr>
          <w:color w:val="231F20"/>
          <w:spacing w:val="10"/>
          <w:sz w:val="20"/>
          <w:vertAlign w:val="baseline"/>
        </w:rPr>
        <w:t> </w:t>
      </w:r>
      <w:r>
        <w:rPr>
          <w:color w:val="231F20"/>
          <w:sz w:val="20"/>
          <w:vertAlign w:val="baseline"/>
        </w:rPr>
        <w:t>dans</w:t>
      </w:r>
      <w:r>
        <w:rPr>
          <w:color w:val="231F20"/>
          <w:spacing w:val="11"/>
          <w:sz w:val="20"/>
          <w:vertAlign w:val="baseline"/>
        </w:rPr>
        <w:t> </w:t>
      </w:r>
      <w:r>
        <w:rPr>
          <w:color w:val="231F20"/>
          <w:sz w:val="20"/>
          <w:vertAlign w:val="baseline"/>
        </w:rPr>
        <w:t>un</w:t>
      </w:r>
      <w:r>
        <w:rPr>
          <w:color w:val="231F20"/>
          <w:spacing w:val="10"/>
          <w:sz w:val="20"/>
          <w:vertAlign w:val="baseline"/>
        </w:rPr>
        <w:t> </w:t>
      </w:r>
      <w:r>
        <w:rPr>
          <w:color w:val="231F20"/>
          <w:sz w:val="20"/>
          <w:vertAlign w:val="baseline"/>
        </w:rPr>
        <w:t>affrontement avec l'armée tchadienne en 1968.</w:t>
      </w:r>
    </w:p>
    <w:p>
      <w:pPr>
        <w:spacing w:after="0"/>
        <w:jc w:val="left"/>
        <w:rPr>
          <w:sz w:val="20"/>
        </w:rPr>
        <w:sectPr>
          <w:pgSz w:w="8790" w:h="13610"/>
          <w:pgMar w:header="0" w:footer="802" w:top="1060" w:bottom="1000" w:left="880" w:right="880"/>
        </w:sectPr>
      </w:pPr>
    </w:p>
    <w:p>
      <w:pPr>
        <w:pStyle w:val="BodyText"/>
        <w:spacing w:before="86"/>
        <w:ind w:right="105" w:firstLine="283"/>
      </w:pPr>
      <w:r>
        <w:rPr>
          <w:color w:val="231F20"/>
        </w:rPr>
        <w:t>Les</w:t>
      </w:r>
      <w:r>
        <w:rPr>
          <w:color w:val="231F20"/>
          <w:spacing w:val="-9"/>
        </w:rPr>
        <w:t> </w:t>
      </w:r>
      <w:r>
        <w:rPr>
          <w:color w:val="231F20"/>
        </w:rPr>
        <w:t>Forces</w:t>
      </w:r>
      <w:r>
        <w:rPr>
          <w:color w:val="231F20"/>
          <w:spacing w:val="-9"/>
        </w:rPr>
        <w:t> </w:t>
      </w:r>
      <w:r>
        <w:rPr>
          <w:color w:val="231F20"/>
        </w:rPr>
        <w:t>Armées</w:t>
      </w:r>
      <w:r>
        <w:rPr>
          <w:color w:val="231F20"/>
          <w:spacing w:val="-11"/>
        </w:rPr>
        <w:t> </w:t>
      </w:r>
      <w:r>
        <w:rPr>
          <w:color w:val="231F20"/>
        </w:rPr>
        <w:t>Populaires</w:t>
      </w:r>
      <w:r>
        <w:rPr>
          <w:color w:val="231F20"/>
          <w:spacing w:val="-9"/>
        </w:rPr>
        <w:t> </w:t>
      </w:r>
      <w:r>
        <w:rPr>
          <w:color w:val="231F20"/>
        </w:rPr>
        <w:t>(FAP)</w:t>
      </w:r>
      <w:r>
        <w:rPr>
          <w:color w:val="231F20"/>
          <w:spacing w:val="-9"/>
        </w:rPr>
        <w:t> </w:t>
      </w:r>
      <w:r>
        <w:rPr>
          <w:color w:val="231F20"/>
        </w:rPr>
        <w:t>composées</w:t>
      </w:r>
      <w:r>
        <w:rPr>
          <w:color w:val="231F20"/>
          <w:spacing w:val="-11"/>
        </w:rPr>
        <w:t> </w:t>
      </w:r>
      <w:r>
        <w:rPr>
          <w:color w:val="231F20"/>
        </w:rPr>
        <w:t>de</w:t>
      </w:r>
      <w:r>
        <w:rPr>
          <w:color w:val="231F20"/>
          <w:spacing w:val="-9"/>
        </w:rPr>
        <w:t> </w:t>
      </w:r>
      <w:r>
        <w:rPr>
          <w:color w:val="231F20"/>
        </w:rPr>
        <w:t>Toubous</w:t>
      </w:r>
      <w:r>
        <w:rPr>
          <w:color w:val="231F20"/>
          <w:vertAlign w:val="superscript"/>
        </w:rPr>
        <w:t>73</w:t>
      </w:r>
      <w:r>
        <w:rPr>
          <w:color w:val="231F20"/>
          <w:vertAlign w:val="baseline"/>
        </w:rPr>
        <w:t>,</w:t>
      </w:r>
      <w:r>
        <w:rPr>
          <w:color w:val="231F20"/>
          <w:spacing w:val="-9"/>
          <w:vertAlign w:val="baseline"/>
        </w:rPr>
        <w:t> </w:t>
      </w:r>
      <w:r>
        <w:rPr>
          <w:color w:val="231F20"/>
          <w:vertAlign w:val="baseline"/>
        </w:rPr>
        <w:t>sont </w:t>
      </w:r>
      <w:r>
        <w:rPr>
          <w:color w:val="231F20"/>
          <w:spacing w:val="-4"/>
          <w:vertAlign w:val="baseline"/>
        </w:rPr>
        <w:t>commandées</w:t>
      </w:r>
      <w:r>
        <w:rPr>
          <w:color w:val="231F20"/>
          <w:spacing w:val="-11"/>
          <w:vertAlign w:val="baseline"/>
        </w:rPr>
        <w:t> </w:t>
      </w:r>
      <w:r>
        <w:rPr>
          <w:color w:val="231F20"/>
          <w:spacing w:val="-4"/>
          <w:vertAlign w:val="baseline"/>
        </w:rPr>
        <w:t>par</w:t>
      </w:r>
      <w:r>
        <w:rPr>
          <w:color w:val="231F20"/>
          <w:spacing w:val="-11"/>
          <w:vertAlign w:val="baseline"/>
        </w:rPr>
        <w:t> </w:t>
      </w:r>
      <w:r>
        <w:rPr>
          <w:color w:val="231F20"/>
          <w:spacing w:val="-4"/>
          <w:vertAlign w:val="baseline"/>
        </w:rPr>
        <w:t>Goukouni</w:t>
      </w:r>
      <w:r>
        <w:rPr>
          <w:color w:val="231F20"/>
          <w:spacing w:val="-11"/>
          <w:vertAlign w:val="baseline"/>
        </w:rPr>
        <w:t> </w:t>
      </w:r>
      <w:r>
        <w:rPr>
          <w:color w:val="231F20"/>
          <w:spacing w:val="-4"/>
          <w:vertAlign w:val="baseline"/>
        </w:rPr>
        <w:t>Weddeï</w:t>
      </w:r>
      <w:r>
        <w:rPr>
          <w:color w:val="231F20"/>
          <w:spacing w:val="-4"/>
          <w:vertAlign w:val="superscript"/>
        </w:rPr>
        <w:t>74</w:t>
      </w:r>
      <w:r>
        <w:rPr>
          <w:color w:val="231F20"/>
          <w:spacing w:val="-4"/>
          <w:vertAlign w:val="baseline"/>
        </w:rPr>
        <w:t> et</w:t>
      </w:r>
      <w:r>
        <w:rPr>
          <w:color w:val="231F20"/>
          <w:spacing w:val="-10"/>
          <w:vertAlign w:val="baseline"/>
        </w:rPr>
        <w:t> </w:t>
      </w:r>
      <w:r>
        <w:rPr>
          <w:color w:val="231F20"/>
          <w:spacing w:val="-4"/>
          <w:vertAlign w:val="baseline"/>
        </w:rPr>
        <w:t>appuyées</w:t>
      </w:r>
      <w:r>
        <w:rPr>
          <w:color w:val="231F20"/>
          <w:spacing w:val="-11"/>
          <w:vertAlign w:val="baseline"/>
        </w:rPr>
        <w:t> </w:t>
      </w:r>
      <w:r>
        <w:rPr>
          <w:color w:val="231F20"/>
          <w:spacing w:val="-4"/>
          <w:vertAlign w:val="baseline"/>
        </w:rPr>
        <w:t>par</w:t>
      </w:r>
      <w:r>
        <w:rPr>
          <w:color w:val="231F20"/>
          <w:spacing w:val="-11"/>
          <w:vertAlign w:val="baseline"/>
        </w:rPr>
        <w:t> </w:t>
      </w:r>
      <w:r>
        <w:rPr>
          <w:color w:val="231F20"/>
          <w:spacing w:val="-4"/>
          <w:vertAlign w:val="baseline"/>
        </w:rPr>
        <w:t>la</w:t>
      </w:r>
      <w:r>
        <w:rPr>
          <w:color w:val="231F20"/>
          <w:spacing w:val="-11"/>
          <w:vertAlign w:val="baseline"/>
        </w:rPr>
        <w:t> </w:t>
      </w:r>
      <w:r>
        <w:rPr>
          <w:color w:val="231F20"/>
          <w:spacing w:val="-4"/>
          <w:vertAlign w:val="baseline"/>
        </w:rPr>
        <w:t>Libye</w:t>
      </w:r>
      <w:r>
        <w:rPr>
          <w:color w:val="231F20"/>
          <w:spacing w:val="-11"/>
          <w:vertAlign w:val="baseline"/>
        </w:rPr>
        <w:t> </w:t>
      </w:r>
      <w:r>
        <w:rPr>
          <w:color w:val="231F20"/>
          <w:spacing w:val="-4"/>
          <w:vertAlign w:val="baseline"/>
        </w:rPr>
        <w:t>tandis</w:t>
      </w:r>
      <w:r>
        <w:rPr>
          <w:color w:val="231F20"/>
          <w:spacing w:val="-11"/>
          <w:vertAlign w:val="baseline"/>
        </w:rPr>
        <w:t> </w:t>
      </w:r>
      <w:r>
        <w:rPr>
          <w:color w:val="231F20"/>
          <w:spacing w:val="-4"/>
          <w:vertAlign w:val="baseline"/>
        </w:rPr>
        <w:t>que, </w:t>
      </w:r>
      <w:r>
        <w:rPr>
          <w:color w:val="231F20"/>
          <w:vertAlign w:val="baseline"/>
        </w:rPr>
        <w:t>les Forces Armées du Nord (FAN) dirigées par Hissène Habré</w:t>
      </w:r>
      <w:r>
        <w:rPr>
          <w:color w:val="231F20"/>
          <w:vertAlign w:val="superscript"/>
        </w:rPr>
        <w:t>75</w:t>
      </w:r>
      <w:r>
        <w:rPr>
          <w:color w:val="231F20"/>
          <w:vertAlign w:val="baseline"/>
        </w:rPr>
        <w:t>, sont soutenues par le Soudan.</w:t>
      </w:r>
    </w:p>
    <w:p>
      <w:pPr>
        <w:pStyle w:val="BodyText"/>
        <w:spacing w:before="120"/>
        <w:ind w:right="106" w:firstLine="283"/>
      </w:pPr>
      <w:r>
        <w:rPr>
          <w:color w:val="231F20"/>
        </w:rPr>
        <w:t>En 1973, la Libye du Colonel Kadhafi revendique des droits sur la bande d’Aozou, bande de terre de 104 000 km</w:t>
      </w:r>
      <w:r>
        <w:rPr>
          <w:color w:val="231F20"/>
          <w:vertAlign w:val="superscript"/>
        </w:rPr>
        <w:t>2</w:t>
      </w:r>
      <w:r>
        <w:rPr>
          <w:color w:val="231F20"/>
          <w:vertAlign w:val="baseline"/>
        </w:rPr>
        <w:t> comprenant la ville d’Aozou située à l’extrême nord du Tchad qu’il annexe. L’Armée française intervient.</w:t>
      </w:r>
    </w:p>
    <w:p>
      <w:pPr>
        <w:pStyle w:val="BodyText"/>
        <w:spacing w:before="121"/>
        <w:ind w:right="104" w:firstLine="283"/>
      </w:pPr>
      <w:r>
        <w:rPr>
          <w:color w:val="231F20"/>
        </w:rPr>
        <w:t>Le</w:t>
      </w:r>
      <w:r>
        <w:rPr>
          <w:color w:val="231F20"/>
          <w:spacing w:val="-2"/>
        </w:rPr>
        <w:t> </w:t>
      </w:r>
      <w:r>
        <w:rPr>
          <w:color w:val="231F20"/>
        </w:rPr>
        <w:t>21</w:t>
      </w:r>
      <w:r>
        <w:rPr>
          <w:color w:val="231F20"/>
          <w:spacing w:val="-2"/>
        </w:rPr>
        <w:t> </w:t>
      </w:r>
      <w:r>
        <w:rPr>
          <w:color w:val="231F20"/>
        </w:rPr>
        <w:t>avril</w:t>
      </w:r>
      <w:r>
        <w:rPr>
          <w:color w:val="231F20"/>
          <w:spacing w:val="-2"/>
        </w:rPr>
        <w:t> </w:t>
      </w:r>
      <w:r>
        <w:rPr>
          <w:color w:val="231F20"/>
        </w:rPr>
        <w:t>1974,</w:t>
      </w:r>
      <w:r>
        <w:rPr>
          <w:color w:val="231F20"/>
          <w:spacing w:val="-3"/>
        </w:rPr>
        <w:t> </w:t>
      </w:r>
      <w:r>
        <w:rPr>
          <w:color w:val="231F20"/>
        </w:rPr>
        <w:t>dans</w:t>
      </w:r>
      <w:r>
        <w:rPr>
          <w:color w:val="231F20"/>
          <w:spacing w:val="-3"/>
        </w:rPr>
        <w:t> </w:t>
      </w:r>
      <w:r>
        <w:rPr>
          <w:color w:val="231F20"/>
        </w:rPr>
        <w:t>la</w:t>
      </w:r>
      <w:r>
        <w:rPr>
          <w:color w:val="231F20"/>
          <w:spacing w:val="-4"/>
        </w:rPr>
        <w:t> </w:t>
      </w:r>
      <w:r>
        <w:rPr>
          <w:color w:val="231F20"/>
        </w:rPr>
        <w:t>région</w:t>
      </w:r>
      <w:r>
        <w:rPr>
          <w:color w:val="231F20"/>
          <w:spacing w:val="-3"/>
        </w:rPr>
        <w:t> </w:t>
      </w:r>
      <w:r>
        <w:rPr>
          <w:color w:val="231F20"/>
        </w:rPr>
        <w:t>du</w:t>
      </w:r>
      <w:r>
        <w:rPr>
          <w:color w:val="231F20"/>
          <w:spacing w:val="-2"/>
        </w:rPr>
        <w:t> </w:t>
      </w:r>
      <w:r>
        <w:rPr>
          <w:color w:val="231F20"/>
        </w:rPr>
        <w:t>Tibesti,</w:t>
      </w:r>
      <w:r>
        <w:rPr>
          <w:color w:val="231F20"/>
          <w:spacing w:val="-3"/>
        </w:rPr>
        <w:t> </w:t>
      </w:r>
      <w:r>
        <w:rPr>
          <w:color w:val="231F20"/>
        </w:rPr>
        <w:t>des</w:t>
      </w:r>
      <w:r>
        <w:rPr>
          <w:color w:val="231F20"/>
          <w:spacing w:val="-2"/>
        </w:rPr>
        <w:t> </w:t>
      </w:r>
      <w:r>
        <w:rPr>
          <w:color w:val="231F20"/>
        </w:rPr>
        <w:t>rebelles</w:t>
      </w:r>
      <w:r>
        <w:rPr>
          <w:color w:val="231F20"/>
          <w:spacing w:val="-3"/>
        </w:rPr>
        <w:t> </w:t>
      </w:r>
      <w:r>
        <w:rPr>
          <w:color w:val="231F20"/>
        </w:rPr>
        <w:t>Toubous</w:t>
      </w:r>
      <w:r>
        <w:rPr>
          <w:color w:val="231F20"/>
          <w:spacing w:val="-3"/>
        </w:rPr>
        <w:t> </w:t>
      </w:r>
      <w:r>
        <w:rPr>
          <w:color w:val="231F20"/>
        </w:rPr>
        <w:t>de Hissène</w:t>
      </w:r>
      <w:r>
        <w:rPr>
          <w:color w:val="231F20"/>
          <w:spacing w:val="-8"/>
        </w:rPr>
        <w:t> </w:t>
      </w:r>
      <w:r>
        <w:rPr>
          <w:color w:val="231F20"/>
        </w:rPr>
        <w:t>Habré enlèvent Françoise Claustre,</w:t>
      </w:r>
      <w:r>
        <w:rPr>
          <w:color w:val="231F20"/>
          <w:spacing w:val="-15"/>
        </w:rPr>
        <w:t> </w:t>
      </w:r>
      <w:r>
        <w:rPr>
          <w:color w:val="231F20"/>
        </w:rPr>
        <w:t>ethnologue</w:t>
      </w:r>
      <w:r>
        <w:rPr>
          <w:color w:val="231F20"/>
          <w:spacing w:val="-15"/>
        </w:rPr>
        <w:t> </w:t>
      </w:r>
      <w:r>
        <w:rPr>
          <w:color w:val="231F20"/>
        </w:rPr>
        <w:t>et archéologue </w:t>
      </w:r>
      <w:r>
        <w:rPr>
          <w:color w:val="231F20"/>
          <w:spacing w:val="-4"/>
        </w:rPr>
        <w:t>française,</w:t>
      </w:r>
      <w:r>
        <w:rPr>
          <w:color w:val="231F20"/>
          <w:spacing w:val="-11"/>
        </w:rPr>
        <w:t> </w:t>
      </w:r>
      <w:r>
        <w:rPr>
          <w:color w:val="231F20"/>
          <w:spacing w:val="-4"/>
        </w:rPr>
        <w:t>un</w:t>
      </w:r>
      <w:r>
        <w:rPr>
          <w:color w:val="231F20"/>
          <w:spacing w:val="-11"/>
        </w:rPr>
        <w:t> </w:t>
      </w:r>
      <w:r>
        <w:rPr>
          <w:color w:val="231F20"/>
          <w:spacing w:val="-4"/>
        </w:rPr>
        <w:t>coopérant</w:t>
      </w:r>
      <w:r>
        <w:rPr>
          <w:color w:val="231F20"/>
          <w:spacing w:val="-11"/>
        </w:rPr>
        <w:t> </w:t>
      </w:r>
      <w:r>
        <w:rPr>
          <w:color w:val="231F20"/>
          <w:spacing w:val="-4"/>
        </w:rPr>
        <w:t>français</w:t>
      </w:r>
      <w:r>
        <w:rPr>
          <w:color w:val="231F20"/>
          <w:spacing w:val="-11"/>
        </w:rPr>
        <w:t> </w:t>
      </w:r>
      <w:r>
        <w:rPr>
          <w:color w:val="231F20"/>
          <w:spacing w:val="-4"/>
        </w:rPr>
        <w:t>Marc</w:t>
      </w:r>
      <w:r>
        <w:rPr>
          <w:color w:val="231F20"/>
          <w:spacing w:val="-11"/>
        </w:rPr>
        <w:t> </w:t>
      </w:r>
      <w:r>
        <w:rPr>
          <w:color w:val="231F20"/>
          <w:spacing w:val="-4"/>
        </w:rPr>
        <w:t>Combe</w:t>
      </w:r>
      <w:r>
        <w:rPr>
          <w:color w:val="231F20"/>
          <w:spacing w:val="-4"/>
          <w:vertAlign w:val="superscript"/>
        </w:rPr>
        <w:t>76</w:t>
      </w:r>
      <w:r>
        <w:rPr>
          <w:color w:val="231F20"/>
          <w:spacing w:val="-1"/>
          <w:vertAlign w:val="baseline"/>
        </w:rPr>
        <w:t> </w:t>
      </w:r>
      <w:r>
        <w:rPr>
          <w:color w:val="231F20"/>
          <w:spacing w:val="-4"/>
          <w:vertAlign w:val="baseline"/>
        </w:rPr>
        <w:t>et</w:t>
      </w:r>
      <w:r>
        <w:rPr>
          <w:color w:val="231F20"/>
          <w:spacing w:val="-11"/>
          <w:vertAlign w:val="baseline"/>
        </w:rPr>
        <w:t> </w:t>
      </w:r>
      <w:r>
        <w:rPr>
          <w:color w:val="231F20"/>
          <w:spacing w:val="-4"/>
          <w:vertAlign w:val="baseline"/>
        </w:rPr>
        <w:t>Christophe</w:t>
      </w:r>
      <w:r>
        <w:rPr>
          <w:color w:val="231F20"/>
          <w:spacing w:val="-11"/>
          <w:vertAlign w:val="baseline"/>
        </w:rPr>
        <w:t> </w:t>
      </w:r>
      <w:r>
        <w:rPr>
          <w:color w:val="231F20"/>
          <w:spacing w:val="-4"/>
          <w:vertAlign w:val="baseline"/>
        </w:rPr>
        <w:t>Staewen,</w:t>
      </w:r>
      <w:r>
        <w:rPr>
          <w:color w:val="231F20"/>
          <w:spacing w:val="-11"/>
          <w:vertAlign w:val="baseline"/>
        </w:rPr>
        <w:t> </w:t>
      </w:r>
      <w:r>
        <w:rPr>
          <w:color w:val="231F20"/>
          <w:spacing w:val="-4"/>
          <w:vertAlign w:val="baseline"/>
        </w:rPr>
        <w:t>un </w:t>
      </w:r>
      <w:r>
        <w:rPr>
          <w:color w:val="231F20"/>
          <w:vertAlign w:val="baseline"/>
        </w:rPr>
        <w:t>médecin Allemand.Ces événements font connaître dans le monde les </w:t>
      </w:r>
      <w:r>
        <w:rPr>
          <w:color w:val="231F20"/>
          <w:spacing w:val="-2"/>
          <w:vertAlign w:val="baseline"/>
        </w:rPr>
        <w:t>chefs</w:t>
      </w:r>
      <w:r>
        <w:rPr>
          <w:color w:val="231F20"/>
          <w:spacing w:val="-12"/>
          <w:vertAlign w:val="baseline"/>
        </w:rPr>
        <w:t> </w:t>
      </w:r>
      <w:r>
        <w:rPr>
          <w:color w:val="231F20"/>
          <w:spacing w:val="-2"/>
          <w:vertAlign w:val="baseline"/>
        </w:rPr>
        <w:t>rebelles</w:t>
      </w:r>
      <w:r>
        <w:rPr>
          <w:color w:val="231F20"/>
          <w:spacing w:val="-12"/>
          <w:vertAlign w:val="baseline"/>
        </w:rPr>
        <w:t> </w:t>
      </w:r>
      <w:r>
        <w:rPr>
          <w:color w:val="231F20"/>
          <w:spacing w:val="-2"/>
          <w:vertAlign w:val="baseline"/>
        </w:rPr>
        <w:t>du</w:t>
      </w:r>
      <w:r>
        <w:rPr>
          <w:color w:val="231F20"/>
          <w:spacing w:val="-12"/>
          <w:vertAlign w:val="baseline"/>
        </w:rPr>
        <w:t> </w:t>
      </w:r>
      <w:r>
        <w:rPr>
          <w:color w:val="231F20"/>
          <w:spacing w:val="-2"/>
          <w:vertAlign w:val="baseline"/>
        </w:rPr>
        <w:t>Nord</w:t>
      </w:r>
      <w:r>
        <w:rPr>
          <w:color w:val="231F20"/>
          <w:spacing w:val="-13"/>
          <w:vertAlign w:val="baseline"/>
        </w:rPr>
        <w:t> </w:t>
      </w:r>
      <w:r>
        <w:rPr>
          <w:color w:val="231F20"/>
          <w:spacing w:val="-2"/>
          <w:vertAlign w:val="baseline"/>
        </w:rPr>
        <w:t>du</w:t>
      </w:r>
      <w:r>
        <w:rPr>
          <w:color w:val="231F20"/>
          <w:spacing w:val="-13"/>
          <w:vertAlign w:val="baseline"/>
        </w:rPr>
        <w:t> </w:t>
      </w:r>
      <w:r>
        <w:rPr>
          <w:color w:val="231F20"/>
          <w:spacing w:val="-2"/>
          <w:vertAlign w:val="baseline"/>
        </w:rPr>
        <w:t>Tchad.</w:t>
      </w:r>
      <w:r>
        <w:rPr>
          <w:color w:val="231F20"/>
          <w:spacing w:val="-11"/>
          <w:vertAlign w:val="baseline"/>
        </w:rPr>
        <w:t> </w:t>
      </w:r>
      <w:r>
        <w:rPr>
          <w:color w:val="231F20"/>
          <w:spacing w:val="-2"/>
          <w:vertAlign w:val="baseline"/>
        </w:rPr>
        <w:t>Les</w:t>
      </w:r>
      <w:r>
        <w:rPr>
          <w:color w:val="231F20"/>
          <w:spacing w:val="-11"/>
          <w:vertAlign w:val="baseline"/>
        </w:rPr>
        <w:t> </w:t>
      </w:r>
      <w:r>
        <w:rPr>
          <w:color w:val="231F20"/>
          <w:spacing w:val="-2"/>
          <w:vertAlign w:val="baseline"/>
        </w:rPr>
        <w:t>rebelles</w:t>
      </w:r>
      <w:r>
        <w:rPr>
          <w:color w:val="231F20"/>
          <w:spacing w:val="-13"/>
          <w:vertAlign w:val="baseline"/>
        </w:rPr>
        <w:t> </w:t>
      </w:r>
      <w:r>
        <w:rPr>
          <w:color w:val="231F20"/>
          <w:spacing w:val="-2"/>
          <w:vertAlign w:val="baseline"/>
        </w:rPr>
        <w:t>réclament</w:t>
      </w:r>
      <w:r>
        <w:rPr>
          <w:color w:val="231F20"/>
          <w:spacing w:val="-12"/>
          <w:vertAlign w:val="baseline"/>
        </w:rPr>
        <w:t> </w:t>
      </w:r>
      <w:r>
        <w:rPr>
          <w:color w:val="231F20"/>
          <w:spacing w:val="-2"/>
          <w:vertAlign w:val="baseline"/>
        </w:rPr>
        <w:t>à</w:t>
      </w:r>
      <w:r>
        <w:rPr>
          <w:color w:val="231F20"/>
          <w:spacing w:val="-13"/>
          <w:vertAlign w:val="baseline"/>
        </w:rPr>
        <w:t> </w:t>
      </w:r>
      <w:r>
        <w:rPr>
          <w:color w:val="231F20"/>
          <w:spacing w:val="-2"/>
          <w:vertAlign w:val="baseline"/>
        </w:rPr>
        <w:t>l'Allemagne</w:t>
      </w:r>
      <w:r>
        <w:rPr>
          <w:color w:val="231F20"/>
          <w:spacing w:val="-13"/>
          <w:vertAlign w:val="baseline"/>
        </w:rPr>
        <w:t> </w:t>
      </w:r>
      <w:r>
        <w:rPr>
          <w:color w:val="231F20"/>
          <w:spacing w:val="-2"/>
          <w:vertAlign w:val="baseline"/>
        </w:rPr>
        <w:t>et </w:t>
      </w:r>
      <w:r>
        <w:rPr>
          <w:color w:val="231F20"/>
          <w:spacing w:val="-4"/>
          <w:vertAlign w:val="baseline"/>
        </w:rPr>
        <w:t>à</w:t>
      </w:r>
      <w:r>
        <w:rPr>
          <w:color w:val="231F20"/>
          <w:spacing w:val="-11"/>
          <w:vertAlign w:val="baseline"/>
        </w:rPr>
        <w:t> </w:t>
      </w:r>
      <w:r>
        <w:rPr>
          <w:color w:val="231F20"/>
          <w:spacing w:val="-4"/>
          <w:vertAlign w:val="baseline"/>
        </w:rPr>
        <w:t>la</w:t>
      </w:r>
      <w:r>
        <w:rPr>
          <w:color w:val="231F20"/>
          <w:spacing w:val="-11"/>
          <w:vertAlign w:val="baseline"/>
        </w:rPr>
        <w:t> </w:t>
      </w:r>
      <w:r>
        <w:rPr>
          <w:color w:val="231F20"/>
          <w:spacing w:val="-4"/>
          <w:vertAlign w:val="baseline"/>
        </w:rPr>
        <w:t>France</w:t>
      </w:r>
      <w:r>
        <w:rPr>
          <w:color w:val="231F20"/>
          <w:spacing w:val="-11"/>
          <w:vertAlign w:val="baseline"/>
        </w:rPr>
        <w:t> </w:t>
      </w:r>
      <w:r>
        <w:rPr>
          <w:color w:val="231F20"/>
          <w:spacing w:val="-4"/>
          <w:vertAlign w:val="baseline"/>
        </w:rPr>
        <w:t>une</w:t>
      </w:r>
      <w:r>
        <w:rPr>
          <w:color w:val="231F20"/>
          <w:spacing w:val="-11"/>
          <w:vertAlign w:val="baseline"/>
        </w:rPr>
        <w:t> </w:t>
      </w:r>
      <w:r>
        <w:rPr>
          <w:color w:val="231F20"/>
          <w:spacing w:val="-4"/>
          <w:vertAlign w:val="baseline"/>
        </w:rPr>
        <w:t>rançon</w:t>
      </w:r>
      <w:r>
        <w:rPr>
          <w:color w:val="231F20"/>
          <w:spacing w:val="-11"/>
          <w:vertAlign w:val="baseline"/>
        </w:rPr>
        <w:t> </w:t>
      </w:r>
      <w:r>
        <w:rPr>
          <w:color w:val="231F20"/>
          <w:spacing w:val="-4"/>
          <w:vertAlign w:val="baseline"/>
        </w:rPr>
        <w:t>et</w:t>
      </w:r>
      <w:r>
        <w:rPr>
          <w:color w:val="231F20"/>
          <w:spacing w:val="-11"/>
          <w:vertAlign w:val="baseline"/>
        </w:rPr>
        <w:t> </w:t>
      </w:r>
      <w:r>
        <w:rPr>
          <w:color w:val="231F20"/>
          <w:spacing w:val="-4"/>
          <w:vertAlign w:val="baseline"/>
        </w:rPr>
        <w:t>l'accès</w:t>
      </w:r>
      <w:r>
        <w:rPr>
          <w:color w:val="231F20"/>
          <w:spacing w:val="-11"/>
          <w:vertAlign w:val="baseline"/>
        </w:rPr>
        <w:t> </w:t>
      </w:r>
      <w:r>
        <w:rPr>
          <w:color w:val="231F20"/>
          <w:spacing w:val="-4"/>
          <w:vertAlign w:val="baseline"/>
        </w:rPr>
        <w:t>aux</w:t>
      </w:r>
      <w:r>
        <w:rPr>
          <w:color w:val="231F20"/>
          <w:spacing w:val="-11"/>
          <w:vertAlign w:val="baseline"/>
        </w:rPr>
        <w:t> </w:t>
      </w:r>
      <w:r>
        <w:rPr>
          <w:color w:val="231F20"/>
          <w:spacing w:val="-4"/>
          <w:vertAlign w:val="baseline"/>
        </w:rPr>
        <w:t>médias</w:t>
      </w:r>
      <w:r>
        <w:rPr>
          <w:b/>
          <w:color w:val="231F20"/>
          <w:spacing w:val="-4"/>
          <w:vertAlign w:val="baseline"/>
        </w:rPr>
        <w:t>.</w:t>
      </w:r>
      <w:r>
        <w:rPr>
          <w:b/>
          <w:color w:val="231F20"/>
          <w:spacing w:val="-11"/>
          <w:vertAlign w:val="baseline"/>
        </w:rPr>
        <w:t> </w:t>
      </w:r>
      <w:r>
        <w:rPr>
          <w:color w:val="231F20"/>
          <w:spacing w:val="-4"/>
          <w:vertAlign w:val="baseline"/>
        </w:rPr>
        <w:t>Les</w:t>
      </w:r>
      <w:r>
        <w:rPr>
          <w:color w:val="231F20"/>
          <w:spacing w:val="-11"/>
          <w:vertAlign w:val="baseline"/>
        </w:rPr>
        <w:t> </w:t>
      </w:r>
      <w:r>
        <w:rPr>
          <w:color w:val="231F20"/>
          <w:spacing w:val="-4"/>
          <w:vertAlign w:val="baseline"/>
        </w:rPr>
        <w:t>négociations</w:t>
      </w:r>
      <w:r>
        <w:rPr>
          <w:color w:val="231F20"/>
          <w:spacing w:val="-11"/>
          <w:vertAlign w:val="baseline"/>
        </w:rPr>
        <w:t> </w:t>
      </w:r>
      <w:r>
        <w:rPr>
          <w:color w:val="231F20"/>
          <w:spacing w:val="-4"/>
          <w:vertAlign w:val="baseline"/>
        </w:rPr>
        <w:t>débouchent </w:t>
      </w:r>
      <w:r>
        <w:rPr>
          <w:color w:val="231F20"/>
          <w:vertAlign w:val="baseline"/>
        </w:rPr>
        <w:t>rapidement avec l’Allemagne. Bonn cède et Christophe Staewen est libéré.</w:t>
      </w:r>
      <w:r>
        <w:rPr>
          <w:color w:val="231F20"/>
          <w:spacing w:val="-2"/>
          <w:vertAlign w:val="baseline"/>
        </w:rPr>
        <w:t> </w:t>
      </w:r>
      <w:r>
        <w:rPr>
          <w:color w:val="231F20"/>
          <w:vertAlign w:val="baseline"/>
        </w:rPr>
        <w:t>Elles</w:t>
      </w:r>
      <w:r>
        <w:rPr>
          <w:color w:val="231F20"/>
          <w:spacing w:val="-4"/>
          <w:vertAlign w:val="baseline"/>
        </w:rPr>
        <w:t> </w:t>
      </w:r>
      <w:r>
        <w:rPr>
          <w:color w:val="231F20"/>
          <w:vertAlign w:val="baseline"/>
        </w:rPr>
        <w:t>s’enlisent</w:t>
      </w:r>
      <w:r>
        <w:rPr>
          <w:color w:val="231F20"/>
          <w:spacing w:val="-2"/>
          <w:vertAlign w:val="baseline"/>
        </w:rPr>
        <w:t> </w:t>
      </w:r>
      <w:r>
        <w:rPr>
          <w:color w:val="231F20"/>
          <w:vertAlign w:val="baseline"/>
        </w:rPr>
        <w:t>avec</w:t>
      </w:r>
      <w:r>
        <w:rPr>
          <w:color w:val="231F20"/>
          <w:spacing w:val="-3"/>
          <w:vertAlign w:val="baseline"/>
        </w:rPr>
        <w:t> </w:t>
      </w:r>
      <w:r>
        <w:rPr>
          <w:color w:val="231F20"/>
          <w:vertAlign w:val="baseline"/>
        </w:rPr>
        <w:t>la</w:t>
      </w:r>
      <w:r>
        <w:rPr>
          <w:color w:val="231F20"/>
          <w:spacing w:val="-2"/>
          <w:vertAlign w:val="baseline"/>
        </w:rPr>
        <w:t> </w:t>
      </w:r>
      <w:r>
        <w:rPr>
          <w:color w:val="231F20"/>
          <w:vertAlign w:val="baseline"/>
        </w:rPr>
        <w:t>France.</w:t>
      </w:r>
      <w:r>
        <w:rPr>
          <w:color w:val="231F20"/>
          <w:spacing w:val="-2"/>
          <w:vertAlign w:val="baseline"/>
        </w:rPr>
        <w:t> </w:t>
      </w:r>
      <w:r>
        <w:rPr>
          <w:color w:val="231F20"/>
          <w:vertAlign w:val="baseline"/>
        </w:rPr>
        <w:t>Le</w:t>
      </w:r>
      <w:r>
        <w:rPr>
          <w:color w:val="231F20"/>
          <w:spacing w:val="-2"/>
          <w:vertAlign w:val="baseline"/>
        </w:rPr>
        <w:t> </w:t>
      </w:r>
      <w:r>
        <w:rPr>
          <w:color w:val="231F20"/>
          <w:vertAlign w:val="baseline"/>
        </w:rPr>
        <w:t>26</w:t>
      </w:r>
      <w:r>
        <w:rPr>
          <w:color w:val="231F20"/>
          <w:spacing w:val="-3"/>
          <w:vertAlign w:val="baseline"/>
        </w:rPr>
        <w:t> </w:t>
      </w:r>
      <w:r>
        <w:rPr>
          <w:color w:val="231F20"/>
          <w:vertAlign w:val="baseline"/>
        </w:rPr>
        <w:t>aout</w:t>
      </w:r>
      <w:r>
        <w:rPr>
          <w:color w:val="231F20"/>
          <w:spacing w:val="-5"/>
          <w:vertAlign w:val="baseline"/>
        </w:rPr>
        <w:t> </w:t>
      </w:r>
      <w:r>
        <w:rPr>
          <w:color w:val="231F20"/>
          <w:vertAlign w:val="baseline"/>
        </w:rPr>
        <w:t>1975,</w:t>
      </w:r>
      <w:r>
        <w:rPr>
          <w:color w:val="231F20"/>
          <w:spacing w:val="-5"/>
          <w:vertAlign w:val="baseline"/>
        </w:rPr>
        <w:t> </w:t>
      </w:r>
      <w:r>
        <w:rPr>
          <w:color w:val="231F20"/>
          <w:vertAlign w:val="baseline"/>
        </w:rPr>
        <w:t>Pierre</w:t>
      </w:r>
      <w:r>
        <w:rPr>
          <w:color w:val="231F20"/>
          <w:spacing w:val="-5"/>
          <w:vertAlign w:val="baseline"/>
        </w:rPr>
        <w:t> </w:t>
      </w:r>
      <w:r>
        <w:rPr>
          <w:color w:val="231F20"/>
          <w:vertAlign w:val="baseline"/>
        </w:rPr>
        <w:t>Caustre, époux de Françoise Claustre est aussi enlevé</w:t>
      </w:r>
      <w:r>
        <w:rPr>
          <w:color w:val="231F20"/>
          <w:vertAlign w:val="superscript"/>
        </w:rPr>
        <w:t>77</w:t>
      </w:r>
      <w:r>
        <w:rPr>
          <w:color w:val="231F20"/>
          <w:vertAlign w:val="baseline"/>
        </w:rPr>
        <w:t>.Un officier français, le </w:t>
      </w:r>
      <w:r>
        <w:rPr>
          <w:color w:val="231F20"/>
          <w:spacing w:val="-4"/>
          <w:vertAlign w:val="baseline"/>
        </w:rPr>
        <w:t>Commandant</w:t>
      </w:r>
      <w:r>
        <w:rPr>
          <w:color w:val="231F20"/>
          <w:spacing w:val="-7"/>
          <w:vertAlign w:val="baseline"/>
        </w:rPr>
        <w:t> </w:t>
      </w:r>
      <w:r>
        <w:rPr>
          <w:color w:val="231F20"/>
          <w:spacing w:val="-4"/>
          <w:vertAlign w:val="baseline"/>
        </w:rPr>
        <w:t>Pierre</w:t>
      </w:r>
      <w:r>
        <w:rPr>
          <w:color w:val="231F20"/>
          <w:spacing w:val="-8"/>
          <w:vertAlign w:val="baseline"/>
        </w:rPr>
        <w:t> </w:t>
      </w:r>
      <w:r>
        <w:rPr>
          <w:color w:val="231F20"/>
          <w:spacing w:val="-4"/>
          <w:vertAlign w:val="baseline"/>
        </w:rPr>
        <w:t>Galopin</w:t>
      </w:r>
      <w:r>
        <w:rPr>
          <w:color w:val="231F20"/>
          <w:spacing w:val="-8"/>
          <w:vertAlign w:val="baseline"/>
        </w:rPr>
        <w:t> </w:t>
      </w:r>
      <w:r>
        <w:rPr>
          <w:color w:val="231F20"/>
          <w:spacing w:val="-4"/>
          <w:vertAlign w:val="baseline"/>
        </w:rPr>
        <w:t>est</w:t>
      </w:r>
      <w:r>
        <w:rPr>
          <w:color w:val="231F20"/>
          <w:spacing w:val="-7"/>
          <w:vertAlign w:val="baseline"/>
        </w:rPr>
        <w:t> </w:t>
      </w:r>
      <w:r>
        <w:rPr>
          <w:color w:val="231F20"/>
          <w:spacing w:val="-4"/>
          <w:vertAlign w:val="baseline"/>
        </w:rPr>
        <w:t>envoyé</w:t>
      </w:r>
      <w:r>
        <w:rPr>
          <w:color w:val="231F20"/>
          <w:spacing w:val="-8"/>
          <w:vertAlign w:val="baseline"/>
        </w:rPr>
        <w:t> </w:t>
      </w:r>
      <w:r>
        <w:rPr>
          <w:color w:val="231F20"/>
          <w:spacing w:val="-4"/>
          <w:vertAlign w:val="baseline"/>
        </w:rPr>
        <w:t>pour</w:t>
      </w:r>
      <w:r>
        <w:rPr>
          <w:color w:val="231F20"/>
          <w:spacing w:val="-8"/>
          <w:vertAlign w:val="baseline"/>
        </w:rPr>
        <w:t> </w:t>
      </w:r>
      <w:r>
        <w:rPr>
          <w:color w:val="231F20"/>
          <w:spacing w:val="-4"/>
          <w:vertAlign w:val="baseline"/>
        </w:rPr>
        <w:t>tenter</w:t>
      </w:r>
      <w:r>
        <w:rPr>
          <w:color w:val="231F20"/>
          <w:spacing w:val="-11"/>
          <w:vertAlign w:val="baseline"/>
        </w:rPr>
        <w:t> </w:t>
      </w:r>
      <w:r>
        <w:rPr>
          <w:color w:val="231F20"/>
          <w:spacing w:val="-4"/>
          <w:vertAlign w:val="baseline"/>
        </w:rPr>
        <w:t>d’obtenir</w:t>
      </w:r>
      <w:r>
        <w:rPr>
          <w:color w:val="231F20"/>
          <w:spacing w:val="-8"/>
          <w:vertAlign w:val="baseline"/>
        </w:rPr>
        <w:t> </w:t>
      </w:r>
      <w:r>
        <w:rPr>
          <w:color w:val="231F20"/>
          <w:spacing w:val="-4"/>
          <w:vertAlign w:val="baseline"/>
        </w:rPr>
        <w:t>la</w:t>
      </w:r>
      <w:r>
        <w:rPr>
          <w:color w:val="231F20"/>
          <w:spacing w:val="-8"/>
          <w:vertAlign w:val="baseline"/>
        </w:rPr>
        <w:t> </w:t>
      </w:r>
      <w:r>
        <w:rPr>
          <w:color w:val="231F20"/>
          <w:spacing w:val="-4"/>
          <w:vertAlign w:val="baseline"/>
        </w:rPr>
        <w:t>libération </w:t>
      </w:r>
      <w:r>
        <w:rPr>
          <w:color w:val="231F20"/>
          <w:vertAlign w:val="baseline"/>
        </w:rPr>
        <w:t>des deux</w:t>
      </w:r>
      <w:r>
        <w:rPr>
          <w:color w:val="231F20"/>
          <w:spacing w:val="-1"/>
          <w:vertAlign w:val="baseline"/>
        </w:rPr>
        <w:t> </w:t>
      </w:r>
      <w:r>
        <w:rPr>
          <w:color w:val="231F20"/>
          <w:vertAlign w:val="baseline"/>
        </w:rPr>
        <w:t>Français, Françoise et</w:t>
      </w:r>
      <w:r>
        <w:rPr>
          <w:color w:val="231F20"/>
          <w:spacing w:val="-1"/>
          <w:vertAlign w:val="baseline"/>
        </w:rPr>
        <w:t> </w:t>
      </w:r>
      <w:r>
        <w:rPr>
          <w:color w:val="231F20"/>
          <w:vertAlign w:val="baseline"/>
        </w:rPr>
        <w:t>Pierre Claustre.</w:t>
      </w:r>
    </w:p>
    <w:p>
      <w:pPr>
        <w:spacing w:before="120"/>
        <w:ind w:left="111" w:right="104" w:firstLine="283"/>
        <w:jc w:val="both"/>
        <w:rPr>
          <w:i/>
          <w:sz w:val="24"/>
        </w:rPr>
      </w:pPr>
      <w:r>
        <w:rPr>
          <w:color w:val="231F20"/>
          <w:sz w:val="24"/>
        </w:rPr>
        <w:t>L’officier</w:t>
      </w:r>
      <w:r>
        <w:rPr>
          <w:color w:val="231F20"/>
          <w:spacing w:val="-15"/>
          <w:sz w:val="24"/>
        </w:rPr>
        <w:t> </w:t>
      </w:r>
      <w:r>
        <w:rPr>
          <w:color w:val="231F20"/>
          <w:sz w:val="24"/>
        </w:rPr>
        <w:t>est</w:t>
      </w:r>
      <w:r>
        <w:rPr>
          <w:color w:val="231F20"/>
          <w:spacing w:val="-15"/>
          <w:sz w:val="24"/>
        </w:rPr>
        <w:t> </w:t>
      </w:r>
      <w:r>
        <w:rPr>
          <w:color w:val="231F20"/>
          <w:sz w:val="24"/>
        </w:rPr>
        <w:t>arrêté</w:t>
      </w:r>
      <w:r>
        <w:rPr>
          <w:color w:val="231F20"/>
          <w:spacing w:val="-15"/>
          <w:sz w:val="24"/>
        </w:rPr>
        <w:t> </w:t>
      </w:r>
      <w:r>
        <w:rPr>
          <w:color w:val="231F20"/>
          <w:sz w:val="24"/>
        </w:rPr>
        <w:t>et</w:t>
      </w:r>
      <w:r>
        <w:rPr>
          <w:color w:val="231F20"/>
          <w:spacing w:val="-15"/>
          <w:sz w:val="24"/>
        </w:rPr>
        <w:t> </w:t>
      </w:r>
      <w:r>
        <w:rPr>
          <w:color w:val="231F20"/>
          <w:sz w:val="24"/>
        </w:rPr>
        <w:t>exécuté</w:t>
      </w:r>
      <w:r>
        <w:rPr>
          <w:color w:val="231F20"/>
          <w:spacing w:val="-15"/>
          <w:sz w:val="24"/>
        </w:rPr>
        <w:t> </w:t>
      </w:r>
      <w:r>
        <w:rPr>
          <w:color w:val="231F20"/>
          <w:sz w:val="24"/>
        </w:rPr>
        <w:t>le</w:t>
      </w:r>
      <w:r>
        <w:rPr>
          <w:color w:val="231F20"/>
          <w:spacing w:val="-15"/>
          <w:sz w:val="24"/>
        </w:rPr>
        <w:t> </w:t>
      </w:r>
      <w:r>
        <w:rPr>
          <w:color w:val="231F20"/>
          <w:sz w:val="24"/>
        </w:rPr>
        <w:t>4</w:t>
      </w:r>
      <w:r>
        <w:rPr>
          <w:color w:val="231F20"/>
          <w:spacing w:val="-15"/>
          <w:sz w:val="24"/>
        </w:rPr>
        <w:t> </w:t>
      </w:r>
      <w:r>
        <w:rPr>
          <w:color w:val="231F20"/>
          <w:sz w:val="24"/>
        </w:rPr>
        <w:t>avril</w:t>
      </w:r>
      <w:r>
        <w:rPr>
          <w:color w:val="231F20"/>
          <w:spacing w:val="-15"/>
          <w:sz w:val="24"/>
        </w:rPr>
        <w:t> </w:t>
      </w:r>
      <w:r>
        <w:rPr>
          <w:color w:val="231F20"/>
          <w:sz w:val="24"/>
        </w:rPr>
        <w:t>1975.</w:t>
      </w:r>
      <w:r>
        <w:rPr>
          <w:color w:val="231F20"/>
          <w:spacing w:val="-15"/>
          <w:sz w:val="24"/>
        </w:rPr>
        <w:t> </w:t>
      </w:r>
      <w:r>
        <w:rPr>
          <w:color w:val="231F20"/>
          <w:sz w:val="24"/>
        </w:rPr>
        <w:t>Hissène</w:t>
      </w:r>
      <w:r>
        <w:rPr>
          <w:color w:val="231F20"/>
          <w:spacing w:val="-15"/>
          <w:sz w:val="24"/>
        </w:rPr>
        <w:t> </w:t>
      </w:r>
      <w:r>
        <w:rPr>
          <w:color w:val="231F20"/>
          <w:sz w:val="24"/>
        </w:rPr>
        <w:t>Habré</w:t>
      </w:r>
      <w:r>
        <w:rPr>
          <w:color w:val="231F20"/>
          <w:spacing w:val="-15"/>
          <w:sz w:val="24"/>
        </w:rPr>
        <w:t> </w:t>
      </w:r>
      <w:r>
        <w:rPr>
          <w:color w:val="231F20"/>
          <w:sz w:val="24"/>
        </w:rPr>
        <w:t>est</w:t>
      </w:r>
      <w:r>
        <w:rPr>
          <w:color w:val="231F20"/>
          <w:spacing w:val="-15"/>
          <w:sz w:val="24"/>
        </w:rPr>
        <w:t> </w:t>
      </w:r>
      <w:r>
        <w:rPr>
          <w:color w:val="231F20"/>
          <w:sz w:val="24"/>
        </w:rPr>
        <w:t>tenu responsable de son exécution. Goukouni Weddeï racontera plus tard, pourquoi</w:t>
      </w:r>
      <w:r>
        <w:rPr>
          <w:color w:val="231F20"/>
          <w:spacing w:val="-15"/>
          <w:sz w:val="24"/>
        </w:rPr>
        <w:t> </w:t>
      </w:r>
      <w:r>
        <w:rPr>
          <w:color w:val="231F20"/>
          <w:sz w:val="24"/>
        </w:rPr>
        <w:t>l’émissaire</w:t>
      </w:r>
      <w:r>
        <w:rPr>
          <w:color w:val="231F20"/>
          <w:spacing w:val="-14"/>
          <w:sz w:val="24"/>
        </w:rPr>
        <w:t> </w:t>
      </w:r>
      <w:r>
        <w:rPr>
          <w:color w:val="231F20"/>
          <w:sz w:val="24"/>
        </w:rPr>
        <w:t>français</w:t>
      </w:r>
      <w:r>
        <w:rPr>
          <w:color w:val="231F20"/>
          <w:spacing w:val="-6"/>
          <w:sz w:val="24"/>
        </w:rPr>
        <w:t> </w:t>
      </w:r>
      <w:r>
        <w:rPr>
          <w:color w:val="231F20"/>
          <w:sz w:val="24"/>
        </w:rPr>
        <w:t>a</w:t>
      </w:r>
      <w:r>
        <w:rPr>
          <w:color w:val="231F20"/>
          <w:spacing w:val="-9"/>
          <w:sz w:val="24"/>
        </w:rPr>
        <w:t> </w:t>
      </w:r>
      <w:r>
        <w:rPr>
          <w:color w:val="231F20"/>
          <w:sz w:val="24"/>
        </w:rPr>
        <w:t>été</w:t>
      </w:r>
      <w:r>
        <w:rPr>
          <w:color w:val="231F20"/>
          <w:spacing w:val="-6"/>
          <w:sz w:val="24"/>
        </w:rPr>
        <w:t> </w:t>
      </w:r>
      <w:r>
        <w:rPr>
          <w:color w:val="231F20"/>
          <w:sz w:val="24"/>
        </w:rPr>
        <w:t>exécuté</w:t>
      </w:r>
      <w:r>
        <w:rPr>
          <w:color w:val="231F20"/>
          <w:spacing w:val="-15"/>
          <w:sz w:val="24"/>
        </w:rPr>
        <w:t> </w:t>
      </w:r>
      <w:r>
        <w:rPr>
          <w:color w:val="231F20"/>
          <w:sz w:val="24"/>
        </w:rPr>
        <w:t>:</w:t>
      </w:r>
      <w:r>
        <w:rPr>
          <w:color w:val="231F20"/>
          <w:spacing w:val="-15"/>
          <w:sz w:val="24"/>
        </w:rPr>
        <w:t> </w:t>
      </w:r>
      <w:r>
        <w:rPr>
          <w:i/>
          <w:color w:val="231F20"/>
          <w:sz w:val="24"/>
        </w:rPr>
        <w:t>«</w:t>
      </w:r>
      <w:r>
        <w:rPr>
          <w:i/>
          <w:color w:val="231F20"/>
          <w:spacing w:val="-8"/>
          <w:sz w:val="24"/>
        </w:rPr>
        <w:t> </w:t>
      </w:r>
      <w:r>
        <w:rPr>
          <w:i/>
          <w:color w:val="231F20"/>
          <w:sz w:val="24"/>
        </w:rPr>
        <w:t>(…)</w:t>
      </w:r>
      <w:r>
        <w:rPr>
          <w:i/>
          <w:color w:val="231F20"/>
          <w:spacing w:val="-9"/>
          <w:sz w:val="24"/>
        </w:rPr>
        <w:t> </w:t>
      </w:r>
      <w:r>
        <w:rPr>
          <w:i/>
          <w:color w:val="231F20"/>
          <w:sz w:val="24"/>
        </w:rPr>
        <w:t>Les</w:t>
      </w:r>
      <w:r>
        <w:rPr>
          <w:i/>
          <w:color w:val="231F20"/>
          <w:spacing w:val="-8"/>
          <w:sz w:val="24"/>
        </w:rPr>
        <w:t> </w:t>
      </w:r>
      <w:r>
        <w:rPr>
          <w:i/>
          <w:color w:val="231F20"/>
          <w:sz w:val="24"/>
        </w:rPr>
        <w:t>négociations</w:t>
      </w:r>
      <w:r>
        <w:rPr>
          <w:i/>
          <w:color w:val="231F20"/>
          <w:spacing w:val="-8"/>
          <w:sz w:val="24"/>
        </w:rPr>
        <w:t> </w:t>
      </w:r>
      <w:r>
        <w:rPr>
          <w:i/>
          <w:color w:val="231F20"/>
          <w:sz w:val="24"/>
        </w:rPr>
        <w:t>ont</w:t>
      </w:r>
      <w:r>
        <w:rPr>
          <w:i/>
          <w:color w:val="231F20"/>
          <w:sz w:val="24"/>
        </w:rPr>
        <w:t> </w:t>
      </w:r>
      <w:r>
        <w:rPr>
          <w:i/>
          <w:color w:val="231F20"/>
          <w:spacing w:val="-4"/>
          <w:sz w:val="24"/>
        </w:rPr>
        <w:t>traîné.</w:t>
      </w:r>
      <w:r>
        <w:rPr>
          <w:i/>
          <w:color w:val="231F20"/>
          <w:spacing w:val="-11"/>
          <w:sz w:val="24"/>
        </w:rPr>
        <w:t> </w:t>
      </w:r>
      <w:r>
        <w:rPr>
          <w:i/>
          <w:color w:val="231F20"/>
          <w:spacing w:val="-4"/>
          <w:sz w:val="24"/>
        </w:rPr>
        <w:t>Tombalbaye</w:t>
      </w:r>
      <w:r>
        <w:rPr>
          <w:i/>
          <w:color w:val="231F20"/>
          <w:spacing w:val="-11"/>
          <w:sz w:val="24"/>
        </w:rPr>
        <w:t> </w:t>
      </w:r>
      <w:r>
        <w:rPr>
          <w:i/>
          <w:color w:val="231F20"/>
          <w:spacing w:val="-4"/>
          <w:sz w:val="24"/>
        </w:rPr>
        <w:t>est</w:t>
      </w:r>
      <w:r>
        <w:rPr>
          <w:i/>
          <w:color w:val="231F20"/>
          <w:spacing w:val="-11"/>
          <w:sz w:val="24"/>
        </w:rPr>
        <w:t> </w:t>
      </w:r>
      <w:r>
        <w:rPr>
          <w:i/>
          <w:color w:val="231F20"/>
          <w:spacing w:val="-4"/>
          <w:sz w:val="24"/>
        </w:rPr>
        <w:t>mort,</w:t>
      </w:r>
      <w:r>
        <w:rPr>
          <w:i/>
          <w:color w:val="231F20"/>
          <w:spacing w:val="-11"/>
          <w:sz w:val="24"/>
        </w:rPr>
        <w:t> </w:t>
      </w:r>
      <w:r>
        <w:rPr>
          <w:i/>
          <w:color w:val="231F20"/>
          <w:spacing w:val="-4"/>
          <w:sz w:val="24"/>
        </w:rPr>
        <w:t>Malloum</w:t>
      </w:r>
      <w:r>
        <w:rPr>
          <w:i/>
          <w:color w:val="231F20"/>
          <w:spacing w:val="-11"/>
          <w:sz w:val="24"/>
        </w:rPr>
        <w:t> </w:t>
      </w:r>
      <w:r>
        <w:rPr>
          <w:i/>
          <w:color w:val="231F20"/>
          <w:spacing w:val="-4"/>
          <w:sz w:val="24"/>
        </w:rPr>
        <w:t>est</w:t>
      </w:r>
      <w:r>
        <w:rPr>
          <w:i/>
          <w:color w:val="231F20"/>
          <w:spacing w:val="-11"/>
          <w:sz w:val="24"/>
        </w:rPr>
        <w:t> </w:t>
      </w:r>
      <w:r>
        <w:rPr>
          <w:i/>
          <w:color w:val="231F20"/>
          <w:spacing w:val="-4"/>
          <w:sz w:val="24"/>
        </w:rPr>
        <w:t>venu</w:t>
      </w:r>
      <w:r>
        <w:rPr>
          <w:i/>
          <w:color w:val="231F20"/>
          <w:spacing w:val="-11"/>
          <w:sz w:val="24"/>
        </w:rPr>
        <w:t> </w:t>
      </w:r>
      <w:r>
        <w:rPr>
          <w:color w:val="231F20"/>
          <w:spacing w:val="-4"/>
          <w:sz w:val="24"/>
        </w:rPr>
        <w:t>(…)</w:t>
      </w:r>
      <w:r>
        <w:rPr>
          <w:color w:val="231F20"/>
          <w:spacing w:val="-11"/>
          <w:sz w:val="24"/>
        </w:rPr>
        <w:t> </w:t>
      </w:r>
      <w:r>
        <w:rPr>
          <w:i/>
          <w:color w:val="231F20"/>
          <w:spacing w:val="-4"/>
          <w:sz w:val="24"/>
        </w:rPr>
        <w:t>nous</w:t>
      </w:r>
      <w:r>
        <w:rPr>
          <w:i/>
          <w:color w:val="231F20"/>
          <w:spacing w:val="-11"/>
          <w:sz w:val="24"/>
        </w:rPr>
        <w:t> </w:t>
      </w:r>
      <w:r>
        <w:rPr>
          <w:i/>
          <w:color w:val="231F20"/>
          <w:spacing w:val="-4"/>
          <w:sz w:val="24"/>
        </w:rPr>
        <w:t>avons</w:t>
      </w:r>
      <w:r>
        <w:rPr>
          <w:i/>
          <w:color w:val="231F20"/>
          <w:spacing w:val="-11"/>
          <w:sz w:val="24"/>
        </w:rPr>
        <w:t> </w:t>
      </w:r>
      <w:r>
        <w:rPr>
          <w:i/>
          <w:color w:val="231F20"/>
          <w:spacing w:val="-4"/>
          <w:sz w:val="24"/>
        </w:rPr>
        <w:t>donc</w:t>
      </w:r>
      <w:r>
        <w:rPr>
          <w:i/>
          <w:color w:val="231F20"/>
          <w:spacing w:val="-11"/>
          <w:sz w:val="24"/>
        </w:rPr>
        <w:t> </w:t>
      </w:r>
      <w:r>
        <w:rPr>
          <w:i/>
          <w:color w:val="231F20"/>
          <w:spacing w:val="-4"/>
          <w:sz w:val="24"/>
        </w:rPr>
        <w:t>reçu</w:t>
      </w:r>
      <w:r>
        <w:rPr>
          <w:i/>
          <w:color w:val="231F20"/>
          <w:spacing w:val="-4"/>
          <w:sz w:val="24"/>
        </w:rPr>
        <w:t> </w:t>
      </w:r>
      <w:r>
        <w:rPr>
          <w:i/>
          <w:color w:val="231F20"/>
          <w:sz w:val="24"/>
        </w:rPr>
        <w:t>un message(…)</w:t>
      </w:r>
      <w:r>
        <w:rPr>
          <w:i/>
          <w:color w:val="231F20"/>
          <w:spacing w:val="-13"/>
          <w:sz w:val="24"/>
        </w:rPr>
        <w:t> </w:t>
      </w:r>
      <w:r>
        <w:rPr>
          <w:i/>
          <w:color w:val="231F20"/>
          <w:sz w:val="24"/>
        </w:rPr>
        <w:t>:</w:t>
      </w:r>
      <w:r>
        <w:rPr>
          <w:i/>
          <w:color w:val="231F20"/>
          <w:spacing w:val="-15"/>
          <w:sz w:val="24"/>
        </w:rPr>
        <w:t> </w:t>
      </w:r>
      <w:r>
        <w:rPr>
          <w:i/>
          <w:color w:val="231F20"/>
          <w:sz w:val="24"/>
        </w:rPr>
        <w:t>«</w:t>
      </w:r>
      <w:r>
        <w:rPr>
          <w:i/>
          <w:color w:val="231F20"/>
          <w:spacing w:val="-15"/>
          <w:sz w:val="24"/>
        </w:rPr>
        <w:t> </w:t>
      </w:r>
      <w:r>
        <w:rPr>
          <w:i/>
          <w:color w:val="231F20"/>
          <w:sz w:val="24"/>
        </w:rPr>
        <w:t>libérez Galopin, vous n’aurez rien. Si vous ne le libérez</w:t>
      </w:r>
      <w:r>
        <w:rPr>
          <w:i/>
          <w:color w:val="231F20"/>
          <w:spacing w:val="-9"/>
          <w:sz w:val="24"/>
        </w:rPr>
        <w:t> </w:t>
      </w:r>
      <w:r>
        <w:rPr>
          <w:i/>
          <w:color w:val="231F20"/>
          <w:sz w:val="24"/>
        </w:rPr>
        <w:t>pas,</w:t>
      </w:r>
      <w:r>
        <w:rPr>
          <w:i/>
          <w:color w:val="231F20"/>
          <w:spacing w:val="-9"/>
          <w:sz w:val="24"/>
        </w:rPr>
        <w:t> </w:t>
      </w:r>
      <w:r>
        <w:rPr>
          <w:i/>
          <w:color w:val="231F20"/>
          <w:sz w:val="24"/>
        </w:rPr>
        <w:t>vous</w:t>
      </w:r>
      <w:r>
        <w:rPr>
          <w:i/>
          <w:color w:val="231F20"/>
          <w:spacing w:val="-11"/>
          <w:sz w:val="24"/>
        </w:rPr>
        <w:t> </w:t>
      </w:r>
      <w:r>
        <w:rPr>
          <w:i/>
          <w:color w:val="231F20"/>
          <w:sz w:val="24"/>
        </w:rPr>
        <w:t>serez</w:t>
      </w:r>
      <w:r>
        <w:rPr>
          <w:i/>
          <w:color w:val="231F20"/>
          <w:spacing w:val="-9"/>
          <w:sz w:val="24"/>
        </w:rPr>
        <w:t> </w:t>
      </w:r>
      <w:r>
        <w:rPr>
          <w:i/>
          <w:color w:val="231F20"/>
          <w:sz w:val="24"/>
        </w:rPr>
        <w:t>décimés,</w:t>
      </w:r>
      <w:r>
        <w:rPr>
          <w:i/>
          <w:color w:val="231F20"/>
          <w:spacing w:val="-9"/>
          <w:sz w:val="24"/>
        </w:rPr>
        <w:t> </w:t>
      </w:r>
      <w:r>
        <w:rPr>
          <w:i/>
          <w:color w:val="231F20"/>
          <w:sz w:val="24"/>
        </w:rPr>
        <w:t>vous</w:t>
      </w:r>
      <w:r>
        <w:rPr>
          <w:i/>
          <w:color w:val="231F20"/>
          <w:spacing w:val="-10"/>
          <w:sz w:val="24"/>
        </w:rPr>
        <w:t> </w:t>
      </w:r>
      <w:r>
        <w:rPr>
          <w:i/>
          <w:color w:val="231F20"/>
          <w:sz w:val="24"/>
        </w:rPr>
        <w:t>les</w:t>
      </w:r>
      <w:r>
        <w:rPr>
          <w:i/>
          <w:color w:val="231F20"/>
          <w:spacing w:val="-11"/>
          <w:sz w:val="24"/>
        </w:rPr>
        <w:t> </w:t>
      </w:r>
      <w:r>
        <w:rPr>
          <w:i/>
          <w:color w:val="231F20"/>
          <w:sz w:val="24"/>
        </w:rPr>
        <w:t>loqueteux(…)</w:t>
      </w:r>
      <w:r>
        <w:rPr>
          <w:i/>
          <w:color w:val="231F20"/>
          <w:spacing w:val="-9"/>
          <w:sz w:val="24"/>
        </w:rPr>
        <w:t> </w:t>
      </w:r>
      <w:r>
        <w:rPr>
          <w:i/>
          <w:color w:val="231F20"/>
          <w:sz w:val="24"/>
        </w:rPr>
        <w:t>Sinon,</w:t>
      </w:r>
      <w:r>
        <w:rPr>
          <w:i/>
          <w:color w:val="231F20"/>
          <w:spacing w:val="-9"/>
          <w:sz w:val="24"/>
        </w:rPr>
        <w:t> </w:t>
      </w:r>
      <w:r>
        <w:rPr>
          <w:i/>
          <w:color w:val="231F20"/>
          <w:sz w:val="24"/>
        </w:rPr>
        <w:t>au</w:t>
      </w:r>
      <w:r>
        <w:rPr>
          <w:i/>
          <w:color w:val="231F20"/>
          <w:spacing w:val="-10"/>
          <w:sz w:val="24"/>
        </w:rPr>
        <w:t> </w:t>
      </w:r>
      <w:r>
        <w:rPr>
          <w:i/>
          <w:color w:val="231F20"/>
          <w:sz w:val="24"/>
        </w:rPr>
        <w:t>début, nous n’avions pas l’intention d’éliminer Galopin(…) On le gardait comme</w:t>
      </w:r>
      <w:r>
        <w:rPr>
          <w:i/>
          <w:color w:val="231F20"/>
          <w:spacing w:val="-4"/>
          <w:sz w:val="24"/>
        </w:rPr>
        <w:t> </w:t>
      </w:r>
      <w:r>
        <w:rPr>
          <w:i/>
          <w:color w:val="231F20"/>
          <w:sz w:val="24"/>
        </w:rPr>
        <w:t>monnaie</w:t>
      </w:r>
      <w:r>
        <w:rPr>
          <w:i/>
          <w:color w:val="231F20"/>
          <w:spacing w:val="-4"/>
          <w:sz w:val="24"/>
        </w:rPr>
        <w:t> </w:t>
      </w:r>
      <w:r>
        <w:rPr>
          <w:i/>
          <w:color w:val="231F20"/>
          <w:sz w:val="24"/>
        </w:rPr>
        <w:t>d’échange</w:t>
      </w:r>
      <w:r>
        <w:rPr>
          <w:i/>
          <w:color w:val="231F20"/>
          <w:spacing w:val="-4"/>
          <w:sz w:val="24"/>
        </w:rPr>
        <w:t> </w:t>
      </w:r>
      <w:r>
        <w:rPr>
          <w:i/>
          <w:color w:val="231F20"/>
          <w:sz w:val="24"/>
        </w:rPr>
        <w:t>contre</w:t>
      </w:r>
      <w:r>
        <w:rPr>
          <w:i/>
          <w:color w:val="231F20"/>
          <w:spacing w:val="-4"/>
          <w:sz w:val="24"/>
        </w:rPr>
        <w:t> </w:t>
      </w:r>
      <w:r>
        <w:rPr>
          <w:i/>
          <w:color w:val="231F20"/>
          <w:sz w:val="24"/>
        </w:rPr>
        <w:t>des</w:t>
      </w:r>
      <w:r>
        <w:rPr>
          <w:i/>
          <w:color w:val="231F20"/>
          <w:spacing w:val="-6"/>
          <w:sz w:val="24"/>
        </w:rPr>
        <w:t> </w:t>
      </w:r>
      <w:r>
        <w:rPr>
          <w:i/>
          <w:color w:val="231F20"/>
          <w:sz w:val="24"/>
        </w:rPr>
        <w:t>armes.</w:t>
      </w:r>
      <w:r>
        <w:rPr>
          <w:i/>
          <w:color w:val="231F20"/>
          <w:spacing w:val="-4"/>
          <w:sz w:val="24"/>
        </w:rPr>
        <w:t> </w:t>
      </w:r>
      <w:r>
        <w:rPr>
          <w:i/>
          <w:color w:val="231F20"/>
          <w:sz w:val="24"/>
        </w:rPr>
        <w:t>Mais</w:t>
      </w:r>
      <w:r>
        <w:rPr>
          <w:i/>
          <w:color w:val="231F20"/>
          <w:spacing w:val="-4"/>
          <w:sz w:val="24"/>
        </w:rPr>
        <w:t> </w:t>
      </w:r>
      <w:r>
        <w:rPr>
          <w:i/>
          <w:color w:val="231F20"/>
          <w:sz w:val="24"/>
        </w:rPr>
        <w:t>comme</w:t>
      </w:r>
      <w:r>
        <w:rPr>
          <w:i/>
          <w:color w:val="231F20"/>
          <w:spacing w:val="-4"/>
          <w:sz w:val="24"/>
        </w:rPr>
        <w:t> </w:t>
      </w:r>
      <w:r>
        <w:rPr>
          <w:i/>
          <w:color w:val="231F20"/>
          <w:sz w:val="24"/>
        </w:rPr>
        <w:t>ce</w:t>
      </w:r>
      <w:r>
        <w:rPr>
          <w:i/>
          <w:color w:val="231F20"/>
          <w:spacing w:val="-4"/>
          <w:sz w:val="24"/>
        </w:rPr>
        <w:t> </w:t>
      </w:r>
      <w:r>
        <w:rPr>
          <w:i/>
          <w:color w:val="231F20"/>
          <w:sz w:val="24"/>
        </w:rPr>
        <w:t>message était</w:t>
      </w:r>
      <w:r>
        <w:rPr>
          <w:i/>
          <w:color w:val="231F20"/>
          <w:spacing w:val="-6"/>
          <w:sz w:val="24"/>
        </w:rPr>
        <w:t> </w:t>
      </w:r>
      <w:r>
        <w:rPr>
          <w:i/>
          <w:color w:val="231F20"/>
          <w:sz w:val="24"/>
        </w:rPr>
        <w:t>très</w:t>
      </w:r>
      <w:r>
        <w:rPr>
          <w:i/>
          <w:color w:val="231F20"/>
          <w:spacing w:val="-4"/>
          <w:sz w:val="24"/>
        </w:rPr>
        <w:t> </w:t>
      </w:r>
      <w:r>
        <w:rPr>
          <w:i/>
          <w:color w:val="231F20"/>
          <w:sz w:val="24"/>
        </w:rPr>
        <w:t>sérieux,</w:t>
      </w:r>
      <w:r>
        <w:rPr>
          <w:i/>
          <w:color w:val="231F20"/>
          <w:spacing w:val="-4"/>
          <w:sz w:val="24"/>
        </w:rPr>
        <w:t> </w:t>
      </w:r>
      <w:r>
        <w:rPr>
          <w:i/>
          <w:color w:val="231F20"/>
          <w:sz w:val="24"/>
        </w:rPr>
        <w:t>on</w:t>
      </w:r>
      <w:r>
        <w:rPr>
          <w:i/>
          <w:color w:val="231F20"/>
          <w:spacing w:val="-4"/>
          <w:sz w:val="24"/>
        </w:rPr>
        <w:t> </w:t>
      </w:r>
      <w:r>
        <w:rPr>
          <w:i/>
          <w:color w:val="231F20"/>
          <w:sz w:val="24"/>
        </w:rPr>
        <w:t>s’est</w:t>
      </w:r>
      <w:r>
        <w:rPr>
          <w:i/>
          <w:color w:val="231F20"/>
          <w:spacing w:val="-6"/>
          <w:sz w:val="24"/>
        </w:rPr>
        <w:t> </w:t>
      </w:r>
      <w:r>
        <w:rPr>
          <w:i/>
          <w:color w:val="231F20"/>
          <w:sz w:val="24"/>
        </w:rPr>
        <w:t>dit</w:t>
      </w:r>
      <w:r>
        <w:rPr>
          <w:i/>
          <w:color w:val="231F20"/>
          <w:spacing w:val="-4"/>
          <w:sz w:val="24"/>
        </w:rPr>
        <w:t> </w:t>
      </w:r>
      <w:r>
        <w:rPr>
          <w:i/>
          <w:color w:val="231F20"/>
          <w:sz w:val="24"/>
        </w:rPr>
        <w:t>que</w:t>
      </w:r>
      <w:r>
        <w:rPr>
          <w:i/>
          <w:color w:val="231F20"/>
          <w:spacing w:val="-4"/>
          <w:sz w:val="24"/>
        </w:rPr>
        <w:t> </w:t>
      </w:r>
      <w:r>
        <w:rPr>
          <w:i/>
          <w:color w:val="231F20"/>
          <w:sz w:val="24"/>
        </w:rPr>
        <w:t>si</w:t>
      </w:r>
      <w:r>
        <w:rPr>
          <w:i/>
          <w:color w:val="231F20"/>
          <w:spacing w:val="-4"/>
          <w:sz w:val="24"/>
        </w:rPr>
        <w:t> </w:t>
      </w:r>
      <w:r>
        <w:rPr>
          <w:i/>
          <w:color w:val="231F20"/>
          <w:sz w:val="24"/>
        </w:rPr>
        <w:t>à</w:t>
      </w:r>
      <w:r>
        <w:rPr>
          <w:i/>
          <w:color w:val="231F20"/>
          <w:spacing w:val="-4"/>
          <w:sz w:val="24"/>
        </w:rPr>
        <w:t> </w:t>
      </w:r>
      <w:r>
        <w:rPr>
          <w:i/>
          <w:color w:val="231F20"/>
          <w:sz w:val="24"/>
        </w:rPr>
        <w:t>l’expiration</w:t>
      </w:r>
      <w:r>
        <w:rPr>
          <w:i/>
          <w:color w:val="231F20"/>
          <w:spacing w:val="-6"/>
          <w:sz w:val="24"/>
        </w:rPr>
        <w:t> </w:t>
      </w:r>
      <w:r>
        <w:rPr>
          <w:i/>
          <w:color w:val="231F20"/>
          <w:sz w:val="24"/>
        </w:rPr>
        <w:t>du</w:t>
      </w:r>
      <w:r>
        <w:rPr>
          <w:i/>
          <w:color w:val="231F20"/>
          <w:spacing w:val="-4"/>
          <w:sz w:val="24"/>
        </w:rPr>
        <w:t> </w:t>
      </w:r>
      <w:r>
        <w:rPr>
          <w:i/>
          <w:color w:val="231F20"/>
          <w:sz w:val="24"/>
        </w:rPr>
        <w:t>délai</w:t>
      </w:r>
      <w:r>
        <w:rPr>
          <w:i/>
          <w:color w:val="231F20"/>
          <w:spacing w:val="-4"/>
          <w:sz w:val="24"/>
        </w:rPr>
        <w:t> </w:t>
      </w:r>
      <w:r>
        <w:rPr>
          <w:i/>
          <w:color w:val="231F20"/>
          <w:sz w:val="24"/>
        </w:rPr>
        <w:t>aucun</w:t>
      </w:r>
      <w:r>
        <w:rPr>
          <w:i/>
          <w:color w:val="231F20"/>
          <w:spacing w:val="-4"/>
          <w:sz w:val="24"/>
        </w:rPr>
        <w:t> </w:t>
      </w:r>
      <w:r>
        <w:rPr>
          <w:i/>
          <w:color w:val="231F20"/>
          <w:sz w:val="24"/>
        </w:rPr>
        <w:t>autre </w:t>
      </w:r>
      <w:r>
        <w:rPr>
          <w:i/>
          <w:color w:val="231F20"/>
          <w:spacing w:val="-2"/>
          <w:sz w:val="24"/>
        </w:rPr>
        <w:t>message</w:t>
      </w:r>
      <w:r>
        <w:rPr>
          <w:i/>
          <w:color w:val="231F20"/>
          <w:spacing w:val="-10"/>
          <w:sz w:val="24"/>
        </w:rPr>
        <w:t> </w:t>
      </w:r>
      <w:r>
        <w:rPr>
          <w:i/>
          <w:color w:val="231F20"/>
          <w:spacing w:val="-2"/>
          <w:sz w:val="24"/>
        </w:rPr>
        <w:t>n’était</w:t>
      </w:r>
      <w:r>
        <w:rPr>
          <w:i/>
          <w:color w:val="231F20"/>
          <w:spacing w:val="-8"/>
          <w:sz w:val="24"/>
        </w:rPr>
        <w:t> </w:t>
      </w:r>
      <w:r>
        <w:rPr>
          <w:i/>
          <w:color w:val="231F20"/>
          <w:spacing w:val="-2"/>
          <w:sz w:val="24"/>
        </w:rPr>
        <w:t>envoyé,</w:t>
      </w:r>
      <w:r>
        <w:rPr>
          <w:i/>
          <w:color w:val="231F20"/>
          <w:spacing w:val="-10"/>
          <w:sz w:val="24"/>
        </w:rPr>
        <w:t> </w:t>
      </w:r>
      <w:r>
        <w:rPr>
          <w:i/>
          <w:color w:val="231F20"/>
          <w:spacing w:val="-2"/>
          <w:sz w:val="24"/>
        </w:rPr>
        <w:t>on</w:t>
      </w:r>
      <w:r>
        <w:rPr>
          <w:i/>
          <w:color w:val="231F20"/>
          <w:spacing w:val="-8"/>
          <w:sz w:val="24"/>
        </w:rPr>
        <w:t> </w:t>
      </w:r>
      <w:r>
        <w:rPr>
          <w:i/>
          <w:color w:val="231F20"/>
          <w:spacing w:val="-2"/>
          <w:sz w:val="24"/>
        </w:rPr>
        <w:t>serait</w:t>
      </w:r>
      <w:r>
        <w:rPr>
          <w:i/>
          <w:color w:val="231F20"/>
          <w:spacing w:val="-7"/>
          <w:sz w:val="24"/>
        </w:rPr>
        <w:t> </w:t>
      </w:r>
      <w:r>
        <w:rPr>
          <w:i/>
          <w:color w:val="231F20"/>
          <w:spacing w:val="-2"/>
          <w:sz w:val="24"/>
        </w:rPr>
        <w:t>envahis</w:t>
      </w:r>
      <w:r>
        <w:rPr>
          <w:i/>
          <w:color w:val="231F20"/>
          <w:spacing w:val="-8"/>
          <w:sz w:val="24"/>
        </w:rPr>
        <w:t> </w:t>
      </w:r>
      <w:r>
        <w:rPr>
          <w:i/>
          <w:color w:val="231F20"/>
          <w:spacing w:val="-2"/>
          <w:sz w:val="24"/>
        </w:rPr>
        <w:t>par</w:t>
      </w:r>
      <w:r>
        <w:rPr>
          <w:i/>
          <w:color w:val="231F20"/>
          <w:spacing w:val="-8"/>
          <w:sz w:val="24"/>
        </w:rPr>
        <w:t> </w:t>
      </w:r>
      <w:r>
        <w:rPr>
          <w:i/>
          <w:color w:val="231F20"/>
          <w:spacing w:val="-2"/>
          <w:sz w:val="24"/>
        </w:rPr>
        <w:t>les</w:t>
      </w:r>
      <w:r>
        <w:rPr>
          <w:i/>
          <w:color w:val="231F20"/>
          <w:spacing w:val="-10"/>
          <w:sz w:val="24"/>
        </w:rPr>
        <w:t> </w:t>
      </w:r>
      <w:r>
        <w:rPr>
          <w:i/>
          <w:color w:val="231F20"/>
          <w:spacing w:val="-2"/>
          <w:sz w:val="24"/>
        </w:rPr>
        <w:t>commandos</w:t>
      </w:r>
      <w:r>
        <w:rPr>
          <w:i/>
          <w:color w:val="231F20"/>
          <w:spacing w:val="-7"/>
          <w:sz w:val="24"/>
        </w:rPr>
        <w:t> </w:t>
      </w:r>
      <w:r>
        <w:rPr>
          <w:i/>
          <w:color w:val="231F20"/>
          <w:spacing w:val="-2"/>
          <w:sz w:val="24"/>
        </w:rPr>
        <w:t>héliportés,</w:t>
      </w:r>
    </w:p>
    <w:p>
      <w:pPr>
        <w:pStyle w:val="BodyText"/>
        <w:spacing w:before="7"/>
        <w:ind w:left="0"/>
        <w:jc w:val="left"/>
        <w:rPr>
          <w:i/>
          <w:sz w:val="12"/>
        </w:rPr>
      </w:pPr>
      <w:r>
        <w:rPr/>
        <mc:AlternateContent>
          <mc:Choice Requires="wps">
            <w:drawing>
              <wp:anchor distT="0" distB="0" distL="0" distR="0" allowOverlap="1" layoutInCell="1" locked="0" behindDoc="1" simplePos="0" relativeHeight="487612416">
                <wp:simplePos x="0" y="0"/>
                <wp:positionH relativeFrom="page">
                  <wp:posOffset>629907</wp:posOffset>
                </wp:positionH>
                <wp:positionV relativeFrom="paragraph">
                  <wp:posOffset>107810</wp:posOffset>
                </wp:positionV>
                <wp:extent cx="1829435" cy="9525"/>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8.488984pt;width:144.020pt;height:.72pt;mso-position-horizontal-relative:page;mso-position-vertical-relative:paragraph;z-index:-15704064;mso-wrap-distance-left:0;mso-wrap-distance-right:0" id="docshape63" filled="true" fillcolor="#231f20" stroked="false">
                <v:fill type="solid"/>
                <w10:wrap type="topAndBottom"/>
              </v:rect>
            </w:pict>
          </mc:Fallback>
        </mc:AlternateContent>
      </w:r>
    </w:p>
    <w:p>
      <w:pPr>
        <w:spacing w:before="91"/>
        <w:ind w:left="111" w:right="110" w:firstLine="0"/>
        <w:jc w:val="both"/>
        <w:rPr>
          <w:sz w:val="20"/>
        </w:rPr>
      </w:pPr>
      <w:r>
        <w:rPr>
          <w:color w:val="231F20"/>
          <w:sz w:val="20"/>
          <w:vertAlign w:val="superscript"/>
        </w:rPr>
        <w:t>73</w:t>
      </w:r>
      <w:r>
        <w:rPr>
          <w:color w:val="231F20"/>
          <w:spacing w:val="40"/>
          <w:sz w:val="20"/>
          <w:vertAlign w:val="baseline"/>
        </w:rPr>
        <w:t> </w:t>
      </w:r>
      <w:r>
        <w:rPr>
          <w:color w:val="231F20"/>
          <w:sz w:val="20"/>
          <w:vertAlign w:val="baseline"/>
        </w:rPr>
        <w:t>Les</w:t>
      </w:r>
      <w:r>
        <w:rPr>
          <w:color w:val="231F20"/>
          <w:spacing w:val="-13"/>
          <w:sz w:val="20"/>
          <w:vertAlign w:val="baseline"/>
        </w:rPr>
        <w:t> </w:t>
      </w:r>
      <w:r>
        <w:rPr>
          <w:color w:val="231F20"/>
          <w:sz w:val="20"/>
          <w:vertAlign w:val="baseline"/>
        </w:rPr>
        <w:t>Toubous</w:t>
      </w:r>
      <w:r>
        <w:rPr>
          <w:color w:val="231F20"/>
          <w:spacing w:val="-12"/>
          <w:sz w:val="20"/>
          <w:vertAlign w:val="baseline"/>
        </w:rPr>
        <w:t> </w:t>
      </w:r>
      <w:r>
        <w:rPr>
          <w:color w:val="231F20"/>
          <w:sz w:val="20"/>
          <w:vertAlign w:val="baseline"/>
        </w:rPr>
        <w:t>forment</w:t>
      </w:r>
      <w:r>
        <w:rPr>
          <w:color w:val="231F20"/>
          <w:spacing w:val="80"/>
          <w:sz w:val="20"/>
          <w:vertAlign w:val="baseline"/>
        </w:rPr>
        <w:t> </w:t>
      </w:r>
      <w:r>
        <w:rPr>
          <w:color w:val="231F20"/>
          <w:sz w:val="20"/>
          <w:vertAlign w:val="baseline"/>
        </w:rPr>
        <w:t>une</w:t>
      </w:r>
      <w:r>
        <w:rPr>
          <w:color w:val="231F20"/>
          <w:spacing w:val="80"/>
          <w:sz w:val="20"/>
          <w:vertAlign w:val="baseline"/>
        </w:rPr>
        <w:t> </w:t>
      </w:r>
      <w:r>
        <w:rPr>
          <w:color w:val="231F20"/>
          <w:sz w:val="20"/>
          <w:vertAlign w:val="baseline"/>
        </w:rPr>
        <w:t>population</w:t>
      </w:r>
      <w:r>
        <w:rPr>
          <w:color w:val="231F20"/>
          <w:spacing w:val="80"/>
          <w:sz w:val="20"/>
          <w:vertAlign w:val="baseline"/>
        </w:rPr>
        <w:t> </w:t>
      </w:r>
      <w:r>
        <w:rPr>
          <w:color w:val="231F20"/>
          <w:sz w:val="20"/>
          <w:vertAlign w:val="baseline"/>
        </w:rPr>
        <w:t>sont</w:t>
      </w:r>
      <w:r>
        <w:rPr>
          <w:color w:val="231F20"/>
          <w:spacing w:val="80"/>
          <w:sz w:val="20"/>
          <w:vertAlign w:val="baseline"/>
        </w:rPr>
        <w:t> </w:t>
      </w:r>
      <w:r>
        <w:rPr>
          <w:color w:val="231F20"/>
          <w:sz w:val="20"/>
          <w:vertAlign w:val="baseline"/>
        </w:rPr>
        <w:t>nomades,éleveurs</w:t>
      </w:r>
      <w:r>
        <w:rPr>
          <w:color w:val="231F20"/>
          <w:spacing w:val="80"/>
          <w:sz w:val="20"/>
          <w:vertAlign w:val="baseline"/>
        </w:rPr>
        <w:t> </w:t>
      </w:r>
      <w:r>
        <w:rPr>
          <w:color w:val="231F20"/>
          <w:sz w:val="20"/>
          <w:vertAlign w:val="baseline"/>
        </w:rPr>
        <w:t>de</w:t>
      </w:r>
      <w:r>
        <w:rPr>
          <w:color w:val="231F20"/>
          <w:spacing w:val="80"/>
          <w:sz w:val="20"/>
          <w:vertAlign w:val="baseline"/>
        </w:rPr>
        <w:t> </w:t>
      </w:r>
      <w:r>
        <w:rPr>
          <w:color w:val="231F20"/>
          <w:sz w:val="20"/>
          <w:vertAlign w:val="baseline"/>
        </w:rPr>
        <w:t>bétail</w:t>
      </w:r>
      <w:r>
        <w:rPr>
          <w:color w:val="231F20"/>
          <w:spacing w:val="80"/>
          <w:sz w:val="20"/>
          <w:vertAlign w:val="baseline"/>
        </w:rPr>
        <w:t> </w:t>
      </w:r>
      <w:r>
        <w:rPr>
          <w:color w:val="231F20"/>
          <w:sz w:val="20"/>
          <w:vertAlign w:val="baseline"/>
        </w:rPr>
        <w:t>dans le</w:t>
      </w:r>
      <w:r>
        <w:rPr>
          <w:color w:val="231F20"/>
          <w:spacing w:val="-5"/>
          <w:sz w:val="20"/>
          <w:vertAlign w:val="baseline"/>
        </w:rPr>
        <w:t> </w:t>
      </w:r>
      <w:r>
        <w:rPr>
          <w:color w:val="231F20"/>
          <w:sz w:val="20"/>
          <w:vertAlign w:val="baseline"/>
        </w:rPr>
        <w:t>Sahara</w:t>
      </w:r>
      <w:r>
        <w:rPr>
          <w:color w:val="231F20"/>
          <w:spacing w:val="-5"/>
          <w:sz w:val="20"/>
          <w:vertAlign w:val="baseline"/>
        </w:rPr>
        <w:t> </w:t>
      </w:r>
      <w:r>
        <w:rPr>
          <w:color w:val="231F20"/>
          <w:sz w:val="20"/>
          <w:vertAlign w:val="baseline"/>
        </w:rPr>
        <w:t>central.</w:t>
      </w:r>
      <w:r>
        <w:rPr>
          <w:color w:val="231F20"/>
          <w:spacing w:val="-8"/>
          <w:sz w:val="20"/>
          <w:vertAlign w:val="baseline"/>
        </w:rPr>
        <w:t> </w:t>
      </w:r>
      <w:r>
        <w:rPr>
          <w:color w:val="231F20"/>
          <w:sz w:val="20"/>
          <w:vertAlign w:val="baseline"/>
        </w:rPr>
        <w:t>Leur</w:t>
      </w:r>
      <w:r>
        <w:rPr>
          <w:color w:val="231F20"/>
          <w:spacing w:val="-7"/>
          <w:sz w:val="20"/>
          <w:vertAlign w:val="baseline"/>
        </w:rPr>
        <w:t> </w:t>
      </w:r>
      <w:r>
        <w:rPr>
          <w:color w:val="231F20"/>
          <w:sz w:val="20"/>
          <w:vertAlign w:val="baseline"/>
        </w:rPr>
        <w:t>territoire</w:t>
      </w:r>
      <w:r>
        <w:rPr>
          <w:color w:val="231F20"/>
          <w:spacing w:val="-5"/>
          <w:sz w:val="20"/>
          <w:vertAlign w:val="baseline"/>
        </w:rPr>
        <w:t> </w:t>
      </w:r>
      <w:r>
        <w:rPr>
          <w:color w:val="231F20"/>
          <w:sz w:val="20"/>
          <w:vertAlign w:val="baseline"/>
        </w:rPr>
        <w:t>a</w:t>
      </w:r>
      <w:r>
        <w:rPr>
          <w:color w:val="231F20"/>
          <w:spacing w:val="-5"/>
          <w:sz w:val="20"/>
          <w:vertAlign w:val="baseline"/>
        </w:rPr>
        <w:t> </w:t>
      </w:r>
      <w:r>
        <w:rPr>
          <w:color w:val="231F20"/>
          <w:sz w:val="20"/>
          <w:vertAlign w:val="baseline"/>
        </w:rPr>
        <w:t>son</w:t>
      </w:r>
      <w:r>
        <w:rPr>
          <w:color w:val="231F20"/>
          <w:spacing w:val="-7"/>
          <w:sz w:val="20"/>
          <w:vertAlign w:val="baseline"/>
        </w:rPr>
        <w:t> </w:t>
      </w:r>
      <w:r>
        <w:rPr>
          <w:color w:val="231F20"/>
          <w:sz w:val="20"/>
          <w:vertAlign w:val="baseline"/>
        </w:rPr>
        <w:t>centre</w:t>
      </w:r>
      <w:r>
        <w:rPr>
          <w:color w:val="231F20"/>
          <w:spacing w:val="-8"/>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gravité</w:t>
      </w:r>
      <w:r>
        <w:rPr>
          <w:color w:val="231F20"/>
          <w:spacing w:val="-8"/>
          <w:sz w:val="20"/>
          <w:vertAlign w:val="baseline"/>
        </w:rPr>
        <w:t> </w:t>
      </w:r>
      <w:r>
        <w:rPr>
          <w:color w:val="231F20"/>
          <w:sz w:val="20"/>
          <w:vertAlign w:val="baseline"/>
        </w:rPr>
        <w:t>dans</w:t>
      </w:r>
      <w:r>
        <w:rPr>
          <w:color w:val="231F20"/>
          <w:spacing w:val="-9"/>
          <w:sz w:val="20"/>
          <w:vertAlign w:val="baseline"/>
        </w:rPr>
        <w:t> </w:t>
      </w:r>
      <w:r>
        <w:rPr>
          <w:color w:val="231F20"/>
          <w:sz w:val="20"/>
          <w:vertAlign w:val="baseline"/>
        </w:rPr>
        <w:t>le</w:t>
      </w:r>
      <w:r>
        <w:rPr>
          <w:color w:val="231F20"/>
          <w:spacing w:val="-8"/>
          <w:sz w:val="20"/>
          <w:vertAlign w:val="baseline"/>
        </w:rPr>
        <w:t> </w:t>
      </w:r>
      <w:r>
        <w:rPr>
          <w:color w:val="231F20"/>
          <w:sz w:val="20"/>
          <w:vertAlign w:val="baseline"/>
        </w:rPr>
        <w:t>nord.</w:t>
      </w:r>
    </w:p>
    <w:p>
      <w:pPr>
        <w:spacing w:before="1"/>
        <w:ind w:left="111" w:right="111" w:firstLine="0"/>
        <w:jc w:val="both"/>
        <w:rPr>
          <w:sz w:val="20"/>
        </w:rPr>
      </w:pPr>
      <w:r>
        <w:rPr>
          <w:color w:val="231F20"/>
          <w:sz w:val="20"/>
          <w:vertAlign w:val="superscript"/>
        </w:rPr>
        <w:t>74</w:t>
      </w:r>
      <w:r>
        <w:rPr>
          <w:color w:val="231F20"/>
          <w:sz w:val="20"/>
          <w:vertAlign w:val="baseline"/>
        </w:rPr>
        <w:t>Goukouni</w:t>
      </w:r>
      <w:r>
        <w:rPr>
          <w:color w:val="231F20"/>
          <w:spacing w:val="-13"/>
          <w:sz w:val="20"/>
          <w:vertAlign w:val="baseline"/>
        </w:rPr>
        <w:t> </w:t>
      </w:r>
      <w:r>
        <w:rPr>
          <w:color w:val="231F20"/>
          <w:sz w:val="20"/>
          <w:vertAlign w:val="baseline"/>
        </w:rPr>
        <w:t>Oueddei,</w:t>
      </w:r>
      <w:r>
        <w:rPr>
          <w:color w:val="231F20"/>
          <w:spacing w:val="-12"/>
          <w:sz w:val="20"/>
          <w:vertAlign w:val="baseline"/>
        </w:rPr>
        <w:t> </w:t>
      </w:r>
      <w:r>
        <w:rPr>
          <w:color w:val="231F20"/>
          <w:sz w:val="20"/>
          <w:vertAlign w:val="baseline"/>
        </w:rPr>
        <w:t>né</w:t>
      </w:r>
      <w:r>
        <w:rPr>
          <w:color w:val="231F20"/>
          <w:spacing w:val="-13"/>
          <w:sz w:val="20"/>
          <w:vertAlign w:val="baseline"/>
        </w:rPr>
        <w:t> </w:t>
      </w:r>
      <w:r>
        <w:rPr>
          <w:color w:val="231F20"/>
          <w:sz w:val="20"/>
          <w:vertAlign w:val="baseline"/>
        </w:rPr>
        <w:t>en</w:t>
      </w:r>
      <w:r>
        <w:rPr>
          <w:color w:val="231F20"/>
          <w:spacing w:val="-12"/>
          <w:sz w:val="20"/>
          <w:vertAlign w:val="baseline"/>
        </w:rPr>
        <w:t> </w:t>
      </w:r>
      <w:r>
        <w:rPr>
          <w:color w:val="231F20"/>
          <w:sz w:val="20"/>
          <w:vertAlign w:val="baseline"/>
        </w:rPr>
        <w:t>1944,</w:t>
      </w:r>
      <w:r>
        <w:rPr>
          <w:color w:val="231F20"/>
          <w:spacing w:val="-13"/>
          <w:sz w:val="20"/>
          <w:vertAlign w:val="baseline"/>
        </w:rPr>
        <w:t> </w:t>
      </w:r>
      <w:r>
        <w:rPr>
          <w:color w:val="231F20"/>
          <w:sz w:val="20"/>
          <w:vertAlign w:val="baseline"/>
        </w:rPr>
        <w:t>chef</w:t>
      </w:r>
      <w:r>
        <w:rPr>
          <w:color w:val="231F20"/>
          <w:spacing w:val="-12"/>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l'État</w:t>
      </w:r>
      <w:r>
        <w:rPr>
          <w:color w:val="231F20"/>
          <w:spacing w:val="-12"/>
          <w:sz w:val="20"/>
          <w:vertAlign w:val="baseline"/>
        </w:rPr>
        <w:t> </w:t>
      </w:r>
      <w:r>
        <w:rPr>
          <w:color w:val="231F20"/>
          <w:sz w:val="20"/>
          <w:vertAlign w:val="baseline"/>
        </w:rPr>
        <w:t>entre</w:t>
      </w:r>
      <w:r>
        <w:rPr>
          <w:color w:val="231F20"/>
          <w:spacing w:val="-13"/>
          <w:sz w:val="20"/>
          <w:vertAlign w:val="baseline"/>
        </w:rPr>
        <w:t> </w:t>
      </w:r>
      <w:r>
        <w:rPr>
          <w:color w:val="231F20"/>
          <w:sz w:val="20"/>
          <w:vertAlign w:val="baseline"/>
        </w:rPr>
        <w:t>1979</w:t>
      </w:r>
      <w:r>
        <w:rPr>
          <w:color w:val="231F20"/>
          <w:spacing w:val="-12"/>
          <w:sz w:val="20"/>
          <w:vertAlign w:val="baseline"/>
        </w:rPr>
        <w:t> </w:t>
      </w:r>
      <w:r>
        <w:rPr>
          <w:color w:val="231F20"/>
          <w:sz w:val="20"/>
          <w:vertAlign w:val="baseline"/>
        </w:rPr>
        <w:t>et</w:t>
      </w:r>
      <w:r>
        <w:rPr>
          <w:color w:val="231F20"/>
          <w:spacing w:val="-13"/>
          <w:sz w:val="20"/>
          <w:vertAlign w:val="baseline"/>
        </w:rPr>
        <w:t> </w:t>
      </w:r>
      <w:r>
        <w:rPr>
          <w:color w:val="231F20"/>
          <w:sz w:val="20"/>
          <w:vertAlign w:val="baseline"/>
        </w:rPr>
        <w:t>1982</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il</w:t>
      </w:r>
      <w:r>
        <w:rPr>
          <w:color w:val="231F20"/>
          <w:spacing w:val="-12"/>
          <w:sz w:val="20"/>
          <w:vertAlign w:val="baseline"/>
        </w:rPr>
        <w:t> </w:t>
      </w:r>
      <w:r>
        <w:rPr>
          <w:color w:val="231F20"/>
          <w:sz w:val="20"/>
          <w:vertAlign w:val="baseline"/>
        </w:rPr>
        <w:t>a</w:t>
      </w:r>
      <w:r>
        <w:rPr>
          <w:color w:val="231F20"/>
          <w:spacing w:val="-13"/>
          <w:sz w:val="20"/>
          <w:vertAlign w:val="baseline"/>
        </w:rPr>
        <w:t> </w:t>
      </w:r>
      <w:r>
        <w:rPr>
          <w:color w:val="231F20"/>
          <w:sz w:val="20"/>
          <w:vertAlign w:val="baseline"/>
        </w:rPr>
        <w:t>été</w:t>
      </w:r>
      <w:r>
        <w:rPr>
          <w:color w:val="231F20"/>
          <w:spacing w:val="-12"/>
          <w:sz w:val="20"/>
          <w:vertAlign w:val="baseline"/>
        </w:rPr>
        <w:t> </w:t>
      </w:r>
      <w:r>
        <w:rPr>
          <w:color w:val="231F20"/>
          <w:sz w:val="20"/>
          <w:vertAlign w:val="baseline"/>
        </w:rPr>
        <w:t>renversé</w:t>
      </w:r>
      <w:r>
        <w:rPr>
          <w:color w:val="231F20"/>
          <w:spacing w:val="-13"/>
          <w:sz w:val="20"/>
          <w:vertAlign w:val="baseline"/>
        </w:rPr>
        <w:t> </w:t>
      </w:r>
      <w:r>
        <w:rPr>
          <w:color w:val="231F20"/>
          <w:sz w:val="20"/>
          <w:vertAlign w:val="baseline"/>
        </w:rPr>
        <w:t>en décembre</w:t>
      </w:r>
      <w:r>
        <w:rPr>
          <w:color w:val="231F20"/>
          <w:spacing w:val="-9"/>
          <w:sz w:val="20"/>
          <w:vertAlign w:val="baseline"/>
        </w:rPr>
        <w:t> </w:t>
      </w:r>
      <w:r>
        <w:rPr>
          <w:color w:val="231F20"/>
          <w:sz w:val="20"/>
          <w:vertAlign w:val="baseline"/>
        </w:rPr>
        <w:t>1981</w:t>
      </w:r>
      <w:r>
        <w:rPr>
          <w:color w:val="231F20"/>
          <w:spacing w:val="-8"/>
          <w:sz w:val="20"/>
          <w:vertAlign w:val="baseline"/>
        </w:rPr>
        <w:t> </w:t>
      </w:r>
      <w:r>
        <w:rPr>
          <w:color w:val="231F20"/>
          <w:sz w:val="20"/>
          <w:vertAlign w:val="baseline"/>
        </w:rPr>
        <w:t>par</w:t>
      </w:r>
      <w:r>
        <w:rPr>
          <w:color w:val="231F20"/>
          <w:spacing w:val="-7"/>
          <w:sz w:val="20"/>
          <w:vertAlign w:val="baseline"/>
        </w:rPr>
        <w:t> </w:t>
      </w:r>
      <w:r>
        <w:rPr>
          <w:color w:val="231F20"/>
          <w:sz w:val="20"/>
          <w:vertAlign w:val="baseline"/>
        </w:rPr>
        <w:t>Hissène</w:t>
      </w:r>
      <w:r>
        <w:rPr>
          <w:color w:val="231F20"/>
          <w:spacing w:val="-7"/>
          <w:sz w:val="20"/>
          <w:vertAlign w:val="baseline"/>
        </w:rPr>
        <w:t> </w:t>
      </w:r>
      <w:r>
        <w:rPr>
          <w:color w:val="231F20"/>
          <w:sz w:val="20"/>
          <w:vertAlign w:val="baseline"/>
        </w:rPr>
        <w:t>Habré,</w:t>
      </w:r>
      <w:r>
        <w:rPr>
          <w:color w:val="231F20"/>
          <w:spacing w:val="-7"/>
          <w:sz w:val="20"/>
          <w:vertAlign w:val="baseline"/>
        </w:rPr>
        <w:t> </w:t>
      </w:r>
      <w:r>
        <w:rPr>
          <w:color w:val="231F20"/>
          <w:sz w:val="20"/>
          <w:vertAlign w:val="baseline"/>
        </w:rPr>
        <w:t>soutenu</w:t>
      </w:r>
      <w:r>
        <w:rPr>
          <w:color w:val="231F20"/>
          <w:spacing w:val="-8"/>
          <w:sz w:val="20"/>
          <w:vertAlign w:val="baseline"/>
        </w:rPr>
        <w:t> </w:t>
      </w:r>
      <w:r>
        <w:rPr>
          <w:color w:val="231F20"/>
          <w:sz w:val="20"/>
          <w:vertAlign w:val="baseline"/>
        </w:rPr>
        <w:t>par</w:t>
      </w:r>
      <w:r>
        <w:rPr>
          <w:color w:val="231F20"/>
          <w:spacing w:val="-8"/>
          <w:sz w:val="20"/>
          <w:vertAlign w:val="baseline"/>
        </w:rPr>
        <w:t> </w:t>
      </w:r>
      <w:r>
        <w:rPr>
          <w:color w:val="231F20"/>
          <w:sz w:val="20"/>
          <w:vertAlign w:val="baseline"/>
        </w:rPr>
        <w:t>la</w:t>
      </w:r>
      <w:r>
        <w:rPr>
          <w:color w:val="231F20"/>
          <w:spacing w:val="-8"/>
          <w:sz w:val="20"/>
          <w:vertAlign w:val="baseline"/>
        </w:rPr>
        <w:t> </w:t>
      </w:r>
      <w:r>
        <w:rPr>
          <w:color w:val="231F20"/>
          <w:sz w:val="20"/>
          <w:vertAlign w:val="baseline"/>
        </w:rPr>
        <w:t>France</w:t>
      </w:r>
      <w:r>
        <w:rPr>
          <w:color w:val="231F20"/>
          <w:spacing w:val="-9"/>
          <w:sz w:val="20"/>
          <w:vertAlign w:val="baseline"/>
        </w:rPr>
        <w:t> </w:t>
      </w:r>
      <w:r>
        <w:rPr>
          <w:color w:val="231F20"/>
          <w:sz w:val="20"/>
          <w:vertAlign w:val="baseline"/>
        </w:rPr>
        <w:t>et</w:t>
      </w:r>
      <w:r>
        <w:rPr>
          <w:color w:val="231F20"/>
          <w:spacing w:val="-9"/>
          <w:sz w:val="20"/>
          <w:vertAlign w:val="baseline"/>
        </w:rPr>
        <w:t> </w:t>
      </w:r>
      <w:r>
        <w:rPr>
          <w:color w:val="231F20"/>
          <w:sz w:val="20"/>
          <w:vertAlign w:val="baseline"/>
        </w:rPr>
        <w:t>les</w:t>
      </w:r>
      <w:r>
        <w:rPr>
          <w:color w:val="231F20"/>
          <w:spacing w:val="-10"/>
          <w:sz w:val="20"/>
          <w:vertAlign w:val="baseline"/>
        </w:rPr>
        <w:t> </w:t>
      </w:r>
      <w:r>
        <w:rPr>
          <w:color w:val="231F20"/>
          <w:sz w:val="20"/>
          <w:vertAlign w:val="baseline"/>
        </w:rPr>
        <w:t>États-Unis.</w:t>
      </w:r>
    </w:p>
    <w:p>
      <w:pPr>
        <w:spacing w:before="2"/>
        <w:ind w:left="111" w:right="105" w:firstLine="0"/>
        <w:jc w:val="both"/>
        <w:rPr>
          <w:sz w:val="20"/>
        </w:rPr>
      </w:pPr>
      <w:r>
        <w:rPr>
          <w:color w:val="231F20"/>
          <w:sz w:val="20"/>
          <w:vertAlign w:val="superscript"/>
        </w:rPr>
        <w:t>75</w:t>
      </w:r>
      <w:r>
        <w:rPr>
          <w:color w:val="231F20"/>
          <w:spacing w:val="-5"/>
          <w:sz w:val="20"/>
          <w:vertAlign w:val="baseline"/>
        </w:rPr>
        <w:t> </w:t>
      </w:r>
      <w:r>
        <w:rPr>
          <w:color w:val="231F20"/>
          <w:sz w:val="20"/>
          <w:vertAlign w:val="baseline"/>
        </w:rPr>
        <w:t>Hissène Habré, né le 13 août 1942 à Faya-Largeau, membre du peuple gorane ou </w:t>
      </w:r>
      <w:r>
        <w:rPr>
          <w:color w:val="231F20"/>
          <w:spacing w:val="-2"/>
          <w:sz w:val="20"/>
          <w:vertAlign w:val="baseline"/>
        </w:rPr>
        <w:t>toubou</w:t>
      </w:r>
      <w:r>
        <w:rPr>
          <w:color w:val="231F20"/>
          <w:spacing w:val="-11"/>
          <w:sz w:val="20"/>
          <w:vertAlign w:val="baseline"/>
        </w:rPr>
        <w:t> </w:t>
      </w:r>
      <w:r>
        <w:rPr>
          <w:color w:val="231F20"/>
          <w:spacing w:val="-2"/>
          <w:sz w:val="20"/>
          <w:vertAlign w:val="baseline"/>
        </w:rPr>
        <w:t>du</w:t>
      </w:r>
      <w:r>
        <w:rPr>
          <w:color w:val="231F20"/>
          <w:spacing w:val="-10"/>
          <w:sz w:val="20"/>
          <w:vertAlign w:val="baseline"/>
        </w:rPr>
        <w:t> </w:t>
      </w:r>
      <w:r>
        <w:rPr>
          <w:color w:val="231F20"/>
          <w:spacing w:val="-2"/>
          <w:sz w:val="20"/>
          <w:vertAlign w:val="baseline"/>
        </w:rPr>
        <w:t>clan</w:t>
      </w:r>
      <w:r>
        <w:rPr>
          <w:color w:val="231F20"/>
          <w:spacing w:val="-10"/>
          <w:sz w:val="20"/>
          <w:vertAlign w:val="baseline"/>
        </w:rPr>
        <w:t> </w:t>
      </w:r>
      <w:r>
        <w:rPr>
          <w:color w:val="231F20"/>
          <w:spacing w:val="-2"/>
          <w:sz w:val="20"/>
          <w:vertAlign w:val="baseline"/>
        </w:rPr>
        <w:t>Anakaza.</w:t>
      </w:r>
      <w:r>
        <w:rPr>
          <w:color w:val="231F20"/>
          <w:spacing w:val="-11"/>
          <w:sz w:val="20"/>
          <w:vertAlign w:val="baseline"/>
        </w:rPr>
        <w:t> </w:t>
      </w:r>
      <w:r>
        <w:rPr>
          <w:color w:val="231F20"/>
          <w:spacing w:val="-2"/>
          <w:sz w:val="20"/>
          <w:vertAlign w:val="baseline"/>
        </w:rPr>
        <w:t>Il</w:t>
      </w:r>
      <w:r>
        <w:rPr>
          <w:color w:val="231F20"/>
          <w:spacing w:val="-10"/>
          <w:sz w:val="20"/>
          <w:vertAlign w:val="baseline"/>
        </w:rPr>
        <w:t> </w:t>
      </w:r>
      <w:r>
        <w:rPr>
          <w:color w:val="231F20"/>
          <w:spacing w:val="-2"/>
          <w:sz w:val="20"/>
          <w:vertAlign w:val="baseline"/>
        </w:rPr>
        <w:t>est</w:t>
      </w:r>
      <w:r>
        <w:rPr>
          <w:color w:val="231F20"/>
          <w:spacing w:val="-11"/>
          <w:sz w:val="20"/>
          <w:vertAlign w:val="baseline"/>
        </w:rPr>
        <w:t> </w:t>
      </w:r>
      <w:r>
        <w:rPr>
          <w:color w:val="231F20"/>
          <w:spacing w:val="-2"/>
          <w:sz w:val="20"/>
          <w:vertAlign w:val="baseline"/>
        </w:rPr>
        <w:t>président</w:t>
      </w:r>
      <w:r>
        <w:rPr>
          <w:color w:val="231F20"/>
          <w:spacing w:val="-10"/>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la</w:t>
      </w:r>
      <w:r>
        <w:rPr>
          <w:color w:val="231F20"/>
          <w:spacing w:val="-10"/>
          <w:sz w:val="20"/>
          <w:vertAlign w:val="baseline"/>
        </w:rPr>
        <w:t> </w:t>
      </w:r>
      <w:r>
        <w:rPr>
          <w:color w:val="231F20"/>
          <w:spacing w:val="-2"/>
          <w:sz w:val="20"/>
          <w:vertAlign w:val="baseline"/>
        </w:rPr>
        <w:t>République</w:t>
      </w:r>
      <w:r>
        <w:rPr>
          <w:color w:val="231F20"/>
          <w:spacing w:val="-11"/>
          <w:sz w:val="20"/>
          <w:vertAlign w:val="baseline"/>
        </w:rPr>
        <w:t> </w:t>
      </w:r>
      <w:r>
        <w:rPr>
          <w:color w:val="231F20"/>
          <w:spacing w:val="-2"/>
          <w:sz w:val="20"/>
          <w:vertAlign w:val="baseline"/>
        </w:rPr>
        <w:t>du</w:t>
      </w:r>
      <w:r>
        <w:rPr>
          <w:color w:val="231F20"/>
          <w:spacing w:val="-10"/>
          <w:sz w:val="20"/>
          <w:vertAlign w:val="baseline"/>
        </w:rPr>
        <w:t> </w:t>
      </w:r>
      <w:r>
        <w:rPr>
          <w:color w:val="231F20"/>
          <w:spacing w:val="-2"/>
          <w:sz w:val="20"/>
          <w:vertAlign w:val="baseline"/>
        </w:rPr>
        <w:t>Tchad</w:t>
      </w:r>
      <w:r>
        <w:rPr>
          <w:color w:val="231F20"/>
          <w:spacing w:val="-10"/>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1982</w:t>
      </w:r>
      <w:r>
        <w:rPr>
          <w:color w:val="231F20"/>
          <w:spacing w:val="-10"/>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1990,</w:t>
      </w:r>
      <w:r>
        <w:rPr>
          <w:color w:val="231F20"/>
          <w:spacing w:val="-10"/>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la </w:t>
      </w:r>
      <w:r>
        <w:rPr>
          <w:color w:val="231F20"/>
          <w:sz w:val="20"/>
          <w:vertAlign w:val="baseline"/>
        </w:rPr>
        <w:t>suite</w:t>
      </w:r>
      <w:r>
        <w:rPr>
          <w:color w:val="231F20"/>
          <w:spacing w:val="-1"/>
          <w:sz w:val="20"/>
          <w:vertAlign w:val="baseline"/>
        </w:rPr>
        <w:t> </w:t>
      </w:r>
      <w:r>
        <w:rPr>
          <w:color w:val="231F20"/>
          <w:sz w:val="20"/>
          <w:vertAlign w:val="baseline"/>
        </w:rPr>
        <w:t>du</w:t>
      </w:r>
      <w:r>
        <w:rPr>
          <w:color w:val="231F20"/>
          <w:spacing w:val="-1"/>
          <w:sz w:val="20"/>
          <w:vertAlign w:val="baseline"/>
        </w:rPr>
        <w:t> </w:t>
      </w:r>
      <w:r>
        <w:rPr>
          <w:color w:val="231F20"/>
          <w:sz w:val="20"/>
          <w:vertAlign w:val="baseline"/>
        </w:rPr>
        <w:t>coup</w:t>
      </w:r>
      <w:r>
        <w:rPr>
          <w:color w:val="231F20"/>
          <w:spacing w:val="-1"/>
          <w:sz w:val="20"/>
          <w:vertAlign w:val="baseline"/>
        </w:rPr>
        <w:t> </w:t>
      </w:r>
      <w:r>
        <w:rPr>
          <w:color w:val="231F20"/>
          <w:sz w:val="20"/>
          <w:vertAlign w:val="baseline"/>
        </w:rPr>
        <w:t>d'État</w:t>
      </w:r>
      <w:r>
        <w:rPr>
          <w:color w:val="231F20"/>
          <w:spacing w:val="-2"/>
          <w:sz w:val="20"/>
          <w:vertAlign w:val="baseline"/>
        </w:rPr>
        <w:t> </w:t>
      </w:r>
      <w:r>
        <w:rPr>
          <w:color w:val="231F20"/>
          <w:sz w:val="20"/>
          <w:vertAlign w:val="baseline"/>
        </w:rPr>
        <w:t>qui renverse Goukouni</w:t>
      </w:r>
      <w:r>
        <w:rPr>
          <w:color w:val="231F20"/>
          <w:spacing w:val="-2"/>
          <w:sz w:val="20"/>
          <w:vertAlign w:val="baseline"/>
        </w:rPr>
        <w:t> </w:t>
      </w:r>
      <w:r>
        <w:rPr>
          <w:color w:val="231F20"/>
          <w:sz w:val="20"/>
          <w:vertAlign w:val="baseline"/>
        </w:rPr>
        <w:t>Oueddei</w:t>
      </w:r>
    </w:p>
    <w:p>
      <w:pPr>
        <w:spacing w:line="229" w:lineRule="exact" w:before="0"/>
        <w:ind w:left="111" w:right="0" w:firstLine="0"/>
        <w:jc w:val="both"/>
        <w:rPr>
          <w:sz w:val="20"/>
        </w:rPr>
      </w:pPr>
      <w:r>
        <w:rPr>
          <w:color w:val="76787A"/>
          <w:spacing w:val="-4"/>
          <w:sz w:val="20"/>
          <w:vertAlign w:val="superscript"/>
        </w:rPr>
        <w:t>76</w:t>
      </w:r>
      <w:r>
        <w:rPr>
          <w:color w:val="76787A"/>
          <w:spacing w:val="-17"/>
          <w:sz w:val="20"/>
          <w:vertAlign w:val="baseline"/>
        </w:rPr>
        <w:t> </w:t>
      </w:r>
      <w:r>
        <w:rPr>
          <w:color w:val="231F20"/>
          <w:spacing w:val="-4"/>
          <w:sz w:val="20"/>
          <w:vertAlign w:val="baseline"/>
        </w:rPr>
        <w:t>Marc</w:t>
      </w:r>
      <w:r>
        <w:rPr>
          <w:color w:val="231F20"/>
          <w:sz w:val="20"/>
          <w:vertAlign w:val="baseline"/>
        </w:rPr>
        <w:t> </w:t>
      </w:r>
      <w:r>
        <w:rPr>
          <w:color w:val="231F20"/>
          <w:spacing w:val="-4"/>
          <w:sz w:val="20"/>
          <w:vertAlign w:val="baseline"/>
        </w:rPr>
        <w:t>Combe, réussi</w:t>
      </w:r>
      <w:r>
        <w:rPr>
          <w:color w:val="231F20"/>
          <w:spacing w:val="-1"/>
          <w:sz w:val="20"/>
          <w:vertAlign w:val="baseline"/>
        </w:rPr>
        <w:t> </w:t>
      </w:r>
      <w:r>
        <w:rPr>
          <w:color w:val="231F20"/>
          <w:spacing w:val="-4"/>
          <w:sz w:val="20"/>
          <w:vertAlign w:val="baseline"/>
        </w:rPr>
        <w:t>à s’enfuir</w:t>
      </w:r>
      <w:r>
        <w:rPr>
          <w:color w:val="231F20"/>
          <w:spacing w:val="-2"/>
          <w:sz w:val="20"/>
          <w:vertAlign w:val="baseline"/>
        </w:rPr>
        <w:t> </w:t>
      </w:r>
      <w:r>
        <w:rPr>
          <w:color w:val="231F20"/>
          <w:spacing w:val="-4"/>
          <w:sz w:val="20"/>
          <w:vertAlign w:val="baseline"/>
        </w:rPr>
        <w:t>en</w:t>
      </w:r>
      <w:r>
        <w:rPr>
          <w:color w:val="231F20"/>
          <w:spacing w:val="-2"/>
          <w:sz w:val="20"/>
          <w:vertAlign w:val="baseline"/>
        </w:rPr>
        <w:t> </w:t>
      </w:r>
      <w:r>
        <w:rPr>
          <w:color w:val="231F20"/>
          <w:spacing w:val="-4"/>
          <w:sz w:val="20"/>
          <w:vertAlign w:val="baseline"/>
        </w:rPr>
        <w:t>mai 1975.</w:t>
      </w:r>
    </w:p>
    <w:p>
      <w:pPr>
        <w:spacing w:before="0"/>
        <w:ind w:left="111" w:right="106" w:firstLine="0"/>
        <w:jc w:val="both"/>
        <w:rPr>
          <w:sz w:val="20"/>
        </w:rPr>
      </w:pPr>
      <w:r>
        <w:rPr>
          <w:color w:val="76787A"/>
          <w:spacing w:val="-6"/>
          <w:sz w:val="20"/>
          <w:vertAlign w:val="superscript"/>
        </w:rPr>
        <w:t>77</w:t>
      </w:r>
      <w:r>
        <w:rPr>
          <w:color w:val="76787A"/>
          <w:spacing w:val="-6"/>
          <w:sz w:val="20"/>
          <w:vertAlign w:val="baseline"/>
        </w:rPr>
        <w:t> </w:t>
      </w:r>
      <w:r>
        <w:rPr>
          <w:color w:val="231F20"/>
          <w:spacing w:val="-6"/>
          <w:sz w:val="20"/>
          <w:vertAlign w:val="baseline"/>
        </w:rPr>
        <w:t>En</w:t>
      </w:r>
      <w:r>
        <w:rPr>
          <w:color w:val="231F20"/>
          <w:sz w:val="20"/>
          <w:vertAlign w:val="baseline"/>
        </w:rPr>
        <w:t> </w:t>
      </w:r>
      <w:r>
        <w:rPr>
          <w:color w:val="231F20"/>
          <w:spacing w:val="-6"/>
          <w:sz w:val="20"/>
          <w:vertAlign w:val="baseline"/>
        </w:rPr>
        <w:t>août 1975, Pierre</w:t>
      </w:r>
      <w:r>
        <w:rPr>
          <w:color w:val="231F20"/>
          <w:sz w:val="20"/>
          <w:vertAlign w:val="baseline"/>
        </w:rPr>
        <w:t> </w:t>
      </w:r>
      <w:r>
        <w:rPr>
          <w:color w:val="231F20"/>
          <w:spacing w:val="-6"/>
          <w:sz w:val="20"/>
          <w:vertAlign w:val="baseline"/>
        </w:rPr>
        <w:t>Claustre</w:t>
      </w:r>
      <w:r>
        <w:rPr>
          <w:color w:val="231F20"/>
          <w:sz w:val="20"/>
          <w:vertAlign w:val="baseline"/>
        </w:rPr>
        <w:t> </w:t>
      </w:r>
      <w:r>
        <w:rPr>
          <w:color w:val="231F20"/>
          <w:spacing w:val="-6"/>
          <w:sz w:val="20"/>
          <w:vertAlign w:val="baseline"/>
        </w:rPr>
        <w:t>est</w:t>
      </w:r>
      <w:r>
        <w:rPr>
          <w:color w:val="231F20"/>
          <w:spacing w:val="-1"/>
          <w:sz w:val="20"/>
          <w:vertAlign w:val="baseline"/>
        </w:rPr>
        <w:t> </w:t>
      </w:r>
      <w:r>
        <w:rPr>
          <w:color w:val="231F20"/>
          <w:spacing w:val="-6"/>
          <w:sz w:val="20"/>
          <w:vertAlign w:val="baseline"/>
        </w:rPr>
        <w:t>arrêté par</w:t>
      </w:r>
      <w:r>
        <w:rPr>
          <w:color w:val="231F20"/>
          <w:sz w:val="20"/>
          <w:vertAlign w:val="baseline"/>
        </w:rPr>
        <w:t> </w:t>
      </w:r>
      <w:r>
        <w:rPr>
          <w:color w:val="231F20"/>
          <w:spacing w:val="-6"/>
          <w:sz w:val="20"/>
          <w:vertAlign w:val="baseline"/>
        </w:rPr>
        <w:t>les rebelles,</w:t>
      </w:r>
      <w:r>
        <w:rPr>
          <w:color w:val="231F20"/>
          <w:sz w:val="20"/>
          <w:vertAlign w:val="baseline"/>
        </w:rPr>
        <w:t> </w:t>
      </w:r>
      <w:r>
        <w:rPr>
          <w:color w:val="231F20"/>
          <w:spacing w:val="-6"/>
          <w:sz w:val="20"/>
          <w:vertAlign w:val="baseline"/>
        </w:rPr>
        <w:t>après avoir échoué</w:t>
      </w:r>
      <w:r>
        <w:rPr>
          <w:color w:val="231F20"/>
          <w:sz w:val="20"/>
          <w:vertAlign w:val="baseline"/>
        </w:rPr>
        <w:t> </w:t>
      </w:r>
      <w:r>
        <w:rPr>
          <w:color w:val="231F20"/>
          <w:spacing w:val="-6"/>
          <w:sz w:val="20"/>
          <w:vertAlign w:val="baseline"/>
        </w:rPr>
        <w:t>à leur fournir </w:t>
      </w:r>
      <w:r>
        <w:rPr>
          <w:color w:val="231F20"/>
          <w:spacing w:val="-4"/>
          <w:sz w:val="20"/>
          <w:vertAlign w:val="baseline"/>
        </w:rPr>
        <w:t>des armes. Cf Pierre Claustre, L’affaire Claustre, autopsie d’une prise d’otages, Karthala </w:t>
      </w:r>
      <w:r>
        <w:rPr>
          <w:color w:val="231F20"/>
          <w:spacing w:val="-2"/>
          <w:sz w:val="20"/>
          <w:vertAlign w:val="baseline"/>
        </w:rPr>
        <w:t>1990.</w:t>
      </w:r>
    </w:p>
    <w:p>
      <w:pPr>
        <w:spacing w:after="0"/>
        <w:jc w:val="both"/>
        <w:rPr>
          <w:sz w:val="20"/>
        </w:rPr>
        <w:sectPr>
          <w:pgSz w:w="8790" w:h="13610"/>
          <w:pgMar w:header="0" w:footer="802" w:top="1040" w:bottom="1000" w:left="880" w:right="880"/>
        </w:sectPr>
      </w:pPr>
    </w:p>
    <w:p>
      <w:pPr>
        <w:spacing w:before="66"/>
        <w:ind w:left="111" w:right="0" w:firstLine="0"/>
        <w:jc w:val="both"/>
        <w:rPr>
          <w:i/>
          <w:sz w:val="24"/>
        </w:rPr>
      </w:pPr>
      <w:r>
        <w:rPr>
          <w:i/>
          <w:color w:val="231F20"/>
          <w:spacing w:val="-4"/>
          <w:sz w:val="24"/>
        </w:rPr>
        <w:t>des</w:t>
      </w:r>
      <w:r>
        <w:rPr>
          <w:i/>
          <w:color w:val="231F20"/>
          <w:spacing w:val="-1"/>
          <w:sz w:val="24"/>
        </w:rPr>
        <w:t> </w:t>
      </w:r>
      <w:r>
        <w:rPr>
          <w:i/>
          <w:color w:val="231F20"/>
          <w:spacing w:val="-4"/>
          <w:sz w:val="24"/>
        </w:rPr>
        <w:t>parachutistes, et</w:t>
      </w:r>
      <w:r>
        <w:rPr>
          <w:i/>
          <w:color w:val="231F20"/>
          <w:spacing w:val="-3"/>
          <w:sz w:val="24"/>
        </w:rPr>
        <w:t> </w:t>
      </w:r>
      <w:r>
        <w:rPr>
          <w:i/>
          <w:color w:val="231F20"/>
          <w:spacing w:val="-4"/>
          <w:sz w:val="24"/>
        </w:rPr>
        <w:t>donc c’est</w:t>
      </w:r>
      <w:r>
        <w:rPr>
          <w:i/>
          <w:color w:val="231F20"/>
          <w:spacing w:val="-3"/>
          <w:sz w:val="24"/>
        </w:rPr>
        <w:t> </w:t>
      </w:r>
      <w:r>
        <w:rPr>
          <w:i/>
          <w:color w:val="231F20"/>
          <w:spacing w:val="-4"/>
          <w:sz w:val="24"/>
        </w:rPr>
        <w:t>ainsi qu’on</w:t>
      </w:r>
      <w:r>
        <w:rPr>
          <w:i/>
          <w:color w:val="231F20"/>
          <w:spacing w:val="-3"/>
          <w:sz w:val="24"/>
        </w:rPr>
        <w:t> </w:t>
      </w:r>
      <w:r>
        <w:rPr>
          <w:i/>
          <w:color w:val="231F20"/>
          <w:spacing w:val="-4"/>
          <w:sz w:val="24"/>
        </w:rPr>
        <w:t>s’est</w:t>
      </w:r>
      <w:r>
        <w:rPr>
          <w:i/>
          <w:color w:val="231F20"/>
          <w:spacing w:val="-3"/>
          <w:sz w:val="24"/>
        </w:rPr>
        <w:t> </w:t>
      </w:r>
      <w:r>
        <w:rPr>
          <w:i/>
          <w:color w:val="231F20"/>
          <w:spacing w:val="-4"/>
          <w:sz w:val="24"/>
        </w:rPr>
        <w:t>préparés...</w:t>
      </w:r>
      <w:r>
        <w:rPr>
          <w:i/>
          <w:color w:val="231F20"/>
          <w:spacing w:val="-1"/>
          <w:sz w:val="24"/>
        </w:rPr>
        <w:t> </w:t>
      </w:r>
      <w:r>
        <w:rPr>
          <w:i/>
          <w:color w:val="231F20"/>
          <w:spacing w:val="-4"/>
          <w:sz w:val="24"/>
        </w:rPr>
        <w:t>On</w:t>
      </w:r>
      <w:r>
        <w:rPr>
          <w:i/>
          <w:color w:val="231F20"/>
          <w:spacing w:val="-3"/>
          <w:sz w:val="24"/>
        </w:rPr>
        <w:t> </w:t>
      </w:r>
      <w:r>
        <w:rPr>
          <w:i/>
          <w:color w:val="231F20"/>
          <w:spacing w:val="-4"/>
          <w:sz w:val="24"/>
        </w:rPr>
        <w:t>a</w:t>
      </w:r>
      <w:r>
        <w:rPr>
          <w:i/>
          <w:color w:val="231F20"/>
          <w:spacing w:val="-3"/>
          <w:sz w:val="24"/>
        </w:rPr>
        <w:t> </w:t>
      </w:r>
      <w:r>
        <w:rPr>
          <w:i/>
          <w:color w:val="231F20"/>
          <w:spacing w:val="-4"/>
          <w:sz w:val="24"/>
        </w:rPr>
        <w:t>exécuté</w:t>
      </w:r>
    </w:p>
    <w:p>
      <w:pPr>
        <w:spacing w:before="0"/>
        <w:ind w:left="111" w:right="0" w:firstLine="0"/>
        <w:jc w:val="both"/>
        <w:rPr>
          <w:i/>
          <w:sz w:val="24"/>
        </w:rPr>
      </w:pPr>
      <w:r>
        <w:rPr>
          <w:i/>
          <w:color w:val="231F20"/>
          <w:spacing w:val="-2"/>
          <w:sz w:val="24"/>
        </w:rPr>
        <w:t>Galopin</w:t>
      </w:r>
      <w:r>
        <w:rPr>
          <w:color w:val="231F20"/>
          <w:spacing w:val="-2"/>
          <w:sz w:val="24"/>
          <w:vertAlign w:val="superscript"/>
        </w:rPr>
        <w:t>78</w:t>
      </w:r>
      <w:r>
        <w:rPr>
          <w:i/>
          <w:color w:val="231F20"/>
          <w:spacing w:val="-2"/>
          <w:sz w:val="24"/>
          <w:vertAlign w:val="baseline"/>
        </w:rPr>
        <w:t>…</w:t>
      </w:r>
      <w:r>
        <w:rPr>
          <w:i/>
          <w:color w:val="231F20"/>
          <w:spacing w:val="-5"/>
          <w:sz w:val="24"/>
          <w:vertAlign w:val="baseline"/>
        </w:rPr>
        <w:t> </w:t>
      </w:r>
      <w:r>
        <w:rPr>
          <w:i/>
          <w:color w:val="231F20"/>
          <w:spacing w:val="-12"/>
          <w:sz w:val="24"/>
          <w:vertAlign w:val="baseline"/>
        </w:rPr>
        <w:t>»</w:t>
      </w:r>
    </w:p>
    <w:p>
      <w:pPr>
        <w:pStyle w:val="BodyText"/>
        <w:spacing w:before="120"/>
        <w:ind w:right="104" w:firstLine="283"/>
      </w:pPr>
      <w:r>
        <w:rPr>
          <w:color w:val="231F20"/>
          <w:spacing w:val="-2"/>
        </w:rPr>
        <w:t>Finalement,</w:t>
      </w:r>
      <w:r>
        <w:rPr>
          <w:color w:val="231F20"/>
          <w:spacing w:val="-5"/>
        </w:rPr>
        <w:t> </w:t>
      </w:r>
      <w:r>
        <w:rPr>
          <w:color w:val="231F20"/>
          <w:spacing w:val="-2"/>
        </w:rPr>
        <w:t>l'archéologue</w:t>
      </w:r>
      <w:r>
        <w:rPr>
          <w:color w:val="231F20"/>
          <w:spacing w:val="-6"/>
        </w:rPr>
        <w:t> </w:t>
      </w:r>
      <w:r>
        <w:rPr>
          <w:color w:val="231F20"/>
          <w:spacing w:val="-2"/>
        </w:rPr>
        <w:t>française</w:t>
      </w:r>
      <w:r>
        <w:rPr>
          <w:color w:val="231F20"/>
          <w:spacing w:val="-5"/>
        </w:rPr>
        <w:t> </w:t>
      </w:r>
      <w:r>
        <w:rPr>
          <w:color w:val="231F20"/>
          <w:spacing w:val="-2"/>
        </w:rPr>
        <w:t>est</w:t>
      </w:r>
      <w:r>
        <w:rPr>
          <w:color w:val="231F20"/>
          <w:spacing w:val="-7"/>
        </w:rPr>
        <w:t> </w:t>
      </w:r>
      <w:r>
        <w:rPr>
          <w:color w:val="231F20"/>
          <w:spacing w:val="-2"/>
        </w:rPr>
        <w:t>libérée</w:t>
      </w:r>
      <w:r>
        <w:rPr>
          <w:color w:val="231F20"/>
          <w:spacing w:val="-6"/>
        </w:rPr>
        <w:t> </w:t>
      </w:r>
      <w:r>
        <w:rPr>
          <w:color w:val="231F20"/>
          <w:spacing w:val="-2"/>
        </w:rPr>
        <w:t>grâce</w:t>
      </w:r>
      <w:r>
        <w:rPr>
          <w:color w:val="231F20"/>
          <w:spacing w:val="-5"/>
        </w:rPr>
        <w:t> </w:t>
      </w:r>
      <w:r>
        <w:rPr>
          <w:color w:val="231F20"/>
          <w:spacing w:val="-2"/>
        </w:rPr>
        <w:t>aux</w:t>
      </w:r>
      <w:r>
        <w:rPr>
          <w:color w:val="231F20"/>
          <w:spacing w:val="-5"/>
        </w:rPr>
        <w:t> </w:t>
      </w:r>
      <w:r>
        <w:rPr>
          <w:color w:val="231F20"/>
          <w:spacing w:val="-2"/>
        </w:rPr>
        <w:t>bons</w:t>
      </w:r>
      <w:r>
        <w:rPr>
          <w:color w:val="231F20"/>
          <w:spacing w:val="-8"/>
        </w:rPr>
        <w:t> </w:t>
      </w:r>
      <w:r>
        <w:rPr>
          <w:color w:val="231F20"/>
          <w:spacing w:val="-2"/>
        </w:rPr>
        <w:t>offices </w:t>
      </w:r>
      <w:r>
        <w:rPr>
          <w:color w:val="231F20"/>
        </w:rPr>
        <w:t>du président Lybien Mouammar Kadhafi. Cette libération est rendue possible</w:t>
      </w:r>
      <w:r>
        <w:rPr>
          <w:color w:val="231F20"/>
          <w:spacing w:val="-15"/>
        </w:rPr>
        <w:t> </w:t>
      </w:r>
      <w:r>
        <w:rPr>
          <w:color w:val="231F20"/>
        </w:rPr>
        <w:t>après</w:t>
      </w:r>
      <w:r>
        <w:rPr>
          <w:color w:val="231F20"/>
          <w:spacing w:val="-15"/>
        </w:rPr>
        <w:t> </w:t>
      </w:r>
      <w:r>
        <w:rPr>
          <w:color w:val="231F20"/>
        </w:rPr>
        <w:t>un</w:t>
      </w:r>
      <w:r>
        <w:rPr>
          <w:color w:val="231F20"/>
          <w:spacing w:val="-13"/>
        </w:rPr>
        <w:t> </w:t>
      </w:r>
      <w:r>
        <w:rPr>
          <w:color w:val="231F20"/>
        </w:rPr>
        <w:t>marchandage</w:t>
      </w:r>
      <w:r>
        <w:rPr>
          <w:color w:val="231F20"/>
          <w:spacing w:val="-14"/>
        </w:rPr>
        <w:t> </w:t>
      </w:r>
      <w:r>
        <w:rPr>
          <w:color w:val="231F20"/>
        </w:rPr>
        <w:t>politico-économique</w:t>
      </w:r>
      <w:r>
        <w:rPr>
          <w:color w:val="231F20"/>
          <w:spacing w:val="-14"/>
        </w:rPr>
        <w:t> </w:t>
      </w:r>
      <w:r>
        <w:rPr>
          <w:color w:val="231F20"/>
        </w:rPr>
        <w:t>entre</w:t>
      </w:r>
      <w:r>
        <w:rPr>
          <w:color w:val="231F20"/>
          <w:spacing w:val="-14"/>
        </w:rPr>
        <w:t> </w:t>
      </w:r>
      <w:r>
        <w:rPr>
          <w:color w:val="231F20"/>
        </w:rPr>
        <w:t>la</w:t>
      </w:r>
      <w:r>
        <w:rPr>
          <w:color w:val="231F20"/>
          <w:spacing w:val="-14"/>
        </w:rPr>
        <w:t> </w:t>
      </w:r>
      <w:r>
        <w:rPr>
          <w:color w:val="231F20"/>
        </w:rPr>
        <w:t>Lybie</w:t>
      </w:r>
      <w:r>
        <w:rPr>
          <w:color w:val="231F20"/>
          <w:spacing w:val="-14"/>
        </w:rPr>
        <w:t> </w:t>
      </w:r>
      <w:r>
        <w:rPr>
          <w:color w:val="231F20"/>
        </w:rPr>
        <w:t>et</w:t>
      </w:r>
      <w:r>
        <w:rPr>
          <w:color w:val="231F20"/>
          <w:spacing w:val="-12"/>
        </w:rPr>
        <w:t> </w:t>
      </w:r>
      <w:r>
        <w:rPr>
          <w:color w:val="231F20"/>
        </w:rPr>
        <w:t>la </w:t>
      </w:r>
      <w:r>
        <w:rPr>
          <w:color w:val="231F20"/>
          <w:spacing w:val="-2"/>
        </w:rPr>
        <w:t>France.</w:t>
      </w:r>
    </w:p>
    <w:p>
      <w:pPr>
        <w:pStyle w:val="BodyText"/>
        <w:spacing w:before="120"/>
        <w:ind w:right="104" w:firstLine="283"/>
      </w:pPr>
      <w:r>
        <w:rPr>
          <w:color w:val="231F20"/>
        </w:rPr>
        <w:t>Le 24 juin 1973, le général Félix Malloum Ngakoutou Bey-Ndi, Commandant en Chef des Forces Armées Tchadiennes depuis le 1er septembre</w:t>
      </w:r>
      <w:r>
        <w:rPr>
          <w:color w:val="231F20"/>
          <w:spacing w:val="-12"/>
        </w:rPr>
        <w:t> </w:t>
      </w:r>
      <w:r>
        <w:rPr>
          <w:color w:val="231F20"/>
        </w:rPr>
        <w:t>1972,</w:t>
      </w:r>
      <w:r>
        <w:rPr>
          <w:color w:val="231F20"/>
          <w:spacing w:val="-10"/>
        </w:rPr>
        <w:t> </w:t>
      </w:r>
      <w:r>
        <w:rPr>
          <w:color w:val="231F20"/>
        </w:rPr>
        <w:t>également</w:t>
      </w:r>
      <w:r>
        <w:rPr>
          <w:color w:val="231F20"/>
          <w:spacing w:val="-11"/>
        </w:rPr>
        <w:t> </w:t>
      </w:r>
      <w:r>
        <w:rPr>
          <w:color w:val="231F20"/>
        </w:rPr>
        <w:t>du</w:t>
      </w:r>
      <w:r>
        <w:rPr>
          <w:color w:val="231F20"/>
          <w:spacing w:val="-12"/>
        </w:rPr>
        <w:t> </w:t>
      </w:r>
      <w:r>
        <w:rPr>
          <w:color w:val="231F20"/>
        </w:rPr>
        <w:t>Sud</w:t>
      </w:r>
      <w:r>
        <w:rPr>
          <w:color w:val="231F20"/>
          <w:spacing w:val="-11"/>
        </w:rPr>
        <w:t> </w:t>
      </w:r>
      <w:r>
        <w:rPr>
          <w:color w:val="231F20"/>
        </w:rPr>
        <w:t>et</w:t>
      </w:r>
      <w:r>
        <w:rPr>
          <w:color w:val="231F20"/>
          <w:spacing w:val="-11"/>
        </w:rPr>
        <w:t> </w:t>
      </w:r>
      <w:r>
        <w:rPr>
          <w:color w:val="231F20"/>
        </w:rPr>
        <w:t>d’ethnie</w:t>
      </w:r>
      <w:r>
        <w:rPr>
          <w:color w:val="231F20"/>
          <w:spacing w:val="-13"/>
        </w:rPr>
        <w:t> </w:t>
      </w:r>
      <w:r>
        <w:rPr>
          <w:color w:val="231F20"/>
        </w:rPr>
        <w:t>Sara</w:t>
      </w:r>
      <w:r>
        <w:rPr>
          <w:color w:val="231F20"/>
          <w:spacing w:val="-11"/>
        </w:rPr>
        <w:t> </w:t>
      </w:r>
      <w:r>
        <w:rPr>
          <w:color w:val="231F20"/>
        </w:rPr>
        <w:t>comme</w:t>
      </w:r>
      <w:r>
        <w:rPr>
          <w:color w:val="231F20"/>
          <w:spacing w:val="-13"/>
        </w:rPr>
        <w:t> </w:t>
      </w:r>
      <w:r>
        <w:rPr>
          <w:color w:val="231F20"/>
        </w:rPr>
        <w:t>le</w:t>
      </w:r>
      <w:r>
        <w:rPr>
          <w:color w:val="231F20"/>
          <w:spacing w:val="-11"/>
        </w:rPr>
        <w:t> </w:t>
      </w:r>
      <w:r>
        <w:rPr>
          <w:color w:val="231F20"/>
        </w:rPr>
        <w:t>Président Tombalbaye</w:t>
      </w:r>
      <w:r>
        <w:rPr>
          <w:color w:val="231F20"/>
          <w:spacing w:val="-4"/>
        </w:rPr>
        <w:t> </w:t>
      </w:r>
      <w:r>
        <w:rPr>
          <w:color w:val="231F20"/>
        </w:rPr>
        <w:t>est</w:t>
      </w:r>
      <w:r>
        <w:rPr>
          <w:color w:val="231F20"/>
          <w:spacing w:val="-4"/>
        </w:rPr>
        <w:t> </w:t>
      </w:r>
      <w:r>
        <w:rPr>
          <w:color w:val="231F20"/>
        </w:rPr>
        <w:t>accusé</w:t>
      </w:r>
      <w:r>
        <w:rPr>
          <w:color w:val="231F20"/>
          <w:spacing w:val="-6"/>
        </w:rPr>
        <w:t> </w:t>
      </w:r>
      <w:r>
        <w:rPr>
          <w:color w:val="231F20"/>
        </w:rPr>
        <w:t>de</w:t>
      </w:r>
      <w:r>
        <w:rPr>
          <w:color w:val="231F20"/>
          <w:spacing w:val="-9"/>
        </w:rPr>
        <w:t> </w:t>
      </w:r>
      <w:r>
        <w:rPr>
          <w:color w:val="231F20"/>
        </w:rPr>
        <w:t>complot</w:t>
      </w:r>
      <w:r>
        <w:rPr>
          <w:color w:val="231F20"/>
          <w:spacing w:val="-4"/>
        </w:rPr>
        <w:t> </w:t>
      </w:r>
      <w:r>
        <w:rPr>
          <w:color w:val="231F20"/>
        </w:rPr>
        <w:t>contre</w:t>
      </w:r>
      <w:r>
        <w:rPr>
          <w:color w:val="231F20"/>
          <w:spacing w:val="-6"/>
        </w:rPr>
        <w:t> </w:t>
      </w:r>
      <w:r>
        <w:rPr>
          <w:color w:val="231F20"/>
        </w:rPr>
        <w:t>ce</w:t>
      </w:r>
      <w:r>
        <w:rPr>
          <w:color w:val="231F20"/>
          <w:spacing w:val="-8"/>
        </w:rPr>
        <w:t> </w:t>
      </w:r>
      <w:r>
        <w:rPr>
          <w:color w:val="231F20"/>
        </w:rPr>
        <w:t>dernier.</w:t>
      </w:r>
      <w:r>
        <w:rPr>
          <w:color w:val="231F20"/>
          <w:spacing w:val="-6"/>
        </w:rPr>
        <w:t> </w:t>
      </w:r>
      <w:r>
        <w:rPr>
          <w:color w:val="231F20"/>
        </w:rPr>
        <w:t>Il</w:t>
      </w:r>
      <w:r>
        <w:rPr>
          <w:color w:val="231F20"/>
          <w:spacing w:val="-4"/>
        </w:rPr>
        <w:t> </w:t>
      </w:r>
      <w:r>
        <w:rPr>
          <w:color w:val="231F20"/>
        </w:rPr>
        <w:t>est</w:t>
      </w:r>
      <w:r>
        <w:rPr>
          <w:color w:val="231F20"/>
          <w:spacing w:val="-4"/>
        </w:rPr>
        <w:t> </w:t>
      </w:r>
      <w:r>
        <w:rPr>
          <w:color w:val="231F20"/>
        </w:rPr>
        <w:t>arrêté.</w:t>
      </w:r>
    </w:p>
    <w:p>
      <w:pPr>
        <w:pStyle w:val="BodyText"/>
        <w:spacing w:before="121"/>
        <w:ind w:right="101" w:firstLine="283"/>
      </w:pPr>
      <w:r>
        <w:rPr>
          <w:color w:val="231F20"/>
        </w:rPr>
        <w:t>En 1975, le Président Tombalbaye est victime d’un coup d’Etat militaire. Il est tué. Le général Félix Malloum est libéré et installé par l’Armée à la tête de l’</w:t>
      </w:r>
      <w:r>
        <w:rPr>
          <w:color w:val="231F20"/>
          <w:shd w:fill="FCFCFC" w:color="auto" w:val="clear"/>
        </w:rPr>
        <w:t>É</w:t>
      </w:r>
      <w:r>
        <w:rPr>
          <w:color w:val="231F20"/>
        </w:rPr>
        <w:t>tat.</w:t>
      </w:r>
    </w:p>
    <w:p>
      <w:pPr>
        <w:pStyle w:val="BodyText"/>
        <w:spacing w:before="120"/>
        <w:ind w:left="395"/>
      </w:pPr>
      <w:r>
        <w:rPr>
          <w:color w:val="231F20"/>
        </w:rPr>
        <w:t>En</w:t>
      </w:r>
      <w:r>
        <w:rPr>
          <w:color w:val="231F20"/>
          <w:spacing w:val="-8"/>
        </w:rPr>
        <w:t> </w:t>
      </w:r>
      <w:r>
        <w:rPr>
          <w:color w:val="231F20"/>
        </w:rPr>
        <w:t>juin</w:t>
      </w:r>
      <w:r>
        <w:rPr>
          <w:color w:val="231F20"/>
          <w:spacing w:val="-7"/>
        </w:rPr>
        <w:t> </w:t>
      </w:r>
      <w:r>
        <w:rPr>
          <w:color w:val="231F20"/>
        </w:rPr>
        <w:t>1977,</w:t>
      </w:r>
      <w:r>
        <w:rPr>
          <w:color w:val="231F20"/>
          <w:spacing w:val="-9"/>
        </w:rPr>
        <w:t> </w:t>
      </w:r>
      <w:r>
        <w:rPr>
          <w:color w:val="231F20"/>
        </w:rPr>
        <w:t>les</w:t>
      </w:r>
      <w:r>
        <w:rPr>
          <w:color w:val="231F20"/>
          <w:spacing w:val="-7"/>
        </w:rPr>
        <w:t> </w:t>
      </w:r>
      <w:r>
        <w:rPr>
          <w:color w:val="231F20"/>
        </w:rPr>
        <w:t>rebelles</w:t>
      </w:r>
      <w:r>
        <w:rPr>
          <w:color w:val="231F20"/>
          <w:spacing w:val="-8"/>
        </w:rPr>
        <w:t> </w:t>
      </w:r>
      <w:r>
        <w:rPr>
          <w:color w:val="231F20"/>
        </w:rPr>
        <w:t>Nordistes</w:t>
      </w:r>
      <w:r>
        <w:rPr>
          <w:color w:val="231F20"/>
          <w:spacing w:val="-9"/>
        </w:rPr>
        <w:t> </w:t>
      </w:r>
      <w:r>
        <w:rPr>
          <w:color w:val="231F20"/>
        </w:rPr>
        <w:t>lancent</w:t>
      </w:r>
      <w:r>
        <w:rPr>
          <w:color w:val="231F20"/>
          <w:spacing w:val="-10"/>
        </w:rPr>
        <w:t> </w:t>
      </w:r>
      <w:r>
        <w:rPr>
          <w:color w:val="231F20"/>
        </w:rPr>
        <w:t>une</w:t>
      </w:r>
      <w:r>
        <w:rPr>
          <w:color w:val="231F20"/>
          <w:spacing w:val="-7"/>
        </w:rPr>
        <w:t> </w:t>
      </w:r>
      <w:r>
        <w:rPr>
          <w:color w:val="231F20"/>
        </w:rPr>
        <w:t>nouvelle</w:t>
      </w:r>
      <w:r>
        <w:rPr>
          <w:color w:val="231F20"/>
          <w:spacing w:val="-9"/>
        </w:rPr>
        <w:t> </w:t>
      </w:r>
      <w:r>
        <w:rPr>
          <w:color w:val="231F20"/>
        </w:rPr>
        <w:t>offensive</w:t>
      </w:r>
      <w:r>
        <w:rPr>
          <w:color w:val="231F20"/>
          <w:spacing w:val="-7"/>
        </w:rPr>
        <w:t> </w:t>
      </w:r>
      <w:r>
        <w:rPr>
          <w:color w:val="231F20"/>
          <w:spacing w:val="-10"/>
        </w:rPr>
        <w:t>à</w:t>
      </w:r>
    </w:p>
    <w:p>
      <w:pPr>
        <w:pStyle w:val="BodyText"/>
      </w:pPr>
      <w:r>
        <w:rPr>
          <w:color w:val="231F20"/>
          <w:spacing w:val="-4"/>
        </w:rPr>
        <w:t>laquelle</w:t>
      </w:r>
      <w:r>
        <w:rPr>
          <w:color w:val="231F20"/>
          <w:spacing w:val="2"/>
        </w:rPr>
        <w:t> </w:t>
      </w:r>
      <w:r>
        <w:rPr>
          <w:color w:val="231F20"/>
          <w:spacing w:val="-4"/>
        </w:rPr>
        <w:t>s’oppose</w:t>
      </w:r>
      <w:r>
        <w:rPr>
          <w:color w:val="231F20"/>
        </w:rPr>
        <w:t> </w:t>
      </w:r>
      <w:r>
        <w:rPr>
          <w:color w:val="231F20"/>
          <w:spacing w:val="-4"/>
        </w:rPr>
        <w:t>l’Armée</w:t>
      </w:r>
      <w:r>
        <w:rPr>
          <w:color w:val="231F20"/>
          <w:spacing w:val="2"/>
        </w:rPr>
        <w:t> </w:t>
      </w:r>
      <w:r>
        <w:rPr>
          <w:color w:val="231F20"/>
          <w:spacing w:val="-4"/>
        </w:rPr>
        <w:t>Tchadienne</w:t>
      </w:r>
      <w:r>
        <w:rPr>
          <w:color w:val="231F20"/>
          <w:spacing w:val="3"/>
        </w:rPr>
        <w:t> </w:t>
      </w:r>
      <w:r>
        <w:rPr>
          <w:color w:val="231F20"/>
          <w:spacing w:val="-4"/>
        </w:rPr>
        <w:t>avec</w:t>
      </w:r>
      <w:r>
        <w:rPr>
          <w:color w:val="231F20"/>
          <w:spacing w:val="2"/>
        </w:rPr>
        <w:t> </w:t>
      </w:r>
      <w:r>
        <w:rPr>
          <w:color w:val="231F20"/>
          <w:spacing w:val="-4"/>
        </w:rPr>
        <w:t>l’aide</w:t>
      </w:r>
      <w:r>
        <w:rPr>
          <w:color w:val="231F20"/>
          <w:spacing w:val="-1"/>
        </w:rPr>
        <w:t> </w:t>
      </w:r>
      <w:r>
        <w:rPr>
          <w:color w:val="231F20"/>
          <w:spacing w:val="-4"/>
        </w:rPr>
        <w:t>logistique</w:t>
      </w:r>
      <w:r>
        <w:rPr>
          <w:color w:val="231F20"/>
          <w:spacing w:val="3"/>
        </w:rPr>
        <w:t> </w:t>
      </w:r>
      <w:r>
        <w:rPr>
          <w:color w:val="231F20"/>
          <w:spacing w:val="-4"/>
        </w:rPr>
        <w:t>française.</w:t>
      </w:r>
    </w:p>
    <w:p>
      <w:pPr>
        <w:pStyle w:val="BodyText"/>
        <w:spacing w:before="120"/>
        <w:ind w:right="105" w:firstLine="283"/>
      </w:pPr>
      <w:r>
        <w:rPr>
          <w:color w:val="231F20"/>
          <w:spacing w:val="-4"/>
        </w:rPr>
        <w:t>En</w:t>
      </w:r>
      <w:r>
        <w:rPr>
          <w:color w:val="231F20"/>
          <w:spacing w:val="-10"/>
        </w:rPr>
        <w:t> </w:t>
      </w:r>
      <w:r>
        <w:rPr>
          <w:color w:val="231F20"/>
          <w:spacing w:val="-4"/>
        </w:rPr>
        <w:t>1978,</w:t>
      </w:r>
      <w:r>
        <w:rPr>
          <w:color w:val="231F20"/>
          <w:spacing w:val="-11"/>
        </w:rPr>
        <w:t> </w:t>
      </w:r>
      <w:r>
        <w:rPr>
          <w:color w:val="231F20"/>
          <w:spacing w:val="-4"/>
        </w:rPr>
        <w:t>Félix</w:t>
      </w:r>
      <w:r>
        <w:rPr>
          <w:color w:val="231F20"/>
          <w:spacing w:val="-11"/>
        </w:rPr>
        <w:t> </w:t>
      </w:r>
      <w:r>
        <w:rPr>
          <w:color w:val="231F20"/>
          <w:spacing w:val="-4"/>
        </w:rPr>
        <w:t>Malloum</w:t>
      </w:r>
      <w:r>
        <w:rPr>
          <w:color w:val="231F20"/>
          <w:spacing w:val="-11"/>
        </w:rPr>
        <w:t> </w:t>
      </w:r>
      <w:r>
        <w:rPr>
          <w:color w:val="231F20"/>
          <w:spacing w:val="-4"/>
        </w:rPr>
        <w:t>parvient</w:t>
      </w:r>
      <w:r>
        <w:rPr>
          <w:color w:val="231F20"/>
          <w:spacing w:val="-11"/>
        </w:rPr>
        <w:t> </w:t>
      </w:r>
      <w:r>
        <w:rPr>
          <w:color w:val="231F20"/>
          <w:spacing w:val="-4"/>
        </w:rPr>
        <w:t>à</w:t>
      </w:r>
      <w:r>
        <w:rPr>
          <w:color w:val="231F20"/>
          <w:spacing w:val="-10"/>
        </w:rPr>
        <w:t> </w:t>
      </w:r>
      <w:r>
        <w:rPr>
          <w:color w:val="231F20"/>
          <w:spacing w:val="-4"/>
        </w:rPr>
        <w:t>rallier</w:t>
      </w:r>
      <w:r>
        <w:rPr>
          <w:color w:val="231F20"/>
          <w:spacing w:val="-11"/>
        </w:rPr>
        <w:t> </w:t>
      </w:r>
      <w:r>
        <w:rPr>
          <w:color w:val="231F20"/>
          <w:spacing w:val="-4"/>
        </w:rPr>
        <w:t>Hissène</w:t>
      </w:r>
      <w:r>
        <w:rPr>
          <w:color w:val="231F20"/>
          <w:spacing w:val="-10"/>
        </w:rPr>
        <w:t> </w:t>
      </w:r>
      <w:r>
        <w:rPr>
          <w:color w:val="231F20"/>
          <w:spacing w:val="-4"/>
        </w:rPr>
        <w:t>Habré,</w:t>
      </w:r>
      <w:r>
        <w:rPr>
          <w:color w:val="231F20"/>
          <w:spacing w:val="-9"/>
        </w:rPr>
        <w:t> </w:t>
      </w:r>
      <w:r>
        <w:rPr>
          <w:color w:val="231F20"/>
          <w:spacing w:val="-4"/>
        </w:rPr>
        <w:t>qu’il</w:t>
      </w:r>
      <w:r>
        <w:rPr>
          <w:color w:val="231F20"/>
          <w:spacing w:val="-11"/>
        </w:rPr>
        <w:t> </w:t>
      </w:r>
      <w:r>
        <w:rPr>
          <w:color w:val="231F20"/>
          <w:spacing w:val="-4"/>
        </w:rPr>
        <w:t>nomme </w:t>
      </w:r>
      <w:r>
        <w:rPr>
          <w:color w:val="231F20"/>
        </w:rPr>
        <w:t>Premier Ministre. Un an plus tard, le 12 février 1979, leur alliance est rompue. Les forces d’Hissène Habré s’emparent de N’djamena, la </w:t>
      </w:r>
      <w:r>
        <w:rPr>
          <w:color w:val="231F20"/>
          <w:spacing w:val="-2"/>
        </w:rPr>
        <w:t>capitale</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suite</w:t>
      </w:r>
      <w:r>
        <w:rPr>
          <w:color w:val="231F20"/>
          <w:spacing w:val="-13"/>
        </w:rPr>
        <w:t> </w:t>
      </w:r>
      <w:r>
        <w:rPr>
          <w:color w:val="231F20"/>
          <w:spacing w:val="-2"/>
        </w:rPr>
        <w:t>de</w:t>
      </w:r>
      <w:r>
        <w:rPr>
          <w:color w:val="231F20"/>
          <w:spacing w:val="-13"/>
        </w:rPr>
        <w:t> </w:t>
      </w:r>
      <w:r>
        <w:rPr>
          <w:color w:val="231F20"/>
          <w:spacing w:val="-2"/>
        </w:rPr>
        <w:t>combats</w:t>
      </w:r>
      <w:r>
        <w:rPr>
          <w:color w:val="231F20"/>
          <w:spacing w:val="-13"/>
        </w:rPr>
        <w:t> </w:t>
      </w:r>
      <w:r>
        <w:rPr>
          <w:color w:val="231F20"/>
          <w:spacing w:val="-2"/>
        </w:rPr>
        <w:t>entre</w:t>
      </w:r>
      <w:r>
        <w:rPr>
          <w:color w:val="231F20"/>
          <w:spacing w:val="-13"/>
        </w:rPr>
        <w:t> </w:t>
      </w:r>
      <w:r>
        <w:rPr>
          <w:color w:val="231F20"/>
          <w:spacing w:val="-2"/>
        </w:rPr>
        <w:t>elles</w:t>
      </w:r>
      <w:r>
        <w:rPr>
          <w:color w:val="231F20"/>
          <w:spacing w:val="-13"/>
        </w:rPr>
        <w:t> </w:t>
      </w:r>
      <w:r>
        <w:rPr>
          <w:color w:val="231F20"/>
          <w:spacing w:val="-2"/>
        </w:rPr>
        <w:t>et</w:t>
      </w:r>
      <w:r>
        <w:rPr>
          <w:color w:val="231F20"/>
          <w:spacing w:val="-13"/>
        </w:rPr>
        <w:t> </w:t>
      </w:r>
      <w:r>
        <w:rPr>
          <w:color w:val="231F20"/>
          <w:spacing w:val="-2"/>
        </w:rPr>
        <w:t>l’Armée</w:t>
      </w:r>
      <w:r>
        <w:rPr>
          <w:color w:val="231F20"/>
          <w:spacing w:val="-13"/>
        </w:rPr>
        <w:t> </w:t>
      </w:r>
      <w:r>
        <w:rPr>
          <w:color w:val="231F20"/>
          <w:spacing w:val="-2"/>
        </w:rPr>
        <w:t>gouvernementale.</w:t>
      </w:r>
      <w:r>
        <w:rPr>
          <w:color w:val="231F20"/>
          <w:spacing w:val="-13"/>
        </w:rPr>
        <w:t> </w:t>
      </w:r>
      <w:r>
        <w:rPr>
          <w:color w:val="231F20"/>
          <w:spacing w:val="-2"/>
        </w:rPr>
        <w:t>Un </w:t>
      </w:r>
      <w:r>
        <w:rPr>
          <w:color w:val="231F20"/>
        </w:rPr>
        <w:t>mois</w:t>
      </w:r>
      <w:r>
        <w:rPr>
          <w:color w:val="231F20"/>
          <w:spacing w:val="-1"/>
        </w:rPr>
        <w:t> </w:t>
      </w:r>
      <w:r>
        <w:rPr>
          <w:color w:val="231F20"/>
        </w:rPr>
        <w:t>plus</w:t>
      </w:r>
      <w:r>
        <w:rPr>
          <w:color w:val="231F20"/>
          <w:spacing w:val="-1"/>
        </w:rPr>
        <w:t> </w:t>
      </w:r>
      <w:r>
        <w:rPr>
          <w:color w:val="231F20"/>
        </w:rPr>
        <w:t>tard,</w:t>
      </w:r>
      <w:r>
        <w:rPr>
          <w:color w:val="231F20"/>
          <w:spacing w:val="-1"/>
        </w:rPr>
        <w:t> </w:t>
      </w:r>
      <w:r>
        <w:rPr>
          <w:color w:val="231F20"/>
        </w:rPr>
        <w:t>la guerre</w:t>
      </w:r>
      <w:r>
        <w:rPr>
          <w:color w:val="231F20"/>
          <w:spacing w:val="-2"/>
        </w:rPr>
        <w:t> </w:t>
      </w:r>
      <w:r>
        <w:rPr>
          <w:color w:val="231F20"/>
        </w:rPr>
        <w:t>gagne tout</w:t>
      </w:r>
      <w:r>
        <w:rPr>
          <w:color w:val="231F20"/>
          <w:spacing w:val="-1"/>
        </w:rPr>
        <w:t> </w:t>
      </w:r>
      <w:r>
        <w:rPr>
          <w:color w:val="231F20"/>
        </w:rPr>
        <w:t>le</w:t>
      </w:r>
      <w:r>
        <w:rPr>
          <w:color w:val="231F20"/>
          <w:spacing w:val="-1"/>
        </w:rPr>
        <w:t> </w:t>
      </w:r>
      <w:r>
        <w:rPr>
          <w:color w:val="231F20"/>
        </w:rPr>
        <w:t>Sud.</w:t>
      </w:r>
      <w:r>
        <w:rPr>
          <w:color w:val="231F20"/>
          <w:spacing w:val="-1"/>
        </w:rPr>
        <w:t> </w:t>
      </w:r>
      <w:r>
        <w:rPr>
          <w:color w:val="231F20"/>
        </w:rPr>
        <w:t>Des accords sont conclus à Kano, au Nigéria : un Gouvernement d’Union Nationale de Transition (GUNT) comprenant onze organisations politico-militaires est mis en place et dirigé par Goukouni Weddeï. Mais en 1980, Hissène Habré, reproche à Goukouni Weddeï ses liens avec la Libye qu’il considère comme agresseur et se retire du GUNT.</w:t>
      </w:r>
    </w:p>
    <w:p>
      <w:pPr>
        <w:pStyle w:val="BodyText"/>
        <w:spacing w:before="121"/>
        <w:ind w:right="105" w:firstLine="283"/>
      </w:pPr>
      <w:r>
        <w:rPr>
          <w:color w:val="231F20"/>
        </w:rPr>
        <w:t>En</w:t>
      </w:r>
      <w:r>
        <w:rPr>
          <w:color w:val="231F20"/>
          <w:spacing w:val="-11"/>
        </w:rPr>
        <w:t> </w:t>
      </w:r>
      <w:r>
        <w:rPr>
          <w:color w:val="231F20"/>
        </w:rPr>
        <w:t>1982,</w:t>
      </w:r>
      <w:r>
        <w:rPr>
          <w:color w:val="231F20"/>
          <w:spacing w:val="-13"/>
        </w:rPr>
        <w:t> </w:t>
      </w:r>
      <w:r>
        <w:rPr>
          <w:color w:val="231F20"/>
        </w:rPr>
        <w:t>les</w:t>
      </w:r>
      <w:r>
        <w:rPr>
          <w:color w:val="231F20"/>
          <w:spacing w:val="-11"/>
        </w:rPr>
        <w:t> </w:t>
      </w:r>
      <w:r>
        <w:rPr>
          <w:color w:val="231F20"/>
        </w:rPr>
        <w:t>Forces</w:t>
      </w:r>
      <w:r>
        <w:rPr>
          <w:color w:val="231F20"/>
          <w:spacing w:val="-11"/>
        </w:rPr>
        <w:t> </w:t>
      </w:r>
      <w:r>
        <w:rPr>
          <w:color w:val="231F20"/>
        </w:rPr>
        <w:t>Armées</w:t>
      </w:r>
      <w:r>
        <w:rPr>
          <w:color w:val="231F20"/>
          <w:spacing w:val="-11"/>
        </w:rPr>
        <w:t> </w:t>
      </w:r>
      <w:r>
        <w:rPr>
          <w:color w:val="231F20"/>
        </w:rPr>
        <w:t>du</w:t>
      </w:r>
      <w:r>
        <w:rPr>
          <w:color w:val="231F20"/>
          <w:spacing w:val="-11"/>
        </w:rPr>
        <w:t> </w:t>
      </w:r>
      <w:r>
        <w:rPr>
          <w:color w:val="231F20"/>
        </w:rPr>
        <w:t>Nord</w:t>
      </w:r>
      <w:r>
        <w:rPr>
          <w:color w:val="231F20"/>
          <w:spacing w:val="-11"/>
        </w:rPr>
        <w:t> </w:t>
      </w:r>
      <w:r>
        <w:rPr>
          <w:color w:val="231F20"/>
        </w:rPr>
        <w:t>(FAN)</w:t>
      </w:r>
      <w:r>
        <w:rPr>
          <w:color w:val="231F20"/>
          <w:spacing w:val="-11"/>
        </w:rPr>
        <w:t> </w:t>
      </w:r>
      <w:r>
        <w:rPr>
          <w:color w:val="231F20"/>
        </w:rPr>
        <w:t>reprennent</w:t>
      </w:r>
      <w:r>
        <w:rPr>
          <w:color w:val="231F20"/>
          <w:spacing w:val="-13"/>
        </w:rPr>
        <w:t> </w:t>
      </w:r>
      <w:r>
        <w:rPr>
          <w:color w:val="231F20"/>
        </w:rPr>
        <w:t>la</w:t>
      </w:r>
      <w:r>
        <w:rPr>
          <w:color w:val="231F20"/>
          <w:spacing w:val="-11"/>
        </w:rPr>
        <w:t> </w:t>
      </w:r>
      <w:r>
        <w:rPr>
          <w:color w:val="231F20"/>
        </w:rPr>
        <w:t>capitale</w:t>
      </w:r>
      <w:r>
        <w:rPr>
          <w:color w:val="231F20"/>
          <w:spacing w:val="-12"/>
        </w:rPr>
        <w:t> </w:t>
      </w:r>
      <w:r>
        <w:rPr>
          <w:color w:val="231F20"/>
        </w:rPr>
        <w:t>et Hissène Habré devient Chef de l’État Tchadien. Goukouni weddeï, </w:t>
      </w:r>
      <w:r>
        <w:rPr>
          <w:color w:val="231F20"/>
          <w:spacing w:val="-2"/>
        </w:rPr>
        <w:t>appuyé</w:t>
      </w:r>
      <w:r>
        <w:rPr>
          <w:color w:val="231F20"/>
          <w:spacing w:val="-15"/>
        </w:rPr>
        <w:t> </w:t>
      </w:r>
      <w:r>
        <w:rPr>
          <w:color w:val="231F20"/>
          <w:spacing w:val="-2"/>
        </w:rPr>
        <w:t>par</w:t>
      </w:r>
      <w:r>
        <w:rPr>
          <w:color w:val="231F20"/>
          <w:spacing w:val="-13"/>
        </w:rPr>
        <w:t> </w:t>
      </w:r>
      <w:r>
        <w:rPr>
          <w:color w:val="231F20"/>
          <w:spacing w:val="-2"/>
        </w:rPr>
        <w:t>les</w:t>
      </w:r>
      <w:r>
        <w:rPr>
          <w:color w:val="231F20"/>
          <w:spacing w:val="-13"/>
        </w:rPr>
        <w:t> </w:t>
      </w:r>
      <w:r>
        <w:rPr>
          <w:color w:val="231F20"/>
          <w:spacing w:val="-2"/>
        </w:rPr>
        <w:t>Libyens,</w:t>
      </w:r>
      <w:r>
        <w:rPr>
          <w:color w:val="231F20"/>
          <w:spacing w:val="-13"/>
        </w:rPr>
        <w:t> </w:t>
      </w:r>
      <w:r>
        <w:rPr>
          <w:color w:val="231F20"/>
          <w:spacing w:val="-2"/>
        </w:rPr>
        <w:t>forme</w:t>
      </w:r>
      <w:r>
        <w:rPr>
          <w:color w:val="231F20"/>
          <w:spacing w:val="-13"/>
        </w:rPr>
        <w:t> </w:t>
      </w:r>
      <w:r>
        <w:rPr>
          <w:color w:val="231F20"/>
          <w:spacing w:val="-2"/>
        </w:rPr>
        <w:t>un</w:t>
      </w:r>
      <w:r>
        <w:rPr>
          <w:color w:val="231F20"/>
          <w:spacing w:val="-13"/>
        </w:rPr>
        <w:t> </w:t>
      </w:r>
      <w:r>
        <w:rPr>
          <w:color w:val="231F20"/>
          <w:spacing w:val="-2"/>
        </w:rPr>
        <w:t>gouvernement</w:t>
      </w:r>
      <w:r>
        <w:rPr>
          <w:color w:val="231F20"/>
          <w:spacing w:val="-13"/>
        </w:rPr>
        <w:t> </w:t>
      </w:r>
      <w:r>
        <w:rPr>
          <w:color w:val="231F20"/>
          <w:spacing w:val="-2"/>
        </w:rPr>
        <w:t>rival</w:t>
      </w:r>
      <w:r>
        <w:rPr>
          <w:color w:val="231F20"/>
          <w:spacing w:val="-13"/>
        </w:rPr>
        <w:t> </w:t>
      </w:r>
      <w:r>
        <w:rPr>
          <w:color w:val="231F20"/>
          <w:spacing w:val="-2"/>
        </w:rPr>
        <w:t>dans</w:t>
      </w:r>
      <w:r>
        <w:rPr>
          <w:color w:val="231F20"/>
          <w:spacing w:val="-13"/>
        </w:rPr>
        <w:t> </w:t>
      </w:r>
      <w:r>
        <w:rPr>
          <w:color w:val="231F20"/>
          <w:spacing w:val="-2"/>
        </w:rPr>
        <w:t>le</w:t>
      </w:r>
      <w:r>
        <w:rPr>
          <w:color w:val="231F20"/>
          <w:spacing w:val="-13"/>
        </w:rPr>
        <w:t> </w:t>
      </w:r>
      <w:r>
        <w:rPr>
          <w:color w:val="231F20"/>
          <w:spacing w:val="-2"/>
        </w:rPr>
        <w:t>Nord.</w:t>
      </w:r>
      <w:r>
        <w:rPr>
          <w:color w:val="231F20"/>
          <w:spacing w:val="-13"/>
        </w:rPr>
        <w:t> </w:t>
      </w:r>
      <w:r>
        <w:rPr>
          <w:color w:val="231F20"/>
          <w:spacing w:val="-2"/>
        </w:rPr>
        <w:t>Avec </w:t>
      </w:r>
      <w:r>
        <w:rPr>
          <w:color w:val="231F20"/>
        </w:rPr>
        <w:t>l’appui de la France, Hissène Habré reprend en 1987, le contrôle de </w:t>
      </w:r>
      <w:r>
        <w:rPr>
          <w:color w:val="231F20"/>
          <w:spacing w:val="-2"/>
        </w:rPr>
        <w:t>N’djamena.</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98"/>
        <w:ind w:left="0"/>
        <w:jc w:val="left"/>
        <w:rPr>
          <w:sz w:val="20"/>
        </w:rPr>
      </w:pPr>
      <w:r>
        <w:rPr/>
        <mc:AlternateContent>
          <mc:Choice Requires="wps">
            <w:drawing>
              <wp:anchor distT="0" distB="0" distL="0" distR="0" allowOverlap="1" layoutInCell="1" locked="0" behindDoc="1" simplePos="0" relativeHeight="487612928">
                <wp:simplePos x="0" y="0"/>
                <wp:positionH relativeFrom="page">
                  <wp:posOffset>629907</wp:posOffset>
                </wp:positionH>
                <wp:positionV relativeFrom="paragraph">
                  <wp:posOffset>287211</wp:posOffset>
                </wp:positionV>
                <wp:extent cx="1829435" cy="9525"/>
                <wp:effectExtent l="0" t="0" r="0" b="0"/>
                <wp:wrapTopAndBottom/>
                <wp:docPr id="66" name="Graphic 66"/>
                <wp:cNvGraphicFramePr>
                  <a:graphicFrameLocks/>
                </wp:cNvGraphicFramePr>
                <a:graphic>
                  <a:graphicData uri="http://schemas.microsoft.com/office/word/2010/wordprocessingShape">
                    <wps:wsp>
                      <wps:cNvPr id="66" name="Graphic 6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2.61504pt;width:144.020pt;height:.72pt;mso-position-horizontal-relative:page;mso-position-vertical-relative:paragraph;z-index:-15703552;mso-wrap-distance-left:0;mso-wrap-distance-right:0" id="docshape64" filled="true" fillcolor="#231f20" stroked="false">
                <v:fill type="solid"/>
                <w10:wrap type="topAndBottom"/>
              </v:rect>
            </w:pict>
          </mc:Fallback>
        </mc:AlternateContent>
      </w:r>
    </w:p>
    <w:p>
      <w:pPr>
        <w:spacing w:before="94"/>
        <w:ind w:left="111" w:right="0" w:firstLine="0"/>
        <w:jc w:val="left"/>
        <w:rPr>
          <w:sz w:val="20"/>
        </w:rPr>
      </w:pPr>
      <w:r>
        <w:rPr>
          <w:color w:val="231F20"/>
          <w:sz w:val="20"/>
          <w:vertAlign w:val="superscript"/>
        </w:rPr>
        <w:t>78</w:t>
      </w:r>
      <w:r>
        <w:rPr>
          <w:color w:val="231F20"/>
          <w:spacing w:val="-13"/>
          <w:sz w:val="20"/>
          <w:vertAlign w:val="baseline"/>
        </w:rPr>
        <w:t> </w:t>
      </w:r>
      <w:r>
        <w:rPr>
          <w:color w:val="231F20"/>
          <w:sz w:val="20"/>
          <w:vertAlign w:val="baseline"/>
        </w:rPr>
        <w:t>Extrait</w:t>
      </w:r>
      <w:r>
        <w:rPr>
          <w:color w:val="231F20"/>
          <w:spacing w:val="-12"/>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:1974-1977,</w:t>
      </w:r>
      <w:r>
        <w:rPr>
          <w:color w:val="231F20"/>
          <w:spacing w:val="-11"/>
          <w:sz w:val="20"/>
          <w:vertAlign w:val="baseline"/>
        </w:rPr>
        <w:t> </w:t>
      </w:r>
      <w:r>
        <w:rPr>
          <w:color w:val="231F20"/>
          <w:sz w:val="20"/>
          <w:vertAlign w:val="baseline"/>
        </w:rPr>
        <w:t>L’affaire</w:t>
      </w:r>
      <w:r>
        <w:rPr>
          <w:color w:val="231F20"/>
          <w:spacing w:val="-10"/>
          <w:sz w:val="20"/>
          <w:vertAlign w:val="baseline"/>
        </w:rPr>
        <w:t> </w:t>
      </w:r>
      <w:r>
        <w:rPr>
          <w:color w:val="231F20"/>
          <w:sz w:val="20"/>
          <w:vertAlign w:val="baseline"/>
        </w:rPr>
        <w:t>Claustre</w:t>
      </w:r>
      <w:r>
        <w:rPr>
          <w:color w:val="231F20"/>
          <w:spacing w:val="-11"/>
          <w:sz w:val="20"/>
          <w:vertAlign w:val="baseline"/>
        </w:rPr>
        <w:t> </w:t>
      </w:r>
      <w:r>
        <w:rPr>
          <w:color w:val="231F20"/>
          <w:sz w:val="20"/>
          <w:vertAlign w:val="baseline"/>
        </w:rPr>
        <w:t>et</w:t>
      </w:r>
      <w:r>
        <w:rPr>
          <w:color w:val="231F20"/>
          <w:spacing w:val="-10"/>
          <w:sz w:val="20"/>
          <w:vertAlign w:val="baseline"/>
        </w:rPr>
        <w:t> </w:t>
      </w:r>
      <w:r>
        <w:rPr>
          <w:color w:val="231F20"/>
          <w:sz w:val="20"/>
          <w:vertAlign w:val="baseline"/>
        </w:rPr>
        <w:t>la</w:t>
      </w:r>
      <w:r>
        <w:rPr>
          <w:color w:val="231F20"/>
          <w:spacing w:val="-11"/>
          <w:sz w:val="20"/>
          <w:vertAlign w:val="baseline"/>
        </w:rPr>
        <w:t> </w:t>
      </w:r>
      <w:r>
        <w:rPr>
          <w:color w:val="231F20"/>
          <w:sz w:val="20"/>
          <w:vertAlign w:val="baseline"/>
        </w:rPr>
        <w:t>rupture</w:t>
      </w:r>
      <w:r>
        <w:rPr>
          <w:color w:val="231F20"/>
          <w:spacing w:val="-9"/>
          <w:sz w:val="20"/>
          <w:vertAlign w:val="baseline"/>
        </w:rPr>
        <w:t> </w:t>
      </w:r>
      <w:r>
        <w:rPr>
          <w:color w:val="231F20"/>
          <w:sz w:val="20"/>
          <w:vertAlign w:val="baseline"/>
        </w:rPr>
        <w:t>avec</w:t>
      </w:r>
      <w:r>
        <w:rPr>
          <w:color w:val="231F20"/>
          <w:spacing w:val="-9"/>
          <w:sz w:val="20"/>
          <w:vertAlign w:val="baseline"/>
        </w:rPr>
        <w:t> </w:t>
      </w:r>
      <w:r>
        <w:rPr>
          <w:color w:val="231F20"/>
          <w:sz w:val="20"/>
          <w:vertAlign w:val="baseline"/>
        </w:rPr>
        <w:t>Habré,</w:t>
      </w:r>
      <w:r>
        <w:rPr>
          <w:color w:val="231F20"/>
          <w:spacing w:val="-13"/>
          <w:sz w:val="20"/>
          <w:vertAlign w:val="baseline"/>
        </w:rPr>
        <w:t> </w:t>
      </w:r>
      <w:r>
        <w:rPr>
          <w:color w:val="231F20"/>
          <w:sz w:val="20"/>
          <w:vertAlign w:val="baseline"/>
        </w:rPr>
        <w:t>Laurent</w:t>
      </w:r>
      <w:r>
        <w:rPr>
          <w:color w:val="231F20"/>
          <w:spacing w:val="-7"/>
          <w:sz w:val="20"/>
          <w:vertAlign w:val="baseline"/>
        </w:rPr>
        <w:t> </w:t>
      </w:r>
      <w:r>
        <w:rPr>
          <w:color w:val="231F20"/>
          <w:sz w:val="20"/>
          <w:vertAlign w:val="baseline"/>
        </w:rPr>
        <w:t>Correau, Article</w:t>
      </w:r>
      <w:r>
        <w:rPr>
          <w:color w:val="231F20"/>
          <w:spacing w:val="-1"/>
          <w:sz w:val="20"/>
          <w:vertAlign w:val="baseline"/>
        </w:rPr>
        <w:t> </w:t>
      </w:r>
      <w:r>
        <w:rPr>
          <w:color w:val="231F20"/>
          <w:sz w:val="20"/>
          <w:vertAlign w:val="baseline"/>
        </w:rPr>
        <w:t>publié le</w:t>
      </w:r>
      <w:r>
        <w:rPr>
          <w:color w:val="231F20"/>
          <w:spacing w:val="-1"/>
          <w:sz w:val="20"/>
          <w:vertAlign w:val="baseline"/>
        </w:rPr>
        <w:t> </w:t>
      </w:r>
      <w:r>
        <w:rPr>
          <w:color w:val="231F20"/>
          <w:sz w:val="20"/>
          <w:vertAlign w:val="baseline"/>
        </w:rPr>
        <w:t>18/08/2008 ;</w:t>
      </w:r>
      <w:r>
        <w:rPr>
          <w:color w:val="231F20"/>
          <w:spacing w:val="-1"/>
          <w:sz w:val="20"/>
          <w:vertAlign w:val="baseline"/>
        </w:rPr>
        <w:t> </w:t>
      </w:r>
      <w:r>
        <w:rPr>
          <w:color w:val="231F20"/>
          <w:sz w:val="20"/>
          <w:vertAlign w:val="baseline"/>
        </w:rPr>
        <w:t>RFI,</w:t>
      </w:r>
      <w:r>
        <w:rPr>
          <w:color w:val="231F20"/>
          <w:spacing w:val="-1"/>
          <w:sz w:val="20"/>
          <w:vertAlign w:val="baseline"/>
        </w:rPr>
        <w:t> </w:t>
      </w:r>
      <w:r>
        <w:rPr>
          <w:color w:val="231F20"/>
          <w:sz w:val="20"/>
          <w:vertAlign w:val="baseline"/>
        </w:rPr>
        <w:t>12/08/2008</w:t>
      </w:r>
    </w:p>
    <w:p>
      <w:pPr>
        <w:spacing w:after="0"/>
        <w:jc w:val="left"/>
        <w:rPr>
          <w:sz w:val="20"/>
        </w:rPr>
        <w:sectPr>
          <w:pgSz w:w="8790" w:h="13610"/>
          <w:pgMar w:header="0" w:footer="802" w:top="1060" w:bottom="1000" w:left="880" w:right="880"/>
        </w:sectPr>
      </w:pPr>
    </w:p>
    <w:p>
      <w:pPr>
        <w:pStyle w:val="BodyText"/>
        <w:spacing w:before="66"/>
        <w:ind w:right="101" w:firstLine="283"/>
      </w:pPr>
      <w:r>
        <w:rPr>
          <w:color w:val="231F20"/>
        </w:rPr>
        <w:t>En 1989, un complot contre lui est déjoué. L’un des principaux instigateurs est Idriss Déby</w:t>
      </w:r>
      <w:r>
        <w:rPr>
          <w:color w:val="231F20"/>
          <w:spacing w:val="-15"/>
        </w:rPr>
        <w:t> </w:t>
      </w:r>
      <w:r>
        <w:rPr>
          <w:color w:val="231F20"/>
          <w:vertAlign w:val="superscript"/>
        </w:rPr>
        <w:t>79</w:t>
      </w:r>
      <w:r>
        <w:rPr>
          <w:color w:val="231F20"/>
          <w:spacing w:val="-15"/>
          <w:vertAlign w:val="baseline"/>
        </w:rPr>
        <w:t> </w:t>
      </w:r>
      <w:r>
        <w:rPr>
          <w:color w:val="231F20"/>
          <w:vertAlign w:val="baseline"/>
        </w:rPr>
        <w:t>du Nord-Est, son Conseiller militaire. Réfugié</w:t>
      </w:r>
      <w:r>
        <w:rPr>
          <w:color w:val="231F20"/>
          <w:spacing w:val="-6"/>
          <w:vertAlign w:val="baseline"/>
        </w:rPr>
        <w:t> </w:t>
      </w:r>
      <w:r>
        <w:rPr>
          <w:color w:val="231F20"/>
          <w:vertAlign w:val="baseline"/>
        </w:rPr>
        <w:t>en</w:t>
      </w:r>
      <w:r>
        <w:rPr>
          <w:color w:val="231F20"/>
          <w:spacing w:val="-6"/>
          <w:vertAlign w:val="baseline"/>
        </w:rPr>
        <w:t> </w:t>
      </w:r>
      <w:r>
        <w:rPr>
          <w:color w:val="231F20"/>
          <w:vertAlign w:val="baseline"/>
        </w:rPr>
        <w:t>Libye,</w:t>
      </w:r>
      <w:r>
        <w:rPr>
          <w:color w:val="231F20"/>
          <w:spacing w:val="-6"/>
          <w:vertAlign w:val="baseline"/>
        </w:rPr>
        <w:t> </w:t>
      </w:r>
      <w:r>
        <w:rPr>
          <w:color w:val="231F20"/>
          <w:vertAlign w:val="baseline"/>
        </w:rPr>
        <w:t>Déby</w:t>
      </w:r>
      <w:r>
        <w:rPr>
          <w:color w:val="231F20"/>
          <w:spacing w:val="-5"/>
          <w:vertAlign w:val="baseline"/>
        </w:rPr>
        <w:t> </w:t>
      </w:r>
      <w:r>
        <w:rPr>
          <w:color w:val="231F20"/>
          <w:vertAlign w:val="baseline"/>
        </w:rPr>
        <w:t>forme</w:t>
      </w:r>
      <w:r>
        <w:rPr>
          <w:color w:val="231F20"/>
          <w:spacing w:val="-6"/>
          <w:vertAlign w:val="baseline"/>
        </w:rPr>
        <w:t> </w:t>
      </w:r>
      <w:r>
        <w:rPr>
          <w:color w:val="231F20"/>
          <w:vertAlign w:val="baseline"/>
        </w:rPr>
        <w:t>le</w:t>
      </w:r>
      <w:r>
        <w:rPr>
          <w:color w:val="231F20"/>
          <w:spacing w:val="-10"/>
          <w:vertAlign w:val="baseline"/>
        </w:rPr>
        <w:t> </w:t>
      </w:r>
      <w:r>
        <w:rPr>
          <w:color w:val="231F20"/>
          <w:vertAlign w:val="baseline"/>
        </w:rPr>
        <w:t>Mouvement</w:t>
      </w:r>
      <w:r>
        <w:rPr>
          <w:color w:val="231F20"/>
          <w:spacing w:val="-7"/>
          <w:vertAlign w:val="baseline"/>
        </w:rPr>
        <w:t> </w:t>
      </w:r>
      <w:r>
        <w:rPr>
          <w:color w:val="231F20"/>
          <w:vertAlign w:val="baseline"/>
        </w:rPr>
        <w:t>Patriotique</w:t>
      </w:r>
      <w:r>
        <w:rPr>
          <w:color w:val="231F20"/>
          <w:spacing w:val="-5"/>
          <w:vertAlign w:val="baseline"/>
        </w:rPr>
        <w:t> </w:t>
      </w:r>
      <w:r>
        <w:rPr>
          <w:color w:val="231F20"/>
          <w:vertAlign w:val="baseline"/>
        </w:rPr>
        <w:t>du</w:t>
      </w:r>
      <w:r>
        <w:rPr>
          <w:color w:val="231F20"/>
          <w:spacing w:val="-8"/>
          <w:vertAlign w:val="baseline"/>
        </w:rPr>
        <w:t> </w:t>
      </w:r>
      <w:r>
        <w:rPr>
          <w:color w:val="231F20"/>
          <w:vertAlign w:val="baseline"/>
        </w:rPr>
        <w:t>Salut.</w:t>
      </w:r>
    </w:p>
    <w:p>
      <w:pPr>
        <w:pStyle w:val="BodyText"/>
        <w:spacing w:before="120"/>
        <w:ind w:right="107" w:firstLine="283"/>
      </w:pPr>
      <w:r>
        <w:rPr>
          <w:color w:val="231F20"/>
          <w:spacing w:val="-2"/>
        </w:rPr>
        <w:t>Aidé</w:t>
      </w:r>
      <w:r>
        <w:rPr>
          <w:color w:val="231F20"/>
          <w:spacing w:val="-13"/>
        </w:rPr>
        <w:t> </w:t>
      </w:r>
      <w:r>
        <w:rPr>
          <w:color w:val="231F20"/>
          <w:spacing w:val="-2"/>
        </w:rPr>
        <w:t>par</w:t>
      </w:r>
      <w:r>
        <w:rPr>
          <w:color w:val="231F20"/>
          <w:spacing w:val="-12"/>
        </w:rPr>
        <w:t> </w:t>
      </w:r>
      <w:r>
        <w:rPr>
          <w:color w:val="231F20"/>
          <w:spacing w:val="-2"/>
        </w:rPr>
        <w:t>la</w:t>
      </w:r>
      <w:r>
        <w:rPr>
          <w:color w:val="231F20"/>
          <w:spacing w:val="-10"/>
        </w:rPr>
        <w:t> </w:t>
      </w:r>
      <w:r>
        <w:rPr>
          <w:color w:val="231F20"/>
          <w:spacing w:val="-2"/>
        </w:rPr>
        <w:t>France,</w:t>
      </w:r>
      <w:r>
        <w:rPr>
          <w:color w:val="231F20"/>
          <w:spacing w:val="-10"/>
        </w:rPr>
        <w:t> </w:t>
      </w:r>
      <w:r>
        <w:rPr>
          <w:color w:val="231F20"/>
          <w:spacing w:val="-2"/>
        </w:rPr>
        <w:t>Idriss</w:t>
      </w:r>
      <w:r>
        <w:rPr>
          <w:color w:val="231F20"/>
          <w:spacing w:val="-12"/>
        </w:rPr>
        <w:t> </w:t>
      </w:r>
      <w:r>
        <w:rPr>
          <w:color w:val="231F20"/>
          <w:spacing w:val="-2"/>
        </w:rPr>
        <w:t>Déby</w:t>
      </w:r>
      <w:r>
        <w:rPr>
          <w:color w:val="231F20"/>
          <w:spacing w:val="-10"/>
        </w:rPr>
        <w:t> </w:t>
      </w:r>
      <w:r>
        <w:rPr>
          <w:color w:val="231F20"/>
          <w:spacing w:val="-2"/>
        </w:rPr>
        <w:t>chasse</w:t>
      </w:r>
      <w:r>
        <w:rPr>
          <w:color w:val="231F20"/>
          <w:spacing w:val="-12"/>
        </w:rPr>
        <w:t> </w:t>
      </w:r>
      <w:r>
        <w:rPr>
          <w:color w:val="231F20"/>
          <w:spacing w:val="-2"/>
        </w:rPr>
        <w:t>du</w:t>
      </w:r>
      <w:r>
        <w:rPr>
          <w:color w:val="231F20"/>
          <w:spacing w:val="-12"/>
        </w:rPr>
        <w:t> </w:t>
      </w:r>
      <w:r>
        <w:rPr>
          <w:color w:val="231F20"/>
          <w:spacing w:val="-2"/>
        </w:rPr>
        <w:t>pouvoir</w:t>
      </w:r>
      <w:r>
        <w:rPr>
          <w:color w:val="231F20"/>
          <w:spacing w:val="-13"/>
        </w:rPr>
        <w:t> </w:t>
      </w:r>
      <w:r>
        <w:rPr>
          <w:color w:val="231F20"/>
          <w:spacing w:val="-2"/>
        </w:rPr>
        <w:t>Hissène</w:t>
      </w:r>
      <w:r>
        <w:rPr>
          <w:color w:val="231F20"/>
          <w:spacing w:val="-13"/>
        </w:rPr>
        <w:t> </w:t>
      </w:r>
      <w:r>
        <w:rPr>
          <w:color w:val="231F20"/>
          <w:spacing w:val="-2"/>
        </w:rPr>
        <w:t>Habré</w:t>
      </w:r>
      <w:r>
        <w:rPr>
          <w:color w:val="231F20"/>
          <w:spacing w:val="-9"/>
        </w:rPr>
        <w:t> </w:t>
      </w:r>
      <w:r>
        <w:rPr>
          <w:color w:val="231F20"/>
          <w:spacing w:val="-2"/>
        </w:rPr>
        <w:t>et</w:t>
      </w:r>
      <w:r>
        <w:rPr>
          <w:color w:val="231F20"/>
          <w:spacing w:val="-12"/>
        </w:rPr>
        <w:t> </w:t>
      </w:r>
      <w:r>
        <w:rPr>
          <w:color w:val="231F20"/>
          <w:spacing w:val="-2"/>
        </w:rPr>
        <w:t>le remplace</w:t>
      </w:r>
      <w:r>
        <w:rPr>
          <w:color w:val="231F20"/>
          <w:spacing w:val="-13"/>
        </w:rPr>
        <w:t> </w:t>
      </w:r>
      <w:r>
        <w:rPr>
          <w:color w:val="231F20"/>
          <w:spacing w:val="-2"/>
        </w:rPr>
        <w:t>le</w:t>
      </w:r>
      <w:r>
        <w:rPr>
          <w:color w:val="231F20"/>
          <w:spacing w:val="-11"/>
        </w:rPr>
        <w:t> </w:t>
      </w:r>
      <w:r>
        <w:rPr>
          <w:color w:val="231F20"/>
          <w:spacing w:val="-2"/>
        </w:rPr>
        <w:t>4</w:t>
      </w:r>
      <w:r>
        <w:rPr>
          <w:color w:val="231F20"/>
          <w:spacing w:val="-12"/>
        </w:rPr>
        <w:t> </w:t>
      </w:r>
      <w:r>
        <w:rPr>
          <w:color w:val="231F20"/>
          <w:spacing w:val="-2"/>
        </w:rPr>
        <w:t>décembre</w:t>
      </w:r>
      <w:r>
        <w:rPr>
          <w:color w:val="231F20"/>
          <w:spacing w:val="-13"/>
        </w:rPr>
        <w:t> </w:t>
      </w:r>
      <w:r>
        <w:rPr>
          <w:color w:val="231F20"/>
          <w:spacing w:val="-2"/>
        </w:rPr>
        <w:t>avec</w:t>
      </w:r>
      <w:r>
        <w:rPr>
          <w:color w:val="231F20"/>
          <w:spacing w:val="-11"/>
        </w:rPr>
        <w:t> </w:t>
      </w:r>
      <w:r>
        <w:rPr>
          <w:color w:val="231F20"/>
          <w:spacing w:val="-2"/>
        </w:rPr>
        <w:t>le</w:t>
      </w:r>
      <w:r>
        <w:rPr>
          <w:color w:val="231F20"/>
          <w:spacing w:val="-13"/>
        </w:rPr>
        <w:t> </w:t>
      </w:r>
      <w:r>
        <w:rPr>
          <w:color w:val="231F20"/>
          <w:spacing w:val="-2"/>
        </w:rPr>
        <w:t>titre</w:t>
      </w:r>
      <w:r>
        <w:rPr>
          <w:color w:val="231F20"/>
          <w:spacing w:val="-10"/>
        </w:rPr>
        <w:t> </w:t>
      </w:r>
      <w:r>
        <w:rPr>
          <w:color w:val="231F20"/>
          <w:spacing w:val="-2"/>
        </w:rPr>
        <w:t>de</w:t>
      </w:r>
      <w:r>
        <w:rPr>
          <w:color w:val="231F20"/>
          <w:spacing w:val="-13"/>
        </w:rPr>
        <w:t> </w:t>
      </w:r>
      <w:r>
        <w:rPr>
          <w:color w:val="231F20"/>
          <w:spacing w:val="-2"/>
        </w:rPr>
        <w:t>Président</w:t>
      </w:r>
      <w:r>
        <w:rPr>
          <w:color w:val="231F20"/>
          <w:spacing w:val="-10"/>
        </w:rPr>
        <w:t> </w:t>
      </w:r>
      <w:r>
        <w:rPr>
          <w:color w:val="231F20"/>
          <w:spacing w:val="-2"/>
        </w:rPr>
        <w:t>du</w:t>
      </w:r>
      <w:r>
        <w:rPr>
          <w:color w:val="231F20"/>
          <w:spacing w:val="-10"/>
        </w:rPr>
        <w:t> </w:t>
      </w:r>
      <w:r>
        <w:rPr>
          <w:color w:val="231F20"/>
          <w:spacing w:val="-2"/>
        </w:rPr>
        <w:t>Conseil</w:t>
      </w:r>
      <w:r>
        <w:rPr>
          <w:color w:val="231F20"/>
          <w:spacing w:val="-10"/>
        </w:rPr>
        <w:t> </w:t>
      </w:r>
      <w:r>
        <w:rPr>
          <w:color w:val="231F20"/>
          <w:spacing w:val="-2"/>
        </w:rPr>
        <w:t>d’État.</w:t>
      </w:r>
      <w:r>
        <w:rPr>
          <w:color w:val="231F20"/>
          <w:spacing w:val="-12"/>
        </w:rPr>
        <w:t> </w:t>
      </w:r>
      <w:r>
        <w:rPr>
          <w:color w:val="231F20"/>
          <w:spacing w:val="-2"/>
        </w:rPr>
        <w:t>Il</w:t>
      </w:r>
      <w:r>
        <w:rPr>
          <w:color w:val="231F20"/>
          <w:spacing w:val="-9"/>
        </w:rPr>
        <w:t> </w:t>
      </w:r>
      <w:r>
        <w:rPr>
          <w:color w:val="231F20"/>
          <w:spacing w:val="-2"/>
        </w:rPr>
        <w:t>est </w:t>
      </w:r>
      <w:r>
        <w:rPr>
          <w:color w:val="231F20"/>
        </w:rPr>
        <w:t>ensuite</w:t>
      </w:r>
      <w:r>
        <w:rPr>
          <w:color w:val="231F20"/>
          <w:spacing w:val="-5"/>
        </w:rPr>
        <w:t> </w:t>
      </w:r>
      <w:r>
        <w:rPr>
          <w:color w:val="231F20"/>
        </w:rPr>
        <w:t>désigné</w:t>
      </w:r>
      <w:r>
        <w:rPr>
          <w:color w:val="231F20"/>
          <w:spacing w:val="-7"/>
        </w:rPr>
        <w:t> </w:t>
      </w:r>
      <w:r>
        <w:rPr>
          <w:color w:val="231F20"/>
        </w:rPr>
        <w:t>Président</w:t>
      </w:r>
      <w:r>
        <w:rPr>
          <w:color w:val="231F20"/>
          <w:spacing w:val="-9"/>
        </w:rPr>
        <w:t> </w:t>
      </w:r>
      <w:r>
        <w:rPr>
          <w:color w:val="231F20"/>
        </w:rPr>
        <w:t>de</w:t>
      </w:r>
      <w:r>
        <w:rPr>
          <w:color w:val="231F20"/>
          <w:spacing w:val="-5"/>
        </w:rPr>
        <w:t> </w:t>
      </w:r>
      <w:r>
        <w:rPr>
          <w:color w:val="231F20"/>
        </w:rPr>
        <w:t>la</w:t>
      </w:r>
      <w:r>
        <w:rPr>
          <w:color w:val="231F20"/>
          <w:spacing w:val="-7"/>
        </w:rPr>
        <w:t> </w:t>
      </w:r>
      <w:r>
        <w:rPr>
          <w:color w:val="231F20"/>
        </w:rPr>
        <w:t>République</w:t>
      </w:r>
      <w:r>
        <w:rPr>
          <w:color w:val="231F20"/>
          <w:spacing w:val="-8"/>
        </w:rPr>
        <w:t> </w:t>
      </w:r>
      <w:r>
        <w:rPr>
          <w:color w:val="231F20"/>
        </w:rPr>
        <w:t>le</w:t>
      </w:r>
      <w:r>
        <w:rPr>
          <w:color w:val="231F20"/>
          <w:spacing w:val="-4"/>
        </w:rPr>
        <w:t> </w:t>
      </w:r>
      <w:r>
        <w:rPr>
          <w:color w:val="231F20"/>
        </w:rPr>
        <w:t>28</w:t>
      </w:r>
      <w:r>
        <w:rPr>
          <w:color w:val="231F20"/>
          <w:spacing w:val="-4"/>
        </w:rPr>
        <w:t> </w:t>
      </w:r>
      <w:r>
        <w:rPr>
          <w:color w:val="231F20"/>
        </w:rPr>
        <w:t>février</w:t>
      </w:r>
      <w:r>
        <w:rPr>
          <w:color w:val="231F20"/>
          <w:spacing w:val="-4"/>
        </w:rPr>
        <w:t> </w:t>
      </w:r>
      <w:r>
        <w:rPr>
          <w:color w:val="231F20"/>
        </w:rPr>
        <w:t>1991.</w:t>
      </w:r>
    </w:p>
    <w:p>
      <w:pPr>
        <w:pStyle w:val="BodyText"/>
        <w:spacing w:before="120"/>
        <w:ind w:right="106" w:firstLine="283"/>
      </w:pPr>
      <w:r>
        <w:rPr>
          <w:color w:val="231F20"/>
        </w:rPr>
        <w:t>A partir de 1979, le Tchad est dirigé par des hommes du Nord : </w:t>
      </w:r>
      <w:r>
        <w:rPr>
          <w:color w:val="231F20"/>
          <w:spacing w:val="-2"/>
        </w:rPr>
        <w:t>Goukouni</w:t>
      </w:r>
      <w:r>
        <w:rPr>
          <w:color w:val="231F20"/>
          <w:spacing w:val="-10"/>
        </w:rPr>
        <w:t> </w:t>
      </w:r>
      <w:r>
        <w:rPr>
          <w:color w:val="231F20"/>
          <w:spacing w:val="-2"/>
        </w:rPr>
        <w:t>Weddeï</w:t>
      </w:r>
      <w:r>
        <w:rPr>
          <w:color w:val="231F20"/>
          <w:spacing w:val="-12"/>
        </w:rPr>
        <w:t> </w:t>
      </w:r>
      <w:r>
        <w:rPr>
          <w:color w:val="231F20"/>
          <w:spacing w:val="-2"/>
        </w:rPr>
        <w:t>de</w:t>
      </w:r>
      <w:r>
        <w:rPr>
          <w:color w:val="231F20"/>
          <w:spacing w:val="-10"/>
        </w:rPr>
        <w:t> </w:t>
      </w:r>
      <w:r>
        <w:rPr>
          <w:color w:val="231F20"/>
          <w:spacing w:val="-2"/>
        </w:rPr>
        <w:t>1979</w:t>
      </w:r>
      <w:r>
        <w:rPr>
          <w:color w:val="231F20"/>
          <w:spacing w:val="-10"/>
        </w:rPr>
        <w:t> </w:t>
      </w:r>
      <w:r>
        <w:rPr>
          <w:color w:val="231F20"/>
          <w:spacing w:val="-2"/>
        </w:rPr>
        <w:t>à</w:t>
      </w:r>
      <w:r>
        <w:rPr>
          <w:color w:val="231F20"/>
          <w:spacing w:val="-10"/>
        </w:rPr>
        <w:t> </w:t>
      </w:r>
      <w:r>
        <w:rPr>
          <w:color w:val="231F20"/>
          <w:spacing w:val="-2"/>
        </w:rPr>
        <w:t>1982,</w:t>
      </w:r>
      <w:r>
        <w:rPr>
          <w:color w:val="231F20"/>
          <w:spacing w:val="-12"/>
        </w:rPr>
        <w:t> </w:t>
      </w:r>
      <w:r>
        <w:rPr>
          <w:color w:val="231F20"/>
          <w:spacing w:val="-2"/>
        </w:rPr>
        <w:t>Hissène</w:t>
      </w:r>
      <w:r>
        <w:rPr>
          <w:color w:val="231F20"/>
          <w:spacing w:val="-10"/>
        </w:rPr>
        <w:t> </w:t>
      </w:r>
      <w:r>
        <w:rPr>
          <w:color w:val="231F20"/>
          <w:spacing w:val="-2"/>
        </w:rPr>
        <w:t>Habré</w:t>
      </w:r>
      <w:r>
        <w:rPr>
          <w:color w:val="231F20"/>
          <w:spacing w:val="-13"/>
        </w:rPr>
        <w:t> </w:t>
      </w:r>
      <w:r>
        <w:rPr>
          <w:color w:val="231F20"/>
          <w:spacing w:val="-2"/>
        </w:rPr>
        <w:t>de</w:t>
      </w:r>
      <w:r>
        <w:rPr>
          <w:color w:val="231F20"/>
          <w:spacing w:val="-10"/>
        </w:rPr>
        <w:t> </w:t>
      </w:r>
      <w:r>
        <w:rPr>
          <w:color w:val="231F20"/>
          <w:spacing w:val="-2"/>
        </w:rPr>
        <w:t>1982</w:t>
      </w:r>
      <w:r>
        <w:rPr>
          <w:color w:val="231F20"/>
          <w:spacing w:val="-12"/>
        </w:rPr>
        <w:t> </w:t>
      </w:r>
      <w:r>
        <w:rPr>
          <w:color w:val="231F20"/>
          <w:spacing w:val="-2"/>
        </w:rPr>
        <w:t>à</w:t>
      </w:r>
      <w:r>
        <w:rPr>
          <w:color w:val="231F20"/>
          <w:spacing w:val="-10"/>
        </w:rPr>
        <w:t> </w:t>
      </w:r>
      <w:r>
        <w:rPr>
          <w:color w:val="231F20"/>
          <w:spacing w:val="-2"/>
        </w:rPr>
        <w:t>1990,</w:t>
      </w:r>
      <w:r>
        <w:rPr>
          <w:color w:val="231F20"/>
          <w:spacing w:val="-12"/>
        </w:rPr>
        <w:t> </w:t>
      </w:r>
      <w:r>
        <w:rPr>
          <w:color w:val="231F20"/>
          <w:spacing w:val="-2"/>
        </w:rPr>
        <w:t>Idriss </w:t>
      </w:r>
      <w:r>
        <w:rPr>
          <w:color w:val="231F20"/>
        </w:rPr>
        <w:t>Déby</w:t>
      </w:r>
      <w:r>
        <w:rPr>
          <w:color w:val="231F20"/>
          <w:spacing w:val="-6"/>
        </w:rPr>
        <w:t> </w:t>
      </w:r>
      <w:r>
        <w:rPr>
          <w:color w:val="231F20"/>
        </w:rPr>
        <w:t>Itno</w:t>
      </w:r>
      <w:r>
        <w:rPr>
          <w:color w:val="231F20"/>
          <w:spacing w:val="-6"/>
        </w:rPr>
        <w:t> </w:t>
      </w:r>
      <w:r>
        <w:rPr>
          <w:color w:val="231F20"/>
        </w:rPr>
        <w:t>depuis</w:t>
      </w:r>
      <w:r>
        <w:rPr>
          <w:color w:val="231F20"/>
          <w:spacing w:val="-6"/>
        </w:rPr>
        <w:t> </w:t>
      </w:r>
      <w:r>
        <w:rPr>
          <w:color w:val="231F20"/>
        </w:rPr>
        <w:t>le</w:t>
      </w:r>
      <w:r>
        <w:rPr>
          <w:color w:val="231F20"/>
          <w:spacing w:val="-6"/>
        </w:rPr>
        <w:t> </w:t>
      </w:r>
      <w:r>
        <w:rPr>
          <w:color w:val="231F20"/>
        </w:rPr>
        <w:t>2</w:t>
      </w:r>
      <w:r>
        <w:rPr>
          <w:color w:val="231F20"/>
          <w:spacing w:val="-8"/>
        </w:rPr>
        <w:t> </w:t>
      </w:r>
      <w:r>
        <w:rPr>
          <w:color w:val="231F20"/>
        </w:rPr>
        <w:t>décembre</w:t>
      </w:r>
      <w:r>
        <w:rPr>
          <w:color w:val="231F20"/>
          <w:spacing w:val="-6"/>
        </w:rPr>
        <w:t> </w:t>
      </w:r>
      <w:r>
        <w:rPr>
          <w:color w:val="231F20"/>
        </w:rPr>
        <w:t>1990.</w:t>
      </w:r>
      <w:r>
        <w:rPr>
          <w:color w:val="231F20"/>
          <w:spacing w:val="-5"/>
        </w:rPr>
        <w:t> </w:t>
      </w:r>
      <w:r>
        <w:rPr>
          <w:color w:val="231F20"/>
        </w:rPr>
        <w:t>Il</w:t>
      </w:r>
      <w:r>
        <w:rPr>
          <w:color w:val="231F20"/>
          <w:spacing w:val="-6"/>
        </w:rPr>
        <w:t> </w:t>
      </w:r>
      <w:r>
        <w:rPr>
          <w:color w:val="231F20"/>
        </w:rPr>
        <w:t>ne</w:t>
      </w:r>
      <w:r>
        <w:rPr>
          <w:color w:val="231F20"/>
          <w:spacing w:val="-6"/>
        </w:rPr>
        <w:t> </w:t>
      </w:r>
      <w:r>
        <w:rPr>
          <w:color w:val="231F20"/>
        </w:rPr>
        <w:t>s’agit</w:t>
      </w:r>
      <w:r>
        <w:rPr>
          <w:color w:val="231F20"/>
          <w:spacing w:val="-7"/>
        </w:rPr>
        <w:t> </w:t>
      </w:r>
      <w:r>
        <w:rPr>
          <w:color w:val="231F20"/>
        </w:rPr>
        <w:t>plus</w:t>
      </w:r>
      <w:r>
        <w:rPr>
          <w:color w:val="231F20"/>
          <w:spacing w:val="-6"/>
        </w:rPr>
        <w:t> </w:t>
      </w:r>
      <w:r>
        <w:rPr>
          <w:color w:val="231F20"/>
        </w:rPr>
        <w:t>pour</w:t>
      </w:r>
      <w:r>
        <w:rPr>
          <w:color w:val="231F20"/>
          <w:spacing w:val="-6"/>
        </w:rPr>
        <w:t> </w:t>
      </w:r>
      <w:r>
        <w:rPr>
          <w:color w:val="231F20"/>
        </w:rPr>
        <w:t>les</w:t>
      </w:r>
      <w:r>
        <w:rPr>
          <w:color w:val="231F20"/>
          <w:spacing w:val="-8"/>
        </w:rPr>
        <w:t> </w:t>
      </w:r>
      <w:r>
        <w:rPr>
          <w:color w:val="231F20"/>
        </w:rPr>
        <w:t>groupes armés</w:t>
      </w:r>
      <w:r>
        <w:rPr>
          <w:color w:val="231F20"/>
          <w:spacing w:val="-14"/>
        </w:rPr>
        <w:t> </w:t>
      </w:r>
      <w:r>
        <w:rPr>
          <w:color w:val="231F20"/>
        </w:rPr>
        <w:t>de</w:t>
      </w:r>
      <w:r>
        <w:rPr>
          <w:color w:val="231F20"/>
          <w:spacing w:val="-14"/>
        </w:rPr>
        <w:t> </w:t>
      </w:r>
      <w:r>
        <w:rPr>
          <w:color w:val="231F20"/>
        </w:rPr>
        <w:t>défendre</w:t>
      </w:r>
      <w:r>
        <w:rPr>
          <w:color w:val="231F20"/>
          <w:spacing w:val="-14"/>
        </w:rPr>
        <w:t> </w:t>
      </w:r>
      <w:r>
        <w:rPr>
          <w:color w:val="231F20"/>
        </w:rPr>
        <w:t>le</w:t>
      </w:r>
      <w:r>
        <w:rPr>
          <w:color w:val="231F20"/>
          <w:spacing w:val="-14"/>
        </w:rPr>
        <w:t> </w:t>
      </w:r>
      <w:r>
        <w:rPr>
          <w:color w:val="231F20"/>
        </w:rPr>
        <w:t>Nord</w:t>
      </w:r>
      <w:r>
        <w:rPr>
          <w:color w:val="231F20"/>
          <w:spacing w:val="-14"/>
        </w:rPr>
        <w:t> </w:t>
      </w:r>
      <w:r>
        <w:rPr>
          <w:color w:val="231F20"/>
        </w:rPr>
        <w:t>contre</w:t>
      </w:r>
      <w:r>
        <w:rPr>
          <w:color w:val="231F20"/>
          <w:spacing w:val="-15"/>
        </w:rPr>
        <w:t> </w:t>
      </w:r>
      <w:r>
        <w:rPr>
          <w:color w:val="231F20"/>
        </w:rPr>
        <w:t>la</w:t>
      </w:r>
      <w:r>
        <w:rPr>
          <w:color w:val="231F20"/>
          <w:spacing w:val="-14"/>
        </w:rPr>
        <w:t> </w:t>
      </w:r>
      <w:r>
        <w:rPr>
          <w:color w:val="231F20"/>
        </w:rPr>
        <w:t>domination</w:t>
      </w:r>
      <w:r>
        <w:rPr>
          <w:color w:val="231F20"/>
          <w:spacing w:val="-14"/>
        </w:rPr>
        <w:t> </w:t>
      </w:r>
      <w:r>
        <w:rPr>
          <w:color w:val="231F20"/>
        </w:rPr>
        <w:t>politique</w:t>
      </w:r>
      <w:r>
        <w:rPr>
          <w:color w:val="231F20"/>
          <w:spacing w:val="-14"/>
        </w:rPr>
        <w:t> </w:t>
      </w:r>
      <w:r>
        <w:rPr>
          <w:color w:val="231F20"/>
        </w:rPr>
        <w:t>des</w:t>
      </w:r>
      <w:r>
        <w:rPr>
          <w:color w:val="231F20"/>
          <w:spacing w:val="-14"/>
        </w:rPr>
        <w:t> </w:t>
      </w:r>
      <w:r>
        <w:rPr>
          <w:color w:val="231F20"/>
        </w:rPr>
        <w:t>ethnies</w:t>
      </w:r>
      <w:r>
        <w:rPr>
          <w:color w:val="231F20"/>
          <w:spacing w:val="-14"/>
        </w:rPr>
        <w:t> </w:t>
      </w:r>
      <w:r>
        <w:rPr>
          <w:color w:val="231F20"/>
        </w:rPr>
        <w:t>du sud discriminant les populations musulmanes du Nord. Les nombreux groupes</w:t>
      </w:r>
      <w:r>
        <w:rPr>
          <w:color w:val="231F20"/>
          <w:spacing w:val="-3"/>
        </w:rPr>
        <w:t> </w:t>
      </w:r>
      <w:r>
        <w:rPr>
          <w:color w:val="231F20"/>
        </w:rPr>
        <w:t>rebelles</w:t>
      </w:r>
      <w:r>
        <w:rPr>
          <w:color w:val="231F20"/>
          <w:spacing w:val="-5"/>
        </w:rPr>
        <w:t> </w:t>
      </w:r>
      <w:r>
        <w:rPr>
          <w:color w:val="231F20"/>
        </w:rPr>
        <w:t>se</w:t>
      </w:r>
      <w:r>
        <w:rPr>
          <w:color w:val="231F20"/>
          <w:spacing w:val="-3"/>
        </w:rPr>
        <w:t> </w:t>
      </w:r>
      <w:r>
        <w:rPr>
          <w:color w:val="231F20"/>
        </w:rPr>
        <w:t>battent</w:t>
      </w:r>
      <w:r>
        <w:rPr>
          <w:color w:val="231F20"/>
          <w:spacing w:val="-2"/>
        </w:rPr>
        <w:t> </w:t>
      </w:r>
      <w:r>
        <w:rPr>
          <w:color w:val="231F20"/>
        </w:rPr>
        <w:t>pour</w:t>
      </w:r>
      <w:r>
        <w:rPr>
          <w:color w:val="231F20"/>
          <w:spacing w:val="-6"/>
        </w:rPr>
        <w:t> </w:t>
      </w:r>
      <w:r>
        <w:rPr>
          <w:color w:val="231F20"/>
        </w:rPr>
        <w:t>la</w:t>
      </w:r>
      <w:r>
        <w:rPr>
          <w:color w:val="231F20"/>
          <w:spacing w:val="-3"/>
        </w:rPr>
        <w:t> </w:t>
      </w:r>
      <w:r>
        <w:rPr>
          <w:color w:val="231F20"/>
        </w:rPr>
        <w:t>conquête</w:t>
      </w:r>
      <w:r>
        <w:rPr>
          <w:color w:val="231F20"/>
          <w:spacing w:val="-5"/>
        </w:rPr>
        <w:t> </w:t>
      </w:r>
      <w:r>
        <w:rPr>
          <w:color w:val="231F20"/>
        </w:rPr>
        <w:t>du</w:t>
      </w:r>
      <w:r>
        <w:rPr>
          <w:color w:val="231F20"/>
          <w:spacing w:val="-3"/>
        </w:rPr>
        <w:t> </w:t>
      </w:r>
      <w:r>
        <w:rPr>
          <w:color w:val="231F20"/>
        </w:rPr>
        <w:t>pouvoir.</w:t>
      </w:r>
    </w:p>
    <w:p>
      <w:pPr>
        <w:pStyle w:val="BodyText"/>
        <w:spacing w:before="121"/>
        <w:ind w:right="105" w:firstLine="283"/>
      </w:pPr>
      <w:r>
        <w:rPr>
          <w:color w:val="231F20"/>
        </w:rPr>
        <w:t>En</w:t>
      </w:r>
      <w:r>
        <w:rPr>
          <w:color w:val="231F20"/>
          <w:spacing w:val="-9"/>
        </w:rPr>
        <w:t> </w:t>
      </w:r>
      <w:r>
        <w:rPr>
          <w:color w:val="231F20"/>
        </w:rPr>
        <w:t>1996,</w:t>
      </w:r>
      <w:r>
        <w:rPr>
          <w:color w:val="231F20"/>
          <w:spacing w:val="-9"/>
        </w:rPr>
        <w:t> </w:t>
      </w:r>
      <w:r>
        <w:rPr>
          <w:color w:val="231F20"/>
        </w:rPr>
        <w:t>Idriss</w:t>
      </w:r>
      <w:r>
        <w:rPr>
          <w:color w:val="231F20"/>
          <w:spacing w:val="-9"/>
        </w:rPr>
        <w:t> </w:t>
      </w:r>
      <w:r>
        <w:rPr>
          <w:color w:val="231F20"/>
        </w:rPr>
        <w:t>Déby</w:t>
      </w:r>
      <w:r>
        <w:rPr>
          <w:color w:val="231F20"/>
          <w:spacing w:val="-9"/>
        </w:rPr>
        <w:t> </w:t>
      </w:r>
      <w:r>
        <w:rPr>
          <w:color w:val="231F20"/>
        </w:rPr>
        <w:t>promulgue</w:t>
      </w:r>
      <w:r>
        <w:rPr>
          <w:color w:val="231F20"/>
          <w:spacing w:val="-9"/>
        </w:rPr>
        <w:t> </w:t>
      </w:r>
      <w:r>
        <w:rPr>
          <w:color w:val="231F20"/>
        </w:rPr>
        <w:t>une</w:t>
      </w:r>
      <w:r>
        <w:rPr>
          <w:color w:val="231F20"/>
          <w:spacing w:val="-11"/>
        </w:rPr>
        <w:t> </w:t>
      </w:r>
      <w:r>
        <w:rPr>
          <w:color w:val="231F20"/>
        </w:rPr>
        <w:t>charte</w:t>
      </w:r>
      <w:r>
        <w:rPr>
          <w:color w:val="231F20"/>
          <w:spacing w:val="-10"/>
        </w:rPr>
        <w:t> </w:t>
      </w:r>
      <w:r>
        <w:rPr>
          <w:color w:val="231F20"/>
        </w:rPr>
        <w:t>nationale</w:t>
      </w:r>
      <w:r>
        <w:rPr>
          <w:color w:val="231F20"/>
          <w:spacing w:val="-9"/>
        </w:rPr>
        <w:t> </w:t>
      </w:r>
      <w:r>
        <w:rPr>
          <w:color w:val="231F20"/>
        </w:rPr>
        <w:t>garantissant</w:t>
      </w:r>
      <w:r>
        <w:rPr>
          <w:color w:val="231F20"/>
          <w:spacing w:val="-10"/>
        </w:rPr>
        <w:t> </w:t>
      </w:r>
      <w:r>
        <w:rPr>
          <w:color w:val="231F20"/>
        </w:rPr>
        <w:t>la liberté</w:t>
      </w:r>
      <w:r>
        <w:rPr>
          <w:color w:val="231F20"/>
          <w:spacing w:val="-13"/>
        </w:rPr>
        <w:t> </w:t>
      </w:r>
      <w:r>
        <w:rPr>
          <w:color w:val="231F20"/>
        </w:rPr>
        <w:t>d’expression,</w:t>
      </w:r>
      <w:r>
        <w:rPr>
          <w:color w:val="231F20"/>
          <w:spacing w:val="-13"/>
        </w:rPr>
        <w:t> </w:t>
      </w:r>
      <w:r>
        <w:rPr>
          <w:color w:val="231F20"/>
        </w:rPr>
        <w:t>le</w:t>
      </w:r>
      <w:r>
        <w:rPr>
          <w:color w:val="231F20"/>
          <w:spacing w:val="-13"/>
        </w:rPr>
        <w:t> </w:t>
      </w:r>
      <w:r>
        <w:rPr>
          <w:color w:val="231F20"/>
        </w:rPr>
        <w:t>multipartisme</w:t>
      </w:r>
      <w:r>
        <w:rPr>
          <w:color w:val="231F20"/>
          <w:spacing w:val="-13"/>
        </w:rPr>
        <w:t> </w:t>
      </w:r>
      <w:r>
        <w:rPr>
          <w:color w:val="231F20"/>
        </w:rPr>
        <w:t>et</w:t>
      </w:r>
      <w:r>
        <w:rPr>
          <w:color w:val="231F20"/>
          <w:spacing w:val="-12"/>
        </w:rPr>
        <w:t> </w:t>
      </w:r>
      <w:r>
        <w:rPr>
          <w:color w:val="231F20"/>
        </w:rPr>
        <w:t>une</w:t>
      </w:r>
      <w:r>
        <w:rPr>
          <w:color w:val="231F20"/>
          <w:spacing w:val="-13"/>
        </w:rPr>
        <w:t> </w:t>
      </w:r>
      <w:r>
        <w:rPr>
          <w:color w:val="231F20"/>
        </w:rPr>
        <w:t>nouvelle</w:t>
      </w:r>
      <w:r>
        <w:rPr>
          <w:color w:val="231F20"/>
          <w:spacing w:val="-13"/>
        </w:rPr>
        <w:t> </w:t>
      </w:r>
      <w:r>
        <w:rPr>
          <w:color w:val="231F20"/>
        </w:rPr>
        <w:t>Constitution</w:t>
      </w:r>
      <w:r>
        <w:rPr>
          <w:color w:val="231F20"/>
          <w:spacing w:val="-12"/>
        </w:rPr>
        <w:t> </w:t>
      </w:r>
      <w:r>
        <w:rPr>
          <w:color w:val="231F20"/>
        </w:rPr>
        <w:t>mais </w:t>
      </w:r>
      <w:r>
        <w:rPr>
          <w:color w:val="231F20"/>
          <w:spacing w:val="-4"/>
        </w:rPr>
        <w:t>dans</w:t>
      </w:r>
      <w:r>
        <w:rPr>
          <w:color w:val="231F20"/>
          <w:spacing w:val="-10"/>
        </w:rPr>
        <w:t> </w:t>
      </w:r>
      <w:r>
        <w:rPr>
          <w:color w:val="231F20"/>
          <w:spacing w:val="-4"/>
        </w:rPr>
        <w:t>les</w:t>
      </w:r>
      <w:r>
        <w:rPr>
          <w:color w:val="231F20"/>
          <w:spacing w:val="-9"/>
        </w:rPr>
        <w:t> </w:t>
      </w:r>
      <w:r>
        <w:rPr>
          <w:color w:val="231F20"/>
          <w:spacing w:val="-4"/>
        </w:rPr>
        <w:t>faits,</w:t>
      </w:r>
      <w:r>
        <w:rPr>
          <w:color w:val="231F20"/>
          <w:spacing w:val="-9"/>
        </w:rPr>
        <w:t> </w:t>
      </w:r>
      <w:r>
        <w:rPr>
          <w:color w:val="231F20"/>
          <w:spacing w:val="-4"/>
        </w:rPr>
        <w:t>la</w:t>
      </w:r>
      <w:r>
        <w:rPr>
          <w:color w:val="231F20"/>
          <w:spacing w:val="-10"/>
        </w:rPr>
        <w:t> </w:t>
      </w:r>
      <w:r>
        <w:rPr>
          <w:color w:val="231F20"/>
          <w:spacing w:val="-4"/>
        </w:rPr>
        <w:t>culture</w:t>
      </w:r>
      <w:r>
        <w:rPr>
          <w:color w:val="231F20"/>
          <w:spacing w:val="-10"/>
        </w:rPr>
        <w:t> </w:t>
      </w:r>
      <w:r>
        <w:rPr>
          <w:color w:val="231F20"/>
          <w:spacing w:val="-4"/>
        </w:rPr>
        <w:t>de</w:t>
      </w:r>
      <w:r>
        <w:rPr>
          <w:color w:val="231F20"/>
          <w:spacing w:val="-11"/>
        </w:rPr>
        <w:t> </w:t>
      </w:r>
      <w:r>
        <w:rPr>
          <w:color w:val="231F20"/>
          <w:spacing w:val="-4"/>
        </w:rPr>
        <w:t>Parti</w:t>
      </w:r>
      <w:r>
        <w:rPr>
          <w:color w:val="231F20"/>
          <w:spacing w:val="-11"/>
        </w:rPr>
        <w:t> </w:t>
      </w:r>
      <w:r>
        <w:rPr>
          <w:color w:val="231F20"/>
          <w:spacing w:val="-4"/>
        </w:rPr>
        <w:t>unique</w:t>
      </w:r>
      <w:r>
        <w:rPr>
          <w:color w:val="231F20"/>
          <w:spacing w:val="-9"/>
        </w:rPr>
        <w:t> </w:t>
      </w:r>
      <w:r>
        <w:rPr>
          <w:color w:val="231F20"/>
          <w:spacing w:val="-4"/>
        </w:rPr>
        <w:t>et</w:t>
      </w:r>
      <w:r>
        <w:rPr>
          <w:color w:val="231F20"/>
          <w:spacing w:val="-11"/>
        </w:rPr>
        <w:t> </w:t>
      </w:r>
      <w:r>
        <w:rPr>
          <w:color w:val="231F20"/>
          <w:spacing w:val="-4"/>
        </w:rPr>
        <w:t>la</w:t>
      </w:r>
      <w:r>
        <w:rPr>
          <w:color w:val="231F20"/>
          <w:spacing w:val="-9"/>
        </w:rPr>
        <w:t> </w:t>
      </w:r>
      <w:r>
        <w:rPr>
          <w:color w:val="231F20"/>
          <w:spacing w:val="-4"/>
        </w:rPr>
        <w:t>volonté</w:t>
      </w:r>
      <w:r>
        <w:rPr>
          <w:color w:val="231F20"/>
          <w:spacing w:val="-11"/>
        </w:rPr>
        <w:t> </w:t>
      </w:r>
      <w:r>
        <w:rPr>
          <w:color w:val="231F20"/>
          <w:spacing w:val="-4"/>
        </w:rPr>
        <w:t>de</w:t>
      </w:r>
      <w:r>
        <w:rPr>
          <w:color w:val="231F20"/>
          <w:spacing w:val="-9"/>
        </w:rPr>
        <w:t> </w:t>
      </w:r>
      <w:r>
        <w:rPr>
          <w:color w:val="231F20"/>
          <w:spacing w:val="-4"/>
        </w:rPr>
        <w:t>contrôler</w:t>
      </w:r>
      <w:r>
        <w:rPr>
          <w:color w:val="231F20"/>
          <w:spacing w:val="-10"/>
        </w:rPr>
        <w:t> </w:t>
      </w:r>
      <w:r>
        <w:rPr>
          <w:color w:val="231F20"/>
          <w:spacing w:val="-4"/>
        </w:rPr>
        <w:t>le</w:t>
      </w:r>
      <w:r>
        <w:rPr>
          <w:color w:val="231F20"/>
          <w:spacing w:val="-10"/>
        </w:rPr>
        <w:t> </w:t>
      </w:r>
      <w:r>
        <w:rPr>
          <w:color w:val="231F20"/>
          <w:spacing w:val="-4"/>
        </w:rPr>
        <w:t>champ </w:t>
      </w:r>
      <w:r>
        <w:rPr>
          <w:color w:val="231F20"/>
        </w:rPr>
        <w:t>politique sont restés vivaces.</w:t>
      </w:r>
    </w:p>
    <w:p>
      <w:pPr>
        <w:pStyle w:val="BodyText"/>
        <w:spacing w:before="120"/>
        <w:ind w:right="105" w:firstLine="283"/>
      </w:pPr>
      <w:r>
        <w:rPr>
          <w:color w:val="231F20"/>
        </w:rPr>
        <w:t>Le Tchad intègre en février 2005 l'Association des producteurs de pétrole africains renommée Organisation des Producteurs Africains (APO)</w:t>
      </w:r>
      <w:r>
        <w:rPr>
          <w:color w:val="231F20"/>
          <w:spacing w:val="-15"/>
        </w:rPr>
        <w:t> </w:t>
      </w:r>
      <w:r>
        <w:rPr>
          <w:color w:val="231F20"/>
          <w:vertAlign w:val="superscript"/>
        </w:rPr>
        <w:t>80</w:t>
      </w:r>
      <w:r>
        <w:rPr>
          <w:color w:val="231F20"/>
          <w:spacing w:val="-15"/>
          <w:vertAlign w:val="baseline"/>
        </w:rPr>
        <w:t> </w:t>
      </w:r>
      <w:r>
        <w:rPr>
          <w:color w:val="231F20"/>
          <w:vertAlign w:val="baseline"/>
        </w:rPr>
        <w:t>. Hélas, la rente pétrolière est mise au profit des dépenses militaires et des clans au pouvoir exacerbant les frustrations et les revendications</w:t>
      </w:r>
      <w:r>
        <w:rPr>
          <w:color w:val="231F20"/>
          <w:spacing w:val="-7"/>
          <w:vertAlign w:val="baseline"/>
        </w:rPr>
        <w:t> </w:t>
      </w:r>
      <w:r>
        <w:rPr>
          <w:color w:val="231F20"/>
          <w:vertAlign w:val="baseline"/>
        </w:rPr>
        <w:t>d’une</w:t>
      </w:r>
      <w:r>
        <w:rPr>
          <w:color w:val="231F20"/>
          <w:spacing w:val="-7"/>
          <w:vertAlign w:val="baseline"/>
        </w:rPr>
        <w:t> </w:t>
      </w:r>
      <w:r>
        <w:rPr>
          <w:color w:val="231F20"/>
          <w:vertAlign w:val="baseline"/>
        </w:rPr>
        <w:t>population</w:t>
      </w:r>
      <w:r>
        <w:rPr>
          <w:color w:val="231F20"/>
          <w:spacing w:val="-5"/>
          <w:vertAlign w:val="baseline"/>
        </w:rPr>
        <w:t> </w:t>
      </w:r>
      <w:r>
        <w:rPr>
          <w:color w:val="231F20"/>
          <w:vertAlign w:val="baseline"/>
        </w:rPr>
        <w:t>empêtrée</w:t>
      </w:r>
      <w:r>
        <w:rPr>
          <w:color w:val="231F20"/>
          <w:spacing w:val="-5"/>
          <w:vertAlign w:val="baseline"/>
        </w:rPr>
        <w:t> </w:t>
      </w:r>
      <w:r>
        <w:rPr>
          <w:color w:val="231F20"/>
          <w:vertAlign w:val="baseline"/>
        </w:rPr>
        <w:t>dans</w:t>
      </w:r>
      <w:r>
        <w:rPr>
          <w:color w:val="231F20"/>
          <w:spacing w:val="-4"/>
          <w:vertAlign w:val="baseline"/>
        </w:rPr>
        <w:t> </w:t>
      </w:r>
      <w:r>
        <w:rPr>
          <w:color w:val="231F20"/>
          <w:vertAlign w:val="baseline"/>
        </w:rPr>
        <w:t>la</w:t>
      </w:r>
      <w:r>
        <w:rPr>
          <w:color w:val="231F20"/>
          <w:spacing w:val="-8"/>
          <w:vertAlign w:val="baseline"/>
        </w:rPr>
        <w:t> </w:t>
      </w:r>
      <w:r>
        <w:rPr>
          <w:color w:val="231F20"/>
          <w:vertAlign w:val="baseline"/>
        </w:rPr>
        <w:t>pauvreté.</w:t>
      </w:r>
    </w:p>
    <w:p>
      <w:pPr>
        <w:pStyle w:val="BodyText"/>
        <w:spacing w:before="120"/>
        <w:ind w:right="105" w:firstLine="283"/>
      </w:pPr>
      <w:r>
        <w:rPr>
          <w:color w:val="231F20"/>
          <w:spacing w:val="-4"/>
        </w:rPr>
        <w:t>De</w:t>
      </w:r>
      <w:r>
        <w:rPr>
          <w:color w:val="231F20"/>
          <w:spacing w:val="-11"/>
        </w:rPr>
        <w:t> </w:t>
      </w:r>
      <w:r>
        <w:rPr>
          <w:color w:val="231F20"/>
          <w:spacing w:val="-4"/>
        </w:rPr>
        <w:t>2005</w:t>
      </w:r>
      <w:r>
        <w:rPr>
          <w:color w:val="231F20"/>
          <w:spacing w:val="-11"/>
        </w:rPr>
        <w:t> </w:t>
      </w:r>
      <w:r>
        <w:rPr>
          <w:color w:val="231F20"/>
          <w:spacing w:val="-4"/>
        </w:rPr>
        <w:t>à</w:t>
      </w:r>
      <w:r>
        <w:rPr>
          <w:color w:val="231F20"/>
          <w:spacing w:val="-11"/>
        </w:rPr>
        <w:t> </w:t>
      </w:r>
      <w:r>
        <w:rPr>
          <w:color w:val="231F20"/>
          <w:spacing w:val="-4"/>
        </w:rPr>
        <w:t>2010,</w:t>
      </w:r>
      <w:r>
        <w:rPr>
          <w:color w:val="231F20"/>
          <w:spacing w:val="-11"/>
        </w:rPr>
        <w:t> </w:t>
      </w:r>
      <w:r>
        <w:rPr>
          <w:color w:val="231F20"/>
          <w:spacing w:val="-4"/>
        </w:rPr>
        <w:t>le</w:t>
      </w:r>
      <w:r>
        <w:rPr>
          <w:color w:val="231F20"/>
          <w:spacing w:val="-11"/>
        </w:rPr>
        <w:t> </w:t>
      </w:r>
      <w:r>
        <w:rPr>
          <w:color w:val="231F20"/>
          <w:spacing w:val="-4"/>
        </w:rPr>
        <w:t>pays</w:t>
      </w:r>
      <w:r>
        <w:rPr>
          <w:color w:val="231F20"/>
          <w:spacing w:val="-11"/>
        </w:rPr>
        <w:t> </w:t>
      </w:r>
      <w:r>
        <w:rPr>
          <w:color w:val="231F20"/>
          <w:spacing w:val="-4"/>
        </w:rPr>
        <w:t>renoue</w:t>
      </w:r>
      <w:r>
        <w:rPr>
          <w:color w:val="231F20"/>
          <w:spacing w:val="-9"/>
        </w:rPr>
        <w:t> </w:t>
      </w:r>
      <w:r>
        <w:rPr>
          <w:color w:val="231F20"/>
          <w:spacing w:val="-4"/>
        </w:rPr>
        <w:t>avec</w:t>
      </w:r>
      <w:r>
        <w:rPr>
          <w:color w:val="231F20"/>
          <w:spacing w:val="-11"/>
        </w:rPr>
        <w:t> </w:t>
      </w:r>
      <w:r>
        <w:rPr>
          <w:color w:val="231F20"/>
          <w:spacing w:val="-4"/>
        </w:rPr>
        <w:t>les</w:t>
      </w:r>
      <w:r>
        <w:rPr>
          <w:color w:val="231F20"/>
          <w:spacing w:val="-9"/>
        </w:rPr>
        <w:t> </w:t>
      </w:r>
      <w:r>
        <w:rPr>
          <w:color w:val="231F20"/>
          <w:spacing w:val="-4"/>
        </w:rPr>
        <w:t>conflits</w:t>
      </w:r>
      <w:r>
        <w:rPr>
          <w:color w:val="231F20"/>
          <w:spacing w:val="-11"/>
        </w:rPr>
        <w:t> </w:t>
      </w:r>
      <w:r>
        <w:rPr>
          <w:color w:val="231F20"/>
          <w:spacing w:val="-4"/>
        </w:rPr>
        <w:t>de</w:t>
      </w:r>
      <w:r>
        <w:rPr>
          <w:color w:val="231F20"/>
          <w:spacing w:val="-11"/>
        </w:rPr>
        <w:t> </w:t>
      </w:r>
      <w:r>
        <w:rPr>
          <w:color w:val="231F20"/>
          <w:spacing w:val="-4"/>
        </w:rPr>
        <w:t>pouvoir</w:t>
      </w:r>
      <w:r>
        <w:rPr>
          <w:color w:val="231F20"/>
          <w:spacing w:val="-11"/>
        </w:rPr>
        <w:t> </w:t>
      </w:r>
      <w:r>
        <w:rPr>
          <w:color w:val="231F20"/>
          <w:spacing w:val="-4"/>
        </w:rPr>
        <w:t>entre</w:t>
      </w:r>
      <w:r>
        <w:rPr>
          <w:color w:val="231F20"/>
          <w:spacing w:val="-11"/>
        </w:rPr>
        <w:t> </w:t>
      </w:r>
      <w:r>
        <w:rPr>
          <w:color w:val="231F20"/>
          <w:spacing w:val="-4"/>
        </w:rPr>
        <w:t>Idriss </w:t>
      </w:r>
      <w:r>
        <w:rPr>
          <w:color w:val="231F20"/>
        </w:rPr>
        <w:t>Déby</w:t>
      </w:r>
      <w:r>
        <w:rPr>
          <w:color w:val="231F20"/>
          <w:spacing w:val="-14"/>
        </w:rPr>
        <w:t> </w:t>
      </w:r>
      <w:r>
        <w:rPr>
          <w:color w:val="231F20"/>
        </w:rPr>
        <w:t>et des groupes rebelles issus d'ethnies du Nord constitués des membres</w:t>
      </w:r>
      <w:r>
        <w:rPr>
          <w:color w:val="231F20"/>
          <w:spacing w:val="-7"/>
        </w:rPr>
        <w:t> </w:t>
      </w:r>
      <w:r>
        <w:rPr>
          <w:color w:val="231F20"/>
        </w:rPr>
        <w:t>de</w:t>
      </w:r>
      <w:r>
        <w:rPr>
          <w:color w:val="231F20"/>
          <w:spacing w:val="-5"/>
        </w:rPr>
        <w:t> </w:t>
      </w:r>
      <w:r>
        <w:rPr>
          <w:color w:val="231F20"/>
        </w:rPr>
        <w:t>sa</w:t>
      </w:r>
      <w:r>
        <w:rPr>
          <w:color w:val="231F20"/>
          <w:spacing w:val="-5"/>
        </w:rPr>
        <w:t> </w:t>
      </w:r>
      <w:r>
        <w:rPr>
          <w:color w:val="231F20"/>
        </w:rPr>
        <w:t>propre</w:t>
      </w:r>
      <w:r>
        <w:rPr>
          <w:color w:val="231F20"/>
          <w:spacing w:val="-5"/>
        </w:rPr>
        <w:t> </w:t>
      </w:r>
      <w:r>
        <w:rPr>
          <w:color w:val="231F20"/>
        </w:rPr>
        <w:t>ethnie,</w:t>
      </w:r>
      <w:r>
        <w:rPr>
          <w:color w:val="231F20"/>
          <w:spacing w:val="-7"/>
        </w:rPr>
        <w:t> </w:t>
      </w:r>
      <w:r>
        <w:rPr>
          <w:color w:val="231F20"/>
        </w:rPr>
        <w:t>les</w:t>
      </w:r>
      <w:r>
        <w:rPr>
          <w:color w:val="231F20"/>
          <w:spacing w:val="-4"/>
        </w:rPr>
        <w:t> </w:t>
      </w:r>
      <w:r>
        <w:rPr>
          <w:color w:val="231F20"/>
        </w:rPr>
        <w:t>Zaghawa</w:t>
      </w:r>
      <w:r>
        <w:rPr>
          <w:color w:val="231F20"/>
          <w:spacing w:val="-6"/>
        </w:rPr>
        <w:t> </w:t>
      </w:r>
      <w:r>
        <w:rPr>
          <w:color w:val="231F20"/>
        </w:rPr>
        <w:t>soutenus</w:t>
      </w:r>
      <w:r>
        <w:rPr>
          <w:color w:val="231F20"/>
          <w:spacing w:val="-7"/>
        </w:rPr>
        <w:t> </w:t>
      </w:r>
      <w:r>
        <w:rPr>
          <w:color w:val="231F20"/>
        </w:rPr>
        <w:t>par</w:t>
      </w:r>
      <w:r>
        <w:rPr>
          <w:color w:val="231F20"/>
          <w:spacing w:val="-5"/>
        </w:rPr>
        <w:t> </w:t>
      </w:r>
      <w:r>
        <w:rPr>
          <w:color w:val="231F20"/>
        </w:rPr>
        <w:t>le</w:t>
      </w:r>
      <w:r>
        <w:rPr>
          <w:color w:val="231F20"/>
          <w:spacing w:val="-8"/>
        </w:rPr>
        <w:t> </w:t>
      </w:r>
      <w:r>
        <w:rPr>
          <w:color w:val="231F20"/>
        </w:rPr>
        <w:t>Soudan.</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36"/>
        <w:ind w:left="0"/>
        <w:jc w:val="left"/>
        <w:rPr>
          <w:sz w:val="20"/>
        </w:rPr>
      </w:pPr>
      <w:r>
        <w:rPr/>
        <mc:AlternateContent>
          <mc:Choice Requires="wps">
            <w:drawing>
              <wp:anchor distT="0" distB="0" distL="0" distR="0" allowOverlap="1" layoutInCell="1" locked="0" behindDoc="1" simplePos="0" relativeHeight="487613440">
                <wp:simplePos x="0" y="0"/>
                <wp:positionH relativeFrom="page">
                  <wp:posOffset>629907</wp:posOffset>
                </wp:positionH>
                <wp:positionV relativeFrom="paragraph">
                  <wp:posOffset>248018</wp:posOffset>
                </wp:positionV>
                <wp:extent cx="1829435" cy="9525"/>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528984pt;width:144.020pt;height:.72pt;mso-position-horizontal-relative:page;mso-position-vertical-relative:paragraph;z-index:-15703040;mso-wrap-distance-left:0;mso-wrap-distance-right:0" id="docshape65" filled="true" fillcolor="#231f20" stroked="false">
                <v:fill type="solid"/>
                <w10:wrap type="topAndBottom"/>
              </v:rect>
            </w:pict>
          </mc:Fallback>
        </mc:AlternateContent>
      </w:r>
    </w:p>
    <w:p>
      <w:pPr>
        <w:spacing w:before="91"/>
        <w:ind w:left="111" w:right="104" w:hanging="1"/>
        <w:jc w:val="both"/>
        <w:rPr>
          <w:sz w:val="20"/>
        </w:rPr>
      </w:pPr>
      <w:r>
        <w:rPr>
          <w:color w:val="231F20"/>
          <w:spacing w:val="-2"/>
          <w:sz w:val="20"/>
          <w:vertAlign w:val="superscript"/>
        </w:rPr>
        <w:t>79</w:t>
      </w:r>
      <w:r>
        <w:rPr>
          <w:color w:val="231F20"/>
          <w:spacing w:val="-2"/>
          <w:sz w:val="20"/>
          <w:vertAlign w:val="baseline"/>
        </w:rPr>
        <w:t>Musulman,</w:t>
      </w:r>
      <w:r>
        <w:rPr>
          <w:color w:val="231F20"/>
          <w:spacing w:val="-4"/>
          <w:sz w:val="20"/>
          <w:vertAlign w:val="baseline"/>
        </w:rPr>
        <w:t> </w:t>
      </w:r>
      <w:r>
        <w:rPr>
          <w:color w:val="231F20"/>
          <w:spacing w:val="-2"/>
          <w:sz w:val="20"/>
          <w:vertAlign w:val="baseline"/>
        </w:rPr>
        <w:t>fils</w:t>
      </w:r>
      <w:r>
        <w:rPr>
          <w:color w:val="231F20"/>
          <w:spacing w:val="-6"/>
          <w:sz w:val="20"/>
          <w:vertAlign w:val="baseline"/>
        </w:rPr>
        <w:t> </w:t>
      </w:r>
      <w:r>
        <w:rPr>
          <w:color w:val="231F20"/>
          <w:spacing w:val="-2"/>
          <w:sz w:val="20"/>
          <w:vertAlign w:val="baseline"/>
        </w:rPr>
        <w:t>d'un</w:t>
      </w:r>
      <w:r>
        <w:rPr>
          <w:color w:val="231F20"/>
          <w:spacing w:val="-5"/>
          <w:sz w:val="20"/>
          <w:vertAlign w:val="baseline"/>
        </w:rPr>
        <w:t> </w:t>
      </w:r>
      <w:r>
        <w:rPr>
          <w:color w:val="231F20"/>
          <w:spacing w:val="-2"/>
          <w:sz w:val="20"/>
          <w:vertAlign w:val="baseline"/>
        </w:rPr>
        <w:t>berger</w:t>
      </w:r>
      <w:r>
        <w:rPr>
          <w:color w:val="231F20"/>
          <w:spacing w:val="-4"/>
          <w:sz w:val="20"/>
          <w:vertAlign w:val="baseline"/>
        </w:rPr>
        <w:t> </w:t>
      </w:r>
      <w:r>
        <w:rPr>
          <w:color w:val="231F20"/>
          <w:spacing w:val="-2"/>
          <w:sz w:val="20"/>
          <w:vertAlign w:val="baseline"/>
        </w:rPr>
        <w:t>de</w:t>
      </w:r>
      <w:r>
        <w:rPr>
          <w:color w:val="231F20"/>
          <w:spacing w:val="-5"/>
          <w:sz w:val="20"/>
          <w:vertAlign w:val="baseline"/>
        </w:rPr>
        <w:t> </w:t>
      </w:r>
      <w:r>
        <w:rPr>
          <w:color w:val="231F20"/>
          <w:spacing w:val="-2"/>
          <w:sz w:val="20"/>
          <w:vertAlign w:val="baseline"/>
        </w:rPr>
        <w:t>l’ethnie</w:t>
      </w:r>
      <w:r>
        <w:rPr>
          <w:color w:val="231F20"/>
          <w:spacing w:val="-7"/>
          <w:sz w:val="20"/>
          <w:vertAlign w:val="baseline"/>
        </w:rPr>
        <w:t> </w:t>
      </w:r>
      <w:r>
        <w:rPr>
          <w:color w:val="231F20"/>
          <w:spacing w:val="-2"/>
          <w:sz w:val="20"/>
          <w:vertAlign w:val="baseline"/>
        </w:rPr>
        <w:t>zaghawa</w:t>
      </w:r>
      <w:r>
        <w:rPr>
          <w:color w:val="231F20"/>
          <w:spacing w:val="-5"/>
          <w:sz w:val="20"/>
          <w:vertAlign w:val="baseline"/>
        </w:rPr>
        <w:t> </w:t>
      </w:r>
      <w:r>
        <w:rPr>
          <w:color w:val="231F20"/>
          <w:spacing w:val="-2"/>
          <w:sz w:val="20"/>
          <w:vertAlign w:val="baseline"/>
        </w:rPr>
        <w:t>proche</w:t>
      </w:r>
      <w:r>
        <w:rPr>
          <w:color w:val="231F20"/>
          <w:spacing w:val="-7"/>
          <w:sz w:val="20"/>
          <w:vertAlign w:val="baseline"/>
        </w:rPr>
        <w:t> </w:t>
      </w:r>
      <w:r>
        <w:rPr>
          <w:color w:val="231F20"/>
          <w:spacing w:val="-2"/>
          <w:sz w:val="20"/>
          <w:vertAlign w:val="baseline"/>
        </w:rPr>
        <w:t>de</w:t>
      </w:r>
      <w:r>
        <w:rPr>
          <w:color w:val="231F20"/>
          <w:spacing w:val="-5"/>
          <w:sz w:val="20"/>
          <w:vertAlign w:val="baseline"/>
        </w:rPr>
        <w:t> </w:t>
      </w:r>
      <w:r>
        <w:rPr>
          <w:color w:val="231F20"/>
          <w:spacing w:val="-2"/>
          <w:sz w:val="20"/>
          <w:vertAlign w:val="baseline"/>
        </w:rPr>
        <w:t>l'ethnie</w:t>
      </w:r>
      <w:r>
        <w:rPr>
          <w:color w:val="231F20"/>
          <w:spacing w:val="-5"/>
          <w:sz w:val="20"/>
          <w:vertAlign w:val="baseline"/>
        </w:rPr>
        <w:t> </w:t>
      </w:r>
      <w:r>
        <w:rPr>
          <w:color w:val="231F20"/>
          <w:spacing w:val="-2"/>
          <w:sz w:val="20"/>
          <w:vertAlign w:val="baseline"/>
        </w:rPr>
        <w:t>toubou</w:t>
      </w:r>
      <w:r>
        <w:rPr>
          <w:color w:val="231F20"/>
          <w:spacing w:val="-4"/>
          <w:sz w:val="20"/>
          <w:vertAlign w:val="baseline"/>
        </w:rPr>
        <w:t> </w:t>
      </w:r>
      <w:r>
        <w:rPr>
          <w:color w:val="231F20"/>
          <w:spacing w:val="-2"/>
          <w:sz w:val="20"/>
          <w:vertAlign w:val="baseline"/>
        </w:rPr>
        <w:t>Idriss</w:t>
      </w:r>
      <w:r>
        <w:rPr>
          <w:color w:val="231F20"/>
          <w:spacing w:val="-6"/>
          <w:sz w:val="20"/>
          <w:vertAlign w:val="baseline"/>
        </w:rPr>
        <w:t> </w:t>
      </w:r>
      <w:r>
        <w:rPr>
          <w:color w:val="231F20"/>
          <w:spacing w:val="-2"/>
          <w:sz w:val="20"/>
          <w:vertAlign w:val="baseline"/>
        </w:rPr>
        <w:t>Deby </w:t>
      </w:r>
      <w:r>
        <w:rPr>
          <w:color w:val="231F20"/>
          <w:spacing w:val="-4"/>
          <w:sz w:val="20"/>
          <w:vertAlign w:val="baseline"/>
        </w:rPr>
        <w:t>collabore</w:t>
      </w:r>
      <w:r>
        <w:rPr>
          <w:color w:val="231F20"/>
          <w:spacing w:val="-9"/>
          <w:sz w:val="20"/>
          <w:vertAlign w:val="baseline"/>
        </w:rPr>
        <w:t> </w:t>
      </w:r>
      <w:r>
        <w:rPr>
          <w:color w:val="231F20"/>
          <w:spacing w:val="-4"/>
          <w:sz w:val="20"/>
          <w:vertAlign w:val="baseline"/>
        </w:rPr>
        <w:t>avec Hissène</w:t>
      </w:r>
      <w:r>
        <w:rPr>
          <w:color w:val="231F20"/>
          <w:spacing w:val="-5"/>
          <w:sz w:val="20"/>
          <w:vertAlign w:val="baseline"/>
        </w:rPr>
        <w:t> </w:t>
      </w:r>
      <w:r>
        <w:rPr>
          <w:color w:val="231F20"/>
          <w:spacing w:val="-4"/>
          <w:sz w:val="20"/>
          <w:vertAlign w:val="baseline"/>
        </w:rPr>
        <w:t>Habré,</w:t>
      </w:r>
      <w:r>
        <w:rPr>
          <w:color w:val="231F20"/>
          <w:spacing w:val="-5"/>
          <w:sz w:val="20"/>
          <w:vertAlign w:val="baseline"/>
        </w:rPr>
        <w:t> </w:t>
      </w:r>
      <w:r>
        <w:rPr>
          <w:color w:val="231F20"/>
          <w:spacing w:val="-4"/>
          <w:sz w:val="20"/>
          <w:vertAlign w:val="baseline"/>
        </w:rPr>
        <w:t>entré</w:t>
      </w:r>
      <w:r>
        <w:rPr>
          <w:color w:val="231F20"/>
          <w:spacing w:val="-8"/>
          <w:sz w:val="20"/>
          <w:vertAlign w:val="baseline"/>
        </w:rPr>
        <w:t> </w:t>
      </w:r>
      <w:r>
        <w:rPr>
          <w:color w:val="231F20"/>
          <w:spacing w:val="-4"/>
          <w:sz w:val="20"/>
          <w:vertAlign w:val="baseline"/>
        </w:rPr>
        <w:t>en</w:t>
      </w:r>
      <w:r>
        <w:rPr>
          <w:color w:val="231F20"/>
          <w:spacing w:val="-7"/>
          <w:sz w:val="20"/>
          <w:vertAlign w:val="baseline"/>
        </w:rPr>
        <w:t> </w:t>
      </w:r>
      <w:r>
        <w:rPr>
          <w:color w:val="231F20"/>
          <w:spacing w:val="-4"/>
          <w:sz w:val="20"/>
          <w:vertAlign w:val="baseline"/>
        </w:rPr>
        <w:t>rébellion</w:t>
      </w:r>
      <w:r>
        <w:rPr>
          <w:color w:val="231F20"/>
          <w:spacing w:val="-5"/>
          <w:sz w:val="20"/>
          <w:vertAlign w:val="baseline"/>
        </w:rPr>
        <w:t> </w:t>
      </w:r>
      <w:r>
        <w:rPr>
          <w:color w:val="231F20"/>
          <w:spacing w:val="-4"/>
          <w:sz w:val="20"/>
          <w:vertAlign w:val="baseline"/>
        </w:rPr>
        <w:t>en</w:t>
      </w:r>
      <w:r>
        <w:rPr>
          <w:color w:val="231F20"/>
          <w:spacing w:val="-5"/>
          <w:sz w:val="20"/>
          <w:vertAlign w:val="baseline"/>
        </w:rPr>
        <w:t> </w:t>
      </w:r>
      <w:r>
        <w:rPr>
          <w:color w:val="231F20"/>
          <w:spacing w:val="-4"/>
          <w:sz w:val="20"/>
          <w:vertAlign w:val="baseline"/>
        </w:rPr>
        <w:t>mars</w:t>
      </w:r>
      <w:r>
        <w:rPr>
          <w:color w:val="231F20"/>
          <w:spacing w:val="-9"/>
          <w:sz w:val="20"/>
          <w:vertAlign w:val="baseline"/>
        </w:rPr>
        <w:t> </w:t>
      </w:r>
      <w:r>
        <w:rPr>
          <w:color w:val="231F20"/>
          <w:spacing w:val="-4"/>
          <w:sz w:val="20"/>
          <w:vertAlign w:val="baseline"/>
        </w:rPr>
        <w:t>1980</w:t>
      </w:r>
      <w:r>
        <w:rPr>
          <w:color w:val="231F20"/>
          <w:spacing w:val="-8"/>
          <w:sz w:val="20"/>
          <w:vertAlign w:val="baseline"/>
        </w:rPr>
        <w:t> </w:t>
      </w:r>
      <w:r>
        <w:rPr>
          <w:color w:val="231F20"/>
          <w:spacing w:val="-4"/>
          <w:sz w:val="20"/>
          <w:vertAlign w:val="baseline"/>
        </w:rPr>
        <w:t>contre</w:t>
      </w:r>
      <w:r>
        <w:rPr>
          <w:color w:val="231F20"/>
          <w:spacing w:val="-5"/>
          <w:sz w:val="20"/>
          <w:vertAlign w:val="baseline"/>
        </w:rPr>
        <w:t> </w:t>
      </w:r>
      <w:r>
        <w:rPr>
          <w:color w:val="231F20"/>
          <w:spacing w:val="-4"/>
          <w:sz w:val="20"/>
          <w:vertAlign w:val="baseline"/>
        </w:rPr>
        <w:t>Goukouni</w:t>
      </w:r>
      <w:r>
        <w:rPr>
          <w:color w:val="231F20"/>
          <w:spacing w:val="-6"/>
          <w:sz w:val="20"/>
          <w:vertAlign w:val="baseline"/>
        </w:rPr>
        <w:t> </w:t>
      </w:r>
      <w:r>
        <w:rPr>
          <w:color w:val="231F20"/>
          <w:spacing w:val="-4"/>
          <w:sz w:val="20"/>
          <w:vertAlign w:val="baseline"/>
        </w:rPr>
        <w:t>Oueddei </w:t>
      </w:r>
      <w:r>
        <w:rPr>
          <w:color w:val="231F20"/>
          <w:sz w:val="20"/>
          <w:vertAlign w:val="baseline"/>
        </w:rPr>
        <w:t>après</w:t>
      </w:r>
      <w:r>
        <w:rPr>
          <w:color w:val="231F20"/>
          <w:spacing w:val="-9"/>
          <w:sz w:val="20"/>
          <w:vertAlign w:val="baseline"/>
        </w:rPr>
        <w:t> </w:t>
      </w:r>
      <w:r>
        <w:rPr>
          <w:color w:val="231F20"/>
          <w:sz w:val="20"/>
          <w:vertAlign w:val="baseline"/>
        </w:rPr>
        <w:t>l’éclatement</w:t>
      </w:r>
      <w:r>
        <w:rPr>
          <w:color w:val="231F20"/>
          <w:spacing w:val="-11"/>
          <w:sz w:val="20"/>
          <w:vertAlign w:val="baseline"/>
        </w:rPr>
        <w:t> </w:t>
      </w:r>
      <w:r>
        <w:rPr>
          <w:color w:val="231F20"/>
          <w:sz w:val="20"/>
          <w:vertAlign w:val="baseline"/>
        </w:rPr>
        <w:t>du</w:t>
      </w:r>
      <w:r>
        <w:rPr>
          <w:color w:val="231F20"/>
          <w:spacing w:val="-8"/>
          <w:sz w:val="20"/>
          <w:vertAlign w:val="baseline"/>
        </w:rPr>
        <w:t> </w:t>
      </w:r>
      <w:r>
        <w:rPr>
          <w:color w:val="231F20"/>
          <w:sz w:val="20"/>
          <w:vertAlign w:val="baseline"/>
        </w:rPr>
        <w:t>Gouvernement</w:t>
      </w:r>
      <w:r>
        <w:rPr>
          <w:color w:val="231F20"/>
          <w:spacing w:val="-11"/>
          <w:sz w:val="20"/>
          <w:vertAlign w:val="baseline"/>
        </w:rPr>
        <w:t> </w:t>
      </w:r>
      <w:r>
        <w:rPr>
          <w:color w:val="231F20"/>
          <w:sz w:val="20"/>
          <w:vertAlign w:val="baseline"/>
        </w:rPr>
        <w:t>national</w:t>
      </w:r>
      <w:r>
        <w:rPr>
          <w:color w:val="231F20"/>
          <w:spacing w:val="-11"/>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transition</w:t>
      </w:r>
      <w:r>
        <w:rPr>
          <w:color w:val="231F20"/>
          <w:spacing w:val="-10"/>
          <w:sz w:val="20"/>
          <w:vertAlign w:val="baseline"/>
        </w:rPr>
        <w:t> </w:t>
      </w:r>
      <w:r>
        <w:rPr>
          <w:color w:val="231F20"/>
          <w:sz w:val="20"/>
          <w:vertAlign w:val="baseline"/>
        </w:rPr>
        <w:t>(GUNT).</w:t>
      </w:r>
    </w:p>
    <w:p>
      <w:pPr>
        <w:spacing w:before="0"/>
        <w:ind w:left="111" w:right="109" w:firstLine="0"/>
        <w:jc w:val="both"/>
        <w:rPr>
          <w:sz w:val="20"/>
        </w:rPr>
      </w:pPr>
      <w:r>
        <w:rPr>
          <w:color w:val="231F20"/>
          <w:sz w:val="20"/>
        </w:rPr>
        <w:t>Accusé</w:t>
      </w:r>
      <w:r>
        <w:rPr>
          <w:color w:val="231F20"/>
          <w:spacing w:val="-6"/>
          <w:sz w:val="20"/>
        </w:rPr>
        <w:t> </w:t>
      </w:r>
      <w:r>
        <w:rPr>
          <w:color w:val="231F20"/>
          <w:sz w:val="20"/>
        </w:rPr>
        <w:t>de</w:t>
      </w:r>
      <w:r>
        <w:rPr>
          <w:color w:val="231F20"/>
          <w:spacing w:val="-4"/>
          <w:sz w:val="20"/>
        </w:rPr>
        <w:t> </w:t>
      </w:r>
      <w:r>
        <w:rPr>
          <w:color w:val="231F20"/>
          <w:sz w:val="20"/>
        </w:rPr>
        <w:t>complot</w:t>
      </w:r>
      <w:r>
        <w:rPr>
          <w:color w:val="231F20"/>
          <w:spacing w:val="-5"/>
          <w:sz w:val="20"/>
        </w:rPr>
        <w:t> </w:t>
      </w:r>
      <w:r>
        <w:rPr>
          <w:color w:val="231F20"/>
          <w:sz w:val="20"/>
        </w:rPr>
        <w:t>Idriss</w:t>
      </w:r>
      <w:r>
        <w:rPr>
          <w:color w:val="231F20"/>
          <w:spacing w:val="-6"/>
          <w:sz w:val="20"/>
        </w:rPr>
        <w:t> </w:t>
      </w:r>
      <w:r>
        <w:rPr>
          <w:color w:val="231F20"/>
          <w:sz w:val="20"/>
        </w:rPr>
        <w:t>Déby</w:t>
      </w:r>
      <w:r>
        <w:rPr>
          <w:color w:val="231F20"/>
          <w:spacing w:val="-5"/>
          <w:sz w:val="20"/>
        </w:rPr>
        <w:t> </w:t>
      </w:r>
      <w:r>
        <w:rPr>
          <w:color w:val="231F20"/>
          <w:sz w:val="20"/>
        </w:rPr>
        <w:t>réussit</w:t>
      </w:r>
      <w:r>
        <w:rPr>
          <w:color w:val="231F20"/>
          <w:spacing w:val="-2"/>
          <w:sz w:val="20"/>
        </w:rPr>
        <w:t> </w:t>
      </w:r>
      <w:r>
        <w:rPr>
          <w:color w:val="231F20"/>
          <w:sz w:val="20"/>
        </w:rPr>
        <w:t>à</w:t>
      </w:r>
      <w:r>
        <w:rPr>
          <w:color w:val="231F20"/>
          <w:spacing w:val="-5"/>
          <w:sz w:val="20"/>
        </w:rPr>
        <w:t> </w:t>
      </w:r>
      <w:r>
        <w:rPr>
          <w:color w:val="231F20"/>
          <w:sz w:val="20"/>
        </w:rPr>
        <w:t>gagner</w:t>
      </w:r>
      <w:r>
        <w:rPr>
          <w:color w:val="231F20"/>
          <w:spacing w:val="-5"/>
          <w:sz w:val="20"/>
        </w:rPr>
        <w:t> </w:t>
      </w:r>
      <w:r>
        <w:rPr>
          <w:color w:val="231F20"/>
          <w:sz w:val="20"/>
        </w:rPr>
        <w:t>la</w:t>
      </w:r>
      <w:r>
        <w:rPr>
          <w:color w:val="231F20"/>
          <w:spacing w:val="-5"/>
          <w:sz w:val="20"/>
        </w:rPr>
        <w:t> </w:t>
      </w:r>
      <w:r>
        <w:rPr>
          <w:color w:val="231F20"/>
          <w:sz w:val="20"/>
        </w:rPr>
        <w:t>Libye,</w:t>
      </w:r>
      <w:r>
        <w:rPr>
          <w:color w:val="231F20"/>
          <w:spacing w:val="-5"/>
          <w:sz w:val="20"/>
        </w:rPr>
        <w:t> </w:t>
      </w:r>
      <w:r>
        <w:rPr>
          <w:color w:val="231F20"/>
          <w:sz w:val="20"/>
        </w:rPr>
        <w:t>puis</w:t>
      </w:r>
      <w:r>
        <w:rPr>
          <w:color w:val="231F20"/>
          <w:spacing w:val="-4"/>
          <w:sz w:val="20"/>
        </w:rPr>
        <w:t> </w:t>
      </w:r>
      <w:r>
        <w:rPr>
          <w:color w:val="231F20"/>
          <w:sz w:val="20"/>
        </w:rPr>
        <w:t>le</w:t>
      </w:r>
      <w:r>
        <w:rPr>
          <w:color w:val="231F20"/>
          <w:spacing w:val="-5"/>
          <w:sz w:val="20"/>
        </w:rPr>
        <w:t> </w:t>
      </w:r>
      <w:r>
        <w:rPr>
          <w:color w:val="231F20"/>
          <w:sz w:val="20"/>
        </w:rPr>
        <w:t>Soudan</w:t>
      </w:r>
      <w:r>
        <w:rPr>
          <w:color w:val="231F20"/>
          <w:spacing w:val="-4"/>
          <w:sz w:val="20"/>
        </w:rPr>
        <w:t> </w:t>
      </w:r>
      <w:r>
        <w:rPr>
          <w:color w:val="231F20"/>
          <w:sz w:val="20"/>
        </w:rPr>
        <w:t>où</w:t>
      </w:r>
      <w:r>
        <w:rPr>
          <w:color w:val="231F20"/>
          <w:spacing w:val="-4"/>
          <w:sz w:val="20"/>
        </w:rPr>
        <w:t> </w:t>
      </w:r>
      <w:r>
        <w:rPr>
          <w:color w:val="231F20"/>
          <w:sz w:val="20"/>
        </w:rPr>
        <w:t>il</w:t>
      </w:r>
      <w:r>
        <w:rPr>
          <w:color w:val="231F20"/>
          <w:spacing w:val="-5"/>
          <w:sz w:val="20"/>
        </w:rPr>
        <w:t> </w:t>
      </w:r>
      <w:r>
        <w:rPr>
          <w:color w:val="231F20"/>
          <w:sz w:val="20"/>
        </w:rPr>
        <w:t>crée</w:t>
      </w:r>
      <w:r>
        <w:rPr>
          <w:color w:val="231F20"/>
          <w:spacing w:val="-5"/>
          <w:sz w:val="20"/>
        </w:rPr>
        <w:t> </w:t>
      </w:r>
      <w:r>
        <w:rPr>
          <w:color w:val="231F20"/>
          <w:sz w:val="20"/>
        </w:rPr>
        <w:t>en mars</w:t>
      </w:r>
      <w:r>
        <w:rPr>
          <w:color w:val="231F20"/>
          <w:spacing w:val="-10"/>
          <w:sz w:val="20"/>
        </w:rPr>
        <w:t> </w:t>
      </w:r>
      <w:r>
        <w:rPr>
          <w:color w:val="231F20"/>
          <w:sz w:val="20"/>
        </w:rPr>
        <w:t>1990</w:t>
      </w:r>
      <w:r>
        <w:rPr>
          <w:color w:val="231F20"/>
          <w:spacing w:val="-6"/>
          <w:sz w:val="20"/>
        </w:rPr>
        <w:t> </w:t>
      </w:r>
      <w:r>
        <w:rPr>
          <w:color w:val="231F20"/>
          <w:sz w:val="20"/>
        </w:rPr>
        <w:t>le</w:t>
      </w:r>
      <w:r>
        <w:rPr>
          <w:color w:val="231F20"/>
          <w:spacing w:val="-8"/>
          <w:sz w:val="20"/>
        </w:rPr>
        <w:t> </w:t>
      </w:r>
      <w:r>
        <w:rPr>
          <w:color w:val="231F20"/>
          <w:sz w:val="20"/>
        </w:rPr>
        <w:t>mouvement</w:t>
      </w:r>
      <w:r>
        <w:rPr>
          <w:color w:val="231F20"/>
          <w:spacing w:val="-9"/>
          <w:sz w:val="20"/>
        </w:rPr>
        <w:t> </w:t>
      </w:r>
      <w:r>
        <w:rPr>
          <w:color w:val="231F20"/>
          <w:sz w:val="20"/>
        </w:rPr>
        <w:t>rebelle</w:t>
      </w:r>
      <w:r>
        <w:rPr>
          <w:color w:val="231F20"/>
          <w:spacing w:val="-6"/>
          <w:sz w:val="20"/>
        </w:rPr>
        <w:t> </w:t>
      </w:r>
      <w:r>
        <w:rPr>
          <w:color w:val="231F20"/>
          <w:sz w:val="20"/>
        </w:rPr>
        <w:t>du</w:t>
      </w:r>
      <w:r>
        <w:rPr>
          <w:color w:val="231F20"/>
          <w:spacing w:val="-6"/>
          <w:sz w:val="20"/>
        </w:rPr>
        <w:t> </w:t>
      </w:r>
      <w:r>
        <w:rPr>
          <w:color w:val="231F20"/>
          <w:sz w:val="20"/>
        </w:rPr>
        <w:t>Mouvement</w:t>
      </w:r>
      <w:r>
        <w:rPr>
          <w:color w:val="231F20"/>
          <w:spacing w:val="-9"/>
          <w:sz w:val="20"/>
        </w:rPr>
        <w:t> </w:t>
      </w:r>
      <w:r>
        <w:rPr>
          <w:color w:val="231F20"/>
          <w:sz w:val="20"/>
        </w:rPr>
        <w:t>patriotique</w:t>
      </w:r>
      <w:r>
        <w:rPr>
          <w:color w:val="231F20"/>
          <w:spacing w:val="-8"/>
          <w:sz w:val="20"/>
        </w:rPr>
        <w:t> </w:t>
      </w:r>
      <w:r>
        <w:rPr>
          <w:color w:val="231F20"/>
          <w:sz w:val="20"/>
        </w:rPr>
        <w:t>du</w:t>
      </w:r>
      <w:r>
        <w:rPr>
          <w:color w:val="231F20"/>
          <w:spacing w:val="-8"/>
          <w:sz w:val="20"/>
        </w:rPr>
        <w:t> </w:t>
      </w:r>
      <w:r>
        <w:rPr>
          <w:color w:val="231F20"/>
          <w:sz w:val="20"/>
        </w:rPr>
        <w:t>Salut</w:t>
      </w:r>
      <w:r>
        <w:rPr>
          <w:color w:val="231F20"/>
          <w:spacing w:val="-9"/>
          <w:sz w:val="20"/>
        </w:rPr>
        <w:t> </w:t>
      </w:r>
      <w:r>
        <w:rPr>
          <w:color w:val="231F20"/>
          <w:sz w:val="20"/>
        </w:rPr>
        <w:t>(MPS).</w:t>
      </w:r>
    </w:p>
    <w:p>
      <w:pPr>
        <w:spacing w:before="1"/>
        <w:ind w:left="111" w:right="106" w:firstLine="0"/>
        <w:jc w:val="both"/>
        <w:rPr>
          <w:sz w:val="20"/>
        </w:rPr>
      </w:pPr>
      <w:r>
        <w:rPr>
          <w:color w:val="231F20"/>
          <w:sz w:val="20"/>
          <w:vertAlign w:val="superscript"/>
        </w:rPr>
        <w:t>80</w:t>
      </w:r>
      <w:r>
        <w:rPr>
          <w:color w:val="231F20"/>
          <w:sz w:val="20"/>
          <w:vertAlign w:val="baseline"/>
        </w:rPr>
        <w:t>Le siège principal de l'Organisation des producteurs africains se situe à</w:t>
      </w:r>
      <w:r>
        <w:rPr>
          <w:color w:val="231F20"/>
          <w:spacing w:val="-13"/>
          <w:sz w:val="20"/>
          <w:vertAlign w:val="baseline"/>
        </w:rPr>
        <w:t> </w:t>
      </w:r>
      <w:r>
        <w:rPr>
          <w:color w:val="231F20"/>
          <w:sz w:val="20"/>
          <w:vertAlign w:val="baseline"/>
        </w:rPr>
        <w:t>Brazzaville </w:t>
      </w:r>
      <w:r>
        <w:rPr>
          <w:color w:val="231F20"/>
          <w:spacing w:val="-2"/>
          <w:sz w:val="20"/>
          <w:vertAlign w:val="baseline"/>
        </w:rPr>
        <w:t>au</w:t>
      </w:r>
      <w:r>
        <w:rPr>
          <w:color w:val="231F20"/>
          <w:spacing w:val="-11"/>
          <w:sz w:val="20"/>
          <w:vertAlign w:val="baseline"/>
        </w:rPr>
        <w:t> </w:t>
      </w:r>
      <w:r>
        <w:rPr>
          <w:color w:val="231F20"/>
          <w:spacing w:val="-2"/>
          <w:sz w:val="20"/>
          <w:vertAlign w:val="baseline"/>
        </w:rPr>
        <w:t>Congo-Brazzaville.</w:t>
      </w:r>
      <w:r>
        <w:rPr>
          <w:color w:val="231F20"/>
          <w:spacing w:val="-10"/>
          <w:sz w:val="20"/>
          <w:vertAlign w:val="baseline"/>
        </w:rPr>
        <w:t> </w:t>
      </w:r>
      <w:r>
        <w:rPr>
          <w:color w:val="231F20"/>
          <w:spacing w:val="-2"/>
          <w:sz w:val="20"/>
          <w:vertAlign w:val="baseline"/>
        </w:rPr>
        <w:t>Le</w:t>
      </w:r>
      <w:r>
        <w:rPr>
          <w:color w:val="231F20"/>
          <w:spacing w:val="-11"/>
          <w:sz w:val="20"/>
          <w:vertAlign w:val="baseline"/>
        </w:rPr>
        <w:t> </w:t>
      </w:r>
      <w:r>
        <w:rPr>
          <w:color w:val="231F20"/>
          <w:spacing w:val="-2"/>
          <w:sz w:val="20"/>
          <w:vertAlign w:val="baseline"/>
        </w:rPr>
        <w:t>but</w:t>
      </w:r>
      <w:r>
        <w:rPr>
          <w:color w:val="231F20"/>
          <w:spacing w:val="-10"/>
          <w:sz w:val="20"/>
          <w:vertAlign w:val="baseline"/>
        </w:rPr>
        <w:t> </w:t>
      </w:r>
      <w:r>
        <w:rPr>
          <w:color w:val="231F20"/>
          <w:spacing w:val="-2"/>
          <w:sz w:val="20"/>
          <w:vertAlign w:val="baseline"/>
        </w:rPr>
        <w:t>de</w:t>
      </w:r>
      <w:r>
        <w:rPr>
          <w:color w:val="231F20"/>
          <w:spacing w:val="-9"/>
          <w:sz w:val="20"/>
          <w:vertAlign w:val="baseline"/>
        </w:rPr>
        <w:t> </w:t>
      </w:r>
      <w:r>
        <w:rPr>
          <w:color w:val="231F20"/>
          <w:spacing w:val="-2"/>
          <w:sz w:val="20"/>
          <w:vertAlign w:val="baseline"/>
        </w:rPr>
        <w:t>l'organisation</w:t>
      </w:r>
      <w:r>
        <w:rPr>
          <w:color w:val="231F20"/>
          <w:spacing w:val="-10"/>
          <w:sz w:val="20"/>
          <w:vertAlign w:val="baseline"/>
        </w:rPr>
        <w:t> </w:t>
      </w:r>
      <w:r>
        <w:rPr>
          <w:color w:val="231F20"/>
          <w:spacing w:val="-2"/>
          <w:sz w:val="20"/>
          <w:vertAlign w:val="baseline"/>
        </w:rPr>
        <w:t>est</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renforcer</w:t>
      </w:r>
      <w:r>
        <w:rPr>
          <w:color w:val="231F20"/>
          <w:spacing w:val="-10"/>
          <w:sz w:val="20"/>
          <w:vertAlign w:val="baseline"/>
        </w:rPr>
        <w:t> </w:t>
      </w:r>
      <w:r>
        <w:rPr>
          <w:color w:val="231F20"/>
          <w:spacing w:val="-2"/>
          <w:sz w:val="20"/>
          <w:vertAlign w:val="baseline"/>
        </w:rPr>
        <w:t>la</w:t>
      </w:r>
      <w:r>
        <w:rPr>
          <w:color w:val="231F20"/>
          <w:spacing w:val="-11"/>
          <w:sz w:val="20"/>
          <w:vertAlign w:val="baseline"/>
        </w:rPr>
        <w:t> </w:t>
      </w:r>
      <w:r>
        <w:rPr>
          <w:color w:val="231F20"/>
          <w:spacing w:val="-2"/>
          <w:sz w:val="20"/>
          <w:vertAlign w:val="baseline"/>
        </w:rPr>
        <w:t>collaboration</w:t>
      </w:r>
      <w:r>
        <w:rPr>
          <w:color w:val="231F20"/>
          <w:spacing w:val="-9"/>
          <w:sz w:val="20"/>
          <w:vertAlign w:val="baseline"/>
        </w:rPr>
        <w:t> </w:t>
      </w:r>
      <w:r>
        <w:rPr>
          <w:color w:val="231F20"/>
          <w:spacing w:val="-2"/>
          <w:sz w:val="20"/>
          <w:vertAlign w:val="baseline"/>
        </w:rPr>
        <w:t>entre</w:t>
      </w:r>
      <w:r>
        <w:rPr>
          <w:color w:val="231F20"/>
          <w:spacing w:val="-11"/>
          <w:sz w:val="20"/>
          <w:vertAlign w:val="baseline"/>
        </w:rPr>
        <w:t> </w:t>
      </w:r>
      <w:r>
        <w:rPr>
          <w:color w:val="231F20"/>
          <w:spacing w:val="-2"/>
          <w:sz w:val="20"/>
          <w:vertAlign w:val="baseline"/>
        </w:rPr>
        <w:t>les </w:t>
      </w:r>
      <w:r>
        <w:rPr>
          <w:color w:val="231F20"/>
          <w:sz w:val="20"/>
          <w:vertAlign w:val="baseline"/>
        </w:rPr>
        <w:t>différentes</w:t>
      </w:r>
      <w:r>
        <w:rPr>
          <w:color w:val="231F20"/>
          <w:spacing w:val="-8"/>
          <w:sz w:val="20"/>
          <w:vertAlign w:val="baseline"/>
        </w:rPr>
        <w:t> </w:t>
      </w:r>
      <w:r>
        <w:rPr>
          <w:color w:val="231F20"/>
          <w:sz w:val="20"/>
          <w:vertAlign w:val="baseline"/>
        </w:rPr>
        <w:t>compagnies</w:t>
      </w:r>
      <w:r>
        <w:rPr>
          <w:color w:val="231F20"/>
          <w:spacing w:val="-8"/>
          <w:sz w:val="20"/>
          <w:vertAlign w:val="baseline"/>
        </w:rPr>
        <w:t> </w:t>
      </w:r>
      <w:r>
        <w:rPr>
          <w:color w:val="231F20"/>
          <w:sz w:val="20"/>
          <w:vertAlign w:val="baseline"/>
        </w:rPr>
        <w:t>pétrolières</w:t>
      </w:r>
      <w:r>
        <w:rPr>
          <w:color w:val="231F20"/>
          <w:spacing w:val="-9"/>
          <w:sz w:val="20"/>
          <w:vertAlign w:val="baseline"/>
        </w:rPr>
        <w:t> </w:t>
      </w:r>
      <w:r>
        <w:rPr>
          <w:color w:val="231F20"/>
          <w:sz w:val="20"/>
          <w:vertAlign w:val="baseline"/>
        </w:rPr>
        <w:t>des</w:t>
      </w:r>
      <w:r>
        <w:rPr>
          <w:color w:val="231F20"/>
          <w:spacing w:val="-8"/>
          <w:sz w:val="20"/>
          <w:vertAlign w:val="baseline"/>
        </w:rPr>
        <w:t> </w:t>
      </w:r>
      <w:r>
        <w:rPr>
          <w:color w:val="231F20"/>
          <w:sz w:val="20"/>
          <w:vertAlign w:val="baseline"/>
        </w:rPr>
        <w:t>pays</w:t>
      </w:r>
      <w:r>
        <w:rPr>
          <w:color w:val="231F20"/>
          <w:spacing w:val="-8"/>
          <w:sz w:val="20"/>
          <w:vertAlign w:val="baseline"/>
        </w:rPr>
        <w:t> </w:t>
      </w:r>
      <w:r>
        <w:rPr>
          <w:color w:val="231F20"/>
          <w:sz w:val="20"/>
          <w:vertAlign w:val="baseline"/>
        </w:rPr>
        <w:t>membres</w:t>
      </w:r>
      <w:r>
        <w:rPr>
          <w:color w:val="231F20"/>
          <w:spacing w:val="-9"/>
          <w:sz w:val="20"/>
          <w:vertAlign w:val="baseline"/>
        </w:rPr>
        <w:t> </w:t>
      </w:r>
      <w:r>
        <w:rPr>
          <w:color w:val="231F20"/>
          <w:sz w:val="20"/>
          <w:vertAlign w:val="baseline"/>
        </w:rPr>
        <w:t>et</w:t>
      </w:r>
      <w:r>
        <w:rPr>
          <w:color w:val="231F20"/>
          <w:spacing w:val="-8"/>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maintenir</w:t>
      </w:r>
      <w:r>
        <w:rPr>
          <w:color w:val="231F20"/>
          <w:spacing w:val="-8"/>
          <w:sz w:val="20"/>
          <w:vertAlign w:val="baseline"/>
        </w:rPr>
        <w:t> </w:t>
      </w:r>
      <w:r>
        <w:rPr>
          <w:color w:val="231F20"/>
          <w:sz w:val="20"/>
          <w:vertAlign w:val="baseline"/>
        </w:rPr>
        <w:t>une</w:t>
      </w:r>
      <w:r>
        <w:rPr>
          <w:color w:val="231F20"/>
          <w:spacing w:val="-8"/>
          <w:sz w:val="20"/>
          <w:vertAlign w:val="baseline"/>
        </w:rPr>
        <w:t> </w:t>
      </w:r>
      <w:r>
        <w:rPr>
          <w:color w:val="231F20"/>
          <w:sz w:val="20"/>
          <w:vertAlign w:val="baseline"/>
        </w:rPr>
        <w:t>stabilité</w:t>
      </w:r>
      <w:r>
        <w:rPr>
          <w:color w:val="231F20"/>
          <w:spacing w:val="-8"/>
          <w:sz w:val="20"/>
          <w:vertAlign w:val="baseline"/>
        </w:rPr>
        <w:t> </w:t>
      </w:r>
      <w:r>
        <w:rPr>
          <w:color w:val="231F20"/>
          <w:sz w:val="20"/>
          <w:vertAlign w:val="baseline"/>
        </w:rPr>
        <w:t>des </w:t>
      </w:r>
      <w:r>
        <w:rPr>
          <w:color w:val="231F20"/>
          <w:spacing w:val="-2"/>
          <w:sz w:val="20"/>
          <w:vertAlign w:val="baseline"/>
        </w:rPr>
        <w:t>prix.</w:t>
      </w:r>
    </w:p>
    <w:p>
      <w:pPr>
        <w:spacing w:after="0"/>
        <w:jc w:val="both"/>
        <w:rPr>
          <w:sz w:val="20"/>
        </w:rPr>
        <w:sectPr>
          <w:pgSz w:w="8790" w:h="13610"/>
          <w:pgMar w:header="0" w:footer="802" w:top="1060" w:bottom="1000" w:left="880" w:right="880"/>
        </w:sectPr>
      </w:pPr>
    </w:p>
    <w:p>
      <w:pPr>
        <w:pStyle w:val="BodyText"/>
        <w:spacing w:before="66"/>
        <w:ind w:right="104" w:firstLine="283"/>
      </w:pPr>
      <w:r>
        <w:rPr>
          <w:color w:val="231F20"/>
          <w:spacing w:val="-2"/>
        </w:rPr>
        <w:t>En</w:t>
      </w:r>
      <w:r>
        <w:rPr>
          <w:color w:val="231F20"/>
          <w:spacing w:val="-13"/>
        </w:rPr>
        <w:t> </w:t>
      </w:r>
      <w:r>
        <w:rPr>
          <w:color w:val="231F20"/>
          <w:spacing w:val="-2"/>
        </w:rPr>
        <w:t>mai</w:t>
      </w:r>
      <w:r>
        <w:rPr>
          <w:color w:val="231F20"/>
          <w:spacing w:val="-13"/>
        </w:rPr>
        <w:t> </w:t>
      </w:r>
      <w:r>
        <w:rPr>
          <w:color w:val="231F20"/>
          <w:spacing w:val="-2"/>
        </w:rPr>
        <w:t>2005,</w:t>
      </w:r>
      <w:r>
        <w:rPr>
          <w:color w:val="231F20"/>
          <w:spacing w:val="-13"/>
        </w:rPr>
        <w:t> </w:t>
      </w:r>
      <w:r>
        <w:rPr>
          <w:color w:val="231F20"/>
          <w:spacing w:val="-2"/>
        </w:rPr>
        <w:t>les</w:t>
      </w:r>
      <w:r>
        <w:rPr>
          <w:color w:val="231F20"/>
          <w:spacing w:val="-13"/>
        </w:rPr>
        <w:t> </w:t>
      </w:r>
      <w:r>
        <w:rPr>
          <w:color w:val="231F20"/>
          <w:spacing w:val="-2"/>
        </w:rPr>
        <w:t>rebelles</w:t>
      </w:r>
      <w:r>
        <w:rPr>
          <w:color w:val="231F20"/>
          <w:spacing w:val="-13"/>
        </w:rPr>
        <w:t> </w:t>
      </w:r>
      <w:r>
        <w:rPr>
          <w:color w:val="231F20"/>
          <w:spacing w:val="-2"/>
        </w:rPr>
        <w:t>sont</w:t>
      </w:r>
      <w:r>
        <w:rPr>
          <w:color w:val="231F20"/>
          <w:spacing w:val="-13"/>
        </w:rPr>
        <w:t> </w:t>
      </w:r>
      <w:r>
        <w:rPr>
          <w:color w:val="231F20"/>
          <w:spacing w:val="-2"/>
        </w:rPr>
        <w:t>sur</w:t>
      </w:r>
      <w:r>
        <w:rPr>
          <w:color w:val="231F20"/>
          <w:spacing w:val="-13"/>
        </w:rPr>
        <w:t> </w:t>
      </w:r>
      <w:r>
        <w:rPr>
          <w:color w:val="231F20"/>
          <w:spacing w:val="-2"/>
        </w:rPr>
        <w:t>le</w:t>
      </w:r>
      <w:r>
        <w:rPr>
          <w:color w:val="231F20"/>
          <w:spacing w:val="-13"/>
        </w:rPr>
        <w:t> </w:t>
      </w:r>
      <w:r>
        <w:rPr>
          <w:color w:val="231F20"/>
          <w:spacing w:val="-2"/>
        </w:rPr>
        <w:t>point</w:t>
      </w:r>
      <w:r>
        <w:rPr>
          <w:color w:val="231F20"/>
          <w:spacing w:val="-13"/>
        </w:rPr>
        <w:t> </w:t>
      </w:r>
      <w:r>
        <w:rPr>
          <w:color w:val="231F20"/>
          <w:spacing w:val="-2"/>
        </w:rPr>
        <w:t>de</w:t>
      </w:r>
      <w:r>
        <w:rPr>
          <w:color w:val="231F20"/>
          <w:spacing w:val="-13"/>
        </w:rPr>
        <w:t> </w:t>
      </w:r>
      <w:r>
        <w:rPr>
          <w:color w:val="231F20"/>
          <w:spacing w:val="-2"/>
        </w:rPr>
        <w:t>le</w:t>
      </w:r>
      <w:r>
        <w:rPr>
          <w:color w:val="231F20"/>
          <w:spacing w:val="-13"/>
        </w:rPr>
        <w:t> </w:t>
      </w:r>
      <w:r>
        <w:rPr>
          <w:color w:val="231F20"/>
          <w:spacing w:val="-2"/>
        </w:rPr>
        <w:t>renverser</w:t>
      </w:r>
      <w:r>
        <w:rPr>
          <w:color w:val="231F20"/>
          <w:spacing w:val="-12"/>
        </w:rPr>
        <w:t> </w:t>
      </w:r>
      <w:r>
        <w:rPr>
          <w:color w:val="231F20"/>
          <w:spacing w:val="-2"/>
        </w:rPr>
        <w:t>alors</w:t>
      </w:r>
      <w:r>
        <w:rPr>
          <w:color w:val="231F20"/>
          <w:spacing w:val="-13"/>
        </w:rPr>
        <w:t> </w:t>
      </w:r>
      <w:r>
        <w:rPr>
          <w:color w:val="231F20"/>
          <w:spacing w:val="-2"/>
        </w:rPr>
        <w:t>qu’il</w:t>
      </w:r>
      <w:r>
        <w:rPr>
          <w:color w:val="231F20"/>
          <w:spacing w:val="-13"/>
        </w:rPr>
        <w:t> </w:t>
      </w:r>
      <w:r>
        <w:rPr>
          <w:color w:val="231F20"/>
          <w:spacing w:val="-2"/>
        </w:rPr>
        <w:t>se </w:t>
      </w:r>
      <w:r>
        <w:rPr>
          <w:color w:val="231F20"/>
          <w:spacing w:val="-4"/>
        </w:rPr>
        <w:t>trouve</w:t>
      </w:r>
      <w:r>
        <w:rPr>
          <w:color w:val="231F20"/>
          <w:spacing w:val="-11"/>
        </w:rPr>
        <w:t> </w:t>
      </w:r>
      <w:r>
        <w:rPr>
          <w:color w:val="231F20"/>
          <w:spacing w:val="-4"/>
        </w:rPr>
        <w:t>en</w:t>
      </w:r>
      <w:r>
        <w:rPr>
          <w:color w:val="231F20"/>
          <w:spacing w:val="-11"/>
        </w:rPr>
        <w:t> </w:t>
      </w:r>
      <w:r>
        <w:rPr>
          <w:color w:val="231F20"/>
          <w:spacing w:val="-4"/>
        </w:rPr>
        <w:t>Guinée</w:t>
      </w:r>
      <w:r>
        <w:rPr>
          <w:color w:val="231F20"/>
          <w:spacing w:val="-11"/>
        </w:rPr>
        <w:t> </w:t>
      </w:r>
      <w:r>
        <w:rPr>
          <w:color w:val="231F20"/>
          <w:spacing w:val="-4"/>
        </w:rPr>
        <w:t>Équatoriale</w:t>
      </w:r>
      <w:r>
        <w:rPr>
          <w:color w:val="231F20"/>
          <w:spacing w:val="-11"/>
        </w:rPr>
        <w:t> </w:t>
      </w:r>
      <w:r>
        <w:rPr>
          <w:color w:val="231F20"/>
          <w:spacing w:val="-4"/>
        </w:rPr>
        <w:t>pour</w:t>
      </w:r>
      <w:r>
        <w:rPr>
          <w:color w:val="231F20"/>
          <w:spacing w:val="-11"/>
        </w:rPr>
        <w:t> </w:t>
      </w:r>
      <w:r>
        <w:rPr>
          <w:color w:val="231F20"/>
          <w:spacing w:val="-4"/>
        </w:rPr>
        <w:t>un</w:t>
      </w:r>
      <w:r>
        <w:rPr>
          <w:color w:val="231F20"/>
          <w:spacing w:val="-11"/>
        </w:rPr>
        <w:t> </w:t>
      </w:r>
      <w:r>
        <w:rPr>
          <w:color w:val="231F20"/>
          <w:spacing w:val="-4"/>
        </w:rPr>
        <w:t>sommet</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CEMAC</w:t>
      </w:r>
      <w:r>
        <w:rPr>
          <w:color w:val="231F20"/>
          <w:spacing w:val="-4"/>
          <w:vertAlign w:val="superscript"/>
        </w:rPr>
        <w:t>81</w:t>
      </w:r>
      <w:r>
        <w:rPr>
          <w:color w:val="231F20"/>
          <w:spacing w:val="-4"/>
          <w:vertAlign w:val="baseline"/>
        </w:rPr>
        <w:t>.</w:t>
      </w:r>
      <w:r>
        <w:rPr>
          <w:color w:val="231F20"/>
          <w:spacing w:val="-11"/>
          <w:vertAlign w:val="baseline"/>
        </w:rPr>
        <w:t> </w:t>
      </w:r>
      <w:r>
        <w:rPr>
          <w:color w:val="231F20"/>
          <w:spacing w:val="-4"/>
          <w:vertAlign w:val="baseline"/>
        </w:rPr>
        <w:t>Les</w:t>
      </w:r>
      <w:r>
        <w:rPr>
          <w:color w:val="231F20"/>
          <w:spacing w:val="-11"/>
          <w:vertAlign w:val="baseline"/>
        </w:rPr>
        <w:t> </w:t>
      </w:r>
      <w:r>
        <w:rPr>
          <w:color w:val="231F20"/>
          <w:spacing w:val="-4"/>
          <w:vertAlign w:val="baseline"/>
        </w:rPr>
        <w:t>forces </w:t>
      </w:r>
      <w:r>
        <w:rPr>
          <w:color w:val="231F20"/>
          <w:vertAlign w:val="baseline"/>
        </w:rPr>
        <w:t>françaises</w:t>
      </w:r>
      <w:r>
        <w:rPr>
          <w:color w:val="231F20"/>
          <w:spacing w:val="-4"/>
          <w:vertAlign w:val="baseline"/>
        </w:rPr>
        <w:t> </w:t>
      </w:r>
      <w:r>
        <w:rPr>
          <w:color w:val="231F20"/>
          <w:vertAlign w:val="baseline"/>
        </w:rPr>
        <w:t>présentes</w:t>
      </w:r>
      <w:r>
        <w:rPr>
          <w:color w:val="231F20"/>
          <w:spacing w:val="-6"/>
          <w:vertAlign w:val="baseline"/>
        </w:rPr>
        <w:t> </w:t>
      </w:r>
      <w:r>
        <w:rPr>
          <w:color w:val="231F20"/>
          <w:vertAlign w:val="baseline"/>
        </w:rPr>
        <w:t>sur</w:t>
      </w:r>
      <w:r>
        <w:rPr>
          <w:color w:val="231F20"/>
          <w:spacing w:val="-4"/>
          <w:vertAlign w:val="baseline"/>
        </w:rPr>
        <w:t> </w:t>
      </w:r>
      <w:r>
        <w:rPr>
          <w:color w:val="231F20"/>
          <w:vertAlign w:val="baseline"/>
        </w:rPr>
        <w:t>place</w:t>
      </w:r>
      <w:r>
        <w:rPr>
          <w:color w:val="231F20"/>
          <w:spacing w:val="-3"/>
          <w:vertAlign w:val="baseline"/>
        </w:rPr>
        <w:t> </w:t>
      </w:r>
      <w:r>
        <w:rPr>
          <w:color w:val="231F20"/>
          <w:vertAlign w:val="baseline"/>
        </w:rPr>
        <w:t>repoussent</w:t>
      </w:r>
      <w:r>
        <w:rPr>
          <w:color w:val="231F20"/>
          <w:spacing w:val="-3"/>
          <w:vertAlign w:val="baseline"/>
        </w:rPr>
        <w:t> </w:t>
      </w:r>
      <w:r>
        <w:rPr>
          <w:color w:val="231F20"/>
          <w:vertAlign w:val="baseline"/>
        </w:rPr>
        <w:t>les</w:t>
      </w:r>
      <w:r>
        <w:rPr>
          <w:color w:val="231F20"/>
          <w:spacing w:val="-4"/>
          <w:vertAlign w:val="baseline"/>
        </w:rPr>
        <w:t> </w:t>
      </w:r>
      <w:r>
        <w:rPr>
          <w:color w:val="231F20"/>
          <w:vertAlign w:val="baseline"/>
        </w:rPr>
        <w:t>assaillants.</w:t>
      </w:r>
    </w:p>
    <w:p>
      <w:pPr>
        <w:pStyle w:val="BodyText"/>
        <w:spacing w:before="120"/>
        <w:ind w:right="107" w:firstLine="283"/>
      </w:pPr>
      <w:r>
        <w:rPr>
          <w:color w:val="231F20"/>
        </w:rPr>
        <w:t>Le 13 avril 2006, les rebelles du Front Uni pour le Changement (FUC)</w:t>
      </w:r>
      <w:r>
        <w:rPr>
          <w:color w:val="231F20"/>
          <w:spacing w:val="-15"/>
        </w:rPr>
        <w:t> </w:t>
      </w:r>
      <w:r>
        <w:rPr>
          <w:color w:val="231F20"/>
          <w:vertAlign w:val="superscript"/>
        </w:rPr>
        <w:t>82</w:t>
      </w:r>
      <w:r>
        <w:rPr>
          <w:color w:val="231F20"/>
          <w:spacing w:val="-15"/>
          <w:vertAlign w:val="baseline"/>
        </w:rPr>
        <w:t> </w:t>
      </w:r>
      <w:r>
        <w:rPr>
          <w:color w:val="231F20"/>
          <w:vertAlign w:val="baseline"/>
        </w:rPr>
        <w:t>entrent</w:t>
      </w:r>
      <w:r>
        <w:rPr>
          <w:color w:val="231F20"/>
          <w:spacing w:val="-15"/>
          <w:vertAlign w:val="baseline"/>
        </w:rPr>
        <w:t> </w:t>
      </w:r>
      <w:r>
        <w:rPr>
          <w:color w:val="231F20"/>
          <w:vertAlign w:val="baseline"/>
        </w:rPr>
        <w:t>dans N'Djaména et manquent de peu de renverser le régime sauvé une fois</w:t>
      </w:r>
      <w:r>
        <w:rPr>
          <w:color w:val="231F20"/>
          <w:spacing w:val="-1"/>
          <w:vertAlign w:val="baseline"/>
        </w:rPr>
        <w:t> </w:t>
      </w:r>
      <w:r>
        <w:rPr>
          <w:color w:val="231F20"/>
          <w:vertAlign w:val="baseline"/>
        </w:rPr>
        <w:t>encore par les</w:t>
      </w:r>
      <w:r>
        <w:rPr>
          <w:color w:val="231F20"/>
          <w:spacing w:val="-1"/>
          <w:vertAlign w:val="baseline"/>
        </w:rPr>
        <w:t> </w:t>
      </w:r>
      <w:r>
        <w:rPr>
          <w:color w:val="231F20"/>
          <w:vertAlign w:val="baseline"/>
        </w:rPr>
        <w:t>Français.</w:t>
      </w:r>
    </w:p>
    <w:p>
      <w:pPr>
        <w:pStyle w:val="BodyText"/>
        <w:spacing w:before="120"/>
        <w:ind w:right="106" w:firstLine="283"/>
      </w:pPr>
      <w:r>
        <w:rPr>
          <w:color w:val="231F20"/>
        </w:rPr>
        <w:t>En février 2008, les rebelles du Commandement militaire </w:t>
      </w:r>
      <w:r>
        <w:rPr>
          <w:color w:val="231F20"/>
          <w:spacing w:val="-2"/>
        </w:rPr>
        <w:t>unifié(CMU)</w:t>
      </w:r>
      <w:r>
        <w:rPr>
          <w:color w:val="231F20"/>
          <w:spacing w:val="-13"/>
        </w:rPr>
        <w:t> </w:t>
      </w:r>
      <w:r>
        <w:rPr>
          <w:color w:val="231F20"/>
          <w:spacing w:val="-2"/>
          <w:vertAlign w:val="superscript"/>
        </w:rPr>
        <w:t>83</w:t>
      </w:r>
      <w:r>
        <w:rPr>
          <w:color w:val="231F20"/>
          <w:spacing w:val="-9"/>
          <w:vertAlign w:val="baseline"/>
        </w:rPr>
        <w:t> </w:t>
      </w:r>
      <w:r>
        <w:rPr>
          <w:color w:val="231F20"/>
          <w:spacing w:val="-2"/>
          <w:vertAlign w:val="baseline"/>
        </w:rPr>
        <w:t>lancent</w:t>
      </w:r>
      <w:r>
        <w:rPr>
          <w:color w:val="231F20"/>
          <w:spacing w:val="-8"/>
          <w:vertAlign w:val="baseline"/>
        </w:rPr>
        <w:t> </w:t>
      </w:r>
      <w:r>
        <w:rPr>
          <w:color w:val="231F20"/>
          <w:spacing w:val="-2"/>
          <w:vertAlign w:val="baseline"/>
        </w:rPr>
        <w:t>une</w:t>
      </w:r>
      <w:r>
        <w:rPr>
          <w:color w:val="231F20"/>
          <w:spacing w:val="-11"/>
          <w:vertAlign w:val="baseline"/>
        </w:rPr>
        <w:t> </w:t>
      </w:r>
      <w:r>
        <w:rPr>
          <w:color w:val="231F20"/>
          <w:spacing w:val="-2"/>
          <w:vertAlign w:val="baseline"/>
        </w:rPr>
        <w:t>seconde</w:t>
      </w:r>
      <w:r>
        <w:rPr>
          <w:color w:val="231F20"/>
          <w:spacing w:val="-8"/>
          <w:vertAlign w:val="baseline"/>
        </w:rPr>
        <w:t> </w:t>
      </w:r>
      <w:r>
        <w:rPr>
          <w:color w:val="231F20"/>
          <w:spacing w:val="-2"/>
          <w:vertAlign w:val="baseline"/>
        </w:rPr>
        <w:t>offensive</w:t>
      </w:r>
      <w:r>
        <w:rPr>
          <w:color w:val="231F20"/>
          <w:spacing w:val="-8"/>
          <w:vertAlign w:val="baseline"/>
        </w:rPr>
        <w:t> </w:t>
      </w:r>
      <w:r>
        <w:rPr>
          <w:color w:val="231F20"/>
          <w:spacing w:val="-2"/>
          <w:vertAlign w:val="baseline"/>
        </w:rPr>
        <w:t>pour</w:t>
      </w:r>
      <w:r>
        <w:rPr>
          <w:color w:val="231F20"/>
          <w:spacing w:val="-8"/>
          <w:vertAlign w:val="baseline"/>
        </w:rPr>
        <w:t> </w:t>
      </w:r>
      <w:r>
        <w:rPr>
          <w:color w:val="231F20"/>
          <w:spacing w:val="-2"/>
          <w:vertAlign w:val="baseline"/>
        </w:rPr>
        <w:t>prendre</w:t>
      </w:r>
      <w:r>
        <w:rPr>
          <w:color w:val="231F20"/>
          <w:spacing w:val="-8"/>
          <w:vertAlign w:val="baseline"/>
        </w:rPr>
        <w:t> </w:t>
      </w:r>
      <w:r>
        <w:rPr>
          <w:color w:val="231F20"/>
          <w:spacing w:val="-2"/>
          <w:vertAlign w:val="baseline"/>
        </w:rPr>
        <w:t>N’Djaména. </w:t>
      </w:r>
      <w:r>
        <w:rPr>
          <w:color w:val="231F20"/>
          <w:vertAlign w:val="baseline"/>
        </w:rPr>
        <w:t>Les</w:t>
      </w:r>
      <w:r>
        <w:rPr>
          <w:color w:val="231F20"/>
          <w:spacing w:val="-6"/>
          <w:vertAlign w:val="baseline"/>
        </w:rPr>
        <w:t> </w:t>
      </w:r>
      <w:r>
        <w:rPr>
          <w:color w:val="231F20"/>
          <w:vertAlign w:val="baseline"/>
        </w:rPr>
        <w:t>expatriés</w:t>
      </w:r>
      <w:r>
        <w:rPr>
          <w:color w:val="231F20"/>
          <w:spacing w:val="-6"/>
          <w:vertAlign w:val="baseline"/>
        </w:rPr>
        <w:t> </w:t>
      </w:r>
      <w:r>
        <w:rPr>
          <w:color w:val="231F20"/>
          <w:vertAlign w:val="baseline"/>
        </w:rPr>
        <w:t>français</w:t>
      </w:r>
      <w:r>
        <w:rPr>
          <w:color w:val="231F20"/>
          <w:spacing w:val="-6"/>
          <w:vertAlign w:val="baseline"/>
        </w:rPr>
        <w:t> </w:t>
      </w:r>
      <w:r>
        <w:rPr>
          <w:color w:val="231F20"/>
          <w:vertAlign w:val="baseline"/>
        </w:rPr>
        <w:t>sont</w:t>
      </w:r>
      <w:r>
        <w:rPr>
          <w:color w:val="231F20"/>
          <w:spacing w:val="-5"/>
          <w:vertAlign w:val="baseline"/>
        </w:rPr>
        <w:t> </w:t>
      </w:r>
      <w:r>
        <w:rPr>
          <w:color w:val="231F20"/>
          <w:vertAlign w:val="baseline"/>
        </w:rPr>
        <w:t>rapatriés</w:t>
      </w:r>
      <w:r>
        <w:rPr>
          <w:color w:val="231F20"/>
          <w:spacing w:val="-5"/>
          <w:vertAlign w:val="baseline"/>
        </w:rPr>
        <w:t> </w:t>
      </w:r>
      <w:r>
        <w:rPr>
          <w:color w:val="231F20"/>
          <w:vertAlign w:val="baseline"/>
        </w:rPr>
        <w:t>vers</w:t>
      </w:r>
      <w:r>
        <w:rPr>
          <w:color w:val="231F20"/>
          <w:spacing w:val="-8"/>
          <w:vertAlign w:val="baseline"/>
        </w:rPr>
        <w:t> </w:t>
      </w:r>
      <w:r>
        <w:rPr>
          <w:color w:val="231F20"/>
          <w:vertAlign w:val="baseline"/>
        </w:rPr>
        <w:t>le</w:t>
      </w:r>
      <w:r>
        <w:rPr>
          <w:color w:val="231F20"/>
          <w:spacing w:val="-6"/>
          <w:vertAlign w:val="baseline"/>
        </w:rPr>
        <w:t> </w:t>
      </w:r>
      <w:r>
        <w:rPr>
          <w:color w:val="231F20"/>
          <w:vertAlign w:val="baseline"/>
        </w:rPr>
        <w:t>Gabon</w:t>
      </w:r>
      <w:r>
        <w:rPr>
          <w:color w:val="231F20"/>
          <w:spacing w:val="-6"/>
          <w:vertAlign w:val="baseline"/>
        </w:rPr>
        <w:t> </w:t>
      </w:r>
      <w:r>
        <w:rPr>
          <w:color w:val="231F20"/>
          <w:vertAlign w:val="baseline"/>
        </w:rPr>
        <w:t>et</w:t>
      </w:r>
      <w:r>
        <w:rPr>
          <w:color w:val="231F20"/>
          <w:spacing w:val="-6"/>
          <w:vertAlign w:val="baseline"/>
        </w:rPr>
        <w:t> </w:t>
      </w:r>
      <w:r>
        <w:rPr>
          <w:color w:val="231F20"/>
          <w:vertAlign w:val="baseline"/>
        </w:rPr>
        <w:t>la</w:t>
      </w:r>
      <w:r>
        <w:rPr>
          <w:color w:val="231F20"/>
          <w:spacing w:val="-6"/>
          <w:vertAlign w:val="baseline"/>
        </w:rPr>
        <w:t> </w:t>
      </w:r>
      <w:r>
        <w:rPr>
          <w:color w:val="231F20"/>
          <w:vertAlign w:val="baseline"/>
        </w:rPr>
        <w:t>France.</w:t>
      </w:r>
    </w:p>
    <w:p>
      <w:pPr>
        <w:pStyle w:val="BodyText"/>
        <w:spacing w:before="121"/>
        <w:ind w:right="105" w:firstLine="283"/>
      </w:pPr>
      <w:r>
        <w:rPr>
          <w:color w:val="231F20"/>
          <w:spacing w:val="-4"/>
        </w:rPr>
        <w:t>Encerclé</w:t>
      </w:r>
      <w:r>
        <w:rPr>
          <w:color w:val="231F20"/>
          <w:spacing w:val="-11"/>
        </w:rPr>
        <w:t> </w:t>
      </w:r>
      <w:r>
        <w:rPr>
          <w:color w:val="231F20"/>
          <w:spacing w:val="-4"/>
        </w:rPr>
        <w:t>dans</w:t>
      </w:r>
      <w:r>
        <w:rPr>
          <w:color w:val="231F20"/>
          <w:spacing w:val="-11"/>
        </w:rPr>
        <w:t> </w:t>
      </w:r>
      <w:r>
        <w:rPr>
          <w:color w:val="231F20"/>
          <w:spacing w:val="-4"/>
        </w:rPr>
        <w:t>son</w:t>
      </w:r>
      <w:r>
        <w:rPr>
          <w:color w:val="231F20"/>
          <w:spacing w:val="-11"/>
        </w:rPr>
        <w:t> </w:t>
      </w:r>
      <w:r>
        <w:rPr>
          <w:color w:val="231F20"/>
          <w:spacing w:val="-4"/>
        </w:rPr>
        <w:t>palais,</w:t>
      </w:r>
      <w:r>
        <w:rPr>
          <w:color w:val="231F20"/>
          <w:spacing w:val="-11"/>
        </w:rPr>
        <w:t> </w:t>
      </w:r>
      <w:r>
        <w:rPr>
          <w:color w:val="231F20"/>
          <w:spacing w:val="-4"/>
        </w:rPr>
        <w:t>le</w:t>
      </w:r>
      <w:r>
        <w:rPr>
          <w:color w:val="231F20"/>
          <w:spacing w:val="-11"/>
        </w:rPr>
        <w:t> </w:t>
      </w:r>
      <w:r>
        <w:rPr>
          <w:color w:val="231F20"/>
          <w:spacing w:val="-4"/>
        </w:rPr>
        <w:t>président</w:t>
      </w:r>
      <w:r>
        <w:rPr>
          <w:color w:val="231F20"/>
          <w:spacing w:val="-11"/>
        </w:rPr>
        <w:t> </w:t>
      </w:r>
      <w:r>
        <w:rPr>
          <w:color w:val="231F20"/>
          <w:spacing w:val="-4"/>
        </w:rPr>
        <w:t>tchadien</w:t>
      </w:r>
      <w:r>
        <w:rPr>
          <w:color w:val="231F20"/>
          <w:spacing w:val="-11"/>
        </w:rPr>
        <w:t> </w:t>
      </w:r>
      <w:r>
        <w:rPr>
          <w:color w:val="231F20"/>
          <w:spacing w:val="-4"/>
        </w:rPr>
        <w:t>appelle</w:t>
      </w:r>
      <w:r>
        <w:rPr>
          <w:color w:val="231F20"/>
          <w:spacing w:val="-11"/>
        </w:rPr>
        <w:t> </w:t>
      </w:r>
      <w:r>
        <w:rPr>
          <w:color w:val="231F20"/>
          <w:spacing w:val="-4"/>
        </w:rPr>
        <w:t>Paris</w:t>
      </w:r>
      <w:r>
        <w:rPr>
          <w:color w:val="231F20"/>
          <w:spacing w:val="-11"/>
        </w:rPr>
        <w:t> </w:t>
      </w:r>
      <w:r>
        <w:rPr>
          <w:color w:val="231F20"/>
          <w:spacing w:val="-4"/>
        </w:rPr>
        <w:t>au</w:t>
      </w:r>
      <w:r>
        <w:rPr>
          <w:color w:val="231F20"/>
          <w:spacing w:val="-11"/>
        </w:rPr>
        <w:t> </w:t>
      </w:r>
      <w:r>
        <w:rPr>
          <w:color w:val="231F20"/>
          <w:spacing w:val="-4"/>
        </w:rPr>
        <w:t>secours. </w:t>
      </w:r>
      <w:r>
        <w:rPr>
          <w:color w:val="231F20"/>
        </w:rPr>
        <w:t>Grâce</w:t>
      </w:r>
      <w:r>
        <w:rPr>
          <w:color w:val="231F20"/>
          <w:spacing w:val="-14"/>
        </w:rPr>
        <w:t> </w:t>
      </w:r>
      <w:r>
        <w:rPr>
          <w:color w:val="231F20"/>
        </w:rPr>
        <w:t>au</w:t>
      </w:r>
      <w:r>
        <w:rPr>
          <w:color w:val="231F20"/>
          <w:spacing w:val="-14"/>
        </w:rPr>
        <w:t> </w:t>
      </w:r>
      <w:r>
        <w:rPr>
          <w:color w:val="231F20"/>
        </w:rPr>
        <w:t>soutien</w:t>
      </w:r>
      <w:r>
        <w:rPr>
          <w:color w:val="231F20"/>
          <w:spacing w:val="-15"/>
        </w:rPr>
        <w:t> </w:t>
      </w:r>
      <w:r>
        <w:rPr>
          <w:color w:val="231F20"/>
        </w:rPr>
        <w:t>militaire</w:t>
      </w:r>
      <w:r>
        <w:rPr>
          <w:color w:val="231F20"/>
          <w:spacing w:val="-15"/>
        </w:rPr>
        <w:t> </w:t>
      </w:r>
      <w:r>
        <w:rPr>
          <w:color w:val="231F20"/>
        </w:rPr>
        <w:t>de</w:t>
      </w:r>
      <w:r>
        <w:rPr>
          <w:color w:val="231F20"/>
          <w:spacing w:val="-15"/>
        </w:rPr>
        <w:t> </w:t>
      </w:r>
      <w:r>
        <w:rPr>
          <w:color w:val="231F20"/>
        </w:rPr>
        <w:t>la</w:t>
      </w:r>
      <w:r>
        <w:rPr>
          <w:color w:val="231F20"/>
          <w:spacing w:val="-12"/>
        </w:rPr>
        <w:t> </w:t>
      </w:r>
      <w:r>
        <w:rPr>
          <w:color w:val="231F20"/>
        </w:rPr>
        <w:t>France</w:t>
      </w:r>
      <w:r>
        <w:rPr>
          <w:color w:val="231F20"/>
          <w:spacing w:val="-14"/>
        </w:rPr>
        <w:t> </w:t>
      </w:r>
      <w:r>
        <w:rPr>
          <w:color w:val="231F20"/>
        </w:rPr>
        <w:t>(livraison</w:t>
      </w:r>
      <w:r>
        <w:rPr>
          <w:color w:val="231F20"/>
          <w:spacing w:val="-15"/>
        </w:rPr>
        <w:t> </w:t>
      </w:r>
      <w:r>
        <w:rPr>
          <w:color w:val="231F20"/>
        </w:rPr>
        <w:t>de</w:t>
      </w:r>
      <w:r>
        <w:rPr>
          <w:color w:val="231F20"/>
          <w:spacing w:val="-14"/>
        </w:rPr>
        <w:t> </w:t>
      </w:r>
      <w:r>
        <w:rPr>
          <w:color w:val="231F20"/>
        </w:rPr>
        <w:t>munitions</w:t>
      </w:r>
      <w:r>
        <w:rPr>
          <w:color w:val="231F20"/>
          <w:spacing w:val="-12"/>
        </w:rPr>
        <w:t> </w:t>
      </w:r>
      <w:r>
        <w:rPr>
          <w:color w:val="231F20"/>
        </w:rPr>
        <w:t>depuis</w:t>
      </w:r>
      <w:r>
        <w:rPr>
          <w:color w:val="231F20"/>
          <w:spacing w:val="-15"/>
        </w:rPr>
        <w:t> </w:t>
      </w:r>
      <w:r>
        <w:rPr>
          <w:color w:val="231F20"/>
        </w:rPr>
        <w:t>la </w:t>
      </w:r>
      <w:r>
        <w:rPr>
          <w:color w:val="231F20"/>
          <w:spacing w:val="-2"/>
        </w:rPr>
        <w:t>Libye,</w:t>
      </w:r>
      <w:r>
        <w:rPr>
          <w:color w:val="231F20"/>
          <w:spacing w:val="-13"/>
        </w:rPr>
        <w:t> </w:t>
      </w:r>
      <w:r>
        <w:rPr>
          <w:color w:val="231F20"/>
          <w:spacing w:val="-2"/>
        </w:rPr>
        <w:t>renseignement</w:t>
      </w:r>
      <w:r>
        <w:rPr>
          <w:color w:val="231F20"/>
          <w:spacing w:val="-11"/>
        </w:rPr>
        <w:t> </w:t>
      </w:r>
      <w:r>
        <w:rPr>
          <w:color w:val="231F20"/>
          <w:spacing w:val="-2"/>
        </w:rPr>
        <w:t>militaire</w:t>
      </w:r>
      <w:r>
        <w:rPr>
          <w:color w:val="231F20"/>
          <w:spacing w:val="-12"/>
        </w:rPr>
        <w:t> </w:t>
      </w:r>
      <w:r>
        <w:rPr>
          <w:color w:val="231F20"/>
          <w:spacing w:val="-2"/>
        </w:rPr>
        <w:t>et</w:t>
      </w:r>
      <w:r>
        <w:rPr>
          <w:color w:val="231F20"/>
          <w:spacing w:val="-13"/>
        </w:rPr>
        <w:t> </w:t>
      </w:r>
      <w:r>
        <w:rPr>
          <w:color w:val="231F20"/>
          <w:spacing w:val="-2"/>
        </w:rPr>
        <w:t>combat</w:t>
      </w:r>
      <w:r>
        <w:rPr>
          <w:color w:val="231F20"/>
          <w:spacing w:val="-12"/>
        </w:rPr>
        <w:t> </w:t>
      </w:r>
      <w:r>
        <w:rPr>
          <w:color w:val="231F20"/>
          <w:spacing w:val="-2"/>
        </w:rPr>
        <w:t>de</w:t>
      </w:r>
      <w:r>
        <w:rPr>
          <w:color w:val="231F20"/>
          <w:spacing w:val="-13"/>
        </w:rPr>
        <w:t> </w:t>
      </w:r>
      <w:r>
        <w:rPr>
          <w:color w:val="231F20"/>
          <w:spacing w:val="-2"/>
        </w:rPr>
        <w:t>troupes</w:t>
      </w:r>
      <w:r>
        <w:rPr>
          <w:color w:val="231F20"/>
          <w:spacing w:val="-13"/>
        </w:rPr>
        <w:t> </w:t>
      </w:r>
      <w:r>
        <w:rPr>
          <w:color w:val="231F20"/>
          <w:spacing w:val="-2"/>
        </w:rPr>
        <w:t>françaises</w:t>
      </w:r>
      <w:r>
        <w:rPr>
          <w:color w:val="231F20"/>
          <w:spacing w:val="-13"/>
        </w:rPr>
        <w:t> </w:t>
      </w:r>
      <w:r>
        <w:rPr>
          <w:color w:val="231F20"/>
          <w:spacing w:val="-2"/>
        </w:rPr>
        <w:t>contre</w:t>
      </w:r>
      <w:r>
        <w:rPr>
          <w:color w:val="231F20"/>
          <w:spacing w:val="-13"/>
        </w:rPr>
        <w:t> </w:t>
      </w:r>
      <w:r>
        <w:rPr>
          <w:color w:val="231F20"/>
          <w:spacing w:val="-2"/>
        </w:rPr>
        <w:t>les </w:t>
      </w:r>
      <w:r>
        <w:rPr>
          <w:color w:val="231F20"/>
        </w:rPr>
        <w:t>rebelles) Idriss Déby parvient à renverser la situation et sauver son </w:t>
      </w:r>
      <w:r>
        <w:rPr>
          <w:color w:val="231F20"/>
          <w:spacing w:val="-2"/>
        </w:rPr>
        <w:t>fauteuil.</w:t>
      </w:r>
    </w:p>
    <w:p>
      <w:pPr>
        <w:spacing w:before="120"/>
        <w:ind w:left="111" w:right="106" w:firstLine="283"/>
        <w:jc w:val="both"/>
        <w:rPr>
          <w:sz w:val="24"/>
        </w:rPr>
      </w:pPr>
      <w:r>
        <w:rPr>
          <w:color w:val="231F20"/>
          <w:sz w:val="24"/>
        </w:rPr>
        <w:t>En 2001, 2006, 2011 et 2016, sans discontinuer, le Président Déby remporte</w:t>
      </w:r>
      <w:r>
        <w:rPr>
          <w:color w:val="231F20"/>
          <w:spacing w:val="-12"/>
          <w:sz w:val="24"/>
        </w:rPr>
        <w:t> </w:t>
      </w:r>
      <w:r>
        <w:rPr>
          <w:color w:val="231F20"/>
          <w:sz w:val="24"/>
        </w:rPr>
        <w:t>les</w:t>
      </w:r>
      <w:r>
        <w:rPr>
          <w:color w:val="231F20"/>
          <w:spacing w:val="-6"/>
          <w:sz w:val="24"/>
        </w:rPr>
        <w:t> </w:t>
      </w:r>
      <w:r>
        <w:rPr>
          <w:color w:val="231F20"/>
          <w:sz w:val="24"/>
        </w:rPr>
        <w:t>élections</w:t>
      </w:r>
      <w:r>
        <w:rPr>
          <w:color w:val="231F20"/>
          <w:spacing w:val="-4"/>
          <w:sz w:val="24"/>
        </w:rPr>
        <w:t> </w:t>
      </w:r>
      <w:r>
        <w:rPr>
          <w:color w:val="231F20"/>
          <w:sz w:val="24"/>
        </w:rPr>
        <w:t>présidentielles</w:t>
      </w:r>
      <w:r>
        <w:rPr>
          <w:color w:val="231F20"/>
          <w:spacing w:val="-6"/>
          <w:sz w:val="24"/>
        </w:rPr>
        <w:t> </w:t>
      </w:r>
      <w:r>
        <w:rPr>
          <w:color w:val="231F20"/>
          <w:sz w:val="24"/>
        </w:rPr>
        <w:t>:</w:t>
      </w:r>
      <w:r>
        <w:rPr>
          <w:color w:val="231F20"/>
          <w:spacing w:val="-15"/>
          <w:sz w:val="24"/>
        </w:rPr>
        <w:t> </w:t>
      </w:r>
      <w:r>
        <w:rPr>
          <w:color w:val="231F20"/>
          <w:sz w:val="24"/>
        </w:rPr>
        <w:t>«</w:t>
      </w:r>
      <w:r>
        <w:rPr>
          <w:color w:val="231F20"/>
          <w:spacing w:val="-6"/>
          <w:sz w:val="24"/>
        </w:rPr>
        <w:t> </w:t>
      </w:r>
      <w:r>
        <w:rPr>
          <w:i/>
          <w:color w:val="231F20"/>
          <w:sz w:val="24"/>
        </w:rPr>
        <w:t>J’avais</w:t>
      </w:r>
      <w:r>
        <w:rPr>
          <w:i/>
          <w:color w:val="231F20"/>
          <w:spacing w:val="-6"/>
          <w:sz w:val="24"/>
        </w:rPr>
        <w:t> </w:t>
      </w:r>
      <w:r>
        <w:rPr>
          <w:i/>
          <w:color w:val="231F20"/>
          <w:sz w:val="24"/>
        </w:rPr>
        <w:t>promis,</w:t>
      </w:r>
      <w:r>
        <w:rPr>
          <w:i/>
          <w:color w:val="231F20"/>
          <w:spacing w:val="-6"/>
          <w:sz w:val="24"/>
        </w:rPr>
        <w:t> </w:t>
      </w:r>
      <w:r>
        <w:rPr>
          <w:i/>
          <w:color w:val="231F20"/>
          <w:sz w:val="24"/>
        </w:rPr>
        <w:t>lorsque</w:t>
      </w:r>
      <w:r>
        <w:rPr>
          <w:i/>
          <w:color w:val="231F20"/>
          <w:spacing w:val="-7"/>
          <w:sz w:val="24"/>
        </w:rPr>
        <w:t> </w:t>
      </w:r>
      <w:r>
        <w:rPr>
          <w:i/>
          <w:color w:val="231F20"/>
          <w:sz w:val="24"/>
        </w:rPr>
        <w:t>j’étais</w:t>
      </w:r>
      <w:r>
        <w:rPr>
          <w:i/>
          <w:color w:val="231F20"/>
          <w:sz w:val="24"/>
        </w:rPr>
        <w:t> encore</w:t>
      </w:r>
      <w:r>
        <w:rPr>
          <w:i/>
          <w:color w:val="231F20"/>
          <w:spacing w:val="-9"/>
          <w:sz w:val="24"/>
        </w:rPr>
        <w:t> </w:t>
      </w:r>
      <w:r>
        <w:rPr>
          <w:i/>
          <w:color w:val="231F20"/>
          <w:sz w:val="24"/>
        </w:rPr>
        <w:t>soldat,</w:t>
      </w:r>
      <w:r>
        <w:rPr>
          <w:i/>
          <w:color w:val="231F20"/>
          <w:spacing w:val="-11"/>
          <w:sz w:val="24"/>
        </w:rPr>
        <w:t> </w:t>
      </w:r>
      <w:r>
        <w:rPr>
          <w:i/>
          <w:color w:val="231F20"/>
          <w:sz w:val="24"/>
        </w:rPr>
        <w:t>de</w:t>
      </w:r>
      <w:r>
        <w:rPr>
          <w:i/>
          <w:color w:val="231F20"/>
          <w:spacing w:val="-9"/>
          <w:sz w:val="24"/>
        </w:rPr>
        <w:t> </w:t>
      </w:r>
      <w:r>
        <w:rPr>
          <w:i/>
          <w:color w:val="231F20"/>
          <w:sz w:val="24"/>
        </w:rPr>
        <w:t>ne</w:t>
      </w:r>
      <w:r>
        <w:rPr>
          <w:i/>
          <w:color w:val="231F20"/>
          <w:spacing w:val="-9"/>
          <w:sz w:val="24"/>
        </w:rPr>
        <w:t> </w:t>
      </w:r>
      <w:r>
        <w:rPr>
          <w:i/>
          <w:color w:val="231F20"/>
          <w:sz w:val="24"/>
        </w:rPr>
        <w:t>faire</w:t>
      </w:r>
      <w:r>
        <w:rPr>
          <w:i/>
          <w:color w:val="231F20"/>
          <w:spacing w:val="-9"/>
          <w:sz w:val="24"/>
        </w:rPr>
        <w:t> </w:t>
      </w:r>
      <w:r>
        <w:rPr>
          <w:i/>
          <w:color w:val="231F20"/>
          <w:sz w:val="24"/>
        </w:rPr>
        <w:t>que</w:t>
      </w:r>
      <w:r>
        <w:rPr>
          <w:i/>
          <w:color w:val="231F20"/>
          <w:spacing w:val="-9"/>
          <w:sz w:val="24"/>
        </w:rPr>
        <w:t> </w:t>
      </w:r>
      <w:r>
        <w:rPr>
          <w:i/>
          <w:color w:val="231F20"/>
          <w:sz w:val="24"/>
        </w:rPr>
        <w:t>deux</w:t>
      </w:r>
      <w:r>
        <w:rPr>
          <w:i/>
          <w:color w:val="231F20"/>
          <w:spacing w:val="-11"/>
          <w:sz w:val="24"/>
        </w:rPr>
        <w:t> </w:t>
      </w:r>
      <w:r>
        <w:rPr>
          <w:i/>
          <w:color w:val="231F20"/>
          <w:sz w:val="24"/>
        </w:rPr>
        <w:t>mandats.</w:t>
      </w:r>
      <w:r>
        <w:rPr>
          <w:i/>
          <w:color w:val="231F20"/>
          <w:spacing w:val="-8"/>
          <w:sz w:val="24"/>
        </w:rPr>
        <w:t> </w:t>
      </w:r>
      <w:r>
        <w:rPr>
          <w:i/>
          <w:color w:val="231F20"/>
          <w:sz w:val="24"/>
        </w:rPr>
        <w:t>En</w:t>
      </w:r>
      <w:r>
        <w:rPr>
          <w:i/>
          <w:color w:val="231F20"/>
          <w:spacing w:val="-11"/>
          <w:sz w:val="24"/>
        </w:rPr>
        <w:t> </w:t>
      </w:r>
      <w:r>
        <w:rPr>
          <w:i/>
          <w:color w:val="231F20"/>
          <w:sz w:val="24"/>
        </w:rPr>
        <w:t>2006,</w:t>
      </w:r>
      <w:r>
        <w:rPr>
          <w:i/>
          <w:color w:val="231F20"/>
          <w:spacing w:val="-11"/>
          <w:sz w:val="24"/>
        </w:rPr>
        <w:t> </w:t>
      </w:r>
      <w:r>
        <w:rPr>
          <w:i/>
          <w:color w:val="231F20"/>
          <w:sz w:val="24"/>
        </w:rPr>
        <w:t>je</w:t>
      </w:r>
      <w:r>
        <w:rPr>
          <w:i/>
          <w:color w:val="231F20"/>
          <w:spacing w:val="-9"/>
          <w:sz w:val="24"/>
        </w:rPr>
        <w:t> </w:t>
      </w:r>
      <w:r>
        <w:rPr>
          <w:i/>
          <w:color w:val="231F20"/>
          <w:sz w:val="24"/>
        </w:rPr>
        <w:t>ne</w:t>
      </w:r>
      <w:r>
        <w:rPr>
          <w:i/>
          <w:color w:val="231F20"/>
          <w:spacing w:val="-9"/>
          <w:sz w:val="24"/>
        </w:rPr>
        <w:t> </w:t>
      </w:r>
      <w:r>
        <w:rPr>
          <w:i/>
          <w:color w:val="231F20"/>
          <w:sz w:val="24"/>
        </w:rPr>
        <w:t>voulais</w:t>
      </w:r>
      <w:r>
        <w:rPr>
          <w:i/>
          <w:color w:val="231F20"/>
          <w:spacing w:val="-11"/>
          <w:sz w:val="24"/>
        </w:rPr>
        <w:t> </w:t>
      </w:r>
      <w:r>
        <w:rPr>
          <w:i/>
          <w:color w:val="231F20"/>
          <w:sz w:val="24"/>
        </w:rPr>
        <w:t>pas me</w:t>
      </w:r>
      <w:r>
        <w:rPr>
          <w:i/>
          <w:color w:val="231F20"/>
          <w:spacing w:val="-9"/>
          <w:sz w:val="24"/>
        </w:rPr>
        <w:t> </w:t>
      </w:r>
      <w:r>
        <w:rPr>
          <w:i/>
          <w:color w:val="231F20"/>
          <w:sz w:val="24"/>
        </w:rPr>
        <w:t>représenter.</w:t>
      </w:r>
      <w:r>
        <w:rPr>
          <w:i/>
          <w:color w:val="231F20"/>
          <w:spacing w:val="-12"/>
          <w:sz w:val="24"/>
        </w:rPr>
        <w:t> </w:t>
      </w:r>
      <w:r>
        <w:rPr>
          <w:i/>
          <w:color w:val="231F20"/>
          <w:sz w:val="24"/>
        </w:rPr>
        <w:t>Mais</w:t>
      </w:r>
      <w:r>
        <w:rPr>
          <w:i/>
          <w:color w:val="231F20"/>
          <w:spacing w:val="-12"/>
          <w:sz w:val="24"/>
        </w:rPr>
        <w:t> </w:t>
      </w:r>
      <w:r>
        <w:rPr>
          <w:i/>
          <w:color w:val="231F20"/>
          <w:sz w:val="24"/>
        </w:rPr>
        <w:t>il</w:t>
      </w:r>
      <w:r>
        <w:rPr>
          <w:i/>
          <w:color w:val="231F20"/>
          <w:spacing w:val="-9"/>
          <w:sz w:val="24"/>
        </w:rPr>
        <w:t> </w:t>
      </w:r>
      <w:r>
        <w:rPr>
          <w:i/>
          <w:color w:val="231F20"/>
          <w:sz w:val="24"/>
        </w:rPr>
        <w:t>y</w:t>
      </w:r>
      <w:r>
        <w:rPr>
          <w:i/>
          <w:color w:val="231F20"/>
          <w:spacing w:val="-14"/>
          <w:sz w:val="24"/>
        </w:rPr>
        <w:t> </w:t>
      </w:r>
      <w:r>
        <w:rPr>
          <w:i/>
          <w:color w:val="231F20"/>
          <w:sz w:val="24"/>
        </w:rPr>
        <w:t>a</w:t>
      </w:r>
      <w:r>
        <w:rPr>
          <w:i/>
          <w:color w:val="231F20"/>
          <w:spacing w:val="-9"/>
          <w:sz w:val="24"/>
        </w:rPr>
        <w:t> </w:t>
      </w:r>
      <w:r>
        <w:rPr>
          <w:i/>
          <w:color w:val="231F20"/>
          <w:sz w:val="24"/>
        </w:rPr>
        <w:t>eu</w:t>
      </w:r>
      <w:r>
        <w:rPr>
          <w:i/>
          <w:color w:val="231F20"/>
          <w:spacing w:val="-12"/>
          <w:sz w:val="24"/>
        </w:rPr>
        <w:t> </w:t>
      </w:r>
      <w:r>
        <w:rPr>
          <w:i/>
          <w:color w:val="231F20"/>
          <w:sz w:val="24"/>
        </w:rPr>
        <w:t>la</w:t>
      </w:r>
      <w:r>
        <w:rPr>
          <w:i/>
          <w:color w:val="231F20"/>
          <w:spacing w:val="-12"/>
          <w:sz w:val="24"/>
        </w:rPr>
        <w:t> </w:t>
      </w:r>
      <w:r>
        <w:rPr>
          <w:i/>
          <w:color w:val="231F20"/>
          <w:sz w:val="24"/>
        </w:rPr>
        <w:t>rébellion</w:t>
      </w:r>
      <w:r>
        <w:rPr>
          <w:i/>
          <w:color w:val="231F20"/>
          <w:spacing w:val="-12"/>
          <w:sz w:val="24"/>
        </w:rPr>
        <w:t> </w:t>
      </w:r>
      <w:r>
        <w:rPr>
          <w:i/>
          <w:color w:val="231F20"/>
          <w:sz w:val="24"/>
        </w:rPr>
        <w:t>et</w:t>
      </w:r>
      <w:r>
        <w:rPr>
          <w:i/>
          <w:color w:val="231F20"/>
          <w:spacing w:val="-11"/>
          <w:sz w:val="24"/>
        </w:rPr>
        <w:t> </w:t>
      </w:r>
      <w:r>
        <w:rPr>
          <w:i/>
          <w:color w:val="231F20"/>
          <w:sz w:val="24"/>
        </w:rPr>
        <w:t>je</w:t>
      </w:r>
      <w:r>
        <w:rPr>
          <w:i/>
          <w:color w:val="231F20"/>
          <w:spacing w:val="-12"/>
          <w:sz w:val="24"/>
        </w:rPr>
        <w:t> </w:t>
      </w:r>
      <w:r>
        <w:rPr>
          <w:i/>
          <w:color w:val="231F20"/>
          <w:sz w:val="24"/>
        </w:rPr>
        <w:t>ne</w:t>
      </w:r>
      <w:r>
        <w:rPr>
          <w:i/>
          <w:color w:val="231F20"/>
          <w:spacing w:val="-12"/>
          <w:sz w:val="24"/>
        </w:rPr>
        <w:t> </w:t>
      </w:r>
      <w:r>
        <w:rPr>
          <w:i/>
          <w:color w:val="231F20"/>
          <w:sz w:val="24"/>
        </w:rPr>
        <w:t>pouvais</w:t>
      </w:r>
      <w:r>
        <w:rPr>
          <w:i/>
          <w:color w:val="231F20"/>
          <w:spacing w:val="-9"/>
          <w:sz w:val="24"/>
        </w:rPr>
        <w:t> </w:t>
      </w:r>
      <w:r>
        <w:rPr>
          <w:i/>
          <w:color w:val="231F20"/>
          <w:sz w:val="24"/>
        </w:rPr>
        <w:t>pas</w:t>
      </w:r>
      <w:r>
        <w:rPr>
          <w:i/>
          <w:color w:val="231F20"/>
          <w:spacing w:val="-12"/>
          <w:sz w:val="24"/>
        </w:rPr>
        <w:t> </w:t>
      </w:r>
      <w:r>
        <w:rPr>
          <w:i/>
          <w:color w:val="231F20"/>
          <w:sz w:val="24"/>
        </w:rPr>
        <w:t>laisser</w:t>
      </w:r>
      <w:r>
        <w:rPr>
          <w:i/>
          <w:color w:val="231F20"/>
          <w:spacing w:val="-12"/>
          <w:sz w:val="24"/>
        </w:rPr>
        <w:t> </w:t>
      </w:r>
      <w:r>
        <w:rPr>
          <w:i/>
          <w:color w:val="231F20"/>
          <w:sz w:val="24"/>
        </w:rPr>
        <w:t>le pays</w:t>
      </w:r>
      <w:r>
        <w:rPr>
          <w:i/>
          <w:color w:val="231F20"/>
          <w:spacing w:val="-11"/>
          <w:sz w:val="24"/>
        </w:rPr>
        <w:t> </w:t>
      </w:r>
      <w:r>
        <w:rPr>
          <w:i/>
          <w:color w:val="231F20"/>
          <w:sz w:val="24"/>
        </w:rPr>
        <w:t>dans</w:t>
      </w:r>
      <w:r>
        <w:rPr>
          <w:i/>
          <w:color w:val="231F20"/>
          <w:spacing w:val="-11"/>
          <w:sz w:val="24"/>
        </w:rPr>
        <w:t> </w:t>
      </w:r>
      <w:r>
        <w:rPr>
          <w:i/>
          <w:color w:val="231F20"/>
          <w:sz w:val="24"/>
        </w:rPr>
        <w:t>le</w:t>
      </w:r>
      <w:r>
        <w:rPr>
          <w:i/>
          <w:color w:val="231F20"/>
          <w:spacing w:val="-11"/>
          <w:sz w:val="24"/>
        </w:rPr>
        <w:t> </w:t>
      </w:r>
      <w:r>
        <w:rPr>
          <w:i/>
          <w:color w:val="231F20"/>
          <w:sz w:val="24"/>
        </w:rPr>
        <w:t>désordre</w:t>
      </w:r>
      <w:r>
        <w:rPr>
          <w:i/>
          <w:color w:val="231F20"/>
          <w:spacing w:val="-11"/>
          <w:sz w:val="24"/>
        </w:rPr>
        <w:t> </w:t>
      </w:r>
      <w:r>
        <w:rPr>
          <w:i/>
          <w:color w:val="231F20"/>
          <w:sz w:val="24"/>
        </w:rPr>
        <w:t>et</w:t>
      </w:r>
      <w:r>
        <w:rPr>
          <w:i/>
          <w:color w:val="231F20"/>
          <w:spacing w:val="-11"/>
          <w:sz w:val="24"/>
        </w:rPr>
        <w:t> </w:t>
      </w:r>
      <w:r>
        <w:rPr>
          <w:i/>
          <w:color w:val="231F20"/>
          <w:sz w:val="24"/>
        </w:rPr>
        <w:t>le</w:t>
      </w:r>
      <w:r>
        <w:rPr>
          <w:i/>
          <w:color w:val="231F20"/>
          <w:spacing w:val="-12"/>
          <w:sz w:val="24"/>
        </w:rPr>
        <w:t> </w:t>
      </w:r>
      <w:r>
        <w:rPr>
          <w:i/>
          <w:color w:val="231F20"/>
          <w:sz w:val="24"/>
        </w:rPr>
        <w:t>chaos.</w:t>
      </w:r>
      <w:r>
        <w:rPr>
          <w:i/>
          <w:color w:val="231F20"/>
          <w:spacing w:val="-11"/>
          <w:sz w:val="24"/>
        </w:rPr>
        <w:t> </w:t>
      </w:r>
      <w:r>
        <w:rPr>
          <w:i/>
          <w:color w:val="231F20"/>
          <w:sz w:val="24"/>
        </w:rPr>
        <w:t>Il</w:t>
      </w:r>
      <w:r>
        <w:rPr>
          <w:i/>
          <w:color w:val="231F20"/>
          <w:spacing w:val="-12"/>
          <w:sz w:val="24"/>
        </w:rPr>
        <w:t> </w:t>
      </w:r>
      <w:r>
        <w:rPr>
          <w:i/>
          <w:color w:val="231F20"/>
          <w:sz w:val="24"/>
        </w:rPr>
        <w:t>fallait</w:t>
      </w:r>
      <w:r>
        <w:rPr>
          <w:i/>
          <w:color w:val="231F20"/>
          <w:spacing w:val="-11"/>
          <w:sz w:val="24"/>
        </w:rPr>
        <w:t> </w:t>
      </w:r>
      <w:r>
        <w:rPr>
          <w:i/>
          <w:color w:val="231F20"/>
          <w:sz w:val="24"/>
        </w:rPr>
        <w:t>gérer</w:t>
      </w:r>
      <w:r>
        <w:rPr>
          <w:i/>
          <w:color w:val="231F20"/>
          <w:spacing w:val="-11"/>
          <w:sz w:val="24"/>
        </w:rPr>
        <w:t> </w:t>
      </w:r>
      <w:r>
        <w:rPr>
          <w:i/>
          <w:color w:val="231F20"/>
          <w:sz w:val="24"/>
        </w:rPr>
        <w:t>cette</w:t>
      </w:r>
      <w:r>
        <w:rPr>
          <w:i/>
          <w:color w:val="231F20"/>
          <w:spacing w:val="-11"/>
          <w:sz w:val="24"/>
        </w:rPr>
        <w:t> </w:t>
      </w:r>
      <w:r>
        <w:rPr>
          <w:i/>
          <w:color w:val="231F20"/>
          <w:sz w:val="24"/>
        </w:rPr>
        <w:t>guerre</w:t>
      </w:r>
      <w:r>
        <w:rPr>
          <w:i/>
          <w:color w:val="231F20"/>
          <w:spacing w:val="-11"/>
          <w:sz w:val="24"/>
        </w:rPr>
        <w:t> </w:t>
      </w:r>
      <w:r>
        <w:rPr>
          <w:i/>
          <w:color w:val="231F20"/>
          <w:sz w:val="24"/>
        </w:rPr>
        <w:t>construite depuis le Soudan par Omar el-Béchir. Ensuite, en 2011, il y a eu la menace venue de Libye et, en 2016, la Centrafrique, Boko Haram et, </w:t>
      </w:r>
      <w:r>
        <w:rPr>
          <w:i/>
          <w:color w:val="231F20"/>
          <w:spacing w:val="-2"/>
          <w:sz w:val="24"/>
        </w:rPr>
        <w:t>toujours,</w:t>
      </w:r>
      <w:r>
        <w:rPr>
          <w:i/>
          <w:color w:val="231F20"/>
          <w:spacing w:val="-9"/>
          <w:sz w:val="24"/>
        </w:rPr>
        <w:t> </w:t>
      </w:r>
      <w:r>
        <w:rPr>
          <w:i/>
          <w:color w:val="231F20"/>
          <w:spacing w:val="-2"/>
          <w:sz w:val="24"/>
        </w:rPr>
        <w:t>la</w:t>
      </w:r>
      <w:r>
        <w:rPr>
          <w:i/>
          <w:color w:val="231F20"/>
          <w:spacing w:val="-10"/>
          <w:sz w:val="24"/>
        </w:rPr>
        <w:t> </w:t>
      </w:r>
      <w:r>
        <w:rPr>
          <w:i/>
          <w:color w:val="231F20"/>
          <w:spacing w:val="-2"/>
          <w:sz w:val="24"/>
        </w:rPr>
        <w:t>Libye.</w:t>
      </w:r>
      <w:r>
        <w:rPr>
          <w:i/>
          <w:color w:val="231F20"/>
          <w:spacing w:val="-10"/>
          <w:sz w:val="24"/>
        </w:rPr>
        <w:t> </w:t>
      </w:r>
      <w:r>
        <w:rPr>
          <w:i/>
          <w:color w:val="231F20"/>
          <w:spacing w:val="-2"/>
          <w:sz w:val="24"/>
        </w:rPr>
        <w:t>Chaque</w:t>
      </w:r>
      <w:r>
        <w:rPr>
          <w:i/>
          <w:color w:val="231F20"/>
          <w:spacing w:val="-9"/>
          <w:sz w:val="24"/>
        </w:rPr>
        <w:t> </w:t>
      </w:r>
      <w:r>
        <w:rPr>
          <w:i/>
          <w:color w:val="231F20"/>
          <w:spacing w:val="-2"/>
          <w:sz w:val="24"/>
        </w:rPr>
        <w:t>fois,</w:t>
      </w:r>
      <w:r>
        <w:rPr>
          <w:i/>
          <w:color w:val="231F20"/>
          <w:spacing w:val="-9"/>
          <w:sz w:val="24"/>
        </w:rPr>
        <w:t> </w:t>
      </w:r>
      <w:r>
        <w:rPr>
          <w:i/>
          <w:color w:val="231F20"/>
          <w:spacing w:val="-2"/>
          <w:sz w:val="24"/>
        </w:rPr>
        <w:t>cela</w:t>
      </w:r>
      <w:r>
        <w:rPr>
          <w:i/>
          <w:color w:val="231F20"/>
          <w:spacing w:val="-10"/>
          <w:sz w:val="24"/>
        </w:rPr>
        <w:t> </w:t>
      </w:r>
      <w:r>
        <w:rPr>
          <w:i/>
          <w:color w:val="231F20"/>
          <w:spacing w:val="-2"/>
          <w:sz w:val="24"/>
        </w:rPr>
        <w:t>aurait</w:t>
      </w:r>
      <w:r>
        <w:rPr>
          <w:i/>
          <w:color w:val="231F20"/>
          <w:spacing w:val="-9"/>
          <w:sz w:val="24"/>
        </w:rPr>
        <w:t> </w:t>
      </w:r>
      <w:r>
        <w:rPr>
          <w:i/>
          <w:color w:val="231F20"/>
          <w:spacing w:val="-2"/>
          <w:sz w:val="24"/>
        </w:rPr>
        <w:t>été</w:t>
      </w:r>
      <w:r>
        <w:rPr>
          <w:i/>
          <w:color w:val="231F20"/>
          <w:spacing w:val="-10"/>
          <w:sz w:val="24"/>
        </w:rPr>
        <w:t> </w:t>
      </w:r>
      <w:r>
        <w:rPr>
          <w:i/>
          <w:color w:val="231F20"/>
          <w:spacing w:val="-2"/>
          <w:sz w:val="24"/>
        </w:rPr>
        <w:t>irresponsable</w:t>
      </w:r>
      <w:r>
        <w:rPr>
          <w:i/>
          <w:color w:val="231F20"/>
          <w:spacing w:val="-10"/>
          <w:sz w:val="24"/>
        </w:rPr>
        <w:t> </w:t>
      </w:r>
      <w:r>
        <w:rPr>
          <w:i/>
          <w:color w:val="231F20"/>
          <w:spacing w:val="-2"/>
          <w:sz w:val="24"/>
        </w:rPr>
        <w:t>de</w:t>
      </w:r>
      <w:r>
        <w:rPr>
          <w:i/>
          <w:color w:val="231F20"/>
          <w:spacing w:val="-9"/>
          <w:sz w:val="24"/>
        </w:rPr>
        <w:t> </w:t>
      </w:r>
      <w:r>
        <w:rPr>
          <w:i/>
          <w:color w:val="231F20"/>
          <w:spacing w:val="-2"/>
          <w:sz w:val="24"/>
        </w:rPr>
        <w:t>partir</w:t>
      </w:r>
      <w:r>
        <w:rPr>
          <w:i/>
          <w:color w:val="231F20"/>
          <w:spacing w:val="-9"/>
          <w:sz w:val="24"/>
        </w:rPr>
        <w:t> </w:t>
      </w:r>
      <w:r>
        <w:rPr>
          <w:i/>
          <w:color w:val="231F20"/>
          <w:spacing w:val="-2"/>
          <w:sz w:val="24"/>
        </w:rPr>
        <w:t>et d’ouvrir</w:t>
      </w:r>
      <w:r>
        <w:rPr>
          <w:i/>
          <w:color w:val="231F20"/>
          <w:spacing w:val="-13"/>
          <w:sz w:val="24"/>
        </w:rPr>
        <w:t> </w:t>
      </w:r>
      <w:r>
        <w:rPr>
          <w:i/>
          <w:color w:val="231F20"/>
          <w:spacing w:val="-2"/>
          <w:sz w:val="24"/>
        </w:rPr>
        <w:t>la</w:t>
      </w:r>
      <w:r>
        <w:rPr>
          <w:i/>
          <w:color w:val="231F20"/>
          <w:spacing w:val="-13"/>
          <w:sz w:val="24"/>
        </w:rPr>
        <w:t> </w:t>
      </w:r>
      <w:r>
        <w:rPr>
          <w:i/>
          <w:color w:val="231F20"/>
          <w:spacing w:val="-2"/>
          <w:sz w:val="24"/>
        </w:rPr>
        <w:t>porte</w:t>
      </w:r>
      <w:r>
        <w:rPr>
          <w:i/>
          <w:color w:val="231F20"/>
          <w:spacing w:val="-11"/>
          <w:sz w:val="24"/>
        </w:rPr>
        <w:t> </w:t>
      </w:r>
      <w:r>
        <w:rPr>
          <w:i/>
          <w:color w:val="231F20"/>
          <w:spacing w:val="-2"/>
          <w:sz w:val="24"/>
        </w:rPr>
        <w:t>à</w:t>
      </w:r>
      <w:r>
        <w:rPr>
          <w:i/>
          <w:color w:val="231F20"/>
          <w:spacing w:val="-12"/>
          <w:sz w:val="24"/>
        </w:rPr>
        <w:t> </w:t>
      </w:r>
      <w:r>
        <w:rPr>
          <w:i/>
          <w:color w:val="231F20"/>
          <w:spacing w:val="-2"/>
          <w:sz w:val="24"/>
        </w:rPr>
        <w:t>une</w:t>
      </w:r>
      <w:r>
        <w:rPr>
          <w:i/>
          <w:color w:val="231F20"/>
          <w:spacing w:val="-12"/>
          <w:sz w:val="24"/>
        </w:rPr>
        <w:t> </w:t>
      </w:r>
      <w:r>
        <w:rPr>
          <w:i/>
          <w:color w:val="231F20"/>
          <w:spacing w:val="-2"/>
          <w:sz w:val="24"/>
        </w:rPr>
        <w:t>guerre</w:t>
      </w:r>
      <w:r>
        <w:rPr>
          <w:i/>
          <w:color w:val="231F20"/>
          <w:spacing w:val="-12"/>
          <w:sz w:val="24"/>
        </w:rPr>
        <w:t> </w:t>
      </w:r>
      <w:r>
        <w:rPr>
          <w:i/>
          <w:color w:val="231F20"/>
          <w:spacing w:val="-2"/>
          <w:sz w:val="24"/>
        </w:rPr>
        <w:t>civile.</w:t>
      </w:r>
      <w:r>
        <w:rPr>
          <w:i/>
          <w:color w:val="231F20"/>
          <w:spacing w:val="-12"/>
          <w:sz w:val="24"/>
        </w:rPr>
        <w:t> </w:t>
      </w:r>
      <w:r>
        <w:rPr>
          <w:i/>
          <w:color w:val="231F20"/>
          <w:spacing w:val="-2"/>
          <w:sz w:val="24"/>
        </w:rPr>
        <w:t>Trente</w:t>
      </w:r>
      <w:r>
        <w:rPr>
          <w:i/>
          <w:color w:val="231F20"/>
          <w:spacing w:val="-12"/>
          <w:sz w:val="24"/>
        </w:rPr>
        <w:t> </w:t>
      </w:r>
      <w:r>
        <w:rPr>
          <w:i/>
          <w:color w:val="231F20"/>
          <w:spacing w:val="-2"/>
          <w:sz w:val="24"/>
        </w:rPr>
        <w:t>ans,</w:t>
      </w:r>
      <w:r>
        <w:rPr>
          <w:i/>
          <w:color w:val="231F20"/>
          <w:spacing w:val="-12"/>
          <w:sz w:val="24"/>
        </w:rPr>
        <w:t> </w:t>
      </w:r>
      <w:r>
        <w:rPr>
          <w:i/>
          <w:color w:val="231F20"/>
          <w:spacing w:val="-2"/>
          <w:sz w:val="24"/>
        </w:rPr>
        <w:t>c’est</w:t>
      </w:r>
      <w:r>
        <w:rPr>
          <w:i/>
          <w:color w:val="231F20"/>
          <w:spacing w:val="-12"/>
          <w:sz w:val="24"/>
        </w:rPr>
        <w:t> </w:t>
      </w:r>
      <w:r>
        <w:rPr>
          <w:i/>
          <w:color w:val="231F20"/>
          <w:spacing w:val="-2"/>
          <w:sz w:val="24"/>
        </w:rPr>
        <w:t>long,</w:t>
      </w:r>
      <w:r>
        <w:rPr>
          <w:i/>
          <w:color w:val="231F20"/>
          <w:spacing w:val="-12"/>
          <w:sz w:val="24"/>
        </w:rPr>
        <w:t> </w:t>
      </w:r>
      <w:r>
        <w:rPr>
          <w:i/>
          <w:color w:val="231F20"/>
          <w:spacing w:val="-2"/>
          <w:sz w:val="24"/>
        </w:rPr>
        <w:t>mais</w:t>
      </w:r>
      <w:r>
        <w:rPr>
          <w:i/>
          <w:color w:val="231F20"/>
          <w:spacing w:val="-13"/>
          <w:sz w:val="24"/>
        </w:rPr>
        <w:t> </w:t>
      </w:r>
      <w:r>
        <w:rPr>
          <w:i/>
          <w:color w:val="231F20"/>
          <w:spacing w:val="-2"/>
          <w:sz w:val="24"/>
        </w:rPr>
        <w:t>j’ai</w:t>
      </w:r>
      <w:r>
        <w:rPr>
          <w:i/>
          <w:color w:val="231F20"/>
          <w:spacing w:val="-13"/>
          <w:sz w:val="24"/>
        </w:rPr>
        <w:t> </w:t>
      </w:r>
      <w:r>
        <w:rPr>
          <w:i/>
          <w:color w:val="231F20"/>
          <w:spacing w:val="-2"/>
          <w:sz w:val="24"/>
        </w:rPr>
        <w:t>une </w:t>
      </w:r>
      <w:r>
        <w:rPr>
          <w:i/>
          <w:color w:val="231F20"/>
          <w:sz w:val="24"/>
        </w:rPr>
        <w:t>responsabilité face à l’Histoire(...)</w:t>
      </w:r>
      <w:r>
        <w:rPr>
          <w:color w:val="231F20"/>
          <w:sz w:val="24"/>
          <w:vertAlign w:val="superscript"/>
        </w:rPr>
        <w:t>84</w:t>
      </w:r>
    </w:p>
    <w:p>
      <w:pPr>
        <w:pStyle w:val="BodyText"/>
        <w:spacing w:before="120"/>
        <w:ind w:right="104" w:firstLine="283"/>
      </w:pPr>
      <w:r>
        <w:rPr>
          <w:color w:val="231F20"/>
          <w:spacing w:val="-2"/>
        </w:rPr>
        <w:t>Au</w:t>
      </w:r>
      <w:r>
        <w:rPr>
          <w:color w:val="231F20"/>
          <w:spacing w:val="-13"/>
        </w:rPr>
        <w:t> </w:t>
      </w:r>
      <w:r>
        <w:rPr>
          <w:color w:val="231F20"/>
          <w:spacing w:val="-2"/>
        </w:rPr>
        <w:t>nom</w:t>
      </w:r>
      <w:r>
        <w:rPr>
          <w:color w:val="231F20"/>
          <w:spacing w:val="-13"/>
        </w:rPr>
        <w:t> </w:t>
      </w:r>
      <w:r>
        <w:rPr>
          <w:color w:val="231F20"/>
          <w:spacing w:val="-2"/>
        </w:rPr>
        <w:t>de</w:t>
      </w:r>
      <w:r>
        <w:rPr>
          <w:color w:val="231F20"/>
          <w:spacing w:val="-13"/>
        </w:rPr>
        <w:t> </w:t>
      </w:r>
      <w:r>
        <w:rPr>
          <w:color w:val="231F20"/>
          <w:spacing w:val="-2"/>
        </w:rPr>
        <w:t>cette</w:t>
      </w:r>
      <w:r>
        <w:rPr>
          <w:color w:val="231F20"/>
          <w:spacing w:val="-13"/>
        </w:rPr>
        <w:t> </w:t>
      </w:r>
      <w:r>
        <w:rPr>
          <w:color w:val="231F20"/>
          <w:spacing w:val="-2"/>
        </w:rPr>
        <w:t>«</w:t>
      </w:r>
      <w:r>
        <w:rPr>
          <w:color w:val="231F20"/>
          <w:spacing w:val="-13"/>
        </w:rPr>
        <w:t> </w:t>
      </w:r>
      <w:r>
        <w:rPr>
          <w:color w:val="231F20"/>
          <w:spacing w:val="-2"/>
        </w:rPr>
        <w:t>responsabilité</w:t>
      </w:r>
      <w:r>
        <w:rPr>
          <w:color w:val="231F20"/>
          <w:spacing w:val="-13"/>
        </w:rPr>
        <w:t> </w:t>
      </w:r>
      <w:r>
        <w:rPr>
          <w:color w:val="231F20"/>
          <w:spacing w:val="-2"/>
        </w:rPr>
        <w:t>»</w:t>
      </w:r>
      <w:r>
        <w:rPr>
          <w:color w:val="231F20"/>
          <w:spacing w:val="-13"/>
        </w:rPr>
        <w:t> </w:t>
      </w:r>
      <w:r>
        <w:rPr>
          <w:color w:val="231F20"/>
          <w:spacing w:val="-2"/>
        </w:rPr>
        <w:t>le</w:t>
      </w:r>
      <w:r>
        <w:rPr>
          <w:color w:val="231F20"/>
          <w:spacing w:val="-13"/>
        </w:rPr>
        <w:t> </w:t>
      </w:r>
      <w:r>
        <w:rPr>
          <w:color w:val="231F20"/>
          <w:spacing w:val="-2"/>
        </w:rPr>
        <w:t>maréchal</w:t>
      </w:r>
      <w:r>
        <w:rPr>
          <w:color w:val="231F20"/>
          <w:spacing w:val="-11"/>
        </w:rPr>
        <w:t> </w:t>
      </w:r>
      <w:r>
        <w:rPr>
          <w:color w:val="231F20"/>
          <w:spacing w:val="-2"/>
        </w:rPr>
        <w:t>Idriss</w:t>
      </w:r>
      <w:r>
        <w:rPr>
          <w:color w:val="231F20"/>
          <w:spacing w:val="-12"/>
        </w:rPr>
        <w:t> </w:t>
      </w:r>
      <w:r>
        <w:rPr>
          <w:color w:val="231F20"/>
          <w:spacing w:val="-2"/>
        </w:rPr>
        <w:t>Déby</w:t>
      </w:r>
      <w:r>
        <w:rPr>
          <w:color w:val="231F20"/>
          <w:spacing w:val="-13"/>
        </w:rPr>
        <w:t> </w:t>
      </w:r>
      <w:r>
        <w:rPr>
          <w:color w:val="231F20"/>
          <w:spacing w:val="-2"/>
        </w:rPr>
        <w:t>rempile</w:t>
      </w:r>
      <w:r>
        <w:rPr>
          <w:color w:val="231F20"/>
          <w:spacing w:val="-13"/>
        </w:rPr>
        <w:t> </w:t>
      </w:r>
      <w:r>
        <w:rPr>
          <w:color w:val="231F20"/>
          <w:spacing w:val="-2"/>
        </w:rPr>
        <w:t>en </w:t>
      </w:r>
      <w:r>
        <w:rPr>
          <w:color w:val="231F20"/>
        </w:rPr>
        <w:t>2021.</w:t>
      </w:r>
      <w:r>
        <w:rPr>
          <w:color w:val="231F20"/>
          <w:spacing w:val="-6"/>
        </w:rPr>
        <w:t> </w:t>
      </w:r>
      <w:r>
        <w:rPr>
          <w:color w:val="231F20"/>
        </w:rPr>
        <w:t>L’élection</w:t>
      </w:r>
      <w:r>
        <w:rPr>
          <w:color w:val="231F20"/>
          <w:spacing w:val="-4"/>
        </w:rPr>
        <w:t> </w:t>
      </w:r>
      <w:r>
        <w:rPr>
          <w:color w:val="231F20"/>
        </w:rPr>
        <w:t>a</w:t>
      </w:r>
      <w:r>
        <w:rPr>
          <w:color w:val="231F20"/>
          <w:spacing w:val="-5"/>
        </w:rPr>
        <w:t> </w:t>
      </w:r>
      <w:r>
        <w:rPr>
          <w:color w:val="231F20"/>
        </w:rPr>
        <w:t>lieu</w:t>
      </w:r>
      <w:r>
        <w:rPr>
          <w:color w:val="231F20"/>
          <w:spacing w:val="-4"/>
        </w:rPr>
        <w:t> </w:t>
      </w:r>
      <w:r>
        <w:rPr>
          <w:color w:val="231F20"/>
        </w:rPr>
        <w:t>le</w:t>
      </w:r>
      <w:r>
        <w:rPr>
          <w:color w:val="231F20"/>
          <w:spacing w:val="-4"/>
        </w:rPr>
        <w:t> </w:t>
      </w:r>
      <w:r>
        <w:rPr>
          <w:color w:val="231F20"/>
        </w:rPr>
        <w:t>11</w:t>
      </w:r>
      <w:r>
        <w:rPr>
          <w:color w:val="231F20"/>
          <w:spacing w:val="-15"/>
        </w:rPr>
        <w:t> </w:t>
      </w:r>
      <w:r>
        <w:rPr>
          <w:color w:val="231F20"/>
        </w:rPr>
        <w:t>avril</w:t>
      </w:r>
      <w:r>
        <w:rPr>
          <w:color w:val="231F20"/>
          <w:spacing w:val="-4"/>
        </w:rPr>
        <w:t> </w:t>
      </w:r>
      <w:r>
        <w:rPr>
          <w:color w:val="231F20"/>
        </w:rPr>
        <w:t>2021.</w:t>
      </w:r>
      <w:r>
        <w:rPr>
          <w:color w:val="231F20"/>
          <w:spacing w:val="-4"/>
        </w:rPr>
        <w:t> </w:t>
      </w:r>
      <w:r>
        <w:rPr>
          <w:color w:val="231F20"/>
        </w:rPr>
        <w:t>Il</w:t>
      </w:r>
      <w:r>
        <w:rPr>
          <w:color w:val="231F20"/>
          <w:spacing w:val="-2"/>
        </w:rPr>
        <w:t> </w:t>
      </w:r>
      <w:r>
        <w:rPr>
          <w:color w:val="231F20"/>
        </w:rPr>
        <w:t>l'emporte</w:t>
      </w:r>
      <w:r>
        <w:rPr>
          <w:color w:val="231F20"/>
          <w:spacing w:val="-3"/>
        </w:rPr>
        <w:t> </w:t>
      </w:r>
      <w:r>
        <w:rPr>
          <w:color w:val="231F20"/>
        </w:rPr>
        <w:t>dès</w:t>
      </w:r>
      <w:r>
        <w:rPr>
          <w:color w:val="231F20"/>
          <w:spacing w:val="-4"/>
        </w:rPr>
        <w:t> </w:t>
      </w:r>
      <w:r>
        <w:rPr>
          <w:color w:val="231F20"/>
        </w:rPr>
        <w:t>le</w:t>
      </w:r>
      <w:r>
        <w:rPr>
          <w:color w:val="231F20"/>
          <w:spacing w:val="-5"/>
        </w:rPr>
        <w:t> </w:t>
      </w:r>
      <w:r>
        <w:rPr>
          <w:color w:val="231F20"/>
        </w:rPr>
        <w:t>premier</w:t>
      </w:r>
      <w:r>
        <w:rPr>
          <w:color w:val="231F20"/>
          <w:spacing w:val="-4"/>
        </w:rPr>
        <w:t> </w:t>
      </w:r>
      <w:r>
        <w:rPr>
          <w:color w:val="231F20"/>
        </w:rPr>
        <w:t>tour avec</w:t>
      </w:r>
      <w:r>
        <w:rPr>
          <w:color w:val="231F20"/>
          <w:spacing w:val="-7"/>
        </w:rPr>
        <w:t> </w:t>
      </w:r>
      <w:r>
        <w:rPr>
          <w:color w:val="231F20"/>
        </w:rPr>
        <w:t>près</w:t>
      </w:r>
      <w:r>
        <w:rPr>
          <w:color w:val="231F20"/>
          <w:spacing w:val="-7"/>
        </w:rPr>
        <w:t> </w:t>
      </w:r>
      <w:r>
        <w:rPr>
          <w:color w:val="231F20"/>
        </w:rPr>
        <w:t>de</w:t>
      </w:r>
      <w:r>
        <w:rPr>
          <w:color w:val="231F20"/>
          <w:spacing w:val="-9"/>
        </w:rPr>
        <w:t> </w:t>
      </w:r>
      <w:r>
        <w:rPr>
          <w:color w:val="231F20"/>
        </w:rPr>
        <w:t>80</w:t>
      </w:r>
      <w:r>
        <w:rPr>
          <w:color w:val="231F20"/>
          <w:spacing w:val="-14"/>
        </w:rPr>
        <w:t> </w:t>
      </w:r>
      <w:r>
        <w:rPr>
          <w:color w:val="231F20"/>
        </w:rPr>
        <w:t>%</w:t>
      </w:r>
      <w:r>
        <w:rPr>
          <w:color w:val="231F20"/>
          <w:spacing w:val="-9"/>
        </w:rPr>
        <w:t> </w:t>
      </w:r>
      <w:r>
        <w:rPr>
          <w:color w:val="231F20"/>
        </w:rPr>
        <w:t>des</w:t>
      </w:r>
      <w:r>
        <w:rPr>
          <w:color w:val="231F20"/>
          <w:spacing w:val="-9"/>
        </w:rPr>
        <w:t> </w:t>
      </w:r>
      <w:r>
        <w:rPr>
          <w:color w:val="231F20"/>
        </w:rPr>
        <w:t>voix.</w:t>
      </w:r>
      <w:r>
        <w:rPr>
          <w:color w:val="231F20"/>
          <w:spacing w:val="-7"/>
        </w:rPr>
        <w:t> </w:t>
      </w:r>
      <w:r>
        <w:rPr>
          <w:color w:val="231F20"/>
        </w:rPr>
        <w:t>Le</w:t>
      </w:r>
      <w:r>
        <w:rPr>
          <w:color w:val="231F20"/>
          <w:spacing w:val="-9"/>
        </w:rPr>
        <w:t> </w:t>
      </w:r>
      <w:r>
        <w:rPr>
          <w:color w:val="231F20"/>
        </w:rPr>
        <w:t>20</w:t>
      </w:r>
      <w:r>
        <w:rPr>
          <w:color w:val="231F20"/>
          <w:spacing w:val="-9"/>
        </w:rPr>
        <w:t> </w:t>
      </w:r>
      <w:r>
        <w:rPr>
          <w:color w:val="231F20"/>
        </w:rPr>
        <w:t>avril,</w:t>
      </w:r>
      <w:r>
        <w:rPr>
          <w:color w:val="231F20"/>
          <w:spacing w:val="-9"/>
        </w:rPr>
        <w:t> </w:t>
      </w:r>
      <w:r>
        <w:rPr>
          <w:color w:val="231F20"/>
        </w:rPr>
        <w:t>le</w:t>
      </w:r>
      <w:r>
        <w:rPr>
          <w:color w:val="231F20"/>
          <w:spacing w:val="-7"/>
        </w:rPr>
        <w:t> </w:t>
      </w:r>
      <w:r>
        <w:rPr>
          <w:color w:val="231F20"/>
        </w:rPr>
        <w:t>monde</w:t>
      </w:r>
      <w:r>
        <w:rPr>
          <w:color w:val="231F20"/>
          <w:spacing w:val="-9"/>
        </w:rPr>
        <w:t> </w:t>
      </w:r>
      <w:r>
        <w:rPr>
          <w:color w:val="231F20"/>
        </w:rPr>
        <w:t>apprend</w:t>
      </w:r>
      <w:r>
        <w:rPr>
          <w:color w:val="231F20"/>
          <w:spacing w:val="-7"/>
        </w:rPr>
        <w:t> </w:t>
      </w:r>
      <w:r>
        <w:rPr>
          <w:color w:val="231F20"/>
        </w:rPr>
        <w:t>avec</w:t>
      </w:r>
      <w:r>
        <w:rPr>
          <w:color w:val="231F20"/>
          <w:spacing w:val="-9"/>
        </w:rPr>
        <w:t> </w:t>
      </w:r>
      <w:r>
        <w:rPr>
          <w:color w:val="231F20"/>
        </w:rPr>
        <w:t>stupeur </w:t>
      </w:r>
      <w:r>
        <w:rPr>
          <w:color w:val="231F20"/>
          <w:spacing w:val="-4"/>
        </w:rPr>
        <w:t>la</w:t>
      </w:r>
      <w:r>
        <w:rPr>
          <w:color w:val="231F20"/>
          <w:spacing w:val="-11"/>
        </w:rPr>
        <w:t> </w:t>
      </w:r>
      <w:r>
        <w:rPr>
          <w:color w:val="231F20"/>
          <w:spacing w:val="-4"/>
        </w:rPr>
        <w:t>mort</w:t>
      </w:r>
      <w:r>
        <w:rPr>
          <w:color w:val="231F20"/>
          <w:spacing w:val="-9"/>
        </w:rPr>
        <w:t> </w:t>
      </w:r>
      <w:r>
        <w:rPr>
          <w:color w:val="231F20"/>
          <w:spacing w:val="-4"/>
        </w:rPr>
        <w:t>du</w:t>
      </w:r>
      <w:r>
        <w:rPr>
          <w:color w:val="231F20"/>
          <w:spacing w:val="-11"/>
        </w:rPr>
        <w:t> </w:t>
      </w:r>
      <w:r>
        <w:rPr>
          <w:color w:val="231F20"/>
          <w:spacing w:val="-4"/>
        </w:rPr>
        <w:t>maréchal.</w:t>
      </w:r>
      <w:r>
        <w:rPr>
          <w:color w:val="231F20"/>
          <w:spacing w:val="-9"/>
        </w:rPr>
        <w:t> </w:t>
      </w:r>
      <w:r>
        <w:rPr>
          <w:color w:val="231F20"/>
          <w:spacing w:val="-4"/>
        </w:rPr>
        <w:t>Au</w:t>
      </w:r>
      <w:r>
        <w:rPr>
          <w:color w:val="231F20"/>
          <w:spacing w:val="-9"/>
        </w:rPr>
        <w:t> </w:t>
      </w:r>
      <w:r>
        <w:rPr>
          <w:color w:val="231F20"/>
          <w:spacing w:val="-4"/>
        </w:rPr>
        <w:t>pouvoir</w:t>
      </w:r>
      <w:r>
        <w:rPr>
          <w:color w:val="231F20"/>
          <w:spacing w:val="-9"/>
        </w:rPr>
        <w:t> </w:t>
      </w:r>
      <w:r>
        <w:rPr>
          <w:color w:val="231F20"/>
          <w:spacing w:val="-4"/>
        </w:rPr>
        <w:t>depuis</w:t>
      </w:r>
      <w:r>
        <w:rPr>
          <w:color w:val="231F20"/>
          <w:spacing w:val="-9"/>
        </w:rPr>
        <w:t> </w:t>
      </w:r>
      <w:r>
        <w:rPr>
          <w:color w:val="231F20"/>
          <w:spacing w:val="-4"/>
        </w:rPr>
        <w:t>30</w:t>
      </w:r>
      <w:r>
        <w:rPr>
          <w:color w:val="231F20"/>
          <w:spacing w:val="-9"/>
        </w:rPr>
        <w:t> </w:t>
      </w:r>
      <w:r>
        <w:rPr>
          <w:color w:val="231F20"/>
          <w:spacing w:val="-4"/>
        </w:rPr>
        <w:t>ans,</w:t>
      </w:r>
      <w:r>
        <w:rPr>
          <w:color w:val="231F20"/>
          <w:spacing w:val="-9"/>
        </w:rPr>
        <w:t> </w:t>
      </w:r>
      <w:r>
        <w:rPr>
          <w:color w:val="231F20"/>
          <w:spacing w:val="-4"/>
        </w:rPr>
        <w:t>Idriss</w:t>
      </w:r>
      <w:r>
        <w:rPr>
          <w:color w:val="231F20"/>
          <w:spacing w:val="-9"/>
        </w:rPr>
        <w:t> </w:t>
      </w:r>
      <w:r>
        <w:rPr>
          <w:color w:val="231F20"/>
          <w:spacing w:val="-4"/>
        </w:rPr>
        <w:t>Deby</w:t>
      </w:r>
      <w:r>
        <w:rPr>
          <w:color w:val="231F20"/>
          <w:spacing w:val="-9"/>
        </w:rPr>
        <w:t> </w:t>
      </w:r>
      <w:r>
        <w:rPr>
          <w:color w:val="231F20"/>
          <w:spacing w:val="-4"/>
        </w:rPr>
        <w:t>Itno,</w:t>
      </w:r>
      <w:r>
        <w:rPr>
          <w:color w:val="231F20"/>
          <w:spacing w:val="-7"/>
        </w:rPr>
        <w:t> </w:t>
      </w:r>
      <w:r>
        <w:rPr>
          <w:color w:val="231F20"/>
          <w:spacing w:val="-4"/>
        </w:rPr>
        <w:t>militaire</w:t>
      </w:r>
    </w:p>
    <w:p>
      <w:pPr>
        <w:pStyle w:val="BodyText"/>
        <w:spacing w:before="9"/>
        <w:ind w:left="0"/>
        <w:jc w:val="left"/>
        <w:rPr>
          <w:sz w:val="15"/>
        </w:rPr>
      </w:pPr>
      <w:r>
        <w:rPr/>
        <mc:AlternateContent>
          <mc:Choice Requires="wps">
            <w:drawing>
              <wp:anchor distT="0" distB="0" distL="0" distR="0" allowOverlap="1" layoutInCell="1" locked="0" behindDoc="1" simplePos="0" relativeHeight="487613952">
                <wp:simplePos x="0" y="0"/>
                <wp:positionH relativeFrom="page">
                  <wp:posOffset>629907</wp:posOffset>
                </wp:positionH>
                <wp:positionV relativeFrom="paragraph">
                  <wp:posOffset>130655</wp:posOffset>
                </wp:positionV>
                <wp:extent cx="1829435" cy="9525"/>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0.287812pt;width:144.020pt;height:.72pt;mso-position-horizontal-relative:page;mso-position-vertical-relative:paragraph;z-index:-15702528;mso-wrap-distance-left:0;mso-wrap-distance-right:0" id="docshape66" filled="true" fillcolor="#231f20" stroked="false">
                <v:fill type="solid"/>
                <w10:wrap type="topAndBottom"/>
              </v:rect>
            </w:pict>
          </mc:Fallback>
        </mc:AlternateContent>
      </w:r>
    </w:p>
    <w:p>
      <w:pPr>
        <w:spacing w:before="91"/>
        <w:ind w:left="111" w:right="105" w:firstLine="0"/>
        <w:jc w:val="both"/>
        <w:rPr>
          <w:sz w:val="20"/>
        </w:rPr>
      </w:pPr>
      <w:r>
        <w:rPr>
          <w:color w:val="231F20"/>
          <w:sz w:val="20"/>
          <w:vertAlign w:val="superscript"/>
        </w:rPr>
        <w:t>81</w:t>
      </w:r>
      <w:r>
        <w:rPr>
          <w:color w:val="231F20"/>
          <w:sz w:val="20"/>
          <w:vertAlign w:val="baseline"/>
        </w:rPr>
        <w:t>Communauté</w:t>
      </w:r>
      <w:r>
        <w:rPr>
          <w:color w:val="231F20"/>
          <w:spacing w:val="-1"/>
          <w:sz w:val="20"/>
          <w:vertAlign w:val="baseline"/>
        </w:rPr>
        <w:t> </w:t>
      </w:r>
      <w:r>
        <w:rPr>
          <w:color w:val="231F20"/>
          <w:sz w:val="20"/>
          <w:vertAlign w:val="baseline"/>
        </w:rPr>
        <w:t>économique</w:t>
      </w:r>
      <w:r>
        <w:rPr>
          <w:color w:val="231F20"/>
          <w:spacing w:val="-3"/>
          <w:sz w:val="20"/>
          <w:vertAlign w:val="baseline"/>
        </w:rPr>
        <w:t> </w:t>
      </w:r>
      <w:r>
        <w:rPr>
          <w:color w:val="231F20"/>
          <w:sz w:val="20"/>
          <w:vertAlign w:val="baseline"/>
        </w:rPr>
        <w:t>et</w:t>
      </w:r>
      <w:r>
        <w:rPr>
          <w:color w:val="231F20"/>
          <w:spacing w:val="-3"/>
          <w:sz w:val="20"/>
          <w:vertAlign w:val="baseline"/>
        </w:rPr>
        <w:t> </w:t>
      </w:r>
      <w:r>
        <w:rPr>
          <w:color w:val="231F20"/>
          <w:sz w:val="20"/>
          <w:vertAlign w:val="baseline"/>
        </w:rPr>
        <w:t>monétaire</w:t>
      </w:r>
      <w:r>
        <w:rPr>
          <w:color w:val="231F20"/>
          <w:spacing w:val="-3"/>
          <w:sz w:val="20"/>
          <w:vertAlign w:val="baseline"/>
        </w:rPr>
        <w:t> </w:t>
      </w:r>
      <w:r>
        <w:rPr>
          <w:color w:val="231F20"/>
          <w:sz w:val="20"/>
          <w:vertAlign w:val="baseline"/>
        </w:rPr>
        <w:t>de</w:t>
      </w:r>
      <w:r>
        <w:rPr>
          <w:color w:val="231F20"/>
          <w:spacing w:val="-1"/>
          <w:sz w:val="20"/>
          <w:vertAlign w:val="baseline"/>
        </w:rPr>
        <w:t> </w:t>
      </w:r>
      <w:r>
        <w:rPr>
          <w:color w:val="231F20"/>
          <w:sz w:val="20"/>
          <w:vertAlign w:val="baseline"/>
        </w:rPr>
        <w:t>l'Afrique</w:t>
      </w:r>
      <w:r>
        <w:rPr>
          <w:color w:val="231F20"/>
          <w:spacing w:val="-1"/>
          <w:sz w:val="20"/>
          <w:vertAlign w:val="baseline"/>
        </w:rPr>
        <w:t> </w:t>
      </w:r>
      <w:r>
        <w:rPr>
          <w:color w:val="231F20"/>
          <w:sz w:val="20"/>
          <w:vertAlign w:val="baseline"/>
        </w:rPr>
        <w:t>centrale composée</w:t>
      </w:r>
      <w:r>
        <w:rPr>
          <w:color w:val="231F20"/>
          <w:spacing w:val="-3"/>
          <w:sz w:val="20"/>
          <w:vertAlign w:val="baseline"/>
        </w:rPr>
        <w:t> </w:t>
      </w:r>
      <w:r>
        <w:rPr>
          <w:color w:val="231F20"/>
          <w:sz w:val="20"/>
          <w:vertAlign w:val="baseline"/>
        </w:rPr>
        <w:t>de</w:t>
      </w:r>
      <w:r>
        <w:rPr>
          <w:color w:val="231F20"/>
          <w:spacing w:val="-1"/>
          <w:sz w:val="20"/>
          <w:vertAlign w:val="baseline"/>
        </w:rPr>
        <w:t> </w:t>
      </w:r>
      <w:r>
        <w:rPr>
          <w:color w:val="231F20"/>
          <w:sz w:val="20"/>
          <w:vertAlign w:val="baseline"/>
        </w:rPr>
        <w:t>six</w:t>
      </w:r>
      <w:r>
        <w:rPr>
          <w:color w:val="231F20"/>
          <w:spacing w:val="-1"/>
          <w:sz w:val="20"/>
          <w:vertAlign w:val="baseline"/>
        </w:rPr>
        <w:t> </w:t>
      </w:r>
      <w:r>
        <w:rPr>
          <w:color w:val="231F20"/>
          <w:sz w:val="20"/>
          <w:vertAlign w:val="baseline"/>
        </w:rPr>
        <w:t>États </w:t>
      </w:r>
      <w:r>
        <w:rPr>
          <w:color w:val="231F20"/>
          <w:spacing w:val="-4"/>
          <w:sz w:val="20"/>
          <w:vertAlign w:val="baseline"/>
        </w:rPr>
        <w:t>membres</w:t>
      </w:r>
      <w:r>
        <w:rPr>
          <w:color w:val="231F20"/>
          <w:spacing w:val="-8"/>
          <w:sz w:val="20"/>
          <w:vertAlign w:val="baseline"/>
        </w:rPr>
        <w:t> </w:t>
      </w:r>
      <w:r>
        <w:rPr>
          <w:color w:val="231F20"/>
          <w:spacing w:val="-4"/>
          <w:sz w:val="20"/>
          <w:vertAlign w:val="baseline"/>
        </w:rPr>
        <w:t>:</w:t>
      </w:r>
      <w:r>
        <w:rPr>
          <w:color w:val="231F20"/>
          <w:spacing w:val="-8"/>
          <w:sz w:val="20"/>
          <w:vertAlign w:val="baseline"/>
        </w:rPr>
        <w:t> </w:t>
      </w:r>
      <w:r>
        <w:rPr>
          <w:color w:val="231F20"/>
          <w:spacing w:val="-4"/>
          <w:sz w:val="20"/>
          <w:vertAlign w:val="baseline"/>
        </w:rPr>
        <w:t>Cameroun,.République</w:t>
      </w:r>
      <w:r>
        <w:rPr>
          <w:color w:val="231F20"/>
          <w:spacing w:val="-7"/>
          <w:sz w:val="20"/>
          <w:vertAlign w:val="baseline"/>
        </w:rPr>
        <w:t> </w:t>
      </w:r>
      <w:r>
        <w:rPr>
          <w:color w:val="231F20"/>
          <w:spacing w:val="-4"/>
          <w:sz w:val="20"/>
          <w:vertAlign w:val="baseline"/>
        </w:rPr>
        <w:t>centrafricaine,. République</w:t>
      </w:r>
      <w:r>
        <w:rPr>
          <w:color w:val="231F20"/>
          <w:spacing w:val="-7"/>
          <w:sz w:val="20"/>
          <w:vertAlign w:val="baseline"/>
        </w:rPr>
        <w:t> </w:t>
      </w:r>
      <w:r>
        <w:rPr>
          <w:color w:val="231F20"/>
          <w:spacing w:val="-4"/>
          <w:sz w:val="20"/>
          <w:vertAlign w:val="baseline"/>
        </w:rPr>
        <w:t>du Congo, Gabon, Guinée </w:t>
      </w:r>
      <w:r>
        <w:rPr>
          <w:color w:val="231F20"/>
          <w:sz w:val="20"/>
          <w:vertAlign w:val="baseline"/>
        </w:rPr>
        <w:t>équatoriale et Tchad.</w:t>
      </w:r>
    </w:p>
    <w:p>
      <w:pPr>
        <w:spacing w:before="2"/>
        <w:ind w:left="111" w:right="106" w:firstLine="0"/>
        <w:jc w:val="both"/>
        <w:rPr>
          <w:sz w:val="20"/>
        </w:rPr>
      </w:pPr>
      <w:r>
        <w:rPr>
          <w:color w:val="231F20"/>
          <w:sz w:val="20"/>
          <w:vertAlign w:val="superscript"/>
        </w:rPr>
        <w:t>82</w:t>
      </w:r>
      <w:r>
        <w:rPr>
          <w:color w:val="231F20"/>
          <w:sz w:val="20"/>
          <w:vertAlign w:val="baseline"/>
        </w:rPr>
        <w:t> Fondé les 26 et</w:t>
      </w:r>
      <w:r>
        <w:rPr>
          <w:color w:val="231F20"/>
          <w:spacing w:val="-11"/>
          <w:sz w:val="20"/>
          <w:vertAlign w:val="baseline"/>
        </w:rPr>
        <w:t> </w:t>
      </w:r>
      <w:r>
        <w:rPr>
          <w:color w:val="231F20"/>
          <w:sz w:val="20"/>
          <w:vertAlign w:val="baseline"/>
        </w:rPr>
        <w:t>28 décembre 2005 à l'Est du</w:t>
      </w:r>
      <w:r>
        <w:rPr>
          <w:color w:val="231F20"/>
          <w:spacing w:val="-10"/>
          <w:sz w:val="20"/>
          <w:vertAlign w:val="baseline"/>
        </w:rPr>
        <w:t> </w:t>
      </w:r>
      <w:r>
        <w:rPr>
          <w:color w:val="231F20"/>
          <w:sz w:val="20"/>
          <w:vertAlign w:val="baseline"/>
        </w:rPr>
        <w:t>Tchad, les</w:t>
      </w:r>
      <w:r>
        <w:rPr>
          <w:color w:val="231F20"/>
          <w:spacing w:val="-13"/>
          <w:sz w:val="20"/>
          <w:vertAlign w:val="baseline"/>
        </w:rPr>
        <w:t> </w:t>
      </w:r>
      <w:r>
        <w:rPr>
          <w:color w:val="231F20"/>
          <w:sz w:val="20"/>
          <w:vertAlign w:val="baseline"/>
        </w:rPr>
        <w:t>Forces unies pour le </w:t>
      </w:r>
      <w:r>
        <w:rPr>
          <w:color w:val="231F20"/>
          <w:spacing w:val="-4"/>
          <w:sz w:val="20"/>
          <w:vertAlign w:val="baseline"/>
        </w:rPr>
        <w:t>changement (ou FUC) sont</w:t>
      </w:r>
      <w:r>
        <w:rPr>
          <w:color w:val="231F20"/>
          <w:spacing w:val="-6"/>
          <w:sz w:val="20"/>
          <w:vertAlign w:val="baseline"/>
        </w:rPr>
        <w:t> </w:t>
      </w:r>
      <w:r>
        <w:rPr>
          <w:color w:val="231F20"/>
          <w:spacing w:val="-4"/>
          <w:sz w:val="20"/>
          <w:vertAlign w:val="baseline"/>
        </w:rPr>
        <w:t>une</w:t>
      </w:r>
      <w:r>
        <w:rPr>
          <w:color w:val="231F20"/>
          <w:spacing w:val="-6"/>
          <w:sz w:val="20"/>
          <w:vertAlign w:val="baseline"/>
        </w:rPr>
        <w:t> </w:t>
      </w:r>
      <w:r>
        <w:rPr>
          <w:color w:val="231F20"/>
          <w:spacing w:val="-4"/>
          <w:sz w:val="20"/>
          <w:vertAlign w:val="baseline"/>
        </w:rPr>
        <w:t>alliance</w:t>
      </w:r>
      <w:r>
        <w:rPr>
          <w:color w:val="231F20"/>
          <w:spacing w:val="-6"/>
          <w:sz w:val="20"/>
          <w:vertAlign w:val="baseline"/>
        </w:rPr>
        <w:t> </w:t>
      </w:r>
      <w:r>
        <w:rPr>
          <w:color w:val="231F20"/>
          <w:spacing w:val="-4"/>
          <w:sz w:val="20"/>
          <w:vertAlign w:val="baseline"/>
        </w:rPr>
        <w:t>de 8</w:t>
      </w:r>
      <w:r>
        <w:rPr>
          <w:color w:val="231F20"/>
          <w:spacing w:val="-5"/>
          <w:sz w:val="20"/>
          <w:vertAlign w:val="baseline"/>
        </w:rPr>
        <w:t> </w:t>
      </w:r>
      <w:r>
        <w:rPr>
          <w:color w:val="231F20"/>
          <w:spacing w:val="-4"/>
          <w:sz w:val="20"/>
          <w:vertAlign w:val="baseline"/>
        </w:rPr>
        <w:t>groupes</w:t>
      </w:r>
      <w:r>
        <w:rPr>
          <w:color w:val="231F20"/>
          <w:spacing w:val="-6"/>
          <w:sz w:val="20"/>
          <w:vertAlign w:val="baseline"/>
        </w:rPr>
        <w:t> </w:t>
      </w:r>
      <w:r>
        <w:rPr>
          <w:color w:val="231F20"/>
          <w:spacing w:val="-4"/>
          <w:sz w:val="20"/>
          <w:vertAlign w:val="baseline"/>
        </w:rPr>
        <w:t>rebelles,</w:t>
      </w:r>
      <w:r>
        <w:rPr>
          <w:color w:val="231F20"/>
          <w:spacing w:val="-5"/>
          <w:sz w:val="20"/>
          <w:vertAlign w:val="baseline"/>
        </w:rPr>
        <w:t> </w:t>
      </w:r>
      <w:r>
        <w:rPr>
          <w:color w:val="231F20"/>
          <w:spacing w:val="-4"/>
          <w:sz w:val="20"/>
          <w:vertAlign w:val="baseline"/>
        </w:rPr>
        <w:t>dans</w:t>
      </w:r>
      <w:r>
        <w:rPr>
          <w:color w:val="231F20"/>
          <w:spacing w:val="-5"/>
          <w:sz w:val="20"/>
          <w:vertAlign w:val="baseline"/>
        </w:rPr>
        <w:t> </w:t>
      </w:r>
      <w:r>
        <w:rPr>
          <w:color w:val="231F20"/>
          <w:spacing w:val="-4"/>
          <w:sz w:val="20"/>
          <w:vertAlign w:val="baseline"/>
        </w:rPr>
        <w:t>le but de renverser le </w:t>
      </w:r>
      <w:r>
        <w:rPr>
          <w:color w:val="231F20"/>
          <w:sz w:val="20"/>
          <w:vertAlign w:val="baseline"/>
        </w:rPr>
        <w:t>pouvoir du président</w:t>
      </w:r>
      <w:r>
        <w:rPr>
          <w:color w:val="231F20"/>
          <w:spacing w:val="-13"/>
          <w:sz w:val="20"/>
          <w:vertAlign w:val="baseline"/>
        </w:rPr>
        <w:t> </w:t>
      </w:r>
      <w:r>
        <w:rPr>
          <w:color w:val="231F20"/>
          <w:sz w:val="20"/>
          <w:vertAlign w:val="baseline"/>
        </w:rPr>
        <w:t>Idriss Déby.. Le FUC fait partie de .l'Union des forces pour la démocratie</w:t>
      </w:r>
      <w:r>
        <w:rPr>
          <w:color w:val="231F20"/>
          <w:spacing w:val="-4"/>
          <w:sz w:val="20"/>
          <w:vertAlign w:val="baseline"/>
        </w:rPr>
        <w:t> </w:t>
      </w:r>
      <w:r>
        <w:rPr>
          <w:color w:val="231F20"/>
          <w:sz w:val="20"/>
          <w:vertAlign w:val="baseline"/>
        </w:rPr>
        <w:t>et</w:t>
      </w:r>
      <w:r>
        <w:rPr>
          <w:color w:val="231F20"/>
          <w:spacing w:val="-4"/>
          <w:sz w:val="20"/>
          <w:vertAlign w:val="baseline"/>
        </w:rPr>
        <w:t> </w:t>
      </w:r>
      <w:r>
        <w:rPr>
          <w:color w:val="231F20"/>
          <w:sz w:val="20"/>
          <w:vertAlign w:val="baseline"/>
        </w:rPr>
        <w:t>le</w:t>
      </w:r>
      <w:r>
        <w:rPr>
          <w:color w:val="231F20"/>
          <w:spacing w:val="-4"/>
          <w:sz w:val="20"/>
          <w:vertAlign w:val="baseline"/>
        </w:rPr>
        <w:t> </w:t>
      </w:r>
      <w:r>
        <w:rPr>
          <w:color w:val="231F20"/>
          <w:sz w:val="20"/>
          <w:vertAlign w:val="baseline"/>
        </w:rPr>
        <w:t>développement</w:t>
      </w:r>
      <w:r>
        <w:rPr>
          <w:color w:val="231F20"/>
          <w:spacing w:val="-1"/>
          <w:sz w:val="20"/>
          <w:vertAlign w:val="baseline"/>
        </w:rPr>
        <w:t> </w:t>
      </w:r>
      <w:r>
        <w:rPr>
          <w:color w:val="231F20"/>
          <w:sz w:val="20"/>
          <w:vertAlign w:val="baseline"/>
        </w:rPr>
        <w:t>(UFDD)</w:t>
      </w:r>
      <w:r>
        <w:rPr>
          <w:color w:val="231F20"/>
          <w:spacing w:val="-3"/>
          <w:sz w:val="20"/>
          <w:vertAlign w:val="baseline"/>
        </w:rPr>
        <w:t> </w:t>
      </w:r>
      <w:r>
        <w:rPr>
          <w:color w:val="231F20"/>
          <w:sz w:val="20"/>
          <w:vertAlign w:val="baseline"/>
        </w:rPr>
        <w:t>fondée en</w:t>
      </w:r>
      <w:r>
        <w:rPr>
          <w:color w:val="231F20"/>
          <w:spacing w:val="-3"/>
          <w:sz w:val="20"/>
          <w:vertAlign w:val="baseline"/>
        </w:rPr>
        <w:t> </w:t>
      </w:r>
      <w:r>
        <w:rPr>
          <w:color w:val="231F20"/>
          <w:sz w:val="20"/>
          <w:vertAlign w:val="baseline"/>
        </w:rPr>
        <w:t>2006.</w:t>
      </w:r>
    </w:p>
    <w:p>
      <w:pPr>
        <w:spacing w:before="0"/>
        <w:ind w:left="111" w:right="103" w:firstLine="0"/>
        <w:jc w:val="both"/>
        <w:rPr>
          <w:sz w:val="20"/>
        </w:rPr>
      </w:pPr>
      <w:r>
        <w:rPr>
          <w:color w:val="231F20"/>
          <w:sz w:val="20"/>
          <w:vertAlign w:val="superscript"/>
        </w:rPr>
        <w:t>83</w:t>
      </w:r>
      <w:r>
        <w:rPr>
          <w:color w:val="231F20"/>
          <w:spacing w:val="-13"/>
          <w:sz w:val="20"/>
          <w:vertAlign w:val="baseline"/>
        </w:rPr>
        <w:t> </w:t>
      </w:r>
      <w:r>
        <w:rPr>
          <w:color w:val="231F20"/>
          <w:sz w:val="20"/>
          <w:vertAlign w:val="baseline"/>
        </w:rPr>
        <w:t>Le</w:t>
      </w:r>
      <w:r>
        <w:rPr>
          <w:color w:val="231F20"/>
          <w:spacing w:val="-12"/>
          <w:sz w:val="20"/>
          <w:vertAlign w:val="baseline"/>
        </w:rPr>
        <w:t> </w:t>
      </w:r>
      <w:r>
        <w:rPr>
          <w:color w:val="231F20"/>
          <w:sz w:val="20"/>
          <w:vertAlign w:val="baseline"/>
        </w:rPr>
        <w:t>CMU</w:t>
      </w:r>
      <w:r>
        <w:rPr>
          <w:color w:val="231F20"/>
          <w:spacing w:val="-11"/>
          <w:sz w:val="20"/>
          <w:vertAlign w:val="baseline"/>
        </w:rPr>
        <w:t> </w:t>
      </w:r>
      <w:r>
        <w:rPr>
          <w:color w:val="231F20"/>
          <w:sz w:val="20"/>
          <w:vertAlign w:val="baseline"/>
        </w:rPr>
        <w:t>est</w:t>
      </w:r>
      <w:r>
        <w:rPr>
          <w:color w:val="231F20"/>
          <w:spacing w:val="-10"/>
          <w:sz w:val="20"/>
          <w:vertAlign w:val="baseline"/>
        </w:rPr>
        <w:t> </w:t>
      </w:r>
      <w:r>
        <w:rPr>
          <w:color w:val="231F20"/>
          <w:sz w:val="20"/>
          <w:vertAlign w:val="baseline"/>
        </w:rPr>
        <w:t>composé</w:t>
      </w:r>
      <w:r>
        <w:rPr>
          <w:color w:val="231F20"/>
          <w:spacing w:val="-11"/>
          <w:sz w:val="20"/>
          <w:vertAlign w:val="baseline"/>
        </w:rPr>
        <w:t> </w:t>
      </w:r>
      <w:r>
        <w:rPr>
          <w:color w:val="231F20"/>
          <w:sz w:val="20"/>
          <w:vertAlign w:val="baseline"/>
        </w:rPr>
        <w:t>du</w:t>
      </w:r>
      <w:r>
        <w:rPr>
          <w:color w:val="231F20"/>
          <w:spacing w:val="-8"/>
          <w:sz w:val="20"/>
          <w:vertAlign w:val="baseline"/>
        </w:rPr>
        <w:t> </w:t>
      </w:r>
      <w:r>
        <w:rPr>
          <w:color w:val="231F20"/>
          <w:sz w:val="20"/>
          <w:vertAlign w:val="baseline"/>
        </w:rPr>
        <w:t>Rassemblement</w:t>
      </w:r>
      <w:r>
        <w:rPr>
          <w:color w:val="231F20"/>
          <w:spacing w:val="-10"/>
          <w:sz w:val="20"/>
          <w:vertAlign w:val="baseline"/>
        </w:rPr>
        <w:t> </w:t>
      </w:r>
      <w:r>
        <w:rPr>
          <w:color w:val="231F20"/>
          <w:sz w:val="20"/>
          <w:vertAlign w:val="baseline"/>
        </w:rPr>
        <w:t>des</w:t>
      </w:r>
      <w:r>
        <w:rPr>
          <w:color w:val="231F20"/>
          <w:spacing w:val="-10"/>
          <w:sz w:val="20"/>
          <w:vertAlign w:val="baseline"/>
        </w:rPr>
        <w:t> </w:t>
      </w:r>
      <w:r>
        <w:rPr>
          <w:color w:val="231F20"/>
          <w:sz w:val="20"/>
          <w:vertAlign w:val="baseline"/>
        </w:rPr>
        <w:t>forces</w:t>
      </w:r>
      <w:r>
        <w:rPr>
          <w:color w:val="231F20"/>
          <w:spacing w:val="-10"/>
          <w:sz w:val="20"/>
          <w:vertAlign w:val="baseline"/>
        </w:rPr>
        <w:t> </w:t>
      </w:r>
      <w:r>
        <w:rPr>
          <w:color w:val="231F20"/>
          <w:sz w:val="20"/>
          <w:vertAlign w:val="baseline"/>
        </w:rPr>
        <w:t>pour</w:t>
      </w:r>
      <w:r>
        <w:rPr>
          <w:color w:val="231F20"/>
          <w:spacing w:val="-7"/>
          <w:sz w:val="20"/>
          <w:vertAlign w:val="baseline"/>
        </w:rPr>
        <w:t> </w:t>
      </w:r>
      <w:r>
        <w:rPr>
          <w:color w:val="231F20"/>
          <w:sz w:val="20"/>
          <w:vertAlign w:val="baseline"/>
        </w:rPr>
        <w:t>le</w:t>
      </w:r>
      <w:r>
        <w:rPr>
          <w:color w:val="231F20"/>
          <w:spacing w:val="-10"/>
          <w:sz w:val="20"/>
          <w:vertAlign w:val="baseline"/>
        </w:rPr>
        <w:t> </w:t>
      </w:r>
      <w:r>
        <w:rPr>
          <w:color w:val="231F20"/>
          <w:sz w:val="20"/>
          <w:vertAlign w:val="baseline"/>
        </w:rPr>
        <w:t>changement</w:t>
      </w:r>
      <w:r>
        <w:rPr>
          <w:color w:val="231F20"/>
          <w:spacing w:val="-13"/>
          <w:sz w:val="20"/>
          <w:vertAlign w:val="baseline"/>
        </w:rPr>
        <w:t> </w:t>
      </w:r>
      <w:r>
        <w:rPr>
          <w:color w:val="231F20"/>
          <w:sz w:val="20"/>
          <w:vertAlign w:val="baseline"/>
        </w:rPr>
        <w:t>(RFC),</w:t>
      </w:r>
      <w:r>
        <w:rPr>
          <w:color w:val="231F20"/>
          <w:spacing w:val="-9"/>
          <w:sz w:val="20"/>
          <w:vertAlign w:val="baseline"/>
        </w:rPr>
        <w:t> </w:t>
      </w:r>
      <w:r>
        <w:rPr>
          <w:color w:val="231F20"/>
          <w:sz w:val="20"/>
          <w:vertAlign w:val="baseline"/>
        </w:rPr>
        <w:t>des forces pour la démocratie et le développement</w:t>
      </w:r>
      <w:r>
        <w:rPr>
          <w:color w:val="231F20"/>
          <w:spacing w:val="-13"/>
          <w:sz w:val="20"/>
          <w:vertAlign w:val="baseline"/>
        </w:rPr>
        <w:t> </w:t>
      </w:r>
      <w:r>
        <w:rPr>
          <w:color w:val="231F20"/>
          <w:sz w:val="20"/>
          <w:vertAlign w:val="baseline"/>
        </w:rPr>
        <w:t>(UFDD) l'UFDD et de la Concorde Nationale Tchadienne (CNT).</w:t>
      </w:r>
    </w:p>
    <w:p>
      <w:pPr>
        <w:spacing w:before="1"/>
        <w:ind w:left="111" w:right="0" w:firstLine="0"/>
        <w:jc w:val="both"/>
        <w:rPr>
          <w:sz w:val="20"/>
        </w:rPr>
      </w:pPr>
      <w:r>
        <w:rPr>
          <w:color w:val="231F20"/>
          <w:spacing w:val="-4"/>
          <w:sz w:val="20"/>
          <w:vertAlign w:val="superscript"/>
        </w:rPr>
        <w:t>84</w:t>
      </w:r>
      <w:r>
        <w:rPr>
          <w:color w:val="231F20"/>
          <w:spacing w:val="-4"/>
          <w:sz w:val="20"/>
          <w:vertAlign w:val="baseline"/>
        </w:rPr>
        <w:t>Extrait Itw</w:t>
      </w:r>
      <w:r>
        <w:rPr>
          <w:color w:val="231F20"/>
          <w:sz w:val="20"/>
          <w:vertAlign w:val="baseline"/>
        </w:rPr>
        <w:t> </w:t>
      </w:r>
      <w:r>
        <w:rPr>
          <w:color w:val="231F20"/>
          <w:spacing w:val="-4"/>
          <w:sz w:val="20"/>
          <w:vertAlign w:val="baseline"/>
        </w:rPr>
        <w:t>JA</w:t>
      </w:r>
      <w:r>
        <w:rPr>
          <w:color w:val="231F20"/>
          <w:spacing w:val="-2"/>
          <w:sz w:val="20"/>
          <w:vertAlign w:val="baseline"/>
        </w:rPr>
        <w:t> </w:t>
      </w:r>
      <w:r>
        <w:rPr>
          <w:color w:val="231F20"/>
          <w:spacing w:val="-4"/>
          <w:sz w:val="20"/>
          <w:vertAlign w:val="baseline"/>
        </w:rPr>
        <w:t>Par</w:t>
      </w:r>
      <w:r>
        <w:rPr>
          <w:color w:val="231F20"/>
          <w:spacing w:val="-2"/>
          <w:sz w:val="20"/>
          <w:vertAlign w:val="baseline"/>
        </w:rPr>
        <w:t> </w:t>
      </w:r>
      <w:r>
        <w:rPr>
          <w:color w:val="231F20"/>
          <w:spacing w:val="-4"/>
          <w:sz w:val="20"/>
          <w:vertAlign w:val="baseline"/>
        </w:rPr>
        <w:t>François</w:t>
      </w:r>
      <w:r>
        <w:rPr>
          <w:color w:val="231F20"/>
          <w:spacing w:val="-2"/>
          <w:sz w:val="20"/>
          <w:vertAlign w:val="baseline"/>
        </w:rPr>
        <w:t> </w:t>
      </w:r>
      <w:r>
        <w:rPr>
          <w:color w:val="231F20"/>
          <w:spacing w:val="-4"/>
          <w:sz w:val="20"/>
          <w:vertAlign w:val="baseline"/>
        </w:rPr>
        <w:t>Soudan</w:t>
      </w:r>
      <w:r>
        <w:rPr>
          <w:color w:val="231F20"/>
          <w:spacing w:val="-2"/>
          <w:sz w:val="20"/>
          <w:vertAlign w:val="baseline"/>
        </w:rPr>
        <w:t> </w:t>
      </w:r>
      <w:r>
        <w:rPr>
          <w:color w:val="231F20"/>
          <w:spacing w:val="-4"/>
          <w:sz w:val="20"/>
          <w:vertAlign w:val="baseline"/>
        </w:rPr>
        <w:t>et</w:t>
      </w:r>
      <w:r>
        <w:rPr>
          <w:color w:val="231F20"/>
          <w:spacing w:val="-1"/>
          <w:sz w:val="20"/>
          <w:vertAlign w:val="baseline"/>
        </w:rPr>
        <w:t> </w:t>
      </w:r>
      <w:r>
        <w:rPr>
          <w:color w:val="231F20"/>
          <w:spacing w:val="-4"/>
          <w:sz w:val="20"/>
          <w:vertAlign w:val="baseline"/>
        </w:rPr>
        <w:t>Mathieu</w:t>
      </w:r>
      <w:r>
        <w:rPr>
          <w:color w:val="231F20"/>
          <w:spacing w:val="-2"/>
          <w:sz w:val="20"/>
          <w:vertAlign w:val="baseline"/>
        </w:rPr>
        <w:t> </w:t>
      </w:r>
      <w:r>
        <w:rPr>
          <w:color w:val="231F20"/>
          <w:spacing w:val="-4"/>
          <w:sz w:val="20"/>
          <w:vertAlign w:val="baseline"/>
        </w:rPr>
        <w:t>Olivier.</w:t>
      </w:r>
    </w:p>
    <w:p>
      <w:pPr>
        <w:spacing w:after="0"/>
        <w:jc w:val="both"/>
        <w:rPr>
          <w:sz w:val="20"/>
        </w:rPr>
        <w:sectPr>
          <w:pgSz w:w="8790" w:h="13610"/>
          <w:pgMar w:header="0" w:footer="802" w:top="1060" w:bottom="1000" w:left="880" w:right="880"/>
        </w:sectPr>
      </w:pPr>
    </w:p>
    <w:p>
      <w:pPr>
        <w:pStyle w:val="BodyText"/>
        <w:spacing w:before="66"/>
        <w:ind w:right="106"/>
      </w:pPr>
      <w:r>
        <w:rPr>
          <w:color w:val="231F20"/>
        </w:rPr>
        <w:t>dans l’âme serait décédé des suites de blessures reçues alors qu'il </w:t>
      </w:r>
      <w:r>
        <w:rPr>
          <w:color w:val="231F20"/>
          <w:spacing w:val="-4"/>
        </w:rPr>
        <w:t>commandait</w:t>
      </w:r>
      <w:r>
        <w:rPr>
          <w:color w:val="231F20"/>
          <w:spacing w:val="-8"/>
        </w:rPr>
        <w:t> </w:t>
      </w:r>
      <w:r>
        <w:rPr>
          <w:color w:val="231F20"/>
          <w:spacing w:val="-4"/>
        </w:rPr>
        <w:t>son</w:t>
      </w:r>
      <w:r>
        <w:rPr>
          <w:color w:val="231F20"/>
          <w:spacing w:val="-9"/>
        </w:rPr>
        <w:t> </w:t>
      </w:r>
      <w:r>
        <w:rPr>
          <w:color w:val="231F20"/>
          <w:spacing w:val="-4"/>
        </w:rPr>
        <w:t>armée</w:t>
      </w:r>
      <w:r>
        <w:rPr>
          <w:color w:val="231F20"/>
          <w:spacing w:val="-9"/>
        </w:rPr>
        <w:t> </w:t>
      </w:r>
      <w:r>
        <w:rPr>
          <w:color w:val="231F20"/>
          <w:spacing w:val="-4"/>
        </w:rPr>
        <w:t>dans</w:t>
      </w:r>
      <w:r>
        <w:rPr>
          <w:color w:val="231F20"/>
          <w:spacing w:val="-7"/>
        </w:rPr>
        <w:t> </w:t>
      </w:r>
      <w:r>
        <w:rPr>
          <w:color w:val="231F20"/>
          <w:spacing w:val="-4"/>
        </w:rPr>
        <w:t>des</w:t>
      </w:r>
      <w:r>
        <w:rPr>
          <w:color w:val="231F20"/>
          <w:spacing w:val="-6"/>
        </w:rPr>
        <w:t> </w:t>
      </w:r>
      <w:r>
        <w:rPr>
          <w:color w:val="231F20"/>
          <w:spacing w:val="-4"/>
        </w:rPr>
        <w:t>combats</w:t>
      </w:r>
      <w:r>
        <w:rPr>
          <w:color w:val="231F20"/>
          <w:spacing w:val="-9"/>
        </w:rPr>
        <w:t> </w:t>
      </w:r>
      <w:r>
        <w:rPr>
          <w:color w:val="231F20"/>
          <w:spacing w:val="-4"/>
        </w:rPr>
        <w:t>contre</w:t>
      </w:r>
      <w:r>
        <w:rPr>
          <w:color w:val="231F20"/>
          <w:spacing w:val="-7"/>
        </w:rPr>
        <w:t> </w:t>
      </w:r>
      <w:r>
        <w:rPr>
          <w:color w:val="231F20"/>
          <w:spacing w:val="-4"/>
        </w:rPr>
        <w:t>des</w:t>
      </w:r>
      <w:r>
        <w:rPr>
          <w:color w:val="231F20"/>
          <w:spacing w:val="-9"/>
        </w:rPr>
        <w:t> </w:t>
      </w:r>
      <w:r>
        <w:rPr>
          <w:color w:val="231F20"/>
          <w:spacing w:val="-4"/>
        </w:rPr>
        <w:t>rebelles</w:t>
      </w:r>
      <w:r>
        <w:rPr>
          <w:color w:val="231F20"/>
          <w:spacing w:val="-9"/>
        </w:rPr>
        <w:t> </w:t>
      </w:r>
      <w:r>
        <w:rPr>
          <w:color w:val="231F20"/>
          <w:spacing w:val="-4"/>
        </w:rPr>
        <w:t>dans</w:t>
      </w:r>
      <w:r>
        <w:rPr>
          <w:color w:val="231F20"/>
          <w:spacing w:val="-9"/>
        </w:rPr>
        <w:t> </w:t>
      </w:r>
      <w:r>
        <w:rPr>
          <w:color w:val="231F20"/>
          <w:spacing w:val="-4"/>
        </w:rPr>
        <w:t>le</w:t>
      </w:r>
      <w:r>
        <w:rPr>
          <w:color w:val="231F20"/>
          <w:spacing w:val="-10"/>
        </w:rPr>
        <w:t> </w:t>
      </w:r>
      <w:r>
        <w:rPr>
          <w:color w:val="231F20"/>
          <w:spacing w:val="-4"/>
        </w:rPr>
        <w:t>Nord </w:t>
      </w:r>
      <w:r>
        <w:rPr>
          <w:color w:val="231F20"/>
        </w:rPr>
        <w:t>durant le week-end.</w:t>
      </w:r>
    </w:p>
    <w:p>
      <w:pPr>
        <w:pStyle w:val="BodyText"/>
        <w:spacing w:before="120"/>
        <w:ind w:right="102" w:firstLine="283"/>
      </w:pPr>
      <w:r>
        <w:rPr>
          <w:color w:val="231F20"/>
        </w:rPr>
        <w:t>La</w:t>
      </w:r>
      <w:r>
        <w:rPr>
          <w:color w:val="231F20"/>
          <w:spacing w:val="-5"/>
        </w:rPr>
        <w:t> </w:t>
      </w:r>
      <w:r>
        <w:rPr>
          <w:color w:val="231F20"/>
        </w:rPr>
        <w:t>Constitution</w:t>
      </w:r>
      <w:r>
        <w:rPr>
          <w:color w:val="231F20"/>
          <w:spacing w:val="-5"/>
        </w:rPr>
        <w:t> </w:t>
      </w:r>
      <w:r>
        <w:rPr>
          <w:color w:val="231F20"/>
        </w:rPr>
        <w:t>du</w:t>
      </w:r>
      <w:r>
        <w:rPr>
          <w:color w:val="231F20"/>
          <w:spacing w:val="-7"/>
        </w:rPr>
        <w:t> </w:t>
      </w:r>
      <w:r>
        <w:rPr>
          <w:color w:val="231F20"/>
        </w:rPr>
        <w:t>4</w:t>
      </w:r>
      <w:r>
        <w:rPr>
          <w:color w:val="231F20"/>
          <w:spacing w:val="-5"/>
        </w:rPr>
        <w:t> </w:t>
      </w:r>
      <w:r>
        <w:rPr>
          <w:color w:val="231F20"/>
        </w:rPr>
        <w:t>mai</w:t>
      </w:r>
      <w:r>
        <w:rPr>
          <w:color w:val="231F20"/>
          <w:spacing w:val="-7"/>
        </w:rPr>
        <w:t> </w:t>
      </w:r>
      <w:r>
        <w:rPr>
          <w:color w:val="231F20"/>
        </w:rPr>
        <w:t>2018,</w:t>
      </w:r>
      <w:r>
        <w:rPr>
          <w:color w:val="231F20"/>
          <w:spacing w:val="-5"/>
        </w:rPr>
        <w:t> </w:t>
      </w:r>
      <w:r>
        <w:rPr>
          <w:color w:val="231F20"/>
        </w:rPr>
        <w:t>révisée</w:t>
      </w:r>
      <w:r>
        <w:rPr>
          <w:color w:val="231F20"/>
          <w:spacing w:val="-5"/>
        </w:rPr>
        <w:t> </w:t>
      </w:r>
      <w:r>
        <w:rPr>
          <w:color w:val="231F20"/>
        </w:rPr>
        <w:t>le</w:t>
      </w:r>
      <w:r>
        <w:rPr>
          <w:color w:val="231F20"/>
          <w:spacing w:val="-5"/>
        </w:rPr>
        <w:t> </w:t>
      </w:r>
      <w:r>
        <w:rPr>
          <w:color w:val="231F20"/>
        </w:rPr>
        <w:t>14</w:t>
      </w:r>
      <w:r>
        <w:rPr>
          <w:color w:val="231F20"/>
          <w:spacing w:val="-5"/>
        </w:rPr>
        <w:t> </w:t>
      </w:r>
      <w:r>
        <w:rPr>
          <w:color w:val="231F20"/>
        </w:rPr>
        <w:t>décembre</w:t>
      </w:r>
      <w:r>
        <w:rPr>
          <w:color w:val="231F20"/>
          <w:spacing w:val="-5"/>
        </w:rPr>
        <w:t> </w:t>
      </w:r>
      <w:r>
        <w:rPr>
          <w:color w:val="231F20"/>
        </w:rPr>
        <w:t>2020</w:t>
      </w:r>
      <w:r>
        <w:rPr>
          <w:color w:val="231F20"/>
          <w:spacing w:val="-3"/>
        </w:rPr>
        <w:t> </w:t>
      </w:r>
      <w:r>
        <w:rPr>
          <w:color w:val="231F20"/>
        </w:rPr>
        <w:t>prévoit qu'en cas de vacance du</w:t>
      </w:r>
      <w:r>
        <w:rPr>
          <w:color w:val="231F20"/>
          <w:spacing w:val="-1"/>
        </w:rPr>
        <w:t> </w:t>
      </w:r>
      <w:r>
        <w:rPr>
          <w:color w:val="231F20"/>
        </w:rPr>
        <w:t>pouvoir, le président du Sénat assure l'intérim pendant 45 à 90 jours, le temps d'élire un nouveau président de la </w:t>
      </w:r>
      <w:r>
        <w:rPr>
          <w:color w:val="231F20"/>
          <w:spacing w:val="-4"/>
        </w:rPr>
        <w:t>République.</w:t>
      </w:r>
      <w:r>
        <w:rPr>
          <w:color w:val="231F20"/>
          <w:spacing w:val="-11"/>
        </w:rPr>
        <w:t> </w:t>
      </w:r>
      <w:r>
        <w:rPr>
          <w:color w:val="231F20"/>
          <w:spacing w:val="-4"/>
        </w:rPr>
        <w:t>Mais,</w:t>
      </w:r>
      <w:r>
        <w:rPr>
          <w:color w:val="231F20"/>
          <w:spacing w:val="-10"/>
        </w:rPr>
        <w:t> </w:t>
      </w:r>
      <w:r>
        <w:rPr>
          <w:color w:val="231F20"/>
          <w:spacing w:val="-4"/>
        </w:rPr>
        <w:t>au</w:t>
      </w:r>
      <w:r>
        <w:rPr>
          <w:color w:val="231F20"/>
          <w:spacing w:val="-10"/>
        </w:rPr>
        <w:t> </w:t>
      </w:r>
      <w:r>
        <w:rPr>
          <w:color w:val="231F20"/>
          <w:spacing w:val="-4"/>
        </w:rPr>
        <w:t>lendemain</w:t>
      </w:r>
      <w:r>
        <w:rPr>
          <w:color w:val="231F20"/>
          <w:spacing w:val="-10"/>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mort</w:t>
      </w:r>
      <w:r>
        <w:rPr>
          <w:color w:val="231F20"/>
          <w:spacing w:val="-10"/>
        </w:rPr>
        <w:t> </w:t>
      </w:r>
      <w:r>
        <w:rPr>
          <w:color w:val="231F20"/>
          <w:spacing w:val="-4"/>
        </w:rPr>
        <w:t>brutale</w:t>
      </w:r>
      <w:r>
        <w:rPr>
          <w:color w:val="231F20"/>
          <w:spacing w:val="-11"/>
        </w:rPr>
        <w:t> </w:t>
      </w:r>
      <w:r>
        <w:rPr>
          <w:color w:val="231F20"/>
          <w:spacing w:val="-4"/>
        </w:rPr>
        <w:t>d’Idriss</w:t>
      </w:r>
      <w:r>
        <w:rPr>
          <w:color w:val="231F20"/>
          <w:spacing w:val="-11"/>
        </w:rPr>
        <w:t> </w:t>
      </w:r>
      <w:r>
        <w:rPr>
          <w:color w:val="231F20"/>
          <w:spacing w:val="-4"/>
        </w:rPr>
        <w:t>Deby,</w:t>
      </w:r>
      <w:r>
        <w:rPr>
          <w:color w:val="231F20"/>
          <w:spacing w:val="-9"/>
        </w:rPr>
        <w:t> </w:t>
      </w:r>
      <w:r>
        <w:rPr>
          <w:color w:val="231F20"/>
          <w:spacing w:val="-4"/>
        </w:rPr>
        <w:t>l'Armée </w:t>
      </w:r>
      <w:r>
        <w:rPr>
          <w:color w:val="231F20"/>
        </w:rPr>
        <w:t>annonce</w:t>
      </w:r>
      <w:r>
        <w:rPr>
          <w:color w:val="231F20"/>
          <w:spacing w:val="-6"/>
        </w:rPr>
        <w:t> </w:t>
      </w:r>
      <w:r>
        <w:rPr>
          <w:color w:val="231F20"/>
        </w:rPr>
        <w:t>la</w:t>
      </w:r>
      <w:r>
        <w:rPr>
          <w:color w:val="231F20"/>
          <w:spacing w:val="-6"/>
        </w:rPr>
        <w:t> </w:t>
      </w:r>
      <w:r>
        <w:rPr>
          <w:color w:val="231F20"/>
        </w:rPr>
        <w:t>suspension</w:t>
      </w:r>
      <w:r>
        <w:rPr>
          <w:color w:val="231F20"/>
          <w:spacing w:val="-6"/>
        </w:rPr>
        <w:t> </w:t>
      </w:r>
      <w:r>
        <w:rPr>
          <w:color w:val="231F20"/>
        </w:rPr>
        <w:t>de</w:t>
      </w:r>
      <w:r>
        <w:rPr>
          <w:color w:val="231F20"/>
          <w:spacing w:val="-5"/>
        </w:rPr>
        <w:t> </w:t>
      </w:r>
      <w:r>
        <w:rPr>
          <w:color w:val="231F20"/>
        </w:rPr>
        <w:t>la</w:t>
      </w:r>
      <w:r>
        <w:rPr>
          <w:color w:val="231F20"/>
          <w:spacing w:val="-7"/>
        </w:rPr>
        <w:t> </w:t>
      </w:r>
      <w:r>
        <w:rPr>
          <w:color w:val="231F20"/>
        </w:rPr>
        <w:t>Constitution,</w:t>
      </w:r>
      <w:r>
        <w:rPr>
          <w:color w:val="231F20"/>
          <w:spacing w:val="-6"/>
        </w:rPr>
        <w:t> </w:t>
      </w:r>
      <w:r>
        <w:rPr>
          <w:color w:val="231F20"/>
        </w:rPr>
        <w:t>la</w:t>
      </w:r>
      <w:r>
        <w:rPr>
          <w:color w:val="231F20"/>
          <w:spacing w:val="-7"/>
        </w:rPr>
        <w:t> </w:t>
      </w:r>
      <w:r>
        <w:rPr>
          <w:color w:val="231F20"/>
        </w:rPr>
        <w:t>dissolution</w:t>
      </w:r>
      <w:r>
        <w:rPr>
          <w:color w:val="231F20"/>
          <w:spacing w:val="-6"/>
        </w:rPr>
        <w:t> </w:t>
      </w:r>
      <w:r>
        <w:rPr>
          <w:color w:val="231F20"/>
        </w:rPr>
        <w:t>de</w:t>
      </w:r>
      <w:r>
        <w:rPr>
          <w:color w:val="231F20"/>
          <w:spacing w:val="-6"/>
        </w:rPr>
        <w:t> </w:t>
      </w:r>
      <w:r>
        <w:rPr>
          <w:color w:val="231F20"/>
        </w:rPr>
        <w:t>l'Assemblée </w:t>
      </w:r>
      <w:r>
        <w:rPr>
          <w:color w:val="231F20"/>
          <w:spacing w:val="-2"/>
        </w:rPr>
        <w:t>nationale</w:t>
      </w:r>
      <w:r>
        <w:rPr>
          <w:color w:val="231F20"/>
          <w:spacing w:val="-12"/>
        </w:rPr>
        <w:t> </w:t>
      </w:r>
      <w:r>
        <w:rPr>
          <w:color w:val="231F20"/>
          <w:spacing w:val="-2"/>
        </w:rPr>
        <w:t>et</w:t>
      </w:r>
      <w:r>
        <w:rPr>
          <w:color w:val="231F20"/>
          <w:spacing w:val="-12"/>
        </w:rPr>
        <w:t> </w:t>
      </w:r>
      <w:r>
        <w:rPr>
          <w:color w:val="231F20"/>
          <w:spacing w:val="-2"/>
        </w:rPr>
        <w:t>du</w:t>
      </w:r>
      <w:r>
        <w:rPr>
          <w:color w:val="231F20"/>
          <w:spacing w:val="-10"/>
        </w:rPr>
        <w:t> </w:t>
      </w:r>
      <w:r>
        <w:rPr>
          <w:color w:val="231F20"/>
          <w:spacing w:val="-2"/>
        </w:rPr>
        <w:t>gouvernement.</w:t>
      </w:r>
      <w:r>
        <w:rPr>
          <w:color w:val="231F20"/>
          <w:spacing w:val="-12"/>
        </w:rPr>
        <w:t> </w:t>
      </w:r>
      <w:r>
        <w:rPr>
          <w:color w:val="231F20"/>
          <w:spacing w:val="-2"/>
        </w:rPr>
        <w:t>Le</w:t>
      </w:r>
      <w:r>
        <w:rPr>
          <w:color w:val="231F20"/>
          <w:spacing w:val="-10"/>
        </w:rPr>
        <w:t> </w:t>
      </w:r>
      <w:r>
        <w:rPr>
          <w:color w:val="231F20"/>
          <w:spacing w:val="-2"/>
        </w:rPr>
        <w:t>Conseil</w:t>
      </w:r>
      <w:r>
        <w:rPr>
          <w:color w:val="231F20"/>
          <w:spacing w:val="-11"/>
        </w:rPr>
        <w:t> </w:t>
      </w:r>
      <w:r>
        <w:rPr>
          <w:color w:val="231F20"/>
          <w:spacing w:val="-2"/>
        </w:rPr>
        <w:t>militaire</w:t>
      </w:r>
      <w:r>
        <w:rPr>
          <w:color w:val="231F20"/>
          <w:spacing w:val="-12"/>
        </w:rPr>
        <w:t> </w:t>
      </w:r>
      <w:r>
        <w:rPr>
          <w:color w:val="231F20"/>
          <w:spacing w:val="-2"/>
        </w:rPr>
        <w:t>de</w:t>
      </w:r>
      <w:r>
        <w:rPr>
          <w:color w:val="231F20"/>
          <w:spacing w:val="-10"/>
        </w:rPr>
        <w:t> </w:t>
      </w:r>
      <w:r>
        <w:rPr>
          <w:color w:val="231F20"/>
          <w:spacing w:val="-2"/>
        </w:rPr>
        <w:t>transition</w:t>
      </w:r>
      <w:r>
        <w:rPr>
          <w:color w:val="231F20"/>
          <w:spacing w:val="-10"/>
        </w:rPr>
        <w:t> </w:t>
      </w:r>
      <w:r>
        <w:rPr>
          <w:color w:val="231F20"/>
          <w:spacing w:val="-2"/>
        </w:rPr>
        <w:t>annonce </w:t>
      </w:r>
      <w:r>
        <w:rPr>
          <w:color w:val="231F20"/>
          <w:spacing w:val="-4"/>
        </w:rPr>
        <w:t>prendre</w:t>
      </w:r>
      <w:r>
        <w:rPr>
          <w:color w:val="231F20"/>
          <w:spacing w:val="-7"/>
        </w:rPr>
        <w:t> </w:t>
      </w:r>
      <w:r>
        <w:rPr>
          <w:color w:val="231F20"/>
          <w:spacing w:val="-4"/>
        </w:rPr>
        <w:t>le pouvoir</w:t>
      </w:r>
      <w:r>
        <w:rPr>
          <w:color w:val="231F20"/>
          <w:spacing w:val="-7"/>
        </w:rPr>
        <w:t> </w:t>
      </w:r>
      <w:r>
        <w:rPr>
          <w:color w:val="231F20"/>
          <w:spacing w:val="-4"/>
        </w:rPr>
        <w:t>pour</w:t>
      </w:r>
      <w:r>
        <w:rPr>
          <w:color w:val="231F20"/>
          <w:spacing w:val="-7"/>
        </w:rPr>
        <w:t> </w:t>
      </w:r>
      <w:r>
        <w:rPr>
          <w:color w:val="231F20"/>
          <w:spacing w:val="-4"/>
        </w:rPr>
        <w:t>une durée</w:t>
      </w:r>
      <w:r>
        <w:rPr>
          <w:color w:val="231F20"/>
          <w:spacing w:val="-7"/>
        </w:rPr>
        <w:t> </w:t>
      </w:r>
      <w:r>
        <w:rPr>
          <w:color w:val="231F20"/>
          <w:spacing w:val="-4"/>
        </w:rPr>
        <w:t>transitoire</w:t>
      </w:r>
      <w:r>
        <w:rPr>
          <w:color w:val="231F20"/>
          <w:spacing w:val="-7"/>
        </w:rPr>
        <w:t> </w:t>
      </w:r>
      <w:r>
        <w:rPr>
          <w:color w:val="231F20"/>
          <w:spacing w:val="-4"/>
        </w:rPr>
        <w:t>de</w:t>
      </w:r>
      <w:r>
        <w:rPr>
          <w:color w:val="231F20"/>
          <w:spacing w:val="-7"/>
        </w:rPr>
        <w:t> </w:t>
      </w:r>
      <w:r>
        <w:rPr>
          <w:color w:val="231F20"/>
          <w:spacing w:val="-4"/>
        </w:rPr>
        <w:t>dix-huit</w:t>
      </w:r>
      <w:r>
        <w:rPr>
          <w:color w:val="231F20"/>
          <w:spacing w:val="-8"/>
        </w:rPr>
        <w:t> </w:t>
      </w:r>
      <w:r>
        <w:rPr>
          <w:color w:val="231F20"/>
          <w:spacing w:val="-4"/>
        </w:rPr>
        <w:t>mois,</w:t>
      </w:r>
      <w:r>
        <w:rPr>
          <w:color w:val="231F20"/>
          <w:spacing w:val="-7"/>
        </w:rPr>
        <w:t> </w:t>
      </w:r>
      <w:r>
        <w:rPr>
          <w:color w:val="231F20"/>
          <w:spacing w:val="-4"/>
        </w:rPr>
        <w:t>à</w:t>
      </w:r>
      <w:r>
        <w:rPr>
          <w:color w:val="231F20"/>
          <w:spacing w:val="-7"/>
        </w:rPr>
        <w:t> </w:t>
      </w:r>
      <w:r>
        <w:rPr>
          <w:color w:val="231F20"/>
          <w:spacing w:val="-4"/>
        </w:rPr>
        <w:t>l'issue</w:t>
      </w:r>
      <w:r>
        <w:rPr>
          <w:color w:val="231F20"/>
          <w:spacing w:val="-7"/>
        </w:rPr>
        <w:t> </w:t>
      </w:r>
      <w:r>
        <w:rPr>
          <w:color w:val="231F20"/>
          <w:spacing w:val="-4"/>
        </w:rPr>
        <w:t>de </w:t>
      </w:r>
      <w:r>
        <w:rPr>
          <w:color w:val="231F20"/>
          <w:spacing w:val="-2"/>
        </w:rPr>
        <w:t>laquelle</w:t>
      </w:r>
      <w:r>
        <w:rPr>
          <w:color w:val="231F20"/>
          <w:spacing w:val="-13"/>
        </w:rPr>
        <w:t> </w:t>
      </w:r>
      <w:r>
        <w:rPr>
          <w:color w:val="231F20"/>
          <w:spacing w:val="-2"/>
        </w:rPr>
        <w:t>des</w:t>
      </w:r>
      <w:r>
        <w:rPr>
          <w:color w:val="231F20"/>
          <w:spacing w:val="-13"/>
        </w:rPr>
        <w:t> </w:t>
      </w:r>
      <w:r>
        <w:rPr>
          <w:color w:val="231F20"/>
          <w:spacing w:val="-2"/>
        </w:rPr>
        <w:t>élections</w:t>
      </w:r>
      <w:r>
        <w:rPr>
          <w:color w:val="231F20"/>
          <w:spacing w:val="-13"/>
        </w:rPr>
        <w:t> </w:t>
      </w:r>
      <w:r>
        <w:rPr>
          <w:color w:val="231F20"/>
          <w:spacing w:val="-2"/>
        </w:rPr>
        <w:t>doivent</w:t>
      </w:r>
      <w:r>
        <w:rPr>
          <w:color w:val="231F20"/>
          <w:spacing w:val="-13"/>
        </w:rPr>
        <w:t> </w:t>
      </w:r>
      <w:r>
        <w:rPr>
          <w:color w:val="231F20"/>
          <w:spacing w:val="-2"/>
        </w:rPr>
        <w:t>être</w:t>
      </w:r>
      <w:r>
        <w:rPr>
          <w:color w:val="231F20"/>
          <w:spacing w:val="-13"/>
        </w:rPr>
        <w:t> </w:t>
      </w:r>
      <w:r>
        <w:rPr>
          <w:color w:val="231F20"/>
          <w:spacing w:val="-2"/>
        </w:rPr>
        <w:t>organisées.</w:t>
      </w:r>
      <w:r>
        <w:rPr>
          <w:color w:val="231F20"/>
          <w:spacing w:val="-13"/>
        </w:rPr>
        <w:t> </w:t>
      </w:r>
      <w:r>
        <w:rPr>
          <w:color w:val="231F20"/>
          <w:spacing w:val="-2"/>
        </w:rPr>
        <w:t>Mahamat</w:t>
      </w:r>
      <w:r>
        <w:rPr>
          <w:color w:val="231F20"/>
          <w:spacing w:val="-13"/>
        </w:rPr>
        <w:t> </w:t>
      </w:r>
      <w:r>
        <w:rPr>
          <w:color w:val="231F20"/>
          <w:spacing w:val="-2"/>
        </w:rPr>
        <w:t>Idriss</w:t>
      </w:r>
      <w:r>
        <w:rPr>
          <w:color w:val="231F20"/>
          <w:spacing w:val="-13"/>
        </w:rPr>
        <w:t> </w:t>
      </w:r>
      <w:r>
        <w:rPr>
          <w:color w:val="231F20"/>
          <w:spacing w:val="-2"/>
        </w:rPr>
        <w:t>Déby</w:t>
      </w:r>
      <w:r>
        <w:rPr>
          <w:color w:val="231F20"/>
          <w:spacing w:val="-13"/>
        </w:rPr>
        <w:t> </w:t>
      </w:r>
      <w:r>
        <w:rPr>
          <w:color w:val="231F20"/>
          <w:spacing w:val="-2"/>
        </w:rPr>
        <w:t>Itno, </w:t>
      </w:r>
      <w:r>
        <w:rPr>
          <w:color w:val="231F20"/>
          <w:spacing w:val="-4"/>
        </w:rPr>
        <w:t>un des fils</w:t>
      </w:r>
      <w:r>
        <w:rPr>
          <w:color w:val="231F20"/>
          <w:spacing w:val="-6"/>
        </w:rPr>
        <w:t> </w:t>
      </w:r>
      <w:r>
        <w:rPr>
          <w:color w:val="231F20"/>
          <w:spacing w:val="-4"/>
        </w:rPr>
        <w:t>d’Idriss</w:t>
      </w:r>
      <w:r>
        <w:rPr>
          <w:color w:val="231F20"/>
          <w:spacing w:val="-7"/>
        </w:rPr>
        <w:t> </w:t>
      </w:r>
      <w:r>
        <w:rPr>
          <w:color w:val="231F20"/>
          <w:spacing w:val="-4"/>
        </w:rPr>
        <w:t>Déby,</w:t>
      </w:r>
      <w:r>
        <w:rPr>
          <w:color w:val="231F20"/>
          <w:spacing w:val="-8"/>
        </w:rPr>
        <w:t> </w:t>
      </w:r>
      <w:r>
        <w:rPr>
          <w:color w:val="231F20"/>
          <w:spacing w:val="-4"/>
        </w:rPr>
        <w:t>général quatre étoiles,</w:t>
      </w:r>
      <w:r>
        <w:rPr>
          <w:color w:val="231F20"/>
          <w:spacing w:val="-6"/>
        </w:rPr>
        <w:t> </w:t>
      </w:r>
      <w:r>
        <w:rPr>
          <w:color w:val="231F20"/>
          <w:spacing w:val="-4"/>
        </w:rPr>
        <w:t>37</w:t>
      </w:r>
      <w:r>
        <w:rPr>
          <w:color w:val="231F20"/>
          <w:spacing w:val="-11"/>
        </w:rPr>
        <w:t> </w:t>
      </w:r>
      <w:r>
        <w:rPr>
          <w:color w:val="231F20"/>
          <w:spacing w:val="-4"/>
        </w:rPr>
        <w:t>ans</w:t>
      </w:r>
      <w:r>
        <w:rPr>
          <w:color w:val="231F20"/>
          <w:spacing w:val="-5"/>
        </w:rPr>
        <w:t> </w:t>
      </w:r>
      <w:r>
        <w:rPr>
          <w:color w:val="231F20"/>
          <w:spacing w:val="-4"/>
        </w:rPr>
        <w:t>et</w:t>
      </w:r>
      <w:r>
        <w:rPr>
          <w:color w:val="231F20"/>
          <w:spacing w:val="-5"/>
        </w:rPr>
        <w:t> </w:t>
      </w:r>
      <w:r>
        <w:rPr>
          <w:color w:val="231F20"/>
          <w:spacing w:val="-4"/>
        </w:rPr>
        <w:t>commandant</w:t>
      </w:r>
      <w:r>
        <w:rPr>
          <w:color w:val="231F20"/>
          <w:spacing w:val="-6"/>
        </w:rPr>
        <w:t> </w:t>
      </w:r>
      <w:r>
        <w:rPr>
          <w:color w:val="231F20"/>
          <w:spacing w:val="-4"/>
        </w:rPr>
        <w:t>de </w:t>
      </w:r>
      <w:r>
        <w:rPr>
          <w:color w:val="231F20"/>
        </w:rPr>
        <w:t>la</w:t>
      </w:r>
      <w:r>
        <w:rPr>
          <w:color w:val="231F20"/>
          <w:spacing w:val="-15"/>
        </w:rPr>
        <w:t> </w:t>
      </w:r>
      <w:r>
        <w:rPr>
          <w:color w:val="231F20"/>
        </w:rPr>
        <w:t>garde</w:t>
      </w:r>
      <w:r>
        <w:rPr>
          <w:color w:val="231F20"/>
          <w:spacing w:val="-15"/>
        </w:rPr>
        <w:t> </w:t>
      </w:r>
      <w:r>
        <w:rPr>
          <w:color w:val="231F20"/>
        </w:rPr>
        <w:t>présidentielle,</w:t>
      </w:r>
      <w:r>
        <w:rPr>
          <w:color w:val="231F20"/>
          <w:spacing w:val="-15"/>
        </w:rPr>
        <w:t> </w:t>
      </w:r>
      <w:r>
        <w:rPr>
          <w:color w:val="231F20"/>
        </w:rPr>
        <w:t>prend</w:t>
      </w:r>
      <w:r>
        <w:rPr>
          <w:color w:val="231F20"/>
          <w:spacing w:val="-15"/>
        </w:rPr>
        <w:t> </w:t>
      </w:r>
      <w:r>
        <w:rPr>
          <w:color w:val="231F20"/>
        </w:rPr>
        <w:t>la</w:t>
      </w:r>
      <w:r>
        <w:rPr>
          <w:color w:val="231F20"/>
          <w:spacing w:val="-15"/>
        </w:rPr>
        <w:t> </w:t>
      </w:r>
      <w:r>
        <w:rPr>
          <w:color w:val="231F20"/>
        </w:rPr>
        <w:t>tête</w:t>
      </w:r>
      <w:r>
        <w:rPr>
          <w:color w:val="231F20"/>
          <w:spacing w:val="-15"/>
        </w:rPr>
        <w:t> </w:t>
      </w:r>
      <w:r>
        <w:rPr>
          <w:color w:val="231F20"/>
        </w:rPr>
        <w:t>du</w:t>
      </w:r>
      <w:r>
        <w:rPr>
          <w:color w:val="231F20"/>
          <w:spacing w:val="-15"/>
        </w:rPr>
        <w:t> </w:t>
      </w:r>
      <w:r>
        <w:rPr>
          <w:color w:val="231F20"/>
        </w:rPr>
        <w:t>Conseil</w:t>
      </w:r>
      <w:r>
        <w:rPr>
          <w:color w:val="231F20"/>
          <w:spacing w:val="-13"/>
        </w:rPr>
        <w:t> </w:t>
      </w:r>
      <w:r>
        <w:rPr>
          <w:color w:val="231F20"/>
        </w:rPr>
        <w:t>militaire</w:t>
      </w:r>
      <w:r>
        <w:rPr>
          <w:color w:val="231F20"/>
          <w:spacing w:val="-14"/>
        </w:rPr>
        <w:t> </w:t>
      </w:r>
      <w:r>
        <w:rPr>
          <w:color w:val="231F20"/>
        </w:rPr>
        <w:t>de</w:t>
      </w:r>
      <w:r>
        <w:rPr>
          <w:color w:val="231F20"/>
          <w:spacing w:val="-15"/>
        </w:rPr>
        <w:t> </w:t>
      </w:r>
      <w:r>
        <w:rPr>
          <w:color w:val="231F20"/>
        </w:rPr>
        <w:t>transition</w:t>
      </w:r>
      <w:r>
        <w:rPr>
          <w:color w:val="231F20"/>
          <w:spacing w:val="-15"/>
        </w:rPr>
        <w:t> </w:t>
      </w:r>
      <w:r>
        <w:rPr>
          <w:color w:val="231F20"/>
        </w:rPr>
        <w:t>et, en</w:t>
      </w:r>
      <w:r>
        <w:rPr>
          <w:color w:val="231F20"/>
          <w:spacing w:val="-11"/>
        </w:rPr>
        <w:t> </w:t>
      </w:r>
      <w:r>
        <w:rPr>
          <w:color w:val="231F20"/>
        </w:rPr>
        <w:t>vertu</w:t>
      </w:r>
      <w:r>
        <w:rPr>
          <w:color w:val="231F20"/>
          <w:spacing w:val="-13"/>
        </w:rPr>
        <w:t> </w:t>
      </w:r>
      <w:r>
        <w:rPr>
          <w:color w:val="231F20"/>
        </w:rPr>
        <w:t>de</w:t>
      </w:r>
      <w:r>
        <w:rPr>
          <w:color w:val="231F20"/>
          <w:spacing w:val="-13"/>
        </w:rPr>
        <w:t> </w:t>
      </w:r>
      <w:r>
        <w:rPr>
          <w:color w:val="231F20"/>
        </w:rPr>
        <w:t>la</w:t>
      </w:r>
      <w:r>
        <w:rPr>
          <w:color w:val="231F20"/>
          <w:spacing w:val="-11"/>
        </w:rPr>
        <w:t> </w:t>
      </w:r>
      <w:r>
        <w:rPr>
          <w:color w:val="231F20"/>
        </w:rPr>
        <w:t>charte</w:t>
      </w:r>
      <w:r>
        <w:rPr>
          <w:color w:val="231F20"/>
          <w:spacing w:val="-11"/>
        </w:rPr>
        <w:t> </w:t>
      </w:r>
      <w:r>
        <w:rPr>
          <w:color w:val="231F20"/>
        </w:rPr>
        <w:t>de</w:t>
      </w:r>
      <w:r>
        <w:rPr>
          <w:color w:val="231F20"/>
          <w:spacing w:val="-11"/>
        </w:rPr>
        <w:t> </w:t>
      </w:r>
      <w:r>
        <w:rPr>
          <w:color w:val="231F20"/>
        </w:rPr>
        <w:t>ce</w:t>
      </w:r>
      <w:r>
        <w:rPr>
          <w:color w:val="231F20"/>
          <w:spacing w:val="-11"/>
        </w:rPr>
        <w:t> </w:t>
      </w:r>
      <w:r>
        <w:rPr>
          <w:color w:val="231F20"/>
        </w:rPr>
        <w:t>Conseil,</w:t>
      </w:r>
      <w:r>
        <w:rPr>
          <w:color w:val="231F20"/>
          <w:spacing w:val="-10"/>
        </w:rPr>
        <w:t> </w:t>
      </w:r>
      <w:r>
        <w:rPr>
          <w:color w:val="231F20"/>
        </w:rPr>
        <w:t>occupe</w:t>
      </w:r>
      <w:r>
        <w:rPr>
          <w:color w:val="231F20"/>
          <w:spacing w:val="-11"/>
        </w:rPr>
        <w:t> </w:t>
      </w:r>
      <w:r>
        <w:rPr>
          <w:color w:val="231F20"/>
        </w:rPr>
        <w:t>la</w:t>
      </w:r>
      <w:r>
        <w:rPr>
          <w:color w:val="231F20"/>
          <w:spacing w:val="-13"/>
        </w:rPr>
        <w:t> </w:t>
      </w:r>
      <w:r>
        <w:rPr>
          <w:color w:val="231F20"/>
        </w:rPr>
        <w:t>fonction</w:t>
      </w:r>
      <w:r>
        <w:rPr>
          <w:color w:val="231F20"/>
          <w:spacing w:val="-13"/>
        </w:rPr>
        <w:t> </w:t>
      </w:r>
      <w:r>
        <w:rPr>
          <w:color w:val="231F20"/>
        </w:rPr>
        <w:t>de</w:t>
      </w:r>
      <w:r>
        <w:rPr>
          <w:color w:val="231F20"/>
          <w:spacing w:val="-14"/>
        </w:rPr>
        <w:t> </w:t>
      </w:r>
      <w:r>
        <w:rPr>
          <w:color w:val="231F20"/>
        </w:rPr>
        <w:t>président</w:t>
      </w:r>
      <w:r>
        <w:rPr>
          <w:color w:val="231F20"/>
          <w:spacing w:val="-12"/>
        </w:rPr>
        <w:t> </w:t>
      </w:r>
      <w:r>
        <w:rPr>
          <w:color w:val="231F20"/>
        </w:rPr>
        <w:t>de</w:t>
      </w:r>
      <w:r>
        <w:rPr>
          <w:color w:val="231F20"/>
          <w:spacing w:val="-13"/>
        </w:rPr>
        <w:t> </w:t>
      </w:r>
      <w:r>
        <w:rPr>
          <w:color w:val="231F20"/>
        </w:rPr>
        <w:t>la </w:t>
      </w:r>
      <w:r>
        <w:rPr>
          <w:color w:val="231F20"/>
          <w:spacing w:val="-2"/>
        </w:rPr>
        <w:t>République.</w:t>
      </w:r>
    </w:p>
    <w:p>
      <w:pPr>
        <w:pStyle w:val="BodyText"/>
        <w:spacing w:before="121"/>
        <w:ind w:right="105" w:firstLine="283"/>
      </w:pPr>
      <w:r>
        <w:rPr>
          <w:color w:val="231F20"/>
        </w:rPr>
        <w:t>Soumis à la dégradation de son économie, à la précarisation des </w:t>
      </w:r>
      <w:r>
        <w:rPr>
          <w:color w:val="231F20"/>
          <w:spacing w:val="-2"/>
        </w:rPr>
        <w:t>ressources</w:t>
      </w:r>
      <w:r>
        <w:rPr>
          <w:color w:val="231F20"/>
          <w:spacing w:val="-11"/>
        </w:rPr>
        <w:t> </w:t>
      </w:r>
      <w:r>
        <w:rPr>
          <w:color w:val="231F20"/>
          <w:spacing w:val="-2"/>
        </w:rPr>
        <w:t>agricoles</w:t>
      </w:r>
      <w:r>
        <w:rPr>
          <w:color w:val="231F20"/>
          <w:spacing w:val="-11"/>
        </w:rPr>
        <w:t> </w:t>
      </w:r>
      <w:r>
        <w:rPr>
          <w:color w:val="231F20"/>
          <w:spacing w:val="-2"/>
        </w:rPr>
        <w:t>comme</w:t>
      </w:r>
      <w:r>
        <w:rPr>
          <w:color w:val="231F20"/>
          <w:spacing w:val="-10"/>
        </w:rPr>
        <w:t> </w:t>
      </w:r>
      <w:r>
        <w:rPr>
          <w:color w:val="231F20"/>
          <w:spacing w:val="-2"/>
        </w:rPr>
        <w:t>à</w:t>
      </w:r>
      <w:r>
        <w:rPr>
          <w:color w:val="231F20"/>
          <w:spacing w:val="-12"/>
        </w:rPr>
        <w:t> </w:t>
      </w:r>
      <w:r>
        <w:rPr>
          <w:color w:val="231F20"/>
          <w:spacing w:val="-2"/>
        </w:rPr>
        <w:t>la</w:t>
      </w:r>
      <w:r>
        <w:rPr>
          <w:color w:val="231F20"/>
          <w:spacing w:val="-12"/>
        </w:rPr>
        <w:t> </w:t>
      </w:r>
      <w:r>
        <w:rPr>
          <w:color w:val="231F20"/>
          <w:spacing w:val="-2"/>
        </w:rPr>
        <w:t>faiblesse</w:t>
      </w:r>
      <w:r>
        <w:rPr>
          <w:color w:val="231F20"/>
          <w:spacing w:val="-12"/>
        </w:rPr>
        <w:t> </w:t>
      </w:r>
      <w:r>
        <w:rPr>
          <w:color w:val="231F20"/>
          <w:spacing w:val="-2"/>
        </w:rPr>
        <w:t>ou</w:t>
      </w:r>
      <w:r>
        <w:rPr>
          <w:color w:val="231F20"/>
          <w:spacing w:val="-11"/>
        </w:rPr>
        <w:t> </w:t>
      </w:r>
      <w:r>
        <w:rPr>
          <w:color w:val="231F20"/>
          <w:spacing w:val="-2"/>
        </w:rPr>
        <w:t>à</w:t>
      </w:r>
      <w:r>
        <w:rPr>
          <w:color w:val="231F20"/>
          <w:spacing w:val="-12"/>
        </w:rPr>
        <w:t> </w:t>
      </w:r>
      <w:r>
        <w:rPr>
          <w:color w:val="231F20"/>
          <w:spacing w:val="-2"/>
        </w:rPr>
        <w:t>l’usure</w:t>
      </w:r>
      <w:r>
        <w:rPr>
          <w:color w:val="231F20"/>
          <w:spacing w:val="-9"/>
        </w:rPr>
        <w:t> </w:t>
      </w:r>
      <w:r>
        <w:rPr>
          <w:color w:val="231F20"/>
          <w:spacing w:val="-2"/>
        </w:rPr>
        <w:t>des</w:t>
      </w:r>
      <w:r>
        <w:rPr>
          <w:color w:val="231F20"/>
          <w:spacing w:val="-11"/>
        </w:rPr>
        <w:t> </w:t>
      </w:r>
      <w:r>
        <w:rPr>
          <w:color w:val="231F20"/>
          <w:spacing w:val="-2"/>
        </w:rPr>
        <w:t>infrastructures </w:t>
      </w:r>
      <w:r>
        <w:rPr>
          <w:color w:val="231F20"/>
        </w:rPr>
        <w:t>éducatives et sociales, le Tchad intègre en 2004 le club des pays producteurs</w:t>
      </w:r>
      <w:r>
        <w:rPr>
          <w:color w:val="231F20"/>
          <w:spacing w:val="-15"/>
        </w:rPr>
        <w:t> </w:t>
      </w:r>
      <w:r>
        <w:rPr>
          <w:color w:val="231F20"/>
        </w:rPr>
        <w:t>de</w:t>
      </w:r>
      <w:r>
        <w:rPr>
          <w:color w:val="231F20"/>
          <w:spacing w:val="-15"/>
        </w:rPr>
        <w:t> </w:t>
      </w:r>
      <w:r>
        <w:rPr>
          <w:color w:val="231F20"/>
        </w:rPr>
        <w:t>pétrole.</w:t>
      </w:r>
      <w:r>
        <w:rPr>
          <w:color w:val="231F20"/>
          <w:spacing w:val="-15"/>
        </w:rPr>
        <w:t> </w:t>
      </w:r>
      <w:r>
        <w:rPr>
          <w:color w:val="231F20"/>
        </w:rPr>
        <w:t>Malheureusement,</w:t>
      </w:r>
      <w:r>
        <w:rPr>
          <w:color w:val="231F20"/>
          <w:spacing w:val="-15"/>
        </w:rPr>
        <w:t> </w:t>
      </w:r>
      <w:r>
        <w:rPr>
          <w:color w:val="231F20"/>
        </w:rPr>
        <w:t>la</w:t>
      </w:r>
      <w:r>
        <w:rPr>
          <w:color w:val="231F20"/>
          <w:spacing w:val="-15"/>
        </w:rPr>
        <w:t> </w:t>
      </w:r>
      <w:r>
        <w:rPr>
          <w:color w:val="231F20"/>
        </w:rPr>
        <w:t>rente</w:t>
      </w:r>
      <w:r>
        <w:rPr>
          <w:color w:val="231F20"/>
          <w:spacing w:val="-15"/>
        </w:rPr>
        <w:t> </w:t>
      </w:r>
      <w:r>
        <w:rPr>
          <w:color w:val="231F20"/>
        </w:rPr>
        <w:t>pétrolière</w:t>
      </w:r>
      <w:r>
        <w:rPr>
          <w:color w:val="231F20"/>
          <w:spacing w:val="-15"/>
        </w:rPr>
        <w:t> </w:t>
      </w:r>
      <w:r>
        <w:rPr>
          <w:color w:val="231F20"/>
        </w:rPr>
        <w:t>est</w:t>
      </w:r>
      <w:r>
        <w:rPr>
          <w:color w:val="231F20"/>
          <w:spacing w:val="-15"/>
        </w:rPr>
        <w:t> </w:t>
      </w:r>
      <w:r>
        <w:rPr>
          <w:color w:val="231F20"/>
        </w:rPr>
        <w:t>mise</w:t>
      </w:r>
      <w:r>
        <w:rPr>
          <w:color w:val="231F20"/>
          <w:spacing w:val="-15"/>
        </w:rPr>
        <w:t> </w:t>
      </w:r>
      <w:r>
        <w:rPr>
          <w:color w:val="231F20"/>
        </w:rPr>
        <w:t>au profit des dépenses militaires et des clans au pouvoir exacerbant les frustrations et les revendications d’une population empêtrée dans la pauvreté</w:t>
      </w:r>
      <w:r>
        <w:rPr>
          <w:color w:val="231F20"/>
          <w:spacing w:val="-15"/>
        </w:rPr>
        <w:t> </w:t>
      </w:r>
      <w:r>
        <w:rPr>
          <w:color w:val="231F20"/>
        </w:rPr>
        <w:t>: chereté du carburant pour le citoyen tchadien, distribution irrégulière de l’électricité (nombreux délestages dus à une capacité de production insuffisante) et à un coût prohibitif pour une assez grande partie de la population.</w:t>
      </w:r>
    </w:p>
    <w:p>
      <w:pPr>
        <w:pStyle w:val="BodyText"/>
        <w:spacing w:before="121"/>
        <w:ind w:right="105" w:firstLine="283"/>
      </w:pPr>
      <w:r>
        <w:rPr>
          <w:color w:val="231F20"/>
        </w:rPr>
        <w:t>Le pays reste largement dépendant de l'aide internationale</w:t>
      </w:r>
      <w:r>
        <w:rPr>
          <w:color w:val="231F20"/>
          <w:spacing w:val="-13"/>
        </w:rPr>
        <w:t> </w:t>
      </w:r>
      <w:r>
        <w:rPr>
          <w:color w:val="231F20"/>
        </w:rPr>
        <w:t>: les principaux donateurs et bailleurs de fonds sont l'Union européenne</w:t>
      </w:r>
      <w:r>
        <w:rPr>
          <w:color w:val="231F20"/>
          <w:spacing w:val="-15"/>
        </w:rPr>
        <w:t> </w:t>
      </w:r>
      <w:r>
        <w:rPr>
          <w:color w:val="231F20"/>
        </w:rPr>
        <w:t>et la</w:t>
      </w:r>
      <w:r>
        <w:rPr>
          <w:color w:val="231F20"/>
          <w:spacing w:val="-15"/>
        </w:rPr>
        <w:t> </w:t>
      </w:r>
      <w:r>
        <w:rPr>
          <w:color w:val="231F20"/>
        </w:rPr>
        <w:t>France. Au plan externe, Paris, Pékin et Washington se disputent le pétrole tchadien.</w:t>
      </w:r>
    </w:p>
    <w:p>
      <w:pPr>
        <w:pStyle w:val="BodyText"/>
        <w:spacing w:before="207"/>
        <w:ind w:left="0"/>
        <w:jc w:val="left"/>
      </w:pPr>
    </w:p>
    <w:p>
      <w:pPr>
        <w:pStyle w:val="Heading3"/>
        <w:rPr>
          <w:i/>
        </w:rPr>
      </w:pPr>
      <w:bookmarkStart w:name="_TOC_250032" w:id="11"/>
      <w:r>
        <w:rPr>
          <w:i/>
          <w:color w:val="231F20"/>
        </w:rPr>
        <w:t>Les</w:t>
      </w:r>
      <w:r>
        <w:rPr>
          <w:i/>
          <w:color w:val="231F20"/>
          <w:spacing w:val="-11"/>
        </w:rPr>
        <w:t> </w:t>
      </w:r>
      <w:r>
        <w:rPr>
          <w:i/>
          <w:color w:val="231F20"/>
        </w:rPr>
        <w:t>ex</w:t>
      </w:r>
      <w:r>
        <w:rPr>
          <w:i/>
          <w:color w:val="231F20"/>
          <w:spacing w:val="-10"/>
        </w:rPr>
        <w:t> </w:t>
      </w:r>
      <w:bookmarkEnd w:id="11"/>
      <w:r>
        <w:rPr>
          <w:i/>
          <w:color w:val="231F20"/>
          <w:spacing w:val="-5"/>
        </w:rPr>
        <w:t>AOF</w:t>
      </w:r>
    </w:p>
    <w:p>
      <w:pPr>
        <w:pStyle w:val="BodyText"/>
        <w:spacing w:before="79"/>
        <w:ind w:left="0"/>
        <w:jc w:val="left"/>
        <w:rPr>
          <w:rFonts w:ascii="Cambria"/>
          <w:b/>
          <w:i/>
        </w:rPr>
      </w:pPr>
    </w:p>
    <w:p>
      <w:pPr>
        <w:spacing w:before="1"/>
        <w:ind w:left="111" w:right="0" w:firstLine="0"/>
        <w:jc w:val="both"/>
        <w:rPr>
          <w:b/>
          <w:sz w:val="16"/>
        </w:rPr>
      </w:pPr>
      <w:r>
        <w:rPr>
          <w:rFonts w:ascii="Cambria" w:hAnsi="Cambria"/>
          <w:b/>
          <w:i/>
          <w:color w:val="231F20"/>
          <w:spacing w:val="-2"/>
          <w:sz w:val="24"/>
        </w:rPr>
        <w:t>La</w:t>
      </w:r>
      <w:r>
        <w:rPr>
          <w:rFonts w:ascii="Cambria" w:hAnsi="Cambria"/>
          <w:b/>
          <w:i/>
          <w:color w:val="231F20"/>
          <w:spacing w:val="-11"/>
          <w:sz w:val="24"/>
        </w:rPr>
        <w:t> </w:t>
      </w:r>
      <w:r>
        <w:rPr>
          <w:rFonts w:ascii="Cambria" w:hAnsi="Cambria"/>
          <w:b/>
          <w:i/>
          <w:color w:val="231F20"/>
          <w:spacing w:val="-2"/>
          <w:sz w:val="24"/>
        </w:rPr>
        <w:t>République</w:t>
      </w:r>
      <w:r>
        <w:rPr>
          <w:rFonts w:ascii="Cambria" w:hAnsi="Cambria"/>
          <w:b/>
          <w:i/>
          <w:color w:val="231F20"/>
          <w:spacing w:val="-10"/>
          <w:sz w:val="24"/>
        </w:rPr>
        <w:t> </w:t>
      </w:r>
      <w:r>
        <w:rPr>
          <w:rFonts w:ascii="Cambria" w:hAnsi="Cambria"/>
          <w:b/>
          <w:i/>
          <w:color w:val="231F20"/>
          <w:spacing w:val="-2"/>
          <w:sz w:val="24"/>
        </w:rPr>
        <w:t>du</w:t>
      </w:r>
      <w:r>
        <w:rPr>
          <w:rFonts w:ascii="Cambria" w:hAnsi="Cambria"/>
          <w:b/>
          <w:i/>
          <w:color w:val="231F20"/>
          <w:spacing w:val="-10"/>
          <w:sz w:val="24"/>
        </w:rPr>
        <w:t> </w:t>
      </w:r>
      <w:r>
        <w:rPr>
          <w:rFonts w:ascii="Cambria" w:hAnsi="Cambria"/>
          <w:b/>
          <w:i/>
          <w:color w:val="231F20"/>
          <w:spacing w:val="-2"/>
          <w:sz w:val="24"/>
        </w:rPr>
        <w:t>Sénégal</w:t>
      </w:r>
      <w:r>
        <w:rPr>
          <w:b/>
          <w:color w:val="231F20"/>
          <w:spacing w:val="-2"/>
          <w:position w:val="8"/>
          <w:sz w:val="16"/>
        </w:rPr>
        <w:t>85</w:t>
      </w:r>
    </w:p>
    <w:p>
      <w:pPr>
        <w:pStyle w:val="BodyText"/>
        <w:spacing w:before="255"/>
        <w:ind w:right="106" w:firstLine="283"/>
      </w:pPr>
      <w:r>
        <w:rPr>
          <w:color w:val="231F20"/>
        </w:rPr>
        <w:t>Le</w:t>
      </w:r>
      <w:r>
        <w:rPr>
          <w:color w:val="231F20"/>
          <w:spacing w:val="-6"/>
        </w:rPr>
        <w:t> </w:t>
      </w:r>
      <w:r>
        <w:rPr>
          <w:color w:val="231F20"/>
        </w:rPr>
        <w:t>Sénégal</w:t>
      </w:r>
      <w:r>
        <w:rPr>
          <w:color w:val="231F20"/>
          <w:spacing w:val="-6"/>
        </w:rPr>
        <w:t> </w:t>
      </w:r>
      <w:r>
        <w:rPr>
          <w:color w:val="231F20"/>
        </w:rPr>
        <w:t>est</w:t>
      </w:r>
      <w:r>
        <w:rPr>
          <w:color w:val="231F20"/>
          <w:spacing w:val="-7"/>
        </w:rPr>
        <w:t> </w:t>
      </w:r>
      <w:r>
        <w:rPr>
          <w:color w:val="231F20"/>
        </w:rPr>
        <w:t>situé</w:t>
      </w:r>
      <w:r>
        <w:rPr>
          <w:color w:val="231F20"/>
          <w:spacing w:val="-6"/>
        </w:rPr>
        <w:t> </w:t>
      </w:r>
      <w:r>
        <w:rPr>
          <w:color w:val="231F20"/>
        </w:rPr>
        <w:t>sur</w:t>
      </w:r>
      <w:r>
        <w:rPr>
          <w:color w:val="231F20"/>
          <w:spacing w:val="-6"/>
        </w:rPr>
        <w:t> </w:t>
      </w:r>
      <w:r>
        <w:rPr>
          <w:color w:val="231F20"/>
        </w:rPr>
        <w:t>un</w:t>
      </w:r>
      <w:r>
        <w:rPr>
          <w:color w:val="231F20"/>
          <w:spacing w:val="-6"/>
        </w:rPr>
        <w:t> </w:t>
      </w:r>
      <w:r>
        <w:rPr>
          <w:color w:val="231F20"/>
        </w:rPr>
        <w:t>territoire</w:t>
      </w:r>
      <w:r>
        <w:rPr>
          <w:color w:val="231F20"/>
          <w:spacing w:val="-6"/>
        </w:rPr>
        <w:t> </w:t>
      </w:r>
      <w:r>
        <w:rPr>
          <w:color w:val="231F20"/>
        </w:rPr>
        <w:t>de</w:t>
      </w:r>
      <w:r>
        <w:rPr>
          <w:color w:val="231F20"/>
          <w:spacing w:val="-8"/>
        </w:rPr>
        <w:t> </w:t>
      </w:r>
      <w:r>
        <w:rPr>
          <w:color w:val="231F20"/>
        </w:rPr>
        <w:t>196</w:t>
      </w:r>
      <w:r>
        <w:rPr>
          <w:color w:val="231F20"/>
          <w:spacing w:val="-8"/>
        </w:rPr>
        <w:t> </w:t>
      </w:r>
      <w:r>
        <w:rPr>
          <w:color w:val="231F20"/>
        </w:rPr>
        <w:t>722</w:t>
      </w:r>
      <w:r>
        <w:rPr>
          <w:color w:val="231F20"/>
          <w:spacing w:val="-8"/>
        </w:rPr>
        <w:t> </w:t>
      </w:r>
      <w:r>
        <w:rPr>
          <w:color w:val="231F20"/>
        </w:rPr>
        <w:t>kilomètres</w:t>
      </w:r>
      <w:r>
        <w:rPr>
          <w:color w:val="231F20"/>
          <w:spacing w:val="-7"/>
        </w:rPr>
        <w:t> </w:t>
      </w:r>
      <w:r>
        <w:rPr>
          <w:color w:val="231F20"/>
        </w:rPr>
        <w:t>carrés.</w:t>
      </w:r>
      <w:r>
        <w:rPr>
          <w:color w:val="231F20"/>
          <w:spacing w:val="-7"/>
        </w:rPr>
        <w:t> </w:t>
      </w:r>
      <w:r>
        <w:rPr>
          <w:color w:val="231F20"/>
        </w:rPr>
        <w:t>Il occupe</w:t>
      </w:r>
      <w:r>
        <w:rPr>
          <w:color w:val="231F20"/>
          <w:spacing w:val="19"/>
        </w:rPr>
        <w:t> </w:t>
      </w:r>
      <w:r>
        <w:rPr>
          <w:color w:val="231F20"/>
        </w:rPr>
        <w:t>avec</w:t>
      </w:r>
      <w:r>
        <w:rPr>
          <w:color w:val="231F20"/>
          <w:spacing w:val="19"/>
        </w:rPr>
        <w:t> </w:t>
      </w:r>
      <w:r>
        <w:rPr>
          <w:color w:val="231F20"/>
        </w:rPr>
        <w:t>la</w:t>
      </w:r>
      <w:r>
        <w:rPr>
          <w:color w:val="231F20"/>
          <w:spacing w:val="16"/>
        </w:rPr>
        <w:t> </w:t>
      </w:r>
      <w:r>
        <w:rPr>
          <w:color w:val="231F20"/>
        </w:rPr>
        <w:t>presqu'île</w:t>
      </w:r>
      <w:r>
        <w:rPr>
          <w:color w:val="231F20"/>
          <w:spacing w:val="17"/>
        </w:rPr>
        <w:t> </w:t>
      </w:r>
      <w:r>
        <w:rPr>
          <w:color w:val="231F20"/>
        </w:rPr>
        <w:t>du</w:t>
      </w:r>
      <w:r>
        <w:rPr>
          <w:color w:val="231F20"/>
          <w:spacing w:val="17"/>
        </w:rPr>
        <w:t> </w:t>
      </w:r>
      <w:r>
        <w:rPr>
          <w:color w:val="231F20"/>
        </w:rPr>
        <w:t>Cap-Vert,</w:t>
      </w:r>
      <w:r>
        <w:rPr>
          <w:color w:val="231F20"/>
          <w:spacing w:val="17"/>
        </w:rPr>
        <w:t> </w:t>
      </w:r>
      <w:r>
        <w:rPr>
          <w:color w:val="231F20"/>
        </w:rPr>
        <w:t>la</w:t>
      </w:r>
      <w:r>
        <w:rPr>
          <w:color w:val="231F20"/>
          <w:spacing w:val="19"/>
        </w:rPr>
        <w:t> </w:t>
      </w:r>
      <w:r>
        <w:rPr>
          <w:color w:val="231F20"/>
        </w:rPr>
        <w:t>position</w:t>
      </w:r>
      <w:r>
        <w:rPr>
          <w:color w:val="231F20"/>
          <w:spacing w:val="19"/>
        </w:rPr>
        <w:t> </w:t>
      </w:r>
      <w:r>
        <w:rPr>
          <w:color w:val="231F20"/>
        </w:rPr>
        <w:t>la</w:t>
      </w:r>
      <w:r>
        <w:rPr>
          <w:color w:val="231F20"/>
          <w:spacing w:val="19"/>
        </w:rPr>
        <w:t> </w:t>
      </w:r>
      <w:r>
        <w:rPr>
          <w:color w:val="231F20"/>
        </w:rPr>
        <w:t>plus</w:t>
      </w:r>
      <w:r>
        <w:rPr>
          <w:color w:val="231F20"/>
          <w:spacing w:val="17"/>
        </w:rPr>
        <w:t> </w:t>
      </w:r>
      <w:r>
        <w:rPr>
          <w:color w:val="231F20"/>
        </w:rPr>
        <w:t>avancée</w:t>
      </w:r>
      <w:r>
        <w:rPr>
          <w:color w:val="231F20"/>
          <w:spacing w:val="19"/>
        </w:rPr>
        <w:t> </w:t>
      </w:r>
      <w:r>
        <w:rPr>
          <w:color w:val="231F20"/>
          <w:spacing w:val="-5"/>
        </w:rPr>
        <w:t>de</w:t>
      </w:r>
    </w:p>
    <w:p>
      <w:pPr>
        <w:pStyle w:val="BodyText"/>
        <w:spacing w:before="10"/>
        <w:ind w:left="0"/>
        <w:jc w:val="left"/>
        <w:rPr>
          <w:sz w:val="19"/>
        </w:rPr>
      </w:pPr>
      <w:r>
        <w:rPr/>
        <mc:AlternateContent>
          <mc:Choice Requires="wps">
            <w:drawing>
              <wp:anchor distT="0" distB="0" distL="0" distR="0" allowOverlap="1" layoutInCell="1" locked="0" behindDoc="1" simplePos="0" relativeHeight="487614464">
                <wp:simplePos x="0" y="0"/>
                <wp:positionH relativeFrom="page">
                  <wp:posOffset>629907</wp:posOffset>
                </wp:positionH>
                <wp:positionV relativeFrom="paragraph">
                  <wp:posOffset>160794</wp:posOffset>
                </wp:positionV>
                <wp:extent cx="1829435" cy="9525"/>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2.661016pt;width:144.020pt;height:.72pt;mso-position-horizontal-relative:page;mso-position-vertical-relative:paragraph;z-index:-15702016;mso-wrap-distance-left:0;mso-wrap-distance-right:0" id="docshape67"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85</w:t>
      </w:r>
      <w:r>
        <w:rPr>
          <w:color w:val="76787A"/>
          <w:spacing w:val="-5"/>
          <w:sz w:val="20"/>
          <w:vertAlign w:val="baseline"/>
        </w:rPr>
        <w:t> </w:t>
      </w:r>
      <w:r>
        <w:rPr>
          <w:color w:val="231F20"/>
          <w:spacing w:val="-2"/>
          <w:sz w:val="20"/>
          <w:vertAlign w:val="baseline"/>
        </w:rPr>
        <w:t>Source</w:t>
      </w:r>
      <w:r>
        <w:rPr>
          <w:color w:val="231F20"/>
          <w:spacing w:val="-8"/>
          <w:sz w:val="20"/>
          <w:vertAlign w:val="baseline"/>
        </w:rPr>
        <w:t> </w:t>
      </w:r>
      <w:r>
        <w:rPr>
          <w:color w:val="231F20"/>
          <w:spacing w:val="-2"/>
          <w:sz w:val="20"/>
          <w:vertAlign w:val="baseline"/>
        </w:rPr>
        <w:t>Wikipédia</w:t>
      </w:r>
    </w:p>
    <w:p>
      <w:pPr>
        <w:spacing w:after="0"/>
        <w:jc w:val="left"/>
        <w:rPr>
          <w:sz w:val="20"/>
        </w:rPr>
        <w:sectPr>
          <w:pgSz w:w="8790" w:h="13610"/>
          <w:pgMar w:header="0" w:footer="802" w:top="1060" w:bottom="1000" w:left="880" w:right="880"/>
        </w:sectPr>
      </w:pPr>
    </w:p>
    <w:p>
      <w:pPr>
        <w:pStyle w:val="BodyText"/>
        <w:spacing w:before="66"/>
        <w:ind w:right="104"/>
      </w:pPr>
      <w:r>
        <w:rPr>
          <w:color w:val="231F20"/>
        </w:rPr>
        <w:t>l'Afrique</w:t>
      </w:r>
      <w:r>
        <w:rPr>
          <w:color w:val="231F20"/>
          <w:spacing w:val="-2"/>
        </w:rPr>
        <w:t> </w:t>
      </w:r>
      <w:r>
        <w:rPr>
          <w:color w:val="231F20"/>
        </w:rPr>
        <w:t>de</w:t>
      </w:r>
      <w:r>
        <w:rPr>
          <w:color w:val="231F20"/>
          <w:spacing w:val="-4"/>
        </w:rPr>
        <w:t> </w:t>
      </w:r>
      <w:r>
        <w:rPr>
          <w:color w:val="231F20"/>
        </w:rPr>
        <w:t>l'Ouest</w:t>
      </w:r>
      <w:r>
        <w:rPr>
          <w:color w:val="231F20"/>
          <w:spacing w:val="-2"/>
        </w:rPr>
        <w:t> </w:t>
      </w:r>
      <w:r>
        <w:rPr>
          <w:color w:val="231F20"/>
        </w:rPr>
        <w:t>dans</w:t>
      </w:r>
      <w:r>
        <w:rPr>
          <w:color w:val="231F20"/>
          <w:spacing w:val="-3"/>
        </w:rPr>
        <w:t> </w:t>
      </w:r>
      <w:r>
        <w:rPr>
          <w:color w:val="231F20"/>
        </w:rPr>
        <w:t>l'Océan</w:t>
      </w:r>
      <w:r>
        <w:rPr>
          <w:color w:val="231F20"/>
          <w:spacing w:val="-2"/>
        </w:rPr>
        <w:t> </w:t>
      </w:r>
      <w:r>
        <w:rPr>
          <w:color w:val="231F20"/>
        </w:rPr>
        <w:t>Atlantique.</w:t>
      </w:r>
      <w:r>
        <w:rPr>
          <w:color w:val="231F20"/>
          <w:spacing w:val="-2"/>
        </w:rPr>
        <w:t> </w:t>
      </w:r>
      <w:r>
        <w:rPr>
          <w:color w:val="231F20"/>
        </w:rPr>
        <w:t>Il</w:t>
      </w:r>
      <w:r>
        <w:rPr>
          <w:color w:val="231F20"/>
          <w:spacing w:val="-1"/>
        </w:rPr>
        <w:t> </w:t>
      </w:r>
      <w:r>
        <w:rPr>
          <w:color w:val="231F20"/>
        </w:rPr>
        <w:t>est</w:t>
      </w:r>
      <w:r>
        <w:rPr>
          <w:color w:val="231F20"/>
          <w:spacing w:val="-3"/>
        </w:rPr>
        <w:t> </w:t>
      </w:r>
      <w:r>
        <w:rPr>
          <w:color w:val="231F20"/>
        </w:rPr>
        <w:t>limité</w:t>
      </w:r>
      <w:r>
        <w:rPr>
          <w:color w:val="231F20"/>
          <w:spacing w:val="-4"/>
        </w:rPr>
        <w:t> </w:t>
      </w:r>
      <w:r>
        <w:rPr>
          <w:color w:val="231F20"/>
        </w:rPr>
        <w:t>au</w:t>
      </w:r>
      <w:r>
        <w:rPr>
          <w:color w:val="231F20"/>
          <w:spacing w:val="-2"/>
        </w:rPr>
        <w:t> </w:t>
      </w:r>
      <w:r>
        <w:rPr>
          <w:color w:val="231F20"/>
        </w:rPr>
        <w:t>Nord</w:t>
      </w:r>
      <w:r>
        <w:rPr>
          <w:color w:val="231F20"/>
          <w:spacing w:val="-3"/>
        </w:rPr>
        <w:t> </w:t>
      </w:r>
      <w:r>
        <w:rPr>
          <w:color w:val="231F20"/>
        </w:rPr>
        <w:t>et</w:t>
      </w:r>
      <w:r>
        <w:rPr>
          <w:color w:val="231F20"/>
          <w:spacing w:val="-3"/>
        </w:rPr>
        <w:t> </w:t>
      </w:r>
      <w:r>
        <w:rPr>
          <w:color w:val="231F20"/>
        </w:rPr>
        <w:t>au </w:t>
      </w:r>
      <w:r>
        <w:rPr>
          <w:color w:val="231F20"/>
          <w:spacing w:val="-2"/>
        </w:rPr>
        <w:t>Nord-Est</w:t>
      </w:r>
      <w:r>
        <w:rPr>
          <w:color w:val="231F20"/>
          <w:spacing w:val="-9"/>
        </w:rPr>
        <w:t> </w:t>
      </w:r>
      <w:r>
        <w:rPr>
          <w:color w:val="231F20"/>
          <w:spacing w:val="-2"/>
        </w:rPr>
        <w:t>par</w:t>
      </w:r>
      <w:r>
        <w:rPr>
          <w:color w:val="231F20"/>
          <w:spacing w:val="-11"/>
        </w:rPr>
        <w:t> </w:t>
      </w:r>
      <w:r>
        <w:rPr>
          <w:color w:val="231F20"/>
          <w:spacing w:val="-2"/>
        </w:rPr>
        <w:t>la</w:t>
      </w:r>
      <w:r>
        <w:rPr>
          <w:color w:val="231F20"/>
          <w:spacing w:val="-9"/>
        </w:rPr>
        <w:t> </w:t>
      </w:r>
      <w:r>
        <w:rPr>
          <w:color w:val="231F20"/>
          <w:spacing w:val="-2"/>
        </w:rPr>
        <w:t>Mauritanie,</w:t>
      </w:r>
      <w:r>
        <w:rPr>
          <w:color w:val="231F20"/>
          <w:spacing w:val="-9"/>
        </w:rPr>
        <w:t> </w:t>
      </w:r>
      <w:r>
        <w:rPr>
          <w:color w:val="231F20"/>
          <w:spacing w:val="-2"/>
        </w:rPr>
        <w:t>au</w:t>
      </w:r>
      <w:r>
        <w:rPr>
          <w:color w:val="231F20"/>
          <w:spacing w:val="-9"/>
        </w:rPr>
        <w:t> </w:t>
      </w:r>
      <w:r>
        <w:rPr>
          <w:color w:val="231F20"/>
          <w:spacing w:val="-2"/>
        </w:rPr>
        <w:t>Sud-Est</w:t>
      </w:r>
      <w:r>
        <w:rPr>
          <w:color w:val="231F20"/>
          <w:spacing w:val="-8"/>
        </w:rPr>
        <w:t> </w:t>
      </w:r>
      <w:r>
        <w:rPr>
          <w:color w:val="231F20"/>
          <w:spacing w:val="-2"/>
        </w:rPr>
        <w:t>par</w:t>
      </w:r>
      <w:r>
        <w:rPr>
          <w:color w:val="231F20"/>
          <w:spacing w:val="-9"/>
        </w:rPr>
        <w:t> </w:t>
      </w:r>
      <w:r>
        <w:rPr>
          <w:color w:val="231F20"/>
          <w:spacing w:val="-2"/>
        </w:rPr>
        <w:t>le</w:t>
      </w:r>
      <w:r>
        <w:rPr>
          <w:color w:val="231F20"/>
          <w:spacing w:val="-8"/>
        </w:rPr>
        <w:t> </w:t>
      </w:r>
      <w:r>
        <w:rPr>
          <w:color w:val="231F20"/>
          <w:spacing w:val="-2"/>
        </w:rPr>
        <w:t>Mali,</w:t>
      </w:r>
      <w:r>
        <w:rPr>
          <w:color w:val="231F20"/>
          <w:spacing w:val="-11"/>
        </w:rPr>
        <w:t> </w:t>
      </w:r>
      <w:r>
        <w:rPr>
          <w:color w:val="231F20"/>
          <w:spacing w:val="-2"/>
        </w:rPr>
        <w:t>au</w:t>
      </w:r>
      <w:r>
        <w:rPr>
          <w:color w:val="231F20"/>
          <w:spacing w:val="-9"/>
        </w:rPr>
        <w:t> </w:t>
      </w:r>
      <w:r>
        <w:rPr>
          <w:color w:val="231F20"/>
          <w:spacing w:val="-2"/>
        </w:rPr>
        <w:t>Sud</w:t>
      </w:r>
      <w:r>
        <w:rPr>
          <w:color w:val="231F20"/>
          <w:spacing w:val="-9"/>
        </w:rPr>
        <w:t> </w:t>
      </w:r>
      <w:r>
        <w:rPr>
          <w:color w:val="231F20"/>
          <w:spacing w:val="-2"/>
        </w:rPr>
        <w:t>par</w:t>
      </w:r>
      <w:r>
        <w:rPr>
          <w:color w:val="231F20"/>
          <w:spacing w:val="-7"/>
        </w:rPr>
        <w:t> </w:t>
      </w:r>
      <w:r>
        <w:rPr>
          <w:color w:val="231F20"/>
          <w:spacing w:val="-2"/>
        </w:rPr>
        <w:t>la</w:t>
      </w:r>
      <w:r>
        <w:rPr>
          <w:color w:val="231F20"/>
          <w:spacing w:val="-9"/>
        </w:rPr>
        <w:t> </w:t>
      </w:r>
      <w:r>
        <w:rPr>
          <w:color w:val="231F20"/>
          <w:spacing w:val="-2"/>
        </w:rPr>
        <w:t>Guinée </w:t>
      </w:r>
      <w:r>
        <w:rPr>
          <w:color w:val="231F20"/>
        </w:rPr>
        <w:t>et</w:t>
      </w:r>
      <w:r>
        <w:rPr>
          <w:color w:val="231F20"/>
          <w:spacing w:val="-7"/>
        </w:rPr>
        <w:t> </w:t>
      </w:r>
      <w:r>
        <w:rPr>
          <w:color w:val="231F20"/>
        </w:rPr>
        <w:t>la</w:t>
      </w:r>
      <w:r>
        <w:rPr>
          <w:color w:val="231F20"/>
          <w:spacing w:val="-9"/>
        </w:rPr>
        <w:t> </w:t>
      </w:r>
      <w:r>
        <w:rPr>
          <w:color w:val="231F20"/>
        </w:rPr>
        <w:t>Guinée-</w:t>
      </w:r>
      <w:r>
        <w:rPr>
          <w:color w:val="231F20"/>
          <w:spacing w:val="-9"/>
        </w:rPr>
        <w:t> </w:t>
      </w:r>
      <w:r>
        <w:rPr>
          <w:color w:val="231F20"/>
        </w:rPr>
        <w:t>Bissau.</w:t>
      </w:r>
      <w:r>
        <w:rPr>
          <w:color w:val="231F20"/>
          <w:spacing w:val="-7"/>
        </w:rPr>
        <w:t> </w:t>
      </w:r>
      <w:r>
        <w:rPr>
          <w:color w:val="231F20"/>
        </w:rPr>
        <w:t>La</w:t>
      </w:r>
      <w:r>
        <w:rPr>
          <w:color w:val="231F20"/>
          <w:spacing w:val="-9"/>
        </w:rPr>
        <w:t> </w:t>
      </w:r>
      <w:r>
        <w:rPr>
          <w:color w:val="231F20"/>
        </w:rPr>
        <w:t>Gambie</w:t>
      </w:r>
      <w:r>
        <w:rPr>
          <w:color w:val="231F20"/>
          <w:spacing w:val="-7"/>
        </w:rPr>
        <w:t> </w:t>
      </w:r>
      <w:r>
        <w:rPr>
          <w:color w:val="231F20"/>
        </w:rPr>
        <w:t>constitue</w:t>
      </w:r>
      <w:r>
        <w:rPr>
          <w:color w:val="231F20"/>
          <w:spacing w:val="-7"/>
        </w:rPr>
        <w:t> </w:t>
      </w:r>
      <w:r>
        <w:rPr>
          <w:color w:val="231F20"/>
        </w:rPr>
        <w:t>une</w:t>
      </w:r>
      <w:r>
        <w:rPr>
          <w:color w:val="231F20"/>
          <w:spacing w:val="-10"/>
        </w:rPr>
        <w:t> </w:t>
      </w:r>
      <w:r>
        <w:rPr>
          <w:color w:val="231F20"/>
        </w:rPr>
        <w:t>enclave</w:t>
      </w:r>
      <w:r>
        <w:rPr>
          <w:color w:val="231F20"/>
          <w:spacing w:val="-7"/>
        </w:rPr>
        <w:t> </w:t>
      </w:r>
      <w:r>
        <w:rPr>
          <w:color w:val="231F20"/>
        </w:rPr>
        <w:t>de</w:t>
      </w:r>
      <w:r>
        <w:rPr>
          <w:color w:val="231F20"/>
          <w:spacing w:val="-9"/>
        </w:rPr>
        <w:t> </w:t>
      </w:r>
      <w:r>
        <w:rPr>
          <w:color w:val="231F20"/>
        </w:rPr>
        <w:t>10.300</w:t>
      </w:r>
      <w:r>
        <w:rPr>
          <w:color w:val="231F20"/>
          <w:spacing w:val="-10"/>
        </w:rPr>
        <w:t> </w:t>
      </w:r>
      <w:r>
        <w:rPr>
          <w:color w:val="231F20"/>
        </w:rPr>
        <w:t>km²</w:t>
      </w:r>
      <w:r>
        <w:rPr>
          <w:color w:val="231F20"/>
          <w:spacing w:val="-9"/>
        </w:rPr>
        <w:t> </w:t>
      </w:r>
      <w:r>
        <w:rPr>
          <w:color w:val="231F20"/>
        </w:rPr>
        <w:t>à l'intérieur du territoire sénégalais. Le pays compte plus de 90% de musulmans,</w:t>
      </w:r>
      <w:r>
        <w:rPr>
          <w:color w:val="231F20"/>
          <w:spacing w:val="-11"/>
        </w:rPr>
        <w:t> </w:t>
      </w:r>
      <w:r>
        <w:rPr>
          <w:color w:val="231F20"/>
        </w:rPr>
        <w:t>vestige</w:t>
      </w:r>
      <w:r>
        <w:rPr>
          <w:color w:val="231F20"/>
          <w:spacing w:val="-11"/>
        </w:rPr>
        <w:t> </w:t>
      </w:r>
      <w:r>
        <w:rPr>
          <w:color w:val="231F20"/>
        </w:rPr>
        <w:t>de</w:t>
      </w:r>
      <w:r>
        <w:rPr>
          <w:color w:val="231F20"/>
          <w:spacing w:val="-11"/>
        </w:rPr>
        <w:t> </w:t>
      </w:r>
      <w:r>
        <w:rPr>
          <w:color w:val="231F20"/>
        </w:rPr>
        <w:t>la</w:t>
      </w:r>
      <w:r>
        <w:rPr>
          <w:color w:val="231F20"/>
          <w:spacing w:val="-11"/>
        </w:rPr>
        <w:t> </w:t>
      </w:r>
      <w:r>
        <w:rPr>
          <w:color w:val="231F20"/>
        </w:rPr>
        <w:t>domination</w:t>
      </w:r>
      <w:r>
        <w:rPr>
          <w:color w:val="231F20"/>
          <w:spacing w:val="-11"/>
        </w:rPr>
        <w:t> </w:t>
      </w:r>
      <w:r>
        <w:rPr>
          <w:color w:val="231F20"/>
        </w:rPr>
        <w:t>des</w:t>
      </w:r>
      <w:r>
        <w:rPr>
          <w:color w:val="231F20"/>
          <w:spacing w:val="-11"/>
        </w:rPr>
        <w:t> </w:t>
      </w:r>
      <w:r>
        <w:rPr>
          <w:color w:val="231F20"/>
        </w:rPr>
        <w:t>Toucouleurs</w:t>
      </w:r>
      <w:r>
        <w:rPr>
          <w:color w:val="231F20"/>
          <w:spacing w:val="-9"/>
        </w:rPr>
        <w:t> </w:t>
      </w:r>
      <w:r>
        <w:rPr>
          <w:color w:val="231F20"/>
        </w:rPr>
        <w:t>au</w:t>
      </w:r>
      <w:r>
        <w:rPr>
          <w:color w:val="231F20"/>
          <w:spacing w:val="-9"/>
        </w:rPr>
        <w:t> </w:t>
      </w:r>
      <w:r>
        <w:rPr>
          <w:color w:val="231F20"/>
        </w:rPr>
        <w:t>IXe</w:t>
      </w:r>
      <w:r>
        <w:rPr>
          <w:color w:val="231F20"/>
          <w:spacing w:val="-9"/>
        </w:rPr>
        <w:t> </w:t>
      </w:r>
      <w:r>
        <w:rPr>
          <w:color w:val="231F20"/>
        </w:rPr>
        <w:t>siècle</w:t>
      </w:r>
      <w:r>
        <w:rPr>
          <w:color w:val="231F20"/>
          <w:spacing w:val="-11"/>
        </w:rPr>
        <w:t> </w:t>
      </w:r>
      <w:r>
        <w:rPr>
          <w:color w:val="231F20"/>
        </w:rPr>
        <w:t>sur </w:t>
      </w:r>
      <w:r>
        <w:rPr>
          <w:color w:val="231F20"/>
          <w:spacing w:val="-4"/>
        </w:rPr>
        <w:t>la</w:t>
      </w:r>
      <w:r>
        <w:rPr>
          <w:color w:val="231F20"/>
          <w:spacing w:val="-12"/>
        </w:rPr>
        <w:t> </w:t>
      </w:r>
      <w:r>
        <w:rPr>
          <w:color w:val="231F20"/>
          <w:spacing w:val="-4"/>
        </w:rPr>
        <w:t>basse</w:t>
      </w:r>
      <w:r>
        <w:rPr>
          <w:color w:val="231F20"/>
          <w:spacing w:val="-15"/>
        </w:rPr>
        <w:t> </w:t>
      </w:r>
      <w:r>
        <w:rPr>
          <w:color w:val="231F20"/>
          <w:spacing w:val="-4"/>
        </w:rPr>
        <w:t>vallée</w:t>
      </w:r>
      <w:r>
        <w:rPr>
          <w:color w:val="231F20"/>
          <w:spacing w:val="-15"/>
        </w:rPr>
        <w:t> </w:t>
      </w:r>
      <w:r>
        <w:rPr>
          <w:color w:val="231F20"/>
          <w:spacing w:val="-4"/>
        </w:rPr>
        <w:t>du</w:t>
      </w:r>
      <w:r>
        <w:rPr>
          <w:color w:val="231F20"/>
          <w:spacing w:val="-14"/>
        </w:rPr>
        <w:t> </w:t>
      </w:r>
      <w:r>
        <w:rPr>
          <w:color w:val="231F20"/>
          <w:spacing w:val="-4"/>
        </w:rPr>
        <w:t>fleuve</w:t>
      </w:r>
      <w:r>
        <w:rPr>
          <w:color w:val="231F20"/>
          <w:spacing w:val="-14"/>
        </w:rPr>
        <w:t> </w:t>
      </w:r>
      <w:r>
        <w:rPr>
          <w:color w:val="231F20"/>
          <w:spacing w:val="-4"/>
        </w:rPr>
        <w:t>Sénégal</w:t>
      </w:r>
      <w:r>
        <w:rPr>
          <w:color w:val="231F20"/>
          <w:spacing w:val="-12"/>
        </w:rPr>
        <w:t> </w:t>
      </w:r>
      <w:r>
        <w:rPr>
          <w:color w:val="231F20"/>
          <w:spacing w:val="-4"/>
        </w:rPr>
        <w:t>devenu</w:t>
      </w:r>
      <w:r>
        <w:rPr>
          <w:color w:val="231F20"/>
          <w:spacing w:val="-14"/>
        </w:rPr>
        <w:t> </w:t>
      </w:r>
      <w:r>
        <w:rPr>
          <w:color w:val="231F20"/>
          <w:spacing w:val="-4"/>
        </w:rPr>
        <w:t>le</w:t>
      </w:r>
      <w:r>
        <w:rPr>
          <w:color w:val="231F20"/>
          <w:spacing w:val="-15"/>
        </w:rPr>
        <w:t> </w:t>
      </w:r>
      <w:r>
        <w:rPr>
          <w:color w:val="231F20"/>
          <w:spacing w:val="-4"/>
        </w:rPr>
        <w:t>centre</w:t>
      </w:r>
      <w:r>
        <w:rPr>
          <w:color w:val="231F20"/>
          <w:spacing w:val="-14"/>
        </w:rPr>
        <w:t> </w:t>
      </w:r>
      <w:r>
        <w:rPr>
          <w:color w:val="231F20"/>
          <w:spacing w:val="-4"/>
        </w:rPr>
        <w:t>du</w:t>
      </w:r>
      <w:r>
        <w:rPr>
          <w:color w:val="231F20"/>
          <w:spacing w:val="-14"/>
        </w:rPr>
        <w:t> </w:t>
      </w:r>
      <w:r>
        <w:rPr>
          <w:color w:val="231F20"/>
          <w:spacing w:val="-4"/>
        </w:rPr>
        <w:t>royaume</w:t>
      </w:r>
      <w:r>
        <w:rPr>
          <w:color w:val="231F20"/>
          <w:spacing w:val="-12"/>
        </w:rPr>
        <w:t> </w:t>
      </w:r>
      <w:r>
        <w:rPr>
          <w:color w:val="231F20"/>
          <w:spacing w:val="-4"/>
        </w:rPr>
        <w:t>de</w:t>
      </w:r>
      <w:r>
        <w:rPr>
          <w:color w:val="231F20"/>
          <w:spacing w:val="-14"/>
        </w:rPr>
        <w:t> </w:t>
      </w:r>
      <w:r>
        <w:rPr>
          <w:color w:val="231F20"/>
          <w:spacing w:val="-4"/>
        </w:rPr>
        <w:t>Tekrour.</w:t>
      </w:r>
    </w:p>
    <w:p>
      <w:pPr>
        <w:pStyle w:val="BodyText"/>
        <w:spacing w:before="120"/>
        <w:ind w:right="103" w:firstLine="283"/>
      </w:pPr>
      <w:r>
        <w:rPr>
          <w:color w:val="231F20"/>
          <w:spacing w:val="-2"/>
        </w:rPr>
        <w:t>En</w:t>
      </w:r>
      <w:r>
        <w:rPr>
          <w:color w:val="231F20"/>
          <w:spacing w:val="-15"/>
        </w:rPr>
        <w:t> </w:t>
      </w:r>
      <w:r>
        <w:rPr>
          <w:color w:val="231F20"/>
          <w:spacing w:val="-2"/>
        </w:rPr>
        <w:t>1442,</w:t>
      </w:r>
      <w:r>
        <w:rPr>
          <w:color w:val="231F20"/>
          <w:spacing w:val="-13"/>
        </w:rPr>
        <w:t> </w:t>
      </w:r>
      <w:r>
        <w:rPr>
          <w:color w:val="231F20"/>
          <w:spacing w:val="-2"/>
        </w:rPr>
        <w:t>les</w:t>
      </w:r>
      <w:r>
        <w:rPr>
          <w:color w:val="231F20"/>
          <w:spacing w:val="-13"/>
        </w:rPr>
        <w:t> </w:t>
      </w:r>
      <w:r>
        <w:rPr>
          <w:color w:val="231F20"/>
          <w:spacing w:val="-2"/>
        </w:rPr>
        <w:t>Portugais</w:t>
      </w:r>
      <w:r>
        <w:rPr>
          <w:color w:val="231F20"/>
          <w:spacing w:val="-13"/>
        </w:rPr>
        <w:t> </w:t>
      </w:r>
      <w:r>
        <w:rPr>
          <w:color w:val="231F20"/>
          <w:spacing w:val="-2"/>
        </w:rPr>
        <w:t>explorent</w:t>
      </w:r>
      <w:r>
        <w:rPr>
          <w:color w:val="231F20"/>
          <w:spacing w:val="-13"/>
        </w:rPr>
        <w:t> </w:t>
      </w:r>
      <w:r>
        <w:rPr>
          <w:color w:val="231F20"/>
          <w:spacing w:val="-2"/>
        </w:rPr>
        <w:t>l'embouchure</w:t>
      </w:r>
      <w:r>
        <w:rPr>
          <w:color w:val="231F20"/>
          <w:spacing w:val="-13"/>
        </w:rPr>
        <w:t> </w:t>
      </w:r>
      <w:r>
        <w:rPr>
          <w:color w:val="231F20"/>
          <w:spacing w:val="-2"/>
        </w:rPr>
        <w:t>du</w:t>
      </w:r>
      <w:r>
        <w:rPr>
          <w:color w:val="231F20"/>
          <w:spacing w:val="-13"/>
        </w:rPr>
        <w:t> </w:t>
      </w:r>
      <w:r>
        <w:rPr>
          <w:color w:val="231F20"/>
          <w:spacing w:val="-2"/>
        </w:rPr>
        <w:t>fleuve</w:t>
      </w:r>
      <w:r>
        <w:rPr>
          <w:color w:val="231F20"/>
          <w:spacing w:val="-13"/>
        </w:rPr>
        <w:t> </w:t>
      </w:r>
      <w:r>
        <w:rPr>
          <w:color w:val="231F20"/>
          <w:spacing w:val="-2"/>
        </w:rPr>
        <w:t>Sénégal</w:t>
      </w:r>
      <w:r>
        <w:rPr>
          <w:color w:val="231F20"/>
          <w:spacing w:val="-13"/>
        </w:rPr>
        <w:t> </w:t>
      </w:r>
      <w:r>
        <w:rPr>
          <w:color w:val="231F20"/>
          <w:spacing w:val="-2"/>
        </w:rPr>
        <w:t>sans véritablement</w:t>
      </w:r>
      <w:r>
        <w:rPr>
          <w:color w:val="231F20"/>
          <w:spacing w:val="-7"/>
        </w:rPr>
        <w:t> </w:t>
      </w:r>
      <w:r>
        <w:rPr>
          <w:color w:val="231F20"/>
          <w:spacing w:val="-2"/>
        </w:rPr>
        <w:t>s’intéresser</w:t>
      </w:r>
      <w:r>
        <w:rPr>
          <w:color w:val="231F20"/>
          <w:spacing w:val="-10"/>
        </w:rPr>
        <w:t> </w:t>
      </w:r>
      <w:r>
        <w:rPr>
          <w:color w:val="231F20"/>
          <w:spacing w:val="-2"/>
        </w:rPr>
        <w:t>à</w:t>
      </w:r>
      <w:r>
        <w:rPr>
          <w:color w:val="231F20"/>
          <w:spacing w:val="-7"/>
        </w:rPr>
        <w:t> </w:t>
      </w:r>
      <w:r>
        <w:rPr>
          <w:color w:val="231F20"/>
          <w:spacing w:val="-2"/>
        </w:rPr>
        <w:t>cette</w:t>
      </w:r>
      <w:r>
        <w:rPr>
          <w:color w:val="231F20"/>
          <w:spacing w:val="-8"/>
        </w:rPr>
        <w:t> </w:t>
      </w:r>
      <w:r>
        <w:rPr>
          <w:color w:val="231F20"/>
          <w:spacing w:val="-2"/>
        </w:rPr>
        <w:t>partie</w:t>
      </w:r>
      <w:r>
        <w:rPr>
          <w:color w:val="231F20"/>
          <w:spacing w:val="-7"/>
        </w:rPr>
        <w:t> </w:t>
      </w:r>
      <w:r>
        <w:rPr>
          <w:color w:val="231F20"/>
          <w:spacing w:val="-2"/>
        </w:rPr>
        <w:t>de</w:t>
      </w:r>
      <w:r>
        <w:rPr>
          <w:color w:val="231F20"/>
          <w:spacing w:val="-10"/>
        </w:rPr>
        <w:t> </w:t>
      </w:r>
      <w:r>
        <w:rPr>
          <w:color w:val="231F20"/>
          <w:spacing w:val="-2"/>
        </w:rPr>
        <w:t>l’Afrique.</w:t>
      </w:r>
      <w:r>
        <w:rPr>
          <w:color w:val="231F20"/>
          <w:spacing w:val="-7"/>
        </w:rPr>
        <w:t> </w:t>
      </w:r>
      <w:r>
        <w:rPr>
          <w:color w:val="231F20"/>
          <w:spacing w:val="-2"/>
        </w:rPr>
        <w:t>Ce</w:t>
      </w:r>
      <w:r>
        <w:rPr>
          <w:color w:val="231F20"/>
          <w:spacing w:val="-8"/>
        </w:rPr>
        <w:t> </w:t>
      </w:r>
      <w:r>
        <w:rPr>
          <w:color w:val="231F20"/>
          <w:spacing w:val="-2"/>
        </w:rPr>
        <w:t>sont</w:t>
      </w:r>
      <w:r>
        <w:rPr>
          <w:color w:val="231F20"/>
          <w:spacing w:val="-8"/>
        </w:rPr>
        <w:t> </w:t>
      </w:r>
      <w:r>
        <w:rPr>
          <w:color w:val="231F20"/>
          <w:spacing w:val="-2"/>
        </w:rPr>
        <w:t>les</w:t>
      </w:r>
      <w:r>
        <w:rPr>
          <w:color w:val="231F20"/>
          <w:spacing w:val="-7"/>
        </w:rPr>
        <w:t> </w:t>
      </w:r>
      <w:r>
        <w:rPr>
          <w:color w:val="231F20"/>
          <w:spacing w:val="-2"/>
        </w:rPr>
        <w:t>Anglais </w:t>
      </w:r>
      <w:r>
        <w:rPr>
          <w:color w:val="231F20"/>
          <w:spacing w:val="-4"/>
        </w:rPr>
        <w:t>et</w:t>
      </w:r>
      <w:r>
        <w:rPr>
          <w:color w:val="231F20"/>
          <w:spacing w:val="-10"/>
        </w:rPr>
        <w:t> </w:t>
      </w:r>
      <w:r>
        <w:rPr>
          <w:color w:val="231F20"/>
          <w:spacing w:val="-4"/>
        </w:rPr>
        <w:t>les</w:t>
      </w:r>
      <w:r>
        <w:rPr>
          <w:color w:val="231F20"/>
          <w:spacing w:val="-9"/>
        </w:rPr>
        <w:t> </w:t>
      </w:r>
      <w:r>
        <w:rPr>
          <w:color w:val="231F20"/>
          <w:spacing w:val="-4"/>
        </w:rPr>
        <w:t>Français</w:t>
      </w:r>
      <w:r>
        <w:rPr>
          <w:color w:val="231F20"/>
          <w:spacing w:val="-9"/>
        </w:rPr>
        <w:t> </w:t>
      </w:r>
      <w:r>
        <w:rPr>
          <w:color w:val="231F20"/>
          <w:spacing w:val="-4"/>
        </w:rPr>
        <w:t>qui</w:t>
      </w:r>
      <w:r>
        <w:rPr>
          <w:color w:val="231F20"/>
          <w:spacing w:val="-9"/>
        </w:rPr>
        <w:t> </w:t>
      </w:r>
      <w:r>
        <w:rPr>
          <w:color w:val="231F20"/>
          <w:spacing w:val="-4"/>
        </w:rPr>
        <w:t>vont</w:t>
      </w:r>
      <w:r>
        <w:rPr>
          <w:color w:val="231F20"/>
          <w:spacing w:val="-9"/>
        </w:rPr>
        <w:t> </w:t>
      </w:r>
      <w:r>
        <w:rPr>
          <w:color w:val="231F20"/>
          <w:spacing w:val="-4"/>
        </w:rPr>
        <w:t>se</w:t>
      </w:r>
      <w:r>
        <w:rPr>
          <w:color w:val="231F20"/>
          <w:spacing w:val="-11"/>
        </w:rPr>
        <w:t> </w:t>
      </w:r>
      <w:r>
        <w:rPr>
          <w:color w:val="231F20"/>
          <w:spacing w:val="-4"/>
        </w:rPr>
        <w:t>la</w:t>
      </w:r>
      <w:r>
        <w:rPr>
          <w:color w:val="231F20"/>
          <w:spacing w:val="-9"/>
        </w:rPr>
        <w:t> </w:t>
      </w:r>
      <w:r>
        <w:rPr>
          <w:color w:val="231F20"/>
          <w:spacing w:val="-4"/>
        </w:rPr>
        <w:t>disputer.</w:t>
      </w:r>
      <w:r>
        <w:rPr>
          <w:color w:val="231F20"/>
          <w:spacing w:val="-9"/>
        </w:rPr>
        <w:t> </w:t>
      </w:r>
      <w:r>
        <w:rPr>
          <w:color w:val="231F20"/>
          <w:spacing w:val="-4"/>
        </w:rPr>
        <w:t>A</w:t>
      </w:r>
      <w:r>
        <w:rPr>
          <w:color w:val="231F20"/>
          <w:spacing w:val="-9"/>
        </w:rPr>
        <w:t> </w:t>
      </w:r>
      <w:r>
        <w:rPr>
          <w:color w:val="231F20"/>
          <w:spacing w:val="-4"/>
        </w:rPr>
        <w:t>partir</w:t>
      </w:r>
      <w:r>
        <w:rPr>
          <w:color w:val="231F20"/>
          <w:spacing w:val="-9"/>
        </w:rPr>
        <w:t> </w:t>
      </w:r>
      <w:r>
        <w:rPr>
          <w:color w:val="231F20"/>
          <w:spacing w:val="-4"/>
        </w:rPr>
        <w:t>du</w:t>
      </w:r>
      <w:r>
        <w:rPr>
          <w:color w:val="231F20"/>
          <w:spacing w:val="-9"/>
        </w:rPr>
        <w:t> </w:t>
      </w:r>
      <w:r>
        <w:rPr>
          <w:color w:val="231F20"/>
          <w:spacing w:val="-4"/>
        </w:rPr>
        <w:t>XVII</w:t>
      </w:r>
      <w:r>
        <w:rPr>
          <w:color w:val="231F20"/>
          <w:spacing w:val="-11"/>
        </w:rPr>
        <w:t> </w:t>
      </w:r>
      <w:r>
        <w:rPr>
          <w:color w:val="231F20"/>
          <w:spacing w:val="-4"/>
        </w:rPr>
        <w:t>siècle,</w:t>
      </w:r>
      <w:r>
        <w:rPr>
          <w:color w:val="231F20"/>
          <w:spacing w:val="-9"/>
        </w:rPr>
        <w:t> </w:t>
      </w:r>
      <w:r>
        <w:rPr>
          <w:color w:val="231F20"/>
          <w:spacing w:val="-4"/>
        </w:rPr>
        <w:t>les</w:t>
      </w:r>
      <w:r>
        <w:rPr>
          <w:color w:val="231F20"/>
          <w:spacing w:val="-10"/>
        </w:rPr>
        <w:t> </w:t>
      </w:r>
      <w:r>
        <w:rPr>
          <w:color w:val="231F20"/>
          <w:spacing w:val="-4"/>
        </w:rPr>
        <w:t>Français </w:t>
      </w:r>
      <w:r>
        <w:rPr>
          <w:color w:val="231F20"/>
          <w:spacing w:val="-2"/>
        </w:rPr>
        <w:t>explorent</w:t>
      </w:r>
      <w:r>
        <w:rPr>
          <w:color w:val="231F20"/>
          <w:spacing w:val="-8"/>
        </w:rPr>
        <w:t> </w:t>
      </w:r>
      <w:r>
        <w:rPr>
          <w:color w:val="231F20"/>
          <w:spacing w:val="-2"/>
        </w:rPr>
        <w:t>l'intérieur</w:t>
      </w:r>
      <w:r>
        <w:rPr>
          <w:color w:val="231F20"/>
          <w:spacing w:val="-8"/>
        </w:rPr>
        <w:t> </w:t>
      </w:r>
      <w:r>
        <w:rPr>
          <w:color w:val="231F20"/>
          <w:spacing w:val="-2"/>
        </w:rPr>
        <w:t>du</w:t>
      </w:r>
      <w:r>
        <w:rPr>
          <w:color w:val="231F20"/>
          <w:spacing w:val="-8"/>
        </w:rPr>
        <w:t> </w:t>
      </w:r>
      <w:r>
        <w:rPr>
          <w:color w:val="231F20"/>
          <w:spacing w:val="-2"/>
        </w:rPr>
        <w:t>pays</w:t>
      </w:r>
      <w:r>
        <w:rPr>
          <w:color w:val="231F20"/>
          <w:spacing w:val="-8"/>
        </w:rPr>
        <w:t> </w:t>
      </w:r>
      <w:r>
        <w:rPr>
          <w:color w:val="231F20"/>
          <w:spacing w:val="-2"/>
        </w:rPr>
        <w:t>en</w:t>
      </w:r>
      <w:r>
        <w:rPr>
          <w:color w:val="231F20"/>
          <w:spacing w:val="-8"/>
        </w:rPr>
        <w:t> </w:t>
      </w:r>
      <w:r>
        <w:rPr>
          <w:color w:val="231F20"/>
          <w:spacing w:val="-2"/>
        </w:rPr>
        <w:t>remontant</w:t>
      </w:r>
      <w:r>
        <w:rPr>
          <w:color w:val="231F20"/>
          <w:spacing w:val="-10"/>
        </w:rPr>
        <w:t> </w:t>
      </w:r>
      <w:r>
        <w:rPr>
          <w:color w:val="231F20"/>
          <w:spacing w:val="-2"/>
        </w:rPr>
        <w:t>le</w:t>
      </w:r>
      <w:r>
        <w:rPr>
          <w:color w:val="231F20"/>
          <w:spacing w:val="-8"/>
        </w:rPr>
        <w:t> </w:t>
      </w:r>
      <w:r>
        <w:rPr>
          <w:color w:val="231F20"/>
          <w:spacing w:val="-2"/>
        </w:rPr>
        <w:t>cours</w:t>
      </w:r>
      <w:r>
        <w:rPr>
          <w:color w:val="231F20"/>
          <w:spacing w:val="-10"/>
        </w:rPr>
        <w:t> </w:t>
      </w:r>
      <w:r>
        <w:rPr>
          <w:color w:val="231F20"/>
          <w:spacing w:val="-2"/>
        </w:rPr>
        <w:t>du</w:t>
      </w:r>
      <w:r>
        <w:rPr>
          <w:color w:val="231F20"/>
          <w:spacing w:val="-8"/>
        </w:rPr>
        <w:t> </w:t>
      </w:r>
      <w:r>
        <w:rPr>
          <w:color w:val="231F20"/>
          <w:spacing w:val="-2"/>
        </w:rPr>
        <w:t>fleuve</w:t>
      </w:r>
      <w:r>
        <w:rPr>
          <w:color w:val="231F20"/>
          <w:spacing w:val="-10"/>
        </w:rPr>
        <w:t> </w:t>
      </w:r>
      <w:r>
        <w:rPr>
          <w:color w:val="231F20"/>
          <w:spacing w:val="-2"/>
        </w:rPr>
        <w:t>Sénégal.</w:t>
      </w:r>
      <w:r>
        <w:rPr>
          <w:color w:val="231F20"/>
          <w:spacing w:val="-8"/>
        </w:rPr>
        <w:t> </w:t>
      </w:r>
      <w:r>
        <w:rPr>
          <w:color w:val="231F20"/>
          <w:spacing w:val="-2"/>
        </w:rPr>
        <w:t>En </w:t>
      </w:r>
      <w:r>
        <w:rPr>
          <w:color w:val="231F20"/>
          <w:spacing w:val="-4"/>
        </w:rPr>
        <w:t>1624,</w:t>
      </w:r>
      <w:r>
        <w:rPr>
          <w:color w:val="231F20"/>
          <w:spacing w:val="-8"/>
        </w:rPr>
        <w:t> </w:t>
      </w:r>
      <w:r>
        <w:rPr>
          <w:color w:val="231F20"/>
          <w:spacing w:val="-4"/>
        </w:rPr>
        <w:t>des</w:t>
      </w:r>
      <w:r>
        <w:rPr>
          <w:color w:val="231F20"/>
          <w:spacing w:val="-11"/>
        </w:rPr>
        <w:t> </w:t>
      </w:r>
      <w:r>
        <w:rPr>
          <w:color w:val="231F20"/>
          <w:spacing w:val="-4"/>
        </w:rPr>
        <w:t>marins</w:t>
      </w:r>
      <w:r>
        <w:rPr>
          <w:color w:val="231F20"/>
          <w:spacing w:val="-8"/>
        </w:rPr>
        <w:t> </w:t>
      </w:r>
      <w:r>
        <w:rPr>
          <w:color w:val="231F20"/>
          <w:spacing w:val="-4"/>
        </w:rPr>
        <w:t>français</w:t>
      </w:r>
      <w:r>
        <w:rPr>
          <w:color w:val="231F20"/>
          <w:spacing w:val="-11"/>
        </w:rPr>
        <w:t> </w:t>
      </w:r>
      <w:r>
        <w:rPr>
          <w:color w:val="231F20"/>
          <w:spacing w:val="-4"/>
        </w:rPr>
        <w:t>fondent</w:t>
      </w:r>
      <w:r>
        <w:rPr>
          <w:color w:val="231F20"/>
          <w:spacing w:val="-8"/>
        </w:rPr>
        <w:t> </w:t>
      </w:r>
      <w:r>
        <w:rPr>
          <w:color w:val="231F20"/>
          <w:spacing w:val="-4"/>
        </w:rPr>
        <w:t>la</w:t>
      </w:r>
      <w:r>
        <w:rPr>
          <w:color w:val="231F20"/>
          <w:spacing w:val="-10"/>
        </w:rPr>
        <w:t> </w:t>
      </w:r>
      <w:r>
        <w:rPr>
          <w:color w:val="231F20"/>
          <w:spacing w:val="-4"/>
        </w:rPr>
        <w:t>Compagnie</w:t>
      </w:r>
      <w:r>
        <w:rPr>
          <w:color w:val="231F20"/>
          <w:spacing w:val="-8"/>
        </w:rPr>
        <w:t> </w:t>
      </w:r>
      <w:r>
        <w:rPr>
          <w:color w:val="231F20"/>
          <w:spacing w:val="-4"/>
        </w:rPr>
        <w:t>du</w:t>
      </w:r>
      <w:r>
        <w:rPr>
          <w:color w:val="231F20"/>
          <w:spacing w:val="-8"/>
        </w:rPr>
        <w:t> </w:t>
      </w:r>
      <w:r>
        <w:rPr>
          <w:color w:val="231F20"/>
          <w:spacing w:val="-4"/>
        </w:rPr>
        <w:t>Sénégal</w:t>
      </w:r>
      <w:r>
        <w:rPr>
          <w:color w:val="231F20"/>
          <w:spacing w:val="-8"/>
        </w:rPr>
        <w:t> </w:t>
      </w:r>
      <w:r>
        <w:rPr>
          <w:color w:val="231F20"/>
          <w:spacing w:val="-4"/>
        </w:rPr>
        <w:t>et</w:t>
      </w:r>
      <w:r>
        <w:rPr>
          <w:color w:val="231F20"/>
          <w:spacing w:val="-8"/>
        </w:rPr>
        <w:t> </w:t>
      </w:r>
      <w:r>
        <w:rPr>
          <w:color w:val="231F20"/>
          <w:spacing w:val="-4"/>
        </w:rPr>
        <w:t>de</w:t>
      </w:r>
      <w:r>
        <w:rPr>
          <w:color w:val="231F20"/>
          <w:spacing w:val="-10"/>
        </w:rPr>
        <w:t> </w:t>
      </w:r>
      <w:r>
        <w:rPr>
          <w:color w:val="231F20"/>
          <w:spacing w:val="-4"/>
        </w:rPr>
        <w:t>Gambie </w:t>
      </w:r>
      <w:r>
        <w:rPr>
          <w:color w:val="231F20"/>
        </w:rPr>
        <w:t>qui</w:t>
      </w:r>
      <w:r>
        <w:rPr>
          <w:color w:val="231F20"/>
          <w:spacing w:val="-7"/>
        </w:rPr>
        <w:t> </w:t>
      </w:r>
      <w:r>
        <w:rPr>
          <w:color w:val="231F20"/>
        </w:rPr>
        <w:t>deviendra</w:t>
      </w:r>
      <w:r>
        <w:rPr>
          <w:color w:val="231F20"/>
          <w:spacing w:val="-7"/>
        </w:rPr>
        <w:t> </w:t>
      </w:r>
      <w:r>
        <w:rPr>
          <w:color w:val="231F20"/>
        </w:rPr>
        <w:t>la</w:t>
      </w:r>
      <w:r>
        <w:rPr>
          <w:color w:val="231F20"/>
          <w:spacing w:val="-7"/>
        </w:rPr>
        <w:t> </w:t>
      </w:r>
      <w:r>
        <w:rPr>
          <w:color w:val="231F20"/>
        </w:rPr>
        <w:t>Compagnie</w:t>
      </w:r>
      <w:r>
        <w:rPr>
          <w:color w:val="231F20"/>
          <w:spacing w:val="-7"/>
        </w:rPr>
        <w:t> </w:t>
      </w:r>
      <w:r>
        <w:rPr>
          <w:color w:val="231F20"/>
        </w:rPr>
        <w:t>du</w:t>
      </w:r>
      <w:r>
        <w:rPr>
          <w:color w:val="231F20"/>
          <w:spacing w:val="-7"/>
        </w:rPr>
        <w:t> </w:t>
      </w:r>
      <w:r>
        <w:rPr>
          <w:color w:val="231F20"/>
        </w:rPr>
        <w:t>Cap</w:t>
      </w:r>
      <w:r>
        <w:rPr>
          <w:color w:val="231F20"/>
          <w:spacing w:val="-5"/>
        </w:rPr>
        <w:t> </w:t>
      </w:r>
      <w:r>
        <w:rPr>
          <w:color w:val="231F20"/>
        </w:rPr>
        <w:t>Vert</w:t>
      </w:r>
      <w:r>
        <w:rPr>
          <w:color w:val="231F20"/>
          <w:spacing w:val="-6"/>
        </w:rPr>
        <w:t> </w:t>
      </w:r>
      <w:r>
        <w:rPr>
          <w:color w:val="231F20"/>
        </w:rPr>
        <w:t>ayant</w:t>
      </w:r>
      <w:r>
        <w:rPr>
          <w:color w:val="231F20"/>
          <w:spacing w:val="-6"/>
        </w:rPr>
        <w:t> </w:t>
      </w:r>
      <w:r>
        <w:rPr>
          <w:color w:val="231F20"/>
        </w:rPr>
        <w:t>le</w:t>
      </w:r>
      <w:r>
        <w:rPr>
          <w:color w:val="231F20"/>
          <w:spacing w:val="-9"/>
        </w:rPr>
        <w:t> </w:t>
      </w:r>
      <w:r>
        <w:rPr>
          <w:color w:val="231F20"/>
        </w:rPr>
        <w:t>monopole</w:t>
      </w:r>
      <w:r>
        <w:rPr>
          <w:color w:val="231F20"/>
          <w:spacing w:val="-7"/>
        </w:rPr>
        <w:t> </w:t>
      </w:r>
      <w:r>
        <w:rPr>
          <w:color w:val="231F20"/>
        </w:rPr>
        <w:t>de</w:t>
      </w:r>
      <w:r>
        <w:rPr>
          <w:color w:val="231F20"/>
          <w:spacing w:val="-7"/>
        </w:rPr>
        <w:t> </w:t>
      </w:r>
      <w:r>
        <w:rPr>
          <w:color w:val="231F20"/>
        </w:rPr>
        <w:t>la</w:t>
      </w:r>
      <w:r>
        <w:rPr>
          <w:color w:val="231F20"/>
          <w:spacing w:val="-7"/>
        </w:rPr>
        <w:t> </w:t>
      </w:r>
      <w:r>
        <w:rPr>
          <w:color w:val="231F20"/>
        </w:rPr>
        <w:t>traite des esclaves. Cette compagnie crée en 1659, la ville de Saint-Louis et s'installe</w:t>
      </w:r>
      <w:r>
        <w:rPr>
          <w:color w:val="231F20"/>
          <w:spacing w:val="-9"/>
        </w:rPr>
        <w:t> </w:t>
      </w:r>
      <w:r>
        <w:rPr>
          <w:color w:val="231F20"/>
        </w:rPr>
        <w:t>sur</w:t>
      </w:r>
      <w:r>
        <w:rPr>
          <w:color w:val="231F20"/>
          <w:spacing w:val="-9"/>
        </w:rPr>
        <w:t> </w:t>
      </w:r>
      <w:r>
        <w:rPr>
          <w:color w:val="231F20"/>
        </w:rPr>
        <w:t>l'ile</w:t>
      </w:r>
      <w:r>
        <w:rPr>
          <w:color w:val="231F20"/>
          <w:spacing w:val="-9"/>
        </w:rPr>
        <w:t> </w:t>
      </w:r>
      <w:r>
        <w:rPr>
          <w:color w:val="231F20"/>
        </w:rPr>
        <w:t>de</w:t>
      </w:r>
      <w:r>
        <w:rPr>
          <w:color w:val="231F20"/>
          <w:spacing w:val="-8"/>
        </w:rPr>
        <w:t> </w:t>
      </w:r>
      <w:r>
        <w:rPr>
          <w:color w:val="231F20"/>
        </w:rPr>
        <w:t>Gorée,</w:t>
      </w:r>
      <w:r>
        <w:rPr>
          <w:color w:val="231F20"/>
          <w:spacing w:val="-8"/>
        </w:rPr>
        <w:t> </w:t>
      </w:r>
      <w:r>
        <w:rPr>
          <w:color w:val="231F20"/>
        </w:rPr>
        <w:t>une</w:t>
      </w:r>
      <w:r>
        <w:rPr>
          <w:color w:val="231F20"/>
          <w:spacing w:val="-9"/>
        </w:rPr>
        <w:t> </w:t>
      </w:r>
      <w:r>
        <w:rPr>
          <w:color w:val="231F20"/>
        </w:rPr>
        <w:t>des</w:t>
      </w:r>
      <w:r>
        <w:rPr>
          <w:color w:val="231F20"/>
          <w:spacing w:val="-8"/>
        </w:rPr>
        <w:t> </w:t>
      </w:r>
      <w:r>
        <w:rPr>
          <w:color w:val="231F20"/>
        </w:rPr>
        <w:t>bases</w:t>
      </w:r>
      <w:r>
        <w:rPr>
          <w:color w:val="231F20"/>
          <w:spacing w:val="-8"/>
        </w:rPr>
        <w:t> </w:t>
      </w:r>
      <w:r>
        <w:rPr>
          <w:color w:val="231F20"/>
        </w:rPr>
        <w:t>de</w:t>
      </w:r>
      <w:r>
        <w:rPr>
          <w:color w:val="231F20"/>
          <w:spacing w:val="-9"/>
        </w:rPr>
        <w:t> </w:t>
      </w:r>
      <w:r>
        <w:rPr>
          <w:color w:val="231F20"/>
        </w:rPr>
        <w:t>la</w:t>
      </w:r>
      <w:r>
        <w:rPr>
          <w:color w:val="231F20"/>
          <w:spacing w:val="-7"/>
        </w:rPr>
        <w:t> </w:t>
      </w:r>
      <w:r>
        <w:rPr>
          <w:color w:val="231F20"/>
        </w:rPr>
        <w:t>traite</w:t>
      </w:r>
      <w:r>
        <w:rPr>
          <w:color w:val="231F20"/>
          <w:spacing w:val="-8"/>
        </w:rPr>
        <w:t> </w:t>
      </w:r>
      <w:r>
        <w:rPr>
          <w:color w:val="231F20"/>
        </w:rPr>
        <w:t>transatlantique.</w:t>
      </w:r>
      <w:r>
        <w:rPr>
          <w:color w:val="231F20"/>
          <w:spacing w:val="-8"/>
        </w:rPr>
        <w:t> </w:t>
      </w:r>
      <w:r>
        <w:rPr>
          <w:color w:val="231F20"/>
        </w:rPr>
        <w:t>La colonisation française au XIXème siècle est menée sous le </w:t>
      </w:r>
      <w:r>
        <w:rPr>
          <w:color w:val="231F20"/>
          <w:spacing w:val="-4"/>
        </w:rPr>
        <w:t>commandement</w:t>
      </w:r>
      <w:r>
        <w:rPr>
          <w:color w:val="231F20"/>
          <w:spacing w:val="-7"/>
        </w:rPr>
        <w:t> </w:t>
      </w:r>
      <w:r>
        <w:rPr>
          <w:color w:val="231F20"/>
          <w:spacing w:val="-4"/>
        </w:rPr>
        <w:t>du</w:t>
      </w:r>
      <w:r>
        <w:rPr>
          <w:color w:val="231F20"/>
          <w:spacing w:val="-8"/>
        </w:rPr>
        <w:t> </w:t>
      </w:r>
      <w:r>
        <w:rPr>
          <w:color w:val="231F20"/>
          <w:spacing w:val="-4"/>
        </w:rPr>
        <w:t>gouverneur</w:t>
      </w:r>
      <w:r>
        <w:rPr>
          <w:color w:val="231F20"/>
          <w:spacing w:val="-6"/>
        </w:rPr>
        <w:t> </w:t>
      </w:r>
      <w:r>
        <w:rPr>
          <w:color w:val="231F20"/>
          <w:spacing w:val="-4"/>
        </w:rPr>
        <w:t>du</w:t>
      </w:r>
      <w:r>
        <w:rPr>
          <w:color w:val="231F20"/>
          <w:spacing w:val="-8"/>
        </w:rPr>
        <w:t> </w:t>
      </w:r>
      <w:r>
        <w:rPr>
          <w:color w:val="231F20"/>
          <w:spacing w:val="-4"/>
        </w:rPr>
        <w:t>Sénégal,</w:t>
      </w:r>
      <w:r>
        <w:rPr>
          <w:color w:val="231F20"/>
          <w:spacing w:val="-5"/>
        </w:rPr>
        <w:t> </w:t>
      </w:r>
      <w:r>
        <w:rPr>
          <w:color w:val="231F20"/>
          <w:spacing w:val="-4"/>
        </w:rPr>
        <w:t>le</w:t>
      </w:r>
      <w:r>
        <w:rPr>
          <w:color w:val="231F20"/>
          <w:spacing w:val="-9"/>
        </w:rPr>
        <w:t> </w:t>
      </w:r>
      <w:r>
        <w:rPr>
          <w:color w:val="231F20"/>
          <w:spacing w:val="-4"/>
        </w:rPr>
        <w:t>général</w:t>
      </w:r>
      <w:r>
        <w:rPr>
          <w:color w:val="231F20"/>
          <w:spacing w:val="-6"/>
        </w:rPr>
        <w:t> </w:t>
      </w:r>
      <w:r>
        <w:rPr>
          <w:color w:val="231F20"/>
          <w:spacing w:val="-4"/>
        </w:rPr>
        <w:t>Faidherbe,</w:t>
      </w:r>
      <w:r>
        <w:rPr>
          <w:color w:val="231F20"/>
          <w:spacing w:val="-8"/>
        </w:rPr>
        <w:t> </w:t>
      </w:r>
      <w:r>
        <w:rPr>
          <w:color w:val="231F20"/>
          <w:spacing w:val="-4"/>
        </w:rPr>
        <w:t>de</w:t>
      </w:r>
      <w:r>
        <w:rPr>
          <w:color w:val="231F20"/>
          <w:spacing w:val="-7"/>
        </w:rPr>
        <w:t> </w:t>
      </w:r>
      <w:r>
        <w:rPr>
          <w:color w:val="231F20"/>
          <w:spacing w:val="-4"/>
        </w:rPr>
        <w:t>1854 </w:t>
      </w:r>
      <w:r>
        <w:rPr>
          <w:color w:val="231F20"/>
        </w:rPr>
        <w:t>à 1865.</w:t>
      </w:r>
    </w:p>
    <w:p>
      <w:pPr>
        <w:pStyle w:val="BodyText"/>
        <w:spacing w:before="121"/>
        <w:ind w:right="108" w:firstLine="283"/>
      </w:pPr>
      <w:r>
        <w:rPr>
          <w:color w:val="231F20"/>
        </w:rPr>
        <w:t>En</w:t>
      </w:r>
      <w:r>
        <w:rPr>
          <w:color w:val="231F20"/>
          <w:spacing w:val="-12"/>
        </w:rPr>
        <w:t> </w:t>
      </w:r>
      <w:r>
        <w:rPr>
          <w:color w:val="231F20"/>
        </w:rPr>
        <w:t>1854,</w:t>
      </w:r>
      <w:r>
        <w:rPr>
          <w:color w:val="231F20"/>
          <w:spacing w:val="-13"/>
        </w:rPr>
        <w:t> </w:t>
      </w:r>
      <w:r>
        <w:rPr>
          <w:color w:val="231F20"/>
        </w:rPr>
        <w:t>il</w:t>
      </w:r>
      <w:r>
        <w:rPr>
          <w:color w:val="231F20"/>
          <w:spacing w:val="-13"/>
        </w:rPr>
        <w:t> </w:t>
      </w:r>
      <w:r>
        <w:rPr>
          <w:color w:val="231F20"/>
        </w:rPr>
        <w:t>vainc</w:t>
      </w:r>
      <w:r>
        <w:rPr>
          <w:color w:val="231F20"/>
          <w:spacing w:val="-14"/>
        </w:rPr>
        <w:t> </w:t>
      </w:r>
      <w:r>
        <w:rPr>
          <w:color w:val="231F20"/>
        </w:rPr>
        <w:t>le</w:t>
      </w:r>
      <w:r>
        <w:rPr>
          <w:color w:val="231F20"/>
          <w:spacing w:val="-14"/>
        </w:rPr>
        <w:t> </w:t>
      </w:r>
      <w:r>
        <w:rPr>
          <w:color w:val="231F20"/>
        </w:rPr>
        <w:t>chef</w:t>
      </w:r>
      <w:r>
        <w:rPr>
          <w:color w:val="231F20"/>
          <w:spacing w:val="-15"/>
        </w:rPr>
        <w:t> </w:t>
      </w:r>
      <w:r>
        <w:rPr>
          <w:color w:val="231F20"/>
        </w:rPr>
        <w:t>Toucouleur</w:t>
      </w:r>
      <w:r>
        <w:rPr>
          <w:color w:val="231F20"/>
          <w:spacing w:val="-12"/>
        </w:rPr>
        <w:t> </w:t>
      </w:r>
      <w:r>
        <w:rPr>
          <w:color w:val="231F20"/>
        </w:rPr>
        <w:t>El-hadj</w:t>
      </w:r>
      <w:r>
        <w:rPr>
          <w:color w:val="231F20"/>
          <w:spacing w:val="-12"/>
        </w:rPr>
        <w:t> </w:t>
      </w:r>
      <w:r>
        <w:rPr>
          <w:color w:val="231F20"/>
        </w:rPr>
        <w:t>Omar</w:t>
      </w:r>
      <w:r>
        <w:rPr>
          <w:color w:val="231F20"/>
          <w:spacing w:val="-14"/>
        </w:rPr>
        <w:t> </w:t>
      </w:r>
      <w:r>
        <w:rPr>
          <w:color w:val="231F20"/>
        </w:rPr>
        <w:t>qui</w:t>
      </w:r>
      <w:r>
        <w:rPr>
          <w:color w:val="231F20"/>
          <w:spacing w:val="-13"/>
        </w:rPr>
        <w:t> </w:t>
      </w:r>
      <w:r>
        <w:rPr>
          <w:color w:val="231F20"/>
        </w:rPr>
        <w:t>s'était</w:t>
      </w:r>
      <w:r>
        <w:rPr>
          <w:color w:val="231F20"/>
          <w:spacing w:val="-13"/>
        </w:rPr>
        <w:t> </w:t>
      </w:r>
      <w:r>
        <w:rPr>
          <w:color w:val="231F20"/>
        </w:rPr>
        <w:t>emparé </w:t>
      </w:r>
      <w:r>
        <w:rPr>
          <w:color w:val="231F20"/>
          <w:spacing w:val="-2"/>
        </w:rPr>
        <w:t>du</w:t>
      </w:r>
      <w:r>
        <w:rPr>
          <w:color w:val="231F20"/>
          <w:spacing w:val="-9"/>
        </w:rPr>
        <w:t> </w:t>
      </w:r>
      <w:r>
        <w:rPr>
          <w:color w:val="231F20"/>
          <w:spacing w:val="-2"/>
        </w:rPr>
        <w:t>poste</w:t>
      </w:r>
      <w:r>
        <w:rPr>
          <w:color w:val="231F20"/>
          <w:spacing w:val="-13"/>
        </w:rPr>
        <w:t> </w:t>
      </w:r>
      <w:r>
        <w:rPr>
          <w:color w:val="231F20"/>
          <w:spacing w:val="-2"/>
        </w:rPr>
        <w:t>de</w:t>
      </w:r>
      <w:r>
        <w:rPr>
          <w:color w:val="231F20"/>
          <w:spacing w:val="-13"/>
        </w:rPr>
        <w:t> </w:t>
      </w:r>
      <w:r>
        <w:rPr>
          <w:color w:val="231F20"/>
          <w:spacing w:val="-2"/>
        </w:rPr>
        <w:t>Médine</w:t>
      </w:r>
      <w:r>
        <w:rPr>
          <w:color w:val="231F20"/>
          <w:spacing w:val="-9"/>
        </w:rPr>
        <w:t> </w:t>
      </w:r>
      <w:r>
        <w:rPr>
          <w:color w:val="231F20"/>
          <w:spacing w:val="-2"/>
        </w:rPr>
        <w:t>sur</w:t>
      </w:r>
      <w:r>
        <w:rPr>
          <w:color w:val="231F20"/>
          <w:spacing w:val="-12"/>
        </w:rPr>
        <w:t> </w:t>
      </w:r>
      <w:r>
        <w:rPr>
          <w:color w:val="231F20"/>
          <w:spacing w:val="-2"/>
        </w:rPr>
        <w:t>le</w:t>
      </w:r>
      <w:r>
        <w:rPr>
          <w:color w:val="231F20"/>
          <w:spacing w:val="-12"/>
        </w:rPr>
        <w:t> </w:t>
      </w:r>
      <w:r>
        <w:rPr>
          <w:color w:val="231F20"/>
          <w:spacing w:val="-2"/>
        </w:rPr>
        <w:t>Haut-Sénégal.</w:t>
      </w:r>
      <w:r>
        <w:rPr>
          <w:color w:val="231F20"/>
          <w:spacing w:val="-12"/>
        </w:rPr>
        <w:t> </w:t>
      </w:r>
      <w:r>
        <w:rPr>
          <w:color w:val="231F20"/>
          <w:spacing w:val="-2"/>
        </w:rPr>
        <w:t>En</w:t>
      </w:r>
      <w:r>
        <w:rPr>
          <w:color w:val="231F20"/>
          <w:spacing w:val="-12"/>
        </w:rPr>
        <w:t> </w:t>
      </w:r>
      <w:r>
        <w:rPr>
          <w:color w:val="231F20"/>
          <w:spacing w:val="-2"/>
        </w:rPr>
        <w:t>1858,</w:t>
      </w:r>
      <w:r>
        <w:rPr>
          <w:color w:val="231F20"/>
          <w:spacing w:val="-12"/>
        </w:rPr>
        <w:t> </w:t>
      </w:r>
      <w:r>
        <w:rPr>
          <w:color w:val="231F20"/>
          <w:spacing w:val="-2"/>
        </w:rPr>
        <w:t>il</w:t>
      </w:r>
      <w:r>
        <w:rPr>
          <w:color w:val="231F20"/>
          <w:spacing w:val="-11"/>
        </w:rPr>
        <w:t> </w:t>
      </w:r>
      <w:r>
        <w:rPr>
          <w:color w:val="231F20"/>
          <w:spacing w:val="-2"/>
        </w:rPr>
        <w:t>repousse</w:t>
      </w:r>
      <w:r>
        <w:rPr>
          <w:color w:val="231F20"/>
          <w:spacing w:val="-12"/>
        </w:rPr>
        <w:t> </w:t>
      </w:r>
      <w:r>
        <w:rPr>
          <w:color w:val="231F20"/>
          <w:spacing w:val="-2"/>
        </w:rPr>
        <w:t>les</w:t>
      </w:r>
      <w:r>
        <w:rPr>
          <w:color w:val="231F20"/>
          <w:spacing w:val="-12"/>
        </w:rPr>
        <w:t> </w:t>
      </w:r>
      <w:r>
        <w:rPr>
          <w:color w:val="231F20"/>
          <w:spacing w:val="-2"/>
        </w:rPr>
        <w:t>Maures </w:t>
      </w:r>
      <w:r>
        <w:rPr>
          <w:color w:val="231F20"/>
        </w:rPr>
        <w:t>au</w:t>
      </w:r>
      <w:r>
        <w:rPr>
          <w:color w:val="231F20"/>
          <w:spacing w:val="-4"/>
        </w:rPr>
        <w:t> </w:t>
      </w:r>
      <w:r>
        <w:rPr>
          <w:color w:val="231F20"/>
        </w:rPr>
        <w:t>nord</w:t>
      </w:r>
      <w:r>
        <w:rPr>
          <w:color w:val="231F20"/>
          <w:spacing w:val="-6"/>
        </w:rPr>
        <w:t> </w:t>
      </w:r>
      <w:r>
        <w:rPr>
          <w:color w:val="231F20"/>
        </w:rPr>
        <w:t>du</w:t>
      </w:r>
      <w:r>
        <w:rPr>
          <w:color w:val="231F20"/>
          <w:spacing w:val="-4"/>
        </w:rPr>
        <w:t> </w:t>
      </w:r>
      <w:r>
        <w:rPr>
          <w:color w:val="231F20"/>
        </w:rPr>
        <w:t>fleuve</w:t>
      </w:r>
      <w:r>
        <w:rPr>
          <w:color w:val="231F20"/>
          <w:spacing w:val="-4"/>
        </w:rPr>
        <w:t> </w:t>
      </w:r>
      <w:r>
        <w:rPr>
          <w:color w:val="231F20"/>
        </w:rPr>
        <w:t>sénégal.</w:t>
      </w:r>
      <w:r>
        <w:rPr>
          <w:color w:val="231F20"/>
          <w:spacing w:val="-6"/>
        </w:rPr>
        <w:t> </w:t>
      </w:r>
      <w:r>
        <w:rPr>
          <w:color w:val="231F20"/>
        </w:rPr>
        <w:t>Il</w:t>
      </w:r>
      <w:r>
        <w:rPr>
          <w:color w:val="231F20"/>
          <w:spacing w:val="-3"/>
        </w:rPr>
        <w:t> </w:t>
      </w:r>
      <w:r>
        <w:rPr>
          <w:color w:val="231F20"/>
        </w:rPr>
        <w:t>annexe</w:t>
      </w:r>
      <w:r>
        <w:rPr>
          <w:color w:val="231F20"/>
          <w:spacing w:val="-4"/>
        </w:rPr>
        <w:t> </w:t>
      </w:r>
      <w:r>
        <w:rPr>
          <w:color w:val="231F20"/>
        </w:rPr>
        <w:t>les</w:t>
      </w:r>
      <w:r>
        <w:rPr>
          <w:color w:val="231F20"/>
          <w:spacing w:val="-6"/>
        </w:rPr>
        <w:t> </w:t>
      </w:r>
      <w:r>
        <w:rPr>
          <w:color w:val="231F20"/>
        </w:rPr>
        <w:t>territoires</w:t>
      </w:r>
      <w:r>
        <w:rPr>
          <w:color w:val="231F20"/>
          <w:spacing w:val="-8"/>
        </w:rPr>
        <w:t> </w:t>
      </w:r>
      <w:r>
        <w:rPr>
          <w:color w:val="231F20"/>
        </w:rPr>
        <w:t>Wolofs.</w:t>
      </w:r>
    </w:p>
    <w:p>
      <w:pPr>
        <w:pStyle w:val="BodyText"/>
        <w:spacing w:before="120"/>
        <w:ind w:right="105" w:firstLine="283"/>
      </w:pPr>
      <w:r>
        <w:rPr>
          <w:color w:val="231F20"/>
        </w:rPr>
        <w:t>Faidherbe crée une liaison entre les villes de Saint-Louis et Gorée, </w:t>
      </w:r>
      <w:r>
        <w:rPr>
          <w:color w:val="231F20"/>
          <w:spacing w:val="-2"/>
        </w:rPr>
        <w:t>puis,</w:t>
      </w:r>
      <w:r>
        <w:rPr>
          <w:color w:val="231F20"/>
          <w:spacing w:val="-13"/>
        </w:rPr>
        <w:t> </w:t>
      </w:r>
      <w:r>
        <w:rPr>
          <w:color w:val="231F20"/>
          <w:spacing w:val="-2"/>
        </w:rPr>
        <w:t>fonde</w:t>
      </w:r>
      <w:r>
        <w:rPr>
          <w:color w:val="231F20"/>
          <w:spacing w:val="-13"/>
        </w:rPr>
        <w:t> </w:t>
      </w:r>
      <w:r>
        <w:rPr>
          <w:color w:val="231F20"/>
          <w:spacing w:val="-2"/>
        </w:rPr>
        <w:t>les</w:t>
      </w:r>
      <w:r>
        <w:rPr>
          <w:color w:val="231F20"/>
          <w:spacing w:val="-13"/>
        </w:rPr>
        <w:t> </w:t>
      </w:r>
      <w:r>
        <w:rPr>
          <w:color w:val="231F20"/>
          <w:spacing w:val="-2"/>
        </w:rPr>
        <w:t>villes</w:t>
      </w:r>
      <w:r>
        <w:rPr>
          <w:color w:val="231F20"/>
          <w:spacing w:val="-13"/>
        </w:rPr>
        <w:t> </w:t>
      </w:r>
      <w:r>
        <w:rPr>
          <w:color w:val="231F20"/>
          <w:spacing w:val="-2"/>
        </w:rPr>
        <w:t>de</w:t>
      </w:r>
      <w:r>
        <w:rPr>
          <w:color w:val="231F20"/>
          <w:spacing w:val="-13"/>
        </w:rPr>
        <w:t> </w:t>
      </w:r>
      <w:r>
        <w:rPr>
          <w:color w:val="231F20"/>
          <w:spacing w:val="-2"/>
        </w:rPr>
        <w:t>Dakar</w:t>
      </w:r>
      <w:r>
        <w:rPr>
          <w:color w:val="231F20"/>
          <w:spacing w:val="-13"/>
        </w:rPr>
        <w:t> </w:t>
      </w:r>
      <w:r>
        <w:rPr>
          <w:color w:val="231F20"/>
          <w:spacing w:val="-2"/>
        </w:rPr>
        <w:t>et</w:t>
      </w:r>
      <w:r>
        <w:rPr>
          <w:color w:val="231F20"/>
          <w:spacing w:val="-13"/>
        </w:rPr>
        <w:t> </w:t>
      </w:r>
      <w:r>
        <w:rPr>
          <w:color w:val="231F20"/>
          <w:spacing w:val="-2"/>
        </w:rPr>
        <w:t>Rufisque</w:t>
      </w:r>
      <w:r>
        <w:rPr>
          <w:color w:val="231F20"/>
          <w:spacing w:val="-13"/>
        </w:rPr>
        <w:t> </w:t>
      </w:r>
      <w:r>
        <w:rPr>
          <w:color w:val="231F20"/>
          <w:spacing w:val="-2"/>
        </w:rPr>
        <w:t>qui</w:t>
      </w:r>
      <w:r>
        <w:rPr>
          <w:color w:val="231F20"/>
          <w:spacing w:val="-13"/>
        </w:rPr>
        <w:t> </w:t>
      </w:r>
      <w:r>
        <w:rPr>
          <w:color w:val="231F20"/>
          <w:spacing w:val="-2"/>
        </w:rPr>
        <w:t>sont</w:t>
      </w:r>
      <w:r>
        <w:rPr>
          <w:color w:val="231F20"/>
          <w:spacing w:val="-13"/>
        </w:rPr>
        <w:t> </w:t>
      </w:r>
      <w:r>
        <w:rPr>
          <w:color w:val="231F20"/>
          <w:spacing w:val="-2"/>
        </w:rPr>
        <w:t>érigées</w:t>
      </w:r>
      <w:r>
        <w:rPr>
          <w:color w:val="231F20"/>
          <w:spacing w:val="-13"/>
        </w:rPr>
        <w:t> </w:t>
      </w:r>
      <w:r>
        <w:rPr>
          <w:color w:val="231F20"/>
          <w:spacing w:val="-2"/>
        </w:rPr>
        <w:t>en</w:t>
      </w:r>
      <w:r>
        <w:rPr>
          <w:color w:val="231F20"/>
          <w:spacing w:val="-13"/>
        </w:rPr>
        <w:t> </w:t>
      </w:r>
      <w:r>
        <w:rPr>
          <w:color w:val="231F20"/>
          <w:spacing w:val="-2"/>
        </w:rPr>
        <w:t>Communes françaises</w:t>
      </w:r>
      <w:r>
        <w:rPr>
          <w:color w:val="231F20"/>
          <w:spacing w:val="-12"/>
        </w:rPr>
        <w:t> </w:t>
      </w:r>
      <w:r>
        <w:rPr>
          <w:color w:val="231F20"/>
          <w:spacing w:val="-2"/>
        </w:rPr>
        <w:t>avec</w:t>
      </w:r>
      <w:r>
        <w:rPr>
          <w:color w:val="231F20"/>
          <w:spacing w:val="-12"/>
        </w:rPr>
        <w:t> </w:t>
      </w:r>
      <w:r>
        <w:rPr>
          <w:color w:val="231F20"/>
          <w:spacing w:val="-2"/>
        </w:rPr>
        <w:t>un</w:t>
      </w:r>
      <w:r>
        <w:rPr>
          <w:color w:val="231F20"/>
          <w:spacing w:val="-12"/>
        </w:rPr>
        <w:t> </w:t>
      </w:r>
      <w:r>
        <w:rPr>
          <w:color w:val="231F20"/>
          <w:spacing w:val="-2"/>
        </w:rPr>
        <w:t>statut</w:t>
      </w:r>
      <w:r>
        <w:rPr>
          <w:color w:val="231F20"/>
          <w:spacing w:val="-12"/>
        </w:rPr>
        <w:t> </w:t>
      </w:r>
      <w:r>
        <w:rPr>
          <w:color w:val="231F20"/>
          <w:spacing w:val="-2"/>
        </w:rPr>
        <w:t>particulier.</w:t>
      </w:r>
      <w:r>
        <w:rPr>
          <w:color w:val="231F20"/>
          <w:spacing w:val="-12"/>
        </w:rPr>
        <w:t> </w:t>
      </w:r>
      <w:r>
        <w:rPr>
          <w:color w:val="231F20"/>
          <w:spacing w:val="-2"/>
        </w:rPr>
        <w:t>Il</w:t>
      </w:r>
      <w:r>
        <w:rPr>
          <w:color w:val="231F20"/>
          <w:spacing w:val="-12"/>
        </w:rPr>
        <w:t> </w:t>
      </w:r>
      <w:r>
        <w:rPr>
          <w:color w:val="231F20"/>
          <w:spacing w:val="-2"/>
        </w:rPr>
        <w:t>développe</w:t>
      </w:r>
      <w:r>
        <w:rPr>
          <w:color w:val="231F20"/>
          <w:spacing w:val="-13"/>
        </w:rPr>
        <w:t> </w:t>
      </w:r>
      <w:r>
        <w:rPr>
          <w:color w:val="231F20"/>
          <w:spacing w:val="-2"/>
        </w:rPr>
        <w:t>la</w:t>
      </w:r>
      <w:r>
        <w:rPr>
          <w:color w:val="231F20"/>
          <w:spacing w:val="-12"/>
        </w:rPr>
        <w:t> </w:t>
      </w:r>
      <w:r>
        <w:rPr>
          <w:color w:val="231F20"/>
          <w:spacing w:val="-2"/>
        </w:rPr>
        <w:t>culture</w:t>
      </w:r>
      <w:r>
        <w:rPr>
          <w:color w:val="231F20"/>
          <w:spacing w:val="-13"/>
        </w:rPr>
        <w:t> </w:t>
      </w:r>
      <w:r>
        <w:rPr>
          <w:color w:val="231F20"/>
          <w:spacing w:val="-2"/>
        </w:rPr>
        <w:t>de</w:t>
      </w:r>
      <w:r>
        <w:rPr>
          <w:color w:val="231F20"/>
          <w:spacing w:val="-11"/>
        </w:rPr>
        <w:t> </w:t>
      </w:r>
      <w:r>
        <w:rPr>
          <w:color w:val="231F20"/>
          <w:spacing w:val="-2"/>
        </w:rPr>
        <w:t>l’arachide, </w:t>
      </w:r>
      <w:r>
        <w:rPr>
          <w:color w:val="231F20"/>
        </w:rPr>
        <w:t>crée</w:t>
      </w:r>
      <w:r>
        <w:rPr>
          <w:color w:val="231F20"/>
          <w:spacing w:val="-15"/>
        </w:rPr>
        <w:t> </w:t>
      </w:r>
      <w:r>
        <w:rPr>
          <w:color w:val="231F20"/>
        </w:rPr>
        <w:t>des</w:t>
      </w:r>
      <w:r>
        <w:rPr>
          <w:color w:val="231F20"/>
          <w:spacing w:val="-15"/>
        </w:rPr>
        <w:t> </w:t>
      </w:r>
      <w:r>
        <w:rPr>
          <w:color w:val="231F20"/>
        </w:rPr>
        <w:t>écoles</w:t>
      </w:r>
      <w:r>
        <w:rPr>
          <w:color w:val="231F20"/>
          <w:spacing w:val="-15"/>
        </w:rPr>
        <w:t> </w:t>
      </w:r>
      <w:r>
        <w:rPr>
          <w:color w:val="231F20"/>
        </w:rPr>
        <w:t>et</w:t>
      </w:r>
      <w:r>
        <w:rPr>
          <w:color w:val="231F20"/>
          <w:spacing w:val="-15"/>
        </w:rPr>
        <w:t> </w:t>
      </w:r>
      <w:r>
        <w:rPr>
          <w:color w:val="231F20"/>
        </w:rPr>
        <w:t>enrôlent</w:t>
      </w:r>
      <w:r>
        <w:rPr>
          <w:color w:val="231F20"/>
          <w:spacing w:val="-15"/>
        </w:rPr>
        <w:t> </w:t>
      </w:r>
      <w:r>
        <w:rPr>
          <w:color w:val="231F20"/>
        </w:rPr>
        <w:t>des</w:t>
      </w:r>
      <w:r>
        <w:rPr>
          <w:color w:val="231F20"/>
          <w:spacing w:val="-15"/>
        </w:rPr>
        <w:t> </w:t>
      </w:r>
      <w:r>
        <w:rPr>
          <w:color w:val="231F20"/>
        </w:rPr>
        <w:t>indigènes</w:t>
      </w:r>
      <w:r>
        <w:rPr>
          <w:color w:val="231F20"/>
          <w:spacing w:val="-15"/>
        </w:rPr>
        <w:t> </w:t>
      </w:r>
      <w:r>
        <w:rPr>
          <w:color w:val="231F20"/>
        </w:rPr>
        <w:t>dans</w:t>
      </w:r>
      <w:r>
        <w:rPr>
          <w:color w:val="231F20"/>
          <w:spacing w:val="-15"/>
        </w:rPr>
        <w:t> </w:t>
      </w:r>
      <w:r>
        <w:rPr>
          <w:color w:val="231F20"/>
        </w:rPr>
        <w:t>les</w:t>
      </w:r>
      <w:r>
        <w:rPr>
          <w:color w:val="231F20"/>
          <w:spacing w:val="-15"/>
        </w:rPr>
        <w:t> </w:t>
      </w:r>
      <w:r>
        <w:rPr>
          <w:color w:val="231F20"/>
        </w:rPr>
        <w:t>bataillons</w:t>
      </w:r>
      <w:r>
        <w:rPr>
          <w:color w:val="231F20"/>
          <w:spacing w:val="-15"/>
        </w:rPr>
        <w:t> </w:t>
      </w:r>
      <w:r>
        <w:rPr>
          <w:color w:val="231F20"/>
        </w:rPr>
        <w:t>de</w:t>
      </w:r>
      <w:r>
        <w:rPr>
          <w:color w:val="231F20"/>
          <w:spacing w:val="-15"/>
        </w:rPr>
        <w:t> </w:t>
      </w:r>
      <w:r>
        <w:rPr>
          <w:color w:val="231F20"/>
        </w:rPr>
        <w:t>tirailleurs qui</w:t>
      </w:r>
      <w:r>
        <w:rPr>
          <w:color w:val="231F20"/>
          <w:spacing w:val="-9"/>
        </w:rPr>
        <w:t> </w:t>
      </w:r>
      <w:r>
        <w:rPr>
          <w:color w:val="231F20"/>
        </w:rPr>
        <w:t>serviront</w:t>
      </w:r>
      <w:r>
        <w:rPr>
          <w:color w:val="231F20"/>
          <w:spacing w:val="-6"/>
        </w:rPr>
        <w:t> </w:t>
      </w:r>
      <w:r>
        <w:rPr>
          <w:color w:val="231F20"/>
        </w:rPr>
        <w:t>dans</w:t>
      </w:r>
      <w:r>
        <w:rPr>
          <w:color w:val="231F20"/>
          <w:spacing w:val="-9"/>
        </w:rPr>
        <w:t> </w:t>
      </w:r>
      <w:r>
        <w:rPr>
          <w:color w:val="231F20"/>
        </w:rPr>
        <w:t>la</w:t>
      </w:r>
      <w:r>
        <w:rPr>
          <w:color w:val="231F20"/>
          <w:spacing w:val="-7"/>
        </w:rPr>
        <w:t> </w:t>
      </w:r>
      <w:r>
        <w:rPr>
          <w:color w:val="231F20"/>
        </w:rPr>
        <w:t>conquête</w:t>
      </w:r>
      <w:r>
        <w:rPr>
          <w:color w:val="231F20"/>
          <w:spacing w:val="-7"/>
        </w:rPr>
        <w:t> </w:t>
      </w:r>
      <w:r>
        <w:rPr>
          <w:color w:val="231F20"/>
        </w:rPr>
        <w:t>de</w:t>
      </w:r>
      <w:r>
        <w:rPr>
          <w:color w:val="231F20"/>
          <w:spacing w:val="-8"/>
        </w:rPr>
        <w:t> </w:t>
      </w:r>
      <w:r>
        <w:rPr>
          <w:color w:val="231F20"/>
        </w:rPr>
        <w:t>l'ensemble</w:t>
      </w:r>
      <w:r>
        <w:rPr>
          <w:color w:val="231F20"/>
          <w:spacing w:val="-9"/>
        </w:rPr>
        <w:t> </w:t>
      </w:r>
      <w:r>
        <w:rPr>
          <w:color w:val="231F20"/>
        </w:rPr>
        <w:t>de</w:t>
      </w:r>
      <w:r>
        <w:rPr>
          <w:color w:val="231F20"/>
          <w:spacing w:val="-7"/>
        </w:rPr>
        <w:t> </w:t>
      </w:r>
      <w:r>
        <w:rPr>
          <w:color w:val="231F20"/>
        </w:rPr>
        <w:t>l’Afrique</w:t>
      </w:r>
      <w:r>
        <w:rPr>
          <w:color w:val="231F20"/>
          <w:spacing w:val="-7"/>
        </w:rPr>
        <w:t> </w:t>
      </w:r>
      <w:r>
        <w:rPr>
          <w:color w:val="231F20"/>
        </w:rPr>
        <w:t>de</w:t>
      </w:r>
      <w:r>
        <w:rPr>
          <w:color w:val="231F20"/>
          <w:spacing w:val="-9"/>
        </w:rPr>
        <w:t> </w:t>
      </w:r>
      <w:r>
        <w:rPr>
          <w:color w:val="231F20"/>
        </w:rPr>
        <w:t>l’Ouest.</w:t>
      </w:r>
    </w:p>
    <w:p>
      <w:pPr>
        <w:pStyle w:val="BodyText"/>
        <w:spacing w:before="121"/>
        <w:ind w:left="395"/>
      </w:pPr>
      <w:r>
        <w:rPr>
          <w:color w:val="231F20"/>
        </w:rPr>
        <w:t>En</w:t>
      </w:r>
      <w:r>
        <w:rPr>
          <w:color w:val="231F20"/>
          <w:spacing w:val="11"/>
        </w:rPr>
        <w:t> </w:t>
      </w:r>
      <w:r>
        <w:rPr>
          <w:color w:val="231F20"/>
        </w:rPr>
        <w:t>1902,</w:t>
      </w:r>
      <w:r>
        <w:rPr>
          <w:color w:val="231F20"/>
          <w:spacing w:val="10"/>
        </w:rPr>
        <w:t> </w:t>
      </w:r>
      <w:r>
        <w:rPr>
          <w:color w:val="231F20"/>
        </w:rPr>
        <w:t>Dakar</w:t>
      </w:r>
      <w:r>
        <w:rPr>
          <w:color w:val="231F20"/>
          <w:spacing w:val="12"/>
        </w:rPr>
        <w:t> </w:t>
      </w:r>
      <w:r>
        <w:rPr>
          <w:color w:val="231F20"/>
        </w:rPr>
        <w:t>remplace</w:t>
      </w:r>
      <w:r>
        <w:rPr>
          <w:color w:val="231F20"/>
          <w:spacing w:val="12"/>
        </w:rPr>
        <w:t> </w:t>
      </w:r>
      <w:r>
        <w:rPr>
          <w:color w:val="231F20"/>
        </w:rPr>
        <w:t>Saint-Louis</w:t>
      </w:r>
      <w:r>
        <w:rPr>
          <w:color w:val="231F20"/>
          <w:spacing w:val="10"/>
        </w:rPr>
        <w:t> </w:t>
      </w:r>
      <w:r>
        <w:rPr>
          <w:color w:val="231F20"/>
        </w:rPr>
        <w:t>comme</w:t>
      </w:r>
      <w:r>
        <w:rPr>
          <w:color w:val="231F20"/>
          <w:spacing w:val="9"/>
        </w:rPr>
        <w:t> </w:t>
      </w:r>
      <w:r>
        <w:rPr>
          <w:color w:val="231F20"/>
        </w:rPr>
        <w:t>capitale</w:t>
      </w:r>
      <w:r>
        <w:rPr>
          <w:color w:val="231F20"/>
          <w:spacing w:val="9"/>
        </w:rPr>
        <w:t> </w:t>
      </w:r>
      <w:r>
        <w:rPr>
          <w:color w:val="231F20"/>
        </w:rPr>
        <w:t>de</w:t>
      </w:r>
      <w:r>
        <w:rPr>
          <w:color w:val="231F20"/>
          <w:spacing w:val="10"/>
        </w:rPr>
        <w:t> </w:t>
      </w:r>
      <w:r>
        <w:rPr>
          <w:color w:val="231F20"/>
          <w:spacing w:val="-2"/>
        </w:rPr>
        <w:t>l’Afrique</w:t>
      </w:r>
    </w:p>
    <w:p>
      <w:pPr>
        <w:pStyle w:val="BodyText"/>
      </w:pPr>
      <w:r>
        <w:rPr>
          <w:color w:val="231F20"/>
          <w:spacing w:val="-4"/>
        </w:rPr>
        <w:t>Occidentale</w:t>
      </w:r>
      <w:r>
        <w:rPr>
          <w:color w:val="231F20"/>
          <w:spacing w:val="3"/>
        </w:rPr>
        <w:t> </w:t>
      </w:r>
      <w:r>
        <w:rPr>
          <w:color w:val="231F20"/>
          <w:spacing w:val="-2"/>
        </w:rPr>
        <w:t>Française.</w:t>
      </w:r>
    </w:p>
    <w:p>
      <w:pPr>
        <w:pStyle w:val="BodyText"/>
        <w:spacing w:before="120"/>
        <w:ind w:right="103" w:firstLine="283"/>
      </w:pPr>
      <w:r>
        <w:rPr>
          <w:color w:val="231F20"/>
        </w:rPr>
        <w:t>Le 20 août 1960, le Sénégal proclame son indépendance et se dote </w:t>
      </w:r>
      <w:r>
        <w:rPr>
          <w:color w:val="231F20"/>
          <w:spacing w:val="-2"/>
        </w:rPr>
        <w:t>d’une</w:t>
      </w:r>
      <w:r>
        <w:rPr>
          <w:color w:val="231F20"/>
          <w:spacing w:val="-12"/>
        </w:rPr>
        <w:t> </w:t>
      </w:r>
      <w:r>
        <w:rPr>
          <w:color w:val="231F20"/>
          <w:spacing w:val="-2"/>
        </w:rPr>
        <w:t>Constitution</w:t>
      </w:r>
      <w:r>
        <w:rPr>
          <w:color w:val="231F20"/>
          <w:spacing w:val="-11"/>
        </w:rPr>
        <w:t> </w:t>
      </w:r>
      <w:r>
        <w:rPr>
          <w:color w:val="231F20"/>
          <w:spacing w:val="-2"/>
        </w:rPr>
        <w:t>de</w:t>
      </w:r>
      <w:r>
        <w:rPr>
          <w:color w:val="231F20"/>
          <w:spacing w:val="-11"/>
        </w:rPr>
        <w:t> </w:t>
      </w:r>
      <w:r>
        <w:rPr>
          <w:color w:val="231F20"/>
          <w:spacing w:val="-2"/>
        </w:rPr>
        <w:t>type</w:t>
      </w:r>
      <w:r>
        <w:rPr>
          <w:color w:val="231F20"/>
          <w:spacing w:val="-10"/>
        </w:rPr>
        <w:t> </w:t>
      </w:r>
      <w:r>
        <w:rPr>
          <w:color w:val="231F20"/>
          <w:spacing w:val="-2"/>
        </w:rPr>
        <w:t>parlementaire.</w:t>
      </w:r>
      <w:r>
        <w:rPr>
          <w:color w:val="231F20"/>
          <w:spacing w:val="-11"/>
        </w:rPr>
        <w:t> </w:t>
      </w:r>
      <w:r>
        <w:rPr>
          <w:color w:val="231F20"/>
          <w:spacing w:val="-2"/>
        </w:rPr>
        <w:t>Léopold</w:t>
      </w:r>
      <w:r>
        <w:rPr>
          <w:color w:val="231F20"/>
          <w:spacing w:val="-13"/>
        </w:rPr>
        <w:t> </w:t>
      </w:r>
      <w:r>
        <w:rPr>
          <w:color w:val="231F20"/>
          <w:spacing w:val="-2"/>
        </w:rPr>
        <w:t>Sédar</w:t>
      </w:r>
      <w:r>
        <w:rPr>
          <w:color w:val="231F20"/>
          <w:spacing w:val="-12"/>
        </w:rPr>
        <w:t> </w:t>
      </w:r>
      <w:r>
        <w:rPr>
          <w:color w:val="231F20"/>
          <w:spacing w:val="-2"/>
        </w:rPr>
        <w:t>Senghor</w:t>
      </w:r>
      <w:r>
        <w:rPr>
          <w:color w:val="231F20"/>
          <w:spacing w:val="-12"/>
        </w:rPr>
        <w:t> </w:t>
      </w:r>
      <w:r>
        <w:rPr>
          <w:color w:val="231F20"/>
          <w:spacing w:val="-2"/>
        </w:rPr>
        <w:t>est</w:t>
      </w:r>
      <w:r>
        <w:rPr>
          <w:color w:val="231F20"/>
          <w:spacing w:val="-9"/>
        </w:rPr>
        <w:t> </w:t>
      </w:r>
      <w:r>
        <w:rPr>
          <w:color w:val="231F20"/>
          <w:spacing w:val="-2"/>
        </w:rPr>
        <w:t>élu </w:t>
      </w:r>
      <w:r>
        <w:rPr>
          <w:color w:val="231F20"/>
        </w:rPr>
        <w:t>président de la République. Il est né le 9 octobre 1906 à Joal, à une centaine de kilomètres au Sud de Dakar. Socialiste, Penseur de la « négritude</w:t>
      </w:r>
      <w:r>
        <w:rPr>
          <w:color w:val="231F20"/>
          <w:spacing w:val="-8"/>
        </w:rPr>
        <w:t> </w:t>
      </w:r>
      <w:r>
        <w:rPr>
          <w:color w:val="231F20"/>
        </w:rPr>
        <w:t>»,</w:t>
      </w:r>
      <w:r>
        <w:rPr>
          <w:color w:val="231F20"/>
          <w:spacing w:val="-10"/>
        </w:rPr>
        <w:t> </w:t>
      </w:r>
      <w:r>
        <w:rPr>
          <w:color w:val="231F20"/>
        </w:rPr>
        <w:t>professeur</w:t>
      </w:r>
      <w:r>
        <w:rPr>
          <w:color w:val="231F20"/>
          <w:spacing w:val="-10"/>
        </w:rPr>
        <w:t> </w:t>
      </w:r>
      <w:r>
        <w:rPr>
          <w:color w:val="231F20"/>
        </w:rPr>
        <w:t>de</w:t>
      </w:r>
      <w:r>
        <w:rPr>
          <w:color w:val="231F20"/>
          <w:spacing w:val="-10"/>
        </w:rPr>
        <w:t> </w:t>
      </w:r>
      <w:r>
        <w:rPr>
          <w:color w:val="231F20"/>
        </w:rPr>
        <w:t>lycée,</w:t>
      </w:r>
      <w:r>
        <w:rPr>
          <w:color w:val="231F20"/>
          <w:spacing w:val="-10"/>
        </w:rPr>
        <w:t> </w:t>
      </w:r>
      <w:r>
        <w:rPr>
          <w:color w:val="231F20"/>
        </w:rPr>
        <w:t>poète,</w:t>
      </w:r>
      <w:r>
        <w:rPr>
          <w:color w:val="231F20"/>
          <w:spacing w:val="-10"/>
        </w:rPr>
        <w:t> </w:t>
      </w:r>
      <w:r>
        <w:rPr>
          <w:color w:val="231F20"/>
        </w:rPr>
        <w:t>député</w:t>
      </w:r>
      <w:r>
        <w:rPr>
          <w:color w:val="231F20"/>
          <w:spacing w:val="-7"/>
        </w:rPr>
        <w:t> </w:t>
      </w:r>
      <w:r>
        <w:rPr>
          <w:color w:val="231F20"/>
        </w:rPr>
        <w:t>français</w:t>
      </w:r>
      <w:r>
        <w:rPr>
          <w:color w:val="231F20"/>
          <w:spacing w:val="-8"/>
        </w:rPr>
        <w:t> </w:t>
      </w:r>
      <w:r>
        <w:rPr>
          <w:color w:val="231F20"/>
        </w:rPr>
        <w:t>de</w:t>
      </w:r>
      <w:r>
        <w:rPr>
          <w:color w:val="231F20"/>
          <w:spacing w:val="-10"/>
        </w:rPr>
        <w:t> </w:t>
      </w:r>
      <w:r>
        <w:rPr>
          <w:color w:val="231F20"/>
        </w:rPr>
        <w:t>1945</w:t>
      </w:r>
      <w:r>
        <w:rPr>
          <w:color w:val="231F20"/>
          <w:spacing w:val="-10"/>
        </w:rPr>
        <w:t> </w:t>
      </w:r>
      <w:r>
        <w:rPr>
          <w:color w:val="231F20"/>
        </w:rPr>
        <w:t>à</w:t>
      </w:r>
      <w:r>
        <w:rPr>
          <w:color w:val="231F20"/>
          <w:spacing w:val="-8"/>
        </w:rPr>
        <w:t> </w:t>
      </w:r>
      <w:r>
        <w:rPr>
          <w:color w:val="231F20"/>
        </w:rPr>
        <w:t>1958, </w:t>
      </w:r>
      <w:r>
        <w:rPr>
          <w:color w:val="231F20"/>
          <w:spacing w:val="-4"/>
        </w:rPr>
        <w:t>ministre</w:t>
      </w:r>
      <w:r>
        <w:rPr>
          <w:color w:val="231F20"/>
          <w:spacing w:val="-11"/>
        </w:rPr>
        <w:t> </w:t>
      </w:r>
      <w:r>
        <w:rPr>
          <w:color w:val="231F20"/>
          <w:spacing w:val="-4"/>
        </w:rPr>
        <w:t>français</w:t>
      </w:r>
      <w:r>
        <w:rPr>
          <w:color w:val="231F20"/>
          <w:spacing w:val="-11"/>
        </w:rPr>
        <w:t> </w:t>
      </w:r>
      <w:r>
        <w:rPr>
          <w:color w:val="231F20"/>
          <w:spacing w:val="-4"/>
        </w:rPr>
        <w:t>dans</w:t>
      </w:r>
      <w:r>
        <w:rPr>
          <w:color w:val="231F20"/>
          <w:spacing w:val="-11"/>
        </w:rPr>
        <w:t> </w:t>
      </w:r>
      <w:r>
        <w:rPr>
          <w:color w:val="231F20"/>
          <w:spacing w:val="-4"/>
        </w:rPr>
        <w:t>le</w:t>
      </w:r>
      <w:r>
        <w:rPr>
          <w:color w:val="231F20"/>
          <w:spacing w:val="-11"/>
        </w:rPr>
        <w:t> </w:t>
      </w:r>
      <w:r>
        <w:rPr>
          <w:color w:val="231F20"/>
          <w:spacing w:val="-4"/>
        </w:rPr>
        <w:t>gouvernement</w:t>
      </w:r>
      <w:r>
        <w:rPr>
          <w:color w:val="231F20"/>
          <w:spacing w:val="-11"/>
        </w:rPr>
        <w:t> </w:t>
      </w:r>
      <w:r>
        <w:rPr>
          <w:color w:val="231F20"/>
          <w:spacing w:val="-4"/>
        </w:rPr>
        <w:t>Edgar</w:t>
      </w:r>
      <w:r>
        <w:rPr>
          <w:color w:val="231F20"/>
          <w:spacing w:val="-11"/>
        </w:rPr>
        <w:t> </w:t>
      </w:r>
      <w:r>
        <w:rPr>
          <w:color w:val="231F20"/>
          <w:spacing w:val="-4"/>
        </w:rPr>
        <w:t>Faure</w:t>
      </w:r>
      <w:r>
        <w:rPr>
          <w:color w:val="231F20"/>
          <w:spacing w:val="-11"/>
        </w:rPr>
        <w:t> </w:t>
      </w:r>
      <w:r>
        <w:rPr>
          <w:color w:val="231F20"/>
          <w:spacing w:val="-4"/>
        </w:rPr>
        <w:t>en</w:t>
      </w:r>
      <w:r>
        <w:rPr>
          <w:color w:val="231F20"/>
          <w:spacing w:val="-11"/>
        </w:rPr>
        <w:t> </w:t>
      </w:r>
      <w:r>
        <w:rPr>
          <w:color w:val="231F20"/>
          <w:spacing w:val="-4"/>
        </w:rPr>
        <w:t>1955-1956</w:t>
      </w:r>
      <w:r>
        <w:rPr>
          <w:color w:val="231F20"/>
          <w:spacing w:val="-11"/>
        </w:rPr>
        <w:t> </w:t>
      </w:r>
      <w:r>
        <w:rPr>
          <w:color w:val="231F20"/>
          <w:spacing w:val="-4"/>
        </w:rPr>
        <w:t>et</w:t>
      </w:r>
      <w:r>
        <w:rPr>
          <w:color w:val="231F20"/>
          <w:spacing w:val="-11"/>
        </w:rPr>
        <w:t> </w:t>
      </w:r>
      <w:r>
        <w:rPr>
          <w:color w:val="231F20"/>
          <w:spacing w:val="-4"/>
        </w:rPr>
        <w:t>celui </w:t>
      </w:r>
      <w:r>
        <w:rPr>
          <w:color w:val="231F20"/>
        </w:rPr>
        <w:t>de Michel Debré en 1959, leader du mouvement indépendantiste </w:t>
      </w:r>
      <w:r>
        <w:rPr>
          <w:color w:val="231F20"/>
          <w:spacing w:val="-4"/>
        </w:rPr>
        <w:t>Sénégalais,</w:t>
      </w:r>
      <w:r>
        <w:rPr>
          <w:color w:val="231F20"/>
          <w:spacing w:val="-5"/>
        </w:rPr>
        <w:t> </w:t>
      </w:r>
      <w:r>
        <w:rPr>
          <w:color w:val="231F20"/>
          <w:spacing w:val="-4"/>
        </w:rPr>
        <w:t>premier</w:t>
      </w:r>
      <w:r>
        <w:rPr>
          <w:color w:val="231F20"/>
          <w:spacing w:val="-5"/>
        </w:rPr>
        <w:t> </w:t>
      </w:r>
      <w:r>
        <w:rPr>
          <w:color w:val="231F20"/>
          <w:spacing w:val="-4"/>
        </w:rPr>
        <w:t>agrégé</w:t>
      </w:r>
      <w:r>
        <w:rPr>
          <w:color w:val="231F20"/>
          <w:spacing w:val="-5"/>
        </w:rPr>
        <w:t> </w:t>
      </w:r>
      <w:r>
        <w:rPr>
          <w:color w:val="231F20"/>
          <w:spacing w:val="-4"/>
        </w:rPr>
        <w:t>africain</w:t>
      </w:r>
      <w:r>
        <w:rPr>
          <w:color w:val="231F20"/>
          <w:spacing w:val="-5"/>
        </w:rPr>
        <w:t> </w:t>
      </w:r>
      <w:r>
        <w:rPr>
          <w:color w:val="231F20"/>
          <w:spacing w:val="-4"/>
        </w:rPr>
        <w:t>de</w:t>
      </w:r>
      <w:r>
        <w:rPr>
          <w:color w:val="231F20"/>
          <w:spacing w:val="-5"/>
        </w:rPr>
        <w:t> </w:t>
      </w:r>
      <w:r>
        <w:rPr>
          <w:color w:val="231F20"/>
          <w:spacing w:val="-4"/>
        </w:rPr>
        <w:t>grammaire</w:t>
      </w:r>
      <w:r>
        <w:rPr>
          <w:color w:val="231F20"/>
          <w:spacing w:val="-5"/>
        </w:rPr>
        <w:t> </w:t>
      </w:r>
      <w:r>
        <w:rPr>
          <w:color w:val="231F20"/>
          <w:spacing w:val="-4"/>
        </w:rPr>
        <w:t>française,</w:t>
      </w:r>
      <w:r>
        <w:rPr>
          <w:color w:val="231F20"/>
          <w:spacing w:val="-5"/>
        </w:rPr>
        <w:t> </w:t>
      </w:r>
      <w:r>
        <w:rPr>
          <w:color w:val="231F20"/>
          <w:spacing w:val="-4"/>
        </w:rPr>
        <w:t>il</w:t>
      </w:r>
      <w:r>
        <w:rPr>
          <w:color w:val="231F20"/>
          <w:spacing w:val="-5"/>
        </w:rPr>
        <w:t> </w:t>
      </w:r>
      <w:r>
        <w:rPr>
          <w:color w:val="231F20"/>
          <w:spacing w:val="-4"/>
        </w:rPr>
        <w:t>est l’auteur </w:t>
      </w:r>
      <w:r>
        <w:rPr>
          <w:color w:val="231F20"/>
        </w:rPr>
        <w:t>de</w:t>
      </w:r>
      <w:r>
        <w:rPr>
          <w:color w:val="231F20"/>
          <w:spacing w:val="-1"/>
        </w:rPr>
        <w:t> </w:t>
      </w:r>
      <w:r>
        <w:rPr>
          <w:color w:val="231F20"/>
        </w:rPr>
        <w:t>l’hymne</w:t>
      </w:r>
      <w:r>
        <w:rPr>
          <w:color w:val="231F20"/>
          <w:spacing w:val="-1"/>
        </w:rPr>
        <w:t> </w:t>
      </w:r>
      <w:r>
        <w:rPr>
          <w:color w:val="231F20"/>
        </w:rPr>
        <w:t>national</w:t>
      </w:r>
      <w:r>
        <w:rPr>
          <w:color w:val="231F20"/>
          <w:spacing w:val="-1"/>
        </w:rPr>
        <w:t> </w:t>
      </w:r>
      <w:r>
        <w:rPr>
          <w:color w:val="231F20"/>
        </w:rPr>
        <w:t>du</w:t>
      </w:r>
      <w:r>
        <w:rPr>
          <w:color w:val="231F20"/>
          <w:spacing w:val="-1"/>
        </w:rPr>
        <w:t> </w:t>
      </w:r>
      <w:r>
        <w:rPr>
          <w:color w:val="231F20"/>
        </w:rPr>
        <w:t>nouvel</w:t>
      </w:r>
      <w:r>
        <w:rPr>
          <w:color w:val="231F20"/>
          <w:spacing w:val="-2"/>
        </w:rPr>
        <w:t> </w:t>
      </w:r>
      <w:r>
        <w:rPr>
          <w:color w:val="231F20"/>
        </w:rPr>
        <w:t>État</w:t>
      </w:r>
      <w:r>
        <w:rPr>
          <w:color w:val="231F20"/>
          <w:spacing w:val="-4"/>
        </w:rPr>
        <w:t> </w:t>
      </w:r>
      <w:r>
        <w:rPr>
          <w:color w:val="231F20"/>
        </w:rPr>
        <w:t>:«</w:t>
      </w:r>
      <w:r>
        <w:rPr>
          <w:color w:val="231F20"/>
          <w:spacing w:val="-4"/>
        </w:rPr>
        <w:t> </w:t>
      </w:r>
      <w:r>
        <w:rPr>
          <w:color w:val="231F20"/>
        </w:rPr>
        <w:t>le</w:t>
      </w:r>
      <w:r>
        <w:rPr>
          <w:color w:val="231F20"/>
          <w:spacing w:val="-1"/>
        </w:rPr>
        <w:t> </w:t>
      </w:r>
      <w:r>
        <w:rPr>
          <w:color w:val="231F20"/>
        </w:rPr>
        <w:t>lion</w:t>
      </w:r>
      <w:r>
        <w:rPr>
          <w:color w:val="231F20"/>
          <w:spacing w:val="-1"/>
        </w:rPr>
        <w:t> </w:t>
      </w:r>
      <w:r>
        <w:rPr>
          <w:color w:val="231F20"/>
        </w:rPr>
        <w:t>rouge</w:t>
      </w:r>
      <w:r>
        <w:rPr>
          <w:color w:val="231F20"/>
          <w:spacing w:val="-4"/>
        </w:rPr>
        <w:t> </w:t>
      </w:r>
      <w:r>
        <w:rPr>
          <w:color w:val="231F20"/>
        </w:rPr>
        <w:t>».</w:t>
      </w:r>
    </w:p>
    <w:p>
      <w:pPr>
        <w:spacing w:after="0"/>
        <w:sectPr>
          <w:pgSz w:w="8790" w:h="13610"/>
          <w:pgMar w:header="0" w:footer="802" w:top="1060" w:bottom="1000" w:left="880" w:right="880"/>
        </w:sectPr>
      </w:pPr>
    </w:p>
    <w:p>
      <w:pPr>
        <w:pStyle w:val="BodyText"/>
        <w:spacing w:before="66"/>
        <w:ind w:right="104" w:firstLine="283"/>
      </w:pPr>
      <w:r>
        <w:rPr>
          <w:color w:val="231F20"/>
        </w:rPr>
        <w:t>Deux ans après l’indépendance, le président de la République et le Premier ministre, Chef du gouvernement ont du mal à s’entendre. Le président Senghor est chargé des relations internationales</w:t>
      </w:r>
      <w:r>
        <w:rPr>
          <w:color w:val="231F20"/>
          <w:spacing w:val="-15"/>
        </w:rPr>
        <w:t> </w:t>
      </w:r>
      <w:r>
        <w:rPr>
          <w:color w:val="231F20"/>
        </w:rPr>
        <w:t>; le Premier ministre,</w:t>
      </w:r>
      <w:r>
        <w:rPr>
          <w:color w:val="231F20"/>
          <w:spacing w:val="-5"/>
        </w:rPr>
        <w:t> </w:t>
      </w:r>
      <w:r>
        <w:rPr>
          <w:color w:val="231F20"/>
        </w:rPr>
        <w:t>Mamadou</w:t>
      </w:r>
      <w:r>
        <w:rPr>
          <w:color w:val="231F20"/>
          <w:spacing w:val="-3"/>
        </w:rPr>
        <w:t> </w:t>
      </w:r>
      <w:r>
        <w:rPr>
          <w:color w:val="231F20"/>
        </w:rPr>
        <w:t>Dia,</w:t>
      </w:r>
      <w:r>
        <w:rPr>
          <w:color w:val="231F20"/>
          <w:spacing w:val="-6"/>
        </w:rPr>
        <w:t> </w:t>
      </w:r>
      <w:r>
        <w:rPr>
          <w:color w:val="231F20"/>
        </w:rPr>
        <w:t>plus</w:t>
      </w:r>
      <w:r>
        <w:rPr>
          <w:color w:val="231F20"/>
          <w:spacing w:val="-5"/>
        </w:rPr>
        <w:t> </w:t>
      </w:r>
      <w:r>
        <w:rPr>
          <w:color w:val="231F20"/>
        </w:rPr>
        <w:t>à</w:t>
      </w:r>
      <w:r>
        <w:rPr>
          <w:color w:val="231F20"/>
          <w:spacing w:val="-3"/>
        </w:rPr>
        <w:t> </w:t>
      </w:r>
      <w:r>
        <w:rPr>
          <w:color w:val="231F20"/>
        </w:rPr>
        <w:t>gauche,</w:t>
      </w:r>
      <w:r>
        <w:rPr>
          <w:color w:val="231F20"/>
          <w:spacing w:val="-5"/>
        </w:rPr>
        <w:t> </w:t>
      </w:r>
      <w:r>
        <w:rPr>
          <w:color w:val="231F20"/>
        </w:rPr>
        <w:t>a</w:t>
      </w:r>
      <w:r>
        <w:rPr>
          <w:color w:val="231F20"/>
          <w:spacing w:val="-4"/>
        </w:rPr>
        <w:t> </w:t>
      </w:r>
      <w:r>
        <w:rPr>
          <w:color w:val="231F20"/>
        </w:rPr>
        <w:t>en</w:t>
      </w:r>
      <w:r>
        <w:rPr>
          <w:color w:val="231F20"/>
          <w:spacing w:val="-3"/>
        </w:rPr>
        <w:t> </w:t>
      </w:r>
      <w:r>
        <w:rPr>
          <w:color w:val="231F20"/>
        </w:rPr>
        <w:t>charge</w:t>
      </w:r>
      <w:r>
        <w:rPr>
          <w:color w:val="231F20"/>
          <w:spacing w:val="-3"/>
        </w:rPr>
        <w:t> </w:t>
      </w:r>
      <w:r>
        <w:rPr>
          <w:color w:val="231F20"/>
        </w:rPr>
        <w:t>la</w:t>
      </w:r>
      <w:r>
        <w:rPr>
          <w:color w:val="231F20"/>
          <w:spacing w:val="-3"/>
        </w:rPr>
        <w:t> </w:t>
      </w:r>
      <w:r>
        <w:rPr>
          <w:color w:val="231F20"/>
        </w:rPr>
        <w:t>mise</w:t>
      </w:r>
      <w:r>
        <w:rPr>
          <w:color w:val="231F20"/>
          <w:spacing w:val="-3"/>
        </w:rPr>
        <w:t> </w:t>
      </w:r>
      <w:r>
        <w:rPr>
          <w:color w:val="231F20"/>
        </w:rPr>
        <w:t>en</w:t>
      </w:r>
      <w:r>
        <w:rPr>
          <w:color w:val="231F20"/>
          <w:spacing w:val="-6"/>
        </w:rPr>
        <w:t> </w:t>
      </w:r>
      <w:r>
        <w:rPr>
          <w:color w:val="231F20"/>
        </w:rPr>
        <w:t>place</w:t>
      </w:r>
      <w:r>
        <w:rPr>
          <w:color w:val="231F20"/>
          <w:spacing w:val="-6"/>
        </w:rPr>
        <w:t> </w:t>
      </w:r>
      <w:r>
        <w:rPr>
          <w:color w:val="231F20"/>
        </w:rPr>
        <w:t>du plan de développement à long terme du Sénégal. Les deux hommes entrent rapidement en conflit.</w:t>
      </w:r>
    </w:p>
    <w:p>
      <w:pPr>
        <w:pStyle w:val="BodyText"/>
        <w:spacing w:before="120"/>
        <w:ind w:right="105" w:firstLine="283"/>
      </w:pPr>
      <w:r>
        <w:rPr>
          <w:color w:val="231F20"/>
        </w:rPr>
        <w:t>En décembre 1962, le Premier ministre encourage le « rejet révolutionnaire des anciennes structures » et une « mutation totale qui </w:t>
      </w:r>
      <w:r>
        <w:rPr>
          <w:color w:val="231F20"/>
          <w:spacing w:val="-2"/>
        </w:rPr>
        <w:t>substitue</w:t>
      </w:r>
      <w:r>
        <w:rPr>
          <w:color w:val="231F20"/>
          <w:spacing w:val="-8"/>
        </w:rPr>
        <w:t> </w:t>
      </w:r>
      <w:r>
        <w:rPr>
          <w:color w:val="231F20"/>
          <w:spacing w:val="-2"/>
        </w:rPr>
        <w:t>à</w:t>
      </w:r>
      <w:r>
        <w:rPr>
          <w:color w:val="231F20"/>
          <w:spacing w:val="-8"/>
        </w:rPr>
        <w:t> </w:t>
      </w:r>
      <w:r>
        <w:rPr>
          <w:color w:val="231F20"/>
          <w:spacing w:val="-2"/>
        </w:rPr>
        <w:t>la</w:t>
      </w:r>
      <w:r>
        <w:rPr>
          <w:color w:val="231F20"/>
          <w:spacing w:val="-8"/>
        </w:rPr>
        <w:t> </w:t>
      </w:r>
      <w:r>
        <w:rPr>
          <w:color w:val="231F20"/>
          <w:spacing w:val="-2"/>
        </w:rPr>
        <w:t>société</w:t>
      </w:r>
      <w:r>
        <w:rPr>
          <w:color w:val="231F20"/>
          <w:spacing w:val="-8"/>
        </w:rPr>
        <w:t> </w:t>
      </w:r>
      <w:r>
        <w:rPr>
          <w:color w:val="231F20"/>
          <w:spacing w:val="-2"/>
        </w:rPr>
        <w:t>coloniale</w:t>
      </w:r>
      <w:r>
        <w:rPr>
          <w:color w:val="231F20"/>
          <w:spacing w:val="-8"/>
        </w:rPr>
        <w:t> </w:t>
      </w:r>
      <w:r>
        <w:rPr>
          <w:color w:val="231F20"/>
          <w:spacing w:val="-2"/>
        </w:rPr>
        <w:t>et</w:t>
      </w:r>
      <w:r>
        <w:rPr>
          <w:color w:val="231F20"/>
          <w:spacing w:val="-7"/>
        </w:rPr>
        <w:t> </w:t>
      </w:r>
      <w:r>
        <w:rPr>
          <w:color w:val="231F20"/>
          <w:spacing w:val="-2"/>
        </w:rPr>
        <w:t>à</w:t>
      </w:r>
      <w:r>
        <w:rPr>
          <w:color w:val="231F20"/>
          <w:spacing w:val="-8"/>
        </w:rPr>
        <w:t> </w:t>
      </w:r>
      <w:r>
        <w:rPr>
          <w:color w:val="231F20"/>
          <w:spacing w:val="-2"/>
        </w:rPr>
        <w:t>l’économie</w:t>
      </w:r>
      <w:r>
        <w:rPr>
          <w:color w:val="231F20"/>
          <w:spacing w:val="-8"/>
        </w:rPr>
        <w:t> </w:t>
      </w:r>
      <w:r>
        <w:rPr>
          <w:color w:val="231F20"/>
          <w:spacing w:val="-2"/>
        </w:rPr>
        <w:t>de</w:t>
      </w:r>
      <w:r>
        <w:rPr>
          <w:color w:val="231F20"/>
          <w:spacing w:val="-8"/>
        </w:rPr>
        <w:t> </w:t>
      </w:r>
      <w:r>
        <w:rPr>
          <w:color w:val="231F20"/>
          <w:spacing w:val="-2"/>
        </w:rPr>
        <w:t>traite,</w:t>
      </w:r>
      <w:r>
        <w:rPr>
          <w:color w:val="231F20"/>
          <w:spacing w:val="-7"/>
        </w:rPr>
        <w:t> </w:t>
      </w:r>
      <w:r>
        <w:rPr>
          <w:color w:val="231F20"/>
          <w:spacing w:val="-2"/>
        </w:rPr>
        <w:t>une</w:t>
      </w:r>
      <w:r>
        <w:rPr>
          <w:color w:val="231F20"/>
          <w:spacing w:val="-9"/>
        </w:rPr>
        <w:t> </w:t>
      </w:r>
      <w:r>
        <w:rPr>
          <w:color w:val="231F20"/>
          <w:spacing w:val="-2"/>
        </w:rPr>
        <w:t>société</w:t>
      </w:r>
      <w:r>
        <w:rPr>
          <w:color w:val="231F20"/>
          <w:spacing w:val="-8"/>
        </w:rPr>
        <w:t> </w:t>
      </w:r>
      <w:r>
        <w:rPr>
          <w:color w:val="231F20"/>
          <w:spacing w:val="-2"/>
        </w:rPr>
        <w:t>libre </w:t>
      </w:r>
      <w:r>
        <w:rPr>
          <w:color w:val="231F20"/>
        </w:rPr>
        <w:t>et</w:t>
      </w:r>
      <w:r>
        <w:rPr>
          <w:color w:val="231F20"/>
          <w:spacing w:val="-9"/>
        </w:rPr>
        <w:t> </w:t>
      </w:r>
      <w:r>
        <w:rPr>
          <w:color w:val="231F20"/>
        </w:rPr>
        <w:t>une</w:t>
      </w:r>
      <w:r>
        <w:rPr>
          <w:color w:val="231F20"/>
          <w:spacing w:val="-9"/>
        </w:rPr>
        <w:t> </w:t>
      </w:r>
      <w:r>
        <w:rPr>
          <w:color w:val="231F20"/>
        </w:rPr>
        <w:t>économie</w:t>
      </w:r>
      <w:r>
        <w:rPr>
          <w:color w:val="231F20"/>
          <w:spacing w:val="-9"/>
        </w:rPr>
        <w:t> </w:t>
      </w:r>
      <w:r>
        <w:rPr>
          <w:color w:val="231F20"/>
        </w:rPr>
        <w:t>de</w:t>
      </w:r>
      <w:r>
        <w:rPr>
          <w:color w:val="231F20"/>
          <w:spacing w:val="-9"/>
        </w:rPr>
        <w:t> </w:t>
      </w:r>
      <w:r>
        <w:rPr>
          <w:color w:val="231F20"/>
        </w:rPr>
        <w:t>développement.</w:t>
      </w:r>
      <w:r>
        <w:rPr>
          <w:color w:val="231F20"/>
          <w:spacing w:val="-9"/>
        </w:rPr>
        <w:t> </w:t>
      </w:r>
      <w:r>
        <w:rPr>
          <w:color w:val="231F20"/>
        </w:rPr>
        <w:t>»</w:t>
      </w:r>
      <w:r>
        <w:rPr>
          <w:color w:val="231F20"/>
          <w:spacing w:val="-8"/>
        </w:rPr>
        <w:t> </w:t>
      </w:r>
      <w:r>
        <w:rPr>
          <w:color w:val="231F20"/>
        </w:rPr>
        <w:t>Il</w:t>
      </w:r>
      <w:r>
        <w:rPr>
          <w:color w:val="231F20"/>
          <w:spacing w:val="-9"/>
        </w:rPr>
        <w:t> </w:t>
      </w:r>
      <w:r>
        <w:rPr>
          <w:color w:val="231F20"/>
        </w:rPr>
        <w:t>revendique</w:t>
      </w:r>
      <w:r>
        <w:rPr>
          <w:color w:val="231F20"/>
          <w:spacing w:val="-9"/>
        </w:rPr>
        <w:t> </w:t>
      </w:r>
      <w:r>
        <w:rPr>
          <w:color w:val="231F20"/>
        </w:rPr>
        <w:t>une</w:t>
      </w:r>
      <w:r>
        <w:rPr>
          <w:color w:val="231F20"/>
          <w:spacing w:val="-9"/>
        </w:rPr>
        <w:t> </w:t>
      </w:r>
      <w:r>
        <w:rPr>
          <w:color w:val="231F20"/>
        </w:rPr>
        <w:t>sortie</w:t>
      </w:r>
      <w:r>
        <w:rPr>
          <w:color w:val="231F20"/>
          <w:spacing w:val="-9"/>
        </w:rPr>
        <w:t> </w:t>
      </w:r>
      <w:r>
        <w:rPr>
          <w:color w:val="231F20"/>
        </w:rPr>
        <w:t>planifiée de</w:t>
      </w:r>
      <w:r>
        <w:rPr>
          <w:color w:val="231F20"/>
          <w:spacing w:val="-2"/>
        </w:rPr>
        <w:t> </w:t>
      </w:r>
      <w:r>
        <w:rPr>
          <w:color w:val="231F20"/>
        </w:rPr>
        <w:t>l’économie</w:t>
      </w:r>
      <w:r>
        <w:rPr>
          <w:color w:val="231F20"/>
          <w:spacing w:val="-2"/>
        </w:rPr>
        <w:t> </w:t>
      </w:r>
      <w:r>
        <w:rPr>
          <w:color w:val="231F20"/>
        </w:rPr>
        <w:t>arachidière.</w:t>
      </w:r>
      <w:r>
        <w:rPr>
          <w:color w:val="231F20"/>
          <w:spacing w:val="-1"/>
        </w:rPr>
        <w:t> </w:t>
      </w:r>
      <w:r>
        <w:rPr>
          <w:color w:val="231F20"/>
        </w:rPr>
        <w:t>Cette</w:t>
      </w:r>
      <w:r>
        <w:rPr>
          <w:color w:val="231F20"/>
          <w:spacing w:val="-2"/>
        </w:rPr>
        <w:t> </w:t>
      </w:r>
      <w:r>
        <w:rPr>
          <w:color w:val="231F20"/>
        </w:rPr>
        <w:t>déclaration,</w:t>
      </w:r>
      <w:r>
        <w:rPr>
          <w:color w:val="231F20"/>
          <w:spacing w:val="-1"/>
        </w:rPr>
        <w:t> </w:t>
      </w:r>
      <w:r>
        <w:rPr>
          <w:color w:val="231F20"/>
        </w:rPr>
        <w:t>à</w:t>
      </w:r>
      <w:r>
        <w:rPr>
          <w:color w:val="231F20"/>
          <w:spacing w:val="-2"/>
        </w:rPr>
        <w:t> </w:t>
      </w:r>
      <w:r>
        <w:rPr>
          <w:color w:val="231F20"/>
        </w:rPr>
        <w:t>caractère</w:t>
      </w:r>
      <w:r>
        <w:rPr>
          <w:color w:val="231F20"/>
          <w:spacing w:val="-1"/>
        </w:rPr>
        <w:t> </w:t>
      </w:r>
      <w:r>
        <w:rPr>
          <w:color w:val="231F20"/>
        </w:rPr>
        <w:t>souverainiste, heurte les intérêts français et inquiète les puissants marabouts qui interviennent dans le marché de l’arachide. Cela motive Senghor à </w:t>
      </w:r>
      <w:r>
        <w:rPr>
          <w:color w:val="231F20"/>
          <w:spacing w:val="-2"/>
        </w:rPr>
        <w:t>demander</w:t>
      </w:r>
      <w:r>
        <w:rPr>
          <w:color w:val="231F20"/>
          <w:spacing w:val="-7"/>
        </w:rPr>
        <w:t> </w:t>
      </w:r>
      <w:r>
        <w:rPr>
          <w:color w:val="231F20"/>
          <w:spacing w:val="-2"/>
        </w:rPr>
        <w:t>à</w:t>
      </w:r>
      <w:r>
        <w:rPr>
          <w:color w:val="231F20"/>
          <w:spacing w:val="-7"/>
        </w:rPr>
        <w:t> </w:t>
      </w:r>
      <w:r>
        <w:rPr>
          <w:color w:val="231F20"/>
          <w:spacing w:val="-2"/>
        </w:rPr>
        <w:t>ses</w:t>
      </w:r>
      <w:r>
        <w:rPr>
          <w:color w:val="231F20"/>
          <w:spacing w:val="-7"/>
        </w:rPr>
        <w:t> </w:t>
      </w:r>
      <w:r>
        <w:rPr>
          <w:color w:val="231F20"/>
          <w:spacing w:val="-2"/>
        </w:rPr>
        <w:t>amis</w:t>
      </w:r>
      <w:r>
        <w:rPr>
          <w:color w:val="231F20"/>
          <w:spacing w:val="-10"/>
        </w:rPr>
        <w:t> </w:t>
      </w:r>
      <w:r>
        <w:rPr>
          <w:color w:val="231F20"/>
          <w:spacing w:val="-2"/>
        </w:rPr>
        <w:t>députés</w:t>
      </w:r>
      <w:r>
        <w:rPr>
          <w:color w:val="231F20"/>
          <w:spacing w:val="-7"/>
        </w:rPr>
        <w:t> </w:t>
      </w:r>
      <w:r>
        <w:rPr>
          <w:color w:val="231F20"/>
          <w:spacing w:val="-2"/>
        </w:rPr>
        <w:t>de</w:t>
      </w:r>
      <w:r>
        <w:rPr>
          <w:color w:val="231F20"/>
          <w:spacing w:val="-10"/>
        </w:rPr>
        <w:t> </w:t>
      </w:r>
      <w:r>
        <w:rPr>
          <w:color w:val="231F20"/>
          <w:spacing w:val="-2"/>
        </w:rPr>
        <w:t>déposer</w:t>
      </w:r>
      <w:r>
        <w:rPr>
          <w:color w:val="231F20"/>
          <w:spacing w:val="-10"/>
        </w:rPr>
        <w:t> </w:t>
      </w:r>
      <w:r>
        <w:rPr>
          <w:color w:val="231F20"/>
          <w:spacing w:val="-2"/>
        </w:rPr>
        <w:t>une</w:t>
      </w:r>
      <w:r>
        <w:rPr>
          <w:color w:val="231F20"/>
          <w:spacing w:val="-7"/>
        </w:rPr>
        <w:t> </w:t>
      </w:r>
      <w:r>
        <w:rPr>
          <w:color w:val="231F20"/>
          <w:spacing w:val="-2"/>
        </w:rPr>
        <w:t>motion</w:t>
      </w:r>
      <w:r>
        <w:rPr>
          <w:color w:val="231F20"/>
          <w:spacing w:val="-9"/>
        </w:rPr>
        <w:t> </w:t>
      </w:r>
      <w:r>
        <w:rPr>
          <w:color w:val="231F20"/>
          <w:spacing w:val="-2"/>
        </w:rPr>
        <w:t>de</w:t>
      </w:r>
      <w:r>
        <w:rPr>
          <w:color w:val="231F20"/>
          <w:spacing w:val="-7"/>
        </w:rPr>
        <w:t> </w:t>
      </w:r>
      <w:r>
        <w:rPr>
          <w:color w:val="231F20"/>
          <w:spacing w:val="-2"/>
        </w:rPr>
        <w:t>censure</w:t>
      </w:r>
      <w:r>
        <w:rPr>
          <w:color w:val="231F20"/>
          <w:spacing w:val="-7"/>
        </w:rPr>
        <w:t> </w:t>
      </w:r>
      <w:r>
        <w:rPr>
          <w:color w:val="231F20"/>
          <w:spacing w:val="-2"/>
        </w:rPr>
        <w:t>contre</w:t>
      </w:r>
      <w:r>
        <w:rPr>
          <w:color w:val="231F20"/>
          <w:spacing w:val="-9"/>
        </w:rPr>
        <w:t> </w:t>
      </w:r>
      <w:r>
        <w:rPr>
          <w:color w:val="231F20"/>
          <w:spacing w:val="-2"/>
        </w:rPr>
        <w:t>le </w:t>
      </w:r>
      <w:r>
        <w:rPr>
          <w:color w:val="231F20"/>
        </w:rPr>
        <w:t>gouvernement. Mamadou Dia est arrêté. Il est accusé de « tentative de coup d’État » avec 4 autres ministres. Ils sont condamnés à 20 ans </w:t>
      </w:r>
      <w:r>
        <w:rPr>
          <w:color w:val="231F20"/>
          <w:spacing w:val="-2"/>
        </w:rPr>
        <w:t>d’emprisonnement.</w:t>
      </w:r>
    </w:p>
    <w:p>
      <w:pPr>
        <w:pStyle w:val="BodyText"/>
        <w:spacing w:before="121"/>
        <w:ind w:right="105" w:firstLine="283"/>
      </w:pPr>
      <w:r>
        <w:rPr>
          <w:color w:val="231F20"/>
          <w:spacing w:val="-2"/>
        </w:rPr>
        <w:t>En</w:t>
      </w:r>
      <w:r>
        <w:rPr>
          <w:color w:val="231F20"/>
          <w:spacing w:val="-9"/>
        </w:rPr>
        <w:t> </w:t>
      </w:r>
      <w:r>
        <w:rPr>
          <w:color w:val="231F20"/>
          <w:spacing w:val="-2"/>
        </w:rPr>
        <w:t>avril</w:t>
      </w:r>
      <w:r>
        <w:rPr>
          <w:color w:val="231F20"/>
          <w:spacing w:val="-9"/>
        </w:rPr>
        <w:t> </w:t>
      </w:r>
      <w:r>
        <w:rPr>
          <w:color w:val="231F20"/>
          <w:spacing w:val="-2"/>
        </w:rPr>
        <w:t>1963,</w:t>
      </w:r>
      <w:r>
        <w:rPr>
          <w:color w:val="231F20"/>
          <w:spacing w:val="-9"/>
        </w:rPr>
        <w:t> </w:t>
      </w:r>
      <w:r>
        <w:rPr>
          <w:color w:val="231F20"/>
          <w:spacing w:val="-2"/>
        </w:rPr>
        <w:t>une</w:t>
      </w:r>
      <w:r>
        <w:rPr>
          <w:color w:val="231F20"/>
          <w:spacing w:val="-9"/>
        </w:rPr>
        <w:t> </w:t>
      </w:r>
      <w:r>
        <w:rPr>
          <w:color w:val="231F20"/>
          <w:spacing w:val="-2"/>
        </w:rPr>
        <w:t>nouvelle</w:t>
      </w:r>
      <w:r>
        <w:rPr>
          <w:color w:val="231F20"/>
          <w:spacing w:val="-9"/>
        </w:rPr>
        <w:t> </w:t>
      </w:r>
      <w:r>
        <w:rPr>
          <w:color w:val="231F20"/>
          <w:spacing w:val="-2"/>
        </w:rPr>
        <w:t>Constitution</w:t>
      </w:r>
      <w:r>
        <w:rPr>
          <w:color w:val="231F20"/>
          <w:spacing w:val="-9"/>
        </w:rPr>
        <w:t> </w:t>
      </w:r>
      <w:r>
        <w:rPr>
          <w:color w:val="231F20"/>
          <w:spacing w:val="-2"/>
        </w:rPr>
        <w:t>est</w:t>
      </w:r>
      <w:r>
        <w:rPr>
          <w:color w:val="231F20"/>
          <w:spacing w:val="-9"/>
        </w:rPr>
        <w:t> </w:t>
      </w:r>
      <w:r>
        <w:rPr>
          <w:color w:val="231F20"/>
          <w:spacing w:val="-2"/>
        </w:rPr>
        <w:t>adoptée,</w:t>
      </w:r>
      <w:r>
        <w:rPr>
          <w:color w:val="231F20"/>
          <w:spacing w:val="-9"/>
        </w:rPr>
        <w:t> </w:t>
      </w:r>
      <w:r>
        <w:rPr>
          <w:color w:val="231F20"/>
          <w:spacing w:val="-2"/>
        </w:rPr>
        <w:t>elle</w:t>
      </w:r>
      <w:r>
        <w:rPr>
          <w:color w:val="231F20"/>
          <w:spacing w:val="-9"/>
        </w:rPr>
        <w:t> </w:t>
      </w:r>
      <w:r>
        <w:rPr>
          <w:color w:val="231F20"/>
          <w:spacing w:val="-2"/>
        </w:rPr>
        <w:t>supprime</w:t>
      </w:r>
      <w:r>
        <w:rPr>
          <w:color w:val="231F20"/>
          <w:spacing w:val="-9"/>
        </w:rPr>
        <w:t> </w:t>
      </w:r>
      <w:r>
        <w:rPr>
          <w:color w:val="231F20"/>
          <w:spacing w:val="-2"/>
        </w:rPr>
        <w:t>le </w:t>
      </w:r>
      <w:r>
        <w:rPr>
          <w:color w:val="231F20"/>
        </w:rPr>
        <w:t>poste</w:t>
      </w:r>
      <w:r>
        <w:rPr>
          <w:color w:val="231F20"/>
          <w:spacing w:val="-7"/>
        </w:rPr>
        <w:t> </w:t>
      </w:r>
      <w:r>
        <w:rPr>
          <w:color w:val="231F20"/>
        </w:rPr>
        <w:t>de</w:t>
      </w:r>
      <w:r>
        <w:rPr>
          <w:color w:val="231F20"/>
          <w:spacing w:val="-4"/>
        </w:rPr>
        <w:t> </w:t>
      </w:r>
      <w:r>
        <w:rPr>
          <w:color w:val="231F20"/>
        </w:rPr>
        <w:t>Premier</w:t>
      </w:r>
      <w:r>
        <w:rPr>
          <w:color w:val="231F20"/>
          <w:spacing w:val="-6"/>
        </w:rPr>
        <w:t> </w:t>
      </w:r>
      <w:r>
        <w:rPr>
          <w:color w:val="231F20"/>
        </w:rPr>
        <w:t>ministre</w:t>
      </w:r>
      <w:r>
        <w:rPr>
          <w:color w:val="231F20"/>
          <w:spacing w:val="-7"/>
        </w:rPr>
        <w:t> </w:t>
      </w:r>
      <w:r>
        <w:rPr>
          <w:color w:val="231F20"/>
        </w:rPr>
        <w:t>et</w:t>
      </w:r>
      <w:r>
        <w:rPr>
          <w:color w:val="231F20"/>
          <w:spacing w:val="-4"/>
        </w:rPr>
        <w:t> </w:t>
      </w:r>
      <w:r>
        <w:rPr>
          <w:color w:val="231F20"/>
        </w:rPr>
        <w:t>établit</w:t>
      </w:r>
      <w:r>
        <w:rPr>
          <w:color w:val="231F20"/>
          <w:spacing w:val="-6"/>
        </w:rPr>
        <w:t> </w:t>
      </w:r>
      <w:r>
        <w:rPr>
          <w:color w:val="231F20"/>
        </w:rPr>
        <w:t>un</w:t>
      </w:r>
      <w:r>
        <w:rPr>
          <w:color w:val="231F20"/>
          <w:spacing w:val="-5"/>
        </w:rPr>
        <w:t> </w:t>
      </w:r>
      <w:r>
        <w:rPr>
          <w:color w:val="231F20"/>
        </w:rPr>
        <w:t>régime</w:t>
      </w:r>
      <w:r>
        <w:rPr>
          <w:color w:val="231F20"/>
          <w:spacing w:val="-7"/>
        </w:rPr>
        <w:t> </w:t>
      </w:r>
      <w:r>
        <w:rPr>
          <w:color w:val="231F20"/>
        </w:rPr>
        <w:t>présidentiel.</w:t>
      </w:r>
    </w:p>
    <w:p>
      <w:pPr>
        <w:pStyle w:val="BodyText"/>
        <w:spacing w:before="120"/>
        <w:ind w:right="105" w:firstLine="283"/>
      </w:pPr>
      <w:r>
        <w:rPr>
          <w:color w:val="231F20"/>
        </w:rPr>
        <w:t>En</w:t>
      </w:r>
      <w:r>
        <w:rPr>
          <w:color w:val="231F20"/>
          <w:spacing w:val="-10"/>
        </w:rPr>
        <w:t> </w:t>
      </w:r>
      <w:r>
        <w:rPr>
          <w:color w:val="231F20"/>
        </w:rPr>
        <w:t>mai</w:t>
      </w:r>
      <w:r>
        <w:rPr>
          <w:color w:val="231F20"/>
          <w:spacing w:val="-9"/>
        </w:rPr>
        <w:t> </w:t>
      </w:r>
      <w:r>
        <w:rPr>
          <w:color w:val="231F20"/>
        </w:rPr>
        <w:t>et</w:t>
      </w:r>
      <w:r>
        <w:rPr>
          <w:color w:val="231F20"/>
          <w:spacing w:val="-11"/>
        </w:rPr>
        <w:t> </w:t>
      </w:r>
      <w:r>
        <w:rPr>
          <w:color w:val="231F20"/>
        </w:rPr>
        <w:t>juin</w:t>
      </w:r>
      <w:r>
        <w:rPr>
          <w:color w:val="231F20"/>
          <w:spacing w:val="-11"/>
        </w:rPr>
        <w:t> </w:t>
      </w:r>
      <w:r>
        <w:rPr>
          <w:color w:val="231F20"/>
        </w:rPr>
        <w:t>1968,</w:t>
      </w:r>
      <w:r>
        <w:rPr>
          <w:color w:val="231F20"/>
          <w:spacing w:val="-11"/>
        </w:rPr>
        <w:t> </w:t>
      </w:r>
      <w:r>
        <w:rPr>
          <w:color w:val="231F20"/>
        </w:rPr>
        <w:t>les</w:t>
      </w:r>
      <w:r>
        <w:rPr>
          <w:color w:val="231F20"/>
          <w:spacing w:val="-10"/>
        </w:rPr>
        <w:t> </w:t>
      </w:r>
      <w:r>
        <w:rPr>
          <w:color w:val="231F20"/>
        </w:rPr>
        <w:t>étudiants</w:t>
      </w:r>
      <w:r>
        <w:rPr>
          <w:color w:val="231F20"/>
          <w:spacing w:val="-11"/>
        </w:rPr>
        <w:t> </w:t>
      </w:r>
      <w:r>
        <w:rPr>
          <w:color w:val="231F20"/>
        </w:rPr>
        <w:t>de</w:t>
      </w:r>
      <w:r>
        <w:rPr>
          <w:color w:val="231F20"/>
          <w:spacing w:val="-12"/>
        </w:rPr>
        <w:t> </w:t>
      </w:r>
      <w:r>
        <w:rPr>
          <w:color w:val="231F20"/>
        </w:rPr>
        <w:t>l’université</w:t>
      </w:r>
      <w:r>
        <w:rPr>
          <w:color w:val="231F20"/>
          <w:spacing w:val="-12"/>
        </w:rPr>
        <w:t> </w:t>
      </w:r>
      <w:r>
        <w:rPr>
          <w:color w:val="231F20"/>
        </w:rPr>
        <w:t>de</w:t>
      </w:r>
      <w:r>
        <w:rPr>
          <w:color w:val="231F20"/>
          <w:spacing w:val="-11"/>
        </w:rPr>
        <w:t> </w:t>
      </w:r>
      <w:r>
        <w:rPr>
          <w:color w:val="231F20"/>
        </w:rPr>
        <w:t>Dakar</w:t>
      </w:r>
      <w:r>
        <w:rPr>
          <w:color w:val="231F20"/>
          <w:spacing w:val="-11"/>
        </w:rPr>
        <w:t> </w:t>
      </w:r>
      <w:r>
        <w:rPr>
          <w:color w:val="231F20"/>
        </w:rPr>
        <w:t>se</w:t>
      </w:r>
      <w:r>
        <w:rPr>
          <w:color w:val="231F20"/>
          <w:spacing w:val="-13"/>
        </w:rPr>
        <w:t> </w:t>
      </w:r>
      <w:r>
        <w:rPr>
          <w:color w:val="231F20"/>
        </w:rPr>
        <w:t>mettent en grève. Cette révolte soutenue par la population s’étend à tous les secteurs</w:t>
      </w:r>
      <w:r>
        <w:rPr>
          <w:color w:val="231F20"/>
          <w:spacing w:val="-3"/>
        </w:rPr>
        <w:t> </w:t>
      </w:r>
      <w:r>
        <w:rPr>
          <w:color w:val="231F20"/>
        </w:rPr>
        <w:t>et</w:t>
      </w:r>
      <w:r>
        <w:rPr>
          <w:color w:val="231F20"/>
          <w:spacing w:val="-2"/>
        </w:rPr>
        <w:t> </w:t>
      </w:r>
      <w:r>
        <w:rPr>
          <w:color w:val="231F20"/>
        </w:rPr>
        <w:t>ébranle</w:t>
      </w:r>
      <w:r>
        <w:rPr>
          <w:color w:val="231F20"/>
          <w:spacing w:val="-5"/>
        </w:rPr>
        <w:t> </w:t>
      </w:r>
      <w:r>
        <w:rPr>
          <w:color w:val="231F20"/>
        </w:rPr>
        <w:t>le</w:t>
      </w:r>
      <w:r>
        <w:rPr>
          <w:color w:val="231F20"/>
          <w:spacing w:val="-3"/>
        </w:rPr>
        <w:t> </w:t>
      </w:r>
      <w:r>
        <w:rPr>
          <w:color w:val="231F20"/>
        </w:rPr>
        <w:t>régime.</w:t>
      </w:r>
      <w:r>
        <w:rPr>
          <w:color w:val="231F20"/>
          <w:spacing w:val="-5"/>
        </w:rPr>
        <w:t> </w:t>
      </w:r>
      <w:r>
        <w:rPr>
          <w:color w:val="231F20"/>
        </w:rPr>
        <w:t>Senghor</w:t>
      </w:r>
      <w:r>
        <w:rPr>
          <w:color w:val="231F20"/>
          <w:spacing w:val="-1"/>
        </w:rPr>
        <w:t> </w:t>
      </w:r>
      <w:r>
        <w:rPr>
          <w:color w:val="231F20"/>
        </w:rPr>
        <w:t>appelle</w:t>
      </w:r>
      <w:r>
        <w:rPr>
          <w:color w:val="231F20"/>
          <w:spacing w:val="-5"/>
        </w:rPr>
        <w:t> </w:t>
      </w:r>
      <w:r>
        <w:rPr>
          <w:color w:val="231F20"/>
        </w:rPr>
        <w:t>l’Armée</w:t>
      </w:r>
      <w:r>
        <w:rPr>
          <w:color w:val="231F20"/>
          <w:spacing w:val="-3"/>
        </w:rPr>
        <w:t> </w:t>
      </w:r>
      <w:r>
        <w:rPr>
          <w:color w:val="231F20"/>
        </w:rPr>
        <w:t>Française</w:t>
      </w:r>
      <w:r>
        <w:rPr>
          <w:color w:val="231F20"/>
          <w:spacing w:val="-3"/>
        </w:rPr>
        <w:t> </w:t>
      </w:r>
      <w:r>
        <w:rPr>
          <w:color w:val="231F20"/>
        </w:rPr>
        <w:t>à</w:t>
      </w:r>
      <w:r>
        <w:rPr>
          <w:color w:val="231F20"/>
          <w:spacing w:val="-5"/>
        </w:rPr>
        <w:t> </w:t>
      </w:r>
      <w:r>
        <w:rPr>
          <w:color w:val="231F20"/>
        </w:rPr>
        <w:t>son secours. Fondamentalement pro-français, il bénéficie de l’appui de la France</w:t>
      </w:r>
      <w:r>
        <w:rPr>
          <w:color w:val="231F20"/>
          <w:spacing w:val="-5"/>
        </w:rPr>
        <w:t> </w:t>
      </w:r>
      <w:r>
        <w:rPr>
          <w:color w:val="231F20"/>
        </w:rPr>
        <w:t>qui</w:t>
      </w:r>
      <w:r>
        <w:rPr>
          <w:color w:val="231F20"/>
          <w:spacing w:val="-4"/>
        </w:rPr>
        <w:t> </w:t>
      </w:r>
      <w:r>
        <w:rPr>
          <w:color w:val="231F20"/>
        </w:rPr>
        <w:t>dispose</w:t>
      </w:r>
      <w:r>
        <w:rPr>
          <w:color w:val="231F20"/>
          <w:spacing w:val="-4"/>
        </w:rPr>
        <w:t> </w:t>
      </w:r>
      <w:r>
        <w:rPr>
          <w:color w:val="231F20"/>
        </w:rPr>
        <w:t>d’une</w:t>
      </w:r>
      <w:r>
        <w:rPr>
          <w:color w:val="231F20"/>
          <w:spacing w:val="-7"/>
        </w:rPr>
        <w:t> </w:t>
      </w:r>
      <w:r>
        <w:rPr>
          <w:color w:val="231F20"/>
        </w:rPr>
        <w:t>base</w:t>
      </w:r>
      <w:r>
        <w:rPr>
          <w:color w:val="231F20"/>
          <w:spacing w:val="-4"/>
        </w:rPr>
        <w:t> </w:t>
      </w:r>
      <w:r>
        <w:rPr>
          <w:color w:val="231F20"/>
        </w:rPr>
        <w:t>militaire</w:t>
      </w:r>
      <w:r>
        <w:rPr>
          <w:color w:val="231F20"/>
          <w:spacing w:val="-5"/>
        </w:rPr>
        <w:t> </w:t>
      </w:r>
      <w:r>
        <w:rPr>
          <w:color w:val="231F20"/>
        </w:rPr>
        <w:t>importante</w:t>
      </w:r>
      <w:r>
        <w:rPr>
          <w:color w:val="231F20"/>
          <w:spacing w:val="-7"/>
        </w:rPr>
        <w:t> </w:t>
      </w:r>
      <w:r>
        <w:rPr>
          <w:color w:val="231F20"/>
        </w:rPr>
        <w:t>à</w:t>
      </w:r>
      <w:r>
        <w:rPr>
          <w:color w:val="231F20"/>
          <w:spacing w:val="-5"/>
        </w:rPr>
        <w:t> </w:t>
      </w:r>
      <w:r>
        <w:rPr>
          <w:color w:val="231F20"/>
        </w:rPr>
        <w:t>Dakar.</w:t>
      </w:r>
      <w:r>
        <w:rPr>
          <w:color w:val="231F20"/>
          <w:spacing w:val="-5"/>
        </w:rPr>
        <w:t> </w:t>
      </w:r>
      <w:r>
        <w:rPr>
          <w:color w:val="231F20"/>
        </w:rPr>
        <w:t>Il</w:t>
      </w:r>
      <w:r>
        <w:rPr>
          <w:color w:val="231F20"/>
          <w:spacing w:val="-5"/>
        </w:rPr>
        <w:t> </w:t>
      </w:r>
      <w:r>
        <w:rPr>
          <w:color w:val="231F20"/>
        </w:rPr>
        <w:t>s’appuie également sur l’alliance passée entre l’État colonial et les califes des confréries</w:t>
      </w:r>
      <w:r>
        <w:rPr>
          <w:color w:val="231F20"/>
          <w:spacing w:val="-14"/>
        </w:rPr>
        <w:t> </w:t>
      </w:r>
      <w:r>
        <w:rPr>
          <w:color w:val="231F20"/>
        </w:rPr>
        <w:t>musulmanes.</w:t>
      </w:r>
      <w:r>
        <w:rPr>
          <w:color w:val="231F20"/>
          <w:spacing w:val="-14"/>
        </w:rPr>
        <w:t> </w:t>
      </w:r>
      <w:r>
        <w:rPr>
          <w:color w:val="231F20"/>
        </w:rPr>
        <w:t>Après</w:t>
      </w:r>
      <w:r>
        <w:rPr>
          <w:color w:val="231F20"/>
          <w:spacing w:val="-12"/>
        </w:rPr>
        <w:t> </w:t>
      </w:r>
      <w:r>
        <w:rPr>
          <w:color w:val="231F20"/>
        </w:rPr>
        <w:t>les</w:t>
      </w:r>
      <w:r>
        <w:rPr>
          <w:color w:val="231F20"/>
          <w:spacing w:val="-12"/>
        </w:rPr>
        <w:t> </w:t>
      </w:r>
      <w:r>
        <w:rPr>
          <w:color w:val="231F20"/>
        </w:rPr>
        <w:t>remous,</w:t>
      </w:r>
      <w:r>
        <w:rPr>
          <w:color w:val="231F20"/>
          <w:spacing w:val="-14"/>
        </w:rPr>
        <w:t> </w:t>
      </w:r>
      <w:r>
        <w:rPr>
          <w:color w:val="231F20"/>
        </w:rPr>
        <w:t>il</w:t>
      </w:r>
      <w:r>
        <w:rPr>
          <w:color w:val="231F20"/>
          <w:spacing w:val="-12"/>
        </w:rPr>
        <w:t> </w:t>
      </w:r>
      <w:r>
        <w:rPr>
          <w:color w:val="231F20"/>
        </w:rPr>
        <w:t>rétablit</w:t>
      </w:r>
      <w:r>
        <w:rPr>
          <w:color w:val="231F20"/>
          <w:spacing w:val="-13"/>
        </w:rPr>
        <w:t> </w:t>
      </w:r>
      <w:r>
        <w:rPr>
          <w:color w:val="231F20"/>
        </w:rPr>
        <w:t>le</w:t>
      </w:r>
      <w:r>
        <w:rPr>
          <w:color w:val="231F20"/>
          <w:spacing w:val="-14"/>
        </w:rPr>
        <w:t> </w:t>
      </w:r>
      <w:r>
        <w:rPr>
          <w:color w:val="231F20"/>
        </w:rPr>
        <w:t>poste</w:t>
      </w:r>
      <w:r>
        <w:rPr>
          <w:color w:val="231F20"/>
          <w:spacing w:val="-14"/>
        </w:rPr>
        <w:t> </w:t>
      </w:r>
      <w:r>
        <w:rPr>
          <w:color w:val="231F20"/>
        </w:rPr>
        <w:t>de</w:t>
      </w:r>
      <w:r>
        <w:rPr>
          <w:color w:val="231F20"/>
          <w:spacing w:val="-15"/>
        </w:rPr>
        <w:t> </w:t>
      </w:r>
      <w:r>
        <w:rPr>
          <w:color w:val="231F20"/>
        </w:rPr>
        <w:t>Premier </w:t>
      </w:r>
      <w:r>
        <w:rPr>
          <w:color w:val="231F20"/>
          <w:spacing w:val="-2"/>
        </w:rPr>
        <w:t>ministre.</w:t>
      </w:r>
    </w:p>
    <w:p>
      <w:pPr>
        <w:pStyle w:val="BodyText"/>
        <w:spacing w:before="121"/>
        <w:ind w:right="108" w:firstLine="283"/>
      </w:pPr>
      <w:r>
        <w:rPr>
          <w:color w:val="231F20"/>
        </w:rPr>
        <w:t>En</w:t>
      </w:r>
      <w:r>
        <w:rPr>
          <w:color w:val="231F20"/>
          <w:spacing w:val="-15"/>
        </w:rPr>
        <w:t> </w:t>
      </w:r>
      <w:r>
        <w:rPr>
          <w:color w:val="231F20"/>
        </w:rPr>
        <w:t>1978,</w:t>
      </w:r>
      <w:r>
        <w:rPr>
          <w:color w:val="231F20"/>
          <w:spacing w:val="-15"/>
        </w:rPr>
        <w:t> </w:t>
      </w:r>
      <w:r>
        <w:rPr>
          <w:color w:val="231F20"/>
        </w:rPr>
        <w:t>il</w:t>
      </w:r>
      <w:r>
        <w:rPr>
          <w:color w:val="231F20"/>
          <w:spacing w:val="-15"/>
        </w:rPr>
        <w:t> </w:t>
      </w:r>
      <w:r>
        <w:rPr>
          <w:color w:val="231F20"/>
        </w:rPr>
        <w:t>ouvre</w:t>
      </w:r>
      <w:r>
        <w:rPr>
          <w:color w:val="231F20"/>
          <w:spacing w:val="-15"/>
        </w:rPr>
        <w:t> </w:t>
      </w:r>
      <w:r>
        <w:rPr>
          <w:color w:val="231F20"/>
        </w:rPr>
        <w:t>son</w:t>
      </w:r>
      <w:r>
        <w:rPr>
          <w:color w:val="231F20"/>
          <w:spacing w:val="-15"/>
        </w:rPr>
        <w:t> </w:t>
      </w:r>
      <w:r>
        <w:rPr>
          <w:color w:val="231F20"/>
        </w:rPr>
        <w:t>pays</w:t>
      </w:r>
      <w:r>
        <w:rPr>
          <w:color w:val="231F20"/>
          <w:spacing w:val="-15"/>
        </w:rPr>
        <w:t> </w:t>
      </w:r>
      <w:r>
        <w:rPr>
          <w:color w:val="231F20"/>
        </w:rPr>
        <w:t>au</w:t>
      </w:r>
      <w:r>
        <w:rPr>
          <w:color w:val="231F20"/>
          <w:spacing w:val="-15"/>
        </w:rPr>
        <w:t> </w:t>
      </w:r>
      <w:r>
        <w:rPr>
          <w:color w:val="231F20"/>
        </w:rPr>
        <w:t>multipartisme</w:t>
      </w:r>
      <w:r>
        <w:rPr>
          <w:color w:val="231F20"/>
          <w:spacing w:val="-15"/>
        </w:rPr>
        <w:t> </w:t>
      </w:r>
      <w:r>
        <w:rPr>
          <w:color w:val="231F20"/>
        </w:rPr>
        <w:t>devenant</w:t>
      </w:r>
      <w:r>
        <w:rPr>
          <w:color w:val="231F20"/>
          <w:spacing w:val="-15"/>
        </w:rPr>
        <w:t> </w:t>
      </w:r>
      <w:r>
        <w:rPr>
          <w:color w:val="231F20"/>
        </w:rPr>
        <w:t>le</w:t>
      </w:r>
      <w:r>
        <w:rPr>
          <w:color w:val="231F20"/>
          <w:spacing w:val="-15"/>
        </w:rPr>
        <w:t> </w:t>
      </w:r>
      <w:r>
        <w:rPr>
          <w:color w:val="231F20"/>
        </w:rPr>
        <w:t>premier</w:t>
      </w:r>
      <w:r>
        <w:rPr>
          <w:color w:val="231F20"/>
          <w:spacing w:val="-15"/>
        </w:rPr>
        <w:t> </w:t>
      </w:r>
      <w:r>
        <w:rPr>
          <w:color w:val="231F20"/>
        </w:rPr>
        <w:t>chef d’État</w:t>
      </w:r>
      <w:r>
        <w:rPr>
          <w:color w:val="231F20"/>
          <w:spacing w:val="-15"/>
        </w:rPr>
        <w:t> </w:t>
      </w:r>
      <w:r>
        <w:rPr>
          <w:color w:val="231F20"/>
        </w:rPr>
        <w:t>du</w:t>
      </w:r>
      <w:r>
        <w:rPr>
          <w:color w:val="231F20"/>
          <w:spacing w:val="-15"/>
        </w:rPr>
        <w:t> </w:t>
      </w:r>
      <w:r>
        <w:rPr>
          <w:color w:val="231F20"/>
        </w:rPr>
        <w:t>continent</w:t>
      </w:r>
      <w:r>
        <w:rPr>
          <w:color w:val="231F20"/>
          <w:spacing w:val="-15"/>
        </w:rPr>
        <w:t> </w:t>
      </w:r>
      <w:r>
        <w:rPr>
          <w:color w:val="231F20"/>
        </w:rPr>
        <w:t>noir</w:t>
      </w:r>
      <w:r>
        <w:rPr>
          <w:color w:val="231F20"/>
          <w:spacing w:val="-15"/>
        </w:rPr>
        <w:t> </w:t>
      </w:r>
      <w:r>
        <w:rPr>
          <w:color w:val="231F20"/>
        </w:rPr>
        <w:t>à</w:t>
      </w:r>
      <w:r>
        <w:rPr>
          <w:color w:val="231F20"/>
          <w:spacing w:val="-15"/>
        </w:rPr>
        <w:t> </w:t>
      </w:r>
      <w:r>
        <w:rPr>
          <w:color w:val="231F20"/>
        </w:rPr>
        <w:t>accepter</w:t>
      </w:r>
      <w:r>
        <w:rPr>
          <w:color w:val="231F20"/>
          <w:spacing w:val="-15"/>
        </w:rPr>
        <w:t> </w:t>
      </w:r>
      <w:r>
        <w:rPr>
          <w:color w:val="231F20"/>
        </w:rPr>
        <w:t>la</w:t>
      </w:r>
      <w:r>
        <w:rPr>
          <w:color w:val="231F20"/>
          <w:spacing w:val="-15"/>
        </w:rPr>
        <w:t> </w:t>
      </w:r>
      <w:r>
        <w:rPr>
          <w:color w:val="231F20"/>
        </w:rPr>
        <w:t>démocratie.</w:t>
      </w:r>
      <w:r>
        <w:rPr>
          <w:color w:val="231F20"/>
          <w:spacing w:val="-15"/>
        </w:rPr>
        <w:t> </w:t>
      </w:r>
      <w:r>
        <w:rPr>
          <w:color w:val="231F20"/>
        </w:rPr>
        <w:t>Le</w:t>
      </w:r>
      <w:r>
        <w:rPr>
          <w:color w:val="231F20"/>
          <w:spacing w:val="-15"/>
        </w:rPr>
        <w:t> </w:t>
      </w:r>
      <w:r>
        <w:rPr>
          <w:color w:val="231F20"/>
        </w:rPr>
        <w:t>31</w:t>
      </w:r>
      <w:r>
        <w:rPr>
          <w:color w:val="231F20"/>
          <w:spacing w:val="-15"/>
        </w:rPr>
        <w:t> </w:t>
      </w:r>
      <w:r>
        <w:rPr>
          <w:color w:val="231F20"/>
        </w:rPr>
        <w:t>décembre</w:t>
      </w:r>
      <w:r>
        <w:rPr>
          <w:color w:val="231F20"/>
          <w:spacing w:val="-15"/>
        </w:rPr>
        <w:t> </w:t>
      </w:r>
      <w:r>
        <w:rPr>
          <w:color w:val="231F20"/>
        </w:rPr>
        <w:t>1980, il</w:t>
      </w:r>
      <w:r>
        <w:rPr>
          <w:color w:val="231F20"/>
          <w:spacing w:val="-4"/>
        </w:rPr>
        <w:t> </w:t>
      </w:r>
      <w:r>
        <w:rPr>
          <w:color w:val="231F20"/>
        </w:rPr>
        <w:t>annonce</w:t>
      </w:r>
      <w:r>
        <w:rPr>
          <w:color w:val="231F20"/>
          <w:spacing w:val="-4"/>
        </w:rPr>
        <w:t> </w:t>
      </w:r>
      <w:r>
        <w:rPr>
          <w:color w:val="231F20"/>
        </w:rPr>
        <w:t>son</w:t>
      </w:r>
      <w:r>
        <w:rPr>
          <w:color w:val="231F20"/>
          <w:spacing w:val="-4"/>
        </w:rPr>
        <w:t> </w:t>
      </w:r>
      <w:r>
        <w:rPr>
          <w:color w:val="231F20"/>
        </w:rPr>
        <w:t>retrait</w:t>
      </w:r>
      <w:r>
        <w:rPr>
          <w:color w:val="231F20"/>
          <w:spacing w:val="-4"/>
        </w:rPr>
        <w:t> </w:t>
      </w:r>
      <w:r>
        <w:rPr>
          <w:color w:val="231F20"/>
        </w:rPr>
        <w:t>volontaire</w:t>
      </w:r>
      <w:r>
        <w:rPr>
          <w:color w:val="231F20"/>
          <w:spacing w:val="-4"/>
        </w:rPr>
        <w:t> </w:t>
      </w:r>
      <w:r>
        <w:rPr>
          <w:color w:val="231F20"/>
        </w:rPr>
        <w:t>du</w:t>
      </w:r>
      <w:r>
        <w:rPr>
          <w:color w:val="231F20"/>
          <w:spacing w:val="-4"/>
        </w:rPr>
        <w:t> </w:t>
      </w:r>
      <w:r>
        <w:rPr>
          <w:color w:val="231F20"/>
        </w:rPr>
        <w:t>pouvoir</w:t>
      </w:r>
      <w:r>
        <w:rPr>
          <w:color w:val="231F20"/>
          <w:spacing w:val="-4"/>
        </w:rPr>
        <w:t> </w:t>
      </w:r>
      <w:r>
        <w:rPr>
          <w:color w:val="231F20"/>
        </w:rPr>
        <w:t>et</w:t>
      </w:r>
      <w:r>
        <w:rPr>
          <w:color w:val="231F20"/>
          <w:spacing w:val="-4"/>
        </w:rPr>
        <w:t> </w:t>
      </w:r>
      <w:r>
        <w:rPr>
          <w:color w:val="231F20"/>
        </w:rPr>
        <w:t>de</w:t>
      </w:r>
      <w:r>
        <w:rPr>
          <w:color w:val="231F20"/>
          <w:spacing w:val="-4"/>
        </w:rPr>
        <w:t> </w:t>
      </w:r>
      <w:r>
        <w:rPr>
          <w:color w:val="231F20"/>
        </w:rPr>
        <w:t>la</w:t>
      </w:r>
      <w:r>
        <w:rPr>
          <w:color w:val="231F20"/>
          <w:spacing w:val="-4"/>
        </w:rPr>
        <w:t> </w:t>
      </w:r>
      <w:r>
        <w:rPr>
          <w:color w:val="231F20"/>
        </w:rPr>
        <w:t>politique.</w:t>
      </w:r>
      <w:r>
        <w:rPr>
          <w:color w:val="231F20"/>
          <w:spacing w:val="-5"/>
        </w:rPr>
        <w:t> </w:t>
      </w:r>
      <w:r>
        <w:rPr>
          <w:color w:val="231F20"/>
        </w:rPr>
        <w:t>Il</w:t>
      </w:r>
      <w:r>
        <w:rPr>
          <w:color w:val="231F20"/>
          <w:spacing w:val="-4"/>
        </w:rPr>
        <w:t> </w:t>
      </w:r>
      <w:r>
        <w:rPr>
          <w:color w:val="231F20"/>
        </w:rPr>
        <w:t>cède</w:t>
      </w:r>
      <w:r>
        <w:rPr>
          <w:color w:val="231F20"/>
          <w:spacing w:val="-5"/>
        </w:rPr>
        <w:t> </w:t>
      </w:r>
      <w:r>
        <w:rPr>
          <w:color w:val="231F20"/>
        </w:rPr>
        <w:t>la place à son Premier ministre, Abdou Diouf, à partir de janvier 1981 et s’installe</w:t>
      </w:r>
      <w:r>
        <w:rPr>
          <w:color w:val="231F20"/>
          <w:spacing w:val="-7"/>
        </w:rPr>
        <w:t> </w:t>
      </w:r>
      <w:r>
        <w:rPr>
          <w:color w:val="231F20"/>
        </w:rPr>
        <w:t>en</w:t>
      </w:r>
      <w:r>
        <w:rPr>
          <w:color w:val="231F20"/>
          <w:spacing w:val="-7"/>
        </w:rPr>
        <w:t> </w:t>
      </w:r>
      <w:r>
        <w:rPr>
          <w:color w:val="231F20"/>
        </w:rPr>
        <w:t>France,</w:t>
      </w:r>
      <w:r>
        <w:rPr>
          <w:color w:val="231F20"/>
          <w:spacing w:val="-7"/>
        </w:rPr>
        <w:t> </w:t>
      </w:r>
      <w:r>
        <w:rPr>
          <w:color w:val="231F20"/>
        </w:rPr>
        <w:t>en</w:t>
      </w:r>
      <w:r>
        <w:rPr>
          <w:color w:val="231F20"/>
          <w:spacing w:val="-7"/>
        </w:rPr>
        <w:t> </w:t>
      </w:r>
      <w:r>
        <w:rPr>
          <w:color w:val="231F20"/>
        </w:rPr>
        <w:t>Normandie,</w:t>
      </w:r>
      <w:r>
        <w:rPr>
          <w:color w:val="231F20"/>
          <w:spacing w:val="-6"/>
        </w:rPr>
        <w:t> </w:t>
      </w:r>
      <w:r>
        <w:rPr>
          <w:color w:val="231F20"/>
        </w:rPr>
        <w:t>région</w:t>
      </w:r>
      <w:r>
        <w:rPr>
          <w:color w:val="231F20"/>
          <w:spacing w:val="-7"/>
        </w:rPr>
        <w:t> </w:t>
      </w:r>
      <w:r>
        <w:rPr>
          <w:color w:val="231F20"/>
        </w:rPr>
        <w:t>natale</w:t>
      </w:r>
      <w:r>
        <w:rPr>
          <w:color w:val="231F20"/>
          <w:spacing w:val="-6"/>
        </w:rPr>
        <w:t> </w:t>
      </w:r>
      <w:r>
        <w:rPr>
          <w:color w:val="231F20"/>
        </w:rPr>
        <w:t>de</w:t>
      </w:r>
      <w:r>
        <w:rPr>
          <w:color w:val="231F20"/>
          <w:spacing w:val="-6"/>
        </w:rPr>
        <w:t> </w:t>
      </w:r>
      <w:r>
        <w:rPr>
          <w:color w:val="231F20"/>
        </w:rPr>
        <w:t>son</w:t>
      </w:r>
      <w:r>
        <w:rPr>
          <w:color w:val="231F20"/>
          <w:spacing w:val="-7"/>
        </w:rPr>
        <w:t> </w:t>
      </w:r>
      <w:r>
        <w:rPr>
          <w:color w:val="231F20"/>
        </w:rPr>
        <w:t>épouse.</w:t>
      </w:r>
    </w:p>
    <w:p>
      <w:pPr>
        <w:pStyle w:val="BodyText"/>
        <w:spacing w:before="120"/>
        <w:ind w:left="395"/>
      </w:pPr>
      <w:r>
        <w:rPr>
          <w:color w:val="231F20"/>
          <w:spacing w:val="-2"/>
        </w:rPr>
        <w:t>En</w:t>
      </w:r>
      <w:r>
        <w:rPr>
          <w:color w:val="231F20"/>
          <w:spacing w:val="-8"/>
        </w:rPr>
        <w:t> </w:t>
      </w:r>
      <w:r>
        <w:rPr>
          <w:color w:val="231F20"/>
          <w:spacing w:val="-2"/>
        </w:rPr>
        <w:t>1983,</w:t>
      </w:r>
      <w:r>
        <w:rPr>
          <w:color w:val="231F20"/>
          <w:spacing w:val="-10"/>
        </w:rPr>
        <w:t> </w:t>
      </w:r>
      <w:r>
        <w:rPr>
          <w:color w:val="231F20"/>
          <w:spacing w:val="-2"/>
        </w:rPr>
        <w:t>il</w:t>
      </w:r>
      <w:r>
        <w:rPr>
          <w:color w:val="231F20"/>
          <w:spacing w:val="-7"/>
        </w:rPr>
        <w:t> </w:t>
      </w:r>
      <w:r>
        <w:rPr>
          <w:color w:val="231F20"/>
          <w:spacing w:val="-2"/>
        </w:rPr>
        <w:t>est</w:t>
      </w:r>
      <w:r>
        <w:rPr>
          <w:color w:val="231F20"/>
          <w:spacing w:val="-9"/>
        </w:rPr>
        <w:t> </w:t>
      </w:r>
      <w:r>
        <w:rPr>
          <w:color w:val="231F20"/>
          <w:spacing w:val="-2"/>
        </w:rPr>
        <w:t>le</w:t>
      </w:r>
      <w:r>
        <w:rPr>
          <w:color w:val="231F20"/>
          <w:spacing w:val="-8"/>
        </w:rPr>
        <w:t> </w:t>
      </w:r>
      <w:r>
        <w:rPr>
          <w:color w:val="231F20"/>
          <w:spacing w:val="-2"/>
        </w:rPr>
        <w:t>premier</w:t>
      </w:r>
      <w:r>
        <w:rPr>
          <w:color w:val="231F20"/>
          <w:spacing w:val="-9"/>
        </w:rPr>
        <w:t> </w:t>
      </w:r>
      <w:r>
        <w:rPr>
          <w:color w:val="231F20"/>
          <w:spacing w:val="-2"/>
        </w:rPr>
        <w:t>noir</w:t>
      </w:r>
      <w:r>
        <w:rPr>
          <w:color w:val="231F20"/>
          <w:spacing w:val="-8"/>
        </w:rPr>
        <w:t> </w:t>
      </w:r>
      <w:r>
        <w:rPr>
          <w:color w:val="231F20"/>
          <w:spacing w:val="-2"/>
        </w:rPr>
        <w:t>à</w:t>
      </w:r>
      <w:r>
        <w:rPr>
          <w:color w:val="231F20"/>
          <w:spacing w:val="-8"/>
        </w:rPr>
        <w:t> </w:t>
      </w:r>
      <w:r>
        <w:rPr>
          <w:color w:val="231F20"/>
          <w:spacing w:val="-2"/>
        </w:rPr>
        <w:t>entrer</w:t>
      </w:r>
      <w:r>
        <w:rPr>
          <w:color w:val="231F20"/>
          <w:spacing w:val="-5"/>
        </w:rPr>
        <w:t> </w:t>
      </w:r>
      <w:r>
        <w:rPr>
          <w:color w:val="231F20"/>
          <w:spacing w:val="-2"/>
        </w:rPr>
        <w:t>à</w:t>
      </w:r>
      <w:r>
        <w:rPr>
          <w:color w:val="231F20"/>
          <w:spacing w:val="-8"/>
        </w:rPr>
        <w:t> </w:t>
      </w:r>
      <w:r>
        <w:rPr>
          <w:color w:val="231F20"/>
          <w:spacing w:val="-2"/>
        </w:rPr>
        <w:t>l’Académie</w:t>
      </w:r>
      <w:r>
        <w:rPr>
          <w:color w:val="231F20"/>
          <w:spacing w:val="-10"/>
        </w:rPr>
        <w:t> </w:t>
      </w:r>
      <w:r>
        <w:rPr>
          <w:color w:val="231F20"/>
          <w:spacing w:val="-2"/>
        </w:rPr>
        <w:t>française.</w:t>
      </w:r>
    </w:p>
    <w:p>
      <w:pPr>
        <w:pStyle w:val="BodyText"/>
        <w:spacing w:before="120"/>
        <w:ind w:right="110" w:firstLine="283"/>
      </w:pPr>
      <w:r>
        <w:rPr>
          <w:color w:val="231F20"/>
        </w:rPr>
        <w:t>Le</w:t>
      </w:r>
      <w:r>
        <w:rPr>
          <w:color w:val="231F20"/>
          <w:spacing w:val="-4"/>
        </w:rPr>
        <w:t> </w:t>
      </w:r>
      <w:r>
        <w:rPr>
          <w:color w:val="231F20"/>
        </w:rPr>
        <w:t>20</w:t>
      </w:r>
      <w:r>
        <w:rPr>
          <w:color w:val="231F20"/>
          <w:spacing w:val="-4"/>
        </w:rPr>
        <w:t> </w:t>
      </w:r>
      <w:r>
        <w:rPr>
          <w:color w:val="231F20"/>
        </w:rPr>
        <w:t>décembre</w:t>
      </w:r>
      <w:r>
        <w:rPr>
          <w:color w:val="231F20"/>
          <w:spacing w:val="-4"/>
        </w:rPr>
        <w:t> </w:t>
      </w:r>
      <w:r>
        <w:rPr>
          <w:color w:val="231F20"/>
        </w:rPr>
        <w:t>2001,</w:t>
      </w:r>
      <w:r>
        <w:rPr>
          <w:color w:val="231F20"/>
          <w:spacing w:val="-5"/>
        </w:rPr>
        <w:t> </w:t>
      </w:r>
      <w:r>
        <w:rPr>
          <w:color w:val="231F20"/>
        </w:rPr>
        <w:t>il</w:t>
      </w:r>
      <w:r>
        <w:rPr>
          <w:color w:val="231F20"/>
          <w:spacing w:val="-5"/>
        </w:rPr>
        <w:t> </w:t>
      </w:r>
      <w:r>
        <w:rPr>
          <w:color w:val="231F20"/>
        </w:rPr>
        <w:t>décède</w:t>
      </w:r>
      <w:r>
        <w:rPr>
          <w:color w:val="231F20"/>
          <w:spacing w:val="-4"/>
        </w:rPr>
        <w:t> </w:t>
      </w:r>
      <w:r>
        <w:rPr>
          <w:color w:val="231F20"/>
        </w:rPr>
        <w:t>à</w:t>
      </w:r>
      <w:r>
        <w:rPr>
          <w:color w:val="231F20"/>
          <w:spacing w:val="-4"/>
        </w:rPr>
        <w:t> </w:t>
      </w:r>
      <w:r>
        <w:rPr>
          <w:color w:val="231F20"/>
        </w:rPr>
        <w:t>Verson,</w:t>
      </w:r>
      <w:r>
        <w:rPr>
          <w:color w:val="231F20"/>
          <w:spacing w:val="-4"/>
        </w:rPr>
        <w:t> </w:t>
      </w:r>
      <w:r>
        <w:rPr>
          <w:color w:val="231F20"/>
        </w:rPr>
        <w:t>sa</w:t>
      </w:r>
      <w:r>
        <w:rPr>
          <w:color w:val="231F20"/>
          <w:spacing w:val="-4"/>
        </w:rPr>
        <w:t> </w:t>
      </w:r>
      <w:r>
        <w:rPr>
          <w:color w:val="231F20"/>
        </w:rPr>
        <w:t>résidence</w:t>
      </w:r>
      <w:r>
        <w:rPr>
          <w:color w:val="231F20"/>
          <w:spacing w:val="-4"/>
        </w:rPr>
        <w:t> </w:t>
      </w:r>
      <w:r>
        <w:rPr>
          <w:color w:val="231F20"/>
        </w:rPr>
        <w:t>normande</w:t>
      </w:r>
      <w:r>
        <w:rPr>
          <w:color w:val="231F20"/>
          <w:spacing w:val="-5"/>
        </w:rPr>
        <w:t> </w:t>
      </w:r>
      <w:r>
        <w:rPr>
          <w:color w:val="231F20"/>
        </w:rPr>
        <w:t>et est inhumé à Dakar.</w:t>
      </w:r>
    </w:p>
    <w:p>
      <w:pPr>
        <w:pStyle w:val="BodyText"/>
        <w:spacing w:before="120"/>
        <w:ind w:right="106" w:firstLine="283"/>
      </w:pPr>
      <w:r>
        <w:rPr>
          <w:color w:val="231F20"/>
          <w:spacing w:val="-6"/>
        </w:rPr>
        <w:t>Abdou Diouf devient Président du Sénégal le 1er janvier 1981 à la suite </w:t>
      </w:r>
      <w:r>
        <w:rPr>
          <w:color w:val="231F20"/>
          <w:spacing w:val="-2"/>
        </w:rPr>
        <w:t>de</w:t>
      </w:r>
      <w:r>
        <w:rPr>
          <w:color w:val="231F20"/>
          <w:spacing w:val="-13"/>
        </w:rPr>
        <w:t> </w:t>
      </w:r>
      <w:r>
        <w:rPr>
          <w:color w:val="231F20"/>
          <w:spacing w:val="-2"/>
        </w:rPr>
        <w:t>la</w:t>
      </w:r>
      <w:r>
        <w:rPr>
          <w:color w:val="231F20"/>
          <w:spacing w:val="-13"/>
        </w:rPr>
        <w:t> </w:t>
      </w:r>
      <w:r>
        <w:rPr>
          <w:color w:val="231F20"/>
          <w:spacing w:val="-2"/>
        </w:rPr>
        <w:t>démission</w:t>
      </w:r>
      <w:r>
        <w:rPr>
          <w:color w:val="231F20"/>
          <w:spacing w:val="-13"/>
        </w:rPr>
        <w:t> </w:t>
      </w:r>
      <w:r>
        <w:rPr>
          <w:color w:val="231F20"/>
          <w:spacing w:val="-2"/>
        </w:rPr>
        <w:t>de</w:t>
      </w:r>
      <w:r>
        <w:rPr>
          <w:color w:val="231F20"/>
          <w:spacing w:val="-13"/>
        </w:rPr>
        <w:t> </w:t>
      </w:r>
      <w:r>
        <w:rPr>
          <w:color w:val="231F20"/>
          <w:spacing w:val="-2"/>
        </w:rPr>
        <w:t>Senghor.</w:t>
      </w:r>
      <w:r>
        <w:rPr>
          <w:color w:val="231F20"/>
          <w:spacing w:val="-13"/>
        </w:rPr>
        <w:t> </w:t>
      </w:r>
      <w:r>
        <w:rPr>
          <w:color w:val="231F20"/>
          <w:spacing w:val="-2"/>
        </w:rPr>
        <w:t>En</w:t>
      </w:r>
      <w:r>
        <w:rPr>
          <w:color w:val="231F20"/>
          <w:spacing w:val="-12"/>
        </w:rPr>
        <w:t> </w:t>
      </w:r>
      <w:r>
        <w:rPr>
          <w:color w:val="231F20"/>
          <w:spacing w:val="-2"/>
        </w:rPr>
        <w:t>effet,</w:t>
      </w:r>
      <w:r>
        <w:rPr>
          <w:color w:val="231F20"/>
          <w:spacing w:val="-13"/>
        </w:rPr>
        <w:t> </w:t>
      </w:r>
      <w:r>
        <w:rPr>
          <w:color w:val="231F20"/>
          <w:spacing w:val="-2"/>
        </w:rPr>
        <w:t>la</w:t>
      </w:r>
      <w:r>
        <w:rPr>
          <w:color w:val="231F20"/>
          <w:spacing w:val="-13"/>
        </w:rPr>
        <w:t> </w:t>
      </w:r>
      <w:r>
        <w:rPr>
          <w:color w:val="231F20"/>
          <w:spacing w:val="-2"/>
        </w:rPr>
        <w:t>Constitution</w:t>
      </w:r>
      <w:r>
        <w:rPr>
          <w:color w:val="231F20"/>
          <w:spacing w:val="-12"/>
        </w:rPr>
        <w:t> </w:t>
      </w:r>
      <w:r>
        <w:rPr>
          <w:color w:val="231F20"/>
          <w:spacing w:val="-2"/>
        </w:rPr>
        <w:t>Sénégalaise</w:t>
      </w:r>
      <w:r>
        <w:rPr>
          <w:color w:val="231F20"/>
          <w:spacing w:val="-12"/>
        </w:rPr>
        <w:t> </w:t>
      </w:r>
      <w:r>
        <w:rPr>
          <w:color w:val="231F20"/>
          <w:spacing w:val="-2"/>
        </w:rPr>
        <w:t>prévoie</w:t>
      </w:r>
    </w:p>
    <w:p>
      <w:pPr>
        <w:spacing w:after="0"/>
        <w:sectPr>
          <w:pgSz w:w="8790" w:h="13610"/>
          <w:pgMar w:header="0" w:footer="802" w:top="1060" w:bottom="1000" w:left="880" w:right="880"/>
        </w:sectPr>
      </w:pPr>
    </w:p>
    <w:p>
      <w:pPr>
        <w:pStyle w:val="BodyText"/>
        <w:spacing w:before="66"/>
        <w:ind w:right="104"/>
      </w:pPr>
      <w:r>
        <w:rPr>
          <w:color w:val="231F20"/>
        </w:rPr>
        <w:t>que le Premier ministre termine le mandat présidentiel jusqu’à la </w:t>
      </w:r>
      <w:r>
        <w:rPr>
          <w:color w:val="231F20"/>
          <w:spacing w:val="-2"/>
        </w:rPr>
        <w:t>prochaine</w:t>
      </w:r>
      <w:r>
        <w:rPr>
          <w:color w:val="231F20"/>
          <w:spacing w:val="-9"/>
        </w:rPr>
        <w:t> </w:t>
      </w:r>
      <w:r>
        <w:rPr>
          <w:color w:val="231F20"/>
          <w:spacing w:val="-2"/>
        </w:rPr>
        <w:t>élection</w:t>
      </w:r>
      <w:r>
        <w:rPr>
          <w:color w:val="231F20"/>
          <w:spacing w:val="-9"/>
        </w:rPr>
        <w:t> </w:t>
      </w:r>
      <w:r>
        <w:rPr>
          <w:color w:val="231F20"/>
          <w:spacing w:val="-2"/>
        </w:rPr>
        <w:t>en</w:t>
      </w:r>
      <w:r>
        <w:rPr>
          <w:color w:val="231F20"/>
          <w:spacing w:val="-9"/>
        </w:rPr>
        <w:t> </w:t>
      </w:r>
      <w:r>
        <w:rPr>
          <w:color w:val="231F20"/>
          <w:spacing w:val="-2"/>
        </w:rPr>
        <w:t>cas</w:t>
      </w:r>
      <w:r>
        <w:rPr>
          <w:color w:val="231F20"/>
          <w:spacing w:val="-11"/>
        </w:rPr>
        <w:t> </w:t>
      </w:r>
      <w:r>
        <w:rPr>
          <w:color w:val="231F20"/>
          <w:spacing w:val="-2"/>
        </w:rPr>
        <w:t>de</w:t>
      </w:r>
      <w:r>
        <w:rPr>
          <w:color w:val="231F20"/>
          <w:spacing w:val="-9"/>
        </w:rPr>
        <w:t> </w:t>
      </w:r>
      <w:r>
        <w:rPr>
          <w:color w:val="231F20"/>
          <w:spacing w:val="-2"/>
        </w:rPr>
        <w:t>vacance</w:t>
      </w:r>
      <w:r>
        <w:rPr>
          <w:color w:val="231F20"/>
          <w:spacing w:val="-9"/>
        </w:rPr>
        <w:t> </w:t>
      </w:r>
      <w:r>
        <w:rPr>
          <w:color w:val="231F20"/>
          <w:spacing w:val="-2"/>
        </w:rPr>
        <w:t>du</w:t>
      </w:r>
      <w:r>
        <w:rPr>
          <w:color w:val="231F20"/>
          <w:spacing w:val="-9"/>
        </w:rPr>
        <w:t> </w:t>
      </w:r>
      <w:r>
        <w:rPr>
          <w:color w:val="231F20"/>
          <w:spacing w:val="-2"/>
        </w:rPr>
        <w:t>pouvoir.</w:t>
      </w:r>
      <w:r>
        <w:rPr>
          <w:color w:val="231F20"/>
          <w:spacing w:val="-9"/>
        </w:rPr>
        <w:t> </w:t>
      </w:r>
      <w:r>
        <w:rPr>
          <w:color w:val="231F20"/>
          <w:spacing w:val="-2"/>
        </w:rPr>
        <w:t>Abdou</w:t>
      </w:r>
      <w:r>
        <w:rPr>
          <w:color w:val="231F20"/>
          <w:spacing w:val="-9"/>
        </w:rPr>
        <w:t> </w:t>
      </w:r>
      <w:r>
        <w:rPr>
          <w:color w:val="231F20"/>
          <w:spacing w:val="-2"/>
        </w:rPr>
        <w:t>Diouf</w:t>
      </w:r>
      <w:r>
        <w:rPr>
          <w:color w:val="231F20"/>
          <w:spacing w:val="-9"/>
        </w:rPr>
        <w:t> </w:t>
      </w:r>
      <w:r>
        <w:rPr>
          <w:color w:val="231F20"/>
          <w:spacing w:val="-2"/>
        </w:rPr>
        <w:t>remplace </w:t>
      </w:r>
      <w:r>
        <w:rPr>
          <w:color w:val="231F20"/>
        </w:rPr>
        <w:t>donc Senghor dont il a été le Directeur de Cabinet en 1963, Secrétaire général de la Présidence en 1964, ministre du plan et de l’industrie de 1968</w:t>
      </w:r>
      <w:r>
        <w:rPr>
          <w:color w:val="231F20"/>
          <w:spacing w:val="-12"/>
        </w:rPr>
        <w:t> </w:t>
      </w:r>
      <w:r>
        <w:rPr>
          <w:color w:val="231F20"/>
        </w:rPr>
        <w:t>à</w:t>
      </w:r>
      <w:r>
        <w:rPr>
          <w:color w:val="231F20"/>
          <w:spacing w:val="-11"/>
        </w:rPr>
        <w:t> </w:t>
      </w:r>
      <w:r>
        <w:rPr>
          <w:color w:val="231F20"/>
        </w:rPr>
        <w:t>1970</w:t>
      </w:r>
      <w:r>
        <w:rPr>
          <w:color w:val="231F20"/>
          <w:spacing w:val="-11"/>
        </w:rPr>
        <w:t> </w:t>
      </w:r>
      <w:r>
        <w:rPr>
          <w:color w:val="231F20"/>
        </w:rPr>
        <w:t>et</w:t>
      </w:r>
      <w:r>
        <w:rPr>
          <w:color w:val="231F20"/>
          <w:spacing w:val="-12"/>
        </w:rPr>
        <w:t> </w:t>
      </w:r>
      <w:r>
        <w:rPr>
          <w:color w:val="231F20"/>
        </w:rPr>
        <w:t>Premier</w:t>
      </w:r>
      <w:r>
        <w:rPr>
          <w:color w:val="231F20"/>
          <w:spacing w:val="-12"/>
        </w:rPr>
        <w:t> </w:t>
      </w:r>
      <w:r>
        <w:rPr>
          <w:color w:val="231F20"/>
        </w:rPr>
        <w:t>ministre</w:t>
      </w:r>
      <w:r>
        <w:rPr>
          <w:color w:val="231F20"/>
          <w:spacing w:val="-11"/>
        </w:rPr>
        <w:t> </w:t>
      </w:r>
      <w:r>
        <w:rPr>
          <w:color w:val="231F20"/>
        </w:rPr>
        <w:t>à</w:t>
      </w:r>
      <w:r>
        <w:rPr>
          <w:color w:val="231F20"/>
          <w:spacing w:val="-13"/>
        </w:rPr>
        <w:t> </w:t>
      </w:r>
      <w:r>
        <w:rPr>
          <w:color w:val="231F20"/>
        </w:rPr>
        <w:t>partir</w:t>
      </w:r>
      <w:r>
        <w:rPr>
          <w:color w:val="231F20"/>
          <w:spacing w:val="-12"/>
        </w:rPr>
        <w:t> </w:t>
      </w:r>
      <w:r>
        <w:rPr>
          <w:color w:val="231F20"/>
        </w:rPr>
        <w:t>de</w:t>
      </w:r>
      <w:r>
        <w:rPr>
          <w:color w:val="231F20"/>
          <w:spacing w:val="-11"/>
        </w:rPr>
        <w:t> </w:t>
      </w:r>
      <w:r>
        <w:rPr>
          <w:color w:val="231F20"/>
        </w:rPr>
        <w:t>1970.</w:t>
      </w:r>
      <w:r>
        <w:rPr>
          <w:color w:val="231F20"/>
          <w:spacing w:val="-11"/>
        </w:rPr>
        <w:t> </w:t>
      </w:r>
      <w:r>
        <w:rPr>
          <w:color w:val="231F20"/>
        </w:rPr>
        <w:t>Avec</w:t>
      </w:r>
      <w:r>
        <w:rPr>
          <w:color w:val="231F20"/>
          <w:spacing w:val="-11"/>
        </w:rPr>
        <w:t> </w:t>
      </w:r>
      <w:r>
        <w:rPr>
          <w:color w:val="231F20"/>
        </w:rPr>
        <w:t>lui,</w:t>
      </w:r>
      <w:r>
        <w:rPr>
          <w:color w:val="231F20"/>
          <w:spacing w:val="-12"/>
        </w:rPr>
        <w:t> </w:t>
      </w:r>
      <w:r>
        <w:rPr>
          <w:color w:val="231F20"/>
        </w:rPr>
        <w:t>c’est</w:t>
      </w:r>
      <w:r>
        <w:rPr>
          <w:color w:val="231F20"/>
          <w:spacing w:val="-11"/>
        </w:rPr>
        <w:t> </w:t>
      </w:r>
      <w:r>
        <w:rPr>
          <w:color w:val="231F20"/>
        </w:rPr>
        <w:t>donc</w:t>
      </w:r>
      <w:r>
        <w:rPr>
          <w:color w:val="231F20"/>
          <w:spacing w:val="-13"/>
        </w:rPr>
        <w:t> </w:t>
      </w:r>
      <w:r>
        <w:rPr>
          <w:color w:val="231F20"/>
        </w:rPr>
        <w:t>la continuité de la politique de Senghor.</w:t>
      </w:r>
    </w:p>
    <w:p>
      <w:pPr>
        <w:pStyle w:val="BodyText"/>
        <w:spacing w:before="120"/>
        <w:ind w:right="104" w:firstLine="283"/>
      </w:pPr>
      <w:r>
        <w:rPr>
          <w:color w:val="231F20"/>
        </w:rPr>
        <w:t>Il poursuit la démocratisation déjà engagée par son prédécesseur en élargissant le multipartisme jusque-là limité à 4 formations politiques, supprime les délits de presse avant de libéraliser progressivement le secteur</w:t>
      </w:r>
      <w:r>
        <w:rPr>
          <w:color w:val="231F20"/>
          <w:spacing w:val="-15"/>
        </w:rPr>
        <w:t> </w:t>
      </w:r>
      <w:r>
        <w:rPr>
          <w:color w:val="231F20"/>
        </w:rPr>
        <w:t>des</w:t>
      </w:r>
      <w:r>
        <w:rPr>
          <w:color w:val="231F20"/>
          <w:spacing w:val="-15"/>
        </w:rPr>
        <w:t> </w:t>
      </w:r>
      <w:r>
        <w:rPr>
          <w:color w:val="231F20"/>
        </w:rPr>
        <w:t>médias.</w:t>
      </w:r>
      <w:r>
        <w:rPr>
          <w:color w:val="231F20"/>
          <w:spacing w:val="-15"/>
        </w:rPr>
        <w:t> </w:t>
      </w:r>
      <w:r>
        <w:rPr>
          <w:color w:val="231F20"/>
        </w:rPr>
        <w:t>Cette</w:t>
      </w:r>
      <w:r>
        <w:rPr>
          <w:color w:val="231F20"/>
          <w:spacing w:val="-15"/>
        </w:rPr>
        <w:t> </w:t>
      </w:r>
      <w:r>
        <w:rPr>
          <w:color w:val="231F20"/>
        </w:rPr>
        <w:t>décision</w:t>
      </w:r>
      <w:r>
        <w:rPr>
          <w:color w:val="231F20"/>
          <w:spacing w:val="-15"/>
        </w:rPr>
        <w:t> </w:t>
      </w:r>
      <w:r>
        <w:rPr>
          <w:color w:val="231F20"/>
        </w:rPr>
        <w:t>permet</w:t>
      </w:r>
      <w:r>
        <w:rPr>
          <w:color w:val="231F20"/>
          <w:spacing w:val="-15"/>
        </w:rPr>
        <w:t> </w:t>
      </w:r>
      <w:r>
        <w:rPr>
          <w:color w:val="231F20"/>
        </w:rPr>
        <w:t>la</w:t>
      </w:r>
      <w:r>
        <w:rPr>
          <w:color w:val="231F20"/>
          <w:spacing w:val="-15"/>
        </w:rPr>
        <w:t> </w:t>
      </w:r>
      <w:r>
        <w:rPr>
          <w:color w:val="231F20"/>
        </w:rPr>
        <w:t>parution</w:t>
      </w:r>
      <w:r>
        <w:rPr>
          <w:color w:val="231F20"/>
          <w:spacing w:val="-15"/>
        </w:rPr>
        <w:t> </w:t>
      </w:r>
      <w:r>
        <w:rPr>
          <w:color w:val="231F20"/>
        </w:rPr>
        <w:t>de</w:t>
      </w:r>
      <w:r>
        <w:rPr>
          <w:color w:val="231F20"/>
          <w:spacing w:val="-15"/>
        </w:rPr>
        <w:t> </w:t>
      </w:r>
      <w:r>
        <w:rPr>
          <w:color w:val="231F20"/>
        </w:rPr>
        <w:t>nouveaux</w:t>
      </w:r>
      <w:r>
        <w:rPr>
          <w:color w:val="231F20"/>
          <w:spacing w:val="-15"/>
        </w:rPr>
        <w:t> </w:t>
      </w:r>
      <w:r>
        <w:rPr>
          <w:color w:val="231F20"/>
        </w:rPr>
        <w:t>titres </w:t>
      </w:r>
      <w:r>
        <w:rPr>
          <w:color w:val="231F20"/>
          <w:spacing w:val="-4"/>
        </w:rPr>
        <w:t>et la</w:t>
      </w:r>
      <w:r>
        <w:rPr>
          <w:color w:val="231F20"/>
          <w:spacing w:val="-6"/>
        </w:rPr>
        <w:t> </w:t>
      </w:r>
      <w:r>
        <w:rPr>
          <w:color w:val="231F20"/>
          <w:spacing w:val="-4"/>
        </w:rPr>
        <w:t>création</w:t>
      </w:r>
      <w:r>
        <w:rPr>
          <w:color w:val="231F20"/>
          <w:spacing w:val="-5"/>
        </w:rPr>
        <w:t> </w:t>
      </w:r>
      <w:r>
        <w:rPr>
          <w:color w:val="231F20"/>
          <w:spacing w:val="-4"/>
        </w:rPr>
        <w:t>de</w:t>
      </w:r>
      <w:r>
        <w:rPr>
          <w:color w:val="231F20"/>
          <w:spacing w:val="-6"/>
        </w:rPr>
        <w:t> </w:t>
      </w:r>
      <w:r>
        <w:rPr>
          <w:color w:val="231F20"/>
          <w:spacing w:val="-4"/>
        </w:rPr>
        <w:t>nouvelles</w:t>
      </w:r>
      <w:r>
        <w:rPr>
          <w:color w:val="231F20"/>
          <w:spacing w:val="-8"/>
        </w:rPr>
        <w:t> </w:t>
      </w:r>
      <w:r>
        <w:rPr>
          <w:color w:val="231F20"/>
          <w:spacing w:val="-4"/>
        </w:rPr>
        <w:t>stations</w:t>
      </w:r>
      <w:r>
        <w:rPr>
          <w:color w:val="231F20"/>
          <w:spacing w:val="-5"/>
        </w:rPr>
        <w:t> </w:t>
      </w:r>
      <w:r>
        <w:rPr>
          <w:color w:val="231F20"/>
          <w:spacing w:val="-4"/>
        </w:rPr>
        <w:t>radios.</w:t>
      </w:r>
      <w:r>
        <w:rPr>
          <w:color w:val="231F20"/>
          <w:spacing w:val="-5"/>
        </w:rPr>
        <w:t> </w:t>
      </w:r>
      <w:r>
        <w:rPr>
          <w:color w:val="231F20"/>
          <w:spacing w:val="-4"/>
        </w:rPr>
        <w:t>Il</w:t>
      </w:r>
      <w:r>
        <w:rPr>
          <w:color w:val="231F20"/>
          <w:spacing w:val="-5"/>
        </w:rPr>
        <w:t> </w:t>
      </w:r>
      <w:r>
        <w:rPr>
          <w:color w:val="231F20"/>
          <w:spacing w:val="-4"/>
        </w:rPr>
        <w:t>baptise</w:t>
      </w:r>
      <w:r>
        <w:rPr>
          <w:color w:val="231F20"/>
          <w:spacing w:val="-6"/>
        </w:rPr>
        <w:t> </w:t>
      </w:r>
      <w:r>
        <w:rPr>
          <w:color w:val="231F20"/>
          <w:spacing w:val="-4"/>
        </w:rPr>
        <w:t>l’Université</w:t>
      </w:r>
      <w:r>
        <w:rPr>
          <w:color w:val="231F20"/>
          <w:spacing w:val="-6"/>
        </w:rPr>
        <w:t> </w:t>
      </w:r>
      <w:r>
        <w:rPr>
          <w:color w:val="231F20"/>
          <w:spacing w:val="-4"/>
        </w:rPr>
        <w:t>de Dakar </w:t>
      </w:r>
      <w:r>
        <w:rPr>
          <w:color w:val="231F20"/>
        </w:rPr>
        <w:t>du nom du chercheur et spécialiste de l’Égypte antique, Cheikh Anta Diop. Auparavant, il avait permis à ce dernier de devenir professeur d’université, ce que le président Senghor avait refusé du fait de l’engagement</w:t>
      </w:r>
      <w:r>
        <w:rPr>
          <w:color w:val="231F20"/>
          <w:spacing w:val="-1"/>
        </w:rPr>
        <w:t> </w:t>
      </w:r>
      <w:r>
        <w:rPr>
          <w:color w:val="231F20"/>
        </w:rPr>
        <w:t>politique</w:t>
      </w:r>
      <w:r>
        <w:rPr>
          <w:color w:val="231F20"/>
          <w:spacing w:val="-2"/>
        </w:rPr>
        <w:t> </w:t>
      </w:r>
      <w:r>
        <w:rPr>
          <w:color w:val="231F20"/>
        </w:rPr>
        <w:t>du</w:t>
      </w:r>
      <w:r>
        <w:rPr>
          <w:color w:val="231F20"/>
          <w:spacing w:val="-2"/>
        </w:rPr>
        <w:t> </w:t>
      </w:r>
      <w:r>
        <w:rPr>
          <w:color w:val="231F20"/>
        </w:rPr>
        <w:t>chercheur.</w:t>
      </w:r>
      <w:r>
        <w:rPr>
          <w:color w:val="231F20"/>
          <w:spacing w:val="-2"/>
        </w:rPr>
        <w:t> </w:t>
      </w:r>
      <w:r>
        <w:rPr>
          <w:color w:val="231F20"/>
        </w:rPr>
        <w:t>Mais,</w:t>
      </w:r>
      <w:r>
        <w:rPr>
          <w:color w:val="231F20"/>
          <w:spacing w:val="-2"/>
        </w:rPr>
        <w:t> </w:t>
      </w:r>
      <w:r>
        <w:rPr>
          <w:color w:val="231F20"/>
        </w:rPr>
        <w:t>tout</w:t>
      </w:r>
      <w:r>
        <w:rPr>
          <w:color w:val="231F20"/>
          <w:spacing w:val="-2"/>
        </w:rPr>
        <w:t> </w:t>
      </w:r>
      <w:r>
        <w:rPr>
          <w:color w:val="231F20"/>
        </w:rPr>
        <w:t>comme</w:t>
      </w:r>
      <w:r>
        <w:rPr>
          <w:color w:val="231F20"/>
          <w:spacing w:val="-3"/>
        </w:rPr>
        <w:t> </w:t>
      </w:r>
      <w:r>
        <w:rPr>
          <w:color w:val="231F20"/>
        </w:rPr>
        <w:t>Senghor,</w:t>
      </w:r>
      <w:r>
        <w:rPr>
          <w:color w:val="231F20"/>
          <w:spacing w:val="-2"/>
        </w:rPr>
        <w:t> </w:t>
      </w:r>
      <w:r>
        <w:rPr>
          <w:color w:val="231F20"/>
        </w:rPr>
        <w:t>il</w:t>
      </w:r>
      <w:r>
        <w:rPr>
          <w:color w:val="231F20"/>
          <w:spacing w:val="-1"/>
        </w:rPr>
        <w:t> </w:t>
      </w:r>
      <w:r>
        <w:rPr>
          <w:color w:val="231F20"/>
        </w:rPr>
        <w:t>ne </w:t>
      </w:r>
      <w:r>
        <w:rPr>
          <w:color w:val="231F20"/>
          <w:spacing w:val="-2"/>
        </w:rPr>
        <w:t>trouve</w:t>
      </w:r>
      <w:r>
        <w:rPr>
          <w:color w:val="231F20"/>
          <w:spacing w:val="-11"/>
        </w:rPr>
        <w:t> </w:t>
      </w:r>
      <w:r>
        <w:rPr>
          <w:color w:val="231F20"/>
          <w:spacing w:val="-2"/>
        </w:rPr>
        <w:t>pas</w:t>
      </w:r>
      <w:r>
        <w:rPr>
          <w:color w:val="231F20"/>
          <w:spacing w:val="-10"/>
        </w:rPr>
        <w:t> </w:t>
      </w:r>
      <w:r>
        <w:rPr>
          <w:color w:val="231F20"/>
          <w:spacing w:val="-2"/>
        </w:rPr>
        <w:t>de</w:t>
      </w:r>
      <w:r>
        <w:rPr>
          <w:color w:val="231F20"/>
          <w:spacing w:val="-11"/>
        </w:rPr>
        <w:t> </w:t>
      </w:r>
      <w:r>
        <w:rPr>
          <w:color w:val="231F20"/>
          <w:spacing w:val="-2"/>
        </w:rPr>
        <w:t>réponse</w:t>
      </w:r>
      <w:r>
        <w:rPr>
          <w:color w:val="231F20"/>
          <w:spacing w:val="-8"/>
        </w:rPr>
        <w:t> </w:t>
      </w:r>
      <w:r>
        <w:rPr>
          <w:color w:val="231F20"/>
          <w:spacing w:val="-2"/>
        </w:rPr>
        <w:t>à</w:t>
      </w:r>
      <w:r>
        <w:rPr>
          <w:color w:val="231F20"/>
          <w:spacing w:val="-11"/>
        </w:rPr>
        <w:t> </w:t>
      </w:r>
      <w:r>
        <w:rPr>
          <w:color w:val="231F20"/>
          <w:spacing w:val="-2"/>
        </w:rPr>
        <w:t>l’épineux</w:t>
      </w:r>
      <w:r>
        <w:rPr>
          <w:color w:val="231F20"/>
          <w:spacing w:val="-10"/>
        </w:rPr>
        <w:t> </w:t>
      </w:r>
      <w:r>
        <w:rPr>
          <w:color w:val="231F20"/>
          <w:spacing w:val="-2"/>
        </w:rPr>
        <w:t>problème</w:t>
      </w:r>
      <w:r>
        <w:rPr>
          <w:color w:val="231F20"/>
          <w:spacing w:val="-11"/>
        </w:rPr>
        <w:t> </w:t>
      </w:r>
      <w:r>
        <w:rPr>
          <w:color w:val="231F20"/>
          <w:spacing w:val="-2"/>
        </w:rPr>
        <w:t>de</w:t>
      </w:r>
      <w:r>
        <w:rPr>
          <w:color w:val="231F20"/>
          <w:spacing w:val="-10"/>
        </w:rPr>
        <w:t> </w:t>
      </w:r>
      <w:r>
        <w:rPr>
          <w:color w:val="231F20"/>
          <w:spacing w:val="-2"/>
        </w:rPr>
        <w:t>la</w:t>
      </w:r>
      <w:r>
        <w:rPr>
          <w:color w:val="231F20"/>
          <w:spacing w:val="-11"/>
        </w:rPr>
        <w:t> </w:t>
      </w:r>
      <w:r>
        <w:rPr>
          <w:color w:val="231F20"/>
          <w:spacing w:val="-2"/>
        </w:rPr>
        <w:t>Casamance,</w:t>
      </w:r>
      <w:r>
        <w:rPr>
          <w:color w:val="231F20"/>
          <w:spacing w:val="-11"/>
        </w:rPr>
        <w:t> </w:t>
      </w:r>
      <w:r>
        <w:rPr>
          <w:color w:val="231F20"/>
          <w:spacing w:val="-2"/>
        </w:rPr>
        <w:t>une</w:t>
      </w:r>
      <w:r>
        <w:rPr>
          <w:color w:val="231F20"/>
          <w:spacing w:val="-8"/>
        </w:rPr>
        <w:t> </w:t>
      </w:r>
      <w:r>
        <w:rPr>
          <w:color w:val="231F20"/>
          <w:spacing w:val="-2"/>
        </w:rPr>
        <w:t>région </w:t>
      </w:r>
      <w:r>
        <w:rPr>
          <w:color w:val="231F20"/>
        </w:rPr>
        <w:t>de</w:t>
      </w:r>
      <w:r>
        <w:rPr>
          <w:color w:val="231F20"/>
          <w:spacing w:val="-4"/>
        </w:rPr>
        <w:t> </w:t>
      </w:r>
      <w:r>
        <w:rPr>
          <w:color w:val="231F20"/>
        </w:rPr>
        <w:t>l’extrême</w:t>
      </w:r>
      <w:r>
        <w:rPr>
          <w:color w:val="231F20"/>
          <w:spacing w:val="-4"/>
        </w:rPr>
        <w:t> </w:t>
      </w:r>
      <w:r>
        <w:rPr>
          <w:color w:val="231F20"/>
        </w:rPr>
        <w:t>sud</w:t>
      </w:r>
      <w:r>
        <w:rPr>
          <w:color w:val="231F20"/>
          <w:spacing w:val="-4"/>
        </w:rPr>
        <w:t> </w:t>
      </w:r>
      <w:r>
        <w:rPr>
          <w:color w:val="231F20"/>
        </w:rPr>
        <w:t>du</w:t>
      </w:r>
      <w:r>
        <w:rPr>
          <w:color w:val="231F20"/>
          <w:spacing w:val="-7"/>
        </w:rPr>
        <w:t> </w:t>
      </w:r>
      <w:r>
        <w:rPr>
          <w:color w:val="231F20"/>
        </w:rPr>
        <w:t>Sénégal</w:t>
      </w:r>
      <w:r>
        <w:rPr>
          <w:color w:val="231F20"/>
          <w:spacing w:val="-4"/>
        </w:rPr>
        <w:t> </w:t>
      </w:r>
      <w:r>
        <w:rPr>
          <w:color w:val="231F20"/>
        </w:rPr>
        <w:t>qui</w:t>
      </w:r>
      <w:r>
        <w:rPr>
          <w:color w:val="231F20"/>
          <w:spacing w:val="-5"/>
        </w:rPr>
        <w:t> </w:t>
      </w:r>
      <w:r>
        <w:rPr>
          <w:color w:val="231F20"/>
        </w:rPr>
        <w:t>revendique</w:t>
      </w:r>
      <w:r>
        <w:rPr>
          <w:color w:val="231F20"/>
          <w:spacing w:val="-7"/>
        </w:rPr>
        <w:t> </w:t>
      </w:r>
      <w:r>
        <w:rPr>
          <w:color w:val="231F20"/>
        </w:rPr>
        <w:t>son</w:t>
      </w:r>
      <w:r>
        <w:rPr>
          <w:color w:val="231F20"/>
          <w:spacing w:val="-7"/>
        </w:rPr>
        <w:t> </w:t>
      </w:r>
      <w:r>
        <w:rPr>
          <w:color w:val="231F20"/>
        </w:rPr>
        <w:t>indépendance.</w:t>
      </w:r>
    </w:p>
    <w:p>
      <w:pPr>
        <w:pStyle w:val="BodyText"/>
        <w:spacing w:before="121"/>
        <w:ind w:right="104" w:firstLine="283"/>
      </w:pPr>
      <w:r>
        <w:rPr>
          <w:color w:val="231F20"/>
          <w:spacing w:val="-2"/>
        </w:rPr>
        <w:t>En</w:t>
      </w:r>
      <w:r>
        <w:rPr>
          <w:color w:val="231F20"/>
          <w:spacing w:val="-13"/>
        </w:rPr>
        <w:t> </w:t>
      </w:r>
      <w:r>
        <w:rPr>
          <w:color w:val="231F20"/>
          <w:spacing w:val="-2"/>
        </w:rPr>
        <w:t>1982,</w:t>
      </w:r>
      <w:r>
        <w:rPr>
          <w:color w:val="231F20"/>
          <w:spacing w:val="-13"/>
        </w:rPr>
        <w:t> </w:t>
      </w:r>
      <w:r>
        <w:rPr>
          <w:color w:val="231F20"/>
          <w:spacing w:val="-2"/>
        </w:rPr>
        <w:t>le</w:t>
      </w:r>
      <w:r>
        <w:rPr>
          <w:color w:val="231F20"/>
          <w:spacing w:val="-13"/>
        </w:rPr>
        <w:t> </w:t>
      </w:r>
      <w:r>
        <w:rPr>
          <w:color w:val="231F20"/>
          <w:spacing w:val="-2"/>
        </w:rPr>
        <w:t>Sénégal</w:t>
      </w:r>
      <w:r>
        <w:rPr>
          <w:color w:val="231F20"/>
          <w:spacing w:val="-13"/>
        </w:rPr>
        <w:t> </w:t>
      </w:r>
      <w:r>
        <w:rPr>
          <w:color w:val="231F20"/>
          <w:spacing w:val="-2"/>
        </w:rPr>
        <w:t>s’unit</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Gambie</w:t>
      </w:r>
      <w:r>
        <w:rPr>
          <w:color w:val="231F20"/>
          <w:spacing w:val="-13"/>
        </w:rPr>
        <w:t> </w:t>
      </w:r>
      <w:r>
        <w:rPr>
          <w:color w:val="231F20"/>
          <w:spacing w:val="-2"/>
        </w:rPr>
        <w:t>dont</w:t>
      </w:r>
      <w:r>
        <w:rPr>
          <w:color w:val="231F20"/>
          <w:spacing w:val="-13"/>
        </w:rPr>
        <w:t> </w:t>
      </w:r>
      <w:r>
        <w:rPr>
          <w:color w:val="231F20"/>
          <w:spacing w:val="-2"/>
        </w:rPr>
        <w:t>le</w:t>
      </w:r>
      <w:r>
        <w:rPr>
          <w:color w:val="231F20"/>
          <w:spacing w:val="-13"/>
        </w:rPr>
        <w:t> </w:t>
      </w:r>
      <w:r>
        <w:rPr>
          <w:color w:val="231F20"/>
          <w:spacing w:val="-2"/>
        </w:rPr>
        <w:t>territoire</w:t>
      </w:r>
      <w:r>
        <w:rPr>
          <w:color w:val="231F20"/>
          <w:spacing w:val="-12"/>
        </w:rPr>
        <w:t> </w:t>
      </w:r>
      <w:r>
        <w:rPr>
          <w:color w:val="231F20"/>
          <w:spacing w:val="-2"/>
        </w:rPr>
        <w:t>est</w:t>
      </w:r>
      <w:r>
        <w:rPr>
          <w:color w:val="231F20"/>
          <w:spacing w:val="-12"/>
        </w:rPr>
        <w:t> </w:t>
      </w:r>
      <w:r>
        <w:rPr>
          <w:color w:val="231F20"/>
          <w:spacing w:val="-2"/>
        </w:rPr>
        <w:t>totalement </w:t>
      </w:r>
      <w:r>
        <w:rPr>
          <w:color w:val="231F20"/>
        </w:rPr>
        <w:t>englobé dans le territoire sénégalais, pour former la Confédération de </w:t>
      </w:r>
      <w:r>
        <w:rPr>
          <w:color w:val="231F20"/>
          <w:spacing w:val="-4"/>
        </w:rPr>
        <w:t>Sénégambie.</w:t>
      </w:r>
      <w:r>
        <w:rPr>
          <w:color w:val="231F20"/>
          <w:spacing w:val="-10"/>
        </w:rPr>
        <w:t> </w:t>
      </w:r>
      <w:r>
        <w:rPr>
          <w:color w:val="231F20"/>
          <w:spacing w:val="-4"/>
        </w:rPr>
        <w:t>N’arrivant</w:t>
      </w:r>
      <w:r>
        <w:rPr>
          <w:color w:val="231F20"/>
          <w:spacing w:val="-10"/>
        </w:rPr>
        <w:t> </w:t>
      </w:r>
      <w:r>
        <w:rPr>
          <w:color w:val="231F20"/>
          <w:spacing w:val="-4"/>
        </w:rPr>
        <w:t>pas</w:t>
      </w:r>
      <w:r>
        <w:rPr>
          <w:color w:val="231F20"/>
          <w:spacing w:val="-7"/>
        </w:rPr>
        <w:t> </w:t>
      </w:r>
      <w:r>
        <w:rPr>
          <w:color w:val="231F20"/>
          <w:spacing w:val="-4"/>
        </w:rPr>
        <w:t>à</w:t>
      </w:r>
      <w:r>
        <w:rPr>
          <w:color w:val="231F20"/>
          <w:spacing w:val="-7"/>
        </w:rPr>
        <w:t> </w:t>
      </w:r>
      <w:r>
        <w:rPr>
          <w:color w:val="231F20"/>
          <w:spacing w:val="-4"/>
        </w:rPr>
        <w:t>fonctionner</w:t>
      </w:r>
      <w:r>
        <w:rPr>
          <w:color w:val="231F20"/>
          <w:spacing w:val="-11"/>
        </w:rPr>
        <w:t> </w:t>
      </w:r>
      <w:r>
        <w:rPr>
          <w:color w:val="231F20"/>
          <w:spacing w:val="-4"/>
        </w:rPr>
        <w:t>correctement</w:t>
      </w:r>
      <w:r>
        <w:rPr>
          <w:color w:val="231F20"/>
          <w:spacing w:val="-10"/>
        </w:rPr>
        <w:t> </w:t>
      </w:r>
      <w:r>
        <w:rPr>
          <w:color w:val="231F20"/>
          <w:spacing w:val="-4"/>
        </w:rPr>
        <w:t>,</w:t>
      </w:r>
      <w:r>
        <w:rPr>
          <w:color w:val="231F20"/>
          <w:spacing w:val="-11"/>
        </w:rPr>
        <w:t> </w:t>
      </w:r>
      <w:r>
        <w:rPr>
          <w:color w:val="231F20"/>
          <w:spacing w:val="-4"/>
        </w:rPr>
        <w:t>la</w:t>
      </w:r>
      <w:r>
        <w:rPr>
          <w:color w:val="231F20"/>
          <w:spacing w:val="-11"/>
        </w:rPr>
        <w:t> </w:t>
      </w:r>
      <w:r>
        <w:rPr>
          <w:color w:val="231F20"/>
          <w:spacing w:val="-4"/>
        </w:rPr>
        <w:t>Confédération </w:t>
      </w:r>
      <w:r>
        <w:rPr>
          <w:color w:val="231F20"/>
        </w:rPr>
        <w:t>éclate en 1989.</w:t>
      </w:r>
    </w:p>
    <w:p>
      <w:pPr>
        <w:pStyle w:val="BodyText"/>
        <w:spacing w:before="120"/>
        <w:ind w:right="104" w:firstLine="283"/>
      </w:pPr>
      <w:r>
        <w:rPr>
          <w:color w:val="231F20"/>
        </w:rPr>
        <w:t>Au</w:t>
      </w:r>
      <w:r>
        <w:rPr>
          <w:color w:val="231F20"/>
          <w:spacing w:val="-10"/>
        </w:rPr>
        <w:t> </w:t>
      </w:r>
      <w:r>
        <w:rPr>
          <w:color w:val="231F20"/>
        </w:rPr>
        <w:t>plan</w:t>
      </w:r>
      <w:r>
        <w:rPr>
          <w:color w:val="231F20"/>
          <w:spacing w:val="-10"/>
        </w:rPr>
        <w:t> </w:t>
      </w:r>
      <w:r>
        <w:rPr>
          <w:color w:val="231F20"/>
        </w:rPr>
        <w:t>économique,</w:t>
      </w:r>
      <w:r>
        <w:rPr>
          <w:color w:val="231F20"/>
          <w:spacing w:val="-10"/>
        </w:rPr>
        <w:t> </w:t>
      </w:r>
      <w:r>
        <w:rPr>
          <w:color w:val="231F20"/>
        </w:rPr>
        <w:t>Abdou</w:t>
      </w:r>
      <w:r>
        <w:rPr>
          <w:color w:val="231F20"/>
          <w:spacing w:val="-10"/>
        </w:rPr>
        <w:t> </w:t>
      </w:r>
      <w:r>
        <w:rPr>
          <w:color w:val="231F20"/>
        </w:rPr>
        <w:t>Diouf</w:t>
      </w:r>
      <w:r>
        <w:rPr>
          <w:color w:val="231F20"/>
          <w:spacing w:val="-10"/>
        </w:rPr>
        <w:t> </w:t>
      </w:r>
      <w:r>
        <w:rPr>
          <w:color w:val="231F20"/>
        </w:rPr>
        <w:t>réussit</w:t>
      </w:r>
      <w:r>
        <w:rPr>
          <w:color w:val="231F20"/>
          <w:spacing w:val="-10"/>
        </w:rPr>
        <w:t> </w:t>
      </w:r>
      <w:r>
        <w:rPr>
          <w:color w:val="231F20"/>
        </w:rPr>
        <w:t>à</w:t>
      </w:r>
      <w:r>
        <w:rPr>
          <w:color w:val="231F20"/>
          <w:spacing w:val="-10"/>
        </w:rPr>
        <w:t> </w:t>
      </w:r>
      <w:r>
        <w:rPr>
          <w:color w:val="231F20"/>
        </w:rPr>
        <w:t>moderniser</w:t>
      </w:r>
      <w:r>
        <w:rPr>
          <w:color w:val="231F20"/>
          <w:spacing w:val="-10"/>
        </w:rPr>
        <w:t> </w:t>
      </w:r>
      <w:r>
        <w:rPr>
          <w:color w:val="231F20"/>
        </w:rPr>
        <w:t>l’Économie </w:t>
      </w:r>
      <w:r>
        <w:rPr>
          <w:color w:val="231F20"/>
          <w:spacing w:val="-4"/>
        </w:rPr>
        <w:t>de</w:t>
      </w:r>
      <w:r>
        <w:rPr>
          <w:color w:val="231F20"/>
          <w:spacing w:val="-11"/>
        </w:rPr>
        <w:t> </w:t>
      </w:r>
      <w:r>
        <w:rPr>
          <w:color w:val="231F20"/>
          <w:spacing w:val="-4"/>
        </w:rPr>
        <w:t>son</w:t>
      </w:r>
      <w:r>
        <w:rPr>
          <w:color w:val="231F20"/>
          <w:spacing w:val="-11"/>
        </w:rPr>
        <w:t> </w:t>
      </w:r>
      <w:r>
        <w:rPr>
          <w:color w:val="231F20"/>
          <w:spacing w:val="-4"/>
        </w:rPr>
        <w:t>pays</w:t>
      </w:r>
      <w:r>
        <w:rPr>
          <w:color w:val="231F20"/>
          <w:spacing w:val="-11"/>
        </w:rPr>
        <w:t> </w:t>
      </w:r>
      <w:r>
        <w:rPr>
          <w:color w:val="231F20"/>
          <w:spacing w:val="-4"/>
        </w:rPr>
        <w:t>dans</w:t>
      </w:r>
      <w:r>
        <w:rPr>
          <w:color w:val="231F20"/>
          <w:spacing w:val="-11"/>
        </w:rPr>
        <w:t> </w:t>
      </w:r>
      <w:r>
        <w:rPr>
          <w:color w:val="231F20"/>
          <w:spacing w:val="-4"/>
        </w:rPr>
        <w:t>un</w:t>
      </w:r>
      <w:r>
        <w:rPr>
          <w:color w:val="231F20"/>
          <w:spacing w:val="-9"/>
        </w:rPr>
        <w:t> </w:t>
      </w:r>
      <w:r>
        <w:rPr>
          <w:color w:val="231F20"/>
          <w:spacing w:val="-4"/>
        </w:rPr>
        <w:t>contexte</w:t>
      </w:r>
      <w:r>
        <w:rPr>
          <w:color w:val="231F20"/>
          <w:spacing w:val="-9"/>
        </w:rPr>
        <w:t> </w:t>
      </w:r>
      <w:r>
        <w:rPr>
          <w:color w:val="231F20"/>
          <w:spacing w:val="-4"/>
        </w:rPr>
        <w:t>difficile</w:t>
      </w:r>
      <w:r>
        <w:rPr>
          <w:color w:val="231F20"/>
        </w:rPr>
        <w:t> </w:t>
      </w:r>
      <w:r>
        <w:rPr>
          <w:color w:val="231F20"/>
          <w:spacing w:val="-4"/>
        </w:rPr>
        <w:t>:</w:t>
      </w:r>
      <w:r>
        <w:rPr>
          <w:color w:val="231F20"/>
          <w:spacing w:val="-9"/>
        </w:rPr>
        <w:t> </w:t>
      </w:r>
      <w:r>
        <w:rPr>
          <w:color w:val="231F20"/>
          <w:spacing w:val="-4"/>
        </w:rPr>
        <w:t>plus</w:t>
      </w:r>
      <w:r>
        <w:rPr>
          <w:color w:val="231F20"/>
          <w:spacing w:val="-11"/>
        </w:rPr>
        <w:t> </w:t>
      </w:r>
      <w:r>
        <w:rPr>
          <w:color w:val="231F20"/>
          <w:spacing w:val="-4"/>
        </w:rPr>
        <w:t>d’une</w:t>
      </w:r>
      <w:r>
        <w:rPr>
          <w:color w:val="231F20"/>
          <w:spacing w:val="-11"/>
        </w:rPr>
        <w:t> </w:t>
      </w:r>
      <w:r>
        <w:rPr>
          <w:color w:val="231F20"/>
          <w:spacing w:val="-4"/>
        </w:rPr>
        <w:t>décennie</w:t>
      </w:r>
      <w:r>
        <w:rPr>
          <w:color w:val="231F20"/>
          <w:spacing w:val="-9"/>
        </w:rPr>
        <w:t> </w:t>
      </w:r>
      <w:r>
        <w:rPr>
          <w:color w:val="231F20"/>
          <w:spacing w:val="-4"/>
        </w:rPr>
        <w:t>de</w:t>
      </w:r>
      <w:r>
        <w:rPr>
          <w:color w:val="231F20"/>
          <w:spacing w:val="-11"/>
        </w:rPr>
        <w:t> </w:t>
      </w:r>
      <w:r>
        <w:rPr>
          <w:color w:val="231F20"/>
          <w:spacing w:val="-4"/>
        </w:rPr>
        <w:t>sécheresse, </w:t>
      </w:r>
      <w:r>
        <w:rPr>
          <w:color w:val="231F20"/>
        </w:rPr>
        <w:t>de crises économiques et agricoles. Sous son impulsion, plusieurs entreprises</w:t>
      </w:r>
      <w:r>
        <w:rPr>
          <w:color w:val="231F20"/>
          <w:spacing w:val="-13"/>
        </w:rPr>
        <w:t> </w:t>
      </w:r>
      <w:r>
        <w:rPr>
          <w:color w:val="231F20"/>
        </w:rPr>
        <w:t>sont</w:t>
      </w:r>
      <w:r>
        <w:rPr>
          <w:color w:val="231F20"/>
          <w:spacing w:val="-12"/>
        </w:rPr>
        <w:t> </w:t>
      </w:r>
      <w:r>
        <w:rPr>
          <w:color w:val="231F20"/>
        </w:rPr>
        <w:t>créées</w:t>
      </w:r>
      <w:r>
        <w:rPr>
          <w:color w:val="231F20"/>
          <w:spacing w:val="-13"/>
        </w:rPr>
        <w:t> </w:t>
      </w:r>
      <w:r>
        <w:rPr>
          <w:color w:val="231F20"/>
        </w:rPr>
        <w:t>pour</w:t>
      </w:r>
      <w:r>
        <w:rPr>
          <w:color w:val="231F20"/>
          <w:spacing w:val="-13"/>
        </w:rPr>
        <w:t> </w:t>
      </w:r>
      <w:r>
        <w:rPr>
          <w:color w:val="231F20"/>
        </w:rPr>
        <w:t>faire</w:t>
      </w:r>
      <w:r>
        <w:rPr>
          <w:color w:val="231F20"/>
          <w:spacing w:val="-14"/>
        </w:rPr>
        <w:t> </w:t>
      </w:r>
      <w:r>
        <w:rPr>
          <w:color w:val="231F20"/>
        </w:rPr>
        <w:t>face</w:t>
      </w:r>
      <w:r>
        <w:rPr>
          <w:color w:val="231F20"/>
          <w:spacing w:val="-13"/>
        </w:rPr>
        <w:t> </w:t>
      </w:r>
      <w:r>
        <w:rPr>
          <w:color w:val="231F20"/>
        </w:rPr>
        <w:t>à</w:t>
      </w:r>
      <w:r>
        <w:rPr>
          <w:color w:val="231F20"/>
          <w:spacing w:val="-13"/>
        </w:rPr>
        <w:t> </w:t>
      </w:r>
      <w:r>
        <w:rPr>
          <w:color w:val="231F20"/>
        </w:rPr>
        <w:t>la</w:t>
      </w:r>
      <w:r>
        <w:rPr>
          <w:color w:val="231F20"/>
          <w:spacing w:val="-13"/>
        </w:rPr>
        <w:t> </w:t>
      </w:r>
      <w:r>
        <w:rPr>
          <w:color w:val="231F20"/>
        </w:rPr>
        <w:t>demande</w:t>
      </w:r>
      <w:r>
        <w:rPr>
          <w:color w:val="231F20"/>
          <w:spacing w:val="-13"/>
        </w:rPr>
        <w:t> </w:t>
      </w:r>
      <w:r>
        <w:rPr>
          <w:color w:val="231F20"/>
        </w:rPr>
        <w:t>de</w:t>
      </w:r>
      <w:r>
        <w:rPr>
          <w:color w:val="231F20"/>
          <w:spacing w:val="-13"/>
        </w:rPr>
        <w:t> </w:t>
      </w:r>
      <w:r>
        <w:rPr>
          <w:color w:val="231F20"/>
        </w:rPr>
        <w:t>biens</w:t>
      </w:r>
      <w:r>
        <w:rPr>
          <w:color w:val="231F20"/>
          <w:spacing w:val="-13"/>
        </w:rPr>
        <w:t> </w:t>
      </w:r>
      <w:r>
        <w:rPr>
          <w:color w:val="231F20"/>
        </w:rPr>
        <w:t>et</w:t>
      </w:r>
      <w:r>
        <w:rPr>
          <w:color w:val="231F20"/>
          <w:spacing w:val="-12"/>
        </w:rPr>
        <w:t> </w:t>
      </w:r>
      <w:r>
        <w:rPr>
          <w:color w:val="231F20"/>
        </w:rPr>
        <w:t>services. </w:t>
      </w:r>
      <w:r>
        <w:rPr>
          <w:color w:val="231F20"/>
          <w:spacing w:val="-4"/>
        </w:rPr>
        <w:t>Il</w:t>
      </w:r>
      <w:r>
        <w:rPr>
          <w:color w:val="231F20"/>
          <w:spacing w:val="-11"/>
        </w:rPr>
        <w:t> </w:t>
      </w:r>
      <w:r>
        <w:rPr>
          <w:color w:val="231F20"/>
          <w:spacing w:val="-4"/>
        </w:rPr>
        <w:t>ouvre</w:t>
      </w:r>
      <w:r>
        <w:rPr>
          <w:color w:val="231F20"/>
          <w:spacing w:val="-11"/>
        </w:rPr>
        <w:t> </w:t>
      </w:r>
      <w:r>
        <w:rPr>
          <w:color w:val="231F20"/>
          <w:spacing w:val="-4"/>
        </w:rPr>
        <w:t>le</w:t>
      </w:r>
      <w:r>
        <w:rPr>
          <w:color w:val="231F20"/>
          <w:spacing w:val="-11"/>
        </w:rPr>
        <w:t> </w:t>
      </w:r>
      <w:r>
        <w:rPr>
          <w:color w:val="231F20"/>
          <w:spacing w:val="-4"/>
        </w:rPr>
        <w:t>Sénégal</w:t>
      </w:r>
      <w:r>
        <w:rPr>
          <w:color w:val="231F20"/>
          <w:spacing w:val="-11"/>
        </w:rPr>
        <w:t> </w:t>
      </w:r>
      <w:r>
        <w:rPr>
          <w:color w:val="231F20"/>
          <w:spacing w:val="-4"/>
        </w:rPr>
        <w:t>au</w:t>
      </w:r>
      <w:r>
        <w:rPr>
          <w:color w:val="231F20"/>
          <w:spacing w:val="-11"/>
        </w:rPr>
        <w:t> </w:t>
      </w:r>
      <w:r>
        <w:rPr>
          <w:color w:val="231F20"/>
          <w:spacing w:val="-4"/>
        </w:rPr>
        <w:t>tourisme</w:t>
      </w:r>
      <w:r>
        <w:rPr>
          <w:color w:val="231F20"/>
          <w:spacing w:val="-11"/>
        </w:rPr>
        <w:t> </w:t>
      </w:r>
      <w:r>
        <w:rPr>
          <w:color w:val="231F20"/>
          <w:spacing w:val="-4"/>
        </w:rPr>
        <w:t>avec</w:t>
      </w:r>
      <w:r>
        <w:rPr>
          <w:color w:val="231F20"/>
          <w:spacing w:val="-11"/>
        </w:rPr>
        <w:t> </w:t>
      </w:r>
      <w:r>
        <w:rPr>
          <w:color w:val="231F20"/>
          <w:spacing w:val="-4"/>
        </w:rPr>
        <w:t>la</w:t>
      </w:r>
      <w:r>
        <w:rPr>
          <w:color w:val="231F20"/>
          <w:spacing w:val="-11"/>
        </w:rPr>
        <w:t> </w:t>
      </w:r>
      <w:r>
        <w:rPr>
          <w:color w:val="231F20"/>
          <w:spacing w:val="-4"/>
        </w:rPr>
        <w:t>création</w:t>
      </w:r>
      <w:r>
        <w:rPr>
          <w:color w:val="231F20"/>
          <w:spacing w:val="-11"/>
        </w:rPr>
        <w:t> </w:t>
      </w:r>
      <w:r>
        <w:rPr>
          <w:color w:val="231F20"/>
          <w:spacing w:val="-4"/>
        </w:rPr>
        <w:t>de</w:t>
      </w:r>
      <w:r>
        <w:rPr>
          <w:color w:val="231F20"/>
          <w:spacing w:val="-11"/>
        </w:rPr>
        <w:t> </w:t>
      </w:r>
      <w:r>
        <w:rPr>
          <w:color w:val="231F20"/>
          <w:spacing w:val="-4"/>
        </w:rPr>
        <w:t>stations</w:t>
      </w:r>
      <w:r>
        <w:rPr>
          <w:color w:val="231F20"/>
          <w:spacing w:val="-11"/>
        </w:rPr>
        <w:t> </w:t>
      </w:r>
      <w:r>
        <w:rPr>
          <w:color w:val="231F20"/>
          <w:spacing w:val="-4"/>
        </w:rPr>
        <w:t>balnéaires</w:t>
      </w:r>
      <w:r>
        <w:rPr>
          <w:color w:val="231F20"/>
          <w:spacing w:val="-11"/>
        </w:rPr>
        <w:t> </w:t>
      </w:r>
      <w:r>
        <w:rPr>
          <w:color w:val="231F20"/>
          <w:spacing w:val="-4"/>
        </w:rPr>
        <w:t>mais également</w:t>
      </w:r>
      <w:r>
        <w:rPr>
          <w:color w:val="231F20"/>
          <w:spacing w:val="-11"/>
        </w:rPr>
        <w:t> </w:t>
      </w:r>
      <w:r>
        <w:rPr>
          <w:color w:val="231F20"/>
          <w:spacing w:val="-4"/>
        </w:rPr>
        <w:t>en</w:t>
      </w:r>
      <w:r>
        <w:rPr>
          <w:color w:val="231F20"/>
          <w:spacing w:val="-11"/>
        </w:rPr>
        <w:t> </w:t>
      </w:r>
      <w:r>
        <w:rPr>
          <w:color w:val="231F20"/>
          <w:spacing w:val="-4"/>
        </w:rPr>
        <w:t>jetant</w:t>
      </w:r>
      <w:r>
        <w:rPr>
          <w:color w:val="231F20"/>
          <w:spacing w:val="-11"/>
        </w:rPr>
        <w:t> </w:t>
      </w:r>
      <w:r>
        <w:rPr>
          <w:color w:val="231F20"/>
          <w:spacing w:val="-4"/>
        </w:rPr>
        <w:t>les</w:t>
      </w:r>
      <w:r>
        <w:rPr>
          <w:color w:val="231F20"/>
          <w:spacing w:val="-11"/>
        </w:rPr>
        <w:t> </w:t>
      </w:r>
      <w:r>
        <w:rPr>
          <w:color w:val="231F20"/>
          <w:spacing w:val="-4"/>
        </w:rPr>
        <w:t>bases</w:t>
      </w:r>
      <w:r>
        <w:rPr>
          <w:color w:val="231F20"/>
          <w:spacing w:val="-11"/>
        </w:rPr>
        <w:t> </w:t>
      </w:r>
      <w:r>
        <w:rPr>
          <w:color w:val="231F20"/>
          <w:spacing w:val="-4"/>
        </w:rPr>
        <w:t>d’un</w:t>
      </w:r>
      <w:r>
        <w:rPr>
          <w:color w:val="231F20"/>
          <w:spacing w:val="-11"/>
        </w:rPr>
        <w:t> </w:t>
      </w:r>
      <w:r>
        <w:rPr>
          <w:color w:val="231F20"/>
          <w:spacing w:val="-4"/>
        </w:rPr>
        <w:t>tourisme</w:t>
      </w:r>
      <w:r>
        <w:rPr>
          <w:color w:val="231F20"/>
          <w:spacing w:val="-11"/>
        </w:rPr>
        <w:t> </w:t>
      </w:r>
      <w:r>
        <w:rPr>
          <w:color w:val="231F20"/>
          <w:spacing w:val="-4"/>
        </w:rPr>
        <w:t>d’affaires</w:t>
      </w:r>
      <w:r>
        <w:rPr>
          <w:color w:val="231F20"/>
          <w:spacing w:val="-11"/>
        </w:rPr>
        <w:t> </w:t>
      </w:r>
      <w:r>
        <w:rPr>
          <w:color w:val="231F20"/>
          <w:spacing w:val="-4"/>
        </w:rPr>
        <w:t>prospère</w:t>
      </w:r>
      <w:r>
        <w:rPr>
          <w:color w:val="231F20"/>
          <w:spacing w:val="-11"/>
        </w:rPr>
        <w:t> </w:t>
      </w:r>
      <w:r>
        <w:rPr>
          <w:color w:val="231F20"/>
          <w:spacing w:val="-4"/>
        </w:rPr>
        <w:t>par</w:t>
      </w:r>
      <w:r>
        <w:rPr>
          <w:color w:val="231F20"/>
          <w:spacing w:val="-10"/>
        </w:rPr>
        <w:t> </w:t>
      </w:r>
      <w:r>
        <w:rPr>
          <w:color w:val="231F20"/>
          <w:spacing w:val="-4"/>
        </w:rPr>
        <w:t>la</w:t>
      </w:r>
      <w:r>
        <w:rPr>
          <w:color w:val="231F20"/>
          <w:spacing w:val="-11"/>
        </w:rPr>
        <w:t> </w:t>
      </w:r>
      <w:r>
        <w:rPr>
          <w:color w:val="231F20"/>
          <w:spacing w:val="-4"/>
        </w:rPr>
        <w:t>mise </w:t>
      </w:r>
      <w:r>
        <w:rPr>
          <w:color w:val="231F20"/>
        </w:rPr>
        <w:t>sur pied du Centre International du Commerce Extérieur du Sénégal (CICES) en 1986, où se tiennent tout au long de l’année des salons </w:t>
      </w:r>
      <w:r>
        <w:rPr>
          <w:color w:val="231F20"/>
          <w:spacing w:val="-2"/>
        </w:rPr>
        <w:t>régionaux</w:t>
      </w:r>
      <w:r>
        <w:rPr>
          <w:color w:val="231F20"/>
          <w:spacing w:val="-15"/>
        </w:rPr>
        <w:t> </w:t>
      </w:r>
      <w:r>
        <w:rPr>
          <w:color w:val="231F20"/>
          <w:spacing w:val="-2"/>
        </w:rPr>
        <w:t>et</w:t>
      </w:r>
      <w:r>
        <w:rPr>
          <w:color w:val="231F20"/>
          <w:spacing w:val="-13"/>
        </w:rPr>
        <w:t> </w:t>
      </w:r>
      <w:r>
        <w:rPr>
          <w:color w:val="231F20"/>
          <w:spacing w:val="-2"/>
        </w:rPr>
        <w:t>des</w:t>
      </w:r>
      <w:r>
        <w:rPr>
          <w:color w:val="231F20"/>
          <w:spacing w:val="-13"/>
        </w:rPr>
        <w:t> </w:t>
      </w:r>
      <w:r>
        <w:rPr>
          <w:color w:val="231F20"/>
          <w:spacing w:val="-2"/>
        </w:rPr>
        <w:t>foires</w:t>
      </w:r>
      <w:r>
        <w:rPr>
          <w:color w:val="231F20"/>
          <w:spacing w:val="-13"/>
        </w:rPr>
        <w:t> </w:t>
      </w:r>
      <w:r>
        <w:rPr>
          <w:color w:val="231F20"/>
          <w:spacing w:val="-2"/>
        </w:rPr>
        <w:t>nationales.</w:t>
      </w:r>
      <w:r>
        <w:rPr>
          <w:color w:val="231F20"/>
          <w:spacing w:val="-13"/>
        </w:rPr>
        <w:t> </w:t>
      </w:r>
      <w:r>
        <w:rPr>
          <w:color w:val="231F20"/>
          <w:spacing w:val="-2"/>
        </w:rPr>
        <w:t>Il</w:t>
      </w:r>
      <w:r>
        <w:rPr>
          <w:color w:val="231F20"/>
          <w:spacing w:val="-13"/>
        </w:rPr>
        <w:t> </w:t>
      </w:r>
      <w:r>
        <w:rPr>
          <w:color w:val="231F20"/>
          <w:spacing w:val="-2"/>
        </w:rPr>
        <w:t>encourage</w:t>
      </w:r>
      <w:r>
        <w:rPr>
          <w:color w:val="231F20"/>
          <w:spacing w:val="-13"/>
        </w:rPr>
        <w:t> </w:t>
      </w:r>
      <w:r>
        <w:rPr>
          <w:color w:val="231F20"/>
          <w:spacing w:val="-2"/>
        </w:rPr>
        <w:t>également</w:t>
      </w:r>
      <w:r>
        <w:rPr>
          <w:color w:val="231F20"/>
          <w:spacing w:val="-13"/>
        </w:rPr>
        <w:t> </w:t>
      </w:r>
      <w:r>
        <w:rPr>
          <w:color w:val="231F20"/>
          <w:spacing w:val="-2"/>
        </w:rPr>
        <w:t>la</w:t>
      </w:r>
      <w:r>
        <w:rPr>
          <w:color w:val="231F20"/>
          <w:spacing w:val="-13"/>
        </w:rPr>
        <w:t> </w:t>
      </w:r>
      <w:r>
        <w:rPr>
          <w:color w:val="231F20"/>
          <w:spacing w:val="-2"/>
        </w:rPr>
        <w:t>construction de</w:t>
      </w:r>
      <w:r>
        <w:rPr>
          <w:color w:val="231F20"/>
          <w:spacing w:val="-15"/>
        </w:rPr>
        <w:t> </w:t>
      </w:r>
      <w:r>
        <w:rPr>
          <w:color w:val="231F20"/>
          <w:spacing w:val="-2"/>
        </w:rPr>
        <w:t>complexes</w:t>
      </w:r>
      <w:r>
        <w:rPr>
          <w:color w:val="231F20"/>
          <w:spacing w:val="-13"/>
        </w:rPr>
        <w:t> </w:t>
      </w:r>
      <w:r>
        <w:rPr>
          <w:color w:val="231F20"/>
          <w:spacing w:val="-2"/>
        </w:rPr>
        <w:t>hôteliers</w:t>
      </w:r>
      <w:r>
        <w:rPr>
          <w:color w:val="231F20"/>
          <w:spacing w:val="-13"/>
        </w:rPr>
        <w:t> </w:t>
      </w:r>
      <w:r>
        <w:rPr>
          <w:color w:val="231F20"/>
          <w:spacing w:val="-2"/>
        </w:rPr>
        <w:t>pour</w:t>
      </w:r>
      <w:r>
        <w:rPr>
          <w:color w:val="231F20"/>
          <w:spacing w:val="-13"/>
        </w:rPr>
        <w:t> </w:t>
      </w:r>
      <w:r>
        <w:rPr>
          <w:color w:val="231F20"/>
          <w:spacing w:val="-2"/>
        </w:rPr>
        <w:t>accroître</w:t>
      </w:r>
      <w:r>
        <w:rPr>
          <w:color w:val="231F20"/>
          <w:spacing w:val="-13"/>
        </w:rPr>
        <w:t> </w:t>
      </w:r>
      <w:r>
        <w:rPr>
          <w:color w:val="231F20"/>
          <w:spacing w:val="-2"/>
        </w:rPr>
        <w:t>la</w:t>
      </w:r>
      <w:r>
        <w:rPr>
          <w:color w:val="231F20"/>
          <w:spacing w:val="-13"/>
        </w:rPr>
        <w:t> </w:t>
      </w:r>
      <w:r>
        <w:rPr>
          <w:color w:val="231F20"/>
          <w:spacing w:val="-2"/>
        </w:rPr>
        <w:t>capacité</w:t>
      </w:r>
      <w:r>
        <w:rPr>
          <w:color w:val="231F20"/>
          <w:spacing w:val="-13"/>
        </w:rPr>
        <w:t> </w:t>
      </w:r>
      <w:r>
        <w:rPr>
          <w:color w:val="231F20"/>
          <w:spacing w:val="-2"/>
        </w:rPr>
        <w:t>d’hébergement</w:t>
      </w:r>
      <w:r>
        <w:rPr>
          <w:color w:val="231F20"/>
          <w:spacing w:val="-13"/>
        </w:rPr>
        <w:t> </w:t>
      </w:r>
      <w:r>
        <w:rPr>
          <w:color w:val="231F20"/>
          <w:spacing w:val="-2"/>
        </w:rPr>
        <w:t>du</w:t>
      </w:r>
      <w:r>
        <w:rPr>
          <w:color w:val="231F20"/>
          <w:spacing w:val="-13"/>
        </w:rPr>
        <w:t> </w:t>
      </w:r>
      <w:r>
        <w:rPr>
          <w:color w:val="231F20"/>
          <w:spacing w:val="-2"/>
        </w:rPr>
        <w:t>pays. </w:t>
      </w:r>
      <w:r>
        <w:rPr>
          <w:color w:val="231F20"/>
        </w:rPr>
        <w:t>La</w:t>
      </w:r>
      <w:r>
        <w:rPr>
          <w:color w:val="231F20"/>
          <w:spacing w:val="-15"/>
        </w:rPr>
        <w:t> </w:t>
      </w:r>
      <w:r>
        <w:rPr>
          <w:color w:val="231F20"/>
        </w:rPr>
        <w:t>dévaluation</w:t>
      </w:r>
      <w:r>
        <w:rPr>
          <w:color w:val="231F20"/>
          <w:spacing w:val="-15"/>
        </w:rPr>
        <w:t> </w:t>
      </w:r>
      <w:r>
        <w:rPr>
          <w:color w:val="231F20"/>
        </w:rPr>
        <w:t>du</w:t>
      </w:r>
      <w:r>
        <w:rPr>
          <w:color w:val="231F20"/>
          <w:spacing w:val="-15"/>
        </w:rPr>
        <w:t> </w:t>
      </w:r>
      <w:r>
        <w:rPr>
          <w:color w:val="231F20"/>
        </w:rPr>
        <w:t>franc</w:t>
      </w:r>
      <w:r>
        <w:rPr>
          <w:color w:val="231F20"/>
          <w:spacing w:val="-15"/>
        </w:rPr>
        <w:t> </w:t>
      </w:r>
      <w:r>
        <w:rPr>
          <w:color w:val="231F20"/>
        </w:rPr>
        <w:t>CFA</w:t>
      </w:r>
      <w:r>
        <w:rPr>
          <w:color w:val="231F20"/>
          <w:spacing w:val="-15"/>
        </w:rPr>
        <w:t> </w:t>
      </w:r>
      <w:r>
        <w:rPr>
          <w:color w:val="231F20"/>
        </w:rPr>
        <w:t>en</w:t>
      </w:r>
      <w:r>
        <w:rPr>
          <w:color w:val="231F20"/>
          <w:spacing w:val="-15"/>
        </w:rPr>
        <w:t> </w:t>
      </w:r>
      <w:r>
        <w:rPr>
          <w:color w:val="231F20"/>
        </w:rPr>
        <w:t>1994,</w:t>
      </w:r>
      <w:r>
        <w:rPr>
          <w:color w:val="231F20"/>
          <w:spacing w:val="-15"/>
        </w:rPr>
        <w:t> </w:t>
      </w:r>
      <w:r>
        <w:rPr>
          <w:color w:val="231F20"/>
        </w:rPr>
        <w:t>conduit</w:t>
      </w:r>
      <w:r>
        <w:rPr>
          <w:color w:val="231F20"/>
          <w:spacing w:val="-15"/>
        </w:rPr>
        <w:t> </w:t>
      </w:r>
      <w:r>
        <w:rPr>
          <w:color w:val="231F20"/>
        </w:rPr>
        <w:t>Abdou</w:t>
      </w:r>
      <w:r>
        <w:rPr>
          <w:color w:val="231F20"/>
          <w:spacing w:val="-15"/>
        </w:rPr>
        <w:t> </w:t>
      </w:r>
      <w:r>
        <w:rPr>
          <w:color w:val="231F20"/>
        </w:rPr>
        <w:t>Diouf</w:t>
      </w:r>
      <w:r>
        <w:rPr>
          <w:color w:val="231F20"/>
          <w:spacing w:val="-15"/>
        </w:rPr>
        <w:t> </w:t>
      </w:r>
      <w:r>
        <w:rPr>
          <w:color w:val="231F20"/>
        </w:rPr>
        <w:t>à</w:t>
      </w:r>
      <w:r>
        <w:rPr>
          <w:color w:val="231F20"/>
          <w:spacing w:val="-15"/>
        </w:rPr>
        <w:t> </w:t>
      </w:r>
      <w:r>
        <w:rPr>
          <w:color w:val="231F20"/>
        </w:rPr>
        <w:t>diligenter une politique d’ajustement structurel.</w:t>
      </w:r>
    </w:p>
    <w:p>
      <w:pPr>
        <w:pStyle w:val="BodyText"/>
        <w:spacing w:before="121"/>
        <w:ind w:right="105" w:firstLine="283"/>
      </w:pPr>
      <w:r>
        <w:rPr>
          <w:color w:val="231F20"/>
          <w:spacing w:val="-2"/>
        </w:rPr>
        <w:t>Élu</w:t>
      </w:r>
      <w:r>
        <w:rPr>
          <w:color w:val="231F20"/>
          <w:spacing w:val="-13"/>
        </w:rPr>
        <w:t> </w:t>
      </w:r>
      <w:r>
        <w:rPr>
          <w:color w:val="231F20"/>
          <w:spacing w:val="-2"/>
        </w:rPr>
        <w:t>successivement</w:t>
      </w:r>
      <w:r>
        <w:rPr>
          <w:color w:val="231F20"/>
          <w:spacing w:val="-13"/>
        </w:rPr>
        <w:t> </w:t>
      </w:r>
      <w:r>
        <w:rPr>
          <w:color w:val="231F20"/>
          <w:spacing w:val="-2"/>
        </w:rPr>
        <w:t>en</w:t>
      </w:r>
      <w:r>
        <w:rPr>
          <w:color w:val="231F20"/>
          <w:spacing w:val="-13"/>
        </w:rPr>
        <w:t> </w:t>
      </w:r>
      <w:r>
        <w:rPr>
          <w:color w:val="231F20"/>
          <w:spacing w:val="-2"/>
        </w:rPr>
        <w:t>1983,</w:t>
      </w:r>
      <w:r>
        <w:rPr>
          <w:color w:val="231F20"/>
          <w:spacing w:val="-13"/>
        </w:rPr>
        <w:t> </w:t>
      </w:r>
      <w:r>
        <w:rPr>
          <w:color w:val="231F20"/>
          <w:spacing w:val="-2"/>
        </w:rPr>
        <w:t>en</w:t>
      </w:r>
      <w:r>
        <w:rPr>
          <w:color w:val="231F20"/>
          <w:spacing w:val="-13"/>
        </w:rPr>
        <w:t> </w:t>
      </w:r>
      <w:r>
        <w:rPr>
          <w:color w:val="231F20"/>
          <w:spacing w:val="-2"/>
        </w:rPr>
        <w:t>1988</w:t>
      </w:r>
      <w:r>
        <w:rPr>
          <w:color w:val="231F20"/>
          <w:spacing w:val="-13"/>
        </w:rPr>
        <w:t> </w:t>
      </w:r>
      <w:r>
        <w:rPr>
          <w:color w:val="231F20"/>
          <w:spacing w:val="-2"/>
        </w:rPr>
        <w:t>puis</w:t>
      </w:r>
      <w:r>
        <w:rPr>
          <w:color w:val="231F20"/>
          <w:spacing w:val="-13"/>
        </w:rPr>
        <w:t> </w:t>
      </w:r>
      <w:r>
        <w:rPr>
          <w:color w:val="231F20"/>
          <w:spacing w:val="-2"/>
        </w:rPr>
        <w:t>en</w:t>
      </w:r>
      <w:r>
        <w:rPr>
          <w:color w:val="231F20"/>
          <w:spacing w:val="-13"/>
        </w:rPr>
        <w:t> </w:t>
      </w:r>
      <w:r>
        <w:rPr>
          <w:color w:val="231F20"/>
          <w:spacing w:val="-2"/>
        </w:rPr>
        <w:t>1993,</w:t>
      </w:r>
      <w:r>
        <w:rPr>
          <w:color w:val="231F20"/>
          <w:spacing w:val="-13"/>
        </w:rPr>
        <w:t> </w:t>
      </w:r>
      <w:r>
        <w:rPr>
          <w:color w:val="231F20"/>
          <w:spacing w:val="-2"/>
        </w:rPr>
        <w:t>Abdou</w:t>
      </w:r>
      <w:r>
        <w:rPr>
          <w:color w:val="231F20"/>
          <w:spacing w:val="-13"/>
        </w:rPr>
        <w:t> </w:t>
      </w:r>
      <w:r>
        <w:rPr>
          <w:color w:val="231F20"/>
          <w:spacing w:val="-2"/>
        </w:rPr>
        <w:t>Diouf</w:t>
      </w:r>
      <w:r>
        <w:rPr>
          <w:color w:val="231F20"/>
          <w:spacing w:val="-13"/>
        </w:rPr>
        <w:t> </w:t>
      </w:r>
      <w:r>
        <w:rPr>
          <w:color w:val="231F20"/>
          <w:spacing w:val="-2"/>
        </w:rPr>
        <w:t>perd les</w:t>
      </w:r>
      <w:r>
        <w:rPr>
          <w:color w:val="231F20"/>
          <w:spacing w:val="-8"/>
        </w:rPr>
        <w:t> </w:t>
      </w:r>
      <w:r>
        <w:rPr>
          <w:color w:val="231F20"/>
          <w:spacing w:val="-2"/>
        </w:rPr>
        <w:t>présidentielles</w:t>
      </w:r>
      <w:r>
        <w:rPr>
          <w:color w:val="231F20"/>
          <w:spacing w:val="-10"/>
        </w:rPr>
        <w:t> </w:t>
      </w:r>
      <w:r>
        <w:rPr>
          <w:color w:val="231F20"/>
          <w:spacing w:val="-2"/>
        </w:rPr>
        <w:t>de</w:t>
      </w:r>
      <w:r>
        <w:rPr>
          <w:color w:val="231F20"/>
          <w:spacing w:val="-10"/>
        </w:rPr>
        <w:t> </w:t>
      </w:r>
      <w:r>
        <w:rPr>
          <w:color w:val="231F20"/>
          <w:spacing w:val="-2"/>
        </w:rPr>
        <w:t>2000,</w:t>
      </w:r>
      <w:r>
        <w:rPr>
          <w:color w:val="231F20"/>
          <w:spacing w:val="-8"/>
        </w:rPr>
        <w:t> </w:t>
      </w:r>
      <w:r>
        <w:rPr>
          <w:color w:val="231F20"/>
          <w:spacing w:val="-2"/>
        </w:rPr>
        <w:t>au</w:t>
      </w:r>
      <w:r>
        <w:rPr>
          <w:color w:val="231F20"/>
          <w:spacing w:val="-10"/>
        </w:rPr>
        <w:t> </w:t>
      </w:r>
      <w:r>
        <w:rPr>
          <w:color w:val="231F20"/>
          <w:spacing w:val="-2"/>
        </w:rPr>
        <w:t>second</w:t>
      </w:r>
      <w:r>
        <w:rPr>
          <w:color w:val="231F20"/>
          <w:spacing w:val="-10"/>
        </w:rPr>
        <w:t> </w:t>
      </w:r>
      <w:r>
        <w:rPr>
          <w:color w:val="231F20"/>
          <w:spacing w:val="-2"/>
        </w:rPr>
        <w:t>tour</w:t>
      </w:r>
      <w:r>
        <w:rPr>
          <w:color w:val="231F20"/>
          <w:spacing w:val="-8"/>
        </w:rPr>
        <w:t> </w:t>
      </w:r>
      <w:r>
        <w:rPr>
          <w:color w:val="231F20"/>
          <w:spacing w:val="-2"/>
        </w:rPr>
        <w:t>avec</w:t>
      </w:r>
      <w:r>
        <w:rPr>
          <w:color w:val="231F20"/>
          <w:spacing w:val="-11"/>
        </w:rPr>
        <w:t> </w:t>
      </w:r>
      <w:r>
        <w:rPr>
          <w:color w:val="231F20"/>
          <w:spacing w:val="-2"/>
        </w:rPr>
        <w:t>41,51</w:t>
      </w:r>
      <w:r>
        <w:rPr>
          <w:color w:val="231F20"/>
          <w:spacing w:val="-11"/>
        </w:rPr>
        <w:t> </w:t>
      </w:r>
      <w:r>
        <w:rPr>
          <w:color w:val="231F20"/>
          <w:spacing w:val="-2"/>
        </w:rPr>
        <w:t>%</w:t>
      </w:r>
      <w:r>
        <w:rPr>
          <w:color w:val="231F20"/>
          <w:spacing w:val="-8"/>
        </w:rPr>
        <w:t> </w:t>
      </w:r>
      <w:r>
        <w:rPr>
          <w:color w:val="231F20"/>
          <w:spacing w:val="-2"/>
        </w:rPr>
        <w:t>des</w:t>
      </w:r>
      <w:r>
        <w:rPr>
          <w:color w:val="231F20"/>
          <w:spacing w:val="-8"/>
        </w:rPr>
        <w:t> </w:t>
      </w:r>
      <w:r>
        <w:rPr>
          <w:color w:val="231F20"/>
          <w:spacing w:val="-2"/>
        </w:rPr>
        <w:t>suffrages.</w:t>
      </w:r>
      <w:r>
        <w:rPr>
          <w:color w:val="231F20"/>
          <w:spacing w:val="-10"/>
        </w:rPr>
        <w:t> </w:t>
      </w:r>
      <w:r>
        <w:rPr>
          <w:color w:val="231F20"/>
          <w:spacing w:val="-2"/>
        </w:rPr>
        <w:t>Il </w:t>
      </w:r>
      <w:r>
        <w:rPr>
          <w:color w:val="231F20"/>
          <w:spacing w:val="-4"/>
        </w:rPr>
        <w:t>reconnait</w:t>
      </w:r>
      <w:r>
        <w:rPr>
          <w:color w:val="231F20"/>
          <w:spacing w:val="-9"/>
        </w:rPr>
        <w:t> </w:t>
      </w:r>
      <w:r>
        <w:rPr>
          <w:color w:val="231F20"/>
          <w:spacing w:val="-4"/>
        </w:rPr>
        <w:t>sa</w:t>
      </w:r>
      <w:r>
        <w:rPr>
          <w:color w:val="231F20"/>
          <w:spacing w:val="-9"/>
        </w:rPr>
        <w:t> </w:t>
      </w:r>
      <w:r>
        <w:rPr>
          <w:color w:val="231F20"/>
          <w:spacing w:val="-4"/>
        </w:rPr>
        <w:t>défaite</w:t>
      </w:r>
      <w:r>
        <w:rPr>
          <w:color w:val="231F20"/>
          <w:spacing w:val="-9"/>
        </w:rPr>
        <w:t> </w:t>
      </w:r>
      <w:r>
        <w:rPr>
          <w:color w:val="231F20"/>
          <w:spacing w:val="-4"/>
        </w:rPr>
        <w:t>et</w:t>
      </w:r>
      <w:r>
        <w:rPr>
          <w:color w:val="231F20"/>
          <w:spacing w:val="-9"/>
        </w:rPr>
        <w:t> </w:t>
      </w:r>
      <w:r>
        <w:rPr>
          <w:color w:val="231F20"/>
          <w:spacing w:val="-4"/>
        </w:rPr>
        <w:t>appelle</w:t>
      </w:r>
      <w:r>
        <w:rPr>
          <w:color w:val="231F20"/>
          <w:spacing w:val="-9"/>
        </w:rPr>
        <w:t> </w:t>
      </w:r>
      <w:r>
        <w:rPr>
          <w:color w:val="231F20"/>
          <w:spacing w:val="-4"/>
        </w:rPr>
        <w:t>dès</w:t>
      </w:r>
      <w:r>
        <w:rPr>
          <w:color w:val="231F20"/>
          <w:spacing w:val="-9"/>
        </w:rPr>
        <w:t> </w:t>
      </w:r>
      <w:r>
        <w:rPr>
          <w:color w:val="231F20"/>
          <w:spacing w:val="-4"/>
        </w:rPr>
        <w:t>le</w:t>
      </w:r>
      <w:r>
        <w:rPr>
          <w:color w:val="231F20"/>
          <w:spacing w:val="-11"/>
        </w:rPr>
        <w:t> </w:t>
      </w:r>
      <w:r>
        <w:rPr>
          <w:color w:val="231F20"/>
          <w:spacing w:val="-4"/>
        </w:rPr>
        <w:t>lendemain</w:t>
      </w:r>
      <w:r>
        <w:rPr>
          <w:color w:val="231F20"/>
          <w:spacing w:val="-9"/>
        </w:rPr>
        <w:t> </w:t>
      </w:r>
      <w:r>
        <w:rPr>
          <w:color w:val="231F20"/>
          <w:spacing w:val="-4"/>
        </w:rPr>
        <w:t>son</w:t>
      </w:r>
      <w:r>
        <w:rPr>
          <w:color w:val="231F20"/>
          <w:spacing w:val="-9"/>
        </w:rPr>
        <w:t> </w:t>
      </w:r>
      <w:r>
        <w:rPr>
          <w:color w:val="231F20"/>
          <w:spacing w:val="-4"/>
        </w:rPr>
        <w:t>adversaire</w:t>
      </w:r>
      <w:r>
        <w:rPr>
          <w:color w:val="231F20"/>
          <w:spacing w:val="-11"/>
        </w:rPr>
        <w:t> </w:t>
      </w:r>
      <w:r>
        <w:rPr>
          <w:color w:val="231F20"/>
          <w:spacing w:val="-4"/>
        </w:rPr>
        <w:t>et</w:t>
      </w:r>
      <w:r>
        <w:rPr>
          <w:color w:val="231F20"/>
          <w:spacing w:val="-9"/>
        </w:rPr>
        <w:t> </w:t>
      </w:r>
      <w:r>
        <w:rPr>
          <w:color w:val="231F20"/>
          <w:spacing w:val="-4"/>
        </w:rPr>
        <w:t>opposant historique</w:t>
      </w:r>
      <w:r>
        <w:rPr>
          <w:color w:val="231F20"/>
          <w:spacing w:val="-7"/>
        </w:rPr>
        <w:t> </w:t>
      </w:r>
      <w:r>
        <w:rPr>
          <w:color w:val="231F20"/>
          <w:spacing w:val="-4"/>
        </w:rPr>
        <w:t>Abdoulaye</w:t>
      </w:r>
      <w:r>
        <w:rPr>
          <w:color w:val="231F20"/>
          <w:spacing w:val="-7"/>
        </w:rPr>
        <w:t> </w:t>
      </w:r>
      <w:r>
        <w:rPr>
          <w:color w:val="231F20"/>
          <w:spacing w:val="-4"/>
        </w:rPr>
        <w:t>Wade</w:t>
      </w:r>
      <w:r>
        <w:rPr>
          <w:color w:val="231F20"/>
          <w:spacing w:val="-7"/>
        </w:rPr>
        <w:t> </w:t>
      </w:r>
      <w:r>
        <w:rPr>
          <w:color w:val="231F20"/>
          <w:spacing w:val="-4"/>
        </w:rPr>
        <w:t>pour</w:t>
      </w:r>
      <w:r>
        <w:rPr>
          <w:color w:val="231F20"/>
          <w:spacing w:val="-10"/>
        </w:rPr>
        <w:t> </w:t>
      </w:r>
      <w:r>
        <w:rPr>
          <w:color w:val="231F20"/>
          <w:spacing w:val="-4"/>
        </w:rPr>
        <w:t>le</w:t>
      </w:r>
      <w:r>
        <w:rPr>
          <w:color w:val="231F20"/>
          <w:spacing w:val="-10"/>
        </w:rPr>
        <w:t> </w:t>
      </w:r>
      <w:r>
        <w:rPr>
          <w:color w:val="231F20"/>
          <w:spacing w:val="-4"/>
        </w:rPr>
        <w:t>féliciter.</w:t>
      </w:r>
      <w:r>
        <w:rPr>
          <w:color w:val="231F20"/>
          <w:spacing w:val="-9"/>
        </w:rPr>
        <w:t> </w:t>
      </w:r>
      <w:r>
        <w:rPr>
          <w:color w:val="231F20"/>
          <w:spacing w:val="-4"/>
        </w:rPr>
        <w:t>Il</w:t>
      </w:r>
      <w:r>
        <w:rPr>
          <w:color w:val="231F20"/>
          <w:spacing w:val="-7"/>
        </w:rPr>
        <w:t> </w:t>
      </w:r>
      <w:r>
        <w:rPr>
          <w:color w:val="231F20"/>
          <w:spacing w:val="-4"/>
        </w:rPr>
        <w:t>décide</w:t>
      </w:r>
      <w:r>
        <w:rPr>
          <w:color w:val="231F20"/>
          <w:spacing w:val="-7"/>
        </w:rPr>
        <w:t> </w:t>
      </w:r>
      <w:r>
        <w:rPr>
          <w:color w:val="231F20"/>
          <w:spacing w:val="-4"/>
        </w:rPr>
        <w:t>ensuite</w:t>
      </w:r>
      <w:r>
        <w:rPr>
          <w:color w:val="231F20"/>
          <w:spacing w:val="-10"/>
        </w:rPr>
        <w:t> </w:t>
      </w:r>
      <w:r>
        <w:rPr>
          <w:color w:val="231F20"/>
          <w:spacing w:val="-4"/>
        </w:rPr>
        <w:t>de</w:t>
      </w:r>
      <w:r>
        <w:rPr>
          <w:color w:val="231F20"/>
          <w:spacing w:val="-10"/>
        </w:rPr>
        <w:t> </w:t>
      </w:r>
      <w:r>
        <w:rPr>
          <w:color w:val="231F20"/>
          <w:spacing w:val="-4"/>
        </w:rPr>
        <w:t>se</w:t>
      </w:r>
      <w:r>
        <w:rPr>
          <w:color w:val="231F20"/>
          <w:spacing w:val="-7"/>
        </w:rPr>
        <w:t> </w:t>
      </w:r>
      <w:r>
        <w:rPr>
          <w:color w:val="231F20"/>
          <w:spacing w:val="-4"/>
        </w:rPr>
        <w:t>retirer </w:t>
      </w:r>
      <w:r>
        <w:rPr>
          <w:color w:val="231F20"/>
          <w:spacing w:val="-2"/>
        </w:rPr>
        <w:t>de</w:t>
      </w:r>
      <w:r>
        <w:rPr>
          <w:color w:val="231F20"/>
          <w:spacing w:val="-13"/>
        </w:rPr>
        <w:t> </w:t>
      </w:r>
      <w:r>
        <w:rPr>
          <w:color w:val="231F20"/>
          <w:spacing w:val="-2"/>
        </w:rPr>
        <w:t>la</w:t>
      </w:r>
      <w:r>
        <w:rPr>
          <w:color w:val="231F20"/>
          <w:spacing w:val="-11"/>
        </w:rPr>
        <w:t> </w:t>
      </w:r>
      <w:r>
        <w:rPr>
          <w:color w:val="231F20"/>
          <w:spacing w:val="-2"/>
        </w:rPr>
        <w:t>vie</w:t>
      </w:r>
      <w:r>
        <w:rPr>
          <w:color w:val="231F20"/>
          <w:spacing w:val="-12"/>
        </w:rPr>
        <w:t> </w:t>
      </w:r>
      <w:r>
        <w:rPr>
          <w:color w:val="231F20"/>
          <w:spacing w:val="-2"/>
        </w:rPr>
        <w:t>politique</w:t>
      </w:r>
      <w:r>
        <w:rPr>
          <w:color w:val="231F20"/>
          <w:spacing w:val="-13"/>
        </w:rPr>
        <w:t> </w:t>
      </w:r>
      <w:r>
        <w:rPr>
          <w:color w:val="231F20"/>
          <w:spacing w:val="-2"/>
        </w:rPr>
        <w:t>nationale</w:t>
      </w:r>
      <w:r>
        <w:rPr>
          <w:color w:val="231F20"/>
          <w:spacing w:val="-11"/>
        </w:rPr>
        <w:t> </w:t>
      </w:r>
      <w:r>
        <w:rPr>
          <w:color w:val="231F20"/>
          <w:spacing w:val="-2"/>
        </w:rPr>
        <w:t>de</w:t>
      </w:r>
      <w:r>
        <w:rPr>
          <w:color w:val="231F20"/>
          <w:spacing w:val="-13"/>
        </w:rPr>
        <w:t> </w:t>
      </w:r>
      <w:r>
        <w:rPr>
          <w:color w:val="231F20"/>
          <w:spacing w:val="-2"/>
        </w:rPr>
        <w:t>son</w:t>
      </w:r>
      <w:r>
        <w:rPr>
          <w:color w:val="231F20"/>
          <w:spacing w:val="-11"/>
        </w:rPr>
        <w:t> </w:t>
      </w:r>
      <w:r>
        <w:rPr>
          <w:color w:val="231F20"/>
          <w:spacing w:val="-2"/>
        </w:rPr>
        <w:t>pays.</w:t>
      </w:r>
      <w:r>
        <w:rPr>
          <w:color w:val="231F20"/>
          <w:spacing w:val="-12"/>
        </w:rPr>
        <w:t> </w:t>
      </w:r>
      <w:r>
        <w:rPr>
          <w:color w:val="231F20"/>
          <w:spacing w:val="-2"/>
        </w:rPr>
        <w:t>Comme</w:t>
      </w:r>
      <w:r>
        <w:rPr>
          <w:color w:val="231F20"/>
          <w:spacing w:val="-11"/>
        </w:rPr>
        <w:t> </w:t>
      </w:r>
      <w:r>
        <w:rPr>
          <w:color w:val="231F20"/>
          <w:spacing w:val="-2"/>
        </w:rPr>
        <w:t>le</w:t>
      </w:r>
      <w:r>
        <w:rPr>
          <w:color w:val="231F20"/>
          <w:spacing w:val="-13"/>
        </w:rPr>
        <w:t> </w:t>
      </w:r>
      <w:r>
        <w:rPr>
          <w:color w:val="231F20"/>
          <w:spacing w:val="-2"/>
        </w:rPr>
        <w:t>président</w:t>
      </w:r>
      <w:r>
        <w:rPr>
          <w:color w:val="231F20"/>
          <w:spacing w:val="-11"/>
        </w:rPr>
        <w:t> </w:t>
      </w:r>
      <w:r>
        <w:rPr>
          <w:color w:val="231F20"/>
          <w:spacing w:val="-2"/>
        </w:rPr>
        <w:t>Senghor</w:t>
      </w:r>
      <w:r>
        <w:rPr>
          <w:color w:val="231F20"/>
          <w:spacing w:val="-11"/>
        </w:rPr>
        <w:t> </w:t>
      </w:r>
      <w:r>
        <w:rPr>
          <w:color w:val="231F20"/>
          <w:spacing w:val="-5"/>
        </w:rPr>
        <w:t>en</w:t>
      </w:r>
    </w:p>
    <w:p>
      <w:pPr>
        <w:spacing w:after="0"/>
        <w:sectPr>
          <w:pgSz w:w="8790" w:h="13610"/>
          <w:pgMar w:header="0" w:footer="802" w:top="1060" w:bottom="1000" w:left="880" w:right="880"/>
        </w:sectPr>
      </w:pPr>
    </w:p>
    <w:p>
      <w:pPr>
        <w:pStyle w:val="BodyText"/>
        <w:spacing w:before="66"/>
        <w:ind w:right="107"/>
      </w:pPr>
      <w:r>
        <w:rPr>
          <w:color w:val="231F20"/>
        </w:rPr>
        <w:t>son</w:t>
      </w:r>
      <w:r>
        <w:rPr>
          <w:color w:val="231F20"/>
          <w:spacing w:val="-9"/>
        </w:rPr>
        <w:t> </w:t>
      </w:r>
      <w:r>
        <w:rPr>
          <w:color w:val="231F20"/>
        </w:rPr>
        <w:t>temps,</w:t>
      </w:r>
      <w:r>
        <w:rPr>
          <w:color w:val="231F20"/>
          <w:spacing w:val="-9"/>
        </w:rPr>
        <w:t> </w:t>
      </w:r>
      <w:r>
        <w:rPr>
          <w:color w:val="231F20"/>
        </w:rPr>
        <w:t>il</w:t>
      </w:r>
      <w:r>
        <w:rPr>
          <w:color w:val="231F20"/>
          <w:spacing w:val="-9"/>
        </w:rPr>
        <w:t> </w:t>
      </w:r>
      <w:r>
        <w:rPr>
          <w:color w:val="231F20"/>
        </w:rPr>
        <w:t>s’impose</w:t>
      </w:r>
      <w:r>
        <w:rPr>
          <w:color w:val="231F20"/>
          <w:spacing w:val="-9"/>
        </w:rPr>
        <w:t> </w:t>
      </w:r>
      <w:r>
        <w:rPr>
          <w:color w:val="231F20"/>
        </w:rPr>
        <w:t>une</w:t>
      </w:r>
      <w:r>
        <w:rPr>
          <w:color w:val="231F20"/>
          <w:spacing w:val="-9"/>
        </w:rPr>
        <w:t> </w:t>
      </w:r>
      <w:r>
        <w:rPr>
          <w:color w:val="231F20"/>
        </w:rPr>
        <w:t>obligation</w:t>
      </w:r>
      <w:r>
        <w:rPr>
          <w:color w:val="231F20"/>
          <w:spacing w:val="-9"/>
        </w:rPr>
        <w:t> </w:t>
      </w:r>
      <w:r>
        <w:rPr>
          <w:color w:val="231F20"/>
        </w:rPr>
        <w:t>de</w:t>
      </w:r>
      <w:r>
        <w:rPr>
          <w:color w:val="231F20"/>
          <w:spacing w:val="-9"/>
        </w:rPr>
        <w:t> </w:t>
      </w:r>
      <w:r>
        <w:rPr>
          <w:color w:val="231F20"/>
        </w:rPr>
        <w:t>réserve.</w:t>
      </w:r>
      <w:r>
        <w:rPr>
          <w:color w:val="231F20"/>
          <w:spacing w:val="-9"/>
        </w:rPr>
        <w:t> </w:t>
      </w:r>
      <w:r>
        <w:rPr>
          <w:color w:val="231F20"/>
        </w:rPr>
        <w:t>Le</w:t>
      </w:r>
      <w:r>
        <w:rPr>
          <w:color w:val="231F20"/>
          <w:spacing w:val="-9"/>
        </w:rPr>
        <w:t> </w:t>
      </w:r>
      <w:r>
        <w:rPr>
          <w:color w:val="231F20"/>
        </w:rPr>
        <w:t>20</w:t>
      </w:r>
      <w:r>
        <w:rPr>
          <w:color w:val="231F20"/>
          <w:spacing w:val="-9"/>
        </w:rPr>
        <w:t> </w:t>
      </w:r>
      <w:r>
        <w:rPr>
          <w:color w:val="231F20"/>
        </w:rPr>
        <w:t>octobre</w:t>
      </w:r>
      <w:r>
        <w:rPr>
          <w:color w:val="231F20"/>
          <w:spacing w:val="-10"/>
        </w:rPr>
        <w:t> </w:t>
      </w:r>
      <w:r>
        <w:rPr>
          <w:color w:val="231F20"/>
        </w:rPr>
        <w:t>2002,</w:t>
      </w:r>
      <w:r>
        <w:rPr>
          <w:color w:val="231F20"/>
          <w:spacing w:val="-10"/>
        </w:rPr>
        <w:t> </w:t>
      </w:r>
      <w:r>
        <w:rPr>
          <w:color w:val="231F20"/>
        </w:rPr>
        <w:t>il est élu Secrétaire général de la Francophonie. En 2006 et 2010, il est </w:t>
      </w:r>
      <w:r>
        <w:rPr>
          <w:color w:val="231F20"/>
          <w:spacing w:val="-2"/>
        </w:rPr>
        <w:t>reconduit</w:t>
      </w:r>
      <w:r>
        <w:rPr>
          <w:color w:val="231F20"/>
          <w:spacing w:val="-10"/>
        </w:rPr>
        <w:t> </w:t>
      </w:r>
      <w:r>
        <w:rPr>
          <w:color w:val="231F20"/>
          <w:spacing w:val="-2"/>
        </w:rPr>
        <w:t>à</w:t>
      </w:r>
      <w:r>
        <w:rPr>
          <w:color w:val="231F20"/>
          <w:spacing w:val="-10"/>
        </w:rPr>
        <w:t> </w:t>
      </w:r>
      <w:r>
        <w:rPr>
          <w:color w:val="231F20"/>
          <w:spacing w:val="-2"/>
        </w:rPr>
        <w:t>l’unanimité</w:t>
      </w:r>
      <w:r>
        <w:rPr>
          <w:color w:val="231F20"/>
          <w:spacing w:val="-10"/>
        </w:rPr>
        <w:t> </w:t>
      </w:r>
      <w:r>
        <w:rPr>
          <w:color w:val="231F20"/>
          <w:spacing w:val="-2"/>
        </w:rPr>
        <w:t>à</w:t>
      </w:r>
      <w:r>
        <w:rPr>
          <w:color w:val="231F20"/>
          <w:spacing w:val="-10"/>
        </w:rPr>
        <w:t> </w:t>
      </w:r>
      <w:r>
        <w:rPr>
          <w:color w:val="231F20"/>
          <w:spacing w:val="-2"/>
        </w:rPr>
        <w:t>ce</w:t>
      </w:r>
      <w:r>
        <w:rPr>
          <w:color w:val="231F20"/>
          <w:spacing w:val="-10"/>
        </w:rPr>
        <w:t> </w:t>
      </w:r>
      <w:r>
        <w:rPr>
          <w:color w:val="231F20"/>
          <w:spacing w:val="-2"/>
        </w:rPr>
        <w:t>poste.</w:t>
      </w:r>
      <w:r>
        <w:rPr>
          <w:color w:val="231F20"/>
          <w:spacing w:val="-10"/>
        </w:rPr>
        <w:t> </w:t>
      </w:r>
      <w:r>
        <w:rPr>
          <w:color w:val="231F20"/>
          <w:spacing w:val="-2"/>
        </w:rPr>
        <w:t>Au</w:t>
      </w:r>
      <w:r>
        <w:rPr>
          <w:color w:val="231F20"/>
          <w:spacing w:val="-10"/>
        </w:rPr>
        <w:t> </w:t>
      </w:r>
      <w:r>
        <w:rPr>
          <w:color w:val="231F20"/>
          <w:spacing w:val="-2"/>
        </w:rPr>
        <w:t>cours</w:t>
      </w:r>
      <w:r>
        <w:rPr>
          <w:color w:val="231F20"/>
          <w:spacing w:val="-11"/>
        </w:rPr>
        <w:t> </w:t>
      </w:r>
      <w:r>
        <w:rPr>
          <w:color w:val="231F20"/>
          <w:spacing w:val="-2"/>
        </w:rPr>
        <w:t>de</w:t>
      </w:r>
      <w:r>
        <w:rPr>
          <w:color w:val="231F20"/>
          <w:spacing w:val="-10"/>
        </w:rPr>
        <w:t> </w:t>
      </w:r>
      <w:r>
        <w:rPr>
          <w:color w:val="231F20"/>
          <w:spacing w:val="-2"/>
        </w:rPr>
        <w:t>ses</w:t>
      </w:r>
      <w:r>
        <w:rPr>
          <w:color w:val="231F20"/>
          <w:spacing w:val="-11"/>
        </w:rPr>
        <w:t> </w:t>
      </w:r>
      <w:r>
        <w:rPr>
          <w:color w:val="231F20"/>
          <w:spacing w:val="-2"/>
        </w:rPr>
        <w:t>mandats</w:t>
      </w:r>
      <w:r>
        <w:rPr>
          <w:color w:val="231F20"/>
          <w:spacing w:val="-11"/>
        </w:rPr>
        <w:t> </w:t>
      </w:r>
      <w:r>
        <w:rPr>
          <w:color w:val="231F20"/>
          <w:spacing w:val="-2"/>
        </w:rPr>
        <w:t>successifs,</w:t>
      </w:r>
      <w:r>
        <w:rPr>
          <w:color w:val="231F20"/>
          <w:spacing w:val="-11"/>
        </w:rPr>
        <w:t> </w:t>
      </w:r>
      <w:r>
        <w:rPr>
          <w:color w:val="231F20"/>
          <w:spacing w:val="-2"/>
        </w:rPr>
        <w:t>il </w:t>
      </w:r>
      <w:r>
        <w:rPr>
          <w:color w:val="231F20"/>
        </w:rPr>
        <w:t>œuvre à la construction d’une organisation multilatérale de dimension internationale</w:t>
      </w:r>
      <w:r>
        <w:rPr>
          <w:color w:val="231F20"/>
          <w:spacing w:val="-6"/>
        </w:rPr>
        <w:t> </w:t>
      </w:r>
      <w:r>
        <w:rPr>
          <w:color w:val="231F20"/>
        </w:rPr>
        <w:t>pour</w:t>
      </w:r>
      <w:r>
        <w:rPr>
          <w:color w:val="231F20"/>
          <w:spacing w:val="-6"/>
        </w:rPr>
        <w:t> </w:t>
      </w:r>
      <w:r>
        <w:rPr>
          <w:color w:val="231F20"/>
        </w:rPr>
        <w:t>les</w:t>
      </w:r>
      <w:r>
        <w:rPr>
          <w:color w:val="231F20"/>
          <w:spacing w:val="-6"/>
        </w:rPr>
        <w:t> </w:t>
      </w:r>
      <w:r>
        <w:rPr>
          <w:color w:val="231F20"/>
        </w:rPr>
        <w:t>pays</w:t>
      </w:r>
      <w:r>
        <w:rPr>
          <w:color w:val="231F20"/>
          <w:spacing w:val="-6"/>
        </w:rPr>
        <w:t> </w:t>
      </w:r>
      <w:r>
        <w:rPr>
          <w:color w:val="231F20"/>
        </w:rPr>
        <w:t>ayant</w:t>
      </w:r>
      <w:r>
        <w:rPr>
          <w:color w:val="231F20"/>
          <w:spacing w:val="-8"/>
        </w:rPr>
        <w:t> </w:t>
      </w:r>
      <w:r>
        <w:rPr>
          <w:color w:val="231F20"/>
        </w:rPr>
        <w:t>la</w:t>
      </w:r>
      <w:r>
        <w:rPr>
          <w:color w:val="231F20"/>
          <w:spacing w:val="-9"/>
        </w:rPr>
        <w:t> </w:t>
      </w:r>
      <w:r>
        <w:rPr>
          <w:color w:val="231F20"/>
        </w:rPr>
        <w:t>langue</w:t>
      </w:r>
      <w:r>
        <w:rPr>
          <w:color w:val="231F20"/>
          <w:spacing w:val="-7"/>
        </w:rPr>
        <w:t> </w:t>
      </w:r>
      <w:r>
        <w:rPr>
          <w:color w:val="231F20"/>
        </w:rPr>
        <w:t>française</w:t>
      </w:r>
      <w:r>
        <w:rPr>
          <w:color w:val="231F20"/>
          <w:spacing w:val="-7"/>
        </w:rPr>
        <w:t> </w:t>
      </w:r>
      <w:r>
        <w:rPr>
          <w:color w:val="231F20"/>
        </w:rPr>
        <w:t>en</w:t>
      </w:r>
      <w:r>
        <w:rPr>
          <w:color w:val="231F20"/>
          <w:spacing w:val="-7"/>
        </w:rPr>
        <w:t> </w:t>
      </w:r>
      <w:r>
        <w:rPr>
          <w:color w:val="231F20"/>
        </w:rPr>
        <w:t>partage.</w:t>
      </w:r>
    </w:p>
    <w:p>
      <w:pPr>
        <w:pStyle w:val="BodyText"/>
        <w:spacing w:before="120"/>
        <w:ind w:right="106" w:firstLine="283"/>
      </w:pPr>
      <w:r>
        <w:rPr>
          <w:color w:val="231F20"/>
        </w:rPr>
        <w:t>Abdoulaye</w:t>
      </w:r>
      <w:r>
        <w:rPr>
          <w:color w:val="231F20"/>
          <w:spacing w:val="-3"/>
        </w:rPr>
        <w:t> </w:t>
      </w:r>
      <w:r>
        <w:rPr>
          <w:color w:val="231F20"/>
        </w:rPr>
        <w:t>wade,</w:t>
      </w:r>
      <w:r>
        <w:rPr>
          <w:color w:val="231F20"/>
          <w:spacing w:val="-5"/>
        </w:rPr>
        <w:t> </w:t>
      </w:r>
      <w:r>
        <w:rPr>
          <w:color w:val="231F20"/>
        </w:rPr>
        <w:t>3ème</w:t>
      </w:r>
      <w:r>
        <w:rPr>
          <w:color w:val="231F20"/>
          <w:spacing w:val="-5"/>
        </w:rPr>
        <w:t> </w:t>
      </w:r>
      <w:r>
        <w:rPr>
          <w:color w:val="231F20"/>
        </w:rPr>
        <w:t>président</w:t>
      </w:r>
      <w:r>
        <w:rPr>
          <w:color w:val="231F20"/>
          <w:spacing w:val="-4"/>
        </w:rPr>
        <w:t> </w:t>
      </w:r>
      <w:r>
        <w:rPr>
          <w:color w:val="231F20"/>
        </w:rPr>
        <w:t>du</w:t>
      </w:r>
      <w:r>
        <w:rPr>
          <w:color w:val="231F20"/>
          <w:spacing w:val="-5"/>
        </w:rPr>
        <w:t> </w:t>
      </w:r>
      <w:r>
        <w:rPr>
          <w:color w:val="231F20"/>
        </w:rPr>
        <w:t>Sénégal</w:t>
      </w:r>
      <w:r>
        <w:rPr>
          <w:color w:val="231F20"/>
          <w:spacing w:val="-3"/>
        </w:rPr>
        <w:t> </w:t>
      </w:r>
      <w:r>
        <w:rPr>
          <w:color w:val="231F20"/>
        </w:rPr>
        <w:t>est</w:t>
      </w:r>
      <w:r>
        <w:rPr>
          <w:color w:val="231F20"/>
          <w:spacing w:val="-5"/>
        </w:rPr>
        <w:t> </w:t>
      </w:r>
      <w:r>
        <w:rPr>
          <w:color w:val="231F20"/>
        </w:rPr>
        <w:t>un</w:t>
      </w:r>
      <w:r>
        <w:rPr>
          <w:color w:val="231F20"/>
          <w:spacing w:val="-3"/>
        </w:rPr>
        <w:t> </w:t>
      </w:r>
      <w:r>
        <w:rPr>
          <w:color w:val="231F20"/>
        </w:rPr>
        <w:t>avocat</w:t>
      </w:r>
      <w:r>
        <w:rPr>
          <w:color w:val="231F20"/>
          <w:spacing w:val="-4"/>
        </w:rPr>
        <w:t> </w:t>
      </w:r>
      <w:r>
        <w:rPr>
          <w:color w:val="231F20"/>
        </w:rPr>
        <w:t>qui</w:t>
      </w:r>
      <w:r>
        <w:rPr>
          <w:color w:val="231F20"/>
          <w:spacing w:val="-3"/>
        </w:rPr>
        <w:t> </w:t>
      </w:r>
      <w:r>
        <w:rPr>
          <w:color w:val="231F20"/>
        </w:rPr>
        <w:t>avait profité</w:t>
      </w:r>
      <w:r>
        <w:rPr>
          <w:color w:val="231F20"/>
          <w:spacing w:val="-2"/>
        </w:rPr>
        <w:t> </w:t>
      </w:r>
      <w:r>
        <w:rPr>
          <w:color w:val="231F20"/>
        </w:rPr>
        <w:t>de la politique d’ouverture du président</w:t>
      </w:r>
      <w:r>
        <w:rPr>
          <w:color w:val="231F20"/>
          <w:spacing w:val="-1"/>
        </w:rPr>
        <w:t> </w:t>
      </w:r>
      <w:r>
        <w:rPr>
          <w:color w:val="231F20"/>
        </w:rPr>
        <w:t>Senghor pour fonder</w:t>
      </w:r>
      <w:r>
        <w:rPr>
          <w:color w:val="231F20"/>
          <w:spacing w:val="-2"/>
        </w:rPr>
        <w:t> </w:t>
      </w:r>
      <w:r>
        <w:rPr>
          <w:color w:val="231F20"/>
        </w:rPr>
        <w:t>le Parti Démocratique Sénégalais (PDS). C’est un opposant historique à </w:t>
      </w:r>
      <w:r>
        <w:rPr>
          <w:color w:val="231F20"/>
          <w:spacing w:val="-4"/>
        </w:rPr>
        <w:t>Senghor.</w:t>
      </w:r>
      <w:r>
        <w:rPr>
          <w:color w:val="231F20"/>
          <w:spacing w:val="-7"/>
        </w:rPr>
        <w:t> </w:t>
      </w:r>
      <w:r>
        <w:rPr>
          <w:color w:val="231F20"/>
          <w:spacing w:val="-4"/>
        </w:rPr>
        <w:t>Plusieurs</w:t>
      </w:r>
      <w:r>
        <w:rPr>
          <w:color w:val="231F20"/>
          <w:spacing w:val="-9"/>
        </w:rPr>
        <w:t> </w:t>
      </w:r>
      <w:r>
        <w:rPr>
          <w:color w:val="231F20"/>
          <w:spacing w:val="-4"/>
        </w:rPr>
        <w:t>fois</w:t>
      </w:r>
      <w:r>
        <w:rPr>
          <w:color w:val="231F20"/>
          <w:spacing w:val="-6"/>
        </w:rPr>
        <w:t> </w:t>
      </w:r>
      <w:r>
        <w:rPr>
          <w:color w:val="231F20"/>
          <w:spacing w:val="-4"/>
        </w:rPr>
        <w:t>arrêté,</w:t>
      </w:r>
      <w:r>
        <w:rPr>
          <w:color w:val="231F20"/>
          <w:spacing w:val="-7"/>
        </w:rPr>
        <w:t> </w:t>
      </w:r>
      <w:r>
        <w:rPr>
          <w:color w:val="231F20"/>
          <w:spacing w:val="-4"/>
        </w:rPr>
        <w:t>il</w:t>
      </w:r>
      <w:r>
        <w:rPr>
          <w:color w:val="231F20"/>
          <w:spacing w:val="-7"/>
        </w:rPr>
        <w:t> </w:t>
      </w:r>
      <w:r>
        <w:rPr>
          <w:color w:val="231F20"/>
          <w:spacing w:val="-4"/>
        </w:rPr>
        <w:t>entre</w:t>
      </w:r>
      <w:r>
        <w:rPr>
          <w:color w:val="231F20"/>
          <w:spacing w:val="-9"/>
        </w:rPr>
        <w:t> </w:t>
      </w:r>
      <w:r>
        <w:rPr>
          <w:color w:val="231F20"/>
          <w:spacing w:val="-4"/>
        </w:rPr>
        <w:t>néanmoins</w:t>
      </w:r>
      <w:r>
        <w:rPr>
          <w:color w:val="231F20"/>
          <w:spacing w:val="-9"/>
        </w:rPr>
        <w:t> </w:t>
      </w:r>
      <w:r>
        <w:rPr>
          <w:color w:val="231F20"/>
          <w:spacing w:val="-4"/>
        </w:rPr>
        <w:t>à</w:t>
      </w:r>
      <w:r>
        <w:rPr>
          <w:color w:val="231F20"/>
          <w:spacing w:val="-7"/>
        </w:rPr>
        <w:t> </w:t>
      </w:r>
      <w:r>
        <w:rPr>
          <w:color w:val="231F20"/>
          <w:spacing w:val="-4"/>
        </w:rPr>
        <w:t>deux</w:t>
      </w:r>
      <w:r>
        <w:rPr>
          <w:color w:val="231F20"/>
          <w:spacing w:val="-7"/>
        </w:rPr>
        <w:t> </w:t>
      </w:r>
      <w:r>
        <w:rPr>
          <w:color w:val="231F20"/>
          <w:spacing w:val="-4"/>
        </w:rPr>
        <w:t>reprises,</w:t>
      </w:r>
      <w:r>
        <w:rPr>
          <w:color w:val="231F20"/>
          <w:spacing w:val="-6"/>
        </w:rPr>
        <w:t> </w:t>
      </w:r>
      <w:r>
        <w:rPr>
          <w:color w:val="231F20"/>
          <w:spacing w:val="-4"/>
        </w:rPr>
        <w:t>en</w:t>
      </w:r>
      <w:r>
        <w:rPr>
          <w:color w:val="231F20"/>
          <w:spacing w:val="-9"/>
        </w:rPr>
        <w:t> </w:t>
      </w:r>
      <w:r>
        <w:rPr>
          <w:color w:val="231F20"/>
          <w:spacing w:val="-4"/>
        </w:rPr>
        <w:t>1991 </w:t>
      </w:r>
      <w:r>
        <w:rPr>
          <w:color w:val="231F20"/>
        </w:rPr>
        <w:t>et</w:t>
      </w:r>
      <w:r>
        <w:rPr>
          <w:color w:val="231F20"/>
          <w:spacing w:val="-11"/>
        </w:rPr>
        <w:t> </w:t>
      </w:r>
      <w:r>
        <w:rPr>
          <w:color w:val="231F20"/>
        </w:rPr>
        <w:t>1995 dans un gouvernement élargi. Après quatre échecs à la </w:t>
      </w:r>
      <w:r>
        <w:rPr>
          <w:color w:val="231F20"/>
          <w:spacing w:val="-2"/>
        </w:rPr>
        <w:t>présidentielle,</w:t>
      </w:r>
      <w:r>
        <w:rPr>
          <w:color w:val="231F20"/>
          <w:spacing w:val="-13"/>
        </w:rPr>
        <w:t> </w:t>
      </w:r>
      <w:r>
        <w:rPr>
          <w:color w:val="231F20"/>
          <w:spacing w:val="-2"/>
        </w:rPr>
        <w:t>il</w:t>
      </w:r>
      <w:r>
        <w:rPr>
          <w:color w:val="231F20"/>
          <w:spacing w:val="-13"/>
        </w:rPr>
        <w:t> </w:t>
      </w:r>
      <w:r>
        <w:rPr>
          <w:color w:val="231F20"/>
          <w:spacing w:val="-2"/>
        </w:rPr>
        <w:t>est</w:t>
      </w:r>
      <w:r>
        <w:rPr>
          <w:color w:val="231F20"/>
          <w:spacing w:val="-13"/>
        </w:rPr>
        <w:t> </w:t>
      </w:r>
      <w:r>
        <w:rPr>
          <w:color w:val="231F20"/>
          <w:spacing w:val="-2"/>
        </w:rPr>
        <w:t>élu</w:t>
      </w:r>
      <w:r>
        <w:rPr>
          <w:color w:val="231F20"/>
          <w:spacing w:val="-13"/>
        </w:rPr>
        <w:t> </w:t>
      </w:r>
      <w:r>
        <w:rPr>
          <w:color w:val="231F20"/>
          <w:spacing w:val="-2"/>
        </w:rPr>
        <w:t>à</w:t>
      </w:r>
      <w:r>
        <w:rPr>
          <w:color w:val="231F20"/>
          <w:spacing w:val="-13"/>
        </w:rPr>
        <w:t> </w:t>
      </w:r>
      <w:r>
        <w:rPr>
          <w:color w:val="231F20"/>
          <w:spacing w:val="-2"/>
        </w:rPr>
        <w:t>73</w:t>
      </w:r>
      <w:r>
        <w:rPr>
          <w:color w:val="231F20"/>
          <w:spacing w:val="-9"/>
        </w:rPr>
        <w:t> </w:t>
      </w:r>
      <w:r>
        <w:rPr>
          <w:color w:val="231F20"/>
          <w:spacing w:val="-2"/>
        </w:rPr>
        <w:t>ans</w:t>
      </w:r>
      <w:r>
        <w:rPr>
          <w:color w:val="231F20"/>
          <w:spacing w:val="-13"/>
        </w:rPr>
        <w:t> </w:t>
      </w:r>
      <w:r>
        <w:rPr>
          <w:color w:val="231F20"/>
          <w:spacing w:val="-2"/>
        </w:rPr>
        <w:t>sur</w:t>
      </w:r>
      <w:r>
        <w:rPr>
          <w:color w:val="231F20"/>
          <w:spacing w:val="-13"/>
        </w:rPr>
        <w:t> </w:t>
      </w:r>
      <w:r>
        <w:rPr>
          <w:color w:val="231F20"/>
          <w:spacing w:val="-2"/>
        </w:rPr>
        <w:t>le</w:t>
      </w:r>
      <w:r>
        <w:rPr>
          <w:color w:val="231F20"/>
          <w:spacing w:val="-13"/>
        </w:rPr>
        <w:t> </w:t>
      </w:r>
      <w:r>
        <w:rPr>
          <w:color w:val="231F20"/>
          <w:spacing w:val="-2"/>
        </w:rPr>
        <w:t>thème</w:t>
      </w:r>
      <w:r>
        <w:rPr>
          <w:color w:val="231F20"/>
          <w:spacing w:val="-13"/>
        </w:rPr>
        <w:t> </w:t>
      </w:r>
      <w:r>
        <w:rPr>
          <w:color w:val="231F20"/>
          <w:spacing w:val="-2"/>
        </w:rPr>
        <w:t>du</w:t>
      </w:r>
      <w:r>
        <w:rPr>
          <w:color w:val="231F20"/>
          <w:spacing w:val="-13"/>
        </w:rPr>
        <w:t> </w:t>
      </w:r>
      <w:r>
        <w:rPr>
          <w:color w:val="231F20"/>
          <w:spacing w:val="-2"/>
        </w:rPr>
        <w:t>«</w:t>
      </w:r>
      <w:r>
        <w:rPr>
          <w:color w:val="231F20"/>
          <w:spacing w:val="-8"/>
        </w:rPr>
        <w:t> </w:t>
      </w:r>
      <w:r>
        <w:rPr>
          <w:color w:val="231F20"/>
          <w:spacing w:val="-2"/>
        </w:rPr>
        <w:t>changement</w:t>
      </w:r>
      <w:r>
        <w:rPr>
          <w:color w:val="231F20"/>
          <w:spacing w:val="-10"/>
        </w:rPr>
        <w:t> </w:t>
      </w:r>
      <w:r>
        <w:rPr>
          <w:color w:val="231F20"/>
          <w:spacing w:val="-2"/>
        </w:rPr>
        <w:t>»</w:t>
      </w:r>
      <w:r>
        <w:rPr>
          <w:color w:val="231F20"/>
          <w:spacing w:val="-13"/>
        </w:rPr>
        <w:t> </w:t>
      </w:r>
      <w:r>
        <w:rPr>
          <w:color w:val="231F20"/>
          <w:spacing w:val="-2"/>
        </w:rPr>
        <w:t>en</w:t>
      </w:r>
      <w:r>
        <w:rPr>
          <w:color w:val="231F20"/>
          <w:spacing w:val="-13"/>
        </w:rPr>
        <w:t> </w:t>
      </w:r>
      <w:r>
        <w:rPr>
          <w:color w:val="231F20"/>
          <w:spacing w:val="-2"/>
        </w:rPr>
        <w:t>2000. </w:t>
      </w:r>
      <w:r>
        <w:rPr>
          <w:color w:val="231F20"/>
        </w:rPr>
        <w:t>Son</w:t>
      </w:r>
      <w:r>
        <w:rPr>
          <w:color w:val="231F20"/>
          <w:spacing w:val="-6"/>
        </w:rPr>
        <w:t> </w:t>
      </w:r>
      <w:r>
        <w:rPr>
          <w:color w:val="231F20"/>
        </w:rPr>
        <w:t>élection</w:t>
      </w:r>
      <w:r>
        <w:rPr>
          <w:color w:val="231F20"/>
          <w:spacing w:val="-8"/>
        </w:rPr>
        <w:t> </w:t>
      </w:r>
      <w:r>
        <w:rPr>
          <w:color w:val="231F20"/>
        </w:rPr>
        <w:t>met</w:t>
      </w:r>
      <w:r>
        <w:rPr>
          <w:color w:val="231F20"/>
          <w:spacing w:val="-6"/>
        </w:rPr>
        <w:t> </w:t>
      </w:r>
      <w:r>
        <w:rPr>
          <w:color w:val="231F20"/>
        </w:rPr>
        <w:t>fin</w:t>
      </w:r>
      <w:r>
        <w:rPr>
          <w:color w:val="231F20"/>
          <w:spacing w:val="-6"/>
        </w:rPr>
        <w:t> </w:t>
      </w:r>
      <w:r>
        <w:rPr>
          <w:color w:val="231F20"/>
        </w:rPr>
        <w:t>à</w:t>
      </w:r>
      <w:r>
        <w:rPr>
          <w:color w:val="231F20"/>
          <w:spacing w:val="-6"/>
        </w:rPr>
        <w:t> </w:t>
      </w:r>
      <w:r>
        <w:rPr>
          <w:color w:val="231F20"/>
        </w:rPr>
        <w:t>quarante</w:t>
      </w:r>
      <w:r>
        <w:rPr>
          <w:color w:val="231F20"/>
          <w:spacing w:val="-6"/>
        </w:rPr>
        <w:t> </w:t>
      </w:r>
      <w:r>
        <w:rPr>
          <w:color w:val="231F20"/>
        </w:rPr>
        <w:t>ans</w:t>
      </w:r>
      <w:r>
        <w:rPr>
          <w:color w:val="231F20"/>
          <w:spacing w:val="-8"/>
        </w:rPr>
        <w:t> </w:t>
      </w:r>
      <w:r>
        <w:rPr>
          <w:color w:val="231F20"/>
        </w:rPr>
        <w:t>de</w:t>
      </w:r>
      <w:r>
        <w:rPr>
          <w:color w:val="231F20"/>
          <w:spacing w:val="-5"/>
        </w:rPr>
        <w:t> </w:t>
      </w:r>
      <w:r>
        <w:rPr>
          <w:color w:val="231F20"/>
        </w:rPr>
        <w:t>pouvoir</w:t>
      </w:r>
      <w:r>
        <w:rPr>
          <w:color w:val="231F20"/>
          <w:spacing w:val="-8"/>
        </w:rPr>
        <w:t> </w:t>
      </w:r>
      <w:r>
        <w:rPr>
          <w:color w:val="231F20"/>
        </w:rPr>
        <w:t>socialiste</w:t>
      </w:r>
      <w:r>
        <w:rPr>
          <w:color w:val="231F20"/>
          <w:spacing w:val="-5"/>
        </w:rPr>
        <w:t> </w:t>
      </w:r>
      <w:r>
        <w:rPr>
          <w:color w:val="231F20"/>
        </w:rPr>
        <w:t>au</w:t>
      </w:r>
      <w:r>
        <w:rPr>
          <w:color w:val="231F20"/>
          <w:spacing w:val="-7"/>
        </w:rPr>
        <w:t> </w:t>
      </w:r>
      <w:r>
        <w:rPr>
          <w:color w:val="231F20"/>
        </w:rPr>
        <w:t>Sénégal.</w:t>
      </w:r>
    </w:p>
    <w:p>
      <w:pPr>
        <w:pStyle w:val="BodyText"/>
        <w:spacing w:before="121"/>
        <w:ind w:right="104" w:firstLine="283"/>
      </w:pPr>
      <w:r>
        <w:rPr>
          <w:color w:val="231F20"/>
          <w:spacing w:val="-2"/>
        </w:rPr>
        <w:t>Durant</w:t>
      </w:r>
      <w:r>
        <w:rPr>
          <w:color w:val="231F20"/>
          <w:spacing w:val="-8"/>
        </w:rPr>
        <w:t> </w:t>
      </w:r>
      <w:r>
        <w:rPr>
          <w:color w:val="231F20"/>
          <w:spacing w:val="-2"/>
        </w:rPr>
        <w:t>ses</w:t>
      </w:r>
      <w:r>
        <w:rPr>
          <w:color w:val="231F20"/>
          <w:spacing w:val="-9"/>
        </w:rPr>
        <w:t> </w:t>
      </w:r>
      <w:r>
        <w:rPr>
          <w:color w:val="231F20"/>
          <w:spacing w:val="-2"/>
        </w:rPr>
        <w:t>deux</w:t>
      </w:r>
      <w:r>
        <w:rPr>
          <w:color w:val="231F20"/>
          <w:spacing w:val="-8"/>
        </w:rPr>
        <w:t> </w:t>
      </w:r>
      <w:r>
        <w:rPr>
          <w:color w:val="231F20"/>
          <w:spacing w:val="-2"/>
        </w:rPr>
        <w:t>mandats,</w:t>
      </w:r>
      <w:r>
        <w:rPr>
          <w:color w:val="231F20"/>
          <w:spacing w:val="-11"/>
        </w:rPr>
        <w:t> </w:t>
      </w:r>
      <w:r>
        <w:rPr>
          <w:color w:val="231F20"/>
          <w:spacing w:val="-2"/>
        </w:rPr>
        <w:t>il</w:t>
      </w:r>
      <w:r>
        <w:rPr>
          <w:color w:val="231F20"/>
          <w:spacing w:val="-8"/>
        </w:rPr>
        <w:t> </w:t>
      </w:r>
      <w:r>
        <w:rPr>
          <w:color w:val="231F20"/>
          <w:spacing w:val="-2"/>
        </w:rPr>
        <w:t>pose</w:t>
      </w:r>
      <w:r>
        <w:rPr>
          <w:color w:val="231F20"/>
          <w:spacing w:val="-8"/>
        </w:rPr>
        <w:t> </w:t>
      </w:r>
      <w:r>
        <w:rPr>
          <w:color w:val="231F20"/>
          <w:spacing w:val="-2"/>
        </w:rPr>
        <w:t>des</w:t>
      </w:r>
      <w:r>
        <w:rPr>
          <w:color w:val="231F20"/>
          <w:spacing w:val="-9"/>
        </w:rPr>
        <w:t> </w:t>
      </w:r>
      <w:r>
        <w:rPr>
          <w:color w:val="231F20"/>
          <w:spacing w:val="-2"/>
        </w:rPr>
        <w:t>actes</w:t>
      </w:r>
      <w:r>
        <w:rPr>
          <w:color w:val="231F20"/>
          <w:spacing w:val="-9"/>
        </w:rPr>
        <w:t> </w:t>
      </w:r>
      <w:r>
        <w:rPr>
          <w:color w:val="231F20"/>
          <w:spacing w:val="-2"/>
        </w:rPr>
        <w:t>qui</w:t>
      </w:r>
      <w:r>
        <w:rPr>
          <w:color w:val="231F20"/>
          <w:spacing w:val="-11"/>
        </w:rPr>
        <w:t> </w:t>
      </w:r>
      <w:r>
        <w:rPr>
          <w:color w:val="231F20"/>
          <w:spacing w:val="-2"/>
        </w:rPr>
        <w:t>le</w:t>
      </w:r>
      <w:r>
        <w:rPr>
          <w:color w:val="231F20"/>
          <w:spacing w:val="-9"/>
        </w:rPr>
        <w:t> </w:t>
      </w:r>
      <w:r>
        <w:rPr>
          <w:color w:val="231F20"/>
          <w:spacing w:val="-2"/>
        </w:rPr>
        <w:t>font</w:t>
      </w:r>
      <w:r>
        <w:rPr>
          <w:color w:val="231F20"/>
          <w:spacing w:val="-9"/>
        </w:rPr>
        <w:t> </w:t>
      </w:r>
      <w:r>
        <w:rPr>
          <w:color w:val="231F20"/>
          <w:spacing w:val="-2"/>
        </w:rPr>
        <w:t>passer</w:t>
      </w:r>
      <w:r>
        <w:rPr>
          <w:color w:val="231F20"/>
          <w:spacing w:val="-9"/>
        </w:rPr>
        <w:t> </w:t>
      </w:r>
      <w:r>
        <w:rPr>
          <w:color w:val="231F20"/>
          <w:spacing w:val="-2"/>
        </w:rPr>
        <w:t>aux</w:t>
      </w:r>
      <w:r>
        <w:rPr>
          <w:color w:val="231F20"/>
          <w:spacing w:val="-7"/>
        </w:rPr>
        <w:t> </w:t>
      </w:r>
      <w:r>
        <w:rPr>
          <w:color w:val="231F20"/>
          <w:spacing w:val="-2"/>
        </w:rPr>
        <w:t>yeux </w:t>
      </w:r>
      <w:r>
        <w:rPr>
          <w:color w:val="231F20"/>
        </w:rPr>
        <w:t>de ses opposants mais aussi de la population pour un mégalomane cherchant</w:t>
      </w:r>
      <w:r>
        <w:rPr>
          <w:color w:val="231F20"/>
          <w:spacing w:val="-7"/>
        </w:rPr>
        <w:t> </w:t>
      </w:r>
      <w:r>
        <w:rPr>
          <w:color w:val="231F20"/>
        </w:rPr>
        <w:t>à</w:t>
      </w:r>
      <w:r>
        <w:rPr>
          <w:color w:val="231F20"/>
          <w:spacing w:val="-7"/>
        </w:rPr>
        <w:t> </w:t>
      </w:r>
      <w:r>
        <w:rPr>
          <w:color w:val="231F20"/>
        </w:rPr>
        <w:t>rester</w:t>
      </w:r>
      <w:r>
        <w:rPr>
          <w:color w:val="231F20"/>
          <w:spacing w:val="-7"/>
        </w:rPr>
        <w:t> </w:t>
      </w:r>
      <w:r>
        <w:rPr>
          <w:color w:val="231F20"/>
        </w:rPr>
        <w:t>dans</w:t>
      </w:r>
      <w:r>
        <w:rPr>
          <w:color w:val="231F20"/>
          <w:spacing w:val="-7"/>
        </w:rPr>
        <w:t> </w:t>
      </w:r>
      <w:r>
        <w:rPr>
          <w:color w:val="231F20"/>
        </w:rPr>
        <w:t>l’histoire</w:t>
      </w:r>
      <w:r>
        <w:rPr>
          <w:color w:val="231F20"/>
          <w:spacing w:val="-7"/>
        </w:rPr>
        <w:t> </w:t>
      </w:r>
      <w:r>
        <w:rPr>
          <w:color w:val="231F20"/>
        </w:rPr>
        <w:t>mais</w:t>
      </w:r>
      <w:r>
        <w:rPr>
          <w:color w:val="231F20"/>
          <w:spacing w:val="-7"/>
        </w:rPr>
        <w:t> </w:t>
      </w:r>
      <w:r>
        <w:rPr>
          <w:color w:val="231F20"/>
        </w:rPr>
        <w:t>aussi</w:t>
      </w:r>
      <w:r>
        <w:rPr>
          <w:color w:val="231F20"/>
          <w:spacing w:val="-7"/>
        </w:rPr>
        <w:t> </w:t>
      </w:r>
      <w:r>
        <w:rPr>
          <w:color w:val="231F20"/>
        </w:rPr>
        <w:t>au</w:t>
      </w:r>
      <w:r>
        <w:rPr>
          <w:color w:val="231F20"/>
          <w:spacing w:val="-7"/>
        </w:rPr>
        <w:t> </w:t>
      </w:r>
      <w:r>
        <w:rPr>
          <w:color w:val="231F20"/>
        </w:rPr>
        <w:t>pouvoir.</w:t>
      </w:r>
      <w:r>
        <w:rPr>
          <w:color w:val="231F20"/>
          <w:spacing w:val="-7"/>
        </w:rPr>
        <w:t> </w:t>
      </w:r>
      <w:r>
        <w:rPr>
          <w:color w:val="231F20"/>
        </w:rPr>
        <w:t>Ainsi,</w:t>
      </w:r>
      <w:r>
        <w:rPr>
          <w:color w:val="231F20"/>
          <w:spacing w:val="-7"/>
        </w:rPr>
        <w:t> </w:t>
      </w:r>
      <w:r>
        <w:rPr>
          <w:color w:val="231F20"/>
        </w:rPr>
        <w:t>en</w:t>
      </w:r>
      <w:r>
        <w:rPr>
          <w:color w:val="231F20"/>
          <w:spacing w:val="-7"/>
        </w:rPr>
        <w:t> </w:t>
      </w:r>
      <w:r>
        <w:rPr>
          <w:color w:val="231F20"/>
        </w:rPr>
        <w:t>2000, </w:t>
      </w:r>
      <w:r>
        <w:rPr>
          <w:color w:val="231F20"/>
          <w:spacing w:val="-4"/>
        </w:rPr>
        <w:t>une</w:t>
      </w:r>
      <w:r>
        <w:rPr>
          <w:color w:val="231F20"/>
          <w:spacing w:val="-5"/>
        </w:rPr>
        <w:t> </w:t>
      </w:r>
      <w:r>
        <w:rPr>
          <w:color w:val="231F20"/>
          <w:spacing w:val="-4"/>
        </w:rPr>
        <w:t>de</w:t>
      </w:r>
      <w:r>
        <w:rPr>
          <w:color w:val="231F20"/>
          <w:spacing w:val="-5"/>
        </w:rPr>
        <w:t> </w:t>
      </w:r>
      <w:r>
        <w:rPr>
          <w:color w:val="231F20"/>
          <w:spacing w:val="-4"/>
        </w:rPr>
        <w:t>ses</w:t>
      </w:r>
      <w:r>
        <w:rPr>
          <w:color w:val="231F20"/>
          <w:spacing w:val="-5"/>
        </w:rPr>
        <w:t> </w:t>
      </w:r>
      <w:r>
        <w:rPr>
          <w:color w:val="231F20"/>
          <w:spacing w:val="-4"/>
        </w:rPr>
        <w:t>premières</w:t>
      </w:r>
      <w:r>
        <w:rPr>
          <w:color w:val="231F20"/>
          <w:spacing w:val="-5"/>
        </w:rPr>
        <w:t> </w:t>
      </w:r>
      <w:r>
        <w:rPr>
          <w:color w:val="231F20"/>
          <w:spacing w:val="-4"/>
        </w:rPr>
        <w:t>décisions</w:t>
      </w:r>
      <w:r>
        <w:rPr>
          <w:color w:val="231F20"/>
          <w:spacing w:val="-7"/>
        </w:rPr>
        <w:t> </w:t>
      </w:r>
      <w:r>
        <w:rPr>
          <w:color w:val="231F20"/>
          <w:spacing w:val="-4"/>
        </w:rPr>
        <w:t>est</w:t>
      </w:r>
      <w:r>
        <w:rPr>
          <w:color w:val="231F20"/>
          <w:spacing w:val="-7"/>
        </w:rPr>
        <w:t> </w:t>
      </w:r>
      <w:r>
        <w:rPr>
          <w:color w:val="231F20"/>
          <w:spacing w:val="-4"/>
        </w:rPr>
        <w:t>de</w:t>
      </w:r>
      <w:r>
        <w:rPr>
          <w:color w:val="231F20"/>
          <w:spacing w:val="-5"/>
        </w:rPr>
        <w:t> </w:t>
      </w:r>
      <w:r>
        <w:rPr>
          <w:color w:val="231F20"/>
          <w:spacing w:val="-4"/>
        </w:rPr>
        <w:t>dissoudre</w:t>
      </w:r>
      <w:r>
        <w:rPr>
          <w:color w:val="231F20"/>
          <w:spacing w:val="-8"/>
        </w:rPr>
        <w:t> </w:t>
      </w:r>
      <w:r>
        <w:rPr>
          <w:color w:val="231F20"/>
          <w:spacing w:val="-4"/>
        </w:rPr>
        <w:t>le</w:t>
      </w:r>
      <w:r>
        <w:rPr>
          <w:color w:val="231F20"/>
          <w:spacing w:val="-5"/>
        </w:rPr>
        <w:t> </w:t>
      </w:r>
      <w:r>
        <w:rPr>
          <w:color w:val="231F20"/>
          <w:spacing w:val="-4"/>
        </w:rPr>
        <w:t>Conseil Économique</w:t>
      </w:r>
      <w:r>
        <w:rPr>
          <w:color w:val="231F20"/>
          <w:spacing w:val="-5"/>
        </w:rPr>
        <w:t> </w:t>
      </w:r>
      <w:r>
        <w:rPr>
          <w:color w:val="231F20"/>
          <w:spacing w:val="-4"/>
        </w:rPr>
        <w:t>et </w:t>
      </w:r>
      <w:r>
        <w:rPr>
          <w:color w:val="231F20"/>
        </w:rPr>
        <w:t>Social ainsi que</w:t>
      </w:r>
      <w:r>
        <w:rPr>
          <w:color w:val="231F20"/>
          <w:spacing w:val="-3"/>
        </w:rPr>
        <w:t> </w:t>
      </w:r>
      <w:r>
        <w:rPr>
          <w:color w:val="231F20"/>
        </w:rPr>
        <w:t>le</w:t>
      </w:r>
      <w:r>
        <w:rPr>
          <w:color w:val="231F20"/>
          <w:spacing w:val="-1"/>
        </w:rPr>
        <w:t> </w:t>
      </w:r>
      <w:r>
        <w:rPr>
          <w:color w:val="231F20"/>
        </w:rPr>
        <w:t>Sénat</w:t>
      </w:r>
      <w:r>
        <w:rPr>
          <w:color w:val="231F20"/>
          <w:spacing w:val="-2"/>
        </w:rPr>
        <w:t> </w:t>
      </w:r>
      <w:r>
        <w:rPr>
          <w:color w:val="231F20"/>
        </w:rPr>
        <w:t>en</w:t>
      </w:r>
      <w:r>
        <w:rPr>
          <w:color w:val="231F20"/>
          <w:spacing w:val="-1"/>
        </w:rPr>
        <w:t> </w:t>
      </w:r>
      <w:r>
        <w:rPr>
          <w:color w:val="231F20"/>
        </w:rPr>
        <w:t>le</w:t>
      </w:r>
      <w:r>
        <w:rPr>
          <w:color w:val="231F20"/>
          <w:spacing w:val="-1"/>
        </w:rPr>
        <w:t> </w:t>
      </w:r>
      <w:r>
        <w:rPr>
          <w:color w:val="231F20"/>
        </w:rPr>
        <w:t>justifiant</w:t>
      </w:r>
      <w:r>
        <w:rPr>
          <w:color w:val="231F20"/>
          <w:spacing w:val="-2"/>
        </w:rPr>
        <w:t> </w:t>
      </w:r>
      <w:r>
        <w:rPr>
          <w:color w:val="231F20"/>
        </w:rPr>
        <w:t>par</w:t>
      </w:r>
      <w:r>
        <w:rPr>
          <w:color w:val="231F20"/>
          <w:spacing w:val="-1"/>
        </w:rPr>
        <w:t> </w:t>
      </w:r>
      <w:r>
        <w:rPr>
          <w:color w:val="231F20"/>
        </w:rPr>
        <w:t>des</w:t>
      </w:r>
      <w:r>
        <w:rPr>
          <w:color w:val="231F20"/>
          <w:spacing w:val="-1"/>
        </w:rPr>
        <w:t> </w:t>
      </w:r>
      <w:r>
        <w:rPr>
          <w:color w:val="231F20"/>
        </w:rPr>
        <w:t>raisons</w:t>
      </w:r>
      <w:r>
        <w:rPr>
          <w:color w:val="231F20"/>
          <w:spacing w:val="-1"/>
        </w:rPr>
        <w:t> </w:t>
      </w:r>
      <w:r>
        <w:rPr>
          <w:color w:val="231F20"/>
        </w:rPr>
        <w:t>d’économies</w:t>
      </w:r>
      <w:r>
        <w:rPr>
          <w:color w:val="231F20"/>
          <w:spacing w:val="-1"/>
        </w:rPr>
        <w:t> </w:t>
      </w:r>
      <w:r>
        <w:rPr>
          <w:color w:val="231F20"/>
        </w:rPr>
        <w:t>et leur</w:t>
      </w:r>
      <w:r>
        <w:rPr>
          <w:color w:val="231F20"/>
          <w:spacing w:val="-5"/>
        </w:rPr>
        <w:t> </w:t>
      </w:r>
      <w:r>
        <w:rPr>
          <w:color w:val="231F20"/>
        </w:rPr>
        <w:t>inutilité.</w:t>
      </w:r>
      <w:r>
        <w:rPr>
          <w:color w:val="231F20"/>
          <w:spacing w:val="-7"/>
        </w:rPr>
        <w:t> </w:t>
      </w:r>
      <w:r>
        <w:rPr>
          <w:color w:val="231F20"/>
        </w:rPr>
        <w:t>En</w:t>
      </w:r>
      <w:r>
        <w:rPr>
          <w:color w:val="231F20"/>
          <w:spacing w:val="-7"/>
        </w:rPr>
        <w:t> </w:t>
      </w:r>
      <w:r>
        <w:rPr>
          <w:color w:val="231F20"/>
        </w:rPr>
        <w:t>mai</w:t>
      </w:r>
      <w:r>
        <w:rPr>
          <w:color w:val="231F20"/>
          <w:spacing w:val="-7"/>
        </w:rPr>
        <w:t> </w:t>
      </w:r>
      <w:r>
        <w:rPr>
          <w:color w:val="231F20"/>
        </w:rPr>
        <w:t>2007,</w:t>
      </w:r>
      <w:r>
        <w:rPr>
          <w:color w:val="231F20"/>
          <w:spacing w:val="-5"/>
        </w:rPr>
        <w:t> </w:t>
      </w:r>
      <w:r>
        <w:rPr>
          <w:color w:val="231F20"/>
        </w:rPr>
        <w:t>il</w:t>
      </w:r>
      <w:r>
        <w:rPr>
          <w:color w:val="231F20"/>
          <w:spacing w:val="-7"/>
        </w:rPr>
        <w:t> </w:t>
      </w:r>
      <w:r>
        <w:rPr>
          <w:color w:val="231F20"/>
        </w:rPr>
        <w:t>leur</w:t>
      </w:r>
      <w:r>
        <w:rPr>
          <w:color w:val="231F20"/>
          <w:spacing w:val="-5"/>
        </w:rPr>
        <w:t> </w:t>
      </w:r>
      <w:r>
        <w:rPr>
          <w:color w:val="231F20"/>
        </w:rPr>
        <w:t>redonne</w:t>
      </w:r>
      <w:r>
        <w:rPr>
          <w:color w:val="231F20"/>
          <w:spacing w:val="-5"/>
        </w:rPr>
        <w:t> </w:t>
      </w:r>
      <w:r>
        <w:rPr>
          <w:color w:val="231F20"/>
        </w:rPr>
        <w:t>vie,</w:t>
      </w:r>
      <w:r>
        <w:rPr>
          <w:color w:val="231F20"/>
          <w:spacing w:val="-5"/>
        </w:rPr>
        <w:t> </w:t>
      </w:r>
      <w:r>
        <w:rPr>
          <w:color w:val="231F20"/>
        </w:rPr>
        <w:t>en</w:t>
      </w:r>
      <w:r>
        <w:rPr>
          <w:color w:val="231F20"/>
          <w:spacing w:val="-9"/>
        </w:rPr>
        <w:t> </w:t>
      </w:r>
      <w:r>
        <w:rPr>
          <w:color w:val="231F20"/>
        </w:rPr>
        <w:t>choisissant</w:t>
      </w:r>
      <w:r>
        <w:rPr>
          <w:color w:val="231F20"/>
          <w:spacing w:val="-7"/>
        </w:rPr>
        <w:t> </w:t>
      </w:r>
      <w:r>
        <w:rPr>
          <w:color w:val="231F20"/>
        </w:rPr>
        <w:t>lui-même les</w:t>
      </w:r>
      <w:r>
        <w:rPr>
          <w:color w:val="231F20"/>
          <w:spacing w:val="-10"/>
        </w:rPr>
        <w:t> </w:t>
      </w:r>
      <w:r>
        <w:rPr>
          <w:color w:val="231F20"/>
        </w:rPr>
        <w:t>65</w:t>
      </w:r>
      <w:r>
        <w:rPr>
          <w:color w:val="231F20"/>
          <w:spacing w:val="-12"/>
        </w:rPr>
        <w:t> </w:t>
      </w:r>
      <w:r>
        <w:rPr>
          <w:color w:val="231F20"/>
        </w:rPr>
        <w:t>sénateurs.</w:t>
      </w:r>
      <w:r>
        <w:rPr>
          <w:color w:val="231F20"/>
          <w:spacing w:val="-12"/>
        </w:rPr>
        <w:t> </w:t>
      </w:r>
      <w:r>
        <w:rPr>
          <w:color w:val="231F20"/>
        </w:rPr>
        <w:t>Sous</w:t>
      </w:r>
      <w:r>
        <w:rPr>
          <w:color w:val="231F20"/>
          <w:spacing w:val="-12"/>
        </w:rPr>
        <w:t> </w:t>
      </w:r>
      <w:r>
        <w:rPr>
          <w:color w:val="231F20"/>
        </w:rPr>
        <w:t>sa</w:t>
      </w:r>
      <w:r>
        <w:rPr>
          <w:color w:val="231F20"/>
          <w:spacing w:val="-12"/>
        </w:rPr>
        <w:t> </w:t>
      </w:r>
      <w:r>
        <w:rPr>
          <w:color w:val="231F20"/>
        </w:rPr>
        <w:t>présidence,</w:t>
      </w:r>
      <w:r>
        <w:rPr>
          <w:color w:val="231F20"/>
          <w:spacing w:val="-12"/>
        </w:rPr>
        <w:t> </w:t>
      </w:r>
      <w:r>
        <w:rPr>
          <w:color w:val="231F20"/>
        </w:rPr>
        <w:t>le</w:t>
      </w:r>
      <w:r>
        <w:rPr>
          <w:color w:val="231F20"/>
          <w:spacing w:val="-10"/>
        </w:rPr>
        <w:t> </w:t>
      </w:r>
      <w:r>
        <w:rPr>
          <w:color w:val="231F20"/>
        </w:rPr>
        <w:t>paysage</w:t>
      </w:r>
      <w:r>
        <w:rPr>
          <w:color w:val="231F20"/>
          <w:spacing w:val="-10"/>
        </w:rPr>
        <w:t> </w:t>
      </w:r>
      <w:r>
        <w:rPr>
          <w:color w:val="231F20"/>
        </w:rPr>
        <w:t>politique</w:t>
      </w:r>
      <w:r>
        <w:rPr>
          <w:color w:val="231F20"/>
          <w:spacing w:val="-10"/>
        </w:rPr>
        <w:t> </w:t>
      </w:r>
      <w:r>
        <w:rPr>
          <w:color w:val="231F20"/>
        </w:rPr>
        <w:t>est</w:t>
      </w:r>
      <w:r>
        <w:rPr>
          <w:color w:val="231F20"/>
          <w:spacing w:val="-12"/>
        </w:rPr>
        <w:t> </w:t>
      </w:r>
      <w:r>
        <w:rPr>
          <w:color w:val="231F20"/>
        </w:rPr>
        <w:t>instable.</w:t>
      </w:r>
      <w:r>
        <w:rPr>
          <w:color w:val="231F20"/>
          <w:spacing w:val="-10"/>
        </w:rPr>
        <w:t> </w:t>
      </w:r>
      <w:r>
        <w:rPr>
          <w:color w:val="231F20"/>
        </w:rPr>
        <w:t>Il modifie plusieurs fois la Constitution sans aucune consultation ni </w:t>
      </w:r>
      <w:r>
        <w:rPr>
          <w:color w:val="231F20"/>
          <w:spacing w:val="-4"/>
        </w:rPr>
        <w:t>validation</w:t>
      </w:r>
      <w:r>
        <w:rPr>
          <w:color w:val="231F20"/>
          <w:spacing w:val="-6"/>
        </w:rPr>
        <w:t> </w:t>
      </w:r>
      <w:r>
        <w:rPr>
          <w:color w:val="231F20"/>
          <w:spacing w:val="-4"/>
        </w:rPr>
        <w:t>des</w:t>
      </w:r>
      <w:r>
        <w:rPr>
          <w:color w:val="231F20"/>
          <w:spacing w:val="-9"/>
        </w:rPr>
        <w:t> </w:t>
      </w:r>
      <w:r>
        <w:rPr>
          <w:color w:val="231F20"/>
          <w:spacing w:val="-4"/>
        </w:rPr>
        <w:t>Chambres</w:t>
      </w:r>
      <w:r>
        <w:rPr>
          <w:color w:val="231F20"/>
          <w:spacing w:val="-8"/>
        </w:rPr>
        <w:t> </w:t>
      </w:r>
      <w:r>
        <w:rPr>
          <w:color w:val="231F20"/>
          <w:spacing w:val="-4"/>
        </w:rPr>
        <w:t>parlementaires :</w:t>
      </w:r>
      <w:r>
        <w:rPr>
          <w:color w:val="231F20"/>
          <w:spacing w:val="-8"/>
        </w:rPr>
        <w:t> </w:t>
      </w:r>
      <w:r>
        <w:rPr>
          <w:color w:val="231F20"/>
          <w:spacing w:val="-4"/>
        </w:rPr>
        <w:t>il</w:t>
      </w:r>
      <w:r>
        <w:rPr>
          <w:color w:val="231F20"/>
          <w:spacing w:val="-6"/>
        </w:rPr>
        <w:t> </w:t>
      </w:r>
      <w:r>
        <w:rPr>
          <w:color w:val="231F20"/>
          <w:spacing w:val="-4"/>
        </w:rPr>
        <w:t>fait</w:t>
      </w:r>
      <w:r>
        <w:rPr>
          <w:color w:val="231F20"/>
          <w:spacing w:val="-7"/>
        </w:rPr>
        <w:t> </w:t>
      </w:r>
      <w:r>
        <w:rPr>
          <w:color w:val="231F20"/>
          <w:spacing w:val="-4"/>
        </w:rPr>
        <w:t>passer</w:t>
      </w:r>
      <w:r>
        <w:rPr>
          <w:color w:val="231F20"/>
          <w:spacing w:val="-7"/>
        </w:rPr>
        <w:t> </w:t>
      </w:r>
      <w:r>
        <w:rPr>
          <w:color w:val="231F20"/>
          <w:spacing w:val="-4"/>
        </w:rPr>
        <w:t>la</w:t>
      </w:r>
      <w:r>
        <w:rPr>
          <w:color w:val="231F20"/>
          <w:spacing w:val="-7"/>
        </w:rPr>
        <w:t> </w:t>
      </w:r>
      <w:r>
        <w:rPr>
          <w:color w:val="231F20"/>
          <w:spacing w:val="-4"/>
        </w:rPr>
        <w:t>durée</w:t>
      </w:r>
      <w:r>
        <w:rPr>
          <w:color w:val="231F20"/>
          <w:spacing w:val="-7"/>
        </w:rPr>
        <w:t> </w:t>
      </w:r>
      <w:r>
        <w:rPr>
          <w:color w:val="231F20"/>
          <w:spacing w:val="-4"/>
        </w:rPr>
        <w:t>du</w:t>
      </w:r>
      <w:r>
        <w:rPr>
          <w:color w:val="231F20"/>
          <w:spacing w:val="-9"/>
        </w:rPr>
        <w:t> </w:t>
      </w:r>
      <w:r>
        <w:rPr>
          <w:color w:val="231F20"/>
          <w:spacing w:val="-4"/>
        </w:rPr>
        <w:t>mandat </w:t>
      </w:r>
      <w:r>
        <w:rPr>
          <w:color w:val="231F20"/>
        </w:rPr>
        <w:t>présidentiel</w:t>
      </w:r>
      <w:r>
        <w:rPr>
          <w:color w:val="231F20"/>
          <w:spacing w:val="-6"/>
        </w:rPr>
        <w:t> </w:t>
      </w:r>
      <w:r>
        <w:rPr>
          <w:color w:val="231F20"/>
        </w:rPr>
        <w:t>à</w:t>
      </w:r>
      <w:r>
        <w:rPr>
          <w:color w:val="231F20"/>
          <w:spacing w:val="-4"/>
        </w:rPr>
        <w:t> </w:t>
      </w:r>
      <w:r>
        <w:rPr>
          <w:color w:val="231F20"/>
        </w:rPr>
        <w:t>cinq</w:t>
      </w:r>
      <w:r>
        <w:rPr>
          <w:color w:val="231F20"/>
          <w:spacing w:val="-6"/>
        </w:rPr>
        <w:t> </w:t>
      </w:r>
      <w:r>
        <w:rPr>
          <w:color w:val="231F20"/>
        </w:rPr>
        <w:t>ans</w:t>
      </w:r>
      <w:r>
        <w:rPr>
          <w:color w:val="231F20"/>
          <w:spacing w:val="-4"/>
        </w:rPr>
        <w:t> </w:t>
      </w:r>
      <w:r>
        <w:rPr>
          <w:color w:val="231F20"/>
        </w:rPr>
        <w:t>en</w:t>
      </w:r>
      <w:r>
        <w:rPr>
          <w:color w:val="231F20"/>
          <w:spacing w:val="-6"/>
        </w:rPr>
        <w:t> </w:t>
      </w:r>
      <w:r>
        <w:rPr>
          <w:color w:val="231F20"/>
        </w:rPr>
        <w:t>2001</w:t>
      </w:r>
      <w:r>
        <w:rPr>
          <w:color w:val="231F20"/>
          <w:spacing w:val="-15"/>
        </w:rPr>
        <w:t> </w:t>
      </w:r>
      <w:r>
        <w:rPr>
          <w:color w:val="231F20"/>
        </w:rPr>
        <w:t>;</w:t>
      </w:r>
      <w:r>
        <w:rPr>
          <w:color w:val="231F20"/>
          <w:spacing w:val="-6"/>
        </w:rPr>
        <w:t> </w:t>
      </w:r>
      <w:r>
        <w:rPr>
          <w:color w:val="231F20"/>
        </w:rPr>
        <w:t>en</w:t>
      </w:r>
      <w:r>
        <w:rPr>
          <w:color w:val="231F20"/>
          <w:spacing w:val="-6"/>
        </w:rPr>
        <w:t> </w:t>
      </w:r>
      <w:r>
        <w:rPr>
          <w:color w:val="231F20"/>
        </w:rPr>
        <w:t>2008,</w:t>
      </w:r>
      <w:r>
        <w:rPr>
          <w:color w:val="231F20"/>
          <w:spacing w:val="-6"/>
        </w:rPr>
        <w:t> </w:t>
      </w:r>
      <w:r>
        <w:rPr>
          <w:color w:val="231F20"/>
        </w:rPr>
        <w:t>il</w:t>
      </w:r>
      <w:r>
        <w:rPr>
          <w:color w:val="231F20"/>
          <w:spacing w:val="-6"/>
        </w:rPr>
        <w:t> </w:t>
      </w:r>
      <w:r>
        <w:rPr>
          <w:color w:val="231F20"/>
        </w:rPr>
        <w:t>rétablit</w:t>
      </w:r>
      <w:r>
        <w:rPr>
          <w:color w:val="231F20"/>
          <w:spacing w:val="-4"/>
        </w:rPr>
        <w:t> </w:t>
      </w:r>
      <w:r>
        <w:rPr>
          <w:color w:val="231F20"/>
        </w:rPr>
        <w:t>le</w:t>
      </w:r>
      <w:r>
        <w:rPr>
          <w:color w:val="231F20"/>
          <w:spacing w:val="-6"/>
        </w:rPr>
        <w:t> </w:t>
      </w:r>
      <w:r>
        <w:rPr>
          <w:color w:val="231F20"/>
        </w:rPr>
        <w:t>septennat.</w:t>
      </w:r>
      <w:r>
        <w:rPr>
          <w:color w:val="231F20"/>
          <w:spacing w:val="-4"/>
        </w:rPr>
        <w:t> </w:t>
      </w:r>
      <w:r>
        <w:rPr>
          <w:color w:val="231F20"/>
        </w:rPr>
        <w:t>Il</w:t>
      </w:r>
      <w:r>
        <w:rPr>
          <w:color w:val="231F20"/>
          <w:spacing w:val="-4"/>
        </w:rPr>
        <w:t> </w:t>
      </w:r>
      <w:r>
        <w:rPr>
          <w:color w:val="231F20"/>
        </w:rPr>
        <w:t>gère seul,</w:t>
      </w:r>
      <w:r>
        <w:rPr>
          <w:color w:val="231F20"/>
          <w:spacing w:val="-1"/>
        </w:rPr>
        <w:t> </w:t>
      </w:r>
      <w:r>
        <w:rPr>
          <w:color w:val="231F20"/>
        </w:rPr>
        <w:t>le</w:t>
      </w:r>
      <w:r>
        <w:rPr>
          <w:color w:val="231F20"/>
          <w:spacing w:val="-1"/>
        </w:rPr>
        <w:t> </w:t>
      </w:r>
      <w:r>
        <w:rPr>
          <w:color w:val="231F20"/>
        </w:rPr>
        <w:t>pouvoir.</w:t>
      </w:r>
      <w:r>
        <w:rPr>
          <w:color w:val="231F20"/>
          <w:spacing w:val="-1"/>
        </w:rPr>
        <w:t> </w:t>
      </w:r>
      <w:r>
        <w:rPr>
          <w:color w:val="231F20"/>
        </w:rPr>
        <w:t>Il nomme six</w:t>
      </w:r>
      <w:r>
        <w:rPr>
          <w:color w:val="231F20"/>
          <w:spacing w:val="-1"/>
        </w:rPr>
        <w:t> </w:t>
      </w:r>
      <w:r>
        <w:rPr>
          <w:color w:val="231F20"/>
        </w:rPr>
        <w:t>Premiers ministres,</w:t>
      </w:r>
      <w:r>
        <w:rPr>
          <w:color w:val="231F20"/>
          <w:spacing w:val="-3"/>
        </w:rPr>
        <w:t> </w:t>
      </w:r>
      <w:r>
        <w:rPr>
          <w:color w:val="231F20"/>
        </w:rPr>
        <w:t>quatre</w:t>
      </w:r>
      <w:r>
        <w:rPr>
          <w:color w:val="231F20"/>
          <w:spacing w:val="-1"/>
        </w:rPr>
        <w:t> </w:t>
      </w:r>
      <w:r>
        <w:rPr>
          <w:color w:val="231F20"/>
        </w:rPr>
        <w:t>Présidents</w:t>
      </w:r>
      <w:r>
        <w:rPr>
          <w:color w:val="231F20"/>
          <w:spacing w:val="-1"/>
        </w:rPr>
        <w:t> </w:t>
      </w:r>
      <w:r>
        <w:rPr>
          <w:color w:val="231F20"/>
        </w:rPr>
        <w:t>de </w:t>
      </w:r>
      <w:r>
        <w:rPr>
          <w:color w:val="231F20"/>
          <w:spacing w:val="-2"/>
        </w:rPr>
        <w:t>l’Assemblée</w:t>
      </w:r>
      <w:r>
        <w:rPr>
          <w:color w:val="231F20"/>
          <w:spacing w:val="-13"/>
        </w:rPr>
        <w:t> </w:t>
      </w:r>
      <w:r>
        <w:rPr>
          <w:color w:val="231F20"/>
          <w:spacing w:val="-2"/>
        </w:rPr>
        <w:t>Nationale,</w:t>
      </w:r>
      <w:r>
        <w:rPr>
          <w:color w:val="231F20"/>
          <w:spacing w:val="-13"/>
        </w:rPr>
        <w:t> </w:t>
      </w:r>
      <w:r>
        <w:rPr>
          <w:color w:val="231F20"/>
          <w:spacing w:val="-2"/>
        </w:rPr>
        <w:t>trois</w:t>
      </w:r>
      <w:r>
        <w:rPr>
          <w:color w:val="231F20"/>
          <w:spacing w:val="-13"/>
        </w:rPr>
        <w:t> </w:t>
      </w:r>
      <w:r>
        <w:rPr>
          <w:color w:val="231F20"/>
          <w:spacing w:val="-2"/>
        </w:rPr>
        <w:t>Chefs</w:t>
      </w:r>
      <w:r>
        <w:rPr>
          <w:color w:val="231F20"/>
          <w:spacing w:val="-13"/>
        </w:rPr>
        <w:t> </w:t>
      </w:r>
      <w:r>
        <w:rPr>
          <w:color w:val="231F20"/>
          <w:spacing w:val="-2"/>
        </w:rPr>
        <w:t>d’État-Major</w:t>
      </w:r>
      <w:r>
        <w:rPr>
          <w:color w:val="231F20"/>
          <w:spacing w:val="-13"/>
        </w:rPr>
        <w:t> </w:t>
      </w:r>
      <w:r>
        <w:rPr>
          <w:color w:val="231F20"/>
          <w:spacing w:val="-2"/>
        </w:rPr>
        <w:t>Généraux</w:t>
      </w:r>
      <w:r>
        <w:rPr>
          <w:color w:val="231F20"/>
          <w:spacing w:val="-13"/>
        </w:rPr>
        <w:t> </w:t>
      </w:r>
      <w:r>
        <w:rPr>
          <w:color w:val="231F20"/>
          <w:spacing w:val="-2"/>
        </w:rPr>
        <w:t>des</w:t>
      </w:r>
      <w:r>
        <w:rPr>
          <w:color w:val="231F20"/>
          <w:spacing w:val="-13"/>
        </w:rPr>
        <w:t> </w:t>
      </w:r>
      <w:r>
        <w:rPr>
          <w:color w:val="231F20"/>
          <w:spacing w:val="-2"/>
        </w:rPr>
        <w:t>armées</w:t>
      </w:r>
      <w:r>
        <w:rPr>
          <w:color w:val="231F20"/>
          <w:spacing w:val="-13"/>
        </w:rPr>
        <w:t> </w:t>
      </w:r>
      <w:r>
        <w:rPr>
          <w:color w:val="231F20"/>
          <w:spacing w:val="-2"/>
        </w:rPr>
        <w:t>et </w:t>
      </w:r>
      <w:r>
        <w:rPr>
          <w:color w:val="231F20"/>
        </w:rPr>
        <w:t>plus d’une centaine de ministres, dont certains ne restent en poste que quelques</w:t>
      </w:r>
      <w:r>
        <w:rPr>
          <w:color w:val="231F20"/>
          <w:spacing w:val="-15"/>
        </w:rPr>
        <w:t> </w:t>
      </w:r>
      <w:r>
        <w:rPr>
          <w:color w:val="231F20"/>
        </w:rPr>
        <w:t>mois.</w:t>
      </w:r>
      <w:r>
        <w:rPr>
          <w:color w:val="231F20"/>
          <w:spacing w:val="-15"/>
        </w:rPr>
        <w:t> </w:t>
      </w:r>
      <w:r>
        <w:rPr>
          <w:color w:val="231F20"/>
        </w:rPr>
        <w:t>Le</w:t>
      </w:r>
      <w:r>
        <w:rPr>
          <w:color w:val="231F20"/>
          <w:spacing w:val="-15"/>
        </w:rPr>
        <w:t> </w:t>
      </w:r>
      <w:r>
        <w:rPr>
          <w:color w:val="231F20"/>
        </w:rPr>
        <w:t>Président</w:t>
      </w:r>
      <w:r>
        <w:rPr>
          <w:color w:val="231F20"/>
          <w:spacing w:val="-15"/>
        </w:rPr>
        <w:t> </w:t>
      </w:r>
      <w:r>
        <w:rPr>
          <w:color w:val="231F20"/>
        </w:rPr>
        <w:t>Wade</w:t>
      </w:r>
      <w:r>
        <w:rPr>
          <w:color w:val="231F20"/>
          <w:spacing w:val="-15"/>
        </w:rPr>
        <w:t> </w:t>
      </w:r>
      <w:r>
        <w:rPr>
          <w:color w:val="231F20"/>
        </w:rPr>
        <w:t>a</w:t>
      </w:r>
      <w:r>
        <w:rPr>
          <w:color w:val="231F20"/>
          <w:spacing w:val="-15"/>
        </w:rPr>
        <w:t> </w:t>
      </w:r>
      <w:r>
        <w:rPr>
          <w:color w:val="231F20"/>
        </w:rPr>
        <w:t>promu</w:t>
      </w:r>
      <w:r>
        <w:rPr>
          <w:color w:val="231F20"/>
          <w:spacing w:val="-15"/>
        </w:rPr>
        <w:t> </w:t>
      </w:r>
      <w:r>
        <w:rPr>
          <w:color w:val="231F20"/>
        </w:rPr>
        <w:t>plus</w:t>
      </w:r>
      <w:r>
        <w:rPr>
          <w:color w:val="231F20"/>
          <w:spacing w:val="-15"/>
        </w:rPr>
        <w:t> </w:t>
      </w:r>
      <w:r>
        <w:rPr>
          <w:color w:val="231F20"/>
        </w:rPr>
        <w:t>de</w:t>
      </w:r>
      <w:r>
        <w:rPr>
          <w:color w:val="231F20"/>
          <w:spacing w:val="-15"/>
        </w:rPr>
        <w:t> </w:t>
      </w:r>
      <w:r>
        <w:rPr>
          <w:color w:val="231F20"/>
        </w:rPr>
        <w:t>généraux</w:t>
      </w:r>
      <w:r>
        <w:rPr>
          <w:color w:val="231F20"/>
          <w:spacing w:val="-15"/>
        </w:rPr>
        <w:t> </w:t>
      </w:r>
      <w:r>
        <w:rPr>
          <w:color w:val="231F20"/>
        </w:rPr>
        <w:t>en</w:t>
      </w:r>
      <w:r>
        <w:rPr>
          <w:color w:val="231F20"/>
          <w:spacing w:val="-15"/>
        </w:rPr>
        <w:t> </w:t>
      </w:r>
      <w:r>
        <w:rPr>
          <w:color w:val="231F20"/>
        </w:rPr>
        <w:t>sept</w:t>
      </w:r>
      <w:r>
        <w:rPr>
          <w:color w:val="231F20"/>
          <w:spacing w:val="-15"/>
        </w:rPr>
        <w:t> </w:t>
      </w:r>
      <w:r>
        <w:rPr>
          <w:color w:val="231F20"/>
        </w:rPr>
        <w:t>ans qu’Abdou Diouf et Senghor en 40 ans. Des traditions sont rompues en nommant un</w:t>
      </w:r>
      <w:r>
        <w:rPr>
          <w:color w:val="231F20"/>
          <w:spacing w:val="-1"/>
        </w:rPr>
        <w:t> </w:t>
      </w:r>
      <w:r>
        <w:rPr>
          <w:color w:val="231F20"/>
        </w:rPr>
        <w:t>Commandant des pompiers au grade</w:t>
      </w:r>
      <w:r>
        <w:rPr>
          <w:color w:val="231F20"/>
          <w:spacing w:val="-2"/>
        </w:rPr>
        <w:t> </w:t>
      </w:r>
      <w:r>
        <w:rPr>
          <w:color w:val="231F20"/>
        </w:rPr>
        <w:t>de Général, un Chef d’État-Major particulier du président de la République issu de la gendarmerie, un Général nommé à l’intendance. Il est soupçonné de couvrir la corruption de sa famille et de ses proches. L’implication croissante</w:t>
      </w:r>
      <w:r>
        <w:rPr>
          <w:color w:val="231F20"/>
          <w:spacing w:val="-15"/>
        </w:rPr>
        <w:t> </w:t>
      </w:r>
      <w:r>
        <w:rPr>
          <w:color w:val="231F20"/>
        </w:rPr>
        <w:t>dans</w:t>
      </w:r>
      <w:r>
        <w:rPr>
          <w:color w:val="231F20"/>
          <w:spacing w:val="-15"/>
        </w:rPr>
        <w:t> </w:t>
      </w:r>
      <w:r>
        <w:rPr>
          <w:color w:val="231F20"/>
        </w:rPr>
        <w:t>les</w:t>
      </w:r>
      <w:r>
        <w:rPr>
          <w:color w:val="231F20"/>
          <w:spacing w:val="-15"/>
        </w:rPr>
        <w:t> </w:t>
      </w:r>
      <w:r>
        <w:rPr>
          <w:color w:val="231F20"/>
        </w:rPr>
        <w:t>affaires</w:t>
      </w:r>
      <w:r>
        <w:rPr>
          <w:color w:val="231F20"/>
          <w:spacing w:val="-15"/>
        </w:rPr>
        <w:t> </w:t>
      </w:r>
      <w:r>
        <w:rPr>
          <w:color w:val="231F20"/>
        </w:rPr>
        <w:t>et</w:t>
      </w:r>
      <w:r>
        <w:rPr>
          <w:color w:val="231F20"/>
          <w:spacing w:val="-15"/>
        </w:rPr>
        <w:t> </w:t>
      </w:r>
      <w:r>
        <w:rPr>
          <w:color w:val="231F20"/>
        </w:rPr>
        <w:t>dans</w:t>
      </w:r>
      <w:r>
        <w:rPr>
          <w:color w:val="231F20"/>
          <w:spacing w:val="-15"/>
        </w:rPr>
        <w:t> </w:t>
      </w:r>
      <w:r>
        <w:rPr>
          <w:color w:val="231F20"/>
        </w:rPr>
        <w:t>la</w:t>
      </w:r>
      <w:r>
        <w:rPr>
          <w:color w:val="231F20"/>
          <w:spacing w:val="-15"/>
        </w:rPr>
        <w:t> </w:t>
      </w:r>
      <w:r>
        <w:rPr>
          <w:color w:val="231F20"/>
        </w:rPr>
        <w:t>politique</w:t>
      </w:r>
      <w:r>
        <w:rPr>
          <w:color w:val="231F20"/>
          <w:spacing w:val="-14"/>
        </w:rPr>
        <w:t> </w:t>
      </w:r>
      <w:r>
        <w:rPr>
          <w:color w:val="231F20"/>
        </w:rPr>
        <w:t>de</w:t>
      </w:r>
      <w:r>
        <w:rPr>
          <w:color w:val="231F20"/>
          <w:spacing w:val="-15"/>
        </w:rPr>
        <w:t> </w:t>
      </w:r>
      <w:r>
        <w:rPr>
          <w:color w:val="231F20"/>
        </w:rPr>
        <w:t>son</w:t>
      </w:r>
      <w:r>
        <w:rPr>
          <w:color w:val="231F20"/>
          <w:spacing w:val="-14"/>
        </w:rPr>
        <w:t> </w:t>
      </w:r>
      <w:r>
        <w:rPr>
          <w:color w:val="231F20"/>
        </w:rPr>
        <w:t>fils</w:t>
      </w:r>
      <w:r>
        <w:rPr>
          <w:color w:val="231F20"/>
          <w:spacing w:val="-15"/>
        </w:rPr>
        <w:t> </w:t>
      </w:r>
      <w:r>
        <w:rPr>
          <w:color w:val="231F20"/>
        </w:rPr>
        <w:t>Karim,</w:t>
      </w:r>
      <w:r>
        <w:rPr>
          <w:color w:val="231F20"/>
          <w:spacing w:val="-15"/>
        </w:rPr>
        <w:t> </w:t>
      </w:r>
      <w:r>
        <w:rPr>
          <w:color w:val="231F20"/>
        </w:rPr>
        <w:t>bientôt perçu comme le dauphin, suscite soupçon et polémiques.</w:t>
      </w:r>
      <w:r>
        <w:rPr>
          <w:color w:val="231F20"/>
          <w:spacing w:val="-13"/>
        </w:rPr>
        <w:t> </w:t>
      </w:r>
      <w:r>
        <w:rPr>
          <w:color w:val="231F20"/>
        </w:rPr>
        <w:t>Quand il </w:t>
      </w:r>
      <w:r>
        <w:rPr>
          <w:color w:val="231F20"/>
          <w:spacing w:val="-4"/>
        </w:rPr>
        <w:t>propose,</w:t>
      </w:r>
      <w:r>
        <w:rPr>
          <w:color w:val="231F20"/>
          <w:spacing w:val="-11"/>
        </w:rPr>
        <w:t> </w:t>
      </w:r>
      <w:r>
        <w:rPr>
          <w:color w:val="231F20"/>
          <w:spacing w:val="-4"/>
        </w:rPr>
        <w:t>dans</w:t>
      </w:r>
      <w:r>
        <w:rPr>
          <w:color w:val="231F20"/>
          <w:spacing w:val="-11"/>
        </w:rPr>
        <w:t> </w:t>
      </w:r>
      <w:r>
        <w:rPr>
          <w:color w:val="231F20"/>
          <w:spacing w:val="-4"/>
        </w:rPr>
        <w:t>une</w:t>
      </w:r>
      <w:r>
        <w:rPr>
          <w:color w:val="231F20"/>
          <w:spacing w:val="-11"/>
        </w:rPr>
        <w:t> </w:t>
      </w:r>
      <w:r>
        <w:rPr>
          <w:color w:val="231F20"/>
          <w:spacing w:val="-4"/>
        </w:rPr>
        <w:t>atmosphère</w:t>
      </w:r>
      <w:r>
        <w:rPr>
          <w:color w:val="231F20"/>
          <w:spacing w:val="-11"/>
        </w:rPr>
        <w:t> </w:t>
      </w:r>
      <w:r>
        <w:rPr>
          <w:color w:val="231F20"/>
          <w:spacing w:val="-4"/>
        </w:rPr>
        <w:t>de</w:t>
      </w:r>
      <w:r>
        <w:rPr>
          <w:color w:val="231F20"/>
          <w:spacing w:val="-11"/>
        </w:rPr>
        <w:t> </w:t>
      </w:r>
      <w:r>
        <w:rPr>
          <w:color w:val="231F20"/>
          <w:spacing w:val="-4"/>
        </w:rPr>
        <w:t>fin</w:t>
      </w:r>
      <w:r>
        <w:rPr>
          <w:color w:val="231F20"/>
          <w:spacing w:val="-11"/>
        </w:rPr>
        <w:t> </w:t>
      </w:r>
      <w:r>
        <w:rPr>
          <w:color w:val="231F20"/>
          <w:spacing w:val="-4"/>
        </w:rPr>
        <w:t>de</w:t>
      </w:r>
      <w:r>
        <w:rPr>
          <w:color w:val="231F20"/>
          <w:spacing w:val="-11"/>
        </w:rPr>
        <w:t> </w:t>
      </w:r>
      <w:r>
        <w:rPr>
          <w:color w:val="231F20"/>
          <w:spacing w:val="-4"/>
        </w:rPr>
        <w:t>règne,</w:t>
      </w:r>
      <w:r>
        <w:rPr>
          <w:color w:val="231F20"/>
          <w:spacing w:val="-11"/>
        </w:rPr>
        <w:t> </w:t>
      </w:r>
      <w:r>
        <w:rPr>
          <w:color w:val="231F20"/>
          <w:spacing w:val="-4"/>
        </w:rPr>
        <w:t>une</w:t>
      </w:r>
      <w:r>
        <w:rPr>
          <w:color w:val="231F20"/>
          <w:spacing w:val="-11"/>
        </w:rPr>
        <w:t> </w:t>
      </w:r>
      <w:r>
        <w:rPr>
          <w:color w:val="231F20"/>
          <w:spacing w:val="-4"/>
        </w:rPr>
        <w:t>modification</w:t>
      </w:r>
      <w:r>
        <w:rPr>
          <w:color w:val="231F20"/>
          <w:spacing w:val="-11"/>
        </w:rPr>
        <w:t> </w:t>
      </w:r>
      <w:r>
        <w:rPr>
          <w:color w:val="231F20"/>
          <w:spacing w:val="-4"/>
        </w:rPr>
        <w:t>du</w:t>
      </w:r>
      <w:r>
        <w:rPr>
          <w:color w:val="231F20"/>
          <w:spacing w:val="-11"/>
        </w:rPr>
        <w:t> </w:t>
      </w:r>
      <w:r>
        <w:rPr>
          <w:color w:val="231F20"/>
          <w:spacing w:val="-4"/>
        </w:rPr>
        <w:t>scrutin </w:t>
      </w:r>
      <w:r>
        <w:rPr>
          <w:color w:val="231F20"/>
        </w:rPr>
        <w:t>présidentiel</w:t>
      </w:r>
      <w:r>
        <w:rPr>
          <w:color w:val="231F20"/>
          <w:spacing w:val="-15"/>
        </w:rPr>
        <w:t> </w:t>
      </w:r>
      <w:r>
        <w:rPr>
          <w:color w:val="231F20"/>
        </w:rPr>
        <w:t>afin</w:t>
      </w:r>
      <w:r>
        <w:rPr>
          <w:color w:val="231F20"/>
          <w:spacing w:val="-15"/>
        </w:rPr>
        <w:t> </w:t>
      </w:r>
      <w:r>
        <w:rPr>
          <w:color w:val="231F20"/>
        </w:rPr>
        <w:t>de</w:t>
      </w:r>
      <w:r>
        <w:rPr>
          <w:color w:val="231F20"/>
          <w:spacing w:val="-15"/>
        </w:rPr>
        <w:t> </w:t>
      </w:r>
      <w:r>
        <w:rPr>
          <w:color w:val="231F20"/>
        </w:rPr>
        <w:t>permettre</w:t>
      </w:r>
      <w:r>
        <w:rPr>
          <w:color w:val="231F20"/>
          <w:spacing w:val="-15"/>
        </w:rPr>
        <w:t> </w:t>
      </w:r>
      <w:r>
        <w:rPr>
          <w:color w:val="231F20"/>
        </w:rPr>
        <w:t>l’élection</w:t>
      </w:r>
      <w:r>
        <w:rPr>
          <w:color w:val="231F20"/>
          <w:spacing w:val="-15"/>
        </w:rPr>
        <w:t> </w:t>
      </w:r>
      <w:r>
        <w:rPr>
          <w:color w:val="231F20"/>
        </w:rPr>
        <w:t>d’un</w:t>
      </w:r>
      <w:r>
        <w:rPr>
          <w:color w:val="231F20"/>
          <w:spacing w:val="-15"/>
        </w:rPr>
        <w:t> </w:t>
      </w:r>
      <w:r>
        <w:rPr>
          <w:color w:val="231F20"/>
        </w:rPr>
        <w:t>«</w:t>
      </w:r>
      <w:r>
        <w:rPr>
          <w:color w:val="231F20"/>
          <w:spacing w:val="-15"/>
        </w:rPr>
        <w:t> </w:t>
      </w:r>
      <w:r>
        <w:rPr>
          <w:color w:val="231F20"/>
        </w:rPr>
        <w:t>ticket</w:t>
      </w:r>
      <w:r>
        <w:rPr>
          <w:color w:val="231F20"/>
          <w:spacing w:val="-15"/>
        </w:rPr>
        <w:t> </w:t>
      </w:r>
      <w:r>
        <w:rPr>
          <w:color w:val="231F20"/>
        </w:rPr>
        <w:t>»</w:t>
      </w:r>
      <w:r>
        <w:rPr>
          <w:color w:val="231F20"/>
          <w:spacing w:val="-15"/>
        </w:rPr>
        <w:t> </w:t>
      </w:r>
      <w:r>
        <w:rPr>
          <w:color w:val="231F20"/>
        </w:rPr>
        <w:t>Président</w:t>
      </w:r>
      <w:r>
        <w:rPr>
          <w:color w:val="231F20"/>
          <w:spacing w:val="-15"/>
        </w:rPr>
        <w:t> </w:t>
      </w:r>
      <w:r>
        <w:rPr>
          <w:color w:val="231F20"/>
        </w:rPr>
        <w:t>et</w:t>
      </w:r>
      <w:r>
        <w:rPr>
          <w:color w:val="231F20"/>
          <w:spacing w:val="-15"/>
        </w:rPr>
        <w:t> </w:t>
      </w:r>
      <w:r>
        <w:rPr>
          <w:color w:val="231F20"/>
        </w:rPr>
        <w:t>vice- </w:t>
      </w:r>
      <w:r>
        <w:rPr>
          <w:color w:val="231F20"/>
          <w:spacing w:val="-4"/>
        </w:rPr>
        <w:t>Président</w:t>
      </w:r>
      <w:r>
        <w:rPr>
          <w:color w:val="231F20"/>
          <w:spacing w:val="-8"/>
        </w:rPr>
        <w:t> </w:t>
      </w:r>
      <w:r>
        <w:rPr>
          <w:color w:val="231F20"/>
          <w:spacing w:val="-4"/>
        </w:rPr>
        <w:t>à</w:t>
      </w:r>
      <w:r>
        <w:rPr>
          <w:color w:val="231F20"/>
          <w:spacing w:val="-7"/>
        </w:rPr>
        <w:t> </w:t>
      </w:r>
      <w:r>
        <w:rPr>
          <w:color w:val="231F20"/>
          <w:spacing w:val="-4"/>
        </w:rPr>
        <w:t>la</w:t>
      </w:r>
      <w:r>
        <w:rPr>
          <w:color w:val="231F20"/>
          <w:spacing w:val="-10"/>
        </w:rPr>
        <w:t> </w:t>
      </w:r>
      <w:r>
        <w:rPr>
          <w:color w:val="231F20"/>
          <w:spacing w:val="-4"/>
        </w:rPr>
        <w:t>tête</w:t>
      </w:r>
      <w:r>
        <w:rPr>
          <w:color w:val="231F20"/>
          <w:spacing w:val="-7"/>
        </w:rPr>
        <w:t> </w:t>
      </w:r>
      <w:r>
        <w:rPr>
          <w:color w:val="231F20"/>
          <w:spacing w:val="-4"/>
        </w:rPr>
        <w:t>de</w:t>
      </w:r>
      <w:r>
        <w:rPr>
          <w:color w:val="231F20"/>
          <w:spacing w:val="-10"/>
        </w:rPr>
        <w:t> </w:t>
      </w:r>
      <w:r>
        <w:rPr>
          <w:color w:val="231F20"/>
          <w:spacing w:val="-4"/>
        </w:rPr>
        <w:t>l’Exécutif,</w:t>
      </w:r>
      <w:r>
        <w:rPr>
          <w:color w:val="231F20"/>
          <w:spacing w:val="-9"/>
        </w:rPr>
        <w:t> </w:t>
      </w:r>
      <w:r>
        <w:rPr>
          <w:color w:val="231F20"/>
          <w:spacing w:val="-4"/>
        </w:rPr>
        <w:t>Abdoulaye</w:t>
      </w:r>
      <w:r>
        <w:rPr>
          <w:color w:val="231F20"/>
          <w:spacing w:val="-10"/>
        </w:rPr>
        <w:t> </w:t>
      </w:r>
      <w:r>
        <w:rPr>
          <w:color w:val="231F20"/>
          <w:spacing w:val="-4"/>
        </w:rPr>
        <w:t>Wade</w:t>
      </w:r>
      <w:r>
        <w:rPr>
          <w:color w:val="231F20"/>
          <w:spacing w:val="-7"/>
        </w:rPr>
        <w:t> </w:t>
      </w:r>
      <w:r>
        <w:rPr>
          <w:color w:val="231F20"/>
          <w:spacing w:val="-4"/>
        </w:rPr>
        <w:t>est</w:t>
      </w:r>
      <w:r>
        <w:rPr>
          <w:color w:val="231F20"/>
          <w:spacing w:val="-7"/>
        </w:rPr>
        <w:t> </w:t>
      </w:r>
      <w:r>
        <w:rPr>
          <w:color w:val="231F20"/>
          <w:spacing w:val="-4"/>
        </w:rPr>
        <w:t>soupçonné</w:t>
      </w:r>
      <w:r>
        <w:rPr>
          <w:color w:val="231F20"/>
          <w:spacing w:val="-9"/>
        </w:rPr>
        <w:t> </w:t>
      </w:r>
      <w:r>
        <w:rPr>
          <w:color w:val="231F20"/>
          <w:spacing w:val="-4"/>
        </w:rPr>
        <w:t>dans</w:t>
      </w:r>
      <w:r>
        <w:rPr>
          <w:color w:val="231F20"/>
          <w:spacing w:val="-9"/>
        </w:rPr>
        <w:t> </w:t>
      </w:r>
      <w:r>
        <w:rPr>
          <w:color w:val="231F20"/>
          <w:spacing w:val="-4"/>
        </w:rPr>
        <w:t>son </w:t>
      </w:r>
      <w:r>
        <w:rPr>
          <w:color w:val="231F20"/>
        </w:rPr>
        <w:t>propre</w:t>
      </w:r>
      <w:r>
        <w:rPr>
          <w:color w:val="231F20"/>
          <w:spacing w:val="-15"/>
        </w:rPr>
        <w:t> </w:t>
      </w:r>
      <w:r>
        <w:rPr>
          <w:color w:val="231F20"/>
        </w:rPr>
        <w:t>Parti</w:t>
      </w:r>
      <w:r>
        <w:rPr>
          <w:color w:val="231F20"/>
          <w:spacing w:val="-15"/>
        </w:rPr>
        <w:t> </w:t>
      </w:r>
      <w:r>
        <w:rPr>
          <w:color w:val="231F20"/>
        </w:rPr>
        <w:t>au</w:t>
      </w:r>
      <w:r>
        <w:rPr>
          <w:color w:val="231F20"/>
          <w:spacing w:val="-15"/>
        </w:rPr>
        <w:t> </w:t>
      </w:r>
      <w:r>
        <w:rPr>
          <w:color w:val="231F20"/>
        </w:rPr>
        <w:t>pouvoir,</w:t>
      </w:r>
      <w:r>
        <w:rPr>
          <w:color w:val="231F20"/>
          <w:spacing w:val="-15"/>
        </w:rPr>
        <w:t> </w:t>
      </w:r>
      <w:r>
        <w:rPr>
          <w:color w:val="231F20"/>
        </w:rPr>
        <w:t>à</w:t>
      </w:r>
      <w:r>
        <w:rPr>
          <w:color w:val="231F20"/>
          <w:spacing w:val="-15"/>
        </w:rPr>
        <w:t> </w:t>
      </w:r>
      <w:r>
        <w:rPr>
          <w:color w:val="231F20"/>
        </w:rPr>
        <w:t>commencer</w:t>
      </w:r>
      <w:r>
        <w:rPr>
          <w:color w:val="231F20"/>
          <w:spacing w:val="-15"/>
        </w:rPr>
        <w:t> </w:t>
      </w:r>
      <w:r>
        <w:rPr>
          <w:color w:val="231F20"/>
        </w:rPr>
        <w:t>par</w:t>
      </w:r>
      <w:r>
        <w:rPr>
          <w:color w:val="231F20"/>
          <w:spacing w:val="-15"/>
        </w:rPr>
        <w:t> </w:t>
      </w:r>
      <w:r>
        <w:rPr>
          <w:color w:val="231F20"/>
        </w:rPr>
        <w:t>les</w:t>
      </w:r>
      <w:r>
        <w:rPr>
          <w:color w:val="231F20"/>
          <w:spacing w:val="-15"/>
        </w:rPr>
        <w:t> </w:t>
      </w:r>
      <w:r>
        <w:rPr>
          <w:color w:val="231F20"/>
        </w:rPr>
        <w:t>principaux</w:t>
      </w:r>
      <w:r>
        <w:rPr>
          <w:color w:val="231F20"/>
          <w:spacing w:val="-15"/>
        </w:rPr>
        <w:t> </w:t>
      </w:r>
      <w:r>
        <w:rPr>
          <w:color w:val="231F20"/>
        </w:rPr>
        <w:t>cadres</w:t>
      </w:r>
      <w:r>
        <w:rPr>
          <w:color w:val="231F20"/>
          <w:spacing w:val="-15"/>
        </w:rPr>
        <w:t> </w:t>
      </w:r>
      <w:r>
        <w:rPr>
          <w:color w:val="231F20"/>
        </w:rPr>
        <w:t>du</w:t>
      </w:r>
      <w:r>
        <w:rPr>
          <w:color w:val="231F20"/>
          <w:spacing w:val="-15"/>
        </w:rPr>
        <w:t> </w:t>
      </w:r>
      <w:r>
        <w:rPr>
          <w:color w:val="231F20"/>
        </w:rPr>
        <w:t>Parti, de</w:t>
      </w:r>
      <w:r>
        <w:rPr>
          <w:color w:val="231F20"/>
          <w:spacing w:val="-2"/>
        </w:rPr>
        <w:t> </w:t>
      </w:r>
      <w:r>
        <w:rPr>
          <w:color w:val="231F20"/>
        </w:rPr>
        <w:t>chercher</w:t>
      </w:r>
      <w:r>
        <w:rPr>
          <w:color w:val="231F20"/>
          <w:spacing w:val="-2"/>
        </w:rPr>
        <w:t> </w:t>
      </w:r>
      <w:r>
        <w:rPr>
          <w:color w:val="231F20"/>
        </w:rPr>
        <w:t>à</w:t>
      </w:r>
      <w:r>
        <w:rPr>
          <w:color w:val="231F20"/>
          <w:spacing w:val="-2"/>
        </w:rPr>
        <w:t> </w:t>
      </w:r>
      <w:r>
        <w:rPr>
          <w:color w:val="231F20"/>
        </w:rPr>
        <w:t>se</w:t>
      </w:r>
      <w:r>
        <w:rPr>
          <w:color w:val="231F20"/>
          <w:spacing w:val="-4"/>
        </w:rPr>
        <w:t> </w:t>
      </w:r>
      <w:r>
        <w:rPr>
          <w:color w:val="231F20"/>
        </w:rPr>
        <w:t>maintenir</w:t>
      </w:r>
      <w:r>
        <w:rPr>
          <w:color w:val="231F20"/>
          <w:spacing w:val="-2"/>
        </w:rPr>
        <w:t> </w:t>
      </w:r>
      <w:r>
        <w:rPr>
          <w:color w:val="231F20"/>
        </w:rPr>
        <w:t>au</w:t>
      </w:r>
      <w:r>
        <w:rPr>
          <w:color w:val="231F20"/>
          <w:spacing w:val="-3"/>
        </w:rPr>
        <w:t> </w:t>
      </w:r>
      <w:r>
        <w:rPr>
          <w:color w:val="231F20"/>
        </w:rPr>
        <w:t>pouvoir</w:t>
      </w:r>
      <w:r>
        <w:rPr>
          <w:color w:val="231F20"/>
          <w:spacing w:val="-4"/>
        </w:rPr>
        <w:t> </w:t>
      </w:r>
      <w:r>
        <w:rPr>
          <w:color w:val="231F20"/>
        </w:rPr>
        <w:t>et</w:t>
      </w:r>
      <w:r>
        <w:rPr>
          <w:color w:val="231F20"/>
          <w:spacing w:val="-2"/>
        </w:rPr>
        <w:t> </w:t>
      </w:r>
      <w:r>
        <w:rPr>
          <w:color w:val="231F20"/>
        </w:rPr>
        <w:t>à</w:t>
      </w:r>
      <w:r>
        <w:rPr>
          <w:color w:val="231F20"/>
          <w:spacing w:val="-3"/>
        </w:rPr>
        <w:t> </w:t>
      </w:r>
      <w:r>
        <w:rPr>
          <w:color w:val="231F20"/>
        </w:rPr>
        <w:t>attribuer</w:t>
      </w:r>
      <w:r>
        <w:rPr>
          <w:color w:val="231F20"/>
          <w:spacing w:val="-4"/>
        </w:rPr>
        <w:t> </w:t>
      </w:r>
      <w:r>
        <w:rPr>
          <w:color w:val="231F20"/>
        </w:rPr>
        <w:t>la</w:t>
      </w:r>
      <w:r>
        <w:rPr>
          <w:color w:val="231F20"/>
          <w:spacing w:val="-2"/>
        </w:rPr>
        <w:t> </w:t>
      </w:r>
      <w:r>
        <w:rPr>
          <w:color w:val="231F20"/>
        </w:rPr>
        <w:t>fonction</w:t>
      </w:r>
      <w:r>
        <w:rPr>
          <w:color w:val="231F20"/>
          <w:spacing w:val="-2"/>
        </w:rPr>
        <w:t> </w:t>
      </w:r>
      <w:r>
        <w:rPr>
          <w:color w:val="231F20"/>
        </w:rPr>
        <w:t>de</w:t>
      </w:r>
      <w:r>
        <w:rPr>
          <w:color w:val="231F20"/>
          <w:spacing w:val="-4"/>
        </w:rPr>
        <w:t> </w:t>
      </w:r>
      <w:r>
        <w:rPr>
          <w:color w:val="231F20"/>
        </w:rPr>
        <w:t>vice- </w:t>
      </w:r>
      <w:r>
        <w:rPr>
          <w:color w:val="231F20"/>
          <w:spacing w:val="-2"/>
        </w:rPr>
        <w:t>président</w:t>
      </w:r>
      <w:r>
        <w:rPr>
          <w:color w:val="231F20"/>
          <w:spacing w:val="-13"/>
        </w:rPr>
        <w:t> </w:t>
      </w:r>
      <w:r>
        <w:rPr>
          <w:color w:val="231F20"/>
          <w:spacing w:val="-2"/>
        </w:rPr>
        <w:t>à</w:t>
      </w:r>
      <w:r>
        <w:rPr>
          <w:color w:val="231F20"/>
          <w:spacing w:val="-12"/>
        </w:rPr>
        <w:t> </w:t>
      </w:r>
      <w:r>
        <w:rPr>
          <w:color w:val="231F20"/>
          <w:spacing w:val="-2"/>
        </w:rPr>
        <w:t>son</w:t>
      </w:r>
      <w:r>
        <w:rPr>
          <w:color w:val="231F20"/>
          <w:spacing w:val="-12"/>
        </w:rPr>
        <w:t> </w:t>
      </w:r>
      <w:r>
        <w:rPr>
          <w:color w:val="231F20"/>
          <w:spacing w:val="-2"/>
        </w:rPr>
        <w:t>fils</w:t>
      </w:r>
      <w:r>
        <w:rPr>
          <w:color w:val="231F20"/>
          <w:spacing w:val="-11"/>
        </w:rPr>
        <w:t> </w:t>
      </w:r>
      <w:r>
        <w:rPr>
          <w:color w:val="231F20"/>
          <w:spacing w:val="-2"/>
        </w:rPr>
        <w:t>Karim</w:t>
      </w:r>
      <w:r>
        <w:rPr>
          <w:color w:val="231F20"/>
          <w:spacing w:val="-11"/>
        </w:rPr>
        <w:t> </w:t>
      </w:r>
      <w:r>
        <w:rPr>
          <w:color w:val="231F20"/>
          <w:spacing w:val="-2"/>
        </w:rPr>
        <w:t>qui</w:t>
      </w:r>
      <w:r>
        <w:rPr>
          <w:color w:val="231F20"/>
          <w:spacing w:val="-11"/>
        </w:rPr>
        <w:t> </w:t>
      </w:r>
      <w:r>
        <w:rPr>
          <w:color w:val="231F20"/>
          <w:spacing w:val="-2"/>
        </w:rPr>
        <w:t>lui</w:t>
      </w:r>
      <w:r>
        <w:rPr>
          <w:color w:val="231F20"/>
          <w:spacing w:val="-10"/>
        </w:rPr>
        <w:t> </w:t>
      </w:r>
      <w:r>
        <w:rPr>
          <w:color w:val="231F20"/>
          <w:spacing w:val="-2"/>
        </w:rPr>
        <w:t>succéderait</w:t>
      </w:r>
      <w:r>
        <w:rPr>
          <w:color w:val="231F20"/>
          <w:spacing w:val="-11"/>
        </w:rPr>
        <w:t> </w:t>
      </w:r>
      <w:r>
        <w:rPr>
          <w:color w:val="231F20"/>
          <w:spacing w:val="-2"/>
        </w:rPr>
        <w:t>automatiquement</w:t>
      </w:r>
      <w:r>
        <w:rPr>
          <w:color w:val="231F20"/>
          <w:spacing w:val="-13"/>
        </w:rPr>
        <w:t> </w:t>
      </w:r>
      <w:r>
        <w:rPr>
          <w:color w:val="231F20"/>
          <w:spacing w:val="-2"/>
        </w:rPr>
        <w:t>s’il</w:t>
      </w:r>
      <w:r>
        <w:rPr>
          <w:color w:val="231F20"/>
          <w:spacing w:val="-10"/>
        </w:rPr>
        <w:t> </w:t>
      </w:r>
      <w:r>
        <w:rPr>
          <w:color w:val="231F20"/>
          <w:spacing w:val="-2"/>
        </w:rPr>
        <w:t>venait</w:t>
      </w:r>
    </w:p>
    <w:p>
      <w:pPr>
        <w:spacing w:after="0"/>
        <w:sectPr>
          <w:pgSz w:w="8790" w:h="13610"/>
          <w:pgMar w:header="0" w:footer="802" w:top="1060" w:bottom="1000" w:left="880" w:right="880"/>
        </w:sectPr>
      </w:pPr>
    </w:p>
    <w:p>
      <w:pPr>
        <w:pStyle w:val="BodyText"/>
        <w:spacing w:before="66"/>
        <w:ind w:right="106"/>
      </w:pPr>
      <w:r>
        <w:rPr>
          <w:color w:val="231F20"/>
          <w:spacing w:val="-4"/>
        </w:rPr>
        <w:t>à</w:t>
      </w:r>
      <w:r>
        <w:rPr>
          <w:color w:val="231F20"/>
          <w:spacing w:val="-6"/>
        </w:rPr>
        <w:t> </w:t>
      </w:r>
      <w:r>
        <w:rPr>
          <w:color w:val="231F20"/>
          <w:spacing w:val="-4"/>
        </w:rPr>
        <w:t>quitter</w:t>
      </w:r>
      <w:r>
        <w:rPr>
          <w:color w:val="231F20"/>
          <w:spacing w:val="-9"/>
        </w:rPr>
        <w:t> </w:t>
      </w:r>
      <w:r>
        <w:rPr>
          <w:color w:val="231F20"/>
          <w:spacing w:val="-4"/>
        </w:rPr>
        <w:t>le</w:t>
      </w:r>
      <w:r>
        <w:rPr>
          <w:color w:val="231F20"/>
          <w:spacing w:val="-9"/>
        </w:rPr>
        <w:t> </w:t>
      </w:r>
      <w:r>
        <w:rPr>
          <w:color w:val="231F20"/>
          <w:spacing w:val="-4"/>
        </w:rPr>
        <w:t>pouvoir.</w:t>
      </w:r>
      <w:r>
        <w:rPr>
          <w:color w:val="231F20"/>
          <w:spacing w:val="-9"/>
        </w:rPr>
        <w:t> </w:t>
      </w:r>
      <w:r>
        <w:rPr>
          <w:color w:val="231F20"/>
          <w:spacing w:val="-4"/>
        </w:rPr>
        <w:t>Cette</w:t>
      </w:r>
      <w:r>
        <w:rPr>
          <w:color w:val="231F20"/>
          <w:spacing w:val="-9"/>
        </w:rPr>
        <w:t> </w:t>
      </w:r>
      <w:r>
        <w:rPr>
          <w:color w:val="231F20"/>
          <w:spacing w:val="-4"/>
        </w:rPr>
        <w:t>proposition</w:t>
      </w:r>
      <w:r>
        <w:rPr>
          <w:color w:val="231F20"/>
          <w:spacing w:val="-9"/>
        </w:rPr>
        <w:t> </w:t>
      </w:r>
      <w:r>
        <w:rPr>
          <w:color w:val="231F20"/>
          <w:spacing w:val="-4"/>
        </w:rPr>
        <w:t>provoque</w:t>
      </w:r>
      <w:r>
        <w:rPr>
          <w:color w:val="231F20"/>
          <w:spacing w:val="-6"/>
        </w:rPr>
        <w:t> </w:t>
      </w:r>
      <w:r>
        <w:rPr>
          <w:color w:val="231F20"/>
          <w:spacing w:val="-4"/>
        </w:rPr>
        <w:t>en</w:t>
      </w:r>
      <w:r>
        <w:rPr>
          <w:color w:val="231F20"/>
          <w:spacing w:val="-9"/>
        </w:rPr>
        <w:t> </w:t>
      </w:r>
      <w:r>
        <w:rPr>
          <w:color w:val="231F20"/>
          <w:spacing w:val="-4"/>
        </w:rPr>
        <w:t>juin</w:t>
      </w:r>
      <w:r>
        <w:rPr>
          <w:color w:val="231F20"/>
          <w:spacing w:val="-9"/>
        </w:rPr>
        <w:t> </w:t>
      </w:r>
      <w:r>
        <w:rPr>
          <w:color w:val="231F20"/>
          <w:spacing w:val="-4"/>
        </w:rPr>
        <w:t>2011,</w:t>
      </w:r>
      <w:r>
        <w:rPr>
          <w:color w:val="231F20"/>
          <w:spacing w:val="-5"/>
        </w:rPr>
        <w:t> </w:t>
      </w:r>
      <w:r>
        <w:rPr>
          <w:color w:val="231F20"/>
          <w:spacing w:val="-4"/>
        </w:rPr>
        <w:t>de</w:t>
      </w:r>
      <w:r>
        <w:rPr>
          <w:color w:val="231F20"/>
          <w:spacing w:val="-10"/>
        </w:rPr>
        <w:t> </w:t>
      </w:r>
      <w:r>
        <w:rPr>
          <w:color w:val="231F20"/>
          <w:spacing w:val="-4"/>
        </w:rPr>
        <w:t>violentes </w:t>
      </w:r>
      <w:r>
        <w:rPr>
          <w:color w:val="231F20"/>
        </w:rPr>
        <w:t>manifestations</w:t>
      </w:r>
      <w:r>
        <w:rPr>
          <w:color w:val="231F20"/>
          <w:spacing w:val="-7"/>
        </w:rPr>
        <w:t> </w:t>
      </w:r>
      <w:r>
        <w:rPr>
          <w:color w:val="231F20"/>
        </w:rPr>
        <w:t>à</w:t>
      </w:r>
      <w:r>
        <w:rPr>
          <w:color w:val="231F20"/>
          <w:spacing w:val="-10"/>
        </w:rPr>
        <w:t> </w:t>
      </w:r>
      <w:r>
        <w:rPr>
          <w:color w:val="231F20"/>
        </w:rPr>
        <w:t>Dakar.</w:t>
      </w:r>
      <w:r>
        <w:rPr>
          <w:color w:val="231F20"/>
          <w:spacing w:val="-7"/>
        </w:rPr>
        <w:t> </w:t>
      </w:r>
      <w:r>
        <w:rPr>
          <w:color w:val="231F20"/>
        </w:rPr>
        <w:t>Le</w:t>
      </w:r>
      <w:r>
        <w:rPr>
          <w:color w:val="231F20"/>
          <w:spacing w:val="-7"/>
        </w:rPr>
        <w:t> </w:t>
      </w:r>
      <w:r>
        <w:rPr>
          <w:color w:val="231F20"/>
        </w:rPr>
        <w:t>projet</w:t>
      </w:r>
      <w:r>
        <w:rPr>
          <w:color w:val="231F20"/>
          <w:spacing w:val="-8"/>
        </w:rPr>
        <w:t> </w:t>
      </w:r>
      <w:r>
        <w:rPr>
          <w:color w:val="231F20"/>
        </w:rPr>
        <w:t>est</w:t>
      </w:r>
      <w:r>
        <w:rPr>
          <w:color w:val="231F20"/>
          <w:spacing w:val="-7"/>
        </w:rPr>
        <w:t> </w:t>
      </w:r>
      <w:r>
        <w:rPr>
          <w:color w:val="231F20"/>
        </w:rPr>
        <w:t>finalement</w:t>
      </w:r>
      <w:r>
        <w:rPr>
          <w:color w:val="231F20"/>
          <w:spacing w:val="-8"/>
        </w:rPr>
        <w:t> </w:t>
      </w:r>
      <w:r>
        <w:rPr>
          <w:color w:val="231F20"/>
        </w:rPr>
        <w:t>abandonné</w:t>
      </w:r>
      <w:r>
        <w:rPr>
          <w:color w:val="231F20"/>
          <w:spacing w:val="-9"/>
        </w:rPr>
        <w:t> </w:t>
      </w:r>
      <w:r>
        <w:rPr>
          <w:color w:val="231F20"/>
        </w:rPr>
        <w:t>le</w:t>
      </w:r>
      <w:r>
        <w:rPr>
          <w:color w:val="231F20"/>
          <w:spacing w:val="-7"/>
        </w:rPr>
        <w:t> </w:t>
      </w:r>
      <w:r>
        <w:rPr>
          <w:color w:val="231F20"/>
        </w:rPr>
        <w:t>23</w:t>
      </w:r>
      <w:r>
        <w:rPr>
          <w:color w:val="231F20"/>
          <w:spacing w:val="-9"/>
        </w:rPr>
        <w:t> </w:t>
      </w:r>
      <w:r>
        <w:rPr>
          <w:color w:val="231F20"/>
        </w:rPr>
        <w:t>juin.</w:t>
      </w:r>
    </w:p>
    <w:p>
      <w:pPr>
        <w:pStyle w:val="BodyText"/>
        <w:spacing w:before="120"/>
        <w:ind w:right="104" w:firstLine="283"/>
      </w:pPr>
      <w:r>
        <w:rPr>
          <w:color w:val="231F20"/>
        </w:rPr>
        <w:t>Sous le régime de Wade, les magistrats se plaignent d’un usage politique de la justice</w:t>
      </w:r>
      <w:r>
        <w:rPr>
          <w:color w:val="231F20"/>
          <w:spacing w:val="-11"/>
        </w:rPr>
        <w:t> </w:t>
      </w:r>
      <w:r>
        <w:rPr>
          <w:color w:val="231F20"/>
        </w:rPr>
        <w:t>:</w:t>
      </w:r>
      <w:r>
        <w:rPr>
          <w:color w:val="231F20"/>
          <w:spacing w:val="-11"/>
        </w:rPr>
        <w:t> </w:t>
      </w:r>
      <w:r>
        <w:rPr>
          <w:color w:val="231F20"/>
        </w:rPr>
        <w:t>des journalistes sont emprisonnés, des manifestations réprimées, des gardes à vue et convocations fréquentes devant les tribunaux. Il lui est aussi reproché de favoriser sa confrérie religieuse,</w:t>
      </w:r>
      <w:r>
        <w:rPr>
          <w:color w:val="231F20"/>
          <w:spacing w:val="-13"/>
        </w:rPr>
        <w:t> </w:t>
      </w:r>
      <w:r>
        <w:rPr>
          <w:color w:val="231F20"/>
        </w:rPr>
        <w:t>celle</w:t>
      </w:r>
      <w:r>
        <w:rPr>
          <w:color w:val="231F20"/>
          <w:spacing w:val="-13"/>
        </w:rPr>
        <w:t> </w:t>
      </w:r>
      <w:r>
        <w:rPr>
          <w:color w:val="231F20"/>
        </w:rPr>
        <w:t>des</w:t>
      </w:r>
      <w:r>
        <w:rPr>
          <w:color w:val="231F20"/>
          <w:spacing w:val="-15"/>
        </w:rPr>
        <w:t> </w:t>
      </w:r>
      <w:r>
        <w:rPr>
          <w:color w:val="231F20"/>
        </w:rPr>
        <w:t>mourides</w:t>
      </w:r>
      <w:r>
        <w:rPr>
          <w:color w:val="231F20"/>
          <w:spacing w:val="-13"/>
        </w:rPr>
        <w:t> </w:t>
      </w:r>
      <w:r>
        <w:rPr>
          <w:color w:val="231F20"/>
        </w:rPr>
        <w:t>au</w:t>
      </w:r>
      <w:r>
        <w:rPr>
          <w:color w:val="231F20"/>
          <w:spacing w:val="-13"/>
        </w:rPr>
        <w:t> </w:t>
      </w:r>
      <w:r>
        <w:rPr>
          <w:color w:val="231F20"/>
        </w:rPr>
        <w:t>détriment</w:t>
      </w:r>
      <w:r>
        <w:rPr>
          <w:color w:val="231F20"/>
          <w:spacing w:val="-15"/>
        </w:rPr>
        <w:t> </w:t>
      </w:r>
      <w:r>
        <w:rPr>
          <w:color w:val="231F20"/>
        </w:rPr>
        <w:t>d’une</w:t>
      </w:r>
      <w:r>
        <w:rPr>
          <w:color w:val="231F20"/>
          <w:spacing w:val="-13"/>
        </w:rPr>
        <w:t> </w:t>
      </w:r>
      <w:r>
        <w:rPr>
          <w:color w:val="231F20"/>
        </w:rPr>
        <w:t>stabilité</w:t>
      </w:r>
      <w:r>
        <w:rPr>
          <w:color w:val="231F20"/>
          <w:spacing w:val="-13"/>
        </w:rPr>
        <w:t> </w:t>
      </w:r>
      <w:r>
        <w:rPr>
          <w:color w:val="231F20"/>
        </w:rPr>
        <w:t>religieuse</w:t>
      </w:r>
      <w:r>
        <w:rPr>
          <w:color w:val="231F20"/>
          <w:spacing w:val="-13"/>
        </w:rPr>
        <w:t> </w:t>
      </w:r>
      <w:r>
        <w:rPr>
          <w:color w:val="231F20"/>
        </w:rPr>
        <w:t>qui </w:t>
      </w:r>
      <w:r>
        <w:rPr>
          <w:color w:val="231F20"/>
          <w:spacing w:val="-4"/>
        </w:rPr>
        <w:t>faisait</w:t>
      </w:r>
      <w:r>
        <w:rPr>
          <w:color w:val="231F20"/>
          <w:spacing w:val="-11"/>
        </w:rPr>
        <w:t> </w:t>
      </w:r>
      <w:r>
        <w:rPr>
          <w:color w:val="231F20"/>
          <w:spacing w:val="-4"/>
        </w:rPr>
        <w:t>la</w:t>
      </w:r>
      <w:r>
        <w:rPr>
          <w:color w:val="231F20"/>
          <w:spacing w:val="-11"/>
        </w:rPr>
        <w:t> </w:t>
      </w:r>
      <w:r>
        <w:rPr>
          <w:color w:val="231F20"/>
          <w:spacing w:val="-4"/>
        </w:rPr>
        <w:t>réputation</w:t>
      </w:r>
      <w:r>
        <w:rPr>
          <w:color w:val="231F20"/>
          <w:spacing w:val="-11"/>
        </w:rPr>
        <w:t> </w:t>
      </w:r>
      <w:r>
        <w:rPr>
          <w:color w:val="231F20"/>
          <w:spacing w:val="-4"/>
        </w:rPr>
        <w:t>du</w:t>
      </w:r>
      <w:r>
        <w:rPr>
          <w:color w:val="231F20"/>
          <w:spacing w:val="-11"/>
        </w:rPr>
        <w:t> </w:t>
      </w:r>
      <w:r>
        <w:rPr>
          <w:color w:val="231F20"/>
          <w:spacing w:val="-4"/>
        </w:rPr>
        <w:t>Sénégal</w:t>
      </w:r>
      <w:r>
        <w:rPr>
          <w:color w:val="231F20"/>
          <w:spacing w:val="-11"/>
        </w:rPr>
        <w:t> </w:t>
      </w:r>
      <w:r>
        <w:rPr>
          <w:color w:val="231F20"/>
          <w:spacing w:val="-4"/>
        </w:rPr>
        <w:t>ainsi</w:t>
      </w:r>
      <w:r>
        <w:rPr>
          <w:color w:val="231F20"/>
          <w:spacing w:val="-11"/>
        </w:rPr>
        <w:t> </w:t>
      </w:r>
      <w:r>
        <w:rPr>
          <w:color w:val="231F20"/>
          <w:spacing w:val="-4"/>
        </w:rPr>
        <w:t>que</w:t>
      </w:r>
      <w:r>
        <w:rPr>
          <w:color w:val="231F20"/>
          <w:spacing w:val="-11"/>
        </w:rPr>
        <w:t> </w:t>
      </w:r>
      <w:r>
        <w:rPr>
          <w:color w:val="231F20"/>
          <w:spacing w:val="-4"/>
        </w:rPr>
        <w:t>sa</w:t>
      </w:r>
      <w:r>
        <w:rPr>
          <w:color w:val="231F20"/>
          <w:spacing w:val="-11"/>
        </w:rPr>
        <w:t> </w:t>
      </w:r>
      <w:r>
        <w:rPr>
          <w:color w:val="231F20"/>
          <w:spacing w:val="-4"/>
        </w:rPr>
        <w:t>passion</w:t>
      </w:r>
      <w:r>
        <w:rPr>
          <w:color w:val="231F20"/>
          <w:spacing w:val="-11"/>
        </w:rPr>
        <w:t> </w:t>
      </w:r>
      <w:r>
        <w:rPr>
          <w:color w:val="231F20"/>
          <w:spacing w:val="-4"/>
        </w:rPr>
        <w:t>des</w:t>
      </w:r>
      <w:r>
        <w:rPr>
          <w:color w:val="231F20"/>
          <w:spacing w:val="-11"/>
        </w:rPr>
        <w:t> </w:t>
      </w:r>
      <w:r>
        <w:rPr>
          <w:color w:val="231F20"/>
          <w:spacing w:val="-4"/>
        </w:rPr>
        <w:t>«</w:t>
      </w:r>
      <w:r>
        <w:rPr>
          <w:color w:val="231F20"/>
          <w:spacing w:val="-11"/>
        </w:rPr>
        <w:t> </w:t>
      </w:r>
      <w:r>
        <w:rPr>
          <w:color w:val="231F20"/>
          <w:spacing w:val="-4"/>
        </w:rPr>
        <w:t>Grands</w:t>
      </w:r>
      <w:r>
        <w:rPr>
          <w:color w:val="231F20"/>
          <w:spacing w:val="-11"/>
        </w:rPr>
        <w:t> </w:t>
      </w:r>
      <w:r>
        <w:rPr>
          <w:color w:val="231F20"/>
          <w:spacing w:val="-4"/>
        </w:rPr>
        <w:t>Travaux. </w:t>
      </w:r>
      <w:r>
        <w:rPr>
          <w:color w:val="231F20"/>
        </w:rPr>
        <w:t>Le</w:t>
      </w:r>
      <w:r>
        <w:rPr>
          <w:color w:val="231F20"/>
          <w:spacing w:val="-15"/>
        </w:rPr>
        <w:t> </w:t>
      </w:r>
      <w:r>
        <w:rPr>
          <w:color w:val="231F20"/>
        </w:rPr>
        <w:t>monument</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renaissance</w:t>
      </w:r>
      <w:r>
        <w:rPr>
          <w:color w:val="231F20"/>
          <w:spacing w:val="-15"/>
        </w:rPr>
        <w:t> </w:t>
      </w:r>
      <w:r>
        <w:rPr>
          <w:color w:val="231F20"/>
        </w:rPr>
        <w:t>africaine,</w:t>
      </w:r>
      <w:r>
        <w:rPr>
          <w:color w:val="231F20"/>
          <w:spacing w:val="-15"/>
        </w:rPr>
        <w:t> </w:t>
      </w:r>
      <w:r>
        <w:rPr>
          <w:color w:val="231F20"/>
        </w:rPr>
        <w:t>inauguré</w:t>
      </w:r>
      <w:r>
        <w:rPr>
          <w:color w:val="231F20"/>
          <w:spacing w:val="-15"/>
        </w:rPr>
        <w:t> </w:t>
      </w:r>
      <w:r>
        <w:rPr>
          <w:color w:val="231F20"/>
        </w:rPr>
        <w:t>en</w:t>
      </w:r>
      <w:r>
        <w:rPr>
          <w:color w:val="231F20"/>
          <w:spacing w:val="-15"/>
        </w:rPr>
        <w:t> </w:t>
      </w:r>
      <w:r>
        <w:rPr>
          <w:color w:val="231F20"/>
        </w:rPr>
        <w:t>avril</w:t>
      </w:r>
      <w:r>
        <w:rPr>
          <w:color w:val="231F20"/>
          <w:spacing w:val="-15"/>
        </w:rPr>
        <w:t> </w:t>
      </w:r>
      <w:r>
        <w:rPr>
          <w:color w:val="231F20"/>
        </w:rPr>
        <w:t>2010,</w:t>
      </w:r>
      <w:r>
        <w:rPr>
          <w:color w:val="231F20"/>
          <w:spacing w:val="-15"/>
        </w:rPr>
        <w:t> </w:t>
      </w:r>
      <w:r>
        <w:rPr>
          <w:color w:val="231F20"/>
        </w:rPr>
        <w:t>ignoré </w:t>
      </w:r>
      <w:r>
        <w:rPr>
          <w:color w:val="231F20"/>
          <w:spacing w:val="-4"/>
        </w:rPr>
        <w:t>par</w:t>
      </w:r>
      <w:r>
        <w:rPr>
          <w:color w:val="231F20"/>
          <w:spacing w:val="-11"/>
        </w:rPr>
        <w:t> </w:t>
      </w:r>
      <w:r>
        <w:rPr>
          <w:color w:val="231F20"/>
          <w:spacing w:val="-4"/>
        </w:rPr>
        <w:t>les</w:t>
      </w:r>
      <w:r>
        <w:rPr>
          <w:color w:val="231F20"/>
          <w:spacing w:val="-11"/>
        </w:rPr>
        <w:t> </w:t>
      </w:r>
      <w:r>
        <w:rPr>
          <w:color w:val="231F20"/>
          <w:spacing w:val="-4"/>
        </w:rPr>
        <w:t>touristes</w:t>
      </w:r>
      <w:r>
        <w:rPr>
          <w:color w:val="231F20"/>
          <w:spacing w:val="-11"/>
        </w:rPr>
        <w:t> </w:t>
      </w:r>
      <w:r>
        <w:rPr>
          <w:color w:val="231F20"/>
          <w:spacing w:val="-4"/>
        </w:rPr>
        <w:t>est</w:t>
      </w:r>
      <w:r>
        <w:rPr>
          <w:color w:val="231F20"/>
          <w:spacing w:val="-11"/>
        </w:rPr>
        <w:t> </w:t>
      </w:r>
      <w:r>
        <w:rPr>
          <w:color w:val="231F20"/>
          <w:spacing w:val="-4"/>
        </w:rPr>
        <w:t>critiqué</w:t>
      </w:r>
      <w:r>
        <w:rPr>
          <w:color w:val="231F20"/>
          <w:spacing w:val="-11"/>
        </w:rPr>
        <w:t> </w:t>
      </w:r>
      <w:r>
        <w:rPr>
          <w:color w:val="231F20"/>
          <w:spacing w:val="-4"/>
        </w:rPr>
        <w:t>pour</w:t>
      </w:r>
      <w:r>
        <w:rPr>
          <w:color w:val="231F20"/>
          <w:spacing w:val="-11"/>
        </w:rPr>
        <w:t> </w:t>
      </w:r>
      <w:r>
        <w:rPr>
          <w:color w:val="231F20"/>
          <w:spacing w:val="-4"/>
        </w:rPr>
        <w:t>son</w:t>
      </w:r>
      <w:r>
        <w:rPr>
          <w:color w:val="231F20"/>
          <w:spacing w:val="-11"/>
        </w:rPr>
        <w:t> </w:t>
      </w:r>
      <w:r>
        <w:rPr>
          <w:color w:val="231F20"/>
          <w:spacing w:val="-4"/>
        </w:rPr>
        <w:t>coût</w:t>
      </w:r>
      <w:r>
        <w:rPr>
          <w:color w:val="231F20"/>
          <w:spacing w:val="-11"/>
        </w:rPr>
        <w:t> </w:t>
      </w:r>
      <w:r>
        <w:rPr>
          <w:color w:val="231F20"/>
          <w:spacing w:val="-4"/>
        </w:rPr>
        <w:t>pharaonique</w:t>
      </w:r>
      <w:r>
        <w:rPr>
          <w:color w:val="231F20"/>
          <w:spacing w:val="-4"/>
          <w:vertAlign w:val="superscript"/>
        </w:rPr>
        <w:t>86</w:t>
      </w:r>
      <w:r>
        <w:rPr>
          <w:color w:val="231F20"/>
          <w:spacing w:val="-11"/>
          <w:vertAlign w:val="baseline"/>
        </w:rPr>
        <w:t> </w:t>
      </w:r>
      <w:r>
        <w:rPr>
          <w:color w:val="231F20"/>
          <w:spacing w:val="-4"/>
          <w:vertAlign w:val="baseline"/>
        </w:rPr>
        <w:t>:</w:t>
      </w:r>
      <w:r>
        <w:rPr>
          <w:color w:val="231F20"/>
          <w:spacing w:val="-11"/>
          <w:vertAlign w:val="baseline"/>
        </w:rPr>
        <w:t> </w:t>
      </w:r>
      <w:r>
        <w:rPr>
          <w:color w:val="231F20"/>
          <w:spacing w:val="-4"/>
          <w:vertAlign w:val="baseline"/>
        </w:rPr>
        <w:t>son</w:t>
      </w:r>
      <w:r>
        <w:rPr>
          <w:color w:val="231F20"/>
          <w:spacing w:val="-11"/>
          <w:vertAlign w:val="baseline"/>
        </w:rPr>
        <w:t> </w:t>
      </w:r>
      <w:r>
        <w:rPr>
          <w:color w:val="231F20"/>
          <w:spacing w:val="-4"/>
          <w:vertAlign w:val="baseline"/>
        </w:rPr>
        <w:t>financement </w:t>
      </w:r>
      <w:r>
        <w:rPr>
          <w:color w:val="231F20"/>
          <w:vertAlign w:val="baseline"/>
        </w:rPr>
        <w:t>opaque,</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participation</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régime</w:t>
      </w:r>
      <w:r>
        <w:rPr>
          <w:color w:val="231F20"/>
          <w:spacing w:val="-15"/>
          <w:vertAlign w:val="baseline"/>
        </w:rPr>
        <w:t> </w:t>
      </w:r>
      <w:r>
        <w:rPr>
          <w:color w:val="231F20"/>
          <w:vertAlign w:val="baseline"/>
        </w:rPr>
        <w:t>controversé</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Corée</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nord,</w:t>
      </w:r>
      <w:r>
        <w:rPr>
          <w:color w:val="231F20"/>
          <w:spacing w:val="-13"/>
          <w:vertAlign w:val="baseline"/>
        </w:rPr>
        <w:t> </w:t>
      </w:r>
      <w:r>
        <w:rPr>
          <w:color w:val="231F20"/>
          <w:vertAlign w:val="baseline"/>
        </w:rPr>
        <w:t>sont dénoncés par la classe politique.</w:t>
      </w:r>
    </w:p>
    <w:p>
      <w:pPr>
        <w:pStyle w:val="BodyText"/>
        <w:spacing w:before="121"/>
        <w:ind w:right="105" w:firstLine="283"/>
      </w:pPr>
      <w:r>
        <w:rPr>
          <w:color w:val="231F20"/>
        </w:rPr>
        <w:t>En lice pour un troisième mandat, après une modification de la Constitution vivement critiquée par l’opposition, il admet sa défaite le 25</w:t>
      </w:r>
      <w:r>
        <w:rPr>
          <w:color w:val="231F20"/>
          <w:spacing w:val="-4"/>
        </w:rPr>
        <w:t> </w:t>
      </w:r>
      <w:r>
        <w:rPr>
          <w:color w:val="231F20"/>
        </w:rPr>
        <w:t>mars</w:t>
      </w:r>
      <w:r>
        <w:rPr>
          <w:color w:val="231F20"/>
          <w:spacing w:val="-6"/>
        </w:rPr>
        <w:t> </w:t>
      </w:r>
      <w:r>
        <w:rPr>
          <w:color w:val="231F20"/>
        </w:rPr>
        <w:t>2012</w:t>
      </w:r>
      <w:r>
        <w:rPr>
          <w:color w:val="231F20"/>
          <w:spacing w:val="-4"/>
        </w:rPr>
        <w:t> </w:t>
      </w:r>
      <w:r>
        <w:rPr>
          <w:color w:val="231F20"/>
        </w:rPr>
        <w:t>face</w:t>
      </w:r>
      <w:r>
        <w:rPr>
          <w:color w:val="231F20"/>
          <w:spacing w:val="-4"/>
        </w:rPr>
        <w:t> </w:t>
      </w:r>
      <w:r>
        <w:rPr>
          <w:color w:val="231F20"/>
        </w:rPr>
        <w:t>à</w:t>
      </w:r>
      <w:r>
        <w:rPr>
          <w:color w:val="231F20"/>
          <w:spacing w:val="-4"/>
        </w:rPr>
        <w:t> </w:t>
      </w:r>
      <w:r>
        <w:rPr>
          <w:color w:val="231F20"/>
        </w:rPr>
        <w:t>son</w:t>
      </w:r>
      <w:r>
        <w:rPr>
          <w:color w:val="231F20"/>
          <w:spacing w:val="-4"/>
        </w:rPr>
        <w:t> </w:t>
      </w:r>
      <w:r>
        <w:rPr>
          <w:color w:val="231F20"/>
        </w:rPr>
        <w:t>ancien</w:t>
      </w:r>
      <w:r>
        <w:rPr>
          <w:color w:val="231F20"/>
          <w:spacing w:val="-6"/>
        </w:rPr>
        <w:t> </w:t>
      </w:r>
      <w:r>
        <w:rPr>
          <w:color w:val="231F20"/>
        </w:rPr>
        <w:t>Premier</w:t>
      </w:r>
      <w:r>
        <w:rPr>
          <w:color w:val="231F20"/>
          <w:spacing w:val="-4"/>
        </w:rPr>
        <w:t> </w:t>
      </w:r>
      <w:r>
        <w:rPr>
          <w:color w:val="231F20"/>
        </w:rPr>
        <w:t>ministre,</w:t>
      </w:r>
      <w:r>
        <w:rPr>
          <w:color w:val="231F20"/>
          <w:spacing w:val="-4"/>
        </w:rPr>
        <w:t> </w:t>
      </w:r>
      <w:r>
        <w:rPr>
          <w:color w:val="231F20"/>
        </w:rPr>
        <w:t>Macky</w:t>
      </w:r>
      <w:r>
        <w:rPr>
          <w:color w:val="231F20"/>
          <w:spacing w:val="-4"/>
        </w:rPr>
        <w:t> </w:t>
      </w:r>
      <w:r>
        <w:rPr>
          <w:color w:val="231F20"/>
        </w:rPr>
        <w:t>Sall.</w:t>
      </w:r>
    </w:p>
    <w:p>
      <w:pPr>
        <w:pStyle w:val="BodyText"/>
        <w:spacing w:before="120"/>
        <w:ind w:right="109" w:firstLine="283"/>
      </w:pPr>
      <w:r>
        <w:rPr>
          <w:color w:val="231F20"/>
          <w:spacing w:val="-4"/>
        </w:rPr>
        <w:t>Wade</w:t>
      </w:r>
      <w:r>
        <w:rPr>
          <w:color w:val="231F20"/>
          <w:spacing w:val="-11"/>
        </w:rPr>
        <w:t> </w:t>
      </w:r>
      <w:r>
        <w:rPr>
          <w:color w:val="231F20"/>
          <w:spacing w:val="-4"/>
        </w:rPr>
        <w:t>félicite</w:t>
      </w:r>
      <w:r>
        <w:rPr>
          <w:color w:val="231F20"/>
          <w:spacing w:val="-11"/>
        </w:rPr>
        <w:t> </w:t>
      </w:r>
      <w:r>
        <w:rPr>
          <w:color w:val="231F20"/>
          <w:spacing w:val="-4"/>
        </w:rPr>
        <w:t>le</w:t>
      </w:r>
      <w:r>
        <w:rPr>
          <w:color w:val="231F20"/>
          <w:spacing w:val="-11"/>
        </w:rPr>
        <w:t> </w:t>
      </w:r>
      <w:r>
        <w:rPr>
          <w:color w:val="231F20"/>
          <w:spacing w:val="-4"/>
        </w:rPr>
        <w:t>vainqueur</w:t>
      </w:r>
      <w:r>
        <w:rPr>
          <w:color w:val="231F20"/>
          <w:spacing w:val="-11"/>
        </w:rPr>
        <w:t> </w:t>
      </w:r>
      <w:r>
        <w:rPr>
          <w:color w:val="231F20"/>
          <w:spacing w:val="-4"/>
        </w:rPr>
        <w:t>au</w:t>
      </w:r>
      <w:r>
        <w:rPr>
          <w:color w:val="231F20"/>
          <w:spacing w:val="-11"/>
        </w:rPr>
        <w:t> </w:t>
      </w:r>
      <w:r>
        <w:rPr>
          <w:color w:val="231F20"/>
          <w:spacing w:val="-4"/>
        </w:rPr>
        <w:t>soir</w:t>
      </w:r>
      <w:r>
        <w:rPr>
          <w:color w:val="231F20"/>
          <w:spacing w:val="-11"/>
        </w:rPr>
        <w:t> </w:t>
      </w:r>
      <w:r>
        <w:rPr>
          <w:color w:val="231F20"/>
          <w:spacing w:val="-4"/>
        </w:rPr>
        <w:t>du</w:t>
      </w:r>
      <w:r>
        <w:rPr>
          <w:color w:val="231F20"/>
          <w:spacing w:val="-11"/>
        </w:rPr>
        <w:t> </w:t>
      </w:r>
      <w:r>
        <w:rPr>
          <w:color w:val="231F20"/>
          <w:spacing w:val="-4"/>
        </w:rPr>
        <w:t>second</w:t>
      </w:r>
      <w:r>
        <w:rPr>
          <w:color w:val="231F20"/>
          <w:spacing w:val="-11"/>
        </w:rPr>
        <w:t> </w:t>
      </w:r>
      <w:r>
        <w:rPr>
          <w:color w:val="231F20"/>
          <w:spacing w:val="-4"/>
        </w:rPr>
        <w:t>tour</w:t>
      </w:r>
      <w:r>
        <w:rPr>
          <w:color w:val="231F20"/>
          <w:spacing w:val="-11"/>
        </w:rPr>
        <w:t> </w:t>
      </w:r>
      <w:r>
        <w:rPr>
          <w:color w:val="231F20"/>
          <w:spacing w:val="-4"/>
        </w:rPr>
        <w:t>et</w:t>
      </w:r>
      <w:r>
        <w:rPr>
          <w:color w:val="231F20"/>
          <w:spacing w:val="-11"/>
        </w:rPr>
        <w:t> </w:t>
      </w:r>
      <w:r>
        <w:rPr>
          <w:color w:val="231F20"/>
          <w:spacing w:val="-4"/>
        </w:rPr>
        <w:t>quitte</w:t>
      </w:r>
      <w:r>
        <w:rPr>
          <w:color w:val="231F20"/>
          <w:spacing w:val="-11"/>
        </w:rPr>
        <w:t> </w:t>
      </w:r>
      <w:r>
        <w:rPr>
          <w:color w:val="231F20"/>
          <w:spacing w:val="-4"/>
        </w:rPr>
        <w:t>ses</w:t>
      </w:r>
      <w:r>
        <w:rPr>
          <w:color w:val="231F20"/>
          <w:spacing w:val="-11"/>
        </w:rPr>
        <w:t> </w:t>
      </w:r>
      <w:r>
        <w:rPr>
          <w:color w:val="231F20"/>
          <w:spacing w:val="-4"/>
        </w:rPr>
        <w:t>fonctions </w:t>
      </w:r>
      <w:r>
        <w:rPr>
          <w:color w:val="231F20"/>
        </w:rPr>
        <w:t>présidentielles le 2 avril 2012.</w:t>
      </w:r>
    </w:p>
    <w:p>
      <w:pPr>
        <w:pStyle w:val="BodyText"/>
        <w:spacing w:before="120"/>
        <w:ind w:right="106" w:firstLine="283"/>
      </w:pPr>
      <w:r>
        <w:rPr>
          <w:color w:val="231F20"/>
        </w:rPr>
        <w:t>Macky Sall, le nouveau président de la République met en place sa vision</w:t>
      </w:r>
      <w:r>
        <w:rPr>
          <w:color w:val="231F20"/>
          <w:spacing w:val="-8"/>
        </w:rPr>
        <w:t> </w:t>
      </w:r>
      <w:r>
        <w:rPr>
          <w:color w:val="231F20"/>
        </w:rPr>
        <w:t>du</w:t>
      </w:r>
      <w:r>
        <w:rPr>
          <w:color w:val="231F20"/>
          <w:spacing w:val="-8"/>
        </w:rPr>
        <w:t> </w:t>
      </w:r>
      <w:r>
        <w:rPr>
          <w:color w:val="231F20"/>
        </w:rPr>
        <w:t>«</w:t>
      </w:r>
      <w:r>
        <w:rPr>
          <w:color w:val="231F20"/>
          <w:spacing w:val="-15"/>
        </w:rPr>
        <w:t> </w:t>
      </w:r>
      <w:r>
        <w:rPr>
          <w:color w:val="231F20"/>
        </w:rPr>
        <w:t>Sénégal</w:t>
      </w:r>
      <w:r>
        <w:rPr>
          <w:color w:val="231F20"/>
          <w:spacing w:val="-6"/>
        </w:rPr>
        <w:t> </w:t>
      </w:r>
      <w:r>
        <w:rPr>
          <w:color w:val="231F20"/>
        </w:rPr>
        <w:t>émergent</w:t>
      </w:r>
      <w:r>
        <w:rPr>
          <w:color w:val="231F20"/>
          <w:spacing w:val="-15"/>
        </w:rPr>
        <w:t> </w:t>
      </w:r>
      <w:r>
        <w:rPr>
          <w:color w:val="231F20"/>
        </w:rPr>
        <w:t>»</w:t>
      </w:r>
      <w:r>
        <w:rPr>
          <w:color w:val="231F20"/>
          <w:spacing w:val="-8"/>
        </w:rPr>
        <w:t> </w:t>
      </w:r>
      <w:r>
        <w:rPr>
          <w:color w:val="231F20"/>
        </w:rPr>
        <w:t>sur</w:t>
      </w:r>
      <w:r>
        <w:rPr>
          <w:color w:val="231F20"/>
          <w:spacing w:val="-6"/>
        </w:rPr>
        <w:t> </w:t>
      </w:r>
      <w:r>
        <w:rPr>
          <w:color w:val="231F20"/>
        </w:rPr>
        <w:t>30</w:t>
      </w:r>
      <w:r>
        <w:rPr>
          <w:color w:val="231F20"/>
          <w:spacing w:val="-6"/>
        </w:rPr>
        <w:t> </w:t>
      </w:r>
      <w:r>
        <w:rPr>
          <w:color w:val="231F20"/>
        </w:rPr>
        <w:t>ans.</w:t>
      </w:r>
      <w:r>
        <w:rPr>
          <w:color w:val="231F20"/>
          <w:spacing w:val="-6"/>
        </w:rPr>
        <w:t> </w:t>
      </w:r>
      <w:r>
        <w:rPr>
          <w:color w:val="231F20"/>
        </w:rPr>
        <w:t>Selon</w:t>
      </w:r>
      <w:r>
        <w:rPr>
          <w:color w:val="231F20"/>
          <w:spacing w:val="-7"/>
        </w:rPr>
        <w:t> </w:t>
      </w:r>
      <w:r>
        <w:rPr>
          <w:color w:val="231F20"/>
        </w:rPr>
        <w:t>cette</w:t>
      </w:r>
      <w:r>
        <w:rPr>
          <w:color w:val="231F20"/>
          <w:spacing w:val="-6"/>
        </w:rPr>
        <w:t> </w:t>
      </w:r>
      <w:r>
        <w:rPr>
          <w:color w:val="231F20"/>
        </w:rPr>
        <w:t>vision,</w:t>
      </w:r>
      <w:r>
        <w:rPr>
          <w:color w:val="231F20"/>
          <w:spacing w:val="-7"/>
        </w:rPr>
        <w:t> </w:t>
      </w:r>
      <w:r>
        <w:rPr>
          <w:color w:val="231F20"/>
        </w:rPr>
        <w:t>plusieurs </w:t>
      </w:r>
      <w:r>
        <w:rPr>
          <w:color w:val="231F20"/>
          <w:spacing w:val="-2"/>
        </w:rPr>
        <w:t>projets</w:t>
      </w:r>
      <w:r>
        <w:rPr>
          <w:color w:val="231F20"/>
          <w:spacing w:val="-10"/>
        </w:rPr>
        <w:t> </w:t>
      </w:r>
      <w:r>
        <w:rPr>
          <w:color w:val="231F20"/>
          <w:spacing w:val="-2"/>
        </w:rPr>
        <w:t>comme</w:t>
      </w:r>
      <w:r>
        <w:rPr>
          <w:color w:val="231F20"/>
          <w:spacing w:val="-12"/>
        </w:rPr>
        <w:t> </w:t>
      </w:r>
      <w:r>
        <w:rPr>
          <w:color w:val="231F20"/>
          <w:spacing w:val="-2"/>
        </w:rPr>
        <w:t>la</w:t>
      </w:r>
      <w:r>
        <w:rPr>
          <w:color w:val="231F20"/>
          <w:spacing w:val="-10"/>
        </w:rPr>
        <w:t> </w:t>
      </w:r>
      <w:r>
        <w:rPr>
          <w:color w:val="231F20"/>
          <w:spacing w:val="-2"/>
        </w:rPr>
        <w:t>relance</w:t>
      </w:r>
      <w:r>
        <w:rPr>
          <w:color w:val="231F20"/>
          <w:spacing w:val="-10"/>
        </w:rPr>
        <w:t> </w:t>
      </w:r>
      <w:r>
        <w:rPr>
          <w:color w:val="231F20"/>
          <w:spacing w:val="-2"/>
        </w:rPr>
        <w:t>de</w:t>
      </w:r>
      <w:r>
        <w:rPr>
          <w:color w:val="231F20"/>
          <w:spacing w:val="-10"/>
        </w:rPr>
        <w:t> </w:t>
      </w:r>
      <w:r>
        <w:rPr>
          <w:color w:val="231F20"/>
          <w:spacing w:val="-2"/>
        </w:rPr>
        <w:t>l’exploitation</w:t>
      </w:r>
      <w:r>
        <w:rPr>
          <w:color w:val="231F20"/>
          <w:spacing w:val="-9"/>
        </w:rPr>
        <w:t> </w:t>
      </w:r>
      <w:r>
        <w:rPr>
          <w:color w:val="231F20"/>
          <w:spacing w:val="-2"/>
        </w:rPr>
        <w:t>des</w:t>
      </w:r>
      <w:r>
        <w:rPr>
          <w:color w:val="231F20"/>
          <w:spacing w:val="-9"/>
        </w:rPr>
        <w:t> </w:t>
      </w:r>
      <w:r>
        <w:rPr>
          <w:color w:val="231F20"/>
          <w:spacing w:val="-2"/>
        </w:rPr>
        <w:t>mines</w:t>
      </w:r>
      <w:r>
        <w:rPr>
          <w:color w:val="231F20"/>
          <w:spacing w:val="-9"/>
        </w:rPr>
        <w:t> </w:t>
      </w:r>
      <w:r>
        <w:rPr>
          <w:color w:val="231F20"/>
          <w:spacing w:val="-2"/>
        </w:rPr>
        <w:t>de</w:t>
      </w:r>
      <w:r>
        <w:rPr>
          <w:color w:val="231F20"/>
          <w:spacing w:val="-9"/>
        </w:rPr>
        <w:t> </w:t>
      </w:r>
      <w:r>
        <w:rPr>
          <w:color w:val="231F20"/>
          <w:spacing w:val="-2"/>
        </w:rPr>
        <w:t>fer</w:t>
      </w:r>
      <w:r>
        <w:rPr>
          <w:color w:val="231F20"/>
          <w:spacing w:val="-9"/>
        </w:rPr>
        <w:t> </w:t>
      </w:r>
      <w:r>
        <w:rPr>
          <w:color w:val="231F20"/>
          <w:spacing w:val="-2"/>
        </w:rPr>
        <w:t>ou</w:t>
      </w:r>
      <w:r>
        <w:rPr>
          <w:color w:val="231F20"/>
          <w:spacing w:val="-11"/>
        </w:rPr>
        <w:t> </w:t>
      </w:r>
      <w:r>
        <w:rPr>
          <w:color w:val="231F20"/>
          <w:spacing w:val="-2"/>
        </w:rPr>
        <w:t>du</w:t>
      </w:r>
      <w:r>
        <w:rPr>
          <w:color w:val="231F20"/>
          <w:spacing w:val="-10"/>
        </w:rPr>
        <w:t> </w:t>
      </w:r>
      <w:r>
        <w:rPr>
          <w:color w:val="231F20"/>
          <w:spacing w:val="-2"/>
        </w:rPr>
        <w:t>secteur </w:t>
      </w:r>
      <w:r>
        <w:rPr>
          <w:color w:val="231F20"/>
        </w:rPr>
        <w:t>de l’Énergie, la création d’emploi et la restructuration d’entreprise en difficulté</w:t>
      </w:r>
      <w:r>
        <w:rPr>
          <w:color w:val="231F20"/>
          <w:spacing w:val="-1"/>
        </w:rPr>
        <w:t> </w:t>
      </w:r>
      <w:r>
        <w:rPr>
          <w:color w:val="231F20"/>
        </w:rPr>
        <w:t>devront</w:t>
      </w:r>
      <w:r>
        <w:rPr>
          <w:color w:val="231F20"/>
          <w:spacing w:val="-1"/>
        </w:rPr>
        <w:t> </w:t>
      </w:r>
      <w:r>
        <w:rPr>
          <w:color w:val="231F20"/>
        </w:rPr>
        <w:t>amener</w:t>
      </w:r>
      <w:r>
        <w:rPr>
          <w:color w:val="231F20"/>
          <w:spacing w:val="-4"/>
        </w:rPr>
        <w:t> </w:t>
      </w:r>
      <w:r>
        <w:rPr>
          <w:color w:val="231F20"/>
        </w:rPr>
        <w:t>en</w:t>
      </w:r>
      <w:r>
        <w:rPr>
          <w:color w:val="231F20"/>
          <w:spacing w:val="-1"/>
        </w:rPr>
        <w:t> </w:t>
      </w:r>
      <w:r>
        <w:rPr>
          <w:color w:val="231F20"/>
        </w:rPr>
        <w:t>2035,</w:t>
      </w:r>
      <w:r>
        <w:rPr>
          <w:color w:val="231F20"/>
          <w:spacing w:val="-1"/>
        </w:rPr>
        <w:t> </w:t>
      </w:r>
      <w:r>
        <w:rPr>
          <w:color w:val="231F20"/>
        </w:rPr>
        <w:t>l’émergence</w:t>
      </w:r>
      <w:r>
        <w:rPr>
          <w:color w:val="231F20"/>
          <w:spacing w:val="-1"/>
        </w:rPr>
        <w:t> </w:t>
      </w:r>
      <w:r>
        <w:rPr>
          <w:color w:val="231F20"/>
        </w:rPr>
        <w:t>du</w:t>
      </w:r>
      <w:r>
        <w:rPr>
          <w:color w:val="231F20"/>
          <w:spacing w:val="-3"/>
        </w:rPr>
        <w:t> </w:t>
      </w:r>
      <w:r>
        <w:rPr>
          <w:color w:val="231F20"/>
        </w:rPr>
        <w:t>pays.</w:t>
      </w:r>
      <w:r>
        <w:rPr>
          <w:color w:val="231F20"/>
          <w:spacing w:val="-1"/>
        </w:rPr>
        <w:t> </w:t>
      </w:r>
      <w:r>
        <w:rPr>
          <w:color w:val="231F20"/>
        </w:rPr>
        <w:t>La</w:t>
      </w:r>
      <w:r>
        <w:rPr>
          <w:color w:val="231F20"/>
          <w:spacing w:val="-1"/>
        </w:rPr>
        <w:t> </w:t>
      </w:r>
      <w:r>
        <w:rPr>
          <w:color w:val="231F20"/>
        </w:rPr>
        <w:t>relance</w:t>
      </w:r>
      <w:r>
        <w:rPr>
          <w:color w:val="231F20"/>
          <w:spacing w:val="-1"/>
        </w:rPr>
        <w:t> </w:t>
      </w:r>
      <w:r>
        <w:rPr>
          <w:color w:val="231F20"/>
        </w:rPr>
        <w:t>de l’Agriculture figure parmi les priorités du plan dont l’objectif est de </w:t>
      </w:r>
      <w:r>
        <w:rPr>
          <w:color w:val="231F20"/>
          <w:spacing w:val="-4"/>
        </w:rPr>
        <w:t>permettre</w:t>
      </w:r>
      <w:r>
        <w:rPr>
          <w:color w:val="231F20"/>
          <w:spacing w:val="-11"/>
        </w:rPr>
        <w:t> </w:t>
      </w:r>
      <w:r>
        <w:rPr>
          <w:color w:val="231F20"/>
          <w:spacing w:val="-4"/>
        </w:rPr>
        <w:t>un</w:t>
      </w:r>
      <w:r>
        <w:rPr>
          <w:color w:val="231F20"/>
          <w:spacing w:val="-11"/>
        </w:rPr>
        <w:t> </w:t>
      </w:r>
      <w:r>
        <w:rPr>
          <w:color w:val="231F20"/>
          <w:spacing w:val="-4"/>
        </w:rPr>
        <w:t>taux</w:t>
      </w:r>
      <w:r>
        <w:rPr>
          <w:color w:val="231F20"/>
          <w:spacing w:val="-11"/>
        </w:rPr>
        <w:t> </w:t>
      </w:r>
      <w:r>
        <w:rPr>
          <w:color w:val="231F20"/>
          <w:spacing w:val="-4"/>
        </w:rPr>
        <w:t>de</w:t>
      </w:r>
      <w:r>
        <w:rPr>
          <w:color w:val="231F20"/>
          <w:spacing w:val="-11"/>
        </w:rPr>
        <w:t> </w:t>
      </w:r>
      <w:r>
        <w:rPr>
          <w:color w:val="231F20"/>
          <w:spacing w:val="-4"/>
        </w:rPr>
        <w:t>croissance</w:t>
      </w:r>
      <w:r>
        <w:rPr>
          <w:color w:val="231F20"/>
          <w:spacing w:val="-11"/>
        </w:rPr>
        <w:t> </w:t>
      </w:r>
      <w:r>
        <w:rPr>
          <w:color w:val="231F20"/>
          <w:spacing w:val="-4"/>
        </w:rPr>
        <w:t>de</w:t>
      </w:r>
      <w:r>
        <w:rPr>
          <w:color w:val="231F20"/>
          <w:spacing w:val="-11"/>
        </w:rPr>
        <w:t> </w:t>
      </w:r>
      <w:r>
        <w:rPr>
          <w:color w:val="231F20"/>
          <w:spacing w:val="-4"/>
        </w:rPr>
        <w:t>7%-8</w:t>
      </w:r>
      <w:r>
        <w:rPr>
          <w:color w:val="231F20"/>
          <w:spacing w:val="-11"/>
        </w:rPr>
        <w:t> </w:t>
      </w:r>
      <w:r>
        <w:rPr>
          <w:color w:val="231F20"/>
          <w:spacing w:val="-4"/>
        </w:rPr>
        <w:t>%</w:t>
      </w:r>
      <w:r>
        <w:rPr>
          <w:color w:val="231F20"/>
          <w:spacing w:val="-11"/>
        </w:rPr>
        <w:t> </w:t>
      </w:r>
      <w:r>
        <w:rPr>
          <w:color w:val="231F20"/>
          <w:spacing w:val="-4"/>
        </w:rPr>
        <w:t>en</w:t>
      </w:r>
      <w:r>
        <w:rPr>
          <w:color w:val="231F20"/>
          <w:spacing w:val="-11"/>
        </w:rPr>
        <w:t> </w:t>
      </w:r>
      <w:r>
        <w:rPr>
          <w:color w:val="231F20"/>
          <w:spacing w:val="-4"/>
        </w:rPr>
        <w:t>2017</w:t>
      </w:r>
      <w:r>
        <w:rPr>
          <w:color w:val="231F20"/>
          <w:spacing w:val="-11"/>
        </w:rPr>
        <w:t> </w:t>
      </w:r>
      <w:r>
        <w:rPr>
          <w:color w:val="231F20"/>
          <w:spacing w:val="-4"/>
        </w:rPr>
        <w:t>;</w:t>
      </w:r>
      <w:r>
        <w:rPr>
          <w:color w:val="231F20"/>
          <w:spacing w:val="-11"/>
        </w:rPr>
        <w:t> </w:t>
      </w:r>
      <w:r>
        <w:rPr>
          <w:color w:val="231F20"/>
          <w:spacing w:val="-4"/>
        </w:rPr>
        <w:t>le</w:t>
      </w:r>
      <w:r>
        <w:rPr>
          <w:color w:val="231F20"/>
          <w:spacing w:val="-11"/>
        </w:rPr>
        <w:t> </w:t>
      </w:r>
      <w:r>
        <w:rPr>
          <w:color w:val="231F20"/>
          <w:spacing w:val="-4"/>
        </w:rPr>
        <w:t>taux</w:t>
      </w:r>
      <w:r>
        <w:rPr>
          <w:color w:val="231F20"/>
          <w:spacing w:val="-11"/>
        </w:rPr>
        <w:t> </w:t>
      </w:r>
      <w:r>
        <w:rPr>
          <w:color w:val="231F20"/>
          <w:spacing w:val="-4"/>
        </w:rPr>
        <w:t>étant</w:t>
      </w:r>
      <w:r>
        <w:rPr>
          <w:color w:val="231F20"/>
          <w:spacing w:val="-11"/>
        </w:rPr>
        <w:t> </w:t>
      </w:r>
      <w:r>
        <w:rPr>
          <w:color w:val="231F20"/>
          <w:spacing w:val="-4"/>
        </w:rPr>
        <w:t>de</w:t>
      </w:r>
      <w:r>
        <w:rPr>
          <w:color w:val="231F20"/>
          <w:spacing w:val="-11"/>
        </w:rPr>
        <w:t> </w:t>
      </w:r>
      <w:r>
        <w:rPr>
          <w:color w:val="231F20"/>
          <w:spacing w:val="-4"/>
        </w:rPr>
        <w:t>6,5% </w:t>
      </w:r>
      <w:r>
        <w:rPr>
          <w:color w:val="231F20"/>
        </w:rPr>
        <w:t>en 2016.</w:t>
      </w:r>
    </w:p>
    <w:p>
      <w:pPr>
        <w:pStyle w:val="BodyText"/>
        <w:spacing w:before="121"/>
        <w:ind w:right="108" w:firstLine="283"/>
      </w:pPr>
      <w:r>
        <w:rPr>
          <w:color w:val="231F20"/>
          <w:spacing w:val="-2"/>
        </w:rPr>
        <w:t>Pour</w:t>
      </w:r>
      <w:r>
        <w:rPr>
          <w:color w:val="231F20"/>
          <w:spacing w:val="-8"/>
        </w:rPr>
        <w:t> </w:t>
      </w:r>
      <w:r>
        <w:rPr>
          <w:color w:val="231F20"/>
          <w:spacing w:val="-2"/>
        </w:rPr>
        <w:t>l’heure,</w:t>
      </w:r>
      <w:r>
        <w:rPr>
          <w:color w:val="231F20"/>
          <w:spacing w:val="-8"/>
        </w:rPr>
        <w:t> </w:t>
      </w:r>
      <w:r>
        <w:rPr>
          <w:color w:val="231F20"/>
          <w:spacing w:val="-2"/>
        </w:rPr>
        <w:t>le</w:t>
      </w:r>
      <w:r>
        <w:rPr>
          <w:color w:val="231F20"/>
          <w:spacing w:val="-8"/>
        </w:rPr>
        <w:t> </w:t>
      </w:r>
      <w:r>
        <w:rPr>
          <w:color w:val="231F20"/>
          <w:spacing w:val="-2"/>
        </w:rPr>
        <w:t>Sénégal</w:t>
      </w:r>
      <w:r>
        <w:rPr>
          <w:color w:val="231F20"/>
          <w:spacing w:val="-7"/>
        </w:rPr>
        <w:t> </w:t>
      </w:r>
      <w:r>
        <w:rPr>
          <w:color w:val="231F20"/>
          <w:spacing w:val="-2"/>
        </w:rPr>
        <w:t>vit</w:t>
      </w:r>
      <w:r>
        <w:rPr>
          <w:color w:val="231F20"/>
          <w:spacing w:val="-8"/>
        </w:rPr>
        <w:t> </w:t>
      </w:r>
      <w:r>
        <w:rPr>
          <w:color w:val="231F20"/>
          <w:spacing w:val="-2"/>
        </w:rPr>
        <w:t>sans</w:t>
      </w:r>
      <w:r>
        <w:rPr>
          <w:color w:val="231F20"/>
          <w:spacing w:val="-8"/>
        </w:rPr>
        <w:t> </w:t>
      </w:r>
      <w:r>
        <w:rPr>
          <w:color w:val="231F20"/>
          <w:spacing w:val="-2"/>
        </w:rPr>
        <w:t>ressources</w:t>
      </w:r>
      <w:r>
        <w:rPr>
          <w:color w:val="231F20"/>
          <w:spacing w:val="-6"/>
        </w:rPr>
        <w:t> </w:t>
      </w:r>
      <w:r>
        <w:rPr>
          <w:color w:val="231F20"/>
          <w:spacing w:val="-2"/>
        </w:rPr>
        <w:t>naturelles.</w:t>
      </w:r>
      <w:r>
        <w:rPr>
          <w:color w:val="231F20"/>
          <w:spacing w:val="-7"/>
        </w:rPr>
        <w:t> </w:t>
      </w:r>
      <w:r>
        <w:rPr>
          <w:color w:val="231F20"/>
          <w:spacing w:val="-2"/>
        </w:rPr>
        <w:t>Son</w:t>
      </w:r>
      <w:r>
        <w:rPr>
          <w:color w:val="231F20"/>
          <w:spacing w:val="-8"/>
        </w:rPr>
        <w:t> </w:t>
      </w:r>
      <w:r>
        <w:rPr>
          <w:color w:val="231F20"/>
          <w:spacing w:val="-2"/>
        </w:rPr>
        <w:t>Economie </w:t>
      </w:r>
      <w:r>
        <w:rPr>
          <w:color w:val="231F20"/>
        </w:rPr>
        <w:t>repose sur le secteur primaire (16% du PIB et 50% des emplois), en particulier l’Agriculture qui est sujette aux fluctuations des cours mondiaux et aux aléas climatiques.</w:t>
      </w:r>
    </w:p>
    <w:p>
      <w:pPr>
        <w:pStyle w:val="BodyText"/>
        <w:spacing w:before="120"/>
        <w:ind w:right="105" w:firstLine="283"/>
      </w:pPr>
      <w:r>
        <w:rPr>
          <w:color w:val="231F20"/>
        </w:rPr>
        <w:t>Mais le Sénégal est l’un des pays les plus stables d’Afrique. Il fait figure</w:t>
      </w:r>
      <w:r>
        <w:rPr>
          <w:color w:val="231F20"/>
          <w:spacing w:val="-13"/>
        </w:rPr>
        <w:t> </w:t>
      </w:r>
      <w:r>
        <w:rPr>
          <w:color w:val="231F20"/>
        </w:rPr>
        <w:t>d’exemple</w:t>
      </w:r>
      <w:r>
        <w:rPr>
          <w:color w:val="231F20"/>
          <w:spacing w:val="-10"/>
        </w:rPr>
        <w:t> </w:t>
      </w:r>
      <w:r>
        <w:rPr>
          <w:color w:val="231F20"/>
        </w:rPr>
        <w:t>en</w:t>
      </w:r>
      <w:r>
        <w:rPr>
          <w:color w:val="231F20"/>
          <w:spacing w:val="-12"/>
        </w:rPr>
        <w:t> </w:t>
      </w:r>
      <w:r>
        <w:rPr>
          <w:color w:val="231F20"/>
        </w:rPr>
        <w:t>Afrique</w:t>
      </w:r>
      <w:r>
        <w:rPr>
          <w:color w:val="231F20"/>
          <w:spacing w:val="-11"/>
        </w:rPr>
        <w:t> </w:t>
      </w:r>
      <w:r>
        <w:rPr>
          <w:color w:val="231F20"/>
        </w:rPr>
        <w:t>de</w:t>
      </w:r>
      <w:r>
        <w:rPr>
          <w:color w:val="231F20"/>
          <w:spacing w:val="-13"/>
        </w:rPr>
        <w:t> </w:t>
      </w:r>
      <w:r>
        <w:rPr>
          <w:color w:val="231F20"/>
        </w:rPr>
        <w:t>l’Ouest.</w:t>
      </w:r>
      <w:r>
        <w:rPr>
          <w:color w:val="231F20"/>
          <w:spacing w:val="-11"/>
        </w:rPr>
        <w:t> </w:t>
      </w:r>
      <w:r>
        <w:rPr>
          <w:color w:val="231F20"/>
        </w:rPr>
        <w:t>Il</w:t>
      </w:r>
      <w:r>
        <w:rPr>
          <w:color w:val="231F20"/>
          <w:spacing w:val="-11"/>
        </w:rPr>
        <w:t> </w:t>
      </w:r>
      <w:r>
        <w:rPr>
          <w:color w:val="231F20"/>
        </w:rPr>
        <w:t>n’a</w:t>
      </w:r>
      <w:r>
        <w:rPr>
          <w:color w:val="231F20"/>
          <w:spacing w:val="-13"/>
        </w:rPr>
        <w:t> </w:t>
      </w:r>
      <w:r>
        <w:rPr>
          <w:color w:val="231F20"/>
        </w:rPr>
        <w:t>pas</w:t>
      </w:r>
      <w:r>
        <w:rPr>
          <w:color w:val="231F20"/>
          <w:spacing w:val="-14"/>
        </w:rPr>
        <w:t> </w:t>
      </w:r>
      <w:r>
        <w:rPr>
          <w:color w:val="231F20"/>
        </w:rPr>
        <w:t>connu</w:t>
      </w:r>
      <w:r>
        <w:rPr>
          <w:color w:val="231F20"/>
          <w:spacing w:val="-13"/>
        </w:rPr>
        <w:t> </w:t>
      </w:r>
      <w:r>
        <w:rPr>
          <w:color w:val="231F20"/>
        </w:rPr>
        <w:t>de</w:t>
      </w:r>
      <w:r>
        <w:rPr>
          <w:color w:val="231F20"/>
          <w:spacing w:val="-11"/>
        </w:rPr>
        <w:t> </w:t>
      </w:r>
      <w:r>
        <w:rPr>
          <w:color w:val="231F20"/>
        </w:rPr>
        <w:t>coup</w:t>
      </w:r>
      <w:r>
        <w:rPr>
          <w:color w:val="231F20"/>
          <w:spacing w:val="-12"/>
        </w:rPr>
        <w:t> </w:t>
      </w:r>
      <w:r>
        <w:rPr>
          <w:color w:val="231F20"/>
        </w:rPr>
        <w:t>d’État militaire comme tous ses voisins. Il a connu trois grandes alternances politiques</w:t>
      </w:r>
      <w:r>
        <w:rPr>
          <w:color w:val="231F20"/>
          <w:spacing w:val="-15"/>
        </w:rPr>
        <w:t> </w:t>
      </w:r>
      <w:r>
        <w:rPr>
          <w:color w:val="231F20"/>
        </w:rPr>
        <w:t>depuis le 4 avril 1960, date de son indépendance : toutes </w:t>
      </w:r>
      <w:r>
        <w:rPr>
          <w:color w:val="231F20"/>
          <w:spacing w:val="-2"/>
        </w:rPr>
        <w:t>pacifiques.</w:t>
      </w:r>
    </w:p>
    <w:p>
      <w:pPr>
        <w:pStyle w:val="BodyText"/>
        <w:ind w:left="0"/>
        <w:jc w:val="left"/>
        <w:rPr>
          <w:sz w:val="20"/>
        </w:rPr>
      </w:pPr>
    </w:p>
    <w:p>
      <w:pPr>
        <w:pStyle w:val="BodyText"/>
        <w:ind w:left="0"/>
        <w:jc w:val="left"/>
        <w:rPr>
          <w:sz w:val="20"/>
        </w:rPr>
      </w:pPr>
    </w:p>
    <w:p>
      <w:pPr>
        <w:pStyle w:val="BodyText"/>
        <w:spacing w:before="14"/>
        <w:ind w:left="0"/>
        <w:jc w:val="left"/>
        <w:rPr>
          <w:sz w:val="20"/>
        </w:rPr>
      </w:pPr>
      <w:r>
        <w:rPr/>
        <mc:AlternateContent>
          <mc:Choice Requires="wps">
            <w:drawing>
              <wp:anchor distT="0" distB="0" distL="0" distR="0" allowOverlap="1" layoutInCell="1" locked="0" behindDoc="1" simplePos="0" relativeHeight="487614976">
                <wp:simplePos x="0" y="0"/>
                <wp:positionH relativeFrom="page">
                  <wp:posOffset>629907</wp:posOffset>
                </wp:positionH>
                <wp:positionV relativeFrom="paragraph">
                  <wp:posOffset>170647</wp:posOffset>
                </wp:positionV>
                <wp:extent cx="1829435" cy="9525"/>
                <wp:effectExtent l="0" t="0" r="0" b="0"/>
                <wp:wrapTopAndBottom/>
                <wp:docPr id="70" name="Graphic 70"/>
                <wp:cNvGraphicFramePr>
                  <a:graphicFrameLocks/>
                </wp:cNvGraphicFramePr>
                <a:graphic>
                  <a:graphicData uri="http://schemas.microsoft.com/office/word/2010/wordprocessingShape">
                    <wps:wsp>
                      <wps:cNvPr id="70" name="Graphic 7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436797pt;width:144.020pt;height:.72pt;mso-position-horizontal-relative:page;mso-position-vertical-relative:paragraph;z-index:-15701504;mso-wrap-distance-left:0;mso-wrap-distance-right:0" id="docshape68"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86</w:t>
      </w:r>
      <w:r>
        <w:rPr>
          <w:color w:val="76787A"/>
          <w:spacing w:val="-17"/>
          <w:sz w:val="20"/>
          <w:vertAlign w:val="baseline"/>
        </w:rPr>
        <w:t> </w:t>
      </w:r>
      <w:r>
        <w:rPr>
          <w:color w:val="231F20"/>
          <w:spacing w:val="-4"/>
          <w:sz w:val="20"/>
          <w:vertAlign w:val="baseline"/>
        </w:rPr>
        <w:t>L'ouvrage</w:t>
      </w:r>
      <w:r>
        <w:rPr>
          <w:color w:val="231F20"/>
          <w:spacing w:val="-2"/>
          <w:sz w:val="20"/>
          <w:vertAlign w:val="baseline"/>
        </w:rPr>
        <w:t> </w:t>
      </w:r>
      <w:r>
        <w:rPr>
          <w:color w:val="231F20"/>
          <w:spacing w:val="-4"/>
          <w:sz w:val="20"/>
          <w:vertAlign w:val="baseline"/>
        </w:rPr>
        <w:t>aurait coûté entre</w:t>
      </w:r>
      <w:r>
        <w:rPr>
          <w:color w:val="231F20"/>
          <w:spacing w:val="-3"/>
          <w:sz w:val="20"/>
          <w:vertAlign w:val="baseline"/>
        </w:rPr>
        <w:t> </w:t>
      </w:r>
      <w:r>
        <w:rPr>
          <w:color w:val="231F20"/>
          <w:spacing w:val="-4"/>
          <w:sz w:val="20"/>
          <w:vertAlign w:val="baseline"/>
        </w:rPr>
        <w:t>9</w:t>
      </w:r>
      <w:r>
        <w:rPr>
          <w:color w:val="231F20"/>
          <w:spacing w:val="-3"/>
          <w:sz w:val="20"/>
          <w:vertAlign w:val="baseline"/>
        </w:rPr>
        <w:t> </w:t>
      </w:r>
      <w:r>
        <w:rPr>
          <w:color w:val="231F20"/>
          <w:spacing w:val="-4"/>
          <w:sz w:val="20"/>
          <w:vertAlign w:val="baseline"/>
        </w:rPr>
        <w:t>et 15</w:t>
      </w:r>
      <w:r>
        <w:rPr>
          <w:color w:val="231F20"/>
          <w:spacing w:val="-2"/>
          <w:sz w:val="20"/>
          <w:vertAlign w:val="baseline"/>
        </w:rPr>
        <w:t> </w:t>
      </w:r>
      <w:r>
        <w:rPr>
          <w:color w:val="231F20"/>
          <w:spacing w:val="-4"/>
          <w:sz w:val="20"/>
          <w:vertAlign w:val="baseline"/>
        </w:rPr>
        <w:t>milliards de</w:t>
      </w:r>
      <w:r>
        <w:rPr>
          <w:color w:val="231F20"/>
          <w:spacing w:val="-3"/>
          <w:sz w:val="20"/>
          <w:vertAlign w:val="baseline"/>
        </w:rPr>
        <w:t> </w:t>
      </w:r>
      <w:r>
        <w:rPr>
          <w:color w:val="231F20"/>
          <w:spacing w:val="-4"/>
          <w:sz w:val="20"/>
          <w:vertAlign w:val="baseline"/>
        </w:rPr>
        <w:t>francs</w:t>
      </w:r>
      <w:r>
        <w:rPr>
          <w:color w:val="231F20"/>
          <w:spacing w:val="-2"/>
          <w:sz w:val="20"/>
          <w:vertAlign w:val="baseline"/>
        </w:rPr>
        <w:t> </w:t>
      </w:r>
      <w:r>
        <w:rPr>
          <w:color w:val="231F20"/>
          <w:spacing w:val="-4"/>
          <w:sz w:val="20"/>
          <w:vertAlign w:val="baseline"/>
        </w:rPr>
        <w:t>CFA (15</w:t>
      </w:r>
      <w:r>
        <w:rPr>
          <w:color w:val="231F20"/>
          <w:spacing w:val="-2"/>
          <w:sz w:val="20"/>
          <w:vertAlign w:val="baseline"/>
        </w:rPr>
        <w:t> </w:t>
      </w:r>
      <w:r>
        <w:rPr>
          <w:color w:val="231F20"/>
          <w:spacing w:val="-4"/>
          <w:sz w:val="20"/>
          <w:vertAlign w:val="baseline"/>
        </w:rPr>
        <w:t>à 23</w:t>
      </w:r>
      <w:r>
        <w:rPr>
          <w:color w:val="231F20"/>
          <w:spacing w:val="-2"/>
          <w:sz w:val="20"/>
          <w:vertAlign w:val="baseline"/>
        </w:rPr>
        <w:t> </w:t>
      </w:r>
      <w:r>
        <w:rPr>
          <w:color w:val="231F20"/>
          <w:spacing w:val="-4"/>
          <w:sz w:val="20"/>
          <w:vertAlign w:val="baseline"/>
        </w:rPr>
        <w:t>millions</w:t>
      </w:r>
      <w:r>
        <w:rPr>
          <w:color w:val="231F20"/>
          <w:spacing w:val="-6"/>
          <w:sz w:val="20"/>
          <w:vertAlign w:val="baseline"/>
        </w:rPr>
        <w:t> </w:t>
      </w:r>
      <w:r>
        <w:rPr>
          <w:color w:val="231F20"/>
          <w:spacing w:val="-4"/>
          <w:sz w:val="20"/>
          <w:vertAlign w:val="baseline"/>
        </w:rPr>
        <w:t>d'euros)</w:t>
      </w:r>
    </w:p>
    <w:p>
      <w:pPr>
        <w:spacing w:after="0"/>
        <w:jc w:val="left"/>
        <w:rPr>
          <w:sz w:val="20"/>
        </w:rPr>
        <w:sectPr>
          <w:pgSz w:w="8790" w:h="13610"/>
          <w:pgMar w:header="0" w:footer="802" w:top="1060" w:bottom="1000" w:left="880" w:right="880"/>
        </w:sectPr>
      </w:pPr>
    </w:p>
    <w:p>
      <w:pPr>
        <w:pStyle w:val="BodyText"/>
        <w:spacing w:before="66"/>
        <w:ind w:right="107" w:firstLine="283"/>
      </w:pPr>
      <w:r>
        <w:rPr>
          <w:color w:val="231F20"/>
          <w:spacing w:val="-4"/>
        </w:rPr>
        <w:t>Au</w:t>
      </w:r>
      <w:r>
        <w:rPr>
          <w:color w:val="231F20"/>
          <w:spacing w:val="-11"/>
        </w:rPr>
        <w:t> </w:t>
      </w:r>
      <w:r>
        <w:rPr>
          <w:color w:val="231F20"/>
          <w:spacing w:val="-4"/>
        </w:rPr>
        <w:t>pouvoir</w:t>
      </w:r>
      <w:r>
        <w:rPr>
          <w:color w:val="231F20"/>
          <w:spacing w:val="-11"/>
        </w:rPr>
        <w:t> </w:t>
      </w:r>
      <w:r>
        <w:rPr>
          <w:color w:val="231F20"/>
          <w:spacing w:val="-4"/>
        </w:rPr>
        <w:t>depuis</w:t>
      </w:r>
      <w:r>
        <w:rPr>
          <w:color w:val="231F20"/>
          <w:spacing w:val="-11"/>
        </w:rPr>
        <w:t> </w:t>
      </w:r>
      <w:r>
        <w:rPr>
          <w:color w:val="231F20"/>
          <w:spacing w:val="-4"/>
        </w:rPr>
        <w:t>2012,</w:t>
      </w:r>
      <w:r>
        <w:rPr>
          <w:color w:val="231F20"/>
          <w:spacing w:val="-11"/>
        </w:rPr>
        <w:t> </w:t>
      </w:r>
      <w:r>
        <w:rPr>
          <w:color w:val="231F20"/>
          <w:spacing w:val="-4"/>
        </w:rPr>
        <w:t>le</w:t>
      </w:r>
      <w:r>
        <w:rPr>
          <w:color w:val="231F20"/>
          <w:spacing w:val="-11"/>
        </w:rPr>
        <w:t> </w:t>
      </w:r>
      <w:r>
        <w:rPr>
          <w:color w:val="231F20"/>
          <w:spacing w:val="-4"/>
        </w:rPr>
        <w:t>président</w:t>
      </w:r>
      <w:r>
        <w:rPr>
          <w:color w:val="231F20"/>
          <w:spacing w:val="-11"/>
        </w:rPr>
        <w:t> </w:t>
      </w:r>
      <w:r>
        <w:rPr>
          <w:color w:val="231F20"/>
          <w:spacing w:val="-4"/>
        </w:rPr>
        <w:t>Macky</w:t>
      </w:r>
      <w:r>
        <w:rPr>
          <w:color w:val="231F20"/>
          <w:spacing w:val="-11"/>
        </w:rPr>
        <w:t> </w:t>
      </w:r>
      <w:r>
        <w:rPr>
          <w:color w:val="231F20"/>
          <w:spacing w:val="-4"/>
        </w:rPr>
        <w:t>Sall</w:t>
      </w:r>
      <w:r>
        <w:rPr>
          <w:color w:val="231F20"/>
          <w:spacing w:val="-11"/>
        </w:rPr>
        <w:t> </w:t>
      </w:r>
      <w:r>
        <w:rPr>
          <w:color w:val="231F20"/>
          <w:spacing w:val="-4"/>
        </w:rPr>
        <w:t>a</w:t>
      </w:r>
      <w:r>
        <w:rPr>
          <w:color w:val="231F20"/>
          <w:spacing w:val="-11"/>
        </w:rPr>
        <w:t> </w:t>
      </w:r>
      <w:r>
        <w:rPr>
          <w:color w:val="231F20"/>
          <w:spacing w:val="-4"/>
        </w:rPr>
        <w:t>remporté</w:t>
      </w:r>
      <w:r>
        <w:rPr>
          <w:color w:val="231F20"/>
          <w:spacing w:val="-11"/>
        </w:rPr>
        <w:t> </w:t>
      </w:r>
      <w:r>
        <w:rPr>
          <w:color w:val="231F20"/>
          <w:spacing w:val="-4"/>
        </w:rPr>
        <w:t>un</w:t>
      </w:r>
      <w:r>
        <w:rPr>
          <w:color w:val="231F20"/>
          <w:spacing w:val="-11"/>
        </w:rPr>
        <w:t> </w:t>
      </w:r>
      <w:r>
        <w:rPr>
          <w:color w:val="231F20"/>
          <w:spacing w:val="-4"/>
        </w:rPr>
        <w:t>second </w:t>
      </w:r>
      <w:r>
        <w:rPr>
          <w:color w:val="231F20"/>
        </w:rPr>
        <w:t>mandat en février</w:t>
      </w:r>
      <w:r>
        <w:rPr>
          <w:color w:val="231F20"/>
          <w:spacing w:val="-15"/>
        </w:rPr>
        <w:t> </w:t>
      </w:r>
      <w:r>
        <w:rPr>
          <w:color w:val="231F20"/>
        </w:rPr>
        <w:t>2019. Celui-ci sera plus court que le précédent car, depuis</w:t>
      </w:r>
      <w:r>
        <w:rPr>
          <w:color w:val="231F20"/>
          <w:spacing w:val="-13"/>
        </w:rPr>
        <w:t> </w:t>
      </w:r>
      <w:r>
        <w:rPr>
          <w:color w:val="231F20"/>
        </w:rPr>
        <w:t>le</w:t>
      </w:r>
      <w:r>
        <w:rPr>
          <w:color w:val="231F20"/>
          <w:spacing w:val="-10"/>
        </w:rPr>
        <w:t> </w:t>
      </w:r>
      <w:r>
        <w:rPr>
          <w:color w:val="231F20"/>
        </w:rPr>
        <w:t>référendum</w:t>
      </w:r>
      <w:r>
        <w:rPr>
          <w:color w:val="231F20"/>
          <w:spacing w:val="-12"/>
        </w:rPr>
        <w:t> </w:t>
      </w:r>
      <w:r>
        <w:rPr>
          <w:color w:val="231F20"/>
        </w:rPr>
        <w:t>de</w:t>
      </w:r>
      <w:r>
        <w:rPr>
          <w:color w:val="231F20"/>
          <w:spacing w:val="-12"/>
        </w:rPr>
        <w:t> </w:t>
      </w:r>
      <w:r>
        <w:rPr>
          <w:color w:val="231F20"/>
        </w:rPr>
        <w:t>mars</w:t>
      </w:r>
      <w:r>
        <w:rPr>
          <w:color w:val="231F20"/>
          <w:spacing w:val="-10"/>
        </w:rPr>
        <w:t> </w:t>
      </w:r>
      <w:r>
        <w:rPr>
          <w:color w:val="231F20"/>
        </w:rPr>
        <w:t>2016,</w:t>
      </w:r>
      <w:r>
        <w:rPr>
          <w:color w:val="231F20"/>
          <w:spacing w:val="-13"/>
        </w:rPr>
        <w:t> </w:t>
      </w:r>
      <w:r>
        <w:rPr>
          <w:color w:val="231F20"/>
        </w:rPr>
        <w:t>le</w:t>
      </w:r>
      <w:r>
        <w:rPr>
          <w:color w:val="231F20"/>
          <w:spacing w:val="-12"/>
        </w:rPr>
        <w:t> </w:t>
      </w:r>
      <w:r>
        <w:rPr>
          <w:color w:val="231F20"/>
        </w:rPr>
        <w:t>mandat</w:t>
      </w:r>
      <w:r>
        <w:rPr>
          <w:color w:val="231F20"/>
          <w:spacing w:val="-11"/>
        </w:rPr>
        <w:t> </w:t>
      </w:r>
      <w:r>
        <w:rPr>
          <w:color w:val="231F20"/>
        </w:rPr>
        <w:t>présidentiel</w:t>
      </w:r>
      <w:r>
        <w:rPr>
          <w:color w:val="231F20"/>
          <w:spacing w:val="-11"/>
        </w:rPr>
        <w:t> </w:t>
      </w:r>
      <w:r>
        <w:rPr>
          <w:color w:val="231F20"/>
        </w:rPr>
        <w:t>a</w:t>
      </w:r>
      <w:r>
        <w:rPr>
          <w:color w:val="231F20"/>
          <w:spacing w:val="-12"/>
        </w:rPr>
        <w:t> </w:t>
      </w:r>
      <w:r>
        <w:rPr>
          <w:color w:val="231F20"/>
        </w:rPr>
        <w:t>été</w:t>
      </w:r>
      <w:r>
        <w:rPr>
          <w:color w:val="231F20"/>
          <w:spacing w:val="-9"/>
        </w:rPr>
        <w:t> </w:t>
      </w:r>
      <w:r>
        <w:rPr>
          <w:color w:val="231F20"/>
        </w:rPr>
        <w:t>ramené de sept à cinq ans.</w:t>
      </w:r>
    </w:p>
    <w:p>
      <w:pPr>
        <w:pStyle w:val="BodyText"/>
        <w:spacing w:before="241"/>
        <w:ind w:left="0"/>
        <w:jc w:val="left"/>
      </w:pPr>
    </w:p>
    <w:p>
      <w:pPr>
        <w:pStyle w:val="Heading3"/>
        <w:jc w:val="left"/>
        <w:rPr>
          <w:rFonts w:ascii="Times New Roman" w:hAnsi="Times New Roman"/>
          <w:b w:val="0"/>
          <w:i w:val="0"/>
        </w:rPr>
      </w:pPr>
      <w:r>
        <w:rPr>
          <w:i/>
          <w:color w:val="231F20"/>
          <w:spacing w:val="-2"/>
        </w:rPr>
        <w:t>La</w:t>
      </w:r>
      <w:r>
        <w:rPr>
          <w:i/>
          <w:color w:val="231F20"/>
          <w:spacing w:val="-9"/>
        </w:rPr>
        <w:t> </w:t>
      </w:r>
      <w:r>
        <w:rPr>
          <w:i/>
          <w:color w:val="231F20"/>
          <w:spacing w:val="-2"/>
        </w:rPr>
        <w:t>République</w:t>
      </w:r>
      <w:r>
        <w:rPr>
          <w:i/>
          <w:color w:val="231F20"/>
          <w:spacing w:val="-10"/>
        </w:rPr>
        <w:t> </w:t>
      </w:r>
      <w:r>
        <w:rPr>
          <w:i/>
          <w:color w:val="231F20"/>
          <w:spacing w:val="-2"/>
        </w:rPr>
        <w:t>du</w:t>
      </w:r>
      <w:r>
        <w:rPr>
          <w:i/>
          <w:color w:val="231F20"/>
          <w:spacing w:val="-8"/>
        </w:rPr>
        <w:t> </w:t>
      </w:r>
      <w:r>
        <w:rPr>
          <w:i/>
          <w:color w:val="231F20"/>
          <w:spacing w:val="-2"/>
        </w:rPr>
        <w:t>Mali</w:t>
      </w:r>
      <w:r>
        <w:rPr>
          <w:rFonts w:ascii="Times New Roman" w:hAnsi="Times New Roman"/>
          <w:b w:val="0"/>
          <w:i w:val="0"/>
          <w:color w:val="231F20"/>
          <w:spacing w:val="-2"/>
          <w:vertAlign w:val="superscript"/>
        </w:rPr>
        <w:t>87</w:t>
      </w:r>
    </w:p>
    <w:p>
      <w:pPr>
        <w:pStyle w:val="BodyText"/>
        <w:spacing w:before="255"/>
        <w:ind w:right="104" w:firstLine="283"/>
      </w:pPr>
      <w:r>
        <w:rPr>
          <w:i/>
          <w:color w:val="231F20"/>
        </w:rPr>
        <w:t>Soudan français </w:t>
      </w:r>
      <w:r>
        <w:rPr>
          <w:color w:val="231F20"/>
        </w:rPr>
        <w:t>dès 1854, le Mali devient indépendant le 22 septembre</w:t>
      </w:r>
      <w:r>
        <w:rPr>
          <w:color w:val="231F20"/>
          <w:spacing w:val="-15"/>
        </w:rPr>
        <w:t> </w:t>
      </w:r>
      <w:r>
        <w:rPr>
          <w:color w:val="231F20"/>
        </w:rPr>
        <w:t>1960.</w:t>
      </w:r>
      <w:r>
        <w:rPr>
          <w:color w:val="231F20"/>
          <w:spacing w:val="-15"/>
        </w:rPr>
        <w:t> </w:t>
      </w:r>
      <w:r>
        <w:rPr>
          <w:color w:val="231F20"/>
        </w:rPr>
        <w:t>Il</w:t>
      </w:r>
      <w:r>
        <w:rPr>
          <w:color w:val="231F20"/>
          <w:spacing w:val="-15"/>
        </w:rPr>
        <w:t> </w:t>
      </w:r>
      <w:r>
        <w:rPr>
          <w:color w:val="231F20"/>
        </w:rPr>
        <w:t>est</w:t>
      </w:r>
      <w:r>
        <w:rPr>
          <w:color w:val="231F20"/>
          <w:spacing w:val="-15"/>
        </w:rPr>
        <w:t> </w:t>
      </w:r>
      <w:r>
        <w:rPr>
          <w:color w:val="231F20"/>
        </w:rPr>
        <w:t>l’un</w:t>
      </w:r>
      <w:r>
        <w:rPr>
          <w:color w:val="231F20"/>
          <w:spacing w:val="-15"/>
        </w:rPr>
        <w:t> </w:t>
      </w:r>
      <w:r>
        <w:rPr>
          <w:color w:val="231F20"/>
        </w:rPr>
        <w:t>des</w:t>
      </w:r>
      <w:r>
        <w:rPr>
          <w:color w:val="231F20"/>
          <w:spacing w:val="-15"/>
        </w:rPr>
        <w:t> </w:t>
      </w:r>
      <w:r>
        <w:rPr>
          <w:color w:val="231F20"/>
        </w:rPr>
        <w:t>plus</w:t>
      </w:r>
      <w:r>
        <w:rPr>
          <w:color w:val="231F20"/>
          <w:spacing w:val="-15"/>
        </w:rPr>
        <w:t> </w:t>
      </w:r>
      <w:r>
        <w:rPr>
          <w:color w:val="231F20"/>
        </w:rPr>
        <w:t>vastes</w:t>
      </w:r>
      <w:r>
        <w:rPr>
          <w:color w:val="231F20"/>
          <w:spacing w:val="-15"/>
        </w:rPr>
        <w:t> </w:t>
      </w:r>
      <w:r>
        <w:rPr>
          <w:color w:val="231F20"/>
        </w:rPr>
        <w:t>États</w:t>
      </w:r>
      <w:r>
        <w:rPr>
          <w:color w:val="231F20"/>
          <w:spacing w:val="-15"/>
        </w:rPr>
        <w:t> </w:t>
      </w:r>
      <w:r>
        <w:rPr>
          <w:color w:val="231F20"/>
        </w:rPr>
        <w:t>d’Afrique</w:t>
      </w:r>
      <w:r>
        <w:rPr>
          <w:color w:val="231F20"/>
          <w:spacing w:val="-15"/>
        </w:rPr>
        <w:t> </w:t>
      </w:r>
      <w:r>
        <w:rPr>
          <w:color w:val="231F20"/>
        </w:rPr>
        <w:t>de</w:t>
      </w:r>
      <w:r>
        <w:rPr>
          <w:color w:val="231F20"/>
          <w:spacing w:val="-15"/>
        </w:rPr>
        <w:t> </w:t>
      </w:r>
      <w:r>
        <w:rPr>
          <w:color w:val="231F20"/>
        </w:rPr>
        <w:t>l’Ouest</w:t>
      </w:r>
      <w:r>
        <w:rPr>
          <w:color w:val="231F20"/>
          <w:spacing w:val="-15"/>
        </w:rPr>
        <w:t> </w:t>
      </w:r>
      <w:r>
        <w:rPr>
          <w:color w:val="231F20"/>
          <w:sz w:val="28"/>
        </w:rPr>
        <w:t>:</w:t>
      </w:r>
      <w:r>
        <w:rPr>
          <w:color w:val="231F20"/>
          <w:spacing w:val="-18"/>
          <w:sz w:val="28"/>
        </w:rPr>
        <w:t> </w:t>
      </w:r>
      <w:r>
        <w:rPr>
          <w:color w:val="231F20"/>
          <w:sz w:val="28"/>
        </w:rPr>
        <w:t>1 241</w:t>
      </w:r>
      <w:r>
        <w:rPr>
          <w:color w:val="231F20"/>
          <w:spacing w:val="-16"/>
          <w:sz w:val="28"/>
        </w:rPr>
        <w:t> </w:t>
      </w:r>
      <w:r>
        <w:rPr>
          <w:color w:val="231F20"/>
          <w:sz w:val="28"/>
        </w:rPr>
        <w:t>238 km</w:t>
      </w:r>
      <w:r>
        <w:rPr>
          <w:color w:val="231F20"/>
          <w:sz w:val="28"/>
          <w:vertAlign w:val="superscript"/>
        </w:rPr>
        <w:t>2</w:t>
      </w:r>
      <w:r>
        <w:rPr>
          <w:color w:val="231F20"/>
          <w:sz w:val="28"/>
          <w:vertAlign w:val="baseline"/>
        </w:rPr>
        <w:t>. E</w:t>
      </w:r>
      <w:r>
        <w:rPr>
          <w:color w:val="231F20"/>
          <w:vertAlign w:val="baseline"/>
        </w:rPr>
        <w:t>ntouré de la Mauritanie et de l’Algérie au Nord, du Niger à l’Est, de la Haute-Volta devenue Burkina Faso et de la Côte d’Ivoire au Sud,</w:t>
      </w:r>
      <w:r>
        <w:rPr>
          <w:color w:val="231F20"/>
          <w:spacing w:val="-1"/>
          <w:vertAlign w:val="baseline"/>
        </w:rPr>
        <w:t> </w:t>
      </w:r>
      <w:r>
        <w:rPr>
          <w:color w:val="231F20"/>
          <w:vertAlign w:val="baseline"/>
        </w:rPr>
        <w:t>de la Guinée au</w:t>
      </w:r>
      <w:r>
        <w:rPr>
          <w:color w:val="231F20"/>
          <w:spacing w:val="-1"/>
          <w:vertAlign w:val="baseline"/>
        </w:rPr>
        <w:t> </w:t>
      </w:r>
      <w:r>
        <w:rPr>
          <w:color w:val="231F20"/>
          <w:vertAlign w:val="baseline"/>
        </w:rPr>
        <w:t>Sud-Ouest et du</w:t>
      </w:r>
      <w:r>
        <w:rPr>
          <w:color w:val="231F20"/>
          <w:spacing w:val="-1"/>
          <w:vertAlign w:val="baseline"/>
        </w:rPr>
        <w:t> </w:t>
      </w:r>
      <w:r>
        <w:rPr>
          <w:color w:val="231F20"/>
          <w:vertAlign w:val="baseline"/>
        </w:rPr>
        <w:t>Sénégal à</w:t>
      </w:r>
      <w:r>
        <w:rPr>
          <w:color w:val="231F20"/>
          <w:spacing w:val="-2"/>
          <w:vertAlign w:val="baseline"/>
        </w:rPr>
        <w:t> </w:t>
      </w:r>
      <w:r>
        <w:rPr>
          <w:color w:val="231F20"/>
          <w:vertAlign w:val="baseline"/>
        </w:rPr>
        <w:t>l’Ouest,</w:t>
      </w:r>
      <w:r>
        <w:rPr>
          <w:color w:val="231F20"/>
          <w:spacing w:val="-1"/>
          <w:vertAlign w:val="baseline"/>
        </w:rPr>
        <w:t> </w:t>
      </w:r>
      <w:r>
        <w:rPr>
          <w:color w:val="231F20"/>
          <w:vertAlign w:val="baseline"/>
        </w:rPr>
        <w:t>le Mali</w:t>
      </w:r>
      <w:r>
        <w:rPr>
          <w:color w:val="231F20"/>
          <w:spacing w:val="-4"/>
          <w:vertAlign w:val="baseline"/>
        </w:rPr>
        <w:t> </w:t>
      </w:r>
      <w:r>
        <w:rPr>
          <w:color w:val="231F20"/>
          <w:vertAlign w:val="baseline"/>
        </w:rPr>
        <w:t>souffre</w:t>
      </w:r>
      <w:r>
        <w:rPr>
          <w:color w:val="231F20"/>
          <w:spacing w:val="-4"/>
          <w:vertAlign w:val="baseline"/>
        </w:rPr>
        <w:t> </w:t>
      </w:r>
      <w:r>
        <w:rPr>
          <w:color w:val="231F20"/>
          <w:vertAlign w:val="baseline"/>
        </w:rPr>
        <w:t>de</w:t>
      </w:r>
      <w:r>
        <w:rPr>
          <w:color w:val="231F20"/>
          <w:spacing w:val="-6"/>
          <w:vertAlign w:val="baseline"/>
        </w:rPr>
        <w:t> </w:t>
      </w:r>
      <w:r>
        <w:rPr>
          <w:color w:val="231F20"/>
          <w:vertAlign w:val="baseline"/>
        </w:rPr>
        <w:t>son</w:t>
      </w:r>
      <w:r>
        <w:rPr>
          <w:color w:val="231F20"/>
          <w:spacing w:val="-5"/>
          <w:vertAlign w:val="baseline"/>
        </w:rPr>
        <w:t> </w:t>
      </w:r>
      <w:r>
        <w:rPr>
          <w:color w:val="231F20"/>
          <w:vertAlign w:val="baseline"/>
        </w:rPr>
        <w:t>enclavement</w:t>
      </w:r>
      <w:r>
        <w:rPr>
          <w:color w:val="231F20"/>
          <w:spacing w:val="-4"/>
          <w:vertAlign w:val="baseline"/>
        </w:rPr>
        <w:t> </w:t>
      </w:r>
      <w:r>
        <w:rPr>
          <w:color w:val="231F20"/>
          <w:vertAlign w:val="baseline"/>
        </w:rPr>
        <w:t>dans</w:t>
      </w:r>
      <w:r>
        <w:rPr>
          <w:color w:val="231F20"/>
          <w:spacing w:val="-7"/>
          <w:vertAlign w:val="baseline"/>
        </w:rPr>
        <w:t> </w:t>
      </w:r>
      <w:r>
        <w:rPr>
          <w:color w:val="231F20"/>
          <w:vertAlign w:val="baseline"/>
        </w:rPr>
        <w:t>la</w:t>
      </w:r>
      <w:r>
        <w:rPr>
          <w:color w:val="231F20"/>
          <w:spacing w:val="-4"/>
          <w:vertAlign w:val="baseline"/>
        </w:rPr>
        <w:t> </w:t>
      </w:r>
      <w:r>
        <w:rPr>
          <w:color w:val="231F20"/>
          <w:vertAlign w:val="baseline"/>
        </w:rPr>
        <w:t>bande</w:t>
      </w:r>
      <w:r>
        <w:rPr>
          <w:color w:val="231F20"/>
          <w:spacing w:val="-4"/>
          <w:vertAlign w:val="baseline"/>
        </w:rPr>
        <w:t> </w:t>
      </w:r>
      <w:r>
        <w:rPr>
          <w:color w:val="231F20"/>
          <w:vertAlign w:val="baseline"/>
        </w:rPr>
        <w:t>sahélienne</w:t>
      </w:r>
      <w:r>
        <w:rPr>
          <w:color w:val="231F20"/>
          <w:spacing w:val="-6"/>
          <w:vertAlign w:val="baseline"/>
        </w:rPr>
        <w:t> </w:t>
      </w:r>
      <w:r>
        <w:rPr>
          <w:color w:val="231F20"/>
          <w:vertAlign w:val="baseline"/>
        </w:rPr>
        <w:t>et</w:t>
      </w:r>
      <w:r>
        <w:rPr>
          <w:color w:val="231F20"/>
          <w:spacing w:val="-4"/>
          <w:vertAlign w:val="baseline"/>
        </w:rPr>
        <w:t> </w:t>
      </w:r>
      <w:r>
        <w:rPr>
          <w:color w:val="231F20"/>
          <w:vertAlign w:val="baseline"/>
        </w:rPr>
        <w:t>est</w:t>
      </w:r>
      <w:r>
        <w:rPr>
          <w:color w:val="231F20"/>
          <w:spacing w:val="-4"/>
          <w:vertAlign w:val="baseline"/>
        </w:rPr>
        <w:t> </w:t>
      </w:r>
      <w:r>
        <w:rPr>
          <w:color w:val="231F20"/>
          <w:vertAlign w:val="baseline"/>
        </w:rPr>
        <w:t>sujet</w:t>
      </w:r>
      <w:r>
        <w:rPr>
          <w:color w:val="231F20"/>
          <w:spacing w:val="-5"/>
          <w:vertAlign w:val="baseline"/>
        </w:rPr>
        <w:t> </w:t>
      </w:r>
      <w:r>
        <w:rPr>
          <w:color w:val="231F20"/>
          <w:vertAlign w:val="baseline"/>
        </w:rPr>
        <w:t>à des sécheresses récurrentes. Sans accès à la mer, peu industrialisé, son économie</w:t>
      </w:r>
      <w:r>
        <w:rPr>
          <w:color w:val="231F20"/>
          <w:spacing w:val="-9"/>
          <w:vertAlign w:val="baseline"/>
        </w:rPr>
        <w:t> </w:t>
      </w:r>
      <w:r>
        <w:rPr>
          <w:color w:val="231F20"/>
          <w:vertAlign w:val="baseline"/>
        </w:rPr>
        <w:t>est</w:t>
      </w:r>
      <w:r>
        <w:rPr>
          <w:color w:val="231F20"/>
          <w:spacing w:val="-7"/>
          <w:vertAlign w:val="baseline"/>
        </w:rPr>
        <w:t> </w:t>
      </w:r>
      <w:r>
        <w:rPr>
          <w:color w:val="231F20"/>
          <w:vertAlign w:val="baseline"/>
        </w:rPr>
        <w:t>essentiellement</w:t>
      </w:r>
      <w:r>
        <w:rPr>
          <w:color w:val="231F20"/>
          <w:spacing w:val="-9"/>
          <w:vertAlign w:val="baseline"/>
        </w:rPr>
        <w:t> </w:t>
      </w:r>
      <w:r>
        <w:rPr>
          <w:color w:val="231F20"/>
          <w:vertAlign w:val="baseline"/>
        </w:rPr>
        <w:t>fondée</w:t>
      </w:r>
      <w:r>
        <w:rPr>
          <w:color w:val="231F20"/>
          <w:spacing w:val="-10"/>
          <w:vertAlign w:val="baseline"/>
        </w:rPr>
        <w:t> </w:t>
      </w:r>
      <w:r>
        <w:rPr>
          <w:color w:val="231F20"/>
          <w:vertAlign w:val="baseline"/>
        </w:rPr>
        <w:t>sur</w:t>
      </w:r>
      <w:r>
        <w:rPr>
          <w:color w:val="231F20"/>
          <w:spacing w:val="-10"/>
          <w:vertAlign w:val="baseline"/>
        </w:rPr>
        <w:t> </w:t>
      </w:r>
      <w:r>
        <w:rPr>
          <w:color w:val="231F20"/>
          <w:vertAlign w:val="baseline"/>
        </w:rPr>
        <w:t>les</w:t>
      </w:r>
      <w:r>
        <w:rPr>
          <w:color w:val="231F20"/>
          <w:spacing w:val="-9"/>
          <w:vertAlign w:val="baseline"/>
        </w:rPr>
        <w:t> </w:t>
      </w:r>
      <w:r>
        <w:rPr>
          <w:color w:val="231F20"/>
          <w:vertAlign w:val="baseline"/>
        </w:rPr>
        <w:t>productions</w:t>
      </w:r>
      <w:r>
        <w:rPr>
          <w:color w:val="231F20"/>
          <w:spacing w:val="-10"/>
          <w:vertAlign w:val="baseline"/>
        </w:rPr>
        <w:t> </w:t>
      </w:r>
      <w:r>
        <w:rPr>
          <w:color w:val="231F20"/>
          <w:vertAlign w:val="baseline"/>
        </w:rPr>
        <w:t>agricoles.</w:t>
      </w:r>
    </w:p>
    <w:p>
      <w:pPr>
        <w:pStyle w:val="BodyText"/>
        <w:spacing w:before="120"/>
        <w:ind w:right="103" w:firstLine="283"/>
      </w:pPr>
      <w:r>
        <w:rPr>
          <w:color w:val="231F20"/>
        </w:rPr>
        <w:t>Modibo Kéïta, premier président de la République est un ancien de </w:t>
      </w:r>
      <w:r>
        <w:rPr>
          <w:color w:val="231F20"/>
          <w:spacing w:val="-4"/>
        </w:rPr>
        <w:t>l’École</w:t>
      </w:r>
      <w:r>
        <w:rPr>
          <w:color w:val="231F20"/>
          <w:spacing w:val="-11"/>
        </w:rPr>
        <w:t> </w:t>
      </w:r>
      <w:r>
        <w:rPr>
          <w:color w:val="231F20"/>
          <w:spacing w:val="-4"/>
        </w:rPr>
        <w:t>Normale</w:t>
      </w:r>
      <w:r>
        <w:rPr>
          <w:color w:val="231F20"/>
          <w:spacing w:val="-11"/>
        </w:rPr>
        <w:t> </w:t>
      </w:r>
      <w:r>
        <w:rPr>
          <w:color w:val="231F20"/>
          <w:spacing w:val="-4"/>
        </w:rPr>
        <w:t>d’instituteurs</w:t>
      </w:r>
      <w:r>
        <w:rPr>
          <w:color w:val="231F20"/>
          <w:spacing w:val="-8"/>
        </w:rPr>
        <w:t> </w:t>
      </w:r>
      <w:r>
        <w:rPr>
          <w:color w:val="231F20"/>
          <w:spacing w:val="-4"/>
        </w:rPr>
        <w:t>de</w:t>
      </w:r>
      <w:r>
        <w:rPr>
          <w:color w:val="231F20"/>
          <w:spacing w:val="-11"/>
        </w:rPr>
        <w:t> </w:t>
      </w:r>
      <w:r>
        <w:rPr>
          <w:color w:val="231F20"/>
          <w:spacing w:val="-4"/>
        </w:rPr>
        <w:t>l’École</w:t>
      </w:r>
      <w:r>
        <w:rPr>
          <w:color w:val="231F20"/>
          <w:spacing w:val="-10"/>
        </w:rPr>
        <w:t> </w:t>
      </w:r>
      <w:r>
        <w:rPr>
          <w:color w:val="231F20"/>
          <w:spacing w:val="-4"/>
        </w:rPr>
        <w:t>William</w:t>
      </w:r>
      <w:r>
        <w:rPr>
          <w:color w:val="231F20"/>
          <w:spacing w:val="-10"/>
        </w:rPr>
        <w:t> </w:t>
      </w:r>
      <w:r>
        <w:rPr>
          <w:color w:val="231F20"/>
          <w:spacing w:val="-4"/>
        </w:rPr>
        <w:t>Ponty</w:t>
      </w:r>
      <w:r>
        <w:rPr>
          <w:color w:val="231F20"/>
          <w:spacing w:val="-11"/>
        </w:rPr>
        <w:t> </w:t>
      </w:r>
      <w:r>
        <w:rPr>
          <w:color w:val="231F20"/>
          <w:spacing w:val="-4"/>
        </w:rPr>
        <w:t>de</w:t>
      </w:r>
      <w:r>
        <w:rPr>
          <w:color w:val="231F20"/>
          <w:spacing w:val="-10"/>
        </w:rPr>
        <w:t> </w:t>
      </w:r>
      <w:r>
        <w:rPr>
          <w:color w:val="231F20"/>
          <w:spacing w:val="-4"/>
        </w:rPr>
        <w:t>Gorée.</w:t>
      </w:r>
      <w:r>
        <w:rPr>
          <w:color w:val="231F20"/>
          <w:spacing w:val="-8"/>
        </w:rPr>
        <w:t> </w:t>
      </w:r>
      <w:r>
        <w:rPr>
          <w:color w:val="231F20"/>
          <w:spacing w:val="-4"/>
        </w:rPr>
        <w:t>Il</w:t>
      </w:r>
      <w:r>
        <w:rPr>
          <w:color w:val="231F20"/>
          <w:spacing w:val="-8"/>
        </w:rPr>
        <w:t> </w:t>
      </w:r>
      <w:r>
        <w:rPr>
          <w:color w:val="231F20"/>
          <w:spacing w:val="-4"/>
        </w:rPr>
        <w:t>a</w:t>
      </w:r>
      <w:r>
        <w:rPr>
          <w:color w:val="231F20"/>
          <w:spacing w:val="-10"/>
        </w:rPr>
        <w:t> </w:t>
      </w:r>
      <w:r>
        <w:rPr>
          <w:color w:val="231F20"/>
          <w:spacing w:val="-4"/>
        </w:rPr>
        <w:t>été </w:t>
      </w:r>
      <w:r>
        <w:rPr>
          <w:color w:val="231F20"/>
        </w:rPr>
        <w:t>Maire de Bamako, la capitale du pays en 1956, député à l’Assemblée </w:t>
      </w:r>
      <w:r>
        <w:rPr>
          <w:color w:val="231F20"/>
          <w:spacing w:val="-4"/>
        </w:rPr>
        <w:t>Nationale française, Secrétaire d’Etat dans les gouvernements français de </w:t>
      </w:r>
      <w:r>
        <w:rPr>
          <w:color w:val="231F20"/>
        </w:rPr>
        <w:t>la quatrième République en 1957 et 1958.</w:t>
      </w:r>
    </w:p>
    <w:p>
      <w:pPr>
        <w:pStyle w:val="BodyText"/>
        <w:spacing w:before="121"/>
        <w:ind w:right="104" w:firstLine="283"/>
      </w:pPr>
      <w:r>
        <w:rPr>
          <w:color w:val="231F20"/>
        </w:rPr>
        <w:t>Panafricaniste et tiers-mondiste convaincu, il est un artisan de la création de la Fédération du Mali avec Léopold Sédar Senghor. Après l’éclatement de la Fédération, il fonde avec Sékou Touré de la Guinée Conakry</w:t>
      </w:r>
      <w:r>
        <w:rPr>
          <w:color w:val="231F20"/>
          <w:spacing w:val="-7"/>
        </w:rPr>
        <w:t> </w:t>
      </w:r>
      <w:r>
        <w:rPr>
          <w:color w:val="231F20"/>
        </w:rPr>
        <w:t>et</w:t>
      </w:r>
      <w:r>
        <w:rPr>
          <w:color w:val="231F20"/>
          <w:spacing w:val="-7"/>
        </w:rPr>
        <w:t> </w:t>
      </w:r>
      <w:r>
        <w:rPr>
          <w:color w:val="231F20"/>
        </w:rPr>
        <w:t>Kwame</w:t>
      </w:r>
      <w:r>
        <w:rPr>
          <w:color w:val="231F20"/>
          <w:spacing w:val="-7"/>
        </w:rPr>
        <w:t> </w:t>
      </w:r>
      <w:r>
        <w:rPr>
          <w:color w:val="231F20"/>
        </w:rPr>
        <w:t>Nkrumah</w:t>
      </w:r>
      <w:r>
        <w:rPr>
          <w:color w:val="231F20"/>
          <w:spacing w:val="-7"/>
        </w:rPr>
        <w:t> </w:t>
      </w:r>
      <w:r>
        <w:rPr>
          <w:color w:val="231F20"/>
        </w:rPr>
        <w:t>du</w:t>
      </w:r>
      <w:r>
        <w:rPr>
          <w:color w:val="231F20"/>
          <w:spacing w:val="-7"/>
        </w:rPr>
        <w:t> </w:t>
      </w:r>
      <w:r>
        <w:rPr>
          <w:color w:val="231F20"/>
        </w:rPr>
        <w:t>Ghana,</w:t>
      </w:r>
      <w:r>
        <w:rPr>
          <w:color w:val="231F20"/>
          <w:spacing w:val="-9"/>
        </w:rPr>
        <w:t> </w:t>
      </w:r>
      <w:r>
        <w:rPr>
          <w:color w:val="231F20"/>
        </w:rPr>
        <w:t>l’Union</w:t>
      </w:r>
      <w:r>
        <w:rPr>
          <w:color w:val="231F20"/>
          <w:spacing w:val="-7"/>
        </w:rPr>
        <w:t> </w:t>
      </w:r>
      <w:r>
        <w:rPr>
          <w:color w:val="231F20"/>
        </w:rPr>
        <w:t>des</w:t>
      </w:r>
      <w:r>
        <w:rPr>
          <w:color w:val="231F20"/>
          <w:spacing w:val="-6"/>
        </w:rPr>
        <w:t> </w:t>
      </w:r>
      <w:r>
        <w:rPr>
          <w:color w:val="231F20"/>
        </w:rPr>
        <w:t>États</w:t>
      </w:r>
      <w:r>
        <w:rPr>
          <w:color w:val="231F20"/>
          <w:spacing w:val="-9"/>
        </w:rPr>
        <w:t> </w:t>
      </w:r>
      <w:r>
        <w:rPr>
          <w:color w:val="231F20"/>
        </w:rPr>
        <w:t>de</w:t>
      </w:r>
      <w:r>
        <w:rPr>
          <w:color w:val="231F20"/>
          <w:spacing w:val="-8"/>
        </w:rPr>
        <w:t> </w:t>
      </w:r>
      <w:r>
        <w:rPr>
          <w:color w:val="231F20"/>
        </w:rPr>
        <w:t>l’Afrique de l’Ouest. En 1963, il participe à la rédaction de la Charte de l’Organisation de l’Unité Africaine (OUA). Il défend les mouvements nationalistes</w:t>
      </w:r>
      <w:r>
        <w:rPr>
          <w:color w:val="231F20"/>
          <w:spacing w:val="-11"/>
        </w:rPr>
        <w:t> </w:t>
      </w:r>
      <w:r>
        <w:rPr>
          <w:color w:val="231F20"/>
        </w:rPr>
        <w:t>comme</w:t>
      </w:r>
      <w:r>
        <w:rPr>
          <w:color w:val="231F20"/>
          <w:spacing w:val="-8"/>
        </w:rPr>
        <w:t> </w:t>
      </w:r>
      <w:r>
        <w:rPr>
          <w:color w:val="231F20"/>
        </w:rPr>
        <w:t>le</w:t>
      </w:r>
      <w:r>
        <w:rPr>
          <w:color w:val="231F20"/>
          <w:spacing w:val="-8"/>
        </w:rPr>
        <w:t> </w:t>
      </w:r>
      <w:r>
        <w:rPr>
          <w:color w:val="231F20"/>
        </w:rPr>
        <w:t>Front</w:t>
      </w:r>
      <w:r>
        <w:rPr>
          <w:color w:val="231F20"/>
          <w:spacing w:val="-8"/>
        </w:rPr>
        <w:t> </w:t>
      </w:r>
      <w:r>
        <w:rPr>
          <w:color w:val="231F20"/>
        </w:rPr>
        <w:t>de</w:t>
      </w:r>
      <w:r>
        <w:rPr>
          <w:color w:val="231F20"/>
          <w:spacing w:val="-12"/>
        </w:rPr>
        <w:t> </w:t>
      </w:r>
      <w:r>
        <w:rPr>
          <w:color w:val="231F20"/>
        </w:rPr>
        <w:t>Libération</w:t>
      </w:r>
      <w:r>
        <w:rPr>
          <w:color w:val="231F20"/>
          <w:spacing w:val="-9"/>
        </w:rPr>
        <w:t> </w:t>
      </w:r>
      <w:r>
        <w:rPr>
          <w:color w:val="231F20"/>
        </w:rPr>
        <w:t>Nationale</w:t>
      </w:r>
      <w:r>
        <w:rPr>
          <w:color w:val="231F20"/>
          <w:spacing w:val="-9"/>
        </w:rPr>
        <w:t> </w:t>
      </w:r>
      <w:r>
        <w:rPr>
          <w:color w:val="231F20"/>
        </w:rPr>
        <w:t>(FLN)</w:t>
      </w:r>
      <w:r>
        <w:rPr>
          <w:color w:val="231F20"/>
          <w:spacing w:val="-9"/>
        </w:rPr>
        <w:t> </w:t>
      </w:r>
      <w:r>
        <w:rPr>
          <w:color w:val="231F20"/>
        </w:rPr>
        <w:t>Algérien.</w:t>
      </w:r>
    </w:p>
    <w:p>
      <w:pPr>
        <w:spacing w:before="120"/>
        <w:ind w:left="111" w:right="104" w:firstLine="283"/>
        <w:jc w:val="both"/>
        <w:rPr>
          <w:i/>
          <w:sz w:val="24"/>
        </w:rPr>
      </w:pPr>
      <w:r>
        <w:rPr>
          <w:color w:val="231F20"/>
          <w:sz w:val="24"/>
        </w:rPr>
        <w:t>En</w:t>
      </w:r>
      <w:r>
        <w:rPr>
          <w:color w:val="231F20"/>
          <w:spacing w:val="-15"/>
          <w:sz w:val="24"/>
        </w:rPr>
        <w:t> </w:t>
      </w:r>
      <w:r>
        <w:rPr>
          <w:color w:val="231F20"/>
          <w:sz w:val="24"/>
        </w:rPr>
        <w:t>1961,</w:t>
      </w:r>
      <w:r>
        <w:rPr>
          <w:color w:val="231F20"/>
          <w:spacing w:val="-13"/>
          <w:sz w:val="24"/>
        </w:rPr>
        <w:t> </w:t>
      </w:r>
      <w:r>
        <w:rPr>
          <w:color w:val="231F20"/>
          <w:sz w:val="24"/>
        </w:rPr>
        <w:t>Modibo</w:t>
      </w:r>
      <w:r>
        <w:rPr>
          <w:color w:val="231F20"/>
          <w:spacing w:val="-14"/>
          <w:sz w:val="24"/>
        </w:rPr>
        <w:t> </w:t>
      </w:r>
      <w:r>
        <w:rPr>
          <w:color w:val="231F20"/>
          <w:sz w:val="24"/>
        </w:rPr>
        <w:t>Kéïta</w:t>
      </w:r>
      <w:r>
        <w:rPr>
          <w:color w:val="231F20"/>
          <w:spacing w:val="-14"/>
          <w:sz w:val="24"/>
        </w:rPr>
        <w:t> </w:t>
      </w:r>
      <w:r>
        <w:rPr>
          <w:color w:val="231F20"/>
          <w:sz w:val="24"/>
        </w:rPr>
        <w:t>qui</w:t>
      </w:r>
      <w:r>
        <w:rPr>
          <w:color w:val="231F20"/>
          <w:spacing w:val="-13"/>
          <w:sz w:val="24"/>
        </w:rPr>
        <w:t> </w:t>
      </w:r>
      <w:r>
        <w:rPr>
          <w:color w:val="231F20"/>
          <w:sz w:val="24"/>
        </w:rPr>
        <w:t>croit</w:t>
      </w:r>
      <w:r>
        <w:rPr>
          <w:color w:val="231F20"/>
          <w:spacing w:val="-13"/>
          <w:sz w:val="24"/>
        </w:rPr>
        <w:t> </w:t>
      </w:r>
      <w:r>
        <w:rPr>
          <w:color w:val="231F20"/>
          <w:sz w:val="24"/>
        </w:rPr>
        <w:t>dur</w:t>
      </w:r>
      <w:r>
        <w:rPr>
          <w:color w:val="231F20"/>
          <w:spacing w:val="-15"/>
          <w:sz w:val="24"/>
        </w:rPr>
        <w:t> </w:t>
      </w:r>
      <w:r>
        <w:rPr>
          <w:color w:val="231F20"/>
          <w:sz w:val="24"/>
        </w:rPr>
        <w:t>comme</w:t>
      </w:r>
      <w:r>
        <w:rPr>
          <w:color w:val="231F20"/>
          <w:spacing w:val="-15"/>
          <w:sz w:val="24"/>
        </w:rPr>
        <w:t> </w:t>
      </w:r>
      <w:r>
        <w:rPr>
          <w:color w:val="231F20"/>
          <w:sz w:val="24"/>
        </w:rPr>
        <w:t>fer</w:t>
      </w:r>
      <w:r>
        <w:rPr>
          <w:color w:val="231F20"/>
          <w:spacing w:val="-15"/>
          <w:sz w:val="24"/>
        </w:rPr>
        <w:t> </w:t>
      </w:r>
      <w:r>
        <w:rPr>
          <w:color w:val="231F20"/>
          <w:sz w:val="24"/>
        </w:rPr>
        <w:t>que</w:t>
      </w:r>
      <w:r>
        <w:rPr>
          <w:color w:val="231F20"/>
          <w:spacing w:val="-15"/>
          <w:sz w:val="24"/>
        </w:rPr>
        <w:t> </w:t>
      </w:r>
      <w:r>
        <w:rPr>
          <w:color w:val="231F20"/>
          <w:sz w:val="24"/>
        </w:rPr>
        <w:t>la</w:t>
      </w:r>
      <w:r>
        <w:rPr>
          <w:color w:val="231F20"/>
          <w:spacing w:val="-15"/>
          <w:sz w:val="24"/>
        </w:rPr>
        <w:t> </w:t>
      </w:r>
      <w:r>
        <w:rPr>
          <w:color w:val="231F20"/>
          <w:sz w:val="24"/>
        </w:rPr>
        <w:t>France</w:t>
      </w:r>
      <w:r>
        <w:rPr>
          <w:color w:val="231F20"/>
          <w:spacing w:val="-15"/>
          <w:sz w:val="24"/>
        </w:rPr>
        <w:t> </w:t>
      </w:r>
      <w:r>
        <w:rPr>
          <w:color w:val="231F20"/>
          <w:sz w:val="24"/>
        </w:rPr>
        <w:t>est</w:t>
      </w:r>
      <w:r>
        <w:rPr>
          <w:color w:val="231F20"/>
          <w:spacing w:val="-13"/>
          <w:sz w:val="24"/>
        </w:rPr>
        <w:t> </w:t>
      </w:r>
      <w:r>
        <w:rPr>
          <w:color w:val="231F20"/>
          <w:sz w:val="24"/>
        </w:rPr>
        <w:t>à</w:t>
      </w:r>
      <w:r>
        <w:rPr>
          <w:color w:val="231F20"/>
          <w:spacing w:val="-15"/>
          <w:sz w:val="24"/>
        </w:rPr>
        <w:t> </w:t>
      </w:r>
      <w:r>
        <w:rPr>
          <w:color w:val="231F20"/>
          <w:sz w:val="24"/>
        </w:rPr>
        <w:t>la base de l’éclatement de la Fédération du Mali, demande à l’ancienne Métropole de retirer ses troupes du Mali</w:t>
      </w:r>
      <w:r>
        <w:rPr>
          <w:color w:val="231F20"/>
          <w:spacing w:val="-11"/>
          <w:sz w:val="24"/>
        </w:rPr>
        <w:t> </w:t>
      </w:r>
      <w:r>
        <w:rPr>
          <w:color w:val="231F20"/>
          <w:sz w:val="24"/>
        </w:rPr>
        <w:t>: </w:t>
      </w:r>
      <w:r>
        <w:rPr>
          <w:i/>
          <w:color w:val="231F20"/>
          <w:sz w:val="24"/>
        </w:rPr>
        <w:t>«</w:t>
      </w:r>
      <w:r>
        <w:rPr>
          <w:i/>
          <w:color w:val="231F20"/>
          <w:spacing w:val="-13"/>
          <w:sz w:val="24"/>
        </w:rPr>
        <w:t> </w:t>
      </w:r>
      <w:r>
        <w:rPr>
          <w:i/>
          <w:color w:val="231F20"/>
          <w:sz w:val="24"/>
        </w:rPr>
        <w:t>La décision de mon</w:t>
      </w:r>
      <w:r>
        <w:rPr>
          <w:i/>
          <w:color w:val="231F20"/>
          <w:sz w:val="24"/>
        </w:rPr>
        <w:t> gouvernement et de mon parti(…)est l’expression de notre conviction, qu’en</w:t>
      </w:r>
      <w:r>
        <w:rPr>
          <w:i/>
          <w:color w:val="231F20"/>
          <w:spacing w:val="-7"/>
          <w:sz w:val="24"/>
        </w:rPr>
        <w:t> </w:t>
      </w:r>
      <w:r>
        <w:rPr>
          <w:i/>
          <w:color w:val="231F20"/>
          <w:sz w:val="24"/>
        </w:rPr>
        <w:t>moins</w:t>
      </w:r>
      <w:r>
        <w:rPr>
          <w:i/>
          <w:color w:val="231F20"/>
          <w:spacing w:val="-8"/>
          <w:sz w:val="24"/>
        </w:rPr>
        <w:t> </w:t>
      </w:r>
      <w:r>
        <w:rPr>
          <w:i/>
          <w:color w:val="231F20"/>
          <w:sz w:val="24"/>
        </w:rPr>
        <w:t>d’abandon</w:t>
      </w:r>
      <w:r>
        <w:rPr>
          <w:i/>
          <w:color w:val="231F20"/>
          <w:spacing w:val="-8"/>
          <w:sz w:val="24"/>
        </w:rPr>
        <w:t> </w:t>
      </w:r>
      <w:r>
        <w:rPr>
          <w:i/>
          <w:color w:val="231F20"/>
          <w:sz w:val="24"/>
        </w:rPr>
        <w:t>volontaire</w:t>
      </w:r>
      <w:r>
        <w:rPr>
          <w:i/>
          <w:color w:val="231F20"/>
          <w:spacing w:val="-8"/>
          <w:sz w:val="24"/>
        </w:rPr>
        <w:t> </w:t>
      </w:r>
      <w:r>
        <w:rPr>
          <w:i/>
          <w:color w:val="231F20"/>
          <w:sz w:val="24"/>
        </w:rPr>
        <w:t>de</w:t>
      </w:r>
      <w:r>
        <w:rPr>
          <w:i/>
          <w:color w:val="231F20"/>
          <w:spacing w:val="-7"/>
          <w:sz w:val="24"/>
        </w:rPr>
        <w:t> </w:t>
      </w:r>
      <w:r>
        <w:rPr>
          <w:i/>
          <w:color w:val="231F20"/>
          <w:sz w:val="24"/>
        </w:rPr>
        <w:t>souveraineté</w:t>
      </w:r>
      <w:r>
        <w:rPr>
          <w:i/>
          <w:color w:val="231F20"/>
          <w:spacing w:val="-9"/>
          <w:sz w:val="24"/>
        </w:rPr>
        <w:t> </w:t>
      </w:r>
      <w:r>
        <w:rPr>
          <w:i/>
          <w:color w:val="231F20"/>
          <w:sz w:val="24"/>
        </w:rPr>
        <w:t>de</w:t>
      </w:r>
      <w:r>
        <w:rPr>
          <w:i/>
          <w:color w:val="231F20"/>
          <w:spacing w:val="-9"/>
          <w:sz w:val="24"/>
        </w:rPr>
        <w:t> </w:t>
      </w:r>
      <w:r>
        <w:rPr>
          <w:i/>
          <w:color w:val="231F20"/>
          <w:sz w:val="24"/>
        </w:rPr>
        <w:t>la</w:t>
      </w:r>
      <w:r>
        <w:rPr>
          <w:i/>
          <w:color w:val="231F20"/>
          <w:spacing w:val="-8"/>
          <w:sz w:val="24"/>
        </w:rPr>
        <w:t> </w:t>
      </w:r>
      <w:r>
        <w:rPr>
          <w:i/>
          <w:color w:val="231F20"/>
          <w:sz w:val="24"/>
        </w:rPr>
        <w:t>part</w:t>
      </w:r>
      <w:r>
        <w:rPr>
          <w:i/>
          <w:color w:val="231F20"/>
          <w:spacing w:val="-8"/>
          <w:sz w:val="24"/>
        </w:rPr>
        <w:t> </w:t>
      </w:r>
      <w:r>
        <w:rPr>
          <w:i/>
          <w:color w:val="231F20"/>
          <w:sz w:val="24"/>
        </w:rPr>
        <w:t>d’un</w:t>
      </w:r>
      <w:r>
        <w:rPr>
          <w:i/>
          <w:color w:val="231F20"/>
          <w:spacing w:val="-8"/>
          <w:sz w:val="24"/>
        </w:rPr>
        <w:t> </w:t>
      </w:r>
      <w:r>
        <w:rPr>
          <w:i/>
          <w:color w:val="231F20"/>
          <w:sz w:val="24"/>
        </w:rPr>
        <w:t>Etat </w:t>
      </w:r>
      <w:r>
        <w:rPr>
          <w:i/>
          <w:color w:val="231F20"/>
          <w:spacing w:val="-4"/>
          <w:sz w:val="24"/>
        </w:rPr>
        <w:t>jeune,</w:t>
      </w:r>
      <w:r>
        <w:rPr>
          <w:i/>
          <w:color w:val="231F20"/>
          <w:spacing w:val="-6"/>
          <w:sz w:val="24"/>
        </w:rPr>
        <w:t> </w:t>
      </w:r>
      <w:r>
        <w:rPr>
          <w:i/>
          <w:color w:val="231F20"/>
          <w:spacing w:val="-4"/>
          <w:sz w:val="24"/>
        </w:rPr>
        <w:t>ou</w:t>
      </w:r>
      <w:r>
        <w:rPr>
          <w:i/>
          <w:color w:val="231F20"/>
          <w:spacing w:val="-6"/>
          <w:sz w:val="24"/>
        </w:rPr>
        <w:t> </w:t>
      </w:r>
      <w:r>
        <w:rPr>
          <w:i/>
          <w:color w:val="231F20"/>
          <w:spacing w:val="-4"/>
          <w:sz w:val="24"/>
        </w:rPr>
        <w:t>d’accord</w:t>
      </w:r>
      <w:r>
        <w:rPr>
          <w:i/>
          <w:color w:val="231F20"/>
          <w:spacing w:val="-5"/>
          <w:sz w:val="24"/>
        </w:rPr>
        <w:t> </w:t>
      </w:r>
      <w:r>
        <w:rPr>
          <w:i/>
          <w:color w:val="231F20"/>
          <w:spacing w:val="-4"/>
          <w:sz w:val="24"/>
        </w:rPr>
        <w:t>particulier</w:t>
      </w:r>
      <w:r>
        <w:rPr>
          <w:i/>
          <w:color w:val="231F20"/>
          <w:spacing w:val="-5"/>
          <w:sz w:val="24"/>
        </w:rPr>
        <w:t> </w:t>
      </w:r>
      <w:r>
        <w:rPr>
          <w:i/>
          <w:color w:val="231F20"/>
          <w:spacing w:val="-4"/>
          <w:sz w:val="24"/>
        </w:rPr>
        <w:t>de</w:t>
      </w:r>
      <w:r>
        <w:rPr>
          <w:i/>
          <w:color w:val="231F20"/>
          <w:spacing w:val="-6"/>
          <w:sz w:val="24"/>
        </w:rPr>
        <w:t> </w:t>
      </w:r>
      <w:r>
        <w:rPr>
          <w:i/>
          <w:color w:val="231F20"/>
          <w:spacing w:val="-4"/>
          <w:sz w:val="24"/>
        </w:rPr>
        <w:t>la</w:t>
      </w:r>
      <w:r>
        <w:rPr>
          <w:i/>
          <w:color w:val="231F20"/>
          <w:spacing w:val="-5"/>
          <w:sz w:val="24"/>
        </w:rPr>
        <w:t> </w:t>
      </w:r>
      <w:r>
        <w:rPr>
          <w:i/>
          <w:color w:val="231F20"/>
          <w:spacing w:val="-4"/>
          <w:sz w:val="24"/>
        </w:rPr>
        <w:t>défense,</w:t>
      </w:r>
      <w:r>
        <w:rPr>
          <w:i/>
          <w:color w:val="231F20"/>
          <w:spacing w:val="-5"/>
          <w:sz w:val="24"/>
        </w:rPr>
        <w:t> </w:t>
      </w:r>
      <w:r>
        <w:rPr>
          <w:i/>
          <w:color w:val="231F20"/>
          <w:spacing w:val="-4"/>
          <w:sz w:val="24"/>
        </w:rPr>
        <w:t>les</w:t>
      </w:r>
      <w:r>
        <w:rPr>
          <w:i/>
          <w:color w:val="231F20"/>
          <w:spacing w:val="-5"/>
          <w:sz w:val="24"/>
        </w:rPr>
        <w:t> </w:t>
      </w:r>
      <w:r>
        <w:rPr>
          <w:i/>
          <w:color w:val="231F20"/>
          <w:spacing w:val="-4"/>
          <w:sz w:val="24"/>
        </w:rPr>
        <w:t>troupes de</w:t>
      </w:r>
      <w:r>
        <w:rPr>
          <w:i/>
          <w:color w:val="231F20"/>
          <w:spacing w:val="-6"/>
          <w:sz w:val="24"/>
        </w:rPr>
        <w:t> </w:t>
      </w:r>
      <w:r>
        <w:rPr>
          <w:i/>
          <w:color w:val="231F20"/>
          <w:spacing w:val="-4"/>
          <w:sz w:val="24"/>
        </w:rPr>
        <w:t>l’ex puissance</w:t>
      </w:r>
    </w:p>
    <w:p>
      <w:pPr>
        <w:pStyle w:val="BodyText"/>
        <w:ind w:left="0"/>
        <w:jc w:val="left"/>
        <w:rPr>
          <w:i/>
          <w:sz w:val="20"/>
        </w:rPr>
      </w:pPr>
    </w:p>
    <w:p>
      <w:pPr>
        <w:pStyle w:val="BodyText"/>
        <w:ind w:left="0"/>
        <w:jc w:val="left"/>
        <w:rPr>
          <w:i/>
          <w:sz w:val="20"/>
        </w:rPr>
      </w:pPr>
    </w:p>
    <w:p>
      <w:pPr>
        <w:pStyle w:val="BodyText"/>
        <w:ind w:left="0"/>
        <w:jc w:val="left"/>
        <w:rPr>
          <w:i/>
          <w:sz w:val="20"/>
        </w:rPr>
      </w:pPr>
    </w:p>
    <w:p>
      <w:pPr>
        <w:pStyle w:val="BodyText"/>
        <w:spacing w:before="104"/>
        <w:ind w:left="0"/>
        <w:jc w:val="left"/>
        <w:rPr>
          <w:i/>
          <w:sz w:val="20"/>
        </w:rPr>
      </w:pPr>
      <w:r>
        <w:rPr/>
        <mc:AlternateContent>
          <mc:Choice Requires="wps">
            <w:drawing>
              <wp:anchor distT="0" distB="0" distL="0" distR="0" allowOverlap="1" layoutInCell="1" locked="0" behindDoc="1" simplePos="0" relativeHeight="487615488">
                <wp:simplePos x="0" y="0"/>
                <wp:positionH relativeFrom="page">
                  <wp:posOffset>629907</wp:posOffset>
                </wp:positionH>
                <wp:positionV relativeFrom="paragraph">
                  <wp:posOffset>227536</wp:posOffset>
                </wp:positionV>
                <wp:extent cx="1829435" cy="9525"/>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916288pt;width:144.020pt;height:.72pt;mso-position-horizontal-relative:page;mso-position-vertical-relative:paragraph;z-index:-15700992;mso-wrap-distance-left:0;mso-wrap-distance-right:0" id="docshape69"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87</w:t>
      </w:r>
      <w:r>
        <w:rPr>
          <w:color w:val="76787A"/>
          <w:spacing w:val="-5"/>
          <w:sz w:val="20"/>
          <w:vertAlign w:val="baseline"/>
        </w:rPr>
        <w:t> </w:t>
      </w:r>
      <w:r>
        <w:rPr>
          <w:color w:val="231F20"/>
          <w:spacing w:val="-2"/>
          <w:sz w:val="20"/>
          <w:vertAlign w:val="baseline"/>
        </w:rPr>
        <w:t>Source</w:t>
      </w:r>
      <w:r>
        <w:rPr>
          <w:color w:val="231F20"/>
          <w:spacing w:val="-9"/>
          <w:sz w:val="20"/>
          <w:vertAlign w:val="baseline"/>
        </w:rPr>
        <w:t> </w:t>
      </w:r>
      <w:r>
        <w:rPr>
          <w:color w:val="231F20"/>
          <w:spacing w:val="-2"/>
          <w:sz w:val="20"/>
          <w:vertAlign w:val="baseline"/>
        </w:rPr>
        <w:t>Wikipédia</w:t>
      </w:r>
    </w:p>
    <w:p>
      <w:pPr>
        <w:spacing w:after="0"/>
        <w:jc w:val="left"/>
        <w:rPr>
          <w:sz w:val="20"/>
        </w:rPr>
        <w:sectPr>
          <w:pgSz w:w="8790" w:h="13610"/>
          <w:pgMar w:header="0" w:footer="802" w:top="1060" w:bottom="1000" w:left="880" w:right="880"/>
        </w:sectPr>
      </w:pPr>
    </w:p>
    <w:p>
      <w:pPr>
        <w:spacing w:before="66"/>
        <w:ind w:left="111" w:right="0" w:firstLine="0"/>
        <w:jc w:val="both"/>
        <w:rPr>
          <w:i/>
          <w:sz w:val="24"/>
        </w:rPr>
      </w:pPr>
      <w:r>
        <w:rPr>
          <w:i/>
          <w:color w:val="231F20"/>
          <w:spacing w:val="-2"/>
          <w:sz w:val="24"/>
        </w:rPr>
        <w:t>coloniale</w:t>
      </w:r>
      <w:r>
        <w:rPr>
          <w:i/>
          <w:color w:val="231F20"/>
          <w:spacing w:val="-15"/>
          <w:sz w:val="24"/>
        </w:rPr>
        <w:t> </w:t>
      </w:r>
      <w:r>
        <w:rPr>
          <w:i/>
          <w:color w:val="231F20"/>
          <w:spacing w:val="-2"/>
          <w:sz w:val="24"/>
        </w:rPr>
        <w:t>ne</w:t>
      </w:r>
      <w:r>
        <w:rPr>
          <w:i/>
          <w:color w:val="231F20"/>
          <w:spacing w:val="-13"/>
          <w:sz w:val="24"/>
        </w:rPr>
        <w:t> </w:t>
      </w:r>
      <w:r>
        <w:rPr>
          <w:i/>
          <w:color w:val="231F20"/>
          <w:spacing w:val="-2"/>
          <w:sz w:val="24"/>
        </w:rPr>
        <w:t>peuvent</w:t>
      </w:r>
      <w:r>
        <w:rPr>
          <w:i/>
          <w:color w:val="231F20"/>
          <w:spacing w:val="-13"/>
          <w:sz w:val="24"/>
        </w:rPr>
        <w:t> </w:t>
      </w:r>
      <w:r>
        <w:rPr>
          <w:i/>
          <w:color w:val="231F20"/>
          <w:spacing w:val="-2"/>
          <w:sz w:val="24"/>
        </w:rPr>
        <w:t>stationner</w:t>
      </w:r>
      <w:r>
        <w:rPr>
          <w:i/>
          <w:color w:val="231F20"/>
          <w:spacing w:val="-13"/>
          <w:sz w:val="24"/>
        </w:rPr>
        <w:t> </w:t>
      </w:r>
      <w:r>
        <w:rPr>
          <w:i/>
          <w:color w:val="231F20"/>
          <w:spacing w:val="-2"/>
          <w:sz w:val="24"/>
        </w:rPr>
        <w:t>sur</w:t>
      </w:r>
      <w:r>
        <w:rPr>
          <w:i/>
          <w:color w:val="231F20"/>
          <w:spacing w:val="-13"/>
          <w:sz w:val="24"/>
        </w:rPr>
        <w:t> </w:t>
      </w:r>
      <w:r>
        <w:rPr>
          <w:i/>
          <w:color w:val="231F20"/>
          <w:spacing w:val="-2"/>
          <w:sz w:val="24"/>
        </w:rPr>
        <w:t>le</w:t>
      </w:r>
      <w:r>
        <w:rPr>
          <w:i/>
          <w:color w:val="231F20"/>
          <w:spacing w:val="-13"/>
          <w:sz w:val="24"/>
        </w:rPr>
        <w:t> </w:t>
      </w:r>
      <w:r>
        <w:rPr>
          <w:i/>
          <w:color w:val="231F20"/>
          <w:spacing w:val="-2"/>
          <w:sz w:val="24"/>
        </w:rPr>
        <w:t>territoire</w:t>
      </w:r>
      <w:r>
        <w:rPr>
          <w:i/>
          <w:color w:val="231F20"/>
          <w:spacing w:val="-13"/>
          <w:sz w:val="24"/>
        </w:rPr>
        <w:t> </w:t>
      </w:r>
      <w:r>
        <w:rPr>
          <w:i/>
          <w:color w:val="231F20"/>
          <w:spacing w:val="-2"/>
          <w:sz w:val="24"/>
        </w:rPr>
        <w:t>de</w:t>
      </w:r>
      <w:r>
        <w:rPr>
          <w:i/>
          <w:color w:val="231F20"/>
          <w:spacing w:val="-13"/>
          <w:sz w:val="24"/>
        </w:rPr>
        <w:t> </w:t>
      </w:r>
      <w:r>
        <w:rPr>
          <w:i/>
          <w:color w:val="231F20"/>
          <w:spacing w:val="-2"/>
          <w:sz w:val="24"/>
        </w:rPr>
        <w:t>l’ex</w:t>
      </w:r>
      <w:r>
        <w:rPr>
          <w:i/>
          <w:color w:val="231F20"/>
          <w:spacing w:val="-13"/>
          <w:sz w:val="24"/>
        </w:rPr>
        <w:t> </w:t>
      </w:r>
      <w:r>
        <w:rPr>
          <w:i/>
          <w:color w:val="231F20"/>
          <w:spacing w:val="-2"/>
          <w:sz w:val="24"/>
        </w:rPr>
        <w:t>colonie,</w:t>
      </w:r>
      <w:r>
        <w:rPr>
          <w:i/>
          <w:color w:val="231F20"/>
          <w:spacing w:val="-13"/>
          <w:sz w:val="24"/>
        </w:rPr>
        <w:t> </w:t>
      </w:r>
      <w:r>
        <w:rPr>
          <w:i/>
          <w:color w:val="231F20"/>
          <w:spacing w:val="-2"/>
          <w:sz w:val="24"/>
        </w:rPr>
        <w:t>aux</w:t>
      </w:r>
      <w:r>
        <w:rPr>
          <w:i/>
          <w:color w:val="231F20"/>
          <w:spacing w:val="-11"/>
          <w:sz w:val="24"/>
        </w:rPr>
        <w:t> </w:t>
      </w:r>
      <w:r>
        <w:rPr>
          <w:i/>
          <w:color w:val="231F20"/>
          <w:spacing w:val="-2"/>
          <w:sz w:val="24"/>
        </w:rPr>
        <w:t>côtés</w:t>
      </w:r>
    </w:p>
    <w:p>
      <w:pPr>
        <w:spacing w:before="0"/>
        <w:ind w:left="111" w:right="0" w:firstLine="0"/>
        <w:jc w:val="both"/>
        <w:rPr>
          <w:i/>
          <w:sz w:val="24"/>
        </w:rPr>
      </w:pPr>
      <w:r>
        <w:rPr>
          <w:i/>
          <w:color w:val="231F20"/>
          <w:spacing w:val="-2"/>
          <w:sz w:val="24"/>
        </w:rPr>
        <w:t>des</w:t>
      </w:r>
      <w:r>
        <w:rPr>
          <w:i/>
          <w:color w:val="231F20"/>
          <w:spacing w:val="-7"/>
          <w:sz w:val="24"/>
        </w:rPr>
        <w:t> </w:t>
      </w:r>
      <w:r>
        <w:rPr>
          <w:i/>
          <w:color w:val="231F20"/>
          <w:spacing w:val="-2"/>
          <w:sz w:val="24"/>
        </w:rPr>
        <w:t>troupes</w:t>
      </w:r>
      <w:r>
        <w:rPr>
          <w:i/>
          <w:color w:val="231F20"/>
          <w:spacing w:val="-9"/>
          <w:sz w:val="24"/>
        </w:rPr>
        <w:t> </w:t>
      </w:r>
      <w:r>
        <w:rPr>
          <w:i/>
          <w:color w:val="231F20"/>
          <w:spacing w:val="-2"/>
          <w:sz w:val="24"/>
        </w:rPr>
        <w:t>du</w:t>
      </w:r>
      <w:r>
        <w:rPr>
          <w:i/>
          <w:color w:val="231F20"/>
          <w:spacing w:val="-10"/>
          <w:sz w:val="24"/>
        </w:rPr>
        <w:t> </w:t>
      </w:r>
      <w:r>
        <w:rPr>
          <w:i/>
          <w:color w:val="231F20"/>
          <w:spacing w:val="-2"/>
          <w:sz w:val="24"/>
        </w:rPr>
        <w:t>jeune</w:t>
      </w:r>
      <w:r>
        <w:rPr>
          <w:i/>
          <w:color w:val="231F20"/>
          <w:spacing w:val="-6"/>
          <w:sz w:val="24"/>
        </w:rPr>
        <w:t> </w:t>
      </w:r>
      <w:r>
        <w:rPr>
          <w:i/>
          <w:color w:val="231F20"/>
          <w:spacing w:val="-2"/>
          <w:sz w:val="24"/>
        </w:rPr>
        <w:t>État</w:t>
      </w:r>
      <w:r>
        <w:rPr>
          <w:color w:val="76787A"/>
          <w:spacing w:val="-2"/>
          <w:sz w:val="24"/>
          <w:vertAlign w:val="superscript"/>
        </w:rPr>
        <w:t>88</w:t>
      </w:r>
      <w:r>
        <w:rPr>
          <w:color w:val="76787A"/>
          <w:spacing w:val="-4"/>
          <w:sz w:val="24"/>
          <w:vertAlign w:val="baseline"/>
        </w:rPr>
        <w:t> </w:t>
      </w:r>
      <w:r>
        <w:rPr>
          <w:i/>
          <w:color w:val="231F20"/>
          <w:spacing w:val="-2"/>
          <w:sz w:val="24"/>
          <w:vertAlign w:val="baseline"/>
        </w:rPr>
        <w:t>(…)</w:t>
      </w:r>
      <w:r>
        <w:rPr>
          <w:i/>
          <w:color w:val="231F20"/>
          <w:spacing w:val="-8"/>
          <w:sz w:val="24"/>
          <w:vertAlign w:val="baseline"/>
        </w:rPr>
        <w:t> </w:t>
      </w:r>
      <w:r>
        <w:rPr>
          <w:i/>
          <w:color w:val="231F20"/>
          <w:spacing w:val="-10"/>
          <w:sz w:val="24"/>
          <w:vertAlign w:val="baseline"/>
        </w:rPr>
        <w:t>»</w:t>
      </w:r>
    </w:p>
    <w:p>
      <w:pPr>
        <w:pStyle w:val="BodyText"/>
        <w:spacing w:before="120"/>
        <w:ind w:right="103" w:firstLine="283"/>
      </w:pPr>
      <w:r>
        <w:rPr>
          <w:color w:val="231F20"/>
        </w:rPr>
        <w:t>Pour</w:t>
      </w:r>
      <w:r>
        <w:rPr>
          <w:color w:val="231F20"/>
          <w:spacing w:val="-11"/>
        </w:rPr>
        <w:t> </w:t>
      </w:r>
      <w:r>
        <w:rPr>
          <w:color w:val="231F20"/>
        </w:rPr>
        <w:t>asseoir</w:t>
      </w:r>
      <w:r>
        <w:rPr>
          <w:color w:val="231F20"/>
          <w:spacing w:val="-11"/>
        </w:rPr>
        <w:t> </w:t>
      </w:r>
      <w:r>
        <w:rPr>
          <w:color w:val="231F20"/>
        </w:rPr>
        <w:t>l’indépendance</w:t>
      </w:r>
      <w:r>
        <w:rPr>
          <w:color w:val="231F20"/>
          <w:spacing w:val="-11"/>
        </w:rPr>
        <w:t> </w:t>
      </w:r>
      <w:r>
        <w:rPr>
          <w:color w:val="231F20"/>
        </w:rPr>
        <w:t>économique</w:t>
      </w:r>
      <w:r>
        <w:rPr>
          <w:color w:val="231F20"/>
          <w:spacing w:val="-11"/>
        </w:rPr>
        <w:t> </w:t>
      </w:r>
      <w:r>
        <w:rPr>
          <w:color w:val="231F20"/>
        </w:rPr>
        <w:t>de</w:t>
      </w:r>
      <w:r>
        <w:rPr>
          <w:color w:val="231F20"/>
          <w:spacing w:val="-13"/>
        </w:rPr>
        <w:t> </w:t>
      </w:r>
      <w:r>
        <w:rPr>
          <w:color w:val="231F20"/>
        </w:rPr>
        <w:t>son</w:t>
      </w:r>
      <w:r>
        <w:rPr>
          <w:color w:val="231F20"/>
          <w:spacing w:val="-11"/>
        </w:rPr>
        <w:t> </w:t>
      </w:r>
      <w:r>
        <w:rPr>
          <w:color w:val="231F20"/>
        </w:rPr>
        <w:t>pays,</w:t>
      </w:r>
      <w:r>
        <w:rPr>
          <w:color w:val="231F20"/>
          <w:spacing w:val="-12"/>
        </w:rPr>
        <w:t> </w:t>
      </w:r>
      <w:r>
        <w:rPr>
          <w:color w:val="231F20"/>
        </w:rPr>
        <w:t>Modibo</w:t>
      </w:r>
      <w:r>
        <w:rPr>
          <w:color w:val="231F20"/>
          <w:spacing w:val="-11"/>
        </w:rPr>
        <w:t> </w:t>
      </w:r>
      <w:r>
        <w:rPr>
          <w:color w:val="231F20"/>
        </w:rPr>
        <w:t>Kéïta </w:t>
      </w:r>
      <w:r>
        <w:rPr>
          <w:color w:val="231F20"/>
          <w:spacing w:val="-2"/>
        </w:rPr>
        <w:t>crée</w:t>
      </w:r>
      <w:r>
        <w:rPr>
          <w:color w:val="231F20"/>
          <w:spacing w:val="-13"/>
        </w:rPr>
        <w:t> </w:t>
      </w:r>
      <w:r>
        <w:rPr>
          <w:color w:val="231F20"/>
          <w:spacing w:val="-2"/>
        </w:rPr>
        <w:t>des</w:t>
      </w:r>
      <w:r>
        <w:rPr>
          <w:color w:val="231F20"/>
          <w:spacing w:val="-13"/>
        </w:rPr>
        <w:t> </w:t>
      </w:r>
      <w:r>
        <w:rPr>
          <w:color w:val="231F20"/>
          <w:spacing w:val="-2"/>
        </w:rPr>
        <w:t>sociétés</w:t>
      </w:r>
      <w:r>
        <w:rPr>
          <w:color w:val="231F20"/>
          <w:spacing w:val="-13"/>
        </w:rPr>
        <w:t> </w:t>
      </w:r>
      <w:r>
        <w:rPr>
          <w:color w:val="231F20"/>
          <w:spacing w:val="-2"/>
        </w:rPr>
        <w:t>d’Etat</w:t>
      </w:r>
      <w:r>
        <w:rPr>
          <w:color w:val="231F20"/>
          <w:spacing w:val="-13"/>
        </w:rPr>
        <w:t> </w:t>
      </w:r>
      <w:r>
        <w:rPr>
          <w:color w:val="231F20"/>
          <w:spacing w:val="-2"/>
        </w:rPr>
        <w:t>;</w:t>
      </w:r>
      <w:r>
        <w:rPr>
          <w:color w:val="231F20"/>
          <w:spacing w:val="-13"/>
        </w:rPr>
        <w:t> </w:t>
      </w:r>
      <w:r>
        <w:rPr>
          <w:color w:val="231F20"/>
          <w:spacing w:val="-2"/>
        </w:rPr>
        <w:t>la</w:t>
      </w:r>
      <w:r>
        <w:rPr>
          <w:color w:val="231F20"/>
          <w:spacing w:val="-13"/>
        </w:rPr>
        <w:t> </w:t>
      </w:r>
      <w:r>
        <w:rPr>
          <w:color w:val="231F20"/>
          <w:spacing w:val="-2"/>
        </w:rPr>
        <w:t>politique</w:t>
      </w:r>
      <w:r>
        <w:rPr>
          <w:color w:val="231F20"/>
          <w:spacing w:val="-13"/>
        </w:rPr>
        <w:t> </w:t>
      </w:r>
      <w:r>
        <w:rPr>
          <w:color w:val="231F20"/>
          <w:spacing w:val="-2"/>
        </w:rPr>
        <w:t>en</w:t>
      </w:r>
      <w:r>
        <w:rPr>
          <w:color w:val="231F20"/>
          <w:spacing w:val="-13"/>
        </w:rPr>
        <w:t> </w:t>
      </w:r>
      <w:r>
        <w:rPr>
          <w:color w:val="231F20"/>
          <w:spacing w:val="-2"/>
        </w:rPr>
        <w:t>matière</w:t>
      </w:r>
      <w:r>
        <w:rPr>
          <w:color w:val="231F20"/>
          <w:spacing w:val="-13"/>
        </w:rPr>
        <w:t> </w:t>
      </w:r>
      <w:r>
        <w:rPr>
          <w:color w:val="231F20"/>
          <w:spacing w:val="-2"/>
        </w:rPr>
        <w:t>agricole</w:t>
      </w:r>
      <w:r>
        <w:rPr>
          <w:color w:val="231F20"/>
          <w:spacing w:val="-13"/>
        </w:rPr>
        <w:t> </w:t>
      </w:r>
      <w:r>
        <w:rPr>
          <w:color w:val="231F20"/>
          <w:spacing w:val="-2"/>
        </w:rPr>
        <w:t>est</w:t>
      </w:r>
      <w:r>
        <w:rPr>
          <w:color w:val="231F20"/>
          <w:spacing w:val="-13"/>
        </w:rPr>
        <w:t> </w:t>
      </w:r>
      <w:r>
        <w:rPr>
          <w:color w:val="231F20"/>
          <w:spacing w:val="-2"/>
        </w:rPr>
        <w:t>centrée</w:t>
      </w:r>
      <w:r>
        <w:rPr>
          <w:color w:val="231F20"/>
          <w:spacing w:val="-13"/>
        </w:rPr>
        <w:t> </w:t>
      </w:r>
      <w:r>
        <w:rPr>
          <w:color w:val="231F20"/>
          <w:spacing w:val="-2"/>
        </w:rPr>
        <w:t>sur</w:t>
      </w:r>
      <w:r>
        <w:rPr>
          <w:color w:val="231F20"/>
          <w:spacing w:val="-13"/>
        </w:rPr>
        <w:t> </w:t>
      </w:r>
      <w:r>
        <w:rPr>
          <w:color w:val="231F20"/>
          <w:spacing w:val="-2"/>
        </w:rPr>
        <w:t>la </w:t>
      </w:r>
      <w:r>
        <w:rPr>
          <w:color w:val="231F20"/>
        </w:rPr>
        <w:t>mise en place de coopératives et de groupements ruraux de secours mutuel</w:t>
      </w:r>
      <w:r>
        <w:rPr>
          <w:color w:val="231F20"/>
          <w:spacing w:val="-14"/>
        </w:rPr>
        <w:t> </w:t>
      </w:r>
      <w:r>
        <w:rPr>
          <w:color w:val="231F20"/>
        </w:rPr>
        <w:t>; le système bancaire est nationalisé ; le 30 juin 1962, Modibo Keïta décide de retirer son pays du</w:t>
      </w:r>
      <w:r>
        <w:rPr>
          <w:color w:val="231F20"/>
          <w:spacing w:val="-2"/>
        </w:rPr>
        <w:t> </w:t>
      </w:r>
      <w:r>
        <w:rPr>
          <w:color w:val="231F20"/>
        </w:rPr>
        <w:t>système monétaire FCFA et crée le Franc</w:t>
      </w:r>
      <w:r>
        <w:rPr>
          <w:color w:val="231F20"/>
          <w:spacing w:val="-7"/>
        </w:rPr>
        <w:t> </w:t>
      </w:r>
      <w:r>
        <w:rPr>
          <w:color w:val="231F20"/>
        </w:rPr>
        <w:t>Malien,</w:t>
      </w:r>
      <w:r>
        <w:rPr>
          <w:color w:val="231F20"/>
          <w:spacing w:val="-9"/>
        </w:rPr>
        <w:t> </w:t>
      </w:r>
      <w:r>
        <w:rPr>
          <w:color w:val="231F20"/>
        </w:rPr>
        <w:t>le</w:t>
      </w:r>
      <w:r>
        <w:rPr>
          <w:color w:val="231F20"/>
          <w:spacing w:val="-7"/>
        </w:rPr>
        <w:t> </w:t>
      </w:r>
      <w:r>
        <w:rPr>
          <w:color w:val="231F20"/>
        </w:rPr>
        <w:t>1er</w:t>
      </w:r>
      <w:r>
        <w:rPr>
          <w:color w:val="231F20"/>
          <w:spacing w:val="-9"/>
        </w:rPr>
        <w:t> </w:t>
      </w:r>
      <w:r>
        <w:rPr>
          <w:color w:val="231F20"/>
        </w:rPr>
        <w:t>Juillet</w:t>
      </w:r>
      <w:r>
        <w:rPr>
          <w:color w:val="231F20"/>
          <w:spacing w:val="-7"/>
        </w:rPr>
        <w:t> </w:t>
      </w:r>
      <w:r>
        <w:rPr>
          <w:color w:val="231F20"/>
        </w:rPr>
        <w:t>1962.Les</w:t>
      </w:r>
      <w:r>
        <w:rPr>
          <w:color w:val="231F20"/>
          <w:spacing w:val="-9"/>
        </w:rPr>
        <w:t> </w:t>
      </w:r>
      <w:r>
        <w:rPr>
          <w:color w:val="231F20"/>
        </w:rPr>
        <w:t>commerçants</w:t>
      </w:r>
      <w:r>
        <w:rPr>
          <w:color w:val="231F20"/>
          <w:spacing w:val="-8"/>
        </w:rPr>
        <w:t> </w:t>
      </w:r>
      <w:r>
        <w:rPr>
          <w:color w:val="231F20"/>
        </w:rPr>
        <w:t>sont</w:t>
      </w:r>
      <w:r>
        <w:rPr>
          <w:color w:val="231F20"/>
          <w:spacing w:val="-9"/>
        </w:rPr>
        <w:t> </w:t>
      </w:r>
      <w:r>
        <w:rPr>
          <w:color w:val="231F20"/>
        </w:rPr>
        <w:t>opposés</w:t>
      </w:r>
      <w:r>
        <w:rPr>
          <w:color w:val="231F20"/>
          <w:spacing w:val="-8"/>
        </w:rPr>
        <w:t> </w:t>
      </w:r>
      <w:r>
        <w:rPr>
          <w:color w:val="231F20"/>
        </w:rPr>
        <w:t>à</w:t>
      </w:r>
      <w:r>
        <w:rPr>
          <w:color w:val="231F20"/>
          <w:spacing w:val="-9"/>
        </w:rPr>
        <w:t> </w:t>
      </w:r>
      <w:r>
        <w:rPr>
          <w:color w:val="231F20"/>
        </w:rPr>
        <w:t>cette décision qui aura des conséquences sur leurs affaires. Ils organisent le </w:t>
      </w:r>
      <w:r>
        <w:rPr>
          <w:color w:val="231F20"/>
          <w:spacing w:val="-4"/>
        </w:rPr>
        <w:t>20</w:t>
      </w:r>
      <w:r>
        <w:rPr>
          <w:color w:val="231F20"/>
          <w:spacing w:val="-11"/>
        </w:rPr>
        <w:t> </w:t>
      </w:r>
      <w:r>
        <w:rPr>
          <w:color w:val="231F20"/>
          <w:spacing w:val="-4"/>
        </w:rPr>
        <w:t>Juillet</w:t>
      </w:r>
      <w:r>
        <w:rPr>
          <w:color w:val="231F20"/>
          <w:spacing w:val="-11"/>
        </w:rPr>
        <w:t> </w:t>
      </w:r>
      <w:r>
        <w:rPr>
          <w:color w:val="231F20"/>
          <w:spacing w:val="-4"/>
        </w:rPr>
        <w:t>une</w:t>
      </w:r>
      <w:r>
        <w:rPr>
          <w:color w:val="231F20"/>
          <w:spacing w:val="-11"/>
        </w:rPr>
        <w:t> </w:t>
      </w:r>
      <w:r>
        <w:rPr>
          <w:color w:val="231F20"/>
          <w:spacing w:val="-4"/>
        </w:rPr>
        <w:t>marche</w:t>
      </w:r>
      <w:r>
        <w:rPr>
          <w:color w:val="231F20"/>
          <w:spacing w:val="-11"/>
        </w:rPr>
        <w:t> </w:t>
      </w:r>
      <w:r>
        <w:rPr>
          <w:color w:val="231F20"/>
          <w:spacing w:val="-4"/>
        </w:rPr>
        <w:t>de</w:t>
      </w:r>
      <w:r>
        <w:rPr>
          <w:color w:val="231F20"/>
          <w:spacing w:val="-11"/>
        </w:rPr>
        <w:t> </w:t>
      </w:r>
      <w:r>
        <w:rPr>
          <w:color w:val="231F20"/>
          <w:spacing w:val="-4"/>
        </w:rPr>
        <w:t>protestation</w:t>
      </w:r>
      <w:r>
        <w:rPr>
          <w:color w:val="231F20"/>
          <w:spacing w:val="-11"/>
        </w:rPr>
        <w:t> </w:t>
      </w:r>
      <w:r>
        <w:rPr>
          <w:color w:val="231F20"/>
          <w:spacing w:val="-4"/>
        </w:rPr>
        <w:t>à</w:t>
      </w:r>
      <w:r>
        <w:rPr>
          <w:color w:val="231F20"/>
          <w:spacing w:val="-11"/>
        </w:rPr>
        <w:t> </w:t>
      </w:r>
      <w:r>
        <w:rPr>
          <w:color w:val="231F20"/>
          <w:spacing w:val="-4"/>
        </w:rPr>
        <w:t>Bamako.</w:t>
      </w:r>
      <w:r>
        <w:rPr>
          <w:color w:val="231F20"/>
          <w:spacing w:val="-11"/>
        </w:rPr>
        <w:t> </w:t>
      </w:r>
      <w:r>
        <w:rPr>
          <w:color w:val="231F20"/>
          <w:spacing w:val="-4"/>
        </w:rPr>
        <w:t>Le</w:t>
      </w:r>
      <w:r>
        <w:rPr>
          <w:color w:val="231F20"/>
          <w:spacing w:val="-11"/>
        </w:rPr>
        <w:t> </w:t>
      </w:r>
      <w:r>
        <w:rPr>
          <w:color w:val="231F20"/>
          <w:spacing w:val="-4"/>
        </w:rPr>
        <w:t>pouvoir</w:t>
      </w:r>
      <w:r>
        <w:rPr>
          <w:color w:val="231F20"/>
          <w:spacing w:val="-11"/>
        </w:rPr>
        <w:t> </w:t>
      </w:r>
      <w:r>
        <w:rPr>
          <w:color w:val="231F20"/>
          <w:spacing w:val="-4"/>
        </w:rPr>
        <w:t>central</w:t>
      </w:r>
      <w:r>
        <w:rPr>
          <w:color w:val="231F20"/>
          <w:spacing w:val="-11"/>
        </w:rPr>
        <w:t> </w:t>
      </w:r>
      <w:r>
        <w:rPr>
          <w:color w:val="231F20"/>
          <w:spacing w:val="-4"/>
        </w:rPr>
        <w:t>accuse </w:t>
      </w:r>
      <w:r>
        <w:rPr>
          <w:color w:val="231F20"/>
        </w:rPr>
        <w:t>l’opposition politique d’être derrière les manifestants. Les forces de l’ordre</w:t>
      </w:r>
      <w:r>
        <w:rPr>
          <w:color w:val="231F20"/>
          <w:spacing w:val="-15"/>
        </w:rPr>
        <w:t> </w:t>
      </w:r>
      <w:r>
        <w:rPr>
          <w:color w:val="231F20"/>
        </w:rPr>
        <w:t>interviennent.</w:t>
      </w:r>
      <w:r>
        <w:rPr>
          <w:color w:val="231F20"/>
          <w:spacing w:val="-15"/>
        </w:rPr>
        <w:t> </w:t>
      </w:r>
      <w:r>
        <w:rPr>
          <w:color w:val="231F20"/>
        </w:rPr>
        <w:t>Plusieurs</w:t>
      </w:r>
      <w:r>
        <w:rPr>
          <w:color w:val="231F20"/>
          <w:spacing w:val="-15"/>
        </w:rPr>
        <w:t> </w:t>
      </w:r>
      <w:r>
        <w:rPr>
          <w:color w:val="231F20"/>
        </w:rPr>
        <w:t>commerçants</w:t>
      </w:r>
      <w:r>
        <w:rPr>
          <w:color w:val="231F20"/>
          <w:spacing w:val="-15"/>
        </w:rPr>
        <w:t> </w:t>
      </w:r>
      <w:r>
        <w:rPr>
          <w:color w:val="231F20"/>
        </w:rPr>
        <w:t>et</w:t>
      </w:r>
      <w:r>
        <w:rPr>
          <w:color w:val="231F20"/>
          <w:spacing w:val="-15"/>
        </w:rPr>
        <w:t> </w:t>
      </w:r>
      <w:r>
        <w:rPr>
          <w:color w:val="231F20"/>
        </w:rPr>
        <w:t>hommes</w:t>
      </w:r>
      <w:r>
        <w:rPr>
          <w:color w:val="231F20"/>
          <w:spacing w:val="-15"/>
        </w:rPr>
        <w:t> </w:t>
      </w:r>
      <w:r>
        <w:rPr>
          <w:color w:val="231F20"/>
        </w:rPr>
        <w:t>politiques</w:t>
      </w:r>
      <w:r>
        <w:rPr>
          <w:color w:val="231F20"/>
          <w:spacing w:val="-15"/>
        </w:rPr>
        <w:t> </w:t>
      </w:r>
      <w:r>
        <w:rPr>
          <w:color w:val="231F20"/>
        </w:rPr>
        <w:t>sont interpellés le 23</w:t>
      </w:r>
      <w:r>
        <w:rPr>
          <w:color w:val="231F20"/>
          <w:spacing w:val="-14"/>
        </w:rPr>
        <w:t> </w:t>
      </w:r>
      <w:r>
        <w:rPr>
          <w:color w:val="231F20"/>
        </w:rPr>
        <w:t>juillet</w:t>
      </w:r>
      <w:r>
        <w:rPr>
          <w:color w:val="231F20"/>
          <w:spacing w:val="-13"/>
        </w:rPr>
        <w:t> </w:t>
      </w:r>
      <w:r>
        <w:rPr>
          <w:color w:val="231F20"/>
        </w:rPr>
        <w:t>1962, parmi lesquels les deux figures de l’opposition</w:t>
      </w:r>
      <w:r>
        <w:rPr>
          <w:color w:val="231F20"/>
          <w:spacing w:val="-2"/>
        </w:rPr>
        <w:t> </w:t>
      </w:r>
      <w:r>
        <w:rPr>
          <w:color w:val="231F20"/>
        </w:rPr>
        <w:t>:</w:t>
      </w:r>
      <w:r>
        <w:rPr>
          <w:color w:val="231F20"/>
          <w:spacing w:val="-4"/>
        </w:rPr>
        <w:t> </w:t>
      </w:r>
      <w:r>
        <w:rPr>
          <w:color w:val="636466"/>
        </w:rPr>
        <w:t>Hammadoun</w:t>
      </w:r>
      <w:r>
        <w:rPr>
          <w:color w:val="636466"/>
          <w:spacing w:val="-3"/>
        </w:rPr>
        <w:t> </w:t>
      </w:r>
      <w:r>
        <w:rPr>
          <w:color w:val="231F20"/>
        </w:rPr>
        <w:t>Dicko</w:t>
      </w:r>
      <w:r>
        <w:rPr>
          <w:color w:val="231F20"/>
          <w:spacing w:val="-5"/>
        </w:rPr>
        <w:t> </w:t>
      </w:r>
      <w:r>
        <w:rPr>
          <w:color w:val="231F20"/>
        </w:rPr>
        <w:t>et</w:t>
      </w:r>
      <w:r>
        <w:rPr>
          <w:color w:val="231F20"/>
          <w:spacing w:val="-2"/>
        </w:rPr>
        <w:t> </w:t>
      </w:r>
      <w:r>
        <w:rPr>
          <w:color w:val="231F20"/>
        </w:rPr>
        <w:t>Fily</w:t>
      </w:r>
      <w:r>
        <w:rPr>
          <w:color w:val="231F20"/>
          <w:spacing w:val="-3"/>
        </w:rPr>
        <w:t> </w:t>
      </w:r>
      <w:r>
        <w:rPr>
          <w:color w:val="231F20"/>
        </w:rPr>
        <w:t>Dabo</w:t>
      </w:r>
      <w:r>
        <w:rPr>
          <w:color w:val="231F20"/>
          <w:spacing w:val="-3"/>
        </w:rPr>
        <w:t> </w:t>
      </w:r>
      <w:r>
        <w:rPr>
          <w:color w:val="231F20"/>
        </w:rPr>
        <w:t>Sissoko.</w:t>
      </w:r>
    </w:p>
    <w:p>
      <w:pPr>
        <w:pStyle w:val="BodyText"/>
        <w:spacing w:before="121"/>
        <w:ind w:right="104" w:firstLine="283"/>
      </w:pPr>
      <w:r>
        <w:rPr>
          <w:color w:val="231F20"/>
        </w:rPr>
        <w:t>Avant l’indépendance, </w:t>
      </w:r>
      <w:r>
        <w:rPr>
          <w:color w:val="636466"/>
        </w:rPr>
        <w:t>Hammadoun </w:t>
      </w:r>
      <w:r>
        <w:rPr>
          <w:color w:val="231F20"/>
        </w:rPr>
        <w:t>Dicko a été Secrétaire d’État à l’industrie</w:t>
      </w:r>
      <w:r>
        <w:rPr>
          <w:color w:val="231F20"/>
          <w:spacing w:val="-10"/>
        </w:rPr>
        <w:t> </w:t>
      </w:r>
      <w:r>
        <w:rPr>
          <w:color w:val="231F20"/>
        </w:rPr>
        <w:t>et</w:t>
      </w:r>
      <w:r>
        <w:rPr>
          <w:color w:val="231F20"/>
          <w:spacing w:val="-9"/>
        </w:rPr>
        <w:t> </w:t>
      </w:r>
      <w:r>
        <w:rPr>
          <w:color w:val="231F20"/>
        </w:rPr>
        <w:t>au</w:t>
      </w:r>
      <w:r>
        <w:rPr>
          <w:color w:val="231F20"/>
          <w:spacing w:val="-10"/>
        </w:rPr>
        <w:t> </w:t>
      </w:r>
      <w:r>
        <w:rPr>
          <w:color w:val="231F20"/>
        </w:rPr>
        <w:t>commerce,</w:t>
      </w:r>
      <w:r>
        <w:rPr>
          <w:color w:val="231F20"/>
          <w:spacing w:val="-10"/>
        </w:rPr>
        <w:t> </w:t>
      </w:r>
      <w:r>
        <w:rPr>
          <w:color w:val="231F20"/>
        </w:rPr>
        <w:t>Secrétaire</w:t>
      </w:r>
      <w:r>
        <w:rPr>
          <w:color w:val="231F20"/>
          <w:spacing w:val="-10"/>
        </w:rPr>
        <w:t> </w:t>
      </w:r>
      <w:r>
        <w:rPr>
          <w:color w:val="231F20"/>
        </w:rPr>
        <w:t>d’État</w:t>
      </w:r>
      <w:r>
        <w:rPr>
          <w:color w:val="231F20"/>
          <w:spacing w:val="-9"/>
        </w:rPr>
        <w:t> </w:t>
      </w:r>
      <w:r>
        <w:rPr>
          <w:color w:val="231F20"/>
        </w:rPr>
        <w:t>à</w:t>
      </w:r>
      <w:r>
        <w:rPr>
          <w:color w:val="231F20"/>
          <w:spacing w:val="-11"/>
        </w:rPr>
        <w:t> </w:t>
      </w:r>
      <w:r>
        <w:rPr>
          <w:color w:val="231F20"/>
        </w:rPr>
        <w:t>la</w:t>
      </w:r>
      <w:r>
        <w:rPr>
          <w:color w:val="231F20"/>
          <w:spacing w:val="-10"/>
        </w:rPr>
        <w:t> </w:t>
      </w:r>
      <w:r>
        <w:rPr>
          <w:color w:val="231F20"/>
        </w:rPr>
        <w:t>présidence</w:t>
      </w:r>
      <w:r>
        <w:rPr>
          <w:color w:val="231F20"/>
          <w:spacing w:val="-10"/>
        </w:rPr>
        <w:t> </w:t>
      </w:r>
      <w:r>
        <w:rPr>
          <w:color w:val="231F20"/>
        </w:rPr>
        <w:t>du</w:t>
      </w:r>
      <w:r>
        <w:rPr>
          <w:color w:val="231F20"/>
          <w:spacing w:val="-11"/>
        </w:rPr>
        <w:t> </w:t>
      </w:r>
      <w:r>
        <w:rPr>
          <w:color w:val="231F20"/>
        </w:rPr>
        <w:t>Conseil </w:t>
      </w:r>
      <w:r>
        <w:rPr>
          <w:color w:val="231F20"/>
          <w:spacing w:val="-2"/>
        </w:rPr>
        <w:t>dans</w:t>
      </w:r>
      <w:r>
        <w:rPr>
          <w:color w:val="231F20"/>
          <w:spacing w:val="-13"/>
        </w:rPr>
        <w:t> </w:t>
      </w:r>
      <w:r>
        <w:rPr>
          <w:color w:val="231F20"/>
          <w:spacing w:val="-2"/>
        </w:rPr>
        <w:t>le</w:t>
      </w:r>
      <w:r>
        <w:rPr>
          <w:color w:val="231F20"/>
          <w:spacing w:val="-12"/>
        </w:rPr>
        <w:t> </w:t>
      </w:r>
      <w:r>
        <w:rPr>
          <w:color w:val="231F20"/>
          <w:spacing w:val="-2"/>
        </w:rPr>
        <w:t>Gouvernement</w:t>
      </w:r>
      <w:r>
        <w:rPr>
          <w:color w:val="231F20"/>
          <w:spacing w:val="-9"/>
        </w:rPr>
        <w:t> </w:t>
      </w:r>
      <w:r>
        <w:rPr>
          <w:color w:val="231F20"/>
          <w:spacing w:val="-2"/>
        </w:rPr>
        <w:t>Guy</w:t>
      </w:r>
      <w:r>
        <w:rPr>
          <w:color w:val="231F20"/>
          <w:spacing w:val="-10"/>
        </w:rPr>
        <w:t> </w:t>
      </w:r>
      <w:r>
        <w:rPr>
          <w:color w:val="231F20"/>
          <w:spacing w:val="-2"/>
        </w:rPr>
        <w:t>Mollet,</w:t>
      </w:r>
      <w:r>
        <w:rPr>
          <w:color w:val="231F20"/>
          <w:spacing w:val="-12"/>
        </w:rPr>
        <w:t> </w:t>
      </w:r>
      <w:r>
        <w:rPr>
          <w:color w:val="231F20"/>
          <w:spacing w:val="-2"/>
        </w:rPr>
        <w:t>Secrétaire</w:t>
      </w:r>
      <w:r>
        <w:rPr>
          <w:color w:val="231F20"/>
          <w:spacing w:val="-13"/>
        </w:rPr>
        <w:t> </w:t>
      </w:r>
      <w:r>
        <w:rPr>
          <w:color w:val="231F20"/>
          <w:spacing w:val="-2"/>
        </w:rPr>
        <w:t>d’État</w:t>
      </w:r>
      <w:r>
        <w:rPr>
          <w:color w:val="231F20"/>
          <w:spacing w:val="-9"/>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France</w:t>
      </w:r>
      <w:r>
        <w:rPr>
          <w:color w:val="231F20"/>
          <w:spacing w:val="-10"/>
        </w:rPr>
        <w:t> </w:t>
      </w:r>
      <w:r>
        <w:rPr>
          <w:color w:val="231F20"/>
          <w:spacing w:val="-2"/>
        </w:rPr>
        <w:t>d’outre- </w:t>
      </w:r>
      <w:r>
        <w:rPr>
          <w:color w:val="231F20"/>
        </w:rPr>
        <w:t>mer dans le</w:t>
      </w:r>
      <w:r>
        <w:rPr>
          <w:color w:val="231F20"/>
          <w:spacing w:val="-15"/>
        </w:rPr>
        <w:t> </w:t>
      </w:r>
      <w:r>
        <w:rPr>
          <w:color w:val="231F20"/>
        </w:rPr>
        <w:t>Gouvernement Maurice Bourgès-Maunoury</w:t>
      </w:r>
      <w:r>
        <w:rPr>
          <w:color w:val="231F20"/>
          <w:spacing w:val="-15"/>
        </w:rPr>
        <w:t> </w:t>
      </w:r>
      <w:r>
        <w:rPr>
          <w:color w:val="231F20"/>
        </w:rPr>
        <w:t>et Secrétaire </w:t>
      </w:r>
      <w:r>
        <w:rPr>
          <w:color w:val="231F20"/>
          <w:spacing w:val="-4"/>
        </w:rPr>
        <w:t>d’État</w:t>
      </w:r>
      <w:r>
        <w:rPr>
          <w:color w:val="231F20"/>
          <w:spacing w:val="-6"/>
        </w:rPr>
        <w:t> </w:t>
      </w:r>
      <w:r>
        <w:rPr>
          <w:color w:val="231F20"/>
          <w:spacing w:val="-4"/>
        </w:rPr>
        <w:t>à</w:t>
      </w:r>
      <w:r>
        <w:rPr>
          <w:color w:val="231F20"/>
          <w:spacing w:val="-6"/>
        </w:rPr>
        <w:t> </w:t>
      </w:r>
      <w:r>
        <w:rPr>
          <w:color w:val="231F20"/>
          <w:spacing w:val="-4"/>
        </w:rPr>
        <w:t>l’Éducation</w:t>
      </w:r>
      <w:r>
        <w:rPr>
          <w:color w:val="231F20"/>
          <w:spacing w:val="-6"/>
        </w:rPr>
        <w:t> </w:t>
      </w:r>
      <w:r>
        <w:rPr>
          <w:color w:val="231F20"/>
          <w:spacing w:val="-4"/>
        </w:rPr>
        <w:t>nationale dans</w:t>
      </w:r>
      <w:r>
        <w:rPr>
          <w:color w:val="231F20"/>
          <w:spacing w:val="-9"/>
        </w:rPr>
        <w:t> </w:t>
      </w:r>
      <w:r>
        <w:rPr>
          <w:color w:val="231F20"/>
          <w:spacing w:val="-4"/>
        </w:rPr>
        <w:t>le Gouvernement</w:t>
      </w:r>
      <w:r>
        <w:rPr>
          <w:color w:val="231F20"/>
          <w:spacing w:val="-6"/>
        </w:rPr>
        <w:t> </w:t>
      </w:r>
      <w:r>
        <w:rPr>
          <w:color w:val="231F20"/>
          <w:spacing w:val="-4"/>
        </w:rPr>
        <w:t>Félix</w:t>
      </w:r>
      <w:r>
        <w:rPr>
          <w:color w:val="231F20"/>
          <w:spacing w:val="-6"/>
        </w:rPr>
        <w:t> </w:t>
      </w:r>
      <w:r>
        <w:rPr>
          <w:color w:val="231F20"/>
          <w:spacing w:val="-4"/>
        </w:rPr>
        <w:t>Gaillard ;</w:t>
      </w:r>
      <w:r>
        <w:rPr>
          <w:color w:val="231F20"/>
          <w:spacing w:val="-6"/>
        </w:rPr>
        <w:t> </w:t>
      </w:r>
      <w:r>
        <w:rPr>
          <w:color w:val="231F20"/>
          <w:spacing w:val="-4"/>
        </w:rPr>
        <w:t>Fily Dabo</w:t>
      </w:r>
      <w:r>
        <w:rPr>
          <w:color w:val="231F20"/>
          <w:spacing w:val="-10"/>
        </w:rPr>
        <w:t> </w:t>
      </w:r>
      <w:r>
        <w:rPr>
          <w:color w:val="231F20"/>
          <w:spacing w:val="-4"/>
        </w:rPr>
        <w:t>Sissoko</w:t>
      </w:r>
      <w:r>
        <w:rPr>
          <w:color w:val="231F20"/>
          <w:spacing w:val="-10"/>
        </w:rPr>
        <w:t> </w:t>
      </w:r>
      <w:r>
        <w:rPr>
          <w:color w:val="231F20"/>
          <w:spacing w:val="-4"/>
        </w:rPr>
        <w:t>a</w:t>
      </w:r>
      <w:r>
        <w:rPr>
          <w:color w:val="231F20"/>
          <w:spacing w:val="-7"/>
        </w:rPr>
        <w:t> </w:t>
      </w:r>
      <w:r>
        <w:rPr>
          <w:color w:val="231F20"/>
          <w:spacing w:val="-4"/>
        </w:rPr>
        <w:t>été</w:t>
      </w:r>
      <w:r>
        <w:rPr>
          <w:color w:val="231F20"/>
          <w:spacing w:val="-7"/>
        </w:rPr>
        <w:t> </w:t>
      </w:r>
      <w:r>
        <w:rPr>
          <w:color w:val="231F20"/>
          <w:spacing w:val="-4"/>
        </w:rPr>
        <w:t>pour</w:t>
      </w:r>
      <w:r>
        <w:rPr>
          <w:color w:val="231F20"/>
          <w:spacing w:val="-7"/>
        </w:rPr>
        <w:t> </w:t>
      </w:r>
      <w:r>
        <w:rPr>
          <w:color w:val="231F20"/>
          <w:spacing w:val="-4"/>
        </w:rPr>
        <w:t>sa</w:t>
      </w:r>
      <w:r>
        <w:rPr>
          <w:color w:val="231F20"/>
          <w:spacing w:val="-7"/>
        </w:rPr>
        <w:t> </w:t>
      </w:r>
      <w:r>
        <w:rPr>
          <w:color w:val="231F20"/>
          <w:spacing w:val="-4"/>
        </w:rPr>
        <w:t>part,</w:t>
      </w:r>
      <w:r>
        <w:rPr>
          <w:color w:val="231F20"/>
          <w:spacing w:val="-10"/>
        </w:rPr>
        <w:t> </w:t>
      </w:r>
      <w:r>
        <w:rPr>
          <w:color w:val="231F20"/>
          <w:spacing w:val="-4"/>
        </w:rPr>
        <w:t>député</w:t>
      </w:r>
      <w:r>
        <w:rPr>
          <w:color w:val="231F20"/>
          <w:spacing w:val="-7"/>
        </w:rPr>
        <w:t> </w:t>
      </w:r>
      <w:r>
        <w:rPr>
          <w:color w:val="231F20"/>
          <w:spacing w:val="-4"/>
        </w:rPr>
        <w:t>du</w:t>
      </w:r>
      <w:r>
        <w:rPr>
          <w:color w:val="231F20"/>
          <w:spacing w:val="-10"/>
        </w:rPr>
        <w:t> </w:t>
      </w:r>
      <w:r>
        <w:rPr>
          <w:color w:val="231F20"/>
          <w:spacing w:val="-4"/>
        </w:rPr>
        <w:t>Soudan</w:t>
      </w:r>
      <w:r>
        <w:rPr>
          <w:color w:val="231F20"/>
          <w:spacing w:val="-10"/>
        </w:rPr>
        <w:t> </w:t>
      </w:r>
      <w:r>
        <w:rPr>
          <w:color w:val="231F20"/>
          <w:spacing w:val="-4"/>
        </w:rPr>
        <w:t>français</w:t>
      </w:r>
      <w:r>
        <w:rPr>
          <w:color w:val="231F20"/>
          <w:spacing w:val="-7"/>
        </w:rPr>
        <w:t> </w:t>
      </w:r>
      <w:r>
        <w:rPr>
          <w:color w:val="231F20"/>
          <w:spacing w:val="-4"/>
        </w:rPr>
        <w:t>à</w:t>
      </w:r>
      <w:r>
        <w:rPr>
          <w:color w:val="231F20"/>
          <w:spacing w:val="-10"/>
        </w:rPr>
        <w:t> </w:t>
      </w:r>
      <w:r>
        <w:rPr>
          <w:color w:val="231F20"/>
          <w:spacing w:val="-4"/>
        </w:rPr>
        <w:t>l’Assemblée </w:t>
      </w:r>
      <w:r>
        <w:rPr>
          <w:color w:val="231F20"/>
        </w:rPr>
        <w:t>constituante</w:t>
      </w:r>
      <w:r>
        <w:rPr>
          <w:color w:val="231F20"/>
          <w:spacing w:val="-15"/>
        </w:rPr>
        <w:t> </w:t>
      </w:r>
      <w:r>
        <w:rPr>
          <w:color w:val="231F20"/>
        </w:rPr>
        <w:t>française puis à l’Assemblée nationale française, sous- Secrétaire</w:t>
      </w:r>
      <w:r>
        <w:rPr>
          <w:color w:val="231F20"/>
          <w:spacing w:val="-15"/>
        </w:rPr>
        <w:t> </w:t>
      </w:r>
      <w:r>
        <w:rPr>
          <w:color w:val="231F20"/>
        </w:rPr>
        <w:t>d’État</w:t>
      </w:r>
      <w:r>
        <w:rPr>
          <w:color w:val="231F20"/>
          <w:spacing w:val="-15"/>
        </w:rPr>
        <w:t> </w:t>
      </w:r>
      <w:r>
        <w:rPr>
          <w:color w:val="231F20"/>
        </w:rPr>
        <w:t>à</w:t>
      </w:r>
      <w:r>
        <w:rPr>
          <w:color w:val="231F20"/>
          <w:spacing w:val="-15"/>
        </w:rPr>
        <w:t> </w:t>
      </w:r>
      <w:r>
        <w:rPr>
          <w:color w:val="231F20"/>
        </w:rPr>
        <w:t>l’Industrie</w:t>
      </w:r>
      <w:r>
        <w:rPr>
          <w:color w:val="231F20"/>
          <w:spacing w:val="-15"/>
        </w:rPr>
        <w:t> </w:t>
      </w:r>
      <w:r>
        <w:rPr>
          <w:color w:val="231F20"/>
        </w:rPr>
        <w:t>et</w:t>
      </w:r>
      <w:r>
        <w:rPr>
          <w:color w:val="231F20"/>
          <w:spacing w:val="-15"/>
        </w:rPr>
        <w:t> </w:t>
      </w:r>
      <w:r>
        <w:rPr>
          <w:color w:val="231F20"/>
        </w:rPr>
        <w:t>au</w:t>
      </w:r>
      <w:r>
        <w:rPr>
          <w:color w:val="231F20"/>
          <w:spacing w:val="-15"/>
        </w:rPr>
        <w:t> </w:t>
      </w:r>
      <w:r>
        <w:rPr>
          <w:color w:val="231F20"/>
        </w:rPr>
        <w:t>Commerce</w:t>
      </w:r>
      <w:r>
        <w:rPr>
          <w:color w:val="231F20"/>
          <w:spacing w:val="-15"/>
        </w:rPr>
        <w:t> </w:t>
      </w:r>
      <w:r>
        <w:rPr>
          <w:color w:val="231F20"/>
        </w:rPr>
        <w:t>du</w:t>
      </w:r>
      <w:r>
        <w:rPr>
          <w:color w:val="231F20"/>
          <w:spacing w:val="-15"/>
        </w:rPr>
        <w:t> </w:t>
      </w:r>
      <w:r>
        <w:rPr>
          <w:color w:val="231F20"/>
        </w:rPr>
        <w:t>gouvernement</w:t>
      </w:r>
      <w:r>
        <w:rPr>
          <w:color w:val="231F20"/>
          <w:spacing w:val="-15"/>
        </w:rPr>
        <w:t> </w:t>
      </w:r>
      <w:r>
        <w:rPr>
          <w:color w:val="231F20"/>
        </w:rPr>
        <w:t>Robert </w:t>
      </w:r>
      <w:r>
        <w:rPr>
          <w:color w:val="231F20"/>
          <w:spacing w:val="-2"/>
        </w:rPr>
        <w:t>Schuman.</w:t>
      </w:r>
    </w:p>
    <w:p>
      <w:pPr>
        <w:pStyle w:val="BodyText"/>
        <w:spacing w:before="120"/>
        <w:ind w:right="105" w:firstLine="283"/>
      </w:pPr>
      <w:r>
        <w:rPr>
          <w:color w:val="231F20"/>
        </w:rPr>
        <w:t>À</w:t>
      </w:r>
      <w:r>
        <w:rPr>
          <w:color w:val="231F20"/>
          <w:spacing w:val="-4"/>
        </w:rPr>
        <w:t> </w:t>
      </w:r>
      <w:r>
        <w:rPr>
          <w:color w:val="231F20"/>
        </w:rPr>
        <w:t>l’indépendance,</w:t>
      </w:r>
      <w:r>
        <w:rPr>
          <w:color w:val="231F20"/>
          <w:spacing w:val="-7"/>
        </w:rPr>
        <w:t> </w:t>
      </w:r>
      <w:r>
        <w:rPr>
          <w:color w:val="231F20"/>
        </w:rPr>
        <w:t>ils</w:t>
      </w:r>
      <w:r>
        <w:rPr>
          <w:color w:val="231F20"/>
          <w:spacing w:val="-3"/>
        </w:rPr>
        <w:t> </w:t>
      </w:r>
      <w:r>
        <w:rPr>
          <w:color w:val="231F20"/>
        </w:rPr>
        <w:t>n’adhèrent</w:t>
      </w:r>
      <w:r>
        <w:rPr>
          <w:color w:val="231F20"/>
          <w:spacing w:val="-4"/>
        </w:rPr>
        <w:t> </w:t>
      </w:r>
      <w:r>
        <w:rPr>
          <w:color w:val="231F20"/>
        </w:rPr>
        <w:t>pas</w:t>
      </w:r>
      <w:r>
        <w:rPr>
          <w:color w:val="231F20"/>
          <w:spacing w:val="-4"/>
        </w:rPr>
        <w:t> </w:t>
      </w:r>
      <w:r>
        <w:rPr>
          <w:color w:val="231F20"/>
        </w:rPr>
        <w:t>à</w:t>
      </w:r>
      <w:r>
        <w:rPr>
          <w:color w:val="231F20"/>
          <w:spacing w:val="-5"/>
        </w:rPr>
        <w:t> </w:t>
      </w:r>
      <w:r>
        <w:rPr>
          <w:color w:val="231F20"/>
        </w:rPr>
        <w:t>l’option</w:t>
      </w:r>
      <w:r>
        <w:rPr>
          <w:color w:val="231F20"/>
          <w:spacing w:val="-6"/>
        </w:rPr>
        <w:t> </w:t>
      </w:r>
      <w:r>
        <w:rPr>
          <w:color w:val="231F20"/>
        </w:rPr>
        <w:t>socialiste</w:t>
      </w:r>
      <w:r>
        <w:rPr>
          <w:color w:val="231F20"/>
          <w:spacing w:val="-5"/>
        </w:rPr>
        <w:t> </w:t>
      </w:r>
      <w:r>
        <w:rPr>
          <w:color w:val="231F20"/>
        </w:rPr>
        <w:t>prônée</w:t>
      </w:r>
      <w:r>
        <w:rPr>
          <w:color w:val="231F20"/>
          <w:spacing w:val="-5"/>
        </w:rPr>
        <w:t> </w:t>
      </w:r>
      <w:r>
        <w:rPr>
          <w:color w:val="231F20"/>
        </w:rPr>
        <w:t>par Modibo Keïta et</w:t>
      </w:r>
      <w:r>
        <w:rPr>
          <w:color w:val="231F20"/>
          <w:spacing w:val="-1"/>
        </w:rPr>
        <w:t> </w:t>
      </w:r>
      <w:r>
        <w:rPr>
          <w:color w:val="231F20"/>
        </w:rPr>
        <w:t>prennent</w:t>
      </w:r>
      <w:r>
        <w:rPr>
          <w:color w:val="231F20"/>
          <w:spacing w:val="-1"/>
        </w:rPr>
        <w:t> </w:t>
      </w:r>
      <w:r>
        <w:rPr>
          <w:color w:val="231F20"/>
        </w:rPr>
        <w:t>la voie de</w:t>
      </w:r>
      <w:r>
        <w:rPr>
          <w:color w:val="231F20"/>
          <w:spacing w:val="-3"/>
        </w:rPr>
        <w:t> </w:t>
      </w:r>
      <w:r>
        <w:rPr>
          <w:color w:val="231F20"/>
        </w:rPr>
        <w:t>l’opposition.</w:t>
      </w:r>
    </w:p>
    <w:p>
      <w:pPr>
        <w:pStyle w:val="BodyText"/>
        <w:spacing w:before="121"/>
        <w:ind w:right="105" w:firstLine="283"/>
      </w:pPr>
      <w:r>
        <w:rPr>
          <w:color w:val="231F20"/>
        </w:rPr>
        <w:t>Accusés d’être les instigateurs de la marche, Fily</w:t>
      </w:r>
      <w:r>
        <w:rPr>
          <w:color w:val="231F20"/>
          <w:spacing w:val="-15"/>
        </w:rPr>
        <w:t> </w:t>
      </w:r>
      <w:r>
        <w:rPr>
          <w:color w:val="231F20"/>
        </w:rPr>
        <w:t>Dabo</w:t>
      </w:r>
      <w:r>
        <w:rPr>
          <w:color w:val="231F20"/>
          <w:spacing w:val="-15"/>
        </w:rPr>
        <w:t> </w:t>
      </w:r>
      <w:r>
        <w:rPr>
          <w:color w:val="231F20"/>
        </w:rPr>
        <w:t>Sissoko et Hammadoun</w:t>
      </w:r>
      <w:r>
        <w:rPr>
          <w:color w:val="231F20"/>
          <w:spacing w:val="-15"/>
        </w:rPr>
        <w:t> </w:t>
      </w:r>
      <w:r>
        <w:rPr>
          <w:color w:val="231F20"/>
        </w:rPr>
        <w:t>Dicko sont déférés et présentés avec d’autres opposants devant un tribunal populaire du 24 au</w:t>
      </w:r>
      <w:r>
        <w:rPr>
          <w:color w:val="231F20"/>
          <w:spacing w:val="-15"/>
        </w:rPr>
        <w:t> </w:t>
      </w:r>
      <w:r>
        <w:rPr>
          <w:color w:val="231F20"/>
        </w:rPr>
        <w:t>27</w:t>
      </w:r>
      <w:r>
        <w:rPr>
          <w:color w:val="231F20"/>
          <w:spacing w:val="-15"/>
        </w:rPr>
        <w:t> </w:t>
      </w:r>
      <w:r>
        <w:rPr>
          <w:color w:val="231F20"/>
        </w:rPr>
        <w:t>Juillet</w:t>
      </w:r>
      <w:r>
        <w:rPr>
          <w:color w:val="231F20"/>
          <w:spacing w:val="-15"/>
        </w:rPr>
        <w:t> </w:t>
      </w:r>
      <w:r>
        <w:rPr>
          <w:color w:val="231F20"/>
        </w:rPr>
        <w:t>1962</w:t>
      </w:r>
      <w:r>
        <w:rPr>
          <w:color w:val="231F20"/>
          <w:spacing w:val="-15"/>
        </w:rPr>
        <w:t> </w:t>
      </w:r>
      <w:r>
        <w:rPr>
          <w:color w:val="231F20"/>
        </w:rPr>
        <w:t>: ils sont accusés d’avoir organisé un complot et commis un attentat contre la sûreté de l’état. Le tribunal les condamne à la peine de mort. Face à la pression internationale,</w:t>
      </w:r>
      <w:r>
        <w:rPr>
          <w:color w:val="231F20"/>
          <w:spacing w:val="-7"/>
        </w:rPr>
        <w:t> </w:t>
      </w:r>
      <w:r>
        <w:rPr>
          <w:color w:val="231F20"/>
        </w:rPr>
        <w:t>la</w:t>
      </w:r>
      <w:r>
        <w:rPr>
          <w:color w:val="231F20"/>
          <w:spacing w:val="-9"/>
        </w:rPr>
        <w:t> </w:t>
      </w:r>
      <w:r>
        <w:rPr>
          <w:color w:val="231F20"/>
        </w:rPr>
        <w:t>sentence</w:t>
      </w:r>
      <w:r>
        <w:rPr>
          <w:color w:val="231F20"/>
          <w:spacing w:val="-9"/>
        </w:rPr>
        <w:t> </w:t>
      </w:r>
      <w:r>
        <w:rPr>
          <w:color w:val="231F20"/>
        </w:rPr>
        <w:t>est</w:t>
      </w:r>
      <w:r>
        <w:rPr>
          <w:color w:val="231F20"/>
          <w:spacing w:val="-6"/>
        </w:rPr>
        <w:t> </w:t>
      </w:r>
      <w:r>
        <w:rPr>
          <w:color w:val="231F20"/>
        </w:rPr>
        <w:t>commuée</w:t>
      </w:r>
      <w:r>
        <w:rPr>
          <w:color w:val="231F20"/>
          <w:spacing w:val="-7"/>
        </w:rPr>
        <w:t> </w:t>
      </w:r>
      <w:r>
        <w:rPr>
          <w:color w:val="231F20"/>
        </w:rPr>
        <w:t>à</w:t>
      </w:r>
      <w:r>
        <w:rPr>
          <w:color w:val="231F20"/>
          <w:spacing w:val="-7"/>
        </w:rPr>
        <w:t> </w:t>
      </w:r>
      <w:r>
        <w:rPr>
          <w:color w:val="231F20"/>
        </w:rPr>
        <w:t>une</w:t>
      </w:r>
      <w:r>
        <w:rPr>
          <w:color w:val="231F20"/>
          <w:spacing w:val="-7"/>
        </w:rPr>
        <w:t> </w:t>
      </w:r>
      <w:r>
        <w:rPr>
          <w:color w:val="231F20"/>
        </w:rPr>
        <w:t>peine</w:t>
      </w:r>
      <w:r>
        <w:rPr>
          <w:color w:val="231F20"/>
          <w:spacing w:val="-7"/>
        </w:rPr>
        <w:t> </w:t>
      </w:r>
      <w:r>
        <w:rPr>
          <w:color w:val="231F20"/>
        </w:rPr>
        <w:t>de</w:t>
      </w:r>
      <w:r>
        <w:rPr>
          <w:color w:val="231F20"/>
          <w:spacing w:val="-7"/>
        </w:rPr>
        <w:t> </w:t>
      </w:r>
      <w:r>
        <w:rPr>
          <w:color w:val="231F20"/>
        </w:rPr>
        <w:t>travaux</w:t>
      </w:r>
      <w:r>
        <w:rPr>
          <w:color w:val="231F20"/>
          <w:spacing w:val="-9"/>
        </w:rPr>
        <w:t> </w:t>
      </w:r>
      <w:r>
        <w:rPr>
          <w:color w:val="231F20"/>
        </w:rPr>
        <w:t>forcés</w:t>
      </w:r>
      <w:r>
        <w:rPr>
          <w:color w:val="231F20"/>
          <w:spacing w:val="-7"/>
        </w:rPr>
        <w:t> </w:t>
      </w:r>
      <w:r>
        <w:rPr>
          <w:color w:val="231F20"/>
        </w:rPr>
        <w:t>à </w:t>
      </w:r>
      <w:r>
        <w:rPr>
          <w:color w:val="231F20"/>
          <w:spacing w:val="-2"/>
        </w:rPr>
        <w:t>perpétuité.</w:t>
      </w:r>
      <w:r>
        <w:rPr>
          <w:color w:val="231F20"/>
          <w:spacing w:val="-10"/>
        </w:rPr>
        <w:t> </w:t>
      </w:r>
      <w:r>
        <w:rPr>
          <w:color w:val="231F20"/>
          <w:spacing w:val="-2"/>
        </w:rPr>
        <w:t>Deux</w:t>
      </w:r>
      <w:r>
        <w:rPr>
          <w:color w:val="231F20"/>
          <w:spacing w:val="-10"/>
        </w:rPr>
        <w:t> </w:t>
      </w:r>
      <w:r>
        <w:rPr>
          <w:color w:val="231F20"/>
          <w:spacing w:val="-2"/>
        </w:rPr>
        <w:t>ans</w:t>
      </w:r>
      <w:r>
        <w:rPr>
          <w:color w:val="231F20"/>
          <w:spacing w:val="-12"/>
        </w:rPr>
        <w:t> </w:t>
      </w:r>
      <w:r>
        <w:rPr>
          <w:color w:val="231F20"/>
          <w:spacing w:val="-2"/>
        </w:rPr>
        <w:t>plus</w:t>
      </w:r>
      <w:r>
        <w:rPr>
          <w:color w:val="231F20"/>
          <w:spacing w:val="-13"/>
        </w:rPr>
        <w:t> </w:t>
      </w:r>
      <w:r>
        <w:rPr>
          <w:color w:val="231F20"/>
          <w:spacing w:val="-2"/>
        </w:rPr>
        <w:t>tard,</w:t>
      </w:r>
      <w:r>
        <w:rPr>
          <w:color w:val="231F20"/>
          <w:spacing w:val="-12"/>
        </w:rPr>
        <w:t> </w:t>
      </w:r>
      <w:r>
        <w:rPr>
          <w:color w:val="231F20"/>
          <w:spacing w:val="-2"/>
        </w:rPr>
        <w:t>ils</w:t>
      </w:r>
      <w:r>
        <w:rPr>
          <w:color w:val="231F20"/>
          <w:spacing w:val="-12"/>
        </w:rPr>
        <w:t> </w:t>
      </w:r>
      <w:r>
        <w:rPr>
          <w:color w:val="231F20"/>
          <w:spacing w:val="-2"/>
        </w:rPr>
        <w:t>trouvent</w:t>
      </w:r>
      <w:r>
        <w:rPr>
          <w:color w:val="231F20"/>
          <w:spacing w:val="-9"/>
        </w:rPr>
        <w:t> </w:t>
      </w:r>
      <w:r>
        <w:rPr>
          <w:color w:val="231F20"/>
          <w:spacing w:val="-2"/>
        </w:rPr>
        <w:t>la</w:t>
      </w:r>
      <w:r>
        <w:rPr>
          <w:color w:val="231F20"/>
          <w:spacing w:val="-13"/>
        </w:rPr>
        <w:t> </w:t>
      </w:r>
      <w:r>
        <w:rPr>
          <w:color w:val="231F20"/>
          <w:spacing w:val="-2"/>
        </w:rPr>
        <w:t>mort</w:t>
      </w:r>
      <w:r>
        <w:rPr>
          <w:color w:val="231F20"/>
          <w:spacing w:val="-9"/>
        </w:rPr>
        <w:t> </w:t>
      </w:r>
      <w:r>
        <w:rPr>
          <w:color w:val="231F20"/>
          <w:spacing w:val="-2"/>
        </w:rPr>
        <w:t>en</w:t>
      </w:r>
      <w:r>
        <w:rPr>
          <w:color w:val="231F20"/>
          <w:spacing w:val="-10"/>
        </w:rPr>
        <w:t> </w:t>
      </w:r>
      <w:r>
        <w:rPr>
          <w:color w:val="231F20"/>
          <w:spacing w:val="-2"/>
        </w:rPr>
        <w:t>prison</w:t>
      </w:r>
      <w:r>
        <w:rPr>
          <w:color w:val="231F20"/>
          <w:spacing w:val="-12"/>
        </w:rPr>
        <w:t> </w:t>
      </w:r>
      <w:r>
        <w:rPr>
          <w:color w:val="231F20"/>
          <w:spacing w:val="-2"/>
        </w:rPr>
        <w:t>à</w:t>
      </w:r>
      <w:r>
        <w:rPr>
          <w:color w:val="231F20"/>
          <w:spacing w:val="-10"/>
        </w:rPr>
        <w:t> </w:t>
      </w:r>
      <w:r>
        <w:rPr>
          <w:color w:val="231F20"/>
          <w:spacing w:val="-2"/>
        </w:rPr>
        <w:t>Kidal</w:t>
      </w:r>
      <w:r>
        <w:rPr>
          <w:color w:val="231F20"/>
          <w:spacing w:val="-12"/>
        </w:rPr>
        <w:t> </w:t>
      </w:r>
      <w:r>
        <w:rPr>
          <w:color w:val="231F20"/>
          <w:spacing w:val="-2"/>
        </w:rPr>
        <w:t>dans </w:t>
      </w:r>
      <w:r>
        <w:rPr>
          <w:color w:val="231F20"/>
        </w:rPr>
        <w:t>le Nord. L’État ne donne aucune explication.</w:t>
      </w:r>
    </w:p>
    <w:p>
      <w:pPr>
        <w:pStyle w:val="BodyText"/>
        <w:spacing w:before="120"/>
        <w:ind w:right="105" w:firstLine="283"/>
      </w:pPr>
      <w:r>
        <w:rPr>
          <w:color w:val="231F20"/>
        </w:rPr>
        <w:t>Le 19 novembre 1968, Modibo Keita, est victime d’un coup d’État mené par un ex-légionnaire français, le Lieutenant Moussa Traoré qui l’envoie</w:t>
      </w:r>
      <w:r>
        <w:rPr>
          <w:color w:val="231F20"/>
          <w:spacing w:val="-7"/>
        </w:rPr>
        <w:t> </w:t>
      </w:r>
      <w:r>
        <w:rPr>
          <w:color w:val="231F20"/>
        </w:rPr>
        <w:t>en</w:t>
      </w:r>
      <w:r>
        <w:rPr>
          <w:color w:val="231F20"/>
          <w:spacing w:val="-8"/>
        </w:rPr>
        <w:t> </w:t>
      </w:r>
      <w:r>
        <w:rPr>
          <w:color w:val="231F20"/>
        </w:rPr>
        <w:t>prison</w:t>
      </w:r>
      <w:r>
        <w:rPr>
          <w:color w:val="231F20"/>
          <w:spacing w:val="-6"/>
        </w:rPr>
        <w:t> </w:t>
      </w:r>
      <w:r>
        <w:rPr>
          <w:color w:val="231F20"/>
        </w:rPr>
        <w:t>à</w:t>
      </w:r>
      <w:r>
        <w:rPr>
          <w:color w:val="231F20"/>
          <w:spacing w:val="-6"/>
        </w:rPr>
        <w:t> </w:t>
      </w:r>
      <w:r>
        <w:rPr>
          <w:color w:val="231F20"/>
        </w:rPr>
        <w:t>Kidal</w:t>
      </w:r>
      <w:r>
        <w:rPr>
          <w:color w:val="231F20"/>
          <w:spacing w:val="-6"/>
        </w:rPr>
        <w:t> </w:t>
      </w:r>
      <w:r>
        <w:rPr>
          <w:color w:val="231F20"/>
        </w:rPr>
        <w:t>où</w:t>
      </w:r>
      <w:r>
        <w:rPr>
          <w:color w:val="231F20"/>
          <w:spacing w:val="-6"/>
        </w:rPr>
        <w:t> </w:t>
      </w:r>
      <w:r>
        <w:rPr>
          <w:color w:val="231F20"/>
        </w:rPr>
        <w:t>il</w:t>
      </w:r>
      <w:r>
        <w:rPr>
          <w:color w:val="231F20"/>
          <w:spacing w:val="-5"/>
        </w:rPr>
        <w:t> </w:t>
      </w:r>
      <w:r>
        <w:rPr>
          <w:color w:val="231F20"/>
        </w:rPr>
        <w:t>meurt</w:t>
      </w:r>
      <w:r>
        <w:rPr>
          <w:color w:val="231F20"/>
          <w:spacing w:val="-6"/>
        </w:rPr>
        <w:t> </w:t>
      </w:r>
      <w:r>
        <w:rPr>
          <w:color w:val="231F20"/>
        </w:rPr>
        <w:t>le</w:t>
      </w:r>
      <w:r>
        <w:rPr>
          <w:color w:val="231F20"/>
          <w:spacing w:val="-6"/>
        </w:rPr>
        <w:t> </w:t>
      </w:r>
      <w:r>
        <w:rPr>
          <w:color w:val="231F20"/>
        </w:rPr>
        <w:t>16</w:t>
      </w:r>
      <w:r>
        <w:rPr>
          <w:color w:val="231F20"/>
          <w:spacing w:val="-6"/>
        </w:rPr>
        <w:t> </w:t>
      </w:r>
      <w:r>
        <w:rPr>
          <w:color w:val="231F20"/>
        </w:rPr>
        <w:t>mai</w:t>
      </w:r>
      <w:r>
        <w:rPr>
          <w:color w:val="231F20"/>
          <w:spacing w:val="-8"/>
        </w:rPr>
        <w:t> </w:t>
      </w:r>
      <w:r>
        <w:rPr>
          <w:color w:val="231F20"/>
        </w:rPr>
        <w:t>1977</w:t>
      </w:r>
      <w:r>
        <w:rPr>
          <w:color w:val="231F20"/>
          <w:spacing w:val="-6"/>
        </w:rPr>
        <w:t> </w:t>
      </w:r>
      <w:r>
        <w:rPr>
          <w:color w:val="231F20"/>
        </w:rPr>
        <w:t>à</w:t>
      </w:r>
      <w:r>
        <w:rPr>
          <w:color w:val="231F20"/>
          <w:spacing w:val="-6"/>
        </w:rPr>
        <w:t> </w:t>
      </w:r>
      <w:r>
        <w:rPr>
          <w:color w:val="231F20"/>
        </w:rPr>
        <w:t>l’âge</w:t>
      </w:r>
      <w:r>
        <w:rPr>
          <w:color w:val="231F20"/>
          <w:spacing w:val="-6"/>
        </w:rPr>
        <w:t> </w:t>
      </w:r>
      <w:r>
        <w:rPr>
          <w:color w:val="231F20"/>
        </w:rPr>
        <w:t>de</w:t>
      </w:r>
      <w:r>
        <w:rPr>
          <w:color w:val="231F20"/>
          <w:spacing w:val="-7"/>
        </w:rPr>
        <w:t> </w:t>
      </w:r>
      <w:r>
        <w:rPr>
          <w:color w:val="231F20"/>
        </w:rPr>
        <w:t>61</w:t>
      </w:r>
      <w:r>
        <w:rPr>
          <w:color w:val="231F20"/>
          <w:spacing w:val="-6"/>
        </w:rPr>
        <w:t> </w:t>
      </w:r>
      <w:r>
        <w:rPr>
          <w:color w:val="231F20"/>
        </w:rPr>
        <w:t>ans</w:t>
      </w:r>
      <w:r>
        <w:rPr>
          <w:color w:val="231F20"/>
          <w:spacing w:val="-11"/>
        </w:rPr>
        <w:t> </w:t>
      </w:r>
      <w:r>
        <w:rPr>
          <w:color w:val="231F20"/>
          <w:spacing w:val="-10"/>
        </w:rPr>
        <w:t>:</w:t>
      </w:r>
    </w:p>
    <w:p>
      <w:pPr>
        <w:pStyle w:val="BodyText"/>
        <w:spacing w:before="42"/>
        <w:ind w:left="0"/>
        <w:jc w:val="left"/>
        <w:rPr>
          <w:sz w:val="20"/>
        </w:rPr>
      </w:pPr>
      <w:r>
        <w:rPr/>
        <mc:AlternateContent>
          <mc:Choice Requires="wps">
            <w:drawing>
              <wp:anchor distT="0" distB="0" distL="0" distR="0" allowOverlap="1" layoutInCell="1" locked="0" behindDoc="1" simplePos="0" relativeHeight="487616000">
                <wp:simplePos x="0" y="0"/>
                <wp:positionH relativeFrom="page">
                  <wp:posOffset>629907</wp:posOffset>
                </wp:positionH>
                <wp:positionV relativeFrom="paragraph">
                  <wp:posOffset>188432</wp:posOffset>
                </wp:positionV>
                <wp:extent cx="1829435" cy="9525"/>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837188pt;width:144.020pt;height:.72pt;mso-position-horizontal-relative:page;mso-position-vertical-relative:paragraph;z-index:-15700480;mso-wrap-distance-left:0;mso-wrap-distance-right:0" id="docshape72"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88</w:t>
      </w:r>
      <w:r>
        <w:rPr>
          <w:color w:val="76787A"/>
          <w:spacing w:val="2"/>
          <w:sz w:val="20"/>
          <w:vertAlign w:val="baseline"/>
        </w:rPr>
        <w:t> </w:t>
      </w:r>
      <w:r>
        <w:rPr>
          <w:color w:val="231F20"/>
          <w:spacing w:val="-4"/>
          <w:sz w:val="20"/>
          <w:vertAlign w:val="baseline"/>
        </w:rPr>
        <w:t>Discours</w:t>
      </w:r>
      <w:r>
        <w:rPr>
          <w:color w:val="231F20"/>
          <w:spacing w:val="-5"/>
          <w:sz w:val="20"/>
          <w:vertAlign w:val="baseline"/>
        </w:rPr>
        <w:t> </w:t>
      </w:r>
      <w:r>
        <w:rPr>
          <w:color w:val="231F20"/>
          <w:spacing w:val="-4"/>
          <w:sz w:val="20"/>
          <w:vertAlign w:val="baseline"/>
        </w:rPr>
        <w:t>du</w:t>
      </w:r>
      <w:r>
        <w:rPr>
          <w:color w:val="231F20"/>
          <w:sz w:val="20"/>
          <w:vertAlign w:val="baseline"/>
        </w:rPr>
        <w:t> </w:t>
      </w:r>
      <w:r>
        <w:rPr>
          <w:color w:val="231F20"/>
          <w:spacing w:val="-4"/>
          <w:sz w:val="20"/>
          <w:vertAlign w:val="baseline"/>
        </w:rPr>
        <w:t>Président</w:t>
      </w:r>
      <w:r>
        <w:rPr>
          <w:color w:val="231F20"/>
          <w:spacing w:val="-3"/>
          <w:sz w:val="20"/>
          <w:vertAlign w:val="baseline"/>
        </w:rPr>
        <w:t> </w:t>
      </w:r>
      <w:r>
        <w:rPr>
          <w:color w:val="231F20"/>
          <w:spacing w:val="-4"/>
          <w:sz w:val="20"/>
          <w:vertAlign w:val="baseline"/>
        </w:rPr>
        <w:t>Modibo Kéïta,</w:t>
      </w:r>
      <w:r>
        <w:rPr>
          <w:color w:val="231F20"/>
          <w:spacing w:val="-2"/>
          <w:sz w:val="20"/>
          <w:vertAlign w:val="baseline"/>
        </w:rPr>
        <w:t> </w:t>
      </w:r>
      <w:r>
        <w:rPr>
          <w:color w:val="231F20"/>
          <w:spacing w:val="-4"/>
          <w:sz w:val="20"/>
          <w:vertAlign w:val="baseline"/>
        </w:rPr>
        <w:t>le</w:t>
      </w:r>
      <w:r>
        <w:rPr>
          <w:color w:val="231F20"/>
          <w:spacing w:val="-2"/>
          <w:sz w:val="20"/>
          <w:vertAlign w:val="baseline"/>
        </w:rPr>
        <w:t> </w:t>
      </w:r>
      <w:r>
        <w:rPr>
          <w:color w:val="231F20"/>
          <w:spacing w:val="-4"/>
          <w:sz w:val="20"/>
          <w:vertAlign w:val="baseline"/>
        </w:rPr>
        <w:t>21</w:t>
      </w:r>
      <w:r>
        <w:rPr>
          <w:color w:val="231F20"/>
          <w:sz w:val="20"/>
          <w:vertAlign w:val="baseline"/>
        </w:rPr>
        <w:t> </w:t>
      </w:r>
      <w:r>
        <w:rPr>
          <w:color w:val="231F20"/>
          <w:spacing w:val="-4"/>
          <w:sz w:val="20"/>
          <w:vertAlign w:val="baseline"/>
        </w:rPr>
        <w:t>janvier</w:t>
      </w:r>
      <w:r>
        <w:rPr>
          <w:color w:val="231F20"/>
          <w:spacing w:val="-3"/>
          <w:sz w:val="20"/>
          <w:vertAlign w:val="baseline"/>
        </w:rPr>
        <w:t> </w:t>
      </w:r>
      <w:r>
        <w:rPr>
          <w:color w:val="231F20"/>
          <w:spacing w:val="-4"/>
          <w:sz w:val="20"/>
          <w:vertAlign w:val="baseline"/>
        </w:rPr>
        <w:t>1961</w:t>
      </w:r>
    </w:p>
    <w:p>
      <w:pPr>
        <w:spacing w:after="0"/>
        <w:jc w:val="left"/>
        <w:rPr>
          <w:sz w:val="20"/>
        </w:rPr>
        <w:sectPr>
          <w:footerReference w:type="even" r:id="rId34"/>
          <w:footerReference w:type="default" r:id="rId35"/>
          <w:pgSz w:w="8790" w:h="13610"/>
          <w:pgMar w:header="0" w:footer="802" w:top="1060" w:bottom="1000" w:left="880" w:right="880"/>
          <w:pgNumType w:start="90"/>
        </w:sectPr>
      </w:pPr>
    </w:p>
    <w:p>
      <w:pPr>
        <w:pStyle w:val="BodyText"/>
        <w:spacing w:before="66"/>
        <w:ind w:right="105"/>
      </w:pPr>
      <w:r>
        <w:rPr>
          <w:color w:val="231F20"/>
        </w:rPr>
        <w:t>les militaires ne fournissent aucune explication sur les causes ou les circonstances du décès.</w:t>
      </w:r>
    </w:p>
    <w:p>
      <w:pPr>
        <w:pStyle w:val="BodyText"/>
        <w:spacing w:before="120"/>
        <w:ind w:right="109" w:firstLine="283"/>
      </w:pPr>
      <w:r>
        <w:rPr>
          <w:color w:val="231F20"/>
        </w:rPr>
        <w:t>Durant neuf ans, de 1968 à 1977, le pays est dirigé par le Comité Militaire</w:t>
      </w:r>
      <w:r>
        <w:rPr>
          <w:color w:val="231F20"/>
          <w:spacing w:val="-5"/>
        </w:rPr>
        <w:t> </w:t>
      </w:r>
      <w:r>
        <w:rPr>
          <w:color w:val="231F20"/>
        </w:rPr>
        <w:t>de</w:t>
      </w:r>
      <w:r>
        <w:rPr>
          <w:color w:val="231F20"/>
          <w:spacing w:val="-5"/>
        </w:rPr>
        <w:t> </w:t>
      </w:r>
      <w:r>
        <w:rPr>
          <w:color w:val="231F20"/>
        </w:rPr>
        <w:t>Libération</w:t>
      </w:r>
      <w:r>
        <w:rPr>
          <w:color w:val="231F20"/>
          <w:spacing w:val="-5"/>
        </w:rPr>
        <w:t> </w:t>
      </w:r>
      <w:r>
        <w:rPr>
          <w:color w:val="231F20"/>
        </w:rPr>
        <w:t>Nationale</w:t>
      </w:r>
      <w:r>
        <w:rPr>
          <w:color w:val="231F20"/>
          <w:spacing w:val="-6"/>
        </w:rPr>
        <w:t> </w:t>
      </w:r>
      <w:r>
        <w:rPr>
          <w:color w:val="231F20"/>
        </w:rPr>
        <w:t>(CMLN)</w:t>
      </w:r>
      <w:r>
        <w:rPr>
          <w:color w:val="231F20"/>
          <w:spacing w:val="-6"/>
        </w:rPr>
        <w:t> </w:t>
      </w:r>
      <w:r>
        <w:rPr>
          <w:color w:val="231F20"/>
        </w:rPr>
        <w:t>de</w:t>
      </w:r>
      <w:r>
        <w:rPr>
          <w:color w:val="231F20"/>
          <w:spacing w:val="-8"/>
        </w:rPr>
        <w:t> </w:t>
      </w:r>
      <w:r>
        <w:rPr>
          <w:color w:val="231F20"/>
        </w:rPr>
        <w:t>Moussa</w:t>
      </w:r>
      <w:r>
        <w:rPr>
          <w:color w:val="231F20"/>
          <w:spacing w:val="-6"/>
        </w:rPr>
        <w:t> </w:t>
      </w:r>
      <w:r>
        <w:rPr>
          <w:color w:val="231F20"/>
        </w:rPr>
        <w:t>Traoré.</w:t>
      </w:r>
    </w:p>
    <w:p>
      <w:pPr>
        <w:pStyle w:val="BodyText"/>
        <w:spacing w:before="120"/>
        <w:ind w:right="111" w:firstLine="283"/>
      </w:pPr>
      <w:r>
        <w:rPr>
          <w:color w:val="231F20"/>
          <w:spacing w:val="-2"/>
        </w:rPr>
        <w:t>Le</w:t>
      </w:r>
      <w:r>
        <w:rPr>
          <w:color w:val="231F20"/>
          <w:spacing w:val="-13"/>
        </w:rPr>
        <w:t> </w:t>
      </w:r>
      <w:r>
        <w:rPr>
          <w:color w:val="231F20"/>
          <w:spacing w:val="-2"/>
        </w:rPr>
        <w:t>26</w:t>
      </w:r>
      <w:r>
        <w:rPr>
          <w:color w:val="231F20"/>
          <w:spacing w:val="-13"/>
        </w:rPr>
        <w:t> </w:t>
      </w:r>
      <w:r>
        <w:rPr>
          <w:color w:val="231F20"/>
          <w:spacing w:val="-2"/>
        </w:rPr>
        <w:t>Mars</w:t>
      </w:r>
      <w:r>
        <w:rPr>
          <w:color w:val="231F20"/>
          <w:spacing w:val="-13"/>
        </w:rPr>
        <w:t> </w:t>
      </w:r>
      <w:r>
        <w:rPr>
          <w:color w:val="231F20"/>
          <w:spacing w:val="-2"/>
        </w:rPr>
        <w:t>1991,</w:t>
      </w:r>
      <w:r>
        <w:rPr>
          <w:color w:val="231F20"/>
          <w:spacing w:val="-13"/>
        </w:rPr>
        <w:t> </w:t>
      </w:r>
      <w:r>
        <w:rPr>
          <w:color w:val="231F20"/>
          <w:spacing w:val="-2"/>
        </w:rPr>
        <w:t>Moussa</w:t>
      </w:r>
      <w:r>
        <w:rPr>
          <w:color w:val="231F20"/>
          <w:spacing w:val="-13"/>
        </w:rPr>
        <w:t> </w:t>
      </w:r>
      <w:r>
        <w:rPr>
          <w:color w:val="231F20"/>
          <w:spacing w:val="-2"/>
        </w:rPr>
        <w:t>Traoré</w:t>
      </w:r>
      <w:r>
        <w:rPr>
          <w:color w:val="231F20"/>
          <w:spacing w:val="-13"/>
        </w:rPr>
        <w:t> </w:t>
      </w:r>
      <w:r>
        <w:rPr>
          <w:color w:val="231F20"/>
          <w:spacing w:val="-2"/>
        </w:rPr>
        <w:t>est</w:t>
      </w:r>
      <w:r>
        <w:rPr>
          <w:color w:val="231F20"/>
          <w:spacing w:val="-13"/>
        </w:rPr>
        <w:t> </w:t>
      </w:r>
      <w:r>
        <w:rPr>
          <w:color w:val="231F20"/>
          <w:spacing w:val="-2"/>
        </w:rPr>
        <w:t>renversé</w:t>
      </w:r>
      <w:r>
        <w:rPr>
          <w:color w:val="231F20"/>
          <w:spacing w:val="-13"/>
        </w:rPr>
        <w:t> </w:t>
      </w:r>
      <w:r>
        <w:rPr>
          <w:color w:val="231F20"/>
          <w:spacing w:val="-2"/>
        </w:rPr>
        <w:t>à</w:t>
      </w:r>
      <w:r>
        <w:rPr>
          <w:color w:val="231F20"/>
          <w:spacing w:val="-13"/>
        </w:rPr>
        <w:t> </w:t>
      </w:r>
      <w:r>
        <w:rPr>
          <w:color w:val="231F20"/>
          <w:spacing w:val="-2"/>
        </w:rPr>
        <w:t>son</w:t>
      </w:r>
      <w:r>
        <w:rPr>
          <w:color w:val="231F20"/>
          <w:spacing w:val="-13"/>
        </w:rPr>
        <w:t> </w:t>
      </w:r>
      <w:r>
        <w:rPr>
          <w:color w:val="231F20"/>
          <w:spacing w:val="-2"/>
        </w:rPr>
        <w:t>tour</w:t>
      </w:r>
      <w:r>
        <w:rPr>
          <w:color w:val="231F20"/>
          <w:spacing w:val="-13"/>
        </w:rPr>
        <w:t> </w:t>
      </w:r>
      <w:r>
        <w:rPr>
          <w:color w:val="231F20"/>
          <w:spacing w:val="-2"/>
        </w:rPr>
        <w:t>par</w:t>
      </w:r>
      <w:r>
        <w:rPr>
          <w:color w:val="231F20"/>
          <w:spacing w:val="-13"/>
        </w:rPr>
        <w:t> </w:t>
      </w:r>
      <w:r>
        <w:rPr>
          <w:color w:val="231F20"/>
          <w:spacing w:val="-2"/>
        </w:rPr>
        <w:t>le</w:t>
      </w:r>
      <w:r>
        <w:rPr>
          <w:color w:val="231F20"/>
          <w:spacing w:val="-13"/>
        </w:rPr>
        <w:t> </w:t>
      </w:r>
      <w:r>
        <w:rPr>
          <w:color w:val="231F20"/>
          <w:spacing w:val="-2"/>
        </w:rPr>
        <w:t>général </w:t>
      </w:r>
      <w:r>
        <w:rPr>
          <w:color w:val="231F20"/>
        </w:rPr>
        <w:t>Amadou Toumani Touré. Après une période de transition, ce dernier restaure</w:t>
      </w:r>
      <w:r>
        <w:rPr>
          <w:color w:val="231F20"/>
          <w:spacing w:val="-7"/>
        </w:rPr>
        <w:t> </w:t>
      </w:r>
      <w:r>
        <w:rPr>
          <w:color w:val="231F20"/>
        </w:rPr>
        <w:t>la</w:t>
      </w:r>
      <w:r>
        <w:rPr>
          <w:color w:val="231F20"/>
          <w:spacing w:val="-9"/>
        </w:rPr>
        <w:t> </w:t>
      </w:r>
      <w:r>
        <w:rPr>
          <w:color w:val="231F20"/>
        </w:rPr>
        <w:t>démocratie</w:t>
      </w:r>
      <w:r>
        <w:rPr>
          <w:color w:val="231F20"/>
          <w:spacing w:val="-7"/>
        </w:rPr>
        <w:t> </w:t>
      </w:r>
      <w:r>
        <w:rPr>
          <w:color w:val="231F20"/>
        </w:rPr>
        <w:t>avec</w:t>
      </w:r>
      <w:r>
        <w:rPr>
          <w:color w:val="231F20"/>
          <w:spacing w:val="-7"/>
        </w:rPr>
        <w:t> </w:t>
      </w:r>
      <w:r>
        <w:rPr>
          <w:color w:val="231F20"/>
        </w:rPr>
        <w:t>l’élection</w:t>
      </w:r>
      <w:r>
        <w:rPr>
          <w:color w:val="231F20"/>
          <w:spacing w:val="-7"/>
        </w:rPr>
        <w:t> </w:t>
      </w:r>
      <w:r>
        <w:rPr>
          <w:color w:val="231F20"/>
        </w:rPr>
        <w:t>d’Alpha</w:t>
      </w:r>
      <w:r>
        <w:rPr>
          <w:color w:val="231F20"/>
          <w:spacing w:val="-10"/>
        </w:rPr>
        <w:t> </w:t>
      </w:r>
      <w:r>
        <w:rPr>
          <w:color w:val="231F20"/>
        </w:rPr>
        <w:t>Oumar</w:t>
      </w:r>
      <w:r>
        <w:rPr>
          <w:color w:val="231F20"/>
          <w:spacing w:val="-7"/>
        </w:rPr>
        <w:t> </w:t>
      </w:r>
      <w:r>
        <w:rPr>
          <w:color w:val="231F20"/>
        </w:rPr>
        <w:t>Konaré</w:t>
      </w:r>
      <w:r>
        <w:rPr>
          <w:color w:val="231F20"/>
          <w:spacing w:val="-7"/>
        </w:rPr>
        <w:t> </w:t>
      </w:r>
      <w:r>
        <w:rPr>
          <w:color w:val="231F20"/>
        </w:rPr>
        <w:t>en</w:t>
      </w:r>
      <w:r>
        <w:rPr>
          <w:color w:val="231F20"/>
          <w:spacing w:val="-7"/>
        </w:rPr>
        <w:t> </w:t>
      </w:r>
      <w:r>
        <w:rPr>
          <w:color w:val="231F20"/>
        </w:rPr>
        <w:t>1992.</w:t>
      </w:r>
    </w:p>
    <w:p>
      <w:pPr>
        <w:pStyle w:val="BodyText"/>
        <w:spacing w:before="121"/>
        <w:ind w:right="105" w:firstLine="283"/>
      </w:pPr>
      <w:r>
        <w:rPr>
          <w:color w:val="231F20"/>
        </w:rPr>
        <w:t>En</w:t>
      </w:r>
      <w:r>
        <w:rPr>
          <w:color w:val="231F20"/>
          <w:spacing w:val="-15"/>
        </w:rPr>
        <w:t> </w:t>
      </w:r>
      <w:r>
        <w:rPr>
          <w:color w:val="231F20"/>
        </w:rPr>
        <w:t>2002,</w:t>
      </w:r>
      <w:r>
        <w:rPr>
          <w:color w:val="231F20"/>
          <w:spacing w:val="-15"/>
        </w:rPr>
        <w:t> </w:t>
      </w:r>
      <w:r>
        <w:rPr>
          <w:color w:val="231F20"/>
        </w:rPr>
        <w:t>Amadou</w:t>
      </w:r>
      <w:r>
        <w:rPr>
          <w:color w:val="231F20"/>
          <w:spacing w:val="-15"/>
        </w:rPr>
        <w:t> </w:t>
      </w:r>
      <w:r>
        <w:rPr>
          <w:color w:val="231F20"/>
        </w:rPr>
        <w:t>Toumani</w:t>
      </w:r>
      <w:r>
        <w:rPr>
          <w:color w:val="231F20"/>
          <w:spacing w:val="-15"/>
        </w:rPr>
        <w:t> </w:t>
      </w:r>
      <w:r>
        <w:rPr>
          <w:color w:val="231F20"/>
        </w:rPr>
        <w:t>Touré</w:t>
      </w:r>
      <w:r>
        <w:rPr>
          <w:color w:val="231F20"/>
          <w:spacing w:val="-15"/>
        </w:rPr>
        <w:t> </w:t>
      </w:r>
      <w:r>
        <w:rPr>
          <w:color w:val="231F20"/>
        </w:rPr>
        <w:t>dans</w:t>
      </w:r>
      <w:r>
        <w:rPr>
          <w:color w:val="231F20"/>
          <w:spacing w:val="-15"/>
        </w:rPr>
        <w:t> </w:t>
      </w:r>
      <w:r>
        <w:rPr>
          <w:color w:val="231F20"/>
        </w:rPr>
        <w:t>des</w:t>
      </w:r>
      <w:r>
        <w:rPr>
          <w:color w:val="231F20"/>
          <w:spacing w:val="-15"/>
        </w:rPr>
        <w:t> </w:t>
      </w:r>
      <w:r>
        <w:rPr>
          <w:color w:val="231F20"/>
        </w:rPr>
        <w:t>habits</w:t>
      </w:r>
      <w:r>
        <w:rPr>
          <w:color w:val="231F20"/>
          <w:spacing w:val="-15"/>
        </w:rPr>
        <w:t> </w:t>
      </w:r>
      <w:r>
        <w:rPr>
          <w:color w:val="231F20"/>
        </w:rPr>
        <w:t>de</w:t>
      </w:r>
      <w:r>
        <w:rPr>
          <w:color w:val="231F20"/>
          <w:spacing w:val="-15"/>
        </w:rPr>
        <w:t> </w:t>
      </w:r>
      <w:r>
        <w:rPr>
          <w:color w:val="231F20"/>
        </w:rPr>
        <w:t>civil</w:t>
      </w:r>
      <w:r>
        <w:rPr>
          <w:color w:val="231F20"/>
          <w:spacing w:val="-15"/>
        </w:rPr>
        <w:t> </w:t>
      </w:r>
      <w:r>
        <w:rPr>
          <w:color w:val="231F20"/>
        </w:rPr>
        <w:t>puisqu’il</w:t>
      </w:r>
      <w:r>
        <w:rPr>
          <w:color w:val="231F20"/>
          <w:spacing w:val="-15"/>
        </w:rPr>
        <w:t> </w:t>
      </w:r>
      <w:r>
        <w:rPr>
          <w:color w:val="231F20"/>
        </w:rPr>
        <w:t>a quitté l’Armée pour se présenter à l’élection présidentielle, est élu président</w:t>
      </w:r>
      <w:r>
        <w:rPr>
          <w:color w:val="231F20"/>
          <w:spacing w:val="-3"/>
        </w:rPr>
        <w:t> </w:t>
      </w:r>
      <w:r>
        <w:rPr>
          <w:color w:val="231F20"/>
        </w:rPr>
        <w:t>de</w:t>
      </w:r>
      <w:r>
        <w:rPr>
          <w:color w:val="231F20"/>
          <w:spacing w:val="-5"/>
        </w:rPr>
        <w:t> </w:t>
      </w:r>
      <w:r>
        <w:rPr>
          <w:color w:val="231F20"/>
        </w:rPr>
        <w:t>la</w:t>
      </w:r>
      <w:r>
        <w:rPr>
          <w:color w:val="231F20"/>
          <w:spacing w:val="-3"/>
        </w:rPr>
        <w:t> </w:t>
      </w:r>
      <w:r>
        <w:rPr>
          <w:color w:val="231F20"/>
        </w:rPr>
        <w:t>République</w:t>
      </w:r>
      <w:r>
        <w:rPr>
          <w:color w:val="231F20"/>
          <w:spacing w:val="-3"/>
        </w:rPr>
        <w:t> </w:t>
      </w:r>
      <w:r>
        <w:rPr>
          <w:color w:val="231F20"/>
        </w:rPr>
        <w:t>du</w:t>
      </w:r>
      <w:r>
        <w:rPr>
          <w:color w:val="231F20"/>
          <w:spacing w:val="-3"/>
        </w:rPr>
        <w:t> </w:t>
      </w:r>
      <w:r>
        <w:rPr>
          <w:color w:val="231F20"/>
        </w:rPr>
        <w:t>Mali.</w:t>
      </w:r>
      <w:r>
        <w:rPr>
          <w:color w:val="231F20"/>
          <w:spacing w:val="-5"/>
        </w:rPr>
        <w:t> </w:t>
      </w:r>
      <w:r>
        <w:rPr>
          <w:color w:val="231F20"/>
        </w:rPr>
        <w:t>En</w:t>
      </w:r>
      <w:r>
        <w:rPr>
          <w:color w:val="231F20"/>
          <w:spacing w:val="-3"/>
        </w:rPr>
        <w:t> </w:t>
      </w:r>
      <w:r>
        <w:rPr>
          <w:color w:val="231F20"/>
        </w:rPr>
        <w:t>2007,</w:t>
      </w:r>
      <w:r>
        <w:rPr>
          <w:color w:val="231F20"/>
          <w:spacing w:val="-5"/>
        </w:rPr>
        <w:t> </w:t>
      </w:r>
      <w:r>
        <w:rPr>
          <w:color w:val="231F20"/>
        </w:rPr>
        <w:t>il</w:t>
      </w:r>
      <w:r>
        <w:rPr>
          <w:color w:val="231F20"/>
          <w:spacing w:val="-3"/>
        </w:rPr>
        <w:t> </w:t>
      </w:r>
      <w:r>
        <w:rPr>
          <w:color w:val="231F20"/>
        </w:rPr>
        <w:t>est</w:t>
      </w:r>
      <w:r>
        <w:rPr>
          <w:color w:val="231F20"/>
          <w:spacing w:val="-7"/>
        </w:rPr>
        <w:t> </w:t>
      </w:r>
      <w:r>
        <w:rPr>
          <w:color w:val="231F20"/>
        </w:rPr>
        <w:t>réélu.</w:t>
      </w:r>
    </w:p>
    <w:p>
      <w:pPr>
        <w:pStyle w:val="BodyText"/>
        <w:spacing w:before="120"/>
        <w:ind w:right="107" w:firstLine="283"/>
      </w:pPr>
      <w:r>
        <w:rPr>
          <w:color w:val="231F20"/>
          <w:spacing w:val="-4"/>
        </w:rPr>
        <w:t>De Janvier à</w:t>
      </w:r>
      <w:r>
        <w:rPr>
          <w:color w:val="231F20"/>
          <w:spacing w:val="-8"/>
        </w:rPr>
        <w:t> </w:t>
      </w:r>
      <w:r>
        <w:rPr>
          <w:color w:val="231F20"/>
          <w:spacing w:val="-4"/>
        </w:rPr>
        <w:t>Avril</w:t>
      </w:r>
      <w:r>
        <w:rPr>
          <w:color w:val="231F20"/>
          <w:spacing w:val="-7"/>
        </w:rPr>
        <w:t> </w:t>
      </w:r>
      <w:r>
        <w:rPr>
          <w:color w:val="231F20"/>
          <w:spacing w:val="-4"/>
        </w:rPr>
        <w:t>2012,</w:t>
      </w:r>
      <w:r>
        <w:rPr>
          <w:color w:val="231F20"/>
          <w:spacing w:val="-8"/>
        </w:rPr>
        <w:t> </w:t>
      </w:r>
      <w:r>
        <w:rPr>
          <w:color w:val="231F20"/>
          <w:spacing w:val="-4"/>
        </w:rPr>
        <w:t>le</w:t>
      </w:r>
      <w:r>
        <w:rPr>
          <w:color w:val="231F20"/>
          <w:spacing w:val="-6"/>
        </w:rPr>
        <w:t> </w:t>
      </w:r>
      <w:r>
        <w:rPr>
          <w:color w:val="231F20"/>
          <w:spacing w:val="-4"/>
        </w:rPr>
        <w:t>Mouvement</w:t>
      </w:r>
      <w:r>
        <w:rPr>
          <w:color w:val="231F20"/>
          <w:spacing w:val="-7"/>
        </w:rPr>
        <w:t> </w:t>
      </w:r>
      <w:r>
        <w:rPr>
          <w:color w:val="231F20"/>
          <w:spacing w:val="-4"/>
        </w:rPr>
        <w:t>National</w:t>
      </w:r>
      <w:r>
        <w:rPr>
          <w:color w:val="231F20"/>
          <w:spacing w:val="-8"/>
        </w:rPr>
        <w:t> </w:t>
      </w:r>
      <w:r>
        <w:rPr>
          <w:color w:val="231F20"/>
          <w:spacing w:val="-4"/>
        </w:rPr>
        <w:t>pour la</w:t>
      </w:r>
      <w:r>
        <w:rPr>
          <w:color w:val="231F20"/>
          <w:spacing w:val="-8"/>
        </w:rPr>
        <w:t> </w:t>
      </w:r>
      <w:r>
        <w:rPr>
          <w:color w:val="231F20"/>
          <w:spacing w:val="-4"/>
        </w:rPr>
        <w:t>Libération</w:t>
      </w:r>
      <w:r>
        <w:rPr>
          <w:color w:val="231F20"/>
          <w:spacing w:val="-10"/>
        </w:rPr>
        <w:t> </w:t>
      </w:r>
      <w:r>
        <w:rPr>
          <w:color w:val="231F20"/>
          <w:spacing w:val="-4"/>
        </w:rPr>
        <w:t>de l’Azawad</w:t>
      </w:r>
      <w:r>
        <w:rPr>
          <w:color w:val="231F20"/>
          <w:spacing w:val="-10"/>
        </w:rPr>
        <w:t> </w:t>
      </w:r>
      <w:r>
        <w:rPr>
          <w:color w:val="231F20"/>
          <w:spacing w:val="-4"/>
        </w:rPr>
        <w:t>(MNLA),</w:t>
      </w:r>
      <w:r>
        <w:rPr>
          <w:color w:val="231F20"/>
          <w:spacing w:val="-10"/>
        </w:rPr>
        <w:t> </w:t>
      </w:r>
      <w:r>
        <w:rPr>
          <w:color w:val="231F20"/>
          <w:spacing w:val="-4"/>
        </w:rPr>
        <w:t>allié</w:t>
      </w:r>
      <w:r>
        <w:rPr>
          <w:color w:val="231F20"/>
          <w:spacing w:val="-11"/>
        </w:rPr>
        <w:t> </w:t>
      </w:r>
      <w:r>
        <w:rPr>
          <w:color w:val="231F20"/>
          <w:spacing w:val="-4"/>
        </w:rPr>
        <w:t>aux</w:t>
      </w:r>
      <w:r>
        <w:rPr>
          <w:color w:val="231F20"/>
          <w:spacing w:val="-10"/>
        </w:rPr>
        <w:t> </w:t>
      </w:r>
      <w:r>
        <w:rPr>
          <w:color w:val="231F20"/>
          <w:spacing w:val="-4"/>
        </w:rPr>
        <w:t>groupes</w:t>
      </w:r>
      <w:r>
        <w:rPr>
          <w:color w:val="231F20"/>
          <w:spacing w:val="-10"/>
        </w:rPr>
        <w:t> </w:t>
      </w:r>
      <w:r>
        <w:rPr>
          <w:color w:val="231F20"/>
          <w:spacing w:val="-4"/>
        </w:rPr>
        <w:t>ANSAR</w:t>
      </w:r>
      <w:r>
        <w:rPr>
          <w:color w:val="231F20"/>
          <w:spacing w:val="-10"/>
        </w:rPr>
        <w:t> </w:t>
      </w:r>
      <w:r>
        <w:rPr>
          <w:color w:val="231F20"/>
          <w:spacing w:val="-4"/>
        </w:rPr>
        <w:t>DINE,</w:t>
      </w:r>
      <w:r>
        <w:rPr>
          <w:color w:val="231F20"/>
          <w:spacing w:val="-10"/>
        </w:rPr>
        <w:t> </w:t>
      </w:r>
      <w:r>
        <w:rPr>
          <w:color w:val="231F20"/>
          <w:spacing w:val="-4"/>
        </w:rPr>
        <w:t>MUJAO</w:t>
      </w:r>
      <w:r>
        <w:rPr>
          <w:color w:val="231F20"/>
          <w:spacing w:val="-10"/>
        </w:rPr>
        <w:t> </w:t>
      </w:r>
      <w:r>
        <w:rPr>
          <w:color w:val="231F20"/>
          <w:spacing w:val="-4"/>
        </w:rPr>
        <w:t>et</w:t>
      </w:r>
      <w:r>
        <w:rPr>
          <w:color w:val="231F20"/>
          <w:spacing w:val="-10"/>
        </w:rPr>
        <w:t> </w:t>
      </w:r>
      <w:r>
        <w:rPr>
          <w:color w:val="231F20"/>
          <w:spacing w:val="-4"/>
        </w:rPr>
        <w:t>AQMI, </w:t>
      </w:r>
      <w:r>
        <w:rPr>
          <w:color w:val="231F20"/>
          <w:spacing w:val="-2"/>
        </w:rPr>
        <w:t>mène</w:t>
      </w:r>
      <w:r>
        <w:rPr>
          <w:color w:val="231F20"/>
          <w:spacing w:val="-8"/>
        </w:rPr>
        <w:t> </w:t>
      </w:r>
      <w:r>
        <w:rPr>
          <w:color w:val="231F20"/>
          <w:spacing w:val="-2"/>
        </w:rPr>
        <w:t>des</w:t>
      </w:r>
      <w:r>
        <w:rPr>
          <w:color w:val="231F20"/>
          <w:spacing w:val="-7"/>
        </w:rPr>
        <w:t> </w:t>
      </w:r>
      <w:r>
        <w:rPr>
          <w:color w:val="231F20"/>
          <w:spacing w:val="-2"/>
        </w:rPr>
        <w:t>attaques</w:t>
      </w:r>
      <w:r>
        <w:rPr>
          <w:color w:val="231F20"/>
          <w:spacing w:val="-9"/>
        </w:rPr>
        <w:t> </w:t>
      </w:r>
      <w:r>
        <w:rPr>
          <w:color w:val="231F20"/>
          <w:spacing w:val="-2"/>
        </w:rPr>
        <w:t>sur</w:t>
      </w:r>
      <w:r>
        <w:rPr>
          <w:color w:val="231F20"/>
          <w:spacing w:val="-8"/>
        </w:rPr>
        <w:t> </w:t>
      </w:r>
      <w:r>
        <w:rPr>
          <w:color w:val="231F20"/>
          <w:spacing w:val="-2"/>
        </w:rPr>
        <w:t>les</w:t>
      </w:r>
      <w:r>
        <w:rPr>
          <w:color w:val="231F20"/>
          <w:spacing w:val="-9"/>
        </w:rPr>
        <w:t> </w:t>
      </w:r>
      <w:r>
        <w:rPr>
          <w:color w:val="231F20"/>
          <w:spacing w:val="-2"/>
        </w:rPr>
        <w:t>camps</w:t>
      </w:r>
      <w:r>
        <w:rPr>
          <w:color w:val="231F20"/>
          <w:spacing w:val="-7"/>
        </w:rPr>
        <w:t> </w:t>
      </w:r>
      <w:r>
        <w:rPr>
          <w:color w:val="231F20"/>
          <w:spacing w:val="-2"/>
        </w:rPr>
        <w:t>militaires</w:t>
      </w:r>
      <w:r>
        <w:rPr>
          <w:color w:val="231F20"/>
          <w:spacing w:val="-7"/>
        </w:rPr>
        <w:t> </w:t>
      </w:r>
      <w:r>
        <w:rPr>
          <w:color w:val="231F20"/>
          <w:spacing w:val="-2"/>
        </w:rPr>
        <w:t>maliens</w:t>
      </w:r>
      <w:r>
        <w:rPr>
          <w:color w:val="231F20"/>
          <w:spacing w:val="-9"/>
        </w:rPr>
        <w:t> </w:t>
      </w:r>
      <w:r>
        <w:rPr>
          <w:color w:val="231F20"/>
          <w:spacing w:val="-2"/>
        </w:rPr>
        <w:t>et</w:t>
      </w:r>
      <w:r>
        <w:rPr>
          <w:color w:val="231F20"/>
          <w:spacing w:val="-7"/>
        </w:rPr>
        <w:t> </w:t>
      </w:r>
      <w:r>
        <w:rPr>
          <w:color w:val="231F20"/>
          <w:spacing w:val="-2"/>
        </w:rPr>
        <w:t>dans</w:t>
      </w:r>
      <w:r>
        <w:rPr>
          <w:color w:val="231F20"/>
          <w:spacing w:val="-7"/>
        </w:rPr>
        <w:t> </w:t>
      </w:r>
      <w:r>
        <w:rPr>
          <w:color w:val="231F20"/>
          <w:spacing w:val="-2"/>
        </w:rPr>
        <w:t>les</w:t>
      </w:r>
      <w:r>
        <w:rPr>
          <w:color w:val="231F20"/>
          <w:spacing w:val="-8"/>
        </w:rPr>
        <w:t> </w:t>
      </w:r>
      <w:r>
        <w:rPr>
          <w:color w:val="231F20"/>
          <w:spacing w:val="-2"/>
        </w:rPr>
        <w:t>régions</w:t>
      </w:r>
      <w:r>
        <w:rPr>
          <w:color w:val="231F20"/>
          <w:spacing w:val="-7"/>
        </w:rPr>
        <w:t> </w:t>
      </w:r>
      <w:r>
        <w:rPr>
          <w:color w:val="231F20"/>
          <w:spacing w:val="-2"/>
        </w:rPr>
        <w:t>de </w:t>
      </w:r>
      <w:r>
        <w:rPr>
          <w:color w:val="231F20"/>
        </w:rPr>
        <w:t>Gao, de Tombouctou et de Kidal.</w:t>
      </w:r>
    </w:p>
    <w:p>
      <w:pPr>
        <w:pStyle w:val="BodyText"/>
        <w:spacing w:before="120"/>
        <w:ind w:right="106" w:firstLine="283"/>
      </w:pPr>
      <w:r>
        <w:rPr>
          <w:color w:val="231F20"/>
        </w:rPr>
        <w:t>L’Armée malienne ressemble à «</w:t>
      </w:r>
      <w:r>
        <w:rPr>
          <w:color w:val="231F20"/>
          <w:spacing w:val="-11"/>
        </w:rPr>
        <w:t> </w:t>
      </w:r>
      <w:r>
        <w:rPr>
          <w:i/>
          <w:color w:val="231F20"/>
        </w:rPr>
        <w:t>une armée mexicaine</w:t>
      </w:r>
      <w:r>
        <w:rPr>
          <w:i/>
          <w:color w:val="231F20"/>
          <w:spacing w:val="-12"/>
        </w:rPr>
        <w:t> </w:t>
      </w:r>
      <w:r>
        <w:rPr>
          <w:i/>
          <w:color w:val="231F20"/>
        </w:rPr>
        <w:t>»</w:t>
      </w:r>
      <w:r>
        <w:rPr>
          <w:i/>
          <w:color w:val="231F20"/>
          <w:spacing w:val="-13"/>
        </w:rPr>
        <w:t> </w:t>
      </w:r>
      <w:r>
        <w:rPr>
          <w:color w:val="231F20"/>
        </w:rPr>
        <w:t>: de </w:t>
      </w:r>
      <w:r>
        <w:rPr>
          <w:color w:val="231F20"/>
          <w:spacing w:val="-2"/>
        </w:rPr>
        <w:t>nombreux</w:t>
      </w:r>
      <w:r>
        <w:rPr>
          <w:color w:val="231F20"/>
          <w:spacing w:val="-7"/>
        </w:rPr>
        <w:t> </w:t>
      </w:r>
      <w:r>
        <w:rPr>
          <w:color w:val="231F20"/>
          <w:spacing w:val="-2"/>
        </w:rPr>
        <w:t>généraux</w:t>
      </w:r>
      <w:r>
        <w:rPr>
          <w:color w:val="231F20"/>
          <w:spacing w:val="-7"/>
        </w:rPr>
        <w:t> </w:t>
      </w:r>
      <w:r>
        <w:rPr>
          <w:color w:val="231F20"/>
          <w:spacing w:val="-2"/>
        </w:rPr>
        <w:t>embourgeoisés</w:t>
      </w:r>
      <w:r>
        <w:rPr>
          <w:color w:val="231F20"/>
          <w:spacing w:val="-6"/>
        </w:rPr>
        <w:t> </w:t>
      </w:r>
      <w:r>
        <w:rPr>
          <w:color w:val="231F20"/>
          <w:spacing w:val="-2"/>
        </w:rPr>
        <w:t>ignorant</w:t>
      </w:r>
      <w:r>
        <w:rPr>
          <w:color w:val="231F20"/>
          <w:spacing w:val="-6"/>
        </w:rPr>
        <w:t> </w:t>
      </w:r>
      <w:r>
        <w:rPr>
          <w:color w:val="231F20"/>
          <w:spacing w:val="-2"/>
        </w:rPr>
        <w:t>les</w:t>
      </w:r>
      <w:r>
        <w:rPr>
          <w:color w:val="231F20"/>
          <w:spacing w:val="-7"/>
        </w:rPr>
        <w:t> </w:t>
      </w:r>
      <w:r>
        <w:rPr>
          <w:color w:val="231F20"/>
          <w:spacing w:val="-2"/>
        </w:rPr>
        <w:t>réalités</w:t>
      </w:r>
      <w:r>
        <w:rPr>
          <w:color w:val="231F20"/>
          <w:spacing w:val="-7"/>
        </w:rPr>
        <w:t> </w:t>
      </w:r>
      <w:r>
        <w:rPr>
          <w:color w:val="231F20"/>
          <w:spacing w:val="-2"/>
        </w:rPr>
        <w:t>du</w:t>
      </w:r>
      <w:r>
        <w:rPr>
          <w:color w:val="231F20"/>
          <w:spacing w:val="-7"/>
        </w:rPr>
        <w:t> </w:t>
      </w:r>
      <w:r>
        <w:rPr>
          <w:color w:val="231F20"/>
          <w:spacing w:val="-2"/>
        </w:rPr>
        <w:t>terrain</w:t>
      </w:r>
      <w:r>
        <w:rPr>
          <w:color w:val="231F20"/>
          <w:spacing w:val="-6"/>
        </w:rPr>
        <w:t> </w:t>
      </w:r>
      <w:r>
        <w:rPr>
          <w:color w:val="231F20"/>
          <w:spacing w:val="-2"/>
        </w:rPr>
        <w:t>et</w:t>
      </w:r>
      <w:r>
        <w:rPr>
          <w:color w:val="231F20"/>
          <w:spacing w:val="-5"/>
        </w:rPr>
        <w:t> </w:t>
      </w:r>
      <w:r>
        <w:rPr>
          <w:color w:val="231F20"/>
          <w:spacing w:val="-2"/>
        </w:rPr>
        <w:t>des </w:t>
      </w:r>
      <w:r>
        <w:rPr>
          <w:color w:val="231F20"/>
        </w:rPr>
        <w:t>hommes de troupes sous équipés. Par manque de moyens, l’Armée </w:t>
      </w:r>
      <w:r>
        <w:rPr>
          <w:color w:val="231F20"/>
          <w:spacing w:val="-2"/>
        </w:rPr>
        <w:t>malienne</w:t>
      </w:r>
      <w:r>
        <w:rPr>
          <w:color w:val="231F20"/>
          <w:spacing w:val="-7"/>
        </w:rPr>
        <w:t> </w:t>
      </w:r>
      <w:r>
        <w:rPr>
          <w:color w:val="231F20"/>
          <w:spacing w:val="-2"/>
        </w:rPr>
        <w:t>subit</w:t>
      </w:r>
      <w:r>
        <w:rPr>
          <w:color w:val="231F20"/>
          <w:spacing w:val="-7"/>
        </w:rPr>
        <w:t> </w:t>
      </w:r>
      <w:r>
        <w:rPr>
          <w:color w:val="231F20"/>
          <w:spacing w:val="-2"/>
        </w:rPr>
        <w:t>des</w:t>
      </w:r>
      <w:r>
        <w:rPr>
          <w:color w:val="231F20"/>
          <w:spacing w:val="-7"/>
        </w:rPr>
        <w:t> </w:t>
      </w:r>
      <w:r>
        <w:rPr>
          <w:color w:val="231F20"/>
          <w:spacing w:val="-2"/>
        </w:rPr>
        <w:t>revers</w:t>
      </w:r>
      <w:r>
        <w:rPr>
          <w:color w:val="231F20"/>
          <w:spacing w:val="-9"/>
        </w:rPr>
        <w:t> </w:t>
      </w:r>
      <w:r>
        <w:rPr>
          <w:color w:val="231F20"/>
          <w:spacing w:val="-2"/>
        </w:rPr>
        <w:t>face</w:t>
      </w:r>
      <w:r>
        <w:rPr>
          <w:color w:val="231F20"/>
          <w:spacing w:val="-7"/>
        </w:rPr>
        <w:t> </w:t>
      </w:r>
      <w:r>
        <w:rPr>
          <w:color w:val="231F20"/>
          <w:spacing w:val="-2"/>
        </w:rPr>
        <w:t>aux</w:t>
      </w:r>
      <w:r>
        <w:rPr>
          <w:color w:val="231F20"/>
          <w:spacing w:val="-7"/>
        </w:rPr>
        <w:t> </w:t>
      </w:r>
      <w:r>
        <w:rPr>
          <w:color w:val="231F20"/>
          <w:spacing w:val="-2"/>
        </w:rPr>
        <w:t>combattants</w:t>
      </w:r>
      <w:r>
        <w:rPr>
          <w:color w:val="231F20"/>
          <w:spacing w:val="-7"/>
        </w:rPr>
        <w:t> </w:t>
      </w:r>
      <w:r>
        <w:rPr>
          <w:color w:val="231F20"/>
          <w:spacing w:val="-2"/>
        </w:rPr>
        <w:t>du</w:t>
      </w:r>
      <w:r>
        <w:rPr>
          <w:color w:val="231F20"/>
          <w:spacing w:val="-9"/>
        </w:rPr>
        <w:t> </w:t>
      </w:r>
      <w:r>
        <w:rPr>
          <w:color w:val="231F20"/>
          <w:spacing w:val="-2"/>
        </w:rPr>
        <w:t>MNLA</w:t>
      </w:r>
      <w:r>
        <w:rPr>
          <w:color w:val="231F20"/>
          <w:spacing w:val="-7"/>
        </w:rPr>
        <w:t> </w:t>
      </w:r>
      <w:r>
        <w:rPr>
          <w:color w:val="231F20"/>
          <w:spacing w:val="-2"/>
        </w:rPr>
        <w:t>qui</w:t>
      </w:r>
      <w:r>
        <w:rPr>
          <w:color w:val="231F20"/>
          <w:spacing w:val="-5"/>
        </w:rPr>
        <w:t> </w:t>
      </w:r>
      <w:r>
        <w:rPr>
          <w:color w:val="231F20"/>
          <w:spacing w:val="-2"/>
        </w:rPr>
        <w:t>réclament </w:t>
      </w:r>
      <w:r>
        <w:rPr>
          <w:color w:val="231F20"/>
        </w:rPr>
        <w:t>l’indépendance des</w:t>
      </w:r>
      <w:r>
        <w:rPr>
          <w:color w:val="231F20"/>
          <w:spacing w:val="-2"/>
        </w:rPr>
        <w:t> </w:t>
      </w:r>
      <w:r>
        <w:rPr>
          <w:color w:val="231F20"/>
        </w:rPr>
        <w:t>trois</w:t>
      </w:r>
      <w:r>
        <w:rPr>
          <w:color w:val="231F20"/>
          <w:spacing w:val="-1"/>
        </w:rPr>
        <w:t> </w:t>
      </w:r>
      <w:r>
        <w:rPr>
          <w:color w:val="231F20"/>
        </w:rPr>
        <w:t>régions</w:t>
      </w:r>
      <w:r>
        <w:rPr>
          <w:color w:val="231F20"/>
          <w:spacing w:val="-2"/>
        </w:rPr>
        <w:t> </w:t>
      </w:r>
      <w:r>
        <w:rPr>
          <w:color w:val="231F20"/>
        </w:rPr>
        <w:t>situées au Nord.</w:t>
      </w:r>
    </w:p>
    <w:p>
      <w:pPr>
        <w:pStyle w:val="BodyText"/>
        <w:spacing w:before="120"/>
        <w:ind w:right="105" w:firstLine="283"/>
      </w:pPr>
      <w:r>
        <w:rPr>
          <w:color w:val="231F20"/>
        </w:rPr>
        <w:t>Le</w:t>
      </w:r>
      <w:r>
        <w:rPr>
          <w:color w:val="231F20"/>
          <w:spacing w:val="-13"/>
        </w:rPr>
        <w:t> </w:t>
      </w:r>
      <w:r>
        <w:rPr>
          <w:color w:val="231F20"/>
        </w:rPr>
        <w:t>21</w:t>
      </w:r>
      <w:r>
        <w:rPr>
          <w:color w:val="231F20"/>
          <w:spacing w:val="-14"/>
        </w:rPr>
        <w:t> </w:t>
      </w:r>
      <w:r>
        <w:rPr>
          <w:color w:val="231F20"/>
        </w:rPr>
        <w:t>Mars</w:t>
      </w:r>
      <w:r>
        <w:rPr>
          <w:color w:val="231F20"/>
          <w:spacing w:val="-14"/>
        </w:rPr>
        <w:t> </w:t>
      </w:r>
      <w:r>
        <w:rPr>
          <w:color w:val="231F20"/>
        </w:rPr>
        <w:t>2012,</w:t>
      </w:r>
      <w:r>
        <w:rPr>
          <w:color w:val="231F20"/>
          <w:spacing w:val="-14"/>
        </w:rPr>
        <w:t> </w:t>
      </w:r>
      <w:r>
        <w:rPr>
          <w:color w:val="231F20"/>
        </w:rPr>
        <w:t>une</w:t>
      </w:r>
      <w:r>
        <w:rPr>
          <w:color w:val="231F20"/>
          <w:spacing w:val="-14"/>
        </w:rPr>
        <w:t> </w:t>
      </w:r>
      <w:r>
        <w:rPr>
          <w:color w:val="231F20"/>
        </w:rPr>
        <w:t>mutinerie</w:t>
      </w:r>
      <w:r>
        <w:rPr>
          <w:color w:val="231F20"/>
          <w:spacing w:val="-15"/>
        </w:rPr>
        <w:t> </w:t>
      </w:r>
      <w:r>
        <w:rPr>
          <w:color w:val="231F20"/>
        </w:rPr>
        <w:t>de</w:t>
      </w:r>
      <w:r>
        <w:rPr>
          <w:color w:val="231F20"/>
          <w:spacing w:val="-15"/>
        </w:rPr>
        <w:t> </w:t>
      </w:r>
      <w:r>
        <w:rPr>
          <w:color w:val="231F20"/>
        </w:rPr>
        <w:t>soldats</w:t>
      </w:r>
      <w:r>
        <w:rPr>
          <w:color w:val="231F20"/>
          <w:spacing w:val="-14"/>
        </w:rPr>
        <w:t> </w:t>
      </w:r>
      <w:r>
        <w:rPr>
          <w:color w:val="231F20"/>
        </w:rPr>
        <w:t>éclate</w:t>
      </w:r>
      <w:r>
        <w:rPr>
          <w:color w:val="231F20"/>
          <w:spacing w:val="-15"/>
        </w:rPr>
        <w:t> </w:t>
      </w:r>
      <w:r>
        <w:rPr>
          <w:color w:val="231F20"/>
        </w:rPr>
        <w:t>à</w:t>
      </w:r>
      <w:r>
        <w:rPr>
          <w:color w:val="231F20"/>
          <w:spacing w:val="-14"/>
        </w:rPr>
        <w:t> </w:t>
      </w:r>
      <w:r>
        <w:rPr>
          <w:color w:val="231F20"/>
        </w:rPr>
        <w:t>Bamako</w:t>
      </w:r>
      <w:r>
        <w:rPr>
          <w:color w:val="231F20"/>
          <w:spacing w:val="-14"/>
        </w:rPr>
        <w:t> </w:t>
      </w:r>
      <w:r>
        <w:rPr>
          <w:color w:val="231F20"/>
        </w:rPr>
        <w:t>et</w:t>
      </w:r>
      <w:r>
        <w:rPr>
          <w:color w:val="231F20"/>
          <w:spacing w:val="-14"/>
        </w:rPr>
        <w:t> </w:t>
      </w:r>
      <w:r>
        <w:rPr>
          <w:color w:val="231F20"/>
        </w:rPr>
        <w:t>à</w:t>
      </w:r>
      <w:r>
        <w:rPr>
          <w:color w:val="231F20"/>
          <w:spacing w:val="-15"/>
        </w:rPr>
        <w:t> </w:t>
      </w:r>
      <w:r>
        <w:rPr>
          <w:color w:val="231F20"/>
        </w:rPr>
        <w:t>Gao. Ils protestent contre la gestion gouvernementale de la guerre et leur manque de moyens</w:t>
      </w:r>
      <w:r>
        <w:rPr>
          <w:color w:val="231F20"/>
          <w:spacing w:val="-14"/>
        </w:rPr>
        <w:t> </w:t>
      </w:r>
      <w:r>
        <w:rPr>
          <w:color w:val="231F20"/>
        </w:rPr>
        <w:t>: les hommes du Capitaine Amadou Haya Sanogo investissent le palais présidentiel. Le président Amadou renversé, le Capitaine</w:t>
      </w:r>
      <w:r>
        <w:rPr>
          <w:color w:val="231F20"/>
          <w:spacing w:val="-1"/>
        </w:rPr>
        <w:t> </w:t>
      </w:r>
      <w:r>
        <w:rPr>
          <w:color w:val="231F20"/>
        </w:rPr>
        <w:t>Sanogo s’empare du pouvoir et devient président du</w:t>
      </w:r>
      <w:r>
        <w:rPr>
          <w:color w:val="231F20"/>
          <w:spacing w:val="-15"/>
        </w:rPr>
        <w:t> </w:t>
      </w:r>
      <w:r>
        <w:rPr>
          <w:color w:val="231F20"/>
        </w:rPr>
        <w:t>Comité National pour le Redressement de la Démocratie et la Restauration de l’État</w:t>
      </w:r>
      <w:r>
        <w:rPr>
          <w:color w:val="231F20"/>
          <w:spacing w:val="-14"/>
        </w:rPr>
        <w:t> </w:t>
      </w:r>
      <w:r>
        <w:rPr>
          <w:color w:val="231F20"/>
        </w:rPr>
        <w:t>(CNRDRE). Il suspend aussitôt les institutions ainsi que la </w:t>
      </w:r>
      <w:r>
        <w:rPr>
          <w:color w:val="231F20"/>
          <w:spacing w:val="-2"/>
        </w:rPr>
        <w:t>Constitution.</w:t>
      </w:r>
    </w:p>
    <w:p>
      <w:pPr>
        <w:pStyle w:val="BodyText"/>
        <w:spacing w:before="121"/>
        <w:ind w:right="103" w:firstLine="283"/>
      </w:pPr>
      <w:r>
        <w:rPr>
          <w:color w:val="231F20"/>
        </w:rPr>
        <w:t>Le</w:t>
      </w:r>
      <w:r>
        <w:rPr>
          <w:color w:val="231F20"/>
          <w:spacing w:val="-3"/>
        </w:rPr>
        <w:t> </w:t>
      </w:r>
      <w:r>
        <w:rPr>
          <w:color w:val="231F20"/>
        </w:rPr>
        <w:t>coup</w:t>
      </w:r>
      <w:r>
        <w:rPr>
          <w:color w:val="231F20"/>
          <w:spacing w:val="-3"/>
        </w:rPr>
        <w:t> </w:t>
      </w:r>
      <w:r>
        <w:rPr>
          <w:color w:val="231F20"/>
        </w:rPr>
        <w:t>d’État</w:t>
      </w:r>
      <w:r>
        <w:rPr>
          <w:color w:val="231F20"/>
          <w:spacing w:val="-1"/>
        </w:rPr>
        <w:t> </w:t>
      </w:r>
      <w:r>
        <w:rPr>
          <w:color w:val="231F20"/>
        </w:rPr>
        <w:t>est</w:t>
      </w:r>
      <w:r>
        <w:rPr>
          <w:color w:val="231F20"/>
          <w:spacing w:val="-1"/>
        </w:rPr>
        <w:t> </w:t>
      </w:r>
      <w:r>
        <w:rPr>
          <w:color w:val="231F20"/>
        </w:rPr>
        <w:t>décrié</w:t>
      </w:r>
      <w:r>
        <w:rPr>
          <w:color w:val="231F20"/>
          <w:spacing w:val="-2"/>
        </w:rPr>
        <w:t> </w:t>
      </w:r>
      <w:r>
        <w:rPr>
          <w:color w:val="231F20"/>
        </w:rPr>
        <w:t>par</w:t>
      </w:r>
      <w:r>
        <w:rPr>
          <w:color w:val="231F20"/>
          <w:spacing w:val="-2"/>
        </w:rPr>
        <w:t> </w:t>
      </w:r>
      <w:r>
        <w:rPr>
          <w:color w:val="231F20"/>
        </w:rPr>
        <w:t>toute</w:t>
      </w:r>
      <w:r>
        <w:rPr>
          <w:color w:val="231F20"/>
          <w:spacing w:val="-4"/>
        </w:rPr>
        <w:t> </w:t>
      </w:r>
      <w:r>
        <w:rPr>
          <w:color w:val="231F20"/>
        </w:rPr>
        <w:t>la</w:t>
      </w:r>
      <w:r>
        <w:rPr>
          <w:color w:val="231F20"/>
          <w:spacing w:val="-2"/>
        </w:rPr>
        <w:t> </w:t>
      </w:r>
      <w:r>
        <w:rPr>
          <w:color w:val="231F20"/>
        </w:rPr>
        <w:t>communauté</w:t>
      </w:r>
      <w:r>
        <w:rPr>
          <w:color w:val="231F20"/>
          <w:spacing w:val="-2"/>
        </w:rPr>
        <w:t> </w:t>
      </w:r>
      <w:r>
        <w:rPr>
          <w:color w:val="231F20"/>
        </w:rPr>
        <w:t>internationale,</w:t>
      </w:r>
      <w:r>
        <w:rPr>
          <w:color w:val="231F20"/>
          <w:spacing w:val="-3"/>
        </w:rPr>
        <w:t> </w:t>
      </w:r>
      <w:r>
        <w:rPr>
          <w:color w:val="231F20"/>
        </w:rPr>
        <w:t>le trouvant «</w:t>
      </w:r>
      <w:r>
        <w:rPr>
          <w:color w:val="231F20"/>
          <w:spacing w:val="-15"/>
        </w:rPr>
        <w:t> </w:t>
      </w:r>
      <w:r>
        <w:rPr>
          <w:color w:val="231F20"/>
        </w:rPr>
        <w:t>ridicule</w:t>
      </w:r>
      <w:r>
        <w:rPr>
          <w:color w:val="231F20"/>
          <w:spacing w:val="-15"/>
        </w:rPr>
        <w:t> </w:t>
      </w:r>
      <w:r>
        <w:rPr>
          <w:color w:val="231F20"/>
        </w:rPr>
        <w:t>». En effet, le second mandat du Président Amadou Toumani</w:t>
      </w:r>
      <w:r>
        <w:rPr>
          <w:color w:val="231F20"/>
          <w:spacing w:val="-15"/>
        </w:rPr>
        <w:t> </w:t>
      </w:r>
      <w:r>
        <w:rPr>
          <w:color w:val="231F20"/>
        </w:rPr>
        <w:t>Touré</w:t>
      </w:r>
      <w:r>
        <w:rPr>
          <w:color w:val="231F20"/>
          <w:spacing w:val="-15"/>
        </w:rPr>
        <w:t> </w:t>
      </w:r>
      <w:r>
        <w:rPr>
          <w:color w:val="231F20"/>
        </w:rPr>
        <w:t>prend</w:t>
      </w:r>
      <w:r>
        <w:rPr>
          <w:color w:val="231F20"/>
          <w:spacing w:val="-15"/>
        </w:rPr>
        <w:t> </w:t>
      </w:r>
      <w:r>
        <w:rPr>
          <w:color w:val="231F20"/>
        </w:rPr>
        <w:t>fin</w:t>
      </w:r>
      <w:r>
        <w:rPr>
          <w:color w:val="231F20"/>
          <w:spacing w:val="-15"/>
        </w:rPr>
        <w:t> </w:t>
      </w:r>
      <w:r>
        <w:rPr>
          <w:color w:val="231F20"/>
        </w:rPr>
        <w:t>dans</w:t>
      </w:r>
      <w:r>
        <w:rPr>
          <w:color w:val="231F20"/>
          <w:spacing w:val="-15"/>
        </w:rPr>
        <w:t> </w:t>
      </w:r>
      <w:r>
        <w:rPr>
          <w:color w:val="231F20"/>
        </w:rPr>
        <w:t>un</w:t>
      </w:r>
      <w:r>
        <w:rPr>
          <w:color w:val="231F20"/>
          <w:spacing w:val="-15"/>
        </w:rPr>
        <w:t> </w:t>
      </w:r>
      <w:r>
        <w:rPr>
          <w:color w:val="231F20"/>
        </w:rPr>
        <w:t>mois,</w:t>
      </w:r>
      <w:r>
        <w:rPr>
          <w:color w:val="231F20"/>
          <w:spacing w:val="-15"/>
        </w:rPr>
        <w:t> </w:t>
      </w:r>
      <w:r>
        <w:rPr>
          <w:color w:val="231F20"/>
        </w:rPr>
        <w:t>date</w:t>
      </w:r>
      <w:r>
        <w:rPr>
          <w:color w:val="231F20"/>
          <w:spacing w:val="-15"/>
        </w:rPr>
        <w:t> </w:t>
      </w:r>
      <w:r>
        <w:rPr>
          <w:color w:val="231F20"/>
        </w:rPr>
        <w:t>de</w:t>
      </w:r>
      <w:r>
        <w:rPr>
          <w:color w:val="231F20"/>
          <w:spacing w:val="-15"/>
        </w:rPr>
        <w:t> </w:t>
      </w:r>
      <w:r>
        <w:rPr>
          <w:color w:val="231F20"/>
        </w:rPr>
        <w:t>l’élection</w:t>
      </w:r>
      <w:r>
        <w:rPr>
          <w:color w:val="231F20"/>
          <w:spacing w:val="-15"/>
        </w:rPr>
        <w:t> </w:t>
      </w:r>
      <w:r>
        <w:rPr>
          <w:color w:val="231F20"/>
        </w:rPr>
        <w:t>présidentielle. Conformément</w:t>
      </w:r>
      <w:r>
        <w:rPr>
          <w:color w:val="231F20"/>
          <w:spacing w:val="-13"/>
        </w:rPr>
        <w:t> </w:t>
      </w:r>
      <w:r>
        <w:rPr>
          <w:color w:val="231F20"/>
        </w:rPr>
        <w:t>à</w:t>
      </w:r>
      <w:r>
        <w:rPr>
          <w:color w:val="231F20"/>
          <w:spacing w:val="-13"/>
        </w:rPr>
        <w:t> </w:t>
      </w:r>
      <w:r>
        <w:rPr>
          <w:color w:val="231F20"/>
        </w:rPr>
        <w:t>la</w:t>
      </w:r>
      <w:r>
        <w:rPr>
          <w:color w:val="231F20"/>
          <w:spacing w:val="-13"/>
        </w:rPr>
        <w:t> </w:t>
      </w:r>
      <w:r>
        <w:rPr>
          <w:color w:val="231F20"/>
        </w:rPr>
        <w:t>Constitution</w:t>
      </w:r>
      <w:r>
        <w:rPr>
          <w:color w:val="231F20"/>
          <w:spacing w:val="-13"/>
        </w:rPr>
        <w:t> </w:t>
      </w:r>
      <w:r>
        <w:rPr>
          <w:color w:val="231F20"/>
        </w:rPr>
        <w:t>qui</w:t>
      </w:r>
      <w:r>
        <w:rPr>
          <w:color w:val="231F20"/>
          <w:spacing w:val="-14"/>
        </w:rPr>
        <w:t> </w:t>
      </w:r>
      <w:r>
        <w:rPr>
          <w:color w:val="231F20"/>
        </w:rPr>
        <w:t>limite</w:t>
      </w:r>
      <w:r>
        <w:rPr>
          <w:color w:val="231F20"/>
          <w:spacing w:val="-13"/>
        </w:rPr>
        <w:t> </w:t>
      </w:r>
      <w:r>
        <w:rPr>
          <w:color w:val="231F20"/>
        </w:rPr>
        <w:t>le</w:t>
      </w:r>
      <w:r>
        <w:rPr>
          <w:color w:val="231F20"/>
          <w:spacing w:val="-13"/>
        </w:rPr>
        <w:t> </w:t>
      </w:r>
      <w:r>
        <w:rPr>
          <w:color w:val="231F20"/>
        </w:rPr>
        <w:t>nombre</w:t>
      </w:r>
      <w:r>
        <w:rPr>
          <w:color w:val="231F20"/>
          <w:spacing w:val="-13"/>
        </w:rPr>
        <w:t> </w:t>
      </w:r>
      <w:r>
        <w:rPr>
          <w:color w:val="231F20"/>
        </w:rPr>
        <w:t>de</w:t>
      </w:r>
      <w:r>
        <w:rPr>
          <w:color w:val="231F20"/>
          <w:spacing w:val="-13"/>
        </w:rPr>
        <w:t> </w:t>
      </w:r>
      <w:r>
        <w:rPr>
          <w:color w:val="231F20"/>
        </w:rPr>
        <w:t>mandat</w:t>
      </w:r>
      <w:r>
        <w:rPr>
          <w:color w:val="231F20"/>
          <w:spacing w:val="-13"/>
        </w:rPr>
        <w:t> </w:t>
      </w:r>
      <w:r>
        <w:rPr>
          <w:color w:val="231F20"/>
        </w:rPr>
        <w:t>à</w:t>
      </w:r>
      <w:r>
        <w:rPr>
          <w:color w:val="231F20"/>
          <w:spacing w:val="-14"/>
        </w:rPr>
        <w:t> </w:t>
      </w:r>
      <w:r>
        <w:rPr>
          <w:color w:val="231F20"/>
        </w:rPr>
        <w:t>deux, </w:t>
      </w:r>
      <w:r>
        <w:rPr>
          <w:color w:val="231F20"/>
          <w:spacing w:val="-4"/>
        </w:rPr>
        <w:t>le</w:t>
      </w:r>
      <w:r>
        <w:rPr>
          <w:color w:val="231F20"/>
          <w:spacing w:val="-11"/>
        </w:rPr>
        <w:t> </w:t>
      </w:r>
      <w:r>
        <w:rPr>
          <w:color w:val="231F20"/>
          <w:spacing w:val="-4"/>
        </w:rPr>
        <w:t>Président</w:t>
      </w:r>
      <w:r>
        <w:rPr>
          <w:color w:val="231F20"/>
          <w:spacing w:val="-11"/>
        </w:rPr>
        <w:t> </w:t>
      </w:r>
      <w:r>
        <w:rPr>
          <w:color w:val="231F20"/>
          <w:spacing w:val="-4"/>
        </w:rPr>
        <w:t>sortant</w:t>
      </w:r>
      <w:r>
        <w:rPr>
          <w:color w:val="231F20"/>
          <w:spacing w:val="-11"/>
        </w:rPr>
        <w:t> </w:t>
      </w:r>
      <w:r>
        <w:rPr>
          <w:color w:val="231F20"/>
          <w:spacing w:val="-4"/>
        </w:rPr>
        <w:t>a</w:t>
      </w:r>
      <w:r>
        <w:rPr>
          <w:color w:val="231F20"/>
          <w:spacing w:val="-11"/>
        </w:rPr>
        <w:t> </w:t>
      </w:r>
      <w:r>
        <w:rPr>
          <w:color w:val="231F20"/>
          <w:spacing w:val="-4"/>
        </w:rPr>
        <w:t>confirmé,</w:t>
      </w:r>
      <w:r>
        <w:rPr>
          <w:color w:val="231F20"/>
          <w:spacing w:val="-11"/>
        </w:rPr>
        <w:t> </w:t>
      </w:r>
      <w:r>
        <w:rPr>
          <w:color w:val="231F20"/>
          <w:spacing w:val="-4"/>
        </w:rPr>
        <w:t>lors</w:t>
      </w:r>
      <w:r>
        <w:rPr>
          <w:color w:val="231F20"/>
          <w:spacing w:val="-10"/>
        </w:rPr>
        <w:t> </w:t>
      </w:r>
      <w:r>
        <w:rPr>
          <w:color w:val="231F20"/>
          <w:spacing w:val="-4"/>
        </w:rPr>
        <w:t>d’une</w:t>
      </w:r>
      <w:r>
        <w:rPr>
          <w:color w:val="231F20"/>
          <w:spacing w:val="-11"/>
        </w:rPr>
        <w:t> </w:t>
      </w:r>
      <w:r>
        <w:rPr>
          <w:color w:val="231F20"/>
          <w:spacing w:val="-4"/>
        </w:rPr>
        <w:t>Conférence</w:t>
      </w:r>
      <w:r>
        <w:rPr>
          <w:color w:val="231F20"/>
          <w:spacing w:val="-9"/>
        </w:rPr>
        <w:t> </w:t>
      </w:r>
      <w:r>
        <w:rPr>
          <w:color w:val="231F20"/>
          <w:spacing w:val="-4"/>
        </w:rPr>
        <w:t>de</w:t>
      </w:r>
      <w:r>
        <w:rPr>
          <w:color w:val="231F20"/>
          <w:spacing w:val="-11"/>
        </w:rPr>
        <w:t> </w:t>
      </w:r>
      <w:r>
        <w:rPr>
          <w:color w:val="231F20"/>
          <w:spacing w:val="-4"/>
        </w:rPr>
        <w:t>presse,</w:t>
      </w:r>
      <w:r>
        <w:rPr>
          <w:color w:val="231F20"/>
          <w:spacing w:val="-10"/>
        </w:rPr>
        <w:t> </w:t>
      </w:r>
      <w:r>
        <w:rPr>
          <w:color w:val="231F20"/>
          <w:spacing w:val="-4"/>
        </w:rPr>
        <w:t>le</w:t>
      </w:r>
      <w:r>
        <w:rPr>
          <w:color w:val="231F20"/>
          <w:spacing w:val="-11"/>
        </w:rPr>
        <w:t> </w:t>
      </w:r>
      <w:r>
        <w:rPr>
          <w:color w:val="231F20"/>
          <w:spacing w:val="-4"/>
        </w:rPr>
        <w:t>12</w:t>
      </w:r>
      <w:r>
        <w:rPr>
          <w:color w:val="231F20"/>
          <w:spacing w:val="-11"/>
        </w:rPr>
        <w:t> </w:t>
      </w:r>
      <w:r>
        <w:rPr>
          <w:color w:val="231F20"/>
          <w:spacing w:val="-4"/>
        </w:rPr>
        <w:t>juin </w:t>
      </w:r>
      <w:r>
        <w:rPr>
          <w:color w:val="231F20"/>
        </w:rPr>
        <w:t>2011</w:t>
      </w:r>
      <w:r>
        <w:rPr>
          <w:color w:val="231F20"/>
          <w:spacing w:val="-15"/>
        </w:rPr>
        <w:t> </w:t>
      </w:r>
      <w:r>
        <w:rPr>
          <w:color w:val="231F20"/>
        </w:rPr>
        <w:t>qu’il ne se représentera pas. Alors que gagnent les militaires à le pousser</w:t>
      </w:r>
      <w:r>
        <w:rPr>
          <w:color w:val="231F20"/>
          <w:spacing w:val="-2"/>
        </w:rPr>
        <w:t> </w:t>
      </w:r>
      <w:r>
        <w:rPr>
          <w:color w:val="231F20"/>
        </w:rPr>
        <w:t>hors</w:t>
      </w:r>
      <w:r>
        <w:rPr>
          <w:color w:val="231F20"/>
          <w:spacing w:val="-2"/>
        </w:rPr>
        <w:t> </w:t>
      </w:r>
      <w:r>
        <w:rPr>
          <w:color w:val="231F20"/>
        </w:rPr>
        <w:t>du pouvoir à</w:t>
      </w:r>
      <w:r>
        <w:rPr>
          <w:color w:val="231F20"/>
          <w:spacing w:val="-3"/>
        </w:rPr>
        <w:t> </w:t>
      </w:r>
      <w:r>
        <w:rPr>
          <w:color w:val="231F20"/>
        </w:rPr>
        <w:t>un mois</w:t>
      </w:r>
      <w:r>
        <w:rPr>
          <w:color w:val="231F20"/>
          <w:spacing w:val="-2"/>
        </w:rPr>
        <w:t> </w:t>
      </w:r>
      <w:r>
        <w:rPr>
          <w:color w:val="231F20"/>
        </w:rPr>
        <w:t>des élections ?</w:t>
      </w:r>
    </w:p>
    <w:p>
      <w:pPr>
        <w:pStyle w:val="BodyText"/>
        <w:spacing w:before="120"/>
        <w:ind w:left="395"/>
      </w:pPr>
      <w:r>
        <w:rPr>
          <w:color w:val="231F20"/>
        </w:rPr>
        <w:t>Le</w:t>
      </w:r>
      <w:r>
        <w:rPr>
          <w:color w:val="231F20"/>
          <w:spacing w:val="74"/>
          <w:w w:val="150"/>
        </w:rPr>
        <w:t> </w:t>
      </w:r>
      <w:r>
        <w:rPr>
          <w:color w:val="231F20"/>
        </w:rPr>
        <w:t>1er</w:t>
      </w:r>
      <w:r>
        <w:rPr>
          <w:color w:val="231F20"/>
          <w:spacing w:val="75"/>
          <w:w w:val="150"/>
        </w:rPr>
        <w:t> </w:t>
      </w:r>
      <w:r>
        <w:rPr>
          <w:color w:val="231F20"/>
        </w:rPr>
        <w:t>avril</w:t>
      </w:r>
      <w:r>
        <w:rPr>
          <w:color w:val="231F20"/>
          <w:spacing w:val="75"/>
          <w:w w:val="150"/>
        </w:rPr>
        <w:t> </w:t>
      </w:r>
      <w:r>
        <w:rPr>
          <w:color w:val="231F20"/>
        </w:rPr>
        <w:t>2012,</w:t>
      </w:r>
      <w:r>
        <w:rPr>
          <w:color w:val="231F20"/>
          <w:spacing w:val="72"/>
          <w:w w:val="150"/>
        </w:rPr>
        <w:t> </w:t>
      </w:r>
      <w:r>
        <w:rPr>
          <w:color w:val="231F20"/>
        </w:rPr>
        <w:t>le</w:t>
      </w:r>
      <w:r>
        <w:rPr>
          <w:color w:val="231F20"/>
          <w:spacing w:val="72"/>
          <w:w w:val="150"/>
        </w:rPr>
        <w:t> </w:t>
      </w:r>
      <w:r>
        <w:rPr>
          <w:color w:val="231F20"/>
        </w:rPr>
        <w:t>Capitaine</w:t>
      </w:r>
      <w:r>
        <w:rPr>
          <w:color w:val="231F20"/>
          <w:spacing w:val="75"/>
          <w:w w:val="150"/>
        </w:rPr>
        <w:t> </w:t>
      </w:r>
      <w:r>
        <w:rPr>
          <w:color w:val="231F20"/>
        </w:rPr>
        <w:t>putschiste,</w:t>
      </w:r>
      <w:r>
        <w:rPr>
          <w:color w:val="231F20"/>
          <w:spacing w:val="72"/>
          <w:w w:val="150"/>
        </w:rPr>
        <w:t> </w:t>
      </w:r>
      <w:r>
        <w:rPr>
          <w:color w:val="231F20"/>
        </w:rPr>
        <w:t>sous</w:t>
      </w:r>
      <w:r>
        <w:rPr>
          <w:color w:val="231F20"/>
          <w:spacing w:val="73"/>
          <w:w w:val="150"/>
        </w:rPr>
        <w:t> </w:t>
      </w:r>
      <w:r>
        <w:rPr>
          <w:color w:val="231F20"/>
        </w:rPr>
        <w:t>la</w:t>
      </w:r>
      <w:r>
        <w:rPr>
          <w:color w:val="231F20"/>
          <w:spacing w:val="75"/>
          <w:w w:val="150"/>
        </w:rPr>
        <w:t> </w:t>
      </w:r>
      <w:r>
        <w:rPr>
          <w:color w:val="231F20"/>
          <w:spacing w:val="-2"/>
        </w:rPr>
        <w:t>pression</w:t>
      </w:r>
    </w:p>
    <w:p>
      <w:pPr>
        <w:pStyle w:val="BodyText"/>
      </w:pPr>
      <w:r>
        <w:rPr>
          <w:color w:val="231F20"/>
          <w:spacing w:val="-2"/>
        </w:rPr>
        <w:t>internationale</w:t>
      </w:r>
      <w:r>
        <w:rPr>
          <w:color w:val="231F20"/>
          <w:spacing w:val="-8"/>
        </w:rPr>
        <w:t> </w:t>
      </w:r>
      <w:r>
        <w:rPr>
          <w:color w:val="231F20"/>
          <w:spacing w:val="-2"/>
        </w:rPr>
        <w:t>et</w:t>
      </w:r>
      <w:r>
        <w:rPr>
          <w:color w:val="231F20"/>
          <w:spacing w:val="-3"/>
        </w:rPr>
        <w:t> </w:t>
      </w:r>
      <w:r>
        <w:rPr>
          <w:color w:val="231F20"/>
          <w:spacing w:val="-2"/>
        </w:rPr>
        <w:t>de</w:t>
      </w:r>
      <w:r>
        <w:rPr>
          <w:color w:val="231F20"/>
          <w:spacing w:val="-6"/>
        </w:rPr>
        <w:t> </w:t>
      </w:r>
      <w:r>
        <w:rPr>
          <w:color w:val="231F20"/>
          <w:spacing w:val="-2"/>
        </w:rPr>
        <w:t>l’avancée</w:t>
      </w:r>
      <w:r>
        <w:rPr>
          <w:color w:val="231F20"/>
          <w:spacing w:val="-5"/>
        </w:rPr>
        <w:t> </w:t>
      </w:r>
      <w:r>
        <w:rPr>
          <w:color w:val="231F20"/>
          <w:spacing w:val="-2"/>
        </w:rPr>
        <w:t>des</w:t>
      </w:r>
      <w:r>
        <w:rPr>
          <w:color w:val="231F20"/>
          <w:spacing w:val="-4"/>
        </w:rPr>
        <w:t> </w:t>
      </w:r>
      <w:r>
        <w:rPr>
          <w:color w:val="231F20"/>
          <w:spacing w:val="-2"/>
        </w:rPr>
        <w:t>rebelles</w:t>
      </w:r>
      <w:r>
        <w:rPr>
          <w:color w:val="231F20"/>
          <w:spacing w:val="-4"/>
        </w:rPr>
        <w:t> </w:t>
      </w:r>
      <w:r>
        <w:rPr>
          <w:color w:val="231F20"/>
          <w:spacing w:val="-2"/>
        </w:rPr>
        <w:t>au</w:t>
      </w:r>
      <w:r>
        <w:rPr>
          <w:color w:val="231F20"/>
          <w:spacing w:val="-5"/>
        </w:rPr>
        <w:t> </w:t>
      </w:r>
      <w:r>
        <w:rPr>
          <w:color w:val="231F20"/>
          <w:spacing w:val="-2"/>
        </w:rPr>
        <w:t>Nord-Est</w:t>
      </w:r>
      <w:r>
        <w:rPr>
          <w:color w:val="231F20"/>
          <w:spacing w:val="-4"/>
        </w:rPr>
        <w:t> </w:t>
      </w:r>
      <w:r>
        <w:rPr>
          <w:color w:val="231F20"/>
          <w:spacing w:val="-2"/>
        </w:rPr>
        <w:t>du</w:t>
      </w:r>
      <w:r>
        <w:rPr>
          <w:color w:val="231F20"/>
          <w:spacing w:val="-6"/>
        </w:rPr>
        <w:t> </w:t>
      </w:r>
      <w:r>
        <w:rPr>
          <w:color w:val="231F20"/>
          <w:spacing w:val="-2"/>
        </w:rPr>
        <w:t>Mali,</w:t>
      </w:r>
      <w:r>
        <w:rPr>
          <w:color w:val="231F20"/>
          <w:spacing w:val="-4"/>
        </w:rPr>
        <w:t> </w:t>
      </w:r>
      <w:r>
        <w:rPr>
          <w:color w:val="231F20"/>
          <w:spacing w:val="-2"/>
        </w:rPr>
        <w:t>annonce</w:t>
      </w:r>
    </w:p>
    <w:p>
      <w:pPr>
        <w:spacing w:after="0"/>
        <w:sectPr>
          <w:pgSz w:w="8790" w:h="13610"/>
          <w:pgMar w:header="0" w:footer="802" w:top="1060" w:bottom="1000" w:left="880" w:right="880"/>
        </w:sectPr>
      </w:pPr>
    </w:p>
    <w:p>
      <w:pPr>
        <w:pStyle w:val="BodyText"/>
        <w:spacing w:before="66"/>
        <w:ind w:right="103"/>
      </w:pPr>
      <w:r>
        <w:rPr>
          <w:color w:val="231F20"/>
        </w:rPr>
        <w:t>le</w:t>
      </w:r>
      <w:r>
        <w:rPr>
          <w:color w:val="231F20"/>
          <w:spacing w:val="-15"/>
        </w:rPr>
        <w:t> </w:t>
      </w:r>
      <w:r>
        <w:rPr>
          <w:color w:val="231F20"/>
        </w:rPr>
        <w:t>rétablissement</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Constitution</w:t>
      </w:r>
      <w:r>
        <w:rPr>
          <w:color w:val="231F20"/>
          <w:spacing w:val="-15"/>
        </w:rPr>
        <w:t> </w:t>
      </w:r>
      <w:r>
        <w:rPr>
          <w:color w:val="231F20"/>
        </w:rPr>
        <w:t>Malienne</w:t>
      </w:r>
      <w:r>
        <w:rPr>
          <w:color w:val="231F20"/>
          <w:spacing w:val="-15"/>
        </w:rPr>
        <w:t> </w:t>
      </w:r>
      <w:r>
        <w:rPr>
          <w:color w:val="231F20"/>
        </w:rPr>
        <w:t>de</w:t>
      </w:r>
      <w:r>
        <w:rPr>
          <w:color w:val="231F20"/>
          <w:spacing w:val="-15"/>
        </w:rPr>
        <w:t> </w:t>
      </w:r>
      <w:r>
        <w:rPr>
          <w:color w:val="231F20"/>
        </w:rPr>
        <w:t>1992</w:t>
      </w:r>
      <w:r>
        <w:rPr>
          <w:color w:val="231F20"/>
          <w:spacing w:val="-15"/>
        </w:rPr>
        <w:t> </w:t>
      </w:r>
      <w:r>
        <w:rPr>
          <w:color w:val="231F20"/>
        </w:rPr>
        <w:t>et</w:t>
      </w:r>
      <w:r>
        <w:rPr>
          <w:color w:val="231F20"/>
          <w:spacing w:val="-15"/>
        </w:rPr>
        <w:t> </w:t>
      </w:r>
      <w:r>
        <w:rPr>
          <w:color w:val="231F20"/>
        </w:rPr>
        <w:t>des</w:t>
      </w:r>
      <w:r>
        <w:rPr>
          <w:color w:val="231F20"/>
          <w:spacing w:val="-15"/>
        </w:rPr>
        <w:t> </w:t>
      </w:r>
      <w:r>
        <w:rPr>
          <w:color w:val="231F20"/>
        </w:rPr>
        <w:t>Institutions mais</w:t>
      </w:r>
      <w:r>
        <w:rPr>
          <w:color w:val="231F20"/>
          <w:spacing w:val="-15"/>
        </w:rPr>
        <w:t> </w:t>
      </w:r>
      <w:r>
        <w:rPr>
          <w:color w:val="231F20"/>
        </w:rPr>
        <w:t>précise</w:t>
      </w:r>
      <w:r>
        <w:rPr>
          <w:color w:val="231F20"/>
          <w:spacing w:val="-12"/>
        </w:rPr>
        <w:t> </w:t>
      </w:r>
      <w:r>
        <w:rPr>
          <w:color w:val="231F20"/>
        </w:rPr>
        <w:t>que</w:t>
      </w:r>
      <w:r>
        <w:rPr>
          <w:color w:val="231F20"/>
          <w:spacing w:val="-13"/>
        </w:rPr>
        <w:t> </w:t>
      </w:r>
      <w:r>
        <w:rPr>
          <w:color w:val="231F20"/>
        </w:rPr>
        <w:t>le</w:t>
      </w:r>
      <w:r>
        <w:rPr>
          <w:color w:val="231F20"/>
          <w:spacing w:val="-12"/>
        </w:rPr>
        <w:t> </w:t>
      </w:r>
      <w:r>
        <w:rPr>
          <w:color w:val="231F20"/>
        </w:rPr>
        <w:t>CNRDRE</w:t>
      </w:r>
      <w:r>
        <w:rPr>
          <w:color w:val="231F20"/>
          <w:spacing w:val="-15"/>
        </w:rPr>
        <w:t> </w:t>
      </w:r>
      <w:r>
        <w:rPr>
          <w:color w:val="231F20"/>
        </w:rPr>
        <w:t>demeure</w:t>
      </w:r>
      <w:r>
        <w:rPr>
          <w:color w:val="231F20"/>
          <w:spacing w:val="-13"/>
        </w:rPr>
        <w:t> </w:t>
      </w:r>
      <w:r>
        <w:rPr>
          <w:color w:val="231F20"/>
        </w:rPr>
        <w:t>l’autorité</w:t>
      </w:r>
      <w:r>
        <w:rPr>
          <w:color w:val="231F20"/>
          <w:spacing w:val="-13"/>
        </w:rPr>
        <w:t> </w:t>
      </w:r>
      <w:r>
        <w:rPr>
          <w:color w:val="231F20"/>
        </w:rPr>
        <w:t>suprême</w:t>
      </w:r>
      <w:r>
        <w:rPr>
          <w:color w:val="231F20"/>
          <w:spacing w:val="-13"/>
        </w:rPr>
        <w:t> </w:t>
      </w:r>
      <w:r>
        <w:rPr>
          <w:color w:val="231F20"/>
        </w:rPr>
        <w:t>du</w:t>
      </w:r>
      <w:r>
        <w:rPr>
          <w:color w:val="231F20"/>
          <w:spacing w:val="-12"/>
        </w:rPr>
        <w:t> </w:t>
      </w:r>
      <w:r>
        <w:rPr>
          <w:color w:val="231F20"/>
        </w:rPr>
        <w:t>pays.</w:t>
      </w:r>
      <w:r>
        <w:rPr>
          <w:color w:val="231F20"/>
          <w:spacing w:val="-12"/>
        </w:rPr>
        <w:t> </w:t>
      </w:r>
      <w:r>
        <w:rPr>
          <w:color w:val="231F20"/>
        </w:rPr>
        <w:t>Le</w:t>
      </w:r>
      <w:r>
        <w:rPr>
          <w:color w:val="231F20"/>
          <w:spacing w:val="-15"/>
        </w:rPr>
        <w:t> </w:t>
      </w:r>
      <w:r>
        <w:rPr>
          <w:color w:val="231F20"/>
        </w:rPr>
        <w:t>6 </w:t>
      </w:r>
      <w:r>
        <w:rPr>
          <w:color w:val="231F20"/>
          <w:spacing w:val="-2"/>
        </w:rPr>
        <w:t>avril,</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demande</w:t>
      </w:r>
      <w:r>
        <w:rPr>
          <w:color w:val="231F20"/>
          <w:spacing w:val="-13"/>
        </w:rPr>
        <w:t> </w:t>
      </w:r>
      <w:r>
        <w:rPr>
          <w:color w:val="231F20"/>
          <w:spacing w:val="-2"/>
        </w:rPr>
        <w:t>insistante</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Communauté</w:t>
      </w:r>
      <w:r>
        <w:rPr>
          <w:color w:val="231F20"/>
          <w:spacing w:val="-13"/>
        </w:rPr>
        <w:t> </w:t>
      </w:r>
      <w:r>
        <w:rPr>
          <w:color w:val="231F20"/>
          <w:spacing w:val="-2"/>
        </w:rPr>
        <w:t>internationale,</w:t>
      </w:r>
      <w:r>
        <w:rPr>
          <w:color w:val="231F20"/>
          <w:spacing w:val="-13"/>
        </w:rPr>
        <w:t> </w:t>
      </w:r>
      <w:r>
        <w:rPr>
          <w:color w:val="231F20"/>
          <w:spacing w:val="-2"/>
        </w:rPr>
        <w:t>il</w:t>
      </w:r>
      <w:r>
        <w:rPr>
          <w:color w:val="231F20"/>
          <w:spacing w:val="-13"/>
        </w:rPr>
        <w:t> </w:t>
      </w:r>
      <w:r>
        <w:rPr>
          <w:color w:val="231F20"/>
          <w:spacing w:val="-2"/>
        </w:rPr>
        <w:t>rétablit </w:t>
      </w:r>
      <w:r>
        <w:rPr>
          <w:color w:val="231F20"/>
          <w:spacing w:val="-4"/>
        </w:rPr>
        <w:t>les</w:t>
      </w:r>
      <w:r>
        <w:rPr>
          <w:color w:val="231F20"/>
          <w:spacing w:val="-8"/>
        </w:rPr>
        <w:t> </w:t>
      </w:r>
      <w:r>
        <w:rPr>
          <w:color w:val="231F20"/>
          <w:spacing w:val="-4"/>
        </w:rPr>
        <w:t>institutions démocratiques</w:t>
      </w:r>
      <w:r>
        <w:rPr>
          <w:color w:val="231F20"/>
          <w:spacing w:val="-6"/>
        </w:rPr>
        <w:t> </w:t>
      </w:r>
      <w:r>
        <w:rPr>
          <w:color w:val="231F20"/>
          <w:spacing w:val="-4"/>
        </w:rPr>
        <w:t>qui</w:t>
      </w:r>
      <w:r>
        <w:rPr>
          <w:color w:val="231F20"/>
          <w:spacing w:val="-7"/>
        </w:rPr>
        <w:t> </w:t>
      </w:r>
      <w:r>
        <w:rPr>
          <w:color w:val="231F20"/>
          <w:spacing w:val="-4"/>
        </w:rPr>
        <w:t>prévoient</w:t>
      </w:r>
      <w:r>
        <w:rPr>
          <w:color w:val="231F20"/>
          <w:spacing w:val="-7"/>
        </w:rPr>
        <w:t> </w:t>
      </w:r>
      <w:r>
        <w:rPr>
          <w:color w:val="231F20"/>
          <w:spacing w:val="-4"/>
        </w:rPr>
        <w:t>que</w:t>
      </w:r>
      <w:r>
        <w:rPr>
          <w:color w:val="231F20"/>
          <w:spacing w:val="-8"/>
        </w:rPr>
        <w:t> </w:t>
      </w:r>
      <w:r>
        <w:rPr>
          <w:color w:val="231F20"/>
          <w:spacing w:val="-4"/>
        </w:rPr>
        <w:t>l’intérim</w:t>
      </w:r>
      <w:r>
        <w:rPr>
          <w:color w:val="231F20"/>
          <w:spacing w:val="-8"/>
        </w:rPr>
        <w:t> </w:t>
      </w:r>
      <w:r>
        <w:rPr>
          <w:color w:val="231F20"/>
          <w:spacing w:val="-4"/>
        </w:rPr>
        <w:t>de</w:t>
      </w:r>
      <w:r>
        <w:rPr>
          <w:color w:val="231F20"/>
          <w:spacing w:val="-6"/>
        </w:rPr>
        <w:t> </w:t>
      </w:r>
      <w:r>
        <w:rPr>
          <w:color w:val="231F20"/>
          <w:spacing w:val="-4"/>
        </w:rPr>
        <w:t>la</w:t>
      </w:r>
      <w:r>
        <w:rPr>
          <w:color w:val="231F20"/>
          <w:spacing w:val="-9"/>
        </w:rPr>
        <w:t> </w:t>
      </w:r>
      <w:r>
        <w:rPr>
          <w:color w:val="231F20"/>
          <w:spacing w:val="-4"/>
        </w:rPr>
        <w:t>présidence </w:t>
      </w:r>
      <w:r>
        <w:rPr>
          <w:color w:val="231F20"/>
        </w:rPr>
        <w:t>de la République revienne au Président de l’Assemblée Nationale, Dioncounda Traoré. Une médiation, menée sous l’égide de la </w:t>
      </w:r>
      <w:r>
        <w:rPr>
          <w:color w:val="231F20"/>
          <w:spacing w:val="-2"/>
        </w:rPr>
        <w:t>Communauté</w:t>
      </w:r>
      <w:r>
        <w:rPr>
          <w:color w:val="231F20"/>
          <w:spacing w:val="-10"/>
        </w:rPr>
        <w:t> </w:t>
      </w:r>
      <w:r>
        <w:rPr>
          <w:color w:val="231F20"/>
          <w:spacing w:val="-2"/>
        </w:rPr>
        <w:t>Économique</w:t>
      </w:r>
      <w:r>
        <w:rPr>
          <w:color w:val="231F20"/>
          <w:spacing w:val="-10"/>
        </w:rPr>
        <w:t> </w:t>
      </w:r>
      <w:r>
        <w:rPr>
          <w:color w:val="231F20"/>
          <w:spacing w:val="-2"/>
        </w:rPr>
        <w:t>des</w:t>
      </w:r>
      <w:r>
        <w:rPr>
          <w:color w:val="231F20"/>
          <w:spacing w:val="-10"/>
        </w:rPr>
        <w:t> </w:t>
      </w:r>
      <w:r>
        <w:rPr>
          <w:color w:val="231F20"/>
          <w:spacing w:val="-2"/>
        </w:rPr>
        <w:t>États</w:t>
      </w:r>
      <w:r>
        <w:rPr>
          <w:color w:val="231F20"/>
          <w:spacing w:val="-10"/>
        </w:rPr>
        <w:t> </w:t>
      </w:r>
      <w:r>
        <w:rPr>
          <w:color w:val="231F20"/>
          <w:spacing w:val="-2"/>
        </w:rPr>
        <w:t>de</w:t>
      </w:r>
      <w:r>
        <w:rPr>
          <w:color w:val="231F20"/>
          <w:spacing w:val="-11"/>
        </w:rPr>
        <w:t> </w:t>
      </w:r>
      <w:r>
        <w:rPr>
          <w:color w:val="231F20"/>
          <w:spacing w:val="-2"/>
        </w:rPr>
        <w:t>l’Afrique</w:t>
      </w:r>
      <w:r>
        <w:rPr>
          <w:color w:val="231F20"/>
          <w:spacing w:val="-13"/>
        </w:rPr>
        <w:t> </w:t>
      </w:r>
      <w:r>
        <w:rPr>
          <w:color w:val="231F20"/>
          <w:spacing w:val="-2"/>
        </w:rPr>
        <w:t>de</w:t>
      </w:r>
      <w:r>
        <w:rPr>
          <w:color w:val="231F20"/>
          <w:spacing w:val="-11"/>
        </w:rPr>
        <w:t> </w:t>
      </w:r>
      <w:r>
        <w:rPr>
          <w:color w:val="231F20"/>
          <w:spacing w:val="-2"/>
        </w:rPr>
        <w:t>l’Ouest</w:t>
      </w:r>
      <w:r>
        <w:rPr>
          <w:color w:val="231F20"/>
          <w:spacing w:val="-10"/>
        </w:rPr>
        <w:t> </w:t>
      </w:r>
      <w:r>
        <w:rPr>
          <w:color w:val="231F20"/>
          <w:spacing w:val="-2"/>
        </w:rPr>
        <w:t>(CEDEAO) </w:t>
      </w:r>
      <w:r>
        <w:rPr>
          <w:color w:val="231F20"/>
        </w:rPr>
        <w:t>et</w:t>
      </w:r>
      <w:r>
        <w:rPr>
          <w:color w:val="231F20"/>
          <w:spacing w:val="-2"/>
        </w:rPr>
        <w:t> </w:t>
      </w:r>
      <w:r>
        <w:rPr>
          <w:color w:val="231F20"/>
        </w:rPr>
        <w:t>par</w:t>
      </w:r>
      <w:r>
        <w:rPr>
          <w:color w:val="231F20"/>
          <w:spacing w:val="-5"/>
        </w:rPr>
        <w:t> </w:t>
      </w:r>
      <w:r>
        <w:rPr>
          <w:color w:val="231F20"/>
        </w:rPr>
        <w:t>le</w:t>
      </w:r>
      <w:r>
        <w:rPr>
          <w:color w:val="231F20"/>
          <w:spacing w:val="-5"/>
        </w:rPr>
        <w:t> </w:t>
      </w:r>
      <w:r>
        <w:rPr>
          <w:color w:val="231F20"/>
        </w:rPr>
        <w:t>Burkina</w:t>
      </w:r>
      <w:r>
        <w:rPr>
          <w:color w:val="231F20"/>
          <w:spacing w:val="-3"/>
        </w:rPr>
        <w:t> </w:t>
      </w:r>
      <w:r>
        <w:rPr>
          <w:color w:val="231F20"/>
        </w:rPr>
        <w:t>Faso,</w:t>
      </w:r>
      <w:r>
        <w:rPr>
          <w:color w:val="231F20"/>
          <w:spacing w:val="-5"/>
        </w:rPr>
        <w:t> </w:t>
      </w:r>
      <w:r>
        <w:rPr>
          <w:color w:val="231F20"/>
        </w:rPr>
        <w:t>aboutit</w:t>
      </w:r>
      <w:r>
        <w:rPr>
          <w:color w:val="231F20"/>
          <w:spacing w:val="-3"/>
        </w:rPr>
        <w:t> </w:t>
      </w:r>
      <w:r>
        <w:rPr>
          <w:color w:val="231F20"/>
        </w:rPr>
        <w:t>à</w:t>
      </w:r>
      <w:r>
        <w:rPr>
          <w:color w:val="231F20"/>
          <w:spacing w:val="-3"/>
        </w:rPr>
        <w:t> </w:t>
      </w:r>
      <w:r>
        <w:rPr>
          <w:color w:val="231F20"/>
        </w:rPr>
        <w:t>un</w:t>
      </w:r>
      <w:r>
        <w:rPr>
          <w:color w:val="231F20"/>
          <w:spacing w:val="-3"/>
        </w:rPr>
        <w:t> </w:t>
      </w:r>
      <w:r>
        <w:rPr>
          <w:color w:val="231F20"/>
        </w:rPr>
        <w:t>accord</w:t>
      </w:r>
      <w:r>
        <w:rPr>
          <w:color w:val="231F20"/>
          <w:spacing w:val="-7"/>
        </w:rPr>
        <w:t> </w:t>
      </w:r>
      <w:r>
        <w:rPr>
          <w:color w:val="231F20"/>
        </w:rPr>
        <w:t>le</w:t>
      </w:r>
      <w:r>
        <w:rPr>
          <w:color w:val="231F20"/>
          <w:spacing w:val="-3"/>
        </w:rPr>
        <w:t> </w:t>
      </w:r>
      <w:r>
        <w:rPr>
          <w:color w:val="231F20"/>
        </w:rPr>
        <w:t>6</w:t>
      </w:r>
      <w:r>
        <w:rPr>
          <w:color w:val="231F20"/>
          <w:spacing w:val="-5"/>
        </w:rPr>
        <w:t> </w:t>
      </w:r>
      <w:r>
        <w:rPr>
          <w:color w:val="231F20"/>
        </w:rPr>
        <w:t>avril</w:t>
      </w:r>
      <w:r>
        <w:rPr>
          <w:color w:val="231F20"/>
          <w:spacing w:val="-3"/>
        </w:rPr>
        <w:t> </w:t>
      </w:r>
      <w:r>
        <w:rPr>
          <w:color w:val="231F20"/>
        </w:rPr>
        <w:t>2012</w:t>
      </w:r>
      <w:r>
        <w:rPr>
          <w:color w:val="231F20"/>
          <w:spacing w:val="-13"/>
        </w:rPr>
        <w:t> </w:t>
      </w:r>
      <w:r>
        <w:rPr>
          <w:color w:val="231F20"/>
        </w:rPr>
        <w:t>:</w:t>
      </w:r>
      <w:r>
        <w:rPr>
          <w:color w:val="231F20"/>
          <w:spacing w:val="-4"/>
        </w:rPr>
        <w:t> </w:t>
      </w:r>
      <w:r>
        <w:rPr>
          <w:color w:val="231F20"/>
        </w:rPr>
        <w:t>le</w:t>
      </w:r>
      <w:r>
        <w:rPr>
          <w:color w:val="231F20"/>
          <w:spacing w:val="-5"/>
        </w:rPr>
        <w:t> </w:t>
      </w:r>
      <w:r>
        <w:rPr>
          <w:color w:val="231F20"/>
        </w:rPr>
        <w:t>Président Amadou</w:t>
      </w:r>
      <w:r>
        <w:rPr>
          <w:color w:val="231F20"/>
          <w:spacing w:val="-11"/>
        </w:rPr>
        <w:t> </w:t>
      </w:r>
      <w:r>
        <w:rPr>
          <w:color w:val="231F20"/>
        </w:rPr>
        <w:t>Toumani</w:t>
      </w:r>
      <w:r>
        <w:rPr>
          <w:color w:val="231F20"/>
          <w:spacing w:val="-11"/>
        </w:rPr>
        <w:t> </w:t>
      </w:r>
      <w:r>
        <w:rPr>
          <w:color w:val="231F20"/>
        </w:rPr>
        <w:t>Touré</w:t>
      </w:r>
      <w:r>
        <w:rPr>
          <w:color w:val="231F20"/>
          <w:spacing w:val="-11"/>
        </w:rPr>
        <w:t> </w:t>
      </w:r>
      <w:r>
        <w:rPr>
          <w:color w:val="231F20"/>
        </w:rPr>
        <w:t>accepte</w:t>
      </w:r>
      <w:r>
        <w:rPr>
          <w:color w:val="231F20"/>
          <w:spacing w:val="-9"/>
        </w:rPr>
        <w:t> </w:t>
      </w:r>
      <w:r>
        <w:rPr>
          <w:color w:val="231F20"/>
        </w:rPr>
        <w:t>de</w:t>
      </w:r>
      <w:r>
        <w:rPr>
          <w:color w:val="231F20"/>
          <w:spacing w:val="-9"/>
        </w:rPr>
        <w:t> </w:t>
      </w:r>
      <w:r>
        <w:rPr>
          <w:color w:val="231F20"/>
        </w:rPr>
        <w:t>démissionner.</w:t>
      </w:r>
      <w:r>
        <w:rPr>
          <w:color w:val="231F20"/>
          <w:spacing w:val="-11"/>
        </w:rPr>
        <w:t> </w:t>
      </w:r>
      <w:r>
        <w:rPr>
          <w:color w:val="231F20"/>
        </w:rPr>
        <w:t>Dioncounda</w:t>
      </w:r>
      <w:r>
        <w:rPr>
          <w:color w:val="231F20"/>
          <w:spacing w:val="-9"/>
        </w:rPr>
        <w:t> </w:t>
      </w:r>
      <w:r>
        <w:rPr>
          <w:color w:val="231F20"/>
        </w:rPr>
        <w:t>Traoré, président</w:t>
      </w:r>
      <w:r>
        <w:rPr>
          <w:color w:val="231F20"/>
          <w:spacing w:val="-12"/>
        </w:rPr>
        <w:t> </w:t>
      </w:r>
      <w:r>
        <w:rPr>
          <w:color w:val="231F20"/>
        </w:rPr>
        <w:t>de</w:t>
      </w:r>
      <w:r>
        <w:rPr>
          <w:color w:val="231F20"/>
          <w:spacing w:val="-13"/>
        </w:rPr>
        <w:t> </w:t>
      </w:r>
      <w:r>
        <w:rPr>
          <w:color w:val="231F20"/>
        </w:rPr>
        <w:t>l’Assemblée</w:t>
      </w:r>
      <w:r>
        <w:rPr>
          <w:color w:val="231F20"/>
          <w:spacing w:val="-13"/>
        </w:rPr>
        <w:t> </w:t>
      </w:r>
      <w:r>
        <w:rPr>
          <w:color w:val="231F20"/>
        </w:rPr>
        <w:t>Nationale,</w:t>
      </w:r>
      <w:r>
        <w:rPr>
          <w:color w:val="231F20"/>
          <w:spacing w:val="-13"/>
        </w:rPr>
        <w:t> </w:t>
      </w:r>
      <w:r>
        <w:rPr>
          <w:color w:val="231F20"/>
        </w:rPr>
        <w:t>devient</w:t>
      </w:r>
      <w:r>
        <w:rPr>
          <w:color w:val="231F20"/>
          <w:spacing w:val="-11"/>
        </w:rPr>
        <w:t> </w:t>
      </w:r>
      <w:r>
        <w:rPr>
          <w:color w:val="231F20"/>
        </w:rPr>
        <w:t>président</w:t>
      </w:r>
      <w:r>
        <w:rPr>
          <w:color w:val="231F20"/>
          <w:spacing w:val="-13"/>
        </w:rPr>
        <w:t> </w:t>
      </w:r>
      <w:r>
        <w:rPr>
          <w:color w:val="231F20"/>
        </w:rPr>
        <w:t>de</w:t>
      </w:r>
      <w:r>
        <w:rPr>
          <w:color w:val="231F20"/>
          <w:spacing w:val="-13"/>
        </w:rPr>
        <w:t> </w:t>
      </w:r>
      <w:r>
        <w:rPr>
          <w:color w:val="231F20"/>
        </w:rPr>
        <w:t>la</w:t>
      </w:r>
      <w:r>
        <w:rPr>
          <w:color w:val="231F20"/>
          <w:spacing w:val="-13"/>
        </w:rPr>
        <w:t> </w:t>
      </w:r>
      <w:r>
        <w:rPr>
          <w:color w:val="231F20"/>
        </w:rPr>
        <w:t>République par intérim le 12 Avril.</w:t>
      </w:r>
    </w:p>
    <w:p>
      <w:pPr>
        <w:pStyle w:val="BodyText"/>
        <w:spacing w:before="121"/>
        <w:ind w:right="104" w:firstLine="283"/>
      </w:pPr>
      <w:r>
        <w:rPr>
          <w:color w:val="231F20"/>
          <w:spacing w:val="-4"/>
        </w:rPr>
        <w:t>Le</w:t>
      </w:r>
      <w:r>
        <w:rPr>
          <w:color w:val="231F20"/>
          <w:spacing w:val="-11"/>
        </w:rPr>
        <w:t> </w:t>
      </w:r>
      <w:r>
        <w:rPr>
          <w:color w:val="231F20"/>
          <w:spacing w:val="-4"/>
        </w:rPr>
        <w:t>Capitaine</w:t>
      </w:r>
      <w:r>
        <w:rPr>
          <w:color w:val="231F20"/>
          <w:spacing w:val="-11"/>
        </w:rPr>
        <w:t> </w:t>
      </w:r>
      <w:r>
        <w:rPr>
          <w:color w:val="231F20"/>
          <w:spacing w:val="-4"/>
        </w:rPr>
        <w:t>Sanogo</w:t>
      </w:r>
      <w:r>
        <w:rPr>
          <w:color w:val="231F20"/>
          <w:spacing w:val="-11"/>
        </w:rPr>
        <w:t> </w:t>
      </w:r>
      <w:r>
        <w:rPr>
          <w:color w:val="231F20"/>
          <w:spacing w:val="-4"/>
        </w:rPr>
        <w:t>dont</w:t>
      </w:r>
      <w:r>
        <w:rPr>
          <w:color w:val="231F20"/>
          <w:spacing w:val="-11"/>
        </w:rPr>
        <w:t> </w:t>
      </w:r>
      <w:r>
        <w:rPr>
          <w:color w:val="231F20"/>
          <w:spacing w:val="-4"/>
        </w:rPr>
        <w:t>l’aventure</w:t>
      </w:r>
      <w:r>
        <w:rPr>
          <w:color w:val="231F20"/>
          <w:spacing w:val="-9"/>
        </w:rPr>
        <w:t> </w:t>
      </w:r>
      <w:r>
        <w:rPr>
          <w:color w:val="231F20"/>
          <w:spacing w:val="-4"/>
        </w:rPr>
        <w:t>à</w:t>
      </w:r>
      <w:r>
        <w:rPr>
          <w:color w:val="231F20"/>
          <w:spacing w:val="-10"/>
        </w:rPr>
        <w:t> </w:t>
      </w:r>
      <w:r>
        <w:rPr>
          <w:color w:val="231F20"/>
          <w:spacing w:val="-4"/>
        </w:rPr>
        <w:t>la</w:t>
      </w:r>
      <w:r>
        <w:rPr>
          <w:color w:val="231F20"/>
          <w:spacing w:val="-11"/>
        </w:rPr>
        <w:t> </w:t>
      </w:r>
      <w:r>
        <w:rPr>
          <w:color w:val="231F20"/>
          <w:spacing w:val="-4"/>
        </w:rPr>
        <w:t>tête</w:t>
      </w:r>
      <w:r>
        <w:rPr>
          <w:color w:val="231F20"/>
          <w:spacing w:val="-9"/>
        </w:rPr>
        <w:t> </w:t>
      </w:r>
      <w:r>
        <w:rPr>
          <w:color w:val="231F20"/>
          <w:spacing w:val="-4"/>
        </w:rPr>
        <w:t>de</w:t>
      </w:r>
      <w:r>
        <w:rPr>
          <w:color w:val="231F20"/>
          <w:spacing w:val="-9"/>
        </w:rPr>
        <w:t> </w:t>
      </w:r>
      <w:r>
        <w:rPr>
          <w:color w:val="231F20"/>
          <w:spacing w:val="-4"/>
        </w:rPr>
        <w:t>l’État</w:t>
      </w:r>
      <w:r>
        <w:rPr>
          <w:color w:val="231F20"/>
          <w:spacing w:val="3"/>
        </w:rPr>
        <w:t> </w:t>
      </w:r>
      <w:r>
        <w:rPr>
          <w:color w:val="231F20"/>
          <w:spacing w:val="-4"/>
        </w:rPr>
        <w:t>aura</w:t>
      </w:r>
      <w:r>
        <w:rPr>
          <w:color w:val="231F20"/>
          <w:spacing w:val="-10"/>
        </w:rPr>
        <w:t> </w:t>
      </w:r>
      <w:r>
        <w:rPr>
          <w:color w:val="231F20"/>
          <w:spacing w:val="-4"/>
        </w:rPr>
        <w:t>en</w:t>
      </w:r>
      <w:r>
        <w:rPr>
          <w:color w:val="231F20"/>
          <w:spacing w:val="-10"/>
        </w:rPr>
        <w:t> </w:t>
      </w:r>
      <w:r>
        <w:rPr>
          <w:color w:val="231F20"/>
          <w:spacing w:val="-4"/>
        </w:rPr>
        <w:t>fait</w:t>
      </w:r>
      <w:r>
        <w:rPr>
          <w:color w:val="231F20"/>
          <w:spacing w:val="-8"/>
        </w:rPr>
        <w:t> </w:t>
      </w:r>
      <w:r>
        <w:rPr>
          <w:color w:val="231F20"/>
          <w:spacing w:val="-4"/>
        </w:rPr>
        <w:t>duré </w:t>
      </w:r>
      <w:r>
        <w:rPr>
          <w:color w:val="231F20"/>
        </w:rPr>
        <w:t>20 jours continue cependant d’être l’homme fort de Bamako. Il reçoit personnalités politiques et journalistes à Kati. Rien n’a changé pour le CNRDRE</w:t>
      </w:r>
      <w:r>
        <w:rPr>
          <w:color w:val="231F20"/>
          <w:spacing w:val="-14"/>
        </w:rPr>
        <w:t> </w:t>
      </w:r>
      <w:r>
        <w:rPr>
          <w:color w:val="231F20"/>
        </w:rPr>
        <w:t>qui</w:t>
      </w:r>
      <w:r>
        <w:rPr>
          <w:color w:val="231F20"/>
          <w:spacing w:val="-13"/>
        </w:rPr>
        <w:t> </w:t>
      </w:r>
      <w:r>
        <w:rPr>
          <w:color w:val="231F20"/>
        </w:rPr>
        <w:t>procède</w:t>
      </w:r>
      <w:r>
        <w:rPr>
          <w:color w:val="231F20"/>
          <w:spacing w:val="-14"/>
        </w:rPr>
        <w:t> </w:t>
      </w:r>
      <w:r>
        <w:rPr>
          <w:color w:val="231F20"/>
        </w:rPr>
        <w:t>toujours</w:t>
      </w:r>
      <w:r>
        <w:rPr>
          <w:color w:val="231F20"/>
          <w:spacing w:val="-13"/>
        </w:rPr>
        <w:t> </w:t>
      </w:r>
      <w:r>
        <w:rPr>
          <w:color w:val="231F20"/>
        </w:rPr>
        <w:t>à</w:t>
      </w:r>
      <w:r>
        <w:rPr>
          <w:color w:val="231F20"/>
          <w:spacing w:val="-15"/>
        </w:rPr>
        <w:t> </w:t>
      </w:r>
      <w:r>
        <w:rPr>
          <w:color w:val="231F20"/>
        </w:rPr>
        <w:t>des</w:t>
      </w:r>
      <w:r>
        <w:rPr>
          <w:color w:val="231F20"/>
          <w:spacing w:val="-13"/>
        </w:rPr>
        <w:t> </w:t>
      </w:r>
      <w:r>
        <w:rPr>
          <w:color w:val="231F20"/>
        </w:rPr>
        <w:t>arrestations</w:t>
      </w:r>
      <w:r>
        <w:rPr>
          <w:color w:val="231F20"/>
          <w:spacing w:val="-15"/>
        </w:rPr>
        <w:t> </w:t>
      </w:r>
      <w:r>
        <w:rPr>
          <w:color w:val="231F20"/>
        </w:rPr>
        <w:t>d’anciens</w:t>
      </w:r>
      <w:r>
        <w:rPr>
          <w:color w:val="231F20"/>
          <w:spacing w:val="-15"/>
        </w:rPr>
        <w:t> </w:t>
      </w:r>
      <w:r>
        <w:rPr>
          <w:color w:val="231F20"/>
        </w:rPr>
        <w:t>militaires</w:t>
      </w:r>
      <w:r>
        <w:rPr>
          <w:color w:val="231F20"/>
          <w:spacing w:val="-13"/>
        </w:rPr>
        <w:t> </w:t>
      </w:r>
      <w:r>
        <w:rPr>
          <w:color w:val="231F20"/>
        </w:rPr>
        <w:t>et </w:t>
      </w:r>
      <w:r>
        <w:rPr>
          <w:color w:val="231F20"/>
          <w:spacing w:val="-2"/>
        </w:rPr>
        <w:t>d’hommes</w:t>
      </w:r>
      <w:r>
        <w:rPr>
          <w:color w:val="231F20"/>
          <w:spacing w:val="-12"/>
        </w:rPr>
        <w:t> </w:t>
      </w:r>
      <w:r>
        <w:rPr>
          <w:color w:val="231F20"/>
          <w:spacing w:val="-2"/>
        </w:rPr>
        <w:t>politiques.</w:t>
      </w:r>
      <w:r>
        <w:rPr>
          <w:color w:val="231F20"/>
          <w:spacing w:val="-10"/>
        </w:rPr>
        <w:t> </w:t>
      </w:r>
      <w:r>
        <w:rPr>
          <w:color w:val="231F20"/>
          <w:spacing w:val="-2"/>
        </w:rPr>
        <w:t>En</w:t>
      </w:r>
      <w:r>
        <w:rPr>
          <w:color w:val="231F20"/>
          <w:spacing w:val="-12"/>
        </w:rPr>
        <w:t> </w:t>
      </w:r>
      <w:r>
        <w:rPr>
          <w:color w:val="231F20"/>
          <w:spacing w:val="-2"/>
        </w:rPr>
        <w:t>décembre</w:t>
      </w:r>
      <w:r>
        <w:rPr>
          <w:color w:val="231F20"/>
          <w:spacing w:val="-10"/>
        </w:rPr>
        <w:t> </w:t>
      </w:r>
      <w:r>
        <w:rPr>
          <w:color w:val="231F20"/>
          <w:spacing w:val="-2"/>
        </w:rPr>
        <w:t>2012,</w:t>
      </w:r>
      <w:r>
        <w:rPr>
          <w:color w:val="231F20"/>
          <w:spacing w:val="-11"/>
        </w:rPr>
        <w:t> </w:t>
      </w:r>
      <w:r>
        <w:rPr>
          <w:color w:val="231F20"/>
          <w:spacing w:val="-2"/>
        </w:rPr>
        <w:t>il</w:t>
      </w:r>
      <w:r>
        <w:rPr>
          <w:color w:val="231F20"/>
          <w:spacing w:val="-10"/>
        </w:rPr>
        <w:t> </w:t>
      </w:r>
      <w:r>
        <w:rPr>
          <w:color w:val="231F20"/>
          <w:spacing w:val="-2"/>
        </w:rPr>
        <w:t>exige</w:t>
      </w:r>
      <w:r>
        <w:rPr>
          <w:color w:val="231F20"/>
          <w:spacing w:val="-10"/>
        </w:rPr>
        <w:t> </w:t>
      </w:r>
      <w:r>
        <w:rPr>
          <w:color w:val="231F20"/>
          <w:spacing w:val="-2"/>
        </w:rPr>
        <w:t>et</w:t>
      </w:r>
      <w:r>
        <w:rPr>
          <w:color w:val="231F20"/>
          <w:spacing w:val="-10"/>
        </w:rPr>
        <w:t> </w:t>
      </w:r>
      <w:r>
        <w:rPr>
          <w:color w:val="231F20"/>
          <w:spacing w:val="-2"/>
        </w:rPr>
        <w:t>obtient</w:t>
      </w:r>
      <w:r>
        <w:rPr>
          <w:color w:val="231F20"/>
          <w:spacing w:val="-11"/>
        </w:rPr>
        <w:t> </w:t>
      </w:r>
      <w:r>
        <w:rPr>
          <w:color w:val="231F20"/>
          <w:spacing w:val="-2"/>
        </w:rPr>
        <w:t>la</w:t>
      </w:r>
      <w:r>
        <w:rPr>
          <w:color w:val="231F20"/>
          <w:spacing w:val="-11"/>
        </w:rPr>
        <w:t> </w:t>
      </w:r>
      <w:r>
        <w:rPr>
          <w:color w:val="231F20"/>
          <w:spacing w:val="-2"/>
        </w:rPr>
        <w:t>démission </w:t>
      </w:r>
      <w:r>
        <w:rPr>
          <w:color w:val="231F20"/>
        </w:rPr>
        <w:t>du Premier ministre nommé par Dioncounda Traoré, l’astrophysicien Cheick Modibo Diarra.</w:t>
      </w:r>
    </w:p>
    <w:p>
      <w:pPr>
        <w:pStyle w:val="BodyText"/>
        <w:spacing w:before="120"/>
        <w:ind w:right="104" w:firstLine="283"/>
      </w:pPr>
      <w:r>
        <w:rPr>
          <w:color w:val="231F20"/>
        </w:rPr>
        <w:t>Le</w:t>
      </w:r>
      <w:r>
        <w:rPr>
          <w:color w:val="231F20"/>
          <w:spacing w:val="-15"/>
        </w:rPr>
        <w:t> </w:t>
      </w:r>
      <w:r>
        <w:rPr>
          <w:color w:val="231F20"/>
        </w:rPr>
        <w:t>11</w:t>
      </w:r>
      <w:r>
        <w:rPr>
          <w:color w:val="231F20"/>
          <w:spacing w:val="-15"/>
        </w:rPr>
        <w:t> </w:t>
      </w:r>
      <w:r>
        <w:rPr>
          <w:color w:val="231F20"/>
        </w:rPr>
        <w:t>janvier</w:t>
      </w:r>
      <w:r>
        <w:rPr>
          <w:color w:val="231F20"/>
          <w:spacing w:val="-15"/>
        </w:rPr>
        <w:t> </w:t>
      </w:r>
      <w:r>
        <w:rPr>
          <w:color w:val="231F20"/>
        </w:rPr>
        <w:t>2013,</w:t>
      </w:r>
      <w:r>
        <w:rPr>
          <w:color w:val="231F20"/>
          <w:spacing w:val="-15"/>
        </w:rPr>
        <w:t> </w:t>
      </w:r>
      <w:r>
        <w:rPr>
          <w:color w:val="231F20"/>
        </w:rPr>
        <w:t>devant</w:t>
      </w:r>
      <w:r>
        <w:rPr>
          <w:color w:val="231F20"/>
          <w:spacing w:val="-15"/>
        </w:rPr>
        <w:t> </w:t>
      </w:r>
      <w:r>
        <w:rPr>
          <w:color w:val="231F20"/>
        </w:rPr>
        <w:t>la</w:t>
      </w:r>
      <w:r>
        <w:rPr>
          <w:color w:val="231F20"/>
          <w:spacing w:val="-15"/>
        </w:rPr>
        <w:t> </w:t>
      </w:r>
      <w:r>
        <w:rPr>
          <w:color w:val="231F20"/>
        </w:rPr>
        <w:t>progression</w:t>
      </w:r>
      <w:r>
        <w:rPr>
          <w:color w:val="231F20"/>
          <w:spacing w:val="-15"/>
        </w:rPr>
        <w:t> </w:t>
      </w:r>
      <w:r>
        <w:rPr>
          <w:color w:val="231F20"/>
        </w:rPr>
        <w:t>des</w:t>
      </w:r>
      <w:r>
        <w:rPr>
          <w:color w:val="231F20"/>
          <w:spacing w:val="-15"/>
        </w:rPr>
        <w:t> </w:t>
      </w:r>
      <w:r>
        <w:rPr>
          <w:color w:val="231F20"/>
        </w:rPr>
        <w:t>groupes</w:t>
      </w:r>
      <w:r>
        <w:rPr>
          <w:color w:val="231F20"/>
          <w:spacing w:val="-15"/>
        </w:rPr>
        <w:t> </w:t>
      </w:r>
      <w:r>
        <w:rPr>
          <w:color w:val="231F20"/>
        </w:rPr>
        <w:t>djihadistes</w:t>
      </w:r>
      <w:r>
        <w:rPr>
          <w:color w:val="231F20"/>
          <w:spacing w:val="-15"/>
        </w:rPr>
        <w:t> </w:t>
      </w:r>
      <w:r>
        <w:rPr>
          <w:color w:val="231F20"/>
        </w:rPr>
        <w:t>au- </w:t>
      </w:r>
      <w:r>
        <w:rPr>
          <w:color w:val="231F20"/>
          <w:spacing w:val="-2"/>
        </w:rPr>
        <w:t>delà</w:t>
      </w:r>
      <w:r>
        <w:rPr>
          <w:color w:val="231F20"/>
          <w:spacing w:val="-13"/>
        </w:rPr>
        <w:t> </w:t>
      </w:r>
      <w:r>
        <w:rPr>
          <w:color w:val="231F20"/>
          <w:spacing w:val="-2"/>
        </w:rPr>
        <w:t>de</w:t>
      </w:r>
      <w:r>
        <w:rPr>
          <w:color w:val="231F20"/>
          <w:spacing w:val="-13"/>
        </w:rPr>
        <w:t> </w:t>
      </w:r>
      <w:r>
        <w:rPr>
          <w:color w:val="231F20"/>
          <w:spacing w:val="-2"/>
        </w:rPr>
        <w:t>la</w:t>
      </w:r>
      <w:r>
        <w:rPr>
          <w:color w:val="231F20"/>
          <w:spacing w:val="-11"/>
        </w:rPr>
        <w:t> </w:t>
      </w:r>
      <w:r>
        <w:rPr>
          <w:color w:val="231F20"/>
          <w:spacing w:val="-2"/>
        </w:rPr>
        <w:t>ligne</w:t>
      </w:r>
      <w:r>
        <w:rPr>
          <w:color w:val="231F20"/>
          <w:spacing w:val="-13"/>
        </w:rPr>
        <w:t> </w:t>
      </w:r>
      <w:r>
        <w:rPr>
          <w:color w:val="231F20"/>
          <w:spacing w:val="-2"/>
        </w:rPr>
        <w:t>de</w:t>
      </w:r>
      <w:r>
        <w:rPr>
          <w:color w:val="231F20"/>
          <w:spacing w:val="-12"/>
        </w:rPr>
        <w:t> </w:t>
      </w:r>
      <w:r>
        <w:rPr>
          <w:color w:val="231F20"/>
          <w:spacing w:val="-2"/>
        </w:rPr>
        <w:t>cessez-le-feu</w:t>
      </w:r>
      <w:r>
        <w:rPr>
          <w:color w:val="231F20"/>
          <w:spacing w:val="-10"/>
        </w:rPr>
        <w:t> </w:t>
      </w:r>
      <w:r>
        <w:rPr>
          <w:color w:val="231F20"/>
          <w:spacing w:val="-2"/>
        </w:rPr>
        <w:t>et</w:t>
      </w:r>
      <w:r>
        <w:rPr>
          <w:color w:val="231F20"/>
          <w:spacing w:val="-13"/>
        </w:rPr>
        <w:t> </w:t>
      </w:r>
      <w:r>
        <w:rPr>
          <w:color w:val="231F20"/>
          <w:spacing w:val="-2"/>
        </w:rPr>
        <w:t>la</w:t>
      </w:r>
      <w:r>
        <w:rPr>
          <w:color w:val="231F20"/>
          <w:spacing w:val="-12"/>
        </w:rPr>
        <w:t> </w:t>
      </w:r>
      <w:r>
        <w:rPr>
          <w:color w:val="231F20"/>
          <w:spacing w:val="-2"/>
        </w:rPr>
        <w:t>prise</w:t>
      </w:r>
      <w:r>
        <w:rPr>
          <w:color w:val="231F20"/>
          <w:spacing w:val="-12"/>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localité</w:t>
      </w:r>
      <w:r>
        <w:rPr>
          <w:color w:val="231F20"/>
          <w:spacing w:val="-13"/>
        </w:rPr>
        <w:t> </w:t>
      </w:r>
      <w:r>
        <w:rPr>
          <w:color w:val="231F20"/>
          <w:spacing w:val="-2"/>
        </w:rPr>
        <w:t>de</w:t>
      </w:r>
      <w:r>
        <w:rPr>
          <w:color w:val="231F20"/>
          <w:spacing w:val="-13"/>
        </w:rPr>
        <w:t> </w:t>
      </w:r>
      <w:r>
        <w:rPr>
          <w:color w:val="231F20"/>
          <w:spacing w:val="-2"/>
        </w:rPr>
        <w:t>Konna,</w:t>
      </w:r>
      <w:r>
        <w:rPr>
          <w:color w:val="231F20"/>
          <w:spacing w:val="-13"/>
        </w:rPr>
        <w:t> </w:t>
      </w:r>
      <w:r>
        <w:rPr>
          <w:color w:val="231F20"/>
          <w:spacing w:val="-2"/>
        </w:rPr>
        <w:t>verrou stratégique</w:t>
      </w:r>
      <w:r>
        <w:rPr>
          <w:color w:val="231F20"/>
          <w:spacing w:val="-10"/>
        </w:rPr>
        <w:t> </w:t>
      </w:r>
      <w:r>
        <w:rPr>
          <w:color w:val="231F20"/>
          <w:spacing w:val="-2"/>
        </w:rPr>
        <w:t>dans</w:t>
      </w:r>
      <w:r>
        <w:rPr>
          <w:color w:val="231F20"/>
          <w:spacing w:val="-9"/>
        </w:rPr>
        <w:t> </w:t>
      </w:r>
      <w:r>
        <w:rPr>
          <w:color w:val="231F20"/>
          <w:spacing w:val="-2"/>
        </w:rPr>
        <w:t>la</w:t>
      </w:r>
      <w:r>
        <w:rPr>
          <w:color w:val="231F20"/>
          <w:spacing w:val="-10"/>
        </w:rPr>
        <w:t> </w:t>
      </w:r>
      <w:r>
        <w:rPr>
          <w:color w:val="231F20"/>
          <w:spacing w:val="-2"/>
        </w:rPr>
        <w:t>marche</w:t>
      </w:r>
      <w:r>
        <w:rPr>
          <w:color w:val="231F20"/>
          <w:spacing w:val="-7"/>
        </w:rPr>
        <w:t> </w:t>
      </w:r>
      <w:r>
        <w:rPr>
          <w:color w:val="231F20"/>
          <w:spacing w:val="-2"/>
        </w:rPr>
        <w:t>sur</w:t>
      </w:r>
      <w:r>
        <w:rPr>
          <w:color w:val="231F20"/>
          <w:spacing w:val="-9"/>
        </w:rPr>
        <w:t> </w:t>
      </w:r>
      <w:r>
        <w:rPr>
          <w:color w:val="231F20"/>
          <w:spacing w:val="-2"/>
        </w:rPr>
        <w:t>Bamako,</w:t>
      </w:r>
      <w:r>
        <w:rPr>
          <w:color w:val="231F20"/>
          <w:spacing w:val="-9"/>
        </w:rPr>
        <w:t> </w:t>
      </w:r>
      <w:r>
        <w:rPr>
          <w:color w:val="231F20"/>
          <w:spacing w:val="-2"/>
        </w:rPr>
        <w:t>l’état</w:t>
      </w:r>
      <w:r>
        <w:rPr>
          <w:color w:val="231F20"/>
          <w:spacing w:val="-6"/>
        </w:rPr>
        <w:t> </w:t>
      </w:r>
      <w:r>
        <w:rPr>
          <w:color w:val="231F20"/>
          <w:spacing w:val="-2"/>
        </w:rPr>
        <w:t>d’urgence</w:t>
      </w:r>
      <w:r>
        <w:rPr>
          <w:color w:val="231F20"/>
          <w:spacing w:val="-7"/>
        </w:rPr>
        <w:t> </w:t>
      </w:r>
      <w:r>
        <w:rPr>
          <w:color w:val="231F20"/>
          <w:spacing w:val="-2"/>
        </w:rPr>
        <w:t>est</w:t>
      </w:r>
      <w:r>
        <w:rPr>
          <w:color w:val="231F20"/>
          <w:spacing w:val="-7"/>
        </w:rPr>
        <w:t> </w:t>
      </w:r>
      <w:r>
        <w:rPr>
          <w:color w:val="231F20"/>
          <w:spacing w:val="-2"/>
        </w:rPr>
        <w:t>déclaré</w:t>
      </w:r>
      <w:r>
        <w:rPr>
          <w:color w:val="231F20"/>
          <w:spacing w:val="-7"/>
        </w:rPr>
        <w:t> </w:t>
      </w:r>
      <w:r>
        <w:rPr>
          <w:color w:val="231F20"/>
          <w:spacing w:val="-2"/>
        </w:rPr>
        <w:t>dans </w:t>
      </w:r>
      <w:r>
        <w:rPr>
          <w:color w:val="231F20"/>
        </w:rPr>
        <w:t>le pays. Le président par intérim demande une aide internationale. Le Tchad lui envoie un nombre important de militaires</w:t>
      </w:r>
      <w:r>
        <w:rPr>
          <w:color w:val="231F20"/>
          <w:spacing w:val="-14"/>
        </w:rPr>
        <w:t> </w:t>
      </w:r>
      <w:r>
        <w:rPr>
          <w:color w:val="231F20"/>
        </w:rPr>
        <w:t>; la France avec l’accord de l’ONU déclenche l’opération Serval.</w:t>
      </w:r>
    </w:p>
    <w:p>
      <w:pPr>
        <w:pStyle w:val="BodyText"/>
        <w:spacing w:before="121"/>
        <w:ind w:right="108" w:firstLine="283"/>
      </w:pPr>
      <w:r>
        <w:rPr>
          <w:color w:val="231F20"/>
        </w:rPr>
        <w:t>Le</w:t>
      </w:r>
      <w:r>
        <w:rPr>
          <w:color w:val="231F20"/>
          <w:spacing w:val="76"/>
        </w:rPr>
        <w:t> </w:t>
      </w:r>
      <w:r>
        <w:rPr>
          <w:color w:val="231F20"/>
        </w:rPr>
        <w:t>13</w:t>
      </w:r>
      <w:r>
        <w:rPr>
          <w:color w:val="231F20"/>
          <w:spacing w:val="76"/>
        </w:rPr>
        <w:t> </w:t>
      </w:r>
      <w:r>
        <w:rPr>
          <w:color w:val="231F20"/>
        </w:rPr>
        <w:t>février</w:t>
      </w:r>
      <w:r>
        <w:rPr>
          <w:color w:val="231F20"/>
          <w:spacing w:val="76"/>
        </w:rPr>
        <w:t> </w:t>
      </w:r>
      <w:r>
        <w:rPr>
          <w:color w:val="231F20"/>
        </w:rPr>
        <w:t>2013,</w:t>
      </w:r>
      <w:r>
        <w:rPr>
          <w:color w:val="231F20"/>
          <w:spacing w:val="40"/>
        </w:rPr>
        <w:t> </w:t>
      </w:r>
      <w:r>
        <w:rPr>
          <w:color w:val="231F20"/>
        </w:rPr>
        <w:t>le</w:t>
      </w:r>
      <w:r>
        <w:rPr>
          <w:color w:val="231F20"/>
          <w:spacing w:val="40"/>
        </w:rPr>
        <w:t> </w:t>
      </w:r>
      <w:r>
        <w:rPr>
          <w:color w:val="231F20"/>
        </w:rPr>
        <w:t>Capitaine</w:t>
      </w:r>
      <w:r>
        <w:rPr>
          <w:color w:val="231F20"/>
          <w:spacing w:val="40"/>
        </w:rPr>
        <w:t> </w:t>
      </w:r>
      <w:r>
        <w:rPr>
          <w:color w:val="231F20"/>
        </w:rPr>
        <w:t>Sanogo</w:t>
      </w:r>
      <w:r>
        <w:rPr>
          <w:color w:val="231F20"/>
          <w:spacing w:val="76"/>
        </w:rPr>
        <w:t> </w:t>
      </w:r>
      <w:r>
        <w:rPr>
          <w:color w:val="231F20"/>
        </w:rPr>
        <w:t>est</w:t>
      </w:r>
      <w:r>
        <w:rPr>
          <w:color w:val="231F20"/>
          <w:spacing w:val="40"/>
        </w:rPr>
        <w:t> </w:t>
      </w:r>
      <w:r>
        <w:rPr>
          <w:color w:val="231F20"/>
        </w:rPr>
        <w:t>investi</w:t>
      </w:r>
      <w:r>
        <w:rPr>
          <w:color w:val="231F20"/>
          <w:spacing w:val="76"/>
        </w:rPr>
        <w:t> </w:t>
      </w:r>
      <w:r>
        <w:rPr>
          <w:color w:val="231F20"/>
        </w:rPr>
        <w:t>président du</w:t>
      </w:r>
      <w:r>
        <w:rPr>
          <w:color w:val="231F20"/>
          <w:spacing w:val="-15"/>
        </w:rPr>
        <w:t> </w:t>
      </w:r>
      <w:r>
        <w:rPr>
          <w:color w:val="231F20"/>
        </w:rPr>
        <w:t>«</w:t>
      </w:r>
      <w:r>
        <w:rPr>
          <w:color w:val="231F20"/>
          <w:spacing w:val="-15"/>
        </w:rPr>
        <w:t> </w:t>
      </w:r>
      <w:r>
        <w:rPr>
          <w:color w:val="231F20"/>
        </w:rPr>
        <w:t>Comité</w:t>
      </w:r>
      <w:r>
        <w:rPr>
          <w:color w:val="231F20"/>
          <w:spacing w:val="-7"/>
        </w:rPr>
        <w:t> </w:t>
      </w:r>
      <w:r>
        <w:rPr>
          <w:color w:val="231F20"/>
        </w:rPr>
        <w:t>militaire</w:t>
      </w:r>
      <w:r>
        <w:rPr>
          <w:color w:val="231F20"/>
          <w:spacing w:val="-3"/>
        </w:rPr>
        <w:t> </w:t>
      </w:r>
      <w:r>
        <w:rPr>
          <w:color w:val="231F20"/>
        </w:rPr>
        <w:t>de</w:t>
      </w:r>
      <w:r>
        <w:rPr>
          <w:color w:val="231F20"/>
          <w:spacing w:val="-5"/>
        </w:rPr>
        <w:t> </w:t>
      </w:r>
      <w:r>
        <w:rPr>
          <w:color w:val="231F20"/>
        </w:rPr>
        <w:t>suivi</w:t>
      </w:r>
      <w:r>
        <w:rPr>
          <w:color w:val="231F20"/>
          <w:spacing w:val="-3"/>
        </w:rPr>
        <w:t> </w:t>
      </w:r>
      <w:r>
        <w:rPr>
          <w:color w:val="231F20"/>
        </w:rPr>
        <w:t>de</w:t>
      </w:r>
      <w:r>
        <w:rPr>
          <w:color w:val="231F20"/>
          <w:spacing w:val="-3"/>
        </w:rPr>
        <w:t> </w:t>
      </w:r>
      <w:r>
        <w:rPr>
          <w:color w:val="231F20"/>
        </w:rPr>
        <w:t>la</w:t>
      </w:r>
      <w:r>
        <w:rPr>
          <w:color w:val="231F20"/>
          <w:spacing w:val="-3"/>
        </w:rPr>
        <w:t> </w:t>
      </w:r>
      <w:r>
        <w:rPr>
          <w:color w:val="231F20"/>
        </w:rPr>
        <w:t>réforme</w:t>
      </w:r>
      <w:r>
        <w:rPr>
          <w:color w:val="231F20"/>
          <w:spacing w:val="-3"/>
        </w:rPr>
        <w:t> </w:t>
      </w:r>
      <w:r>
        <w:rPr>
          <w:color w:val="231F20"/>
        </w:rPr>
        <w:t>des</w:t>
      </w:r>
      <w:r>
        <w:rPr>
          <w:color w:val="231F20"/>
          <w:spacing w:val="-4"/>
        </w:rPr>
        <w:t> </w:t>
      </w:r>
      <w:r>
        <w:rPr>
          <w:color w:val="231F20"/>
        </w:rPr>
        <w:t>forces</w:t>
      </w:r>
      <w:r>
        <w:rPr>
          <w:color w:val="231F20"/>
          <w:spacing w:val="-4"/>
        </w:rPr>
        <w:t> </w:t>
      </w:r>
      <w:r>
        <w:rPr>
          <w:color w:val="231F20"/>
        </w:rPr>
        <w:t>de</w:t>
      </w:r>
      <w:r>
        <w:rPr>
          <w:color w:val="231F20"/>
          <w:spacing w:val="-3"/>
        </w:rPr>
        <w:t> </w:t>
      </w:r>
      <w:r>
        <w:rPr>
          <w:color w:val="231F20"/>
        </w:rPr>
        <w:t>défense</w:t>
      </w:r>
      <w:r>
        <w:rPr>
          <w:color w:val="231F20"/>
          <w:spacing w:val="-4"/>
        </w:rPr>
        <w:t> </w:t>
      </w:r>
      <w:r>
        <w:rPr>
          <w:color w:val="231F20"/>
        </w:rPr>
        <w:t>et</w:t>
      </w:r>
      <w:r>
        <w:rPr>
          <w:color w:val="231F20"/>
          <w:spacing w:val="-3"/>
        </w:rPr>
        <w:t> </w:t>
      </w:r>
      <w:r>
        <w:rPr>
          <w:color w:val="231F20"/>
        </w:rPr>
        <w:t>de sécurité</w:t>
      </w:r>
      <w:r>
        <w:rPr>
          <w:color w:val="231F20"/>
          <w:spacing w:val="-15"/>
        </w:rPr>
        <w:t> </w:t>
      </w:r>
      <w:r>
        <w:rPr>
          <w:color w:val="231F20"/>
        </w:rPr>
        <w:t>»</w:t>
      </w:r>
      <w:r>
        <w:rPr>
          <w:color w:val="231F20"/>
          <w:spacing w:val="-15"/>
        </w:rPr>
        <w:t> </w:t>
      </w:r>
      <w:r>
        <w:rPr>
          <w:color w:val="231F20"/>
        </w:rPr>
        <w:t>nationale</w:t>
      </w:r>
      <w:r>
        <w:rPr>
          <w:color w:val="231F20"/>
          <w:spacing w:val="-15"/>
        </w:rPr>
        <w:t> </w:t>
      </w:r>
      <w:r>
        <w:rPr>
          <w:color w:val="231F20"/>
        </w:rPr>
        <w:t>par</w:t>
      </w:r>
      <w:r>
        <w:rPr>
          <w:color w:val="231F20"/>
          <w:spacing w:val="-15"/>
        </w:rPr>
        <w:t> </w:t>
      </w:r>
      <w:r>
        <w:rPr>
          <w:color w:val="231F20"/>
        </w:rPr>
        <w:t>Dioncounda</w:t>
      </w:r>
      <w:r>
        <w:rPr>
          <w:color w:val="231F20"/>
          <w:spacing w:val="-15"/>
        </w:rPr>
        <w:t> </w:t>
      </w:r>
      <w:r>
        <w:rPr>
          <w:color w:val="231F20"/>
        </w:rPr>
        <w:t>Traoré</w:t>
      </w:r>
      <w:r>
        <w:rPr>
          <w:color w:val="231F20"/>
          <w:spacing w:val="-15"/>
        </w:rPr>
        <w:t> </w:t>
      </w:r>
      <w:r>
        <w:rPr>
          <w:color w:val="231F20"/>
        </w:rPr>
        <w:t>;</w:t>
      </w:r>
      <w:r>
        <w:rPr>
          <w:color w:val="231F20"/>
          <w:spacing w:val="-15"/>
        </w:rPr>
        <w:t> </w:t>
      </w:r>
      <w:r>
        <w:rPr>
          <w:color w:val="231F20"/>
        </w:rPr>
        <w:t>le</w:t>
      </w:r>
      <w:r>
        <w:rPr>
          <w:color w:val="231F20"/>
          <w:spacing w:val="-15"/>
        </w:rPr>
        <w:t> </w:t>
      </w:r>
      <w:r>
        <w:rPr>
          <w:color w:val="231F20"/>
        </w:rPr>
        <w:t>14</w:t>
      </w:r>
      <w:r>
        <w:rPr>
          <w:color w:val="231F20"/>
          <w:spacing w:val="-15"/>
        </w:rPr>
        <w:t> </w:t>
      </w:r>
      <w:r>
        <w:rPr>
          <w:color w:val="231F20"/>
        </w:rPr>
        <w:t>août</w:t>
      </w:r>
      <w:r>
        <w:rPr>
          <w:color w:val="231F20"/>
          <w:spacing w:val="-15"/>
        </w:rPr>
        <w:t> </w:t>
      </w:r>
      <w:r>
        <w:rPr>
          <w:color w:val="231F20"/>
        </w:rPr>
        <w:t>2013,</w:t>
      </w:r>
      <w:r>
        <w:rPr>
          <w:color w:val="231F20"/>
          <w:spacing w:val="-15"/>
        </w:rPr>
        <w:t> </w:t>
      </w:r>
      <w:r>
        <w:rPr>
          <w:color w:val="231F20"/>
        </w:rPr>
        <w:t>il</w:t>
      </w:r>
      <w:r>
        <w:rPr>
          <w:color w:val="231F20"/>
          <w:spacing w:val="-15"/>
        </w:rPr>
        <w:t> </w:t>
      </w:r>
      <w:r>
        <w:rPr>
          <w:color w:val="231F20"/>
        </w:rPr>
        <w:t>est</w:t>
      </w:r>
      <w:r>
        <w:rPr>
          <w:color w:val="231F20"/>
          <w:spacing w:val="-15"/>
        </w:rPr>
        <w:t> </w:t>
      </w:r>
      <w:r>
        <w:rPr>
          <w:color w:val="231F20"/>
        </w:rPr>
        <w:t>élevé au grade de</w:t>
      </w:r>
      <w:r>
        <w:rPr>
          <w:color w:val="231F20"/>
          <w:spacing w:val="-15"/>
        </w:rPr>
        <w:t> </w:t>
      </w:r>
      <w:r>
        <w:rPr>
          <w:color w:val="231F20"/>
        </w:rPr>
        <w:t>Général de Corps d’Armée</w:t>
      </w:r>
      <w:r>
        <w:rPr>
          <w:color w:val="231F20"/>
          <w:spacing w:val="-15"/>
        </w:rPr>
        <w:t> </w:t>
      </w:r>
      <w:r>
        <w:rPr>
          <w:color w:val="231F20"/>
        </w:rPr>
        <w:t>par décision du Conseil des Ministres présidé par Dioncounda Traoré.</w:t>
      </w:r>
    </w:p>
    <w:p>
      <w:pPr>
        <w:pStyle w:val="BodyText"/>
        <w:spacing w:before="120"/>
        <w:ind w:right="104" w:firstLine="283"/>
      </w:pPr>
      <w:r>
        <w:rPr>
          <w:color w:val="231F20"/>
        </w:rPr>
        <w:t>Le 15 août 2013,</w:t>
      </w:r>
      <w:r>
        <w:rPr>
          <w:color w:val="231F20"/>
          <w:spacing w:val="-15"/>
        </w:rPr>
        <w:t> </w:t>
      </w:r>
      <w:r>
        <w:rPr>
          <w:color w:val="231F20"/>
        </w:rPr>
        <w:t>Ibrahim Boubacar Kéïta, titulaire d’une Maîtrise </w:t>
      </w:r>
      <w:r>
        <w:rPr>
          <w:color w:val="231F20"/>
          <w:spacing w:val="-2"/>
        </w:rPr>
        <w:t>d’histoire</w:t>
      </w:r>
      <w:r>
        <w:rPr>
          <w:color w:val="231F20"/>
          <w:spacing w:val="-13"/>
        </w:rPr>
        <w:t> </w:t>
      </w:r>
      <w:r>
        <w:rPr>
          <w:color w:val="231F20"/>
          <w:spacing w:val="-2"/>
        </w:rPr>
        <w:t>et</w:t>
      </w:r>
      <w:r>
        <w:rPr>
          <w:color w:val="231F20"/>
          <w:spacing w:val="-12"/>
        </w:rPr>
        <w:t> </w:t>
      </w:r>
      <w:r>
        <w:rPr>
          <w:color w:val="231F20"/>
          <w:spacing w:val="-2"/>
        </w:rPr>
        <w:t>d’un</w:t>
      </w:r>
      <w:r>
        <w:rPr>
          <w:color w:val="231F20"/>
          <w:spacing w:val="-12"/>
        </w:rPr>
        <w:t> </w:t>
      </w:r>
      <w:r>
        <w:rPr>
          <w:color w:val="231F20"/>
          <w:spacing w:val="-2"/>
        </w:rPr>
        <w:t>diplôme</w:t>
      </w:r>
      <w:r>
        <w:rPr>
          <w:color w:val="231F20"/>
          <w:spacing w:val="-13"/>
        </w:rPr>
        <w:t> </w:t>
      </w:r>
      <w:r>
        <w:rPr>
          <w:color w:val="231F20"/>
          <w:spacing w:val="-2"/>
        </w:rPr>
        <w:t>d’études</w:t>
      </w:r>
      <w:r>
        <w:rPr>
          <w:color w:val="231F20"/>
          <w:spacing w:val="-10"/>
        </w:rPr>
        <w:t> </w:t>
      </w:r>
      <w:r>
        <w:rPr>
          <w:color w:val="231F20"/>
          <w:spacing w:val="-2"/>
        </w:rPr>
        <w:t>approfondies</w:t>
      </w:r>
      <w:r>
        <w:rPr>
          <w:color w:val="231F20"/>
          <w:spacing w:val="-10"/>
        </w:rPr>
        <w:t> </w:t>
      </w:r>
      <w:r>
        <w:rPr>
          <w:color w:val="231F20"/>
          <w:spacing w:val="-2"/>
        </w:rPr>
        <w:t>en</w:t>
      </w:r>
      <w:r>
        <w:rPr>
          <w:color w:val="231F20"/>
          <w:spacing w:val="-12"/>
        </w:rPr>
        <w:t> </w:t>
      </w:r>
      <w:r>
        <w:rPr>
          <w:color w:val="231F20"/>
          <w:spacing w:val="-2"/>
        </w:rPr>
        <w:t>politique</w:t>
      </w:r>
      <w:r>
        <w:rPr>
          <w:color w:val="231F20"/>
          <w:spacing w:val="-10"/>
        </w:rPr>
        <w:t> </w:t>
      </w:r>
      <w:r>
        <w:rPr>
          <w:color w:val="231F20"/>
          <w:spacing w:val="-2"/>
        </w:rPr>
        <w:t>et</w:t>
      </w:r>
      <w:r>
        <w:rPr>
          <w:color w:val="231F20"/>
          <w:spacing w:val="-10"/>
        </w:rPr>
        <w:t> </w:t>
      </w:r>
      <w:r>
        <w:rPr>
          <w:color w:val="231F20"/>
          <w:spacing w:val="-2"/>
        </w:rPr>
        <w:t>relations </w:t>
      </w:r>
      <w:r>
        <w:rPr>
          <w:color w:val="231F20"/>
        </w:rPr>
        <w:t>internationales</w:t>
      </w:r>
      <w:r>
        <w:rPr>
          <w:color w:val="231F20"/>
          <w:spacing w:val="-15"/>
        </w:rPr>
        <w:t> </w:t>
      </w:r>
      <w:r>
        <w:rPr>
          <w:color w:val="231F20"/>
        </w:rPr>
        <w:t>est</w:t>
      </w:r>
      <w:r>
        <w:rPr>
          <w:color w:val="231F20"/>
          <w:spacing w:val="-14"/>
        </w:rPr>
        <w:t> </w:t>
      </w:r>
      <w:r>
        <w:rPr>
          <w:color w:val="231F20"/>
        </w:rPr>
        <w:t>élu</w:t>
      </w:r>
      <w:r>
        <w:rPr>
          <w:color w:val="231F20"/>
          <w:spacing w:val="-14"/>
        </w:rPr>
        <w:t> </w:t>
      </w:r>
      <w:r>
        <w:rPr>
          <w:color w:val="231F20"/>
        </w:rPr>
        <w:t>président</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République.</w:t>
      </w:r>
      <w:r>
        <w:rPr>
          <w:color w:val="231F20"/>
          <w:spacing w:val="-15"/>
        </w:rPr>
        <w:t> </w:t>
      </w:r>
      <w:r>
        <w:rPr>
          <w:color w:val="231F20"/>
        </w:rPr>
        <w:t>Dioncouda</w:t>
      </w:r>
      <w:r>
        <w:rPr>
          <w:color w:val="231F20"/>
          <w:spacing w:val="-15"/>
        </w:rPr>
        <w:t> </w:t>
      </w:r>
      <w:r>
        <w:rPr>
          <w:color w:val="231F20"/>
        </w:rPr>
        <w:t>Traoré</w:t>
      </w:r>
      <w:r>
        <w:rPr>
          <w:color w:val="231F20"/>
          <w:spacing w:val="-15"/>
        </w:rPr>
        <w:t> </w:t>
      </w:r>
      <w:r>
        <w:rPr>
          <w:color w:val="231F20"/>
        </w:rPr>
        <w:t>lui transmet le pouvoir le 4 septembre suivant. Le 27 novembre 2013, </w:t>
      </w:r>
      <w:r>
        <w:rPr>
          <w:color w:val="231F20"/>
          <w:spacing w:val="-2"/>
        </w:rPr>
        <w:t>Amadou</w:t>
      </w:r>
      <w:r>
        <w:rPr>
          <w:color w:val="231F20"/>
          <w:spacing w:val="-9"/>
        </w:rPr>
        <w:t> </w:t>
      </w:r>
      <w:r>
        <w:rPr>
          <w:color w:val="231F20"/>
          <w:spacing w:val="-2"/>
        </w:rPr>
        <w:t>Haya</w:t>
      </w:r>
      <w:r>
        <w:rPr>
          <w:color w:val="231F20"/>
          <w:spacing w:val="-9"/>
        </w:rPr>
        <w:t> </w:t>
      </w:r>
      <w:r>
        <w:rPr>
          <w:color w:val="231F20"/>
          <w:spacing w:val="-2"/>
        </w:rPr>
        <w:t>Sanogo,</w:t>
      </w:r>
      <w:r>
        <w:rPr>
          <w:color w:val="231F20"/>
          <w:spacing w:val="-9"/>
        </w:rPr>
        <w:t> </w:t>
      </w:r>
      <w:r>
        <w:rPr>
          <w:color w:val="231F20"/>
          <w:spacing w:val="-2"/>
        </w:rPr>
        <w:t>le</w:t>
      </w:r>
      <w:r>
        <w:rPr>
          <w:color w:val="231F20"/>
          <w:spacing w:val="-12"/>
        </w:rPr>
        <w:t> </w:t>
      </w:r>
      <w:r>
        <w:rPr>
          <w:color w:val="231F20"/>
          <w:spacing w:val="-2"/>
        </w:rPr>
        <w:t>Capitaine</w:t>
      </w:r>
      <w:r>
        <w:rPr>
          <w:color w:val="231F20"/>
          <w:spacing w:val="-12"/>
        </w:rPr>
        <w:t> </w:t>
      </w:r>
      <w:r>
        <w:rPr>
          <w:color w:val="231F20"/>
          <w:spacing w:val="-2"/>
        </w:rPr>
        <w:t>«</w:t>
      </w:r>
      <w:r>
        <w:rPr>
          <w:color w:val="231F20"/>
          <w:spacing w:val="-12"/>
        </w:rPr>
        <w:t> </w:t>
      </w:r>
      <w:r>
        <w:rPr>
          <w:color w:val="231F20"/>
          <w:spacing w:val="-2"/>
        </w:rPr>
        <w:t>bombardé</w:t>
      </w:r>
      <w:r>
        <w:rPr>
          <w:color w:val="231F20"/>
          <w:spacing w:val="-10"/>
        </w:rPr>
        <w:t> </w:t>
      </w:r>
      <w:r>
        <w:rPr>
          <w:color w:val="231F20"/>
          <w:spacing w:val="-2"/>
        </w:rPr>
        <w:t>»</w:t>
      </w:r>
      <w:r>
        <w:rPr>
          <w:color w:val="231F20"/>
          <w:spacing w:val="-12"/>
        </w:rPr>
        <w:t> </w:t>
      </w:r>
      <w:r>
        <w:rPr>
          <w:color w:val="231F20"/>
          <w:spacing w:val="-2"/>
        </w:rPr>
        <w:t>Général</w:t>
      </w:r>
      <w:r>
        <w:rPr>
          <w:color w:val="231F20"/>
          <w:spacing w:val="-10"/>
        </w:rPr>
        <w:t> </w:t>
      </w:r>
      <w:r>
        <w:rPr>
          <w:color w:val="231F20"/>
          <w:spacing w:val="-2"/>
        </w:rPr>
        <w:t>qui</w:t>
      </w:r>
      <w:r>
        <w:rPr>
          <w:color w:val="231F20"/>
          <w:spacing w:val="-10"/>
        </w:rPr>
        <w:t> </w:t>
      </w:r>
      <w:r>
        <w:rPr>
          <w:color w:val="231F20"/>
          <w:spacing w:val="-2"/>
        </w:rPr>
        <w:t>se</w:t>
      </w:r>
      <w:r>
        <w:rPr>
          <w:color w:val="231F20"/>
          <w:spacing w:val="-10"/>
        </w:rPr>
        <w:t> </w:t>
      </w:r>
      <w:r>
        <w:rPr>
          <w:color w:val="231F20"/>
          <w:spacing w:val="-2"/>
        </w:rPr>
        <w:t>croyait </w:t>
      </w:r>
      <w:r>
        <w:rPr>
          <w:color w:val="231F20"/>
        </w:rPr>
        <w:t>intouchable</w:t>
      </w:r>
      <w:r>
        <w:rPr>
          <w:color w:val="231F20"/>
          <w:spacing w:val="-6"/>
        </w:rPr>
        <w:t> </w:t>
      </w:r>
      <w:r>
        <w:rPr>
          <w:color w:val="231F20"/>
        </w:rPr>
        <w:t>est</w:t>
      </w:r>
      <w:r>
        <w:rPr>
          <w:color w:val="231F20"/>
          <w:spacing w:val="-6"/>
        </w:rPr>
        <w:t> </w:t>
      </w:r>
      <w:r>
        <w:rPr>
          <w:color w:val="231F20"/>
        </w:rPr>
        <w:t>arrêté</w:t>
      </w:r>
      <w:r>
        <w:rPr>
          <w:color w:val="231F20"/>
          <w:spacing w:val="-9"/>
        </w:rPr>
        <w:t> </w:t>
      </w:r>
      <w:r>
        <w:rPr>
          <w:color w:val="231F20"/>
        </w:rPr>
        <w:t>et</w:t>
      </w:r>
      <w:r>
        <w:rPr>
          <w:color w:val="231F20"/>
          <w:spacing w:val="-6"/>
        </w:rPr>
        <w:t> </w:t>
      </w:r>
      <w:r>
        <w:rPr>
          <w:color w:val="231F20"/>
        </w:rPr>
        <w:t>écroué</w:t>
      </w:r>
      <w:r>
        <w:rPr>
          <w:color w:val="231F20"/>
          <w:spacing w:val="-6"/>
        </w:rPr>
        <w:t> </w:t>
      </w:r>
      <w:r>
        <w:rPr>
          <w:color w:val="231F20"/>
        </w:rPr>
        <w:t>à</w:t>
      </w:r>
      <w:r>
        <w:rPr>
          <w:color w:val="231F20"/>
          <w:spacing w:val="-6"/>
        </w:rPr>
        <w:t> </w:t>
      </w:r>
      <w:r>
        <w:rPr>
          <w:color w:val="231F20"/>
        </w:rPr>
        <w:t>Bamako</w:t>
      </w:r>
      <w:r>
        <w:rPr>
          <w:color w:val="231F20"/>
          <w:spacing w:val="-6"/>
        </w:rPr>
        <w:t> </w:t>
      </w:r>
      <w:r>
        <w:rPr>
          <w:color w:val="231F20"/>
        </w:rPr>
        <w:t>par</w:t>
      </w:r>
      <w:r>
        <w:rPr>
          <w:color w:val="231F20"/>
          <w:spacing w:val="-8"/>
        </w:rPr>
        <w:t> </w:t>
      </w:r>
      <w:r>
        <w:rPr>
          <w:color w:val="231F20"/>
        </w:rPr>
        <w:t>le</w:t>
      </w:r>
      <w:r>
        <w:rPr>
          <w:color w:val="231F20"/>
          <w:spacing w:val="-6"/>
        </w:rPr>
        <w:t> </w:t>
      </w:r>
      <w:r>
        <w:rPr>
          <w:color w:val="231F20"/>
        </w:rPr>
        <w:t>nouveau</w:t>
      </w:r>
      <w:r>
        <w:rPr>
          <w:color w:val="231F20"/>
          <w:spacing w:val="-6"/>
        </w:rPr>
        <w:t> </w:t>
      </w:r>
      <w:r>
        <w:rPr>
          <w:color w:val="231F20"/>
        </w:rPr>
        <w:t>pouvoir.</w:t>
      </w:r>
    </w:p>
    <w:p>
      <w:pPr>
        <w:spacing w:after="0"/>
        <w:sectPr>
          <w:pgSz w:w="8790" w:h="13610"/>
          <w:pgMar w:header="0" w:footer="802" w:top="1060" w:bottom="1000" w:left="880" w:right="880"/>
        </w:sectPr>
      </w:pPr>
    </w:p>
    <w:p>
      <w:pPr>
        <w:pStyle w:val="Heading3"/>
        <w:spacing w:before="87"/>
        <w:jc w:val="left"/>
        <w:rPr>
          <w:i/>
        </w:rPr>
      </w:pPr>
      <w:bookmarkStart w:name="_TOC_250031" w:id="12"/>
      <w:r>
        <w:rPr>
          <w:i/>
          <w:color w:val="231F20"/>
          <w:spacing w:val="-2"/>
        </w:rPr>
        <w:t>Ibrahim</w:t>
      </w:r>
      <w:r>
        <w:rPr>
          <w:i/>
          <w:color w:val="231F20"/>
          <w:spacing w:val="-12"/>
        </w:rPr>
        <w:t> </w:t>
      </w:r>
      <w:r>
        <w:rPr>
          <w:i/>
          <w:color w:val="231F20"/>
          <w:spacing w:val="-2"/>
        </w:rPr>
        <w:t>Boubacar</w:t>
      </w:r>
      <w:r>
        <w:rPr>
          <w:i/>
          <w:color w:val="231F20"/>
          <w:spacing w:val="-10"/>
        </w:rPr>
        <w:t> </w:t>
      </w:r>
      <w:r>
        <w:rPr>
          <w:i/>
          <w:color w:val="231F20"/>
          <w:spacing w:val="-2"/>
        </w:rPr>
        <w:t>Kéïta</w:t>
      </w:r>
      <w:r>
        <w:rPr>
          <w:i/>
          <w:color w:val="231F20"/>
          <w:spacing w:val="-9"/>
        </w:rPr>
        <w:t> </w:t>
      </w:r>
      <w:r>
        <w:rPr>
          <w:i/>
          <w:color w:val="231F20"/>
          <w:spacing w:val="-2"/>
        </w:rPr>
        <w:t>dit</w:t>
      </w:r>
      <w:r>
        <w:rPr>
          <w:i/>
          <w:color w:val="231F20"/>
          <w:spacing w:val="-9"/>
        </w:rPr>
        <w:t> </w:t>
      </w:r>
      <w:r>
        <w:rPr>
          <w:i/>
          <w:color w:val="231F20"/>
          <w:spacing w:val="-2"/>
        </w:rPr>
        <w:t>IBK</w:t>
      </w:r>
      <w:r>
        <w:rPr>
          <w:i/>
          <w:color w:val="231F20"/>
          <w:spacing w:val="-9"/>
        </w:rPr>
        <w:t> </w:t>
      </w:r>
      <w:r>
        <w:rPr>
          <w:i/>
          <w:color w:val="231F20"/>
          <w:spacing w:val="-2"/>
        </w:rPr>
        <w:t>est</w:t>
      </w:r>
      <w:r>
        <w:rPr>
          <w:i/>
          <w:color w:val="231F20"/>
          <w:spacing w:val="-11"/>
        </w:rPr>
        <w:t> </w:t>
      </w:r>
      <w:r>
        <w:rPr>
          <w:i/>
          <w:color w:val="231F20"/>
          <w:spacing w:val="-2"/>
        </w:rPr>
        <w:t>réélu</w:t>
      </w:r>
      <w:r>
        <w:rPr>
          <w:i/>
          <w:color w:val="231F20"/>
          <w:spacing w:val="-10"/>
        </w:rPr>
        <w:t> </w:t>
      </w:r>
      <w:r>
        <w:rPr>
          <w:i/>
          <w:color w:val="231F20"/>
          <w:spacing w:val="-2"/>
        </w:rPr>
        <w:t>en</w:t>
      </w:r>
      <w:r>
        <w:rPr>
          <w:i/>
          <w:color w:val="231F20"/>
          <w:spacing w:val="-9"/>
        </w:rPr>
        <w:t> </w:t>
      </w:r>
      <w:bookmarkEnd w:id="12"/>
      <w:r>
        <w:rPr>
          <w:i/>
          <w:color w:val="231F20"/>
          <w:spacing w:val="-2"/>
        </w:rPr>
        <w:t>2018.</w:t>
      </w:r>
    </w:p>
    <w:p>
      <w:pPr>
        <w:pStyle w:val="BodyText"/>
        <w:spacing w:before="255"/>
        <w:ind w:right="104" w:firstLine="283"/>
      </w:pPr>
      <w:r>
        <w:rPr>
          <w:color w:val="231F20"/>
        </w:rPr>
        <w:t>Fin</w:t>
      </w:r>
      <w:r>
        <w:rPr>
          <w:color w:val="231F20"/>
          <w:spacing w:val="-3"/>
        </w:rPr>
        <w:t> </w:t>
      </w:r>
      <w:r>
        <w:rPr>
          <w:color w:val="231F20"/>
        </w:rPr>
        <w:t>2019, des tensions naissent entre le président</w:t>
      </w:r>
      <w:r>
        <w:rPr>
          <w:color w:val="231F20"/>
          <w:spacing w:val="-15"/>
        </w:rPr>
        <w:t> </w:t>
      </w:r>
      <w:r>
        <w:rPr>
          <w:color w:val="231F20"/>
        </w:rPr>
        <w:t>Ibrahim Boubacar Keïta</w:t>
      </w:r>
      <w:r>
        <w:rPr>
          <w:color w:val="231F20"/>
          <w:spacing w:val="-15"/>
        </w:rPr>
        <w:t> </w:t>
      </w:r>
      <w:r>
        <w:rPr>
          <w:color w:val="231F20"/>
        </w:rPr>
        <w:t>et</w:t>
      </w:r>
      <w:r>
        <w:rPr>
          <w:color w:val="231F20"/>
          <w:spacing w:val="-15"/>
        </w:rPr>
        <w:t> </w:t>
      </w:r>
      <w:r>
        <w:rPr>
          <w:color w:val="231F20"/>
        </w:rPr>
        <w:t>l'Armée</w:t>
      </w:r>
      <w:r>
        <w:rPr>
          <w:color w:val="231F20"/>
          <w:spacing w:val="-15"/>
        </w:rPr>
        <w:t> </w:t>
      </w:r>
      <w:r>
        <w:rPr>
          <w:color w:val="231F20"/>
        </w:rPr>
        <w:t>après</w:t>
      </w:r>
      <w:r>
        <w:rPr>
          <w:color w:val="231F20"/>
          <w:spacing w:val="-14"/>
        </w:rPr>
        <w:t> </w:t>
      </w:r>
      <w:r>
        <w:rPr>
          <w:color w:val="231F20"/>
        </w:rPr>
        <w:t>une</w:t>
      </w:r>
      <w:r>
        <w:rPr>
          <w:color w:val="231F20"/>
          <w:spacing w:val="-13"/>
        </w:rPr>
        <w:t> </w:t>
      </w:r>
      <w:r>
        <w:rPr>
          <w:color w:val="231F20"/>
        </w:rPr>
        <w:t>série</w:t>
      </w:r>
      <w:r>
        <w:rPr>
          <w:color w:val="231F20"/>
          <w:spacing w:val="-13"/>
        </w:rPr>
        <w:t> </w:t>
      </w:r>
      <w:r>
        <w:rPr>
          <w:color w:val="231F20"/>
        </w:rPr>
        <w:t>de</w:t>
      </w:r>
      <w:r>
        <w:rPr>
          <w:color w:val="231F20"/>
          <w:spacing w:val="-13"/>
        </w:rPr>
        <w:t> </w:t>
      </w:r>
      <w:r>
        <w:rPr>
          <w:color w:val="231F20"/>
        </w:rPr>
        <w:t>combats</w:t>
      </w:r>
      <w:r>
        <w:rPr>
          <w:color w:val="231F20"/>
          <w:spacing w:val="-13"/>
        </w:rPr>
        <w:t> </w:t>
      </w:r>
      <w:r>
        <w:rPr>
          <w:color w:val="231F20"/>
        </w:rPr>
        <w:t>et</w:t>
      </w:r>
      <w:r>
        <w:rPr>
          <w:color w:val="231F20"/>
          <w:spacing w:val="-12"/>
        </w:rPr>
        <w:t> </w:t>
      </w:r>
      <w:r>
        <w:rPr>
          <w:color w:val="231F20"/>
        </w:rPr>
        <w:t>d'attaques</w:t>
      </w:r>
      <w:r>
        <w:rPr>
          <w:color w:val="231F20"/>
          <w:spacing w:val="-11"/>
        </w:rPr>
        <w:t> </w:t>
      </w:r>
      <w:r>
        <w:rPr>
          <w:color w:val="231F20"/>
        </w:rPr>
        <w:t>des</w:t>
      </w:r>
      <w:r>
        <w:rPr>
          <w:color w:val="231F20"/>
          <w:spacing w:val="-13"/>
        </w:rPr>
        <w:t> </w:t>
      </w:r>
      <w:r>
        <w:rPr>
          <w:color w:val="231F20"/>
        </w:rPr>
        <w:t>djihadistes </w:t>
      </w:r>
      <w:r>
        <w:rPr>
          <w:color w:val="231F20"/>
          <w:spacing w:val="-2"/>
        </w:rPr>
        <w:t>contre</w:t>
      </w:r>
      <w:r>
        <w:rPr>
          <w:color w:val="231F20"/>
          <w:spacing w:val="-13"/>
        </w:rPr>
        <w:t> </w:t>
      </w:r>
      <w:r>
        <w:rPr>
          <w:color w:val="231F20"/>
          <w:spacing w:val="-2"/>
        </w:rPr>
        <w:t>l'Armée</w:t>
      </w:r>
      <w:r>
        <w:rPr>
          <w:color w:val="231F20"/>
          <w:spacing w:val="-13"/>
        </w:rPr>
        <w:t> </w:t>
      </w:r>
      <w:r>
        <w:rPr>
          <w:color w:val="231F20"/>
          <w:spacing w:val="-2"/>
        </w:rPr>
        <w:t>faisant</w:t>
      </w:r>
      <w:r>
        <w:rPr>
          <w:color w:val="231F20"/>
          <w:spacing w:val="-13"/>
        </w:rPr>
        <w:t> </w:t>
      </w:r>
      <w:r>
        <w:rPr>
          <w:color w:val="231F20"/>
          <w:spacing w:val="-2"/>
        </w:rPr>
        <w:t>de</w:t>
      </w:r>
      <w:r>
        <w:rPr>
          <w:color w:val="231F20"/>
          <w:spacing w:val="-13"/>
        </w:rPr>
        <w:t> </w:t>
      </w:r>
      <w:r>
        <w:rPr>
          <w:color w:val="231F20"/>
          <w:spacing w:val="-2"/>
        </w:rPr>
        <w:t>très</w:t>
      </w:r>
      <w:r>
        <w:rPr>
          <w:color w:val="231F20"/>
          <w:spacing w:val="-13"/>
        </w:rPr>
        <w:t> </w:t>
      </w:r>
      <w:r>
        <w:rPr>
          <w:color w:val="231F20"/>
          <w:spacing w:val="-2"/>
        </w:rPr>
        <w:t>nombreuses</w:t>
      </w:r>
      <w:r>
        <w:rPr>
          <w:color w:val="231F20"/>
          <w:spacing w:val="-13"/>
        </w:rPr>
        <w:t> </w:t>
      </w:r>
      <w:r>
        <w:rPr>
          <w:color w:val="231F20"/>
          <w:spacing w:val="-2"/>
        </w:rPr>
        <w:t>victimes</w:t>
      </w:r>
      <w:r>
        <w:rPr>
          <w:color w:val="231F20"/>
          <w:spacing w:val="-13"/>
        </w:rPr>
        <w:t> </w:t>
      </w:r>
      <w:r>
        <w:rPr>
          <w:color w:val="231F20"/>
          <w:spacing w:val="-2"/>
        </w:rPr>
        <w:t>militaires.</w:t>
      </w:r>
      <w:r>
        <w:rPr>
          <w:color w:val="231F20"/>
          <w:spacing w:val="-13"/>
        </w:rPr>
        <w:t> </w:t>
      </w:r>
      <w:r>
        <w:rPr>
          <w:color w:val="231F20"/>
          <w:spacing w:val="-2"/>
        </w:rPr>
        <w:t>Comme</w:t>
      </w:r>
      <w:r>
        <w:rPr>
          <w:color w:val="231F20"/>
          <w:spacing w:val="-13"/>
        </w:rPr>
        <w:t> </w:t>
      </w:r>
      <w:r>
        <w:rPr>
          <w:color w:val="231F20"/>
          <w:spacing w:val="-2"/>
        </w:rPr>
        <w:t>en </w:t>
      </w:r>
      <w:r>
        <w:rPr>
          <w:color w:val="231F20"/>
          <w:spacing w:val="-4"/>
        </w:rPr>
        <w:t>2012,</w:t>
      </w:r>
      <w:r>
        <w:rPr>
          <w:color w:val="231F20"/>
          <w:spacing w:val="-11"/>
        </w:rPr>
        <w:t> </w:t>
      </w:r>
      <w:r>
        <w:rPr>
          <w:color w:val="231F20"/>
          <w:spacing w:val="-4"/>
        </w:rPr>
        <w:t>les</w:t>
      </w:r>
      <w:r>
        <w:rPr>
          <w:color w:val="231F20"/>
          <w:spacing w:val="-11"/>
        </w:rPr>
        <w:t> </w:t>
      </w:r>
      <w:r>
        <w:rPr>
          <w:color w:val="231F20"/>
          <w:spacing w:val="-4"/>
        </w:rPr>
        <w:t>soldats</w:t>
      </w:r>
      <w:r>
        <w:rPr>
          <w:color w:val="231F20"/>
          <w:spacing w:val="-11"/>
        </w:rPr>
        <w:t> </w:t>
      </w:r>
      <w:r>
        <w:rPr>
          <w:color w:val="231F20"/>
          <w:spacing w:val="-4"/>
        </w:rPr>
        <w:t>du</w:t>
      </w:r>
      <w:r>
        <w:rPr>
          <w:color w:val="231F20"/>
          <w:spacing w:val="-11"/>
        </w:rPr>
        <w:t> </w:t>
      </w:r>
      <w:r>
        <w:rPr>
          <w:color w:val="231F20"/>
          <w:spacing w:val="-4"/>
        </w:rPr>
        <w:t>rang,</w:t>
      </w:r>
      <w:r>
        <w:rPr>
          <w:color w:val="231F20"/>
          <w:spacing w:val="-11"/>
        </w:rPr>
        <w:t> </w:t>
      </w:r>
      <w:r>
        <w:rPr>
          <w:color w:val="231F20"/>
          <w:spacing w:val="-4"/>
        </w:rPr>
        <w:t>se</w:t>
      </w:r>
      <w:r>
        <w:rPr>
          <w:color w:val="231F20"/>
          <w:spacing w:val="-11"/>
        </w:rPr>
        <w:t> </w:t>
      </w:r>
      <w:r>
        <w:rPr>
          <w:color w:val="231F20"/>
          <w:spacing w:val="-4"/>
        </w:rPr>
        <w:t>plaignent</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corruption</w:t>
      </w:r>
      <w:r>
        <w:rPr>
          <w:color w:val="231F20"/>
          <w:spacing w:val="-11"/>
        </w:rPr>
        <w:t> </w:t>
      </w:r>
      <w:r>
        <w:rPr>
          <w:color w:val="231F20"/>
          <w:spacing w:val="-4"/>
        </w:rPr>
        <w:t>de</w:t>
      </w:r>
      <w:r>
        <w:rPr>
          <w:color w:val="231F20"/>
          <w:spacing w:val="-11"/>
        </w:rPr>
        <w:t> </w:t>
      </w:r>
      <w:r>
        <w:rPr>
          <w:color w:val="231F20"/>
          <w:spacing w:val="-4"/>
        </w:rPr>
        <w:t>certains</w:t>
      </w:r>
      <w:r>
        <w:rPr>
          <w:color w:val="231F20"/>
          <w:spacing w:val="-11"/>
        </w:rPr>
        <w:t> </w:t>
      </w:r>
      <w:r>
        <w:rPr>
          <w:color w:val="231F20"/>
          <w:spacing w:val="-4"/>
        </w:rPr>
        <w:t>officiers </w:t>
      </w:r>
      <w:r>
        <w:rPr>
          <w:color w:val="231F20"/>
        </w:rPr>
        <w:t>et de leur mauvaise gestion de l'armement mais ils n’obtiennent pas d’écho favorable venant du chef de l’État.</w:t>
      </w:r>
    </w:p>
    <w:p>
      <w:pPr>
        <w:pStyle w:val="BodyText"/>
        <w:spacing w:before="121"/>
        <w:ind w:right="106" w:firstLine="283"/>
      </w:pPr>
      <w:r>
        <w:rPr>
          <w:color w:val="231F20"/>
          <w:spacing w:val="-2"/>
        </w:rPr>
        <w:t>Alors</w:t>
      </w:r>
      <w:r>
        <w:rPr>
          <w:color w:val="231F20"/>
          <w:spacing w:val="-7"/>
        </w:rPr>
        <w:t> </w:t>
      </w:r>
      <w:r>
        <w:rPr>
          <w:color w:val="231F20"/>
          <w:spacing w:val="-2"/>
        </w:rPr>
        <w:t>que</w:t>
      </w:r>
      <w:r>
        <w:rPr>
          <w:color w:val="231F20"/>
          <w:spacing w:val="-7"/>
        </w:rPr>
        <w:t> </w:t>
      </w:r>
      <w:r>
        <w:rPr>
          <w:color w:val="231F20"/>
          <w:spacing w:val="-2"/>
        </w:rPr>
        <w:t>la</w:t>
      </w:r>
      <w:r>
        <w:rPr>
          <w:color w:val="231F20"/>
          <w:spacing w:val="-7"/>
        </w:rPr>
        <w:t> </w:t>
      </w:r>
      <w:r>
        <w:rPr>
          <w:color w:val="231F20"/>
          <w:spacing w:val="-2"/>
        </w:rPr>
        <w:t>population</w:t>
      </w:r>
      <w:r>
        <w:rPr>
          <w:color w:val="231F20"/>
          <w:spacing w:val="-7"/>
        </w:rPr>
        <w:t> </w:t>
      </w:r>
      <w:r>
        <w:rPr>
          <w:color w:val="231F20"/>
          <w:spacing w:val="-2"/>
        </w:rPr>
        <w:t>est</w:t>
      </w:r>
      <w:r>
        <w:rPr>
          <w:color w:val="231F20"/>
          <w:spacing w:val="-7"/>
        </w:rPr>
        <w:t> </w:t>
      </w:r>
      <w:r>
        <w:rPr>
          <w:color w:val="231F20"/>
          <w:spacing w:val="-2"/>
        </w:rPr>
        <w:t>confrontée</w:t>
      </w:r>
      <w:r>
        <w:rPr>
          <w:color w:val="231F20"/>
          <w:spacing w:val="-7"/>
        </w:rPr>
        <w:t> </w:t>
      </w:r>
      <w:r>
        <w:rPr>
          <w:color w:val="231F20"/>
          <w:spacing w:val="-2"/>
        </w:rPr>
        <w:t>aux</w:t>
      </w:r>
      <w:r>
        <w:rPr>
          <w:color w:val="231F20"/>
          <w:spacing w:val="-7"/>
        </w:rPr>
        <w:t> </w:t>
      </w:r>
      <w:r>
        <w:rPr>
          <w:color w:val="231F20"/>
          <w:spacing w:val="-2"/>
        </w:rPr>
        <w:t>difficultés</w:t>
      </w:r>
      <w:r>
        <w:rPr>
          <w:color w:val="231F20"/>
          <w:spacing w:val="-7"/>
        </w:rPr>
        <w:t> </w:t>
      </w:r>
      <w:r>
        <w:rPr>
          <w:color w:val="231F20"/>
          <w:spacing w:val="-2"/>
        </w:rPr>
        <w:t>économiques</w:t>
      </w:r>
      <w:r>
        <w:rPr>
          <w:color w:val="231F20"/>
          <w:spacing w:val="-7"/>
        </w:rPr>
        <w:t> </w:t>
      </w:r>
      <w:r>
        <w:rPr>
          <w:color w:val="231F20"/>
          <w:spacing w:val="-2"/>
        </w:rPr>
        <w:t>et </w:t>
      </w:r>
      <w:r>
        <w:rPr>
          <w:color w:val="231F20"/>
        </w:rPr>
        <w:t>militaires</w:t>
      </w:r>
      <w:r>
        <w:rPr>
          <w:color w:val="231F20"/>
          <w:spacing w:val="-8"/>
        </w:rPr>
        <w:t> </w:t>
      </w:r>
      <w:r>
        <w:rPr>
          <w:color w:val="231F20"/>
        </w:rPr>
        <w:t>dues</w:t>
      </w:r>
      <w:r>
        <w:rPr>
          <w:color w:val="231F20"/>
          <w:spacing w:val="-8"/>
        </w:rPr>
        <w:t> </w:t>
      </w:r>
      <w:r>
        <w:rPr>
          <w:color w:val="231F20"/>
        </w:rPr>
        <w:t>aux</w:t>
      </w:r>
      <w:r>
        <w:rPr>
          <w:color w:val="231F20"/>
          <w:spacing w:val="-8"/>
        </w:rPr>
        <w:t> </w:t>
      </w:r>
      <w:r>
        <w:rPr>
          <w:color w:val="231F20"/>
        </w:rPr>
        <w:t>djihadistes,</w:t>
      </w:r>
      <w:r>
        <w:rPr>
          <w:color w:val="231F20"/>
          <w:spacing w:val="-8"/>
        </w:rPr>
        <w:t> </w:t>
      </w:r>
      <w:r>
        <w:rPr>
          <w:color w:val="231F20"/>
        </w:rPr>
        <w:t>la</w:t>
      </w:r>
      <w:r>
        <w:rPr>
          <w:color w:val="231F20"/>
          <w:spacing w:val="-10"/>
        </w:rPr>
        <w:t> </w:t>
      </w:r>
      <w:r>
        <w:rPr>
          <w:color w:val="231F20"/>
        </w:rPr>
        <w:t>diffusion</w:t>
      </w:r>
      <w:r>
        <w:rPr>
          <w:color w:val="231F20"/>
          <w:spacing w:val="-10"/>
        </w:rPr>
        <w:t> </w:t>
      </w:r>
      <w:r>
        <w:rPr>
          <w:color w:val="231F20"/>
        </w:rPr>
        <w:t>fin</w:t>
      </w:r>
      <w:r>
        <w:rPr>
          <w:color w:val="231F20"/>
          <w:spacing w:val="-10"/>
        </w:rPr>
        <w:t> </w:t>
      </w:r>
      <w:r>
        <w:rPr>
          <w:color w:val="231F20"/>
        </w:rPr>
        <w:t>juillet</w:t>
      </w:r>
      <w:r>
        <w:rPr>
          <w:color w:val="231F20"/>
          <w:spacing w:val="-7"/>
        </w:rPr>
        <w:t> </w:t>
      </w:r>
      <w:r>
        <w:rPr>
          <w:color w:val="231F20"/>
        </w:rPr>
        <w:t>2019</w:t>
      </w:r>
      <w:r>
        <w:rPr>
          <w:color w:val="231F20"/>
          <w:spacing w:val="-10"/>
        </w:rPr>
        <w:t> </w:t>
      </w:r>
      <w:r>
        <w:rPr>
          <w:color w:val="231F20"/>
        </w:rPr>
        <w:t>de</w:t>
      </w:r>
      <w:r>
        <w:rPr>
          <w:color w:val="231F20"/>
          <w:spacing w:val="-8"/>
        </w:rPr>
        <w:t> </w:t>
      </w:r>
      <w:r>
        <w:rPr>
          <w:color w:val="231F20"/>
        </w:rPr>
        <w:t>vidéos</w:t>
      </w:r>
      <w:r>
        <w:rPr>
          <w:color w:val="231F20"/>
          <w:spacing w:val="-10"/>
        </w:rPr>
        <w:t> </w:t>
      </w:r>
      <w:r>
        <w:rPr>
          <w:color w:val="231F20"/>
        </w:rPr>
        <w:t>de Karim</w:t>
      </w:r>
      <w:r>
        <w:rPr>
          <w:color w:val="231F20"/>
          <w:spacing w:val="-15"/>
        </w:rPr>
        <w:t> </w:t>
      </w:r>
      <w:r>
        <w:rPr>
          <w:color w:val="231F20"/>
        </w:rPr>
        <w:t>Boubacar</w:t>
      </w:r>
      <w:r>
        <w:rPr>
          <w:color w:val="231F20"/>
          <w:spacing w:val="-15"/>
        </w:rPr>
        <w:t> </w:t>
      </w:r>
      <w:r>
        <w:rPr>
          <w:color w:val="231F20"/>
        </w:rPr>
        <w:t>Keïta,</w:t>
      </w:r>
      <w:r>
        <w:rPr>
          <w:color w:val="231F20"/>
          <w:spacing w:val="-15"/>
        </w:rPr>
        <w:t> </w:t>
      </w:r>
      <w:r>
        <w:rPr>
          <w:color w:val="231F20"/>
        </w:rPr>
        <w:t>député</w:t>
      </w:r>
      <w:r>
        <w:rPr>
          <w:color w:val="231F20"/>
          <w:spacing w:val="-11"/>
        </w:rPr>
        <w:t> </w:t>
      </w:r>
      <w:r>
        <w:rPr>
          <w:color w:val="231F20"/>
        </w:rPr>
        <w:t>et</w:t>
      </w:r>
      <w:r>
        <w:rPr>
          <w:color w:val="231F20"/>
          <w:spacing w:val="-11"/>
        </w:rPr>
        <w:t> </w:t>
      </w:r>
      <w:r>
        <w:rPr>
          <w:color w:val="231F20"/>
        </w:rPr>
        <w:t>fils</w:t>
      </w:r>
      <w:r>
        <w:rPr>
          <w:color w:val="231F20"/>
          <w:spacing w:val="-14"/>
        </w:rPr>
        <w:t> </w:t>
      </w:r>
      <w:r>
        <w:rPr>
          <w:color w:val="231F20"/>
        </w:rPr>
        <w:t>du</w:t>
      </w:r>
      <w:r>
        <w:rPr>
          <w:color w:val="231F20"/>
          <w:spacing w:val="-12"/>
        </w:rPr>
        <w:t> </w:t>
      </w:r>
      <w:r>
        <w:rPr>
          <w:color w:val="231F20"/>
        </w:rPr>
        <w:t>chef</w:t>
      </w:r>
      <w:r>
        <w:rPr>
          <w:color w:val="231F20"/>
          <w:spacing w:val="-14"/>
        </w:rPr>
        <w:t> </w:t>
      </w:r>
      <w:r>
        <w:rPr>
          <w:color w:val="231F20"/>
        </w:rPr>
        <w:t>de</w:t>
      </w:r>
      <w:r>
        <w:rPr>
          <w:color w:val="231F20"/>
          <w:spacing w:val="-14"/>
        </w:rPr>
        <w:t> </w:t>
      </w:r>
      <w:r>
        <w:rPr>
          <w:color w:val="231F20"/>
        </w:rPr>
        <w:t>l’État,</w:t>
      </w:r>
      <w:r>
        <w:rPr>
          <w:color w:val="231F20"/>
          <w:spacing w:val="-15"/>
        </w:rPr>
        <w:t> </w:t>
      </w:r>
      <w:r>
        <w:rPr>
          <w:color w:val="231F20"/>
        </w:rPr>
        <w:t>en</w:t>
      </w:r>
      <w:r>
        <w:rPr>
          <w:color w:val="231F20"/>
          <w:spacing w:val="-12"/>
        </w:rPr>
        <w:t> </w:t>
      </w:r>
      <w:r>
        <w:rPr>
          <w:color w:val="231F20"/>
        </w:rPr>
        <w:t>compagnie</w:t>
      </w:r>
      <w:r>
        <w:rPr>
          <w:color w:val="231F20"/>
          <w:spacing w:val="-14"/>
        </w:rPr>
        <w:t> </w:t>
      </w:r>
      <w:r>
        <w:rPr>
          <w:color w:val="231F20"/>
        </w:rPr>
        <w:t>de jeunes</w:t>
      </w:r>
      <w:r>
        <w:rPr>
          <w:color w:val="231F20"/>
          <w:spacing w:val="-15"/>
        </w:rPr>
        <w:t> </w:t>
      </w:r>
      <w:r>
        <w:rPr>
          <w:color w:val="231F20"/>
        </w:rPr>
        <w:t>femmes</w:t>
      </w:r>
      <w:r>
        <w:rPr>
          <w:color w:val="231F20"/>
          <w:spacing w:val="-15"/>
        </w:rPr>
        <w:t> </w:t>
      </w:r>
      <w:r>
        <w:rPr>
          <w:color w:val="231F20"/>
        </w:rPr>
        <w:t>en</w:t>
      </w:r>
      <w:r>
        <w:rPr>
          <w:color w:val="231F20"/>
          <w:spacing w:val="-15"/>
        </w:rPr>
        <w:t> </w:t>
      </w:r>
      <w:r>
        <w:rPr>
          <w:color w:val="231F20"/>
        </w:rPr>
        <w:t>petite</w:t>
      </w:r>
      <w:r>
        <w:rPr>
          <w:color w:val="231F20"/>
          <w:spacing w:val="-15"/>
        </w:rPr>
        <w:t> </w:t>
      </w:r>
      <w:r>
        <w:rPr>
          <w:color w:val="231F20"/>
        </w:rPr>
        <w:t>tenue</w:t>
      </w:r>
      <w:r>
        <w:rPr>
          <w:color w:val="231F20"/>
          <w:spacing w:val="-15"/>
        </w:rPr>
        <w:t> </w:t>
      </w:r>
      <w:r>
        <w:rPr>
          <w:color w:val="231F20"/>
        </w:rPr>
        <w:t>sur</w:t>
      </w:r>
      <w:r>
        <w:rPr>
          <w:color w:val="231F20"/>
          <w:spacing w:val="-15"/>
        </w:rPr>
        <w:t> </w:t>
      </w:r>
      <w:r>
        <w:rPr>
          <w:color w:val="231F20"/>
        </w:rPr>
        <w:t>un</w:t>
      </w:r>
      <w:r>
        <w:rPr>
          <w:color w:val="231F20"/>
          <w:spacing w:val="-15"/>
        </w:rPr>
        <w:t> </w:t>
      </w:r>
      <w:r>
        <w:rPr>
          <w:color w:val="231F20"/>
        </w:rPr>
        <w:t>yacht</w:t>
      </w:r>
      <w:r>
        <w:rPr>
          <w:color w:val="231F20"/>
          <w:spacing w:val="-15"/>
        </w:rPr>
        <w:t> </w:t>
      </w:r>
      <w:r>
        <w:rPr>
          <w:color w:val="231F20"/>
        </w:rPr>
        <w:t>en</w:t>
      </w:r>
      <w:r>
        <w:rPr>
          <w:color w:val="231F20"/>
          <w:spacing w:val="-15"/>
        </w:rPr>
        <w:t> </w:t>
      </w:r>
      <w:r>
        <w:rPr>
          <w:color w:val="231F20"/>
        </w:rPr>
        <w:t>Espagne,</w:t>
      </w:r>
      <w:r>
        <w:rPr>
          <w:color w:val="231F20"/>
          <w:spacing w:val="-15"/>
        </w:rPr>
        <w:t> </w:t>
      </w:r>
      <w:r>
        <w:rPr>
          <w:color w:val="231F20"/>
        </w:rPr>
        <w:t>faisant</w:t>
      </w:r>
      <w:r>
        <w:rPr>
          <w:color w:val="231F20"/>
          <w:spacing w:val="-15"/>
        </w:rPr>
        <w:t> </w:t>
      </w:r>
      <w:r>
        <w:rPr>
          <w:color w:val="231F20"/>
        </w:rPr>
        <w:t>la</w:t>
      </w:r>
      <w:r>
        <w:rPr>
          <w:color w:val="231F20"/>
          <w:spacing w:val="-15"/>
        </w:rPr>
        <w:t> </w:t>
      </w:r>
      <w:r>
        <w:rPr>
          <w:color w:val="231F20"/>
        </w:rPr>
        <w:t>fête</w:t>
      </w:r>
      <w:r>
        <w:rPr>
          <w:color w:val="231F20"/>
          <w:spacing w:val="-15"/>
        </w:rPr>
        <w:t> </w:t>
      </w:r>
      <w:r>
        <w:rPr>
          <w:color w:val="231F20"/>
        </w:rPr>
        <w:t>au champagne,</w:t>
      </w:r>
      <w:r>
        <w:rPr>
          <w:color w:val="231F20"/>
          <w:spacing w:val="-5"/>
        </w:rPr>
        <w:t> </w:t>
      </w:r>
      <w:r>
        <w:rPr>
          <w:color w:val="231F20"/>
        </w:rPr>
        <w:t>choque</w:t>
      </w:r>
      <w:r>
        <w:rPr>
          <w:color w:val="231F20"/>
          <w:spacing w:val="-7"/>
        </w:rPr>
        <w:t> </w:t>
      </w:r>
      <w:r>
        <w:rPr>
          <w:color w:val="231F20"/>
        </w:rPr>
        <w:t>l'opinion</w:t>
      </w:r>
      <w:r>
        <w:rPr>
          <w:color w:val="231F20"/>
          <w:spacing w:val="-5"/>
        </w:rPr>
        <w:t> </w:t>
      </w:r>
      <w:r>
        <w:rPr>
          <w:color w:val="231F20"/>
        </w:rPr>
        <w:t>publique</w:t>
      </w:r>
      <w:r>
        <w:rPr>
          <w:color w:val="231F20"/>
          <w:spacing w:val="-5"/>
        </w:rPr>
        <w:t> </w:t>
      </w:r>
      <w:r>
        <w:rPr>
          <w:color w:val="231F20"/>
        </w:rPr>
        <w:t>civile</w:t>
      </w:r>
      <w:r>
        <w:rPr>
          <w:color w:val="231F20"/>
          <w:spacing w:val="-5"/>
        </w:rPr>
        <w:t> </w:t>
      </w:r>
      <w:r>
        <w:rPr>
          <w:color w:val="231F20"/>
        </w:rPr>
        <w:t>et</w:t>
      </w:r>
      <w:r>
        <w:rPr>
          <w:color w:val="231F20"/>
          <w:spacing w:val="-6"/>
        </w:rPr>
        <w:t> </w:t>
      </w:r>
      <w:r>
        <w:rPr>
          <w:color w:val="231F20"/>
        </w:rPr>
        <w:t>militaire.</w:t>
      </w:r>
    </w:p>
    <w:p>
      <w:pPr>
        <w:pStyle w:val="BodyText"/>
        <w:spacing w:before="120"/>
        <w:ind w:right="101" w:firstLine="283"/>
      </w:pPr>
      <w:r>
        <w:rPr>
          <w:color w:val="231F20"/>
        </w:rPr>
        <w:t>Menées par le</w:t>
      </w:r>
      <w:r>
        <w:rPr>
          <w:color w:val="231F20"/>
          <w:spacing w:val="-15"/>
        </w:rPr>
        <w:t> </w:t>
      </w:r>
      <w:r>
        <w:rPr>
          <w:color w:val="231F20"/>
        </w:rPr>
        <w:t>Rassemblement des forces patriotiques</w:t>
      </w:r>
      <w:r>
        <w:rPr>
          <w:color w:val="231F20"/>
          <w:spacing w:val="-15"/>
        </w:rPr>
        <w:t> </w:t>
      </w:r>
      <w:r>
        <w:rPr>
          <w:color w:val="231F20"/>
        </w:rPr>
        <w:t>(M5-RFP) appelé</w:t>
      </w:r>
      <w:r>
        <w:rPr>
          <w:color w:val="231F20"/>
          <w:spacing w:val="-4"/>
        </w:rPr>
        <w:t> </w:t>
      </w:r>
      <w:r>
        <w:rPr>
          <w:color w:val="231F20"/>
        </w:rPr>
        <w:t>aussi</w:t>
      </w:r>
      <w:r>
        <w:rPr>
          <w:color w:val="231F20"/>
          <w:spacing w:val="-5"/>
        </w:rPr>
        <w:t> </w:t>
      </w:r>
      <w:r>
        <w:rPr>
          <w:color w:val="231F20"/>
        </w:rPr>
        <w:t>Mouvement</w:t>
      </w:r>
      <w:r>
        <w:rPr>
          <w:color w:val="231F20"/>
          <w:spacing w:val="-7"/>
        </w:rPr>
        <w:t> </w:t>
      </w:r>
      <w:r>
        <w:rPr>
          <w:color w:val="231F20"/>
        </w:rPr>
        <w:t>du</w:t>
      </w:r>
      <w:r>
        <w:rPr>
          <w:color w:val="231F20"/>
          <w:spacing w:val="-4"/>
        </w:rPr>
        <w:t> </w:t>
      </w:r>
      <w:r>
        <w:rPr>
          <w:color w:val="231F20"/>
        </w:rPr>
        <w:t>5</w:t>
      </w:r>
      <w:r>
        <w:rPr>
          <w:color w:val="231F20"/>
          <w:spacing w:val="-6"/>
        </w:rPr>
        <w:t> </w:t>
      </w:r>
      <w:r>
        <w:rPr>
          <w:color w:val="231F20"/>
        </w:rPr>
        <w:t>Juin,</w:t>
      </w:r>
      <w:r>
        <w:rPr>
          <w:color w:val="231F20"/>
          <w:spacing w:val="-4"/>
        </w:rPr>
        <w:t> </w:t>
      </w:r>
      <w:r>
        <w:rPr>
          <w:color w:val="231F20"/>
        </w:rPr>
        <w:t>une</w:t>
      </w:r>
      <w:r>
        <w:rPr>
          <w:color w:val="231F20"/>
          <w:spacing w:val="-4"/>
        </w:rPr>
        <w:t> </w:t>
      </w:r>
      <w:r>
        <w:rPr>
          <w:color w:val="231F20"/>
        </w:rPr>
        <w:t>coalition</w:t>
      </w:r>
      <w:r>
        <w:rPr>
          <w:color w:val="231F20"/>
          <w:spacing w:val="-6"/>
        </w:rPr>
        <w:t> </w:t>
      </w:r>
      <w:r>
        <w:rPr>
          <w:color w:val="231F20"/>
        </w:rPr>
        <w:t>d’opposants,</w:t>
      </w:r>
      <w:r>
        <w:rPr>
          <w:color w:val="231F20"/>
          <w:spacing w:val="-6"/>
        </w:rPr>
        <w:t> </w:t>
      </w:r>
      <w:r>
        <w:rPr>
          <w:color w:val="231F20"/>
        </w:rPr>
        <w:t>de</w:t>
      </w:r>
      <w:r>
        <w:rPr>
          <w:color w:val="231F20"/>
          <w:spacing w:val="-7"/>
        </w:rPr>
        <w:t> </w:t>
      </w:r>
      <w:r>
        <w:rPr>
          <w:color w:val="231F20"/>
        </w:rPr>
        <w:t>chefs religieux</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membres</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société</w:t>
      </w:r>
      <w:r>
        <w:rPr>
          <w:color w:val="231F20"/>
          <w:spacing w:val="-15"/>
        </w:rPr>
        <w:t> </w:t>
      </w:r>
      <w:r>
        <w:rPr>
          <w:color w:val="231F20"/>
        </w:rPr>
        <w:t>civile,</w:t>
      </w:r>
      <w:r>
        <w:rPr>
          <w:color w:val="231F20"/>
          <w:spacing w:val="-15"/>
        </w:rPr>
        <w:t> </w:t>
      </w:r>
      <w:r>
        <w:rPr>
          <w:color w:val="231F20"/>
        </w:rPr>
        <w:t>des</w:t>
      </w:r>
      <w:r>
        <w:rPr>
          <w:color w:val="231F20"/>
          <w:spacing w:val="-15"/>
        </w:rPr>
        <w:t> </w:t>
      </w:r>
      <w:r>
        <w:rPr>
          <w:color w:val="231F20"/>
        </w:rPr>
        <w:t>manifestations</w:t>
      </w:r>
      <w:r>
        <w:rPr>
          <w:color w:val="231F20"/>
          <w:spacing w:val="-15"/>
        </w:rPr>
        <w:t> </w:t>
      </w:r>
      <w:r>
        <w:rPr>
          <w:color w:val="231F20"/>
        </w:rPr>
        <w:t>contre</w:t>
      </w:r>
      <w:r>
        <w:rPr>
          <w:color w:val="231F20"/>
          <w:spacing w:val="-15"/>
        </w:rPr>
        <w:t> </w:t>
      </w:r>
      <w:r>
        <w:rPr>
          <w:color w:val="231F20"/>
        </w:rPr>
        <w:t>le pouvoir paralysent Bamako et certaines villes en</w:t>
      </w:r>
      <w:r>
        <w:rPr>
          <w:color w:val="231F20"/>
          <w:spacing w:val="-11"/>
        </w:rPr>
        <w:t> </w:t>
      </w:r>
      <w:r>
        <w:rPr>
          <w:color w:val="231F20"/>
        </w:rPr>
        <w:t>juin 2020. Ces manifestations dégénèrent à</w:t>
      </w:r>
      <w:r>
        <w:rPr>
          <w:color w:val="231F20"/>
          <w:spacing w:val="-11"/>
        </w:rPr>
        <w:t> </w:t>
      </w:r>
      <w:r>
        <w:rPr>
          <w:color w:val="231F20"/>
        </w:rPr>
        <w:t>Bamako, les 10 et 11 juillet. Les </w:t>
      </w:r>
      <w:r>
        <w:rPr>
          <w:color w:val="231F20"/>
          <w:spacing w:val="-2"/>
        </w:rPr>
        <w:t>affrontements</w:t>
      </w:r>
      <w:r>
        <w:rPr>
          <w:color w:val="231F20"/>
          <w:spacing w:val="-13"/>
        </w:rPr>
        <w:t> </w:t>
      </w:r>
      <w:r>
        <w:rPr>
          <w:color w:val="231F20"/>
          <w:spacing w:val="-2"/>
        </w:rPr>
        <w:t>entre</w:t>
      </w:r>
      <w:r>
        <w:rPr>
          <w:color w:val="231F20"/>
          <w:spacing w:val="-13"/>
        </w:rPr>
        <w:t> </w:t>
      </w:r>
      <w:r>
        <w:rPr>
          <w:color w:val="231F20"/>
          <w:spacing w:val="-2"/>
        </w:rPr>
        <w:t>policiers</w:t>
      </w:r>
      <w:r>
        <w:rPr>
          <w:color w:val="231F20"/>
          <w:spacing w:val="-13"/>
        </w:rPr>
        <w:t> </w:t>
      </w:r>
      <w:r>
        <w:rPr>
          <w:color w:val="231F20"/>
          <w:spacing w:val="-2"/>
        </w:rPr>
        <w:t>et</w:t>
      </w:r>
      <w:r>
        <w:rPr>
          <w:color w:val="231F20"/>
          <w:spacing w:val="-13"/>
        </w:rPr>
        <w:t> </w:t>
      </w:r>
      <w:r>
        <w:rPr>
          <w:color w:val="231F20"/>
          <w:spacing w:val="-2"/>
        </w:rPr>
        <w:t>manifestants</w:t>
      </w:r>
      <w:r>
        <w:rPr>
          <w:color w:val="231F20"/>
          <w:spacing w:val="-13"/>
        </w:rPr>
        <w:t> </w:t>
      </w:r>
      <w:r>
        <w:rPr>
          <w:color w:val="231F20"/>
          <w:spacing w:val="-2"/>
        </w:rPr>
        <w:t>provoquent</w:t>
      </w:r>
      <w:r>
        <w:rPr>
          <w:color w:val="231F20"/>
          <w:spacing w:val="-11"/>
        </w:rPr>
        <w:t> </w:t>
      </w:r>
      <w:r>
        <w:rPr>
          <w:color w:val="231F20"/>
          <w:spacing w:val="-2"/>
        </w:rPr>
        <w:t>23</w:t>
      </w:r>
      <w:r>
        <w:rPr>
          <w:color w:val="231F20"/>
          <w:spacing w:val="-13"/>
        </w:rPr>
        <w:t> </w:t>
      </w:r>
      <w:r>
        <w:rPr>
          <w:color w:val="231F20"/>
          <w:spacing w:val="-2"/>
        </w:rPr>
        <w:t>morts</w:t>
      </w:r>
      <w:r>
        <w:rPr>
          <w:color w:val="231F20"/>
          <w:spacing w:val="-12"/>
        </w:rPr>
        <w:t> </w:t>
      </w:r>
      <w:r>
        <w:rPr>
          <w:color w:val="231F20"/>
          <w:spacing w:val="-2"/>
        </w:rPr>
        <w:t>et</w:t>
      </w:r>
      <w:r>
        <w:rPr>
          <w:color w:val="231F20"/>
          <w:spacing w:val="-13"/>
        </w:rPr>
        <w:t> </w:t>
      </w:r>
      <w:r>
        <w:rPr>
          <w:color w:val="231F20"/>
          <w:spacing w:val="-2"/>
        </w:rPr>
        <w:t>plus </w:t>
      </w:r>
      <w:r>
        <w:rPr>
          <w:color w:val="231F20"/>
        </w:rPr>
        <w:t>de 150 blessés selon l'opposition.</w:t>
      </w:r>
    </w:p>
    <w:p>
      <w:pPr>
        <w:pStyle w:val="BodyText"/>
        <w:spacing w:before="121"/>
        <w:ind w:right="104" w:firstLine="283"/>
      </w:pPr>
      <w:r>
        <w:rPr>
          <w:color w:val="231F20"/>
          <w:spacing w:val="-4"/>
        </w:rPr>
        <w:t>Le</w:t>
      </w:r>
      <w:r>
        <w:rPr>
          <w:color w:val="231F20"/>
          <w:spacing w:val="-11"/>
        </w:rPr>
        <w:t> </w:t>
      </w:r>
      <w:r>
        <w:rPr>
          <w:color w:val="231F20"/>
          <w:spacing w:val="-4"/>
        </w:rPr>
        <w:t>18</w:t>
      </w:r>
      <w:r>
        <w:rPr>
          <w:color w:val="231F20"/>
          <w:spacing w:val="-8"/>
        </w:rPr>
        <w:t> </w:t>
      </w:r>
      <w:r>
        <w:rPr>
          <w:color w:val="231F20"/>
          <w:spacing w:val="-4"/>
        </w:rPr>
        <w:t>août,</w:t>
      </w:r>
      <w:r>
        <w:rPr>
          <w:color w:val="231F20"/>
          <w:spacing w:val="-9"/>
        </w:rPr>
        <w:t> </w:t>
      </w:r>
      <w:r>
        <w:rPr>
          <w:color w:val="231F20"/>
          <w:spacing w:val="-4"/>
        </w:rPr>
        <w:t>un</w:t>
      </w:r>
      <w:r>
        <w:rPr>
          <w:color w:val="231F20"/>
          <w:spacing w:val="-11"/>
        </w:rPr>
        <w:t> </w:t>
      </w:r>
      <w:r>
        <w:rPr>
          <w:color w:val="231F20"/>
          <w:spacing w:val="-4"/>
        </w:rPr>
        <w:t>groupe</w:t>
      </w:r>
      <w:r>
        <w:rPr>
          <w:color w:val="231F20"/>
          <w:spacing w:val="-9"/>
        </w:rPr>
        <w:t> </w:t>
      </w:r>
      <w:r>
        <w:rPr>
          <w:color w:val="231F20"/>
          <w:spacing w:val="-4"/>
        </w:rPr>
        <w:t>de</w:t>
      </w:r>
      <w:r>
        <w:rPr>
          <w:color w:val="231F20"/>
          <w:spacing w:val="-11"/>
        </w:rPr>
        <w:t> </w:t>
      </w:r>
      <w:r>
        <w:rPr>
          <w:color w:val="231F20"/>
          <w:spacing w:val="-4"/>
        </w:rPr>
        <w:t>militaires</w:t>
      </w:r>
      <w:r>
        <w:rPr>
          <w:color w:val="231F20"/>
          <w:spacing w:val="-9"/>
        </w:rPr>
        <w:t> </w:t>
      </w:r>
      <w:r>
        <w:rPr>
          <w:color w:val="231F20"/>
          <w:spacing w:val="-4"/>
        </w:rPr>
        <w:t>se</w:t>
      </w:r>
      <w:r>
        <w:rPr>
          <w:color w:val="231F20"/>
          <w:spacing w:val="-9"/>
        </w:rPr>
        <w:t> </w:t>
      </w:r>
      <w:r>
        <w:rPr>
          <w:color w:val="231F20"/>
          <w:spacing w:val="-4"/>
        </w:rPr>
        <w:t>dirige</w:t>
      </w:r>
      <w:r>
        <w:rPr>
          <w:color w:val="231F20"/>
          <w:spacing w:val="-11"/>
        </w:rPr>
        <w:t> </w:t>
      </w:r>
      <w:r>
        <w:rPr>
          <w:color w:val="231F20"/>
          <w:spacing w:val="-4"/>
        </w:rPr>
        <w:t>vers</w:t>
      </w:r>
      <w:r>
        <w:rPr>
          <w:color w:val="231F20"/>
          <w:spacing w:val="-9"/>
        </w:rPr>
        <w:t> </w:t>
      </w:r>
      <w:r>
        <w:rPr>
          <w:color w:val="231F20"/>
          <w:spacing w:val="-4"/>
        </w:rPr>
        <w:t>Bamako,</w:t>
      </w:r>
      <w:r>
        <w:rPr>
          <w:color w:val="231F20"/>
          <w:spacing w:val="-9"/>
        </w:rPr>
        <w:t> </w:t>
      </w:r>
      <w:r>
        <w:rPr>
          <w:color w:val="231F20"/>
          <w:spacing w:val="-4"/>
        </w:rPr>
        <w:t>acclamé</w:t>
      </w:r>
      <w:r>
        <w:rPr>
          <w:color w:val="231F20"/>
          <w:spacing w:val="-11"/>
        </w:rPr>
        <w:t> </w:t>
      </w:r>
      <w:r>
        <w:rPr>
          <w:color w:val="231F20"/>
          <w:spacing w:val="-4"/>
        </w:rPr>
        <w:t>par des</w:t>
      </w:r>
      <w:r>
        <w:rPr>
          <w:color w:val="231F20"/>
          <w:spacing w:val="-7"/>
        </w:rPr>
        <w:t> </w:t>
      </w:r>
      <w:r>
        <w:rPr>
          <w:color w:val="231F20"/>
          <w:spacing w:val="-4"/>
        </w:rPr>
        <w:t>manifestants</w:t>
      </w:r>
      <w:r>
        <w:rPr>
          <w:color w:val="231F20"/>
          <w:spacing w:val="-6"/>
        </w:rPr>
        <w:t> </w:t>
      </w:r>
      <w:r>
        <w:rPr>
          <w:color w:val="231F20"/>
          <w:spacing w:val="-4"/>
        </w:rPr>
        <w:t>et</w:t>
      </w:r>
      <w:r>
        <w:rPr>
          <w:color w:val="231F20"/>
          <w:spacing w:val="-6"/>
        </w:rPr>
        <w:t> </w:t>
      </w:r>
      <w:r>
        <w:rPr>
          <w:color w:val="231F20"/>
          <w:spacing w:val="-4"/>
        </w:rPr>
        <w:t>arrête</w:t>
      </w:r>
      <w:r>
        <w:rPr>
          <w:color w:val="231F20"/>
          <w:spacing w:val="-10"/>
        </w:rPr>
        <w:t> </w:t>
      </w:r>
      <w:r>
        <w:rPr>
          <w:color w:val="231F20"/>
          <w:spacing w:val="-4"/>
        </w:rPr>
        <w:t>le</w:t>
      </w:r>
      <w:r>
        <w:rPr>
          <w:color w:val="231F20"/>
          <w:spacing w:val="-7"/>
        </w:rPr>
        <w:t> </w:t>
      </w:r>
      <w:r>
        <w:rPr>
          <w:color w:val="231F20"/>
          <w:spacing w:val="-4"/>
        </w:rPr>
        <w:t>président</w:t>
      </w:r>
      <w:r>
        <w:rPr>
          <w:color w:val="231F20"/>
        </w:rPr>
        <w:t> </w:t>
      </w:r>
      <w:r>
        <w:rPr>
          <w:color w:val="231F20"/>
          <w:spacing w:val="-4"/>
        </w:rPr>
        <w:t>Ibrahim</w:t>
      </w:r>
      <w:r>
        <w:rPr>
          <w:color w:val="231F20"/>
          <w:spacing w:val="-8"/>
        </w:rPr>
        <w:t> </w:t>
      </w:r>
      <w:r>
        <w:rPr>
          <w:color w:val="231F20"/>
          <w:spacing w:val="-4"/>
        </w:rPr>
        <w:t>Boubacar</w:t>
      </w:r>
      <w:r>
        <w:rPr>
          <w:color w:val="231F20"/>
          <w:spacing w:val="-7"/>
        </w:rPr>
        <w:t> </w:t>
      </w:r>
      <w:r>
        <w:rPr>
          <w:color w:val="231F20"/>
          <w:spacing w:val="-4"/>
        </w:rPr>
        <w:t>Keïta (IBK)</w:t>
      </w:r>
      <w:r>
        <w:rPr>
          <w:color w:val="231F20"/>
          <w:spacing w:val="-7"/>
        </w:rPr>
        <w:t> </w:t>
      </w:r>
      <w:r>
        <w:rPr>
          <w:color w:val="231F20"/>
          <w:spacing w:val="-4"/>
        </w:rPr>
        <w:t>et</w:t>
      </w:r>
      <w:r>
        <w:rPr>
          <w:color w:val="231F20"/>
          <w:spacing w:val="-6"/>
        </w:rPr>
        <w:t> </w:t>
      </w:r>
      <w:r>
        <w:rPr>
          <w:color w:val="231F20"/>
          <w:spacing w:val="-4"/>
        </w:rPr>
        <w:t>le </w:t>
      </w:r>
      <w:r>
        <w:rPr>
          <w:color w:val="231F20"/>
        </w:rPr>
        <w:t>Premier</w:t>
      </w:r>
      <w:r>
        <w:rPr>
          <w:color w:val="231F20"/>
          <w:spacing w:val="40"/>
        </w:rPr>
        <w:t> </w:t>
      </w:r>
      <w:r>
        <w:rPr>
          <w:color w:val="231F20"/>
        </w:rPr>
        <w:t>ministre</w:t>
      </w:r>
      <w:r>
        <w:rPr>
          <w:color w:val="231F20"/>
          <w:spacing w:val="-15"/>
        </w:rPr>
        <w:t> </w:t>
      </w:r>
      <w:r>
        <w:rPr>
          <w:color w:val="231F20"/>
        </w:rPr>
        <w:t>Boubou</w:t>
      </w:r>
      <w:r>
        <w:rPr>
          <w:color w:val="231F20"/>
          <w:spacing w:val="40"/>
        </w:rPr>
        <w:t> </w:t>
      </w:r>
      <w:r>
        <w:rPr>
          <w:color w:val="231F20"/>
        </w:rPr>
        <w:t>Cissé,</w:t>
      </w:r>
      <w:r>
        <w:rPr>
          <w:color w:val="231F20"/>
          <w:spacing w:val="40"/>
        </w:rPr>
        <w:t> </w:t>
      </w:r>
      <w:r>
        <w:rPr>
          <w:color w:val="231F20"/>
        </w:rPr>
        <w:t>dans</w:t>
      </w:r>
      <w:r>
        <w:rPr>
          <w:color w:val="231F20"/>
          <w:spacing w:val="40"/>
        </w:rPr>
        <w:t> </w:t>
      </w:r>
      <w:r>
        <w:rPr>
          <w:color w:val="231F20"/>
        </w:rPr>
        <w:t>la</w:t>
      </w:r>
      <w:r>
        <w:rPr>
          <w:color w:val="231F20"/>
          <w:spacing w:val="40"/>
        </w:rPr>
        <w:t> </w:t>
      </w:r>
      <w:r>
        <w:rPr>
          <w:color w:val="231F20"/>
        </w:rPr>
        <w:t>résidence</w:t>
      </w:r>
      <w:r>
        <w:rPr>
          <w:color w:val="231F20"/>
          <w:spacing w:val="40"/>
        </w:rPr>
        <w:t> </w:t>
      </w:r>
      <w:r>
        <w:rPr>
          <w:color w:val="231F20"/>
        </w:rPr>
        <w:t>présidentielle</w:t>
      </w:r>
      <w:r>
        <w:rPr>
          <w:color w:val="231F20"/>
          <w:spacing w:val="80"/>
        </w:rPr>
        <w:t> </w:t>
      </w:r>
      <w:r>
        <w:rPr>
          <w:color w:val="231F20"/>
        </w:rPr>
        <w:t>vers</w:t>
      </w:r>
      <w:r>
        <w:rPr>
          <w:color w:val="231F20"/>
          <w:spacing w:val="-15"/>
        </w:rPr>
        <w:t> </w:t>
      </w:r>
      <w:r>
        <w:rPr>
          <w:color w:val="231F20"/>
        </w:rPr>
        <w:t>16</w:t>
      </w:r>
      <w:r>
        <w:rPr>
          <w:color w:val="231F20"/>
          <w:spacing w:val="-15"/>
        </w:rPr>
        <w:t> </w:t>
      </w:r>
      <w:r>
        <w:rPr>
          <w:color w:val="231F20"/>
        </w:rPr>
        <w:t>h</w:t>
      </w:r>
      <w:r>
        <w:rPr>
          <w:color w:val="231F20"/>
          <w:spacing w:val="-15"/>
        </w:rPr>
        <w:t> </w:t>
      </w:r>
      <w:r>
        <w:rPr>
          <w:color w:val="231F20"/>
        </w:rPr>
        <w:t>30. Sous la pression des militaires, il renonce au pouvoir. Le </w:t>
      </w:r>
      <w:r>
        <w:rPr>
          <w:color w:val="231F20"/>
          <w:spacing w:val="-2"/>
        </w:rPr>
        <w:t>colonel</w:t>
      </w:r>
      <w:r>
        <w:rPr>
          <w:color w:val="231F20"/>
          <w:spacing w:val="-13"/>
        </w:rPr>
        <w:t> </w:t>
      </w:r>
      <w:r>
        <w:rPr>
          <w:color w:val="231F20"/>
          <w:spacing w:val="-2"/>
        </w:rPr>
        <w:t>Assimi</w:t>
      </w:r>
      <w:r>
        <w:rPr>
          <w:color w:val="231F20"/>
          <w:spacing w:val="-5"/>
        </w:rPr>
        <w:t> </w:t>
      </w:r>
      <w:r>
        <w:rPr>
          <w:color w:val="231F20"/>
          <w:spacing w:val="-2"/>
        </w:rPr>
        <w:t>Goïta,</w:t>
      </w:r>
      <w:r>
        <w:rPr>
          <w:color w:val="231F20"/>
          <w:spacing w:val="-8"/>
        </w:rPr>
        <w:t> </w:t>
      </w:r>
      <w:r>
        <w:rPr>
          <w:color w:val="231F20"/>
          <w:spacing w:val="-2"/>
        </w:rPr>
        <w:t>intigateur</w:t>
      </w:r>
      <w:r>
        <w:rPr>
          <w:color w:val="231F20"/>
          <w:spacing w:val="-7"/>
        </w:rPr>
        <w:t> </w:t>
      </w:r>
      <w:r>
        <w:rPr>
          <w:color w:val="231F20"/>
          <w:spacing w:val="-2"/>
        </w:rPr>
        <w:t>du</w:t>
      </w:r>
      <w:r>
        <w:rPr>
          <w:color w:val="231F20"/>
          <w:spacing w:val="-6"/>
        </w:rPr>
        <w:t> </w:t>
      </w:r>
      <w:r>
        <w:rPr>
          <w:color w:val="231F20"/>
          <w:spacing w:val="-2"/>
        </w:rPr>
        <w:t>coup</w:t>
      </w:r>
      <w:r>
        <w:rPr>
          <w:color w:val="231F20"/>
          <w:spacing w:val="-7"/>
        </w:rPr>
        <w:t> </w:t>
      </w:r>
      <w:r>
        <w:rPr>
          <w:color w:val="231F20"/>
          <w:spacing w:val="-2"/>
        </w:rPr>
        <w:t>d’état</w:t>
      </w:r>
      <w:r>
        <w:rPr>
          <w:color w:val="231F20"/>
          <w:spacing w:val="-6"/>
        </w:rPr>
        <w:t> </w:t>
      </w:r>
      <w:r>
        <w:rPr>
          <w:color w:val="231F20"/>
          <w:spacing w:val="-2"/>
        </w:rPr>
        <w:t>devient</w:t>
      </w:r>
      <w:r>
        <w:rPr>
          <w:color w:val="231F20"/>
          <w:spacing w:val="-5"/>
        </w:rPr>
        <w:t> </w:t>
      </w:r>
      <w:r>
        <w:rPr>
          <w:color w:val="231F20"/>
          <w:spacing w:val="-2"/>
        </w:rPr>
        <w:t>vice</w:t>
      </w:r>
      <w:r>
        <w:rPr>
          <w:color w:val="231F20"/>
          <w:spacing w:val="-7"/>
        </w:rPr>
        <w:t> </w:t>
      </w:r>
      <w:r>
        <w:rPr>
          <w:color w:val="231F20"/>
          <w:spacing w:val="-2"/>
        </w:rPr>
        <w:t>président</w:t>
      </w:r>
      <w:r>
        <w:rPr>
          <w:color w:val="231F20"/>
          <w:spacing w:val="-6"/>
        </w:rPr>
        <w:t> </w:t>
      </w:r>
      <w:r>
        <w:rPr>
          <w:color w:val="231F20"/>
          <w:spacing w:val="-2"/>
        </w:rPr>
        <w:t>de </w:t>
      </w:r>
      <w:r>
        <w:rPr>
          <w:color w:val="231F20"/>
        </w:rPr>
        <w:t>la</w:t>
      </w:r>
      <w:r>
        <w:rPr>
          <w:color w:val="231F20"/>
          <w:spacing w:val="-11"/>
        </w:rPr>
        <w:t> </w:t>
      </w:r>
      <w:r>
        <w:rPr>
          <w:color w:val="231F20"/>
        </w:rPr>
        <w:t>Transition.</w:t>
      </w:r>
      <w:r>
        <w:rPr>
          <w:color w:val="231F20"/>
          <w:spacing w:val="-11"/>
        </w:rPr>
        <w:t> </w:t>
      </w:r>
      <w:r>
        <w:rPr>
          <w:color w:val="231F20"/>
        </w:rPr>
        <w:t>Un</w:t>
      </w:r>
      <w:r>
        <w:rPr>
          <w:color w:val="231F20"/>
          <w:spacing w:val="-11"/>
        </w:rPr>
        <w:t> </w:t>
      </w:r>
      <w:r>
        <w:rPr>
          <w:color w:val="231F20"/>
        </w:rPr>
        <w:t>autre</w:t>
      </w:r>
      <w:r>
        <w:rPr>
          <w:color w:val="231F20"/>
          <w:spacing w:val="-11"/>
        </w:rPr>
        <w:t> </w:t>
      </w:r>
      <w:r>
        <w:rPr>
          <w:color w:val="231F20"/>
        </w:rPr>
        <w:t>officier,</w:t>
      </w:r>
      <w:r>
        <w:rPr>
          <w:color w:val="231F20"/>
          <w:spacing w:val="-11"/>
        </w:rPr>
        <w:t> </w:t>
      </w:r>
      <w:r>
        <w:rPr>
          <w:color w:val="231F20"/>
        </w:rPr>
        <w:t>est</w:t>
      </w:r>
      <w:r>
        <w:rPr>
          <w:color w:val="231F20"/>
          <w:spacing w:val="-11"/>
        </w:rPr>
        <w:t> </w:t>
      </w:r>
      <w:r>
        <w:rPr>
          <w:color w:val="231F20"/>
        </w:rPr>
        <w:t>porté</w:t>
      </w:r>
      <w:r>
        <w:rPr>
          <w:color w:val="231F20"/>
          <w:spacing w:val="-11"/>
        </w:rPr>
        <w:t> </w:t>
      </w:r>
      <w:r>
        <w:rPr>
          <w:color w:val="231F20"/>
        </w:rPr>
        <w:t>par</w:t>
      </w:r>
      <w:r>
        <w:rPr>
          <w:color w:val="231F20"/>
          <w:spacing w:val="-11"/>
        </w:rPr>
        <w:t> </w:t>
      </w:r>
      <w:r>
        <w:rPr>
          <w:color w:val="231F20"/>
        </w:rPr>
        <w:t>la</w:t>
      </w:r>
      <w:r>
        <w:rPr>
          <w:color w:val="231F20"/>
          <w:spacing w:val="-12"/>
        </w:rPr>
        <w:t> </w:t>
      </w:r>
      <w:r>
        <w:rPr>
          <w:color w:val="231F20"/>
        </w:rPr>
        <w:t>junte</w:t>
      </w:r>
      <w:r>
        <w:rPr>
          <w:color w:val="231F20"/>
          <w:spacing w:val="-11"/>
        </w:rPr>
        <w:t> </w:t>
      </w:r>
      <w:r>
        <w:rPr>
          <w:color w:val="231F20"/>
        </w:rPr>
        <w:t>au</w:t>
      </w:r>
      <w:r>
        <w:rPr>
          <w:color w:val="231F20"/>
          <w:spacing w:val="-11"/>
        </w:rPr>
        <w:t> </w:t>
      </w:r>
      <w:r>
        <w:rPr>
          <w:color w:val="231F20"/>
        </w:rPr>
        <w:t>poste</w:t>
      </w:r>
      <w:r>
        <w:rPr>
          <w:color w:val="231F20"/>
          <w:spacing w:val="-11"/>
        </w:rPr>
        <w:t> </w:t>
      </w:r>
      <w:r>
        <w:rPr>
          <w:color w:val="231F20"/>
        </w:rPr>
        <w:t>de</w:t>
      </w:r>
      <w:r>
        <w:rPr>
          <w:color w:val="231F20"/>
          <w:spacing w:val="-11"/>
        </w:rPr>
        <w:t> </w:t>
      </w:r>
      <w:r>
        <w:rPr>
          <w:color w:val="231F20"/>
        </w:rPr>
        <w:t>chef</w:t>
      </w:r>
      <w:r>
        <w:rPr>
          <w:color w:val="231F20"/>
          <w:spacing w:val="-11"/>
        </w:rPr>
        <w:t> </w:t>
      </w:r>
      <w:r>
        <w:rPr>
          <w:color w:val="231F20"/>
        </w:rPr>
        <w:t>de </w:t>
      </w:r>
      <w:r>
        <w:rPr>
          <w:color w:val="231F20"/>
          <w:spacing w:val="-2"/>
        </w:rPr>
        <w:t>l’Etat.</w:t>
      </w:r>
    </w:p>
    <w:p>
      <w:pPr>
        <w:pStyle w:val="BodyText"/>
        <w:spacing w:before="120"/>
        <w:ind w:right="105" w:firstLine="283"/>
      </w:pPr>
      <w:r>
        <w:rPr>
          <w:color w:val="231F20"/>
          <w:spacing w:val="-2"/>
        </w:rPr>
        <w:t>Neuf</w:t>
      </w:r>
      <w:r>
        <w:rPr>
          <w:color w:val="231F20"/>
          <w:spacing w:val="-13"/>
        </w:rPr>
        <w:t> </w:t>
      </w:r>
      <w:r>
        <w:rPr>
          <w:color w:val="231F20"/>
          <w:spacing w:val="-2"/>
        </w:rPr>
        <w:t>mois,</w:t>
      </w:r>
      <w:r>
        <w:rPr>
          <w:color w:val="231F20"/>
          <w:spacing w:val="-13"/>
        </w:rPr>
        <w:t> </w:t>
      </w:r>
      <w:r>
        <w:rPr>
          <w:color w:val="231F20"/>
          <w:spacing w:val="-2"/>
        </w:rPr>
        <w:t>plus</w:t>
      </w:r>
      <w:r>
        <w:rPr>
          <w:color w:val="231F20"/>
          <w:spacing w:val="-13"/>
        </w:rPr>
        <w:t> </w:t>
      </w:r>
      <w:r>
        <w:rPr>
          <w:color w:val="231F20"/>
          <w:spacing w:val="-2"/>
        </w:rPr>
        <w:t>tard,</w:t>
      </w:r>
      <w:r>
        <w:rPr>
          <w:color w:val="231F20"/>
          <w:spacing w:val="-13"/>
        </w:rPr>
        <w:t> </w:t>
      </w:r>
      <w:r>
        <w:rPr>
          <w:color w:val="231F20"/>
          <w:spacing w:val="-2"/>
        </w:rPr>
        <w:t>le</w:t>
      </w:r>
      <w:r>
        <w:rPr>
          <w:color w:val="231F20"/>
          <w:spacing w:val="-13"/>
        </w:rPr>
        <w:t> </w:t>
      </w:r>
      <w:r>
        <w:rPr>
          <w:color w:val="231F20"/>
          <w:spacing w:val="-2"/>
        </w:rPr>
        <w:t>même</w:t>
      </w:r>
      <w:r>
        <w:rPr>
          <w:color w:val="231F20"/>
          <w:spacing w:val="-13"/>
        </w:rPr>
        <w:t> </w:t>
      </w:r>
      <w:r>
        <w:rPr>
          <w:color w:val="231F20"/>
          <w:spacing w:val="-2"/>
        </w:rPr>
        <w:t>colonel</w:t>
      </w:r>
      <w:r>
        <w:rPr>
          <w:color w:val="231F20"/>
          <w:spacing w:val="-13"/>
        </w:rPr>
        <w:t> </w:t>
      </w:r>
      <w:r>
        <w:rPr>
          <w:color w:val="231F20"/>
          <w:spacing w:val="-2"/>
        </w:rPr>
        <w:t>Assimi</w:t>
      </w:r>
      <w:r>
        <w:rPr>
          <w:color w:val="231F20"/>
          <w:spacing w:val="-13"/>
        </w:rPr>
        <w:t> </w:t>
      </w:r>
      <w:r>
        <w:rPr>
          <w:color w:val="231F20"/>
          <w:spacing w:val="-2"/>
        </w:rPr>
        <w:t>Goïta,</w:t>
      </w:r>
      <w:r>
        <w:rPr>
          <w:color w:val="231F20"/>
          <w:spacing w:val="-13"/>
        </w:rPr>
        <w:t> </w:t>
      </w:r>
      <w:r>
        <w:rPr>
          <w:color w:val="231F20"/>
          <w:spacing w:val="-2"/>
        </w:rPr>
        <w:t>commandant</w:t>
      </w:r>
      <w:r>
        <w:rPr>
          <w:color w:val="231F20"/>
          <w:spacing w:val="-13"/>
        </w:rPr>
        <w:t> </w:t>
      </w:r>
      <w:r>
        <w:rPr>
          <w:color w:val="231F20"/>
          <w:spacing w:val="-2"/>
        </w:rPr>
        <w:t>des forces</w:t>
      </w:r>
      <w:r>
        <w:rPr>
          <w:color w:val="231F20"/>
          <w:spacing w:val="-15"/>
        </w:rPr>
        <w:t> </w:t>
      </w:r>
      <w:r>
        <w:rPr>
          <w:color w:val="231F20"/>
          <w:spacing w:val="-2"/>
        </w:rPr>
        <w:t>spéciales</w:t>
      </w:r>
      <w:r>
        <w:rPr>
          <w:color w:val="231F20"/>
          <w:spacing w:val="-13"/>
        </w:rPr>
        <w:t> </w:t>
      </w:r>
      <w:r>
        <w:rPr>
          <w:color w:val="231F20"/>
          <w:spacing w:val="-2"/>
        </w:rPr>
        <w:t>et</w:t>
      </w:r>
      <w:r>
        <w:rPr>
          <w:color w:val="231F20"/>
          <w:spacing w:val="-13"/>
        </w:rPr>
        <w:t> </w:t>
      </w:r>
      <w:r>
        <w:rPr>
          <w:color w:val="231F20"/>
          <w:spacing w:val="-2"/>
        </w:rPr>
        <w:t>vice-président</w:t>
      </w:r>
      <w:r>
        <w:rPr>
          <w:color w:val="231F20"/>
          <w:spacing w:val="-13"/>
        </w:rPr>
        <w:t> </w:t>
      </w:r>
      <w:r>
        <w:rPr>
          <w:color w:val="231F20"/>
          <w:spacing w:val="-2"/>
        </w:rPr>
        <w:t>renverse</w:t>
      </w:r>
      <w:r>
        <w:rPr>
          <w:color w:val="231F20"/>
          <w:spacing w:val="-13"/>
        </w:rPr>
        <w:t> </w:t>
      </w:r>
      <w:r>
        <w:rPr>
          <w:color w:val="231F20"/>
          <w:spacing w:val="-2"/>
        </w:rPr>
        <w:t>Bah</w:t>
      </w:r>
      <w:r>
        <w:rPr>
          <w:color w:val="231F20"/>
          <w:spacing w:val="-13"/>
        </w:rPr>
        <w:t> </w:t>
      </w:r>
      <w:r>
        <w:rPr>
          <w:color w:val="231F20"/>
          <w:spacing w:val="-2"/>
        </w:rPr>
        <w:t>N'Daw,</w:t>
      </w:r>
      <w:r>
        <w:rPr>
          <w:color w:val="231F20"/>
          <w:spacing w:val="-13"/>
        </w:rPr>
        <w:t> </w:t>
      </w:r>
      <w:r>
        <w:rPr>
          <w:color w:val="231F20"/>
          <w:spacing w:val="-2"/>
        </w:rPr>
        <w:t>le</w:t>
      </w:r>
      <w:r>
        <w:rPr>
          <w:color w:val="231F20"/>
          <w:spacing w:val="-13"/>
        </w:rPr>
        <w:t> </w:t>
      </w:r>
      <w:r>
        <w:rPr>
          <w:color w:val="231F20"/>
          <w:spacing w:val="-2"/>
        </w:rPr>
        <w:t>24</w:t>
      </w:r>
      <w:r>
        <w:rPr>
          <w:color w:val="231F20"/>
          <w:spacing w:val="-13"/>
        </w:rPr>
        <w:t> </w:t>
      </w:r>
      <w:r>
        <w:rPr>
          <w:color w:val="231F20"/>
          <w:spacing w:val="-2"/>
        </w:rPr>
        <w:t>mai</w:t>
      </w:r>
      <w:r>
        <w:rPr>
          <w:color w:val="231F20"/>
          <w:spacing w:val="-13"/>
        </w:rPr>
        <w:t> </w:t>
      </w:r>
      <w:r>
        <w:rPr>
          <w:color w:val="231F20"/>
          <w:spacing w:val="-2"/>
        </w:rPr>
        <w:t>2021,</w:t>
      </w:r>
      <w:r>
        <w:rPr>
          <w:color w:val="231F20"/>
          <w:spacing w:val="-13"/>
        </w:rPr>
        <w:t> </w:t>
      </w:r>
      <w:r>
        <w:rPr>
          <w:color w:val="231F20"/>
          <w:spacing w:val="-2"/>
        </w:rPr>
        <w:t>et </w:t>
      </w:r>
      <w:r>
        <w:rPr>
          <w:color w:val="231F20"/>
        </w:rPr>
        <w:t>s’auto proclame chef de l’Etat.</w:t>
      </w:r>
    </w:p>
    <w:p>
      <w:pPr>
        <w:pStyle w:val="BodyText"/>
        <w:spacing w:before="120"/>
        <w:ind w:right="106" w:firstLine="283"/>
      </w:pPr>
      <w:r>
        <w:rPr>
          <w:color w:val="231F20"/>
        </w:rPr>
        <w:t>Au plan économique, le Mali est exportateur d’or. Plusieurs projets </w:t>
      </w:r>
      <w:r>
        <w:rPr>
          <w:color w:val="231F20"/>
          <w:spacing w:val="-2"/>
        </w:rPr>
        <w:t>aurifères</w:t>
      </w:r>
      <w:r>
        <w:rPr>
          <w:color w:val="231F20"/>
          <w:spacing w:val="-13"/>
        </w:rPr>
        <w:t> </w:t>
      </w:r>
      <w:r>
        <w:rPr>
          <w:color w:val="231F20"/>
          <w:spacing w:val="-2"/>
        </w:rPr>
        <w:t>sont</w:t>
      </w:r>
      <w:r>
        <w:rPr>
          <w:color w:val="231F20"/>
          <w:spacing w:val="-13"/>
        </w:rPr>
        <w:t> </w:t>
      </w:r>
      <w:r>
        <w:rPr>
          <w:color w:val="231F20"/>
          <w:spacing w:val="-2"/>
        </w:rPr>
        <w:t>en</w:t>
      </w:r>
      <w:r>
        <w:rPr>
          <w:color w:val="231F20"/>
          <w:spacing w:val="-13"/>
        </w:rPr>
        <w:t> </w:t>
      </w:r>
      <w:r>
        <w:rPr>
          <w:color w:val="231F20"/>
          <w:spacing w:val="-2"/>
        </w:rPr>
        <w:t>cours</w:t>
      </w:r>
      <w:r>
        <w:rPr>
          <w:color w:val="231F20"/>
          <w:spacing w:val="-13"/>
        </w:rPr>
        <w:t> </w:t>
      </w:r>
      <w:r>
        <w:rPr>
          <w:color w:val="231F20"/>
          <w:spacing w:val="-2"/>
        </w:rPr>
        <w:t>d’exploitation</w:t>
      </w:r>
      <w:r>
        <w:rPr>
          <w:color w:val="231F20"/>
          <w:spacing w:val="-13"/>
        </w:rPr>
        <w:t> </w:t>
      </w:r>
      <w:r>
        <w:rPr>
          <w:color w:val="231F20"/>
          <w:spacing w:val="-2"/>
        </w:rPr>
        <w:t>et</w:t>
      </w:r>
      <w:r>
        <w:rPr>
          <w:color w:val="231F20"/>
          <w:spacing w:val="-13"/>
        </w:rPr>
        <w:t> </w:t>
      </w:r>
      <w:r>
        <w:rPr>
          <w:color w:val="231F20"/>
          <w:spacing w:val="-2"/>
        </w:rPr>
        <w:t>plusieurs</w:t>
      </w:r>
      <w:r>
        <w:rPr>
          <w:color w:val="231F20"/>
          <w:spacing w:val="-13"/>
        </w:rPr>
        <w:t> </w:t>
      </w:r>
      <w:r>
        <w:rPr>
          <w:color w:val="231F20"/>
          <w:spacing w:val="-2"/>
        </w:rPr>
        <w:t>compagnies</w:t>
      </w:r>
      <w:r>
        <w:rPr>
          <w:color w:val="231F20"/>
          <w:spacing w:val="-13"/>
        </w:rPr>
        <w:t> </w:t>
      </w:r>
      <w:r>
        <w:rPr>
          <w:color w:val="231F20"/>
          <w:spacing w:val="-2"/>
        </w:rPr>
        <w:t>continuent </w:t>
      </w:r>
      <w:r>
        <w:rPr>
          <w:color w:val="231F20"/>
        </w:rPr>
        <w:t>de</w:t>
      </w:r>
      <w:r>
        <w:rPr>
          <w:color w:val="231F20"/>
          <w:spacing w:val="-6"/>
        </w:rPr>
        <w:t> </w:t>
      </w:r>
      <w:r>
        <w:rPr>
          <w:color w:val="231F20"/>
        </w:rPr>
        <w:t>mener</w:t>
      </w:r>
      <w:r>
        <w:rPr>
          <w:color w:val="231F20"/>
          <w:spacing w:val="-6"/>
        </w:rPr>
        <w:t> </w:t>
      </w:r>
      <w:r>
        <w:rPr>
          <w:color w:val="231F20"/>
        </w:rPr>
        <w:t>des</w:t>
      </w:r>
      <w:r>
        <w:rPr>
          <w:color w:val="231F20"/>
          <w:spacing w:val="-8"/>
        </w:rPr>
        <w:t> </w:t>
      </w:r>
      <w:r>
        <w:rPr>
          <w:color w:val="231F20"/>
        </w:rPr>
        <w:t>activités</w:t>
      </w:r>
      <w:r>
        <w:rPr>
          <w:color w:val="231F20"/>
          <w:spacing w:val="-6"/>
        </w:rPr>
        <w:t> </w:t>
      </w:r>
      <w:r>
        <w:rPr>
          <w:color w:val="231F20"/>
        </w:rPr>
        <w:t>d’exploration</w:t>
      </w:r>
      <w:r>
        <w:rPr>
          <w:color w:val="231F20"/>
          <w:spacing w:val="-8"/>
        </w:rPr>
        <w:t> </w:t>
      </w:r>
      <w:r>
        <w:rPr>
          <w:color w:val="231F20"/>
        </w:rPr>
        <w:t>sur</w:t>
      </w:r>
      <w:r>
        <w:rPr>
          <w:color w:val="231F20"/>
          <w:spacing w:val="-8"/>
        </w:rPr>
        <w:t> </w:t>
      </w:r>
      <w:r>
        <w:rPr>
          <w:color w:val="231F20"/>
        </w:rPr>
        <w:t>des</w:t>
      </w:r>
      <w:r>
        <w:rPr>
          <w:color w:val="231F20"/>
          <w:spacing w:val="-6"/>
        </w:rPr>
        <w:t> </w:t>
      </w:r>
      <w:r>
        <w:rPr>
          <w:color w:val="231F20"/>
        </w:rPr>
        <w:t>gisements</w:t>
      </w:r>
      <w:r>
        <w:rPr>
          <w:color w:val="231F20"/>
          <w:spacing w:val="-6"/>
        </w:rPr>
        <w:t> </w:t>
      </w:r>
      <w:r>
        <w:rPr>
          <w:color w:val="231F20"/>
        </w:rPr>
        <w:t>aurifères.</w:t>
      </w:r>
    </w:p>
    <w:p>
      <w:pPr>
        <w:spacing w:after="0"/>
        <w:sectPr>
          <w:pgSz w:w="8790" w:h="13610"/>
          <w:pgMar w:header="0" w:footer="802" w:top="1040" w:bottom="1000" w:left="880" w:right="880"/>
        </w:sectPr>
      </w:pPr>
    </w:p>
    <w:p>
      <w:pPr>
        <w:pStyle w:val="Heading3"/>
        <w:spacing w:before="87"/>
        <w:rPr>
          <w:rFonts w:ascii="Times New Roman" w:hAnsi="Times New Roman"/>
          <w:b w:val="0"/>
          <w:i w:val="0"/>
        </w:rPr>
      </w:pPr>
      <w:r>
        <w:rPr>
          <w:i/>
          <w:color w:val="231F20"/>
          <w:spacing w:val="-2"/>
        </w:rPr>
        <w:t>La</w:t>
      </w:r>
      <w:r>
        <w:rPr>
          <w:i/>
          <w:color w:val="231F20"/>
          <w:spacing w:val="-9"/>
        </w:rPr>
        <w:t> </w:t>
      </w:r>
      <w:r>
        <w:rPr>
          <w:i/>
          <w:color w:val="231F20"/>
          <w:spacing w:val="-2"/>
        </w:rPr>
        <w:t>République</w:t>
      </w:r>
      <w:r>
        <w:rPr>
          <w:i/>
          <w:color w:val="231F20"/>
          <w:spacing w:val="-10"/>
        </w:rPr>
        <w:t> </w:t>
      </w:r>
      <w:r>
        <w:rPr>
          <w:i/>
          <w:color w:val="231F20"/>
          <w:spacing w:val="-2"/>
        </w:rPr>
        <w:t>du</w:t>
      </w:r>
      <w:r>
        <w:rPr>
          <w:i/>
          <w:color w:val="231F20"/>
          <w:spacing w:val="-8"/>
        </w:rPr>
        <w:t> </w:t>
      </w:r>
      <w:r>
        <w:rPr>
          <w:i/>
          <w:color w:val="231F20"/>
          <w:spacing w:val="-2"/>
        </w:rPr>
        <w:t>Niger</w:t>
      </w:r>
      <w:r>
        <w:rPr>
          <w:rFonts w:ascii="Times New Roman" w:hAnsi="Times New Roman"/>
          <w:b w:val="0"/>
          <w:i w:val="0"/>
          <w:color w:val="231F20"/>
          <w:spacing w:val="-2"/>
          <w:vertAlign w:val="superscript"/>
        </w:rPr>
        <w:t>89</w:t>
      </w:r>
    </w:p>
    <w:p>
      <w:pPr>
        <w:pStyle w:val="BodyText"/>
        <w:spacing w:before="255"/>
        <w:ind w:right="104" w:firstLine="283"/>
      </w:pPr>
      <w:r>
        <w:rPr>
          <w:color w:val="231F20"/>
        </w:rPr>
        <w:t>Le Niger se situe au carrefour d’échanges de l’Afrique du Nord et l’Afrique</w:t>
      </w:r>
      <w:r>
        <w:rPr>
          <w:color w:val="231F20"/>
          <w:spacing w:val="-1"/>
        </w:rPr>
        <w:t> </w:t>
      </w:r>
      <w:r>
        <w:rPr>
          <w:color w:val="231F20"/>
        </w:rPr>
        <w:t>au Sud du Sahara steppique. Sur une superficie de 1</w:t>
      </w:r>
      <w:r>
        <w:rPr>
          <w:color w:val="231F20"/>
          <w:spacing w:val="-15"/>
        </w:rPr>
        <w:t> </w:t>
      </w:r>
      <w:r>
        <w:rPr>
          <w:color w:val="231F20"/>
        </w:rPr>
        <w:t>267</w:t>
      </w:r>
      <w:r>
        <w:rPr>
          <w:color w:val="231F20"/>
          <w:spacing w:val="-15"/>
        </w:rPr>
        <w:t> </w:t>
      </w:r>
      <w:r>
        <w:rPr>
          <w:color w:val="231F20"/>
        </w:rPr>
        <w:t>000 km2, entre l’Afrique subsaharienne et l’Afrique du Nord, frontalier de l’Algérie,</w:t>
      </w:r>
      <w:r>
        <w:rPr>
          <w:color w:val="231F20"/>
          <w:spacing w:val="-8"/>
        </w:rPr>
        <w:t> </w:t>
      </w:r>
      <w:r>
        <w:rPr>
          <w:color w:val="231F20"/>
        </w:rPr>
        <w:t>du</w:t>
      </w:r>
      <w:r>
        <w:rPr>
          <w:color w:val="231F20"/>
          <w:spacing w:val="-10"/>
        </w:rPr>
        <w:t> </w:t>
      </w:r>
      <w:r>
        <w:rPr>
          <w:color w:val="231F20"/>
        </w:rPr>
        <w:t>Bénin,</w:t>
      </w:r>
      <w:r>
        <w:rPr>
          <w:color w:val="231F20"/>
          <w:spacing w:val="-10"/>
        </w:rPr>
        <w:t> </w:t>
      </w:r>
      <w:r>
        <w:rPr>
          <w:color w:val="231F20"/>
        </w:rPr>
        <w:t>du</w:t>
      </w:r>
      <w:r>
        <w:rPr>
          <w:color w:val="231F20"/>
          <w:spacing w:val="-11"/>
        </w:rPr>
        <w:t> </w:t>
      </w:r>
      <w:r>
        <w:rPr>
          <w:color w:val="231F20"/>
        </w:rPr>
        <w:t>Burkina</w:t>
      </w:r>
      <w:r>
        <w:rPr>
          <w:color w:val="231F20"/>
          <w:spacing w:val="-8"/>
        </w:rPr>
        <w:t> </w:t>
      </w:r>
      <w:r>
        <w:rPr>
          <w:color w:val="231F20"/>
        </w:rPr>
        <w:t>Faso,</w:t>
      </w:r>
      <w:r>
        <w:rPr>
          <w:color w:val="231F20"/>
          <w:spacing w:val="-8"/>
        </w:rPr>
        <w:t> </w:t>
      </w:r>
      <w:r>
        <w:rPr>
          <w:color w:val="231F20"/>
        </w:rPr>
        <w:t>du</w:t>
      </w:r>
      <w:r>
        <w:rPr>
          <w:color w:val="231F20"/>
          <w:spacing w:val="-10"/>
        </w:rPr>
        <w:t> </w:t>
      </w:r>
      <w:r>
        <w:rPr>
          <w:color w:val="231F20"/>
        </w:rPr>
        <w:t>Tchad,</w:t>
      </w:r>
      <w:r>
        <w:rPr>
          <w:color w:val="231F20"/>
          <w:spacing w:val="-10"/>
        </w:rPr>
        <w:t> </w:t>
      </w:r>
      <w:r>
        <w:rPr>
          <w:color w:val="231F20"/>
        </w:rPr>
        <w:t>de</w:t>
      </w:r>
      <w:r>
        <w:rPr>
          <w:color w:val="231F20"/>
          <w:spacing w:val="-11"/>
        </w:rPr>
        <w:t> </w:t>
      </w:r>
      <w:r>
        <w:rPr>
          <w:color w:val="231F20"/>
        </w:rPr>
        <w:t>la</w:t>
      </w:r>
      <w:r>
        <w:rPr>
          <w:color w:val="231F20"/>
          <w:spacing w:val="-8"/>
        </w:rPr>
        <w:t> </w:t>
      </w:r>
      <w:r>
        <w:rPr>
          <w:color w:val="231F20"/>
        </w:rPr>
        <w:t>Libye,</w:t>
      </w:r>
      <w:r>
        <w:rPr>
          <w:color w:val="231F20"/>
          <w:spacing w:val="-11"/>
        </w:rPr>
        <w:t> </w:t>
      </w:r>
      <w:r>
        <w:rPr>
          <w:color w:val="231F20"/>
        </w:rPr>
        <w:t>du</w:t>
      </w:r>
      <w:r>
        <w:rPr>
          <w:color w:val="231F20"/>
          <w:spacing w:val="-11"/>
        </w:rPr>
        <w:t> </w:t>
      </w:r>
      <w:r>
        <w:rPr>
          <w:color w:val="231F20"/>
        </w:rPr>
        <w:t>Mali</w:t>
      </w:r>
      <w:r>
        <w:rPr>
          <w:color w:val="231F20"/>
          <w:spacing w:val="-10"/>
        </w:rPr>
        <w:t> </w:t>
      </w:r>
      <w:r>
        <w:rPr>
          <w:color w:val="231F20"/>
        </w:rPr>
        <w:t>et du</w:t>
      </w:r>
      <w:r>
        <w:rPr>
          <w:color w:val="231F20"/>
          <w:spacing w:val="-10"/>
        </w:rPr>
        <w:t> </w:t>
      </w:r>
      <w:r>
        <w:rPr>
          <w:color w:val="231F20"/>
        </w:rPr>
        <w:t>Nigéria,</w:t>
      </w:r>
      <w:r>
        <w:rPr>
          <w:color w:val="231F20"/>
          <w:spacing w:val="-8"/>
        </w:rPr>
        <w:t> </w:t>
      </w:r>
      <w:r>
        <w:rPr>
          <w:color w:val="231F20"/>
        </w:rPr>
        <w:t>c’est</w:t>
      </w:r>
      <w:r>
        <w:rPr>
          <w:color w:val="231F20"/>
          <w:spacing w:val="-8"/>
        </w:rPr>
        <w:t> </w:t>
      </w:r>
      <w:r>
        <w:rPr>
          <w:color w:val="231F20"/>
        </w:rPr>
        <w:t>le</w:t>
      </w:r>
      <w:r>
        <w:rPr>
          <w:color w:val="231F20"/>
          <w:spacing w:val="-10"/>
        </w:rPr>
        <w:t> </w:t>
      </w:r>
      <w:r>
        <w:rPr>
          <w:color w:val="231F20"/>
        </w:rPr>
        <w:t>pays</w:t>
      </w:r>
      <w:r>
        <w:rPr>
          <w:color w:val="231F20"/>
          <w:spacing w:val="-7"/>
        </w:rPr>
        <w:t> </w:t>
      </w:r>
      <w:r>
        <w:rPr>
          <w:color w:val="231F20"/>
        </w:rPr>
        <w:t>le</w:t>
      </w:r>
      <w:r>
        <w:rPr>
          <w:color w:val="231F20"/>
          <w:spacing w:val="-7"/>
        </w:rPr>
        <w:t> </w:t>
      </w:r>
      <w:r>
        <w:rPr>
          <w:color w:val="231F20"/>
        </w:rPr>
        <w:t>plus</w:t>
      </w:r>
      <w:r>
        <w:rPr>
          <w:color w:val="231F20"/>
          <w:spacing w:val="-9"/>
        </w:rPr>
        <w:t> </w:t>
      </w:r>
      <w:r>
        <w:rPr>
          <w:color w:val="231F20"/>
        </w:rPr>
        <w:t>vaste</w:t>
      </w:r>
      <w:r>
        <w:rPr>
          <w:color w:val="231F20"/>
          <w:spacing w:val="-10"/>
        </w:rPr>
        <w:t> </w:t>
      </w:r>
      <w:r>
        <w:rPr>
          <w:color w:val="231F20"/>
        </w:rPr>
        <w:t>de</w:t>
      </w:r>
      <w:r>
        <w:rPr>
          <w:color w:val="231F20"/>
          <w:spacing w:val="-10"/>
        </w:rPr>
        <w:t> </w:t>
      </w:r>
      <w:r>
        <w:rPr>
          <w:color w:val="231F20"/>
        </w:rPr>
        <w:t>l’Afrique</w:t>
      </w:r>
      <w:r>
        <w:rPr>
          <w:color w:val="231F20"/>
          <w:spacing w:val="-11"/>
        </w:rPr>
        <w:t> </w:t>
      </w:r>
      <w:r>
        <w:rPr>
          <w:color w:val="231F20"/>
        </w:rPr>
        <w:t>Occidentale</w:t>
      </w:r>
      <w:r>
        <w:rPr>
          <w:color w:val="231F20"/>
          <w:spacing w:val="-15"/>
        </w:rPr>
        <w:t> </w:t>
      </w:r>
      <w:r>
        <w:rPr>
          <w:color w:val="231F20"/>
        </w:rPr>
        <w:t>:</w:t>
      </w:r>
      <w:r>
        <w:rPr>
          <w:color w:val="231F20"/>
          <w:spacing w:val="-8"/>
        </w:rPr>
        <w:t> </w:t>
      </w:r>
      <w:r>
        <w:rPr>
          <w:color w:val="231F20"/>
        </w:rPr>
        <w:t>6ème</w:t>
      </w:r>
      <w:r>
        <w:rPr>
          <w:color w:val="231F20"/>
          <w:spacing w:val="-9"/>
        </w:rPr>
        <w:t> </w:t>
      </w:r>
      <w:r>
        <w:rPr>
          <w:color w:val="231F20"/>
        </w:rPr>
        <w:t>à l’échelle continentale après l’Algérie, la République Démocratique du Congo, le Soudan, la Libye et le Tchad.</w:t>
      </w:r>
    </w:p>
    <w:p>
      <w:pPr>
        <w:pStyle w:val="BodyText"/>
        <w:spacing w:before="121"/>
        <w:ind w:right="103" w:firstLine="283"/>
      </w:pPr>
      <w:r>
        <w:rPr>
          <w:color w:val="231F20"/>
          <w:spacing w:val="-2"/>
        </w:rPr>
        <w:t>Le</w:t>
      </w:r>
      <w:r>
        <w:rPr>
          <w:color w:val="231F20"/>
          <w:spacing w:val="-15"/>
        </w:rPr>
        <w:t> </w:t>
      </w:r>
      <w:r>
        <w:rPr>
          <w:color w:val="231F20"/>
          <w:spacing w:val="-2"/>
        </w:rPr>
        <w:t>territoire</w:t>
      </w:r>
      <w:r>
        <w:rPr>
          <w:color w:val="231F20"/>
          <w:spacing w:val="-13"/>
        </w:rPr>
        <w:t> </w:t>
      </w:r>
      <w:r>
        <w:rPr>
          <w:color w:val="231F20"/>
          <w:spacing w:val="-2"/>
        </w:rPr>
        <w:t>est</w:t>
      </w:r>
      <w:r>
        <w:rPr>
          <w:color w:val="231F20"/>
          <w:spacing w:val="-13"/>
        </w:rPr>
        <w:t> </w:t>
      </w:r>
      <w:r>
        <w:rPr>
          <w:color w:val="231F20"/>
          <w:spacing w:val="-2"/>
        </w:rPr>
        <w:t>constitué</w:t>
      </w:r>
      <w:r>
        <w:rPr>
          <w:color w:val="231F20"/>
          <w:spacing w:val="-13"/>
        </w:rPr>
        <w:t> </w:t>
      </w:r>
      <w:r>
        <w:rPr>
          <w:color w:val="231F20"/>
          <w:spacing w:val="-2"/>
        </w:rPr>
        <w:t>à</w:t>
      </w:r>
      <w:r>
        <w:rPr>
          <w:color w:val="231F20"/>
          <w:spacing w:val="-13"/>
        </w:rPr>
        <w:t> </w:t>
      </w:r>
      <w:r>
        <w:rPr>
          <w:color w:val="231F20"/>
          <w:spacing w:val="-2"/>
        </w:rPr>
        <w:t>plus</w:t>
      </w:r>
      <w:r>
        <w:rPr>
          <w:color w:val="231F20"/>
          <w:spacing w:val="-13"/>
        </w:rPr>
        <w:t> </w:t>
      </w:r>
      <w:r>
        <w:rPr>
          <w:color w:val="231F20"/>
          <w:spacing w:val="-2"/>
        </w:rPr>
        <w:t>de</w:t>
      </w:r>
      <w:r>
        <w:rPr>
          <w:color w:val="231F20"/>
          <w:spacing w:val="-13"/>
        </w:rPr>
        <w:t> </w:t>
      </w:r>
      <w:r>
        <w:rPr>
          <w:color w:val="231F20"/>
          <w:spacing w:val="-2"/>
        </w:rPr>
        <w:t>80</w:t>
      </w:r>
      <w:r>
        <w:rPr>
          <w:color w:val="231F20"/>
          <w:spacing w:val="-13"/>
        </w:rPr>
        <w:t> </w:t>
      </w:r>
      <w:r>
        <w:rPr>
          <w:color w:val="231F20"/>
          <w:spacing w:val="-2"/>
        </w:rPr>
        <w:t>%</w:t>
      </w:r>
      <w:r>
        <w:rPr>
          <w:color w:val="231F20"/>
          <w:spacing w:val="-13"/>
        </w:rPr>
        <w:t> </w:t>
      </w:r>
      <w:r>
        <w:rPr>
          <w:color w:val="231F20"/>
          <w:spacing w:val="-2"/>
        </w:rPr>
        <w:t>du</w:t>
      </w:r>
      <w:r>
        <w:rPr>
          <w:color w:val="231F20"/>
          <w:spacing w:val="-13"/>
        </w:rPr>
        <w:t> </w:t>
      </w:r>
      <w:r>
        <w:rPr>
          <w:color w:val="231F20"/>
          <w:spacing w:val="-2"/>
        </w:rPr>
        <w:t>Sahara</w:t>
      </w:r>
      <w:r>
        <w:rPr>
          <w:color w:val="231F20"/>
          <w:spacing w:val="-13"/>
        </w:rPr>
        <w:t> </w:t>
      </w:r>
      <w:r>
        <w:rPr>
          <w:color w:val="231F20"/>
          <w:spacing w:val="-2"/>
        </w:rPr>
        <w:t>et</w:t>
      </w:r>
      <w:r>
        <w:rPr>
          <w:color w:val="231F20"/>
          <w:spacing w:val="-13"/>
        </w:rPr>
        <w:t> </w:t>
      </w:r>
      <w:r>
        <w:rPr>
          <w:color w:val="231F20"/>
          <w:spacing w:val="-2"/>
        </w:rPr>
        <w:t>du</w:t>
      </w:r>
      <w:r>
        <w:rPr>
          <w:color w:val="231F20"/>
          <w:spacing w:val="-13"/>
        </w:rPr>
        <w:t> </w:t>
      </w:r>
      <w:r>
        <w:rPr>
          <w:color w:val="231F20"/>
          <w:spacing w:val="-2"/>
        </w:rPr>
        <w:t>Sahel</w:t>
      </w:r>
      <w:r>
        <w:rPr>
          <w:color w:val="231F20"/>
          <w:spacing w:val="-13"/>
        </w:rPr>
        <w:t> </w:t>
      </w:r>
      <w:r>
        <w:rPr>
          <w:color w:val="231F20"/>
          <w:spacing w:val="-2"/>
        </w:rPr>
        <w:t>rendant improbable</w:t>
      </w:r>
      <w:r>
        <w:rPr>
          <w:color w:val="231F20"/>
          <w:spacing w:val="-10"/>
        </w:rPr>
        <w:t> </w:t>
      </w:r>
      <w:r>
        <w:rPr>
          <w:color w:val="231F20"/>
          <w:spacing w:val="-2"/>
        </w:rPr>
        <w:t>l’accès</w:t>
      </w:r>
      <w:r>
        <w:rPr>
          <w:color w:val="231F20"/>
          <w:spacing w:val="-10"/>
        </w:rPr>
        <w:t> </w:t>
      </w:r>
      <w:r>
        <w:rPr>
          <w:color w:val="231F20"/>
          <w:spacing w:val="-2"/>
        </w:rPr>
        <w:t>à</w:t>
      </w:r>
      <w:r>
        <w:rPr>
          <w:color w:val="231F20"/>
          <w:spacing w:val="-10"/>
        </w:rPr>
        <w:t> </w:t>
      </w:r>
      <w:r>
        <w:rPr>
          <w:color w:val="231F20"/>
          <w:spacing w:val="-2"/>
        </w:rPr>
        <w:t>l’eau</w:t>
      </w:r>
      <w:r>
        <w:rPr>
          <w:color w:val="231F20"/>
          <w:spacing w:val="-12"/>
        </w:rPr>
        <w:t> </w:t>
      </w:r>
      <w:r>
        <w:rPr>
          <w:color w:val="231F20"/>
          <w:spacing w:val="-2"/>
        </w:rPr>
        <w:t>pour</w:t>
      </w:r>
      <w:r>
        <w:rPr>
          <w:color w:val="231F20"/>
          <w:spacing w:val="-10"/>
        </w:rPr>
        <w:t> </w:t>
      </w:r>
      <w:r>
        <w:rPr>
          <w:color w:val="231F20"/>
          <w:spacing w:val="-2"/>
        </w:rPr>
        <w:t>une</w:t>
      </w:r>
      <w:r>
        <w:rPr>
          <w:color w:val="231F20"/>
          <w:spacing w:val="-10"/>
        </w:rPr>
        <w:t> </w:t>
      </w:r>
      <w:r>
        <w:rPr>
          <w:color w:val="231F20"/>
          <w:spacing w:val="-2"/>
        </w:rPr>
        <w:t>grande</w:t>
      </w:r>
      <w:r>
        <w:rPr>
          <w:color w:val="231F20"/>
          <w:spacing w:val="-10"/>
        </w:rPr>
        <w:t> </w:t>
      </w:r>
      <w:r>
        <w:rPr>
          <w:color w:val="231F20"/>
          <w:spacing w:val="-2"/>
        </w:rPr>
        <w:t>partie</w:t>
      </w:r>
      <w:r>
        <w:rPr>
          <w:color w:val="231F20"/>
          <w:spacing w:val="-10"/>
        </w:rPr>
        <w:t> </w:t>
      </w:r>
      <w:r>
        <w:rPr>
          <w:color w:val="231F20"/>
          <w:spacing w:val="-2"/>
        </w:rPr>
        <w:t>de</w:t>
      </w:r>
      <w:r>
        <w:rPr>
          <w:color w:val="231F20"/>
          <w:spacing w:val="-13"/>
        </w:rPr>
        <w:t> </w:t>
      </w:r>
      <w:r>
        <w:rPr>
          <w:color w:val="231F20"/>
          <w:spacing w:val="-2"/>
        </w:rPr>
        <w:t>la</w:t>
      </w:r>
      <w:r>
        <w:rPr>
          <w:color w:val="231F20"/>
          <w:spacing w:val="-10"/>
        </w:rPr>
        <w:t> </w:t>
      </w:r>
      <w:r>
        <w:rPr>
          <w:color w:val="231F20"/>
          <w:spacing w:val="-2"/>
        </w:rPr>
        <w:t>population.</w:t>
      </w:r>
      <w:r>
        <w:rPr>
          <w:color w:val="231F20"/>
          <w:spacing w:val="-10"/>
        </w:rPr>
        <w:t> </w:t>
      </w:r>
      <w:r>
        <w:rPr>
          <w:color w:val="231F20"/>
          <w:spacing w:val="-2"/>
        </w:rPr>
        <w:t>Seule une</w:t>
      </w:r>
      <w:r>
        <w:rPr>
          <w:color w:val="231F20"/>
          <w:spacing w:val="-15"/>
        </w:rPr>
        <w:t> </w:t>
      </w:r>
      <w:r>
        <w:rPr>
          <w:color w:val="231F20"/>
          <w:spacing w:val="-2"/>
        </w:rPr>
        <w:t>bande</w:t>
      </w:r>
      <w:r>
        <w:rPr>
          <w:color w:val="231F20"/>
          <w:spacing w:val="-13"/>
        </w:rPr>
        <w:t> </w:t>
      </w:r>
      <w:r>
        <w:rPr>
          <w:color w:val="231F20"/>
          <w:spacing w:val="-2"/>
        </w:rPr>
        <w:t>au</w:t>
      </w:r>
      <w:r>
        <w:rPr>
          <w:color w:val="231F20"/>
          <w:spacing w:val="-13"/>
        </w:rPr>
        <w:t> </w:t>
      </w:r>
      <w:r>
        <w:rPr>
          <w:color w:val="231F20"/>
          <w:spacing w:val="-2"/>
        </w:rPr>
        <w:t>sud</w:t>
      </w:r>
      <w:r>
        <w:rPr>
          <w:color w:val="231F20"/>
          <w:spacing w:val="-13"/>
        </w:rPr>
        <w:t> </w:t>
      </w:r>
      <w:r>
        <w:rPr>
          <w:color w:val="231F20"/>
          <w:spacing w:val="-2"/>
        </w:rPr>
        <w:t>du</w:t>
      </w:r>
      <w:r>
        <w:rPr>
          <w:color w:val="231F20"/>
          <w:spacing w:val="-13"/>
        </w:rPr>
        <w:t> </w:t>
      </w:r>
      <w:r>
        <w:rPr>
          <w:color w:val="231F20"/>
          <w:spacing w:val="-2"/>
        </w:rPr>
        <w:t>pays</w:t>
      </w:r>
      <w:r>
        <w:rPr>
          <w:color w:val="231F20"/>
          <w:spacing w:val="-13"/>
        </w:rPr>
        <w:t> </w:t>
      </w:r>
      <w:r>
        <w:rPr>
          <w:color w:val="231F20"/>
          <w:spacing w:val="-2"/>
        </w:rPr>
        <w:t>en</w:t>
      </w:r>
      <w:r>
        <w:rPr>
          <w:color w:val="231F20"/>
          <w:spacing w:val="-13"/>
        </w:rPr>
        <w:t> </w:t>
      </w:r>
      <w:r>
        <w:rPr>
          <w:color w:val="231F20"/>
          <w:spacing w:val="-2"/>
        </w:rPr>
        <w:t>reçoit.</w:t>
      </w:r>
      <w:r>
        <w:rPr>
          <w:color w:val="231F20"/>
          <w:spacing w:val="-13"/>
        </w:rPr>
        <w:t> </w:t>
      </w:r>
      <w:r>
        <w:rPr>
          <w:color w:val="231F20"/>
          <w:spacing w:val="-2"/>
        </w:rPr>
        <w:t>La</w:t>
      </w:r>
      <w:r>
        <w:rPr>
          <w:color w:val="231F20"/>
          <w:spacing w:val="-13"/>
        </w:rPr>
        <w:t> </w:t>
      </w:r>
      <w:r>
        <w:rPr>
          <w:color w:val="231F20"/>
          <w:spacing w:val="-2"/>
        </w:rPr>
        <w:t>plupart</w:t>
      </w:r>
      <w:r>
        <w:rPr>
          <w:color w:val="231F20"/>
          <w:spacing w:val="-13"/>
        </w:rPr>
        <w:t> </w:t>
      </w:r>
      <w:r>
        <w:rPr>
          <w:color w:val="231F20"/>
          <w:spacing w:val="-2"/>
        </w:rPr>
        <w:t>des</w:t>
      </w:r>
      <w:r>
        <w:rPr>
          <w:color w:val="231F20"/>
          <w:spacing w:val="-13"/>
        </w:rPr>
        <w:t> </w:t>
      </w:r>
      <w:r>
        <w:rPr>
          <w:color w:val="231F20"/>
          <w:spacing w:val="-2"/>
        </w:rPr>
        <w:t>villes</w:t>
      </w:r>
      <w:r>
        <w:rPr>
          <w:color w:val="231F20"/>
          <w:spacing w:val="-13"/>
        </w:rPr>
        <w:t> </w:t>
      </w:r>
      <w:r>
        <w:rPr>
          <w:color w:val="231F20"/>
          <w:spacing w:val="-2"/>
        </w:rPr>
        <w:t>importantes</w:t>
      </w:r>
      <w:r>
        <w:rPr>
          <w:color w:val="231F20"/>
          <w:spacing w:val="-13"/>
        </w:rPr>
        <w:t> </w:t>
      </w:r>
      <w:r>
        <w:rPr>
          <w:color w:val="231F20"/>
          <w:spacing w:val="-2"/>
        </w:rPr>
        <w:t>sont </w:t>
      </w:r>
      <w:r>
        <w:rPr>
          <w:color w:val="231F20"/>
          <w:spacing w:val="-4"/>
        </w:rPr>
        <w:t>donc</w:t>
      </w:r>
      <w:r>
        <w:rPr>
          <w:color w:val="231F20"/>
          <w:spacing w:val="-11"/>
        </w:rPr>
        <w:t> </w:t>
      </w:r>
      <w:r>
        <w:rPr>
          <w:color w:val="231F20"/>
          <w:spacing w:val="-4"/>
        </w:rPr>
        <w:t>concentrées</w:t>
      </w:r>
      <w:r>
        <w:rPr>
          <w:color w:val="231F20"/>
          <w:spacing w:val="-11"/>
        </w:rPr>
        <w:t> </w:t>
      </w:r>
      <w:r>
        <w:rPr>
          <w:color w:val="231F20"/>
          <w:spacing w:val="-4"/>
        </w:rPr>
        <w:t>dans</w:t>
      </w:r>
      <w:r>
        <w:rPr>
          <w:color w:val="231F20"/>
          <w:spacing w:val="-11"/>
        </w:rPr>
        <w:t> </w:t>
      </w:r>
      <w:r>
        <w:rPr>
          <w:color w:val="231F20"/>
          <w:spacing w:val="-4"/>
        </w:rPr>
        <w:t>cette</w:t>
      </w:r>
      <w:r>
        <w:rPr>
          <w:color w:val="231F20"/>
          <w:spacing w:val="-11"/>
        </w:rPr>
        <w:t> </w:t>
      </w:r>
      <w:r>
        <w:rPr>
          <w:color w:val="231F20"/>
          <w:spacing w:val="-4"/>
        </w:rPr>
        <w:t>partie</w:t>
      </w:r>
      <w:r>
        <w:rPr>
          <w:color w:val="231F20"/>
          <w:spacing w:val="-11"/>
        </w:rPr>
        <w:t> </w:t>
      </w:r>
      <w:r>
        <w:rPr>
          <w:color w:val="231F20"/>
          <w:spacing w:val="-4"/>
        </w:rPr>
        <w:t>du</w:t>
      </w:r>
      <w:r>
        <w:rPr>
          <w:color w:val="231F20"/>
          <w:spacing w:val="-11"/>
        </w:rPr>
        <w:t> </w:t>
      </w:r>
      <w:r>
        <w:rPr>
          <w:color w:val="231F20"/>
          <w:spacing w:val="-4"/>
        </w:rPr>
        <w:t>pays</w:t>
      </w:r>
      <w:r>
        <w:rPr>
          <w:color w:val="231F20"/>
          <w:spacing w:val="-11"/>
        </w:rPr>
        <w:t> </w:t>
      </w:r>
      <w:r>
        <w:rPr>
          <w:color w:val="231F20"/>
          <w:spacing w:val="-4"/>
        </w:rPr>
        <w:t>:</w:t>
      </w:r>
      <w:r>
        <w:rPr>
          <w:color w:val="231F20"/>
          <w:spacing w:val="-11"/>
        </w:rPr>
        <w:t> </w:t>
      </w:r>
      <w:r>
        <w:rPr>
          <w:color w:val="231F20"/>
          <w:spacing w:val="-4"/>
        </w:rPr>
        <w:t>à</w:t>
      </w:r>
      <w:r>
        <w:rPr>
          <w:color w:val="231F20"/>
          <w:spacing w:val="-11"/>
        </w:rPr>
        <w:t> </w:t>
      </w:r>
      <w:r>
        <w:rPr>
          <w:color w:val="231F20"/>
          <w:spacing w:val="-4"/>
        </w:rPr>
        <w:t>peine</w:t>
      </w:r>
      <w:r>
        <w:rPr>
          <w:color w:val="231F20"/>
          <w:spacing w:val="-11"/>
        </w:rPr>
        <w:t> </w:t>
      </w:r>
      <w:r>
        <w:rPr>
          <w:color w:val="231F20"/>
          <w:spacing w:val="-4"/>
        </w:rPr>
        <w:t>8%</w:t>
      </w:r>
      <w:r>
        <w:rPr>
          <w:color w:val="231F20"/>
          <w:spacing w:val="-11"/>
        </w:rPr>
        <w:t> </w:t>
      </w:r>
      <w:r>
        <w:rPr>
          <w:color w:val="231F20"/>
          <w:spacing w:val="-4"/>
        </w:rPr>
        <w:t>de</w:t>
      </w:r>
      <w:r>
        <w:rPr>
          <w:color w:val="231F20"/>
          <w:spacing w:val="-11"/>
        </w:rPr>
        <w:t> </w:t>
      </w:r>
      <w:r>
        <w:rPr>
          <w:color w:val="231F20"/>
          <w:spacing w:val="-4"/>
        </w:rPr>
        <w:t>terre</w:t>
      </w:r>
      <w:r>
        <w:rPr>
          <w:color w:val="231F20"/>
          <w:spacing w:val="-11"/>
        </w:rPr>
        <w:t> </w:t>
      </w:r>
      <w:r>
        <w:rPr>
          <w:color w:val="231F20"/>
          <w:spacing w:val="-4"/>
        </w:rPr>
        <w:t>cultivable. </w:t>
      </w:r>
      <w:r>
        <w:rPr>
          <w:color w:val="231F20"/>
        </w:rPr>
        <w:t>Les programmes gouvernementaux de reforestation se heurtent aux </w:t>
      </w:r>
      <w:r>
        <w:rPr>
          <w:color w:val="231F20"/>
          <w:spacing w:val="-2"/>
        </w:rPr>
        <w:t>fréquentes</w:t>
      </w:r>
      <w:r>
        <w:rPr>
          <w:color w:val="231F20"/>
          <w:spacing w:val="-15"/>
        </w:rPr>
        <w:t> </w:t>
      </w:r>
      <w:r>
        <w:rPr>
          <w:color w:val="231F20"/>
          <w:spacing w:val="-2"/>
        </w:rPr>
        <w:t>sècheresses</w:t>
      </w:r>
      <w:r>
        <w:rPr>
          <w:color w:val="231F20"/>
          <w:spacing w:val="-13"/>
        </w:rPr>
        <w:t> </w:t>
      </w:r>
      <w:r>
        <w:rPr>
          <w:color w:val="231F20"/>
          <w:spacing w:val="-2"/>
        </w:rPr>
        <w:t>et</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demande</w:t>
      </w:r>
      <w:r>
        <w:rPr>
          <w:color w:val="231F20"/>
          <w:spacing w:val="-13"/>
        </w:rPr>
        <w:t> </w:t>
      </w:r>
      <w:r>
        <w:rPr>
          <w:color w:val="231F20"/>
          <w:spacing w:val="-2"/>
        </w:rPr>
        <w:t>croissante</w:t>
      </w:r>
      <w:r>
        <w:rPr>
          <w:color w:val="231F20"/>
          <w:spacing w:val="-13"/>
        </w:rPr>
        <w:t> </w:t>
      </w:r>
      <w:r>
        <w:rPr>
          <w:color w:val="231F20"/>
          <w:spacing w:val="-2"/>
        </w:rPr>
        <w:t>en</w:t>
      </w:r>
      <w:r>
        <w:rPr>
          <w:color w:val="231F20"/>
          <w:spacing w:val="-13"/>
        </w:rPr>
        <w:t> </w:t>
      </w:r>
      <w:r>
        <w:rPr>
          <w:color w:val="231F20"/>
          <w:spacing w:val="-2"/>
        </w:rPr>
        <w:t>bois</w:t>
      </w:r>
      <w:r>
        <w:rPr>
          <w:color w:val="231F20"/>
          <w:spacing w:val="-13"/>
        </w:rPr>
        <w:t> </w:t>
      </w:r>
      <w:r>
        <w:rPr>
          <w:color w:val="231F20"/>
          <w:spacing w:val="-2"/>
        </w:rPr>
        <w:t>de</w:t>
      </w:r>
      <w:r>
        <w:rPr>
          <w:color w:val="231F20"/>
          <w:spacing w:val="-13"/>
        </w:rPr>
        <w:t> </w:t>
      </w:r>
      <w:r>
        <w:rPr>
          <w:color w:val="231F20"/>
          <w:spacing w:val="-2"/>
        </w:rPr>
        <w:t>chauffe</w:t>
      </w:r>
      <w:r>
        <w:rPr>
          <w:color w:val="231F20"/>
          <w:spacing w:val="-13"/>
        </w:rPr>
        <w:t> </w:t>
      </w:r>
      <w:r>
        <w:rPr>
          <w:color w:val="231F20"/>
          <w:spacing w:val="-2"/>
        </w:rPr>
        <w:t>et</w:t>
      </w:r>
      <w:r>
        <w:rPr>
          <w:color w:val="231F20"/>
          <w:spacing w:val="-13"/>
        </w:rPr>
        <w:t> </w:t>
      </w:r>
      <w:r>
        <w:rPr>
          <w:color w:val="231F20"/>
          <w:spacing w:val="-2"/>
        </w:rPr>
        <w:t>en </w:t>
      </w:r>
      <w:r>
        <w:rPr>
          <w:color w:val="231F20"/>
        </w:rPr>
        <w:t>terres</w:t>
      </w:r>
      <w:r>
        <w:rPr>
          <w:color w:val="231F20"/>
          <w:spacing w:val="-4"/>
        </w:rPr>
        <w:t> </w:t>
      </w:r>
      <w:r>
        <w:rPr>
          <w:color w:val="231F20"/>
        </w:rPr>
        <w:t>agricoles</w:t>
      </w:r>
      <w:r>
        <w:rPr>
          <w:color w:val="231F20"/>
          <w:spacing w:val="-4"/>
        </w:rPr>
        <w:t> </w:t>
      </w:r>
      <w:r>
        <w:rPr>
          <w:color w:val="231F20"/>
        </w:rPr>
        <w:t>provoquant</w:t>
      </w:r>
      <w:r>
        <w:rPr>
          <w:color w:val="231F20"/>
          <w:spacing w:val="-4"/>
        </w:rPr>
        <w:t> </w:t>
      </w:r>
      <w:r>
        <w:rPr>
          <w:color w:val="231F20"/>
        </w:rPr>
        <w:t>des</w:t>
      </w:r>
      <w:r>
        <w:rPr>
          <w:color w:val="231F20"/>
          <w:spacing w:val="-6"/>
        </w:rPr>
        <w:t> </w:t>
      </w:r>
      <w:r>
        <w:rPr>
          <w:color w:val="231F20"/>
        </w:rPr>
        <w:t>périodes</w:t>
      </w:r>
      <w:r>
        <w:rPr>
          <w:color w:val="231F20"/>
          <w:spacing w:val="-4"/>
        </w:rPr>
        <w:t> </w:t>
      </w:r>
      <w:r>
        <w:rPr>
          <w:color w:val="231F20"/>
        </w:rPr>
        <w:t>de</w:t>
      </w:r>
      <w:r>
        <w:rPr>
          <w:color w:val="231F20"/>
          <w:spacing w:val="-7"/>
        </w:rPr>
        <w:t> </w:t>
      </w:r>
      <w:r>
        <w:rPr>
          <w:color w:val="231F20"/>
        </w:rPr>
        <w:t>grande</w:t>
      </w:r>
      <w:r>
        <w:rPr>
          <w:color w:val="231F20"/>
          <w:spacing w:val="-7"/>
        </w:rPr>
        <w:t> </w:t>
      </w:r>
      <w:r>
        <w:rPr>
          <w:color w:val="231F20"/>
        </w:rPr>
        <w:t>de</w:t>
      </w:r>
      <w:r>
        <w:rPr>
          <w:color w:val="231F20"/>
          <w:spacing w:val="-4"/>
        </w:rPr>
        <w:t> </w:t>
      </w:r>
      <w:r>
        <w:rPr>
          <w:color w:val="231F20"/>
        </w:rPr>
        <w:t>famine.</w:t>
      </w:r>
    </w:p>
    <w:p>
      <w:pPr>
        <w:pStyle w:val="BodyText"/>
        <w:spacing w:before="120"/>
        <w:ind w:right="105" w:firstLine="283"/>
      </w:pPr>
      <w:r>
        <w:rPr>
          <w:color w:val="231F20"/>
          <w:spacing w:val="-4"/>
        </w:rPr>
        <w:t>Le</w:t>
      </w:r>
      <w:r>
        <w:rPr>
          <w:color w:val="231F20"/>
          <w:spacing w:val="-11"/>
        </w:rPr>
        <w:t> </w:t>
      </w:r>
      <w:r>
        <w:rPr>
          <w:color w:val="231F20"/>
          <w:spacing w:val="-4"/>
        </w:rPr>
        <w:t>3</w:t>
      </w:r>
      <w:r>
        <w:rPr>
          <w:color w:val="231F20"/>
          <w:spacing w:val="-11"/>
        </w:rPr>
        <w:t> </w:t>
      </w:r>
      <w:r>
        <w:rPr>
          <w:color w:val="231F20"/>
          <w:spacing w:val="-4"/>
        </w:rPr>
        <w:t>août</w:t>
      </w:r>
      <w:r>
        <w:rPr>
          <w:color w:val="231F20"/>
          <w:spacing w:val="-11"/>
        </w:rPr>
        <w:t> </w:t>
      </w:r>
      <w:r>
        <w:rPr>
          <w:color w:val="231F20"/>
          <w:spacing w:val="-4"/>
        </w:rPr>
        <w:t>1960,</w:t>
      </w:r>
      <w:r>
        <w:rPr>
          <w:color w:val="231F20"/>
          <w:spacing w:val="-11"/>
        </w:rPr>
        <w:t> </w:t>
      </w:r>
      <w:r>
        <w:rPr>
          <w:color w:val="231F20"/>
          <w:spacing w:val="-4"/>
        </w:rPr>
        <w:t>Hamani</w:t>
      </w:r>
      <w:r>
        <w:rPr>
          <w:color w:val="231F20"/>
          <w:spacing w:val="-11"/>
        </w:rPr>
        <w:t> </w:t>
      </w:r>
      <w:r>
        <w:rPr>
          <w:color w:val="231F20"/>
          <w:spacing w:val="-4"/>
        </w:rPr>
        <w:t>Diori</w:t>
      </w:r>
      <w:r>
        <w:rPr>
          <w:color w:val="231F20"/>
          <w:spacing w:val="-11"/>
        </w:rPr>
        <w:t> </w:t>
      </w:r>
      <w:r>
        <w:rPr>
          <w:color w:val="231F20"/>
          <w:spacing w:val="-4"/>
        </w:rPr>
        <w:t>devient</w:t>
      </w:r>
      <w:r>
        <w:rPr>
          <w:color w:val="231F20"/>
          <w:spacing w:val="-11"/>
        </w:rPr>
        <w:t> </w:t>
      </w:r>
      <w:r>
        <w:rPr>
          <w:color w:val="231F20"/>
          <w:spacing w:val="-4"/>
        </w:rPr>
        <w:t>président</w:t>
      </w:r>
      <w:r>
        <w:rPr>
          <w:color w:val="231F20"/>
          <w:spacing w:val="-11"/>
        </w:rPr>
        <w:t> </w:t>
      </w:r>
      <w:r>
        <w:rPr>
          <w:color w:val="231F20"/>
          <w:spacing w:val="-4"/>
        </w:rPr>
        <w:t>du</w:t>
      </w:r>
      <w:r>
        <w:rPr>
          <w:color w:val="231F20"/>
          <w:spacing w:val="-11"/>
        </w:rPr>
        <w:t> </w:t>
      </w:r>
      <w:r>
        <w:rPr>
          <w:color w:val="231F20"/>
          <w:spacing w:val="-4"/>
        </w:rPr>
        <w:t>nouvel</w:t>
      </w:r>
      <w:r>
        <w:rPr>
          <w:color w:val="231F20"/>
          <w:spacing w:val="-11"/>
        </w:rPr>
        <w:t> </w:t>
      </w:r>
      <w:r>
        <w:rPr>
          <w:color w:val="231F20"/>
          <w:spacing w:val="-4"/>
        </w:rPr>
        <w:t>État.</w:t>
      </w:r>
      <w:r>
        <w:rPr>
          <w:color w:val="231F20"/>
          <w:spacing w:val="-11"/>
        </w:rPr>
        <w:t> </w:t>
      </w:r>
      <w:r>
        <w:rPr>
          <w:color w:val="231F20"/>
          <w:spacing w:val="-4"/>
        </w:rPr>
        <w:t>Ancien </w:t>
      </w:r>
      <w:r>
        <w:rPr>
          <w:color w:val="231F20"/>
          <w:spacing w:val="-2"/>
        </w:rPr>
        <w:t>élève</w:t>
      </w:r>
      <w:r>
        <w:rPr>
          <w:color w:val="231F20"/>
          <w:spacing w:val="-15"/>
        </w:rPr>
        <w:t> </w:t>
      </w:r>
      <w:r>
        <w:rPr>
          <w:color w:val="231F20"/>
          <w:spacing w:val="-2"/>
        </w:rPr>
        <w:t>de</w:t>
      </w:r>
      <w:r>
        <w:rPr>
          <w:color w:val="231F20"/>
          <w:spacing w:val="-13"/>
        </w:rPr>
        <w:t> </w:t>
      </w:r>
      <w:r>
        <w:rPr>
          <w:color w:val="231F20"/>
          <w:spacing w:val="-2"/>
        </w:rPr>
        <w:t>William</w:t>
      </w:r>
      <w:r>
        <w:rPr>
          <w:color w:val="231F20"/>
          <w:spacing w:val="-13"/>
        </w:rPr>
        <w:t> </w:t>
      </w:r>
      <w:r>
        <w:rPr>
          <w:color w:val="231F20"/>
          <w:spacing w:val="-2"/>
        </w:rPr>
        <w:t>Ponty,</w:t>
      </w:r>
      <w:r>
        <w:rPr>
          <w:color w:val="231F20"/>
          <w:spacing w:val="-13"/>
        </w:rPr>
        <w:t> </w:t>
      </w:r>
      <w:r>
        <w:rPr>
          <w:color w:val="231F20"/>
          <w:spacing w:val="-2"/>
        </w:rPr>
        <w:t>il</w:t>
      </w:r>
      <w:r>
        <w:rPr>
          <w:color w:val="231F20"/>
          <w:spacing w:val="-13"/>
        </w:rPr>
        <w:t> </w:t>
      </w:r>
      <w:r>
        <w:rPr>
          <w:color w:val="231F20"/>
          <w:spacing w:val="-2"/>
        </w:rPr>
        <w:t>a</w:t>
      </w:r>
      <w:r>
        <w:rPr>
          <w:color w:val="231F20"/>
          <w:spacing w:val="-13"/>
        </w:rPr>
        <w:t> </w:t>
      </w:r>
      <w:r>
        <w:rPr>
          <w:color w:val="231F20"/>
          <w:spacing w:val="-2"/>
        </w:rPr>
        <w:t>travaillé</w:t>
      </w:r>
      <w:r>
        <w:rPr>
          <w:color w:val="231F20"/>
          <w:spacing w:val="-13"/>
        </w:rPr>
        <w:t> </w:t>
      </w:r>
      <w:r>
        <w:rPr>
          <w:color w:val="231F20"/>
          <w:spacing w:val="-2"/>
        </w:rPr>
        <w:t>en</w:t>
      </w:r>
      <w:r>
        <w:rPr>
          <w:color w:val="231F20"/>
          <w:spacing w:val="-13"/>
        </w:rPr>
        <w:t> </w:t>
      </w:r>
      <w:r>
        <w:rPr>
          <w:color w:val="231F20"/>
          <w:spacing w:val="-2"/>
        </w:rPr>
        <w:t>tant</w:t>
      </w:r>
      <w:r>
        <w:rPr>
          <w:color w:val="231F20"/>
          <w:spacing w:val="-13"/>
        </w:rPr>
        <w:t> </w:t>
      </w:r>
      <w:r>
        <w:rPr>
          <w:color w:val="231F20"/>
          <w:spacing w:val="-2"/>
        </w:rPr>
        <w:t>qu’instituteur</w:t>
      </w:r>
      <w:r>
        <w:rPr>
          <w:color w:val="231F20"/>
          <w:spacing w:val="-13"/>
        </w:rPr>
        <w:t> </w:t>
      </w:r>
      <w:r>
        <w:rPr>
          <w:color w:val="231F20"/>
          <w:spacing w:val="-2"/>
        </w:rPr>
        <w:t>dans</w:t>
      </w:r>
      <w:r>
        <w:rPr>
          <w:color w:val="231F20"/>
          <w:spacing w:val="-13"/>
        </w:rPr>
        <w:t> </w:t>
      </w:r>
      <w:r>
        <w:rPr>
          <w:color w:val="231F20"/>
          <w:spacing w:val="-2"/>
        </w:rPr>
        <w:t>la</w:t>
      </w:r>
      <w:r>
        <w:rPr>
          <w:color w:val="231F20"/>
          <w:spacing w:val="-13"/>
        </w:rPr>
        <w:t> </w:t>
      </w:r>
      <w:r>
        <w:rPr>
          <w:color w:val="231F20"/>
          <w:spacing w:val="-2"/>
        </w:rPr>
        <w:t>colonie </w:t>
      </w:r>
      <w:r>
        <w:rPr>
          <w:color w:val="231F20"/>
        </w:rPr>
        <w:t>du</w:t>
      </w:r>
      <w:r>
        <w:rPr>
          <w:color w:val="231F20"/>
          <w:spacing w:val="-12"/>
        </w:rPr>
        <w:t> </w:t>
      </w:r>
      <w:r>
        <w:rPr>
          <w:color w:val="231F20"/>
        </w:rPr>
        <w:t>Niger</w:t>
      </w:r>
      <w:r>
        <w:rPr>
          <w:color w:val="231F20"/>
          <w:spacing w:val="-12"/>
        </w:rPr>
        <w:t> </w:t>
      </w:r>
      <w:r>
        <w:rPr>
          <w:color w:val="231F20"/>
        </w:rPr>
        <w:t>de</w:t>
      </w:r>
      <w:r>
        <w:rPr>
          <w:color w:val="231F20"/>
          <w:spacing w:val="-12"/>
        </w:rPr>
        <w:t> </w:t>
      </w:r>
      <w:r>
        <w:rPr>
          <w:color w:val="231F20"/>
        </w:rPr>
        <w:t>1936</w:t>
      </w:r>
      <w:r>
        <w:rPr>
          <w:color w:val="231F20"/>
          <w:spacing w:val="-12"/>
        </w:rPr>
        <w:t> </w:t>
      </w:r>
      <w:r>
        <w:rPr>
          <w:color w:val="231F20"/>
        </w:rPr>
        <w:t>à</w:t>
      </w:r>
      <w:r>
        <w:rPr>
          <w:color w:val="231F20"/>
          <w:spacing w:val="-15"/>
        </w:rPr>
        <w:t> </w:t>
      </w:r>
      <w:r>
        <w:rPr>
          <w:color w:val="231F20"/>
        </w:rPr>
        <w:t>1938</w:t>
      </w:r>
      <w:r>
        <w:rPr>
          <w:color w:val="231F20"/>
          <w:spacing w:val="-14"/>
        </w:rPr>
        <w:t> </w:t>
      </w:r>
      <w:r>
        <w:rPr>
          <w:color w:val="231F20"/>
        </w:rPr>
        <w:t>puis</w:t>
      </w:r>
      <w:r>
        <w:rPr>
          <w:color w:val="231F20"/>
          <w:spacing w:val="-14"/>
        </w:rPr>
        <w:t> </w:t>
      </w:r>
      <w:r>
        <w:rPr>
          <w:color w:val="231F20"/>
        </w:rPr>
        <w:t>instructeur</w:t>
      </w:r>
      <w:r>
        <w:rPr>
          <w:color w:val="231F20"/>
          <w:spacing w:val="-12"/>
        </w:rPr>
        <w:t> </w:t>
      </w:r>
      <w:r>
        <w:rPr>
          <w:color w:val="231F20"/>
        </w:rPr>
        <w:t>de</w:t>
      </w:r>
      <w:r>
        <w:rPr>
          <w:color w:val="231F20"/>
          <w:spacing w:val="-14"/>
        </w:rPr>
        <w:t> </w:t>
      </w:r>
      <w:r>
        <w:rPr>
          <w:color w:val="231F20"/>
        </w:rPr>
        <w:t>langues</w:t>
      </w:r>
      <w:r>
        <w:rPr>
          <w:color w:val="231F20"/>
          <w:spacing w:val="-12"/>
        </w:rPr>
        <w:t> </w:t>
      </w:r>
      <w:r>
        <w:rPr>
          <w:color w:val="231F20"/>
        </w:rPr>
        <w:t>zarma</w:t>
      </w:r>
      <w:r>
        <w:rPr>
          <w:color w:val="231F20"/>
          <w:spacing w:val="-12"/>
        </w:rPr>
        <w:t> </w:t>
      </w:r>
      <w:r>
        <w:rPr>
          <w:color w:val="231F20"/>
        </w:rPr>
        <w:t>et</w:t>
      </w:r>
      <w:r>
        <w:rPr>
          <w:color w:val="231F20"/>
          <w:spacing w:val="-13"/>
        </w:rPr>
        <w:t> </w:t>
      </w:r>
      <w:r>
        <w:rPr>
          <w:color w:val="231F20"/>
        </w:rPr>
        <w:t>haoussa</w:t>
      </w:r>
      <w:r>
        <w:rPr>
          <w:color w:val="231F20"/>
          <w:vertAlign w:val="superscript"/>
        </w:rPr>
        <w:t>90</w:t>
      </w:r>
      <w:r>
        <w:rPr>
          <w:color w:val="231F20"/>
          <w:vertAlign w:val="baseline"/>
        </w:rPr>
        <w:t>, à l’institut des études d’Outre-mer à Paris.</w:t>
      </w:r>
    </w:p>
    <w:p>
      <w:pPr>
        <w:pStyle w:val="BodyText"/>
        <w:spacing w:before="121"/>
        <w:ind w:right="109" w:firstLine="283"/>
      </w:pPr>
      <w:r>
        <w:rPr>
          <w:color w:val="231F20"/>
          <w:spacing w:val="-2"/>
        </w:rPr>
        <w:t>Au</w:t>
      </w:r>
      <w:r>
        <w:rPr>
          <w:color w:val="231F20"/>
          <w:spacing w:val="-9"/>
        </w:rPr>
        <w:t> </w:t>
      </w:r>
      <w:r>
        <w:rPr>
          <w:color w:val="231F20"/>
          <w:spacing w:val="-2"/>
        </w:rPr>
        <w:t>début</w:t>
      </w:r>
      <w:r>
        <w:rPr>
          <w:color w:val="231F20"/>
          <w:spacing w:val="-8"/>
        </w:rPr>
        <w:t> </w:t>
      </w:r>
      <w:r>
        <w:rPr>
          <w:color w:val="231F20"/>
          <w:spacing w:val="-2"/>
        </w:rPr>
        <w:t>des</w:t>
      </w:r>
      <w:r>
        <w:rPr>
          <w:color w:val="231F20"/>
          <w:spacing w:val="-9"/>
        </w:rPr>
        <w:t> </w:t>
      </w:r>
      <w:r>
        <w:rPr>
          <w:color w:val="231F20"/>
          <w:spacing w:val="-2"/>
        </w:rPr>
        <w:t>années</w:t>
      </w:r>
      <w:r>
        <w:rPr>
          <w:color w:val="231F20"/>
          <w:spacing w:val="-9"/>
        </w:rPr>
        <w:t> </w:t>
      </w:r>
      <w:r>
        <w:rPr>
          <w:color w:val="231F20"/>
          <w:spacing w:val="-2"/>
        </w:rPr>
        <w:t>1970,</w:t>
      </w:r>
      <w:r>
        <w:rPr>
          <w:color w:val="231F20"/>
          <w:spacing w:val="-9"/>
        </w:rPr>
        <w:t> </w:t>
      </w:r>
      <w:r>
        <w:rPr>
          <w:color w:val="231F20"/>
          <w:spacing w:val="-2"/>
        </w:rPr>
        <w:t>une</w:t>
      </w:r>
      <w:r>
        <w:rPr>
          <w:color w:val="231F20"/>
          <w:spacing w:val="-9"/>
        </w:rPr>
        <w:t> </w:t>
      </w:r>
      <w:r>
        <w:rPr>
          <w:color w:val="231F20"/>
          <w:spacing w:val="-2"/>
        </w:rPr>
        <w:t>famine</w:t>
      </w:r>
      <w:r>
        <w:rPr>
          <w:color w:val="231F20"/>
          <w:spacing w:val="-9"/>
        </w:rPr>
        <w:t> </w:t>
      </w:r>
      <w:r>
        <w:rPr>
          <w:color w:val="231F20"/>
          <w:spacing w:val="-2"/>
        </w:rPr>
        <w:t>causée</w:t>
      </w:r>
      <w:r>
        <w:rPr>
          <w:color w:val="231F20"/>
          <w:spacing w:val="-11"/>
        </w:rPr>
        <w:t> </w:t>
      </w:r>
      <w:r>
        <w:rPr>
          <w:color w:val="231F20"/>
          <w:spacing w:val="-2"/>
        </w:rPr>
        <w:t>par</w:t>
      </w:r>
      <w:r>
        <w:rPr>
          <w:color w:val="231F20"/>
          <w:spacing w:val="-9"/>
        </w:rPr>
        <w:t> </w:t>
      </w:r>
      <w:r>
        <w:rPr>
          <w:color w:val="231F20"/>
          <w:spacing w:val="-2"/>
        </w:rPr>
        <w:t>l’avancée</w:t>
      </w:r>
      <w:r>
        <w:rPr>
          <w:color w:val="231F20"/>
          <w:spacing w:val="-9"/>
        </w:rPr>
        <w:t> </w:t>
      </w:r>
      <w:r>
        <w:rPr>
          <w:color w:val="231F20"/>
          <w:spacing w:val="-2"/>
        </w:rPr>
        <w:t>du</w:t>
      </w:r>
      <w:r>
        <w:rPr>
          <w:color w:val="231F20"/>
          <w:spacing w:val="-9"/>
        </w:rPr>
        <w:t> </w:t>
      </w:r>
      <w:r>
        <w:rPr>
          <w:color w:val="231F20"/>
          <w:spacing w:val="-2"/>
        </w:rPr>
        <w:t>désert </w:t>
      </w:r>
      <w:r>
        <w:rPr>
          <w:color w:val="231F20"/>
        </w:rPr>
        <w:t>gagne</w:t>
      </w:r>
      <w:r>
        <w:rPr>
          <w:color w:val="231F20"/>
          <w:spacing w:val="-12"/>
        </w:rPr>
        <w:t> </w:t>
      </w:r>
      <w:r>
        <w:rPr>
          <w:color w:val="231F20"/>
        </w:rPr>
        <w:t>le</w:t>
      </w:r>
      <w:r>
        <w:rPr>
          <w:color w:val="231F20"/>
          <w:spacing w:val="-10"/>
        </w:rPr>
        <w:t> </w:t>
      </w:r>
      <w:r>
        <w:rPr>
          <w:color w:val="231F20"/>
        </w:rPr>
        <w:t>pays.</w:t>
      </w:r>
      <w:r>
        <w:rPr>
          <w:color w:val="231F20"/>
          <w:spacing w:val="-12"/>
        </w:rPr>
        <w:t> </w:t>
      </w:r>
      <w:r>
        <w:rPr>
          <w:color w:val="231F20"/>
        </w:rPr>
        <w:t>Le</w:t>
      </w:r>
      <w:r>
        <w:rPr>
          <w:color w:val="231F20"/>
          <w:spacing w:val="-10"/>
        </w:rPr>
        <w:t> </w:t>
      </w:r>
      <w:r>
        <w:rPr>
          <w:color w:val="231F20"/>
        </w:rPr>
        <w:t>régime</w:t>
      </w:r>
      <w:r>
        <w:rPr>
          <w:color w:val="231F20"/>
          <w:spacing w:val="-14"/>
        </w:rPr>
        <w:t> </w:t>
      </w:r>
      <w:r>
        <w:rPr>
          <w:color w:val="231F20"/>
        </w:rPr>
        <w:t>est</w:t>
      </w:r>
      <w:r>
        <w:rPr>
          <w:color w:val="231F20"/>
          <w:spacing w:val="-9"/>
        </w:rPr>
        <w:t> </w:t>
      </w:r>
      <w:r>
        <w:rPr>
          <w:color w:val="231F20"/>
        </w:rPr>
        <w:t>accusé</w:t>
      </w:r>
      <w:r>
        <w:rPr>
          <w:color w:val="231F20"/>
          <w:spacing w:val="-12"/>
        </w:rPr>
        <w:t> </w:t>
      </w:r>
      <w:r>
        <w:rPr>
          <w:color w:val="231F20"/>
        </w:rPr>
        <w:t>de</w:t>
      </w:r>
      <w:r>
        <w:rPr>
          <w:color w:val="231F20"/>
          <w:spacing w:val="-12"/>
        </w:rPr>
        <w:t> </w:t>
      </w:r>
      <w:r>
        <w:rPr>
          <w:color w:val="231F20"/>
        </w:rPr>
        <w:t>détournements</w:t>
      </w:r>
      <w:r>
        <w:rPr>
          <w:color w:val="231F20"/>
          <w:spacing w:val="-12"/>
        </w:rPr>
        <w:t> </w:t>
      </w:r>
      <w:r>
        <w:rPr>
          <w:color w:val="231F20"/>
        </w:rPr>
        <w:t>des</w:t>
      </w:r>
      <w:r>
        <w:rPr>
          <w:color w:val="231F20"/>
          <w:spacing w:val="-12"/>
        </w:rPr>
        <w:t> </w:t>
      </w:r>
      <w:r>
        <w:rPr>
          <w:color w:val="231F20"/>
        </w:rPr>
        <w:t>stocks</w:t>
      </w:r>
      <w:r>
        <w:rPr>
          <w:color w:val="231F20"/>
          <w:spacing w:val="-12"/>
        </w:rPr>
        <w:t> </w:t>
      </w:r>
      <w:r>
        <w:rPr>
          <w:color w:val="231F20"/>
        </w:rPr>
        <w:t>d’aide alimentaire. Des désordres civils</w:t>
      </w:r>
      <w:r>
        <w:rPr>
          <w:color w:val="231F20"/>
          <w:spacing w:val="-2"/>
        </w:rPr>
        <w:t> </w:t>
      </w:r>
      <w:r>
        <w:rPr>
          <w:color w:val="231F20"/>
        </w:rPr>
        <w:t>s’en</w:t>
      </w:r>
      <w:r>
        <w:rPr>
          <w:color w:val="231F20"/>
          <w:spacing w:val="-3"/>
        </w:rPr>
        <w:t> </w:t>
      </w:r>
      <w:r>
        <w:rPr>
          <w:color w:val="231F20"/>
        </w:rPr>
        <w:t>suivent.</w:t>
      </w:r>
    </w:p>
    <w:p>
      <w:pPr>
        <w:pStyle w:val="BodyText"/>
        <w:spacing w:before="120"/>
        <w:ind w:right="105" w:firstLine="283"/>
      </w:pPr>
      <w:r>
        <w:rPr>
          <w:color w:val="231F20"/>
          <w:spacing w:val="-2"/>
        </w:rPr>
        <w:t>Le</w:t>
      </w:r>
      <w:r>
        <w:rPr>
          <w:color w:val="231F20"/>
          <w:spacing w:val="-10"/>
        </w:rPr>
        <w:t> </w:t>
      </w:r>
      <w:r>
        <w:rPr>
          <w:color w:val="231F20"/>
          <w:spacing w:val="-2"/>
        </w:rPr>
        <w:t>15</w:t>
      </w:r>
      <w:r>
        <w:rPr>
          <w:color w:val="231F20"/>
          <w:spacing w:val="-10"/>
        </w:rPr>
        <w:t> </w:t>
      </w:r>
      <w:r>
        <w:rPr>
          <w:color w:val="231F20"/>
          <w:spacing w:val="-2"/>
        </w:rPr>
        <w:t>avril</w:t>
      </w:r>
      <w:r>
        <w:rPr>
          <w:color w:val="231F20"/>
          <w:spacing w:val="-10"/>
        </w:rPr>
        <w:t> </w:t>
      </w:r>
      <w:r>
        <w:rPr>
          <w:color w:val="231F20"/>
          <w:spacing w:val="-2"/>
        </w:rPr>
        <w:t>1974,</w:t>
      </w:r>
      <w:r>
        <w:rPr>
          <w:color w:val="231F20"/>
          <w:spacing w:val="-10"/>
        </w:rPr>
        <w:t> </w:t>
      </w:r>
      <w:r>
        <w:rPr>
          <w:color w:val="231F20"/>
          <w:spacing w:val="-2"/>
        </w:rPr>
        <w:t>les</w:t>
      </w:r>
      <w:r>
        <w:rPr>
          <w:color w:val="231F20"/>
          <w:spacing w:val="-10"/>
        </w:rPr>
        <w:t> </w:t>
      </w:r>
      <w:r>
        <w:rPr>
          <w:color w:val="231F20"/>
          <w:spacing w:val="-2"/>
        </w:rPr>
        <w:t>militaires</w:t>
      </w:r>
      <w:r>
        <w:rPr>
          <w:color w:val="231F20"/>
          <w:spacing w:val="-10"/>
        </w:rPr>
        <w:t> </w:t>
      </w:r>
      <w:r>
        <w:rPr>
          <w:color w:val="231F20"/>
          <w:spacing w:val="-2"/>
        </w:rPr>
        <w:t>prennent</w:t>
      </w:r>
      <w:r>
        <w:rPr>
          <w:color w:val="231F20"/>
          <w:spacing w:val="-10"/>
        </w:rPr>
        <w:t> </w:t>
      </w:r>
      <w:r>
        <w:rPr>
          <w:color w:val="231F20"/>
          <w:spacing w:val="-2"/>
        </w:rPr>
        <w:t>le</w:t>
      </w:r>
      <w:r>
        <w:rPr>
          <w:color w:val="231F20"/>
          <w:spacing w:val="-10"/>
        </w:rPr>
        <w:t> </w:t>
      </w:r>
      <w:r>
        <w:rPr>
          <w:color w:val="231F20"/>
          <w:spacing w:val="-2"/>
        </w:rPr>
        <w:t>pouvoir</w:t>
      </w:r>
      <w:r>
        <w:rPr>
          <w:color w:val="231F20"/>
          <w:spacing w:val="-12"/>
        </w:rPr>
        <w:t> </w:t>
      </w:r>
      <w:r>
        <w:rPr>
          <w:color w:val="231F20"/>
          <w:spacing w:val="-2"/>
        </w:rPr>
        <w:t>par</w:t>
      </w:r>
      <w:r>
        <w:rPr>
          <w:color w:val="231F20"/>
          <w:spacing w:val="-10"/>
        </w:rPr>
        <w:t> </w:t>
      </w:r>
      <w:r>
        <w:rPr>
          <w:color w:val="231F20"/>
          <w:spacing w:val="-2"/>
        </w:rPr>
        <w:t>un</w:t>
      </w:r>
      <w:r>
        <w:rPr>
          <w:color w:val="231F20"/>
          <w:spacing w:val="-10"/>
        </w:rPr>
        <w:t> </w:t>
      </w:r>
      <w:r>
        <w:rPr>
          <w:color w:val="231F20"/>
          <w:spacing w:val="-2"/>
        </w:rPr>
        <w:t>coup</w:t>
      </w:r>
      <w:r>
        <w:rPr>
          <w:color w:val="231F20"/>
          <w:spacing w:val="-10"/>
        </w:rPr>
        <w:t> </w:t>
      </w:r>
      <w:r>
        <w:rPr>
          <w:color w:val="231F20"/>
          <w:spacing w:val="-2"/>
        </w:rPr>
        <w:t>d’Etat conduit</w:t>
      </w:r>
      <w:r>
        <w:rPr>
          <w:color w:val="231F20"/>
          <w:spacing w:val="-13"/>
        </w:rPr>
        <w:t> </w:t>
      </w:r>
      <w:r>
        <w:rPr>
          <w:color w:val="231F20"/>
          <w:spacing w:val="-2"/>
        </w:rPr>
        <w:t>par</w:t>
      </w:r>
      <w:r>
        <w:rPr>
          <w:color w:val="231F20"/>
          <w:spacing w:val="-13"/>
        </w:rPr>
        <w:t> </w:t>
      </w:r>
      <w:r>
        <w:rPr>
          <w:color w:val="231F20"/>
          <w:spacing w:val="-2"/>
        </w:rPr>
        <w:t>le</w:t>
      </w:r>
      <w:r>
        <w:rPr>
          <w:color w:val="231F20"/>
          <w:spacing w:val="-13"/>
        </w:rPr>
        <w:t> </w:t>
      </w:r>
      <w:r>
        <w:rPr>
          <w:color w:val="231F20"/>
          <w:spacing w:val="-2"/>
        </w:rPr>
        <w:t>Chef</w:t>
      </w:r>
      <w:r>
        <w:rPr>
          <w:color w:val="231F20"/>
          <w:spacing w:val="-13"/>
        </w:rPr>
        <w:t> </w:t>
      </w:r>
      <w:r>
        <w:rPr>
          <w:color w:val="231F20"/>
          <w:spacing w:val="-2"/>
        </w:rPr>
        <w:t>d’État-major,</w:t>
      </w:r>
      <w:r>
        <w:rPr>
          <w:color w:val="231F20"/>
          <w:spacing w:val="-13"/>
        </w:rPr>
        <w:t> </w:t>
      </w:r>
      <w:r>
        <w:rPr>
          <w:color w:val="231F20"/>
          <w:spacing w:val="-2"/>
        </w:rPr>
        <w:t>le</w:t>
      </w:r>
      <w:r>
        <w:rPr>
          <w:color w:val="231F20"/>
          <w:spacing w:val="-13"/>
        </w:rPr>
        <w:t> </w:t>
      </w:r>
      <w:r>
        <w:rPr>
          <w:color w:val="231F20"/>
          <w:spacing w:val="-2"/>
        </w:rPr>
        <w:t>Lieutenant-Colonel</w:t>
      </w:r>
      <w:r>
        <w:rPr>
          <w:color w:val="231F20"/>
          <w:spacing w:val="-13"/>
        </w:rPr>
        <w:t> </w:t>
      </w:r>
      <w:r>
        <w:rPr>
          <w:color w:val="231F20"/>
          <w:spacing w:val="-2"/>
        </w:rPr>
        <w:t>Seyni</w:t>
      </w:r>
      <w:r>
        <w:rPr>
          <w:color w:val="231F20"/>
          <w:spacing w:val="-13"/>
        </w:rPr>
        <w:t> </w:t>
      </w:r>
      <w:r>
        <w:rPr>
          <w:color w:val="231F20"/>
          <w:spacing w:val="-2"/>
        </w:rPr>
        <w:t>Kountché, un</w:t>
      </w:r>
      <w:r>
        <w:rPr>
          <w:color w:val="231F20"/>
          <w:spacing w:val="-13"/>
        </w:rPr>
        <w:t> </w:t>
      </w:r>
      <w:r>
        <w:rPr>
          <w:color w:val="231F20"/>
          <w:spacing w:val="-2"/>
        </w:rPr>
        <w:t>ancien</w:t>
      </w:r>
      <w:r>
        <w:rPr>
          <w:color w:val="231F20"/>
          <w:spacing w:val="-13"/>
        </w:rPr>
        <w:t> </w:t>
      </w:r>
      <w:r>
        <w:rPr>
          <w:color w:val="231F20"/>
          <w:spacing w:val="-2"/>
        </w:rPr>
        <w:t>de</w:t>
      </w:r>
      <w:r>
        <w:rPr>
          <w:color w:val="231F20"/>
          <w:spacing w:val="-13"/>
        </w:rPr>
        <w:t> </w:t>
      </w:r>
      <w:r>
        <w:rPr>
          <w:color w:val="231F20"/>
          <w:spacing w:val="-2"/>
        </w:rPr>
        <w:t>l’Armée</w:t>
      </w:r>
      <w:r>
        <w:rPr>
          <w:color w:val="231F20"/>
          <w:spacing w:val="-13"/>
        </w:rPr>
        <w:t> </w:t>
      </w:r>
      <w:r>
        <w:rPr>
          <w:color w:val="231F20"/>
          <w:spacing w:val="-2"/>
        </w:rPr>
        <w:t>coloniale</w:t>
      </w:r>
      <w:r>
        <w:rPr>
          <w:color w:val="231F20"/>
          <w:spacing w:val="-12"/>
        </w:rPr>
        <w:t> </w:t>
      </w:r>
      <w:r>
        <w:rPr>
          <w:color w:val="231F20"/>
          <w:spacing w:val="-2"/>
        </w:rPr>
        <w:t>française.</w:t>
      </w:r>
      <w:r>
        <w:rPr>
          <w:color w:val="231F20"/>
          <w:spacing w:val="-11"/>
        </w:rPr>
        <w:t> </w:t>
      </w:r>
      <w:r>
        <w:rPr>
          <w:color w:val="231F20"/>
          <w:spacing w:val="-2"/>
        </w:rPr>
        <w:t>Hamani</w:t>
      </w:r>
      <w:r>
        <w:rPr>
          <w:color w:val="231F20"/>
          <w:spacing w:val="-13"/>
        </w:rPr>
        <w:t> </w:t>
      </w:r>
      <w:r>
        <w:rPr>
          <w:color w:val="231F20"/>
          <w:spacing w:val="-2"/>
        </w:rPr>
        <w:t>Diori</w:t>
      </w:r>
      <w:r>
        <w:rPr>
          <w:color w:val="231F20"/>
          <w:spacing w:val="-12"/>
        </w:rPr>
        <w:t> </w:t>
      </w:r>
      <w:r>
        <w:rPr>
          <w:color w:val="231F20"/>
          <w:spacing w:val="-2"/>
        </w:rPr>
        <w:t>est</w:t>
      </w:r>
      <w:r>
        <w:rPr>
          <w:color w:val="231F20"/>
          <w:spacing w:val="-12"/>
        </w:rPr>
        <w:t> </w:t>
      </w:r>
      <w:r>
        <w:rPr>
          <w:color w:val="231F20"/>
          <w:spacing w:val="-2"/>
        </w:rPr>
        <w:t>emprisonné</w:t>
      </w:r>
      <w:r>
        <w:rPr>
          <w:color w:val="231F20"/>
          <w:spacing w:val="-12"/>
        </w:rPr>
        <w:t> </w:t>
      </w:r>
      <w:r>
        <w:rPr>
          <w:color w:val="231F20"/>
          <w:spacing w:val="-2"/>
        </w:rPr>
        <w:t>; </w:t>
      </w:r>
      <w:r>
        <w:rPr>
          <w:color w:val="231F20"/>
        </w:rPr>
        <w:t>son épouse Aïchatou Diori est assassinée.</w:t>
      </w:r>
    </w:p>
    <w:p>
      <w:pPr>
        <w:pStyle w:val="BodyText"/>
        <w:spacing w:before="120"/>
        <w:ind w:left="395"/>
      </w:pPr>
      <w:r>
        <w:rPr>
          <w:color w:val="231F20"/>
          <w:spacing w:val="-4"/>
        </w:rPr>
        <w:t>Le</w:t>
      </w:r>
      <w:r>
        <w:rPr>
          <w:color w:val="231F20"/>
          <w:spacing w:val="-9"/>
        </w:rPr>
        <w:t> </w:t>
      </w:r>
      <w:r>
        <w:rPr>
          <w:color w:val="231F20"/>
          <w:spacing w:val="-4"/>
        </w:rPr>
        <w:t>lieutenant-colonel</w:t>
      </w:r>
      <w:r>
        <w:rPr>
          <w:color w:val="231F20"/>
          <w:spacing w:val="-10"/>
        </w:rPr>
        <w:t> </w:t>
      </w:r>
      <w:r>
        <w:rPr>
          <w:color w:val="231F20"/>
          <w:spacing w:val="-4"/>
        </w:rPr>
        <w:t>Seyni</w:t>
      </w:r>
      <w:r>
        <w:rPr>
          <w:color w:val="231F20"/>
          <w:spacing w:val="-8"/>
        </w:rPr>
        <w:t> </w:t>
      </w:r>
      <w:r>
        <w:rPr>
          <w:color w:val="231F20"/>
          <w:spacing w:val="-4"/>
        </w:rPr>
        <w:t>Kountché</w:t>
      </w:r>
      <w:r>
        <w:rPr>
          <w:color w:val="231F20"/>
          <w:spacing w:val="-11"/>
        </w:rPr>
        <w:t> </w:t>
      </w:r>
      <w:r>
        <w:rPr>
          <w:color w:val="231F20"/>
          <w:spacing w:val="-4"/>
        </w:rPr>
        <w:t>dirige</w:t>
      </w:r>
      <w:r>
        <w:rPr>
          <w:color w:val="231F20"/>
          <w:spacing w:val="-8"/>
        </w:rPr>
        <w:t> </w:t>
      </w:r>
      <w:r>
        <w:rPr>
          <w:color w:val="231F20"/>
          <w:spacing w:val="-4"/>
        </w:rPr>
        <w:t>le</w:t>
      </w:r>
      <w:r>
        <w:rPr>
          <w:color w:val="231F20"/>
          <w:spacing w:val="-11"/>
        </w:rPr>
        <w:t> </w:t>
      </w:r>
      <w:r>
        <w:rPr>
          <w:color w:val="231F20"/>
          <w:spacing w:val="-4"/>
        </w:rPr>
        <w:t>pays</w:t>
      </w:r>
      <w:r>
        <w:rPr>
          <w:color w:val="231F20"/>
          <w:spacing w:val="-11"/>
        </w:rPr>
        <w:t> </w:t>
      </w:r>
      <w:r>
        <w:rPr>
          <w:color w:val="231F20"/>
          <w:spacing w:val="-4"/>
        </w:rPr>
        <w:t>jusqu’à</w:t>
      </w:r>
      <w:r>
        <w:rPr>
          <w:color w:val="231F20"/>
          <w:spacing w:val="-7"/>
        </w:rPr>
        <w:t> </w:t>
      </w:r>
      <w:r>
        <w:rPr>
          <w:color w:val="231F20"/>
          <w:spacing w:val="-4"/>
        </w:rPr>
        <w:t>sa</w:t>
      </w:r>
      <w:r>
        <w:rPr>
          <w:color w:val="231F20"/>
          <w:spacing w:val="-10"/>
        </w:rPr>
        <w:t> </w:t>
      </w:r>
      <w:r>
        <w:rPr>
          <w:color w:val="231F20"/>
          <w:spacing w:val="-4"/>
        </w:rPr>
        <w:t>mort</w:t>
      </w:r>
      <w:r>
        <w:rPr>
          <w:color w:val="231F20"/>
          <w:spacing w:val="-10"/>
        </w:rPr>
        <w:t> </w:t>
      </w:r>
      <w:r>
        <w:rPr>
          <w:color w:val="231F20"/>
          <w:spacing w:val="-5"/>
        </w:rPr>
        <w:t>en</w:t>
      </w:r>
    </w:p>
    <w:p>
      <w:pPr>
        <w:pStyle w:val="BodyText"/>
      </w:pPr>
      <w:r>
        <w:rPr>
          <w:color w:val="231F20"/>
          <w:spacing w:val="-2"/>
        </w:rPr>
        <w:t>1987.</w:t>
      </w:r>
      <w:r>
        <w:rPr>
          <w:color w:val="231F20"/>
          <w:spacing w:val="-14"/>
        </w:rPr>
        <w:t> </w:t>
      </w:r>
      <w:r>
        <w:rPr>
          <w:color w:val="231F20"/>
          <w:spacing w:val="-2"/>
        </w:rPr>
        <w:t>Son</w:t>
      </w:r>
      <w:r>
        <w:rPr>
          <w:color w:val="231F20"/>
          <w:spacing w:val="-8"/>
        </w:rPr>
        <w:t> </w:t>
      </w:r>
      <w:r>
        <w:rPr>
          <w:color w:val="231F20"/>
          <w:spacing w:val="-2"/>
        </w:rPr>
        <w:t>chef</w:t>
      </w:r>
      <w:r>
        <w:rPr>
          <w:color w:val="231F20"/>
          <w:spacing w:val="-9"/>
        </w:rPr>
        <w:t> </w:t>
      </w:r>
      <w:r>
        <w:rPr>
          <w:color w:val="231F20"/>
          <w:spacing w:val="-2"/>
        </w:rPr>
        <w:t>d’État-Major,</w:t>
      </w:r>
      <w:r>
        <w:rPr>
          <w:color w:val="231F20"/>
          <w:spacing w:val="-11"/>
        </w:rPr>
        <w:t> </w:t>
      </w:r>
      <w:r>
        <w:rPr>
          <w:color w:val="231F20"/>
          <w:spacing w:val="-2"/>
        </w:rPr>
        <w:t>le</w:t>
      </w:r>
      <w:r>
        <w:rPr>
          <w:color w:val="231F20"/>
          <w:spacing w:val="-9"/>
        </w:rPr>
        <w:t> </w:t>
      </w:r>
      <w:r>
        <w:rPr>
          <w:color w:val="231F20"/>
          <w:spacing w:val="-2"/>
        </w:rPr>
        <w:t>colonel</w:t>
      </w:r>
      <w:r>
        <w:rPr>
          <w:color w:val="231F20"/>
          <w:spacing w:val="-8"/>
        </w:rPr>
        <w:t> </w:t>
      </w:r>
      <w:r>
        <w:rPr>
          <w:color w:val="231F20"/>
          <w:spacing w:val="-2"/>
        </w:rPr>
        <w:t>Ali</w:t>
      </w:r>
      <w:r>
        <w:rPr>
          <w:color w:val="231F20"/>
          <w:spacing w:val="-11"/>
        </w:rPr>
        <w:t> </w:t>
      </w:r>
      <w:r>
        <w:rPr>
          <w:color w:val="231F20"/>
          <w:spacing w:val="-2"/>
        </w:rPr>
        <w:t>Saïbou</w:t>
      </w:r>
      <w:r>
        <w:rPr>
          <w:color w:val="231F20"/>
          <w:spacing w:val="-11"/>
        </w:rPr>
        <w:t> </w:t>
      </w:r>
      <w:r>
        <w:rPr>
          <w:color w:val="231F20"/>
          <w:spacing w:val="-2"/>
        </w:rPr>
        <w:t>lui</w:t>
      </w:r>
      <w:r>
        <w:rPr>
          <w:color w:val="231F20"/>
          <w:spacing w:val="-11"/>
        </w:rPr>
        <w:t> </w:t>
      </w:r>
      <w:r>
        <w:rPr>
          <w:color w:val="231F20"/>
          <w:spacing w:val="-2"/>
        </w:rPr>
        <w:t>succède.</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49"/>
        <w:ind w:left="0"/>
        <w:jc w:val="left"/>
        <w:rPr>
          <w:sz w:val="20"/>
        </w:rPr>
      </w:pPr>
      <w:r>
        <w:rPr/>
        <mc:AlternateContent>
          <mc:Choice Requires="wps">
            <w:drawing>
              <wp:anchor distT="0" distB="0" distL="0" distR="0" allowOverlap="1" layoutInCell="1" locked="0" behindDoc="1" simplePos="0" relativeHeight="487616512">
                <wp:simplePos x="0" y="0"/>
                <wp:positionH relativeFrom="page">
                  <wp:posOffset>629907</wp:posOffset>
                </wp:positionH>
                <wp:positionV relativeFrom="paragraph">
                  <wp:posOffset>256301</wp:posOffset>
                </wp:positionV>
                <wp:extent cx="1829435" cy="9525"/>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181211pt;width:144.020pt;height:.72pt;mso-position-horizontal-relative:page;mso-position-vertical-relative:paragraph;z-index:-15699968;mso-wrap-distance-left:0;mso-wrap-distance-right:0" id="docshape73" filled="true" fillcolor="#231f20" stroked="false">
                <v:fill type="solid"/>
                <w10:wrap type="topAndBottom"/>
              </v:rect>
            </w:pict>
          </mc:Fallback>
        </mc:AlternateContent>
      </w:r>
    </w:p>
    <w:p>
      <w:pPr>
        <w:spacing w:before="91"/>
        <w:ind w:left="111" w:right="0" w:firstLine="0"/>
        <w:jc w:val="both"/>
        <w:rPr>
          <w:sz w:val="20"/>
        </w:rPr>
      </w:pPr>
      <w:r>
        <w:rPr>
          <w:color w:val="231F20"/>
          <w:spacing w:val="-4"/>
          <w:sz w:val="20"/>
          <w:vertAlign w:val="superscript"/>
        </w:rPr>
        <w:t>89</w:t>
      </w:r>
      <w:r>
        <w:rPr>
          <w:color w:val="231F20"/>
          <w:spacing w:val="-16"/>
          <w:sz w:val="20"/>
          <w:vertAlign w:val="baseline"/>
        </w:rPr>
        <w:t> </w:t>
      </w:r>
      <w:r>
        <w:rPr>
          <w:color w:val="231F20"/>
          <w:spacing w:val="-4"/>
          <w:sz w:val="20"/>
          <w:vertAlign w:val="baseline"/>
        </w:rPr>
        <w:t>Source</w:t>
      </w:r>
      <w:r>
        <w:rPr>
          <w:color w:val="231F20"/>
          <w:sz w:val="20"/>
          <w:vertAlign w:val="baseline"/>
        </w:rPr>
        <w:t> </w:t>
      </w:r>
      <w:r>
        <w:rPr>
          <w:color w:val="231F20"/>
          <w:spacing w:val="-4"/>
          <w:sz w:val="20"/>
          <w:vertAlign w:val="baseline"/>
        </w:rPr>
        <w:t>Wikipédia</w:t>
      </w:r>
      <w:r>
        <w:rPr>
          <w:color w:val="231F20"/>
          <w:spacing w:val="-2"/>
          <w:sz w:val="20"/>
          <w:vertAlign w:val="baseline"/>
        </w:rPr>
        <w:t> </w:t>
      </w:r>
      <w:r>
        <w:rPr>
          <w:color w:val="231F20"/>
          <w:spacing w:val="-10"/>
          <w:sz w:val="20"/>
          <w:vertAlign w:val="baseline"/>
        </w:rPr>
        <w:t>;</w:t>
      </w:r>
    </w:p>
    <w:p>
      <w:pPr>
        <w:spacing w:before="1"/>
        <w:ind w:left="111" w:right="110" w:firstLine="0"/>
        <w:jc w:val="both"/>
        <w:rPr>
          <w:sz w:val="20"/>
        </w:rPr>
      </w:pPr>
      <w:r>
        <w:rPr>
          <w:color w:val="231F20"/>
          <w:spacing w:val="-4"/>
          <w:sz w:val="20"/>
          <w:vertAlign w:val="superscript"/>
        </w:rPr>
        <w:t>90</w:t>
      </w:r>
      <w:r>
        <w:rPr>
          <w:color w:val="231F20"/>
          <w:sz w:val="20"/>
          <w:vertAlign w:val="baseline"/>
        </w:rPr>
        <w:t> </w:t>
      </w:r>
      <w:r>
        <w:rPr>
          <w:color w:val="231F20"/>
          <w:spacing w:val="-4"/>
          <w:sz w:val="20"/>
          <w:vertAlign w:val="baseline"/>
        </w:rPr>
        <w:t>Le zarma est l'une des</w:t>
      </w:r>
      <w:r>
        <w:rPr>
          <w:color w:val="231F20"/>
          <w:spacing w:val="-6"/>
          <w:sz w:val="20"/>
          <w:vertAlign w:val="baseline"/>
        </w:rPr>
        <w:t> </w:t>
      </w:r>
      <w:r>
        <w:rPr>
          <w:color w:val="231F20"/>
          <w:spacing w:val="-4"/>
          <w:sz w:val="20"/>
          <w:vertAlign w:val="baseline"/>
        </w:rPr>
        <w:t>principales langues</w:t>
      </w:r>
      <w:r>
        <w:rPr>
          <w:color w:val="231F20"/>
          <w:spacing w:val="-8"/>
          <w:sz w:val="20"/>
          <w:vertAlign w:val="baseline"/>
        </w:rPr>
        <w:t> </w:t>
      </w:r>
      <w:r>
        <w:rPr>
          <w:color w:val="231F20"/>
          <w:spacing w:val="-4"/>
          <w:sz w:val="20"/>
          <w:vertAlign w:val="baseline"/>
        </w:rPr>
        <w:t>de l'empire songhaï. Il est</w:t>
      </w:r>
      <w:r>
        <w:rPr>
          <w:color w:val="231F20"/>
          <w:spacing w:val="-7"/>
          <w:sz w:val="20"/>
          <w:vertAlign w:val="baseline"/>
        </w:rPr>
        <w:t> </w:t>
      </w:r>
      <w:r>
        <w:rPr>
          <w:color w:val="231F20"/>
          <w:spacing w:val="-4"/>
          <w:sz w:val="20"/>
          <w:vertAlign w:val="baseline"/>
        </w:rPr>
        <w:t>parlé au Niger, au </w:t>
      </w:r>
      <w:r>
        <w:rPr>
          <w:color w:val="231F20"/>
          <w:sz w:val="20"/>
          <w:vertAlign w:val="baseline"/>
        </w:rPr>
        <w:t>Nigeria,</w:t>
      </w:r>
      <w:r>
        <w:rPr>
          <w:color w:val="231F20"/>
          <w:spacing w:val="-5"/>
          <w:sz w:val="20"/>
          <w:vertAlign w:val="baseline"/>
        </w:rPr>
        <w:t> </w:t>
      </w:r>
      <w:r>
        <w:rPr>
          <w:color w:val="231F20"/>
          <w:sz w:val="20"/>
          <w:vertAlign w:val="baseline"/>
        </w:rPr>
        <w:t>au</w:t>
      </w:r>
      <w:r>
        <w:rPr>
          <w:color w:val="231F20"/>
          <w:spacing w:val="-1"/>
          <w:sz w:val="20"/>
          <w:vertAlign w:val="baseline"/>
        </w:rPr>
        <w:t> </w:t>
      </w:r>
      <w:r>
        <w:rPr>
          <w:color w:val="231F20"/>
          <w:sz w:val="20"/>
          <w:vertAlign w:val="baseline"/>
        </w:rPr>
        <w:t>Burkina</w:t>
      </w:r>
      <w:r>
        <w:rPr>
          <w:color w:val="231F20"/>
          <w:spacing w:val="-5"/>
          <w:sz w:val="20"/>
          <w:vertAlign w:val="baseline"/>
        </w:rPr>
        <w:t> </w:t>
      </w:r>
      <w:r>
        <w:rPr>
          <w:color w:val="231F20"/>
          <w:sz w:val="20"/>
          <w:vertAlign w:val="baseline"/>
        </w:rPr>
        <w:t>Faso,</w:t>
      </w:r>
      <w:r>
        <w:rPr>
          <w:color w:val="231F20"/>
          <w:spacing w:val="-1"/>
          <w:sz w:val="20"/>
          <w:vertAlign w:val="baseline"/>
        </w:rPr>
        <w:t> </w:t>
      </w:r>
      <w:r>
        <w:rPr>
          <w:color w:val="231F20"/>
          <w:sz w:val="20"/>
          <w:vertAlign w:val="baseline"/>
        </w:rPr>
        <w:t>Mali,</w:t>
      </w:r>
      <w:r>
        <w:rPr>
          <w:color w:val="231F20"/>
          <w:spacing w:val="-5"/>
          <w:sz w:val="20"/>
          <w:vertAlign w:val="baseline"/>
        </w:rPr>
        <w:t> </w:t>
      </w:r>
      <w:r>
        <w:rPr>
          <w:color w:val="231F20"/>
          <w:sz w:val="20"/>
          <w:vertAlign w:val="baseline"/>
        </w:rPr>
        <w:t>Soudan,</w:t>
      </w:r>
      <w:r>
        <w:rPr>
          <w:color w:val="231F20"/>
          <w:spacing w:val="-5"/>
          <w:sz w:val="20"/>
          <w:vertAlign w:val="baseline"/>
        </w:rPr>
        <w:t> </w:t>
      </w:r>
      <w:r>
        <w:rPr>
          <w:color w:val="231F20"/>
          <w:sz w:val="20"/>
          <w:vertAlign w:val="baseline"/>
        </w:rPr>
        <w:t>Bénin</w:t>
      </w:r>
      <w:r>
        <w:rPr>
          <w:color w:val="231F20"/>
          <w:spacing w:val="-3"/>
          <w:sz w:val="20"/>
          <w:vertAlign w:val="baseline"/>
        </w:rPr>
        <w:t> </w:t>
      </w:r>
      <w:r>
        <w:rPr>
          <w:color w:val="231F20"/>
          <w:sz w:val="20"/>
          <w:vertAlign w:val="baseline"/>
        </w:rPr>
        <w:t>et</w:t>
      </w:r>
      <w:r>
        <w:rPr>
          <w:color w:val="231F20"/>
          <w:spacing w:val="-2"/>
          <w:sz w:val="20"/>
          <w:vertAlign w:val="baseline"/>
        </w:rPr>
        <w:t> </w:t>
      </w:r>
      <w:r>
        <w:rPr>
          <w:color w:val="231F20"/>
          <w:sz w:val="20"/>
          <w:vertAlign w:val="baseline"/>
        </w:rPr>
        <w:t>Ghana.</w:t>
      </w:r>
    </w:p>
    <w:p>
      <w:pPr>
        <w:spacing w:before="1"/>
        <w:ind w:left="111" w:right="109" w:firstLine="0"/>
        <w:jc w:val="both"/>
        <w:rPr>
          <w:sz w:val="20"/>
        </w:rPr>
      </w:pPr>
      <w:r>
        <w:rPr>
          <w:color w:val="231F20"/>
          <w:sz w:val="20"/>
        </w:rPr>
        <w:t>Le haoussa est parlé, principalement au Niger et au Nigeria, mais aussi au Bénin, en </w:t>
      </w:r>
      <w:r>
        <w:rPr>
          <w:color w:val="231F20"/>
          <w:spacing w:val="-4"/>
          <w:sz w:val="20"/>
        </w:rPr>
        <w:t>Burkina</w:t>
      </w:r>
      <w:r>
        <w:rPr>
          <w:color w:val="231F20"/>
          <w:spacing w:val="-9"/>
          <w:sz w:val="20"/>
        </w:rPr>
        <w:t> </w:t>
      </w:r>
      <w:r>
        <w:rPr>
          <w:color w:val="231F20"/>
          <w:spacing w:val="-4"/>
          <w:sz w:val="20"/>
        </w:rPr>
        <w:t>Faso,</w:t>
      </w:r>
      <w:r>
        <w:rPr>
          <w:color w:val="231F20"/>
          <w:spacing w:val="-8"/>
          <w:sz w:val="20"/>
        </w:rPr>
        <w:t> </w:t>
      </w:r>
      <w:r>
        <w:rPr>
          <w:color w:val="231F20"/>
          <w:spacing w:val="-4"/>
          <w:sz w:val="20"/>
        </w:rPr>
        <w:t>au</w:t>
      </w:r>
      <w:r>
        <w:rPr>
          <w:color w:val="231F20"/>
          <w:spacing w:val="-9"/>
          <w:sz w:val="20"/>
        </w:rPr>
        <w:t> </w:t>
      </w:r>
      <w:r>
        <w:rPr>
          <w:color w:val="231F20"/>
          <w:spacing w:val="-4"/>
          <w:sz w:val="20"/>
        </w:rPr>
        <w:t>Cameroun,</w:t>
      </w:r>
      <w:r>
        <w:rPr>
          <w:color w:val="231F20"/>
          <w:spacing w:val="-8"/>
          <w:sz w:val="20"/>
        </w:rPr>
        <w:t> </w:t>
      </w:r>
      <w:r>
        <w:rPr>
          <w:color w:val="231F20"/>
          <w:spacing w:val="-4"/>
          <w:sz w:val="20"/>
        </w:rPr>
        <w:t>en</w:t>
      </w:r>
      <w:r>
        <w:rPr>
          <w:color w:val="231F20"/>
          <w:spacing w:val="-9"/>
          <w:sz w:val="20"/>
        </w:rPr>
        <w:t> </w:t>
      </w:r>
      <w:r>
        <w:rPr>
          <w:color w:val="231F20"/>
          <w:spacing w:val="-4"/>
          <w:sz w:val="20"/>
        </w:rPr>
        <w:t>Côte</w:t>
      </w:r>
      <w:r>
        <w:rPr>
          <w:color w:val="231F20"/>
          <w:spacing w:val="-8"/>
          <w:sz w:val="20"/>
        </w:rPr>
        <w:t> </w:t>
      </w:r>
      <w:r>
        <w:rPr>
          <w:color w:val="231F20"/>
          <w:spacing w:val="-4"/>
          <w:sz w:val="20"/>
        </w:rPr>
        <w:t>d’Ivoire,</w:t>
      </w:r>
      <w:r>
        <w:rPr>
          <w:color w:val="231F20"/>
          <w:spacing w:val="-9"/>
          <w:sz w:val="20"/>
        </w:rPr>
        <w:t> </w:t>
      </w:r>
      <w:r>
        <w:rPr>
          <w:color w:val="231F20"/>
          <w:spacing w:val="-4"/>
          <w:sz w:val="20"/>
        </w:rPr>
        <w:t>au</w:t>
      </w:r>
      <w:r>
        <w:rPr>
          <w:color w:val="231F20"/>
          <w:spacing w:val="-8"/>
          <w:sz w:val="20"/>
        </w:rPr>
        <w:t> </w:t>
      </w:r>
      <w:r>
        <w:rPr>
          <w:color w:val="231F20"/>
          <w:spacing w:val="-4"/>
          <w:sz w:val="20"/>
        </w:rPr>
        <w:t>Ghana,</w:t>
      </w:r>
      <w:r>
        <w:rPr>
          <w:color w:val="231F20"/>
          <w:spacing w:val="-9"/>
          <w:sz w:val="20"/>
        </w:rPr>
        <w:t> </w:t>
      </w:r>
      <w:r>
        <w:rPr>
          <w:color w:val="231F20"/>
          <w:spacing w:val="-4"/>
          <w:sz w:val="20"/>
        </w:rPr>
        <w:t>au</w:t>
      </w:r>
      <w:r>
        <w:rPr>
          <w:color w:val="231F20"/>
          <w:spacing w:val="-8"/>
          <w:sz w:val="20"/>
        </w:rPr>
        <w:t> </w:t>
      </w:r>
      <w:r>
        <w:rPr>
          <w:color w:val="231F20"/>
          <w:spacing w:val="-4"/>
          <w:sz w:val="20"/>
        </w:rPr>
        <w:t>Soudan,</w:t>
      </w:r>
      <w:r>
        <w:rPr>
          <w:color w:val="231F20"/>
          <w:spacing w:val="-7"/>
          <w:sz w:val="20"/>
        </w:rPr>
        <w:t> </w:t>
      </w:r>
      <w:r>
        <w:rPr>
          <w:color w:val="231F20"/>
          <w:spacing w:val="-4"/>
          <w:sz w:val="20"/>
        </w:rPr>
        <w:t>au</w:t>
      </w:r>
      <w:r>
        <w:rPr>
          <w:color w:val="231F20"/>
          <w:spacing w:val="-8"/>
          <w:sz w:val="20"/>
        </w:rPr>
        <w:t> </w:t>
      </w:r>
      <w:r>
        <w:rPr>
          <w:color w:val="231F20"/>
          <w:spacing w:val="-4"/>
          <w:sz w:val="20"/>
        </w:rPr>
        <w:t>Tchad,</w:t>
      </w:r>
      <w:r>
        <w:rPr>
          <w:color w:val="231F20"/>
          <w:spacing w:val="-9"/>
          <w:sz w:val="20"/>
        </w:rPr>
        <w:t> </w:t>
      </w:r>
      <w:r>
        <w:rPr>
          <w:color w:val="231F20"/>
          <w:spacing w:val="-4"/>
          <w:sz w:val="20"/>
        </w:rPr>
        <w:t>au</w:t>
      </w:r>
      <w:r>
        <w:rPr>
          <w:color w:val="231F20"/>
          <w:spacing w:val="-7"/>
          <w:sz w:val="20"/>
        </w:rPr>
        <w:t> </w:t>
      </w:r>
      <w:r>
        <w:rPr>
          <w:color w:val="231F20"/>
          <w:spacing w:val="-4"/>
          <w:sz w:val="20"/>
        </w:rPr>
        <w:t>Gabon </w:t>
      </w:r>
      <w:r>
        <w:rPr>
          <w:color w:val="231F20"/>
          <w:sz w:val="20"/>
        </w:rPr>
        <w:t>et au Togo.</w:t>
      </w:r>
    </w:p>
    <w:p>
      <w:pPr>
        <w:spacing w:after="0"/>
        <w:jc w:val="both"/>
        <w:rPr>
          <w:sz w:val="20"/>
        </w:rPr>
        <w:sectPr>
          <w:pgSz w:w="8790" w:h="13610"/>
          <w:pgMar w:header="0" w:footer="802" w:top="1040" w:bottom="1000" w:left="880" w:right="880"/>
        </w:sectPr>
      </w:pPr>
    </w:p>
    <w:p>
      <w:pPr>
        <w:pStyle w:val="BodyText"/>
        <w:spacing w:before="66"/>
        <w:ind w:right="107" w:firstLine="283"/>
      </w:pPr>
      <w:r>
        <w:rPr>
          <w:color w:val="231F20"/>
        </w:rPr>
        <w:t>En 1990, le président français François</w:t>
      </w:r>
      <w:r>
        <w:rPr>
          <w:color w:val="231F20"/>
          <w:spacing w:val="-1"/>
        </w:rPr>
        <w:t> </w:t>
      </w:r>
      <w:r>
        <w:rPr>
          <w:color w:val="231F20"/>
        </w:rPr>
        <w:t>Mittérand</w:t>
      </w:r>
      <w:r>
        <w:rPr>
          <w:color w:val="231F20"/>
          <w:spacing w:val="-1"/>
        </w:rPr>
        <w:t> </w:t>
      </w:r>
      <w:r>
        <w:rPr>
          <w:color w:val="231F20"/>
        </w:rPr>
        <w:t>conditionne toute aide</w:t>
      </w:r>
      <w:r>
        <w:rPr>
          <w:color w:val="231F20"/>
          <w:spacing w:val="-13"/>
        </w:rPr>
        <w:t> </w:t>
      </w:r>
      <w:r>
        <w:rPr>
          <w:color w:val="231F20"/>
        </w:rPr>
        <w:t>aux</w:t>
      </w:r>
      <w:r>
        <w:rPr>
          <w:color w:val="231F20"/>
          <w:spacing w:val="-13"/>
        </w:rPr>
        <w:t> </w:t>
      </w:r>
      <w:r>
        <w:rPr>
          <w:color w:val="231F20"/>
        </w:rPr>
        <w:t>anciennes</w:t>
      </w:r>
      <w:r>
        <w:rPr>
          <w:color w:val="231F20"/>
          <w:spacing w:val="-13"/>
        </w:rPr>
        <w:t> </w:t>
      </w:r>
      <w:r>
        <w:rPr>
          <w:color w:val="231F20"/>
        </w:rPr>
        <w:t>colonies</w:t>
      </w:r>
      <w:r>
        <w:rPr>
          <w:color w:val="231F20"/>
          <w:spacing w:val="-13"/>
        </w:rPr>
        <w:t> </w:t>
      </w:r>
      <w:r>
        <w:rPr>
          <w:color w:val="231F20"/>
        </w:rPr>
        <w:t>africaines</w:t>
      </w:r>
      <w:r>
        <w:rPr>
          <w:color w:val="231F20"/>
          <w:spacing w:val="-13"/>
        </w:rPr>
        <w:t> </w:t>
      </w:r>
      <w:r>
        <w:rPr>
          <w:color w:val="231F20"/>
        </w:rPr>
        <w:t>de</w:t>
      </w:r>
      <w:r>
        <w:rPr>
          <w:color w:val="231F20"/>
          <w:spacing w:val="-13"/>
        </w:rPr>
        <w:t> </w:t>
      </w:r>
      <w:r>
        <w:rPr>
          <w:color w:val="231F20"/>
        </w:rPr>
        <w:t>la</w:t>
      </w:r>
      <w:r>
        <w:rPr>
          <w:color w:val="231F20"/>
          <w:spacing w:val="-11"/>
        </w:rPr>
        <w:t> </w:t>
      </w:r>
      <w:r>
        <w:rPr>
          <w:color w:val="231F20"/>
        </w:rPr>
        <w:t>France,</w:t>
      </w:r>
      <w:r>
        <w:rPr>
          <w:color w:val="231F20"/>
          <w:spacing w:val="-14"/>
        </w:rPr>
        <w:t> </w:t>
      </w:r>
      <w:r>
        <w:rPr>
          <w:color w:val="231F20"/>
        </w:rPr>
        <w:t>par</w:t>
      </w:r>
      <w:r>
        <w:rPr>
          <w:color w:val="231F20"/>
          <w:spacing w:val="-13"/>
        </w:rPr>
        <w:t> </w:t>
      </w:r>
      <w:r>
        <w:rPr>
          <w:color w:val="231F20"/>
        </w:rPr>
        <w:t>la</w:t>
      </w:r>
      <w:r>
        <w:rPr>
          <w:color w:val="231F20"/>
          <w:spacing w:val="-13"/>
        </w:rPr>
        <w:t> </w:t>
      </w:r>
      <w:r>
        <w:rPr>
          <w:color w:val="231F20"/>
        </w:rPr>
        <w:t>mise</w:t>
      </w:r>
      <w:r>
        <w:rPr>
          <w:color w:val="231F20"/>
          <w:spacing w:val="-13"/>
        </w:rPr>
        <w:t> </w:t>
      </w:r>
      <w:r>
        <w:rPr>
          <w:color w:val="231F20"/>
        </w:rPr>
        <w:t>en</w:t>
      </w:r>
      <w:r>
        <w:rPr>
          <w:color w:val="231F20"/>
          <w:spacing w:val="-13"/>
        </w:rPr>
        <w:t> </w:t>
      </w:r>
      <w:r>
        <w:rPr>
          <w:color w:val="231F20"/>
        </w:rPr>
        <w:t>place d’institutions</w:t>
      </w:r>
      <w:r>
        <w:rPr>
          <w:color w:val="231F20"/>
          <w:spacing w:val="-7"/>
        </w:rPr>
        <w:t> </w:t>
      </w:r>
      <w:r>
        <w:rPr>
          <w:color w:val="231F20"/>
        </w:rPr>
        <w:t>démocratiques</w:t>
      </w:r>
      <w:r>
        <w:rPr>
          <w:color w:val="231F20"/>
          <w:spacing w:val="-8"/>
        </w:rPr>
        <w:t> </w:t>
      </w:r>
      <w:r>
        <w:rPr>
          <w:color w:val="231F20"/>
        </w:rPr>
        <w:t>et</w:t>
      </w:r>
      <w:r>
        <w:rPr>
          <w:color w:val="231F20"/>
          <w:spacing w:val="-8"/>
        </w:rPr>
        <w:t> </w:t>
      </w:r>
      <w:r>
        <w:rPr>
          <w:color w:val="231F20"/>
        </w:rPr>
        <w:t>la</w:t>
      </w:r>
      <w:r>
        <w:rPr>
          <w:color w:val="231F20"/>
          <w:spacing w:val="-11"/>
        </w:rPr>
        <w:t> </w:t>
      </w:r>
      <w:r>
        <w:rPr>
          <w:color w:val="231F20"/>
        </w:rPr>
        <w:t>bonne</w:t>
      </w:r>
      <w:r>
        <w:rPr>
          <w:color w:val="231F20"/>
          <w:spacing w:val="-8"/>
        </w:rPr>
        <w:t> </w:t>
      </w:r>
      <w:r>
        <w:rPr>
          <w:color w:val="231F20"/>
        </w:rPr>
        <w:t>gouvernance</w:t>
      </w:r>
      <w:r>
        <w:rPr>
          <w:color w:val="231F20"/>
          <w:spacing w:val="-8"/>
        </w:rPr>
        <w:t> </w:t>
      </w:r>
      <w:r>
        <w:rPr>
          <w:color w:val="231F20"/>
        </w:rPr>
        <w:t>dans</w:t>
      </w:r>
      <w:r>
        <w:rPr>
          <w:color w:val="231F20"/>
          <w:spacing w:val="-10"/>
        </w:rPr>
        <w:t> </w:t>
      </w:r>
      <w:r>
        <w:rPr>
          <w:color w:val="231F20"/>
        </w:rPr>
        <w:t>les</w:t>
      </w:r>
      <w:r>
        <w:rPr>
          <w:color w:val="231F20"/>
          <w:spacing w:val="-8"/>
        </w:rPr>
        <w:t> </w:t>
      </w:r>
      <w:r>
        <w:rPr>
          <w:color w:val="231F20"/>
        </w:rPr>
        <w:t>États.</w:t>
      </w:r>
    </w:p>
    <w:p>
      <w:pPr>
        <w:pStyle w:val="BodyText"/>
        <w:spacing w:before="120"/>
        <w:ind w:right="104" w:firstLine="283"/>
      </w:pPr>
      <w:r>
        <w:rPr>
          <w:color w:val="231F20"/>
        </w:rPr>
        <w:t>Les militaires au pouvoir à Niamey, acceptent la tenue d’une Conférence Nationale pour la Paix Civile en juillet 1991. Un gouvernement de transition est formé en novembre. Il est dirigé par le Premier ministre Amadou Cheiffou.</w:t>
      </w:r>
    </w:p>
    <w:p>
      <w:pPr>
        <w:pStyle w:val="BodyText"/>
        <w:spacing w:before="120"/>
        <w:ind w:right="105" w:firstLine="283"/>
      </w:pPr>
      <w:r>
        <w:rPr>
          <w:color w:val="231F20"/>
        </w:rPr>
        <w:t>En avril 1993, à l’issue d’une élection démocratique, Mahamane Ousmane devient président de la République. Il inaugure la Troisième République. Mais, les résultats des élections législatives contestées de 1995 mettent un coup d’arrêt à la machine démocratique. L’Armée </w:t>
      </w:r>
      <w:r>
        <w:rPr>
          <w:color w:val="231F20"/>
          <w:spacing w:val="-2"/>
        </w:rPr>
        <w:t>intervient.</w:t>
      </w:r>
    </w:p>
    <w:p>
      <w:pPr>
        <w:pStyle w:val="BodyText"/>
        <w:spacing w:before="121"/>
        <w:ind w:right="107" w:firstLine="283"/>
      </w:pPr>
      <w:r>
        <w:rPr>
          <w:color w:val="231F20"/>
        </w:rPr>
        <w:t>Le</w:t>
      </w:r>
      <w:r>
        <w:rPr>
          <w:color w:val="231F20"/>
          <w:spacing w:val="-10"/>
        </w:rPr>
        <w:t> </w:t>
      </w:r>
      <w:r>
        <w:rPr>
          <w:color w:val="231F20"/>
        </w:rPr>
        <w:t>Colonel</w:t>
      </w:r>
      <w:r>
        <w:rPr>
          <w:color w:val="231F20"/>
          <w:spacing w:val="-12"/>
        </w:rPr>
        <w:t> </w:t>
      </w:r>
      <w:r>
        <w:rPr>
          <w:color w:val="231F20"/>
        </w:rPr>
        <w:t>Ibrahim</w:t>
      </w:r>
      <w:r>
        <w:rPr>
          <w:color w:val="231F20"/>
          <w:spacing w:val="-12"/>
        </w:rPr>
        <w:t> </w:t>
      </w:r>
      <w:r>
        <w:rPr>
          <w:color w:val="231F20"/>
        </w:rPr>
        <w:t>Baré</w:t>
      </w:r>
      <w:r>
        <w:rPr>
          <w:color w:val="231F20"/>
          <w:spacing w:val="-13"/>
        </w:rPr>
        <w:t> </w:t>
      </w:r>
      <w:r>
        <w:rPr>
          <w:color w:val="231F20"/>
        </w:rPr>
        <w:t>Maïnassara,</w:t>
      </w:r>
      <w:r>
        <w:rPr>
          <w:color w:val="231F20"/>
          <w:spacing w:val="-13"/>
        </w:rPr>
        <w:t> </w:t>
      </w:r>
      <w:r>
        <w:rPr>
          <w:color w:val="231F20"/>
        </w:rPr>
        <w:t>Chef</w:t>
      </w:r>
      <w:r>
        <w:rPr>
          <w:color w:val="231F20"/>
          <w:spacing w:val="-10"/>
        </w:rPr>
        <w:t> </w:t>
      </w:r>
      <w:r>
        <w:rPr>
          <w:color w:val="231F20"/>
        </w:rPr>
        <w:t>d’État-major</w:t>
      </w:r>
      <w:r>
        <w:rPr>
          <w:color w:val="231F20"/>
          <w:spacing w:val="-13"/>
        </w:rPr>
        <w:t> </w:t>
      </w:r>
      <w:r>
        <w:rPr>
          <w:color w:val="231F20"/>
        </w:rPr>
        <w:t>de</w:t>
      </w:r>
      <w:r>
        <w:rPr>
          <w:color w:val="231F20"/>
          <w:spacing w:val="-10"/>
        </w:rPr>
        <w:t> </w:t>
      </w:r>
      <w:r>
        <w:rPr>
          <w:color w:val="231F20"/>
        </w:rPr>
        <w:t>l’Armée </w:t>
      </w:r>
      <w:r>
        <w:rPr>
          <w:color w:val="231F20"/>
          <w:spacing w:val="-4"/>
        </w:rPr>
        <w:t>prend</w:t>
      </w:r>
      <w:r>
        <w:rPr>
          <w:color w:val="231F20"/>
          <w:spacing w:val="-11"/>
        </w:rPr>
        <w:t> </w:t>
      </w:r>
      <w:r>
        <w:rPr>
          <w:color w:val="231F20"/>
          <w:spacing w:val="-4"/>
        </w:rPr>
        <w:t>le</w:t>
      </w:r>
      <w:r>
        <w:rPr>
          <w:color w:val="231F20"/>
          <w:spacing w:val="-11"/>
        </w:rPr>
        <w:t> </w:t>
      </w:r>
      <w:r>
        <w:rPr>
          <w:color w:val="231F20"/>
          <w:spacing w:val="-4"/>
        </w:rPr>
        <w:t>pouvoir</w:t>
      </w:r>
      <w:r>
        <w:rPr>
          <w:color w:val="231F20"/>
          <w:spacing w:val="-11"/>
        </w:rPr>
        <w:t> </w:t>
      </w:r>
      <w:r>
        <w:rPr>
          <w:color w:val="231F20"/>
          <w:spacing w:val="-4"/>
        </w:rPr>
        <w:t>et</w:t>
      </w:r>
      <w:r>
        <w:rPr>
          <w:color w:val="231F20"/>
          <w:spacing w:val="-11"/>
        </w:rPr>
        <w:t> </w:t>
      </w:r>
      <w:r>
        <w:rPr>
          <w:color w:val="231F20"/>
          <w:spacing w:val="-4"/>
        </w:rPr>
        <w:t>met</w:t>
      </w:r>
      <w:r>
        <w:rPr>
          <w:color w:val="231F20"/>
          <w:spacing w:val="-11"/>
        </w:rPr>
        <w:t> </w:t>
      </w:r>
      <w:r>
        <w:rPr>
          <w:color w:val="231F20"/>
          <w:spacing w:val="-4"/>
        </w:rPr>
        <w:t>fin</w:t>
      </w:r>
      <w:r>
        <w:rPr>
          <w:color w:val="231F20"/>
          <w:spacing w:val="-11"/>
        </w:rPr>
        <w:t> </w:t>
      </w:r>
      <w:r>
        <w:rPr>
          <w:color w:val="231F20"/>
          <w:spacing w:val="-4"/>
        </w:rPr>
        <w:t>à</w:t>
      </w:r>
      <w:r>
        <w:rPr>
          <w:color w:val="231F20"/>
          <w:spacing w:val="-11"/>
        </w:rPr>
        <w:t> </w:t>
      </w:r>
      <w:r>
        <w:rPr>
          <w:color w:val="231F20"/>
          <w:spacing w:val="-4"/>
        </w:rPr>
        <w:t>la</w:t>
      </w:r>
      <w:r>
        <w:rPr>
          <w:color w:val="231F20"/>
          <w:spacing w:val="-11"/>
        </w:rPr>
        <w:t> </w:t>
      </w:r>
      <w:r>
        <w:rPr>
          <w:color w:val="231F20"/>
          <w:spacing w:val="-4"/>
        </w:rPr>
        <w:t>Troisième</w:t>
      </w:r>
      <w:r>
        <w:rPr>
          <w:color w:val="231F20"/>
          <w:spacing w:val="-11"/>
        </w:rPr>
        <w:t> </w:t>
      </w:r>
      <w:r>
        <w:rPr>
          <w:color w:val="231F20"/>
          <w:spacing w:val="-4"/>
        </w:rPr>
        <w:t>République</w:t>
      </w:r>
      <w:r>
        <w:rPr>
          <w:color w:val="231F20"/>
          <w:spacing w:val="-11"/>
        </w:rPr>
        <w:t> </w:t>
      </w:r>
      <w:r>
        <w:rPr>
          <w:color w:val="231F20"/>
          <w:spacing w:val="-4"/>
        </w:rPr>
        <w:t>en</w:t>
      </w:r>
      <w:r>
        <w:rPr>
          <w:color w:val="231F20"/>
          <w:spacing w:val="-11"/>
        </w:rPr>
        <w:t> </w:t>
      </w:r>
      <w:r>
        <w:rPr>
          <w:color w:val="231F20"/>
          <w:spacing w:val="-4"/>
        </w:rPr>
        <w:t>1996.</w:t>
      </w:r>
      <w:r>
        <w:rPr>
          <w:color w:val="231F20"/>
          <w:spacing w:val="-11"/>
        </w:rPr>
        <w:t> </w:t>
      </w:r>
      <w:r>
        <w:rPr>
          <w:color w:val="231F20"/>
          <w:spacing w:val="-4"/>
        </w:rPr>
        <w:t>Le</w:t>
      </w:r>
      <w:r>
        <w:rPr>
          <w:color w:val="231F20"/>
          <w:spacing w:val="-11"/>
        </w:rPr>
        <w:t> </w:t>
      </w:r>
      <w:r>
        <w:rPr>
          <w:color w:val="231F20"/>
          <w:spacing w:val="-4"/>
        </w:rPr>
        <w:t>Conseil </w:t>
      </w:r>
      <w:r>
        <w:rPr>
          <w:color w:val="231F20"/>
        </w:rPr>
        <w:t>de</w:t>
      </w:r>
      <w:r>
        <w:rPr>
          <w:color w:val="231F20"/>
          <w:spacing w:val="-8"/>
        </w:rPr>
        <w:t> </w:t>
      </w:r>
      <w:r>
        <w:rPr>
          <w:color w:val="231F20"/>
        </w:rPr>
        <w:t>Salut</w:t>
      </w:r>
      <w:r>
        <w:rPr>
          <w:color w:val="231F20"/>
          <w:spacing w:val="-9"/>
        </w:rPr>
        <w:t> </w:t>
      </w:r>
      <w:r>
        <w:rPr>
          <w:color w:val="231F20"/>
        </w:rPr>
        <w:t>National</w:t>
      </w:r>
      <w:r>
        <w:rPr>
          <w:color w:val="231F20"/>
          <w:spacing w:val="-9"/>
        </w:rPr>
        <w:t> </w:t>
      </w:r>
      <w:r>
        <w:rPr>
          <w:color w:val="231F20"/>
        </w:rPr>
        <w:t>qu’il</w:t>
      </w:r>
      <w:r>
        <w:rPr>
          <w:color w:val="231F20"/>
          <w:spacing w:val="-9"/>
        </w:rPr>
        <w:t> </w:t>
      </w:r>
      <w:r>
        <w:rPr>
          <w:color w:val="231F20"/>
        </w:rPr>
        <w:t>dirige</w:t>
      </w:r>
      <w:r>
        <w:rPr>
          <w:color w:val="231F20"/>
          <w:spacing w:val="-10"/>
        </w:rPr>
        <w:t> </w:t>
      </w:r>
      <w:r>
        <w:rPr>
          <w:color w:val="231F20"/>
        </w:rPr>
        <w:t>se</w:t>
      </w:r>
      <w:r>
        <w:rPr>
          <w:color w:val="231F20"/>
          <w:spacing w:val="-8"/>
        </w:rPr>
        <w:t> </w:t>
      </w:r>
      <w:r>
        <w:rPr>
          <w:color w:val="231F20"/>
        </w:rPr>
        <w:t>fixe</w:t>
      </w:r>
      <w:r>
        <w:rPr>
          <w:color w:val="231F20"/>
          <w:spacing w:val="-10"/>
        </w:rPr>
        <w:t> </w:t>
      </w:r>
      <w:r>
        <w:rPr>
          <w:color w:val="231F20"/>
        </w:rPr>
        <w:t>six</w:t>
      </w:r>
      <w:r>
        <w:rPr>
          <w:color w:val="231F20"/>
          <w:spacing w:val="-11"/>
        </w:rPr>
        <w:t> </w:t>
      </w:r>
      <w:r>
        <w:rPr>
          <w:color w:val="231F20"/>
        </w:rPr>
        <w:t>mois</w:t>
      </w:r>
      <w:r>
        <w:rPr>
          <w:color w:val="231F20"/>
          <w:spacing w:val="-10"/>
        </w:rPr>
        <w:t> </w:t>
      </w:r>
      <w:r>
        <w:rPr>
          <w:color w:val="231F20"/>
        </w:rPr>
        <w:t>de</w:t>
      </w:r>
      <w:r>
        <w:rPr>
          <w:color w:val="231F20"/>
          <w:spacing w:val="-10"/>
        </w:rPr>
        <w:t> </w:t>
      </w:r>
      <w:r>
        <w:rPr>
          <w:color w:val="231F20"/>
        </w:rPr>
        <w:t>transition</w:t>
      </w:r>
      <w:r>
        <w:rPr>
          <w:color w:val="231F20"/>
          <w:spacing w:val="-10"/>
        </w:rPr>
        <w:t> </w:t>
      </w:r>
      <w:r>
        <w:rPr>
          <w:color w:val="231F20"/>
        </w:rPr>
        <w:t>afin</w:t>
      </w:r>
      <w:r>
        <w:rPr>
          <w:color w:val="231F20"/>
          <w:spacing w:val="-7"/>
        </w:rPr>
        <w:t> </w:t>
      </w:r>
      <w:r>
        <w:rPr>
          <w:color w:val="231F20"/>
        </w:rPr>
        <w:t>de</w:t>
      </w:r>
      <w:r>
        <w:rPr>
          <w:color w:val="231F20"/>
          <w:spacing w:val="-10"/>
        </w:rPr>
        <w:t> </w:t>
      </w:r>
      <w:r>
        <w:rPr>
          <w:color w:val="231F20"/>
        </w:rPr>
        <w:t>doter le</w:t>
      </w:r>
      <w:r>
        <w:rPr>
          <w:color w:val="231F20"/>
          <w:spacing w:val="-7"/>
        </w:rPr>
        <w:t> </w:t>
      </w:r>
      <w:r>
        <w:rPr>
          <w:color w:val="231F20"/>
        </w:rPr>
        <w:t>pays</w:t>
      </w:r>
      <w:r>
        <w:rPr>
          <w:color w:val="231F20"/>
          <w:spacing w:val="-10"/>
        </w:rPr>
        <w:t> </w:t>
      </w:r>
      <w:r>
        <w:rPr>
          <w:color w:val="231F20"/>
        </w:rPr>
        <w:t>d’une</w:t>
      </w:r>
      <w:r>
        <w:rPr>
          <w:color w:val="231F20"/>
          <w:spacing w:val="-10"/>
        </w:rPr>
        <w:t> </w:t>
      </w:r>
      <w:r>
        <w:rPr>
          <w:color w:val="231F20"/>
        </w:rPr>
        <w:t>nouvelle</w:t>
      </w:r>
      <w:r>
        <w:rPr>
          <w:color w:val="231F20"/>
          <w:spacing w:val="-10"/>
        </w:rPr>
        <w:t> </w:t>
      </w:r>
      <w:r>
        <w:rPr>
          <w:color w:val="231F20"/>
        </w:rPr>
        <w:t>Constitution</w:t>
      </w:r>
      <w:r>
        <w:rPr>
          <w:color w:val="231F20"/>
          <w:spacing w:val="-7"/>
        </w:rPr>
        <w:t> </w:t>
      </w:r>
      <w:r>
        <w:rPr>
          <w:color w:val="231F20"/>
        </w:rPr>
        <w:t>pour</w:t>
      </w:r>
      <w:r>
        <w:rPr>
          <w:color w:val="231F20"/>
          <w:spacing w:val="-7"/>
        </w:rPr>
        <w:t> </w:t>
      </w:r>
      <w:r>
        <w:rPr>
          <w:color w:val="231F20"/>
        </w:rPr>
        <w:t>une</w:t>
      </w:r>
      <w:r>
        <w:rPr>
          <w:color w:val="231F20"/>
          <w:spacing w:val="-7"/>
        </w:rPr>
        <w:t> </w:t>
      </w:r>
      <w:r>
        <w:rPr>
          <w:color w:val="231F20"/>
        </w:rPr>
        <w:t>Quatrième</w:t>
      </w:r>
      <w:r>
        <w:rPr>
          <w:color w:val="231F20"/>
          <w:spacing w:val="-8"/>
        </w:rPr>
        <w:t> </w:t>
      </w:r>
      <w:r>
        <w:rPr>
          <w:color w:val="231F20"/>
        </w:rPr>
        <w:t>République.</w:t>
      </w:r>
    </w:p>
    <w:p>
      <w:pPr>
        <w:pStyle w:val="BodyText"/>
        <w:spacing w:before="120"/>
        <w:ind w:right="104" w:firstLine="283"/>
      </w:pPr>
      <w:r>
        <w:rPr>
          <w:color w:val="231F20"/>
        </w:rPr>
        <w:t>En juillet 1996, l’élection présidentielle est organisée. Alors que le processus de vote est en cours, le Colonel Ibrahim Baré Maïnassara remplace les membres de la Commission Électorale. La nouvelle Commission</w:t>
      </w:r>
      <w:r>
        <w:rPr>
          <w:color w:val="231F20"/>
          <w:spacing w:val="-15"/>
        </w:rPr>
        <w:t> </w:t>
      </w:r>
      <w:r>
        <w:rPr>
          <w:color w:val="231F20"/>
        </w:rPr>
        <w:t>le</w:t>
      </w:r>
      <w:r>
        <w:rPr>
          <w:color w:val="231F20"/>
          <w:spacing w:val="-15"/>
        </w:rPr>
        <w:t> </w:t>
      </w:r>
      <w:r>
        <w:rPr>
          <w:color w:val="231F20"/>
        </w:rPr>
        <w:t>déclare</w:t>
      </w:r>
      <w:r>
        <w:rPr>
          <w:color w:val="231F20"/>
          <w:spacing w:val="-15"/>
        </w:rPr>
        <w:t> </w:t>
      </w:r>
      <w:r>
        <w:rPr>
          <w:color w:val="231F20"/>
        </w:rPr>
        <w:t>vainqueur.</w:t>
      </w:r>
      <w:r>
        <w:rPr>
          <w:color w:val="231F20"/>
          <w:spacing w:val="-15"/>
        </w:rPr>
        <w:t> </w:t>
      </w:r>
      <w:r>
        <w:rPr>
          <w:color w:val="231F20"/>
        </w:rPr>
        <w:t>Les</w:t>
      </w:r>
      <w:r>
        <w:rPr>
          <w:color w:val="231F20"/>
          <w:spacing w:val="-15"/>
        </w:rPr>
        <w:t> </w:t>
      </w:r>
      <w:r>
        <w:rPr>
          <w:color w:val="231F20"/>
        </w:rPr>
        <w:t>élections</w:t>
      </w:r>
      <w:r>
        <w:rPr>
          <w:color w:val="231F20"/>
          <w:spacing w:val="-15"/>
        </w:rPr>
        <w:t> </w:t>
      </w:r>
      <w:r>
        <w:rPr>
          <w:color w:val="231F20"/>
        </w:rPr>
        <w:t>législatives</w:t>
      </w:r>
      <w:r>
        <w:rPr>
          <w:color w:val="231F20"/>
          <w:spacing w:val="-15"/>
        </w:rPr>
        <w:t> </w:t>
      </w:r>
      <w:r>
        <w:rPr>
          <w:color w:val="231F20"/>
        </w:rPr>
        <w:t>truquées</w:t>
      </w:r>
      <w:r>
        <w:rPr>
          <w:color w:val="231F20"/>
          <w:spacing w:val="-15"/>
        </w:rPr>
        <w:t> </w:t>
      </w:r>
      <w:r>
        <w:rPr>
          <w:color w:val="231F20"/>
        </w:rPr>
        <w:t>de novembre suivant lui donnent une majorité de 57</w:t>
      </w:r>
      <w:r>
        <w:rPr>
          <w:color w:val="231F20"/>
          <w:spacing w:val="-11"/>
        </w:rPr>
        <w:t> </w:t>
      </w:r>
      <w:r>
        <w:rPr>
          <w:color w:val="231F20"/>
        </w:rPr>
        <w:t>% des sièges. Des </w:t>
      </w:r>
      <w:r>
        <w:rPr>
          <w:color w:val="231F20"/>
          <w:spacing w:val="-2"/>
        </w:rPr>
        <w:t>dirigeants</w:t>
      </w:r>
      <w:r>
        <w:rPr>
          <w:color w:val="231F20"/>
          <w:spacing w:val="-11"/>
        </w:rPr>
        <w:t> </w:t>
      </w:r>
      <w:r>
        <w:rPr>
          <w:color w:val="231F20"/>
          <w:spacing w:val="-2"/>
        </w:rPr>
        <w:t>de</w:t>
      </w:r>
      <w:r>
        <w:rPr>
          <w:color w:val="231F20"/>
          <w:spacing w:val="-9"/>
        </w:rPr>
        <w:t> </w:t>
      </w:r>
      <w:r>
        <w:rPr>
          <w:color w:val="231F20"/>
          <w:spacing w:val="-2"/>
        </w:rPr>
        <w:t>l’opposition</w:t>
      </w:r>
      <w:r>
        <w:rPr>
          <w:color w:val="231F20"/>
          <w:spacing w:val="-10"/>
        </w:rPr>
        <w:t> </w:t>
      </w:r>
      <w:r>
        <w:rPr>
          <w:color w:val="231F20"/>
          <w:spacing w:val="-2"/>
        </w:rPr>
        <w:t>ainsi</w:t>
      </w:r>
      <w:r>
        <w:rPr>
          <w:color w:val="231F20"/>
          <w:spacing w:val="-10"/>
        </w:rPr>
        <w:t> </w:t>
      </w:r>
      <w:r>
        <w:rPr>
          <w:color w:val="231F20"/>
          <w:spacing w:val="-2"/>
        </w:rPr>
        <w:t>que</w:t>
      </w:r>
      <w:r>
        <w:rPr>
          <w:color w:val="231F20"/>
          <w:spacing w:val="-9"/>
        </w:rPr>
        <w:t> </w:t>
      </w:r>
      <w:r>
        <w:rPr>
          <w:color w:val="231F20"/>
          <w:spacing w:val="-2"/>
        </w:rPr>
        <w:t>des</w:t>
      </w:r>
      <w:r>
        <w:rPr>
          <w:color w:val="231F20"/>
          <w:spacing w:val="-9"/>
        </w:rPr>
        <w:t> </w:t>
      </w:r>
      <w:r>
        <w:rPr>
          <w:color w:val="231F20"/>
          <w:spacing w:val="-2"/>
        </w:rPr>
        <w:t>journalistes</w:t>
      </w:r>
      <w:r>
        <w:rPr>
          <w:color w:val="231F20"/>
          <w:spacing w:val="-11"/>
        </w:rPr>
        <w:t> </w:t>
      </w:r>
      <w:r>
        <w:rPr>
          <w:color w:val="231F20"/>
          <w:spacing w:val="-2"/>
        </w:rPr>
        <w:t>dénoncent</w:t>
      </w:r>
      <w:r>
        <w:rPr>
          <w:color w:val="231F20"/>
          <w:spacing w:val="-9"/>
        </w:rPr>
        <w:t> </w:t>
      </w:r>
      <w:r>
        <w:rPr>
          <w:color w:val="231F20"/>
          <w:spacing w:val="-2"/>
        </w:rPr>
        <w:t>ce</w:t>
      </w:r>
      <w:r>
        <w:rPr>
          <w:color w:val="231F20"/>
          <w:spacing w:val="-11"/>
        </w:rPr>
        <w:t> </w:t>
      </w:r>
      <w:r>
        <w:rPr>
          <w:color w:val="231F20"/>
          <w:spacing w:val="-2"/>
        </w:rPr>
        <w:t>déni</w:t>
      </w:r>
      <w:r>
        <w:rPr>
          <w:color w:val="231F20"/>
          <w:spacing w:val="-11"/>
        </w:rPr>
        <w:t> </w:t>
      </w:r>
      <w:r>
        <w:rPr>
          <w:color w:val="231F20"/>
          <w:spacing w:val="-2"/>
        </w:rPr>
        <w:t>de </w:t>
      </w:r>
      <w:r>
        <w:rPr>
          <w:color w:val="231F20"/>
        </w:rPr>
        <w:t>démocratie. Ils sont arrêtés</w:t>
      </w:r>
      <w:r>
        <w:rPr>
          <w:color w:val="231F20"/>
          <w:spacing w:val="-15"/>
        </w:rPr>
        <w:t> </w:t>
      </w:r>
      <w:r>
        <w:rPr>
          <w:color w:val="231F20"/>
        </w:rPr>
        <w:t>; des bureaux de médias indépendants sont pillés</w:t>
      </w:r>
      <w:r>
        <w:rPr>
          <w:color w:val="231F20"/>
          <w:spacing w:val="-8"/>
        </w:rPr>
        <w:t> </w:t>
      </w:r>
      <w:r>
        <w:rPr>
          <w:color w:val="231F20"/>
        </w:rPr>
        <w:t>et</w:t>
      </w:r>
      <w:r>
        <w:rPr>
          <w:color w:val="231F20"/>
          <w:spacing w:val="-11"/>
        </w:rPr>
        <w:t> </w:t>
      </w:r>
      <w:r>
        <w:rPr>
          <w:color w:val="231F20"/>
        </w:rPr>
        <w:t>brûlés.</w:t>
      </w:r>
      <w:r>
        <w:rPr>
          <w:color w:val="231F20"/>
          <w:spacing w:val="-8"/>
        </w:rPr>
        <w:t> </w:t>
      </w:r>
      <w:r>
        <w:rPr>
          <w:color w:val="231F20"/>
        </w:rPr>
        <w:t>Les</w:t>
      </w:r>
      <w:r>
        <w:rPr>
          <w:color w:val="231F20"/>
          <w:spacing w:val="-8"/>
        </w:rPr>
        <w:t> </w:t>
      </w:r>
      <w:r>
        <w:rPr>
          <w:color w:val="231F20"/>
        </w:rPr>
        <w:t>donateurs</w:t>
      </w:r>
      <w:r>
        <w:rPr>
          <w:color w:val="231F20"/>
          <w:spacing w:val="-8"/>
        </w:rPr>
        <w:t> </w:t>
      </w:r>
      <w:r>
        <w:rPr>
          <w:color w:val="231F20"/>
        </w:rPr>
        <w:t>étrangers</w:t>
      </w:r>
      <w:r>
        <w:rPr>
          <w:color w:val="231F20"/>
          <w:spacing w:val="-8"/>
        </w:rPr>
        <w:t> </w:t>
      </w:r>
      <w:r>
        <w:rPr>
          <w:color w:val="231F20"/>
        </w:rPr>
        <w:t>abandonnent</w:t>
      </w:r>
      <w:r>
        <w:rPr>
          <w:color w:val="231F20"/>
          <w:spacing w:val="-11"/>
        </w:rPr>
        <w:t> </w:t>
      </w:r>
      <w:r>
        <w:rPr>
          <w:color w:val="231F20"/>
        </w:rPr>
        <w:t>le</w:t>
      </w:r>
      <w:r>
        <w:rPr>
          <w:color w:val="231F20"/>
          <w:spacing w:val="-8"/>
        </w:rPr>
        <w:t> </w:t>
      </w:r>
      <w:r>
        <w:rPr>
          <w:color w:val="231F20"/>
        </w:rPr>
        <w:t>pays.</w:t>
      </w:r>
      <w:r>
        <w:rPr>
          <w:color w:val="231F20"/>
          <w:spacing w:val="-11"/>
        </w:rPr>
        <w:t> </w:t>
      </w:r>
      <w:r>
        <w:rPr>
          <w:color w:val="231F20"/>
        </w:rPr>
        <w:t>Le</w:t>
      </w:r>
      <w:r>
        <w:rPr>
          <w:color w:val="231F20"/>
          <w:spacing w:val="-11"/>
        </w:rPr>
        <w:t> </w:t>
      </w:r>
      <w:r>
        <w:rPr>
          <w:color w:val="231F20"/>
        </w:rPr>
        <w:t>9</w:t>
      </w:r>
      <w:r>
        <w:rPr>
          <w:color w:val="231F20"/>
          <w:spacing w:val="-8"/>
        </w:rPr>
        <w:t> </w:t>
      </w:r>
      <w:r>
        <w:rPr>
          <w:color w:val="231F20"/>
        </w:rPr>
        <w:t>avril 1999, le Colonel Ibrahim Baré Maïnassara est tué dans un coup d’État </w:t>
      </w:r>
      <w:r>
        <w:rPr>
          <w:color w:val="231F20"/>
          <w:spacing w:val="-4"/>
        </w:rPr>
        <w:t>mené</w:t>
      </w:r>
      <w:r>
        <w:rPr>
          <w:color w:val="231F20"/>
          <w:spacing w:val="-11"/>
        </w:rPr>
        <w:t> </w:t>
      </w:r>
      <w:r>
        <w:rPr>
          <w:color w:val="231F20"/>
          <w:spacing w:val="-4"/>
        </w:rPr>
        <w:t>par</w:t>
      </w:r>
      <w:r>
        <w:rPr>
          <w:color w:val="231F20"/>
          <w:spacing w:val="-10"/>
        </w:rPr>
        <w:t> </w:t>
      </w:r>
      <w:r>
        <w:rPr>
          <w:color w:val="231F20"/>
          <w:spacing w:val="-4"/>
        </w:rPr>
        <w:t>le</w:t>
      </w:r>
      <w:r>
        <w:rPr>
          <w:color w:val="231F20"/>
          <w:spacing w:val="-9"/>
        </w:rPr>
        <w:t> </w:t>
      </w:r>
      <w:r>
        <w:rPr>
          <w:color w:val="231F20"/>
          <w:spacing w:val="-4"/>
        </w:rPr>
        <w:t>Commandant</w:t>
      </w:r>
      <w:r>
        <w:rPr>
          <w:color w:val="231F20"/>
          <w:spacing w:val="-11"/>
        </w:rPr>
        <w:t> </w:t>
      </w:r>
      <w:r>
        <w:rPr>
          <w:color w:val="231F20"/>
          <w:spacing w:val="-4"/>
        </w:rPr>
        <w:t>Daouda</w:t>
      </w:r>
      <w:r>
        <w:rPr>
          <w:color w:val="231F20"/>
          <w:spacing w:val="-9"/>
        </w:rPr>
        <w:t> </w:t>
      </w:r>
      <w:r>
        <w:rPr>
          <w:color w:val="231F20"/>
          <w:spacing w:val="-4"/>
        </w:rPr>
        <w:t>Malam</w:t>
      </w:r>
      <w:r>
        <w:rPr>
          <w:color w:val="231F20"/>
          <w:spacing w:val="-9"/>
        </w:rPr>
        <w:t> </w:t>
      </w:r>
      <w:r>
        <w:rPr>
          <w:color w:val="231F20"/>
          <w:spacing w:val="-4"/>
        </w:rPr>
        <w:t>Wanké</w:t>
      </w:r>
      <w:r>
        <w:rPr>
          <w:color w:val="231F20"/>
          <w:spacing w:val="-9"/>
        </w:rPr>
        <w:t> </w:t>
      </w:r>
      <w:r>
        <w:rPr>
          <w:color w:val="231F20"/>
          <w:spacing w:val="-4"/>
        </w:rPr>
        <w:t>qui</w:t>
      </w:r>
      <w:r>
        <w:rPr>
          <w:color w:val="231F20"/>
          <w:spacing w:val="-8"/>
        </w:rPr>
        <w:t> </w:t>
      </w:r>
      <w:r>
        <w:rPr>
          <w:color w:val="231F20"/>
          <w:spacing w:val="-4"/>
        </w:rPr>
        <w:t>établit</w:t>
      </w:r>
      <w:r>
        <w:rPr>
          <w:color w:val="231F20"/>
          <w:spacing w:val="-9"/>
        </w:rPr>
        <w:t> </w:t>
      </w:r>
      <w:r>
        <w:rPr>
          <w:color w:val="231F20"/>
          <w:spacing w:val="-4"/>
        </w:rPr>
        <w:t>un</w:t>
      </w:r>
      <w:r>
        <w:rPr>
          <w:color w:val="231F20"/>
          <w:spacing w:val="-9"/>
        </w:rPr>
        <w:t> </w:t>
      </w:r>
      <w:r>
        <w:rPr>
          <w:color w:val="231F20"/>
          <w:spacing w:val="-4"/>
        </w:rPr>
        <w:t>régime</w:t>
      </w:r>
      <w:r>
        <w:rPr>
          <w:color w:val="231F20"/>
          <w:spacing w:val="-11"/>
        </w:rPr>
        <w:t> </w:t>
      </w:r>
      <w:r>
        <w:rPr>
          <w:color w:val="231F20"/>
          <w:spacing w:val="-4"/>
        </w:rPr>
        <w:t>de </w:t>
      </w:r>
      <w:r>
        <w:rPr>
          <w:color w:val="231F20"/>
        </w:rPr>
        <w:t>transition pour un retour</w:t>
      </w:r>
      <w:r>
        <w:rPr>
          <w:color w:val="231F20"/>
          <w:spacing w:val="-1"/>
        </w:rPr>
        <w:t> </w:t>
      </w:r>
      <w:r>
        <w:rPr>
          <w:color w:val="231F20"/>
        </w:rPr>
        <w:t>à la démocratie.</w:t>
      </w:r>
    </w:p>
    <w:p>
      <w:pPr>
        <w:pStyle w:val="BodyText"/>
        <w:spacing w:before="121"/>
        <w:ind w:right="105" w:firstLine="283"/>
      </w:pPr>
      <w:r>
        <w:rPr>
          <w:color w:val="231F20"/>
        </w:rPr>
        <w:t>MamadouTandja gagne les élections de 1999. La nouvelle Constitution du Niger est approuvée en juillet 1999. Elle restaure le </w:t>
      </w:r>
      <w:r>
        <w:rPr>
          <w:color w:val="231F20"/>
          <w:spacing w:val="-4"/>
        </w:rPr>
        <w:t>régime</w:t>
      </w:r>
      <w:r>
        <w:rPr>
          <w:color w:val="231F20"/>
          <w:spacing w:val="-10"/>
        </w:rPr>
        <w:t> </w:t>
      </w:r>
      <w:r>
        <w:rPr>
          <w:color w:val="231F20"/>
          <w:spacing w:val="-4"/>
        </w:rPr>
        <w:t>semi-présidentiel</w:t>
      </w:r>
      <w:r>
        <w:rPr>
          <w:color w:val="231F20"/>
          <w:spacing w:val="-11"/>
        </w:rPr>
        <w:t> </w:t>
      </w:r>
      <w:r>
        <w:rPr>
          <w:color w:val="231F20"/>
          <w:spacing w:val="-4"/>
        </w:rPr>
        <w:t>de</w:t>
      </w:r>
      <w:r>
        <w:rPr>
          <w:color w:val="231F20"/>
          <w:spacing w:val="-10"/>
        </w:rPr>
        <w:t> </w:t>
      </w:r>
      <w:r>
        <w:rPr>
          <w:color w:val="231F20"/>
          <w:spacing w:val="-4"/>
        </w:rPr>
        <w:t>la</w:t>
      </w:r>
      <w:r>
        <w:rPr>
          <w:color w:val="231F20"/>
          <w:spacing w:val="-10"/>
        </w:rPr>
        <w:t> </w:t>
      </w:r>
      <w:r>
        <w:rPr>
          <w:color w:val="231F20"/>
          <w:spacing w:val="-4"/>
        </w:rPr>
        <w:t>Constitution</w:t>
      </w:r>
      <w:r>
        <w:rPr>
          <w:color w:val="231F20"/>
          <w:spacing w:val="-9"/>
        </w:rPr>
        <w:t> </w:t>
      </w:r>
      <w:r>
        <w:rPr>
          <w:color w:val="231F20"/>
          <w:spacing w:val="-4"/>
        </w:rPr>
        <w:t>de</w:t>
      </w:r>
      <w:r>
        <w:rPr>
          <w:color w:val="231F20"/>
          <w:spacing w:val="-9"/>
        </w:rPr>
        <w:t> </w:t>
      </w:r>
      <w:r>
        <w:rPr>
          <w:color w:val="231F20"/>
          <w:spacing w:val="-4"/>
        </w:rPr>
        <w:t>1992</w:t>
      </w:r>
      <w:r>
        <w:rPr>
          <w:color w:val="231F20"/>
          <w:spacing w:val="-11"/>
        </w:rPr>
        <w:t> </w:t>
      </w:r>
      <w:r>
        <w:rPr>
          <w:color w:val="231F20"/>
          <w:spacing w:val="-4"/>
        </w:rPr>
        <w:t>où</w:t>
      </w:r>
      <w:r>
        <w:rPr>
          <w:color w:val="231F20"/>
          <w:spacing w:val="-9"/>
        </w:rPr>
        <w:t> </w:t>
      </w:r>
      <w:r>
        <w:rPr>
          <w:color w:val="231F20"/>
          <w:spacing w:val="-4"/>
        </w:rPr>
        <w:t>le</w:t>
      </w:r>
      <w:r>
        <w:rPr>
          <w:color w:val="231F20"/>
          <w:spacing w:val="-10"/>
        </w:rPr>
        <w:t> </w:t>
      </w:r>
      <w:r>
        <w:rPr>
          <w:color w:val="231F20"/>
          <w:spacing w:val="-4"/>
        </w:rPr>
        <w:t>président</w:t>
      </w:r>
      <w:r>
        <w:rPr>
          <w:color w:val="231F20"/>
          <w:spacing w:val="-7"/>
        </w:rPr>
        <w:t> </w:t>
      </w:r>
      <w:r>
        <w:rPr>
          <w:color w:val="231F20"/>
          <w:spacing w:val="-4"/>
        </w:rPr>
        <w:t>est</w:t>
      </w:r>
      <w:r>
        <w:rPr>
          <w:color w:val="231F20"/>
          <w:spacing w:val="-7"/>
        </w:rPr>
        <w:t> </w:t>
      </w:r>
      <w:r>
        <w:rPr>
          <w:color w:val="231F20"/>
          <w:spacing w:val="-4"/>
        </w:rPr>
        <w:t>élu au</w:t>
      </w:r>
      <w:r>
        <w:rPr>
          <w:color w:val="231F20"/>
          <w:spacing w:val="-11"/>
        </w:rPr>
        <w:t> </w:t>
      </w:r>
      <w:r>
        <w:rPr>
          <w:color w:val="231F20"/>
          <w:spacing w:val="-4"/>
        </w:rPr>
        <w:t>suffrage</w:t>
      </w:r>
      <w:r>
        <w:rPr>
          <w:color w:val="231F20"/>
          <w:spacing w:val="-8"/>
        </w:rPr>
        <w:t> </w:t>
      </w:r>
      <w:r>
        <w:rPr>
          <w:color w:val="231F20"/>
          <w:spacing w:val="-4"/>
        </w:rPr>
        <w:t>universel</w:t>
      </w:r>
      <w:r>
        <w:rPr>
          <w:color w:val="231F20"/>
          <w:spacing w:val="-11"/>
        </w:rPr>
        <w:t> </w:t>
      </w:r>
      <w:r>
        <w:rPr>
          <w:color w:val="231F20"/>
          <w:spacing w:val="-4"/>
        </w:rPr>
        <w:t>pour</w:t>
      </w:r>
      <w:r>
        <w:rPr>
          <w:color w:val="231F20"/>
          <w:spacing w:val="-11"/>
        </w:rPr>
        <w:t> </w:t>
      </w:r>
      <w:r>
        <w:rPr>
          <w:color w:val="231F20"/>
          <w:spacing w:val="-4"/>
        </w:rPr>
        <w:t>5</w:t>
      </w:r>
      <w:r>
        <w:rPr>
          <w:color w:val="231F20"/>
          <w:spacing w:val="-9"/>
        </w:rPr>
        <w:t> </w:t>
      </w:r>
      <w:r>
        <w:rPr>
          <w:color w:val="231F20"/>
          <w:spacing w:val="-4"/>
        </w:rPr>
        <w:t>ans</w:t>
      </w:r>
      <w:r>
        <w:rPr>
          <w:color w:val="231F20"/>
          <w:spacing w:val="-9"/>
        </w:rPr>
        <w:t> </w:t>
      </w:r>
      <w:r>
        <w:rPr>
          <w:color w:val="231F20"/>
          <w:spacing w:val="-4"/>
        </w:rPr>
        <w:t>et</w:t>
      </w:r>
      <w:r>
        <w:rPr>
          <w:color w:val="231F20"/>
          <w:spacing w:val="-9"/>
        </w:rPr>
        <w:t> </w:t>
      </w:r>
      <w:r>
        <w:rPr>
          <w:color w:val="231F20"/>
          <w:spacing w:val="-4"/>
        </w:rPr>
        <w:t>nomme</w:t>
      </w:r>
      <w:r>
        <w:rPr>
          <w:color w:val="231F20"/>
          <w:spacing w:val="-9"/>
        </w:rPr>
        <w:t> </w:t>
      </w:r>
      <w:r>
        <w:rPr>
          <w:color w:val="231F20"/>
          <w:spacing w:val="-4"/>
        </w:rPr>
        <w:t>le</w:t>
      </w:r>
      <w:r>
        <w:rPr>
          <w:color w:val="231F20"/>
          <w:spacing w:val="-11"/>
        </w:rPr>
        <w:t> </w:t>
      </w:r>
      <w:r>
        <w:rPr>
          <w:color w:val="231F20"/>
          <w:spacing w:val="-4"/>
        </w:rPr>
        <w:t>Premier</w:t>
      </w:r>
      <w:r>
        <w:rPr>
          <w:color w:val="231F20"/>
          <w:spacing w:val="-11"/>
        </w:rPr>
        <w:t> </w:t>
      </w:r>
      <w:r>
        <w:rPr>
          <w:color w:val="231F20"/>
          <w:spacing w:val="-4"/>
        </w:rPr>
        <w:t>ministre</w:t>
      </w:r>
      <w:r>
        <w:rPr>
          <w:color w:val="231F20"/>
          <w:spacing w:val="-9"/>
        </w:rPr>
        <w:t> </w:t>
      </w:r>
      <w:r>
        <w:rPr>
          <w:color w:val="231F20"/>
          <w:spacing w:val="-4"/>
        </w:rPr>
        <w:t>avec</w:t>
      </w:r>
      <w:r>
        <w:rPr>
          <w:color w:val="231F20"/>
          <w:spacing w:val="-11"/>
        </w:rPr>
        <w:t> </w:t>
      </w:r>
      <w:r>
        <w:rPr>
          <w:color w:val="231F20"/>
          <w:spacing w:val="-4"/>
        </w:rPr>
        <w:t>lequel </w:t>
      </w:r>
      <w:r>
        <w:rPr>
          <w:color w:val="231F20"/>
        </w:rPr>
        <w:t>il partage le pouvoir Exécutif.</w:t>
      </w:r>
    </w:p>
    <w:p>
      <w:pPr>
        <w:pStyle w:val="BodyText"/>
        <w:spacing w:before="120"/>
        <w:ind w:right="108" w:firstLine="283"/>
      </w:pPr>
      <w:r>
        <w:rPr>
          <w:color w:val="231F20"/>
        </w:rPr>
        <w:t>En août 2002, le nouveau pouvoir est confronté à une mutinerie </w:t>
      </w:r>
      <w:r>
        <w:rPr>
          <w:color w:val="231F20"/>
          <w:spacing w:val="-4"/>
        </w:rPr>
        <w:t>militaire</w:t>
      </w:r>
      <w:r>
        <w:rPr>
          <w:color w:val="231F20"/>
          <w:spacing w:val="-11"/>
        </w:rPr>
        <w:t> </w:t>
      </w:r>
      <w:r>
        <w:rPr>
          <w:color w:val="231F20"/>
          <w:spacing w:val="-4"/>
        </w:rPr>
        <w:t>dans</w:t>
      </w:r>
      <w:r>
        <w:rPr>
          <w:color w:val="231F20"/>
          <w:spacing w:val="-11"/>
        </w:rPr>
        <w:t> </w:t>
      </w:r>
      <w:r>
        <w:rPr>
          <w:color w:val="231F20"/>
          <w:spacing w:val="-4"/>
        </w:rPr>
        <w:t>le</w:t>
      </w:r>
      <w:r>
        <w:rPr>
          <w:color w:val="231F20"/>
          <w:spacing w:val="-11"/>
        </w:rPr>
        <w:t> </w:t>
      </w:r>
      <w:r>
        <w:rPr>
          <w:color w:val="231F20"/>
          <w:spacing w:val="-4"/>
        </w:rPr>
        <w:t>Sud-Est</w:t>
      </w:r>
      <w:r>
        <w:rPr>
          <w:color w:val="231F20"/>
          <w:spacing w:val="-11"/>
        </w:rPr>
        <w:t> </w:t>
      </w:r>
      <w:r>
        <w:rPr>
          <w:color w:val="231F20"/>
          <w:spacing w:val="-4"/>
        </w:rPr>
        <w:t>du</w:t>
      </w:r>
      <w:r>
        <w:rPr>
          <w:color w:val="231F20"/>
          <w:spacing w:val="-10"/>
        </w:rPr>
        <w:t> </w:t>
      </w:r>
      <w:r>
        <w:rPr>
          <w:color w:val="231F20"/>
          <w:spacing w:val="-4"/>
        </w:rPr>
        <w:t>pays.</w:t>
      </w:r>
      <w:r>
        <w:rPr>
          <w:color w:val="231F20"/>
          <w:spacing w:val="-10"/>
        </w:rPr>
        <w:t> </w:t>
      </w:r>
      <w:r>
        <w:rPr>
          <w:color w:val="231F20"/>
          <w:spacing w:val="-4"/>
        </w:rPr>
        <w:t>L’état</w:t>
      </w:r>
      <w:r>
        <w:rPr>
          <w:color w:val="231F20"/>
          <w:spacing w:val="-11"/>
        </w:rPr>
        <w:t> </w:t>
      </w:r>
      <w:r>
        <w:rPr>
          <w:color w:val="231F20"/>
          <w:spacing w:val="-4"/>
        </w:rPr>
        <w:t>d’urgence</w:t>
      </w:r>
      <w:r>
        <w:rPr>
          <w:color w:val="231F20"/>
          <w:spacing w:val="-10"/>
        </w:rPr>
        <w:t> </w:t>
      </w:r>
      <w:r>
        <w:rPr>
          <w:color w:val="231F20"/>
          <w:spacing w:val="-4"/>
        </w:rPr>
        <w:t>est</w:t>
      </w:r>
      <w:r>
        <w:rPr>
          <w:color w:val="231F20"/>
          <w:spacing w:val="-9"/>
        </w:rPr>
        <w:t> </w:t>
      </w:r>
      <w:r>
        <w:rPr>
          <w:color w:val="231F20"/>
          <w:spacing w:val="-4"/>
        </w:rPr>
        <w:t>déclaré.</w:t>
      </w:r>
      <w:r>
        <w:rPr>
          <w:color w:val="231F20"/>
          <w:spacing w:val="-10"/>
        </w:rPr>
        <w:t> </w:t>
      </w:r>
      <w:r>
        <w:rPr>
          <w:color w:val="231F20"/>
          <w:spacing w:val="-4"/>
        </w:rPr>
        <w:t>Les</w:t>
      </w:r>
      <w:r>
        <w:rPr>
          <w:color w:val="231F20"/>
          <w:spacing w:val="-11"/>
        </w:rPr>
        <w:t> </w:t>
      </w:r>
      <w:r>
        <w:rPr>
          <w:color w:val="231F20"/>
          <w:spacing w:val="-4"/>
        </w:rPr>
        <w:t>mutins </w:t>
      </w:r>
      <w:r>
        <w:rPr>
          <w:color w:val="231F20"/>
        </w:rPr>
        <w:t>sont rapidement ramenés dans leurs casernes ou arrêtés par les</w:t>
      </w:r>
      <w:r>
        <w:rPr>
          <w:color w:val="231F20"/>
          <w:spacing w:val="-1"/>
        </w:rPr>
        <w:t> </w:t>
      </w:r>
      <w:r>
        <w:rPr>
          <w:color w:val="231F20"/>
        </w:rPr>
        <w:t>troupes fidèles au gouvernement.</w:t>
      </w:r>
    </w:p>
    <w:p>
      <w:pPr>
        <w:spacing w:after="0"/>
        <w:sectPr>
          <w:pgSz w:w="8790" w:h="13610"/>
          <w:pgMar w:header="0" w:footer="802" w:top="1060" w:bottom="1000" w:left="880" w:right="880"/>
        </w:sectPr>
      </w:pPr>
    </w:p>
    <w:p>
      <w:pPr>
        <w:pStyle w:val="BodyText"/>
        <w:spacing w:before="66"/>
        <w:ind w:right="103" w:firstLine="283"/>
      </w:pPr>
      <w:r>
        <w:rPr>
          <w:color w:val="231F20"/>
          <w:spacing w:val="-4"/>
        </w:rPr>
        <w:t>En</w:t>
      </w:r>
      <w:r>
        <w:rPr>
          <w:color w:val="231F20"/>
          <w:spacing w:val="-11"/>
        </w:rPr>
        <w:t> </w:t>
      </w:r>
      <w:r>
        <w:rPr>
          <w:color w:val="231F20"/>
          <w:spacing w:val="-4"/>
        </w:rPr>
        <w:t>décembre</w:t>
      </w:r>
      <w:r>
        <w:rPr>
          <w:color w:val="231F20"/>
          <w:spacing w:val="-11"/>
        </w:rPr>
        <w:t> </w:t>
      </w:r>
      <w:r>
        <w:rPr>
          <w:color w:val="231F20"/>
          <w:spacing w:val="-4"/>
        </w:rPr>
        <w:t>2004,</w:t>
      </w:r>
      <w:r>
        <w:rPr>
          <w:color w:val="231F20"/>
          <w:spacing w:val="-11"/>
        </w:rPr>
        <w:t> </w:t>
      </w:r>
      <w:r>
        <w:rPr>
          <w:color w:val="231F20"/>
          <w:spacing w:val="-4"/>
        </w:rPr>
        <w:t>Mamadou</w:t>
      </w:r>
      <w:r>
        <w:rPr>
          <w:color w:val="231F20"/>
          <w:spacing w:val="-11"/>
        </w:rPr>
        <w:t> </w:t>
      </w:r>
      <w:r>
        <w:rPr>
          <w:color w:val="231F20"/>
          <w:spacing w:val="-4"/>
        </w:rPr>
        <w:t>Tandja</w:t>
      </w:r>
      <w:r>
        <w:rPr>
          <w:color w:val="231F20"/>
          <w:spacing w:val="-11"/>
        </w:rPr>
        <w:t> </w:t>
      </w:r>
      <w:r>
        <w:rPr>
          <w:color w:val="231F20"/>
          <w:spacing w:val="-4"/>
        </w:rPr>
        <w:t>est</w:t>
      </w:r>
      <w:r>
        <w:rPr>
          <w:color w:val="231F20"/>
          <w:spacing w:val="-11"/>
        </w:rPr>
        <w:t> </w:t>
      </w:r>
      <w:r>
        <w:rPr>
          <w:color w:val="231F20"/>
          <w:spacing w:val="-4"/>
        </w:rPr>
        <w:t>réélu.</w:t>
      </w:r>
      <w:r>
        <w:rPr>
          <w:color w:val="231F20"/>
          <w:spacing w:val="-11"/>
        </w:rPr>
        <w:t> </w:t>
      </w:r>
      <w:r>
        <w:rPr>
          <w:color w:val="231F20"/>
          <w:spacing w:val="-4"/>
        </w:rPr>
        <w:t>Le</w:t>
      </w:r>
      <w:r>
        <w:rPr>
          <w:color w:val="231F20"/>
          <w:spacing w:val="-11"/>
        </w:rPr>
        <w:t> </w:t>
      </w:r>
      <w:r>
        <w:rPr>
          <w:color w:val="231F20"/>
          <w:spacing w:val="-4"/>
        </w:rPr>
        <w:t>4</w:t>
      </w:r>
      <w:r>
        <w:rPr>
          <w:color w:val="231F20"/>
          <w:spacing w:val="-11"/>
        </w:rPr>
        <w:t> </w:t>
      </w:r>
      <w:r>
        <w:rPr>
          <w:color w:val="231F20"/>
          <w:spacing w:val="-4"/>
        </w:rPr>
        <w:t>août</w:t>
      </w:r>
      <w:r>
        <w:rPr>
          <w:color w:val="231F20"/>
          <w:spacing w:val="-11"/>
        </w:rPr>
        <w:t> </w:t>
      </w:r>
      <w:r>
        <w:rPr>
          <w:color w:val="231F20"/>
          <w:spacing w:val="-4"/>
        </w:rPr>
        <w:t>2009,</w:t>
      </w:r>
      <w:r>
        <w:rPr>
          <w:color w:val="231F20"/>
          <w:spacing w:val="-11"/>
        </w:rPr>
        <w:t> </w:t>
      </w:r>
      <w:r>
        <w:rPr>
          <w:color w:val="231F20"/>
          <w:spacing w:val="-4"/>
        </w:rPr>
        <w:t>il</w:t>
      </w:r>
      <w:r>
        <w:rPr>
          <w:color w:val="231F20"/>
          <w:spacing w:val="-11"/>
        </w:rPr>
        <w:t> </w:t>
      </w:r>
      <w:r>
        <w:rPr>
          <w:color w:val="231F20"/>
          <w:spacing w:val="-4"/>
        </w:rPr>
        <w:t>lance </w:t>
      </w:r>
      <w:r>
        <w:rPr>
          <w:color w:val="231F20"/>
        </w:rPr>
        <w:t>un</w:t>
      </w:r>
      <w:r>
        <w:rPr>
          <w:color w:val="231F20"/>
          <w:spacing w:val="-15"/>
        </w:rPr>
        <w:t> </w:t>
      </w:r>
      <w:r>
        <w:rPr>
          <w:color w:val="231F20"/>
        </w:rPr>
        <w:t>référendum</w:t>
      </w:r>
      <w:r>
        <w:rPr>
          <w:color w:val="231F20"/>
          <w:spacing w:val="-15"/>
        </w:rPr>
        <w:t> </w:t>
      </w:r>
      <w:r>
        <w:rPr>
          <w:color w:val="231F20"/>
        </w:rPr>
        <w:t>visant</w:t>
      </w:r>
      <w:r>
        <w:rPr>
          <w:color w:val="231F20"/>
          <w:spacing w:val="-15"/>
        </w:rPr>
        <w:t> </w:t>
      </w:r>
      <w:r>
        <w:rPr>
          <w:color w:val="231F20"/>
        </w:rPr>
        <w:t>à</w:t>
      </w:r>
      <w:r>
        <w:rPr>
          <w:color w:val="231F20"/>
          <w:spacing w:val="-15"/>
        </w:rPr>
        <w:t> </w:t>
      </w:r>
      <w:r>
        <w:rPr>
          <w:color w:val="231F20"/>
        </w:rPr>
        <w:t>des</w:t>
      </w:r>
      <w:r>
        <w:rPr>
          <w:color w:val="231F20"/>
          <w:spacing w:val="-15"/>
        </w:rPr>
        <w:t> </w:t>
      </w:r>
      <w:r>
        <w:rPr>
          <w:color w:val="231F20"/>
        </w:rPr>
        <w:t>modifications</w:t>
      </w:r>
      <w:r>
        <w:rPr>
          <w:color w:val="231F20"/>
          <w:spacing w:val="-15"/>
        </w:rPr>
        <w:t> </w:t>
      </w:r>
      <w:r>
        <w:rPr>
          <w:color w:val="231F20"/>
        </w:rPr>
        <w:t>dans</w:t>
      </w:r>
      <w:r>
        <w:rPr>
          <w:color w:val="231F20"/>
          <w:spacing w:val="-15"/>
        </w:rPr>
        <w:t> </w:t>
      </w:r>
      <w:r>
        <w:rPr>
          <w:color w:val="231F20"/>
        </w:rPr>
        <w:t>la</w:t>
      </w:r>
      <w:r>
        <w:rPr>
          <w:color w:val="231F20"/>
          <w:spacing w:val="-15"/>
        </w:rPr>
        <w:t> </w:t>
      </w:r>
      <w:r>
        <w:rPr>
          <w:color w:val="231F20"/>
        </w:rPr>
        <w:t>Constitution.</w:t>
      </w:r>
      <w:r>
        <w:rPr>
          <w:color w:val="231F20"/>
          <w:spacing w:val="-15"/>
        </w:rPr>
        <w:t> </w:t>
      </w:r>
      <w:r>
        <w:rPr>
          <w:color w:val="231F20"/>
        </w:rPr>
        <w:t>Les</w:t>
      </w:r>
      <w:r>
        <w:rPr>
          <w:color w:val="231F20"/>
          <w:spacing w:val="-15"/>
        </w:rPr>
        <w:t> </w:t>
      </w:r>
      <w:r>
        <w:rPr>
          <w:color w:val="231F20"/>
        </w:rPr>
        <w:t>deux grands changements proposés sont la non limitation du nombre de mandats présidentiels et le passage d’un régime semi-présidentiel à un régime présidentiel. Le référendum est jugé illégal par la Cour constitutionnelle. Mamadou Tandja n’en a cure. Il obtient même une extension exceptionnelle de 3 ans de son mandat pour «</w:t>
      </w:r>
      <w:r>
        <w:rPr>
          <w:color w:val="231F20"/>
          <w:spacing w:val="-12"/>
        </w:rPr>
        <w:t> </w:t>
      </w:r>
      <w:r>
        <w:rPr>
          <w:color w:val="231F20"/>
        </w:rPr>
        <w:t>achever les chantiers entrepris</w:t>
      </w:r>
      <w:r>
        <w:rPr>
          <w:color w:val="231F20"/>
          <w:spacing w:val="-15"/>
        </w:rPr>
        <w:t> </w:t>
      </w:r>
      <w:r>
        <w:rPr>
          <w:color w:val="231F20"/>
        </w:rPr>
        <w:t>». La tenue du référendum est précédée et suivie de grandes manifestations et contestations.</w:t>
      </w:r>
    </w:p>
    <w:p>
      <w:pPr>
        <w:pStyle w:val="BodyText"/>
        <w:spacing w:before="121"/>
        <w:ind w:right="110" w:firstLine="283"/>
      </w:pPr>
      <w:r>
        <w:rPr>
          <w:color w:val="231F20"/>
        </w:rPr>
        <w:t>Le</w:t>
      </w:r>
      <w:r>
        <w:rPr>
          <w:color w:val="231F20"/>
          <w:spacing w:val="-4"/>
        </w:rPr>
        <w:t> </w:t>
      </w:r>
      <w:r>
        <w:rPr>
          <w:color w:val="231F20"/>
        </w:rPr>
        <w:t>18</w:t>
      </w:r>
      <w:r>
        <w:rPr>
          <w:color w:val="231F20"/>
          <w:spacing w:val="-4"/>
        </w:rPr>
        <w:t> </w:t>
      </w:r>
      <w:r>
        <w:rPr>
          <w:color w:val="231F20"/>
        </w:rPr>
        <w:t>février</w:t>
      </w:r>
      <w:r>
        <w:rPr>
          <w:color w:val="231F20"/>
          <w:spacing w:val="-4"/>
        </w:rPr>
        <w:t> </w:t>
      </w:r>
      <w:r>
        <w:rPr>
          <w:color w:val="231F20"/>
        </w:rPr>
        <w:t>2010,</w:t>
      </w:r>
      <w:r>
        <w:rPr>
          <w:color w:val="231F20"/>
          <w:spacing w:val="-3"/>
        </w:rPr>
        <w:t> </w:t>
      </w:r>
      <w:r>
        <w:rPr>
          <w:color w:val="231F20"/>
        </w:rPr>
        <w:t>Mamadou</w:t>
      </w:r>
      <w:r>
        <w:rPr>
          <w:color w:val="231F20"/>
          <w:spacing w:val="-4"/>
        </w:rPr>
        <w:t> </w:t>
      </w:r>
      <w:r>
        <w:rPr>
          <w:color w:val="231F20"/>
        </w:rPr>
        <w:t>Tandja</w:t>
      </w:r>
      <w:r>
        <w:rPr>
          <w:color w:val="231F20"/>
          <w:spacing w:val="-5"/>
        </w:rPr>
        <w:t> </w:t>
      </w:r>
      <w:r>
        <w:rPr>
          <w:color w:val="231F20"/>
        </w:rPr>
        <w:t>est</w:t>
      </w:r>
      <w:r>
        <w:rPr>
          <w:color w:val="231F20"/>
          <w:spacing w:val="-4"/>
        </w:rPr>
        <w:t> </w:t>
      </w:r>
      <w:r>
        <w:rPr>
          <w:color w:val="231F20"/>
        </w:rPr>
        <w:t>renversé</w:t>
      </w:r>
      <w:r>
        <w:rPr>
          <w:color w:val="231F20"/>
          <w:spacing w:val="-6"/>
        </w:rPr>
        <w:t> </w:t>
      </w:r>
      <w:r>
        <w:rPr>
          <w:color w:val="231F20"/>
        </w:rPr>
        <w:t>par</w:t>
      </w:r>
      <w:r>
        <w:rPr>
          <w:color w:val="231F20"/>
          <w:spacing w:val="-4"/>
        </w:rPr>
        <w:t> </w:t>
      </w:r>
      <w:r>
        <w:rPr>
          <w:color w:val="231F20"/>
        </w:rPr>
        <w:t>des</w:t>
      </w:r>
      <w:r>
        <w:rPr>
          <w:color w:val="231F20"/>
          <w:spacing w:val="-5"/>
        </w:rPr>
        <w:t> </w:t>
      </w:r>
      <w:r>
        <w:rPr>
          <w:color w:val="231F20"/>
        </w:rPr>
        <w:t>militaires qui</w:t>
      </w:r>
      <w:r>
        <w:rPr>
          <w:color w:val="231F20"/>
          <w:spacing w:val="-1"/>
        </w:rPr>
        <w:t> </w:t>
      </w:r>
      <w:r>
        <w:rPr>
          <w:color w:val="231F20"/>
        </w:rPr>
        <w:t>proclament</w:t>
      </w:r>
      <w:r>
        <w:rPr>
          <w:color w:val="231F20"/>
          <w:spacing w:val="-2"/>
        </w:rPr>
        <w:t> </w:t>
      </w:r>
      <w:r>
        <w:rPr>
          <w:color w:val="231F20"/>
        </w:rPr>
        <w:t>la</w:t>
      </w:r>
      <w:r>
        <w:rPr>
          <w:color w:val="231F20"/>
          <w:spacing w:val="-1"/>
        </w:rPr>
        <w:t> </w:t>
      </w:r>
      <w:r>
        <w:rPr>
          <w:color w:val="231F20"/>
        </w:rPr>
        <w:t>7ème</w:t>
      </w:r>
      <w:r>
        <w:rPr>
          <w:color w:val="231F20"/>
          <w:spacing w:val="-3"/>
        </w:rPr>
        <w:t> </w:t>
      </w:r>
      <w:r>
        <w:rPr>
          <w:color w:val="231F20"/>
        </w:rPr>
        <w:t>République,</w:t>
      </w:r>
      <w:r>
        <w:rPr>
          <w:color w:val="231F20"/>
          <w:spacing w:val="-3"/>
        </w:rPr>
        <w:t> </w:t>
      </w:r>
      <w:r>
        <w:rPr>
          <w:color w:val="231F20"/>
        </w:rPr>
        <w:t>le 25</w:t>
      </w:r>
      <w:r>
        <w:rPr>
          <w:color w:val="231F20"/>
          <w:spacing w:val="-3"/>
        </w:rPr>
        <w:t> </w:t>
      </w:r>
      <w:r>
        <w:rPr>
          <w:color w:val="231F20"/>
        </w:rPr>
        <w:t>novembre.</w:t>
      </w:r>
    </w:p>
    <w:p>
      <w:pPr>
        <w:pStyle w:val="BodyText"/>
        <w:spacing w:before="240"/>
        <w:ind w:left="0"/>
        <w:jc w:val="left"/>
      </w:pPr>
    </w:p>
    <w:p>
      <w:pPr>
        <w:pStyle w:val="Heading3"/>
        <w:spacing w:before="1"/>
        <w:jc w:val="left"/>
        <w:rPr>
          <w:i/>
        </w:rPr>
      </w:pPr>
      <w:bookmarkStart w:name="_TOC_250030" w:id="13"/>
      <w:r>
        <w:rPr>
          <w:i/>
          <w:color w:val="231F20"/>
          <w:spacing w:val="-2"/>
        </w:rPr>
        <w:t>En</w:t>
      </w:r>
      <w:r>
        <w:rPr>
          <w:i/>
          <w:color w:val="231F20"/>
          <w:spacing w:val="-14"/>
        </w:rPr>
        <w:t> </w:t>
      </w:r>
      <w:r>
        <w:rPr>
          <w:i/>
          <w:color w:val="231F20"/>
          <w:spacing w:val="-2"/>
        </w:rPr>
        <w:t>2011,</w:t>
      </w:r>
      <w:r>
        <w:rPr>
          <w:i/>
          <w:color w:val="231F20"/>
          <w:spacing w:val="-9"/>
        </w:rPr>
        <w:t> </w:t>
      </w:r>
      <w:r>
        <w:rPr>
          <w:i/>
          <w:color w:val="231F20"/>
          <w:spacing w:val="-2"/>
        </w:rPr>
        <w:t>Mahamadou</w:t>
      </w:r>
      <w:r>
        <w:rPr>
          <w:i/>
          <w:color w:val="231F20"/>
          <w:spacing w:val="-11"/>
        </w:rPr>
        <w:t> </w:t>
      </w:r>
      <w:r>
        <w:rPr>
          <w:i/>
          <w:color w:val="231F20"/>
          <w:spacing w:val="-2"/>
        </w:rPr>
        <w:t>Issoufou,</w:t>
      </w:r>
      <w:r>
        <w:rPr>
          <w:i/>
          <w:color w:val="231F20"/>
          <w:spacing w:val="-11"/>
        </w:rPr>
        <w:t> </w:t>
      </w:r>
      <w:r>
        <w:rPr>
          <w:i/>
          <w:color w:val="231F20"/>
          <w:spacing w:val="-2"/>
        </w:rPr>
        <w:t>remporte</w:t>
      </w:r>
      <w:r>
        <w:rPr>
          <w:i/>
          <w:color w:val="231F20"/>
          <w:spacing w:val="-11"/>
        </w:rPr>
        <w:t> </w:t>
      </w:r>
      <w:r>
        <w:rPr>
          <w:i/>
          <w:color w:val="231F20"/>
          <w:spacing w:val="-2"/>
        </w:rPr>
        <w:t>le</w:t>
      </w:r>
      <w:r>
        <w:rPr>
          <w:i/>
          <w:color w:val="231F20"/>
          <w:spacing w:val="-12"/>
        </w:rPr>
        <w:t> </w:t>
      </w:r>
      <w:r>
        <w:rPr>
          <w:i/>
          <w:color w:val="231F20"/>
          <w:spacing w:val="-2"/>
        </w:rPr>
        <w:t>scrutin</w:t>
      </w:r>
      <w:r>
        <w:rPr>
          <w:i/>
          <w:color w:val="231F20"/>
          <w:spacing w:val="-8"/>
        </w:rPr>
        <w:t> </w:t>
      </w:r>
      <w:bookmarkEnd w:id="13"/>
      <w:r>
        <w:rPr>
          <w:i/>
          <w:color w:val="231F20"/>
          <w:spacing w:val="-2"/>
        </w:rPr>
        <w:t>présidentiel.</w:t>
      </w:r>
    </w:p>
    <w:p>
      <w:pPr>
        <w:pStyle w:val="BodyText"/>
        <w:spacing w:before="255"/>
        <w:ind w:right="102" w:firstLine="283"/>
      </w:pPr>
      <w:r>
        <w:rPr>
          <w:color w:val="231F20"/>
        </w:rPr>
        <w:t>Ingénieur des mines, le nouveau président de la république avait </w:t>
      </w:r>
      <w:r>
        <w:rPr>
          <w:color w:val="231F20"/>
          <w:spacing w:val="-2"/>
        </w:rPr>
        <w:t>occupé</w:t>
      </w:r>
      <w:r>
        <w:rPr>
          <w:color w:val="231F20"/>
          <w:spacing w:val="-8"/>
        </w:rPr>
        <w:t> </w:t>
      </w:r>
      <w:r>
        <w:rPr>
          <w:color w:val="231F20"/>
          <w:spacing w:val="-2"/>
        </w:rPr>
        <w:t>plusieurs</w:t>
      </w:r>
      <w:r>
        <w:rPr>
          <w:color w:val="231F20"/>
          <w:spacing w:val="-9"/>
        </w:rPr>
        <w:t> </w:t>
      </w:r>
      <w:r>
        <w:rPr>
          <w:color w:val="231F20"/>
          <w:spacing w:val="-2"/>
        </w:rPr>
        <w:t>postes</w:t>
      </w:r>
      <w:r>
        <w:rPr>
          <w:color w:val="231F20"/>
          <w:spacing w:val="-7"/>
        </w:rPr>
        <w:t> </w:t>
      </w:r>
      <w:r>
        <w:rPr>
          <w:color w:val="231F20"/>
          <w:spacing w:val="-2"/>
        </w:rPr>
        <w:t>dans</w:t>
      </w:r>
      <w:r>
        <w:rPr>
          <w:color w:val="231F20"/>
          <w:spacing w:val="-7"/>
        </w:rPr>
        <w:t> </w:t>
      </w:r>
      <w:r>
        <w:rPr>
          <w:color w:val="231F20"/>
          <w:spacing w:val="-2"/>
        </w:rPr>
        <w:t>la</w:t>
      </w:r>
      <w:r>
        <w:rPr>
          <w:color w:val="231F20"/>
          <w:spacing w:val="-10"/>
        </w:rPr>
        <w:t> </w:t>
      </w:r>
      <w:r>
        <w:rPr>
          <w:color w:val="231F20"/>
          <w:spacing w:val="-2"/>
        </w:rPr>
        <w:t>Société</w:t>
      </w:r>
      <w:r>
        <w:rPr>
          <w:color w:val="231F20"/>
          <w:spacing w:val="-9"/>
        </w:rPr>
        <w:t> </w:t>
      </w:r>
      <w:r>
        <w:rPr>
          <w:color w:val="231F20"/>
          <w:spacing w:val="-2"/>
        </w:rPr>
        <w:t>des</w:t>
      </w:r>
      <w:r>
        <w:rPr>
          <w:color w:val="231F20"/>
          <w:spacing w:val="-10"/>
        </w:rPr>
        <w:t> </w:t>
      </w:r>
      <w:r>
        <w:rPr>
          <w:color w:val="231F20"/>
          <w:spacing w:val="-2"/>
        </w:rPr>
        <w:t>mines</w:t>
      </w:r>
      <w:r>
        <w:rPr>
          <w:color w:val="231F20"/>
          <w:spacing w:val="-7"/>
        </w:rPr>
        <w:t> </w:t>
      </w:r>
      <w:r>
        <w:rPr>
          <w:color w:val="231F20"/>
          <w:spacing w:val="-2"/>
        </w:rPr>
        <w:t>de</w:t>
      </w:r>
      <w:r>
        <w:rPr>
          <w:color w:val="231F20"/>
          <w:spacing w:val="-8"/>
        </w:rPr>
        <w:t> </w:t>
      </w:r>
      <w:r>
        <w:rPr>
          <w:color w:val="231F20"/>
          <w:spacing w:val="-2"/>
        </w:rPr>
        <w:t>l’Aïr</w:t>
      </w:r>
      <w:r>
        <w:rPr>
          <w:color w:val="231F20"/>
          <w:spacing w:val="-10"/>
        </w:rPr>
        <w:t> </w:t>
      </w:r>
      <w:r>
        <w:rPr>
          <w:color w:val="231F20"/>
          <w:spacing w:val="-2"/>
        </w:rPr>
        <w:t>avant</w:t>
      </w:r>
      <w:r>
        <w:rPr>
          <w:color w:val="231F20"/>
          <w:spacing w:val="-8"/>
        </w:rPr>
        <w:t> </w:t>
      </w:r>
      <w:r>
        <w:rPr>
          <w:color w:val="231F20"/>
          <w:spacing w:val="-2"/>
        </w:rPr>
        <w:t>de</w:t>
      </w:r>
      <w:r>
        <w:rPr>
          <w:color w:val="231F20"/>
          <w:spacing w:val="-8"/>
        </w:rPr>
        <w:t> </w:t>
      </w:r>
      <w:r>
        <w:rPr>
          <w:color w:val="231F20"/>
          <w:spacing w:val="-2"/>
        </w:rPr>
        <w:t>créer </w:t>
      </w:r>
      <w:r>
        <w:rPr>
          <w:color w:val="231F20"/>
        </w:rPr>
        <w:t>en</w:t>
      </w:r>
      <w:r>
        <w:rPr>
          <w:color w:val="231F20"/>
          <w:spacing w:val="-2"/>
        </w:rPr>
        <w:t> </w:t>
      </w:r>
      <w:r>
        <w:rPr>
          <w:color w:val="231F20"/>
        </w:rPr>
        <w:t>1990,</w:t>
      </w:r>
      <w:r>
        <w:rPr>
          <w:color w:val="231F20"/>
          <w:spacing w:val="-2"/>
        </w:rPr>
        <w:t> </w:t>
      </w:r>
      <w:r>
        <w:rPr>
          <w:color w:val="231F20"/>
        </w:rPr>
        <w:t>le</w:t>
      </w:r>
      <w:r>
        <w:rPr>
          <w:color w:val="231F20"/>
          <w:spacing w:val="-4"/>
        </w:rPr>
        <w:t> </w:t>
      </w:r>
      <w:r>
        <w:rPr>
          <w:color w:val="231F20"/>
        </w:rPr>
        <w:t>Parti</w:t>
      </w:r>
      <w:r>
        <w:rPr>
          <w:color w:val="231F20"/>
          <w:spacing w:val="-1"/>
        </w:rPr>
        <w:t> </w:t>
      </w:r>
      <w:r>
        <w:rPr>
          <w:color w:val="231F20"/>
        </w:rPr>
        <w:t>Nigérien</w:t>
      </w:r>
      <w:r>
        <w:rPr>
          <w:color w:val="231F20"/>
          <w:spacing w:val="-2"/>
        </w:rPr>
        <w:t> </w:t>
      </w:r>
      <w:r>
        <w:rPr>
          <w:color w:val="231F20"/>
        </w:rPr>
        <w:t>pour</w:t>
      </w:r>
      <w:r>
        <w:rPr>
          <w:color w:val="231F20"/>
          <w:spacing w:val="-4"/>
        </w:rPr>
        <w:t> </w:t>
      </w:r>
      <w:r>
        <w:rPr>
          <w:color w:val="231F20"/>
        </w:rPr>
        <w:t>la</w:t>
      </w:r>
      <w:r>
        <w:rPr>
          <w:color w:val="231F20"/>
          <w:spacing w:val="-2"/>
        </w:rPr>
        <w:t> </w:t>
      </w:r>
      <w:r>
        <w:rPr>
          <w:color w:val="231F20"/>
        </w:rPr>
        <w:t>Démocratie</w:t>
      </w:r>
      <w:r>
        <w:rPr>
          <w:color w:val="231F20"/>
          <w:spacing w:val="-2"/>
        </w:rPr>
        <w:t> </w:t>
      </w:r>
      <w:r>
        <w:rPr>
          <w:color w:val="231F20"/>
        </w:rPr>
        <w:t>et</w:t>
      </w:r>
      <w:r>
        <w:rPr>
          <w:color w:val="231F20"/>
          <w:spacing w:val="-2"/>
        </w:rPr>
        <w:t> </w:t>
      </w:r>
      <w:r>
        <w:rPr>
          <w:color w:val="231F20"/>
        </w:rPr>
        <w:t>le</w:t>
      </w:r>
      <w:r>
        <w:rPr>
          <w:color w:val="231F20"/>
          <w:spacing w:val="-2"/>
        </w:rPr>
        <w:t> </w:t>
      </w:r>
      <w:r>
        <w:rPr>
          <w:color w:val="231F20"/>
        </w:rPr>
        <w:t>Socialisme</w:t>
      </w:r>
      <w:r>
        <w:rPr>
          <w:color w:val="231F20"/>
          <w:spacing w:val="-4"/>
        </w:rPr>
        <w:t> </w:t>
      </w:r>
      <w:r>
        <w:rPr>
          <w:color w:val="231F20"/>
        </w:rPr>
        <w:t>(PNDS- Tarayya). Premier ministre de 1993 à 1994, Président de l’Assemblée </w:t>
      </w:r>
      <w:r>
        <w:rPr>
          <w:color w:val="231F20"/>
          <w:spacing w:val="-4"/>
        </w:rPr>
        <w:t>Nationale</w:t>
      </w:r>
      <w:r>
        <w:rPr>
          <w:color w:val="231F20"/>
          <w:spacing w:val="-11"/>
        </w:rPr>
        <w:t> </w:t>
      </w:r>
      <w:r>
        <w:rPr>
          <w:color w:val="231F20"/>
          <w:spacing w:val="-4"/>
        </w:rPr>
        <w:t>de</w:t>
      </w:r>
      <w:r>
        <w:rPr>
          <w:color w:val="231F20"/>
          <w:spacing w:val="-11"/>
        </w:rPr>
        <w:t> </w:t>
      </w:r>
      <w:r>
        <w:rPr>
          <w:color w:val="231F20"/>
          <w:spacing w:val="-4"/>
        </w:rPr>
        <w:t>1995</w:t>
      </w:r>
      <w:r>
        <w:rPr>
          <w:color w:val="231F20"/>
          <w:spacing w:val="-11"/>
        </w:rPr>
        <w:t> </w:t>
      </w:r>
      <w:r>
        <w:rPr>
          <w:color w:val="231F20"/>
          <w:spacing w:val="-4"/>
        </w:rPr>
        <w:t>à</w:t>
      </w:r>
      <w:r>
        <w:rPr>
          <w:color w:val="231F20"/>
          <w:spacing w:val="-11"/>
        </w:rPr>
        <w:t> </w:t>
      </w:r>
      <w:r>
        <w:rPr>
          <w:color w:val="231F20"/>
          <w:spacing w:val="-4"/>
        </w:rPr>
        <w:t>1996,</w:t>
      </w:r>
      <w:r>
        <w:rPr>
          <w:color w:val="231F20"/>
          <w:spacing w:val="-11"/>
        </w:rPr>
        <w:t> </w:t>
      </w:r>
      <w:r>
        <w:rPr>
          <w:color w:val="231F20"/>
          <w:spacing w:val="-4"/>
        </w:rPr>
        <w:t>député</w:t>
      </w:r>
      <w:r>
        <w:rPr>
          <w:color w:val="231F20"/>
          <w:spacing w:val="-11"/>
        </w:rPr>
        <w:t> </w:t>
      </w:r>
      <w:r>
        <w:rPr>
          <w:color w:val="231F20"/>
          <w:spacing w:val="-4"/>
        </w:rPr>
        <w:t>à</w:t>
      </w:r>
      <w:r>
        <w:rPr>
          <w:color w:val="231F20"/>
          <w:spacing w:val="-11"/>
        </w:rPr>
        <w:t> </w:t>
      </w:r>
      <w:r>
        <w:rPr>
          <w:color w:val="231F20"/>
          <w:spacing w:val="-4"/>
        </w:rPr>
        <w:t>l'Assemblée</w:t>
      </w:r>
      <w:r>
        <w:rPr>
          <w:color w:val="231F20"/>
          <w:spacing w:val="-11"/>
        </w:rPr>
        <w:t> </w:t>
      </w:r>
      <w:r>
        <w:rPr>
          <w:color w:val="231F20"/>
          <w:spacing w:val="-4"/>
        </w:rPr>
        <w:t>nationale</w:t>
      </w:r>
      <w:r>
        <w:rPr>
          <w:color w:val="231F20"/>
          <w:spacing w:val="-11"/>
        </w:rPr>
        <w:t> </w:t>
      </w:r>
      <w:r>
        <w:rPr>
          <w:color w:val="231F20"/>
          <w:spacing w:val="-4"/>
        </w:rPr>
        <w:t>de</w:t>
      </w:r>
      <w:r>
        <w:rPr>
          <w:color w:val="231F20"/>
          <w:spacing w:val="-11"/>
        </w:rPr>
        <w:t> </w:t>
      </w:r>
      <w:r>
        <w:rPr>
          <w:color w:val="231F20"/>
          <w:spacing w:val="-4"/>
        </w:rPr>
        <w:t>1999</w:t>
      </w:r>
      <w:r>
        <w:rPr>
          <w:color w:val="231F20"/>
          <w:spacing w:val="-11"/>
        </w:rPr>
        <w:t> </w:t>
      </w:r>
      <w:r>
        <w:rPr>
          <w:color w:val="231F20"/>
          <w:spacing w:val="-4"/>
        </w:rPr>
        <w:t>à</w:t>
      </w:r>
      <w:r>
        <w:rPr>
          <w:color w:val="231F20"/>
          <w:spacing w:val="-11"/>
        </w:rPr>
        <w:t> </w:t>
      </w:r>
      <w:r>
        <w:rPr>
          <w:color w:val="231F20"/>
          <w:spacing w:val="-4"/>
        </w:rPr>
        <w:t>2009, </w:t>
      </w:r>
      <w:r>
        <w:rPr>
          <w:color w:val="231F20"/>
        </w:rPr>
        <w:t>Mahamadou Issoufou avait échoué en 1999 et en 2004 aux élections </w:t>
      </w:r>
      <w:r>
        <w:rPr>
          <w:color w:val="231F20"/>
          <w:spacing w:val="-2"/>
        </w:rPr>
        <w:t>présidentielles.</w:t>
      </w:r>
    </w:p>
    <w:p>
      <w:pPr>
        <w:pStyle w:val="BodyText"/>
        <w:spacing w:before="121"/>
        <w:ind w:right="104" w:firstLine="283"/>
      </w:pPr>
      <w:r>
        <w:rPr>
          <w:color w:val="231F20"/>
        </w:rPr>
        <w:t>La</w:t>
      </w:r>
      <w:r>
        <w:rPr>
          <w:color w:val="231F20"/>
          <w:spacing w:val="-1"/>
        </w:rPr>
        <w:t> </w:t>
      </w:r>
      <w:r>
        <w:rPr>
          <w:color w:val="231F20"/>
        </w:rPr>
        <w:t>Constitution</w:t>
      </w:r>
      <w:r>
        <w:rPr>
          <w:color w:val="231F20"/>
          <w:spacing w:val="-3"/>
        </w:rPr>
        <w:t> </w:t>
      </w:r>
      <w:r>
        <w:rPr>
          <w:color w:val="231F20"/>
        </w:rPr>
        <w:t>limitant</w:t>
      </w:r>
      <w:r>
        <w:rPr>
          <w:color w:val="231F20"/>
          <w:spacing w:val="-3"/>
        </w:rPr>
        <w:t> </w:t>
      </w:r>
      <w:r>
        <w:rPr>
          <w:color w:val="231F20"/>
        </w:rPr>
        <w:t>à</w:t>
      </w:r>
      <w:r>
        <w:rPr>
          <w:color w:val="231F20"/>
          <w:spacing w:val="-1"/>
        </w:rPr>
        <w:t> </w:t>
      </w:r>
      <w:r>
        <w:rPr>
          <w:color w:val="231F20"/>
        </w:rPr>
        <w:t>deux</w:t>
      </w:r>
      <w:r>
        <w:rPr>
          <w:color w:val="231F20"/>
          <w:spacing w:val="-3"/>
        </w:rPr>
        <w:t> </w:t>
      </w:r>
      <w:r>
        <w:rPr>
          <w:color w:val="231F20"/>
        </w:rPr>
        <w:t>le</w:t>
      </w:r>
      <w:r>
        <w:rPr>
          <w:color w:val="231F20"/>
          <w:spacing w:val="-1"/>
        </w:rPr>
        <w:t> </w:t>
      </w:r>
      <w:r>
        <w:rPr>
          <w:color w:val="231F20"/>
        </w:rPr>
        <w:t>nombre</w:t>
      </w:r>
      <w:r>
        <w:rPr>
          <w:color w:val="231F20"/>
          <w:spacing w:val="-1"/>
        </w:rPr>
        <w:t> </w:t>
      </w:r>
      <w:r>
        <w:rPr>
          <w:color w:val="231F20"/>
        </w:rPr>
        <w:t>de</w:t>
      </w:r>
      <w:r>
        <w:rPr>
          <w:color w:val="231F20"/>
          <w:spacing w:val="-3"/>
        </w:rPr>
        <w:t> </w:t>
      </w:r>
      <w:r>
        <w:rPr>
          <w:color w:val="231F20"/>
        </w:rPr>
        <w:t>mandats</w:t>
      </w:r>
      <w:r>
        <w:rPr>
          <w:color w:val="231F20"/>
          <w:spacing w:val="-3"/>
        </w:rPr>
        <w:t> </w:t>
      </w:r>
      <w:r>
        <w:rPr>
          <w:color w:val="231F20"/>
        </w:rPr>
        <w:t>présidentiels, Mahamadou Issoufou ne se porte pas candidat à sa réélection en 2020 après ses deux mandats</w:t>
      </w:r>
      <w:r>
        <w:rPr>
          <w:color w:val="231F20"/>
          <w:spacing w:val="-12"/>
        </w:rPr>
        <w:t> </w:t>
      </w:r>
      <w:r>
        <w:rPr>
          <w:color w:val="231F20"/>
        </w:rPr>
        <w:t>:</w:t>
      </w:r>
      <w:r>
        <w:rPr>
          <w:color w:val="231F20"/>
          <w:spacing w:val="-14"/>
        </w:rPr>
        <w:t> </w:t>
      </w:r>
      <w:r>
        <w:rPr>
          <w:color w:val="231F20"/>
        </w:rPr>
        <w:t>2011</w:t>
      </w:r>
      <w:r>
        <w:rPr>
          <w:color w:val="231F20"/>
          <w:spacing w:val="-13"/>
        </w:rPr>
        <w:t> </w:t>
      </w:r>
      <w:r>
        <w:rPr>
          <w:color w:val="231F20"/>
        </w:rPr>
        <w:t>et</w:t>
      </w:r>
      <w:r>
        <w:rPr>
          <w:color w:val="231F20"/>
          <w:spacing w:val="-13"/>
        </w:rPr>
        <w:t> </w:t>
      </w:r>
      <w:r>
        <w:rPr>
          <w:color w:val="231F20"/>
        </w:rPr>
        <w:t>2016. Au contraire de ses pairs qui modifient en leur faveur la Constitution pour se maintenir au pouvoir, </w:t>
      </w:r>
      <w:r>
        <w:rPr>
          <w:color w:val="231F20"/>
          <w:spacing w:val="-2"/>
        </w:rPr>
        <w:t>Mahamadou</w:t>
      </w:r>
      <w:r>
        <w:rPr>
          <w:color w:val="231F20"/>
          <w:spacing w:val="-10"/>
        </w:rPr>
        <w:t> </w:t>
      </w:r>
      <w:r>
        <w:rPr>
          <w:color w:val="231F20"/>
          <w:spacing w:val="-2"/>
        </w:rPr>
        <w:t>Issoufou,</w:t>
      </w:r>
      <w:r>
        <w:rPr>
          <w:color w:val="231F20"/>
          <w:spacing w:val="-10"/>
        </w:rPr>
        <w:t> </w:t>
      </w:r>
      <w:r>
        <w:rPr>
          <w:color w:val="231F20"/>
          <w:spacing w:val="-2"/>
        </w:rPr>
        <w:t>à</w:t>
      </w:r>
      <w:r>
        <w:rPr>
          <w:color w:val="231F20"/>
          <w:spacing w:val="-9"/>
        </w:rPr>
        <w:t> </w:t>
      </w:r>
      <w:r>
        <w:rPr>
          <w:color w:val="231F20"/>
          <w:spacing w:val="-2"/>
        </w:rPr>
        <w:t>deux</w:t>
      </w:r>
      <w:r>
        <w:rPr>
          <w:color w:val="231F20"/>
          <w:spacing w:val="-9"/>
        </w:rPr>
        <w:t> </w:t>
      </w:r>
      <w:r>
        <w:rPr>
          <w:color w:val="231F20"/>
          <w:spacing w:val="-2"/>
        </w:rPr>
        <w:t>ans</w:t>
      </w:r>
      <w:r>
        <w:rPr>
          <w:color w:val="231F20"/>
          <w:spacing w:val="-11"/>
        </w:rPr>
        <w:t> </w:t>
      </w:r>
      <w:r>
        <w:rPr>
          <w:color w:val="231F20"/>
          <w:spacing w:val="-2"/>
        </w:rPr>
        <w:t>de</w:t>
      </w:r>
      <w:r>
        <w:rPr>
          <w:color w:val="231F20"/>
          <w:spacing w:val="-9"/>
        </w:rPr>
        <w:t> </w:t>
      </w:r>
      <w:r>
        <w:rPr>
          <w:color w:val="231F20"/>
          <w:spacing w:val="-2"/>
        </w:rPr>
        <w:t>l’expiration</w:t>
      </w:r>
      <w:r>
        <w:rPr>
          <w:color w:val="231F20"/>
          <w:spacing w:val="-11"/>
        </w:rPr>
        <w:t> </w:t>
      </w:r>
      <w:r>
        <w:rPr>
          <w:color w:val="231F20"/>
          <w:spacing w:val="-2"/>
        </w:rPr>
        <w:t>de</w:t>
      </w:r>
      <w:r>
        <w:rPr>
          <w:color w:val="231F20"/>
          <w:spacing w:val="-9"/>
        </w:rPr>
        <w:t> </w:t>
      </w:r>
      <w:r>
        <w:rPr>
          <w:color w:val="231F20"/>
          <w:spacing w:val="-2"/>
        </w:rPr>
        <w:t>son</w:t>
      </w:r>
      <w:r>
        <w:rPr>
          <w:color w:val="231F20"/>
          <w:spacing w:val="-11"/>
        </w:rPr>
        <w:t> </w:t>
      </w:r>
      <w:r>
        <w:rPr>
          <w:color w:val="231F20"/>
          <w:spacing w:val="-2"/>
        </w:rPr>
        <w:t>mandat,</w:t>
      </w:r>
      <w:r>
        <w:rPr>
          <w:color w:val="231F20"/>
          <w:spacing w:val="-9"/>
        </w:rPr>
        <w:t> </w:t>
      </w:r>
      <w:r>
        <w:rPr>
          <w:color w:val="231F20"/>
          <w:spacing w:val="-2"/>
        </w:rPr>
        <w:t>désigne </w:t>
      </w:r>
      <w:r>
        <w:rPr>
          <w:color w:val="231F20"/>
        </w:rPr>
        <w:t>au niveau de son Parti, son dauphin, Mohamed Bazoum, ministre de l’intérieur pour défendre les couleurs du Parti en 2020</w:t>
      </w:r>
      <w:r>
        <w:rPr>
          <w:color w:val="231F20"/>
          <w:spacing w:val="-11"/>
        </w:rPr>
        <w:t> </w:t>
      </w:r>
      <w:r>
        <w:rPr>
          <w:color w:val="231F20"/>
        </w:rPr>
        <w:t>:</w:t>
      </w:r>
      <w:r>
        <w:rPr>
          <w:color w:val="231F20"/>
          <w:spacing w:val="-12"/>
        </w:rPr>
        <w:t> </w:t>
      </w:r>
      <w:r>
        <w:rPr>
          <w:color w:val="231F20"/>
        </w:rPr>
        <w:t>« j’ai beau cherché, je ne trouve aucun argument qui justifierait que je me sente irremplaçable</w:t>
      </w:r>
      <w:r>
        <w:rPr>
          <w:color w:val="231F20"/>
          <w:spacing w:val="-7"/>
        </w:rPr>
        <w:t> </w:t>
      </w:r>
      <w:r>
        <w:rPr>
          <w:color w:val="231F20"/>
        </w:rPr>
        <w:t>ou</w:t>
      </w:r>
      <w:r>
        <w:rPr>
          <w:color w:val="231F20"/>
          <w:spacing w:val="-1"/>
        </w:rPr>
        <w:t> </w:t>
      </w:r>
      <w:r>
        <w:rPr>
          <w:color w:val="231F20"/>
        </w:rPr>
        <w:t>providentiel.</w:t>
      </w:r>
      <w:r>
        <w:rPr>
          <w:color w:val="231F20"/>
          <w:spacing w:val="-1"/>
        </w:rPr>
        <w:t> </w:t>
      </w:r>
      <w:r>
        <w:rPr>
          <w:color w:val="231F20"/>
        </w:rPr>
        <w:t>Nous</w:t>
      </w:r>
      <w:r>
        <w:rPr>
          <w:color w:val="231F20"/>
          <w:spacing w:val="-1"/>
        </w:rPr>
        <w:t> </w:t>
      </w:r>
      <w:r>
        <w:rPr>
          <w:color w:val="231F20"/>
        </w:rPr>
        <w:t>sommes</w:t>
      </w:r>
      <w:r>
        <w:rPr>
          <w:color w:val="231F20"/>
          <w:spacing w:val="-1"/>
        </w:rPr>
        <w:t> </w:t>
      </w:r>
      <w:r>
        <w:rPr>
          <w:color w:val="231F20"/>
        </w:rPr>
        <w:t>22</w:t>
      </w:r>
      <w:r>
        <w:rPr>
          <w:color w:val="231F20"/>
          <w:spacing w:val="-15"/>
        </w:rPr>
        <w:t> </w:t>
      </w:r>
      <w:r>
        <w:rPr>
          <w:color w:val="231F20"/>
        </w:rPr>
        <w:t>millions</w:t>
      </w:r>
      <w:r>
        <w:rPr>
          <w:color w:val="231F20"/>
          <w:spacing w:val="-1"/>
        </w:rPr>
        <w:t> </w:t>
      </w:r>
      <w:r>
        <w:rPr>
          <w:color w:val="231F20"/>
        </w:rPr>
        <w:t>de</w:t>
      </w:r>
      <w:r>
        <w:rPr>
          <w:color w:val="231F20"/>
          <w:spacing w:val="-1"/>
        </w:rPr>
        <w:t> </w:t>
      </w:r>
      <w:r>
        <w:rPr>
          <w:color w:val="231F20"/>
        </w:rPr>
        <w:t>Nigériens, pourquoi</w:t>
      </w:r>
      <w:r>
        <w:rPr>
          <w:color w:val="231F20"/>
          <w:spacing w:val="40"/>
        </w:rPr>
        <w:t> </w:t>
      </w:r>
      <w:r>
        <w:rPr>
          <w:color w:val="231F20"/>
        </w:rPr>
        <w:t>aurais-je</w:t>
      </w:r>
      <w:r>
        <w:rPr>
          <w:color w:val="231F20"/>
          <w:spacing w:val="40"/>
        </w:rPr>
        <w:t> </w:t>
      </w:r>
      <w:r>
        <w:rPr>
          <w:color w:val="231F20"/>
        </w:rPr>
        <w:t>l’arrogance</w:t>
      </w:r>
      <w:r>
        <w:rPr>
          <w:color w:val="231F20"/>
          <w:spacing w:val="40"/>
        </w:rPr>
        <w:t> </w:t>
      </w:r>
      <w:r>
        <w:rPr>
          <w:color w:val="231F20"/>
        </w:rPr>
        <w:t>de</w:t>
      </w:r>
      <w:r>
        <w:rPr>
          <w:color w:val="231F20"/>
          <w:spacing w:val="40"/>
        </w:rPr>
        <w:t> </w:t>
      </w:r>
      <w:r>
        <w:rPr>
          <w:color w:val="231F20"/>
        </w:rPr>
        <w:t>croire</w:t>
      </w:r>
      <w:r>
        <w:rPr>
          <w:color w:val="231F20"/>
          <w:spacing w:val="40"/>
        </w:rPr>
        <w:t> </w:t>
      </w:r>
      <w:r>
        <w:rPr>
          <w:color w:val="231F20"/>
        </w:rPr>
        <w:t>que</w:t>
      </w:r>
      <w:r>
        <w:rPr>
          <w:color w:val="231F20"/>
          <w:spacing w:val="40"/>
        </w:rPr>
        <w:t> </w:t>
      </w:r>
      <w:r>
        <w:rPr>
          <w:color w:val="231F20"/>
        </w:rPr>
        <w:t>nul</w:t>
      </w:r>
      <w:r>
        <w:rPr>
          <w:color w:val="231F20"/>
          <w:spacing w:val="40"/>
        </w:rPr>
        <w:t> </w:t>
      </w:r>
      <w:r>
        <w:rPr>
          <w:color w:val="231F20"/>
        </w:rPr>
        <w:t>ne</w:t>
      </w:r>
      <w:r>
        <w:rPr>
          <w:color w:val="231F20"/>
          <w:spacing w:val="40"/>
        </w:rPr>
        <w:t> </w:t>
      </w:r>
      <w:r>
        <w:rPr>
          <w:color w:val="231F20"/>
        </w:rPr>
        <w:t>peut</w:t>
      </w:r>
      <w:r>
        <w:rPr>
          <w:color w:val="231F20"/>
          <w:spacing w:val="40"/>
        </w:rPr>
        <w:t> </w:t>
      </w:r>
      <w:r>
        <w:rPr>
          <w:color w:val="231F20"/>
        </w:rPr>
        <w:t>me remplacer</w:t>
      </w:r>
      <w:r>
        <w:rPr>
          <w:color w:val="231F20"/>
          <w:spacing w:val="-15"/>
        </w:rPr>
        <w:t> </w:t>
      </w:r>
      <w:r>
        <w:rPr>
          <w:color w:val="231F20"/>
        </w:rPr>
        <w:t>?</w:t>
      </w:r>
      <w:r>
        <w:rPr>
          <w:color w:val="231F20"/>
          <w:spacing w:val="-15"/>
        </w:rPr>
        <w:t> </w:t>
      </w:r>
      <w:r>
        <w:rPr>
          <w:color w:val="231F20"/>
        </w:rPr>
        <w:t>Ma décision de respecter la Constitution et de ne pas me représenter est irrévocable</w:t>
      </w:r>
      <w:r>
        <w:rPr>
          <w:color w:val="231F20"/>
          <w:vertAlign w:val="superscript"/>
        </w:rPr>
        <w:t>91</w:t>
      </w:r>
      <w:r>
        <w:rPr>
          <w:color w:val="231F20"/>
          <w:vertAlign w:val="baseline"/>
        </w:rPr>
        <w:t>»</w:t>
      </w:r>
    </w:p>
    <w:p>
      <w:pPr>
        <w:pStyle w:val="BodyText"/>
        <w:spacing w:before="120"/>
        <w:ind w:right="105" w:firstLine="283"/>
      </w:pPr>
      <w:r>
        <w:rPr>
          <w:color w:val="231F20"/>
          <w:spacing w:val="-4"/>
        </w:rPr>
        <w:t>Le</w:t>
      </w:r>
      <w:r>
        <w:rPr>
          <w:color w:val="231F20"/>
          <w:spacing w:val="-11"/>
        </w:rPr>
        <w:t> </w:t>
      </w:r>
      <w:r>
        <w:rPr>
          <w:color w:val="231F20"/>
          <w:spacing w:val="-4"/>
        </w:rPr>
        <w:t>27</w:t>
      </w:r>
      <w:r>
        <w:rPr>
          <w:color w:val="231F20"/>
          <w:spacing w:val="-11"/>
        </w:rPr>
        <w:t> </w:t>
      </w:r>
      <w:r>
        <w:rPr>
          <w:color w:val="231F20"/>
          <w:spacing w:val="-4"/>
        </w:rPr>
        <w:t>décembre</w:t>
      </w:r>
      <w:r>
        <w:rPr>
          <w:color w:val="231F20"/>
          <w:spacing w:val="1"/>
        </w:rPr>
        <w:t> </w:t>
      </w:r>
      <w:r>
        <w:rPr>
          <w:color w:val="231F20"/>
          <w:spacing w:val="-4"/>
        </w:rPr>
        <w:t>2020,</w:t>
      </w:r>
      <w:r>
        <w:rPr>
          <w:color w:val="231F20"/>
          <w:spacing w:val="-11"/>
        </w:rPr>
        <w:t> </w:t>
      </w:r>
      <w:r>
        <w:rPr>
          <w:color w:val="231F20"/>
          <w:spacing w:val="-4"/>
        </w:rPr>
        <w:t>le</w:t>
      </w:r>
      <w:r>
        <w:rPr>
          <w:color w:val="231F20"/>
          <w:spacing w:val="-11"/>
        </w:rPr>
        <w:t> </w:t>
      </w:r>
      <w:r>
        <w:rPr>
          <w:color w:val="231F20"/>
          <w:spacing w:val="-4"/>
        </w:rPr>
        <w:t>premier</w:t>
      </w:r>
      <w:r>
        <w:rPr>
          <w:color w:val="231F20"/>
          <w:spacing w:val="-11"/>
        </w:rPr>
        <w:t> </w:t>
      </w:r>
      <w:r>
        <w:rPr>
          <w:color w:val="231F20"/>
          <w:spacing w:val="-4"/>
        </w:rPr>
        <w:t>tour</w:t>
      </w:r>
      <w:r>
        <w:rPr>
          <w:color w:val="231F20"/>
          <w:spacing w:val="-11"/>
        </w:rPr>
        <w:t> </w:t>
      </w:r>
      <w:r>
        <w:rPr>
          <w:color w:val="231F20"/>
          <w:spacing w:val="-4"/>
        </w:rPr>
        <w:t>de</w:t>
      </w:r>
      <w:r>
        <w:rPr>
          <w:color w:val="231F20"/>
          <w:spacing w:val="-11"/>
        </w:rPr>
        <w:t> </w:t>
      </w:r>
      <w:r>
        <w:rPr>
          <w:color w:val="231F20"/>
          <w:spacing w:val="-4"/>
        </w:rPr>
        <w:t>l'élection</w:t>
      </w:r>
      <w:r>
        <w:rPr>
          <w:color w:val="231F20"/>
          <w:spacing w:val="-11"/>
        </w:rPr>
        <w:t> </w:t>
      </w:r>
      <w:r>
        <w:rPr>
          <w:color w:val="231F20"/>
          <w:spacing w:val="-4"/>
        </w:rPr>
        <w:t>présidentielle</w:t>
      </w:r>
      <w:r>
        <w:rPr>
          <w:color w:val="231F20"/>
          <w:spacing w:val="-11"/>
        </w:rPr>
        <w:t> </w:t>
      </w:r>
      <w:r>
        <w:rPr>
          <w:color w:val="231F20"/>
          <w:spacing w:val="-4"/>
        </w:rPr>
        <w:t>a</w:t>
      </w:r>
      <w:r>
        <w:rPr>
          <w:color w:val="231F20"/>
          <w:spacing w:val="-11"/>
        </w:rPr>
        <w:t> </w:t>
      </w:r>
      <w:r>
        <w:rPr>
          <w:color w:val="231F20"/>
          <w:spacing w:val="-4"/>
        </w:rPr>
        <w:t>lieu. </w:t>
      </w:r>
      <w:r>
        <w:rPr>
          <w:color w:val="231F20"/>
        </w:rPr>
        <w:t>Mohamed</w:t>
      </w:r>
      <w:r>
        <w:rPr>
          <w:color w:val="231F20"/>
          <w:spacing w:val="-9"/>
        </w:rPr>
        <w:t> </w:t>
      </w:r>
      <w:r>
        <w:rPr>
          <w:color w:val="231F20"/>
        </w:rPr>
        <w:t>Bazoum,</w:t>
      </w:r>
      <w:r>
        <w:rPr>
          <w:color w:val="231F20"/>
          <w:spacing w:val="1"/>
        </w:rPr>
        <w:t> </w:t>
      </w:r>
      <w:r>
        <w:rPr>
          <w:color w:val="231F20"/>
        </w:rPr>
        <w:t>dauphin</w:t>
      </w:r>
      <w:r>
        <w:rPr>
          <w:color w:val="231F20"/>
          <w:spacing w:val="1"/>
        </w:rPr>
        <w:t> </w:t>
      </w:r>
      <w:r>
        <w:rPr>
          <w:color w:val="231F20"/>
        </w:rPr>
        <w:t>du</w:t>
      </w:r>
      <w:r>
        <w:rPr>
          <w:color w:val="231F20"/>
          <w:spacing w:val="1"/>
        </w:rPr>
        <w:t> </w:t>
      </w:r>
      <w:r>
        <w:rPr>
          <w:color w:val="231F20"/>
        </w:rPr>
        <w:t>président</w:t>
      </w:r>
      <w:r>
        <w:rPr>
          <w:color w:val="231F20"/>
          <w:spacing w:val="1"/>
        </w:rPr>
        <w:t> </w:t>
      </w:r>
      <w:r>
        <w:rPr>
          <w:color w:val="231F20"/>
        </w:rPr>
        <w:t>sortant</w:t>
      </w:r>
      <w:r>
        <w:rPr>
          <w:color w:val="231F20"/>
          <w:spacing w:val="-15"/>
        </w:rPr>
        <w:t> </w:t>
      </w:r>
      <w:r>
        <w:rPr>
          <w:color w:val="231F20"/>
        </w:rPr>
        <w:t>Mahamadou</w:t>
      </w:r>
      <w:r>
        <w:rPr>
          <w:color w:val="231F20"/>
          <w:spacing w:val="2"/>
        </w:rPr>
        <w:t> </w:t>
      </w:r>
      <w:r>
        <w:rPr>
          <w:color w:val="231F20"/>
          <w:spacing w:val="-2"/>
        </w:rPr>
        <w:t>Issoufou</w:t>
      </w:r>
    </w:p>
    <w:p>
      <w:pPr>
        <w:pStyle w:val="BodyText"/>
        <w:ind w:left="0"/>
        <w:jc w:val="left"/>
        <w:rPr>
          <w:sz w:val="20"/>
        </w:rPr>
      </w:pPr>
    </w:p>
    <w:p>
      <w:pPr>
        <w:pStyle w:val="BodyText"/>
        <w:spacing w:before="103"/>
        <w:ind w:left="0"/>
        <w:jc w:val="left"/>
        <w:rPr>
          <w:sz w:val="20"/>
        </w:rPr>
      </w:pPr>
      <w:r>
        <w:rPr/>
        <mc:AlternateContent>
          <mc:Choice Requires="wps">
            <w:drawing>
              <wp:anchor distT="0" distB="0" distL="0" distR="0" allowOverlap="1" layoutInCell="1" locked="0" behindDoc="1" simplePos="0" relativeHeight="487617024">
                <wp:simplePos x="0" y="0"/>
                <wp:positionH relativeFrom="page">
                  <wp:posOffset>629907</wp:posOffset>
                </wp:positionH>
                <wp:positionV relativeFrom="paragraph">
                  <wp:posOffset>226901</wp:posOffset>
                </wp:positionV>
                <wp:extent cx="1829435" cy="9525"/>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866289pt;width:144.020pt;height:.72pt;mso-position-horizontal-relative:page;mso-position-vertical-relative:paragraph;z-index:-15699456;mso-wrap-distance-left:0;mso-wrap-distance-right:0" id="docshape74" filled="true" fillcolor="#231f20" stroked="false">
                <v:fill type="solid"/>
                <w10:wrap type="topAndBottom"/>
              </v:rect>
            </w:pict>
          </mc:Fallback>
        </mc:AlternateContent>
      </w:r>
    </w:p>
    <w:p>
      <w:pPr>
        <w:spacing w:before="94"/>
        <w:ind w:left="111" w:right="0" w:firstLine="0"/>
        <w:jc w:val="left"/>
        <w:rPr>
          <w:sz w:val="20"/>
        </w:rPr>
      </w:pPr>
      <w:r>
        <w:rPr>
          <w:color w:val="231F20"/>
          <w:spacing w:val="-4"/>
          <w:sz w:val="20"/>
          <w:vertAlign w:val="superscript"/>
        </w:rPr>
        <w:t>91</w:t>
      </w:r>
      <w:r>
        <w:rPr>
          <w:color w:val="231F20"/>
          <w:spacing w:val="1"/>
          <w:sz w:val="20"/>
          <w:vertAlign w:val="baseline"/>
        </w:rPr>
        <w:t> </w:t>
      </w:r>
      <w:r>
        <w:rPr>
          <w:color w:val="231F20"/>
          <w:spacing w:val="-4"/>
          <w:sz w:val="20"/>
          <w:vertAlign w:val="baseline"/>
        </w:rPr>
        <w:t>Extrait itw</w:t>
      </w:r>
      <w:r>
        <w:rPr>
          <w:color w:val="231F20"/>
          <w:spacing w:val="-3"/>
          <w:sz w:val="20"/>
          <w:vertAlign w:val="baseline"/>
        </w:rPr>
        <w:t> </w:t>
      </w:r>
      <w:r>
        <w:rPr>
          <w:i/>
          <w:color w:val="231F20"/>
          <w:spacing w:val="-4"/>
          <w:sz w:val="20"/>
          <w:vertAlign w:val="baseline"/>
        </w:rPr>
        <w:t>François Soudan</w:t>
      </w:r>
      <w:r>
        <w:rPr>
          <w:i/>
          <w:color w:val="231F20"/>
          <w:spacing w:val="-1"/>
          <w:sz w:val="20"/>
          <w:vertAlign w:val="baseline"/>
        </w:rPr>
        <w:t> </w:t>
      </w:r>
      <w:r>
        <w:rPr>
          <w:color w:val="231F20"/>
          <w:spacing w:val="-5"/>
          <w:sz w:val="20"/>
          <w:vertAlign w:val="baseline"/>
        </w:rPr>
        <w:t>JA</w:t>
      </w:r>
    </w:p>
    <w:p>
      <w:pPr>
        <w:spacing w:after="0"/>
        <w:jc w:val="left"/>
        <w:rPr>
          <w:sz w:val="20"/>
        </w:rPr>
        <w:sectPr>
          <w:pgSz w:w="8790" w:h="13610"/>
          <w:pgMar w:header="0" w:footer="802" w:top="1060" w:bottom="1000" w:left="880" w:right="880"/>
        </w:sectPr>
      </w:pPr>
    </w:p>
    <w:p>
      <w:pPr>
        <w:pStyle w:val="BodyText"/>
        <w:spacing w:before="66"/>
        <w:ind w:right="105"/>
      </w:pPr>
      <w:r>
        <w:rPr>
          <w:color w:val="231F20"/>
        </w:rPr>
        <w:t>est</w:t>
      </w:r>
      <w:r>
        <w:rPr>
          <w:color w:val="231F20"/>
          <w:spacing w:val="-11"/>
        </w:rPr>
        <w:t> </w:t>
      </w:r>
      <w:r>
        <w:rPr>
          <w:color w:val="231F20"/>
        </w:rPr>
        <w:t>en</w:t>
      </w:r>
      <w:r>
        <w:rPr>
          <w:color w:val="231F20"/>
          <w:spacing w:val="-7"/>
        </w:rPr>
        <w:t> </w:t>
      </w:r>
      <w:r>
        <w:rPr>
          <w:color w:val="231F20"/>
        </w:rPr>
        <w:t>tête</w:t>
      </w:r>
      <w:r>
        <w:rPr>
          <w:color w:val="231F20"/>
          <w:spacing w:val="-5"/>
        </w:rPr>
        <w:t> </w:t>
      </w:r>
      <w:r>
        <w:rPr>
          <w:color w:val="231F20"/>
        </w:rPr>
        <w:t>du</w:t>
      </w:r>
      <w:r>
        <w:rPr>
          <w:color w:val="231F20"/>
          <w:spacing w:val="-5"/>
        </w:rPr>
        <w:t> </w:t>
      </w:r>
      <w:r>
        <w:rPr>
          <w:color w:val="231F20"/>
        </w:rPr>
        <w:t>scrutin.</w:t>
      </w:r>
      <w:r>
        <w:rPr>
          <w:color w:val="231F20"/>
          <w:spacing w:val="-5"/>
        </w:rPr>
        <w:t> </w:t>
      </w:r>
      <w:r>
        <w:rPr>
          <w:color w:val="231F20"/>
        </w:rPr>
        <w:t>Face</w:t>
      </w:r>
      <w:r>
        <w:rPr>
          <w:color w:val="231F20"/>
          <w:spacing w:val="-5"/>
        </w:rPr>
        <w:t> </w:t>
      </w:r>
      <w:r>
        <w:rPr>
          <w:color w:val="231F20"/>
        </w:rPr>
        <w:t>à</w:t>
      </w:r>
      <w:r>
        <w:rPr>
          <w:color w:val="231F20"/>
          <w:spacing w:val="-5"/>
        </w:rPr>
        <w:t> </w:t>
      </w:r>
      <w:r>
        <w:rPr>
          <w:color w:val="231F20"/>
        </w:rPr>
        <w:t>l'opposant</w:t>
      </w:r>
      <w:r>
        <w:rPr>
          <w:color w:val="231F20"/>
          <w:spacing w:val="-15"/>
        </w:rPr>
        <w:t> </w:t>
      </w:r>
      <w:r>
        <w:rPr>
          <w:color w:val="231F20"/>
        </w:rPr>
        <w:t>Mahamane</w:t>
      </w:r>
      <w:r>
        <w:rPr>
          <w:color w:val="231F20"/>
          <w:spacing w:val="-7"/>
        </w:rPr>
        <w:t> </w:t>
      </w:r>
      <w:r>
        <w:rPr>
          <w:color w:val="231F20"/>
        </w:rPr>
        <w:t>Ousmane</w:t>
      </w:r>
      <w:r>
        <w:rPr>
          <w:color w:val="231F20"/>
          <w:spacing w:val="-15"/>
        </w:rPr>
        <w:t> </w:t>
      </w:r>
      <w:r>
        <w:rPr>
          <w:color w:val="231F20"/>
        </w:rPr>
        <w:t>au</w:t>
      </w:r>
      <w:r>
        <w:rPr>
          <w:color w:val="231F20"/>
          <w:spacing w:val="-5"/>
        </w:rPr>
        <w:t> </w:t>
      </w:r>
      <w:r>
        <w:rPr>
          <w:color w:val="231F20"/>
        </w:rPr>
        <w:t>second tour, il est élu le 21 février 2021.</w:t>
      </w:r>
    </w:p>
    <w:p>
      <w:pPr>
        <w:pStyle w:val="BodyText"/>
        <w:spacing w:before="120"/>
        <w:ind w:right="103" w:firstLine="283"/>
      </w:pPr>
      <w:r>
        <w:rPr>
          <w:color w:val="231F20"/>
        </w:rPr>
        <w:t>Le Niger est riche de vestiges paléontologiques et archéologiques, </w:t>
      </w:r>
      <w:r>
        <w:rPr>
          <w:color w:val="231F20"/>
          <w:spacing w:val="-4"/>
        </w:rPr>
        <w:t>parfois remarquables : plusieurs cimetières de</w:t>
      </w:r>
      <w:r>
        <w:rPr>
          <w:color w:val="231F20"/>
          <w:spacing w:val="-5"/>
        </w:rPr>
        <w:t> </w:t>
      </w:r>
      <w:r>
        <w:rPr>
          <w:color w:val="231F20"/>
          <w:spacing w:val="-4"/>
        </w:rPr>
        <w:t>dinosaures sont disséminés </w:t>
      </w:r>
      <w:r>
        <w:rPr>
          <w:color w:val="231F20"/>
          <w:spacing w:val="-2"/>
        </w:rPr>
        <w:t>dans</w:t>
      </w:r>
      <w:r>
        <w:rPr>
          <w:color w:val="231F20"/>
          <w:spacing w:val="-11"/>
        </w:rPr>
        <w:t> </w:t>
      </w:r>
      <w:r>
        <w:rPr>
          <w:color w:val="231F20"/>
          <w:spacing w:val="-2"/>
        </w:rPr>
        <w:t>le</w:t>
      </w:r>
      <w:r>
        <w:rPr>
          <w:color w:val="231F20"/>
          <w:spacing w:val="-13"/>
        </w:rPr>
        <w:t> </w:t>
      </w:r>
      <w:r>
        <w:rPr>
          <w:color w:val="231F20"/>
          <w:spacing w:val="-2"/>
        </w:rPr>
        <w:t>désert.</w:t>
      </w:r>
      <w:r>
        <w:rPr>
          <w:color w:val="231F20"/>
          <w:spacing w:val="-11"/>
        </w:rPr>
        <w:t> </w:t>
      </w:r>
      <w:r>
        <w:rPr>
          <w:color w:val="231F20"/>
          <w:spacing w:val="-2"/>
        </w:rPr>
        <w:t>Le</w:t>
      </w:r>
      <w:r>
        <w:rPr>
          <w:color w:val="231F20"/>
          <w:spacing w:val="-13"/>
        </w:rPr>
        <w:t> </w:t>
      </w:r>
      <w:r>
        <w:rPr>
          <w:color w:val="231F20"/>
          <w:spacing w:val="-2"/>
        </w:rPr>
        <w:t>massif</w:t>
      </w:r>
      <w:r>
        <w:rPr>
          <w:color w:val="231F20"/>
          <w:spacing w:val="-11"/>
        </w:rPr>
        <w:t> </w:t>
      </w:r>
      <w:r>
        <w:rPr>
          <w:color w:val="231F20"/>
          <w:spacing w:val="-2"/>
        </w:rPr>
        <w:t>de</w:t>
      </w:r>
      <w:r>
        <w:rPr>
          <w:color w:val="231F20"/>
          <w:spacing w:val="-12"/>
        </w:rPr>
        <w:t> </w:t>
      </w:r>
      <w:r>
        <w:rPr>
          <w:color w:val="231F20"/>
          <w:spacing w:val="-2"/>
        </w:rPr>
        <w:t>l’Aïr</w:t>
      </w:r>
      <w:r>
        <w:rPr>
          <w:color w:val="231F20"/>
          <w:spacing w:val="-13"/>
        </w:rPr>
        <w:t> </w:t>
      </w:r>
      <w:r>
        <w:rPr>
          <w:color w:val="231F20"/>
          <w:spacing w:val="-2"/>
        </w:rPr>
        <w:t>toujours</w:t>
      </w:r>
      <w:r>
        <w:rPr>
          <w:color w:val="231F20"/>
          <w:spacing w:val="-13"/>
        </w:rPr>
        <w:t> </w:t>
      </w:r>
      <w:r>
        <w:rPr>
          <w:color w:val="231F20"/>
          <w:spacing w:val="-2"/>
        </w:rPr>
        <w:t>au</w:t>
      </w:r>
      <w:r>
        <w:rPr>
          <w:color w:val="231F20"/>
          <w:spacing w:val="-10"/>
        </w:rPr>
        <w:t> </w:t>
      </w:r>
      <w:r>
        <w:rPr>
          <w:color w:val="231F20"/>
          <w:spacing w:val="-2"/>
        </w:rPr>
        <w:t>Nord</w:t>
      </w:r>
      <w:r>
        <w:rPr>
          <w:color w:val="231F20"/>
          <w:spacing w:val="-11"/>
        </w:rPr>
        <w:t> </w:t>
      </w:r>
      <w:r>
        <w:rPr>
          <w:color w:val="231F20"/>
          <w:spacing w:val="-2"/>
        </w:rPr>
        <w:t>du</w:t>
      </w:r>
      <w:r>
        <w:rPr>
          <w:color w:val="231F20"/>
          <w:spacing w:val="-11"/>
        </w:rPr>
        <w:t> </w:t>
      </w:r>
      <w:r>
        <w:rPr>
          <w:color w:val="231F20"/>
          <w:spacing w:val="-2"/>
        </w:rPr>
        <w:t>pays</w:t>
      </w:r>
      <w:r>
        <w:rPr>
          <w:color w:val="231F20"/>
          <w:spacing w:val="-13"/>
        </w:rPr>
        <w:t> </w:t>
      </w:r>
      <w:r>
        <w:rPr>
          <w:color w:val="231F20"/>
          <w:spacing w:val="-2"/>
        </w:rPr>
        <w:t>et</w:t>
      </w:r>
      <w:r>
        <w:rPr>
          <w:color w:val="231F20"/>
          <w:spacing w:val="-13"/>
        </w:rPr>
        <w:t> </w:t>
      </w:r>
      <w:r>
        <w:rPr>
          <w:color w:val="231F20"/>
          <w:spacing w:val="-2"/>
        </w:rPr>
        <w:t>le</w:t>
      </w:r>
      <w:r>
        <w:rPr>
          <w:color w:val="231F20"/>
          <w:spacing w:val="-12"/>
        </w:rPr>
        <w:t> </w:t>
      </w:r>
      <w:r>
        <w:rPr>
          <w:color w:val="231F20"/>
          <w:spacing w:val="-2"/>
        </w:rPr>
        <w:t>désert</w:t>
      </w:r>
      <w:r>
        <w:rPr>
          <w:color w:val="231F20"/>
          <w:spacing w:val="-13"/>
        </w:rPr>
        <w:t> </w:t>
      </w:r>
      <w:r>
        <w:rPr>
          <w:color w:val="231F20"/>
          <w:spacing w:val="-2"/>
        </w:rPr>
        <w:t>du </w:t>
      </w:r>
      <w:r>
        <w:rPr>
          <w:color w:val="231F20"/>
        </w:rPr>
        <w:t>Ténéré</w:t>
      </w:r>
      <w:r>
        <w:rPr>
          <w:color w:val="231F20"/>
          <w:spacing w:val="-12"/>
        </w:rPr>
        <w:t> </w:t>
      </w:r>
      <w:r>
        <w:rPr>
          <w:color w:val="231F20"/>
        </w:rPr>
        <w:t>abritent</w:t>
      </w:r>
      <w:r>
        <w:rPr>
          <w:color w:val="231F20"/>
          <w:spacing w:val="-13"/>
        </w:rPr>
        <w:t> </w:t>
      </w:r>
      <w:r>
        <w:rPr>
          <w:color w:val="231F20"/>
        </w:rPr>
        <w:t>de</w:t>
      </w:r>
      <w:r>
        <w:rPr>
          <w:color w:val="231F20"/>
          <w:spacing w:val="-14"/>
        </w:rPr>
        <w:t> </w:t>
      </w:r>
      <w:r>
        <w:rPr>
          <w:color w:val="231F20"/>
        </w:rPr>
        <w:t>nombreuses</w:t>
      </w:r>
      <w:r>
        <w:rPr>
          <w:color w:val="231F20"/>
          <w:spacing w:val="-14"/>
        </w:rPr>
        <w:t> </w:t>
      </w:r>
      <w:r>
        <w:rPr>
          <w:color w:val="231F20"/>
        </w:rPr>
        <w:t>gravures</w:t>
      </w:r>
      <w:r>
        <w:rPr>
          <w:color w:val="231F20"/>
          <w:spacing w:val="-12"/>
        </w:rPr>
        <w:t> </w:t>
      </w:r>
      <w:r>
        <w:rPr>
          <w:color w:val="231F20"/>
        </w:rPr>
        <w:t>rupestres.</w:t>
      </w:r>
      <w:r>
        <w:rPr>
          <w:color w:val="231F20"/>
          <w:spacing w:val="-15"/>
        </w:rPr>
        <w:t> </w:t>
      </w:r>
      <w:r>
        <w:rPr>
          <w:color w:val="231F20"/>
        </w:rPr>
        <w:t>Dans</w:t>
      </w:r>
      <w:r>
        <w:rPr>
          <w:color w:val="231F20"/>
          <w:spacing w:val="-14"/>
        </w:rPr>
        <w:t> </w:t>
      </w:r>
      <w:r>
        <w:rPr>
          <w:color w:val="231F20"/>
        </w:rPr>
        <w:t>le</w:t>
      </w:r>
      <w:r>
        <w:rPr>
          <w:color w:val="231F20"/>
          <w:spacing w:val="-12"/>
        </w:rPr>
        <w:t> </w:t>
      </w:r>
      <w:r>
        <w:rPr>
          <w:color w:val="231F20"/>
        </w:rPr>
        <w:t>sud-ouest</w:t>
      </w:r>
      <w:r>
        <w:rPr>
          <w:color w:val="231F20"/>
          <w:spacing w:val="-13"/>
        </w:rPr>
        <w:t> </w:t>
      </w:r>
      <w:r>
        <w:rPr>
          <w:color w:val="231F20"/>
        </w:rPr>
        <w:t>du </w:t>
      </w:r>
      <w:r>
        <w:rPr>
          <w:color w:val="231F20"/>
          <w:spacing w:val="-2"/>
        </w:rPr>
        <w:t>pays,</w:t>
      </w:r>
      <w:r>
        <w:rPr>
          <w:color w:val="231F20"/>
          <w:spacing w:val="-15"/>
        </w:rPr>
        <w:t> </w:t>
      </w:r>
      <w:r>
        <w:rPr>
          <w:color w:val="231F20"/>
          <w:spacing w:val="-2"/>
        </w:rPr>
        <w:t>des</w:t>
      </w:r>
      <w:r>
        <w:rPr>
          <w:color w:val="231F20"/>
          <w:spacing w:val="-13"/>
        </w:rPr>
        <w:t> </w:t>
      </w:r>
      <w:r>
        <w:rPr>
          <w:color w:val="231F20"/>
          <w:spacing w:val="-2"/>
        </w:rPr>
        <w:t>archéologues</w:t>
      </w:r>
      <w:r>
        <w:rPr>
          <w:color w:val="231F20"/>
          <w:spacing w:val="-13"/>
        </w:rPr>
        <w:t> </w:t>
      </w:r>
      <w:r>
        <w:rPr>
          <w:color w:val="231F20"/>
          <w:spacing w:val="-2"/>
        </w:rPr>
        <w:t>ont</w:t>
      </w:r>
      <w:r>
        <w:rPr>
          <w:color w:val="231F20"/>
          <w:spacing w:val="-13"/>
        </w:rPr>
        <w:t> </w:t>
      </w:r>
      <w:r>
        <w:rPr>
          <w:color w:val="231F20"/>
          <w:spacing w:val="-2"/>
        </w:rPr>
        <w:t>exhumé</w:t>
      </w:r>
      <w:r>
        <w:rPr>
          <w:color w:val="231F20"/>
          <w:spacing w:val="-13"/>
        </w:rPr>
        <w:t> </w:t>
      </w:r>
      <w:r>
        <w:rPr>
          <w:color w:val="231F20"/>
          <w:spacing w:val="-2"/>
        </w:rPr>
        <w:t>des</w:t>
      </w:r>
      <w:r>
        <w:rPr>
          <w:color w:val="231F20"/>
          <w:spacing w:val="-13"/>
        </w:rPr>
        <w:t> </w:t>
      </w:r>
      <w:r>
        <w:rPr>
          <w:color w:val="231F20"/>
          <w:spacing w:val="-2"/>
        </w:rPr>
        <w:t>sculptures</w:t>
      </w:r>
      <w:r>
        <w:rPr>
          <w:color w:val="231F20"/>
          <w:spacing w:val="-13"/>
        </w:rPr>
        <w:t> </w:t>
      </w:r>
      <w:r>
        <w:rPr>
          <w:color w:val="231F20"/>
          <w:spacing w:val="-2"/>
        </w:rPr>
        <w:t>en</w:t>
      </w:r>
      <w:r>
        <w:rPr>
          <w:color w:val="231F20"/>
          <w:spacing w:val="-13"/>
        </w:rPr>
        <w:t> </w:t>
      </w:r>
      <w:r>
        <w:rPr>
          <w:color w:val="231F20"/>
          <w:spacing w:val="-2"/>
        </w:rPr>
        <w:t>terre</w:t>
      </w:r>
      <w:r>
        <w:rPr>
          <w:color w:val="231F20"/>
          <w:spacing w:val="-13"/>
        </w:rPr>
        <w:t> </w:t>
      </w:r>
      <w:r>
        <w:rPr>
          <w:color w:val="231F20"/>
          <w:spacing w:val="-2"/>
        </w:rPr>
        <w:t>cuite</w:t>
      </w:r>
      <w:r>
        <w:rPr>
          <w:color w:val="231F20"/>
          <w:spacing w:val="-13"/>
        </w:rPr>
        <w:t> </w:t>
      </w:r>
      <w:r>
        <w:rPr>
          <w:color w:val="231F20"/>
          <w:spacing w:val="-2"/>
        </w:rPr>
        <w:t>en</w:t>
      </w:r>
      <w:r>
        <w:rPr>
          <w:color w:val="231F20"/>
          <w:spacing w:val="-13"/>
        </w:rPr>
        <w:t> </w:t>
      </w:r>
      <w:r>
        <w:rPr>
          <w:color w:val="231F20"/>
          <w:spacing w:val="-2"/>
        </w:rPr>
        <w:t>1983</w:t>
      </w:r>
      <w:r>
        <w:rPr>
          <w:color w:val="231F20"/>
          <w:spacing w:val="-13"/>
        </w:rPr>
        <w:t> </w:t>
      </w:r>
      <w:r>
        <w:rPr>
          <w:color w:val="231F20"/>
          <w:spacing w:val="-2"/>
        </w:rPr>
        <w:t>; </w:t>
      </w:r>
      <w:r>
        <w:rPr>
          <w:color w:val="231F20"/>
        </w:rPr>
        <w:t>le site a été inscrit par l’International Council of Museums sur la liste rouge des vestiges archéologiques menacés de pillage. Ces richesses </w:t>
      </w:r>
      <w:r>
        <w:rPr>
          <w:color w:val="231F20"/>
          <w:spacing w:val="-2"/>
        </w:rPr>
        <w:t>archéologiques</w:t>
      </w:r>
      <w:r>
        <w:rPr>
          <w:color w:val="231F20"/>
          <w:spacing w:val="-13"/>
        </w:rPr>
        <w:t> </w:t>
      </w:r>
      <w:r>
        <w:rPr>
          <w:color w:val="231F20"/>
          <w:spacing w:val="-2"/>
        </w:rPr>
        <w:t>sont</w:t>
      </w:r>
      <w:r>
        <w:rPr>
          <w:color w:val="231F20"/>
          <w:spacing w:val="-13"/>
        </w:rPr>
        <w:t> </w:t>
      </w:r>
      <w:r>
        <w:rPr>
          <w:color w:val="231F20"/>
          <w:spacing w:val="-2"/>
        </w:rPr>
        <w:t>difficiles</w:t>
      </w:r>
      <w:r>
        <w:rPr>
          <w:color w:val="231F20"/>
          <w:spacing w:val="-13"/>
        </w:rPr>
        <w:t> </w:t>
      </w:r>
      <w:r>
        <w:rPr>
          <w:color w:val="231F20"/>
          <w:spacing w:val="-2"/>
        </w:rPr>
        <w:t>d’accès</w:t>
      </w:r>
      <w:r>
        <w:rPr>
          <w:color w:val="231F20"/>
          <w:spacing w:val="-12"/>
        </w:rPr>
        <w:t> </w:t>
      </w:r>
      <w:r>
        <w:rPr>
          <w:color w:val="231F20"/>
          <w:spacing w:val="-2"/>
        </w:rPr>
        <w:t>autant</w:t>
      </w:r>
      <w:r>
        <w:rPr>
          <w:color w:val="231F20"/>
          <w:spacing w:val="-12"/>
        </w:rPr>
        <w:t> </w:t>
      </w:r>
      <w:r>
        <w:rPr>
          <w:color w:val="231F20"/>
          <w:spacing w:val="-2"/>
        </w:rPr>
        <w:t>pour</w:t>
      </w:r>
      <w:r>
        <w:rPr>
          <w:color w:val="231F20"/>
          <w:spacing w:val="-12"/>
        </w:rPr>
        <w:t> </w:t>
      </w:r>
      <w:r>
        <w:rPr>
          <w:color w:val="231F20"/>
          <w:spacing w:val="-2"/>
        </w:rPr>
        <w:t>le</w:t>
      </w:r>
      <w:r>
        <w:rPr>
          <w:color w:val="231F20"/>
          <w:spacing w:val="-13"/>
        </w:rPr>
        <w:t> </w:t>
      </w:r>
      <w:r>
        <w:rPr>
          <w:color w:val="231F20"/>
          <w:spacing w:val="-2"/>
        </w:rPr>
        <w:t>pouvoir</w:t>
      </w:r>
      <w:r>
        <w:rPr>
          <w:color w:val="231F20"/>
          <w:spacing w:val="-12"/>
        </w:rPr>
        <w:t> </w:t>
      </w:r>
      <w:r>
        <w:rPr>
          <w:color w:val="231F20"/>
          <w:spacing w:val="-2"/>
        </w:rPr>
        <w:t>que</w:t>
      </w:r>
      <w:r>
        <w:rPr>
          <w:color w:val="231F20"/>
          <w:spacing w:val="-12"/>
        </w:rPr>
        <w:t> </w:t>
      </w:r>
      <w:r>
        <w:rPr>
          <w:color w:val="231F20"/>
          <w:spacing w:val="-2"/>
        </w:rPr>
        <w:t>pour</w:t>
      </w:r>
      <w:r>
        <w:rPr>
          <w:color w:val="231F20"/>
          <w:spacing w:val="-12"/>
        </w:rPr>
        <w:t> </w:t>
      </w:r>
      <w:r>
        <w:rPr>
          <w:color w:val="231F20"/>
          <w:spacing w:val="-2"/>
        </w:rPr>
        <w:t>les </w:t>
      </w:r>
      <w:r>
        <w:rPr>
          <w:color w:val="231F20"/>
        </w:rPr>
        <w:t>touristes</w:t>
      </w:r>
      <w:r>
        <w:rPr>
          <w:color w:val="231F20"/>
          <w:spacing w:val="-15"/>
        </w:rPr>
        <w:t> </w:t>
      </w:r>
      <w:r>
        <w:rPr>
          <w:color w:val="231F20"/>
        </w:rPr>
        <w:t>:</w:t>
      </w:r>
      <w:r>
        <w:rPr>
          <w:color w:val="231F20"/>
          <w:spacing w:val="-11"/>
        </w:rPr>
        <w:t> </w:t>
      </w:r>
      <w:r>
        <w:rPr>
          <w:color w:val="231F20"/>
        </w:rPr>
        <w:t>le</w:t>
      </w:r>
      <w:r>
        <w:rPr>
          <w:color w:val="231F20"/>
          <w:spacing w:val="-8"/>
        </w:rPr>
        <w:t> </w:t>
      </w:r>
      <w:r>
        <w:rPr>
          <w:color w:val="231F20"/>
        </w:rPr>
        <w:t>Nord</w:t>
      </w:r>
      <w:r>
        <w:rPr>
          <w:color w:val="231F20"/>
          <w:spacing w:val="-7"/>
        </w:rPr>
        <w:t> </w:t>
      </w:r>
      <w:r>
        <w:rPr>
          <w:color w:val="231F20"/>
        </w:rPr>
        <w:t>est</w:t>
      </w:r>
      <w:r>
        <w:rPr>
          <w:color w:val="231F20"/>
          <w:spacing w:val="-5"/>
        </w:rPr>
        <w:t> </w:t>
      </w:r>
      <w:r>
        <w:rPr>
          <w:color w:val="231F20"/>
        </w:rPr>
        <w:t>contrôlé</w:t>
      </w:r>
      <w:r>
        <w:rPr>
          <w:color w:val="231F20"/>
          <w:spacing w:val="-8"/>
        </w:rPr>
        <w:t> </w:t>
      </w:r>
      <w:r>
        <w:rPr>
          <w:color w:val="231F20"/>
        </w:rPr>
        <w:t>par</w:t>
      </w:r>
      <w:r>
        <w:rPr>
          <w:color w:val="231F20"/>
          <w:spacing w:val="-7"/>
        </w:rPr>
        <w:t> </w:t>
      </w:r>
      <w:r>
        <w:rPr>
          <w:color w:val="231F20"/>
        </w:rPr>
        <w:t>les</w:t>
      </w:r>
      <w:r>
        <w:rPr>
          <w:color w:val="231F20"/>
          <w:spacing w:val="-7"/>
        </w:rPr>
        <w:t> </w:t>
      </w:r>
      <w:r>
        <w:rPr>
          <w:color w:val="231F20"/>
        </w:rPr>
        <w:t>Touarègues</w:t>
      </w:r>
      <w:r>
        <w:rPr>
          <w:color w:val="231F20"/>
          <w:spacing w:val="-8"/>
        </w:rPr>
        <w:t> </w:t>
      </w:r>
      <w:r>
        <w:rPr>
          <w:color w:val="231F20"/>
        </w:rPr>
        <w:t>qui</w:t>
      </w:r>
      <w:r>
        <w:rPr>
          <w:color w:val="231F20"/>
          <w:spacing w:val="-6"/>
        </w:rPr>
        <w:t> </w:t>
      </w:r>
      <w:r>
        <w:rPr>
          <w:color w:val="231F20"/>
        </w:rPr>
        <w:t>revendiquent</w:t>
      </w:r>
      <w:r>
        <w:rPr>
          <w:color w:val="231F20"/>
          <w:spacing w:val="-7"/>
        </w:rPr>
        <w:t> </w:t>
      </w:r>
      <w:r>
        <w:rPr>
          <w:color w:val="231F20"/>
        </w:rPr>
        <w:t>une plus grande autonomie sur leur territoire, ainsi que des retombées </w:t>
      </w:r>
      <w:r>
        <w:rPr>
          <w:color w:val="231F20"/>
          <w:spacing w:val="-2"/>
        </w:rPr>
        <w:t>économiques</w:t>
      </w:r>
      <w:r>
        <w:rPr>
          <w:color w:val="231F20"/>
          <w:spacing w:val="-15"/>
        </w:rPr>
        <w:t> </w:t>
      </w:r>
      <w:r>
        <w:rPr>
          <w:color w:val="231F20"/>
          <w:spacing w:val="-2"/>
        </w:rPr>
        <w:t>des</w:t>
      </w:r>
      <w:r>
        <w:rPr>
          <w:color w:val="231F20"/>
          <w:spacing w:val="-13"/>
        </w:rPr>
        <w:t> </w:t>
      </w:r>
      <w:r>
        <w:rPr>
          <w:color w:val="231F20"/>
          <w:spacing w:val="-2"/>
        </w:rPr>
        <w:t>activités</w:t>
      </w:r>
      <w:r>
        <w:rPr>
          <w:color w:val="231F20"/>
          <w:spacing w:val="-13"/>
        </w:rPr>
        <w:t> </w:t>
      </w:r>
      <w:r>
        <w:rPr>
          <w:color w:val="231F20"/>
          <w:spacing w:val="-2"/>
        </w:rPr>
        <w:t>minières</w:t>
      </w:r>
      <w:r>
        <w:rPr>
          <w:color w:val="231F20"/>
          <w:spacing w:val="-13"/>
        </w:rPr>
        <w:t> </w:t>
      </w:r>
      <w:r>
        <w:rPr>
          <w:color w:val="231F20"/>
          <w:spacing w:val="-2"/>
        </w:rPr>
        <w:t>qui</w:t>
      </w:r>
      <w:r>
        <w:rPr>
          <w:color w:val="231F20"/>
          <w:spacing w:val="-13"/>
        </w:rPr>
        <w:t> </w:t>
      </w:r>
      <w:r>
        <w:rPr>
          <w:color w:val="231F20"/>
          <w:spacing w:val="-2"/>
        </w:rPr>
        <w:t>s’effectuent</w:t>
      </w:r>
      <w:r>
        <w:rPr>
          <w:color w:val="231F20"/>
          <w:spacing w:val="-13"/>
        </w:rPr>
        <w:t> </w:t>
      </w:r>
      <w:r>
        <w:rPr>
          <w:color w:val="231F20"/>
          <w:spacing w:val="-2"/>
        </w:rPr>
        <w:t>sur</w:t>
      </w:r>
      <w:r>
        <w:rPr>
          <w:color w:val="231F20"/>
          <w:spacing w:val="-13"/>
        </w:rPr>
        <w:t> </w:t>
      </w:r>
      <w:r>
        <w:rPr>
          <w:color w:val="231F20"/>
          <w:spacing w:val="-2"/>
        </w:rPr>
        <w:t>«</w:t>
      </w:r>
      <w:r>
        <w:rPr>
          <w:color w:val="231F20"/>
          <w:spacing w:val="-13"/>
        </w:rPr>
        <w:t> </w:t>
      </w:r>
      <w:r>
        <w:rPr>
          <w:color w:val="231F20"/>
          <w:spacing w:val="-2"/>
        </w:rPr>
        <w:t>leur</w:t>
      </w:r>
      <w:r>
        <w:rPr>
          <w:color w:val="231F20"/>
          <w:spacing w:val="-13"/>
        </w:rPr>
        <w:t> </w:t>
      </w:r>
      <w:r>
        <w:rPr>
          <w:color w:val="231F20"/>
          <w:spacing w:val="-2"/>
        </w:rPr>
        <w:t>territoire</w:t>
      </w:r>
      <w:r>
        <w:rPr>
          <w:color w:val="231F20"/>
          <w:spacing w:val="-13"/>
        </w:rPr>
        <w:t> </w:t>
      </w:r>
      <w:r>
        <w:rPr>
          <w:color w:val="231F20"/>
          <w:spacing w:val="-2"/>
        </w:rPr>
        <w:t>». Depuis</w:t>
      </w:r>
      <w:r>
        <w:rPr>
          <w:color w:val="231F20"/>
          <w:spacing w:val="-11"/>
        </w:rPr>
        <w:t> </w:t>
      </w:r>
      <w:r>
        <w:rPr>
          <w:color w:val="231F20"/>
          <w:spacing w:val="-2"/>
        </w:rPr>
        <w:t>1968,</w:t>
      </w:r>
      <w:r>
        <w:rPr>
          <w:color w:val="231F20"/>
          <w:spacing w:val="-12"/>
        </w:rPr>
        <w:t> </w:t>
      </w:r>
      <w:r>
        <w:rPr>
          <w:color w:val="231F20"/>
          <w:spacing w:val="-2"/>
        </w:rPr>
        <w:t>10</w:t>
      </w:r>
      <w:r>
        <w:rPr>
          <w:color w:val="231F20"/>
          <w:spacing w:val="-10"/>
        </w:rPr>
        <w:t> </w:t>
      </w:r>
      <w:r>
        <w:rPr>
          <w:color w:val="231F20"/>
          <w:spacing w:val="-2"/>
        </w:rPr>
        <w:t>gisements</w:t>
      </w:r>
      <w:r>
        <w:rPr>
          <w:color w:val="231F20"/>
          <w:spacing w:val="-10"/>
        </w:rPr>
        <w:t> </w:t>
      </w:r>
      <w:r>
        <w:rPr>
          <w:color w:val="231F20"/>
          <w:spacing w:val="-2"/>
        </w:rPr>
        <w:t>d’uranium</w:t>
      </w:r>
      <w:r>
        <w:rPr>
          <w:color w:val="231F20"/>
          <w:spacing w:val="-11"/>
        </w:rPr>
        <w:t> </w:t>
      </w:r>
      <w:r>
        <w:rPr>
          <w:color w:val="231F20"/>
          <w:spacing w:val="-2"/>
        </w:rPr>
        <w:t>ont</w:t>
      </w:r>
      <w:r>
        <w:rPr>
          <w:color w:val="231F20"/>
          <w:spacing w:val="-10"/>
        </w:rPr>
        <w:t> </w:t>
      </w:r>
      <w:r>
        <w:rPr>
          <w:color w:val="231F20"/>
          <w:spacing w:val="-2"/>
        </w:rPr>
        <w:t>été</w:t>
      </w:r>
      <w:r>
        <w:rPr>
          <w:color w:val="231F20"/>
          <w:spacing w:val="-10"/>
        </w:rPr>
        <w:t> </w:t>
      </w:r>
      <w:r>
        <w:rPr>
          <w:color w:val="231F20"/>
          <w:spacing w:val="-2"/>
        </w:rPr>
        <w:t>exploités</w:t>
      </w:r>
      <w:r>
        <w:rPr>
          <w:color w:val="231F20"/>
          <w:spacing w:val="-10"/>
        </w:rPr>
        <w:t> </w:t>
      </w:r>
      <w:r>
        <w:rPr>
          <w:color w:val="231F20"/>
          <w:spacing w:val="-2"/>
        </w:rPr>
        <w:t>à</w:t>
      </w:r>
      <w:r>
        <w:rPr>
          <w:color w:val="231F20"/>
          <w:spacing w:val="-10"/>
        </w:rPr>
        <w:t> </w:t>
      </w:r>
      <w:r>
        <w:rPr>
          <w:color w:val="231F20"/>
          <w:spacing w:val="-2"/>
        </w:rPr>
        <w:t>Arlit.</w:t>
      </w:r>
      <w:r>
        <w:rPr>
          <w:color w:val="231F20"/>
          <w:spacing w:val="-11"/>
        </w:rPr>
        <w:t> </w:t>
      </w:r>
      <w:r>
        <w:rPr>
          <w:color w:val="231F20"/>
          <w:spacing w:val="-2"/>
        </w:rPr>
        <w:t>Certaines sont</w:t>
      </w:r>
      <w:r>
        <w:rPr>
          <w:color w:val="231F20"/>
          <w:spacing w:val="-13"/>
        </w:rPr>
        <w:t> </w:t>
      </w:r>
      <w:r>
        <w:rPr>
          <w:color w:val="231F20"/>
          <w:spacing w:val="-2"/>
        </w:rPr>
        <w:t>exploitées</w:t>
      </w:r>
      <w:r>
        <w:rPr>
          <w:color w:val="231F20"/>
          <w:spacing w:val="-13"/>
        </w:rPr>
        <w:t> </w:t>
      </w:r>
      <w:r>
        <w:rPr>
          <w:color w:val="231F20"/>
          <w:spacing w:val="-2"/>
        </w:rPr>
        <w:t>à</w:t>
      </w:r>
      <w:r>
        <w:rPr>
          <w:color w:val="231F20"/>
          <w:spacing w:val="-13"/>
        </w:rPr>
        <w:t> </w:t>
      </w:r>
      <w:r>
        <w:rPr>
          <w:color w:val="231F20"/>
          <w:spacing w:val="-2"/>
        </w:rPr>
        <w:t>ciel</w:t>
      </w:r>
      <w:r>
        <w:rPr>
          <w:color w:val="231F20"/>
          <w:spacing w:val="-13"/>
        </w:rPr>
        <w:t> </w:t>
      </w:r>
      <w:r>
        <w:rPr>
          <w:color w:val="231F20"/>
          <w:spacing w:val="-2"/>
        </w:rPr>
        <w:t>ouvert</w:t>
      </w:r>
      <w:r>
        <w:rPr>
          <w:color w:val="231F20"/>
          <w:spacing w:val="-13"/>
        </w:rPr>
        <w:t> </w:t>
      </w:r>
      <w:r>
        <w:rPr>
          <w:color w:val="231F20"/>
          <w:spacing w:val="-2"/>
        </w:rPr>
        <w:t>(les</w:t>
      </w:r>
      <w:r>
        <w:rPr>
          <w:color w:val="231F20"/>
          <w:spacing w:val="-13"/>
        </w:rPr>
        <w:t> </w:t>
      </w:r>
      <w:r>
        <w:rPr>
          <w:color w:val="231F20"/>
          <w:spacing w:val="-2"/>
        </w:rPr>
        <w:t>mines</w:t>
      </w:r>
      <w:r>
        <w:rPr>
          <w:color w:val="231F20"/>
          <w:spacing w:val="-12"/>
        </w:rPr>
        <w:t> </w:t>
      </w:r>
      <w:r>
        <w:rPr>
          <w:color w:val="231F20"/>
          <w:spacing w:val="-2"/>
        </w:rPr>
        <w:t>de</w:t>
      </w:r>
      <w:r>
        <w:rPr>
          <w:color w:val="231F20"/>
          <w:spacing w:val="-12"/>
        </w:rPr>
        <w:t> </w:t>
      </w:r>
      <w:r>
        <w:rPr>
          <w:color w:val="231F20"/>
          <w:spacing w:val="-2"/>
        </w:rPr>
        <w:t>Somaïr)</w:t>
      </w:r>
      <w:r>
        <w:rPr>
          <w:color w:val="231F20"/>
          <w:spacing w:val="-12"/>
        </w:rPr>
        <w:t> </w:t>
      </w:r>
      <w:r>
        <w:rPr>
          <w:color w:val="231F20"/>
          <w:spacing w:val="-2"/>
        </w:rPr>
        <w:t>et</w:t>
      </w:r>
      <w:r>
        <w:rPr>
          <w:color w:val="231F20"/>
          <w:spacing w:val="-12"/>
        </w:rPr>
        <w:t> </w:t>
      </w:r>
      <w:r>
        <w:rPr>
          <w:color w:val="231F20"/>
          <w:spacing w:val="-2"/>
        </w:rPr>
        <w:t>d’autres</w:t>
      </w:r>
      <w:r>
        <w:rPr>
          <w:color w:val="231F20"/>
          <w:spacing w:val="-12"/>
        </w:rPr>
        <w:t> </w:t>
      </w:r>
      <w:r>
        <w:rPr>
          <w:color w:val="231F20"/>
          <w:spacing w:val="-2"/>
        </w:rPr>
        <w:t>par</w:t>
      </w:r>
      <w:r>
        <w:rPr>
          <w:color w:val="231F20"/>
          <w:spacing w:val="-13"/>
        </w:rPr>
        <w:t> </w:t>
      </w:r>
      <w:r>
        <w:rPr>
          <w:color w:val="231F20"/>
          <w:spacing w:val="-2"/>
        </w:rPr>
        <w:t>travaux </w:t>
      </w:r>
      <w:r>
        <w:rPr>
          <w:color w:val="231F20"/>
        </w:rPr>
        <w:t>souterrains (la mine de</w:t>
      </w:r>
      <w:r>
        <w:rPr>
          <w:color w:val="231F20"/>
          <w:spacing w:val="-11"/>
        </w:rPr>
        <w:t> </w:t>
      </w:r>
      <w:r>
        <w:rPr>
          <w:color w:val="231F20"/>
        </w:rPr>
        <w:t>Cominak). Ces deux mines ont fourni l’uranium</w:t>
      </w:r>
      <w:r>
        <w:rPr>
          <w:color w:val="231F20"/>
          <w:spacing w:val="-15"/>
        </w:rPr>
        <w:t> </w:t>
      </w:r>
      <w:r>
        <w:rPr>
          <w:color w:val="231F20"/>
        </w:rPr>
        <w:t>utilisé</w:t>
      </w:r>
      <w:r>
        <w:rPr>
          <w:color w:val="231F20"/>
          <w:spacing w:val="40"/>
        </w:rPr>
        <w:t> </w:t>
      </w:r>
      <w:r>
        <w:rPr>
          <w:color w:val="231F20"/>
        </w:rPr>
        <w:t>comme</w:t>
      </w:r>
      <w:r>
        <w:rPr>
          <w:color w:val="231F20"/>
          <w:spacing w:val="-15"/>
        </w:rPr>
        <w:t> </w:t>
      </w:r>
      <w:r>
        <w:rPr>
          <w:color w:val="231F20"/>
        </w:rPr>
        <w:t>combustible</w:t>
      </w:r>
      <w:r>
        <w:rPr>
          <w:color w:val="231F20"/>
          <w:spacing w:val="40"/>
        </w:rPr>
        <w:t> </w:t>
      </w:r>
      <w:r>
        <w:rPr>
          <w:color w:val="231F20"/>
        </w:rPr>
        <w:t>nucléaire</w:t>
      </w:r>
      <w:r>
        <w:rPr>
          <w:color w:val="231F20"/>
          <w:spacing w:val="-15"/>
        </w:rPr>
        <w:t> </w:t>
      </w:r>
      <w:r>
        <w:rPr>
          <w:color w:val="231F20"/>
        </w:rPr>
        <w:t>dans</w:t>
      </w:r>
      <w:r>
        <w:rPr>
          <w:color w:val="231F20"/>
          <w:spacing w:val="40"/>
        </w:rPr>
        <w:t> </w:t>
      </w:r>
      <w:r>
        <w:rPr>
          <w:color w:val="231F20"/>
        </w:rPr>
        <w:t>les</w:t>
      </w:r>
      <w:r>
        <w:rPr>
          <w:color w:val="231F20"/>
          <w:spacing w:val="-15"/>
        </w:rPr>
        <w:t> </w:t>
      </w:r>
      <w:r>
        <w:rPr>
          <w:color w:val="231F20"/>
        </w:rPr>
        <w:t>Centrales nucléaires</w:t>
      </w:r>
      <w:r>
        <w:rPr>
          <w:color w:val="231F20"/>
          <w:spacing w:val="-8"/>
        </w:rPr>
        <w:t> </w:t>
      </w:r>
      <w:r>
        <w:rPr>
          <w:color w:val="231F20"/>
        </w:rPr>
        <w:t>en</w:t>
      </w:r>
      <w:r>
        <w:rPr>
          <w:color w:val="231F20"/>
          <w:spacing w:val="-10"/>
        </w:rPr>
        <w:t> </w:t>
      </w:r>
      <w:r>
        <w:rPr>
          <w:color w:val="231F20"/>
        </w:rPr>
        <w:t>France</w:t>
      </w:r>
      <w:r>
        <w:rPr>
          <w:color w:val="231F20"/>
          <w:spacing w:val="-8"/>
        </w:rPr>
        <w:t> </w:t>
      </w:r>
      <w:r>
        <w:rPr>
          <w:color w:val="231F20"/>
        </w:rPr>
        <w:t>et</w:t>
      </w:r>
      <w:r>
        <w:rPr>
          <w:color w:val="231F20"/>
          <w:spacing w:val="-8"/>
        </w:rPr>
        <w:t> </w:t>
      </w:r>
      <w:r>
        <w:rPr>
          <w:color w:val="231F20"/>
        </w:rPr>
        <w:t>pour</w:t>
      </w:r>
      <w:r>
        <w:rPr>
          <w:color w:val="231F20"/>
          <w:spacing w:val="-8"/>
        </w:rPr>
        <w:t> </w:t>
      </w:r>
      <w:r>
        <w:rPr>
          <w:color w:val="231F20"/>
        </w:rPr>
        <w:t>la</w:t>
      </w:r>
      <w:r>
        <w:rPr>
          <w:color w:val="231F20"/>
          <w:spacing w:val="-7"/>
        </w:rPr>
        <w:t> </w:t>
      </w:r>
      <w:r>
        <w:rPr>
          <w:color w:val="231F20"/>
        </w:rPr>
        <w:t>Force</w:t>
      </w:r>
      <w:r>
        <w:rPr>
          <w:color w:val="231F20"/>
          <w:spacing w:val="-8"/>
        </w:rPr>
        <w:t> </w:t>
      </w:r>
      <w:r>
        <w:rPr>
          <w:color w:val="231F20"/>
        </w:rPr>
        <w:t>de</w:t>
      </w:r>
      <w:r>
        <w:rPr>
          <w:color w:val="231F20"/>
          <w:spacing w:val="-8"/>
        </w:rPr>
        <w:t> </w:t>
      </w:r>
      <w:r>
        <w:rPr>
          <w:color w:val="231F20"/>
        </w:rPr>
        <w:t>dissuasion</w:t>
      </w:r>
      <w:r>
        <w:rPr>
          <w:color w:val="231F20"/>
          <w:spacing w:val="-10"/>
        </w:rPr>
        <w:t> </w:t>
      </w:r>
      <w:r>
        <w:rPr>
          <w:color w:val="231F20"/>
        </w:rPr>
        <w:t>nucléaire</w:t>
      </w:r>
      <w:r>
        <w:rPr>
          <w:color w:val="231F20"/>
          <w:spacing w:val="-8"/>
        </w:rPr>
        <w:t> </w:t>
      </w:r>
      <w:r>
        <w:rPr>
          <w:color w:val="231F20"/>
        </w:rPr>
        <w:t>française.</w:t>
      </w:r>
    </w:p>
    <w:p>
      <w:pPr>
        <w:pStyle w:val="BodyText"/>
        <w:spacing w:before="121"/>
        <w:ind w:right="106" w:firstLine="283"/>
      </w:pPr>
      <w:r>
        <w:rPr>
          <w:color w:val="231F20"/>
          <w:spacing w:val="-2"/>
        </w:rPr>
        <w:t>Pourtant</w:t>
      </w:r>
      <w:r>
        <w:rPr>
          <w:color w:val="231F20"/>
          <w:spacing w:val="-12"/>
        </w:rPr>
        <w:t> </w:t>
      </w:r>
      <w:r>
        <w:rPr>
          <w:color w:val="231F20"/>
          <w:spacing w:val="-2"/>
        </w:rPr>
        <w:t>le</w:t>
      </w:r>
      <w:r>
        <w:rPr>
          <w:color w:val="231F20"/>
          <w:spacing w:val="-13"/>
        </w:rPr>
        <w:t> </w:t>
      </w:r>
      <w:r>
        <w:rPr>
          <w:color w:val="231F20"/>
          <w:spacing w:val="-2"/>
        </w:rPr>
        <w:t>Niger</w:t>
      </w:r>
      <w:r>
        <w:rPr>
          <w:color w:val="231F20"/>
          <w:spacing w:val="-13"/>
        </w:rPr>
        <w:t> </w:t>
      </w:r>
      <w:r>
        <w:rPr>
          <w:color w:val="231F20"/>
          <w:spacing w:val="-2"/>
        </w:rPr>
        <w:t>reste</w:t>
      </w:r>
      <w:r>
        <w:rPr>
          <w:color w:val="231F20"/>
          <w:spacing w:val="-11"/>
        </w:rPr>
        <w:t> </w:t>
      </w:r>
      <w:r>
        <w:rPr>
          <w:color w:val="231F20"/>
          <w:spacing w:val="-2"/>
        </w:rPr>
        <w:t>toujours</w:t>
      </w:r>
      <w:r>
        <w:rPr>
          <w:color w:val="231F20"/>
          <w:spacing w:val="-13"/>
        </w:rPr>
        <w:t> </w:t>
      </w:r>
      <w:r>
        <w:rPr>
          <w:color w:val="231F20"/>
          <w:spacing w:val="-2"/>
        </w:rPr>
        <w:t>un</w:t>
      </w:r>
      <w:r>
        <w:rPr>
          <w:color w:val="231F20"/>
          <w:spacing w:val="-13"/>
        </w:rPr>
        <w:t> </w:t>
      </w:r>
      <w:r>
        <w:rPr>
          <w:color w:val="231F20"/>
          <w:spacing w:val="-2"/>
        </w:rPr>
        <w:t>pays</w:t>
      </w:r>
      <w:r>
        <w:rPr>
          <w:color w:val="231F20"/>
          <w:spacing w:val="-13"/>
        </w:rPr>
        <w:t> </w:t>
      </w:r>
      <w:r>
        <w:rPr>
          <w:color w:val="231F20"/>
          <w:spacing w:val="-2"/>
        </w:rPr>
        <w:t>pauvre</w:t>
      </w:r>
      <w:r>
        <w:rPr>
          <w:color w:val="231F20"/>
          <w:spacing w:val="-13"/>
        </w:rPr>
        <w:t> </w:t>
      </w:r>
      <w:r>
        <w:rPr>
          <w:color w:val="231F20"/>
          <w:spacing w:val="-2"/>
        </w:rPr>
        <w:t>parmi</w:t>
      </w:r>
      <w:r>
        <w:rPr>
          <w:color w:val="231F20"/>
          <w:spacing w:val="-12"/>
        </w:rPr>
        <w:t> </w:t>
      </w:r>
      <w:r>
        <w:rPr>
          <w:color w:val="231F20"/>
          <w:spacing w:val="-2"/>
        </w:rPr>
        <w:t>les</w:t>
      </w:r>
      <w:r>
        <w:rPr>
          <w:color w:val="231F20"/>
          <w:spacing w:val="-13"/>
        </w:rPr>
        <w:t> </w:t>
      </w:r>
      <w:r>
        <w:rPr>
          <w:color w:val="231F20"/>
          <w:spacing w:val="-2"/>
        </w:rPr>
        <w:t>plus</w:t>
      </w:r>
      <w:r>
        <w:rPr>
          <w:color w:val="231F20"/>
          <w:spacing w:val="-13"/>
        </w:rPr>
        <w:t> </w:t>
      </w:r>
      <w:r>
        <w:rPr>
          <w:color w:val="231F20"/>
          <w:spacing w:val="-2"/>
        </w:rPr>
        <w:t>pauvres </w:t>
      </w:r>
      <w:r>
        <w:rPr>
          <w:color w:val="231F20"/>
        </w:rPr>
        <w:t>du monde. Sans l’aide internationale, émanant de coopérations </w:t>
      </w:r>
      <w:r>
        <w:rPr>
          <w:color w:val="231F20"/>
          <w:spacing w:val="-4"/>
        </w:rPr>
        <w:t>gouvernementales</w:t>
      </w:r>
      <w:r>
        <w:rPr>
          <w:color w:val="231F20"/>
          <w:spacing w:val="-6"/>
        </w:rPr>
        <w:t> </w:t>
      </w:r>
      <w:r>
        <w:rPr>
          <w:color w:val="231F20"/>
          <w:spacing w:val="-4"/>
        </w:rPr>
        <w:t>ou d’Ong,</w:t>
      </w:r>
      <w:r>
        <w:rPr>
          <w:color w:val="231F20"/>
          <w:spacing w:val="-7"/>
        </w:rPr>
        <w:t> </w:t>
      </w:r>
      <w:r>
        <w:rPr>
          <w:color w:val="231F20"/>
          <w:spacing w:val="-4"/>
        </w:rPr>
        <w:t>le</w:t>
      </w:r>
      <w:r>
        <w:rPr>
          <w:color w:val="231F20"/>
          <w:spacing w:val="-7"/>
        </w:rPr>
        <w:t> </w:t>
      </w:r>
      <w:r>
        <w:rPr>
          <w:color w:val="231F20"/>
          <w:spacing w:val="-4"/>
        </w:rPr>
        <w:t>pays</w:t>
      </w:r>
      <w:r>
        <w:rPr>
          <w:color w:val="231F20"/>
          <w:spacing w:val="-6"/>
        </w:rPr>
        <w:t> </w:t>
      </w:r>
      <w:r>
        <w:rPr>
          <w:color w:val="231F20"/>
          <w:spacing w:val="-4"/>
        </w:rPr>
        <w:t>ne</w:t>
      </w:r>
      <w:r>
        <w:rPr>
          <w:color w:val="231F20"/>
          <w:spacing w:val="-7"/>
        </w:rPr>
        <w:t> </w:t>
      </w:r>
      <w:r>
        <w:rPr>
          <w:color w:val="231F20"/>
          <w:spacing w:val="-4"/>
        </w:rPr>
        <w:t>pourrait</w:t>
      </w:r>
      <w:r>
        <w:rPr>
          <w:color w:val="231F20"/>
          <w:spacing w:val="-6"/>
        </w:rPr>
        <w:t> </w:t>
      </w:r>
      <w:r>
        <w:rPr>
          <w:color w:val="231F20"/>
          <w:spacing w:val="-4"/>
        </w:rPr>
        <w:t>pas</w:t>
      </w:r>
      <w:r>
        <w:rPr>
          <w:color w:val="231F20"/>
          <w:spacing w:val="-6"/>
        </w:rPr>
        <w:t> </w:t>
      </w:r>
      <w:r>
        <w:rPr>
          <w:color w:val="231F20"/>
          <w:spacing w:val="-4"/>
        </w:rPr>
        <w:t>subvenir</w:t>
      </w:r>
      <w:r>
        <w:rPr>
          <w:color w:val="231F20"/>
          <w:spacing w:val="-7"/>
        </w:rPr>
        <w:t> </w:t>
      </w:r>
      <w:r>
        <w:rPr>
          <w:color w:val="231F20"/>
          <w:spacing w:val="-4"/>
        </w:rPr>
        <w:t>aux</w:t>
      </w:r>
      <w:r>
        <w:rPr>
          <w:color w:val="231F20"/>
          <w:spacing w:val="-6"/>
        </w:rPr>
        <w:t> </w:t>
      </w:r>
      <w:r>
        <w:rPr>
          <w:color w:val="231F20"/>
          <w:spacing w:val="-4"/>
        </w:rPr>
        <w:t>besoins </w:t>
      </w:r>
      <w:r>
        <w:rPr>
          <w:color w:val="231F20"/>
        </w:rPr>
        <w:t>de sa population. Outre l’uranium dont les impacts sanitaires et </w:t>
      </w:r>
      <w:r>
        <w:rPr>
          <w:color w:val="231F20"/>
          <w:spacing w:val="-2"/>
        </w:rPr>
        <w:t>environnementaux</w:t>
      </w:r>
      <w:r>
        <w:rPr>
          <w:color w:val="231F20"/>
          <w:spacing w:val="-5"/>
        </w:rPr>
        <w:t> </w:t>
      </w:r>
      <w:r>
        <w:rPr>
          <w:color w:val="231F20"/>
          <w:spacing w:val="-2"/>
        </w:rPr>
        <w:t>de</w:t>
      </w:r>
      <w:r>
        <w:rPr>
          <w:color w:val="231F20"/>
          <w:spacing w:val="-5"/>
        </w:rPr>
        <w:t> </w:t>
      </w:r>
      <w:r>
        <w:rPr>
          <w:color w:val="231F20"/>
          <w:spacing w:val="-2"/>
        </w:rPr>
        <w:t>l’exploitation</w:t>
      </w:r>
      <w:r>
        <w:rPr>
          <w:color w:val="231F20"/>
          <w:spacing w:val="-5"/>
        </w:rPr>
        <w:t> </w:t>
      </w:r>
      <w:r>
        <w:rPr>
          <w:color w:val="231F20"/>
          <w:spacing w:val="-2"/>
        </w:rPr>
        <w:t>sont,</w:t>
      </w:r>
      <w:r>
        <w:rPr>
          <w:color w:val="231F20"/>
          <w:spacing w:val="-5"/>
        </w:rPr>
        <w:t> </w:t>
      </w:r>
      <w:r>
        <w:rPr>
          <w:color w:val="231F20"/>
          <w:spacing w:val="-2"/>
        </w:rPr>
        <w:t>en</w:t>
      </w:r>
      <w:r>
        <w:rPr>
          <w:color w:val="231F20"/>
          <w:spacing w:val="-5"/>
        </w:rPr>
        <w:t> </w:t>
      </w:r>
      <w:r>
        <w:rPr>
          <w:color w:val="231F20"/>
          <w:spacing w:val="-2"/>
        </w:rPr>
        <w:t>vain,</w:t>
      </w:r>
      <w:r>
        <w:rPr>
          <w:color w:val="231F20"/>
          <w:spacing w:val="-5"/>
        </w:rPr>
        <w:t> </w:t>
      </w:r>
      <w:r>
        <w:rPr>
          <w:color w:val="231F20"/>
          <w:spacing w:val="-2"/>
        </w:rPr>
        <w:t>dénoncés</w:t>
      </w:r>
      <w:r>
        <w:rPr>
          <w:color w:val="231F20"/>
          <w:spacing w:val="-5"/>
        </w:rPr>
        <w:t> </w:t>
      </w:r>
      <w:r>
        <w:rPr>
          <w:color w:val="231F20"/>
          <w:spacing w:val="-2"/>
        </w:rPr>
        <w:t>par</w:t>
      </w:r>
      <w:r>
        <w:rPr>
          <w:color w:val="231F20"/>
          <w:spacing w:val="-5"/>
        </w:rPr>
        <w:t> </w:t>
      </w:r>
      <w:r>
        <w:rPr>
          <w:color w:val="231F20"/>
          <w:spacing w:val="-2"/>
        </w:rPr>
        <w:t>diverses </w:t>
      </w:r>
      <w:r>
        <w:rPr>
          <w:color w:val="231F20"/>
        </w:rPr>
        <w:t>Ong, des sociétés étrangères ont été autorisées à prospecter d’autres ressources</w:t>
      </w:r>
      <w:r>
        <w:rPr>
          <w:color w:val="231F20"/>
          <w:spacing w:val="-2"/>
        </w:rPr>
        <w:t> </w:t>
      </w:r>
      <w:r>
        <w:rPr>
          <w:color w:val="231F20"/>
        </w:rPr>
        <w:t>dans</w:t>
      </w:r>
      <w:r>
        <w:rPr>
          <w:color w:val="231F20"/>
          <w:spacing w:val="-4"/>
        </w:rPr>
        <w:t> </w:t>
      </w:r>
      <w:r>
        <w:rPr>
          <w:color w:val="231F20"/>
        </w:rPr>
        <w:t>le</w:t>
      </w:r>
      <w:r>
        <w:rPr>
          <w:color w:val="231F20"/>
          <w:spacing w:val="-2"/>
        </w:rPr>
        <w:t> </w:t>
      </w:r>
      <w:r>
        <w:rPr>
          <w:color w:val="231F20"/>
        </w:rPr>
        <w:t>désert</w:t>
      </w:r>
      <w:r>
        <w:rPr>
          <w:color w:val="231F20"/>
          <w:spacing w:val="-3"/>
        </w:rPr>
        <w:t> </w:t>
      </w:r>
      <w:r>
        <w:rPr>
          <w:color w:val="231F20"/>
        </w:rPr>
        <w:t>:</w:t>
      </w:r>
      <w:r>
        <w:rPr>
          <w:color w:val="231F20"/>
          <w:spacing w:val="-3"/>
        </w:rPr>
        <w:t> </w:t>
      </w:r>
      <w:r>
        <w:rPr>
          <w:color w:val="231F20"/>
        </w:rPr>
        <w:t>or,</w:t>
      </w:r>
      <w:r>
        <w:rPr>
          <w:color w:val="231F20"/>
          <w:spacing w:val="-2"/>
        </w:rPr>
        <w:t> </w:t>
      </w:r>
      <w:r>
        <w:rPr>
          <w:color w:val="231F20"/>
        </w:rPr>
        <w:t>fer,</w:t>
      </w:r>
      <w:r>
        <w:rPr>
          <w:color w:val="231F20"/>
          <w:spacing w:val="-2"/>
        </w:rPr>
        <w:t> </w:t>
      </w:r>
      <w:r>
        <w:rPr>
          <w:color w:val="231F20"/>
        </w:rPr>
        <w:t>charbon</w:t>
      </w:r>
      <w:r>
        <w:rPr>
          <w:color w:val="231F20"/>
          <w:spacing w:val="-2"/>
        </w:rPr>
        <w:t> </w:t>
      </w:r>
      <w:r>
        <w:rPr>
          <w:color w:val="231F20"/>
        </w:rPr>
        <w:t>et</w:t>
      </w:r>
      <w:r>
        <w:rPr>
          <w:color w:val="231F20"/>
          <w:spacing w:val="-3"/>
        </w:rPr>
        <w:t> </w:t>
      </w:r>
      <w:r>
        <w:rPr>
          <w:color w:val="231F20"/>
        </w:rPr>
        <w:t>pétrole.</w:t>
      </w:r>
    </w:p>
    <w:p>
      <w:pPr>
        <w:pStyle w:val="BodyText"/>
        <w:spacing w:before="241"/>
        <w:ind w:left="0"/>
        <w:jc w:val="left"/>
      </w:pPr>
    </w:p>
    <w:p>
      <w:pPr>
        <w:pStyle w:val="Heading3"/>
        <w:rPr>
          <w:rFonts w:ascii="Times New Roman" w:hAnsi="Times New Roman"/>
          <w:b w:val="0"/>
          <w:i w:val="0"/>
        </w:rPr>
      </w:pPr>
      <w:r>
        <w:rPr>
          <w:i/>
          <w:color w:val="231F20"/>
          <w:spacing w:val="-2"/>
        </w:rPr>
        <w:t>La</w:t>
      </w:r>
      <w:r>
        <w:rPr>
          <w:i/>
          <w:color w:val="231F20"/>
          <w:spacing w:val="-9"/>
        </w:rPr>
        <w:t> </w:t>
      </w:r>
      <w:r>
        <w:rPr>
          <w:i/>
          <w:color w:val="231F20"/>
          <w:spacing w:val="-2"/>
        </w:rPr>
        <w:t>République</w:t>
      </w:r>
      <w:r>
        <w:rPr>
          <w:i/>
          <w:color w:val="231F20"/>
          <w:spacing w:val="-9"/>
        </w:rPr>
        <w:t> </w:t>
      </w:r>
      <w:r>
        <w:rPr>
          <w:i/>
          <w:color w:val="231F20"/>
          <w:spacing w:val="-2"/>
        </w:rPr>
        <w:t>du</w:t>
      </w:r>
      <w:r>
        <w:rPr>
          <w:i/>
          <w:color w:val="231F20"/>
          <w:spacing w:val="-8"/>
        </w:rPr>
        <w:t> </w:t>
      </w:r>
      <w:r>
        <w:rPr>
          <w:i/>
          <w:color w:val="231F20"/>
          <w:spacing w:val="-2"/>
        </w:rPr>
        <w:t>Bénin</w:t>
      </w:r>
      <w:r>
        <w:rPr>
          <w:rFonts w:ascii="Times New Roman" w:hAnsi="Times New Roman"/>
          <w:b w:val="0"/>
          <w:i w:val="0"/>
          <w:color w:val="231F20"/>
          <w:spacing w:val="-2"/>
          <w:vertAlign w:val="superscript"/>
        </w:rPr>
        <w:t>92</w:t>
      </w:r>
    </w:p>
    <w:p>
      <w:pPr>
        <w:pStyle w:val="BodyText"/>
        <w:spacing w:before="256"/>
        <w:ind w:right="107" w:firstLine="283"/>
      </w:pPr>
      <w:r>
        <w:rPr>
          <w:color w:val="231F20"/>
        </w:rPr>
        <w:t>Le</w:t>
      </w:r>
      <w:r>
        <w:rPr>
          <w:color w:val="231F20"/>
          <w:spacing w:val="-2"/>
        </w:rPr>
        <w:t> </w:t>
      </w:r>
      <w:r>
        <w:rPr>
          <w:color w:val="231F20"/>
        </w:rPr>
        <w:t>1er</w:t>
      </w:r>
      <w:r>
        <w:rPr>
          <w:color w:val="231F20"/>
          <w:spacing w:val="-2"/>
        </w:rPr>
        <w:t> </w:t>
      </w:r>
      <w:r>
        <w:rPr>
          <w:color w:val="231F20"/>
        </w:rPr>
        <w:t>août</w:t>
      </w:r>
      <w:r>
        <w:rPr>
          <w:color w:val="231F20"/>
          <w:spacing w:val="-2"/>
        </w:rPr>
        <w:t> </w:t>
      </w:r>
      <w:r>
        <w:rPr>
          <w:color w:val="231F20"/>
        </w:rPr>
        <w:t>1960,</w:t>
      </w:r>
      <w:r>
        <w:rPr>
          <w:color w:val="231F20"/>
          <w:spacing w:val="-4"/>
        </w:rPr>
        <w:t> </w:t>
      </w:r>
      <w:r>
        <w:rPr>
          <w:color w:val="231F20"/>
        </w:rPr>
        <w:t>le</w:t>
      </w:r>
      <w:r>
        <w:rPr>
          <w:color w:val="231F20"/>
          <w:spacing w:val="-5"/>
        </w:rPr>
        <w:t> </w:t>
      </w:r>
      <w:r>
        <w:rPr>
          <w:color w:val="231F20"/>
        </w:rPr>
        <w:t>Bénin</w:t>
      </w:r>
      <w:r>
        <w:rPr>
          <w:color w:val="231F20"/>
          <w:spacing w:val="-2"/>
        </w:rPr>
        <w:t> </w:t>
      </w:r>
      <w:r>
        <w:rPr>
          <w:color w:val="231F20"/>
        </w:rPr>
        <w:t>accède</w:t>
      </w:r>
      <w:r>
        <w:rPr>
          <w:color w:val="231F20"/>
          <w:spacing w:val="-2"/>
        </w:rPr>
        <w:t> </w:t>
      </w:r>
      <w:r>
        <w:rPr>
          <w:color w:val="231F20"/>
        </w:rPr>
        <w:t>à</w:t>
      </w:r>
      <w:r>
        <w:rPr>
          <w:color w:val="231F20"/>
          <w:spacing w:val="-2"/>
        </w:rPr>
        <w:t> </w:t>
      </w:r>
      <w:r>
        <w:rPr>
          <w:color w:val="231F20"/>
        </w:rPr>
        <w:t>l’indépendance,</w:t>
      </w:r>
      <w:r>
        <w:rPr>
          <w:color w:val="231F20"/>
          <w:spacing w:val="-2"/>
        </w:rPr>
        <w:t> </w:t>
      </w:r>
      <w:r>
        <w:rPr>
          <w:color w:val="231F20"/>
        </w:rPr>
        <w:t>sous</w:t>
      </w:r>
      <w:r>
        <w:rPr>
          <w:color w:val="231F20"/>
          <w:spacing w:val="-2"/>
        </w:rPr>
        <w:t> </w:t>
      </w:r>
      <w:r>
        <w:rPr>
          <w:color w:val="231F20"/>
        </w:rPr>
        <w:t>le</w:t>
      </w:r>
      <w:r>
        <w:rPr>
          <w:color w:val="231F20"/>
          <w:spacing w:val="-5"/>
        </w:rPr>
        <w:t> </w:t>
      </w:r>
      <w:r>
        <w:rPr>
          <w:color w:val="231F20"/>
        </w:rPr>
        <w:t>nom</w:t>
      </w:r>
      <w:r>
        <w:rPr>
          <w:color w:val="231F20"/>
          <w:spacing w:val="-2"/>
        </w:rPr>
        <w:t> </w:t>
      </w:r>
      <w:r>
        <w:rPr>
          <w:color w:val="231F20"/>
        </w:rPr>
        <w:t>de République du Dahomey.</w:t>
      </w:r>
    </w:p>
    <w:p>
      <w:pPr>
        <w:pStyle w:val="BodyText"/>
        <w:spacing w:before="120"/>
        <w:ind w:right="102" w:firstLine="283"/>
      </w:pPr>
      <w:r>
        <w:rPr>
          <w:color w:val="231F20"/>
          <w:spacing w:val="-4"/>
        </w:rPr>
        <w:t>Dès</w:t>
      </w:r>
      <w:r>
        <w:rPr>
          <w:color w:val="231F20"/>
          <w:spacing w:val="-9"/>
        </w:rPr>
        <w:t> </w:t>
      </w:r>
      <w:r>
        <w:rPr>
          <w:color w:val="231F20"/>
          <w:spacing w:val="-4"/>
        </w:rPr>
        <w:t>ses</w:t>
      </w:r>
      <w:r>
        <w:rPr>
          <w:color w:val="231F20"/>
          <w:spacing w:val="-9"/>
        </w:rPr>
        <w:t> </w:t>
      </w:r>
      <w:r>
        <w:rPr>
          <w:color w:val="231F20"/>
          <w:spacing w:val="-4"/>
        </w:rPr>
        <w:t>premières</w:t>
      </w:r>
      <w:r>
        <w:rPr>
          <w:color w:val="231F20"/>
          <w:spacing w:val="-9"/>
        </w:rPr>
        <w:t> </w:t>
      </w:r>
      <w:r>
        <w:rPr>
          <w:color w:val="231F20"/>
          <w:spacing w:val="-4"/>
        </w:rPr>
        <w:t>années,</w:t>
      </w:r>
      <w:r>
        <w:rPr>
          <w:color w:val="231F20"/>
          <w:spacing w:val="-11"/>
        </w:rPr>
        <w:t> </w:t>
      </w:r>
      <w:r>
        <w:rPr>
          <w:color w:val="231F20"/>
          <w:spacing w:val="-4"/>
        </w:rPr>
        <w:t>le</w:t>
      </w:r>
      <w:r>
        <w:rPr>
          <w:color w:val="231F20"/>
          <w:spacing w:val="-9"/>
        </w:rPr>
        <w:t> </w:t>
      </w:r>
      <w:r>
        <w:rPr>
          <w:color w:val="231F20"/>
          <w:spacing w:val="-4"/>
        </w:rPr>
        <w:t>nouvel</w:t>
      </w:r>
      <w:r>
        <w:rPr>
          <w:color w:val="231F20"/>
          <w:spacing w:val="-9"/>
        </w:rPr>
        <w:t> </w:t>
      </w:r>
      <w:r>
        <w:rPr>
          <w:color w:val="231F20"/>
          <w:spacing w:val="-4"/>
        </w:rPr>
        <w:t>État</w:t>
      </w:r>
      <w:r>
        <w:rPr>
          <w:color w:val="231F20"/>
          <w:spacing w:val="-9"/>
        </w:rPr>
        <w:t> </w:t>
      </w:r>
      <w:r>
        <w:rPr>
          <w:color w:val="231F20"/>
          <w:spacing w:val="-4"/>
        </w:rPr>
        <w:t>est</w:t>
      </w:r>
      <w:r>
        <w:rPr>
          <w:color w:val="231F20"/>
          <w:spacing w:val="-8"/>
        </w:rPr>
        <w:t> </w:t>
      </w:r>
      <w:r>
        <w:rPr>
          <w:color w:val="231F20"/>
          <w:spacing w:val="-4"/>
        </w:rPr>
        <w:t>pris</w:t>
      </w:r>
      <w:r>
        <w:rPr>
          <w:color w:val="231F20"/>
          <w:spacing w:val="-9"/>
        </w:rPr>
        <w:t> </w:t>
      </w:r>
      <w:r>
        <w:rPr>
          <w:color w:val="231F20"/>
          <w:spacing w:val="-4"/>
        </w:rPr>
        <w:t>en</w:t>
      </w:r>
      <w:r>
        <w:rPr>
          <w:color w:val="231F20"/>
          <w:spacing w:val="-9"/>
        </w:rPr>
        <w:t> </w:t>
      </w:r>
      <w:r>
        <w:rPr>
          <w:color w:val="231F20"/>
          <w:spacing w:val="-4"/>
        </w:rPr>
        <w:t>otage</w:t>
      </w:r>
      <w:r>
        <w:rPr>
          <w:color w:val="231F20"/>
          <w:spacing w:val="-9"/>
        </w:rPr>
        <w:t> </w:t>
      </w:r>
      <w:r>
        <w:rPr>
          <w:color w:val="231F20"/>
          <w:spacing w:val="-4"/>
        </w:rPr>
        <w:t>par</w:t>
      </w:r>
      <w:r>
        <w:rPr>
          <w:color w:val="231F20"/>
          <w:spacing w:val="-10"/>
        </w:rPr>
        <w:t> </w:t>
      </w:r>
      <w:r>
        <w:rPr>
          <w:color w:val="231F20"/>
          <w:spacing w:val="-4"/>
        </w:rPr>
        <w:t>la</w:t>
      </w:r>
      <w:r>
        <w:rPr>
          <w:color w:val="231F20"/>
          <w:spacing w:val="-10"/>
        </w:rPr>
        <w:t> </w:t>
      </w:r>
      <w:r>
        <w:rPr>
          <w:color w:val="231F20"/>
          <w:spacing w:val="-4"/>
        </w:rPr>
        <w:t>rivalité </w:t>
      </w:r>
      <w:r>
        <w:rPr>
          <w:color w:val="231F20"/>
        </w:rPr>
        <w:t>de ses Élites</w:t>
      </w:r>
      <w:r>
        <w:rPr>
          <w:color w:val="231F20"/>
          <w:spacing w:val="-13"/>
        </w:rPr>
        <w:t> </w:t>
      </w:r>
      <w:r>
        <w:rPr>
          <w:color w:val="231F20"/>
        </w:rPr>
        <w:t>de l’ère coloniale</w:t>
      </w:r>
      <w:r>
        <w:rPr>
          <w:color w:val="231F20"/>
          <w:spacing w:val="-12"/>
        </w:rPr>
        <w:t> </w:t>
      </w:r>
      <w:r>
        <w:rPr>
          <w:color w:val="231F20"/>
        </w:rPr>
        <w:t>qui se disputent le pouvoir</w:t>
      </w:r>
      <w:r>
        <w:rPr>
          <w:color w:val="231F20"/>
          <w:spacing w:val="-12"/>
        </w:rPr>
        <w:t> </w:t>
      </w:r>
      <w:r>
        <w:rPr>
          <w:color w:val="231F20"/>
        </w:rPr>
        <w:t>: Justin Ahomadegbé, Sourou Migan Apithy et Hubert Maga. Un officier de l’Armée,</w:t>
      </w:r>
      <w:r>
        <w:rPr>
          <w:color w:val="231F20"/>
          <w:spacing w:val="-6"/>
        </w:rPr>
        <w:t> </w:t>
      </w:r>
      <w:r>
        <w:rPr>
          <w:color w:val="231F20"/>
        </w:rPr>
        <w:t>Christophe</w:t>
      </w:r>
      <w:r>
        <w:rPr>
          <w:color w:val="231F20"/>
          <w:spacing w:val="-7"/>
        </w:rPr>
        <w:t> </w:t>
      </w:r>
      <w:r>
        <w:rPr>
          <w:color w:val="231F20"/>
        </w:rPr>
        <w:t>Soglo</w:t>
      </w:r>
      <w:r>
        <w:rPr>
          <w:color w:val="231F20"/>
          <w:spacing w:val="-4"/>
        </w:rPr>
        <w:t> </w:t>
      </w:r>
      <w:r>
        <w:rPr>
          <w:color w:val="231F20"/>
        </w:rPr>
        <w:t>joue</w:t>
      </w:r>
      <w:r>
        <w:rPr>
          <w:color w:val="231F20"/>
          <w:spacing w:val="-7"/>
        </w:rPr>
        <w:t> </w:t>
      </w:r>
      <w:r>
        <w:rPr>
          <w:color w:val="231F20"/>
        </w:rPr>
        <w:t>à</w:t>
      </w:r>
      <w:r>
        <w:rPr>
          <w:color w:val="231F20"/>
          <w:spacing w:val="-4"/>
        </w:rPr>
        <w:t> </w:t>
      </w:r>
      <w:r>
        <w:rPr>
          <w:color w:val="231F20"/>
        </w:rPr>
        <w:t>l’arbitre,</w:t>
      </w:r>
      <w:r>
        <w:rPr>
          <w:color w:val="231F20"/>
          <w:spacing w:val="-6"/>
        </w:rPr>
        <w:t> </w:t>
      </w:r>
      <w:r>
        <w:rPr>
          <w:color w:val="231F20"/>
        </w:rPr>
        <w:t>voire,</w:t>
      </w:r>
      <w:r>
        <w:rPr>
          <w:color w:val="231F20"/>
          <w:spacing w:val="-6"/>
        </w:rPr>
        <w:t> </w:t>
      </w:r>
      <w:r>
        <w:rPr>
          <w:color w:val="231F20"/>
        </w:rPr>
        <w:t>au</w:t>
      </w:r>
      <w:r>
        <w:rPr>
          <w:color w:val="231F20"/>
          <w:spacing w:val="-4"/>
        </w:rPr>
        <w:t> </w:t>
      </w:r>
      <w:r>
        <w:rPr>
          <w:color w:val="231F20"/>
        </w:rPr>
        <w:t>pompier.</w:t>
      </w:r>
    </w:p>
    <w:p>
      <w:pPr>
        <w:pStyle w:val="BodyText"/>
        <w:spacing w:before="121"/>
        <w:ind w:right="105" w:firstLine="283"/>
      </w:pPr>
      <w:r>
        <w:rPr>
          <w:color w:val="231F20"/>
          <w:spacing w:val="-4"/>
        </w:rPr>
        <w:t>Hubert</w:t>
      </w:r>
      <w:r>
        <w:rPr>
          <w:color w:val="231F20"/>
          <w:spacing w:val="-7"/>
        </w:rPr>
        <w:t> </w:t>
      </w:r>
      <w:r>
        <w:rPr>
          <w:color w:val="231F20"/>
          <w:spacing w:val="-4"/>
        </w:rPr>
        <w:t>Maga</w:t>
      </w:r>
      <w:r>
        <w:rPr>
          <w:color w:val="231F20"/>
          <w:spacing w:val="-5"/>
        </w:rPr>
        <w:t> </w:t>
      </w:r>
      <w:r>
        <w:rPr>
          <w:color w:val="231F20"/>
          <w:spacing w:val="-4"/>
        </w:rPr>
        <w:t>est</w:t>
      </w:r>
      <w:r>
        <w:rPr>
          <w:color w:val="231F20"/>
          <w:spacing w:val="-6"/>
        </w:rPr>
        <w:t> </w:t>
      </w:r>
      <w:r>
        <w:rPr>
          <w:color w:val="231F20"/>
          <w:spacing w:val="-4"/>
        </w:rPr>
        <w:t>le</w:t>
      </w:r>
      <w:r>
        <w:rPr>
          <w:color w:val="231F20"/>
          <w:spacing w:val="-7"/>
        </w:rPr>
        <w:t> </w:t>
      </w:r>
      <w:r>
        <w:rPr>
          <w:color w:val="231F20"/>
          <w:spacing w:val="-4"/>
        </w:rPr>
        <w:t>premier</w:t>
      </w:r>
      <w:r>
        <w:rPr>
          <w:color w:val="231F20"/>
          <w:spacing w:val="-5"/>
        </w:rPr>
        <w:t> </w:t>
      </w:r>
      <w:r>
        <w:rPr>
          <w:color w:val="231F20"/>
          <w:spacing w:val="-4"/>
        </w:rPr>
        <w:t>Président</w:t>
      </w:r>
      <w:r>
        <w:rPr>
          <w:color w:val="231F20"/>
          <w:spacing w:val="-6"/>
        </w:rPr>
        <w:t> </w:t>
      </w:r>
      <w:r>
        <w:rPr>
          <w:color w:val="231F20"/>
          <w:spacing w:val="-4"/>
        </w:rPr>
        <w:t>du nouvel</w:t>
      </w:r>
      <w:r>
        <w:rPr>
          <w:color w:val="231F20"/>
          <w:spacing w:val="-6"/>
        </w:rPr>
        <w:t> </w:t>
      </w:r>
      <w:r>
        <w:rPr>
          <w:color w:val="231F20"/>
          <w:spacing w:val="-4"/>
        </w:rPr>
        <w:t>État</w:t>
      </w:r>
      <w:r>
        <w:rPr>
          <w:color w:val="231F20"/>
          <w:spacing w:val="-6"/>
        </w:rPr>
        <w:t> </w:t>
      </w:r>
      <w:r>
        <w:rPr>
          <w:color w:val="231F20"/>
          <w:spacing w:val="-4"/>
        </w:rPr>
        <w:t>indépendant.</w:t>
      </w:r>
      <w:r>
        <w:rPr>
          <w:color w:val="231F20"/>
          <w:spacing w:val="-9"/>
        </w:rPr>
        <w:t> </w:t>
      </w:r>
      <w:r>
        <w:rPr>
          <w:color w:val="231F20"/>
          <w:spacing w:val="-4"/>
        </w:rPr>
        <w:t>Son </w:t>
      </w:r>
      <w:r>
        <w:rPr>
          <w:color w:val="231F20"/>
        </w:rPr>
        <w:t>mandat</w:t>
      </w:r>
      <w:r>
        <w:rPr>
          <w:color w:val="231F20"/>
          <w:spacing w:val="-12"/>
        </w:rPr>
        <w:t> </w:t>
      </w:r>
      <w:r>
        <w:rPr>
          <w:color w:val="231F20"/>
        </w:rPr>
        <w:t>est</w:t>
      </w:r>
      <w:r>
        <w:rPr>
          <w:color w:val="231F20"/>
          <w:spacing w:val="-12"/>
        </w:rPr>
        <w:t> </w:t>
      </w:r>
      <w:r>
        <w:rPr>
          <w:color w:val="231F20"/>
        </w:rPr>
        <w:t>très</w:t>
      </w:r>
      <w:r>
        <w:rPr>
          <w:color w:val="231F20"/>
          <w:spacing w:val="-13"/>
        </w:rPr>
        <w:t> </w:t>
      </w:r>
      <w:r>
        <w:rPr>
          <w:color w:val="231F20"/>
        </w:rPr>
        <w:t>tôt</w:t>
      </w:r>
      <w:r>
        <w:rPr>
          <w:color w:val="231F20"/>
          <w:spacing w:val="-12"/>
        </w:rPr>
        <w:t> </w:t>
      </w:r>
      <w:r>
        <w:rPr>
          <w:color w:val="231F20"/>
        </w:rPr>
        <w:t>émaillé</w:t>
      </w:r>
      <w:r>
        <w:rPr>
          <w:color w:val="231F20"/>
          <w:spacing w:val="-11"/>
        </w:rPr>
        <w:t> </w:t>
      </w:r>
      <w:r>
        <w:rPr>
          <w:color w:val="231F20"/>
        </w:rPr>
        <w:t>de</w:t>
      </w:r>
      <w:r>
        <w:rPr>
          <w:color w:val="231F20"/>
          <w:spacing w:val="-11"/>
        </w:rPr>
        <w:t> </w:t>
      </w:r>
      <w:r>
        <w:rPr>
          <w:color w:val="231F20"/>
        </w:rPr>
        <w:t>grèves</w:t>
      </w:r>
      <w:r>
        <w:rPr>
          <w:color w:val="231F20"/>
          <w:spacing w:val="-10"/>
        </w:rPr>
        <w:t> </w:t>
      </w:r>
      <w:r>
        <w:rPr>
          <w:color w:val="231F20"/>
        </w:rPr>
        <w:t>des</w:t>
      </w:r>
      <w:r>
        <w:rPr>
          <w:color w:val="231F20"/>
          <w:spacing w:val="-13"/>
        </w:rPr>
        <w:t> </w:t>
      </w:r>
      <w:r>
        <w:rPr>
          <w:color w:val="231F20"/>
        </w:rPr>
        <w:t>travailleurs</w:t>
      </w:r>
      <w:r>
        <w:rPr>
          <w:color w:val="231F20"/>
          <w:spacing w:val="-10"/>
        </w:rPr>
        <w:t> </w:t>
      </w:r>
      <w:r>
        <w:rPr>
          <w:color w:val="231F20"/>
        </w:rPr>
        <w:t>et</w:t>
      </w:r>
      <w:r>
        <w:rPr>
          <w:color w:val="231F20"/>
          <w:spacing w:val="-12"/>
        </w:rPr>
        <w:t> </w:t>
      </w:r>
      <w:r>
        <w:rPr>
          <w:color w:val="231F20"/>
        </w:rPr>
        <w:t>de</w:t>
      </w:r>
      <w:r>
        <w:rPr>
          <w:color w:val="231F20"/>
          <w:spacing w:val="-13"/>
        </w:rPr>
        <w:t> </w:t>
      </w:r>
      <w:r>
        <w:rPr>
          <w:color w:val="231F20"/>
        </w:rPr>
        <w:t>soulèvements</w:t>
      </w:r>
    </w:p>
    <w:p>
      <w:pPr>
        <w:pStyle w:val="BodyText"/>
        <w:spacing w:before="5"/>
        <w:ind w:left="0"/>
        <w:jc w:val="left"/>
        <w:rPr>
          <w:sz w:val="14"/>
        </w:rPr>
      </w:pPr>
      <w:r>
        <w:rPr/>
        <mc:AlternateContent>
          <mc:Choice Requires="wps">
            <w:drawing>
              <wp:anchor distT="0" distB="0" distL="0" distR="0" allowOverlap="1" layoutInCell="1" locked="0" behindDoc="1" simplePos="0" relativeHeight="487617536">
                <wp:simplePos x="0" y="0"/>
                <wp:positionH relativeFrom="page">
                  <wp:posOffset>629907</wp:posOffset>
                </wp:positionH>
                <wp:positionV relativeFrom="paragraph">
                  <wp:posOffset>120859</wp:posOffset>
                </wp:positionV>
                <wp:extent cx="1829435" cy="9525"/>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9.516484pt;width:144.020pt;height:.72pt;mso-position-horizontal-relative:page;mso-position-vertical-relative:paragraph;z-index:-15698944;mso-wrap-distance-left:0;mso-wrap-distance-right:0" id="docshape75" filled="true" fillcolor="#231f20" stroked="false">
                <v:fill type="solid"/>
                <w10:wrap type="topAndBottom"/>
              </v:rect>
            </w:pict>
          </mc:Fallback>
        </mc:AlternateContent>
      </w:r>
    </w:p>
    <w:p>
      <w:pPr>
        <w:spacing w:before="94"/>
        <w:ind w:left="111" w:right="0" w:firstLine="0"/>
        <w:jc w:val="left"/>
        <w:rPr>
          <w:sz w:val="20"/>
        </w:rPr>
      </w:pPr>
      <w:r>
        <w:rPr>
          <w:color w:val="231F20"/>
          <w:spacing w:val="-2"/>
          <w:sz w:val="20"/>
          <w:vertAlign w:val="superscript"/>
        </w:rPr>
        <w:t>92</w:t>
      </w:r>
      <w:r>
        <w:rPr>
          <w:color w:val="231F20"/>
          <w:spacing w:val="-19"/>
          <w:sz w:val="20"/>
          <w:vertAlign w:val="baseline"/>
        </w:rPr>
        <w:t> </w:t>
      </w:r>
      <w:r>
        <w:rPr>
          <w:color w:val="231F20"/>
          <w:spacing w:val="-2"/>
          <w:sz w:val="20"/>
          <w:vertAlign w:val="baseline"/>
        </w:rPr>
        <w:t>Source</w:t>
      </w:r>
      <w:r>
        <w:rPr>
          <w:color w:val="231F20"/>
          <w:spacing w:val="-10"/>
          <w:sz w:val="20"/>
          <w:vertAlign w:val="baseline"/>
        </w:rPr>
        <w:t> </w:t>
      </w:r>
      <w:r>
        <w:rPr>
          <w:color w:val="231F20"/>
          <w:spacing w:val="-2"/>
          <w:sz w:val="20"/>
          <w:vertAlign w:val="baseline"/>
        </w:rPr>
        <w:t>Wikipédia</w:t>
      </w:r>
    </w:p>
    <w:p>
      <w:pPr>
        <w:spacing w:after="0"/>
        <w:jc w:val="left"/>
        <w:rPr>
          <w:sz w:val="20"/>
        </w:rPr>
        <w:sectPr>
          <w:pgSz w:w="8790" w:h="13610"/>
          <w:pgMar w:header="0" w:footer="802" w:top="1060" w:bottom="1000" w:left="880" w:right="880"/>
        </w:sectPr>
      </w:pPr>
    </w:p>
    <w:p>
      <w:pPr>
        <w:pStyle w:val="BodyText"/>
        <w:spacing w:before="66"/>
      </w:pPr>
      <w:r>
        <w:rPr>
          <w:color w:val="231F20"/>
        </w:rPr>
        <w:t>populaires.</w:t>
      </w:r>
      <w:r>
        <w:rPr>
          <w:color w:val="231F20"/>
          <w:spacing w:val="14"/>
        </w:rPr>
        <w:t> </w:t>
      </w:r>
      <w:r>
        <w:rPr>
          <w:color w:val="231F20"/>
        </w:rPr>
        <w:t>Après</w:t>
      </w:r>
      <w:r>
        <w:rPr>
          <w:color w:val="231F20"/>
          <w:spacing w:val="13"/>
        </w:rPr>
        <w:t> </w:t>
      </w:r>
      <w:r>
        <w:rPr>
          <w:color w:val="231F20"/>
        </w:rPr>
        <w:t>trois</w:t>
      </w:r>
      <w:r>
        <w:rPr>
          <w:color w:val="231F20"/>
          <w:spacing w:val="15"/>
        </w:rPr>
        <w:t> </w:t>
      </w:r>
      <w:r>
        <w:rPr>
          <w:color w:val="231F20"/>
        </w:rPr>
        <w:t>années</w:t>
      </w:r>
      <w:r>
        <w:rPr>
          <w:color w:val="231F20"/>
          <w:spacing w:val="15"/>
        </w:rPr>
        <w:t> </w:t>
      </w:r>
      <w:r>
        <w:rPr>
          <w:color w:val="231F20"/>
        </w:rPr>
        <w:t>au</w:t>
      </w:r>
      <w:r>
        <w:rPr>
          <w:color w:val="231F20"/>
          <w:spacing w:val="15"/>
        </w:rPr>
        <w:t> </w:t>
      </w:r>
      <w:r>
        <w:rPr>
          <w:color w:val="231F20"/>
        </w:rPr>
        <w:t>pouvoir,</w:t>
      </w:r>
      <w:r>
        <w:rPr>
          <w:color w:val="231F20"/>
          <w:spacing w:val="13"/>
        </w:rPr>
        <w:t> </w:t>
      </w:r>
      <w:r>
        <w:rPr>
          <w:color w:val="231F20"/>
        </w:rPr>
        <w:t>il</w:t>
      </w:r>
      <w:r>
        <w:rPr>
          <w:color w:val="231F20"/>
          <w:spacing w:val="15"/>
        </w:rPr>
        <w:t> </w:t>
      </w:r>
      <w:r>
        <w:rPr>
          <w:color w:val="231F20"/>
        </w:rPr>
        <w:t>est</w:t>
      </w:r>
      <w:r>
        <w:rPr>
          <w:color w:val="231F20"/>
          <w:spacing w:val="15"/>
        </w:rPr>
        <w:t> </w:t>
      </w:r>
      <w:r>
        <w:rPr>
          <w:color w:val="231F20"/>
        </w:rPr>
        <w:t>renversé</w:t>
      </w:r>
      <w:r>
        <w:rPr>
          <w:color w:val="231F20"/>
          <w:spacing w:val="15"/>
        </w:rPr>
        <w:t> </w:t>
      </w:r>
      <w:r>
        <w:rPr>
          <w:color w:val="231F20"/>
        </w:rPr>
        <w:t>par</w:t>
      </w:r>
      <w:r>
        <w:rPr>
          <w:color w:val="231F20"/>
          <w:spacing w:val="14"/>
        </w:rPr>
        <w:t> </w:t>
      </w:r>
      <w:r>
        <w:rPr>
          <w:color w:val="231F20"/>
        </w:rPr>
        <w:t>un</w:t>
      </w:r>
      <w:r>
        <w:rPr>
          <w:color w:val="231F20"/>
          <w:spacing w:val="15"/>
        </w:rPr>
        <w:t> </w:t>
      </w:r>
      <w:r>
        <w:rPr>
          <w:color w:val="231F20"/>
          <w:spacing w:val="-4"/>
        </w:rPr>
        <w:t>coup</w:t>
      </w:r>
    </w:p>
    <w:p>
      <w:pPr>
        <w:pStyle w:val="BodyText"/>
      </w:pPr>
      <w:r>
        <w:rPr>
          <w:color w:val="231F20"/>
          <w:spacing w:val="-2"/>
        </w:rPr>
        <w:t>d’État</w:t>
      </w:r>
      <w:r>
        <w:rPr>
          <w:color w:val="231F20"/>
          <w:spacing w:val="-13"/>
        </w:rPr>
        <w:t> </w:t>
      </w:r>
      <w:r>
        <w:rPr>
          <w:color w:val="231F20"/>
          <w:spacing w:val="-2"/>
        </w:rPr>
        <w:t>du</w:t>
      </w:r>
      <w:r>
        <w:rPr>
          <w:color w:val="231F20"/>
          <w:spacing w:val="-13"/>
        </w:rPr>
        <w:t> </w:t>
      </w:r>
      <w:r>
        <w:rPr>
          <w:color w:val="231F20"/>
          <w:spacing w:val="-2"/>
        </w:rPr>
        <w:t>Colonel</w:t>
      </w:r>
      <w:r>
        <w:rPr>
          <w:color w:val="231F20"/>
          <w:spacing w:val="-13"/>
        </w:rPr>
        <w:t> </w:t>
      </w:r>
      <w:r>
        <w:rPr>
          <w:color w:val="231F20"/>
          <w:spacing w:val="-2"/>
        </w:rPr>
        <w:t>Christophe</w:t>
      </w:r>
      <w:r>
        <w:rPr>
          <w:color w:val="231F20"/>
          <w:spacing w:val="-13"/>
        </w:rPr>
        <w:t> </w:t>
      </w:r>
      <w:r>
        <w:rPr>
          <w:color w:val="231F20"/>
          <w:spacing w:val="-2"/>
        </w:rPr>
        <w:t>Soglo,</w:t>
      </w:r>
      <w:r>
        <w:rPr>
          <w:color w:val="231F20"/>
          <w:spacing w:val="-12"/>
        </w:rPr>
        <w:t> </w:t>
      </w:r>
      <w:r>
        <w:rPr>
          <w:color w:val="231F20"/>
          <w:spacing w:val="-2"/>
        </w:rPr>
        <w:t>son</w:t>
      </w:r>
      <w:r>
        <w:rPr>
          <w:color w:val="231F20"/>
          <w:spacing w:val="-13"/>
        </w:rPr>
        <w:t> </w:t>
      </w:r>
      <w:r>
        <w:rPr>
          <w:color w:val="231F20"/>
          <w:spacing w:val="-2"/>
        </w:rPr>
        <w:t>Conseiller</w:t>
      </w:r>
      <w:r>
        <w:rPr>
          <w:color w:val="231F20"/>
          <w:spacing w:val="-13"/>
        </w:rPr>
        <w:t> </w:t>
      </w:r>
      <w:r>
        <w:rPr>
          <w:color w:val="231F20"/>
          <w:spacing w:val="-2"/>
        </w:rPr>
        <w:t>Militaire.</w:t>
      </w:r>
    </w:p>
    <w:p>
      <w:pPr>
        <w:pStyle w:val="BodyText"/>
        <w:spacing w:before="120"/>
        <w:ind w:right="106" w:firstLine="283"/>
      </w:pPr>
      <w:r>
        <w:rPr>
          <w:color w:val="231F20"/>
        </w:rPr>
        <w:t>À</w:t>
      </w:r>
      <w:r>
        <w:rPr>
          <w:color w:val="231F20"/>
          <w:spacing w:val="-14"/>
        </w:rPr>
        <w:t> </w:t>
      </w:r>
      <w:r>
        <w:rPr>
          <w:color w:val="231F20"/>
        </w:rPr>
        <w:t>la</w:t>
      </w:r>
      <w:r>
        <w:rPr>
          <w:color w:val="231F20"/>
          <w:spacing w:val="-13"/>
        </w:rPr>
        <w:t> </w:t>
      </w:r>
      <w:r>
        <w:rPr>
          <w:color w:val="231F20"/>
        </w:rPr>
        <w:t>suite</w:t>
      </w:r>
      <w:r>
        <w:rPr>
          <w:color w:val="231F20"/>
          <w:spacing w:val="-13"/>
        </w:rPr>
        <w:t> </w:t>
      </w:r>
      <w:r>
        <w:rPr>
          <w:color w:val="231F20"/>
        </w:rPr>
        <w:t>des</w:t>
      </w:r>
      <w:r>
        <w:rPr>
          <w:color w:val="231F20"/>
          <w:spacing w:val="-15"/>
        </w:rPr>
        <w:t> </w:t>
      </w:r>
      <w:r>
        <w:rPr>
          <w:color w:val="231F20"/>
        </w:rPr>
        <w:t>élections</w:t>
      </w:r>
      <w:r>
        <w:rPr>
          <w:color w:val="231F20"/>
          <w:spacing w:val="-15"/>
        </w:rPr>
        <w:t> </w:t>
      </w:r>
      <w:r>
        <w:rPr>
          <w:color w:val="231F20"/>
        </w:rPr>
        <w:t>organisées</w:t>
      </w:r>
      <w:r>
        <w:rPr>
          <w:color w:val="231F20"/>
          <w:spacing w:val="-15"/>
        </w:rPr>
        <w:t> </w:t>
      </w:r>
      <w:r>
        <w:rPr>
          <w:color w:val="231F20"/>
        </w:rPr>
        <w:t>en</w:t>
      </w:r>
      <w:r>
        <w:rPr>
          <w:color w:val="231F20"/>
          <w:spacing w:val="-15"/>
        </w:rPr>
        <w:t> </w:t>
      </w:r>
      <w:r>
        <w:rPr>
          <w:color w:val="231F20"/>
        </w:rPr>
        <w:t>janvier</w:t>
      </w:r>
      <w:r>
        <w:rPr>
          <w:color w:val="231F20"/>
          <w:spacing w:val="-15"/>
        </w:rPr>
        <w:t> </w:t>
      </w:r>
      <w:r>
        <w:rPr>
          <w:color w:val="231F20"/>
        </w:rPr>
        <w:t>1964,</w:t>
      </w:r>
      <w:r>
        <w:rPr>
          <w:color w:val="231F20"/>
          <w:spacing w:val="-15"/>
        </w:rPr>
        <w:t> </w:t>
      </w:r>
      <w:r>
        <w:rPr>
          <w:color w:val="231F20"/>
        </w:rPr>
        <w:t>Christophe</w:t>
      </w:r>
      <w:r>
        <w:rPr>
          <w:color w:val="231F20"/>
          <w:spacing w:val="-15"/>
        </w:rPr>
        <w:t> </w:t>
      </w:r>
      <w:r>
        <w:rPr>
          <w:color w:val="231F20"/>
        </w:rPr>
        <w:t>Soglo rend le</w:t>
      </w:r>
      <w:r>
        <w:rPr>
          <w:color w:val="231F20"/>
          <w:spacing w:val="-3"/>
        </w:rPr>
        <w:t> </w:t>
      </w:r>
      <w:r>
        <w:rPr>
          <w:color w:val="231F20"/>
        </w:rPr>
        <w:t>pouvoir aux civils.</w:t>
      </w:r>
      <w:r>
        <w:rPr>
          <w:color w:val="231F20"/>
          <w:spacing w:val="-2"/>
        </w:rPr>
        <w:t> </w:t>
      </w:r>
      <w:r>
        <w:rPr>
          <w:color w:val="231F20"/>
        </w:rPr>
        <w:t>Sourou</w:t>
      </w:r>
      <w:r>
        <w:rPr>
          <w:color w:val="231F20"/>
          <w:spacing w:val="-2"/>
        </w:rPr>
        <w:t> </w:t>
      </w:r>
      <w:r>
        <w:rPr>
          <w:color w:val="231F20"/>
        </w:rPr>
        <w:t>Migan Apithy</w:t>
      </w:r>
      <w:r>
        <w:rPr>
          <w:color w:val="231F20"/>
          <w:spacing w:val="-3"/>
        </w:rPr>
        <w:t> </w:t>
      </w:r>
      <w:r>
        <w:rPr>
          <w:color w:val="231F20"/>
        </w:rPr>
        <w:t>remporte</w:t>
      </w:r>
      <w:r>
        <w:rPr>
          <w:color w:val="231F20"/>
          <w:spacing w:val="-3"/>
        </w:rPr>
        <w:t> </w:t>
      </w:r>
      <w:r>
        <w:rPr>
          <w:color w:val="231F20"/>
        </w:rPr>
        <w:t>le</w:t>
      </w:r>
      <w:r>
        <w:rPr>
          <w:color w:val="231F20"/>
          <w:spacing w:val="-3"/>
        </w:rPr>
        <w:t> </w:t>
      </w:r>
      <w:r>
        <w:rPr>
          <w:color w:val="231F20"/>
        </w:rPr>
        <w:t>scrutin</w:t>
      </w:r>
      <w:r>
        <w:rPr>
          <w:color w:val="231F20"/>
          <w:spacing w:val="-2"/>
        </w:rPr>
        <w:t> </w:t>
      </w:r>
      <w:r>
        <w:rPr>
          <w:color w:val="231F20"/>
        </w:rPr>
        <w:t>et devient le deuxième Président civil élu.</w:t>
      </w:r>
    </w:p>
    <w:p>
      <w:pPr>
        <w:pStyle w:val="BodyText"/>
        <w:spacing w:before="120"/>
        <w:ind w:right="104" w:firstLine="283"/>
      </w:pPr>
      <w:r>
        <w:rPr>
          <w:color w:val="231F20"/>
          <w:spacing w:val="-4"/>
        </w:rPr>
        <w:t>Le</w:t>
      </w:r>
      <w:r>
        <w:rPr>
          <w:color w:val="231F20"/>
          <w:spacing w:val="-9"/>
        </w:rPr>
        <w:t> </w:t>
      </w:r>
      <w:r>
        <w:rPr>
          <w:color w:val="231F20"/>
          <w:spacing w:val="-4"/>
        </w:rPr>
        <w:t>27</w:t>
      </w:r>
      <w:r>
        <w:rPr>
          <w:color w:val="231F20"/>
          <w:spacing w:val="-9"/>
        </w:rPr>
        <w:t> </w:t>
      </w:r>
      <w:r>
        <w:rPr>
          <w:color w:val="231F20"/>
          <w:spacing w:val="-4"/>
        </w:rPr>
        <w:t>novembre</w:t>
      </w:r>
      <w:r>
        <w:rPr>
          <w:color w:val="231F20"/>
          <w:spacing w:val="-9"/>
        </w:rPr>
        <w:t> </w:t>
      </w:r>
      <w:r>
        <w:rPr>
          <w:color w:val="231F20"/>
          <w:spacing w:val="-4"/>
        </w:rPr>
        <w:t>1965,</w:t>
      </w:r>
      <w:r>
        <w:rPr>
          <w:color w:val="231F20"/>
          <w:spacing w:val="-11"/>
        </w:rPr>
        <w:t> </w:t>
      </w:r>
      <w:r>
        <w:rPr>
          <w:color w:val="231F20"/>
          <w:spacing w:val="-4"/>
        </w:rPr>
        <w:t>le</w:t>
      </w:r>
      <w:r>
        <w:rPr>
          <w:color w:val="231F20"/>
          <w:spacing w:val="-9"/>
        </w:rPr>
        <w:t> </w:t>
      </w:r>
      <w:r>
        <w:rPr>
          <w:color w:val="231F20"/>
          <w:spacing w:val="-4"/>
        </w:rPr>
        <w:t>Parti</w:t>
      </w:r>
      <w:r>
        <w:rPr>
          <w:color w:val="231F20"/>
          <w:spacing w:val="-9"/>
        </w:rPr>
        <w:t> </w:t>
      </w:r>
      <w:r>
        <w:rPr>
          <w:color w:val="231F20"/>
          <w:spacing w:val="-4"/>
        </w:rPr>
        <w:t>Démocratique</w:t>
      </w:r>
      <w:r>
        <w:rPr>
          <w:color w:val="231F20"/>
          <w:spacing w:val="-9"/>
        </w:rPr>
        <w:t> </w:t>
      </w:r>
      <w:r>
        <w:rPr>
          <w:color w:val="231F20"/>
          <w:spacing w:val="-4"/>
        </w:rPr>
        <w:t>Dahoméen</w:t>
      </w:r>
      <w:r>
        <w:rPr>
          <w:color w:val="231F20"/>
          <w:spacing w:val="-9"/>
        </w:rPr>
        <w:t> </w:t>
      </w:r>
      <w:r>
        <w:rPr>
          <w:color w:val="231F20"/>
          <w:spacing w:val="-4"/>
        </w:rPr>
        <w:t>(PDD)</w:t>
      </w:r>
      <w:r>
        <w:rPr>
          <w:color w:val="231F20"/>
          <w:spacing w:val="-9"/>
        </w:rPr>
        <w:t> </w:t>
      </w:r>
      <w:r>
        <w:rPr>
          <w:color w:val="231F20"/>
          <w:spacing w:val="-4"/>
        </w:rPr>
        <w:t>démet </w:t>
      </w:r>
      <w:r>
        <w:rPr>
          <w:color w:val="231F20"/>
        </w:rPr>
        <w:t>Apithy</w:t>
      </w:r>
      <w:r>
        <w:rPr>
          <w:color w:val="231F20"/>
          <w:spacing w:val="-15"/>
        </w:rPr>
        <w:t> </w:t>
      </w:r>
      <w:r>
        <w:rPr>
          <w:color w:val="231F20"/>
        </w:rPr>
        <w:t>de</w:t>
      </w:r>
      <w:r>
        <w:rPr>
          <w:color w:val="231F20"/>
          <w:spacing w:val="-15"/>
        </w:rPr>
        <w:t> </w:t>
      </w:r>
      <w:r>
        <w:rPr>
          <w:color w:val="231F20"/>
        </w:rPr>
        <w:t>ses</w:t>
      </w:r>
      <w:r>
        <w:rPr>
          <w:color w:val="231F20"/>
          <w:spacing w:val="-15"/>
        </w:rPr>
        <w:t> </w:t>
      </w:r>
      <w:r>
        <w:rPr>
          <w:color w:val="231F20"/>
        </w:rPr>
        <w:t>fonctions</w:t>
      </w:r>
      <w:r>
        <w:rPr>
          <w:color w:val="231F20"/>
          <w:spacing w:val="-15"/>
        </w:rPr>
        <w:t> </w:t>
      </w:r>
      <w:r>
        <w:rPr>
          <w:color w:val="231F20"/>
        </w:rPr>
        <w:t>et</w:t>
      </w:r>
      <w:r>
        <w:rPr>
          <w:color w:val="231F20"/>
          <w:spacing w:val="-15"/>
        </w:rPr>
        <w:t> </w:t>
      </w:r>
      <w:r>
        <w:rPr>
          <w:color w:val="231F20"/>
        </w:rPr>
        <w:t>nomme</w:t>
      </w:r>
      <w:r>
        <w:rPr>
          <w:color w:val="231F20"/>
          <w:spacing w:val="-15"/>
        </w:rPr>
        <w:t> </w:t>
      </w:r>
      <w:r>
        <w:rPr>
          <w:color w:val="231F20"/>
        </w:rPr>
        <w:t>Justin</w:t>
      </w:r>
      <w:r>
        <w:rPr>
          <w:color w:val="231F20"/>
          <w:spacing w:val="-15"/>
        </w:rPr>
        <w:t> </w:t>
      </w:r>
      <w:r>
        <w:rPr>
          <w:color w:val="231F20"/>
        </w:rPr>
        <w:t>Ahomadégbé</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tête</w:t>
      </w:r>
      <w:r>
        <w:rPr>
          <w:color w:val="231F20"/>
          <w:spacing w:val="-15"/>
        </w:rPr>
        <w:t> </w:t>
      </w:r>
      <w:r>
        <w:rPr>
          <w:color w:val="231F20"/>
        </w:rPr>
        <w:t>de</w:t>
      </w:r>
      <w:r>
        <w:rPr>
          <w:color w:val="231F20"/>
          <w:spacing w:val="-15"/>
        </w:rPr>
        <w:t> </w:t>
      </w:r>
      <w:r>
        <w:rPr>
          <w:color w:val="231F20"/>
        </w:rPr>
        <w:t>l’État. </w:t>
      </w:r>
      <w:r>
        <w:rPr>
          <w:color w:val="231F20"/>
          <w:spacing w:val="-2"/>
        </w:rPr>
        <w:t>Après</w:t>
      </w:r>
      <w:r>
        <w:rPr>
          <w:color w:val="231F20"/>
          <w:spacing w:val="-8"/>
        </w:rPr>
        <w:t> </w:t>
      </w:r>
      <w:r>
        <w:rPr>
          <w:color w:val="231F20"/>
          <w:spacing w:val="-2"/>
        </w:rPr>
        <w:t>deux</w:t>
      </w:r>
      <w:r>
        <w:rPr>
          <w:color w:val="231F20"/>
          <w:spacing w:val="-8"/>
        </w:rPr>
        <w:t> </w:t>
      </w:r>
      <w:r>
        <w:rPr>
          <w:color w:val="231F20"/>
          <w:spacing w:val="-2"/>
        </w:rPr>
        <w:t>jours</w:t>
      </w:r>
      <w:r>
        <w:rPr>
          <w:color w:val="231F20"/>
          <w:spacing w:val="-8"/>
        </w:rPr>
        <w:t> </w:t>
      </w:r>
      <w:r>
        <w:rPr>
          <w:color w:val="231F20"/>
          <w:spacing w:val="-2"/>
        </w:rPr>
        <w:t>de</w:t>
      </w:r>
      <w:r>
        <w:rPr>
          <w:color w:val="231F20"/>
          <w:spacing w:val="-8"/>
        </w:rPr>
        <w:t> </w:t>
      </w:r>
      <w:r>
        <w:rPr>
          <w:color w:val="231F20"/>
          <w:spacing w:val="-2"/>
        </w:rPr>
        <w:t>blocage</w:t>
      </w:r>
      <w:r>
        <w:rPr>
          <w:color w:val="231F20"/>
          <w:spacing w:val="-8"/>
        </w:rPr>
        <w:t> </w:t>
      </w:r>
      <w:r>
        <w:rPr>
          <w:color w:val="231F20"/>
          <w:spacing w:val="-2"/>
        </w:rPr>
        <w:t>institutionnel,</w:t>
      </w:r>
      <w:r>
        <w:rPr>
          <w:color w:val="231F20"/>
          <w:spacing w:val="-8"/>
        </w:rPr>
        <w:t> </w:t>
      </w:r>
      <w:r>
        <w:rPr>
          <w:color w:val="231F20"/>
          <w:spacing w:val="-2"/>
        </w:rPr>
        <w:t>le</w:t>
      </w:r>
      <w:r>
        <w:rPr>
          <w:color w:val="231F20"/>
          <w:spacing w:val="-5"/>
        </w:rPr>
        <w:t> </w:t>
      </w:r>
      <w:r>
        <w:rPr>
          <w:color w:val="231F20"/>
          <w:spacing w:val="-2"/>
        </w:rPr>
        <w:t>Général,</w:t>
      </w:r>
      <w:r>
        <w:rPr>
          <w:color w:val="231F20"/>
          <w:spacing w:val="-8"/>
        </w:rPr>
        <w:t> </w:t>
      </w:r>
      <w:r>
        <w:rPr>
          <w:color w:val="231F20"/>
          <w:spacing w:val="-2"/>
        </w:rPr>
        <w:t>Christophe</w:t>
      </w:r>
      <w:r>
        <w:rPr>
          <w:color w:val="231F20"/>
          <w:spacing w:val="-8"/>
        </w:rPr>
        <w:t> </w:t>
      </w:r>
      <w:r>
        <w:rPr>
          <w:color w:val="231F20"/>
          <w:spacing w:val="-2"/>
        </w:rPr>
        <w:t>Soglo </w:t>
      </w:r>
      <w:r>
        <w:rPr>
          <w:color w:val="231F20"/>
        </w:rPr>
        <w:t>monte au créneau. Le 29 novembre, il renvoie dos à dos Apithy et Ahomadégbé en les obligeant à démissionner. Un gouvernement provisoire est formé.</w:t>
      </w:r>
    </w:p>
    <w:p>
      <w:pPr>
        <w:pStyle w:val="BodyText"/>
        <w:spacing w:before="121"/>
        <w:ind w:left="395"/>
      </w:pPr>
      <w:r>
        <w:rPr>
          <w:color w:val="231F20"/>
        </w:rPr>
        <w:t>Tahirou</w:t>
      </w:r>
      <w:r>
        <w:rPr>
          <w:color w:val="231F20"/>
          <w:spacing w:val="-3"/>
        </w:rPr>
        <w:t> </w:t>
      </w:r>
      <w:r>
        <w:rPr>
          <w:color w:val="231F20"/>
        </w:rPr>
        <w:t>Congakou,</w:t>
      </w:r>
      <w:r>
        <w:rPr>
          <w:color w:val="231F20"/>
          <w:spacing w:val="-1"/>
        </w:rPr>
        <w:t> </w:t>
      </w:r>
      <w:r>
        <w:rPr>
          <w:color w:val="231F20"/>
        </w:rPr>
        <w:t>Président</w:t>
      </w:r>
      <w:r>
        <w:rPr>
          <w:color w:val="231F20"/>
          <w:spacing w:val="1"/>
        </w:rPr>
        <w:t> </w:t>
      </w:r>
      <w:r>
        <w:rPr>
          <w:color w:val="231F20"/>
        </w:rPr>
        <w:t>de</w:t>
      </w:r>
      <w:r>
        <w:rPr>
          <w:color w:val="231F20"/>
          <w:spacing w:val="1"/>
        </w:rPr>
        <w:t> </w:t>
      </w:r>
      <w:r>
        <w:rPr>
          <w:color w:val="231F20"/>
        </w:rPr>
        <w:t>l’Assemblée</w:t>
      </w:r>
      <w:r>
        <w:rPr>
          <w:color w:val="231F20"/>
          <w:spacing w:val="1"/>
        </w:rPr>
        <w:t> </w:t>
      </w:r>
      <w:r>
        <w:rPr>
          <w:color w:val="231F20"/>
        </w:rPr>
        <w:t>Nationale</w:t>
      </w:r>
      <w:r>
        <w:rPr>
          <w:color w:val="231F20"/>
          <w:spacing w:val="1"/>
        </w:rPr>
        <w:t> </w:t>
      </w:r>
      <w:r>
        <w:rPr>
          <w:color w:val="231F20"/>
        </w:rPr>
        <w:t>est mis</w:t>
      </w:r>
      <w:r>
        <w:rPr>
          <w:color w:val="231F20"/>
          <w:spacing w:val="2"/>
        </w:rPr>
        <w:t> </w:t>
      </w:r>
      <w:r>
        <w:rPr>
          <w:color w:val="231F20"/>
        </w:rPr>
        <w:t>à</w:t>
      </w:r>
      <w:r>
        <w:rPr>
          <w:color w:val="231F20"/>
          <w:spacing w:val="1"/>
        </w:rPr>
        <w:t> </w:t>
      </w:r>
      <w:r>
        <w:rPr>
          <w:color w:val="231F20"/>
          <w:spacing w:val="-5"/>
        </w:rPr>
        <w:t>la</w:t>
      </w:r>
    </w:p>
    <w:p>
      <w:pPr>
        <w:pStyle w:val="BodyText"/>
      </w:pPr>
      <w:r>
        <w:rPr>
          <w:color w:val="231F20"/>
          <w:spacing w:val="-2"/>
        </w:rPr>
        <w:t>tête</w:t>
      </w:r>
      <w:r>
        <w:rPr>
          <w:color w:val="231F20"/>
          <w:spacing w:val="-12"/>
        </w:rPr>
        <w:t> </w:t>
      </w:r>
      <w:r>
        <w:rPr>
          <w:color w:val="231F20"/>
          <w:spacing w:val="-2"/>
        </w:rPr>
        <w:t>du</w:t>
      </w:r>
      <w:r>
        <w:rPr>
          <w:color w:val="231F20"/>
          <w:spacing w:val="-11"/>
        </w:rPr>
        <w:t> </w:t>
      </w:r>
      <w:r>
        <w:rPr>
          <w:color w:val="231F20"/>
          <w:spacing w:val="-2"/>
        </w:rPr>
        <w:t>Gouvernement</w:t>
      </w:r>
      <w:r>
        <w:rPr>
          <w:color w:val="231F20"/>
          <w:spacing w:val="-10"/>
        </w:rPr>
        <w:t> </w:t>
      </w:r>
      <w:r>
        <w:rPr>
          <w:color w:val="231F20"/>
          <w:spacing w:val="-2"/>
        </w:rPr>
        <w:t>provisoire</w:t>
      </w:r>
      <w:r>
        <w:rPr>
          <w:color w:val="231F20"/>
          <w:spacing w:val="-9"/>
        </w:rPr>
        <w:t> </w:t>
      </w:r>
      <w:r>
        <w:rPr>
          <w:color w:val="231F20"/>
          <w:spacing w:val="-2"/>
        </w:rPr>
        <w:t>le</w:t>
      </w:r>
      <w:r>
        <w:rPr>
          <w:color w:val="231F20"/>
          <w:spacing w:val="-11"/>
        </w:rPr>
        <w:t> </w:t>
      </w:r>
      <w:r>
        <w:rPr>
          <w:color w:val="231F20"/>
          <w:spacing w:val="-2"/>
        </w:rPr>
        <w:t>29</w:t>
      </w:r>
      <w:r>
        <w:rPr>
          <w:color w:val="231F20"/>
          <w:spacing w:val="-9"/>
        </w:rPr>
        <w:t> </w:t>
      </w:r>
      <w:r>
        <w:rPr>
          <w:color w:val="231F20"/>
          <w:spacing w:val="-2"/>
        </w:rPr>
        <w:t>novembre.</w:t>
      </w:r>
    </w:p>
    <w:p>
      <w:pPr>
        <w:pStyle w:val="BodyText"/>
        <w:spacing w:before="120"/>
        <w:ind w:right="105" w:firstLine="283"/>
      </w:pPr>
      <w:r>
        <w:rPr>
          <w:color w:val="231F20"/>
        </w:rPr>
        <w:t>Le</w:t>
      </w:r>
      <w:r>
        <w:rPr>
          <w:color w:val="231F20"/>
          <w:spacing w:val="-11"/>
        </w:rPr>
        <w:t> </w:t>
      </w:r>
      <w:r>
        <w:rPr>
          <w:color w:val="231F20"/>
        </w:rPr>
        <w:t>22</w:t>
      </w:r>
      <w:r>
        <w:rPr>
          <w:color w:val="231F20"/>
          <w:spacing w:val="-11"/>
        </w:rPr>
        <w:t> </w:t>
      </w:r>
      <w:r>
        <w:rPr>
          <w:color w:val="231F20"/>
        </w:rPr>
        <w:t>décembre</w:t>
      </w:r>
      <w:r>
        <w:rPr>
          <w:color w:val="231F20"/>
          <w:spacing w:val="-12"/>
        </w:rPr>
        <w:t> </w:t>
      </w:r>
      <w:r>
        <w:rPr>
          <w:color w:val="231F20"/>
        </w:rPr>
        <w:t>de</w:t>
      </w:r>
      <w:r>
        <w:rPr>
          <w:color w:val="231F20"/>
          <w:spacing w:val="-11"/>
        </w:rPr>
        <w:t> </w:t>
      </w:r>
      <w:r>
        <w:rPr>
          <w:color w:val="231F20"/>
        </w:rPr>
        <w:t>la</w:t>
      </w:r>
      <w:r>
        <w:rPr>
          <w:color w:val="231F20"/>
          <w:spacing w:val="-12"/>
        </w:rPr>
        <w:t> </w:t>
      </w:r>
      <w:r>
        <w:rPr>
          <w:color w:val="231F20"/>
        </w:rPr>
        <w:t>même</w:t>
      </w:r>
      <w:r>
        <w:rPr>
          <w:color w:val="231F20"/>
          <w:spacing w:val="-11"/>
        </w:rPr>
        <w:t> </w:t>
      </w:r>
      <w:r>
        <w:rPr>
          <w:color w:val="231F20"/>
        </w:rPr>
        <w:t>année,</w:t>
      </w:r>
      <w:r>
        <w:rPr>
          <w:color w:val="231F20"/>
          <w:spacing w:val="-11"/>
        </w:rPr>
        <w:t> </w:t>
      </w:r>
      <w:r>
        <w:rPr>
          <w:color w:val="231F20"/>
        </w:rPr>
        <w:t>il</w:t>
      </w:r>
      <w:r>
        <w:rPr>
          <w:color w:val="231F20"/>
          <w:spacing w:val="-10"/>
        </w:rPr>
        <w:t> </w:t>
      </w:r>
      <w:r>
        <w:rPr>
          <w:color w:val="231F20"/>
        </w:rPr>
        <w:t>est</w:t>
      </w:r>
      <w:r>
        <w:rPr>
          <w:color w:val="231F20"/>
          <w:spacing w:val="-10"/>
        </w:rPr>
        <w:t> </w:t>
      </w:r>
      <w:r>
        <w:rPr>
          <w:color w:val="231F20"/>
        </w:rPr>
        <w:t>renversé</w:t>
      </w:r>
      <w:r>
        <w:rPr>
          <w:color w:val="231F20"/>
          <w:spacing w:val="-12"/>
        </w:rPr>
        <w:t> </w:t>
      </w:r>
      <w:r>
        <w:rPr>
          <w:color w:val="231F20"/>
        </w:rPr>
        <w:t>par</w:t>
      </w:r>
      <w:r>
        <w:rPr>
          <w:color w:val="231F20"/>
          <w:spacing w:val="-11"/>
        </w:rPr>
        <w:t> </w:t>
      </w:r>
      <w:r>
        <w:rPr>
          <w:color w:val="231F20"/>
        </w:rPr>
        <w:t>un</w:t>
      </w:r>
      <w:r>
        <w:rPr>
          <w:color w:val="231F20"/>
          <w:spacing w:val="-11"/>
        </w:rPr>
        <w:t> </w:t>
      </w:r>
      <w:r>
        <w:rPr>
          <w:color w:val="231F20"/>
        </w:rPr>
        <w:t>coup</w:t>
      </w:r>
      <w:r>
        <w:rPr>
          <w:color w:val="231F20"/>
          <w:spacing w:val="-10"/>
        </w:rPr>
        <w:t> </w:t>
      </w:r>
      <w:r>
        <w:rPr>
          <w:color w:val="231F20"/>
        </w:rPr>
        <w:t>d’État mené par le Général Christophe Soglo.</w:t>
      </w:r>
    </w:p>
    <w:p>
      <w:pPr>
        <w:pStyle w:val="BodyText"/>
        <w:spacing w:before="120"/>
        <w:ind w:right="104" w:firstLine="283"/>
      </w:pPr>
      <w:r>
        <w:rPr>
          <w:color w:val="231F20"/>
          <w:spacing w:val="-2"/>
        </w:rPr>
        <w:t>Le</w:t>
      </w:r>
      <w:r>
        <w:rPr>
          <w:color w:val="231F20"/>
          <w:spacing w:val="-10"/>
        </w:rPr>
        <w:t> </w:t>
      </w:r>
      <w:r>
        <w:rPr>
          <w:color w:val="231F20"/>
          <w:spacing w:val="-2"/>
        </w:rPr>
        <w:t>20</w:t>
      </w:r>
      <w:r>
        <w:rPr>
          <w:color w:val="231F20"/>
          <w:spacing w:val="-12"/>
        </w:rPr>
        <w:t> </w:t>
      </w:r>
      <w:r>
        <w:rPr>
          <w:color w:val="231F20"/>
          <w:spacing w:val="-2"/>
        </w:rPr>
        <w:t>décembre</w:t>
      </w:r>
      <w:r>
        <w:rPr>
          <w:color w:val="231F20"/>
          <w:spacing w:val="-13"/>
        </w:rPr>
        <w:t> </w:t>
      </w:r>
      <w:r>
        <w:rPr>
          <w:color w:val="231F20"/>
          <w:spacing w:val="-2"/>
        </w:rPr>
        <w:t>1967,</w:t>
      </w:r>
      <w:r>
        <w:rPr>
          <w:color w:val="231F20"/>
          <w:spacing w:val="-11"/>
        </w:rPr>
        <w:t> </w:t>
      </w:r>
      <w:r>
        <w:rPr>
          <w:color w:val="231F20"/>
          <w:spacing w:val="-2"/>
        </w:rPr>
        <w:t>le</w:t>
      </w:r>
      <w:r>
        <w:rPr>
          <w:color w:val="231F20"/>
          <w:spacing w:val="-12"/>
        </w:rPr>
        <w:t> </w:t>
      </w:r>
      <w:r>
        <w:rPr>
          <w:color w:val="231F20"/>
          <w:spacing w:val="-2"/>
        </w:rPr>
        <w:t>Général</w:t>
      </w:r>
      <w:r>
        <w:rPr>
          <w:color w:val="231F20"/>
          <w:spacing w:val="-10"/>
        </w:rPr>
        <w:t> </w:t>
      </w:r>
      <w:r>
        <w:rPr>
          <w:color w:val="231F20"/>
          <w:spacing w:val="-2"/>
        </w:rPr>
        <w:t>Christophe</w:t>
      </w:r>
      <w:r>
        <w:rPr>
          <w:color w:val="231F20"/>
          <w:spacing w:val="-12"/>
        </w:rPr>
        <w:t> </w:t>
      </w:r>
      <w:r>
        <w:rPr>
          <w:color w:val="231F20"/>
          <w:spacing w:val="-2"/>
        </w:rPr>
        <w:t>Soglo</w:t>
      </w:r>
      <w:r>
        <w:rPr>
          <w:color w:val="231F20"/>
          <w:spacing w:val="-12"/>
        </w:rPr>
        <w:t> </w:t>
      </w:r>
      <w:r>
        <w:rPr>
          <w:color w:val="231F20"/>
          <w:spacing w:val="-2"/>
        </w:rPr>
        <w:t>est</w:t>
      </w:r>
      <w:r>
        <w:rPr>
          <w:color w:val="231F20"/>
          <w:spacing w:val="-11"/>
        </w:rPr>
        <w:t> </w:t>
      </w:r>
      <w:r>
        <w:rPr>
          <w:color w:val="231F20"/>
          <w:spacing w:val="-2"/>
        </w:rPr>
        <w:t>renversé</w:t>
      </w:r>
      <w:r>
        <w:rPr>
          <w:color w:val="231F20"/>
          <w:spacing w:val="-12"/>
        </w:rPr>
        <w:t> </w:t>
      </w:r>
      <w:r>
        <w:rPr>
          <w:color w:val="231F20"/>
          <w:spacing w:val="-2"/>
        </w:rPr>
        <w:t>par</w:t>
      </w:r>
      <w:r>
        <w:rPr>
          <w:color w:val="231F20"/>
          <w:spacing w:val="-13"/>
        </w:rPr>
        <w:t> </w:t>
      </w:r>
      <w:r>
        <w:rPr>
          <w:color w:val="231F20"/>
          <w:spacing w:val="-2"/>
        </w:rPr>
        <w:t>le </w:t>
      </w:r>
      <w:r>
        <w:rPr>
          <w:color w:val="231F20"/>
        </w:rPr>
        <w:t>Colonel</w:t>
      </w:r>
      <w:r>
        <w:rPr>
          <w:color w:val="231F20"/>
          <w:spacing w:val="-2"/>
        </w:rPr>
        <w:t> </w:t>
      </w:r>
      <w:r>
        <w:rPr>
          <w:color w:val="231F20"/>
        </w:rPr>
        <w:t>Maurice</w:t>
      </w:r>
      <w:r>
        <w:rPr>
          <w:color w:val="231F20"/>
          <w:spacing w:val="-2"/>
        </w:rPr>
        <w:t> </w:t>
      </w:r>
      <w:r>
        <w:rPr>
          <w:color w:val="231F20"/>
        </w:rPr>
        <w:t>Kouandété</w:t>
      </w:r>
      <w:r>
        <w:rPr>
          <w:color w:val="231F20"/>
          <w:spacing w:val="-2"/>
        </w:rPr>
        <w:t> </w:t>
      </w:r>
      <w:r>
        <w:rPr>
          <w:color w:val="231F20"/>
        </w:rPr>
        <w:t>qui</w:t>
      </w:r>
      <w:r>
        <w:rPr>
          <w:color w:val="231F20"/>
          <w:spacing w:val="-2"/>
        </w:rPr>
        <w:t> </w:t>
      </w:r>
      <w:r>
        <w:rPr>
          <w:color w:val="231F20"/>
        </w:rPr>
        <w:t>cède</w:t>
      </w:r>
      <w:r>
        <w:rPr>
          <w:color w:val="231F20"/>
          <w:spacing w:val="-2"/>
        </w:rPr>
        <w:t> </w:t>
      </w:r>
      <w:r>
        <w:rPr>
          <w:color w:val="231F20"/>
        </w:rPr>
        <w:t>le</w:t>
      </w:r>
      <w:r>
        <w:rPr>
          <w:color w:val="231F20"/>
          <w:spacing w:val="-2"/>
        </w:rPr>
        <w:t> </w:t>
      </w:r>
      <w:r>
        <w:rPr>
          <w:color w:val="231F20"/>
        </w:rPr>
        <w:t>pouvoir</w:t>
      </w:r>
      <w:r>
        <w:rPr>
          <w:color w:val="231F20"/>
          <w:spacing w:val="-2"/>
        </w:rPr>
        <w:t> </w:t>
      </w:r>
      <w:r>
        <w:rPr>
          <w:color w:val="231F20"/>
        </w:rPr>
        <w:t>au</w:t>
      </w:r>
      <w:r>
        <w:rPr>
          <w:color w:val="231F20"/>
          <w:spacing w:val="-2"/>
        </w:rPr>
        <w:t> </w:t>
      </w:r>
      <w:r>
        <w:rPr>
          <w:color w:val="231F20"/>
        </w:rPr>
        <w:t>Lieutenant-colonel Alphonse Alley, Chef des Armées.</w:t>
      </w:r>
    </w:p>
    <w:p>
      <w:pPr>
        <w:pStyle w:val="BodyText"/>
        <w:spacing w:before="120"/>
        <w:ind w:right="104" w:firstLine="283"/>
      </w:pPr>
      <w:r>
        <w:rPr>
          <w:color w:val="231F20"/>
        </w:rPr>
        <w:t>En</w:t>
      </w:r>
      <w:r>
        <w:rPr>
          <w:color w:val="231F20"/>
          <w:spacing w:val="-7"/>
        </w:rPr>
        <w:t> </w:t>
      </w:r>
      <w:r>
        <w:rPr>
          <w:color w:val="231F20"/>
        </w:rPr>
        <w:t>mai</w:t>
      </w:r>
      <w:r>
        <w:rPr>
          <w:color w:val="231F20"/>
          <w:spacing w:val="-9"/>
        </w:rPr>
        <w:t> </w:t>
      </w:r>
      <w:r>
        <w:rPr>
          <w:color w:val="231F20"/>
        </w:rPr>
        <w:t>1968,</w:t>
      </w:r>
      <w:r>
        <w:rPr>
          <w:color w:val="231F20"/>
          <w:spacing w:val="-7"/>
        </w:rPr>
        <w:t> </w:t>
      </w:r>
      <w:r>
        <w:rPr>
          <w:color w:val="231F20"/>
        </w:rPr>
        <w:t>à</w:t>
      </w:r>
      <w:r>
        <w:rPr>
          <w:color w:val="231F20"/>
          <w:spacing w:val="-7"/>
        </w:rPr>
        <w:t> </w:t>
      </w:r>
      <w:r>
        <w:rPr>
          <w:color w:val="231F20"/>
        </w:rPr>
        <w:t>la</w:t>
      </w:r>
      <w:r>
        <w:rPr>
          <w:color w:val="231F20"/>
          <w:spacing w:val="-9"/>
        </w:rPr>
        <w:t> </w:t>
      </w:r>
      <w:r>
        <w:rPr>
          <w:color w:val="231F20"/>
        </w:rPr>
        <w:t>suite</w:t>
      </w:r>
      <w:r>
        <w:rPr>
          <w:color w:val="231F20"/>
          <w:spacing w:val="-7"/>
        </w:rPr>
        <w:t> </w:t>
      </w:r>
      <w:r>
        <w:rPr>
          <w:color w:val="231F20"/>
        </w:rPr>
        <w:t>de</w:t>
      </w:r>
      <w:r>
        <w:rPr>
          <w:color w:val="231F20"/>
          <w:spacing w:val="-7"/>
        </w:rPr>
        <w:t> </w:t>
      </w:r>
      <w:r>
        <w:rPr>
          <w:color w:val="231F20"/>
        </w:rPr>
        <w:t>plusieurs</w:t>
      </w:r>
      <w:r>
        <w:rPr>
          <w:color w:val="231F20"/>
          <w:spacing w:val="-7"/>
        </w:rPr>
        <w:t> </w:t>
      </w:r>
      <w:r>
        <w:rPr>
          <w:color w:val="231F20"/>
        </w:rPr>
        <w:t>crises</w:t>
      </w:r>
      <w:r>
        <w:rPr>
          <w:color w:val="231F20"/>
          <w:spacing w:val="-7"/>
        </w:rPr>
        <w:t> </w:t>
      </w:r>
      <w:r>
        <w:rPr>
          <w:color w:val="231F20"/>
        </w:rPr>
        <w:t>gouvernementales</w:t>
      </w:r>
      <w:r>
        <w:rPr>
          <w:color w:val="231F20"/>
          <w:spacing w:val="-9"/>
        </w:rPr>
        <w:t> </w:t>
      </w:r>
      <w:r>
        <w:rPr>
          <w:color w:val="231F20"/>
        </w:rPr>
        <w:t>et</w:t>
      </w:r>
      <w:r>
        <w:rPr>
          <w:color w:val="231F20"/>
          <w:spacing w:val="-6"/>
        </w:rPr>
        <w:t> </w:t>
      </w:r>
      <w:r>
        <w:rPr>
          <w:color w:val="231F20"/>
        </w:rPr>
        <w:t>de</w:t>
      </w:r>
      <w:r>
        <w:rPr>
          <w:color w:val="231F20"/>
          <w:spacing w:val="-10"/>
        </w:rPr>
        <w:t> </w:t>
      </w:r>
      <w:r>
        <w:rPr>
          <w:color w:val="231F20"/>
        </w:rPr>
        <w:t>la division</w:t>
      </w:r>
      <w:r>
        <w:rPr>
          <w:color w:val="231F20"/>
          <w:spacing w:val="-15"/>
        </w:rPr>
        <w:t> </w:t>
      </w:r>
      <w:r>
        <w:rPr>
          <w:color w:val="231F20"/>
        </w:rPr>
        <w:t>entre</w:t>
      </w:r>
      <w:r>
        <w:rPr>
          <w:color w:val="231F20"/>
          <w:spacing w:val="-15"/>
        </w:rPr>
        <w:t> </w:t>
      </w:r>
      <w:r>
        <w:rPr>
          <w:color w:val="231F20"/>
        </w:rPr>
        <w:t>les</w:t>
      </w:r>
      <w:r>
        <w:rPr>
          <w:color w:val="231F20"/>
          <w:spacing w:val="-15"/>
        </w:rPr>
        <w:t> </w:t>
      </w:r>
      <w:r>
        <w:rPr>
          <w:color w:val="231F20"/>
        </w:rPr>
        <w:t>militaires,</w:t>
      </w:r>
      <w:r>
        <w:rPr>
          <w:color w:val="231F20"/>
          <w:spacing w:val="-15"/>
        </w:rPr>
        <w:t> </w:t>
      </w:r>
      <w:r>
        <w:rPr>
          <w:color w:val="231F20"/>
        </w:rPr>
        <w:t>les</w:t>
      </w:r>
      <w:r>
        <w:rPr>
          <w:color w:val="231F20"/>
          <w:spacing w:val="-15"/>
        </w:rPr>
        <w:t> </w:t>
      </w:r>
      <w:r>
        <w:rPr>
          <w:color w:val="231F20"/>
        </w:rPr>
        <w:t>officiers</w:t>
      </w:r>
      <w:r>
        <w:rPr>
          <w:color w:val="231F20"/>
          <w:spacing w:val="-15"/>
        </w:rPr>
        <w:t> </w:t>
      </w:r>
      <w:r>
        <w:rPr>
          <w:color w:val="231F20"/>
        </w:rPr>
        <w:t>organisent</w:t>
      </w:r>
      <w:r>
        <w:rPr>
          <w:color w:val="231F20"/>
          <w:spacing w:val="-15"/>
        </w:rPr>
        <w:t> </w:t>
      </w:r>
      <w:r>
        <w:rPr>
          <w:color w:val="231F20"/>
        </w:rPr>
        <w:t>des</w:t>
      </w:r>
      <w:r>
        <w:rPr>
          <w:color w:val="231F20"/>
          <w:spacing w:val="-15"/>
        </w:rPr>
        <w:t> </w:t>
      </w:r>
      <w:r>
        <w:rPr>
          <w:color w:val="231F20"/>
        </w:rPr>
        <w:t>élections</w:t>
      </w:r>
      <w:r>
        <w:rPr>
          <w:color w:val="231F20"/>
          <w:spacing w:val="-15"/>
        </w:rPr>
        <w:t> </w:t>
      </w:r>
      <w:r>
        <w:rPr>
          <w:color w:val="231F20"/>
        </w:rPr>
        <w:t>afin</w:t>
      </w:r>
      <w:r>
        <w:rPr>
          <w:color w:val="231F20"/>
          <w:spacing w:val="-15"/>
        </w:rPr>
        <w:t> </w:t>
      </w:r>
      <w:r>
        <w:rPr>
          <w:color w:val="231F20"/>
        </w:rPr>
        <w:t>de remettre le pouvoir aux civils. Mais ils ne veulent pas des trois leaders politiques</w:t>
      </w:r>
      <w:r>
        <w:rPr>
          <w:color w:val="231F20"/>
          <w:spacing w:val="-15"/>
        </w:rPr>
        <w:t> </w:t>
      </w:r>
      <w:r>
        <w:rPr>
          <w:color w:val="231F20"/>
        </w:rPr>
        <w:t>traditionnels</w:t>
      </w:r>
      <w:r>
        <w:rPr>
          <w:color w:val="231F20"/>
          <w:spacing w:val="-15"/>
        </w:rPr>
        <w:t> </w:t>
      </w:r>
      <w:r>
        <w:rPr>
          <w:color w:val="231F20"/>
        </w:rPr>
        <w:t>du</w:t>
      </w:r>
      <w:r>
        <w:rPr>
          <w:color w:val="231F20"/>
          <w:spacing w:val="-15"/>
        </w:rPr>
        <w:t> </w:t>
      </w:r>
      <w:r>
        <w:rPr>
          <w:color w:val="231F20"/>
        </w:rPr>
        <w:t>pays</w:t>
      </w:r>
      <w:r>
        <w:rPr>
          <w:color w:val="231F20"/>
          <w:spacing w:val="-15"/>
        </w:rPr>
        <w:t> </w:t>
      </w:r>
      <w:r>
        <w:rPr>
          <w:color w:val="231F20"/>
        </w:rPr>
        <w:t>:</w:t>
      </w:r>
      <w:r>
        <w:rPr>
          <w:color w:val="231F20"/>
          <w:spacing w:val="-15"/>
        </w:rPr>
        <w:t> </w:t>
      </w:r>
      <w:r>
        <w:rPr>
          <w:color w:val="231F20"/>
        </w:rPr>
        <w:t>Hubert</w:t>
      </w:r>
      <w:r>
        <w:rPr>
          <w:color w:val="231F20"/>
          <w:spacing w:val="-15"/>
        </w:rPr>
        <w:t> </w:t>
      </w:r>
      <w:r>
        <w:rPr>
          <w:color w:val="231F20"/>
        </w:rPr>
        <w:t>Maga,</w:t>
      </w:r>
      <w:r>
        <w:rPr>
          <w:color w:val="231F20"/>
          <w:spacing w:val="-15"/>
        </w:rPr>
        <w:t> </w:t>
      </w:r>
      <w:r>
        <w:rPr>
          <w:color w:val="231F20"/>
        </w:rPr>
        <w:t>Sourou</w:t>
      </w:r>
      <w:r>
        <w:rPr>
          <w:color w:val="231F20"/>
          <w:spacing w:val="-15"/>
        </w:rPr>
        <w:t> </w:t>
      </w:r>
      <w:r>
        <w:rPr>
          <w:color w:val="231F20"/>
        </w:rPr>
        <w:t>Migan</w:t>
      </w:r>
      <w:r>
        <w:rPr>
          <w:color w:val="231F20"/>
          <w:spacing w:val="-15"/>
        </w:rPr>
        <w:t> </w:t>
      </w:r>
      <w:r>
        <w:rPr>
          <w:color w:val="231F20"/>
        </w:rPr>
        <w:t>Apithy</w:t>
      </w:r>
      <w:r>
        <w:rPr>
          <w:color w:val="231F20"/>
          <w:spacing w:val="-15"/>
        </w:rPr>
        <w:t> </w:t>
      </w:r>
      <w:r>
        <w:rPr>
          <w:color w:val="231F20"/>
        </w:rPr>
        <w:t>et Justin Ahomadégbé. Écartés des urnes, ces derniers appellent alors au </w:t>
      </w:r>
      <w:r>
        <w:rPr>
          <w:color w:val="231F20"/>
          <w:spacing w:val="-2"/>
        </w:rPr>
        <w:t>boycott</w:t>
      </w:r>
      <w:r>
        <w:rPr>
          <w:color w:val="231F20"/>
          <w:spacing w:val="-15"/>
        </w:rPr>
        <w:t> </w:t>
      </w:r>
      <w:r>
        <w:rPr>
          <w:color w:val="231F20"/>
          <w:spacing w:val="-2"/>
        </w:rPr>
        <w:t>des</w:t>
      </w:r>
      <w:r>
        <w:rPr>
          <w:color w:val="231F20"/>
          <w:spacing w:val="-13"/>
        </w:rPr>
        <w:t> </w:t>
      </w:r>
      <w:r>
        <w:rPr>
          <w:color w:val="231F20"/>
          <w:spacing w:val="-2"/>
        </w:rPr>
        <w:t>élections.</w:t>
      </w:r>
      <w:r>
        <w:rPr>
          <w:color w:val="231F20"/>
          <w:spacing w:val="-13"/>
        </w:rPr>
        <w:t> </w:t>
      </w:r>
      <w:r>
        <w:rPr>
          <w:color w:val="231F20"/>
          <w:spacing w:val="-2"/>
        </w:rPr>
        <w:t>Le</w:t>
      </w:r>
      <w:r>
        <w:rPr>
          <w:color w:val="231F20"/>
          <w:spacing w:val="-13"/>
        </w:rPr>
        <w:t> </w:t>
      </w:r>
      <w:r>
        <w:rPr>
          <w:color w:val="231F20"/>
          <w:spacing w:val="-2"/>
        </w:rPr>
        <w:t>docteur</w:t>
      </w:r>
      <w:r>
        <w:rPr>
          <w:color w:val="231F20"/>
          <w:spacing w:val="-13"/>
        </w:rPr>
        <w:t> </w:t>
      </w:r>
      <w:r>
        <w:rPr>
          <w:color w:val="231F20"/>
          <w:spacing w:val="-2"/>
        </w:rPr>
        <w:t>Basile</w:t>
      </w:r>
      <w:r>
        <w:rPr>
          <w:color w:val="231F20"/>
          <w:spacing w:val="-13"/>
        </w:rPr>
        <w:t> </w:t>
      </w:r>
      <w:r>
        <w:rPr>
          <w:color w:val="231F20"/>
          <w:spacing w:val="-2"/>
        </w:rPr>
        <w:t>Adjou</w:t>
      </w:r>
      <w:r>
        <w:rPr>
          <w:color w:val="231F20"/>
          <w:spacing w:val="-13"/>
        </w:rPr>
        <w:t> </w:t>
      </w:r>
      <w:r>
        <w:rPr>
          <w:color w:val="231F20"/>
          <w:spacing w:val="-2"/>
        </w:rPr>
        <w:t>Moumouni,</w:t>
      </w:r>
      <w:r>
        <w:rPr>
          <w:color w:val="231F20"/>
          <w:spacing w:val="-13"/>
        </w:rPr>
        <w:t> </w:t>
      </w:r>
      <w:r>
        <w:rPr>
          <w:color w:val="231F20"/>
          <w:spacing w:val="-2"/>
        </w:rPr>
        <w:t>fonctionnaire </w:t>
      </w:r>
      <w:r>
        <w:rPr>
          <w:color w:val="231F20"/>
        </w:rPr>
        <w:t>de l’Organisation Mondiale de la Santé est élu par plus de 80% des votants. Inconnu du sérail politique, les militaires</w:t>
      </w:r>
      <w:r>
        <w:rPr>
          <w:color w:val="231F20"/>
          <w:spacing w:val="-15"/>
        </w:rPr>
        <w:t> </w:t>
      </w:r>
      <w:r>
        <w:rPr>
          <w:color w:val="231F20"/>
        </w:rPr>
        <w:t>s’en méfient : ils </w:t>
      </w:r>
      <w:r>
        <w:rPr>
          <w:color w:val="231F20"/>
          <w:spacing w:val="-2"/>
        </w:rPr>
        <w:t>annulent</w:t>
      </w:r>
      <w:r>
        <w:rPr>
          <w:color w:val="231F20"/>
          <w:spacing w:val="-7"/>
        </w:rPr>
        <w:t> </w:t>
      </w:r>
      <w:r>
        <w:rPr>
          <w:color w:val="231F20"/>
          <w:spacing w:val="-2"/>
        </w:rPr>
        <w:t>le</w:t>
      </w:r>
      <w:r>
        <w:rPr>
          <w:color w:val="231F20"/>
          <w:spacing w:val="-10"/>
        </w:rPr>
        <w:t> </w:t>
      </w:r>
      <w:r>
        <w:rPr>
          <w:color w:val="231F20"/>
          <w:spacing w:val="-2"/>
        </w:rPr>
        <w:t>vote</w:t>
      </w:r>
      <w:r>
        <w:rPr>
          <w:color w:val="231F20"/>
          <w:spacing w:val="-7"/>
        </w:rPr>
        <w:t> </w:t>
      </w:r>
      <w:r>
        <w:rPr>
          <w:color w:val="231F20"/>
          <w:spacing w:val="-2"/>
        </w:rPr>
        <w:t>et</w:t>
      </w:r>
      <w:r>
        <w:rPr>
          <w:color w:val="231F20"/>
          <w:spacing w:val="-9"/>
        </w:rPr>
        <w:t> </w:t>
      </w:r>
      <w:r>
        <w:rPr>
          <w:color w:val="231F20"/>
          <w:spacing w:val="-2"/>
        </w:rPr>
        <w:t>mettent</w:t>
      </w:r>
      <w:r>
        <w:rPr>
          <w:color w:val="231F20"/>
          <w:spacing w:val="-6"/>
        </w:rPr>
        <w:t> </w:t>
      </w:r>
      <w:r>
        <w:rPr>
          <w:color w:val="231F20"/>
          <w:spacing w:val="-2"/>
        </w:rPr>
        <w:t>en</w:t>
      </w:r>
      <w:r>
        <w:rPr>
          <w:color w:val="231F20"/>
          <w:spacing w:val="-7"/>
        </w:rPr>
        <w:t> </w:t>
      </w:r>
      <w:r>
        <w:rPr>
          <w:color w:val="231F20"/>
          <w:spacing w:val="-2"/>
        </w:rPr>
        <w:t>place</w:t>
      </w:r>
      <w:r>
        <w:rPr>
          <w:color w:val="231F20"/>
          <w:spacing w:val="-7"/>
        </w:rPr>
        <w:t> </w:t>
      </w:r>
      <w:r>
        <w:rPr>
          <w:color w:val="231F20"/>
          <w:spacing w:val="-2"/>
        </w:rPr>
        <w:t>un</w:t>
      </w:r>
      <w:r>
        <w:rPr>
          <w:color w:val="231F20"/>
          <w:spacing w:val="-8"/>
        </w:rPr>
        <w:t> </w:t>
      </w:r>
      <w:r>
        <w:rPr>
          <w:color w:val="231F20"/>
          <w:spacing w:val="-2"/>
        </w:rPr>
        <w:t>Comité</w:t>
      </w:r>
      <w:r>
        <w:rPr>
          <w:color w:val="231F20"/>
          <w:spacing w:val="-7"/>
        </w:rPr>
        <w:t> </w:t>
      </w:r>
      <w:r>
        <w:rPr>
          <w:color w:val="231F20"/>
          <w:spacing w:val="-2"/>
        </w:rPr>
        <w:t>Militaire</w:t>
      </w:r>
      <w:r>
        <w:rPr>
          <w:color w:val="231F20"/>
          <w:spacing w:val="-7"/>
        </w:rPr>
        <w:t> </w:t>
      </w:r>
      <w:r>
        <w:rPr>
          <w:color w:val="231F20"/>
          <w:spacing w:val="-2"/>
        </w:rPr>
        <w:t>Révolutionnaire </w:t>
      </w:r>
      <w:r>
        <w:rPr>
          <w:color w:val="231F20"/>
        </w:rPr>
        <w:t>(CMR).</w:t>
      </w:r>
      <w:r>
        <w:rPr>
          <w:color w:val="231F20"/>
          <w:spacing w:val="-15"/>
        </w:rPr>
        <w:t> </w:t>
      </w:r>
      <w:r>
        <w:rPr>
          <w:color w:val="231F20"/>
        </w:rPr>
        <w:t>Le</w:t>
      </w:r>
      <w:r>
        <w:rPr>
          <w:color w:val="231F20"/>
          <w:spacing w:val="-15"/>
        </w:rPr>
        <w:t> </w:t>
      </w:r>
      <w:r>
        <w:rPr>
          <w:color w:val="231F20"/>
        </w:rPr>
        <w:t>prétexte</w:t>
      </w:r>
      <w:r>
        <w:rPr>
          <w:color w:val="231F20"/>
          <w:spacing w:val="-15"/>
        </w:rPr>
        <w:t> </w:t>
      </w:r>
      <w:r>
        <w:rPr>
          <w:color w:val="231F20"/>
        </w:rPr>
        <w:t>avancé</w:t>
      </w:r>
      <w:r>
        <w:rPr>
          <w:color w:val="231F20"/>
          <w:spacing w:val="-15"/>
        </w:rPr>
        <w:t> </w:t>
      </w:r>
      <w:r>
        <w:rPr>
          <w:color w:val="231F20"/>
        </w:rPr>
        <w:t>serait</w:t>
      </w:r>
      <w:r>
        <w:rPr>
          <w:color w:val="231F20"/>
          <w:spacing w:val="-15"/>
        </w:rPr>
        <w:t> </w:t>
      </w:r>
      <w:r>
        <w:rPr>
          <w:color w:val="231F20"/>
        </w:rPr>
        <w:t>la</w:t>
      </w:r>
      <w:r>
        <w:rPr>
          <w:color w:val="231F20"/>
          <w:spacing w:val="-15"/>
        </w:rPr>
        <w:t> </w:t>
      </w:r>
      <w:r>
        <w:rPr>
          <w:color w:val="231F20"/>
        </w:rPr>
        <w:t>faible</w:t>
      </w:r>
      <w:r>
        <w:rPr>
          <w:color w:val="231F20"/>
          <w:spacing w:val="-15"/>
        </w:rPr>
        <w:t> </w:t>
      </w:r>
      <w:r>
        <w:rPr>
          <w:color w:val="231F20"/>
        </w:rPr>
        <w:t>participation</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population au scrutin.</w:t>
      </w:r>
    </w:p>
    <w:p>
      <w:pPr>
        <w:pStyle w:val="BodyText"/>
        <w:spacing w:before="121"/>
        <w:ind w:right="104" w:firstLine="283"/>
      </w:pPr>
      <w:r>
        <w:rPr>
          <w:color w:val="231F20"/>
        </w:rPr>
        <w:t>Le</w:t>
      </w:r>
      <w:r>
        <w:rPr>
          <w:color w:val="231F20"/>
          <w:spacing w:val="-15"/>
        </w:rPr>
        <w:t> </w:t>
      </w:r>
      <w:r>
        <w:rPr>
          <w:color w:val="231F20"/>
        </w:rPr>
        <w:t>17</w:t>
      </w:r>
      <w:r>
        <w:rPr>
          <w:color w:val="231F20"/>
          <w:spacing w:val="-15"/>
        </w:rPr>
        <w:t> </w:t>
      </w:r>
      <w:r>
        <w:rPr>
          <w:color w:val="231F20"/>
        </w:rPr>
        <w:t>juillet</w:t>
      </w:r>
      <w:r>
        <w:rPr>
          <w:color w:val="231F20"/>
          <w:spacing w:val="-15"/>
        </w:rPr>
        <w:t> </w:t>
      </w:r>
      <w:r>
        <w:rPr>
          <w:color w:val="231F20"/>
        </w:rPr>
        <w:t>1968,</w:t>
      </w:r>
      <w:r>
        <w:rPr>
          <w:color w:val="231F20"/>
          <w:spacing w:val="-15"/>
        </w:rPr>
        <w:t> </w:t>
      </w:r>
      <w:r>
        <w:rPr>
          <w:color w:val="231F20"/>
        </w:rPr>
        <w:t>sans</w:t>
      </w:r>
      <w:r>
        <w:rPr>
          <w:color w:val="231F20"/>
          <w:spacing w:val="-15"/>
        </w:rPr>
        <w:t> </w:t>
      </w:r>
      <w:r>
        <w:rPr>
          <w:color w:val="231F20"/>
        </w:rPr>
        <w:t>élection,</w:t>
      </w:r>
      <w:r>
        <w:rPr>
          <w:color w:val="231F20"/>
          <w:spacing w:val="-15"/>
        </w:rPr>
        <w:t> </w:t>
      </w:r>
      <w:r>
        <w:rPr>
          <w:color w:val="231F20"/>
        </w:rPr>
        <w:t>Emile</w:t>
      </w:r>
      <w:r>
        <w:rPr>
          <w:color w:val="231F20"/>
          <w:spacing w:val="-15"/>
        </w:rPr>
        <w:t> </w:t>
      </w:r>
      <w:r>
        <w:rPr>
          <w:color w:val="231F20"/>
        </w:rPr>
        <w:t>Derlin</w:t>
      </w:r>
      <w:r>
        <w:rPr>
          <w:color w:val="231F20"/>
          <w:spacing w:val="-15"/>
        </w:rPr>
        <w:t> </w:t>
      </w:r>
      <w:r>
        <w:rPr>
          <w:color w:val="231F20"/>
        </w:rPr>
        <w:t>Zinsou</w:t>
      </w:r>
      <w:r>
        <w:rPr>
          <w:color w:val="231F20"/>
          <w:spacing w:val="-15"/>
        </w:rPr>
        <w:t> </w:t>
      </w:r>
      <w:r>
        <w:rPr>
          <w:color w:val="231F20"/>
        </w:rPr>
        <w:t>est</w:t>
      </w:r>
      <w:r>
        <w:rPr>
          <w:color w:val="231F20"/>
          <w:spacing w:val="-15"/>
        </w:rPr>
        <w:t> </w:t>
      </w:r>
      <w:r>
        <w:rPr>
          <w:color w:val="231F20"/>
        </w:rPr>
        <w:t>mis</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tête </w:t>
      </w:r>
      <w:r>
        <w:rPr>
          <w:color w:val="231F20"/>
          <w:spacing w:val="-4"/>
        </w:rPr>
        <w:t>de</w:t>
      </w:r>
      <w:r>
        <w:rPr>
          <w:color w:val="231F20"/>
          <w:spacing w:val="-10"/>
        </w:rPr>
        <w:t> </w:t>
      </w:r>
      <w:r>
        <w:rPr>
          <w:color w:val="231F20"/>
          <w:spacing w:val="-4"/>
        </w:rPr>
        <w:t>l’État</w:t>
      </w:r>
      <w:r>
        <w:rPr>
          <w:color w:val="231F20"/>
          <w:spacing w:val="-8"/>
        </w:rPr>
        <w:t> </w:t>
      </w:r>
      <w:r>
        <w:rPr>
          <w:color w:val="231F20"/>
          <w:spacing w:val="-4"/>
        </w:rPr>
        <w:t>par</w:t>
      </w:r>
      <w:r>
        <w:rPr>
          <w:color w:val="231F20"/>
          <w:spacing w:val="-11"/>
        </w:rPr>
        <w:t> </w:t>
      </w:r>
      <w:r>
        <w:rPr>
          <w:color w:val="231F20"/>
          <w:spacing w:val="-4"/>
        </w:rPr>
        <w:t>le</w:t>
      </w:r>
      <w:r>
        <w:rPr>
          <w:color w:val="231F20"/>
          <w:spacing w:val="-9"/>
        </w:rPr>
        <w:t> </w:t>
      </w:r>
      <w:r>
        <w:rPr>
          <w:color w:val="231F20"/>
          <w:spacing w:val="-4"/>
        </w:rPr>
        <w:t>Comité</w:t>
      </w:r>
      <w:r>
        <w:rPr>
          <w:color w:val="231F20"/>
          <w:spacing w:val="-11"/>
        </w:rPr>
        <w:t> </w:t>
      </w:r>
      <w:r>
        <w:rPr>
          <w:color w:val="231F20"/>
          <w:spacing w:val="-4"/>
        </w:rPr>
        <w:t>Militaire</w:t>
      </w:r>
      <w:r>
        <w:rPr>
          <w:color w:val="231F20"/>
          <w:spacing w:val="-8"/>
        </w:rPr>
        <w:t> </w:t>
      </w:r>
      <w:r>
        <w:rPr>
          <w:color w:val="231F20"/>
          <w:spacing w:val="-4"/>
        </w:rPr>
        <w:t>Révolutionnaire</w:t>
      </w:r>
      <w:r>
        <w:rPr>
          <w:color w:val="231F20"/>
          <w:spacing w:val="-8"/>
        </w:rPr>
        <w:t> </w:t>
      </w:r>
      <w:r>
        <w:rPr>
          <w:color w:val="231F20"/>
          <w:spacing w:val="-4"/>
        </w:rPr>
        <w:t>(CMR).</w:t>
      </w:r>
      <w:r>
        <w:rPr>
          <w:color w:val="231F20"/>
          <w:spacing w:val="-8"/>
        </w:rPr>
        <w:t> </w:t>
      </w:r>
      <w:r>
        <w:rPr>
          <w:color w:val="231F20"/>
          <w:spacing w:val="-4"/>
        </w:rPr>
        <w:t>Le</w:t>
      </w:r>
      <w:r>
        <w:rPr>
          <w:color w:val="231F20"/>
          <w:spacing w:val="-11"/>
        </w:rPr>
        <w:t> </w:t>
      </w:r>
      <w:r>
        <w:rPr>
          <w:color w:val="231F20"/>
          <w:spacing w:val="-4"/>
        </w:rPr>
        <w:t>10</w:t>
      </w:r>
      <w:r>
        <w:rPr>
          <w:color w:val="231F20"/>
          <w:spacing w:val="-11"/>
        </w:rPr>
        <w:t> </w:t>
      </w:r>
      <w:r>
        <w:rPr>
          <w:color w:val="231F20"/>
          <w:spacing w:val="-4"/>
        </w:rPr>
        <w:t>décembre </w:t>
      </w:r>
      <w:r>
        <w:rPr>
          <w:color w:val="231F20"/>
        </w:rPr>
        <w:t>1969, il est renversé par le Colonel Maurice Kouandété qui cède le 13 </w:t>
      </w:r>
      <w:r>
        <w:rPr>
          <w:color w:val="231F20"/>
          <w:spacing w:val="-2"/>
        </w:rPr>
        <w:t>décembre</w:t>
      </w:r>
      <w:r>
        <w:rPr>
          <w:color w:val="231F20"/>
          <w:spacing w:val="-15"/>
        </w:rPr>
        <w:t> </w:t>
      </w:r>
      <w:r>
        <w:rPr>
          <w:color w:val="231F20"/>
          <w:spacing w:val="-2"/>
        </w:rPr>
        <w:t>1969,</w:t>
      </w:r>
      <w:r>
        <w:rPr>
          <w:color w:val="231F20"/>
          <w:spacing w:val="-13"/>
        </w:rPr>
        <w:t> </w:t>
      </w:r>
      <w:r>
        <w:rPr>
          <w:color w:val="231F20"/>
          <w:spacing w:val="-2"/>
        </w:rPr>
        <w:t>le</w:t>
      </w:r>
      <w:r>
        <w:rPr>
          <w:color w:val="231F20"/>
          <w:spacing w:val="-13"/>
        </w:rPr>
        <w:t> </w:t>
      </w:r>
      <w:r>
        <w:rPr>
          <w:color w:val="231F20"/>
          <w:spacing w:val="-2"/>
        </w:rPr>
        <w:t>pouvoir</w:t>
      </w:r>
      <w:r>
        <w:rPr>
          <w:color w:val="231F20"/>
          <w:spacing w:val="-13"/>
        </w:rPr>
        <w:t> </w:t>
      </w:r>
      <w:r>
        <w:rPr>
          <w:color w:val="231F20"/>
          <w:spacing w:val="-2"/>
        </w:rPr>
        <w:t>à</w:t>
      </w:r>
      <w:r>
        <w:rPr>
          <w:color w:val="231F20"/>
          <w:spacing w:val="-13"/>
        </w:rPr>
        <w:t> </w:t>
      </w:r>
      <w:r>
        <w:rPr>
          <w:color w:val="231F20"/>
          <w:spacing w:val="-2"/>
        </w:rPr>
        <w:t>un</w:t>
      </w:r>
      <w:r>
        <w:rPr>
          <w:color w:val="231F20"/>
          <w:spacing w:val="-13"/>
        </w:rPr>
        <w:t> </w:t>
      </w:r>
      <w:r>
        <w:rPr>
          <w:color w:val="231F20"/>
          <w:spacing w:val="-2"/>
        </w:rPr>
        <w:t>autre</w:t>
      </w:r>
      <w:r>
        <w:rPr>
          <w:color w:val="231F20"/>
          <w:spacing w:val="-13"/>
        </w:rPr>
        <w:t> </w:t>
      </w:r>
      <w:r>
        <w:rPr>
          <w:color w:val="231F20"/>
          <w:spacing w:val="-2"/>
        </w:rPr>
        <w:t>officier</w:t>
      </w:r>
      <w:r>
        <w:rPr>
          <w:color w:val="231F20"/>
          <w:spacing w:val="-13"/>
        </w:rPr>
        <w:t> </w:t>
      </w:r>
      <w:r>
        <w:rPr>
          <w:color w:val="231F20"/>
          <w:spacing w:val="-2"/>
        </w:rPr>
        <w:t>:</w:t>
      </w:r>
      <w:r>
        <w:rPr>
          <w:color w:val="231F20"/>
          <w:spacing w:val="-13"/>
        </w:rPr>
        <w:t> </w:t>
      </w:r>
      <w:r>
        <w:rPr>
          <w:color w:val="231F20"/>
          <w:spacing w:val="-2"/>
        </w:rPr>
        <w:t>le</w:t>
      </w:r>
      <w:r>
        <w:rPr>
          <w:color w:val="231F20"/>
          <w:spacing w:val="-13"/>
        </w:rPr>
        <w:t> </w:t>
      </w:r>
      <w:r>
        <w:rPr>
          <w:color w:val="231F20"/>
          <w:spacing w:val="-2"/>
        </w:rPr>
        <w:t>Lieutenant-colonel</w:t>
      </w:r>
      <w:r>
        <w:rPr>
          <w:color w:val="231F20"/>
          <w:spacing w:val="-13"/>
        </w:rPr>
        <w:t> </w:t>
      </w:r>
      <w:r>
        <w:rPr>
          <w:color w:val="231F20"/>
          <w:spacing w:val="-2"/>
        </w:rPr>
        <w:t>Paul </w:t>
      </w:r>
      <w:r>
        <w:rPr>
          <w:color w:val="231F20"/>
        </w:rPr>
        <w:t>Emile de Souza.</w:t>
      </w:r>
    </w:p>
    <w:p>
      <w:pPr>
        <w:pStyle w:val="BodyText"/>
        <w:spacing w:before="120"/>
        <w:ind w:left="395"/>
      </w:pPr>
      <w:r>
        <w:rPr>
          <w:color w:val="231F20"/>
          <w:spacing w:val="-2"/>
        </w:rPr>
        <w:t>En</w:t>
      </w:r>
      <w:r>
        <w:rPr>
          <w:color w:val="231F20"/>
          <w:spacing w:val="-14"/>
        </w:rPr>
        <w:t> </w:t>
      </w:r>
      <w:r>
        <w:rPr>
          <w:color w:val="231F20"/>
          <w:spacing w:val="-2"/>
        </w:rPr>
        <w:t>mai</w:t>
      </w:r>
      <w:r>
        <w:rPr>
          <w:color w:val="231F20"/>
          <w:spacing w:val="-11"/>
        </w:rPr>
        <w:t> </w:t>
      </w:r>
      <w:r>
        <w:rPr>
          <w:color w:val="231F20"/>
          <w:spacing w:val="-2"/>
        </w:rPr>
        <w:t>1970,</w:t>
      </w:r>
      <w:r>
        <w:rPr>
          <w:color w:val="231F20"/>
          <w:spacing w:val="-12"/>
        </w:rPr>
        <w:t> </w:t>
      </w:r>
      <w:r>
        <w:rPr>
          <w:color w:val="231F20"/>
          <w:spacing w:val="-2"/>
        </w:rPr>
        <w:t>les</w:t>
      </w:r>
      <w:r>
        <w:rPr>
          <w:color w:val="231F20"/>
          <w:spacing w:val="-13"/>
        </w:rPr>
        <w:t> </w:t>
      </w:r>
      <w:r>
        <w:rPr>
          <w:color w:val="231F20"/>
          <w:spacing w:val="-2"/>
        </w:rPr>
        <w:t>militaires</w:t>
      </w:r>
      <w:r>
        <w:rPr>
          <w:color w:val="231F20"/>
          <w:spacing w:val="-11"/>
        </w:rPr>
        <w:t> </w:t>
      </w:r>
      <w:r>
        <w:rPr>
          <w:color w:val="231F20"/>
          <w:spacing w:val="-2"/>
        </w:rPr>
        <w:t>prennent</w:t>
      </w:r>
      <w:r>
        <w:rPr>
          <w:color w:val="231F20"/>
          <w:spacing w:val="-11"/>
        </w:rPr>
        <w:t> </w:t>
      </w:r>
      <w:r>
        <w:rPr>
          <w:color w:val="231F20"/>
          <w:spacing w:val="-2"/>
        </w:rPr>
        <w:t>l’engagement</w:t>
      </w:r>
      <w:r>
        <w:rPr>
          <w:color w:val="231F20"/>
          <w:spacing w:val="-12"/>
        </w:rPr>
        <w:t> </w:t>
      </w:r>
      <w:r>
        <w:rPr>
          <w:color w:val="231F20"/>
          <w:spacing w:val="-2"/>
        </w:rPr>
        <w:t>de</w:t>
      </w:r>
      <w:r>
        <w:rPr>
          <w:color w:val="231F20"/>
          <w:spacing w:val="-13"/>
        </w:rPr>
        <w:t> </w:t>
      </w:r>
      <w:r>
        <w:rPr>
          <w:color w:val="231F20"/>
          <w:spacing w:val="-2"/>
        </w:rPr>
        <w:t>quitter</w:t>
      </w:r>
      <w:r>
        <w:rPr>
          <w:color w:val="231F20"/>
          <w:spacing w:val="-12"/>
        </w:rPr>
        <w:t> </w:t>
      </w:r>
      <w:r>
        <w:rPr>
          <w:color w:val="231F20"/>
          <w:spacing w:val="-2"/>
        </w:rPr>
        <w:t>la</w:t>
      </w:r>
      <w:r>
        <w:rPr>
          <w:color w:val="231F20"/>
          <w:spacing w:val="-12"/>
        </w:rPr>
        <w:t> </w:t>
      </w:r>
      <w:r>
        <w:rPr>
          <w:color w:val="231F20"/>
          <w:spacing w:val="-2"/>
        </w:rPr>
        <w:t>tête</w:t>
      </w:r>
      <w:r>
        <w:rPr>
          <w:color w:val="231F20"/>
          <w:spacing w:val="-12"/>
        </w:rPr>
        <w:t> </w:t>
      </w:r>
      <w:r>
        <w:rPr>
          <w:color w:val="231F20"/>
          <w:spacing w:val="-5"/>
        </w:rPr>
        <w:t>de</w:t>
      </w:r>
    </w:p>
    <w:p>
      <w:pPr>
        <w:pStyle w:val="BodyText"/>
      </w:pPr>
      <w:r>
        <w:rPr>
          <w:color w:val="231F20"/>
        </w:rPr>
        <w:t>l’Exécutif</w:t>
      </w:r>
      <w:r>
        <w:rPr>
          <w:color w:val="231F20"/>
          <w:spacing w:val="26"/>
        </w:rPr>
        <w:t> </w:t>
      </w:r>
      <w:r>
        <w:rPr>
          <w:color w:val="231F20"/>
        </w:rPr>
        <w:t>et</w:t>
      </w:r>
      <w:r>
        <w:rPr>
          <w:color w:val="231F20"/>
          <w:spacing w:val="25"/>
        </w:rPr>
        <w:t> </w:t>
      </w:r>
      <w:r>
        <w:rPr>
          <w:color w:val="231F20"/>
        </w:rPr>
        <w:t>d’expérimenter</w:t>
      </w:r>
      <w:r>
        <w:rPr>
          <w:color w:val="231F20"/>
          <w:spacing w:val="27"/>
        </w:rPr>
        <w:t> </w:t>
      </w:r>
      <w:r>
        <w:rPr>
          <w:color w:val="231F20"/>
        </w:rPr>
        <w:t>une</w:t>
      </w:r>
      <w:r>
        <w:rPr>
          <w:color w:val="231F20"/>
          <w:spacing w:val="25"/>
        </w:rPr>
        <w:t> </w:t>
      </w:r>
      <w:r>
        <w:rPr>
          <w:color w:val="231F20"/>
        </w:rPr>
        <w:t>autre</w:t>
      </w:r>
      <w:r>
        <w:rPr>
          <w:color w:val="231F20"/>
          <w:spacing w:val="24"/>
        </w:rPr>
        <w:t> </w:t>
      </w:r>
      <w:r>
        <w:rPr>
          <w:color w:val="231F20"/>
        </w:rPr>
        <w:t>forme</w:t>
      </w:r>
      <w:r>
        <w:rPr>
          <w:color w:val="231F20"/>
          <w:spacing w:val="24"/>
        </w:rPr>
        <w:t> </w:t>
      </w:r>
      <w:r>
        <w:rPr>
          <w:color w:val="231F20"/>
        </w:rPr>
        <w:t>de</w:t>
      </w:r>
      <w:r>
        <w:rPr>
          <w:color w:val="231F20"/>
          <w:spacing w:val="24"/>
        </w:rPr>
        <w:t> </w:t>
      </w:r>
      <w:r>
        <w:rPr>
          <w:color w:val="231F20"/>
        </w:rPr>
        <w:t>gouvernance</w:t>
      </w:r>
      <w:r>
        <w:rPr>
          <w:color w:val="231F20"/>
          <w:spacing w:val="-13"/>
        </w:rPr>
        <w:t> </w:t>
      </w:r>
      <w:r>
        <w:rPr>
          <w:color w:val="231F20"/>
        </w:rPr>
        <w:t>avec</w:t>
      </w:r>
      <w:r>
        <w:rPr>
          <w:color w:val="231F20"/>
          <w:spacing w:val="27"/>
        </w:rPr>
        <w:t> </w:t>
      </w:r>
      <w:r>
        <w:rPr>
          <w:color w:val="231F20"/>
          <w:spacing w:val="-5"/>
        </w:rPr>
        <w:t>la</w:t>
      </w:r>
    </w:p>
    <w:p>
      <w:pPr>
        <w:spacing w:after="0"/>
        <w:sectPr>
          <w:pgSz w:w="8790" w:h="13610"/>
          <w:pgMar w:header="0" w:footer="802" w:top="1060" w:bottom="1000" w:left="880" w:right="880"/>
        </w:sectPr>
      </w:pPr>
    </w:p>
    <w:p>
      <w:pPr>
        <w:pStyle w:val="BodyText"/>
        <w:spacing w:before="66"/>
        <w:ind w:right="106"/>
      </w:pPr>
      <w:r>
        <w:rPr>
          <w:color w:val="231F20"/>
          <w:spacing w:val="-2"/>
        </w:rPr>
        <w:t>formation</w:t>
      </w:r>
      <w:r>
        <w:rPr>
          <w:color w:val="231F20"/>
          <w:spacing w:val="-7"/>
        </w:rPr>
        <w:t> </w:t>
      </w:r>
      <w:r>
        <w:rPr>
          <w:color w:val="231F20"/>
          <w:spacing w:val="-2"/>
        </w:rPr>
        <w:t>d’un</w:t>
      </w:r>
      <w:r>
        <w:rPr>
          <w:color w:val="231F20"/>
          <w:spacing w:val="-7"/>
        </w:rPr>
        <w:t> </w:t>
      </w:r>
      <w:r>
        <w:rPr>
          <w:color w:val="231F20"/>
          <w:spacing w:val="-2"/>
        </w:rPr>
        <w:t>Conseil</w:t>
      </w:r>
      <w:r>
        <w:rPr>
          <w:color w:val="231F20"/>
          <w:spacing w:val="-5"/>
        </w:rPr>
        <w:t> </w:t>
      </w:r>
      <w:r>
        <w:rPr>
          <w:color w:val="231F20"/>
          <w:spacing w:val="-2"/>
        </w:rPr>
        <w:t>présidentiel</w:t>
      </w:r>
      <w:r>
        <w:rPr>
          <w:color w:val="231F20"/>
          <w:spacing w:val="-7"/>
        </w:rPr>
        <w:t> </w:t>
      </w:r>
      <w:r>
        <w:rPr>
          <w:color w:val="231F20"/>
          <w:spacing w:val="-2"/>
        </w:rPr>
        <w:t>de</w:t>
      </w:r>
      <w:r>
        <w:rPr>
          <w:color w:val="231F20"/>
          <w:spacing w:val="-7"/>
        </w:rPr>
        <w:t> </w:t>
      </w:r>
      <w:r>
        <w:rPr>
          <w:color w:val="231F20"/>
          <w:spacing w:val="-2"/>
        </w:rPr>
        <w:t>trois</w:t>
      </w:r>
      <w:r>
        <w:rPr>
          <w:color w:val="231F20"/>
          <w:spacing w:val="-7"/>
        </w:rPr>
        <w:t> </w:t>
      </w:r>
      <w:r>
        <w:rPr>
          <w:color w:val="231F20"/>
          <w:spacing w:val="-2"/>
        </w:rPr>
        <w:t>membres</w:t>
      </w:r>
      <w:r>
        <w:rPr>
          <w:color w:val="231F20"/>
          <w:spacing w:val="-6"/>
        </w:rPr>
        <w:t> </w:t>
      </w:r>
      <w:r>
        <w:rPr>
          <w:color w:val="231F20"/>
          <w:spacing w:val="-2"/>
        </w:rPr>
        <w:t>composé</w:t>
      </w:r>
      <w:r>
        <w:rPr>
          <w:color w:val="231F20"/>
          <w:spacing w:val="-7"/>
        </w:rPr>
        <w:t> </w:t>
      </w:r>
      <w:r>
        <w:rPr>
          <w:color w:val="231F20"/>
          <w:spacing w:val="-2"/>
        </w:rPr>
        <w:t>de</w:t>
      </w:r>
      <w:r>
        <w:rPr>
          <w:color w:val="231F20"/>
          <w:spacing w:val="-7"/>
        </w:rPr>
        <w:t> </w:t>
      </w:r>
      <w:r>
        <w:rPr>
          <w:color w:val="231F20"/>
          <w:spacing w:val="-2"/>
        </w:rPr>
        <w:t>Justin </w:t>
      </w:r>
      <w:r>
        <w:rPr>
          <w:color w:val="231F20"/>
        </w:rPr>
        <w:t>Ahomadegbé,</w:t>
      </w:r>
      <w:r>
        <w:rPr>
          <w:color w:val="231F20"/>
          <w:spacing w:val="-15"/>
        </w:rPr>
        <w:t> </w:t>
      </w:r>
      <w:r>
        <w:rPr>
          <w:color w:val="231F20"/>
        </w:rPr>
        <w:t>Hubert</w:t>
      </w:r>
      <w:r>
        <w:rPr>
          <w:color w:val="231F20"/>
          <w:spacing w:val="-15"/>
        </w:rPr>
        <w:t> </w:t>
      </w:r>
      <w:r>
        <w:rPr>
          <w:color w:val="231F20"/>
        </w:rPr>
        <w:t>Maga</w:t>
      </w:r>
      <w:r>
        <w:rPr>
          <w:color w:val="231F20"/>
          <w:spacing w:val="-15"/>
        </w:rPr>
        <w:t> </w:t>
      </w:r>
      <w:r>
        <w:rPr>
          <w:color w:val="231F20"/>
        </w:rPr>
        <w:t>et</w:t>
      </w:r>
      <w:r>
        <w:rPr>
          <w:color w:val="231F20"/>
          <w:spacing w:val="-15"/>
        </w:rPr>
        <w:t> </w:t>
      </w:r>
      <w:r>
        <w:rPr>
          <w:color w:val="231F20"/>
        </w:rPr>
        <w:t>Sourou</w:t>
      </w:r>
      <w:r>
        <w:rPr>
          <w:color w:val="231F20"/>
          <w:spacing w:val="-15"/>
        </w:rPr>
        <w:t> </w:t>
      </w:r>
      <w:r>
        <w:rPr>
          <w:color w:val="231F20"/>
        </w:rPr>
        <w:t>Migan</w:t>
      </w:r>
      <w:r>
        <w:rPr>
          <w:color w:val="231F20"/>
          <w:spacing w:val="-15"/>
        </w:rPr>
        <w:t> </w:t>
      </w:r>
      <w:r>
        <w:rPr>
          <w:color w:val="231F20"/>
        </w:rPr>
        <w:t>Apithy.La</w:t>
      </w:r>
      <w:r>
        <w:rPr>
          <w:color w:val="231F20"/>
          <w:spacing w:val="-15"/>
        </w:rPr>
        <w:t> </w:t>
      </w:r>
      <w:r>
        <w:rPr>
          <w:color w:val="231F20"/>
        </w:rPr>
        <w:t>présidence</w:t>
      </w:r>
      <w:r>
        <w:rPr>
          <w:color w:val="231F20"/>
          <w:spacing w:val="-15"/>
        </w:rPr>
        <w:t> </w:t>
      </w:r>
      <w:r>
        <w:rPr>
          <w:color w:val="231F20"/>
        </w:rPr>
        <w:t>sera </w:t>
      </w:r>
      <w:r>
        <w:rPr>
          <w:color w:val="231F20"/>
          <w:spacing w:val="-4"/>
        </w:rPr>
        <w:t>tournante. Les</w:t>
      </w:r>
      <w:r>
        <w:rPr>
          <w:color w:val="231F20"/>
          <w:spacing w:val="-6"/>
        </w:rPr>
        <w:t> </w:t>
      </w:r>
      <w:r>
        <w:rPr>
          <w:color w:val="231F20"/>
          <w:spacing w:val="-4"/>
        </w:rPr>
        <w:t>trois</w:t>
      </w:r>
      <w:r>
        <w:rPr>
          <w:color w:val="231F20"/>
          <w:spacing w:val="-7"/>
        </w:rPr>
        <w:t> </w:t>
      </w:r>
      <w:r>
        <w:rPr>
          <w:color w:val="231F20"/>
          <w:spacing w:val="-4"/>
        </w:rPr>
        <w:t>leaders politiques doivent à</w:t>
      </w:r>
      <w:r>
        <w:rPr>
          <w:color w:val="231F20"/>
          <w:spacing w:val="-7"/>
        </w:rPr>
        <w:t> </w:t>
      </w:r>
      <w:r>
        <w:rPr>
          <w:color w:val="231F20"/>
          <w:spacing w:val="-4"/>
        </w:rPr>
        <w:t>tour</w:t>
      </w:r>
      <w:r>
        <w:rPr>
          <w:color w:val="231F20"/>
          <w:spacing w:val="-7"/>
        </w:rPr>
        <w:t> </w:t>
      </w:r>
      <w:r>
        <w:rPr>
          <w:color w:val="231F20"/>
          <w:spacing w:val="-4"/>
        </w:rPr>
        <w:t>de rôle,</w:t>
      </w:r>
      <w:r>
        <w:rPr>
          <w:color w:val="231F20"/>
          <w:spacing w:val="-7"/>
        </w:rPr>
        <w:t> </w:t>
      </w:r>
      <w:r>
        <w:rPr>
          <w:color w:val="231F20"/>
          <w:spacing w:val="-4"/>
        </w:rPr>
        <w:t>tous les deux ans</w:t>
      </w:r>
      <w:r>
        <w:rPr>
          <w:color w:val="231F20"/>
          <w:spacing w:val="-11"/>
        </w:rPr>
        <w:t> </w:t>
      </w:r>
      <w:r>
        <w:rPr>
          <w:color w:val="231F20"/>
          <w:spacing w:val="-4"/>
        </w:rPr>
        <w:t>se</w:t>
      </w:r>
      <w:r>
        <w:rPr>
          <w:color w:val="231F20"/>
          <w:spacing w:val="-11"/>
        </w:rPr>
        <w:t> </w:t>
      </w:r>
      <w:r>
        <w:rPr>
          <w:color w:val="231F20"/>
          <w:spacing w:val="-4"/>
        </w:rPr>
        <w:t>succéder</w:t>
      </w:r>
      <w:r>
        <w:rPr>
          <w:color w:val="231F20"/>
          <w:spacing w:val="-11"/>
        </w:rPr>
        <w:t> </w:t>
      </w:r>
      <w:r>
        <w:rPr>
          <w:color w:val="231F20"/>
          <w:spacing w:val="-4"/>
        </w:rPr>
        <w:t>à</w:t>
      </w:r>
      <w:r>
        <w:rPr>
          <w:color w:val="231F20"/>
          <w:spacing w:val="-11"/>
        </w:rPr>
        <w:t> </w:t>
      </w:r>
      <w:r>
        <w:rPr>
          <w:color w:val="231F20"/>
          <w:spacing w:val="-4"/>
        </w:rPr>
        <w:t>la</w:t>
      </w:r>
      <w:r>
        <w:rPr>
          <w:color w:val="231F20"/>
          <w:spacing w:val="-11"/>
        </w:rPr>
        <w:t> </w:t>
      </w:r>
      <w:r>
        <w:rPr>
          <w:color w:val="231F20"/>
          <w:spacing w:val="-4"/>
        </w:rPr>
        <w:t>Magistrature</w:t>
      </w:r>
      <w:r>
        <w:rPr>
          <w:color w:val="231F20"/>
          <w:spacing w:val="-11"/>
        </w:rPr>
        <w:t> </w:t>
      </w:r>
      <w:r>
        <w:rPr>
          <w:color w:val="231F20"/>
          <w:spacing w:val="-4"/>
        </w:rPr>
        <w:t>Suprême</w:t>
      </w:r>
      <w:r>
        <w:rPr>
          <w:color w:val="231F20"/>
          <w:spacing w:val="-11"/>
        </w:rPr>
        <w:t> </w:t>
      </w:r>
      <w:r>
        <w:rPr>
          <w:color w:val="231F20"/>
          <w:spacing w:val="-4"/>
        </w:rPr>
        <w:t>avec</w:t>
      </w:r>
      <w:r>
        <w:rPr>
          <w:color w:val="231F20"/>
          <w:spacing w:val="-11"/>
        </w:rPr>
        <w:t> </w:t>
      </w:r>
      <w:r>
        <w:rPr>
          <w:color w:val="231F20"/>
          <w:spacing w:val="-4"/>
        </w:rPr>
        <w:t>le</w:t>
      </w:r>
      <w:r>
        <w:rPr>
          <w:color w:val="231F20"/>
          <w:spacing w:val="-11"/>
        </w:rPr>
        <w:t> </w:t>
      </w:r>
      <w:r>
        <w:rPr>
          <w:color w:val="231F20"/>
          <w:spacing w:val="-4"/>
        </w:rPr>
        <w:t>titre</w:t>
      </w:r>
      <w:r>
        <w:rPr>
          <w:color w:val="231F20"/>
          <w:spacing w:val="-11"/>
        </w:rPr>
        <w:t> </w:t>
      </w:r>
      <w:r>
        <w:rPr>
          <w:color w:val="231F20"/>
          <w:spacing w:val="-4"/>
        </w:rPr>
        <w:t>de</w:t>
      </w:r>
      <w:r>
        <w:rPr>
          <w:color w:val="231F20"/>
          <w:spacing w:val="-11"/>
        </w:rPr>
        <w:t> </w:t>
      </w:r>
      <w:r>
        <w:rPr>
          <w:color w:val="231F20"/>
          <w:spacing w:val="-4"/>
        </w:rPr>
        <w:t>Chef</w:t>
      </w:r>
      <w:r>
        <w:rPr>
          <w:color w:val="231F20"/>
          <w:spacing w:val="-11"/>
        </w:rPr>
        <w:t> </w:t>
      </w:r>
      <w:r>
        <w:rPr>
          <w:color w:val="231F20"/>
          <w:spacing w:val="-4"/>
        </w:rPr>
        <w:t>du</w:t>
      </w:r>
      <w:r>
        <w:rPr>
          <w:color w:val="231F20"/>
          <w:spacing w:val="-11"/>
        </w:rPr>
        <w:t> </w:t>
      </w:r>
      <w:r>
        <w:rPr>
          <w:color w:val="231F20"/>
          <w:spacing w:val="-4"/>
        </w:rPr>
        <w:t>Conseil </w:t>
      </w:r>
      <w:r>
        <w:rPr>
          <w:color w:val="231F20"/>
          <w:spacing w:val="-2"/>
        </w:rPr>
        <w:t>présidentiel.</w:t>
      </w:r>
    </w:p>
    <w:p>
      <w:pPr>
        <w:pStyle w:val="BodyText"/>
        <w:spacing w:before="120"/>
        <w:ind w:right="103" w:firstLine="283"/>
      </w:pPr>
      <w:r>
        <w:rPr>
          <w:color w:val="231F20"/>
        </w:rPr>
        <w:t>Le 7 mai 1970, Hubert Maga inaugure le système pour deux ans. Ahomadebgé</w:t>
      </w:r>
      <w:r>
        <w:rPr>
          <w:color w:val="231F20"/>
          <w:spacing w:val="-3"/>
        </w:rPr>
        <w:t> </w:t>
      </w:r>
      <w:r>
        <w:rPr>
          <w:color w:val="231F20"/>
        </w:rPr>
        <w:t>prend</w:t>
      </w:r>
      <w:r>
        <w:rPr>
          <w:color w:val="231F20"/>
          <w:spacing w:val="-6"/>
        </w:rPr>
        <w:t> </w:t>
      </w:r>
      <w:r>
        <w:rPr>
          <w:color w:val="231F20"/>
        </w:rPr>
        <w:t>le</w:t>
      </w:r>
      <w:r>
        <w:rPr>
          <w:color w:val="231F20"/>
          <w:spacing w:val="-2"/>
        </w:rPr>
        <w:t> </w:t>
      </w:r>
      <w:r>
        <w:rPr>
          <w:color w:val="231F20"/>
        </w:rPr>
        <w:t>relais</w:t>
      </w:r>
      <w:r>
        <w:rPr>
          <w:color w:val="231F20"/>
          <w:spacing w:val="-3"/>
        </w:rPr>
        <w:t> </w:t>
      </w:r>
      <w:r>
        <w:rPr>
          <w:color w:val="231F20"/>
        </w:rPr>
        <w:t>le</w:t>
      </w:r>
      <w:r>
        <w:rPr>
          <w:color w:val="231F20"/>
          <w:spacing w:val="-2"/>
        </w:rPr>
        <w:t> </w:t>
      </w:r>
      <w:r>
        <w:rPr>
          <w:color w:val="231F20"/>
        </w:rPr>
        <w:t>7</w:t>
      </w:r>
      <w:r>
        <w:rPr>
          <w:color w:val="231F20"/>
          <w:spacing w:val="-3"/>
        </w:rPr>
        <w:t> </w:t>
      </w:r>
      <w:r>
        <w:rPr>
          <w:color w:val="231F20"/>
        </w:rPr>
        <w:t>mai</w:t>
      </w:r>
      <w:r>
        <w:rPr>
          <w:color w:val="231F20"/>
          <w:spacing w:val="-3"/>
        </w:rPr>
        <w:t> </w:t>
      </w:r>
      <w:r>
        <w:rPr>
          <w:color w:val="231F20"/>
        </w:rPr>
        <w:t>1972.</w:t>
      </w:r>
      <w:r>
        <w:rPr>
          <w:color w:val="231F20"/>
          <w:spacing w:val="-1"/>
        </w:rPr>
        <w:t> </w:t>
      </w:r>
      <w:r>
        <w:rPr>
          <w:color w:val="231F20"/>
        </w:rPr>
        <w:t>Il</w:t>
      </w:r>
      <w:r>
        <w:rPr>
          <w:color w:val="231F20"/>
          <w:spacing w:val="-3"/>
        </w:rPr>
        <w:t> </w:t>
      </w:r>
      <w:r>
        <w:rPr>
          <w:color w:val="231F20"/>
        </w:rPr>
        <w:t>ne</w:t>
      </w:r>
      <w:r>
        <w:rPr>
          <w:color w:val="231F20"/>
          <w:spacing w:val="-2"/>
        </w:rPr>
        <w:t> </w:t>
      </w:r>
      <w:r>
        <w:rPr>
          <w:color w:val="231F20"/>
        </w:rPr>
        <w:t>finira</w:t>
      </w:r>
      <w:r>
        <w:rPr>
          <w:color w:val="231F20"/>
          <w:spacing w:val="-2"/>
        </w:rPr>
        <w:t> </w:t>
      </w:r>
      <w:r>
        <w:rPr>
          <w:color w:val="231F20"/>
        </w:rPr>
        <w:t>pas</w:t>
      </w:r>
      <w:r>
        <w:rPr>
          <w:color w:val="231F20"/>
          <w:spacing w:val="-2"/>
        </w:rPr>
        <w:t> </w:t>
      </w:r>
      <w:r>
        <w:rPr>
          <w:color w:val="231F20"/>
        </w:rPr>
        <w:t>son</w:t>
      </w:r>
      <w:r>
        <w:rPr>
          <w:color w:val="231F20"/>
          <w:spacing w:val="-3"/>
        </w:rPr>
        <w:t> </w:t>
      </w:r>
      <w:r>
        <w:rPr>
          <w:color w:val="231F20"/>
        </w:rPr>
        <w:t>mandat. L’expérience</w:t>
      </w:r>
      <w:r>
        <w:rPr>
          <w:color w:val="231F20"/>
          <w:spacing w:val="-7"/>
        </w:rPr>
        <w:t> </w:t>
      </w:r>
      <w:r>
        <w:rPr>
          <w:color w:val="231F20"/>
        </w:rPr>
        <w:t>du</w:t>
      </w:r>
      <w:r>
        <w:rPr>
          <w:color w:val="231F20"/>
          <w:spacing w:val="-9"/>
        </w:rPr>
        <w:t> </w:t>
      </w:r>
      <w:r>
        <w:rPr>
          <w:color w:val="231F20"/>
        </w:rPr>
        <w:t>triumvirat</w:t>
      </w:r>
      <w:r>
        <w:rPr>
          <w:color w:val="231F20"/>
          <w:spacing w:val="-7"/>
        </w:rPr>
        <w:t> </w:t>
      </w:r>
      <w:r>
        <w:rPr>
          <w:color w:val="231F20"/>
        </w:rPr>
        <w:t>est</w:t>
      </w:r>
      <w:r>
        <w:rPr>
          <w:color w:val="231F20"/>
          <w:spacing w:val="-8"/>
        </w:rPr>
        <w:t> </w:t>
      </w:r>
      <w:r>
        <w:rPr>
          <w:color w:val="231F20"/>
        </w:rPr>
        <w:t>stoppée</w:t>
      </w:r>
      <w:r>
        <w:rPr>
          <w:color w:val="231F20"/>
          <w:spacing w:val="-7"/>
        </w:rPr>
        <w:t> </w:t>
      </w:r>
      <w:r>
        <w:rPr>
          <w:color w:val="231F20"/>
        </w:rPr>
        <w:t>par</w:t>
      </w:r>
      <w:r>
        <w:rPr>
          <w:color w:val="231F20"/>
          <w:spacing w:val="-9"/>
        </w:rPr>
        <w:t> </w:t>
      </w:r>
      <w:r>
        <w:rPr>
          <w:color w:val="231F20"/>
        </w:rPr>
        <w:t>un</w:t>
      </w:r>
      <w:r>
        <w:rPr>
          <w:color w:val="231F20"/>
          <w:spacing w:val="-8"/>
        </w:rPr>
        <w:t> </w:t>
      </w:r>
      <w:r>
        <w:rPr>
          <w:color w:val="231F20"/>
        </w:rPr>
        <w:t>coup</w:t>
      </w:r>
      <w:r>
        <w:rPr>
          <w:color w:val="231F20"/>
          <w:spacing w:val="-7"/>
        </w:rPr>
        <w:t> </w:t>
      </w:r>
      <w:r>
        <w:rPr>
          <w:color w:val="231F20"/>
        </w:rPr>
        <w:t>d’État</w:t>
      </w:r>
      <w:r>
        <w:rPr>
          <w:color w:val="231F20"/>
          <w:spacing w:val="-6"/>
        </w:rPr>
        <w:t> </w:t>
      </w:r>
      <w:r>
        <w:rPr>
          <w:color w:val="231F20"/>
        </w:rPr>
        <w:t>le</w:t>
      </w:r>
      <w:r>
        <w:rPr>
          <w:color w:val="231F20"/>
          <w:spacing w:val="-9"/>
        </w:rPr>
        <w:t> </w:t>
      </w:r>
      <w:r>
        <w:rPr>
          <w:color w:val="231F20"/>
        </w:rPr>
        <w:t>26</w:t>
      </w:r>
      <w:r>
        <w:rPr>
          <w:color w:val="231F20"/>
          <w:spacing w:val="-9"/>
        </w:rPr>
        <w:t> </w:t>
      </w:r>
      <w:r>
        <w:rPr>
          <w:color w:val="231F20"/>
        </w:rPr>
        <w:t>octobre 1972</w:t>
      </w:r>
      <w:r>
        <w:rPr>
          <w:color w:val="231F20"/>
          <w:spacing w:val="-2"/>
        </w:rPr>
        <w:t> </w:t>
      </w:r>
      <w:r>
        <w:rPr>
          <w:color w:val="231F20"/>
        </w:rPr>
        <w:t>du</w:t>
      </w:r>
      <w:r>
        <w:rPr>
          <w:color w:val="231F20"/>
          <w:spacing w:val="-2"/>
        </w:rPr>
        <w:t> </w:t>
      </w:r>
      <w:r>
        <w:rPr>
          <w:color w:val="231F20"/>
        </w:rPr>
        <w:t>Commandant</w:t>
      </w:r>
      <w:r>
        <w:rPr>
          <w:color w:val="231F20"/>
          <w:spacing w:val="-2"/>
        </w:rPr>
        <w:t> </w:t>
      </w:r>
      <w:r>
        <w:rPr>
          <w:color w:val="231F20"/>
        </w:rPr>
        <w:t>Mathieu</w:t>
      </w:r>
      <w:r>
        <w:rPr>
          <w:color w:val="231F20"/>
          <w:spacing w:val="-3"/>
        </w:rPr>
        <w:t> </w:t>
      </w:r>
      <w:r>
        <w:rPr>
          <w:color w:val="231F20"/>
        </w:rPr>
        <w:t>Kérékou,</w:t>
      </w:r>
      <w:r>
        <w:rPr>
          <w:color w:val="231F20"/>
          <w:spacing w:val="-2"/>
        </w:rPr>
        <w:t> </w:t>
      </w:r>
      <w:r>
        <w:rPr>
          <w:color w:val="231F20"/>
        </w:rPr>
        <w:t>Chef</w:t>
      </w:r>
      <w:r>
        <w:rPr>
          <w:color w:val="231F20"/>
          <w:spacing w:val="-3"/>
        </w:rPr>
        <w:t> </w:t>
      </w:r>
      <w:r>
        <w:rPr>
          <w:color w:val="231F20"/>
        </w:rPr>
        <w:t>d’Etat-Major</w:t>
      </w:r>
      <w:r>
        <w:rPr>
          <w:color w:val="231F20"/>
          <w:spacing w:val="-1"/>
        </w:rPr>
        <w:t> </w:t>
      </w:r>
      <w:r>
        <w:rPr>
          <w:color w:val="231F20"/>
        </w:rPr>
        <w:t>adjoint</w:t>
      </w:r>
      <w:r>
        <w:rPr>
          <w:color w:val="231F20"/>
          <w:spacing w:val="-2"/>
        </w:rPr>
        <w:t> </w:t>
      </w:r>
      <w:r>
        <w:rPr>
          <w:color w:val="231F20"/>
        </w:rPr>
        <w:t>de l’Armée. Il prend la tête d’un «</w:t>
      </w:r>
      <w:r>
        <w:rPr>
          <w:color w:val="231F20"/>
          <w:spacing w:val="-11"/>
        </w:rPr>
        <w:t> </w:t>
      </w:r>
      <w:r>
        <w:rPr>
          <w:color w:val="231F20"/>
        </w:rPr>
        <w:t>Gouvernement Militaire Révolutionnaire</w:t>
      </w:r>
      <w:r>
        <w:rPr>
          <w:color w:val="231F20"/>
          <w:spacing w:val="-15"/>
        </w:rPr>
        <w:t> </w:t>
      </w:r>
      <w:r>
        <w:rPr>
          <w:color w:val="231F20"/>
        </w:rPr>
        <w:t>». Les trois membres du Conseil Présidentiel, Justin </w:t>
      </w:r>
      <w:r>
        <w:rPr>
          <w:color w:val="231F20"/>
          <w:spacing w:val="-2"/>
        </w:rPr>
        <w:t>Ahomadegbé,</w:t>
      </w:r>
      <w:r>
        <w:rPr>
          <w:color w:val="231F20"/>
          <w:spacing w:val="-13"/>
        </w:rPr>
        <w:t> </w:t>
      </w:r>
      <w:r>
        <w:rPr>
          <w:color w:val="231F20"/>
          <w:spacing w:val="-2"/>
        </w:rPr>
        <w:t>Hubert</w:t>
      </w:r>
      <w:r>
        <w:rPr>
          <w:color w:val="231F20"/>
          <w:spacing w:val="-13"/>
        </w:rPr>
        <w:t> </w:t>
      </w:r>
      <w:r>
        <w:rPr>
          <w:color w:val="231F20"/>
          <w:spacing w:val="-2"/>
        </w:rPr>
        <w:t>Maga</w:t>
      </w:r>
      <w:r>
        <w:rPr>
          <w:color w:val="231F20"/>
          <w:spacing w:val="-13"/>
        </w:rPr>
        <w:t> </w:t>
      </w:r>
      <w:r>
        <w:rPr>
          <w:color w:val="231F20"/>
          <w:spacing w:val="-2"/>
        </w:rPr>
        <w:t>et</w:t>
      </w:r>
      <w:r>
        <w:rPr>
          <w:color w:val="231F20"/>
          <w:spacing w:val="-13"/>
        </w:rPr>
        <w:t> </w:t>
      </w:r>
      <w:r>
        <w:rPr>
          <w:color w:val="231F20"/>
          <w:spacing w:val="-2"/>
        </w:rPr>
        <w:t>Sourou</w:t>
      </w:r>
      <w:r>
        <w:rPr>
          <w:color w:val="231F20"/>
          <w:spacing w:val="-13"/>
        </w:rPr>
        <w:t> </w:t>
      </w:r>
      <w:r>
        <w:rPr>
          <w:color w:val="231F20"/>
          <w:spacing w:val="-2"/>
        </w:rPr>
        <w:t>Migan</w:t>
      </w:r>
      <w:r>
        <w:rPr>
          <w:color w:val="231F20"/>
          <w:spacing w:val="-13"/>
        </w:rPr>
        <w:t> </w:t>
      </w:r>
      <w:r>
        <w:rPr>
          <w:color w:val="231F20"/>
          <w:spacing w:val="-2"/>
        </w:rPr>
        <w:t>Apithy</w:t>
      </w:r>
      <w:r>
        <w:rPr>
          <w:color w:val="231F20"/>
          <w:spacing w:val="-13"/>
        </w:rPr>
        <w:t> </w:t>
      </w:r>
      <w:r>
        <w:rPr>
          <w:color w:val="231F20"/>
          <w:spacing w:val="-2"/>
        </w:rPr>
        <w:t>sont</w:t>
      </w:r>
      <w:r>
        <w:rPr>
          <w:color w:val="231F20"/>
          <w:spacing w:val="-13"/>
        </w:rPr>
        <w:t> </w:t>
      </w:r>
      <w:r>
        <w:rPr>
          <w:color w:val="231F20"/>
          <w:spacing w:val="-2"/>
        </w:rPr>
        <w:t>incarcérés.</w:t>
      </w:r>
      <w:r>
        <w:rPr>
          <w:color w:val="231F20"/>
          <w:spacing w:val="-13"/>
        </w:rPr>
        <w:t> </w:t>
      </w:r>
      <w:r>
        <w:rPr>
          <w:color w:val="231F20"/>
          <w:spacing w:val="-2"/>
        </w:rPr>
        <w:t>Les </w:t>
      </w:r>
      <w:r>
        <w:rPr>
          <w:color w:val="231F20"/>
          <w:spacing w:val="-4"/>
        </w:rPr>
        <w:t>militaires</w:t>
      </w:r>
      <w:r>
        <w:rPr>
          <w:color w:val="231F20"/>
          <w:spacing w:val="-8"/>
        </w:rPr>
        <w:t> </w:t>
      </w:r>
      <w:r>
        <w:rPr>
          <w:color w:val="231F20"/>
          <w:spacing w:val="-4"/>
        </w:rPr>
        <w:t>mettent</w:t>
      </w:r>
      <w:r>
        <w:rPr>
          <w:color w:val="231F20"/>
          <w:spacing w:val="-5"/>
        </w:rPr>
        <w:t> </w:t>
      </w:r>
      <w:r>
        <w:rPr>
          <w:color w:val="231F20"/>
          <w:spacing w:val="-4"/>
        </w:rPr>
        <w:t>fin</w:t>
      </w:r>
      <w:r>
        <w:rPr>
          <w:color w:val="231F20"/>
          <w:spacing w:val="-6"/>
        </w:rPr>
        <w:t> </w:t>
      </w:r>
      <w:r>
        <w:rPr>
          <w:color w:val="231F20"/>
          <w:spacing w:val="-4"/>
        </w:rPr>
        <w:t>aux</w:t>
      </w:r>
      <w:r>
        <w:rPr>
          <w:color w:val="231F20"/>
          <w:spacing w:val="-8"/>
        </w:rPr>
        <w:t> </w:t>
      </w:r>
      <w:r>
        <w:rPr>
          <w:color w:val="231F20"/>
          <w:spacing w:val="-4"/>
        </w:rPr>
        <w:t>activités</w:t>
      </w:r>
      <w:r>
        <w:rPr>
          <w:color w:val="231F20"/>
          <w:spacing w:val="-8"/>
        </w:rPr>
        <w:t> </w:t>
      </w:r>
      <w:r>
        <w:rPr>
          <w:color w:val="231F20"/>
          <w:spacing w:val="-4"/>
        </w:rPr>
        <w:t>de</w:t>
      </w:r>
      <w:r>
        <w:rPr>
          <w:color w:val="231F20"/>
          <w:spacing w:val="-6"/>
        </w:rPr>
        <w:t> </w:t>
      </w:r>
      <w:r>
        <w:rPr>
          <w:color w:val="231F20"/>
          <w:spacing w:val="-4"/>
        </w:rPr>
        <w:t>l’Assemblée</w:t>
      </w:r>
      <w:r>
        <w:rPr>
          <w:color w:val="231F20"/>
          <w:spacing w:val="-8"/>
        </w:rPr>
        <w:t> </w:t>
      </w:r>
      <w:r>
        <w:rPr>
          <w:color w:val="231F20"/>
          <w:spacing w:val="-4"/>
        </w:rPr>
        <w:t>Nationale.</w:t>
      </w:r>
      <w:r>
        <w:rPr>
          <w:color w:val="231F20"/>
          <w:spacing w:val="-6"/>
        </w:rPr>
        <w:t> </w:t>
      </w:r>
      <w:r>
        <w:rPr>
          <w:color w:val="231F20"/>
          <w:spacing w:val="-4"/>
        </w:rPr>
        <w:t>Kérékou</w:t>
      </w:r>
      <w:r>
        <w:rPr>
          <w:color w:val="231F20"/>
          <w:spacing w:val="-6"/>
        </w:rPr>
        <w:t> </w:t>
      </w:r>
      <w:r>
        <w:rPr>
          <w:color w:val="231F20"/>
          <w:spacing w:val="-4"/>
        </w:rPr>
        <w:t>est Président</w:t>
      </w:r>
      <w:r>
        <w:rPr>
          <w:color w:val="231F20"/>
          <w:spacing w:val="-6"/>
        </w:rPr>
        <w:t> </w:t>
      </w:r>
      <w:r>
        <w:rPr>
          <w:color w:val="231F20"/>
          <w:spacing w:val="-4"/>
        </w:rPr>
        <w:t>et</w:t>
      </w:r>
      <w:r>
        <w:rPr>
          <w:color w:val="231F20"/>
          <w:spacing w:val="-9"/>
        </w:rPr>
        <w:t> </w:t>
      </w:r>
      <w:r>
        <w:rPr>
          <w:color w:val="231F20"/>
          <w:spacing w:val="-4"/>
        </w:rPr>
        <w:t>Ministre</w:t>
      </w:r>
      <w:r>
        <w:rPr>
          <w:color w:val="231F20"/>
          <w:spacing w:val="-11"/>
        </w:rPr>
        <w:t> </w:t>
      </w:r>
      <w:r>
        <w:rPr>
          <w:color w:val="231F20"/>
          <w:spacing w:val="-4"/>
        </w:rPr>
        <w:t>de</w:t>
      </w:r>
      <w:r>
        <w:rPr>
          <w:color w:val="231F20"/>
          <w:spacing w:val="-10"/>
        </w:rPr>
        <w:t> </w:t>
      </w:r>
      <w:r>
        <w:rPr>
          <w:color w:val="231F20"/>
          <w:spacing w:val="-4"/>
        </w:rPr>
        <w:t>la</w:t>
      </w:r>
      <w:r>
        <w:rPr>
          <w:color w:val="231F20"/>
          <w:spacing w:val="-11"/>
        </w:rPr>
        <w:t> </w:t>
      </w:r>
      <w:r>
        <w:rPr>
          <w:color w:val="231F20"/>
          <w:spacing w:val="-4"/>
        </w:rPr>
        <w:t>Défense.</w:t>
      </w:r>
      <w:r>
        <w:rPr>
          <w:color w:val="231F20"/>
          <w:spacing w:val="-11"/>
        </w:rPr>
        <w:t> </w:t>
      </w:r>
      <w:r>
        <w:rPr>
          <w:color w:val="231F20"/>
          <w:spacing w:val="-4"/>
        </w:rPr>
        <w:t>Ce</w:t>
      </w:r>
      <w:r>
        <w:rPr>
          <w:color w:val="231F20"/>
          <w:spacing w:val="-10"/>
        </w:rPr>
        <w:t> </w:t>
      </w:r>
      <w:r>
        <w:rPr>
          <w:color w:val="231F20"/>
          <w:spacing w:val="-4"/>
        </w:rPr>
        <w:t>coup</w:t>
      </w:r>
      <w:r>
        <w:rPr>
          <w:color w:val="231F20"/>
          <w:spacing w:val="-11"/>
        </w:rPr>
        <w:t> </w:t>
      </w:r>
      <w:r>
        <w:rPr>
          <w:color w:val="231F20"/>
          <w:spacing w:val="-4"/>
        </w:rPr>
        <w:t>d’État</w:t>
      </w:r>
      <w:r>
        <w:rPr>
          <w:color w:val="231F20"/>
          <w:spacing w:val="-9"/>
        </w:rPr>
        <w:t> </w:t>
      </w:r>
      <w:r>
        <w:rPr>
          <w:color w:val="231F20"/>
          <w:spacing w:val="-4"/>
        </w:rPr>
        <w:t>est</w:t>
      </w:r>
      <w:r>
        <w:rPr>
          <w:color w:val="231F20"/>
          <w:spacing w:val="-11"/>
        </w:rPr>
        <w:t> </w:t>
      </w:r>
      <w:r>
        <w:rPr>
          <w:color w:val="231F20"/>
          <w:spacing w:val="-4"/>
        </w:rPr>
        <w:t>le</w:t>
      </w:r>
      <w:r>
        <w:rPr>
          <w:color w:val="231F20"/>
          <w:spacing w:val="-10"/>
        </w:rPr>
        <w:t> </w:t>
      </w:r>
      <w:r>
        <w:rPr>
          <w:color w:val="231F20"/>
          <w:spacing w:val="-4"/>
        </w:rPr>
        <w:t>12ème</w:t>
      </w:r>
      <w:r>
        <w:rPr>
          <w:color w:val="231F20"/>
          <w:spacing w:val="-10"/>
        </w:rPr>
        <w:t> </w:t>
      </w:r>
      <w:r>
        <w:rPr>
          <w:color w:val="231F20"/>
          <w:spacing w:val="-4"/>
        </w:rPr>
        <w:t>en</w:t>
      </w:r>
      <w:r>
        <w:rPr>
          <w:color w:val="231F20"/>
          <w:spacing w:val="-10"/>
        </w:rPr>
        <w:t> </w:t>
      </w:r>
      <w:r>
        <w:rPr>
          <w:color w:val="231F20"/>
          <w:spacing w:val="-4"/>
        </w:rPr>
        <w:t>12</w:t>
      </w:r>
      <w:r>
        <w:rPr>
          <w:color w:val="231F20"/>
          <w:spacing w:val="-10"/>
        </w:rPr>
        <w:t> </w:t>
      </w:r>
      <w:r>
        <w:rPr>
          <w:color w:val="231F20"/>
          <w:spacing w:val="-4"/>
        </w:rPr>
        <w:t>ans </w:t>
      </w:r>
      <w:r>
        <w:rPr>
          <w:color w:val="231F20"/>
        </w:rPr>
        <w:t>d’existence de la jeune République.</w:t>
      </w:r>
    </w:p>
    <w:p>
      <w:pPr>
        <w:pStyle w:val="BodyText"/>
        <w:spacing w:before="121"/>
        <w:ind w:right="103" w:firstLine="283"/>
      </w:pPr>
      <w:r>
        <w:rPr>
          <w:color w:val="231F20"/>
        </w:rPr>
        <w:t>Le 30 novembre 1974, le régime militaire décrète le marxisme- </w:t>
      </w:r>
      <w:r>
        <w:rPr>
          <w:color w:val="231F20"/>
          <w:spacing w:val="-2"/>
        </w:rPr>
        <w:t>léninisme</w:t>
      </w:r>
      <w:r>
        <w:rPr>
          <w:color w:val="231F20"/>
          <w:spacing w:val="-9"/>
        </w:rPr>
        <w:t> </w:t>
      </w:r>
      <w:r>
        <w:rPr>
          <w:color w:val="231F20"/>
          <w:spacing w:val="-2"/>
        </w:rPr>
        <w:t>comme</w:t>
      </w:r>
      <w:r>
        <w:rPr>
          <w:color w:val="231F20"/>
          <w:spacing w:val="-11"/>
        </w:rPr>
        <w:t> </w:t>
      </w:r>
      <w:r>
        <w:rPr>
          <w:color w:val="231F20"/>
          <w:spacing w:val="-2"/>
        </w:rPr>
        <w:t>doctrine</w:t>
      </w:r>
      <w:r>
        <w:rPr>
          <w:color w:val="231F20"/>
          <w:spacing w:val="-9"/>
        </w:rPr>
        <w:t> </w:t>
      </w:r>
      <w:r>
        <w:rPr>
          <w:color w:val="231F20"/>
          <w:spacing w:val="-2"/>
        </w:rPr>
        <w:t>d’État.</w:t>
      </w:r>
      <w:r>
        <w:rPr>
          <w:color w:val="231F20"/>
          <w:spacing w:val="-10"/>
        </w:rPr>
        <w:t> </w:t>
      </w:r>
      <w:r>
        <w:rPr>
          <w:color w:val="231F20"/>
          <w:spacing w:val="-2"/>
        </w:rPr>
        <w:t>Un</w:t>
      </w:r>
      <w:r>
        <w:rPr>
          <w:color w:val="231F20"/>
          <w:spacing w:val="-10"/>
        </w:rPr>
        <w:t> </w:t>
      </w:r>
      <w:r>
        <w:rPr>
          <w:color w:val="231F20"/>
          <w:spacing w:val="-2"/>
        </w:rPr>
        <w:t>an</w:t>
      </w:r>
      <w:r>
        <w:rPr>
          <w:color w:val="231F20"/>
          <w:spacing w:val="-10"/>
        </w:rPr>
        <w:t> </w:t>
      </w:r>
      <w:r>
        <w:rPr>
          <w:color w:val="231F20"/>
          <w:spacing w:val="-2"/>
        </w:rPr>
        <w:t>plus</w:t>
      </w:r>
      <w:r>
        <w:rPr>
          <w:color w:val="231F20"/>
          <w:spacing w:val="-10"/>
        </w:rPr>
        <w:t> </w:t>
      </w:r>
      <w:r>
        <w:rPr>
          <w:color w:val="231F20"/>
          <w:spacing w:val="-2"/>
        </w:rPr>
        <w:t>tard,</w:t>
      </w:r>
      <w:r>
        <w:rPr>
          <w:color w:val="231F20"/>
          <w:spacing w:val="-13"/>
        </w:rPr>
        <w:t> </w:t>
      </w:r>
      <w:r>
        <w:rPr>
          <w:color w:val="231F20"/>
          <w:spacing w:val="-2"/>
        </w:rPr>
        <w:t>le</w:t>
      </w:r>
      <w:r>
        <w:rPr>
          <w:color w:val="231F20"/>
          <w:spacing w:val="-8"/>
        </w:rPr>
        <w:t> </w:t>
      </w:r>
      <w:r>
        <w:rPr>
          <w:color w:val="231F20"/>
          <w:spacing w:val="-2"/>
        </w:rPr>
        <w:t>30</w:t>
      </w:r>
      <w:r>
        <w:rPr>
          <w:color w:val="231F20"/>
          <w:spacing w:val="-10"/>
        </w:rPr>
        <w:t> </w:t>
      </w:r>
      <w:r>
        <w:rPr>
          <w:color w:val="231F20"/>
          <w:spacing w:val="-2"/>
        </w:rPr>
        <w:t>novembre</w:t>
      </w:r>
      <w:r>
        <w:rPr>
          <w:color w:val="231F20"/>
          <w:spacing w:val="-11"/>
        </w:rPr>
        <w:t> </w:t>
      </w:r>
      <w:r>
        <w:rPr>
          <w:color w:val="231F20"/>
          <w:spacing w:val="-2"/>
        </w:rPr>
        <w:t>1975, </w:t>
      </w:r>
      <w:r>
        <w:rPr>
          <w:color w:val="231F20"/>
          <w:spacing w:val="-4"/>
        </w:rPr>
        <w:t>la République</w:t>
      </w:r>
      <w:r>
        <w:rPr>
          <w:color w:val="231F20"/>
          <w:spacing w:val="-6"/>
        </w:rPr>
        <w:t> </w:t>
      </w:r>
      <w:r>
        <w:rPr>
          <w:color w:val="231F20"/>
          <w:spacing w:val="-4"/>
        </w:rPr>
        <w:t>du</w:t>
      </w:r>
      <w:r>
        <w:rPr>
          <w:color w:val="231F20"/>
          <w:spacing w:val="-5"/>
        </w:rPr>
        <w:t> </w:t>
      </w:r>
      <w:r>
        <w:rPr>
          <w:color w:val="231F20"/>
          <w:spacing w:val="-4"/>
        </w:rPr>
        <w:t>Dahomey est</w:t>
      </w:r>
      <w:r>
        <w:rPr>
          <w:color w:val="231F20"/>
          <w:spacing w:val="-5"/>
        </w:rPr>
        <w:t> </w:t>
      </w:r>
      <w:r>
        <w:rPr>
          <w:color w:val="231F20"/>
          <w:spacing w:val="-4"/>
        </w:rPr>
        <w:t>rebaptisée</w:t>
      </w:r>
      <w:r>
        <w:rPr>
          <w:color w:val="231F20"/>
          <w:spacing w:val="-6"/>
        </w:rPr>
        <w:t> </w:t>
      </w:r>
      <w:r>
        <w:rPr>
          <w:color w:val="231F20"/>
          <w:spacing w:val="-4"/>
        </w:rPr>
        <w:t>République populaire</w:t>
      </w:r>
      <w:r>
        <w:rPr>
          <w:color w:val="231F20"/>
          <w:spacing w:val="-6"/>
        </w:rPr>
        <w:t> </w:t>
      </w:r>
      <w:r>
        <w:rPr>
          <w:color w:val="231F20"/>
          <w:spacing w:val="-4"/>
        </w:rPr>
        <w:t>du</w:t>
      </w:r>
      <w:r>
        <w:rPr>
          <w:color w:val="231F20"/>
          <w:spacing w:val="-8"/>
        </w:rPr>
        <w:t> </w:t>
      </w:r>
      <w:r>
        <w:rPr>
          <w:color w:val="231F20"/>
          <w:spacing w:val="-4"/>
        </w:rPr>
        <w:t>Bénin </w:t>
      </w:r>
      <w:r>
        <w:rPr>
          <w:color w:val="231F20"/>
        </w:rPr>
        <w:t>et le Parti de la Révolution Populaire du Bénin(PRPB) devient le</w:t>
      </w:r>
      <w:r>
        <w:rPr>
          <w:color w:val="231F20"/>
          <w:spacing w:val="-1"/>
        </w:rPr>
        <w:t> </w:t>
      </w:r>
      <w:r>
        <w:rPr>
          <w:color w:val="231F20"/>
        </w:rPr>
        <w:t>Parti unique du pays.</w:t>
      </w:r>
    </w:p>
    <w:p>
      <w:pPr>
        <w:pStyle w:val="BodyText"/>
        <w:spacing w:before="120"/>
        <w:ind w:right="105" w:firstLine="283"/>
      </w:pPr>
      <w:r>
        <w:rPr>
          <w:color w:val="231F20"/>
        </w:rPr>
        <w:t>Au</w:t>
      </w:r>
      <w:r>
        <w:rPr>
          <w:color w:val="231F20"/>
          <w:spacing w:val="-6"/>
        </w:rPr>
        <w:t> </w:t>
      </w:r>
      <w:r>
        <w:rPr>
          <w:color w:val="231F20"/>
        </w:rPr>
        <w:t>milieu</w:t>
      </w:r>
      <w:r>
        <w:rPr>
          <w:color w:val="231F20"/>
          <w:spacing w:val="-6"/>
        </w:rPr>
        <w:t> </w:t>
      </w:r>
      <w:r>
        <w:rPr>
          <w:color w:val="231F20"/>
        </w:rPr>
        <w:t>des</w:t>
      </w:r>
      <w:r>
        <w:rPr>
          <w:color w:val="231F20"/>
          <w:spacing w:val="-7"/>
        </w:rPr>
        <w:t> </w:t>
      </w:r>
      <w:r>
        <w:rPr>
          <w:color w:val="231F20"/>
        </w:rPr>
        <w:t>années</w:t>
      </w:r>
      <w:r>
        <w:rPr>
          <w:color w:val="231F20"/>
          <w:spacing w:val="-6"/>
        </w:rPr>
        <w:t> </w:t>
      </w:r>
      <w:r>
        <w:rPr>
          <w:color w:val="231F20"/>
        </w:rPr>
        <w:t>1980,</w:t>
      </w:r>
      <w:r>
        <w:rPr>
          <w:color w:val="231F20"/>
          <w:spacing w:val="-5"/>
        </w:rPr>
        <w:t> </w:t>
      </w:r>
      <w:r>
        <w:rPr>
          <w:color w:val="231F20"/>
        </w:rPr>
        <w:t>la</w:t>
      </w:r>
      <w:r>
        <w:rPr>
          <w:color w:val="231F20"/>
          <w:spacing w:val="-8"/>
        </w:rPr>
        <w:t> </w:t>
      </w:r>
      <w:r>
        <w:rPr>
          <w:color w:val="231F20"/>
        </w:rPr>
        <w:t>situation</w:t>
      </w:r>
      <w:r>
        <w:rPr>
          <w:color w:val="231F20"/>
          <w:spacing w:val="-8"/>
        </w:rPr>
        <w:t> </w:t>
      </w:r>
      <w:r>
        <w:rPr>
          <w:color w:val="231F20"/>
        </w:rPr>
        <w:t>économique</w:t>
      </w:r>
      <w:r>
        <w:rPr>
          <w:color w:val="231F20"/>
          <w:spacing w:val="-6"/>
        </w:rPr>
        <w:t> </w:t>
      </w:r>
      <w:r>
        <w:rPr>
          <w:color w:val="231F20"/>
        </w:rPr>
        <w:t>du</w:t>
      </w:r>
      <w:r>
        <w:rPr>
          <w:color w:val="231F20"/>
          <w:spacing w:val="-7"/>
        </w:rPr>
        <w:t> </w:t>
      </w:r>
      <w:r>
        <w:rPr>
          <w:color w:val="231F20"/>
        </w:rPr>
        <w:t>Bénin</w:t>
      </w:r>
      <w:r>
        <w:rPr>
          <w:color w:val="231F20"/>
          <w:spacing w:val="-6"/>
        </w:rPr>
        <w:t> </w:t>
      </w:r>
      <w:r>
        <w:rPr>
          <w:color w:val="231F20"/>
        </w:rPr>
        <w:t>est</w:t>
      </w:r>
      <w:r>
        <w:rPr>
          <w:color w:val="231F20"/>
          <w:spacing w:val="-9"/>
        </w:rPr>
        <w:t> </w:t>
      </w:r>
      <w:r>
        <w:rPr>
          <w:color w:val="231F20"/>
        </w:rPr>
        <w:t>de </w:t>
      </w:r>
      <w:r>
        <w:rPr>
          <w:color w:val="231F20"/>
          <w:spacing w:val="-4"/>
        </w:rPr>
        <w:t>plus</w:t>
      </w:r>
      <w:r>
        <w:rPr>
          <w:color w:val="231F20"/>
          <w:spacing w:val="-7"/>
        </w:rPr>
        <w:t> </w:t>
      </w:r>
      <w:r>
        <w:rPr>
          <w:color w:val="231F20"/>
          <w:spacing w:val="-4"/>
        </w:rPr>
        <w:t>en</w:t>
      </w:r>
      <w:r>
        <w:rPr>
          <w:color w:val="231F20"/>
          <w:spacing w:val="-9"/>
        </w:rPr>
        <w:t> </w:t>
      </w:r>
      <w:r>
        <w:rPr>
          <w:color w:val="231F20"/>
          <w:spacing w:val="-4"/>
        </w:rPr>
        <w:t>plus</w:t>
      </w:r>
      <w:r>
        <w:rPr>
          <w:color w:val="231F20"/>
          <w:spacing w:val="-6"/>
        </w:rPr>
        <w:t> </w:t>
      </w:r>
      <w:r>
        <w:rPr>
          <w:color w:val="231F20"/>
          <w:spacing w:val="-4"/>
        </w:rPr>
        <w:t>critique.</w:t>
      </w:r>
      <w:r>
        <w:rPr>
          <w:color w:val="231F20"/>
          <w:spacing w:val="-6"/>
        </w:rPr>
        <w:t> </w:t>
      </w:r>
      <w:r>
        <w:rPr>
          <w:color w:val="231F20"/>
          <w:spacing w:val="-4"/>
        </w:rPr>
        <w:t>Le</w:t>
      </w:r>
      <w:r>
        <w:rPr>
          <w:color w:val="231F20"/>
          <w:spacing w:val="-7"/>
        </w:rPr>
        <w:t> </w:t>
      </w:r>
      <w:r>
        <w:rPr>
          <w:color w:val="231F20"/>
          <w:spacing w:val="-4"/>
        </w:rPr>
        <w:t>Fonds</w:t>
      </w:r>
      <w:r>
        <w:rPr>
          <w:color w:val="231F20"/>
          <w:spacing w:val="-7"/>
        </w:rPr>
        <w:t> </w:t>
      </w:r>
      <w:r>
        <w:rPr>
          <w:color w:val="231F20"/>
          <w:spacing w:val="-4"/>
        </w:rPr>
        <w:t>Monétaire</w:t>
      </w:r>
      <w:r>
        <w:rPr>
          <w:color w:val="231F20"/>
          <w:spacing w:val="-7"/>
        </w:rPr>
        <w:t> </w:t>
      </w:r>
      <w:r>
        <w:rPr>
          <w:color w:val="231F20"/>
          <w:spacing w:val="-4"/>
        </w:rPr>
        <w:t>Internationale</w:t>
      </w:r>
      <w:r>
        <w:rPr>
          <w:color w:val="231F20"/>
          <w:spacing w:val="-7"/>
        </w:rPr>
        <w:t> </w:t>
      </w:r>
      <w:r>
        <w:rPr>
          <w:color w:val="231F20"/>
          <w:spacing w:val="-4"/>
        </w:rPr>
        <w:t>(FMI)</w:t>
      </w:r>
      <w:r>
        <w:rPr>
          <w:color w:val="231F20"/>
          <w:spacing w:val="-7"/>
        </w:rPr>
        <w:t> </w:t>
      </w:r>
      <w:r>
        <w:rPr>
          <w:color w:val="231F20"/>
          <w:spacing w:val="-4"/>
        </w:rPr>
        <w:t>impose</w:t>
      </w:r>
      <w:r>
        <w:rPr>
          <w:color w:val="231F20"/>
          <w:spacing w:val="-6"/>
        </w:rPr>
        <w:t> </w:t>
      </w:r>
      <w:r>
        <w:rPr>
          <w:color w:val="231F20"/>
          <w:spacing w:val="-4"/>
        </w:rPr>
        <w:t>en </w:t>
      </w:r>
      <w:r>
        <w:rPr>
          <w:color w:val="231F20"/>
          <w:spacing w:val="-2"/>
        </w:rPr>
        <w:t>1987,</w:t>
      </w:r>
      <w:r>
        <w:rPr>
          <w:color w:val="231F20"/>
          <w:spacing w:val="-12"/>
        </w:rPr>
        <w:t> </w:t>
      </w:r>
      <w:r>
        <w:rPr>
          <w:color w:val="231F20"/>
          <w:spacing w:val="-2"/>
        </w:rPr>
        <w:t>ses</w:t>
      </w:r>
      <w:r>
        <w:rPr>
          <w:color w:val="231F20"/>
          <w:spacing w:val="-13"/>
        </w:rPr>
        <w:t> </w:t>
      </w:r>
      <w:r>
        <w:rPr>
          <w:color w:val="231F20"/>
          <w:spacing w:val="-2"/>
        </w:rPr>
        <w:t>mesures</w:t>
      </w:r>
      <w:r>
        <w:rPr>
          <w:color w:val="231F20"/>
          <w:spacing w:val="-13"/>
        </w:rPr>
        <w:t> </w:t>
      </w:r>
      <w:r>
        <w:rPr>
          <w:color w:val="231F20"/>
          <w:spacing w:val="-2"/>
        </w:rPr>
        <w:t>économiques</w:t>
      </w:r>
      <w:r>
        <w:rPr>
          <w:color w:val="231F20"/>
          <w:spacing w:val="-12"/>
        </w:rPr>
        <w:t> </w:t>
      </w:r>
      <w:r>
        <w:rPr>
          <w:color w:val="231F20"/>
          <w:spacing w:val="-2"/>
        </w:rPr>
        <w:t>:</w:t>
      </w:r>
      <w:r>
        <w:rPr>
          <w:color w:val="231F20"/>
          <w:spacing w:val="-12"/>
        </w:rPr>
        <w:t> </w:t>
      </w:r>
      <w:r>
        <w:rPr>
          <w:color w:val="231F20"/>
          <w:spacing w:val="-2"/>
        </w:rPr>
        <w:t>prélèvements</w:t>
      </w:r>
      <w:r>
        <w:rPr>
          <w:color w:val="231F20"/>
          <w:spacing w:val="-13"/>
        </w:rPr>
        <w:t> </w:t>
      </w:r>
      <w:r>
        <w:rPr>
          <w:color w:val="231F20"/>
          <w:spacing w:val="-2"/>
        </w:rPr>
        <w:t>supplémentaires</w:t>
      </w:r>
      <w:r>
        <w:rPr>
          <w:color w:val="231F20"/>
          <w:spacing w:val="-13"/>
        </w:rPr>
        <w:t> </w:t>
      </w:r>
      <w:r>
        <w:rPr>
          <w:color w:val="231F20"/>
          <w:spacing w:val="-2"/>
        </w:rPr>
        <w:t>de</w:t>
      </w:r>
      <w:r>
        <w:rPr>
          <w:color w:val="231F20"/>
          <w:spacing w:val="-13"/>
        </w:rPr>
        <w:t> </w:t>
      </w:r>
      <w:r>
        <w:rPr>
          <w:color w:val="231F20"/>
          <w:spacing w:val="-2"/>
        </w:rPr>
        <w:t>10</w:t>
      </w:r>
      <w:r>
        <w:rPr>
          <w:color w:val="231F20"/>
          <w:spacing w:val="-12"/>
        </w:rPr>
        <w:t> </w:t>
      </w:r>
      <w:r>
        <w:rPr>
          <w:color w:val="231F20"/>
          <w:spacing w:val="-2"/>
        </w:rPr>
        <w:t>% </w:t>
      </w:r>
      <w:r>
        <w:rPr>
          <w:color w:val="231F20"/>
        </w:rPr>
        <w:t>sur</w:t>
      </w:r>
      <w:r>
        <w:rPr>
          <w:color w:val="231F20"/>
          <w:spacing w:val="-15"/>
        </w:rPr>
        <w:t> </w:t>
      </w:r>
      <w:r>
        <w:rPr>
          <w:color w:val="231F20"/>
        </w:rPr>
        <w:t>les</w:t>
      </w:r>
      <w:r>
        <w:rPr>
          <w:color w:val="231F20"/>
          <w:spacing w:val="-15"/>
        </w:rPr>
        <w:t> </w:t>
      </w:r>
      <w:r>
        <w:rPr>
          <w:color w:val="231F20"/>
        </w:rPr>
        <w:t>salaires</w:t>
      </w:r>
      <w:r>
        <w:rPr>
          <w:color w:val="231F20"/>
          <w:spacing w:val="-15"/>
        </w:rPr>
        <w:t> </w:t>
      </w:r>
      <w:r>
        <w:rPr>
          <w:color w:val="231F20"/>
        </w:rPr>
        <w:t>des</w:t>
      </w:r>
      <w:r>
        <w:rPr>
          <w:color w:val="231F20"/>
          <w:spacing w:val="-15"/>
        </w:rPr>
        <w:t> </w:t>
      </w:r>
      <w:r>
        <w:rPr>
          <w:color w:val="231F20"/>
        </w:rPr>
        <w:t>fonctionnaires,</w:t>
      </w:r>
      <w:r>
        <w:rPr>
          <w:color w:val="231F20"/>
          <w:spacing w:val="-15"/>
        </w:rPr>
        <w:t> </w:t>
      </w:r>
      <w:r>
        <w:rPr>
          <w:color w:val="231F20"/>
        </w:rPr>
        <w:t>gel</w:t>
      </w:r>
      <w:r>
        <w:rPr>
          <w:color w:val="231F20"/>
          <w:spacing w:val="-15"/>
        </w:rPr>
        <w:t> </w:t>
      </w:r>
      <w:r>
        <w:rPr>
          <w:color w:val="231F20"/>
        </w:rPr>
        <w:t>des</w:t>
      </w:r>
      <w:r>
        <w:rPr>
          <w:color w:val="231F20"/>
          <w:spacing w:val="-15"/>
        </w:rPr>
        <w:t> </w:t>
      </w:r>
      <w:r>
        <w:rPr>
          <w:color w:val="231F20"/>
        </w:rPr>
        <w:t>embauches,</w:t>
      </w:r>
      <w:r>
        <w:rPr>
          <w:color w:val="231F20"/>
          <w:spacing w:val="-15"/>
        </w:rPr>
        <w:t> </w:t>
      </w:r>
      <w:r>
        <w:rPr>
          <w:color w:val="231F20"/>
        </w:rPr>
        <w:t>mises</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retraite </w:t>
      </w:r>
      <w:r>
        <w:rPr>
          <w:color w:val="231F20"/>
          <w:spacing w:val="-2"/>
        </w:rPr>
        <w:t>d’office.</w:t>
      </w:r>
    </w:p>
    <w:p>
      <w:pPr>
        <w:pStyle w:val="BodyText"/>
        <w:spacing w:before="121"/>
        <w:ind w:right="105" w:firstLine="283"/>
      </w:pPr>
      <w:r>
        <w:rPr>
          <w:color w:val="231F20"/>
        </w:rPr>
        <w:t>En 1989, un nouvel accord avec le FMI sur un programme d’ajustements des structures économiques déclenche la colère des </w:t>
      </w:r>
      <w:r>
        <w:rPr>
          <w:color w:val="231F20"/>
          <w:spacing w:val="-4"/>
        </w:rPr>
        <w:t>étudiants</w:t>
      </w:r>
      <w:r>
        <w:rPr>
          <w:color w:val="231F20"/>
          <w:spacing w:val="-7"/>
        </w:rPr>
        <w:t> </w:t>
      </w:r>
      <w:r>
        <w:rPr>
          <w:color w:val="231F20"/>
          <w:spacing w:val="-4"/>
        </w:rPr>
        <w:t>et</w:t>
      </w:r>
      <w:r>
        <w:rPr>
          <w:color w:val="231F20"/>
          <w:spacing w:val="-7"/>
        </w:rPr>
        <w:t> </w:t>
      </w:r>
      <w:r>
        <w:rPr>
          <w:color w:val="231F20"/>
          <w:spacing w:val="-4"/>
        </w:rPr>
        <w:t>des</w:t>
      </w:r>
      <w:r>
        <w:rPr>
          <w:color w:val="231F20"/>
          <w:spacing w:val="-7"/>
        </w:rPr>
        <w:t> </w:t>
      </w:r>
      <w:r>
        <w:rPr>
          <w:color w:val="231F20"/>
          <w:spacing w:val="-4"/>
        </w:rPr>
        <w:t>fonctionnaires</w:t>
      </w:r>
      <w:r>
        <w:rPr>
          <w:color w:val="231F20"/>
        </w:rPr>
        <w:t> </w:t>
      </w:r>
      <w:r>
        <w:rPr>
          <w:color w:val="231F20"/>
          <w:spacing w:val="-4"/>
        </w:rPr>
        <w:t>qui</w:t>
      </w:r>
      <w:r>
        <w:rPr>
          <w:color w:val="231F20"/>
          <w:spacing w:val="-6"/>
        </w:rPr>
        <w:t> </w:t>
      </w:r>
      <w:r>
        <w:rPr>
          <w:color w:val="231F20"/>
          <w:spacing w:val="-4"/>
        </w:rPr>
        <w:t>se</w:t>
      </w:r>
      <w:r>
        <w:rPr>
          <w:color w:val="231F20"/>
          <w:spacing w:val="-7"/>
        </w:rPr>
        <w:t> </w:t>
      </w:r>
      <w:r>
        <w:rPr>
          <w:color w:val="231F20"/>
          <w:spacing w:val="-4"/>
        </w:rPr>
        <w:t>mettent</w:t>
      </w:r>
      <w:r>
        <w:rPr>
          <w:color w:val="231F20"/>
          <w:spacing w:val="-6"/>
        </w:rPr>
        <w:t> </w:t>
      </w:r>
      <w:r>
        <w:rPr>
          <w:color w:val="231F20"/>
          <w:spacing w:val="-4"/>
        </w:rPr>
        <w:t>en</w:t>
      </w:r>
      <w:r>
        <w:rPr>
          <w:color w:val="231F20"/>
          <w:spacing w:val="-6"/>
        </w:rPr>
        <w:t> </w:t>
      </w:r>
      <w:r>
        <w:rPr>
          <w:color w:val="231F20"/>
          <w:spacing w:val="-4"/>
        </w:rPr>
        <w:t>grève.</w:t>
      </w:r>
      <w:r>
        <w:rPr>
          <w:color w:val="231F20"/>
          <w:spacing w:val="-6"/>
        </w:rPr>
        <w:t> </w:t>
      </w:r>
      <w:r>
        <w:rPr>
          <w:color w:val="231F20"/>
          <w:spacing w:val="-4"/>
        </w:rPr>
        <w:t>Face</w:t>
      </w:r>
      <w:r>
        <w:rPr>
          <w:color w:val="231F20"/>
          <w:spacing w:val="-7"/>
        </w:rPr>
        <w:t> </w:t>
      </w:r>
      <w:r>
        <w:rPr>
          <w:color w:val="231F20"/>
          <w:spacing w:val="-4"/>
        </w:rPr>
        <w:t>à</w:t>
      </w:r>
      <w:r>
        <w:rPr>
          <w:color w:val="231F20"/>
          <w:spacing w:val="-7"/>
        </w:rPr>
        <w:t> </w:t>
      </w:r>
      <w:r>
        <w:rPr>
          <w:color w:val="231F20"/>
          <w:spacing w:val="-4"/>
        </w:rPr>
        <w:t>la</w:t>
      </w:r>
      <w:r>
        <w:rPr>
          <w:color w:val="231F20"/>
          <w:spacing w:val="-8"/>
        </w:rPr>
        <w:t> </w:t>
      </w:r>
      <w:r>
        <w:rPr>
          <w:color w:val="231F20"/>
          <w:spacing w:val="-4"/>
        </w:rPr>
        <w:t>paralysie </w:t>
      </w:r>
      <w:r>
        <w:rPr>
          <w:color w:val="231F20"/>
        </w:rPr>
        <w:t>de</w:t>
      </w:r>
      <w:r>
        <w:rPr>
          <w:color w:val="231F20"/>
          <w:spacing w:val="-5"/>
        </w:rPr>
        <w:t> </w:t>
      </w:r>
      <w:r>
        <w:rPr>
          <w:color w:val="231F20"/>
        </w:rPr>
        <w:t>tous</w:t>
      </w:r>
      <w:r>
        <w:rPr>
          <w:color w:val="231F20"/>
          <w:spacing w:val="-6"/>
        </w:rPr>
        <w:t> </w:t>
      </w:r>
      <w:r>
        <w:rPr>
          <w:color w:val="231F20"/>
        </w:rPr>
        <w:t>les</w:t>
      </w:r>
      <w:r>
        <w:rPr>
          <w:color w:val="231F20"/>
          <w:spacing w:val="-7"/>
        </w:rPr>
        <w:t> </w:t>
      </w:r>
      <w:r>
        <w:rPr>
          <w:color w:val="231F20"/>
        </w:rPr>
        <w:t>secteurs</w:t>
      </w:r>
      <w:r>
        <w:rPr>
          <w:color w:val="231F20"/>
          <w:spacing w:val="-5"/>
        </w:rPr>
        <w:t> </w:t>
      </w:r>
      <w:r>
        <w:rPr>
          <w:color w:val="231F20"/>
        </w:rPr>
        <w:t>d’activités</w:t>
      </w:r>
      <w:r>
        <w:rPr>
          <w:color w:val="231F20"/>
          <w:spacing w:val="-6"/>
        </w:rPr>
        <w:t> </w:t>
      </w:r>
      <w:r>
        <w:rPr>
          <w:color w:val="231F20"/>
        </w:rPr>
        <w:t>avec</w:t>
      </w:r>
      <w:r>
        <w:rPr>
          <w:color w:val="231F20"/>
          <w:spacing w:val="-6"/>
        </w:rPr>
        <w:t> </w:t>
      </w:r>
      <w:r>
        <w:rPr>
          <w:color w:val="231F20"/>
        </w:rPr>
        <w:t>en</w:t>
      </w:r>
      <w:r>
        <w:rPr>
          <w:color w:val="231F20"/>
          <w:spacing w:val="-6"/>
        </w:rPr>
        <w:t> </w:t>
      </w:r>
      <w:r>
        <w:rPr>
          <w:color w:val="231F20"/>
        </w:rPr>
        <w:t>prime</w:t>
      </w:r>
      <w:r>
        <w:rPr>
          <w:color w:val="231F20"/>
          <w:spacing w:val="-6"/>
        </w:rPr>
        <w:t> </w:t>
      </w:r>
      <w:r>
        <w:rPr>
          <w:color w:val="231F20"/>
        </w:rPr>
        <w:t>les</w:t>
      </w:r>
      <w:r>
        <w:rPr>
          <w:color w:val="231F20"/>
          <w:spacing w:val="-7"/>
        </w:rPr>
        <w:t> </w:t>
      </w:r>
      <w:r>
        <w:rPr>
          <w:color w:val="231F20"/>
        </w:rPr>
        <w:t>manifestations</w:t>
      </w:r>
      <w:r>
        <w:rPr>
          <w:color w:val="231F20"/>
          <w:spacing w:val="-4"/>
        </w:rPr>
        <w:t> </w:t>
      </w:r>
      <w:r>
        <w:rPr>
          <w:color w:val="231F20"/>
        </w:rPr>
        <w:t>dans</w:t>
      </w:r>
      <w:r>
        <w:rPr>
          <w:color w:val="231F20"/>
          <w:spacing w:val="-5"/>
        </w:rPr>
        <w:t> </w:t>
      </w:r>
      <w:r>
        <w:rPr>
          <w:color w:val="231F20"/>
        </w:rPr>
        <w:t>la rue</w:t>
      </w:r>
      <w:r>
        <w:rPr>
          <w:color w:val="231F20"/>
          <w:spacing w:val="-15"/>
        </w:rPr>
        <w:t> </w:t>
      </w:r>
      <w:r>
        <w:rPr>
          <w:color w:val="231F20"/>
        </w:rPr>
        <w:t>et</w:t>
      </w:r>
      <w:r>
        <w:rPr>
          <w:color w:val="231F20"/>
          <w:spacing w:val="-15"/>
        </w:rPr>
        <w:t> </w:t>
      </w:r>
      <w:r>
        <w:rPr>
          <w:color w:val="231F20"/>
        </w:rPr>
        <w:t>les</w:t>
      </w:r>
      <w:r>
        <w:rPr>
          <w:color w:val="231F20"/>
          <w:spacing w:val="-15"/>
        </w:rPr>
        <w:t> </w:t>
      </w:r>
      <w:r>
        <w:rPr>
          <w:color w:val="231F20"/>
        </w:rPr>
        <w:t>pressions</w:t>
      </w:r>
      <w:r>
        <w:rPr>
          <w:color w:val="231F20"/>
          <w:spacing w:val="-15"/>
        </w:rPr>
        <w:t> </w:t>
      </w:r>
      <w:r>
        <w:rPr>
          <w:color w:val="231F20"/>
        </w:rPr>
        <w:t>des</w:t>
      </w:r>
      <w:r>
        <w:rPr>
          <w:color w:val="231F20"/>
          <w:spacing w:val="-15"/>
        </w:rPr>
        <w:t> </w:t>
      </w:r>
      <w:r>
        <w:rPr>
          <w:color w:val="231F20"/>
        </w:rPr>
        <w:t>bailleurs</w:t>
      </w:r>
      <w:r>
        <w:rPr>
          <w:color w:val="231F20"/>
          <w:spacing w:val="-15"/>
        </w:rPr>
        <w:t> </w:t>
      </w:r>
      <w:r>
        <w:rPr>
          <w:color w:val="231F20"/>
        </w:rPr>
        <w:t>de</w:t>
      </w:r>
      <w:r>
        <w:rPr>
          <w:color w:val="231F20"/>
          <w:spacing w:val="-15"/>
        </w:rPr>
        <w:t> </w:t>
      </w:r>
      <w:r>
        <w:rPr>
          <w:color w:val="231F20"/>
        </w:rPr>
        <w:t>fonds,</w:t>
      </w:r>
      <w:r>
        <w:rPr>
          <w:color w:val="231F20"/>
          <w:spacing w:val="-15"/>
        </w:rPr>
        <w:t> </w:t>
      </w:r>
      <w:r>
        <w:rPr>
          <w:color w:val="231F20"/>
        </w:rPr>
        <w:t>le</w:t>
      </w:r>
      <w:r>
        <w:rPr>
          <w:color w:val="231F20"/>
          <w:spacing w:val="-15"/>
        </w:rPr>
        <w:t> </w:t>
      </w:r>
      <w:r>
        <w:rPr>
          <w:color w:val="231F20"/>
        </w:rPr>
        <w:t>Président</w:t>
      </w:r>
      <w:r>
        <w:rPr>
          <w:color w:val="231F20"/>
          <w:spacing w:val="-15"/>
        </w:rPr>
        <w:t> </w:t>
      </w:r>
      <w:r>
        <w:rPr>
          <w:color w:val="231F20"/>
        </w:rPr>
        <w:t>Mathieu</w:t>
      </w:r>
      <w:r>
        <w:rPr>
          <w:color w:val="231F20"/>
          <w:spacing w:val="-15"/>
        </w:rPr>
        <w:t> </w:t>
      </w:r>
      <w:r>
        <w:rPr>
          <w:color w:val="231F20"/>
        </w:rPr>
        <w:t>Kérékou abandonne le socialisme comme orientation idéologique de l’État et convoque une Conférence nationale. Les condamnés politiques sont amnistiés</w:t>
      </w:r>
      <w:r>
        <w:rPr>
          <w:color w:val="231F20"/>
          <w:spacing w:val="-13"/>
        </w:rPr>
        <w:t> </w:t>
      </w:r>
      <w:r>
        <w:rPr>
          <w:color w:val="231F20"/>
        </w:rPr>
        <w:t>et</w:t>
      </w:r>
      <w:r>
        <w:rPr>
          <w:color w:val="231F20"/>
          <w:spacing w:val="-5"/>
        </w:rPr>
        <w:t> </w:t>
      </w:r>
      <w:r>
        <w:rPr>
          <w:color w:val="231F20"/>
        </w:rPr>
        <w:t>peuvent</w:t>
      </w:r>
      <w:r>
        <w:rPr>
          <w:color w:val="231F20"/>
          <w:spacing w:val="-5"/>
        </w:rPr>
        <w:t> </w:t>
      </w:r>
      <w:r>
        <w:rPr>
          <w:color w:val="231F20"/>
        </w:rPr>
        <w:t>participer</w:t>
      </w:r>
      <w:r>
        <w:rPr>
          <w:color w:val="231F20"/>
          <w:spacing w:val="-6"/>
        </w:rPr>
        <w:t> </w:t>
      </w:r>
      <w:r>
        <w:rPr>
          <w:color w:val="231F20"/>
        </w:rPr>
        <w:t>aux</w:t>
      </w:r>
      <w:r>
        <w:rPr>
          <w:color w:val="231F20"/>
          <w:spacing w:val="-6"/>
        </w:rPr>
        <w:t> </w:t>
      </w:r>
      <w:r>
        <w:rPr>
          <w:color w:val="231F20"/>
        </w:rPr>
        <w:t>«</w:t>
      </w:r>
      <w:r>
        <w:rPr>
          <w:color w:val="231F20"/>
          <w:spacing w:val="-15"/>
        </w:rPr>
        <w:t> </w:t>
      </w:r>
      <w:r>
        <w:rPr>
          <w:color w:val="231F20"/>
        </w:rPr>
        <w:t>États</w:t>
      </w:r>
      <w:r>
        <w:rPr>
          <w:color w:val="231F20"/>
          <w:spacing w:val="-6"/>
        </w:rPr>
        <w:t> </w:t>
      </w:r>
      <w:r>
        <w:rPr>
          <w:color w:val="231F20"/>
        </w:rPr>
        <w:t>généraux</w:t>
      </w:r>
      <w:r>
        <w:rPr>
          <w:color w:val="231F20"/>
          <w:spacing w:val="-15"/>
        </w:rPr>
        <w:t> </w:t>
      </w:r>
      <w:r>
        <w:rPr>
          <w:color w:val="231F20"/>
        </w:rPr>
        <w:t>»</w:t>
      </w:r>
      <w:r>
        <w:rPr>
          <w:color w:val="231F20"/>
          <w:spacing w:val="-15"/>
        </w:rPr>
        <w:t> </w:t>
      </w:r>
      <w:r>
        <w:rPr>
          <w:color w:val="231F20"/>
        </w:rPr>
        <w:t>annoncés</w:t>
      </w:r>
      <w:r>
        <w:rPr>
          <w:color w:val="231F20"/>
          <w:spacing w:val="-6"/>
        </w:rPr>
        <w:t> </w:t>
      </w:r>
      <w:r>
        <w:rPr>
          <w:color w:val="231F20"/>
        </w:rPr>
        <w:t>pour</w:t>
      </w:r>
      <w:r>
        <w:rPr>
          <w:color w:val="231F20"/>
          <w:spacing w:val="-8"/>
        </w:rPr>
        <w:t> </w:t>
      </w:r>
      <w:r>
        <w:rPr>
          <w:color w:val="231F20"/>
        </w:rPr>
        <w:t>le mois de février.</w:t>
      </w:r>
    </w:p>
    <w:p>
      <w:pPr>
        <w:pStyle w:val="BodyText"/>
        <w:spacing w:before="120"/>
        <w:ind w:right="105" w:firstLine="283"/>
      </w:pPr>
      <w:r>
        <w:rPr>
          <w:color w:val="231F20"/>
          <w:spacing w:val="-2"/>
        </w:rPr>
        <w:t>Du</w:t>
      </w:r>
      <w:r>
        <w:rPr>
          <w:color w:val="231F20"/>
          <w:spacing w:val="-13"/>
        </w:rPr>
        <w:t> </w:t>
      </w:r>
      <w:r>
        <w:rPr>
          <w:color w:val="231F20"/>
          <w:spacing w:val="-2"/>
        </w:rPr>
        <w:t>19</w:t>
      </w:r>
      <w:r>
        <w:rPr>
          <w:color w:val="231F20"/>
          <w:spacing w:val="-13"/>
        </w:rPr>
        <w:t> </w:t>
      </w:r>
      <w:r>
        <w:rPr>
          <w:color w:val="231F20"/>
          <w:spacing w:val="-2"/>
        </w:rPr>
        <w:t>au</w:t>
      </w:r>
      <w:r>
        <w:rPr>
          <w:color w:val="231F20"/>
          <w:spacing w:val="-13"/>
        </w:rPr>
        <w:t> </w:t>
      </w:r>
      <w:r>
        <w:rPr>
          <w:color w:val="231F20"/>
          <w:spacing w:val="-2"/>
        </w:rPr>
        <w:t>28</w:t>
      </w:r>
      <w:r>
        <w:rPr>
          <w:color w:val="231F20"/>
          <w:spacing w:val="-13"/>
        </w:rPr>
        <w:t> </w:t>
      </w:r>
      <w:r>
        <w:rPr>
          <w:color w:val="231F20"/>
          <w:spacing w:val="-2"/>
        </w:rPr>
        <w:t>février</w:t>
      </w:r>
      <w:r>
        <w:rPr>
          <w:color w:val="231F20"/>
          <w:spacing w:val="-13"/>
        </w:rPr>
        <w:t> </w:t>
      </w:r>
      <w:r>
        <w:rPr>
          <w:color w:val="231F20"/>
          <w:spacing w:val="-2"/>
        </w:rPr>
        <w:t>1990,</w:t>
      </w:r>
      <w:r>
        <w:rPr>
          <w:color w:val="231F20"/>
          <w:spacing w:val="-13"/>
        </w:rPr>
        <w:t> </w:t>
      </w:r>
      <w:r>
        <w:rPr>
          <w:color w:val="231F20"/>
          <w:spacing w:val="-2"/>
        </w:rPr>
        <w:t>la</w:t>
      </w:r>
      <w:r>
        <w:rPr>
          <w:color w:val="231F20"/>
          <w:spacing w:val="-11"/>
        </w:rPr>
        <w:t> </w:t>
      </w:r>
      <w:r>
        <w:rPr>
          <w:color w:val="231F20"/>
          <w:spacing w:val="-2"/>
        </w:rPr>
        <w:t>«</w:t>
      </w:r>
      <w:r>
        <w:rPr>
          <w:color w:val="231F20"/>
          <w:spacing w:val="-12"/>
        </w:rPr>
        <w:t> </w:t>
      </w:r>
      <w:r>
        <w:rPr>
          <w:color w:val="231F20"/>
          <w:spacing w:val="-2"/>
        </w:rPr>
        <w:t>Conférence</w:t>
      </w:r>
      <w:r>
        <w:rPr>
          <w:color w:val="231F20"/>
          <w:spacing w:val="-12"/>
        </w:rPr>
        <w:t> </w:t>
      </w:r>
      <w:r>
        <w:rPr>
          <w:color w:val="231F20"/>
          <w:spacing w:val="-2"/>
        </w:rPr>
        <w:t>Nationale</w:t>
      </w:r>
      <w:r>
        <w:rPr>
          <w:color w:val="231F20"/>
          <w:spacing w:val="-13"/>
        </w:rPr>
        <w:t> </w:t>
      </w:r>
      <w:r>
        <w:rPr>
          <w:color w:val="231F20"/>
          <w:spacing w:val="-2"/>
        </w:rPr>
        <w:t>des</w:t>
      </w:r>
      <w:r>
        <w:rPr>
          <w:color w:val="231F20"/>
          <w:spacing w:val="-12"/>
        </w:rPr>
        <w:t> </w:t>
      </w:r>
      <w:r>
        <w:rPr>
          <w:color w:val="231F20"/>
          <w:spacing w:val="-2"/>
        </w:rPr>
        <w:t>Forces</w:t>
      </w:r>
      <w:r>
        <w:rPr>
          <w:color w:val="231F20"/>
          <w:spacing w:val="-12"/>
        </w:rPr>
        <w:t> </w:t>
      </w:r>
      <w:r>
        <w:rPr>
          <w:color w:val="231F20"/>
          <w:spacing w:val="-2"/>
        </w:rPr>
        <w:t>Vives de</w:t>
      </w:r>
      <w:r>
        <w:rPr>
          <w:color w:val="231F20"/>
          <w:spacing w:val="-7"/>
        </w:rPr>
        <w:t> </w:t>
      </w:r>
      <w:r>
        <w:rPr>
          <w:color w:val="231F20"/>
          <w:spacing w:val="-2"/>
        </w:rPr>
        <w:t>la</w:t>
      </w:r>
      <w:r>
        <w:rPr>
          <w:color w:val="231F20"/>
          <w:spacing w:val="-7"/>
        </w:rPr>
        <w:t> </w:t>
      </w:r>
      <w:r>
        <w:rPr>
          <w:color w:val="231F20"/>
          <w:spacing w:val="-2"/>
        </w:rPr>
        <w:t>Nation</w:t>
      </w:r>
      <w:r>
        <w:rPr>
          <w:color w:val="231F20"/>
          <w:spacing w:val="-12"/>
        </w:rPr>
        <w:t> </w:t>
      </w:r>
      <w:r>
        <w:rPr>
          <w:color w:val="231F20"/>
          <w:spacing w:val="-2"/>
        </w:rPr>
        <w:t>»</w:t>
      </w:r>
      <w:r>
        <w:rPr>
          <w:color w:val="231F20"/>
          <w:spacing w:val="-7"/>
        </w:rPr>
        <w:t> </w:t>
      </w:r>
      <w:r>
        <w:rPr>
          <w:color w:val="231F20"/>
          <w:spacing w:val="-2"/>
        </w:rPr>
        <w:t>(CNFVN)</w:t>
      </w:r>
      <w:r>
        <w:rPr>
          <w:color w:val="231F20"/>
          <w:spacing w:val="-9"/>
        </w:rPr>
        <w:t> </w:t>
      </w:r>
      <w:r>
        <w:rPr>
          <w:color w:val="231F20"/>
          <w:spacing w:val="-2"/>
        </w:rPr>
        <w:t>présidée</w:t>
      </w:r>
      <w:r>
        <w:rPr>
          <w:color w:val="231F20"/>
          <w:spacing w:val="-7"/>
        </w:rPr>
        <w:t> </w:t>
      </w:r>
      <w:r>
        <w:rPr>
          <w:color w:val="231F20"/>
          <w:spacing w:val="-2"/>
        </w:rPr>
        <w:t>par</w:t>
      </w:r>
      <w:r>
        <w:rPr>
          <w:color w:val="231F20"/>
          <w:spacing w:val="-9"/>
        </w:rPr>
        <w:t> </w:t>
      </w:r>
      <w:r>
        <w:rPr>
          <w:color w:val="231F20"/>
          <w:spacing w:val="-2"/>
        </w:rPr>
        <w:t>un</w:t>
      </w:r>
      <w:r>
        <w:rPr>
          <w:color w:val="231F20"/>
          <w:spacing w:val="-7"/>
        </w:rPr>
        <w:t> </w:t>
      </w:r>
      <w:r>
        <w:rPr>
          <w:color w:val="231F20"/>
          <w:spacing w:val="-2"/>
        </w:rPr>
        <w:t>prélat</w:t>
      </w:r>
      <w:r>
        <w:rPr>
          <w:color w:val="231F20"/>
          <w:spacing w:val="-6"/>
        </w:rPr>
        <w:t> </w:t>
      </w:r>
      <w:r>
        <w:rPr>
          <w:color w:val="231F20"/>
          <w:spacing w:val="-2"/>
        </w:rPr>
        <w:t>catholique,</w:t>
      </w:r>
      <w:r>
        <w:rPr>
          <w:color w:val="231F20"/>
          <w:spacing w:val="-8"/>
        </w:rPr>
        <w:t> </w:t>
      </w:r>
      <w:r>
        <w:rPr>
          <w:color w:val="231F20"/>
          <w:spacing w:val="-2"/>
        </w:rPr>
        <w:t>Monseigneur </w:t>
      </w:r>
      <w:r>
        <w:rPr>
          <w:color w:val="231F20"/>
        </w:rPr>
        <w:t>Isidore de Souza, Archevêque de Cotonou enregistre 500 délégués </w:t>
      </w:r>
      <w:r>
        <w:rPr>
          <w:color w:val="231F20"/>
          <w:spacing w:val="-4"/>
        </w:rPr>
        <w:t>représentant</w:t>
      </w:r>
      <w:r>
        <w:rPr>
          <w:color w:val="231F20"/>
          <w:spacing w:val="-3"/>
        </w:rPr>
        <w:t> </w:t>
      </w:r>
      <w:r>
        <w:rPr>
          <w:color w:val="231F20"/>
          <w:spacing w:val="-4"/>
        </w:rPr>
        <w:t>les</w:t>
      </w:r>
      <w:r>
        <w:rPr>
          <w:color w:val="231F20"/>
          <w:spacing w:val="-3"/>
        </w:rPr>
        <w:t> </w:t>
      </w:r>
      <w:r>
        <w:rPr>
          <w:color w:val="231F20"/>
          <w:spacing w:val="-4"/>
        </w:rPr>
        <w:t>différentes</w:t>
      </w:r>
      <w:r>
        <w:rPr>
          <w:color w:val="231F20"/>
          <w:spacing w:val="-1"/>
        </w:rPr>
        <w:t> </w:t>
      </w:r>
      <w:r>
        <w:rPr>
          <w:color w:val="231F20"/>
          <w:spacing w:val="-4"/>
        </w:rPr>
        <w:t>sensibilités politiques et</w:t>
      </w:r>
      <w:r>
        <w:rPr>
          <w:color w:val="231F20"/>
          <w:spacing w:val="-3"/>
        </w:rPr>
        <w:t> </w:t>
      </w:r>
      <w:r>
        <w:rPr>
          <w:color w:val="231F20"/>
          <w:spacing w:val="-4"/>
        </w:rPr>
        <w:t>corporations</w:t>
      </w:r>
      <w:r>
        <w:rPr>
          <w:color w:val="231F20"/>
          <w:spacing w:val="-5"/>
        </w:rPr>
        <w:t> </w:t>
      </w:r>
      <w:r>
        <w:rPr>
          <w:color w:val="231F20"/>
          <w:spacing w:val="-4"/>
        </w:rPr>
        <w:t>du</w:t>
      </w:r>
      <w:r>
        <w:rPr>
          <w:color w:val="231F20"/>
        </w:rPr>
        <w:t> </w:t>
      </w:r>
      <w:r>
        <w:rPr>
          <w:color w:val="231F20"/>
          <w:spacing w:val="-4"/>
        </w:rPr>
        <w:t>pays.</w:t>
      </w:r>
    </w:p>
    <w:p>
      <w:pPr>
        <w:spacing w:after="0"/>
        <w:sectPr>
          <w:pgSz w:w="8790" w:h="13610"/>
          <w:pgMar w:header="0" w:footer="802" w:top="1060" w:bottom="1000" w:left="880" w:right="880"/>
        </w:sectPr>
      </w:pPr>
    </w:p>
    <w:p>
      <w:pPr>
        <w:pStyle w:val="BodyText"/>
        <w:spacing w:before="66"/>
        <w:ind w:right="104"/>
      </w:pPr>
      <w:r>
        <w:rPr>
          <w:color w:val="231F20"/>
          <w:spacing w:val="-4"/>
        </w:rPr>
        <w:t>De</w:t>
      </w:r>
      <w:r>
        <w:rPr>
          <w:color w:val="231F20"/>
          <w:spacing w:val="-11"/>
        </w:rPr>
        <w:t> </w:t>
      </w:r>
      <w:r>
        <w:rPr>
          <w:color w:val="231F20"/>
          <w:spacing w:val="-4"/>
        </w:rPr>
        <w:t>cette</w:t>
      </w:r>
      <w:r>
        <w:rPr>
          <w:color w:val="231F20"/>
          <w:spacing w:val="-11"/>
        </w:rPr>
        <w:t> </w:t>
      </w:r>
      <w:r>
        <w:rPr>
          <w:color w:val="231F20"/>
          <w:spacing w:val="-4"/>
        </w:rPr>
        <w:t>Conférence</w:t>
      </w:r>
      <w:r>
        <w:rPr>
          <w:color w:val="231F20"/>
          <w:spacing w:val="-9"/>
        </w:rPr>
        <w:t> </w:t>
      </w:r>
      <w:r>
        <w:rPr>
          <w:color w:val="231F20"/>
          <w:spacing w:val="-4"/>
        </w:rPr>
        <w:t>naissent</w:t>
      </w:r>
      <w:r>
        <w:rPr>
          <w:color w:val="231F20"/>
          <w:spacing w:val="-8"/>
        </w:rPr>
        <w:t> </w:t>
      </w:r>
      <w:r>
        <w:rPr>
          <w:color w:val="231F20"/>
          <w:spacing w:val="-4"/>
        </w:rPr>
        <w:t>le</w:t>
      </w:r>
      <w:r>
        <w:rPr>
          <w:color w:val="231F20"/>
          <w:spacing w:val="-11"/>
        </w:rPr>
        <w:t> </w:t>
      </w:r>
      <w:r>
        <w:rPr>
          <w:color w:val="231F20"/>
          <w:spacing w:val="-4"/>
        </w:rPr>
        <w:t>«</w:t>
      </w:r>
      <w:r>
        <w:rPr>
          <w:color w:val="231F20"/>
        </w:rPr>
        <w:t> </w:t>
      </w:r>
      <w:r>
        <w:rPr>
          <w:color w:val="231F20"/>
          <w:spacing w:val="-4"/>
        </w:rPr>
        <w:t>Haut</w:t>
      </w:r>
      <w:r>
        <w:rPr>
          <w:color w:val="231F20"/>
          <w:spacing w:val="-8"/>
        </w:rPr>
        <w:t> </w:t>
      </w:r>
      <w:r>
        <w:rPr>
          <w:color w:val="231F20"/>
          <w:spacing w:val="-4"/>
        </w:rPr>
        <w:t>Conseil</w:t>
      </w:r>
      <w:r>
        <w:rPr>
          <w:color w:val="231F20"/>
          <w:spacing w:val="-9"/>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République</w:t>
      </w:r>
      <w:r>
        <w:rPr>
          <w:color w:val="231F20"/>
        </w:rPr>
        <w:t> </w:t>
      </w:r>
      <w:r>
        <w:rPr>
          <w:color w:val="231F20"/>
          <w:spacing w:val="-4"/>
        </w:rPr>
        <w:t>»</w:t>
      </w:r>
      <w:r>
        <w:rPr>
          <w:color w:val="231F20"/>
          <w:spacing w:val="-9"/>
        </w:rPr>
        <w:t> </w:t>
      </w:r>
      <w:r>
        <w:rPr>
          <w:color w:val="231F20"/>
          <w:spacing w:val="-4"/>
        </w:rPr>
        <w:t>(HCR) et</w:t>
      </w:r>
      <w:r>
        <w:rPr>
          <w:color w:val="231F20"/>
          <w:spacing w:val="-6"/>
        </w:rPr>
        <w:t> </w:t>
      </w:r>
      <w:r>
        <w:rPr>
          <w:color w:val="231F20"/>
          <w:spacing w:val="-4"/>
        </w:rPr>
        <w:t>un</w:t>
      </w:r>
      <w:r>
        <w:rPr>
          <w:color w:val="231F20"/>
          <w:spacing w:val="-6"/>
        </w:rPr>
        <w:t> </w:t>
      </w:r>
      <w:r>
        <w:rPr>
          <w:color w:val="231F20"/>
          <w:spacing w:val="-4"/>
        </w:rPr>
        <w:t>Gouvernement</w:t>
      </w:r>
      <w:r>
        <w:rPr>
          <w:color w:val="231F20"/>
          <w:spacing w:val="-6"/>
        </w:rPr>
        <w:t> </w:t>
      </w:r>
      <w:r>
        <w:rPr>
          <w:color w:val="231F20"/>
          <w:spacing w:val="-4"/>
        </w:rPr>
        <w:t>de</w:t>
      </w:r>
      <w:r>
        <w:rPr>
          <w:color w:val="231F20"/>
          <w:spacing w:val="-7"/>
        </w:rPr>
        <w:t> </w:t>
      </w:r>
      <w:r>
        <w:rPr>
          <w:color w:val="231F20"/>
          <w:spacing w:val="-4"/>
        </w:rPr>
        <w:t>Transition.</w:t>
      </w:r>
      <w:r>
        <w:rPr>
          <w:color w:val="231F20"/>
          <w:spacing w:val="-5"/>
        </w:rPr>
        <w:t> </w:t>
      </w:r>
      <w:r>
        <w:rPr>
          <w:color w:val="231F20"/>
          <w:spacing w:val="-4"/>
        </w:rPr>
        <w:t>Une</w:t>
      </w:r>
      <w:r>
        <w:rPr>
          <w:color w:val="231F20"/>
          <w:spacing w:val="-6"/>
        </w:rPr>
        <w:t> </w:t>
      </w:r>
      <w:r>
        <w:rPr>
          <w:color w:val="231F20"/>
          <w:spacing w:val="-4"/>
        </w:rPr>
        <w:t>nouvelle</w:t>
      </w:r>
      <w:r>
        <w:rPr>
          <w:color w:val="231F20"/>
          <w:spacing w:val="-6"/>
        </w:rPr>
        <w:t> </w:t>
      </w:r>
      <w:r>
        <w:rPr>
          <w:color w:val="231F20"/>
          <w:spacing w:val="-4"/>
        </w:rPr>
        <w:t>Constitution</w:t>
      </w:r>
      <w:r>
        <w:rPr>
          <w:color w:val="231F20"/>
          <w:spacing w:val="-6"/>
        </w:rPr>
        <w:t> </w:t>
      </w:r>
      <w:r>
        <w:rPr>
          <w:color w:val="231F20"/>
          <w:spacing w:val="-4"/>
        </w:rPr>
        <w:t>est</w:t>
      </w:r>
      <w:r>
        <w:rPr>
          <w:color w:val="231F20"/>
          <w:spacing w:val="-10"/>
        </w:rPr>
        <w:t> </w:t>
      </w:r>
      <w:r>
        <w:rPr>
          <w:color w:val="231F20"/>
          <w:spacing w:val="-4"/>
        </w:rPr>
        <w:t>adoptée </w:t>
      </w:r>
      <w:r>
        <w:rPr>
          <w:color w:val="231F20"/>
        </w:rPr>
        <w:t>et le Multipartisme instauré.</w:t>
      </w:r>
    </w:p>
    <w:p>
      <w:pPr>
        <w:pStyle w:val="BodyText"/>
        <w:spacing w:before="120"/>
        <w:ind w:right="106" w:firstLine="283"/>
      </w:pPr>
      <w:r>
        <w:rPr>
          <w:color w:val="231F20"/>
          <w:spacing w:val="-2"/>
        </w:rPr>
        <w:t>Le</w:t>
      </w:r>
      <w:r>
        <w:rPr>
          <w:color w:val="231F20"/>
          <w:spacing w:val="-9"/>
        </w:rPr>
        <w:t> </w:t>
      </w:r>
      <w:r>
        <w:rPr>
          <w:color w:val="231F20"/>
          <w:spacing w:val="-2"/>
        </w:rPr>
        <w:t>Haut</w:t>
      </w:r>
      <w:r>
        <w:rPr>
          <w:color w:val="231F20"/>
          <w:spacing w:val="-9"/>
        </w:rPr>
        <w:t> </w:t>
      </w:r>
      <w:r>
        <w:rPr>
          <w:color w:val="231F20"/>
          <w:spacing w:val="-2"/>
        </w:rPr>
        <w:t>Conseil</w:t>
      </w:r>
      <w:r>
        <w:rPr>
          <w:color w:val="231F20"/>
          <w:spacing w:val="-9"/>
        </w:rPr>
        <w:t> </w:t>
      </w:r>
      <w:r>
        <w:rPr>
          <w:color w:val="231F20"/>
          <w:spacing w:val="-2"/>
        </w:rPr>
        <w:t>de</w:t>
      </w:r>
      <w:r>
        <w:rPr>
          <w:color w:val="231F20"/>
          <w:spacing w:val="-12"/>
        </w:rPr>
        <w:t> </w:t>
      </w:r>
      <w:r>
        <w:rPr>
          <w:color w:val="231F20"/>
          <w:spacing w:val="-2"/>
        </w:rPr>
        <w:t>la</w:t>
      </w:r>
      <w:r>
        <w:rPr>
          <w:color w:val="231F20"/>
          <w:spacing w:val="-9"/>
        </w:rPr>
        <w:t> </w:t>
      </w:r>
      <w:r>
        <w:rPr>
          <w:color w:val="231F20"/>
          <w:spacing w:val="-2"/>
        </w:rPr>
        <w:t>République</w:t>
      </w:r>
      <w:r>
        <w:rPr>
          <w:color w:val="231F20"/>
          <w:spacing w:val="-11"/>
        </w:rPr>
        <w:t> </w:t>
      </w:r>
      <w:r>
        <w:rPr>
          <w:color w:val="231F20"/>
          <w:spacing w:val="-2"/>
        </w:rPr>
        <w:t>est</w:t>
      </w:r>
      <w:r>
        <w:rPr>
          <w:color w:val="231F20"/>
          <w:spacing w:val="-11"/>
        </w:rPr>
        <w:t> </w:t>
      </w:r>
      <w:r>
        <w:rPr>
          <w:color w:val="231F20"/>
          <w:spacing w:val="-2"/>
        </w:rPr>
        <w:t>l’organe</w:t>
      </w:r>
      <w:r>
        <w:rPr>
          <w:color w:val="231F20"/>
          <w:spacing w:val="-10"/>
        </w:rPr>
        <w:t> </w:t>
      </w:r>
      <w:r>
        <w:rPr>
          <w:color w:val="231F20"/>
          <w:spacing w:val="-2"/>
        </w:rPr>
        <w:t>législatif</w:t>
      </w:r>
      <w:r>
        <w:rPr>
          <w:color w:val="231F20"/>
          <w:spacing w:val="-10"/>
        </w:rPr>
        <w:t> </w:t>
      </w:r>
      <w:r>
        <w:rPr>
          <w:color w:val="231F20"/>
          <w:spacing w:val="-2"/>
        </w:rPr>
        <w:t>de</w:t>
      </w:r>
      <w:r>
        <w:rPr>
          <w:color w:val="231F20"/>
          <w:spacing w:val="-10"/>
        </w:rPr>
        <w:t> </w:t>
      </w:r>
      <w:r>
        <w:rPr>
          <w:color w:val="231F20"/>
          <w:spacing w:val="-2"/>
        </w:rPr>
        <w:t>Suivi</w:t>
      </w:r>
      <w:r>
        <w:rPr>
          <w:color w:val="231F20"/>
          <w:spacing w:val="-10"/>
        </w:rPr>
        <w:t> </w:t>
      </w:r>
      <w:r>
        <w:rPr>
          <w:color w:val="231F20"/>
          <w:spacing w:val="-2"/>
        </w:rPr>
        <w:t>et</w:t>
      </w:r>
      <w:r>
        <w:rPr>
          <w:color w:val="231F20"/>
          <w:spacing w:val="-10"/>
        </w:rPr>
        <w:t> </w:t>
      </w:r>
      <w:r>
        <w:rPr>
          <w:color w:val="231F20"/>
          <w:spacing w:val="-2"/>
        </w:rPr>
        <w:t>de </w:t>
      </w:r>
      <w:r>
        <w:rPr>
          <w:color w:val="231F20"/>
        </w:rPr>
        <w:t>Contrôle.</w:t>
      </w:r>
      <w:r>
        <w:rPr>
          <w:color w:val="231F20"/>
          <w:spacing w:val="-15"/>
        </w:rPr>
        <w:t> </w:t>
      </w:r>
      <w:r>
        <w:rPr>
          <w:color w:val="231F20"/>
        </w:rPr>
        <w:t>Il</w:t>
      </w:r>
      <w:r>
        <w:rPr>
          <w:color w:val="231F20"/>
          <w:spacing w:val="-15"/>
        </w:rPr>
        <w:t> </w:t>
      </w:r>
      <w:r>
        <w:rPr>
          <w:color w:val="231F20"/>
        </w:rPr>
        <w:t>compte</w:t>
      </w:r>
      <w:r>
        <w:rPr>
          <w:color w:val="231F20"/>
          <w:spacing w:val="-15"/>
        </w:rPr>
        <w:t> </w:t>
      </w:r>
      <w:r>
        <w:rPr>
          <w:color w:val="231F20"/>
        </w:rPr>
        <w:t>en</w:t>
      </w:r>
      <w:r>
        <w:rPr>
          <w:color w:val="231F20"/>
          <w:spacing w:val="-15"/>
        </w:rPr>
        <w:t> </w:t>
      </w:r>
      <w:r>
        <w:rPr>
          <w:color w:val="231F20"/>
        </w:rPr>
        <w:t>son</w:t>
      </w:r>
      <w:r>
        <w:rPr>
          <w:color w:val="231F20"/>
          <w:spacing w:val="-15"/>
        </w:rPr>
        <w:t> </w:t>
      </w:r>
      <w:r>
        <w:rPr>
          <w:color w:val="231F20"/>
        </w:rPr>
        <w:t>sein,</w:t>
      </w:r>
      <w:r>
        <w:rPr>
          <w:color w:val="231F20"/>
          <w:spacing w:val="-15"/>
        </w:rPr>
        <w:t> </w:t>
      </w:r>
      <w:r>
        <w:rPr>
          <w:color w:val="231F20"/>
        </w:rPr>
        <w:t>quatre</w:t>
      </w:r>
      <w:r>
        <w:rPr>
          <w:color w:val="231F20"/>
          <w:spacing w:val="-15"/>
        </w:rPr>
        <w:t> </w:t>
      </w:r>
      <w:r>
        <w:rPr>
          <w:color w:val="231F20"/>
        </w:rPr>
        <w:t>des</w:t>
      </w:r>
      <w:r>
        <w:rPr>
          <w:color w:val="231F20"/>
          <w:spacing w:val="-15"/>
        </w:rPr>
        <w:t> </w:t>
      </w:r>
      <w:r>
        <w:rPr>
          <w:color w:val="231F20"/>
        </w:rPr>
        <w:t>ex-présidents</w:t>
      </w:r>
      <w:r>
        <w:rPr>
          <w:color w:val="231F20"/>
          <w:spacing w:val="-15"/>
        </w:rPr>
        <w:t> </w:t>
      </w:r>
      <w:r>
        <w:rPr>
          <w:color w:val="231F20"/>
        </w:rPr>
        <w:t>:</w:t>
      </w:r>
      <w:r>
        <w:rPr>
          <w:color w:val="231F20"/>
          <w:spacing w:val="-15"/>
        </w:rPr>
        <w:t> </w:t>
      </w:r>
      <w:r>
        <w:rPr>
          <w:color w:val="231F20"/>
        </w:rPr>
        <w:t>Hubert</w:t>
      </w:r>
      <w:r>
        <w:rPr>
          <w:color w:val="231F20"/>
          <w:spacing w:val="-15"/>
        </w:rPr>
        <w:t> </w:t>
      </w:r>
      <w:r>
        <w:rPr>
          <w:color w:val="231F20"/>
        </w:rPr>
        <w:t>Maga, Justin Ahomadebgé, Émile Derlin Zindou, Tahirou Congacou. Il est </w:t>
      </w:r>
      <w:r>
        <w:rPr>
          <w:color w:val="231F20"/>
          <w:spacing w:val="-4"/>
        </w:rPr>
        <w:t>dirigé par Nicéphore Soglo, un ancien fonctionnaire</w:t>
      </w:r>
      <w:r>
        <w:rPr>
          <w:color w:val="231F20"/>
          <w:spacing w:val="-6"/>
        </w:rPr>
        <w:t> </w:t>
      </w:r>
      <w:r>
        <w:rPr>
          <w:color w:val="231F20"/>
          <w:spacing w:val="-4"/>
        </w:rPr>
        <w:t>international nommé </w:t>
      </w:r>
      <w:r>
        <w:rPr>
          <w:color w:val="231F20"/>
          <w:spacing w:val="-2"/>
        </w:rPr>
        <w:t>Premier</w:t>
      </w:r>
      <w:r>
        <w:rPr>
          <w:color w:val="231F20"/>
          <w:spacing w:val="-8"/>
        </w:rPr>
        <w:t> </w:t>
      </w:r>
      <w:r>
        <w:rPr>
          <w:color w:val="231F20"/>
          <w:spacing w:val="-2"/>
        </w:rPr>
        <w:t>Ministre</w:t>
      </w:r>
      <w:r>
        <w:rPr>
          <w:color w:val="231F20"/>
          <w:spacing w:val="-6"/>
        </w:rPr>
        <w:t> </w:t>
      </w:r>
      <w:r>
        <w:rPr>
          <w:color w:val="231F20"/>
          <w:spacing w:val="-2"/>
        </w:rPr>
        <w:t>du</w:t>
      </w:r>
      <w:r>
        <w:rPr>
          <w:color w:val="231F20"/>
          <w:spacing w:val="-6"/>
        </w:rPr>
        <w:t> </w:t>
      </w:r>
      <w:r>
        <w:rPr>
          <w:color w:val="231F20"/>
          <w:spacing w:val="-2"/>
        </w:rPr>
        <w:t>Gouvernement</w:t>
      </w:r>
      <w:r>
        <w:rPr>
          <w:color w:val="231F20"/>
          <w:spacing w:val="-8"/>
        </w:rPr>
        <w:t> </w:t>
      </w:r>
      <w:r>
        <w:rPr>
          <w:color w:val="231F20"/>
          <w:spacing w:val="-2"/>
        </w:rPr>
        <w:t>de</w:t>
      </w:r>
      <w:r>
        <w:rPr>
          <w:color w:val="231F20"/>
          <w:spacing w:val="-6"/>
        </w:rPr>
        <w:t> </w:t>
      </w:r>
      <w:r>
        <w:rPr>
          <w:color w:val="231F20"/>
          <w:spacing w:val="-2"/>
        </w:rPr>
        <w:t>Transition.</w:t>
      </w:r>
      <w:r>
        <w:rPr>
          <w:color w:val="231F20"/>
          <w:spacing w:val="-9"/>
        </w:rPr>
        <w:t> </w:t>
      </w:r>
      <w:r>
        <w:rPr>
          <w:color w:val="231F20"/>
          <w:spacing w:val="-2"/>
        </w:rPr>
        <w:t>Le</w:t>
      </w:r>
      <w:r>
        <w:rPr>
          <w:color w:val="231F20"/>
          <w:spacing w:val="-11"/>
        </w:rPr>
        <w:t> </w:t>
      </w:r>
      <w:r>
        <w:rPr>
          <w:color w:val="231F20"/>
          <w:spacing w:val="-2"/>
        </w:rPr>
        <w:t>Haut</w:t>
      </w:r>
      <w:r>
        <w:rPr>
          <w:color w:val="231F20"/>
          <w:spacing w:val="-8"/>
        </w:rPr>
        <w:t> </w:t>
      </w:r>
      <w:r>
        <w:rPr>
          <w:color w:val="231F20"/>
          <w:spacing w:val="-2"/>
        </w:rPr>
        <w:t>Conseil</w:t>
      </w:r>
      <w:r>
        <w:rPr>
          <w:color w:val="231F20"/>
          <w:spacing w:val="-8"/>
        </w:rPr>
        <w:t> </w:t>
      </w:r>
      <w:r>
        <w:rPr>
          <w:color w:val="231F20"/>
          <w:spacing w:val="-2"/>
        </w:rPr>
        <w:t>de</w:t>
      </w:r>
      <w:r>
        <w:rPr>
          <w:color w:val="231F20"/>
          <w:spacing w:val="-7"/>
        </w:rPr>
        <w:t> </w:t>
      </w:r>
      <w:r>
        <w:rPr>
          <w:color w:val="231F20"/>
          <w:spacing w:val="-2"/>
        </w:rPr>
        <w:t>la </w:t>
      </w:r>
      <w:r>
        <w:rPr>
          <w:color w:val="231F20"/>
        </w:rPr>
        <w:t>République</w:t>
      </w:r>
      <w:r>
        <w:rPr>
          <w:color w:val="231F20"/>
          <w:spacing w:val="-15"/>
        </w:rPr>
        <w:t> </w:t>
      </w:r>
      <w:r>
        <w:rPr>
          <w:color w:val="231F20"/>
        </w:rPr>
        <w:t>(HCR)</w:t>
      </w:r>
      <w:r>
        <w:rPr>
          <w:color w:val="231F20"/>
          <w:spacing w:val="-14"/>
        </w:rPr>
        <w:t> </w:t>
      </w:r>
      <w:r>
        <w:rPr>
          <w:color w:val="231F20"/>
        </w:rPr>
        <w:t>et</w:t>
      </w:r>
      <w:r>
        <w:rPr>
          <w:color w:val="231F20"/>
          <w:spacing w:val="-14"/>
        </w:rPr>
        <w:t> </w:t>
      </w:r>
      <w:r>
        <w:rPr>
          <w:color w:val="231F20"/>
        </w:rPr>
        <w:t>le</w:t>
      </w:r>
      <w:r>
        <w:rPr>
          <w:color w:val="231F20"/>
          <w:spacing w:val="-15"/>
        </w:rPr>
        <w:t> </w:t>
      </w:r>
      <w:r>
        <w:rPr>
          <w:color w:val="231F20"/>
        </w:rPr>
        <w:t>Gouvernement</w:t>
      </w:r>
      <w:r>
        <w:rPr>
          <w:color w:val="231F20"/>
          <w:spacing w:val="-14"/>
        </w:rPr>
        <w:t> </w:t>
      </w:r>
      <w:r>
        <w:rPr>
          <w:color w:val="231F20"/>
        </w:rPr>
        <w:t>de</w:t>
      </w:r>
      <w:r>
        <w:rPr>
          <w:color w:val="231F20"/>
          <w:spacing w:val="-14"/>
        </w:rPr>
        <w:t> </w:t>
      </w:r>
      <w:r>
        <w:rPr>
          <w:color w:val="231F20"/>
        </w:rPr>
        <w:t>Transition</w:t>
      </w:r>
      <w:r>
        <w:rPr>
          <w:color w:val="231F20"/>
          <w:spacing w:val="-13"/>
        </w:rPr>
        <w:t> </w:t>
      </w:r>
      <w:r>
        <w:rPr>
          <w:color w:val="231F20"/>
        </w:rPr>
        <w:t>cohabitent</w:t>
      </w:r>
      <w:r>
        <w:rPr>
          <w:color w:val="231F20"/>
          <w:spacing w:val="-14"/>
        </w:rPr>
        <w:t> </w:t>
      </w:r>
      <w:r>
        <w:rPr>
          <w:color w:val="231F20"/>
        </w:rPr>
        <w:t>avec</w:t>
      </w:r>
      <w:r>
        <w:rPr>
          <w:color w:val="231F20"/>
          <w:spacing w:val="-14"/>
        </w:rPr>
        <w:t> </w:t>
      </w:r>
      <w:r>
        <w:rPr>
          <w:color w:val="231F20"/>
        </w:rPr>
        <w:t>le président</w:t>
      </w:r>
      <w:r>
        <w:rPr>
          <w:color w:val="231F20"/>
          <w:spacing w:val="-7"/>
        </w:rPr>
        <w:t> </w:t>
      </w:r>
      <w:r>
        <w:rPr>
          <w:color w:val="231F20"/>
        </w:rPr>
        <w:t>Kérékou</w:t>
      </w:r>
      <w:r>
        <w:rPr>
          <w:color w:val="231F20"/>
          <w:spacing w:val="-10"/>
        </w:rPr>
        <w:t> </w:t>
      </w:r>
      <w:r>
        <w:rPr>
          <w:color w:val="231F20"/>
        </w:rPr>
        <w:t>jusqu’aux</w:t>
      </w:r>
      <w:r>
        <w:rPr>
          <w:color w:val="231F20"/>
          <w:spacing w:val="-8"/>
        </w:rPr>
        <w:t> </w:t>
      </w:r>
      <w:r>
        <w:rPr>
          <w:color w:val="231F20"/>
        </w:rPr>
        <w:t>élections</w:t>
      </w:r>
      <w:r>
        <w:rPr>
          <w:color w:val="231F20"/>
          <w:spacing w:val="-10"/>
        </w:rPr>
        <w:t> </w:t>
      </w:r>
      <w:r>
        <w:rPr>
          <w:color w:val="231F20"/>
        </w:rPr>
        <w:t>présidentielles</w:t>
      </w:r>
      <w:r>
        <w:rPr>
          <w:color w:val="231F20"/>
          <w:spacing w:val="-7"/>
        </w:rPr>
        <w:t> </w:t>
      </w:r>
      <w:r>
        <w:rPr>
          <w:color w:val="231F20"/>
        </w:rPr>
        <w:t>de</w:t>
      </w:r>
      <w:r>
        <w:rPr>
          <w:color w:val="231F20"/>
          <w:spacing w:val="-7"/>
        </w:rPr>
        <w:t> </w:t>
      </w:r>
      <w:r>
        <w:rPr>
          <w:color w:val="231F20"/>
        </w:rPr>
        <w:t>1991.</w:t>
      </w:r>
    </w:p>
    <w:p>
      <w:pPr>
        <w:pStyle w:val="BodyText"/>
        <w:spacing w:before="121"/>
        <w:ind w:right="104" w:firstLine="283"/>
      </w:pPr>
      <w:r>
        <w:rPr>
          <w:color w:val="231F20"/>
        </w:rPr>
        <w:t>Le</w:t>
      </w:r>
      <w:r>
        <w:rPr>
          <w:color w:val="231F20"/>
          <w:spacing w:val="-11"/>
        </w:rPr>
        <w:t> </w:t>
      </w:r>
      <w:r>
        <w:rPr>
          <w:color w:val="231F20"/>
        </w:rPr>
        <w:t>24</w:t>
      </w:r>
      <w:r>
        <w:rPr>
          <w:color w:val="231F20"/>
          <w:spacing w:val="-13"/>
        </w:rPr>
        <w:t> </w:t>
      </w:r>
      <w:r>
        <w:rPr>
          <w:color w:val="231F20"/>
        </w:rPr>
        <w:t>mars</w:t>
      </w:r>
      <w:r>
        <w:rPr>
          <w:color w:val="231F20"/>
          <w:spacing w:val="-12"/>
        </w:rPr>
        <w:t> </w:t>
      </w:r>
      <w:r>
        <w:rPr>
          <w:color w:val="231F20"/>
        </w:rPr>
        <w:t>1991,</w:t>
      </w:r>
      <w:r>
        <w:rPr>
          <w:color w:val="231F20"/>
          <w:spacing w:val="-13"/>
        </w:rPr>
        <w:t> </w:t>
      </w:r>
      <w:r>
        <w:rPr>
          <w:color w:val="231F20"/>
        </w:rPr>
        <w:t>Mathieu</w:t>
      </w:r>
      <w:r>
        <w:rPr>
          <w:color w:val="231F20"/>
          <w:spacing w:val="-11"/>
        </w:rPr>
        <w:t> </w:t>
      </w:r>
      <w:r>
        <w:rPr>
          <w:color w:val="231F20"/>
        </w:rPr>
        <w:t>Kérékou</w:t>
      </w:r>
      <w:r>
        <w:rPr>
          <w:color w:val="231F20"/>
          <w:spacing w:val="-13"/>
        </w:rPr>
        <w:t> </w:t>
      </w:r>
      <w:r>
        <w:rPr>
          <w:color w:val="231F20"/>
        </w:rPr>
        <w:t>perd</w:t>
      </w:r>
      <w:r>
        <w:rPr>
          <w:color w:val="231F20"/>
          <w:spacing w:val="-13"/>
        </w:rPr>
        <w:t> </w:t>
      </w:r>
      <w:r>
        <w:rPr>
          <w:color w:val="231F20"/>
        </w:rPr>
        <w:t>les</w:t>
      </w:r>
      <w:r>
        <w:rPr>
          <w:color w:val="231F20"/>
          <w:spacing w:val="-11"/>
        </w:rPr>
        <w:t> </w:t>
      </w:r>
      <w:r>
        <w:rPr>
          <w:color w:val="231F20"/>
        </w:rPr>
        <w:t>élections</w:t>
      </w:r>
      <w:r>
        <w:rPr>
          <w:color w:val="231F20"/>
          <w:spacing w:val="-13"/>
        </w:rPr>
        <w:t> </w:t>
      </w:r>
      <w:r>
        <w:rPr>
          <w:color w:val="231F20"/>
        </w:rPr>
        <w:t>présidentielles </w:t>
      </w:r>
      <w:r>
        <w:rPr>
          <w:color w:val="231F20"/>
          <w:spacing w:val="-2"/>
        </w:rPr>
        <w:t>face</w:t>
      </w:r>
      <w:r>
        <w:rPr>
          <w:color w:val="231F20"/>
          <w:spacing w:val="-10"/>
        </w:rPr>
        <w:t> </w:t>
      </w:r>
      <w:r>
        <w:rPr>
          <w:color w:val="231F20"/>
          <w:spacing w:val="-2"/>
        </w:rPr>
        <w:t>à</w:t>
      </w:r>
      <w:r>
        <w:rPr>
          <w:color w:val="231F20"/>
          <w:spacing w:val="-10"/>
        </w:rPr>
        <w:t> </w:t>
      </w:r>
      <w:r>
        <w:rPr>
          <w:color w:val="231F20"/>
          <w:spacing w:val="-2"/>
        </w:rPr>
        <w:t>Nicéphore</w:t>
      </w:r>
      <w:r>
        <w:rPr>
          <w:color w:val="231F20"/>
          <w:spacing w:val="-10"/>
        </w:rPr>
        <w:t> </w:t>
      </w:r>
      <w:r>
        <w:rPr>
          <w:color w:val="231F20"/>
          <w:spacing w:val="-2"/>
        </w:rPr>
        <w:t>Soglo.</w:t>
      </w:r>
      <w:r>
        <w:rPr>
          <w:color w:val="231F20"/>
          <w:spacing w:val="-11"/>
        </w:rPr>
        <w:t> </w:t>
      </w:r>
      <w:r>
        <w:rPr>
          <w:color w:val="231F20"/>
          <w:spacing w:val="-2"/>
        </w:rPr>
        <w:t>Quelques</w:t>
      </w:r>
      <w:r>
        <w:rPr>
          <w:color w:val="231F20"/>
          <w:spacing w:val="-12"/>
        </w:rPr>
        <w:t> </w:t>
      </w:r>
      <w:r>
        <w:rPr>
          <w:color w:val="231F20"/>
          <w:spacing w:val="-2"/>
        </w:rPr>
        <w:t>jours</w:t>
      </w:r>
      <w:r>
        <w:rPr>
          <w:color w:val="231F20"/>
          <w:spacing w:val="-10"/>
        </w:rPr>
        <w:t> </w:t>
      </w:r>
      <w:r>
        <w:rPr>
          <w:color w:val="231F20"/>
          <w:spacing w:val="-2"/>
        </w:rPr>
        <w:t>plus</w:t>
      </w:r>
      <w:r>
        <w:rPr>
          <w:color w:val="231F20"/>
          <w:spacing w:val="-12"/>
        </w:rPr>
        <w:t> </w:t>
      </w:r>
      <w:r>
        <w:rPr>
          <w:color w:val="231F20"/>
          <w:spacing w:val="-2"/>
        </w:rPr>
        <w:t>tard,</w:t>
      </w:r>
      <w:r>
        <w:rPr>
          <w:color w:val="231F20"/>
          <w:spacing w:val="-12"/>
        </w:rPr>
        <w:t> </w:t>
      </w:r>
      <w:r>
        <w:rPr>
          <w:color w:val="231F20"/>
          <w:spacing w:val="-2"/>
        </w:rPr>
        <w:t>soit</w:t>
      </w:r>
      <w:r>
        <w:rPr>
          <w:color w:val="231F20"/>
          <w:spacing w:val="-9"/>
        </w:rPr>
        <w:t> </w:t>
      </w:r>
      <w:r>
        <w:rPr>
          <w:color w:val="231F20"/>
          <w:spacing w:val="-2"/>
        </w:rPr>
        <w:t>le</w:t>
      </w:r>
      <w:r>
        <w:rPr>
          <w:color w:val="231F20"/>
          <w:spacing w:val="-9"/>
        </w:rPr>
        <w:t> </w:t>
      </w:r>
      <w:r>
        <w:rPr>
          <w:color w:val="231F20"/>
          <w:spacing w:val="-2"/>
        </w:rPr>
        <w:t>30</w:t>
      </w:r>
      <w:r>
        <w:rPr>
          <w:color w:val="231F20"/>
          <w:spacing w:val="-9"/>
        </w:rPr>
        <w:t> </w:t>
      </w:r>
      <w:r>
        <w:rPr>
          <w:color w:val="231F20"/>
          <w:spacing w:val="-2"/>
        </w:rPr>
        <w:t>avril,</w:t>
      </w:r>
      <w:r>
        <w:rPr>
          <w:color w:val="231F20"/>
          <w:spacing w:val="-12"/>
        </w:rPr>
        <w:t> </w:t>
      </w:r>
      <w:r>
        <w:rPr>
          <w:color w:val="231F20"/>
          <w:spacing w:val="-2"/>
        </w:rPr>
        <w:t>le</w:t>
      </w:r>
      <w:r>
        <w:rPr>
          <w:color w:val="231F20"/>
          <w:spacing w:val="-11"/>
        </w:rPr>
        <w:t> </w:t>
      </w:r>
      <w:r>
        <w:rPr>
          <w:color w:val="231F20"/>
          <w:spacing w:val="-2"/>
        </w:rPr>
        <w:t>Haut </w:t>
      </w:r>
      <w:r>
        <w:rPr>
          <w:color w:val="231F20"/>
        </w:rPr>
        <w:t>Conseil de la République adopte à l’unanimité, une loi accordant à </w:t>
      </w:r>
      <w:r>
        <w:rPr>
          <w:color w:val="231F20"/>
          <w:spacing w:val="-2"/>
        </w:rPr>
        <w:t>Mathieu</w:t>
      </w:r>
      <w:r>
        <w:rPr>
          <w:color w:val="231F20"/>
          <w:spacing w:val="-12"/>
        </w:rPr>
        <w:t> </w:t>
      </w:r>
      <w:r>
        <w:rPr>
          <w:color w:val="231F20"/>
          <w:spacing w:val="-2"/>
        </w:rPr>
        <w:t>Kérékou,</w:t>
      </w:r>
      <w:r>
        <w:rPr>
          <w:color w:val="231F20"/>
          <w:spacing w:val="-7"/>
        </w:rPr>
        <w:t> </w:t>
      </w:r>
      <w:r>
        <w:rPr>
          <w:color w:val="231F20"/>
          <w:spacing w:val="-2"/>
        </w:rPr>
        <w:t>«</w:t>
      </w:r>
      <w:r>
        <w:rPr>
          <w:color w:val="231F20"/>
          <w:spacing w:val="-11"/>
        </w:rPr>
        <w:t> </w:t>
      </w:r>
      <w:r>
        <w:rPr>
          <w:color w:val="231F20"/>
          <w:spacing w:val="-2"/>
        </w:rPr>
        <w:t>une</w:t>
      </w:r>
      <w:r>
        <w:rPr>
          <w:color w:val="231F20"/>
          <w:spacing w:val="-7"/>
        </w:rPr>
        <w:t> </w:t>
      </w:r>
      <w:r>
        <w:rPr>
          <w:color w:val="231F20"/>
          <w:spacing w:val="-2"/>
        </w:rPr>
        <w:t>immunité</w:t>
      </w:r>
      <w:r>
        <w:rPr>
          <w:color w:val="231F20"/>
          <w:spacing w:val="-7"/>
        </w:rPr>
        <w:t> </w:t>
      </w:r>
      <w:r>
        <w:rPr>
          <w:color w:val="231F20"/>
          <w:spacing w:val="-2"/>
        </w:rPr>
        <w:t>personnelle</w:t>
      </w:r>
      <w:r>
        <w:rPr>
          <w:color w:val="231F20"/>
          <w:spacing w:val="-7"/>
        </w:rPr>
        <w:t> </w:t>
      </w:r>
      <w:r>
        <w:rPr>
          <w:color w:val="231F20"/>
          <w:spacing w:val="-2"/>
        </w:rPr>
        <w:t>pour</w:t>
      </w:r>
      <w:r>
        <w:rPr>
          <w:color w:val="231F20"/>
          <w:spacing w:val="-10"/>
        </w:rPr>
        <w:t> </w:t>
      </w:r>
      <w:r>
        <w:rPr>
          <w:color w:val="231F20"/>
          <w:spacing w:val="-2"/>
        </w:rPr>
        <w:t>tous</w:t>
      </w:r>
      <w:r>
        <w:rPr>
          <w:color w:val="231F20"/>
          <w:spacing w:val="-7"/>
        </w:rPr>
        <w:t> </w:t>
      </w:r>
      <w:r>
        <w:rPr>
          <w:color w:val="231F20"/>
          <w:spacing w:val="-2"/>
        </w:rPr>
        <w:t>les</w:t>
      </w:r>
      <w:r>
        <w:rPr>
          <w:color w:val="231F20"/>
          <w:spacing w:val="-7"/>
        </w:rPr>
        <w:t> </w:t>
      </w:r>
      <w:r>
        <w:rPr>
          <w:color w:val="231F20"/>
          <w:spacing w:val="-2"/>
        </w:rPr>
        <w:t>actes</w:t>
      </w:r>
      <w:r>
        <w:rPr>
          <w:color w:val="231F20"/>
          <w:spacing w:val="-7"/>
        </w:rPr>
        <w:t> </w:t>
      </w:r>
      <w:r>
        <w:rPr>
          <w:color w:val="231F20"/>
          <w:spacing w:val="-2"/>
        </w:rPr>
        <w:t>qu’il</w:t>
      </w:r>
      <w:r>
        <w:rPr>
          <w:color w:val="231F20"/>
          <w:spacing w:val="-9"/>
        </w:rPr>
        <w:t> </w:t>
      </w:r>
      <w:r>
        <w:rPr>
          <w:color w:val="231F20"/>
          <w:spacing w:val="-2"/>
        </w:rPr>
        <w:t>a </w:t>
      </w:r>
      <w:r>
        <w:rPr>
          <w:color w:val="231F20"/>
        </w:rPr>
        <w:t>accomplis du 26</w:t>
      </w:r>
      <w:r>
        <w:rPr>
          <w:color w:val="231F20"/>
          <w:spacing w:val="-2"/>
        </w:rPr>
        <w:t> </w:t>
      </w:r>
      <w:r>
        <w:rPr>
          <w:color w:val="231F20"/>
        </w:rPr>
        <w:t>octobre</w:t>
      </w:r>
      <w:r>
        <w:rPr>
          <w:color w:val="231F20"/>
          <w:spacing w:val="-2"/>
        </w:rPr>
        <w:t> </w:t>
      </w:r>
      <w:r>
        <w:rPr>
          <w:color w:val="231F20"/>
        </w:rPr>
        <w:t>1972 au</w:t>
      </w:r>
      <w:r>
        <w:rPr>
          <w:color w:val="231F20"/>
          <w:spacing w:val="-2"/>
        </w:rPr>
        <w:t> </w:t>
      </w:r>
      <w:r>
        <w:rPr>
          <w:color w:val="231F20"/>
        </w:rPr>
        <w:t>1er avril 1991</w:t>
      </w:r>
      <w:r>
        <w:rPr>
          <w:color w:val="231F20"/>
          <w:spacing w:val="-1"/>
        </w:rPr>
        <w:t> </w:t>
      </w:r>
      <w:r>
        <w:rPr>
          <w:color w:val="231F20"/>
        </w:rPr>
        <w:t>».</w:t>
      </w:r>
    </w:p>
    <w:p>
      <w:pPr>
        <w:pStyle w:val="BodyText"/>
        <w:spacing w:before="120"/>
        <w:ind w:right="103" w:firstLine="283"/>
      </w:pPr>
      <w:r>
        <w:rPr>
          <w:color w:val="231F20"/>
        </w:rPr>
        <w:t>Nicéphore</w:t>
      </w:r>
      <w:r>
        <w:rPr>
          <w:color w:val="231F20"/>
          <w:spacing w:val="-15"/>
        </w:rPr>
        <w:t> </w:t>
      </w:r>
      <w:r>
        <w:rPr>
          <w:color w:val="231F20"/>
        </w:rPr>
        <w:t>Soglo est diplômé en</w:t>
      </w:r>
      <w:r>
        <w:rPr>
          <w:color w:val="231F20"/>
          <w:spacing w:val="-15"/>
        </w:rPr>
        <w:t> </w:t>
      </w:r>
      <w:r>
        <w:rPr>
          <w:color w:val="231F20"/>
        </w:rPr>
        <w:t>droit</w:t>
      </w:r>
      <w:r>
        <w:rPr>
          <w:color w:val="231F20"/>
          <w:spacing w:val="-15"/>
        </w:rPr>
        <w:t> </w:t>
      </w:r>
      <w:r>
        <w:rPr>
          <w:color w:val="231F20"/>
        </w:rPr>
        <w:t>et en</w:t>
      </w:r>
      <w:r>
        <w:rPr>
          <w:color w:val="231F20"/>
          <w:spacing w:val="-15"/>
        </w:rPr>
        <w:t> </w:t>
      </w:r>
      <w:r>
        <w:rPr>
          <w:color w:val="231F20"/>
        </w:rPr>
        <w:t>économie</w:t>
      </w:r>
      <w:r>
        <w:rPr>
          <w:color w:val="231F20"/>
          <w:spacing w:val="-15"/>
        </w:rPr>
        <w:t> </w:t>
      </w:r>
      <w:r>
        <w:rPr>
          <w:color w:val="231F20"/>
        </w:rPr>
        <w:t>de l'Université </w:t>
      </w:r>
      <w:r>
        <w:rPr>
          <w:color w:val="231F20"/>
          <w:spacing w:val="-2"/>
        </w:rPr>
        <w:t>de</w:t>
      </w:r>
      <w:r>
        <w:rPr>
          <w:color w:val="231F20"/>
          <w:spacing w:val="-15"/>
        </w:rPr>
        <w:t> </w:t>
      </w:r>
      <w:r>
        <w:rPr>
          <w:color w:val="231F20"/>
          <w:spacing w:val="-2"/>
        </w:rPr>
        <w:t>Paris.</w:t>
      </w:r>
      <w:r>
        <w:rPr>
          <w:color w:val="231F20"/>
          <w:spacing w:val="-13"/>
        </w:rPr>
        <w:t> </w:t>
      </w:r>
      <w:r>
        <w:rPr>
          <w:color w:val="231F20"/>
          <w:spacing w:val="-2"/>
        </w:rPr>
        <w:t>Ancien</w:t>
      </w:r>
      <w:r>
        <w:rPr>
          <w:color w:val="231F20"/>
          <w:spacing w:val="-13"/>
        </w:rPr>
        <w:t> </w:t>
      </w:r>
      <w:r>
        <w:rPr>
          <w:color w:val="231F20"/>
          <w:spacing w:val="-2"/>
        </w:rPr>
        <w:t>du</w:t>
      </w:r>
      <w:r>
        <w:rPr>
          <w:color w:val="231F20"/>
          <w:spacing w:val="-13"/>
        </w:rPr>
        <w:t> </w:t>
      </w:r>
      <w:r>
        <w:rPr>
          <w:color w:val="231F20"/>
          <w:spacing w:val="-2"/>
        </w:rPr>
        <w:t>Fonds</w:t>
      </w:r>
      <w:r>
        <w:rPr>
          <w:color w:val="231F20"/>
          <w:spacing w:val="-13"/>
        </w:rPr>
        <w:t> </w:t>
      </w:r>
      <w:r>
        <w:rPr>
          <w:color w:val="231F20"/>
          <w:spacing w:val="-2"/>
        </w:rPr>
        <w:t>Monétaire</w:t>
      </w:r>
      <w:r>
        <w:rPr>
          <w:color w:val="231F20"/>
          <w:spacing w:val="-13"/>
        </w:rPr>
        <w:t> </w:t>
      </w:r>
      <w:r>
        <w:rPr>
          <w:color w:val="231F20"/>
          <w:spacing w:val="-2"/>
        </w:rPr>
        <w:t>International</w:t>
      </w:r>
      <w:r>
        <w:rPr>
          <w:color w:val="231F20"/>
          <w:spacing w:val="-13"/>
        </w:rPr>
        <w:t> </w:t>
      </w:r>
      <w:r>
        <w:rPr>
          <w:color w:val="231F20"/>
          <w:spacing w:val="-2"/>
        </w:rPr>
        <w:t>(FMI)</w:t>
      </w:r>
      <w:r>
        <w:rPr>
          <w:color w:val="231F20"/>
          <w:spacing w:val="-13"/>
        </w:rPr>
        <w:t> </w:t>
      </w:r>
      <w:r>
        <w:rPr>
          <w:color w:val="231F20"/>
          <w:spacing w:val="-2"/>
        </w:rPr>
        <w:t>et</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Banque </w:t>
      </w:r>
      <w:r>
        <w:rPr>
          <w:color w:val="231F20"/>
        </w:rPr>
        <w:t>Mondiale,</w:t>
      </w:r>
      <w:r>
        <w:rPr>
          <w:color w:val="231F20"/>
          <w:spacing w:val="-15"/>
        </w:rPr>
        <w:t> </w:t>
      </w:r>
      <w:r>
        <w:rPr>
          <w:color w:val="231F20"/>
        </w:rPr>
        <w:t>il réussit à relancer l’Economie Nationale et à redonner confiance aux Partenaires Techniques et financiers ainsi qu’aux </w:t>
      </w:r>
      <w:r>
        <w:rPr>
          <w:color w:val="231F20"/>
          <w:spacing w:val="-2"/>
        </w:rPr>
        <w:t>investisseurs</w:t>
      </w:r>
      <w:r>
        <w:rPr>
          <w:color w:val="231F20"/>
          <w:spacing w:val="-3"/>
        </w:rPr>
        <w:t> </w:t>
      </w:r>
      <w:r>
        <w:rPr>
          <w:color w:val="231F20"/>
          <w:spacing w:val="-2"/>
        </w:rPr>
        <w:t>étrangers.</w:t>
      </w:r>
      <w:r>
        <w:rPr>
          <w:color w:val="231F20"/>
          <w:spacing w:val="-4"/>
        </w:rPr>
        <w:t> </w:t>
      </w:r>
      <w:r>
        <w:rPr>
          <w:color w:val="231F20"/>
          <w:spacing w:val="-2"/>
        </w:rPr>
        <w:t>Cependant,</w:t>
      </w:r>
      <w:r>
        <w:rPr>
          <w:color w:val="231F20"/>
          <w:spacing w:val="-13"/>
        </w:rPr>
        <w:t> </w:t>
      </w:r>
      <w:r>
        <w:rPr>
          <w:color w:val="231F20"/>
          <w:spacing w:val="-2"/>
        </w:rPr>
        <w:t>le</w:t>
      </w:r>
      <w:r>
        <w:rPr>
          <w:color w:val="231F20"/>
          <w:spacing w:val="-13"/>
        </w:rPr>
        <w:t> </w:t>
      </w:r>
      <w:r>
        <w:rPr>
          <w:color w:val="231F20"/>
          <w:spacing w:val="-2"/>
        </w:rPr>
        <w:t>panier</w:t>
      </w:r>
      <w:r>
        <w:rPr>
          <w:color w:val="231F20"/>
          <w:spacing w:val="-3"/>
        </w:rPr>
        <w:t> </w:t>
      </w:r>
      <w:r>
        <w:rPr>
          <w:color w:val="231F20"/>
          <w:spacing w:val="-2"/>
        </w:rPr>
        <w:t>de</w:t>
      </w:r>
      <w:r>
        <w:rPr>
          <w:color w:val="231F20"/>
          <w:spacing w:val="-6"/>
        </w:rPr>
        <w:t> </w:t>
      </w:r>
      <w:r>
        <w:rPr>
          <w:color w:val="231F20"/>
          <w:spacing w:val="-2"/>
        </w:rPr>
        <w:t>la</w:t>
      </w:r>
      <w:r>
        <w:rPr>
          <w:color w:val="231F20"/>
          <w:spacing w:val="-6"/>
        </w:rPr>
        <w:t> </w:t>
      </w:r>
      <w:r>
        <w:rPr>
          <w:color w:val="231F20"/>
          <w:spacing w:val="-2"/>
        </w:rPr>
        <w:t>ménagère</w:t>
      </w:r>
      <w:r>
        <w:rPr>
          <w:color w:val="231F20"/>
          <w:spacing w:val="-3"/>
        </w:rPr>
        <w:t> </w:t>
      </w:r>
      <w:r>
        <w:rPr>
          <w:color w:val="231F20"/>
          <w:spacing w:val="-2"/>
        </w:rPr>
        <w:t>n'en</w:t>
      </w:r>
      <w:r>
        <w:rPr>
          <w:color w:val="231F20"/>
          <w:spacing w:val="-3"/>
        </w:rPr>
        <w:t> </w:t>
      </w:r>
      <w:r>
        <w:rPr>
          <w:color w:val="231F20"/>
          <w:spacing w:val="-2"/>
        </w:rPr>
        <w:t>ressent </w:t>
      </w:r>
      <w:r>
        <w:rPr>
          <w:color w:val="231F20"/>
        </w:rPr>
        <w:t>pas</w:t>
      </w:r>
      <w:r>
        <w:rPr>
          <w:color w:val="231F20"/>
          <w:spacing w:val="-15"/>
        </w:rPr>
        <w:t> </w:t>
      </w:r>
      <w:r>
        <w:rPr>
          <w:color w:val="231F20"/>
        </w:rPr>
        <w:t>les</w:t>
      </w:r>
      <w:r>
        <w:rPr>
          <w:color w:val="231F20"/>
          <w:spacing w:val="-15"/>
        </w:rPr>
        <w:t> </w:t>
      </w:r>
      <w:r>
        <w:rPr>
          <w:color w:val="231F20"/>
        </w:rPr>
        <w:t>effets.</w:t>
      </w:r>
      <w:r>
        <w:rPr>
          <w:color w:val="231F20"/>
          <w:spacing w:val="-15"/>
        </w:rPr>
        <w:t> </w:t>
      </w:r>
      <w:r>
        <w:rPr>
          <w:color w:val="231F20"/>
        </w:rPr>
        <w:t>Les</w:t>
      </w:r>
      <w:r>
        <w:rPr>
          <w:color w:val="231F20"/>
          <w:spacing w:val="-15"/>
        </w:rPr>
        <w:t> </w:t>
      </w:r>
      <w:r>
        <w:rPr>
          <w:color w:val="231F20"/>
        </w:rPr>
        <w:t>ajustements</w:t>
      </w:r>
      <w:r>
        <w:rPr>
          <w:color w:val="231F20"/>
          <w:spacing w:val="-15"/>
        </w:rPr>
        <w:t> </w:t>
      </w:r>
      <w:r>
        <w:rPr>
          <w:color w:val="231F20"/>
        </w:rPr>
        <w:t>structurels</w:t>
      </w:r>
      <w:r>
        <w:rPr>
          <w:color w:val="231F20"/>
          <w:spacing w:val="-15"/>
        </w:rPr>
        <w:t> </w:t>
      </w:r>
      <w:r>
        <w:rPr>
          <w:color w:val="231F20"/>
        </w:rPr>
        <w:t>recommandés</w:t>
      </w:r>
      <w:r>
        <w:rPr>
          <w:color w:val="231F20"/>
          <w:spacing w:val="-15"/>
        </w:rPr>
        <w:t> </w:t>
      </w:r>
      <w:r>
        <w:rPr>
          <w:color w:val="231F20"/>
        </w:rPr>
        <w:t>par</w:t>
      </w:r>
      <w:r>
        <w:rPr>
          <w:color w:val="231F20"/>
          <w:spacing w:val="-15"/>
        </w:rPr>
        <w:t> </w:t>
      </w:r>
      <w:r>
        <w:rPr>
          <w:color w:val="231F20"/>
        </w:rPr>
        <w:t>le</w:t>
      </w:r>
      <w:r>
        <w:rPr>
          <w:color w:val="231F20"/>
          <w:spacing w:val="-15"/>
        </w:rPr>
        <w:t> </w:t>
      </w:r>
      <w:r>
        <w:rPr>
          <w:color w:val="231F20"/>
        </w:rPr>
        <w:t>FMI</w:t>
      </w:r>
      <w:r>
        <w:rPr>
          <w:color w:val="231F20"/>
          <w:spacing w:val="-15"/>
        </w:rPr>
        <w:t> </w:t>
      </w:r>
      <w:r>
        <w:rPr>
          <w:color w:val="231F20"/>
        </w:rPr>
        <w:t>ainsi </w:t>
      </w:r>
      <w:r>
        <w:rPr>
          <w:color w:val="231F20"/>
          <w:spacing w:val="-4"/>
        </w:rPr>
        <w:t>que</w:t>
      </w:r>
      <w:r>
        <w:rPr>
          <w:color w:val="231F20"/>
          <w:spacing w:val="-8"/>
        </w:rPr>
        <w:t> </w:t>
      </w:r>
      <w:r>
        <w:rPr>
          <w:color w:val="231F20"/>
          <w:spacing w:val="-4"/>
        </w:rPr>
        <w:t>les</w:t>
      </w:r>
      <w:r>
        <w:rPr>
          <w:color w:val="231F20"/>
          <w:spacing w:val="-8"/>
        </w:rPr>
        <w:t> </w:t>
      </w:r>
      <w:r>
        <w:rPr>
          <w:color w:val="231F20"/>
          <w:spacing w:val="-4"/>
        </w:rPr>
        <w:t>trafics</w:t>
      </w:r>
      <w:r>
        <w:rPr>
          <w:color w:val="231F20"/>
          <w:spacing w:val="-8"/>
        </w:rPr>
        <w:t> </w:t>
      </w:r>
      <w:r>
        <w:rPr>
          <w:color w:val="231F20"/>
          <w:spacing w:val="-4"/>
        </w:rPr>
        <w:t>traditionnels</w:t>
      </w:r>
      <w:r>
        <w:rPr>
          <w:color w:val="231F20"/>
          <w:spacing w:val="-8"/>
        </w:rPr>
        <w:t> </w:t>
      </w:r>
      <w:r>
        <w:rPr>
          <w:color w:val="231F20"/>
          <w:spacing w:val="-4"/>
        </w:rPr>
        <w:t>qui</w:t>
      </w:r>
      <w:r>
        <w:rPr>
          <w:color w:val="231F20"/>
          <w:spacing w:val="-8"/>
        </w:rPr>
        <w:t> </w:t>
      </w:r>
      <w:r>
        <w:rPr>
          <w:color w:val="231F20"/>
          <w:spacing w:val="-4"/>
        </w:rPr>
        <w:t>prospèrent</w:t>
      </w:r>
      <w:r>
        <w:rPr>
          <w:color w:val="231F20"/>
          <w:spacing w:val="-8"/>
        </w:rPr>
        <w:t> </w:t>
      </w:r>
      <w:r>
        <w:rPr>
          <w:color w:val="231F20"/>
          <w:spacing w:val="-4"/>
        </w:rPr>
        <w:t>au</w:t>
      </w:r>
      <w:r>
        <w:rPr>
          <w:color w:val="231F20"/>
          <w:spacing w:val="-8"/>
        </w:rPr>
        <w:t> </w:t>
      </w:r>
      <w:r>
        <w:rPr>
          <w:color w:val="231F20"/>
          <w:spacing w:val="-4"/>
        </w:rPr>
        <w:t>grand</w:t>
      </w:r>
      <w:r>
        <w:rPr>
          <w:color w:val="231F20"/>
          <w:spacing w:val="-8"/>
        </w:rPr>
        <w:t> </w:t>
      </w:r>
      <w:r>
        <w:rPr>
          <w:color w:val="231F20"/>
          <w:spacing w:val="-4"/>
        </w:rPr>
        <w:t>jour</w:t>
      </w:r>
      <w:r>
        <w:rPr>
          <w:color w:val="231F20"/>
          <w:spacing w:val="-8"/>
        </w:rPr>
        <w:t> </w:t>
      </w:r>
      <w:r>
        <w:rPr>
          <w:color w:val="231F20"/>
          <w:spacing w:val="-4"/>
        </w:rPr>
        <w:t>(whisky,</w:t>
      </w:r>
      <w:r>
        <w:rPr>
          <w:color w:val="231F20"/>
          <w:spacing w:val="-8"/>
        </w:rPr>
        <w:t> </w:t>
      </w:r>
      <w:r>
        <w:rPr>
          <w:color w:val="231F20"/>
          <w:spacing w:val="-4"/>
        </w:rPr>
        <w:t>essence, </w:t>
      </w:r>
      <w:r>
        <w:rPr>
          <w:color w:val="231F20"/>
          <w:spacing w:val="-2"/>
        </w:rPr>
        <w:t>ciment,</w:t>
      </w:r>
      <w:r>
        <w:rPr>
          <w:color w:val="231F20"/>
          <w:spacing w:val="-10"/>
        </w:rPr>
        <w:t> </w:t>
      </w:r>
      <w:r>
        <w:rPr>
          <w:color w:val="231F20"/>
          <w:spacing w:val="-2"/>
        </w:rPr>
        <w:t>voitures,</w:t>
      </w:r>
      <w:r>
        <w:rPr>
          <w:color w:val="231F20"/>
          <w:spacing w:val="-10"/>
        </w:rPr>
        <w:t> </w:t>
      </w:r>
      <w:r>
        <w:rPr>
          <w:color w:val="231F20"/>
          <w:spacing w:val="-2"/>
        </w:rPr>
        <w:t>etc.)</w:t>
      </w:r>
      <w:r>
        <w:rPr>
          <w:color w:val="231F20"/>
          <w:spacing w:val="-10"/>
        </w:rPr>
        <w:t> </w:t>
      </w:r>
      <w:r>
        <w:rPr>
          <w:color w:val="231F20"/>
          <w:spacing w:val="-2"/>
        </w:rPr>
        <w:t>finissent</w:t>
      </w:r>
      <w:r>
        <w:rPr>
          <w:color w:val="231F20"/>
          <w:spacing w:val="-10"/>
        </w:rPr>
        <w:t> </w:t>
      </w:r>
      <w:r>
        <w:rPr>
          <w:color w:val="231F20"/>
          <w:spacing w:val="-2"/>
        </w:rPr>
        <w:t>par</w:t>
      </w:r>
      <w:r>
        <w:rPr>
          <w:color w:val="231F20"/>
          <w:spacing w:val="-11"/>
        </w:rPr>
        <w:t> </w:t>
      </w:r>
      <w:r>
        <w:rPr>
          <w:color w:val="231F20"/>
          <w:spacing w:val="-2"/>
        </w:rPr>
        <w:t>raviver</w:t>
      </w:r>
      <w:r>
        <w:rPr>
          <w:color w:val="231F20"/>
          <w:spacing w:val="-11"/>
        </w:rPr>
        <w:t> </w:t>
      </w:r>
      <w:r>
        <w:rPr>
          <w:color w:val="231F20"/>
          <w:spacing w:val="-2"/>
        </w:rPr>
        <w:t>le</w:t>
      </w:r>
      <w:r>
        <w:rPr>
          <w:color w:val="231F20"/>
          <w:spacing w:val="-13"/>
        </w:rPr>
        <w:t> </w:t>
      </w:r>
      <w:r>
        <w:rPr>
          <w:color w:val="231F20"/>
          <w:spacing w:val="-2"/>
        </w:rPr>
        <w:t>mécontentement</w:t>
      </w:r>
      <w:r>
        <w:rPr>
          <w:color w:val="231F20"/>
          <w:spacing w:val="-10"/>
        </w:rPr>
        <w:t> </w:t>
      </w:r>
      <w:r>
        <w:rPr>
          <w:color w:val="231F20"/>
          <w:spacing w:val="-2"/>
        </w:rPr>
        <w:t>général</w:t>
      </w:r>
      <w:r>
        <w:rPr>
          <w:color w:val="231F20"/>
          <w:spacing w:val="-12"/>
        </w:rPr>
        <w:t> </w:t>
      </w:r>
      <w:r>
        <w:rPr>
          <w:color w:val="231F20"/>
          <w:spacing w:val="-2"/>
        </w:rPr>
        <w:t>de </w:t>
      </w:r>
      <w:r>
        <w:rPr>
          <w:color w:val="231F20"/>
          <w:spacing w:val="-4"/>
        </w:rPr>
        <w:t>la</w:t>
      </w:r>
      <w:r>
        <w:rPr>
          <w:color w:val="231F20"/>
          <w:spacing w:val="-11"/>
        </w:rPr>
        <w:t> </w:t>
      </w:r>
      <w:r>
        <w:rPr>
          <w:color w:val="231F20"/>
          <w:spacing w:val="-4"/>
        </w:rPr>
        <w:t>population.</w:t>
      </w:r>
      <w:r>
        <w:rPr>
          <w:color w:val="231F20"/>
          <w:spacing w:val="-11"/>
        </w:rPr>
        <w:t> </w:t>
      </w:r>
      <w:r>
        <w:rPr>
          <w:color w:val="231F20"/>
          <w:spacing w:val="-4"/>
        </w:rPr>
        <w:t>Il</w:t>
      </w:r>
      <w:r>
        <w:rPr>
          <w:color w:val="231F20"/>
          <w:spacing w:val="-11"/>
        </w:rPr>
        <w:t> </w:t>
      </w:r>
      <w:r>
        <w:rPr>
          <w:color w:val="231F20"/>
          <w:spacing w:val="-4"/>
        </w:rPr>
        <w:t>perd</w:t>
      </w:r>
      <w:r>
        <w:rPr>
          <w:color w:val="231F20"/>
          <w:spacing w:val="-11"/>
        </w:rPr>
        <w:t> </w:t>
      </w:r>
      <w:r>
        <w:rPr>
          <w:color w:val="231F20"/>
          <w:spacing w:val="-4"/>
        </w:rPr>
        <w:t>sa</w:t>
      </w:r>
      <w:r>
        <w:rPr>
          <w:color w:val="231F20"/>
          <w:spacing w:val="-11"/>
        </w:rPr>
        <w:t> </w:t>
      </w:r>
      <w:r>
        <w:rPr>
          <w:color w:val="231F20"/>
          <w:spacing w:val="-4"/>
        </w:rPr>
        <w:t>majorité</w:t>
      </w:r>
      <w:r>
        <w:rPr>
          <w:color w:val="231F20"/>
          <w:spacing w:val="-11"/>
        </w:rPr>
        <w:t> </w:t>
      </w:r>
      <w:r>
        <w:rPr>
          <w:color w:val="231F20"/>
          <w:spacing w:val="-4"/>
        </w:rPr>
        <w:t>à</w:t>
      </w:r>
      <w:r>
        <w:rPr>
          <w:color w:val="231F20"/>
          <w:spacing w:val="-11"/>
        </w:rPr>
        <w:t> </w:t>
      </w:r>
      <w:r>
        <w:rPr>
          <w:color w:val="231F20"/>
          <w:spacing w:val="-4"/>
        </w:rPr>
        <w:t>l’Assemblée</w:t>
      </w:r>
      <w:r>
        <w:rPr>
          <w:color w:val="231F20"/>
          <w:spacing w:val="-11"/>
        </w:rPr>
        <w:t> </w:t>
      </w:r>
      <w:r>
        <w:rPr>
          <w:color w:val="231F20"/>
          <w:spacing w:val="-4"/>
        </w:rPr>
        <w:t>et</w:t>
      </w:r>
      <w:r>
        <w:rPr>
          <w:color w:val="231F20"/>
          <w:spacing w:val="-8"/>
        </w:rPr>
        <w:t> </w:t>
      </w:r>
      <w:r>
        <w:rPr>
          <w:color w:val="231F20"/>
          <w:spacing w:val="-4"/>
        </w:rPr>
        <w:t>est</w:t>
      </w:r>
      <w:r>
        <w:rPr>
          <w:color w:val="231F20"/>
          <w:spacing w:val="-8"/>
        </w:rPr>
        <w:t> </w:t>
      </w:r>
      <w:r>
        <w:rPr>
          <w:color w:val="231F20"/>
          <w:spacing w:val="-4"/>
        </w:rPr>
        <w:t>accusé</w:t>
      </w:r>
      <w:r>
        <w:rPr>
          <w:color w:val="231F20"/>
          <w:spacing w:val="-11"/>
        </w:rPr>
        <w:t> </w:t>
      </w:r>
      <w:r>
        <w:rPr>
          <w:color w:val="231F20"/>
          <w:spacing w:val="-4"/>
        </w:rPr>
        <w:t>de</w:t>
      </w:r>
      <w:r>
        <w:rPr>
          <w:color w:val="231F20"/>
          <w:spacing w:val="-9"/>
        </w:rPr>
        <w:t> </w:t>
      </w:r>
      <w:r>
        <w:rPr>
          <w:color w:val="231F20"/>
          <w:spacing w:val="-4"/>
        </w:rPr>
        <w:t>népotisme </w:t>
      </w:r>
      <w:r>
        <w:rPr>
          <w:color w:val="231F20"/>
        </w:rPr>
        <w:t>par ses adversaires. Le 17 mars 1996, il est battu au second tour de l’élection présidentielle</w:t>
      </w:r>
      <w:r>
        <w:rPr>
          <w:color w:val="231F20"/>
          <w:spacing w:val="-1"/>
        </w:rPr>
        <w:t> </w:t>
      </w:r>
      <w:r>
        <w:rPr>
          <w:color w:val="231F20"/>
        </w:rPr>
        <w:t>par Mathieu Kérékou qui (re)gouverne le pays jusqu’en 2006.</w:t>
      </w:r>
    </w:p>
    <w:p>
      <w:pPr>
        <w:pStyle w:val="BodyText"/>
        <w:spacing w:before="121"/>
        <w:ind w:right="104" w:firstLine="283"/>
      </w:pPr>
      <w:r>
        <w:rPr>
          <w:color w:val="231F20"/>
        </w:rPr>
        <w:t>En 2006 et 2011,</w:t>
      </w:r>
      <w:r>
        <w:rPr>
          <w:color w:val="231F20"/>
          <w:spacing w:val="-1"/>
        </w:rPr>
        <w:t> </w:t>
      </w:r>
      <w:r>
        <w:rPr>
          <w:color w:val="231F20"/>
        </w:rPr>
        <w:t>le Bénin confie son destin à la</w:t>
      </w:r>
      <w:r>
        <w:rPr>
          <w:color w:val="231F20"/>
          <w:spacing w:val="-1"/>
        </w:rPr>
        <w:t> </w:t>
      </w:r>
      <w:r>
        <w:rPr>
          <w:color w:val="231F20"/>
        </w:rPr>
        <w:t>présidentielle, à un Economiste</w:t>
      </w:r>
      <w:r>
        <w:rPr>
          <w:color w:val="231F20"/>
          <w:spacing w:val="-15"/>
        </w:rPr>
        <w:t> </w:t>
      </w:r>
      <w:r>
        <w:rPr>
          <w:color w:val="231F20"/>
        </w:rPr>
        <w:t>:</w:t>
      </w:r>
      <w:r>
        <w:rPr>
          <w:color w:val="231F20"/>
          <w:spacing w:val="-6"/>
        </w:rPr>
        <w:t> </w:t>
      </w:r>
      <w:r>
        <w:rPr>
          <w:color w:val="231F20"/>
        </w:rPr>
        <w:t>Thomas</w:t>
      </w:r>
      <w:r>
        <w:rPr>
          <w:color w:val="231F20"/>
          <w:spacing w:val="-1"/>
        </w:rPr>
        <w:t> </w:t>
      </w:r>
      <w:r>
        <w:rPr>
          <w:color w:val="231F20"/>
        </w:rPr>
        <w:t>Boni</w:t>
      </w:r>
      <w:r>
        <w:rPr>
          <w:color w:val="231F20"/>
          <w:spacing w:val="-1"/>
        </w:rPr>
        <w:t> </w:t>
      </w:r>
      <w:r>
        <w:rPr>
          <w:color w:val="231F20"/>
        </w:rPr>
        <w:t>Yayi,’ancien</w:t>
      </w:r>
      <w:r>
        <w:rPr>
          <w:color w:val="231F20"/>
          <w:spacing w:val="-1"/>
        </w:rPr>
        <w:t> </w:t>
      </w:r>
      <w:r>
        <w:rPr>
          <w:color w:val="231F20"/>
        </w:rPr>
        <w:t>Président</w:t>
      </w:r>
      <w:r>
        <w:rPr>
          <w:color w:val="231F20"/>
          <w:spacing w:val="-2"/>
        </w:rPr>
        <w:t> </w:t>
      </w:r>
      <w:r>
        <w:rPr>
          <w:color w:val="231F20"/>
        </w:rPr>
        <w:t>de</w:t>
      </w:r>
      <w:r>
        <w:rPr>
          <w:color w:val="231F20"/>
          <w:spacing w:val="-1"/>
        </w:rPr>
        <w:t> </w:t>
      </w:r>
      <w:r>
        <w:rPr>
          <w:color w:val="231F20"/>
        </w:rPr>
        <w:t>la</w:t>
      </w:r>
      <w:r>
        <w:rPr>
          <w:color w:val="231F20"/>
          <w:spacing w:val="-1"/>
        </w:rPr>
        <w:t> </w:t>
      </w:r>
      <w:r>
        <w:rPr>
          <w:color w:val="231F20"/>
        </w:rPr>
        <w:t>Banque</w:t>
      </w:r>
      <w:r>
        <w:rPr>
          <w:color w:val="231F20"/>
          <w:spacing w:val="-1"/>
        </w:rPr>
        <w:t> </w:t>
      </w:r>
      <w:r>
        <w:rPr>
          <w:color w:val="231F20"/>
        </w:rPr>
        <w:t>Ouest </w:t>
      </w:r>
      <w:r>
        <w:rPr>
          <w:color w:val="231F20"/>
          <w:spacing w:val="-2"/>
        </w:rPr>
        <w:t>Africaine</w:t>
      </w:r>
      <w:r>
        <w:rPr>
          <w:color w:val="231F20"/>
          <w:spacing w:val="-10"/>
        </w:rPr>
        <w:t> </w:t>
      </w:r>
      <w:r>
        <w:rPr>
          <w:color w:val="231F20"/>
          <w:spacing w:val="-2"/>
        </w:rPr>
        <w:t>du</w:t>
      </w:r>
      <w:r>
        <w:rPr>
          <w:color w:val="231F20"/>
          <w:spacing w:val="-10"/>
        </w:rPr>
        <w:t> </w:t>
      </w:r>
      <w:r>
        <w:rPr>
          <w:color w:val="231F20"/>
          <w:spacing w:val="-2"/>
        </w:rPr>
        <w:t>Développement(BOAD).</w:t>
      </w:r>
      <w:r>
        <w:rPr>
          <w:color w:val="231F20"/>
          <w:spacing w:val="-10"/>
        </w:rPr>
        <w:t> </w:t>
      </w:r>
      <w:r>
        <w:rPr>
          <w:color w:val="231F20"/>
          <w:spacing w:val="-2"/>
        </w:rPr>
        <w:t>Mais</w:t>
      </w:r>
      <w:r>
        <w:rPr>
          <w:color w:val="231F20"/>
          <w:spacing w:val="-10"/>
        </w:rPr>
        <w:t> </w:t>
      </w:r>
      <w:r>
        <w:rPr>
          <w:color w:val="231F20"/>
          <w:spacing w:val="-2"/>
        </w:rPr>
        <w:t>ses</w:t>
      </w:r>
      <w:r>
        <w:rPr>
          <w:color w:val="231F20"/>
          <w:spacing w:val="-9"/>
        </w:rPr>
        <w:t> </w:t>
      </w:r>
      <w:r>
        <w:rPr>
          <w:color w:val="231F20"/>
          <w:spacing w:val="-2"/>
        </w:rPr>
        <w:t>deux</w:t>
      </w:r>
      <w:r>
        <w:rPr>
          <w:color w:val="231F20"/>
          <w:spacing w:val="-10"/>
        </w:rPr>
        <w:t> </w:t>
      </w:r>
      <w:r>
        <w:rPr>
          <w:color w:val="231F20"/>
          <w:spacing w:val="-2"/>
        </w:rPr>
        <w:t>mandats</w:t>
      </w:r>
      <w:r>
        <w:rPr>
          <w:color w:val="231F20"/>
          <w:spacing w:val="-11"/>
        </w:rPr>
        <w:t> </w:t>
      </w:r>
      <w:r>
        <w:rPr>
          <w:color w:val="231F20"/>
          <w:spacing w:val="-2"/>
        </w:rPr>
        <w:t>ne</w:t>
      </w:r>
      <w:r>
        <w:rPr>
          <w:color w:val="231F20"/>
          <w:spacing w:val="-10"/>
        </w:rPr>
        <w:t> </w:t>
      </w:r>
      <w:r>
        <w:rPr>
          <w:color w:val="231F20"/>
          <w:spacing w:val="-2"/>
        </w:rPr>
        <w:t>sortent </w:t>
      </w:r>
      <w:r>
        <w:rPr>
          <w:color w:val="231F20"/>
        </w:rPr>
        <w:t>pas</w:t>
      </w:r>
      <w:r>
        <w:rPr>
          <w:color w:val="231F20"/>
          <w:spacing w:val="-7"/>
        </w:rPr>
        <w:t> </w:t>
      </w:r>
      <w:r>
        <w:rPr>
          <w:color w:val="231F20"/>
        </w:rPr>
        <w:t>les</w:t>
      </w:r>
      <w:r>
        <w:rPr>
          <w:color w:val="231F20"/>
          <w:spacing w:val="-10"/>
        </w:rPr>
        <w:t> </w:t>
      </w:r>
      <w:r>
        <w:rPr>
          <w:color w:val="231F20"/>
        </w:rPr>
        <w:t>Béninois</w:t>
      </w:r>
      <w:r>
        <w:rPr>
          <w:color w:val="231F20"/>
          <w:spacing w:val="-7"/>
        </w:rPr>
        <w:t> </w:t>
      </w:r>
      <w:r>
        <w:rPr>
          <w:color w:val="231F20"/>
        </w:rPr>
        <w:t>de</w:t>
      </w:r>
      <w:r>
        <w:rPr>
          <w:color w:val="231F20"/>
          <w:spacing w:val="-10"/>
        </w:rPr>
        <w:t> </w:t>
      </w:r>
      <w:r>
        <w:rPr>
          <w:color w:val="231F20"/>
        </w:rPr>
        <w:t>la</w:t>
      </w:r>
      <w:r>
        <w:rPr>
          <w:color w:val="231F20"/>
          <w:spacing w:val="-7"/>
        </w:rPr>
        <w:t> </w:t>
      </w:r>
      <w:r>
        <w:rPr>
          <w:color w:val="231F20"/>
        </w:rPr>
        <w:t>pauvreté.</w:t>
      </w:r>
      <w:r>
        <w:rPr>
          <w:color w:val="231F20"/>
          <w:spacing w:val="-7"/>
        </w:rPr>
        <w:t> </w:t>
      </w:r>
      <w:r>
        <w:rPr>
          <w:color w:val="231F20"/>
        </w:rPr>
        <w:t>La</w:t>
      </w:r>
      <w:r>
        <w:rPr>
          <w:color w:val="231F20"/>
          <w:spacing w:val="-7"/>
        </w:rPr>
        <w:t> </w:t>
      </w:r>
      <w:r>
        <w:rPr>
          <w:color w:val="231F20"/>
        </w:rPr>
        <w:t>corruption,</w:t>
      </w:r>
      <w:r>
        <w:rPr>
          <w:color w:val="231F20"/>
          <w:spacing w:val="-10"/>
        </w:rPr>
        <w:t> </w:t>
      </w:r>
      <w:r>
        <w:rPr>
          <w:color w:val="231F20"/>
        </w:rPr>
        <w:t>la</w:t>
      </w:r>
      <w:r>
        <w:rPr>
          <w:color w:val="231F20"/>
          <w:spacing w:val="-7"/>
        </w:rPr>
        <w:t> </w:t>
      </w:r>
      <w:r>
        <w:rPr>
          <w:color w:val="231F20"/>
        </w:rPr>
        <w:t>gabegie</w:t>
      </w:r>
      <w:r>
        <w:rPr>
          <w:color w:val="231F20"/>
          <w:spacing w:val="-7"/>
        </w:rPr>
        <w:t> </w:t>
      </w:r>
      <w:r>
        <w:rPr>
          <w:color w:val="231F20"/>
        </w:rPr>
        <w:t>continuent</w:t>
      </w:r>
      <w:r>
        <w:rPr>
          <w:color w:val="231F20"/>
          <w:spacing w:val="-9"/>
        </w:rPr>
        <w:t> </w:t>
      </w:r>
      <w:r>
        <w:rPr>
          <w:color w:val="231F20"/>
        </w:rPr>
        <w:t>de </w:t>
      </w:r>
      <w:r>
        <w:rPr>
          <w:color w:val="231F20"/>
          <w:spacing w:val="-2"/>
        </w:rPr>
        <w:t>prospérer</w:t>
      </w:r>
      <w:r>
        <w:rPr>
          <w:color w:val="231F20"/>
          <w:spacing w:val="-9"/>
        </w:rPr>
        <w:t> </w:t>
      </w:r>
      <w:r>
        <w:rPr>
          <w:color w:val="231F20"/>
          <w:spacing w:val="-2"/>
        </w:rPr>
        <w:t>dans</w:t>
      </w:r>
      <w:r>
        <w:rPr>
          <w:color w:val="231F20"/>
          <w:spacing w:val="-12"/>
        </w:rPr>
        <w:t> </w:t>
      </w:r>
      <w:r>
        <w:rPr>
          <w:color w:val="231F20"/>
          <w:spacing w:val="-2"/>
        </w:rPr>
        <w:t>la</w:t>
      </w:r>
      <w:r>
        <w:rPr>
          <w:color w:val="231F20"/>
          <w:spacing w:val="-9"/>
        </w:rPr>
        <w:t> </w:t>
      </w:r>
      <w:r>
        <w:rPr>
          <w:color w:val="231F20"/>
          <w:spacing w:val="-2"/>
        </w:rPr>
        <w:t>classe</w:t>
      </w:r>
      <w:r>
        <w:rPr>
          <w:color w:val="231F20"/>
          <w:spacing w:val="-12"/>
        </w:rPr>
        <w:t> </w:t>
      </w:r>
      <w:r>
        <w:rPr>
          <w:color w:val="231F20"/>
          <w:spacing w:val="-2"/>
        </w:rPr>
        <w:t>politique,</w:t>
      </w:r>
      <w:r>
        <w:rPr>
          <w:color w:val="231F20"/>
          <w:spacing w:val="-11"/>
        </w:rPr>
        <w:t> </w:t>
      </w:r>
      <w:r>
        <w:rPr>
          <w:color w:val="231F20"/>
          <w:spacing w:val="-2"/>
        </w:rPr>
        <w:t>l’économie</w:t>
      </w:r>
      <w:r>
        <w:rPr>
          <w:color w:val="231F20"/>
          <w:spacing w:val="-12"/>
        </w:rPr>
        <w:t> </w:t>
      </w:r>
      <w:r>
        <w:rPr>
          <w:color w:val="231F20"/>
          <w:spacing w:val="-2"/>
        </w:rPr>
        <w:t>basée</w:t>
      </w:r>
      <w:r>
        <w:rPr>
          <w:color w:val="231F20"/>
          <w:spacing w:val="-12"/>
        </w:rPr>
        <w:t> </w:t>
      </w:r>
      <w:r>
        <w:rPr>
          <w:color w:val="231F20"/>
          <w:spacing w:val="-2"/>
        </w:rPr>
        <w:t>depuis</w:t>
      </w:r>
      <w:r>
        <w:rPr>
          <w:color w:val="231F20"/>
          <w:spacing w:val="-11"/>
        </w:rPr>
        <w:t> </w:t>
      </w:r>
      <w:r>
        <w:rPr>
          <w:color w:val="231F20"/>
          <w:spacing w:val="-2"/>
        </w:rPr>
        <w:t>les</w:t>
      </w:r>
      <w:r>
        <w:rPr>
          <w:color w:val="231F20"/>
          <w:spacing w:val="-11"/>
        </w:rPr>
        <w:t> </w:t>
      </w:r>
      <w:r>
        <w:rPr>
          <w:color w:val="231F20"/>
          <w:spacing w:val="-2"/>
        </w:rPr>
        <w:t>années</w:t>
      </w:r>
      <w:r>
        <w:rPr>
          <w:color w:val="231F20"/>
          <w:spacing w:val="-11"/>
        </w:rPr>
        <w:t> </w:t>
      </w:r>
      <w:r>
        <w:rPr>
          <w:color w:val="231F20"/>
          <w:spacing w:val="-2"/>
        </w:rPr>
        <w:t>60 </w:t>
      </w:r>
      <w:r>
        <w:rPr>
          <w:color w:val="231F20"/>
        </w:rPr>
        <w:t>sur</w:t>
      </w:r>
      <w:r>
        <w:rPr>
          <w:color w:val="231F20"/>
          <w:spacing w:val="-8"/>
        </w:rPr>
        <w:t> </w:t>
      </w:r>
      <w:r>
        <w:rPr>
          <w:color w:val="231F20"/>
        </w:rPr>
        <w:t>les</w:t>
      </w:r>
      <w:r>
        <w:rPr>
          <w:color w:val="231F20"/>
          <w:spacing w:val="-8"/>
        </w:rPr>
        <w:t> </w:t>
      </w:r>
      <w:r>
        <w:rPr>
          <w:color w:val="231F20"/>
        </w:rPr>
        <w:t>exportations</w:t>
      </w:r>
      <w:r>
        <w:rPr>
          <w:color w:val="231F20"/>
          <w:spacing w:val="-8"/>
        </w:rPr>
        <w:t> </w:t>
      </w:r>
      <w:r>
        <w:rPr>
          <w:color w:val="231F20"/>
        </w:rPr>
        <w:t>de</w:t>
      </w:r>
      <w:r>
        <w:rPr>
          <w:color w:val="231F20"/>
          <w:spacing w:val="-10"/>
        </w:rPr>
        <w:t> </w:t>
      </w:r>
      <w:r>
        <w:rPr>
          <w:color w:val="231F20"/>
        </w:rPr>
        <w:t>produits</w:t>
      </w:r>
      <w:r>
        <w:rPr>
          <w:color w:val="231F20"/>
          <w:spacing w:val="-8"/>
        </w:rPr>
        <w:t> </w:t>
      </w:r>
      <w:r>
        <w:rPr>
          <w:color w:val="231F20"/>
        </w:rPr>
        <w:t>de</w:t>
      </w:r>
      <w:r>
        <w:rPr>
          <w:color w:val="231F20"/>
          <w:spacing w:val="-8"/>
        </w:rPr>
        <w:t> </w:t>
      </w:r>
      <w:r>
        <w:rPr>
          <w:color w:val="231F20"/>
        </w:rPr>
        <w:t>rente</w:t>
      </w:r>
      <w:r>
        <w:rPr>
          <w:color w:val="231F20"/>
          <w:spacing w:val="-6"/>
        </w:rPr>
        <w:t> </w:t>
      </w:r>
      <w:r>
        <w:rPr>
          <w:color w:val="231F20"/>
        </w:rPr>
        <w:t>n’évolue</w:t>
      </w:r>
      <w:r>
        <w:rPr>
          <w:color w:val="231F20"/>
          <w:spacing w:val="-10"/>
        </w:rPr>
        <w:t> </w:t>
      </w:r>
      <w:r>
        <w:rPr>
          <w:color w:val="231F20"/>
        </w:rPr>
        <w:t>pas,</w:t>
      </w:r>
      <w:r>
        <w:rPr>
          <w:color w:val="231F20"/>
          <w:spacing w:val="-8"/>
        </w:rPr>
        <w:t> </w:t>
      </w:r>
      <w:r>
        <w:rPr>
          <w:color w:val="231F20"/>
        </w:rPr>
        <w:t>le</w:t>
      </w:r>
      <w:r>
        <w:rPr>
          <w:color w:val="231F20"/>
          <w:spacing w:val="-10"/>
        </w:rPr>
        <w:t> </w:t>
      </w:r>
      <w:r>
        <w:rPr>
          <w:color w:val="231F20"/>
        </w:rPr>
        <w:t>tissu</w:t>
      </w:r>
      <w:r>
        <w:rPr>
          <w:color w:val="231F20"/>
          <w:spacing w:val="-10"/>
        </w:rPr>
        <w:t> </w:t>
      </w:r>
      <w:r>
        <w:rPr>
          <w:color w:val="231F20"/>
        </w:rPr>
        <w:t>industriel demeure</w:t>
      </w:r>
      <w:r>
        <w:rPr>
          <w:color w:val="231F20"/>
          <w:spacing w:val="-2"/>
        </w:rPr>
        <w:t> </w:t>
      </w:r>
      <w:r>
        <w:rPr>
          <w:color w:val="231F20"/>
        </w:rPr>
        <w:t>embryonnaire</w:t>
      </w:r>
      <w:r>
        <w:rPr>
          <w:color w:val="231F20"/>
          <w:spacing w:val="-1"/>
        </w:rPr>
        <w:t> </w:t>
      </w:r>
      <w:r>
        <w:rPr>
          <w:color w:val="231F20"/>
        </w:rPr>
        <w:t>et</w:t>
      </w:r>
      <w:r>
        <w:rPr>
          <w:color w:val="231F20"/>
          <w:spacing w:val="-4"/>
        </w:rPr>
        <w:t> </w:t>
      </w:r>
      <w:r>
        <w:rPr>
          <w:color w:val="231F20"/>
        </w:rPr>
        <w:t>l’informel</w:t>
      </w:r>
      <w:r>
        <w:rPr>
          <w:color w:val="231F20"/>
          <w:spacing w:val="-4"/>
        </w:rPr>
        <w:t> </w:t>
      </w:r>
      <w:r>
        <w:rPr>
          <w:color w:val="231F20"/>
        </w:rPr>
        <w:t>domine</w:t>
      </w:r>
      <w:r>
        <w:rPr>
          <w:color w:val="231F20"/>
          <w:spacing w:val="-4"/>
        </w:rPr>
        <w:t> </w:t>
      </w:r>
      <w:r>
        <w:rPr>
          <w:color w:val="231F20"/>
        </w:rPr>
        <w:t>toujours.</w:t>
      </w:r>
    </w:p>
    <w:p>
      <w:pPr>
        <w:pStyle w:val="BodyText"/>
        <w:spacing w:before="120"/>
        <w:ind w:right="104" w:firstLine="283"/>
      </w:pPr>
      <w:r>
        <w:rPr>
          <w:color w:val="231F20"/>
        </w:rPr>
        <w:t>Le</w:t>
      </w:r>
      <w:r>
        <w:rPr>
          <w:color w:val="231F20"/>
          <w:spacing w:val="-11"/>
        </w:rPr>
        <w:t> </w:t>
      </w:r>
      <w:r>
        <w:rPr>
          <w:color w:val="231F20"/>
        </w:rPr>
        <w:t>20</w:t>
      </w:r>
      <w:r>
        <w:rPr>
          <w:color w:val="231F20"/>
          <w:spacing w:val="-11"/>
        </w:rPr>
        <w:t> </w:t>
      </w:r>
      <w:r>
        <w:rPr>
          <w:color w:val="231F20"/>
        </w:rPr>
        <w:t>mars</w:t>
      </w:r>
      <w:r>
        <w:rPr>
          <w:color w:val="231F20"/>
          <w:spacing w:val="-11"/>
        </w:rPr>
        <w:t> </w:t>
      </w:r>
      <w:r>
        <w:rPr>
          <w:color w:val="231F20"/>
        </w:rPr>
        <w:t>2016,</w:t>
      </w:r>
      <w:r>
        <w:rPr>
          <w:color w:val="231F20"/>
          <w:spacing w:val="-13"/>
        </w:rPr>
        <w:t> </w:t>
      </w:r>
      <w:r>
        <w:rPr>
          <w:color w:val="231F20"/>
        </w:rPr>
        <w:t>Patrice</w:t>
      </w:r>
      <w:r>
        <w:rPr>
          <w:color w:val="231F20"/>
          <w:spacing w:val="-11"/>
        </w:rPr>
        <w:t> </w:t>
      </w:r>
      <w:r>
        <w:rPr>
          <w:color w:val="231F20"/>
        </w:rPr>
        <w:t>Talon</w:t>
      </w:r>
      <w:r>
        <w:rPr>
          <w:color w:val="231F20"/>
          <w:spacing w:val="-11"/>
        </w:rPr>
        <w:t> </w:t>
      </w:r>
      <w:r>
        <w:rPr>
          <w:color w:val="231F20"/>
        </w:rPr>
        <w:t>remporte</w:t>
      </w:r>
      <w:r>
        <w:rPr>
          <w:color w:val="231F20"/>
          <w:spacing w:val="-11"/>
        </w:rPr>
        <w:t> </w:t>
      </w:r>
      <w:r>
        <w:rPr>
          <w:color w:val="231F20"/>
        </w:rPr>
        <w:t>l’élection</w:t>
      </w:r>
      <w:r>
        <w:rPr>
          <w:color w:val="231F20"/>
          <w:spacing w:val="-11"/>
        </w:rPr>
        <w:t> </w:t>
      </w:r>
      <w:r>
        <w:rPr>
          <w:color w:val="231F20"/>
        </w:rPr>
        <w:t>présidentiel.</w:t>
      </w:r>
      <w:r>
        <w:rPr>
          <w:color w:val="231F20"/>
          <w:spacing w:val="-13"/>
        </w:rPr>
        <w:t> </w:t>
      </w:r>
      <w:r>
        <w:rPr>
          <w:color w:val="231F20"/>
        </w:rPr>
        <w:t>Son </w:t>
      </w:r>
      <w:r>
        <w:rPr>
          <w:color w:val="231F20"/>
          <w:spacing w:val="-2"/>
        </w:rPr>
        <w:t>adversaire,</w:t>
      </w:r>
      <w:r>
        <w:rPr>
          <w:color w:val="231F20"/>
          <w:spacing w:val="-13"/>
        </w:rPr>
        <w:t> </w:t>
      </w:r>
      <w:r>
        <w:rPr>
          <w:color w:val="231F20"/>
          <w:spacing w:val="-2"/>
        </w:rPr>
        <w:t>le</w:t>
      </w:r>
      <w:r>
        <w:rPr>
          <w:color w:val="231F20"/>
          <w:spacing w:val="-13"/>
        </w:rPr>
        <w:t> </w:t>
      </w:r>
      <w:r>
        <w:rPr>
          <w:color w:val="231F20"/>
          <w:spacing w:val="-2"/>
        </w:rPr>
        <w:t>Premier</w:t>
      </w:r>
      <w:r>
        <w:rPr>
          <w:color w:val="231F20"/>
          <w:spacing w:val="-13"/>
        </w:rPr>
        <w:t> </w:t>
      </w:r>
      <w:r>
        <w:rPr>
          <w:color w:val="231F20"/>
          <w:spacing w:val="-2"/>
        </w:rPr>
        <w:t>Ministre</w:t>
      </w:r>
      <w:r>
        <w:rPr>
          <w:color w:val="231F20"/>
          <w:spacing w:val="-13"/>
        </w:rPr>
        <w:t> </w:t>
      </w:r>
      <w:r>
        <w:rPr>
          <w:color w:val="231F20"/>
          <w:spacing w:val="-2"/>
        </w:rPr>
        <w:t>sortant</w:t>
      </w:r>
      <w:r>
        <w:rPr>
          <w:color w:val="231F20"/>
          <w:spacing w:val="-13"/>
        </w:rPr>
        <w:t> </w:t>
      </w:r>
      <w:r>
        <w:rPr>
          <w:color w:val="231F20"/>
          <w:spacing w:val="-2"/>
        </w:rPr>
        <w:t>Lionel</w:t>
      </w:r>
      <w:r>
        <w:rPr>
          <w:color w:val="231F20"/>
          <w:spacing w:val="-13"/>
        </w:rPr>
        <w:t> </w:t>
      </w:r>
      <w:r>
        <w:rPr>
          <w:color w:val="231F20"/>
          <w:spacing w:val="-2"/>
        </w:rPr>
        <w:t>Zinsou</w:t>
      </w:r>
      <w:r>
        <w:rPr>
          <w:color w:val="231F20"/>
          <w:spacing w:val="-13"/>
        </w:rPr>
        <w:t> </w:t>
      </w:r>
      <w:r>
        <w:rPr>
          <w:color w:val="231F20"/>
          <w:spacing w:val="-2"/>
        </w:rPr>
        <w:t>reconnaît</w:t>
      </w:r>
      <w:r>
        <w:rPr>
          <w:color w:val="231F20"/>
          <w:spacing w:val="-13"/>
        </w:rPr>
        <w:t> </w:t>
      </w:r>
      <w:r>
        <w:rPr>
          <w:color w:val="231F20"/>
          <w:spacing w:val="-2"/>
        </w:rPr>
        <w:t>sa</w:t>
      </w:r>
      <w:r>
        <w:rPr>
          <w:color w:val="231F20"/>
          <w:spacing w:val="-13"/>
        </w:rPr>
        <w:t> </w:t>
      </w:r>
      <w:r>
        <w:rPr>
          <w:color w:val="231F20"/>
          <w:spacing w:val="-2"/>
        </w:rPr>
        <w:t>défaite </w:t>
      </w:r>
      <w:r>
        <w:rPr>
          <w:color w:val="231F20"/>
        </w:rPr>
        <w:t>le soir même de l’élection.</w:t>
      </w:r>
    </w:p>
    <w:p>
      <w:pPr>
        <w:spacing w:after="0"/>
        <w:sectPr>
          <w:pgSz w:w="8790" w:h="13610"/>
          <w:pgMar w:header="0" w:footer="802" w:top="1060" w:bottom="1000" w:left="880" w:right="880"/>
        </w:sectPr>
      </w:pPr>
    </w:p>
    <w:p>
      <w:pPr>
        <w:pStyle w:val="BodyText"/>
        <w:spacing w:before="66"/>
        <w:ind w:right="105" w:firstLine="283"/>
      </w:pPr>
      <w:r>
        <w:rPr>
          <w:color w:val="231F20"/>
        </w:rPr>
        <w:t>Investi</w:t>
      </w:r>
      <w:r>
        <w:rPr>
          <w:color w:val="231F20"/>
          <w:spacing w:val="-1"/>
        </w:rPr>
        <w:t> </w:t>
      </w:r>
      <w:r>
        <w:rPr>
          <w:color w:val="231F20"/>
        </w:rPr>
        <w:t>président</w:t>
      </w:r>
      <w:r>
        <w:rPr>
          <w:color w:val="231F20"/>
          <w:spacing w:val="-3"/>
        </w:rPr>
        <w:t> </w:t>
      </w:r>
      <w:r>
        <w:rPr>
          <w:color w:val="231F20"/>
        </w:rPr>
        <w:t>de</w:t>
      </w:r>
      <w:r>
        <w:rPr>
          <w:color w:val="231F20"/>
          <w:spacing w:val="-1"/>
        </w:rPr>
        <w:t> </w:t>
      </w:r>
      <w:r>
        <w:rPr>
          <w:color w:val="231F20"/>
        </w:rPr>
        <w:t>la</w:t>
      </w:r>
      <w:r>
        <w:rPr>
          <w:color w:val="231F20"/>
          <w:spacing w:val="-4"/>
        </w:rPr>
        <w:t> </w:t>
      </w:r>
      <w:r>
        <w:rPr>
          <w:color w:val="231F20"/>
        </w:rPr>
        <w:t>République</w:t>
      </w:r>
      <w:r>
        <w:rPr>
          <w:color w:val="231F20"/>
          <w:spacing w:val="-1"/>
        </w:rPr>
        <w:t> </w:t>
      </w:r>
      <w:r>
        <w:rPr>
          <w:color w:val="231F20"/>
        </w:rPr>
        <w:t>du</w:t>
      </w:r>
      <w:r>
        <w:rPr>
          <w:color w:val="231F20"/>
          <w:spacing w:val="-1"/>
        </w:rPr>
        <w:t> </w:t>
      </w:r>
      <w:r>
        <w:rPr>
          <w:color w:val="231F20"/>
        </w:rPr>
        <w:t>Bénin,</w:t>
      </w:r>
      <w:r>
        <w:rPr>
          <w:color w:val="231F20"/>
          <w:spacing w:val="-4"/>
        </w:rPr>
        <w:t> </w:t>
      </w:r>
      <w:r>
        <w:rPr>
          <w:color w:val="231F20"/>
        </w:rPr>
        <w:t>le</w:t>
      </w:r>
      <w:r>
        <w:rPr>
          <w:color w:val="231F20"/>
          <w:spacing w:val="-1"/>
        </w:rPr>
        <w:t> </w:t>
      </w:r>
      <w:r>
        <w:rPr>
          <w:color w:val="231F20"/>
        </w:rPr>
        <w:t>6</w:t>
      </w:r>
      <w:r>
        <w:rPr>
          <w:color w:val="231F20"/>
          <w:spacing w:val="-4"/>
        </w:rPr>
        <w:t> </w:t>
      </w:r>
      <w:r>
        <w:rPr>
          <w:color w:val="231F20"/>
        </w:rPr>
        <w:t>avril</w:t>
      </w:r>
      <w:r>
        <w:rPr>
          <w:color w:val="231F20"/>
          <w:spacing w:val="-4"/>
        </w:rPr>
        <w:t> </w:t>
      </w:r>
      <w:r>
        <w:rPr>
          <w:color w:val="231F20"/>
        </w:rPr>
        <w:t>2016,</w:t>
      </w:r>
      <w:r>
        <w:rPr>
          <w:color w:val="231F20"/>
          <w:spacing w:val="-1"/>
        </w:rPr>
        <w:t> </w:t>
      </w:r>
      <w:r>
        <w:rPr>
          <w:color w:val="231F20"/>
        </w:rPr>
        <w:t>Patrice Talon est un homme d’affaires. Il a fait fortune dans la filière des intrants</w:t>
      </w:r>
      <w:r>
        <w:rPr>
          <w:color w:val="231F20"/>
          <w:spacing w:val="-15"/>
        </w:rPr>
        <w:t> </w:t>
      </w:r>
      <w:r>
        <w:rPr>
          <w:color w:val="231F20"/>
        </w:rPr>
        <w:t>agricoles dans les années 1980, puis de l’égrenage du coton au </w:t>
      </w:r>
      <w:r>
        <w:rPr>
          <w:color w:val="231F20"/>
          <w:spacing w:val="-2"/>
        </w:rPr>
        <w:t>Bénin</w:t>
      </w:r>
      <w:r>
        <w:rPr>
          <w:color w:val="231F20"/>
          <w:spacing w:val="-12"/>
        </w:rPr>
        <w:t> </w:t>
      </w:r>
      <w:r>
        <w:rPr>
          <w:color w:val="231F20"/>
          <w:spacing w:val="-2"/>
        </w:rPr>
        <w:t>au</w:t>
      </w:r>
      <w:r>
        <w:rPr>
          <w:color w:val="231F20"/>
          <w:spacing w:val="-12"/>
        </w:rPr>
        <w:t> </w:t>
      </w:r>
      <w:r>
        <w:rPr>
          <w:color w:val="231F20"/>
          <w:spacing w:val="-2"/>
        </w:rPr>
        <w:t>cours</w:t>
      </w:r>
      <w:r>
        <w:rPr>
          <w:color w:val="231F20"/>
          <w:spacing w:val="-13"/>
        </w:rPr>
        <w:t> </w:t>
      </w:r>
      <w:r>
        <w:rPr>
          <w:color w:val="231F20"/>
          <w:spacing w:val="-2"/>
        </w:rPr>
        <w:t>des</w:t>
      </w:r>
      <w:r>
        <w:rPr>
          <w:color w:val="231F20"/>
          <w:spacing w:val="-13"/>
        </w:rPr>
        <w:t> </w:t>
      </w:r>
      <w:r>
        <w:rPr>
          <w:color w:val="231F20"/>
          <w:spacing w:val="-2"/>
        </w:rPr>
        <w:t>années</w:t>
      </w:r>
      <w:r>
        <w:rPr>
          <w:color w:val="231F20"/>
          <w:spacing w:val="-13"/>
        </w:rPr>
        <w:t> </w:t>
      </w:r>
      <w:r>
        <w:rPr>
          <w:color w:val="231F20"/>
          <w:spacing w:val="-2"/>
        </w:rPr>
        <w:t>1990</w:t>
      </w:r>
      <w:r>
        <w:rPr>
          <w:color w:val="231F20"/>
          <w:spacing w:val="-12"/>
        </w:rPr>
        <w:t> </w:t>
      </w:r>
      <w:r>
        <w:rPr>
          <w:color w:val="231F20"/>
          <w:spacing w:val="-2"/>
        </w:rPr>
        <w:t>et</w:t>
      </w:r>
      <w:r>
        <w:rPr>
          <w:color w:val="231F20"/>
          <w:spacing w:val="-11"/>
        </w:rPr>
        <w:t> </w:t>
      </w:r>
      <w:r>
        <w:rPr>
          <w:color w:val="231F20"/>
          <w:spacing w:val="-2"/>
        </w:rPr>
        <w:t>2000.</w:t>
      </w:r>
      <w:r>
        <w:rPr>
          <w:color w:val="231F20"/>
          <w:spacing w:val="-13"/>
        </w:rPr>
        <w:t> </w:t>
      </w:r>
      <w:r>
        <w:rPr>
          <w:color w:val="231F20"/>
          <w:spacing w:val="-2"/>
        </w:rPr>
        <w:t>Il</w:t>
      </w:r>
      <w:r>
        <w:rPr>
          <w:color w:val="231F20"/>
          <w:spacing w:val="-12"/>
        </w:rPr>
        <w:t> </w:t>
      </w:r>
      <w:r>
        <w:rPr>
          <w:color w:val="231F20"/>
          <w:spacing w:val="-2"/>
        </w:rPr>
        <w:t>figure</w:t>
      </w:r>
      <w:r>
        <w:rPr>
          <w:color w:val="231F20"/>
          <w:spacing w:val="-13"/>
        </w:rPr>
        <w:t> </w:t>
      </w:r>
      <w:r>
        <w:rPr>
          <w:color w:val="231F20"/>
          <w:spacing w:val="-2"/>
        </w:rPr>
        <w:t>au</w:t>
      </w:r>
      <w:r>
        <w:rPr>
          <w:color w:val="231F20"/>
          <w:spacing w:val="-12"/>
        </w:rPr>
        <w:t> </w:t>
      </w:r>
      <w:r>
        <w:rPr>
          <w:color w:val="231F20"/>
          <w:spacing w:val="-2"/>
        </w:rPr>
        <w:t>15ème</w:t>
      </w:r>
      <w:r>
        <w:rPr>
          <w:color w:val="231F20"/>
          <w:spacing w:val="-12"/>
        </w:rPr>
        <w:t> </w:t>
      </w:r>
      <w:r>
        <w:rPr>
          <w:color w:val="231F20"/>
          <w:spacing w:val="-2"/>
        </w:rPr>
        <w:t>rang</w:t>
      </w:r>
      <w:r>
        <w:rPr>
          <w:color w:val="231F20"/>
          <w:spacing w:val="-13"/>
        </w:rPr>
        <w:t> </w:t>
      </w:r>
      <w:r>
        <w:rPr>
          <w:color w:val="231F20"/>
          <w:spacing w:val="-2"/>
        </w:rPr>
        <w:t>des</w:t>
      </w:r>
      <w:r>
        <w:rPr>
          <w:color w:val="231F20"/>
          <w:spacing w:val="-13"/>
        </w:rPr>
        <w:t> </w:t>
      </w:r>
      <w:r>
        <w:rPr>
          <w:color w:val="231F20"/>
          <w:spacing w:val="-2"/>
        </w:rPr>
        <w:t>plus </w:t>
      </w:r>
      <w:r>
        <w:rPr>
          <w:color w:val="231F20"/>
        </w:rPr>
        <w:t>grandes fortunes d’Afrique subsaharienne francophone dans le classement Forbes de 2015.</w:t>
      </w:r>
    </w:p>
    <w:p>
      <w:pPr>
        <w:pStyle w:val="BodyText"/>
        <w:spacing w:before="120"/>
        <w:ind w:right="102" w:firstLine="283"/>
      </w:pPr>
      <w:r>
        <w:rPr>
          <w:color w:val="231F20"/>
          <w:spacing w:val="-4"/>
        </w:rPr>
        <w:t>Les</w:t>
      </w:r>
      <w:r>
        <w:rPr>
          <w:color w:val="231F20"/>
          <w:spacing w:val="-6"/>
        </w:rPr>
        <w:t> </w:t>
      </w:r>
      <w:r>
        <w:rPr>
          <w:color w:val="231F20"/>
          <w:spacing w:val="-4"/>
        </w:rPr>
        <w:t>réformes</w:t>
      </w:r>
      <w:r>
        <w:rPr>
          <w:color w:val="231F20"/>
          <w:spacing w:val="-6"/>
        </w:rPr>
        <w:t> </w:t>
      </w:r>
      <w:r>
        <w:rPr>
          <w:color w:val="231F20"/>
          <w:spacing w:val="-4"/>
        </w:rPr>
        <w:t>économiques</w:t>
      </w:r>
      <w:r>
        <w:rPr>
          <w:color w:val="231F20"/>
          <w:spacing w:val="-5"/>
        </w:rPr>
        <w:t> </w:t>
      </w:r>
      <w:r>
        <w:rPr>
          <w:color w:val="231F20"/>
          <w:spacing w:val="-4"/>
        </w:rPr>
        <w:t>du</w:t>
      </w:r>
      <w:r>
        <w:rPr>
          <w:color w:val="231F20"/>
          <w:spacing w:val="-6"/>
        </w:rPr>
        <w:t> </w:t>
      </w:r>
      <w:r>
        <w:rPr>
          <w:color w:val="231F20"/>
          <w:spacing w:val="-4"/>
        </w:rPr>
        <w:t>président</w:t>
      </w:r>
      <w:r>
        <w:rPr>
          <w:color w:val="231F20"/>
          <w:spacing w:val="-8"/>
        </w:rPr>
        <w:t> </w:t>
      </w:r>
      <w:r>
        <w:rPr>
          <w:color w:val="231F20"/>
          <w:spacing w:val="-4"/>
        </w:rPr>
        <w:t>Patrice</w:t>
      </w:r>
      <w:r>
        <w:rPr>
          <w:color w:val="231F20"/>
          <w:spacing w:val="-6"/>
        </w:rPr>
        <w:t> </w:t>
      </w:r>
      <w:r>
        <w:rPr>
          <w:color w:val="231F20"/>
          <w:spacing w:val="-4"/>
        </w:rPr>
        <w:t>Talon</w:t>
      </w:r>
      <w:r>
        <w:rPr>
          <w:color w:val="231F20"/>
          <w:spacing w:val="-6"/>
        </w:rPr>
        <w:t> </w:t>
      </w:r>
      <w:r>
        <w:rPr>
          <w:color w:val="231F20"/>
          <w:spacing w:val="-4"/>
        </w:rPr>
        <w:t>et</w:t>
      </w:r>
      <w:r>
        <w:rPr>
          <w:color w:val="231F20"/>
          <w:spacing w:val="-5"/>
        </w:rPr>
        <w:t> </w:t>
      </w:r>
      <w:r>
        <w:rPr>
          <w:color w:val="231F20"/>
          <w:spacing w:val="-4"/>
        </w:rPr>
        <w:t>de</w:t>
      </w:r>
      <w:r>
        <w:rPr>
          <w:color w:val="231F20"/>
          <w:spacing w:val="-6"/>
        </w:rPr>
        <w:t> </w:t>
      </w:r>
      <w:r>
        <w:rPr>
          <w:color w:val="231F20"/>
          <w:spacing w:val="-4"/>
        </w:rPr>
        <w:t>son</w:t>
      </w:r>
      <w:r>
        <w:rPr>
          <w:color w:val="231F20"/>
          <w:spacing w:val="-6"/>
        </w:rPr>
        <w:t> </w:t>
      </w:r>
      <w:r>
        <w:rPr>
          <w:color w:val="231F20"/>
          <w:spacing w:val="-4"/>
        </w:rPr>
        <w:t>équipe </w:t>
      </w:r>
      <w:r>
        <w:rPr>
          <w:color w:val="231F20"/>
        </w:rPr>
        <w:t>suscitent de vives inquiétudes au sein de la population qui a du mal à </w:t>
      </w:r>
      <w:r>
        <w:rPr>
          <w:color w:val="231F20"/>
          <w:spacing w:val="-4"/>
        </w:rPr>
        <w:t>distinguer</w:t>
      </w:r>
      <w:r>
        <w:rPr>
          <w:color w:val="231F20"/>
          <w:spacing w:val="-9"/>
        </w:rPr>
        <w:t> </w:t>
      </w:r>
      <w:r>
        <w:rPr>
          <w:color w:val="231F20"/>
          <w:spacing w:val="-4"/>
        </w:rPr>
        <w:t>l’homme</w:t>
      </w:r>
      <w:r>
        <w:rPr>
          <w:color w:val="231F20"/>
          <w:spacing w:val="-8"/>
        </w:rPr>
        <w:t> </w:t>
      </w:r>
      <w:r>
        <w:rPr>
          <w:color w:val="231F20"/>
          <w:spacing w:val="-4"/>
        </w:rPr>
        <w:t>d’affaires</w:t>
      </w:r>
      <w:r>
        <w:rPr>
          <w:color w:val="231F20"/>
          <w:spacing w:val="-7"/>
        </w:rPr>
        <w:t> </w:t>
      </w:r>
      <w:r>
        <w:rPr>
          <w:color w:val="231F20"/>
          <w:spacing w:val="-4"/>
        </w:rPr>
        <w:t>du</w:t>
      </w:r>
      <w:r>
        <w:rPr>
          <w:color w:val="231F20"/>
          <w:spacing w:val="-10"/>
        </w:rPr>
        <w:t> </w:t>
      </w:r>
      <w:r>
        <w:rPr>
          <w:color w:val="231F20"/>
          <w:spacing w:val="-4"/>
        </w:rPr>
        <w:t>président.</w:t>
      </w:r>
      <w:r>
        <w:rPr>
          <w:color w:val="231F20"/>
          <w:spacing w:val="-7"/>
        </w:rPr>
        <w:t> </w:t>
      </w:r>
      <w:r>
        <w:rPr>
          <w:color w:val="231F20"/>
          <w:spacing w:val="-4"/>
        </w:rPr>
        <w:t>Ses</w:t>
      </w:r>
      <w:r>
        <w:rPr>
          <w:color w:val="231F20"/>
          <w:spacing w:val="-7"/>
        </w:rPr>
        <w:t> </w:t>
      </w:r>
      <w:r>
        <w:rPr>
          <w:color w:val="231F20"/>
          <w:spacing w:val="-4"/>
        </w:rPr>
        <w:t>détracteurs</w:t>
      </w:r>
      <w:r>
        <w:rPr>
          <w:color w:val="231F20"/>
          <w:spacing w:val="-7"/>
        </w:rPr>
        <w:t> </w:t>
      </w:r>
      <w:r>
        <w:rPr>
          <w:color w:val="231F20"/>
          <w:spacing w:val="-4"/>
        </w:rPr>
        <w:t>dénoncent</w:t>
      </w:r>
      <w:r>
        <w:rPr>
          <w:color w:val="231F20"/>
          <w:spacing w:val="-9"/>
        </w:rPr>
        <w:t> </w:t>
      </w:r>
      <w:r>
        <w:rPr>
          <w:color w:val="231F20"/>
          <w:spacing w:val="-5"/>
        </w:rPr>
        <w:t>des</w:t>
      </w:r>
    </w:p>
    <w:p>
      <w:pPr>
        <w:pStyle w:val="BodyText"/>
        <w:spacing w:before="1"/>
        <w:ind w:right="105"/>
      </w:pPr>
      <w:r>
        <w:rPr>
          <w:color w:val="231F20"/>
        </w:rPr>
        <w:t>«</w:t>
      </w:r>
      <w:r>
        <w:rPr>
          <w:color w:val="231F20"/>
          <w:spacing w:val="-13"/>
        </w:rPr>
        <w:t> </w:t>
      </w:r>
      <w:r>
        <w:rPr>
          <w:color w:val="231F20"/>
        </w:rPr>
        <w:t>privatisations sauvages</w:t>
      </w:r>
      <w:r>
        <w:rPr>
          <w:color w:val="231F20"/>
          <w:spacing w:val="-15"/>
        </w:rPr>
        <w:t> </w:t>
      </w:r>
      <w:r>
        <w:rPr>
          <w:color w:val="231F20"/>
        </w:rPr>
        <w:t>» dans des secteurs clés comme le port de Cotonou et la filière coton.</w:t>
      </w:r>
    </w:p>
    <w:p>
      <w:pPr>
        <w:pStyle w:val="BodyText"/>
        <w:spacing w:before="120"/>
        <w:ind w:right="111" w:firstLine="283"/>
      </w:pPr>
      <w:r>
        <w:rPr>
          <w:color w:val="231F20"/>
          <w:spacing w:val="-2"/>
        </w:rPr>
        <w:t>Dépourvu</w:t>
      </w:r>
      <w:r>
        <w:rPr>
          <w:color w:val="231F20"/>
          <w:spacing w:val="-13"/>
        </w:rPr>
        <w:t> </w:t>
      </w:r>
      <w:r>
        <w:rPr>
          <w:color w:val="231F20"/>
          <w:spacing w:val="-2"/>
        </w:rPr>
        <w:t>de</w:t>
      </w:r>
      <w:r>
        <w:rPr>
          <w:color w:val="231F20"/>
          <w:spacing w:val="-13"/>
        </w:rPr>
        <w:t> </w:t>
      </w:r>
      <w:r>
        <w:rPr>
          <w:color w:val="231F20"/>
          <w:spacing w:val="-2"/>
        </w:rPr>
        <w:t>ressources</w:t>
      </w:r>
      <w:r>
        <w:rPr>
          <w:color w:val="231F20"/>
          <w:spacing w:val="-13"/>
        </w:rPr>
        <w:t> </w:t>
      </w:r>
      <w:r>
        <w:rPr>
          <w:color w:val="231F20"/>
          <w:spacing w:val="-2"/>
        </w:rPr>
        <w:t>minières,</w:t>
      </w:r>
      <w:r>
        <w:rPr>
          <w:color w:val="231F20"/>
          <w:spacing w:val="-13"/>
        </w:rPr>
        <w:t> </w:t>
      </w:r>
      <w:r>
        <w:rPr>
          <w:color w:val="231F20"/>
          <w:spacing w:val="-2"/>
        </w:rPr>
        <w:t>le</w:t>
      </w:r>
      <w:r>
        <w:rPr>
          <w:color w:val="231F20"/>
          <w:spacing w:val="-13"/>
        </w:rPr>
        <w:t> </w:t>
      </w:r>
      <w:r>
        <w:rPr>
          <w:color w:val="231F20"/>
          <w:spacing w:val="-2"/>
        </w:rPr>
        <w:t>Bénin</w:t>
      </w:r>
      <w:r>
        <w:rPr>
          <w:color w:val="231F20"/>
          <w:spacing w:val="-13"/>
        </w:rPr>
        <w:t> </w:t>
      </w:r>
      <w:r>
        <w:rPr>
          <w:color w:val="231F20"/>
          <w:spacing w:val="-2"/>
        </w:rPr>
        <w:t>constitue</w:t>
      </w:r>
      <w:r>
        <w:rPr>
          <w:color w:val="231F20"/>
          <w:spacing w:val="-13"/>
        </w:rPr>
        <w:t> </w:t>
      </w:r>
      <w:r>
        <w:rPr>
          <w:color w:val="231F20"/>
          <w:spacing w:val="-2"/>
        </w:rPr>
        <w:t>cependant,</w:t>
      </w:r>
      <w:r>
        <w:rPr>
          <w:color w:val="231F20"/>
          <w:spacing w:val="-13"/>
        </w:rPr>
        <w:t> </w:t>
      </w:r>
      <w:r>
        <w:rPr>
          <w:color w:val="231F20"/>
          <w:spacing w:val="-2"/>
        </w:rPr>
        <w:t>grâce </w:t>
      </w:r>
      <w:r>
        <w:rPr>
          <w:color w:val="231F20"/>
        </w:rPr>
        <w:t>au port de Cotonou, un centre de transit important pour la desserte commerciale</w:t>
      </w:r>
      <w:r>
        <w:rPr>
          <w:color w:val="231F20"/>
          <w:spacing w:val="-7"/>
        </w:rPr>
        <w:t> </w:t>
      </w:r>
      <w:r>
        <w:rPr>
          <w:color w:val="231F20"/>
        </w:rPr>
        <w:t>du</w:t>
      </w:r>
      <w:r>
        <w:rPr>
          <w:color w:val="231F20"/>
          <w:spacing w:val="-3"/>
        </w:rPr>
        <w:t> </w:t>
      </w:r>
      <w:r>
        <w:rPr>
          <w:color w:val="231F20"/>
        </w:rPr>
        <w:t>Niger,</w:t>
      </w:r>
      <w:r>
        <w:rPr>
          <w:color w:val="231F20"/>
          <w:spacing w:val="-6"/>
        </w:rPr>
        <w:t> </w:t>
      </w:r>
      <w:r>
        <w:rPr>
          <w:color w:val="231F20"/>
        </w:rPr>
        <w:t>du</w:t>
      </w:r>
      <w:r>
        <w:rPr>
          <w:color w:val="231F20"/>
          <w:spacing w:val="-6"/>
        </w:rPr>
        <w:t> </w:t>
      </w:r>
      <w:r>
        <w:rPr>
          <w:color w:val="231F20"/>
        </w:rPr>
        <w:t>Burkina</w:t>
      </w:r>
      <w:r>
        <w:rPr>
          <w:color w:val="231F20"/>
          <w:spacing w:val="-6"/>
        </w:rPr>
        <w:t> </w:t>
      </w:r>
      <w:r>
        <w:rPr>
          <w:color w:val="231F20"/>
        </w:rPr>
        <w:t>Faso,</w:t>
      </w:r>
      <w:r>
        <w:rPr>
          <w:color w:val="231F20"/>
          <w:spacing w:val="-6"/>
        </w:rPr>
        <w:t> </w:t>
      </w:r>
      <w:r>
        <w:rPr>
          <w:color w:val="231F20"/>
        </w:rPr>
        <w:t>et</w:t>
      </w:r>
      <w:r>
        <w:rPr>
          <w:color w:val="231F20"/>
          <w:spacing w:val="-6"/>
        </w:rPr>
        <w:t> </w:t>
      </w:r>
      <w:r>
        <w:rPr>
          <w:color w:val="231F20"/>
        </w:rPr>
        <w:t>surtout</w:t>
      </w:r>
      <w:r>
        <w:rPr>
          <w:color w:val="231F20"/>
          <w:spacing w:val="-6"/>
        </w:rPr>
        <w:t> </w:t>
      </w:r>
      <w:r>
        <w:rPr>
          <w:color w:val="231F20"/>
        </w:rPr>
        <w:t>du</w:t>
      </w:r>
      <w:r>
        <w:rPr>
          <w:color w:val="231F20"/>
          <w:spacing w:val="-3"/>
        </w:rPr>
        <w:t> </w:t>
      </w:r>
      <w:r>
        <w:rPr>
          <w:color w:val="231F20"/>
        </w:rPr>
        <w:t>Nigéria.</w:t>
      </w:r>
    </w:p>
    <w:p>
      <w:pPr>
        <w:pStyle w:val="BodyText"/>
        <w:spacing w:before="120"/>
        <w:ind w:right="111" w:firstLine="283"/>
      </w:pPr>
      <w:r>
        <w:rPr>
          <w:color w:val="231F20"/>
        </w:rPr>
        <w:t>Le</w:t>
      </w:r>
      <w:r>
        <w:rPr>
          <w:color w:val="231F20"/>
          <w:spacing w:val="-15"/>
        </w:rPr>
        <w:t> </w:t>
      </w:r>
      <w:r>
        <w:rPr>
          <w:color w:val="231F20"/>
        </w:rPr>
        <w:t>Bénin</w:t>
      </w:r>
      <w:r>
        <w:rPr>
          <w:color w:val="231F20"/>
          <w:spacing w:val="-15"/>
        </w:rPr>
        <w:t> </w:t>
      </w:r>
      <w:r>
        <w:rPr>
          <w:color w:val="231F20"/>
        </w:rPr>
        <w:t>est</w:t>
      </w:r>
      <w:r>
        <w:rPr>
          <w:color w:val="231F20"/>
          <w:spacing w:val="-15"/>
        </w:rPr>
        <w:t> </w:t>
      </w:r>
      <w:r>
        <w:rPr>
          <w:color w:val="231F20"/>
        </w:rPr>
        <w:t>classé</w:t>
      </w:r>
      <w:r>
        <w:rPr>
          <w:color w:val="231F20"/>
          <w:spacing w:val="-15"/>
        </w:rPr>
        <w:t> </w:t>
      </w:r>
      <w:r>
        <w:rPr>
          <w:color w:val="231F20"/>
        </w:rPr>
        <w:t>155ème</w:t>
      </w:r>
      <w:r>
        <w:rPr>
          <w:color w:val="231F20"/>
          <w:spacing w:val="-15"/>
        </w:rPr>
        <w:t> </w:t>
      </w:r>
      <w:r>
        <w:rPr>
          <w:color w:val="231F20"/>
        </w:rPr>
        <w:t>sur</w:t>
      </w:r>
      <w:r>
        <w:rPr>
          <w:color w:val="231F20"/>
          <w:spacing w:val="-15"/>
        </w:rPr>
        <w:t> </w:t>
      </w:r>
      <w:r>
        <w:rPr>
          <w:color w:val="231F20"/>
        </w:rPr>
        <w:t>189</w:t>
      </w:r>
      <w:r>
        <w:rPr>
          <w:color w:val="231F20"/>
          <w:spacing w:val="-15"/>
        </w:rPr>
        <w:t> </w:t>
      </w:r>
      <w:r>
        <w:rPr>
          <w:color w:val="231F20"/>
        </w:rPr>
        <w:t>économies</w:t>
      </w:r>
      <w:r>
        <w:rPr>
          <w:color w:val="231F20"/>
          <w:spacing w:val="-15"/>
        </w:rPr>
        <w:t> </w:t>
      </w:r>
      <w:r>
        <w:rPr>
          <w:color w:val="231F20"/>
        </w:rPr>
        <w:t>dans</w:t>
      </w:r>
      <w:r>
        <w:rPr>
          <w:color w:val="231F20"/>
          <w:spacing w:val="-15"/>
        </w:rPr>
        <w:t> </w:t>
      </w:r>
      <w:r>
        <w:rPr>
          <w:color w:val="231F20"/>
        </w:rPr>
        <w:t>le</w:t>
      </w:r>
      <w:r>
        <w:rPr>
          <w:color w:val="231F20"/>
          <w:spacing w:val="-15"/>
        </w:rPr>
        <w:t> </w:t>
      </w:r>
      <w:r>
        <w:rPr>
          <w:color w:val="231F20"/>
        </w:rPr>
        <w:t>rapport</w:t>
      </w:r>
      <w:r>
        <w:rPr>
          <w:color w:val="231F20"/>
          <w:spacing w:val="-15"/>
        </w:rPr>
        <w:t> </w:t>
      </w:r>
      <w:r>
        <w:rPr>
          <w:color w:val="231F20"/>
        </w:rPr>
        <w:t>Doing Business 2017.</w:t>
      </w:r>
    </w:p>
    <w:p>
      <w:pPr>
        <w:pStyle w:val="BodyText"/>
        <w:spacing w:before="241"/>
        <w:ind w:left="0"/>
        <w:jc w:val="left"/>
      </w:pPr>
    </w:p>
    <w:p>
      <w:pPr>
        <w:pStyle w:val="Heading3"/>
        <w:rPr>
          <w:rFonts w:ascii="Times New Roman" w:hAnsi="Times New Roman"/>
          <w:b w:val="0"/>
          <w:i w:val="0"/>
        </w:rPr>
      </w:pPr>
      <w:r>
        <w:rPr>
          <w:i/>
          <w:color w:val="231F20"/>
          <w:spacing w:val="-2"/>
        </w:rPr>
        <w:t>La</w:t>
      </w:r>
      <w:r>
        <w:rPr>
          <w:i/>
          <w:color w:val="231F20"/>
          <w:spacing w:val="-9"/>
        </w:rPr>
        <w:t> </w:t>
      </w:r>
      <w:r>
        <w:rPr>
          <w:i/>
          <w:color w:val="231F20"/>
          <w:spacing w:val="-2"/>
        </w:rPr>
        <w:t>République</w:t>
      </w:r>
      <w:r>
        <w:rPr>
          <w:i/>
          <w:color w:val="231F20"/>
          <w:spacing w:val="-10"/>
        </w:rPr>
        <w:t> </w:t>
      </w:r>
      <w:r>
        <w:rPr>
          <w:i/>
          <w:color w:val="231F20"/>
          <w:spacing w:val="-2"/>
        </w:rPr>
        <w:t>du</w:t>
      </w:r>
      <w:r>
        <w:rPr>
          <w:i/>
          <w:color w:val="231F20"/>
          <w:spacing w:val="-8"/>
        </w:rPr>
        <w:t> </w:t>
      </w:r>
      <w:r>
        <w:rPr>
          <w:i/>
          <w:color w:val="231F20"/>
          <w:spacing w:val="-2"/>
        </w:rPr>
        <w:t>Togo</w:t>
      </w:r>
      <w:r>
        <w:rPr>
          <w:rFonts w:ascii="Times New Roman" w:hAnsi="Times New Roman"/>
          <w:b w:val="0"/>
          <w:i w:val="0"/>
          <w:color w:val="231F20"/>
          <w:spacing w:val="-2"/>
          <w:vertAlign w:val="superscript"/>
        </w:rPr>
        <w:t>93</w:t>
      </w:r>
    </w:p>
    <w:p>
      <w:pPr>
        <w:pStyle w:val="BodyText"/>
        <w:spacing w:before="256"/>
        <w:ind w:right="105" w:firstLine="283"/>
      </w:pPr>
      <w:r>
        <w:rPr>
          <w:color w:val="231F20"/>
        </w:rPr>
        <w:t>«</w:t>
      </w:r>
      <w:r>
        <w:rPr>
          <w:color w:val="231F20"/>
          <w:spacing w:val="-12"/>
        </w:rPr>
        <w:t> </w:t>
      </w:r>
      <w:r>
        <w:rPr>
          <w:color w:val="231F20"/>
        </w:rPr>
        <w:t>Le</w:t>
      </w:r>
      <w:r>
        <w:rPr>
          <w:color w:val="231F20"/>
          <w:spacing w:val="-12"/>
        </w:rPr>
        <w:t> </w:t>
      </w:r>
      <w:r>
        <w:rPr>
          <w:color w:val="231F20"/>
        </w:rPr>
        <w:t>Togo</w:t>
      </w:r>
      <w:r>
        <w:rPr>
          <w:color w:val="231F20"/>
          <w:spacing w:val="-12"/>
        </w:rPr>
        <w:t> </w:t>
      </w:r>
      <w:r>
        <w:rPr>
          <w:color w:val="231F20"/>
        </w:rPr>
        <w:t>(…)</w:t>
      </w:r>
      <w:r>
        <w:rPr>
          <w:color w:val="231F20"/>
          <w:spacing w:val="-12"/>
        </w:rPr>
        <w:t> </w:t>
      </w:r>
      <w:r>
        <w:rPr>
          <w:color w:val="231F20"/>
        </w:rPr>
        <w:t>en</w:t>
      </w:r>
      <w:r>
        <w:rPr>
          <w:color w:val="231F20"/>
          <w:spacing w:val="-12"/>
        </w:rPr>
        <w:t> </w:t>
      </w:r>
      <w:r>
        <w:rPr>
          <w:color w:val="231F20"/>
        </w:rPr>
        <w:t>ce</w:t>
      </w:r>
      <w:r>
        <w:rPr>
          <w:color w:val="231F20"/>
          <w:spacing w:val="-12"/>
        </w:rPr>
        <w:t> </w:t>
      </w:r>
      <w:r>
        <w:rPr>
          <w:color w:val="231F20"/>
        </w:rPr>
        <w:t>moment</w:t>
      </w:r>
      <w:r>
        <w:rPr>
          <w:color w:val="231F20"/>
          <w:spacing w:val="-12"/>
        </w:rPr>
        <w:t> </w:t>
      </w:r>
      <w:r>
        <w:rPr>
          <w:color w:val="231F20"/>
        </w:rPr>
        <w:t>et</w:t>
      </w:r>
      <w:r>
        <w:rPr>
          <w:color w:val="231F20"/>
          <w:spacing w:val="-12"/>
        </w:rPr>
        <w:t> </w:t>
      </w:r>
      <w:r>
        <w:rPr>
          <w:color w:val="231F20"/>
        </w:rPr>
        <w:t>à</w:t>
      </w:r>
      <w:r>
        <w:rPr>
          <w:color w:val="231F20"/>
          <w:spacing w:val="-12"/>
        </w:rPr>
        <w:t> </w:t>
      </w:r>
      <w:r>
        <w:rPr>
          <w:color w:val="231F20"/>
        </w:rPr>
        <w:t>jamais,</w:t>
      </w:r>
      <w:r>
        <w:rPr>
          <w:color w:val="231F20"/>
          <w:spacing w:val="-12"/>
        </w:rPr>
        <w:t> </w:t>
      </w:r>
      <w:r>
        <w:rPr>
          <w:color w:val="231F20"/>
        </w:rPr>
        <w:t>affranchi</w:t>
      </w:r>
      <w:r>
        <w:rPr>
          <w:color w:val="231F20"/>
          <w:spacing w:val="-12"/>
        </w:rPr>
        <w:t> </w:t>
      </w:r>
      <w:r>
        <w:rPr>
          <w:color w:val="231F20"/>
        </w:rPr>
        <w:t>de</w:t>
      </w:r>
      <w:r>
        <w:rPr>
          <w:color w:val="231F20"/>
          <w:spacing w:val="-12"/>
        </w:rPr>
        <w:t> </w:t>
      </w:r>
      <w:r>
        <w:rPr>
          <w:color w:val="231F20"/>
        </w:rPr>
        <w:t>toute</w:t>
      </w:r>
      <w:r>
        <w:rPr>
          <w:color w:val="231F20"/>
          <w:spacing w:val="-12"/>
        </w:rPr>
        <w:t> </w:t>
      </w:r>
      <w:r>
        <w:rPr>
          <w:color w:val="231F20"/>
        </w:rPr>
        <w:t>sujétion, </w:t>
      </w:r>
      <w:r>
        <w:rPr>
          <w:color w:val="231F20"/>
          <w:spacing w:val="-4"/>
        </w:rPr>
        <w:t>de</w:t>
      </w:r>
      <w:r>
        <w:rPr>
          <w:color w:val="231F20"/>
          <w:spacing w:val="-11"/>
        </w:rPr>
        <w:t> </w:t>
      </w:r>
      <w:r>
        <w:rPr>
          <w:color w:val="231F20"/>
          <w:spacing w:val="-4"/>
        </w:rPr>
        <w:t>toute</w:t>
      </w:r>
      <w:r>
        <w:rPr>
          <w:color w:val="231F20"/>
          <w:spacing w:val="-11"/>
        </w:rPr>
        <w:t> </w:t>
      </w:r>
      <w:r>
        <w:rPr>
          <w:color w:val="231F20"/>
          <w:spacing w:val="-4"/>
        </w:rPr>
        <w:t>entrave,</w:t>
      </w:r>
      <w:r>
        <w:rPr>
          <w:color w:val="231F20"/>
          <w:spacing w:val="-11"/>
        </w:rPr>
        <w:t> </w:t>
      </w:r>
      <w:r>
        <w:rPr>
          <w:color w:val="231F20"/>
          <w:spacing w:val="-4"/>
        </w:rPr>
        <w:t>maître</w:t>
      </w:r>
      <w:r>
        <w:rPr>
          <w:color w:val="231F20"/>
          <w:spacing w:val="-11"/>
        </w:rPr>
        <w:t> </w:t>
      </w:r>
      <w:r>
        <w:rPr>
          <w:color w:val="231F20"/>
          <w:spacing w:val="-4"/>
        </w:rPr>
        <w:t>de</w:t>
      </w:r>
      <w:r>
        <w:rPr>
          <w:color w:val="231F20"/>
          <w:spacing w:val="-11"/>
        </w:rPr>
        <w:t> </w:t>
      </w:r>
      <w:r>
        <w:rPr>
          <w:color w:val="231F20"/>
          <w:spacing w:val="-4"/>
        </w:rPr>
        <w:t>son</w:t>
      </w:r>
      <w:r>
        <w:rPr>
          <w:color w:val="231F20"/>
          <w:spacing w:val="-11"/>
        </w:rPr>
        <w:t> </w:t>
      </w:r>
      <w:r>
        <w:rPr>
          <w:color w:val="231F20"/>
          <w:spacing w:val="-4"/>
        </w:rPr>
        <w:t>destin,</w:t>
      </w:r>
      <w:r>
        <w:rPr>
          <w:color w:val="231F20"/>
          <w:spacing w:val="-11"/>
        </w:rPr>
        <w:t> </w:t>
      </w:r>
      <w:r>
        <w:rPr>
          <w:color w:val="231F20"/>
          <w:spacing w:val="-4"/>
        </w:rPr>
        <w:t>te</w:t>
      </w:r>
      <w:r>
        <w:rPr>
          <w:color w:val="231F20"/>
          <w:spacing w:val="-11"/>
        </w:rPr>
        <w:t> </w:t>
      </w:r>
      <w:r>
        <w:rPr>
          <w:color w:val="231F20"/>
          <w:spacing w:val="-4"/>
        </w:rPr>
        <w:t>voilà</w:t>
      </w:r>
      <w:r>
        <w:rPr>
          <w:color w:val="231F20"/>
          <w:spacing w:val="-11"/>
        </w:rPr>
        <w:t> </w:t>
      </w:r>
      <w:r>
        <w:rPr>
          <w:color w:val="231F20"/>
          <w:spacing w:val="-4"/>
        </w:rPr>
        <w:t>libre</w:t>
      </w:r>
      <w:r>
        <w:rPr>
          <w:color w:val="231F20"/>
          <w:spacing w:val="-11"/>
        </w:rPr>
        <w:t> </w:t>
      </w:r>
      <w:r>
        <w:rPr>
          <w:color w:val="231F20"/>
          <w:spacing w:val="-4"/>
        </w:rPr>
        <w:t>enfin</w:t>
      </w:r>
      <w:r>
        <w:rPr>
          <w:color w:val="231F20"/>
          <w:spacing w:val="-11"/>
        </w:rPr>
        <w:t> </w:t>
      </w:r>
      <w:r>
        <w:rPr>
          <w:color w:val="231F20"/>
          <w:spacing w:val="-4"/>
        </w:rPr>
        <w:t>!</w:t>
      </w:r>
      <w:r>
        <w:rPr>
          <w:color w:val="231F20"/>
          <w:spacing w:val="-11"/>
        </w:rPr>
        <w:t> </w:t>
      </w:r>
      <w:r>
        <w:rPr>
          <w:color w:val="231F20"/>
          <w:spacing w:val="-4"/>
        </w:rPr>
        <w:t>(…)</w:t>
      </w:r>
      <w:r>
        <w:rPr>
          <w:color w:val="231F20"/>
          <w:spacing w:val="-11"/>
        </w:rPr>
        <w:t> </w:t>
      </w:r>
      <w:r>
        <w:rPr>
          <w:color w:val="231F20"/>
          <w:spacing w:val="-4"/>
        </w:rPr>
        <w:t>»</w:t>
      </w:r>
      <w:r>
        <w:rPr>
          <w:color w:val="231F20"/>
          <w:spacing w:val="-11"/>
        </w:rPr>
        <w:t> </w:t>
      </w:r>
      <w:r>
        <w:rPr>
          <w:color w:val="231F20"/>
          <w:spacing w:val="-4"/>
        </w:rPr>
        <w:t>Sylvanus </w:t>
      </w:r>
      <w:r>
        <w:rPr>
          <w:color w:val="231F20"/>
        </w:rPr>
        <w:t>Olympio, 27 avril 1960</w:t>
      </w:r>
    </w:p>
    <w:p>
      <w:pPr>
        <w:pStyle w:val="BodyText"/>
        <w:spacing w:before="120"/>
        <w:ind w:right="106" w:firstLine="283"/>
      </w:pPr>
      <w:r>
        <w:rPr>
          <w:color w:val="231F20"/>
        </w:rPr>
        <w:t>Le Togo est l’un des plus petits États africains avec 56</w:t>
      </w:r>
      <w:r>
        <w:rPr>
          <w:color w:val="231F20"/>
          <w:spacing w:val="-10"/>
        </w:rPr>
        <w:t> </w:t>
      </w:r>
      <w:r>
        <w:rPr>
          <w:color w:val="231F20"/>
        </w:rPr>
        <w:t>785 km2. </w:t>
      </w:r>
      <w:r>
        <w:rPr>
          <w:color w:val="231F20"/>
          <w:spacing w:val="-2"/>
        </w:rPr>
        <w:t>Limité</w:t>
      </w:r>
      <w:r>
        <w:rPr>
          <w:color w:val="231F20"/>
          <w:spacing w:val="-15"/>
        </w:rPr>
        <w:t> </w:t>
      </w:r>
      <w:r>
        <w:rPr>
          <w:color w:val="231F20"/>
          <w:spacing w:val="-2"/>
        </w:rPr>
        <w:t>au</w:t>
      </w:r>
      <w:r>
        <w:rPr>
          <w:color w:val="231F20"/>
          <w:spacing w:val="-13"/>
        </w:rPr>
        <w:t> </w:t>
      </w:r>
      <w:r>
        <w:rPr>
          <w:color w:val="231F20"/>
          <w:spacing w:val="-2"/>
        </w:rPr>
        <w:t>Nord</w:t>
      </w:r>
      <w:r>
        <w:rPr>
          <w:color w:val="231F20"/>
          <w:spacing w:val="-13"/>
        </w:rPr>
        <w:t> </w:t>
      </w:r>
      <w:r>
        <w:rPr>
          <w:color w:val="231F20"/>
          <w:spacing w:val="-2"/>
        </w:rPr>
        <w:t>par</w:t>
      </w:r>
      <w:r>
        <w:rPr>
          <w:color w:val="231F20"/>
          <w:spacing w:val="-13"/>
        </w:rPr>
        <w:t> </w:t>
      </w:r>
      <w:r>
        <w:rPr>
          <w:color w:val="231F20"/>
          <w:spacing w:val="-2"/>
        </w:rPr>
        <w:t>le</w:t>
      </w:r>
      <w:r>
        <w:rPr>
          <w:color w:val="231F20"/>
          <w:spacing w:val="-13"/>
        </w:rPr>
        <w:t> </w:t>
      </w:r>
      <w:r>
        <w:rPr>
          <w:color w:val="231F20"/>
          <w:spacing w:val="-2"/>
        </w:rPr>
        <w:t>Burkina</w:t>
      </w:r>
      <w:r>
        <w:rPr>
          <w:color w:val="231F20"/>
          <w:spacing w:val="-13"/>
        </w:rPr>
        <w:t> </w:t>
      </w:r>
      <w:r>
        <w:rPr>
          <w:color w:val="231F20"/>
          <w:spacing w:val="-2"/>
        </w:rPr>
        <w:t>Faso,</w:t>
      </w:r>
      <w:r>
        <w:rPr>
          <w:color w:val="231F20"/>
          <w:spacing w:val="-13"/>
        </w:rPr>
        <w:t> </w:t>
      </w:r>
      <w:r>
        <w:rPr>
          <w:color w:val="231F20"/>
          <w:spacing w:val="-2"/>
        </w:rPr>
        <w:t>au</w:t>
      </w:r>
      <w:r>
        <w:rPr>
          <w:color w:val="231F20"/>
          <w:spacing w:val="-13"/>
        </w:rPr>
        <w:t> </w:t>
      </w:r>
      <w:r>
        <w:rPr>
          <w:color w:val="231F20"/>
          <w:spacing w:val="-2"/>
        </w:rPr>
        <w:t>Sud</w:t>
      </w:r>
      <w:r>
        <w:rPr>
          <w:color w:val="231F20"/>
          <w:spacing w:val="-13"/>
        </w:rPr>
        <w:t> </w:t>
      </w:r>
      <w:r>
        <w:rPr>
          <w:color w:val="231F20"/>
          <w:spacing w:val="-2"/>
        </w:rPr>
        <w:t>par</w:t>
      </w:r>
      <w:r>
        <w:rPr>
          <w:color w:val="231F20"/>
          <w:spacing w:val="-13"/>
        </w:rPr>
        <w:t> </w:t>
      </w:r>
      <w:r>
        <w:rPr>
          <w:color w:val="231F20"/>
          <w:spacing w:val="-2"/>
        </w:rPr>
        <w:t>le</w:t>
      </w:r>
      <w:r>
        <w:rPr>
          <w:color w:val="231F20"/>
          <w:spacing w:val="-13"/>
        </w:rPr>
        <w:t> </w:t>
      </w:r>
      <w:r>
        <w:rPr>
          <w:color w:val="231F20"/>
          <w:spacing w:val="-2"/>
        </w:rPr>
        <w:t>golfe</w:t>
      </w:r>
      <w:r>
        <w:rPr>
          <w:color w:val="231F20"/>
          <w:spacing w:val="-13"/>
        </w:rPr>
        <w:t> </w:t>
      </w:r>
      <w:r>
        <w:rPr>
          <w:color w:val="231F20"/>
          <w:spacing w:val="-2"/>
        </w:rPr>
        <w:t>de</w:t>
      </w:r>
      <w:r>
        <w:rPr>
          <w:color w:val="231F20"/>
          <w:spacing w:val="-13"/>
        </w:rPr>
        <w:t> </w:t>
      </w:r>
      <w:r>
        <w:rPr>
          <w:color w:val="231F20"/>
          <w:spacing w:val="-2"/>
        </w:rPr>
        <w:t>Guinée,</w:t>
      </w:r>
      <w:r>
        <w:rPr>
          <w:color w:val="231F20"/>
          <w:spacing w:val="-13"/>
        </w:rPr>
        <w:t> </w:t>
      </w:r>
      <w:r>
        <w:rPr>
          <w:color w:val="231F20"/>
          <w:spacing w:val="-2"/>
        </w:rPr>
        <w:t>à</w:t>
      </w:r>
      <w:r>
        <w:rPr>
          <w:color w:val="231F20"/>
          <w:spacing w:val="-13"/>
        </w:rPr>
        <w:t> </w:t>
      </w:r>
      <w:r>
        <w:rPr>
          <w:color w:val="231F20"/>
          <w:spacing w:val="-2"/>
        </w:rPr>
        <w:t>l'Est </w:t>
      </w:r>
      <w:r>
        <w:rPr>
          <w:color w:val="231F20"/>
        </w:rPr>
        <w:t>par le Bénin et à l'Ouest</w:t>
      </w:r>
      <w:r>
        <w:rPr>
          <w:color w:val="231F20"/>
          <w:spacing w:val="-1"/>
        </w:rPr>
        <w:t> </w:t>
      </w:r>
      <w:r>
        <w:rPr>
          <w:color w:val="231F20"/>
        </w:rPr>
        <w:t>par le Ghana, il s’étire sur environ 700 km du Nord au</w:t>
      </w:r>
      <w:r>
        <w:rPr>
          <w:color w:val="231F20"/>
          <w:spacing w:val="-2"/>
        </w:rPr>
        <w:t> </w:t>
      </w:r>
      <w:r>
        <w:rPr>
          <w:color w:val="231F20"/>
        </w:rPr>
        <w:t>Sud avec une</w:t>
      </w:r>
      <w:r>
        <w:rPr>
          <w:color w:val="231F20"/>
          <w:spacing w:val="-2"/>
        </w:rPr>
        <w:t> </w:t>
      </w:r>
      <w:r>
        <w:rPr>
          <w:color w:val="231F20"/>
        </w:rPr>
        <w:t>largeur n’excédant</w:t>
      </w:r>
      <w:r>
        <w:rPr>
          <w:color w:val="231F20"/>
          <w:spacing w:val="-1"/>
        </w:rPr>
        <w:t> </w:t>
      </w:r>
      <w:r>
        <w:rPr>
          <w:color w:val="231F20"/>
        </w:rPr>
        <w:t>pas</w:t>
      </w:r>
      <w:r>
        <w:rPr>
          <w:color w:val="231F20"/>
          <w:spacing w:val="-2"/>
        </w:rPr>
        <w:t> </w:t>
      </w:r>
      <w:r>
        <w:rPr>
          <w:color w:val="231F20"/>
        </w:rPr>
        <w:t>100</w:t>
      </w:r>
      <w:r>
        <w:rPr>
          <w:color w:val="231F20"/>
          <w:spacing w:val="-2"/>
        </w:rPr>
        <w:t> </w:t>
      </w:r>
      <w:r>
        <w:rPr>
          <w:color w:val="231F20"/>
        </w:rPr>
        <w:t>km.</w:t>
      </w:r>
    </w:p>
    <w:p>
      <w:pPr>
        <w:pStyle w:val="BodyText"/>
        <w:spacing w:before="120"/>
        <w:ind w:right="105" w:firstLine="283"/>
      </w:pPr>
      <w:r>
        <w:rPr>
          <w:color w:val="231F20"/>
        </w:rPr>
        <w:t>De 1884 jusqu’à la fin de la Première Guerre mondiale en1918, le territoire du Togoland est une colonie Allemande. Après la défaite des </w:t>
      </w:r>
      <w:r>
        <w:rPr>
          <w:color w:val="231F20"/>
          <w:spacing w:val="-4"/>
        </w:rPr>
        <w:t>Allemands,</w:t>
      </w:r>
      <w:r>
        <w:rPr>
          <w:color w:val="231F20"/>
          <w:spacing w:val="-8"/>
        </w:rPr>
        <w:t> </w:t>
      </w:r>
      <w:r>
        <w:rPr>
          <w:color w:val="231F20"/>
          <w:spacing w:val="-4"/>
        </w:rPr>
        <w:t>le</w:t>
      </w:r>
      <w:r>
        <w:rPr>
          <w:color w:val="231F20"/>
          <w:spacing w:val="-6"/>
        </w:rPr>
        <w:t> </w:t>
      </w:r>
      <w:r>
        <w:rPr>
          <w:color w:val="231F20"/>
          <w:spacing w:val="-4"/>
        </w:rPr>
        <w:t>territoire</w:t>
      </w:r>
      <w:r>
        <w:rPr>
          <w:color w:val="231F20"/>
          <w:spacing w:val="-6"/>
        </w:rPr>
        <w:t> </w:t>
      </w:r>
      <w:r>
        <w:rPr>
          <w:color w:val="231F20"/>
          <w:spacing w:val="-4"/>
        </w:rPr>
        <w:t>est</w:t>
      </w:r>
      <w:r>
        <w:rPr>
          <w:color w:val="231F20"/>
          <w:spacing w:val="-6"/>
        </w:rPr>
        <w:t> </w:t>
      </w:r>
      <w:r>
        <w:rPr>
          <w:color w:val="231F20"/>
          <w:spacing w:val="-4"/>
        </w:rPr>
        <w:t>placé</w:t>
      </w:r>
      <w:r>
        <w:rPr>
          <w:color w:val="231F20"/>
          <w:spacing w:val="-6"/>
        </w:rPr>
        <w:t> </w:t>
      </w:r>
      <w:r>
        <w:rPr>
          <w:color w:val="231F20"/>
          <w:spacing w:val="-4"/>
        </w:rPr>
        <w:t>sous</w:t>
      </w:r>
      <w:r>
        <w:rPr>
          <w:color w:val="231F20"/>
          <w:spacing w:val="-6"/>
        </w:rPr>
        <w:t> </w:t>
      </w:r>
      <w:r>
        <w:rPr>
          <w:color w:val="231F20"/>
          <w:spacing w:val="-4"/>
        </w:rPr>
        <w:t>Mandat</w:t>
      </w:r>
      <w:r>
        <w:rPr>
          <w:color w:val="231F20"/>
          <w:spacing w:val="-7"/>
        </w:rPr>
        <w:t> </w:t>
      </w:r>
      <w:r>
        <w:rPr>
          <w:color w:val="231F20"/>
          <w:spacing w:val="-4"/>
        </w:rPr>
        <w:t>internationale</w:t>
      </w:r>
      <w:r>
        <w:rPr>
          <w:color w:val="231F20"/>
          <w:spacing w:val="-6"/>
        </w:rPr>
        <w:t> </w:t>
      </w:r>
      <w:r>
        <w:rPr>
          <w:color w:val="231F20"/>
          <w:spacing w:val="-4"/>
        </w:rPr>
        <w:t>et</w:t>
      </w:r>
      <w:r>
        <w:rPr>
          <w:color w:val="231F20"/>
          <w:spacing w:val="-5"/>
        </w:rPr>
        <w:t> </w:t>
      </w:r>
      <w:r>
        <w:rPr>
          <w:color w:val="231F20"/>
          <w:spacing w:val="-4"/>
        </w:rPr>
        <w:t>administré par</w:t>
      </w:r>
      <w:r>
        <w:rPr>
          <w:color w:val="231F20"/>
          <w:spacing w:val="-5"/>
        </w:rPr>
        <w:t> </w:t>
      </w:r>
      <w:r>
        <w:rPr>
          <w:color w:val="231F20"/>
          <w:spacing w:val="-4"/>
        </w:rPr>
        <w:t>la</w:t>
      </w:r>
      <w:r>
        <w:rPr>
          <w:color w:val="231F20"/>
          <w:spacing w:val="-5"/>
        </w:rPr>
        <w:t> </w:t>
      </w:r>
      <w:r>
        <w:rPr>
          <w:color w:val="231F20"/>
          <w:spacing w:val="-4"/>
        </w:rPr>
        <w:t>France</w:t>
      </w:r>
      <w:r>
        <w:rPr>
          <w:color w:val="231F20"/>
          <w:spacing w:val="-5"/>
        </w:rPr>
        <w:t> </w:t>
      </w:r>
      <w:r>
        <w:rPr>
          <w:color w:val="231F20"/>
          <w:spacing w:val="-4"/>
        </w:rPr>
        <w:t>et</w:t>
      </w:r>
      <w:r>
        <w:rPr>
          <w:color w:val="231F20"/>
          <w:spacing w:val="-6"/>
        </w:rPr>
        <w:t> </w:t>
      </w:r>
      <w:r>
        <w:rPr>
          <w:color w:val="231F20"/>
          <w:spacing w:val="-4"/>
        </w:rPr>
        <w:t>le</w:t>
      </w:r>
      <w:r>
        <w:rPr>
          <w:color w:val="231F20"/>
          <w:spacing w:val="-5"/>
        </w:rPr>
        <w:t> </w:t>
      </w:r>
      <w:r>
        <w:rPr>
          <w:color w:val="231F20"/>
          <w:spacing w:val="-4"/>
        </w:rPr>
        <w:t>Royaume-Uni.</w:t>
      </w:r>
      <w:r>
        <w:rPr>
          <w:color w:val="231F20"/>
          <w:spacing w:val="-6"/>
        </w:rPr>
        <w:t> </w:t>
      </w:r>
      <w:r>
        <w:rPr>
          <w:color w:val="231F20"/>
          <w:spacing w:val="-4"/>
        </w:rPr>
        <w:t>Les</w:t>
      </w:r>
      <w:r>
        <w:rPr>
          <w:color w:val="231F20"/>
          <w:spacing w:val="-6"/>
        </w:rPr>
        <w:t> </w:t>
      </w:r>
      <w:r>
        <w:rPr>
          <w:color w:val="231F20"/>
          <w:spacing w:val="-4"/>
        </w:rPr>
        <w:t>Français</w:t>
      </w:r>
      <w:r>
        <w:rPr>
          <w:color w:val="231F20"/>
          <w:spacing w:val="-7"/>
        </w:rPr>
        <w:t> </w:t>
      </w:r>
      <w:r>
        <w:rPr>
          <w:color w:val="231F20"/>
          <w:spacing w:val="-4"/>
        </w:rPr>
        <w:t>occupent</w:t>
      </w:r>
      <w:r>
        <w:rPr>
          <w:color w:val="231F20"/>
          <w:spacing w:val="-5"/>
        </w:rPr>
        <w:t> </w:t>
      </w:r>
      <w:r>
        <w:rPr>
          <w:color w:val="231F20"/>
          <w:spacing w:val="-4"/>
        </w:rPr>
        <w:t>la</w:t>
      </w:r>
      <w:r>
        <w:rPr>
          <w:color w:val="231F20"/>
          <w:spacing w:val="-7"/>
        </w:rPr>
        <w:t> </w:t>
      </w:r>
      <w:r>
        <w:rPr>
          <w:color w:val="231F20"/>
          <w:spacing w:val="-4"/>
        </w:rPr>
        <w:t>majeure</w:t>
      </w:r>
      <w:r>
        <w:rPr>
          <w:color w:val="231F20"/>
          <w:spacing w:val="-7"/>
        </w:rPr>
        <w:t> </w:t>
      </w:r>
      <w:r>
        <w:rPr>
          <w:color w:val="231F20"/>
          <w:spacing w:val="-4"/>
        </w:rPr>
        <w:t>partie du</w:t>
      </w:r>
      <w:r>
        <w:rPr>
          <w:color w:val="231F20"/>
          <w:spacing w:val="-11"/>
        </w:rPr>
        <w:t> </w:t>
      </w:r>
      <w:r>
        <w:rPr>
          <w:color w:val="231F20"/>
          <w:spacing w:val="-4"/>
        </w:rPr>
        <w:t>pays,</w:t>
      </w:r>
      <w:r>
        <w:rPr>
          <w:color w:val="231F20"/>
          <w:spacing w:val="-11"/>
        </w:rPr>
        <w:t> </w:t>
      </w:r>
      <w:r>
        <w:rPr>
          <w:color w:val="231F20"/>
          <w:spacing w:val="-4"/>
        </w:rPr>
        <w:t>qui</w:t>
      </w:r>
      <w:r>
        <w:rPr>
          <w:color w:val="231F20"/>
          <w:spacing w:val="-11"/>
        </w:rPr>
        <w:t> </w:t>
      </w:r>
      <w:r>
        <w:rPr>
          <w:color w:val="231F20"/>
          <w:spacing w:val="-4"/>
        </w:rPr>
        <w:t>devient</w:t>
      </w:r>
      <w:r>
        <w:rPr>
          <w:color w:val="231F20"/>
          <w:spacing w:val="-11"/>
        </w:rPr>
        <w:t> </w:t>
      </w:r>
      <w:r>
        <w:rPr>
          <w:color w:val="231F20"/>
          <w:spacing w:val="-4"/>
        </w:rPr>
        <w:t>le</w:t>
      </w:r>
      <w:r>
        <w:rPr>
          <w:color w:val="231F20"/>
          <w:spacing w:val="-11"/>
        </w:rPr>
        <w:t> </w:t>
      </w:r>
      <w:r>
        <w:rPr>
          <w:color w:val="231F20"/>
          <w:spacing w:val="-4"/>
        </w:rPr>
        <w:t>Togo</w:t>
      </w:r>
      <w:r>
        <w:rPr>
          <w:color w:val="231F20"/>
          <w:spacing w:val="-11"/>
        </w:rPr>
        <w:t> </w:t>
      </w:r>
      <w:r>
        <w:rPr>
          <w:color w:val="231F20"/>
          <w:spacing w:val="-4"/>
        </w:rPr>
        <w:t>français</w:t>
      </w:r>
      <w:r>
        <w:rPr>
          <w:color w:val="231F20"/>
          <w:spacing w:val="-11"/>
        </w:rPr>
        <w:t> </w:t>
      </w:r>
      <w:r>
        <w:rPr>
          <w:color w:val="231F20"/>
          <w:spacing w:val="-4"/>
        </w:rPr>
        <w:t>ou</w:t>
      </w:r>
      <w:r>
        <w:rPr>
          <w:color w:val="231F20"/>
          <w:spacing w:val="-11"/>
        </w:rPr>
        <w:t> </w:t>
      </w:r>
      <w:r>
        <w:rPr>
          <w:color w:val="231F20"/>
          <w:spacing w:val="-4"/>
        </w:rPr>
        <w:t>Togoland</w:t>
      </w:r>
      <w:r>
        <w:rPr>
          <w:color w:val="231F20"/>
          <w:spacing w:val="-11"/>
        </w:rPr>
        <w:t> </w:t>
      </w:r>
      <w:r>
        <w:rPr>
          <w:color w:val="231F20"/>
          <w:spacing w:val="-4"/>
        </w:rPr>
        <w:t>oriental,</w:t>
      </w:r>
      <w:r>
        <w:rPr>
          <w:color w:val="231F20"/>
          <w:spacing w:val="-11"/>
        </w:rPr>
        <w:t> </w:t>
      </w:r>
      <w:r>
        <w:rPr>
          <w:color w:val="231F20"/>
          <w:spacing w:val="-4"/>
        </w:rPr>
        <w:t>et</w:t>
      </w:r>
      <w:r>
        <w:rPr>
          <w:color w:val="231F20"/>
          <w:spacing w:val="-11"/>
        </w:rPr>
        <w:t> </w:t>
      </w:r>
      <w:r>
        <w:rPr>
          <w:color w:val="231F20"/>
          <w:spacing w:val="-4"/>
        </w:rPr>
        <w:t>qui</w:t>
      </w:r>
      <w:r>
        <w:rPr>
          <w:color w:val="231F20"/>
          <w:spacing w:val="-11"/>
        </w:rPr>
        <w:t> </w:t>
      </w:r>
      <w:r>
        <w:rPr>
          <w:color w:val="231F20"/>
          <w:spacing w:val="-4"/>
        </w:rPr>
        <w:t>équivaut </w:t>
      </w:r>
      <w:r>
        <w:rPr>
          <w:color w:val="231F20"/>
        </w:rPr>
        <w:t>au Togo actuel, tandis que les britanniques, la partie Ouest du pays appelée British Togoland. La partie française est rattachée à l'AOF, la partie</w:t>
      </w:r>
      <w:r>
        <w:rPr>
          <w:color w:val="231F20"/>
          <w:spacing w:val="-6"/>
        </w:rPr>
        <w:t> </w:t>
      </w:r>
      <w:r>
        <w:rPr>
          <w:color w:val="231F20"/>
        </w:rPr>
        <w:t>britannique</w:t>
      </w:r>
      <w:r>
        <w:rPr>
          <w:color w:val="231F20"/>
          <w:spacing w:val="-6"/>
        </w:rPr>
        <w:t> </w:t>
      </w:r>
      <w:r>
        <w:rPr>
          <w:color w:val="231F20"/>
        </w:rPr>
        <w:t>devient</w:t>
      </w:r>
      <w:r>
        <w:rPr>
          <w:color w:val="231F20"/>
          <w:spacing w:val="-9"/>
        </w:rPr>
        <w:t> </w:t>
      </w:r>
      <w:r>
        <w:rPr>
          <w:color w:val="231F20"/>
        </w:rPr>
        <w:t>une</w:t>
      </w:r>
      <w:r>
        <w:rPr>
          <w:color w:val="231F20"/>
          <w:spacing w:val="-7"/>
        </w:rPr>
        <w:t> </w:t>
      </w:r>
      <w:r>
        <w:rPr>
          <w:color w:val="231F20"/>
        </w:rPr>
        <w:t>province</w:t>
      </w:r>
      <w:r>
        <w:rPr>
          <w:color w:val="231F20"/>
          <w:spacing w:val="-7"/>
        </w:rPr>
        <w:t> </w:t>
      </w:r>
      <w:r>
        <w:rPr>
          <w:color w:val="231F20"/>
        </w:rPr>
        <w:t>de</w:t>
      </w:r>
      <w:r>
        <w:rPr>
          <w:color w:val="231F20"/>
          <w:spacing w:val="-9"/>
        </w:rPr>
        <w:t> </w:t>
      </w:r>
      <w:r>
        <w:rPr>
          <w:color w:val="231F20"/>
        </w:rPr>
        <w:t>la</w:t>
      </w:r>
      <w:r>
        <w:rPr>
          <w:color w:val="231F20"/>
          <w:spacing w:val="-7"/>
        </w:rPr>
        <w:t> </w:t>
      </w:r>
      <w:r>
        <w:rPr>
          <w:color w:val="231F20"/>
        </w:rPr>
        <w:t>Côte</w:t>
      </w:r>
      <w:r>
        <w:rPr>
          <w:color w:val="231F20"/>
          <w:spacing w:val="-7"/>
        </w:rPr>
        <w:t> </w:t>
      </w:r>
      <w:r>
        <w:rPr>
          <w:color w:val="231F20"/>
        </w:rPr>
        <w:t>de</w:t>
      </w:r>
      <w:r>
        <w:rPr>
          <w:color w:val="231F20"/>
          <w:spacing w:val="-7"/>
        </w:rPr>
        <w:t> </w:t>
      </w:r>
      <w:r>
        <w:rPr>
          <w:color w:val="231F20"/>
        </w:rPr>
        <w:t>l'Or(Ghana).</w:t>
      </w:r>
    </w:p>
    <w:p>
      <w:pPr>
        <w:pStyle w:val="BodyText"/>
        <w:ind w:left="0"/>
        <w:jc w:val="left"/>
        <w:rPr>
          <w:sz w:val="20"/>
        </w:rPr>
      </w:pPr>
    </w:p>
    <w:p>
      <w:pPr>
        <w:pStyle w:val="BodyText"/>
        <w:spacing w:before="139"/>
        <w:ind w:left="0"/>
        <w:jc w:val="left"/>
        <w:rPr>
          <w:sz w:val="20"/>
        </w:rPr>
      </w:pPr>
      <w:r>
        <w:rPr/>
        <mc:AlternateContent>
          <mc:Choice Requires="wps">
            <w:drawing>
              <wp:anchor distT="0" distB="0" distL="0" distR="0" allowOverlap="1" layoutInCell="1" locked="0" behindDoc="1" simplePos="0" relativeHeight="487618048">
                <wp:simplePos x="0" y="0"/>
                <wp:positionH relativeFrom="page">
                  <wp:posOffset>629907</wp:posOffset>
                </wp:positionH>
                <wp:positionV relativeFrom="paragraph">
                  <wp:posOffset>249746</wp:posOffset>
                </wp:positionV>
                <wp:extent cx="1829435" cy="9525"/>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665117pt;width:144.020pt;height:.72pt;mso-position-horizontal-relative:page;mso-position-vertical-relative:paragraph;z-index:-15698432;mso-wrap-distance-left:0;mso-wrap-distance-right:0" id="docshape76"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93</w:t>
      </w:r>
      <w:r>
        <w:rPr>
          <w:color w:val="76787A"/>
          <w:spacing w:val="2"/>
          <w:sz w:val="20"/>
          <w:vertAlign w:val="baseline"/>
        </w:rPr>
        <w:t> </w:t>
      </w:r>
      <w:r>
        <w:rPr>
          <w:color w:val="231F20"/>
          <w:spacing w:val="-4"/>
          <w:sz w:val="20"/>
          <w:vertAlign w:val="baseline"/>
        </w:rPr>
        <w:t>Source</w:t>
      </w:r>
      <w:r>
        <w:rPr>
          <w:color w:val="231F20"/>
          <w:spacing w:val="-2"/>
          <w:sz w:val="20"/>
          <w:vertAlign w:val="baseline"/>
        </w:rPr>
        <w:t> </w:t>
      </w:r>
      <w:r>
        <w:rPr>
          <w:color w:val="231F20"/>
          <w:spacing w:val="-4"/>
          <w:sz w:val="20"/>
          <w:vertAlign w:val="baseline"/>
        </w:rPr>
        <w:t>Wikipédia</w:t>
      </w:r>
      <w:r>
        <w:rPr>
          <w:color w:val="231F20"/>
          <w:spacing w:val="-2"/>
          <w:sz w:val="20"/>
          <w:vertAlign w:val="baseline"/>
        </w:rPr>
        <w:t> </w:t>
      </w:r>
      <w:r>
        <w:rPr>
          <w:color w:val="231F20"/>
          <w:spacing w:val="-10"/>
          <w:sz w:val="20"/>
          <w:vertAlign w:val="baseline"/>
        </w:rPr>
        <w:t>;</w:t>
      </w:r>
    </w:p>
    <w:p>
      <w:pPr>
        <w:spacing w:after="0"/>
        <w:jc w:val="left"/>
        <w:rPr>
          <w:sz w:val="20"/>
        </w:rPr>
        <w:sectPr>
          <w:pgSz w:w="8790" w:h="13610"/>
          <w:pgMar w:header="0" w:footer="802" w:top="1060" w:bottom="1000" w:left="880" w:right="880"/>
        </w:sectPr>
      </w:pPr>
    </w:p>
    <w:p>
      <w:pPr>
        <w:pStyle w:val="BodyText"/>
        <w:spacing w:before="66"/>
        <w:ind w:right="107" w:firstLine="283"/>
      </w:pPr>
      <w:r>
        <w:rPr>
          <w:color w:val="231F20"/>
        </w:rPr>
        <w:t>En 1956, le Togo britannique opte, lors d'un référendum d'autodétermination,</w:t>
      </w:r>
      <w:r>
        <w:rPr>
          <w:color w:val="231F20"/>
          <w:spacing w:val="-7"/>
        </w:rPr>
        <w:t> </w:t>
      </w:r>
      <w:r>
        <w:rPr>
          <w:color w:val="231F20"/>
        </w:rPr>
        <w:t>pour</w:t>
      </w:r>
      <w:r>
        <w:rPr>
          <w:color w:val="231F20"/>
          <w:spacing w:val="-8"/>
        </w:rPr>
        <w:t> </w:t>
      </w:r>
      <w:r>
        <w:rPr>
          <w:color w:val="231F20"/>
        </w:rPr>
        <w:t>son</w:t>
      </w:r>
      <w:r>
        <w:rPr>
          <w:color w:val="231F20"/>
          <w:spacing w:val="-7"/>
        </w:rPr>
        <w:t> </w:t>
      </w:r>
      <w:r>
        <w:rPr>
          <w:color w:val="231F20"/>
        </w:rPr>
        <w:t>intégration</w:t>
      </w:r>
      <w:r>
        <w:rPr>
          <w:color w:val="231F20"/>
          <w:spacing w:val="-6"/>
        </w:rPr>
        <w:t> </w:t>
      </w:r>
      <w:r>
        <w:rPr>
          <w:color w:val="231F20"/>
        </w:rPr>
        <w:t>au</w:t>
      </w:r>
      <w:r>
        <w:rPr>
          <w:color w:val="231F20"/>
          <w:spacing w:val="-6"/>
        </w:rPr>
        <w:t> </w:t>
      </w:r>
      <w:r>
        <w:rPr>
          <w:color w:val="231F20"/>
        </w:rPr>
        <w:t>Ghana,</w:t>
      </w:r>
      <w:r>
        <w:rPr>
          <w:color w:val="231F20"/>
          <w:spacing w:val="-6"/>
        </w:rPr>
        <w:t> </w:t>
      </w:r>
      <w:r>
        <w:rPr>
          <w:color w:val="231F20"/>
        </w:rPr>
        <w:t>l'ancienne</w:t>
      </w:r>
      <w:r>
        <w:rPr>
          <w:color w:val="231F20"/>
          <w:spacing w:val="-6"/>
        </w:rPr>
        <w:t> </w:t>
      </w:r>
      <w:r>
        <w:rPr>
          <w:color w:val="231F20"/>
        </w:rPr>
        <w:t>Côte</w:t>
      </w:r>
      <w:r>
        <w:rPr>
          <w:color w:val="231F20"/>
          <w:spacing w:val="-6"/>
        </w:rPr>
        <w:t> </w:t>
      </w:r>
      <w:r>
        <w:rPr>
          <w:color w:val="231F20"/>
        </w:rPr>
        <w:t>de </w:t>
      </w:r>
      <w:r>
        <w:rPr>
          <w:color w:val="231F20"/>
          <w:spacing w:val="-4"/>
        </w:rPr>
        <w:t>l'Or.</w:t>
      </w:r>
      <w:r>
        <w:rPr>
          <w:color w:val="231F20"/>
          <w:spacing w:val="-11"/>
        </w:rPr>
        <w:t> </w:t>
      </w:r>
      <w:r>
        <w:rPr>
          <w:color w:val="231F20"/>
          <w:spacing w:val="-4"/>
        </w:rPr>
        <w:t>Ce</w:t>
      </w:r>
      <w:r>
        <w:rPr>
          <w:color w:val="231F20"/>
          <w:spacing w:val="-11"/>
        </w:rPr>
        <w:t> </w:t>
      </w:r>
      <w:r>
        <w:rPr>
          <w:color w:val="231F20"/>
          <w:spacing w:val="-4"/>
        </w:rPr>
        <w:t>rattachement</w:t>
      </w:r>
      <w:r>
        <w:rPr>
          <w:color w:val="231F20"/>
          <w:spacing w:val="-11"/>
        </w:rPr>
        <w:t> </w:t>
      </w:r>
      <w:r>
        <w:rPr>
          <w:color w:val="231F20"/>
          <w:spacing w:val="-4"/>
        </w:rPr>
        <w:t>est</w:t>
      </w:r>
      <w:r>
        <w:rPr>
          <w:color w:val="231F20"/>
          <w:spacing w:val="-11"/>
        </w:rPr>
        <w:t> </w:t>
      </w:r>
      <w:r>
        <w:rPr>
          <w:color w:val="231F20"/>
          <w:spacing w:val="-4"/>
        </w:rPr>
        <w:t>entériné</w:t>
      </w:r>
      <w:r>
        <w:rPr>
          <w:color w:val="231F20"/>
          <w:spacing w:val="-11"/>
        </w:rPr>
        <w:t> </w:t>
      </w:r>
      <w:r>
        <w:rPr>
          <w:color w:val="231F20"/>
          <w:spacing w:val="-4"/>
        </w:rPr>
        <w:t>par</w:t>
      </w:r>
      <w:r>
        <w:rPr>
          <w:color w:val="231F20"/>
          <w:spacing w:val="-11"/>
        </w:rPr>
        <w:t> </w:t>
      </w:r>
      <w:r>
        <w:rPr>
          <w:color w:val="231F20"/>
          <w:spacing w:val="-4"/>
        </w:rPr>
        <w:t>l'ONU</w:t>
      </w:r>
      <w:r>
        <w:rPr>
          <w:color w:val="231F20"/>
          <w:spacing w:val="-11"/>
        </w:rPr>
        <w:t> </w:t>
      </w:r>
      <w:r>
        <w:rPr>
          <w:color w:val="231F20"/>
          <w:spacing w:val="-4"/>
        </w:rPr>
        <w:t>en</w:t>
      </w:r>
      <w:r>
        <w:rPr>
          <w:color w:val="231F20"/>
          <w:spacing w:val="-11"/>
        </w:rPr>
        <w:t> </w:t>
      </w:r>
      <w:r>
        <w:rPr>
          <w:color w:val="231F20"/>
          <w:spacing w:val="-4"/>
        </w:rPr>
        <w:t>1958</w:t>
      </w:r>
      <w:r>
        <w:rPr>
          <w:color w:val="231F20"/>
          <w:spacing w:val="-11"/>
        </w:rPr>
        <w:t> </w:t>
      </w:r>
      <w:r>
        <w:rPr>
          <w:color w:val="231F20"/>
          <w:spacing w:val="-4"/>
        </w:rPr>
        <w:t>au</w:t>
      </w:r>
      <w:r>
        <w:rPr>
          <w:color w:val="231F20"/>
          <w:spacing w:val="-11"/>
        </w:rPr>
        <w:t> </w:t>
      </w:r>
      <w:r>
        <w:rPr>
          <w:color w:val="231F20"/>
          <w:spacing w:val="-4"/>
        </w:rPr>
        <w:t>prix</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division </w:t>
      </w:r>
      <w:r>
        <w:rPr>
          <w:color w:val="231F20"/>
        </w:rPr>
        <w:t>de certaines ethnies,</w:t>
      </w:r>
      <w:r>
        <w:rPr>
          <w:color w:val="231F20"/>
          <w:spacing w:val="-2"/>
        </w:rPr>
        <w:t> </w:t>
      </w:r>
      <w:r>
        <w:rPr>
          <w:color w:val="231F20"/>
        </w:rPr>
        <w:t>voire</w:t>
      </w:r>
      <w:r>
        <w:rPr>
          <w:color w:val="231F20"/>
          <w:spacing w:val="-4"/>
        </w:rPr>
        <w:t> </w:t>
      </w:r>
      <w:r>
        <w:rPr>
          <w:color w:val="231F20"/>
        </w:rPr>
        <w:t>de certaines</w:t>
      </w:r>
      <w:r>
        <w:rPr>
          <w:color w:val="231F20"/>
          <w:spacing w:val="-2"/>
        </w:rPr>
        <w:t> </w:t>
      </w:r>
      <w:r>
        <w:rPr>
          <w:color w:val="231F20"/>
        </w:rPr>
        <w:t>familles.</w:t>
      </w:r>
    </w:p>
    <w:p>
      <w:pPr>
        <w:pStyle w:val="BodyText"/>
        <w:spacing w:before="120"/>
        <w:ind w:right="104" w:firstLine="283"/>
      </w:pPr>
      <w:r>
        <w:rPr>
          <w:color w:val="231F20"/>
          <w:spacing w:val="-4"/>
        </w:rPr>
        <w:t>En</w:t>
      </w:r>
      <w:r>
        <w:rPr>
          <w:color w:val="231F20"/>
          <w:spacing w:val="-6"/>
        </w:rPr>
        <w:t> </w:t>
      </w:r>
      <w:r>
        <w:rPr>
          <w:color w:val="231F20"/>
          <w:spacing w:val="-4"/>
        </w:rPr>
        <w:t>avril</w:t>
      </w:r>
      <w:r>
        <w:rPr>
          <w:color w:val="231F20"/>
          <w:spacing w:val="-5"/>
        </w:rPr>
        <w:t> </w:t>
      </w:r>
      <w:r>
        <w:rPr>
          <w:color w:val="231F20"/>
          <w:spacing w:val="-4"/>
        </w:rPr>
        <w:t>1960,</w:t>
      </w:r>
      <w:r>
        <w:rPr>
          <w:color w:val="231F20"/>
          <w:spacing w:val="-8"/>
        </w:rPr>
        <w:t> </w:t>
      </w:r>
      <w:r>
        <w:rPr>
          <w:color w:val="231F20"/>
          <w:spacing w:val="-4"/>
        </w:rPr>
        <w:t>quand</w:t>
      </w:r>
      <w:r>
        <w:rPr>
          <w:color w:val="231F20"/>
          <w:spacing w:val="-8"/>
        </w:rPr>
        <w:t> </w:t>
      </w:r>
      <w:r>
        <w:rPr>
          <w:color w:val="231F20"/>
          <w:spacing w:val="-4"/>
        </w:rPr>
        <w:t>le</w:t>
      </w:r>
      <w:r>
        <w:rPr>
          <w:color w:val="231F20"/>
          <w:spacing w:val="-8"/>
        </w:rPr>
        <w:t> </w:t>
      </w:r>
      <w:r>
        <w:rPr>
          <w:color w:val="231F20"/>
          <w:spacing w:val="-4"/>
        </w:rPr>
        <w:t>Togo</w:t>
      </w:r>
      <w:r>
        <w:rPr>
          <w:color w:val="231F20"/>
          <w:spacing w:val="-6"/>
        </w:rPr>
        <w:t> </w:t>
      </w:r>
      <w:r>
        <w:rPr>
          <w:color w:val="231F20"/>
          <w:spacing w:val="-4"/>
        </w:rPr>
        <w:t>devient</w:t>
      </w:r>
      <w:r>
        <w:rPr>
          <w:color w:val="231F20"/>
          <w:spacing w:val="-7"/>
        </w:rPr>
        <w:t> </w:t>
      </w:r>
      <w:r>
        <w:rPr>
          <w:color w:val="231F20"/>
          <w:spacing w:val="-4"/>
        </w:rPr>
        <w:t>indépendant,</w:t>
      </w:r>
      <w:r>
        <w:rPr>
          <w:color w:val="231F20"/>
          <w:spacing w:val="-8"/>
        </w:rPr>
        <w:t> </w:t>
      </w:r>
      <w:r>
        <w:rPr>
          <w:color w:val="231F20"/>
          <w:spacing w:val="-4"/>
        </w:rPr>
        <w:t>Sylvanus</w:t>
      </w:r>
      <w:r>
        <w:rPr>
          <w:color w:val="231F20"/>
          <w:spacing w:val="-8"/>
        </w:rPr>
        <w:t> </w:t>
      </w:r>
      <w:r>
        <w:rPr>
          <w:color w:val="231F20"/>
          <w:spacing w:val="-4"/>
        </w:rPr>
        <w:t>Olympio, </w:t>
      </w:r>
      <w:r>
        <w:rPr>
          <w:color w:val="231F20"/>
        </w:rPr>
        <w:t>le</w:t>
      </w:r>
      <w:r>
        <w:rPr>
          <w:color w:val="231F20"/>
          <w:spacing w:val="-6"/>
        </w:rPr>
        <w:t> </w:t>
      </w:r>
      <w:r>
        <w:rPr>
          <w:color w:val="231F20"/>
        </w:rPr>
        <w:t>Président</w:t>
      </w:r>
      <w:r>
        <w:rPr>
          <w:color w:val="231F20"/>
          <w:spacing w:val="-5"/>
        </w:rPr>
        <w:t> </w:t>
      </w:r>
      <w:r>
        <w:rPr>
          <w:color w:val="231F20"/>
        </w:rPr>
        <w:t>élu</w:t>
      </w:r>
      <w:r>
        <w:rPr>
          <w:color w:val="231F20"/>
          <w:spacing w:val="-6"/>
        </w:rPr>
        <w:t> </w:t>
      </w:r>
      <w:r>
        <w:rPr>
          <w:color w:val="231F20"/>
        </w:rPr>
        <w:t>est</w:t>
      </w:r>
      <w:r>
        <w:rPr>
          <w:color w:val="231F20"/>
          <w:spacing w:val="-6"/>
        </w:rPr>
        <w:t> </w:t>
      </w:r>
      <w:r>
        <w:rPr>
          <w:color w:val="231F20"/>
        </w:rPr>
        <w:t>certainement</w:t>
      </w:r>
      <w:r>
        <w:rPr>
          <w:color w:val="231F20"/>
          <w:spacing w:val="-7"/>
        </w:rPr>
        <w:t> </w:t>
      </w:r>
      <w:r>
        <w:rPr>
          <w:color w:val="231F20"/>
        </w:rPr>
        <w:t>l’un</w:t>
      </w:r>
      <w:r>
        <w:rPr>
          <w:color w:val="231F20"/>
          <w:spacing w:val="-7"/>
        </w:rPr>
        <w:t> </w:t>
      </w:r>
      <w:r>
        <w:rPr>
          <w:color w:val="231F20"/>
        </w:rPr>
        <w:t>des</w:t>
      </w:r>
      <w:r>
        <w:rPr>
          <w:color w:val="231F20"/>
          <w:spacing w:val="-6"/>
        </w:rPr>
        <w:t> </w:t>
      </w:r>
      <w:r>
        <w:rPr>
          <w:color w:val="231F20"/>
        </w:rPr>
        <w:t>rares</w:t>
      </w:r>
      <w:r>
        <w:rPr>
          <w:color w:val="231F20"/>
          <w:spacing w:val="-7"/>
        </w:rPr>
        <w:t> </w:t>
      </w:r>
      <w:r>
        <w:rPr>
          <w:color w:val="231F20"/>
        </w:rPr>
        <w:t>cadres</w:t>
      </w:r>
      <w:r>
        <w:rPr>
          <w:color w:val="231F20"/>
          <w:spacing w:val="-6"/>
        </w:rPr>
        <w:t> </w:t>
      </w:r>
      <w:r>
        <w:rPr>
          <w:color w:val="231F20"/>
        </w:rPr>
        <w:t>en</w:t>
      </w:r>
      <w:r>
        <w:rPr>
          <w:color w:val="231F20"/>
          <w:spacing w:val="-6"/>
        </w:rPr>
        <w:t> </w:t>
      </w:r>
      <w:r>
        <w:rPr>
          <w:color w:val="231F20"/>
        </w:rPr>
        <w:t>Afrique</w:t>
      </w:r>
      <w:r>
        <w:rPr>
          <w:color w:val="231F20"/>
          <w:spacing w:val="-7"/>
        </w:rPr>
        <w:t> </w:t>
      </w:r>
      <w:r>
        <w:rPr>
          <w:color w:val="231F20"/>
        </w:rPr>
        <w:t>noire, </w:t>
      </w:r>
      <w:r>
        <w:rPr>
          <w:color w:val="231F20"/>
          <w:spacing w:val="-4"/>
        </w:rPr>
        <w:t>diplômé</w:t>
      </w:r>
      <w:r>
        <w:rPr>
          <w:color w:val="231F20"/>
          <w:spacing w:val="-7"/>
        </w:rPr>
        <w:t> </w:t>
      </w:r>
      <w:r>
        <w:rPr>
          <w:color w:val="231F20"/>
          <w:spacing w:val="-4"/>
        </w:rPr>
        <w:t>des</w:t>
      </w:r>
      <w:r>
        <w:rPr>
          <w:color w:val="231F20"/>
          <w:spacing w:val="-9"/>
        </w:rPr>
        <w:t> </w:t>
      </w:r>
      <w:r>
        <w:rPr>
          <w:color w:val="231F20"/>
          <w:spacing w:val="-4"/>
        </w:rPr>
        <w:t>grandes</w:t>
      </w:r>
      <w:r>
        <w:rPr>
          <w:color w:val="231F20"/>
          <w:spacing w:val="-7"/>
        </w:rPr>
        <w:t> </w:t>
      </w:r>
      <w:r>
        <w:rPr>
          <w:color w:val="231F20"/>
          <w:spacing w:val="-4"/>
        </w:rPr>
        <w:t>universités</w:t>
      </w:r>
      <w:r>
        <w:rPr>
          <w:color w:val="231F20"/>
          <w:spacing w:val="-7"/>
        </w:rPr>
        <w:t> </w:t>
      </w:r>
      <w:r>
        <w:rPr>
          <w:color w:val="231F20"/>
          <w:spacing w:val="-4"/>
        </w:rPr>
        <w:t>anglaises</w:t>
      </w:r>
      <w:r>
        <w:rPr>
          <w:color w:val="231F20"/>
          <w:spacing w:val="-7"/>
        </w:rPr>
        <w:t> </w:t>
      </w:r>
      <w:r>
        <w:rPr>
          <w:color w:val="231F20"/>
          <w:spacing w:val="-4"/>
        </w:rPr>
        <w:t>et</w:t>
      </w:r>
      <w:r>
        <w:rPr>
          <w:color w:val="231F20"/>
          <w:spacing w:val="-6"/>
        </w:rPr>
        <w:t> </w:t>
      </w:r>
      <w:r>
        <w:rPr>
          <w:color w:val="231F20"/>
          <w:spacing w:val="-4"/>
        </w:rPr>
        <w:t>françaises.</w:t>
      </w:r>
      <w:r>
        <w:rPr>
          <w:color w:val="231F20"/>
          <w:spacing w:val="-6"/>
        </w:rPr>
        <w:t> </w:t>
      </w:r>
      <w:r>
        <w:rPr>
          <w:color w:val="231F20"/>
          <w:spacing w:val="-4"/>
        </w:rPr>
        <w:t>Il</w:t>
      </w:r>
      <w:r>
        <w:rPr>
          <w:color w:val="231F20"/>
          <w:spacing w:val="-6"/>
        </w:rPr>
        <w:t> </w:t>
      </w:r>
      <w:r>
        <w:rPr>
          <w:color w:val="231F20"/>
          <w:spacing w:val="-4"/>
        </w:rPr>
        <w:t>a</w:t>
      </w:r>
      <w:r>
        <w:rPr>
          <w:color w:val="231F20"/>
          <w:spacing w:val="-7"/>
        </w:rPr>
        <w:t> </w:t>
      </w:r>
      <w:r>
        <w:rPr>
          <w:color w:val="231F20"/>
          <w:spacing w:val="-4"/>
        </w:rPr>
        <w:t>fait</w:t>
      </w:r>
      <w:r>
        <w:rPr>
          <w:color w:val="231F20"/>
          <w:spacing w:val="-6"/>
        </w:rPr>
        <w:t> </w:t>
      </w:r>
      <w:r>
        <w:rPr>
          <w:color w:val="231F20"/>
          <w:spacing w:val="-4"/>
        </w:rPr>
        <w:t>ses</w:t>
      </w:r>
      <w:r>
        <w:rPr>
          <w:color w:val="231F20"/>
          <w:spacing w:val="-6"/>
        </w:rPr>
        <w:t> </w:t>
      </w:r>
      <w:r>
        <w:rPr>
          <w:color w:val="231F20"/>
          <w:spacing w:val="-4"/>
        </w:rPr>
        <w:t>études </w:t>
      </w:r>
      <w:r>
        <w:rPr>
          <w:color w:val="231F20"/>
        </w:rPr>
        <w:t>primaires à la mission catholique Allemande et à l’Ecole coloniale </w:t>
      </w:r>
      <w:r>
        <w:rPr>
          <w:color w:val="231F20"/>
          <w:spacing w:val="-4"/>
        </w:rPr>
        <w:t>française</w:t>
      </w:r>
      <w:r>
        <w:rPr>
          <w:color w:val="231F20"/>
          <w:spacing w:val="-11"/>
        </w:rPr>
        <w:t> </w:t>
      </w:r>
      <w:r>
        <w:rPr>
          <w:color w:val="231F20"/>
          <w:spacing w:val="-4"/>
        </w:rPr>
        <w:t>à</w:t>
      </w:r>
      <w:r>
        <w:rPr>
          <w:color w:val="231F20"/>
          <w:spacing w:val="-11"/>
        </w:rPr>
        <w:t> </w:t>
      </w:r>
      <w:r>
        <w:rPr>
          <w:color w:val="231F20"/>
          <w:spacing w:val="-4"/>
        </w:rPr>
        <w:t>Lomé,</w:t>
      </w:r>
      <w:r>
        <w:rPr>
          <w:color w:val="231F20"/>
          <w:spacing w:val="-11"/>
        </w:rPr>
        <w:t> </w:t>
      </w:r>
      <w:r>
        <w:rPr>
          <w:color w:val="231F20"/>
          <w:spacing w:val="-4"/>
        </w:rPr>
        <w:t>puis</w:t>
      </w:r>
      <w:r>
        <w:rPr>
          <w:color w:val="231F20"/>
          <w:spacing w:val="-11"/>
        </w:rPr>
        <w:t> </w:t>
      </w:r>
      <w:r>
        <w:rPr>
          <w:color w:val="231F20"/>
          <w:spacing w:val="-4"/>
        </w:rPr>
        <w:t>les</w:t>
      </w:r>
      <w:r>
        <w:rPr>
          <w:color w:val="231F20"/>
          <w:spacing w:val="-11"/>
        </w:rPr>
        <w:t> </w:t>
      </w:r>
      <w:r>
        <w:rPr>
          <w:color w:val="231F20"/>
          <w:spacing w:val="-4"/>
        </w:rPr>
        <w:t>études</w:t>
      </w:r>
      <w:r>
        <w:rPr>
          <w:color w:val="231F20"/>
          <w:spacing w:val="-11"/>
        </w:rPr>
        <w:t> </w:t>
      </w:r>
      <w:r>
        <w:rPr>
          <w:color w:val="231F20"/>
          <w:spacing w:val="-4"/>
        </w:rPr>
        <w:t>secondaires</w:t>
      </w:r>
      <w:r>
        <w:rPr>
          <w:color w:val="231F20"/>
          <w:spacing w:val="-9"/>
        </w:rPr>
        <w:t> </w:t>
      </w:r>
      <w:r>
        <w:rPr>
          <w:color w:val="231F20"/>
          <w:spacing w:val="-4"/>
        </w:rPr>
        <w:t>anglaises</w:t>
      </w:r>
      <w:r>
        <w:rPr>
          <w:color w:val="231F20"/>
          <w:spacing w:val="-9"/>
        </w:rPr>
        <w:t> </w:t>
      </w:r>
      <w:r>
        <w:rPr>
          <w:color w:val="231F20"/>
          <w:spacing w:val="-4"/>
        </w:rPr>
        <w:t>à</w:t>
      </w:r>
      <w:r>
        <w:rPr>
          <w:color w:val="231F20"/>
          <w:spacing w:val="-10"/>
        </w:rPr>
        <w:t> </w:t>
      </w:r>
      <w:r>
        <w:rPr>
          <w:color w:val="231F20"/>
          <w:spacing w:val="-4"/>
        </w:rPr>
        <w:t>Kpando</w:t>
      </w:r>
      <w:r>
        <w:rPr>
          <w:color w:val="231F20"/>
          <w:spacing w:val="-11"/>
        </w:rPr>
        <w:t> </w:t>
      </w:r>
      <w:r>
        <w:rPr>
          <w:color w:val="231F20"/>
          <w:spacing w:val="-4"/>
        </w:rPr>
        <w:t>au</w:t>
      </w:r>
      <w:r>
        <w:rPr>
          <w:color w:val="231F20"/>
          <w:spacing w:val="-9"/>
        </w:rPr>
        <w:t> </w:t>
      </w:r>
      <w:r>
        <w:rPr>
          <w:color w:val="231F20"/>
          <w:spacing w:val="-4"/>
        </w:rPr>
        <w:t>Togo </w:t>
      </w:r>
      <w:r>
        <w:rPr>
          <w:color w:val="231F20"/>
        </w:rPr>
        <w:t>britannique. En 1920, il quitte l’Afrique pour poursuivre ses études à Londres où il obtient un diplôme en économie politique en 1926 à la London school of economics. Il suit ensuite des études supérieures en droit</w:t>
      </w:r>
      <w:r>
        <w:rPr>
          <w:color w:val="231F20"/>
          <w:spacing w:val="-15"/>
        </w:rPr>
        <w:t> </w:t>
      </w:r>
      <w:r>
        <w:rPr>
          <w:color w:val="231F20"/>
        </w:rPr>
        <w:t>international</w:t>
      </w:r>
      <w:r>
        <w:rPr>
          <w:color w:val="231F20"/>
          <w:spacing w:val="-15"/>
        </w:rPr>
        <w:t> </w:t>
      </w:r>
      <w:r>
        <w:rPr>
          <w:color w:val="231F20"/>
        </w:rPr>
        <w:t>à</w:t>
      </w:r>
      <w:r>
        <w:rPr>
          <w:color w:val="231F20"/>
          <w:spacing w:val="-15"/>
        </w:rPr>
        <w:t> </w:t>
      </w:r>
      <w:r>
        <w:rPr>
          <w:color w:val="231F20"/>
        </w:rPr>
        <w:t>Dijon</w:t>
      </w:r>
      <w:r>
        <w:rPr>
          <w:color w:val="231F20"/>
          <w:spacing w:val="-15"/>
        </w:rPr>
        <w:t> </w:t>
      </w:r>
      <w:r>
        <w:rPr>
          <w:color w:val="231F20"/>
        </w:rPr>
        <w:t>en</w:t>
      </w:r>
      <w:r>
        <w:rPr>
          <w:color w:val="231F20"/>
          <w:spacing w:val="-15"/>
        </w:rPr>
        <w:t> </w:t>
      </w:r>
      <w:r>
        <w:rPr>
          <w:color w:val="231F20"/>
        </w:rPr>
        <w:t>France</w:t>
      </w:r>
      <w:r>
        <w:rPr>
          <w:color w:val="231F20"/>
          <w:spacing w:val="-15"/>
        </w:rPr>
        <w:t> </w:t>
      </w:r>
      <w:r>
        <w:rPr>
          <w:color w:val="231F20"/>
        </w:rPr>
        <w:t>et</w:t>
      </w:r>
      <w:r>
        <w:rPr>
          <w:color w:val="231F20"/>
          <w:spacing w:val="-15"/>
        </w:rPr>
        <w:t> </w:t>
      </w:r>
      <w:r>
        <w:rPr>
          <w:color w:val="231F20"/>
        </w:rPr>
        <w:t>à</w:t>
      </w:r>
      <w:r>
        <w:rPr>
          <w:color w:val="231F20"/>
          <w:spacing w:val="-15"/>
        </w:rPr>
        <w:t> </w:t>
      </w:r>
      <w:r>
        <w:rPr>
          <w:color w:val="231F20"/>
        </w:rPr>
        <w:t>Vienne</w:t>
      </w:r>
      <w:r>
        <w:rPr>
          <w:color w:val="231F20"/>
          <w:spacing w:val="-15"/>
        </w:rPr>
        <w:t> </w:t>
      </w:r>
      <w:r>
        <w:rPr>
          <w:color w:val="231F20"/>
        </w:rPr>
        <w:t>en</w:t>
      </w:r>
      <w:r>
        <w:rPr>
          <w:color w:val="231F20"/>
          <w:spacing w:val="-15"/>
        </w:rPr>
        <w:t> </w:t>
      </w:r>
      <w:r>
        <w:rPr>
          <w:color w:val="231F20"/>
        </w:rPr>
        <w:t>Autriche.</w:t>
      </w:r>
      <w:r>
        <w:rPr>
          <w:color w:val="231F20"/>
          <w:spacing w:val="-15"/>
        </w:rPr>
        <w:t> </w:t>
      </w:r>
      <w:r>
        <w:rPr>
          <w:color w:val="231F20"/>
        </w:rPr>
        <w:t>En</w:t>
      </w:r>
      <w:r>
        <w:rPr>
          <w:color w:val="231F20"/>
          <w:spacing w:val="-15"/>
        </w:rPr>
        <w:t> </w:t>
      </w:r>
      <w:r>
        <w:rPr>
          <w:color w:val="231F20"/>
        </w:rPr>
        <w:t>1927,</w:t>
      </w:r>
      <w:r>
        <w:rPr>
          <w:color w:val="231F20"/>
          <w:spacing w:val="-15"/>
        </w:rPr>
        <w:t> </w:t>
      </w:r>
      <w:r>
        <w:rPr>
          <w:color w:val="231F20"/>
        </w:rPr>
        <w:t>à la</w:t>
      </w:r>
      <w:r>
        <w:rPr>
          <w:color w:val="231F20"/>
          <w:spacing w:val="-9"/>
        </w:rPr>
        <w:t> </w:t>
      </w:r>
      <w:r>
        <w:rPr>
          <w:color w:val="231F20"/>
        </w:rPr>
        <w:t>fin</w:t>
      </w:r>
      <w:r>
        <w:rPr>
          <w:color w:val="231F20"/>
          <w:spacing w:val="-10"/>
        </w:rPr>
        <w:t> </w:t>
      </w:r>
      <w:r>
        <w:rPr>
          <w:color w:val="231F20"/>
        </w:rPr>
        <w:t>de</w:t>
      </w:r>
      <w:r>
        <w:rPr>
          <w:color w:val="231F20"/>
          <w:spacing w:val="-9"/>
        </w:rPr>
        <w:t> </w:t>
      </w:r>
      <w:r>
        <w:rPr>
          <w:color w:val="231F20"/>
        </w:rPr>
        <w:t>ses</w:t>
      </w:r>
      <w:r>
        <w:rPr>
          <w:color w:val="231F20"/>
          <w:spacing w:val="-10"/>
        </w:rPr>
        <w:t> </w:t>
      </w:r>
      <w:r>
        <w:rPr>
          <w:color w:val="231F20"/>
        </w:rPr>
        <w:t>études,</w:t>
      </w:r>
      <w:r>
        <w:rPr>
          <w:color w:val="231F20"/>
          <w:spacing w:val="-10"/>
        </w:rPr>
        <w:t> </w:t>
      </w:r>
      <w:r>
        <w:rPr>
          <w:color w:val="231F20"/>
        </w:rPr>
        <w:t>il</w:t>
      </w:r>
      <w:r>
        <w:rPr>
          <w:color w:val="231F20"/>
          <w:spacing w:val="-8"/>
        </w:rPr>
        <w:t> </w:t>
      </w:r>
      <w:r>
        <w:rPr>
          <w:color w:val="231F20"/>
        </w:rPr>
        <w:t>est</w:t>
      </w:r>
      <w:r>
        <w:rPr>
          <w:color w:val="231F20"/>
          <w:spacing w:val="-10"/>
        </w:rPr>
        <w:t> </w:t>
      </w:r>
      <w:r>
        <w:rPr>
          <w:color w:val="231F20"/>
        </w:rPr>
        <w:t>engagé</w:t>
      </w:r>
      <w:r>
        <w:rPr>
          <w:color w:val="231F20"/>
          <w:spacing w:val="-9"/>
        </w:rPr>
        <w:t> </w:t>
      </w:r>
      <w:r>
        <w:rPr>
          <w:color w:val="231F20"/>
        </w:rPr>
        <w:t>comme</w:t>
      </w:r>
      <w:r>
        <w:rPr>
          <w:color w:val="231F20"/>
          <w:spacing w:val="-9"/>
        </w:rPr>
        <w:t> </w:t>
      </w:r>
      <w:r>
        <w:rPr>
          <w:color w:val="231F20"/>
        </w:rPr>
        <w:t>employé</w:t>
      </w:r>
      <w:r>
        <w:rPr>
          <w:color w:val="231F20"/>
          <w:spacing w:val="-10"/>
        </w:rPr>
        <w:t> </w:t>
      </w:r>
      <w:r>
        <w:rPr>
          <w:color w:val="231F20"/>
        </w:rPr>
        <w:t>par</w:t>
      </w:r>
      <w:r>
        <w:rPr>
          <w:color w:val="231F20"/>
          <w:spacing w:val="-9"/>
        </w:rPr>
        <w:t> </w:t>
      </w:r>
      <w:r>
        <w:rPr>
          <w:color w:val="231F20"/>
        </w:rPr>
        <w:t>la</w:t>
      </w:r>
      <w:r>
        <w:rPr>
          <w:color w:val="231F20"/>
          <w:spacing w:val="-9"/>
        </w:rPr>
        <w:t> </w:t>
      </w:r>
      <w:r>
        <w:rPr>
          <w:color w:val="231F20"/>
        </w:rPr>
        <w:t>Lever</w:t>
      </w:r>
      <w:r>
        <w:rPr>
          <w:color w:val="231F20"/>
          <w:spacing w:val="-12"/>
        </w:rPr>
        <w:t> </w:t>
      </w:r>
      <w:r>
        <w:rPr>
          <w:color w:val="231F20"/>
        </w:rPr>
        <w:t>Brothers </w:t>
      </w:r>
      <w:r>
        <w:rPr>
          <w:color w:val="231F20"/>
          <w:spacing w:val="-4"/>
        </w:rPr>
        <w:t>Company</w:t>
      </w:r>
      <w:r>
        <w:rPr>
          <w:color w:val="231F20"/>
          <w:spacing w:val="-11"/>
        </w:rPr>
        <w:t> </w:t>
      </w:r>
      <w:r>
        <w:rPr>
          <w:color w:val="231F20"/>
          <w:spacing w:val="-4"/>
        </w:rPr>
        <w:t>à</w:t>
      </w:r>
      <w:r>
        <w:rPr>
          <w:color w:val="231F20"/>
          <w:spacing w:val="-11"/>
        </w:rPr>
        <w:t> </w:t>
      </w:r>
      <w:r>
        <w:rPr>
          <w:color w:val="231F20"/>
          <w:spacing w:val="-4"/>
        </w:rPr>
        <w:t>Londres.</w:t>
      </w:r>
      <w:r>
        <w:rPr>
          <w:color w:val="231F20"/>
          <w:spacing w:val="-11"/>
        </w:rPr>
        <w:t> </w:t>
      </w:r>
      <w:r>
        <w:rPr>
          <w:color w:val="231F20"/>
          <w:spacing w:val="-4"/>
        </w:rPr>
        <w:t>En</w:t>
      </w:r>
      <w:r>
        <w:rPr>
          <w:color w:val="231F20"/>
          <w:spacing w:val="-11"/>
        </w:rPr>
        <w:t> </w:t>
      </w:r>
      <w:r>
        <w:rPr>
          <w:color w:val="231F20"/>
          <w:spacing w:val="-4"/>
        </w:rPr>
        <w:t>1928,</w:t>
      </w:r>
      <w:r>
        <w:rPr>
          <w:color w:val="231F20"/>
          <w:spacing w:val="-11"/>
        </w:rPr>
        <w:t> </w:t>
      </w:r>
      <w:r>
        <w:rPr>
          <w:color w:val="231F20"/>
          <w:spacing w:val="-4"/>
        </w:rPr>
        <w:t>il</w:t>
      </w:r>
      <w:r>
        <w:rPr>
          <w:color w:val="231F20"/>
          <w:spacing w:val="-11"/>
        </w:rPr>
        <w:t> </w:t>
      </w:r>
      <w:r>
        <w:rPr>
          <w:color w:val="231F20"/>
          <w:spacing w:val="-4"/>
        </w:rPr>
        <w:t>rentre</w:t>
      </w:r>
      <w:r>
        <w:rPr>
          <w:color w:val="231F20"/>
          <w:spacing w:val="-11"/>
        </w:rPr>
        <w:t> </w:t>
      </w:r>
      <w:r>
        <w:rPr>
          <w:color w:val="231F20"/>
          <w:spacing w:val="-4"/>
        </w:rPr>
        <w:t>en</w:t>
      </w:r>
      <w:r>
        <w:rPr>
          <w:color w:val="231F20"/>
          <w:spacing w:val="-11"/>
        </w:rPr>
        <w:t> </w:t>
      </w:r>
      <w:r>
        <w:rPr>
          <w:color w:val="231F20"/>
          <w:spacing w:val="-4"/>
        </w:rPr>
        <w:t>Afrique</w:t>
      </w:r>
      <w:r>
        <w:rPr>
          <w:color w:val="231F20"/>
          <w:spacing w:val="-11"/>
        </w:rPr>
        <w:t> </w:t>
      </w:r>
      <w:r>
        <w:rPr>
          <w:color w:val="231F20"/>
          <w:spacing w:val="-4"/>
        </w:rPr>
        <w:t>où</w:t>
      </w:r>
      <w:r>
        <w:rPr>
          <w:color w:val="231F20"/>
          <w:spacing w:val="-11"/>
        </w:rPr>
        <w:t> </w:t>
      </w:r>
      <w:r>
        <w:rPr>
          <w:color w:val="231F20"/>
          <w:spacing w:val="-4"/>
        </w:rPr>
        <w:t>il</w:t>
      </w:r>
      <w:r>
        <w:rPr>
          <w:color w:val="231F20"/>
          <w:spacing w:val="-11"/>
        </w:rPr>
        <w:t> </w:t>
      </w:r>
      <w:r>
        <w:rPr>
          <w:color w:val="231F20"/>
          <w:spacing w:val="-4"/>
        </w:rPr>
        <w:t>est</w:t>
      </w:r>
      <w:r>
        <w:rPr>
          <w:color w:val="231F20"/>
          <w:spacing w:val="-11"/>
        </w:rPr>
        <w:t> </w:t>
      </w:r>
      <w:r>
        <w:rPr>
          <w:color w:val="231F20"/>
          <w:spacing w:val="-4"/>
        </w:rPr>
        <w:t>affecté</w:t>
      </w:r>
      <w:r>
        <w:rPr>
          <w:color w:val="231F20"/>
          <w:spacing w:val="-11"/>
        </w:rPr>
        <w:t> </w:t>
      </w:r>
      <w:r>
        <w:rPr>
          <w:color w:val="231F20"/>
          <w:spacing w:val="-4"/>
        </w:rPr>
        <w:t>d’abord </w:t>
      </w:r>
      <w:r>
        <w:rPr>
          <w:color w:val="231F20"/>
        </w:rPr>
        <w:t>comme adjoint à l’agent général de la compagnie Unilever à Lagos au Nigéria</w:t>
      </w:r>
      <w:r>
        <w:rPr>
          <w:color w:val="231F20"/>
          <w:spacing w:val="-12"/>
        </w:rPr>
        <w:t> </w:t>
      </w:r>
      <w:r>
        <w:rPr>
          <w:color w:val="231F20"/>
        </w:rPr>
        <w:t>puis</w:t>
      </w:r>
      <w:r>
        <w:rPr>
          <w:color w:val="231F20"/>
          <w:spacing w:val="-12"/>
        </w:rPr>
        <w:t> </w:t>
      </w:r>
      <w:r>
        <w:rPr>
          <w:color w:val="231F20"/>
        </w:rPr>
        <w:t>muté</w:t>
      </w:r>
      <w:r>
        <w:rPr>
          <w:color w:val="231F20"/>
          <w:spacing w:val="-12"/>
        </w:rPr>
        <w:t> </w:t>
      </w:r>
      <w:r>
        <w:rPr>
          <w:color w:val="231F20"/>
        </w:rPr>
        <w:t>comme</w:t>
      </w:r>
      <w:r>
        <w:rPr>
          <w:color w:val="231F20"/>
          <w:spacing w:val="-14"/>
        </w:rPr>
        <w:t> </w:t>
      </w:r>
      <w:r>
        <w:rPr>
          <w:color w:val="231F20"/>
        </w:rPr>
        <w:t>Chef</w:t>
      </w:r>
      <w:r>
        <w:rPr>
          <w:color w:val="231F20"/>
          <w:spacing w:val="-12"/>
        </w:rPr>
        <w:t> </w:t>
      </w:r>
      <w:r>
        <w:rPr>
          <w:color w:val="231F20"/>
        </w:rPr>
        <w:t>de</w:t>
      </w:r>
      <w:r>
        <w:rPr>
          <w:color w:val="231F20"/>
          <w:spacing w:val="-12"/>
        </w:rPr>
        <w:t> </w:t>
      </w:r>
      <w:r>
        <w:rPr>
          <w:color w:val="231F20"/>
        </w:rPr>
        <w:t>la</w:t>
      </w:r>
      <w:r>
        <w:rPr>
          <w:color w:val="231F20"/>
          <w:spacing w:val="-12"/>
        </w:rPr>
        <w:t> </w:t>
      </w:r>
      <w:r>
        <w:rPr>
          <w:color w:val="231F20"/>
        </w:rPr>
        <w:t>société</w:t>
      </w:r>
      <w:r>
        <w:rPr>
          <w:color w:val="231F20"/>
          <w:spacing w:val="-12"/>
        </w:rPr>
        <w:t> </w:t>
      </w:r>
      <w:r>
        <w:rPr>
          <w:color w:val="231F20"/>
        </w:rPr>
        <w:t>à</w:t>
      </w:r>
      <w:r>
        <w:rPr>
          <w:color w:val="231F20"/>
          <w:spacing w:val="-12"/>
        </w:rPr>
        <w:t> </w:t>
      </w:r>
      <w:r>
        <w:rPr>
          <w:color w:val="231F20"/>
        </w:rPr>
        <w:t>Hô</w:t>
      </w:r>
      <w:r>
        <w:rPr>
          <w:color w:val="231F20"/>
          <w:spacing w:val="-12"/>
        </w:rPr>
        <w:t> </w:t>
      </w:r>
      <w:r>
        <w:rPr>
          <w:color w:val="231F20"/>
        </w:rPr>
        <w:t>au</w:t>
      </w:r>
      <w:r>
        <w:rPr>
          <w:color w:val="231F20"/>
          <w:spacing w:val="-12"/>
        </w:rPr>
        <w:t> </w:t>
      </w:r>
      <w:r>
        <w:rPr>
          <w:color w:val="231F20"/>
        </w:rPr>
        <w:t>Ghana.</w:t>
      </w:r>
      <w:r>
        <w:rPr>
          <w:color w:val="231F20"/>
          <w:spacing w:val="-12"/>
        </w:rPr>
        <w:t> </w:t>
      </w:r>
      <w:r>
        <w:rPr>
          <w:color w:val="231F20"/>
        </w:rPr>
        <w:t>En</w:t>
      </w:r>
      <w:r>
        <w:rPr>
          <w:color w:val="231F20"/>
          <w:spacing w:val="-8"/>
        </w:rPr>
        <w:t> </w:t>
      </w:r>
      <w:r>
        <w:rPr>
          <w:color w:val="231F20"/>
        </w:rPr>
        <w:t>1932,</w:t>
      </w:r>
      <w:r>
        <w:rPr>
          <w:color w:val="231F20"/>
          <w:spacing w:val="-13"/>
        </w:rPr>
        <w:t> </w:t>
      </w:r>
      <w:r>
        <w:rPr>
          <w:color w:val="231F20"/>
        </w:rPr>
        <w:t>il </w:t>
      </w:r>
      <w:r>
        <w:rPr>
          <w:color w:val="231F20"/>
          <w:spacing w:val="-2"/>
        </w:rPr>
        <w:t>est</w:t>
      </w:r>
      <w:r>
        <w:rPr>
          <w:color w:val="231F20"/>
          <w:spacing w:val="-10"/>
        </w:rPr>
        <w:t> </w:t>
      </w:r>
      <w:r>
        <w:rPr>
          <w:color w:val="231F20"/>
          <w:spacing w:val="-2"/>
        </w:rPr>
        <w:t>nommé</w:t>
      </w:r>
      <w:r>
        <w:rPr>
          <w:color w:val="231F20"/>
          <w:spacing w:val="-10"/>
        </w:rPr>
        <w:t> </w:t>
      </w:r>
      <w:r>
        <w:rPr>
          <w:color w:val="231F20"/>
          <w:spacing w:val="-2"/>
        </w:rPr>
        <w:t>agent</w:t>
      </w:r>
      <w:r>
        <w:rPr>
          <w:color w:val="231F20"/>
          <w:spacing w:val="-10"/>
        </w:rPr>
        <w:t> </w:t>
      </w:r>
      <w:r>
        <w:rPr>
          <w:color w:val="231F20"/>
          <w:spacing w:val="-2"/>
        </w:rPr>
        <w:t>général</w:t>
      </w:r>
      <w:r>
        <w:rPr>
          <w:color w:val="231F20"/>
          <w:spacing w:val="-10"/>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United</w:t>
      </w:r>
      <w:r>
        <w:rPr>
          <w:color w:val="231F20"/>
          <w:spacing w:val="-10"/>
        </w:rPr>
        <w:t> </w:t>
      </w:r>
      <w:r>
        <w:rPr>
          <w:color w:val="231F20"/>
          <w:spacing w:val="-2"/>
        </w:rPr>
        <w:t>Africa</w:t>
      </w:r>
      <w:r>
        <w:rPr>
          <w:color w:val="231F20"/>
          <w:spacing w:val="-10"/>
        </w:rPr>
        <w:t> </w:t>
      </w:r>
      <w:r>
        <w:rPr>
          <w:color w:val="231F20"/>
          <w:spacing w:val="-2"/>
        </w:rPr>
        <w:t>Company</w:t>
      </w:r>
      <w:r>
        <w:rPr>
          <w:color w:val="231F20"/>
          <w:spacing w:val="-10"/>
        </w:rPr>
        <w:t> </w:t>
      </w:r>
      <w:r>
        <w:rPr>
          <w:color w:val="231F20"/>
          <w:spacing w:val="-2"/>
        </w:rPr>
        <w:t>(UAC),</w:t>
      </w:r>
      <w:r>
        <w:rPr>
          <w:color w:val="231F20"/>
          <w:spacing w:val="-10"/>
        </w:rPr>
        <w:t> </w:t>
      </w:r>
      <w:r>
        <w:rPr>
          <w:color w:val="231F20"/>
          <w:spacing w:val="-2"/>
        </w:rPr>
        <w:t>filiale</w:t>
      </w:r>
      <w:r>
        <w:rPr>
          <w:color w:val="231F20"/>
          <w:spacing w:val="-10"/>
        </w:rPr>
        <w:t> </w:t>
      </w:r>
      <w:r>
        <w:rPr>
          <w:color w:val="231F20"/>
          <w:spacing w:val="-2"/>
        </w:rPr>
        <w:t>du </w:t>
      </w:r>
      <w:r>
        <w:rPr>
          <w:color w:val="231F20"/>
        </w:rPr>
        <w:t>groupe Unilever en zone française au Togo.</w:t>
      </w:r>
    </w:p>
    <w:p>
      <w:pPr>
        <w:pStyle w:val="BodyText"/>
        <w:spacing w:before="121"/>
        <w:ind w:right="106" w:firstLine="283"/>
      </w:pPr>
      <w:r>
        <w:rPr>
          <w:color w:val="231F20"/>
          <w:spacing w:val="-2"/>
        </w:rPr>
        <w:t>Cadre</w:t>
      </w:r>
      <w:r>
        <w:rPr>
          <w:color w:val="231F20"/>
          <w:spacing w:val="-4"/>
        </w:rPr>
        <w:t> </w:t>
      </w:r>
      <w:r>
        <w:rPr>
          <w:color w:val="231F20"/>
          <w:spacing w:val="-2"/>
        </w:rPr>
        <w:t>international,</w:t>
      </w:r>
      <w:r>
        <w:rPr>
          <w:color w:val="231F20"/>
          <w:spacing w:val="-6"/>
        </w:rPr>
        <w:t> </w:t>
      </w:r>
      <w:r>
        <w:rPr>
          <w:color w:val="231F20"/>
          <w:spacing w:val="-2"/>
        </w:rPr>
        <w:t>polyglotte,</w:t>
      </w:r>
      <w:r>
        <w:rPr>
          <w:color w:val="231F20"/>
          <w:spacing w:val="-6"/>
        </w:rPr>
        <w:t> </w:t>
      </w:r>
      <w:r>
        <w:rPr>
          <w:color w:val="231F20"/>
          <w:spacing w:val="-2"/>
        </w:rPr>
        <w:t>Sylvanus</w:t>
      </w:r>
      <w:r>
        <w:rPr>
          <w:color w:val="231F20"/>
          <w:spacing w:val="-4"/>
        </w:rPr>
        <w:t> </w:t>
      </w:r>
      <w:r>
        <w:rPr>
          <w:color w:val="231F20"/>
          <w:spacing w:val="-2"/>
        </w:rPr>
        <w:t>Olympio</w:t>
      </w:r>
      <w:r>
        <w:rPr>
          <w:color w:val="231F20"/>
          <w:spacing w:val="-5"/>
        </w:rPr>
        <w:t> </w:t>
      </w:r>
      <w:r>
        <w:rPr>
          <w:color w:val="231F20"/>
          <w:spacing w:val="-2"/>
        </w:rPr>
        <w:t>utilise</w:t>
      </w:r>
      <w:r>
        <w:rPr>
          <w:color w:val="231F20"/>
          <w:spacing w:val="-6"/>
        </w:rPr>
        <w:t> </w:t>
      </w:r>
      <w:r>
        <w:rPr>
          <w:color w:val="231F20"/>
          <w:spacing w:val="-2"/>
        </w:rPr>
        <w:t>ses</w:t>
      </w:r>
      <w:r>
        <w:rPr>
          <w:color w:val="231F20"/>
          <w:spacing w:val="-4"/>
        </w:rPr>
        <w:t> </w:t>
      </w:r>
      <w:r>
        <w:rPr>
          <w:color w:val="231F20"/>
          <w:spacing w:val="-2"/>
        </w:rPr>
        <w:t>réseaux </w:t>
      </w:r>
      <w:r>
        <w:rPr>
          <w:color w:val="231F20"/>
        </w:rPr>
        <w:t>diplomatiques</w:t>
      </w:r>
      <w:r>
        <w:rPr>
          <w:color w:val="231F20"/>
          <w:spacing w:val="-13"/>
        </w:rPr>
        <w:t> </w:t>
      </w:r>
      <w:r>
        <w:rPr>
          <w:color w:val="231F20"/>
        </w:rPr>
        <w:t>et</w:t>
      </w:r>
      <w:r>
        <w:rPr>
          <w:color w:val="231F20"/>
          <w:spacing w:val="-14"/>
        </w:rPr>
        <w:t> </w:t>
      </w:r>
      <w:r>
        <w:rPr>
          <w:color w:val="231F20"/>
        </w:rPr>
        <w:t>d’affaires</w:t>
      </w:r>
      <w:r>
        <w:rPr>
          <w:color w:val="231F20"/>
          <w:spacing w:val="-13"/>
        </w:rPr>
        <w:t> </w:t>
      </w:r>
      <w:r>
        <w:rPr>
          <w:color w:val="231F20"/>
        </w:rPr>
        <w:t>pour</w:t>
      </w:r>
      <w:r>
        <w:rPr>
          <w:color w:val="231F20"/>
          <w:spacing w:val="-13"/>
        </w:rPr>
        <w:t> </w:t>
      </w:r>
      <w:r>
        <w:rPr>
          <w:color w:val="231F20"/>
        </w:rPr>
        <w:t>obtenir</w:t>
      </w:r>
      <w:r>
        <w:rPr>
          <w:color w:val="231F20"/>
          <w:spacing w:val="-13"/>
        </w:rPr>
        <w:t> </w:t>
      </w:r>
      <w:r>
        <w:rPr>
          <w:color w:val="231F20"/>
        </w:rPr>
        <w:t>l’indépendance</w:t>
      </w:r>
      <w:r>
        <w:rPr>
          <w:color w:val="231F20"/>
          <w:spacing w:val="-13"/>
        </w:rPr>
        <w:t> </w:t>
      </w:r>
      <w:r>
        <w:rPr>
          <w:color w:val="231F20"/>
        </w:rPr>
        <w:t>de</w:t>
      </w:r>
      <w:r>
        <w:rPr>
          <w:color w:val="231F20"/>
          <w:spacing w:val="-13"/>
        </w:rPr>
        <w:t> </w:t>
      </w:r>
      <w:r>
        <w:rPr>
          <w:color w:val="231F20"/>
        </w:rPr>
        <w:t>son</w:t>
      </w:r>
      <w:r>
        <w:rPr>
          <w:color w:val="231F20"/>
          <w:spacing w:val="-15"/>
        </w:rPr>
        <w:t> </w:t>
      </w:r>
      <w:r>
        <w:rPr>
          <w:color w:val="231F20"/>
        </w:rPr>
        <w:t>pays.</w:t>
      </w:r>
      <w:r>
        <w:rPr>
          <w:color w:val="231F20"/>
          <w:spacing w:val="-13"/>
        </w:rPr>
        <w:t> </w:t>
      </w:r>
      <w:r>
        <w:rPr>
          <w:color w:val="231F20"/>
        </w:rPr>
        <w:t>Le </w:t>
      </w:r>
      <w:r>
        <w:rPr>
          <w:color w:val="231F20"/>
          <w:spacing w:val="-2"/>
        </w:rPr>
        <w:t>27</w:t>
      </w:r>
      <w:r>
        <w:rPr>
          <w:color w:val="231F20"/>
          <w:spacing w:val="-15"/>
        </w:rPr>
        <w:t> </w:t>
      </w:r>
      <w:r>
        <w:rPr>
          <w:color w:val="231F20"/>
          <w:spacing w:val="-2"/>
        </w:rPr>
        <w:t>avril</w:t>
      </w:r>
      <w:r>
        <w:rPr>
          <w:color w:val="231F20"/>
          <w:spacing w:val="-13"/>
        </w:rPr>
        <w:t> </w:t>
      </w:r>
      <w:r>
        <w:rPr>
          <w:color w:val="231F20"/>
          <w:spacing w:val="-2"/>
        </w:rPr>
        <w:t>1960,</w:t>
      </w:r>
      <w:r>
        <w:rPr>
          <w:color w:val="231F20"/>
          <w:spacing w:val="-13"/>
        </w:rPr>
        <w:t> </w:t>
      </w:r>
      <w:r>
        <w:rPr>
          <w:color w:val="231F20"/>
          <w:spacing w:val="-2"/>
        </w:rPr>
        <w:t>le</w:t>
      </w:r>
      <w:r>
        <w:rPr>
          <w:color w:val="231F20"/>
          <w:spacing w:val="-13"/>
        </w:rPr>
        <w:t> </w:t>
      </w:r>
      <w:r>
        <w:rPr>
          <w:color w:val="231F20"/>
          <w:spacing w:val="-2"/>
        </w:rPr>
        <w:t>Togo</w:t>
      </w:r>
      <w:r>
        <w:rPr>
          <w:color w:val="231F20"/>
          <w:spacing w:val="-13"/>
        </w:rPr>
        <w:t> </w:t>
      </w:r>
      <w:r>
        <w:rPr>
          <w:color w:val="231F20"/>
          <w:spacing w:val="-2"/>
        </w:rPr>
        <w:t>devient</w:t>
      </w:r>
      <w:r>
        <w:rPr>
          <w:color w:val="231F20"/>
          <w:spacing w:val="-13"/>
        </w:rPr>
        <w:t> </w:t>
      </w:r>
      <w:r>
        <w:rPr>
          <w:color w:val="231F20"/>
          <w:spacing w:val="-2"/>
        </w:rPr>
        <w:t>indépendant.</w:t>
      </w:r>
      <w:r>
        <w:rPr>
          <w:color w:val="231F20"/>
          <w:spacing w:val="-13"/>
        </w:rPr>
        <w:t> </w:t>
      </w:r>
      <w:r>
        <w:rPr>
          <w:color w:val="231F20"/>
          <w:spacing w:val="-2"/>
        </w:rPr>
        <w:t>Sylvanus</w:t>
      </w:r>
      <w:r>
        <w:rPr>
          <w:color w:val="231F20"/>
          <w:spacing w:val="-13"/>
        </w:rPr>
        <w:t> </w:t>
      </w:r>
      <w:r>
        <w:rPr>
          <w:color w:val="231F20"/>
          <w:spacing w:val="-2"/>
        </w:rPr>
        <w:t>Olympio</w:t>
      </w:r>
      <w:r>
        <w:rPr>
          <w:color w:val="231F20"/>
          <w:spacing w:val="-13"/>
        </w:rPr>
        <w:t> </w:t>
      </w:r>
      <w:r>
        <w:rPr>
          <w:color w:val="231F20"/>
          <w:spacing w:val="-2"/>
        </w:rPr>
        <w:t>diversifie </w:t>
      </w:r>
      <w:r>
        <w:rPr>
          <w:color w:val="231F20"/>
          <w:spacing w:val="-4"/>
        </w:rPr>
        <w:t>les</w:t>
      </w:r>
      <w:r>
        <w:rPr>
          <w:color w:val="231F20"/>
          <w:spacing w:val="-5"/>
        </w:rPr>
        <w:t> </w:t>
      </w:r>
      <w:r>
        <w:rPr>
          <w:color w:val="231F20"/>
          <w:spacing w:val="-4"/>
        </w:rPr>
        <w:t>partenaires</w:t>
      </w:r>
      <w:r>
        <w:rPr>
          <w:color w:val="231F20"/>
          <w:spacing w:val="-6"/>
        </w:rPr>
        <w:t> </w:t>
      </w:r>
      <w:r>
        <w:rPr>
          <w:color w:val="231F20"/>
          <w:spacing w:val="-4"/>
        </w:rPr>
        <w:t>économiques</w:t>
      </w:r>
      <w:r>
        <w:rPr>
          <w:color w:val="231F20"/>
          <w:spacing w:val="-5"/>
        </w:rPr>
        <w:t> </w:t>
      </w:r>
      <w:r>
        <w:rPr>
          <w:color w:val="231F20"/>
          <w:spacing w:val="-4"/>
        </w:rPr>
        <w:t>et</w:t>
      </w:r>
      <w:r>
        <w:rPr>
          <w:color w:val="231F20"/>
          <w:spacing w:val="-5"/>
        </w:rPr>
        <w:t> </w:t>
      </w:r>
      <w:r>
        <w:rPr>
          <w:color w:val="231F20"/>
          <w:spacing w:val="-4"/>
        </w:rPr>
        <w:t>financiers</w:t>
      </w:r>
      <w:r>
        <w:rPr>
          <w:color w:val="231F20"/>
          <w:spacing w:val="-7"/>
        </w:rPr>
        <w:t> </w:t>
      </w:r>
      <w:r>
        <w:rPr>
          <w:color w:val="231F20"/>
          <w:spacing w:val="-4"/>
        </w:rPr>
        <w:t>de son</w:t>
      </w:r>
      <w:r>
        <w:rPr>
          <w:color w:val="231F20"/>
          <w:spacing w:val="-7"/>
        </w:rPr>
        <w:t> </w:t>
      </w:r>
      <w:r>
        <w:rPr>
          <w:color w:val="231F20"/>
          <w:spacing w:val="-4"/>
        </w:rPr>
        <w:t>pays et</w:t>
      </w:r>
      <w:r>
        <w:rPr>
          <w:color w:val="231F20"/>
          <w:spacing w:val="-6"/>
        </w:rPr>
        <w:t> </w:t>
      </w:r>
      <w:r>
        <w:rPr>
          <w:color w:val="231F20"/>
          <w:spacing w:val="-4"/>
        </w:rPr>
        <w:t>pousse</w:t>
      </w:r>
      <w:r>
        <w:rPr>
          <w:color w:val="231F20"/>
          <w:spacing w:val="-9"/>
        </w:rPr>
        <w:t> </w:t>
      </w:r>
      <w:r>
        <w:rPr>
          <w:color w:val="231F20"/>
          <w:spacing w:val="-4"/>
        </w:rPr>
        <w:t>la</w:t>
      </w:r>
      <w:r>
        <w:rPr>
          <w:color w:val="231F20"/>
          <w:spacing w:val="-7"/>
        </w:rPr>
        <w:t> </w:t>
      </w:r>
      <w:r>
        <w:rPr>
          <w:color w:val="231F20"/>
          <w:spacing w:val="-4"/>
        </w:rPr>
        <w:t>volonté </w:t>
      </w:r>
      <w:r>
        <w:rPr>
          <w:color w:val="231F20"/>
        </w:rPr>
        <w:t>d’autonomie</w:t>
      </w:r>
      <w:r>
        <w:rPr>
          <w:color w:val="231F20"/>
          <w:spacing w:val="-5"/>
        </w:rPr>
        <w:t> </w:t>
      </w:r>
      <w:r>
        <w:rPr>
          <w:color w:val="231F20"/>
        </w:rPr>
        <w:t>jusqu’à</w:t>
      </w:r>
      <w:r>
        <w:rPr>
          <w:color w:val="231F20"/>
          <w:spacing w:val="-2"/>
        </w:rPr>
        <w:t> </w:t>
      </w:r>
      <w:r>
        <w:rPr>
          <w:color w:val="231F20"/>
        </w:rPr>
        <w:t>envisager</w:t>
      </w:r>
      <w:r>
        <w:rPr>
          <w:color w:val="231F20"/>
          <w:spacing w:val="-2"/>
        </w:rPr>
        <w:t> </w:t>
      </w:r>
      <w:r>
        <w:rPr>
          <w:color w:val="231F20"/>
        </w:rPr>
        <w:t>la</w:t>
      </w:r>
      <w:r>
        <w:rPr>
          <w:color w:val="231F20"/>
          <w:spacing w:val="-2"/>
        </w:rPr>
        <w:t> </w:t>
      </w:r>
      <w:r>
        <w:rPr>
          <w:color w:val="231F20"/>
        </w:rPr>
        <w:t>sortie</w:t>
      </w:r>
      <w:r>
        <w:rPr>
          <w:color w:val="231F20"/>
          <w:spacing w:val="-2"/>
        </w:rPr>
        <w:t> </w:t>
      </w:r>
      <w:r>
        <w:rPr>
          <w:color w:val="231F20"/>
        </w:rPr>
        <w:t>de</w:t>
      </w:r>
      <w:r>
        <w:rPr>
          <w:color w:val="231F20"/>
          <w:spacing w:val="-2"/>
        </w:rPr>
        <w:t> </w:t>
      </w:r>
      <w:r>
        <w:rPr>
          <w:color w:val="231F20"/>
        </w:rPr>
        <w:t>la</w:t>
      </w:r>
      <w:r>
        <w:rPr>
          <w:color w:val="231F20"/>
          <w:spacing w:val="-5"/>
        </w:rPr>
        <w:t> </w:t>
      </w:r>
      <w:r>
        <w:rPr>
          <w:color w:val="231F20"/>
        </w:rPr>
        <w:t>zone</w:t>
      </w:r>
      <w:r>
        <w:rPr>
          <w:color w:val="231F20"/>
          <w:spacing w:val="-4"/>
        </w:rPr>
        <w:t> </w:t>
      </w:r>
      <w:r>
        <w:rPr>
          <w:color w:val="231F20"/>
        </w:rPr>
        <w:t>CFA.</w:t>
      </w:r>
    </w:p>
    <w:p>
      <w:pPr>
        <w:pStyle w:val="BodyText"/>
        <w:spacing w:before="121"/>
        <w:ind w:right="105" w:firstLine="283"/>
      </w:pPr>
      <w:r>
        <w:rPr>
          <w:color w:val="231F20"/>
        </w:rPr>
        <w:t>Dans</w:t>
      </w:r>
      <w:r>
        <w:rPr>
          <w:color w:val="231F20"/>
          <w:spacing w:val="-8"/>
        </w:rPr>
        <w:t> </w:t>
      </w:r>
      <w:r>
        <w:rPr>
          <w:color w:val="231F20"/>
        </w:rPr>
        <w:t>la</w:t>
      </w:r>
      <w:r>
        <w:rPr>
          <w:color w:val="231F20"/>
          <w:spacing w:val="-12"/>
        </w:rPr>
        <w:t> </w:t>
      </w:r>
      <w:r>
        <w:rPr>
          <w:color w:val="231F20"/>
        </w:rPr>
        <w:t>nuit</w:t>
      </w:r>
      <w:r>
        <w:rPr>
          <w:color w:val="231F20"/>
          <w:spacing w:val="-11"/>
        </w:rPr>
        <w:t> </w:t>
      </w:r>
      <w:r>
        <w:rPr>
          <w:color w:val="231F20"/>
        </w:rPr>
        <w:t>du</w:t>
      </w:r>
      <w:r>
        <w:rPr>
          <w:color w:val="231F20"/>
          <w:spacing w:val="-8"/>
        </w:rPr>
        <w:t> </w:t>
      </w:r>
      <w:r>
        <w:rPr>
          <w:color w:val="231F20"/>
        </w:rPr>
        <w:t>12</w:t>
      </w:r>
      <w:r>
        <w:rPr>
          <w:color w:val="231F20"/>
          <w:spacing w:val="-8"/>
        </w:rPr>
        <w:t> </w:t>
      </w:r>
      <w:r>
        <w:rPr>
          <w:color w:val="231F20"/>
        </w:rPr>
        <w:t>au</w:t>
      </w:r>
      <w:r>
        <w:rPr>
          <w:color w:val="231F20"/>
          <w:spacing w:val="-11"/>
        </w:rPr>
        <w:t> </w:t>
      </w:r>
      <w:r>
        <w:rPr>
          <w:color w:val="231F20"/>
        </w:rPr>
        <w:t>13</w:t>
      </w:r>
      <w:r>
        <w:rPr>
          <w:color w:val="231F20"/>
          <w:spacing w:val="-11"/>
        </w:rPr>
        <w:t> </w:t>
      </w:r>
      <w:r>
        <w:rPr>
          <w:color w:val="231F20"/>
        </w:rPr>
        <w:t>janvier</w:t>
      </w:r>
      <w:r>
        <w:rPr>
          <w:color w:val="231F20"/>
          <w:spacing w:val="-8"/>
        </w:rPr>
        <w:t> </w:t>
      </w:r>
      <w:r>
        <w:rPr>
          <w:color w:val="231F20"/>
        </w:rPr>
        <w:t>1963,</w:t>
      </w:r>
      <w:r>
        <w:rPr>
          <w:color w:val="231F20"/>
          <w:spacing w:val="-11"/>
        </w:rPr>
        <w:t> </w:t>
      </w:r>
      <w:r>
        <w:rPr>
          <w:color w:val="231F20"/>
        </w:rPr>
        <w:t>il</w:t>
      </w:r>
      <w:r>
        <w:rPr>
          <w:color w:val="231F20"/>
          <w:spacing w:val="-8"/>
        </w:rPr>
        <w:t> </w:t>
      </w:r>
      <w:r>
        <w:rPr>
          <w:color w:val="231F20"/>
        </w:rPr>
        <w:t>est</w:t>
      </w:r>
      <w:r>
        <w:rPr>
          <w:color w:val="231F20"/>
          <w:spacing w:val="-8"/>
        </w:rPr>
        <w:t> </w:t>
      </w:r>
      <w:r>
        <w:rPr>
          <w:color w:val="231F20"/>
        </w:rPr>
        <w:t>attaqué</w:t>
      </w:r>
      <w:r>
        <w:rPr>
          <w:color w:val="231F20"/>
          <w:spacing w:val="-12"/>
        </w:rPr>
        <w:t> </w:t>
      </w:r>
      <w:r>
        <w:rPr>
          <w:color w:val="231F20"/>
        </w:rPr>
        <w:t>par</w:t>
      </w:r>
      <w:r>
        <w:rPr>
          <w:color w:val="231F20"/>
          <w:spacing w:val="-8"/>
        </w:rPr>
        <w:t> </w:t>
      </w:r>
      <w:r>
        <w:rPr>
          <w:color w:val="231F20"/>
        </w:rPr>
        <w:t>un</w:t>
      </w:r>
      <w:r>
        <w:rPr>
          <w:color w:val="231F20"/>
          <w:spacing w:val="-11"/>
        </w:rPr>
        <w:t> </w:t>
      </w:r>
      <w:r>
        <w:rPr>
          <w:color w:val="231F20"/>
        </w:rPr>
        <w:t>groupe</w:t>
      </w:r>
      <w:r>
        <w:rPr>
          <w:color w:val="231F20"/>
          <w:spacing w:val="-4"/>
        </w:rPr>
        <w:t> </w:t>
      </w:r>
      <w:r>
        <w:rPr>
          <w:color w:val="231F20"/>
        </w:rPr>
        <w:t>de soldats togolais ayant combattu pour la France en Algérie. Le sergent Étienne</w:t>
      </w:r>
      <w:r>
        <w:rPr>
          <w:color w:val="231F20"/>
          <w:spacing w:val="-10"/>
        </w:rPr>
        <w:t> </w:t>
      </w:r>
      <w:r>
        <w:rPr>
          <w:color w:val="231F20"/>
        </w:rPr>
        <w:t>Éyadéma</w:t>
      </w:r>
      <w:r>
        <w:rPr>
          <w:color w:val="231F20"/>
          <w:spacing w:val="-9"/>
        </w:rPr>
        <w:t> </w:t>
      </w:r>
      <w:r>
        <w:rPr>
          <w:color w:val="231F20"/>
        </w:rPr>
        <w:t>Gnassingbé</w:t>
      </w:r>
      <w:r>
        <w:rPr>
          <w:color w:val="231F20"/>
          <w:spacing w:val="-6"/>
        </w:rPr>
        <w:t> </w:t>
      </w:r>
      <w:r>
        <w:rPr>
          <w:color w:val="231F20"/>
        </w:rPr>
        <w:t>qui</w:t>
      </w:r>
      <w:r>
        <w:rPr>
          <w:color w:val="231F20"/>
          <w:spacing w:val="-6"/>
        </w:rPr>
        <w:t> </w:t>
      </w:r>
      <w:r>
        <w:rPr>
          <w:color w:val="231F20"/>
        </w:rPr>
        <w:t>conduit</w:t>
      </w:r>
      <w:r>
        <w:rPr>
          <w:color w:val="231F20"/>
          <w:spacing w:val="-6"/>
        </w:rPr>
        <w:t> </w:t>
      </w:r>
      <w:r>
        <w:rPr>
          <w:color w:val="231F20"/>
        </w:rPr>
        <w:t>le</w:t>
      </w:r>
      <w:r>
        <w:rPr>
          <w:color w:val="231F20"/>
          <w:spacing w:val="-10"/>
        </w:rPr>
        <w:t> </w:t>
      </w:r>
      <w:r>
        <w:rPr>
          <w:color w:val="231F20"/>
        </w:rPr>
        <w:t>groupe</w:t>
      </w:r>
      <w:r>
        <w:rPr>
          <w:color w:val="231F20"/>
          <w:spacing w:val="-9"/>
        </w:rPr>
        <w:t> </w:t>
      </w:r>
      <w:r>
        <w:rPr>
          <w:color w:val="231F20"/>
        </w:rPr>
        <w:t>l’abat</w:t>
      </w:r>
      <w:r>
        <w:rPr>
          <w:color w:val="231F20"/>
          <w:spacing w:val="-7"/>
        </w:rPr>
        <w:t> </w:t>
      </w:r>
      <w:r>
        <w:rPr>
          <w:color w:val="231F20"/>
        </w:rPr>
        <w:t>froidement.</w:t>
      </w:r>
    </w:p>
    <w:p>
      <w:pPr>
        <w:pStyle w:val="BodyText"/>
        <w:spacing w:before="120"/>
        <w:ind w:right="106" w:firstLine="283"/>
      </w:pPr>
      <w:r>
        <w:rPr>
          <w:color w:val="231F20"/>
        </w:rPr>
        <w:t>Les militaires placent à la tête de l’État, le très francophile Nicolas Grunitzky. Ce dernier est démis quatre ans plus tard par le même Éyadéma</w:t>
      </w:r>
      <w:r>
        <w:rPr>
          <w:color w:val="231F20"/>
          <w:spacing w:val="-5"/>
        </w:rPr>
        <w:t> </w:t>
      </w:r>
      <w:r>
        <w:rPr>
          <w:color w:val="231F20"/>
        </w:rPr>
        <w:t>qui</w:t>
      </w:r>
      <w:r>
        <w:rPr>
          <w:color w:val="231F20"/>
          <w:spacing w:val="-4"/>
        </w:rPr>
        <w:t> </w:t>
      </w:r>
      <w:r>
        <w:rPr>
          <w:color w:val="231F20"/>
        </w:rPr>
        <w:t>s’installe</w:t>
      </w:r>
      <w:r>
        <w:rPr>
          <w:color w:val="231F20"/>
          <w:spacing w:val="-5"/>
        </w:rPr>
        <w:t> </w:t>
      </w:r>
      <w:r>
        <w:rPr>
          <w:color w:val="231F20"/>
        </w:rPr>
        <w:t>au</w:t>
      </w:r>
      <w:r>
        <w:rPr>
          <w:color w:val="231F20"/>
          <w:spacing w:val="-7"/>
        </w:rPr>
        <w:t> </w:t>
      </w:r>
      <w:r>
        <w:rPr>
          <w:color w:val="231F20"/>
        </w:rPr>
        <w:t>pouvoir.</w:t>
      </w:r>
      <w:r>
        <w:rPr>
          <w:color w:val="231F20"/>
          <w:spacing w:val="-5"/>
        </w:rPr>
        <w:t> </w:t>
      </w:r>
      <w:r>
        <w:rPr>
          <w:color w:val="231F20"/>
        </w:rPr>
        <w:t>Il</w:t>
      </w:r>
      <w:r>
        <w:rPr>
          <w:color w:val="231F20"/>
          <w:spacing w:val="-5"/>
        </w:rPr>
        <w:t> </w:t>
      </w:r>
      <w:r>
        <w:rPr>
          <w:color w:val="231F20"/>
        </w:rPr>
        <w:t>a</w:t>
      </w:r>
      <w:r>
        <w:rPr>
          <w:color w:val="231F20"/>
          <w:spacing w:val="-5"/>
        </w:rPr>
        <w:t> </w:t>
      </w:r>
      <w:r>
        <w:rPr>
          <w:color w:val="231F20"/>
        </w:rPr>
        <w:t>l’appui</w:t>
      </w:r>
      <w:r>
        <w:rPr>
          <w:color w:val="231F20"/>
          <w:spacing w:val="-6"/>
        </w:rPr>
        <w:t> </w:t>
      </w:r>
      <w:r>
        <w:rPr>
          <w:color w:val="231F20"/>
        </w:rPr>
        <w:t>de</w:t>
      </w:r>
      <w:r>
        <w:rPr>
          <w:color w:val="231F20"/>
          <w:spacing w:val="-5"/>
        </w:rPr>
        <w:t> </w:t>
      </w:r>
      <w:r>
        <w:rPr>
          <w:color w:val="231F20"/>
        </w:rPr>
        <w:t>la</w:t>
      </w:r>
      <w:r>
        <w:rPr>
          <w:color w:val="231F20"/>
          <w:spacing w:val="-10"/>
        </w:rPr>
        <w:t> </w:t>
      </w:r>
      <w:r>
        <w:rPr>
          <w:color w:val="231F20"/>
        </w:rPr>
        <w:t>France.</w:t>
      </w:r>
    </w:p>
    <w:p>
      <w:pPr>
        <w:pStyle w:val="BodyText"/>
        <w:spacing w:before="120"/>
        <w:ind w:right="102" w:firstLine="283"/>
      </w:pPr>
      <w:r>
        <w:rPr>
          <w:color w:val="231F20"/>
        </w:rPr>
        <w:t>Les</w:t>
      </w:r>
      <w:r>
        <w:rPr>
          <w:color w:val="231F20"/>
          <w:spacing w:val="-6"/>
        </w:rPr>
        <w:t> </w:t>
      </w:r>
      <w:r>
        <w:rPr>
          <w:color w:val="231F20"/>
        </w:rPr>
        <w:t>organisations</w:t>
      </w:r>
      <w:r>
        <w:rPr>
          <w:color w:val="231F20"/>
          <w:spacing w:val="-7"/>
        </w:rPr>
        <w:t> </w:t>
      </w:r>
      <w:r>
        <w:rPr>
          <w:color w:val="231F20"/>
        </w:rPr>
        <w:t>de</w:t>
      </w:r>
      <w:r>
        <w:rPr>
          <w:color w:val="231F20"/>
          <w:spacing w:val="-6"/>
        </w:rPr>
        <w:t> </w:t>
      </w:r>
      <w:r>
        <w:rPr>
          <w:color w:val="231F20"/>
        </w:rPr>
        <w:t>défense</w:t>
      </w:r>
      <w:r>
        <w:rPr>
          <w:color w:val="231F20"/>
          <w:spacing w:val="-6"/>
        </w:rPr>
        <w:t> </w:t>
      </w:r>
      <w:r>
        <w:rPr>
          <w:color w:val="231F20"/>
        </w:rPr>
        <w:t>des</w:t>
      </w:r>
      <w:r>
        <w:rPr>
          <w:color w:val="231F20"/>
          <w:spacing w:val="-7"/>
        </w:rPr>
        <w:t> </w:t>
      </w:r>
      <w:r>
        <w:rPr>
          <w:color w:val="231F20"/>
        </w:rPr>
        <w:t>droits</w:t>
      </w:r>
      <w:r>
        <w:rPr>
          <w:color w:val="231F20"/>
          <w:spacing w:val="-6"/>
        </w:rPr>
        <w:t> </w:t>
      </w:r>
      <w:r>
        <w:rPr>
          <w:color w:val="231F20"/>
        </w:rPr>
        <w:t>de</w:t>
      </w:r>
      <w:r>
        <w:rPr>
          <w:color w:val="231F20"/>
          <w:spacing w:val="-7"/>
        </w:rPr>
        <w:t> </w:t>
      </w:r>
      <w:r>
        <w:rPr>
          <w:color w:val="231F20"/>
        </w:rPr>
        <w:t>l’homme,</w:t>
      </w:r>
      <w:r>
        <w:rPr>
          <w:color w:val="231F20"/>
          <w:spacing w:val="-6"/>
        </w:rPr>
        <w:t> </w:t>
      </w:r>
      <w:r>
        <w:rPr>
          <w:color w:val="231F20"/>
        </w:rPr>
        <w:t>tant</w:t>
      </w:r>
      <w:r>
        <w:rPr>
          <w:color w:val="231F20"/>
          <w:spacing w:val="-5"/>
        </w:rPr>
        <w:t> </w:t>
      </w:r>
      <w:r>
        <w:rPr>
          <w:color w:val="231F20"/>
        </w:rPr>
        <w:t>Togolaises qu’internationales, dénoncent régulièrement les atteintes aux droits de l’homme</w:t>
      </w:r>
      <w:r>
        <w:rPr>
          <w:color w:val="231F20"/>
          <w:spacing w:val="-10"/>
        </w:rPr>
        <w:t> </w:t>
      </w:r>
      <w:r>
        <w:rPr>
          <w:color w:val="231F20"/>
        </w:rPr>
        <w:t>commises</w:t>
      </w:r>
      <w:r>
        <w:rPr>
          <w:color w:val="231F20"/>
          <w:spacing w:val="-7"/>
        </w:rPr>
        <w:t> </w:t>
      </w:r>
      <w:r>
        <w:rPr>
          <w:color w:val="231F20"/>
        </w:rPr>
        <w:t>par</w:t>
      </w:r>
      <w:r>
        <w:rPr>
          <w:color w:val="231F20"/>
          <w:spacing w:val="-4"/>
        </w:rPr>
        <w:t> </w:t>
      </w:r>
      <w:r>
        <w:rPr>
          <w:color w:val="231F20"/>
        </w:rPr>
        <w:t>son</w:t>
      </w:r>
      <w:r>
        <w:rPr>
          <w:color w:val="231F20"/>
          <w:spacing w:val="-4"/>
        </w:rPr>
        <w:t> </w:t>
      </w:r>
      <w:r>
        <w:rPr>
          <w:color w:val="231F20"/>
        </w:rPr>
        <w:t>régime.</w:t>
      </w:r>
      <w:r>
        <w:rPr>
          <w:color w:val="231F20"/>
          <w:spacing w:val="-4"/>
        </w:rPr>
        <w:t> </w:t>
      </w:r>
      <w:r>
        <w:rPr>
          <w:color w:val="231F20"/>
        </w:rPr>
        <w:t>Ainsi,</w:t>
      </w:r>
      <w:r>
        <w:rPr>
          <w:color w:val="231F20"/>
          <w:spacing w:val="-6"/>
        </w:rPr>
        <w:t> </w:t>
      </w:r>
      <w:r>
        <w:rPr>
          <w:color w:val="231F20"/>
        </w:rPr>
        <w:t>dans</w:t>
      </w:r>
      <w:r>
        <w:rPr>
          <w:color w:val="231F20"/>
          <w:spacing w:val="-7"/>
        </w:rPr>
        <w:t> </w:t>
      </w:r>
      <w:r>
        <w:rPr>
          <w:color w:val="231F20"/>
        </w:rPr>
        <w:t>un</w:t>
      </w:r>
      <w:r>
        <w:rPr>
          <w:color w:val="231F20"/>
          <w:spacing w:val="-5"/>
        </w:rPr>
        <w:t> </w:t>
      </w:r>
      <w:r>
        <w:rPr>
          <w:color w:val="231F20"/>
        </w:rPr>
        <w:t>rapport</w:t>
      </w:r>
      <w:r>
        <w:rPr>
          <w:color w:val="231F20"/>
          <w:spacing w:val="-7"/>
        </w:rPr>
        <w:t> </w:t>
      </w:r>
      <w:r>
        <w:rPr>
          <w:color w:val="231F20"/>
        </w:rPr>
        <w:t>intitulé</w:t>
      </w:r>
      <w:r>
        <w:rPr>
          <w:color w:val="231F20"/>
          <w:spacing w:val="-5"/>
        </w:rPr>
        <w:t> </w:t>
      </w:r>
      <w:r>
        <w:rPr>
          <w:color w:val="231F20"/>
        </w:rPr>
        <w:t>«</w:t>
      </w:r>
      <w:r>
        <w:rPr>
          <w:color w:val="231F20"/>
          <w:spacing w:val="-15"/>
        </w:rPr>
        <w:t> </w:t>
      </w:r>
      <w:r>
        <w:rPr>
          <w:i/>
          <w:color w:val="231F20"/>
        </w:rPr>
        <w:t>Le</w:t>
      </w:r>
      <w:r>
        <w:rPr>
          <w:i/>
          <w:color w:val="231F20"/>
        </w:rPr>
        <w:t> règne</w:t>
      </w:r>
      <w:r>
        <w:rPr>
          <w:i/>
          <w:color w:val="231F20"/>
          <w:spacing w:val="-4"/>
        </w:rPr>
        <w:t> </w:t>
      </w:r>
      <w:r>
        <w:rPr>
          <w:i/>
          <w:color w:val="231F20"/>
        </w:rPr>
        <w:t>de la terreur</w:t>
      </w:r>
      <w:r>
        <w:rPr>
          <w:color w:val="231F20"/>
          <w:vertAlign w:val="superscript"/>
        </w:rPr>
        <w:t>94</w:t>
      </w:r>
      <w:r>
        <w:rPr>
          <w:color w:val="231F20"/>
          <w:spacing w:val="-15"/>
          <w:vertAlign w:val="baseline"/>
        </w:rPr>
        <w:t> </w:t>
      </w:r>
      <w:r>
        <w:rPr>
          <w:color w:val="231F20"/>
          <w:vertAlign w:val="baseline"/>
        </w:rPr>
        <w:t>», Amnesty International, accuse en mai 1999, le </w:t>
      </w:r>
      <w:r>
        <w:rPr>
          <w:color w:val="231F20"/>
          <w:spacing w:val="-2"/>
          <w:vertAlign w:val="baseline"/>
        </w:rPr>
        <w:t>pouvoir</w:t>
      </w:r>
      <w:r>
        <w:rPr>
          <w:color w:val="231F20"/>
          <w:spacing w:val="-6"/>
          <w:vertAlign w:val="baseline"/>
        </w:rPr>
        <w:t> </w:t>
      </w:r>
      <w:r>
        <w:rPr>
          <w:color w:val="231F20"/>
          <w:spacing w:val="-2"/>
          <w:vertAlign w:val="baseline"/>
        </w:rPr>
        <w:t>d’avoir</w:t>
      </w:r>
      <w:r>
        <w:rPr>
          <w:color w:val="231F20"/>
          <w:spacing w:val="-6"/>
          <w:vertAlign w:val="baseline"/>
        </w:rPr>
        <w:t> </w:t>
      </w:r>
      <w:r>
        <w:rPr>
          <w:color w:val="231F20"/>
          <w:spacing w:val="-2"/>
          <w:vertAlign w:val="baseline"/>
        </w:rPr>
        <w:t>exécuté</w:t>
      </w:r>
      <w:r>
        <w:rPr>
          <w:color w:val="231F20"/>
          <w:spacing w:val="-6"/>
          <w:vertAlign w:val="baseline"/>
        </w:rPr>
        <w:t> </w:t>
      </w:r>
      <w:r>
        <w:rPr>
          <w:color w:val="231F20"/>
          <w:spacing w:val="-2"/>
          <w:vertAlign w:val="baseline"/>
        </w:rPr>
        <w:t>des</w:t>
      </w:r>
      <w:r>
        <w:rPr>
          <w:color w:val="231F20"/>
          <w:spacing w:val="-5"/>
          <w:vertAlign w:val="baseline"/>
        </w:rPr>
        <w:t> </w:t>
      </w:r>
      <w:r>
        <w:rPr>
          <w:color w:val="231F20"/>
          <w:spacing w:val="-2"/>
          <w:vertAlign w:val="baseline"/>
        </w:rPr>
        <w:t>centaines</w:t>
      </w:r>
      <w:r>
        <w:rPr>
          <w:color w:val="231F20"/>
          <w:spacing w:val="-6"/>
          <w:vertAlign w:val="baseline"/>
        </w:rPr>
        <w:t> </w:t>
      </w:r>
      <w:r>
        <w:rPr>
          <w:color w:val="231F20"/>
          <w:spacing w:val="-2"/>
          <w:vertAlign w:val="baseline"/>
        </w:rPr>
        <w:t>de</w:t>
      </w:r>
      <w:r>
        <w:rPr>
          <w:color w:val="231F20"/>
          <w:spacing w:val="-6"/>
          <w:vertAlign w:val="baseline"/>
        </w:rPr>
        <w:t> </w:t>
      </w:r>
      <w:r>
        <w:rPr>
          <w:color w:val="231F20"/>
          <w:spacing w:val="-2"/>
          <w:vertAlign w:val="baseline"/>
        </w:rPr>
        <w:t>personnes</w:t>
      </w:r>
      <w:r>
        <w:rPr>
          <w:color w:val="231F20"/>
          <w:spacing w:val="-8"/>
          <w:vertAlign w:val="baseline"/>
        </w:rPr>
        <w:t> </w:t>
      </w:r>
      <w:r>
        <w:rPr>
          <w:color w:val="231F20"/>
          <w:spacing w:val="-2"/>
          <w:vertAlign w:val="baseline"/>
        </w:rPr>
        <w:t>et</w:t>
      </w:r>
      <w:r>
        <w:rPr>
          <w:color w:val="231F20"/>
          <w:spacing w:val="-6"/>
          <w:vertAlign w:val="baseline"/>
        </w:rPr>
        <w:t> </w:t>
      </w:r>
      <w:r>
        <w:rPr>
          <w:color w:val="231F20"/>
          <w:spacing w:val="-2"/>
          <w:vertAlign w:val="baseline"/>
        </w:rPr>
        <w:t>jeté</w:t>
      </w:r>
      <w:r>
        <w:rPr>
          <w:color w:val="231F20"/>
          <w:spacing w:val="-5"/>
          <w:vertAlign w:val="baseline"/>
        </w:rPr>
        <w:t> </w:t>
      </w:r>
      <w:r>
        <w:rPr>
          <w:color w:val="231F20"/>
          <w:spacing w:val="-2"/>
          <w:vertAlign w:val="baseline"/>
        </w:rPr>
        <w:t>leur</w:t>
      </w:r>
      <w:r>
        <w:rPr>
          <w:color w:val="231F20"/>
          <w:spacing w:val="-6"/>
          <w:vertAlign w:val="baseline"/>
        </w:rPr>
        <w:t> </w:t>
      </w:r>
      <w:r>
        <w:rPr>
          <w:color w:val="231F20"/>
          <w:spacing w:val="-2"/>
          <w:vertAlign w:val="baseline"/>
        </w:rPr>
        <w:t>corps</w:t>
      </w:r>
      <w:r>
        <w:rPr>
          <w:color w:val="231F20"/>
          <w:spacing w:val="-6"/>
          <w:vertAlign w:val="baseline"/>
        </w:rPr>
        <w:t> </w:t>
      </w:r>
      <w:r>
        <w:rPr>
          <w:color w:val="231F20"/>
          <w:spacing w:val="-2"/>
          <w:vertAlign w:val="baseline"/>
        </w:rPr>
        <w:t>à</w:t>
      </w:r>
      <w:r>
        <w:rPr>
          <w:color w:val="231F20"/>
          <w:spacing w:val="-4"/>
          <w:vertAlign w:val="baseline"/>
        </w:rPr>
        <w:t> </w:t>
      </w:r>
      <w:r>
        <w:rPr>
          <w:color w:val="231F20"/>
          <w:spacing w:val="-5"/>
          <w:vertAlign w:val="baseline"/>
        </w:rPr>
        <w:t>la</w:t>
      </w:r>
    </w:p>
    <w:p>
      <w:pPr>
        <w:pStyle w:val="BodyText"/>
        <w:spacing w:before="88"/>
        <w:ind w:left="0"/>
        <w:jc w:val="left"/>
        <w:rPr>
          <w:sz w:val="20"/>
        </w:rPr>
      </w:pPr>
      <w:r>
        <w:rPr/>
        <mc:AlternateContent>
          <mc:Choice Requires="wps">
            <w:drawing>
              <wp:anchor distT="0" distB="0" distL="0" distR="0" allowOverlap="1" layoutInCell="1" locked="0" behindDoc="1" simplePos="0" relativeHeight="487618560">
                <wp:simplePos x="0" y="0"/>
                <wp:positionH relativeFrom="page">
                  <wp:posOffset>629907</wp:posOffset>
                </wp:positionH>
                <wp:positionV relativeFrom="paragraph">
                  <wp:posOffset>217373</wp:posOffset>
                </wp:positionV>
                <wp:extent cx="1829435" cy="9525"/>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116016pt;width:144.020pt;height:.72pt;mso-position-horizontal-relative:page;mso-position-vertical-relative:paragraph;z-index:-15697920;mso-wrap-distance-left:0;mso-wrap-distance-right:0" id="docshape77"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94</w:t>
      </w:r>
      <w:r>
        <w:rPr>
          <w:color w:val="231F20"/>
          <w:spacing w:val="-2"/>
          <w:sz w:val="20"/>
          <w:vertAlign w:val="baseline"/>
        </w:rPr>
        <w:t>«</w:t>
      </w:r>
      <w:r>
        <w:rPr>
          <w:color w:val="231F20"/>
          <w:spacing w:val="-9"/>
          <w:sz w:val="20"/>
          <w:vertAlign w:val="baseline"/>
        </w:rPr>
        <w:t> </w:t>
      </w:r>
      <w:r>
        <w:rPr>
          <w:color w:val="231F20"/>
          <w:spacing w:val="-2"/>
          <w:sz w:val="20"/>
          <w:vertAlign w:val="baseline"/>
        </w:rPr>
        <w:t>Togo:</w:t>
      </w:r>
      <w:r>
        <w:rPr>
          <w:color w:val="231F20"/>
          <w:spacing w:val="-11"/>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règne</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la</w:t>
      </w:r>
      <w:r>
        <w:rPr>
          <w:color w:val="231F20"/>
          <w:spacing w:val="-9"/>
          <w:sz w:val="20"/>
          <w:vertAlign w:val="baseline"/>
        </w:rPr>
        <w:t> </w:t>
      </w:r>
      <w:r>
        <w:rPr>
          <w:color w:val="231F20"/>
          <w:spacing w:val="-2"/>
          <w:sz w:val="20"/>
          <w:vertAlign w:val="baseline"/>
        </w:rPr>
        <w:t>terreur</w:t>
      </w:r>
      <w:r>
        <w:rPr>
          <w:color w:val="231F20"/>
          <w:spacing w:val="-10"/>
          <w:sz w:val="20"/>
          <w:vertAlign w:val="baseline"/>
        </w:rPr>
        <w:t> </w:t>
      </w:r>
      <w:r>
        <w:rPr>
          <w:color w:val="231F20"/>
          <w:spacing w:val="-2"/>
          <w:sz w:val="20"/>
          <w:vertAlign w:val="baseline"/>
        </w:rPr>
        <w:t>dans</w:t>
      </w:r>
      <w:r>
        <w:rPr>
          <w:color w:val="231F20"/>
          <w:spacing w:val="-11"/>
          <w:sz w:val="20"/>
          <w:vertAlign w:val="baseline"/>
        </w:rPr>
        <w:t> </w:t>
      </w:r>
      <w:r>
        <w:rPr>
          <w:color w:val="231F20"/>
          <w:spacing w:val="-2"/>
          <w:sz w:val="20"/>
          <w:vertAlign w:val="baseline"/>
        </w:rPr>
        <w:t>un</w:t>
      </w:r>
      <w:r>
        <w:rPr>
          <w:color w:val="231F20"/>
          <w:spacing w:val="-10"/>
          <w:sz w:val="20"/>
          <w:vertAlign w:val="baseline"/>
        </w:rPr>
        <w:t> </w:t>
      </w:r>
      <w:r>
        <w:rPr>
          <w:color w:val="231F20"/>
          <w:spacing w:val="-2"/>
          <w:sz w:val="20"/>
          <w:vertAlign w:val="baseline"/>
        </w:rPr>
        <w:t>climat</w:t>
      </w:r>
      <w:r>
        <w:rPr>
          <w:color w:val="231F20"/>
          <w:spacing w:val="-11"/>
          <w:sz w:val="20"/>
          <w:vertAlign w:val="baseline"/>
        </w:rPr>
        <w:t> </w:t>
      </w:r>
      <w:r>
        <w:rPr>
          <w:color w:val="231F20"/>
          <w:spacing w:val="-2"/>
          <w:sz w:val="20"/>
          <w:vertAlign w:val="baseline"/>
        </w:rPr>
        <w:t>d’impunité</w:t>
      </w:r>
      <w:r>
        <w:rPr>
          <w:color w:val="231F20"/>
          <w:spacing w:val="-9"/>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[archive],</w:t>
      </w:r>
      <w:r>
        <w:rPr>
          <w:color w:val="231F20"/>
          <w:spacing w:val="-11"/>
          <w:sz w:val="20"/>
          <w:vertAlign w:val="baseline"/>
        </w:rPr>
        <w:t> </w:t>
      </w:r>
      <w:r>
        <w:rPr>
          <w:color w:val="231F20"/>
          <w:spacing w:val="-2"/>
          <w:sz w:val="20"/>
          <w:vertAlign w:val="baseline"/>
        </w:rPr>
        <w:t>sur </w:t>
      </w:r>
      <w:r>
        <w:rPr>
          <w:color w:val="231F20"/>
          <w:sz w:val="20"/>
          <w:vertAlign w:val="baseline"/>
        </w:rPr>
        <w:t>https://</w:t>
      </w:r>
      <w:hyperlink r:id="rId36">
        <w:r>
          <w:rPr>
            <w:color w:val="231F20"/>
            <w:sz w:val="20"/>
            <w:vertAlign w:val="baseline"/>
          </w:rPr>
          <w:t>www.amnesty.org/</w:t>
        </w:r>
      </w:hyperlink>
      <w:r>
        <w:rPr>
          <w:color w:val="231F20"/>
          <w:spacing w:val="-5"/>
          <w:sz w:val="20"/>
          <w:vertAlign w:val="baseline"/>
        </w:rPr>
        <w:t> </w:t>
      </w:r>
      <w:r>
        <w:rPr>
          <w:color w:val="231F20"/>
          <w:sz w:val="20"/>
          <w:vertAlign w:val="baseline"/>
        </w:rPr>
        <w:t>[archive]</w:t>
      </w:r>
    </w:p>
    <w:p>
      <w:pPr>
        <w:spacing w:after="0"/>
        <w:jc w:val="left"/>
        <w:rPr>
          <w:sz w:val="20"/>
        </w:rPr>
        <w:sectPr>
          <w:pgSz w:w="8790" w:h="13610"/>
          <w:pgMar w:header="0" w:footer="802" w:top="1060" w:bottom="1000" w:left="880" w:right="880"/>
        </w:sectPr>
      </w:pPr>
    </w:p>
    <w:p>
      <w:pPr>
        <w:spacing w:before="66"/>
        <w:ind w:left="111" w:right="106" w:firstLine="0"/>
        <w:jc w:val="both"/>
        <w:rPr>
          <w:sz w:val="24"/>
        </w:rPr>
      </w:pPr>
      <w:r>
        <w:rPr>
          <w:color w:val="231F20"/>
          <w:sz w:val="24"/>
        </w:rPr>
        <w:t>mer après la proclamation des résultats de l'élection de 1998. En juin </w:t>
      </w:r>
      <w:r>
        <w:rPr>
          <w:color w:val="231F20"/>
          <w:spacing w:val="-4"/>
          <w:sz w:val="24"/>
        </w:rPr>
        <w:t>2004,</w:t>
      </w:r>
      <w:r>
        <w:rPr>
          <w:color w:val="231F20"/>
          <w:spacing w:val="-9"/>
          <w:sz w:val="24"/>
        </w:rPr>
        <w:t> </w:t>
      </w:r>
      <w:r>
        <w:rPr>
          <w:color w:val="231F20"/>
          <w:spacing w:val="-4"/>
          <w:sz w:val="24"/>
        </w:rPr>
        <w:t>la</w:t>
      </w:r>
      <w:r>
        <w:rPr>
          <w:color w:val="231F20"/>
          <w:spacing w:val="-6"/>
          <w:sz w:val="24"/>
        </w:rPr>
        <w:t> </w:t>
      </w:r>
      <w:r>
        <w:rPr>
          <w:color w:val="231F20"/>
          <w:spacing w:val="-4"/>
          <w:sz w:val="24"/>
        </w:rPr>
        <w:t>Fédération</w:t>
      </w:r>
      <w:r>
        <w:rPr>
          <w:color w:val="231F20"/>
          <w:spacing w:val="-5"/>
          <w:sz w:val="24"/>
        </w:rPr>
        <w:t> </w:t>
      </w:r>
      <w:r>
        <w:rPr>
          <w:color w:val="231F20"/>
          <w:spacing w:val="-4"/>
          <w:sz w:val="24"/>
        </w:rPr>
        <w:t>Internationale</w:t>
      </w:r>
      <w:r>
        <w:rPr>
          <w:color w:val="231F20"/>
          <w:spacing w:val="-8"/>
          <w:sz w:val="24"/>
        </w:rPr>
        <w:t> </w:t>
      </w:r>
      <w:r>
        <w:rPr>
          <w:color w:val="231F20"/>
          <w:spacing w:val="-4"/>
          <w:sz w:val="24"/>
        </w:rPr>
        <w:t>des</w:t>
      </w:r>
      <w:r>
        <w:rPr>
          <w:color w:val="231F20"/>
          <w:spacing w:val="-9"/>
          <w:sz w:val="24"/>
        </w:rPr>
        <w:t> </w:t>
      </w:r>
      <w:r>
        <w:rPr>
          <w:color w:val="231F20"/>
          <w:spacing w:val="-4"/>
          <w:sz w:val="24"/>
        </w:rPr>
        <w:t>Droits</w:t>
      </w:r>
      <w:r>
        <w:rPr>
          <w:color w:val="231F20"/>
          <w:spacing w:val="-9"/>
          <w:sz w:val="24"/>
        </w:rPr>
        <w:t> </w:t>
      </w:r>
      <w:r>
        <w:rPr>
          <w:color w:val="231F20"/>
          <w:spacing w:val="-4"/>
          <w:sz w:val="24"/>
        </w:rPr>
        <w:t>de</w:t>
      </w:r>
      <w:r>
        <w:rPr>
          <w:color w:val="231F20"/>
          <w:spacing w:val="-6"/>
          <w:sz w:val="24"/>
        </w:rPr>
        <w:t> </w:t>
      </w:r>
      <w:r>
        <w:rPr>
          <w:color w:val="231F20"/>
          <w:spacing w:val="-4"/>
          <w:sz w:val="24"/>
        </w:rPr>
        <w:t>l'Homme</w:t>
      </w:r>
      <w:r>
        <w:rPr>
          <w:color w:val="231F20"/>
          <w:spacing w:val="-6"/>
          <w:sz w:val="24"/>
        </w:rPr>
        <w:t> </w:t>
      </w:r>
      <w:r>
        <w:rPr>
          <w:color w:val="231F20"/>
          <w:spacing w:val="-4"/>
          <w:sz w:val="24"/>
        </w:rPr>
        <w:t>(FIDH)</w:t>
      </w:r>
      <w:r>
        <w:rPr>
          <w:color w:val="231F20"/>
          <w:spacing w:val="-6"/>
          <w:sz w:val="24"/>
        </w:rPr>
        <w:t> </w:t>
      </w:r>
      <w:r>
        <w:rPr>
          <w:color w:val="231F20"/>
          <w:spacing w:val="-4"/>
          <w:sz w:val="24"/>
        </w:rPr>
        <w:t>accable le</w:t>
      </w:r>
      <w:r>
        <w:rPr>
          <w:color w:val="231F20"/>
          <w:spacing w:val="-5"/>
          <w:sz w:val="24"/>
        </w:rPr>
        <w:t> </w:t>
      </w:r>
      <w:r>
        <w:rPr>
          <w:color w:val="231F20"/>
          <w:spacing w:val="-4"/>
          <w:sz w:val="24"/>
        </w:rPr>
        <w:t>régime</w:t>
      </w:r>
      <w:r>
        <w:rPr>
          <w:color w:val="231F20"/>
          <w:spacing w:val="-7"/>
          <w:sz w:val="24"/>
        </w:rPr>
        <w:t> </w:t>
      </w:r>
      <w:r>
        <w:rPr>
          <w:color w:val="231F20"/>
          <w:spacing w:val="-4"/>
          <w:sz w:val="24"/>
        </w:rPr>
        <w:t>dans</w:t>
      </w:r>
      <w:r>
        <w:rPr>
          <w:color w:val="231F20"/>
          <w:spacing w:val="-6"/>
          <w:sz w:val="24"/>
        </w:rPr>
        <w:t> </w:t>
      </w:r>
      <w:r>
        <w:rPr>
          <w:color w:val="231F20"/>
          <w:spacing w:val="-4"/>
          <w:sz w:val="24"/>
        </w:rPr>
        <w:t>un</w:t>
      </w:r>
      <w:r>
        <w:rPr>
          <w:color w:val="231F20"/>
          <w:spacing w:val="-6"/>
          <w:sz w:val="24"/>
        </w:rPr>
        <w:t> </w:t>
      </w:r>
      <w:r>
        <w:rPr>
          <w:color w:val="231F20"/>
          <w:spacing w:val="-4"/>
          <w:sz w:val="24"/>
        </w:rPr>
        <w:t>rapport</w:t>
      </w:r>
      <w:r>
        <w:rPr>
          <w:color w:val="231F20"/>
          <w:spacing w:val="-8"/>
          <w:sz w:val="24"/>
        </w:rPr>
        <w:t> </w:t>
      </w:r>
      <w:r>
        <w:rPr>
          <w:color w:val="231F20"/>
          <w:spacing w:val="-4"/>
          <w:sz w:val="24"/>
        </w:rPr>
        <w:t>intitulé</w:t>
      </w:r>
      <w:r>
        <w:rPr>
          <w:color w:val="231F20"/>
          <w:spacing w:val="-7"/>
          <w:sz w:val="24"/>
        </w:rPr>
        <w:t> </w:t>
      </w:r>
      <w:r>
        <w:rPr>
          <w:color w:val="231F20"/>
          <w:spacing w:val="-4"/>
          <w:sz w:val="24"/>
        </w:rPr>
        <w:t>«</w:t>
      </w:r>
      <w:r>
        <w:rPr>
          <w:color w:val="231F20"/>
          <w:sz w:val="24"/>
        </w:rPr>
        <w:t> </w:t>
      </w:r>
      <w:r>
        <w:rPr>
          <w:i/>
          <w:color w:val="231F20"/>
          <w:spacing w:val="-4"/>
          <w:sz w:val="24"/>
        </w:rPr>
        <w:t>Togo,</w:t>
      </w:r>
      <w:r>
        <w:rPr>
          <w:i/>
          <w:color w:val="231F20"/>
          <w:spacing w:val="-10"/>
          <w:sz w:val="24"/>
        </w:rPr>
        <w:t> </w:t>
      </w:r>
      <w:r>
        <w:rPr>
          <w:i/>
          <w:color w:val="231F20"/>
          <w:spacing w:val="-4"/>
          <w:sz w:val="24"/>
        </w:rPr>
        <w:t>l’arbitraire</w:t>
      </w:r>
      <w:r>
        <w:rPr>
          <w:i/>
          <w:color w:val="231F20"/>
          <w:spacing w:val="-5"/>
          <w:sz w:val="24"/>
        </w:rPr>
        <w:t> </w:t>
      </w:r>
      <w:r>
        <w:rPr>
          <w:i/>
          <w:color w:val="231F20"/>
          <w:spacing w:val="-4"/>
          <w:sz w:val="24"/>
        </w:rPr>
        <w:t>comme</w:t>
      </w:r>
      <w:r>
        <w:rPr>
          <w:i/>
          <w:color w:val="231F20"/>
          <w:spacing w:val="-7"/>
          <w:sz w:val="24"/>
        </w:rPr>
        <w:t> </w:t>
      </w:r>
      <w:r>
        <w:rPr>
          <w:i/>
          <w:color w:val="231F20"/>
          <w:spacing w:val="-4"/>
          <w:sz w:val="24"/>
        </w:rPr>
        <w:t>norme</w:t>
      </w:r>
      <w:r>
        <w:rPr>
          <w:i/>
          <w:color w:val="231F20"/>
          <w:spacing w:val="-7"/>
          <w:sz w:val="24"/>
        </w:rPr>
        <w:t> </w:t>
      </w:r>
      <w:r>
        <w:rPr>
          <w:i/>
          <w:color w:val="231F20"/>
          <w:spacing w:val="-4"/>
          <w:sz w:val="24"/>
        </w:rPr>
        <w:t>et</w:t>
      </w:r>
      <w:r>
        <w:rPr>
          <w:i/>
          <w:color w:val="231F20"/>
          <w:spacing w:val="-6"/>
          <w:sz w:val="24"/>
        </w:rPr>
        <w:t> </w:t>
      </w:r>
      <w:r>
        <w:rPr>
          <w:i/>
          <w:color w:val="231F20"/>
          <w:spacing w:val="-4"/>
          <w:sz w:val="24"/>
        </w:rPr>
        <w:t>37</w:t>
      </w:r>
      <w:r>
        <w:rPr>
          <w:i/>
          <w:color w:val="231F20"/>
          <w:spacing w:val="-4"/>
          <w:sz w:val="24"/>
        </w:rPr>
        <w:t> </w:t>
      </w:r>
      <w:r>
        <w:rPr>
          <w:i/>
          <w:color w:val="231F20"/>
          <w:sz w:val="24"/>
        </w:rPr>
        <w:t>ans de dictature</w:t>
      </w:r>
      <w:r>
        <w:rPr>
          <w:color w:val="231F20"/>
          <w:sz w:val="24"/>
          <w:vertAlign w:val="superscript"/>
        </w:rPr>
        <w:t>95</w:t>
      </w:r>
      <w:r>
        <w:rPr>
          <w:color w:val="231F20"/>
          <w:spacing w:val="-7"/>
          <w:sz w:val="24"/>
          <w:vertAlign w:val="baseline"/>
        </w:rPr>
        <w:t> </w:t>
      </w:r>
      <w:r>
        <w:rPr>
          <w:color w:val="231F20"/>
          <w:sz w:val="24"/>
          <w:vertAlign w:val="baseline"/>
        </w:rPr>
        <w:t>». Elle dénonce «</w:t>
      </w:r>
      <w:r>
        <w:rPr>
          <w:color w:val="231F20"/>
          <w:spacing w:val="-15"/>
          <w:sz w:val="24"/>
          <w:vertAlign w:val="baseline"/>
        </w:rPr>
        <w:t> </w:t>
      </w:r>
      <w:r>
        <w:rPr>
          <w:i/>
          <w:color w:val="231F20"/>
          <w:sz w:val="24"/>
          <w:vertAlign w:val="baseline"/>
        </w:rPr>
        <w:t>la torture systématique dans les</w:t>
      </w:r>
      <w:r>
        <w:rPr>
          <w:i/>
          <w:color w:val="231F20"/>
          <w:sz w:val="24"/>
          <w:vertAlign w:val="baseline"/>
        </w:rPr>
        <w:t> commissariats en toute impunité, la justice aux ordres du pouvoir, les prisons surpeuplées et les élections truquées.</w:t>
      </w:r>
      <w:r>
        <w:rPr>
          <w:i/>
          <w:color w:val="231F20"/>
          <w:spacing w:val="-21"/>
          <w:sz w:val="24"/>
          <w:vertAlign w:val="baseline"/>
        </w:rPr>
        <w:t> </w:t>
      </w:r>
      <w:r>
        <w:rPr>
          <w:color w:val="231F20"/>
          <w:sz w:val="24"/>
          <w:vertAlign w:val="baseline"/>
        </w:rPr>
        <w:t>»</w:t>
      </w:r>
    </w:p>
    <w:p>
      <w:pPr>
        <w:pStyle w:val="BodyText"/>
        <w:spacing w:before="120"/>
        <w:ind w:right="105" w:firstLine="283"/>
      </w:pPr>
      <w:r>
        <w:rPr>
          <w:color w:val="231F20"/>
          <w:spacing w:val="-2"/>
        </w:rPr>
        <w:t>Le</w:t>
      </w:r>
      <w:r>
        <w:rPr>
          <w:color w:val="231F20"/>
          <w:spacing w:val="-13"/>
        </w:rPr>
        <w:t> </w:t>
      </w:r>
      <w:r>
        <w:rPr>
          <w:color w:val="231F20"/>
          <w:spacing w:val="-2"/>
        </w:rPr>
        <w:t>général-Président</w:t>
      </w:r>
      <w:r>
        <w:rPr>
          <w:color w:val="231F20"/>
          <w:spacing w:val="-13"/>
        </w:rPr>
        <w:t> </w:t>
      </w:r>
      <w:r>
        <w:rPr>
          <w:color w:val="231F20"/>
          <w:spacing w:val="-2"/>
        </w:rPr>
        <w:t>Étienne</w:t>
      </w:r>
      <w:r>
        <w:rPr>
          <w:color w:val="231F20"/>
          <w:spacing w:val="-13"/>
        </w:rPr>
        <w:t> </w:t>
      </w:r>
      <w:r>
        <w:rPr>
          <w:color w:val="231F20"/>
          <w:spacing w:val="-2"/>
        </w:rPr>
        <w:t>Éyadéma</w:t>
      </w:r>
      <w:r>
        <w:rPr>
          <w:color w:val="231F20"/>
          <w:spacing w:val="-13"/>
        </w:rPr>
        <w:t> </w:t>
      </w:r>
      <w:r>
        <w:rPr>
          <w:color w:val="231F20"/>
          <w:spacing w:val="-2"/>
        </w:rPr>
        <w:t>Gnassingbé</w:t>
      </w:r>
      <w:r>
        <w:rPr>
          <w:color w:val="231F20"/>
          <w:spacing w:val="-13"/>
        </w:rPr>
        <w:t> </w:t>
      </w:r>
      <w:r>
        <w:rPr>
          <w:color w:val="231F20"/>
          <w:spacing w:val="-2"/>
        </w:rPr>
        <w:t>est</w:t>
      </w:r>
      <w:r>
        <w:rPr>
          <w:color w:val="231F20"/>
          <w:spacing w:val="-13"/>
        </w:rPr>
        <w:t> </w:t>
      </w:r>
      <w:r>
        <w:rPr>
          <w:color w:val="231F20"/>
          <w:spacing w:val="-2"/>
        </w:rPr>
        <w:t>un</w:t>
      </w:r>
      <w:r>
        <w:rPr>
          <w:color w:val="231F20"/>
          <w:spacing w:val="-13"/>
        </w:rPr>
        <w:t> </w:t>
      </w:r>
      <w:r>
        <w:rPr>
          <w:color w:val="231F20"/>
          <w:spacing w:val="-2"/>
        </w:rPr>
        <w:t>grand</w:t>
      </w:r>
      <w:r>
        <w:rPr>
          <w:color w:val="231F20"/>
          <w:spacing w:val="-13"/>
        </w:rPr>
        <w:t> </w:t>
      </w:r>
      <w:r>
        <w:rPr>
          <w:color w:val="231F20"/>
          <w:spacing w:val="-2"/>
        </w:rPr>
        <w:t>«</w:t>
      </w:r>
      <w:r>
        <w:rPr>
          <w:color w:val="231F20"/>
          <w:spacing w:val="-13"/>
        </w:rPr>
        <w:t> </w:t>
      </w:r>
      <w:r>
        <w:rPr>
          <w:i/>
          <w:color w:val="231F20"/>
          <w:spacing w:val="-2"/>
        </w:rPr>
        <w:t>ami</w:t>
      </w:r>
      <w:r>
        <w:rPr>
          <w:i/>
          <w:color w:val="231F20"/>
          <w:spacing w:val="-2"/>
        </w:rPr>
        <w:t> </w:t>
      </w:r>
      <w:r>
        <w:rPr>
          <w:i/>
          <w:color w:val="231F20"/>
        </w:rPr>
        <w:t>de la France</w:t>
      </w:r>
      <w:r>
        <w:rPr>
          <w:i/>
          <w:color w:val="231F20"/>
          <w:spacing w:val="-14"/>
        </w:rPr>
        <w:t> </w:t>
      </w:r>
      <w:r>
        <w:rPr>
          <w:i/>
          <w:color w:val="231F20"/>
        </w:rPr>
        <w:t>»</w:t>
      </w:r>
      <w:r>
        <w:rPr>
          <w:color w:val="231F20"/>
        </w:rPr>
        <w:t>. A l’instar de tous ses pairs d’Afrique francophone, le président Éyadéma se soigne en Europe ou aux USA. En ce 3 février </w:t>
      </w:r>
      <w:r>
        <w:rPr>
          <w:color w:val="231F20"/>
          <w:spacing w:val="-4"/>
        </w:rPr>
        <w:t>2005,</w:t>
      </w:r>
      <w:r>
        <w:rPr>
          <w:color w:val="231F20"/>
          <w:spacing w:val="-6"/>
        </w:rPr>
        <w:t> </w:t>
      </w:r>
      <w:r>
        <w:rPr>
          <w:color w:val="231F20"/>
          <w:spacing w:val="-4"/>
        </w:rPr>
        <w:t>son</w:t>
      </w:r>
      <w:r>
        <w:rPr>
          <w:color w:val="231F20"/>
          <w:spacing w:val="-6"/>
        </w:rPr>
        <w:t> </w:t>
      </w:r>
      <w:r>
        <w:rPr>
          <w:color w:val="231F20"/>
          <w:spacing w:val="-4"/>
        </w:rPr>
        <w:t>état</w:t>
      </w:r>
      <w:r>
        <w:rPr>
          <w:color w:val="231F20"/>
          <w:spacing w:val="-6"/>
        </w:rPr>
        <w:t> </w:t>
      </w:r>
      <w:r>
        <w:rPr>
          <w:color w:val="231F20"/>
          <w:spacing w:val="-4"/>
        </w:rPr>
        <w:t>de</w:t>
      </w:r>
      <w:r>
        <w:rPr>
          <w:color w:val="231F20"/>
          <w:spacing w:val="-7"/>
        </w:rPr>
        <w:t> </w:t>
      </w:r>
      <w:r>
        <w:rPr>
          <w:color w:val="231F20"/>
          <w:spacing w:val="-4"/>
        </w:rPr>
        <w:t>santé</w:t>
      </w:r>
      <w:r>
        <w:rPr>
          <w:color w:val="231F20"/>
          <w:spacing w:val="-3"/>
        </w:rPr>
        <w:t> </w:t>
      </w:r>
      <w:r>
        <w:rPr>
          <w:color w:val="231F20"/>
          <w:spacing w:val="-4"/>
        </w:rPr>
        <w:t>nécessite</w:t>
      </w:r>
      <w:r>
        <w:rPr>
          <w:color w:val="231F20"/>
          <w:spacing w:val="-7"/>
        </w:rPr>
        <w:t> </w:t>
      </w:r>
      <w:r>
        <w:rPr>
          <w:color w:val="231F20"/>
          <w:spacing w:val="-4"/>
        </w:rPr>
        <w:t>son</w:t>
      </w:r>
      <w:r>
        <w:rPr>
          <w:color w:val="231F20"/>
          <w:spacing w:val="-6"/>
        </w:rPr>
        <w:t> </w:t>
      </w:r>
      <w:r>
        <w:rPr>
          <w:color w:val="231F20"/>
          <w:spacing w:val="-4"/>
        </w:rPr>
        <w:t>transfert dans</w:t>
      </w:r>
      <w:r>
        <w:rPr>
          <w:color w:val="231F20"/>
          <w:spacing w:val="-9"/>
        </w:rPr>
        <w:t> </w:t>
      </w:r>
      <w:r>
        <w:rPr>
          <w:color w:val="231F20"/>
          <w:spacing w:val="-4"/>
        </w:rPr>
        <w:t>un hôpital</w:t>
      </w:r>
      <w:r>
        <w:rPr>
          <w:color w:val="231F20"/>
          <w:spacing w:val="-5"/>
        </w:rPr>
        <w:t> </w:t>
      </w:r>
      <w:r>
        <w:rPr>
          <w:color w:val="231F20"/>
          <w:spacing w:val="-4"/>
        </w:rPr>
        <w:t>à</w:t>
      </w:r>
      <w:r>
        <w:rPr>
          <w:color w:val="231F20"/>
          <w:spacing w:val="-7"/>
        </w:rPr>
        <w:t> </w:t>
      </w:r>
      <w:r>
        <w:rPr>
          <w:color w:val="231F20"/>
          <w:spacing w:val="-4"/>
        </w:rPr>
        <w:t>l’étranger.</w:t>
      </w:r>
    </w:p>
    <w:p>
      <w:pPr>
        <w:spacing w:before="121"/>
        <w:ind w:left="111" w:right="104" w:firstLine="0"/>
        <w:jc w:val="both"/>
        <w:rPr>
          <w:i/>
          <w:sz w:val="24"/>
        </w:rPr>
      </w:pPr>
      <w:r>
        <w:rPr>
          <w:i/>
          <w:color w:val="231F20"/>
          <w:sz w:val="24"/>
        </w:rPr>
        <w:t>«</w:t>
      </w:r>
      <w:r>
        <w:rPr>
          <w:i/>
          <w:color w:val="231F20"/>
          <w:spacing w:val="-15"/>
          <w:sz w:val="24"/>
        </w:rPr>
        <w:t> </w:t>
      </w:r>
      <w:r>
        <w:rPr>
          <w:i/>
          <w:color w:val="231F20"/>
          <w:sz w:val="24"/>
        </w:rPr>
        <w:t>(…)</w:t>
      </w:r>
      <w:r>
        <w:rPr>
          <w:i/>
          <w:color w:val="231F20"/>
          <w:spacing w:val="-15"/>
          <w:sz w:val="24"/>
        </w:rPr>
        <w:t> </w:t>
      </w:r>
      <w:r>
        <w:rPr>
          <w:i/>
          <w:color w:val="231F20"/>
          <w:sz w:val="24"/>
        </w:rPr>
        <w:t>Ce</w:t>
      </w:r>
      <w:r>
        <w:rPr>
          <w:i/>
          <w:color w:val="231F20"/>
          <w:spacing w:val="-15"/>
          <w:sz w:val="24"/>
        </w:rPr>
        <w:t> </w:t>
      </w:r>
      <w:r>
        <w:rPr>
          <w:i/>
          <w:color w:val="231F20"/>
          <w:sz w:val="24"/>
        </w:rPr>
        <w:t>n’est</w:t>
      </w:r>
      <w:r>
        <w:rPr>
          <w:i/>
          <w:color w:val="231F20"/>
          <w:spacing w:val="-15"/>
          <w:sz w:val="24"/>
        </w:rPr>
        <w:t> </w:t>
      </w:r>
      <w:r>
        <w:rPr>
          <w:i/>
          <w:color w:val="231F20"/>
          <w:sz w:val="24"/>
        </w:rPr>
        <w:t>que</w:t>
      </w:r>
      <w:r>
        <w:rPr>
          <w:i/>
          <w:color w:val="231F20"/>
          <w:spacing w:val="-15"/>
          <w:sz w:val="24"/>
        </w:rPr>
        <w:t> </w:t>
      </w:r>
      <w:r>
        <w:rPr>
          <w:i/>
          <w:color w:val="231F20"/>
          <w:sz w:val="24"/>
        </w:rPr>
        <w:t>le</w:t>
      </w:r>
      <w:r>
        <w:rPr>
          <w:i/>
          <w:color w:val="231F20"/>
          <w:spacing w:val="-15"/>
          <w:sz w:val="24"/>
        </w:rPr>
        <w:t> </w:t>
      </w:r>
      <w:r>
        <w:rPr>
          <w:i/>
          <w:color w:val="231F20"/>
          <w:sz w:val="24"/>
        </w:rPr>
        <w:t>lendemain,</w:t>
      </w:r>
      <w:r>
        <w:rPr>
          <w:i/>
          <w:color w:val="231F20"/>
          <w:spacing w:val="-15"/>
          <w:sz w:val="24"/>
        </w:rPr>
        <w:t> </w:t>
      </w:r>
      <w:r>
        <w:rPr>
          <w:i/>
          <w:color w:val="231F20"/>
          <w:sz w:val="24"/>
        </w:rPr>
        <w:t>samedi</w:t>
      </w:r>
      <w:r>
        <w:rPr>
          <w:i/>
          <w:color w:val="231F20"/>
          <w:spacing w:val="-15"/>
          <w:sz w:val="24"/>
        </w:rPr>
        <w:t> </w:t>
      </w:r>
      <w:r>
        <w:rPr>
          <w:i/>
          <w:color w:val="231F20"/>
          <w:sz w:val="24"/>
        </w:rPr>
        <w:t>5</w:t>
      </w:r>
      <w:r>
        <w:rPr>
          <w:i/>
          <w:color w:val="231F20"/>
          <w:spacing w:val="-15"/>
          <w:sz w:val="24"/>
        </w:rPr>
        <w:t> </w:t>
      </w:r>
      <w:r>
        <w:rPr>
          <w:i/>
          <w:color w:val="231F20"/>
          <w:sz w:val="24"/>
        </w:rPr>
        <w:t>vers</w:t>
      </w:r>
      <w:r>
        <w:rPr>
          <w:i/>
          <w:color w:val="231F20"/>
          <w:spacing w:val="-15"/>
          <w:sz w:val="24"/>
        </w:rPr>
        <w:t> </w:t>
      </w:r>
      <w:r>
        <w:rPr>
          <w:i/>
          <w:color w:val="231F20"/>
          <w:sz w:val="24"/>
        </w:rPr>
        <w:t>4</w:t>
      </w:r>
      <w:r>
        <w:rPr>
          <w:i/>
          <w:color w:val="231F20"/>
          <w:spacing w:val="-15"/>
          <w:sz w:val="24"/>
        </w:rPr>
        <w:t> </w:t>
      </w:r>
      <w:r>
        <w:rPr>
          <w:i/>
          <w:color w:val="231F20"/>
          <w:sz w:val="24"/>
        </w:rPr>
        <w:t>heures</w:t>
      </w:r>
      <w:r>
        <w:rPr>
          <w:i/>
          <w:color w:val="231F20"/>
          <w:spacing w:val="-15"/>
          <w:sz w:val="24"/>
        </w:rPr>
        <w:t> </w:t>
      </w:r>
      <w:r>
        <w:rPr>
          <w:i/>
          <w:color w:val="231F20"/>
          <w:sz w:val="24"/>
        </w:rPr>
        <w:t>du</w:t>
      </w:r>
      <w:r>
        <w:rPr>
          <w:i/>
          <w:color w:val="231F20"/>
          <w:spacing w:val="-15"/>
          <w:sz w:val="24"/>
        </w:rPr>
        <w:t> </w:t>
      </w:r>
      <w:r>
        <w:rPr>
          <w:i/>
          <w:color w:val="231F20"/>
          <w:sz w:val="24"/>
        </w:rPr>
        <w:t>matin,</w:t>
      </w:r>
      <w:r>
        <w:rPr>
          <w:i/>
          <w:color w:val="231F20"/>
          <w:spacing w:val="-15"/>
          <w:sz w:val="24"/>
        </w:rPr>
        <w:t> </w:t>
      </w:r>
      <w:r>
        <w:rPr>
          <w:i/>
          <w:color w:val="231F20"/>
          <w:sz w:val="24"/>
        </w:rPr>
        <w:t>qu’un</w:t>
      </w:r>
      <w:r>
        <w:rPr>
          <w:i/>
          <w:color w:val="231F20"/>
          <w:sz w:val="24"/>
        </w:rPr>
        <w:t> convoi</w:t>
      </w:r>
      <w:r>
        <w:rPr>
          <w:i/>
          <w:color w:val="231F20"/>
          <w:spacing w:val="-12"/>
          <w:sz w:val="24"/>
        </w:rPr>
        <w:t> </w:t>
      </w:r>
      <w:r>
        <w:rPr>
          <w:i/>
          <w:color w:val="231F20"/>
          <w:sz w:val="24"/>
        </w:rPr>
        <w:t>comprenant</w:t>
      </w:r>
      <w:r>
        <w:rPr>
          <w:i/>
          <w:color w:val="231F20"/>
          <w:spacing w:val="-12"/>
          <w:sz w:val="24"/>
        </w:rPr>
        <w:t> </w:t>
      </w:r>
      <w:r>
        <w:rPr>
          <w:i/>
          <w:color w:val="231F20"/>
          <w:sz w:val="24"/>
        </w:rPr>
        <w:t>une</w:t>
      </w:r>
      <w:r>
        <w:rPr>
          <w:i/>
          <w:color w:val="231F20"/>
          <w:spacing w:val="-13"/>
          <w:sz w:val="24"/>
        </w:rPr>
        <w:t> </w:t>
      </w:r>
      <w:r>
        <w:rPr>
          <w:i/>
          <w:color w:val="231F20"/>
          <w:sz w:val="24"/>
        </w:rPr>
        <w:t>ambulance</w:t>
      </w:r>
      <w:r>
        <w:rPr>
          <w:i/>
          <w:color w:val="231F20"/>
          <w:spacing w:val="-13"/>
          <w:sz w:val="24"/>
        </w:rPr>
        <w:t> </w:t>
      </w:r>
      <w:r>
        <w:rPr>
          <w:i/>
          <w:color w:val="231F20"/>
          <w:sz w:val="24"/>
        </w:rPr>
        <w:t>s’immobilise</w:t>
      </w:r>
      <w:r>
        <w:rPr>
          <w:i/>
          <w:color w:val="231F20"/>
          <w:spacing w:val="-13"/>
          <w:sz w:val="24"/>
        </w:rPr>
        <w:t> </w:t>
      </w:r>
      <w:r>
        <w:rPr>
          <w:i/>
          <w:color w:val="231F20"/>
          <w:sz w:val="24"/>
        </w:rPr>
        <w:t>au</w:t>
      </w:r>
      <w:r>
        <w:rPr>
          <w:i/>
          <w:color w:val="231F20"/>
          <w:spacing w:val="-11"/>
          <w:sz w:val="24"/>
        </w:rPr>
        <w:t> </w:t>
      </w:r>
      <w:r>
        <w:rPr>
          <w:i/>
          <w:color w:val="231F20"/>
          <w:sz w:val="24"/>
        </w:rPr>
        <w:t>pied</w:t>
      </w:r>
      <w:r>
        <w:rPr>
          <w:i/>
          <w:color w:val="231F20"/>
          <w:spacing w:val="-13"/>
          <w:sz w:val="24"/>
        </w:rPr>
        <w:t> </w:t>
      </w:r>
      <w:r>
        <w:rPr>
          <w:i/>
          <w:color w:val="231F20"/>
          <w:sz w:val="24"/>
        </w:rPr>
        <w:t>de</w:t>
      </w:r>
      <w:r>
        <w:rPr>
          <w:i/>
          <w:color w:val="231F20"/>
          <w:spacing w:val="-13"/>
          <w:sz w:val="24"/>
        </w:rPr>
        <w:t> </w:t>
      </w:r>
      <w:r>
        <w:rPr>
          <w:i/>
          <w:color w:val="231F20"/>
          <w:sz w:val="24"/>
        </w:rPr>
        <w:t>l’échelle</w:t>
      </w:r>
      <w:r>
        <w:rPr>
          <w:i/>
          <w:color w:val="231F20"/>
          <w:spacing w:val="-13"/>
          <w:sz w:val="24"/>
        </w:rPr>
        <w:t> </w:t>
      </w:r>
      <w:r>
        <w:rPr>
          <w:i/>
          <w:color w:val="231F20"/>
          <w:sz w:val="24"/>
        </w:rPr>
        <w:t>de coupée. Le</w:t>
      </w:r>
      <w:r>
        <w:rPr>
          <w:i/>
          <w:color w:val="231F20"/>
          <w:spacing w:val="-1"/>
          <w:sz w:val="24"/>
        </w:rPr>
        <w:t> </w:t>
      </w:r>
      <w:r>
        <w:rPr>
          <w:i/>
          <w:color w:val="231F20"/>
          <w:sz w:val="24"/>
        </w:rPr>
        <w:t>président est</w:t>
      </w:r>
      <w:r>
        <w:rPr>
          <w:i/>
          <w:color w:val="231F20"/>
          <w:spacing w:val="-2"/>
          <w:sz w:val="24"/>
        </w:rPr>
        <w:t> </w:t>
      </w:r>
      <w:r>
        <w:rPr>
          <w:i/>
          <w:color w:val="231F20"/>
          <w:sz w:val="24"/>
        </w:rPr>
        <w:t>hissé</w:t>
      </w:r>
      <w:r>
        <w:rPr>
          <w:i/>
          <w:color w:val="231F20"/>
          <w:spacing w:val="-2"/>
          <w:sz w:val="24"/>
        </w:rPr>
        <w:t> </w:t>
      </w:r>
      <w:r>
        <w:rPr>
          <w:i/>
          <w:color w:val="231F20"/>
          <w:sz w:val="24"/>
        </w:rPr>
        <w:t>sur une civière. Vingt minutes plus tard, </w:t>
      </w:r>
      <w:r>
        <w:rPr>
          <w:i/>
          <w:color w:val="231F20"/>
          <w:spacing w:val="-4"/>
          <w:sz w:val="24"/>
        </w:rPr>
        <w:t>l’appareil</w:t>
      </w:r>
      <w:r>
        <w:rPr>
          <w:i/>
          <w:color w:val="231F20"/>
          <w:spacing w:val="-11"/>
          <w:sz w:val="24"/>
        </w:rPr>
        <w:t> </w:t>
      </w:r>
      <w:r>
        <w:rPr>
          <w:i/>
          <w:color w:val="231F20"/>
          <w:spacing w:val="-4"/>
          <w:sz w:val="24"/>
        </w:rPr>
        <w:t>décolle</w:t>
      </w:r>
      <w:r>
        <w:rPr>
          <w:i/>
          <w:color w:val="231F20"/>
          <w:spacing w:val="-11"/>
          <w:sz w:val="24"/>
        </w:rPr>
        <w:t> </w:t>
      </w:r>
      <w:r>
        <w:rPr>
          <w:i/>
          <w:color w:val="231F20"/>
          <w:spacing w:val="-4"/>
          <w:sz w:val="24"/>
        </w:rPr>
        <w:t>(…)</w:t>
      </w:r>
      <w:r>
        <w:rPr>
          <w:i/>
          <w:color w:val="231F20"/>
          <w:spacing w:val="-11"/>
          <w:sz w:val="24"/>
        </w:rPr>
        <w:t> </w:t>
      </w:r>
      <w:r>
        <w:rPr>
          <w:i/>
          <w:color w:val="231F20"/>
          <w:spacing w:val="-4"/>
          <w:sz w:val="24"/>
        </w:rPr>
        <w:t>8</w:t>
      </w:r>
      <w:r>
        <w:rPr>
          <w:i/>
          <w:color w:val="231F20"/>
          <w:spacing w:val="-11"/>
          <w:sz w:val="24"/>
        </w:rPr>
        <w:t> </w:t>
      </w:r>
      <w:r>
        <w:rPr>
          <w:i/>
          <w:color w:val="231F20"/>
          <w:spacing w:val="-4"/>
          <w:sz w:val="24"/>
        </w:rPr>
        <w:t>heures</w:t>
      </w:r>
      <w:r>
        <w:rPr>
          <w:i/>
          <w:color w:val="231F20"/>
          <w:spacing w:val="-11"/>
          <w:sz w:val="24"/>
        </w:rPr>
        <w:t> </w:t>
      </w:r>
      <w:r>
        <w:rPr>
          <w:i/>
          <w:color w:val="231F20"/>
          <w:spacing w:val="-4"/>
          <w:sz w:val="24"/>
        </w:rPr>
        <w:t>du</w:t>
      </w:r>
      <w:r>
        <w:rPr>
          <w:i/>
          <w:color w:val="231F20"/>
          <w:spacing w:val="-11"/>
          <w:sz w:val="24"/>
        </w:rPr>
        <w:t> </w:t>
      </w:r>
      <w:r>
        <w:rPr>
          <w:i/>
          <w:color w:val="231F20"/>
          <w:spacing w:val="-4"/>
          <w:sz w:val="24"/>
        </w:rPr>
        <w:t>matin,</w:t>
      </w:r>
      <w:r>
        <w:rPr>
          <w:i/>
          <w:color w:val="231F20"/>
          <w:spacing w:val="-10"/>
          <w:sz w:val="24"/>
        </w:rPr>
        <w:t> </w:t>
      </w:r>
      <w:r>
        <w:rPr>
          <w:i/>
          <w:color w:val="231F20"/>
          <w:spacing w:val="-4"/>
          <w:sz w:val="24"/>
        </w:rPr>
        <w:t>ce</w:t>
      </w:r>
      <w:r>
        <w:rPr>
          <w:i/>
          <w:color w:val="231F20"/>
          <w:spacing w:val="-11"/>
          <w:sz w:val="24"/>
        </w:rPr>
        <w:t> </w:t>
      </w:r>
      <w:r>
        <w:rPr>
          <w:i/>
          <w:color w:val="231F20"/>
          <w:spacing w:val="-4"/>
          <w:sz w:val="24"/>
        </w:rPr>
        <w:t>samedi</w:t>
      </w:r>
      <w:r>
        <w:rPr>
          <w:i/>
          <w:color w:val="231F20"/>
          <w:spacing w:val="-11"/>
          <w:sz w:val="24"/>
        </w:rPr>
        <w:t> </w:t>
      </w:r>
      <w:r>
        <w:rPr>
          <w:i/>
          <w:color w:val="231F20"/>
          <w:spacing w:val="-4"/>
          <w:sz w:val="24"/>
        </w:rPr>
        <w:t>5</w:t>
      </w:r>
      <w:r>
        <w:rPr>
          <w:i/>
          <w:color w:val="231F20"/>
          <w:spacing w:val="-9"/>
          <w:sz w:val="24"/>
        </w:rPr>
        <w:t> </w:t>
      </w:r>
      <w:r>
        <w:rPr>
          <w:i/>
          <w:color w:val="231F20"/>
          <w:spacing w:val="-4"/>
          <w:sz w:val="24"/>
        </w:rPr>
        <w:t>février</w:t>
      </w:r>
      <w:r>
        <w:rPr>
          <w:i/>
          <w:color w:val="231F20"/>
          <w:spacing w:val="-11"/>
          <w:sz w:val="24"/>
        </w:rPr>
        <w:t> </w:t>
      </w:r>
      <w:r>
        <w:rPr>
          <w:i/>
          <w:color w:val="231F20"/>
          <w:spacing w:val="-4"/>
          <w:sz w:val="24"/>
        </w:rPr>
        <w:t>(…)</w:t>
      </w:r>
      <w:r>
        <w:rPr>
          <w:i/>
          <w:color w:val="231F20"/>
          <w:spacing w:val="-11"/>
          <w:sz w:val="24"/>
        </w:rPr>
        <w:t> </w:t>
      </w:r>
      <w:r>
        <w:rPr>
          <w:i/>
          <w:color w:val="231F20"/>
          <w:spacing w:val="-4"/>
          <w:sz w:val="24"/>
        </w:rPr>
        <w:t>la</w:t>
      </w:r>
      <w:r>
        <w:rPr>
          <w:i/>
          <w:color w:val="231F20"/>
          <w:spacing w:val="-11"/>
          <w:sz w:val="24"/>
        </w:rPr>
        <w:t> </w:t>
      </w:r>
      <w:r>
        <w:rPr>
          <w:i/>
          <w:color w:val="231F20"/>
          <w:spacing w:val="-4"/>
          <w:sz w:val="24"/>
        </w:rPr>
        <w:t>Libye interdit</w:t>
      </w:r>
      <w:r>
        <w:rPr>
          <w:i/>
          <w:color w:val="231F20"/>
          <w:spacing w:val="-11"/>
          <w:sz w:val="24"/>
        </w:rPr>
        <w:t> </w:t>
      </w:r>
      <w:r>
        <w:rPr>
          <w:i/>
          <w:color w:val="231F20"/>
          <w:spacing w:val="-4"/>
          <w:sz w:val="24"/>
        </w:rPr>
        <w:t>son</w:t>
      </w:r>
      <w:r>
        <w:rPr>
          <w:i/>
          <w:color w:val="231F20"/>
          <w:spacing w:val="-11"/>
          <w:sz w:val="24"/>
        </w:rPr>
        <w:t> </w:t>
      </w:r>
      <w:r>
        <w:rPr>
          <w:i/>
          <w:color w:val="231F20"/>
          <w:spacing w:val="-4"/>
          <w:sz w:val="24"/>
        </w:rPr>
        <w:t>espace</w:t>
      </w:r>
      <w:r>
        <w:rPr>
          <w:i/>
          <w:color w:val="231F20"/>
          <w:spacing w:val="-11"/>
          <w:sz w:val="24"/>
        </w:rPr>
        <w:t> </w:t>
      </w:r>
      <w:r>
        <w:rPr>
          <w:i/>
          <w:color w:val="231F20"/>
          <w:spacing w:val="-4"/>
          <w:sz w:val="24"/>
        </w:rPr>
        <w:t>aérien</w:t>
      </w:r>
      <w:r>
        <w:rPr>
          <w:i/>
          <w:color w:val="231F20"/>
          <w:spacing w:val="-11"/>
          <w:sz w:val="24"/>
        </w:rPr>
        <w:t> </w:t>
      </w:r>
      <w:r>
        <w:rPr>
          <w:i/>
          <w:color w:val="231F20"/>
          <w:spacing w:val="-4"/>
          <w:sz w:val="24"/>
        </w:rPr>
        <w:t>au</w:t>
      </w:r>
      <w:r>
        <w:rPr>
          <w:i/>
          <w:color w:val="231F20"/>
          <w:spacing w:val="-11"/>
          <w:sz w:val="24"/>
        </w:rPr>
        <w:t> </w:t>
      </w:r>
      <w:r>
        <w:rPr>
          <w:i/>
          <w:color w:val="231F20"/>
          <w:spacing w:val="-4"/>
          <w:sz w:val="24"/>
        </w:rPr>
        <w:t>vol</w:t>
      </w:r>
      <w:r>
        <w:rPr>
          <w:i/>
          <w:color w:val="231F20"/>
          <w:spacing w:val="-11"/>
          <w:sz w:val="24"/>
        </w:rPr>
        <w:t> </w:t>
      </w:r>
      <w:r>
        <w:rPr>
          <w:i/>
          <w:color w:val="231F20"/>
          <w:spacing w:val="-4"/>
          <w:sz w:val="24"/>
        </w:rPr>
        <w:t>présidentiel</w:t>
      </w:r>
      <w:r>
        <w:rPr>
          <w:i/>
          <w:color w:val="231F20"/>
          <w:spacing w:val="-11"/>
          <w:sz w:val="24"/>
        </w:rPr>
        <w:t> </w:t>
      </w:r>
      <w:r>
        <w:rPr>
          <w:i/>
          <w:color w:val="231F20"/>
          <w:spacing w:val="-4"/>
          <w:sz w:val="24"/>
        </w:rPr>
        <w:t>togolais</w:t>
      </w:r>
      <w:r>
        <w:rPr>
          <w:i/>
          <w:color w:val="231F20"/>
          <w:spacing w:val="-11"/>
          <w:sz w:val="24"/>
        </w:rPr>
        <w:t> </w:t>
      </w:r>
      <w:r>
        <w:rPr>
          <w:i/>
          <w:color w:val="231F20"/>
          <w:spacing w:val="-4"/>
          <w:sz w:val="24"/>
        </w:rPr>
        <w:t>!</w:t>
      </w:r>
      <w:r>
        <w:rPr>
          <w:i/>
          <w:color w:val="231F20"/>
          <w:spacing w:val="-11"/>
          <w:sz w:val="24"/>
        </w:rPr>
        <w:t> </w:t>
      </w:r>
      <w:r>
        <w:rPr>
          <w:i/>
          <w:color w:val="231F20"/>
          <w:spacing w:val="-4"/>
          <w:sz w:val="24"/>
        </w:rPr>
        <w:t>(…)</w:t>
      </w:r>
      <w:r>
        <w:rPr>
          <w:i/>
          <w:color w:val="231F20"/>
          <w:spacing w:val="-11"/>
          <w:sz w:val="24"/>
        </w:rPr>
        <w:t> </w:t>
      </w:r>
      <w:r>
        <w:rPr>
          <w:i/>
          <w:color w:val="231F20"/>
          <w:spacing w:val="-4"/>
          <w:sz w:val="24"/>
        </w:rPr>
        <w:t>Contactés</w:t>
      </w:r>
      <w:r>
        <w:rPr>
          <w:i/>
          <w:color w:val="231F20"/>
          <w:spacing w:val="-11"/>
          <w:sz w:val="24"/>
        </w:rPr>
        <w:t> </w:t>
      </w:r>
      <w:r>
        <w:rPr>
          <w:i/>
          <w:color w:val="231F20"/>
          <w:spacing w:val="-4"/>
          <w:sz w:val="24"/>
        </w:rPr>
        <w:t>par </w:t>
      </w:r>
      <w:r>
        <w:rPr>
          <w:i/>
          <w:color w:val="231F20"/>
          <w:sz w:val="24"/>
        </w:rPr>
        <w:t>les</w:t>
      </w:r>
      <w:r>
        <w:rPr>
          <w:i/>
          <w:color w:val="231F20"/>
          <w:spacing w:val="-15"/>
          <w:sz w:val="24"/>
        </w:rPr>
        <w:t> </w:t>
      </w:r>
      <w:r>
        <w:rPr>
          <w:i/>
          <w:color w:val="231F20"/>
          <w:sz w:val="24"/>
        </w:rPr>
        <w:t>Algériens,</w:t>
      </w:r>
      <w:r>
        <w:rPr>
          <w:i/>
          <w:color w:val="231F20"/>
          <w:spacing w:val="-15"/>
          <w:sz w:val="24"/>
        </w:rPr>
        <w:t> </w:t>
      </w:r>
      <w:r>
        <w:rPr>
          <w:i/>
          <w:color w:val="231F20"/>
          <w:sz w:val="24"/>
        </w:rPr>
        <w:t>les</w:t>
      </w:r>
      <w:r>
        <w:rPr>
          <w:i/>
          <w:color w:val="231F20"/>
          <w:spacing w:val="-15"/>
          <w:sz w:val="24"/>
        </w:rPr>
        <w:t> </w:t>
      </w:r>
      <w:r>
        <w:rPr>
          <w:i/>
          <w:color w:val="231F20"/>
          <w:sz w:val="24"/>
        </w:rPr>
        <w:t>Tunisiens</w:t>
      </w:r>
      <w:r>
        <w:rPr>
          <w:i/>
          <w:color w:val="231F20"/>
          <w:spacing w:val="-15"/>
          <w:sz w:val="24"/>
        </w:rPr>
        <w:t> </w:t>
      </w:r>
      <w:r>
        <w:rPr>
          <w:i/>
          <w:color w:val="231F20"/>
          <w:sz w:val="24"/>
        </w:rPr>
        <w:t>donnent</w:t>
      </w:r>
      <w:r>
        <w:rPr>
          <w:i/>
          <w:color w:val="231F20"/>
          <w:spacing w:val="-15"/>
          <w:sz w:val="24"/>
        </w:rPr>
        <w:t> </w:t>
      </w:r>
      <w:r>
        <w:rPr>
          <w:i/>
          <w:color w:val="231F20"/>
          <w:sz w:val="24"/>
        </w:rPr>
        <w:t>aussitôt</w:t>
      </w:r>
      <w:r>
        <w:rPr>
          <w:i/>
          <w:color w:val="231F20"/>
          <w:spacing w:val="-15"/>
          <w:sz w:val="24"/>
        </w:rPr>
        <w:t> </w:t>
      </w:r>
      <w:r>
        <w:rPr>
          <w:i/>
          <w:color w:val="231F20"/>
          <w:sz w:val="24"/>
        </w:rPr>
        <w:t>leur</w:t>
      </w:r>
      <w:r>
        <w:rPr>
          <w:i/>
          <w:color w:val="231F20"/>
          <w:spacing w:val="-15"/>
          <w:sz w:val="24"/>
        </w:rPr>
        <w:t> </w:t>
      </w:r>
      <w:r>
        <w:rPr>
          <w:i/>
          <w:color w:val="231F20"/>
          <w:sz w:val="24"/>
        </w:rPr>
        <w:t>accord.</w:t>
      </w:r>
      <w:r>
        <w:rPr>
          <w:i/>
          <w:color w:val="231F20"/>
          <w:spacing w:val="-15"/>
          <w:sz w:val="24"/>
        </w:rPr>
        <w:t> </w:t>
      </w:r>
      <w:r>
        <w:rPr>
          <w:i/>
          <w:color w:val="231F20"/>
          <w:sz w:val="24"/>
        </w:rPr>
        <w:t>Vers</w:t>
      </w:r>
      <w:r>
        <w:rPr>
          <w:i/>
          <w:color w:val="231F20"/>
          <w:spacing w:val="-15"/>
          <w:sz w:val="24"/>
        </w:rPr>
        <w:t> </w:t>
      </w:r>
      <w:r>
        <w:rPr>
          <w:i/>
          <w:color w:val="231F20"/>
          <w:sz w:val="24"/>
        </w:rPr>
        <w:t>9</w:t>
      </w:r>
      <w:r>
        <w:rPr>
          <w:i/>
          <w:color w:val="231F20"/>
          <w:spacing w:val="-15"/>
          <w:sz w:val="24"/>
        </w:rPr>
        <w:t> </w:t>
      </w:r>
      <w:r>
        <w:rPr>
          <w:i/>
          <w:color w:val="231F20"/>
          <w:sz w:val="24"/>
        </w:rPr>
        <w:t>heures, alors que l’avion est à 250 kilomètres au sud de Tunis, les médecins </w:t>
      </w:r>
      <w:r>
        <w:rPr>
          <w:i/>
          <w:color w:val="231F20"/>
          <w:spacing w:val="-2"/>
          <w:sz w:val="24"/>
        </w:rPr>
        <w:t>annoncent</w:t>
      </w:r>
      <w:r>
        <w:rPr>
          <w:i/>
          <w:color w:val="231F20"/>
          <w:spacing w:val="-11"/>
          <w:sz w:val="24"/>
        </w:rPr>
        <w:t> </w:t>
      </w:r>
      <w:r>
        <w:rPr>
          <w:i/>
          <w:color w:val="231F20"/>
          <w:spacing w:val="-2"/>
          <w:sz w:val="24"/>
        </w:rPr>
        <w:t>à</w:t>
      </w:r>
      <w:r>
        <w:rPr>
          <w:i/>
          <w:color w:val="231F20"/>
          <w:spacing w:val="-12"/>
          <w:sz w:val="24"/>
        </w:rPr>
        <w:t> </w:t>
      </w:r>
      <w:r>
        <w:rPr>
          <w:i/>
          <w:color w:val="231F20"/>
          <w:spacing w:val="-2"/>
          <w:sz w:val="24"/>
        </w:rPr>
        <w:t>la</w:t>
      </w:r>
      <w:r>
        <w:rPr>
          <w:i/>
          <w:color w:val="231F20"/>
          <w:spacing w:val="-11"/>
          <w:sz w:val="24"/>
        </w:rPr>
        <w:t> </w:t>
      </w:r>
      <w:r>
        <w:rPr>
          <w:i/>
          <w:color w:val="231F20"/>
          <w:spacing w:val="-2"/>
          <w:sz w:val="24"/>
        </w:rPr>
        <w:t>famille</w:t>
      </w:r>
      <w:r>
        <w:rPr>
          <w:i/>
          <w:color w:val="231F20"/>
          <w:spacing w:val="-11"/>
          <w:sz w:val="24"/>
        </w:rPr>
        <w:t> </w:t>
      </w:r>
      <w:r>
        <w:rPr>
          <w:i/>
          <w:color w:val="231F20"/>
          <w:spacing w:val="-2"/>
          <w:sz w:val="24"/>
        </w:rPr>
        <w:t>qu’une</w:t>
      </w:r>
      <w:r>
        <w:rPr>
          <w:i/>
          <w:color w:val="231F20"/>
          <w:spacing w:val="-9"/>
          <w:sz w:val="24"/>
        </w:rPr>
        <w:t> </w:t>
      </w:r>
      <w:r>
        <w:rPr>
          <w:i/>
          <w:color w:val="231F20"/>
          <w:spacing w:val="-2"/>
          <w:sz w:val="24"/>
        </w:rPr>
        <w:t>crise</w:t>
      </w:r>
      <w:r>
        <w:rPr>
          <w:i/>
          <w:color w:val="231F20"/>
          <w:spacing w:val="-12"/>
          <w:sz w:val="24"/>
        </w:rPr>
        <w:t> </w:t>
      </w:r>
      <w:r>
        <w:rPr>
          <w:i/>
          <w:color w:val="231F20"/>
          <w:spacing w:val="-2"/>
          <w:sz w:val="24"/>
        </w:rPr>
        <w:t>cardiaque</w:t>
      </w:r>
      <w:r>
        <w:rPr>
          <w:i/>
          <w:color w:val="231F20"/>
          <w:spacing w:val="-12"/>
          <w:sz w:val="24"/>
        </w:rPr>
        <w:t> </w:t>
      </w:r>
      <w:r>
        <w:rPr>
          <w:i/>
          <w:color w:val="231F20"/>
          <w:spacing w:val="-2"/>
          <w:sz w:val="24"/>
        </w:rPr>
        <w:t>vient</w:t>
      </w:r>
      <w:r>
        <w:rPr>
          <w:i/>
          <w:color w:val="231F20"/>
          <w:spacing w:val="-11"/>
          <w:sz w:val="24"/>
        </w:rPr>
        <w:t> </w:t>
      </w:r>
      <w:r>
        <w:rPr>
          <w:i/>
          <w:color w:val="231F20"/>
          <w:spacing w:val="-2"/>
          <w:sz w:val="24"/>
        </w:rPr>
        <w:t>d’emporter</w:t>
      </w:r>
      <w:r>
        <w:rPr>
          <w:i/>
          <w:color w:val="231F20"/>
          <w:spacing w:val="-11"/>
          <w:sz w:val="24"/>
        </w:rPr>
        <w:t> </w:t>
      </w:r>
      <w:r>
        <w:rPr>
          <w:i/>
          <w:color w:val="231F20"/>
          <w:spacing w:val="-2"/>
          <w:sz w:val="24"/>
        </w:rPr>
        <w:t>le</w:t>
      </w:r>
      <w:r>
        <w:rPr>
          <w:i/>
          <w:color w:val="231F20"/>
          <w:spacing w:val="-12"/>
          <w:sz w:val="24"/>
        </w:rPr>
        <w:t> </w:t>
      </w:r>
      <w:r>
        <w:rPr>
          <w:i/>
          <w:color w:val="231F20"/>
          <w:spacing w:val="-2"/>
          <w:sz w:val="24"/>
        </w:rPr>
        <w:t>Vieux. </w:t>
      </w:r>
      <w:r>
        <w:rPr>
          <w:i/>
          <w:color w:val="231F20"/>
          <w:sz w:val="24"/>
        </w:rPr>
        <w:t>À</w:t>
      </w:r>
      <w:r>
        <w:rPr>
          <w:i/>
          <w:color w:val="231F20"/>
          <w:spacing w:val="-12"/>
          <w:sz w:val="24"/>
        </w:rPr>
        <w:t> </w:t>
      </w:r>
      <w:r>
        <w:rPr>
          <w:i/>
          <w:color w:val="231F20"/>
          <w:sz w:val="24"/>
        </w:rPr>
        <w:t>69</w:t>
      </w:r>
      <w:r>
        <w:rPr>
          <w:i/>
          <w:color w:val="231F20"/>
          <w:spacing w:val="-12"/>
          <w:sz w:val="24"/>
        </w:rPr>
        <w:t> </w:t>
      </w:r>
      <w:r>
        <w:rPr>
          <w:i/>
          <w:color w:val="231F20"/>
          <w:sz w:val="24"/>
        </w:rPr>
        <w:t>ans,</w:t>
      </w:r>
      <w:r>
        <w:rPr>
          <w:i/>
          <w:color w:val="231F20"/>
          <w:spacing w:val="-12"/>
          <w:sz w:val="24"/>
        </w:rPr>
        <w:t> </w:t>
      </w:r>
      <w:r>
        <w:rPr>
          <w:i/>
          <w:color w:val="231F20"/>
          <w:sz w:val="24"/>
        </w:rPr>
        <w:t>dont</w:t>
      </w:r>
      <w:r>
        <w:rPr>
          <w:i/>
          <w:color w:val="231F20"/>
          <w:spacing w:val="-12"/>
          <w:sz w:val="24"/>
        </w:rPr>
        <w:t> </w:t>
      </w:r>
      <w:r>
        <w:rPr>
          <w:i/>
          <w:color w:val="231F20"/>
          <w:sz w:val="24"/>
        </w:rPr>
        <w:t>trente-huit</w:t>
      </w:r>
      <w:r>
        <w:rPr>
          <w:i/>
          <w:color w:val="231F20"/>
          <w:spacing w:val="-13"/>
          <w:sz w:val="24"/>
        </w:rPr>
        <w:t> </w:t>
      </w:r>
      <w:r>
        <w:rPr>
          <w:i/>
          <w:color w:val="231F20"/>
          <w:sz w:val="24"/>
        </w:rPr>
        <w:t>au</w:t>
      </w:r>
      <w:r>
        <w:rPr>
          <w:i/>
          <w:color w:val="231F20"/>
          <w:spacing w:val="-12"/>
          <w:sz w:val="24"/>
        </w:rPr>
        <w:t> </w:t>
      </w:r>
      <w:r>
        <w:rPr>
          <w:i/>
          <w:color w:val="231F20"/>
          <w:sz w:val="24"/>
        </w:rPr>
        <w:t>pouvoir,</w:t>
      </w:r>
      <w:r>
        <w:rPr>
          <w:i/>
          <w:color w:val="231F20"/>
          <w:spacing w:val="-12"/>
          <w:sz w:val="24"/>
        </w:rPr>
        <w:t> </w:t>
      </w:r>
      <w:r>
        <w:rPr>
          <w:i/>
          <w:color w:val="231F20"/>
          <w:sz w:val="24"/>
        </w:rPr>
        <w:t>Gnassingbé</w:t>
      </w:r>
      <w:r>
        <w:rPr>
          <w:i/>
          <w:color w:val="231F20"/>
          <w:spacing w:val="-12"/>
          <w:sz w:val="24"/>
        </w:rPr>
        <w:t> </w:t>
      </w:r>
      <w:r>
        <w:rPr>
          <w:color w:val="231F20"/>
          <w:sz w:val="24"/>
        </w:rPr>
        <w:t>É</w:t>
      </w:r>
      <w:r>
        <w:rPr>
          <w:i/>
          <w:color w:val="231F20"/>
          <w:sz w:val="24"/>
        </w:rPr>
        <w:t>yadéma</w:t>
      </w:r>
      <w:r>
        <w:rPr>
          <w:i/>
          <w:color w:val="231F20"/>
          <w:spacing w:val="-12"/>
          <w:sz w:val="24"/>
        </w:rPr>
        <w:t> </w:t>
      </w:r>
      <w:r>
        <w:rPr>
          <w:i/>
          <w:color w:val="231F20"/>
          <w:sz w:val="24"/>
        </w:rPr>
        <w:t>a</w:t>
      </w:r>
      <w:r>
        <w:rPr>
          <w:i/>
          <w:color w:val="231F20"/>
          <w:spacing w:val="-12"/>
          <w:sz w:val="24"/>
        </w:rPr>
        <w:t> </w:t>
      </w:r>
      <w:r>
        <w:rPr>
          <w:i/>
          <w:color w:val="231F20"/>
          <w:sz w:val="24"/>
        </w:rPr>
        <w:t>rejoint</w:t>
      </w:r>
      <w:r>
        <w:rPr>
          <w:i/>
          <w:color w:val="231F20"/>
          <w:spacing w:val="-12"/>
          <w:sz w:val="24"/>
        </w:rPr>
        <w:t> </w:t>
      </w:r>
      <w:r>
        <w:rPr>
          <w:i/>
          <w:color w:val="231F20"/>
          <w:sz w:val="24"/>
        </w:rPr>
        <w:t>la</w:t>
      </w:r>
      <w:r>
        <w:rPr>
          <w:i/>
          <w:color w:val="231F20"/>
          <w:sz w:val="24"/>
        </w:rPr>
        <w:t> demeure de ses ancêtres(…)</w:t>
      </w:r>
    </w:p>
    <w:p>
      <w:pPr>
        <w:pStyle w:val="BodyText"/>
        <w:spacing w:before="120"/>
        <w:ind w:right="105" w:firstLine="283"/>
      </w:pPr>
      <w:r>
        <w:rPr>
          <w:color w:val="231F20"/>
          <w:spacing w:val="-2"/>
        </w:rPr>
        <w:t>En</w:t>
      </w:r>
      <w:r>
        <w:rPr>
          <w:color w:val="231F20"/>
          <w:spacing w:val="-13"/>
        </w:rPr>
        <w:t> </w:t>
      </w:r>
      <w:r>
        <w:rPr>
          <w:color w:val="231F20"/>
          <w:spacing w:val="-2"/>
        </w:rPr>
        <w:t>dépit</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constitution</w:t>
      </w:r>
      <w:r>
        <w:rPr>
          <w:color w:val="231F20"/>
          <w:spacing w:val="-13"/>
        </w:rPr>
        <w:t> </w:t>
      </w:r>
      <w:r>
        <w:rPr>
          <w:color w:val="231F20"/>
          <w:spacing w:val="-2"/>
        </w:rPr>
        <w:t>qui</w:t>
      </w:r>
      <w:r>
        <w:rPr>
          <w:color w:val="231F20"/>
          <w:spacing w:val="-13"/>
        </w:rPr>
        <w:t> </w:t>
      </w:r>
      <w:r>
        <w:rPr>
          <w:color w:val="231F20"/>
          <w:spacing w:val="-2"/>
        </w:rPr>
        <w:t>prévoit</w:t>
      </w:r>
      <w:r>
        <w:rPr>
          <w:color w:val="231F20"/>
          <w:spacing w:val="-13"/>
        </w:rPr>
        <w:t> </w:t>
      </w:r>
      <w:r>
        <w:rPr>
          <w:color w:val="231F20"/>
          <w:spacing w:val="-2"/>
        </w:rPr>
        <w:t>que</w:t>
      </w:r>
      <w:r>
        <w:rPr>
          <w:color w:val="231F20"/>
          <w:spacing w:val="-13"/>
        </w:rPr>
        <w:t> </w:t>
      </w:r>
      <w:r>
        <w:rPr>
          <w:color w:val="231F20"/>
          <w:spacing w:val="-2"/>
        </w:rPr>
        <w:t>le</w:t>
      </w:r>
      <w:r>
        <w:rPr>
          <w:color w:val="231F20"/>
          <w:spacing w:val="-13"/>
        </w:rPr>
        <w:t> </w:t>
      </w:r>
      <w:r>
        <w:rPr>
          <w:color w:val="231F20"/>
          <w:spacing w:val="-2"/>
        </w:rPr>
        <w:t>président</w:t>
      </w:r>
      <w:r>
        <w:rPr>
          <w:color w:val="231F20"/>
          <w:spacing w:val="-11"/>
        </w:rPr>
        <w:t> </w:t>
      </w:r>
      <w:r>
        <w:rPr>
          <w:color w:val="231F20"/>
          <w:spacing w:val="-2"/>
        </w:rPr>
        <w:t>de</w:t>
      </w:r>
      <w:r>
        <w:rPr>
          <w:color w:val="231F20"/>
          <w:spacing w:val="-13"/>
        </w:rPr>
        <w:t> </w:t>
      </w:r>
      <w:r>
        <w:rPr>
          <w:color w:val="231F20"/>
          <w:spacing w:val="-2"/>
        </w:rPr>
        <w:t>l’Assemblée </w:t>
      </w:r>
      <w:r>
        <w:rPr>
          <w:color w:val="231F20"/>
        </w:rPr>
        <w:t>Nationale doit assurer l’intérim à la tête de l’Etat jusqu’aux nouvelles élections,</w:t>
      </w:r>
      <w:r>
        <w:rPr>
          <w:color w:val="231F20"/>
          <w:spacing w:val="-1"/>
        </w:rPr>
        <w:t> </w:t>
      </w:r>
      <w:r>
        <w:rPr>
          <w:color w:val="231F20"/>
        </w:rPr>
        <w:t>60</w:t>
      </w:r>
      <w:r>
        <w:rPr>
          <w:color w:val="231F20"/>
          <w:spacing w:val="-1"/>
        </w:rPr>
        <w:t> </w:t>
      </w:r>
      <w:r>
        <w:rPr>
          <w:color w:val="231F20"/>
        </w:rPr>
        <w:t>jours après</w:t>
      </w:r>
      <w:r>
        <w:rPr>
          <w:color w:val="231F20"/>
          <w:spacing w:val="-1"/>
        </w:rPr>
        <w:t> </w:t>
      </w:r>
      <w:r>
        <w:rPr>
          <w:color w:val="231F20"/>
        </w:rPr>
        <w:t>le décès du président en</w:t>
      </w:r>
      <w:r>
        <w:rPr>
          <w:color w:val="231F20"/>
          <w:spacing w:val="-1"/>
        </w:rPr>
        <w:t> </w:t>
      </w:r>
      <w:r>
        <w:rPr>
          <w:color w:val="231F20"/>
        </w:rPr>
        <w:t>exercice, les chefs</w:t>
      </w:r>
      <w:r>
        <w:rPr>
          <w:color w:val="231F20"/>
          <w:spacing w:val="-1"/>
        </w:rPr>
        <w:t> </w:t>
      </w:r>
      <w:r>
        <w:rPr>
          <w:color w:val="231F20"/>
        </w:rPr>
        <w:t>de l’armée</w:t>
      </w:r>
      <w:r>
        <w:rPr>
          <w:color w:val="231F20"/>
          <w:spacing w:val="-6"/>
        </w:rPr>
        <w:t> </w:t>
      </w:r>
      <w:r>
        <w:rPr>
          <w:color w:val="231F20"/>
        </w:rPr>
        <w:t>togolaise</w:t>
      </w:r>
      <w:r>
        <w:rPr>
          <w:color w:val="231F20"/>
          <w:spacing w:val="-6"/>
        </w:rPr>
        <w:t> </w:t>
      </w:r>
      <w:r>
        <w:rPr>
          <w:color w:val="231F20"/>
        </w:rPr>
        <w:t>dont</w:t>
      </w:r>
      <w:r>
        <w:rPr>
          <w:color w:val="231F20"/>
          <w:spacing w:val="-8"/>
        </w:rPr>
        <w:t> </w:t>
      </w:r>
      <w:r>
        <w:rPr>
          <w:color w:val="231F20"/>
        </w:rPr>
        <w:t>la</w:t>
      </w:r>
      <w:r>
        <w:rPr>
          <w:color w:val="231F20"/>
          <w:spacing w:val="-8"/>
        </w:rPr>
        <w:t> </w:t>
      </w:r>
      <w:r>
        <w:rPr>
          <w:color w:val="231F20"/>
        </w:rPr>
        <w:t>quasi-totalité</w:t>
      </w:r>
      <w:r>
        <w:rPr>
          <w:color w:val="231F20"/>
          <w:spacing w:val="-5"/>
        </w:rPr>
        <w:t> </w:t>
      </w:r>
      <w:r>
        <w:rPr>
          <w:color w:val="231F20"/>
        </w:rPr>
        <w:t>est</w:t>
      </w:r>
      <w:r>
        <w:rPr>
          <w:color w:val="231F20"/>
          <w:spacing w:val="-8"/>
        </w:rPr>
        <w:t> </w:t>
      </w:r>
      <w:r>
        <w:rPr>
          <w:color w:val="231F20"/>
        </w:rPr>
        <w:t>originaire</w:t>
      </w:r>
      <w:r>
        <w:rPr>
          <w:color w:val="231F20"/>
          <w:spacing w:val="-6"/>
        </w:rPr>
        <w:t> </w:t>
      </w:r>
      <w:r>
        <w:rPr>
          <w:color w:val="231F20"/>
        </w:rPr>
        <w:t>du</w:t>
      </w:r>
      <w:r>
        <w:rPr>
          <w:color w:val="231F20"/>
          <w:spacing w:val="-5"/>
        </w:rPr>
        <w:t> </w:t>
      </w:r>
      <w:r>
        <w:rPr>
          <w:color w:val="231F20"/>
        </w:rPr>
        <w:t>Nord,</w:t>
      </w:r>
      <w:r>
        <w:rPr>
          <w:color w:val="231F20"/>
          <w:spacing w:val="-5"/>
        </w:rPr>
        <w:t> </w:t>
      </w:r>
      <w:r>
        <w:rPr>
          <w:color w:val="231F20"/>
        </w:rPr>
        <w:t>la</w:t>
      </w:r>
      <w:r>
        <w:rPr>
          <w:color w:val="231F20"/>
          <w:spacing w:val="-5"/>
        </w:rPr>
        <w:t> </w:t>
      </w:r>
      <w:r>
        <w:rPr>
          <w:color w:val="231F20"/>
        </w:rPr>
        <w:t>région </w:t>
      </w:r>
      <w:r>
        <w:rPr>
          <w:color w:val="231F20"/>
          <w:spacing w:val="-4"/>
        </w:rPr>
        <w:t>natale d’Éyadéma, décident de</w:t>
      </w:r>
      <w:r>
        <w:rPr>
          <w:color w:val="231F20"/>
          <w:spacing w:val="-5"/>
        </w:rPr>
        <w:t> </w:t>
      </w:r>
      <w:r>
        <w:rPr>
          <w:color w:val="231F20"/>
          <w:spacing w:val="-4"/>
        </w:rPr>
        <w:t>confier le pouvoir à</w:t>
      </w:r>
      <w:r>
        <w:rPr>
          <w:color w:val="231F20"/>
          <w:spacing w:val="-7"/>
        </w:rPr>
        <w:t> </w:t>
      </w:r>
      <w:r>
        <w:rPr>
          <w:color w:val="231F20"/>
          <w:spacing w:val="-4"/>
        </w:rPr>
        <w:t>Faure Gnassingbé dès </w:t>
      </w:r>
      <w:r>
        <w:rPr>
          <w:color w:val="231F20"/>
        </w:rPr>
        <w:t>ce samedi.</w:t>
      </w:r>
    </w:p>
    <w:p>
      <w:pPr>
        <w:spacing w:before="121"/>
        <w:ind w:left="111" w:right="104" w:firstLine="0"/>
        <w:jc w:val="both"/>
        <w:rPr>
          <w:i/>
          <w:sz w:val="24"/>
        </w:rPr>
      </w:pPr>
      <w:r>
        <w:rPr>
          <w:i/>
          <w:color w:val="231F20"/>
          <w:sz w:val="24"/>
        </w:rPr>
        <w:t>(…).</w:t>
      </w:r>
      <w:r>
        <w:rPr>
          <w:i/>
          <w:color w:val="231F20"/>
          <w:spacing w:val="-9"/>
          <w:sz w:val="24"/>
        </w:rPr>
        <w:t> </w:t>
      </w:r>
      <w:r>
        <w:rPr>
          <w:i/>
          <w:color w:val="231F20"/>
          <w:sz w:val="24"/>
        </w:rPr>
        <w:t>À</w:t>
      </w:r>
      <w:r>
        <w:rPr>
          <w:i/>
          <w:color w:val="231F20"/>
          <w:spacing w:val="-10"/>
          <w:sz w:val="24"/>
        </w:rPr>
        <w:t> </w:t>
      </w:r>
      <w:r>
        <w:rPr>
          <w:i/>
          <w:color w:val="231F20"/>
          <w:sz w:val="24"/>
        </w:rPr>
        <w:t>l’évidence,</w:t>
      </w:r>
      <w:r>
        <w:rPr>
          <w:i/>
          <w:color w:val="231F20"/>
          <w:spacing w:val="-9"/>
          <w:sz w:val="24"/>
        </w:rPr>
        <w:t> </w:t>
      </w:r>
      <w:r>
        <w:rPr>
          <w:i/>
          <w:color w:val="231F20"/>
          <w:sz w:val="24"/>
        </w:rPr>
        <w:t>cet</w:t>
      </w:r>
      <w:r>
        <w:rPr>
          <w:i/>
          <w:color w:val="231F20"/>
          <w:spacing w:val="-9"/>
          <w:sz w:val="24"/>
        </w:rPr>
        <w:t> </w:t>
      </w:r>
      <w:r>
        <w:rPr>
          <w:i/>
          <w:color w:val="231F20"/>
          <w:sz w:val="24"/>
        </w:rPr>
        <w:t>adoubement</w:t>
      </w:r>
      <w:r>
        <w:rPr>
          <w:i/>
          <w:color w:val="231F20"/>
          <w:spacing w:val="-9"/>
          <w:sz w:val="24"/>
        </w:rPr>
        <w:t> </w:t>
      </w:r>
      <w:r>
        <w:rPr>
          <w:i/>
          <w:color w:val="231F20"/>
          <w:sz w:val="24"/>
        </w:rPr>
        <w:t>du</w:t>
      </w:r>
      <w:r>
        <w:rPr>
          <w:i/>
          <w:color w:val="231F20"/>
          <w:spacing w:val="-10"/>
          <w:sz w:val="24"/>
        </w:rPr>
        <w:t> </w:t>
      </w:r>
      <w:r>
        <w:rPr>
          <w:i/>
          <w:color w:val="231F20"/>
          <w:sz w:val="24"/>
        </w:rPr>
        <w:t>fils</w:t>
      </w:r>
      <w:r>
        <w:rPr>
          <w:i/>
          <w:color w:val="231F20"/>
          <w:spacing w:val="-8"/>
          <w:sz w:val="24"/>
        </w:rPr>
        <w:t> </w:t>
      </w:r>
      <w:r>
        <w:rPr>
          <w:i/>
          <w:color w:val="231F20"/>
          <w:sz w:val="24"/>
        </w:rPr>
        <w:t>du</w:t>
      </w:r>
      <w:r>
        <w:rPr>
          <w:i/>
          <w:color w:val="231F20"/>
          <w:spacing w:val="-10"/>
          <w:sz w:val="24"/>
        </w:rPr>
        <w:t> </w:t>
      </w:r>
      <w:r>
        <w:rPr>
          <w:i/>
          <w:color w:val="231F20"/>
          <w:sz w:val="24"/>
        </w:rPr>
        <w:t>défunt</w:t>
      </w:r>
      <w:r>
        <w:rPr>
          <w:i/>
          <w:color w:val="231F20"/>
          <w:spacing w:val="-8"/>
          <w:sz w:val="24"/>
        </w:rPr>
        <w:t> </w:t>
      </w:r>
      <w:r>
        <w:rPr>
          <w:i/>
          <w:color w:val="231F20"/>
          <w:sz w:val="24"/>
        </w:rPr>
        <w:t>par</w:t>
      </w:r>
      <w:r>
        <w:rPr>
          <w:i/>
          <w:color w:val="231F20"/>
          <w:spacing w:val="-10"/>
          <w:sz w:val="24"/>
        </w:rPr>
        <w:t> </w:t>
      </w:r>
      <w:r>
        <w:rPr>
          <w:i/>
          <w:color w:val="231F20"/>
          <w:sz w:val="24"/>
        </w:rPr>
        <w:t>un</w:t>
      </w:r>
      <w:r>
        <w:rPr>
          <w:i/>
          <w:color w:val="231F20"/>
          <w:spacing w:val="-10"/>
          <w:sz w:val="24"/>
        </w:rPr>
        <w:t> </w:t>
      </w:r>
      <w:r>
        <w:rPr>
          <w:i/>
          <w:color w:val="231F20"/>
          <w:sz w:val="24"/>
        </w:rPr>
        <w:t>aréopage</w:t>
      </w:r>
      <w:r>
        <w:rPr>
          <w:i/>
          <w:color w:val="231F20"/>
          <w:spacing w:val="-9"/>
          <w:sz w:val="24"/>
        </w:rPr>
        <w:t> </w:t>
      </w:r>
      <w:r>
        <w:rPr>
          <w:i/>
          <w:color w:val="231F20"/>
          <w:sz w:val="24"/>
        </w:rPr>
        <w:t>en</w:t>
      </w:r>
      <w:r>
        <w:rPr>
          <w:i/>
          <w:color w:val="231F20"/>
          <w:sz w:val="24"/>
        </w:rPr>
        <w:t> </w:t>
      </w:r>
      <w:r>
        <w:rPr>
          <w:i/>
          <w:color w:val="231F20"/>
          <w:spacing w:val="-4"/>
          <w:sz w:val="24"/>
        </w:rPr>
        <w:t>treillis</w:t>
      </w:r>
      <w:r>
        <w:rPr>
          <w:i/>
          <w:color w:val="231F20"/>
          <w:spacing w:val="-7"/>
          <w:sz w:val="24"/>
        </w:rPr>
        <w:t> </w:t>
      </w:r>
      <w:r>
        <w:rPr>
          <w:i/>
          <w:color w:val="231F20"/>
          <w:spacing w:val="-4"/>
          <w:sz w:val="24"/>
        </w:rPr>
        <w:t>a</w:t>
      </w:r>
      <w:r>
        <w:rPr>
          <w:i/>
          <w:color w:val="231F20"/>
          <w:spacing w:val="-9"/>
          <w:sz w:val="24"/>
        </w:rPr>
        <w:t> </w:t>
      </w:r>
      <w:r>
        <w:rPr>
          <w:i/>
          <w:color w:val="231F20"/>
          <w:spacing w:val="-4"/>
          <w:sz w:val="24"/>
        </w:rPr>
        <w:t>des</w:t>
      </w:r>
      <w:r>
        <w:rPr>
          <w:i/>
          <w:color w:val="231F20"/>
          <w:spacing w:val="-9"/>
          <w:sz w:val="24"/>
        </w:rPr>
        <w:t> </w:t>
      </w:r>
      <w:r>
        <w:rPr>
          <w:i/>
          <w:color w:val="231F20"/>
          <w:spacing w:val="-4"/>
          <w:sz w:val="24"/>
        </w:rPr>
        <w:t>allures</w:t>
      </w:r>
      <w:r>
        <w:rPr>
          <w:i/>
          <w:color w:val="231F20"/>
          <w:spacing w:val="-9"/>
          <w:sz w:val="24"/>
        </w:rPr>
        <w:t> </w:t>
      </w:r>
      <w:r>
        <w:rPr>
          <w:i/>
          <w:color w:val="231F20"/>
          <w:spacing w:val="-4"/>
          <w:sz w:val="24"/>
        </w:rPr>
        <w:t>de</w:t>
      </w:r>
      <w:r>
        <w:rPr>
          <w:i/>
          <w:color w:val="231F20"/>
          <w:spacing w:val="-7"/>
          <w:sz w:val="24"/>
        </w:rPr>
        <w:t> </w:t>
      </w:r>
      <w:r>
        <w:rPr>
          <w:i/>
          <w:color w:val="231F20"/>
          <w:spacing w:val="-4"/>
          <w:sz w:val="24"/>
        </w:rPr>
        <w:t>coup</w:t>
      </w:r>
      <w:r>
        <w:rPr>
          <w:i/>
          <w:color w:val="231F20"/>
          <w:spacing w:val="-7"/>
          <w:sz w:val="24"/>
        </w:rPr>
        <w:t> </w:t>
      </w:r>
      <w:r>
        <w:rPr>
          <w:i/>
          <w:color w:val="231F20"/>
          <w:spacing w:val="-4"/>
          <w:sz w:val="24"/>
        </w:rPr>
        <w:t>de</w:t>
      </w:r>
      <w:r>
        <w:rPr>
          <w:i/>
          <w:color w:val="231F20"/>
          <w:spacing w:val="-9"/>
          <w:sz w:val="24"/>
        </w:rPr>
        <w:t> </w:t>
      </w:r>
      <w:r>
        <w:rPr>
          <w:i/>
          <w:color w:val="231F20"/>
          <w:spacing w:val="-4"/>
          <w:sz w:val="24"/>
        </w:rPr>
        <w:t>force</w:t>
      </w:r>
      <w:r>
        <w:rPr>
          <w:i/>
          <w:color w:val="231F20"/>
          <w:spacing w:val="-8"/>
          <w:sz w:val="24"/>
        </w:rPr>
        <w:t> </w:t>
      </w:r>
      <w:r>
        <w:rPr>
          <w:i/>
          <w:color w:val="231F20"/>
          <w:spacing w:val="-4"/>
          <w:sz w:val="24"/>
        </w:rPr>
        <w:t>–</w:t>
      </w:r>
      <w:r>
        <w:rPr>
          <w:i/>
          <w:color w:val="231F20"/>
          <w:spacing w:val="-6"/>
          <w:sz w:val="24"/>
        </w:rPr>
        <w:t> </w:t>
      </w:r>
      <w:r>
        <w:rPr>
          <w:i/>
          <w:color w:val="231F20"/>
          <w:spacing w:val="-4"/>
          <w:sz w:val="24"/>
        </w:rPr>
        <w:t>c’est</w:t>
      </w:r>
      <w:r>
        <w:rPr>
          <w:i/>
          <w:color w:val="231F20"/>
          <w:spacing w:val="-8"/>
          <w:sz w:val="24"/>
        </w:rPr>
        <w:t> </w:t>
      </w:r>
      <w:r>
        <w:rPr>
          <w:i/>
          <w:color w:val="231F20"/>
          <w:spacing w:val="-4"/>
          <w:sz w:val="24"/>
        </w:rPr>
        <w:t>ainsi</w:t>
      </w:r>
      <w:r>
        <w:rPr>
          <w:i/>
          <w:color w:val="231F20"/>
          <w:spacing w:val="-8"/>
          <w:sz w:val="24"/>
        </w:rPr>
        <w:t> </w:t>
      </w:r>
      <w:r>
        <w:rPr>
          <w:i/>
          <w:color w:val="231F20"/>
          <w:spacing w:val="-4"/>
          <w:sz w:val="24"/>
        </w:rPr>
        <w:t>qu’il</w:t>
      </w:r>
      <w:r>
        <w:rPr>
          <w:i/>
          <w:color w:val="231F20"/>
          <w:spacing w:val="-9"/>
          <w:sz w:val="24"/>
        </w:rPr>
        <w:t> </w:t>
      </w:r>
      <w:r>
        <w:rPr>
          <w:i/>
          <w:color w:val="231F20"/>
          <w:spacing w:val="-4"/>
          <w:sz w:val="24"/>
        </w:rPr>
        <w:t>sera</w:t>
      </w:r>
      <w:r>
        <w:rPr>
          <w:i/>
          <w:color w:val="231F20"/>
          <w:spacing w:val="-9"/>
          <w:sz w:val="24"/>
        </w:rPr>
        <w:t> </w:t>
      </w:r>
      <w:r>
        <w:rPr>
          <w:i/>
          <w:color w:val="231F20"/>
          <w:spacing w:val="-4"/>
          <w:sz w:val="24"/>
        </w:rPr>
        <w:t>unanimement </w:t>
      </w:r>
      <w:r>
        <w:rPr>
          <w:i/>
          <w:color w:val="231F20"/>
          <w:sz w:val="24"/>
        </w:rPr>
        <w:t>perçu à l’étranger. D’où l’urgence d’un habillage constitutionnel que </w:t>
      </w:r>
      <w:r>
        <w:rPr>
          <w:i/>
          <w:color w:val="231F20"/>
          <w:spacing w:val="-2"/>
          <w:sz w:val="24"/>
        </w:rPr>
        <w:t>seul</w:t>
      </w:r>
      <w:r>
        <w:rPr>
          <w:i/>
          <w:color w:val="231F20"/>
          <w:spacing w:val="-15"/>
          <w:sz w:val="24"/>
        </w:rPr>
        <w:t> </w:t>
      </w:r>
      <w:r>
        <w:rPr>
          <w:i/>
          <w:color w:val="231F20"/>
          <w:spacing w:val="-2"/>
          <w:sz w:val="24"/>
        </w:rPr>
        <w:t>le</w:t>
      </w:r>
      <w:r>
        <w:rPr>
          <w:i/>
          <w:color w:val="231F20"/>
          <w:spacing w:val="-13"/>
          <w:sz w:val="24"/>
        </w:rPr>
        <w:t> </w:t>
      </w:r>
      <w:r>
        <w:rPr>
          <w:i/>
          <w:color w:val="231F20"/>
          <w:spacing w:val="-2"/>
          <w:sz w:val="24"/>
        </w:rPr>
        <w:t>Parlement</w:t>
      </w:r>
      <w:r>
        <w:rPr>
          <w:i/>
          <w:color w:val="231F20"/>
          <w:spacing w:val="-13"/>
          <w:sz w:val="24"/>
        </w:rPr>
        <w:t> </w:t>
      </w:r>
      <w:r>
        <w:rPr>
          <w:i/>
          <w:color w:val="231F20"/>
          <w:spacing w:val="-2"/>
          <w:sz w:val="24"/>
        </w:rPr>
        <w:t>peut</w:t>
      </w:r>
      <w:r>
        <w:rPr>
          <w:i/>
          <w:color w:val="231F20"/>
          <w:spacing w:val="-13"/>
          <w:sz w:val="24"/>
        </w:rPr>
        <w:t> </w:t>
      </w:r>
      <w:r>
        <w:rPr>
          <w:i/>
          <w:color w:val="231F20"/>
          <w:spacing w:val="-2"/>
          <w:sz w:val="24"/>
        </w:rPr>
        <w:t>tailler</w:t>
      </w:r>
      <w:r>
        <w:rPr>
          <w:i/>
          <w:color w:val="231F20"/>
          <w:spacing w:val="-13"/>
          <w:sz w:val="24"/>
        </w:rPr>
        <w:t> </w:t>
      </w:r>
      <w:r>
        <w:rPr>
          <w:i/>
          <w:color w:val="231F20"/>
          <w:spacing w:val="-2"/>
          <w:sz w:val="24"/>
        </w:rPr>
        <w:t>à</w:t>
      </w:r>
      <w:r>
        <w:rPr>
          <w:i/>
          <w:color w:val="231F20"/>
          <w:spacing w:val="-13"/>
          <w:sz w:val="24"/>
        </w:rPr>
        <w:t> </w:t>
      </w:r>
      <w:r>
        <w:rPr>
          <w:i/>
          <w:color w:val="231F20"/>
          <w:spacing w:val="-2"/>
          <w:sz w:val="24"/>
        </w:rPr>
        <w:t>la</w:t>
      </w:r>
      <w:r>
        <w:rPr>
          <w:i/>
          <w:color w:val="231F20"/>
          <w:spacing w:val="-13"/>
          <w:sz w:val="24"/>
        </w:rPr>
        <w:t> </w:t>
      </w:r>
      <w:r>
        <w:rPr>
          <w:i/>
          <w:color w:val="231F20"/>
          <w:spacing w:val="-2"/>
          <w:sz w:val="24"/>
        </w:rPr>
        <w:t>mesure</w:t>
      </w:r>
      <w:r>
        <w:rPr>
          <w:i/>
          <w:color w:val="231F20"/>
          <w:spacing w:val="-13"/>
          <w:sz w:val="24"/>
        </w:rPr>
        <w:t> </w:t>
      </w:r>
      <w:r>
        <w:rPr>
          <w:i/>
          <w:color w:val="231F20"/>
          <w:spacing w:val="-2"/>
          <w:sz w:val="24"/>
        </w:rPr>
        <w:t>du</w:t>
      </w:r>
      <w:r>
        <w:rPr>
          <w:i/>
          <w:color w:val="231F20"/>
          <w:spacing w:val="-13"/>
          <w:sz w:val="24"/>
        </w:rPr>
        <w:t> </w:t>
      </w:r>
      <w:r>
        <w:rPr>
          <w:i/>
          <w:color w:val="231F20"/>
          <w:spacing w:val="-2"/>
          <w:sz w:val="24"/>
        </w:rPr>
        <w:t>nouveau</w:t>
      </w:r>
      <w:r>
        <w:rPr>
          <w:i/>
          <w:color w:val="231F20"/>
          <w:spacing w:val="-13"/>
          <w:sz w:val="24"/>
        </w:rPr>
        <w:t> </w:t>
      </w:r>
      <w:r>
        <w:rPr>
          <w:i/>
          <w:color w:val="231F20"/>
          <w:spacing w:val="-2"/>
          <w:sz w:val="24"/>
        </w:rPr>
        <w:t>président.</w:t>
      </w:r>
      <w:r>
        <w:rPr>
          <w:i/>
          <w:color w:val="231F20"/>
          <w:spacing w:val="-13"/>
          <w:sz w:val="24"/>
        </w:rPr>
        <w:t> </w:t>
      </w:r>
      <w:r>
        <w:rPr>
          <w:i/>
          <w:color w:val="231F20"/>
          <w:spacing w:val="-2"/>
          <w:sz w:val="24"/>
        </w:rPr>
        <w:t>Il</w:t>
      </w:r>
      <w:r>
        <w:rPr>
          <w:i/>
          <w:color w:val="231F20"/>
          <w:spacing w:val="-13"/>
          <w:sz w:val="24"/>
        </w:rPr>
        <w:t> </w:t>
      </w:r>
      <w:r>
        <w:rPr>
          <w:i/>
          <w:color w:val="231F20"/>
          <w:spacing w:val="-2"/>
          <w:sz w:val="24"/>
        </w:rPr>
        <w:t>faudra </w:t>
      </w:r>
      <w:r>
        <w:rPr>
          <w:i/>
          <w:color w:val="231F20"/>
          <w:spacing w:val="-4"/>
          <w:sz w:val="24"/>
        </w:rPr>
        <w:t>trois</w:t>
      </w:r>
      <w:r>
        <w:rPr>
          <w:i/>
          <w:color w:val="231F20"/>
          <w:spacing w:val="-10"/>
          <w:sz w:val="24"/>
        </w:rPr>
        <w:t> </w:t>
      </w:r>
      <w:r>
        <w:rPr>
          <w:i/>
          <w:color w:val="231F20"/>
          <w:spacing w:val="-4"/>
          <w:sz w:val="24"/>
        </w:rPr>
        <w:t>heures</w:t>
      </w:r>
      <w:r>
        <w:rPr>
          <w:i/>
          <w:color w:val="231F20"/>
          <w:spacing w:val="-10"/>
          <w:sz w:val="24"/>
        </w:rPr>
        <w:t> </w:t>
      </w:r>
      <w:r>
        <w:rPr>
          <w:i/>
          <w:color w:val="231F20"/>
          <w:spacing w:val="-4"/>
          <w:sz w:val="24"/>
        </w:rPr>
        <w:t>aux</w:t>
      </w:r>
      <w:r>
        <w:rPr>
          <w:i/>
          <w:color w:val="231F20"/>
          <w:spacing w:val="-10"/>
          <w:sz w:val="24"/>
        </w:rPr>
        <w:t> </w:t>
      </w:r>
      <w:r>
        <w:rPr>
          <w:i/>
          <w:color w:val="231F20"/>
          <w:spacing w:val="-4"/>
          <w:sz w:val="24"/>
        </w:rPr>
        <w:t>67</w:t>
      </w:r>
      <w:r>
        <w:rPr>
          <w:i/>
          <w:color w:val="231F20"/>
          <w:spacing w:val="-11"/>
          <w:sz w:val="24"/>
        </w:rPr>
        <w:t> </w:t>
      </w:r>
      <w:r>
        <w:rPr>
          <w:i/>
          <w:color w:val="231F20"/>
          <w:spacing w:val="-4"/>
          <w:sz w:val="24"/>
        </w:rPr>
        <w:t>députés</w:t>
      </w:r>
      <w:r>
        <w:rPr>
          <w:i/>
          <w:color w:val="231F20"/>
          <w:spacing w:val="-10"/>
          <w:sz w:val="24"/>
        </w:rPr>
        <w:t> </w:t>
      </w:r>
      <w:r>
        <w:rPr>
          <w:i/>
          <w:color w:val="231F20"/>
          <w:spacing w:val="-4"/>
          <w:sz w:val="24"/>
        </w:rPr>
        <w:t>(sur</w:t>
      </w:r>
      <w:r>
        <w:rPr>
          <w:i/>
          <w:color w:val="231F20"/>
          <w:spacing w:val="-10"/>
          <w:sz w:val="24"/>
        </w:rPr>
        <w:t> </w:t>
      </w:r>
      <w:r>
        <w:rPr>
          <w:i/>
          <w:color w:val="231F20"/>
          <w:spacing w:val="-4"/>
          <w:sz w:val="24"/>
        </w:rPr>
        <w:t>81)</w:t>
      </w:r>
      <w:r>
        <w:rPr>
          <w:i/>
          <w:color w:val="231F20"/>
          <w:spacing w:val="-10"/>
          <w:sz w:val="24"/>
        </w:rPr>
        <w:t> </w:t>
      </w:r>
      <w:r>
        <w:rPr>
          <w:i/>
          <w:color w:val="231F20"/>
          <w:spacing w:val="-4"/>
          <w:sz w:val="24"/>
        </w:rPr>
        <w:t>réunis</w:t>
      </w:r>
      <w:r>
        <w:rPr>
          <w:i/>
          <w:color w:val="231F20"/>
          <w:spacing w:val="-10"/>
          <w:sz w:val="24"/>
        </w:rPr>
        <w:t> </w:t>
      </w:r>
      <w:r>
        <w:rPr>
          <w:i/>
          <w:color w:val="231F20"/>
          <w:spacing w:val="-4"/>
          <w:sz w:val="24"/>
        </w:rPr>
        <w:t>le</w:t>
      </w:r>
      <w:r>
        <w:rPr>
          <w:i/>
          <w:color w:val="231F20"/>
          <w:spacing w:val="-10"/>
          <w:sz w:val="24"/>
        </w:rPr>
        <w:t> </w:t>
      </w:r>
      <w:r>
        <w:rPr>
          <w:i/>
          <w:color w:val="231F20"/>
          <w:spacing w:val="-4"/>
          <w:sz w:val="24"/>
        </w:rPr>
        <w:t>matin</w:t>
      </w:r>
      <w:r>
        <w:rPr>
          <w:i/>
          <w:color w:val="231F20"/>
          <w:spacing w:val="-10"/>
          <w:sz w:val="24"/>
        </w:rPr>
        <w:t> </w:t>
      </w:r>
      <w:r>
        <w:rPr>
          <w:i/>
          <w:color w:val="231F20"/>
          <w:spacing w:val="-4"/>
          <w:sz w:val="24"/>
        </w:rPr>
        <w:t>du</w:t>
      </w:r>
      <w:r>
        <w:rPr>
          <w:i/>
          <w:color w:val="231F20"/>
          <w:spacing w:val="-10"/>
          <w:sz w:val="24"/>
        </w:rPr>
        <w:t> </w:t>
      </w:r>
      <w:r>
        <w:rPr>
          <w:i/>
          <w:color w:val="231F20"/>
          <w:spacing w:val="-4"/>
          <w:sz w:val="24"/>
        </w:rPr>
        <w:t>dimanche</w:t>
      </w:r>
      <w:r>
        <w:rPr>
          <w:i/>
          <w:color w:val="231F20"/>
          <w:spacing w:val="-10"/>
          <w:sz w:val="24"/>
        </w:rPr>
        <w:t> </w:t>
      </w:r>
      <w:r>
        <w:rPr>
          <w:i/>
          <w:color w:val="231F20"/>
          <w:spacing w:val="-4"/>
          <w:sz w:val="24"/>
        </w:rPr>
        <w:t>6</w:t>
      </w:r>
      <w:r>
        <w:rPr>
          <w:i/>
          <w:color w:val="231F20"/>
          <w:spacing w:val="-10"/>
          <w:sz w:val="24"/>
        </w:rPr>
        <w:t> </w:t>
      </w:r>
      <w:r>
        <w:rPr>
          <w:i/>
          <w:color w:val="231F20"/>
          <w:spacing w:val="-4"/>
          <w:sz w:val="24"/>
        </w:rPr>
        <w:t>février </w:t>
      </w:r>
      <w:r>
        <w:rPr>
          <w:i/>
          <w:color w:val="231F20"/>
          <w:sz w:val="24"/>
        </w:rPr>
        <w:t>au Parlement pour destituer Fambaré Natchaba de son perchoir, le remplacer illico par Faure Gnassingbé</w:t>
      </w:r>
      <w:r>
        <w:rPr>
          <w:color w:val="76787A"/>
          <w:sz w:val="24"/>
          <w:vertAlign w:val="superscript"/>
        </w:rPr>
        <w:t>96</w:t>
      </w:r>
      <w:r>
        <w:rPr>
          <w:i/>
          <w:color w:val="231F20"/>
          <w:sz w:val="24"/>
          <w:vertAlign w:val="baseline"/>
        </w:rPr>
        <w:t>.</w:t>
      </w:r>
    </w:p>
    <w:p>
      <w:pPr>
        <w:pStyle w:val="BodyText"/>
        <w:ind w:left="0"/>
        <w:jc w:val="left"/>
        <w:rPr>
          <w:i/>
          <w:sz w:val="20"/>
        </w:rPr>
      </w:pPr>
    </w:p>
    <w:p>
      <w:pPr>
        <w:pStyle w:val="BodyText"/>
        <w:spacing w:before="71"/>
        <w:ind w:left="0"/>
        <w:jc w:val="left"/>
        <w:rPr>
          <w:i/>
          <w:sz w:val="20"/>
        </w:rPr>
      </w:pPr>
      <w:r>
        <w:rPr/>
        <mc:AlternateContent>
          <mc:Choice Requires="wps">
            <w:drawing>
              <wp:anchor distT="0" distB="0" distL="0" distR="0" allowOverlap="1" layoutInCell="1" locked="0" behindDoc="1" simplePos="0" relativeHeight="487619072">
                <wp:simplePos x="0" y="0"/>
                <wp:positionH relativeFrom="page">
                  <wp:posOffset>629907</wp:posOffset>
                </wp:positionH>
                <wp:positionV relativeFrom="paragraph">
                  <wp:posOffset>206942</wp:posOffset>
                </wp:positionV>
                <wp:extent cx="1829435" cy="9525"/>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294649pt;width:144.020pt;height:.72pt;mso-position-horizontal-relative:page;mso-position-vertical-relative:paragraph;z-index:-15697408;mso-wrap-distance-left:0;mso-wrap-distance-right:0" id="docshape78" filled="true" fillcolor="#231f20" stroked="false">
                <v:fill type="solid"/>
                <w10:wrap type="topAndBottom"/>
              </v:rect>
            </w:pict>
          </mc:Fallback>
        </mc:AlternateContent>
      </w:r>
    </w:p>
    <w:p>
      <w:pPr>
        <w:spacing w:before="91"/>
        <w:ind w:left="111" w:right="309" w:firstLine="0"/>
        <w:jc w:val="left"/>
        <w:rPr>
          <w:sz w:val="20"/>
        </w:rPr>
      </w:pPr>
      <w:r>
        <w:rPr>
          <w:color w:val="76787A"/>
          <w:spacing w:val="-2"/>
          <w:sz w:val="20"/>
          <w:vertAlign w:val="superscript"/>
        </w:rPr>
        <w:t>95</w:t>
      </w:r>
      <w:r>
        <w:rPr>
          <w:color w:val="231F20"/>
          <w:spacing w:val="-2"/>
          <w:sz w:val="20"/>
          <w:vertAlign w:val="baseline"/>
        </w:rPr>
        <w:t>«</w:t>
      </w:r>
      <w:r>
        <w:rPr>
          <w:color w:val="231F20"/>
          <w:spacing w:val="-11"/>
          <w:sz w:val="20"/>
          <w:vertAlign w:val="baseline"/>
        </w:rPr>
        <w:t> </w:t>
      </w:r>
      <w:r>
        <w:rPr>
          <w:color w:val="231F20"/>
          <w:spacing w:val="-2"/>
          <w:sz w:val="20"/>
          <w:vertAlign w:val="baseline"/>
        </w:rPr>
        <w:t>l’arbitraire</w:t>
      </w:r>
      <w:r>
        <w:rPr>
          <w:color w:val="231F20"/>
          <w:spacing w:val="-10"/>
          <w:sz w:val="20"/>
          <w:vertAlign w:val="baseline"/>
        </w:rPr>
        <w:t> </w:t>
      </w:r>
      <w:r>
        <w:rPr>
          <w:color w:val="231F20"/>
          <w:spacing w:val="-2"/>
          <w:sz w:val="20"/>
          <w:vertAlign w:val="baseline"/>
        </w:rPr>
        <w:t>comme</w:t>
      </w:r>
      <w:r>
        <w:rPr>
          <w:color w:val="231F20"/>
          <w:spacing w:val="-11"/>
          <w:sz w:val="20"/>
          <w:vertAlign w:val="baseline"/>
        </w:rPr>
        <w:t> </w:t>
      </w:r>
      <w:r>
        <w:rPr>
          <w:color w:val="231F20"/>
          <w:spacing w:val="-2"/>
          <w:sz w:val="20"/>
          <w:vertAlign w:val="baseline"/>
        </w:rPr>
        <w:t>norme</w:t>
      </w:r>
      <w:r>
        <w:rPr>
          <w:color w:val="231F20"/>
          <w:spacing w:val="-10"/>
          <w:sz w:val="20"/>
          <w:vertAlign w:val="baseline"/>
        </w:rPr>
        <w:t> </w:t>
      </w:r>
      <w:r>
        <w:rPr>
          <w:color w:val="231F20"/>
          <w:spacing w:val="-2"/>
          <w:sz w:val="20"/>
          <w:vertAlign w:val="baseline"/>
        </w:rPr>
        <w:t>et</w:t>
      </w:r>
      <w:r>
        <w:rPr>
          <w:color w:val="231F20"/>
          <w:spacing w:val="-11"/>
          <w:sz w:val="20"/>
          <w:vertAlign w:val="baseline"/>
        </w:rPr>
        <w:t> </w:t>
      </w:r>
      <w:r>
        <w:rPr>
          <w:color w:val="231F20"/>
          <w:spacing w:val="-2"/>
          <w:sz w:val="20"/>
          <w:vertAlign w:val="baseline"/>
        </w:rPr>
        <w:t>37</w:t>
      </w:r>
      <w:r>
        <w:rPr>
          <w:color w:val="231F20"/>
          <w:spacing w:val="-10"/>
          <w:sz w:val="20"/>
          <w:vertAlign w:val="baseline"/>
        </w:rPr>
        <w:t> </w:t>
      </w:r>
      <w:r>
        <w:rPr>
          <w:color w:val="231F20"/>
          <w:spacing w:val="-2"/>
          <w:sz w:val="20"/>
          <w:vertAlign w:val="baseline"/>
        </w:rPr>
        <w:t>ans</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dictature</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[archive],</w:t>
      </w:r>
      <w:r>
        <w:rPr>
          <w:color w:val="231F20"/>
          <w:spacing w:val="-11"/>
          <w:sz w:val="20"/>
          <w:vertAlign w:val="baseline"/>
        </w:rPr>
        <w:t> </w:t>
      </w:r>
      <w:r>
        <w:rPr>
          <w:color w:val="231F20"/>
          <w:spacing w:val="-2"/>
          <w:sz w:val="20"/>
          <w:vertAlign w:val="baseline"/>
        </w:rPr>
        <w:t>sur </w:t>
      </w:r>
      <w:hyperlink r:id="rId37">
        <w:r>
          <w:rPr>
            <w:color w:val="231F20"/>
            <w:sz w:val="20"/>
            <w:vertAlign w:val="baseline"/>
          </w:rPr>
          <w:t>http://www.fidh.org</w:t>
        </w:r>
      </w:hyperlink>
      <w:r>
        <w:rPr>
          <w:color w:val="231F20"/>
          <w:spacing w:val="-1"/>
          <w:sz w:val="20"/>
          <w:vertAlign w:val="baseline"/>
        </w:rPr>
        <w:t> </w:t>
      </w:r>
      <w:r>
        <w:rPr>
          <w:color w:val="231F20"/>
          <w:sz w:val="20"/>
          <w:vertAlign w:val="baseline"/>
        </w:rPr>
        <w:t>[archive],</w:t>
      </w:r>
    </w:p>
    <w:p>
      <w:pPr>
        <w:spacing w:before="1"/>
        <w:ind w:left="111" w:right="0" w:firstLine="0"/>
        <w:jc w:val="left"/>
        <w:rPr>
          <w:sz w:val="20"/>
        </w:rPr>
      </w:pPr>
      <w:r>
        <w:rPr>
          <w:color w:val="76787A"/>
          <w:spacing w:val="-4"/>
          <w:sz w:val="20"/>
          <w:vertAlign w:val="superscript"/>
        </w:rPr>
        <w:t>96</w:t>
      </w:r>
      <w:r>
        <w:rPr>
          <w:color w:val="76787A"/>
          <w:spacing w:val="-14"/>
          <w:sz w:val="20"/>
          <w:vertAlign w:val="baseline"/>
        </w:rPr>
        <w:t> </w:t>
      </w:r>
      <w:r>
        <w:rPr>
          <w:color w:val="231F20"/>
          <w:spacing w:val="-4"/>
          <w:sz w:val="20"/>
          <w:vertAlign w:val="baseline"/>
        </w:rPr>
        <w:t>Extrait. de père en fils, François Soudan, les dernières heures</w:t>
      </w:r>
      <w:r>
        <w:rPr>
          <w:color w:val="231F20"/>
          <w:spacing w:val="-8"/>
          <w:sz w:val="20"/>
          <w:vertAlign w:val="baseline"/>
        </w:rPr>
        <w:t> </w:t>
      </w:r>
      <w:r>
        <w:rPr>
          <w:color w:val="231F20"/>
          <w:spacing w:val="-4"/>
          <w:sz w:val="20"/>
          <w:vertAlign w:val="baseline"/>
        </w:rPr>
        <w:t>de Gnassingbé Eyadema, </w:t>
      </w:r>
      <w:r>
        <w:rPr>
          <w:color w:val="231F20"/>
          <w:spacing w:val="-6"/>
          <w:sz w:val="20"/>
          <w:vertAlign w:val="baseline"/>
        </w:rPr>
        <w:t>JA</w:t>
      </w:r>
    </w:p>
    <w:p>
      <w:pPr>
        <w:spacing w:after="0"/>
        <w:jc w:val="left"/>
        <w:rPr>
          <w:sz w:val="20"/>
        </w:rPr>
        <w:sectPr>
          <w:pgSz w:w="8790" w:h="13610"/>
          <w:pgMar w:header="0" w:footer="802" w:top="1060" w:bottom="1000" w:left="880" w:right="880"/>
        </w:sectPr>
      </w:pPr>
    </w:p>
    <w:p>
      <w:pPr>
        <w:pStyle w:val="BodyText"/>
        <w:spacing w:before="66"/>
        <w:ind w:right="104"/>
        <w:rPr>
          <w:i/>
        </w:rPr>
      </w:pPr>
      <w:r>
        <w:rPr>
          <w:color w:val="231F20"/>
          <w:spacing w:val="-4"/>
        </w:rPr>
        <w:t>L'Union africaine dénonce un coup d’État</w:t>
      </w:r>
      <w:r>
        <w:rPr>
          <w:color w:val="231F20"/>
          <w:spacing w:val="-6"/>
        </w:rPr>
        <w:t> </w:t>
      </w:r>
      <w:r>
        <w:rPr>
          <w:color w:val="231F20"/>
          <w:spacing w:val="-4"/>
        </w:rPr>
        <w:t>militaire.</w:t>
      </w:r>
      <w:r>
        <w:rPr>
          <w:color w:val="231F20"/>
          <w:spacing w:val="-5"/>
        </w:rPr>
        <w:t> </w:t>
      </w:r>
      <w:r>
        <w:rPr>
          <w:color w:val="231F20"/>
          <w:spacing w:val="-4"/>
        </w:rPr>
        <w:t>Le Secrétaire général </w:t>
      </w:r>
      <w:r>
        <w:rPr>
          <w:color w:val="231F20"/>
        </w:rPr>
        <w:t>de</w:t>
      </w:r>
      <w:r>
        <w:rPr>
          <w:color w:val="231F20"/>
          <w:spacing w:val="-15"/>
        </w:rPr>
        <w:t> </w:t>
      </w:r>
      <w:r>
        <w:rPr>
          <w:color w:val="231F20"/>
        </w:rPr>
        <w:t>l'ONU,</w:t>
      </w:r>
      <w:r>
        <w:rPr>
          <w:color w:val="231F20"/>
          <w:spacing w:val="-15"/>
        </w:rPr>
        <w:t> </w:t>
      </w:r>
      <w:r>
        <w:rPr>
          <w:color w:val="231F20"/>
        </w:rPr>
        <w:t>Kofi</w:t>
      </w:r>
      <w:r>
        <w:rPr>
          <w:color w:val="231F20"/>
          <w:spacing w:val="-15"/>
        </w:rPr>
        <w:t> </w:t>
      </w:r>
      <w:r>
        <w:rPr>
          <w:color w:val="231F20"/>
        </w:rPr>
        <w:t>Annan,</w:t>
      </w:r>
      <w:r>
        <w:rPr>
          <w:color w:val="231F20"/>
          <w:spacing w:val="-15"/>
        </w:rPr>
        <w:t> </w:t>
      </w:r>
      <w:r>
        <w:rPr>
          <w:color w:val="231F20"/>
        </w:rPr>
        <w:t>demande</w:t>
      </w:r>
      <w:r>
        <w:rPr>
          <w:color w:val="231F20"/>
          <w:spacing w:val="-15"/>
        </w:rPr>
        <w:t> </w:t>
      </w:r>
      <w:r>
        <w:rPr>
          <w:color w:val="231F20"/>
        </w:rPr>
        <w:t>que</w:t>
      </w:r>
      <w:r>
        <w:rPr>
          <w:color w:val="231F20"/>
          <w:spacing w:val="-15"/>
        </w:rPr>
        <w:t> </w:t>
      </w:r>
      <w:r>
        <w:rPr>
          <w:color w:val="231F20"/>
        </w:rPr>
        <w:t>la</w:t>
      </w:r>
      <w:r>
        <w:rPr>
          <w:color w:val="231F20"/>
          <w:spacing w:val="-15"/>
        </w:rPr>
        <w:t> </w:t>
      </w:r>
      <w:r>
        <w:rPr>
          <w:color w:val="231F20"/>
        </w:rPr>
        <w:t>Constitution</w:t>
      </w:r>
      <w:r>
        <w:rPr>
          <w:color w:val="231F20"/>
          <w:spacing w:val="-15"/>
        </w:rPr>
        <w:t> </w:t>
      </w:r>
      <w:r>
        <w:rPr>
          <w:color w:val="231F20"/>
        </w:rPr>
        <w:t>soit</w:t>
      </w:r>
      <w:r>
        <w:rPr>
          <w:color w:val="231F20"/>
          <w:spacing w:val="-15"/>
        </w:rPr>
        <w:t> </w:t>
      </w:r>
      <w:r>
        <w:rPr>
          <w:color w:val="231F20"/>
        </w:rPr>
        <w:t>respectée</w:t>
      </w:r>
      <w:r>
        <w:rPr>
          <w:color w:val="231F20"/>
          <w:vertAlign w:val="superscript"/>
        </w:rPr>
        <w:t>97</w:t>
      </w:r>
      <w:r>
        <w:rPr>
          <w:color w:val="231F20"/>
          <w:vertAlign w:val="baseline"/>
        </w:rPr>
        <w:t>.</w:t>
      </w:r>
      <w:r>
        <w:rPr>
          <w:color w:val="231F20"/>
          <w:spacing w:val="-15"/>
          <w:vertAlign w:val="baseline"/>
        </w:rPr>
        <w:t> </w:t>
      </w:r>
      <w:r>
        <w:rPr>
          <w:color w:val="231F20"/>
          <w:vertAlign w:val="baseline"/>
        </w:rPr>
        <w:t>La Fédération</w:t>
      </w:r>
      <w:r>
        <w:rPr>
          <w:color w:val="231F20"/>
          <w:spacing w:val="-1"/>
          <w:vertAlign w:val="baseline"/>
        </w:rPr>
        <w:t> </w:t>
      </w:r>
      <w:r>
        <w:rPr>
          <w:color w:val="231F20"/>
          <w:vertAlign w:val="baseline"/>
        </w:rPr>
        <w:t>Internationale</w:t>
      </w:r>
      <w:r>
        <w:rPr>
          <w:color w:val="231F20"/>
          <w:spacing w:val="-2"/>
          <w:vertAlign w:val="baseline"/>
        </w:rPr>
        <w:t> </w:t>
      </w:r>
      <w:r>
        <w:rPr>
          <w:color w:val="231F20"/>
          <w:vertAlign w:val="baseline"/>
        </w:rPr>
        <w:t>des Droits</w:t>
      </w:r>
      <w:r>
        <w:rPr>
          <w:color w:val="231F20"/>
          <w:spacing w:val="-1"/>
          <w:vertAlign w:val="baseline"/>
        </w:rPr>
        <w:t> </w:t>
      </w:r>
      <w:r>
        <w:rPr>
          <w:color w:val="231F20"/>
          <w:vertAlign w:val="baseline"/>
        </w:rPr>
        <w:t>de</w:t>
      </w:r>
      <w:r>
        <w:rPr>
          <w:color w:val="231F20"/>
          <w:spacing w:val="-2"/>
          <w:vertAlign w:val="baseline"/>
        </w:rPr>
        <w:t> </w:t>
      </w:r>
      <w:r>
        <w:rPr>
          <w:color w:val="231F20"/>
          <w:vertAlign w:val="baseline"/>
        </w:rPr>
        <w:t>l'Homme</w:t>
      </w:r>
      <w:r>
        <w:rPr>
          <w:color w:val="231F20"/>
          <w:spacing w:val="-2"/>
          <w:vertAlign w:val="baseline"/>
        </w:rPr>
        <w:t> </w:t>
      </w:r>
      <w:r>
        <w:rPr>
          <w:color w:val="231F20"/>
          <w:vertAlign w:val="baseline"/>
        </w:rPr>
        <w:t>et</w:t>
      </w:r>
      <w:r>
        <w:rPr>
          <w:color w:val="231F20"/>
          <w:spacing w:val="-1"/>
          <w:vertAlign w:val="baseline"/>
        </w:rPr>
        <w:t> </w:t>
      </w:r>
      <w:r>
        <w:rPr>
          <w:color w:val="231F20"/>
          <w:vertAlign w:val="baseline"/>
        </w:rPr>
        <w:t>la</w:t>
      </w:r>
      <w:r>
        <w:rPr>
          <w:color w:val="231F20"/>
          <w:spacing w:val="-1"/>
          <w:vertAlign w:val="baseline"/>
        </w:rPr>
        <w:t> </w:t>
      </w:r>
      <w:r>
        <w:rPr>
          <w:color w:val="231F20"/>
          <w:vertAlign w:val="baseline"/>
        </w:rPr>
        <w:t>Ligue</w:t>
      </w:r>
      <w:r>
        <w:rPr>
          <w:color w:val="231F20"/>
          <w:spacing w:val="-1"/>
          <w:vertAlign w:val="baseline"/>
        </w:rPr>
        <w:t> </w:t>
      </w:r>
      <w:r>
        <w:rPr>
          <w:color w:val="231F20"/>
          <w:vertAlign w:val="baseline"/>
        </w:rPr>
        <w:t>Togolaise des</w:t>
      </w:r>
      <w:r>
        <w:rPr>
          <w:color w:val="231F20"/>
          <w:spacing w:val="-5"/>
          <w:vertAlign w:val="baseline"/>
        </w:rPr>
        <w:t> </w:t>
      </w:r>
      <w:r>
        <w:rPr>
          <w:color w:val="231F20"/>
          <w:vertAlign w:val="baseline"/>
        </w:rPr>
        <w:t>Droits</w:t>
      </w:r>
      <w:r>
        <w:rPr>
          <w:color w:val="231F20"/>
          <w:spacing w:val="-7"/>
          <w:vertAlign w:val="baseline"/>
        </w:rPr>
        <w:t> </w:t>
      </w:r>
      <w:r>
        <w:rPr>
          <w:color w:val="231F20"/>
          <w:vertAlign w:val="baseline"/>
        </w:rPr>
        <w:t>de</w:t>
      </w:r>
      <w:r>
        <w:rPr>
          <w:color w:val="231F20"/>
          <w:spacing w:val="-4"/>
          <w:vertAlign w:val="baseline"/>
        </w:rPr>
        <w:t> </w:t>
      </w:r>
      <w:r>
        <w:rPr>
          <w:color w:val="231F20"/>
          <w:vertAlign w:val="baseline"/>
        </w:rPr>
        <w:t>l'Homme</w:t>
      </w:r>
      <w:r>
        <w:rPr>
          <w:color w:val="231F20"/>
          <w:spacing w:val="-4"/>
          <w:vertAlign w:val="baseline"/>
        </w:rPr>
        <w:t> </w:t>
      </w:r>
      <w:r>
        <w:rPr>
          <w:color w:val="231F20"/>
          <w:vertAlign w:val="baseline"/>
        </w:rPr>
        <w:t>dénoncent</w:t>
      </w:r>
      <w:r>
        <w:rPr>
          <w:color w:val="231F20"/>
          <w:spacing w:val="-7"/>
          <w:vertAlign w:val="baseline"/>
        </w:rPr>
        <w:t> </w:t>
      </w:r>
      <w:r>
        <w:rPr>
          <w:color w:val="231F20"/>
          <w:vertAlign w:val="baseline"/>
        </w:rPr>
        <w:t>la</w:t>
      </w:r>
      <w:r>
        <w:rPr>
          <w:color w:val="231F20"/>
          <w:spacing w:val="-6"/>
          <w:vertAlign w:val="baseline"/>
        </w:rPr>
        <w:t> </w:t>
      </w:r>
      <w:r>
        <w:rPr>
          <w:i/>
          <w:color w:val="231F20"/>
          <w:vertAlign w:val="baseline"/>
        </w:rPr>
        <w:t>«</w:t>
      </w:r>
      <w:r>
        <w:rPr>
          <w:i/>
          <w:color w:val="231F20"/>
          <w:spacing w:val="-7"/>
          <w:vertAlign w:val="baseline"/>
        </w:rPr>
        <w:t> </w:t>
      </w:r>
      <w:r>
        <w:rPr>
          <w:i/>
          <w:color w:val="231F20"/>
          <w:vertAlign w:val="baseline"/>
        </w:rPr>
        <w:t>dictature</w:t>
      </w:r>
      <w:r>
        <w:rPr>
          <w:i/>
          <w:color w:val="231F20"/>
          <w:spacing w:val="-4"/>
          <w:vertAlign w:val="baseline"/>
        </w:rPr>
        <w:t> </w:t>
      </w:r>
      <w:r>
        <w:rPr>
          <w:i/>
          <w:color w:val="231F20"/>
          <w:vertAlign w:val="baseline"/>
        </w:rPr>
        <w:t>héréditaire</w:t>
      </w:r>
      <w:r>
        <w:rPr>
          <w:i/>
          <w:color w:val="231F20"/>
          <w:spacing w:val="-4"/>
          <w:vertAlign w:val="baseline"/>
        </w:rPr>
        <w:t> </w:t>
      </w:r>
      <w:r>
        <w:rPr>
          <w:i/>
          <w:color w:val="231F20"/>
          <w:vertAlign w:val="baseline"/>
        </w:rPr>
        <w:t>».</w:t>
      </w:r>
    </w:p>
    <w:p>
      <w:pPr>
        <w:pStyle w:val="BodyText"/>
        <w:ind w:right="104" w:firstLine="283"/>
      </w:pPr>
      <w:r>
        <w:rPr>
          <w:color w:val="231F20"/>
        </w:rPr>
        <w:t>La succession avait été préparée par le général-Président Étienne Eyadéma Gnassingbé. En</w:t>
      </w:r>
      <w:r>
        <w:rPr>
          <w:color w:val="231F20"/>
          <w:spacing w:val="-13"/>
        </w:rPr>
        <w:t> </w:t>
      </w:r>
      <w:r>
        <w:rPr>
          <w:color w:val="231F20"/>
        </w:rPr>
        <w:t>décembre</w:t>
      </w:r>
      <w:r>
        <w:rPr>
          <w:color w:val="231F20"/>
          <w:spacing w:val="-13"/>
        </w:rPr>
        <w:t> </w:t>
      </w:r>
      <w:r>
        <w:rPr>
          <w:color w:val="231F20"/>
        </w:rPr>
        <w:t>2002, il avait fait amender la Constitution du pays. La nouvelle constitution abaisse l'âge minimum pour</w:t>
      </w:r>
      <w:r>
        <w:rPr>
          <w:color w:val="231F20"/>
          <w:spacing w:val="-2"/>
        </w:rPr>
        <w:t> </w:t>
      </w:r>
      <w:r>
        <w:rPr>
          <w:color w:val="231F20"/>
        </w:rPr>
        <w:t>être</w:t>
      </w:r>
      <w:r>
        <w:rPr>
          <w:color w:val="231F20"/>
          <w:spacing w:val="-2"/>
        </w:rPr>
        <w:t> </w:t>
      </w:r>
      <w:r>
        <w:rPr>
          <w:color w:val="231F20"/>
        </w:rPr>
        <w:t>éligible</w:t>
      </w:r>
      <w:r>
        <w:rPr>
          <w:color w:val="231F20"/>
          <w:spacing w:val="-2"/>
        </w:rPr>
        <w:t> </w:t>
      </w:r>
      <w:r>
        <w:rPr>
          <w:color w:val="231F20"/>
        </w:rPr>
        <w:t>au</w:t>
      </w:r>
      <w:r>
        <w:rPr>
          <w:color w:val="231F20"/>
          <w:spacing w:val="-2"/>
        </w:rPr>
        <w:t> </w:t>
      </w:r>
      <w:r>
        <w:rPr>
          <w:color w:val="231F20"/>
        </w:rPr>
        <w:t>poste</w:t>
      </w:r>
      <w:r>
        <w:rPr>
          <w:color w:val="231F20"/>
          <w:spacing w:val="-6"/>
        </w:rPr>
        <w:t> </w:t>
      </w:r>
      <w:r>
        <w:rPr>
          <w:color w:val="231F20"/>
        </w:rPr>
        <w:t>de</w:t>
      </w:r>
      <w:r>
        <w:rPr>
          <w:color w:val="231F20"/>
          <w:spacing w:val="-5"/>
        </w:rPr>
        <w:t> </w:t>
      </w:r>
      <w:r>
        <w:rPr>
          <w:color w:val="231F20"/>
        </w:rPr>
        <w:t>président</w:t>
      </w:r>
      <w:r>
        <w:rPr>
          <w:color w:val="231F20"/>
          <w:spacing w:val="-4"/>
        </w:rPr>
        <w:t> </w:t>
      </w:r>
      <w:r>
        <w:rPr>
          <w:color w:val="231F20"/>
        </w:rPr>
        <w:t>de</w:t>
      </w:r>
      <w:r>
        <w:rPr>
          <w:color w:val="231F20"/>
          <w:spacing w:val="-3"/>
        </w:rPr>
        <w:t> </w:t>
      </w:r>
      <w:r>
        <w:rPr>
          <w:color w:val="231F20"/>
        </w:rPr>
        <w:t>45</w:t>
      </w:r>
      <w:r>
        <w:rPr>
          <w:color w:val="231F20"/>
          <w:spacing w:val="-5"/>
        </w:rPr>
        <w:t> </w:t>
      </w:r>
      <w:r>
        <w:rPr>
          <w:color w:val="231F20"/>
        </w:rPr>
        <w:t>ans</w:t>
      </w:r>
      <w:r>
        <w:rPr>
          <w:color w:val="231F20"/>
          <w:spacing w:val="-3"/>
        </w:rPr>
        <w:t> </w:t>
      </w:r>
      <w:r>
        <w:rPr>
          <w:color w:val="231F20"/>
        </w:rPr>
        <w:t>à</w:t>
      </w:r>
      <w:r>
        <w:rPr>
          <w:color w:val="231F20"/>
          <w:spacing w:val="-5"/>
        </w:rPr>
        <w:t> </w:t>
      </w:r>
      <w:r>
        <w:rPr>
          <w:color w:val="231F20"/>
        </w:rPr>
        <w:t>35</w:t>
      </w:r>
      <w:r>
        <w:rPr>
          <w:color w:val="231F20"/>
          <w:spacing w:val="-3"/>
        </w:rPr>
        <w:t> </w:t>
      </w:r>
      <w:r>
        <w:rPr>
          <w:color w:val="231F20"/>
        </w:rPr>
        <w:t>ans</w:t>
      </w:r>
      <w:r>
        <w:rPr>
          <w:color w:val="231F20"/>
          <w:vertAlign w:val="superscript"/>
        </w:rPr>
        <w:t>98</w:t>
      </w:r>
      <w:r>
        <w:rPr>
          <w:color w:val="231F20"/>
          <w:vertAlign w:val="baseline"/>
        </w:rPr>
        <w:t>.</w:t>
      </w:r>
    </w:p>
    <w:p>
      <w:pPr>
        <w:pStyle w:val="BodyText"/>
        <w:spacing w:before="121"/>
        <w:ind w:right="103" w:firstLine="283"/>
      </w:pPr>
      <w:r>
        <w:rPr>
          <w:color w:val="231F20"/>
          <w:spacing w:val="-4"/>
        </w:rPr>
        <w:t>Le</w:t>
      </w:r>
      <w:r>
        <w:rPr>
          <w:color w:val="231F20"/>
          <w:spacing w:val="-11"/>
        </w:rPr>
        <w:t> </w:t>
      </w:r>
      <w:r>
        <w:rPr>
          <w:color w:val="231F20"/>
          <w:spacing w:val="-4"/>
        </w:rPr>
        <w:t>25</w:t>
      </w:r>
      <w:r>
        <w:rPr>
          <w:color w:val="231F20"/>
          <w:spacing w:val="-11"/>
        </w:rPr>
        <w:t> </w:t>
      </w:r>
      <w:r>
        <w:rPr>
          <w:color w:val="231F20"/>
          <w:spacing w:val="-4"/>
        </w:rPr>
        <w:t>février,</w:t>
      </w:r>
      <w:r>
        <w:rPr>
          <w:color w:val="231F20"/>
          <w:spacing w:val="-11"/>
        </w:rPr>
        <w:t> </w:t>
      </w:r>
      <w:r>
        <w:rPr>
          <w:color w:val="231F20"/>
          <w:spacing w:val="-4"/>
        </w:rPr>
        <w:t>à</w:t>
      </w:r>
      <w:r>
        <w:rPr>
          <w:color w:val="231F20"/>
          <w:spacing w:val="-11"/>
        </w:rPr>
        <w:t> </w:t>
      </w:r>
      <w:r>
        <w:rPr>
          <w:color w:val="231F20"/>
          <w:spacing w:val="-4"/>
        </w:rPr>
        <w:t>la</w:t>
      </w:r>
      <w:r>
        <w:rPr>
          <w:color w:val="231F20"/>
          <w:spacing w:val="-11"/>
        </w:rPr>
        <w:t> </w:t>
      </w:r>
      <w:r>
        <w:rPr>
          <w:color w:val="231F20"/>
          <w:spacing w:val="-4"/>
        </w:rPr>
        <w:t>suite</w:t>
      </w:r>
      <w:r>
        <w:rPr>
          <w:color w:val="231F20"/>
          <w:spacing w:val="-11"/>
        </w:rPr>
        <w:t> </w:t>
      </w:r>
      <w:r>
        <w:rPr>
          <w:color w:val="231F20"/>
          <w:spacing w:val="-4"/>
        </w:rPr>
        <w:t>des</w:t>
      </w:r>
      <w:r>
        <w:rPr>
          <w:color w:val="231F20"/>
          <w:spacing w:val="-11"/>
        </w:rPr>
        <w:t> </w:t>
      </w:r>
      <w:r>
        <w:rPr>
          <w:color w:val="231F20"/>
          <w:spacing w:val="-4"/>
        </w:rPr>
        <w:t>pressions</w:t>
      </w:r>
      <w:r>
        <w:rPr>
          <w:color w:val="231F20"/>
          <w:spacing w:val="-11"/>
        </w:rPr>
        <w:t> </w:t>
      </w:r>
      <w:r>
        <w:rPr>
          <w:color w:val="231F20"/>
          <w:spacing w:val="-4"/>
        </w:rPr>
        <w:t>internationales,</w:t>
      </w:r>
      <w:r>
        <w:rPr>
          <w:color w:val="231F20"/>
          <w:spacing w:val="-11"/>
        </w:rPr>
        <w:t> </w:t>
      </w:r>
      <w:r>
        <w:rPr>
          <w:color w:val="231F20"/>
          <w:spacing w:val="-4"/>
        </w:rPr>
        <w:t>Faure</w:t>
      </w:r>
      <w:r>
        <w:rPr>
          <w:color w:val="231F20"/>
          <w:spacing w:val="-11"/>
        </w:rPr>
        <w:t> </w:t>
      </w:r>
      <w:r>
        <w:rPr>
          <w:color w:val="231F20"/>
          <w:spacing w:val="-4"/>
        </w:rPr>
        <w:t>Gnassingbé </w:t>
      </w:r>
      <w:r>
        <w:rPr>
          <w:color w:val="231F20"/>
        </w:rPr>
        <w:t>Éyadéma</w:t>
      </w:r>
      <w:r>
        <w:rPr>
          <w:color w:val="231F20"/>
          <w:spacing w:val="-15"/>
        </w:rPr>
        <w:t> </w:t>
      </w:r>
      <w:r>
        <w:rPr>
          <w:color w:val="231F20"/>
        </w:rPr>
        <w:t>annonce</w:t>
      </w:r>
      <w:r>
        <w:rPr>
          <w:color w:val="231F20"/>
          <w:spacing w:val="-15"/>
        </w:rPr>
        <w:t> </w:t>
      </w:r>
      <w:r>
        <w:rPr>
          <w:color w:val="231F20"/>
        </w:rPr>
        <w:t>qu'il</w:t>
      </w:r>
      <w:r>
        <w:rPr>
          <w:color w:val="231F20"/>
          <w:spacing w:val="-15"/>
        </w:rPr>
        <w:t> </w:t>
      </w:r>
      <w:r>
        <w:rPr>
          <w:color w:val="231F20"/>
        </w:rPr>
        <w:t>renonce</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présidence,</w:t>
      </w:r>
      <w:r>
        <w:rPr>
          <w:color w:val="231F20"/>
          <w:spacing w:val="-15"/>
        </w:rPr>
        <w:t> </w:t>
      </w:r>
      <w:r>
        <w:rPr>
          <w:color w:val="231F20"/>
        </w:rPr>
        <w:t>que</w:t>
      </w:r>
      <w:r>
        <w:rPr>
          <w:color w:val="231F20"/>
          <w:spacing w:val="-15"/>
        </w:rPr>
        <w:t> </w:t>
      </w:r>
      <w:r>
        <w:rPr>
          <w:color w:val="231F20"/>
        </w:rPr>
        <w:t>des</w:t>
      </w:r>
      <w:r>
        <w:rPr>
          <w:color w:val="231F20"/>
          <w:spacing w:val="-15"/>
        </w:rPr>
        <w:t> </w:t>
      </w:r>
      <w:r>
        <w:rPr>
          <w:color w:val="231F20"/>
        </w:rPr>
        <w:t>élections</w:t>
      </w:r>
      <w:r>
        <w:rPr>
          <w:color w:val="231F20"/>
          <w:spacing w:val="-15"/>
        </w:rPr>
        <w:t> </w:t>
      </w:r>
      <w:r>
        <w:rPr>
          <w:color w:val="231F20"/>
        </w:rPr>
        <w:t>seront organisées dans les prochaines semaines et qu'il se porte candidat à la </w:t>
      </w:r>
      <w:r>
        <w:rPr>
          <w:color w:val="231F20"/>
          <w:spacing w:val="-4"/>
        </w:rPr>
        <w:t>présidence.</w:t>
      </w:r>
      <w:r>
        <w:rPr>
          <w:color w:val="231F20"/>
          <w:spacing w:val="-7"/>
        </w:rPr>
        <w:t> </w:t>
      </w:r>
      <w:r>
        <w:rPr>
          <w:color w:val="231F20"/>
          <w:spacing w:val="-4"/>
        </w:rPr>
        <w:t>Il</w:t>
      </w:r>
      <w:r>
        <w:rPr>
          <w:color w:val="231F20"/>
          <w:spacing w:val="-6"/>
        </w:rPr>
        <w:t> </w:t>
      </w:r>
      <w:r>
        <w:rPr>
          <w:color w:val="231F20"/>
          <w:spacing w:val="-4"/>
        </w:rPr>
        <w:t>est</w:t>
      </w:r>
      <w:r>
        <w:rPr>
          <w:color w:val="231F20"/>
          <w:spacing w:val="-6"/>
        </w:rPr>
        <w:t> </w:t>
      </w:r>
      <w:r>
        <w:rPr>
          <w:color w:val="231F20"/>
          <w:spacing w:val="-4"/>
        </w:rPr>
        <w:t>élu</w:t>
      </w:r>
      <w:r>
        <w:rPr>
          <w:color w:val="231F20"/>
          <w:spacing w:val="-7"/>
        </w:rPr>
        <w:t> </w:t>
      </w:r>
      <w:r>
        <w:rPr>
          <w:color w:val="231F20"/>
          <w:spacing w:val="-4"/>
        </w:rPr>
        <w:t>le</w:t>
      </w:r>
      <w:r>
        <w:rPr>
          <w:color w:val="231F20"/>
          <w:spacing w:val="-7"/>
        </w:rPr>
        <w:t> </w:t>
      </w:r>
      <w:r>
        <w:rPr>
          <w:color w:val="231F20"/>
          <w:spacing w:val="-4"/>
        </w:rPr>
        <w:t>4</w:t>
      </w:r>
      <w:r>
        <w:rPr>
          <w:color w:val="231F20"/>
          <w:spacing w:val="-10"/>
        </w:rPr>
        <w:t> </w:t>
      </w:r>
      <w:r>
        <w:rPr>
          <w:color w:val="231F20"/>
          <w:spacing w:val="-4"/>
        </w:rPr>
        <w:t>mai</w:t>
      </w:r>
      <w:r>
        <w:rPr>
          <w:color w:val="231F20"/>
          <w:spacing w:val="-6"/>
        </w:rPr>
        <w:t> </w:t>
      </w:r>
      <w:r>
        <w:rPr>
          <w:color w:val="231F20"/>
          <w:spacing w:val="-4"/>
        </w:rPr>
        <w:t>2005.</w:t>
      </w:r>
      <w:r>
        <w:rPr>
          <w:color w:val="231F20"/>
          <w:spacing w:val="-7"/>
        </w:rPr>
        <w:t> </w:t>
      </w:r>
      <w:r>
        <w:rPr>
          <w:color w:val="231F20"/>
          <w:spacing w:val="-4"/>
        </w:rPr>
        <w:t>À</w:t>
      </w:r>
      <w:r>
        <w:rPr>
          <w:color w:val="231F20"/>
          <w:spacing w:val="-7"/>
        </w:rPr>
        <w:t> </w:t>
      </w:r>
      <w:r>
        <w:rPr>
          <w:color w:val="231F20"/>
          <w:spacing w:val="-4"/>
        </w:rPr>
        <w:t>39</w:t>
      </w:r>
      <w:r>
        <w:rPr>
          <w:color w:val="231F20"/>
          <w:spacing w:val="-7"/>
        </w:rPr>
        <w:t> </w:t>
      </w:r>
      <w:r>
        <w:rPr>
          <w:color w:val="231F20"/>
          <w:spacing w:val="-4"/>
        </w:rPr>
        <w:t>ans,</w:t>
      </w:r>
      <w:r>
        <w:rPr>
          <w:color w:val="231F20"/>
          <w:spacing w:val="-7"/>
        </w:rPr>
        <w:t> </w:t>
      </w:r>
      <w:r>
        <w:rPr>
          <w:color w:val="231F20"/>
          <w:spacing w:val="-4"/>
        </w:rPr>
        <w:t>Faure</w:t>
      </w:r>
      <w:r>
        <w:rPr>
          <w:color w:val="231F20"/>
          <w:spacing w:val="-7"/>
        </w:rPr>
        <w:t> </w:t>
      </w:r>
      <w:r>
        <w:rPr>
          <w:color w:val="231F20"/>
          <w:spacing w:val="-4"/>
        </w:rPr>
        <w:t>Gnassingbé</w:t>
      </w:r>
      <w:r>
        <w:rPr>
          <w:color w:val="231F20"/>
          <w:spacing w:val="-7"/>
        </w:rPr>
        <w:t> </w:t>
      </w:r>
      <w:r>
        <w:rPr>
          <w:color w:val="231F20"/>
          <w:spacing w:val="-4"/>
        </w:rPr>
        <w:t>remplace </w:t>
      </w:r>
      <w:r>
        <w:rPr>
          <w:color w:val="231F20"/>
          <w:spacing w:val="-2"/>
        </w:rPr>
        <w:t>son</w:t>
      </w:r>
      <w:r>
        <w:rPr>
          <w:color w:val="231F20"/>
          <w:spacing w:val="-10"/>
        </w:rPr>
        <w:t> </w:t>
      </w:r>
      <w:r>
        <w:rPr>
          <w:color w:val="231F20"/>
          <w:spacing w:val="-2"/>
        </w:rPr>
        <w:t>père</w:t>
      </w:r>
      <w:r>
        <w:rPr>
          <w:color w:val="231F20"/>
          <w:spacing w:val="-13"/>
        </w:rPr>
        <w:t> </w:t>
      </w:r>
      <w:r>
        <w:rPr>
          <w:color w:val="231F20"/>
          <w:spacing w:val="-2"/>
        </w:rPr>
        <w:t>à</w:t>
      </w:r>
      <w:r>
        <w:rPr>
          <w:color w:val="231F20"/>
          <w:spacing w:val="-11"/>
        </w:rPr>
        <w:t> </w:t>
      </w:r>
      <w:r>
        <w:rPr>
          <w:color w:val="231F20"/>
          <w:spacing w:val="-2"/>
        </w:rPr>
        <w:t>la</w:t>
      </w:r>
      <w:r>
        <w:rPr>
          <w:color w:val="231F20"/>
          <w:spacing w:val="-12"/>
        </w:rPr>
        <w:t> </w:t>
      </w:r>
      <w:r>
        <w:rPr>
          <w:color w:val="231F20"/>
          <w:spacing w:val="-2"/>
        </w:rPr>
        <w:t>tête</w:t>
      </w:r>
      <w:r>
        <w:rPr>
          <w:color w:val="231F20"/>
          <w:spacing w:val="-13"/>
        </w:rPr>
        <w:t> </w:t>
      </w:r>
      <w:r>
        <w:rPr>
          <w:color w:val="231F20"/>
          <w:spacing w:val="-2"/>
        </w:rPr>
        <w:t>de</w:t>
      </w:r>
      <w:r>
        <w:rPr>
          <w:color w:val="231F20"/>
          <w:spacing w:val="-10"/>
        </w:rPr>
        <w:t> </w:t>
      </w:r>
      <w:r>
        <w:rPr>
          <w:color w:val="231F20"/>
          <w:spacing w:val="-2"/>
        </w:rPr>
        <w:t>la</w:t>
      </w:r>
      <w:r>
        <w:rPr>
          <w:color w:val="231F20"/>
          <w:spacing w:val="-13"/>
        </w:rPr>
        <w:t> </w:t>
      </w:r>
      <w:r>
        <w:rPr>
          <w:color w:val="231F20"/>
          <w:spacing w:val="-2"/>
        </w:rPr>
        <w:t>République</w:t>
      </w:r>
      <w:r>
        <w:rPr>
          <w:color w:val="231F20"/>
          <w:spacing w:val="-12"/>
        </w:rPr>
        <w:t> </w:t>
      </w:r>
      <w:r>
        <w:rPr>
          <w:color w:val="231F20"/>
          <w:spacing w:val="-2"/>
        </w:rPr>
        <w:t>du</w:t>
      </w:r>
      <w:r>
        <w:rPr>
          <w:color w:val="231F20"/>
          <w:spacing w:val="-10"/>
        </w:rPr>
        <w:t> </w:t>
      </w:r>
      <w:r>
        <w:rPr>
          <w:color w:val="231F20"/>
          <w:spacing w:val="-2"/>
        </w:rPr>
        <w:t>Togo.</w:t>
      </w:r>
      <w:r>
        <w:rPr>
          <w:color w:val="231F20"/>
          <w:spacing w:val="-12"/>
        </w:rPr>
        <w:t> </w:t>
      </w:r>
      <w:r>
        <w:rPr>
          <w:color w:val="231F20"/>
          <w:spacing w:val="-2"/>
        </w:rPr>
        <w:t>Il</w:t>
      </w:r>
      <w:r>
        <w:rPr>
          <w:color w:val="231F20"/>
          <w:spacing w:val="-10"/>
        </w:rPr>
        <w:t> </w:t>
      </w:r>
      <w:r>
        <w:rPr>
          <w:color w:val="231F20"/>
          <w:spacing w:val="-2"/>
        </w:rPr>
        <w:t>est</w:t>
      </w:r>
      <w:r>
        <w:rPr>
          <w:color w:val="231F20"/>
          <w:spacing w:val="-12"/>
        </w:rPr>
        <w:t> </w:t>
      </w:r>
      <w:r>
        <w:rPr>
          <w:color w:val="231F20"/>
          <w:spacing w:val="-2"/>
        </w:rPr>
        <w:t>réélu</w:t>
      </w:r>
      <w:r>
        <w:rPr>
          <w:color w:val="231F20"/>
          <w:spacing w:val="-10"/>
        </w:rPr>
        <w:t> </w:t>
      </w:r>
      <w:r>
        <w:rPr>
          <w:color w:val="231F20"/>
          <w:spacing w:val="-2"/>
        </w:rPr>
        <w:t>le</w:t>
      </w:r>
      <w:r>
        <w:rPr>
          <w:color w:val="231F20"/>
          <w:spacing w:val="-13"/>
        </w:rPr>
        <w:t> </w:t>
      </w:r>
      <w:r>
        <w:rPr>
          <w:color w:val="231F20"/>
          <w:spacing w:val="-2"/>
        </w:rPr>
        <w:t>4</w:t>
      </w:r>
      <w:r>
        <w:rPr>
          <w:color w:val="231F20"/>
          <w:spacing w:val="-12"/>
        </w:rPr>
        <w:t> </w:t>
      </w:r>
      <w:r>
        <w:rPr>
          <w:color w:val="231F20"/>
          <w:spacing w:val="-2"/>
        </w:rPr>
        <w:t>mars</w:t>
      </w:r>
      <w:r>
        <w:rPr>
          <w:color w:val="231F20"/>
          <w:spacing w:val="-7"/>
        </w:rPr>
        <w:t> </w:t>
      </w:r>
      <w:r>
        <w:rPr>
          <w:color w:val="231F20"/>
          <w:spacing w:val="-2"/>
        </w:rPr>
        <w:t>2010,</w:t>
      </w:r>
      <w:r>
        <w:rPr>
          <w:color w:val="231F20"/>
          <w:spacing w:val="-11"/>
        </w:rPr>
        <w:t> </w:t>
      </w:r>
      <w:r>
        <w:rPr>
          <w:color w:val="231F20"/>
          <w:spacing w:val="-2"/>
        </w:rPr>
        <w:t>le </w:t>
      </w:r>
      <w:r>
        <w:rPr>
          <w:color w:val="231F20"/>
        </w:rPr>
        <w:t>25 avril 2015 et le 22 février 2020.</w:t>
      </w:r>
    </w:p>
    <w:p>
      <w:pPr>
        <w:pStyle w:val="BodyText"/>
        <w:spacing w:line="390" w:lineRule="atLeast" w:before="6"/>
        <w:ind w:left="395" w:right="108"/>
      </w:pPr>
      <w:r>
        <w:rPr>
          <w:color w:val="231F20"/>
        </w:rPr>
        <w:t>Le</w:t>
      </w:r>
      <w:r>
        <w:rPr>
          <w:color w:val="231F20"/>
          <w:spacing w:val="-9"/>
        </w:rPr>
        <w:t> </w:t>
      </w:r>
      <w:r>
        <w:rPr>
          <w:color w:val="231F20"/>
        </w:rPr>
        <w:t>Togo</w:t>
      </w:r>
      <w:r>
        <w:rPr>
          <w:color w:val="231F20"/>
          <w:spacing w:val="-9"/>
        </w:rPr>
        <w:t> </w:t>
      </w:r>
      <w:r>
        <w:rPr>
          <w:color w:val="231F20"/>
        </w:rPr>
        <w:t>fait</w:t>
      </w:r>
      <w:r>
        <w:rPr>
          <w:color w:val="231F20"/>
          <w:spacing w:val="-12"/>
        </w:rPr>
        <w:t> </w:t>
      </w:r>
      <w:r>
        <w:rPr>
          <w:color w:val="231F20"/>
        </w:rPr>
        <w:t>partie</w:t>
      </w:r>
      <w:r>
        <w:rPr>
          <w:color w:val="231F20"/>
          <w:spacing w:val="-12"/>
        </w:rPr>
        <w:t> </w:t>
      </w:r>
      <w:r>
        <w:rPr>
          <w:color w:val="231F20"/>
        </w:rPr>
        <w:t>des</w:t>
      </w:r>
      <w:r>
        <w:rPr>
          <w:color w:val="231F20"/>
          <w:spacing w:val="-10"/>
        </w:rPr>
        <w:t> </w:t>
      </w:r>
      <w:r>
        <w:rPr>
          <w:color w:val="231F20"/>
        </w:rPr>
        <w:t>grands</w:t>
      </w:r>
      <w:r>
        <w:rPr>
          <w:color w:val="231F20"/>
          <w:spacing w:val="-10"/>
        </w:rPr>
        <w:t> </w:t>
      </w:r>
      <w:r>
        <w:rPr>
          <w:color w:val="231F20"/>
        </w:rPr>
        <w:t>producteurs</w:t>
      </w:r>
      <w:r>
        <w:rPr>
          <w:color w:val="231F20"/>
          <w:spacing w:val="-10"/>
        </w:rPr>
        <w:t> </w:t>
      </w:r>
      <w:r>
        <w:rPr>
          <w:color w:val="231F20"/>
        </w:rPr>
        <w:t>mondiaux</w:t>
      </w:r>
      <w:r>
        <w:rPr>
          <w:color w:val="231F20"/>
          <w:spacing w:val="-9"/>
        </w:rPr>
        <w:t> </w:t>
      </w:r>
      <w:r>
        <w:rPr>
          <w:color w:val="231F20"/>
        </w:rPr>
        <w:t>de</w:t>
      </w:r>
      <w:r>
        <w:rPr>
          <w:color w:val="231F20"/>
          <w:spacing w:val="-9"/>
        </w:rPr>
        <w:t> </w:t>
      </w:r>
      <w:r>
        <w:rPr>
          <w:color w:val="231F20"/>
        </w:rPr>
        <w:t>phosphates. Dès</w:t>
      </w:r>
      <w:r>
        <w:rPr>
          <w:color w:val="231F20"/>
          <w:spacing w:val="-17"/>
        </w:rPr>
        <w:t> </w:t>
      </w:r>
      <w:r>
        <w:rPr>
          <w:color w:val="231F20"/>
        </w:rPr>
        <w:t>la</w:t>
      </w:r>
      <w:r>
        <w:rPr>
          <w:color w:val="231F20"/>
          <w:spacing w:val="-14"/>
        </w:rPr>
        <w:t> </w:t>
      </w:r>
      <w:r>
        <w:rPr>
          <w:color w:val="231F20"/>
        </w:rPr>
        <w:t>fin</w:t>
      </w:r>
      <w:r>
        <w:rPr>
          <w:color w:val="231F20"/>
          <w:spacing w:val="-13"/>
        </w:rPr>
        <w:t> </w:t>
      </w:r>
      <w:r>
        <w:rPr>
          <w:color w:val="231F20"/>
        </w:rPr>
        <w:t>des</w:t>
      </w:r>
      <w:r>
        <w:rPr>
          <w:color w:val="231F20"/>
          <w:spacing w:val="-13"/>
        </w:rPr>
        <w:t> </w:t>
      </w:r>
      <w:r>
        <w:rPr>
          <w:color w:val="231F20"/>
        </w:rPr>
        <w:t>années</w:t>
      </w:r>
      <w:r>
        <w:rPr>
          <w:color w:val="231F20"/>
          <w:spacing w:val="-13"/>
        </w:rPr>
        <w:t> </w:t>
      </w:r>
      <w:r>
        <w:rPr>
          <w:color w:val="231F20"/>
        </w:rPr>
        <w:t>80,</w:t>
      </w:r>
      <w:r>
        <w:rPr>
          <w:color w:val="231F20"/>
          <w:spacing w:val="-14"/>
        </w:rPr>
        <w:t> </w:t>
      </w:r>
      <w:r>
        <w:rPr>
          <w:color w:val="231F20"/>
        </w:rPr>
        <w:t>le</w:t>
      </w:r>
      <w:r>
        <w:rPr>
          <w:color w:val="231F20"/>
          <w:spacing w:val="-13"/>
        </w:rPr>
        <w:t> </w:t>
      </w:r>
      <w:r>
        <w:rPr>
          <w:color w:val="231F20"/>
        </w:rPr>
        <w:t>pays</w:t>
      </w:r>
      <w:r>
        <w:rPr>
          <w:color w:val="231F20"/>
          <w:spacing w:val="-13"/>
        </w:rPr>
        <w:t> </w:t>
      </w:r>
      <w:r>
        <w:rPr>
          <w:color w:val="231F20"/>
        </w:rPr>
        <w:t>s’est</w:t>
      </w:r>
      <w:r>
        <w:rPr>
          <w:color w:val="231F20"/>
          <w:spacing w:val="-15"/>
        </w:rPr>
        <w:t> </w:t>
      </w:r>
      <w:r>
        <w:rPr>
          <w:color w:val="231F20"/>
        </w:rPr>
        <w:t>doté</w:t>
      </w:r>
      <w:r>
        <w:rPr>
          <w:color w:val="231F20"/>
          <w:spacing w:val="-14"/>
        </w:rPr>
        <w:t> </w:t>
      </w:r>
      <w:r>
        <w:rPr>
          <w:color w:val="231F20"/>
        </w:rPr>
        <w:t>d’une</w:t>
      </w:r>
      <w:r>
        <w:rPr>
          <w:color w:val="231F20"/>
          <w:spacing w:val="-13"/>
        </w:rPr>
        <w:t> </w:t>
      </w:r>
      <w:r>
        <w:rPr>
          <w:color w:val="231F20"/>
        </w:rPr>
        <w:t>zone</w:t>
      </w:r>
      <w:r>
        <w:rPr>
          <w:color w:val="231F20"/>
          <w:spacing w:val="-13"/>
        </w:rPr>
        <w:t> </w:t>
      </w:r>
      <w:r>
        <w:rPr>
          <w:color w:val="231F20"/>
        </w:rPr>
        <w:t>franche.</w:t>
      </w:r>
      <w:r>
        <w:rPr>
          <w:color w:val="231F20"/>
          <w:spacing w:val="-13"/>
        </w:rPr>
        <w:t> </w:t>
      </w:r>
      <w:r>
        <w:rPr>
          <w:color w:val="231F20"/>
          <w:spacing w:val="-2"/>
        </w:rPr>
        <w:t>Ainsi,</w:t>
      </w:r>
    </w:p>
    <w:p>
      <w:pPr>
        <w:pStyle w:val="BodyText"/>
        <w:spacing w:before="6"/>
        <w:ind w:right="103"/>
      </w:pPr>
      <w:r>
        <w:rPr>
          <w:color w:val="231F20"/>
        </w:rPr>
        <w:t>dans cette zone sont implantés des sociétés pharmaceutiques, des fabricants d’huiles végétales, des assembleurs informatiques, des distributeurs</w:t>
      </w:r>
      <w:r>
        <w:rPr>
          <w:color w:val="231F20"/>
          <w:spacing w:val="-6"/>
        </w:rPr>
        <w:t> </w:t>
      </w:r>
      <w:r>
        <w:rPr>
          <w:color w:val="231F20"/>
        </w:rPr>
        <w:t>de</w:t>
      </w:r>
      <w:r>
        <w:rPr>
          <w:color w:val="231F20"/>
          <w:spacing w:val="-5"/>
        </w:rPr>
        <w:t> </w:t>
      </w:r>
      <w:r>
        <w:rPr>
          <w:color w:val="231F20"/>
        </w:rPr>
        <w:t>produits</w:t>
      </w:r>
      <w:r>
        <w:rPr>
          <w:color w:val="231F20"/>
          <w:spacing w:val="-7"/>
        </w:rPr>
        <w:t> </w:t>
      </w:r>
      <w:r>
        <w:rPr>
          <w:color w:val="231F20"/>
        </w:rPr>
        <w:t>cosmétiques,</w:t>
      </w:r>
      <w:r>
        <w:rPr>
          <w:color w:val="231F20"/>
          <w:spacing w:val="-6"/>
        </w:rPr>
        <w:t> </w:t>
      </w:r>
      <w:r>
        <w:rPr>
          <w:color w:val="231F20"/>
        </w:rPr>
        <w:t>des</w:t>
      </w:r>
      <w:r>
        <w:rPr>
          <w:color w:val="231F20"/>
          <w:spacing w:val="-6"/>
        </w:rPr>
        <w:t> </w:t>
      </w:r>
      <w:r>
        <w:rPr>
          <w:color w:val="231F20"/>
        </w:rPr>
        <w:t>prothésistes</w:t>
      </w:r>
      <w:r>
        <w:rPr>
          <w:color w:val="231F20"/>
          <w:spacing w:val="-6"/>
        </w:rPr>
        <w:t> </w:t>
      </w:r>
      <w:r>
        <w:rPr>
          <w:color w:val="231F20"/>
        </w:rPr>
        <w:t>dentaires</w:t>
      </w:r>
      <w:r>
        <w:rPr>
          <w:color w:val="231F20"/>
          <w:spacing w:val="-6"/>
        </w:rPr>
        <w:t> </w:t>
      </w:r>
      <w:r>
        <w:rPr>
          <w:color w:val="231F20"/>
        </w:rPr>
        <w:t>ou</w:t>
      </w:r>
      <w:r>
        <w:rPr>
          <w:color w:val="231F20"/>
          <w:spacing w:val="-6"/>
        </w:rPr>
        <w:t> </w:t>
      </w:r>
      <w:r>
        <w:rPr>
          <w:color w:val="231F20"/>
        </w:rPr>
        <w:t>des entreprises de transport routier…Le tiers de la population vit de de la culture du cacao, du café et du coton.</w:t>
      </w:r>
    </w:p>
    <w:p>
      <w:pPr>
        <w:pStyle w:val="BodyText"/>
        <w:spacing w:before="241"/>
        <w:ind w:left="0"/>
        <w:jc w:val="left"/>
      </w:pPr>
    </w:p>
    <w:p>
      <w:pPr>
        <w:pStyle w:val="Heading3"/>
        <w:rPr>
          <w:rFonts w:ascii="Times New Roman" w:hAnsi="Times New Roman"/>
          <w:b w:val="0"/>
          <w:i w:val="0"/>
        </w:rPr>
      </w:pPr>
      <w:r>
        <w:rPr>
          <w:i/>
          <w:color w:val="231F20"/>
          <w:spacing w:val="-2"/>
        </w:rPr>
        <w:t>La</w:t>
      </w:r>
      <w:r>
        <w:rPr>
          <w:i/>
          <w:color w:val="231F20"/>
          <w:spacing w:val="-7"/>
        </w:rPr>
        <w:t> </w:t>
      </w:r>
      <w:r>
        <w:rPr>
          <w:i/>
          <w:color w:val="231F20"/>
          <w:spacing w:val="-2"/>
        </w:rPr>
        <w:t>République</w:t>
      </w:r>
      <w:r>
        <w:rPr>
          <w:i/>
          <w:color w:val="231F20"/>
          <w:spacing w:val="-8"/>
        </w:rPr>
        <w:t> </w:t>
      </w:r>
      <w:r>
        <w:rPr>
          <w:i/>
          <w:color w:val="231F20"/>
          <w:spacing w:val="-2"/>
        </w:rPr>
        <w:t>de</w:t>
      </w:r>
      <w:r>
        <w:rPr>
          <w:i/>
          <w:color w:val="231F20"/>
          <w:spacing w:val="-6"/>
        </w:rPr>
        <w:t> </w:t>
      </w:r>
      <w:r>
        <w:rPr>
          <w:i/>
          <w:color w:val="231F20"/>
          <w:spacing w:val="-2"/>
        </w:rPr>
        <w:t>Guinée</w:t>
      </w:r>
      <w:r>
        <w:rPr>
          <w:rFonts w:ascii="Times New Roman" w:hAnsi="Times New Roman"/>
          <w:b w:val="0"/>
          <w:i w:val="0"/>
          <w:color w:val="231F20"/>
          <w:spacing w:val="-2"/>
          <w:vertAlign w:val="superscript"/>
        </w:rPr>
        <w:t>99</w:t>
      </w:r>
    </w:p>
    <w:p>
      <w:pPr>
        <w:pStyle w:val="BodyText"/>
        <w:spacing w:before="256"/>
        <w:ind w:right="104" w:firstLine="283"/>
      </w:pPr>
      <w:r>
        <w:rPr>
          <w:color w:val="231F20"/>
        </w:rPr>
        <w:t>Le</w:t>
      </w:r>
      <w:r>
        <w:rPr>
          <w:color w:val="231F20"/>
          <w:spacing w:val="-12"/>
        </w:rPr>
        <w:t> </w:t>
      </w:r>
      <w:r>
        <w:rPr>
          <w:color w:val="231F20"/>
        </w:rPr>
        <w:t>2</w:t>
      </w:r>
      <w:r>
        <w:rPr>
          <w:color w:val="231F20"/>
          <w:spacing w:val="-10"/>
        </w:rPr>
        <w:t> </w:t>
      </w:r>
      <w:r>
        <w:rPr>
          <w:color w:val="231F20"/>
        </w:rPr>
        <w:t>octobre</w:t>
      </w:r>
      <w:r>
        <w:rPr>
          <w:color w:val="231F20"/>
          <w:spacing w:val="-10"/>
        </w:rPr>
        <w:t> </w:t>
      </w:r>
      <w:r>
        <w:rPr>
          <w:color w:val="231F20"/>
        </w:rPr>
        <w:t>1958,</w:t>
      </w:r>
      <w:r>
        <w:rPr>
          <w:color w:val="231F20"/>
          <w:spacing w:val="-11"/>
        </w:rPr>
        <w:t> </w:t>
      </w:r>
      <w:r>
        <w:rPr>
          <w:color w:val="231F20"/>
        </w:rPr>
        <w:t>à</w:t>
      </w:r>
      <w:r>
        <w:rPr>
          <w:color w:val="231F20"/>
          <w:spacing w:val="-11"/>
        </w:rPr>
        <w:t> </w:t>
      </w:r>
      <w:r>
        <w:rPr>
          <w:color w:val="231F20"/>
        </w:rPr>
        <w:t>36</w:t>
      </w:r>
      <w:r>
        <w:rPr>
          <w:color w:val="231F20"/>
          <w:spacing w:val="-12"/>
        </w:rPr>
        <w:t> </w:t>
      </w:r>
      <w:r>
        <w:rPr>
          <w:color w:val="231F20"/>
        </w:rPr>
        <w:t>ans</w:t>
      </w:r>
      <w:r>
        <w:rPr>
          <w:color w:val="231F20"/>
          <w:spacing w:val="-15"/>
        </w:rPr>
        <w:t> </w:t>
      </w:r>
      <w:r>
        <w:rPr>
          <w:color w:val="231F20"/>
        </w:rPr>
        <w:t>,</w:t>
      </w:r>
      <w:r>
        <w:rPr>
          <w:color w:val="231F20"/>
          <w:spacing w:val="-12"/>
        </w:rPr>
        <w:t> </w:t>
      </w:r>
      <w:r>
        <w:rPr>
          <w:color w:val="231F20"/>
        </w:rPr>
        <w:t>Sékou</w:t>
      </w:r>
      <w:r>
        <w:rPr>
          <w:color w:val="231F20"/>
          <w:spacing w:val="-10"/>
        </w:rPr>
        <w:t> </w:t>
      </w:r>
      <w:r>
        <w:rPr>
          <w:color w:val="231F20"/>
        </w:rPr>
        <w:t>Touré,</w:t>
      </w:r>
      <w:r>
        <w:rPr>
          <w:color w:val="231F20"/>
          <w:spacing w:val="-10"/>
        </w:rPr>
        <w:t> </w:t>
      </w:r>
      <w:r>
        <w:rPr>
          <w:color w:val="231F20"/>
        </w:rPr>
        <w:t>le</w:t>
      </w:r>
      <w:r>
        <w:rPr>
          <w:color w:val="231F20"/>
          <w:spacing w:val="-13"/>
        </w:rPr>
        <w:t> </w:t>
      </w:r>
      <w:r>
        <w:rPr>
          <w:color w:val="231F20"/>
        </w:rPr>
        <w:t>«</w:t>
      </w:r>
      <w:r>
        <w:rPr>
          <w:color w:val="231F20"/>
          <w:spacing w:val="-15"/>
        </w:rPr>
        <w:t> </w:t>
      </w:r>
      <w:r>
        <w:rPr>
          <w:color w:val="231F20"/>
        </w:rPr>
        <w:t>Combattant</w:t>
      </w:r>
      <w:r>
        <w:rPr>
          <w:color w:val="231F20"/>
          <w:spacing w:val="-12"/>
        </w:rPr>
        <w:t> </w:t>
      </w:r>
      <w:r>
        <w:rPr>
          <w:color w:val="231F20"/>
        </w:rPr>
        <w:t>Suprême de la Révolution</w:t>
      </w:r>
      <w:r>
        <w:rPr>
          <w:color w:val="231F20"/>
          <w:spacing w:val="-11"/>
        </w:rPr>
        <w:t> </w:t>
      </w:r>
      <w:r>
        <w:rPr>
          <w:color w:val="231F20"/>
        </w:rPr>
        <w:t>» ou encore le «</w:t>
      </w:r>
      <w:r>
        <w:rPr>
          <w:color w:val="231F20"/>
          <w:spacing w:val="-9"/>
        </w:rPr>
        <w:t> </w:t>
      </w:r>
      <w:r>
        <w:rPr>
          <w:color w:val="231F20"/>
        </w:rPr>
        <w:t>Grand Stratège</w:t>
      </w:r>
      <w:r>
        <w:rPr>
          <w:color w:val="231F20"/>
          <w:spacing w:val="-13"/>
        </w:rPr>
        <w:t> </w:t>
      </w:r>
      <w:r>
        <w:rPr>
          <w:color w:val="231F20"/>
        </w:rPr>
        <w:t>», proclame l’indépendance</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Guinée.</w:t>
      </w:r>
      <w:r>
        <w:rPr>
          <w:color w:val="231F20"/>
          <w:spacing w:val="-15"/>
        </w:rPr>
        <w:t> </w:t>
      </w:r>
      <w:r>
        <w:rPr>
          <w:color w:val="231F20"/>
        </w:rPr>
        <w:t>La</w:t>
      </w:r>
      <w:r>
        <w:rPr>
          <w:color w:val="231F20"/>
          <w:spacing w:val="-15"/>
        </w:rPr>
        <w:t> </w:t>
      </w:r>
      <w:r>
        <w:rPr>
          <w:color w:val="231F20"/>
        </w:rPr>
        <w:t>colonie</w:t>
      </w:r>
      <w:r>
        <w:rPr>
          <w:color w:val="231F20"/>
          <w:spacing w:val="-15"/>
        </w:rPr>
        <w:t> </w:t>
      </w:r>
      <w:r>
        <w:rPr>
          <w:color w:val="231F20"/>
        </w:rPr>
        <w:t>française</w:t>
      </w:r>
      <w:r>
        <w:rPr>
          <w:color w:val="231F20"/>
          <w:spacing w:val="-15"/>
        </w:rPr>
        <w:t> </w:t>
      </w:r>
      <w:r>
        <w:rPr>
          <w:color w:val="231F20"/>
        </w:rPr>
        <w:t>de</w:t>
      </w:r>
      <w:r>
        <w:rPr>
          <w:color w:val="231F20"/>
          <w:spacing w:val="-15"/>
        </w:rPr>
        <w:t> </w:t>
      </w:r>
      <w:r>
        <w:rPr>
          <w:color w:val="231F20"/>
        </w:rPr>
        <w:t>Guinée</w:t>
      </w:r>
      <w:r>
        <w:rPr>
          <w:color w:val="231F20"/>
          <w:spacing w:val="-15"/>
        </w:rPr>
        <w:t> </w:t>
      </w:r>
      <w:r>
        <w:rPr>
          <w:color w:val="231F20"/>
        </w:rPr>
        <w:t>est</w:t>
      </w:r>
      <w:r>
        <w:rPr>
          <w:color w:val="231F20"/>
          <w:spacing w:val="-15"/>
        </w:rPr>
        <w:t> </w:t>
      </w:r>
      <w:r>
        <w:rPr>
          <w:color w:val="231F20"/>
        </w:rPr>
        <w:t>la</w:t>
      </w:r>
      <w:r>
        <w:rPr>
          <w:color w:val="231F20"/>
          <w:spacing w:val="-15"/>
        </w:rPr>
        <w:t> </w:t>
      </w:r>
      <w:r>
        <w:rPr>
          <w:color w:val="231F20"/>
        </w:rPr>
        <w:t>seule </w:t>
      </w:r>
      <w:r>
        <w:rPr>
          <w:color w:val="231F20"/>
          <w:spacing w:val="-4"/>
        </w:rPr>
        <w:t>à</w:t>
      </w:r>
      <w:r>
        <w:rPr>
          <w:color w:val="231F20"/>
          <w:spacing w:val="-11"/>
        </w:rPr>
        <w:t> </w:t>
      </w:r>
      <w:r>
        <w:rPr>
          <w:color w:val="231F20"/>
          <w:spacing w:val="-4"/>
        </w:rPr>
        <w:t>avoir</w:t>
      </w:r>
      <w:r>
        <w:rPr>
          <w:color w:val="231F20"/>
          <w:spacing w:val="-11"/>
        </w:rPr>
        <w:t> </w:t>
      </w:r>
      <w:r>
        <w:rPr>
          <w:color w:val="231F20"/>
          <w:spacing w:val="-4"/>
        </w:rPr>
        <w:t>dit</w:t>
      </w:r>
      <w:r>
        <w:rPr>
          <w:color w:val="231F20"/>
          <w:spacing w:val="-11"/>
        </w:rPr>
        <w:t> </w:t>
      </w:r>
      <w:r>
        <w:rPr>
          <w:color w:val="231F20"/>
          <w:spacing w:val="-4"/>
        </w:rPr>
        <w:t>«</w:t>
      </w:r>
      <w:r>
        <w:rPr>
          <w:color w:val="231F20"/>
          <w:spacing w:val="-2"/>
        </w:rPr>
        <w:t> </w:t>
      </w:r>
      <w:r>
        <w:rPr>
          <w:color w:val="231F20"/>
          <w:spacing w:val="-4"/>
        </w:rPr>
        <w:t>non</w:t>
      </w:r>
      <w:r>
        <w:rPr>
          <w:color w:val="231F20"/>
        </w:rPr>
        <w:t> </w:t>
      </w:r>
      <w:r>
        <w:rPr>
          <w:color w:val="231F20"/>
          <w:spacing w:val="-4"/>
        </w:rPr>
        <w:t>»</w:t>
      </w:r>
      <w:r>
        <w:rPr>
          <w:color w:val="231F20"/>
          <w:spacing w:val="-11"/>
        </w:rPr>
        <w:t> </w:t>
      </w:r>
      <w:r>
        <w:rPr>
          <w:color w:val="231F20"/>
          <w:spacing w:val="-4"/>
        </w:rPr>
        <w:t>au</w:t>
      </w:r>
      <w:r>
        <w:rPr>
          <w:color w:val="231F20"/>
          <w:spacing w:val="-9"/>
        </w:rPr>
        <w:t> </w:t>
      </w:r>
      <w:r>
        <w:rPr>
          <w:color w:val="231F20"/>
          <w:spacing w:val="-4"/>
        </w:rPr>
        <w:t>référendum</w:t>
      </w:r>
      <w:r>
        <w:rPr>
          <w:color w:val="231F20"/>
          <w:spacing w:val="-11"/>
        </w:rPr>
        <w:t> </w:t>
      </w:r>
      <w:r>
        <w:rPr>
          <w:color w:val="231F20"/>
          <w:spacing w:val="-4"/>
        </w:rPr>
        <w:t>instituant</w:t>
      </w:r>
      <w:r>
        <w:rPr>
          <w:color w:val="231F20"/>
          <w:spacing w:val="-11"/>
        </w:rPr>
        <w:t> </w:t>
      </w:r>
      <w:r>
        <w:rPr>
          <w:color w:val="231F20"/>
          <w:spacing w:val="-4"/>
        </w:rPr>
        <w:t>la</w:t>
      </w:r>
      <w:r>
        <w:rPr>
          <w:color w:val="231F20"/>
          <w:spacing w:val="-11"/>
        </w:rPr>
        <w:t> </w:t>
      </w:r>
      <w:r>
        <w:rPr>
          <w:color w:val="231F20"/>
          <w:spacing w:val="-4"/>
        </w:rPr>
        <w:t>Communauté</w:t>
      </w:r>
      <w:r>
        <w:rPr>
          <w:color w:val="231F20"/>
          <w:spacing w:val="-10"/>
        </w:rPr>
        <w:t> </w:t>
      </w:r>
      <w:r>
        <w:rPr>
          <w:color w:val="231F20"/>
          <w:spacing w:val="-4"/>
        </w:rPr>
        <w:t>française.</w:t>
      </w:r>
      <w:r>
        <w:rPr>
          <w:color w:val="231F20"/>
          <w:spacing w:val="-11"/>
        </w:rPr>
        <w:t> </w:t>
      </w:r>
      <w:r>
        <w:rPr>
          <w:color w:val="231F20"/>
          <w:spacing w:val="-4"/>
        </w:rPr>
        <w:t>Sur </w:t>
      </w:r>
      <w:r>
        <w:rPr>
          <w:color w:val="231F20"/>
        </w:rPr>
        <w:t>une superficie de 245</w:t>
      </w:r>
      <w:r>
        <w:rPr>
          <w:color w:val="231F20"/>
          <w:spacing w:val="-14"/>
        </w:rPr>
        <w:t> </w:t>
      </w:r>
      <w:r>
        <w:rPr>
          <w:color w:val="231F20"/>
        </w:rPr>
        <w:t>857</w:t>
      </w:r>
      <w:r>
        <w:rPr>
          <w:color w:val="231F20"/>
          <w:spacing w:val="-12"/>
        </w:rPr>
        <w:t> </w:t>
      </w:r>
      <w:r>
        <w:rPr>
          <w:color w:val="231F20"/>
        </w:rPr>
        <w:t>km2, la Guinée est bordée par l’océan Atlantique, la Guinée-Bissau, le Sénégal, le Mali, la Côte d’Ivoire, le Libéria et la Sierra Leone.</w:t>
      </w:r>
    </w:p>
    <w:p>
      <w:pPr>
        <w:pStyle w:val="BodyText"/>
        <w:spacing w:before="120"/>
        <w:ind w:right="104" w:firstLine="283"/>
      </w:pPr>
      <w:r>
        <w:rPr>
          <w:color w:val="231F20"/>
        </w:rPr>
        <w:t>Né à Faranah en Guinée orientale, Sékou Touré crée en 1945, le Syndicat</w:t>
      </w:r>
      <w:r>
        <w:rPr>
          <w:color w:val="231F20"/>
          <w:spacing w:val="-13"/>
        </w:rPr>
        <w:t> </w:t>
      </w:r>
      <w:r>
        <w:rPr>
          <w:color w:val="231F20"/>
        </w:rPr>
        <w:t>des</w:t>
      </w:r>
      <w:r>
        <w:rPr>
          <w:color w:val="231F20"/>
          <w:spacing w:val="-12"/>
        </w:rPr>
        <w:t> </w:t>
      </w:r>
      <w:r>
        <w:rPr>
          <w:color w:val="231F20"/>
        </w:rPr>
        <w:t>travailleurs</w:t>
      </w:r>
      <w:r>
        <w:rPr>
          <w:color w:val="231F20"/>
          <w:spacing w:val="-12"/>
        </w:rPr>
        <w:t> </w:t>
      </w:r>
      <w:r>
        <w:rPr>
          <w:color w:val="231F20"/>
        </w:rPr>
        <w:t>des</w:t>
      </w:r>
      <w:r>
        <w:rPr>
          <w:color w:val="231F20"/>
          <w:spacing w:val="-11"/>
        </w:rPr>
        <w:t> </w:t>
      </w:r>
      <w:r>
        <w:rPr>
          <w:color w:val="231F20"/>
        </w:rPr>
        <w:t>P.T.T</w:t>
      </w:r>
      <w:r>
        <w:rPr>
          <w:color w:val="231F20"/>
          <w:spacing w:val="-10"/>
        </w:rPr>
        <w:t> </w:t>
      </w:r>
      <w:r>
        <w:rPr>
          <w:color w:val="231F20"/>
        </w:rPr>
        <w:t>dont</w:t>
      </w:r>
      <w:r>
        <w:rPr>
          <w:color w:val="231F20"/>
          <w:spacing w:val="-12"/>
        </w:rPr>
        <w:t> </w:t>
      </w:r>
      <w:r>
        <w:rPr>
          <w:color w:val="231F20"/>
        </w:rPr>
        <w:t>il</w:t>
      </w:r>
      <w:r>
        <w:rPr>
          <w:color w:val="231F20"/>
          <w:spacing w:val="-7"/>
        </w:rPr>
        <w:t> </w:t>
      </w:r>
      <w:r>
        <w:rPr>
          <w:color w:val="231F20"/>
        </w:rPr>
        <w:t>devient</w:t>
      </w:r>
      <w:r>
        <w:rPr>
          <w:color w:val="231F20"/>
          <w:spacing w:val="-11"/>
        </w:rPr>
        <w:t> </w:t>
      </w:r>
      <w:r>
        <w:rPr>
          <w:color w:val="231F20"/>
        </w:rPr>
        <w:t>Secrétaire</w:t>
      </w:r>
      <w:r>
        <w:rPr>
          <w:color w:val="231F20"/>
          <w:spacing w:val="-12"/>
        </w:rPr>
        <w:t> </w:t>
      </w:r>
      <w:r>
        <w:rPr>
          <w:color w:val="231F20"/>
        </w:rPr>
        <w:t>Général.</w:t>
      </w:r>
      <w:r>
        <w:rPr>
          <w:color w:val="231F20"/>
          <w:spacing w:val="-9"/>
        </w:rPr>
        <w:t> </w:t>
      </w:r>
      <w:r>
        <w:rPr>
          <w:color w:val="231F20"/>
          <w:spacing w:val="-5"/>
        </w:rPr>
        <w:t>Il</w:t>
      </w:r>
    </w:p>
    <w:p>
      <w:pPr>
        <w:pStyle w:val="BodyText"/>
        <w:spacing w:before="76"/>
        <w:ind w:left="0"/>
        <w:jc w:val="left"/>
        <w:rPr>
          <w:sz w:val="20"/>
        </w:rPr>
      </w:pPr>
      <w:r>
        <w:rPr/>
        <mc:AlternateContent>
          <mc:Choice Requires="wps">
            <w:drawing>
              <wp:anchor distT="0" distB="0" distL="0" distR="0" allowOverlap="1" layoutInCell="1" locked="0" behindDoc="1" simplePos="0" relativeHeight="487619584">
                <wp:simplePos x="0" y="0"/>
                <wp:positionH relativeFrom="page">
                  <wp:posOffset>629907</wp:posOffset>
                </wp:positionH>
                <wp:positionV relativeFrom="paragraph">
                  <wp:posOffset>209811</wp:posOffset>
                </wp:positionV>
                <wp:extent cx="1829435" cy="9525"/>
                <wp:effectExtent l="0" t="0" r="0" b="0"/>
                <wp:wrapTopAndBottom/>
                <wp:docPr id="81" name="Graphic 81"/>
                <wp:cNvGraphicFramePr>
                  <a:graphicFrameLocks/>
                </wp:cNvGraphicFramePr>
                <a:graphic>
                  <a:graphicData uri="http://schemas.microsoft.com/office/word/2010/wordprocessingShape">
                    <wps:wsp>
                      <wps:cNvPr id="81" name="Graphic 8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520624pt;width:144.020pt;height:.72pt;mso-position-horizontal-relative:page;mso-position-vertical-relative:paragraph;z-index:-15696896;mso-wrap-distance-left:0;mso-wrap-distance-right:0" id="docshape79" filled="true" fillcolor="#231f20" stroked="false">
                <v:fill type="solid"/>
                <w10:wrap type="topAndBottom"/>
              </v:rect>
            </w:pict>
          </mc:Fallback>
        </mc:AlternateContent>
      </w:r>
    </w:p>
    <w:p>
      <w:pPr>
        <w:spacing w:before="91"/>
        <w:ind w:left="111" w:right="0" w:firstLine="0"/>
        <w:jc w:val="left"/>
        <w:rPr>
          <w:sz w:val="20"/>
        </w:rPr>
      </w:pPr>
      <w:r>
        <w:rPr>
          <w:color w:val="76787A"/>
          <w:spacing w:val="-4"/>
          <w:sz w:val="20"/>
          <w:vertAlign w:val="superscript"/>
        </w:rPr>
        <w:t>97</w:t>
      </w:r>
      <w:r>
        <w:rPr>
          <w:color w:val="76787A"/>
          <w:sz w:val="20"/>
          <w:vertAlign w:val="baseline"/>
        </w:rPr>
        <w:t> </w:t>
      </w:r>
      <w:r>
        <w:rPr>
          <w:color w:val="231F20"/>
          <w:spacing w:val="-4"/>
          <w:sz w:val="20"/>
          <w:vertAlign w:val="baseline"/>
        </w:rPr>
        <w:t>La Constitution prévoit que le président de l'Assemblée nationale doit assurer l'intérim </w:t>
      </w:r>
      <w:r>
        <w:rPr>
          <w:color w:val="231F20"/>
          <w:spacing w:val="-2"/>
          <w:sz w:val="20"/>
          <w:vertAlign w:val="baseline"/>
        </w:rPr>
        <w:t>jusqu'à</w:t>
      </w:r>
      <w:r>
        <w:rPr>
          <w:color w:val="231F20"/>
          <w:spacing w:val="-4"/>
          <w:sz w:val="20"/>
          <w:vertAlign w:val="baseline"/>
        </w:rPr>
        <w:t> </w:t>
      </w:r>
      <w:r>
        <w:rPr>
          <w:color w:val="231F20"/>
          <w:spacing w:val="-2"/>
          <w:sz w:val="20"/>
          <w:vertAlign w:val="baseline"/>
        </w:rPr>
        <w:t>la</w:t>
      </w:r>
      <w:r>
        <w:rPr>
          <w:color w:val="231F20"/>
          <w:spacing w:val="-4"/>
          <w:sz w:val="20"/>
          <w:vertAlign w:val="baseline"/>
        </w:rPr>
        <w:t> </w:t>
      </w:r>
      <w:r>
        <w:rPr>
          <w:color w:val="231F20"/>
          <w:spacing w:val="-2"/>
          <w:sz w:val="20"/>
          <w:vertAlign w:val="baseline"/>
        </w:rPr>
        <w:t>tenue</w:t>
      </w:r>
      <w:r>
        <w:rPr>
          <w:color w:val="231F20"/>
          <w:spacing w:val="-7"/>
          <w:sz w:val="20"/>
          <w:vertAlign w:val="baseline"/>
        </w:rPr>
        <w:t> </w:t>
      </w:r>
      <w:r>
        <w:rPr>
          <w:color w:val="231F20"/>
          <w:spacing w:val="-2"/>
          <w:sz w:val="20"/>
          <w:vertAlign w:val="baseline"/>
        </w:rPr>
        <w:t>de</w:t>
      </w:r>
      <w:r>
        <w:rPr>
          <w:color w:val="231F20"/>
          <w:spacing w:val="-7"/>
          <w:sz w:val="20"/>
          <w:vertAlign w:val="baseline"/>
        </w:rPr>
        <w:t> </w:t>
      </w:r>
      <w:r>
        <w:rPr>
          <w:color w:val="231F20"/>
          <w:spacing w:val="-2"/>
          <w:sz w:val="20"/>
          <w:vertAlign w:val="baseline"/>
        </w:rPr>
        <w:t>nouvelles</w:t>
      </w:r>
      <w:r>
        <w:rPr>
          <w:color w:val="231F20"/>
          <w:spacing w:val="-6"/>
          <w:sz w:val="20"/>
          <w:vertAlign w:val="baseline"/>
        </w:rPr>
        <w:t> </w:t>
      </w:r>
      <w:r>
        <w:rPr>
          <w:color w:val="231F20"/>
          <w:spacing w:val="-2"/>
          <w:sz w:val="20"/>
          <w:vertAlign w:val="baseline"/>
        </w:rPr>
        <w:t>élections,</w:t>
      </w:r>
      <w:r>
        <w:rPr>
          <w:color w:val="231F20"/>
          <w:spacing w:val="-7"/>
          <w:sz w:val="20"/>
          <w:vertAlign w:val="baseline"/>
        </w:rPr>
        <w:t> </w:t>
      </w:r>
      <w:r>
        <w:rPr>
          <w:color w:val="231F20"/>
          <w:spacing w:val="-2"/>
          <w:sz w:val="20"/>
          <w:vertAlign w:val="baseline"/>
        </w:rPr>
        <w:t>60</w:t>
      </w:r>
      <w:r>
        <w:rPr>
          <w:color w:val="231F20"/>
          <w:spacing w:val="-3"/>
          <w:sz w:val="20"/>
          <w:vertAlign w:val="baseline"/>
        </w:rPr>
        <w:t> </w:t>
      </w:r>
      <w:r>
        <w:rPr>
          <w:color w:val="231F20"/>
          <w:spacing w:val="-2"/>
          <w:sz w:val="20"/>
          <w:vertAlign w:val="baseline"/>
        </w:rPr>
        <w:t>jours</w:t>
      </w:r>
      <w:r>
        <w:rPr>
          <w:color w:val="231F20"/>
          <w:spacing w:val="-6"/>
          <w:sz w:val="20"/>
          <w:vertAlign w:val="baseline"/>
        </w:rPr>
        <w:t> </w:t>
      </w:r>
      <w:r>
        <w:rPr>
          <w:color w:val="231F20"/>
          <w:spacing w:val="-2"/>
          <w:sz w:val="20"/>
          <w:vertAlign w:val="baseline"/>
        </w:rPr>
        <w:t>après</w:t>
      </w:r>
      <w:r>
        <w:rPr>
          <w:color w:val="231F20"/>
          <w:spacing w:val="-6"/>
          <w:sz w:val="20"/>
          <w:vertAlign w:val="baseline"/>
        </w:rPr>
        <w:t> </w:t>
      </w:r>
      <w:r>
        <w:rPr>
          <w:color w:val="231F20"/>
          <w:spacing w:val="-2"/>
          <w:sz w:val="20"/>
          <w:vertAlign w:val="baseline"/>
        </w:rPr>
        <w:t>le</w:t>
      </w:r>
      <w:r>
        <w:rPr>
          <w:color w:val="231F20"/>
          <w:spacing w:val="-7"/>
          <w:sz w:val="20"/>
          <w:vertAlign w:val="baseline"/>
        </w:rPr>
        <w:t> </w:t>
      </w:r>
      <w:r>
        <w:rPr>
          <w:color w:val="231F20"/>
          <w:spacing w:val="-2"/>
          <w:sz w:val="20"/>
          <w:vertAlign w:val="baseline"/>
        </w:rPr>
        <w:t>décès</w:t>
      </w:r>
      <w:r>
        <w:rPr>
          <w:color w:val="231F20"/>
          <w:spacing w:val="-8"/>
          <w:sz w:val="20"/>
          <w:vertAlign w:val="baseline"/>
        </w:rPr>
        <w:t> </w:t>
      </w:r>
      <w:r>
        <w:rPr>
          <w:color w:val="231F20"/>
          <w:spacing w:val="-2"/>
          <w:sz w:val="20"/>
          <w:vertAlign w:val="baseline"/>
        </w:rPr>
        <w:t>du</w:t>
      </w:r>
      <w:r>
        <w:rPr>
          <w:color w:val="231F20"/>
          <w:spacing w:val="-6"/>
          <w:sz w:val="20"/>
          <w:vertAlign w:val="baseline"/>
        </w:rPr>
        <w:t> </w:t>
      </w:r>
      <w:r>
        <w:rPr>
          <w:color w:val="231F20"/>
          <w:spacing w:val="-2"/>
          <w:sz w:val="20"/>
          <w:vertAlign w:val="baseline"/>
        </w:rPr>
        <w:t>président</w:t>
      </w:r>
      <w:r>
        <w:rPr>
          <w:color w:val="231F20"/>
          <w:spacing w:val="-7"/>
          <w:sz w:val="20"/>
          <w:vertAlign w:val="baseline"/>
        </w:rPr>
        <w:t> </w:t>
      </w:r>
      <w:r>
        <w:rPr>
          <w:color w:val="231F20"/>
          <w:spacing w:val="-2"/>
          <w:sz w:val="20"/>
          <w:vertAlign w:val="baseline"/>
        </w:rPr>
        <w:t>en</w:t>
      </w:r>
      <w:r>
        <w:rPr>
          <w:color w:val="231F20"/>
          <w:spacing w:val="-4"/>
          <w:sz w:val="20"/>
          <w:vertAlign w:val="baseline"/>
        </w:rPr>
        <w:t> </w:t>
      </w:r>
      <w:r>
        <w:rPr>
          <w:color w:val="231F20"/>
          <w:spacing w:val="-2"/>
          <w:sz w:val="20"/>
          <w:vertAlign w:val="baseline"/>
        </w:rPr>
        <w:t>exercice,</w:t>
      </w:r>
    </w:p>
    <w:p>
      <w:pPr>
        <w:spacing w:before="1"/>
        <w:ind w:left="111" w:right="0" w:firstLine="0"/>
        <w:jc w:val="left"/>
        <w:rPr>
          <w:sz w:val="20"/>
        </w:rPr>
      </w:pPr>
      <w:r>
        <w:rPr>
          <w:color w:val="76787A"/>
          <w:spacing w:val="-2"/>
          <w:sz w:val="20"/>
          <w:vertAlign w:val="superscript"/>
        </w:rPr>
        <w:t>98</w:t>
      </w:r>
      <w:r>
        <w:rPr>
          <w:color w:val="76787A"/>
          <w:spacing w:val="-19"/>
          <w:sz w:val="20"/>
          <w:vertAlign w:val="baseline"/>
        </w:rPr>
        <w:t> </w:t>
      </w:r>
      <w:r>
        <w:rPr>
          <w:color w:val="231F20"/>
          <w:spacing w:val="-2"/>
          <w:sz w:val="20"/>
          <w:vertAlign w:val="baseline"/>
        </w:rPr>
        <w:t>art.</w:t>
      </w:r>
      <w:r>
        <w:rPr>
          <w:color w:val="231F20"/>
          <w:spacing w:val="-7"/>
          <w:sz w:val="20"/>
          <w:vertAlign w:val="baseline"/>
        </w:rPr>
        <w:t> </w:t>
      </w:r>
      <w:r>
        <w:rPr>
          <w:color w:val="231F20"/>
          <w:spacing w:val="-5"/>
          <w:sz w:val="20"/>
          <w:vertAlign w:val="baseline"/>
        </w:rPr>
        <w:t>62.</w:t>
      </w:r>
    </w:p>
    <w:p>
      <w:pPr>
        <w:spacing w:before="1"/>
        <w:ind w:left="111" w:right="0" w:firstLine="0"/>
        <w:jc w:val="left"/>
        <w:rPr>
          <w:sz w:val="20"/>
        </w:rPr>
      </w:pPr>
      <w:r>
        <w:rPr>
          <w:color w:val="76787A"/>
          <w:spacing w:val="-2"/>
          <w:sz w:val="20"/>
          <w:vertAlign w:val="superscript"/>
        </w:rPr>
        <w:t>99</w:t>
      </w:r>
      <w:r>
        <w:rPr>
          <w:color w:val="76787A"/>
          <w:spacing w:val="-5"/>
          <w:sz w:val="20"/>
          <w:vertAlign w:val="baseline"/>
        </w:rPr>
        <w:t> </w:t>
      </w:r>
      <w:r>
        <w:rPr>
          <w:color w:val="231F20"/>
          <w:spacing w:val="-2"/>
          <w:sz w:val="20"/>
          <w:vertAlign w:val="baseline"/>
        </w:rPr>
        <w:t>Source</w:t>
      </w:r>
      <w:r>
        <w:rPr>
          <w:color w:val="231F20"/>
          <w:spacing w:val="-8"/>
          <w:sz w:val="20"/>
          <w:vertAlign w:val="baseline"/>
        </w:rPr>
        <w:t> </w:t>
      </w:r>
      <w:r>
        <w:rPr>
          <w:color w:val="231F20"/>
          <w:spacing w:val="-2"/>
          <w:sz w:val="20"/>
          <w:vertAlign w:val="baseline"/>
        </w:rPr>
        <w:t>Wikipédia</w:t>
      </w:r>
    </w:p>
    <w:p>
      <w:pPr>
        <w:spacing w:after="0"/>
        <w:jc w:val="left"/>
        <w:rPr>
          <w:sz w:val="20"/>
        </w:rPr>
        <w:sectPr>
          <w:pgSz w:w="8790" w:h="13610"/>
          <w:pgMar w:header="0" w:footer="802" w:top="1060" w:bottom="1000" w:left="880" w:right="880"/>
        </w:sectPr>
      </w:pPr>
    </w:p>
    <w:p>
      <w:pPr>
        <w:pStyle w:val="BodyText"/>
        <w:spacing w:before="66"/>
        <w:ind w:right="103"/>
      </w:pPr>
      <w:r>
        <w:rPr>
          <w:color w:val="231F20"/>
          <w:spacing w:val="-2"/>
        </w:rPr>
        <w:t>participe</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fondation</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Fédération</w:t>
      </w:r>
      <w:r>
        <w:rPr>
          <w:color w:val="231F20"/>
          <w:spacing w:val="-13"/>
        </w:rPr>
        <w:t> </w:t>
      </w:r>
      <w:r>
        <w:rPr>
          <w:color w:val="231F20"/>
          <w:spacing w:val="-2"/>
        </w:rPr>
        <w:t>des</w:t>
      </w:r>
      <w:r>
        <w:rPr>
          <w:color w:val="231F20"/>
          <w:spacing w:val="-13"/>
        </w:rPr>
        <w:t> </w:t>
      </w:r>
      <w:r>
        <w:rPr>
          <w:color w:val="231F20"/>
          <w:spacing w:val="-2"/>
        </w:rPr>
        <w:t>Unions</w:t>
      </w:r>
      <w:r>
        <w:rPr>
          <w:color w:val="231F20"/>
          <w:spacing w:val="-13"/>
        </w:rPr>
        <w:t> </w:t>
      </w:r>
      <w:r>
        <w:rPr>
          <w:color w:val="231F20"/>
          <w:spacing w:val="-2"/>
        </w:rPr>
        <w:t>Ouvrières</w:t>
      </w:r>
      <w:r>
        <w:rPr>
          <w:color w:val="231F20"/>
          <w:spacing w:val="-13"/>
        </w:rPr>
        <w:t> </w:t>
      </w:r>
      <w:r>
        <w:rPr>
          <w:color w:val="231F20"/>
          <w:spacing w:val="-2"/>
        </w:rPr>
        <w:t>de</w:t>
      </w:r>
      <w:r>
        <w:rPr>
          <w:color w:val="231F20"/>
          <w:spacing w:val="-13"/>
        </w:rPr>
        <w:t> </w:t>
      </w:r>
      <w:r>
        <w:rPr>
          <w:color w:val="231F20"/>
          <w:spacing w:val="-2"/>
        </w:rPr>
        <w:t>Guinée, </w:t>
      </w:r>
      <w:r>
        <w:rPr>
          <w:color w:val="231F20"/>
          <w:spacing w:val="-4"/>
        </w:rPr>
        <w:t>affiliée</w:t>
      </w:r>
      <w:r>
        <w:rPr>
          <w:color w:val="231F20"/>
          <w:spacing w:val="-6"/>
        </w:rPr>
        <w:t> </w:t>
      </w:r>
      <w:r>
        <w:rPr>
          <w:color w:val="231F20"/>
          <w:spacing w:val="-4"/>
        </w:rPr>
        <w:t>à</w:t>
      </w:r>
      <w:r>
        <w:rPr>
          <w:color w:val="231F20"/>
          <w:spacing w:val="-6"/>
        </w:rPr>
        <w:t> </w:t>
      </w:r>
      <w:r>
        <w:rPr>
          <w:color w:val="231F20"/>
          <w:spacing w:val="-4"/>
        </w:rPr>
        <w:t>la</w:t>
      </w:r>
      <w:r>
        <w:rPr>
          <w:color w:val="231F20"/>
          <w:spacing w:val="-6"/>
        </w:rPr>
        <w:t> </w:t>
      </w:r>
      <w:r>
        <w:rPr>
          <w:color w:val="231F20"/>
          <w:spacing w:val="-4"/>
        </w:rPr>
        <w:t>Fédération</w:t>
      </w:r>
      <w:r>
        <w:rPr>
          <w:color w:val="231F20"/>
          <w:spacing w:val="-6"/>
        </w:rPr>
        <w:t> </w:t>
      </w:r>
      <w:r>
        <w:rPr>
          <w:color w:val="231F20"/>
          <w:spacing w:val="-4"/>
        </w:rPr>
        <w:t>syndicale</w:t>
      </w:r>
      <w:r>
        <w:rPr>
          <w:color w:val="231F20"/>
          <w:spacing w:val="-6"/>
        </w:rPr>
        <w:t> </w:t>
      </w:r>
      <w:r>
        <w:rPr>
          <w:color w:val="231F20"/>
          <w:spacing w:val="-4"/>
        </w:rPr>
        <w:t>mondiale,</w:t>
      </w:r>
      <w:r>
        <w:rPr>
          <w:color w:val="231F20"/>
          <w:spacing w:val="-6"/>
        </w:rPr>
        <w:t> </w:t>
      </w:r>
      <w:r>
        <w:rPr>
          <w:color w:val="231F20"/>
          <w:spacing w:val="-4"/>
        </w:rPr>
        <w:t>et</w:t>
      </w:r>
      <w:r>
        <w:rPr>
          <w:color w:val="231F20"/>
          <w:spacing w:val="-6"/>
        </w:rPr>
        <w:t> </w:t>
      </w:r>
      <w:r>
        <w:rPr>
          <w:color w:val="231F20"/>
          <w:spacing w:val="-4"/>
        </w:rPr>
        <w:t>en</w:t>
      </w:r>
      <w:r>
        <w:rPr>
          <w:color w:val="231F20"/>
          <w:spacing w:val="-9"/>
        </w:rPr>
        <w:t> </w:t>
      </w:r>
      <w:r>
        <w:rPr>
          <w:color w:val="231F20"/>
          <w:spacing w:val="-4"/>
        </w:rPr>
        <w:t>deviendra</w:t>
      </w:r>
      <w:r>
        <w:rPr>
          <w:color w:val="231F20"/>
          <w:spacing w:val="-6"/>
        </w:rPr>
        <w:t> </w:t>
      </w:r>
      <w:r>
        <w:rPr>
          <w:color w:val="231F20"/>
          <w:spacing w:val="-4"/>
        </w:rPr>
        <w:t>plus</w:t>
      </w:r>
      <w:r>
        <w:rPr>
          <w:color w:val="231F20"/>
          <w:spacing w:val="-6"/>
        </w:rPr>
        <w:t> </w:t>
      </w:r>
      <w:r>
        <w:rPr>
          <w:color w:val="231F20"/>
          <w:spacing w:val="-4"/>
        </w:rPr>
        <w:t>tard</w:t>
      </w:r>
      <w:r>
        <w:rPr>
          <w:color w:val="231F20"/>
          <w:spacing w:val="-6"/>
        </w:rPr>
        <w:t> </w:t>
      </w:r>
      <w:r>
        <w:rPr>
          <w:color w:val="231F20"/>
          <w:spacing w:val="-4"/>
        </w:rPr>
        <w:t>vice- </w:t>
      </w:r>
      <w:r>
        <w:rPr>
          <w:color w:val="231F20"/>
        </w:rPr>
        <w:t>président.</w:t>
      </w:r>
      <w:r>
        <w:rPr>
          <w:color w:val="231F20"/>
          <w:spacing w:val="-8"/>
        </w:rPr>
        <w:t> </w:t>
      </w:r>
      <w:r>
        <w:rPr>
          <w:color w:val="231F20"/>
        </w:rPr>
        <w:t>Il</w:t>
      </w:r>
      <w:r>
        <w:rPr>
          <w:color w:val="231F20"/>
          <w:spacing w:val="-8"/>
        </w:rPr>
        <w:t> </w:t>
      </w:r>
      <w:r>
        <w:rPr>
          <w:color w:val="231F20"/>
        </w:rPr>
        <w:t>assiste</w:t>
      </w:r>
      <w:r>
        <w:rPr>
          <w:color w:val="231F20"/>
          <w:spacing w:val="-8"/>
        </w:rPr>
        <w:t> </w:t>
      </w:r>
      <w:r>
        <w:rPr>
          <w:color w:val="231F20"/>
        </w:rPr>
        <w:t>à</w:t>
      </w:r>
      <w:r>
        <w:rPr>
          <w:color w:val="231F20"/>
          <w:spacing w:val="-8"/>
        </w:rPr>
        <w:t> </w:t>
      </w:r>
      <w:r>
        <w:rPr>
          <w:color w:val="231F20"/>
        </w:rPr>
        <w:t>Paris</w:t>
      </w:r>
      <w:r>
        <w:rPr>
          <w:color w:val="231F20"/>
          <w:spacing w:val="-8"/>
        </w:rPr>
        <w:t> </w:t>
      </w:r>
      <w:r>
        <w:rPr>
          <w:color w:val="231F20"/>
        </w:rPr>
        <w:t>au</w:t>
      </w:r>
      <w:r>
        <w:rPr>
          <w:color w:val="231F20"/>
          <w:spacing w:val="-8"/>
        </w:rPr>
        <w:t> </w:t>
      </w:r>
      <w:r>
        <w:rPr>
          <w:color w:val="231F20"/>
        </w:rPr>
        <w:t>congrès</w:t>
      </w:r>
      <w:r>
        <w:rPr>
          <w:color w:val="231F20"/>
          <w:spacing w:val="-8"/>
        </w:rPr>
        <w:t> </w:t>
      </w:r>
      <w:r>
        <w:rPr>
          <w:color w:val="231F20"/>
        </w:rPr>
        <w:t>de</w:t>
      </w:r>
      <w:r>
        <w:rPr>
          <w:color w:val="231F20"/>
          <w:spacing w:val="-8"/>
        </w:rPr>
        <w:t> </w:t>
      </w:r>
      <w:r>
        <w:rPr>
          <w:color w:val="231F20"/>
        </w:rPr>
        <w:t>la</w:t>
      </w:r>
      <w:r>
        <w:rPr>
          <w:color w:val="231F20"/>
          <w:spacing w:val="-10"/>
        </w:rPr>
        <w:t> </w:t>
      </w:r>
      <w:r>
        <w:rPr>
          <w:color w:val="231F20"/>
        </w:rPr>
        <w:t>C.G.T.</w:t>
      </w:r>
      <w:r>
        <w:rPr>
          <w:color w:val="231F20"/>
          <w:spacing w:val="-9"/>
        </w:rPr>
        <w:t> </w:t>
      </w:r>
      <w:r>
        <w:rPr>
          <w:color w:val="231F20"/>
        </w:rPr>
        <w:t>en</w:t>
      </w:r>
      <w:r>
        <w:rPr>
          <w:color w:val="231F20"/>
          <w:spacing w:val="-8"/>
        </w:rPr>
        <w:t> </w:t>
      </w:r>
      <w:r>
        <w:rPr>
          <w:color w:val="231F20"/>
        </w:rPr>
        <w:t>1946.</w:t>
      </w:r>
      <w:r>
        <w:rPr>
          <w:color w:val="231F20"/>
          <w:spacing w:val="-7"/>
        </w:rPr>
        <w:t> </w:t>
      </w:r>
      <w:r>
        <w:rPr>
          <w:color w:val="231F20"/>
        </w:rPr>
        <w:t>En</w:t>
      </w:r>
      <w:r>
        <w:rPr>
          <w:color w:val="231F20"/>
          <w:spacing w:val="-8"/>
        </w:rPr>
        <w:t> </w:t>
      </w:r>
      <w:r>
        <w:rPr>
          <w:color w:val="231F20"/>
        </w:rPr>
        <w:t>1951,</w:t>
      </w:r>
      <w:r>
        <w:rPr>
          <w:color w:val="231F20"/>
          <w:spacing w:val="-8"/>
        </w:rPr>
        <w:t> </w:t>
      </w:r>
      <w:r>
        <w:rPr>
          <w:color w:val="231F20"/>
        </w:rPr>
        <w:t>il </w:t>
      </w:r>
      <w:r>
        <w:rPr>
          <w:color w:val="231F20"/>
          <w:spacing w:val="-4"/>
        </w:rPr>
        <w:t>prend</w:t>
      </w:r>
      <w:r>
        <w:rPr>
          <w:color w:val="231F20"/>
          <w:spacing w:val="-11"/>
        </w:rPr>
        <w:t> </w:t>
      </w:r>
      <w:r>
        <w:rPr>
          <w:color w:val="231F20"/>
          <w:spacing w:val="-4"/>
        </w:rPr>
        <w:t>la</w:t>
      </w:r>
      <w:r>
        <w:rPr>
          <w:color w:val="231F20"/>
          <w:spacing w:val="-11"/>
        </w:rPr>
        <w:t> </w:t>
      </w:r>
      <w:r>
        <w:rPr>
          <w:color w:val="231F20"/>
          <w:spacing w:val="-4"/>
        </w:rPr>
        <w:t>tête</w:t>
      </w:r>
      <w:r>
        <w:rPr>
          <w:color w:val="231F20"/>
          <w:spacing w:val="-11"/>
        </w:rPr>
        <w:t> </w:t>
      </w:r>
      <w:r>
        <w:rPr>
          <w:color w:val="231F20"/>
          <w:spacing w:val="-4"/>
        </w:rPr>
        <w:t>du</w:t>
      </w:r>
      <w:r>
        <w:rPr>
          <w:color w:val="231F20"/>
          <w:spacing w:val="-11"/>
        </w:rPr>
        <w:t> </w:t>
      </w:r>
      <w:r>
        <w:rPr>
          <w:color w:val="231F20"/>
          <w:spacing w:val="-4"/>
        </w:rPr>
        <w:t>Parti</w:t>
      </w:r>
      <w:r>
        <w:rPr>
          <w:color w:val="231F20"/>
          <w:spacing w:val="-11"/>
        </w:rPr>
        <w:t> </w:t>
      </w:r>
      <w:r>
        <w:rPr>
          <w:color w:val="231F20"/>
          <w:spacing w:val="-4"/>
        </w:rPr>
        <w:t>démocratique</w:t>
      </w:r>
      <w:r>
        <w:rPr>
          <w:color w:val="231F20"/>
          <w:spacing w:val="-11"/>
        </w:rPr>
        <w:t> </w:t>
      </w:r>
      <w:r>
        <w:rPr>
          <w:color w:val="231F20"/>
          <w:spacing w:val="-4"/>
        </w:rPr>
        <w:t>de</w:t>
      </w:r>
      <w:r>
        <w:rPr>
          <w:color w:val="231F20"/>
          <w:spacing w:val="-11"/>
        </w:rPr>
        <w:t> </w:t>
      </w:r>
      <w:r>
        <w:rPr>
          <w:color w:val="231F20"/>
          <w:spacing w:val="-4"/>
        </w:rPr>
        <w:t>Guinée</w:t>
      </w:r>
      <w:r>
        <w:rPr>
          <w:color w:val="231F20"/>
          <w:spacing w:val="-11"/>
        </w:rPr>
        <w:t> </w:t>
      </w:r>
      <w:r>
        <w:rPr>
          <w:color w:val="231F20"/>
          <w:spacing w:val="-4"/>
        </w:rPr>
        <w:t>(P.D.G.),</w:t>
      </w:r>
      <w:r>
        <w:rPr>
          <w:color w:val="231F20"/>
          <w:spacing w:val="-11"/>
        </w:rPr>
        <w:t> </w:t>
      </w:r>
      <w:r>
        <w:rPr>
          <w:color w:val="231F20"/>
          <w:spacing w:val="-4"/>
        </w:rPr>
        <w:t>section</w:t>
      </w:r>
      <w:r>
        <w:rPr>
          <w:color w:val="231F20"/>
          <w:spacing w:val="-11"/>
        </w:rPr>
        <w:t> </w:t>
      </w:r>
      <w:r>
        <w:rPr>
          <w:color w:val="231F20"/>
          <w:spacing w:val="-4"/>
        </w:rPr>
        <w:t>territoriale </w:t>
      </w:r>
      <w:r>
        <w:rPr>
          <w:color w:val="231F20"/>
        </w:rPr>
        <w:t>du R.D.A et organise, en 1953, une grève générale des travailleurs de Basse-Guinée.</w:t>
      </w:r>
      <w:r>
        <w:rPr>
          <w:color w:val="231F20"/>
          <w:spacing w:val="-4"/>
        </w:rPr>
        <w:t> </w:t>
      </w:r>
      <w:r>
        <w:rPr>
          <w:color w:val="231F20"/>
        </w:rPr>
        <w:t>Battu</w:t>
      </w:r>
      <w:r>
        <w:rPr>
          <w:color w:val="231F20"/>
          <w:spacing w:val="-2"/>
        </w:rPr>
        <w:t> </w:t>
      </w:r>
      <w:r>
        <w:rPr>
          <w:color w:val="231F20"/>
        </w:rPr>
        <w:t>aux</w:t>
      </w:r>
      <w:r>
        <w:rPr>
          <w:color w:val="231F20"/>
          <w:spacing w:val="-4"/>
        </w:rPr>
        <w:t> </w:t>
      </w:r>
      <w:r>
        <w:rPr>
          <w:color w:val="231F20"/>
        </w:rPr>
        <w:t>élections</w:t>
      </w:r>
      <w:r>
        <w:rPr>
          <w:color w:val="231F20"/>
          <w:spacing w:val="-4"/>
        </w:rPr>
        <w:t> </w:t>
      </w:r>
      <w:r>
        <w:rPr>
          <w:color w:val="231F20"/>
        </w:rPr>
        <w:t>législatives</w:t>
      </w:r>
      <w:r>
        <w:rPr>
          <w:color w:val="231F20"/>
          <w:spacing w:val="-2"/>
        </w:rPr>
        <w:t> </w:t>
      </w:r>
      <w:r>
        <w:rPr>
          <w:color w:val="231F20"/>
        </w:rPr>
        <w:t>à</w:t>
      </w:r>
      <w:r>
        <w:rPr>
          <w:color w:val="231F20"/>
          <w:spacing w:val="-5"/>
        </w:rPr>
        <w:t> </w:t>
      </w:r>
      <w:r>
        <w:rPr>
          <w:color w:val="231F20"/>
        </w:rPr>
        <w:t>l’Assemblée</w:t>
      </w:r>
      <w:r>
        <w:rPr>
          <w:color w:val="231F20"/>
          <w:spacing w:val="-3"/>
        </w:rPr>
        <w:t> </w:t>
      </w:r>
      <w:r>
        <w:rPr>
          <w:color w:val="231F20"/>
        </w:rPr>
        <w:t>nationale </w:t>
      </w:r>
      <w:r>
        <w:rPr>
          <w:color w:val="231F20"/>
          <w:spacing w:val="-4"/>
        </w:rPr>
        <w:t>française</w:t>
      </w:r>
      <w:r>
        <w:rPr>
          <w:color w:val="231F20"/>
          <w:spacing w:val="-11"/>
        </w:rPr>
        <w:t> </w:t>
      </w:r>
      <w:r>
        <w:rPr>
          <w:color w:val="231F20"/>
          <w:spacing w:val="-4"/>
        </w:rPr>
        <w:t>de</w:t>
      </w:r>
      <w:r>
        <w:rPr>
          <w:color w:val="231F20"/>
          <w:spacing w:val="-8"/>
        </w:rPr>
        <w:t> </w:t>
      </w:r>
      <w:r>
        <w:rPr>
          <w:color w:val="231F20"/>
          <w:spacing w:val="-4"/>
        </w:rPr>
        <w:t>1951,</w:t>
      </w:r>
      <w:r>
        <w:rPr>
          <w:color w:val="231F20"/>
          <w:spacing w:val="-9"/>
        </w:rPr>
        <w:t> </w:t>
      </w:r>
      <w:r>
        <w:rPr>
          <w:color w:val="231F20"/>
          <w:spacing w:val="-4"/>
        </w:rPr>
        <w:t>il</w:t>
      </w:r>
      <w:r>
        <w:rPr>
          <w:color w:val="231F20"/>
          <w:spacing w:val="-8"/>
        </w:rPr>
        <w:t> </w:t>
      </w:r>
      <w:r>
        <w:rPr>
          <w:color w:val="231F20"/>
          <w:spacing w:val="-4"/>
        </w:rPr>
        <w:t>est</w:t>
      </w:r>
      <w:r>
        <w:rPr>
          <w:color w:val="231F20"/>
          <w:spacing w:val="-9"/>
        </w:rPr>
        <w:t> </w:t>
      </w:r>
      <w:r>
        <w:rPr>
          <w:color w:val="231F20"/>
          <w:spacing w:val="-4"/>
        </w:rPr>
        <w:t>élu</w:t>
      </w:r>
      <w:r>
        <w:rPr>
          <w:color w:val="231F20"/>
          <w:spacing w:val="-9"/>
        </w:rPr>
        <w:t> </w:t>
      </w:r>
      <w:r>
        <w:rPr>
          <w:color w:val="231F20"/>
          <w:spacing w:val="-4"/>
        </w:rPr>
        <w:t>Conseiller</w:t>
      </w:r>
      <w:r>
        <w:rPr>
          <w:color w:val="231F20"/>
          <w:spacing w:val="-9"/>
        </w:rPr>
        <w:t> </w:t>
      </w:r>
      <w:r>
        <w:rPr>
          <w:color w:val="231F20"/>
          <w:spacing w:val="-4"/>
        </w:rPr>
        <w:t>général</w:t>
      </w:r>
      <w:r>
        <w:rPr>
          <w:color w:val="231F20"/>
          <w:spacing w:val="-9"/>
        </w:rPr>
        <w:t> </w:t>
      </w:r>
      <w:r>
        <w:rPr>
          <w:color w:val="231F20"/>
          <w:spacing w:val="-4"/>
        </w:rPr>
        <w:t>en</w:t>
      </w:r>
      <w:r>
        <w:rPr>
          <w:color w:val="231F20"/>
          <w:spacing w:val="-9"/>
        </w:rPr>
        <w:t> </w:t>
      </w:r>
      <w:r>
        <w:rPr>
          <w:color w:val="231F20"/>
          <w:spacing w:val="-4"/>
        </w:rPr>
        <w:t>1954,</w:t>
      </w:r>
      <w:r>
        <w:rPr>
          <w:color w:val="231F20"/>
          <w:spacing w:val="-9"/>
        </w:rPr>
        <w:t> </w:t>
      </w:r>
      <w:r>
        <w:rPr>
          <w:color w:val="231F20"/>
          <w:spacing w:val="-4"/>
        </w:rPr>
        <w:t>Maire</w:t>
      </w:r>
      <w:r>
        <w:rPr>
          <w:color w:val="231F20"/>
          <w:spacing w:val="-11"/>
        </w:rPr>
        <w:t> </w:t>
      </w:r>
      <w:r>
        <w:rPr>
          <w:color w:val="231F20"/>
          <w:spacing w:val="-4"/>
        </w:rPr>
        <w:t>de</w:t>
      </w:r>
      <w:r>
        <w:rPr>
          <w:color w:val="231F20"/>
          <w:spacing w:val="-11"/>
        </w:rPr>
        <w:t> </w:t>
      </w:r>
      <w:r>
        <w:rPr>
          <w:color w:val="231F20"/>
          <w:spacing w:val="-4"/>
        </w:rPr>
        <w:t>Conakry en</w:t>
      </w:r>
      <w:r>
        <w:rPr>
          <w:color w:val="231F20"/>
          <w:spacing w:val="-11"/>
        </w:rPr>
        <w:t> </w:t>
      </w:r>
      <w:r>
        <w:rPr>
          <w:color w:val="231F20"/>
          <w:spacing w:val="-4"/>
        </w:rPr>
        <w:t>1955</w:t>
      </w:r>
      <w:r>
        <w:rPr>
          <w:color w:val="231F20"/>
          <w:spacing w:val="-11"/>
        </w:rPr>
        <w:t> </w:t>
      </w:r>
      <w:r>
        <w:rPr>
          <w:color w:val="231F20"/>
          <w:spacing w:val="-4"/>
        </w:rPr>
        <w:t>et</w:t>
      </w:r>
      <w:r>
        <w:rPr>
          <w:color w:val="231F20"/>
          <w:spacing w:val="-11"/>
        </w:rPr>
        <w:t> </w:t>
      </w:r>
      <w:r>
        <w:rPr>
          <w:color w:val="231F20"/>
          <w:spacing w:val="-4"/>
        </w:rPr>
        <w:t>enfin</w:t>
      </w:r>
      <w:r>
        <w:rPr>
          <w:color w:val="231F20"/>
          <w:spacing w:val="-11"/>
        </w:rPr>
        <w:t> </w:t>
      </w:r>
      <w:r>
        <w:rPr>
          <w:color w:val="231F20"/>
          <w:spacing w:val="-4"/>
        </w:rPr>
        <w:t>député</w:t>
      </w:r>
      <w:r>
        <w:rPr>
          <w:color w:val="231F20"/>
          <w:spacing w:val="-11"/>
        </w:rPr>
        <w:t> </w:t>
      </w:r>
      <w:r>
        <w:rPr>
          <w:color w:val="231F20"/>
          <w:spacing w:val="-4"/>
        </w:rPr>
        <w:t>en</w:t>
      </w:r>
      <w:r>
        <w:rPr>
          <w:color w:val="231F20"/>
          <w:spacing w:val="-11"/>
        </w:rPr>
        <w:t> </w:t>
      </w:r>
      <w:r>
        <w:rPr>
          <w:color w:val="231F20"/>
          <w:spacing w:val="-4"/>
        </w:rPr>
        <w:t>1956.</w:t>
      </w:r>
      <w:r>
        <w:rPr>
          <w:color w:val="231F20"/>
          <w:spacing w:val="-11"/>
        </w:rPr>
        <w:t> </w:t>
      </w:r>
      <w:r>
        <w:rPr>
          <w:color w:val="231F20"/>
          <w:spacing w:val="-4"/>
        </w:rPr>
        <w:t>À</w:t>
      </w:r>
      <w:r>
        <w:rPr>
          <w:color w:val="231F20"/>
          <w:spacing w:val="-11"/>
        </w:rPr>
        <w:t> </w:t>
      </w:r>
      <w:r>
        <w:rPr>
          <w:color w:val="231F20"/>
          <w:spacing w:val="-4"/>
        </w:rPr>
        <w:t>la</w:t>
      </w:r>
      <w:r>
        <w:rPr>
          <w:color w:val="231F20"/>
          <w:spacing w:val="-11"/>
        </w:rPr>
        <w:t> </w:t>
      </w:r>
      <w:r>
        <w:rPr>
          <w:color w:val="231F20"/>
          <w:spacing w:val="-4"/>
        </w:rPr>
        <w:t>fin</w:t>
      </w:r>
      <w:r>
        <w:rPr>
          <w:color w:val="231F20"/>
          <w:spacing w:val="-11"/>
        </w:rPr>
        <w:t> </w:t>
      </w:r>
      <w:r>
        <w:rPr>
          <w:color w:val="231F20"/>
          <w:spacing w:val="-4"/>
        </w:rPr>
        <w:t>de</w:t>
      </w:r>
      <w:r>
        <w:rPr>
          <w:color w:val="231F20"/>
          <w:spacing w:val="-11"/>
        </w:rPr>
        <w:t> </w:t>
      </w:r>
      <w:r>
        <w:rPr>
          <w:color w:val="231F20"/>
          <w:spacing w:val="-4"/>
        </w:rPr>
        <w:t>1957,</w:t>
      </w:r>
      <w:r>
        <w:rPr>
          <w:color w:val="231F20"/>
          <w:spacing w:val="-11"/>
        </w:rPr>
        <w:t> </w:t>
      </w:r>
      <w:r>
        <w:rPr>
          <w:color w:val="231F20"/>
          <w:spacing w:val="-4"/>
        </w:rPr>
        <w:t>il</w:t>
      </w:r>
      <w:r>
        <w:rPr>
          <w:color w:val="231F20"/>
          <w:spacing w:val="-11"/>
        </w:rPr>
        <w:t> </w:t>
      </w:r>
      <w:r>
        <w:rPr>
          <w:color w:val="231F20"/>
          <w:spacing w:val="-4"/>
        </w:rPr>
        <w:t>devient</w:t>
      </w:r>
      <w:r>
        <w:rPr>
          <w:color w:val="231F20"/>
          <w:spacing w:val="-11"/>
        </w:rPr>
        <w:t> </w:t>
      </w:r>
      <w:r>
        <w:rPr>
          <w:color w:val="231F20"/>
          <w:spacing w:val="-4"/>
        </w:rPr>
        <w:t>vice-président </w:t>
      </w:r>
      <w:r>
        <w:rPr>
          <w:color w:val="231F20"/>
        </w:rPr>
        <w:t>du</w:t>
      </w:r>
      <w:r>
        <w:rPr>
          <w:color w:val="231F20"/>
          <w:spacing w:val="-4"/>
        </w:rPr>
        <w:t> </w:t>
      </w:r>
      <w:r>
        <w:rPr>
          <w:color w:val="231F20"/>
        </w:rPr>
        <w:t>Conseil</w:t>
      </w:r>
      <w:r>
        <w:rPr>
          <w:color w:val="231F20"/>
          <w:spacing w:val="-4"/>
        </w:rPr>
        <w:t> </w:t>
      </w:r>
      <w:r>
        <w:rPr>
          <w:color w:val="231F20"/>
        </w:rPr>
        <w:t>exécutif</w:t>
      </w:r>
      <w:r>
        <w:rPr>
          <w:color w:val="231F20"/>
          <w:spacing w:val="-7"/>
        </w:rPr>
        <w:t> </w:t>
      </w:r>
      <w:r>
        <w:rPr>
          <w:color w:val="231F20"/>
        </w:rPr>
        <w:t>de</w:t>
      </w:r>
      <w:r>
        <w:rPr>
          <w:color w:val="231F20"/>
          <w:spacing w:val="-4"/>
        </w:rPr>
        <w:t> </w:t>
      </w:r>
      <w:r>
        <w:rPr>
          <w:color w:val="231F20"/>
        </w:rPr>
        <w:t>Guinée.</w:t>
      </w:r>
      <w:r>
        <w:rPr>
          <w:color w:val="231F20"/>
          <w:spacing w:val="-4"/>
        </w:rPr>
        <w:t> </w:t>
      </w:r>
      <w:r>
        <w:rPr>
          <w:color w:val="231F20"/>
        </w:rPr>
        <w:t>Quand,</w:t>
      </w:r>
      <w:r>
        <w:rPr>
          <w:color w:val="231F20"/>
          <w:spacing w:val="-6"/>
        </w:rPr>
        <w:t> </w:t>
      </w:r>
      <w:r>
        <w:rPr>
          <w:color w:val="231F20"/>
        </w:rPr>
        <w:t>en</w:t>
      </w:r>
      <w:r>
        <w:rPr>
          <w:color w:val="231F20"/>
          <w:spacing w:val="-4"/>
        </w:rPr>
        <w:t> </w:t>
      </w:r>
      <w:r>
        <w:rPr>
          <w:color w:val="231F20"/>
        </w:rPr>
        <w:t>1958,</w:t>
      </w:r>
      <w:r>
        <w:rPr>
          <w:color w:val="231F20"/>
          <w:spacing w:val="-4"/>
        </w:rPr>
        <w:t> </w:t>
      </w:r>
      <w:r>
        <w:rPr>
          <w:color w:val="231F20"/>
        </w:rPr>
        <w:t>de</w:t>
      </w:r>
      <w:r>
        <w:rPr>
          <w:color w:val="231F20"/>
          <w:spacing w:val="-4"/>
        </w:rPr>
        <w:t> </w:t>
      </w:r>
      <w:r>
        <w:rPr>
          <w:color w:val="231F20"/>
        </w:rPr>
        <w:t>Gaulle</w:t>
      </w:r>
      <w:r>
        <w:rPr>
          <w:color w:val="231F20"/>
          <w:spacing w:val="-7"/>
        </w:rPr>
        <w:t> </w:t>
      </w:r>
      <w:r>
        <w:rPr>
          <w:color w:val="231F20"/>
        </w:rPr>
        <w:t>propose</w:t>
      </w:r>
      <w:r>
        <w:rPr>
          <w:color w:val="231F20"/>
          <w:spacing w:val="-4"/>
        </w:rPr>
        <w:t> </w:t>
      </w:r>
      <w:r>
        <w:rPr>
          <w:color w:val="231F20"/>
        </w:rPr>
        <w:t>aux Territoires français le Référendum relatif à l’octroi de l’indépendance, Sékou Touré fait une campagne active en faveur de l’indépendance </w:t>
      </w:r>
      <w:r>
        <w:rPr>
          <w:color w:val="231F20"/>
          <w:spacing w:val="-2"/>
        </w:rPr>
        <w:t>immédiate,</w:t>
      </w:r>
      <w:r>
        <w:rPr>
          <w:color w:val="231F20"/>
          <w:spacing w:val="-10"/>
        </w:rPr>
        <w:t> </w:t>
      </w:r>
      <w:r>
        <w:rPr>
          <w:color w:val="231F20"/>
          <w:spacing w:val="-2"/>
        </w:rPr>
        <w:t>en</w:t>
      </w:r>
      <w:r>
        <w:rPr>
          <w:color w:val="231F20"/>
          <w:spacing w:val="-9"/>
        </w:rPr>
        <w:t> </w:t>
      </w:r>
      <w:r>
        <w:rPr>
          <w:color w:val="231F20"/>
          <w:spacing w:val="-2"/>
        </w:rPr>
        <w:t>dépit</w:t>
      </w:r>
      <w:r>
        <w:rPr>
          <w:color w:val="231F20"/>
          <w:spacing w:val="-6"/>
        </w:rPr>
        <w:t> </w:t>
      </w:r>
      <w:r>
        <w:rPr>
          <w:color w:val="231F20"/>
          <w:spacing w:val="-2"/>
        </w:rPr>
        <w:t>du</w:t>
      </w:r>
      <w:r>
        <w:rPr>
          <w:color w:val="231F20"/>
          <w:spacing w:val="-9"/>
        </w:rPr>
        <w:t> </w:t>
      </w:r>
      <w:r>
        <w:rPr>
          <w:color w:val="231F20"/>
          <w:spacing w:val="-2"/>
        </w:rPr>
        <w:t>mot</w:t>
      </w:r>
      <w:r>
        <w:rPr>
          <w:color w:val="231F20"/>
          <w:spacing w:val="-6"/>
        </w:rPr>
        <w:t> </w:t>
      </w:r>
      <w:r>
        <w:rPr>
          <w:color w:val="231F20"/>
          <w:spacing w:val="-2"/>
        </w:rPr>
        <w:t>d’ordre</w:t>
      </w:r>
      <w:r>
        <w:rPr>
          <w:color w:val="231F20"/>
          <w:spacing w:val="-6"/>
        </w:rPr>
        <w:t> </w:t>
      </w:r>
      <w:r>
        <w:rPr>
          <w:color w:val="231F20"/>
          <w:spacing w:val="-2"/>
        </w:rPr>
        <w:t>du</w:t>
      </w:r>
      <w:r>
        <w:rPr>
          <w:color w:val="231F20"/>
          <w:spacing w:val="-9"/>
        </w:rPr>
        <w:t> </w:t>
      </w:r>
      <w:r>
        <w:rPr>
          <w:color w:val="231F20"/>
          <w:spacing w:val="-2"/>
        </w:rPr>
        <w:t>R.D.A.</w:t>
      </w:r>
      <w:r>
        <w:rPr>
          <w:color w:val="231F20"/>
          <w:spacing w:val="-8"/>
        </w:rPr>
        <w:t> </w:t>
      </w:r>
      <w:r>
        <w:rPr>
          <w:color w:val="231F20"/>
          <w:spacing w:val="-2"/>
        </w:rPr>
        <w:t>qui</w:t>
      </w:r>
      <w:r>
        <w:rPr>
          <w:color w:val="231F20"/>
          <w:spacing w:val="-9"/>
        </w:rPr>
        <w:t> </w:t>
      </w:r>
      <w:r>
        <w:rPr>
          <w:color w:val="231F20"/>
          <w:spacing w:val="-2"/>
        </w:rPr>
        <w:t>préconise</w:t>
      </w:r>
      <w:r>
        <w:rPr>
          <w:color w:val="231F20"/>
          <w:spacing w:val="-8"/>
        </w:rPr>
        <w:t> </w:t>
      </w:r>
      <w:r>
        <w:rPr>
          <w:color w:val="231F20"/>
          <w:spacing w:val="-2"/>
        </w:rPr>
        <w:t>de</w:t>
      </w:r>
      <w:r>
        <w:rPr>
          <w:color w:val="231F20"/>
          <w:spacing w:val="-6"/>
        </w:rPr>
        <w:t> </w:t>
      </w:r>
      <w:r>
        <w:rPr>
          <w:color w:val="231F20"/>
          <w:spacing w:val="-2"/>
        </w:rPr>
        <w:t>répondre</w:t>
      </w:r>
    </w:p>
    <w:p>
      <w:pPr>
        <w:pStyle w:val="BodyText"/>
        <w:spacing w:before="1"/>
      </w:pPr>
      <w:r>
        <w:rPr>
          <w:color w:val="231F20"/>
        </w:rPr>
        <w:t>«</w:t>
      </w:r>
      <w:r>
        <w:rPr>
          <w:color w:val="231F20"/>
          <w:spacing w:val="-7"/>
        </w:rPr>
        <w:t> </w:t>
      </w:r>
      <w:r>
        <w:rPr>
          <w:color w:val="231F20"/>
        </w:rPr>
        <w:t>oui</w:t>
      </w:r>
      <w:r>
        <w:rPr>
          <w:color w:val="231F20"/>
          <w:spacing w:val="-9"/>
        </w:rPr>
        <w:t> </w:t>
      </w:r>
      <w:r>
        <w:rPr>
          <w:color w:val="231F20"/>
        </w:rPr>
        <w:t>»</w:t>
      </w:r>
      <w:r>
        <w:rPr>
          <w:color w:val="231F20"/>
          <w:spacing w:val="-7"/>
        </w:rPr>
        <w:t> </w:t>
      </w:r>
      <w:r>
        <w:rPr>
          <w:color w:val="231F20"/>
        </w:rPr>
        <w:t>à</w:t>
      </w:r>
      <w:r>
        <w:rPr>
          <w:color w:val="231F20"/>
          <w:spacing w:val="-10"/>
        </w:rPr>
        <w:t> </w:t>
      </w:r>
      <w:r>
        <w:rPr>
          <w:color w:val="231F20"/>
        </w:rPr>
        <w:t>la</w:t>
      </w:r>
      <w:r>
        <w:rPr>
          <w:color w:val="231F20"/>
          <w:spacing w:val="-7"/>
        </w:rPr>
        <w:t> </w:t>
      </w:r>
      <w:r>
        <w:rPr>
          <w:color w:val="231F20"/>
          <w:spacing w:val="-2"/>
        </w:rPr>
        <w:t>Communauté.</w:t>
      </w:r>
    </w:p>
    <w:p>
      <w:pPr>
        <w:pStyle w:val="BodyText"/>
        <w:spacing w:before="120"/>
        <w:ind w:right="102" w:firstLine="283"/>
      </w:pPr>
      <w:r>
        <w:rPr>
          <w:color w:val="231F20"/>
        </w:rPr>
        <w:t>Ce 25 août 1958, de Gaulle, le Chef de l’Empire colonial arrive à Conakry après les étapes de Antananarivo (Madagascar), Brazzaville (Congo Brazzaville) et Abidjan (Côte d’Ivoire). Sékou Touré et la population lui réservent</w:t>
      </w:r>
      <w:r>
        <w:rPr>
          <w:color w:val="231F20"/>
          <w:spacing w:val="-2"/>
        </w:rPr>
        <w:t> </w:t>
      </w:r>
      <w:r>
        <w:rPr>
          <w:color w:val="231F20"/>
        </w:rPr>
        <w:t>un accueil chaleureux.</w:t>
      </w:r>
    </w:p>
    <w:p>
      <w:pPr>
        <w:pStyle w:val="BodyText"/>
        <w:spacing w:before="120"/>
        <w:ind w:right="103" w:firstLine="283"/>
      </w:pPr>
      <w:r>
        <w:rPr>
          <w:color w:val="231F20"/>
        </w:rPr>
        <w:t>Le leader Guinéen porte un boubou blanc. Il est coiffé d’une toque. </w:t>
      </w:r>
      <w:r>
        <w:rPr>
          <w:color w:val="231F20"/>
          <w:spacing w:val="-4"/>
        </w:rPr>
        <w:t>Toute</w:t>
      </w:r>
      <w:r>
        <w:rPr>
          <w:color w:val="231F20"/>
          <w:spacing w:val="-11"/>
        </w:rPr>
        <w:t> </w:t>
      </w:r>
      <w:r>
        <w:rPr>
          <w:color w:val="231F20"/>
          <w:spacing w:val="-4"/>
        </w:rPr>
        <w:t>la</w:t>
      </w:r>
      <w:r>
        <w:rPr>
          <w:color w:val="231F20"/>
          <w:spacing w:val="-11"/>
        </w:rPr>
        <w:t> </w:t>
      </w:r>
      <w:r>
        <w:rPr>
          <w:color w:val="231F20"/>
          <w:spacing w:val="-4"/>
        </w:rPr>
        <w:t>population</w:t>
      </w:r>
      <w:r>
        <w:rPr>
          <w:color w:val="231F20"/>
          <w:spacing w:val="-11"/>
        </w:rPr>
        <w:t> </w:t>
      </w:r>
      <w:r>
        <w:rPr>
          <w:color w:val="231F20"/>
          <w:spacing w:val="-4"/>
        </w:rPr>
        <w:t>a</w:t>
      </w:r>
      <w:r>
        <w:rPr>
          <w:color w:val="231F20"/>
          <w:spacing w:val="-11"/>
        </w:rPr>
        <w:t> </w:t>
      </w:r>
      <w:r>
        <w:rPr>
          <w:color w:val="231F20"/>
          <w:spacing w:val="-4"/>
        </w:rPr>
        <w:t>adopté</w:t>
      </w:r>
      <w:r>
        <w:rPr>
          <w:color w:val="231F20"/>
          <w:spacing w:val="-11"/>
        </w:rPr>
        <w:t> </w:t>
      </w:r>
      <w:r>
        <w:rPr>
          <w:color w:val="231F20"/>
          <w:spacing w:val="-4"/>
        </w:rPr>
        <w:t>la</w:t>
      </w:r>
      <w:r>
        <w:rPr>
          <w:color w:val="231F20"/>
          <w:spacing w:val="-11"/>
        </w:rPr>
        <w:t> </w:t>
      </w:r>
      <w:r>
        <w:rPr>
          <w:color w:val="231F20"/>
          <w:spacing w:val="-4"/>
        </w:rPr>
        <w:t>même</w:t>
      </w:r>
      <w:r>
        <w:rPr>
          <w:color w:val="231F20"/>
          <w:spacing w:val="-11"/>
        </w:rPr>
        <w:t> </w:t>
      </w:r>
      <w:r>
        <w:rPr>
          <w:color w:val="231F20"/>
          <w:spacing w:val="-4"/>
        </w:rPr>
        <w:t>tenue</w:t>
      </w:r>
      <w:r>
        <w:rPr>
          <w:color w:val="231F20"/>
          <w:spacing w:val="-11"/>
        </w:rPr>
        <w:t> </w:t>
      </w:r>
      <w:r>
        <w:rPr>
          <w:color w:val="231F20"/>
          <w:spacing w:val="-4"/>
        </w:rPr>
        <w:t>africaine.</w:t>
      </w:r>
      <w:r>
        <w:rPr>
          <w:color w:val="231F20"/>
          <w:spacing w:val="-11"/>
        </w:rPr>
        <w:t> </w:t>
      </w:r>
      <w:r>
        <w:rPr>
          <w:color w:val="231F20"/>
          <w:spacing w:val="-4"/>
        </w:rPr>
        <w:t>Il</w:t>
      </w:r>
      <w:r>
        <w:rPr>
          <w:color w:val="231F20"/>
          <w:spacing w:val="-11"/>
        </w:rPr>
        <w:t> </w:t>
      </w:r>
      <w:r>
        <w:rPr>
          <w:color w:val="231F20"/>
          <w:spacing w:val="-4"/>
        </w:rPr>
        <w:t>montre</w:t>
      </w:r>
      <w:r>
        <w:rPr>
          <w:color w:val="231F20"/>
          <w:spacing w:val="-11"/>
        </w:rPr>
        <w:t> </w:t>
      </w:r>
      <w:r>
        <w:rPr>
          <w:color w:val="231F20"/>
          <w:spacing w:val="-4"/>
        </w:rPr>
        <w:t>avec</w:t>
      </w:r>
      <w:r>
        <w:rPr>
          <w:color w:val="231F20"/>
          <w:spacing w:val="-11"/>
        </w:rPr>
        <w:t> </w:t>
      </w:r>
      <w:r>
        <w:rPr>
          <w:color w:val="231F20"/>
          <w:spacing w:val="-4"/>
        </w:rPr>
        <w:t>fierté </w:t>
      </w:r>
      <w:r>
        <w:rPr>
          <w:color w:val="231F20"/>
        </w:rPr>
        <w:t>son «</w:t>
      </w:r>
      <w:r>
        <w:rPr>
          <w:color w:val="231F20"/>
          <w:spacing w:val="-15"/>
        </w:rPr>
        <w:t> </w:t>
      </w:r>
      <w:r>
        <w:rPr>
          <w:color w:val="231F20"/>
        </w:rPr>
        <w:t>africanité</w:t>
      </w:r>
      <w:r>
        <w:rPr>
          <w:color w:val="231F20"/>
          <w:spacing w:val="-15"/>
        </w:rPr>
        <w:t> </w:t>
      </w:r>
      <w:r>
        <w:rPr>
          <w:color w:val="231F20"/>
        </w:rPr>
        <w:t>». Ses homologues Africains eux, s’étaient présentés devant</w:t>
      </w:r>
      <w:r>
        <w:rPr>
          <w:color w:val="231F20"/>
          <w:spacing w:val="-4"/>
        </w:rPr>
        <w:t> </w:t>
      </w:r>
      <w:r>
        <w:rPr>
          <w:color w:val="231F20"/>
        </w:rPr>
        <w:t>le</w:t>
      </w:r>
      <w:r>
        <w:rPr>
          <w:color w:val="231F20"/>
          <w:spacing w:val="-4"/>
        </w:rPr>
        <w:t> </w:t>
      </w:r>
      <w:r>
        <w:rPr>
          <w:color w:val="231F20"/>
        </w:rPr>
        <w:t>Général</w:t>
      </w:r>
      <w:r>
        <w:rPr>
          <w:color w:val="231F20"/>
          <w:spacing w:val="-4"/>
        </w:rPr>
        <w:t> </w:t>
      </w:r>
      <w:r>
        <w:rPr>
          <w:color w:val="231F20"/>
        </w:rPr>
        <w:t>en</w:t>
      </w:r>
      <w:r>
        <w:rPr>
          <w:color w:val="231F20"/>
          <w:spacing w:val="-4"/>
        </w:rPr>
        <w:t> </w:t>
      </w:r>
      <w:r>
        <w:rPr>
          <w:color w:val="231F20"/>
        </w:rPr>
        <w:t>costume</w:t>
      </w:r>
      <w:r>
        <w:rPr>
          <w:color w:val="231F20"/>
          <w:spacing w:val="-4"/>
        </w:rPr>
        <w:t> </w:t>
      </w:r>
      <w:r>
        <w:rPr>
          <w:color w:val="231F20"/>
        </w:rPr>
        <w:t>européen.</w:t>
      </w:r>
      <w:r>
        <w:rPr>
          <w:color w:val="231F20"/>
          <w:spacing w:val="-5"/>
        </w:rPr>
        <w:t> </w:t>
      </w:r>
      <w:r>
        <w:rPr>
          <w:color w:val="231F20"/>
        </w:rPr>
        <w:t>Sékou</w:t>
      </w:r>
      <w:r>
        <w:rPr>
          <w:color w:val="231F20"/>
          <w:spacing w:val="-4"/>
        </w:rPr>
        <w:t> </w:t>
      </w:r>
      <w:r>
        <w:rPr>
          <w:color w:val="231F20"/>
        </w:rPr>
        <w:t>Touré</w:t>
      </w:r>
      <w:r>
        <w:rPr>
          <w:color w:val="231F20"/>
          <w:spacing w:val="-4"/>
        </w:rPr>
        <w:t> </w:t>
      </w:r>
      <w:r>
        <w:rPr>
          <w:color w:val="231F20"/>
        </w:rPr>
        <w:t>est</w:t>
      </w:r>
      <w:r>
        <w:rPr>
          <w:color w:val="231F20"/>
          <w:spacing w:val="-1"/>
        </w:rPr>
        <w:t> </w:t>
      </w:r>
      <w:r>
        <w:rPr>
          <w:color w:val="231F20"/>
        </w:rPr>
        <w:t>peu</w:t>
      </w:r>
      <w:r>
        <w:rPr>
          <w:color w:val="231F20"/>
          <w:spacing w:val="-4"/>
        </w:rPr>
        <w:t> </w:t>
      </w:r>
      <w:r>
        <w:rPr>
          <w:color w:val="231F20"/>
        </w:rPr>
        <w:t>connu</w:t>
      </w:r>
      <w:r>
        <w:rPr>
          <w:color w:val="231F20"/>
          <w:spacing w:val="-5"/>
        </w:rPr>
        <w:t> </w:t>
      </w:r>
      <w:r>
        <w:rPr>
          <w:color w:val="231F20"/>
        </w:rPr>
        <w:t>du Chef</w:t>
      </w:r>
      <w:r>
        <w:rPr>
          <w:color w:val="231F20"/>
          <w:spacing w:val="-12"/>
        </w:rPr>
        <w:t> </w:t>
      </w:r>
      <w:r>
        <w:rPr>
          <w:color w:val="231F20"/>
        </w:rPr>
        <w:t>de</w:t>
      </w:r>
      <w:r>
        <w:rPr>
          <w:color w:val="231F20"/>
          <w:spacing w:val="-8"/>
        </w:rPr>
        <w:t> </w:t>
      </w:r>
      <w:r>
        <w:rPr>
          <w:color w:val="231F20"/>
        </w:rPr>
        <w:t>l’État</w:t>
      </w:r>
      <w:r>
        <w:rPr>
          <w:color w:val="231F20"/>
          <w:spacing w:val="-7"/>
        </w:rPr>
        <w:t> </w:t>
      </w:r>
      <w:r>
        <w:rPr>
          <w:color w:val="231F20"/>
        </w:rPr>
        <w:t>Français</w:t>
      </w:r>
      <w:r>
        <w:rPr>
          <w:color w:val="231F20"/>
          <w:spacing w:val="-15"/>
        </w:rPr>
        <w:t> </w:t>
      </w:r>
      <w:r>
        <w:rPr>
          <w:color w:val="231F20"/>
        </w:rPr>
        <w:t>:</w:t>
      </w:r>
      <w:r>
        <w:rPr>
          <w:color w:val="231F20"/>
          <w:spacing w:val="-6"/>
        </w:rPr>
        <w:t> </w:t>
      </w:r>
      <w:r>
        <w:rPr>
          <w:color w:val="231F20"/>
        </w:rPr>
        <w:t>contrairement</w:t>
      </w:r>
      <w:r>
        <w:rPr>
          <w:color w:val="231F20"/>
          <w:spacing w:val="-7"/>
        </w:rPr>
        <w:t> </w:t>
      </w:r>
      <w:r>
        <w:rPr>
          <w:color w:val="231F20"/>
        </w:rPr>
        <w:t>à</w:t>
      </w:r>
      <w:r>
        <w:rPr>
          <w:color w:val="231F20"/>
          <w:spacing w:val="-8"/>
        </w:rPr>
        <w:t> </w:t>
      </w:r>
      <w:r>
        <w:rPr>
          <w:color w:val="231F20"/>
        </w:rPr>
        <w:t>d’autres</w:t>
      </w:r>
      <w:r>
        <w:rPr>
          <w:color w:val="231F20"/>
          <w:spacing w:val="-9"/>
        </w:rPr>
        <w:t> </w:t>
      </w:r>
      <w:r>
        <w:rPr>
          <w:color w:val="231F20"/>
        </w:rPr>
        <w:t>dirigeants</w:t>
      </w:r>
      <w:r>
        <w:rPr>
          <w:color w:val="231F20"/>
          <w:spacing w:val="-7"/>
        </w:rPr>
        <w:t> </w:t>
      </w:r>
      <w:r>
        <w:rPr>
          <w:color w:val="231F20"/>
        </w:rPr>
        <w:t>du</w:t>
      </w:r>
      <w:r>
        <w:rPr>
          <w:color w:val="231F20"/>
          <w:spacing w:val="-9"/>
        </w:rPr>
        <w:t> </w:t>
      </w:r>
      <w:r>
        <w:rPr>
          <w:color w:val="231F20"/>
        </w:rPr>
        <w:t>RDA,</w:t>
      </w:r>
      <w:r>
        <w:rPr>
          <w:color w:val="231F20"/>
          <w:spacing w:val="-6"/>
        </w:rPr>
        <w:t> </w:t>
      </w:r>
      <w:r>
        <w:rPr>
          <w:color w:val="231F20"/>
        </w:rPr>
        <w:t>il n’a jamais obtenu de fonction au sein d’un gouvernement de la République Française.</w:t>
      </w:r>
    </w:p>
    <w:p>
      <w:pPr>
        <w:spacing w:before="121"/>
        <w:ind w:left="111" w:right="104" w:firstLine="283"/>
        <w:jc w:val="both"/>
        <w:rPr>
          <w:sz w:val="24"/>
        </w:rPr>
      </w:pPr>
      <w:r>
        <w:rPr>
          <w:color w:val="231F20"/>
          <w:sz w:val="24"/>
        </w:rPr>
        <w:t>Face à de Gaulle, le leader Guinéen dénonce le contenu de la </w:t>
      </w:r>
      <w:r>
        <w:rPr>
          <w:color w:val="231F20"/>
          <w:spacing w:val="-4"/>
          <w:sz w:val="24"/>
        </w:rPr>
        <w:t>Communauté.</w:t>
      </w:r>
      <w:r>
        <w:rPr>
          <w:color w:val="231F20"/>
          <w:spacing w:val="-11"/>
          <w:sz w:val="24"/>
        </w:rPr>
        <w:t> </w:t>
      </w:r>
      <w:r>
        <w:rPr>
          <w:color w:val="231F20"/>
          <w:spacing w:val="-4"/>
          <w:sz w:val="24"/>
        </w:rPr>
        <w:t>Sékou</w:t>
      </w:r>
      <w:r>
        <w:rPr>
          <w:color w:val="231F20"/>
          <w:spacing w:val="-11"/>
          <w:sz w:val="24"/>
        </w:rPr>
        <w:t> </w:t>
      </w:r>
      <w:r>
        <w:rPr>
          <w:color w:val="231F20"/>
          <w:spacing w:val="-4"/>
          <w:sz w:val="24"/>
        </w:rPr>
        <w:t>Touré</w:t>
      </w:r>
      <w:r>
        <w:rPr>
          <w:color w:val="231F20"/>
          <w:spacing w:val="-11"/>
          <w:sz w:val="24"/>
        </w:rPr>
        <w:t> </w:t>
      </w:r>
      <w:r>
        <w:rPr>
          <w:color w:val="231F20"/>
          <w:spacing w:val="-4"/>
          <w:sz w:val="24"/>
        </w:rPr>
        <w:t>ne</w:t>
      </w:r>
      <w:r>
        <w:rPr>
          <w:color w:val="231F20"/>
          <w:spacing w:val="-11"/>
          <w:sz w:val="24"/>
        </w:rPr>
        <w:t> </w:t>
      </w:r>
      <w:r>
        <w:rPr>
          <w:color w:val="231F20"/>
          <w:spacing w:val="-4"/>
          <w:sz w:val="24"/>
        </w:rPr>
        <w:t>conteste</w:t>
      </w:r>
      <w:r>
        <w:rPr>
          <w:color w:val="231F20"/>
          <w:spacing w:val="-11"/>
          <w:sz w:val="24"/>
        </w:rPr>
        <w:t> </w:t>
      </w:r>
      <w:r>
        <w:rPr>
          <w:color w:val="231F20"/>
          <w:spacing w:val="-4"/>
          <w:sz w:val="24"/>
        </w:rPr>
        <w:t>pas</w:t>
      </w:r>
      <w:r>
        <w:rPr>
          <w:color w:val="231F20"/>
          <w:spacing w:val="-11"/>
          <w:sz w:val="24"/>
        </w:rPr>
        <w:t> </w:t>
      </w:r>
      <w:r>
        <w:rPr>
          <w:color w:val="231F20"/>
          <w:spacing w:val="-4"/>
          <w:sz w:val="24"/>
        </w:rPr>
        <w:t>le</w:t>
      </w:r>
      <w:r>
        <w:rPr>
          <w:color w:val="231F20"/>
          <w:spacing w:val="-11"/>
          <w:sz w:val="24"/>
        </w:rPr>
        <w:t> </w:t>
      </w:r>
      <w:r>
        <w:rPr>
          <w:color w:val="231F20"/>
          <w:spacing w:val="-4"/>
          <w:sz w:val="24"/>
        </w:rPr>
        <w:t>bien-fondé</w:t>
      </w:r>
      <w:r>
        <w:rPr>
          <w:color w:val="231F20"/>
          <w:spacing w:val="-11"/>
          <w:sz w:val="24"/>
        </w:rPr>
        <w:t> </w:t>
      </w:r>
      <w:r>
        <w:rPr>
          <w:color w:val="231F20"/>
          <w:spacing w:val="-4"/>
          <w:sz w:val="24"/>
        </w:rPr>
        <w:t>d’un</w:t>
      </w:r>
      <w:r>
        <w:rPr>
          <w:color w:val="231F20"/>
          <w:spacing w:val="-11"/>
          <w:sz w:val="24"/>
        </w:rPr>
        <w:t> </w:t>
      </w:r>
      <w:r>
        <w:rPr>
          <w:color w:val="231F20"/>
          <w:spacing w:val="-4"/>
          <w:sz w:val="24"/>
        </w:rPr>
        <w:t>lien</w:t>
      </w:r>
      <w:r>
        <w:rPr>
          <w:color w:val="231F20"/>
          <w:spacing w:val="-11"/>
          <w:sz w:val="24"/>
        </w:rPr>
        <w:t> </w:t>
      </w:r>
      <w:r>
        <w:rPr>
          <w:color w:val="231F20"/>
          <w:spacing w:val="-4"/>
          <w:sz w:val="24"/>
        </w:rPr>
        <w:t>spécial entre</w:t>
      </w:r>
      <w:r>
        <w:rPr>
          <w:color w:val="231F20"/>
          <w:spacing w:val="-10"/>
          <w:sz w:val="24"/>
        </w:rPr>
        <w:t> </w:t>
      </w:r>
      <w:r>
        <w:rPr>
          <w:color w:val="231F20"/>
          <w:spacing w:val="-4"/>
          <w:sz w:val="24"/>
        </w:rPr>
        <w:t>la</w:t>
      </w:r>
      <w:r>
        <w:rPr>
          <w:color w:val="231F20"/>
          <w:spacing w:val="-9"/>
          <w:sz w:val="24"/>
        </w:rPr>
        <w:t> </w:t>
      </w:r>
      <w:r>
        <w:rPr>
          <w:color w:val="231F20"/>
          <w:spacing w:val="-4"/>
          <w:sz w:val="24"/>
        </w:rPr>
        <w:t>France</w:t>
      </w:r>
      <w:r>
        <w:rPr>
          <w:color w:val="231F20"/>
          <w:spacing w:val="-8"/>
          <w:sz w:val="24"/>
        </w:rPr>
        <w:t> </w:t>
      </w:r>
      <w:r>
        <w:rPr>
          <w:color w:val="231F20"/>
          <w:spacing w:val="-4"/>
          <w:sz w:val="24"/>
        </w:rPr>
        <w:t>et</w:t>
      </w:r>
      <w:r>
        <w:rPr>
          <w:color w:val="231F20"/>
          <w:spacing w:val="-7"/>
          <w:sz w:val="24"/>
        </w:rPr>
        <w:t> </w:t>
      </w:r>
      <w:r>
        <w:rPr>
          <w:color w:val="231F20"/>
          <w:spacing w:val="-4"/>
          <w:sz w:val="24"/>
        </w:rPr>
        <w:t>ses</w:t>
      </w:r>
      <w:r>
        <w:rPr>
          <w:color w:val="231F20"/>
          <w:spacing w:val="-8"/>
          <w:sz w:val="24"/>
        </w:rPr>
        <w:t> </w:t>
      </w:r>
      <w:r>
        <w:rPr>
          <w:color w:val="231F20"/>
          <w:spacing w:val="-4"/>
          <w:sz w:val="24"/>
        </w:rPr>
        <w:t>anciennes</w:t>
      </w:r>
      <w:r>
        <w:rPr>
          <w:color w:val="231F20"/>
          <w:spacing w:val="-8"/>
          <w:sz w:val="24"/>
        </w:rPr>
        <w:t> </w:t>
      </w:r>
      <w:r>
        <w:rPr>
          <w:color w:val="231F20"/>
          <w:spacing w:val="-4"/>
          <w:sz w:val="24"/>
        </w:rPr>
        <w:t>colonies.</w:t>
      </w:r>
      <w:r>
        <w:rPr>
          <w:color w:val="231F20"/>
          <w:spacing w:val="-8"/>
          <w:sz w:val="24"/>
        </w:rPr>
        <w:t> </w:t>
      </w:r>
      <w:r>
        <w:rPr>
          <w:color w:val="231F20"/>
          <w:spacing w:val="-4"/>
          <w:sz w:val="24"/>
        </w:rPr>
        <w:t>Mais</w:t>
      </w:r>
      <w:r>
        <w:rPr>
          <w:color w:val="231F20"/>
          <w:spacing w:val="-8"/>
          <w:sz w:val="24"/>
        </w:rPr>
        <w:t> </w:t>
      </w:r>
      <w:r>
        <w:rPr>
          <w:color w:val="231F20"/>
          <w:spacing w:val="-4"/>
          <w:sz w:val="24"/>
        </w:rPr>
        <w:t>il</w:t>
      </w:r>
      <w:r>
        <w:rPr>
          <w:color w:val="231F20"/>
          <w:spacing w:val="-11"/>
          <w:sz w:val="24"/>
        </w:rPr>
        <w:t> </w:t>
      </w:r>
      <w:r>
        <w:rPr>
          <w:color w:val="231F20"/>
          <w:spacing w:val="-4"/>
          <w:sz w:val="24"/>
        </w:rPr>
        <w:t>s’indigne</w:t>
      </w:r>
      <w:r>
        <w:rPr>
          <w:color w:val="231F20"/>
          <w:spacing w:val="-8"/>
          <w:sz w:val="24"/>
        </w:rPr>
        <w:t> </w:t>
      </w:r>
      <w:r>
        <w:rPr>
          <w:color w:val="231F20"/>
          <w:spacing w:val="-4"/>
          <w:sz w:val="24"/>
        </w:rPr>
        <w:t>de</w:t>
      </w:r>
      <w:r>
        <w:rPr>
          <w:color w:val="231F20"/>
          <w:spacing w:val="-11"/>
          <w:sz w:val="24"/>
        </w:rPr>
        <w:t> </w:t>
      </w:r>
      <w:r>
        <w:rPr>
          <w:color w:val="231F20"/>
          <w:spacing w:val="-4"/>
          <w:sz w:val="24"/>
        </w:rPr>
        <w:t>l’alternative </w:t>
      </w:r>
      <w:r>
        <w:rPr>
          <w:color w:val="231F20"/>
          <w:sz w:val="24"/>
        </w:rPr>
        <w:t>posée par le général</w:t>
      </w:r>
      <w:r>
        <w:rPr>
          <w:color w:val="231F20"/>
          <w:spacing w:val="-13"/>
          <w:sz w:val="24"/>
        </w:rPr>
        <w:t> </w:t>
      </w:r>
      <w:r>
        <w:rPr>
          <w:color w:val="231F20"/>
          <w:sz w:val="24"/>
        </w:rPr>
        <w:t>: Communauté (regrouper les colonies dans une “Communauté française”, une sorte de fédération où les colonies n’obtiendraient, en réalité, pas plus de pouvoir qu’auparavant) ou sécession. Sékou Touré demande que le droit à l’indépendance soit </w:t>
      </w:r>
      <w:r>
        <w:rPr>
          <w:color w:val="231F20"/>
          <w:spacing w:val="-2"/>
          <w:sz w:val="24"/>
        </w:rPr>
        <w:t>explicitement</w:t>
      </w:r>
      <w:r>
        <w:rPr>
          <w:color w:val="231F20"/>
          <w:spacing w:val="-5"/>
          <w:sz w:val="24"/>
        </w:rPr>
        <w:t> </w:t>
      </w:r>
      <w:r>
        <w:rPr>
          <w:color w:val="231F20"/>
          <w:spacing w:val="-2"/>
          <w:sz w:val="24"/>
        </w:rPr>
        <w:t>reconnu,</w:t>
      </w:r>
      <w:r>
        <w:rPr>
          <w:color w:val="231F20"/>
          <w:spacing w:val="-6"/>
          <w:sz w:val="24"/>
        </w:rPr>
        <w:t> </w:t>
      </w:r>
      <w:r>
        <w:rPr>
          <w:color w:val="231F20"/>
          <w:spacing w:val="-2"/>
          <w:sz w:val="24"/>
        </w:rPr>
        <w:t>ainsi</w:t>
      </w:r>
      <w:r>
        <w:rPr>
          <w:color w:val="231F20"/>
          <w:spacing w:val="-8"/>
          <w:sz w:val="24"/>
        </w:rPr>
        <w:t> </w:t>
      </w:r>
      <w:r>
        <w:rPr>
          <w:color w:val="231F20"/>
          <w:spacing w:val="-2"/>
          <w:sz w:val="24"/>
        </w:rPr>
        <w:t>que</w:t>
      </w:r>
      <w:r>
        <w:rPr>
          <w:color w:val="231F20"/>
          <w:spacing w:val="-6"/>
          <w:sz w:val="24"/>
        </w:rPr>
        <w:t> </w:t>
      </w:r>
      <w:r>
        <w:rPr>
          <w:color w:val="231F20"/>
          <w:spacing w:val="-2"/>
          <w:sz w:val="24"/>
        </w:rPr>
        <w:t>la</w:t>
      </w:r>
      <w:r>
        <w:rPr>
          <w:color w:val="231F20"/>
          <w:spacing w:val="-9"/>
          <w:sz w:val="24"/>
        </w:rPr>
        <w:t> </w:t>
      </w:r>
      <w:r>
        <w:rPr>
          <w:color w:val="231F20"/>
          <w:spacing w:val="-2"/>
          <w:sz w:val="24"/>
        </w:rPr>
        <w:t>formation</w:t>
      </w:r>
      <w:r>
        <w:rPr>
          <w:color w:val="231F20"/>
          <w:spacing w:val="-8"/>
          <w:sz w:val="24"/>
        </w:rPr>
        <w:t> </w:t>
      </w:r>
      <w:r>
        <w:rPr>
          <w:color w:val="231F20"/>
          <w:spacing w:val="-2"/>
          <w:sz w:val="24"/>
        </w:rPr>
        <w:t>de</w:t>
      </w:r>
      <w:r>
        <w:rPr>
          <w:color w:val="231F20"/>
          <w:spacing w:val="-8"/>
          <w:sz w:val="24"/>
        </w:rPr>
        <w:t> </w:t>
      </w:r>
      <w:r>
        <w:rPr>
          <w:color w:val="231F20"/>
          <w:spacing w:val="-2"/>
          <w:sz w:val="24"/>
        </w:rPr>
        <w:t>la</w:t>
      </w:r>
      <w:r>
        <w:rPr>
          <w:color w:val="231F20"/>
          <w:spacing w:val="-8"/>
          <w:sz w:val="24"/>
        </w:rPr>
        <w:t> </w:t>
      </w:r>
      <w:r>
        <w:rPr>
          <w:color w:val="231F20"/>
          <w:spacing w:val="-2"/>
          <w:sz w:val="24"/>
        </w:rPr>
        <w:t>Communauté</w:t>
      </w:r>
      <w:r>
        <w:rPr>
          <w:color w:val="231F20"/>
          <w:spacing w:val="-6"/>
          <w:sz w:val="24"/>
        </w:rPr>
        <w:t> </w:t>
      </w:r>
      <w:r>
        <w:rPr>
          <w:color w:val="231F20"/>
          <w:spacing w:val="-2"/>
          <w:sz w:val="24"/>
        </w:rPr>
        <w:t>sur</w:t>
      </w:r>
      <w:r>
        <w:rPr>
          <w:color w:val="231F20"/>
          <w:spacing w:val="-9"/>
          <w:sz w:val="24"/>
        </w:rPr>
        <w:t> </w:t>
      </w:r>
      <w:r>
        <w:rPr>
          <w:color w:val="231F20"/>
          <w:spacing w:val="-2"/>
          <w:sz w:val="24"/>
        </w:rPr>
        <w:t>des </w:t>
      </w:r>
      <w:r>
        <w:rPr>
          <w:color w:val="231F20"/>
          <w:sz w:val="24"/>
        </w:rPr>
        <w:t>bases égalitaires</w:t>
      </w:r>
      <w:r>
        <w:rPr>
          <w:color w:val="231F20"/>
          <w:spacing w:val="-10"/>
          <w:sz w:val="24"/>
        </w:rPr>
        <w:t> </w:t>
      </w:r>
      <w:r>
        <w:rPr>
          <w:color w:val="231F20"/>
          <w:sz w:val="24"/>
        </w:rPr>
        <w:t>: «</w:t>
      </w:r>
      <w:r>
        <w:rPr>
          <w:color w:val="231F20"/>
          <w:spacing w:val="-12"/>
          <w:sz w:val="24"/>
        </w:rPr>
        <w:t> </w:t>
      </w:r>
      <w:r>
        <w:rPr>
          <w:color w:val="231F20"/>
          <w:sz w:val="24"/>
        </w:rPr>
        <w:t>(…) </w:t>
      </w:r>
      <w:r>
        <w:rPr>
          <w:i/>
          <w:color w:val="231F20"/>
          <w:sz w:val="24"/>
        </w:rPr>
        <w:t>Nous avons, quant à nous, un premier et</w:t>
      </w:r>
      <w:r>
        <w:rPr>
          <w:i/>
          <w:color w:val="231F20"/>
          <w:sz w:val="24"/>
        </w:rPr>
        <w:t> indispensable besoin, celui de notre dignité. Or, il n'y a pas de dignité sans</w:t>
      </w:r>
      <w:r>
        <w:rPr>
          <w:i/>
          <w:color w:val="231F20"/>
          <w:spacing w:val="-14"/>
          <w:sz w:val="24"/>
        </w:rPr>
        <w:t> </w:t>
      </w:r>
      <w:r>
        <w:rPr>
          <w:i/>
          <w:color w:val="231F20"/>
          <w:sz w:val="24"/>
        </w:rPr>
        <w:t>liberté,</w:t>
      </w:r>
      <w:r>
        <w:rPr>
          <w:i/>
          <w:color w:val="231F20"/>
          <w:spacing w:val="-13"/>
          <w:sz w:val="24"/>
        </w:rPr>
        <w:t> </w:t>
      </w:r>
      <w:r>
        <w:rPr>
          <w:i/>
          <w:color w:val="231F20"/>
          <w:sz w:val="24"/>
        </w:rPr>
        <w:t>car</w:t>
      </w:r>
      <w:r>
        <w:rPr>
          <w:i/>
          <w:color w:val="231F20"/>
          <w:spacing w:val="-14"/>
          <w:sz w:val="24"/>
        </w:rPr>
        <w:t> </w:t>
      </w:r>
      <w:r>
        <w:rPr>
          <w:i/>
          <w:color w:val="231F20"/>
          <w:sz w:val="24"/>
        </w:rPr>
        <w:t>tout</w:t>
      </w:r>
      <w:r>
        <w:rPr>
          <w:i/>
          <w:color w:val="231F20"/>
          <w:spacing w:val="-14"/>
          <w:sz w:val="24"/>
        </w:rPr>
        <w:t> </w:t>
      </w:r>
      <w:r>
        <w:rPr>
          <w:i/>
          <w:color w:val="231F20"/>
          <w:sz w:val="24"/>
        </w:rPr>
        <w:t>assujettissement,</w:t>
      </w:r>
      <w:r>
        <w:rPr>
          <w:i/>
          <w:color w:val="231F20"/>
          <w:spacing w:val="-15"/>
          <w:sz w:val="24"/>
        </w:rPr>
        <w:t> </w:t>
      </w:r>
      <w:r>
        <w:rPr>
          <w:i/>
          <w:color w:val="231F20"/>
          <w:sz w:val="24"/>
        </w:rPr>
        <w:t>toute</w:t>
      </w:r>
      <w:r>
        <w:rPr>
          <w:i/>
          <w:color w:val="231F20"/>
          <w:spacing w:val="-13"/>
          <w:sz w:val="24"/>
        </w:rPr>
        <w:t> </w:t>
      </w:r>
      <w:r>
        <w:rPr>
          <w:i/>
          <w:color w:val="231F20"/>
          <w:sz w:val="24"/>
        </w:rPr>
        <w:t>contrainte</w:t>
      </w:r>
      <w:r>
        <w:rPr>
          <w:i/>
          <w:color w:val="231F20"/>
          <w:spacing w:val="-15"/>
          <w:sz w:val="24"/>
        </w:rPr>
        <w:t> </w:t>
      </w:r>
      <w:r>
        <w:rPr>
          <w:i/>
          <w:color w:val="231F20"/>
          <w:sz w:val="24"/>
        </w:rPr>
        <w:t>imposée</w:t>
      </w:r>
      <w:r>
        <w:rPr>
          <w:i/>
          <w:color w:val="231F20"/>
          <w:spacing w:val="-15"/>
          <w:sz w:val="24"/>
        </w:rPr>
        <w:t> </w:t>
      </w:r>
      <w:r>
        <w:rPr>
          <w:i/>
          <w:color w:val="231F20"/>
          <w:sz w:val="24"/>
        </w:rPr>
        <w:t>et</w:t>
      </w:r>
      <w:r>
        <w:rPr>
          <w:i/>
          <w:color w:val="231F20"/>
          <w:spacing w:val="-15"/>
          <w:sz w:val="24"/>
        </w:rPr>
        <w:t> </w:t>
      </w:r>
      <w:r>
        <w:rPr>
          <w:i/>
          <w:color w:val="231F20"/>
          <w:sz w:val="24"/>
        </w:rPr>
        <w:t>subie </w:t>
      </w:r>
      <w:r>
        <w:rPr>
          <w:i/>
          <w:color w:val="231F20"/>
          <w:spacing w:val="-2"/>
          <w:sz w:val="24"/>
        </w:rPr>
        <w:t>dégrade</w:t>
      </w:r>
      <w:r>
        <w:rPr>
          <w:i/>
          <w:color w:val="231F20"/>
          <w:spacing w:val="-13"/>
          <w:sz w:val="24"/>
        </w:rPr>
        <w:t> </w:t>
      </w:r>
      <w:r>
        <w:rPr>
          <w:i/>
          <w:color w:val="231F20"/>
          <w:spacing w:val="-2"/>
          <w:sz w:val="24"/>
        </w:rPr>
        <w:t>celui</w:t>
      </w:r>
      <w:r>
        <w:rPr>
          <w:i/>
          <w:color w:val="231F20"/>
          <w:spacing w:val="-10"/>
          <w:sz w:val="24"/>
        </w:rPr>
        <w:t> </w:t>
      </w:r>
      <w:r>
        <w:rPr>
          <w:i/>
          <w:color w:val="231F20"/>
          <w:spacing w:val="-2"/>
          <w:sz w:val="24"/>
        </w:rPr>
        <w:t>sur</w:t>
      </w:r>
      <w:r>
        <w:rPr>
          <w:i/>
          <w:color w:val="231F20"/>
          <w:spacing w:val="-11"/>
          <w:sz w:val="24"/>
        </w:rPr>
        <w:t> </w:t>
      </w:r>
      <w:r>
        <w:rPr>
          <w:i/>
          <w:color w:val="231F20"/>
          <w:spacing w:val="-2"/>
          <w:sz w:val="24"/>
        </w:rPr>
        <w:t>qui</w:t>
      </w:r>
      <w:r>
        <w:rPr>
          <w:i/>
          <w:color w:val="231F20"/>
          <w:spacing w:val="-9"/>
          <w:sz w:val="24"/>
        </w:rPr>
        <w:t> </w:t>
      </w:r>
      <w:r>
        <w:rPr>
          <w:i/>
          <w:color w:val="231F20"/>
          <w:spacing w:val="-2"/>
          <w:sz w:val="24"/>
        </w:rPr>
        <w:t>elle</w:t>
      </w:r>
      <w:r>
        <w:rPr>
          <w:i/>
          <w:color w:val="231F20"/>
          <w:spacing w:val="-13"/>
          <w:sz w:val="24"/>
        </w:rPr>
        <w:t> </w:t>
      </w:r>
      <w:r>
        <w:rPr>
          <w:i/>
          <w:color w:val="231F20"/>
          <w:spacing w:val="-2"/>
          <w:sz w:val="24"/>
        </w:rPr>
        <w:t>pèse,</w:t>
      </w:r>
      <w:r>
        <w:rPr>
          <w:i/>
          <w:color w:val="231F20"/>
          <w:spacing w:val="-11"/>
          <w:sz w:val="24"/>
        </w:rPr>
        <w:t> </w:t>
      </w:r>
      <w:r>
        <w:rPr>
          <w:i/>
          <w:color w:val="231F20"/>
          <w:spacing w:val="-2"/>
          <w:sz w:val="24"/>
        </w:rPr>
        <w:t>lui</w:t>
      </w:r>
      <w:r>
        <w:rPr>
          <w:i/>
          <w:color w:val="231F20"/>
          <w:spacing w:val="-10"/>
          <w:sz w:val="24"/>
        </w:rPr>
        <w:t> </w:t>
      </w:r>
      <w:r>
        <w:rPr>
          <w:i/>
          <w:color w:val="231F20"/>
          <w:spacing w:val="-2"/>
          <w:sz w:val="24"/>
        </w:rPr>
        <w:t>retire</w:t>
      </w:r>
      <w:r>
        <w:rPr>
          <w:i/>
          <w:color w:val="231F20"/>
          <w:spacing w:val="-12"/>
          <w:sz w:val="24"/>
        </w:rPr>
        <w:t> </w:t>
      </w:r>
      <w:r>
        <w:rPr>
          <w:i/>
          <w:color w:val="231F20"/>
          <w:spacing w:val="-2"/>
          <w:sz w:val="24"/>
        </w:rPr>
        <w:t>une</w:t>
      </w:r>
      <w:r>
        <w:rPr>
          <w:i/>
          <w:color w:val="231F20"/>
          <w:spacing w:val="-12"/>
          <w:sz w:val="24"/>
        </w:rPr>
        <w:t> </w:t>
      </w:r>
      <w:r>
        <w:rPr>
          <w:i/>
          <w:color w:val="231F20"/>
          <w:spacing w:val="-2"/>
          <w:sz w:val="24"/>
        </w:rPr>
        <w:t>part</w:t>
      </w:r>
      <w:r>
        <w:rPr>
          <w:i/>
          <w:color w:val="231F20"/>
          <w:spacing w:val="-10"/>
          <w:sz w:val="24"/>
        </w:rPr>
        <w:t> </w:t>
      </w:r>
      <w:r>
        <w:rPr>
          <w:i/>
          <w:color w:val="231F20"/>
          <w:spacing w:val="-2"/>
          <w:sz w:val="24"/>
        </w:rPr>
        <w:t>de</w:t>
      </w:r>
      <w:r>
        <w:rPr>
          <w:i/>
          <w:color w:val="231F20"/>
          <w:spacing w:val="-10"/>
          <w:sz w:val="24"/>
        </w:rPr>
        <w:t> </w:t>
      </w:r>
      <w:r>
        <w:rPr>
          <w:i/>
          <w:color w:val="231F20"/>
          <w:spacing w:val="-2"/>
          <w:sz w:val="24"/>
        </w:rPr>
        <w:t>sa</w:t>
      </w:r>
      <w:r>
        <w:rPr>
          <w:i/>
          <w:color w:val="231F20"/>
          <w:spacing w:val="-11"/>
          <w:sz w:val="24"/>
        </w:rPr>
        <w:t> </w:t>
      </w:r>
      <w:r>
        <w:rPr>
          <w:i/>
          <w:color w:val="231F20"/>
          <w:spacing w:val="-2"/>
          <w:sz w:val="24"/>
        </w:rPr>
        <w:t>qualité</w:t>
      </w:r>
      <w:r>
        <w:rPr>
          <w:i/>
          <w:color w:val="231F20"/>
          <w:spacing w:val="-11"/>
          <w:sz w:val="24"/>
        </w:rPr>
        <w:t> </w:t>
      </w:r>
      <w:r>
        <w:rPr>
          <w:i/>
          <w:color w:val="231F20"/>
          <w:spacing w:val="-2"/>
          <w:sz w:val="24"/>
        </w:rPr>
        <w:t>d'Homme </w:t>
      </w:r>
      <w:r>
        <w:rPr>
          <w:i/>
          <w:color w:val="231F20"/>
          <w:sz w:val="24"/>
        </w:rPr>
        <w:t>et en fait arbitrairement un être inférieur. Nous préférons la pauvreté dans</w:t>
      </w:r>
      <w:r>
        <w:rPr>
          <w:i/>
          <w:color w:val="231F20"/>
          <w:spacing w:val="-5"/>
          <w:sz w:val="24"/>
        </w:rPr>
        <w:t> </w:t>
      </w:r>
      <w:r>
        <w:rPr>
          <w:i/>
          <w:color w:val="231F20"/>
          <w:sz w:val="24"/>
        </w:rPr>
        <w:t>la</w:t>
      </w:r>
      <w:r>
        <w:rPr>
          <w:i/>
          <w:color w:val="231F20"/>
          <w:spacing w:val="-5"/>
          <w:sz w:val="24"/>
        </w:rPr>
        <w:t> </w:t>
      </w:r>
      <w:r>
        <w:rPr>
          <w:i/>
          <w:color w:val="231F20"/>
          <w:sz w:val="24"/>
        </w:rPr>
        <w:t>liberté</w:t>
      </w:r>
      <w:r>
        <w:rPr>
          <w:i/>
          <w:color w:val="231F20"/>
          <w:spacing w:val="-6"/>
          <w:sz w:val="24"/>
        </w:rPr>
        <w:t> </w:t>
      </w:r>
      <w:r>
        <w:rPr>
          <w:i/>
          <w:color w:val="231F20"/>
          <w:sz w:val="24"/>
        </w:rPr>
        <w:t>à</w:t>
      </w:r>
      <w:r>
        <w:rPr>
          <w:i/>
          <w:color w:val="231F20"/>
          <w:spacing w:val="-5"/>
          <w:sz w:val="24"/>
        </w:rPr>
        <w:t> </w:t>
      </w:r>
      <w:r>
        <w:rPr>
          <w:i/>
          <w:color w:val="231F20"/>
          <w:sz w:val="24"/>
        </w:rPr>
        <w:t>la</w:t>
      </w:r>
      <w:r>
        <w:rPr>
          <w:i/>
          <w:color w:val="231F20"/>
          <w:spacing w:val="-5"/>
          <w:sz w:val="24"/>
        </w:rPr>
        <w:t> </w:t>
      </w:r>
      <w:r>
        <w:rPr>
          <w:i/>
          <w:color w:val="231F20"/>
          <w:sz w:val="24"/>
        </w:rPr>
        <w:t>richesse</w:t>
      </w:r>
      <w:r>
        <w:rPr>
          <w:i/>
          <w:color w:val="231F20"/>
          <w:spacing w:val="-3"/>
          <w:sz w:val="24"/>
        </w:rPr>
        <w:t> </w:t>
      </w:r>
      <w:r>
        <w:rPr>
          <w:i/>
          <w:color w:val="231F20"/>
          <w:sz w:val="24"/>
        </w:rPr>
        <w:t>dans</w:t>
      </w:r>
      <w:r>
        <w:rPr>
          <w:i/>
          <w:color w:val="231F20"/>
          <w:spacing w:val="-5"/>
          <w:sz w:val="24"/>
        </w:rPr>
        <w:t> </w:t>
      </w:r>
      <w:r>
        <w:rPr>
          <w:i/>
          <w:color w:val="231F20"/>
          <w:sz w:val="24"/>
        </w:rPr>
        <w:t>l'esclavage</w:t>
      </w:r>
      <w:r>
        <w:rPr>
          <w:i/>
          <w:color w:val="231F20"/>
          <w:spacing w:val="-3"/>
          <w:sz w:val="24"/>
        </w:rPr>
        <w:t> </w:t>
      </w:r>
      <w:r>
        <w:rPr>
          <w:i/>
          <w:color w:val="231F20"/>
          <w:sz w:val="24"/>
        </w:rPr>
        <w:t>(…)</w:t>
      </w:r>
      <w:r>
        <w:rPr>
          <w:i/>
          <w:color w:val="231F20"/>
          <w:spacing w:val="-5"/>
          <w:sz w:val="24"/>
        </w:rPr>
        <w:t> </w:t>
      </w:r>
      <w:r>
        <w:rPr>
          <w:color w:val="231F20"/>
          <w:sz w:val="24"/>
        </w:rPr>
        <w:t>Il</w:t>
      </w:r>
      <w:r>
        <w:rPr>
          <w:color w:val="231F20"/>
          <w:spacing w:val="-3"/>
          <w:sz w:val="24"/>
        </w:rPr>
        <w:t> </w:t>
      </w:r>
      <w:r>
        <w:rPr>
          <w:color w:val="231F20"/>
          <w:sz w:val="24"/>
        </w:rPr>
        <w:t>réclame</w:t>
      </w:r>
      <w:r>
        <w:rPr>
          <w:color w:val="231F20"/>
          <w:spacing w:val="-4"/>
          <w:sz w:val="24"/>
        </w:rPr>
        <w:t> </w:t>
      </w:r>
      <w:r>
        <w:rPr>
          <w:color w:val="231F20"/>
          <w:sz w:val="24"/>
        </w:rPr>
        <w:t>la</w:t>
      </w:r>
      <w:r>
        <w:rPr>
          <w:color w:val="231F20"/>
          <w:spacing w:val="-4"/>
          <w:sz w:val="24"/>
        </w:rPr>
        <w:t> </w:t>
      </w:r>
      <w:r>
        <w:rPr>
          <w:color w:val="231F20"/>
          <w:sz w:val="24"/>
        </w:rPr>
        <w:t>création d’un</w:t>
      </w:r>
      <w:r>
        <w:rPr>
          <w:color w:val="231F20"/>
          <w:spacing w:val="36"/>
          <w:sz w:val="24"/>
        </w:rPr>
        <w:t> </w:t>
      </w:r>
      <w:r>
        <w:rPr>
          <w:color w:val="231F20"/>
          <w:sz w:val="24"/>
        </w:rPr>
        <w:t>pouvoir</w:t>
      </w:r>
      <w:r>
        <w:rPr>
          <w:color w:val="231F20"/>
          <w:spacing w:val="38"/>
          <w:sz w:val="24"/>
        </w:rPr>
        <w:t> </w:t>
      </w:r>
      <w:r>
        <w:rPr>
          <w:color w:val="231F20"/>
          <w:sz w:val="24"/>
        </w:rPr>
        <w:t>exécutif</w:t>
      </w:r>
      <w:r>
        <w:rPr>
          <w:color w:val="231F20"/>
          <w:spacing w:val="39"/>
          <w:sz w:val="24"/>
        </w:rPr>
        <w:t> </w:t>
      </w:r>
      <w:r>
        <w:rPr>
          <w:color w:val="231F20"/>
          <w:sz w:val="24"/>
        </w:rPr>
        <w:t>communautaire</w:t>
      </w:r>
      <w:r>
        <w:rPr>
          <w:color w:val="231F20"/>
          <w:spacing w:val="38"/>
          <w:sz w:val="24"/>
        </w:rPr>
        <w:t> </w:t>
      </w:r>
      <w:r>
        <w:rPr>
          <w:color w:val="231F20"/>
          <w:sz w:val="24"/>
        </w:rPr>
        <w:t>réel</w:t>
      </w:r>
      <w:r>
        <w:rPr>
          <w:color w:val="231F20"/>
          <w:spacing w:val="39"/>
          <w:sz w:val="24"/>
        </w:rPr>
        <w:t> </w:t>
      </w:r>
      <w:r>
        <w:rPr>
          <w:color w:val="231F20"/>
          <w:sz w:val="24"/>
        </w:rPr>
        <w:t>auquel</w:t>
      </w:r>
      <w:r>
        <w:rPr>
          <w:color w:val="231F20"/>
          <w:spacing w:val="38"/>
          <w:sz w:val="24"/>
        </w:rPr>
        <w:t> </w:t>
      </w:r>
      <w:r>
        <w:rPr>
          <w:color w:val="231F20"/>
          <w:sz w:val="24"/>
        </w:rPr>
        <w:t>les</w:t>
      </w:r>
      <w:r>
        <w:rPr>
          <w:color w:val="231F20"/>
          <w:spacing w:val="37"/>
          <w:sz w:val="24"/>
        </w:rPr>
        <w:t> </w:t>
      </w:r>
      <w:r>
        <w:rPr>
          <w:color w:val="231F20"/>
          <w:sz w:val="24"/>
        </w:rPr>
        <w:t>États</w:t>
      </w:r>
      <w:r>
        <w:rPr>
          <w:color w:val="231F20"/>
          <w:spacing w:val="38"/>
          <w:sz w:val="24"/>
        </w:rPr>
        <w:t> </w:t>
      </w:r>
      <w:r>
        <w:rPr>
          <w:color w:val="231F20"/>
          <w:spacing w:val="-2"/>
          <w:sz w:val="24"/>
        </w:rPr>
        <w:t>africains</w:t>
      </w:r>
    </w:p>
    <w:p>
      <w:pPr>
        <w:spacing w:after="0"/>
        <w:jc w:val="both"/>
        <w:rPr>
          <w:sz w:val="24"/>
        </w:rPr>
        <w:sectPr>
          <w:pgSz w:w="8790" w:h="13610"/>
          <w:pgMar w:header="0" w:footer="802" w:top="1060" w:bottom="1000" w:left="880" w:right="880"/>
        </w:sectPr>
      </w:pPr>
    </w:p>
    <w:p>
      <w:pPr>
        <w:spacing w:before="66"/>
        <w:ind w:left="111" w:right="106" w:firstLine="0"/>
        <w:jc w:val="both"/>
        <w:rPr>
          <w:i/>
          <w:sz w:val="24"/>
        </w:rPr>
      </w:pPr>
      <w:r>
        <w:rPr>
          <w:color w:val="231F20"/>
          <w:sz w:val="24"/>
        </w:rPr>
        <w:t>participeraient au</w:t>
      </w:r>
      <w:r>
        <w:rPr>
          <w:color w:val="231F20"/>
          <w:spacing w:val="-1"/>
          <w:sz w:val="24"/>
        </w:rPr>
        <w:t> </w:t>
      </w:r>
      <w:r>
        <w:rPr>
          <w:color w:val="231F20"/>
          <w:sz w:val="24"/>
        </w:rPr>
        <w:t>même titre que la France. Il fait entendre au Chef de l’État</w:t>
      </w:r>
      <w:r>
        <w:rPr>
          <w:color w:val="231F20"/>
          <w:spacing w:val="-2"/>
          <w:sz w:val="24"/>
        </w:rPr>
        <w:t> </w:t>
      </w:r>
      <w:r>
        <w:rPr>
          <w:color w:val="231F20"/>
          <w:sz w:val="24"/>
        </w:rPr>
        <w:t>Français</w:t>
      </w:r>
      <w:r>
        <w:rPr>
          <w:color w:val="231F20"/>
          <w:spacing w:val="-15"/>
          <w:sz w:val="24"/>
        </w:rPr>
        <w:t> </w:t>
      </w:r>
      <w:r>
        <w:rPr>
          <w:color w:val="231F20"/>
          <w:sz w:val="24"/>
        </w:rPr>
        <w:t>qu’un pays qui exclut toute interdépendance dispose de quatre Pouvoirs essentiels: La Défense, La Monnaie, Les Relations </w:t>
      </w:r>
      <w:r>
        <w:rPr>
          <w:color w:val="231F20"/>
          <w:spacing w:val="-2"/>
          <w:sz w:val="24"/>
        </w:rPr>
        <w:t>extérieures</w:t>
      </w:r>
      <w:r>
        <w:rPr>
          <w:color w:val="231F20"/>
          <w:spacing w:val="-15"/>
          <w:sz w:val="24"/>
        </w:rPr>
        <w:t> </w:t>
      </w:r>
      <w:r>
        <w:rPr>
          <w:color w:val="231F20"/>
          <w:spacing w:val="-2"/>
          <w:sz w:val="24"/>
        </w:rPr>
        <w:t>et</w:t>
      </w:r>
      <w:r>
        <w:rPr>
          <w:color w:val="231F20"/>
          <w:spacing w:val="-13"/>
          <w:sz w:val="24"/>
        </w:rPr>
        <w:t> </w:t>
      </w:r>
      <w:r>
        <w:rPr>
          <w:color w:val="231F20"/>
          <w:spacing w:val="-2"/>
          <w:sz w:val="24"/>
        </w:rPr>
        <w:t>la</w:t>
      </w:r>
      <w:r>
        <w:rPr>
          <w:color w:val="231F20"/>
          <w:spacing w:val="-13"/>
          <w:sz w:val="24"/>
        </w:rPr>
        <w:t> </w:t>
      </w:r>
      <w:r>
        <w:rPr>
          <w:color w:val="231F20"/>
          <w:spacing w:val="-2"/>
          <w:sz w:val="24"/>
        </w:rPr>
        <w:t>Diplomatie,</w:t>
      </w:r>
      <w:r>
        <w:rPr>
          <w:color w:val="231F20"/>
          <w:spacing w:val="-13"/>
          <w:sz w:val="24"/>
        </w:rPr>
        <w:t> </w:t>
      </w:r>
      <w:r>
        <w:rPr>
          <w:color w:val="231F20"/>
          <w:spacing w:val="-2"/>
          <w:sz w:val="24"/>
        </w:rPr>
        <w:t>La</w:t>
      </w:r>
      <w:r>
        <w:rPr>
          <w:color w:val="231F20"/>
          <w:spacing w:val="-13"/>
          <w:sz w:val="24"/>
        </w:rPr>
        <w:t> </w:t>
      </w:r>
      <w:r>
        <w:rPr>
          <w:color w:val="231F20"/>
          <w:spacing w:val="-2"/>
          <w:sz w:val="24"/>
        </w:rPr>
        <w:t>Justice</w:t>
      </w:r>
      <w:r>
        <w:rPr>
          <w:color w:val="231F20"/>
          <w:spacing w:val="-13"/>
          <w:sz w:val="24"/>
        </w:rPr>
        <w:t> </w:t>
      </w:r>
      <w:r>
        <w:rPr>
          <w:color w:val="231F20"/>
          <w:spacing w:val="-2"/>
          <w:sz w:val="24"/>
        </w:rPr>
        <w:t>et</w:t>
      </w:r>
      <w:r>
        <w:rPr>
          <w:color w:val="231F20"/>
          <w:spacing w:val="-13"/>
          <w:sz w:val="24"/>
        </w:rPr>
        <w:t> </w:t>
      </w:r>
      <w:r>
        <w:rPr>
          <w:color w:val="231F20"/>
          <w:spacing w:val="-2"/>
          <w:sz w:val="24"/>
        </w:rPr>
        <w:t>la</w:t>
      </w:r>
      <w:r>
        <w:rPr>
          <w:color w:val="231F20"/>
          <w:spacing w:val="-13"/>
          <w:sz w:val="24"/>
        </w:rPr>
        <w:t> </w:t>
      </w:r>
      <w:r>
        <w:rPr>
          <w:color w:val="231F20"/>
          <w:spacing w:val="-2"/>
          <w:sz w:val="24"/>
        </w:rPr>
        <w:t>Législation.</w:t>
      </w:r>
      <w:r>
        <w:rPr>
          <w:color w:val="231F20"/>
          <w:spacing w:val="-13"/>
          <w:sz w:val="24"/>
        </w:rPr>
        <w:t> </w:t>
      </w:r>
      <w:r>
        <w:rPr>
          <w:color w:val="231F20"/>
          <w:spacing w:val="-2"/>
          <w:sz w:val="24"/>
        </w:rPr>
        <w:t>Or</w:t>
      </w:r>
      <w:r>
        <w:rPr>
          <w:color w:val="231F20"/>
          <w:spacing w:val="-13"/>
          <w:sz w:val="24"/>
        </w:rPr>
        <w:t> </w:t>
      </w:r>
      <w:r>
        <w:rPr>
          <w:color w:val="231F20"/>
          <w:spacing w:val="-2"/>
          <w:sz w:val="24"/>
        </w:rPr>
        <w:t>dans</w:t>
      </w:r>
      <w:r>
        <w:rPr>
          <w:color w:val="231F20"/>
          <w:spacing w:val="-13"/>
          <w:sz w:val="24"/>
        </w:rPr>
        <w:t> </w:t>
      </w:r>
      <w:r>
        <w:rPr>
          <w:color w:val="231F20"/>
          <w:spacing w:val="-2"/>
          <w:sz w:val="24"/>
        </w:rPr>
        <w:t>le</w:t>
      </w:r>
      <w:r>
        <w:rPr>
          <w:color w:val="231F20"/>
          <w:spacing w:val="-13"/>
          <w:sz w:val="24"/>
        </w:rPr>
        <w:t> </w:t>
      </w:r>
      <w:r>
        <w:rPr>
          <w:color w:val="231F20"/>
          <w:spacing w:val="-2"/>
          <w:sz w:val="24"/>
        </w:rPr>
        <w:t>projet </w:t>
      </w:r>
      <w:r>
        <w:rPr>
          <w:color w:val="231F20"/>
          <w:sz w:val="24"/>
        </w:rPr>
        <w:t>de</w:t>
      </w:r>
      <w:r>
        <w:rPr>
          <w:color w:val="231F20"/>
          <w:spacing w:val="-9"/>
          <w:sz w:val="24"/>
        </w:rPr>
        <w:t> </w:t>
      </w:r>
      <w:r>
        <w:rPr>
          <w:color w:val="231F20"/>
          <w:sz w:val="24"/>
        </w:rPr>
        <w:t>la</w:t>
      </w:r>
      <w:r>
        <w:rPr>
          <w:color w:val="231F20"/>
          <w:spacing w:val="-9"/>
          <w:sz w:val="24"/>
        </w:rPr>
        <w:t> </w:t>
      </w:r>
      <w:r>
        <w:rPr>
          <w:color w:val="231F20"/>
          <w:sz w:val="24"/>
        </w:rPr>
        <w:t>Communauté,</w:t>
      </w:r>
      <w:r>
        <w:rPr>
          <w:color w:val="231F20"/>
          <w:spacing w:val="-9"/>
          <w:sz w:val="24"/>
        </w:rPr>
        <w:t> </w:t>
      </w:r>
      <w:r>
        <w:rPr>
          <w:color w:val="231F20"/>
          <w:sz w:val="24"/>
        </w:rPr>
        <w:t>ces</w:t>
      </w:r>
      <w:r>
        <w:rPr>
          <w:color w:val="231F20"/>
          <w:spacing w:val="-9"/>
          <w:sz w:val="24"/>
        </w:rPr>
        <w:t> </w:t>
      </w:r>
      <w:r>
        <w:rPr>
          <w:color w:val="231F20"/>
          <w:sz w:val="24"/>
        </w:rPr>
        <w:t>pouvoirs</w:t>
      </w:r>
      <w:r>
        <w:rPr>
          <w:color w:val="231F20"/>
          <w:spacing w:val="-8"/>
          <w:sz w:val="24"/>
        </w:rPr>
        <w:t> </w:t>
      </w:r>
      <w:r>
        <w:rPr>
          <w:color w:val="231F20"/>
          <w:sz w:val="24"/>
        </w:rPr>
        <w:t>sont</w:t>
      </w:r>
      <w:r>
        <w:rPr>
          <w:color w:val="231F20"/>
          <w:spacing w:val="-9"/>
          <w:sz w:val="24"/>
        </w:rPr>
        <w:t> </w:t>
      </w:r>
      <w:r>
        <w:rPr>
          <w:color w:val="231F20"/>
          <w:sz w:val="24"/>
        </w:rPr>
        <w:t>co-gérés</w:t>
      </w:r>
      <w:r>
        <w:rPr>
          <w:color w:val="231F20"/>
          <w:spacing w:val="-9"/>
          <w:sz w:val="24"/>
        </w:rPr>
        <w:t> </w:t>
      </w:r>
      <w:r>
        <w:rPr>
          <w:color w:val="231F20"/>
          <w:sz w:val="24"/>
        </w:rPr>
        <w:t>avec</w:t>
      </w:r>
      <w:r>
        <w:rPr>
          <w:color w:val="231F20"/>
          <w:spacing w:val="-9"/>
          <w:sz w:val="24"/>
        </w:rPr>
        <w:t> </w:t>
      </w:r>
      <w:r>
        <w:rPr>
          <w:color w:val="231F20"/>
          <w:sz w:val="24"/>
        </w:rPr>
        <w:t>la</w:t>
      </w:r>
      <w:r>
        <w:rPr>
          <w:color w:val="231F20"/>
          <w:spacing w:val="-9"/>
          <w:sz w:val="24"/>
        </w:rPr>
        <w:t> </w:t>
      </w:r>
      <w:r>
        <w:rPr>
          <w:color w:val="231F20"/>
          <w:sz w:val="24"/>
        </w:rPr>
        <w:t>France</w:t>
      </w:r>
      <w:r>
        <w:rPr>
          <w:color w:val="231F20"/>
          <w:spacing w:val="-10"/>
          <w:sz w:val="24"/>
        </w:rPr>
        <w:t> </w:t>
      </w:r>
      <w:r>
        <w:rPr>
          <w:i/>
          <w:color w:val="231F20"/>
          <w:sz w:val="24"/>
        </w:rPr>
        <w:t>(…)</w:t>
      </w:r>
      <w:r>
        <w:rPr>
          <w:i/>
          <w:color w:val="231F20"/>
          <w:spacing w:val="-8"/>
          <w:sz w:val="24"/>
        </w:rPr>
        <w:t> </w:t>
      </w:r>
      <w:r>
        <w:rPr>
          <w:i/>
          <w:color w:val="231F20"/>
          <w:sz w:val="24"/>
        </w:rPr>
        <w:t>nous</w:t>
      </w:r>
      <w:r>
        <w:rPr>
          <w:i/>
          <w:color w:val="231F20"/>
          <w:sz w:val="24"/>
        </w:rPr>
        <w:t> affirmons qu’elle ne sera favorable qu’à condition que la Constitution proclame :</w:t>
      </w:r>
    </w:p>
    <w:p>
      <w:pPr>
        <w:pStyle w:val="ListParagraph"/>
        <w:numPr>
          <w:ilvl w:val="0"/>
          <w:numId w:val="2"/>
        </w:numPr>
        <w:tabs>
          <w:tab w:pos="599" w:val="left" w:leader="none"/>
        </w:tabs>
        <w:spacing w:line="240" w:lineRule="auto" w:before="120" w:after="0"/>
        <w:ind w:left="111" w:right="105" w:firstLine="283"/>
        <w:jc w:val="both"/>
        <w:rPr>
          <w:i/>
          <w:sz w:val="24"/>
        </w:rPr>
      </w:pPr>
      <w:r>
        <w:rPr>
          <w:i/>
          <w:color w:val="231F20"/>
          <w:sz w:val="24"/>
        </w:rPr>
        <w:t>le Droit à l’indépendance et à l’égalité juridique des peuples</w:t>
      </w:r>
      <w:r>
        <w:rPr>
          <w:i/>
          <w:color w:val="231F20"/>
          <w:sz w:val="24"/>
        </w:rPr>
        <w:t> associés, droit qui équivaut à la liberté pour ces peuples de se doter d’institutions</w:t>
      </w:r>
      <w:r>
        <w:rPr>
          <w:i/>
          <w:color w:val="231F20"/>
          <w:spacing w:val="-9"/>
          <w:sz w:val="24"/>
        </w:rPr>
        <w:t> </w:t>
      </w:r>
      <w:r>
        <w:rPr>
          <w:i/>
          <w:color w:val="231F20"/>
          <w:sz w:val="24"/>
        </w:rPr>
        <w:t>de</w:t>
      </w:r>
      <w:r>
        <w:rPr>
          <w:i/>
          <w:color w:val="231F20"/>
          <w:spacing w:val="-11"/>
          <w:sz w:val="24"/>
        </w:rPr>
        <w:t> </w:t>
      </w:r>
      <w:r>
        <w:rPr>
          <w:i/>
          <w:color w:val="231F20"/>
          <w:sz w:val="24"/>
        </w:rPr>
        <w:t>leur</w:t>
      </w:r>
      <w:r>
        <w:rPr>
          <w:i/>
          <w:color w:val="231F20"/>
          <w:spacing w:val="-9"/>
          <w:sz w:val="24"/>
        </w:rPr>
        <w:t> </w:t>
      </w:r>
      <w:r>
        <w:rPr>
          <w:i/>
          <w:color w:val="231F20"/>
          <w:sz w:val="24"/>
        </w:rPr>
        <w:t>choix</w:t>
      </w:r>
      <w:r>
        <w:rPr>
          <w:i/>
          <w:color w:val="231F20"/>
          <w:spacing w:val="-9"/>
          <w:sz w:val="24"/>
        </w:rPr>
        <w:t> </w:t>
      </w:r>
      <w:r>
        <w:rPr>
          <w:i/>
          <w:color w:val="231F20"/>
          <w:sz w:val="24"/>
        </w:rPr>
        <w:t>et</w:t>
      </w:r>
      <w:r>
        <w:rPr>
          <w:i/>
          <w:color w:val="231F20"/>
          <w:spacing w:val="-9"/>
          <w:sz w:val="24"/>
        </w:rPr>
        <w:t> </w:t>
      </w:r>
      <w:r>
        <w:rPr>
          <w:i/>
          <w:color w:val="231F20"/>
          <w:sz w:val="24"/>
        </w:rPr>
        <w:t>d’exercer</w:t>
      </w:r>
      <w:r>
        <w:rPr>
          <w:i/>
          <w:color w:val="231F20"/>
          <w:spacing w:val="-10"/>
          <w:sz w:val="24"/>
        </w:rPr>
        <w:t> </w:t>
      </w:r>
      <w:r>
        <w:rPr>
          <w:i/>
          <w:color w:val="231F20"/>
          <w:sz w:val="24"/>
        </w:rPr>
        <w:t>dans</w:t>
      </w:r>
      <w:r>
        <w:rPr>
          <w:i/>
          <w:color w:val="231F20"/>
          <w:spacing w:val="-11"/>
          <w:sz w:val="24"/>
        </w:rPr>
        <w:t> </w:t>
      </w:r>
      <w:r>
        <w:rPr>
          <w:i/>
          <w:color w:val="231F20"/>
          <w:sz w:val="24"/>
        </w:rPr>
        <w:t>l’étendue</w:t>
      </w:r>
      <w:r>
        <w:rPr>
          <w:i/>
          <w:color w:val="231F20"/>
          <w:spacing w:val="-9"/>
          <w:sz w:val="24"/>
        </w:rPr>
        <w:t> </w:t>
      </w:r>
      <w:r>
        <w:rPr>
          <w:i/>
          <w:color w:val="231F20"/>
          <w:sz w:val="24"/>
        </w:rPr>
        <w:t>de</w:t>
      </w:r>
      <w:r>
        <w:rPr>
          <w:i/>
          <w:color w:val="231F20"/>
          <w:spacing w:val="-11"/>
          <w:sz w:val="24"/>
        </w:rPr>
        <w:t> </w:t>
      </w:r>
      <w:r>
        <w:rPr>
          <w:i/>
          <w:color w:val="231F20"/>
          <w:sz w:val="24"/>
        </w:rPr>
        <w:t>leurs</w:t>
      </w:r>
      <w:r>
        <w:rPr>
          <w:i/>
          <w:color w:val="231F20"/>
          <w:spacing w:val="-6"/>
          <w:sz w:val="24"/>
        </w:rPr>
        <w:t> </w:t>
      </w:r>
      <w:r>
        <w:rPr>
          <w:i/>
          <w:color w:val="231F20"/>
          <w:sz w:val="24"/>
        </w:rPr>
        <w:t>États</w:t>
      </w:r>
      <w:r>
        <w:rPr>
          <w:i/>
          <w:color w:val="231F20"/>
          <w:spacing w:val="-9"/>
          <w:sz w:val="24"/>
        </w:rPr>
        <w:t> </w:t>
      </w:r>
      <w:r>
        <w:rPr>
          <w:i/>
          <w:color w:val="231F20"/>
          <w:sz w:val="24"/>
        </w:rPr>
        <w:t>et au niveau de leur ensemble, leur pouvoir d’autodétermination et d’autogestion ;</w:t>
      </w:r>
    </w:p>
    <w:p>
      <w:pPr>
        <w:pStyle w:val="ListParagraph"/>
        <w:numPr>
          <w:ilvl w:val="0"/>
          <w:numId w:val="2"/>
        </w:numPr>
        <w:tabs>
          <w:tab w:pos="549" w:val="left" w:leader="none"/>
        </w:tabs>
        <w:spacing w:line="240" w:lineRule="auto" w:before="121" w:after="0"/>
        <w:ind w:left="111" w:right="108" w:firstLine="283"/>
        <w:jc w:val="both"/>
        <w:rPr>
          <w:sz w:val="24"/>
        </w:rPr>
      </w:pPr>
      <w:r>
        <w:rPr>
          <w:i/>
          <w:color w:val="231F20"/>
          <w:sz w:val="24"/>
        </w:rPr>
        <w:t>Le</w:t>
      </w:r>
      <w:r>
        <w:rPr>
          <w:i/>
          <w:color w:val="231F20"/>
          <w:spacing w:val="-3"/>
          <w:sz w:val="24"/>
        </w:rPr>
        <w:t> </w:t>
      </w:r>
      <w:r>
        <w:rPr>
          <w:i/>
          <w:color w:val="231F20"/>
          <w:sz w:val="24"/>
        </w:rPr>
        <w:t>Droit</w:t>
      </w:r>
      <w:r>
        <w:rPr>
          <w:i/>
          <w:color w:val="231F20"/>
          <w:spacing w:val="-4"/>
          <w:sz w:val="24"/>
        </w:rPr>
        <w:t> </w:t>
      </w:r>
      <w:r>
        <w:rPr>
          <w:i/>
          <w:color w:val="231F20"/>
          <w:sz w:val="24"/>
        </w:rPr>
        <w:t>de</w:t>
      </w:r>
      <w:r>
        <w:rPr>
          <w:i/>
          <w:color w:val="231F20"/>
          <w:spacing w:val="-6"/>
          <w:sz w:val="24"/>
        </w:rPr>
        <w:t> </w:t>
      </w:r>
      <w:r>
        <w:rPr>
          <w:i/>
          <w:color w:val="231F20"/>
          <w:sz w:val="24"/>
        </w:rPr>
        <w:t>divorce</w:t>
      </w:r>
      <w:r>
        <w:rPr>
          <w:i/>
          <w:color w:val="231F20"/>
          <w:spacing w:val="-3"/>
          <w:sz w:val="24"/>
        </w:rPr>
        <w:t> </w:t>
      </w:r>
      <w:r>
        <w:rPr>
          <w:i/>
          <w:color w:val="231F20"/>
          <w:sz w:val="24"/>
        </w:rPr>
        <w:t>sans</w:t>
      </w:r>
      <w:r>
        <w:rPr>
          <w:i/>
          <w:color w:val="231F20"/>
          <w:spacing w:val="-4"/>
          <w:sz w:val="24"/>
        </w:rPr>
        <w:t> </w:t>
      </w:r>
      <w:r>
        <w:rPr>
          <w:i/>
          <w:color w:val="231F20"/>
          <w:sz w:val="24"/>
        </w:rPr>
        <w:t>lequel</w:t>
      </w:r>
      <w:r>
        <w:rPr>
          <w:i/>
          <w:color w:val="231F20"/>
          <w:spacing w:val="-5"/>
          <w:sz w:val="24"/>
        </w:rPr>
        <w:t> </w:t>
      </w:r>
      <w:r>
        <w:rPr>
          <w:i/>
          <w:color w:val="231F20"/>
          <w:sz w:val="24"/>
        </w:rPr>
        <w:t>le</w:t>
      </w:r>
      <w:r>
        <w:rPr>
          <w:i/>
          <w:color w:val="231F20"/>
          <w:spacing w:val="-3"/>
          <w:sz w:val="24"/>
        </w:rPr>
        <w:t> </w:t>
      </w:r>
      <w:r>
        <w:rPr>
          <w:i/>
          <w:color w:val="231F20"/>
          <w:sz w:val="24"/>
        </w:rPr>
        <w:t>mariage</w:t>
      </w:r>
      <w:r>
        <w:rPr>
          <w:i/>
          <w:color w:val="231F20"/>
          <w:spacing w:val="-6"/>
          <w:sz w:val="24"/>
        </w:rPr>
        <w:t> </w:t>
      </w:r>
      <w:r>
        <w:rPr>
          <w:i/>
          <w:color w:val="231F20"/>
          <w:sz w:val="24"/>
        </w:rPr>
        <w:t>franco-africain</w:t>
      </w:r>
      <w:r>
        <w:rPr>
          <w:i/>
          <w:color w:val="231F20"/>
          <w:spacing w:val="-3"/>
          <w:sz w:val="24"/>
        </w:rPr>
        <w:t> </w:t>
      </w:r>
      <w:r>
        <w:rPr>
          <w:i/>
          <w:color w:val="231F20"/>
          <w:sz w:val="24"/>
        </w:rPr>
        <w:t>pourra</w:t>
      </w:r>
      <w:r>
        <w:rPr>
          <w:i/>
          <w:color w:val="231F20"/>
          <w:sz w:val="24"/>
        </w:rPr>
        <w:t> </w:t>
      </w:r>
      <w:r>
        <w:rPr>
          <w:i/>
          <w:color w:val="231F20"/>
          <w:spacing w:val="-4"/>
          <w:sz w:val="24"/>
        </w:rPr>
        <w:t>être considéré, dans</w:t>
      </w:r>
      <w:r>
        <w:rPr>
          <w:i/>
          <w:color w:val="231F20"/>
          <w:spacing w:val="-7"/>
          <w:sz w:val="24"/>
        </w:rPr>
        <w:t> </w:t>
      </w:r>
      <w:r>
        <w:rPr>
          <w:i/>
          <w:color w:val="231F20"/>
          <w:spacing w:val="-4"/>
          <w:sz w:val="24"/>
        </w:rPr>
        <w:t>le</w:t>
      </w:r>
      <w:r>
        <w:rPr>
          <w:i/>
          <w:color w:val="231F20"/>
          <w:spacing w:val="-5"/>
          <w:sz w:val="24"/>
        </w:rPr>
        <w:t> </w:t>
      </w:r>
      <w:r>
        <w:rPr>
          <w:i/>
          <w:color w:val="231F20"/>
          <w:spacing w:val="-4"/>
          <w:sz w:val="24"/>
        </w:rPr>
        <w:t>temps comme</w:t>
      </w:r>
      <w:r>
        <w:rPr>
          <w:i/>
          <w:color w:val="231F20"/>
          <w:spacing w:val="-5"/>
          <w:sz w:val="24"/>
        </w:rPr>
        <w:t> </w:t>
      </w:r>
      <w:r>
        <w:rPr>
          <w:i/>
          <w:color w:val="231F20"/>
          <w:spacing w:val="-4"/>
          <w:sz w:val="24"/>
        </w:rPr>
        <w:t>une construction arbitraire imposée </w:t>
      </w:r>
      <w:r>
        <w:rPr>
          <w:i/>
          <w:color w:val="231F20"/>
          <w:sz w:val="24"/>
        </w:rPr>
        <w:t>aux générations montantes(…) »</w:t>
      </w:r>
      <w:r>
        <w:rPr>
          <w:color w:val="76787A"/>
          <w:sz w:val="24"/>
          <w:vertAlign w:val="superscript"/>
        </w:rPr>
        <w:t>100</w:t>
      </w:r>
    </w:p>
    <w:p>
      <w:pPr>
        <w:spacing w:before="120"/>
        <w:ind w:left="111" w:right="104" w:firstLine="283"/>
        <w:jc w:val="both"/>
        <w:rPr>
          <w:sz w:val="24"/>
        </w:rPr>
      </w:pPr>
      <w:r>
        <w:rPr>
          <w:color w:val="231F20"/>
          <w:sz w:val="24"/>
        </w:rPr>
        <w:t>Les</w:t>
      </w:r>
      <w:r>
        <w:rPr>
          <w:color w:val="231F20"/>
          <w:spacing w:val="-2"/>
          <w:sz w:val="24"/>
        </w:rPr>
        <w:t> </w:t>
      </w:r>
      <w:r>
        <w:rPr>
          <w:color w:val="231F20"/>
          <w:sz w:val="24"/>
        </w:rPr>
        <w:t>propos</w:t>
      </w:r>
      <w:r>
        <w:rPr>
          <w:color w:val="231F20"/>
          <w:spacing w:val="-2"/>
          <w:sz w:val="24"/>
        </w:rPr>
        <w:t> </w:t>
      </w:r>
      <w:r>
        <w:rPr>
          <w:color w:val="231F20"/>
          <w:sz w:val="24"/>
        </w:rPr>
        <w:t>de</w:t>
      </w:r>
      <w:r>
        <w:rPr>
          <w:color w:val="231F20"/>
          <w:spacing w:val="-1"/>
          <w:sz w:val="24"/>
        </w:rPr>
        <w:t> </w:t>
      </w:r>
      <w:r>
        <w:rPr>
          <w:color w:val="231F20"/>
          <w:sz w:val="24"/>
        </w:rPr>
        <w:t>Sékou</w:t>
      </w:r>
      <w:r>
        <w:rPr>
          <w:color w:val="231F20"/>
          <w:spacing w:val="-2"/>
          <w:sz w:val="24"/>
        </w:rPr>
        <w:t> </w:t>
      </w:r>
      <w:r>
        <w:rPr>
          <w:color w:val="231F20"/>
          <w:sz w:val="24"/>
        </w:rPr>
        <w:t>Touré</w:t>
      </w:r>
      <w:r>
        <w:rPr>
          <w:color w:val="231F20"/>
          <w:spacing w:val="-1"/>
          <w:sz w:val="24"/>
        </w:rPr>
        <w:t> </w:t>
      </w:r>
      <w:r>
        <w:rPr>
          <w:color w:val="231F20"/>
          <w:sz w:val="24"/>
        </w:rPr>
        <w:t>irritent</w:t>
      </w:r>
      <w:r>
        <w:rPr>
          <w:color w:val="231F20"/>
          <w:spacing w:val="-1"/>
          <w:sz w:val="24"/>
        </w:rPr>
        <w:t> </w:t>
      </w:r>
      <w:r>
        <w:rPr>
          <w:color w:val="231F20"/>
          <w:sz w:val="24"/>
        </w:rPr>
        <w:t>le</w:t>
      </w:r>
      <w:r>
        <w:rPr>
          <w:color w:val="231F20"/>
          <w:spacing w:val="-1"/>
          <w:sz w:val="24"/>
        </w:rPr>
        <w:t> </w:t>
      </w:r>
      <w:r>
        <w:rPr>
          <w:color w:val="231F20"/>
          <w:sz w:val="24"/>
        </w:rPr>
        <w:t>Général</w:t>
      </w:r>
      <w:r>
        <w:rPr>
          <w:color w:val="231F20"/>
          <w:spacing w:val="-1"/>
          <w:sz w:val="24"/>
        </w:rPr>
        <w:t> </w:t>
      </w:r>
      <w:r>
        <w:rPr>
          <w:color w:val="231F20"/>
          <w:sz w:val="24"/>
        </w:rPr>
        <w:t>de</w:t>
      </w:r>
      <w:r>
        <w:rPr>
          <w:color w:val="231F20"/>
          <w:spacing w:val="-4"/>
          <w:sz w:val="24"/>
        </w:rPr>
        <w:t> </w:t>
      </w:r>
      <w:r>
        <w:rPr>
          <w:color w:val="231F20"/>
          <w:sz w:val="24"/>
        </w:rPr>
        <w:t>Gaulle.</w:t>
      </w:r>
      <w:r>
        <w:rPr>
          <w:color w:val="231F20"/>
          <w:spacing w:val="-1"/>
          <w:sz w:val="24"/>
        </w:rPr>
        <w:t> </w:t>
      </w:r>
      <w:r>
        <w:rPr>
          <w:color w:val="231F20"/>
          <w:sz w:val="24"/>
        </w:rPr>
        <w:t>Il</w:t>
      </w:r>
      <w:r>
        <w:rPr>
          <w:color w:val="231F20"/>
          <w:spacing w:val="-1"/>
          <w:sz w:val="24"/>
        </w:rPr>
        <w:t> </w:t>
      </w:r>
      <w:r>
        <w:rPr>
          <w:color w:val="231F20"/>
          <w:sz w:val="24"/>
        </w:rPr>
        <w:t>réplique par</w:t>
      </w:r>
      <w:r>
        <w:rPr>
          <w:color w:val="231F20"/>
          <w:spacing w:val="-2"/>
          <w:sz w:val="24"/>
        </w:rPr>
        <w:t> </w:t>
      </w:r>
      <w:r>
        <w:rPr>
          <w:color w:val="231F20"/>
          <w:sz w:val="24"/>
        </w:rPr>
        <w:t>une</w:t>
      </w:r>
      <w:r>
        <w:rPr>
          <w:color w:val="231F20"/>
          <w:spacing w:val="-2"/>
          <w:sz w:val="24"/>
        </w:rPr>
        <w:t> </w:t>
      </w:r>
      <w:r>
        <w:rPr>
          <w:color w:val="231F20"/>
          <w:sz w:val="24"/>
        </w:rPr>
        <w:t>menace</w:t>
      </w:r>
      <w:r>
        <w:rPr>
          <w:color w:val="231F20"/>
          <w:spacing w:val="-2"/>
          <w:sz w:val="24"/>
        </w:rPr>
        <w:t> </w:t>
      </w:r>
      <w:r>
        <w:rPr>
          <w:color w:val="231F20"/>
          <w:sz w:val="24"/>
        </w:rPr>
        <w:t>à</w:t>
      </w:r>
      <w:r>
        <w:rPr>
          <w:color w:val="231F20"/>
          <w:spacing w:val="-2"/>
          <w:sz w:val="24"/>
        </w:rPr>
        <w:t> </w:t>
      </w:r>
      <w:r>
        <w:rPr>
          <w:color w:val="231F20"/>
          <w:sz w:val="24"/>
        </w:rPr>
        <w:t>peine</w:t>
      </w:r>
      <w:r>
        <w:rPr>
          <w:color w:val="231F20"/>
          <w:spacing w:val="-2"/>
          <w:sz w:val="24"/>
        </w:rPr>
        <w:t> </w:t>
      </w:r>
      <w:r>
        <w:rPr>
          <w:color w:val="231F20"/>
          <w:sz w:val="24"/>
        </w:rPr>
        <w:t>voilée</w:t>
      </w:r>
      <w:r>
        <w:rPr>
          <w:color w:val="231F20"/>
          <w:spacing w:val="-2"/>
          <w:sz w:val="24"/>
        </w:rPr>
        <w:t> </w:t>
      </w:r>
      <w:r>
        <w:rPr>
          <w:color w:val="231F20"/>
          <w:sz w:val="24"/>
        </w:rPr>
        <w:t>de</w:t>
      </w:r>
      <w:r>
        <w:rPr>
          <w:color w:val="231F20"/>
          <w:spacing w:val="-2"/>
          <w:sz w:val="24"/>
        </w:rPr>
        <w:t> </w:t>
      </w:r>
      <w:r>
        <w:rPr>
          <w:color w:val="231F20"/>
          <w:sz w:val="24"/>
        </w:rPr>
        <w:t>rupture</w:t>
      </w:r>
      <w:r>
        <w:rPr>
          <w:color w:val="231F20"/>
          <w:spacing w:val="-2"/>
          <w:sz w:val="24"/>
        </w:rPr>
        <w:t> </w:t>
      </w:r>
      <w:r>
        <w:rPr>
          <w:color w:val="231F20"/>
          <w:sz w:val="24"/>
        </w:rPr>
        <w:t>avec</w:t>
      </w:r>
      <w:r>
        <w:rPr>
          <w:color w:val="231F20"/>
          <w:spacing w:val="-2"/>
          <w:sz w:val="24"/>
        </w:rPr>
        <w:t> </w:t>
      </w:r>
      <w:r>
        <w:rPr>
          <w:color w:val="231F20"/>
          <w:sz w:val="24"/>
        </w:rPr>
        <w:t>la</w:t>
      </w:r>
      <w:r>
        <w:rPr>
          <w:color w:val="231F20"/>
          <w:spacing w:val="-2"/>
          <w:sz w:val="24"/>
        </w:rPr>
        <w:t> </w:t>
      </w:r>
      <w:r>
        <w:rPr>
          <w:color w:val="231F20"/>
          <w:sz w:val="24"/>
        </w:rPr>
        <w:t>France</w:t>
      </w:r>
      <w:r>
        <w:rPr>
          <w:color w:val="231F20"/>
          <w:spacing w:val="-2"/>
          <w:sz w:val="24"/>
        </w:rPr>
        <w:t> </w:t>
      </w:r>
      <w:r>
        <w:rPr>
          <w:color w:val="231F20"/>
          <w:sz w:val="24"/>
        </w:rPr>
        <w:t>en</w:t>
      </w:r>
      <w:r>
        <w:rPr>
          <w:color w:val="231F20"/>
          <w:spacing w:val="-2"/>
          <w:sz w:val="24"/>
        </w:rPr>
        <w:t> </w:t>
      </w:r>
      <w:r>
        <w:rPr>
          <w:color w:val="231F20"/>
          <w:sz w:val="24"/>
        </w:rPr>
        <w:t>cas</w:t>
      </w:r>
      <w:r>
        <w:rPr>
          <w:color w:val="231F20"/>
          <w:spacing w:val="-2"/>
          <w:sz w:val="24"/>
        </w:rPr>
        <w:t> </w:t>
      </w:r>
      <w:r>
        <w:rPr>
          <w:color w:val="231F20"/>
          <w:sz w:val="24"/>
        </w:rPr>
        <w:t>de</w:t>
      </w:r>
      <w:r>
        <w:rPr>
          <w:color w:val="231F20"/>
          <w:spacing w:val="-1"/>
          <w:sz w:val="24"/>
        </w:rPr>
        <w:t> </w:t>
      </w:r>
      <w:r>
        <w:rPr>
          <w:color w:val="231F20"/>
          <w:sz w:val="24"/>
        </w:rPr>
        <w:t>vote négatif au référendum du 28 septembre</w:t>
      </w:r>
      <w:r>
        <w:rPr>
          <w:color w:val="231F20"/>
          <w:spacing w:val="-15"/>
          <w:sz w:val="24"/>
        </w:rPr>
        <w:t> </w:t>
      </w:r>
      <w:r>
        <w:rPr>
          <w:color w:val="231F20"/>
          <w:sz w:val="24"/>
        </w:rPr>
        <w:t>:</w:t>
      </w:r>
      <w:r>
        <w:rPr>
          <w:color w:val="231F20"/>
          <w:spacing w:val="-15"/>
          <w:sz w:val="24"/>
        </w:rPr>
        <w:t> </w:t>
      </w:r>
      <w:r>
        <w:rPr>
          <w:color w:val="231F20"/>
          <w:sz w:val="24"/>
        </w:rPr>
        <w:t>« </w:t>
      </w:r>
      <w:r>
        <w:rPr>
          <w:i/>
          <w:color w:val="231F20"/>
          <w:sz w:val="24"/>
        </w:rPr>
        <w:t>(…) Cette Communauté, la</w:t>
      </w:r>
      <w:r>
        <w:rPr>
          <w:i/>
          <w:color w:val="231F20"/>
          <w:sz w:val="24"/>
        </w:rPr>
        <w:t> France la propose ; personne n’est tenu d’y adhérer.</w:t>
      </w:r>
      <w:r>
        <w:rPr>
          <w:i/>
          <w:color w:val="231F20"/>
          <w:spacing w:val="-10"/>
          <w:sz w:val="24"/>
        </w:rPr>
        <w:t> </w:t>
      </w:r>
      <w:r>
        <w:rPr>
          <w:i/>
          <w:color w:val="231F20"/>
          <w:sz w:val="24"/>
        </w:rPr>
        <w:t>On a parlé d’indépendance, je dis ici plus haut encore qu’ailleurs que </w:t>
      </w:r>
      <w:r>
        <w:rPr>
          <w:i/>
          <w:color w:val="231F20"/>
          <w:spacing w:val="-4"/>
          <w:sz w:val="24"/>
        </w:rPr>
        <w:t>l’indépendance</w:t>
      </w:r>
      <w:r>
        <w:rPr>
          <w:i/>
          <w:color w:val="231F20"/>
          <w:spacing w:val="-9"/>
          <w:sz w:val="24"/>
        </w:rPr>
        <w:t> </w:t>
      </w:r>
      <w:r>
        <w:rPr>
          <w:i/>
          <w:color w:val="231F20"/>
          <w:spacing w:val="-4"/>
          <w:sz w:val="24"/>
        </w:rPr>
        <w:t>est</w:t>
      </w:r>
      <w:r>
        <w:rPr>
          <w:i/>
          <w:color w:val="231F20"/>
          <w:spacing w:val="-9"/>
          <w:sz w:val="24"/>
        </w:rPr>
        <w:t> </w:t>
      </w:r>
      <w:r>
        <w:rPr>
          <w:i/>
          <w:color w:val="231F20"/>
          <w:spacing w:val="-4"/>
          <w:sz w:val="24"/>
        </w:rPr>
        <w:t>à</w:t>
      </w:r>
      <w:r>
        <w:rPr>
          <w:i/>
          <w:color w:val="231F20"/>
          <w:spacing w:val="-11"/>
          <w:sz w:val="24"/>
        </w:rPr>
        <w:t> </w:t>
      </w:r>
      <w:r>
        <w:rPr>
          <w:i/>
          <w:color w:val="231F20"/>
          <w:spacing w:val="-4"/>
          <w:sz w:val="24"/>
        </w:rPr>
        <w:t>la</w:t>
      </w:r>
      <w:r>
        <w:rPr>
          <w:i/>
          <w:color w:val="231F20"/>
          <w:spacing w:val="-11"/>
          <w:sz w:val="24"/>
        </w:rPr>
        <w:t> </w:t>
      </w:r>
      <w:r>
        <w:rPr>
          <w:i/>
          <w:color w:val="231F20"/>
          <w:spacing w:val="-4"/>
          <w:sz w:val="24"/>
        </w:rPr>
        <w:t>disposition</w:t>
      </w:r>
      <w:r>
        <w:rPr>
          <w:i/>
          <w:color w:val="231F20"/>
          <w:spacing w:val="-9"/>
          <w:sz w:val="24"/>
        </w:rPr>
        <w:t> </w:t>
      </w:r>
      <w:r>
        <w:rPr>
          <w:i/>
          <w:color w:val="231F20"/>
          <w:spacing w:val="-4"/>
          <w:sz w:val="24"/>
        </w:rPr>
        <w:t>de</w:t>
      </w:r>
      <w:r>
        <w:rPr>
          <w:i/>
          <w:color w:val="231F20"/>
          <w:spacing w:val="-11"/>
          <w:sz w:val="24"/>
        </w:rPr>
        <w:t> </w:t>
      </w:r>
      <w:r>
        <w:rPr>
          <w:i/>
          <w:color w:val="231F20"/>
          <w:spacing w:val="-4"/>
          <w:sz w:val="24"/>
        </w:rPr>
        <w:t>la</w:t>
      </w:r>
      <w:r>
        <w:rPr>
          <w:i/>
          <w:color w:val="231F20"/>
          <w:spacing w:val="-9"/>
          <w:sz w:val="24"/>
        </w:rPr>
        <w:t> </w:t>
      </w:r>
      <w:r>
        <w:rPr>
          <w:i/>
          <w:color w:val="231F20"/>
          <w:spacing w:val="-4"/>
          <w:sz w:val="24"/>
        </w:rPr>
        <w:t>Guinée.</w:t>
      </w:r>
      <w:r>
        <w:rPr>
          <w:i/>
          <w:color w:val="231F20"/>
          <w:spacing w:val="-11"/>
          <w:sz w:val="24"/>
        </w:rPr>
        <w:t> </w:t>
      </w:r>
      <w:r>
        <w:rPr>
          <w:i/>
          <w:color w:val="231F20"/>
          <w:spacing w:val="-4"/>
          <w:sz w:val="24"/>
        </w:rPr>
        <w:t>Elle</w:t>
      </w:r>
      <w:r>
        <w:rPr>
          <w:i/>
          <w:color w:val="231F20"/>
          <w:spacing w:val="-9"/>
          <w:sz w:val="24"/>
        </w:rPr>
        <w:t> </w:t>
      </w:r>
      <w:r>
        <w:rPr>
          <w:i/>
          <w:color w:val="231F20"/>
          <w:spacing w:val="-4"/>
          <w:sz w:val="24"/>
        </w:rPr>
        <w:t>peut</w:t>
      </w:r>
      <w:r>
        <w:rPr>
          <w:i/>
          <w:color w:val="231F20"/>
          <w:spacing w:val="-11"/>
          <w:sz w:val="24"/>
        </w:rPr>
        <w:t> </w:t>
      </w:r>
      <w:r>
        <w:rPr>
          <w:i/>
          <w:color w:val="231F20"/>
          <w:spacing w:val="-4"/>
          <w:sz w:val="24"/>
        </w:rPr>
        <w:t>la</w:t>
      </w:r>
      <w:r>
        <w:rPr>
          <w:i/>
          <w:color w:val="231F20"/>
          <w:spacing w:val="-11"/>
          <w:sz w:val="24"/>
        </w:rPr>
        <w:t> </w:t>
      </w:r>
      <w:r>
        <w:rPr>
          <w:i/>
          <w:color w:val="231F20"/>
          <w:spacing w:val="-4"/>
          <w:sz w:val="24"/>
        </w:rPr>
        <w:t>prendre,</w:t>
      </w:r>
      <w:r>
        <w:rPr>
          <w:i/>
          <w:color w:val="231F20"/>
          <w:spacing w:val="-9"/>
          <w:sz w:val="24"/>
        </w:rPr>
        <w:t> </w:t>
      </w:r>
      <w:r>
        <w:rPr>
          <w:i/>
          <w:color w:val="231F20"/>
          <w:spacing w:val="-4"/>
          <w:sz w:val="24"/>
        </w:rPr>
        <w:t>elle </w:t>
      </w:r>
      <w:r>
        <w:rPr>
          <w:i/>
          <w:color w:val="231F20"/>
          <w:sz w:val="24"/>
        </w:rPr>
        <w:t>peut</w:t>
      </w:r>
      <w:r>
        <w:rPr>
          <w:i/>
          <w:color w:val="231F20"/>
          <w:spacing w:val="-7"/>
          <w:sz w:val="24"/>
        </w:rPr>
        <w:t> </w:t>
      </w:r>
      <w:r>
        <w:rPr>
          <w:i/>
          <w:color w:val="231F20"/>
          <w:sz w:val="24"/>
        </w:rPr>
        <w:t>la</w:t>
      </w:r>
      <w:r>
        <w:rPr>
          <w:i/>
          <w:color w:val="231F20"/>
          <w:spacing w:val="-8"/>
          <w:sz w:val="24"/>
        </w:rPr>
        <w:t> </w:t>
      </w:r>
      <w:r>
        <w:rPr>
          <w:i/>
          <w:color w:val="231F20"/>
          <w:sz w:val="24"/>
        </w:rPr>
        <w:t>prendre</w:t>
      </w:r>
      <w:r>
        <w:rPr>
          <w:i/>
          <w:color w:val="231F20"/>
          <w:spacing w:val="-7"/>
          <w:sz w:val="24"/>
        </w:rPr>
        <w:t> </w:t>
      </w:r>
      <w:r>
        <w:rPr>
          <w:i/>
          <w:color w:val="231F20"/>
          <w:sz w:val="24"/>
        </w:rPr>
        <w:t>le</w:t>
      </w:r>
      <w:r>
        <w:rPr>
          <w:i/>
          <w:color w:val="231F20"/>
          <w:spacing w:val="-7"/>
          <w:sz w:val="24"/>
        </w:rPr>
        <w:t> </w:t>
      </w:r>
      <w:r>
        <w:rPr>
          <w:i/>
          <w:color w:val="231F20"/>
          <w:sz w:val="24"/>
        </w:rPr>
        <w:t>28</w:t>
      </w:r>
      <w:r>
        <w:rPr>
          <w:i/>
          <w:color w:val="231F20"/>
          <w:spacing w:val="-7"/>
          <w:sz w:val="24"/>
        </w:rPr>
        <w:t> </w:t>
      </w:r>
      <w:r>
        <w:rPr>
          <w:i/>
          <w:color w:val="231F20"/>
          <w:sz w:val="24"/>
        </w:rPr>
        <w:t>septembre</w:t>
      </w:r>
      <w:r>
        <w:rPr>
          <w:i/>
          <w:color w:val="231F20"/>
          <w:spacing w:val="-7"/>
          <w:sz w:val="24"/>
        </w:rPr>
        <w:t> </w:t>
      </w:r>
      <w:r>
        <w:rPr>
          <w:i/>
          <w:color w:val="231F20"/>
          <w:sz w:val="24"/>
        </w:rPr>
        <w:t>en</w:t>
      </w:r>
      <w:r>
        <w:rPr>
          <w:i/>
          <w:color w:val="231F20"/>
          <w:spacing w:val="-7"/>
          <w:sz w:val="24"/>
        </w:rPr>
        <w:t> </w:t>
      </w:r>
      <w:r>
        <w:rPr>
          <w:i/>
          <w:color w:val="231F20"/>
          <w:sz w:val="24"/>
        </w:rPr>
        <w:t>disant</w:t>
      </w:r>
      <w:r>
        <w:rPr>
          <w:i/>
          <w:color w:val="231F20"/>
          <w:spacing w:val="-7"/>
          <w:sz w:val="24"/>
        </w:rPr>
        <w:t> </w:t>
      </w:r>
      <w:r>
        <w:rPr>
          <w:i/>
          <w:color w:val="231F20"/>
          <w:sz w:val="24"/>
        </w:rPr>
        <w:t>«</w:t>
      </w:r>
      <w:r>
        <w:rPr>
          <w:i/>
          <w:color w:val="231F20"/>
          <w:spacing w:val="-8"/>
          <w:sz w:val="24"/>
        </w:rPr>
        <w:t> </w:t>
      </w:r>
      <w:r>
        <w:rPr>
          <w:i/>
          <w:color w:val="231F20"/>
          <w:sz w:val="24"/>
        </w:rPr>
        <w:t>NON</w:t>
      </w:r>
      <w:r>
        <w:rPr>
          <w:i/>
          <w:color w:val="231F20"/>
          <w:spacing w:val="-8"/>
          <w:sz w:val="24"/>
        </w:rPr>
        <w:t> </w:t>
      </w:r>
      <w:r>
        <w:rPr>
          <w:i/>
          <w:color w:val="231F20"/>
          <w:sz w:val="24"/>
        </w:rPr>
        <w:t>»</w:t>
      </w:r>
      <w:r>
        <w:rPr>
          <w:i/>
          <w:color w:val="231F20"/>
          <w:spacing w:val="-8"/>
          <w:sz w:val="24"/>
        </w:rPr>
        <w:t> </w:t>
      </w:r>
      <w:r>
        <w:rPr>
          <w:i/>
          <w:color w:val="231F20"/>
          <w:sz w:val="24"/>
        </w:rPr>
        <w:t>à</w:t>
      </w:r>
      <w:r>
        <w:rPr>
          <w:i/>
          <w:color w:val="231F20"/>
          <w:spacing w:val="-7"/>
          <w:sz w:val="24"/>
        </w:rPr>
        <w:t> </w:t>
      </w:r>
      <w:r>
        <w:rPr>
          <w:i/>
          <w:color w:val="231F20"/>
          <w:sz w:val="24"/>
        </w:rPr>
        <w:t>la</w:t>
      </w:r>
      <w:r>
        <w:rPr>
          <w:i/>
          <w:color w:val="231F20"/>
          <w:spacing w:val="-7"/>
          <w:sz w:val="24"/>
        </w:rPr>
        <w:t> </w:t>
      </w:r>
      <w:r>
        <w:rPr>
          <w:i/>
          <w:color w:val="231F20"/>
          <w:sz w:val="24"/>
        </w:rPr>
        <w:t>proposition</w:t>
      </w:r>
      <w:r>
        <w:rPr>
          <w:i/>
          <w:color w:val="231F20"/>
          <w:spacing w:val="-7"/>
          <w:sz w:val="24"/>
        </w:rPr>
        <w:t> </w:t>
      </w:r>
      <w:r>
        <w:rPr>
          <w:i/>
          <w:color w:val="231F20"/>
          <w:sz w:val="24"/>
        </w:rPr>
        <w:t>qui lui est faite et dans ce cas je garantis que la Métropole n’y fera pas </w:t>
      </w:r>
      <w:r>
        <w:rPr>
          <w:i/>
          <w:color w:val="231F20"/>
          <w:spacing w:val="-2"/>
          <w:sz w:val="24"/>
        </w:rPr>
        <w:t>obstacle.</w:t>
      </w:r>
      <w:r>
        <w:rPr>
          <w:i/>
          <w:color w:val="231F20"/>
          <w:spacing w:val="-15"/>
          <w:sz w:val="24"/>
        </w:rPr>
        <w:t> </w:t>
      </w:r>
      <w:r>
        <w:rPr>
          <w:i/>
          <w:color w:val="231F20"/>
          <w:spacing w:val="-2"/>
          <w:sz w:val="24"/>
        </w:rPr>
        <w:t>Elle</w:t>
      </w:r>
      <w:r>
        <w:rPr>
          <w:i/>
          <w:color w:val="231F20"/>
          <w:spacing w:val="-13"/>
          <w:sz w:val="24"/>
        </w:rPr>
        <w:t> </w:t>
      </w:r>
      <w:r>
        <w:rPr>
          <w:i/>
          <w:color w:val="231F20"/>
          <w:spacing w:val="-2"/>
          <w:sz w:val="24"/>
        </w:rPr>
        <w:t>en</w:t>
      </w:r>
      <w:r>
        <w:rPr>
          <w:i/>
          <w:color w:val="231F20"/>
          <w:spacing w:val="-13"/>
          <w:sz w:val="24"/>
        </w:rPr>
        <w:t> </w:t>
      </w:r>
      <w:r>
        <w:rPr>
          <w:i/>
          <w:color w:val="231F20"/>
          <w:spacing w:val="-2"/>
          <w:sz w:val="24"/>
        </w:rPr>
        <w:t>tirera,</w:t>
      </w:r>
      <w:r>
        <w:rPr>
          <w:i/>
          <w:color w:val="231F20"/>
          <w:spacing w:val="-13"/>
          <w:sz w:val="24"/>
        </w:rPr>
        <w:t> </w:t>
      </w:r>
      <w:r>
        <w:rPr>
          <w:i/>
          <w:color w:val="231F20"/>
          <w:spacing w:val="-2"/>
          <w:sz w:val="24"/>
        </w:rPr>
        <w:t>bien</w:t>
      </w:r>
      <w:r>
        <w:rPr>
          <w:i/>
          <w:color w:val="231F20"/>
          <w:spacing w:val="-13"/>
          <w:sz w:val="24"/>
        </w:rPr>
        <w:t> </w:t>
      </w:r>
      <w:r>
        <w:rPr>
          <w:i/>
          <w:color w:val="231F20"/>
          <w:spacing w:val="-2"/>
          <w:sz w:val="24"/>
        </w:rPr>
        <w:t>sûr,</w:t>
      </w:r>
      <w:r>
        <w:rPr>
          <w:i/>
          <w:color w:val="231F20"/>
          <w:spacing w:val="-13"/>
          <w:sz w:val="24"/>
        </w:rPr>
        <w:t> </w:t>
      </w:r>
      <w:r>
        <w:rPr>
          <w:i/>
          <w:color w:val="231F20"/>
          <w:spacing w:val="-2"/>
          <w:sz w:val="24"/>
        </w:rPr>
        <w:t>des</w:t>
      </w:r>
      <w:r>
        <w:rPr>
          <w:i/>
          <w:color w:val="231F20"/>
          <w:spacing w:val="-13"/>
          <w:sz w:val="24"/>
        </w:rPr>
        <w:t> </w:t>
      </w:r>
      <w:r>
        <w:rPr>
          <w:i/>
          <w:color w:val="231F20"/>
          <w:spacing w:val="-2"/>
          <w:sz w:val="24"/>
        </w:rPr>
        <w:t>conséquences,</w:t>
      </w:r>
      <w:r>
        <w:rPr>
          <w:i/>
          <w:color w:val="231F20"/>
          <w:spacing w:val="-13"/>
          <w:sz w:val="24"/>
        </w:rPr>
        <w:t> </w:t>
      </w:r>
      <w:r>
        <w:rPr>
          <w:i/>
          <w:color w:val="231F20"/>
          <w:spacing w:val="-2"/>
          <w:sz w:val="24"/>
        </w:rPr>
        <w:t>mais</w:t>
      </w:r>
      <w:r>
        <w:rPr>
          <w:i/>
          <w:color w:val="231F20"/>
          <w:spacing w:val="-13"/>
          <w:sz w:val="24"/>
        </w:rPr>
        <w:t> </w:t>
      </w:r>
      <w:r>
        <w:rPr>
          <w:i/>
          <w:color w:val="231F20"/>
          <w:spacing w:val="-2"/>
          <w:sz w:val="24"/>
        </w:rPr>
        <w:t>d’obstacles</w:t>
      </w:r>
      <w:r>
        <w:rPr>
          <w:i/>
          <w:color w:val="231F20"/>
          <w:spacing w:val="-13"/>
          <w:sz w:val="24"/>
        </w:rPr>
        <w:t> </w:t>
      </w:r>
      <w:r>
        <w:rPr>
          <w:i/>
          <w:color w:val="231F20"/>
          <w:spacing w:val="-2"/>
          <w:sz w:val="24"/>
        </w:rPr>
        <w:t>elle </w:t>
      </w:r>
      <w:r>
        <w:rPr>
          <w:i/>
          <w:color w:val="231F20"/>
          <w:sz w:val="24"/>
        </w:rPr>
        <w:t>n’en fera</w:t>
      </w:r>
      <w:r>
        <w:rPr>
          <w:i/>
          <w:color w:val="231F20"/>
          <w:spacing w:val="-1"/>
          <w:sz w:val="24"/>
        </w:rPr>
        <w:t> </w:t>
      </w:r>
      <w:r>
        <w:rPr>
          <w:i/>
          <w:color w:val="231F20"/>
          <w:sz w:val="24"/>
        </w:rPr>
        <w:t>pas et votre</w:t>
      </w:r>
      <w:r>
        <w:rPr>
          <w:i/>
          <w:color w:val="231F20"/>
          <w:spacing w:val="-1"/>
          <w:sz w:val="24"/>
        </w:rPr>
        <w:t> </w:t>
      </w:r>
      <w:r>
        <w:rPr>
          <w:i/>
          <w:color w:val="231F20"/>
          <w:sz w:val="24"/>
        </w:rPr>
        <w:t>Territoire pourra</w:t>
      </w:r>
      <w:r>
        <w:rPr>
          <w:i/>
          <w:color w:val="231F20"/>
          <w:spacing w:val="-1"/>
          <w:sz w:val="24"/>
        </w:rPr>
        <w:t> </w:t>
      </w:r>
      <w:r>
        <w:rPr>
          <w:i/>
          <w:color w:val="231F20"/>
          <w:sz w:val="24"/>
        </w:rPr>
        <w:t>comme il le voudra et dans les conditions</w:t>
      </w:r>
      <w:r>
        <w:rPr>
          <w:i/>
          <w:color w:val="231F20"/>
          <w:spacing w:val="-4"/>
          <w:sz w:val="24"/>
        </w:rPr>
        <w:t> </w:t>
      </w:r>
      <w:r>
        <w:rPr>
          <w:i/>
          <w:color w:val="231F20"/>
          <w:sz w:val="24"/>
        </w:rPr>
        <w:t>qu’il</w:t>
      </w:r>
      <w:r>
        <w:rPr>
          <w:i/>
          <w:color w:val="231F20"/>
          <w:spacing w:val="-6"/>
          <w:sz w:val="24"/>
        </w:rPr>
        <w:t> </w:t>
      </w:r>
      <w:r>
        <w:rPr>
          <w:i/>
          <w:color w:val="231F20"/>
          <w:sz w:val="24"/>
        </w:rPr>
        <w:t>voudra,</w:t>
      </w:r>
      <w:r>
        <w:rPr>
          <w:i/>
          <w:color w:val="231F20"/>
          <w:spacing w:val="-7"/>
          <w:sz w:val="24"/>
        </w:rPr>
        <w:t> </w:t>
      </w:r>
      <w:r>
        <w:rPr>
          <w:i/>
          <w:color w:val="231F20"/>
          <w:sz w:val="24"/>
        </w:rPr>
        <w:t>suivre</w:t>
      </w:r>
      <w:r>
        <w:rPr>
          <w:i/>
          <w:color w:val="231F20"/>
          <w:spacing w:val="-4"/>
          <w:sz w:val="24"/>
        </w:rPr>
        <w:t> </w:t>
      </w:r>
      <w:r>
        <w:rPr>
          <w:i/>
          <w:color w:val="231F20"/>
          <w:sz w:val="24"/>
        </w:rPr>
        <w:t>la</w:t>
      </w:r>
      <w:r>
        <w:rPr>
          <w:i/>
          <w:color w:val="231F20"/>
          <w:spacing w:val="-4"/>
          <w:sz w:val="24"/>
        </w:rPr>
        <w:t> </w:t>
      </w:r>
      <w:r>
        <w:rPr>
          <w:i/>
          <w:color w:val="231F20"/>
          <w:sz w:val="24"/>
        </w:rPr>
        <w:t>route</w:t>
      </w:r>
      <w:r>
        <w:rPr>
          <w:i/>
          <w:color w:val="231F20"/>
          <w:spacing w:val="-7"/>
          <w:sz w:val="24"/>
        </w:rPr>
        <w:t> </w:t>
      </w:r>
      <w:r>
        <w:rPr>
          <w:i/>
          <w:color w:val="231F20"/>
          <w:sz w:val="24"/>
        </w:rPr>
        <w:t>qu’il</w:t>
      </w:r>
      <w:r>
        <w:rPr>
          <w:i/>
          <w:color w:val="231F20"/>
          <w:spacing w:val="-4"/>
          <w:sz w:val="24"/>
        </w:rPr>
        <w:t> </w:t>
      </w:r>
      <w:r>
        <w:rPr>
          <w:i/>
          <w:color w:val="231F20"/>
          <w:sz w:val="24"/>
        </w:rPr>
        <w:t>voudra(...)</w:t>
      </w:r>
      <w:r>
        <w:rPr>
          <w:i/>
          <w:color w:val="231F20"/>
          <w:spacing w:val="-5"/>
          <w:sz w:val="24"/>
        </w:rPr>
        <w:t> </w:t>
      </w:r>
      <w:r>
        <w:rPr>
          <w:i/>
          <w:color w:val="231F20"/>
          <w:sz w:val="24"/>
        </w:rPr>
        <w:t>»</w:t>
      </w:r>
      <w:r>
        <w:rPr>
          <w:color w:val="76787A"/>
          <w:sz w:val="24"/>
          <w:vertAlign w:val="superscript"/>
        </w:rPr>
        <w:t>101</w:t>
      </w:r>
    </w:p>
    <w:p>
      <w:pPr>
        <w:pStyle w:val="BodyText"/>
        <w:spacing w:before="167"/>
        <w:ind w:left="0"/>
        <w:jc w:val="left"/>
      </w:pPr>
    </w:p>
    <w:p>
      <w:pPr>
        <w:pStyle w:val="Heading3"/>
        <w:rPr>
          <w:i/>
        </w:rPr>
      </w:pPr>
      <w:bookmarkStart w:name="_TOC_250029" w:id="14"/>
      <w:r>
        <w:rPr>
          <w:i/>
          <w:color w:val="231F20"/>
          <w:spacing w:val="-2"/>
        </w:rPr>
        <w:t>Le</w:t>
      </w:r>
      <w:r>
        <w:rPr>
          <w:i/>
          <w:color w:val="231F20"/>
          <w:spacing w:val="-9"/>
        </w:rPr>
        <w:t> </w:t>
      </w:r>
      <w:r>
        <w:rPr>
          <w:i/>
          <w:color w:val="231F20"/>
          <w:spacing w:val="-2"/>
        </w:rPr>
        <w:t>Général</w:t>
      </w:r>
      <w:r>
        <w:rPr>
          <w:i/>
          <w:color w:val="231F20"/>
          <w:spacing w:val="-8"/>
        </w:rPr>
        <w:t> </w:t>
      </w:r>
      <w:r>
        <w:rPr>
          <w:i/>
          <w:color w:val="231F20"/>
          <w:spacing w:val="-2"/>
        </w:rPr>
        <w:t>n’ira</w:t>
      </w:r>
      <w:r>
        <w:rPr>
          <w:i/>
          <w:color w:val="231F20"/>
          <w:spacing w:val="-10"/>
        </w:rPr>
        <w:t> </w:t>
      </w:r>
      <w:r>
        <w:rPr>
          <w:i/>
          <w:color w:val="231F20"/>
          <w:spacing w:val="-2"/>
        </w:rPr>
        <w:t>pas</w:t>
      </w:r>
      <w:r>
        <w:rPr>
          <w:i/>
          <w:color w:val="231F20"/>
          <w:spacing w:val="-7"/>
        </w:rPr>
        <w:t> </w:t>
      </w:r>
      <w:r>
        <w:rPr>
          <w:i/>
          <w:color w:val="231F20"/>
          <w:spacing w:val="-2"/>
        </w:rPr>
        <w:t>au</w:t>
      </w:r>
      <w:r>
        <w:rPr>
          <w:i/>
          <w:color w:val="231F20"/>
          <w:spacing w:val="-11"/>
        </w:rPr>
        <w:t> </w:t>
      </w:r>
      <w:r>
        <w:rPr>
          <w:i/>
          <w:color w:val="231F20"/>
          <w:spacing w:val="-2"/>
        </w:rPr>
        <w:t>banquet</w:t>
      </w:r>
      <w:r>
        <w:rPr>
          <w:i/>
          <w:color w:val="231F20"/>
          <w:spacing w:val="-7"/>
        </w:rPr>
        <w:t> </w:t>
      </w:r>
      <w:r>
        <w:rPr>
          <w:i/>
          <w:color w:val="231F20"/>
          <w:spacing w:val="-2"/>
        </w:rPr>
        <w:t>offert</w:t>
      </w:r>
      <w:r>
        <w:rPr>
          <w:i/>
          <w:color w:val="231F20"/>
          <w:spacing w:val="-11"/>
        </w:rPr>
        <w:t> </w:t>
      </w:r>
      <w:r>
        <w:rPr>
          <w:i/>
          <w:color w:val="231F20"/>
          <w:spacing w:val="-2"/>
        </w:rPr>
        <w:t>le</w:t>
      </w:r>
      <w:r>
        <w:rPr>
          <w:i/>
          <w:color w:val="231F20"/>
          <w:spacing w:val="-6"/>
        </w:rPr>
        <w:t> </w:t>
      </w:r>
      <w:r>
        <w:rPr>
          <w:i/>
          <w:color w:val="231F20"/>
          <w:spacing w:val="-2"/>
        </w:rPr>
        <w:t>soir</w:t>
      </w:r>
      <w:r>
        <w:rPr>
          <w:i/>
          <w:color w:val="231F20"/>
          <w:spacing w:val="-6"/>
        </w:rPr>
        <w:t> </w:t>
      </w:r>
      <w:r>
        <w:rPr>
          <w:i/>
          <w:color w:val="231F20"/>
          <w:spacing w:val="-2"/>
        </w:rPr>
        <w:t>à</w:t>
      </w:r>
      <w:r>
        <w:rPr>
          <w:i/>
          <w:color w:val="231F20"/>
          <w:spacing w:val="-9"/>
        </w:rPr>
        <w:t> </w:t>
      </w:r>
      <w:r>
        <w:rPr>
          <w:i/>
          <w:color w:val="231F20"/>
          <w:spacing w:val="-2"/>
        </w:rPr>
        <w:t>son</w:t>
      </w:r>
      <w:r>
        <w:rPr>
          <w:i/>
          <w:color w:val="231F20"/>
          <w:spacing w:val="-6"/>
        </w:rPr>
        <w:t> </w:t>
      </w:r>
      <w:bookmarkEnd w:id="14"/>
      <w:r>
        <w:rPr>
          <w:i/>
          <w:color w:val="231F20"/>
          <w:spacing w:val="-2"/>
        </w:rPr>
        <w:t>intention.</w:t>
      </w:r>
    </w:p>
    <w:p>
      <w:pPr>
        <w:pStyle w:val="BodyText"/>
        <w:spacing w:before="255"/>
        <w:ind w:left="395"/>
        <w:jc w:val="left"/>
      </w:pPr>
      <w:r>
        <w:rPr>
          <w:color w:val="231F20"/>
        </w:rPr>
        <w:t>Le</w:t>
      </w:r>
      <w:r>
        <w:rPr>
          <w:color w:val="231F20"/>
          <w:spacing w:val="-6"/>
        </w:rPr>
        <w:t> </w:t>
      </w:r>
      <w:r>
        <w:rPr>
          <w:color w:val="231F20"/>
        </w:rPr>
        <w:t>lendemain</w:t>
      </w:r>
      <w:r>
        <w:rPr>
          <w:color w:val="231F20"/>
          <w:spacing w:val="-4"/>
        </w:rPr>
        <w:t> </w:t>
      </w:r>
      <w:r>
        <w:rPr>
          <w:color w:val="231F20"/>
        </w:rPr>
        <w:t>matin,</w:t>
      </w:r>
      <w:r>
        <w:rPr>
          <w:color w:val="231F20"/>
          <w:spacing w:val="-7"/>
        </w:rPr>
        <w:t> </w:t>
      </w:r>
      <w:r>
        <w:rPr>
          <w:color w:val="231F20"/>
        </w:rPr>
        <w:t>Sékou</w:t>
      </w:r>
      <w:r>
        <w:rPr>
          <w:color w:val="231F20"/>
          <w:spacing w:val="-4"/>
        </w:rPr>
        <w:t> </w:t>
      </w:r>
      <w:r>
        <w:rPr>
          <w:color w:val="231F20"/>
        </w:rPr>
        <w:t>Touré</w:t>
      </w:r>
      <w:r>
        <w:rPr>
          <w:color w:val="231F20"/>
          <w:spacing w:val="-4"/>
        </w:rPr>
        <w:t> </w:t>
      </w:r>
      <w:r>
        <w:rPr>
          <w:color w:val="231F20"/>
        </w:rPr>
        <w:t>ne</w:t>
      </w:r>
      <w:r>
        <w:rPr>
          <w:color w:val="231F20"/>
          <w:spacing w:val="-4"/>
        </w:rPr>
        <w:t> </w:t>
      </w:r>
      <w:r>
        <w:rPr>
          <w:color w:val="231F20"/>
        </w:rPr>
        <w:t>l’accompagne</w:t>
      </w:r>
      <w:r>
        <w:rPr>
          <w:color w:val="231F20"/>
          <w:spacing w:val="-5"/>
        </w:rPr>
        <w:t> </w:t>
      </w:r>
      <w:r>
        <w:rPr>
          <w:color w:val="231F20"/>
        </w:rPr>
        <w:t>pas</w:t>
      </w:r>
      <w:r>
        <w:rPr>
          <w:color w:val="231F20"/>
          <w:spacing w:val="-5"/>
        </w:rPr>
        <w:t> </w:t>
      </w:r>
      <w:r>
        <w:rPr>
          <w:color w:val="231F20"/>
        </w:rPr>
        <w:t>à</w:t>
      </w:r>
      <w:r>
        <w:rPr>
          <w:color w:val="231F20"/>
          <w:spacing w:val="-4"/>
        </w:rPr>
        <w:t> </w:t>
      </w:r>
      <w:r>
        <w:rPr>
          <w:color w:val="231F20"/>
          <w:spacing w:val="-2"/>
        </w:rPr>
        <w:t>l’aéroport.</w:t>
      </w:r>
    </w:p>
    <w:p>
      <w:pPr>
        <w:pStyle w:val="BodyText"/>
      </w:pPr>
      <w:r>
        <w:rPr>
          <w:color w:val="231F20"/>
          <w:spacing w:val="-2"/>
        </w:rPr>
        <w:t>Les</w:t>
      </w:r>
      <w:r>
        <w:rPr>
          <w:color w:val="231F20"/>
          <w:spacing w:val="-10"/>
        </w:rPr>
        <w:t> </w:t>
      </w:r>
      <w:r>
        <w:rPr>
          <w:color w:val="231F20"/>
          <w:spacing w:val="-2"/>
        </w:rPr>
        <w:t>deux</w:t>
      </w:r>
      <w:r>
        <w:rPr>
          <w:color w:val="231F20"/>
          <w:spacing w:val="-10"/>
        </w:rPr>
        <w:t> </w:t>
      </w:r>
      <w:r>
        <w:rPr>
          <w:color w:val="231F20"/>
          <w:spacing w:val="-2"/>
        </w:rPr>
        <w:t>hommes</w:t>
      </w:r>
      <w:r>
        <w:rPr>
          <w:color w:val="231F20"/>
          <w:spacing w:val="-10"/>
        </w:rPr>
        <w:t> </w:t>
      </w:r>
      <w:r>
        <w:rPr>
          <w:color w:val="231F20"/>
          <w:spacing w:val="-2"/>
        </w:rPr>
        <w:t>ne</w:t>
      </w:r>
      <w:r>
        <w:rPr>
          <w:color w:val="231F20"/>
          <w:spacing w:val="-8"/>
        </w:rPr>
        <w:t> </w:t>
      </w:r>
      <w:r>
        <w:rPr>
          <w:color w:val="231F20"/>
          <w:spacing w:val="-2"/>
        </w:rPr>
        <w:t>se</w:t>
      </w:r>
      <w:r>
        <w:rPr>
          <w:color w:val="231F20"/>
          <w:spacing w:val="-8"/>
        </w:rPr>
        <w:t> </w:t>
      </w:r>
      <w:r>
        <w:rPr>
          <w:color w:val="231F20"/>
          <w:spacing w:val="-2"/>
        </w:rPr>
        <w:t>croiseront</w:t>
      </w:r>
      <w:r>
        <w:rPr>
          <w:color w:val="231F20"/>
          <w:spacing w:val="-7"/>
        </w:rPr>
        <w:t> </w:t>
      </w:r>
      <w:r>
        <w:rPr>
          <w:color w:val="231F20"/>
          <w:spacing w:val="-2"/>
        </w:rPr>
        <w:t>plus</w:t>
      </w:r>
      <w:r>
        <w:rPr>
          <w:color w:val="231F20"/>
          <w:spacing w:val="-9"/>
        </w:rPr>
        <w:t> </w:t>
      </w:r>
      <w:r>
        <w:rPr>
          <w:color w:val="231F20"/>
          <w:spacing w:val="-2"/>
        </w:rPr>
        <w:t>jusqu’à</w:t>
      </w:r>
      <w:r>
        <w:rPr>
          <w:color w:val="231F20"/>
          <w:spacing w:val="-10"/>
        </w:rPr>
        <w:t> </w:t>
      </w:r>
      <w:r>
        <w:rPr>
          <w:color w:val="231F20"/>
          <w:spacing w:val="-2"/>
        </w:rPr>
        <w:t>la</w:t>
      </w:r>
      <w:r>
        <w:rPr>
          <w:color w:val="231F20"/>
          <w:spacing w:val="-10"/>
        </w:rPr>
        <w:t> </w:t>
      </w:r>
      <w:r>
        <w:rPr>
          <w:color w:val="231F20"/>
          <w:spacing w:val="-2"/>
        </w:rPr>
        <w:t>mort</w:t>
      </w:r>
      <w:r>
        <w:rPr>
          <w:color w:val="231F20"/>
          <w:spacing w:val="-10"/>
        </w:rPr>
        <w:t> </w:t>
      </w:r>
      <w:r>
        <w:rPr>
          <w:color w:val="231F20"/>
          <w:spacing w:val="-2"/>
        </w:rPr>
        <w:t>de</w:t>
      </w:r>
      <w:r>
        <w:rPr>
          <w:color w:val="231F20"/>
          <w:spacing w:val="-8"/>
        </w:rPr>
        <w:t> </w:t>
      </w:r>
      <w:r>
        <w:rPr>
          <w:color w:val="231F20"/>
          <w:spacing w:val="-2"/>
        </w:rPr>
        <w:t>de</w:t>
      </w:r>
      <w:r>
        <w:rPr>
          <w:color w:val="231F20"/>
          <w:spacing w:val="-7"/>
        </w:rPr>
        <w:t> </w:t>
      </w:r>
      <w:r>
        <w:rPr>
          <w:color w:val="231F20"/>
          <w:spacing w:val="-2"/>
        </w:rPr>
        <w:t>Gaulle.</w:t>
      </w:r>
    </w:p>
    <w:p>
      <w:pPr>
        <w:pStyle w:val="BodyText"/>
        <w:spacing w:before="120"/>
        <w:ind w:left="0" w:right="108"/>
        <w:jc w:val="right"/>
      </w:pPr>
      <w:r>
        <w:rPr>
          <w:color w:val="231F20"/>
          <w:spacing w:val="-4"/>
        </w:rPr>
        <w:t>Le 28</w:t>
      </w:r>
      <w:r>
        <w:rPr>
          <w:color w:val="231F20"/>
          <w:spacing w:val="-3"/>
        </w:rPr>
        <w:t> </w:t>
      </w:r>
      <w:r>
        <w:rPr>
          <w:color w:val="231F20"/>
          <w:spacing w:val="-4"/>
        </w:rPr>
        <w:t>septembre, le</w:t>
      </w:r>
      <w:r>
        <w:rPr>
          <w:color w:val="231F20"/>
          <w:spacing w:val="-3"/>
        </w:rPr>
        <w:t> </w:t>
      </w:r>
      <w:r>
        <w:rPr>
          <w:color w:val="231F20"/>
          <w:spacing w:val="-4"/>
        </w:rPr>
        <w:t>“NON”</w:t>
      </w:r>
      <w:r>
        <w:rPr>
          <w:color w:val="231F20"/>
          <w:spacing w:val="-3"/>
        </w:rPr>
        <w:t> </w:t>
      </w:r>
      <w:r>
        <w:rPr>
          <w:color w:val="231F20"/>
          <w:spacing w:val="-4"/>
        </w:rPr>
        <w:t>remporte</w:t>
      </w:r>
      <w:r>
        <w:rPr>
          <w:color w:val="231F20"/>
          <w:spacing w:val="-6"/>
        </w:rPr>
        <w:t> </w:t>
      </w:r>
      <w:r>
        <w:rPr>
          <w:color w:val="231F20"/>
          <w:spacing w:val="-4"/>
        </w:rPr>
        <w:t>une</w:t>
      </w:r>
      <w:r>
        <w:rPr>
          <w:color w:val="231F20"/>
          <w:spacing w:val="-3"/>
        </w:rPr>
        <w:t> </w:t>
      </w:r>
      <w:r>
        <w:rPr>
          <w:color w:val="231F20"/>
          <w:spacing w:val="-4"/>
        </w:rPr>
        <w:t>victoire</w:t>
      </w:r>
      <w:r>
        <w:rPr>
          <w:color w:val="231F20"/>
          <w:spacing w:val="-5"/>
        </w:rPr>
        <w:t> </w:t>
      </w:r>
      <w:r>
        <w:rPr>
          <w:color w:val="231F20"/>
          <w:spacing w:val="-4"/>
        </w:rPr>
        <w:t>écrasante avec</w:t>
      </w:r>
      <w:r>
        <w:rPr>
          <w:color w:val="231F20"/>
          <w:spacing w:val="-1"/>
        </w:rPr>
        <w:t> </w:t>
      </w:r>
      <w:r>
        <w:rPr>
          <w:color w:val="231F20"/>
          <w:spacing w:val="-5"/>
        </w:rPr>
        <w:t>95%</w:t>
      </w:r>
    </w:p>
    <w:p>
      <w:pPr>
        <w:pStyle w:val="BodyText"/>
        <w:spacing w:before="1"/>
        <w:ind w:left="0" w:right="111"/>
        <w:jc w:val="right"/>
      </w:pPr>
      <w:r>
        <w:rPr>
          <w:color w:val="231F20"/>
        </w:rPr>
        <w:t>des</w:t>
      </w:r>
      <w:r>
        <w:rPr>
          <w:color w:val="231F20"/>
          <w:spacing w:val="39"/>
        </w:rPr>
        <w:t> </w:t>
      </w:r>
      <w:r>
        <w:rPr>
          <w:color w:val="231F20"/>
        </w:rPr>
        <w:t>voix.</w:t>
      </w:r>
      <w:r>
        <w:rPr>
          <w:color w:val="231F20"/>
          <w:spacing w:val="38"/>
        </w:rPr>
        <w:t> </w:t>
      </w:r>
      <w:r>
        <w:rPr>
          <w:color w:val="231F20"/>
        </w:rPr>
        <w:t>Sékou</w:t>
      </w:r>
      <w:r>
        <w:rPr>
          <w:color w:val="231F20"/>
          <w:spacing w:val="38"/>
        </w:rPr>
        <w:t> </w:t>
      </w:r>
      <w:r>
        <w:rPr>
          <w:color w:val="231F20"/>
        </w:rPr>
        <w:t>Touré</w:t>
      </w:r>
      <w:r>
        <w:rPr>
          <w:color w:val="231F20"/>
          <w:spacing w:val="37"/>
        </w:rPr>
        <w:t> </w:t>
      </w:r>
      <w:r>
        <w:rPr>
          <w:color w:val="231F20"/>
        </w:rPr>
        <w:t>avait</w:t>
      </w:r>
      <w:r>
        <w:rPr>
          <w:color w:val="231F20"/>
          <w:spacing w:val="38"/>
        </w:rPr>
        <w:t> </w:t>
      </w:r>
      <w:r>
        <w:rPr>
          <w:color w:val="231F20"/>
        </w:rPr>
        <w:t>encouragé</w:t>
      </w:r>
      <w:r>
        <w:rPr>
          <w:color w:val="231F20"/>
          <w:spacing w:val="37"/>
        </w:rPr>
        <w:t> </w:t>
      </w:r>
      <w:r>
        <w:rPr>
          <w:color w:val="231F20"/>
        </w:rPr>
        <w:t>les</w:t>
      </w:r>
      <w:r>
        <w:rPr>
          <w:color w:val="231F20"/>
          <w:spacing w:val="38"/>
        </w:rPr>
        <w:t> </w:t>
      </w:r>
      <w:r>
        <w:rPr>
          <w:color w:val="231F20"/>
        </w:rPr>
        <w:t>guinéens</w:t>
      </w:r>
      <w:r>
        <w:rPr>
          <w:color w:val="231F20"/>
          <w:spacing w:val="40"/>
        </w:rPr>
        <w:t> </w:t>
      </w:r>
      <w:r>
        <w:rPr>
          <w:color w:val="231F20"/>
        </w:rPr>
        <w:t>à</w:t>
      </w:r>
      <w:r>
        <w:rPr>
          <w:color w:val="231F20"/>
          <w:spacing w:val="37"/>
        </w:rPr>
        <w:t> </w:t>
      </w:r>
      <w:r>
        <w:rPr>
          <w:color w:val="231F20"/>
        </w:rPr>
        <w:t>se</w:t>
      </w:r>
      <w:r>
        <w:rPr>
          <w:color w:val="231F20"/>
          <w:spacing w:val="39"/>
        </w:rPr>
        <w:t> </w:t>
      </w:r>
      <w:r>
        <w:rPr>
          <w:color w:val="231F20"/>
          <w:spacing w:val="-2"/>
        </w:rPr>
        <w:t>prononcer</w:t>
      </w:r>
    </w:p>
    <w:p>
      <w:pPr>
        <w:pStyle w:val="BodyText"/>
        <w:ind w:left="0"/>
        <w:jc w:val="left"/>
        <w:rPr>
          <w:sz w:val="13"/>
        </w:rPr>
      </w:pPr>
      <w:r>
        <w:rPr/>
        <mc:AlternateContent>
          <mc:Choice Requires="wps">
            <w:drawing>
              <wp:anchor distT="0" distB="0" distL="0" distR="0" allowOverlap="1" layoutInCell="1" locked="0" behindDoc="1" simplePos="0" relativeHeight="487620096">
                <wp:simplePos x="0" y="0"/>
                <wp:positionH relativeFrom="page">
                  <wp:posOffset>629907</wp:posOffset>
                </wp:positionH>
                <wp:positionV relativeFrom="paragraph">
                  <wp:posOffset>110527</wp:posOffset>
                </wp:positionV>
                <wp:extent cx="1829435" cy="9525"/>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8.702969pt;width:144.020pt;height:.72pt;mso-position-horizontal-relative:page;mso-position-vertical-relative:paragraph;z-index:-15696384;mso-wrap-distance-left:0;mso-wrap-distance-right:0" id="docshape80" filled="true" fillcolor="#231f20" stroked="false">
                <v:fill type="solid"/>
                <w10:wrap type="topAndBottom"/>
              </v:rect>
            </w:pict>
          </mc:Fallback>
        </mc:AlternateContent>
      </w:r>
    </w:p>
    <w:p>
      <w:pPr>
        <w:spacing w:before="91"/>
        <w:ind w:left="111" w:right="106" w:firstLine="0"/>
        <w:jc w:val="both"/>
        <w:rPr>
          <w:i/>
          <w:sz w:val="20"/>
        </w:rPr>
      </w:pPr>
      <w:r>
        <w:rPr>
          <w:color w:val="231F20"/>
          <w:sz w:val="20"/>
          <w:vertAlign w:val="superscript"/>
        </w:rPr>
        <w:t>100</w:t>
      </w:r>
      <w:r>
        <w:rPr>
          <w:color w:val="231F20"/>
          <w:spacing w:val="-13"/>
          <w:sz w:val="20"/>
          <w:vertAlign w:val="baseline"/>
        </w:rPr>
        <w:t> </w:t>
      </w:r>
      <w:r>
        <w:rPr>
          <w:i/>
          <w:color w:val="231F20"/>
          <w:sz w:val="20"/>
          <w:vertAlign w:val="baseline"/>
        </w:rPr>
        <w:t>Sources, extraits</w:t>
      </w:r>
      <w:r>
        <w:rPr>
          <w:i/>
          <w:color w:val="231F20"/>
          <w:spacing w:val="-13"/>
          <w:sz w:val="20"/>
          <w:vertAlign w:val="baseline"/>
        </w:rPr>
        <w:t> </w:t>
      </w:r>
      <w:r>
        <w:rPr>
          <w:i/>
          <w:color w:val="231F20"/>
          <w:sz w:val="20"/>
          <w:vertAlign w:val="baseline"/>
        </w:rPr>
        <w:t>: Abdoulaye Diallo,</w:t>
      </w:r>
      <w:r>
        <w:rPr>
          <w:i/>
          <w:color w:val="231F20"/>
          <w:spacing w:val="-13"/>
          <w:sz w:val="20"/>
          <w:vertAlign w:val="baseline"/>
        </w:rPr>
        <w:t> </w:t>
      </w:r>
      <w:r>
        <w:rPr>
          <w:i/>
          <w:color w:val="231F20"/>
          <w:sz w:val="20"/>
          <w:vertAlign w:val="baseline"/>
        </w:rPr>
        <w:t>Sékou Touré et l’indépendance guinéenne</w:t>
      </w:r>
      <w:r>
        <w:rPr>
          <w:i/>
          <w:color w:val="231F20"/>
          <w:spacing w:val="-13"/>
          <w:sz w:val="20"/>
          <w:vertAlign w:val="baseline"/>
        </w:rPr>
        <w:t> </w:t>
      </w:r>
      <w:r>
        <w:rPr>
          <w:i/>
          <w:color w:val="231F20"/>
          <w:sz w:val="20"/>
          <w:vertAlign w:val="baseline"/>
        </w:rPr>
        <w:t>:</w:t>
      </w:r>
      <w:r>
        <w:rPr>
          <w:i/>
          <w:color w:val="231F20"/>
          <w:sz w:val="20"/>
          <w:vertAlign w:val="baseline"/>
        </w:rPr>
        <w:t> déconstruction d’un mythe et retour sur l’histoire,</w:t>
      </w:r>
      <w:r>
        <w:rPr>
          <w:i/>
          <w:color w:val="231F20"/>
          <w:spacing w:val="-13"/>
          <w:sz w:val="20"/>
          <w:vertAlign w:val="baseline"/>
        </w:rPr>
        <w:t> </w:t>
      </w:r>
      <w:r>
        <w:rPr>
          <w:i/>
          <w:color w:val="231F20"/>
          <w:sz w:val="20"/>
          <w:vertAlign w:val="baseline"/>
        </w:rPr>
        <w:t>Outre-Mers, 2008; Claude Wauthier,</w:t>
      </w:r>
      <w:r>
        <w:rPr>
          <w:i/>
          <w:color w:val="231F20"/>
          <w:spacing w:val="-13"/>
          <w:sz w:val="20"/>
          <w:vertAlign w:val="baseline"/>
        </w:rPr>
        <w:t> </w:t>
      </w:r>
      <w:r>
        <w:rPr>
          <w:i/>
          <w:color w:val="231F20"/>
          <w:sz w:val="20"/>
          <w:vertAlign w:val="baseline"/>
        </w:rPr>
        <w:t>Quatre</w:t>
      </w:r>
      <w:r>
        <w:rPr>
          <w:i/>
          <w:color w:val="231F20"/>
          <w:spacing w:val="-5"/>
          <w:sz w:val="20"/>
          <w:vertAlign w:val="baseline"/>
        </w:rPr>
        <w:t> </w:t>
      </w:r>
      <w:r>
        <w:rPr>
          <w:i/>
          <w:color w:val="231F20"/>
          <w:sz w:val="20"/>
          <w:vertAlign w:val="baseline"/>
        </w:rPr>
        <w:t>présidents et l’Afrique</w:t>
      </w:r>
      <w:r>
        <w:rPr>
          <w:i/>
          <w:color w:val="231F20"/>
          <w:spacing w:val="-13"/>
          <w:sz w:val="20"/>
          <w:vertAlign w:val="baseline"/>
        </w:rPr>
        <w:t> </w:t>
      </w:r>
      <w:r>
        <w:rPr>
          <w:i/>
          <w:color w:val="231F20"/>
          <w:sz w:val="20"/>
          <w:vertAlign w:val="baseline"/>
        </w:rPr>
        <w:t>: de Gaulle, Pompidou, Giscard d’Estaing, Mitterrand.</w:t>
      </w:r>
      <w:r>
        <w:rPr>
          <w:i/>
          <w:color w:val="231F20"/>
          <w:spacing w:val="-10"/>
          <w:sz w:val="20"/>
          <w:vertAlign w:val="baseline"/>
        </w:rPr>
        <w:t> </w:t>
      </w:r>
      <w:r>
        <w:rPr>
          <w:i/>
          <w:color w:val="231F20"/>
          <w:sz w:val="20"/>
          <w:vertAlign w:val="baseline"/>
        </w:rPr>
        <w:t>Quarante</w:t>
      </w:r>
      <w:r>
        <w:rPr>
          <w:i/>
          <w:color w:val="231F20"/>
          <w:spacing w:val="-10"/>
          <w:sz w:val="20"/>
          <w:vertAlign w:val="baseline"/>
        </w:rPr>
        <w:t> </w:t>
      </w:r>
      <w:r>
        <w:rPr>
          <w:i/>
          <w:color w:val="231F20"/>
          <w:sz w:val="20"/>
          <w:vertAlign w:val="baseline"/>
        </w:rPr>
        <w:t>ans</w:t>
      </w:r>
      <w:r>
        <w:rPr>
          <w:i/>
          <w:color w:val="231F20"/>
          <w:spacing w:val="-10"/>
          <w:sz w:val="20"/>
          <w:vertAlign w:val="baseline"/>
        </w:rPr>
        <w:t> </w:t>
      </w:r>
      <w:r>
        <w:rPr>
          <w:i/>
          <w:color w:val="231F20"/>
          <w:sz w:val="20"/>
          <w:vertAlign w:val="baseline"/>
        </w:rPr>
        <w:t>de</w:t>
      </w:r>
      <w:r>
        <w:rPr>
          <w:i/>
          <w:color w:val="231F20"/>
          <w:spacing w:val="-10"/>
          <w:sz w:val="20"/>
          <w:vertAlign w:val="baseline"/>
        </w:rPr>
        <w:t> </w:t>
      </w:r>
      <w:r>
        <w:rPr>
          <w:i/>
          <w:color w:val="231F20"/>
          <w:sz w:val="20"/>
          <w:vertAlign w:val="baseline"/>
        </w:rPr>
        <w:t>politique</w:t>
      </w:r>
      <w:r>
        <w:rPr>
          <w:i/>
          <w:color w:val="231F20"/>
          <w:spacing w:val="-10"/>
          <w:sz w:val="20"/>
          <w:vertAlign w:val="baseline"/>
        </w:rPr>
        <w:t> </w:t>
      </w:r>
      <w:r>
        <w:rPr>
          <w:i/>
          <w:color w:val="231F20"/>
          <w:sz w:val="20"/>
          <w:vertAlign w:val="baseline"/>
        </w:rPr>
        <w:t>africaine,</w:t>
      </w:r>
      <w:r>
        <w:rPr>
          <w:i/>
          <w:color w:val="231F20"/>
          <w:spacing w:val="-7"/>
          <w:sz w:val="20"/>
          <w:vertAlign w:val="baseline"/>
        </w:rPr>
        <w:t> </w:t>
      </w:r>
      <w:r>
        <w:rPr>
          <w:i/>
          <w:color w:val="231F20"/>
          <w:sz w:val="20"/>
          <w:vertAlign w:val="baseline"/>
        </w:rPr>
        <w:t>Paris,</w:t>
      </w:r>
      <w:r>
        <w:rPr>
          <w:i/>
          <w:color w:val="231F20"/>
          <w:spacing w:val="-8"/>
          <w:sz w:val="20"/>
          <w:vertAlign w:val="baseline"/>
        </w:rPr>
        <w:t> </w:t>
      </w:r>
      <w:r>
        <w:rPr>
          <w:i/>
          <w:color w:val="231F20"/>
          <w:sz w:val="20"/>
          <w:vertAlign w:val="baseline"/>
        </w:rPr>
        <w:t>Le</w:t>
      </w:r>
      <w:r>
        <w:rPr>
          <w:i/>
          <w:color w:val="231F20"/>
          <w:spacing w:val="-10"/>
          <w:sz w:val="20"/>
          <w:vertAlign w:val="baseline"/>
        </w:rPr>
        <w:t> </w:t>
      </w:r>
      <w:r>
        <w:rPr>
          <w:i/>
          <w:color w:val="231F20"/>
          <w:sz w:val="20"/>
          <w:vertAlign w:val="baseline"/>
        </w:rPr>
        <w:t>Seuil,</w:t>
      </w:r>
      <w:r>
        <w:rPr>
          <w:i/>
          <w:color w:val="231F20"/>
          <w:spacing w:val="-10"/>
          <w:sz w:val="20"/>
          <w:vertAlign w:val="baseline"/>
        </w:rPr>
        <w:t> </w:t>
      </w:r>
      <w:r>
        <w:rPr>
          <w:i/>
          <w:color w:val="231F20"/>
          <w:sz w:val="20"/>
          <w:vertAlign w:val="baseline"/>
        </w:rPr>
        <w:t>1995.</w:t>
      </w:r>
    </w:p>
    <w:p>
      <w:pPr>
        <w:spacing w:after="0"/>
        <w:jc w:val="both"/>
        <w:rPr>
          <w:sz w:val="20"/>
        </w:rPr>
        <w:sectPr>
          <w:pgSz w:w="8790" w:h="13610"/>
          <w:pgMar w:header="0" w:footer="802" w:top="1060" w:bottom="1000" w:left="880" w:right="880"/>
        </w:sectPr>
      </w:pPr>
    </w:p>
    <w:p>
      <w:pPr>
        <w:pStyle w:val="BodyText"/>
        <w:spacing w:before="66"/>
        <w:ind w:right="103"/>
      </w:pPr>
      <w:r>
        <w:rPr>
          <w:color w:val="231F20"/>
        </w:rPr>
        <w:t>massivement en faveur du non, rappelant que 60 ans auparavant, exactement</w:t>
      </w:r>
      <w:r>
        <w:rPr>
          <w:color w:val="231F20"/>
          <w:spacing w:val="-15"/>
        </w:rPr>
        <w:t> </w:t>
      </w:r>
      <w:r>
        <w:rPr>
          <w:color w:val="231F20"/>
        </w:rPr>
        <w:t>le</w:t>
      </w:r>
      <w:r>
        <w:rPr>
          <w:color w:val="231F20"/>
          <w:spacing w:val="-15"/>
        </w:rPr>
        <w:t> </w:t>
      </w:r>
      <w:r>
        <w:rPr>
          <w:color w:val="231F20"/>
        </w:rPr>
        <w:t>28</w:t>
      </w:r>
      <w:r>
        <w:rPr>
          <w:color w:val="231F20"/>
          <w:spacing w:val="-15"/>
        </w:rPr>
        <w:t> </w:t>
      </w:r>
      <w:r>
        <w:rPr>
          <w:color w:val="231F20"/>
        </w:rPr>
        <w:t>septembre</w:t>
      </w:r>
      <w:r>
        <w:rPr>
          <w:color w:val="231F20"/>
          <w:spacing w:val="-15"/>
        </w:rPr>
        <w:t> </w:t>
      </w:r>
      <w:r>
        <w:rPr>
          <w:color w:val="231F20"/>
        </w:rPr>
        <w:t>1898,</w:t>
      </w:r>
      <w:r>
        <w:rPr>
          <w:color w:val="231F20"/>
          <w:spacing w:val="-15"/>
        </w:rPr>
        <w:t> </w:t>
      </w:r>
      <w:r>
        <w:rPr>
          <w:color w:val="231F20"/>
        </w:rPr>
        <w:t>les</w:t>
      </w:r>
      <w:r>
        <w:rPr>
          <w:color w:val="231F20"/>
          <w:spacing w:val="-15"/>
        </w:rPr>
        <w:t> </w:t>
      </w:r>
      <w:r>
        <w:rPr>
          <w:color w:val="231F20"/>
        </w:rPr>
        <w:t>français</w:t>
      </w:r>
      <w:r>
        <w:rPr>
          <w:color w:val="231F20"/>
          <w:spacing w:val="-15"/>
        </w:rPr>
        <w:t> </w:t>
      </w:r>
      <w:r>
        <w:rPr>
          <w:color w:val="231F20"/>
        </w:rPr>
        <w:t>avaient</w:t>
      </w:r>
      <w:r>
        <w:rPr>
          <w:color w:val="231F20"/>
          <w:spacing w:val="-15"/>
        </w:rPr>
        <w:t> </w:t>
      </w:r>
      <w:r>
        <w:rPr>
          <w:color w:val="231F20"/>
        </w:rPr>
        <w:t>capturé</w:t>
      </w:r>
      <w:r>
        <w:rPr>
          <w:color w:val="231F20"/>
          <w:spacing w:val="-15"/>
        </w:rPr>
        <w:t> </w:t>
      </w:r>
      <w:r>
        <w:rPr>
          <w:color w:val="231F20"/>
        </w:rPr>
        <w:t>et</w:t>
      </w:r>
      <w:r>
        <w:rPr>
          <w:color w:val="231F20"/>
          <w:spacing w:val="-15"/>
        </w:rPr>
        <w:t> </w:t>
      </w:r>
      <w:r>
        <w:rPr>
          <w:color w:val="231F20"/>
        </w:rPr>
        <w:t>déporté le héros</w:t>
      </w:r>
      <w:r>
        <w:rPr>
          <w:color w:val="231F20"/>
          <w:spacing w:val="-1"/>
        </w:rPr>
        <w:t> </w:t>
      </w:r>
      <w:r>
        <w:rPr>
          <w:color w:val="231F20"/>
        </w:rPr>
        <w:t>légendaire</w:t>
      </w:r>
      <w:r>
        <w:rPr>
          <w:color w:val="231F20"/>
          <w:spacing w:val="-1"/>
        </w:rPr>
        <w:t> </w:t>
      </w:r>
      <w:r>
        <w:rPr>
          <w:color w:val="231F20"/>
        </w:rPr>
        <w:t>Samory Touré.</w:t>
      </w:r>
      <w:r>
        <w:rPr>
          <w:color w:val="231F20"/>
          <w:spacing w:val="-1"/>
        </w:rPr>
        <w:t> </w:t>
      </w:r>
      <w:r>
        <w:rPr>
          <w:color w:val="231F20"/>
        </w:rPr>
        <w:t>Ce “non”</w:t>
      </w:r>
      <w:r>
        <w:rPr>
          <w:color w:val="231F20"/>
          <w:spacing w:val="-2"/>
        </w:rPr>
        <w:t> </w:t>
      </w:r>
      <w:r>
        <w:rPr>
          <w:color w:val="231F20"/>
        </w:rPr>
        <w:t>guinéen résonne à</w:t>
      </w:r>
      <w:r>
        <w:rPr>
          <w:color w:val="231F20"/>
          <w:spacing w:val="-2"/>
        </w:rPr>
        <w:t> </w:t>
      </w:r>
      <w:r>
        <w:rPr>
          <w:color w:val="231F20"/>
        </w:rPr>
        <w:t>travers toute</w:t>
      </w:r>
      <w:r>
        <w:rPr>
          <w:color w:val="231F20"/>
          <w:spacing w:val="-13"/>
        </w:rPr>
        <w:t> </w:t>
      </w:r>
      <w:r>
        <w:rPr>
          <w:color w:val="231F20"/>
        </w:rPr>
        <w:t>l’Afrique</w:t>
      </w:r>
      <w:r>
        <w:rPr>
          <w:color w:val="231F20"/>
          <w:spacing w:val="-11"/>
        </w:rPr>
        <w:t> </w:t>
      </w:r>
      <w:r>
        <w:rPr>
          <w:color w:val="231F20"/>
        </w:rPr>
        <w:t>comme</w:t>
      </w:r>
      <w:r>
        <w:rPr>
          <w:color w:val="231F20"/>
          <w:spacing w:val="-11"/>
        </w:rPr>
        <w:t> </w:t>
      </w:r>
      <w:r>
        <w:rPr>
          <w:color w:val="231F20"/>
        </w:rPr>
        <w:t>un</w:t>
      </w:r>
      <w:r>
        <w:rPr>
          <w:color w:val="231F20"/>
          <w:spacing w:val="-10"/>
        </w:rPr>
        <w:t> </w:t>
      </w:r>
      <w:r>
        <w:rPr>
          <w:color w:val="231F20"/>
        </w:rPr>
        <w:t>cri</w:t>
      </w:r>
      <w:r>
        <w:rPr>
          <w:color w:val="231F20"/>
          <w:spacing w:val="-10"/>
        </w:rPr>
        <w:t> </w:t>
      </w:r>
      <w:r>
        <w:rPr>
          <w:color w:val="231F20"/>
        </w:rPr>
        <w:t>de</w:t>
      </w:r>
      <w:r>
        <w:rPr>
          <w:color w:val="231F20"/>
          <w:spacing w:val="-13"/>
        </w:rPr>
        <w:t> </w:t>
      </w:r>
      <w:r>
        <w:rPr>
          <w:color w:val="231F20"/>
        </w:rPr>
        <w:t>liberté</w:t>
      </w:r>
      <w:r>
        <w:rPr>
          <w:color w:val="231F20"/>
          <w:spacing w:val="-11"/>
        </w:rPr>
        <w:t> </w:t>
      </w:r>
      <w:r>
        <w:rPr>
          <w:color w:val="231F20"/>
        </w:rPr>
        <w:t>et</w:t>
      </w:r>
      <w:r>
        <w:rPr>
          <w:color w:val="231F20"/>
          <w:spacing w:val="-12"/>
        </w:rPr>
        <w:t> </w:t>
      </w:r>
      <w:r>
        <w:rPr>
          <w:color w:val="231F20"/>
        </w:rPr>
        <w:t>de</w:t>
      </w:r>
      <w:r>
        <w:rPr>
          <w:color w:val="231F20"/>
          <w:spacing w:val="-11"/>
        </w:rPr>
        <w:t> </w:t>
      </w:r>
      <w:r>
        <w:rPr>
          <w:color w:val="231F20"/>
        </w:rPr>
        <w:t>dignité</w:t>
      </w:r>
      <w:r>
        <w:rPr>
          <w:color w:val="231F20"/>
          <w:spacing w:val="-11"/>
        </w:rPr>
        <w:t> </w:t>
      </w:r>
      <w:r>
        <w:rPr>
          <w:color w:val="231F20"/>
        </w:rPr>
        <w:t>plein</w:t>
      </w:r>
      <w:r>
        <w:rPr>
          <w:color w:val="231F20"/>
          <w:spacing w:val="-10"/>
        </w:rPr>
        <w:t> </w:t>
      </w:r>
      <w:r>
        <w:rPr>
          <w:color w:val="231F20"/>
        </w:rPr>
        <w:t>d’espoir</w:t>
      </w:r>
      <w:r>
        <w:rPr>
          <w:color w:val="231F20"/>
          <w:spacing w:val="-13"/>
        </w:rPr>
        <w:t> </w:t>
      </w:r>
      <w:r>
        <w:rPr>
          <w:color w:val="231F20"/>
        </w:rPr>
        <w:t>pour </w:t>
      </w:r>
      <w:r>
        <w:rPr>
          <w:color w:val="231F20"/>
          <w:spacing w:val="-2"/>
        </w:rPr>
        <w:t>le</w:t>
      </w:r>
      <w:r>
        <w:rPr>
          <w:color w:val="231F20"/>
          <w:spacing w:val="-10"/>
        </w:rPr>
        <w:t> </w:t>
      </w:r>
      <w:r>
        <w:rPr>
          <w:color w:val="231F20"/>
          <w:spacing w:val="-2"/>
        </w:rPr>
        <w:t>continent.</w:t>
      </w:r>
      <w:r>
        <w:rPr>
          <w:color w:val="231F20"/>
          <w:spacing w:val="-10"/>
        </w:rPr>
        <w:t> </w:t>
      </w:r>
      <w:r>
        <w:rPr>
          <w:color w:val="231F20"/>
          <w:spacing w:val="-2"/>
        </w:rPr>
        <w:t>De</w:t>
      </w:r>
      <w:r>
        <w:rPr>
          <w:color w:val="231F20"/>
          <w:spacing w:val="-10"/>
        </w:rPr>
        <w:t> </w:t>
      </w:r>
      <w:r>
        <w:rPr>
          <w:color w:val="231F20"/>
          <w:spacing w:val="-2"/>
        </w:rPr>
        <w:t>nombreux</w:t>
      </w:r>
      <w:r>
        <w:rPr>
          <w:color w:val="231F20"/>
          <w:spacing w:val="-10"/>
        </w:rPr>
        <w:t> </w:t>
      </w:r>
      <w:r>
        <w:rPr>
          <w:color w:val="231F20"/>
          <w:spacing w:val="-2"/>
        </w:rPr>
        <w:t>syndicats</w:t>
      </w:r>
      <w:r>
        <w:rPr>
          <w:color w:val="231F20"/>
          <w:spacing w:val="-10"/>
        </w:rPr>
        <w:t> </w:t>
      </w:r>
      <w:r>
        <w:rPr>
          <w:color w:val="231F20"/>
          <w:spacing w:val="-2"/>
        </w:rPr>
        <w:t>et</w:t>
      </w:r>
      <w:r>
        <w:rPr>
          <w:color w:val="231F20"/>
          <w:spacing w:val="-9"/>
        </w:rPr>
        <w:t> </w:t>
      </w:r>
      <w:r>
        <w:rPr>
          <w:color w:val="231F20"/>
          <w:spacing w:val="-2"/>
        </w:rPr>
        <w:t>associations</w:t>
      </w:r>
      <w:r>
        <w:rPr>
          <w:color w:val="231F20"/>
          <w:spacing w:val="-10"/>
        </w:rPr>
        <w:t> </w:t>
      </w:r>
      <w:r>
        <w:rPr>
          <w:color w:val="231F20"/>
          <w:spacing w:val="-2"/>
        </w:rPr>
        <w:t>d’étudiants</w:t>
      </w:r>
      <w:r>
        <w:rPr>
          <w:color w:val="231F20"/>
          <w:spacing w:val="-10"/>
        </w:rPr>
        <w:t> </w:t>
      </w:r>
      <w:r>
        <w:rPr>
          <w:color w:val="231F20"/>
          <w:spacing w:val="-2"/>
        </w:rPr>
        <w:t>africains proclament</w:t>
      </w:r>
      <w:r>
        <w:rPr>
          <w:color w:val="231F20"/>
          <w:spacing w:val="-9"/>
        </w:rPr>
        <w:t> </w:t>
      </w:r>
      <w:r>
        <w:rPr>
          <w:color w:val="231F20"/>
          <w:spacing w:val="-2"/>
        </w:rPr>
        <w:t>leur</w:t>
      </w:r>
      <w:r>
        <w:rPr>
          <w:color w:val="231F20"/>
          <w:spacing w:val="-10"/>
        </w:rPr>
        <w:t> </w:t>
      </w:r>
      <w:r>
        <w:rPr>
          <w:color w:val="231F20"/>
          <w:spacing w:val="-2"/>
        </w:rPr>
        <w:t>soutien</w:t>
      </w:r>
      <w:r>
        <w:rPr>
          <w:color w:val="231F20"/>
          <w:spacing w:val="-9"/>
        </w:rPr>
        <w:t> </w:t>
      </w:r>
      <w:r>
        <w:rPr>
          <w:color w:val="231F20"/>
          <w:spacing w:val="-2"/>
        </w:rPr>
        <w:t>à</w:t>
      </w:r>
      <w:r>
        <w:rPr>
          <w:color w:val="231F20"/>
          <w:spacing w:val="-13"/>
        </w:rPr>
        <w:t> </w:t>
      </w:r>
      <w:r>
        <w:rPr>
          <w:color w:val="231F20"/>
          <w:spacing w:val="-2"/>
        </w:rPr>
        <w:t>la</w:t>
      </w:r>
      <w:r>
        <w:rPr>
          <w:color w:val="231F20"/>
          <w:spacing w:val="-8"/>
        </w:rPr>
        <w:t> </w:t>
      </w:r>
      <w:r>
        <w:rPr>
          <w:color w:val="231F20"/>
          <w:spacing w:val="-2"/>
        </w:rPr>
        <w:t>Guinée</w:t>
      </w:r>
      <w:r>
        <w:rPr>
          <w:color w:val="231F20"/>
          <w:spacing w:val="-10"/>
        </w:rPr>
        <w:t> </w:t>
      </w:r>
      <w:r>
        <w:rPr>
          <w:color w:val="231F20"/>
          <w:spacing w:val="-2"/>
        </w:rPr>
        <w:t>qui</w:t>
      </w:r>
      <w:r>
        <w:rPr>
          <w:color w:val="231F20"/>
          <w:spacing w:val="-9"/>
        </w:rPr>
        <w:t> </w:t>
      </w:r>
      <w:r>
        <w:rPr>
          <w:color w:val="231F20"/>
          <w:spacing w:val="-2"/>
        </w:rPr>
        <w:t>a</w:t>
      </w:r>
      <w:r>
        <w:rPr>
          <w:color w:val="231F20"/>
          <w:spacing w:val="-10"/>
        </w:rPr>
        <w:t> </w:t>
      </w:r>
      <w:r>
        <w:rPr>
          <w:color w:val="231F20"/>
          <w:spacing w:val="-2"/>
        </w:rPr>
        <w:t>“sauvé</w:t>
      </w:r>
      <w:r>
        <w:rPr>
          <w:color w:val="231F20"/>
          <w:spacing w:val="-10"/>
        </w:rPr>
        <w:t> </w:t>
      </w:r>
      <w:r>
        <w:rPr>
          <w:color w:val="231F20"/>
          <w:spacing w:val="-2"/>
        </w:rPr>
        <w:t>l’honneur</w:t>
      </w:r>
      <w:r>
        <w:rPr>
          <w:color w:val="231F20"/>
          <w:spacing w:val="-10"/>
        </w:rPr>
        <w:t> </w:t>
      </w:r>
      <w:r>
        <w:rPr>
          <w:color w:val="231F20"/>
          <w:spacing w:val="-2"/>
        </w:rPr>
        <w:t>de</w:t>
      </w:r>
      <w:r>
        <w:rPr>
          <w:color w:val="231F20"/>
          <w:spacing w:val="-10"/>
        </w:rPr>
        <w:t> </w:t>
      </w:r>
      <w:r>
        <w:rPr>
          <w:color w:val="231F20"/>
          <w:spacing w:val="-2"/>
        </w:rPr>
        <w:t>l’Afrique” </w:t>
      </w:r>
      <w:r>
        <w:rPr>
          <w:color w:val="231F20"/>
        </w:rPr>
        <w:t>et Sékou Touré est acclamé en héros.</w:t>
      </w:r>
    </w:p>
    <w:p>
      <w:pPr>
        <w:pStyle w:val="BodyText"/>
        <w:spacing w:before="120"/>
        <w:ind w:left="395"/>
      </w:pPr>
      <w:r>
        <w:rPr>
          <w:color w:val="231F20"/>
        </w:rPr>
        <w:t>Pour</w:t>
      </w:r>
      <w:r>
        <w:rPr>
          <w:color w:val="231F20"/>
          <w:spacing w:val="22"/>
        </w:rPr>
        <w:t> </w:t>
      </w:r>
      <w:r>
        <w:rPr>
          <w:color w:val="231F20"/>
        </w:rPr>
        <w:t>de</w:t>
      </w:r>
      <w:r>
        <w:rPr>
          <w:color w:val="231F20"/>
          <w:spacing w:val="23"/>
        </w:rPr>
        <w:t> </w:t>
      </w:r>
      <w:r>
        <w:rPr>
          <w:color w:val="231F20"/>
        </w:rPr>
        <w:t>Gaulle,</w:t>
      </w:r>
      <w:r>
        <w:rPr>
          <w:color w:val="231F20"/>
          <w:spacing w:val="24"/>
        </w:rPr>
        <w:t> </w:t>
      </w:r>
      <w:r>
        <w:rPr>
          <w:color w:val="231F20"/>
        </w:rPr>
        <w:t>c’est</w:t>
      </w:r>
      <w:r>
        <w:rPr>
          <w:color w:val="231F20"/>
          <w:spacing w:val="23"/>
        </w:rPr>
        <w:t> </w:t>
      </w:r>
      <w:r>
        <w:rPr>
          <w:color w:val="231F20"/>
        </w:rPr>
        <w:t>un</w:t>
      </w:r>
      <w:r>
        <w:rPr>
          <w:color w:val="231F20"/>
          <w:spacing w:val="23"/>
        </w:rPr>
        <w:t> </w:t>
      </w:r>
      <w:r>
        <w:rPr>
          <w:color w:val="231F20"/>
        </w:rPr>
        <w:t>affront.</w:t>
      </w:r>
      <w:r>
        <w:rPr>
          <w:color w:val="231F20"/>
          <w:spacing w:val="26"/>
        </w:rPr>
        <w:t> </w:t>
      </w:r>
      <w:r>
        <w:rPr>
          <w:color w:val="231F20"/>
        </w:rPr>
        <w:t>Il</w:t>
      </w:r>
      <w:r>
        <w:rPr>
          <w:color w:val="231F20"/>
          <w:spacing w:val="26"/>
        </w:rPr>
        <w:t> </w:t>
      </w:r>
      <w:r>
        <w:rPr>
          <w:color w:val="231F20"/>
        </w:rPr>
        <w:t>accorde</w:t>
      </w:r>
      <w:r>
        <w:rPr>
          <w:color w:val="231F20"/>
          <w:spacing w:val="22"/>
        </w:rPr>
        <w:t> </w:t>
      </w:r>
      <w:r>
        <w:rPr>
          <w:color w:val="231F20"/>
        </w:rPr>
        <w:t>aussitôt,</w:t>
      </w:r>
      <w:r>
        <w:rPr>
          <w:color w:val="231F20"/>
          <w:spacing w:val="22"/>
        </w:rPr>
        <w:t> </w:t>
      </w:r>
      <w:r>
        <w:rPr>
          <w:color w:val="231F20"/>
        </w:rPr>
        <w:t>le</w:t>
      </w:r>
      <w:r>
        <w:rPr>
          <w:color w:val="231F20"/>
          <w:spacing w:val="25"/>
        </w:rPr>
        <w:t> </w:t>
      </w:r>
      <w:r>
        <w:rPr>
          <w:color w:val="231F20"/>
        </w:rPr>
        <w:t>2</w:t>
      </w:r>
      <w:r>
        <w:rPr>
          <w:color w:val="231F20"/>
          <w:spacing w:val="23"/>
        </w:rPr>
        <w:t> </w:t>
      </w:r>
      <w:r>
        <w:rPr>
          <w:color w:val="231F20"/>
          <w:spacing w:val="-2"/>
        </w:rPr>
        <w:t>Octobre,</w:t>
      </w:r>
    </w:p>
    <w:p>
      <w:pPr>
        <w:pStyle w:val="BodyText"/>
        <w:spacing w:before="1"/>
      </w:pPr>
      <w:r>
        <w:rPr>
          <w:color w:val="231F20"/>
          <w:spacing w:val="-2"/>
        </w:rPr>
        <w:t>l’indépendance</w:t>
      </w:r>
      <w:r>
        <w:rPr>
          <w:color w:val="231F20"/>
          <w:spacing w:val="-11"/>
        </w:rPr>
        <w:t> </w:t>
      </w:r>
      <w:r>
        <w:rPr>
          <w:color w:val="231F20"/>
          <w:spacing w:val="-2"/>
        </w:rPr>
        <w:t>à</w:t>
      </w:r>
      <w:r>
        <w:rPr>
          <w:color w:val="231F20"/>
          <w:spacing w:val="-9"/>
        </w:rPr>
        <w:t> </w:t>
      </w:r>
      <w:r>
        <w:rPr>
          <w:color w:val="231F20"/>
          <w:spacing w:val="-2"/>
        </w:rPr>
        <w:t>la</w:t>
      </w:r>
      <w:r>
        <w:rPr>
          <w:color w:val="231F20"/>
          <w:spacing w:val="-12"/>
        </w:rPr>
        <w:t> </w:t>
      </w:r>
      <w:r>
        <w:rPr>
          <w:color w:val="231F20"/>
          <w:spacing w:val="-2"/>
        </w:rPr>
        <w:t>Guinée</w:t>
      </w:r>
      <w:r>
        <w:rPr>
          <w:color w:val="231F20"/>
          <w:spacing w:val="-8"/>
        </w:rPr>
        <w:t> </w:t>
      </w:r>
      <w:r>
        <w:rPr>
          <w:color w:val="231F20"/>
          <w:spacing w:val="-2"/>
        </w:rPr>
        <w:t>et</w:t>
      </w:r>
      <w:r>
        <w:rPr>
          <w:color w:val="231F20"/>
          <w:spacing w:val="-9"/>
        </w:rPr>
        <w:t> </w:t>
      </w:r>
      <w:r>
        <w:rPr>
          <w:color w:val="231F20"/>
          <w:spacing w:val="-2"/>
        </w:rPr>
        <w:t>rompt</w:t>
      </w:r>
      <w:r>
        <w:rPr>
          <w:color w:val="231F20"/>
          <w:spacing w:val="-11"/>
        </w:rPr>
        <w:t> </w:t>
      </w:r>
      <w:r>
        <w:rPr>
          <w:color w:val="231F20"/>
          <w:spacing w:val="-2"/>
        </w:rPr>
        <w:t>tout</w:t>
      </w:r>
      <w:r>
        <w:rPr>
          <w:color w:val="231F20"/>
          <w:spacing w:val="-7"/>
        </w:rPr>
        <w:t> </w:t>
      </w:r>
      <w:r>
        <w:rPr>
          <w:color w:val="231F20"/>
          <w:spacing w:val="-2"/>
        </w:rPr>
        <w:t>lien</w:t>
      </w:r>
      <w:r>
        <w:rPr>
          <w:color w:val="231F20"/>
          <w:spacing w:val="-9"/>
        </w:rPr>
        <w:t> </w:t>
      </w:r>
      <w:r>
        <w:rPr>
          <w:color w:val="231F20"/>
          <w:spacing w:val="-2"/>
        </w:rPr>
        <w:t>avec</w:t>
      </w:r>
      <w:r>
        <w:rPr>
          <w:color w:val="231F20"/>
          <w:spacing w:val="-11"/>
        </w:rPr>
        <w:t> </w:t>
      </w:r>
      <w:r>
        <w:rPr>
          <w:color w:val="231F20"/>
          <w:spacing w:val="-2"/>
        </w:rPr>
        <w:t>le</w:t>
      </w:r>
      <w:r>
        <w:rPr>
          <w:color w:val="231F20"/>
          <w:spacing w:val="-8"/>
        </w:rPr>
        <w:t> </w:t>
      </w:r>
      <w:r>
        <w:rPr>
          <w:color w:val="231F20"/>
          <w:spacing w:val="-2"/>
        </w:rPr>
        <w:t>pays.</w:t>
      </w:r>
    </w:p>
    <w:p>
      <w:pPr>
        <w:spacing w:before="120"/>
        <w:ind w:left="111" w:right="101" w:firstLine="283"/>
        <w:jc w:val="both"/>
        <w:rPr>
          <w:i/>
          <w:sz w:val="24"/>
        </w:rPr>
      </w:pPr>
      <w:r>
        <w:rPr>
          <w:color w:val="231F20"/>
          <w:spacing w:val="-2"/>
          <w:sz w:val="24"/>
        </w:rPr>
        <w:t>Du</w:t>
      </w:r>
      <w:r>
        <w:rPr>
          <w:color w:val="231F20"/>
          <w:spacing w:val="-15"/>
          <w:sz w:val="24"/>
        </w:rPr>
        <w:t> </w:t>
      </w:r>
      <w:r>
        <w:rPr>
          <w:color w:val="231F20"/>
          <w:spacing w:val="-2"/>
          <w:sz w:val="24"/>
        </w:rPr>
        <w:t>jour</w:t>
      </w:r>
      <w:r>
        <w:rPr>
          <w:color w:val="231F20"/>
          <w:spacing w:val="-13"/>
          <w:sz w:val="24"/>
        </w:rPr>
        <w:t> </w:t>
      </w:r>
      <w:r>
        <w:rPr>
          <w:color w:val="231F20"/>
          <w:spacing w:val="-2"/>
          <w:sz w:val="24"/>
        </w:rPr>
        <w:t>au</w:t>
      </w:r>
      <w:r>
        <w:rPr>
          <w:color w:val="231F20"/>
          <w:spacing w:val="-13"/>
          <w:sz w:val="24"/>
        </w:rPr>
        <w:t> </w:t>
      </w:r>
      <w:r>
        <w:rPr>
          <w:color w:val="231F20"/>
          <w:spacing w:val="-2"/>
          <w:sz w:val="24"/>
        </w:rPr>
        <w:t>lendemain,</w:t>
      </w:r>
      <w:r>
        <w:rPr>
          <w:color w:val="231F20"/>
          <w:spacing w:val="-13"/>
          <w:sz w:val="24"/>
        </w:rPr>
        <w:t> </w:t>
      </w:r>
      <w:r>
        <w:rPr>
          <w:color w:val="231F20"/>
          <w:spacing w:val="-2"/>
          <w:sz w:val="24"/>
        </w:rPr>
        <w:t>Sékou</w:t>
      </w:r>
      <w:r>
        <w:rPr>
          <w:color w:val="231F20"/>
          <w:spacing w:val="-13"/>
          <w:sz w:val="24"/>
        </w:rPr>
        <w:t> </w:t>
      </w:r>
      <w:r>
        <w:rPr>
          <w:color w:val="231F20"/>
          <w:spacing w:val="-2"/>
          <w:sz w:val="24"/>
        </w:rPr>
        <w:t>Touré</w:t>
      </w:r>
      <w:r>
        <w:rPr>
          <w:color w:val="231F20"/>
          <w:spacing w:val="-13"/>
          <w:sz w:val="24"/>
        </w:rPr>
        <w:t> </w:t>
      </w:r>
      <w:r>
        <w:rPr>
          <w:color w:val="231F20"/>
          <w:spacing w:val="-2"/>
          <w:sz w:val="24"/>
        </w:rPr>
        <w:t>se</w:t>
      </w:r>
      <w:r>
        <w:rPr>
          <w:color w:val="231F20"/>
          <w:spacing w:val="-13"/>
          <w:sz w:val="24"/>
        </w:rPr>
        <w:t> </w:t>
      </w:r>
      <w:r>
        <w:rPr>
          <w:color w:val="231F20"/>
          <w:spacing w:val="-2"/>
          <w:sz w:val="24"/>
        </w:rPr>
        <w:t>retrouve</w:t>
      </w:r>
      <w:r>
        <w:rPr>
          <w:color w:val="231F20"/>
          <w:spacing w:val="-13"/>
          <w:sz w:val="24"/>
        </w:rPr>
        <w:t> </w:t>
      </w:r>
      <w:r>
        <w:rPr>
          <w:color w:val="231F20"/>
          <w:spacing w:val="-2"/>
          <w:sz w:val="24"/>
        </w:rPr>
        <w:t>livré</w:t>
      </w:r>
      <w:r>
        <w:rPr>
          <w:color w:val="231F20"/>
          <w:spacing w:val="-13"/>
          <w:sz w:val="24"/>
        </w:rPr>
        <w:t> </w:t>
      </w:r>
      <w:r>
        <w:rPr>
          <w:color w:val="231F20"/>
          <w:spacing w:val="-2"/>
          <w:sz w:val="24"/>
        </w:rPr>
        <w:t>à</w:t>
      </w:r>
      <w:r>
        <w:rPr>
          <w:color w:val="231F20"/>
          <w:spacing w:val="-13"/>
          <w:sz w:val="24"/>
        </w:rPr>
        <w:t> </w:t>
      </w:r>
      <w:r>
        <w:rPr>
          <w:color w:val="231F20"/>
          <w:spacing w:val="-2"/>
          <w:sz w:val="24"/>
        </w:rPr>
        <w:t>lui-même</w:t>
      </w:r>
      <w:r>
        <w:rPr>
          <w:color w:val="231F20"/>
          <w:spacing w:val="-13"/>
          <w:sz w:val="24"/>
        </w:rPr>
        <w:t> </w:t>
      </w:r>
      <w:r>
        <w:rPr>
          <w:color w:val="231F20"/>
          <w:spacing w:val="-2"/>
          <w:sz w:val="24"/>
        </w:rPr>
        <w:t>:</w:t>
      </w:r>
      <w:r>
        <w:rPr>
          <w:color w:val="231F20"/>
          <w:spacing w:val="-13"/>
          <w:sz w:val="24"/>
        </w:rPr>
        <w:t> </w:t>
      </w:r>
      <w:r>
        <w:rPr>
          <w:color w:val="231F20"/>
          <w:spacing w:val="-2"/>
          <w:sz w:val="24"/>
        </w:rPr>
        <w:t>tous </w:t>
      </w:r>
      <w:r>
        <w:rPr>
          <w:color w:val="231F20"/>
          <w:sz w:val="24"/>
        </w:rPr>
        <w:t>les leviers de commande de l’Administration étaient aux mains des Français. Comme si cela ne suffisait pas, la France encourage des </w:t>
      </w:r>
      <w:r>
        <w:rPr>
          <w:color w:val="231F20"/>
          <w:spacing w:val="-2"/>
          <w:sz w:val="24"/>
        </w:rPr>
        <w:t>oppositions</w:t>
      </w:r>
      <w:r>
        <w:rPr>
          <w:color w:val="231F20"/>
          <w:spacing w:val="-11"/>
          <w:sz w:val="24"/>
        </w:rPr>
        <w:t> </w:t>
      </w:r>
      <w:r>
        <w:rPr>
          <w:color w:val="231F20"/>
          <w:spacing w:val="-2"/>
          <w:sz w:val="24"/>
        </w:rPr>
        <w:t>au</w:t>
      </w:r>
      <w:r>
        <w:rPr>
          <w:color w:val="231F20"/>
          <w:spacing w:val="-13"/>
          <w:sz w:val="24"/>
        </w:rPr>
        <w:t> </w:t>
      </w:r>
      <w:r>
        <w:rPr>
          <w:color w:val="231F20"/>
          <w:spacing w:val="-2"/>
          <w:sz w:val="24"/>
        </w:rPr>
        <w:t>leader</w:t>
      </w:r>
      <w:r>
        <w:rPr>
          <w:color w:val="231F20"/>
          <w:spacing w:val="-12"/>
          <w:sz w:val="24"/>
        </w:rPr>
        <w:t> </w:t>
      </w:r>
      <w:r>
        <w:rPr>
          <w:color w:val="231F20"/>
          <w:spacing w:val="-2"/>
          <w:sz w:val="24"/>
        </w:rPr>
        <w:t>guinéen</w:t>
      </w:r>
      <w:r>
        <w:rPr>
          <w:color w:val="231F20"/>
          <w:spacing w:val="-11"/>
          <w:sz w:val="24"/>
        </w:rPr>
        <w:t> </w:t>
      </w:r>
      <w:r>
        <w:rPr>
          <w:color w:val="231F20"/>
          <w:spacing w:val="-2"/>
          <w:sz w:val="24"/>
        </w:rPr>
        <w:t>:</w:t>
      </w:r>
      <w:r>
        <w:rPr>
          <w:color w:val="231F20"/>
          <w:spacing w:val="-12"/>
          <w:sz w:val="24"/>
        </w:rPr>
        <w:t> </w:t>
      </w:r>
      <w:r>
        <w:rPr>
          <w:i/>
          <w:color w:val="231F20"/>
          <w:spacing w:val="-2"/>
          <w:sz w:val="24"/>
        </w:rPr>
        <w:t>«</w:t>
      </w:r>
      <w:r>
        <w:rPr>
          <w:i/>
          <w:color w:val="231F20"/>
          <w:spacing w:val="-13"/>
          <w:sz w:val="24"/>
        </w:rPr>
        <w:t> </w:t>
      </w:r>
      <w:r>
        <w:rPr>
          <w:i/>
          <w:color w:val="231F20"/>
          <w:spacing w:val="-2"/>
          <w:sz w:val="24"/>
        </w:rPr>
        <w:t>Nous</w:t>
      </w:r>
      <w:r>
        <w:rPr>
          <w:i/>
          <w:color w:val="231F20"/>
          <w:spacing w:val="-12"/>
          <w:sz w:val="24"/>
        </w:rPr>
        <w:t> </w:t>
      </w:r>
      <w:r>
        <w:rPr>
          <w:i/>
          <w:color w:val="231F20"/>
          <w:spacing w:val="-2"/>
          <w:sz w:val="24"/>
        </w:rPr>
        <w:t>devions</w:t>
      </w:r>
      <w:r>
        <w:rPr>
          <w:i/>
          <w:color w:val="231F20"/>
          <w:spacing w:val="-13"/>
          <w:sz w:val="24"/>
        </w:rPr>
        <w:t> </w:t>
      </w:r>
      <w:r>
        <w:rPr>
          <w:i/>
          <w:color w:val="231F20"/>
          <w:spacing w:val="-2"/>
          <w:sz w:val="24"/>
        </w:rPr>
        <w:t>déstabiliser</w:t>
      </w:r>
      <w:r>
        <w:rPr>
          <w:i/>
          <w:color w:val="231F20"/>
          <w:spacing w:val="-13"/>
          <w:sz w:val="24"/>
        </w:rPr>
        <w:t> </w:t>
      </w:r>
      <w:r>
        <w:rPr>
          <w:i/>
          <w:color w:val="231F20"/>
          <w:spacing w:val="-2"/>
          <w:sz w:val="24"/>
        </w:rPr>
        <w:t>Sékou</w:t>
      </w:r>
      <w:r>
        <w:rPr>
          <w:i/>
          <w:color w:val="231F20"/>
          <w:spacing w:val="-13"/>
          <w:sz w:val="24"/>
        </w:rPr>
        <w:t> </w:t>
      </w:r>
      <w:r>
        <w:rPr>
          <w:i/>
          <w:color w:val="231F20"/>
          <w:spacing w:val="-2"/>
          <w:sz w:val="24"/>
        </w:rPr>
        <w:t>Touré,</w:t>
      </w:r>
      <w:r>
        <w:rPr>
          <w:i/>
          <w:color w:val="231F20"/>
          <w:spacing w:val="-2"/>
          <w:sz w:val="24"/>
        </w:rPr>
        <w:t> </w:t>
      </w:r>
      <w:r>
        <w:rPr>
          <w:i/>
          <w:color w:val="231F20"/>
          <w:sz w:val="24"/>
        </w:rPr>
        <w:t>le rendre vulnérable, impopulaire et faciliter la prise du pouvoir par </w:t>
      </w:r>
      <w:r>
        <w:rPr>
          <w:i/>
          <w:color w:val="231F20"/>
          <w:spacing w:val="-2"/>
          <w:sz w:val="24"/>
        </w:rPr>
        <w:t>l’opposition.</w:t>
      </w:r>
      <w:r>
        <w:rPr>
          <w:i/>
          <w:color w:val="231F20"/>
          <w:spacing w:val="-15"/>
          <w:sz w:val="24"/>
        </w:rPr>
        <w:t> </w:t>
      </w:r>
      <w:r>
        <w:rPr>
          <w:i/>
          <w:color w:val="231F20"/>
          <w:spacing w:val="-2"/>
          <w:sz w:val="24"/>
        </w:rPr>
        <w:t>(…)</w:t>
      </w:r>
      <w:r>
        <w:rPr>
          <w:i/>
          <w:color w:val="231F20"/>
          <w:spacing w:val="-13"/>
          <w:sz w:val="24"/>
        </w:rPr>
        <w:t> </w:t>
      </w:r>
      <w:r>
        <w:rPr>
          <w:i/>
          <w:color w:val="231F20"/>
          <w:spacing w:val="-2"/>
          <w:sz w:val="24"/>
        </w:rPr>
        <w:t>Avec</w:t>
      </w:r>
      <w:r>
        <w:rPr>
          <w:i/>
          <w:color w:val="231F20"/>
          <w:spacing w:val="-13"/>
          <w:sz w:val="24"/>
        </w:rPr>
        <w:t> </w:t>
      </w:r>
      <w:r>
        <w:rPr>
          <w:i/>
          <w:color w:val="231F20"/>
          <w:spacing w:val="-2"/>
          <w:sz w:val="24"/>
        </w:rPr>
        <w:t>l’aide</w:t>
      </w:r>
      <w:r>
        <w:rPr>
          <w:i/>
          <w:color w:val="231F20"/>
          <w:spacing w:val="-13"/>
          <w:sz w:val="24"/>
        </w:rPr>
        <w:t> </w:t>
      </w:r>
      <w:r>
        <w:rPr>
          <w:i/>
          <w:color w:val="231F20"/>
          <w:spacing w:val="-2"/>
          <w:sz w:val="24"/>
        </w:rPr>
        <w:t>d’exilés</w:t>
      </w:r>
      <w:r>
        <w:rPr>
          <w:i/>
          <w:color w:val="231F20"/>
          <w:spacing w:val="-13"/>
          <w:sz w:val="24"/>
        </w:rPr>
        <w:t> </w:t>
      </w:r>
      <w:r>
        <w:rPr>
          <w:i/>
          <w:color w:val="231F20"/>
          <w:spacing w:val="-2"/>
          <w:sz w:val="24"/>
        </w:rPr>
        <w:t>guinéens</w:t>
      </w:r>
      <w:r>
        <w:rPr>
          <w:i/>
          <w:color w:val="231F20"/>
          <w:spacing w:val="-13"/>
          <w:sz w:val="24"/>
        </w:rPr>
        <w:t> </w:t>
      </w:r>
      <w:r>
        <w:rPr>
          <w:i/>
          <w:color w:val="231F20"/>
          <w:spacing w:val="-2"/>
          <w:sz w:val="24"/>
        </w:rPr>
        <w:t>réfugiés</w:t>
      </w:r>
      <w:r>
        <w:rPr>
          <w:i/>
          <w:color w:val="231F20"/>
          <w:spacing w:val="-13"/>
          <w:sz w:val="24"/>
        </w:rPr>
        <w:t> </w:t>
      </w:r>
      <w:r>
        <w:rPr>
          <w:i/>
          <w:color w:val="231F20"/>
          <w:spacing w:val="-2"/>
          <w:sz w:val="24"/>
        </w:rPr>
        <w:t>au</w:t>
      </w:r>
      <w:r>
        <w:rPr>
          <w:i/>
          <w:color w:val="231F20"/>
          <w:spacing w:val="-13"/>
          <w:sz w:val="24"/>
        </w:rPr>
        <w:t> </w:t>
      </w:r>
      <w:r>
        <w:rPr>
          <w:i/>
          <w:color w:val="231F20"/>
          <w:spacing w:val="-2"/>
          <w:sz w:val="24"/>
        </w:rPr>
        <w:t>Sénégal,</w:t>
      </w:r>
      <w:r>
        <w:rPr>
          <w:i/>
          <w:color w:val="231F20"/>
          <w:spacing w:val="-13"/>
          <w:sz w:val="24"/>
        </w:rPr>
        <w:t> </w:t>
      </w:r>
      <w:r>
        <w:rPr>
          <w:i/>
          <w:color w:val="231F20"/>
          <w:spacing w:val="-2"/>
          <w:sz w:val="24"/>
        </w:rPr>
        <w:t>nous </w:t>
      </w:r>
      <w:r>
        <w:rPr>
          <w:i/>
          <w:color w:val="231F20"/>
          <w:sz w:val="24"/>
        </w:rPr>
        <w:t>avons aussi organisé des maquis d’opposition dans le</w:t>
      </w:r>
      <w:r>
        <w:rPr>
          <w:i/>
          <w:color w:val="231F20"/>
          <w:spacing w:val="-15"/>
          <w:sz w:val="24"/>
        </w:rPr>
        <w:t> </w:t>
      </w:r>
      <w:r>
        <w:rPr>
          <w:i/>
          <w:color w:val="231F20"/>
          <w:sz w:val="24"/>
        </w:rPr>
        <w:t>Fouta-Djalon. L’encadrement était assuré par des experts français en opérations clandestines.</w:t>
      </w:r>
      <w:r>
        <w:rPr>
          <w:i/>
          <w:color w:val="231F20"/>
          <w:spacing w:val="-13"/>
          <w:sz w:val="24"/>
        </w:rPr>
        <w:t> </w:t>
      </w:r>
      <w:r>
        <w:rPr>
          <w:i/>
          <w:color w:val="231F20"/>
          <w:sz w:val="24"/>
        </w:rPr>
        <w:t>Nous</w:t>
      </w:r>
      <w:r>
        <w:rPr>
          <w:i/>
          <w:color w:val="231F20"/>
          <w:spacing w:val="-13"/>
          <w:sz w:val="24"/>
        </w:rPr>
        <w:t> </w:t>
      </w:r>
      <w:r>
        <w:rPr>
          <w:i/>
          <w:color w:val="231F20"/>
          <w:sz w:val="24"/>
        </w:rPr>
        <w:t>avons</w:t>
      </w:r>
      <w:r>
        <w:rPr>
          <w:i/>
          <w:color w:val="231F20"/>
          <w:spacing w:val="-15"/>
          <w:sz w:val="24"/>
        </w:rPr>
        <w:t> </w:t>
      </w:r>
      <w:r>
        <w:rPr>
          <w:i/>
          <w:color w:val="231F20"/>
          <w:sz w:val="24"/>
        </w:rPr>
        <w:t>armé</w:t>
      </w:r>
      <w:r>
        <w:rPr>
          <w:i/>
          <w:color w:val="231F20"/>
          <w:spacing w:val="-13"/>
          <w:sz w:val="24"/>
        </w:rPr>
        <w:t> </w:t>
      </w:r>
      <w:r>
        <w:rPr>
          <w:i/>
          <w:color w:val="231F20"/>
          <w:sz w:val="24"/>
        </w:rPr>
        <w:t>et</w:t>
      </w:r>
      <w:r>
        <w:rPr>
          <w:i/>
          <w:color w:val="231F20"/>
          <w:spacing w:val="-13"/>
          <w:sz w:val="24"/>
        </w:rPr>
        <w:t> </w:t>
      </w:r>
      <w:r>
        <w:rPr>
          <w:i/>
          <w:color w:val="231F20"/>
          <w:sz w:val="24"/>
        </w:rPr>
        <w:t>entraîné</w:t>
      </w:r>
      <w:r>
        <w:rPr>
          <w:i/>
          <w:color w:val="231F20"/>
          <w:spacing w:val="-13"/>
          <w:sz w:val="24"/>
        </w:rPr>
        <w:t> </w:t>
      </w:r>
      <w:r>
        <w:rPr>
          <w:i/>
          <w:color w:val="231F20"/>
          <w:sz w:val="24"/>
        </w:rPr>
        <w:t>ces</w:t>
      </w:r>
      <w:r>
        <w:rPr>
          <w:i/>
          <w:color w:val="231F20"/>
          <w:spacing w:val="-13"/>
          <w:sz w:val="24"/>
        </w:rPr>
        <w:t> </w:t>
      </w:r>
      <w:r>
        <w:rPr>
          <w:i/>
          <w:color w:val="231F20"/>
          <w:sz w:val="24"/>
        </w:rPr>
        <w:t>opposants</w:t>
      </w:r>
      <w:r>
        <w:rPr>
          <w:i/>
          <w:color w:val="231F20"/>
          <w:spacing w:val="-13"/>
          <w:sz w:val="24"/>
        </w:rPr>
        <w:t> </w:t>
      </w:r>
      <w:r>
        <w:rPr>
          <w:i/>
          <w:color w:val="231F20"/>
          <w:sz w:val="24"/>
        </w:rPr>
        <w:t>guinéens</w:t>
      </w:r>
      <w:r>
        <w:rPr>
          <w:i/>
          <w:color w:val="231F20"/>
          <w:spacing w:val="-13"/>
          <w:sz w:val="24"/>
        </w:rPr>
        <w:t> </w:t>
      </w:r>
      <w:r>
        <w:rPr>
          <w:i/>
          <w:color w:val="231F20"/>
          <w:sz w:val="24"/>
        </w:rPr>
        <w:t>pour </w:t>
      </w:r>
      <w:r>
        <w:rPr>
          <w:i/>
          <w:color w:val="231F20"/>
          <w:spacing w:val="-2"/>
          <w:sz w:val="24"/>
        </w:rPr>
        <w:t>qu’ils</w:t>
      </w:r>
      <w:r>
        <w:rPr>
          <w:i/>
          <w:color w:val="231F20"/>
          <w:spacing w:val="-9"/>
          <w:sz w:val="24"/>
        </w:rPr>
        <w:t> </w:t>
      </w:r>
      <w:r>
        <w:rPr>
          <w:i/>
          <w:color w:val="231F20"/>
          <w:spacing w:val="-2"/>
          <w:sz w:val="24"/>
        </w:rPr>
        <w:t>développent</w:t>
      </w:r>
      <w:r>
        <w:rPr>
          <w:i/>
          <w:color w:val="231F20"/>
          <w:spacing w:val="-11"/>
          <w:sz w:val="24"/>
        </w:rPr>
        <w:t> </w:t>
      </w:r>
      <w:r>
        <w:rPr>
          <w:i/>
          <w:color w:val="231F20"/>
          <w:spacing w:val="-2"/>
          <w:sz w:val="24"/>
        </w:rPr>
        <w:t>un</w:t>
      </w:r>
      <w:r>
        <w:rPr>
          <w:i/>
          <w:color w:val="231F20"/>
          <w:spacing w:val="-9"/>
          <w:sz w:val="24"/>
        </w:rPr>
        <w:t> </w:t>
      </w:r>
      <w:r>
        <w:rPr>
          <w:i/>
          <w:color w:val="231F20"/>
          <w:spacing w:val="-2"/>
          <w:sz w:val="24"/>
        </w:rPr>
        <w:t>climat</w:t>
      </w:r>
      <w:r>
        <w:rPr>
          <w:i/>
          <w:color w:val="231F20"/>
          <w:spacing w:val="-8"/>
          <w:sz w:val="24"/>
        </w:rPr>
        <w:t> </w:t>
      </w:r>
      <w:r>
        <w:rPr>
          <w:i/>
          <w:color w:val="231F20"/>
          <w:spacing w:val="-2"/>
          <w:sz w:val="24"/>
        </w:rPr>
        <w:t>d’insécurité</w:t>
      </w:r>
      <w:r>
        <w:rPr>
          <w:i/>
          <w:color w:val="231F20"/>
          <w:spacing w:val="-10"/>
          <w:sz w:val="24"/>
        </w:rPr>
        <w:t> </w:t>
      </w:r>
      <w:r>
        <w:rPr>
          <w:i/>
          <w:color w:val="231F20"/>
          <w:spacing w:val="-2"/>
          <w:sz w:val="24"/>
        </w:rPr>
        <w:t>en</w:t>
      </w:r>
      <w:r>
        <w:rPr>
          <w:i/>
          <w:color w:val="231F20"/>
          <w:spacing w:val="-9"/>
          <w:sz w:val="24"/>
        </w:rPr>
        <w:t> </w:t>
      </w:r>
      <w:r>
        <w:rPr>
          <w:i/>
          <w:color w:val="231F20"/>
          <w:spacing w:val="-2"/>
          <w:sz w:val="24"/>
        </w:rPr>
        <w:t>Guinée</w:t>
      </w:r>
      <w:r>
        <w:rPr>
          <w:i/>
          <w:color w:val="231F20"/>
          <w:spacing w:val="-10"/>
          <w:sz w:val="24"/>
        </w:rPr>
        <w:t> </w:t>
      </w:r>
      <w:r>
        <w:rPr>
          <w:i/>
          <w:color w:val="231F20"/>
          <w:spacing w:val="-2"/>
          <w:sz w:val="24"/>
        </w:rPr>
        <w:t>et,</w:t>
      </w:r>
      <w:r>
        <w:rPr>
          <w:i/>
          <w:color w:val="231F20"/>
          <w:spacing w:val="-9"/>
          <w:sz w:val="24"/>
        </w:rPr>
        <w:t> </w:t>
      </w:r>
      <w:r>
        <w:rPr>
          <w:i/>
          <w:color w:val="231F20"/>
          <w:spacing w:val="-2"/>
          <w:sz w:val="24"/>
        </w:rPr>
        <w:t>si</w:t>
      </w:r>
      <w:r>
        <w:rPr>
          <w:i/>
          <w:color w:val="231F20"/>
          <w:spacing w:val="-11"/>
          <w:sz w:val="24"/>
        </w:rPr>
        <w:t> </w:t>
      </w:r>
      <w:r>
        <w:rPr>
          <w:i/>
          <w:color w:val="231F20"/>
          <w:spacing w:val="-2"/>
          <w:sz w:val="24"/>
        </w:rPr>
        <w:t>possible,</w:t>
      </w:r>
      <w:r>
        <w:rPr>
          <w:i/>
          <w:color w:val="231F20"/>
          <w:spacing w:val="-8"/>
          <w:sz w:val="24"/>
        </w:rPr>
        <w:t> </w:t>
      </w:r>
      <w:r>
        <w:rPr>
          <w:i/>
          <w:color w:val="231F20"/>
          <w:spacing w:val="-2"/>
          <w:sz w:val="24"/>
        </w:rPr>
        <w:t>qu’ils </w:t>
      </w:r>
      <w:r>
        <w:rPr>
          <w:i/>
          <w:color w:val="231F20"/>
          <w:sz w:val="24"/>
        </w:rPr>
        <w:t>renversent Sékou Touré</w:t>
      </w:r>
      <w:r>
        <w:rPr>
          <w:color w:val="231F20"/>
          <w:sz w:val="24"/>
          <w:vertAlign w:val="superscript"/>
        </w:rPr>
        <w:t>102</w:t>
      </w:r>
      <w:r>
        <w:rPr>
          <w:i/>
          <w:color w:val="231F20"/>
          <w:sz w:val="24"/>
          <w:vertAlign w:val="baseline"/>
        </w:rPr>
        <w:t>.» </w:t>
      </w:r>
    </w:p>
    <w:p>
      <w:pPr>
        <w:spacing w:before="120"/>
        <w:ind w:left="111" w:right="104" w:firstLine="283"/>
        <w:jc w:val="both"/>
        <w:rPr>
          <w:i/>
          <w:sz w:val="24"/>
        </w:rPr>
      </w:pPr>
      <w:r>
        <w:rPr>
          <w:color w:val="231F20"/>
          <w:spacing w:val="-2"/>
          <w:sz w:val="24"/>
        </w:rPr>
        <w:t>Dans</w:t>
      </w:r>
      <w:r>
        <w:rPr>
          <w:color w:val="231F20"/>
          <w:spacing w:val="-15"/>
          <w:sz w:val="24"/>
        </w:rPr>
        <w:t> </w:t>
      </w:r>
      <w:r>
        <w:rPr>
          <w:color w:val="231F20"/>
          <w:spacing w:val="-2"/>
          <w:sz w:val="24"/>
        </w:rPr>
        <w:t>son</w:t>
      </w:r>
      <w:r>
        <w:rPr>
          <w:color w:val="231F20"/>
          <w:spacing w:val="-13"/>
          <w:sz w:val="24"/>
        </w:rPr>
        <w:t> </w:t>
      </w:r>
      <w:r>
        <w:rPr>
          <w:color w:val="231F20"/>
          <w:spacing w:val="-2"/>
          <w:sz w:val="24"/>
        </w:rPr>
        <w:t>adresse</w:t>
      </w:r>
      <w:r>
        <w:rPr>
          <w:color w:val="231F20"/>
          <w:spacing w:val="-13"/>
          <w:sz w:val="24"/>
        </w:rPr>
        <w:t> </w:t>
      </w:r>
      <w:r>
        <w:rPr>
          <w:color w:val="231F20"/>
          <w:spacing w:val="-2"/>
          <w:sz w:val="24"/>
        </w:rPr>
        <w:t>à</w:t>
      </w:r>
      <w:r>
        <w:rPr>
          <w:color w:val="231F20"/>
          <w:spacing w:val="-13"/>
          <w:sz w:val="24"/>
        </w:rPr>
        <w:t> </w:t>
      </w:r>
      <w:r>
        <w:rPr>
          <w:color w:val="231F20"/>
          <w:spacing w:val="-2"/>
          <w:sz w:val="24"/>
        </w:rPr>
        <w:t>de</w:t>
      </w:r>
      <w:r>
        <w:rPr>
          <w:color w:val="231F20"/>
          <w:spacing w:val="-13"/>
          <w:sz w:val="24"/>
        </w:rPr>
        <w:t> </w:t>
      </w:r>
      <w:r>
        <w:rPr>
          <w:color w:val="231F20"/>
          <w:spacing w:val="-2"/>
          <w:sz w:val="24"/>
        </w:rPr>
        <w:t>Gaulle,</w:t>
      </w:r>
      <w:r>
        <w:rPr>
          <w:color w:val="231F20"/>
          <w:spacing w:val="-13"/>
          <w:sz w:val="24"/>
        </w:rPr>
        <w:t> </w:t>
      </w:r>
      <w:r>
        <w:rPr>
          <w:color w:val="231F20"/>
          <w:spacing w:val="-2"/>
          <w:sz w:val="24"/>
        </w:rPr>
        <w:t>le</w:t>
      </w:r>
      <w:r>
        <w:rPr>
          <w:color w:val="231F20"/>
          <w:spacing w:val="-13"/>
          <w:sz w:val="24"/>
        </w:rPr>
        <w:t> </w:t>
      </w:r>
      <w:r>
        <w:rPr>
          <w:color w:val="231F20"/>
          <w:spacing w:val="-2"/>
          <w:sz w:val="24"/>
        </w:rPr>
        <w:t>leader</w:t>
      </w:r>
      <w:r>
        <w:rPr>
          <w:color w:val="231F20"/>
          <w:spacing w:val="-13"/>
          <w:sz w:val="24"/>
        </w:rPr>
        <w:t> </w:t>
      </w:r>
      <w:r>
        <w:rPr>
          <w:color w:val="231F20"/>
          <w:spacing w:val="-2"/>
          <w:sz w:val="24"/>
        </w:rPr>
        <w:t>guinéen</w:t>
      </w:r>
      <w:r>
        <w:rPr>
          <w:color w:val="231F20"/>
          <w:spacing w:val="-13"/>
          <w:sz w:val="24"/>
        </w:rPr>
        <w:t> </w:t>
      </w:r>
      <w:r>
        <w:rPr>
          <w:color w:val="231F20"/>
          <w:spacing w:val="-2"/>
          <w:sz w:val="24"/>
        </w:rPr>
        <w:t>avait</w:t>
      </w:r>
      <w:r>
        <w:rPr>
          <w:color w:val="231F20"/>
          <w:spacing w:val="-13"/>
          <w:sz w:val="24"/>
        </w:rPr>
        <w:t> </w:t>
      </w:r>
      <w:r>
        <w:rPr>
          <w:color w:val="231F20"/>
          <w:spacing w:val="-2"/>
          <w:sz w:val="24"/>
        </w:rPr>
        <w:t>souligné</w:t>
      </w:r>
      <w:r>
        <w:rPr>
          <w:color w:val="231F20"/>
          <w:spacing w:val="-13"/>
          <w:sz w:val="24"/>
        </w:rPr>
        <w:t> </w:t>
      </w:r>
      <w:r>
        <w:rPr>
          <w:color w:val="231F20"/>
          <w:spacing w:val="-2"/>
          <w:sz w:val="24"/>
        </w:rPr>
        <w:t>que</w:t>
      </w:r>
      <w:r>
        <w:rPr>
          <w:color w:val="231F20"/>
          <w:spacing w:val="-13"/>
          <w:sz w:val="24"/>
        </w:rPr>
        <w:t> </w:t>
      </w:r>
      <w:r>
        <w:rPr>
          <w:color w:val="231F20"/>
          <w:spacing w:val="-2"/>
          <w:sz w:val="24"/>
        </w:rPr>
        <w:t>l'un </w:t>
      </w:r>
      <w:r>
        <w:rPr>
          <w:color w:val="231F20"/>
          <w:sz w:val="24"/>
        </w:rPr>
        <w:t>des</w:t>
      </w:r>
      <w:r>
        <w:rPr>
          <w:color w:val="231F20"/>
          <w:spacing w:val="-13"/>
          <w:sz w:val="24"/>
        </w:rPr>
        <w:t> </w:t>
      </w:r>
      <w:r>
        <w:rPr>
          <w:i/>
          <w:color w:val="231F20"/>
          <w:sz w:val="24"/>
        </w:rPr>
        <w:t>attributs</w:t>
      </w:r>
      <w:r>
        <w:rPr>
          <w:i/>
          <w:color w:val="231F20"/>
          <w:spacing w:val="-15"/>
          <w:sz w:val="24"/>
        </w:rPr>
        <w:t> </w:t>
      </w:r>
      <w:r>
        <w:rPr>
          <w:i/>
          <w:color w:val="231F20"/>
          <w:sz w:val="24"/>
        </w:rPr>
        <w:t>de</w:t>
      </w:r>
      <w:r>
        <w:rPr>
          <w:i/>
          <w:color w:val="231F20"/>
          <w:spacing w:val="-15"/>
          <w:sz w:val="24"/>
        </w:rPr>
        <w:t> </w:t>
      </w:r>
      <w:r>
        <w:rPr>
          <w:i/>
          <w:color w:val="231F20"/>
          <w:sz w:val="24"/>
        </w:rPr>
        <w:t>souveraineté</w:t>
      </w:r>
      <w:r>
        <w:rPr>
          <w:i/>
          <w:color w:val="231F20"/>
          <w:spacing w:val="-13"/>
          <w:sz w:val="24"/>
        </w:rPr>
        <w:t> </w:t>
      </w:r>
      <w:r>
        <w:rPr>
          <w:color w:val="231F20"/>
          <w:sz w:val="24"/>
        </w:rPr>
        <w:t>était</w:t>
      </w:r>
      <w:r>
        <w:rPr>
          <w:color w:val="231F20"/>
          <w:spacing w:val="-15"/>
          <w:sz w:val="24"/>
        </w:rPr>
        <w:t> </w:t>
      </w:r>
      <w:r>
        <w:rPr>
          <w:color w:val="231F20"/>
          <w:sz w:val="24"/>
        </w:rPr>
        <w:t>la</w:t>
      </w:r>
      <w:r>
        <w:rPr>
          <w:color w:val="231F20"/>
          <w:spacing w:val="-13"/>
          <w:sz w:val="24"/>
        </w:rPr>
        <w:t> </w:t>
      </w:r>
      <w:r>
        <w:rPr>
          <w:color w:val="231F20"/>
          <w:sz w:val="24"/>
        </w:rPr>
        <w:t>Monnaie</w:t>
      </w:r>
      <w:r>
        <w:rPr>
          <w:color w:val="231F20"/>
          <w:spacing w:val="-15"/>
          <w:sz w:val="24"/>
        </w:rPr>
        <w:t> </w:t>
      </w:r>
      <w:r>
        <w:rPr>
          <w:color w:val="231F20"/>
          <w:sz w:val="24"/>
        </w:rPr>
        <w:t>qui</w:t>
      </w:r>
      <w:r>
        <w:rPr>
          <w:color w:val="231F20"/>
          <w:spacing w:val="-15"/>
          <w:sz w:val="24"/>
        </w:rPr>
        <w:t> </w:t>
      </w:r>
      <w:r>
        <w:rPr>
          <w:color w:val="231F20"/>
          <w:sz w:val="24"/>
        </w:rPr>
        <w:t>serait</w:t>
      </w:r>
      <w:r>
        <w:rPr>
          <w:color w:val="231F20"/>
          <w:spacing w:val="-13"/>
          <w:sz w:val="24"/>
        </w:rPr>
        <w:t> </w:t>
      </w:r>
      <w:r>
        <w:rPr>
          <w:color w:val="231F20"/>
          <w:sz w:val="24"/>
        </w:rPr>
        <w:t>confisqué</w:t>
      </w:r>
      <w:r>
        <w:rPr>
          <w:color w:val="231F20"/>
          <w:spacing w:val="-13"/>
          <w:sz w:val="24"/>
        </w:rPr>
        <w:t> </w:t>
      </w:r>
      <w:r>
        <w:rPr>
          <w:color w:val="231F20"/>
          <w:sz w:val="24"/>
        </w:rPr>
        <w:t>par</w:t>
      </w:r>
      <w:r>
        <w:rPr>
          <w:color w:val="231F20"/>
          <w:spacing w:val="-15"/>
          <w:sz w:val="24"/>
        </w:rPr>
        <w:t> </w:t>
      </w:r>
      <w:r>
        <w:rPr>
          <w:color w:val="231F20"/>
          <w:sz w:val="24"/>
        </w:rPr>
        <w:t>le projet de Communauté franco-africaine. Aussi, doit-il son pays d’une </w:t>
      </w:r>
      <w:r>
        <w:rPr>
          <w:color w:val="231F20"/>
          <w:spacing w:val="-4"/>
          <w:sz w:val="24"/>
        </w:rPr>
        <w:t>nouvelle</w:t>
      </w:r>
      <w:r>
        <w:rPr>
          <w:color w:val="231F20"/>
          <w:spacing w:val="-7"/>
          <w:sz w:val="24"/>
        </w:rPr>
        <w:t> </w:t>
      </w:r>
      <w:r>
        <w:rPr>
          <w:color w:val="231F20"/>
          <w:spacing w:val="-4"/>
          <w:sz w:val="24"/>
        </w:rPr>
        <w:t>monnaie :</w:t>
      </w:r>
      <w:r>
        <w:rPr>
          <w:color w:val="231F20"/>
          <w:spacing w:val="-7"/>
          <w:sz w:val="24"/>
        </w:rPr>
        <w:t> </w:t>
      </w:r>
      <w:r>
        <w:rPr>
          <w:color w:val="231F20"/>
          <w:spacing w:val="-4"/>
          <w:sz w:val="24"/>
        </w:rPr>
        <w:t>le</w:t>
      </w:r>
      <w:r>
        <w:rPr>
          <w:color w:val="231F20"/>
          <w:spacing w:val="-7"/>
          <w:sz w:val="24"/>
        </w:rPr>
        <w:t> </w:t>
      </w:r>
      <w:r>
        <w:rPr>
          <w:color w:val="231F20"/>
          <w:spacing w:val="-4"/>
          <w:sz w:val="24"/>
        </w:rPr>
        <w:t>franc</w:t>
      </w:r>
      <w:r>
        <w:rPr>
          <w:color w:val="231F20"/>
          <w:spacing w:val="-7"/>
          <w:sz w:val="24"/>
        </w:rPr>
        <w:t> </w:t>
      </w:r>
      <w:r>
        <w:rPr>
          <w:color w:val="231F20"/>
          <w:spacing w:val="-4"/>
          <w:sz w:val="24"/>
        </w:rPr>
        <w:t>guinéen.</w:t>
      </w:r>
      <w:r>
        <w:rPr>
          <w:color w:val="231F20"/>
          <w:spacing w:val="-9"/>
          <w:sz w:val="24"/>
        </w:rPr>
        <w:t> </w:t>
      </w:r>
      <w:r>
        <w:rPr>
          <w:color w:val="231F20"/>
          <w:spacing w:val="-4"/>
          <w:sz w:val="24"/>
        </w:rPr>
        <w:t>Mais</w:t>
      </w:r>
      <w:r>
        <w:rPr>
          <w:color w:val="231F20"/>
          <w:spacing w:val="-6"/>
          <w:sz w:val="24"/>
        </w:rPr>
        <w:t> </w:t>
      </w:r>
      <w:r>
        <w:rPr>
          <w:color w:val="231F20"/>
          <w:spacing w:val="-4"/>
          <w:sz w:val="24"/>
        </w:rPr>
        <w:t>dès</w:t>
      </w:r>
      <w:r>
        <w:rPr>
          <w:color w:val="231F20"/>
          <w:spacing w:val="-9"/>
          <w:sz w:val="24"/>
        </w:rPr>
        <w:t> </w:t>
      </w:r>
      <w:r>
        <w:rPr>
          <w:color w:val="231F20"/>
          <w:spacing w:val="-4"/>
          <w:sz w:val="24"/>
        </w:rPr>
        <w:t>le</w:t>
      </w:r>
      <w:r>
        <w:rPr>
          <w:color w:val="231F20"/>
          <w:spacing w:val="-7"/>
          <w:sz w:val="24"/>
        </w:rPr>
        <w:t> </w:t>
      </w:r>
      <w:r>
        <w:rPr>
          <w:color w:val="231F20"/>
          <w:spacing w:val="-4"/>
          <w:sz w:val="24"/>
        </w:rPr>
        <w:t>lendemain</w:t>
      </w:r>
      <w:r>
        <w:rPr>
          <w:color w:val="231F20"/>
          <w:spacing w:val="-9"/>
          <w:sz w:val="24"/>
        </w:rPr>
        <w:t> </w:t>
      </w:r>
      <w:r>
        <w:rPr>
          <w:color w:val="231F20"/>
          <w:spacing w:val="-4"/>
          <w:sz w:val="24"/>
        </w:rPr>
        <w:t>de</w:t>
      </w:r>
      <w:r>
        <w:rPr>
          <w:color w:val="231F20"/>
          <w:spacing w:val="-7"/>
          <w:sz w:val="24"/>
        </w:rPr>
        <w:t> </w:t>
      </w:r>
      <w:r>
        <w:rPr>
          <w:color w:val="231F20"/>
          <w:spacing w:val="-4"/>
          <w:sz w:val="24"/>
        </w:rPr>
        <w:t>la</w:t>
      </w:r>
      <w:r>
        <w:rPr>
          <w:color w:val="231F20"/>
          <w:spacing w:val="-7"/>
          <w:sz w:val="24"/>
        </w:rPr>
        <w:t> </w:t>
      </w:r>
      <w:r>
        <w:rPr>
          <w:color w:val="231F20"/>
          <w:spacing w:val="-4"/>
          <w:sz w:val="24"/>
        </w:rPr>
        <w:t>mise</w:t>
      </w:r>
      <w:r>
        <w:rPr>
          <w:color w:val="231F20"/>
          <w:spacing w:val="-11"/>
          <w:sz w:val="24"/>
        </w:rPr>
        <w:t> </w:t>
      </w:r>
      <w:r>
        <w:rPr>
          <w:color w:val="231F20"/>
          <w:spacing w:val="-4"/>
          <w:sz w:val="24"/>
        </w:rPr>
        <w:t>sur </w:t>
      </w:r>
      <w:r>
        <w:rPr>
          <w:color w:val="231F20"/>
          <w:spacing w:val="-2"/>
          <w:sz w:val="24"/>
        </w:rPr>
        <w:t>le</w:t>
      </w:r>
      <w:r>
        <w:rPr>
          <w:color w:val="231F20"/>
          <w:spacing w:val="-13"/>
          <w:sz w:val="24"/>
        </w:rPr>
        <w:t> </w:t>
      </w:r>
      <w:r>
        <w:rPr>
          <w:color w:val="231F20"/>
          <w:spacing w:val="-2"/>
          <w:sz w:val="24"/>
        </w:rPr>
        <w:t>marché</w:t>
      </w:r>
      <w:r>
        <w:rPr>
          <w:color w:val="231F20"/>
          <w:spacing w:val="-12"/>
          <w:sz w:val="24"/>
        </w:rPr>
        <w:t> </w:t>
      </w:r>
      <w:r>
        <w:rPr>
          <w:color w:val="231F20"/>
          <w:spacing w:val="-2"/>
          <w:sz w:val="24"/>
        </w:rPr>
        <w:t>de</w:t>
      </w:r>
      <w:r>
        <w:rPr>
          <w:color w:val="231F20"/>
          <w:spacing w:val="-12"/>
          <w:sz w:val="24"/>
        </w:rPr>
        <w:t> </w:t>
      </w:r>
      <w:r>
        <w:rPr>
          <w:color w:val="231F20"/>
          <w:spacing w:val="-2"/>
          <w:sz w:val="24"/>
        </w:rPr>
        <w:t>cette</w:t>
      </w:r>
      <w:r>
        <w:rPr>
          <w:color w:val="231F20"/>
          <w:spacing w:val="-12"/>
          <w:sz w:val="24"/>
        </w:rPr>
        <w:t> </w:t>
      </w:r>
      <w:r>
        <w:rPr>
          <w:color w:val="231F20"/>
          <w:spacing w:val="-2"/>
          <w:sz w:val="24"/>
        </w:rPr>
        <w:t>monnaie,</w:t>
      </w:r>
      <w:r>
        <w:rPr>
          <w:color w:val="231F20"/>
          <w:spacing w:val="-12"/>
          <w:sz w:val="24"/>
        </w:rPr>
        <w:t> </w:t>
      </w:r>
      <w:r>
        <w:rPr>
          <w:color w:val="231F20"/>
          <w:spacing w:val="-2"/>
          <w:sz w:val="24"/>
        </w:rPr>
        <w:t>la</w:t>
      </w:r>
      <w:r>
        <w:rPr>
          <w:color w:val="231F20"/>
          <w:spacing w:val="-12"/>
          <w:sz w:val="24"/>
        </w:rPr>
        <w:t> </w:t>
      </w:r>
      <w:r>
        <w:rPr>
          <w:color w:val="231F20"/>
          <w:spacing w:val="-2"/>
          <w:sz w:val="24"/>
        </w:rPr>
        <w:t>France</w:t>
      </w:r>
      <w:r>
        <w:rPr>
          <w:color w:val="231F20"/>
          <w:spacing w:val="-12"/>
          <w:sz w:val="24"/>
        </w:rPr>
        <w:t> </w:t>
      </w:r>
      <w:r>
        <w:rPr>
          <w:color w:val="231F20"/>
          <w:spacing w:val="-2"/>
          <w:sz w:val="24"/>
        </w:rPr>
        <w:t>inonde</w:t>
      </w:r>
      <w:r>
        <w:rPr>
          <w:color w:val="231F20"/>
          <w:spacing w:val="-12"/>
          <w:sz w:val="24"/>
        </w:rPr>
        <w:t> </w:t>
      </w:r>
      <w:r>
        <w:rPr>
          <w:color w:val="231F20"/>
          <w:spacing w:val="-2"/>
          <w:sz w:val="24"/>
        </w:rPr>
        <w:t>la</w:t>
      </w:r>
      <w:r>
        <w:rPr>
          <w:color w:val="231F20"/>
          <w:spacing w:val="-12"/>
          <w:sz w:val="24"/>
        </w:rPr>
        <w:t> </w:t>
      </w:r>
      <w:r>
        <w:rPr>
          <w:color w:val="231F20"/>
          <w:spacing w:val="-2"/>
          <w:sz w:val="24"/>
        </w:rPr>
        <w:t>Guinée</w:t>
      </w:r>
      <w:r>
        <w:rPr>
          <w:color w:val="231F20"/>
          <w:spacing w:val="-12"/>
          <w:sz w:val="24"/>
        </w:rPr>
        <w:t> </w:t>
      </w:r>
      <w:r>
        <w:rPr>
          <w:color w:val="231F20"/>
          <w:spacing w:val="-2"/>
          <w:sz w:val="24"/>
        </w:rPr>
        <w:t>de</w:t>
      </w:r>
      <w:r>
        <w:rPr>
          <w:color w:val="231F20"/>
          <w:spacing w:val="-12"/>
          <w:sz w:val="24"/>
        </w:rPr>
        <w:t> </w:t>
      </w:r>
      <w:r>
        <w:rPr>
          <w:color w:val="231F20"/>
          <w:spacing w:val="-2"/>
          <w:sz w:val="24"/>
        </w:rPr>
        <w:t>faux</w:t>
      </w:r>
      <w:r>
        <w:rPr>
          <w:color w:val="231F20"/>
          <w:spacing w:val="-12"/>
          <w:sz w:val="24"/>
        </w:rPr>
        <w:t> </w:t>
      </w:r>
      <w:r>
        <w:rPr>
          <w:color w:val="231F20"/>
          <w:spacing w:val="-2"/>
          <w:sz w:val="24"/>
        </w:rPr>
        <w:t>billets</w:t>
      </w:r>
      <w:r>
        <w:rPr>
          <w:color w:val="231F20"/>
          <w:spacing w:val="-13"/>
          <w:sz w:val="24"/>
        </w:rPr>
        <w:t> </w:t>
      </w:r>
      <w:r>
        <w:rPr>
          <w:color w:val="231F20"/>
          <w:spacing w:val="-2"/>
          <w:sz w:val="24"/>
        </w:rPr>
        <w:t>du </w:t>
      </w:r>
      <w:r>
        <w:rPr>
          <w:color w:val="231F20"/>
          <w:sz w:val="24"/>
        </w:rPr>
        <w:t>franc guinéen</w:t>
      </w:r>
      <w:r>
        <w:rPr>
          <w:color w:val="231F20"/>
          <w:spacing w:val="-15"/>
          <w:sz w:val="24"/>
        </w:rPr>
        <w:t> </w:t>
      </w:r>
      <w:r>
        <w:rPr>
          <w:color w:val="231F20"/>
          <w:sz w:val="24"/>
        </w:rPr>
        <w:t>:</w:t>
      </w:r>
      <w:r>
        <w:rPr>
          <w:color w:val="231F20"/>
          <w:spacing w:val="-13"/>
          <w:sz w:val="24"/>
        </w:rPr>
        <w:t> </w:t>
      </w:r>
      <w:r>
        <w:rPr>
          <w:color w:val="231F20"/>
          <w:sz w:val="24"/>
        </w:rPr>
        <w:t>«</w:t>
      </w:r>
      <w:r>
        <w:rPr>
          <w:color w:val="231F20"/>
          <w:spacing w:val="-15"/>
          <w:sz w:val="24"/>
        </w:rPr>
        <w:t> </w:t>
      </w:r>
      <w:r>
        <w:rPr>
          <w:i/>
          <w:color w:val="231F20"/>
          <w:sz w:val="24"/>
        </w:rPr>
        <w:t>Parmi ces actions de déstabilisation, je peux citer</w:t>
      </w:r>
      <w:r>
        <w:rPr>
          <w:i/>
          <w:color w:val="231F20"/>
          <w:sz w:val="24"/>
        </w:rPr>
        <w:t> l’opération «</w:t>
      </w:r>
      <w:r>
        <w:rPr>
          <w:i/>
          <w:color w:val="231F20"/>
          <w:spacing w:val="-15"/>
          <w:sz w:val="24"/>
        </w:rPr>
        <w:t> </w:t>
      </w:r>
      <w:r>
        <w:rPr>
          <w:i/>
          <w:color w:val="231F20"/>
          <w:sz w:val="24"/>
        </w:rPr>
        <w:t>Persil</w:t>
      </w:r>
      <w:r>
        <w:rPr>
          <w:i/>
          <w:color w:val="231F20"/>
          <w:spacing w:val="-15"/>
          <w:sz w:val="24"/>
        </w:rPr>
        <w:t> </w:t>
      </w:r>
      <w:r>
        <w:rPr>
          <w:i/>
          <w:color w:val="231F20"/>
          <w:sz w:val="24"/>
        </w:rPr>
        <w:t>», par exemple, qui a consisté à introduire dans le pays</w:t>
      </w:r>
      <w:r>
        <w:rPr>
          <w:i/>
          <w:color w:val="231F20"/>
          <w:spacing w:val="-12"/>
          <w:sz w:val="24"/>
        </w:rPr>
        <w:t> </w:t>
      </w:r>
      <w:r>
        <w:rPr>
          <w:i/>
          <w:color w:val="231F20"/>
          <w:sz w:val="24"/>
        </w:rPr>
        <w:t>une</w:t>
      </w:r>
      <w:r>
        <w:rPr>
          <w:i/>
          <w:color w:val="231F20"/>
          <w:spacing w:val="-12"/>
          <w:sz w:val="24"/>
        </w:rPr>
        <w:t> </w:t>
      </w:r>
      <w:r>
        <w:rPr>
          <w:i/>
          <w:color w:val="231F20"/>
          <w:sz w:val="24"/>
        </w:rPr>
        <w:t>grande</w:t>
      </w:r>
      <w:r>
        <w:rPr>
          <w:i/>
          <w:color w:val="231F20"/>
          <w:spacing w:val="-12"/>
          <w:sz w:val="24"/>
        </w:rPr>
        <w:t> </w:t>
      </w:r>
      <w:r>
        <w:rPr>
          <w:i/>
          <w:color w:val="231F20"/>
          <w:sz w:val="24"/>
        </w:rPr>
        <w:t>quantité</w:t>
      </w:r>
      <w:r>
        <w:rPr>
          <w:i/>
          <w:color w:val="231F20"/>
          <w:spacing w:val="-14"/>
          <w:sz w:val="24"/>
        </w:rPr>
        <w:t> </w:t>
      </w:r>
      <w:r>
        <w:rPr>
          <w:i/>
          <w:color w:val="231F20"/>
          <w:sz w:val="24"/>
        </w:rPr>
        <w:t>de</w:t>
      </w:r>
      <w:r>
        <w:rPr>
          <w:i/>
          <w:color w:val="231F20"/>
          <w:spacing w:val="-13"/>
          <w:sz w:val="24"/>
        </w:rPr>
        <w:t> </w:t>
      </w:r>
      <w:r>
        <w:rPr>
          <w:i/>
          <w:color w:val="231F20"/>
          <w:sz w:val="24"/>
        </w:rPr>
        <w:t>faux</w:t>
      </w:r>
      <w:r>
        <w:rPr>
          <w:i/>
          <w:color w:val="231F20"/>
          <w:spacing w:val="-12"/>
          <w:sz w:val="24"/>
        </w:rPr>
        <w:t> </w:t>
      </w:r>
      <w:r>
        <w:rPr>
          <w:i/>
          <w:color w:val="231F20"/>
          <w:sz w:val="24"/>
        </w:rPr>
        <w:t>billets</w:t>
      </w:r>
      <w:r>
        <w:rPr>
          <w:i/>
          <w:color w:val="231F20"/>
          <w:spacing w:val="-12"/>
          <w:sz w:val="24"/>
        </w:rPr>
        <w:t> </w:t>
      </w:r>
      <w:r>
        <w:rPr>
          <w:i/>
          <w:color w:val="231F20"/>
          <w:sz w:val="24"/>
        </w:rPr>
        <w:t>de</w:t>
      </w:r>
      <w:r>
        <w:rPr>
          <w:i/>
          <w:color w:val="231F20"/>
          <w:spacing w:val="-12"/>
          <w:sz w:val="24"/>
        </w:rPr>
        <w:t> </w:t>
      </w:r>
      <w:r>
        <w:rPr>
          <w:i/>
          <w:color w:val="231F20"/>
          <w:sz w:val="24"/>
        </w:rPr>
        <w:t>banque</w:t>
      </w:r>
      <w:r>
        <w:rPr>
          <w:i/>
          <w:color w:val="231F20"/>
          <w:spacing w:val="-14"/>
          <w:sz w:val="24"/>
        </w:rPr>
        <w:t> </w:t>
      </w:r>
      <w:r>
        <w:rPr>
          <w:i/>
          <w:color w:val="231F20"/>
          <w:sz w:val="24"/>
        </w:rPr>
        <w:t>guinéens</w:t>
      </w:r>
      <w:r>
        <w:rPr>
          <w:i/>
          <w:color w:val="231F20"/>
          <w:spacing w:val="-14"/>
          <w:sz w:val="24"/>
        </w:rPr>
        <w:t> </w:t>
      </w:r>
      <w:r>
        <w:rPr>
          <w:i/>
          <w:color w:val="231F20"/>
          <w:sz w:val="24"/>
        </w:rPr>
        <w:t>dans</w:t>
      </w:r>
      <w:r>
        <w:rPr>
          <w:i/>
          <w:color w:val="231F20"/>
          <w:spacing w:val="-14"/>
          <w:sz w:val="24"/>
        </w:rPr>
        <w:t> </w:t>
      </w:r>
      <w:r>
        <w:rPr>
          <w:i/>
          <w:color w:val="231F20"/>
          <w:sz w:val="24"/>
        </w:rPr>
        <w:t>le</w:t>
      </w:r>
      <w:r>
        <w:rPr>
          <w:i/>
          <w:color w:val="231F20"/>
          <w:spacing w:val="-12"/>
          <w:sz w:val="24"/>
        </w:rPr>
        <w:t> </w:t>
      </w:r>
      <w:r>
        <w:rPr>
          <w:i/>
          <w:color w:val="231F20"/>
          <w:sz w:val="24"/>
        </w:rPr>
        <w:t>but de déséquilibrer l’économie »</w:t>
      </w:r>
      <w:r>
        <w:rPr>
          <w:color w:val="231F20"/>
          <w:sz w:val="24"/>
          <w:vertAlign w:val="superscript"/>
        </w:rPr>
        <w:t>103</w:t>
      </w:r>
      <w:r>
        <w:rPr>
          <w:i/>
          <w:color w:val="231F20"/>
          <w:sz w:val="24"/>
          <w:vertAlign w:val="baseline"/>
        </w:rPr>
        <w:t>.</w:t>
      </w:r>
    </w:p>
    <w:p>
      <w:pPr>
        <w:pStyle w:val="BodyText"/>
        <w:spacing w:before="121"/>
        <w:ind w:right="105" w:firstLine="283"/>
      </w:pPr>
      <w:r>
        <w:rPr>
          <w:color w:val="231F20"/>
        </w:rPr>
        <w:t>Pour</w:t>
      </w:r>
      <w:r>
        <w:rPr>
          <w:color w:val="231F20"/>
          <w:spacing w:val="-7"/>
        </w:rPr>
        <w:t> </w:t>
      </w:r>
      <w:r>
        <w:rPr>
          <w:color w:val="231F20"/>
        </w:rPr>
        <w:t>ne</w:t>
      </w:r>
      <w:r>
        <w:rPr>
          <w:color w:val="231F20"/>
          <w:spacing w:val="-5"/>
        </w:rPr>
        <w:t> </w:t>
      </w:r>
      <w:r>
        <w:rPr>
          <w:color w:val="231F20"/>
        </w:rPr>
        <w:t>pas</w:t>
      </w:r>
      <w:r>
        <w:rPr>
          <w:color w:val="231F20"/>
          <w:spacing w:val="-5"/>
        </w:rPr>
        <w:t> </w:t>
      </w:r>
      <w:r>
        <w:rPr>
          <w:color w:val="231F20"/>
        </w:rPr>
        <w:t>avoir</w:t>
      </w:r>
      <w:r>
        <w:rPr>
          <w:color w:val="231F20"/>
          <w:spacing w:val="-8"/>
        </w:rPr>
        <w:t> </w:t>
      </w:r>
      <w:r>
        <w:rPr>
          <w:color w:val="231F20"/>
        </w:rPr>
        <w:t>à</w:t>
      </w:r>
      <w:r>
        <w:rPr>
          <w:color w:val="231F20"/>
          <w:spacing w:val="-5"/>
        </w:rPr>
        <w:t> </w:t>
      </w:r>
      <w:r>
        <w:rPr>
          <w:color w:val="231F20"/>
        </w:rPr>
        <w:t>souffrir</w:t>
      </w:r>
      <w:r>
        <w:rPr>
          <w:color w:val="231F20"/>
          <w:spacing w:val="-5"/>
        </w:rPr>
        <w:t> </w:t>
      </w:r>
      <w:r>
        <w:rPr>
          <w:color w:val="231F20"/>
        </w:rPr>
        <w:t>de</w:t>
      </w:r>
      <w:r>
        <w:rPr>
          <w:color w:val="231F20"/>
          <w:spacing w:val="-7"/>
        </w:rPr>
        <w:t> </w:t>
      </w:r>
      <w:r>
        <w:rPr>
          <w:color w:val="231F20"/>
        </w:rPr>
        <w:t>la</w:t>
      </w:r>
      <w:r>
        <w:rPr>
          <w:color w:val="231F20"/>
          <w:spacing w:val="-5"/>
        </w:rPr>
        <w:t> </w:t>
      </w:r>
      <w:r>
        <w:rPr>
          <w:color w:val="231F20"/>
        </w:rPr>
        <w:t>colère</w:t>
      </w:r>
      <w:r>
        <w:rPr>
          <w:color w:val="231F20"/>
          <w:spacing w:val="-5"/>
        </w:rPr>
        <w:t> </w:t>
      </w:r>
      <w:r>
        <w:rPr>
          <w:color w:val="231F20"/>
        </w:rPr>
        <w:t>de</w:t>
      </w:r>
      <w:r>
        <w:rPr>
          <w:color w:val="231F20"/>
          <w:spacing w:val="-8"/>
        </w:rPr>
        <w:t> </w:t>
      </w:r>
      <w:r>
        <w:rPr>
          <w:color w:val="231F20"/>
        </w:rPr>
        <w:t>de</w:t>
      </w:r>
      <w:r>
        <w:rPr>
          <w:color w:val="231F20"/>
          <w:spacing w:val="-5"/>
        </w:rPr>
        <w:t> </w:t>
      </w:r>
      <w:r>
        <w:rPr>
          <w:color w:val="231F20"/>
        </w:rPr>
        <w:t>Gaulle,</w:t>
      </w:r>
      <w:r>
        <w:rPr>
          <w:color w:val="231F20"/>
          <w:spacing w:val="-5"/>
        </w:rPr>
        <w:t> </w:t>
      </w:r>
      <w:r>
        <w:rPr>
          <w:color w:val="231F20"/>
        </w:rPr>
        <w:t>les</w:t>
      </w:r>
      <w:r>
        <w:rPr>
          <w:color w:val="231F20"/>
          <w:spacing w:val="-5"/>
        </w:rPr>
        <w:t> </w:t>
      </w:r>
      <w:r>
        <w:rPr>
          <w:color w:val="231F20"/>
        </w:rPr>
        <w:t>autres</w:t>
      </w:r>
      <w:r>
        <w:rPr>
          <w:color w:val="231F20"/>
          <w:spacing w:val="-1"/>
        </w:rPr>
        <w:t> </w:t>
      </w:r>
      <w:r>
        <w:rPr>
          <w:color w:val="231F20"/>
        </w:rPr>
        <w:t>Élus de la sous-région, les compagnons de lutte d’hier, boudent le leader guinéen</w:t>
      </w:r>
      <w:r>
        <w:rPr>
          <w:color w:val="231F20"/>
          <w:spacing w:val="30"/>
        </w:rPr>
        <w:t> </w:t>
      </w:r>
      <w:r>
        <w:rPr>
          <w:color w:val="231F20"/>
        </w:rPr>
        <w:t>:</w:t>
      </w:r>
      <w:r>
        <w:rPr>
          <w:color w:val="231F20"/>
          <w:spacing w:val="33"/>
        </w:rPr>
        <w:t> </w:t>
      </w:r>
      <w:r>
        <w:rPr>
          <w:color w:val="231F20"/>
        </w:rPr>
        <w:t>il</w:t>
      </w:r>
      <w:r>
        <w:rPr>
          <w:color w:val="231F20"/>
          <w:spacing w:val="31"/>
        </w:rPr>
        <w:t> </w:t>
      </w:r>
      <w:r>
        <w:rPr>
          <w:color w:val="231F20"/>
        </w:rPr>
        <w:t>est</w:t>
      </w:r>
      <w:r>
        <w:rPr>
          <w:color w:val="231F20"/>
          <w:spacing w:val="32"/>
        </w:rPr>
        <w:t> </w:t>
      </w:r>
      <w:r>
        <w:rPr>
          <w:color w:val="231F20"/>
        </w:rPr>
        <w:t>la</w:t>
      </w:r>
      <w:r>
        <w:rPr>
          <w:color w:val="231F20"/>
          <w:spacing w:val="31"/>
        </w:rPr>
        <w:t> </w:t>
      </w:r>
      <w:r>
        <w:rPr>
          <w:color w:val="231F20"/>
        </w:rPr>
        <w:t>brebis</w:t>
      </w:r>
      <w:r>
        <w:rPr>
          <w:color w:val="231F20"/>
          <w:spacing w:val="33"/>
        </w:rPr>
        <w:t> </w:t>
      </w:r>
      <w:r>
        <w:rPr>
          <w:color w:val="231F20"/>
        </w:rPr>
        <w:t>galeuse</w:t>
      </w:r>
      <w:r>
        <w:rPr>
          <w:color w:val="231F20"/>
          <w:spacing w:val="34"/>
        </w:rPr>
        <w:t> </w:t>
      </w:r>
      <w:r>
        <w:rPr>
          <w:color w:val="231F20"/>
        </w:rPr>
        <w:t>à</w:t>
      </w:r>
      <w:r>
        <w:rPr>
          <w:color w:val="231F20"/>
          <w:spacing w:val="32"/>
        </w:rPr>
        <w:t> </w:t>
      </w:r>
      <w:r>
        <w:rPr>
          <w:color w:val="231F20"/>
        </w:rPr>
        <w:t>ne</w:t>
      </w:r>
      <w:r>
        <w:rPr>
          <w:color w:val="231F20"/>
          <w:spacing w:val="31"/>
        </w:rPr>
        <w:t> </w:t>
      </w:r>
      <w:r>
        <w:rPr>
          <w:color w:val="231F20"/>
        </w:rPr>
        <w:t>pas</w:t>
      </w:r>
      <w:r>
        <w:rPr>
          <w:color w:val="231F20"/>
          <w:spacing w:val="34"/>
        </w:rPr>
        <w:t> </w:t>
      </w:r>
      <w:r>
        <w:rPr>
          <w:color w:val="231F20"/>
        </w:rPr>
        <w:t>fréquenter.</w:t>
      </w:r>
      <w:r>
        <w:rPr>
          <w:color w:val="231F20"/>
          <w:spacing w:val="36"/>
        </w:rPr>
        <w:t> </w:t>
      </w:r>
      <w:r>
        <w:rPr>
          <w:color w:val="231F20"/>
        </w:rPr>
        <w:t>Abandonné</w:t>
      </w:r>
      <w:r>
        <w:rPr>
          <w:color w:val="231F20"/>
          <w:spacing w:val="30"/>
        </w:rPr>
        <w:t> </w:t>
      </w:r>
      <w:r>
        <w:rPr>
          <w:color w:val="231F20"/>
          <w:spacing w:val="-5"/>
        </w:rPr>
        <w:t>et</w:t>
      </w:r>
    </w:p>
    <w:p>
      <w:pPr>
        <w:pStyle w:val="BodyText"/>
        <w:spacing w:before="117"/>
        <w:ind w:left="0"/>
        <w:jc w:val="left"/>
        <w:rPr>
          <w:sz w:val="20"/>
        </w:rPr>
      </w:pPr>
      <w:r>
        <w:rPr/>
        <mc:AlternateContent>
          <mc:Choice Requires="wps">
            <w:drawing>
              <wp:anchor distT="0" distB="0" distL="0" distR="0" allowOverlap="1" layoutInCell="1" locked="0" behindDoc="1" simplePos="0" relativeHeight="487620608">
                <wp:simplePos x="0" y="0"/>
                <wp:positionH relativeFrom="page">
                  <wp:posOffset>629907</wp:posOffset>
                </wp:positionH>
                <wp:positionV relativeFrom="paragraph">
                  <wp:posOffset>235616</wp:posOffset>
                </wp:positionV>
                <wp:extent cx="1829435" cy="9525"/>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8.552500pt;width:144.020pt;height:.72pt;mso-position-horizontal-relative:page;mso-position-vertical-relative:paragraph;z-index:-15695872;mso-wrap-distance-left:0;mso-wrap-distance-right:0" id="docshape81" filled="true" fillcolor="#231f20" stroked="false">
                <v:fill type="solid"/>
                <w10:wrap type="topAndBottom"/>
              </v:rect>
            </w:pict>
          </mc:Fallback>
        </mc:AlternateContent>
      </w:r>
    </w:p>
    <w:p>
      <w:pPr>
        <w:spacing w:before="91"/>
        <w:ind w:left="111" w:right="105" w:firstLine="0"/>
        <w:jc w:val="both"/>
        <w:rPr>
          <w:sz w:val="20"/>
        </w:rPr>
      </w:pPr>
      <w:r>
        <w:rPr>
          <w:color w:val="231F20"/>
          <w:spacing w:val="-2"/>
          <w:sz w:val="20"/>
          <w:vertAlign w:val="superscript"/>
        </w:rPr>
        <w:t>102</w:t>
      </w:r>
      <w:r>
        <w:rPr>
          <w:color w:val="231F20"/>
          <w:spacing w:val="-2"/>
          <w:sz w:val="20"/>
          <w:vertAlign w:val="baseline"/>
        </w:rPr>
        <w:t>Maurice</w:t>
      </w:r>
      <w:r>
        <w:rPr>
          <w:color w:val="231F20"/>
          <w:spacing w:val="-13"/>
          <w:sz w:val="20"/>
          <w:vertAlign w:val="baseline"/>
        </w:rPr>
        <w:t> </w:t>
      </w:r>
      <w:r>
        <w:rPr>
          <w:color w:val="231F20"/>
          <w:spacing w:val="-2"/>
          <w:sz w:val="20"/>
          <w:vertAlign w:val="baseline"/>
        </w:rPr>
        <w:t>Robert,</w:t>
      </w:r>
      <w:r>
        <w:rPr>
          <w:color w:val="231F20"/>
          <w:spacing w:val="-10"/>
          <w:sz w:val="20"/>
          <w:vertAlign w:val="baseline"/>
        </w:rPr>
        <w:t> </w:t>
      </w:r>
      <w:r>
        <w:rPr>
          <w:color w:val="231F20"/>
          <w:spacing w:val="-2"/>
          <w:sz w:val="20"/>
          <w:vertAlign w:val="baseline"/>
        </w:rPr>
        <w:t>chef</w:t>
      </w:r>
      <w:r>
        <w:rPr>
          <w:color w:val="231F20"/>
          <w:spacing w:val="-11"/>
          <w:sz w:val="20"/>
          <w:vertAlign w:val="baseline"/>
        </w:rPr>
        <w:t> </w:t>
      </w:r>
      <w:r>
        <w:rPr>
          <w:color w:val="231F20"/>
          <w:spacing w:val="-2"/>
          <w:sz w:val="20"/>
          <w:vertAlign w:val="baseline"/>
        </w:rPr>
        <w:t>du</w:t>
      </w:r>
      <w:r>
        <w:rPr>
          <w:color w:val="231F20"/>
          <w:spacing w:val="-10"/>
          <w:sz w:val="20"/>
          <w:vertAlign w:val="baseline"/>
        </w:rPr>
        <w:t> </w:t>
      </w:r>
      <w:r>
        <w:rPr>
          <w:color w:val="231F20"/>
          <w:spacing w:val="-2"/>
          <w:sz w:val="20"/>
          <w:vertAlign w:val="baseline"/>
        </w:rPr>
        <w:t>secteur</w:t>
      </w:r>
      <w:r>
        <w:rPr>
          <w:color w:val="231F20"/>
          <w:spacing w:val="-11"/>
          <w:sz w:val="20"/>
          <w:vertAlign w:val="baseline"/>
        </w:rPr>
        <w:t> </w:t>
      </w:r>
      <w:r>
        <w:rPr>
          <w:color w:val="231F20"/>
          <w:spacing w:val="-2"/>
          <w:sz w:val="20"/>
          <w:vertAlign w:val="baseline"/>
        </w:rPr>
        <w:t>Afrique</w:t>
      </w:r>
      <w:r>
        <w:rPr>
          <w:color w:val="231F20"/>
          <w:spacing w:val="-10"/>
          <w:sz w:val="20"/>
          <w:vertAlign w:val="baseline"/>
        </w:rPr>
        <w:t> </w:t>
      </w:r>
      <w:r>
        <w:rPr>
          <w:color w:val="231F20"/>
          <w:spacing w:val="-2"/>
          <w:sz w:val="20"/>
          <w:vertAlign w:val="baseline"/>
        </w:rPr>
        <w:t>au</w:t>
      </w:r>
      <w:r>
        <w:rPr>
          <w:color w:val="231F20"/>
          <w:spacing w:val="-11"/>
          <w:sz w:val="20"/>
          <w:vertAlign w:val="baseline"/>
        </w:rPr>
        <w:t> </w:t>
      </w:r>
      <w:r>
        <w:rPr>
          <w:color w:val="231F20"/>
          <w:spacing w:val="-2"/>
          <w:sz w:val="20"/>
          <w:vertAlign w:val="baseline"/>
        </w:rPr>
        <w:t>service</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documentation</w:t>
      </w:r>
      <w:r>
        <w:rPr>
          <w:color w:val="231F20"/>
          <w:spacing w:val="-10"/>
          <w:sz w:val="20"/>
          <w:vertAlign w:val="baseline"/>
        </w:rPr>
        <w:t> </w:t>
      </w:r>
      <w:r>
        <w:rPr>
          <w:color w:val="231F20"/>
          <w:spacing w:val="-2"/>
          <w:sz w:val="20"/>
          <w:vertAlign w:val="baseline"/>
        </w:rPr>
        <w:t>extérieure</w:t>
      </w:r>
      <w:r>
        <w:rPr>
          <w:color w:val="231F20"/>
          <w:spacing w:val="-11"/>
          <w:sz w:val="20"/>
          <w:vertAlign w:val="baseline"/>
        </w:rPr>
        <w:t> </w:t>
      </w:r>
      <w:r>
        <w:rPr>
          <w:color w:val="231F20"/>
          <w:spacing w:val="-2"/>
          <w:sz w:val="20"/>
          <w:vertAlign w:val="baseline"/>
        </w:rPr>
        <w:t>et</w:t>
      </w:r>
      <w:r>
        <w:rPr>
          <w:color w:val="231F20"/>
          <w:spacing w:val="-10"/>
          <w:sz w:val="20"/>
          <w:vertAlign w:val="baseline"/>
        </w:rPr>
        <w:t> </w:t>
      </w:r>
      <w:r>
        <w:rPr>
          <w:color w:val="231F20"/>
          <w:spacing w:val="-2"/>
          <w:sz w:val="20"/>
          <w:vertAlign w:val="baseline"/>
        </w:rPr>
        <w:t>de </w:t>
      </w:r>
      <w:r>
        <w:rPr>
          <w:color w:val="231F20"/>
          <w:sz w:val="20"/>
          <w:vertAlign w:val="baseline"/>
        </w:rPr>
        <w:t>contre-espionnage</w:t>
      </w:r>
      <w:r>
        <w:rPr>
          <w:color w:val="231F20"/>
          <w:spacing w:val="40"/>
          <w:sz w:val="20"/>
          <w:vertAlign w:val="baseline"/>
        </w:rPr>
        <w:t> </w:t>
      </w:r>
      <w:r>
        <w:rPr>
          <w:color w:val="231F20"/>
          <w:sz w:val="20"/>
          <w:vertAlign w:val="baseline"/>
        </w:rPr>
        <w:t>(SDECE)</w:t>
      </w:r>
      <w:r>
        <w:rPr>
          <w:color w:val="231F20"/>
          <w:spacing w:val="40"/>
          <w:sz w:val="20"/>
          <w:vertAlign w:val="baseline"/>
        </w:rPr>
        <w:t> </w:t>
      </w:r>
      <w:r>
        <w:rPr>
          <w:color w:val="231F20"/>
          <w:sz w:val="20"/>
          <w:vertAlign w:val="baseline"/>
        </w:rPr>
        <w:t>de</w:t>
      </w:r>
      <w:r>
        <w:rPr>
          <w:color w:val="231F20"/>
          <w:spacing w:val="40"/>
          <w:sz w:val="20"/>
          <w:vertAlign w:val="baseline"/>
        </w:rPr>
        <w:t> </w:t>
      </w:r>
      <w:r>
        <w:rPr>
          <w:color w:val="231F20"/>
          <w:sz w:val="20"/>
          <w:vertAlign w:val="baseline"/>
        </w:rPr>
        <w:t>1958</w:t>
      </w:r>
      <w:r>
        <w:rPr>
          <w:color w:val="231F20"/>
          <w:spacing w:val="40"/>
          <w:sz w:val="20"/>
          <w:vertAlign w:val="baseline"/>
        </w:rPr>
        <w:t> </w:t>
      </w:r>
      <w:r>
        <w:rPr>
          <w:color w:val="231F20"/>
          <w:sz w:val="20"/>
          <w:vertAlign w:val="baseline"/>
        </w:rPr>
        <w:t>à</w:t>
      </w:r>
      <w:r>
        <w:rPr>
          <w:color w:val="231F20"/>
          <w:spacing w:val="40"/>
          <w:sz w:val="20"/>
          <w:vertAlign w:val="baseline"/>
        </w:rPr>
        <w:t> </w:t>
      </w:r>
      <w:r>
        <w:rPr>
          <w:color w:val="231F20"/>
          <w:sz w:val="20"/>
          <w:vertAlign w:val="baseline"/>
        </w:rPr>
        <w:t>1968,«</w:t>
      </w:r>
      <w:r>
        <w:rPr>
          <w:color w:val="231F20"/>
          <w:spacing w:val="-12"/>
          <w:sz w:val="20"/>
          <w:vertAlign w:val="baseline"/>
        </w:rPr>
        <w:t> </w:t>
      </w:r>
      <w:r>
        <w:rPr>
          <w:color w:val="231F20"/>
          <w:sz w:val="20"/>
          <w:vertAlign w:val="baseline"/>
        </w:rPr>
        <w:t>Opération</w:t>
      </w:r>
      <w:r>
        <w:rPr>
          <w:color w:val="231F20"/>
          <w:spacing w:val="40"/>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Persil</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w:t>
      </w:r>
      <w:r>
        <w:rPr>
          <w:color w:val="231F20"/>
          <w:spacing w:val="-11"/>
          <w:sz w:val="20"/>
          <w:vertAlign w:val="baseline"/>
        </w:rPr>
        <w:t> </w:t>
      </w:r>
      <w:r>
        <w:rPr>
          <w:color w:val="231F20"/>
          <w:sz w:val="20"/>
          <w:vertAlign w:val="baseline"/>
        </w:rPr>
        <w:t>Le</w:t>
      </w:r>
      <w:r>
        <w:rPr>
          <w:color w:val="231F20"/>
          <w:spacing w:val="40"/>
          <w:sz w:val="20"/>
          <w:vertAlign w:val="baseline"/>
        </w:rPr>
        <w:t> </w:t>
      </w:r>
      <w:r>
        <w:rPr>
          <w:color w:val="231F20"/>
          <w:sz w:val="20"/>
          <w:vertAlign w:val="baseline"/>
        </w:rPr>
        <w:t>Monde </w:t>
      </w:r>
      <w:r>
        <w:rPr>
          <w:color w:val="231F20"/>
          <w:spacing w:val="-2"/>
          <w:sz w:val="20"/>
          <w:vertAlign w:val="baseline"/>
        </w:rPr>
        <w:t>diplomatique.</w:t>
      </w:r>
    </w:p>
    <w:p>
      <w:pPr>
        <w:spacing w:before="2"/>
        <w:ind w:left="111" w:right="105" w:firstLine="0"/>
        <w:jc w:val="both"/>
        <w:rPr>
          <w:sz w:val="20"/>
        </w:rPr>
      </w:pPr>
      <w:r>
        <w:rPr>
          <w:color w:val="231F20"/>
          <w:spacing w:val="-2"/>
          <w:sz w:val="20"/>
          <w:vertAlign w:val="superscript"/>
        </w:rPr>
        <w:t>103</w:t>
      </w:r>
      <w:r>
        <w:rPr>
          <w:color w:val="231F20"/>
          <w:spacing w:val="-2"/>
          <w:sz w:val="20"/>
          <w:vertAlign w:val="baseline"/>
        </w:rPr>
        <w:t>Maurice</w:t>
      </w:r>
      <w:r>
        <w:rPr>
          <w:color w:val="231F20"/>
          <w:spacing w:val="-13"/>
          <w:sz w:val="20"/>
          <w:vertAlign w:val="baseline"/>
        </w:rPr>
        <w:t> </w:t>
      </w:r>
      <w:r>
        <w:rPr>
          <w:color w:val="231F20"/>
          <w:spacing w:val="-2"/>
          <w:sz w:val="20"/>
          <w:vertAlign w:val="baseline"/>
        </w:rPr>
        <w:t>Robert,</w:t>
      </w:r>
      <w:r>
        <w:rPr>
          <w:color w:val="231F20"/>
          <w:spacing w:val="-10"/>
          <w:sz w:val="20"/>
          <w:vertAlign w:val="baseline"/>
        </w:rPr>
        <w:t> </w:t>
      </w:r>
      <w:r>
        <w:rPr>
          <w:color w:val="231F20"/>
          <w:spacing w:val="-2"/>
          <w:sz w:val="20"/>
          <w:vertAlign w:val="baseline"/>
        </w:rPr>
        <w:t>chef</w:t>
      </w:r>
      <w:r>
        <w:rPr>
          <w:color w:val="231F20"/>
          <w:spacing w:val="-11"/>
          <w:sz w:val="20"/>
          <w:vertAlign w:val="baseline"/>
        </w:rPr>
        <w:t> </w:t>
      </w:r>
      <w:r>
        <w:rPr>
          <w:color w:val="231F20"/>
          <w:spacing w:val="-2"/>
          <w:sz w:val="20"/>
          <w:vertAlign w:val="baseline"/>
        </w:rPr>
        <w:t>du</w:t>
      </w:r>
      <w:r>
        <w:rPr>
          <w:color w:val="231F20"/>
          <w:spacing w:val="-10"/>
          <w:sz w:val="20"/>
          <w:vertAlign w:val="baseline"/>
        </w:rPr>
        <w:t> </w:t>
      </w:r>
      <w:r>
        <w:rPr>
          <w:color w:val="231F20"/>
          <w:spacing w:val="-2"/>
          <w:sz w:val="20"/>
          <w:vertAlign w:val="baseline"/>
        </w:rPr>
        <w:t>secteur</w:t>
      </w:r>
      <w:r>
        <w:rPr>
          <w:color w:val="231F20"/>
          <w:spacing w:val="-11"/>
          <w:sz w:val="20"/>
          <w:vertAlign w:val="baseline"/>
        </w:rPr>
        <w:t> </w:t>
      </w:r>
      <w:r>
        <w:rPr>
          <w:color w:val="231F20"/>
          <w:spacing w:val="-2"/>
          <w:sz w:val="20"/>
          <w:vertAlign w:val="baseline"/>
        </w:rPr>
        <w:t>Afrique</w:t>
      </w:r>
      <w:r>
        <w:rPr>
          <w:color w:val="231F20"/>
          <w:spacing w:val="-10"/>
          <w:sz w:val="20"/>
          <w:vertAlign w:val="baseline"/>
        </w:rPr>
        <w:t> </w:t>
      </w:r>
      <w:r>
        <w:rPr>
          <w:color w:val="231F20"/>
          <w:spacing w:val="-2"/>
          <w:sz w:val="20"/>
          <w:vertAlign w:val="baseline"/>
        </w:rPr>
        <w:t>au</w:t>
      </w:r>
      <w:r>
        <w:rPr>
          <w:color w:val="231F20"/>
          <w:spacing w:val="-11"/>
          <w:sz w:val="20"/>
          <w:vertAlign w:val="baseline"/>
        </w:rPr>
        <w:t> </w:t>
      </w:r>
      <w:r>
        <w:rPr>
          <w:color w:val="231F20"/>
          <w:spacing w:val="-2"/>
          <w:sz w:val="20"/>
          <w:vertAlign w:val="baseline"/>
        </w:rPr>
        <w:t>service</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documentation</w:t>
      </w:r>
      <w:r>
        <w:rPr>
          <w:color w:val="231F20"/>
          <w:spacing w:val="-10"/>
          <w:sz w:val="20"/>
          <w:vertAlign w:val="baseline"/>
        </w:rPr>
        <w:t> </w:t>
      </w:r>
      <w:r>
        <w:rPr>
          <w:color w:val="231F20"/>
          <w:spacing w:val="-2"/>
          <w:sz w:val="20"/>
          <w:vertAlign w:val="baseline"/>
        </w:rPr>
        <w:t>extérieure</w:t>
      </w:r>
      <w:r>
        <w:rPr>
          <w:color w:val="231F20"/>
          <w:spacing w:val="-11"/>
          <w:sz w:val="20"/>
          <w:vertAlign w:val="baseline"/>
        </w:rPr>
        <w:t> </w:t>
      </w:r>
      <w:r>
        <w:rPr>
          <w:color w:val="231F20"/>
          <w:spacing w:val="-2"/>
          <w:sz w:val="20"/>
          <w:vertAlign w:val="baseline"/>
        </w:rPr>
        <w:t>et</w:t>
      </w:r>
      <w:r>
        <w:rPr>
          <w:color w:val="231F20"/>
          <w:spacing w:val="-10"/>
          <w:sz w:val="20"/>
          <w:vertAlign w:val="baseline"/>
        </w:rPr>
        <w:t> </w:t>
      </w:r>
      <w:r>
        <w:rPr>
          <w:color w:val="231F20"/>
          <w:spacing w:val="-2"/>
          <w:sz w:val="20"/>
          <w:vertAlign w:val="baseline"/>
        </w:rPr>
        <w:t>de </w:t>
      </w:r>
      <w:r>
        <w:rPr>
          <w:color w:val="231F20"/>
          <w:sz w:val="20"/>
          <w:vertAlign w:val="baseline"/>
        </w:rPr>
        <w:t>contre-espionnage</w:t>
      </w:r>
      <w:r>
        <w:rPr>
          <w:color w:val="231F20"/>
          <w:spacing w:val="40"/>
          <w:sz w:val="20"/>
          <w:vertAlign w:val="baseline"/>
        </w:rPr>
        <w:t> </w:t>
      </w:r>
      <w:r>
        <w:rPr>
          <w:color w:val="231F20"/>
          <w:sz w:val="20"/>
          <w:vertAlign w:val="baseline"/>
        </w:rPr>
        <w:t>(SDECE)</w:t>
      </w:r>
      <w:r>
        <w:rPr>
          <w:color w:val="231F20"/>
          <w:spacing w:val="40"/>
          <w:sz w:val="20"/>
          <w:vertAlign w:val="baseline"/>
        </w:rPr>
        <w:t> </w:t>
      </w:r>
      <w:r>
        <w:rPr>
          <w:color w:val="231F20"/>
          <w:sz w:val="20"/>
          <w:vertAlign w:val="baseline"/>
        </w:rPr>
        <w:t>de</w:t>
      </w:r>
      <w:r>
        <w:rPr>
          <w:color w:val="231F20"/>
          <w:spacing w:val="40"/>
          <w:sz w:val="20"/>
          <w:vertAlign w:val="baseline"/>
        </w:rPr>
        <w:t> </w:t>
      </w:r>
      <w:r>
        <w:rPr>
          <w:color w:val="231F20"/>
          <w:sz w:val="20"/>
          <w:vertAlign w:val="baseline"/>
        </w:rPr>
        <w:t>1958</w:t>
      </w:r>
      <w:r>
        <w:rPr>
          <w:color w:val="231F20"/>
          <w:spacing w:val="40"/>
          <w:sz w:val="20"/>
          <w:vertAlign w:val="baseline"/>
        </w:rPr>
        <w:t> </w:t>
      </w:r>
      <w:r>
        <w:rPr>
          <w:color w:val="231F20"/>
          <w:sz w:val="20"/>
          <w:vertAlign w:val="baseline"/>
        </w:rPr>
        <w:t>à</w:t>
      </w:r>
      <w:r>
        <w:rPr>
          <w:color w:val="231F20"/>
          <w:spacing w:val="40"/>
          <w:sz w:val="20"/>
          <w:vertAlign w:val="baseline"/>
        </w:rPr>
        <w:t> </w:t>
      </w:r>
      <w:r>
        <w:rPr>
          <w:color w:val="231F20"/>
          <w:sz w:val="20"/>
          <w:vertAlign w:val="baseline"/>
        </w:rPr>
        <w:t>1968«</w:t>
      </w:r>
      <w:r>
        <w:rPr>
          <w:color w:val="231F20"/>
          <w:spacing w:val="-11"/>
          <w:sz w:val="20"/>
          <w:vertAlign w:val="baseline"/>
        </w:rPr>
        <w:t> </w:t>
      </w:r>
      <w:r>
        <w:rPr>
          <w:color w:val="231F20"/>
          <w:sz w:val="20"/>
          <w:vertAlign w:val="baseline"/>
        </w:rPr>
        <w:t>Opération</w:t>
      </w:r>
      <w:r>
        <w:rPr>
          <w:color w:val="231F20"/>
          <w:spacing w:val="40"/>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Persil</w:t>
      </w:r>
      <w:r>
        <w:rPr>
          <w:color w:val="231F20"/>
          <w:spacing w:val="-12"/>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w:t>
      </w:r>
      <w:r>
        <w:rPr>
          <w:color w:val="231F20"/>
          <w:spacing w:val="-12"/>
          <w:sz w:val="20"/>
          <w:vertAlign w:val="baseline"/>
        </w:rPr>
        <w:t> </w:t>
      </w:r>
      <w:r>
        <w:rPr>
          <w:color w:val="231F20"/>
          <w:sz w:val="20"/>
          <w:vertAlign w:val="baseline"/>
        </w:rPr>
        <w:t>Le</w:t>
      </w:r>
      <w:r>
        <w:rPr>
          <w:color w:val="231F20"/>
          <w:spacing w:val="40"/>
          <w:sz w:val="20"/>
          <w:vertAlign w:val="baseline"/>
        </w:rPr>
        <w:t> </w:t>
      </w:r>
      <w:r>
        <w:rPr>
          <w:color w:val="231F20"/>
          <w:sz w:val="20"/>
          <w:vertAlign w:val="baseline"/>
        </w:rPr>
        <w:t>Monde </w:t>
      </w:r>
      <w:r>
        <w:rPr>
          <w:color w:val="231F20"/>
          <w:spacing w:val="-2"/>
          <w:sz w:val="20"/>
          <w:vertAlign w:val="baseline"/>
        </w:rPr>
        <w:t>diplomatique.</w:t>
      </w:r>
    </w:p>
    <w:p>
      <w:pPr>
        <w:spacing w:after="0"/>
        <w:jc w:val="both"/>
        <w:rPr>
          <w:sz w:val="20"/>
        </w:rPr>
        <w:sectPr>
          <w:pgSz w:w="8790" w:h="13610"/>
          <w:pgMar w:header="0" w:footer="802" w:top="1060" w:bottom="1000" w:left="880" w:right="880"/>
        </w:sectPr>
      </w:pPr>
    </w:p>
    <w:p>
      <w:pPr>
        <w:pStyle w:val="BodyText"/>
        <w:spacing w:before="66"/>
        <w:ind w:right="103"/>
      </w:pPr>
      <w:r>
        <w:rPr>
          <w:color w:val="231F20"/>
        </w:rPr>
        <w:t>surtout</w:t>
      </w:r>
      <w:r>
        <w:rPr>
          <w:color w:val="231F20"/>
          <w:spacing w:val="-15"/>
        </w:rPr>
        <w:t> </w:t>
      </w:r>
      <w:r>
        <w:rPr>
          <w:color w:val="231F20"/>
        </w:rPr>
        <w:t>«</w:t>
      </w:r>
      <w:r>
        <w:rPr>
          <w:color w:val="231F20"/>
          <w:spacing w:val="-15"/>
        </w:rPr>
        <w:t> </w:t>
      </w:r>
      <w:r>
        <w:rPr>
          <w:color w:val="231F20"/>
        </w:rPr>
        <w:t>torpillé</w:t>
      </w:r>
      <w:r>
        <w:rPr>
          <w:color w:val="231F20"/>
          <w:spacing w:val="-15"/>
        </w:rPr>
        <w:t> </w:t>
      </w:r>
      <w:r>
        <w:rPr>
          <w:color w:val="231F20"/>
        </w:rPr>
        <w:t>»</w:t>
      </w:r>
      <w:r>
        <w:rPr>
          <w:color w:val="231F20"/>
          <w:spacing w:val="-5"/>
        </w:rPr>
        <w:t> </w:t>
      </w:r>
      <w:r>
        <w:rPr>
          <w:color w:val="231F20"/>
        </w:rPr>
        <w:t>par de</w:t>
      </w:r>
      <w:r>
        <w:rPr>
          <w:color w:val="231F20"/>
          <w:spacing w:val="-2"/>
        </w:rPr>
        <w:t> </w:t>
      </w:r>
      <w:r>
        <w:rPr>
          <w:color w:val="231F20"/>
        </w:rPr>
        <w:t>Gaulle,</w:t>
      </w:r>
      <w:r>
        <w:rPr>
          <w:color w:val="231F20"/>
          <w:spacing w:val="-1"/>
        </w:rPr>
        <w:t> </w:t>
      </w:r>
      <w:r>
        <w:rPr>
          <w:color w:val="231F20"/>
        </w:rPr>
        <w:t>ignoré par ses</w:t>
      </w:r>
      <w:r>
        <w:rPr>
          <w:color w:val="231F20"/>
          <w:spacing w:val="-1"/>
        </w:rPr>
        <w:t> </w:t>
      </w:r>
      <w:r>
        <w:rPr>
          <w:color w:val="231F20"/>
        </w:rPr>
        <w:t>pairs,</w:t>
      </w:r>
      <w:r>
        <w:rPr>
          <w:color w:val="231F20"/>
          <w:spacing w:val="-1"/>
        </w:rPr>
        <w:t> </w:t>
      </w:r>
      <w:r>
        <w:rPr>
          <w:color w:val="231F20"/>
        </w:rPr>
        <w:t>Sékou</w:t>
      </w:r>
      <w:r>
        <w:rPr>
          <w:color w:val="231F20"/>
          <w:spacing w:val="-2"/>
        </w:rPr>
        <w:t> </w:t>
      </w:r>
      <w:r>
        <w:rPr>
          <w:color w:val="231F20"/>
        </w:rPr>
        <w:t>s’enfonce dans la Révolution.</w:t>
      </w:r>
      <w:r>
        <w:rPr>
          <w:color w:val="231F20"/>
          <w:spacing w:val="-15"/>
        </w:rPr>
        <w:t> </w:t>
      </w:r>
      <w:r>
        <w:rPr>
          <w:color w:val="231F20"/>
        </w:rPr>
        <w:t>Il se tourne vers le Ghana, le seul pays africain qui accepte de l’aider. Mais le Ghana n’a pas assez de moyens, alors il se dirige</w:t>
      </w:r>
      <w:r>
        <w:rPr>
          <w:color w:val="231F20"/>
          <w:spacing w:val="-7"/>
        </w:rPr>
        <w:t> </w:t>
      </w:r>
      <w:r>
        <w:rPr>
          <w:color w:val="231F20"/>
        </w:rPr>
        <w:t>vers</w:t>
      </w:r>
      <w:r>
        <w:rPr>
          <w:color w:val="231F20"/>
          <w:spacing w:val="-9"/>
        </w:rPr>
        <w:t> </w:t>
      </w:r>
      <w:r>
        <w:rPr>
          <w:color w:val="231F20"/>
        </w:rPr>
        <w:t>les</w:t>
      </w:r>
      <w:r>
        <w:rPr>
          <w:color w:val="231F20"/>
          <w:spacing w:val="-7"/>
        </w:rPr>
        <w:t> </w:t>
      </w:r>
      <w:r>
        <w:rPr>
          <w:color w:val="231F20"/>
        </w:rPr>
        <w:t>pays</w:t>
      </w:r>
      <w:r>
        <w:rPr>
          <w:color w:val="231F20"/>
          <w:spacing w:val="-6"/>
        </w:rPr>
        <w:t> </w:t>
      </w:r>
      <w:r>
        <w:rPr>
          <w:color w:val="231F20"/>
        </w:rPr>
        <w:t>de</w:t>
      </w:r>
      <w:r>
        <w:rPr>
          <w:color w:val="231F20"/>
          <w:spacing w:val="-7"/>
        </w:rPr>
        <w:t> </w:t>
      </w:r>
      <w:r>
        <w:rPr>
          <w:color w:val="231F20"/>
        </w:rPr>
        <w:t>l'Est.</w:t>
      </w:r>
      <w:r>
        <w:rPr>
          <w:color w:val="231F20"/>
          <w:spacing w:val="-5"/>
        </w:rPr>
        <w:t> </w:t>
      </w:r>
      <w:r>
        <w:rPr>
          <w:color w:val="231F20"/>
        </w:rPr>
        <w:t>Les</w:t>
      </w:r>
      <w:r>
        <w:rPr>
          <w:color w:val="231F20"/>
          <w:spacing w:val="-6"/>
        </w:rPr>
        <w:t> </w:t>
      </w:r>
      <w:r>
        <w:rPr>
          <w:color w:val="231F20"/>
        </w:rPr>
        <w:t>États-Unis</w:t>
      </w:r>
      <w:r>
        <w:rPr>
          <w:color w:val="231F20"/>
          <w:spacing w:val="-6"/>
        </w:rPr>
        <w:t> </w:t>
      </w:r>
      <w:r>
        <w:rPr>
          <w:color w:val="231F20"/>
        </w:rPr>
        <w:t>qui</w:t>
      </w:r>
      <w:r>
        <w:rPr>
          <w:color w:val="231F20"/>
          <w:spacing w:val="-6"/>
        </w:rPr>
        <w:t> </w:t>
      </w:r>
      <w:r>
        <w:rPr>
          <w:color w:val="231F20"/>
        </w:rPr>
        <w:t>ne</w:t>
      </w:r>
      <w:r>
        <w:rPr>
          <w:color w:val="231F20"/>
          <w:spacing w:val="-7"/>
        </w:rPr>
        <w:t> </w:t>
      </w:r>
      <w:r>
        <w:rPr>
          <w:color w:val="231F20"/>
        </w:rPr>
        <w:t>veulent</w:t>
      </w:r>
      <w:r>
        <w:rPr>
          <w:color w:val="231F20"/>
          <w:spacing w:val="-6"/>
        </w:rPr>
        <w:t> </w:t>
      </w:r>
      <w:r>
        <w:rPr>
          <w:color w:val="231F20"/>
        </w:rPr>
        <w:t>pas</w:t>
      </w:r>
      <w:r>
        <w:rPr>
          <w:color w:val="231F20"/>
          <w:spacing w:val="-6"/>
        </w:rPr>
        <w:t> </w:t>
      </w:r>
      <w:r>
        <w:rPr>
          <w:color w:val="231F20"/>
        </w:rPr>
        <w:t>laisser</w:t>
      </w:r>
      <w:r>
        <w:rPr>
          <w:color w:val="231F20"/>
          <w:spacing w:val="-7"/>
        </w:rPr>
        <w:t> </w:t>
      </w:r>
      <w:r>
        <w:rPr>
          <w:color w:val="231F20"/>
        </w:rPr>
        <w:t>le champ</w:t>
      </w:r>
      <w:r>
        <w:rPr>
          <w:color w:val="231F20"/>
          <w:spacing w:val="-11"/>
        </w:rPr>
        <w:t> </w:t>
      </w:r>
      <w:r>
        <w:rPr>
          <w:color w:val="231F20"/>
        </w:rPr>
        <w:t>libre</w:t>
      </w:r>
      <w:r>
        <w:rPr>
          <w:color w:val="231F20"/>
          <w:spacing w:val="-11"/>
        </w:rPr>
        <w:t> </w:t>
      </w:r>
      <w:r>
        <w:rPr>
          <w:color w:val="231F20"/>
        </w:rPr>
        <w:t>aux</w:t>
      </w:r>
      <w:r>
        <w:rPr>
          <w:color w:val="231F20"/>
          <w:spacing w:val="-12"/>
        </w:rPr>
        <w:t> </w:t>
      </w:r>
      <w:r>
        <w:rPr>
          <w:color w:val="231F20"/>
        </w:rPr>
        <w:t>communistes,</w:t>
      </w:r>
      <w:r>
        <w:rPr>
          <w:color w:val="231F20"/>
          <w:spacing w:val="-11"/>
        </w:rPr>
        <w:t> </w:t>
      </w:r>
      <w:r>
        <w:rPr>
          <w:color w:val="231F20"/>
        </w:rPr>
        <w:t>vole</w:t>
      </w:r>
      <w:r>
        <w:rPr>
          <w:color w:val="231F20"/>
          <w:spacing w:val="-11"/>
        </w:rPr>
        <w:t> </w:t>
      </w:r>
      <w:r>
        <w:rPr>
          <w:color w:val="231F20"/>
        </w:rPr>
        <w:t>à</w:t>
      </w:r>
      <w:r>
        <w:rPr>
          <w:color w:val="231F20"/>
          <w:spacing w:val="-11"/>
        </w:rPr>
        <w:t> </w:t>
      </w:r>
      <w:r>
        <w:rPr>
          <w:color w:val="231F20"/>
        </w:rPr>
        <w:t>son</w:t>
      </w:r>
      <w:r>
        <w:rPr>
          <w:color w:val="231F20"/>
          <w:spacing w:val="-11"/>
        </w:rPr>
        <w:t> </w:t>
      </w:r>
      <w:r>
        <w:rPr>
          <w:color w:val="231F20"/>
        </w:rPr>
        <w:t>secours.</w:t>
      </w:r>
      <w:r>
        <w:rPr>
          <w:color w:val="231F20"/>
          <w:spacing w:val="-13"/>
        </w:rPr>
        <w:t> </w:t>
      </w:r>
      <w:r>
        <w:rPr>
          <w:color w:val="231F20"/>
        </w:rPr>
        <w:t>Mais</w:t>
      </w:r>
      <w:r>
        <w:rPr>
          <w:color w:val="231F20"/>
          <w:spacing w:val="-13"/>
        </w:rPr>
        <w:t> </w:t>
      </w:r>
      <w:r>
        <w:rPr>
          <w:color w:val="231F20"/>
        </w:rPr>
        <w:t>Sékou</w:t>
      </w:r>
      <w:r>
        <w:rPr>
          <w:color w:val="231F20"/>
          <w:spacing w:val="-12"/>
        </w:rPr>
        <w:t> </w:t>
      </w:r>
      <w:r>
        <w:rPr>
          <w:color w:val="231F20"/>
        </w:rPr>
        <w:t>Touré</w:t>
      </w:r>
      <w:r>
        <w:rPr>
          <w:color w:val="231F20"/>
          <w:spacing w:val="-13"/>
        </w:rPr>
        <w:t> </w:t>
      </w:r>
      <w:r>
        <w:rPr>
          <w:color w:val="231F20"/>
        </w:rPr>
        <w:t>se </w:t>
      </w:r>
      <w:r>
        <w:rPr>
          <w:color w:val="231F20"/>
          <w:spacing w:val="-2"/>
        </w:rPr>
        <w:t>méfie</w:t>
      </w:r>
      <w:r>
        <w:rPr>
          <w:color w:val="231F20"/>
          <w:spacing w:val="-9"/>
        </w:rPr>
        <w:t> </w:t>
      </w:r>
      <w:r>
        <w:rPr>
          <w:color w:val="231F20"/>
          <w:spacing w:val="-2"/>
        </w:rPr>
        <w:t>de</w:t>
      </w:r>
      <w:r>
        <w:rPr>
          <w:color w:val="231F20"/>
          <w:spacing w:val="-10"/>
        </w:rPr>
        <w:t> </w:t>
      </w:r>
      <w:r>
        <w:rPr>
          <w:color w:val="231F20"/>
          <w:spacing w:val="-2"/>
        </w:rPr>
        <w:t>tous</w:t>
      </w:r>
      <w:r>
        <w:rPr>
          <w:color w:val="231F20"/>
          <w:spacing w:val="-8"/>
        </w:rPr>
        <w:t> </w:t>
      </w:r>
      <w:r>
        <w:rPr>
          <w:color w:val="231F20"/>
          <w:spacing w:val="-2"/>
        </w:rPr>
        <w:t>et,</w:t>
      </w:r>
      <w:r>
        <w:rPr>
          <w:color w:val="231F20"/>
          <w:spacing w:val="-10"/>
        </w:rPr>
        <w:t> </w:t>
      </w:r>
      <w:r>
        <w:rPr>
          <w:color w:val="231F20"/>
          <w:spacing w:val="-2"/>
        </w:rPr>
        <w:t>ses</w:t>
      </w:r>
      <w:r>
        <w:rPr>
          <w:color w:val="231F20"/>
          <w:spacing w:val="-8"/>
        </w:rPr>
        <w:t> </w:t>
      </w:r>
      <w:r>
        <w:rPr>
          <w:color w:val="231F20"/>
          <w:spacing w:val="-2"/>
        </w:rPr>
        <w:t>amitiés</w:t>
      </w:r>
      <w:r>
        <w:rPr>
          <w:color w:val="231F20"/>
          <w:spacing w:val="-8"/>
        </w:rPr>
        <w:t> </w:t>
      </w:r>
      <w:r>
        <w:rPr>
          <w:color w:val="231F20"/>
          <w:spacing w:val="-2"/>
        </w:rPr>
        <w:t>vacillent</w:t>
      </w:r>
      <w:r>
        <w:rPr>
          <w:color w:val="231F20"/>
          <w:spacing w:val="-7"/>
        </w:rPr>
        <w:t> </w:t>
      </w:r>
      <w:r>
        <w:rPr>
          <w:color w:val="231F20"/>
          <w:spacing w:val="-2"/>
        </w:rPr>
        <w:t>selon</w:t>
      </w:r>
      <w:r>
        <w:rPr>
          <w:color w:val="231F20"/>
          <w:spacing w:val="-10"/>
        </w:rPr>
        <w:t> </w:t>
      </w:r>
      <w:r>
        <w:rPr>
          <w:color w:val="231F20"/>
          <w:spacing w:val="-2"/>
        </w:rPr>
        <w:t>ses</w:t>
      </w:r>
      <w:r>
        <w:rPr>
          <w:color w:val="231F20"/>
          <w:spacing w:val="-10"/>
        </w:rPr>
        <w:t> </w:t>
      </w:r>
      <w:r>
        <w:rPr>
          <w:color w:val="231F20"/>
          <w:spacing w:val="-2"/>
        </w:rPr>
        <w:t>intérêts</w:t>
      </w:r>
      <w:r>
        <w:rPr>
          <w:color w:val="231F20"/>
          <w:spacing w:val="-8"/>
        </w:rPr>
        <w:t> </w:t>
      </w:r>
      <w:r>
        <w:rPr>
          <w:color w:val="231F20"/>
          <w:spacing w:val="-2"/>
        </w:rPr>
        <w:t>du</w:t>
      </w:r>
      <w:r>
        <w:rPr>
          <w:color w:val="231F20"/>
          <w:spacing w:val="-10"/>
        </w:rPr>
        <w:t> </w:t>
      </w:r>
      <w:r>
        <w:rPr>
          <w:color w:val="231F20"/>
          <w:spacing w:val="-2"/>
        </w:rPr>
        <w:t>moment.</w:t>
      </w:r>
      <w:r>
        <w:rPr>
          <w:color w:val="231F20"/>
          <w:spacing w:val="-8"/>
        </w:rPr>
        <w:t> </w:t>
      </w:r>
      <w:r>
        <w:rPr>
          <w:color w:val="231F20"/>
          <w:spacing w:val="-2"/>
        </w:rPr>
        <w:t>Il</w:t>
      </w:r>
      <w:r>
        <w:rPr>
          <w:color w:val="231F20"/>
          <w:spacing w:val="-7"/>
        </w:rPr>
        <w:t> </w:t>
      </w:r>
      <w:r>
        <w:rPr>
          <w:color w:val="231F20"/>
          <w:spacing w:val="-2"/>
        </w:rPr>
        <w:t>est hanté</w:t>
      </w:r>
      <w:r>
        <w:rPr>
          <w:color w:val="231F20"/>
          <w:spacing w:val="-13"/>
        </w:rPr>
        <w:t> </w:t>
      </w:r>
      <w:r>
        <w:rPr>
          <w:color w:val="231F20"/>
          <w:spacing w:val="-2"/>
        </w:rPr>
        <w:t>par</w:t>
      </w:r>
      <w:r>
        <w:rPr>
          <w:color w:val="231F20"/>
          <w:spacing w:val="-13"/>
        </w:rPr>
        <w:t> </w:t>
      </w:r>
      <w:r>
        <w:rPr>
          <w:color w:val="231F20"/>
          <w:spacing w:val="-2"/>
        </w:rPr>
        <w:t>les</w:t>
      </w:r>
      <w:r>
        <w:rPr>
          <w:color w:val="231F20"/>
          <w:spacing w:val="-13"/>
        </w:rPr>
        <w:t> </w:t>
      </w:r>
      <w:r>
        <w:rPr>
          <w:color w:val="231F20"/>
          <w:spacing w:val="-2"/>
        </w:rPr>
        <w:t>complots</w:t>
      </w:r>
      <w:r>
        <w:rPr>
          <w:color w:val="231F20"/>
          <w:spacing w:val="-13"/>
        </w:rPr>
        <w:t> </w:t>
      </w:r>
      <w:r>
        <w:rPr>
          <w:color w:val="231F20"/>
          <w:spacing w:val="-2"/>
        </w:rPr>
        <w:t>et</w:t>
      </w:r>
      <w:r>
        <w:rPr>
          <w:color w:val="231F20"/>
          <w:spacing w:val="-13"/>
        </w:rPr>
        <w:t> </w:t>
      </w:r>
      <w:r>
        <w:rPr>
          <w:color w:val="231F20"/>
          <w:spacing w:val="-2"/>
        </w:rPr>
        <w:t>ses</w:t>
      </w:r>
      <w:r>
        <w:rPr>
          <w:color w:val="231F20"/>
          <w:spacing w:val="-13"/>
        </w:rPr>
        <w:t> </w:t>
      </w:r>
      <w:r>
        <w:rPr>
          <w:color w:val="231F20"/>
          <w:spacing w:val="-2"/>
        </w:rPr>
        <w:t>compatriotes</w:t>
      </w:r>
      <w:r>
        <w:rPr>
          <w:color w:val="231F20"/>
          <w:spacing w:val="-13"/>
        </w:rPr>
        <w:t> </w:t>
      </w:r>
      <w:r>
        <w:rPr>
          <w:color w:val="231F20"/>
          <w:spacing w:val="-2"/>
        </w:rPr>
        <w:t>qu’il</w:t>
      </w:r>
      <w:r>
        <w:rPr>
          <w:color w:val="231F20"/>
          <w:spacing w:val="-12"/>
        </w:rPr>
        <w:t> </w:t>
      </w:r>
      <w:r>
        <w:rPr>
          <w:color w:val="231F20"/>
          <w:spacing w:val="-2"/>
        </w:rPr>
        <w:t>soupçonne</w:t>
      </w:r>
      <w:r>
        <w:rPr>
          <w:color w:val="231F20"/>
          <w:spacing w:val="-13"/>
        </w:rPr>
        <w:t> </w:t>
      </w:r>
      <w:r>
        <w:rPr>
          <w:color w:val="231F20"/>
          <w:spacing w:val="-2"/>
        </w:rPr>
        <w:t>d’intelligence </w:t>
      </w:r>
      <w:r>
        <w:rPr>
          <w:color w:val="231F20"/>
        </w:rPr>
        <w:t>avec</w:t>
      </w:r>
      <w:r>
        <w:rPr>
          <w:color w:val="231F20"/>
          <w:spacing w:val="40"/>
        </w:rPr>
        <w:t> </w:t>
      </w:r>
      <w:r>
        <w:rPr>
          <w:color w:val="231F20"/>
        </w:rPr>
        <w:t>les</w:t>
      </w:r>
      <w:r>
        <w:rPr>
          <w:color w:val="231F20"/>
          <w:spacing w:val="40"/>
        </w:rPr>
        <w:t> </w:t>
      </w:r>
      <w:r>
        <w:rPr>
          <w:color w:val="231F20"/>
        </w:rPr>
        <w:t>«</w:t>
      </w:r>
      <w:r>
        <w:rPr>
          <w:color w:val="231F20"/>
          <w:spacing w:val="-12"/>
        </w:rPr>
        <w:t> </w:t>
      </w:r>
      <w:r>
        <w:rPr>
          <w:color w:val="231F20"/>
        </w:rPr>
        <w:t>impérialistes</w:t>
      </w:r>
      <w:r>
        <w:rPr>
          <w:color w:val="231F20"/>
          <w:spacing w:val="40"/>
        </w:rPr>
        <w:t> </w:t>
      </w:r>
      <w:r>
        <w:rPr>
          <w:color w:val="231F20"/>
        </w:rPr>
        <w:t>occidentaux</w:t>
      </w:r>
      <w:r>
        <w:rPr>
          <w:color w:val="231F20"/>
          <w:spacing w:val="-10"/>
        </w:rPr>
        <w:t> </w:t>
      </w:r>
      <w:r>
        <w:rPr>
          <w:color w:val="231F20"/>
        </w:rPr>
        <w:t>»</w:t>
      </w:r>
      <w:r>
        <w:rPr>
          <w:color w:val="231F20"/>
          <w:spacing w:val="40"/>
        </w:rPr>
        <w:t> </w:t>
      </w:r>
      <w:r>
        <w:rPr>
          <w:color w:val="231F20"/>
        </w:rPr>
        <w:t>le</w:t>
      </w:r>
      <w:r>
        <w:rPr>
          <w:color w:val="231F20"/>
          <w:spacing w:val="40"/>
        </w:rPr>
        <w:t> </w:t>
      </w:r>
      <w:r>
        <w:rPr>
          <w:color w:val="231F20"/>
        </w:rPr>
        <w:t>paient</w:t>
      </w:r>
      <w:r>
        <w:rPr>
          <w:color w:val="231F20"/>
          <w:spacing w:val="40"/>
        </w:rPr>
        <w:t> </w:t>
      </w:r>
      <w:r>
        <w:rPr>
          <w:color w:val="231F20"/>
        </w:rPr>
        <w:t>chèrement</w:t>
      </w:r>
      <w:r>
        <w:rPr>
          <w:color w:val="231F20"/>
          <w:spacing w:val="-11"/>
        </w:rPr>
        <w:t> </w:t>
      </w:r>
      <w:r>
        <w:rPr>
          <w:color w:val="231F20"/>
        </w:rPr>
        <w:t>: </w:t>
      </w:r>
      <w:r>
        <w:rPr>
          <w:color w:val="231F20"/>
          <w:spacing w:val="-4"/>
        </w:rPr>
        <w:t>condamnations</w:t>
      </w:r>
      <w:r>
        <w:rPr>
          <w:color w:val="231F20"/>
          <w:spacing w:val="-11"/>
        </w:rPr>
        <w:t> </w:t>
      </w:r>
      <w:r>
        <w:rPr>
          <w:color w:val="231F20"/>
          <w:spacing w:val="-4"/>
        </w:rPr>
        <w:t>à</w:t>
      </w:r>
      <w:r>
        <w:rPr>
          <w:color w:val="231F20"/>
          <w:spacing w:val="-11"/>
        </w:rPr>
        <w:t> </w:t>
      </w:r>
      <w:r>
        <w:rPr>
          <w:color w:val="231F20"/>
          <w:spacing w:val="-4"/>
        </w:rPr>
        <w:t>mort.</w:t>
      </w:r>
      <w:r>
        <w:rPr>
          <w:color w:val="231F20"/>
          <w:spacing w:val="-11"/>
        </w:rPr>
        <w:t> </w:t>
      </w:r>
      <w:r>
        <w:rPr>
          <w:color w:val="231F20"/>
          <w:spacing w:val="-4"/>
        </w:rPr>
        <w:t>Les</w:t>
      </w:r>
      <w:r>
        <w:rPr>
          <w:color w:val="231F20"/>
          <w:spacing w:val="-11"/>
        </w:rPr>
        <w:t> </w:t>
      </w:r>
      <w:r>
        <w:rPr>
          <w:color w:val="231F20"/>
          <w:spacing w:val="-4"/>
        </w:rPr>
        <w:t>plus</w:t>
      </w:r>
      <w:r>
        <w:rPr>
          <w:color w:val="231F20"/>
          <w:spacing w:val="-11"/>
        </w:rPr>
        <w:t> </w:t>
      </w:r>
      <w:r>
        <w:rPr>
          <w:color w:val="231F20"/>
          <w:spacing w:val="-4"/>
        </w:rPr>
        <w:t>chanceux</w:t>
      </w:r>
      <w:r>
        <w:rPr>
          <w:color w:val="231F20"/>
          <w:spacing w:val="-11"/>
        </w:rPr>
        <w:t> </w:t>
      </w:r>
      <w:r>
        <w:rPr>
          <w:color w:val="231F20"/>
          <w:spacing w:val="-4"/>
        </w:rPr>
        <w:t>se</w:t>
      </w:r>
      <w:r>
        <w:rPr>
          <w:color w:val="231F20"/>
          <w:spacing w:val="-11"/>
        </w:rPr>
        <w:t> </w:t>
      </w:r>
      <w:r>
        <w:rPr>
          <w:color w:val="231F20"/>
          <w:spacing w:val="-4"/>
        </w:rPr>
        <w:t>retrouvent</w:t>
      </w:r>
      <w:r>
        <w:rPr>
          <w:color w:val="231F20"/>
          <w:spacing w:val="-11"/>
        </w:rPr>
        <w:t> </w:t>
      </w:r>
      <w:r>
        <w:rPr>
          <w:color w:val="231F20"/>
          <w:spacing w:val="-4"/>
        </w:rPr>
        <w:t>en</w:t>
      </w:r>
      <w:r>
        <w:rPr>
          <w:color w:val="231F20"/>
          <w:spacing w:val="-11"/>
        </w:rPr>
        <w:t> </w:t>
      </w:r>
      <w:r>
        <w:rPr>
          <w:color w:val="231F20"/>
          <w:spacing w:val="-4"/>
        </w:rPr>
        <w:t>prison</w:t>
      </w:r>
      <w:r>
        <w:rPr>
          <w:color w:val="231F20"/>
          <w:spacing w:val="-11"/>
        </w:rPr>
        <w:t> </w:t>
      </w:r>
      <w:r>
        <w:rPr>
          <w:color w:val="231F20"/>
          <w:spacing w:val="-4"/>
        </w:rPr>
        <w:t>au</w:t>
      </w:r>
      <w:r>
        <w:rPr>
          <w:color w:val="231F20"/>
          <w:spacing w:val="-11"/>
        </w:rPr>
        <w:t> </w:t>
      </w:r>
      <w:r>
        <w:rPr>
          <w:color w:val="231F20"/>
          <w:spacing w:val="-4"/>
        </w:rPr>
        <w:t>camp </w:t>
      </w:r>
      <w:r>
        <w:rPr>
          <w:color w:val="231F20"/>
        </w:rPr>
        <w:t>Boiro, à l'entrée de la capitale…</w:t>
      </w:r>
    </w:p>
    <w:p>
      <w:pPr>
        <w:spacing w:before="121"/>
        <w:ind w:left="111" w:right="107" w:firstLine="283"/>
        <w:jc w:val="both"/>
        <w:rPr>
          <w:sz w:val="24"/>
        </w:rPr>
      </w:pPr>
      <w:r>
        <w:rPr>
          <w:color w:val="231F20"/>
          <w:sz w:val="24"/>
        </w:rPr>
        <w:t>Sékou Touré a une piètre opinion de ses anciens compagnons de lutte</w:t>
      </w:r>
      <w:r>
        <w:rPr>
          <w:color w:val="231F20"/>
          <w:spacing w:val="-15"/>
          <w:sz w:val="24"/>
        </w:rPr>
        <w:t> </w:t>
      </w:r>
      <w:r>
        <w:rPr>
          <w:color w:val="231F20"/>
          <w:sz w:val="24"/>
        </w:rPr>
        <w:t>:</w:t>
      </w:r>
      <w:r>
        <w:rPr>
          <w:i/>
          <w:color w:val="231F20"/>
          <w:sz w:val="24"/>
        </w:rPr>
        <w:t>«</w:t>
      </w:r>
      <w:r>
        <w:rPr>
          <w:i/>
          <w:color w:val="231F20"/>
          <w:spacing w:val="-11"/>
          <w:sz w:val="24"/>
        </w:rPr>
        <w:t> </w:t>
      </w:r>
      <w:r>
        <w:rPr>
          <w:i/>
          <w:color w:val="231F20"/>
          <w:sz w:val="24"/>
        </w:rPr>
        <w:t>ceux</w:t>
      </w:r>
      <w:r>
        <w:rPr>
          <w:i/>
          <w:color w:val="231F20"/>
          <w:spacing w:val="-9"/>
          <w:sz w:val="24"/>
        </w:rPr>
        <w:t> </w:t>
      </w:r>
      <w:r>
        <w:rPr>
          <w:i/>
          <w:color w:val="231F20"/>
          <w:sz w:val="24"/>
        </w:rPr>
        <w:t>qui</w:t>
      </w:r>
      <w:r>
        <w:rPr>
          <w:i/>
          <w:color w:val="231F20"/>
          <w:spacing w:val="-9"/>
          <w:sz w:val="24"/>
        </w:rPr>
        <w:t> </w:t>
      </w:r>
      <w:r>
        <w:rPr>
          <w:i/>
          <w:color w:val="231F20"/>
          <w:sz w:val="24"/>
        </w:rPr>
        <w:t>préfèrent</w:t>
      </w:r>
      <w:r>
        <w:rPr>
          <w:i/>
          <w:color w:val="231F20"/>
          <w:spacing w:val="-11"/>
          <w:sz w:val="24"/>
        </w:rPr>
        <w:t> </w:t>
      </w:r>
      <w:r>
        <w:rPr>
          <w:i/>
          <w:color w:val="231F20"/>
          <w:sz w:val="24"/>
        </w:rPr>
        <w:t>le</w:t>
      </w:r>
      <w:r>
        <w:rPr>
          <w:i/>
          <w:color w:val="231F20"/>
          <w:spacing w:val="-9"/>
          <w:sz w:val="24"/>
        </w:rPr>
        <w:t> </w:t>
      </w:r>
      <w:r>
        <w:rPr>
          <w:i/>
          <w:color w:val="231F20"/>
          <w:sz w:val="24"/>
        </w:rPr>
        <w:t>pain</w:t>
      </w:r>
      <w:r>
        <w:rPr>
          <w:i/>
          <w:color w:val="231F20"/>
          <w:spacing w:val="-9"/>
          <w:sz w:val="24"/>
        </w:rPr>
        <w:t> </w:t>
      </w:r>
      <w:r>
        <w:rPr>
          <w:i/>
          <w:color w:val="231F20"/>
          <w:sz w:val="24"/>
        </w:rPr>
        <w:t>beurré</w:t>
      </w:r>
      <w:r>
        <w:rPr>
          <w:i/>
          <w:color w:val="231F20"/>
          <w:spacing w:val="-9"/>
          <w:sz w:val="24"/>
        </w:rPr>
        <w:t> </w:t>
      </w:r>
      <w:r>
        <w:rPr>
          <w:i/>
          <w:color w:val="231F20"/>
          <w:sz w:val="24"/>
        </w:rPr>
        <w:t>dans</w:t>
      </w:r>
      <w:r>
        <w:rPr>
          <w:i/>
          <w:color w:val="231F20"/>
          <w:spacing w:val="-9"/>
          <w:sz w:val="24"/>
        </w:rPr>
        <w:t> </w:t>
      </w:r>
      <w:r>
        <w:rPr>
          <w:i/>
          <w:color w:val="231F20"/>
          <w:sz w:val="24"/>
        </w:rPr>
        <w:t>l'enceinte</w:t>
      </w:r>
      <w:r>
        <w:rPr>
          <w:i/>
          <w:color w:val="231F20"/>
          <w:spacing w:val="-9"/>
          <w:sz w:val="24"/>
        </w:rPr>
        <w:t> </w:t>
      </w:r>
      <w:r>
        <w:rPr>
          <w:i/>
          <w:color w:val="231F20"/>
          <w:sz w:val="24"/>
        </w:rPr>
        <w:t>de</w:t>
      </w:r>
      <w:r>
        <w:rPr>
          <w:i/>
          <w:color w:val="231F20"/>
          <w:spacing w:val="-9"/>
          <w:sz w:val="24"/>
        </w:rPr>
        <w:t> </w:t>
      </w:r>
      <w:r>
        <w:rPr>
          <w:i/>
          <w:color w:val="231F20"/>
          <w:sz w:val="24"/>
        </w:rPr>
        <w:t>la</w:t>
      </w:r>
      <w:r>
        <w:rPr>
          <w:i/>
          <w:color w:val="231F20"/>
          <w:spacing w:val="-9"/>
          <w:sz w:val="24"/>
        </w:rPr>
        <w:t> </w:t>
      </w:r>
      <w:r>
        <w:rPr>
          <w:i/>
          <w:color w:val="231F20"/>
          <w:sz w:val="24"/>
        </w:rPr>
        <w:t>prison</w:t>
      </w:r>
      <w:r>
        <w:rPr>
          <w:i/>
          <w:color w:val="231F20"/>
          <w:spacing w:val="-9"/>
          <w:sz w:val="24"/>
        </w:rPr>
        <w:t> </w:t>
      </w:r>
      <w:r>
        <w:rPr>
          <w:i/>
          <w:color w:val="231F20"/>
          <w:sz w:val="24"/>
        </w:rPr>
        <w:t>au</w:t>
      </w:r>
      <w:r>
        <w:rPr>
          <w:i/>
          <w:color w:val="231F20"/>
          <w:sz w:val="24"/>
        </w:rPr>
        <w:t> plat de manioc cultivé par</w:t>
      </w:r>
      <w:r>
        <w:rPr>
          <w:i/>
          <w:color w:val="231F20"/>
          <w:spacing w:val="-1"/>
          <w:sz w:val="24"/>
        </w:rPr>
        <w:t> </w:t>
      </w:r>
      <w:r>
        <w:rPr>
          <w:i/>
          <w:color w:val="231F20"/>
          <w:sz w:val="24"/>
        </w:rPr>
        <w:t>eux-mêmes » </w:t>
      </w:r>
      <w:r>
        <w:rPr>
          <w:color w:val="231F20"/>
          <w:sz w:val="24"/>
        </w:rPr>
        <w:t>dit-il.</w:t>
      </w:r>
    </w:p>
    <w:p>
      <w:pPr>
        <w:spacing w:before="120"/>
        <w:ind w:left="111" w:right="104" w:firstLine="283"/>
        <w:jc w:val="both"/>
        <w:rPr>
          <w:i/>
          <w:sz w:val="24"/>
        </w:rPr>
      </w:pPr>
      <w:r>
        <w:rPr>
          <w:color w:val="231F20"/>
          <w:spacing w:val="-4"/>
          <w:sz w:val="24"/>
        </w:rPr>
        <w:t>Le</w:t>
      </w:r>
      <w:r>
        <w:rPr>
          <w:color w:val="231F20"/>
          <w:spacing w:val="-7"/>
          <w:sz w:val="24"/>
        </w:rPr>
        <w:t> </w:t>
      </w:r>
      <w:r>
        <w:rPr>
          <w:color w:val="231F20"/>
          <w:spacing w:val="-4"/>
          <w:sz w:val="24"/>
        </w:rPr>
        <w:t>15</w:t>
      </w:r>
      <w:r>
        <w:rPr>
          <w:color w:val="231F20"/>
          <w:spacing w:val="-9"/>
          <w:sz w:val="24"/>
        </w:rPr>
        <w:t> </w:t>
      </w:r>
      <w:r>
        <w:rPr>
          <w:color w:val="231F20"/>
          <w:spacing w:val="-4"/>
          <w:sz w:val="24"/>
        </w:rPr>
        <w:t>novembre</w:t>
      </w:r>
      <w:r>
        <w:rPr>
          <w:color w:val="231F20"/>
          <w:spacing w:val="-9"/>
          <w:sz w:val="24"/>
        </w:rPr>
        <w:t> </w:t>
      </w:r>
      <w:r>
        <w:rPr>
          <w:color w:val="231F20"/>
          <w:spacing w:val="-4"/>
          <w:sz w:val="24"/>
        </w:rPr>
        <w:t>1965,</w:t>
      </w:r>
      <w:r>
        <w:rPr>
          <w:color w:val="231F20"/>
          <w:spacing w:val="-9"/>
          <w:sz w:val="24"/>
        </w:rPr>
        <w:t> </w:t>
      </w:r>
      <w:r>
        <w:rPr>
          <w:color w:val="231F20"/>
          <w:spacing w:val="-4"/>
          <w:sz w:val="24"/>
        </w:rPr>
        <w:t>sur</w:t>
      </w:r>
      <w:r>
        <w:rPr>
          <w:color w:val="231F20"/>
          <w:spacing w:val="-10"/>
          <w:sz w:val="24"/>
        </w:rPr>
        <w:t> </w:t>
      </w:r>
      <w:r>
        <w:rPr>
          <w:color w:val="231F20"/>
          <w:spacing w:val="-4"/>
          <w:sz w:val="24"/>
        </w:rPr>
        <w:t>Radio</w:t>
      </w:r>
      <w:r>
        <w:rPr>
          <w:color w:val="231F20"/>
          <w:spacing w:val="-9"/>
          <w:sz w:val="24"/>
        </w:rPr>
        <w:t> </w:t>
      </w:r>
      <w:r>
        <w:rPr>
          <w:color w:val="231F20"/>
          <w:spacing w:val="-4"/>
          <w:sz w:val="24"/>
        </w:rPr>
        <w:t>Conakry,</w:t>
      </w:r>
      <w:r>
        <w:rPr>
          <w:color w:val="231F20"/>
          <w:spacing w:val="-9"/>
          <w:sz w:val="24"/>
        </w:rPr>
        <w:t> </w:t>
      </w:r>
      <w:r>
        <w:rPr>
          <w:color w:val="231F20"/>
          <w:spacing w:val="-4"/>
          <w:sz w:val="24"/>
        </w:rPr>
        <w:t>Sékou</w:t>
      </w:r>
      <w:r>
        <w:rPr>
          <w:color w:val="231F20"/>
          <w:spacing w:val="-9"/>
          <w:sz w:val="24"/>
        </w:rPr>
        <w:t> </w:t>
      </w:r>
      <w:r>
        <w:rPr>
          <w:color w:val="231F20"/>
          <w:spacing w:val="-4"/>
          <w:sz w:val="24"/>
        </w:rPr>
        <w:t>Touré</w:t>
      </w:r>
      <w:r>
        <w:rPr>
          <w:color w:val="231F20"/>
          <w:spacing w:val="-7"/>
          <w:sz w:val="24"/>
        </w:rPr>
        <w:t> </w:t>
      </w:r>
      <w:r>
        <w:rPr>
          <w:color w:val="231F20"/>
          <w:spacing w:val="-4"/>
          <w:sz w:val="24"/>
        </w:rPr>
        <w:t>accuse</w:t>
      </w:r>
      <w:r>
        <w:rPr>
          <w:color w:val="231F20"/>
          <w:spacing w:val="-10"/>
          <w:sz w:val="24"/>
        </w:rPr>
        <w:t> </w:t>
      </w:r>
      <w:r>
        <w:rPr>
          <w:color w:val="231F20"/>
          <w:spacing w:val="-4"/>
          <w:sz w:val="24"/>
        </w:rPr>
        <w:t>le</w:t>
      </w:r>
      <w:r>
        <w:rPr>
          <w:color w:val="231F20"/>
          <w:spacing w:val="-7"/>
          <w:sz w:val="24"/>
        </w:rPr>
        <w:t> </w:t>
      </w:r>
      <w:r>
        <w:rPr>
          <w:color w:val="231F20"/>
          <w:spacing w:val="-4"/>
          <w:sz w:val="24"/>
        </w:rPr>
        <w:t>chef </w:t>
      </w:r>
      <w:r>
        <w:rPr>
          <w:color w:val="231F20"/>
          <w:spacing w:val="-2"/>
          <w:sz w:val="24"/>
        </w:rPr>
        <w:t>d'État</w:t>
      </w:r>
      <w:r>
        <w:rPr>
          <w:color w:val="231F20"/>
          <w:spacing w:val="-13"/>
          <w:sz w:val="24"/>
        </w:rPr>
        <w:t> </w:t>
      </w:r>
      <w:r>
        <w:rPr>
          <w:color w:val="231F20"/>
          <w:spacing w:val="-2"/>
          <w:sz w:val="24"/>
        </w:rPr>
        <w:t>ivoirien</w:t>
      </w:r>
      <w:r>
        <w:rPr>
          <w:color w:val="231F20"/>
          <w:spacing w:val="-13"/>
          <w:sz w:val="24"/>
        </w:rPr>
        <w:t> </w:t>
      </w:r>
      <w:r>
        <w:rPr>
          <w:color w:val="231F20"/>
          <w:spacing w:val="-2"/>
          <w:sz w:val="24"/>
        </w:rPr>
        <w:t>d'avoir</w:t>
      </w:r>
      <w:r>
        <w:rPr>
          <w:color w:val="231F20"/>
          <w:spacing w:val="-13"/>
          <w:sz w:val="24"/>
        </w:rPr>
        <w:t> </w:t>
      </w:r>
      <w:r>
        <w:rPr>
          <w:color w:val="231F20"/>
          <w:spacing w:val="-2"/>
          <w:sz w:val="24"/>
        </w:rPr>
        <w:t>financé</w:t>
      </w:r>
      <w:r>
        <w:rPr>
          <w:color w:val="231F20"/>
          <w:spacing w:val="-13"/>
          <w:sz w:val="24"/>
        </w:rPr>
        <w:t> </w:t>
      </w:r>
      <w:r>
        <w:rPr>
          <w:color w:val="231F20"/>
          <w:spacing w:val="-2"/>
          <w:sz w:val="24"/>
        </w:rPr>
        <w:t>un</w:t>
      </w:r>
      <w:r>
        <w:rPr>
          <w:color w:val="231F20"/>
          <w:spacing w:val="-13"/>
          <w:sz w:val="24"/>
        </w:rPr>
        <w:t> </w:t>
      </w:r>
      <w:r>
        <w:rPr>
          <w:color w:val="231F20"/>
          <w:spacing w:val="-2"/>
          <w:sz w:val="24"/>
        </w:rPr>
        <w:t>complot</w:t>
      </w:r>
      <w:r>
        <w:rPr>
          <w:color w:val="231F20"/>
          <w:spacing w:val="-13"/>
          <w:sz w:val="24"/>
        </w:rPr>
        <w:t> </w:t>
      </w:r>
      <w:r>
        <w:rPr>
          <w:color w:val="231F20"/>
          <w:spacing w:val="-2"/>
          <w:sz w:val="24"/>
        </w:rPr>
        <w:t>tendant</w:t>
      </w:r>
      <w:r>
        <w:rPr>
          <w:color w:val="231F20"/>
          <w:spacing w:val="-13"/>
          <w:sz w:val="24"/>
        </w:rPr>
        <w:t> </w:t>
      </w:r>
      <w:r>
        <w:rPr>
          <w:color w:val="231F20"/>
          <w:spacing w:val="-2"/>
          <w:sz w:val="24"/>
        </w:rPr>
        <w:t>à</w:t>
      </w:r>
      <w:r>
        <w:rPr>
          <w:color w:val="231F20"/>
          <w:spacing w:val="-13"/>
          <w:sz w:val="24"/>
        </w:rPr>
        <w:t> </w:t>
      </w:r>
      <w:r>
        <w:rPr>
          <w:color w:val="231F20"/>
          <w:spacing w:val="-2"/>
          <w:sz w:val="24"/>
        </w:rPr>
        <w:t>son</w:t>
      </w:r>
      <w:r>
        <w:rPr>
          <w:color w:val="231F20"/>
          <w:spacing w:val="-13"/>
          <w:sz w:val="24"/>
        </w:rPr>
        <w:t> </w:t>
      </w:r>
      <w:r>
        <w:rPr>
          <w:color w:val="231F20"/>
          <w:spacing w:val="-2"/>
          <w:sz w:val="24"/>
        </w:rPr>
        <w:t>renversement.</w:t>
      </w:r>
      <w:r>
        <w:rPr>
          <w:color w:val="231F20"/>
          <w:spacing w:val="-13"/>
          <w:sz w:val="24"/>
        </w:rPr>
        <w:t> </w:t>
      </w:r>
      <w:r>
        <w:rPr>
          <w:color w:val="231F20"/>
          <w:spacing w:val="-2"/>
          <w:sz w:val="24"/>
        </w:rPr>
        <w:t>Le </w:t>
      </w:r>
      <w:r>
        <w:rPr>
          <w:color w:val="231F20"/>
          <w:sz w:val="24"/>
        </w:rPr>
        <w:t>17, Félix Houphouët-Boigny, invité à s'exprimer, répond lors d'une conférence de presse à Abidjan : </w:t>
      </w:r>
      <w:r>
        <w:rPr>
          <w:i/>
          <w:color w:val="231F20"/>
          <w:sz w:val="24"/>
        </w:rPr>
        <w:t>« Non, M. Sékou Touré, le peuple de</w:t>
      </w:r>
      <w:r>
        <w:rPr>
          <w:i/>
          <w:color w:val="231F20"/>
          <w:sz w:val="24"/>
        </w:rPr>
        <w:t> Guinée n'a besoin ni de notre soutien moral, ni de notre soutien financier(…)</w:t>
      </w:r>
      <w:r>
        <w:rPr>
          <w:i/>
          <w:color w:val="231F20"/>
          <w:spacing w:val="-7"/>
          <w:sz w:val="24"/>
        </w:rPr>
        <w:t> </w:t>
      </w:r>
      <w:r>
        <w:rPr>
          <w:i/>
          <w:color w:val="231F20"/>
          <w:sz w:val="24"/>
        </w:rPr>
        <w:t>pour</w:t>
      </w:r>
      <w:r>
        <w:rPr>
          <w:i/>
          <w:color w:val="231F20"/>
          <w:spacing w:val="-6"/>
          <w:sz w:val="24"/>
        </w:rPr>
        <w:t> </w:t>
      </w:r>
      <w:r>
        <w:rPr>
          <w:i/>
          <w:color w:val="231F20"/>
          <w:sz w:val="24"/>
        </w:rPr>
        <w:t>crier</w:t>
      </w:r>
      <w:r>
        <w:rPr>
          <w:i/>
          <w:color w:val="231F20"/>
          <w:spacing w:val="-6"/>
          <w:sz w:val="24"/>
        </w:rPr>
        <w:t> </w:t>
      </w:r>
      <w:r>
        <w:rPr>
          <w:i/>
          <w:color w:val="231F20"/>
          <w:sz w:val="24"/>
        </w:rPr>
        <w:t>son</w:t>
      </w:r>
      <w:r>
        <w:rPr>
          <w:i/>
          <w:color w:val="231F20"/>
          <w:spacing w:val="-6"/>
          <w:sz w:val="24"/>
        </w:rPr>
        <w:t> </w:t>
      </w:r>
      <w:r>
        <w:rPr>
          <w:i/>
          <w:color w:val="231F20"/>
          <w:sz w:val="24"/>
        </w:rPr>
        <w:t>mécontentement(…)</w:t>
      </w:r>
      <w:r>
        <w:rPr>
          <w:i/>
          <w:color w:val="231F20"/>
          <w:spacing w:val="-6"/>
          <w:sz w:val="24"/>
        </w:rPr>
        <w:t> </w:t>
      </w:r>
      <w:r>
        <w:rPr>
          <w:i/>
          <w:color w:val="231F20"/>
          <w:sz w:val="24"/>
        </w:rPr>
        <w:t>Vous</w:t>
      </w:r>
      <w:r>
        <w:rPr>
          <w:i/>
          <w:color w:val="231F20"/>
          <w:spacing w:val="-6"/>
          <w:sz w:val="24"/>
        </w:rPr>
        <w:t> </w:t>
      </w:r>
      <w:r>
        <w:rPr>
          <w:i/>
          <w:color w:val="231F20"/>
          <w:sz w:val="24"/>
        </w:rPr>
        <w:t>êtes</w:t>
      </w:r>
      <w:r>
        <w:rPr>
          <w:i/>
          <w:color w:val="231F20"/>
          <w:spacing w:val="-6"/>
          <w:sz w:val="24"/>
        </w:rPr>
        <w:t> </w:t>
      </w:r>
      <w:r>
        <w:rPr>
          <w:i/>
          <w:color w:val="231F20"/>
          <w:sz w:val="24"/>
        </w:rPr>
        <w:t>un</w:t>
      </w:r>
      <w:r>
        <w:rPr>
          <w:i/>
          <w:color w:val="231F20"/>
          <w:spacing w:val="-5"/>
          <w:sz w:val="24"/>
        </w:rPr>
        <w:t> </w:t>
      </w:r>
      <w:r>
        <w:rPr>
          <w:i/>
          <w:color w:val="231F20"/>
          <w:sz w:val="24"/>
        </w:rPr>
        <w:t>frère,</w:t>
      </w:r>
      <w:r>
        <w:rPr>
          <w:i/>
          <w:color w:val="231F20"/>
          <w:spacing w:val="-5"/>
          <w:sz w:val="24"/>
        </w:rPr>
        <w:t> </w:t>
      </w:r>
      <w:r>
        <w:rPr>
          <w:i/>
          <w:color w:val="231F20"/>
          <w:sz w:val="24"/>
        </w:rPr>
        <w:t>un mauvais frère, mais un frère quand même</w:t>
      </w:r>
      <w:r>
        <w:rPr>
          <w:color w:val="76787A"/>
          <w:sz w:val="24"/>
          <w:vertAlign w:val="superscript"/>
        </w:rPr>
        <w:t>104</w:t>
      </w:r>
      <w:r>
        <w:rPr>
          <w:i/>
          <w:color w:val="231F20"/>
          <w:sz w:val="24"/>
          <w:vertAlign w:val="baseline"/>
        </w:rPr>
        <w:t>(…)</w:t>
      </w:r>
    </w:p>
    <w:p>
      <w:pPr>
        <w:spacing w:before="120"/>
        <w:ind w:left="111" w:right="104" w:firstLine="283"/>
        <w:jc w:val="both"/>
        <w:rPr>
          <w:sz w:val="24"/>
        </w:rPr>
      </w:pPr>
      <w:r>
        <w:rPr>
          <w:color w:val="231F20"/>
          <w:sz w:val="24"/>
        </w:rPr>
        <w:t>Le</w:t>
      </w:r>
      <w:r>
        <w:rPr>
          <w:color w:val="231F20"/>
          <w:spacing w:val="-15"/>
          <w:sz w:val="24"/>
        </w:rPr>
        <w:t> </w:t>
      </w:r>
      <w:r>
        <w:rPr>
          <w:color w:val="231F20"/>
          <w:sz w:val="24"/>
        </w:rPr>
        <w:t>27</w:t>
      </w:r>
      <w:r>
        <w:rPr>
          <w:color w:val="231F20"/>
          <w:spacing w:val="-15"/>
          <w:sz w:val="24"/>
        </w:rPr>
        <w:t> </w:t>
      </w:r>
      <w:r>
        <w:rPr>
          <w:color w:val="231F20"/>
          <w:sz w:val="24"/>
        </w:rPr>
        <w:t>mars</w:t>
      </w:r>
      <w:r>
        <w:rPr>
          <w:color w:val="231F20"/>
          <w:spacing w:val="-15"/>
          <w:sz w:val="24"/>
        </w:rPr>
        <w:t> </w:t>
      </w:r>
      <w:r>
        <w:rPr>
          <w:color w:val="231F20"/>
          <w:sz w:val="24"/>
        </w:rPr>
        <w:t>1966,</w:t>
      </w:r>
      <w:r>
        <w:rPr>
          <w:color w:val="231F20"/>
          <w:spacing w:val="-15"/>
          <w:sz w:val="24"/>
        </w:rPr>
        <w:t> </w:t>
      </w:r>
      <w:r>
        <w:rPr>
          <w:color w:val="231F20"/>
          <w:sz w:val="24"/>
        </w:rPr>
        <w:t>des</w:t>
      </w:r>
      <w:r>
        <w:rPr>
          <w:color w:val="231F20"/>
          <w:spacing w:val="-15"/>
          <w:sz w:val="24"/>
        </w:rPr>
        <w:t> </w:t>
      </w:r>
      <w:r>
        <w:rPr>
          <w:color w:val="231F20"/>
          <w:sz w:val="24"/>
        </w:rPr>
        <w:t>réfugiés</w:t>
      </w:r>
      <w:r>
        <w:rPr>
          <w:color w:val="231F20"/>
          <w:spacing w:val="-15"/>
          <w:sz w:val="24"/>
        </w:rPr>
        <w:t> </w:t>
      </w:r>
      <w:r>
        <w:rPr>
          <w:color w:val="231F20"/>
          <w:sz w:val="24"/>
        </w:rPr>
        <w:t>guinéens</w:t>
      </w:r>
      <w:r>
        <w:rPr>
          <w:color w:val="231F20"/>
          <w:spacing w:val="-15"/>
          <w:sz w:val="24"/>
        </w:rPr>
        <w:t> </w:t>
      </w:r>
      <w:r>
        <w:rPr>
          <w:color w:val="231F20"/>
          <w:sz w:val="24"/>
        </w:rPr>
        <w:t>en</w:t>
      </w:r>
      <w:r>
        <w:rPr>
          <w:color w:val="231F20"/>
          <w:spacing w:val="-15"/>
          <w:sz w:val="24"/>
        </w:rPr>
        <w:t> </w:t>
      </w:r>
      <w:r>
        <w:rPr>
          <w:color w:val="231F20"/>
          <w:sz w:val="24"/>
        </w:rPr>
        <w:t>Côte</w:t>
      </w:r>
      <w:r>
        <w:rPr>
          <w:color w:val="231F20"/>
          <w:spacing w:val="-15"/>
          <w:sz w:val="24"/>
        </w:rPr>
        <w:t> </w:t>
      </w:r>
      <w:r>
        <w:rPr>
          <w:color w:val="231F20"/>
          <w:sz w:val="24"/>
        </w:rPr>
        <w:t>d'Ivoire</w:t>
      </w:r>
      <w:r>
        <w:rPr>
          <w:color w:val="231F20"/>
          <w:spacing w:val="-15"/>
          <w:sz w:val="24"/>
        </w:rPr>
        <w:t> </w:t>
      </w:r>
      <w:r>
        <w:rPr>
          <w:color w:val="231F20"/>
          <w:sz w:val="24"/>
        </w:rPr>
        <w:t>annoncent</w:t>
      </w:r>
      <w:r>
        <w:rPr>
          <w:color w:val="231F20"/>
          <w:spacing w:val="-15"/>
          <w:sz w:val="24"/>
        </w:rPr>
        <w:t> </w:t>
      </w:r>
      <w:r>
        <w:rPr>
          <w:color w:val="231F20"/>
          <w:sz w:val="24"/>
        </w:rPr>
        <w:t>la création d'un front national de libération de la Guinée, dont les ramifications s'étendraient à toute l'Afrique de l'Ouest.</w:t>
      </w:r>
      <w:r>
        <w:rPr>
          <w:color w:val="231F20"/>
          <w:spacing w:val="-15"/>
          <w:sz w:val="24"/>
        </w:rPr>
        <w:t> </w:t>
      </w:r>
      <w:r>
        <w:rPr>
          <w:color w:val="231F20"/>
          <w:sz w:val="24"/>
        </w:rPr>
        <w:t>Au Sénégal, le gouvernement</w:t>
      </w:r>
      <w:r>
        <w:rPr>
          <w:color w:val="231F20"/>
          <w:spacing w:val="-15"/>
          <w:sz w:val="24"/>
        </w:rPr>
        <w:t> </w:t>
      </w:r>
      <w:r>
        <w:rPr>
          <w:color w:val="231F20"/>
          <w:sz w:val="24"/>
        </w:rPr>
        <w:t>du</w:t>
      </w:r>
      <w:r>
        <w:rPr>
          <w:color w:val="231F20"/>
          <w:spacing w:val="-15"/>
          <w:sz w:val="24"/>
        </w:rPr>
        <w:t> </w:t>
      </w:r>
      <w:r>
        <w:rPr>
          <w:color w:val="231F20"/>
          <w:sz w:val="24"/>
        </w:rPr>
        <w:t>président</w:t>
      </w:r>
      <w:r>
        <w:rPr>
          <w:color w:val="231F20"/>
          <w:spacing w:val="-15"/>
          <w:sz w:val="24"/>
        </w:rPr>
        <w:t> </w:t>
      </w:r>
      <w:r>
        <w:rPr>
          <w:color w:val="231F20"/>
          <w:sz w:val="24"/>
        </w:rPr>
        <w:t>Léopold</w:t>
      </w:r>
      <w:r>
        <w:rPr>
          <w:color w:val="231F20"/>
          <w:spacing w:val="-15"/>
          <w:sz w:val="24"/>
        </w:rPr>
        <w:t> </w:t>
      </w:r>
      <w:r>
        <w:rPr>
          <w:color w:val="231F20"/>
          <w:sz w:val="24"/>
        </w:rPr>
        <w:t>Sédar</w:t>
      </w:r>
      <w:r>
        <w:rPr>
          <w:color w:val="231F20"/>
          <w:spacing w:val="-15"/>
          <w:sz w:val="24"/>
        </w:rPr>
        <w:t> </w:t>
      </w:r>
      <w:r>
        <w:rPr>
          <w:color w:val="231F20"/>
          <w:sz w:val="24"/>
        </w:rPr>
        <w:t>Senghor</w:t>
      </w:r>
      <w:r>
        <w:rPr>
          <w:color w:val="231F20"/>
          <w:spacing w:val="-15"/>
          <w:sz w:val="24"/>
        </w:rPr>
        <w:t> </w:t>
      </w:r>
      <w:r>
        <w:rPr>
          <w:color w:val="231F20"/>
          <w:sz w:val="24"/>
        </w:rPr>
        <w:t>menace</w:t>
      </w:r>
      <w:r>
        <w:rPr>
          <w:color w:val="231F20"/>
          <w:spacing w:val="-15"/>
          <w:sz w:val="24"/>
        </w:rPr>
        <w:t> </w:t>
      </w:r>
      <w:r>
        <w:rPr>
          <w:color w:val="231F20"/>
          <w:sz w:val="24"/>
        </w:rPr>
        <w:t>les</w:t>
      </w:r>
      <w:r>
        <w:rPr>
          <w:color w:val="231F20"/>
          <w:spacing w:val="-15"/>
          <w:sz w:val="24"/>
        </w:rPr>
        <w:t> </w:t>
      </w:r>
      <w:r>
        <w:rPr>
          <w:color w:val="231F20"/>
          <w:sz w:val="24"/>
        </w:rPr>
        <w:t>citoyens </w:t>
      </w:r>
      <w:r>
        <w:rPr>
          <w:color w:val="231F20"/>
          <w:spacing w:val="-2"/>
          <w:sz w:val="24"/>
        </w:rPr>
        <w:t>d'origine</w:t>
      </w:r>
      <w:r>
        <w:rPr>
          <w:color w:val="231F20"/>
          <w:spacing w:val="-8"/>
          <w:sz w:val="24"/>
        </w:rPr>
        <w:t> </w:t>
      </w:r>
      <w:r>
        <w:rPr>
          <w:color w:val="231F20"/>
          <w:spacing w:val="-2"/>
          <w:sz w:val="24"/>
        </w:rPr>
        <w:t>guinéenne</w:t>
      </w:r>
      <w:r>
        <w:rPr>
          <w:color w:val="231F20"/>
          <w:spacing w:val="-4"/>
          <w:sz w:val="24"/>
        </w:rPr>
        <w:t> </w:t>
      </w:r>
      <w:r>
        <w:rPr>
          <w:color w:val="231F20"/>
          <w:spacing w:val="-2"/>
          <w:sz w:val="24"/>
        </w:rPr>
        <w:t>coupables</w:t>
      </w:r>
      <w:r>
        <w:rPr>
          <w:color w:val="231F20"/>
          <w:spacing w:val="-7"/>
          <w:sz w:val="24"/>
        </w:rPr>
        <w:t> </w:t>
      </w:r>
      <w:r>
        <w:rPr>
          <w:color w:val="231F20"/>
          <w:spacing w:val="-2"/>
          <w:sz w:val="24"/>
        </w:rPr>
        <w:t>de</w:t>
      </w:r>
      <w:r>
        <w:rPr>
          <w:color w:val="231F20"/>
          <w:spacing w:val="-7"/>
          <w:sz w:val="24"/>
        </w:rPr>
        <w:t> </w:t>
      </w:r>
      <w:r>
        <w:rPr>
          <w:color w:val="231F20"/>
          <w:spacing w:val="-2"/>
          <w:sz w:val="24"/>
        </w:rPr>
        <w:t>violer</w:t>
      </w:r>
      <w:r>
        <w:rPr>
          <w:color w:val="231F20"/>
          <w:spacing w:val="-7"/>
          <w:sz w:val="24"/>
        </w:rPr>
        <w:t> </w:t>
      </w:r>
      <w:r>
        <w:rPr>
          <w:color w:val="231F20"/>
          <w:spacing w:val="-2"/>
          <w:sz w:val="24"/>
        </w:rPr>
        <w:t>le</w:t>
      </w:r>
      <w:r>
        <w:rPr>
          <w:color w:val="231F20"/>
          <w:spacing w:val="-8"/>
          <w:sz w:val="24"/>
        </w:rPr>
        <w:t> </w:t>
      </w:r>
      <w:r>
        <w:rPr>
          <w:color w:val="231F20"/>
          <w:spacing w:val="-2"/>
          <w:sz w:val="24"/>
        </w:rPr>
        <w:t>principe</w:t>
      </w:r>
      <w:r>
        <w:rPr>
          <w:color w:val="231F20"/>
          <w:spacing w:val="-8"/>
          <w:sz w:val="24"/>
        </w:rPr>
        <w:t> </w:t>
      </w:r>
      <w:r>
        <w:rPr>
          <w:color w:val="231F20"/>
          <w:spacing w:val="-2"/>
          <w:sz w:val="24"/>
        </w:rPr>
        <w:t>de</w:t>
      </w:r>
      <w:r>
        <w:rPr>
          <w:color w:val="231F20"/>
          <w:spacing w:val="-7"/>
          <w:sz w:val="24"/>
        </w:rPr>
        <w:t> </w:t>
      </w:r>
      <w:r>
        <w:rPr>
          <w:color w:val="231F20"/>
          <w:spacing w:val="-2"/>
          <w:sz w:val="24"/>
        </w:rPr>
        <w:t>non-ingérence,</w:t>
      </w:r>
      <w:r>
        <w:rPr>
          <w:color w:val="231F20"/>
          <w:spacing w:val="-7"/>
          <w:sz w:val="24"/>
        </w:rPr>
        <w:t> </w:t>
      </w:r>
      <w:r>
        <w:rPr>
          <w:color w:val="231F20"/>
          <w:spacing w:val="-2"/>
          <w:sz w:val="24"/>
        </w:rPr>
        <w:t>de </w:t>
      </w:r>
      <w:r>
        <w:rPr>
          <w:color w:val="231F20"/>
          <w:sz w:val="24"/>
        </w:rPr>
        <w:t>poursuites devant les tribunaux s'ils sont de nationalité sénégalaise, et d'expulsion s'ils ne sont pas de nationalité sénégalaise ». À Abidjan, Houphouët-Boigny affirme : </w:t>
      </w:r>
      <w:r>
        <w:rPr>
          <w:i/>
          <w:color w:val="231F20"/>
          <w:sz w:val="24"/>
        </w:rPr>
        <w:t>« Comme Senghor, je refuse de laisser</w:t>
      </w:r>
      <w:r>
        <w:rPr>
          <w:i/>
          <w:color w:val="231F20"/>
          <w:sz w:val="24"/>
        </w:rPr>
        <w:t> </w:t>
      </w:r>
      <w:r>
        <w:rPr>
          <w:i/>
          <w:color w:val="231F20"/>
          <w:spacing w:val="-2"/>
          <w:sz w:val="24"/>
        </w:rPr>
        <w:t>utiliser</w:t>
      </w:r>
      <w:r>
        <w:rPr>
          <w:i/>
          <w:color w:val="231F20"/>
          <w:spacing w:val="-13"/>
          <w:sz w:val="24"/>
        </w:rPr>
        <w:t> </w:t>
      </w:r>
      <w:r>
        <w:rPr>
          <w:i/>
          <w:color w:val="231F20"/>
          <w:spacing w:val="-2"/>
          <w:sz w:val="24"/>
        </w:rPr>
        <w:t>le</w:t>
      </w:r>
      <w:r>
        <w:rPr>
          <w:i/>
          <w:color w:val="231F20"/>
          <w:spacing w:val="-13"/>
          <w:sz w:val="24"/>
        </w:rPr>
        <w:t> </w:t>
      </w:r>
      <w:r>
        <w:rPr>
          <w:i/>
          <w:color w:val="231F20"/>
          <w:spacing w:val="-2"/>
          <w:sz w:val="24"/>
        </w:rPr>
        <w:t>territoire</w:t>
      </w:r>
      <w:r>
        <w:rPr>
          <w:i/>
          <w:color w:val="231F20"/>
          <w:spacing w:val="-13"/>
          <w:sz w:val="24"/>
        </w:rPr>
        <w:t> </w:t>
      </w:r>
      <w:r>
        <w:rPr>
          <w:i/>
          <w:color w:val="231F20"/>
          <w:spacing w:val="-2"/>
          <w:sz w:val="24"/>
        </w:rPr>
        <w:t>national</w:t>
      </w:r>
      <w:r>
        <w:rPr>
          <w:i/>
          <w:color w:val="231F20"/>
          <w:spacing w:val="-13"/>
          <w:sz w:val="24"/>
        </w:rPr>
        <w:t> </w:t>
      </w:r>
      <w:r>
        <w:rPr>
          <w:i/>
          <w:color w:val="231F20"/>
          <w:spacing w:val="-2"/>
          <w:sz w:val="24"/>
        </w:rPr>
        <w:t>pour</w:t>
      </w:r>
      <w:r>
        <w:rPr>
          <w:i/>
          <w:color w:val="231F20"/>
          <w:spacing w:val="-13"/>
          <w:sz w:val="24"/>
        </w:rPr>
        <w:t> </w:t>
      </w:r>
      <w:r>
        <w:rPr>
          <w:i/>
          <w:color w:val="231F20"/>
          <w:spacing w:val="-2"/>
          <w:sz w:val="24"/>
        </w:rPr>
        <w:t>porter</w:t>
      </w:r>
      <w:r>
        <w:rPr>
          <w:i/>
          <w:color w:val="231F20"/>
          <w:spacing w:val="-13"/>
          <w:sz w:val="24"/>
        </w:rPr>
        <w:t> </w:t>
      </w:r>
      <w:r>
        <w:rPr>
          <w:i/>
          <w:color w:val="231F20"/>
          <w:spacing w:val="-2"/>
          <w:sz w:val="24"/>
        </w:rPr>
        <w:t>la</w:t>
      </w:r>
      <w:r>
        <w:rPr>
          <w:i/>
          <w:color w:val="231F20"/>
          <w:spacing w:val="-13"/>
          <w:sz w:val="24"/>
        </w:rPr>
        <w:t> </w:t>
      </w:r>
      <w:r>
        <w:rPr>
          <w:i/>
          <w:color w:val="231F20"/>
          <w:spacing w:val="-2"/>
          <w:sz w:val="24"/>
        </w:rPr>
        <w:t>subversion</w:t>
      </w:r>
      <w:r>
        <w:rPr>
          <w:i/>
          <w:color w:val="231F20"/>
          <w:spacing w:val="-13"/>
          <w:sz w:val="24"/>
        </w:rPr>
        <w:t> </w:t>
      </w:r>
      <w:r>
        <w:rPr>
          <w:i/>
          <w:color w:val="231F20"/>
          <w:spacing w:val="-2"/>
          <w:sz w:val="24"/>
        </w:rPr>
        <w:t>à</w:t>
      </w:r>
      <w:r>
        <w:rPr>
          <w:i/>
          <w:color w:val="231F20"/>
          <w:spacing w:val="-13"/>
          <w:sz w:val="24"/>
        </w:rPr>
        <w:t> </w:t>
      </w:r>
      <w:r>
        <w:rPr>
          <w:i/>
          <w:color w:val="231F20"/>
          <w:spacing w:val="-2"/>
          <w:sz w:val="24"/>
        </w:rPr>
        <w:t>l'extérieur.</w:t>
      </w:r>
      <w:r>
        <w:rPr>
          <w:i/>
          <w:color w:val="231F20"/>
          <w:spacing w:val="-13"/>
          <w:sz w:val="24"/>
        </w:rPr>
        <w:t> </w:t>
      </w:r>
      <w:r>
        <w:rPr>
          <w:i/>
          <w:color w:val="231F20"/>
          <w:spacing w:val="-2"/>
          <w:sz w:val="24"/>
        </w:rPr>
        <w:t>Je</w:t>
      </w:r>
      <w:r>
        <w:rPr>
          <w:i/>
          <w:color w:val="231F20"/>
          <w:spacing w:val="-13"/>
          <w:sz w:val="24"/>
        </w:rPr>
        <w:t> </w:t>
      </w:r>
      <w:r>
        <w:rPr>
          <w:i/>
          <w:color w:val="231F20"/>
          <w:spacing w:val="-2"/>
          <w:sz w:val="24"/>
        </w:rPr>
        <w:t>ne </w:t>
      </w:r>
      <w:r>
        <w:rPr>
          <w:i/>
          <w:color w:val="231F20"/>
          <w:spacing w:val="-4"/>
          <w:sz w:val="24"/>
        </w:rPr>
        <w:t>veux</w:t>
      </w:r>
      <w:r>
        <w:rPr>
          <w:i/>
          <w:color w:val="231F20"/>
          <w:spacing w:val="-6"/>
          <w:sz w:val="24"/>
        </w:rPr>
        <w:t> </w:t>
      </w:r>
      <w:r>
        <w:rPr>
          <w:i/>
          <w:color w:val="231F20"/>
          <w:spacing w:val="-4"/>
          <w:sz w:val="24"/>
        </w:rPr>
        <w:t>pas</w:t>
      </w:r>
      <w:r>
        <w:rPr>
          <w:i/>
          <w:color w:val="231F20"/>
          <w:spacing w:val="-6"/>
          <w:sz w:val="24"/>
        </w:rPr>
        <w:t> </w:t>
      </w:r>
      <w:r>
        <w:rPr>
          <w:i/>
          <w:color w:val="231F20"/>
          <w:spacing w:val="-4"/>
          <w:sz w:val="24"/>
        </w:rPr>
        <w:t>encourir</w:t>
      </w:r>
      <w:r>
        <w:rPr>
          <w:i/>
          <w:color w:val="231F20"/>
          <w:spacing w:val="-9"/>
          <w:sz w:val="24"/>
        </w:rPr>
        <w:t> </w:t>
      </w:r>
      <w:r>
        <w:rPr>
          <w:i/>
          <w:color w:val="231F20"/>
          <w:spacing w:val="-4"/>
          <w:sz w:val="24"/>
        </w:rPr>
        <w:t>à</w:t>
      </w:r>
      <w:r>
        <w:rPr>
          <w:i/>
          <w:color w:val="231F20"/>
          <w:spacing w:val="-6"/>
          <w:sz w:val="24"/>
        </w:rPr>
        <w:t> </w:t>
      </w:r>
      <w:r>
        <w:rPr>
          <w:i/>
          <w:color w:val="231F20"/>
          <w:spacing w:val="-4"/>
          <w:sz w:val="24"/>
        </w:rPr>
        <w:t>mon</w:t>
      </w:r>
      <w:r>
        <w:rPr>
          <w:i/>
          <w:color w:val="231F20"/>
          <w:spacing w:val="-9"/>
          <w:sz w:val="24"/>
        </w:rPr>
        <w:t> </w:t>
      </w:r>
      <w:r>
        <w:rPr>
          <w:i/>
          <w:color w:val="231F20"/>
          <w:spacing w:val="-4"/>
          <w:sz w:val="24"/>
        </w:rPr>
        <w:t>tour</w:t>
      </w:r>
      <w:r>
        <w:rPr>
          <w:i/>
          <w:color w:val="231F20"/>
          <w:spacing w:val="-6"/>
          <w:sz w:val="24"/>
        </w:rPr>
        <w:t> </w:t>
      </w:r>
      <w:r>
        <w:rPr>
          <w:i/>
          <w:color w:val="231F20"/>
          <w:spacing w:val="-4"/>
          <w:sz w:val="24"/>
        </w:rPr>
        <w:t>l'accusation</w:t>
      </w:r>
      <w:r>
        <w:rPr>
          <w:i/>
          <w:color w:val="231F20"/>
          <w:spacing w:val="-9"/>
          <w:sz w:val="24"/>
        </w:rPr>
        <w:t> </w:t>
      </w:r>
      <w:r>
        <w:rPr>
          <w:i/>
          <w:color w:val="231F20"/>
          <w:spacing w:val="-4"/>
          <w:sz w:val="24"/>
        </w:rPr>
        <w:t>de</w:t>
      </w:r>
      <w:r>
        <w:rPr>
          <w:i/>
          <w:color w:val="231F20"/>
          <w:spacing w:val="-6"/>
          <w:sz w:val="24"/>
        </w:rPr>
        <w:t> </w:t>
      </w:r>
      <w:r>
        <w:rPr>
          <w:i/>
          <w:color w:val="231F20"/>
          <w:spacing w:val="-4"/>
          <w:sz w:val="24"/>
        </w:rPr>
        <w:t>favoriser</w:t>
      </w:r>
      <w:r>
        <w:rPr>
          <w:i/>
          <w:color w:val="231F20"/>
          <w:spacing w:val="-6"/>
          <w:sz w:val="24"/>
        </w:rPr>
        <w:t> </w:t>
      </w:r>
      <w:r>
        <w:rPr>
          <w:i/>
          <w:color w:val="231F20"/>
          <w:spacing w:val="-4"/>
          <w:sz w:val="24"/>
        </w:rPr>
        <w:t>les</w:t>
      </w:r>
      <w:r>
        <w:rPr>
          <w:i/>
          <w:color w:val="231F20"/>
          <w:spacing w:val="-6"/>
          <w:sz w:val="24"/>
        </w:rPr>
        <w:t> </w:t>
      </w:r>
      <w:r>
        <w:rPr>
          <w:i/>
          <w:color w:val="231F20"/>
          <w:spacing w:val="-4"/>
          <w:sz w:val="24"/>
        </w:rPr>
        <w:t>entreprises</w:t>
      </w:r>
      <w:r>
        <w:rPr>
          <w:i/>
          <w:color w:val="231F20"/>
          <w:spacing w:val="-6"/>
          <w:sz w:val="24"/>
        </w:rPr>
        <w:t> </w:t>
      </w:r>
      <w:r>
        <w:rPr>
          <w:i/>
          <w:color w:val="231F20"/>
          <w:spacing w:val="-4"/>
          <w:sz w:val="24"/>
        </w:rPr>
        <w:t>des </w:t>
      </w:r>
      <w:r>
        <w:rPr>
          <w:i/>
          <w:color w:val="231F20"/>
          <w:sz w:val="24"/>
        </w:rPr>
        <w:t>réfugiés guinéens contre leur pays</w:t>
      </w:r>
      <w:r>
        <w:rPr>
          <w:color w:val="76787A"/>
          <w:sz w:val="24"/>
          <w:vertAlign w:val="superscript"/>
        </w:rPr>
        <w:t>105</w:t>
      </w:r>
      <w:r>
        <w:rPr>
          <w:color w:val="76787A"/>
          <w:sz w:val="24"/>
          <w:vertAlign w:val="baseline"/>
        </w:rPr>
        <w:t> </w:t>
      </w:r>
      <w:r>
        <w:rPr>
          <w:i/>
          <w:color w:val="231F20"/>
          <w:sz w:val="24"/>
          <w:vertAlign w:val="baseline"/>
        </w:rPr>
        <w:t>»</w:t>
      </w:r>
      <w:r>
        <w:rPr>
          <w:color w:val="231F20"/>
          <w:sz w:val="24"/>
          <w:vertAlign w:val="baseline"/>
        </w:rPr>
        <w:t>.</w:t>
      </w:r>
    </w:p>
    <w:p>
      <w:pPr>
        <w:spacing w:before="121"/>
        <w:ind w:left="111" w:right="104" w:firstLine="283"/>
        <w:jc w:val="both"/>
        <w:rPr>
          <w:i/>
          <w:sz w:val="24"/>
        </w:rPr>
      </w:pPr>
      <w:r>
        <w:rPr>
          <w:color w:val="231F20"/>
          <w:spacing w:val="-2"/>
          <w:sz w:val="24"/>
        </w:rPr>
        <w:t>Le</w:t>
      </w:r>
      <w:r>
        <w:rPr>
          <w:color w:val="231F20"/>
          <w:spacing w:val="-7"/>
          <w:sz w:val="24"/>
        </w:rPr>
        <w:t> </w:t>
      </w:r>
      <w:r>
        <w:rPr>
          <w:color w:val="231F20"/>
          <w:spacing w:val="-2"/>
          <w:sz w:val="24"/>
        </w:rPr>
        <w:t>22</w:t>
      </w:r>
      <w:r>
        <w:rPr>
          <w:color w:val="231F20"/>
          <w:spacing w:val="-9"/>
          <w:sz w:val="24"/>
        </w:rPr>
        <w:t> </w:t>
      </w:r>
      <w:r>
        <w:rPr>
          <w:color w:val="231F20"/>
          <w:spacing w:val="-2"/>
          <w:sz w:val="24"/>
        </w:rPr>
        <w:t>novembre</w:t>
      </w:r>
      <w:r>
        <w:rPr>
          <w:color w:val="231F20"/>
          <w:spacing w:val="-9"/>
          <w:sz w:val="24"/>
        </w:rPr>
        <w:t> </w:t>
      </w:r>
      <w:r>
        <w:rPr>
          <w:color w:val="231F20"/>
          <w:spacing w:val="-2"/>
          <w:sz w:val="24"/>
        </w:rPr>
        <w:t>1970,</w:t>
      </w:r>
      <w:r>
        <w:rPr>
          <w:color w:val="231F20"/>
          <w:spacing w:val="-7"/>
          <w:sz w:val="24"/>
        </w:rPr>
        <w:t> </w:t>
      </w:r>
      <w:r>
        <w:rPr>
          <w:color w:val="231F20"/>
          <w:spacing w:val="-2"/>
          <w:sz w:val="24"/>
        </w:rPr>
        <w:t>une</w:t>
      </w:r>
      <w:r>
        <w:rPr>
          <w:color w:val="231F20"/>
          <w:spacing w:val="-8"/>
          <w:sz w:val="24"/>
        </w:rPr>
        <w:t> </w:t>
      </w:r>
      <w:r>
        <w:rPr>
          <w:color w:val="231F20"/>
          <w:spacing w:val="-2"/>
          <w:sz w:val="24"/>
        </w:rPr>
        <w:t>tentative</w:t>
      </w:r>
      <w:r>
        <w:rPr>
          <w:color w:val="231F20"/>
          <w:spacing w:val="-10"/>
          <w:sz w:val="24"/>
        </w:rPr>
        <w:t> </w:t>
      </w:r>
      <w:r>
        <w:rPr>
          <w:color w:val="231F20"/>
          <w:spacing w:val="-2"/>
          <w:sz w:val="24"/>
        </w:rPr>
        <w:t>de</w:t>
      </w:r>
      <w:r>
        <w:rPr>
          <w:color w:val="231F20"/>
          <w:spacing w:val="-10"/>
          <w:sz w:val="24"/>
        </w:rPr>
        <w:t> </w:t>
      </w:r>
      <w:r>
        <w:rPr>
          <w:color w:val="231F20"/>
          <w:spacing w:val="-2"/>
          <w:sz w:val="24"/>
        </w:rPr>
        <w:t>débarquement</w:t>
      </w:r>
      <w:r>
        <w:rPr>
          <w:color w:val="231F20"/>
          <w:spacing w:val="-9"/>
          <w:sz w:val="24"/>
        </w:rPr>
        <w:t> </w:t>
      </w:r>
      <w:r>
        <w:rPr>
          <w:color w:val="231F20"/>
          <w:spacing w:val="-2"/>
          <w:sz w:val="24"/>
        </w:rPr>
        <w:t>de</w:t>
      </w:r>
      <w:r>
        <w:rPr>
          <w:color w:val="231F20"/>
          <w:spacing w:val="-7"/>
          <w:sz w:val="24"/>
        </w:rPr>
        <w:t> </w:t>
      </w:r>
      <w:r>
        <w:rPr>
          <w:color w:val="231F20"/>
          <w:spacing w:val="-2"/>
          <w:sz w:val="24"/>
        </w:rPr>
        <w:t>mercenaires </w:t>
      </w:r>
      <w:r>
        <w:rPr>
          <w:color w:val="231F20"/>
          <w:sz w:val="24"/>
        </w:rPr>
        <w:t>et d'opposants guinéens échoue de justesse à Conakry. De nouveau, la Côte d'Ivoire et le Sénégal sont accusés de </w:t>
      </w:r>
      <w:r>
        <w:rPr>
          <w:i/>
          <w:color w:val="231F20"/>
          <w:sz w:val="24"/>
        </w:rPr>
        <w:t>« complots permanents ».</w:t>
      </w:r>
      <w:r>
        <w:rPr>
          <w:i/>
          <w:color w:val="231F20"/>
          <w:sz w:val="24"/>
        </w:rPr>
        <w:t> </w:t>
      </w:r>
      <w:r>
        <w:rPr>
          <w:color w:val="231F20"/>
          <w:spacing w:val="-4"/>
          <w:sz w:val="24"/>
        </w:rPr>
        <w:t>Houphouët-Boigny</w:t>
      </w:r>
      <w:r>
        <w:rPr>
          <w:color w:val="231F20"/>
          <w:spacing w:val="-9"/>
          <w:sz w:val="24"/>
        </w:rPr>
        <w:t> </w:t>
      </w:r>
      <w:r>
        <w:rPr>
          <w:color w:val="231F20"/>
          <w:spacing w:val="-4"/>
          <w:sz w:val="24"/>
        </w:rPr>
        <w:t>est</w:t>
      </w:r>
      <w:r>
        <w:rPr>
          <w:color w:val="231F20"/>
          <w:spacing w:val="-10"/>
          <w:sz w:val="24"/>
        </w:rPr>
        <w:t> </w:t>
      </w:r>
      <w:r>
        <w:rPr>
          <w:color w:val="231F20"/>
          <w:spacing w:val="-4"/>
          <w:sz w:val="24"/>
        </w:rPr>
        <w:t>traité</w:t>
      </w:r>
      <w:r>
        <w:rPr>
          <w:color w:val="231F20"/>
          <w:spacing w:val="-8"/>
          <w:sz w:val="24"/>
        </w:rPr>
        <w:t> </w:t>
      </w:r>
      <w:r>
        <w:rPr>
          <w:i/>
          <w:color w:val="231F20"/>
          <w:spacing w:val="-4"/>
          <w:sz w:val="24"/>
        </w:rPr>
        <w:t>«</w:t>
      </w:r>
      <w:r>
        <w:rPr>
          <w:i/>
          <w:color w:val="231F20"/>
          <w:spacing w:val="-8"/>
          <w:sz w:val="24"/>
        </w:rPr>
        <w:t> </w:t>
      </w:r>
      <w:r>
        <w:rPr>
          <w:i/>
          <w:color w:val="231F20"/>
          <w:spacing w:val="-4"/>
          <w:sz w:val="24"/>
        </w:rPr>
        <w:t>d'Africain</w:t>
      </w:r>
      <w:r>
        <w:rPr>
          <w:i/>
          <w:color w:val="231F20"/>
          <w:spacing w:val="-10"/>
          <w:sz w:val="24"/>
        </w:rPr>
        <w:t> </w:t>
      </w:r>
      <w:r>
        <w:rPr>
          <w:i/>
          <w:color w:val="231F20"/>
          <w:spacing w:val="-4"/>
          <w:sz w:val="24"/>
        </w:rPr>
        <w:t>indigne,</w:t>
      </w:r>
      <w:r>
        <w:rPr>
          <w:i/>
          <w:color w:val="231F20"/>
          <w:spacing w:val="-8"/>
          <w:sz w:val="24"/>
        </w:rPr>
        <w:t> </w:t>
      </w:r>
      <w:r>
        <w:rPr>
          <w:i/>
          <w:color w:val="231F20"/>
          <w:spacing w:val="-4"/>
          <w:sz w:val="24"/>
        </w:rPr>
        <w:t>ennemi</w:t>
      </w:r>
      <w:r>
        <w:rPr>
          <w:i/>
          <w:color w:val="231F20"/>
          <w:spacing w:val="-8"/>
          <w:sz w:val="24"/>
        </w:rPr>
        <w:t> </w:t>
      </w:r>
      <w:r>
        <w:rPr>
          <w:i/>
          <w:color w:val="231F20"/>
          <w:spacing w:val="-4"/>
          <w:sz w:val="24"/>
        </w:rPr>
        <w:t>juré</w:t>
      </w:r>
      <w:r>
        <w:rPr>
          <w:i/>
          <w:color w:val="231F20"/>
          <w:spacing w:val="-8"/>
          <w:sz w:val="24"/>
        </w:rPr>
        <w:t> </w:t>
      </w:r>
      <w:r>
        <w:rPr>
          <w:i/>
          <w:color w:val="231F20"/>
          <w:spacing w:val="-4"/>
          <w:sz w:val="24"/>
        </w:rPr>
        <w:t>de</w:t>
      </w:r>
      <w:r>
        <w:rPr>
          <w:i/>
          <w:color w:val="231F20"/>
          <w:spacing w:val="-8"/>
          <w:sz w:val="24"/>
        </w:rPr>
        <w:t> </w:t>
      </w:r>
      <w:r>
        <w:rPr>
          <w:i/>
          <w:color w:val="231F20"/>
          <w:spacing w:val="-4"/>
          <w:sz w:val="24"/>
        </w:rPr>
        <w:t>la</w:t>
      </w:r>
      <w:r>
        <w:rPr>
          <w:i/>
          <w:color w:val="231F20"/>
          <w:spacing w:val="-8"/>
          <w:sz w:val="24"/>
        </w:rPr>
        <w:t> </w:t>
      </w:r>
      <w:r>
        <w:rPr>
          <w:i/>
          <w:color w:val="231F20"/>
          <w:spacing w:val="-4"/>
          <w:sz w:val="24"/>
        </w:rPr>
        <w:t>cause</w:t>
      </w:r>
    </w:p>
    <w:p>
      <w:pPr>
        <w:pStyle w:val="BodyText"/>
        <w:spacing w:before="3"/>
        <w:ind w:left="0"/>
        <w:jc w:val="left"/>
        <w:rPr>
          <w:i/>
          <w:sz w:val="18"/>
        </w:rPr>
      </w:pPr>
      <w:r>
        <w:rPr/>
        <mc:AlternateContent>
          <mc:Choice Requires="wps">
            <w:drawing>
              <wp:anchor distT="0" distB="0" distL="0" distR="0" allowOverlap="1" layoutInCell="1" locked="0" behindDoc="1" simplePos="0" relativeHeight="487621120">
                <wp:simplePos x="0" y="0"/>
                <wp:positionH relativeFrom="page">
                  <wp:posOffset>629907</wp:posOffset>
                </wp:positionH>
                <wp:positionV relativeFrom="paragraph">
                  <wp:posOffset>148794</wp:posOffset>
                </wp:positionV>
                <wp:extent cx="1829435" cy="9525"/>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1.716076pt;width:144.020pt;height:.71994pt;mso-position-horizontal-relative:page;mso-position-vertical-relative:paragraph;z-index:-15695360;mso-wrap-distance-left:0;mso-wrap-distance-right:0" id="docshape82" filled="true" fillcolor="#231f20" stroked="false">
                <v:fill type="solid"/>
                <w10:wrap type="topAndBottom"/>
              </v:rect>
            </w:pict>
          </mc:Fallback>
        </mc:AlternateContent>
      </w:r>
    </w:p>
    <w:p>
      <w:pPr>
        <w:spacing w:before="91"/>
        <w:ind w:left="111" w:right="0" w:firstLine="0"/>
        <w:jc w:val="left"/>
        <w:rPr>
          <w:sz w:val="20"/>
        </w:rPr>
      </w:pPr>
      <w:r>
        <w:rPr>
          <w:color w:val="231F20"/>
          <w:sz w:val="20"/>
          <w:vertAlign w:val="superscript"/>
        </w:rPr>
        <w:t>104</w:t>
      </w:r>
      <w:r>
        <w:rPr>
          <w:color w:val="231F20"/>
          <w:spacing w:val="-19"/>
          <w:sz w:val="20"/>
          <w:vertAlign w:val="baseline"/>
        </w:rPr>
        <w:t> </w:t>
      </w:r>
      <w:r>
        <w:rPr>
          <w:color w:val="231F20"/>
          <w:sz w:val="20"/>
          <w:vertAlign w:val="baseline"/>
        </w:rPr>
        <w:t>«</w:t>
      </w:r>
      <w:r>
        <w:rPr>
          <w:color w:val="231F20"/>
          <w:spacing w:val="-13"/>
          <w:sz w:val="20"/>
          <w:vertAlign w:val="baseline"/>
        </w:rPr>
        <w:t> </w:t>
      </w:r>
      <w:r>
        <w:rPr>
          <w:color w:val="231F20"/>
          <w:sz w:val="20"/>
          <w:vertAlign w:val="baseline"/>
        </w:rPr>
        <w:t>AVEC</w:t>
      </w:r>
      <w:r>
        <w:rPr>
          <w:color w:val="231F20"/>
          <w:spacing w:val="-6"/>
          <w:sz w:val="20"/>
          <w:vertAlign w:val="baseline"/>
        </w:rPr>
        <w:t> </w:t>
      </w:r>
      <w:r>
        <w:rPr>
          <w:color w:val="231F20"/>
          <w:sz w:val="20"/>
          <w:vertAlign w:val="baseline"/>
        </w:rPr>
        <w:t>HOUPHOUËT</w:t>
      </w:r>
      <w:r>
        <w:rPr>
          <w:color w:val="231F20"/>
          <w:spacing w:val="-7"/>
          <w:sz w:val="20"/>
          <w:vertAlign w:val="baseline"/>
        </w:rPr>
        <w:t> </w:t>
      </w:r>
      <w:r>
        <w:rPr>
          <w:color w:val="231F20"/>
          <w:sz w:val="20"/>
          <w:vertAlign w:val="baseline"/>
        </w:rPr>
        <w:t>ET</w:t>
      </w:r>
      <w:r>
        <w:rPr>
          <w:color w:val="231F20"/>
          <w:spacing w:val="-6"/>
          <w:sz w:val="20"/>
          <w:vertAlign w:val="baseline"/>
        </w:rPr>
        <w:t> </w:t>
      </w:r>
      <w:r>
        <w:rPr>
          <w:color w:val="231F20"/>
          <w:sz w:val="20"/>
          <w:vertAlign w:val="baseline"/>
        </w:rPr>
        <w:t>SENGHOR, UN</w:t>
      </w:r>
      <w:r>
        <w:rPr>
          <w:color w:val="231F20"/>
          <w:spacing w:val="-1"/>
          <w:sz w:val="20"/>
          <w:vertAlign w:val="baseline"/>
        </w:rPr>
        <w:t> </w:t>
      </w:r>
      <w:r>
        <w:rPr>
          <w:color w:val="231F20"/>
          <w:sz w:val="20"/>
          <w:vertAlign w:val="baseline"/>
        </w:rPr>
        <w:t>DIFFICILE</w:t>
      </w:r>
      <w:r>
        <w:rPr>
          <w:color w:val="231F20"/>
          <w:spacing w:val="-1"/>
          <w:sz w:val="20"/>
          <w:vertAlign w:val="baseline"/>
        </w:rPr>
        <w:t> </w:t>
      </w:r>
      <w:r>
        <w:rPr>
          <w:color w:val="231F20"/>
          <w:sz w:val="20"/>
          <w:vertAlign w:val="baseline"/>
        </w:rPr>
        <w:t>MÉNAGE</w:t>
      </w:r>
      <w:r>
        <w:rPr>
          <w:color w:val="231F20"/>
          <w:spacing w:val="-1"/>
          <w:sz w:val="20"/>
          <w:vertAlign w:val="baseline"/>
        </w:rPr>
        <w:t> </w:t>
      </w:r>
      <w:r>
        <w:rPr>
          <w:color w:val="231F20"/>
          <w:sz w:val="20"/>
          <w:vertAlign w:val="baseline"/>
        </w:rPr>
        <w:t>À</w:t>
      </w:r>
      <w:r>
        <w:rPr>
          <w:color w:val="231F20"/>
          <w:spacing w:val="-1"/>
          <w:sz w:val="20"/>
          <w:vertAlign w:val="baseline"/>
        </w:rPr>
        <w:t> </w:t>
      </w:r>
      <w:r>
        <w:rPr>
          <w:color w:val="231F20"/>
          <w:sz w:val="20"/>
          <w:vertAlign w:val="baseline"/>
        </w:rPr>
        <w:t>TROIS</w:t>
      </w:r>
      <w:r>
        <w:rPr>
          <w:color w:val="231F20"/>
          <w:spacing w:val="-13"/>
          <w:sz w:val="20"/>
          <w:vertAlign w:val="baseline"/>
        </w:rPr>
        <w:t> </w:t>
      </w:r>
      <w:r>
        <w:rPr>
          <w:color w:val="231F20"/>
          <w:spacing w:val="-5"/>
          <w:sz w:val="20"/>
          <w:vertAlign w:val="baseline"/>
        </w:rPr>
        <w:t>»,</w:t>
      </w:r>
    </w:p>
    <w:p>
      <w:pPr>
        <w:spacing w:before="1"/>
        <w:ind w:left="111" w:right="0" w:firstLine="0"/>
        <w:jc w:val="left"/>
        <w:rPr>
          <w:sz w:val="20"/>
        </w:rPr>
      </w:pPr>
      <w:r>
        <w:rPr>
          <w:color w:val="231F20"/>
          <w:spacing w:val="-4"/>
          <w:sz w:val="20"/>
        </w:rPr>
        <w:t>Sennen</w:t>
      </w:r>
      <w:r>
        <w:rPr>
          <w:color w:val="231F20"/>
          <w:spacing w:val="-3"/>
          <w:sz w:val="20"/>
        </w:rPr>
        <w:t> </w:t>
      </w:r>
      <w:r>
        <w:rPr>
          <w:color w:val="231F20"/>
          <w:spacing w:val="-4"/>
          <w:sz w:val="20"/>
        </w:rPr>
        <w:t>Andriamirado,</w:t>
      </w:r>
      <w:r>
        <w:rPr>
          <w:color w:val="231F20"/>
          <w:spacing w:val="-3"/>
          <w:sz w:val="20"/>
        </w:rPr>
        <w:t> </w:t>
      </w:r>
      <w:r>
        <w:rPr>
          <w:color w:val="231F20"/>
          <w:spacing w:val="-4"/>
          <w:sz w:val="20"/>
        </w:rPr>
        <w:t>journaliste</w:t>
      </w:r>
      <w:r>
        <w:rPr>
          <w:color w:val="231F20"/>
          <w:sz w:val="20"/>
        </w:rPr>
        <w:t> </w:t>
      </w:r>
      <w:r>
        <w:rPr>
          <w:color w:val="231F20"/>
          <w:spacing w:val="-4"/>
          <w:sz w:val="20"/>
        </w:rPr>
        <w:t>malgache</w:t>
      </w:r>
      <w:r>
        <w:rPr>
          <w:color w:val="231F20"/>
          <w:spacing w:val="-3"/>
          <w:sz w:val="20"/>
        </w:rPr>
        <w:t> </w:t>
      </w:r>
      <w:r>
        <w:rPr>
          <w:color w:val="231F20"/>
          <w:spacing w:val="-4"/>
          <w:sz w:val="20"/>
        </w:rPr>
        <w:t>et</w:t>
      </w:r>
      <w:r>
        <w:rPr>
          <w:color w:val="231F20"/>
          <w:spacing w:val="-3"/>
          <w:sz w:val="20"/>
        </w:rPr>
        <w:t> </w:t>
      </w:r>
      <w:r>
        <w:rPr>
          <w:color w:val="231F20"/>
          <w:spacing w:val="-4"/>
          <w:sz w:val="20"/>
        </w:rPr>
        <w:t>rédacteur</w:t>
      </w:r>
      <w:r>
        <w:rPr>
          <w:color w:val="231F20"/>
          <w:sz w:val="20"/>
        </w:rPr>
        <w:t> </w:t>
      </w:r>
      <w:r>
        <w:rPr>
          <w:color w:val="231F20"/>
          <w:spacing w:val="-4"/>
          <w:sz w:val="20"/>
        </w:rPr>
        <w:t>en</w:t>
      </w:r>
      <w:r>
        <w:rPr>
          <w:color w:val="231F20"/>
          <w:spacing w:val="-3"/>
          <w:sz w:val="20"/>
        </w:rPr>
        <w:t> </w:t>
      </w:r>
      <w:r>
        <w:rPr>
          <w:color w:val="231F20"/>
          <w:spacing w:val="-4"/>
          <w:sz w:val="20"/>
        </w:rPr>
        <w:t>chef</w:t>
      </w:r>
      <w:r>
        <w:rPr>
          <w:color w:val="231F20"/>
          <w:spacing w:val="-3"/>
          <w:sz w:val="20"/>
        </w:rPr>
        <w:t> </w:t>
      </w:r>
      <w:r>
        <w:rPr>
          <w:color w:val="231F20"/>
          <w:spacing w:val="-4"/>
          <w:sz w:val="20"/>
        </w:rPr>
        <w:t>à</w:t>
      </w:r>
      <w:r>
        <w:rPr>
          <w:color w:val="231F20"/>
          <w:spacing w:val="-2"/>
          <w:sz w:val="20"/>
        </w:rPr>
        <w:t> </w:t>
      </w:r>
      <w:r>
        <w:rPr>
          <w:color w:val="231F20"/>
          <w:spacing w:val="-4"/>
          <w:sz w:val="20"/>
        </w:rPr>
        <w:t>Jeune</w:t>
      </w:r>
      <w:r>
        <w:rPr>
          <w:color w:val="231F20"/>
          <w:spacing w:val="-2"/>
          <w:sz w:val="20"/>
        </w:rPr>
        <w:t> </w:t>
      </w:r>
      <w:r>
        <w:rPr>
          <w:color w:val="231F20"/>
          <w:spacing w:val="-4"/>
          <w:sz w:val="20"/>
        </w:rPr>
        <w:t>Afrique.</w:t>
      </w:r>
    </w:p>
    <w:p>
      <w:pPr>
        <w:spacing w:after="0"/>
        <w:jc w:val="left"/>
        <w:rPr>
          <w:sz w:val="20"/>
        </w:rPr>
        <w:sectPr>
          <w:pgSz w:w="8790" w:h="13610"/>
          <w:pgMar w:header="0" w:footer="802" w:top="1060" w:bottom="1000" w:left="880" w:right="880"/>
        </w:sectPr>
      </w:pPr>
    </w:p>
    <w:p>
      <w:pPr>
        <w:spacing w:before="66"/>
        <w:ind w:left="111" w:right="103" w:firstLine="0"/>
        <w:jc w:val="both"/>
        <w:rPr>
          <w:i/>
          <w:sz w:val="24"/>
        </w:rPr>
      </w:pPr>
      <w:r>
        <w:rPr>
          <w:i/>
          <w:color w:val="231F20"/>
          <w:sz w:val="24"/>
        </w:rPr>
        <w:t>africaine, pantin sans conscience de Yamoussoukro » </w:t>
      </w:r>
      <w:r>
        <w:rPr>
          <w:color w:val="231F20"/>
          <w:sz w:val="24"/>
        </w:rPr>
        <w:t>; le Sénégalais </w:t>
      </w:r>
      <w:r>
        <w:rPr>
          <w:color w:val="231F20"/>
          <w:spacing w:val="-4"/>
          <w:sz w:val="24"/>
        </w:rPr>
        <w:t>Léopold</w:t>
      </w:r>
      <w:r>
        <w:rPr>
          <w:color w:val="231F20"/>
          <w:spacing w:val="-11"/>
          <w:sz w:val="24"/>
        </w:rPr>
        <w:t> </w:t>
      </w:r>
      <w:r>
        <w:rPr>
          <w:color w:val="231F20"/>
          <w:spacing w:val="-4"/>
          <w:sz w:val="24"/>
        </w:rPr>
        <w:t>Sédar</w:t>
      </w:r>
      <w:r>
        <w:rPr>
          <w:color w:val="231F20"/>
          <w:spacing w:val="-11"/>
          <w:sz w:val="24"/>
        </w:rPr>
        <w:t> </w:t>
      </w:r>
      <w:r>
        <w:rPr>
          <w:color w:val="231F20"/>
          <w:spacing w:val="-4"/>
          <w:sz w:val="24"/>
        </w:rPr>
        <w:t>Senghor</w:t>
      </w:r>
      <w:r>
        <w:rPr>
          <w:color w:val="231F20"/>
          <w:spacing w:val="-11"/>
          <w:sz w:val="24"/>
        </w:rPr>
        <w:t> </w:t>
      </w:r>
      <w:r>
        <w:rPr>
          <w:color w:val="231F20"/>
          <w:spacing w:val="-4"/>
          <w:sz w:val="24"/>
        </w:rPr>
        <w:t>est</w:t>
      </w:r>
      <w:r>
        <w:rPr>
          <w:color w:val="231F20"/>
          <w:spacing w:val="-11"/>
          <w:sz w:val="24"/>
        </w:rPr>
        <w:t> </w:t>
      </w:r>
      <w:r>
        <w:rPr>
          <w:color w:val="231F20"/>
          <w:spacing w:val="-4"/>
          <w:sz w:val="24"/>
        </w:rPr>
        <w:t>accusé</w:t>
      </w:r>
      <w:r>
        <w:rPr>
          <w:color w:val="231F20"/>
          <w:spacing w:val="-11"/>
          <w:sz w:val="24"/>
        </w:rPr>
        <w:t> </w:t>
      </w:r>
      <w:r>
        <w:rPr>
          <w:color w:val="231F20"/>
          <w:spacing w:val="-4"/>
          <w:sz w:val="24"/>
        </w:rPr>
        <w:t>d'avoir</w:t>
      </w:r>
      <w:r>
        <w:rPr>
          <w:color w:val="231F20"/>
          <w:spacing w:val="-11"/>
          <w:sz w:val="24"/>
        </w:rPr>
        <w:t> </w:t>
      </w:r>
      <w:r>
        <w:rPr>
          <w:i/>
          <w:color w:val="231F20"/>
          <w:spacing w:val="-4"/>
          <w:sz w:val="24"/>
        </w:rPr>
        <w:t>«</w:t>
      </w:r>
      <w:r>
        <w:rPr>
          <w:i/>
          <w:color w:val="231F20"/>
          <w:spacing w:val="-11"/>
          <w:sz w:val="24"/>
        </w:rPr>
        <w:t> </w:t>
      </w:r>
      <w:r>
        <w:rPr>
          <w:i/>
          <w:color w:val="231F20"/>
          <w:spacing w:val="-4"/>
          <w:sz w:val="24"/>
        </w:rPr>
        <w:t>permis</w:t>
      </w:r>
      <w:r>
        <w:rPr>
          <w:i/>
          <w:color w:val="231F20"/>
          <w:spacing w:val="-11"/>
          <w:sz w:val="24"/>
        </w:rPr>
        <w:t> </w:t>
      </w:r>
      <w:r>
        <w:rPr>
          <w:i/>
          <w:color w:val="231F20"/>
          <w:spacing w:val="-4"/>
          <w:sz w:val="24"/>
        </w:rPr>
        <w:t>à</w:t>
      </w:r>
      <w:r>
        <w:rPr>
          <w:i/>
          <w:color w:val="231F20"/>
          <w:spacing w:val="-11"/>
          <w:sz w:val="24"/>
        </w:rPr>
        <w:t> </w:t>
      </w:r>
      <w:r>
        <w:rPr>
          <w:i/>
          <w:color w:val="231F20"/>
          <w:spacing w:val="-4"/>
          <w:sz w:val="24"/>
        </w:rPr>
        <w:t>la</w:t>
      </w:r>
      <w:r>
        <w:rPr>
          <w:i/>
          <w:color w:val="231F20"/>
          <w:spacing w:val="-11"/>
          <w:sz w:val="24"/>
        </w:rPr>
        <w:t> </w:t>
      </w:r>
      <w:r>
        <w:rPr>
          <w:i/>
          <w:color w:val="231F20"/>
          <w:spacing w:val="-4"/>
          <w:sz w:val="24"/>
        </w:rPr>
        <w:t>France</w:t>
      </w:r>
      <w:r>
        <w:rPr>
          <w:i/>
          <w:color w:val="231F20"/>
          <w:spacing w:val="-11"/>
          <w:sz w:val="24"/>
        </w:rPr>
        <w:t> </w:t>
      </w:r>
      <w:r>
        <w:rPr>
          <w:i/>
          <w:color w:val="231F20"/>
          <w:spacing w:val="-4"/>
          <w:sz w:val="24"/>
        </w:rPr>
        <w:t>d'installer,</w:t>
      </w:r>
      <w:r>
        <w:rPr>
          <w:i/>
          <w:color w:val="231F20"/>
          <w:spacing w:val="-4"/>
          <w:sz w:val="24"/>
        </w:rPr>
        <w:t> </w:t>
      </w:r>
      <w:r>
        <w:rPr>
          <w:i/>
          <w:color w:val="231F20"/>
          <w:spacing w:val="-2"/>
          <w:sz w:val="24"/>
        </w:rPr>
        <w:t>dans</w:t>
      </w:r>
      <w:r>
        <w:rPr>
          <w:i/>
          <w:color w:val="231F20"/>
          <w:spacing w:val="-13"/>
          <w:sz w:val="24"/>
        </w:rPr>
        <w:t> </w:t>
      </w:r>
      <w:r>
        <w:rPr>
          <w:i/>
          <w:color w:val="231F20"/>
          <w:spacing w:val="-2"/>
          <w:sz w:val="24"/>
        </w:rPr>
        <w:t>la</w:t>
      </w:r>
      <w:r>
        <w:rPr>
          <w:i/>
          <w:color w:val="231F20"/>
          <w:spacing w:val="-13"/>
          <w:sz w:val="24"/>
        </w:rPr>
        <w:t> </w:t>
      </w:r>
      <w:r>
        <w:rPr>
          <w:i/>
          <w:color w:val="231F20"/>
          <w:spacing w:val="-2"/>
          <w:sz w:val="24"/>
        </w:rPr>
        <w:t>région</w:t>
      </w:r>
      <w:r>
        <w:rPr>
          <w:i/>
          <w:color w:val="231F20"/>
          <w:spacing w:val="-11"/>
          <w:sz w:val="24"/>
        </w:rPr>
        <w:t> </w:t>
      </w:r>
      <w:r>
        <w:rPr>
          <w:i/>
          <w:color w:val="231F20"/>
          <w:spacing w:val="-2"/>
          <w:sz w:val="24"/>
        </w:rPr>
        <w:t>de</w:t>
      </w:r>
      <w:r>
        <w:rPr>
          <w:i/>
          <w:color w:val="231F20"/>
          <w:spacing w:val="-13"/>
          <w:sz w:val="24"/>
        </w:rPr>
        <w:t> </w:t>
      </w:r>
      <w:r>
        <w:rPr>
          <w:i/>
          <w:color w:val="231F20"/>
          <w:spacing w:val="-2"/>
          <w:sz w:val="24"/>
        </w:rPr>
        <w:t>Saint-Louis,</w:t>
      </w:r>
      <w:r>
        <w:rPr>
          <w:i/>
          <w:color w:val="231F20"/>
          <w:spacing w:val="-11"/>
          <w:sz w:val="24"/>
        </w:rPr>
        <w:t> </w:t>
      </w:r>
      <w:r>
        <w:rPr>
          <w:i/>
          <w:color w:val="231F20"/>
          <w:spacing w:val="-2"/>
          <w:sz w:val="24"/>
        </w:rPr>
        <w:t>un</w:t>
      </w:r>
      <w:r>
        <w:rPr>
          <w:i/>
          <w:color w:val="231F20"/>
          <w:spacing w:val="-13"/>
          <w:sz w:val="24"/>
        </w:rPr>
        <w:t> </w:t>
      </w:r>
      <w:r>
        <w:rPr>
          <w:i/>
          <w:color w:val="231F20"/>
          <w:spacing w:val="-2"/>
          <w:sz w:val="24"/>
        </w:rPr>
        <w:t>camp</w:t>
      </w:r>
      <w:r>
        <w:rPr>
          <w:i/>
          <w:color w:val="231F20"/>
          <w:spacing w:val="-13"/>
          <w:sz w:val="24"/>
        </w:rPr>
        <w:t> </w:t>
      </w:r>
      <w:r>
        <w:rPr>
          <w:i/>
          <w:color w:val="231F20"/>
          <w:spacing w:val="-2"/>
          <w:sz w:val="24"/>
        </w:rPr>
        <w:t>d'entraînement</w:t>
      </w:r>
      <w:r>
        <w:rPr>
          <w:i/>
          <w:color w:val="231F20"/>
          <w:spacing w:val="-11"/>
          <w:sz w:val="24"/>
        </w:rPr>
        <w:t> </w:t>
      </w:r>
      <w:r>
        <w:rPr>
          <w:i/>
          <w:color w:val="231F20"/>
          <w:spacing w:val="-2"/>
          <w:sz w:val="24"/>
        </w:rPr>
        <w:t>pour</w:t>
      </w:r>
      <w:r>
        <w:rPr>
          <w:i/>
          <w:color w:val="231F20"/>
          <w:spacing w:val="-13"/>
          <w:sz w:val="24"/>
        </w:rPr>
        <w:t> </w:t>
      </w:r>
      <w:r>
        <w:rPr>
          <w:i/>
          <w:color w:val="231F20"/>
          <w:spacing w:val="-2"/>
          <w:sz w:val="24"/>
        </w:rPr>
        <w:t>les</w:t>
      </w:r>
      <w:r>
        <w:rPr>
          <w:i/>
          <w:color w:val="231F20"/>
          <w:spacing w:val="-11"/>
          <w:sz w:val="24"/>
        </w:rPr>
        <w:t> </w:t>
      </w:r>
      <w:r>
        <w:rPr>
          <w:i/>
          <w:color w:val="231F20"/>
          <w:spacing w:val="-2"/>
          <w:sz w:val="24"/>
        </w:rPr>
        <w:t>éléments </w:t>
      </w:r>
      <w:r>
        <w:rPr>
          <w:i/>
          <w:color w:val="231F20"/>
          <w:sz w:val="24"/>
        </w:rPr>
        <w:t>contre-révolutionnaires guinéens ».</w:t>
      </w:r>
    </w:p>
    <w:p>
      <w:pPr>
        <w:pStyle w:val="BodyText"/>
        <w:spacing w:before="120"/>
        <w:ind w:right="103" w:firstLine="283"/>
      </w:pPr>
      <w:r>
        <w:rPr>
          <w:color w:val="231F20"/>
        </w:rPr>
        <w:t>Le 24 juillet 1972, Sékou Touré invite Félix Houphouët-Boigny à Faranah, ville frontière Guinée-Côte d’Ivoire et lui propose une réconciliation</w:t>
      </w:r>
      <w:r>
        <w:rPr>
          <w:color w:val="231F20"/>
          <w:spacing w:val="-10"/>
        </w:rPr>
        <w:t> </w:t>
      </w:r>
      <w:r>
        <w:rPr>
          <w:color w:val="231F20"/>
        </w:rPr>
        <w:t>à</w:t>
      </w:r>
      <w:r>
        <w:rPr>
          <w:color w:val="231F20"/>
          <w:spacing w:val="-11"/>
        </w:rPr>
        <w:t> </w:t>
      </w:r>
      <w:r>
        <w:rPr>
          <w:color w:val="231F20"/>
        </w:rPr>
        <w:t>la</w:t>
      </w:r>
      <w:r>
        <w:rPr>
          <w:color w:val="231F20"/>
          <w:spacing w:val="-11"/>
        </w:rPr>
        <w:t> </w:t>
      </w:r>
      <w:r>
        <w:rPr>
          <w:color w:val="231F20"/>
        </w:rPr>
        <w:t>condition</w:t>
      </w:r>
      <w:r>
        <w:rPr>
          <w:color w:val="231F20"/>
          <w:spacing w:val="-11"/>
        </w:rPr>
        <w:t> </w:t>
      </w:r>
      <w:r>
        <w:rPr>
          <w:color w:val="231F20"/>
        </w:rPr>
        <w:t>qu’il</w:t>
      </w:r>
      <w:r>
        <w:rPr>
          <w:color w:val="231F20"/>
          <w:spacing w:val="-10"/>
        </w:rPr>
        <w:t> </w:t>
      </w:r>
      <w:r>
        <w:rPr>
          <w:color w:val="231F20"/>
        </w:rPr>
        <w:t>lui</w:t>
      </w:r>
      <w:r>
        <w:rPr>
          <w:color w:val="231F20"/>
          <w:spacing w:val="-10"/>
        </w:rPr>
        <w:t> </w:t>
      </w:r>
      <w:r>
        <w:rPr>
          <w:color w:val="231F20"/>
        </w:rPr>
        <w:t>livre</w:t>
      </w:r>
      <w:r>
        <w:rPr>
          <w:color w:val="231F20"/>
          <w:spacing w:val="-11"/>
        </w:rPr>
        <w:t> </w:t>
      </w:r>
      <w:r>
        <w:rPr>
          <w:color w:val="231F20"/>
        </w:rPr>
        <w:t>les</w:t>
      </w:r>
      <w:r>
        <w:rPr>
          <w:color w:val="231F20"/>
          <w:spacing w:val="-11"/>
        </w:rPr>
        <w:t> </w:t>
      </w:r>
      <w:r>
        <w:rPr>
          <w:color w:val="231F20"/>
        </w:rPr>
        <w:t>réfugiés</w:t>
      </w:r>
      <w:r>
        <w:rPr>
          <w:color w:val="231F20"/>
          <w:spacing w:val="-11"/>
        </w:rPr>
        <w:t> </w:t>
      </w:r>
      <w:r>
        <w:rPr>
          <w:color w:val="231F20"/>
        </w:rPr>
        <w:t>guinéens</w:t>
      </w:r>
      <w:r>
        <w:rPr>
          <w:color w:val="231F20"/>
          <w:spacing w:val="-11"/>
        </w:rPr>
        <w:t> </w:t>
      </w:r>
      <w:r>
        <w:rPr>
          <w:color w:val="231F20"/>
        </w:rPr>
        <w:t>en</w:t>
      </w:r>
      <w:r>
        <w:rPr>
          <w:color w:val="231F20"/>
          <w:spacing w:val="-11"/>
        </w:rPr>
        <w:t> </w:t>
      </w:r>
      <w:r>
        <w:rPr>
          <w:color w:val="231F20"/>
        </w:rPr>
        <w:t>Côte </w:t>
      </w:r>
      <w:r>
        <w:rPr>
          <w:color w:val="231F20"/>
          <w:spacing w:val="-2"/>
        </w:rPr>
        <w:t>d'ivoire.</w:t>
      </w:r>
      <w:r>
        <w:rPr>
          <w:color w:val="231F20"/>
          <w:spacing w:val="-15"/>
        </w:rPr>
        <w:t> </w:t>
      </w:r>
      <w:r>
        <w:rPr>
          <w:color w:val="231F20"/>
          <w:spacing w:val="-2"/>
        </w:rPr>
        <w:t>Houphouët</w:t>
      </w:r>
      <w:r>
        <w:rPr>
          <w:color w:val="231F20"/>
          <w:spacing w:val="-13"/>
        </w:rPr>
        <w:t> </w:t>
      </w:r>
      <w:r>
        <w:rPr>
          <w:color w:val="231F20"/>
          <w:spacing w:val="-2"/>
        </w:rPr>
        <w:t>rejette</w:t>
      </w:r>
      <w:r>
        <w:rPr>
          <w:color w:val="231F20"/>
          <w:spacing w:val="-13"/>
        </w:rPr>
        <w:t> </w:t>
      </w:r>
      <w:r>
        <w:rPr>
          <w:color w:val="231F20"/>
          <w:spacing w:val="-2"/>
        </w:rPr>
        <w:t>l'exigence</w:t>
      </w:r>
      <w:r>
        <w:rPr>
          <w:color w:val="231F20"/>
          <w:spacing w:val="-13"/>
        </w:rPr>
        <w:t> </w:t>
      </w:r>
      <w:r>
        <w:rPr>
          <w:color w:val="231F20"/>
          <w:spacing w:val="-2"/>
        </w:rPr>
        <w:t>de</w:t>
      </w:r>
      <w:r>
        <w:rPr>
          <w:color w:val="231F20"/>
          <w:spacing w:val="-13"/>
        </w:rPr>
        <w:t> </w:t>
      </w:r>
      <w:r>
        <w:rPr>
          <w:color w:val="231F20"/>
          <w:spacing w:val="-2"/>
        </w:rPr>
        <w:t>Sékou.</w:t>
      </w:r>
      <w:r>
        <w:rPr>
          <w:color w:val="231F20"/>
          <w:spacing w:val="-13"/>
        </w:rPr>
        <w:t> </w:t>
      </w:r>
      <w:r>
        <w:rPr>
          <w:color w:val="231F20"/>
          <w:spacing w:val="-2"/>
        </w:rPr>
        <w:t>La</w:t>
      </w:r>
      <w:r>
        <w:rPr>
          <w:color w:val="231F20"/>
          <w:spacing w:val="-13"/>
        </w:rPr>
        <w:t> </w:t>
      </w:r>
      <w:r>
        <w:rPr>
          <w:color w:val="231F20"/>
          <w:spacing w:val="-2"/>
        </w:rPr>
        <w:t>même</w:t>
      </w:r>
      <w:r>
        <w:rPr>
          <w:color w:val="231F20"/>
          <w:spacing w:val="-13"/>
        </w:rPr>
        <w:t> </w:t>
      </w:r>
      <w:r>
        <w:rPr>
          <w:color w:val="231F20"/>
          <w:spacing w:val="-2"/>
        </w:rPr>
        <w:t>proposition</w:t>
      </w:r>
      <w:r>
        <w:rPr>
          <w:color w:val="231F20"/>
          <w:spacing w:val="-13"/>
        </w:rPr>
        <w:t> </w:t>
      </w:r>
      <w:r>
        <w:rPr>
          <w:color w:val="231F20"/>
          <w:spacing w:val="-2"/>
        </w:rPr>
        <w:t>est </w:t>
      </w:r>
      <w:r>
        <w:rPr>
          <w:color w:val="231F20"/>
        </w:rPr>
        <w:t>faite à Senghor qui la refuse également. Conakry qualifie Houphouët- </w:t>
      </w:r>
      <w:r>
        <w:rPr>
          <w:color w:val="231F20"/>
          <w:spacing w:val="-2"/>
        </w:rPr>
        <w:t>Boigny</w:t>
      </w:r>
      <w:r>
        <w:rPr>
          <w:color w:val="231F20"/>
          <w:spacing w:val="-11"/>
        </w:rPr>
        <w:t> </w:t>
      </w:r>
      <w:r>
        <w:rPr>
          <w:color w:val="231F20"/>
          <w:spacing w:val="-2"/>
        </w:rPr>
        <w:t>et</w:t>
      </w:r>
      <w:r>
        <w:rPr>
          <w:color w:val="231F20"/>
          <w:spacing w:val="-13"/>
        </w:rPr>
        <w:t> </w:t>
      </w:r>
      <w:r>
        <w:rPr>
          <w:color w:val="231F20"/>
          <w:spacing w:val="-2"/>
        </w:rPr>
        <w:t>Senghor</w:t>
      </w:r>
      <w:r>
        <w:rPr>
          <w:color w:val="231F20"/>
          <w:spacing w:val="-11"/>
        </w:rPr>
        <w:t> </w:t>
      </w:r>
      <w:r>
        <w:rPr>
          <w:color w:val="231F20"/>
          <w:spacing w:val="-2"/>
        </w:rPr>
        <w:t>de</w:t>
      </w:r>
      <w:r>
        <w:rPr>
          <w:color w:val="231F20"/>
          <w:spacing w:val="-13"/>
        </w:rPr>
        <w:t> </w:t>
      </w:r>
      <w:r>
        <w:rPr>
          <w:i/>
          <w:color w:val="231F20"/>
          <w:spacing w:val="-2"/>
        </w:rPr>
        <w:t>«</w:t>
      </w:r>
      <w:r>
        <w:rPr>
          <w:i/>
          <w:color w:val="231F20"/>
          <w:spacing w:val="-13"/>
        </w:rPr>
        <w:t> </w:t>
      </w:r>
      <w:r>
        <w:rPr>
          <w:i/>
          <w:color w:val="231F20"/>
          <w:spacing w:val="-2"/>
        </w:rPr>
        <w:t>traîtres</w:t>
      </w:r>
      <w:r>
        <w:rPr>
          <w:i/>
          <w:color w:val="231F20"/>
          <w:spacing w:val="-11"/>
        </w:rPr>
        <w:t> </w:t>
      </w:r>
      <w:r>
        <w:rPr>
          <w:i/>
          <w:color w:val="231F20"/>
          <w:spacing w:val="-2"/>
        </w:rPr>
        <w:t>et</w:t>
      </w:r>
      <w:r>
        <w:rPr>
          <w:i/>
          <w:color w:val="231F20"/>
          <w:spacing w:val="-12"/>
        </w:rPr>
        <w:t> </w:t>
      </w:r>
      <w:r>
        <w:rPr>
          <w:i/>
          <w:color w:val="231F20"/>
          <w:spacing w:val="-2"/>
        </w:rPr>
        <w:t>fantoches</w:t>
      </w:r>
      <w:r>
        <w:rPr>
          <w:i/>
          <w:color w:val="231F20"/>
          <w:spacing w:val="-11"/>
        </w:rPr>
        <w:t> </w:t>
      </w:r>
      <w:r>
        <w:rPr>
          <w:i/>
          <w:color w:val="231F20"/>
          <w:spacing w:val="-2"/>
        </w:rPr>
        <w:t>»,</w:t>
      </w:r>
      <w:r>
        <w:rPr>
          <w:i/>
          <w:color w:val="231F20"/>
          <w:spacing w:val="-11"/>
        </w:rPr>
        <w:t> </w:t>
      </w:r>
      <w:r>
        <w:rPr>
          <w:color w:val="231F20"/>
          <w:spacing w:val="-2"/>
        </w:rPr>
        <w:t>responsables</w:t>
      </w:r>
      <w:r>
        <w:rPr>
          <w:color w:val="231F20"/>
          <w:spacing w:val="-11"/>
        </w:rPr>
        <w:t> </w:t>
      </w:r>
      <w:r>
        <w:rPr>
          <w:i/>
          <w:color w:val="231F20"/>
          <w:spacing w:val="-2"/>
        </w:rPr>
        <w:t>«</w:t>
      </w:r>
      <w:r>
        <w:rPr>
          <w:i/>
          <w:color w:val="231F20"/>
          <w:spacing w:val="-13"/>
        </w:rPr>
        <w:t> </w:t>
      </w:r>
      <w:r>
        <w:rPr>
          <w:i/>
          <w:color w:val="231F20"/>
          <w:spacing w:val="-2"/>
        </w:rPr>
        <w:t>d’entraver</w:t>
      </w:r>
      <w:r>
        <w:rPr>
          <w:i/>
          <w:color w:val="231F20"/>
          <w:spacing w:val="-2"/>
        </w:rPr>
        <w:t> </w:t>
      </w:r>
      <w:r>
        <w:rPr>
          <w:i/>
          <w:color w:val="231F20"/>
        </w:rPr>
        <w:t>la</w:t>
      </w:r>
      <w:r>
        <w:rPr>
          <w:i/>
          <w:color w:val="231F20"/>
          <w:spacing w:val="-3"/>
        </w:rPr>
        <w:t> </w:t>
      </w:r>
      <w:r>
        <w:rPr>
          <w:i/>
          <w:color w:val="231F20"/>
        </w:rPr>
        <w:t>réconciliation</w:t>
      </w:r>
      <w:r>
        <w:rPr>
          <w:i/>
          <w:color w:val="231F20"/>
          <w:spacing w:val="-6"/>
        </w:rPr>
        <w:t> </w:t>
      </w:r>
      <w:r>
        <w:rPr>
          <w:color w:val="231F20"/>
        </w:rPr>
        <w:t>»</w:t>
      </w:r>
      <w:r>
        <w:rPr>
          <w:color w:val="231F20"/>
          <w:spacing w:val="-4"/>
        </w:rPr>
        <w:t> </w:t>
      </w:r>
      <w:r>
        <w:rPr>
          <w:color w:val="231F20"/>
        </w:rPr>
        <w:t>que</w:t>
      </w:r>
      <w:r>
        <w:rPr>
          <w:color w:val="231F20"/>
          <w:spacing w:val="-4"/>
        </w:rPr>
        <w:t> </w:t>
      </w:r>
      <w:r>
        <w:rPr>
          <w:color w:val="231F20"/>
        </w:rPr>
        <w:t>la</w:t>
      </w:r>
      <w:r>
        <w:rPr>
          <w:color w:val="231F20"/>
          <w:spacing w:val="-6"/>
        </w:rPr>
        <w:t> </w:t>
      </w:r>
      <w:r>
        <w:rPr>
          <w:color w:val="231F20"/>
        </w:rPr>
        <w:t>Guinée</w:t>
      </w:r>
      <w:r>
        <w:rPr>
          <w:color w:val="231F20"/>
          <w:spacing w:val="-4"/>
        </w:rPr>
        <w:t> </w:t>
      </w:r>
      <w:r>
        <w:rPr>
          <w:color w:val="231F20"/>
        </w:rPr>
        <w:t>souhaite</w:t>
      </w:r>
      <w:r>
        <w:rPr>
          <w:color w:val="231F20"/>
          <w:spacing w:val="-4"/>
        </w:rPr>
        <w:t> </w:t>
      </w:r>
      <w:r>
        <w:rPr>
          <w:color w:val="231F20"/>
        </w:rPr>
        <w:t>avec</w:t>
      </w:r>
      <w:r>
        <w:rPr>
          <w:color w:val="231F20"/>
          <w:spacing w:val="-4"/>
        </w:rPr>
        <w:t> </w:t>
      </w:r>
      <w:r>
        <w:rPr>
          <w:color w:val="231F20"/>
        </w:rPr>
        <w:t>la</w:t>
      </w:r>
      <w:r>
        <w:rPr>
          <w:color w:val="231F20"/>
          <w:spacing w:val="-7"/>
        </w:rPr>
        <w:t> </w:t>
      </w:r>
      <w:r>
        <w:rPr>
          <w:color w:val="231F20"/>
        </w:rPr>
        <w:t>France.</w:t>
      </w:r>
    </w:p>
    <w:p>
      <w:pPr>
        <w:spacing w:before="121"/>
        <w:ind w:left="111" w:right="107" w:firstLine="283"/>
        <w:jc w:val="both"/>
        <w:rPr>
          <w:i/>
          <w:sz w:val="24"/>
        </w:rPr>
      </w:pPr>
      <w:r>
        <w:rPr>
          <w:color w:val="231F20"/>
          <w:sz w:val="24"/>
        </w:rPr>
        <w:t>Le 7 septembre, Radio Conakry révèle l'arrestation de «</w:t>
      </w:r>
      <w:r>
        <w:rPr>
          <w:color w:val="231F20"/>
          <w:spacing w:val="-15"/>
          <w:sz w:val="24"/>
        </w:rPr>
        <w:t> </w:t>
      </w:r>
      <w:r>
        <w:rPr>
          <w:i/>
          <w:color w:val="231F20"/>
          <w:sz w:val="24"/>
        </w:rPr>
        <w:t>cinquante-</w:t>
      </w:r>
      <w:r>
        <w:rPr>
          <w:i/>
          <w:color w:val="231F20"/>
          <w:sz w:val="24"/>
        </w:rPr>
        <w:t> neuf opposants formés en Côte d’Ivoire ».</w:t>
      </w:r>
    </w:p>
    <w:p>
      <w:pPr>
        <w:pStyle w:val="BodyText"/>
        <w:spacing w:before="120"/>
        <w:ind w:right="105" w:firstLine="283"/>
      </w:pPr>
      <w:r>
        <w:rPr>
          <w:color w:val="231F20"/>
        </w:rPr>
        <w:t>Jusqu’en 1973, les invectives et les insultes de Sékou Touré contre Félix</w:t>
      </w:r>
      <w:r>
        <w:rPr>
          <w:color w:val="231F20"/>
          <w:spacing w:val="-8"/>
        </w:rPr>
        <w:t> </w:t>
      </w:r>
      <w:r>
        <w:rPr>
          <w:color w:val="231F20"/>
        </w:rPr>
        <w:t>Houphouët-Boigny</w:t>
      </w:r>
      <w:r>
        <w:rPr>
          <w:color w:val="231F20"/>
          <w:spacing w:val="-10"/>
        </w:rPr>
        <w:t> </w:t>
      </w:r>
      <w:r>
        <w:rPr>
          <w:color w:val="231F20"/>
        </w:rPr>
        <w:t>et</w:t>
      </w:r>
      <w:r>
        <w:rPr>
          <w:color w:val="231F20"/>
          <w:spacing w:val="-8"/>
        </w:rPr>
        <w:t> </w:t>
      </w:r>
      <w:r>
        <w:rPr>
          <w:color w:val="231F20"/>
        </w:rPr>
        <w:t>Léopold</w:t>
      </w:r>
      <w:r>
        <w:rPr>
          <w:color w:val="231F20"/>
          <w:spacing w:val="-10"/>
        </w:rPr>
        <w:t> </w:t>
      </w:r>
      <w:r>
        <w:rPr>
          <w:color w:val="231F20"/>
        </w:rPr>
        <w:t>Sédar</w:t>
      </w:r>
      <w:r>
        <w:rPr>
          <w:color w:val="231F20"/>
          <w:spacing w:val="-8"/>
        </w:rPr>
        <w:t> </w:t>
      </w:r>
      <w:r>
        <w:rPr>
          <w:color w:val="231F20"/>
        </w:rPr>
        <w:t>Senghor</w:t>
      </w:r>
      <w:r>
        <w:rPr>
          <w:color w:val="231F20"/>
          <w:spacing w:val="-8"/>
        </w:rPr>
        <w:t> </w:t>
      </w:r>
      <w:r>
        <w:rPr>
          <w:color w:val="231F20"/>
        </w:rPr>
        <w:t>occupent</w:t>
      </w:r>
      <w:r>
        <w:rPr>
          <w:color w:val="231F20"/>
          <w:spacing w:val="-8"/>
        </w:rPr>
        <w:t> </w:t>
      </w:r>
      <w:r>
        <w:rPr>
          <w:color w:val="231F20"/>
        </w:rPr>
        <w:t>une</w:t>
      </w:r>
      <w:r>
        <w:rPr>
          <w:color w:val="231F20"/>
          <w:spacing w:val="-8"/>
        </w:rPr>
        <w:t> </w:t>
      </w:r>
      <w:r>
        <w:rPr>
          <w:color w:val="231F20"/>
        </w:rPr>
        <w:t>large place</w:t>
      </w:r>
      <w:r>
        <w:rPr>
          <w:color w:val="231F20"/>
          <w:spacing w:val="-2"/>
        </w:rPr>
        <w:t> </w:t>
      </w:r>
      <w:r>
        <w:rPr>
          <w:color w:val="231F20"/>
        </w:rPr>
        <w:t>dans</w:t>
      </w:r>
      <w:r>
        <w:rPr>
          <w:color w:val="231F20"/>
          <w:spacing w:val="-4"/>
        </w:rPr>
        <w:t> </w:t>
      </w:r>
      <w:r>
        <w:rPr>
          <w:color w:val="231F20"/>
        </w:rPr>
        <w:t>la</w:t>
      </w:r>
      <w:r>
        <w:rPr>
          <w:color w:val="231F20"/>
          <w:spacing w:val="-2"/>
        </w:rPr>
        <w:t> </w:t>
      </w:r>
      <w:r>
        <w:rPr>
          <w:color w:val="231F20"/>
        </w:rPr>
        <w:t>grille</w:t>
      </w:r>
      <w:r>
        <w:rPr>
          <w:color w:val="231F20"/>
          <w:spacing w:val="-2"/>
        </w:rPr>
        <w:t> </w:t>
      </w:r>
      <w:r>
        <w:rPr>
          <w:color w:val="231F20"/>
        </w:rPr>
        <w:t>des</w:t>
      </w:r>
      <w:r>
        <w:rPr>
          <w:color w:val="231F20"/>
          <w:spacing w:val="-4"/>
        </w:rPr>
        <w:t> </w:t>
      </w:r>
      <w:r>
        <w:rPr>
          <w:color w:val="231F20"/>
        </w:rPr>
        <w:t>programmes</w:t>
      </w:r>
      <w:r>
        <w:rPr>
          <w:color w:val="231F20"/>
          <w:spacing w:val="-3"/>
        </w:rPr>
        <w:t> </w:t>
      </w:r>
      <w:r>
        <w:rPr>
          <w:color w:val="231F20"/>
        </w:rPr>
        <w:t>de</w:t>
      </w:r>
      <w:r>
        <w:rPr>
          <w:color w:val="231F20"/>
          <w:spacing w:val="-5"/>
        </w:rPr>
        <w:t> </w:t>
      </w:r>
      <w:r>
        <w:rPr>
          <w:color w:val="231F20"/>
        </w:rPr>
        <w:t>Radio</w:t>
      </w:r>
      <w:r>
        <w:rPr>
          <w:color w:val="231F20"/>
          <w:spacing w:val="-3"/>
        </w:rPr>
        <w:t> </w:t>
      </w:r>
      <w:r>
        <w:rPr>
          <w:color w:val="231F20"/>
        </w:rPr>
        <w:t>Conakry.</w:t>
      </w:r>
    </w:p>
    <w:p>
      <w:pPr>
        <w:pStyle w:val="BodyText"/>
        <w:spacing w:before="120"/>
        <w:ind w:left="395"/>
      </w:pPr>
      <w:r>
        <w:rPr>
          <w:color w:val="231F20"/>
          <w:spacing w:val="-2"/>
        </w:rPr>
        <w:t>En</w:t>
      </w:r>
      <w:r>
        <w:rPr>
          <w:color w:val="231F20"/>
          <w:spacing w:val="-13"/>
        </w:rPr>
        <w:t> </w:t>
      </w:r>
      <w:r>
        <w:rPr>
          <w:color w:val="231F20"/>
          <w:spacing w:val="-2"/>
        </w:rPr>
        <w:t>1975,</w:t>
      </w:r>
      <w:r>
        <w:rPr>
          <w:color w:val="231F20"/>
          <w:spacing w:val="-13"/>
        </w:rPr>
        <w:t> </w:t>
      </w:r>
      <w:r>
        <w:rPr>
          <w:color w:val="231F20"/>
          <w:spacing w:val="-2"/>
        </w:rPr>
        <w:t>les</w:t>
      </w:r>
      <w:r>
        <w:rPr>
          <w:color w:val="231F20"/>
          <w:spacing w:val="-11"/>
        </w:rPr>
        <w:t> </w:t>
      </w:r>
      <w:r>
        <w:rPr>
          <w:color w:val="231F20"/>
          <w:spacing w:val="-2"/>
        </w:rPr>
        <w:t>relations</w:t>
      </w:r>
      <w:r>
        <w:rPr>
          <w:color w:val="231F20"/>
          <w:spacing w:val="-10"/>
        </w:rPr>
        <w:t> </w:t>
      </w:r>
      <w:r>
        <w:rPr>
          <w:color w:val="231F20"/>
          <w:spacing w:val="-2"/>
        </w:rPr>
        <w:t>diplomatiques</w:t>
      </w:r>
      <w:r>
        <w:rPr>
          <w:color w:val="231F20"/>
          <w:spacing w:val="-13"/>
        </w:rPr>
        <w:t> </w:t>
      </w:r>
      <w:r>
        <w:rPr>
          <w:color w:val="231F20"/>
          <w:spacing w:val="-2"/>
        </w:rPr>
        <w:t>sont</w:t>
      </w:r>
      <w:r>
        <w:rPr>
          <w:color w:val="231F20"/>
          <w:spacing w:val="-11"/>
        </w:rPr>
        <w:t> </w:t>
      </w:r>
      <w:r>
        <w:rPr>
          <w:color w:val="231F20"/>
          <w:spacing w:val="-2"/>
        </w:rPr>
        <w:t>rétablies</w:t>
      </w:r>
      <w:r>
        <w:rPr>
          <w:color w:val="231F20"/>
          <w:spacing w:val="-13"/>
        </w:rPr>
        <w:t> </w:t>
      </w:r>
      <w:r>
        <w:rPr>
          <w:color w:val="231F20"/>
          <w:spacing w:val="-2"/>
        </w:rPr>
        <w:t>avec</w:t>
      </w:r>
      <w:r>
        <w:rPr>
          <w:color w:val="231F20"/>
          <w:spacing w:val="-11"/>
        </w:rPr>
        <w:t> </w:t>
      </w:r>
      <w:r>
        <w:rPr>
          <w:color w:val="231F20"/>
          <w:spacing w:val="-2"/>
        </w:rPr>
        <w:t>la</w:t>
      </w:r>
      <w:r>
        <w:rPr>
          <w:color w:val="231F20"/>
          <w:spacing w:val="-11"/>
        </w:rPr>
        <w:t> </w:t>
      </w:r>
      <w:r>
        <w:rPr>
          <w:color w:val="231F20"/>
          <w:spacing w:val="-2"/>
        </w:rPr>
        <w:t>France.</w:t>
      </w:r>
    </w:p>
    <w:p>
      <w:pPr>
        <w:spacing w:before="120"/>
        <w:ind w:left="111" w:right="107" w:firstLine="283"/>
        <w:jc w:val="both"/>
        <w:rPr>
          <w:i/>
          <w:sz w:val="24"/>
        </w:rPr>
      </w:pPr>
      <w:r>
        <w:rPr>
          <w:color w:val="231F20"/>
          <w:sz w:val="24"/>
        </w:rPr>
        <w:t>Le</w:t>
      </w:r>
      <w:r>
        <w:rPr>
          <w:color w:val="231F20"/>
          <w:spacing w:val="-5"/>
          <w:sz w:val="24"/>
        </w:rPr>
        <w:t> </w:t>
      </w:r>
      <w:r>
        <w:rPr>
          <w:color w:val="231F20"/>
          <w:sz w:val="24"/>
        </w:rPr>
        <w:t>19</w:t>
      </w:r>
      <w:r>
        <w:rPr>
          <w:color w:val="231F20"/>
          <w:spacing w:val="-5"/>
          <w:sz w:val="24"/>
        </w:rPr>
        <w:t> </w:t>
      </w:r>
      <w:r>
        <w:rPr>
          <w:color w:val="231F20"/>
          <w:sz w:val="24"/>
        </w:rPr>
        <w:t>décembre</w:t>
      </w:r>
      <w:r>
        <w:rPr>
          <w:color w:val="231F20"/>
          <w:spacing w:val="-5"/>
          <w:sz w:val="24"/>
        </w:rPr>
        <w:t> </w:t>
      </w:r>
      <w:r>
        <w:rPr>
          <w:color w:val="231F20"/>
          <w:sz w:val="24"/>
        </w:rPr>
        <w:t>1977,</w:t>
      </w:r>
      <w:r>
        <w:rPr>
          <w:color w:val="231F20"/>
          <w:spacing w:val="-7"/>
          <w:sz w:val="24"/>
        </w:rPr>
        <w:t> </w:t>
      </w:r>
      <w:r>
        <w:rPr>
          <w:color w:val="231F20"/>
          <w:sz w:val="24"/>
        </w:rPr>
        <w:t>Sékou</w:t>
      </w:r>
      <w:r>
        <w:rPr>
          <w:color w:val="231F20"/>
          <w:spacing w:val="-5"/>
          <w:sz w:val="24"/>
        </w:rPr>
        <w:t> </w:t>
      </w:r>
      <w:r>
        <w:rPr>
          <w:color w:val="231F20"/>
          <w:sz w:val="24"/>
        </w:rPr>
        <w:t>Touré</w:t>
      </w:r>
      <w:r>
        <w:rPr>
          <w:color w:val="231F20"/>
          <w:spacing w:val="-5"/>
          <w:sz w:val="24"/>
        </w:rPr>
        <w:t> </w:t>
      </w:r>
      <w:r>
        <w:rPr>
          <w:color w:val="231F20"/>
          <w:sz w:val="24"/>
        </w:rPr>
        <w:t>exhorte</w:t>
      </w:r>
      <w:r>
        <w:rPr>
          <w:color w:val="231F20"/>
          <w:spacing w:val="-7"/>
          <w:sz w:val="24"/>
        </w:rPr>
        <w:t> </w:t>
      </w:r>
      <w:r>
        <w:rPr>
          <w:color w:val="231F20"/>
          <w:sz w:val="24"/>
        </w:rPr>
        <w:t>la</w:t>
      </w:r>
      <w:r>
        <w:rPr>
          <w:color w:val="231F20"/>
          <w:spacing w:val="-5"/>
          <w:sz w:val="24"/>
        </w:rPr>
        <w:t> </w:t>
      </w:r>
      <w:r>
        <w:rPr>
          <w:color w:val="231F20"/>
          <w:sz w:val="24"/>
        </w:rPr>
        <w:t>jeunesse</w:t>
      </w:r>
      <w:r>
        <w:rPr>
          <w:color w:val="231F20"/>
          <w:spacing w:val="-5"/>
          <w:sz w:val="24"/>
        </w:rPr>
        <w:t> </w:t>
      </w:r>
      <w:r>
        <w:rPr>
          <w:color w:val="231F20"/>
          <w:sz w:val="24"/>
        </w:rPr>
        <w:t>guinéenne</w:t>
      </w:r>
      <w:r>
        <w:rPr>
          <w:color w:val="231F20"/>
          <w:spacing w:val="-6"/>
          <w:sz w:val="24"/>
        </w:rPr>
        <w:t> </w:t>
      </w:r>
      <w:r>
        <w:rPr>
          <w:color w:val="231F20"/>
          <w:sz w:val="24"/>
        </w:rPr>
        <w:t>à normaliser ses relations avec la Côte d'Ivoire et le Sénégal. Dans son message de nouvel an, il souhaite </w:t>
      </w:r>
      <w:r>
        <w:rPr>
          <w:i/>
          <w:color w:val="231F20"/>
          <w:sz w:val="24"/>
        </w:rPr>
        <w:t>« que 1978 soit une année de</w:t>
      </w:r>
      <w:r>
        <w:rPr>
          <w:i/>
          <w:color w:val="231F20"/>
          <w:sz w:val="24"/>
        </w:rPr>
        <w:t> compréhension totale, de coopération sincère et de solidarité effective avec le Sénégal et la Côte d'Ivoire ».</w:t>
      </w:r>
    </w:p>
    <w:p>
      <w:pPr>
        <w:pStyle w:val="BodyText"/>
        <w:spacing w:before="120"/>
        <w:ind w:right="104" w:firstLine="283"/>
      </w:pPr>
      <w:r>
        <w:rPr>
          <w:color w:val="231F20"/>
          <w:spacing w:val="-2"/>
        </w:rPr>
        <w:t>En</w:t>
      </w:r>
      <w:r>
        <w:rPr>
          <w:color w:val="231F20"/>
          <w:spacing w:val="-10"/>
        </w:rPr>
        <w:t> </w:t>
      </w:r>
      <w:r>
        <w:rPr>
          <w:color w:val="231F20"/>
          <w:spacing w:val="-2"/>
        </w:rPr>
        <w:t>1978,</w:t>
      </w:r>
      <w:r>
        <w:rPr>
          <w:color w:val="231F20"/>
          <w:spacing w:val="-10"/>
        </w:rPr>
        <w:t> </w:t>
      </w:r>
      <w:r>
        <w:rPr>
          <w:color w:val="231F20"/>
          <w:spacing w:val="-2"/>
        </w:rPr>
        <w:t>Valery</w:t>
      </w:r>
      <w:r>
        <w:rPr>
          <w:color w:val="231F20"/>
          <w:spacing w:val="-10"/>
        </w:rPr>
        <w:t> </w:t>
      </w:r>
      <w:r>
        <w:rPr>
          <w:color w:val="231F20"/>
          <w:spacing w:val="-2"/>
        </w:rPr>
        <w:t>Giscard</w:t>
      </w:r>
      <w:r>
        <w:rPr>
          <w:color w:val="231F20"/>
          <w:spacing w:val="-13"/>
        </w:rPr>
        <w:t> </w:t>
      </w:r>
      <w:r>
        <w:rPr>
          <w:color w:val="231F20"/>
          <w:spacing w:val="-2"/>
        </w:rPr>
        <w:t>d’Estaing,</w:t>
      </w:r>
      <w:r>
        <w:rPr>
          <w:color w:val="231F20"/>
          <w:spacing w:val="-12"/>
        </w:rPr>
        <w:t> </w:t>
      </w:r>
      <w:r>
        <w:rPr>
          <w:color w:val="231F20"/>
          <w:spacing w:val="-2"/>
        </w:rPr>
        <w:t>successeur</w:t>
      </w:r>
      <w:r>
        <w:rPr>
          <w:color w:val="231F20"/>
          <w:spacing w:val="-13"/>
        </w:rPr>
        <w:t> </w:t>
      </w:r>
      <w:r>
        <w:rPr>
          <w:color w:val="231F20"/>
          <w:spacing w:val="-2"/>
        </w:rPr>
        <w:t>de</w:t>
      </w:r>
      <w:r>
        <w:rPr>
          <w:color w:val="231F20"/>
          <w:spacing w:val="-13"/>
        </w:rPr>
        <w:t> </w:t>
      </w:r>
      <w:r>
        <w:rPr>
          <w:color w:val="231F20"/>
          <w:spacing w:val="-2"/>
        </w:rPr>
        <w:t>Pompidou</w:t>
      </w:r>
      <w:r>
        <w:rPr>
          <w:color w:val="231F20"/>
          <w:spacing w:val="-2"/>
          <w:vertAlign w:val="superscript"/>
        </w:rPr>
        <w:t>106</w:t>
      </w:r>
      <w:r>
        <w:rPr>
          <w:color w:val="231F20"/>
          <w:spacing w:val="-8"/>
          <w:vertAlign w:val="baseline"/>
        </w:rPr>
        <w:t> </w:t>
      </w:r>
      <w:r>
        <w:rPr>
          <w:color w:val="231F20"/>
          <w:spacing w:val="-2"/>
          <w:vertAlign w:val="baseline"/>
        </w:rPr>
        <w:t>ouvre une</w:t>
      </w:r>
      <w:r>
        <w:rPr>
          <w:color w:val="231F20"/>
          <w:spacing w:val="-8"/>
          <w:vertAlign w:val="baseline"/>
        </w:rPr>
        <w:t> </w:t>
      </w:r>
      <w:r>
        <w:rPr>
          <w:color w:val="231F20"/>
          <w:spacing w:val="-2"/>
          <w:vertAlign w:val="baseline"/>
        </w:rPr>
        <w:t>ambassade</w:t>
      </w:r>
      <w:r>
        <w:rPr>
          <w:color w:val="231F20"/>
          <w:spacing w:val="-8"/>
          <w:vertAlign w:val="baseline"/>
        </w:rPr>
        <w:t> </w:t>
      </w:r>
      <w:r>
        <w:rPr>
          <w:color w:val="231F20"/>
          <w:spacing w:val="-2"/>
          <w:vertAlign w:val="baseline"/>
        </w:rPr>
        <w:t>à</w:t>
      </w:r>
      <w:r>
        <w:rPr>
          <w:color w:val="231F20"/>
          <w:spacing w:val="-9"/>
          <w:vertAlign w:val="baseline"/>
        </w:rPr>
        <w:t> </w:t>
      </w:r>
      <w:r>
        <w:rPr>
          <w:color w:val="231F20"/>
          <w:spacing w:val="-2"/>
          <w:vertAlign w:val="baseline"/>
        </w:rPr>
        <w:t>Conakry</w:t>
      </w:r>
      <w:r>
        <w:rPr>
          <w:color w:val="231F20"/>
          <w:spacing w:val="-10"/>
          <w:vertAlign w:val="baseline"/>
        </w:rPr>
        <w:t> </w:t>
      </w:r>
      <w:r>
        <w:rPr>
          <w:color w:val="231F20"/>
          <w:spacing w:val="-2"/>
          <w:vertAlign w:val="baseline"/>
        </w:rPr>
        <w:t>puis</w:t>
      </w:r>
      <w:r>
        <w:rPr>
          <w:color w:val="231F20"/>
          <w:spacing w:val="-8"/>
          <w:vertAlign w:val="baseline"/>
        </w:rPr>
        <w:t> </w:t>
      </w:r>
      <w:r>
        <w:rPr>
          <w:color w:val="231F20"/>
          <w:spacing w:val="-2"/>
          <w:vertAlign w:val="baseline"/>
        </w:rPr>
        <w:t>réalise</w:t>
      </w:r>
      <w:r>
        <w:rPr>
          <w:color w:val="231F20"/>
          <w:spacing w:val="-8"/>
          <w:vertAlign w:val="baseline"/>
        </w:rPr>
        <w:t> </w:t>
      </w:r>
      <w:r>
        <w:rPr>
          <w:color w:val="231F20"/>
          <w:spacing w:val="-2"/>
          <w:vertAlign w:val="baseline"/>
        </w:rPr>
        <w:t>la</w:t>
      </w:r>
      <w:r>
        <w:rPr>
          <w:color w:val="231F20"/>
          <w:spacing w:val="-11"/>
          <w:vertAlign w:val="baseline"/>
        </w:rPr>
        <w:t> </w:t>
      </w:r>
      <w:r>
        <w:rPr>
          <w:color w:val="231F20"/>
          <w:spacing w:val="-2"/>
          <w:vertAlign w:val="baseline"/>
        </w:rPr>
        <w:t>première</w:t>
      </w:r>
      <w:r>
        <w:rPr>
          <w:color w:val="231F20"/>
          <w:spacing w:val="-8"/>
          <w:vertAlign w:val="baseline"/>
        </w:rPr>
        <w:t> </w:t>
      </w:r>
      <w:r>
        <w:rPr>
          <w:color w:val="231F20"/>
          <w:spacing w:val="-2"/>
          <w:vertAlign w:val="baseline"/>
        </w:rPr>
        <w:t>visite</w:t>
      </w:r>
      <w:r>
        <w:rPr>
          <w:color w:val="231F20"/>
          <w:spacing w:val="-8"/>
          <w:vertAlign w:val="baseline"/>
        </w:rPr>
        <w:t> </w:t>
      </w:r>
      <w:r>
        <w:rPr>
          <w:color w:val="231F20"/>
          <w:spacing w:val="-2"/>
          <w:vertAlign w:val="baseline"/>
        </w:rPr>
        <w:t>d’un</w:t>
      </w:r>
      <w:r>
        <w:rPr>
          <w:color w:val="231F20"/>
          <w:spacing w:val="-10"/>
          <w:vertAlign w:val="baseline"/>
        </w:rPr>
        <w:t> </w:t>
      </w:r>
      <w:r>
        <w:rPr>
          <w:color w:val="231F20"/>
          <w:spacing w:val="-2"/>
          <w:vertAlign w:val="baseline"/>
        </w:rPr>
        <w:t>chef</w:t>
      </w:r>
      <w:r>
        <w:rPr>
          <w:color w:val="231F20"/>
          <w:spacing w:val="-8"/>
          <w:vertAlign w:val="baseline"/>
        </w:rPr>
        <w:t> </w:t>
      </w:r>
      <w:r>
        <w:rPr>
          <w:color w:val="231F20"/>
          <w:spacing w:val="-2"/>
          <w:vertAlign w:val="baseline"/>
        </w:rPr>
        <w:t>d’État </w:t>
      </w:r>
      <w:r>
        <w:rPr>
          <w:color w:val="231F20"/>
          <w:vertAlign w:val="baseline"/>
        </w:rPr>
        <w:t>ou</w:t>
      </w:r>
      <w:r>
        <w:rPr>
          <w:color w:val="231F20"/>
          <w:spacing w:val="-1"/>
          <w:vertAlign w:val="baseline"/>
        </w:rPr>
        <w:t> </w:t>
      </w:r>
      <w:r>
        <w:rPr>
          <w:color w:val="231F20"/>
          <w:vertAlign w:val="baseline"/>
        </w:rPr>
        <w:t>de</w:t>
      </w:r>
      <w:r>
        <w:rPr>
          <w:color w:val="231F20"/>
          <w:spacing w:val="-1"/>
          <w:vertAlign w:val="baseline"/>
        </w:rPr>
        <w:t> </w:t>
      </w:r>
      <w:r>
        <w:rPr>
          <w:color w:val="231F20"/>
          <w:vertAlign w:val="baseline"/>
        </w:rPr>
        <w:t>gouvernement</w:t>
      </w:r>
      <w:r>
        <w:rPr>
          <w:color w:val="231F20"/>
          <w:spacing w:val="-1"/>
          <w:vertAlign w:val="baseline"/>
        </w:rPr>
        <w:t> </w:t>
      </w:r>
      <w:r>
        <w:rPr>
          <w:color w:val="231F20"/>
          <w:vertAlign w:val="baseline"/>
        </w:rPr>
        <w:t>français</w:t>
      </w:r>
      <w:r>
        <w:rPr>
          <w:color w:val="231F20"/>
          <w:spacing w:val="-1"/>
          <w:vertAlign w:val="baseline"/>
        </w:rPr>
        <w:t> </w:t>
      </w:r>
      <w:r>
        <w:rPr>
          <w:color w:val="231F20"/>
          <w:vertAlign w:val="baseline"/>
        </w:rPr>
        <w:t>à</w:t>
      </w:r>
      <w:r>
        <w:rPr>
          <w:color w:val="231F20"/>
          <w:spacing w:val="-3"/>
          <w:vertAlign w:val="baseline"/>
        </w:rPr>
        <w:t> </w:t>
      </w:r>
      <w:r>
        <w:rPr>
          <w:color w:val="231F20"/>
          <w:vertAlign w:val="baseline"/>
        </w:rPr>
        <w:t>Conakry</w:t>
      </w:r>
      <w:r>
        <w:rPr>
          <w:color w:val="231F20"/>
          <w:spacing w:val="-3"/>
          <w:vertAlign w:val="baseline"/>
        </w:rPr>
        <w:t> </w:t>
      </w:r>
      <w:r>
        <w:rPr>
          <w:color w:val="231F20"/>
          <w:vertAlign w:val="baseline"/>
        </w:rPr>
        <w:t>depuis</w:t>
      </w:r>
      <w:r>
        <w:rPr>
          <w:color w:val="231F20"/>
          <w:spacing w:val="-1"/>
          <w:vertAlign w:val="baseline"/>
        </w:rPr>
        <w:t> </w:t>
      </w:r>
      <w:r>
        <w:rPr>
          <w:color w:val="231F20"/>
          <w:vertAlign w:val="baseline"/>
        </w:rPr>
        <w:t>1958.</w:t>
      </w:r>
    </w:p>
    <w:p>
      <w:pPr>
        <w:pStyle w:val="BodyText"/>
        <w:spacing w:before="121"/>
        <w:ind w:left="395"/>
      </w:pPr>
      <w:r>
        <w:rPr>
          <w:color w:val="231F20"/>
        </w:rPr>
        <w:t>Le</w:t>
      </w:r>
      <w:r>
        <w:rPr>
          <w:color w:val="231F20"/>
          <w:spacing w:val="-7"/>
        </w:rPr>
        <w:t> </w:t>
      </w:r>
      <w:r>
        <w:rPr>
          <w:color w:val="231F20"/>
        </w:rPr>
        <w:t>26</w:t>
      </w:r>
      <w:r>
        <w:rPr>
          <w:color w:val="231F20"/>
          <w:spacing w:val="-6"/>
        </w:rPr>
        <w:t> </w:t>
      </w:r>
      <w:r>
        <w:rPr>
          <w:color w:val="231F20"/>
        </w:rPr>
        <w:t>mars</w:t>
      </w:r>
      <w:r>
        <w:rPr>
          <w:color w:val="231F20"/>
          <w:spacing w:val="-6"/>
        </w:rPr>
        <w:t> </w:t>
      </w:r>
      <w:r>
        <w:rPr>
          <w:color w:val="231F20"/>
        </w:rPr>
        <w:t>1984,</w:t>
      </w:r>
      <w:r>
        <w:rPr>
          <w:color w:val="231F20"/>
          <w:spacing w:val="-6"/>
        </w:rPr>
        <w:t> </w:t>
      </w:r>
      <w:r>
        <w:rPr>
          <w:color w:val="231F20"/>
        </w:rPr>
        <w:t>Ahmed</w:t>
      </w:r>
      <w:r>
        <w:rPr>
          <w:color w:val="231F20"/>
          <w:spacing w:val="-7"/>
        </w:rPr>
        <w:t> </w:t>
      </w:r>
      <w:r>
        <w:rPr>
          <w:color w:val="231F20"/>
        </w:rPr>
        <w:t>Sékou</w:t>
      </w:r>
      <w:r>
        <w:rPr>
          <w:color w:val="231F20"/>
          <w:spacing w:val="-6"/>
        </w:rPr>
        <w:t> </w:t>
      </w:r>
      <w:r>
        <w:rPr>
          <w:color w:val="231F20"/>
        </w:rPr>
        <w:t>Touré</w:t>
      </w:r>
      <w:r>
        <w:rPr>
          <w:color w:val="231F20"/>
          <w:spacing w:val="-4"/>
        </w:rPr>
        <w:t> </w:t>
      </w:r>
      <w:r>
        <w:rPr>
          <w:color w:val="231F20"/>
        </w:rPr>
        <w:t>meurt</w:t>
      </w:r>
      <w:r>
        <w:rPr>
          <w:color w:val="231F20"/>
          <w:spacing w:val="-4"/>
        </w:rPr>
        <w:t> </w:t>
      </w:r>
      <w:r>
        <w:rPr>
          <w:color w:val="231F20"/>
        </w:rPr>
        <w:t>à</w:t>
      </w:r>
      <w:r>
        <w:rPr>
          <w:color w:val="231F20"/>
          <w:spacing w:val="-7"/>
        </w:rPr>
        <w:t> </w:t>
      </w:r>
      <w:r>
        <w:rPr>
          <w:color w:val="231F20"/>
        </w:rPr>
        <w:t>Cleveland</w:t>
      </w:r>
      <w:r>
        <w:rPr>
          <w:color w:val="231F20"/>
          <w:spacing w:val="-6"/>
        </w:rPr>
        <w:t> </w:t>
      </w:r>
      <w:r>
        <w:rPr>
          <w:color w:val="231F20"/>
        </w:rPr>
        <w:t>aux</w:t>
      </w:r>
      <w:r>
        <w:rPr>
          <w:color w:val="231F20"/>
          <w:spacing w:val="-4"/>
        </w:rPr>
        <w:t> </w:t>
      </w:r>
      <w:r>
        <w:rPr>
          <w:color w:val="231F20"/>
          <w:spacing w:val="-2"/>
        </w:rPr>
        <w:t>États-</w:t>
      </w:r>
    </w:p>
    <w:p>
      <w:pPr>
        <w:pStyle w:val="BodyText"/>
      </w:pPr>
      <w:r>
        <w:rPr>
          <w:color w:val="231F20"/>
          <w:spacing w:val="-2"/>
        </w:rPr>
        <w:t>Unis</w:t>
      </w:r>
      <w:r>
        <w:rPr>
          <w:color w:val="231F20"/>
          <w:spacing w:val="-13"/>
        </w:rPr>
        <w:t> </w:t>
      </w:r>
      <w:r>
        <w:rPr>
          <w:color w:val="231F20"/>
          <w:spacing w:val="-2"/>
        </w:rPr>
        <w:t>lors</w:t>
      </w:r>
      <w:r>
        <w:rPr>
          <w:color w:val="231F20"/>
          <w:spacing w:val="-11"/>
        </w:rPr>
        <w:t> </w:t>
      </w:r>
      <w:r>
        <w:rPr>
          <w:color w:val="231F20"/>
          <w:spacing w:val="-2"/>
        </w:rPr>
        <w:t>d’une</w:t>
      </w:r>
      <w:r>
        <w:rPr>
          <w:color w:val="231F20"/>
          <w:spacing w:val="-11"/>
        </w:rPr>
        <w:t> </w:t>
      </w:r>
      <w:r>
        <w:rPr>
          <w:color w:val="231F20"/>
          <w:spacing w:val="-2"/>
        </w:rPr>
        <w:t>opération</w:t>
      </w:r>
      <w:r>
        <w:rPr>
          <w:color w:val="231F20"/>
          <w:spacing w:val="-11"/>
        </w:rPr>
        <w:t> </w:t>
      </w:r>
      <w:r>
        <w:rPr>
          <w:color w:val="231F20"/>
          <w:spacing w:val="-2"/>
        </w:rPr>
        <w:t>cardiaque.</w:t>
      </w:r>
    </w:p>
    <w:p>
      <w:pPr>
        <w:pStyle w:val="BodyText"/>
        <w:spacing w:before="120"/>
        <w:ind w:right="99" w:firstLine="283"/>
      </w:pPr>
      <w:r>
        <w:rPr>
          <w:color w:val="231F20"/>
        </w:rPr>
        <w:t>Le Premier Ministre Louis Lansana Beavogui devient aussitôt le </w:t>
      </w:r>
      <w:r>
        <w:rPr>
          <w:color w:val="231F20"/>
          <w:spacing w:val="-2"/>
        </w:rPr>
        <w:t>président</w:t>
      </w:r>
      <w:r>
        <w:rPr>
          <w:color w:val="231F20"/>
          <w:spacing w:val="-11"/>
        </w:rPr>
        <w:t> </w:t>
      </w:r>
      <w:r>
        <w:rPr>
          <w:color w:val="231F20"/>
          <w:spacing w:val="-2"/>
        </w:rPr>
        <w:t>intérimaire</w:t>
      </w:r>
      <w:r>
        <w:rPr>
          <w:color w:val="231F20"/>
          <w:spacing w:val="-12"/>
        </w:rPr>
        <w:t> </w:t>
      </w:r>
      <w:r>
        <w:rPr>
          <w:color w:val="231F20"/>
          <w:spacing w:val="-2"/>
        </w:rPr>
        <w:t>selon</w:t>
      </w:r>
      <w:r>
        <w:rPr>
          <w:color w:val="231F20"/>
          <w:spacing w:val="-10"/>
        </w:rPr>
        <w:t> </w:t>
      </w:r>
      <w:r>
        <w:rPr>
          <w:color w:val="231F20"/>
          <w:spacing w:val="-2"/>
        </w:rPr>
        <w:t>la</w:t>
      </w:r>
      <w:r>
        <w:rPr>
          <w:color w:val="231F20"/>
          <w:spacing w:val="-12"/>
        </w:rPr>
        <w:t> </w:t>
      </w:r>
      <w:r>
        <w:rPr>
          <w:color w:val="231F20"/>
          <w:spacing w:val="-2"/>
        </w:rPr>
        <w:t>Constitution</w:t>
      </w:r>
      <w:r>
        <w:rPr>
          <w:color w:val="231F20"/>
          <w:spacing w:val="-11"/>
        </w:rPr>
        <w:t> </w:t>
      </w:r>
      <w:r>
        <w:rPr>
          <w:color w:val="231F20"/>
          <w:spacing w:val="-2"/>
        </w:rPr>
        <w:t>mais</w:t>
      </w:r>
      <w:r>
        <w:rPr>
          <w:color w:val="231F20"/>
          <w:spacing w:val="-11"/>
        </w:rPr>
        <w:t> </w:t>
      </w:r>
      <w:r>
        <w:rPr>
          <w:color w:val="231F20"/>
          <w:spacing w:val="-2"/>
        </w:rPr>
        <w:t>le</w:t>
      </w:r>
      <w:r>
        <w:rPr>
          <w:color w:val="231F20"/>
          <w:spacing w:val="-12"/>
        </w:rPr>
        <w:t> </w:t>
      </w:r>
      <w:r>
        <w:rPr>
          <w:color w:val="231F20"/>
          <w:spacing w:val="-2"/>
        </w:rPr>
        <w:t>Parti</w:t>
      </w:r>
      <w:r>
        <w:rPr>
          <w:color w:val="231F20"/>
          <w:spacing w:val="-11"/>
        </w:rPr>
        <w:t> </w:t>
      </w:r>
      <w:r>
        <w:rPr>
          <w:color w:val="231F20"/>
          <w:spacing w:val="-2"/>
        </w:rPr>
        <w:t>Démocratique</w:t>
      </w:r>
      <w:r>
        <w:rPr>
          <w:color w:val="231F20"/>
          <w:spacing w:val="-10"/>
        </w:rPr>
        <w:t> </w:t>
      </w:r>
      <w:r>
        <w:rPr>
          <w:color w:val="231F20"/>
          <w:spacing w:val="-2"/>
        </w:rPr>
        <w:t>de </w:t>
      </w:r>
      <w:r>
        <w:rPr>
          <w:color w:val="231F20"/>
        </w:rPr>
        <w:t>Guinée (PDG), le parti unique est secoué par de violentes querelles de </w:t>
      </w:r>
      <w:r>
        <w:rPr>
          <w:color w:val="231F20"/>
          <w:spacing w:val="-2"/>
        </w:rPr>
        <w:t>succession.</w:t>
      </w:r>
    </w:p>
    <w:p>
      <w:pPr>
        <w:pStyle w:val="BodyText"/>
        <w:spacing w:before="120"/>
        <w:ind w:right="113" w:firstLine="283"/>
      </w:pPr>
      <w:r>
        <w:rPr>
          <w:color w:val="231F20"/>
        </w:rPr>
        <w:t>Le 3 avril, une semaine après le décès de Sékou Touré, le colonel Lansana</w:t>
      </w:r>
      <w:r>
        <w:rPr>
          <w:color w:val="231F20"/>
          <w:spacing w:val="-4"/>
        </w:rPr>
        <w:t> </w:t>
      </w:r>
      <w:r>
        <w:rPr>
          <w:color w:val="231F20"/>
        </w:rPr>
        <w:t>Conté</w:t>
      </w:r>
      <w:r>
        <w:rPr>
          <w:color w:val="231F20"/>
          <w:spacing w:val="-4"/>
        </w:rPr>
        <w:t> </w:t>
      </w:r>
      <w:r>
        <w:rPr>
          <w:color w:val="231F20"/>
        </w:rPr>
        <w:t>renverse</w:t>
      </w:r>
      <w:r>
        <w:rPr>
          <w:color w:val="231F20"/>
          <w:spacing w:val="-4"/>
        </w:rPr>
        <w:t> </w:t>
      </w:r>
      <w:r>
        <w:rPr>
          <w:color w:val="231F20"/>
        </w:rPr>
        <w:t>le</w:t>
      </w:r>
      <w:r>
        <w:rPr>
          <w:color w:val="231F20"/>
          <w:spacing w:val="-4"/>
        </w:rPr>
        <w:t> </w:t>
      </w:r>
      <w:r>
        <w:rPr>
          <w:color w:val="231F20"/>
        </w:rPr>
        <w:t>président</w:t>
      </w:r>
      <w:r>
        <w:rPr>
          <w:color w:val="231F20"/>
          <w:spacing w:val="-2"/>
        </w:rPr>
        <w:t> </w:t>
      </w:r>
      <w:r>
        <w:rPr>
          <w:color w:val="231F20"/>
        </w:rPr>
        <w:t>intérimaire.</w:t>
      </w:r>
    </w:p>
    <w:p>
      <w:pPr>
        <w:pStyle w:val="BodyText"/>
        <w:spacing w:before="160"/>
        <w:ind w:left="0"/>
        <w:jc w:val="left"/>
        <w:rPr>
          <w:sz w:val="20"/>
        </w:rPr>
      </w:pPr>
      <w:r>
        <w:rPr/>
        <mc:AlternateContent>
          <mc:Choice Requires="wps">
            <w:drawing>
              <wp:anchor distT="0" distB="0" distL="0" distR="0" allowOverlap="1" layoutInCell="1" locked="0" behindDoc="1" simplePos="0" relativeHeight="487621632">
                <wp:simplePos x="0" y="0"/>
                <wp:positionH relativeFrom="page">
                  <wp:posOffset>629907</wp:posOffset>
                </wp:positionH>
                <wp:positionV relativeFrom="paragraph">
                  <wp:posOffset>263063</wp:posOffset>
                </wp:positionV>
                <wp:extent cx="1829435" cy="9525"/>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713673pt;width:144.020pt;height:.72pt;mso-position-horizontal-relative:page;mso-position-vertical-relative:paragraph;z-index:-15694848;mso-wrap-distance-left:0;mso-wrap-distance-right:0" id="docshape83" filled="true" fillcolor="#231f20" stroked="false">
                <v:fill type="solid"/>
                <w10:wrap type="topAndBottom"/>
              </v:rect>
            </w:pict>
          </mc:Fallback>
        </mc:AlternateContent>
      </w:r>
    </w:p>
    <w:p>
      <w:pPr>
        <w:spacing w:before="94"/>
        <w:ind w:left="111" w:right="0" w:firstLine="0"/>
        <w:jc w:val="left"/>
        <w:rPr>
          <w:sz w:val="20"/>
        </w:rPr>
      </w:pPr>
      <w:r>
        <w:rPr>
          <w:color w:val="76787A"/>
          <w:sz w:val="20"/>
          <w:vertAlign w:val="superscript"/>
        </w:rPr>
        <w:t>106</w:t>
      </w:r>
      <w:r>
        <w:rPr>
          <w:color w:val="76787A"/>
          <w:spacing w:val="-19"/>
          <w:sz w:val="20"/>
          <w:vertAlign w:val="baseline"/>
        </w:rPr>
        <w:t> </w:t>
      </w:r>
      <w:r>
        <w:rPr>
          <w:color w:val="231F20"/>
          <w:sz w:val="20"/>
          <w:vertAlign w:val="baseline"/>
        </w:rPr>
        <w:t>Georges</w:t>
      </w:r>
      <w:r>
        <w:rPr>
          <w:color w:val="231F20"/>
          <w:spacing w:val="-13"/>
          <w:sz w:val="20"/>
          <w:vertAlign w:val="baseline"/>
        </w:rPr>
        <w:t> </w:t>
      </w:r>
      <w:r>
        <w:rPr>
          <w:color w:val="231F20"/>
          <w:sz w:val="20"/>
          <w:vertAlign w:val="baseline"/>
        </w:rPr>
        <w:t>Pompidou,</w:t>
      </w:r>
      <w:r>
        <w:rPr>
          <w:color w:val="231F20"/>
          <w:spacing w:val="-12"/>
          <w:sz w:val="20"/>
          <w:vertAlign w:val="baseline"/>
        </w:rPr>
        <w:t> </w:t>
      </w:r>
      <w:r>
        <w:rPr>
          <w:color w:val="231F20"/>
          <w:sz w:val="20"/>
          <w:vertAlign w:val="baseline"/>
        </w:rPr>
        <w:t>président</w:t>
      </w:r>
      <w:r>
        <w:rPr>
          <w:color w:val="231F20"/>
          <w:spacing w:val="-13"/>
          <w:sz w:val="20"/>
          <w:vertAlign w:val="baseline"/>
        </w:rPr>
        <w:t> </w:t>
      </w:r>
      <w:r>
        <w:rPr>
          <w:color w:val="231F20"/>
          <w:sz w:val="20"/>
          <w:vertAlign w:val="baseline"/>
        </w:rPr>
        <w:t>de</w:t>
      </w:r>
      <w:r>
        <w:rPr>
          <w:color w:val="231F20"/>
          <w:spacing w:val="-7"/>
          <w:sz w:val="20"/>
          <w:vertAlign w:val="baseline"/>
        </w:rPr>
        <w:t> </w:t>
      </w:r>
      <w:r>
        <w:rPr>
          <w:color w:val="231F20"/>
          <w:sz w:val="20"/>
          <w:vertAlign w:val="baseline"/>
        </w:rPr>
        <w:t>la</w:t>
      </w:r>
      <w:r>
        <w:rPr>
          <w:color w:val="231F20"/>
          <w:spacing w:val="-8"/>
          <w:sz w:val="20"/>
          <w:vertAlign w:val="baseline"/>
        </w:rPr>
        <w:t> </w:t>
      </w:r>
      <w:r>
        <w:rPr>
          <w:color w:val="231F20"/>
          <w:sz w:val="20"/>
          <w:vertAlign w:val="baseline"/>
        </w:rPr>
        <w:t>République</w:t>
      </w:r>
      <w:r>
        <w:rPr>
          <w:color w:val="231F20"/>
          <w:spacing w:val="-10"/>
          <w:sz w:val="20"/>
          <w:vertAlign w:val="baseline"/>
        </w:rPr>
        <w:t> </w:t>
      </w:r>
      <w:r>
        <w:rPr>
          <w:color w:val="231F20"/>
          <w:sz w:val="20"/>
          <w:vertAlign w:val="baseline"/>
        </w:rPr>
        <w:t>française</w:t>
      </w:r>
      <w:r>
        <w:rPr>
          <w:color w:val="231F20"/>
          <w:spacing w:val="-10"/>
          <w:sz w:val="20"/>
          <w:vertAlign w:val="baseline"/>
        </w:rPr>
        <w:t> </w:t>
      </w:r>
      <w:r>
        <w:rPr>
          <w:color w:val="231F20"/>
          <w:sz w:val="20"/>
          <w:vertAlign w:val="baseline"/>
        </w:rPr>
        <w:t>du</w:t>
      </w:r>
      <w:r>
        <w:rPr>
          <w:color w:val="231F20"/>
          <w:spacing w:val="-10"/>
          <w:sz w:val="20"/>
          <w:vertAlign w:val="baseline"/>
        </w:rPr>
        <w:t> </w:t>
      </w:r>
      <w:r>
        <w:rPr>
          <w:color w:val="231F20"/>
          <w:sz w:val="20"/>
          <w:vertAlign w:val="baseline"/>
        </w:rPr>
        <w:t>20</w:t>
      </w:r>
      <w:r>
        <w:rPr>
          <w:color w:val="231F20"/>
          <w:spacing w:val="-9"/>
          <w:sz w:val="20"/>
          <w:vertAlign w:val="baseline"/>
        </w:rPr>
        <w:t> </w:t>
      </w:r>
      <w:r>
        <w:rPr>
          <w:color w:val="231F20"/>
          <w:sz w:val="20"/>
          <w:vertAlign w:val="baseline"/>
        </w:rPr>
        <w:t>juin</w:t>
      </w:r>
      <w:r>
        <w:rPr>
          <w:color w:val="231F20"/>
          <w:spacing w:val="-9"/>
          <w:sz w:val="20"/>
          <w:vertAlign w:val="baseline"/>
        </w:rPr>
        <w:t> </w:t>
      </w:r>
      <w:r>
        <w:rPr>
          <w:color w:val="231F20"/>
          <w:sz w:val="20"/>
          <w:vertAlign w:val="baseline"/>
        </w:rPr>
        <w:t>1969</w:t>
      </w:r>
      <w:r>
        <w:rPr>
          <w:color w:val="231F20"/>
          <w:spacing w:val="-8"/>
          <w:sz w:val="20"/>
          <w:vertAlign w:val="baseline"/>
        </w:rPr>
        <w:t> </w:t>
      </w:r>
      <w:r>
        <w:rPr>
          <w:color w:val="231F20"/>
          <w:sz w:val="20"/>
          <w:vertAlign w:val="baseline"/>
        </w:rPr>
        <w:t>au</w:t>
      </w:r>
      <w:r>
        <w:rPr>
          <w:color w:val="231F20"/>
          <w:spacing w:val="-9"/>
          <w:sz w:val="20"/>
          <w:vertAlign w:val="baseline"/>
        </w:rPr>
        <w:t> </w:t>
      </w:r>
      <w:r>
        <w:rPr>
          <w:color w:val="231F20"/>
          <w:sz w:val="20"/>
          <w:vertAlign w:val="baseline"/>
        </w:rPr>
        <w:t>2</w:t>
      </w:r>
      <w:r>
        <w:rPr>
          <w:color w:val="231F20"/>
          <w:spacing w:val="-9"/>
          <w:sz w:val="20"/>
          <w:vertAlign w:val="baseline"/>
        </w:rPr>
        <w:t> </w:t>
      </w:r>
      <w:r>
        <w:rPr>
          <w:color w:val="231F20"/>
          <w:sz w:val="20"/>
          <w:vertAlign w:val="baseline"/>
        </w:rPr>
        <w:t>avril </w:t>
      </w:r>
      <w:r>
        <w:rPr>
          <w:color w:val="231F20"/>
          <w:spacing w:val="-2"/>
          <w:sz w:val="20"/>
          <w:vertAlign w:val="baseline"/>
        </w:rPr>
        <w:t>1974.</w:t>
      </w:r>
    </w:p>
    <w:p>
      <w:pPr>
        <w:spacing w:after="0"/>
        <w:jc w:val="left"/>
        <w:rPr>
          <w:sz w:val="20"/>
        </w:rPr>
        <w:sectPr>
          <w:pgSz w:w="8790" w:h="13610"/>
          <w:pgMar w:header="0" w:footer="802" w:top="1060" w:bottom="1000" w:left="880" w:right="880"/>
        </w:sectPr>
      </w:pPr>
    </w:p>
    <w:p>
      <w:pPr>
        <w:pStyle w:val="BodyText"/>
        <w:spacing w:before="66"/>
        <w:ind w:right="105" w:firstLine="283"/>
      </w:pPr>
      <w:r>
        <w:rPr>
          <w:color w:val="231F20"/>
          <w:spacing w:val="-2"/>
        </w:rPr>
        <w:t>Le</w:t>
      </w:r>
      <w:r>
        <w:rPr>
          <w:color w:val="231F20"/>
          <w:spacing w:val="-13"/>
        </w:rPr>
        <w:t> </w:t>
      </w:r>
      <w:r>
        <w:rPr>
          <w:color w:val="231F20"/>
          <w:spacing w:val="-2"/>
        </w:rPr>
        <w:t>nouvel</w:t>
      </w:r>
      <w:r>
        <w:rPr>
          <w:color w:val="231F20"/>
          <w:spacing w:val="-13"/>
        </w:rPr>
        <w:t> </w:t>
      </w:r>
      <w:r>
        <w:rPr>
          <w:color w:val="231F20"/>
          <w:spacing w:val="-2"/>
        </w:rPr>
        <w:t>homme</w:t>
      </w:r>
      <w:r>
        <w:rPr>
          <w:color w:val="231F20"/>
          <w:spacing w:val="-13"/>
        </w:rPr>
        <w:t> </w:t>
      </w:r>
      <w:r>
        <w:rPr>
          <w:color w:val="231F20"/>
          <w:spacing w:val="-2"/>
        </w:rPr>
        <w:t>fort</w:t>
      </w:r>
      <w:r>
        <w:rPr>
          <w:color w:val="231F20"/>
          <w:spacing w:val="-13"/>
        </w:rPr>
        <w:t> </w:t>
      </w:r>
      <w:r>
        <w:rPr>
          <w:color w:val="231F20"/>
          <w:spacing w:val="-2"/>
        </w:rPr>
        <w:t>du</w:t>
      </w:r>
      <w:r>
        <w:rPr>
          <w:color w:val="231F20"/>
          <w:spacing w:val="-13"/>
        </w:rPr>
        <w:t> </w:t>
      </w:r>
      <w:r>
        <w:rPr>
          <w:color w:val="231F20"/>
          <w:spacing w:val="-2"/>
        </w:rPr>
        <w:t>pays</w:t>
      </w:r>
      <w:r>
        <w:rPr>
          <w:color w:val="231F20"/>
          <w:spacing w:val="-13"/>
        </w:rPr>
        <w:t> </w:t>
      </w:r>
      <w:r>
        <w:rPr>
          <w:color w:val="231F20"/>
          <w:spacing w:val="-2"/>
        </w:rPr>
        <w:t>est</w:t>
      </w:r>
      <w:r>
        <w:rPr>
          <w:color w:val="231F20"/>
          <w:spacing w:val="-13"/>
        </w:rPr>
        <w:t> </w:t>
      </w:r>
      <w:r>
        <w:rPr>
          <w:color w:val="231F20"/>
          <w:spacing w:val="-2"/>
        </w:rPr>
        <w:t>un</w:t>
      </w:r>
      <w:r>
        <w:rPr>
          <w:color w:val="231F20"/>
          <w:spacing w:val="-13"/>
        </w:rPr>
        <w:t> </w:t>
      </w:r>
      <w:r>
        <w:rPr>
          <w:color w:val="231F20"/>
          <w:spacing w:val="-2"/>
        </w:rPr>
        <w:t>ancien</w:t>
      </w:r>
      <w:r>
        <w:rPr>
          <w:color w:val="231F20"/>
          <w:spacing w:val="-13"/>
        </w:rPr>
        <w:t> </w:t>
      </w:r>
      <w:r>
        <w:rPr>
          <w:color w:val="231F20"/>
          <w:spacing w:val="-2"/>
        </w:rPr>
        <w:t>de</w:t>
      </w:r>
      <w:r>
        <w:rPr>
          <w:color w:val="231F20"/>
          <w:spacing w:val="-13"/>
        </w:rPr>
        <w:t> </w:t>
      </w:r>
      <w:r>
        <w:rPr>
          <w:color w:val="231F20"/>
          <w:spacing w:val="-2"/>
        </w:rPr>
        <w:t>l’Armée</w:t>
      </w:r>
      <w:r>
        <w:rPr>
          <w:color w:val="231F20"/>
          <w:spacing w:val="-13"/>
        </w:rPr>
        <w:t> </w:t>
      </w:r>
      <w:r>
        <w:rPr>
          <w:color w:val="231F20"/>
          <w:spacing w:val="-2"/>
        </w:rPr>
        <w:t>française.</w:t>
      </w:r>
      <w:r>
        <w:rPr>
          <w:color w:val="231F20"/>
          <w:spacing w:val="-12"/>
        </w:rPr>
        <w:t> </w:t>
      </w:r>
      <w:r>
        <w:rPr>
          <w:color w:val="231F20"/>
          <w:spacing w:val="-2"/>
        </w:rPr>
        <w:t>Il</w:t>
      </w:r>
      <w:r>
        <w:rPr>
          <w:color w:val="231F20"/>
          <w:spacing w:val="-13"/>
        </w:rPr>
        <w:t> </w:t>
      </w:r>
      <w:r>
        <w:rPr>
          <w:color w:val="231F20"/>
          <w:spacing w:val="-2"/>
        </w:rPr>
        <w:t>a </w:t>
      </w:r>
      <w:r>
        <w:rPr>
          <w:color w:val="231F20"/>
        </w:rPr>
        <w:t>participé à la guerre d’Algérie. Le colonel</w:t>
      </w:r>
      <w:r>
        <w:rPr>
          <w:color w:val="231F20"/>
          <w:spacing w:val="-2"/>
        </w:rPr>
        <w:t> </w:t>
      </w:r>
      <w:r>
        <w:rPr>
          <w:color w:val="231F20"/>
        </w:rPr>
        <w:t>Conté dénonce le régime de Sékou</w:t>
      </w:r>
      <w:r>
        <w:rPr>
          <w:color w:val="231F20"/>
          <w:spacing w:val="-15"/>
        </w:rPr>
        <w:t> </w:t>
      </w:r>
      <w:r>
        <w:rPr>
          <w:color w:val="231F20"/>
        </w:rPr>
        <w:t>Touré</w:t>
      </w:r>
      <w:r>
        <w:rPr>
          <w:color w:val="231F20"/>
          <w:spacing w:val="-15"/>
        </w:rPr>
        <w:t> </w:t>
      </w:r>
      <w:r>
        <w:rPr>
          <w:color w:val="231F20"/>
        </w:rPr>
        <w:t>qu’il</w:t>
      </w:r>
      <w:r>
        <w:rPr>
          <w:color w:val="231F20"/>
          <w:spacing w:val="-15"/>
        </w:rPr>
        <w:t> </w:t>
      </w:r>
      <w:r>
        <w:rPr>
          <w:color w:val="231F20"/>
        </w:rPr>
        <w:t>avait</w:t>
      </w:r>
      <w:r>
        <w:rPr>
          <w:color w:val="231F20"/>
          <w:spacing w:val="-15"/>
        </w:rPr>
        <w:t> </w:t>
      </w:r>
      <w:r>
        <w:rPr>
          <w:color w:val="231F20"/>
        </w:rPr>
        <w:t>pourtant</w:t>
      </w:r>
      <w:r>
        <w:rPr>
          <w:color w:val="231F20"/>
          <w:spacing w:val="-15"/>
        </w:rPr>
        <w:t> </w:t>
      </w:r>
      <w:r>
        <w:rPr>
          <w:color w:val="231F20"/>
        </w:rPr>
        <w:t>défendu</w:t>
      </w:r>
      <w:r>
        <w:rPr>
          <w:color w:val="231F20"/>
          <w:spacing w:val="-15"/>
        </w:rPr>
        <w:t> </w:t>
      </w:r>
      <w:r>
        <w:rPr>
          <w:color w:val="231F20"/>
        </w:rPr>
        <w:t>après</w:t>
      </w:r>
      <w:r>
        <w:rPr>
          <w:color w:val="231F20"/>
          <w:spacing w:val="-15"/>
        </w:rPr>
        <w:t> </w:t>
      </w:r>
      <w:r>
        <w:rPr>
          <w:color w:val="231F20"/>
        </w:rPr>
        <w:t>l’indépendance</w:t>
      </w:r>
      <w:r>
        <w:rPr>
          <w:color w:val="231F20"/>
          <w:spacing w:val="-15"/>
        </w:rPr>
        <w:t> </w:t>
      </w:r>
      <w:r>
        <w:rPr>
          <w:color w:val="231F20"/>
        </w:rPr>
        <w:t>du</w:t>
      </w:r>
      <w:r>
        <w:rPr>
          <w:color w:val="231F20"/>
          <w:spacing w:val="-15"/>
        </w:rPr>
        <w:t> </w:t>
      </w:r>
      <w:r>
        <w:rPr>
          <w:color w:val="231F20"/>
        </w:rPr>
        <w:t>pays, devenant</w:t>
      </w:r>
      <w:r>
        <w:rPr>
          <w:color w:val="231F20"/>
          <w:spacing w:val="-15"/>
        </w:rPr>
        <w:t> </w:t>
      </w:r>
      <w:r>
        <w:rPr>
          <w:color w:val="231F20"/>
        </w:rPr>
        <w:t>député</w:t>
      </w:r>
      <w:r>
        <w:rPr>
          <w:color w:val="231F20"/>
          <w:spacing w:val="-15"/>
        </w:rPr>
        <w:t> </w:t>
      </w:r>
      <w:r>
        <w:rPr>
          <w:color w:val="231F20"/>
        </w:rPr>
        <w:t>du</w:t>
      </w:r>
      <w:r>
        <w:rPr>
          <w:color w:val="231F20"/>
          <w:spacing w:val="-15"/>
        </w:rPr>
        <w:t> </w:t>
      </w:r>
      <w:r>
        <w:rPr>
          <w:color w:val="231F20"/>
        </w:rPr>
        <w:t>Parti</w:t>
      </w:r>
      <w:r>
        <w:rPr>
          <w:color w:val="231F20"/>
          <w:spacing w:val="-15"/>
        </w:rPr>
        <w:t> </w:t>
      </w:r>
      <w:r>
        <w:rPr>
          <w:color w:val="231F20"/>
        </w:rPr>
        <w:t>unique.</w:t>
      </w:r>
      <w:r>
        <w:rPr>
          <w:color w:val="231F20"/>
          <w:spacing w:val="-15"/>
        </w:rPr>
        <w:t> </w:t>
      </w:r>
      <w:r>
        <w:rPr>
          <w:color w:val="231F20"/>
        </w:rPr>
        <w:t>Il</w:t>
      </w:r>
      <w:r>
        <w:rPr>
          <w:color w:val="231F20"/>
          <w:spacing w:val="-14"/>
        </w:rPr>
        <w:t> </w:t>
      </w:r>
      <w:r>
        <w:rPr>
          <w:color w:val="231F20"/>
        </w:rPr>
        <w:t>s’engage</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tête</w:t>
      </w:r>
      <w:r>
        <w:rPr>
          <w:color w:val="231F20"/>
          <w:spacing w:val="-13"/>
        </w:rPr>
        <w:t> </w:t>
      </w:r>
      <w:r>
        <w:rPr>
          <w:color w:val="231F20"/>
        </w:rPr>
        <w:t>de</w:t>
      </w:r>
      <w:r>
        <w:rPr>
          <w:color w:val="231F20"/>
          <w:spacing w:val="-15"/>
        </w:rPr>
        <w:t> </w:t>
      </w:r>
      <w:r>
        <w:rPr>
          <w:color w:val="231F20"/>
        </w:rPr>
        <w:t>la</w:t>
      </w:r>
      <w:r>
        <w:rPr>
          <w:color w:val="231F20"/>
          <w:spacing w:val="-15"/>
        </w:rPr>
        <w:t> </w:t>
      </w:r>
      <w:r>
        <w:rPr>
          <w:color w:val="231F20"/>
        </w:rPr>
        <w:t>junte</w:t>
      </w:r>
      <w:r>
        <w:rPr>
          <w:color w:val="231F20"/>
          <w:spacing w:val="-15"/>
        </w:rPr>
        <w:t> </w:t>
      </w:r>
      <w:r>
        <w:rPr>
          <w:color w:val="231F20"/>
        </w:rPr>
        <w:t>à</w:t>
      </w:r>
      <w:r>
        <w:rPr>
          <w:color w:val="231F20"/>
          <w:spacing w:val="-13"/>
        </w:rPr>
        <w:t> </w:t>
      </w:r>
      <w:r>
        <w:rPr>
          <w:color w:val="231F20"/>
        </w:rPr>
        <w:t>établir </w:t>
      </w:r>
      <w:r>
        <w:rPr>
          <w:color w:val="231F20"/>
          <w:spacing w:val="-2"/>
        </w:rPr>
        <w:t>un</w:t>
      </w:r>
      <w:r>
        <w:rPr>
          <w:color w:val="231F20"/>
          <w:spacing w:val="-15"/>
        </w:rPr>
        <w:t> </w:t>
      </w:r>
      <w:r>
        <w:rPr>
          <w:color w:val="231F20"/>
          <w:spacing w:val="-2"/>
        </w:rPr>
        <w:t>régime</w:t>
      </w:r>
      <w:r>
        <w:rPr>
          <w:color w:val="231F20"/>
          <w:spacing w:val="-13"/>
        </w:rPr>
        <w:t> </w:t>
      </w:r>
      <w:r>
        <w:rPr>
          <w:color w:val="231F20"/>
          <w:spacing w:val="-2"/>
        </w:rPr>
        <w:t>démocratique,</w:t>
      </w:r>
      <w:r>
        <w:rPr>
          <w:color w:val="231F20"/>
          <w:spacing w:val="-13"/>
        </w:rPr>
        <w:t> </w:t>
      </w:r>
      <w:r>
        <w:rPr>
          <w:color w:val="231F20"/>
          <w:spacing w:val="-2"/>
        </w:rPr>
        <w:t>à</w:t>
      </w:r>
      <w:r>
        <w:rPr>
          <w:color w:val="231F20"/>
          <w:spacing w:val="-13"/>
        </w:rPr>
        <w:t> </w:t>
      </w:r>
      <w:r>
        <w:rPr>
          <w:color w:val="231F20"/>
          <w:spacing w:val="-2"/>
        </w:rPr>
        <w:t>sortir</w:t>
      </w:r>
      <w:r>
        <w:rPr>
          <w:color w:val="231F20"/>
          <w:spacing w:val="-13"/>
        </w:rPr>
        <w:t> </w:t>
      </w:r>
      <w:r>
        <w:rPr>
          <w:color w:val="231F20"/>
          <w:spacing w:val="-2"/>
        </w:rPr>
        <w:t>la</w:t>
      </w:r>
      <w:r>
        <w:rPr>
          <w:color w:val="231F20"/>
          <w:spacing w:val="-13"/>
        </w:rPr>
        <w:t> </w:t>
      </w:r>
      <w:r>
        <w:rPr>
          <w:color w:val="231F20"/>
          <w:spacing w:val="-2"/>
        </w:rPr>
        <w:t>Guinée</w:t>
      </w:r>
      <w:r>
        <w:rPr>
          <w:color w:val="231F20"/>
          <w:spacing w:val="-13"/>
        </w:rPr>
        <w:t> </w:t>
      </w:r>
      <w:r>
        <w:rPr>
          <w:color w:val="231F20"/>
          <w:spacing w:val="-2"/>
        </w:rPr>
        <w:t>de</w:t>
      </w:r>
      <w:r>
        <w:rPr>
          <w:color w:val="231F20"/>
          <w:spacing w:val="-13"/>
        </w:rPr>
        <w:t> </w:t>
      </w:r>
      <w:r>
        <w:rPr>
          <w:color w:val="231F20"/>
          <w:spacing w:val="-2"/>
        </w:rPr>
        <w:t>son</w:t>
      </w:r>
      <w:r>
        <w:rPr>
          <w:color w:val="231F20"/>
          <w:spacing w:val="-13"/>
        </w:rPr>
        <w:t> </w:t>
      </w:r>
      <w:r>
        <w:rPr>
          <w:color w:val="231F20"/>
          <w:spacing w:val="-2"/>
        </w:rPr>
        <w:t>isolement</w:t>
      </w:r>
      <w:r>
        <w:rPr>
          <w:color w:val="231F20"/>
          <w:spacing w:val="-13"/>
        </w:rPr>
        <w:t> </w:t>
      </w:r>
      <w:r>
        <w:rPr>
          <w:color w:val="231F20"/>
          <w:spacing w:val="-2"/>
        </w:rPr>
        <w:t>international et</w:t>
      </w:r>
      <w:r>
        <w:rPr>
          <w:color w:val="231F20"/>
          <w:spacing w:val="-13"/>
        </w:rPr>
        <w:t> </w:t>
      </w:r>
      <w:r>
        <w:rPr>
          <w:color w:val="231F20"/>
          <w:spacing w:val="-2"/>
        </w:rPr>
        <w:t>à</w:t>
      </w:r>
      <w:r>
        <w:rPr>
          <w:color w:val="231F20"/>
          <w:spacing w:val="-13"/>
        </w:rPr>
        <w:t> </w:t>
      </w:r>
      <w:r>
        <w:rPr>
          <w:color w:val="231F20"/>
          <w:spacing w:val="-2"/>
        </w:rPr>
        <w:t>exploiter</w:t>
      </w:r>
      <w:r>
        <w:rPr>
          <w:color w:val="231F20"/>
          <w:spacing w:val="-13"/>
        </w:rPr>
        <w:t> </w:t>
      </w:r>
      <w:r>
        <w:rPr>
          <w:color w:val="231F20"/>
          <w:spacing w:val="-2"/>
        </w:rPr>
        <w:t>les</w:t>
      </w:r>
      <w:r>
        <w:rPr>
          <w:color w:val="231F20"/>
          <w:spacing w:val="-13"/>
        </w:rPr>
        <w:t> </w:t>
      </w:r>
      <w:r>
        <w:rPr>
          <w:color w:val="231F20"/>
          <w:spacing w:val="-2"/>
        </w:rPr>
        <w:t>ressources</w:t>
      </w:r>
      <w:r>
        <w:rPr>
          <w:color w:val="231F20"/>
          <w:spacing w:val="-13"/>
        </w:rPr>
        <w:t> </w:t>
      </w:r>
      <w:r>
        <w:rPr>
          <w:color w:val="231F20"/>
          <w:spacing w:val="-2"/>
        </w:rPr>
        <w:t>naturelles.</w:t>
      </w:r>
      <w:r>
        <w:rPr>
          <w:color w:val="231F20"/>
          <w:spacing w:val="-13"/>
        </w:rPr>
        <w:t> </w:t>
      </w:r>
      <w:r>
        <w:rPr>
          <w:color w:val="231F20"/>
          <w:spacing w:val="-2"/>
        </w:rPr>
        <w:t>Il</w:t>
      </w:r>
      <w:r>
        <w:rPr>
          <w:color w:val="231F20"/>
          <w:spacing w:val="-13"/>
        </w:rPr>
        <w:t> </w:t>
      </w:r>
      <w:r>
        <w:rPr>
          <w:color w:val="231F20"/>
          <w:spacing w:val="-2"/>
        </w:rPr>
        <w:t>libéré</w:t>
      </w:r>
      <w:r>
        <w:rPr>
          <w:color w:val="231F20"/>
          <w:spacing w:val="-13"/>
        </w:rPr>
        <w:t> </w:t>
      </w:r>
      <w:r>
        <w:rPr>
          <w:color w:val="231F20"/>
          <w:spacing w:val="-2"/>
        </w:rPr>
        <w:t>250</w:t>
      </w:r>
      <w:r>
        <w:rPr>
          <w:color w:val="231F20"/>
          <w:spacing w:val="-13"/>
        </w:rPr>
        <w:t> </w:t>
      </w:r>
      <w:r>
        <w:rPr>
          <w:color w:val="231F20"/>
          <w:spacing w:val="-2"/>
        </w:rPr>
        <w:t>prisonniers</w:t>
      </w:r>
      <w:r>
        <w:rPr>
          <w:color w:val="231F20"/>
          <w:spacing w:val="-13"/>
        </w:rPr>
        <w:t> </w:t>
      </w:r>
      <w:r>
        <w:rPr>
          <w:color w:val="231F20"/>
          <w:spacing w:val="-2"/>
        </w:rPr>
        <w:t>politiques </w:t>
      </w:r>
      <w:r>
        <w:rPr>
          <w:color w:val="231F20"/>
        </w:rPr>
        <w:t>et</w:t>
      </w:r>
      <w:r>
        <w:rPr>
          <w:color w:val="231F20"/>
          <w:spacing w:val="-3"/>
        </w:rPr>
        <w:t> </w:t>
      </w:r>
      <w:r>
        <w:rPr>
          <w:color w:val="231F20"/>
        </w:rPr>
        <w:t>encourage</w:t>
      </w:r>
      <w:r>
        <w:rPr>
          <w:color w:val="231F20"/>
          <w:spacing w:val="-6"/>
        </w:rPr>
        <w:t> </w:t>
      </w:r>
      <w:r>
        <w:rPr>
          <w:color w:val="231F20"/>
        </w:rPr>
        <w:t>le</w:t>
      </w:r>
      <w:r>
        <w:rPr>
          <w:color w:val="231F20"/>
          <w:spacing w:val="-4"/>
        </w:rPr>
        <w:t> </w:t>
      </w:r>
      <w:r>
        <w:rPr>
          <w:color w:val="231F20"/>
        </w:rPr>
        <w:t>retour</w:t>
      </w:r>
      <w:r>
        <w:rPr>
          <w:color w:val="231F20"/>
          <w:spacing w:val="-4"/>
        </w:rPr>
        <w:t> </w:t>
      </w:r>
      <w:r>
        <w:rPr>
          <w:color w:val="231F20"/>
        </w:rPr>
        <w:t>d’environ</w:t>
      </w:r>
      <w:r>
        <w:rPr>
          <w:color w:val="231F20"/>
          <w:spacing w:val="-6"/>
        </w:rPr>
        <w:t> </w:t>
      </w:r>
      <w:r>
        <w:rPr>
          <w:color w:val="231F20"/>
        </w:rPr>
        <w:t>200</w:t>
      </w:r>
      <w:r>
        <w:rPr>
          <w:color w:val="231F20"/>
          <w:spacing w:val="-5"/>
        </w:rPr>
        <w:t> </w:t>
      </w:r>
      <w:r>
        <w:rPr>
          <w:color w:val="231F20"/>
        </w:rPr>
        <w:t>000</w:t>
      </w:r>
      <w:r>
        <w:rPr>
          <w:color w:val="231F20"/>
          <w:spacing w:val="-6"/>
        </w:rPr>
        <w:t> </w:t>
      </w:r>
      <w:r>
        <w:rPr>
          <w:color w:val="231F20"/>
        </w:rPr>
        <w:t>Guinéens</w:t>
      </w:r>
      <w:r>
        <w:rPr>
          <w:color w:val="231F20"/>
          <w:spacing w:val="-6"/>
        </w:rPr>
        <w:t> </w:t>
      </w:r>
      <w:r>
        <w:rPr>
          <w:color w:val="231F20"/>
        </w:rPr>
        <w:t>en</w:t>
      </w:r>
      <w:r>
        <w:rPr>
          <w:color w:val="231F20"/>
          <w:spacing w:val="-4"/>
        </w:rPr>
        <w:t> </w:t>
      </w:r>
      <w:r>
        <w:rPr>
          <w:color w:val="231F20"/>
        </w:rPr>
        <w:t>l’exil.</w:t>
      </w:r>
    </w:p>
    <w:p>
      <w:pPr>
        <w:pStyle w:val="BodyText"/>
        <w:spacing w:before="120"/>
        <w:ind w:right="105" w:firstLine="283"/>
      </w:pPr>
      <w:r>
        <w:rPr>
          <w:color w:val="231F20"/>
        </w:rPr>
        <w:t>En 1993, sous la pression des bailleurs de fond, il introduit le </w:t>
      </w:r>
      <w:r>
        <w:rPr>
          <w:color w:val="231F20"/>
          <w:spacing w:val="-4"/>
        </w:rPr>
        <w:t>multipartisme</w:t>
      </w:r>
      <w:r>
        <w:rPr>
          <w:color w:val="231F20"/>
          <w:spacing w:val="-10"/>
        </w:rPr>
        <w:t> </w:t>
      </w:r>
      <w:r>
        <w:rPr>
          <w:color w:val="231F20"/>
          <w:spacing w:val="-4"/>
        </w:rPr>
        <w:t>et</w:t>
      </w:r>
      <w:r>
        <w:rPr>
          <w:color w:val="231F20"/>
          <w:spacing w:val="-11"/>
        </w:rPr>
        <w:t> </w:t>
      </w:r>
      <w:r>
        <w:rPr>
          <w:color w:val="231F20"/>
          <w:spacing w:val="-4"/>
        </w:rPr>
        <w:t>organise</w:t>
      </w:r>
      <w:r>
        <w:rPr>
          <w:color w:val="231F20"/>
          <w:spacing w:val="-11"/>
        </w:rPr>
        <w:t> </w:t>
      </w:r>
      <w:r>
        <w:rPr>
          <w:color w:val="231F20"/>
          <w:spacing w:val="-4"/>
        </w:rPr>
        <w:t>des</w:t>
      </w:r>
      <w:r>
        <w:rPr>
          <w:color w:val="231F20"/>
          <w:spacing w:val="-8"/>
        </w:rPr>
        <w:t> </w:t>
      </w:r>
      <w:r>
        <w:rPr>
          <w:color w:val="231F20"/>
          <w:spacing w:val="-4"/>
        </w:rPr>
        <w:t>élections</w:t>
      </w:r>
      <w:r>
        <w:rPr>
          <w:color w:val="231F20"/>
          <w:spacing w:val="-11"/>
        </w:rPr>
        <w:t> </w:t>
      </w:r>
      <w:r>
        <w:rPr>
          <w:color w:val="231F20"/>
          <w:spacing w:val="-4"/>
        </w:rPr>
        <w:t>qui</w:t>
      </w:r>
      <w:r>
        <w:rPr>
          <w:color w:val="231F20"/>
          <w:spacing w:val="-6"/>
        </w:rPr>
        <w:t> </w:t>
      </w:r>
      <w:r>
        <w:rPr>
          <w:color w:val="231F20"/>
          <w:spacing w:val="-4"/>
        </w:rPr>
        <w:t>le</w:t>
      </w:r>
      <w:r>
        <w:rPr>
          <w:color w:val="231F20"/>
          <w:spacing w:val="-10"/>
        </w:rPr>
        <w:t> </w:t>
      </w:r>
      <w:r>
        <w:rPr>
          <w:color w:val="231F20"/>
          <w:spacing w:val="-4"/>
        </w:rPr>
        <w:t>confirme</w:t>
      </w:r>
      <w:r>
        <w:rPr>
          <w:color w:val="231F20"/>
          <w:spacing w:val="-10"/>
        </w:rPr>
        <w:t> </w:t>
      </w:r>
      <w:r>
        <w:rPr>
          <w:color w:val="231F20"/>
          <w:spacing w:val="-4"/>
        </w:rPr>
        <w:t>à</w:t>
      </w:r>
      <w:r>
        <w:rPr>
          <w:color w:val="231F20"/>
          <w:spacing w:val="-10"/>
        </w:rPr>
        <w:t> </w:t>
      </w:r>
      <w:r>
        <w:rPr>
          <w:color w:val="231F20"/>
          <w:spacing w:val="-4"/>
        </w:rPr>
        <w:t>la</w:t>
      </w:r>
      <w:r>
        <w:rPr>
          <w:color w:val="231F20"/>
          <w:spacing w:val="-10"/>
        </w:rPr>
        <w:t> </w:t>
      </w:r>
      <w:r>
        <w:rPr>
          <w:color w:val="231F20"/>
          <w:spacing w:val="-4"/>
        </w:rPr>
        <w:t>présidence.</w:t>
      </w:r>
      <w:r>
        <w:rPr>
          <w:color w:val="231F20"/>
          <w:spacing w:val="-11"/>
        </w:rPr>
        <w:t> </w:t>
      </w:r>
      <w:r>
        <w:rPr>
          <w:color w:val="231F20"/>
          <w:spacing w:val="-4"/>
        </w:rPr>
        <w:t>En </w:t>
      </w:r>
      <w:r>
        <w:rPr>
          <w:color w:val="231F20"/>
        </w:rPr>
        <w:t>1998</w:t>
      </w:r>
      <w:r>
        <w:rPr>
          <w:color w:val="231F20"/>
          <w:spacing w:val="-3"/>
        </w:rPr>
        <w:t> </w:t>
      </w:r>
      <w:r>
        <w:rPr>
          <w:color w:val="231F20"/>
        </w:rPr>
        <w:t>et</w:t>
      </w:r>
      <w:r>
        <w:rPr>
          <w:color w:val="231F20"/>
          <w:spacing w:val="-3"/>
        </w:rPr>
        <w:t> </w:t>
      </w:r>
      <w:r>
        <w:rPr>
          <w:color w:val="231F20"/>
        </w:rPr>
        <w:t>2003,</w:t>
      </w:r>
      <w:r>
        <w:rPr>
          <w:color w:val="231F20"/>
          <w:spacing w:val="-6"/>
        </w:rPr>
        <w:t> </w:t>
      </w:r>
      <w:r>
        <w:rPr>
          <w:color w:val="231F20"/>
        </w:rPr>
        <w:t>il</w:t>
      </w:r>
      <w:r>
        <w:rPr>
          <w:color w:val="231F20"/>
          <w:spacing w:val="-3"/>
        </w:rPr>
        <w:t> </w:t>
      </w:r>
      <w:r>
        <w:rPr>
          <w:color w:val="231F20"/>
        </w:rPr>
        <w:t>est</w:t>
      </w:r>
      <w:r>
        <w:rPr>
          <w:color w:val="231F20"/>
          <w:spacing w:val="-3"/>
        </w:rPr>
        <w:t> </w:t>
      </w:r>
      <w:r>
        <w:rPr>
          <w:color w:val="231F20"/>
        </w:rPr>
        <w:t>réélu</w:t>
      </w:r>
      <w:r>
        <w:rPr>
          <w:color w:val="231F20"/>
          <w:spacing w:val="-3"/>
        </w:rPr>
        <w:t> </w:t>
      </w:r>
      <w:r>
        <w:rPr>
          <w:color w:val="231F20"/>
        </w:rPr>
        <w:t>à</w:t>
      </w:r>
      <w:r>
        <w:rPr>
          <w:color w:val="231F20"/>
          <w:spacing w:val="-7"/>
        </w:rPr>
        <w:t> </w:t>
      </w:r>
      <w:r>
        <w:rPr>
          <w:color w:val="231F20"/>
        </w:rPr>
        <w:t>la</w:t>
      </w:r>
      <w:r>
        <w:rPr>
          <w:color w:val="231F20"/>
          <w:spacing w:val="-3"/>
        </w:rPr>
        <w:t> </w:t>
      </w:r>
      <w:r>
        <w:rPr>
          <w:color w:val="231F20"/>
        </w:rPr>
        <w:t>présidence</w:t>
      </w:r>
      <w:r>
        <w:rPr>
          <w:color w:val="231F20"/>
          <w:spacing w:val="-3"/>
        </w:rPr>
        <w:t> </w:t>
      </w:r>
      <w:r>
        <w:rPr>
          <w:color w:val="231F20"/>
        </w:rPr>
        <w:t>de</w:t>
      </w:r>
      <w:r>
        <w:rPr>
          <w:color w:val="231F20"/>
          <w:spacing w:val="-6"/>
        </w:rPr>
        <w:t> </w:t>
      </w:r>
      <w:r>
        <w:rPr>
          <w:color w:val="231F20"/>
        </w:rPr>
        <w:t>la</w:t>
      </w:r>
      <w:r>
        <w:rPr>
          <w:color w:val="231F20"/>
          <w:spacing w:val="-3"/>
        </w:rPr>
        <w:t> </w:t>
      </w:r>
      <w:r>
        <w:rPr>
          <w:color w:val="231F20"/>
        </w:rPr>
        <w:t>République.</w:t>
      </w:r>
    </w:p>
    <w:p>
      <w:pPr>
        <w:pStyle w:val="BodyText"/>
        <w:spacing w:before="121"/>
        <w:ind w:left="395"/>
      </w:pPr>
      <w:r>
        <w:rPr>
          <w:color w:val="231F20"/>
        </w:rPr>
        <w:t>Le</w:t>
      </w:r>
      <w:r>
        <w:rPr>
          <w:color w:val="231F20"/>
          <w:spacing w:val="14"/>
        </w:rPr>
        <w:t> </w:t>
      </w:r>
      <w:r>
        <w:rPr>
          <w:color w:val="231F20"/>
        </w:rPr>
        <w:t>22</w:t>
      </w:r>
      <w:r>
        <w:rPr>
          <w:color w:val="231F20"/>
          <w:spacing w:val="15"/>
        </w:rPr>
        <w:t> </w:t>
      </w:r>
      <w:r>
        <w:rPr>
          <w:color w:val="231F20"/>
        </w:rPr>
        <w:t>décembre</w:t>
      </w:r>
      <w:r>
        <w:rPr>
          <w:color w:val="231F20"/>
          <w:spacing w:val="15"/>
        </w:rPr>
        <w:t> </w:t>
      </w:r>
      <w:r>
        <w:rPr>
          <w:color w:val="231F20"/>
        </w:rPr>
        <w:t>2008,</w:t>
      </w:r>
      <w:r>
        <w:rPr>
          <w:color w:val="231F20"/>
          <w:spacing w:val="13"/>
        </w:rPr>
        <w:t> </w:t>
      </w:r>
      <w:r>
        <w:rPr>
          <w:color w:val="231F20"/>
        </w:rPr>
        <w:t>il</w:t>
      </w:r>
      <w:r>
        <w:rPr>
          <w:color w:val="231F20"/>
          <w:spacing w:val="13"/>
        </w:rPr>
        <w:t> </w:t>
      </w:r>
      <w:r>
        <w:rPr>
          <w:color w:val="231F20"/>
        </w:rPr>
        <w:t>décède</w:t>
      </w:r>
      <w:r>
        <w:rPr>
          <w:color w:val="231F20"/>
          <w:spacing w:val="15"/>
        </w:rPr>
        <w:t> </w:t>
      </w:r>
      <w:r>
        <w:rPr>
          <w:color w:val="231F20"/>
        </w:rPr>
        <w:t>à</w:t>
      </w:r>
      <w:r>
        <w:rPr>
          <w:color w:val="231F20"/>
          <w:spacing w:val="15"/>
        </w:rPr>
        <w:t> </w:t>
      </w:r>
      <w:r>
        <w:rPr>
          <w:color w:val="231F20"/>
        </w:rPr>
        <w:t>l’âge</w:t>
      </w:r>
      <w:r>
        <w:rPr>
          <w:color w:val="231F20"/>
          <w:spacing w:val="14"/>
        </w:rPr>
        <w:t> </w:t>
      </w:r>
      <w:r>
        <w:rPr>
          <w:color w:val="231F20"/>
        </w:rPr>
        <w:t>de</w:t>
      </w:r>
      <w:r>
        <w:rPr>
          <w:color w:val="231F20"/>
          <w:spacing w:val="15"/>
        </w:rPr>
        <w:t> </w:t>
      </w:r>
      <w:r>
        <w:rPr>
          <w:color w:val="231F20"/>
        </w:rPr>
        <w:t>74</w:t>
      </w:r>
      <w:r>
        <w:rPr>
          <w:color w:val="231F20"/>
          <w:spacing w:val="15"/>
        </w:rPr>
        <w:t> </w:t>
      </w:r>
      <w:r>
        <w:rPr>
          <w:color w:val="231F20"/>
        </w:rPr>
        <w:t>ans</w:t>
      </w:r>
      <w:r>
        <w:rPr>
          <w:color w:val="231F20"/>
          <w:spacing w:val="15"/>
        </w:rPr>
        <w:t> </w:t>
      </w:r>
      <w:r>
        <w:rPr>
          <w:color w:val="231F20"/>
        </w:rPr>
        <w:t>des</w:t>
      </w:r>
      <w:r>
        <w:rPr>
          <w:color w:val="231F20"/>
          <w:spacing w:val="15"/>
        </w:rPr>
        <w:t> </w:t>
      </w:r>
      <w:r>
        <w:rPr>
          <w:color w:val="231F20"/>
        </w:rPr>
        <w:t>suites</w:t>
      </w:r>
      <w:r>
        <w:rPr>
          <w:color w:val="231F20"/>
          <w:spacing w:val="13"/>
        </w:rPr>
        <w:t> </w:t>
      </w:r>
      <w:r>
        <w:rPr>
          <w:color w:val="231F20"/>
          <w:spacing w:val="-2"/>
        </w:rPr>
        <w:t>d’une</w:t>
      </w:r>
    </w:p>
    <w:p>
      <w:pPr>
        <w:spacing w:before="0"/>
        <w:ind w:left="111" w:right="0" w:firstLine="0"/>
        <w:jc w:val="both"/>
        <w:rPr>
          <w:sz w:val="24"/>
        </w:rPr>
      </w:pPr>
      <w:r>
        <w:rPr>
          <w:i/>
          <w:color w:val="231F20"/>
          <w:spacing w:val="-2"/>
          <w:sz w:val="24"/>
        </w:rPr>
        <w:t>longue</w:t>
      </w:r>
      <w:r>
        <w:rPr>
          <w:i/>
          <w:color w:val="231F20"/>
          <w:spacing w:val="-14"/>
          <w:sz w:val="24"/>
        </w:rPr>
        <w:t> </w:t>
      </w:r>
      <w:r>
        <w:rPr>
          <w:i/>
          <w:color w:val="231F20"/>
          <w:spacing w:val="-2"/>
          <w:sz w:val="24"/>
        </w:rPr>
        <w:t>maladie</w:t>
      </w:r>
      <w:r>
        <w:rPr>
          <w:color w:val="231F20"/>
          <w:spacing w:val="-2"/>
          <w:sz w:val="24"/>
        </w:rPr>
        <w:t>,</w:t>
      </w:r>
      <w:r>
        <w:rPr>
          <w:color w:val="231F20"/>
          <w:spacing w:val="-12"/>
          <w:sz w:val="24"/>
        </w:rPr>
        <w:t> </w:t>
      </w:r>
      <w:r>
        <w:rPr>
          <w:color w:val="231F20"/>
          <w:spacing w:val="-2"/>
          <w:sz w:val="24"/>
        </w:rPr>
        <w:t>après</w:t>
      </w:r>
      <w:r>
        <w:rPr>
          <w:color w:val="231F20"/>
          <w:spacing w:val="-9"/>
          <w:sz w:val="24"/>
        </w:rPr>
        <w:t> </w:t>
      </w:r>
      <w:r>
        <w:rPr>
          <w:color w:val="231F20"/>
          <w:spacing w:val="-2"/>
          <w:sz w:val="24"/>
        </w:rPr>
        <w:t>24</w:t>
      </w:r>
      <w:r>
        <w:rPr>
          <w:color w:val="231F20"/>
          <w:spacing w:val="-11"/>
          <w:sz w:val="24"/>
        </w:rPr>
        <w:t> </w:t>
      </w:r>
      <w:r>
        <w:rPr>
          <w:color w:val="231F20"/>
          <w:spacing w:val="-2"/>
          <w:sz w:val="24"/>
        </w:rPr>
        <w:t>ans</w:t>
      </w:r>
      <w:r>
        <w:rPr>
          <w:color w:val="231F20"/>
          <w:spacing w:val="-9"/>
          <w:sz w:val="24"/>
        </w:rPr>
        <w:t> </w:t>
      </w:r>
      <w:r>
        <w:rPr>
          <w:color w:val="231F20"/>
          <w:spacing w:val="-2"/>
          <w:sz w:val="24"/>
        </w:rPr>
        <w:t>de</w:t>
      </w:r>
      <w:r>
        <w:rPr>
          <w:color w:val="231F20"/>
          <w:spacing w:val="-9"/>
          <w:sz w:val="24"/>
        </w:rPr>
        <w:t> </w:t>
      </w:r>
      <w:r>
        <w:rPr>
          <w:color w:val="231F20"/>
          <w:spacing w:val="-2"/>
          <w:sz w:val="24"/>
        </w:rPr>
        <w:t>pouvoir</w:t>
      </w:r>
      <w:r>
        <w:rPr>
          <w:color w:val="231F20"/>
          <w:spacing w:val="-9"/>
          <w:sz w:val="24"/>
        </w:rPr>
        <w:t> </w:t>
      </w:r>
      <w:r>
        <w:rPr>
          <w:color w:val="231F20"/>
          <w:spacing w:val="-2"/>
          <w:sz w:val="24"/>
        </w:rPr>
        <w:t>sans</w:t>
      </w:r>
      <w:r>
        <w:rPr>
          <w:color w:val="231F20"/>
          <w:spacing w:val="-9"/>
          <w:sz w:val="24"/>
        </w:rPr>
        <w:t> </w:t>
      </w:r>
      <w:r>
        <w:rPr>
          <w:color w:val="231F20"/>
          <w:spacing w:val="-2"/>
          <w:sz w:val="24"/>
        </w:rPr>
        <w:t>partage.</w:t>
      </w:r>
    </w:p>
    <w:p>
      <w:pPr>
        <w:pStyle w:val="BodyText"/>
        <w:spacing w:before="120"/>
        <w:ind w:right="101" w:firstLine="283"/>
      </w:pPr>
      <w:r>
        <w:rPr>
          <w:color w:val="231F20"/>
        </w:rPr>
        <w:t>Le lendemain du décès, des officiers de l’Armée annoncent la </w:t>
      </w:r>
      <w:r>
        <w:rPr>
          <w:color w:val="231F20"/>
          <w:spacing w:val="-2"/>
        </w:rPr>
        <w:t>dissolution</w:t>
      </w:r>
      <w:r>
        <w:rPr>
          <w:color w:val="231F20"/>
          <w:spacing w:val="-15"/>
        </w:rPr>
        <w:t> </w:t>
      </w:r>
      <w:r>
        <w:rPr>
          <w:color w:val="231F20"/>
          <w:spacing w:val="-2"/>
        </w:rPr>
        <w:t>du</w:t>
      </w:r>
      <w:r>
        <w:rPr>
          <w:color w:val="231F20"/>
          <w:spacing w:val="-13"/>
        </w:rPr>
        <w:t> </w:t>
      </w:r>
      <w:r>
        <w:rPr>
          <w:color w:val="231F20"/>
          <w:spacing w:val="-2"/>
        </w:rPr>
        <w:t>gouvernement</w:t>
      </w:r>
      <w:r>
        <w:rPr>
          <w:color w:val="231F20"/>
          <w:spacing w:val="-13"/>
        </w:rPr>
        <w:t> </w:t>
      </w:r>
      <w:r>
        <w:rPr>
          <w:color w:val="231F20"/>
          <w:spacing w:val="-2"/>
        </w:rPr>
        <w:t>ainsi</w:t>
      </w:r>
      <w:r>
        <w:rPr>
          <w:color w:val="231F20"/>
          <w:spacing w:val="-13"/>
        </w:rPr>
        <w:t> </w:t>
      </w:r>
      <w:r>
        <w:rPr>
          <w:color w:val="231F20"/>
          <w:spacing w:val="-2"/>
        </w:rPr>
        <w:t>que</w:t>
      </w:r>
      <w:r>
        <w:rPr>
          <w:color w:val="231F20"/>
          <w:spacing w:val="-13"/>
        </w:rPr>
        <w:t> </w:t>
      </w:r>
      <w:r>
        <w:rPr>
          <w:color w:val="231F20"/>
          <w:spacing w:val="-2"/>
        </w:rPr>
        <w:t>la</w:t>
      </w:r>
      <w:r>
        <w:rPr>
          <w:color w:val="231F20"/>
          <w:spacing w:val="-13"/>
        </w:rPr>
        <w:t> </w:t>
      </w:r>
      <w:r>
        <w:rPr>
          <w:color w:val="231F20"/>
          <w:spacing w:val="-2"/>
        </w:rPr>
        <w:t>suspension</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Constitution</w:t>
      </w:r>
      <w:r>
        <w:rPr>
          <w:color w:val="231F20"/>
          <w:spacing w:val="-13"/>
        </w:rPr>
        <w:t> </w:t>
      </w:r>
      <w:r>
        <w:rPr>
          <w:color w:val="231F20"/>
          <w:spacing w:val="-2"/>
        </w:rPr>
        <w:t>et </w:t>
      </w:r>
      <w:r>
        <w:rPr>
          <w:color w:val="231F20"/>
        </w:rPr>
        <w:t>portent</w:t>
      </w:r>
      <w:r>
        <w:rPr>
          <w:color w:val="231F20"/>
          <w:spacing w:val="-12"/>
        </w:rPr>
        <w:t> </w:t>
      </w:r>
      <w:r>
        <w:rPr>
          <w:color w:val="231F20"/>
        </w:rPr>
        <w:t>le</w:t>
      </w:r>
      <w:r>
        <w:rPr>
          <w:color w:val="231F20"/>
          <w:spacing w:val="-13"/>
        </w:rPr>
        <w:t> </w:t>
      </w:r>
      <w:r>
        <w:rPr>
          <w:color w:val="231F20"/>
        </w:rPr>
        <w:t>Capitaine</w:t>
      </w:r>
      <w:r>
        <w:rPr>
          <w:color w:val="231F20"/>
          <w:spacing w:val="-12"/>
        </w:rPr>
        <w:t> </w:t>
      </w:r>
      <w:r>
        <w:rPr>
          <w:color w:val="231F20"/>
        </w:rPr>
        <w:t>Moussa</w:t>
      </w:r>
      <w:r>
        <w:rPr>
          <w:color w:val="231F20"/>
          <w:spacing w:val="-12"/>
        </w:rPr>
        <w:t> </w:t>
      </w:r>
      <w:r>
        <w:rPr>
          <w:color w:val="231F20"/>
        </w:rPr>
        <w:t>Dadis</w:t>
      </w:r>
      <w:r>
        <w:rPr>
          <w:color w:val="231F20"/>
          <w:spacing w:val="-13"/>
        </w:rPr>
        <w:t> </w:t>
      </w:r>
      <w:r>
        <w:rPr>
          <w:color w:val="231F20"/>
        </w:rPr>
        <w:t>Camara</w:t>
      </w:r>
      <w:r>
        <w:rPr>
          <w:color w:val="231F20"/>
          <w:spacing w:val="-12"/>
        </w:rPr>
        <w:t> </w:t>
      </w:r>
      <w:r>
        <w:rPr>
          <w:color w:val="231F20"/>
        </w:rPr>
        <w:t>à</w:t>
      </w:r>
      <w:r>
        <w:rPr>
          <w:color w:val="231F20"/>
          <w:spacing w:val="-13"/>
        </w:rPr>
        <w:t> </w:t>
      </w:r>
      <w:r>
        <w:rPr>
          <w:color w:val="231F20"/>
        </w:rPr>
        <w:t>la</w:t>
      </w:r>
      <w:r>
        <w:rPr>
          <w:color w:val="231F20"/>
          <w:spacing w:val="-13"/>
        </w:rPr>
        <w:t> </w:t>
      </w:r>
      <w:r>
        <w:rPr>
          <w:color w:val="231F20"/>
        </w:rPr>
        <w:t>tête</w:t>
      </w:r>
      <w:r>
        <w:rPr>
          <w:color w:val="231F20"/>
          <w:spacing w:val="-13"/>
        </w:rPr>
        <w:t> </w:t>
      </w:r>
      <w:r>
        <w:rPr>
          <w:color w:val="231F20"/>
        </w:rPr>
        <w:t>du</w:t>
      </w:r>
      <w:r>
        <w:rPr>
          <w:color w:val="231F20"/>
          <w:spacing w:val="-13"/>
        </w:rPr>
        <w:t> </w:t>
      </w:r>
      <w:r>
        <w:rPr>
          <w:color w:val="231F20"/>
        </w:rPr>
        <w:t>Conseil</w:t>
      </w:r>
      <w:r>
        <w:rPr>
          <w:color w:val="231F20"/>
          <w:spacing w:val="-10"/>
        </w:rPr>
        <w:t> </w:t>
      </w:r>
      <w:r>
        <w:rPr>
          <w:color w:val="231F20"/>
        </w:rPr>
        <w:t>National pour la Démocratie et le</w:t>
      </w:r>
      <w:r>
        <w:rPr>
          <w:color w:val="231F20"/>
          <w:spacing w:val="-1"/>
        </w:rPr>
        <w:t> </w:t>
      </w:r>
      <w:r>
        <w:rPr>
          <w:color w:val="231F20"/>
        </w:rPr>
        <w:t>Développement (CNDD).</w:t>
      </w:r>
      <w:r>
        <w:rPr>
          <w:color w:val="231F20"/>
          <w:spacing w:val="-1"/>
        </w:rPr>
        <w:t> </w:t>
      </w:r>
      <w:r>
        <w:rPr>
          <w:color w:val="231F20"/>
        </w:rPr>
        <w:t>Le Capitaine Dadis </w:t>
      </w:r>
      <w:r>
        <w:rPr>
          <w:color w:val="231F20"/>
          <w:spacing w:val="-4"/>
        </w:rPr>
        <w:t>Camara</w:t>
      </w:r>
      <w:r>
        <w:rPr>
          <w:color w:val="231F20"/>
          <w:spacing w:val="-11"/>
        </w:rPr>
        <w:t> </w:t>
      </w:r>
      <w:r>
        <w:rPr>
          <w:color w:val="231F20"/>
          <w:spacing w:val="-4"/>
        </w:rPr>
        <w:t>précise</w:t>
      </w:r>
      <w:r>
        <w:rPr>
          <w:color w:val="231F20"/>
          <w:spacing w:val="-11"/>
        </w:rPr>
        <w:t> </w:t>
      </w:r>
      <w:r>
        <w:rPr>
          <w:color w:val="231F20"/>
          <w:spacing w:val="-4"/>
        </w:rPr>
        <w:t>que</w:t>
      </w:r>
      <w:r>
        <w:rPr>
          <w:color w:val="231F20"/>
          <w:spacing w:val="-11"/>
        </w:rPr>
        <w:t> </w:t>
      </w:r>
      <w:r>
        <w:rPr>
          <w:color w:val="231F20"/>
          <w:spacing w:val="-4"/>
        </w:rPr>
        <w:t>le</w:t>
      </w:r>
      <w:r>
        <w:rPr>
          <w:color w:val="231F20"/>
          <w:spacing w:val="-11"/>
        </w:rPr>
        <w:t> </w:t>
      </w:r>
      <w:r>
        <w:rPr>
          <w:color w:val="231F20"/>
          <w:spacing w:val="-4"/>
        </w:rPr>
        <w:t>nouveau</w:t>
      </w:r>
      <w:r>
        <w:rPr>
          <w:color w:val="231F20"/>
          <w:spacing w:val="-9"/>
        </w:rPr>
        <w:t> </w:t>
      </w:r>
      <w:r>
        <w:rPr>
          <w:color w:val="231F20"/>
          <w:spacing w:val="-4"/>
        </w:rPr>
        <w:t>régime</w:t>
      </w:r>
      <w:r>
        <w:rPr>
          <w:color w:val="231F20"/>
          <w:spacing w:val="-9"/>
        </w:rPr>
        <w:t> </w:t>
      </w:r>
      <w:r>
        <w:rPr>
          <w:color w:val="231F20"/>
          <w:spacing w:val="-4"/>
        </w:rPr>
        <w:t>est</w:t>
      </w:r>
      <w:r>
        <w:rPr>
          <w:color w:val="231F20"/>
          <w:spacing w:val="-9"/>
        </w:rPr>
        <w:t> </w:t>
      </w:r>
      <w:r>
        <w:rPr>
          <w:color w:val="231F20"/>
          <w:spacing w:val="-4"/>
        </w:rPr>
        <w:t>provisoire</w:t>
      </w:r>
      <w:r>
        <w:rPr>
          <w:color w:val="231F20"/>
          <w:spacing w:val="-11"/>
        </w:rPr>
        <w:t> </w:t>
      </w:r>
      <w:r>
        <w:rPr>
          <w:color w:val="231F20"/>
          <w:spacing w:val="-4"/>
        </w:rPr>
        <w:t>et</w:t>
      </w:r>
      <w:r>
        <w:rPr>
          <w:color w:val="231F20"/>
          <w:spacing w:val="-9"/>
        </w:rPr>
        <w:t> </w:t>
      </w:r>
      <w:r>
        <w:rPr>
          <w:color w:val="231F20"/>
          <w:spacing w:val="-4"/>
        </w:rPr>
        <w:t>qu’aucun</w:t>
      </w:r>
      <w:r>
        <w:rPr>
          <w:color w:val="231F20"/>
          <w:spacing w:val="-11"/>
        </w:rPr>
        <w:t> </w:t>
      </w:r>
      <w:r>
        <w:rPr>
          <w:color w:val="231F20"/>
          <w:spacing w:val="-4"/>
        </w:rPr>
        <w:t>membre de</w:t>
      </w:r>
      <w:r>
        <w:rPr>
          <w:color w:val="231F20"/>
          <w:spacing w:val="-6"/>
        </w:rPr>
        <w:t> </w:t>
      </w:r>
      <w:r>
        <w:rPr>
          <w:color w:val="231F20"/>
          <w:spacing w:val="-4"/>
        </w:rPr>
        <w:t>la</w:t>
      </w:r>
      <w:r>
        <w:rPr>
          <w:color w:val="231F20"/>
          <w:spacing w:val="-9"/>
        </w:rPr>
        <w:t> </w:t>
      </w:r>
      <w:r>
        <w:rPr>
          <w:color w:val="231F20"/>
          <w:spacing w:val="-4"/>
        </w:rPr>
        <w:t>junte</w:t>
      </w:r>
      <w:r>
        <w:rPr>
          <w:color w:val="231F20"/>
          <w:spacing w:val="-9"/>
        </w:rPr>
        <w:t> </w:t>
      </w:r>
      <w:r>
        <w:rPr>
          <w:color w:val="231F20"/>
          <w:spacing w:val="-4"/>
        </w:rPr>
        <w:t>ne</w:t>
      </w:r>
      <w:r>
        <w:rPr>
          <w:color w:val="231F20"/>
          <w:spacing w:val="-8"/>
        </w:rPr>
        <w:t> </w:t>
      </w:r>
      <w:r>
        <w:rPr>
          <w:color w:val="231F20"/>
          <w:spacing w:val="-4"/>
        </w:rPr>
        <w:t>se</w:t>
      </w:r>
      <w:r>
        <w:rPr>
          <w:color w:val="231F20"/>
          <w:spacing w:val="-6"/>
        </w:rPr>
        <w:t> </w:t>
      </w:r>
      <w:r>
        <w:rPr>
          <w:color w:val="231F20"/>
          <w:spacing w:val="-4"/>
        </w:rPr>
        <w:t>présentera</w:t>
      </w:r>
      <w:r>
        <w:rPr>
          <w:color w:val="231F20"/>
          <w:spacing w:val="-7"/>
        </w:rPr>
        <w:t> </w:t>
      </w:r>
      <w:r>
        <w:rPr>
          <w:color w:val="231F20"/>
          <w:spacing w:val="-4"/>
        </w:rPr>
        <w:t>l’élection</w:t>
      </w:r>
      <w:r>
        <w:rPr>
          <w:color w:val="231F20"/>
          <w:spacing w:val="-8"/>
        </w:rPr>
        <w:t> </w:t>
      </w:r>
      <w:r>
        <w:rPr>
          <w:color w:val="231F20"/>
          <w:spacing w:val="-4"/>
        </w:rPr>
        <w:t>présidentielle</w:t>
      </w:r>
      <w:r>
        <w:rPr>
          <w:color w:val="231F20"/>
          <w:spacing w:val="-8"/>
        </w:rPr>
        <w:t> </w:t>
      </w:r>
      <w:r>
        <w:rPr>
          <w:color w:val="231F20"/>
          <w:spacing w:val="-4"/>
        </w:rPr>
        <w:t>prévues</w:t>
      </w:r>
      <w:r>
        <w:rPr>
          <w:color w:val="231F20"/>
          <w:spacing w:val="-6"/>
        </w:rPr>
        <w:t> </w:t>
      </w:r>
      <w:r>
        <w:rPr>
          <w:color w:val="231F20"/>
          <w:spacing w:val="-4"/>
        </w:rPr>
        <w:t>en</w:t>
      </w:r>
      <w:r>
        <w:rPr>
          <w:color w:val="231F20"/>
          <w:spacing w:val="-8"/>
        </w:rPr>
        <w:t> </w:t>
      </w:r>
      <w:r>
        <w:rPr>
          <w:color w:val="231F20"/>
          <w:spacing w:val="-4"/>
        </w:rPr>
        <w:t>2010.Cette </w:t>
      </w:r>
      <w:r>
        <w:rPr>
          <w:color w:val="231F20"/>
        </w:rPr>
        <w:t>promesse est vite oubliée</w:t>
      </w:r>
      <w:r>
        <w:rPr>
          <w:color w:val="231F20"/>
          <w:spacing w:val="-11"/>
        </w:rPr>
        <w:t> </w:t>
      </w:r>
      <w:r>
        <w:rPr>
          <w:color w:val="231F20"/>
        </w:rPr>
        <w:t>: au fil des mois et de ses interventions médiatiques, Moussa Dadis Camara envisage de se présenter à la </w:t>
      </w:r>
      <w:r>
        <w:rPr>
          <w:color w:val="231F20"/>
          <w:spacing w:val="-2"/>
        </w:rPr>
        <w:t>présidentielle.</w:t>
      </w:r>
    </w:p>
    <w:p>
      <w:pPr>
        <w:pStyle w:val="BodyText"/>
        <w:spacing w:before="120"/>
        <w:ind w:right="106" w:firstLine="283"/>
      </w:pPr>
      <w:r>
        <w:rPr>
          <w:color w:val="231F20"/>
        </w:rPr>
        <w:t>Le 28 septembre 2009, des mouvements civils organisent une manifestation pacifique au stade de Conakry pour demander à Dadis Camara de respecter sa parole. A la surprise générale, les militaires ouvrent</w:t>
      </w:r>
      <w:r>
        <w:rPr>
          <w:color w:val="231F20"/>
          <w:spacing w:val="-15"/>
        </w:rPr>
        <w:t> </w:t>
      </w:r>
      <w:r>
        <w:rPr>
          <w:color w:val="231F20"/>
        </w:rPr>
        <w:t>le</w:t>
      </w:r>
      <w:r>
        <w:rPr>
          <w:color w:val="231F20"/>
          <w:spacing w:val="-15"/>
        </w:rPr>
        <w:t> </w:t>
      </w:r>
      <w:r>
        <w:rPr>
          <w:color w:val="231F20"/>
        </w:rPr>
        <w:t>feu</w:t>
      </w:r>
      <w:r>
        <w:rPr>
          <w:color w:val="231F20"/>
          <w:spacing w:val="-15"/>
        </w:rPr>
        <w:t> </w:t>
      </w:r>
      <w:r>
        <w:rPr>
          <w:color w:val="231F20"/>
        </w:rPr>
        <w:t>sur</w:t>
      </w:r>
      <w:r>
        <w:rPr>
          <w:color w:val="231F20"/>
          <w:spacing w:val="-15"/>
        </w:rPr>
        <w:t> </w:t>
      </w:r>
      <w:r>
        <w:rPr>
          <w:color w:val="231F20"/>
        </w:rPr>
        <w:t>les</w:t>
      </w:r>
      <w:r>
        <w:rPr>
          <w:color w:val="231F20"/>
          <w:spacing w:val="-15"/>
        </w:rPr>
        <w:t> </w:t>
      </w:r>
      <w:r>
        <w:rPr>
          <w:color w:val="231F20"/>
        </w:rPr>
        <w:t>manifestants</w:t>
      </w:r>
      <w:r>
        <w:rPr>
          <w:color w:val="231F20"/>
          <w:spacing w:val="-15"/>
        </w:rPr>
        <w:t> </w:t>
      </w:r>
      <w:r>
        <w:rPr>
          <w:color w:val="231F20"/>
        </w:rPr>
        <w:t>causant</w:t>
      </w:r>
      <w:r>
        <w:rPr>
          <w:color w:val="231F20"/>
          <w:spacing w:val="-15"/>
        </w:rPr>
        <w:t> </w:t>
      </w:r>
      <w:r>
        <w:rPr>
          <w:color w:val="231F20"/>
        </w:rPr>
        <w:t>plusieurs</w:t>
      </w:r>
      <w:r>
        <w:rPr>
          <w:color w:val="231F20"/>
          <w:spacing w:val="-15"/>
        </w:rPr>
        <w:t> </w:t>
      </w:r>
      <w:r>
        <w:rPr>
          <w:color w:val="231F20"/>
        </w:rPr>
        <w:t>centaines</w:t>
      </w:r>
      <w:r>
        <w:rPr>
          <w:color w:val="231F20"/>
          <w:spacing w:val="-15"/>
        </w:rPr>
        <w:t> </w:t>
      </w:r>
      <w:r>
        <w:rPr>
          <w:color w:val="231F20"/>
        </w:rPr>
        <w:t>de</w:t>
      </w:r>
      <w:r>
        <w:rPr>
          <w:color w:val="231F20"/>
          <w:spacing w:val="-15"/>
        </w:rPr>
        <w:t> </w:t>
      </w:r>
      <w:r>
        <w:rPr>
          <w:color w:val="231F20"/>
        </w:rPr>
        <w:t>morts</w:t>
      </w:r>
      <w:r>
        <w:rPr>
          <w:color w:val="231F20"/>
          <w:spacing w:val="-15"/>
        </w:rPr>
        <w:t> </w:t>
      </w:r>
      <w:r>
        <w:rPr>
          <w:color w:val="231F20"/>
        </w:rPr>
        <w:t>; plusieurs dizaines de jeunes femmes sont violées par les militaires et d’autres sont portées disparues.</w:t>
      </w:r>
    </w:p>
    <w:p>
      <w:pPr>
        <w:pStyle w:val="BodyText"/>
        <w:spacing w:before="121"/>
        <w:ind w:right="105" w:firstLine="283"/>
      </w:pPr>
      <w:r>
        <w:rPr>
          <w:color w:val="231F20"/>
        </w:rPr>
        <w:t>Le président Dadis Camara est explicitement mis en cause par des </w:t>
      </w:r>
      <w:r>
        <w:rPr>
          <w:color w:val="231F20"/>
          <w:spacing w:val="-2"/>
        </w:rPr>
        <w:t>diplomates</w:t>
      </w:r>
      <w:r>
        <w:rPr>
          <w:color w:val="231F20"/>
          <w:spacing w:val="-15"/>
        </w:rPr>
        <w:t> </w:t>
      </w:r>
      <w:r>
        <w:rPr>
          <w:color w:val="231F20"/>
          <w:spacing w:val="-2"/>
        </w:rPr>
        <w:t>étrangers.</w:t>
      </w:r>
      <w:r>
        <w:rPr>
          <w:color w:val="231F20"/>
          <w:spacing w:val="-13"/>
        </w:rPr>
        <w:t> </w:t>
      </w:r>
      <w:r>
        <w:rPr>
          <w:color w:val="231F20"/>
          <w:spacing w:val="-2"/>
        </w:rPr>
        <w:t>Des</w:t>
      </w:r>
      <w:r>
        <w:rPr>
          <w:color w:val="231F20"/>
          <w:spacing w:val="-13"/>
        </w:rPr>
        <w:t> </w:t>
      </w:r>
      <w:r>
        <w:rPr>
          <w:color w:val="231F20"/>
          <w:spacing w:val="-2"/>
        </w:rPr>
        <w:t>dissensions</w:t>
      </w:r>
      <w:r>
        <w:rPr>
          <w:color w:val="231F20"/>
          <w:spacing w:val="-13"/>
        </w:rPr>
        <w:t> </w:t>
      </w:r>
      <w:r>
        <w:rPr>
          <w:color w:val="231F20"/>
          <w:spacing w:val="-2"/>
        </w:rPr>
        <w:t>apparaissent</w:t>
      </w:r>
      <w:r>
        <w:rPr>
          <w:color w:val="231F20"/>
          <w:spacing w:val="-13"/>
        </w:rPr>
        <w:t> </w:t>
      </w:r>
      <w:r>
        <w:rPr>
          <w:color w:val="231F20"/>
          <w:spacing w:val="-2"/>
        </w:rPr>
        <w:t>au</w:t>
      </w:r>
      <w:r>
        <w:rPr>
          <w:color w:val="231F20"/>
          <w:spacing w:val="-13"/>
        </w:rPr>
        <w:t> </w:t>
      </w:r>
      <w:r>
        <w:rPr>
          <w:color w:val="231F20"/>
          <w:spacing w:val="-2"/>
        </w:rPr>
        <w:t>sein</w:t>
      </w:r>
      <w:r>
        <w:rPr>
          <w:color w:val="231F20"/>
          <w:spacing w:val="-13"/>
        </w:rPr>
        <w:t> </w:t>
      </w:r>
      <w:r>
        <w:rPr>
          <w:color w:val="231F20"/>
          <w:spacing w:val="-2"/>
        </w:rPr>
        <w:t>du</w:t>
      </w:r>
      <w:r>
        <w:rPr>
          <w:color w:val="231F20"/>
          <w:spacing w:val="-13"/>
        </w:rPr>
        <w:t> </w:t>
      </w:r>
      <w:r>
        <w:rPr>
          <w:color w:val="231F20"/>
          <w:spacing w:val="-2"/>
        </w:rPr>
        <w:t>CNDD.</w:t>
      </w:r>
      <w:r>
        <w:rPr>
          <w:color w:val="231F20"/>
          <w:spacing w:val="-13"/>
        </w:rPr>
        <w:t> </w:t>
      </w:r>
      <w:r>
        <w:rPr>
          <w:color w:val="231F20"/>
          <w:spacing w:val="-2"/>
        </w:rPr>
        <w:t>Le </w:t>
      </w:r>
      <w:r>
        <w:rPr>
          <w:color w:val="231F20"/>
        </w:rPr>
        <w:t>3 décembre 2009, Aboubacar Sidiki Diakité, l’aide de camp de Dadis </w:t>
      </w:r>
      <w:r>
        <w:rPr>
          <w:color w:val="231F20"/>
          <w:spacing w:val="-2"/>
        </w:rPr>
        <w:t>Camara</w:t>
      </w:r>
      <w:r>
        <w:rPr>
          <w:color w:val="231F20"/>
          <w:spacing w:val="-15"/>
        </w:rPr>
        <w:t> </w:t>
      </w:r>
      <w:r>
        <w:rPr>
          <w:color w:val="231F20"/>
          <w:spacing w:val="-2"/>
        </w:rPr>
        <w:t>le</w:t>
      </w:r>
      <w:r>
        <w:rPr>
          <w:color w:val="231F20"/>
          <w:spacing w:val="-13"/>
        </w:rPr>
        <w:t> </w:t>
      </w:r>
      <w:r>
        <w:rPr>
          <w:color w:val="231F20"/>
          <w:spacing w:val="-2"/>
        </w:rPr>
        <w:t>blesse</w:t>
      </w:r>
      <w:r>
        <w:rPr>
          <w:color w:val="231F20"/>
          <w:spacing w:val="-13"/>
        </w:rPr>
        <w:t> </w:t>
      </w:r>
      <w:r>
        <w:rPr>
          <w:color w:val="231F20"/>
          <w:spacing w:val="-2"/>
        </w:rPr>
        <w:t>grièvement</w:t>
      </w:r>
      <w:r>
        <w:rPr>
          <w:color w:val="231F20"/>
          <w:spacing w:val="-13"/>
        </w:rPr>
        <w:t> </w:t>
      </w:r>
      <w:r>
        <w:rPr>
          <w:color w:val="231F20"/>
          <w:spacing w:val="-2"/>
        </w:rPr>
        <w:t>en</w:t>
      </w:r>
      <w:r>
        <w:rPr>
          <w:color w:val="231F20"/>
          <w:spacing w:val="-13"/>
        </w:rPr>
        <w:t> </w:t>
      </w:r>
      <w:r>
        <w:rPr>
          <w:color w:val="231F20"/>
          <w:spacing w:val="-2"/>
        </w:rPr>
        <w:t>tirant</w:t>
      </w:r>
      <w:r>
        <w:rPr>
          <w:color w:val="231F20"/>
          <w:spacing w:val="-13"/>
        </w:rPr>
        <w:t> </w:t>
      </w:r>
      <w:r>
        <w:rPr>
          <w:color w:val="231F20"/>
          <w:spacing w:val="-2"/>
        </w:rPr>
        <w:t>sur</w:t>
      </w:r>
      <w:r>
        <w:rPr>
          <w:color w:val="231F20"/>
          <w:spacing w:val="-13"/>
        </w:rPr>
        <w:t> </w:t>
      </w:r>
      <w:r>
        <w:rPr>
          <w:color w:val="231F20"/>
          <w:spacing w:val="-2"/>
        </w:rPr>
        <w:t>lui</w:t>
      </w:r>
      <w:r>
        <w:rPr>
          <w:color w:val="231F20"/>
          <w:spacing w:val="-13"/>
        </w:rPr>
        <w:t> </w:t>
      </w:r>
      <w:r>
        <w:rPr>
          <w:color w:val="231F20"/>
          <w:spacing w:val="-2"/>
        </w:rPr>
        <w:t>:</w:t>
      </w:r>
      <w:r>
        <w:rPr>
          <w:color w:val="231F20"/>
          <w:spacing w:val="-13"/>
        </w:rPr>
        <w:t> </w:t>
      </w:r>
      <w:r>
        <w:rPr>
          <w:color w:val="231F20"/>
          <w:spacing w:val="-2"/>
        </w:rPr>
        <w:t>ayant</w:t>
      </w:r>
      <w:r>
        <w:rPr>
          <w:color w:val="231F20"/>
          <w:spacing w:val="-13"/>
        </w:rPr>
        <w:t> </w:t>
      </w:r>
      <w:r>
        <w:rPr>
          <w:color w:val="231F20"/>
          <w:spacing w:val="-2"/>
        </w:rPr>
        <w:t>pris</w:t>
      </w:r>
      <w:r>
        <w:rPr>
          <w:color w:val="231F20"/>
          <w:spacing w:val="-13"/>
        </w:rPr>
        <w:t> </w:t>
      </w:r>
      <w:r>
        <w:rPr>
          <w:color w:val="231F20"/>
          <w:spacing w:val="-2"/>
        </w:rPr>
        <w:t>part</w:t>
      </w:r>
      <w:r>
        <w:rPr>
          <w:color w:val="231F20"/>
          <w:spacing w:val="-13"/>
        </w:rPr>
        <w:t> </w:t>
      </w:r>
      <w:r>
        <w:rPr>
          <w:color w:val="231F20"/>
          <w:spacing w:val="-2"/>
        </w:rPr>
        <w:t>au</w:t>
      </w:r>
      <w:r>
        <w:rPr>
          <w:color w:val="231F20"/>
          <w:spacing w:val="-13"/>
        </w:rPr>
        <w:t> </w:t>
      </w:r>
      <w:r>
        <w:rPr>
          <w:color w:val="231F20"/>
          <w:spacing w:val="-2"/>
        </w:rPr>
        <w:t>massacre du</w:t>
      </w:r>
      <w:r>
        <w:rPr>
          <w:color w:val="231F20"/>
          <w:spacing w:val="-6"/>
        </w:rPr>
        <w:t> </w:t>
      </w:r>
      <w:r>
        <w:rPr>
          <w:color w:val="231F20"/>
          <w:spacing w:val="-2"/>
        </w:rPr>
        <w:t>28</w:t>
      </w:r>
      <w:r>
        <w:rPr>
          <w:color w:val="231F20"/>
          <w:spacing w:val="-6"/>
        </w:rPr>
        <w:t> </w:t>
      </w:r>
      <w:r>
        <w:rPr>
          <w:color w:val="231F20"/>
          <w:spacing w:val="-2"/>
        </w:rPr>
        <w:t>septembre,</w:t>
      </w:r>
      <w:r>
        <w:rPr>
          <w:color w:val="231F20"/>
          <w:spacing w:val="-6"/>
        </w:rPr>
        <w:t> </w:t>
      </w:r>
      <w:r>
        <w:rPr>
          <w:color w:val="231F20"/>
          <w:spacing w:val="-2"/>
        </w:rPr>
        <w:t>Aboubacar</w:t>
      </w:r>
      <w:r>
        <w:rPr>
          <w:color w:val="231F20"/>
          <w:spacing w:val="-6"/>
        </w:rPr>
        <w:t> </w:t>
      </w:r>
      <w:r>
        <w:rPr>
          <w:color w:val="231F20"/>
          <w:spacing w:val="-2"/>
        </w:rPr>
        <w:t>Sidiki</w:t>
      </w:r>
      <w:r>
        <w:rPr>
          <w:color w:val="231F20"/>
          <w:spacing w:val="-6"/>
        </w:rPr>
        <w:t> </w:t>
      </w:r>
      <w:r>
        <w:rPr>
          <w:color w:val="231F20"/>
          <w:spacing w:val="-2"/>
        </w:rPr>
        <w:t>Diakité</w:t>
      </w:r>
      <w:r>
        <w:rPr>
          <w:color w:val="231F20"/>
          <w:spacing w:val="-6"/>
        </w:rPr>
        <w:t> </w:t>
      </w:r>
      <w:r>
        <w:rPr>
          <w:color w:val="231F20"/>
          <w:spacing w:val="-2"/>
        </w:rPr>
        <w:t>craignait</w:t>
      </w:r>
      <w:r>
        <w:rPr>
          <w:color w:val="231F20"/>
          <w:spacing w:val="-6"/>
        </w:rPr>
        <w:t> </w:t>
      </w:r>
      <w:r>
        <w:rPr>
          <w:color w:val="231F20"/>
          <w:spacing w:val="-2"/>
        </w:rPr>
        <w:t>d’être</w:t>
      </w:r>
      <w:r>
        <w:rPr>
          <w:color w:val="231F20"/>
          <w:spacing w:val="-6"/>
        </w:rPr>
        <w:t> </w:t>
      </w:r>
      <w:r>
        <w:rPr>
          <w:color w:val="231F20"/>
          <w:spacing w:val="-2"/>
        </w:rPr>
        <w:t>«</w:t>
      </w:r>
      <w:r>
        <w:rPr>
          <w:color w:val="231F20"/>
          <w:spacing w:val="-11"/>
        </w:rPr>
        <w:t> </w:t>
      </w:r>
      <w:r>
        <w:rPr>
          <w:color w:val="231F20"/>
          <w:spacing w:val="-2"/>
        </w:rPr>
        <w:t>lâché</w:t>
      </w:r>
      <w:r>
        <w:rPr>
          <w:color w:val="231F20"/>
          <w:spacing w:val="-13"/>
        </w:rPr>
        <w:t> </w:t>
      </w:r>
      <w:r>
        <w:rPr>
          <w:color w:val="231F20"/>
          <w:spacing w:val="-2"/>
        </w:rPr>
        <w:t>»</w:t>
      </w:r>
      <w:r>
        <w:rPr>
          <w:color w:val="231F20"/>
          <w:spacing w:val="-6"/>
        </w:rPr>
        <w:t> </w:t>
      </w:r>
      <w:r>
        <w:rPr>
          <w:color w:val="231F20"/>
          <w:spacing w:val="-2"/>
        </w:rPr>
        <w:t>par </w:t>
      </w:r>
      <w:r>
        <w:rPr>
          <w:color w:val="231F20"/>
        </w:rPr>
        <w:t>son président et livré à la justice.</w:t>
      </w:r>
    </w:p>
    <w:p>
      <w:pPr>
        <w:pStyle w:val="BodyText"/>
        <w:spacing w:before="120"/>
        <w:ind w:right="107" w:firstLine="283"/>
      </w:pPr>
      <w:r>
        <w:rPr>
          <w:color w:val="231F20"/>
        </w:rPr>
        <w:t>Dadis Camara est évacué et hospitalisé au Maroc. C’est un hôte encombrant pour les autorités Marocaines. Le 12 janvier 2010, il est transporté</w:t>
      </w:r>
      <w:r>
        <w:rPr>
          <w:color w:val="231F20"/>
          <w:spacing w:val="-5"/>
        </w:rPr>
        <w:t> </w:t>
      </w:r>
      <w:r>
        <w:rPr>
          <w:color w:val="231F20"/>
        </w:rPr>
        <w:t>au</w:t>
      </w:r>
      <w:r>
        <w:rPr>
          <w:color w:val="231F20"/>
          <w:spacing w:val="-8"/>
        </w:rPr>
        <w:t> </w:t>
      </w:r>
      <w:r>
        <w:rPr>
          <w:color w:val="231F20"/>
        </w:rPr>
        <w:t>Burkina</w:t>
      </w:r>
      <w:r>
        <w:rPr>
          <w:color w:val="231F20"/>
          <w:spacing w:val="-5"/>
        </w:rPr>
        <w:t> </w:t>
      </w:r>
      <w:r>
        <w:rPr>
          <w:color w:val="231F20"/>
        </w:rPr>
        <w:t>Faso</w:t>
      </w:r>
      <w:r>
        <w:rPr>
          <w:color w:val="231F20"/>
          <w:spacing w:val="-5"/>
        </w:rPr>
        <w:t> </w:t>
      </w:r>
      <w:r>
        <w:rPr>
          <w:color w:val="231F20"/>
        </w:rPr>
        <w:t>«</w:t>
      </w:r>
      <w:r>
        <w:rPr>
          <w:color w:val="231F20"/>
          <w:spacing w:val="-5"/>
        </w:rPr>
        <w:t> </w:t>
      </w:r>
      <w:r>
        <w:rPr>
          <w:color w:val="231F20"/>
        </w:rPr>
        <w:t>pour</w:t>
      </w:r>
      <w:r>
        <w:rPr>
          <w:color w:val="231F20"/>
          <w:spacing w:val="-6"/>
        </w:rPr>
        <w:t> </w:t>
      </w:r>
      <w:r>
        <w:rPr>
          <w:color w:val="231F20"/>
        </w:rPr>
        <w:t>y</w:t>
      </w:r>
      <w:r>
        <w:rPr>
          <w:color w:val="231F20"/>
          <w:spacing w:val="-6"/>
        </w:rPr>
        <w:t> </w:t>
      </w:r>
      <w:r>
        <w:rPr>
          <w:color w:val="231F20"/>
        </w:rPr>
        <w:t>continuer</w:t>
      </w:r>
      <w:r>
        <w:rPr>
          <w:color w:val="231F20"/>
          <w:spacing w:val="-8"/>
        </w:rPr>
        <w:t> </w:t>
      </w:r>
      <w:r>
        <w:rPr>
          <w:color w:val="231F20"/>
        </w:rPr>
        <w:t>sa</w:t>
      </w:r>
      <w:r>
        <w:rPr>
          <w:color w:val="231F20"/>
          <w:spacing w:val="-6"/>
        </w:rPr>
        <w:t> </w:t>
      </w:r>
      <w:r>
        <w:rPr>
          <w:color w:val="231F20"/>
        </w:rPr>
        <w:t>convalescence.</w:t>
      </w:r>
      <w:r>
        <w:rPr>
          <w:color w:val="231F20"/>
          <w:spacing w:val="-5"/>
        </w:rPr>
        <w:t> </w:t>
      </w:r>
      <w:r>
        <w:rPr>
          <w:color w:val="231F20"/>
        </w:rPr>
        <w:t>»</w:t>
      </w:r>
    </w:p>
    <w:p>
      <w:pPr>
        <w:spacing w:after="0"/>
        <w:sectPr>
          <w:pgSz w:w="8790" w:h="13610"/>
          <w:pgMar w:header="0" w:footer="802" w:top="1060" w:bottom="1000" w:left="880" w:right="880"/>
        </w:sectPr>
      </w:pPr>
    </w:p>
    <w:p>
      <w:pPr>
        <w:pStyle w:val="BodyText"/>
        <w:spacing w:before="66"/>
        <w:ind w:right="106" w:firstLine="283"/>
      </w:pPr>
      <w:r>
        <w:rPr>
          <w:color w:val="231F20"/>
        </w:rPr>
        <w:t>Sékouba</w:t>
      </w:r>
      <w:r>
        <w:rPr>
          <w:color w:val="231F20"/>
          <w:spacing w:val="-8"/>
        </w:rPr>
        <w:t> </w:t>
      </w:r>
      <w:r>
        <w:rPr>
          <w:color w:val="231F20"/>
        </w:rPr>
        <w:t>Konaté</w:t>
      </w:r>
      <w:r>
        <w:rPr>
          <w:color w:val="231F20"/>
          <w:spacing w:val="-9"/>
        </w:rPr>
        <w:t> </w:t>
      </w:r>
      <w:r>
        <w:rPr>
          <w:color w:val="231F20"/>
        </w:rPr>
        <w:t>qui</w:t>
      </w:r>
      <w:r>
        <w:rPr>
          <w:color w:val="231F20"/>
          <w:spacing w:val="-8"/>
        </w:rPr>
        <w:t> </w:t>
      </w:r>
      <w:r>
        <w:rPr>
          <w:color w:val="231F20"/>
        </w:rPr>
        <w:t>avait</w:t>
      </w:r>
      <w:r>
        <w:rPr>
          <w:color w:val="231F20"/>
          <w:spacing w:val="-9"/>
        </w:rPr>
        <w:t> </w:t>
      </w:r>
      <w:r>
        <w:rPr>
          <w:color w:val="231F20"/>
        </w:rPr>
        <w:t>été</w:t>
      </w:r>
      <w:r>
        <w:rPr>
          <w:color w:val="231F20"/>
          <w:spacing w:val="-8"/>
        </w:rPr>
        <w:t> </w:t>
      </w:r>
      <w:r>
        <w:rPr>
          <w:color w:val="231F20"/>
        </w:rPr>
        <w:t>nommé</w:t>
      </w:r>
      <w:r>
        <w:rPr>
          <w:color w:val="231F20"/>
          <w:spacing w:val="-8"/>
        </w:rPr>
        <w:t> </w:t>
      </w:r>
      <w:r>
        <w:rPr>
          <w:color w:val="231F20"/>
        </w:rPr>
        <w:t>à</w:t>
      </w:r>
      <w:r>
        <w:rPr>
          <w:color w:val="231F20"/>
          <w:spacing w:val="-8"/>
        </w:rPr>
        <w:t> </w:t>
      </w:r>
      <w:r>
        <w:rPr>
          <w:color w:val="231F20"/>
        </w:rPr>
        <w:t>l’occasion</w:t>
      </w:r>
      <w:r>
        <w:rPr>
          <w:color w:val="231F20"/>
          <w:spacing w:val="-11"/>
        </w:rPr>
        <w:t> </w:t>
      </w:r>
      <w:r>
        <w:rPr>
          <w:color w:val="231F20"/>
        </w:rPr>
        <w:t>du</w:t>
      </w:r>
      <w:r>
        <w:rPr>
          <w:color w:val="231F20"/>
          <w:spacing w:val="-8"/>
        </w:rPr>
        <w:t> </w:t>
      </w:r>
      <w:r>
        <w:rPr>
          <w:color w:val="231F20"/>
        </w:rPr>
        <w:t>coup</w:t>
      </w:r>
      <w:r>
        <w:rPr>
          <w:color w:val="231F20"/>
          <w:spacing w:val="-9"/>
        </w:rPr>
        <w:t> </w:t>
      </w:r>
      <w:r>
        <w:rPr>
          <w:color w:val="231F20"/>
        </w:rPr>
        <w:t>d’Etat</w:t>
      </w:r>
      <w:r>
        <w:rPr>
          <w:color w:val="231F20"/>
          <w:spacing w:val="-8"/>
        </w:rPr>
        <w:t> </w:t>
      </w:r>
      <w:r>
        <w:rPr>
          <w:color w:val="231F20"/>
        </w:rPr>
        <w:t>du 23</w:t>
      </w:r>
      <w:r>
        <w:rPr>
          <w:color w:val="231F20"/>
          <w:spacing w:val="-15"/>
        </w:rPr>
        <w:t> </w:t>
      </w:r>
      <w:r>
        <w:rPr>
          <w:color w:val="231F20"/>
        </w:rPr>
        <w:t>décembre</w:t>
      </w:r>
      <w:r>
        <w:rPr>
          <w:color w:val="231F20"/>
          <w:spacing w:val="-15"/>
        </w:rPr>
        <w:t> </w:t>
      </w:r>
      <w:r>
        <w:rPr>
          <w:color w:val="231F20"/>
        </w:rPr>
        <w:t>2008,</w:t>
      </w:r>
      <w:r>
        <w:rPr>
          <w:color w:val="231F20"/>
          <w:spacing w:val="-15"/>
        </w:rPr>
        <w:t> </w:t>
      </w:r>
      <w:r>
        <w:rPr>
          <w:color w:val="231F20"/>
        </w:rPr>
        <w:t>général</w:t>
      </w:r>
      <w:r>
        <w:rPr>
          <w:color w:val="231F20"/>
          <w:spacing w:val="-15"/>
        </w:rPr>
        <w:t> </w:t>
      </w:r>
      <w:r>
        <w:rPr>
          <w:color w:val="231F20"/>
        </w:rPr>
        <w:t>de</w:t>
      </w:r>
      <w:r>
        <w:rPr>
          <w:color w:val="231F20"/>
          <w:spacing w:val="-15"/>
        </w:rPr>
        <w:t> </w:t>
      </w:r>
      <w:r>
        <w:rPr>
          <w:color w:val="231F20"/>
        </w:rPr>
        <w:t>brigade,</w:t>
      </w:r>
      <w:r>
        <w:rPr>
          <w:color w:val="231F20"/>
          <w:spacing w:val="-15"/>
        </w:rPr>
        <w:t> </w:t>
      </w:r>
      <w:r>
        <w:rPr>
          <w:color w:val="231F20"/>
        </w:rPr>
        <w:t>ministre</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Défense</w:t>
      </w:r>
      <w:r>
        <w:rPr>
          <w:color w:val="231F20"/>
          <w:spacing w:val="-15"/>
        </w:rPr>
        <w:t> </w:t>
      </w:r>
      <w:r>
        <w:rPr>
          <w:color w:val="231F20"/>
        </w:rPr>
        <w:t>et</w:t>
      </w:r>
      <w:r>
        <w:rPr>
          <w:color w:val="231F20"/>
          <w:spacing w:val="-15"/>
        </w:rPr>
        <w:t> </w:t>
      </w:r>
      <w:r>
        <w:rPr>
          <w:color w:val="231F20"/>
        </w:rPr>
        <w:t>numéro </w:t>
      </w:r>
      <w:r>
        <w:rPr>
          <w:color w:val="231F20"/>
          <w:spacing w:val="-2"/>
        </w:rPr>
        <w:t>2</w:t>
      </w:r>
      <w:r>
        <w:rPr>
          <w:color w:val="231F20"/>
          <w:spacing w:val="-7"/>
        </w:rPr>
        <w:t> </w:t>
      </w:r>
      <w:r>
        <w:rPr>
          <w:color w:val="231F20"/>
          <w:spacing w:val="-2"/>
        </w:rPr>
        <w:t>du</w:t>
      </w:r>
      <w:r>
        <w:rPr>
          <w:color w:val="231F20"/>
          <w:spacing w:val="-9"/>
        </w:rPr>
        <w:t> </w:t>
      </w:r>
      <w:r>
        <w:rPr>
          <w:color w:val="231F20"/>
          <w:spacing w:val="-2"/>
        </w:rPr>
        <w:t>CNDD,</w:t>
      </w:r>
      <w:r>
        <w:rPr>
          <w:color w:val="231F20"/>
          <w:spacing w:val="-9"/>
        </w:rPr>
        <w:t> </w:t>
      </w:r>
      <w:r>
        <w:rPr>
          <w:color w:val="231F20"/>
          <w:spacing w:val="-2"/>
        </w:rPr>
        <w:t>devient</w:t>
      </w:r>
      <w:r>
        <w:rPr>
          <w:color w:val="231F20"/>
          <w:spacing w:val="-9"/>
        </w:rPr>
        <w:t> </w:t>
      </w:r>
      <w:r>
        <w:rPr>
          <w:color w:val="231F20"/>
          <w:spacing w:val="-2"/>
        </w:rPr>
        <w:t>président</w:t>
      </w:r>
      <w:r>
        <w:rPr>
          <w:color w:val="231F20"/>
          <w:spacing w:val="-7"/>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Transition.</w:t>
      </w:r>
      <w:r>
        <w:rPr>
          <w:color w:val="231F20"/>
          <w:spacing w:val="-9"/>
        </w:rPr>
        <w:t> </w:t>
      </w:r>
      <w:r>
        <w:rPr>
          <w:color w:val="231F20"/>
          <w:spacing w:val="-2"/>
        </w:rPr>
        <w:t>Il</w:t>
      </w:r>
      <w:r>
        <w:rPr>
          <w:color w:val="231F20"/>
          <w:spacing w:val="-6"/>
        </w:rPr>
        <w:t> </w:t>
      </w:r>
      <w:r>
        <w:rPr>
          <w:color w:val="231F20"/>
          <w:spacing w:val="-2"/>
        </w:rPr>
        <w:t>a</w:t>
      </w:r>
      <w:r>
        <w:rPr>
          <w:color w:val="231F20"/>
          <w:spacing w:val="-10"/>
        </w:rPr>
        <w:t> </w:t>
      </w:r>
      <w:r>
        <w:rPr>
          <w:color w:val="231F20"/>
          <w:spacing w:val="-2"/>
        </w:rPr>
        <w:t>pour</w:t>
      </w:r>
      <w:r>
        <w:rPr>
          <w:color w:val="231F20"/>
          <w:spacing w:val="-7"/>
        </w:rPr>
        <w:t> </w:t>
      </w:r>
      <w:r>
        <w:rPr>
          <w:color w:val="231F20"/>
          <w:spacing w:val="-2"/>
        </w:rPr>
        <w:t>feuille</w:t>
      </w:r>
      <w:r>
        <w:rPr>
          <w:color w:val="231F20"/>
          <w:spacing w:val="-7"/>
        </w:rPr>
        <w:t> </w:t>
      </w:r>
      <w:r>
        <w:rPr>
          <w:color w:val="231F20"/>
          <w:spacing w:val="-2"/>
        </w:rPr>
        <w:t>de</w:t>
      </w:r>
      <w:r>
        <w:rPr>
          <w:color w:val="231F20"/>
          <w:spacing w:val="-7"/>
        </w:rPr>
        <w:t> </w:t>
      </w:r>
      <w:r>
        <w:rPr>
          <w:color w:val="231F20"/>
          <w:spacing w:val="-2"/>
        </w:rPr>
        <w:t>route, </w:t>
      </w:r>
      <w:r>
        <w:rPr>
          <w:color w:val="231F20"/>
        </w:rPr>
        <w:t>l’organisation</w:t>
      </w:r>
      <w:r>
        <w:rPr>
          <w:color w:val="231F20"/>
          <w:spacing w:val="-2"/>
        </w:rPr>
        <w:t> </w:t>
      </w:r>
      <w:r>
        <w:rPr>
          <w:color w:val="231F20"/>
        </w:rPr>
        <w:t>d’élections</w:t>
      </w:r>
      <w:r>
        <w:rPr>
          <w:color w:val="231F20"/>
          <w:spacing w:val="-4"/>
        </w:rPr>
        <w:t> </w:t>
      </w:r>
      <w:r>
        <w:rPr>
          <w:color w:val="231F20"/>
        </w:rPr>
        <w:t>libres</w:t>
      </w:r>
      <w:r>
        <w:rPr>
          <w:color w:val="231F20"/>
          <w:spacing w:val="-3"/>
        </w:rPr>
        <w:t> </w:t>
      </w:r>
      <w:r>
        <w:rPr>
          <w:color w:val="231F20"/>
        </w:rPr>
        <w:t>et</w:t>
      </w:r>
      <w:r>
        <w:rPr>
          <w:color w:val="231F20"/>
          <w:spacing w:val="-4"/>
        </w:rPr>
        <w:t> </w:t>
      </w:r>
      <w:r>
        <w:rPr>
          <w:color w:val="231F20"/>
        </w:rPr>
        <w:t>transparentes</w:t>
      </w:r>
      <w:r>
        <w:rPr>
          <w:color w:val="231F20"/>
          <w:spacing w:val="-3"/>
        </w:rPr>
        <w:t> </w:t>
      </w:r>
      <w:r>
        <w:rPr>
          <w:color w:val="231F20"/>
        </w:rPr>
        <w:t>dans</w:t>
      </w:r>
      <w:r>
        <w:rPr>
          <w:color w:val="231F20"/>
          <w:spacing w:val="-3"/>
        </w:rPr>
        <w:t> </w:t>
      </w:r>
      <w:r>
        <w:rPr>
          <w:color w:val="231F20"/>
        </w:rPr>
        <w:t>les</w:t>
      </w:r>
      <w:r>
        <w:rPr>
          <w:color w:val="231F20"/>
          <w:spacing w:val="-3"/>
        </w:rPr>
        <w:t> </w:t>
      </w:r>
      <w:r>
        <w:rPr>
          <w:color w:val="231F20"/>
        </w:rPr>
        <w:t>six</w:t>
      </w:r>
      <w:r>
        <w:rPr>
          <w:color w:val="231F20"/>
          <w:spacing w:val="-3"/>
        </w:rPr>
        <w:t> </w:t>
      </w:r>
      <w:r>
        <w:rPr>
          <w:color w:val="231F20"/>
        </w:rPr>
        <w:t>(6)</w:t>
      </w:r>
      <w:r>
        <w:rPr>
          <w:color w:val="231F20"/>
          <w:spacing w:val="-3"/>
        </w:rPr>
        <w:t> </w:t>
      </w:r>
      <w:r>
        <w:rPr>
          <w:color w:val="231F20"/>
        </w:rPr>
        <w:t>mois</w:t>
      </w:r>
      <w:r>
        <w:rPr>
          <w:color w:val="231F20"/>
          <w:spacing w:val="-3"/>
        </w:rPr>
        <w:t> </w:t>
      </w:r>
      <w:r>
        <w:rPr>
          <w:color w:val="231F20"/>
        </w:rPr>
        <w:t>à </w:t>
      </w:r>
      <w:r>
        <w:rPr>
          <w:color w:val="231F20"/>
          <w:spacing w:val="-2"/>
        </w:rPr>
        <w:t>venir.</w:t>
      </w:r>
    </w:p>
    <w:p>
      <w:pPr>
        <w:pStyle w:val="BodyText"/>
        <w:spacing w:before="120"/>
        <w:ind w:right="108" w:firstLine="283"/>
      </w:pPr>
      <w:r>
        <w:rPr>
          <w:color w:val="231F20"/>
          <w:spacing w:val="-2"/>
        </w:rPr>
        <w:t>Le</w:t>
      </w:r>
      <w:r>
        <w:rPr>
          <w:color w:val="231F20"/>
          <w:spacing w:val="-11"/>
        </w:rPr>
        <w:t> </w:t>
      </w:r>
      <w:r>
        <w:rPr>
          <w:color w:val="231F20"/>
          <w:spacing w:val="-2"/>
        </w:rPr>
        <w:t>7</w:t>
      </w:r>
      <w:r>
        <w:rPr>
          <w:color w:val="231F20"/>
          <w:spacing w:val="-11"/>
        </w:rPr>
        <w:t> </w:t>
      </w:r>
      <w:r>
        <w:rPr>
          <w:color w:val="231F20"/>
          <w:spacing w:val="-2"/>
        </w:rPr>
        <w:t>novembre</w:t>
      </w:r>
      <w:r>
        <w:rPr>
          <w:color w:val="231F20"/>
          <w:spacing w:val="-11"/>
        </w:rPr>
        <w:t> </w:t>
      </w:r>
      <w:r>
        <w:rPr>
          <w:color w:val="231F20"/>
          <w:spacing w:val="-2"/>
        </w:rPr>
        <w:t>2010,</w:t>
      </w:r>
      <w:r>
        <w:rPr>
          <w:color w:val="231F20"/>
          <w:spacing w:val="-11"/>
        </w:rPr>
        <w:t> </w:t>
      </w:r>
      <w:r>
        <w:rPr>
          <w:color w:val="231F20"/>
          <w:spacing w:val="-2"/>
        </w:rPr>
        <w:t>Alpha</w:t>
      </w:r>
      <w:r>
        <w:rPr>
          <w:color w:val="231F20"/>
          <w:spacing w:val="-11"/>
        </w:rPr>
        <w:t> </w:t>
      </w:r>
      <w:r>
        <w:rPr>
          <w:color w:val="231F20"/>
          <w:spacing w:val="-2"/>
        </w:rPr>
        <w:t>Condé</w:t>
      </w:r>
      <w:r>
        <w:rPr>
          <w:color w:val="231F20"/>
          <w:spacing w:val="-10"/>
        </w:rPr>
        <w:t> </w:t>
      </w:r>
      <w:r>
        <w:rPr>
          <w:color w:val="231F20"/>
          <w:spacing w:val="-2"/>
        </w:rPr>
        <w:t>est</w:t>
      </w:r>
      <w:r>
        <w:rPr>
          <w:color w:val="231F20"/>
          <w:spacing w:val="-10"/>
        </w:rPr>
        <w:t> </w:t>
      </w:r>
      <w:r>
        <w:rPr>
          <w:color w:val="231F20"/>
          <w:spacing w:val="-2"/>
        </w:rPr>
        <w:t>élu</w:t>
      </w:r>
      <w:r>
        <w:rPr>
          <w:color w:val="231F20"/>
          <w:spacing w:val="-11"/>
        </w:rPr>
        <w:t> </w:t>
      </w:r>
      <w:r>
        <w:rPr>
          <w:color w:val="231F20"/>
          <w:spacing w:val="-2"/>
        </w:rPr>
        <w:t>Président</w:t>
      </w:r>
      <w:r>
        <w:rPr>
          <w:color w:val="231F20"/>
          <w:spacing w:val="-10"/>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République </w:t>
      </w:r>
      <w:r>
        <w:rPr>
          <w:color w:val="231F20"/>
        </w:rPr>
        <w:t>pour</w:t>
      </w:r>
      <w:r>
        <w:rPr>
          <w:color w:val="231F20"/>
          <w:spacing w:val="-15"/>
        </w:rPr>
        <w:t> </w:t>
      </w:r>
      <w:r>
        <w:rPr>
          <w:color w:val="231F20"/>
        </w:rPr>
        <w:t>un</w:t>
      </w:r>
      <w:r>
        <w:rPr>
          <w:color w:val="231F20"/>
          <w:spacing w:val="-15"/>
        </w:rPr>
        <w:t> </w:t>
      </w:r>
      <w:r>
        <w:rPr>
          <w:color w:val="231F20"/>
        </w:rPr>
        <w:t>mandat</w:t>
      </w:r>
      <w:r>
        <w:rPr>
          <w:color w:val="231F20"/>
          <w:spacing w:val="-15"/>
        </w:rPr>
        <w:t> </w:t>
      </w:r>
      <w:r>
        <w:rPr>
          <w:color w:val="231F20"/>
        </w:rPr>
        <w:t>de</w:t>
      </w:r>
      <w:r>
        <w:rPr>
          <w:color w:val="231F20"/>
          <w:spacing w:val="-15"/>
        </w:rPr>
        <w:t> </w:t>
      </w:r>
      <w:r>
        <w:rPr>
          <w:color w:val="231F20"/>
        </w:rPr>
        <w:t>5</w:t>
      </w:r>
      <w:r>
        <w:rPr>
          <w:color w:val="231F20"/>
          <w:spacing w:val="-15"/>
        </w:rPr>
        <w:t> </w:t>
      </w:r>
      <w:r>
        <w:rPr>
          <w:color w:val="231F20"/>
        </w:rPr>
        <w:t>ans.</w:t>
      </w:r>
      <w:r>
        <w:rPr>
          <w:color w:val="231F20"/>
          <w:spacing w:val="-15"/>
        </w:rPr>
        <w:t> </w:t>
      </w:r>
      <w:r>
        <w:rPr>
          <w:color w:val="231F20"/>
        </w:rPr>
        <w:t>Il</w:t>
      </w:r>
      <w:r>
        <w:rPr>
          <w:color w:val="231F20"/>
          <w:spacing w:val="-15"/>
        </w:rPr>
        <w:t> </w:t>
      </w:r>
      <w:r>
        <w:rPr>
          <w:color w:val="231F20"/>
        </w:rPr>
        <w:t>est</w:t>
      </w:r>
      <w:r>
        <w:rPr>
          <w:color w:val="231F20"/>
          <w:spacing w:val="-15"/>
        </w:rPr>
        <w:t> </w:t>
      </w:r>
      <w:r>
        <w:rPr>
          <w:color w:val="231F20"/>
        </w:rPr>
        <w:t>réélu</w:t>
      </w:r>
      <w:r>
        <w:rPr>
          <w:color w:val="231F20"/>
          <w:spacing w:val="-15"/>
        </w:rPr>
        <w:t> </w:t>
      </w:r>
      <w:r>
        <w:rPr>
          <w:color w:val="231F20"/>
        </w:rPr>
        <w:t>le</w:t>
      </w:r>
      <w:r>
        <w:rPr>
          <w:color w:val="231F20"/>
          <w:spacing w:val="-15"/>
        </w:rPr>
        <w:t> </w:t>
      </w:r>
      <w:r>
        <w:rPr>
          <w:color w:val="231F20"/>
        </w:rPr>
        <w:t>11</w:t>
      </w:r>
      <w:r>
        <w:rPr>
          <w:color w:val="231F20"/>
          <w:spacing w:val="-15"/>
        </w:rPr>
        <w:t> </w:t>
      </w:r>
      <w:r>
        <w:rPr>
          <w:color w:val="231F20"/>
        </w:rPr>
        <w:t>octobre</w:t>
      </w:r>
      <w:r>
        <w:rPr>
          <w:color w:val="231F20"/>
          <w:spacing w:val="-15"/>
        </w:rPr>
        <w:t> </w:t>
      </w:r>
      <w:r>
        <w:rPr>
          <w:color w:val="231F20"/>
        </w:rPr>
        <w:t>2015</w:t>
      </w:r>
      <w:r>
        <w:rPr>
          <w:color w:val="231F20"/>
          <w:spacing w:val="-15"/>
        </w:rPr>
        <w:t> </w:t>
      </w:r>
      <w:r>
        <w:rPr>
          <w:color w:val="231F20"/>
        </w:rPr>
        <w:t>pour</w:t>
      </w:r>
      <w:r>
        <w:rPr>
          <w:color w:val="231F20"/>
          <w:spacing w:val="-15"/>
        </w:rPr>
        <w:t> </w:t>
      </w:r>
      <w:r>
        <w:rPr>
          <w:color w:val="231F20"/>
        </w:rPr>
        <w:t>un</w:t>
      </w:r>
      <w:r>
        <w:rPr>
          <w:color w:val="231F20"/>
          <w:spacing w:val="-15"/>
        </w:rPr>
        <w:t> </w:t>
      </w:r>
      <w:r>
        <w:rPr>
          <w:color w:val="231F20"/>
        </w:rPr>
        <w:t>nouveau mandat de 5 ans.</w:t>
      </w:r>
    </w:p>
    <w:p>
      <w:pPr>
        <w:pStyle w:val="BodyText"/>
        <w:spacing w:before="121"/>
        <w:ind w:right="103" w:firstLine="283"/>
      </w:pPr>
      <w:r>
        <w:rPr>
          <w:color w:val="231F20"/>
          <w:spacing w:val="-2"/>
        </w:rPr>
        <w:t>En</w:t>
      </w:r>
      <w:r>
        <w:rPr>
          <w:color w:val="231F20"/>
          <w:spacing w:val="-13"/>
        </w:rPr>
        <w:t> </w:t>
      </w:r>
      <w:r>
        <w:rPr>
          <w:color w:val="231F20"/>
          <w:spacing w:val="-2"/>
        </w:rPr>
        <w:t>2020,</w:t>
      </w:r>
      <w:r>
        <w:rPr>
          <w:color w:val="231F20"/>
          <w:spacing w:val="-13"/>
        </w:rPr>
        <w:t> </w:t>
      </w:r>
      <w:r>
        <w:rPr>
          <w:color w:val="231F20"/>
          <w:spacing w:val="-2"/>
        </w:rPr>
        <w:t>il</w:t>
      </w:r>
      <w:r>
        <w:rPr>
          <w:color w:val="231F20"/>
          <w:spacing w:val="-11"/>
        </w:rPr>
        <w:t> </w:t>
      </w:r>
      <w:r>
        <w:rPr>
          <w:color w:val="231F20"/>
          <w:spacing w:val="-2"/>
        </w:rPr>
        <w:t>procède</w:t>
      </w:r>
      <w:r>
        <w:rPr>
          <w:color w:val="231F20"/>
          <w:spacing w:val="-13"/>
        </w:rPr>
        <w:t> </w:t>
      </w:r>
      <w:r>
        <w:rPr>
          <w:color w:val="231F20"/>
          <w:spacing w:val="-2"/>
        </w:rPr>
        <w:t>à</w:t>
      </w:r>
      <w:r>
        <w:rPr>
          <w:color w:val="231F20"/>
          <w:spacing w:val="-13"/>
        </w:rPr>
        <w:t> </w:t>
      </w:r>
      <w:r>
        <w:rPr>
          <w:color w:val="231F20"/>
          <w:spacing w:val="-2"/>
        </w:rPr>
        <w:t>l'organisation</w:t>
      </w:r>
      <w:r>
        <w:rPr>
          <w:color w:val="231F20"/>
          <w:spacing w:val="-13"/>
        </w:rPr>
        <w:t> </w:t>
      </w:r>
      <w:r>
        <w:rPr>
          <w:color w:val="231F20"/>
          <w:spacing w:val="-2"/>
        </w:rPr>
        <w:t>très</w:t>
      </w:r>
      <w:r>
        <w:rPr>
          <w:color w:val="231F20"/>
          <w:spacing w:val="-12"/>
        </w:rPr>
        <w:t> </w:t>
      </w:r>
      <w:r>
        <w:rPr>
          <w:color w:val="231F20"/>
          <w:spacing w:val="-2"/>
        </w:rPr>
        <w:t>controversée</w:t>
      </w:r>
      <w:r>
        <w:rPr>
          <w:color w:val="231F20"/>
          <w:spacing w:val="-13"/>
        </w:rPr>
        <w:t> </w:t>
      </w:r>
      <w:r>
        <w:rPr>
          <w:color w:val="231F20"/>
          <w:spacing w:val="-2"/>
        </w:rPr>
        <w:t>d'un</w:t>
      </w:r>
      <w:r>
        <w:rPr>
          <w:color w:val="231F20"/>
          <w:spacing w:val="-12"/>
        </w:rPr>
        <w:t> </w:t>
      </w:r>
      <w:r>
        <w:rPr>
          <w:color w:val="231F20"/>
          <w:spacing w:val="-2"/>
        </w:rPr>
        <w:t>référendum constitutionnel</w:t>
      </w:r>
      <w:r>
        <w:rPr>
          <w:color w:val="231F20"/>
          <w:spacing w:val="-13"/>
        </w:rPr>
        <w:t> </w:t>
      </w:r>
      <w:r>
        <w:rPr>
          <w:color w:val="231F20"/>
          <w:spacing w:val="-2"/>
        </w:rPr>
        <w:t>sur</w:t>
      </w:r>
      <w:r>
        <w:rPr>
          <w:color w:val="231F20"/>
          <w:spacing w:val="-6"/>
        </w:rPr>
        <w:t> </w:t>
      </w:r>
      <w:r>
        <w:rPr>
          <w:color w:val="231F20"/>
          <w:spacing w:val="-2"/>
        </w:rPr>
        <w:t>l'adoption</w:t>
      </w:r>
      <w:r>
        <w:rPr>
          <w:color w:val="231F20"/>
          <w:spacing w:val="-4"/>
        </w:rPr>
        <w:t> </w:t>
      </w:r>
      <w:r>
        <w:rPr>
          <w:color w:val="231F20"/>
          <w:spacing w:val="-2"/>
        </w:rPr>
        <w:t>d'une</w:t>
      </w:r>
      <w:r>
        <w:rPr>
          <w:color w:val="231F20"/>
          <w:spacing w:val="-7"/>
        </w:rPr>
        <w:t> </w:t>
      </w:r>
      <w:r>
        <w:rPr>
          <w:color w:val="231F20"/>
          <w:spacing w:val="-2"/>
        </w:rPr>
        <w:t>nouvelle</w:t>
      </w:r>
      <w:r>
        <w:rPr>
          <w:color w:val="231F20"/>
          <w:spacing w:val="-5"/>
        </w:rPr>
        <w:t> </w:t>
      </w:r>
      <w:r>
        <w:rPr>
          <w:color w:val="231F20"/>
          <w:spacing w:val="-2"/>
        </w:rPr>
        <w:t>Constitution</w:t>
      </w:r>
      <w:r>
        <w:rPr>
          <w:color w:val="231F20"/>
          <w:spacing w:val="-4"/>
        </w:rPr>
        <w:t> </w:t>
      </w:r>
      <w:r>
        <w:rPr>
          <w:color w:val="231F20"/>
          <w:spacing w:val="-2"/>
        </w:rPr>
        <w:t>qui</w:t>
      </w:r>
      <w:r>
        <w:rPr>
          <w:color w:val="231F20"/>
          <w:spacing w:val="-4"/>
        </w:rPr>
        <w:t> </w:t>
      </w:r>
      <w:r>
        <w:rPr>
          <w:color w:val="231F20"/>
          <w:spacing w:val="-2"/>
        </w:rPr>
        <w:t>renforce</w:t>
      </w:r>
      <w:r>
        <w:rPr>
          <w:color w:val="231F20"/>
          <w:spacing w:val="-4"/>
        </w:rPr>
        <w:t> </w:t>
      </w:r>
      <w:r>
        <w:rPr>
          <w:color w:val="231F20"/>
          <w:spacing w:val="-2"/>
        </w:rPr>
        <w:t>le </w:t>
      </w:r>
      <w:r>
        <w:rPr>
          <w:color w:val="231F20"/>
        </w:rPr>
        <w:t>régime</w:t>
      </w:r>
      <w:r>
        <w:rPr>
          <w:color w:val="231F20"/>
          <w:spacing w:val="-15"/>
        </w:rPr>
        <w:t> </w:t>
      </w:r>
      <w:r>
        <w:rPr>
          <w:color w:val="231F20"/>
        </w:rPr>
        <w:t>présidentiel</w:t>
      </w:r>
      <w:r>
        <w:rPr>
          <w:color w:val="231F20"/>
          <w:spacing w:val="-15"/>
        </w:rPr>
        <w:t> </w:t>
      </w:r>
      <w:r>
        <w:rPr>
          <w:color w:val="231F20"/>
        </w:rPr>
        <w:t>et</w:t>
      </w:r>
      <w:r>
        <w:rPr>
          <w:color w:val="231F20"/>
          <w:spacing w:val="-15"/>
        </w:rPr>
        <w:t> </w:t>
      </w:r>
      <w:r>
        <w:rPr>
          <w:color w:val="231F20"/>
        </w:rPr>
        <w:t>porte</w:t>
      </w:r>
      <w:r>
        <w:rPr>
          <w:color w:val="231F20"/>
          <w:spacing w:val="-15"/>
        </w:rPr>
        <w:t> </w:t>
      </w:r>
      <w:r>
        <w:rPr>
          <w:color w:val="231F20"/>
        </w:rPr>
        <w:t>la</w:t>
      </w:r>
      <w:r>
        <w:rPr>
          <w:color w:val="231F20"/>
          <w:spacing w:val="-15"/>
        </w:rPr>
        <w:t> </w:t>
      </w:r>
      <w:r>
        <w:rPr>
          <w:color w:val="231F20"/>
        </w:rPr>
        <w:t>durée</w:t>
      </w:r>
      <w:r>
        <w:rPr>
          <w:color w:val="231F20"/>
          <w:spacing w:val="-15"/>
        </w:rPr>
        <w:t> </w:t>
      </w:r>
      <w:r>
        <w:rPr>
          <w:color w:val="231F20"/>
        </w:rPr>
        <w:t>du</w:t>
      </w:r>
      <w:r>
        <w:rPr>
          <w:color w:val="231F20"/>
          <w:spacing w:val="-15"/>
        </w:rPr>
        <w:t> </w:t>
      </w:r>
      <w:r>
        <w:rPr>
          <w:color w:val="231F20"/>
        </w:rPr>
        <w:t>mandat</w:t>
      </w:r>
      <w:r>
        <w:rPr>
          <w:color w:val="231F20"/>
          <w:spacing w:val="-15"/>
        </w:rPr>
        <w:t> </w:t>
      </w:r>
      <w:r>
        <w:rPr>
          <w:color w:val="231F20"/>
        </w:rPr>
        <w:t>présidentiel</w:t>
      </w:r>
      <w:r>
        <w:rPr>
          <w:color w:val="231F20"/>
          <w:spacing w:val="-15"/>
        </w:rPr>
        <w:t> </w:t>
      </w:r>
      <w:r>
        <w:rPr>
          <w:color w:val="231F20"/>
        </w:rPr>
        <w:t>de</w:t>
      </w:r>
      <w:r>
        <w:rPr>
          <w:color w:val="231F20"/>
          <w:spacing w:val="-15"/>
        </w:rPr>
        <w:t> </w:t>
      </w:r>
      <w:r>
        <w:rPr>
          <w:color w:val="231F20"/>
        </w:rPr>
        <w:t>cinq</w:t>
      </w:r>
      <w:r>
        <w:rPr>
          <w:color w:val="231F20"/>
          <w:spacing w:val="-15"/>
        </w:rPr>
        <w:t> </w:t>
      </w:r>
      <w:r>
        <w:rPr>
          <w:color w:val="231F20"/>
        </w:rPr>
        <w:t>à</w:t>
      </w:r>
      <w:r>
        <w:rPr>
          <w:color w:val="231F20"/>
          <w:spacing w:val="-15"/>
        </w:rPr>
        <w:t> </w:t>
      </w:r>
      <w:r>
        <w:rPr>
          <w:color w:val="231F20"/>
        </w:rPr>
        <w:t>six </w:t>
      </w:r>
      <w:r>
        <w:rPr>
          <w:color w:val="231F20"/>
          <w:spacing w:val="-4"/>
        </w:rPr>
        <w:t>ans.</w:t>
      </w:r>
      <w:r>
        <w:rPr>
          <w:color w:val="231F20"/>
          <w:spacing w:val="-9"/>
        </w:rPr>
        <w:t> </w:t>
      </w:r>
      <w:r>
        <w:rPr>
          <w:color w:val="231F20"/>
          <w:spacing w:val="-4"/>
        </w:rPr>
        <w:t>Le</w:t>
      </w:r>
      <w:r>
        <w:rPr>
          <w:color w:val="231F20"/>
          <w:spacing w:val="-7"/>
        </w:rPr>
        <w:t> </w:t>
      </w:r>
      <w:r>
        <w:rPr>
          <w:color w:val="231F20"/>
          <w:spacing w:val="-4"/>
        </w:rPr>
        <w:t>contenu</w:t>
      </w:r>
      <w:r>
        <w:rPr>
          <w:color w:val="231F20"/>
          <w:spacing w:val="-9"/>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nouvelle</w:t>
      </w:r>
      <w:r>
        <w:rPr>
          <w:color w:val="231F20"/>
          <w:spacing w:val="-11"/>
        </w:rPr>
        <w:t> </w:t>
      </w:r>
      <w:r>
        <w:rPr>
          <w:color w:val="231F20"/>
          <w:spacing w:val="-4"/>
        </w:rPr>
        <w:t>loi</w:t>
      </w:r>
      <w:r>
        <w:rPr>
          <w:color w:val="231F20"/>
          <w:spacing w:val="-6"/>
        </w:rPr>
        <w:t> </w:t>
      </w:r>
      <w:r>
        <w:rPr>
          <w:color w:val="231F20"/>
          <w:spacing w:val="-4"/>
        </w:rPr>
        <w:t>fondamentale</w:t>
      </w:r>
      <w:r>
        <w:rPr>
          <w:color w:val="231F20"/>
          <w:spacing w:val="-9"/>
        </w:rPr>
        <w:t> </w:t>
      </w:r>
      <w:r>
        <w:rPr>
          <w:color w:val="231F20"/>
          <w:spacing w:val="-4"/>
        </w:rPr>
        <w:t>lui</w:t>
      </w:r>
      <w:r>
        <w:rPr>
          <w:color w:val="231F20"/>
          <w:spacing w:val="-7"/>
        </w:rPr>
        <w:t> </w:t>
      </w:r>
      <w:r>
        <w:rPr>
          <w:color w:val="231F20"/>
          <w:spacing w:val="-4"/>
        </w:rPr>
        <w:t>permet</w:t>
      </w:r>
      <w:r>
        <w:rPr>
          <w:color w:val="231F20"/>
          <w:spacing w:val="-8"/>
        </w:rPr>
        <w:t> </w:t>
      </w:r>
      <w:r>
        <w:rPr>
          <w:color w:val="231F20"/>
          <w:spacing w:val="-4"/>
        </w:rPr>
        <w:t>de</w:t>
      </w:r>
      <w:r>
        <w:rPr>
          <w:color w:val="231F20"/>
          <w:spacing w:val="-7"/>
        </w:rPr>
        <w:t> </w:t>
      </w:r>
      <w:r>
        <w:rPr>
          <w:color w:val="231F20"/>
          <w:spacing w:val="-4"/>
        </w:rPr>
        <w:t>se</w:t>
      </w:r>
      <w:r>
        <w:rPr>
          <w:color w:val="231F20"/>
          <w:spacing w:val="-11"/>
        </w:rPr>
        <w:t> </w:t>
      </w:r>
      <w:r>
        <w:rPr>
          <w:color w:val="231F20"/>
          <w:spacing w:val="-4"/>
        </w:rPr>
        <w:t>présenter </w:t>
      </w:r>
      <w:r>
        <w:rPr>
          <w:color w:val="231F20"/>
          <w:spacing w:val="-2"/>
        </w:rPr>
        <w:t>pour</w:t>
      </w:r>
      <w:r>
        <w:rPr>
          <w:color w:val="231F20"/>
          <w:spacing w:val="-15"/>
        </w:rPr>
        <w:t> </w:t>
      </w:r>
      <w:r>
        <w:rPr>
          <w:color w:val="231F20"/>
          <w:spacing w:val="-2"/>
        </w:rPr>
        <w:t>un</w:t>
      </w:r>
      <w:r>
        <w:rPr>
          <w:color w:val="231F20"/>
          <w:spacing w:val="-13"/>
        </w:rPr>
        <w:t> </w:t>
      </w:r>
      <w:r>
        <w:rPr>
          <w:color w:val="231F20"/>
          <w:spacing w:val="-2"/>
        </w:rPr>
        <w:t>troisième</w:t>
      </w:r>
      <w:r>
        <w:rPr>
          <w:color w:val="231F20"/>
          <w:spacing w:val="-13"/>
        </w:rPr>
        <w:t> </w:t>
      </w:r>
      <w:r>
        <w:rPr>
          <w:color w:val="231F20"/>
          <w:spacing w:val="-2"/>
        </w:rPr>
        <w:t>mandat</w:t>
      </w:r>
      <w:r>
        <w:rPr>
          <w:color w:val="231F20"/>
          <w:spacing w:val="-13"/>
        </w:rPr>
        <w:t> </w:t>
      </w:r>
      <w:r>
        <w:rPr>
          <w:color w:val="231F20"/>
          <w:spacing w:val="-2"/>
        </w:rPr>
        <w:t>en</w:t>
      </w:r>
      <w:r>
        <w:rPr>
          <w:color w:val="231F20"/>
          <w:spacing w:val="-13"/>
        </w:rPr>
        <w:t> </w:t>
      </w:r>
      <w:r>
        <w:rPr>
          <w:color w:val="231F20"/>
          <w:spacing w:val="-2"/>
        </w:rPr>
        <w:t>remettant</w:t>
      </w:r>
      <w:r>
        <w:rPr>
          <w:color w:val="231F20"/>
          <w:spacing w:val="-13"/>
        </w:rPr>
        <w:t> </w:t>
      </w:r>
      <w:r>
        <w:rPr>
          <w:color w:val="231F20"/>
          <w:spacing w:val="-2"/>
        </w:rPr>
        <w:t>à</w:t>
      </w:r>
      <w:r>
        <w:rPr>
          <w:color w:val="231F20"/>
          <w:spacing w:val="-13"/>
        </w:rPr>
        <w:t> </w:t>
      </w:r>
      <w:r>
        <w:rPr>
          <w:color w:val="231F20"/>
          <w:spacing w:val="-2"/>
        </w:rPr>
        <w:t>zéro</w:t>
      </w:r>
      <w:r>
        <w:rPr>
          <w:color w:val="231F20"/>
          <w:spacing w:val="-13"/>
        </w:rPr>
        <w:t> </w:t>
      </w:r>
      <w:r>
        <w:rPr>
          <w:color w:val="231F20"/>
          <w:spacing w:val="-2"/>
        </w:rPr>
        <w:t>le</w:t>
      </w:r>
      <w:r>
        <w:rPr>
          <w:color w:val="231F20"/>
          <w:spacing w:val="-13"/>
        </w:rPr>
        <w:t> </w:t>
      </w:r>
      <w:r>
        <w:rPr>
          <w:color w:val="231F20"/>
          <w:spacing w:val="-2"/>
        </w:rPr>
        <w:t>compteur</w:t>
      </w:r>
      <w:r>
        <w:rPr>
          <w:color w:val="231F20"/>
          <w:spacing w:val="-13"/>
        </w:rPr>
        <w:t> </w:t>
      </w:r>
      <w:r>
        <w:rPr>
          <w:color w:val="231F20"/>
          <w:spacing w:val="-2"/>
        </w:rPr>
        <w:t>de</w:t>
      </w:r>
      <w:r>
        <w:rPr>
          <w:color w:val="231F20"/>
          <w:spacing w:val="-13"/>
        </w:rPr>
        <w:t> </w:t>
      </w:r>
      <w:r>
        <w:rPr>
          <w:color w:val="231F20"/>
          <w:spacing w:val="-2"/>
        </w:rPr>
        <w:t>ses</w:t>
      </w:r>
      <w:r>
        <w:rPr>
          <w:color w:val="231F20"/>
          <w:spacing w:val="-13"/>
        </w:rPr>
        <w:t> </w:t>
      </w:r>
      <w:r>
        <w:rPr>
          <w:color w:val="231F20"/>
          <w:spacing w:val="-2"/>
        </w:rPr>
        <w:t>mandats passés.</w:t>
      </w:r>
      <w:r>
        <w:rPr>
          <w:color w:val="231F20"/>
          <w:spacing w:val="-13"/>
        </w:rPr>
        <w:t> </w:t>
      </w:r>
      <w:r>
        <w:rPr>
          <w:color w:val="231F20"/>
          <w:spacing w:val="-2"/>
        </w:rPr>
        <w:t>L’opposition</w:t>
      </w:r>
      <w:r>
        <w:rPr>
          <w:color w:val="231F20"/>
          <w:spacing w:val="-13"/>
        </w:rPr>
        <w:t> </w:t>
      </w:r>
      <w:r>
        <w:rPr>
          <w:color w:val="231F20"/>
          <w:spacing w:val="-2"/>
        </w:rPr>
        <w:t>manifeste</w:t>
      </w:r>
      <w:r>
        <w:rPr>
          <w:color w:val="231F20"/>
          <w:spacing w:val="-13"/>
        </w:rPr>
        <w:t> </w:t>
      </w:r>
      <w:r>
        <w:rPr>
          <w:color w:val="231F20"/>
          <w:spacing w:val="-2"/>
        </w:rPr>
        <w:t>contre</w:t>
      </w:r>
      <w:r>
        <w:rPr>
          <w:color w:val="231F20"/>
          <w:spacing w:val="-13"/>
        </w:rPr>
        <w:t> </w:t>
      </w:r>
      <w:r>
        <w:rPr>
          <w:color w:val="231F20"/>
          <w:spacing w:val="-2"/>
        </w:rPr>
        <w:t>le</w:t>
      </w:r>
      <w:r>
        <w:rPr>
          <w:color w:val="231F20"/>
          <w:spacing w:val="-13"/>
        </w:rPr>
        <w:t> </w:t>
      </w:r>
      <w:r>
        <w:rPr>
          <w:color w:val="231F20"/>
          <w:spacing w:val="-2"/>
        </w:rPr>
        <w:t>projet.</w:t>
      </w:r>
      <w:r>
        <w:rPr>
          <w:color w:val="231F20"/>
          <w:spacing w:val="-13"/>
        </w:rPr>
        <w:t> </w:t>
      </w:r>
      <w:r>
        <w:rPr>
          <w:color w:val="231F20"/>
          <w:spacing w:val="-2"/>
        </w:rPr>
        <w:t>La</w:t>
      </w:r>
      <w:r>
        <w:rPr>
          <w:color w:val="231F20"/>
          <w:spacing w:val="-13"/>
        </w:rPr>
        <w:t> </w:t>
      </w:r>
      <w:r>
        <w:rPr>
          <w:color w:val="231F20"/>
          <w:spacing w:val="-2"/>
        </w:rPr>
        <w:t>répression</w:t>
      </w:r>
      <w:r>
        <w:rPr>
          <w:color w:val="231F20"/>
          <w:spacing w:val="-13"/>
        </w:rPr>
        <w:t> </w:t>
      </w:r>
      <w:r>
        <w:rPr>
          <w:color w:val="231F20"/>
          <w:spacing w:val="-2"/>
        </w:rPr>
        <w:t>occasionne </w:t>
      </w:r>
      <w:r>
        <w:rPr>
          <w:color w:val="231F20"/>
        </w:rPr>
        <w:t>plusieurs</w:t>
      </w:r>
      <w:r>
        <w:rPr>
          <w:color w:val="231F20"/>
          <w:spacing w:val="-15"/>
        </w:rPr>
        <w:t> </w:t>
      </w:r>
      <w:r>
        <w:rPr>
          <w:color w:val="231F20"/>
        </w:rPr>
        <w:t>dizaines</w:t>
      </w:r>
      <w:r>
        <w:rPr>
          <w:color w:val="231F20"/>
          <w:spacing w:val="-14"/>
        </w:rPr>
        <w:t> </w:t>
      </w:r>
      <w:r>
        <w:rPr>
          <w:color w:val="231F20"/>
        </w:rPr>
        <w:t>de</w:t>
      </w:r>
      <w:r>
        <w:rPr>
          <w:color w:val="231F20"/>
          <w:spacing w:val="-15"/>
        </w:rPr>
        <w:t> </w:t>
      </w:r>
      <w:r>
        <w:rPr>
          <w:color w:val="231F20"/>
        </w:rPr>
        <w:t>morts.</w:t>
      </w:r>
      <w:r>
        <w:rPr>
          <w:color w:val="231F20"/>
          <w:spacing w:val="-14"/>
        </w:rPr>
        <w:t> </w:t>
      </w:r>
      <w:r>
        <w:rPr>
          <w:color w:val="231F20"/>
        </w:rPr>
        <w:t>Au</w:t>
      </w:r>
      <w:r>
        <w:rPr>
          <w:color w:val="231F20"/>
          <w:spacing w:val="-13"/>
        </w:rPr>
        <w:t> </w:t>
      </w:r>
      <w:r>
        <w:rPr>
          <w:color w:val="231F20"/>
        </w:rPr>
        <w:t>final,</w:t>
      </w:r>
      <w:r>
        <w:rPr>
          <w:color w:val="231F20"/>
          <w:spacing w:val="-13"/>
        </w:rPr>
        <w:t> </w:t>
      </w:r>
      <w:r>
        <w:rPr>
          <w:color w:val="231F20"/>
        </w:rPr>
        <w:t>la</w:t>
      </w:r>
      <w:r>
        <w:rPr>
          <w:color w:val="231F20"/>
          <w:spacing w:val="-15"/>
        </w:rPr>
        <w:t> </w:t>
      </w:r>
      <w:r>
        <w:rPr>
          <w:color w:val="231F20"/>
        </w:rPr>
        <w:t>nouvelle</w:t>
      </w:r>
      <w:r>
        <w:rPr>
          <w:color w:val="231F20"/>
          <w:spacing w:val="-15"/>
        </w:rPr>
        <w:t> </w:t>
      </w:r>
      <w:r>
        <w:rPr>
          <w:color w:val="231F20"/>
        </w:rPr>
        <w:t>Constitution</w:t>
      </w:r>
      <w:r>
        <w:rPr>
          <w:color w:val="231F20"/>
          <w:spacing w:val="-14"/>
        </w:rPr>
        <w:t> </w:t>
      </w:r>
      <w:r>
        <w:rPr>
          <w:color w:val="231F20"/>
        </w:rPr>
        <w:t>est</w:t>
      </w:r>
      <w:r>
        <w:rPr>
          <w:color w:val="231F20"/>
          <w:spacing w:val="-13"/>
        </w:rPr>
        <w:t> </w:t>
      </w:r>
      <w:r>
        <w:rPr>
          <w:color w:val="231F20"/>
        </w:rPr>
        <w:t>votée.</w:t>
      </w:r>
    </w:p>
    <w:p>
      <w:pPr>
        <w:pStyle w:val="BodyText"/>
        <w:spacing w:before="120"/>
        <w:ind w:right="106" w:firstLine="283"/>
      </w:pPr>
      <w:r>
        <w:rPr>
          <w:color w:val="231F20"/>
        </w:rPr>
        <w:t>L'élection présidentielle a lieu le</w:t>
      </w:r>
      <w:r>
        <w:rPr>
          <w:color w:val="231F20"/>
          <w:spacing w:val="-15"/>
        </w:rPr>
        <w:t> </w:t>
      </w:r>
      <w:r>
        <w:rPr>
          <w:color w:val="231F20"/>
        </w:rPr>
        <w:t>18</w:t>
      </w:r>
      <w:r>
        <w:rPr>
          <w:color w:val="231F20"/>
          <w:spacing w:val="-15"/>
        </w:rPr>
        <w:t> </w:t>
      </w:r>
      <w:r>
        <w:rPr>
          <w:color w:val="231F20"/>
        </w:rPr>
        <w:t>octobre</w:t>
      </w:r>
      <w:r>
        <w:rPr>
          <w:color w:val="231F20"/>
          <w:spacing w:val="-15"/>
        </w:rPr>
        <w:t> </w:t>
      </w:r>
      <w:r>
        <w:rPr>
          <w:color w:val="231F20"/>
        </w:rPr>
        <w:t>2020. Alpha Condé</w:t>
      </w:r>
      <w:r>
        <w:rPr>
          <w:color w:val="231F20"/>
          <w:spacing w:val="-15"/>
        </w:rPr>
        <w:t> </w:t>
      </w:r>
      <w:r>
        <w:rPr>
          <w:color w:val="231F20"/>
        </w:rPr>
        <w:t>est </w:t>
      </w:r>
      <w:r>
        <w:rPr>
          <w:color w:val="231F20"/>
          <w:spacing w:val="-2"/>
        </w:rPr>
        <w:t>réélu</w:t>
      </w:r>
      <w:r>
        <w:rPr>
          <w:color w:val="231F20"/>
          <w:spacing w:val="-10"/>
        </w:rPr>
        <w:t> </w:t>
      </w:r>
      <w:r>
        <w:rPr>
          <w:color w:val="231F20"/>
          <w:spacing w:val="-2"/>
        </w:rPr>
        <w:t>dès</w:t>
      </w:r>
      <w:r>
        <w:rPr>
          <w:color w:val="231F20"/>
          <w:spacing w:val="-12"/>
        </w:rPr>
        <w:t> </w:t>
      </w:r>
      <w:r>
        <w:rPr>
          <w:color w:val="231F20"/>
          <w:spacing w:val="-2"/>
        </w:rPr>
        <w:t>le</w:t>
      </w:r>
      <w:r>
        <w:rPr>
          <w:color w:val="231F20"/>
          <w:spacing w:val="-10"/>
        </w:rPr>
        <w:t> </w:t>
      </w:r>
      <w:r>
        <w:rPr>
          <w:color w:val="231F20"/>
          <w:spacing w:val="-2"/>
        </w:rPr>
        <w:t>premier</w:t>
      </w:r>
      <w:r>
        <w:rPr>
          <w:color w:val="231F20"/>
          <w:spacing w:val="-10"/>
        </w:rPr>
        <w:t> </w:t>
      </w:r>
      <w:r>
        <w:rPr>
          <w:color w:val="231F20"/>
          <w:spacing w:val="-2"/>
        </w:rPr>
        <w:t>tour</w:t>
      </w:r>
      <w:r>
        <w:rPr>
          <w:color w:val="231F20"/>
          <w:spacing w:val="-13"/>
        </w:rPr>
        <w:t> </w:t>
      </w:r>
      <w:r>
        <w:rPr>
          <w:color w:val="231F20"/>
          <w:spacing w:val="-2"/>
        </w:rPr>
        <w:t>pour</w:t>
      </w:r>
      <w:r>
        <w:rPr>
          <w:color w:val="231F20"/>
          <w:spacing w:val="-10"/>
        </w:rPr>
        <w:t> </w:t>
      </w:r>
      <w:r>
        <w:rPr>
          <w:color w:val="231F20"/>
          <w:spacing w:val="-2"/>
        </w:rPr>
        <w:t>un</w:t>
      </w:r>
      <w:r>
        <w:rPr>
          <w:color w:val="231F20"/>
          <w:spacing w:val="-12"/>
        </w:rPr>
        <w:t> </w:t>
      </w:r>
      <w:r>
        <w:rPr>
          <w:color w:val="231F20"/>
          <w:spacing w:val="-2"/>
        </w:rPr>
        <w:t>troisième</w:t>
      </w:r>
      <w:r>
        <w:rPr>
          <w:color w:val="231F20"/>
          <w:spacing w:val="-12"/>
        </w:rPr>
        <w:t> </w:t>
      </w:r>
      <w:r>
        <w:rPr>
          <w:color w:val="231F20"/>
          <w:spacing w:val="-2"/>
        </w:rPr>
        <w:t>mandat.</w:t>
      </w:r>
      <w:r>
        <w:rPr>
          <w:color w:val="231F20"/>
          <w:spacing w:val="-12"/>
        </w:rPr>
        <w:t> </w:t>
      </w:r>
      <w:r>
        <w:rPr>
          <w:color w:val="231F20"/>
          <w:spacing w:val="-2"/>
        </w:rPr>
        <w:t>Le</w:t>
      </w:r>
      <w:r>
        <w:rPr>
          <w:color w:val="231F20"/>
          <w:spacing w:val="-9"/>
        </w:rPr>
        <w:t> </w:t>
      </w:r>
      <w:r>
        <w:rPr>
          <w:color w:val="231F20"/>
          <w:spacing w:val="-2"/>
        </w:rPr>
        <w:t>scrutin</w:t>
      </w:r>
      <w:r>
        <w:rPr>
          <w:color w:val="231F20"/>
          <w:spacing w:val="-9"/>
        </w:rPr>
        <w:t> </w:t>
      </w:r>
      <w:r>
        <w:rPr>
          <w:color w:val="231F20"/>
          <w:spacing w:val="-2"/>
        </w:rPr>
        <w:t>donne</w:t>
      </w:r>
      <w:r>
        <w:rPr>
          <w:color w:val="231F20"/>
          <w:spacing w:val="-10"/>
        </w:rPr>
        <w:t> </w:t>
      </w:r>
      <w:r>
        <w:rPr>
          <w:color w:val="231F20"/>
          <w:spacing w:val="-2"/>
        </w:rPr>
        <w:t>lieu </w:t>
      </w:r>
      <w:r>
        <w:rPr>
          <w:color w:val="231F20"/>
        </w:rPr>
        <w:t>à d'importantes manifestations anti gouvernementales dès la fin des opérations de vote.</w:t>
      </w:r>
    </w:p>
    <w:p>
      <w:pPr>
        <w:pStyle w:val="BodyText"/>
        <w:spacing w:before="120"/>
        <w:ind w:right="109" w:firstLine="283"/>
      </w:pPr>
      <w:r>
        <w:rPr>
          <w:color w:val="231F20"/>
        </w:rPr>
        <w:t>Le</w:t>
      </w:r>
      <w:r>
        <w:rPr>
          <w:color w:val="231F20"/>
          <w:spacing w:val="-15"/>
        </w:rPr>
        <w:t> </w:t>
      </w:r>
      <w:r>
        <w:rPr>
          <w:color w:val="231F20"/>
        </w:rPr>
        <w:t>24 octobre, les résultats officiels de la Commission électorale proclament Alpha</w:t>
      </w:r>
      <w:r>
        <w:rPr>
          <w:color w:val="231F20"/>
          <w:spacing w:val="-2"/>
        </w:rPr>
        <w:t> </w:t>
      </w:r>
      <w:r>
        <w:rPr>
          <w:color w:val="231F20"/>
        </w:rPr>
        <w:t>Condé</w:t>
      </w:r>
      <w:r>
        <w:rPr>
          <w:color w:val="231F20"/>
          <w:spacing w:val="-2"/>
        </w:rPr>
        <w:t> </w:t>
      </w:r>
      <w:r>
        <w:rPr>
          <w:color w:val="231F20"/>
        </w:rPr>
        <w:t>vainqueur</w:t>
      </w:r>
      <w:r>
        <w:rPr>
          <w:color w:val="231F20"/>
          <w:spacing w:val="-3"/>
        </w:rPr>
        <w:t> </w:t>
      </w:r>
      <w:r>
        <w:rPr>
          <w:color w:val="231F20"/>
        </w:rPr>
        <w:t>avec 59 %</w:t>
      </w:r>
      <w:r>
        <w:rPr>
          <w:color w:val="231F20"/>
          <w:spacing w:val="-3"/>
        </w:rPr>
        <w:t> </w:t>
      </w:r>
      <w:r>
        <w:rPr>
          <w:color w:val="231F20"/>
        </w:rPr>
        <w:t>des</w:t>
      </w:r>
      <w:r>
        <w:rPr>
          <w:color w:val="231F20"/>
          <w:spacing w:val="-2"/>
        </w:rPr>
        <w:t> </w:t>
      </w:r>
      <w:r>
        <w:rPr>
          <w:color w:val="231F20"/>
        </w:rPr>
        <w:t>voix.</w:t>
      </w:r>
    </w:p>
    <w:p>
      <w:pPr>
        <w:pStyle w:val="BodyText"/>
        <w:spacing w:before="120"/>
        <w:ind w:right="105" w:firstLine="283"/>
      </w:pPr>
      <w:r>
        <w:rPr>
          <w:color w:val="231F20"/>
          <w:spacing w:val="-2"/>
        </w:rPr>
        <w:t>Le</w:t>
      </w:r>
      <w:r>
        <w:rPr>
          <w:color w:val="231F20"/>
          <w:spacing w:val="-13"/>
        </w:rPr>
        <w:t> </w:t>
      </w:r>
      <w:r>
        <w:rPr>
          <w:color w:val="231F20"/>
          <w:spacing w:val="-2"/>
        </w:rPr>
        <w:t>7</w:t>
      </w:r>
      <w:r>
        <w:rPr>
          <w:color w:val="231F20"/>
          <w:spacing w:val="-13"/>
        </w:rPr>
        <w:t> </w:t>
      </w:r>
      <w:r>
        <w:rPr>
          <w:color w:val="231F20"/>
          <w:spacing w:val="-2"/>
        </w:rPr>
        <w:t>novembre,</w:t>
      </w:r>
      <w:r>
        <w:rPr>
          <w:color w:val="231F20"/>
          <w:spacing w:val="-13"/>
        </w:rPr>
        <w:t> </w:t>
      </w:r>
      <w:r>
        <w:rPr>
          <w:color w:val="231F20"/>
          <w:spacing w:val="-2"/>
        </w:rPr>
        <w:t>la</w:t>
      </w:r>
      <w:r>
        <w:rPr>
          <w:color w:val="231F20"/>
          <w:spacing w:val="-13"/>
        </w:rPr>
        <w:t> </w:t>
      </w:r>
      <w:r>
        <w:rPr>
          <w:color w:val="231F20"/>
          <w:spacing w:val="-2"/>
        </w:rPr>
        <w:t>Cour</w:t>
      </w:r>
      <w:r>
        <w:rPr>
          <w:color w:val="231F20"/>
          <w:spacing w:val="-12"/>
        </w:rPr>
        <w:t> </w:t>
      </w:r>
      <w:r>
        <w:rPr>
          <w:color w:val="231F20"/>
          <w:spacing w:val="-2"/>
        </w:rPr>
        <w:t>constitutionnelle</w:t>
      </w:r>
      <w:r>
        <w:rPr>
          <w:color w:val="231F20"/>
          <w:spacing w:val="-11"/>
        </w:rPr>
        <w:t> </w:t>
      </w:r>
      <w:r>
        <w:rPr>
          <w:color w:val="231F20"/>
          <w:spacing w:val="-2"/>
        </w:rPr>
        <w:t>rejette</w:t>
      </w:r>
      <w:r>
        <w:rPr>
          <w:color w:val="231F20"/>
          <w:spacing w:val="-13"/>
        </w:rPr>
        <w:t> </w:t>
      </w:r>
      <w:r>
        <w:rPr>
          <w:color w:val="231F20"/>
          <w:spacing w:val="-2"/>
        </w:rPr>
        <w:t>les</w:t>
      </w:r>
      <w:r>
        <w:rPr>
          <w:color w:val="231F20"/>
          <w:spacing w:val="-13"/>
        </w:rPr>
        <w:t> </w:t>
      </w:r>
      <w:r>
        <w:rPr>
          <w:color w:val="231F20"/>
          <w:spacing w:val="-2"/>
        </w:rPr>
        <w:t>recours</w:t>
      </w:r>
      <w:r>
        <w:rPr>
          <w:color w:val="231F20"/>
          <w:spacing w:val="-12"/>
        </w:rPr>
        <w:t> </w:t>
      </w:r>
      <w:r>
        <w:rPr>
          <w:color w:val="231F20"/>
          <w:spacing w:val="-2"/>
        </w:rPr>
        <w:t>des</w:t>
      </w:r>
      <w:r>
        <w:rPr>
          <w:color w:val="231F20"/>
          <w:spacing w:val="-13"/>
        </w:rPr>
        <w:t> </w:t>
      </w:r>
      <w:r>
        <w:rPr>
          <w:color w:val="231F20"/>
          <w:spacing w:val="-2"/>
        </w:rPr>
        <w:t>quatre </w:t>
      </w:r>
      <w:r>
        <w:rPr>
          <w:color w:val="231F20"/>
        </w:rPr>
        <w:t>autres</w:t>
      </w:r>
      <w:r>
        <w:rPr>
          <w:color w:val="231F20"/>
          <w:spacing w:val="-2"/>
        </w:rPr>
        <w:t> </w:t>
      </w:r>
      <w:r>
        <w:rPr>
          <w:color w:val="231F20"/>
        </w:rPr>
        <w:t>candidats,</w:t>
      </w:r>
      <w:r>
        <w:rPr>
          <w:color w:val="231F20"/>
          <w:spacing w:val="-2"/>
        </w:rPr>
        <w:t> </w:t>
      </w:r>
      <w:r>
        <w:rPr>
          <w:color w:val="231F20"/>
        </w:rPr>
        <w:t>dont</w:t>
      </w:r>
      <w:r>
        <w:rPr>
          <w:color w:val="231F20"/>
          <w:spacing w:val="-4"/>
        </w:rPr>
        <w:t> </w:t>
      </w:r>
      <w:r>
        <w:rPr>
          <w:color w:val="231F20"/>
        </w:rPr>
        <w:t>Cellou</w:t>
      </w:r>
      <w:r>
        <w:rPr>
          <w:color w:val="231F20"/>
          <w:spacing w:val="-5"/>
        </w:rPr>
        <w:t> </w:t>
      </w:r>
      <w:r>
        <w:rPr>
          <w:color w:val="231F20"/>
        </w:rPr>
        <w:t>Dalein</w:t>
      </w:r>
      <w:r>
        <w:rPr>
          <w:color w:val="231F20"/>
          <w:spacing w:val="-2"/>
        </w:rPr>
        <w:t> </w:t>
      </w:r>
      <w:r>
        <w:rPr>
          <w:color w:val="231F20"/>
        </w:rPr>
        <w:t>Diallo</w:t>
      </w:r>
      <w:r>
        <w:rPr>
          <w:color w:val="231F20"/>
          <w:spacing w:val="-5"/>
        </w:rPr>
        <w:t> </w:t>
      </w:r>
      <w:r>
        <w:rPr>
          <w:color w:val="231F20"/>
        </w:rPr>
        <w:t>crédité</w:t>
      </w:r>
      <w:r>
        <w:rPr>
          <w:color w:val="231F20"/>
          <w:spacing w:val="-3"/>
        </w:rPr>
        <w:t> </w:t>
      </w:r>
      <w:r>
        <w:rPr>
          <w:color w:val="231F20"/>
        </w:rPr>
        <w:t>de</w:t>
      </w:r>
      <w:r>
        <w:rPr>
          <w:color w:val="231F20"/>
          <w:spacing w:val="-3"/>
        </w:rPr>
        <w:t> </w:t>
      </w:r>
      <w:r>
        <w:rPr>
          <w:color w:val="231F20"/>
        </w:rPr>
        <w:t>33%</w:t>
      </w:r>
      <w:r>
        <w:rPr>
          <w:color w:val="231F20"/>
          <w:spacing w:val="-5"/>
        </w:rPr>
        <w:t> </w:t>
      </w:r>
      <w:r>
        <w:rPr>
          <w:color w:val="231F20"/>
        </w:rPr>
        <w:t>des</w:t>
      </w:r>
      <w:r>
        <w:rPr>
          <w:color w:val="231F20"/>
          <w:spacing w:val="-3"/>
        </w:rPr>
        <w:t> </w:t>
      </w:r>
      <w:r>
        <w:rPr>
          <w:color w:val="231F20"/>
        </w:rPr>
        <w:t>voix,</w:t>
      </w:r>
      <w:r>
        <w:rPr>
          <w:color w:val="231F20"/>
          <w:spacing w:val="-2"/>
        </w:rPr>
        <w:t> </w:t>
      </w:r>
      <w:r>
        <w:rPr>
          <w:color w:val="231F20"/>
        </w:rPr>
        <w:t>et proclame Alpha</w:t>
      </w:r>
      <w:r>
        <w:rPr>
          <w:color w:val="231F20"/>
          <w:spacing w:val="-1"/>
        </w:rPr>
        <w:t> </w:t>
      </w:r>
      <w:r>
        <w:rPr>
          <w:color w:val="231F20"/>
        </w:rPr>
        <w:t>Condé élu pour un troisième</w:t>
      </w:r>
      <w:r>
        <w:rPr>
          <w:color w:val="231F20"/>
          <w:spacing w:val="-1"/>
        </w:rPr>
        <w:t> </w:t>
      </w:r>
      <w:r>
        <w:rPr>
          <w:color w:val="231F20"/>
        </w:rPr>
        <w:t>mandat.</w:t>
      </w:r>
      <w:r>
        <w:rPr>
          <w:color w:val="231F20"/>
          <w:spacing w:val="-1"/>
        </w:rPr>
        <w:t> </w:t>
      </w:r>
      <w:r>
        <w:rPr>
          <w:color w:val="231F20"/>
        </w:rPr>
        <w:t>Ce dernier prête serment le 16 décembre.</w:t>
      </w:r>
    </w:p>
    <w:p>
      <w:pPr>
        <w:pStyle w:val="BodyText"/>
        <w:spacing w:before="121"/>
        <w:ind w:right="103" w:firstLine="283"/>
      </w:pPr>
      <w:r>
        <w:rPr>
          <w:color w:val="231F20"/>
        </w:rPr>
        <w:t>Le</w:t>
      </w:r>
      <w:r>
        <w:rPr>
          <w:color w:val="231F20"/>
          <w:spacing w:val="80"/>
        </w:rPr>
        <w:t> </w:t>
      </w:r>
      <w:r>
        <w:rPr>
          <w:color w:val="231F20"/>
        </w:rPr>
        <w:t>5</w:t>
      </w:r>
      <w:r>
        <w:rPr>
          <w:color w:val="231F20"/>
          <w:spacing w:val="80"/>
        </w:rPr>
        <w:t> </w:t>
      </w:r>
      <w:r>
        <w:rPr>
          <w:color w:val="231F20"/>
        </w:rPr>
        <w:t>septembre</w:t>
      </w:r>
      <w:r>
        <w:rPr>
          <w:color w:val="231F20"/>
          <w:spacing w:val="-14"/>
        </w:rPr>
        <w:t> </w:t>
      </w:r>
      <w:r>
        <w:rPr>
          <w:color w:val="231F20"/>
        </w:rPr>
        <w:t>2021,</w:t>
      </w:r>
      <w:r>
        <w:rPr>
          <w:color w:val="231F20"/>
          <w:spacing w:val="80"/>
        </w:rPr>
        <w:t> </w:t>
      </w:r>
      <w:r>
        <w:rPr>
          <w:color w:val="231F20"/>
        </w:rPr>
        <w:t>une</w:t>
      </w:r>
      <w:r>
        <w:rPr>
          <w:color w:val="231F20"/>
          <w:spacing w:val="-13"/>
        </w:rPr>
        <w:t> </w:t>
      </w:r>
      <w:r>
        <w:rPr>
          <w:color w:val="231F20"/>
        </w:rPr>
        <w:t>unité</w:t>
      </w:r>
      <w:r>
        <w:rPr>
          <w:color w:val="231F20"/>
          <w:spacing w:val="80"/>
        </w:rPr>
        <w:t> </w:t>
      </w:r>
      <w:r>
        <w:rPr>
          <w:color w:val="231F20"/>
        </w:rPr>
        <w:t>d'élite</w:t>
      </w:r>
      <w:r>
        <w:rPr>
          <w:color w:val="231F20"/>
          <w:spacing w:val="-14"/>
        </w:rPr>
        <w:t> </w:t>
      </w:r>
      <w:r>
        <w:rPr>
          <w:color w:val="231F20"/>
        </w:rPr>
        <w:t>de</w:t>
      </w:r>
      <w:r>
        <w:rPr>
          <w:color w:val="231F20"/>
          <w:spacing w:val="80"/>
        </w:rPr>
        <w:t> </w:t>
      </w:r>
      <w:r>
        <w:rPr>
          <w:color w:val="231F20"/>
        </w:rPr>
        <w:t>l'Armée</w:t>
      </w:r>
      <w:r>
        <w:rPr>
          <w:color w:val="231F20"/>
          <w:spacing w:val="80"/>
        </w:rPr>
        <w:t> </w:t>
      </w:r>
      <w:r>
        <w:rPr>
          <w:color w:val="231F20"/>
        </w:rPr>
        <w:t>guinéenne,</w:t>
      </w:r>
      <w:r>
        <w:rPr>
          <w:color w:val="231F20"/>
          <w:spacing w:val="40"/>
        </w:rPr>
        <w:t> </w:t>
      </w:r>
      <w:r>
        <w:rPr>
          <w:color w:val="231F20"/>
        </w:rPr>
        <w:t>le</w:t>
      </w:r>
      <w:r>
        <w:rPr>
          <w:color w:val="231F20"/>
          <w:spacing w:val="-15"/>
        </w:rPr>
        <w:t> </w:t>
      </w:r>
      <w:r>
        <w:rPr>
          <w:color w:val="231F20"/>
        </w:rPr>
        <w:t>Groupement</w:t>
      </w:r>
      <w:r>
        <w:rPr>
          <w:color w:val="231F20"/>
          <w:spacing w:val="-15"/>
        </w:rPr>
        <w:t> </w:t>
      </w:r>
      <w:r>
        <w:rPr>
          <w:color w:val="231F20"/>
        </w:rPr>
        <w:t>des</w:t>
      </w:r>
      <w:r>
        <w:rPr>
          <w:color w:val="231F20"/>
          <w:spacing w:val="-15"/>
        </w:rPr>
        <w:t> </w:t>
      </w:r>
      <w:r>
        <w:rPr>
          <w:color w:val="231F20"/>
        </w:rPr>
        <w:t>forces</w:t>
      </w:r>
      <w:r>
        <w:rPr>
          <w:color w:val="231F20"/>
          <w:spacing w:val="-15"/>
        </w:rPr>
        <w:t> </w:t>
      </w:r>
      <w:r>
        <w:rPr>
          <w:color w:val="231F20"/>
        </w:rPr>
        <w:t>spéciales</w:t>
      </w:r>
      <w:r>
        <w:rPr>
          <w:color w:val="231F20"/>
          <w:spacing w:val="-15"/>
        </w:rPr>
        <w:t> </w:t>
      </w:r>
      <w:r>
        <w:rPr>
          <w:color w:val="231F20"/>
        </w:rPr>
        <w:t>(GFS),</w:t>
      </w:r>
      <w:r>
        <w:rPr>
          <w:color w:val="231F20"/>
          <w:spacing w:val="-15"/>
        </w:rPr>
        <w:t> </w:t>
      </w:r>
      <w:r>
        <w:rPr>
          <w:color w:val="231F20"/>
        </w:rPr>
        <w:t>sous</w:t>
      </w:r>
      <w:r>
        <w:rPr>
          <w:color w:val="231F20"/>
          <w:spacing w:val="-15"/>
        </w:rPr>
        <w:t> </w:t>
      </w:r>
      <w:r>
        <w:rPr>
          <w:color w:val="231F20"/>
        </w:rPr>
        <w:t>la</w:t>
      </w:r>
      <w:r>
        <w:rPr>
          <w:color w:val="231F20"/>
          <w:spacing w:val="-15"/>
        </w:rPr>
        <w:t> </w:t>
      </w:r>
      <w:r>
        <w:rPr>
          <w:color w:val="231F20"/>
        </w:rPr>
        <w:t>direction</w:t>
      </w:r>
      <w:r>
        <w:rPr>
          <w:color w:val="231F20"/>
          <w:spacing w:val="-15"/>
        </w:rPr>
        <w:t> </w:t>
      </w:r>
      <w:r>
        <w:rPr>
          <w:color w:val="231F20"/>
        </w:rPr>
        <w:t>de</w:t>
      </w:r>
      <w:r>
        <w:rPr>
          <w:color w:val="231F20"/>
          <w:spacing w:val="-15"/>
        </w:rPr>
        <w:t> </w:t>
      </w:r>
      <w:r>
        <w:rPr>
          <w:color w:val="231F20"/>
        </w:rPr>
        <w:t>son</w:t>
      </w:r>
      <w:r>
        <w:rPr>
          <w:color w:val="231F20"/>
          <w:spacing w:val="-15"/>
        </w:rPr>
        <w:t> </w:t>
      </w:r>
      <w:r>
        <w:rPr>
          <w:color w:val="231F20"/>
        </w:rPr>
        <w:t>chef, le</w:t>
      </w:r>
      <w:r>
        <w:rPr>
          <w:color w:val="231F20"/>
          <w:spacing w:val="40"/>
        </w:rPr>
        <w:t> </w:t>
      </w:r>
      <w:r>
        <w:rPr>
          <w:color w:val="231F20"/>
        </w:rPr>
        <w:t>colonel</w:t>
      </w:r>
      <w:r>
        <w:rPr>
          <w:color w:val="231F20"/>
          <w:spacing w:val="-15"/>
        </w:rPr>
        <w:t> </w:t>
      </w:r>
      <w:r>
        <w:rPr>
          <w:color w:val="231F20"/>
        </w:rPr>
        <w:t>Mamadi</w:t>
      </w:r>
      <w:r>
        <w:rPr>
          <w:color w:val="231F20"/>
          <w:spacing w:val="40"/>
        </w:rPr>
        <w:t> </w:t>
      </w:r>
      <w:r>
        <w:rPr>
          <w:color w:val="231F20"/>
        </w:rPr>
        <w:t>Doumbouya,</w:t>
      </w:r>
      <w:r>
        <w:rPr>
          <w:color w:val="231F20"/>
          <w:spacing w:val="-13"/>
        </w:rPr>
        <w:t> </w:t>
      </w:r>
      <w:r>
        <w:rPr>
          <w:color w:val="231F20"/>
        </w:rPr>
        <w:t>s'empare</w:t>
      </w:r>
      <w:r>
        <w:rPr>
          <w:color w:val="231F20"/>
          <w:spacing w:val="40"/>
        </w:rPr>
        <w:t> </w:t>
      </w:r>
      <w:r>
        <w:rPr>
          <w:color w:val="231F20"/>
        </w:rPr>
        <w:t>du</w:t>
      </w:r>
      <w:r>
        <w:rPr>
          <w:color w:val="231F20"/>
          <w:spacing w:val="-14"/>
        </w:rPr>
        <w:t> </w:t>
      </w:r>
      <w:r>
        <w:rPr>
          <w:color w:val="231F20"/>
        </w:rPr>
        <w:t>palais</w:t>
      </w:r>
      <w:r>
        <w:rPr>
          <w:color w:val="231F20"/>
          <w:spacing w:val="40"/>
        </w:rPr>
        <w:t> </w:t>
      </w:r>
      <w:r>
        <w:rPr>
          <w:color w:val="231F20"/>
        </w:rPr>
        <w:t>présidentiel</w:t>
      </w:r>
      <w:r>
        <w:rPr>
          <w:color w:val="231F20"/>
          <w:spacing w:val="-13"/>
        </w:rPr>
        <w:t> </w:t>
      </w:r>
      <w:r>
        <w:rPr>
          <w:color w:val="231F20"/>
        </w:rPr>
        <w:t>et renverse le</w:t>
      </w:r>
      <w:r>
        <w:rPr>
          <w:color w:val="231F20"/>
          <w:spacing w:val="-15"/>
        </w:rPr>
        <w:t> </w:t>
      </w:r>
      <w:r>
        <w:rPr>
          <w:color w:val="231F20"/>
        </w:rPr>
        <w:t>président,</w:t>
      </w:r>
      <w:r>
        <w:rPr>
          <w:color w:val="231F20"/>
          <w:spacing w:val="-15"/>
        </w:rPr>
        <w:t> </w:t>
      </w:r>
      <w:r>
        <w:rPr>
          <w:color w:val="231F20"/>
        </w:rPr>
        <w:t>Alpha Condé. La junte militaire</w:t>
      </w:r>
      <w:r>
        <w:rPr>
          <w:color w:val="231F20"/>
          <w:spacing w:val="-15"/>
        </w:rPr>
        <w:t> </w:t>
      </w:r>
      <w:r>
        <w:rPr>
          <w:color w:val="231F20"/>
        </w:rPr>
        <w:t>prend le nom de Comité national du rassemblement pour le développement</w:t>
      </w:r>
      <w:r>
        <w:rPr>
          <w:color w:val="231F20"/>
          <w:spacing w:val="-15"/>
        </w:rPr>
        <w:t> </w:t>
      </w:r>
      <w:r>
        <w:rPr>
          <w:color w:val="231F20"/>
        </w:rPr>
        <w:t>(CNRD) et porte à</w:t>
      </w:r>
      <w:r>
        <w:rPr>
          <w:color w:val="231F20"/>
          <w:spacing w:val="-3"/>
        </w:rPr>
        <w:t> </w:t>
      </w:r>
      <w:r>
        <w:rPr>
          <w:color w:val="231F20"/>
        </w:rPr>
        <w:t>la tête</w:t>
      </w:r>
      <w:r>
        <w:rPr>
          <w:color w:val="231F20"/>
          <w:spacing w:val="-4"/>
        </w:rPr>
        <w:t> </w:t>
      </w:r>
      <w:r>
        <w:rPr>
          <w:color w:val="231F20"/>
        </w:rPr>
        <w:t>du</w:t>
      </w:r>
      <w:r>
        <w:rPr>
          <w:color w:val="231F20"/>
          <w:spacing w:val="-3"/>
        </w:rPr>
        <w:t> </w:t>
      </w:r>
      <w:r>
        <w:rPr>
          <w:color w:val="231F20"/>
        </w:rPr>
        <w:t>pays,</w:t>
      </w:r>
      <w:r>
        <w:rPr>
          <w:color w:val="231F20"/>
          <w:spacing w:val="-3"/>
        </w:rPr>
        <w:t> </w:t>
      </w:r>
      <w:r>
        <w:rPr>
          <w:color w:val="231F20"/>
        </w:rPr>
        <w:t>le</w:t>
      </w:r>
      <w:r>
        <w:rPr>
          <w:color w:val="231F20"/>
          <w:spacing w:val="-7"/>
        </w:rPr>
        <w:t> </w:t>
      </w:r>
      <w:r>
        <w:rPr>
          <w:color w:val="231F20"/>
        </w:rPr>
        <w:t>colonel</w:t>
      </w:r>
      <w:r>
        <w:rPr>
          <w:color w:val="231F20"/>
          <w:spacing w:val="-2"/>
        </w:rPr>
        <w:t> </w:t>
      </w:r>
      <w:r>
        <w:rPr>
          <w:color w:val="231F20"/>
        </w:rPr>
        <w:t>Mamadi</w:t>
      </w:r>
      <w:r>
        <w:rPr>
          <w:color w:val="231F20"/>
          <w:spacing w:val="-1"/>
        </w:rPr>
        <w:t> </w:t>
      </w:r>
      <w:r>
        <w:rPr>
          <w:color w:val="231F20"/>
        </w:rPr>
        <w:t>Doumbouya,</w:t>
      </w:r>
    </w:p>
    <w:p>
      <w:pPr>
        <w:pStyle w:val="BodyText"/>
        <w:spacing w:before="120"/>
        <w:ind w:right="105" w:firstLine="283"/>
      </w:pPr>
      <w:r>
        <w:rPr>
          <w:color w:val="231F20"/>
        </w:rPr>
        <w:t>La</w:t>
      </w:r>
      <w:r>
        <w:rPr>
          <w:color w:val="231F20"/>
          <w:spacing w:val="-4"/>
        </w:rPr>
        <w:t> </w:t>
      </w:r>
      <w:r>
        <w:rPr>
          <w:color w:val="231F20"/>
        </w:rPr>
        <w:t>Guinée</w:t>
      </w:r>
      <w:r>
        <w:rPr>
          <w:color w:val="231F20"/>
          <w:spacing w:val="-6"/>
        </w:rPr>
        <w:t> </w:t>
      </w:r>
      <w:r>
        <w:rPr>
          <w:color w:val="231F20"/>
        </w:rPr>
        <w:t>possède</w:t>
      </w:r>
      <w:r>
        <w:rPr>
          <w:color w:val="231F20"/>
          <w:spacing w:val="-4"/>
        </w:rPr>
        <w:t> </w:t>
      </w:r>
      <w:r>
        <w:rPr>
          <w:color w:val="231F20"/>
        </w:rPr>
        <w:t>de</w:t>
      </w:r>
      <w:r>
        <w:rPr>
          <w:color w:val="231F20"/>
          <w:spacing w:val="-6"/>
        </w:rPr>
        <w:t> </w:t>
      </w:r>
      <w:r>
        <w:rPr>
          <w:color w:val="231F20"/>
        </w:rPr>
        <w:t>nombreuses</w:t>
      </w:r>
      <w:r>
        <w:rPr>
          <w:color w:val="231F20"/>
          <w:spacing w:val="-5"/>
        </w:rPr>
        <w:t> </w:t>
      </w:r>
      <w:r>
        <w:rPr>
          <w:color w:val="231F20"/>
        </w:rPr>
        <w:t>ressources,</w:t>
      </w:r>
      <w:r>
        <w:rPr>
          <w:color w:val="231F20"/>
          <w:spacing w:val="-6"/>
        </w:rPr>
        <w:t> </w:t>
      </w:r>
      <w:r>
        <w:rPr>
          <w:color w:val="231F20"/>
        </w:rPr>
        <w:t>notamment</w:t>
      </w:r>
      <w:r>
        <w:rPr>
          <w:color w:val="231F20"/>
          <w:spacing w:val="-5"/>
        </w:rPr>
        <w:t> </w:t>
      </w:r>
      <w:r>
        <w:rPr>
          <w:color w:val="231F20"/>
        </w:rPr>
        <w:t>minières. Au plan mondial, le pays est le premier en réserves de bauxite, le </w:t>
      </w:r>
      <w:r>
        <w:rPr>
          <w:color w:val="231F20"/>
          <w:spacing w:val="-2"/>
        </w:rPr>
        <w:t>deuxième</w:t>
      </w:r>
      <w:r>
        <w:rPr>
          <w:color w:val="231F20"/>
          <w:spacing w:val="-13"/>
        </w:rPr>
        <w:t> </w:t>
      </w:r>
      <w:r>
        <w:rPr>
          <w:color w:val="231F20"/>
          <w:spacing w:val="-2"/>
        </w:rPr>
        <w:t>après</w:t>
      </w:r>
      <w:r>
        <w:rPr>
          <w:color w:val="231F20"/>
          <w:spacing w:val="-13"/>
        </w:rPr>
        <w:t> </w:t>
      </w:r>
      <w:r>
        <w:rPr>
          <w:color w:val="231F20"/>
          <w:spacing w:val="-2"/>
        </w:rPr>
        <w:t>l’Australie,</w:t>
      </w:r>
      <w:r>
        <w:rPr>
          <w:color w:val="231F20"/>
          <w:spacing w:val="-13"/>
        </w:rPr>
        <w:t> </w:t>
      </w:r>
      <w:r>
        <w:rPr>
          <w:color w:val="231F20"/>
          <w:spacing w:val="-2"/>
        </w:rPr>
        <w:t>pour</w:t>
      </w:r>
      <w:r>
        <w:rPr>
          <w:color w:val="231F20"/>
          <w:spacing w:val="-13"/>
        </w:rPr>
        <w:t> </w:t>
      </w:r>
      <w:r>
        <w:rPr>
          <w:color w:val="231F20"/>
          <w:spacing w:val="-2"/>
        </w:rPr>
        <w:t>la</w:t>
      </w:r>
      <w:r>
        <w:rPr>
          <w:color w:val="231F20"/>
          <w:spacing w:val="-13"/>
        </w:rPr>
        <w:t> </w:t>
      </w:r>
      <w:r>
        <w:rPr>
          <w:color w:val="231F20"/>
          <w:spacing w:val="-2"/>
        </w:rPr>
        <w:t>production.</w:t>
      </w:r>
      <w:r>
        <w:rPr>
          <w:color w:val="231F20"/>
          <w:spacing w:val="-13"/>
        </w:rPr>
        <w:t> </w:t>
      </w:r>
      <w:r>
        <w:rPr>
          <w:color w:val="231F20"/>
          <w:spacing w:val="-2"/>
        </w:rPr>
        <w:t>Il</w:t>
      </w:r>
      <w:r>
        <w:rPr>
          <w:color w:val="231F20"/>
          <w:spacing w:val="-13"/>
        </w:rPr>
        <w:t> </w:t>
      </w:r>
      <w:r>
        <w:rPr>
          <w:color w:val="231F20"/>
          <w:spacing w:val="-2"/>
        </w:rPr>
        <w:t>dispose</w:t>
      </w:r>
      <w:r>
        <w:rPr>
          <w:color w:val="231F20"/>
          <w:spacing w:val="-13"/>
        </w:rPr>
        <w:t> </w:t>
      </w:r>
      <w:r>
        <w:rPr>
          <w:color w:val="231F20"/>
          <w:spacing w:val="-2"/>
        </w:rPr>
        <w:t>également</w:t>
      </w:r>
      <w:r>
        <w:rPr>
          <w:color w:val="231F20"/>
          <w:spacing w:val="-13"/>
        </w:rPr>
        <w:t> </w:t>
      </w:r>
      <w:r>
        <w:rPr>
          <w:color w:val="231F20"/>
          <w:spacing w:val="-2"/>
        </w:rPr>
        <w:t>d’or </w:t>
      </w:r>
      <w:r>
        <w:rPr>
          <w:color w:val="231F20"/>
          <w:spacing w:val="-6"/>
        </w:rPr>
        <w:t>en Haute Guinée, de fer,</w:t>
      </w:r>
      <w:r>
        <w:rPr>
          <w:color w:val="231F20"/>
          <w:spacing w:val="-7"/>
        </w:rPr>
        <w:t> </w:t>
      </w:r>
      <w:r>
        <w:rPr>
          <w:color w:val="231F20"/>
          <w:spacing w:val="-6"/>
        </w:rPr>
        <w:t>de diamants,</w:t>
      </w:r>
      <w:r>
        <w:rPr>
          <w:color w:val="231F20"/>
          <w:spacing w:val="-7"/>
        </w:rPr>
        <w:t> </w:t>
      </w:r>
      <w:r>
        <w:rPr>
          <w:color w:val="231F20"/>
          <w:spacing w:val="-6"/>
        </w:rPr>
        <w:t>de pétrole et d’uranium. Le potentiel </w:t>
      </w:r>
      <w:r>
        <w:rPr>
          <w:color w:val="231F20"/>
        </w:rPr>
        <w:t>en</w:t>
      </w:r>
      <w:r>
        <w:rPr>
          <w:color w:val="231F20"/>
          <w:spacing w:val="-12"/>
        </w:rPr>
        <w:t> </w:t>
      </w:r>
      <w:r>
        <w:rPr>
          <w:color w:val="231F20"/>
        </w:rPr>
        <w:t>production</w:t>
      </w:r>
      <w:r>
        <w:rPr>
          <w:color w:val="231F20"/>
          <w:spacing w:val="-12"/>
        </w:rPr>
        <w:t> </w:t>
      </w:r>
      <w:r>
        <w:rPr>
          <w:color w:val="231F20"/>
        </w:rPr>
        <w:t>hydro-électrique</w:t>
      </w:r>
      <w:r>
        <w:rPr>
          <w:color w:val="231F20"/>
          <w:spacing w:val="-12"/>
        </w:rPr>
        <w:t> </w:t>
      </w:r>
      <w:r>
        <w:rPr>
          <w:color w:val="231F20"/>
        </w:rPr>
        <w:t>est</w:t>
      </w:r>
      <w:r>
        <w:rPr>
          <w:color w:val="231F20"/>
          <w:spacing w:val="-12"/>
        </w:rPr>
        <w:t> </w:t>
      </w:r>
      <w:r>
        <w:rPr>
          <w:color w:val="231F20"/>
        </w:rPr>
        <w:t>considérable</w:t>
      </w:r>
      <w:r>
        <w:rPr>
          <w:color w:val="231F20"/>
          <w:spacing w:val="-12"/>
        </w:rPr>
        <w:t> </w:t>
      </w:r>
      <w:r>
        <w:rPr>
          <w:color w:val="231F20"/>
        </w:rPr>
        <w:t>en</w:t>
      </w:r>
      <w:r>
        <w:rPr>
          <w:color w:val="231F20"/>
          <w:spacing w:val="-12"/>
        </w:rPr>
        <w:t> </w:t>
      </w:r>
      <w:r>
        <w:rPr>
          <w:color w:val="231F20"/>
        </w:rPr>
        <w:t>raison</w:t>
      </w:r>
      <w:r>
        <w:rPr>
          <w:color w:val="231F20"/>
          <w:spacing w:val="-12"/>
        </w:rPr>
        <w:t> </w:t>
      </w:r>
      <w:r>
        <w:rPr>
          <w:color w:val="231F20"/>
        </w:rPr>
        <w:t>du</w:t>
      </w:r>
      <w:r>
        <w:rPr>
          <w:color w:val="231F20"/>
          <w:spacing w:val="-12"/>
        </w:rPr>
        <w:t> </w:t>
      </w:r>
      <w:r>
        <w:rPr>
          <w:color w:val="231F20"/>
        </w:rPr>
        <w:t>relief</w:t>
      </w:r>
      <w:r>
        <w:rPr>
          <w:color w:val="231F20"/>
          <w:spacing w:val="-13"/>
        </w:rPr>
        <w:t> </w:t>
      </w:r>
      <w:r>
        <w:rPr>
          <w:color w:val="231F20"/>
        </w:rPr>
        <w:t>et</w:t>
      </w:r>
      <w:r>
        <w:rPr>
          <w:color w:val="231F20"/>
          <w:spacing w:val="-11"/>
        </w:rPr>
        <w:t> </w:t>
      </w:r>
      <w:r>
        <w:rPr>
          <w:color w:val="231F20"/>
        </w:rPr>
        <w:t>de la</w:t>
      </w:r>
      <w:r>
        <w:rPr>
          <w:color w:val="231F20"/>
          <w:spacing w:val="-8"/>
        </w:rPr>
        <w:t> </w:t>
      </w:r>
      <w:r>
        <w:rPr>
          <w:color w:val="231F20"/>
        </w:rPr>
        <w:t>pluviométrie</w:t>
      </w:r>
      <w:r>
        <w:rPr>
          <w:color w:val="231F20"/>
          <w:spacing w:val="-7"/>
        </w:rPr>
        <w:t> </w:t>
      </w:r>
      <w:r>
        <w:rPr>
          <w:color w:val="231F20"/>
        </w:rPr>
        <w:t>mais</w:t>
      </w:r>
      <w:r>
        <w:rPr>
          <w:color w:val="231F20"/>
          <w:spacing w:val="-9"/>
        </w:rPr>
        <w:t> </w:t>
      </w:r>
      <w:r>
        <w:rPr>
          <w:color w:val="231F20"/>
        </w:rPr>
        <w:t>la</w:t>
      </w:r>
      <w:r>
        <w:rPr>
          <w:color w:val="231F20"/>
          <w:spacing w:val="-7"/>
        </w:rPr>
        <w:t> </w:t>
      </w:r>
      <w:r>
        <w:rPr>
          <w:color w:val="231F20"/>
        </w:rPr>
        <w:t>Guinée</w:t>
      </w:r>
      <w:r>
        <w:rPr>
          <w:color w:val="231F20"/>
          <w:spacing w:val="-7"/>
        </w:rPr>
        <w:t> </w:t>
      </w:r>
      <w:r>
        <w:rPr>
          <w:color w:val="231F20"/>
        </w:rPr>
        <w:t>est</w:t>
      </w:r>
      <w:r>
        <w:rPr>
          <w:color w:val="231F20"/>
          <w:spacing w:val="-7"/>
        </w:rPr>
        <w:t> </w:t>
      </w:r>
      <w:r>
        <w:rPr>
          <w:color w:val="231F20"/>
        </w:rPr>
        <w:t>dépendante</w:t>
      </w:r>
      <w:r>
        <w:rPr>
          <w:color w:val="231F20"/>
          <w:spacing w:val="-9"/>
        </w:rPr>
        <w:t> </w:t>
      </w:r>
      <w:r>
        <w:rPr>
          <w:color w:val="231F20"/>
        </w:rPr>
        <w:t>sur</w:t>
      </w:r>
      <w:r>
        <w:rPr>
          <w:color w:val="231F20"/>
          <w:spacing w:val="-7"/>
        </w:rPr>
        <w:t> </w:t>
      </w:r>
      <w:r>
        <w:rPr>
          <w:color w:val="231F20"/>
        </w:rPr>
        <w:t>le</w:t>
      </w:r>
      <w:r>
        <w:rPr>
          <w:color w:val="231F20"/>
          <w:spacing w:val="-7"/>
        </w:rPr>
        <w:t> </w:t>
      </w:r>
      <w:r>
        <w:rPr>
          <w:color w:val="231F20"/>
        </w:rPr>
        <w:t>plan</w:t>
      </w:r>
      <w:r>
        <w:rPr>
          <w:color w:val="231F20"/>
          <w:spacing w:val="-7"/>
        </w:rPr>
        <w:t> </w:t>
      </w:r>
      <w:r>
        <w:rPr>
          <w:color w:val="231F20"/>
        </w:rPr>
        <w:t>énergétique.</w:t>
      </w:r>
    </w:p>
    <w:p>
      <w:pPr>
        <w:spacing w:after="0"/>
        <w:sectPr>
          <w:pgSz w:w="8790" w:h="13610"/>
          <w:pgMar w:header="0" w:footer="802" w:top="1060" w:bottom="1000" w:left="880" w:right="880"/>
        </w:sectPr>
      </w:pPr>
    </w:p>
    <w:p>
      <w:pPr>
        <w:pStyle w:val="Heading3"/>
        <w:spacing w:before="81"/>
        <w:jc w:val="left"/>
        <w:rPr>
          <w:rFonts w:ascii="Times New Roman" w:hAnsi="Times New Roman"/>
          <w:i w:val="0"/>
          <w:sz w:val="16"/>
        </w:rPr>
      </w:pPr>
      <w:r>
        <w:rPr>
          <w:i/>
          <w:color w:val="231F20"/>
          <w:spacing w:val="-2"/>
        </w:rPr>
        <w:t>La</w:t>
      </w:r>
      <w:r>
        <w:rPr>
          <w:i/>
          <w:color w:val="231F20"/>
          <w:spacing w:val="-10"/>
        </w:rPr>
        <w:t> </w:t>
      </w:r>
      <w:r>
        <w:rPr>
          <w:i/>
          <w:color w:val="231F20"/>
          <w:spacing w:val="-2"/>
        </w:rPr>
        <w:t>République</w:t>
      </w:r>
      <w:r>
        <w:rPr>
          <w:i/>
          <w:color w:val="231F20"/>
          <w:spacing w:val="-11"/>
        </w:rPr>
        <w:t> </w:t>
      </w:r>
      <w:r>
        <w:rPr>
          <w:i/>
          <w:color w:val="231F20"/>
          <w:spacing w:val="-2"/>
        </w:rPr>
        <w:t>du</w:t>
      </w:r>
      <w:r>
        <w:rPr>
          <w:i/>
          <w:color w:val="231F20"/>
          <w:spacing w:val="-10"/>
        </w:rPr>
        <w:t> </w:t>
      </w:r>
      <w:r>
        <w:rPr>
          <w:i/>
          <w:color w:val="231F20"/>
          <w:spacing w:val="-2"/>
        </w:rPr>
        <w:t>Burkina</w:t>
      </w:r>
      <w:r>
        <w:rPr>
          <w:i/>
          <w:color w:val="231F20"/>
          <w:spacing w:val="-11"/>
        </w:rPr>
        <w:t> </w:t>
      </w:r>
      <w:r>
        <w:rPr>
          <w:i/>
          <w:color w:val="231F20"/>
          <w:spacing w:val="-2"/>
        </w:rPr>
        <w:t>Faso</w:t>
      </w:r>
      <w:r>
        <w:rPr>
          <w:rFonts w:ascii="Times New Roman" w:hAnsi="Times New Roman"/>
          <w:i w:val="0"/>
          <w:color w:val="231F20"/>
          <w:spacing w:val="-2"/>
          <w:position w:val="8"/>
          <w:sz w:val="16"/>
        </w:rPr>
        <w:t>107</w:t>
      </w:r>
    </w:p>
    <w:p>
      <w:pPr>
        <w:pStyle w:val="BodyText"/>
        <w:spacing w:before="119"/>
        <w:ind w:left="0"/>
        <w:jc w:val="left"/>
        <w:rPr>
          <w:b/>
        </w:rPr>
      </w:pPr>
    </w:p>
    <w:p>
      <w:pPr>
        <w:spacing w:before="0"/>
        <w:ind w:left="395" w:right="0" w:firstLine="0"/>
        <w:jc w:val="left"/>
        <w:rPr>
          <w:i/>
          <w:sz w:val="24"/>
        </w:rPr>
      </w:pPr>
      <w:r>
        <w:rPr>
          <w:b/>
          <w:i/>
          <w:color w:val="231F20"/>
          <w:spacing w:val="-4"/>
          <w:sz w:val="24"/>
        </w:rPr>
        <w:t>«</w:t>
      </w:r>
      <w:r>
        <w:rPr>
          <w:b/>
          <w:i/>
          <w:color w:val="231F20"/>
          <w:spacing w:val="-5"/>
          <w:sz w:val="24"/>
        </w:rPr>
        <w:t> </w:t>
      </w:r>
      <w:r>
        <w:rPr>
          <w:b/>
          <w:i/>
          <w:color w:val="231F20"/>
          <w:spacing w:val="-4"/>
          <w:sz w:val="24"/>
        </w:rPr>
        <w:t>Malheur,</w:t>
      </w:r>
      <w:r>
        <w:rPr>
          <w:b/>
          <w:i/>
          <w:color w:val="231F20"/>
          <w:spacing w:val="-9"/>
          <w:sz w:val="24"/>
        </w:rPr>
        <w:t> </w:t>
      </w:r>
      <w:r>
        <w:rPr>
          <w:b/>
          <w:i/>
          <w:color w:val="231F20"/>
          <w:spacing w:val="-4"/>
          <w:sz w:val="24"/>
        </w:rPr>
        <w:t>à</w:t>
      </w:r>
      <w:r>
        <w:rPr>
          <w:b/>
          <w:i/>
          <w:color w:val="231F20"/>
          <w:spacing w:val="-8"/>
          <w:sz w:val="24"/>
        </w:rPr>
        <w:t> </w:t>
      </w:r>
      <w:r>
        <w:rPr>
          <w:b/>
          <w:i/>
          <w:color w:val="231F20"/>
          <w:spacing w:val="-4"/>
          <w:sz w:val="24"/>
        </w:rPr>
        <w:t>ceux</w:t>
      </w:r>
      <w:r>
        <w:rPr>
          <w:b/>
          <w:i/>
          <w:color w:val="231F20"/>
          <w:spacing w:val="-9"/>
          <w:sz w:val="24"/>
        </w:rPr>
        <w:t> </w:t>
      </w:r>
      <w:r>
        <w:rPr>
          <w:b/>
          <w:i/>
          <w:color w:val="231F20"/>
          <w:spacing w:val="-4"/>
          <w:sz w:val="24"/>
        </w:rPr>
        <w:t>qui</w:t>
      </w:r>
      <w:r>
        <w:rPr>
          <w:b/>
          <w:i/>
          <w:color w:val="231F20"/>
          <w:spacing w:val="-7"/>
          <w:sz w:val="24"/>
        </w:rPr>
        <w:t> </w:t>
      </w:r>
      <w:r>
        <w:rPr>
          <w:b/>
          <w:i/>
          <w:color w:val="231F20"/>
          <w:spacing w:val="-4"/>
          <w:sz w:val="24"/>
        </w:rPr>
        <w:t>bâillonnent</w:t>
      </w:r>
      <w:r>
        <w:rPr>
          <w:b/>
          <w:i/>
          <w:color w:val="231F20"/>
          <w:spacing w:val="-7"/>
          <w:sz w:val="24"/>
        </w:rPr>
        <w:t> </w:t>
      </w:r>
      <w:r>
        <w:rPr>
          <w:b/>
          <w:i/>
          <w:color w:val="231F20"/>
          <w:spacing w:val="-4"/>
          <w:sz w:val="24"/>
        </w:rPr>
        <w:t>le</w:t>
      </w:r>
      <w:r>
        <w:rPr>
          <w:b/>
          <w:i/>
          <w:color w:val="231F20"/>
          <w:spacing w:val="-10"/>
          <w:sz w:val="24"/>
        </w:rPr>
        <w:t> </w:t>
      </w:r>
      <w:r>
        <w:rPr>
          <w:b/>
          <w:i/>
          <w:color w:val="231F20"/>
          <w:spacing w:val="-4"/>
          <w:sz w:val="24"/>
        </w:rPr>
        <w:t>peuple</w:t>
      </w:r>
      <w:r>
        <w:rPr>
          <w:b/>
          <w:i/>
          <w:color w:val="231F20"/>
          <w:sz w:val="24"/>
        </w:rPr>
        <w:t> </w:t>
      </w:r>
      <w:r>
        <w:rPr>
          <w:i/>
          <w:color w:val="231F20"/>
          <w:spacing w:val="-4"/>
          <w:sz w:val="24"/>
        </w:rPr>
        <w:t>»</w:t>
      </w:r>
      <w:r>
        <w:rPr>
          <w:i/>
          <w:color w:val="231F20"/>
          <w:spacing w:val="-9"/>
          <w:sz w:val="24"/>
        </w:rPr>
        <w:t> </w:t>
      </w:r>
      <w:r>
        <w:rPr>
          <w:i/>
          <w:color w:val="231F20"/>
          <w:spacing w:val="-4"/>
          <w:sz w:val="24"/>
        </w:rPr>
        <w:t>Thomas</w:t>
      </w:r>
      <w:r>
        <w:rPr>
          <w:i/>
          <w:color w:val="231F20"/>
          <w:spacing w:val="-6"/>
          <w:sz w:val="24"/>
        </w:rPr>
        <w:t> </w:t>
      </w:r>
      <w:r>
        <w:rPr>
          <w:i/>
          <w:color w:val="231F20"/>
          <w:spacing w:val="-4"/>
          <w:sz w:val="24"/>
        </w:rPr>
        <w:t>Sankara,</w:t>
      </w:r>
      <w:r>
        <w:rPr>
          <w:i/>
          <w:color w:val="231F20"/>
          <w:spacing w:val="-8"/>
          <w:sz w:val="24"/>
        </w:rPr>
        <w:t> </w:t>
      </w:r>
      <w:r>
        <w:rPr>
          <w:i/>
          <w:color w:val="231F20"/>
          <w:spacing w:val="-4"/>
          <w:sz w:val="24"/>
        </w:rPr>
        <w:t>1982</w:t>
      </w:r>
    </w:p>
    <w:p>
      <w:pPr>
        <w:pStyle w:val="BodyText"/>
        <w:spacing w:before="240"/>
        <w:ind w:left="0"/>
        <w:jc w:val="left"/>
        <w:rPr>
          <w:i/>
        </w:rPr>
      </w:pPr>
    </w:p>
    <w:p>
      <w:pPr>
        <w:pStyle w:val="BodyText"/>
        <w:ind w:right="103" w:firstLine="283"/>
      </w:pPr>
      <w:r>
        <w:rPr>
          <w:color w:val="231F20"/>
          <w:spacing w:val="-2"/>
        </w:rPr>
        <w:t>A</w:t>
      </w:r>
      <w:r>
        <w:rPr>
          <w:color w:val="231F20"/>
          <w:spacing w:val="-13"/>
        </w:rPr>
        <w:t> </w:t>
      </w:r>
      <w:r>
        <w:rPr>
          <w:color w:val="231F20"/>
          <w:spacing w:val="-2"/>
        </w:rPr>
        <w:t>plusieurs</w:t>
      </w:r>
      <w:r>
        <w:rPr>
          <w:color w:val="231F20"/>
          <w:spacing w:val="-13"/>
        </w:rPr>
        <w:t> </w:t>
      </w:r>
      <w:r>
        <w:rPr>
          <w:color w:val="231F20"/>
          <w:spacing w:val="-2"/>
        </w:rPr>
        <w:t>centaines</w:t>
      </w:r>
      <w:r>
        <w:rPr>
          <w:color w:val="231F20"/>
          <w:spacing w:val="-13"/>
        </w:rPr>
        <w:t> </w:t>
      </w:r>
      <w:r>
        <w:rPr>
          <w:color w:val="231F20"/>
          <w:spacing w:val="-2"/>
        </w:rPr>
        <w:t>de</w:t>
      </w:r>
      <w:r>
        <w:rPr>
          <w:color w:val="231F20"/>
          <w:spacing w:val="-13"/>
        </w:rPr>
        <w:t> </w:t>
      </w:r>
      <w:r>
        <w:rPr>
          <w:color w:val="231F20"/>
          <w:spacing w:val="-2"/>
        </w:rPr>
        <w:t>kilomètres</w:t>
      </w:r>
      <w:r>
        <w:rPr>
          <w:color w:val="231F20"/>
          <w:spacing w:val="-13"/>
        </w:rPr>
        <w:t> </w:t>
      </w:r>
      <w:r>
        <w:rPr>
          <w:color w:val="231F20"/>
          <w:spacing w:val="-2"/>
        </w:rPr>
        <w:t>des</w:t>
      </w:r>
      <w:r>
        <w:rPr>
          <w:color w:val="231F20"/>
          <w:spacing w:val="-13"/>
        </w:rPr>
        <w:t> </w:t>
      </w:r>
      <w:r>
        <w:rPr>
          <w:color w:val="231F20"/>
          <w:spacing w:val="-2"/>
        </w:rPr>
        <w:t>débouchés</w:t>
      </w:r>
      <w:r>
        <w:rPr>
          <w:color w:val="231F20"/>
          <w:spacing w:val="-13"/>
        </w:rPr>
        <w:t> </w:t>
      </w:r>
      <w:r>
        <w:rPr>
          <w:color w:val="231F20"/>
          <w:spacing w:val="-2"/>
        </w:rPr>
        <w:t>maritimes</w:t>
      </w:r>
      <w:r>
        <w:rPr>
          <w:color w:val="231F20"/>
          <w:spacing w:val="-13"/>
        </w:rPr>
        <w:t> </w:t>
      </w:r>
      <w:r>
        <w:rPr>
          <w:color w:val="231F20"/>
          <w:spacing w:val="-2"/>
        </w:rPr>
        <w:t>que</w:t>
      </w:r>
      <w:r>
        <w:rPr>
          <w:color w:val="231F20"/>
          <w:spacing w:val="-13"/>
        </w:rPr>
        <w:t> </w:t>
      </w:r>
      <w:r>
        <w:rPr>
          <w:color w:val="231F20"/>
          <w:spacing w:val="-2"/>
        </w:rPr>
        <w:t>sont </w:t>
      </w:r>
      <w:r>
        <w:rPr>
          <w:color w:val="231F20"/>
        </w:rPr>
        <w:t>Abidjan en Côte d’Ivoire, Cotonou au Dahomey et Lomé au Togo, la Haute-Volta</w:t>
      </w:r>
      <w:r>
        <w:rPr>
          <w:color w:val="231F20"/>
          <w:spacing w:val="-4"/>
        </w:rPr>
        <w:t> </w:t>
      </w:r>
      <w:r>
        <w:rPr>
          <w:color w:val="231F20"/>
        </w:rPr>
        <w:t>devenue Burkina Faso</w:t>
      </w:r>
      <w:r>
        <w:rPr>
          <w:color w:val="231F20"/>
          <w:spacing w:val="-15"/>
        </w:rPr>
        <w:t> </w:t>
      </w:r>
      <w:r>
        <w:rPr>
          <w:color w:val="231F20"/>
        </w:rPr>
        <w:t>le</w:t>
      </w:r>
      <w:r>
        <w:rPr>
          <w:color w:val="231F20"/>
          <w:spacing w:val="-15"/>
        </w:rPr>
        <w:t> </w:t>
      </w:r>
      <w:r>
        <w:rPr>
          <w:color w:val="231F20"/>
        </w:rPr>
        <w:t>4 août 1984, est un pays enclavé </w:t>
      </w:r>
      <w:r>
        <w:rPr>
          <w:color w:val="231F20"/>
          <w:spacing w:val="-2"/>
        </w:rPr>
        <w:t>situé</w:t>
      </w:r>
      <w:r>
        <w:rPr>
          <w:color w:val="231F20"/>
          <w:spacing w:val="-9"/>
        </w:rPr>
        <w:t> </w:t>
      </w:r>
      <w:r>
        <w:rPr>
          <w:color w:val="231F20"/>
          <w:spacing w:val="-2"/>
        </w:rPr>
        <w:t>dans</w:t>
      </w:r>
      <w:r>
        <w:rPr>
          <w:color w:val="231F20"/>
          <w:spacing w:val="-11"/>
        </w:rPr>
        <w:t> </w:t>
      </w:r>
      <w:r>
        <w:rPr>
          <w:color w:val="231F20"/>
          <w:spacing w:val="-2"/>
        </w:rPr>
        <w:t>l’espace</w:t>
      </w:r>
      <w:r>
        <w:rPr>
          <w:color w:val="231F20"/>
          <w:spacing w:val="-9"/>
        </w:rPr>
        <w:t> </w:t>
      </w:r>
      <w:r>
        <w:rPr>
          <w:color w:val="231F20"/>
          <w:spacing w:val="-2"/>
        </w:rPr>
        <w:t>soudano-sahélien.</w:t>
      </w:r>
      <w:r>
        <w:rPr>
          <w:color w:val="231F20"/>
          <w:spacing w:val="-9"/>
        </w:rPr>
        <w:t> </w:t>
      </w:r>
      <w:r>
        <w:rPr>
          <w:color w:val="231F20"/>
          <w:spacing w:val="-2"/>
        </w:rPr>
        <w:t>Le</w:t>
      </w:r>
      <w:r>
        <w:rPr>
          <w:color w:val="231F20"/>
          <w:spacing w:val="-12"/>
        </w:rPr>
        <w:t> </w:t>
      </w:r>
      <w:r>
        <w:rPr>
          <w:color w:val="231F20"/>
          <w:spacing w:val="-2"/>
        </w:rPr>
        <w:t>pays</w:t>
      </w:r>
      <w:r>
        <w:rPr>
          <w:color w:val="231F20"/>
          <w:spacing w:val="-10"/>
        </w:rPr>
        <w:t> </w:t>
      </w:r>
      <w:r>
        <w:rPr>
          <w:color w:val="231F20"/>
          <w:spacing w:val="-2"/>
        </w:rPr>
        <w:t>est</w:t>
      </w:r>
      <w:r>
        <w:rPr>
          <w:color w:val="231F20"/>
          <w:spacing w:val="-11"/>
        </w:rPr>
        <w:t> </w:t>
      </w:r>
      <w:r>
        <w:rPr>
          <w:color w:val="231F20"/>
          <w:spacing w:val="-2"/>
        </w:rPr>
        <w:t>actuellement</w:t>
      </w:r>
      <w:r>
        <w:rPr>
          <w:color w:val="231F20"/>
          <w:spacing w:val="-10"/>
        </w:rPr>
        <w:t> </w:t>
      </w:r>
      <w:r>
        <w:rPr>
          <w:color w:val="231F20"/>
          <w:spacing w:val="-2"/>
        </w:rPr>
        <w:t>dépourvu </w:t>
      </w:r>
      <w:r>
        <w:rPr>
          <w:color w:val="231F20"/>
        </w:rPr>
        <w:t>en</w:t>
      </w:r>
      <w:r>
        <w:rPr>
          <w:color w:val="231F20"/>
          <w:spacing w:val="-14"/>
        </w:rPr>
        <w:t> </w:t>
      </w:r>
      <w:r>
        <w:rPr>
          <w:color w:val="231F20"/>
        </w:rPr>
        <w:t>ressources</w:t>
      </w:r>
      <w:r>
        <w:rPr>
          <w:color w:val="231F20"/>
          <w:spacing w:val="-14"/>
        </w:rPr>
        <w:t> </w:t>
      </w:r>
      <w:r>
        <w:rPr>
          <w:color w:val="231F20"/>
        </w:rPr>
        <w:t>minières,</w:t>
      </w:r>
      <w:r>
        <w:rPr>
          <w:color w:val="231F20"/>
          <w:spacing w:val="-14"/>
        </w:rPr>
        <w:t> </w:t>
      </w:r>
      <w:r>
        <w:rPr>
          <w:color w:val="231F20"/>
        </w:rPr>
        <w:t>et</w:t>
      </w:r>
      <w:r>
        <w:rPr>
          <w:color w:val="231F20"/>
          <w:spacing w:val="-13"/>
        </w:rPr>
        <w:t> </w:t>
      </w:r>
      <w:r>
        <w:rPr>
          <w:color w:val="231F20"/>
        </w:rPr>
        <w:t>agricoles.</w:t>
      </w:r>
      <w:r>
        <w:rPr>
          <w:color w:val="231F20"/>
          <w:spacing w:val="-15"/>
        </w:rPr>
        <w:t> </w:t>
      </w:r>
      <w:r>
        <w:rPr>
          <w:color w:val="231F20"/>
        </w:rPr>
        <w:t>Par</w:t>
      </w:r>
      <w:r>
        <w:rPr>
          <w:color w:val="231F20"/>
          <w:spacing w:val="-14"/>
        </w:rPr>
        <w:t> </w:t>
      </w:r>
      <w:r>
        <w:rPr>
          <w:color w:val="231F20"/>
        </w:rPr>
        <w:t>contre,</w:t>
      </w:r>
      <w:r>
        <w:rPr>
          <w:color w:val="231F20"/>
          <w:spacing w:val="-14"/>
        </w:rPr>
        <w:t> </w:t>
      </w:r>
      <w:r>
        <w:rPr>
          <w:color w:val="231F20"/>
        </w:rPr>
        <w:t>pendant</w:t>
      </w:r>
      <w:r>
        <w:rPr>
          <w:color w:val="231F20"/>
          <w:spacing w:val="-14"/>
        </w:rPr>
        <w:t> </w:t>
      </w:r>
      <w:r>
        <w:rPr>
          <w:color w:val="231F20"/>
        </w:rPr>
        <w:t>la</w:t>
      </w:r>
      <w:r>
        <w:rPr>
          <w:color w:val="231F20"/>
          <w:spacing w:val="-14"/>
        </w:rPr>
        <w:t> </w:t>
      </w:r>
      <w:r>
        <w:rPr>
          <w:color w:val="231F20"/>
        </w:rPr>
        <w:t>colonisation, </w:t>
      </w:r>
      <w:r>
        <w:rPr>
          <w:color w:val="231F20"/>
          <w:spacing w:val="-4"/>
        </w:rPr>
        <w:t>le</w:t>
      </w:r>
      <w:r>
        <w:rPr>
          <w:color w:val="231F20"/>
          <w:spacing w:val="-7"/>
        </w:rPr>
        <w:t> </w:t>
      </w:r>
      <w:r>
        <w:rPr>
          <w:color w:val="231F20"/>
          <w:spacing w:val="-4"/>
        </w:rPr>
        <w:t>territoire</w:t>
      </w:r>
      <w:r>
        <w:rPr>
          <w:color w:val="231F20"/>
          <w:spacing w:val="-7"/>
        </w:rPr>
        <w:t> </w:t>
      </w:r>
      <w:r>
        <w:rPr>
          <w:color w:val="231F20"/>
          <w:spacing w:val="-4"/>
        </w:rPr>
        <w:t>était</w:t>
      </w:r>
      <w:r>
        <w:rPr>
          <w:color w:val="231F20"/>
          <w:spacing w:val="-7"/>
        </w:rPr>
        <w:t> </w:t>
      </w:r>
      <w:r>
        <w:rPr>
          <w:color w:val="231F20"/>
          <w:spacing w:val="-4"/>
        </w:rPr>
        <w:t>l’un</w:t>
      </w:r>
      <w:r>
        <w:rPr>
          <w:color w:val="231F20"/>
          <w:spacing w:val="-6"/>
        </w:rPr>
        <w:t> </w:t>
      </w:r>
      <w:r>
        <w:rPr>
          <w:color w:val="231F20"/>
          <w:spacing w:val="-4"/>
        </w:rPr>
        <w:t>des</w:t>
      </w:r>
      <w:r>
        <w:rPr>
          <w:color w:val="231F20"/>
          <w:spacing w:val="-9"/>
        </w:rPr>
        <w:t> </w:t>
      </w:r>
      <w:r>
        <w:rPr>
          <w:color w:val="231F20"/>
          <w:spacing w:val="-4"/>
        </w:rPr>
        <w:t>plus</w:t>
      </w:r>
      <w:r>
        <w:rPr>
          <w:color w:val="231F20"/>
          <w:spacing w:val="-9"/>
        </w:rPr>
        <w:t> </w:t>
      </w:r>
      <w:r>
        <w:rPr>
          <w:color w:val="231F20"/>
          <w:spacing w:val="-4"/>
        </w:rPr>
        <w:t>peuplés</w:t>
      </w:r>
      <w:r>
        <w:rPr>
          <w:color w:val="231F20"/>
          <w:spacing w:val="-6"/>
        </w:rPr>
        <w:t> </w:t>
      </w:r>
      <w:r>
        <w:rPr>
          <w:color w:val="231F20"/>
          <w:spacing w:val="-4"/>
        </w:rPr>
        <w:t>de</w:t>
      </w:r>
      <w:r>
        <w:rPr>
          <w:color w:val="231F20"/>
          <w:spacing w:val="-10"/>
        </w:rPr>
        <w:t> </w:t>
      </w:r>
      <w:r>
        <w:rPr>
          <w:color w:val="231F20"/>
          <w:spacing w:val="-4"/>
        </w:rPr>
        <w:t>l’AOF</w:t>
      </w:r>
      <w:r>
        <w:rPr>
          <w:color w:val="231F20"/>
        </w:rPr>
        <w:t> </w:t>
      </w:r>
      <w:r>
        <w:rPr>
          <w:color w:val="231F20"/>
          <w:spacing w:val="-4"/>
        </w:rPr>
        <w:t>:</w:t>
      </w:r>
      <w:r>
        <w:rPr>
          <w:color w:val="231F20"/>
          <w:spacing w:val="-6"/>
        </w:rPr>
        <w:t> </w:t>
      </w:r>
      <w:r>
        <w:rPr>
          <w:color w:val="231F20"/>
          <w:spacing w:val="-4"/>
        </w:rPr>
        <w:t>3</w:t>
      </w:r>
      <w:r>
        <w:rPr>
          <w:color w:val="231F20"/>
          <w:spacing w:val="-11"/>
        </w:rPr>
        <w:t> </w:t>
      </w:r>
      <w:r>
        <w:rPr>
          <w:color w:val="231F20"/>
          <w:spacing w:val="-4"/>
        </w:rPr>
        <w:t>millions</w:t>
      </w:r>
      <w:r>
        <w:rPr>
          <w:color w:val="231F20"/>
          <w:spacing w:val="-9"/>
        </w:rPr>
        <w:t> </w:t>
      </w:r>
      <w:r>
        <w:rPr>
          <w:color w:val="231F20"/>
          <w:spacing w:val="-4"/>
        </w:rPr>
        <w:t>de</w:t>
      </w:r>
      <w:r>
        <w:rPr>
          <w:color w:val="231F20"/>
          <w:spacing w:val="-6"/>
        </w:rPr>
        <w:t> </w:t>
      </w:r>
      <w:r>
        <w:rPr>
          <w:color w:val="231F20"/>
          <w:spacing w:val="-4"/>
        </w:rPr>
        <w:t>personnes. </w:t>
      </w:r>
      <w:r>
        <w:rPr>
          <w:color w:val="231F20"/>
          <w:spacing w:val="-2"/>
        </w:rPr>
        <w:t>La</w:t>
      </w:r>
      <w:r>
        <w:rPr>
          <w:color w:val="231F20"/>
          <w:spacing w:val="-7"/>
        </w:rPr>
        <w:t> </w:t>
      </w:r>
      <w:r>
        <w:rPr>
          <w:color w:val="231F20"/>
          <w:spacing w:val="-2"/>
        </w:rPr>
        <w:t>France,</w:t>
      </w:r>
      <w:r>
        <w:rPr>
          <w:color w:val="231F20"/>
          <w:spacing w:val="-7"/>
        </w:rPr>
        <w:t> </w:t>
      </w:r>
      <w:r>
        <w:rPr>
          <w:color w:val="231F20"/>
          <w:spacing w:val="-2"/>
        </w:rPr>
        <w:t>à</w:t>
      </w:r>
      <w:r>
        <w:rPr>
          <w:color w:val="231F20"/>
          <w:spacing w:val="-7"/>
        </w:rPr>
        <w:t> </w:t>
      </w:r>
      <w:r>
        <w:rPr>
          <w:color w:val="231F20"/>
          <w:spacing w:val="-2"/>
        </w:rPr>
        <w:t>coup</w:t>
      </w:r>
      <w:r>
        <w:rPr>
          <w:color w:val="231F20"/>
          <w:spacing w:val="-9"/>
        </w:rPr>
        <w:t> </w:t>
      </w:r>
      <w:r>
        <w:rPr>
          <w:color w:val="231F20"/>
          <w:spacing w:val="-2"/>
        </w:rPr>
        <w:t>d’impôt</w:t>
      </w:r>
      <w:r>
        <w:rPr>
          <w:color w:val="231F20"/>
          <w:spacing w:val="-6"/>
        </w:rPr>
        <w:t> </w:t>
      </w:r>
      <w:r>
        <w:rPr>
          <w:color w:val="231F20"/>
          <w:spacing w:val="-2"/>
        </w:rPr>
        <w:t>de</w:t>
      </w:r>
      <w:r>
        <w:rPr>
          <w:color w:val="231F20"/>
          <w:spacing w:val="-9"/>
        </w:rPr>
        <w:t> </w:t>
      </w:r>
      <w:r>
        <w:rPr>
          <w:color w:val="231F20"/>
          <w:spacing w:val="-2"/>
        </w:rPr>
        <w:t>capitation,</w:t>
      </w:r>
      <w:r>
        <w:rPr>
          <w:color w:val="231F20"/>
          <w:spacing w:val="-9"/>
        </w:rPr>
        <w:t> </w:t>
      </w:r>
      <w:r>
        <w:rPr>
          <w:color w:val="231F20"/>
          <w:spacing w:val="-2"/>
        </w:rPr>
        <w:t>de</w:t>
      </w:r>
      <w:r>
        <w:rPr>
          <w:color w:val="231F20"/>
          <w:spacing w:val="-9"/>
        </w:rPr>
        <w:t> </w:t>
      </w:r>
      <w:r>
        <w:rPr>
          <w:color w:val="231F20"/>
          <w:spacing w:val="-2"/>
        </w:rPr>
        <w:t>travail</w:t>
      </w:r>
      <w:r>
        <w:rPr>
          <w:color w:val="231F20"/>
          <w:spacing w:val="-6"/>
        </w:rPr>
        <w:t> </w:t>
      </w:r>
      <w:r>
        <w:rPr>
          <w:color w:val="231F20"/>
          <w:spacing w:val="-2"/>
        </w:rPr>
        <w:t>forcé</w:t>
      </w:r>
      <w:r>
        <w:rPr>
          <w:color w:val="231F20"/>
          <w:spacing w:val="-7"/>
        </w:rPr>
        <w:t> </w:t>
      </w:r>
      <w:r>
        <w:rPr>
          <w:color w:val="231F20"/>
          <w:spacing w:val="-2"/>
        </w:rPr>
        <w:t>et</w:t>
      </w:r>
      <w:r>
        <w:rPr>
          <w:color w:val="231F20"/>
          <w:spacing w:val="-8"/>
        </w:rPr>
        <w:t> </w:t>
      </w:r>
      <w:r>
        <w:rPr>
          <w:color w:val="231F20"/>
          <w:spacing w:val="-2"/>
        </w:rPr>
        <w:t>d’enrôlement </w:t>
      </w:r>
      <w:r>
        <w:rPr>
          <w:color w:val="231F20"/>
        </w:rPr>
        <w:t>dans</w:t>
      </w:r>
      <w:r>
        <w:rPr>
          <w:color w:val="231F20"/>
          <w:spacing w:val="-5"/>
        </w:rPr>
        <w:t> </w:t>
      </w:r>
      <w:r>
        <w:rPr>
          <w:color w:val="231F20"/>
        </w:rPr>
        <w:t>les</w:t>
      </w:r>
      <w:r>
        <w:rPr>
          <w:color w:val="231F20"/>
          <w:spacing w:val="-5"/>
        </w:rPr>
        <w:t> </w:t>
      </w:r>
      <w:r>
        <w:rPr>
          <w:color w:val="231F20"/>
        </w:rPr>
        <w:t>troupes</w:t>
      </w:r>
      <w:r>
        <w:rPr>
          <w:color w:val="231F20"/>
          <w:spacing w:val="-5"/>
        </w:rPr>
        <w:t> </w:t>
      </w:r>
      <w:r>
        <w:rPr>
          <w:color w:val="231F20"/>
        </w:rPr>
        <w:t>de</w:t>
      </w:r>
      <w:r>
        <w:rPr>
          <w:color w:val="231F20"/>
          <w:spacing w:val="-6"/>
        </w:rPr>
        <w:t> </w:t>
      </w:r>
      <w:r>
        <w:rPr>
          <w:color w:val="231F20"/>
        </w:rPr>
        <w:t>tirailleurs</w:t>
      </w:r>
      <w:r>
        <w:rPr>
          <w:color w:val="231F20"/>
          <w:spacing w:val="-4"/>
        </w:rPr>
        <w:t> </w:t>
      </w:r>
      <w:r>
        <w:rPr>
          <w:color w:val="231F20"/>
        </w:rPr>
        <w:t>sénégalais,</w:t>
      </w:r>
      <w:r>
        <w:rPr>
          <w:color w:val="231F20"/>
          <w:spacing w:val="-5"/>
        </w:rPr>
        <w:t> </w:t>
      </w:r>
      <w:r>
        <w:rPr>
          <w:color w:val="231F20"/>
        </w:rPr>
        <w:t>exploite</w:t>
      </w:r>
      <w:r>
        <w:rPr>
          <w:color w:val="231F20"/>
          <w:spacing w:val="-5"/>
        </w:rPr>
        <w:t> </w:t>
      </w:r>
      <w:r>
        <w:rPr>
          <w:color w:val="231F20"/>
        </w:rPr>
        <w:t>cette</w:t>
      </w:r>
      <w:r>
        <w:rPr>
          <w:color w:val="231F20"/>
          <w:spacing w:val="-4"/>
        </w:rPr>
        <w:t> </w:t>
      </w:r>
      <w:r>
        <w:rPr>
          <w:color w:val="231F20"/>
        </w:rPr>
        <w:t>ressource.</w:t>
      </w:r>
      <w:r>
        <w:rPr>
          <w:color w:val="231F20"/>
          <w:spacing w:val="-5"/>
        </w:rPr>
        <w:t> </w:t>
      </w:r>
      <w:r>
        <w:rPr>
          <w:color w:val="231F20"/>
        </w:rPr>
        <w:t>Mais l’impôt</w:t>
      </w:r>
      <w:r>
        <w:rPr>
          <w:color w:val="231F20"/>
          <w:spacing w:val="-8"/>
        </w:rPr>
        <w:t> </w:t>
      </w:r>
      <w:r>
        <w:rPr>
          <w:color w:val="231F20"/>
        </w:rPr>
        <w:t>de</w:t>
      </w:r>
      <w:r>
        <w:rPr>
          <w:color w:val="231F20"/>
          <w:spacing w:val="-6"/>
        </w:rPr>
        <w:t> </w:t>
      </w:r>
      <w:r>
        <w:rPr>
          <w:color w:val="231F20"/>
        </w:rPr>
        <w:t>capitation</w:t>
      </w:r>
      <w:r>
        <w:rPr>
          <w:color w:val="231F20"/>
          <w:spacing w:val="-7"/>
        </w:rPr>
        <w:t> </w:t>
      </w:r>
      <w:r>
        <w:rPr>
          <w:color w:val="231F20"/>
        </w:rPr>
        <w:t>fait</w:t>
      </w:r>
      <w:r>
        <w:rPr>
          <w:color w:val="231F20"/>
          <w:spacing w:val="-6"/>
        </w:rPr>
        <w:t> </w:t>
      </w:r>
      <w:r>
        <w:rPr>
          <w:color w:val="231F20"/>
        </w:rPr>
        <w:t>fuir</w:t>
      </w:r>
      <w:r>
        <w:rPr>
          <w:color w:val="231F20"/>
          <w:spacing w:val="-7"/>
        </w:rPr>
        <w:t> </w:t>
      </w:r>
      <w:r>
        <w:rPr>
          <w:color w:val="231F20"/>
        </w:rPr>
        <w:t>les</w:t>
      </w:r>
      <w:r>
        <w:rPr>
          <w:color w:val="231F20"/>
          <w:spacing w:val="-7"/>
        </w:rPr>
        <w:t> </w:t>
      </w:r>
      <w:r>
        <w:rPr>
          <w:color w:val="231F20"/>
        </w:rPr>
        <w:t>hommes</w:t>
      </w:r>
      <w:r>
        <w:rPr>
          <w:color w:val="231F20"/>
          <w:spacing w:val="-8"/>
        </w:rPr>
        <w:t> </w:t>
      </w:r>
      <w:r>
        <w:rPr>
          <w:color w:val="231F20"/>
        </w:rPr>
        <w:t>vers</w:t>
      </w:r>
      <w:r>
        <w:rPr>
          <w:color w:val="231F20"/>
          <w:spacing w:val="-9"/>
        </w:rPr>
        <w:t> </w:t>
      </w:r>
      <w:r>
        <w:rPr>
          <w:color w:val="231F20"/>
        </w:rPr>
        <w:t>la</w:t>
      </w:r>
      <w:r>
        <w:rPr>
          <w:color w:val="231F20"/>
          <w:spacing w:val="-6"/>
        </w:rPr>
        <w:t> </w:t>
      </w:r>
      <w:r>
        <w:rPr>
          <w:color w:val="231F20"/>
        </w:rPr>
        <w:t>Gold</w:t>
      </w:r>
      <w:r>
        <w:rPr>
          <w:color w:val="231F20"/>
          <w:spacing w:val="-9"/>
        </w:rPr>
        <w:t> </w:t>
      </w:r>
      <w:r>
        <w:rPr>
          <w:color w:val="231F20"/>
        </w:rPr>
        <w:t>Coast</w:t>
      </w:r>
      <w:r>
        <w:rPr>
          <w:color w:val="231F20"/>
          <w:spacing w:val="-8"/>
        </w:rPr>
        <w:t> </w:t>
      </w:r>
      <w:r>
        <w:rPr>
          <w:color w:val="231F20"/>
        </w:rPr>
        <w:t>(Ghana).</w:t>
      </w:r>
    </w:p>
    <w:p>
      <w:pPr>
        <w:pStyle w:val="BodyText"/>
        <w:spacing w:before="121"/>
        <w:ind w:right="108" w:firstLine="283"/>
      </w:pPr>
      <w:r>
        <w:rPr>
          <w:color w:val="231F20"/>
          <w:spacing w:val="-2"/>
        </w:rPr>
        <w:t>En</w:t>
      </w:r>
      <w:r>
        <w:rPr>
          <w:color w:val="231F20"/>
          <w:spacing w:val="-13"/>
        </w:rPr>
        <w:t> </w:t>
      </w:r>
      <w:r>
        <w:rPr>
          <w:color w:val="231F20"/>
          <w:spacing w:val="-2"/>
        </w:rPr>
        <w:t>1919,</w:t>
      </w:r>
      <w:r>
        <w:rPr>
          <w:color w:val="231F20"/>
          <w:spacing w:val="-13"/>
        </w:rPr>
        <w:t> </w:t>
      </w:r>
      <w:r>
        <w:rPr>
          <w:color w:val="231F20"/>
          <w:spacing w:val="-2"/>
        </w:rPr>
        <w:t>la</w:t>
      </w:r>
      <w:r>
        <w:rPr>
          <w:color w:val="231F20"/>
          <w:spacing w:val="-13"/>
        </w:rPr>
        <w:t> </w:t>
      </w:r>
      <w:r>
        <w:rPr>
          <w:color w:val="231F20"/>
          <w:spacing w:val="-2"/>
        </w:rPr>
        <w:t>colonie</w:t>
      </w:r>
      <w:r>
        <w:rPr>
          <w:color w:val="231F20"/>
          <w:spacing w:val="-13"/>
        </w:rPr>
        <w:t> </w:t>
      </w:r>
      <w:r>
        <w:rPr>
          <w:color w:val="231F20"/>
          <w:spacing w:val="-2"/>
        </w:rPr>
        <w:t>autonome</w:t>
      </w:r>
      <w:r>
        <w:rPr>
          <w:color w:val="231F20"/>
          <w:spacing w:val="-13"/>
        </w:rPr>
        <w:t> </w:t>
      </w:r>
      <w:r>
        <w:rPr>
          <w:color w:val="231F20"/>
          <w:spacing w:val="-2"/>
        </w:rPr>
        <w:t>de</w:t>
      </w:r>
      <w:r>
        <w:rPr>
          <w:color w:val="231F20"/>
          <w:spacing w:val="-12"/>
        </w:rPr>
        <w:t> </w:t>
      </w:r>
      <w:r>
        <w:rPr>
          <w:color w:val="231F20"/>
          <w:spacing w:val="-2"/>
        </w:rPr>
        <w:t>Haute</w:t>
      </w:r>
      <w:r>
        <w:rPr>
          <w:color w:val="231F20"/>
          <w:spacing w:val="-13"/>
        </w:rPr>
        <w:t> </w:t>
      </w:r>
      <w:r>
        <w:rPr>
          <w:color w:val="231F20"/>
          <w:spacing w:val="-2"/>
        </w:rPr>
        <w:t>Volta</w:t>
      </w:r>
      <w:r>
        <w:rPr>
          <w:color w:val="231F20"/>
          <w:spacing w:val="-13"/>
        </w:rPr>
        <w:t> </w:t>
      </w:r>
      <w:r>
        <w:rPr>
          <w:color w:val="231F20"/>
          <w:spacing w:val="-2"/>
        </w:rPr>
        <w:t>est</w:t>
      </w:r>
      <w:r>
        <w:rPr>
          <w:color w:val="231F20"/>
          <w:spacing w:val="-12"/>
        </w:rPr>
        <w:t> </w:t>
      </w:r>
      <w:r>
        <w:rPr>
          <w:color w:val="231F20"/>
          <w:spacing w:val="-2"/>
        </w:rPr>
        <w:t>créée</w:t>
      </w:r>
      <w:r>
        <w:rPr>
          <w:color w:val="231F20"/>
          <w:spacing w:val="-13"/>
        </w:rPr>
        <w:t> </w:t>
      </w:r>
      <w:r>
        <w:rPr>
          <w:color w:val="231F20"/>
          <w:spacing w:val="-2"/>
        </w:rPr>
        <w:t>pour</w:t>
      </w:r>
      <w:r>
        <w:rPr>
          <w:color w:val="231F20"/>
          <w:spacing w:val="-13"/>
        </w:rPr>
        <w:t> </w:t>
      </w:r>
      <w:r>
        <w:rPr>
          <w:color w:val="231F20"/>
          <w:spacing w:val="-2"/>
        </w:rPr>
        <w:t>mettre</w:t>
      </w:r>
      <w:r>
        <w:rPr>
          <w:color w:val="231F20"/>
          <w:spacing w:val="-13"/>
        </w:rPr>
        <w:t> </w:t>
      </w:r>
      <w:r>
        <w:rPr>
          <w:color w:val="231F20"/>
          <w:spacing w:val="-2"/>
        </w:rPr>
        <w:t>un </w:t>
      </w:r>
      <w:r>
        <w:rPr>
          <w:color w:val="231F20"/>
        </w:rPr>
        <w:t>frein au départ massif des travailleurs voltaïques vers la colonie britannique</w:t>
      </w:r>
      <w:r>
        <w:rPr>
          <w:color w:val="231F20"/>
          <w:spacing w:val="-11"/>
        </w:rPr>
        <w:t> </w:t>
      </w:r>
      <w:r>
        <w:rPr>
          <w:color w:val="231F20"/>
        </w:rPr>
        <w:t>plus</w:t>
      </w:r>
      <w:r>
        <w:rPr>
          <w:color w:val="231F20"/>
          <w:spacing w:val="-7"/>
        </w:rPr>
        <w:t> </w:t>
      </w:r>
      <w:r>
        <w:rPr>
          <w:color w:val="231F20"/>
        </w:rPr>
        <w:t>accueillante.</w:t>
      </w:r>
      <w:r>
        <w:rPr>
          <w:color w:val="231F20"/>
          <w:spacing w:val="-8"/>
        </w:rPr>
        <w:t> </w:t>
      </w:r>
      <w:r>
        <w:rPr>
          <w:color w:val="231F20"/>
        </w:rPr>
        <w:t>Le</w:t>
      </w:r>
      <w:r>
        <w:rPr>
          <w:color w:val="231F20"/>
          <w:spacing w:val="-8"/>
        </w:rPr>
        <w:t> </w:t>
      </w:r>
      <w:r>
        <w:rPr>
          <w:color w:val="231F20"/>
        </w:rPr>
        <w:t>chef-lieu</w:t>
      </w:r>
      <w:r>
        <w:rPr>
          <w:color w:val="231F20"/>
          <w:spacing w:val="-8"/>
        </w:rPr>
        <w:t> </w:t>
      </w:r>
      <w:r>
        <w:rPr>
          <w:color w:val="231F20"/>
        </w:rPr>
        <w:t>est</w:t>
      </w:r>
      <w:r>
        <w:rPr>
          <w:color w:val="231F20"/>
          <w:spacing w:val="-7"/>
        </w:rPr>
        <w:t> </w:t>
      </w:r>
      <w:r>
        <w:rPr>
          <w:color w:val="231F20"/>
        </w:rPr>
        <w:t>établi</w:t>
      </w:r>
      <w:r>
        <w:rPr>
          <w:color w:val="231F20"/>
          <w:spacing w:val="-8"/>
        </w:rPr>
        <w:t> </w:t>
      </w:r>
      <w:r>
        <w:rPr>
          <w:color w:val="231F20"/>
        </w:rPr>
        <w:t>à</w:t>
      </w:r>
      <w:r>
        <w:rPr>
          <w:color w:val="231F20"/>
          <w:spacing w:val="-8"/>
        </w:rPr>
        <w:t> </w:t>
      </w:r>
      <w:r>
        <w:rPr>
          <w:color w:val="231F20"/>
        </w:rPr>
        <w:t>Ouagadougou.</w:t>
      </w:r>
    </w:p>
    <w:p>
      <w:pPr>
        <w:pStyle w:val="BodyText"/>
        <w:spacing w:before="120"/>
        <w:ind w:right="105" w:firstLine="283"/>
      </w:pPr>
      <w:r>
        <w:rPr>
          <w:color w:val="231F20"/>
          <w:spacing w:val="-2"/>
        </w:rPr>
        <w:t>Le</w:t>
      </w:r>
      <w:r>
        <w:rPr>
          <w:color w:val="231F20"/>
          <w:spacing w:val="-13"/>
        </w:rPr>
        <w:t> </w:t>
      </w:r>
      <w:r>
        <w:rPr>
          <w:color w:val="231F20"/>
          <w:spacing w:val="-2"/>
        </w:rPr>
        <w:t>recours</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main</w:t>
      </w:r>
      <w:r>
        <w:rPr>
          <w:color w:val="231F20"/>
          <w:spacing w:val="-13"/>
        </w:rPr>
        <w:t> </w:t>
      </w:r>
      <w:r>
        <w:rPr>
          <w:color w:val="231F20"/>
          <w:spacing w:val="-2"/>
        </w:rPr>
        <w:t>d’œuvre</w:t>
      </w:r>
      <w:r>
        <w:rPr>
          <w:color w:val="231F20"/>
          <w:spacing w:val="-12"/>
        </w:rPr>
        <w:t> </w:t>
      </w:r>
      <w:r>
        <w:rPr>
          <w:color w:val="231F20"/>
          <w:spacing w:val="-2"/>
        </w:rPr>
        <w:t>voltaïque</w:t>
      </w:r>
      <w:r>
        <w:rPr>
          <w:color w:val="231F20"/>
          <w:spacing w:val="-12"/>
        </w:rPr>
        <w:t> </w:t>
      </w:r>
      <w:r>
        <w:rPr>
          <w:color w:val="231F20"/>
          <w:spacing w:val="-2"/>
        </w:rPr>
        <w:t>pour</w:t>
      </w:r>
      <w:r>
        <w:rPr>
          <w:color w:val="231F20"/>
          <w:spacing w:val="-13"/>
        </w:rPr>
        <w:t> </w:t>
      </w:r>
      <w:r>
        <w:rPr>
          <w:color w:val="231F20"/>
          <w:spacing w:val="-2"/>
        </w:rPr>
        <w:t>des</w:t>
      </w:r>
      <w:r>
        <w:rPr>
          <w:color w:val="231F20"/>
          <w:spacing w:val="-13"/>
        </w:rPr>
        <w:t> </w:t>
      </w:r>
      <w:r>
        <w:rPr>
          <w:color w:val="231F20"/>
          <w:spacing w:val="-2"/>
        </w:rPr>
        <w:t>usages</w:t>
      </w:r>
      <w:r>
        <w:rPr>
          <w:color w:val="231F20"/>
          <w:spacing w:val="-12"/>
        </w:rPr>
        <w:t> </w:t>
      </w:r>
      <w:r>
        <w:rPr>
          <w:color w:val="231F20"/>
          <w:spacing w:val="-2"/>
        </w:rPr>
        <w:t>extérieurs</w:t>
      </w:r>
      <w:r>
        <w:rPr>
          <w:color w:val="231F20"/>
          <w:spacing w:val="-12"/>
        </w:rPr>
        <w:t> </w:t>
      </w:r>
      <w:r>
        <w:rPr>
          <w:color w:val="231F20"/>
          <w:spacing w:val="-2"/>
        </w:rPr>
        <w:t>à</w:t>
      </w:r>
      <w:r>
        <w:rPr>
          <w:color w:val="231F20"/>
          <w:spacing w:val="-13"/>
        </w:rPr>
        <w:t> </w:t>
      </w:r>
      <w:r>
        <w:rPr>
          <w:color w:val="231F20"/>
          <w:spacing w:val="-2"/>
        </w:rPr>
        <w:t>la </w:t>
      </w:r>
      <w:r>
        <w:rPr>
          <w:color w:val="231F20"/>
        </w:rPr>
        <w:t>colonie elle-même, se généralise entre 1920 et 1924</w:t>
      </w:r>
      <w:r>
        <w:rPr>
          <w:color w:val="231F20"/>
          <w:spacing w:val="-15"/>
        </w:rPr>
        <w:t> </w:t>
      </w:r>
      <w:r>
        <w:rPr>
          <w:color w:val="231F20"/>
        </w:rPr>
        <w:t>: le gouvernement </w:t>
      </w:r>
      <w:r>
        <w:rPr>
          <w:color w:val="231F20"/>
          <w:spacing w:val="-6"/>
        </w:rPr>
        <w:t>général de l’AOF lève 25 279 manœuvres de Haute-Volta pour les travaux </w:t>
      </w:r>
      <w:r>
        <w:rPr>
          <w:color w:val="231F20"/>
          <w:spacing w:val="-2"/>
        </w:rPr>
        <w:t>du</w:t>
      </w:r>
      <w:r>
        <w:rPr>
          <w:color w:val="231F20"/>
          <w:spacing w:val="-13"/>
        </w:rPr>
        <w:t> </w:t>
      </w:r>
      <w:r>
        <w:rPr>
          <w:color w:val="231F20"/>
          <w:spacing w:val="-2"/>
        </w:rPr>
        <w:t>chemin</w:t>
      </w:r>
      <w:r>
        <w:rPr>
          <w:color w:val="231F20"/>
          <w:spacing w:val="-13"/>
        </w:rPr>
        <w:t> </w:t>
      </w:r>
      <w:r>
        <w:rPr>
          <w:color w:val="231F20"/>
          <w:spacing w:val="-2"/>
        </w:rPr>
        <w:t>de</w:t>
      </w:r>
      <w:r>
        <w:rPr>
          <w:color w:val="231F20"/>
          <w:spacing w:val="-13"/>
        </w:rPr>
        <w:t> </w:t>
      </w:r>
      <w:r>
        <w:rPr>
          <w:color w:val="231F20"/>
          <w:spacing w:val="-2"/>
        </w:rPr>
        <w:t>fer</w:t>
      </w:r>
      <w:r>
        <w:rPr>
          <w:color w:val="231F20"/>
          <w:spacing w:val="-13"/>
        </w:rPr>
        <w:t> </w:t>
      </w:r>
      <w:r>
        <w:rPr>
          <w:color w:val="231F20"/>
          <w:spacing w:val="-2"/>
        </w:rPr>
        <w:t>Thiès–Niger</w:t>
      </w:r>
      <w:r>
        <w:rPr>
          <w:color w:val="231F20"/>
          <w:spacing w:val="-13"/>
        </w:rPr>
        <w:t> </w:t>
      </w:r>
      <w:r>
        <w:rPr>
          <w:color w:val="231F20"/>
          <w:spacing w:val="-2"/>
        </w:rPr>
        <w:t>au</w:t>
      </w:r>
      <w:r>
        <w:rPr>
          <w:color w:val="231F20"/>
          <w:spacing w:val="-13"/>
        </w:rPr>
        <w:t> </w:t>
      </w:r>
      <w:r>
        <w:rPr>
          <w:color w:val="231F20"/>
          <w:spacing w:val="-2"/>
        </w:rPr>
        <w:t>Sénégal,</w:t>
      </w:r>
      <w:r>
        <w:rPr>
          <w:color w:val="231F20"/>
          <w:spacing w:val="-12"/>
        </w:rPr>
        <w:t> </w:t>
      </w:r>
      <w:r>
        <w:rPr>
          <w:color w:val="231F20"/>
          <w:spacing w:val="-2"/>
        </w:rPr>
        <w:t>42</w:t>
      </w:r>
      <w:r>
        <w:rPr>
          <w:color w:val="231F20"/>
          <w:spacing w:val="-13"/>
        </w:rPr>
        <w:t> </w:t>
      </w:r>
      <w:r>
        <w:rPr>
          <w:color w:val="231F20"/>
          <w:spacing w:val="-2"/>
        </w:rPr>
        <w:t>930</w:t>
      </w:r>
      <w:r>
        <w:rPr>
          <w:color w:val="231F20"/>
          <w:spacing w:val="-13"/>
        </w:rPr>
        <w:t> </w:t>
      </w:r>
      <w:r>
        <w:rPr>
          <w:color w:val="231F20"/>
          <w:spacing w:val="-2"/>
        </w:rPr>
        <w:t>pour</w:t>
      </w:r>
      <w:r>
        <w:rPr>
          <w:color w:val="231F20"/>
          <w:spacing w:val="-12"/>
        </w:rPr>
        <w:t> </w:t>
      </w:r>
      <w:r>
        <w:rPr>
          <w:color w:val="231F20"/>
          <w:spacing w:val="-2"/>
        </w:rPr>
        <w:t>la</w:t>
      </w:r>
      <w:r>
        <w:rPr>
          <w:color w:val="231F20"/>
          <w:spacing w:val="-13"/>
        </w:rPr>
        <w:t> </w:t>
      </w:r>
      <w:r>
        <w:rPr>
          <w:color w:val="231F20"/>
          <w:spacing w:val="-2"/>
        </w:rPr>
        <w:t>construction</w:t>
      </w:r>
      <w:r>
        <w:rPr>
          <w:color w:val="231F20"/>
          <w:spacing w:val="-13"/>
        </w:rPr>
        <w:t> </w:t>
      </w:r>
      <w:r>
        <w:rPr>
          <w:color w:val="231F20"/>
          <w:spacing w:val="-2"/>
        </w:rPr>
        <w:t>du chemin</w:t>
      </w:r>
      <w:r>
        <w:rPr>
          <w:color w:val="231F20"/>
          <w:spacing w:val="-13"/>
        </w:rPr>
        <w:t> </w:t>
      </w:r>
      <w:r>
        <w:rPr>
          <w:color w:val="231F20"/>
          <w:spacing w:val="-2"/>
        </w:rPr>
        <w:t>de</w:t>
      </w:r>
      <w:r>
        <w:rPr>
          <w:color w:val="231F20"/>
          <w:spacing w:val="-13"/>
        </w:rPr>
        <w:t> </w:t>
      </w:r>
      <w:r>
        <w:rPr>
          <w:color w:val="231F20"/>
          <w:spacing w:val="-2"/>
        </w:rPr>
        <w:t>fer</w:t>
      </w:r>
      <w:r>
        <w:rPr>
          <w:color w:val="231F20"/>
          <w:spacing w:val="-13"/>
        </w:rPr>
        <w:t> </w:t>
      </w:r>
      <w:r>
        <w:rPr>
          <w:color w:val="231F20"/>
          <w:spacing w:val="-2"/>
        </w:rPr>
        <w:t>ivoirien</w:t>
      </w:r>
      <w:r>
        <w:rPr>
          <w:color w:val="231F20"/>
          <w:spacing w:val="-13"/>
        </w:rPr>
        <w:t> </w:t>
      </w:r>
      <w:r>
        <w:rPr>
          <w:color w:val="231F20"/>
          <w:spacing w:val="-2"/>
        </w:rPr>
        <w:t>et</w:t>
      </w:r>
      <w:r>
        <w:rPr>
          <w:color w:val="231F20"/>
          <w:spacing w:val="-13"/>
        </w:rPr>
        <w:t> </w:t>
      </w:r>
      <w:r>
        <w:rPr>
          <w:color w:val="231F20"/>
          <w:spacing w:val="-2"/>
        </w:rPr>
        <w:t>16</w:t>
      </w:r>
      <w:r>
        <w:rPr>
          <w:color w:val="231F20"/>
          <w:spacing w:val="-13"/>
        </w:rPr>
        <w:t> </w:t>
      </w:r>
      <w:r>
        <w:rPr>
          <w:color w:val="231F20"/>
          <w:spacing w:val="-2"/>
        </w:rPr>
        <w:t>541</w:t>
      </w:r>
      <w:r>
        <w:rPr>
          <w:color w:val="231F20"/>
          <w:spacing w:val="-13"/>
        </w:rPr>
        <w:t> </w:t>
      </w:r>
      <w:r>
        <w:rPr>
          <w:color w:val="231F20"/>
          <w:spacing w:val="-2"/>
        </w:rPr>
        <w:t>sur</w:t>
      </w:r>
      <w:r>
        <w:rPr>
          <w:color w:val="231F20"/>
          <w:spacing w:val="-13"/>
        </w:rPr>
        <w:t> </w:t>
      </w:r>
      <w:r>
        <w:rPr>
          <w:color w:val="231F20"/>
          <w:spacing w:val="-2"/>
        </w:rPr>
        <w:t>les</w:t>
      </w:r>
      <w:r>
        <w:rPr>
          <w:color w:val="231F20"/>
          <w:spacing w:val="-13"/>
        </w:rPr>
        <w:t> </w:t>
      </w:r>
      <w:r>
        <w:rPr>
          <w:color w:val="231F20"/>
          <w:spacing w:val="-2"/>
        </w:rPr>
        <w:t>chantiers</w:t>
      </w:r>
      <w:r>
        <w:rPr>
          <w:color w:val="231F20"/>
          <w:spacing w:val="-13"/>
        </w:rPr>
        <w:t> </w:t>
      </w:r>
      <w:r>
        <w:rPr>
          <w:color w:val="231F20"/>
          <w:spacing w:val="-2"/>
        </w:rPr>
        <w:t>forestiers</w:t>
      </w:r>
      <w:r>
        <w:rPr>
          <w:color w:val="231F20"/>
          <w:spacing w:val="-13"/>
        </w:rPr>
        <w:t> </w:t>
      </w:r>
      <w:r>
        <w:rPr>
          <w:color w:val="231F20"/>
          <w:spacing w:val="-2"/>
        </w:rPr>
        <w:t>ivoiriens</w:t>
      </w:r>
      <w:r>
        <w:rPr>
          <w:color w:val="231F20"/>
          <w:spacing w:val="-13"/>
        </w:rPr>
        <w:t> </w:t>
      </w:r>
      <w:r>
        <w:rPr>
          <w:color w:val="231F20"/>
          <w:spacing w:val="-2"/>
        </w:rPr>
        <w:t>entre </w:t>
      </w:r>
      <w:r>
        <w:rPr>
          <w:color w:val="231F20"/>
        </w:rPr>
        <w:t>1921 et 1930.</w:t>
      </w:r>
    </w:p>
    <w:p>
      <w:pPr>
        <w:pStyle w:val="BodyText"/>
        <w:spacing w:before="121"/>
        <w:ind w:right="104" w:firstLine="283"/>
      </w:pPr>
      <w:r>
        <w:rPr>
          <w:color w:val="231F20"/>
        </w:rPr>
        <w:t>En 1932, sous la pression des colons et des groupes économiques installés en Côte d’Ivoire, notamment les grandes compagnies comme la</w:t>
      </w:r>
      <w:r>
        <w:rPr>
          <w:color w:val="231F20"/>
          <w:spacing w:val="-15"/>
        </w:rPr>
        <w:t> </w:t>
      </w:r>
      <w:r>
        <w:rPr>
          <w:color w:val="231F20"/>
        </w:rPr>
        <w:t>Société Commerciale de l’Ouest Africain (SCOA), la Compagnie Française de l’Afrique Occidentale (CFAO) et les Etablissements Peyrissac, la Haute Volta est dissoute. Selon le ministre Français des colonies Albert Sarrault, il faut «</w:t>
      </w:r>
      <w:r>
        <w:rPr>
          <w:color w:val="231F20"/>
          <w:spacing w:val="-13"/>
        </w:rPr>
        <w:t> </w:t>
      </w:r>
      <w:r>
        <w:rPr>
          <w:i/>
          <w:color w:val="231F20"/>
        </w:rPr>
        <w:t>mettre à la disposition de la Côte</w:t>
      </w:r>
      <w:r>
        <w:rPr>
          <w:i/>
          <w:color w:val="231F20"/>
        </w:rPr>
        <w:t> d’Ivoire,</w:t>
      </w:r>
      <w:r>
        <w:rPr>
          <w:i/>
          <w:color w:val="231F20"/>
          <w:spacing w:val="-12"/>
        </w:rPr>
        <w:t> </w:t>
      </w:r>
      <w:r>
        <w:rPr>
          <w:i/>
          <w:color w:val="231F20"/>
        </w:rPr>
        <w:t>la</w:t>
      </w:r>
      <w:r>
        <w:rPr>
          <w:i/>
          <w:color w:val="231F20"/>
          <w:spacing w:val="-11"/>
        </w:rPr>
        <w:t> </w:t>
      </w:r>
      <w:r>
        <w:rPr>
          <w:i/>
          <w:color w:val="231F20"/>
        </w:rPr>
        <w:t>main</w:t>
      </w:r>
      <w:r>
        <w:rPr>
          <w:i/>
          <w:color w:val="231F20"/>
          <w:spacing w:val="-11"/>
        </w:rPr>
        <w:t> </w:t>
      </w:r>
      <w:r>
        <w:rPr>
          <w:i/>
          <w:color w:val="231F20"/>
        </w:rPr>
        <w:t>d’œuvre</w:t>
      </w:r>
      <w:r>
        <w:rPr>
          <w:i/>
          <w:color w:val="231F20"/>
          <w:spacing w:val="-13"/>
        </w:rPr>
        <w:t> </w:t>
      </w:r>
      <w:r>
        <w:rPr>
          <w:i/>
          <w:color w:val="231F20"/>
        </w:rPr>
        <w:t>abondante</w:t>
      </w:r>
      <w:r>
        <w:rPr>
          <w:i/>
          <w:color w:val="231F20"/>
          <w:spacing w:val="-11"/>
        </w:rPr>
        <w:t> </w:t>
      </w:r>
      <w:r>
        <w:rPr>
          <w:i/>
          <w:color w:val="231F20"/>
        </w:rPr>
        <w:t>et</w:t>
      </w:r>
      <w:r>
        <w:rPr>
          <w:i/>
          <w:color w:val="231F20"/>
          <w:spacing w:val="-12"/>
        </w:rPr>
        <w:t> </w:t>
      </w:r>
      <w:r>
        <w:rPr>
          <w:i/>
          <w:color w:val="231F20"/>
        </w:rPr>
        <w:t>disciplinée</w:t>
      </w:r>
      <w:r>
        <w:rPr>
          <w:i/>
          <w:color w:val="231F20"/>
          <w:spacing w:val="-12"/>
        </w:rPr>
        <w:t> </w:t>
      </w:r>
      <w:r>
        <w:rPr>
          <w:i/>
          <w:color w:val="231F20"/>
        </w:rPr>
        <w:t>qui</w:t>
      </w:r>
      <w:r>
        <w:rPr>
          <w:i/>
          <w:color w:val="231F20"/>
          <w:spacing w:val="-11"/>
        </w:rPr>
        <w:t> </w:t>
      </w:r>
      <w:r>
        <w:rPr>
          <w:i/>
          <w:color w:val="231F20"/>
        </w:rPr>
        <w:t>lui</w:t>
      </w:r>
      <w:r>
        <w:rPr>
          <w:i/>
          <w:color w:val="231F20"/>
          <w:spacing w:val="-11"/>
        </w:rPr>
        <w:t> </w:t>
      </w:r>
      <w:r>
        <w:rPr>
          <w:i/>
          <w:color w:val="231F20"/>
        </w:rPr>
        <w:t>manque</w:t>
      </w:r>
      <w:r>
        <w:rPr>
          <w:i/>
          <w:color w:val="231F20"/>
          <w:spacing w:val="-11"/>
        </w:rPr>
        <w:t> </w:t>
      </w:r>
      <w:r>
        <w:rPr>
          <w:i/>
          <w:color w:val="231F20"/>
        </w:rPr>
        <w:t>pour lui</w:t>
      </w:r>
      <w:r>
        <w:rPr>
          <w:i/>
          <w:color w:val="231F20"/>
          <w:spacing w:val="-15"/>
        </w:rPr>
        <w:t> </w:t>
      </w:r>
      <w:r>
        <w:rPr>
          <w:i/>
          <w:color w:val="231F20"/>
        </w:rPr>
        <w:t>insuffler une vigueur prometteuse.</w:t>
      </w:r>
      <w:r>
        <w:rPr>
          <w:i/>
          <w:color w:val="231F20"/>
          <w:spacing w:val="-15"/>
        </w:rPr>
        <w:t> </w:t>
      </w:r>
      <w:r>
        <w:rPr>
          <w:i/>
          <w:color w:val="231F20"/>
        </w:rPr>
        <w:t>» </w:t>
      </w:r>
      <w:r>
        <w:rPr>
          <w:color w:val="231F20"/>
        </w:rPr>
        <w:t>L’Administration coloniale rattache</w:t>
      </w:r>
      <w:r>
        <w:rPr>
          <w:color w:val="231F20"/>
          <w:spacing w:val="-3"/>
        </w:rPr>
        <w:t> </w:t>
      </w:r>
      <w:r>
        <w:rPr>
          <w:color w:val="231F20"/>
        </w:rPr>
        <w:t>plus</w:t>
      </w:r>
      <w:r>
        <w:rPr>
          <w:color w:val="231F20"/>
          <w:spacing w:val="-6"/>
        </w:rPr>
        <w:t> </w:t>
      </w:r>
      <w:r>
        <w:rPr>
          <w:color w:val="231F20"/>
        </w:rPr>
        <w:t>de</w:t>
      </w:r>
      <w:r>
        <w:rPr>
          <w:color w:val="231F20"/>
          <w:spacing w:val="-3"/>
        </w:rPr>
        <w:t> </w:t>
      </w:r>
      <w:r>
        <w:rPr>
          <w:color w:val="231F20"/>
        </w:rPr>
        <w:t>la</w:t>
      </w:r>
      <w:r>
        <w:rPr>
          <w:color w:val="231F20"/>
          <w:spacing w:val="-6"/>
        </w:rPr>
        <w:t> </w:t>
      </w:r>
      <w:r>
        <w:rPr>
          <w:color w:val="231F20"/>
        </w:rPr>
        <w:t>moitié</w:t>
      </w:r>
      <w:r>
        <w:rPr>
          <w:color w:val="231F20"/>
          <w:spacing w:val="-6"/>
        </w:rPr>
        <w:t> </w:t>
      </w:r>
      <w:r>
        <w:rPr>
          <w:color w:val="231F20"/>
        </w:rPr>
        <w:t>du</w:t>
      </w:r>
      <w:r>
        <w:rPr>
          <w:color w:val="231F20"/>
          <w:spacing w:val="-6"/>
        </w:rPr>
        <w:t> </w:t>
      </w:r>
      <w:r>
        <w:rPr>
          <w:color w:val="231F20"/>
        </w:rPr>
        <w:t>territoire</w:t>
      </w:r>
      <w:r>
        <w:rPr>
          <w:color w:val="231F20"/>
          <w:spacing w:val="-3"/>
        </w:rPr>
        <w:t> </w:t>
      </w:r>
      <w:r>
        <w:rPr>
          <w:color w:val="231F20"/>
        </w:rPr>
        <w:t>voltaïque</w:t>
      </w:r>
      <w:r>
        <w:rPr>
          <w:color w:val="231F20"/>
          <w:spacing w:val="-6"/>
        </w:rPr>
        <w:t> </w:t>
      </w:r>
      <w:r>
        <w:rPr>
          <w:color w:val="231F20"/>
        </w:rPr>
        <w:t>à</w:t>
      </w:r>
      <w:r>
        <w:rPr>
          <w:color w:val="231F20"/>
          <w:spacing w:val="-4"/>
        </w:rPr>
        <w:t> </w:t>
      </w:r>
      <w:r>
        <w:rPr>
          <w:color w:val="231F20"/>
        </w:rPr>
        <w:t>la</w:t>
      </w:r>
      <w:r>
        <w:rPr>
          <w:color w:val="231F20"/>
          <w:spacing w:val="-3"/>
        </w:rPr>
        <w:t> </w:t>
      </w:r>
      <w:r>
        <w:rPr>
          <w:color w:val="231F20"/>
        </w:rPr>
        <w:t>Côte</w:t>
      </w:r>
      <w:r>
        <w:rPr>
          <w:color w:val="231F20"/>
          <w:spacing w:val="-6"/>
        </w:rPr>
        <w:t> </w:t>
      </w:r>
      <w:r>
        <w:rPr>
          <w:color w:val="231F20"/>
        </w:rPr>
        <w:t>d’Ivoire</w:t>
      </w:r>
      <w:r>
        <w:rPr>
          <w:color w:val="231F20"/>
          <w:spacing w:val="-3"/>
        </w:rPr>
        <w:t> </w:t>
      </w:r>
      <w:r>
        <w:rPr>
          <w:color w:val="231F20"/>
        </w:rPr>
        <w:t>mais surtout une importante population</w:t>
      </w:r>
      <w:r>
        <w:rPr>
          <w:color w:val="231F20"/>
          <w:spacing w:val="-13"/>
        </w:rPr>
        <w:t> </w:t>
      </w:r>
      <w:r>
        <w:rPr>
          <w:color w:val="231F20"/>
        </w:rPr>
        <w:t>: 2 019</w:t>
      </w:r>
      <w:r>
        <w:rPr>
          <w:color w:val="231F20"/>
          <w:spacing w:val="-15"/>
        </w:rPr>
        <w:t> </w:t>
      </w:r>
      <w:r>
        <w:rPr>
          <w:color w:val="231F20"/>
        </w:rPr>
        <w:t>000 de voltaïques venant renforcer les effectifs d’une Côte d’Ivoire alors moins peuplée avec seulement 1 863 243 habitants.</w:t>
      </w:r>
    </w:p>
    <w:p>
      <w:pPr>
        <w:pStyle w:val="BodyText"/>
        <w:spacing w:before="74"/>
        <w:ind w:left="0"/>
        <w:jc w:val="left"/>
        <w:rPr>
          <w:sz w:val="20"/>
        </w:rPr>
      </w:pPr>
      <w:r>
        <w:rPr/>
        <mc:AlternateContent>
          <mc:Choice Requires="wps">
            <w:drawing>
              <wp:anchor distT="0" distB="0" distL="0" distR="0" allowOverlap="1" layoutInCell="1" locked="0" behindDoc="1" simplePos="0" relativeHeight="487622144">
                <wp:simplePos x="0" y="0"/>
                <wp:positionH relativeFrom="page">
                  <wp:posOffset>629907</wp:posOffset>
                </wp:positionH>
                <wp:positionV relativeFrom="paragraph">
                  <wp:posOffset>208266</wp:posOffset>
                </wp:positionV>
                <wp:extent cx="1829435" cy="9525"/>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398907pt;width:144.020pt;height:.72pt;mso-position-horizontal-relative:page;mso-position-vertical-relative:paragraph;z-index:-15694336;mso-wrap-distance-left:0;mso-wrap-distance-right:0" id="docshape84"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107</w:t>
      </w:r>
      <w:r>
        <w:rPr>
          <w:color w:val="76787A"/>
          <w:spacing w:val="-19"/>
          <w:sz w:val="20"/>
          <w:vertAlign w:val="baseline"/>
        </w:rPr>
        <w:t> </w:t>
      </w:r>
      <w:r>
        <w:rPr>
          <w:color w:val="231F20"/>
          <w:spacing w:val="-2"/>
          <w:sz w:val="20"/>
          <w:vertAlign w:val="baseline"/>
        </w:rPr>
        <w:t>source</w:t>
      </w:r>
      <w:r>
        <w:rPr>
          <w:color w:val="231F20"/>
          <w:spacing w:val="-11"/>
          <w:sz w:val="20"/>
          <w:vertAlign w:val="baseline"/>
        </w:rPr>
        <w:t> </w:t>
      </w:r>
      <w:r>
        <w:rPr>
          <w:color w:val="231F20"/>
          <w:spacing w:val="-2"/>
          <w:sz w:val="20"/>
          <w:vertAlign w:val="baseline"/>
        </w:rPr>
        <w:t>Wikipédia.</w:t>
      </w:r>
    </w:p>
    <w:p>
      <w:pPr>
        <w:spacing w:after="0"/>
        <w:jc w:val="left"/>
        <w:rPr>
          <w:sz w:val="20"/>
        </w:rPr>
        <w:sectPr>
          <w:pgSz w:w="8790" w:h="13610"/>
          <w:pgMar w:header="0" w:footer="802" w:top="1440" w:bottom="1000" w:left="880" w:right="880"/>
        </w:sectPr>
      </w:pPr>
    </w:p>
    <w:p>
      <w:pPr>
        <w:pStyle w:val="BodyText"/>
        <w:spacing w:before="66"/>
        <w:ind w:right="102" w:firstLine="283"/>
      </w:pPr>
      <w:r>
        <w:rPr>
          <w:color w:val="231F20"/>
          <w:spacing w:val="-4"/>
        </w:rPr>
        <w:t>Le 4</w:t>
      </w:r>
      <w:r>
        <w:rPr>
          <w:color w:val="231F20"/>
          <w:spacing w:val="-5"/>
        </w:rPr>
        <w:t> </w:t>
      </w:r>
      <w:r>
        <w:rPr>
          <w:color w:val="231F20"/>
          <w:spacing w:val="-4"/>
        </w:rPr>
        <w:t>septembre</w:t>
      </w:r>
      <w:r>
        <w:rPr>
          <w:color w:val="231F20"/>
          <w:spacing w:val="-7"/>
        </w:rPr>
        <w:t> </w:t>
      </w:r>
      <w:r>
        <w:rPr>
          <w:color w:val="231F20"/>
          <w:spacing w:val="-4"/>
        </w:rPr>
        <w:t>1947,</w:t>
      </w:r>
      <w:r>
        <w:rPr>
          <w:color w:val="231F20"/>
          <w:spacing w:val="-5"/>
        </w:rPr>
        <w:t> </w:t>
      </w:r>
      <w:r>
        <w:rPr>
          <w:color w:val="231F20"/>
          <w:spacing w:val="-4"/>
        </w:rPr>
        <w:t>la</w:t>
      </w:r>
      <w:r>
        <w:rPr>
          <w:color w:val="231F20"/>
          <w:spacing w:val="-7"/>
        </w:rPr>
        <w:t> </w:t>
      </w:r>
      <w:r>
        <w:rPr>
          <w:color w:val="231F20"/>
          <w:spacing w:val="-4"/>
        </w:rPr>
        <w:t>Haute-Volta redevient</w:t>
      </w:r>
      <w:r>
        <w:rPr>
          <w:color w:val="231F20"/>
          <w:spacing w:val="-5"/>
        </w:rPr>
        <w:t> </w:t>
      </w:r>
      <w:r>
        <w:rPr>
          <w:color w:val="231F20"/>
          <w:spacing w:val="-4"/>
        </w:rPr>
        <w:t>un</w:t>
      </w:r>
      <w:r>
        <w:rPr>
          <w:color w:val="231F20"/>
          <w:spacing w:val="-9"/>
        </w:rPr>
        <w:t> </w:t>
      </w:r>
      <w:r>
        <w:rPr>
          <w:color w:val="231F20"/>
          <w:spacing w:val="-4"/>
        </w:rPr>
        <w:t>territoire autonome. </w:t>
      </w:r>
      <w:r>
        <w:rPr>
          <w:color w:val="231F20"/>
        </w:rPr>
        <w:t>Ses</w:t>
      </w:r>
      <w:r>
        <w:rPr>
          <w:color w:val="231F20"/>
          <w:spacing w:val="-15"/>
        </w:rPr>
        <w:t> </w:t>
      </w:r>
      <w:r>
        <w:rPr>
          <w:color w:val="231F20"/>
        </w:rPr>
        <w:t>revendications</w:t>
      </w:r>
      <w:r>
        <w:rPr>
          <w:color w:val="231F20"/>
          <w:spacing w:val="-15"/>
        </w:rPr>
        <w:t> </w:t>
      </w:r>
      <w:r>
        <w:rPr>
          <w:color w:val="231F20"/>
        </w:rPr>
        <w:t>sont</w:t>
      </w:r>
      <w:r>
        <w:rPr>
          <w:color w:val="231F20"/>
          <w:spacing w:val="-15"/>
        </w:rPr>
        <w:t> </w:t>
      </w:r>
      <w:r>
        <w:rPr>
          <w:color w:val="231F20"/>
        </w:rPr>
        <w:t>portées</w:t>
      </w:r>
      <w:r>
        <w:rPr>
          <w:color w:val="231F20"/>
          <w:spacing w:val="-15"/>
        </w:rPr>
        <w:t> </w:t>
      </w:r>
      <w:r>
        <w:rPr>
          <w:color w:val="231F20"/>
        </w:rPr>
        <w:t>par</w:t>
      </w:r>
      <w:r>
        <w:rPr>
          <w:color w:val="231F20"/>
          <w:spacing w:val="-15"/>
        </w:rPr>
        <w:t> </w:t>
      </w:r>
      <w:r>
        <w:rPr>
          <w:color w:val="231F20"/>
        </w:rPr>
        <w:t>Daniel</w:t>
      </w:r>
      <w:r>
        <w:rPr>
          <w:color w:val="231F20"/>
          <w:spacing w:val="-15"/>
        </w:rPr>
        <w:t> </w:t>
      </w:r>
      <w:r>
        <w:rPr>
          <w:color w:val="231F20"/>
        </w:rPr>
        <w:t>Ouezzin</w:t>
      </w:r>
      <w:r>
        <w:rPr>
          <w:color w:val="231F20"/>
          <w:spacing w:val="-15"/>
        </w:rPr>
        <w:t> </w:t>
      </w:r>
      <w:r>
        <w:rPr>
          <w:color w:val="231F20"/>
        </w:rPr>
        <w:t>Coulibaly.</w:t>
      </w:r>
      <w:r>
        <w:rPr>
          <w:color w:val="231F20"/>
          <w:spacing w:val="-15"/>
        </w:rPr>
        <w:t> </w:t>
      </w:r>
      <w:r>
        <w:rPr>
          <w:color w:val="231F20"/>
        </w:rPr>
        <w:t>Il</w:t>
      </w:r>
      <w:r>
        <w:rPr>
          <w:color w:val="231F20"/>
          <w:spacing w:val="-15"/>
        </w:rPr>
        <w:t> </w:t>
      </w:r>
      <w:r>
        <w:rPr>
          <w:color w:val="231F20"/>
        </w:rPr>
        <w:t>a</w:t>
      </w:r>
      <w:r>
        <w:rPr>
          <w:color w:val="231F20"/>
          <w:spacing w:val="-15"/>
        </w:rPr>
        <w:t> </w:t>
      </w:r>
      <w:r>
        <w:rPr>
          <w:color w:val="231F20"/>
        </w:rPr>
        <w:t>été</w:t>
      </w:r>
      <w:r>
        <w:rPr>
          <w:color w:val="231F20"/>
          <w:spacing w:val="-15"/>
        </w:rPr>
        <w:t> </w:t>
      </w:r>
      <w:r>
        <w:rPr>
          <w:color w:val="231F20"/>
        </w:rPr>
        <w:t>le </w:t>
      </w:r>
      <w:r>
        <w:rPr>
          <w:color w:val="231F20"/>
          <w:spacing w:val="-2"/>
        </w:rPr>
        <w:t>directeur</w:t>
      </w:r>
      <w:r>
        <w:rPr>
          <w:color w:val="231F20"/>
          <w:spacing w:val="-9"/>
        </w:rPr>
        <w:t> </w:t>
      </w:r>
      <w:r>
        <w:rPr>
          <w:color w:val="231F20"/>
          <w:spacing w:val="-2"/>
        </w:rPr>
        <w:t>de</w:t>
      </w:r>
      <w:r>
        <w:rPr>
          <w:color w:val="231F20"/>
          <w:spacing w:val="-12"/>
        </w:rPr>
        <w:t> </w:t>
      </w:r>
      <w:r>
        <w:rPr>
          <w:color w:val="231F20"/>
          <w:spacing w:val="-2"/>
        </w:rPr>
        <w:t>l’école</w:t>
      </w:r>
      <w:r>
        <w:rPr>
          <w:color w:val="231F20"/>
          <w:spacing w:val="-12"/>
        </w:rPr>
        <w:t> </w:t>
      </w:r>
      <w:r>
        <w:rPr>
          <w:color w:val="231F20"/>
          <w:spacing w:val="-2"/>
        </w:rPr>
        <w:t>primaire</w:t>
      </w:r>
      <w:r>
        <w:rPr>
          <w:color w:val="231F20"/>
          <w:spacing w:val="-9"/>
        </w:rPr>
        <w:t> </w:t>
      </w:r>
      <w:r>
        <w:rPr>
          <w:color w:val="231F20"/>
          <w:spacing w:val="-2"/>
        </w:rPr>
        <w:t>publique</w:t>
      </w:r>
      <w:r>
        <w:rPr>
          <w:color w:val="231F20"/>
          <w:spacing w:val="-8"/>
        </w:rPr>
        <w:t> </w:t>
      </w:r>
      <w:r>
        <w:rPr>
          <w:color w:val="231F20"/>
          <w:spacing w:val="-2"/>
        </w:rPr>
        <w:t>de</w:t>
      </w:r>
      <w:r>
        <w:rPr>
          <w:color w:val="231F20"/>
          <w:spacing w:val="-11"/>
        </w:rPr>
        <w:t> </w:t>
      </w:r>
      <w:r>
        <w:rPr>
          <w:color w:val="231F20"/>
          <w:spacing w:val="-2"/>
        </w:rPr>
        <w:t>Banfora</w:t>
      </w:r>
      <w:r>
        <w:rPr>
          <w:color w:val="231F20"/>
          <w:spacing w:val="-8"/>
        </w:rPr>
        <w:t> </w:t>
      </w:r>
      <w:r>
        <w:rPr>
          <w:color w:val="231F20"/>
          <w:spacing w:val="-2"/>
        </w:rPr>
        <w:t>avant</w:t>
      </w:r>
      <w:r>
        <w:rPr>
          <w:color w:val="231F20"/>
          <w:spacing w:val="-8"/>
        </w:rPr>
        <w:t> </w:t>
      </w:r>
      <w:r>
        <w:rPr>
          <w:color w:val="231F20"/>
          <w:spacing w:val="-2"/>
        </w:rPr>
        <w:t>d’être</w:t>
      </w:r>
      <w:r>
        <w:rPr>
          <w:color w:val="231F20"/>
          <w:spacing w:val="-8"/>
        </w:rPr>
        <w:t> </w:t>
      </w:r>
      <w:r>
        <w:rPr>
          <w:color w:val="231F20"/>
          <w:spacing w:val="-2"/>
        </w:rPr>
        <w:t>appelé</w:t>
      </w:r>
      <w:r>
        <w:rPr>
          <w:color w:val="231F20"/>
          <w:spacing w:val="-11"/>
        </w:rPr>
        <w:t> </w:t>
      </w:r>
      <w:r>
        <w:rPr>
          <w:color w:val="231F20"/>
          <w:spacing w:val="-2"/>
        </w:rPr>
        <w:t>par </w:t>
      </w:r>
      <w:r>
        <w:rPr>
          <w:color w:val="231F20"/>
        </w:rPr>
        <w:t>Alfred Dirand le directeur de l’Ecole William Ponty, au poste de Surveillant</w:t>
      </w:r>
      <w:r>
        <w:rPr>
          <w:color w:val="231F20"/>
          <w:spacing w:val="-15"/>
        </w:rPr>
        <w:t> </w:t>
      </w:r>
      <w:r>
        <w:rPr>
          <w:color w:val="231F20"/>
        </w:rPr>
        <w:t>général</w:t>
      </w:r>
      <w:r>
        <w:rPr>
          <w:color w:val="231F20"/>
          <w:spacing w:val="-15"/>
        </w:rPr>
        <w:t> </w:t>
      </w:r>
      <w:r>
        <w:rPr>
          <w:color w:val="231F20"/>
        </w:rPr>
        <w:t>et</w:t>
      </w:r>
      <w:r>
        <w:rPr>
          <w:color w:val="231F20"/>
          <w:spacing w:val="-15"/>
        </w:rPr>
        <w:t> </w:t>
      </w:r>
      <w:r>
        <w:rPr>
          <w:color w:val="231F20"/>
        </w:rPr>
        <w:t>Chargé</w:t>
      </w:r>
      <w:r>
        <w:rPr>
          <w:color w:val="231F20"/>
          <w:spacing w:val="-15"/>
        </w:rPr>
        <w:t> </w:t>
      </w:r>
      <w:r>
        <w:rPr>
          <w:color w:val="231F20"/>
        </w:rPr>
        <w:t>de</w:t>
      </w:r>
      <w:r>
        <w:rPr>
          <w:color w:val="231F20"/>
          <w:spacing w:val="-15"/>
        </w:rPr>
        <w:t> </w:t>
      </w:r>
      <w:r>
        <w:rPr>
          <w:color w:val="231F20"/>
        </w:rPr>
        <w:t>cours</w:t>
      </w:r>
      <w:r>
        <w:rPr>
          <w:color w:val="231F20"/>
          <w:spacing w:val="-15"/>
        </w:rPr>
        <w:t> </w:t>
      </w:r>
      <w:r>
        <w:rPr>
          <w:color w:val="231F20"/>
        </w:rPr>
        <w:t>de</w:t>
      </w:r>
      <w:r>
        <w:rPr>
          <w:color w:val="231F20"/>
          <w:spacing w:val="-15"/>
        </w:rPr>
        <w:t> </w:t>
      </w:r>
      <w:r>
        <w:rPr>
          <w:color w:val="231F20"/>
        </w:rPr>
        <w:t>pédagogie</w:t>
      </w:r>
      <w:r>
        <w:rPr>
          <w:color w:val="231F20"/>
          <w:spacing w:val="-14"/>
        </w:rPr>
        <w:t> </w:t>
      </w:r>
      <w:r>
        <w:rPr>
          <w:color w:val="231F20"/>
        </w:rPr>
        <w:t>de</w:t>
      </w:r>
      <w:r>
        <w:rPr>
          <w:color w:val="231F20"/>
          <w:spacing w:val="-14"/>
        </w:rPr>
        <w:t> </w:t>
      </w:r>
      <w:r>
        <w:rPr>
          <w:color w:val="231F20"/>
        </w:rPr>
        <w:t>l’Ecole.</w:t>
      </w:r>
      <w:r>
        <w:rPr>
          <w:color w:val="231F20"/>
          <w:spacing w:val="-15"/>
        </w:rPr>
        <w:t> </w:t>
      </w:r>
      <w:r>
        <w:rPr>
          <w:color w:val="231F20"/>
        </w:rPr>
        <w:t>Premier instituteur</w:t>
      </w:r>
      <w:r>
        <w:rPr>
          <w:color w:val="231F20"/>
          <w:spacing w:val="-3"/>
        </w:rPr>
        <w:t> </w:t>
      </w:r>
      <w:r>
        <w:rPr>
          <w:color w:val="231F20"/>
        </w:rPr>
        <w:t>africain</w:t>
      </w:r>
      <w:r>
        <w:rPr>
          <w:color w:val="231F20"/>
          <w:spacing w:val="-2"/>
        </w:rPr>
        <w:t> </w:t>
      </w:r>
      <w:r>
        <w:rPr>
          <w:color w:val="231F20"/>
        </w:rPr>
        <w:t>à</w:t>
      </w:r>
      <w:r>
        <w:rPr>
          <w:color w:val="231F20"/>
          <w:spacing w:val="-1"/>
        </w:rPr>
        <w:t> </w:t>
      </w:r>
      <w:r>
        <w:rPr>
          <w:color w:val="231F20"/>
        </w:rPr>
        <w:t>avoir</w:t>
      </w:r>
      <w:r>
        <w:rPr>
          <w:color w:val="231F20"/>
          <w:spacing w:val="-1"/>
        </w:rPr>
        <w:t> </w:t>
      </w:r>
      <w:r>
        <w:rPr>
          <w:color w:val="231F20"/>
        </w:rPr>
        <w:t>accédé</w:t>
      </w:r>
      <w:r>
        <w:rPr>
          <w:color w:val="231F20"/>
          <w:spacing w:val="-1"/>
        </w:rPr>
        <w:t> </w:t>
      </w:r>
      <w:r>
        <w:rPr>
          <w:color w:val="231F20"/>
        </w:rPr>
        <w:t>au</w:t>
      </w:r>
      <w:r>
        <w:rPr>
          <w:color w:val="231F20"/>
          <w:spacing w:val="-1"/>
        </w:rPr>
        <w:t> </w:t>
      </w:r>
      <w:r>
        <w:rPr>
          <w:color w:val="231F20"/>
        </w:rPr>
        <w:t>poste</w:t>
      </w:r>
      <w:r>
        <w:rPr>
          <w:color w:val="231F20"/>
          <w:spacing w:val="-3"/>
        </w:rPr>
        <w:t> </w:t>
      </w:r>
      <w:r>
        <w:rPr>
          <w:color w:val="231F20"/>
        </w:rPr>
        <w:t>de cadre</w:t>
      </w:r>
      <w:r>
        <w:rPr>
          <w:color w:val="231F20"/>
          <w:spacing w:val="-1"/>
        </w:rPr>
        <w:t> </w:t>
      </w:r>
      <w:r>
        <w:rPr>
          <w:color w:val="231F20"/>
        </w:rPr>
        <w:t>supérieur</w:t>
      </w:r>
      <w:r>
        <w:rPr>
          <w:color w:val="231F20"/>
          <w:spacing w:val="-1"/>
        </w:rPr>
        <w:t> </w:t>
      </w:r>
      <w:r>
        <w:rPr>
          <w:color w:val="231F20"/>
        </w:rPr>
        <w:t>à</w:t>
      </w:r>
      <w:r>
        <w:rPr>
          <w:color w:val="231F20"/>
          <w:spacing w:val="-3"/>
        </w:rPr>
        <w:t> </w:t>
      </w:r>
      <w:r>
        <w:rPr>
          <w:color w:val="231F20"/>
        </w:rPr>
        <w:t>l’Ecole </w:t>
      </w:r>
      <w:r>
        <w:rPr>
          <w:color w:val="231F20"/>
          <w:spacing w:val="-2"/>
        </w:rPr>
        <w:t>William</w:t>
      </w:r>
      <w:r>
        <w:rPr>
          <w:color w:val="231F20"/>
          <w:spacing w:val="-15"/>
        </w:rPr>
        <w:t> </w:t>
      </w:r>
      <w:r>
        <w:rPr>
          <w:color w:val="231F20"/>
          <w:spacing w:val="-2"/>
        </w:rPr>
        <w:t>Ponty,</w:t>
      </w:r>
      <w:r>
        <w:rPr>
          <w:color w:val="231F20"/>
          <w:spacing w:val="-13"/>
        </w:rPr>
        <w:t> </w:t>
      </w:r>
      <w:r>
        <w:rPr>
          <w:color w:val="231F20"/>
          <w:spacing w:val="-2"/>
        </w:rPr>
        <w:t>Ouezzin</w:t>
      </w:r>
      <w:r>
        <w:rPr>
          <w:color w:val="231F20"/>
          <w:spacing w:val="-13"/>
        </w:rPr>
        <w:t> </w:t>
      </w:r>
      <w:r>
        <w:rPr>
          <w:color w:val="231F20"/>
          <w:spacing w:val="-2"/>
        </w:rPr>
        <w:t>Coulibaly</w:t>
      </w:r>
      <w:r>
        <w:rPr>
          <w:color w:val="231F20"/>
          <w:spacing w:val="-13"/>
        </w:rPr>
        <w:t> </w:t>
      </w:r>
      <w:r>
        <w:rPr>
          <w:color w:val="231F20"/>
          <w:spacing w:val="-2"/>
          <w:sz w:val="28"/>
        </w:rPr>
        <w:t>encadre</w:t>
      </w:r>
      <w:r>
        <w:rPr>
          <w:color w:val="231F20"/>
          <w:spacing w:val="-16"/>
          <w:sz w:val="28"/>
        </w:rPr>
        <w:t> </w:t>
      </w:r>
      <w:r>
        <w:rPr>
          <w:color w:val="231F20"/>
          <w:spacing w:val="-2"/>
          <w:sz w:val="28"/>
        </w:rPr>
        <w:t>et</w:t>
      </w:r>
      <w:r>
        <w:rPr>
          <w:color w:val="231F20"/>
          <w:spacing w:val="-15"/>
          <w:sz w:val="28"/>
        </w:rPr>
        <w:t> </w:t>
      </w:r>
      <w:r>
        <w:rPr>
          <w:color w:val="231F20"/>
          <w:spacing w:val="-2"/>
        </w:rPr>
        <w:t>forme</w:t>
      </w:r>
      <w:r>
        <w:rPr>
          <w:color w:val="231F20"/>
          <w:spacing w:val="-13"/>
        </w:rPr>
        <w:t> </w:t>
      </w:r>
      <w:r>
        <w:rPr>
          <w:color w:val="231F20"/>
          <w:spacing w:val="-2"/>
        </w:rPr>
        <w:t>de</w:t>
      </w:r>
      <w:r>
        <w:rPr>
          <w:color w:val="231F20"/>
          <w:spacing w:val="-13"/>
        </w:rPr>
        <w:t> </w:t>
      </w:r>
      <w:r>
        <w:rPr>
          <w:color w:val="231F20"/>
          <w:spacing w:val="-2"/>
        </w:rPr>
        <w:t>1934</w:t>
      </w:r>
      <w:r>
        <w:rPr>
          <w:color w:val="231F20"/>
          <w:spacing w:val="-13"/>
        </w:rPr>
        <w:t> </w:t>
      </w:r>
      <w:r>
        <w:rPr>
          <w:color w:val="231F20"/>
          <w:spacing w:val="-2"/>
        </w:rPr>
        <w:t>à</w:t>
      </w:r>
      <w:r>
        <w:rPr>
          <w:color w:val="231F20"/>
          <w:spacing w:val="-13"/>
        </w:rPr>
        <w:t> </w:t>
      </w:r>
      <w:r>
        <w:rPr>
          <w:color w:val="231F20"/>
          <w:spacing w:val="-2"/>
        </w:rPr>
        <w:t>1945,</w:t>
      </w:r>
      <w:r>
        <w:rPr>
          <w:color w:val="231F20"/>
          <w:spacing w:val="-13"/>
        </w:rPr>
        <w:t> </w:t>
      </w:r>
      <w:r>
        <w:rPr>
          <w:color w:val="231F20"/>
          <w:spacing w:val="-2"/>
        </w:rPr>
        <w:t>de </w:t>
      </w:r>
      <w:r>
        <w:rPr>
          <w:color w:val="231F20"/>
          <w:spacing w:val="-4"/>
        </w:rPr>
        <w:t>nombreux</w:t>
      </w:r>
      <w:r>
        <w:rPr>
          <w:color w:val="231F20"/>
          <w:spacing w:val="-7"/>
        </w:rPr>
        <w:t> </w:t>
      </w:r>
      <w:r>
        <w:rPr>
          <w:color w:val="231F20"/>
          <w:spacing w:val="-4"/>
        </w:rPr>
        <w:t>futurs</w:t>
      </w:r>
      <w:r>
        <w:rPr>
          <w:color w:val="231F20"/>
          <w:spacing w:val="-7"/>
        </w:rPr>
        <w:t> </w:t>
      </w:r>
      <w:r>
        <w:rPr>
          <w:color w:val="231F20"/>
          <w:spacing w:val="-4"/>
        </w:rPr>
        <w:t>instituteurs,</w:t>
      </w:r>
      <w:r>
        <w:rPr>
          <w:color w:val="231F20"/>
          <w:spacing w:val="-7"/>
        </w:rPr>
        <w:t> </w:t>
      </w:r>
      <w:r>
        <w:rPr>
          <w:color w:val="231F20"/>
          <w:spacing w:val="-4"/>
        </w:rPr>
        <w:t>fonctionnaires</w:t>
      </w:r>
      <w:r>
        <w:rPr>
          <w:color w:val="231F20"/>
          <w:spacing w:val="-7"/>
        </w:rPr>
        <w:t> </w:t>
      </w:r>
      <w:r>
        <w:rPr>
          <w:color w:val="231F20"/>
          <w:spacing w:val="-4"/>
        </w:rPr>
        <w:t>de</w:t>
      </w:r>
      <w:r>
        <w:rPr>
          <w:color w:val="231F20"/>
          <w:spacing w:val="-7"/>
        </w:rPr>
        <w:t> </w:t>
      </w:r>
      <w:r>
        <w:rPr>
          <w:color w:val="231F20"/>
          <w:spacing w:val="-4"/>
        </w:rPr>
        <w:t>l’Administration</w:t>
      </w:r>
      <w:r>
        <w:rPr>
          <w:color w:val="231F20"/>
          <w:spacing w:val="-9"/>
        </w:rPr>
        <w:t> </w:t>
      </w:r>
      <w:r>
        <w:rPr>
          <w:color w:val="231F20"/>
          <w:spacing w:val="-4"/>
        </w:rPr>
        <w:t>générale, </w:t>
      </w:r>
      <w:r>
        <w:rPr>
          <w:color w:val="231F20"/>
        </w:rPr>
        <w:t>médecins, pharmaciens et vétérinaires des colonies de l’Afrique occidentale et de l’Afrique équatoriale françaises. En 1958, il devient président du Conseil de gouvernement de la Haute-Volta, puis vice- président de la République de Haute Volta. Le 7 septembre 1958, il décède à Paris. Maurice Yaméogo soutenu par l'Union démocratique voltaïque (UDV) affilié au RDA, lui succède.</w:t>
      </w:r>
    </w:p>
    <w:p>
      <w:pPr>
        <w:pStyle w:val="BodyText"/>
        <w:spacing w:before="241"/>
        <w:ind w:left="0"/>
        <w:jc w:val="left"/>
      </w:pPr>
    </w:p>
    <w:p>
      <w:pPr>
        <w:pStyle w:val="Heading3"/>
        <w:ind w:right="309"/>
        <w:jc w:val="left"/>
      </w:pPr>
      <w:r>
        <w:rPr>
          <w:i/>
          <w:color w:val="231F20"/>
          <w:spacing w:val="-2"/>
        </w:rPr>
        <w:t>Le</w:t>
      </w:r>
      <w:r>
        <w:rPr>
          <w:i/>
          <w:color w:val="231F20"/>
          <w:spacing w:val="-12"/>
        </w:rPr>
        <w:t> </w:t>
      </w:r>
      <w:r>
        <w:rPr>
          <w:i/>
          <w:color w:val="231F20"/>
          <w:spacing w:val="-2"/>
        </w:rPr>
        <w:t>5</w:t>
      </w:r>
      <w:r>
        <w:rPr>
          <w:i/>
          <w:color w:val="231F20"/>
          <w:spacing w:val="-11"/>
        </w:rPr>
        <w:t> </w:t>
      </w:r>
      <w:r>
        <w:rPr>
          <w:i/>
          <w:color w:val="231F20"/>
          <w:spacing w:val="-2"/>
        </w:rPr>
        <w:t>août</w:t>
      </w:r>
      <w:r>
        <w:rPr>
          <w:i/>
          <w:color w:val="231F20"/>
          <w:spacing w:val="-11"/>
        </w:rPr>
        <w:t> </w:t>
      </w:r>
      <w:r>
        <w:rPr>
          <w:i/>
          <w:color w:val="231F20"/>
          <w:spacing w:val="-2"/>
        </w:rPr>
        <w:t>1960,</w:t>
      </w:r>
      <w:r>
        <w:rPr>
          <w:i/>
          <w:color w:val="231F20"/>
          <w:spacing w:val="-11"/>
        </w:rPr>
        <w:t> </w:t>
      </w:r>
      <w:r>
        <w:rPr>
          <w:i/>
          <w:color w:val="231F20"/>
          <w:spacing w:val="-2"/>
        </w:rPr>
        <w:t>le</w:t>
      </w:r>
      <w:r>
        <w:rPr>
          <w:i/>
          <w:color w:val="231F20"/>
          <w:spacing w:val="-11"/>
        </w:rPr>
        <w:t> </w:t>
      </w:r>
      <w:r>
        <w:rPr>
          <w:i/>
          <w:color w:val="231F20"/>
          <w:spacing w:val="-2"/>
        </w:rPr>
        <w:t>pays</w:t>
      </w:r>
      <w:r>
        <w:rPr>
          <w:i/>
          <w:color w:val="231F20"/>
          <w:spacing w:val="-11"/>
        </w:rPr>
        <w:t> </w:t>
      </w:r>
      <w:r>
        <w:rPr>
          <w:i/>
          <w:color w:val="231F20"/>
          <w:spacing w:val="-2"/>
        </w:rPr>
        <w:t>accède</w:t>
      </w:r>
      <w:r>
        <w:rPr>
          <w:i/>
          <w:color w:val="231F20"/>
          <w:spacing w:val="-11"/>
        </w:rPr>
        <w:t> </w:t>
      </w:r>
      <w:r>
        <w:rPr>
          <w:i/>
          <w:color w:val="231F20"/>
          <w:spacing w:val="-2"/>
        </w:rPr>
        <w:t>à</w:t>
      </w:r>
      <w:r>
        <w:rPr>
          <w:i/>
          <w:color w:val="231F20"/>
          <w:spacing w:val="-12"/>
        </w:rPr>
        <w:t> </w:t>
      </w:r>
      <w:r>
        <w:rPr>
          <w:i/>
          <w:color w:val="231F20"/>
          <w:spacing w:val="-2"/>
        </w:rPr>
        <w:t>l’indépendance.</w:t>
      </w:r>
      <w:r>
        <w:rPr>
          <w:i/>
          <w:color w:val="231F20"/>
          <w:spacing w:val="-11"/>
        </w:rPr>
        <w:t> </w:t>
      </w:r>
      <w:r>
        <w:rPr>
          <w:i/>
          <w:color w:val="231F20"/>
          <w:spacing w:val="-2"/>
        </w:rPr>
        <w:t>Maurice</w:t>
      </w:r>
      <w:r>
        <w:rPr>
          <w:color w:val="231F20"/>
          <w:spacing w:val="-2"/>
        </w:rPr>
        <w:t> </w:t>
      </w:r>
      <w:r>
        <w:rPr>
          <w:color w:val="231F20"/>
        </w:rPr>
        <w:t>Yaméogo en devient le premier Président.</w:t>
      </w:r>
    </w:p>
    <w:p>
      <w:pPr>
        <w:pStyle w:val="BodyText"/>
        <w:spacing w:before="255"/>
        <w:ind w:right="105" w:firstLine="283"/>
      </w:pPr>
      <w:r>
        <w:rPr>
          <w:color w:val="231F20"/>
        </w:rPr>
        <w:t>«</w:t>
      </w:r>
      <w:r>
        <w:rPr>
          <w:color w:val="231F20"/>
          <w:spacing w:val="-12"/>
        </w:rPr>
        <w:t> </w:t>
      </w:r>
      <w:r>
        <w:rPr>
          <w:color w:val="231F20"/>
        </w:rPr>
        <w:t>Monsieur Maurice</w:t>
      </w:r>
      <w:r>
        <w:rPr>
          <w:color w:val="231F20"/>
          <w:spacing w:val="-12"/>
        </w:rPr>
        <w:t> </w:t>
      </w:r>
      <w:r>
        <w:rPr>
          <w:color w:val="231F20"/>
        </w:rPr>
        <w:t>» comme l’appellent ses compatriotes, a fréquenté</w:t>
      </w:r>
      <w:r>
        <w:rPr>
          <w:color w:val="231F20"/>
          <w:spacing w:val="-7"/>
        </w:rPr>
        <w:t> </w:t>
      </w:r>
      <w:r>
        <w:rPr>
          <w:color w:val="231F20"/>
        </w:rPr>
        <w:t>le</w:t>
      </w:r>
      <w:r>
        <w:rPr>
          <w:color w:val="231F20"/>
          <w:spacing w:val="-9"/>
        </w:rPr>
        <w:t> </w:t>
      </w:r>
      <w:r>
        <w:rPr>
          <w:color w:val="231F20"/>
        </w:rPr>
        <w:t>petit</w:t>
      </w:r>
      <w:r>
        <w:rPr>
          <w:color w:val="231F20"/>
          <w:spacing w:val="-6"/>
        </w:rPr>
        <w:t> </w:t>
      </w:r>
      <w:r>
        <w:rPr>
          <w:color w:val="231F20"/>
        </w:rPr>
        <w:t>séminaire</w:t>
      </w:r>
      <w:r>
        <w:rPr>
          <w:color w:val="231F20"/>
          <w:spacing w:val="-7"/>
        </w:rPr>
        <w:t> </w:t>
      </w:r>
      <w:r>
        <w:rPr>
          <w:color w:val="231F20"/>
        </w:rPr>
        <w:t>de</w:t>
      </w:r>
      <w:r>
        <w:rPr>
          <w:color w:val="231F20"/>
          <w:spacing w:val="-7"/>
        </w:rPr>
        <w:t> </w:t>
      </w:r>
      <w:r>
        <w:rPr>
          <w:color w:val="231F20"/>
        </w:rPr>
        <w:t>Pabré</w:t>
      </w:r>
      <w:r>
        <w:rPr>
          <w:color w:val="231F20"/>
          <w:spacing w:val="-7"/>
        </w:rPr>
        <w:t> </w:t>
      </w:r>
      <w:r>
        <w:rPr>
          <w:color w:val="231F20"/>
        </w:rPr>
        <w:t>fondé</w:t>
      </w:r>
      <w:r>
        <w:rPr>
          <w:color w:val="231F20"/>
          <w:spacing w:val="-7"/>
        </w:rPr>
        <w:t> </w:t>
      </w:r>
      <w:r>
        <w:rPr>
          <w:color w:val="231F20"/>
        </w:rPr>
        <w:t>en</w:t>
      </w:r>
      <w:r>
        <w:rPr>
          <w:color w:val="231F20"/>
          <w:spacing w:val="-7"/>
        </w:rPr>
        <w:t> </w:t>
      </w:r>
      <w:r>
        <w:rPr>
          <w:color w:val="231F20"/>
        </w:rPr>
        <w:t>1925</w:t>
      </w:r>
      <w:r>
        <w:rPr>
          <w:color w:val="231F20"/>
          <w:spacing w:val="-7"/>
        </w:rPr>
        <w:t> </w:t>
      </w:r>
      <w:r>
        <w:rPr>
          <w:color w:val="231F20"/>
        </w:rPr>
        <w:t>et</w:t>
      </w:r>
      <w:r>
        <w:rPr>
          <w:color w:val="231F20"/>
          <w:spacing w:val="-6"/>
        </w:rPr>
        <w:t> </w:t>
      </w:r>
      <w:r>
        <w:rPr>
          <w:color w:val="231F20"/>
        </w:rPr>
        <w:t>qui</w:t>
      </w:r>
      <w:r>
        <w:rPr>
          <w:color w:val="231F20"/>
          <w:spacing w:val="-6"/>
        </w:rPr>
        <w:t> </w:t>
      </w:r>
      <w:r>
        <w:rPr>
          <w:color w:val="231F20"/>
        </w:rPr>
        <w:t>a</w:t>
      </w:r>
      <w:r>
        <w:rPr>
          <w:color w:val="231F20"/>
          <w:spacing w:val="-7"/>
        </w:rPr>
        <w:t> </w:t>
      </w:r>
      <w:r>
        <w:rPr>
          <w:color w:val="231F20"/>
        </w:rPr>
        <w:t>occupé</w:t>
      </w:r>
      <w:r>
        <w:rPr>
          <w:color w:val="231F20"/>
          <w:spacing w:val="-7"/>
        </w:rPr>
        <w:t> </w:t>
      </w:r>
      <w:r>
        <w:rPr>
          <w:color w:val="231F20"/>
        </w:rPr>
        <w:t>une </w:t>
      </w:r>
      <w:r>
        <w:rPr>
          <w:color w:val="231F20"/>
          <w:spacing w:val="-4"/>
        </w:rPr>
        <w:t>place</w:t>
      </w:r>
      <w:r>
        <w:rPr>
          <w:color w:val="231F20"/>
          <w:spacing w:val="-11"/>
        </w:rPr>
        <w:t> </w:t>
      </w:r>
      <w:r>
        <w:rPr>
          <w:color w:val="231F20"/>
          <w:spacing w:val="-4"/>
        </w:rPr>
        <w:t>centrale</w:t>
      </w:r>
      <w:r>
        <w:rPr>
          <w:color w:val="231F20"/>
          <w:spacing w:val="-11"/>
        </w:rPr>
        <w:t> </w:t>
      </w:r>
      <w:r>
        <w:rPr>
          <w:color w:val="231F20"/>
          <w:spacing w:val="-4"/>
        </w:rPr>
        <w:t>dans</w:t>
      </w:r>
      <w:r>
        <w:rPr>
          <w:color w:val="231F20"/>
          <w:spacing w:val="-11"/>
        </w:rPr>
        <w:t> </w:t>
      </w:r>
      <w:r>
        <w:rPr>
          <w:color w:val="231F20"/>
          <w:spacing w:val="-4"/>
        </w:rPr>
        <w:t>le</w:t>
      </w:r>
      <w:r>
        <w:rPr>
          <w:color w:val="231F20"/>
          <w:spacing w:val="-8"/>
        </w:rPr>
        <w:t> </w:t>
      </w:r>
      <w:r>
        <w:rPr>
          <w:color w:val="231F20"/>
          <w:spacing w:val="-4"/>
        </w:rPr>
        <w:t>dispositif</w:t>
      </w:r>
      <w:r>
        <w:rPr>
          <w:color w:val="231F20"/>
          <w:spacing w:val="-9"/>
        </w:rPr>
        <w:t> </w:t>
      </w:r>
      <w:r>
        <w:rPr>
          <w:color w:val="231F20"/>
          <w:spacing w:val="-4"/>
        </w:rPr>
        <w:t>éducatif</w:t>
      </w:r>
      <w:r>
        <w:rPr>
          <w:color w:val="231F20"/>
          <w:spacing w:val="-11"/>
        </w:rPr>
        <w:t> </w:t>
      </w:r>
      <w:r>
        <w:rPr>
          <w:color w:val="231F20"/>
          <w:spacing w:val="-4"/>
        </w:rPr>
        <w:t>de</w:t>
      </w:r>
      <w:r>
        <w:rPr>
          <w:color w:val="231F20"/>
          <w:spacing w:val="-9"/>
        </w:rPr>
        <w:t> </w:t>
      </w:r>
      <w:r>
        <w:rPr>
          <w:color w:val="231F20"/>
          <w:spacing w:val="-4"/>
        </w:rPr>
        <w:t>la</w:t>
      </w:r>
      <w:r>
        <w:rPr>
          <w:color w:val="231F20"/>
          <w:spacing w:val="-10"/>
        </w:rPr>
        <w:t> </w:t>
      </w:r>
      <w:r>
        <w:rPr>
          <w:color w:val="231F20"/>
          <w:spacing w:val="-4"/>
        </w:rPr>
        <w:t>colonie.</w:t>
      </w:r>
      <w:r>
        <w:rPr>
          <w:color w:val="231F20"/>
          <w:spacing w:val="-10"/>
        </w:rPr>
        <w:t> </w:t>
      </w:r>
      <w:r>
        <w:rPr>
          <w:color w:val="231F20"/>
          <w:spacing w:val="-4"/>
        </w:rPr>
        <w:t>C’est</w:t>
      </w:r>
      <w:r>
        <w:rPr>
          <w:color w:val="231F20"/>
          <w:spacing w:val="-9"/>
        </w:rPr>
        <w:t> </w:t>
      </w:r>
      <w:r>
        <w:rPr>
          <w:color w:val="231F20"/>
          <w:spacing w:val="-4"/>
        </w:rPr>
        <w:t>l’une</w:t>
      </w:r>
      <w:r>
        <w:rPr>
          <w:color w:val="231F20"/>
          <w:spacing w:val="-9"/>
        </w:rPr>
        <w:t> </w:t>
      </w:r>
      <w:r>
        <w:rPr>
          <w:color w:val="231F20"/>
          <w:spacing w:val="-4"/>
        </w:rPr>
        <w:t>des</w:t>
      </w:r>
      <w:r>
        <w:rPr>
          <w:color w:val="231F20"/>
          <w:spacing w:val="-11"/>
        </w:rPr>
        <w:t> </w:t>
      </w:r>
      <w:r>
        <w:rPr>
          <w:color w:val="231F20"/>
          <w:spacing w:val="-4"/>
        </w:rPr>
        <w:t>plus </w:t>
      </w:r>
      <w:r>
        <w:rPr>
          <w:color w:val="231F20"/>
        </w:rPr>
        <w:t>prestigieuses institutions du pays.</w:t>
      </w:r>
      <w:r>
        <w:rPr>
          <w:color w:val="231F20"/>
          <w:spacing w:val="-15"/>
        </w:rPr>
        <w:t> </w:t>
      </w:r>
      <w:r>
        <w:rPr>
          <w:color w:val="231F20"/>
        </w:rPr>
        <w:t>Maurice Yaméogo se destinait à la prêtrise mais en 1939, il quitte le petit séminaire de Pabré sans être diplômé. Il réussit néanmoins à intégrer l’Administration coloniale française comme commis expéditionnaire.</w:t>
      </w:r>
    </w:p>
    <w:p>
      <w:pPr>
        <w:pStyle w:val="BodyText"/>
        <w:spacing w:before="121"/>
        <w:ind w:right="105" w:firstLine="283"/>
      </w:pPr>
      <w:r>
        <w:rPr>
          <w:color w:val="231F20"/>
        </w:rPr>
        <w:t>En</w:t>
      </w:r>
      <w:r>
        <w:rPr>
          <w:color w:val="231F20"/>
          <w:spacing w:val="-15"/>
        </w:rPr>
        <w:t> </w:t>
      </w:r>
      <w:r>
        <w:rPr>
          <w:color w:val="231F20"/>
        </w:rPr>
        <w:t>mai</w:t>
      </w:r>
      <w:r>
        <w:rPr>
          <w:color w:val="231F20"/>
          <w:spacing w:val="-15"/>
        </w:rPr>
        <w:t> </w:t>
      </w:r>
      <w:r>
        <w:rPr>
          <w:color w:val="231F20"/>
        </w:rPr>
        <w:t>1957,</w:t>
      </w:r>
      <w:r>
        <w:rPr>
          <w:color w:val="231F20"/>
          <w:spacing w:val="-15"/>
        </w:rPr>
        <w:t> </w:t>
      </w:r>
      <w:r>
        <w:rPr>
          <w:color w:val="231F20"/>
        </w:rPr>
        <w:t>dans</w:t>
      </w:r>
      <w:r>
        <w:rPr>
          <w:color w:val="231F20"/>
          <w:spacing w:val="-15"/>
        </w:rPr>
        <w:t> </w:t>
      </w:r>
      <w:r>
        <w:rPr>
          <w:color w:val="231F20"/>
        </w:rPr>
        <w:t>le</w:t>
      </w:r>
      <w:r>
        <w:rPr>
          <w:color w:val="231F20"/>
          <w:spacing w:val="-15"/>
        </w:rPr>
        <w:t> </w:t>
      </w:r>
      <w:r>
        <w:rPr>
          <w:color w:val="231F20"/>
        </w:rPr>
        <w:t>cadre</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formation</w:t>
      </w:r>
      <w:r>
        <w:rPr>
          <w:color w:val="231F20"/>
          <w:spacing w:val="-15"/>
        </w:rPr>
        <w:t> </w:t>
      </w:r>
      <w:r>
        <w:rPr>
          <w:color w:val="231F20"/>
        </w:rPr>
        <w:t>du</w:t>
      </w:r>
      <w:r>
        <w:rPr>
          <w:color w:val="231F20"/>
          <w:spacing w:val="-15"/>
        </w:rPr>
        <w:t> </w:t>
      </w:r>
      <w:r>
        <w:rPr>
          <w:color w:val="231F20"/>
        </w:rPr>
        <w:t>premier</w:t>
      </w:r>
      <w:r>
        <w:rPr>
          <w:color w:val="231F20"/>
          <w:spacing w:val="-15"/>
        </w:rPr>
        <w:t> </w:t>
      </w:r>
      <w:r>
        <w:rPr>
          <w:color w:val="231F20"/>
        </w:rPr>
        <w:t>gouvernement </w:t>
      </w:r>
      <w:r>
        <w:rPr>
          <w:color w:val="231F20"/>
          <w:spacing w:val="-2"/>
        </w:rPr>
        <w:t>voltaïque</w:t>
      </w:r>
      <w:r>
        <w:rPr>
          <w:color w:val="231F20"/>
          <w:spacing w:val="-15"/>
        </w:rPr>
        <w:t> </w:t>
      </w:r>
      <w:r>
        <w:rPr>
          <w:color w:val="231F20"/>
          <w:spacing w:val="-2"/>
        </w:rPr>
        <w:t>instauré</w:t>
      </w:r>
      <w:r>
        <w:rPr>
          <w:color w:val="231F20"/>
          <w:spacing w:val="-13"/>
        </w:rPr>
        <w:t> </w:t>
      </w:r>
      <w:r>
        <w:rPr>
          <w:color w:val="231F20"/>
          <w:spacing w:val="-2"/>
        </w:rPr>
        <w:t>par</w:t>
      </w:r>
      <w:r>
        <w:rPr>
          <w:color w:val="231F20"/>
          <w:spacing w:val="-13"/>
        </w:rPr>
        <w:t> </w:t>
      </w:r>
      <w:r>
        <w:rPr>
          <w:color w:val="231F20"/>
          <w:spacing w:val="-2"/>
        </w:rPr>
        <w:t>la</w:t>
      </w:r>
      <w:r>
        <w:rPr>
          <w:color w:val="231F20"/>
          <w:spacing w:val="-13"/>
        </w:rPr>
        <w:t> </w:t>
      </w:r>
      <w:r>
        <w:rPr>
          <w:color w:val="231F20"/>
          <w:spacing w:val="-2"/>
        </w:rPr>
        <w:t>loi-cadre</w:t>
      </w:r>
      <w:r>
        <w:rPr>
          <w:color w:val="231F20"/>
          <w:spacing w:val="-13"/>
        </w:rPr>
        <w:t> </w:t>
      </w:r>
      <w:r>
        <w:rPr>
          <w:color w:val="231F20"/>
          <w:spacing w:val="-2"/>
        </w:rPr>
        <w:t>Defferre,</w:t>
      </w:r>
      <w:r>
        <w:rPr>
          <w:color w:val="231F20"/>
          <w:spacing w:val="-13"/>
        </w:rPr>
        <w:t> </w:t>
      </w:r>
      <w:r>
        <w:rPr>
          <w:color w:val="231F20"/>
          <w:spacing w:val="-2"/>
        </w:rPr>
        <w:t>il</w:t>
      </w:r>
      <w:r>
        <w:rPr>
          <w:color w:val="231F20"/>
          <w:spacing w:val="-13"/>
        </w:rPr>
        <w:t> </w:t>
      </w:r>
      <w:r>
        <w:rPr>
          <w:color w:val="231F20"/>
          <w:spacing w:val="-2"/>
        </w:rPr>
        <w:t>entre</w:t>
      </w:r>
      <w:r>
        <w:rPr>
          <w:color w:val="231F20"/>
          <w:spacing w:val="-13"/>
        </w:rPr>
        <w:t> </w:t>
      </w:r>
      <w:r>
        <w:rPr>
          <w:color w:val="231F20"/>
          <w:spacing w:val="-2"/>
        </w:rPr>
        <w:t>dans</w:t>
      </w:r>
      <w:r>
        <w:rPr>
          <w:color w:val="231F20"/>
          <w:spacing w:val="-13"/>
        </w:rPr>
        <w:t> </w:t>
      </w:r>
      <w:r>
        <w:rPr>
          <w:color w:val="231F20"/>
          <w:spacing w:val="-2"/>
        </w:rPr>
        <w:t>le</w:t>
      </w:r>
      <w:r>
        <w:rPr>
          <w:color w:val="231F20"/>
          <w:spacing w:val="-13"/>
        </w:rPr>
        <w:t> </w:t>
      </w:r>
      <w:r>
        <w:rPr>
          <w:color w:val="231F20"/>
          <w:spacing w:val="-2"/>
        </w:rPr>
        <w:t>gouvernement </w:t>
      </w:r>
      <w:r>
        <w:rPr>
          <w:color w:val="231F20"/>
        </w:rPr>
        <w:t>de coalition formé par Ouezzin Coulibaly comme ministre de l’Agriculture. Après la mort des deux illustres représentants du pays, Philippe Zinda Kaboré le 25 mai 1947 à Abidjan, en Côte d’Ivoire et Ouezzin Coulibaly le 7 septembre 1958 en France, Maurice Yaméogo élimine toute opposition parlementaire pour s’imposer et prendre la direction du pays le 5 août 1960.</w:t>
      </w:r>
    </w:p>
    <w:p>
      <w:pPr>
        <w:pStyle w:val="BodyText"/>
        <w:spacing w:before="121"/>
        <w:ind w:right="104" w:firstLine="283"/>
      </w:pPr>
      <w:r>
        <w:rPr>
          <w:color w:val="231F20"/>
        </w:rPr>
        <w:t>Le 24 avril 1961, il refuse les accords de défense avec la France et </w:t>
      </w:r>
      <w:r>
        <w:rPr>
          <w:color w:val="231F20"/>
          <w:spacing w:val="-2"/>
        </w:rPr>
        <w:t>signe</w:t>
      </w:r>
      <w:r>
        <w:rPr>
          <w:color w:val="231F20"/>
          <w:spacing w:val="-11"/>
        </w:rPr>
        <w:t> </w:t>
      </w:r>
      <w:r>
        <w:rPr>
          <w:color w:val="231F20"/>
          <w:spacing w:val="-2"/>
        </w:rPr>
        <w:t>simplement</w:t>
      </w:r>
      <w:r>
        <w:rPr>
          <w:color w:val="231F20"/>
          <w:spacing w:val="-8"/>
        </w:rPr>
        <w:t> </w:t>
      </w:r>
      <w:r>
        <w:rPr>
          <w:color w:val="231F20"/>
          <w:spacing w:val="-2"/>
        </w:rPr>
        <w:t>un</w:t>
      </w:r>
      <w:r>
        <w:rPr>
          <w:color w:val="231F20"/>
          <w:spacing w:val="-9"/>
        </w:rPr>
        <w:t> </w:t>
      </w:r>
      <w:r>
        <w:rPr>
          <w:color w:val="231F20"/>
          <w:spacing w:val="-2"/>
        </w:rPr>
        <w:t>accord</w:t>
      </w:r>
      <w:r>
        <w:rPr>
          <w:color w:val="231F20"/>
          <w:spacing w:val="-9"/>
        </w:rPr>
        <w:t> </w:t>
      </w:r>
      <w:r>
        <w:rPr>
          <w:color w:val="231F20"/>
          <w:spacing w:val="-2"/>
        </w:rPr>
        <w:t>d’assistance</w:t>
      </w:r>
      <w:r>
        <w:rPr>
          <w:color w:val="231F20"/>
          <w:spacing w:val="-11"/>
        </w:rPr>
        <w:t> </w:t>
      </w:r>
      <w:r>
        <w:rPr>
          <w:color w:val="231F20"/>
          <w:spacing w:val="-2"/>
        </w:rPr>
        <w:t>militaire</w:t>
      </w:r>
      <w:r>
        <w:rPr>
          <w:color w:val="231F20"/>
          <w:spacing w:val="-11"/>
        </w:rPr>
        <w:t> </w:t>
      </w:r>
      <w:r>
        <w:rPr>
          <w:color w:val="231F20"/>
          <w:spacing w:val="-2"/>
        </w:rPr>
        <w:t>technique.</w:t>
      </w:r>
      <w:r>
        <w:rPr>
          <w:color w:val="231F20"/>
          <w:spacing w:val="-11"/>
        </w:rPr>
        <w:t> </w:t>
      </w:r>
      <w:r>
        <w:rPr>
          <w:color w:val="231F20"/>
          <w:spacing w:val="-2"/>
        </w:rPr>
        <w:t>Il</w:t>
      </w:r>
      <w:r>
        <w:rPr>
          <w:color w:val="231F20"/>
          <w:spacing w:val="-9"/>
        </w:rPr>
        <w:t> </w:t>
      </w:r>
      <w:r>
        <w:rPr>
          <w:color w:val="231F20"/>
          <w:spacing w:val="-2"/>
        </w:rPr>
        <w:t>exige</w:t>
      </w:r>
      <w:r>
        <w:rPr>
          <w:color w:val="231F20"/>
          <w:spacing w:val="-9"/>
        </w:rPr>
        <w:t> </w:t>
      </w:r>
      <w:r>
        <w:rPr>
          <w:color w:val="231F20"/>
          <w:spacing w:val="-2"/>
        </w:rPr>
        <w:t>par </w:t>
      </w:r>
      <w:r>
        <w:rPr>
          <w:color w:val="231F20"/>
        </w:rPr>
        <w:t>la suite la libération, avant le 31 décembre 1961, de la base de Bobo- Dioulasso occupée par l’Armée Française afin d’y installer les Forces Armées Voltaïques (FAV) créées le 1er novembre.</w:t>
      </w:r>
    </w:p>
    <w:p>
      <w:pPr>
        <w:spacing w:after="0"/>
        <w:sectPr>
          <w:pgSz w:w="8790" w:h="13610"/>
          <w:pgMar w:header="0" w:footer="802" w:top="1060" w:bottom="1000" w:left="880" w:right="880"/>
        </w:sectPr>
      </w:pPr>
    </w:p>
    <w:p>
      <w:pPr>
        <w:pStyle w:val="BodyText"/>
        <w:spacing w:before="66"/>
        <w:ind w:right="103" w:firstLine="283"/>
      </w:pPr>
      <w:r>
        <w:rPr>
          <w:color w:val="231F20"/>
        </w:rPr>
        <w:t>A la</w:t>
      </w:r>
      <w:r>
        <w:rPr>
          <w:color w:val="231F20"/>
          <w:spacing w:val="-3"/>
        </w:rPr>
        <w:t> </w:t>
      </w:r>
      <w:r>
        <w:rPr>
          <w:color w:val="231F20"/>
        </w:rPr>
        <w:t>suite</w:t>
      </w:r>
      <w:r>
        <w:rPr>
          <w:color w:val="231F20"/>
          <w:spacing w:val="-3"/>
        </w:rPr>
        <w:t> </w:t>
      </w:r>
      <w:r>
        <w:rPr>
          <w:color w:val="231F20"/>
        </w:rPr>
        <w:t>du</w:t>
      </w:r>
      <w:r>
        <w:rPr>
          <w:color w:val="231F20"/>
          <w:spacing w:val="-2"/>
        </w:rPr>
        <w:t> </w:t>
      </w:r>
      <w:r>
        <w:rPr>
          <w:color w:val="231F20"/>
        </w:rPr>
        <w:t>coup</w:t>
      </w:r>
      <w:r>
        <w:rPr>
          <w:color w:val="231F20"/>
          <w:spacing w:val="-2"/>
        </w:rPr>
        <w:t> </w:t>
      </w:r>
      <w:r>
        <w:rPr>
          <w:color w:val="231F20"/>
        </w:rPr>
        <w:t>d’État</w:t>
      </w:r>
      <w:r>
        <w:rPr>
          <w:color w:val="231F20"/>
          <w:spacing w:val="-2"/>
        </w:rPr>
        <w:t> </w:t>
      </w:r>
      <w:r>
        <w:rPr>
          <w:color w:val="231F20"/>
        </w:rPr>
        <w:t>le</w:t>
      </w:r>
      <w:r>
        <w:rPr>
          <w:color w:val="231F20"/>
          <w:spacing w:val="-3"/>
        </w:rPr>
        <w:t> </w:t>
      </w:r>
      <w:r>
        <w:rPr>
          <w:color w:val="231F20"/>
        </w:rPr>
        <w:t>13</w:t>
      </w:r>
      <w:r>
        <w:rPr>
          <w:color w:val="231F20"/>
          <w:spacing w:val="-2"/>
        </w:rPr>
        <w:t> </w:t>
      </w:r>
      <w:r>
        <w:rPr>
          <w:color w:val="231F20"/>
        </w:rPr>
        <w:t>janvier</w:t>
      </w:r>
      <w:r>
        <w:rPr>
          <w:color w:val="231F20"/>
          <w:spacing w:val="-2"/>
        </w:rPr>
        <w:t> </w:t>
      </w:r>
      <w:r>
        <w:rPr>
          <w:color w:val="231F20"/>
        </w:rPr>
        <w:t>1963</w:t>
      </w:r>
      <w:r>
        <w:rPr>
          <w:color w:val="231F20"/>
          <w:spacing w:val="-2"/>
        </w:rPr>
        <w:t> </w:t>
      </w:r>
      <w:r>
        <w:rPr>
          <w:color w:val="231F20"/>
        </w:rPr>
        <w:t>survenu au</w:t>
      </w:r>
      <w:r>
        <w:rPr>
          <w:color w:val="231F20"/>
          <w:spacing w:val="-2"/>
        </w:rPr>
        <w:t> </w:t>
      </w:r>
      <w:r>
        <w:rPr>
          <w:color w:val="231F20"/>
        </w:rPr>
        <w:t>Togo</w:t>
      </w:r>
      <w:r>
        <w:rPr>
          <w:color w:val="231F20"/>
          <w:spacing w:val="-2"/>
        </w:rPr>
        <w:t> </w:t>
      </w:r>
      <w:r>
        <w:rPr>
          <w:color w:val="231F20"/>
        </w:rPr>
        <w:t>voisin </w:t>
      </w:r>
      <w:r>
        <w:rPr>
          <w:color w:val="231F20"/>
          <w:spacing w:val="-6"/>
        </w:rPr>
        <w:t>dans lequel le président Olympio a trouvé la</w:t>
      </w:r>
      <w:r>
        <w:rPr>
          <w:color w:val="231F20"/>
          <w:spacing w:val="-7"/>
        </w:rPr>
        <w:t> </w:t>
      </w:r>
      <w:r>
        <w:rPr>
          <w:color w:val="231F20"/>
          <w:spacing w:val="-6"/>
        </w:rPr>
        <w:t>mort, Maurice Yaméogo cède </w:t>
      </w:r>
      <w:r>
        <w:rPr>
          <w:color w:val="231F20"/>
        </w:rPr>
        <w:t>à</w:t>
      </w:r>
      <w:r>
        <w:rPr>
          <w:color w:val="231F20"/>
          <w:spacing w:val="-13"/>
        </w:rPr>
        <w:t> </w:t>
      </w:r>
      <w:r>
        <w:rPr>
          <w:color w:val="231F20"/>
        </w:rPr>
        <w:t>la</w:t>
      </w:r>
      <w:r>
        <w:rPr>
          <w:color w:val="231F20"/>
          <w:spacing w:val="-12"/>
        </w:rPr>
        <w:t> </w:t>
      </w:r>
      <w:r>
        <w:rPr>
          <w:color w:val="231F20"/>
        </w:rPr>
        <w:t>paranoïa,</w:t>
      </w:r>
      <w:r>
        <w:rPr>
          <w:color w:val="231F20"/>
          <w:spacing w:val="-14"/>
        </w:rPr>
        <w:t> </w:t>
      </w:r>
      <w:r>
        <w:rPr>
          <w:color w:val="231F20"/>
        </w:rPr>
        <w:t>suspend</w:t>
      </w:r>
      <w:r>
        <w:rPr>
          <w:color w:val="231F20"/>
          <w:spacing w:val="-13"/>
        </w:rPr>
        <w:t> </w:t>
      </w:r>
      <w:r>
        <w:rPr>
          <w:color w:val="231F20"/>
        </w:rPr>
        <w:t>les</w:t>
      </w:r>
      <w:r>
        <w:rPr>
          <w:color w:val="231F20"/>
          <w:spacing w:val="-14"/>
        </w:rPr>
        <w:t> </w:t>
      </w:r>
      <w:r>
        <w:rPr>
          <w:color w:val="231F20"/>
        </w:rPr>
        <w:t>Conseils</w:t>
      </w:r>
      <w:r>
        <w:rPr>
          <w:color w:val="231F20"/>
          <w:spacing w:val="-12"/>
        </w:rPr>
        <w:t> </w:t>
      </w:r>
      <w:r>
        <w:rPr>
          <w:color w:val="231F20"/>
        </w:rPr>
        <w:t>de</w:t>
      </w:r>
      <w:r>
        <w:rPr>
          <w:color w:val="231F20"/>
          <w:spacing w:val="-13"/>
        </w:rPr>
        <w:t> </w:t>
      </w:r>
      <w:r>
        <w:rPr>
          <w:color w:val="231F20"/>
        </w:rPr>
        <w:t>ministres.</w:t>
      </w:r>
      <w:r>
        <w:rPr>
          <w:color w:val="231F20"/>
          <w:spacing w:val="-14"/>
        </w:rPr>
        <w:t> </w:t>
      </w:r>
      <w:r>
        <w:rPr>
          <w:color w:val="231F20"/>
        </w:rPr>
        <w:t>Au</w:t>
      </w:r>
      <w:r>
        <w:rPr>
          <w:color w:val="231F20"/>
          <w:spacing w:val="-13"/>
        </w:rPr>
        <w:t> </w:t>
      </w:r>
      <w:r>
        <w:rPr>
          <w:color w:val="231F20"/>
        </w:rPr>
        <w:t>gré</w:t>
      </w:r>
      <w:r>
        <w:rPr>
          <w:color w:val="231F20"/>
          <w:spacing w:val="-13"/>
        </w:rPr>
        <w:t> </w:t>
      </w:r>
      <w:r>
        <w:rPr>
          <w:color w:val="231F20"/>
        </w:rPr>
        <w:t>de</w:t>
      </w:r>
      <w:r>
        <w:rPr>
          <w:color w:val="231F20"/>
          <w:spacing w:val="-13"/>
        </w:rPr>
        <w:t> </w:t>
      </w:r>
      <w:r>
        <w:rPr>
          <w:color w:val="231F20"/>
        </w:rPr>
        <w:t>ses</w:t>
      </w:r>
      <w:r>
        <w:rPr>
          <w:color w:val="231F20"/>
          <w:spacing w:val="-12"/>
        </w:rPr>
        <w:t> </w:t>
      </w:r>
      <w:r>
        <w:rPr>
          <w:color w:val="231F20"/>
        </w:rPr>
        <w:t>humeurs, il</w:t>
      </w:r>
      <w:r>
        <w:rPr>
          <w:color w:val="231F20"/>
          <w:spacing w:val="-11"/>
        </w:rPr>
        <w:t> </w:t>
      </w:r>
      <w:r>
        <w:rPr>
          <w:color w:val="231F20"/>
        </w:rPr>
        <w:t>annonce</w:t>
      </w:r>
      <w:r>
        <w:rPr>
          <w:color w:val="231F20"/>
          <w:spacing w:val="-12"/>
        </w:rPr>
        <w:t> </w:t>
      </w:r>
      <w:r>
        <w:rPr>
          <w:color w:val="231F20"/>
        </w:rPr>
        <w:t>par</w:t>
      </w:r>
      <w:r>
        <w:rPr>
          <w:color w:val="231F20"/>
          <w:spacing w:val="-12"/>
        </w:rPr>
        <w:t> </w:t>
      </w:r>
      <w:r>
        <w:rPr>
          <w:color w:val="231F20"/>
        </w:rPr>
        <w:t>le</w:t>
      </w:r>
      <w:r>
        <w:rPr>
          <w:color w:val="231F20"/>
          <w:spacing w:val="-12"/>
        </w:rPr>
        <w:t> </w:t>
      </w:r>
      <w:r>
        <w:rPr>
          <w:color w:val="231F20"/>
        </w:rPr>
        <w:t>biais</w:t>
      </w:r>
      <w:r>
        <w:rPr>
          <w:color w:val="231F20"/>
          <w:spacing w:val="-11"/>
        </w:rPr>
        <w:t> </w:t>
      </w:r>
      <w:r>
        <w:rPr>
          <w:color w:val="231F20"/>
        </w:rPr>
        <w:t>de</w:t>
      </w:r>
      <w:r>
        <w:rPr>
          <w:color w:val="231F20"/>
          <w:spacing w:val="-14"/>
        </w:rPr>
        <w:t> </w:t>
      </w:r>
      <w:r>
        <w:rPr>
          <w:color w:val="231F20"/>
        </w:rPr>
        <w:t>la</w:t>
      </w:r>
      <w:r>
        <w:rPr>
          <w:color w:val="231F20"/>
          <w:spacing w:val="-12"/>
        </w:rPr>
        <w:t> </w:t>
      </w:r>
      <w:r>
        <w:rPr>
          <w:color w:val="231F20"/>
        </w:rPr>
        <w:t>Radiodiffusion,</w:t>
      </w:r>
      <w:r>
        <w:rPr>
          <w:color w:val="231F20"/>
          <w:spacing w:val="-12"/>
        </w:rPr>
        <w:t> </w:t>
      </w:r>
      <w:r>
        <w:rPr>
          <w:color w:val="231F20"/>
        </w:rPr>
        <w:t>sans</w:t>
      </w:r>
      <w:r>
        <w:rPr>
          <w:color w:val="231F20"/>
          <w:spacing w:val="-11"/>
        </w:rPr>
        <w:t> </w:t>
      </w:r>
      <w:r>
        <w:rPr>
          <w:color w:val="231F20"/>
        </w:rPr>
        <w:t>consultation</w:t>
      </w:r>
      <w:r>
        <w:rPr>
          <w:color w:val="231F20"/>
          <w:spacing w:val="-13"/>
        </w:rPr>
        <w:t> </w:t>
      </w:r>
      <w:r>
        <w:rPr>
          <w:color w:val="231F20"/>
        </w:rPr>
        <w:t>préalable, </w:t>
      </w:r>
      <w:r>
        <w:rPr>
          <w:color w:val="231F20"/>
          <w:spacing w:val="-4"/>
        </w:rPr>
        <w:t>la</w:t>
      </w:r>
      <w:r>
        <w:rPr>
          <w:color w:val="231F20"/>
          <w:spacing w:val="-6"/>
        </w:rPr>
        <w:t> </w:t>
      </w:r>
      <w:r>
        <w:rPr>
          <w:color w:val="231F20"/>
          <w:spacing w:val="-4"/>
        </w:rPr>
        <w:t>nomination</w:t>
      </w:r>
      <w:r>
        <w:rPr>
          <w:color w:val="231F20"/>
          <w:spacing w:val="-9"/>
        </w:rPr>
        <w:t> </w:t>
      </w:r>
      <w:r>
        <w:rPr>
          <w:color w:val="231F20"/>
          <w:spacing w:val="-4"/>
        </w:rPr>
        <w:t>ou</w:t>
      </w:r>
      <w:r>
        <w:rPr>
          <w:color w:val="231F20"/>
          <w:spacing w:val="-9"/>
        </w:rPr>
        <w:t> </w:t>
      </w:r>
      <w:r>
        <w:rPr>
          <w:color w:val="231F20"/>
          <w:spacing w:val="-4"/>
        </w:rPr>
        <w:t>la</w:t>
      </w:r>
      <w:r>
        <w:rPr>
          <w:color w:val="231F20"/>
          <w:spacing w:val="-6"/>
        </w:rPr>
        <w:t> </w:t>
      </w:r>
      <w:r>
        <w:rPr>
          <w:color w:val="231F20"/>
          <w:spacing w:val="-4"/>
        </w:rPr>
        <w:t>révocation</w:t>
      </w:r>
      <w:r>
        <w:rPr>
          <w:color w:val="231F20"/>
          <w:spacing w:val="-9"/>
        </w:rPr>
        <w:t> </w:t>
      </w:r>
      <w:r>
        <w:rPr>
          <w:color w:val="231F20"/>
          <w:spacing w:val="-4"/>
        </w:rPr>
        <w:t>des</w:t>
      </w:r>
      <w:r>
        <w:rPr>
          <w:color w:val="231F20"/>
          <w:spacing w:val="-9"/>
        </w:rPr>
        <w:t> </w:t>
      </w:r>
      <w:r>
        <w:rPr>
          <w:color w:val="231F20"/>
          <w:spacing w:val="-4"/>
        </w:rPr>
        <w:t>ministres.</w:t>
      </w:r>
      <w:r>
        <w:rPr>
          <w:color w:val="231F20"/>
          <w:spacing w:val="-9"/>
        </w:rPr>
        <w:t> </w:t>
      </w:r>
      <w:r>
        <w:rPr>
          <w:color w:val="231F20"/>
          <w:spacing w:val="-4"/>
        </w:rPr>
        <w:t>En</w:t>
      </w:r>
      <w:r>
        <w:rPr>
          <w:color w:val="231F20"/>
          <w:spacing w:val="-9"/>
        </w:rPr>
        <w:t> </w:t>
      </w:r>
      <w:r>
        <w:rPr>
          <w:color w:val="231F20"/>
          <w:spacing w:val="-4"/>
        </w:rPr>
        <w:t>1964,</w:t>
      </w:r>
      <w:r>
        <w:rPr>
          <w:color w:val="231F20"/>
          <w:spacing w:val="-9"/>
        </w:rPr>
        <w:t> </w:t>
      </w:r>
      <w:r>
        <w:rPr>
          <w:color w:val="231F20"/>
          <w:spacing w:val="-4"/>
        </w:rPr>
        <w:t>l’État</w:t>
      </w:r>
      <w:r>
        <w:rPr>
          <w:color w:val="231F20"/>
          <w:spacing w:val="-8"/>
        </w:rPr>
        <w:t> </w:t>
      </w:r>
      <w:r>
        <w:rPr>
          <w:color w:val="231F20"/>
          <w:spacing w:val="-4"/>
        </w:rPr>
        <w:t>supprime</w:t>
      </w:r>
      <w:r>
        <w:rPr>
          <w:color w:val="231F20"/>
          <w:spacing w:val="-9"/>
        </w:rPr>
        <w:t> </w:t>
      </w:r>
      <w:r>
        <w:rPr>
          <w:color w:val="231F20"/>
          <w:spacing w:val="-4"/>
        </w:rPr>
        <w:t>les </w:t>
      </w:r>
      <w:r>
        <w:rPr>
          <w:color w:val="231F20"/>
        </w:rPr>
        <w:t>subventions</w:t>
      </w:r>
      <w:r>
        <w:rPr>
          <w:color w:val="231F20"/>
          <w:spacing w:val="-3"/>
        </w:rPr>
        <w:t> </w:t>
      </w:r>
      <w:r>
        <w:rPr>
          <w:color w:val="231F20"/>
        </w:rPr>
        <w:t>en</w:t>
      </w:r>
      <w:r>
        <w:rPr>
          <w:color w:val="231F20"/>
          <w:spacing w:val="-3"/>
        </w:rPr>
        <w:t> </w:t>
      </w:r>
      <w:r>
        <w:rPr>
          <w:color w:val="231F20"/>
        </w:rPr>
        <w:t>faveur</w:t>
      </w:r>
      <w:r>
        <w:rPr>
          <w:color w:val="231F20"/>
          <w:spacing w:val="-3"/>
        </w:rPr>
        <w:t> </w:t>
      </w:r>
      <w:r>
        <w:rPr>
          <w:color w:val="231F20"/>
        </w:rPr>
        <w:t>de</w:t>
      </w:r>
      <w:r>
        <w:rPr>
          <w:color w:val="231F20"/>
          <w:spacing w:val="-5"/>
        </w:rPr>
        <w:t> </w:t>
      </w:r>
      <w:r>
        <w:rPr>
          <w:color w:val="231F20"/>
        </w:rPr>
        <w:t>l’école</w:t>
      </w:r>
      <w:r>
        <w:rPr>
          <w:color w:val="231F20"/>
          <w:spacing w:val="-3"/>
        </w:rPr>
        <w:t> </w:t>
      </w:r>
      <w:r>
        <w:rPr>
          <w:color w:val="231F20"/>
        </w:rPr>
        <w:t>privée,</w:t>
      </w:r>
      <w:r>
        <w:rPr>
          <w:color w:val="231F20"/>
          <w:spacing w:val="-3"/>
        </w:rPr>
        <w:t> </w:t>
      </w:r>
      <w:r>
        <w:rPr>
          <w:color w:val="231F20"/>
        </w:rPr>
        <w:t>essentiellement</w:t>
      </w:r>
      <w:r>
        <w:rPr>
          <w:color w:val="231F20"/>
          <w:spacing w:val="-3"/>
        </w:rPr>
        <w:t> </w:t>
      </w:r>
      <w:r>
        <w:rPr>
          <w:color w:val="231F20"/>
        </w:rPr>
        <w:t>catholique.</w:t>
      </w:r>
      <w:r>
        <w:rPr>
          <w:color w:val="231F20"/>
          <w:spacing w:val="-3"/>
        </w:rPr>
        <w:t> </w:t>
      </w:r>
      <w:r>
        <w:rPr>
          <w:color w:val="231F20"/>
        </w:rPr>
        <w:t>Le froid s’installe entre le Président Yaméogo et le clergé. La rupture est définitivement consommée en 1965. Cette année-là, le Président de la </w:t>
      </w:r>
      <w:r>
        <w:rPr>
          <w:color w:val="231F20"/>
          <w:spacing w:val="-4"/>
        </w:rPr>
        <w:t>République</w:t>
      </w:r>
      <w:r>
        <w:rPr>
          <w:color w:val="231F20"/>
          <w:spacing w:val="-3"/>
        </w:rPr>
        <w:t> </w:t>
      </w:r>
      <w:r>
        <w:rPr>
          <w:color w:val="231F20"/>
          <w:spacing w:val="-4"/>
        </w:rPr>
        <w:t>fait</w:t>
      </w:r>
      <w:r>
        <w:rPr>
          <w:color w:val="231F20"/>
          <w:spacing w:val="-3"/>
        </w:rPr>
        <w:t> </w:t>
      </w:r>
      <w:r>
        <w:rPr>
          <w:color w:val="231F20"/>
          <w:spacing w:val="-4"/>
        </w:rPr>
        <w:t>emprisonner</w:t>
      </w:r>
      <w:r>
        <w:rPr>
          <w:color w:val="231F20"/>
          <w:spacing w:val="-3"/>
        </w:rPr>
        <w:t> </w:t>
      </w:r>
      <w:r>
        <w:rPr>
          <w:color w:val="231F20"/>
          <w:spacing w:val="-4"/>
        </w:rPr>
        <w:t>son</w:t>
      </w:r>
      <w:r>
        <w:rPr>
          <w:color w:val="231F20"/>
          <w:spacing w:val="-3"/>
        </w:rPr>
        <w:t> </w:t>
      </w:r>
      <w:r>
        <w:rPr>
          <w:color w:val="231F20"/>
          <w:spacing w:val="-4"/>
        </w:rPr>
        <w:t>épouse</w:t>
      </w:r>
      <w:r>
        <w:rPr>
          <w:color w:val="231F20"/>
          <w:spacing w:val="-3"/>
        </w:rPr>
        <w:t> </w:t>
      </w:r>
      <w:r>
        <w:rPr>
          <w:color w:val="231F20"/>
          <w:spacing w:val="-4"/>
        </w:rPr>
        <w:t>Félicité,</w:t>
      </w:r>
      <w:r>
        <w:rPr>
          <w:color w:val="231F20"/>
          <w:spacing w:val="-3"/>
        </w:rPr>
        <w:t> </w:t>
      </w:r>
      <w:r>
        <w:rPr>
          <w:color w:val="231F20"/>
          <w:spacing w:val="-4"/>
        </w:rPr>
        <w:t>divorce,</w:t>
      </w:r>
      <w:r>
        <w:rPr>
          <w:color w:val="231F20"/>
          <w:spacing w:val="-3"/>
        </w:rPr>
        <w:t> </w:t>
      </w:r>
      <w:r>
        <w:rPr>
          <w:color w:val="231F20"/>
          <w:spacing w:val="-4"/>
        </w:rPr>
        <w:t>et</w:t>
      </w:r>
      <w:r>
        <w:rPr>
          <w:color w:val="231F20"/>
          <w:spacing w:val="-2"/>
        </w:rPr>
        <w:t> </w:t>
      </w:r>
      <w:r>
        <w:rPr>
          <w:color w:val="231F20"/>
          <w:spacing w:val="-4"/>
        </w:rPr>
        <w:t>se</w:t>
      </w:r>
      <w:r>
        <w:rPr>
          <w:color w:val="231F20"/>
          <w:spacing w:val="-6"/>
        </w:rPr>
        <w:t> </w:t>
      </w:r>
      <w:r>
        <w:rPr>
          <w:color w:val="231F20"/>
          <w:spacing w:val="-4"/>
        </w:rPr>
        <w:t>remarie</w:t>
      </w:r>
      <w:r>
        <w:rPr>
          <w:color w:val="231F20"/>
          <w:spacing w:val="-6"/>
        </w:rPr>
        <w:t> </w:t>
      </w:r>
      <w:r>
        <w:rPr>
          <w:color w:val="231F20"/>
          <w:spacing w:val="-5"/>
        </w:rPr>
        <w:t>le</w:t>
      </w:r>
    </w:p>
    <w:p>
      <w:pPr>
        <w:pStyle w:val="BodyText"/>
        <w:spacing w:before="1"/>
        <w:ind w:right="107"/>
      </w:pPr>
      <w:r>
        <w:rPr>
          <w:color w:val="231F20"/>
        </w:rPr>
        <w:t>17 octobre en grande pompe avec «</w:t>
      </w:r>
      <w:r>
        <w:rPr>
          <w:color w:val="231F20"/>
          <w:spacing w:val="-13"/>
        </w:rPr>
        <w:t> </w:t>
      </w:r>
      <w:r>
        <w:rPr>
          <w:color w:val="231F20"/>
        </w:rPr>
        <w:t>miss Côte d’Ivoire</w:t>
      </w:r>
      <w:r>
        <w:rPr>
          <w:color w:val="231F20"/>
          <w:spacing w:val="-13"/>
        </w:rPr>
        <w:t> </w:t>
      </w:r>
      <w:r>
        <w:rPr>
          <w:color w:val="231F20"/>
        </w:rPr>
        <w:t>», Nathalie Monaco, une métisse.</w:t>
      </w:r>
    </w:p>
    <w:p>
      <w:pPr>
        <w:pStyle w:val="BodyText"/>
        <w:spacing w:before="120"/>
        <w:ind w:right="104" w:firstLine="283"/>
      </w:pPr>
      <w:r>
        <w:rPr>
          <w:color w:val="231F20"/>
        </w:rPr>
        <w:t>Il y a longtemps que «</w:t>
      </w:r>
      <w:r>
        <w:rPr>
          <w:color w:val="231F20"/>
          <w:spacing w:val="-12"/>
        </w:rPr>
        <w:t> </w:t>
      </w:r>
      <w:r>
        <w:rPr>
          <w:color w:val="231F20"/>
        </w:rPr>
        <w:t>Monsieur Maurice</w:t>
      </w:r>
      <w:r>
        <w:rPr>
          <w:color w:val="231F20"/>
          <w:spacing w:val="-14"/>
        </w:rPr>
        <w:t> </w:t>
      </w:r>
      <w:r>
        <w:rPr>
          <w:color w:val="231F20"/>
        </w:rPr>
        <w:t>» désirait une femme métisse</w:t>
      </w:r>
      <w:r>
        <w:rPr>
          <w:color w:val="231F20"/>
          <w:vertAlign w:val="superscript"/>
        </w:rPr>
        <w:t>108</w:t>
      </w:r>
      <w:r>
        <w:rPr>
          <w:color w:val="231F20"/>
          <w:spacing w:val="-15"/>
          <w:vertAlign w:val="baseline"/>
        </w:rPr>
        <w:t> </w:t>
      </w:r>
      <w:r>
        <w:rPr>
          <w:color w:val="231F20"/>
          <w:vertAlign w:val="superscript"/>
        </w:rPr>
        <w:t>.</w:t>
      </w:r>
      <w:r>
        <w:rPr>
          <w:color w:val="231F20"/>
          <w:spacing w:val="-11"/>
          <w:vertAlign w:val="baseline"/>
        </w:rPr>
        <w:t> </w:t>
      </w:r>
      <w:r>
        <w:rPr>
          <w:color w:val="231F20"/>
          <w:vertAlign w:val="baseline"/>
        </w:rPr>
        <w:t>En effet, </w:t>
      </w:r>
      <w:r>
        <w:rPr>
          <w:color w:val="231F20"/>
          <w:sz w:val="20"/>
          <w:vertAlign w:val="baseline"/>
        </w:rPr>
        <w:t>Frédéric Guirma, diplomate et homme politique</w:t>
      </w:r>
      <w:r>
        <w:rPr>
          <w:color w:val="231F20"/>
          <w:spacing w:val="-13"/>
          <w:sz w:val="20"/>
          <w:vertAlign w:val="baseline"/>
        </w:rPr>
        <w:t> </w:t>
      </w:r>
      <w:r>
        <w:rPr>
          <w:color w:val="231F20"/>
          <w:sz w:val="20"/>
          <w:vertAlign w:val="baseline"/>
        </w:rPr>
        <w:t>burkinabé </w:t>
      </w:r>
      <w:r>
        <w:rPr>
          <w:color w:val="231F20"/>
          <w:spacing w:val="-4"/>
          <w:vertAlign w:val="baseline"/>
        </w:rPr>
        <w:t>affirme</w:t>
      </w:r>
      <w:r>
        <w:rPr>
          <w:color w:val="231F20"/>
          <w:spacing w:val="-11"/>
          <w:vertAlign w:val="baseline"/>
        </w:rPr>
        <w:t> </w:t>
      </w:r>
      <w:r>
        <w:rPr>
          <w:color w:val="231F20"/>
          <w:spacing w:val="-4"/>
          <w:vertAlign w:val="baseline"/>
        </w:rPr>
        <w:t>dans</w:t>
      </w:r>
      <w:r>
        <w:rPr>
          <w:color w:val="231F20"/>
          <w:spacing w:val="-11"/>
          <w:vertAlign w:val="baseline"/>
        </w:rPr>
        <w:t> </w:t>
      </w:r>
      <w:r>
        <w:rPr>
          <w:color w:val="231F20"/>
          <w:spacing w:val="-4"/>
          <w:vertAlign w:val="baseline"/>
        </w:rPr>
        <w:t>son</w:t>
      </w:r>
      <w:r>
        <w:rPr>
          <w:color w:val="231F20"/>
          <w:spacing w:val="-11"/>
          <w:vertAlign w:val="baseline"/>
        </w:rPr>
        <w:t> </w:t>
      </w:r>
      <w:r>
        <w:rPr>
          <w:color w:val="231F20"/>
          <w:spacing w:val="-4"/>
          <w:vertAlign w:val="baseline"/>
        </w:rPr>
        <w:t>livre</w:t>
      </w:r>
      <w:r>
        <w:rPr>
          <w:color w:val="231F20"/>
          <w:spacing w:val="-11"/>
          <w:vertAlign w:val="baseline"/>
        </w:rPr>
        <w:t> </w:t>
      </w:r>
      <w:r>
        <w:rPr>
          <w:rFonts w:ascii="Cambria" w:hAnsi="Cambria"/>
          <w:color w:val="231F20"/>
          <w:spacing w:val="-4"/>
          <w:sz w:val="20"/>
          <w:vertAlign w:val="baseline"/>
        </w:rPr>
        <w:t>«</w:t>
      </w:r>
      <w:r>
        <w:rPr>
          <w:rFonts w:ascii="Cambria" w:hAnsi="Cambria"/>
          <w:color w:val="231F20"/>
          <w:spacing w:val="-8"/>
          <w:sz w:val="20"/>
          <w:vertAlign w:val="baseline"/>
        </w:rPr>
        <w:t> </w:t>
      </w:r>
      <w:r>
        <w:rPr>
          <w:color w:val="231F20"/>
          <w:spacing w:val="-4"/>
          <w:sz w:val="20"/>
          <w:vertAlign w:val="baseline"/>
        </w:rPr>
        <w:t>Comment</w:t>
      </w:r>
      <w:r>
        <w:rPr>
          <w:color w:val="231F20"/>
          <w:spacing w:val="-8"/>
          <w:sz w:val="20"/>
          <w:vertAlign w:val="baseline"/>
        </w:rPr>
        <w:t> </w:t>
      </w:r>
      <w:r>
        <w:rPr>
          <w:color w:val="231F20"/>
          <w:spacing w:val="-4"/>
          <w:sz w:val="20"/>
          <w:vertAlign w:val="baseline"/>
        </w:rPr>
        <w:t>perdre</w:t>
      </w:r>
      <w:r>
        <w:rPr>
          <w:color w:val="231F20"/>
          <w:spacing w:val="-8"/>
          <w:sz w:val="20"/>
          <w:vertAlign w:val="baseline"/>
        </w:rPr>
        <w:t> </w:t>
      </w:r>
      <w:r>
        <w:rPr>
          <w:color w:val="231F20"/>
          <w:spacing w:val="-4"/>
          <w:sz w:val="20"/>
          <w:vertAlign w:val="baseline"/>
        </w:rPr>
        <w:t>le</w:t>
      </w:r>
      <w:r>
        <w:rPr>
          <w:color w:val="231F20"/>
          <w:spacing w:val="-8"/>
          <w:sz w:val="20"/>
          <w:vertAlign w:val="baseline"/>
        </w:rPr>
        <w:t> </w:t>
      </w:r>
      <w:r>
        <w:rPr>
          <w:color w:val="231F20"/>
          <w:spacing w:val="-4"/>
          <w:sz w:val="20"/>
          <w:vertAlign w:val="baseline"/>
        </w:rPr>
        <w:t>pouvoir</w:t>
      </w:r>
      <w:r>
        <w:rPr>
          <w:color w:val="231F20"/>
          <w:spacing w:val="-5"/>
          <w:sz w:val="20"/>
          <w:vertAlign w:val="baseline"/>
        </w:rPr>
        <w:t> </w:t>
      </w:r>
      <w:r>
        <w:rPr>
          <w:color w:val="231F20"/>
          <w:spacing w:val="-4"/>
          <w:sz w:val="20"/>
          <w:vertAlign w:val="baseline"/>
        </w:rPr>
        <w:t>?</w:t>
      </w:r>
      <w:r>
        <w:rPr>
          <w:color w:val="231F20"/>
          <w:spacing w:val="-9"/>
          <w:sz w:val="20"/>
          <w:vertAlign w:val="baseline"/>
        </w:rPr>
        <w:t> </w:t>
      </w:r>
      <w:r>
        <w:rPr>
          <w:color w:val="231F20"/>
          <w:spacing w:val="-4"/>
          <w:sz w:val="20"/>
          <w:vertAlign w:val="baseline"/>
        </w:rPr>
        <w:t>Le</w:t>
      </w:r>
      <w:r>
        <w:rPr>
          <w:color w:val="231F20"/>
          <w:spacing w:val="-8"/>
          <w:sz w:val="20"/>
          <w:vertAlign w:val="baseline"/>
        </w:rPr>
        <w:t> </w:t>
      </w:r>
      <w:r>
        <w:rPr>
          <w:color w:val="231F20"/>
          <w:spacing w:val="-4"/>
          <w:sz w:val="20"/>
          <w:vertAlign w:val="baseline"/>
        </w:rPr>
        <w:t>cas</w:t>
      </w:r>
      <w:r>
        <w:rPr>
          <w:color w:val="231F20"/>
          <w:spacing w:val="-8"/>
          <w:sz w:val="20"/>
          <w:vertAlign w:val="baseline"/>
        </w:rPr>
        <w:t> </w:t>
      </w:r>
      <w:r>
        <w:rPr>
          <w:color w:val="231F20"/>
          <w:spacing w:val="-4"/>
          <w:sz w:val="20"/>
          <w:vertAlign w:val="baseline"/>
        </w:rPr>
        <w:t>de</w:t>
      </w:r>
      <w:r>
        <w:rPr>
          <w:color w:val="231F20"/>
          <w:spacing w:val="-9"/>
          <w:sz w:val="20"/>
          <w:vertAlign w:val="baseline"/>
        </w:rPr>
        <w:t> </w:t>
      </w:r>
      <w:r>
        <w:rPr>
          <w:color w:val="231F20"/>
          <w:spacing w:val="-4"/>
          <w:sz w:val="20"/>
          <w:vertAlign w:val="baseline"/>
        </w:rPr>
        <w:t>Maurice</w:t>
      </w:r>
      <w:r>
        <w:rPr>
          <w:color w:val="231F20"/>
          <w:spacing w:val="-6"/>
          <w:sz w:val="20"/>
          <w:vertAlign w:val="baseline"/>
        </w:rPr>
        <w:t> </w:t>
      </w:r>
      <w:r>
        <w:rPr>
          <w:color w:val="231F20"/>
          <w:spacing w:val="-4"/>
          <w:sz w:val="20"/>
          <w:vertAlign w:val="baseline"/>
        </w:rPr>
        <w:t>Yaméogo</w:t>
      </w:r>
      <w:r>
        <w:rPr>
          <w:color w:val="231F20"/>
          <w:sz w:val="20"/>
          <w:vertAlign w:val="baseline"/>
        </w:rPr>
        <w:t> </w:t>
      </w:r>
      <w:r>
        <w:rPr>
          <w:color w:val="231F20"/>
          <w:spacing w:val="-4"/>
          <w:sz w:val="20"/>
          <w:vertAlign w:val="baseline"/>
        </w:rPr>
        <w:t>» </w:t>
      </w:r>
      <w:r>
        <w:rPr>
          <w:color w:val="231F20"/>
          <w:vertAlign w:val="baseline"/>
        </w:rPr>
        <w:t>qu’il</w:t>
      </w:r>
      <w:r>
        <w:rPr>
          <w:color w:val="231F20"/>
          <w:spacing w:val="-3"/>
          <w:vertAlign w:val="baseline"/>
        </w:rPr>
        <w:t> </w:t>
      </w:r>
      <w:r>
        <w:rPr>
          <w:color w:val="231F20"/>
          <w:vertAlign w:val="baseline"/>
        </w:rPr>
        <w:t>avait</w:t>
      </w:r>
      <w:r>
        <w:rPr>
          <w:color w:val="231F20"/>
          <w:spacing w:val="-3"/>
          <w:vertAlign w:val="baseline"/>
        </w:rPr>
        <w:t> </w:t>
      </w:r>
      <w:r>
        <w:rPr>
          <w:color w:val="231F20"/>
          <w:vertAlign w:val="baseline"/>
        </w:rPr>
        <w:t>épousé</w:t>
      </w:r>
      <w:r>
        <w:rPr>
          <w:color w:val="231F20"/>
          <w:spacing w:val="-5"/>
          <w:vertAlign w:val="baseline"/>
        </w:rPr>
        <w:t> </w:t>
      </w:r>
      <w:r>
        <w:rPr>
          <w:color w:val="231F20"/>
          <w:vertAlign w:val="baseline"/>
        </w:rPr>
        <w:t>par</w:t>
      </w:r>
      <w:r>
        <w:rPr>
          <w:color w:val="231F20"/>
          <w:spacing w:val="-3"/>
          <w:vertAlign w:val="baseline"/>
        </w:rPr>
        <w:t> </w:t>
      </w:r>
      <w:r>
        <w:rPr>
          <w:color w:val="231F20"/>
          <w:vertAlign w:val="baseline"/>
        </w:rPr>
        <w:t>résignation</w:t>
      </w:r>
      <w:r>
        <w:rPr>
          <w:color w:val="231F20"/>
          <w:spacing w:val="-3"/>
          <w:vertAlign w:val="baseline"/>
        </w:rPr>
        <w:t> </w:t>
      </w:r>
      <w:r>
        <w:rPr>
          <w:color w:val="231F20"/>
          <w:vertAlign w:val="baseline"/>
        </w:rPr>
        <w:t>Félicité</w:t>
      </w:r>
      <w:r>
        <w:rPr>
          <w:color w:val="231F20"/>
          <w:spacing w:val="-3"/>
          <w:vertAlign w:val="baseline"/>
        </w:rPr>
        <w:t> </w:t>
      </w:r>
      <w:r>
        <w:rPr>
          <w:color w:val="231F20"/>
          <w:vertAlign w:val="baseline"/>
        </w:rPr>
        <w:t>Zagré,</w:t>
      </w:r>
      <w:r>
        <w:rPr>
          <w:color w:val="231F20"/>
          <w:spacing w:val="-3"/>
          <w:vertAlign w:val="baseline"/>
        </w:rPr>
        <w:t> </w:t>
      </w:r>
      <w:r>
        <w:rPr>
          <w:color w:val="231F20"/>
          <w:vertAlign w:val="baseline"/>
        </w:rPr>
        <w:t>une</w:t>
      </w:r>
      <w:r>
        <w:rPr>
          <w:color w:val="231F20"/>
          <w:spacing w:val="-3"/>
          <w:vertAlign w:val="baseline"/>
        </w:rPr>
        <w:t> </w:t>
      </w:r>
      <w:r>
        <w:rPr>
          <w:color w:val="231F20"/>
          <w:vertAlign w:val="baseline"/>
        </w:rPr>
        <w:t>fille</w:t>
      </w:r>
      <w:r>
        <w:rPr>
          <w:color w:val="231F20"/>
          <w:spacing w:val="-3"/>
          <w:vertAlign w:val="baseline"/>
        </w:rPr>
        <w:t> </w:t>
      </w:r>
      <w:r>
        <w:rPr>
          <w:color w:val="231F20"/>
          <w:vertAlign w:val="baseline"/>
        </w:rPr>
        <w:t>scolarisée</w:t>
      </w:r>
      <w:r>
        <w:rPr>
          <w:color w:val="231F20"/>
          <w:spacing w:val="-3"/>
          <w:vertAlign w:val="baseline"/>
        </w:rPr>
        <w:t> </w:t>
      </w:r>
      <w:r>
        <w:rPr>
          <w:color w:val="231F20"/>
          <w:vertAlign w:val="baseline"/>
        </w:rPr>
        <w:t>de </w:t>
      </w:r>
      <w:r>
        <w:rPr>
          <w:color w:val="231F20"/>
          <w:spacing w:val="-2"/>
          <w:vertAlign w:val="baseline"/>
        </w:rPr>
        <w:t>Koudougou</w:t>
      </w:r>
      <w:r>
        <w:rPr>
          <w:color w:val="231F20"/>
          <w:spacing w:val="-13"/>
          <w:vertAlign w:val="baseline"/>
        </w:rPr>
        <w:t> </w:t>
      </w:r>
      <w:r>
        <w:rPr>
          <w:color w:val="231F20"/>
          <w:spacing w:val="-2"/>
          <w:vertAlign w:val="baseline"/>
        </w:rPr>
        <w:t>:</w:t>
      </w:r>
      <w:r>
        <w:rPr>
          <w:color w:val="231F20"/>
          <w:spacing w:val="-8"/>
          <w:vertAlign w:val="baseline"/>
        </w:rPr>
        <w:t> </w:t>
      </w:r>
      <w:r>
        <w:rPr>
          <w:color w:val="231F20"/>
          <w:spacing w:val="-2"/>
          <w:vertAlign w:val="baseline"/>
        </w:rPr>
        <w:t>lorsqu’il</w:t>
      </w:r>
      <w:r>
        <w:rPr>
          <w:color w:val="231F20"/>
          <w:spacing w:val="-7"/>
          <w:vertAlign w:val="baseline"/>
        </w:rPr>
        <w:t> </w:t>
      </w:r>
      <w:r>
        <w:rPr>
          <w:color w:val="231F20"/>
          <w:spacing w:val="-2"/>
          <w:vertAlign w:val="baseline"/>
        </w:rPr>
        <w:t>avait</w:t>
      </w:r>
      <w:r>
        <w:rPr>
          <w:color w:val="231F20"/>
          <w:spacing w:val="-7"/>
          <w:vertAlign w:val="baseline"/>
        </w:rPr>
        <w:t> </w:t>
      </w:r>
      <w:r>
        <w:rPr>
          <w:color w:val="231F20"/>
          <w:spacing w:val="-2"/>
          <w:vertAlign w:val="baseline"/>
        </w:rPr>
        <w:t>intégré</w:t>
      </w:r>
      <w:r>
        <w:rPr>
          <w:color w:val="231F20"/>
          <w:spacing w:val="-9"/>
          <w:vertAlign w:val="baseline"/>
        </w:rPr>
        <w:t> </w:t>
      </w:r>
      <w:r>
        <w:rPr>
          <w:color w:val="231F20"/>
          <w:spacing w:val="-2"/>
          <w:vertAlign w:val="baseline"/>
        </w:rPr>
        <w:t>la</w:t>
      </w:r>
      <w:r>
        <w:rPr>
          <w:color w:val="231F20"/>
          <w:spacing w:val="-9"/>
          <w:vertAlign w:val="baseline"/>
        </w:rPr>
        <w:t> </w:t>
      </w:r>
      <w:r>
        <w:rPr>
          <w:color w:val="231F20"/>
          <w:spacing w:val="-2"/>
          <w:vertAlign w:val="baseline"/>
        </w:rPr>
        <w:t>fonction</w:t>
      </w:r>
      <w:r>
        <w:rPr>
          <w:color w:val="231F20"/>
          <w:spacing w:val="-7"/>
          <w:vertAlign w:val="baseline"/>
        </w:rPr>
        <w:t> </w:t>
      </w:r>
      <w:r>
        <w:rPr>
          <w:color w:val="231F20"/>
          <w:spacing w:val="-2"/>
          <w:vertAlign w:val="baseline"/>
        </w:rPr>
        <w:t>publique</w:t>
      </w:r>
      <w:r>
        <w:rPr>
          <w:color w:val="231F20"/>
          <w:spacing w:val="-9"/>
          <w:vertAlign w:val="baseline"/>
        </w:rPr>
        <w:t> </w:t>
      </w:r>
      <w:r>
        <w:rPr>
          <w:color w:val="231F20"/>
          <w:spacing w:val="-2"/>
          <w:vertAlign w:val="baseline"/>
        </w:rPr>
        <w:t>comme</w:t>
      </w:r>
      <w:r>
        <w:rPr>
          <w:color w:val="231F20"/>
          <w:spacing w:val="-9"/>
          <w:vertAlign w:val="baseline"/>
        </w:rPr>
        <w:t> </w:t>
      </w:r>
      <w:r>
        <w:rPr>
          <w:color w:val="231F20"/>
          <w:spacing w:val="-2"/>
          <w:vertAlign w:val="baseline"/>
        </w:rPr>
        <w:t>commis </w:t>
      </w:r>
      <w:r>
        <w:rPr>
          <w:color w:val="231F20"/>
          <w:spacing w:val="-4"/>
          <w:vertAlign w:val="baseline"/>
        </w:rPr>
        <w:t>expéditionnaire, poste qui</w:t>
      </w:r>
      <w:r>
        <w:rPr>
          <w:color w:val="231F20"/>
          <w:spacing w:val="-6"/>
          <w:vertAlign w:val="baseline"/>
        </w:rPr>
        <w:t> </w:t>
      </w:r>
      <w:r>
        <w:rPr>
          <w:color w:val="231F20"/>
          <w:spacing w:val="-4"/>
          <w:vertAlign w:val="baseline"/>
        </w:rPr>
        <w:t>symbolisait pour</w:t>
      </w:r>
      <w:r>
        <w:rPr>
          <w:color w:val="231F20"/>
          <w:spacing w:val="-5"/>
          <w:vertAlign w:val="baseline"/>
        </w:rPr>
        <w:t> </w:t>
      </w:r>
      <w:r>
        <w:rPr>
          <w:color w:val="231F20"/>
          <w:spacing w:val="-4"/>
          <w:vertAlign w:val="baseline"/>
        </w:rPr>
        <w:t>lui,</w:t>
      </w:r>
      <w:r>
        <w:rPr>
          <w:color w:val="231F20"/>
          <w:spacing w:val="-6"/>
          <w:vertAlign w:val="baseline"/>
        </w:rPr>
        <w:t> </w:t>
      </w:r>
      <w:r>
        <w:rPr>
          <w:color w:val="231F20"/>
          <w:spacing w:val="-4"/>
          <w:vertAlign w:val="baseline"/>
        </w:rPr>
        <w:t>la</w:t>
      </w:r>
      <w:r>
        <w:rPr>
          <w:color w:val="231F20"/>
          <w:spacing w:val="-5"/>
          <w:vertAlign w:val="baseline"/>
        </w:rPr>
        <w:t> </w:t>
      </w:r>
      <w:r>
        <w:rPr>
          <w:color w:val="231F20"/>
          <w:spacing w:val="-4"/>
          <w:vertAlign w:val="baseline"/>
        </w:rPr>
        <w:t>réussite</w:t>
      </w:r>
      <w:r>
        <w:rPr>
          <w:color w:val="231F20"/>
          <w:spacing w:val="-5"/>
          <w:vertAlign w:val="baseline"/>
        </w:rPr>
        <w:t> </w:t>
      </w:r>
      <w:r>
        <w:rPr>
          <w:color w:val="231F20"/>
          <w:spacing w:val="-4"/>
          <w:vertAlign w:val="baseline"/>
        </w:rPr>
        <w:t>et</w:t>
      </w:r>
      <w:r>
        <w:rPr>
          <w:color w:val="231F20"/>
          <w:spacing w:val="-7"/>
          <w:vertAlign w:val="baseline"/>
        </w:rPr>
        <w:t> </w:t>
      </w:r>
      <w:r>
        <w:rPr>
          <w:color w:val="231F20"/>
          <w:spacing w:val="-4"/>
          <w:vertAlign w:val="baseline"/>
        </w:rPr>
        <w:t>le prestige, il </w:t>
      </w:r>
      <w:r>
        <w:rPr>
          <w:color w:val="231F20"/>
          <w:spacing w:val="-2"/>
          <w:vertAlign w:val="baseline"/>
        </w:rPr>
        <w:t>se</w:t>
      </w:r>
      <w:r>
        <w:rPr>
          <w:color w:val="231F20"/>
          <w:spacing w:val="-8"/>
          <w:vertAlign w:val="baseline"/>
        </w:rPr>
        <w:t> </w:t>
      </w:r>
      <w:r>
        <w:rPr>
          <w:color w:val="231F20"/>
          <w:spacing w:val="-2"/>
          <w:vertAlign w:val="baseline"/>
        </w:rPr>
        <w:t>serait</w:t>
      </w:r>
      <w:r>
        <w:rPr>
          <w:color w:val="231F20"/>
          <w:spacing w:val="-8"/>
          <w:vertAlign w:val="baseline"/>
        </w:rPr>
        <w:t> </w:t>
      </w:r>
      <w:r>
        <w:rPr>
          <w:color w:val="231F20"/>
          <w:spacing w:val="-2"/>
          <w:vertAlign w:val="baseline"/>
        </w:rPr>
        <w:t>épris</w:t>
      </w:r>
      <w:r>
        <w:rPr>
          <w:color w:val="231F20"/>
          <w:spacing w:val="-8"/>
          <w:vertAlign w:val="baseline"/>
        </w:rPr>
        <w:t> </w:t>
      </w:r>
      <w:r>
        <w:rPr>
          <w:color w:val="231F20"/>
          <w:spacing w:val="-2"/>
          <w:vertAlign w:val="baseline"/>
        </w:rPr>
        <w:t>d’une</w:t>
      </w:r>
      <w:r>
        <w:rPr>
          <w:color w:val="231F20"/>
          <w:spacing w:val="-8"/>
          <w:vertAlign w:val="baseline"/>
        </w:rPr>
        <w:t> </w:t>
      </w:r>
      <w:r>
        <w:rPr>
          <w:color w:val="231F20"/>
          <w:spacing w:val="-2"/>
          <w:vertAlign w:val="baseline"/>
        </w:rPr>
        <w:t>métisse,</w:t>
      </w:r>
      <w:r>
        <w:rPr>
          <w:color w:val="231F20"/>
          <w:spacing w:val="-8"/>
          <w:vertAlign w:val="baseline"/>
        </w:rPr>
        <w:t> </w:t>
      </w:r>
      <w:r>
        <w:rPr>
          <w:color w:val="231F20"/>
          <w:spacing w:val="-2"/>
          <w:vertAlign w:val="baseline"/>
        </w:rPr>
        <w:t>Thérèse</w:t>
      </w:r>
      <w:r>
        <w:rPr>
          <w:color w:val="231F20"/>
          <w:spacing w:val="-8"/>
          <w:vertAlign w:val="baseline"/>
        </w:rPr>
        <w:t> </w:t>
      </w:r>
      <w:r>
        <w:rPr>
          <w:color w:val="231F20"/>
          <w:spacing w:val="-2"/>
          <w:vertAlign w:val="baseline"/>
        </w:rPr>
        <w:t>Larbat.</w:t>
      </w:r>
      <w:r>
        <w:rPr>
          <w:color w:val="231F20"/>
          <w:spacing w:val="-8"/>
          <w:vertAlign w:val="baseline"/>
        </w:rPr>
        <w:t> </w:t>
      </w:r>
      <w:r>
        <w:rPr>
          <w:color w:val="231F20"/>
          <w:spacing w:val="-2"/>
          <w:vertAlign w:val="baseline"/>
        </w:rPr>
        <w:t>Malheureusement</w:t>
      </w:r>
      <w:r>
        <w:rPr>
          <w:color w:val="231F20"/>
          <w:spacing w:val="-8"/>
          <w:vertAlign w:val="baseline"/>
        </w:rPr>
        <w:t> </w:t>
      </w:r>
      <w:r>
        <w:rPr>
          <w:color w:val="231F20"/>
          <w:spacing w:val="-2"/>
          <w:vertAlign w:val="baseline"/>
        </w:rPr>
        <w:t>pour</w:t>
      </w:r>
      <w:r>
        <w:rPr>
          <w:color w:val="231F20"/>
          <w:spacing w:val="-10"/>
          <w:vertAlign w:val="baseline"/>
        </w:rPr>
        <w:t> </w:t>
      </w:r>
      <w:r>
        <w:rPr>
          <w:color w:val="231F20"/>
          <w:spacing w:val="-2"/>
          <w:vertAlign w:val="baseline"/>
        </w:rPr>
        <w:t>lui, </w:t>
      </w:r>
      <w:r>
        <w:rPr>
          <w:color w:val="231F20"/>
          <w:vertAlign w:val="baseline"/>
        </w:rPr>
        <w:t>le</w:t>
      </w:r>
      <w:r>
        <w:rPr>
          <w:color w:val="231F20"/>
          <w:spacing w:val="-15"/>
          <w:vertAlign w:val="baseline"/>
        </w:rPr>
        <w:t> </w:t>
      </w:r>
      <w:r>
        <w:rPr>
          <w:color w:val="231F20"/>
          <w:vertAlign w:val="baseline"/>
        </w:rPr>
        <w:t>père</w:t>
      </w:r>
      <w:r>
        <w:rPr>
          <w:color w:val="231F20"/>
          <w:spacing w:val="-15"/>
          <w:vertAlign w:val="baseline"/>
        </w:rPr>
        <w:t> </w:t>
      </w:r>
      <w:r>
        <w:rPr>
          <w:color w:val="231F20"/>
          <w:vertAlign w:val="baseline"/>
        </w:rPr>
        <w:t>lui</w:t>
      </w:r>
      <w:r>
        <w:rPr>
          <w:color w:val="231F20"/>
          <w:spacing w:val="-15"/>
          <w:vertAlign w:val="baseline"/>
        </w:rPr>
        <w:t> </w:t>
      </w:r>
      <w:r>
        <w:rPr>
          <w:color w:val="231F20"/>
          <w:vertAlign w:val="baseline"/>
        </w:rPr>
        <w:t>aurait</w:t>
      </w:r>
      <w:r>
        <w:rPr>
          <w:color w:val="231F20"/>
          <w:spacing w:val="-15"/>
          <w:vertAlign w:val="baseline"/>
        </w:rPr>
        <w:t> </w:t>
      </w:r>
      <w:r>
        <w:rPr>
          <w:color w:val="231F20"/>
          <w:vertAlign w:val="baseline"/>
        </w:rPr>
        <w:t>refusé</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main</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sa</w:t>
      </w:r>
      <w:r>
        <w:rPr>
          <w:color w:val="231F20"/>
          <w:spacing w:val="-15"/>
          <w:vertAlign w:val="baseline"/>
        </w:rPr>
        <w:t> </w:t>
      </w:r>
      <w:r>
        <w:rPr>
          <w:color w:val="231F20"/>
          <w:vertAlign w:val="baseline"/>
        </w:rPr>
        <w:t>fille</w:t>
      </w:r>
      <w:r>
        <w:rPr>
          <w:color w:val="231F20"/>
          <w:spacing w:val="-15"/>
          <w:vertAlign w:val="baseline"/>
        </w:rPr>
        <w:t> </w:t>
      </w:r>
      <w:r>
        <w:rPr>
          <w:color w:val="231F20"/>
          <w:vertAlign w:val="baseline"/>
        </w:rPr>
        <w:t>au</w:t>
      </w:r>
      <w:r>
        <w:rPr>
          <w:color w:val="231F20"/>
          <w:spacing w:val="-15"/>
          <w:vertAlign w:val="baseline"/>
        </w:rPr>
        <w:t> </w:t>
      </w:r>
      <w:r>
        <w:rPr>
          <w:color w:val="231F20"/>
          <w:vertAlign w:val="baseline"/>
        </w:rPr>
        <w:t>motif</w:t>
      </w:r>
      <w:r>
        <w:rPr>
          <w:color w:val="231F20"/>
          <w:spacing w:val="-15"/>
          <w:vertAlign w:val="baseline"/>
        </w:rPr>
        <w:t> </w:t>
      </w:r>
      <w:r>
        <w:rPr>
          <w:color w:val="231F20"/>
          <w:vertAlign w:val="baseline"/>
        </w:rPr>
        <w:t>qu’il</w:t>
      </w:r>
      <w:r>
        <w:rPr>
          <w:color w:val="231F20"/>
          <w:spacing w:val="-15"/>
          <w:vertAlign w:val="baseline"/>
        </w:rPr>
        <w:t> </w:t>
      </w:r>
      <w:r>
        <w:rPr>
          <w:color w:val="231F20"/>
          <w:vertAlign w:val="baseline"/>
        </w:rPr>
        <w:t>n’est</w:t>
      </w:r>
      <w:r>
        <w:rPr>
          <w:color w:val="231F20"/>
          <w:spacing w:val="-14"/>
          <w:vertAlign w:val="baseline"/>
        </w:rPr>
        <w:t> </w:t>
      </w:r>
      <w:r>
        <w:rPr>
          <w:color w:val="231F20"/>
          <w:vertAlign w:val="baseline"/>
        </w:rPr>
        <w:t>pas</w:t>
      </w:r>
      <w:r>
        <w:rPr>
          <w:color w:val="231F20"/>
          <w:spacing w:val="-13"/>
          <w:vertAlign w:val="baseline"/>
        </w:rPr>
        <w:t> </w:t>
      </w:r>
      <w:r>
        <w:rPr>
          <w:color w:val="231F20"/>
          <w:vertAlign w:val="baseline"/>
        </w:rPr>
        <w:t>«</w:t>
      </w:r>
      <w:r>
        <w:rPr>
          <w:color w:val="231F20"/>
          <w:spacing w:val="-15"/>
          <w:vertAlign w:val="baseline"/>
        </w:rPr>
        <w:t> </w:t>
      </w:r>
      <w:r>
        <w:rPr>
          <w:color w:val="231F20"/>
          <w:vertAlign w:val="baseline"/>
        </w:rPr>
        <w:t>assez civilisé</w:t>
      </w:r>
      <w:r>
        <w:rPr>
          <w:color w:val="231F20"/>
          <w:spacing w:val="-9"/>
          <w:vertAlign w:val="baseline"/>
        </w:rPr>
        <w:t> </w:t>
      </w:r>
      <w:r>
        <w:rPr>
          <w:color w:val="231F20"/>
          <w:vertAlign w:val="baseline"/>
        </w:rPr>
        <w:t>»</w:t>
      </w:r>
      <w:r>
        <w:rPr>
          <w:color w:val="231F20"/>
          <w:spacing w:val="-7"/>
          <w:vertAlign w:val="baseline"/>
        </w:rPr>
        <w:t> </w:t>
      </w:r>
      <w:r>
        <w:rPr>
          <w:color w:val="231F20"/>
          <w:vertAlign w:val="baseline"/>
        </w:rPr>
        <w:t>pour</w:t>
      </w:r>
      <w:r>
        <w:rPr>
          <w:color w:val="231F20"/>
          <w:spacing w:val="-7"/>
          <w:vertAlign w:val="baseline"/>
        </w:rPr>
        <w:t> </w:t>
      </w:r>
      <w:r>
        <w:rPr>
          <w:color w:val="231F20"/>
          <w:vertAlign w:val="baseline"/>
        </w:rPr>
        <w:t>faire</w:t>
      </w:r>
      <w:r>
        <w:rPr>
          <w:color w:val="231F20"/>
          <w:spacing w:val="-7"/>
          <w:vertAlign w:val="baseline"/>
        </w:rPr>
        <w:t> </w:t>
      </w:r>
      <w:r>
        <w:rPr>
          <w:color w:val="231F20"/>
          <w:vertAlign w:val="baseline"/>
        </w:rPr>
        <w:t>le</w:t>
      </w:r>
      <w:r>
        <w:rPr>
          <w:color w:val="231F20"/>
          <w:spacing w:val="-9"/>
          <w:vertAlign w:val="baseline"/>
        </w:rPr>
        <w:t> </w:t>
      </w:r>
      <w:r>
        <w:rPr>
          <w:color w:val="231F20"/>
          <w:vertAlign w:val="baseline"/>
        </w:rPr>
        <w:t>bonheur</w:t>
      </w:r>
      <w:r>
        <w:rPr>
          <w:color w:val="231F20"/>
          <w:spacing w:val="-7"/>
          <w:vertAlign w:val="baseline"/>
        </w:rPr>
        <w:t> </w:t>
      </w:r>
      <w:r>
        <w:rPr>
          <w:color w:val="231F20"/>
          <w:vertAlign w:val="baseline"/>
        </w:rPr>
        <w:t>de</w:t>
      </w:r>
      <w:r>
        <w:rPr>
          <w:color w:val="231F20"/>
          <w:spacing w:val="-7"/>
          <w:vertAlign w:val="baseline"/>
        </w:rPr>
        <w:t> </w:t>
      </w:r>
      <w:r>
        <w:rPr>
          <w:color w:val="231F20"/>
          <w:vertAlign w:val="baseline"/>
        </w:rPr>
        <w:t>sa</w:t>
      </w:r>
      <w:r>
        <w:rPr>
          <w:color w:val="231F20"/>
          <w:spacing w:val="-7"/>
          <w:vertAlign w:val="baseline"/>
        </w:rPr>
        <w:t> </w:t>
      </w:r>
      <w:r>
        <w:rPr>
          <w:color w:val="231F20"/>
          <w:vertAlign w:val="baseline"/>
        </w:rPr>
        <w:t>fille</w:t>
      </w:r>
      <w:r>
        <w:rPr>
          <w:color w:val="231F20"/>
          <w:vertAlign w:val="superscript"/>
        </w:rPr>
        <w:t>109.</w:t>
      </w:r>
      <w:r>
        <w:rPr>
          <w:color w:val="231F20"/>
          <w:spacing w:val="-6"/>
          <w:vertAlign w:val="baseline"/>
        </w:rPr>
        <w:t> </w:t>
      </w:r>
      <w:r>
        <w:rPr>
          <w:color w:val="231F20"/>
          <w:vertAlign w:val="baseline"/>
        </w:rPr>
        <w:t>En</w:t>
      </w:r>
      <w:r>
        <w:rPr>
          <w:color w:val="231F20"/>
          <w:spacing w:val="-7"/>
          <w:vertAlign w:val="baseline"/>
        </w:rPr>
        <w:t> </w:t>
      </w:r>
      <w:r>
        <w:rPr>
          <w:color w:val="231F20"/>
          <w:vertAlign w:val="baseline"/>
        </w:rPr>
        <w:t>épousant</w:t>
      </w:r>
      <w:r>
        <w:rPr>
          <w:color w:val="231F20"/>
          <w:spacing w:val="-6"/>
          <w:vertAlign w:val="baseline"/>
        </w:rPr>
        <w:t> </w:t>
      </w:r>
      <w:r>
        <w:rPr>
          <w:color w:val="231F20"/>
          <w:vertAlign w:val="baseline"/>
        </w:rPr>
        <w:t>grâce</w:t>
      </w:r>
      <w:r>
        <w:rPr>
          <w:color w:val="231F20"/>
          <w:spacing w:val="-7"/>
          <w:vertAlign w:val="baseline"/>
        </w:rPr>
        <w:t> </w:t>
      </w:r>
      <w:r>
        <w:rPr>
          <w:color w:val="231F20"/>
          <w:vertAlign w:val="baseline"/>
        </w:rPr>
        <w:t>au</w:t>
      </w:r>
      <w:r>
        <w:rPr>
          <w:color w:val="231F20"/>
          <w:spacing w:val="-5"/>
          <w:vertAlign w:val="baseline"/>
        </w:rPr>
        <w:t> </w:t>
      </w:r>
      <w:r>
        <w:rPr>
          <w:color w:val="231F20"/>
          <w:vertAlign w:val="baseline"/>
        </w:rPr>
        <w:t>coup de pouce du président Ivoirien Félix Houphouët-Boigny, une métisse comme il en a</w:t>
      </w:r>
      <w:r>
        <w:rPr>
          <w:color w:val="231F20"/>
          <w:spacing w:val="-1"/>
          <w:vertAlign w:val="baseline"/>
        </w:rPr>
        <w:t> </w:t>
      </w:r>
      <w:r>
        <w:rPr>
          <w:color w:val="231F20"/>
          <w:vertAlign w:val="baseline"/>
        </w:rPr>
        <w:t>toujours désiré, Maurice Yaméogo</w:t>
      </w:r>
      <w:r>
        <w:rPr>
          <w:color w:val="231F20"/>
          <w:spacing w:val="-3"/>
          <w:vertAlign w:val="baseline"/>
        </w:rPr>
        <w:t> </w:t>
      </w:r>
      <w:r>
        <w:rPr>
          <w:color w:val="231F20"/>
          <w:vertAlign w:val="baseline"/>
        </w:rPr>
        <w:t>réalise son rêve. Les noces</w:t>
      </w:r>
      <w:r>
        <w:rPr>
          <w:color w:val="231F20"/>
          <w:spacing w:val="-4"/>
          <w:vertAlign w:val="baseline"/>
        </w:rPr>
        <w:t> </w:t>
      </w:r>
      <w:r>
        <w:rPr>
          <w:color w:val="231F20"/>
          <w:vertAlign w:val="baseline"/>
        </w:rPr>
        <w:t>se</w:t>
      </w:r>
      <w:r>
        <w:rPr>
          <w:color w:val="231F20"/>
          <w:spacing w:val="-4"/>
          <w:vertAlign w:val="baseline"/>
        </w:rPr>
        <w:t> </w:t>
      </w:r>
      <w:r>
        <w:rPr>
          <w:color w:val="231F20"/>
          <w:vertAlign w:val="baseline"/>
        </w:rPr>
        <w:t>déroulent</w:t>
      </w:r>
      <w:r>
        <w:rPr>
          <w:color w:val="231F20"/>
          <w:spacing w:val="-4"/>
          <w:vertAlign w:val="baseline"/>
        </w:rPr>
        <w:t> </w:t>
      </w:r>
      <w:r>
        <w:rPr>
          <w:color w:val="231F20"/>
          <w:vertAlign w:val="baseline"/>
        </w:rPr>
        <w:t>avec</w:t>
      </w:r>
      <w:r>
        <w:rPr>
          <w:color w:val="231F20"/>
          <w:spacing w:val="-4"/>
          <w:vertAlign w:val="baseline"/>
        </w:rPr>
        <w:t> </w:t>
      </w:r>
      <w:r>
        <w:rPr>
          <w:color w:val="231F20"/>
          <w:vertAlign w:val="baseline"/>
        </w:rPr>
        <w:t>faste</w:t>
      </w:r>
      <w:r>
        <w:rPr>
          <w:color w:val="231F20"/>
          <w:spacing w:val="-4"/>
          <w:vertAlign w:val="baseline"/>
        </w:rPr>
        <w:t> </w:t>
      </w:r>
      <w:r>
        <w:rPr>
          <w:color w:val="231F20"/>
          <w:vertAlign w:val="baseline"/>
        </w:rPr>
        <w:t>dans</w:t>
      </w:r>
      <w:r>
        <w:rPr>
          <w:color w:val="231F20"/>
          <w:spacing w:val="-2"/>
          <w:vertAlign w:val="baseline"/>
        </w:rPr>
        <w:t> </w:t>
      </w:r>
      <w:r>
        <w:rPr>
          <w:color w:val="231F20"/>
          <w:vertAlign w:val="baseline"/>
        </w:rPr>
        <w:t>les</w:t>
      </w:r>
      <w:r>
        <w:rPr>
          <w:color w:val="231F20"/>
          <w:spacing w:val="-6"/>
          <w:vertAlign w:val="baseline"/>
        </w:rPr>
        <w:t> </w:t>
      </w:r>
      <w:r>
        <w:rPr>
          <w:color w:val="231F20"/>
          <w:vertAlign w:val="baseline"/>
        </w:rPr>
        <w:t>Caraïbes</w:t>
      </w:r>
      <w:r>
        <w:rPr>
          <w:color w:val="231F20"/>
          <w:spacing w:val="-4"/>
          <w:vertAlign w:val="baseline"/>
        </w:rPr>
        <w:t> </w:t>
      </w:r>
      <w:r>
        <w:rPr>
          <w:color w:val="231F20"/>
          <w:vertAlign w:val="baseline"/>
        </w:rPr>
        <w:t>et</w:t>
      </w:r>
      <w:r>
        <w:rPr>
          <w:color w:val="231F20"/>
          <w:spacing w:val="-5"/>
          <w:vertAlign w:val="baseline"/>
        </w:rPr>
        <w:t> </w:t>
      </w:r>
      <w:r>
        <w:rPr>
          <w:color w:val="231F20"/>
          <w:vertAlign w:val="baseline"/>
        </w:rPr>
        <w:t>au</w:t>
      </w:r>
      <w:r>
        <w:rPr>
          <w:color w:val="231F20"/>
          <w:spacing w:val="-6"/>
          <w:vertAlign w:val="baseline"/>
        </w:rPr>
        <w:t> </w:t>
      </w:r>
      <w:r>
        <w:rPr>
          <w:color w:val="231F20"/>
          <w:vertAlign w:val="baseline"/>
        </w:rPr>
        <w:t>Brésil.</w:t>
      </w:r>
    </w:p>
    <w:p>
      <w:pPr>
        <w:pStyle w:val="BodyText"/>
        <w:spacing w:before="120"/>
        <w:ind w:right="105" w:firstLine="283"/>
      </w:pPr>
      <w:r>
        <w:rPr>
          <w:color w:val="231F20"/>
          <w:spacing w:val="-2"/>
        </w:rPr>
        <w:t>La</w:t>
      </w:r>
      <w:r>
        <w:rPr>
          <w:color w:val="231F20"/>
          <w:spacing w:val="-13"/>
        </w:rPr>
        <w:t> </w:t>
      </w:r>
      <w:r>
        <w:rPr>
          <w:color w:val="231F20"/>
          <w:spacing w:val="-2"/>
        </w:rPr>
        <w:t>population</w:t>
      </w:r>
      <w:r>
        <w:rPr>
          <w:color w:val="231F20"/>
          <w:spacing w:val="-13"/>
        </w:rPr>
        <w:t> </w:t>
      </w:r>
      <w:r>
        <w:rPr>
          <w:color w:val="231F20"/>
          <w:spacing w:val="-2"/>
        </w:rPr>
        <w:t>en</w:t>
      </w:r>
      <w:r>
        <w:rPr>
          <w:color w:val="231F20"/>
          <w:spacing w:val="-13"/>
        </w:rPr>
        <w:t> </w:t>
      </w:r>
      <w:r>
        <w:rPr>
          <w:color w:val="231F20"/>
          <w:spacing w:val="-2"/>
        </w:rPr>
        <w:t>proie</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misère</w:t>
      </w:r>
      <w:r>
        <w:rPr>
          <w:color w:val="231F20"/>
          <w:spacing w:val="-13"/>
        </w:rPr>
        <w:t> </w:t>
      </w:r>
      <w:r>
        <w:rPr>
          <w:color w:val="231F20"/>
          <w:spacing w:val="-2"/>
        </w:rPr>
        <w:t>ne</w:t>
      </w:r>
      <w:r>
        <w:rPr>
          <w:color w:val="231F20"/>
          <w:spacing w:val="-13"/>
        </w:rPr>
        <w:t> </w:t>
      </w:r>
      <w:r>
        <w:rPr>
          <w:color w:val="231F20"/>
          <w:spacing w:val="-2"/>
        </w:rPr>
        <w:t>lui</w:t>
      </w:r>
      <w:r>
        <w:rPr>
          <w:color w:val="231F20"/>
          <w:spacing w:val="-13"/>
        </w:rPr>
        <w:t> </w:t>
      </w:r>
      <w:r>
        <w:rPr>
          <w:color w:val="231F20"/>
          <w:spacing w:val="-2"/>
        </w:rPr>
        <w:t>pardonne</w:t>
      </w:r>
      <w:r>
        <w:rPr>
          <w:color w:val="231F20"/>
          <w:spacing w:val="-13"/>
        </w:rPr>
        <w:t> </w:t>
      </w:r>
      <w:r>
        <w:rPr>
          <w:color w:val="231F20"/>
          <w:spacing w:val="-2"/>
        </w:rPr>
        <w:t>pas</w:t>
      </w:r>
      <w:r>
        <w:rPr>
          <w:color w:val="231F20"/>
          <w:spacing w:val="-13"/>
        </w:rPr>
        <w:t> </w:t>
      </w:r>
      <w:r>
        <w:rPr>
          <w:color w:val="231F20"/>
          <w:spacing w:val="-2"/>
        </w:rPr>
        <w:t>ces</w:t>
      </w:r>
      <w:r>
        <w:rPr>
          <w:color w:val="231F20"/>
          <w:spacing w:val="-13"/>
        </w:rPr>
        <w:t> </w:t>
      </w:r>
      <w:r>
        <w:rPr>
          <w:color w:val="231F20"/>
          <w:spacing w:val="-2"/>
        </w:rPr>
        <w:t>dépenses</w:t>
      </w:r>
      <w:r>
        <w:rPr>
          <w:color w:val="231F20"/>
          <w:spacing w:val="-13"/>
        </w:rPr>
        <w:t> </w:t>
      </w:r>
      <w:r>
        <w:rPr>
          <w:color w:val="231F20"/>
          <w:spacing w:val="-2"/>
        </w:rPr>
        <w:t>de </w:t>
      </w:r>
      <w:r>
        <w:rPr>
          <w:color w:val="231F20"/>
        </w:rPr>
        <w:t>prestige. Il perd tour à tour l’appui de la chefferie et des notables dits traditionnels, des syndicats et du clergé.</w:t>
      </w:r>
    </w:p>
    <w:p>
      <w:pPr>
        <w:pStyle w:val="BodyText"/>
        <w:spacing w:before="121"/>
        <w:ind w:right="105" w:firstLine="283"/>
      </w:pPr>
      <w:r>
        <w:rPr>
          <w:color w:val="231F20"/>
        </w:rPr>
        <w:t>Aux</w:t>
      </w:r>
      <w:r>
        <w:rPr>
          <w:color w:val="231F20"/>
          <w:spacing w:val="-15"/>
        </w:rPr>
        <w:t> </w:t>
      </w:r>
      <w:r>
        <w:rPr>
          <w:color w:val="231F20"/>
        </w:rPr>
        <w:t>mois</w:t>
      </w:r>
      <w:r>
        <w:rPr>
          <w:color w:val="231F20"/>
          <w:spacing w:val="-15"/>
        </w:rPr>
        <w:t> </w:t>
      </w:r>
      <w:r>
        <w:rPr>
          <w:color w:val="231F20"/>
        </w:rPr>
        <w:t>de</w:t>
      </w:r>
      <w:r>
        <w:rPr>
          <w:color w:val="231F20"/>
          <w:spacing w:val="-15"/>
        </w:rPr>
        <w:t> </w:t>
      </w:r>
      <w:r>
        <w:rPr>
          <w:color w:val="231F20"/>
        </w:rPr>
        <w:t>mars</w:t>
      </w:r>
      <w:r>
        <w:rPr>
          <w:color w:val="231F20"/>
          <w:spacing w:val="-15"/>
        </w:rPr>
        <w:t> </w:t>
      </w:r>
      <w:r>
        <w:rPr>
          <w:color w:val="231F20"/>
        </w:rPr>
        <w:t>et</w:t>
      </w:r>
      <w:r>
        <w:rPr>
          <w:color w:val="231F20"/>
          <w:spacing w:val="-15"/>
        </w:rPr>
        <w:t> </w:t>
      </w:r>
      <w:r>
        <w:rPr>
          <w:color w:val="231F20"/>
        </w:rPr>
        <w:t>avril</w:t>
      </w:r>
      <w:r>
        <w:rPr>
          <w:color w:val="231F20"/>
          <w:spacing w:val="-15"/>
        </w:rPr>
        <w:t> </w:t>
      </w:r>
      <w:r>
        <w:rPr>
          <w:color w:val="231F20"/>
        </w:rPr>
        <w:t>1965,</w:t>
      </w:r>
      <w:r>
        <w:rPr>
          <w:color w:val="231F20"/>
          <w:spacing w:val="-15"/>
        </w:rPr>
        <w:t> </w:t>
      </w:r>
      <w:r>
        <w:rPr>
          <w:color w:val="231F20"/>
        </w:rPr>
        <w:t>une</w:t>
      </w:r>
      <w:r>
        <w:rPr>
          <w:color w:val="231F20"/>
          <w:spacing w:val="-15"/>
        </w:rPr>
        <w:t> </w:t>
      </w:r>
      <w:r>
        <w:rPr>
          <w:color w:val="231F20"/>
        </w:rPr>
        <w:t>épidémie</w:t>
      </w:r>
      <w:r>
        <w:rPr>
          <w:color w:val="231F20"/>
          <w:spacing w:val="-15"/>
        </w:rPr>
        <w:t> </w:t>
      </w:r>
      <w:r>
        <w:rPr>
          <w:color w:val="231F20"/>
        </w:rPr>
        <w:t>de</w:t>
      </w:r>
      <w:r>
        <w:rPr>
          <w:color w:val="231F20"/>
          <w:spacing w:val="-15"/>
        </w:rPr>
        <w:t> </w:t>
      </w:r>
      <w:r>
        <w:rPr>
          <w:color w:val="231F20"/>
        </w:rPr>
        <w:t>rougeole</w:t>
      </w:r>
      <w:r>
        <w:rPr>
          <w:color w:val="231F20"/>
          <w:spacing w:val="-15"/>
        </w:rPr>
        <w:t> </w:t>
      </w:r>
      <w:r>
        <w:rPr>
          <w:color w:val="231F20"/>
        </w:rPr>
        <w:t>meurtrière s’abat sur le pays par manque de vaccins dans les hôpitaux et les </w:t>
      </w:r>
      <w:r>
        <w:rPr>
          <w:color w:val="231F20"/>
          <w:spacing w:val="-6"/>
        </w:rPr>
        <w:t>dispensaires. En octobre, le manque de classes et de maîtres rend la rentrée </w:t>
      </w:r>
      <w:r>
        <w:rPr>
          <w:color w:val="231F20"/>
          <w:spacing w:val="-2"/>
        </w:rPr>
        <w:t>scolaire</w:t>
      </w:r>
      <w:r>
        <w:rPr>
          <w:color w:val="231F20"/>
          <w:spacing w:val="-13"/>
        </w:rPr>
        <w:t> </w:t>
      </w:r>
      <w:r>
        <w:rPr>
          <w:color w:val="231F20"/>
          <w:spacing w:val="-2"/>
        </w:rPr>
        <w:t>particulièrement</w:t>
      </w:r>
      <w:r>
        <w:rPr>
          <w:color w:val="231F20"/>
          <w:spacing w:val="-13"/>
        </w:rPr>
        <w:t> </w:t>
      </w:r>
      <w:r>
        <w:rPr>
          <w:color w:val="231F20"/>
          <w:spacing w:val="-2"/>
        </w:rPr>
        <w:t>difficile.</w:t>
      </w:r>
      <w:r>
        <w:rPr>
          <w:color w:val="231F20"/>
          <w:spacing w:val="-13"/>
        </w:rPr>
        <w:t> </w:t>
      </w:r>
      <w:r>
        <w:rPr>
          <w:color w:val="231F20"/>
          <w:spacing w:val="-2"/>
        </w:rPr>
        <w:t>Beaucoup</w:t>
      </w:r>
      <w:r>
        <w:rPr>
          <w:color w:val="231F20"/>
          <w:spacing w:val="-13"/>
        </w:rPr>
        <w:t> </w:t>
      </w:r>
      <w:r>
        <w:rPr>
          <w:color w:val="231F20"/>
          <w:spacing w:val="-2"/>
        </w:rPr>
        <w:t>d’élèves</w:t>
      </w:r>
      <w:r>
        <w:rPr>
          <w:color w:val="231F20"/>
          <w:spacing w:val="-13"/>
        </w:rPr>
        <w:t> </w:t>
      </w:r>
      <w:r>
        <w:rPr>
          <w:color w:val="231F20"/>
          <w:spacing w:val="-2"/>
        </w:rPr>
        <w:t>sont</w:t>
      </w:r>
      <w:r>
        <w:rPr>
          <w:color w:val="231F20"/>
          <w:spacing w:val="-13"/>
        </w:rPr>
        <w:t> </w:t>
      </w:r>
      <w:r>
        <w:rPr>
          <w:color w:val="231F20"/>
          <w:spacing w:val="-2"/>
        </w:rPr>
        <w:t>renvoyés</w:t>
      </w:r>
      <w:r>
        <w:rPr>
          <w:color w:val="231F20"/>
          <w:spacing w:val="-13"/>
        </w:rPr>
        <w:t> </w:t>
      </w:r>
      <w:r>
        <w:rPr>
          <w:color w:val="231F20"/>
          <w:spacing w:val="-2"/>
        </w:rPr>
        <w:t>chez </w:t>
      </w:r>
      <w:r>
        <w:rPr>
          <w:color w:val="231F20"/>
        </w:rPr>
        <w:t>eux,</w:t>
      </w:r>
      <w:r>
        <w:rPr>
          <w:color w:val="231F20"/>
          <w:spacing w:val="-3"/>
        </w:rPr>
        <w:t> </w:t>
      </w:r>
      <w:r>
        <w:rPr>
          <w:color w:val="231F20"/>
        </w:rPr>
        <w:t>alors</w:t>
      </w:r>
      <w:r>
        <w:rPr>
          <w:color w:val="231F20"/>
          <w:spacing w:val="-4"/>
        </w:rPr>
        <w:t> </w:t>
      </w:r>
      <w:r>
        <w:rPr>
          <w:color w:val="231F20"/>
        </w:rPr>
        <w:t>même</w:t>
      </w:r>
      <w:r>
        <w:rPr>
          <w:color w:val="231F20"/>
          <w:spacing w:val="-3"/>
        </w:rPr>
        <w:t> </w:t>
      </w:r>
      <w:r>
        <w:rPr>
          <w:color w:val="231F20"/>
        </w:rPr>
        <w:t>que</w:t>
      </w:r>
      <w:r>
        <w:rPr>
          <w:color w:val="231F20"/>
          <w:spacing w:val="-4"/>
        </w:rPr>
        <w:t> </w:t>
      </w:r>
      <w:r>
        <w:rPr>
          <w:color w:val="231F20"/>
        </w:rPr>
        <w:t>le</w:t>
      </w:r>
      <w:r>
        <w:rPr>
          <w:color w:val="231F20"/>
          <w:spacing w:val="-3"/>
        </w:rPr>
        <w:t> </w:t>
      </w:r>
      <w:r>
        <w:rPr>
          <w:color w:val="231F20"/>
        </w:rPr>
        <w:t>taux</w:t>
      </w:r>
      <w:r>
        <w:rPr>
          <w:color w:val="231F20"/>
          <w:spacing w:val="-3"/>
        </w:rPr>
        <w:t> </w:t>
      </w:r>
      <w:r>
        <w:rPr>
          <w:color w:val="231F20"/>
        </w:rPr>
        <w:t>de</w:t>
      </w:r>
      <w:r>
        <w:rPr>
          <w:color w:val="231F20"/>
          <w:spacing w:val="-3"/>
        </w:rPr>
        <w:t> </w:t>
      </w:r>
      <w:r>
        <w:rPr>
          <w:color w:val="231F20"/>
        </w:rPr>
        <w:t>scolarisation</w:t>
      </w:r>
      <w:r>
        <w:rPr>
          <w:color w:val="231F20"/>
          <w:spacing w:val="-3"/>
        </w:rPr>
        <w:t> </w:t>
      </w:r>
      <w:r>
        <w:rPr>
          <w:color w:val="231F20"/>
        </w:rPr>
        <w:t>dans</w:t>
      </w:r>
      <w:r>
        <w:rPr>
          <w:color w:val="231F20"/>
          <w:spacing w:val="-4"/>
        </w:rPr>
        <w:t> </w:t>
      </w:r>
      <w:r>
        <w:rPr>
          <w:color w:val="231F20"/>
        </w:rPr>
        <w:t>le</w:t>
      </w:r>
      <w:r>
        <w:rPr>
          <w:color w:val="231F20"/>
          <w:spacing w:val="-3"/>
        </w:rPr>
        <w:t> </w:t>
      </w:r>
      <w:r>
        <w:rPr>
          <w:color w:val="231F20"/>
        </w:rPr>
        <w:t>pays</w:t>
      </w:r>
      <w:r>
        <w:rPr>
          <w:color w:val="231F20"/>
          <w:spacing w:val="-3"/>
        </w:rPr>
        <w:t> </w:t>
      </w:r>
      <w:r>
        <w:rPr>
          <w:color w:val="231F20"/>
        </w:rPr>
        <w:t>est</w:t>
      </w:r>
      <w:r>
        <w:rPr>
          <w:color w:val="231F20"/>
          <w:spacing w:val="-2"/>
        </w:rPr>
        <w:t> </w:t>
      </w:r>
      <w:r>
        <w:rPr>
          <w:color w:val="231F20"/>
        </w:rPr>
        <w:t>d’environ 8 %.</w:t>
      </w:r>
    </w:p>
    <w:p>
      <w:pPr>
        <w:pStyle w:val="BodyText"/>
        <w:spacing w:before="120"/>
        <w:ind w:left="395"/>
      </w:pPr>
      <w:r>
        <w:rPr>
          <w:color w:val="231F20"/>
        </w:rPr>
        <w:t>Le</w:t>
      </w:r>
      <w:r>
        <w:rPr>
          <w:color w:val="231F20"/>
          <w:spacing w:val="-14"/>
        </w:rPr>
        <w:t> </w:t>
      </w:r>
      <w:r>
        <w:rPr>
          <w:color w:val="231F20"/>
        </w:rPr>
        <w:t>3</w:t>
      </w:r>
      <w:r>
        <w:rPr>
          <w:color w:val="231F20"/>
          <w:spacing w:val="-10"/>
        </w:rPr>
        <w:t> </w:t>
      </w:r>
      <w:r>
        <w:rPr>
          <w:color w:val="231F20"/>
        </w:rPr>
        <w:t>janvier</w:t>
      </w:r>
      <w:r>
        <w:rPr>
          <w:color w:val="231F20"/>
          <w:spacing w:val="-10"/>
        </w:rPr>
        <w:t> </w:t>
      </w:r>
      <w:r>
        <w:rPr>
          <w:color w:val="231F20"/>
        </w:rPr>
        <w:t>1966,</w:t>
      </w:r>
      <w:r>
        <w:rPr>
          <w:color w:val="231F20"/>
          <w:spacing w:val="-15"/>
        </w:rPr>
        <w:t> </w:t>
      </w:r>
      <w:r>
        <w:rPr>
          <w:color w:val="231F20"/>
        </w:rPr>
        <w:t>les</w:t>
      </w:r>
      <w:r>
        <w:rPr>
          <w:color w:val="231F20"/>
          <w:spacing w:val="-12"/>
        </w:rPr>
        <w:t> </w:t>
      </w:r>
      <w:r>
        <w:rPr>
          <w:color w:val="231F20"/>
        </w:rPr>
        <w:t>mesures</w:t>
      </w:r>
      <w:r>
        <w:rPr>
          <w:color w:val="231F20"/>
          <w:spacing w:val="-11"/>
        </w:rPr>
        <w:t> </w:t>
      </w:r>
      <w:r>
        <w:rPr>
          <w:color w:val="231F20"/>
        </w:rPr>
        <w:t>d’austérité</w:t>
      </w:r>
      <w:r>
        <w:rPr>
          <w:color w:val="231F20"/>
          <w:spacing w:val="-10"/>
        </w:rPr>
        <w:t> </w:t>
      </w:r>
      <w:r>
        <w:rPr>
          <w:color w:val="231F20"/>
        </w:rPr>
        <w:t>prises</w:t>
      </w:r>
      <w:r>
        <w:rPr>
          <w:color w:val="231F20"/>
          <w:spacing w:val="-11"/>
        </w:rPr>
        <w:t> </w:t>
      </w:r>
      <w:r>
        <w:rPr>
          <w:color w:val="231F20"/>
        </w:rPr>
        <w:t>par</w:t>
      </w:r>
      <w:r>
        <w:rPr>
          <w:color w:val="231F20"/>
          <w:spacing w:val="-11"/>
        </w:rPr>
        <w:t> </w:t>
      </w:r>
      <w:r>
        <w:rPr>
          <w:color w:val="231F20"/>
        </w:rPr>
        <w:t>le</w:t>
      </w:r>
      <w:r>
        <w:rPr>
          <w:color w:val="231F20"/>
          <w:spacing w:val="-10"/>
        </w:rPr>
        <w:t> </w:t>
      </w:r>
      <w:r>
        <w:rPr>
          <w:color w:val="231F20"/>
          <w:spacing w:val="-2"/>
        </w:rPr>
        <w:t>gouvernement</w:t>
      </w:r>
    </w:p>
    <w:p>
      <w:pPr>
        <w:pStyle w:val="BodyText"/>
      </w:pPr>
      <w:r>
        <w:rPr>
          <w:color w:val="231F20"/>
        </w:rPr>
        <w:t>provoquent</w:t>
      </w:r>
      <w:r>
        <w:rPr>
          <w:color w:val="231F20"/>
          <w:spacing w:val="13"/>
        </w:rPr>
        <w:t> </w:t>
      </w:r>
      <w:r>
        <w:rPr>
          <w:color w:val="231F20"/>
        </w:rPr>
        <w:t>un</w:t>
      </w:r>
      <w:r>
        <w:rPr>
          <w:color w:val="231F20"/>
          <w:spacing w:val="15"/>
        </w:rPr>
        <w:t> </w:t>
      </w:r>
      <w:r>
        <w:rPr>
          <w:color w:val="231F20"/>
        </w:rPr>
        <w:t>soulèvement</w:t>
      </w:r>
      <w:r>
        <w:rPr>
          <w:color w:val="231F20"/>
          <w:spacing w:val="17"/>
        </w:rPr>
        <w:t> </w:t>
      </w:r>
      <w:r>
        <w:rPr>
          <w:color w:val="231F20"/>
        </w:rPr>
        <w:t>populaire</w:t>
      </w:r>
      <w:r>
        <w:rPr>
          <w:color w:val="231F20"/>
          <w:spacing w:val="17"/>
        </w:rPr>
        <w:t> </w:t>
      </w:r>
      <w:r>
        <w:rPr>
          <w:color w:val="231F20"/>
        </w:rPr>
        <w:t>encadré</w:t>
      </w:r>
      <w:r>
        <w:rPr>
          <w:color w:val="231F20"/>
          <w:spacing w:val="14"/>
        </w:rPr>
        <w:t> </w:t>
      </w:r>
      <w:r>
        <w:rPr>
          <w:color w:val="231F20"/>
        </w:rPr>
        <w:t>par</w:t>
      </w:r>
      <w:r>
        <w:rPr>
          <w:color w:val="231F20"/>
          <w:spacing w:val="17"/>
        </w:rPr>
        <w:t> </w:t>
      </w:r>
      <w:r>
        <w:rPr>
          <w:color w:val="231F20"/>
        </w:rPr>
        <w:t>les</w:t>
      </w:r>
      <w:r>
        <w:rPr>
          <w:color w:val="231F20"/>
          <w:spacing w:val="15"/>
        </w:rPr>
        <w:t> </w:t>
      </w:r>
      <w:r>
        <w:rPr>
          <w:color w:val="231F20"/>
        </w:rPr>
        <w:t>syndicats</w:t>
      </w:r>
      <w:r>
        <w:rPr>
          <w:color w:val="231F20"/>
          <w:spacing w:val="17"/>
        </w:rPr>
        <w:t> </w:t>
      </w:r>
      <w:r>
        <w:rPr>
          <w:color w:val="231F20"/>
        </w:rPr>
        <w:t>et</w:t>
      </w:r>
      <w:r>
        <w:rPr>
          <w:color w:val="231F20"/>
          <w:spacing w:val="16"/>
        </w:rPr>
        <w:t> </w:t>
      </w:r>
      <w:r>
        <w:rPr>
          <w:color w:val="231F20"/>
          <w:spacing w:val="-5"/>
        </w:rPr>
        <w:t>les</w:t>
      </w:r>
    </w:p>
    <w:p>
      <w:pPr>
        <w:pStyle w:val="BodyText"/>
        <w:spacing w:before="25"/>
        <w:ind w:left="0"/>
        <w:jc w:val="left"/>
        <w:rPr>
          <w:sz w:val="20"/>
        </w:rPr>
      </w:pPr>
      <w:r>
        <w:rPr/>
        <mc:AlternateContent>
          <mc:Choice Requires="wps">
            <w:drawing>
              <wp:anchor distT="0" distB="0" distL="0" distR="0" allowOverlap="1" layoutInCell="1" locked="0" behindDoc="1" simplePos="0" relativeHeight="487622656">
                <wp:simplePos x="0" y="0"/>
                <wp:positionH relativeFrom="page">
                  <wp:posOffset>629907</wp:posOffset>
                </wp:positionH>
                <wp:positionV relativeFrom="paragraph">
                  <wp:posOffset>177734</wp:posOffset>
                </wp:positionV>
                <wp:extent cx="1829435" cy="9525"/>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994843pt;width:144.020pt;height:.72pt;mso-position-horizontal-relative:page;mso-position-vertical-relative:paragraph;z-index:-15693824;mso-wrap-distance-left:0;mso-wrap-distance-right:0" id="docshape85" filled="true" fillcolor="#231f20" stroked="false">
                <v:fill type="solid"/>
                <w10:wrap type="topAndBottom"/>
              </v:rect>
            </w:pict>
          </mc:Fallback>
        </mc:AlternateContent>
      </w:r>
    </w:p>
    <w:p>
      <w:pPr>
        <w:spacing w:before="91"/>
        <w:ind w:left="111" w:right="0" w:firstLine="0"/>
        <w:jc w:val="left"/>
        <w:rPr>
          <w:sz w:val="20"/>
        </w:rPr>
      </w:pPr>
      <w:r>
        <w:rPr>
          <w:color w:val="76787A"/>
          <w:sz w:val="20"/>
          <w:vertAlign w:val="superscript"/>
        </w:rPr>
        <w:t>108</w:t>
      </w:r>
      <w:r>
        <w:rPr>
          <w:color w:val="76787A"/>
          <w:spacing w:val="13"/>
          <w:sz w:val="20"/>
          <w:vertAlign w:val="baseline"/>
        </w:rPr>
        <w:t> </w:t>
      </w:r>
      <w:r>
        <w:rPr>
          <w:color w:val="231F20"/>
          <w:sz w:val="20"/>
          <w:vertAlign w:val="baseline"/>
        </w:rPr>
        <w:t>Source,</w:t>
      </w:r>
      <w:r>
        <w:rPr>
          <w:color w:val="231F20"/>
          <w:spacing w:val="40"/>
          <w:sz w:val="20"/>
          <w:vertAlign w:val="baseline"/>
        </w:rPr>
        <w:t> </w:t>
      </w:r>
      <w:r>
        <w:rPr>
          <w:color w:val="231F20"/>
          <w:sz w:val="20"/>
          <w:vertAlign w:val="baseline"/>
        </w:rPr>
        <w:t>Frédéric</w:t>
      </w:r>
      <w:r>
        <w:rPr>
          <w:color w:val="231F20"/>
          <w:spacing w:val="40"/>
          <w:sz w:val="20"/>
          <w:vertAlign w:val="baseline"/>
        </w:rPr>
        <w:t> </w:t>
      </w:r>
      <w:r>
        <w:rPr>
          <w:color w:val="231F20"/>
          <w:sz w:val="20"/>
          <w:vertAlign w:val="baseline"/>
        </w:rPr>
        <w:t>Guirma,</w:t>
      </w:r>
      <w:r>
        <w:rPr>
          <w:color w:val="231F20"/>
          <w:spacing w:val="40"/>
          <w:sz w:val="20"/>
          <w:vertAlign w:val="baseline"/>
        </w:rPr>
        <w:t> </w:t>
      </w:r>
      <w:r>
        <w:rPr>
          <w:color w:val="231F20"/>
          <w:sz w:val="20"/>
          <w:vertAlign w:val="baseline"/>
        </w:rPr>
        <w:t>diplomate,</w:t>
      </w:r>
      <w:r>
        <w:rPr>
          <w:color w:val="231F20"/>
          <w:spacing w:val="40"/>
          <w:sz w:val="20"/>
          <w:vertAlign w:val="baseline"/>
        </w:rPr>
        <w:t> </w:t>
      </w:r>
      <w:r>
        <w:rPr>
          <w:color w:val="231F20"/>
          <w:sz w:val="20"/>
          <w:vertAlign w:val="baseline"/>
        </w:rPr>
        <w:t>écrivain</w:t>
      </w:r>
      <w:r>
        <w:rPr>
          <w:color w:val="231F20"/>
          <w:spacing w:val="40"/>
          <w:sz w:val="20"/>
          <w:vertAlign w:val="baseline"/>
        </w:rPr>
        <w:t> </w:t>
      </w:r>
      <w:r>
        <w:rPr>
          <w:color w:val="231F20"/>
          <w:sz w:val="20"/>
          <w:vertAlign w:val="baseline"/>
        </w:rPr>
        <w:t>et</w:t>
      </w:r>
      <w:r>
        <w:rPr>
          <w:color w:val="231F20"/>
          <w:spacing w:val="40"/>
          <w:sz w:val="20"/>
          <w:vertAlign w:val="baseline"/>
        </w:rPr>
        <w:t> </w:t>
      </w:r>
      <w:r>
        <w:rPr>
          <w:color w:val="231F20"/>
          <w:sz w:val="20"/>
          <w:vertAlign w:val="baseline"/>
        </w:rPr>
        <w:t>homme</w:t>
      </w:r>
      <w:r>
        <w:rPr>
          <w:color w:val="231F20"/>
          <w:spacing w:val="40"/>
          <w:sz w:val="20"/>
          <w:vertAlign w:val="baseline"/>
        </w:rPr>
        <w:t> </w:t>
      </w:r>
      <w:r>
        <w:rPr>
          <w:color w:val="231F20"/>
          <w:sz w:val="20"/>
          <w:vertAlign w:val="baseline"/>
        </w:rPr>
        <w:t>politique</w:t>
      </w:r>
      <w:r>
        <w:rPr>
          <w:color w:val="231F20"/>
          <w:spacing w:val="40"/>
          <w:sz w:val="20"/>
          <w:vertAlign w:val="baseline"/>
        </w:rPr>
        <w:t> </w:t>
      </w:r>
      <w:r>
        <w:rPr>
          <w:color w:val="231F20"/>
          <w:sz w:val="20"/>
          <w:vertAlign w:val="baseline"/>
        </w:rPr>
        <w:t>burkinabé</w:t>
      </w:r>
      <w:r>
        <w:rPr>
          <w:color w:val="231F20"/>
          <w:spacing w:val="-12"/>
          <w:sz w:val="20"/>
          <w:vertAlign w:val="baseline"/>
        </w:rPr>
        <w:t> </w:t>
      </w:r>
      <w:r>
        <w:rPr>
          <w:color w:val="231F20"/>
          <w:sz w:val="20"/>
          <w:vertAlign w:val="baseline"/>
        </w:rPr>
        <w:t>; Comment</w:t>
      </w:r>
      <w:r>
        <w:rPr>
          <w:color w:val="231F20"/>
          <w:spacing w:val="-3"/>
          <w:sz w:val="20"/>
          <w:vertAlign w:val="baseline"/>
        </w:rPr>
        <w:t> </w:t>
      </w:r>
      <w:r>
        <w:rPr>
          <w:color w:val="231F20"/>
          <w:sz w:val="20"/>
          <w:vertAlign w:val="baseline"/>
        </w:rPr>
        <w:t>perdre</w:t>
      </w:r>
      <w:r>
        <w:rPr>
          <w:color w:val="231F20"/>
          <w:spacing w:val="-3"/>
          <w:sz w:val="20"/>
          <w:vertAlign w:val="baseline"/>
        </w:rPr>
        <w:t> </w:t>
      </w:r>
      <w:r>
        <w:rPr>
          <w:color w:val="231F20"/>
          <w:sz w:val="20"/>
          <w:vertAlign w:val="baseline"/>
        </w:rPr>
        <w:t>le</w:t>
      </w:r>
      <w:r>
        <w:rPr>
          <w:color w:val="231F20"/>
          <w:spacing w:val="-3"/>
          <w:sz w:val="20"/>
          <w:vertAlign w:val="baseline"/>
        </w:rPr>
        <w:t> </w:t>
      </w:r>
      <w:r>
        <w:rPr>
          <w:color w:val="231F20"/>
          <w:sz w:val="20"/>
          <w:vertAlign w:val="baseline"/>
        </w:rPr>
        <w:t>pouvoir?</w:t>
      </w:r>
      <w:r>
        <w:rPr>
          <w:color w:val="231F20"/>
          <w:spacing w:val="-2"/>
          <w:sz w:val="20"/>
          <w:vertAlign w:val="baseline"/>
        </w:rPr>
        <w:t> </w:t>
      </w:r>
      <w:r>
        <w:rPr>
          <w:color w:val="231F20"/>
          <w:sz w:val="20"/>
          <w:vertAlign w:val="baseline"/>
        </w:rPr>
        <w:t>Le cas</w:t>
      </w:r>
      <w:r>
        <w:rPr>
          <w:color w:val="231F20"/>
          <w:spacing w:val="-4"/>
          <w:sz w:val="20"/>
          <w:vertAlign w:val="baseline"/>
        </w:rPr>
        <w:t> </w:t>
      </w:r>
      <w:r>
        <w:rPr>
          <w:color w:val="231F20"/>
          <w:sz w:val="20"/>
          <w:vertAlign w:val="baseline"/>
        </w:rPr>
        <w:t>de</w:t>
      </w:r>
      <w:r>
        <w:rPr>
          <w:color w:val="231F20"/>
          <w:spacing w:val="-3"/>
          <w:sz w:val="20"/>
          <w:vertAlign w:val="baseline"/>
        </w:rPr>
        <w:t> </w:t>
      </w:r>
      <w:r>
        <w:rPr>
          <w:color w:val="231F20"/>
          <w:sz w:val="20"/>
          <w:vertAlign w:val="baseline"/>
        </w:rPr>
        <w:t>Maurice Yaméogo.</w:t>
      </w:r>
    </w:p>
    <w:p>
      <w:pPr>
        <w:spacing w:before="1"/>
        <w:ind w:left="111" w:right="0" w:firstLine="0"/>
        <w:jc w:val="left"/>
        <w:rPr>
          <w:sz w:val="20"/>
        </w:rPr>
      </w:pPr>
      <w:r>
        <w:rPr>
          <w:color w:val="231F20"/>
          <w:sz w:val="20"/>
          <w:vertAlign w:val="superscript"/>
        </w:rPr>
        <w:t>109</w:t>
      </w:r>
      <w:r>
        <w:rPr>
          <w:color w:val="231F20"/>
          <w:spacing w:val="30"/>
          <w:sz w:val="20"/>
          <w:vertAlign w:val="baseline"/>
        </w:rPr>
        <w:t> </w:t>
      </w:r>
      <w:r>
        <w:rPr>
          <w:color w:val="231F20"/>
          <w:sz w:val="20"/>
          <w:vertAlign w:val="baseline"/>
        </w:rPr>
        <w:t>Source,</w:t>
      </w:r>
      <w:r>
        <w:rPr>
          <w:color w:val="231F20"/>
          <w:spacing w:val="40"/>
          <w:sz w:val="20"/>
          <w:vertAlign w:val="baseline"/>
        </w:rPr>
        <w:t> </w:t>
      </w:r>
      <w:r>
        <w:rPr>
          <w:color w:val="231F20"/>
          <w:sz w:val="20"/>
          <w:vertAlign w:val="baseline"/>
        </w:rPr>
        <w:t>Frédéric</w:t>
      </w:r>
      <w:r>
        <w:rPr>
          <w:color w:val="231F20"/>
          <w:spacing w:val="40"/>
          <w:sz w:val="20"/>
          <w:vertAlign w:val="baseline"/>
        </w:rPr>
        <w:t> </w:t>
      </w:r>
      <w:r>
        <w:rPr>
          <w:color w:val="231F20"/>
          <w:sz w:val="20"/>
          <w:vertAlign w:val="baseline"/>
        </w:rPr>
        <w:t>Guirma,</w:t>
      </w:r>
      <w:r>
        <w:rPr>
          <w:color w:val="231F20"/>
          <w:spacing w:val="40"/>
          <w:sz w:val="20"/>
          <w:vertAlign w:val="baseline"/>
        </w:rPr>
        <w:t> </w:t>
      </w:r>
      <w:r>
        <w:rPr>
          <w:color w:val="231F20"/>
          <w:sz w:val="20"/>
          <w:vertAlign w:val="baseline"/>
        </w:rPr>
        <w:t>diplomate,</w:t>
      </w:r>
      <w:r>
        <w:rPr>
          <w:color w:val="231F20"/>
          <w:spacing w:val="40"/>
          <w:sz w:val="20"/>
          <w:vertAlign w:val="baseline"/>
        </w:rPr>
        <w:t> </w:t>
      </w:r>
      <w:r>
        <w:rPr>
          <w:color w:val="231F20"/>
          <w:sz w:val="20"/>
          <w:vertAlign w:val="baseline"/>
        </w:rPr>
        <w:t>écrivain</w:t>
      </w:r>
      <w:r>
        <w:rPr>
          <w:color w:val="231F20"/>
          <w:spacing w:val="40"/>
          <w:sz w:val="20"/>
          <w:vertAlign w:val="baseline"/>
        </w:rPr>
        <w:t> </w:t>
      </w:r>
      <w:r>
        <w:rPr>
          <w:color w:val="231F20"/>
          <w:sz w:val="20"/>
          <w:vertAlign w:val="baseline"/>
        </w:rPr>
        <w:t>et</w:t>
      </w:r>
      <w:r>
        <w:rPr>
          <w:color w:val="231F20"/>
          <w:spacing w:val="40"/>
          <w:sz w:val="20"/>
          <w:vertAlign w:val="baseline"/>
        </w:rPr>
        <w:t> </w:t>
      </w:r>
      <w:r>
        <w:rPr>
          <w:color w:val="231F20"/>
          <w:sz w:val="20"/>
          <w:vertAlign w:val="baseline"/>
        </w:rPr>
        <w:t>homme</w:t>
      </w:r>
      <w:r>
        <w:rPr>
          <w:color w:val="231F20"/>
          <w:spacing w:val="40"/>
          <w:sz w:val="20"/>
          <w:vertAlign w:val="baseline"/>
        </w:rPr>
        <w:t> </w:t>
      </w:r>
      <w:r>
        <w:rPr>
          <w:color w:val="231F20"/>
          <w:sz w:val="20"/>
          <w:vertAlign w:val="baseline"/>
        </w:rPr>
        <w:t>politique</w:t>
      </w:r>
      <w:r>
        <w:rPr>
          <w:color w:val="231F20"/>
          <w:spacing w:val="-13"/>
          <w:sz w:val="20"/>
          <w:vertAlign w:val="baseline"/>
        </w:rPr>
        <w:t> </w:t>
      </w:r>
      <w:r>
        <w:rPr>
          <w:color w:val="231F20"/>
          <w:sz w:val="20"/>
          <w:vertAlign w:val="baseline"/>
        </w:rPr>
        <w:t>burkinabé</w:t>
      </w:r>
      <w:r>
        <w:rPr>
          <w:color w:val="231F20"/>
          <w:spacing w:val="-12"/>
          <w:sz w:val="20"/>
          <w:vertAlign w:val="baseline"/>
        </w:rPr>
        <w:t> </w:t>
      </w:r>
      <w:r>
        <w:rPr>
          <w:color w:val="231F20"/>
          <w:sz w:val="20"/>
          <w:vertAlign w:val="baseline"/>
        </w:rPr>
        <w:t>; Comment</w:t>
      </w:r>
      <w:r>
        <w:rPr>
          <w:color w:val="231F20"/>
          <w:spacing w:val="-3"/>
          <w:sz w:val="20"/>
          <w:vertAlign w:val="baseline"/>
        </w:rPr>
        <w:t> </w:t>
      </w:r>
      <w:r>
        <w:rPr>
          <w:color w:val="231F20"/>
          <w:sz w:val="20"/>
          <w:vertAlign w:val="baseline"/>
        </w:rPr>
        <w:t>perdre</w:t>
      </w:r>
      <w:r>
        <w:rPr>
          <w:color w:val="231F20"/>
          <w:spacing w:val="-3"/>
          <w:sz w:val="20"/>
          <w:vertAlign w:val="baseline"/>
        </w:rPr>
        <w:t> </w:t>
      </w:r>
      <w:r>
        <w:rPr>
          <w:color w:val="231F20"/>
          <w:sz w:val="20"/>
          <w:vertAlign w:val="baseline"/>
        </w:rPr>
        <w:t>le</w:t>
      </w:r>
      <w:r>
        <w:rPr>
          <w:color w:val="231F20"/>
          <w:spacing w:val="-3"/>
          <w:sz w:val="20"/>
          <w:vertAlign w:val="baseline"/>
        </w:rPr>
        <w:t> </w:t>
      </w:r>
      <w:r>
        <w:rPr>
          <w:color w:val="231F20"/>
          <w:sz w:val="20"/>
          <w:vertAlign w:val="baseline"/>
        </w:rPr>
        <w:t>pouvoir?</w:t>
      </w:r>
      <w:r>
        <w:rPr>
          <w:color w:val="231F20"/>
          <w:spacing w:val="-2"/>
          <w:sz w:val="20"/>
          <w:vertAlign w:val="baseline"/>
        </w:rPr>
        <w:t> </w:t>
      </w:r>
      <w:r>
        <w:rPr>
          <w:color w:val="231F20"/>
          <w:sz w:val="20"/>
          <w:vertAlign w:val="baseline"/>
        </w:rPr>
        <w:t>Le cas</w:t>
      </w:r>
      <w:r>
        <w:rPr>
          <w:color w:val="231F20"/>
          <w:spacing w:val="-4"/>
          <w:sz w:val="20"/>
          <w:vertAlign w:val="baseline"/>
        </w:rPr>
        <w:t> </w:t>
      </w:r>
      <w:r>
        <w:rPr>
          <w:color w:val="231F20"/>
          <w:sz w:val="20"/>
          <w:vertAlign w:val="baseline"/>
        </w:rPr>
        <w:t>de</w:t>
      </w:r>
      <w:r>
        <w:rPr>
          <w:color w:val="231F20"/>
          <w:spacing w:val="-3"/>
          <w:sz w:val="20"/>
          <w:vertAlign w:val="baseline"/>
        </w:rPr>
        <w:t> </w:t>
      </w:r>
      <w:r>
        <w:rPr>
          <w:color w:val="231F20"/>
          <w:sz w:val="20"/>
          <w:vertAlign w:val="baseline"/>
        </w:rPr>
        <w:t>Maurice Yaméogo.</w:t>
      </w:r>
    </w:p>
    <w:p>
      <w:pPr>
        <w:spacing w:after="0"/>
        <w:jc w:val="left"/>
        <w:rPr>
          <w:sz w:val="20"/>
        </w:rPr>
        <w:sectPr>
          <w:pgSz w:w="8790" w:h="13610"/>
          <w:pgMar w:header="0" w:footer="802" w:top="1060" w:bottom="1000" w:left="880" w:right="880"/>
        </w:sectPr>
      </w:pPr>
    </w:p>
    <w:p>
      <w:pPr>
        <w:pStyle w:val="BodyText"/>
        <w:spacing w:before="66"/>
        <w:ind w:right="105"/>
      </w:pPr>
      <w:r>
        <w:rPr>
          <w:color w:val="231F20"/>
        </w:rPr>
        <w:t>partis progressistes. Le président Yaméogo est contraint de laisser le pouvoir au chef d’État-major, le colonel Sangoulé Lamizana, qui bénéficie de la confiance de la population. Celui-ci prend la tête du </w:t>
      </w:r>
      <w:r>
        <w:rPr>
          <w:color w:val="231F20"/>
          <w:spacing w:val="-4"/>
        </w:rPr>
        <w:t>Conseil</w:t>
      </w:r>
      <w:r>
        <w:rPr>
          <w:color w:val="231F20"/>
          <w:spacing w:val="-5"/>
        </w:rPr>
        <w:t> </w:t>
      </w:r>
      <w:r>
        <w:rPr>
          <w:color w:val="231F20"/>
          <w:spacing w:val="-4"/>
        </w:rPr>
        <w:t>supérieur</w:t>
      </w:r>
      <w:r>
        <w:rPr>
          <w:color w:val="231F20"/>
          <w:spacing w:val="-7"/>
        </w:rPr>
        <w:t> </w:t>
      </w:r>
      <w:r>
        <w:rPr>
          <w:color w:val="231F20"/>
          <w:spacing w:val="-4"/>
        </w:rPr>
        <w:t>des</w:t>
      </w:r>
      <w:r>
        <w:rPr>
          <w:color w:val="231F20"/>
          <w:spacing w:val="-7"/>
        </w:rPr>
        <w:t> </w:t>
      </w:r>
      <w:r>
        <w:rPr>
          <w:color w:val="231F20"/>
          <w:spacing w:val="-4"/>
        </w:rPr>
        <w:t>forces</w:t>
      </w:r>
      <w:r>
        <w:rPr>
          <w:color w:val="231F20"/>
          <w:spacing w:val="-7"/>
        </w:rPr>
        <w:t> </w:t>
      </w:r>
      <w:r>
        <w:rPr>
          <w:color w:val="231F20"/>
          <w:spacing w:val="-4"/>
        </w:rPr>
        <w:t>armées</w:t>
      </w:r>
      <w:r>
        <w:rPr>
          <w:color w:val="231F20"/>
          <w:spacing w:val="-7"/>
        </w:rPr>
        <w:t> </w:t>
      </w:r>
      <w:r>
        <w:rPr>
          <w:color w:val="231F20"/>
          <w:spacing w:val="-4"/>
        </w:rPr>
        <w:t>et</w:t>
      </w:r>
      <w:r>
        <w:rPr>
          <w:color w:val="231F20"/>
          <w:spacing w:val="-7"/>
        </w:rPr>
        <w:t> </w:t>
      </w:r>
      <w:r>
        <w:rPr>
          <w:color w:val="231F20"/>
          <w:spacing w:val="-4"/>
        </w:rPr>
        <w:t>élabore</w:t>
      </w:r>
      <w:r>
        <w:rPr>
          <w:color w:val="231F20"/>
          <w:spacing w:val="-7"/>
        </w:rPr>
        <w:t> </w:t>
      </w:r>
      <w:r>
        <w:rPr>
          <w:color w:val="231F20"/>
          <w:spacing w:val="-4"/>
        </w:rPr>
        <w:t>un</w:t>
      </w:r>
      <w:r>
        <w:rPr>
          <w:color w:val="231F20"/>
          <w:spacing w:val="-7"/>
        </w:rPr>
        <w:t> </w:t>
      </w:r>
      <w:r>
        <w:rPr>
          <w:color w:val="231F20"/>
          <w:spacing w:val="-4"/>
        </w:rPr>
        <w:t>nouveau</w:t>
      </w:r>
      <w:r>
        <w:rPr>
          <w:color w:val="231F20"/>
          <w:spacing w:val="-7"/>
        </w:rPr>
        <w:t> </w:t>
      </w:r>
      <w:r>
        <w:rPr>
          <w:color w:val="231F20"/>
          <w:spacing w:val="-4"/>
        </w:rPr>
        <w:t>plan</w:t>
      </w:r>
      <w:r>
        <w:rPr>
          <w:color w:val="231F20"/>
          <w:spacing w:val="-8"/>
        </w:rPr>
        <w:t> </w:t>
      </w:r>
      <w:r>
        <w:rPr>
          <w:color w:val="231F20"/>
          <w:spacing w:val="-4"/>
        </w:rPr>
        <w:t>de</w:t>
      </w:r>
      <w:r>
        <w:rPr>
          <w:color w:val="231F20"/>
          <w:spacing w:val="-7"/>
        </w:rPr>
        <w:t> </w:t>
      </w:r>
      <w:r>
        <w:rPr>
          <w:color w:val="231F20"/>
          <w:spacing w:val="-4"/>
        </w:rPr>
        <w:t>remise </w:t>
      </w:r>
      <w:r>
        <w:rPr>
          <w:color w:val="231F20"/>
        </w:rPr>
        <w:t>en ordre de l’économie.</w:t>
      </w:r>
    </w:p>
    <w:p>
      <w:pPr>
        <w:pStyle w:val="BodyText"/>
        <w:spacing w:before="120"/>
        <w:ind w:right="106" w:firstLine="283"/>
      </w:pPr>
      <w:r>
        <w:rPr>
          <w:color w:val="231F20"/>
          <w:spacing w:val="-4"/>
        </w:rPr>
        <w:t>Le</w:t>
      </w:r>
      <w:r>
        <w:rPr>
          <w:color w:val="231F20"/>
          <w:spacing w:val="-11"/>
        </w:rPr>
        <w:t> </w:t>
      </w:r>
      <w:r>
        <w:rPr>
          <w:color w:val="231F20"/>
          <w:spacing w:val="-4"/>
        </w:rPr>
        <w:t>28</w:t>
      </w:r>
      <w:r>
        <w:rPr>
          <w:color w:val="231F20"/>
          <w:spacing w:val="-11"/>
        </w:rPr>
        <w:t> </w:t>
      </w:r>
      <w:r>
        <w:rPr>
          <w:color w:val="231F20"/>
          <w:spacing w:val="-4"/>
        </w:rPr>
        <w:t>Avril</w:t>
      </w:r>
      <w:r>
        <w:rPr>
          <w:color w:val="231F20"/>
          <w:spacing w:val="-11"/>
        </w:rPr>
        <w:t> </w:t>
      </w:r>
      <w:r>
        <w:rPr>
          <w:color w:val="231F20"/>
          <w:spacing w:val="-4"/>
        </w:rPr>
        <w:t>1967,</w:t>
      </w:r>
      <w:r>
        <w:rPr>
          <w:color w:val="231F20"/>
          <w:spacing w:val="-11"/>
        </w:rPr>
        <w:t> </w:t>
      </w:r>
      <w:r>
        <w:rPr>
          <w:color w:val="231F20"/>
          <w:spacing w:val="-4"/>
        </w:rPr>
        <w:t>Maurice</w:t>
      </w:r>
      <w:r>
        <w:rPr>
          <w:color w:val="231F20"/>
          <w:spacing w:val="-11"/>
        </w:rPr>
        <w:t> </w:t>
      </w:r>
      <w:r>
        <w:rPr>
          <w:color w:val="231F20"/>
          <w:spacing w:val="-4"/>
        </w:rPr>
        <w:t>Yaméogo</w:t>
      </w:r>
      <w:r>
        <w:rPr>
          <w:color w:val="231F20"/>
          <w:spacing w:val="-11"/>
        </w:rPr>
        <w:t> </w:t>
      </w:r>
      <w:r>
        <w:rPr>
          <w:color w:val="231F20"/>
          <w:spacing w:val="-4"/>
        </w:rPr>
        <w:t>est</w:t>
      </w:r>
      <w:r>
        <w:rPr>
          <w:color w:val="231F20"/>
          <w:spacing w:val="-11"/>
        </w:rPr>
        <w:t> </w:t>
      </w:r>
      <w:r>
        <w:rPr>
          <w:color w:val="231F20"/>
          <w:spacing w:val="-4"/>
        </w:rPr>
        <w:t>inculpé</w:t>
      </w:r>
      <w:r>
        <w:rPr>
          <w:color w:val="231F20"/>
          <w:spacing w:val="-11"/>
        </w:rPr>
        <w:t> </w:t>
      </w:r>
      <w:r>
        <w:rPr>
          <w:color w:val="231F20"/>
          <w:spacing w:val="-4"/>
        </w:rPr>
        <w:t>par</w:t>
      </w:r>
      <w:r>
        <w:rPr>
          <w:color w:val="231F20"/>
          <w:spacing w:val="-11"/>
        </w:rPr>
        <w:t> </w:t>
      </w:r>
      <w:r>
        <w:rPr>
          <w:color w:val="231F20"/>
          <w:spacing w:val="-4"/>
        </w:rPr>
        <w:t>un</w:t>
      </w:r>
      <w:r>
        <w:rPr>
          <w:color w:val="231F20"/>
          <w:spacing w:val="-11"/>
        </w:rPr>
        <w:t> </w:t>
      </w:r>
      <w:r>
        <w:rPr>
          <w:color w:val="231F20"/>
          <w:spacing w:val="-4"/>
        </w:rPr>
        <w:t>tribunal</w:t>
      </w:r>
      <w:r>
        <w:rPr>
          <w:color w:val="231F20"/>
          <w:spacing w:val="-11"/>
        </w:rPr>
        <w:t> </w:t>
      </w:r>
      <w:r>
        <w:rPr>
          <w:color w:val="231F20"/>
          <w:spacing w:val="-4"/>
        </w:rPr>
        <w:t>spécial </w:t>
      </w:r>
      <w:r>
        <w:rPr>
          <w:color w:val="231F20"/>
        </w:rPr>
        <w:t>chargé d’enquêter sur ses années de gestion. Le 8 mai 1969, il est condamné</w:t>
      </w:r>
      <w:r>
        <w:rPr>
          <w:color w:val="231F20"/>
          <w:spacing w:val="-15"/>
        </w:rPr>
        <w:t> </w:t>
      </w:r>
      <w:r>
        <w:rPr>
          <w:color w:val="231F20"/>
        </w:rPr>
        <w:t>à</w:t>
      </w:r>
      <w:r>
        <w:rPr>
          <w:color w:val="231F20"/>
          <w:spacing w:val="-13"/>
        </w:rPr>
        <w:t> </w:t>
      </w:r>
      <w:r>
        <w:rPr>
          <w:color w:val="231F20"/>
        </w:rPr>
        <w:t>l’issue</w:t>
      </w:r>
      <w:r>
        <w:rPr>
          <w:color w:val="231F20"/>
          <w:spacing w:val="-14"/>
        </w:rPr>
        <w:t> </w:t>
      </w:r>
      <w:r>
        <w:rPr>
          <w:color w:val="231F20"/>
        </w:rPr>
        <w:t>d’un</w:t>
      </w:r>
      <w:r>
        <w:rPr>
          <w:color w:val="231F20"/>
          <w:spacing w:val="-15"/>
        </w:rPr>
        <w:t> </w:t>
      </w:r>
      <w:r>
        <w:rPr>
          <w:color w:val="231F20"/>
        </w:rPr>
        <w:t>procès</w:t>
      </w:r>
      <w:r>
        <w:rPr>
          <w:color w:val="231F20"/>
          <w:spacing w:val="-14"/>
        </w:rPr>
        <w:t> </w:t>
      </w:r>
      <w:r>
        <w:rPr>
          <w:color w:val="231F20"/>
        </w:rPr>
        <w:t>à</w:t>
      </w:r>
      <w:r>
        <w:rPr>
          <w:color w:val="231F20"/>
          <w:spacing w:val="-15"/>
        </w:rPr>
        <w:t> </w:t>
      </w:r>
      <w:r>
        <w:rPr>
          <w:color w:val="231F20"/>
        </w:rPr>
        <w:t>huis</w:t>
      </w:r>
      <w:r>
        <w:rPr>
          <w:color w:val="231F20"/>
          <w:spacing w:val="-14"/>
        </w:rPr>
        <w:t> </w:t>
      </w:r>
      <w:r>
        <w:rPr>
          <w:color w:val="231F20"/>
        </w:rPr>
        <w:t>clos,</w:t>
      </w:r>
      <w:r>
        <w:rPr>
          <w:color w:val="231F20"/>
          <w:spacing w:val="-14"/>
        </w:rPr>
        <w:t> </w:t>
      </w:r>
      <w:r>
        <w:rPr>
          <w:color w:val="231F20"/>
        </w:rPr>
        <w:t>à</w:t>
      </w:r>
      <w:r>
        <w:rPr>
          <w:color w:val="231F20"/>
          <w:spacing w:val="-14"/>
        </w:rPr>
        <w:t> </w:t>
      </w:r>
      <w:r>
        <w:rPr>
          <w:color w:val="231F20"/>
        </w:rPr>
        <w:t>cinq</w:t>
      </w:r>
      <w:r>
        <w:rPr>
          <w:color w:val="231F20"/>
          <w:spacing w:val="-15"/>
        </w:rPr>
        <w:t> </w:t>
      </w:r>
      <w:r>
        <w:rPr>
          <w:color w:val="231F20"/>
        </w:rPr>
        <w:t>ans</w:t>
      </w:r>
      <w:r>
        <w:rPr>
          <w:color w:val="231F20"/>
          <w:spacing w:val="-14"/>
        </w:rPr>
        <w:t> </w:t>
      </w:r>
      <w:r>
        <w:rPr>
          <w:color w:val="231F20"/>
        </w:rPr>
        <w:t>de</w:t>
      </w:r>
      <w:r>
        <w:rPr>
          <w:color w:val="231F20"/>
          <w:spacing w:val="-14"/>
        </w:rPr>
        <w:t> </w:t>
      </w:r>
      <w:r>
        <w:rPr>
          <w:color w:val="231F20"/>
        </w:rPr>
        <w:t>travaux</w:t>
      </w:r>
      <w:r>
        <w:rPr>
          <w:color w:val="231F20"/>
          <w:spacing w:val="-14"/>
        </w:rPr>
        <w:t> </w:t>
      </w:r>
      <w:r>
        <w:rPr>
          <w:color w:val="231F20"/>
        </w:rPr>
        <w:t>forcés, au</w:t>
      </w:r>
      <w:r>
        <w:rPr>
          <w:color w:val="231F20"/>
          <w:spacing w:val="-3"/>
        </w:rPr>
        <w:t> </w:t>
      </w:r>
      <w:r>
        <w:rPr>
          <w:color w:val="231F20"/>
        </w:rPr>
        <w:t>bannissement</w:t>
      </w:r>
      <w:r>
        <w:rPr>
          <w:color w:val="231F20"/>
          <w:spacing w:val="-3"/>
        </w:rPr>
        <w:t> </w:t>
      </w:r>
      <w:r>
        <w:rPr>
          <w:color w:val="231F20"/>
        </w:rPr>
        <w:t>à</w:t>
      </w:r>
      <w:r>
        <w:rPr>
          <w:color w:val="231F20"/>
          <w:spacing w:val="-6"/>
        </w:rPr>
        <w:t> </w:t>
      </w:r>
      <w:r>
        <w:rPr>
          <w:color w:val="231F20"/>
        </w:rPr>
        <w:t>vie</w:t>
      </w:r>
      <w:r>
        <w:rPr>
          <w:color w:val="231F20"/>
          <w:spacing w:val="-3"/>
        </w:rPr>
        <w:t> </w:t>
      </w:r>
      <w:r>
        <w:rPr>
          <w:color w:val="231F20"/>
        </w:rPr>
        <w:t>et</w:t>
      </w:r>
      <w:r>
        <w:rPr>
          <w:color w:val="231F20"/>
          <w:spacing w:val="-5"/>
        </w:rPr>
        <w:t> </w:t>
      </w:r>
      <w:r>
        <w:rPr>
          <w:color w:val="231F20"/>
        </w:rPr>
        <w:t>à</w:t>
      </w:r>
      <w:r>
        <w:rPr>
          <w:color w:val="231F20"/>
          <w:spacing w:val="-7"/>
        </w:rPr>
        <w:t> </w:t>
      </w:r>
      <w:r>
        <w:rPr>
          <w:color w:val="231F20"/>
        </w:rPr>
        <w:t>la</w:t>
      </w:r>
      <w:r>
        <w:rPr>
          <w:color w:val="231F20"/>
          <w:spacing w:val="-4"/>
        </w:rPr>
        <w:t> </w:t>
      </w:r>
      <w:r>
        <w:rPr>
          <w:color w:val="231F20"/>
        </w:rPr>
        <w:t>déchéance</w:t>
      </w:r>
      <w:r>
        <w:rPr>
          <w:color w:val="231F20"/>
          <w:spacing w:val="-4"/>
        </w:rPr>
        <w:t> </w:t>
      </w:r>
      <w:r>
        <w:rPr>
          <w:color w:val="231F20"/>
        </w:rPr>
        <w:t>de</w:t>
      </w:r>
      <w:r>
        <w:rPr>
          <w:color w:val="231F20"/>
          <w:spacing w:val="-6"/>
        </w:rPr>
        <w:t> </w:t>
      </w:r>
      <w:r>
        <w:rPr>
          <w:color w:val="231F20"/>
        </w:rPr>
        <w:t>ses</w:t>
      </w:r>
      <w:r>
        <w:rPr>
          <w:color w:val="231F20"/>
          <w:spacing w:val="-4"/>
        </w:rPr>
        <w:t> </w:t>
      </w:r>
      <w:r>
        <w:rPr>
          <w:color w:val="231F20"/>
        </w:rPr>
        <w:t>droits</w:t>
      </w:r>
      <w:r>
        <w:rPr>
          <w:color w:val="231F20"/>
          <w:spacing w:val="-3"/>
        </w:rPr>
        <w:t> </w:t>
      </w:r>
      <w:r>
        <w:rPr>
          <w:color w:val="231F20"/>
        </w:rPr>
        <w:t>civiques.</w:t>
      </w:r>
    </w:p>
    <w:p>
      <w:pPr>
        <w:pStyle w:val="BodyText"/>
        <w:spacing w:before="121"/>
        <w:ind w:right="104" w:firstLine="283"/>
      </w:pPr>
      <w:r>
        <w:rPr>
          <w:color w:val="231F20"/>
          <w:spacing w:val="-2"/>
        </w:rPr>
        <w:t>Après</w:t>
      </w:r>
      <w:r>
        <w:rPr>
          <w:color w:val="231F20"/>
          <w:spacing w:val="-12"/>
        </w:rPr>
        <w:t> </w:t>
      </w:r>
      <w:r>
        <w:rPr>
          <w:color w:val="231F20"/>
          <w:spacing w:val="-2"/>
        </w:rPr>
        <w:t>sa</w:t>
      </w:r>
      <w:r>
        <w:rPr>
          <w:color w:val="231F20"/>
          <w:spacing w:val="-13"/>
        </w:rPr>
        <w:t> </w:t>
      </w:r>
      <w:r>
        <w:rPr>
          <w:color w:val="231F20"/>
          <w:spacing w:val="-2"/>
        </w:rPr>
        <w:t>déchéance,</w:t>
      </w:r>
      <w:r>
        <w:rPr>
          <w:color w:val="231F20"/>
          <w:spacing w:val="-12"/>
        </w:rPr>
        <w:t> </w:t>
      </w:r>
      <w:r>
        <w:rPr>
          <w:color w:val="231F20"/>
          <w:spacing w:val="-2"/>
        </w:rPr>
        <w:t>son</w:t>
      </w:r>
      <w:r>
        <w:rPr>
          <w:color w:val="231F20"/>
          <w:spacing w:val="-12"/>
        </w:rPr>
        <w:t> </w:t>
      </w:r>
      <w:r>
        <w:rPr>
          <w:color w:val="231F20"/>
          <w:spacing w:val="-2"/>
        </w:rPr>
        <w:t>épouse</w:t>
      </w:r>
      <w:r>
        <w:rPr>
          <w:color w:val="231F20"/>
          <w:spacing w:val="-12"/>
        </w:rPr>
        <w:t> </w:t>
      </w:r>
      <w:r>
        <w:rPr>
          <w:color w:val="231F20"/>
          <w:spacing w:val="-2"/>
        </w:rPr>
        <w:t>Nathalie</w:t>
      </w:r>
      <w:r>
        <w:rPr>
          <w:color w:val="231F20"/>
          <w:spacing w:val="-12"/>
        </w:rPr>
        <w:t> </w:t>
      </w:r>
      <w:r>
        <w:rPr>
          <w:color w:val="231F20"/>
          <w:spacing w:val="-2"/>
        </w:rPr>
        <w:t>Monaco</w:t>
      </w:r>
      <w:r>
        <w:rPr>
          <w:color w:val="231F20"/>
          <w:spacing w:val="-12"/>
        </w:rPr>
        <w:t> </w:t>
      </w:r>
      <w:r>
        <w:rPr>
          <w:color w:val="231F20"/>
          <w:spacing w:val="-2"/>
        </w:rPr>
        <w:t>le</w:t>
      </w:r>
      <w:r>
        <w:rPr>
          <w:color w:val="231F20"/>
          <w:spacing w:val="-13"/>
        </w:rPr>
        <w:t> </w:t>
      </w:r>
      <w:r>
        <w:rPr>
          <w:color w:val="231F20"/>
          <w:spacing w:val="-2"/>
        </w:rPr>
        <w:t>quitte.</w:t>
      </w:r>
      <w:r>
        <w:rPr>
          <w:color w:val="231F20"/>
          <w:spacing w:val="-13"/>
        </w:rPr>
        <w:t> </w:t>
      </w:r>
      <w:r>
        <w:rPr>
          <w:color w:val="231F20"/>
          <w:spacing w:val="-2"/>
        </w:rPr>
        <w:t>Malade,</w:t>
      </w:r>
      <w:r>
        <w:rPr>
          <w:color w:val="231F20"/>
          <w:spacing w:val="-11"/>
        </w:rPr>
        <w:t> </w:t>
      </w:r>
      <w:r>
        <w:rPr>
          <w:color w:val="231F20"/>
          <w:spacing w:val="-2"/>
        </w:rPr>
        <w:t>il </w:t>
      </w:r>
      <w:r>
        <w:rPr>
          <w:color w:val="231F20"/>
        </w:rPr>
        <w:t>s’éteint le 15 septembre 1993 dans l’avion qui le ramène de Paris à </w:t>
      </w:r>
      <w:r>
        <w:rPr>
          <w:color w:val="231F20"/>
          <w:spacing w:val="-2"/>
        </w:rPr>
        <w:t>Ouagadougou.</w:t>
      </w:r>
    </w:p>
    <w:p>
      <w:pPr>
        <w:pStyle w:val="BodyText"/>
        <w:spacing w:before="240"/>
        <w:ind w:left="0"/>
        <w:jc w:val="left"/>
      </w:pPr>
    </w:p>
    <w:p>
      <w:pPr>
        <w:pStyle w:val="Heading3"/>
        <w:spacing w:before="1"/>
        <w:ind w:right="210"/>
      </w:pPr>
      <w:r>
        <w:rPr>
          <w:i/>
          <w:color w:val="231F20"/>
        </w:rPr>
        <w:t>Le Lieutenant-Colonel Aboubacar Sangoulé Lamizana est</w:t>
      </w:r>
      <w:r>
        <w:rPr>
          <w:color w:val="231F20"/>
        </w:rPr>
        <w:t> </w:t>
      </w:r>
      <w:r>
        <w:rPr>
          <w:color w:val="231F20"/>
          <w:spacing w:val="-2"/>
        </w:rPr>
        <w:t>renversé</w:t>
      </w:r>
      <w:r>
        <w:rPr>
          <w:color w:val="231F20"/>
          <w:spacing w:val="-12"/>
        </w:rPr>
        <w:t> </w:t>
      </w:r>
      <w:r>
        <w:rPr>
          <w:color w:val="231F20"/>
          <w:spacing w:val="-2"/>
        </w:rPr>
        <w:t>à</w:t>
      </w:r>
      <w:r>
        <w:rPr>
          <w:color w:val="231F20"/>
          <w:spacing w:val="-8"/>
        </w:rPr>
        <w:t> </w:t>
      </w:r>
      <w:r>
        <w:rPr>
          <w:color w:val="231F20"/>
          <w:spacing w:val="-2"/>
        </w:rPr>
        <w:t>son</w:t>
      </w:r>
      <w:r>
        <w:rPr>
          <w:color w:val="231F20"/>
          <w:spacing w:val="-7"/>
        </w:rPr>
        <w:t> </w:t>
      </w:r>
      <w:r>
        <w:rPr>
          <w:color w:val="231F20"/>
          <w:spacing w:val="-2"/>
        </w:rPr>
        <w:t>tour</w:t>
      </w:r>
      <w:r>
        <w:rPr>
          <w:color w:val="231F20"/>
          <w:spacing w:val="-9"/>
        </w:rPr>
        <w:t> </w:t>
      </w:r>
      <w:r>
        <w:rPr>
          <w:color w:val="231F20"/>
          <w:spacing w:val="-2"/>
        </w:rPr>
        <w:t>le</w:t>
      </w:r>
      <w:r>
        <w:rPr>
          <w:color w:val="231F20"/>
          <w:spacing w:val="-7"/>
        </w:rPr>
        <w:t> </w:t>
      </w:r>
      <w:r>
        <w:rPr>
          <w:color w:val="231F20"/>
          <w:spacing w:val="-2"/>
        </w:rPr>
        <w:t>25</w:t>
      </w:r>
      <w:r>
        <w:rPr>
          <w:color w:val="231F20"/>
          <w:spacing w:val="-9"/>
        </w:rPr>
        <w:t> </w:t>
      </w:r>
      <w:r>
        <w:rPr>
          <w:color w:val="231F20"/>
          <w:spacing w:val="-2"/>
        </w:rPr>
        <w:t>novembre</w:t>
      </w:r>
      <w:r>
        <w:rPr>
          <w:color w:val="231F20"/>
          <w:spacing w:val="-7"/>
        </w:rPr>
        <w:t> </w:t>
      </w:r>
      <w:r>
        <w:rPr>
          <w:color w:val="231F20"/>
          <w:spacing w:val="-2"/>
        </w:rPr>
        <w:t>1980</w:t>
      </w:r>
      <w:r>
        <w:rPr>
          <w:color w:val="231F20"/>
          <w:spacing w:val="-8"/>
        </w:rPr>
        <w:t> </w:t>
      </w:r>
      <w:r>
        <w:rPr>
          <w:color w:val="231F20"/>
          <w:spacing w:val="-2"/>
        </w:rPr>
        <w:t>par</w:t>
      </w:r>
      <w:r>
        <w:rPr>
          <w:color w:val="231F20"/>
          <w:spacing w:val="-9"/>
        </w:rPr>
        <w:t> </w:t>
      </w:r>
      <w:r>
        <w:rPr>
          <w:color w:val="231F20"/>
          <w:spacing w:val="-2"/>
        </w:rPr>
        <w:t>ses</w:t>
      </w:r>
      <w:r>
        <w:rPr>
          <w:color w:val="231F20"/>
          <w:spacing w:val="-8"/>
        </w:rPr>
        <w:t> </w:t>
      </w:r>
      <w:r>
        <w:rPr>
          <w:color w:val="231F20"/>
          <w:spacing w:val="-2"/>
        </w:rPr>
        <w:t>frères</w:t>
      </w:r>
      <w:r>
        <w:rPr>
          <w:color w:val="231F20"/>
          <w:spacing w:val="-8"/>
        </w:rPr>
        <w:t> </w:t>
      </w:r>
      <w:r>
        <w:rPr>
          <w:color w:val="231F20"/>
          <w:spacing w:val="-2"/>
        </w:rPr>
        <w:t>d’armes.</w:t>
      </w:r>
    </w:p>
    <w:p>
      <w:pPr>
        <w:pStyle w:val="BodyText"/>
        <w:spacing w:before="255"/>
        <w:ind w:right="106" w:firstLine="283"/>
      </w:pPr>
      <w:r>
        <w:rPr>
          <w:color w:val="231F20"/>
        </w:rPr>
        <w:t>Le</w:t>
      </w:r>
      <w:r>
        <w:rPr>
          <w:color w:val="231F20"/>
          <w:spacing w:val="-3"/>
        </w:rPr>
        <w:t> </w:t>
      </w:r>
      <w:r>
        <w:rPr>
          <w:color w:val="231F20"/>
        </w:rPr>
        <w:t>Colonel</w:t>
      </w:r>
      <w:r>
        <w:rPr>
          <w:color w:val="231F20"/>
          <w:spacing w:val="-4"/>
        </w:rPr>
        <w:t> </w:t>
      </w:r>
      <w:r>
        <w:rPr>
          <w:color w:val="231F20"/>
        </w:rPr>
        <w:t>Sayé</w:t>
      </w:r>
      <w:r>
        <w:rPr>
          <w:color w:val="231F20"/>
          <w:spacing w:val="-3"/>
        </w:rPr>
        <w:t> </w:t>
      </w:r>
      <w:r>
        <w:rPr>
          <w:color w:val="231F20"/>
        </w:rPr>
        <w:t>Zerbo</w:t>
      </w:r>
      <w:r>
        <w:rPr>
          <w:color w:val="231F20"/>
          <w:spacing w:val="-3"/>
        </w:rPr>
        <w:t> </w:t>
      </w:r>
      <w:r>
        <w:rPr>
          <w:color w:val="231F20"/>
        </w:rPr>
        <w:t>prend</w:t>
      </w:r>
      <w:r>
        <w:rPr>
          <w:color w:val="231F20"/>
          <w:spacing w:val="-3"/>
        </w:rPr>
        <w:t> </w:t>
      </w:r>
      <w:r>
        <w:rPr>
          <w:color w:val="231F20"/>
        </w:rPr>
        <w:t>le</w:t>
      </w:r>
      <w:r>
        <w:rPr>
          <w:color w:val="231F20"/>
          <w:spacing w:val="-6"/>
        </w:rPr>
        <w:t> </w:t>
      </w:r>
      <w:r>
        <w:rPr>
          <w:color w:val="231F20"/>
        </w:rPr>
        <w:t>pouvoir.</w:t>
      </w:r>
      <w:r>
        <w:rPr>
          <w:color w:val="231F20"/>
          <w:spacing w:val="-4"/>
        </w:rPr>
        <w:t> </w:t>
      </w:r>
      <w:r>
        <w:rPr>
          <w:color w:val="231F20"/>
        </w:rPr>
        <w:t>Pas</w:t>
      </w:r>
      <w:r>
        <w:rPr>
          <w:color w:val="231F20"/>
          <w:spacing w:val="-3"/>
        </w:rPr>
        <w:t> </w:t>
      </w:r>
      <w:r>
        <w:rPr>
          <w:color w:val="231F20"/>
        </w:rPr>
        <w:t>pour</w:t>
      </w:r>
      <w:r>
        <w:rPr>
          <w:color w:val="231F20"/>
          <w:spacing w:val="-5"/>
        </w:rPr>
        <w:t> </w:t>
      </w:r>
      <w:r>
        <w:rPr>
          <w:color w:val="231F20"/>
        </w:rPr>
        <w:t>longtemps</w:t>
      </w:r>
      <w:r>
        <w:rPr>
          <w:color w:val="231F20"/>
          <w:spacing w:val="-15"/>
        </w:rPr>
        <w:t> </w:t>
      </w:r>
      <w:r>
        <w:rPr>
          <w:color w:val="231F20"/>
        </w:rPr>
        <w:t>:</w:t>
      </w:r>
      <w:r>
        <w:rPr>
          <w:color w:val="231F20"/>
          <w:spacing w:val="-4"/>
        </w:rPr>
        <w:t> </w:t>
      </w:r>
      <w:r>
        <w:rPr>
          <w:color w:val="231F20"/>
        </w:rPr>
        <w:t>il</w:t>
      </w:r>
      <w:r>
        <w:rPr>
          <w:color w:val="231F20"/>
          <w:spacing w:val="-1"/>
        </w:rPr>
        <w:t> </w:t>
      </w:r>
      <w:r>
        <w:rPr>
          <w:color w:val="231F20"/>
        </w:rPr>
        <w:t>est renversé</w:t>
      </w:r>
      <w:r>
        <w:rPr>
          <w:color w:val="231F20"/>
          <w:spacing w:val="-13"/>
        </w:rPr>
        <w:t> </w:t>
      </w:r>
      <w:r>
        <w:rPr>
          <w:color w:val="231F20"/>
        </w:rPr>
        <w:t>en</w:t>
      </w:r>
      <w:r>
        <w:rPr>
          <w:color w:val="231F20"/>
          <w:spacing w:val="-13"/>
        </w:rPr>
        <w:t> </w:t>
      </w:r>
      <w:r>
        <w:rPr>
          <w:color w:val="231F20"/>
        </w:rPr>
        <w:t>1982</w:t>
      </w:r>
      <w:r>
        <w:rPr>
          <w:color w:val="231F20"/>
          <w:spacing w:val="-13"/>
        </w:rPr>
        <w:t> </w:t>
      </w:r>
      <w:r>
        <w:rPr>
          <w:color w:val="231F20"/>
        </w:rPr>
        <w:t>par</w:t>
      </w:r>
      <w:r>
        <w:rPr>
          <w:color w:val="231F20"/>
          <w:spacing w:val="-15"/>
        </w:rPr>
        <w:t> </w:t>
      </w:r>
      <w:r>
        <w:rPr>
          <w:color w:val="231F20"/>
        </w:rPr>
        <w:t>un</w:t>
      </w:r>
      <w:r>
        <w:rPr>
          <w:color w:val="231F20"/>
          <w:spacing w:val="-13"/>
        </w:rPr>
        <w:t> </w:t>
      </w:r>
      <w:r>
        <w:rPr>
          <w:color w:val="231F20"/>
        </w:rPr>
        <w:t>autre</w:t>
      </w:r>
      <w:r>
        <w:rPr>
          <w:color w:val="231F20"/>
          <w:spacing w:val="-13"/>
        </w:rPr>
        <w:t> </w:t>
      </w:r>
      <w:r>
        <w:rPr>
          <w:color w:val="231F20"/>
        </w:rPr>
        <w:t>coup</w:t>
      </w:r>
      <w:r>
        <w:rPr>
          <w:color w:val="231F20"/>
          <w:spacing w:val="-15"/>
        </w:rPr>
        <w:t> </w:t>
      </w:r>
      <w:r>
        <w:rPr>
          <w:color w:val="231F20"/>
        </w:rPr>
        <w:t>d’État</w:t>
      </w:r>
      <w:r>
        <w:rPr>
          <w:color w:val="231F20"/>
          <w:spacing w:val="-12"/>
        </w:rPr>
        <w:t> </w:t>
      </w:r>
      <w:r>
        <w:rPr>
          <w:color w:val="231F20"/>
        </w:rPr>
        <w:t>militaire</w:t>
      </w:r>
      <w:r>
        <w:rPr>
          <w:color w:val="231F20"/>
          <w:spacing w:val="-15"/>
        </w:rPr>
        <w:t> </w:t>
      </w:r>
      <w:r>
        <w:rPr>
          <w:color w:val="231F20"/>
        </w:rPr>
        <w:t>qui</w:t>
      </w:r>
      <w:r>
        <w:rPr>
          <w:color w:val="231F20"/>
          <w:spacing w:val="-12"/>
        </w:rPr>
        <w:t> </w:t>
      </w:r>
      <w:r>
        <w:rPr>
          <w:color w:val="231F20"/>
        </w:rPr>
        <w:t>place</w:t>
      </w:r>
      <w:r>
        <w:rPr>
          <w:color w:val="231F20"/>
          <w:spacing w:val="-13"/>
        </w:rPr>
        <w:t> </w:t>
      </w:r>
      <w:r>
        <w:rPr>
          <w:color w:val="231F20"/>
        </w:rPr>
        <w:t>le</w:t>
      </w:r>
      <w:r>
        <w:rPr>
          <w:color w:val="231F20"/>
          <w:spacing w:val="-15"/>
        </w:rPr>
        <w:t> </w:t>
      </w:r>
      <w:r>
        <w:rPr>
          <w:color w:val="231F20"/>
        </w:rPr>
        <w:t>médecin commandant Jean-Baptiste Ouédraogo à la tête de l’État. Son Chef de Gouvernement</w:t>
      </w:r>
      <w:r>
        <w:rPr>
          <w:color w:val="231F20"/>
          <w:spacing w:val="-3"/>
        </w:rPr>
        <w:t> </w:t>
      </w:r>
      <w:r>
        <w:rPr>
          <w:color w:val="231F20"/>
        </w:rPr>
        <w:t>se</w:t>
      </w:r>
      <w:r>
        <w:rPr>
          <w:color w:val="231F20"/>
          <w:spacing w:val="-6"/>
        </w:rPr>
        <w:t> </w:t>
      </w:r>
      <w:r>
        <w:rPr>
          <w:color w:val="231F20"/>
        </w:rPr>
        <w:t>nomme</w:t>
      </w:r>
      <w:r>
        <w:rPr>
          <w:color w:val="231F20"/>
          <w:spacing w:val="-7"/>
        </w:rPr>
        <w:t> </w:t>
      </w:r>
      <w:r>
        <w:rPr>
          <w:color w:val="231F20"/>
        </w:rPr>
        <w:t>Thomas</w:t>
      </w:r>
      <w:r>
        <w:rPr>
          <w:color w:val="231F20"/>
          <w:spacing w:val="-3"/>
        </w:rPr>
        <w:t> </w:t>
      </w:r>
      <w:r>
        <w:rPr>
          <w:color w:val="231F20"/>
        </w:rPr>
        <w:t>Sankara,</w:t>
      </w:r>
      <w:r>
        <w:rPr>
          <w:color w:val="231F20"/>
          <w:spacing w:val="-4"/>
        </w:rPr>
        <w:t> </w:t>
      </w:r>
      <w:r>
        <w:rPr>
          <w:color w:val="231F20"/>
        </w:rPr>
        <w:t>un</w:t>
      </w:r>
      <w:r>
        <w:rPr>
          <w:color w:val="231F20"/>
          <w:spacing w:val="-6"/>
        </w:rPr>
        <w:t> </w:t>
      </w:r>
      <w:r>
        <w:rPr>
          <w:color w:val="231F20"/>
        </w:rPr>
        <w:t>jeune</w:t>
      </w:r>
      <w:r>
        <w:rPr>
          <w:color w:val="231F20"/>
          <w:spacing w:val="-4"/>
        </w:rPr>
        <w:t> </w:t>
      </w:r>
      <w:r>
        <w:rPr>
          <w:color w:val="231F20"/>
        </w:rPr>
        <w:t>Capitaine.</w:t>
      </w:r>
    </w:p>
    <w:p>
      <w:pPr>
        <w:pStyle w:val="BodyText"/>
        <w:spacing w:before="120"/>
        <w:ind w:right="103" w:firstLine="283"/>
      </w:pPr>
      <w:r>
        <w:rPr>
          <w:color w:val="231F20"/>
          <w:spacing w:val="-2"/>
        </w:rPr>
        <w:t>Jean-Baptiste</w:t>
      </w:r>
      <w:r>
        <w:rPr>
          <w:color w:val="231F20"/>
          <w:spacing w:val="-15"/>
        </w:rPr>
        <w:t> </w:t>
      </w:r>
      <w:r>
        <w:rPr>
          <w:color w:val="231F20"/>
          <w:spacing w:val="-2"/>
        </w:rPr>
        <w:t>Ouédraogo</w:t>
      </w:r>
      <w:r>
        <w:rPr>
          <w:color w:val="231F20"/>
          <w:spacing w:val="-13"/>
        </w:rPr>
        <w:t> </w:t>
      </w:r>
      <w:r>
        <w:rPr>
          <w:color w:val="231F20"/>
          <w:spacing w:val="-2"/>
        </w:rPr>
        <w:t>entre</w:t>
      </w:r>
      <w:r>
        <w:rPr>
          <w:color w:val="231F20"/>
          <w:spacing w:val="-13"/>
        </w:rPr>
        <w:t> </w:t>
      </w:r>
      <w:r>
        <w:rPr>
          <w:color w:val="231F20"/>
          <w:spacing w:val="-2"/>
        </w:rPr>
        <w:t>en</w:t>
      </w:r>
      <w:r>
        <w:rPr>
          <w:color w:val="231F20"/>
          <w:spacing w:val="-13"/>
        </w:rPr>
        <w:t> </w:t>
      </w:r>
      <w:r>
        <w:rPr>
          <w:color w:val="231F20"/>
          <w:spacing w:val="-2"/>
        </w:rPr>
        <w:t>conflit</w:t>
      </w:r>
      <w:r>
        <w:rPr>
          <w:color w:val="231F20"/>
          <w:spacing w:val="-13"/>
        </w:rPr>
        <w:t> </w:t>
      </w:r>
      <w:r>
        <w:rPr>
          <w:color w:val="231F20"/>
          <w:spacing w:val="-2"/>
        </w:rPr>
        <w:t>avec</w:t>
      </w:r>
      <w:r>
        <w:rPr>
          <w:color w:val="231F20"/>
          <w:spacing w:val="-13"/>
        </w:rPr>
        <w:t> </w:t>
      </w:r>
      <w:r>
        <w:rPr>
          <w:color w:val="231F20"/>
          <w:spacing w:val="-2"/>
        </w:rPr>
        <w:t>Sankara</w:t>
      </w:r>
      <w:r>
        <w:rPr>
          <w:color w:val="231F20"/>
          <w:spacing w:val="-13"/>
        </w:rPr>
        <w:t> </w:t>
      </w:r>
      <w:r>
        <w:rPr>
          <w:color w:val="231F20"/>
          <w:spacing w:val="-2"/>
        </w:rPr>
        <w:t>et</w:t>
      </w:r>
      <w:r>
        <w:rPr>
          <w:color w:val="231F20"/>
          <w:spacing w:val="-13"/>
        </w:rPr>
        <w:t> </w:t>
      </w:r>
      <w:r>
        <w:rPr>
          <w:color w:val="231F20"/>
          <w:spacing w:val="-2"/>
        </w:rPr>
        <w:t>le</w:t>
      </w:r>
      <w:r>
        <w:rPr>
          <w:color w:val="231F20"/>
          <w:spacing w:val="-13"/>
        </w:rPr>
        <w:t> </w:t>
      </w:r>
      <w:r>
        <w:rPr>
          <w:color w:val="231F20"/>
          <w:spacing w:val="-2"/>
        </w:rPr>
        <w:t>limoge</w:t>
      </w:r>
      <w:r>
        <w:rPr>
          <w:color w:val="231F20"/>
          <w:spacing w:val="-13"/>
        </w:rPr>
        <w:t> </w:t>
      </w:r>
      <w:r>
        <w:rPr>
          <w:color w:val="231F20"/>
          <w:spacing w:val="-2"/>
        </w:rPr>
        <w:t>de </w:t>
      </w:r>
      <w:r>
        <w:rPr>
          <w:color w:val="231F20"/>
        </w:rPr>
        <w:t>son poste en mai 1983. Trois mois plus tard, le 4 août 1983, Thomas Sankara prend le pouvoir par un coup d’État.</w:t>
      </w:r>
    </w:p>
    <w:p>
      <w:pPr>
        <w:pStyle w:val="BodyText"/>
        <w:spacing w:before="120"/>
        <w:ind w:right="103" w:firstLine="283"/>
        <w:rPr>
          <w:i/>
        </w:rPr>
      </w:pPr>
      <w:r>
        <w:rPr>
          <w:color w:val="231F20"/>
        </w:rPr>
        <w:t>Anti-impérialiste, panafricaniste et tiers-mondiste, il dérange. Il rebaptise</w:t>
      </w:r>
      <w:r>
        <w:rPr>
          <w:color w:val="231F20"/>
          <w:spacing w:val="-3"/>
        </w:rPr>
        <w:t> </w:t>
      </w:r>
      <w:r>
        <w:rPr>
          <w:color w:val="231F20"/>
        </w:rPr>
        <w:t>le</w:t>
      </w:r>
      <w:r>
        <w:rPr>
          <w:color w:val="231F20"/>
          <w:spacing w:val="-3"/>
        </w:rPr>
        <w:t> </w:t>
      </w:r>
      <w:r>
        <w:rPr>
          <w:color w:val="231F20"/>
        </w:rPr>
        <w:t>pays</w:t>
      </w:r>
      <w:r>
        <w:rPr>
          <w:color w:val="231F20"/>
          <w:spacing w:val="-14"/>
        </w:rPr>
        <w:t> </w:t>
      </w:r>
      <w:r>
        <w:rPr>
          <w:color w:val="231F20"/>
        </w:rPr>
        <w:t>: ce</w:t>
      </w:r>
      <w:r>
        <w:rPr>
          <w:color w:val="231F20"/>
          <w:spacing w:val="-3"/>
        </w:rPr>
        <w:t> </w:t>
      </w:r>
      <w:r>
        <w:rPr>
          <w:color w:val="231F20"/>
        </w:rPr>
        <w:t>ne</w:t>
      </w:r>
      <w:r>
        <w:rPr>
          <w:color w:val="231F20"/>
          <w:spacing w:val="-3"/>
        </w:rPr>
        <w:t> </w:t>
      </w:r>
      <w:r>
        <w:rPr>
          <w:color w:val="231F20"/>
        </w:rPr>
        <w:t>sera</w:t>
      </w:r>
      <w:r>
        <w:rPr>
          <w:color w:val="231F20"/>
          <w:spacing w:val="-1"/>
        </w:rPr>
        <w:t> </w:t>
      </w:r>
      <w:r>
        <w:rPr>
          <w:color w:val="231F20"/>
        </w:rPr>
        <w:t>plus</w:t>
      </w:r>
      <w:r>
        <w:rPr>
          <w:color w:val="231F20"/>
          <w:spacing w:val="-2"/>
        </w:rPr>
        <w:t> </w:t>
      </w:r>
      <w:r>
        <w:rPr>
          <w:color w:val="231F20"/>
        </w:rPr>
        <w:t>Haute</w:t>
      </w:r>
      <w:r>
        <w:rPr>
          <w:color w:val="231F20"/>
          <w:spacing w:val="-1"/>
        </w:rPr>
        <w:t> </w:t>
      </w:r>
      <w:r>
        <w:rPr>
          <w:color w:val="231F20"/>
        </w:rPr>
        <w:t>Volta,</w:t>
      </w:r>
      <w:r>
        <w:rPr>
          <w:color w:val="231F20"/>
          <w:spacing w:val="-2"/>
        </w:rPr>
        <w:t> </w:t>
      </w:r>
      <w:r>
        <w:rPr>
          <w:color w:val="231F20"/>
        </w:rPr>
        <w:t>nom donné</w:t>
      </w:r>
      <w:r>
        <w:rPr>
          <w:color w:val="231F20"/>
          <w:spacing w:val="-3"/>
        </w:rPr>
        <w:t> </w:t>
      </w:r>
      <w:r>
        <w:rPr>
          <w:color w:val="231F20"/>
        </w:rPr>
        <w:t>par</w:t>
      </w:r>
      <w:r>
        <w:rPr>
          <w:color w:val="231F20"/>
          <w:spacing w:val="-1"/>
        </w:rPr>
        <w:t> </w:t>
      </w:r>
      <w:r>
        <w:rPr>
          <w:color w:val="231F20"/>
        </w:rPr>
        <w:t>le</w:t>
      </w:r>
      <w:r>
        <w:rPr>
          <w:color w:val="231F20"/>
          <w:spacing w:val="-3"/>
        </w:rPr>
        <w:t> </w:t>
      </w:r>
      <w:r>
        <w:rPr>
          <w:color w:val="231F20"/>
        </w:rPr>
        <w:t>colon mais</w:t>
      </w:r>
      <w:r>
        <w:rPr>
          <w:color w:val="231F20"/>
          <w:spacing w:val="-3"/>
        </w:rPr>
        <w:t> </w:t>
      </w:r>
      <w:r>
        <w:rPr>
          <w:color w:val="231F20"/>
        </w:rPr>
        <w:t>Burkina</w:t>
      </w:r>
      <w:r>
        <w:rPr>
          <w:color w:val="231F20"/>
          <w:spacing w:val="-4"/>
        </w:rPr>
        <w:t> </w:t>
      </w:r>
      <w:r>
        <w:rPr>
          <w:color w:val="231F20"/>
        </w:rPr>
        <w:t>Faso</w:t>
      </w:r>
      <w:r>
        <w:rPr>
          <w:color w:val="231F20"/>
          <w:spacing w:val="-3"/>
        </w:rPr>
        <w:t> </w:t>
      </w:r>
      <w:r>
        <w:rPr>
          <w:color w:val="231F20"/>
        </w:rPr>
        <w:t>qui</w:t>
      </w:r>
      <w:r>
        <w:rPr>
          <w:color w:val="231F20"/>
          <w:spacing w:val="-3"/>
        </w:rPr>
        <w:t> </w:t>
      </w:r>
      <w:r>
        <w:rPr>
          <w:color w:val="231F20"/>
        </w:rPr>
        <w:t>signifie</w:t>
      </w:r>
      <w:r>
        <w:rPr>
          <w:color w:val="231F20"/>
          <w:spacing w:val="-4"/>
        </w:rPr>
        <w:t> </w:t>
      </w:r>
      <w:r>
        <w:rPr>
          <w:color w:val="231F20"/>
        </w:rPr>
        <w:t>pays</w:t>
      </w:r>
      <w:r>
        <w:rPr>
          <w:color w:val="231F20"/>
          <w:spacing w:val="-1"/>
        </w:rPr>
        <w:t> </w:t>
      </w:r>
      <w:r>
        <w:rPr>
          <w:color w:val="231F20"/>
        </w:rPr>
        <w:t>des</w:t>
      </w:r>
      <w:r>
        <w:rPr>
          <w:color w:val="231F20"/>
          <w:spacing w:val="-3"/>
        </w:rPr>
        <w:t> </w:t>
      </w:r>
      <w:r>
        <w:rPr>
          <w:color w:val="231F20"/>
        </w:rPr>
        <w:t>hommes</w:t>
      </w:r>
      <w:r>
        <w:rPr>
          <w:color w:val="231F20"/>
          <w:spacing w:val="-3"/>
        </w:rPr>
        <w:t> </w:t>
      </w:r>
      <w:r>
        <w:rPr>
          <w:color w:val="231F20"/>
        </w:rPr>
        <w:t>intègres</w:t>
      </w:r>
      <w:r>
        <w:rPr>
          <w:color w:val="231F20"/>
          <w:spacing w:val="-3"/>
        </w:rPr>
        <w:t> </w:t>
      </w:r>
      <w:r>
        <w:rPr>
          <w:color w:val="231F20"/>
        </w:rPr>
        <w:t>dans</w:t>
      </w:r>
      <w:r>
        <w:rPr>
          <w:color w:val="231F20"/>
          <w:spacing w:val="-3"/>
        </w:rPr>
        <w:t> </w:t>
      </w:r>
      <w:r>
        <w:rPr>
          <w:color w:val="231F20"/>
        </w:rPr>
        <w:t>une</w:t>
      </w:r>
      <w:r>
        <w:rPr>
          <w:color w:val="231F20"/>
          <w:spacing w:val="-4"/>
        </w:rPr>
        <w:t> </w:t>
      </w:r>
      <w:r>
        <w:rPr>
          <w:color w:val="231F20"/>
        </w:rPr>
        <w:t>des langues locales. Il conduit une politique d’affranchissement du peuple burkinabè. Son gouvernement entreprend des réformes majeures pour </w:t>
      </w:r>
      <w:r>
        <w:rPr>
          <w:color w:val="231F20"/>
          <w:spacing w:val="-4"/>
        </w:rPr>
        <w:t>combattre</w:t>
      </w:r>
      <w:r>
        <w:rPr>
          <w:color w:val="231F20"/>
          <w:spacing w:val="-6"/>
        </w:rPr>
        <w:t> </w:t>
      </w:r>
      <w:r>
        <w:rPr>
          <w:color w:val="231F20"/>
          <w:spacing w:val="-4"/>
        </w:rPr>
        <w:t>la</w:t>
      </w:r>
      <w:r>
        <w:rPr>
          <w:color w:val="231F20"/>
          <w:spacing w:val="-6"/>
        </w:rPr>
        <w:t> </w:t>
      </w:r>
      <w:r>
        <w:rPr>
          <w:color w:val="231F20"/>
          <w:spacing w:val="-4"/>
        </w:rPr>
        <w:t>corruption.</w:t>
      </w:r>
      <w:r>
        <w:rPr>
          <w:color w:val="231F20"/>
          <w:spacing w:val="-6"/>
        </w:rPr>
        <w:t> </w:t>
      </w:r>
      <w:r>
        <w:rPr>
          <w:color w:val="231F20"/>
          <w:spacing w:val="-4"/>
        </w:rPr>
        <w:t>Il érige</w:t>
      </w:r>
      <w:r>
        <w:rPr>
          <w:color w:val="231F20"/>
          <w:spacing w:val="-6"/>
        </w:rPr>
        <w:t> </w:t>
      </w:r>
      <w:r>
        <w:rPr>
          <w:color w:val="231F20"/>
          <w:spacing w:val="-4"/>
        </w:rPr>
        <w:t>l’autosuffisance</w:t>
      </w:r>
      <w:r>
        <w:rPr>
          <w:color w:val="231F20"/>
          <w:spacing w:val="-6"/>
        </w:rPr>
        <w:t> </w:t>
      </w:r>
      <w:r>
        <w:rPr>
          <w:color w:val="231F20"/>
          <w:spacing w:val="-4"/>
        </w:rPr>
        <w:t>alimentaire,</w:t>
      </w:r>
      <w:r>
        <w:rPr>
          <w:color w:val="231F20"/>
          <w:spacing w:val="-8"/>
        </w:rPr>
        <w:t> </w:t>
      </w:r>
      <w:r>
        <w:rPr>
          <w:color w:val="231F20"/>
          <w:spacing w:val="-4"/>
        </w:rPr>
        <w:t>l’Éducation, </w:t>
      </w:r>
      <w:r>
        <w:rPr>
          <w:color w:val="231F20"/>
        </w:rPr>
        <w:t>la</w:t>
      </w:r>
      <w:r>
        <w:rPr>
          <w:color w:val="231F20"/>
          <w:spacing w:val="-10"/>
        </w:rPr>
        <w:t> </w:t>
      </w:r>
      <w:r>
        <w:rPr>
          <w:color w:val="231F20"/>
        </w:rPr>
        <w:t>Santé</w:t>
      </w:r>
      <w:r>
        <w:rPr>
          <w:color w:val="231F20"/>
          <w:spacing w:val="-10"/>
        </w:rPr>
        <w:t> </w:t>
      </w:r>
      <w:r>
        <w:rPr>
          <w:color w:val="231F20"/>
        </w:rPr>
        <w:t>et</w:t>
      </w:r>
      <w:r>
        <w:rPr>
          <w:color w:val="231F20"/>
          <w:spacing w:val="-11"/>
        </w:rPr>
        <w:t> </w:t>
      </w:r>
      <w:r>
        <w:rPr>
          <w:color w:val="231F20"/>
        </w:rPr>
        <w:t>la</w:t>
      </w:r>
      <w:r>
        <w:rPr>
          <w:color w:val="231F20"/>
          <w:spacing w:val="-11"/>
        </w:rPr>
        <w:t> </w:t>
      </w:r>
      <w:r>
        <w:rPr>
          <w:color w:val="231F20"/>
        </w:rPr>
        <w:t>Promotion</w:t>
      </w:r>
      <w:r>
        <w:rPr>
          <w:color w:val="231F20"/>
          <w:spacing w:val="-11"/>
        </w:rPr>
        <w:t> </w:t>
      </w:r>
      <w:r>
        <w:rPr>
          <w:color w:val="231F20"/>
        </w:rPr>
        <w:t>de</w:t>
      </w:r>
      <w:r>
        <w:rPr>
          <w:color w:val="231F20"/>
          <w:spacing w:val="-10"/>
        </w:rPr>
        <w:t> </w:t>
      </w:r>
      <w:r>
        <w:rPr>
          <w:color w:val="231F20"/>
        </w:rPr>
        <w:t>la</w:t>
      </w:r>
      <w:r>
        <w:rPr>
          <w:color w:val="231F20"/>
          <w:spacing w:val="-10"/>
        </w:rPr>
        <w:t> </w:t>
      </w:r>
      <w:r>
        <w:rPr>
          <w:color w:val="231F20"/>
        </w:rPr>
        <w:t>femme</w:t>
      </w:r>
      <w:r>
        <w:rPr>
          <w:color w:val="231F20"/>
          <w:spacing w:val="-10"/>
        </w:rPr>
        <w:t> </w:t>
      </w:r>
      <w:r>
        <w:rPr>
          <w:color w:val="231F20"/>
        </w:rPr>
        <w:t>en</w:t>
      </w:r>
      <w:r>
        <w:rPr>
          <w:color w:val="231F20"/>
          <w:spacing w:val="-9"/>
        </w:rPr>
        <w:t> </w:t>
      </w:r>
      <w:r>
        <w:rPr>
          <w:color w:val="231F20"/>
        </w:rPr>
        <w:t>priorités</w:t>
      </w:r>
      <w:r>
        <w:rPr>
          <w:color w:val="231F20"/>
          <w:spacing w:val="-11"/>
        </w:rPr>
        <w:t> </w:t>
      </w:r>
      <w:r>
        <w:rPr>
          <w:color w:val="231F20"/>
        </w:rPr>
        <w:t>et</w:t>
      </w:r>
      <w:r>
        <w:rPr>
          <w:color w:val="231F20"/>
          <w:spacing w:val="-9"/>
        </w:rPr>
        <w:t> </w:t>
      </w:r>
      <w:r>
        <w:rPr>
          <w:color w:val="231F20"/>
        </w:rPr>
        <w:t>obtient</w:t>
      </w:r>
      <w:r>
        <w:rPr>
          <w:color w:val="231F20"/>
          <w:spacing w:val="-7"/>
        </w:rPr>
        <w:t> </w:t>
      </w:r>
      <w:r>
        <w:rPr>
          <w:color w:val="231F20"/>
        </w:rPr>
        <w:t>des</w:t>
      </w:r>
      <w:r>
        <w:rPr>
          <w:color w:val="231F20"/>
          <w:spacing w:val="-9"/>
        </w:rPr>
        <w:t> </w:t>
      </w:r>
      <w:r>
        <w:rPr>
          <w:color w:val="231F20"/>
        </w:rPr>
        <w:t>résultats probants.</w:t>
      </w:r>
      <w:r>
        <w:rPr>
          <w:color w:val="231F20"/>
          <w:spacing w:val="-15"/>
        </w:rPr>
        <w:t> </w:t>
      </w:r>
      <w:r>
        <w:rPr>
          <w:color w:val="231F20"/>
        </w:rPr>
        <w:t>Le</w:t>
      </w:r>
      <w:r>
        <w:rPr>
          <w:color w:val="231F20"/>
          <w:spacing w:val="-15"/>
        </w:rPr>
        <w:t> </w:t>
      </w:r>
      <w:r>
        <w:rPr>
          <w:color w:val="231F20"/>
        </w:rPr>
        <w:t>15</w:t>
      </w:r>
      <w:r>
        <w:rPr>
          <w:color w:val="231F20"/>
          <w:spacing w:val="-15"/>
        </w:rPr>
        <w:t> </w:t>
      </w:r>
      <w:r>
        <w:rPr>
          <w:color w:val="231F20"/>
        </w:rPr>
        <w:t>octobre</w:t>
      </w:r>
      <w:r>
        <w:rPr>
          <w:color w:val="231F20"/>
          <w:spacing w:val="-15"/>
        </w:rPr>
        <w:t> </w:t>
      </w:r>
      <w:r>
        <w:rPr>
          <w:color w:val="231F20"/>
        </w:rPr>
        <w:t>1987,</w:t>
      </w:r>
      <w:r>
        <w:rPr>
          <w:color w:val="231F20"/>
          <w:spacing w:val="-14"/>
        </w:rPr>
        <w:t> </w:t>
      </w:r>
      <w:r>
        <w:rPr>
          <w:color w:val="231F20"/>
        </w:rPr>
        <w:t>il</w:t>
      </w:r>
      <w:r>
        <w:rPr>
          <w:color w:val="231F20"/>
          <w:spacing w:val="-12"/>
        </w:rPr>
        <w:t> </w:t>
      </w:r>
      <w:r>
        <w:rPr>
          <w:color w:val="231F20"/>
        </w:rPr>
        <w:t>est</w:t>
      </w:r>
      <w:r>
        <w:rPr>
          <w:color w:val="231F20"/>
          <w:spacing w:val="-14"/>
        </w:rPr>
        <w:t> </w:t>
      </w:r>
      <w:r>
        <w:rPr>
          <w:color w:val="231F20"/>
        </w:rPr>
        <w:t>assassiné</w:t>
      </w:r>
      <w:r>
        <w:rPr>
          <w:color w:val="231F20"/>
          <w:spacing w:val="-15"/>
        </w:rPr>
        <w:t> </w:t>
      </w:r>
      <w:r>
        <w:rPr>
          <w:color w:val="231F20"/>
        </w:rPr>
        <w:t>par</w:t>
      </w:r>
      <w:r>
        <w:rPr>
          <w:color w:val="231F20"/>
          <w:spacing w:val="-14"/>
        </w:rPr>
        <w:t> </w:t>
      </w:r>
      <w:r>
        <w:rPr>
          <w:color w:val="231F20"/>
        </w:rPr>
        <w:t>«</w:t>
      </w:r>
      <w:r>
        <w:rPr>
          <w:color w:val="231F20"/>
          <w:spacing w:val="-15"/>
        </w:rPr>
        <w:t> </w:t>
      </w:r>
      <w:r>
        <w:rPr>
          <w:color w:val="231F20"/>
        </w:rPr>
        <w:t>ses</w:t>
      </w:r>
      <w:r>
        <w:rPr>
          <w:color w:val="231F20"/>
          <w:spacing w:val="-13"/>
        </w:rPr>
        <w:t> </w:t>
      </w:r>
      <w:r>
        <w:rPr>
          <w:color w:val="231F20"/>
        </w:rPr>
        <w:t>amis</w:t>
      </w:r>
      <w:r>
        <w:rPr>
          <w:color w:val="231F20"/>
          <w:spacing w:val="-15"/>
        </w:rPr>
        <w:t> </w:t>
      </w:r>
      <w:r>
        <w:rPr>
          <w:color w:val="231F20"/>
        </w:rPr>
        <w:t>»</w:t>
      </w:r>
      <w:r>
        <w:rPr>
          <w:color w:val="231F20"/>
          <w:spacing w:val="-15"/>
        </w:rPr>
        <w:t> </w:t>
      </w:r>
      <w:r>
        <w:rPr>
          <w:color w:val="231F20"/>
        </w:rPr>
        <w:t>militaires. </w:t>
      </w:r>
      <w:r>
        <w:rPr>
          <w:color w:val="231F20"/>
          <w:spacing w:val="-4"/>
        </w:rPr>
        <w:t>Son</w:t>
      </w:r>
      <w:r>
        <w:rPr>
          <w:color w:val="231F20"/>
          <w:spacing w:val="-11"/>
        </w:rPr>
        <w:t> </w:t>
      </w:r>
      <w:r>
        <w:rPr>
          <w:color w:val="231F20"/>
          <w:spacing w:val="-4"/>
        </w:rPr>
        <w:t>plus</w:t>
      </w:r>
      <w:r>
        <w:rPr>
          <w:color w:val="231F20"/>
          <w:spacing w:val="-11"/>
        </w:rPr>
        <w:t> </w:t>
      </w:r>
      <w:r>
        <w:rPr>
          <w:color w:val="231F20"/>
          <w:spacing w:val="-4"/>
        </w:rPr>
        <w:t>proche</w:t>
      </w:r>
      <w:r>
        <w:rPr>
          <w:color w:val="231F20"/>
          <w:spacing w:val="-11"/>
        </w:rPr>
        <w:t> </w:t>
      </w:r>
      <w:r>
        <w:rPr>
          <w:color w:val="231F20"/>
          <w:spacing w:val="-4"/>
        </w:rPr>
        <w:t>ami</w:t>
      </w:r>
      <w:r>
        <w:rPr>
          <w:color w:val="231F20"/>
          <w:spacing w:val="-9"/>
        </w:rPr>
        <w:t> </w:t>
      </w:r>
      <w:r>
        <w:rPr>
          <w:color w:val="231F20"/>
          <w:spacing w:val="-4"/>
        </w:rPr>
        <w:t>et</w:t>
      </w:r>
      <w:r>
        <w:rPr>
          <w:color w:val="231F20"/>
          <w:spacing w:val="-7"/>
        </w:rPr>
        <w:t> </w:t>
      </w:r>
      <w:r>
        <w:rPr>
          <w:color w:val="231F20"/>
          <w:spacing w:val="-4"/>
        </w:rPr>
        <w:t>collaborateur,</w:t>
      </w:r>
      <w:r>
        <w:rPr>
          <w:color w:val="231F20"/>
          <w:spacing w:val="-11"/>
        </w:rPr>
        <w:t> </w:t>
      </w:r>
      <w:r>
        <w:rPr>
          <w:color w:val="231F20"/>
          <w:spacing w:val="-4"/>
        </w:rPr>
        <w:t>le</w:t>
      </w:r>
      <w:r>
        <w:rPr>
          <w:color w:val="231F20"/>
          <w:spacing w:val="-10"/>
        </w:rPr>
        <w:t> </w:t>
      </w:r>
      <w:r>
        <w:rPr>
          <w:color w:val="231F20"/>
          <w:spacing w:val="-4"/>
        </w:rPr>
        <w:t>Capitaine</w:t>
      </w:r>
      <w:r>
        <w:rPr>
          <w:color w:val="231F20"/>
          <w:spacing w:val="-11"/>
        </w:rPr>
        <w:t> </w:t>
      </w:r>
      <w:r>
        <w:rPr>
          <w:color w:val="231F20"/>
          <w:spacing w:val="-4"/>
        </w:rPr>
        <w:t>Blaise</w:t>
      </w:r>
      <w:r>
        <w:rPr>
          <w:color w:val="231F20"/>
          <w:spacing w:val="-10"/>
        </w:rPr>
        <w:t> </w:t>
      </w:r>
      <w:r>
        <w:rPr>
          <w:color w:val="231F20"/>
          <w:spacing w:val="-4"/>
        </w:rPr>
        <w:t>Compaoré</w:t>
      </w:r>
      <w:r>
        <w:rPr>
          <w:color w:val="231F20"/>
          <w:spacing w:val="-11"/>
        </w:rPr>
        <w:t> </w:t>
      </w:r>
      <w:r>
        <w:rPr>
          <w:color w:val="231F20"/>
          <w:spacing w:val="-4"/>
        </w:rPr>
        <w:t>prend </w:t>
      </w:r>
      <w:r>
        <w:rPr>
          <w:color w:val="231F20"/>
        </w:rPr>
        <w:t>le pouvoir. Après son accession à la tête de l’État, deux de ses anciens compagnons dans le gouvernement de Sankara, les Capitaines Henri Zongo et Jean-Baptiste Boukary Lingana sont éliminés</w:t>
      </w:r>
      <w:r>
        <w:rPr>
          <w:color w:val="231F20"/>
          <w:spacing w:val="-14"/>
        </w:rPr>
        <w:t> </w:t>
      </w:r>
      <w:r>
        <w:rPr>
          <w:color w:val="231F20"/>
        </w:rPr>
        <w:t>:</w:t>
      </w:r>
      <w:r>
        <w:rPr>
          <w:i/>
          <w:color w:val="231F20"/>
        </w:rPr>
        <w:t>«</w:t>
      </w:r>
      <w:r>
        <w:rPr>
          <w:i/>
          <w:color w:val="231F20"/>
          <w:spacing w:val="-14"/>
        </w:rPr>
        <w:t> </w:t>
      </w:r>
      <w:r>
        <w:rPr>
          <w:i/>
          <w:color w:val="231F20"/>
        </w:rPr>
        <w:t>Il y a des</w:t>
      </w:r>
      <w:r>
        <w:rPr>
          <w:i/>
          <w:color w:val="231F20"/>
        </w:rPr>
        <w:t> actualités</w:t>
      </w:r>
      <w:r>
        <w:rPr>
          <w:i/>
          <w:color w:val="231F20"/>
          <w:spacing w:val="-8"/>
        </w:rPr>
        <w:t> </w:t>
      </w:r>
      <w:r>
        <w:rPr>
          <w:i/>
          <w:color w:val="231F20"/>
        </w:rPr>
        <w:t>qui</w:t>
      </w:r>
      <w:r>
        <w:rPr>
          <w:i/>
          <w:color w:val="231F20"/>
          <w:spacing w:val="-8"/>
        </w:rPr>
        <w:t> </w:t>
      </w:r>
      <w:r>
        <w:rPr>
          <w:i/>
          <w:color w:val="231F20"/>
        </w:rPr>
        <w:t>remettent</w:t>
      </w:r>
      <w:r>
        <w:rPr>
          <w:i/>
          <w:color w:val="231F20"/>
          <w:spacing w:val="-8"/>
        </w:rPr>
        <w:t> </w:t>
      </w:r>
      <w:r>
        <w:rPr>
          <w:i/>
          <w:color w:val="231F20"/>
        </w:rPr>
        <w:t>au</w:t>
      </w:r>
      <w:r>
        <w:rPr>
          <w:i/>
          <w:color w:val="231F20"/>
          <w:spacing w:val="-9"/>
        </w:rPr>
        <w:t> </w:t>
      </w:r>
      <w:r>
        <w:rPr>
          <w:i/>
          <w:color w:val="231F20"/>
        </w:rPr>
        <w:t>goût</w:t>
      </w:r>
      <w:r>
        <w:rPr>
          <w:i/>
          <w:color w:val="231F20"/>
          <w:spacing w:val="-8"/>
        </w:rPr>
        <w:t> </w:t>
      </w:r>
      <w:r>
        <w:rPr>
          <w:i/>
          <w:color w:val="231F20"/>
        </w:rPr>
        <w:t>du</w:t>
      </w:r>
      <w:r>
        <w:rPr>
          <w:i/>
          <w:color w:val="231F20"/>
          <w:spacing w:val="-11"/>
        </w:rPr>
        <w:t> </w:t>
      </w:r>
      <w:r>
        <w:rPr>
          <w:i/>
          <w:color w:val="231F20"/>
        </w:rPr>
        <w:t>jour</w:t>
      </w:r>
      <w:r>
        <w:rPr>
          <w:i/>
          <w:color w:val="231F20"/>
          <w:spacing w:val="-11"/>
        </w:rPr>
        <w:t> </w:t>
      </w:r>
      <w:r>
        <w:rPr>
          <w:i/>
          <w:color w:val="231F20"/>
        </w:rPr>
        <w:t>l’Histoire</w:t>
      </w:r>
      <w:r>
        <w:rPr>
          <w:i/>
          <w:color w:val="231F20"/>
          <w:spacing w:val="-11"/>
        </w:rPr>
        <w:t> </w:t>
      </w:r>
      <w:r>
        <w:rPr>
          <w:i/>
          <w:color w:val="231F20"/>
        </w:rPr>
        <w:t>et</w:t>
      </w:r>
      <w:r>
        <w:rPr>
          <w:i/>
          <w:color w:val="231F20"/>
          <w:spacing w:val="-9"/>
        </w:rPr>
        <w:t> </w:t>
      </w:r>
      <w:r>
        <w:rPr>
          <w:i/>
          <w:color w:val="231F20"/>
        </w:rPr>
        <w:t>ses</w:t>
      </w:r>
      <w:r>
        <w:rPr>
          <w:i/>
          <w:color w:val="231F20"/>
          <w:spacing w:val="-9"/>
        </w:rPr>
        <w:t> </w:t>
      </w:r>
      <w:r>
        <w:rPr>
          <w:i/>
          <w:color w:val="231F20"/>
        </w:rPr>
        <w:t>drames</w:t>
      </w:r>
      <w:r>
        <w:rPr>
          <w:i/>
          <w:color w:val="231F20"/>
          <w:spacing w:val="-9"/>
        </w:rPr>
        <w:t> </w:t>
      </w:r>
      <w:r>
        <w:rPr>
          <w:i/>
          <w:color w:val="231F20"/>
        </w:rPr>
        <w:t>rangés </w:t>
      </w:r>
      <w:r>
        <w:rPr>
          <w:i/>
          <w:color w:val="231F20"/>
          <w:spacing w:val="-2"/>
        </w:rPr>
        <w:t>dans</w:t>
      </w:r>
      <w:r>
        <w:rPr>
          <w:i/>
          <w:color w:val="231F20"/>
          <w:spacing w:val="-13"/>
        </w:rPr>
        <w:t> </w:t>
      </w:r>
      <w:r>
        <w:rPr>
          <w:i/>
          <w:color w:val="231F20"/>
          <w:spacing w:val="-2"/>
        </w:rPr>
        <w:t>les</w:t>
      </w:r>
      <w:r>
        <w:rPr>
          <w:i/>
          <w:color w:val="231F20"/>
          <w:spacing w:val="-13"/>
        </w:rPr>
        <w:t> </w:t>
      </w:r>
      <w:r>
        <w:rPr>
          <w:i/>
          <w:color w:val="231F20"/>
          <w:spacing w:val="-2"/>
        </w:rPr>
        <w:t>placards(…)</w:t>
      </w:r>
      <w:r>
        <w:rPr>
          <w:i/>
          <w:color w:val="231F20"/>
          <w:spacing w:val="-13"/>
        </w:rPr>
        <w:t> </w:t>
      </w:r>
      <w:r>
        <w:rPr>
          <w:i/>
          <w:color w:val="231F20"/>
          <w:spacing w:val="-2"/>
        </w:rPr>
        <w:t>Au</w:t>
      </w:r>
      <w:r>
        <w:rPr>
          <w:i/>
          <w:color w:val="231F20"/>
          <w:spacing w:val="-13"/>
        </w:rPr>
        <w:t> </w:t>
      </w:r>
      <w:r>
        <w:rPr>
          <w:i/>
          <w:color w:val="231F20"/>
          <w:spacing w:val="-2"/>
        </w:rPr>
        <w:t>début</w:t>
      </w:r>
      <w:r>
        <w:rPr>
          <w:i/>
          <w:color w:val="231F20"/>
          <w:spacing w:val="-13"/>
        </w:rPr>
        <w:t> </w:t>
      </w:r>
      <w:r>
        <w:rPr>
          <w:i/>
          <w:color w:val="231F20"/>
          <w:spacing w:val="-2"/>
        </w:rPr>
        <w:t>de</w:t>
      </w:r>
      <w:r>
        <w:rPr>
          <w:i/>
          <w:color w:val="231F20"/>
          <w:spacing w:val="-13"/>
        </w:rPr>
        <w:t> </w:t>
      </w:r>
      <w:r>
        <w:rPr>
          <w:i/>
          <w:color w:val="231F20"/>
          <w:spacing w:val="-2"/>
        </w:rPr>
        <w:t>l’aventure,</w:t>
      </w:r>
      <w:r>
        <w:rPr>
          <w:i/>
          <w:color w:val="231F20"/>
          <w:spacing w:val="-13"/>
        </w:rPr>
        <w:t> </w:t>
      </w:r>
      <w:r>
        <w:rPr>
          <w:i/>
          <w:color w:val="231F20"/>
          <w:spacing w:val="-2"/>
        </w:rPr>
        <w:t>était</w:t>
      </w:r>
      <w:r>
        <w:rPr>
          <w:i/>
          <w:color w:val="231F20"/>
          <w:spacing w:val="-13"/>
        </w:rPr>
        <w:t> </w:t>
      </w:r>
      <w:r>
        <w:rPr>
          <w:i/>
          <w:color w:val="231F20"/>
          <w:spacing w:val="-2"/>
        </w:rPr>
        <w:t>l’amitié</w:t>
      </w:r>
      <w:r>
        <w:rPr>
          <w:i/>
          <w:color w:val="231F20"/>
          <w:spacing w:val="-13"/>
        </w:rPr>
        <w:t> </w:t>
      </w:r>
      <w:r>
        <w:rPr>
          <w:i/>
          <w:color w:val="231F20"/>
          <w:spacing w:val="-2"/>
        </w:rPr>
        <w:t>entre</w:t>
      </w:r>
      <w:r>
        <w:rPr>
          <w:i/>
          <w:color w:val="231F20"/>
          <w:spacing w:val="-13"/>
        </w:rPr>
        <w:t> </w:t>
      </w:r>
      <w:r>
        <w:rPr>
          <w:i/>
          <w:color w:val="231F20"/>
          <w:spacing w:val="-2"/>
        </w:rPr>
        <w:t>Thomas</w:t>
      </w:r>
    </w:p>
    <w:p>
      <w:pPr>
        <w:spacing w:after="0"/>
        <w:sectPr>
          <w:pgSz w:w="8790" w:h="13610"/>
          <w:pgMar w:header="0" w:footer="802" w:top="1060" w:bottom="1000" w:left="880" w:right="880"/>
        </w:sectPr>
      </w:pPr>
    </w:p>
    <w:p>
      <w:pPr>
        <w:spacing w:before="66"/>
        <w:ind w:left="111" w:right="105" w:firstLine="0"/>
        <w:jc w:val="both"/>
        <w:rPr>
          <w:i/>
          <w:sz w:val="24"/>
        </w:rPr>
      </w:pPr>
      <w:r>
        <w:rPr>
          <w:i/>
          <w:color w:val="231F20"/>
          <w:sz w:val="24"/>
        </w:rPr>
        <w:t>et Blaise.Compaoré se lie à Sankara sur la ligne de front lors de la </w:t>
      </w:r>
      <w:r>
        <w:rPr>
          <w:color w:val="231F20"/>
          <w:sz w:val="24"/>
        </w:rPr>
        <w:t>« </w:t>
      </w:r>
      <w:r>
        <w:rPr>
          <w:i/>
          <w:color w:val="231F20"/>
          <w:spacing w:val="-2"/>
          <w:sz w:val="28"/>
        </w:rPr>
        <w:t>première</w:t>
      </w:r>
      <w:r>
        <w:rPr>
          <w:i/>
          <w:color w:val="231F20"/>
          <w:spacing w:val="-16"/>
          <w:sz w:val="28"/>
        </w:rPr>
        <w:t> </w:t>
      </w:r>
      <w:r>
        <w:rPr>
          <w:i/>
          <w:color w:val="231F20"/>
          <w:spacing w:val="-2"/>
          <w:sz w:val="28"/>
        </w:rPr>
        <w:t>guerre</w:t>
      </w:r>
      <w:r>
        <w:rPr>
          <w:i/>
          <w:color w:val="231F20"/>
          <w:spacing w:val="-12"/>
          <w:sz w:val="28"/>
        </w:rPr>
        <w:t> </w:t>
      </w:r>
      <w:r>
        <w:rPr>
          <w:i/>
          <w:color w:val="231F20"/>
          <w:spacing w:val="-2"/>
          <w:sz w:val="28"/>
        </w:rPr>
        <w:t>des</w:t>
      </w:r>
      <w:r>
        <w:rPr>
          <w:i/>
          <w:color w:val="231F20"/>
          <w:spacing w:val="-11"/>
          <w:sz w:val="28"/>
        </w:rPr>
        <w:t> </w:t>
      </w:r>
      <w:r>
        <w:rPr>
          <w:i/>
          <w:color w:val="231F20"/>
          <w:spacing w:val="-2"/>
          <w:sz w:val="28"/>
        </w:rPr>
        <w:t>pauvres</w:t>
      </w:r>
      <w:r>
        <w:rPr>
          <w:i/>
          <w:color w:val="231F20"/>
          <w:spacing w:val="-16"/>
          <w:sz w:val="28"/>
        </w:rPr>
        <w:t> </w:t>
      </w:r>
      <w:r>
        <w:rPr>
          <w:color w:val="231F20"/>
          <w:spacing w:val="-2"/>
          <w:sz w:val="24"/>
        </w:rPr>
        <w:t>»</w:t>
      </w:r>
      <w:r>
        <w:rPr>
          <w:color w:val="231F20"/>
          <w:spacing w:val="-11"/>
          <w:sz w:val="24"/>
        </w:rPr>
        <w:t> </w:t>
      </w:r>
      <w:r>
        <w:rPr>
          <w:i/>
          <w:color w:val="231F20"/>
          <w:spacing w:val="-2"/>
          <w:sz w:val="24"/>
        </w:rPr>
        <w:t>entre</w:t>
      </w:r>
      <w:r>
        <w:rPr>
          <w:i/>
          <w:color w:val="231F20"/>
          <w:spacing w:val="-9"/>
          <w:sz w:val="24"/>
        </w:rPr>
        <w:t> </w:t>
      </w:r>
      <w:r>
        <w:rPr>
          <w:i/>
          <w:color w:val="231F20"/>
          <w:spacing w:val="-2"/>
          <w:sz w:val="24"/>
        </w:rPr>
        <w:t>le</w:t>
      </w:r>
      <w:r>
        <w:rPr>
          <w:i/>
          <w:color w:val="231F20"/>
          <w:spacing w:val="-12"/>
          <w:sz w:val="24"/>
        </w:rPr>
        <w:t> </w:t>
      </w:r>
      <w:r>
        <w:rPr>
          <w:i/>
          <w:color w:val="231F20"/>
          <w:spacing w:val="-2"/>
          <w:sz w:val="24"/>
        </w:rPr>
        <w:t>Mali</w:t>
      </w:r>
      <w:r>
        <w:rPr>
          <w:i/>
          <w:color w:val="231F20"/>
          <w:spacing w:val="-9"/>
          <w:sz w:val="24"/>
        </w:rPr>
        <w:t> </w:t>
      </w:r>
      <w:r>
        <w:rPr>
          <w:i/>
          <w:color w:val="231F20"/>
          <w:spacing w:val="-2"/>
          <w:sz w:val="24"/>
        </w:rPr>
        <w:t>de</w:t>
      </w:r>
      <w:r>
        <w:rPr>
          <w:i/>
          <w:color w:val="231F20"/>
          <w:spacing w:val="-12"/>
          <w:sz w:val="24"/>
        </w:rPr>
        <w:t> </w:t>
      </w:r>
      <w:r>
        <w:rPr>
          <w:i/>
          <w:color w:val="231F20"/>
          <w:spacing w:val="-2"/>
          <w:sz w:val="24"/>
        </w:rPr>
        <w:t>Moussa</w:t>
      </w:r>
      <w:r>
        <w:rPr>
          <w:i/>
          <w:color w:val="231F20"/>
          <w:spacing w:val="-12"/>
          <w:sz w:val="24"/>
        </w:rPr>
        <w:t> </w:t>
      </w:r>
      <w:r>
        <w:rPr>
          <w:i/>
          <w:color w:val="231F20"/>
          <w:spacing w:val="-2"/>
          <w:sz w:val="24"/>
        </w:rPr>
        <w:t>Traoré</w:t>
      </w:r>
      <w:r>
        <w:rPr>
          <w:i/>
          <w:color w:val="231F20"/>
          <w:spacing w:val="-9"/>
          <w:sz w:val="24"/>
        </w:rPr>
        <w:t> </w:t>
      </w:r>
      <w:r>
        <w:rPr>
          <w:i/>
          <w:color w:val="231F20"/>
          <w:spacing w:val="-2"/>
          <w:sz w:val="24"/>
        </w:rPr>
        <w:t>et</w:t>
      </w:r>
      <w:r>
        <w:rPr>
          <w:i/>
          <w:color w:val="231F20"/>
          <w:spacing w:val="-11"/>
          <w:sz w:val="24"/>
        </w:rPr>
        <w:t> </w:t>
      </w:r>
      <w:r>
        <w:rPr>
          <w:i/>
          <w:color w:val="231F20"/>
          <w:spacing w:val="-2"/>
          <w:sz w:val="24"/>
        </w:rPr>
        <w:t>la</w:t>
      </w:r>
      <w:r>
        <w:rPr>
          <w:i/>
          <w:color w:val="231F20"/>
          <w:spacing w:val="-2"/>
          <w:sz w:val="24"/>
        </w:rPr>
        <w:t> </w:t>
      </w:r>
      <w:r>
        <w:rPr>
          <w:i/>
          <w:color w:val="231F20"/>
          <w:sz w:val="24"/>
        </w:rPr>
        <w:t>Haute</w:t>
      </w:r>
      <w:r>
        <w:rPr>
          <w:i/>
          <w:color w:val="231F20"/>
          <w:spacing w:val="-8"/>
          <w:sz w:val="24"/>
        </w:rPr>
        <w:t> </w:t>
      </w:r>
      <w:r>
        <w:rPr>
          <w:i/>
          <w:color w:val="231F20"/>
          <w:sz w:val="24"/>
        </w:rPr>
        <w:t>Volta</w:t>
      </w:r>
      <w:r>
        <w:rPr>
          <w:i/>
          <w:color w:val="231F20"/>
          <w:spacing w:val="-8"/>
          <w:sz w:val="24"/>
        </w:rPr>
        <w:t> </w:t>
      </w:r>
      <w:r>
        <w:rPr>
          <w:i/>
          <w:color w:val="231F20"/>
          <w:sz w:val="24"/>
        </w:rPr>
        <w:t>de</w:t>
      </w:r>
      <w:r>
        <w:rPr>
          <w:i/>
          <w:color w:val="231F20"/>
          <w:spacing w:val="-8"/>
          <w:sz w:val="24"/>
        </w:rPr>
        <w:t> </w:t>
      </w:r>
      <w:r>
        <w:rPr>
          <w:i/>
          <w:color w:val="231F20"/>
          <w:sz w:val="24"/>
        </w:rPr>
        <w:t>Sangoulé</w:t>
      </w:r>
      <w:r>
        <w:rPr>
          <w:i/>
          <w:color w:val="231F20"/>
          <w:spacing w:val="-8"/>
          <w:sz w:val="24"/>
        </w:rPr>
        <w:t> </w:t>
      </w:r>
      <w:r>
        <w:rPr>
          <w:i/>
          <w:color w:val="231F20"/>
          <w:sz w:val="24"/>
        </w:rPr>
        <w:t>Lamizana,</w:t>
      </w:r>
      <w:r>
        <w:rPr>
          <w:i/>
          <w:color w:val="231F20"/>
          <w:spacing w:val="-8"/>
          <w:sz w:val="24"/>
        </w:rPr>
        <w:t> </w:t>
      </w:r>
      <w:r>
        <w:rPr>
          <w:i/>
          <w:color w:val="231F20"/>
          <w:sz w:val="24"/>
        </w:rPr>
        <w:t>durant</w:t>
      </w:r>
      <w:r>
        <w:rPr>
          <w:i/>
          <w:color w:val="231F20"/>
          <w:spacing w:val="-7"/>
          <w:sz w:val="24"/>
        </w:rPr>
        <w:t> </w:t>
      </w:r>
      <w:r>
        <w:rPr>
          <w:i/>
          <w:color w:val="231F20"/>
          <w:sz w:val="24"/>
        </w:rPr>
        <w:t>laquelle</w:t>
      </w:r>
      <w:r>
        <w:rPr>
          <w:i/>
          <w:color w:val="231F20"/>
          <w:spacing w:val="-6"/>
          <w:sz w:val="24"/>
        </w:rPr>
        <w:t> </w:t>
      </w:r>
      <w:r>
        <w:rPr>
          <w:i/>
          <w:color w:val="231F20"/>
          <w:sz w:val="24"/>
        </w:rPr>
        <w:t>Sankara</w:t>
      </w:r>
      <w:r>
        <w:rPr>
          <w:i/>
          <w:color w:val="231F20"/>
          <w:spacing w:val="-8"/>
          <w:sz w:val="24"/>
        </w:rPr>
        <w:t> </w:t>
      </w:r>
      <w:r>
        <w:rPr>
          <w:i/>
          <w:color w:val="231F20"/>
          <w:sz w:val="24"/>
        </w:rPr>
        <w:t>se</w:t>
      </w:r>
      <w:r>
        <w:rPr>
          <w:i/>
          <w:color w:val="231F20"/>
          <w:spacing w:val="-8"/>
          <w:sz w:val="24"/>
        </w:rPr>
        <w:t> </w:t>
      </w:r>
      <w:r>
        <w:rPr>
          <w:i/>
          <w:color w:val="231F20"/>
          <w:sz w:val="24"/>
        </w:rPr>
        <w:t>couvre de gloire. Ils deviennent inséparables (…)</w:t>
      </w:r>
    </w:p>
    <w:p>
      <w:pPr>
        <w:pStyle w:val="BodyText"/>
        <w:spacing w:before="120"/>
        <w:ind w:right="103" w:firstLine="283"/>
      </w:pPr>
      <w:r>
        <w:rPr>
          <w:color w:val="231F20"/>
        </w:rPr>
        <w:t>Lorsqu’il</w:t>
      </w:r>
      <w:r>
        <w:rPr>
          <w:color w:val="231F20"/>
          <w:spacing w:val="-3"/>
        </w:rPr>
        <w:t> </w:t>
      </w:r>
      <w:r>
        <w:rPr>
          <w:color w:val="231F20"/>
        </w:rPr>
        <w:t>est</w:t>
      </w:r>
      <w:r>
        <w:rPr>
          <w:color w:val="231F20"/>
          <w:spacing w:val="-5"/>
        </w:rPr>
        <w:t> </w:t>
      </w:r>
      <w:r>
        <w:rPr>
          <w:color w:val="231F20"/>
        </w:rPr>
        <w:t>nommé</w:t>
      </w:r>
      <w:r>
        <w:rPr>
          <w:color w:val="231F20"/>
          <w:spacing w:val="-6"/>
        </w:rPr>
        <w:t> </w:t>
      </w:r>
      <w:r>
        <w:rPr>
          <w:color w:val="231F20"/>
        </w:rPr>
        <w:t>secrétaire</w:t>
      </w:r>
      <w:r>
        <w:rPr>
          <w:color w:val="231F20"/>
          <w:spacing w:val="-5"/>
        </w:rPr>
        <w:t> </w:t>
      </w:r>
      <w:r>
        <w:rPr>
          <w:color w:val="231F20"/>
        </w:rPr>
        <w:t>d’État</w:t>
      </w:r>
      <w:r>
        <w:rPr>
          <w:color w:val="231F20"/>
          <w:spacing w:val="-3"/>
        </w:rPr>
        <w:t> </w:t>
      </w:r>
      <w:r>
        <w:rPr>
          <w:color w:val="231F20"/>
        </w:rPr>
        <w:t>en</w:t>
      </w:r>
      <w:r>
        <w:rPr>
          <w:color w:val="231F20"/>
          <w:spacing w:val="-4"/>
        </w:rPr>
        <w:t> </w:t>
      </w:r>
      <w:r>
        <w:rPr>
          <w:color w:val="231F20"/>
        </w:rPr>
        <w:t>1980,</w:t>
      </w:r>
      <w:r>
        <w:rPr>
          <w:color w:val="231F20"/>
          <w:spacing w:val="-6"/>
        </w:rPr>
        <w:t> </w:t>
      </w:r>
      <w:r>
        <w:rPr>
          <w:color w:val="231F20"/>
        </w:rPr>
        <w:t>Sankara</w:t>
      </w:r>
      <w:r>
        <w:rPr>
          <w:color w:val="231F20"/>
          <w:spacing w:val="-5"/>
        </w:rPr>
        <w:t> </w:t>
      </w:r>
      <w:r>
        <w:rPr>
          <w:color w:val="231F20"/>
        </w:rPr>
        <w:t>s’illustre</w:t>
      </w:r>
      <w:r>
        <w:rPr>
          <w:color w:val="231F20"/>
          <w:spacing w:val="-6"/>
        </w:rPr>
        <w:t> </w:t>
      </w:r>
      <w:r>
        <w:rPr>
          <w:color w:val="231F20"/>
        </w:rPr>
        <w:t>en </w:t>
      </w:r>
      <w:r>
        <w:rPr>
          <w:color w:val="231F20"/>
          <w:spacing w:val="-4"/>
        </w:rPr>
        <w:t>fixant</w:t>
      </w:r>
      <w:r>
        <w:rPr>
          <w:color w:val="231F20"/>
          <w:spacing w:val="-11"/>
        </w:rPr>
        <w:t> </w:t>
      </w:r>
      <w:r>
        <w:rPr>
          <w:color w:val="231F20"/>
          <w:spacing w:val="-4"/>
        </w:rPr>
        <w:t>sa</w:t>
      </w:r>
      <w:r>
        <w:rPr>
          <w:color w:val="231F20"/>
          <w:spacing w:val="-11"/>
        </w:rPr>
        <w:t> </w:t>
      </w:r>
      <w:r>
        <w:rPr>
          <w:color w:val="231F20"/>
          <w:spacing w:val="-4"/>
        </w:rPr>
        <w:t>résidence</w:t>
      </w:r>
      <w:r>
        <w:rPr>
          <w:color w:val="231F20"/>
          <w:spacing w:val="-11"/>
        </w:rPr>
        <w:t> </w:t>
      </w:r>
      <w:r>
        <w:rPr>
          <w:color w:val="231F20"/>
          <w:spacing w:val="-4"/>
        </w:rPr>
        <w:t>dans</w:t>
      </w:r>
      <w:r>
        <w:rPr>
          <w:color w:val="231F20"/>
          <w:spacing w:val="-11"/>
        </w:rPr>
        <w:t> </w:t>
      </w:r>
      <w:r>
        <w:rPr>
          <w:color w:val="231F20"/>
          <w:spacing w:val="-4"/>
        </w:rPr>
        <w:t>un</w:t>
      </w:r>
      <w:r>
        <w:rPr>
          <w:color w:val="231F20"/>
          <w:spacing w:val="-11"/>
        </w:rPr>
        <w:t> </w:t>
      </w:r>
      <w:r>
        <w:rPr>
          <w:color w:val="231F20"/>
          <w:spacing w:val="-4"/>
        </w:rPr>
        <w:t>quartier</w:t>
      </w:r>
      <w:r>
        <w:rPr>
          <w:color w:val="231F20"/>
          <w:spacing w:val="-11"/>
        </w:rPr>
        <w:t> </w:t>
      </w:r>
      <w:r>
        <w:rPr>
          <w:color w:val="231F20"/>
          <w:spacing w:val="-4"/>
        </w:rPr>
        <w:t>populaire</w:t>
      </w:r>
      <w:r>
        <w:rPr>
          <w:color w:val="231F20"/>
          <w:spacing w:val="-11"/>
        </w:rPr>
        <w:t> </w:t>
      </w:r>
      <w:r>
        <w:rPr>
          <w:color w:val="231F20"/>
          <w:spacing w:val="-4"/>
        </w:rPr>
        <w:t>de</w:t>
      </w:r>
      <w:r>
        <w:rPr>
          <w:color w:val="231F20"/>
          <w:spacing w:val="-11"/>
        </w:rPr>
        <w:t> </w:t>
      </w:r>
      <w:r>
        <w:rPr>
          <w:color w:val="231F20"/>
          <w:spacing w:val="-4"/>
        </w:rPr>
        <w:t>Ouaga.</w:t>
      </w:r>
      <w:r>
        <w:rPr>
          <w:color w:val="231F20"/>
          <w:spacing w:val="-11"/>
        </w:rPr>
        <w:t> </w:t>
      </w:r>
      <w:r>
        <w:rPr>
          <w:color w:val="231F20"/>
          <w:spacing w:val="-4"/>
        </w:rPr>
        <w:t>Il</w:t>
      </w:r>
      <w:r>
        <w:rPr>
          <w:color w:val="231F20"/>
          <w:spacing w:val="-11"/>
        </w:rPr>
        <w:t> </w:t>
      </w:r>
      <w:r>
        <w:rPr>
          <w:color w:val="231F20"/>
          <w:spacing w:val="-4"/>
        </w:rPr>
        <w:t>vient</w:t>
      </w:r>
      <w:r>
        <w:rPr>
          <w:color w:val="231F20"/>
          <w:spacing w:val="-11"/>
        </w:rPr>
        <w:t> </w:t>
      </w:r>
      <w:r>
        <w:rPr>
          <w:color w:val="231F20"/>
          <w:spacing w:val="-4"/>
        </w:rPr>
        <w:t>au</w:t>
      </w:r>
      <w:r>
        <w:rPr>
          <w:color w:val="231F20"/>
          <w:spacing w:val="-11"/>
        </w:rPr>
        <w:t> </w:t>
      </w:r>
      <w:r>
        <w:rPr>
          <w:color w:val="231F20"/>
          <w:spacing w:val="-4"/>
        </w:rPr>
        <w:t>conseil </w:t>
      </w:r>
      <w:r>
        <w:rPr>
          <w:color w:val="231F20"/>
        </w:rPr>
        <w:t>de gouvernement tantôt sur son vélo de course, tantôt dans une jeep militaire</w:t>
      </w:r>
      <w:r>
        <w:rPr>
          <w:color w:val="231F20"/>
          <w:spacing w:val="-15"/>
        </w:rPr>
        <w:t> </w:t>
      </w:r>
      <w:r>
        <w:rPr>
          <w:color w:val="231F20"/>
        </w:rPr>
        <w:t>comme</w:t>
      </w:r>
      <w:r>
        <w:rPr>
          <w:color w:val="231F20"/>
          <w:spacing w:val="-15"/>
        </w:rPr>
        <w:t> </w:t>
      </w:r>
      <w:r>
        <w:rPr>
          <w:color w:val="231F20"/>
        </w:rPr>
        <w:t>véhicule</w:t>
      </w:r>
      <w:r>
        <w:rPr>
          <w:color w:val="231F20"/>
          <w:spacing w:val="-15"/>
        </w:rPr>
        <w:t> </w:t>
      </w:r>
      <w:r>
        <w:rPr>
          <w:color w:val="231F20"/>
        </w:rPr>
        <w:t>de</w:t>
      </w:r>
      <w:r>
        <w:rPr>
          <w:color w:val="231F20"/>
          <w:spacing w:val="-15"/>
        </w:rPr>
        <w:t> </w:t>
      </w:r>
      <w:r>
        <w:rPr>
          <w:color w:val="231F20"/>
        </w:rPr>
        <w:t>fonction.</w:t>
      </w:r>
      <w:r>
        <w:rPr>
          <w:color w:val="231F20"/>
          <w:spacing w:val="-15"/>
        </w:rPr>
        <w:t> </w:t>
      </w:r>
      <w:r>
        <w:rPr>
          <w:color w:val="231F20"/>
        </w:rPr>
        <w:t>Il</w:t>
      </w:r>
      <w:r>
        <w:rPr>
          <w:color w:val="231F20"/>
          <w:spacing w:val="-15"/>
        </w:rPr>
        <w:t> </w:t>
      </w:r>
      <w:r>
        <w:rPr>
          <w:color w:val="231F20"/>
        </w:rPr>
        <w:t>ne</w:t>
      </w:r>
      <w:r>
        <w:rPr>
          <w:color w:val="231F20"/>
          <w:spacing w:val="-15"/>
        </w:rPr>
        <w:t> </w:t>
      </w:r>
      <w:r>
        <w:rPr>
          <w:color w:val="231F20"/>
        </w:rPr>
        <w:t>s’arrêtera</w:t>
      </w:r>
      <w:r>
        <w:rPr>
          <w:color w:val="231F20"/>
          <w:spacing w:val="-15"/>
        </w:rPr>
        <w:t> </w:t>
      </w:r>
      <w:r>
        <w:rPr>
          <w:color w:val="231F20"/>
        </w:rPr>
        <w:t>pas</w:t>
      </w:r>
      <w:r>
        <w:rPr>
          <w:color w:val="231F20"/>
          <w:spacing w:val="-15"/>
        </w:rPr>
        <w:t> </w:t>
      </w:r>
      <w:r>
        <w:rPr>
          <w:color w:val="231F20"/>
        </w:rPr>
        <w:t>là.</w:t>
      </w:r>
      <w:r>
        <w:rPr>
          <w:color w:val="231F20"/>
          <w:spacing w:val="-15"/>
        </w:rPr>
        <w:t> </w:t>
      </w:r>
      <w:r>
        <w:rPr>
          <w:color w:val="231F20"/>
        </w:rPr>
        <w:t>Lorsqu’à</w:t>
      </w:r>
      <w:r>
        <w:rPr>
          <w:color w:val="231F20"/>
          <w:spacing w:val="-15"/>
        </w:rPr>
        <w:t> </w:t>
      </w:r>
      <w:r>
        <w:rPr>
          <w:color w:val="231F20"/>
        </w:rPr>
        <w:t>la suite du changement de régime, il est nommé Premier ministre en novembre</w:t>
      </w:r>
      <w:r>
        <w:rPr>
          <w:color w:val="231F20"/>
          <w:spacing w:val="-1"/>
        </w:rPr>
        <w:t> </w:t>
      </w:r>
      <w:r>
        <w:rPr>
          <w:color w:val="231F20"/>
        </w:rPr>
        <w:t>1982 aux cotés de</w:t>
      </w:r>
      <w:r>
        <w:rPr>
          <w:color w:val="231F20"/>
          <w:spacing w:val="-1"/>
        </w:rPr>
        <w:t> </w:t>
      </w:r>
      <w:r>
        <w:rPr>
          <w:color w:val="231F20"/>
        </w:rPr>
        <w:t>Jean-Baptiste</w:t>
      </w:r>
      <w:r>
        <w:rPr>
          <w:color w:val="231F20"/>
          <w:spacing w:val="-1"/>
        </w:rPr>
        <w:t> </w:t>
      </w:r>
      <w:r>
        <w:rPr>
          <w:color w:val="231F20"/>
        </w:rPr>
        <w:t>Ouédraogo,</w:t>
      </w:r>
      <w:r>
        <w:rPr>
          <w:color w:val="231F20"/>
          <w:spacing w:val="-1"/>
        </w:rPr>
        <w:t> </w:t>
      </w:r>
      <w:r>
        <w:rPr>
          <w:color w:val="231F20"/>
        </w:rPr>
        <w:t>il remet ça.</w:t>
      </w:r>
      <w:r>
        <w:rPr>
          <w:color w:val="231F20"/>
          <w:spacing w:val="-1"/>
        </w:rPr>
        <w:t> </w:t>
      </w:r>
      <w:r>
        <w:rPr>
          <w:color w:val="231F20"/>
        </w:rPr>
        <w:t>Au retour d’une visite d’État en Lybie, où le gouvernement hôte avait pris entièrement en charge son séjour, Thomas Sankara reverse dans les caisses de l’État les frais de mission non utilisés parce que, comme le </w:t>
      </w:r>
      <w:r>
        <w:rPr>
          <w:color w:val="231F20"/>
          <w:spacing w:val="-2"/>
        </w:rPr>
        <w:t>confient</w:t>
      </w:r>
      <w:r>
        <w:rPr>
          <w:color w:val="231F20"/>
          <w:spacing w:val="-11"/>
        </w:rPr>
        <w:t> </w:t>
      </w:r>
      <w:r>
        <w:rPr>
          <w:color w:val="231F20"/>
          <w:spacing w:val="-2"/>
        </w:rPr>
        <w:t>ses</w:t>
      </w:r>
      <w:r>
        <w:rPr>
          <w:color w:val="231F20"/>
          <w:spacing w:val="-10"/>
        </w:rPr>
        <w:t> </w:t>
      </w:r>
      <w:r>
        <w:rPr>
          <w:color w:val="231F20"/>
          <w:spacing w:val="-2"/>
        </w:rPr>
        <w:t>collaborateurs,</w:t>
      </w:r>
      <w:r>
        <w:rPr>
          <w:color w:val="231F20"/>
          <w:spacing w:val="-12"/>
        </w:rPr>
        <w:t> </w:t>
      </w:r>
      <w:r>
        <w:rPr>
          <w:color w:val="231F20"/>
          <w:spacing w:val="-2"/>
        </w:rPr>
        <w:t>il</w:t>
      </w:r>
      <w:r>
        <w:rPr>
          <w:color w:val="231F20"/>
          <w:spacing w:val="-11"/>
        </w:rPr>
        <w:t> </w:t>
      </w:r>
      <w:r>
        <w:rPr>
          <w:color w:val="231F20"/>
          <w:spacing w:val="-2"/>
        </w:rPr>
        <w:t>estimait</w:t>
      </w:r>
      <w:r>
        <w:rPr>
          <w:color w:val="231F20"/>
          <w:spacing w:val="-11"/>
        </w:rPr>
        <w:t> </w:t>
      </w:r>
      <w:r>
        <w:rPr>
          <w:color w:val="231F20"/>
          <w:spacing w:val="-2"/>
        </w:rPr>
        <w:t>normal</w:t>
      </w:r>
      <w:r>
        <w:rPr>
          <w:color w:val="231F20"/>
          <w:spacing w:val="-11"/>
        </w:rPr>
        <w:t> </w:t>
      </w:r>
      <w:r>
        <w:rPr>
          <w:color w:val="231F20"/>
          <w:spacing w:val="-2"/>
        </w:rPr>
        <w:t>de</w:t>
      </w:r>
      <w:r>
        <w:rPr>
          <w:color w:val="231F20"/>
          <w:spacing w:val="-12"/>
        </w:rPr>
        <w:t> </w:t>
      </w:r>
      <w:r>
        <w:rPr>
          <w:color w:val="231F20"/>
          <w:spacing w:val="-2"/>
        </w:rPr>
        <w:t>rendre</w:t>
      </w:r>
      <w:r>
        <w:rPr>
          <w:color w:val="231F20"/>
          <w:spacing w:val="-11"/>
        </w:rPr>
        <w:t> </w:t>
      </w:r>
      <w:r>
        <w:rPr>
          <w:color w:val="231F20"/>
          <w:spacing w:val="-2"/>
        </w:rPr>
        <w:t>l’argent</w:t>
      </w:r>
      <w:r>
        <w:rPr>
          <w:color w:val="231F20"/>
          <w:spacing w:val="-11"/>
        </w:rPr>
        <w:t> </w:t>
      </w:r>
      <w:r>
        <w:rPr>
          <w:color w:val="231F20"/>
          <w:spacing w:val="-2"/>
        </w:rPr>
        <w:t>de</w:t>
      </w:r>
      <w:r>
        <w:rPr>
          <w:color w:val="231F20"/>
          <w:spacing w:val="-12"/>
        </w:rPr>
        <w:t> </w:t>
      </w:r>
      <w:r>
        <w:rPr>
          <w:color w:val="231F20"/>
          <w:spacing w:val="-2"/>
        </w:rPr>
        <w:t>l’État </w:t>
      </w:r>
      <w:r>
        <w:rPr>
          <w:color w:val="231F20"/>
        </w:rPr>
        <w:t>dont il n’avait pas eu besoin.</w:t>
      </w:r>
    </w:p>
    <w:p>
      <w:pPr>
        <w:pStyle w:val="BodyText"/>
        <w:spacing w:before="120"/>
        <w:ind w:right="106" w:firstLine="283"/>
      </w:pPr>
      <w:r>
        <w:rPr>
          <w:color w:val="231F20"/>
          <w:spacing w:val="-4"/>
        </w:rPr>
        <w:t>Une</w:t>
      </w:r>
      <w:r>
        <w:rPr>
          <w:color w:val="231F20"/>
          <w:spacing w:val="-5"/>
        </w:rPr>
        <w:t> </w:t>
      </w:r>
      <w:r>
        <w:rPr>
          <w:color w:val="231F20"/>
          <w:spacing w:val="-4"/>
        </w:rPr>
        <w:t>fois</w:t>
      </w:r>
      <w:r>
        <w:rPr>
          <w:color w:val="231F20"/>
          <w:spacing w:val="-5"/>
        </w:rPr>
        <w:t> </w:t>
      </w:r>
      <w:r>
        <w:rPr>
          <w:color w:val="231F20"/>
          <w:spacing w:val="-4"/>
        </w:rPr>
        <w:t>au</w:t>
      </w:r>
      <w:r>
        <w:rPr>
          <w:color w:val="231F20"/>
          <w:spacing w:val="-7"/>
        </w:rPr>
        <w:t> </w:t>
      </w:r>
      <w:r>
        <w:rPr>
          <w:color w:val="231F20"/>
          <w:spacing w:val="-4"/>
        </w:rPr>
        <w:t>pouvoir,</w:t>
      </w:r>
      <w:r>
        <w:rPr>
          <w:color w:val="231F20"/>
          <w:spacing w:val="-7"/>
        </w:rPr>
        <w:t> </w:t>
      </w:r>
      <w:r>
        <w:rPr>
          <w:color w:val="231F20"/>
          <w:spacing w:val="-4"/>
        </w:rPr>
        <w:t>Sankara</w:t>
      </w:r>
      <w:r>
        <w:rPr>
          <w:color w:val="231F20"/>
          <w:spacing w:val="-5"/>
        </w:rPr>
        <w:t> </w:t>
      </w:r>
      <w:r>
        <w:rPr>
          <w:color w:val="231F20"/>
          <w:spacing w:val="-4"/>
        </w:rPr>
        <w:t>met</w:t>
      </w:r>
      <w:r>
        <w:rPr>
          <w:color w:val="231F20"/>
          <w:spacing w:val="-5"/>
        </w:rPr>
        <w:t> </w:t>
      </w:r>
      <w:r>
        <w:rPr>
          <w:color w:val="231F20"/>
          <w:spacing w:val="-4"/>
        </w:rPr>
        <w:t>au</w:t>
      </w:r>
      <w:r>
        <w:rPr>
          <w:color w:val="231F20"/>
          <w:spacing w:val="-5"/>
        </w:rPr>
        <w:t> </w:t>
      </w:r>
      <w:r>
        <w:rPr>
          <w:color w:val="231F20"/>
          <w:spacing w:val="-4"/>
        </w:rPr>
        <w:t>garage</w:t>
      </w:r>
      <w:r>
        <w:rPr>
          <w:color w:val="231F20"/>
          <w:spacing w:val="-8"/>
        </w:rPr>
        <w:t> </w:t>
      </w:r>
      <w:r>
        <w:rPr>
          <w:color w:val="231F20"/>
          <w:spacing w:val="-4"/>
        </w:rPr>
        <w:t>les</w:t>
      </w:r>
      <w:r>
        <w:rPr>
          <w:color w:val="231F20"/>
          <w:spacing w:val="-7"/>
        </w:rPr>
        <w:t> </w:t>
      </w:r>
      <w:r>
        <w:rPr>
          <w:color w:val="231F20"/>
          <w:spacing w:val="-4"/>
        </w:rPr>
        <w:t>limousines</w:t>
      </w:r>
      <w:r>
        <w:rPr>
          <w:color w:val="231F20"/>
          <w:spacing w:val="-7"/>
        </w:rPr>
        <w:t> </w:t>
      </w:r>
      <w:r>
        <w:rPr>
          <w:color w:val="231F20"/>
          <w:spacing w:val="-4"/>
        </w:rPr>
        <w:t>de</w:t>
      </w:r>
      <w:r>
        <w:rPr>
          <w:color w:val="231F20"/>
          <w:spacing w:val="-8"/>
        </w:rPr>
        <w:t> </w:t>
      </w:r>
      <w:r>
        <w:rPr>
          <w:color w:val="231F20"/>
          <w:spacing w:val="-4"/>
        </w:rPr>
        <w:t>fonction </w:t>
      </w:r>
      <w:r>
        <w:rPr>
          <w:color w:val="231F20"/>
        </w:rPr>
        <w:t>de</w:t>
      </w:r>
      <w:r>
        <w:rPr>
          <w:color w:val="231F20"/>
          <w:spacing w:val="-7"/>
        </w:rPr>
        <w:t> </w:t>
      </w:r>
      <w:r>
        <w:rPr>
          <w:color w:val="231F20"/>
        </w:rPr>
        <w:t>la</w:t>
      </w:r>
      <w:r>
        <w:rPr>
          <w:color w:val="231F20"/>
          <w:spacing w:val="-9"/>
        </w:rPr>
        <w:t> </w:t>
      </w:r>
      <w:r>
        <w:rPr>
          <w:color w:val="231F20"/>
        </w:rPr>
        <w:t>présidence</w:t>
      </w:r>
      <w:r>
        <w:rPr>
          <w:color w:val="231F20"/>
          <w:spacing w:val="-7"/>
        </w:rPr>
        <w:t> </w:t>
      </w:r>
      <w:r>
        <w:rPr>
          <w:color w:val="231F20"/>
        </w:rPr>
        <w:t>dont</w:t>
      </w:r>
      <w:r>
        <w:rPr>
          <w:color w:val="231F20"/>
          <w:spacing w:val="-7"/>
        </w:rPr>
        <w:t> </w:t>
      </w:r>
      <w:r>
        <w:rPr>
          <w:color w:val="231F20"/>
        </w:rPr>
        <w:t>il</w:t>
      </w:r>
      <w:r>
        <w:rPr>
          <w:color w:val="231F20"/>
          <w:spacing w:val="-6"/>
        </w:rPr>
        <w:t> </w:t>
      </w:r>
      <w:r>
        <w:rPr>
          <w:color w:val="231F20"/>
        </w:rPr>
        <w:t>estimait</w:t>
      </w:r>
      <w:r>
        <w:rPr>
          <w:color w:val="231F20"/>
          <w:spacing w:val="-9"/>
        </w:rPr>
        <w:t> </w:t>
      </w:r>
      <w:r>
        <w:rPr>
          <w:color w:val="231F20"/>
        </w:rPr>
        <w:t>les</w:t>
      </w:r>
      <w:r>
        <w:rPr>
          <w:color w:val="231F20"/>
          <w:spacing w:val="-5"/>
        </w:rPr>
        <w:t> </w:t>
      </w:r>
      <w:r>
        <w:rPr>
          <w:color w:val="231F20"/>
        </w:rPr>
        <w:t>frais</w:t>
      </w:r>
      <w:r>
        <w:rPr>
          <w:color w:val="231F20"/>
          <w:spacing w:val="-9"/>
        </w:rPr>
        <w:t> </w:t>
      </w:r>
      <w:r>
        <w:rPr>
          <w:color w:val="231F20"/>
        </w:rPr>
        <w:t>d’entretien</w:t>
      </w:r>
      <w:r>
        <w:rPr>
          <w:color w:val="231F20"/>
          <w:spacing w:val="-7"/>
        </w:rPr>
        <w:t> </w:t>
      </w:r>
      <w:r>
        <w:rPr>
          <w:color w:val="231F20"/>
        </w:rPr>
        <w:t>très</w:t>
      </w:r>
      <w:r>
        <w:rPr>
          <w:color w:val="231F20"/>
          <w:spacing w:val="-9"/>
        </w:rPr>
        <w:t> </w:t>
      </w:r>
      <w:r>
        <w:rPr>
          <w:color w:val="231F20"/>
        </w:rPr>
        <w:t>couteuses.</w:t>
      </w:r>
      <w:r>
        <w:rPr>
          <w:color w:val="231F20"/>
          <w:spacing w:val="-9"/>
        </w:rPr>
        <w:t> </w:t>
      </w:r>
      <w:r>
        <w:rPr>
          <w:color w:val="231F20"/>
        </w:rPr>
        <w:t>Son nouveau</w:t>
      </w:r>
      <w:r>
        <w:rPr>
          <w:color w:val="231F20"/>
          <w:spacing w:val="-15"/>
        </w:rPr>
        <w:t> </w:t>
      </w:r>
      <w:r>
        <w:rPr>
          <w:color w:val="231F20"/>
        </w:rPr>
        <w:t>cortège</w:t>
      </w:r>
      <w:r>
        <w:rPr>
          <w:color w:val="231F20"/>
          <w:spacing w:val="-15"/>
        </w:rPr>
        <w:t> </w:t>
      </w:r>
      <w:r>
        <w:rPr>
          <w:color w:val="231F20"/>
        </w:rPr>
        <w:t>se</w:t>
      </w:r>
      <w:r>
        <w:rPr>
          <w:color w:val="231F20"/>
          <w:spacing w:val="-15"/>
        </w:rPr>
        <w:t> </w:t>
      </w:r>
      <w:r>
        <w:rPr>
          <w:color w:val="231F20"/>
        </w:rPr>
        <w:t>composait</w:t>
      </w:r>
      <w:r>
        <w:rPr>
          <w:color w:val="231F20"/>
          <w:spacing w:val="-15"/>
        </w:rPr>
        <w:t> </w:t>
      </w:r>
      <w:r>
        <w:rPr>
          <w:color w:val="231F20"/>
        </w:rPr>
        <w:t>d’une</w:t>
      </w:r>
      <w:r>
        <w:rPr>
          <w:color w:val="231F20"/>
          <w:spacing w:val="-15"/>
        </w:rPr>
        <w:t> </w:t>
      </w:r>
      <w:r>
        <w:rPr>
          <w:color w:val="231F20"/>
        </w:rPr>
        <w:t>Peugeot</w:t>
      </w:r>
      <w:r>
        <w:rPr>
          <w:color w:val="231F20"/>
          <w:spacing w:val="-15"/>
        </w:rPr>
        <w:t> </w:t>
      </w:r>
      <w:r>
        <w:rPr>
          <w:color w:val="231F20"/>
        </w:rPr>
        <w:t>205</w:t>
      </w:r>
      <w:r>
        <w:rPr>
          <w:color w:val="231F20"/>
          <w:spacing w:val="-15"/>
        </w:rPr>
        <w:t> </w:t>
      </w:r>
      <w:r>
        <w:rPr>
          <w:color w:val="231F20"/>
        </w:rPr>
        <w:t>noire</w:t>
      </w:r>
      <w:r>
        <w:rPr>
          <w:color w:val="231F20"/>
          <w:spacing w:val="-15"/>
        </w:rPr>
        <w:t> </w:t>
      </w:r>
      <w:r>
        <w:rPr>
          <w:color w:val="231F20"/>
        </w:rPr>
        <w:t>et</w:t>
      </w:r>
      <w:r>
        <w:rPr>
          <w:color w:val="231F20"/>
          <w:spacing w:val="-15"/>
        </w:rPr>
        <w:t> </w:t>
      </w:r>
      <w:r>
        <w:rPr>
          <w:color w:val="231F20"/>
        </w:rPr>
        <w:t>d’une</w:t>
      </w:r>
      <w:r>
        <w:rPr>
          <w:color w:val="231F20"/>
          <w:spacing w:val="-15"/>
        </w:rPr>
        <w:t> </w:t>
      </w:r>
      <w:r>
        <w:rPr>
          <w:color w:val="231F20"/>
        </w:rPr>
        <w:t>Renault 5</w:t>
      </w:r>
      <w:r>
        <w:rPr>
          <w:color w:val="231F20"/>
          <w:spacing w:val="-2"/>
        </w:rPr>
        <w:t> </w:t>
      </w:r>
      <w:r>
        <w:rPr>
          <w:color w:val="231F20"/>
        </w:rPr>
        <w:t>noire</w:t>
      </w:r>
      <w:r>
        <w:rPr>
          <w:color w:val="231F20"/>
          <w:spacing w:val="-6"/>
        </w:rPr>
        <w:t> </w:t>
      </w:r>
      <w:r>
        <w:rPr>
          <w:color w:val="231F20"/>
        </w:rPr>
        <w:t>qui</w:t>
      </w:r>
      <w:r>
        <w:rPr>
          <w:color w:val="231F20"/>
          <w:spacing w:val="-4"/>
        </w:rPr>
        <w:t> </w:t>
      </w:r>
      <w:r>
        <w:rPr>
          <w:color w:val="231F20"/>
        </w:rPr>
        <w:t>était</w:t>
      </w:r>
      <w:r>
        <w:rPr>
          <w:color w:val="231F20"/>
          <w:spacing w:val="-1"/>
        </w:rPr>
        <w:t> </w:t>
      </w:r>
      <w:r>
        <w:rPr>
          <w:color w:val="231F20"/>
        </w:rPr>
        <w:t>occupée</w:t>
      </w:r>
      <w:r>
        <w:rPr>
          <w:color w:val="231F20"/>
          <w:spacing w:val="-2"/>
        </w:rPr>
        <w:t> </w:t>
      </w:r>
      <w:r>
        <w:rPr>
          <w:color w:val="231F20"/>
        </w:rPr>
        <w:t>par</w:t>
      </w:r>
      <w:r>
        <w:rPr>
          <w:color w:val="231F20"/>
          <w:spacing w:val="-3"/>
        </w:rPr>
        <w:t> </w:t>
      </w:r>
      <w:r>
        <w:rPr>
          <w:color w:val="231F20"/>
        </w:rPr>
        <w:t>ses</w:t>
      </w:r>
      <w:r>
        <w:rPr>
          <w:color w:val="231F20"/>
          <w:spacing w:val="-2"/>
        </w:rPr>
        <w:t> </w:t>
      </w:r>
      <w:r>
        <w:rPr>
          <w:color w:val="231F20"/>
        </w:rPr>
        <w:t>autres</w:t>
      </w:r>
      <w:r>
        <w:rPr>
          <w:color w:val="231F20"/>
          <w:spacing w:val="-3"/>
        </w:rPr>
        <w:t> </w:t>
      </w:r>
      <w:r>
        <w:rPr>
          <w:color w:val="231F20"/>
        </w:rPr>
        <w:t>gardes</w:t>
      </w:r>
      <w:r>
        <w:rPr>
          <w:color w:val="231F20"/>
          <w:spacing w:val="-1"/>
        </w:rPr>
        <w:t> </w:t>
      </w:r>
      <w:r>
        <w:rPr>
          <w:color w:val="231F20"/>
        </w:rPr>
        <w:t>du</w:t>
      </w:r>
      <w:r>
        <w:rPr>
          <w:color w:val="231F20"/>
          <w:spacing w:val="-2"/>
        </w:rPr>
        <w:t> </w:t>
      </w:r>
      <w:r>
        <w:rPr>
          <w:color w:val="231F20"/>
        </w:rPr>
        <w:t>corps</w:t>
      </w:r>
    </w:p>
    <w:p>
      <w:pPr>
        <w:spacing w:before="121"/>
        <w:ind w:left="111" w:right="106" w:firstLine="283"/>
        <w:jc w:val="both"/>
        <w:rPr>
          <w:i/>
          <w:sz w:val="24"/>
        </w:rPr>
      </w:pPr>
      <w:r>
        <w:rPr>
          <w:i/>
          <w:color w:val="231F20"/>
          <w:sz w:val="24"/>
        </w:rPr>
        <w:t>(…)</w:t>
      </w:r>
      <w:r>
        <w:rPr>
          <w:i/>
          <w:color w:val="231F20"/>
          <w:spacing w:val="-13"/>
          <w:sz w:val="24"/>
        </w:rPr>
        <w:t> </w:t>
      </w:r>
      <w:r>
        <w:rPr>
          <w:i/>
          <w:color w:val="231F20"/>
          <w:sz w:val="24"/>
        </w:rPr>
        <w:t>Le</w:t>
      </w:r>
      <w:r>
        <w:rPr>
          <w:i/>
          <w:color w:val="231F20"/>
          <w:spacing w:val="-13"/>
          <w:sz w:val="24"/>
        </w:rPr>
        <w:t> </w:t>
      </w:r>
      <w:r>
        <w:rPr>
          <w:i/>
          <w:color w:val="231F20"/>
          <w:sz w:val="24"/>
        </w:rPr>
        <w:t>15</w:t>
      </w:r>
      <w:r>
        <w:rPr>
          <w:i/>
          <w:color w:val="231F20"/>
          <w:spacing w:val="-13"/>
          <w:sz w:val="24"/>
        </w:rPr>
        <w:t> </w:t>
      </w:r>
      <w:r>
        <w:rPr>
          <w:i/>
          <w:color w:val="231F20"/>
          <w:sz w:val="24"/>
        </w:rPr>
        <w:t>octobre</w:t>
      </w:r>
      <w:r>
        <w:rPr>
          <w:i/>
          <w:color w:val="231F20"/>
          <w:spacing w:val="-15"/>
          <w:sz w:val="24"/>
        </w:rPr>
        <w:t> </w:t>
      </w:r>
      <w:r>
        <w:rPr>
          <w:i/>
          <w:color w:val="231F20"/>
          <w:sz w:val="24"/>
        </w:rPr>
        <w:t>1987</w:t>
      </w:r>
      <w:r>
        <w:rPr>
          <w:i/>
          <w:color w:val="231F20"/>
          <w:spacing w:val="-15"/>
          <w:sz w:val="24"/>
        </w:rPr>
        <w:t> </w:t>
      </w:r>
      <w:r>
        <w:rPr>
          <w:i/>
          <w:color w:val="231F20"/>
          <w:sz w:val="24"/>
        </w:rPr>
        <w:t>sur</w:t>
      </w:r>
      <w:r>
        <w:rPr>
          <w:i/>
          <w:color w:val="231F20"/>
          <w:spacing w:val="-13"/>
          <w:sz w:val="24"/>
        </w:rPr>
        <w:t> </w:t>
      </w:r>
      <w:r>
        <w:rPr>
          <w:i/>
          <w:color w:val="231F20"/>
          <w:sz w:val="24"/>
        </w:rPr>
        <w:t>le</w:t>
      </w:r>
      <w:r>
        <w:rPr>
          <w:i/>
          <w:color w:val="231F20"/>
          <w:spacing w:val="-15"/>
          <w:sz w:val="24"/>
        </w:rPr>
        <w:t> </w:t>
      </w:r>
      <w:r>
        <w:rPr>
          <w:i/>
          <w:color w:val="231F20"/>
          <w:sz w:val="24"/>
        </w:rPr>
        <w:t>perron</w:t>
      </w:r>
      <w:r>
        <w:rPr>
          <w:i/>
          <w:color w:val="231F20"/>
          <w:spacing w:val="-13"/>
          <w:sz w:val="24"/>
        </w:rPr>
        <w:t> </w:t>
      </w:r>
      <w:r>
        <w:rPr>
          <w:i/>
          <w:color w:val="231F20"/>
          <w:sz w:val="24"/>
        </w:rPr>
        <w:t>du</w:t>
      </w:r>
      <w:r>
        <w:rPr>
          <w:i/>
          <w:color w:val="231F20"/>
          <w:spacing w:val="-15"/>
          <w:sz w:val="24"/>
        </w:rPr>
        <w:t> </w:t>
      </w:r>
      <w:r>
        <w:rPr>
          <w:i/>
          <w:color w:val="231F20"/>
          <w:sz w:val="24"/>
        </w:rPr>
        <w:t>siège</w:t>
      </w:r>
      <w:r>
        <w:rPr>
          <w:i/>
          <w:color w:val="231F20"/>
          <w:spacing w:val="-13"/>
          <w:sz w:val="24"/>
        </w:rPr>
        <w:t> </w:t>
      </w:r>
      <w:r>
        <w:rPr>
          <w:i/>
          <w:color w:val="231F20"/>
          <w:sz w:val="24"/>
        </w:rPr>
        <w:t>du</w:t>
      </w:r>
      <w:r>
        <w:rPr>
          <w:i/>
          <w:color w:val="231F20"/>
          <w:spacing w:val="-13"/>
          <w:sz w:val="24"/>
        </w:rPr>
        <w:t> </w:t>
      </w:r>
      <w:r>
        <w:rPr>
          <w:i/>
          <w:color w:val="231F20"/>
          <w:sz w:val="24"/>
        </w:rPr>
        <w:t>conseil</w:t>
      </w:r>
      <w:r>
        <w:rPr>
          <w:i/>
          <w:color w:val="231F20"/>
          <w:spacing w:val="-13"/>
          <w:sz w:val="24"/>
        </w:rPr>
        <w:t> </w:t>
      </w:r>
      <w:r>
        <w:rPr>
          <w:i/>
          <w:color w:val="231F20"/>
          <w:sz w:val="24"/>
        </w:rPr>
        <w:t>national</w:t>
      </w:r>
      <w:r>
        <w:rPr>
          <w:i/>
          <w:color w:val="231F20"/>
          <w:spacing w:val="-15"/>
          <w:sz w:val="24"/>
        </w:rPr>
        <w:t> </w:t>
      </w:r>
      <w:r>
        <w:rPr>
          <w:i/>
          <w:color w:val="231F20"/>
          <w:sz w:val="24"/>
        </w:rPr>
        <w:t>de</w:t>
      </w:r>
      <w:r>
        <w:rPr>
          <w:i/>
          <w:color w:val="231F20"/>
          <w:sz w:val="24"/>
        </w:rPr>
        <w:t> la</w:t>
      </w:r>
      <w:r>
        <w:rPr>
          <w:i/>
          <w:color w:val="231F20"/>
          <w:spacing w:val="-15"/>
          <w:sz w:val="24"/>
        </w:rPr>
        <w:t> </w:t>
      </w:r>
      <w:r>
        <w:rPr>
          <w:i/>
          <w:color w:val="231F20"/>
          <w:sz w:val="24"/>
        </w:rPr>
        <w:t>révolution</w:t>
      </w:r>
      <w:r>
        <w:rPr>
          <w:i/>
          <w:color w:val="231F20"/>
          <w:spacing w:val="-15"/>
          <w:sz w:val="24"/>
        </w:rPr>
        <w:t> </w:t>
      </w:r>
      <w:r>
        <w:rPr>
          <w:i/>
          <w:color w:val="231F20"/>
          <w:sz w:val="24"/>
        </w:rPr>
        <w:t>(CNR),</w:t>
      </w:r>
      <w:r>
        <w:rPr>
          <w:i/>
          <w:color w:val="231F20"/>
          <w:spacing w:val="-15"/>
          <w:sz w:val="24"/>
        </w:rPr>
        <w:t> </w:t>
      </w:r>
      <w:r>
        <w:rPr>
          <w:i/>
          <w:color w:val="231F20"/>
          <w:sz w:val="24"/>
        </w:rPr>
        <w:t>Sankara</w:t>
      </w:r>
      <w:r>
        <w:rPr>
          <w:i/>
          <w:color w:val="231F20"/>
          <w:spacing w:val="-15"/>
          <w:sz w:val="24"/>
        </w:rPr>
        <w:t> </w:t>
      </w:r>
      <w:r>
        <w:rPr>
          <w:i/>
          <w:color w:val="231F20"/>
          <w:sz w:val="24"/>
        </w:rPr>
        <w:t>est</w:t>
      </w:r>
      <w:r>
        <w:rPr>
          <w:i/>
          <w:color w:val="231F20"/>
          <w:spacing w:val="-15"/>
          <w:sz w:val="24"/>
        </w:rPr>
        <w:t> </w:t>
      </w:r>
      <w:r>
        <w:rPr>
          <w:i/>
          <w:color w:val="231F20"/>
          <w:sz w:val="24"/>
        </w:rPr>
        <w:t>abattu</w:t>
      </w:r>
      <w:r>
        <w:rPr>
          <w:i/>
          <w:color w:val="231F20"/>
          <w:spacing w:val="-15"/>
          <w:sz w:val="24"/>
        </w:rPr>
        <w:t> </w:t>
      </w:r>
      <w:r>
        <w:rPr>
          <w:i/>
          <w:color w:val="231F20"/>
          <w:sz w:val="24"/>
        </w:rPr>
        <w:t>de</w:t>
      </w:r>
      <w:r>
        <w:rPr>
          <w:i/>
          <w:color w:val="231F20"/>
          <w:spacing w:val="-15"/>
          <w:sz w:val="24"/>
        </w:rPr>
        <w:t> </w:t>
      </w:r>
      <w:r>
        <w:rPr>
          <w:i/>
          <w:color w:val="231F20"/>
          <w:sz w:val="24"/>
        </w:rPr>
        <w:t>deux</w:t>
      </w:r>
      <w:r>
        <w:rPr>
          <w:i/>
          <w:color w:val="231F20"/>
          <w:spacing w:val="-15"/>
          <w:sz w:val="24"/>
        </w:rPr>
        <w:t> </w:t>
      </w:r>
      <w:r>
        <w:rPr>
          <w:i/>
          <w:color w:val="231F20"/>
          <w:sz w:val="24"/>
        </w:rPr>
        <w:t>balles</w:t>
      </w:r>
      <w:r>
        <w:rPr>
          <w:i/>
          <w:color w:val="231F20"/>
          <w:spacing w:val="-15"/>
          <w:sz w:val="24"/>
        </w:rPr>
        <w:t> </w:t>
      </w:r>
      <w:r>
        <w:rPr>
          <w:i/>
          <w:color w:val="231F20"/>
          <w:sz w:val="24"/>
        </w:rPr>
        <w:t>dans</w:t>
      </w:r>
      <w:r>
        <w:rPr>
          <w:i/>
          <w:color w:val="231F20"/>
          <w:spacing w:val="-15"/>
          <w:sz w:val="24"/>
        </w:rPr>
        <w:t> </w:t>
      </w:r>
      <w:r>
        <w:rPr>
          <w:i/>
          <w:color w:val="231F20"/>
          <w:sz w:val="24"/>
        </w:rPr>
        <w:t>la</w:t>
      </w:r>
      <w:r>
        <w:rPr>
          <w:i/>
          <w:color w:val="231F20"/>
          <w:spacing w:val="-15"/>
          <w:sz w:val="24"/>
        </w:rPr>
        <w:t> </w:t>
      </w:r>
      <w:r>
        <w:rPr>
          <w:i/>
          <w:color w:val="231F20"/>
          <w:sz w:val="24"/>
        </w:rPr>
        <w:t>tête</w:t>
      </w:r>
      <w:r>
        <w:rPr>
          <w:i/>
          <w:color w:val="231F20"/>
          <w:spacing w:val="-15"/>
          <w:sz w:val="24"/>
        </w:rPr>
        <w:t> </w:t>
      </w:r>
      <w:r>
        <w:rPr>
          <w:i/>
          <w:color w:val="231F20"/>
          <w:sz w:val="24"/>
        </w:rPr>
        <w:t>et</w:t>
      </w:r>
      <w:r>
        <w:rPr>
          <w:i/>
          <w:color w:val="231F20"/>
          <w:spacing w:val="-15"/>
          <w:sz w:val="24"/>
        </w:rPr>
        <w:t> </w:t>
      </w:r>
      <w:r>
        <w:rPr>
          <w:i/>
          <w:color w:val="231F20"/>
          <w:sz w:val="24"/>
        </w:rPr>
        <w:t>10 balles dans le buste par un commando venu du centre d’instruction militaire</w:t>
      </w:r>
      <w:r>
        <w:rPr>
          <w:i/>
          <w:color w:val="231F20"/>
          <w:spacing w:val="-15"/>
          <w:sz w:val="24"/>
        </w:rPr>
        <w:t> </w:t>
      </w:r>
      <w:r>
        <w:rPr>
          <w:i/>
          <w:color w:val="231F20"/>
          <w:sz w:val="24"/>
        </w:rPr>
        <w:t>de</w:t>
      </w:r>
      <w:r>
        <w:rPr>
          <w:i/>
          <w:color w:val="231F20"/>
          <w:spacing w:val="-13"/>
          <w:sz w:val="24"/>
        </w:rPr>
        <w:t> </w:t>
      </w:r>
      <w:r>
        <w:rPr>
          <w:i/>
          <w:color w:val="231F20"/>
          <w:sz w:val="24"/>
        </w:rPr>
        <w:t>Po,</w:t>
      </w:r>
      <w:r>
        <w:rPr>
          <w:i/>
          <w:color w:val="231F20"/>
          <w:spacing w:val="-15"/>
          <w:sz w:val="24"/>
        </w:rPr>
        <w:t> </w:t>
      </w:r>
      <w:r>
        <w:rPr>
          <w:i/>
          <w:color w:val="231F20"/>
          <w:sz w:val="24"/>
        </w:rPr>
        <w:t>centre</w:t>
      </w:r>
      <w:r>
        <w:rPr>
          <w:i/>
          <w:color w:val="231F20"/>
          <w:spacing w:val="-13"/>
          <w:sz w:val="24"/>
        </w:rPr>
        <w:t> </w:t>
      </w:r>
      <w:r>
        <w:rPr>
          <w:i/>
          <w:color w:val="231F20"/>
          <w:sz w:val="24"/>
        </w:rPr>
        <w:t>commandé</w:t>
      </w:r>
      <w:r>
        <w:rPr>
          <w:i/>
          <w:color w:val="231F20"/>
          <w:spacing w:val="-13"/>
          <w:sz w:val="24"/>
        </w:rPr>
        <w:t> </w:t>
      </w:r>
      <w:r>
        <w:rPr>
          <w:i/>
          <w:color w:val="231F20"/>
          <w:sz w:val="24"/>
        </w:rPr>
        <w:t>après</w:t>
      </w:r>
      <w:r>
        <w:rPr>
          <w:i/>
          <w:color w:val="231F20"/>
          <w:spacing w:val="-15"/>
          <w:sz w:val="24"/>
        </w:rPr>
        <w:t> </w:t>
      </w:r>
      <w:r>
        <w:rPr>
          <w:i/>
          <w:color w:val="231F20"/>
          <w:sz w:val="24"/>
        </w:rPr>
        <w:t>la</w:t>
      </w:r>
      <w:r>
        <w:rPr>
          <w:i/>
          <w:color w:val="231F20"/>
          <w:spacing w:val="-15"/>
          <w:sz w:val="24"/>
        </w:rPr>
        <w:t> </w:t>
      </w:r>
      <w:r>
        <w:rPr>
          <w:i/>
          <w:color w:val="231F20"/>
          <w:sz w:val="24"/>
        </w:rPr>
        <w:t>nomination</w:t>
      </w:r>
      <w:r>
        <w:rPr>
          <w:i/>
          <w:color w:val="231F20"/>
          <w:spacing w:val="-15"/>
          <w:sz w:val="24"/>
        </w:rPr>
        <w:t> </w:t>
      </w:r>
      <w:r>
        <w:rPr>
          <w:i/>
          <w:color w:val="231F20"/>
          <w:sz w:val="24"/>
        </w:rPr>
        <w:t>de</w:t>
      </w:r>
      <w:r>
        <w:rPr>
          <w:i/>
          <w:color w:val="231F20"/>
          <w:spacing w:val="-15"/>
          <w:sz w:val="24"/>
        </w:rPr>
        <w:t> </w:t>
      </w:r>
      <w:r>
        <w:rPr>
          <w:i/>
          <w:color w:val="231F20"/>
          <w:sz w:val="24"/>
        </w:rPr>
        <w:t>Compaoré</w:t>
      </w:r>
      <w:r>
        <w:rPr>
          <w:i/>
          <w:color w:val="231F20"/>
          <w:spacing w:val="-15"/>
          <w:sz w:val="24"/>
        </w:rPr>
        <w:t> </w:t>
      </w:r>
      <w:r>
        <w:rPr>
          <w:i/>
          <w:color w:val="231F20"/>
          <w:sz w:val="24"/>
        </w:rPr>
        <w:t>au CNR par Gilbert Diendéré, son adjoint (…)</w:t>
      </w:r>
    </w:p>
    <w:p>
      <w:pPr>
        <w:spacing w:before="120"/>
        <w:ind w:left="111" w:right="107" w:firstLine="340"/>
        <w:jc w:val="both"/>
        <w:rPr>
          <w:i/>
          <w:sz w:val="24"/>
        </w:rPr>
      </w:pPr>
      <w:r>
        <w:rPr>
          <w:i/>
          <w:color w:val="231F20"/>
          <w:sz w:val="24"/>
        </w:rPr>
        <w:t>Le 18 septembre 1989, Jean-Baptiste Lengani et Henri Zongo,</w:t>
      </w:r>
      <w:r>
        <w:rPr>
          <w:i/>
          <w:color w:val="231F20"/>
          <w:sz w:val="24"/>
        </w:rPr>
        <w:t> respectivement</w:t>
      </w:r>
      <w:r>
        <w:rPr>
          <w:i/>
          <w:color w:val="231F20"/>
          <w:spacing w:val="-15"/>
          <w:sz w:val="24"/>
        </w:rPr>
        <w:t> </w:t>
      </w:r>
      <w:r>
        <w:rPr>
          <w:i/>
          <w:color w:val="231F20"/>
          <w:sz w:val="24"/>
        </w:rPr>
        <w:t>en</w:t>
      </w:r>
      <w:r>
        <w:rPr>
          <w:i/>
          <w:color w:val="231F20"/>
          <w:spacing w:val="-15"/>
          <w:sz w:val="24"/>
        </w:rPr>
        <w:t> </w:t>
      </w:r>
      <w:r>
        <w:rPr>
          <w:i/>
          <w:color w:val="231F20"/>
          <w:sz w:val="24"/>
        </w:rPr>
        <w:t>charge</w:t>
      </w:r>
      <w:r>
        <w:rPr>
          <w:i/>
          <w:color w:val="231F20"/>
          <w:spacing w:val="-15"/>
          <w:sz w:val="24"/>
        </w:rPr>
        <w:t> </w:t>
      </w:r>
      <w:r>
        <w:rPr>
          <w:i/>
          <w:color w:val="231F20"/>
          <w:sz w:val="24"/>
        </w:rPr>
        <w:t>des</w:t>
      </w:r>
      <w:r>
        <w:rPr>
          <w:i/>
          <w:color w:val="231F20"/>
          <w:spacing w:val="-15"/>
          <w:sz w:val="24"/>
        </w:rPr>
        <w:t> </w:t>
      </w:r>
      <w:r>
        <w:rPr>
          <w:i/>
          <w:color w:val="231F20"/>
          <w:sz w:val="24"/>
        </w:rPr>
        <w:t>ministères</w:t>
      </w:r>
      <w:r>
        <w:rPr>
          <w:i/>
          <w:color w:val="231F20"/>
          <w:spacing w:val="-15"/>
          <w:sz w:val="24"/>
        </w:rPr>
        <w:t> </w:t>
      </w:r>
      <w:r>
        <w:rPr>
          <w:i/>
          <w:color w:val="231F20"/>
          <w:sz w:val="24"/>
        </w:rPr>
        <w:t>de</w:t>
      </w:r>
      <w:r>
        <w:rPr>
          <w:i/>
          <w:color w:val="231F20"/>
          <w:spacing w:val="-15"/>
          <w:sz w:val="24"/>
        </w:rPr>
        <w:t> </w:t>
      </w:r>
      <w:r>
        <w:rPr>
          <w:i/>
          <w:color w:val="231F20"/>
          <w:sz w:val="24"/>
        </w:rPr>
        <w:t>la</w:t>
      </w:r>
      <w:r>
        <w:rPr>
          <w:i/>
          <w:color w:val="231F20"/>
          <w:spacing w:val="-15"/>
          <w:sz w:val="24"/>
        </w:rPr>
        <w:t> </w:t>
      </w:r>
      <w:r>
        <w:rPr>
          <w:i/>
          <w:color w:val="231F20"/>
          <w:sz w:val="24"/>
        </w:rPr>
        <w:t>défense</w:t>
      </w:r>
      <w:r>
        <w:rPr>
          <w:i/>
          <w:color w:val="231F20"/>
          <w:spacing w:val="-15"/>
          <w:sz w:val="24"/>
        </w:rPr>
        <w:t> </w:t>
      </w:r>
      <w:r>
        <w:rPr>
          <w:i/>
          <w:color w:val="231F20"/>
          <w:sz w:val="24"/>
        </w:rPr>
        <w:t>populaire</w:t>
      </w:r>
      <w:r>
        <w:rPr>
          <w:i/>
          <w:color w:val="231F20"/>
          <w:spacing w:val="-15"/>
          <w:sz w:val="24"/>
        </w:rPr>
        <w:t> </w:t>
      </w:r>
      <w:r>
        <w:rPr>
          <w:i/>
          <w:color w:val="231F20"/>
          <w:sz w:val="24"/>
        </w:rPr>
        <w:t>et</w:t>
      </w:r>
      <w:r>
        <w:rPr>
          <w:i/>
          <w:color w:val="231F20"/>
          <w:spacing w:val="-15"/>
          <w:sz w:val="24"/>
        </w:rPr>
        <w:t> </w:t>
      </w:r>
      <w:r>
        <w:rPr>
          <w:i/>
          <w:color w:val="231F20"/>
          <w:sz w:val="24"/>
        </w:rPr>
        <w:t>de</w:t>
      </w:r>
      <w:r>
        <w:rPr>
          <w:i/>
          <w:color w:val="231F20"/>
          <w:spacing w:val="-15"/>
          <w:sz w:val="24"/>
        </w:rPr>
        <w:t> </w:t>
      </w:r>
      <w:r>
        <w:rPr>
          <w:i/>
          <w:color w:val="231F20"/>
          <w:sz w:val="24"/>
        </w:rPr>
        <w:t>la Promotion</w:t>
      </w:r>
      <w:r>
        <w:rPr>
          <w:i/>
          <w:color w:val="231F20"/>
          <w:spacing w:val="-15"/>
          <w:sz w:val="24"/>
        </w:rPr>
        <w:t> </w:t>
      </w:r>
      <w:r>
        <w:rPr>
          <w:i/>
          <w:color w:val="231F20"/>
          <w:sz w:val="24"/>
        </w:rPr>
        <w:t>économique,</w:t>
      </w:r>
      <w:r>
        <w:rPr>
          <w:i/>
          <w:color w:val="231F20"/>
          <w:spacing w:val="-15"/>
          <w:sz w:val="24"/>
        </w:rPr>
        <w:t> </w:t>
      </w:r>
      <w:r>
        <w:rPr>
          <w:i/>
          <w:color w:val="231F20"/>
          <w:sz w:val="24"/>
        </w:rPr>
        <w:t>sont</w:t>
      </w:r>
      <w:r>
        <w:rPr>
          <w:i/>
          <w:color w:val="231F20"/>
          <w:spacing w:val="-15"/>
          <w:sz w:val="24"/>
        </w:rPr>
        <w:t> </w:t>
      </w:r>
      <w:r>
        <w:rPr>
          <w:i/>
          <w:color w:val="231F20"/>
          <w:sz w:val="24"/>
        </w:rPr>
        <w:t>accusés</w:t>
      </w:r>
      <w:r>
        <w:rPr>
          <w:i/>
          <w:color w:val="231F20"/>
          <w:spacing w:val="-15"/>
          <w:sz w:val="24"/>
        </w:rPr>
        <w:t> </w:t>
      </w:r>
      <w:r>
        <w:rPr>
          <w:i/>
          <w:color w:val="231F20"/>
          <w:sz w:val="24"/>
        </w:rPr>
        <w:t>de</w:t>
      </w:r>
      <w:r>
        <w:rPr>
          <w:i/>
          <w:color w:val="231F20"/>
          <w:spacing w:val="-15"/>
          <w:sz w:val="24"/>
        </w:rPr>
        <w:t> </w:t>
      </w:r>
      <w:r>
        <w:rPr>
          <w:i/>
          <w:color w:val="231F20"/>
          <w:sz w:val="24"/>
        </w:rPr>
        <w:t>complot</w:t>
      </w:r>
      <w:r>
        <w:rPr>
          <w:i/>
          <w:color w:val="231F20"/>
          <w:spacing w:val="-15"/>
          <w:sz w:val="24"/>
        </w:rPr>
        <w:t> </w:t>
      </w:r>
      <w:r>
        <w:rPr>
          <w:i/>
          <w:color w:val="231F20"/>
          <w:sz w:val="24"/>
        </w:rPr>
        <w:t>contre</w:t>
      </w:r>
      <w:r>
        <w:rPr>
          <w:i/>
          <w:color w:val="231F20"/>
          <w:spacing w:val="-15"/>
          <w:sz w:val="24"/>
        </w:rPr>
        <w:t> </w:t>
      </w:r>
      <w:r>
        <w:rPr>
          <w:i/>
          <w:color w:val="231F20"/>
          <w:sz w:val="24"/>
        </w:rPr>
        <w:t>le</w:t>
      </w:r>
      <w:r>
        <w:rPr>
          <w:i/>
          <w:color w:val="231F20"/>
          <w:spacing w:val="-15"/>
          <w:sz w:val="24"/>
        </w:rPr>
        <w:t> </w:t>
      </w:r>
      <w:r>
        <w:rPr>
          <w:i/>
          <w:color w:val="231F20"/>
          <w:sz w:val="24"/>
        </w:rPr>
        <w:t>nouveau</w:t>
      </w:r>
      <w:r>
        <w:rPr>
          <w:i/>
          <w:color w:val="231F20"/>
          <w:spacing w:val="-15"/>
          <w:sz w:val="24"/>
        </w:rPr>
        <w:t> </w:t>
      </w:r>
      <w:r>
        <w:rPr>
          <w:i/>
          <w:color w:val="231F20"/>
          <w:sz w:val="24"/>
        </w:rPr>
        <w:t>chef de l’État, Blaise Compaoré. Mis aux arrêts et jugés ensuite, ils sont purement et simplement exécutés. (... )</w:t>
      </w:r>
      <w:r>
        <w:rPr>
          <w:color w:val="231F20"/>
          <w:sz w:val="24"/>
          <w:vertAlign w:val="superscript"/>
        </w:rPr>
        <w:t>110</w:t>
      </w:r>
      <w:r>
        <w:rPr>
          <w:color w:val="231F20"/>
          <w:sz w:val="24"/>
          <w:vertAlign w:val="baseline"/>
        </w:rPr>
        <w:t> </w:t>
      </w:r>
      <w:r>
        <w:rPr>
          <w:i/>
          <w:color w:val="231F20"/>
          <w:sz w:val="24"/>
          <w:vertAlign w:val="baseline"/>
        </w:rPr>
        <w:t>»</w:t>
      </w:r>
    </w:p>
    <w:p>
      <w:pPr>
        <w:pStyle w:val="BodyText"/>
        <w:spacing w:before="120"/>
        <w:ind w:right="106" w:firstLine="283"/>
      </w:pPr>
      <w:r>
        <w:rPr>
          <w:color w:val="231F20"/>
        </w:rPr>
        <w:t>De 1987 à 2014, Blaise Compaoré dirige le Burkina Faso. Les </w:t>
      </w:r>
      <w:r>
        <w:rPr>
          <w:color w:val="231F20"/>
          <w:spacing w:val="-4"/>
        </w:rPr>
        <w:t>violences</w:t>
      </w:r>
      <w:r>
        <w:rPr>
          <w:color w:val="231F20"/>
          <w:spacing w:val="-6"/>
        </w:rPr>
        <w:t> </w:t>
      </w:r>
      <w:r>
        <w:rPr>
          <w:color w:val="231F20"/>
          <w:spacing w:val="-4"/>
        </w:rPr>
        <w:t>policières</w:t>
      </w:r>
      <w:r>
        <w:rPr>
          <w:color w:val="231F20"/>
          <w:spacing w:val="-6"/>
        </w:rPr>
        <w:t> </w:t>
      </w:r>
      <w:r>
        <w:rPr>
          <w:color w:val="231F20"/>
          <w:spacing w:val="-4"/>
        </w:rPr>
        <w:t>et les</w:t>
      </w:r>
      <w:r>
        <w:rPr>
          <w:color w:val="231F20"/>
          <w:spacing w:val="-8"/>
        </w:rPr>
        <w:t> </w:t>
      </w:r>
      <w:r>
        <w:rPr>
          <w:color w:val="231F20"/>
          <w:spacing w:val="-4"/>
        </w:rPr>
        <w:t>meurtres</w:t>
      </w:r>
      <w:r>
        <w:rPr>
          <w:color w:val="231F20"/>
          <w:spacing w:val="-6"/>
        </w:rPr>
        <w:t> </w:t>
      </w:r>
      <w:r>
        <w:rPr>
          <w:color w:val="231F20"/>
          <w:spacing w:val="-4"/>
        </w:rPr>
        <w:t>de</w:t>
      </w:r>
      <w:r>
        <w:rPr>
          <w:color w:val="231F20"/>
          <w:spacing w:val="-8"/>
        </w:rPr>
        <w:t> </w:t>
      </w:r>
      <w:r>
        <w:rPr>
          <w:color w:val="231F20"/>
          <w:spacing w:val="-4"/>
        </w:rPr>
        <w:t>ses</w:t>
      </w:r>
      <w:r>
        <w:rPr>
          <w:color w:val="231F20"/>
          <w:spacing w:val="-6"/>
        </w:rPr>
        <w:t> </w:t>
      </w:r>
      <w:r>
        <w:rPr>
          <w:color w:val="231F20"/>
          <w:spacing w:val="-4"/>
        </w:rPr>
        <w:t>opposants</w:t>
      </w:r>
      <w:r>
        <w:rPr>
          <w:color w:val="231F20"/>
          <w:spacing w:val="-8"/>
        </w:rPr>
        <w:t> </w:t>
      </w:r>
      <w:r>
        <w:rPr>
          <w:color w:val="231F20"/>
          <w:spacing w:val="-4"/>
        </w:rPr>
        <w:t>sont</w:t>
      </w:r>
      <w:r>
        <w:rPr>
          <w:color w:val="231F20"/>
          <w:spacing w:val="-6"/>
        </w:rPr>
        <w:t> </w:t>
      </w:r>
      <w:r>
        <w:rPr>
          <w:color w:val="231F20"/>
          <w:spacing w:val="-4"/>
        </w:rPr>
        <w:t>continuellement </w:t>
      </w:r>
      <w:r>
        <w:rPr>
          <w:color w:val="231F20"/>
        </w:rPr>
        <w:t>dénoncés par l’opposition</w:t>
      </w:r>
      <w:r>
        <w:rPr>
          <w:color w:val="231F20"/>
          <w:spacing w:val="-15"/>
        </w:rPr>
        <w:t> </w:t>
      </w:r>
      <w:r>
        <w:rPr>
          <w:color w:val="231F20"/>
        </w:rPr>
        <w:t>comme l’assassinat du journaliste Norbert Zongo</w:t>
      </w:r>
      <w:r>
        <w:rPr>
          <w:color w:val="231F20"/>
          <w:spacing w:val="-8"/>
        </w:rPr>
        <w:t> </w:t>
      </w:r>
      <w:r>
        <w:rPr>
          <w:color w:val="231F20"/>
        </w:rPr>
        <w:t>en</w:t>
      </w:r>
      <w:r>
        <w:rPr>
          <w:color w:val="231F20"/>
          <w:spacing w:val="-8"/>
        </w:rPr>
        <w:t> </w:t>
      </w:r>
      <w:r>
        <w:rPr>
          <w:color w:val="231F20"/>
        </w:rPr>
        <w:t>1998.</w:t>
      </w:r>
      <w:r>
        <w:rPr>
          <w:color w:val="231F20"/>
          <w:spacing w:val="-10"/>
        </w:rPr>
        <w:t> </w:t>
      </w:r>
      <w:r>
        <w:rPr>
          <w:color w:val="231F20"/>
        </w:rPr>
        <w:t>En</w:t>
      </w:r>
      <w:r>
        <w:rPr>
          <w:color w:val="231F20"/>
          <w:spacing w:val="-8"/>
        </w:rPr>
        <w:t> </w:t>
      </w:r>
      <w:r>
        <w:rPr>
          <w:color w:val="231F20"/>
        </w:rPr>
        <w:t>juin</w:t>
      </w:r>
      <w:r>
        <w:rPr>
          <w:color w:val="231F20"/>
          <w:spacing w:val="-10"/>
        </w:rPr>
        <w:t> </w:t>
      </w:r>
      <w:r>
        <w:rPr>
          <w:color w:val="231F20"/>
        </w:rPr>
        <w:t>2008,</w:t>
      </w:r>
      <w:r>
        <w:rPr>
          <w:color w:val="231F20"/>
          <w:spacing w:val="-10"/>
        </w:rPr>
        <w:t> </w:t>
      </w:r>
      <w:r>
        <w:rPr>
          <w:color w:val="231F20"/>
        </w:rPr>
        <w:t>l'université</w:t>
      </w:r>
      <w:r>
        <w:rPr>
          <w:color w:val="231F20"/>
          <w:spacing w:val="-8"/>
        </w:rPr>
        <w:t> </w:t>
      </w:r>
      <w:r>
        <w:rPr>
          <w:color w:val="231F20"/>
        </w:rPr>
        <w:t>de</w:t>
      </w:r>
      <w:r>
        <w:rPr>
          <w:color w:val="231F20"/>
          <w:spacing w:val="-8"/>
        </w:rPr>
        <w:t> </w:t>
      </w:r>
      <w:r>
        <w:rPr>
          <w:color w:val="231F20"/>
        </w:rPr>
        <w:t>Ouagadougou</w:t>
      </w:r>
      <w:r>
        <w:rPr>
          <w:color w:val="231F20"/>
          <w:spacing w:val="-8"/>
        </w:rPr>
        <w:t> </w:t>
      </w:r>
      <w:r>
        <w:rPr>
          <w:color w:val="231F20"/>
        </w:rPr>
        <w:t>connaît</w:t>
      </w:r>
      <w:r>
        <w:rPr>
          <w:color w:val="231F20"/>
          <w:spacing w:val="-8"/>
        </w:rPr>
        <w:t> </w:t>
      </w:r>
      <w:r>
        <w:rPr>
          <w:color w:val="231F20"/>
        </w:rPr>
        <w:t>une grève.</w:t>
      </w:r>
      <w:r>
        <w:rPr>
          <w:color w:val="231F20"/>
          <w:spacing w:val="35"/>
        </w:rPr>
        <w:t> </w:t>
      </w:r>
      <w:r>
        <w:rPr>
          <w:color w:val="231F20"/>
        </w:rPr>
        <w:t>La</w:t>
      </w:r>
      <w:r>
        <w:rPr>
          <w:color w:val="231F20"/>
          <w:spacing w:val="35"/>
        </w:rPr>
        <w:t> </w:t>
      </w:r>
      <w:r>
        <w:rPr>
          <w:color w:val="231F20"/>
        </w:rPr>
        <w:t>réponse</w:t>
      </w:r>
      <w:r>
        <w:rPr>
          <w:color w:val="231F20"/>
          <w:spacing w:val="38"/>
        </w:rPr>
        <w:t> </w:t>
      </w:r>
      <w:r>
        <w:rPr>
          <w:color w:val="231F20"/>
        </w:rPr>
        <w:t>du</w:t>
      </w:r>
      <w:r>
        <w:rPr>
          <w:color w:val="231F20"/>
          <w:spacing w:val="36"/>
        </w:rPr>
        <w:t> </w:t>
      </w:r>
      <w:r>
        <w:rPr>
          <w:color w:val="231F20"/>
        </w:rPr>
        <w:t>pouvoir</w:t>
      </w:r>
      <w:r>
        <w:rPr>
          <w:color w:val="231F20"/>
          <w:spacing w:val="35"/>
        </w:rPr>
        <w:t> </w:t>
      </w:r>
      <w:r>
        <w:rPr>
          <w:color w:val="231F20"/>
        </w:rPr>
        <w:t>est</w:t>
      </w:r>
      <w:r>
        <w:rPr>
          <w:color w:val="231F20"/>
          <w:spacing w:val="38"/>
        </w:rPr>
        <w:t> </w:t>
      </w:r>
      <w:r>
        <w:rPr>
          <w:color w:val="231F20"/>
        </w:rPr>
        <w:t>brutale</w:t>
      </w:r>
      <w:r>
        <w:rPr>
          <w:color w:val="231F20"/>
          <w:spacing w:val="-12"/>
        </w:rPr>
        <w:t> </w:t>
      </w:r>
      <w:r>
        <w:rPr>
          <w:color w:val="231F20"/>
        </w:rPr>
        <w:t>:</w:t>
      </w:r>
      <w:r>
        <w:rPr>
          <w:color w:val="231F20"/>
          <w:spacing w:val="36"/>
        </w:rPr>
        <w:t> </w:t>
      </w:r>
      <w:r>
        <w:rPr>
          <w:color w:val="231F20"/>
        </w:rPr>
        <w:t>suppression</w:t>
      </w:r>
      <w:r>
        <w:rPr>
          <w:color w:val="231F20"/>
          <w:spacing w:val="36"/>
        </w:rPr>
        <w:t> </w:t>
      </w:r>
      <w:r>
        <w:rPr>
          <w:color w:val="231F20"/>
        </w:rPr>
        <w:t>de</w:t>
      </w:r>
      <w:r>
        <w:rPr>
          <w:color w:val="231F20"/>
          <w:spacing w:val="35"/>
        </w:rPr>
        <w:t> </w:t>
      </w:r>
      <w:r>
        <w:rPr>
          <w:color w:val="231F20"/>
        </w:rPr>
        <w:t>toutes</w:t>
      </w:r>
      <w:r>
        <w:rPr>
          <w:color w:val="231F20"/>
          <w:spacing w:val="37"/>
        </w:rPr>
        <w:t> </w:t>
      </w:r>
      <w:r>
        <w:rPr>
          <w:color w:val="231F20"/>
          <w:spacing w:val="-5"/>
        </w:rPr>
        <w:t>les</w:t>
      </w:r>
    </w:p>
    <w:p>
      <w:pPr>
        <w:pStyle w:val="BodyText"/>
        <w:ind w:left="0"/>
        <w:jc w:val="left"/>
        <w:rPr>
          <w:sz w:val="20"/>
        </w:rPr>
      </w:pPr>
    </w:p>
    <w:p>
      <w:pPr>
        <w:pStyle w:val="BodyText"/>
        <w:spacing w:before="89"/>
        <w:ind w:left="0"/>
        <w:jc w:val="left"/>
        <w:rPr>
          <w:sz w:val="20"/>
        </w:rPr>
      </w:pPr>
      <w:r>
        <w:rPr/>
        <mc:AlternateContent>
          <mc:Choice Requires="wps">
            <w:drawing>
              <wp:anchor distT="0" distB="0" distL="0" distR="0" allowOverlap="1" layoutInCell="1" locked="0" behindDoc="1" simplePos="0" relativeHeight="487623168">
                <wp:simplePos x="0" y="0"/>
                <wp:positionH relativeFrom="page">
                  <wp:posOffset>629907</wp:posOffset>
                </wp:positionH>
                <wp:positionV relativeFrom="paragraph">
                  <wp:posOffset>218008</wp:posOffset>
                </wp:positionV>
                <wp:extent cx="1829435" cy="9525"/>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166016pt;width:144.020pt;height:.72pt;mso-position-horizontal-relative:page;mso-position-vertical-relative:paragraph;z-index:-15693312;mso-wrap-distance-left:0;mso-wrap-distance-right:0" id="docshape86" filled="true" fillcolor="#231f20" stroked="false">
                <v:fill type="solid"/>
                <w10:wrap type="topAndBottom"/>
              </v:rect>
            </w:pict>
          </mc:Fallback>
        </mc:AlternateContent>
      </w:r>
    </w:p>
    <w:p>
      <w:pPr>
        <w:spacing w:before="94"/>
        <w:ind w:left="111" w:right="309" w:firstLine="0"/>
        <w:jc w:val="left"/>
        <w:rPr>
          <w:sz w:val="20"/>
        </w:rPr>
      </w:pPr>
      <w:r>
        <w:rPr>
          <w:color w:val="76787A"/>
          <w:spacing w:val="-2"/>
          <w:sz w:val="20"/>
          <w:vertAlign w:val="superscript"/>
        </w:rPr>
        <w:t>110</w:t>
      </w:r>
      <w:r>
        <w:rPr>
          <w:color w:val="76787A"/>
          <w:spacing w:val="-10"/>
          <w:sz w:val="20"/>
          <w:vertAlign w:val="baseline"/>
        </w:rPr>
        <w:t> </w:t>
      </w:r>
      <w:r>
        <w:rPr>
          <w:color w:val="231F20"/>
          <w:spacing w:val="-2"/>
          <w:sz w:val="20"/>
          <w:vertAlign w:val="baseline"/>
        </w:rPr>
        <w:t>Dr</w:t>
      </w:r>
      <w:r>
        <w:rPr>
          <w:color w:val="231F20"/>
          <w:spacing w:val="-10"/>
          <w:sz w:val="20"/>
          <w:vertAlign w:val="baseline"/>
        </w:rPr>
        <w:t> </w:t>
      </w:r>
      <w:r>
        <w:rPr>
          <w:color w:val="231F20"/>
          <w:spacing w:val="-2"/>
          <w:sz w:val="20"/>
          <w:vertAlign w:val="baseline"/>
        </w:rPr>
        <w:t>BANGALI</w:t>
      </w:r>
      <w:r>
        <w:rPr>
          <w:color w:val="231F20"/>
          <w:spacing w:val="-10"/>
          <w:sz w:val="20"/>
          <w:vertAlign w:val="baseline"/>
        </w:rPr>
        <w:t> </w:t>
      </w:r>
      <w:r>
        <w:rPr>
          <w:color w:val="231F20"/>
          <w:spacing w:val="-2"/>
          <w:sz w:val="20"/>
          <w:vertAlign w:val="baseline"/>
        </w:rPr>
        <w:t>N’goran,</w:t>
      </w:r>
      <w:r>
        <w:rPr>
          <w:color w:val="231F20"/>
          <w:spacing w:val="-11"/>
          <w:sz w:val="20"/>
          <w:vertAlign w:val="baseline"/>
        </w:rPr>
        <w:t> </w:t>
      </w:r>
      <w:r>
        <w:rPr>
          <w:color w:val="231F20"/>
          <w:spacing w:val="-2"/>
          <w:sz w:val="20"/>
          <w:vertAlign w:val="baseline"/>
        </w:rPr>
        <w:t>Historien,</w:t>
      </w:r>
      <w:r>
        <w:rPr>
          <w:color w:val="231F20"/>
          <w:spacing w:val="-10"/>
          <w:sz w:val="20"/>
          <w:vertAlign w:val="baseline"/>
        </w:rPr>
        <w:t> </w:t>
      </w:r>
      <w:r>
        <w:rPr>
          <w:color w:val="48484A"/>
          <w:spacing w:val="-2"/>
          <w:sz w:val="20"/>
          <w:vertAlign w:val="baseline"/>
        </w:rPr>
        <w:t>Publié</w:t>
      </w:r>
      <w:r>
        <w:rPr>
          <w:color w:val="48484A"/>
          <w:spacing w:val="-11"/>
          <w:sz w:val="20"/>
          <w:vertAlign w:val="baseline"/>
        </w:rPr>
        <w:t> </w:t>
      </w:r>
      <w:r>
        <w:rPr>
          <w:color w:val="48484A"/>
          <w:spacing w:val="-2"/>
          <w:sz w:val="20"/>
          <w:vertAlign w:val="baseline"/>
        </w:rPr>
        <w:t>le</w:t>
      </w:r>
      <w:r>
        <w:rPr>
          <w:color w:val="48484A"/>
          <w:spacing w:val="-10"/>
          <w:sz w:val="20"/>
          <w:vertAlign w:val="baseline"/>
        </w:rPr>
        <w:t> </w:t>
      </w:r>
      <w:r>
        <w:rPr>
          <w:color w:val="48484A"/>
          <w:spacing w:val="-2"/>
          <w:sz w:val="20"/>
          <w:vertAlign w:val="baseline"/>
        </w:rPr>
        <w:t>17</w:t>
      </w:r>
      <w:r>
        <w:rPr>
          <w:color w:val="48484A"/>
          <w:spacing w:val="-10"/>
          <w:sz w:val="20"/>
          <w:vertAlign w:val="baseline"/>
        </w:rPr>
        <w:t> </w:t>
      </w:r>
      <w:r>
        <w:rPr>
          <w:color w:val="48484A"/>
          <w:spacing w:val="-2"/>
          <w:sz w:val="20"/>
          <w:vertAlign w:val="baseline"/>
        </w:rPr>
        <w:t>déc,</w:t>
      </w:r>
      <w:r>
        <w:rPr>
          <w:color w:val="48484A"/>
          <w:spacing w:val="-11"/>
          <w:sz w:val="20"/>
          <w:vertAlign w:val="baseline"/>
        </w:rPr>
        <w:t> </w:t>
      </w:r>
      <w:r>
        <w:rPr>
          <w:color w:val="48484A"/>
          <w:spacing w:val="-2"/>
          <w:sz w:val="20"/>
          <w:vertAlign w:val="baseline"/>
        </w:rPr>
        <w:t>2014</w:t>
      </w:r>
      <w:r>
        <w:rPr>
          <w:color w:val="48484A"/>
          <w:spacing w:val="-10"/>
          <w:sz w:val="20"/>
          <w:vertAlign w:val="baseline"/>
        </w:rPr>
        <w:t> </w:t>
      </w:r>
      <w:r>
        <w:rPr>
          <w:color w:val="48484A"/>
          <w:spacing w:val="-2"/>
          <w:sz w:val="20"/>
          <w:vertAlign w:val="baseline"/>
        </w:rPr>
        <w:t>sur </w:t>
      </w:r>
      <w:hyperlink r:id="rId38">
        <w:r>
          <w:rPr>
            <w:color w:val="48484A"/>
            <w:spacing w:val="-2"/>
            <w:sz w:val="20"/>
            <w:vertAlign w:val="baseline"/>
          </w:rPr>
          <w:t>http://oeildafrique.com.</w:t>
        </w:r>
      </w:hyperlink>
    </w:p>
    <w:p>
      <w:pPr>
        <w:spacing w:after="0"/>
        <w:jc w:val="left"/>
        <w:rPr>
          <w:sz w:val="20"/>
        </w:rPr>
        <w:sectPr>
          <w:pgSz w:w="8790" w:h="13610"/>
          <w:pgMar w:header="0" w:footer="802" w:top="1060" w:bottom="1000" w:left="880" w:right="880"/>
        </w:sectPr>
      </w:pPr>
    </w:p>
    <w:p>
      <w:pPr>
        <w:pStyle w:val="BodyText"/>
        <w:spacing w:before="66"/>
        <w:ind w:right="108"/>
      </w:pPr>
      <w:r>
        <w:rPr>
          <w:color w:val="231F20"/>
        </w:rPr>
        <w:t>prestations sociales (bourses, restauration, résidences universitaires vidées en deux jours.</w:t>
      </w:r>
    </w:p>
    <w:p>
      <w:pPr>
        <w:pStyle w:val="BodyText"/>
        <w:spacing w:before="120"/>
        <w:ind w:right="101" w:firstLine="283"/>
      </w:pPr>
      <w:r>
        <w:rPr>
          <w:color w:val="231F20"/>
        </w:rPr>
        <w:t>Blaise Compaoré souhaite se présenter pour un cinquième mandat </w:t>
      </w:r>
      <w:r>
        <w:rPr>
          <w:color w:val="231F20"/>
          <w:spacing w:val="-4"/>
        </w:rPr>
        <w:t>consécutif</w:t>
      </w:r>
      <w:r>
        <w:rPr>
          <w:color w:val="231F20"/>
          <w:spacing w:val="-7"/>
        </w:rPr>
        <w:t> </w:t>
      </w:r>
      <w:r>
        <w:rPr>
          <w:color w:val="231F20"/>
          <w:spacing w:val="-4"/>
        </w:rPr>
        <w:t>en</w:t>
      </w:r>
      <w:r>
        <w:rPr>
          <w:color w:val="231F20"/>
          <w:spacing w:val="-9"/>
        </w:rPr>
        <w:t> </w:t>
      </w:r>
      <w:r>
        <w:rPr>
          <w:color w:val="231F20"/>
          <w:spacing w:val="-4"/>
        </w:rPr>
        <w:t>2015.</w:t>
      </w:r>
      <w:r>
        <w:rPr>
          <w:color w:val="231F20"/>
          <w:spacing w:val="-9"/>
        </w:rPr>
        <w:t> </w:t>
      </w:r>
      <w:r>
        <w:rPr>
          <w:color w:val="231F20"/>
          <w:spacing w:val="-4"/>
        </w:rPr>
        <w:t>Un</w:t>
      </w:r>
      <w:r>
        <w:rPr>
          <w:color w:val="231F20"/>
          <w:spacing w:val="-9"/>
        </w:rPr>
        <w:t> </w:t>
      </w:r>
      <w:r>
        <w:rPr>
          <w:color w:val="231F20"/>
          <w:spacing w:val="-4"/>
        </w:rPr>
        <w:t>an</w:t>
      </w:r>
      <w:r>
        <w:rPr>
          <w:color w:val="231F20"/>
          <w:spacing w:val="-9"/>
        </w:rPr>
        <w:t> </w:t>
      </w:r>
      <w:r>
        <w:rPr>
          <w:color w:val="231F20"/>
          <w:spacing w:val="-4"/>
        </w:rPr>
        <w:t>avant</w:t>
      </w:r>
      <w:r>
        <w:rPr>
          <w:color w:val="231F20"/>
          <w:spacing w:val="-9"/>
        </w:rPr>
        <w:t> </w:t>
      </w:r>
      <w:r>
        <w:rPr>
          <w:color w:val="231F20"/>
          <w:spacing w:val="-4"/>
        </w:rPr>
        <w:t>les</w:t>
      </w:r>
      <w:r>
        <w:rPr>
          <w:color w:val="231F20"/>
          <w:spacing w:val="-9"/>
        </w:rPr>
        <w:t> </w:t>
      </w:r>
      <w:r>
        <w:rPr>
          <w:color w:val="231F20"/>
          <w:spacing w:val="-4"/>
        </w:rPr>
        <w:t>élections,</w:t>
      </w:r>
      <w:r>
        <w:rPr>
          <w:color w:val="231F20"/>
          <w:spacing w:val="-9"/>
        </w:rPr>
        <w:t> </w:t>
      </w:r>
      <w:r>
        <w:rPr>
          <w:color w:val="231F20"/>
          <w:spacing w:val="-4"/>
        </w:rPr>
        <w:t>il</w:t>
      </w:r>
      <w:r>
        <w:rPr>
          <w:color w:val="231F20"/>
          <w:spacing w:val="-8"/>
        </w:rPr>
        <w:t> </w:t>
      </w:r>
      <w:r>
        <w:rPr>
          <w:color w:val="231F20"/>
          <w:spacing w:val="-4"/>
        </w:rPr>
        <w:t>demande</w:t>
      </w:r>
      <w:r>
        <w:rPr>
          <w:color w:val="231F20"/>
          <w:spacing w:val="-7"/>
        </w:rPr>
        <w:t> </w:t>
      </w:r>
      <w:r>
        <w:rPr>
          <w:color w:val="231F20"/>
          <w:spacing w:val="-4"/>
        </w:rPr>
        <w:t>au</w:t>
      </w:r>
      <w:r>
        <w:rPr>
          <w:color w:val="231F20"/>
          <w:spacing w:val="-9"/>
        </w:rPr>
        <w:t> </w:t>
      </w:r>
      <w:r>
        <w:rPr>
          <w:color w:val="231F20"/>
          <w:spacing w:val="-4"/>
        </w:rPr>
        <w:t>Parlement</w:t>
      </w:r>
      <w:r>
        <w:rPr>
          <w:color w:val="231F20"/>
          <w:spacing w:val="-8"/>
        </w:rPr>
        <w:t> </w:t>
      </w:r>
      <w:r>
        <w:rPr>
          <w:color w:val="231F20"/>
          <w:spacing w:val="-4"/>
        </w:rPr>
        <w:t>de </w:t>
      </w:r>
      <w:r>
        <w:rPr>
          <w:color w:val="231F20"/>
          <w:spacing w:val="-2"/>
        </w:rPr>
        <w:t>revoir</w:t>
      </w:r>
      <w:r>
        <w:rPr>
          <w:color w:val="231F20"/>
          <w:spacing w:val="-15"/>
        </w:rPr>
        <w:t> </w:t>
      </w:r>
      <w:r>
        <w:rPr>
          <w:color w:val="231F20"/>
          <w:spacing w:val="-2"/>
        </w:rPr>
        <w:t>la</w:t>
      </w:r>
      <w:r>
        <w:rPr>
          <w:color w:val="231F20"/>
          <w:spacing w:val="-13"/>
        </w:rPr>
        <w:t> </w:t>
      </w:r>
      <w:r>
        <w:rPr>
          <w:color w:val="231F20"/>
          <w:spacing w:val="-2"/>
        </w:rPr>
        <w:t>Constitution</w:t>
      </w:r>
      <w:r>
        <w:rPr>
          <w:color w:val="231F20"/>
          <w:spacing w:val="-13"/>
        </w:rPr>
        <w:t> </w:t>
      </w:r>
      <w:r>
        <w:rPr>
          <w:color w:val="231F20"/>
          <w:spacing w:val="-2"/>
        </w:rPr>
        <w:t>du</w:t>
      </w:r>
      <w:r>
        <w:rPr>
          <w:color w:val="231F20"/>
          <w:spacing w:val="-13"/>
        </w:rPr>
        <w:t> </w:t>
      </w:r>
      <w:r>
        <w:rPr>
          <w:color w:val="231F20"/>
          <w:spacing w:val="-2"/>
        </w:rPr>
        <w:t>11</w:t>
      </w:r>
      <w:r>
        <w:rPr>
          <w:color w:val="231F20"/>
          <w:spacing w:val="-13"/>
        </w:rPr>
        <w:t> </w:t>
      </w:r>
      <w:r>
        <w:rPr>
          <w:color w:val="231F20"/>
          <w:spacing w:val="-2"/>
        </w:rPr>
        <w:t>avril</w:t>
      </w:r>
      <w:r>
        <w:rPr>
          <w:color w:val="231F20"/>
          <w:spacing w:val="-13"/>
        </w:rPr>
        <w:t> </w:t>
      </w:r>
      <w:r>
        <w:rPr>
          <w:color w:val="231F20"/>
          <w:spacing w:val="-2"/>
        </w:rPr>
        <w:t>2000,</w:t>
      </w:r>
      <w:r>
        <w:rPr>
          <w:color w:val="231F20"/>
          <w:spacing w:val="-13"/>
        </w:rPr>
        <w:t> </w:t>
      </w:r>
      <w:r>
        <w:rPr>
          <w:color w:val="231F20"/>
          <w:spacing w:val="-2"/>
        </w:rPr>
        <w:t>en</w:t>
      </w:r>
      <w:r>
        <w:rPr>
          <w:color w:val="231F20"/>
          <w:spacing w:val="-13"/>
        </w:rPr>
        <w:t> </w:t>
      </w:r>
      <w:r>
        <w:rPr>
          <w:color w:val="231F20"/>
          <w:spacing w:val="-2"/>
        </w:rPr>
        <w:t>son</w:t>
      </w:r>
      <w:r>
        <w:rPr>
          <w:color w:val="231F20"/>
          <w:spacing w:val="-13"/>
        </w:rPr>
        <w:t> </w:t>
      </w:r>
      <w:r>
        <w:rPr>
          <w:color w:val="231F20"/>
          <w:spacing w:val="-2"/>
        </w:rPr>
        <w:t>article</w:t>
      </w:r>
      <w:r>
        <w:rPr>
          <w:color w:val="231F20"/>
          <w:spacing w:val="-13"/>
        </w:rPr>
        <w:t> </w:t>
      </w:r>
      <w:r>
        <w:rPr>
          <w:color w:val="231F20"/>
          <w:spacing w:val="-2"/>
        </w:rPr>
        <w:t>37</w:t>
      </w:r>
      <w:r>
        <w:rPr>
          <w:color w:val="231F20"/>
          <w:spacing w:val="-13"/>
        </w:rPr>
        <w:t> </w:t>
      </w:r>
      <w:r>
        <w:rPr>
          <w:color w:val="231F20"/>
          <w:spacing w:val="-2"/>
        </w:rPr>
        <w:t>qui</w:t>
      </w:r>
      <w:r>
        <w:rPr>
          <w:color w:val="231F20"/>
          <w:spacing w:val="-13"/>
        </w:rPr>
        <w:t> </w:t>
      </w:r>
      <w:r>
        <w:rPr>
          <w:color w:val="231F20"/>
          <w:spacing w:val="-2"/>
        </w:rPr>
        <w:t>stipule</w:t>
      </w:r>
      <w:r>
        <w:rPr>
          <w:color w:val="231F20"/>
          <w:spacing w:val="-13"/>
        </w:rPr>
        <w:t> </w:t>
      </w:r>
      <w:r>
        <w:rPr>
          <w:color w:val="231F20"/>
          <w:spacing w:val="-2"/>
        </w:rPr>
        <w:t>que</w:t>
      </w:r>
      <w:r>
        <w:rPr>
          <w:color w:val="231F20"/>
          <w:spacing w:val="-13"/>
        </w:rPr>
        <w:t> </w:t>
      </w:r>
      <w:r>
        <w:rPr>
          <w:color w:val="231F20"/>
          <w:spacing w:val="-2"/>
        </w:rPr>
        <w:t>le </w:t>
      </w:r>
      <w:r>
        <w:rPr>
          <w:color w:val="231F20"/>
        </w:rPr>
        <w:t>Président du Faso est élu pour cinq ans, rééligible une fois. Cette </w:t>
      </w:r>
      <w:r>
        <w:rPr>
          <w:color w:val="231F20"/>
          <w:spacing w:val="-2"/>
        </w:rPr>
        <w:t>limitation</w:t>
      </w:r>
      <w:r>
        <w:rPr>
          <w:color w:val="231F20"/>
          <w:spacing w:val="-7"/>
        </w:rPr>
        <w:t> </w:t>
      </w:r>
      <w:r>
        <w:rPr>
          <w:color w:val="231F20"/>
          <w:spacing w:val="-2"/>
        </w:rPr>
        <w:t>du</w:t>
      </w:r>
      <w:r>
        <w:rPr>
          <w:color w:val="231F20"/>
          <w:spacing w:val="-9"/>
        </w:rPr>
        <w:t> </w:t>
      </w:r>
      <w:r>
        <w:rPr>
          <w:color w:val="231F20"/>
          <w:spacing w:val="-2"/>
        </w:rPr>
        <w:t>nombre</w:t>
      </w:r>
      <w:r>
        <w:rPr>
          <w:color w:val="231F20"/>
          <w:spacing w:val="-7"/>
        </w:rPr>
        <w:t> </w:t>
      </w:r>
      <w:r>
        <w:rPr>
          <w:color w:val="231F20"/>
          <w:spacing w:val="-2"/>
        </w:rPr>
        <w:t>de</w:t>
      </w:r>
      <w:r>
        <w:rPr>
          <w:color w:val="231F20"/>
          <w:spacing w:val="-9"/>
        </w:rPr>
        <w:t> </w:t>
      </w:r>
      <w:r>
        <w:rPr>
          <w:color w:val="231F20"/>
          <w:spacing w:val="-2"/>
        </w:rPr>
        <w:t>mandats</w:t>
      </w:r>
      <w:r>
        <w:rPr>
          <w:color w:val="231F20"/>
          <w:spacing w:val="-9"/>
        </w:rPr>
        <w:t> </w:t>
      </w:r>
      <w:r>
        <w:rPr>
          <w:color w:val="231F20"/>
          <w:spacing w:val="-2"/>
        </w:rPr>
        <w:t>présidentiels</w:t>
      </w:r>
      <w:r>
        <w:rPr>
          <w:color w:val="231F20"/>
          <w:spacing w:val="-7"/>
        </w:rPr>
        <w:t> </w:t>
      </w:r>
      <w:r>
        <w:rPr>
          <w:color w:val="231F20"/>
          <w:spacing w:val="-2"/>
        </w:rPr>
        <w:t>interdit,</w:t>
      </w:r>
      <w:r>
        <w:rPr>
          <w:color w:val="231F20"/>
          <w:spacing w:val="-9"/>
        </w:rPr>
        <w:t> </w:t>
      </w:r>
      <w:r>
        <w:rPr>
          <w:color w:val="231F20"/>
          <w:spacing w:val="-2"/>
        </w:rPr>
        <w:t>en</w:t>
      </w:r>
      <w:r>
        <w:rPr>
          <w:color w:val="231F20"/>
          <w:spacing w:val="-9"/>
        </w:rPr>
        <w:t> </w:t>
      </w:r>
      <w:r>
        <w:rPr>
          <w:color w:val="231F20"/>
          <w:spacing w:val="-2"/>
        </w:rPr>
        <w:t>l’état,</w:t>
      </w:r>
      <w:r>
        <w:rPr>
          <w:color w:val="231F20"/>
          <w:spacing w:val="-9"/>
        </w:rPr>
        <w:t> </w:t>
      </w:r>
      <w:r>
        <w:rPr>
          <w:color w:val="231F20"/>
          <w:spacing w:val="-2"/>
        </w:rPr>
        <w:t>à</w:t>
      </w:r>
      <w:r>
        <w:rPr>
          <w:color w:val="231F20"/>
          <w:spacing w:val="-9"/>
        </w:rPr>
        <w:t> </w:t>
      </w:r>
      <w:r>
        <w:rPr>
          <w:color w:val="231F20"/>
          <w:spacing w:val="-2"/>
        </w:rPr>
        <w:t>Blaise </w:t>
      </w:r>
      <w:r>
        <w:rPr>
          <w:color w:val="231F20"/>
        </w:rPr>
        <w:t>Compaoré</w:t>
      </w:r>
      <w:r>
        <w:rPr>
          <w:color w:val="231F20"/>
          <w:spacing w:val="-15"/>
        </w:rPr>
        <w:t> </w:t>
      </w:r>
      <w:r>
        <w:rPr>
          <w:color w:val="231F20"/>
        </w:rPr>
        <w:t>de</w:t>
      </w:r>
      <w:r>
        <w:rPr>
          <w:color w:val="231F20"/>
          <w:spacing w:val="-15"/>
        </w:rPr>
        <w:t> </w:t>
      </w:r>
      <w:r>
        <w:rPr>
          <w:color w:val="231F20"/>
        </w:rPr>
        <w:t>se</w:t>
      </w:r>
      <w:r>
        <w:rPr>
          <w:color w:val="231F20"/>
          <w:spacing w:val="-15"/>
        </w:rPr>
        <w:t> </w:t>
      </w:r>
      <w:r>
        <w:rPr>
          <w:color w:val="231F20"/>
        </w:rPr>
        <w:t>représenter</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prochaine</w:t>
      </w:r>
      <w:r>
        <w:rPr>
          <w:color w:val="231F20"/>
          <w:spacing w:val="-15"/>
        </w:rPr>
        <w:t> </w:t>
      </w:r>
      <w:r>
        <w:rPr>
          <w:color w:val="231F20"/>
        </w:rPr>
        <w:t>élection</w:t>
      </w:r>
      <w:r>
        <w:rPr>
          <w:color w:val="231F20"/>
          <w:spacing w:val="-15"/>
        </w:rPr>
        <w:t> </w:t>
      </w:r>
      <w:r>
        <w:rPr>
          <w:color w:val="231F20"/>
        </w:rPr>
        <w:t>de</w:t>
      </w:r>
      <w:r>
        <w:rPr>
          <w:color w:val="231F20"/>
          <w:spacing w:val="-15"/>
        </w:rPr>
        <w:t> </w:t>
      </w:r>
      <w:r>
        <w:rPr>
          <w:color w:val="231F20"/>
        </w:rPr>
        <w:t>2015.</w:t>
      </w:r>
      <w:r>
        <w:rPr>
          <w:color w:val="231F20"/>
          <w:spacing w:val="-15"/>
        </w:rPr>
        <w:t> </w:t>
      </w:r>
      <w:r>
        <w:rPr>
          <w:color w:val="231F20"/>
        </w:rPr>
        <w:t>Il</w:t>
      </w:r>
      <w:r>
        <w:rPr>
          <w:color w:val="231F20"/>
          <w:spacing w:val="-15"/>
        </w:rPr>
        <w:t> </w:t>
      </w:r>
      <w:r>
        <w:rPr>
          <w:color w:val="231F20"/>
        </w:rPr>
        <w:t>décide</w:t>
      </w:r>
      <w:r>
        <w:rPr>
          <w:color w:val="231F20"/>
          <w:spacing w:val="-15"/>
        </w:rPr>
        <w:t> </w:t>
      </w:r>
      <w:r>
        <w:rPr>
          <w:color w:val="231F20"/>
        </w:rPr>
        <w:t>de faire</w:t>
      </w:r>
      <w:r>
        <w:rPr>
          <w:color w:val="231F20"/>
          <w:spacing w:val="-14"/>
        </w:rPr>
        <w:t> </w:t>
      </w:r>
      <w:r>
        <w:rPr>
          <w:color w:val="231F20"/>
        </w:rPr>
        <w:t>modifier</w:t>
      </w:r>
      <w:r>
        <w:rPr>
          <w:color w:val="231F20"/>
          <w:spacing w:val="-13"/>
        </w:rPr>
        <w:t> </w:t>
      </w:r>
      <w:r>
        <w:rPr>
          <w:color w:val="231F20"/>
        </w:rPr>
        <w:t>cet</w:t>
      </w:r>
      <w:r>
        <w:rPr>
          <w:color w:val="231F20"/>
          <w:spacing w:val="-13"/>
        </w:rPr>
        <w:t> </w:t>
      </w:r>
      <w:r>
        <w:rPr>
          <w:color w:val="231F20"/>
        </w:rPr>
        <w:t>article</w:t>
      </w:r>
      <w:r>
        <w:rPr>
          <w:color w:val="231F20"/>
          <w:spacing w:val="-15"/>
        </w:rPr>
        <w:t> </w:t>
      </w:r>
      <w:r>
        <w:rPr>
          <w:color w:val="231F20"/>
        </w:rPr>
        <w:t>37.</w:t>
      </w:r>
      <w:r>
        <w:rPr>
          <w:color w:val="231F20"/>
          <w:spacing w:val="-13"/>
        </w:rPr>
        <w:t> </w:t>
      </w:r>
      <w:r>
        <w:rPr>
          <w:color w:val="231F20"/>
        </w:rPr>
        <w:t>Mais</w:t>
      </w:r>
      <w:r>
        <w:rPr>
          <w:color w:val="231F20"/>
          <w:spacing w:val="-13"/>
        </w:rPr>
        <w:t> </w:t>
      </w:r>
      <w:r>
        <w:rPr>
          <w:color w:val="231F20"/>
        </w:rPr>
        <w:t>au</w:t>
      </w:r>
      <w:r>
        <w:rPr>
          <w:color w:val="231F20"/>
          <w:spacing w:val="-13"/>
        </w:rPr>
        <w:t> </w:t>
      </w:r>
      <w:r>
        <w:rPr>
          <w:color w:val="231F20"/>
        </w:rPr>
        <w:t>moment</w:t>
      </w:r>
      <w:r>
        <w:rPr>
          <w:color w:val="231F20"/>
          <w:spacing w:val="-13"/>
        </w:rPr>
        <w:t> </w:t>
      </w:r>
      <w:r>
        <w:rPr>
          <w:color w:val="231F20"/>
        </w:rPr>
        <w:t>où</w:t>
      </w:r>
      <w:r>
        <w:rPr>
          <w:color w:val="231F20"/>
          <w:spacing w:val="-15"/>
        </w:rPr>
        <w:t> </w:t>
      </w:r>
      <w:r>
        <w:rPr>
          <w:color w:val="231F20"/>
        </w:rPr>
        <w:t>l’Assemblée</w:t>
      </w:r>
      <w:r>
        <w:rPr>
          <w:color w:val="231F20"/>
          <w:spacing w:val="-14"/>
        </w:rPr>
        <w:t> </w:t>
      </w:r>
      <w:r>
        <w:rPr>
          <w:color w:val="231F20"/>
        </w:rPr>
        <w:t>Nationale s’apprêtait à la modification, un soulèvement populaire d’une grande ampleur secoue Ouagadougou et d’autres villes. Le Parlement et </w:t>
      </w:r>
      <w:r>
        <w:rPr>
          <w:color w:val="231F20"/>
          <w:spacing w:val="-2"/>
        </w:rPr>
        <w:t>différents</w:t>
      </w:r>
      <w:r>
        <w:rPr>
          <w:color w:val="231F20"/>
          <w:spacing w:val="-15"/>
        </w:rPr>
        <w:t> </w:t>
      </w:r>
      <w:r>
        <w:rPr>
          <w:color w:val="231F20"/>
          <w:spacing w:val="-2"/>
        </w:rPr>
        <w:t>bâtiments</w:t>
      </w:r>
      <w:r>
        <w:rPr>
          <w:color w:val="231F20"/>
          <w:spacing w:val="-13"/>
        </w:rPr>
        <w:t> </w:t>
      </w:r>
      <w:r>
        <w:rPr>
          <w:color w:val="231F20"/>
          <w:spacing w:val="-2"/>
        </w:rPr>
        <w:t>publiques</w:t>
      </w:r>
      <w:r>
        <w:rPr>
          <w:color w:val="231F20"/>
          <w:spacing w:val="-13"/>
        </w:rPr>
        <w:t> </w:t>
      </w:r>
      <w:r>
        <w:rPr>
          <w:color w:val="231F20"/>
          <w:spacing w:val="-2"/>
        </w:rPr>
        <w:t>sont</w:t>
      </w:r>
      <w:r>
        <w:rPr>
          <w:color w:val="231F20"/>
          <w:spacing w:val="-13"/>
        </w:rPr>
        <w:t> </w:t>
      </w:r>
      <w:r>
        <w:rPr>
          <w:color w:val="231F20"/>
          <w:spacing w:val="-2"/>
        </w:rPr>
        <w:t>assiégés</w:t>
      </w:r>
      <w:r>
        <w:rPr>
          <w:color w:val="231F20"/>
          <w:spacing w:val="-13"/>
        </w:rPr>
        <w:t> </w:t>
      </w:r>
      <w:r>
        <w:rPr>
          <w:color w:val="231F20"/>
          <w:spacing w:val="-2"/>
        </w:rPr>
        <w:t>par</w:t>
      </w:r>
      <w:r>
        <w:rPr>
          <w:color w:val="231F20"/>
          <w:spacing w:val="-13"/>
        </w:rPr>
        <w:t> </w:t>
      </w:r>
      <w:r>
        <w:rPr>
          <w:color w:val="231F20"/>
          <w:spacing w:val="-2"/>
        </w:rPr>
        <w:t>des</w:t>
      </w:r>
      <w:r>
        <w:rPr>
          <w:color w:val="231F20"/>
          <w:spacing w:val="-13"/>
        </w:rPr>
        <w:t> </w:t>
      </w:r>
      <w:r>
        <w:rPr>
          <w:color w:val="231F20"/>
          <w:spacing w:val="-2"/>
        </w:rPr>
        <w:t>manifestants</w:t>
      </w:r>
      <w:r>
        <w:rPr>
          <w:color w:val="231F20"/>
          <w:spacing w:val="-13"/>
        </w:rPr>
        <w:t> </w:t>
      </w:r>
      <w:r>
        <w:rPr>
          <w:color w:val="231F20"/>
          <w:spacing w:val="-2"/>
        </w:rPr>
        <w:t>hostiles à</w:t>
      </w:r>
      <w:r>
        <w:rPr>
          <w:color w:val="231F20"/>
          <w:spacing w:val="-15"/>
        </w:rPr>
        <w:t> </w:t>
      </w:r>
      <w:r>
        <w:rPr>
          <w:color w:val="231F20"/>
          <w:spacing w:val="-2"/>
        </w:rPr>
        <w:t>la</w:t>
      </w:r>
      <w:r>
        <w:rPr>
          <w:color w:val="231F20"/>
          <w:spacing w:val="-13"/>
        </w:rPr>
        <w:t> </w:t>
      </w:r>
      <w:r>
        <w:rPr>
          <w:color w:val="231F20"/>
          <w:spacing w:val="-2"/>
        </w:rPr>
        <w:t>modification</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Constitution.</w:t>
      </w:r>
      <w:r>
        <w:rPr>
          <w:color w:val="231F20"/>
          <w:spacing w:val="-13"/>
        </w:rPr>
        <w:t> </w:t>
      </w:r>
      <w:r>
        <w:rPr>
          <w:color w:val="231F20"/>
          <w:spacing w:val="-2"/>
        </w:rPr>
        <w:t>Les</w:t>
      </w:r>
      <w:r>
        <w:rPr>
          <w:color w:val="231F20"/>
          <w:spacing w:val="-13"/>
        </w:rPr>
        <w:t> </w:t>
      </w:r>
      <w:r>
        <w:rPr>
          <w:color w:val="231F20"/>
          <w:spacing w:val="-2"/>
        </w:rPr>
        <w:t>forces</w:t>
      </w:r>
      <w:r>
        <w:rPr>
          <w:color w:val="231F20"/>
          <w:spacing w:val="-13"/>
        </w:rPr>
        <w:t> </w:t>
      </w:r>
      <w:r>
        <w:rPr>
          <w:color w:val="231F20"/>
          <w:spacing w:val="-2"/>
        </w:rPr>
        <w:t>de</w:t>
      </w:r>
      <w:r>
        <w:rPr>
          <w:color w:val="231F20"/>
          <w:spacing w:val="-13"/>
        </w:rPr>
        <w:t> </w:t>
      </w:r>
      <w:r>
        <w:rPr>
          <w:color w:val="231F20"/>
          <w:spacing w:val="-2"/>
        </w:rPr>
        <w:t>Sécurité</w:t>
      </w:r>
      <w:r>
        <w:rPr>
          <w:color w:val="231F20"/>
          <w:spacing w:val="-13"/>
        </w:rPr>
        <w:t> </w:t>
      </w:r>
      <w:r>
        <w:rPr>
          <w:color w:val="231F20"/>
          <w:spacing w:val="-2"/>
        </w:rPr>
        <w:t>réagissent</w:t>
      </w:r>
      <w:r>
        <w:rPr>
          <w:color w:val="231F20"/>
          <w:spacing w:val="-13"/>
        </w:rPr>
        <w:t> </w:t>
      </w:r>
      <w:r>
        <w:rPr>
          <w:color w:val="231F20"/>
          <w:spacing w:val="-2"/>
        </w:rPr>
        <w:t>:</w:t>
      </w:r>
      <w:r>
        <w:rPr>
          <w:color w:val="231F20"/>
          <w:spacing w:val="-13"/>
        </w:rPr>
        <w:t> </w:t>
      </w:r>
      <w:r>
        <w:rPr>
          <w:color w:val="231F20"/>
          <w:spacing w:val="-2"/>
        </w:rPr>
        <w:t>au </w:t>
      </w:r>
      <w:r>
        <w:rPr>
          <w:color w:val="231F20"/>
        </w:rPr>
        <w:t>moins</w:t>
      </w:r>
      <w:r>
        <w:rPr>
          <w:color w:val="231F20"/>
          <w:spacing w:val="-9"/>
        </w:rPr>
        <w:t> </w:t>
      </w:r>
      <w:r>
        <w:rPr>
          <w:color w:val="231F20"/>
        </w:rPr>
        <w:t>30</w:t>
      </w:r>
      <w:r>
        <w:rPr>
          <w:color w:val="231F20"/>
          <w:spacing w:val="-10"/>
        </w:rPr>
        <w:t> </w:t>
      </w:r>
      <w:r>
        <w:rPr>
          <w:color w:val="231F20"/>
        </w:rPr>
        <w:t>morts</w:t>
      </w:r>
      <w:r>
        <w:rPr>
          <w:color w:val="231F20"/>
          <w:spacing w:val="-10"/>
        </w:rPr>
        <w:t> </w:t>
      </w:r>
      <w:r>
        <w:rPr>
          <w:color w:val="231F20"/>
        </w:rPr>
        <w:t>à</w:t>
      </w:r>
      <w:r>
        <w:rPr>
          <w:color w:val="231F20"/>
          <w:spacing w:val="-9"/>
        </w:rPr>
        <w:t> </w:t>
      </w:r>
      <w:r>
        <w:rPr>
          <w:color w:val="231F20"/>
        </w:rPr>
        <w:t>déplorer.</w:t>
      </w:r>
      <w:r>
        <w:rPr>
          <w:color w:val="231F20"/>
          <w:spacing w:val="-9"/>
        </w:rPr>
        <w:t> </w:t>
      </w:r>
      <w:r>
        <w:rPr>
          <w:color w:val="231F20"/>
        </w:rPr>
        <w:t>Cela</w:t>
      </w:r>
      <w:r>
        <w:rPr>
          <w:color w:val="231F20"/>
          <w:spacing w:val="-11"/>
        </w:rPr>
        <w:t> </w:t>
      </w:r>
      <w:r>
        <w:rPr>
          <w:color w:val="231F20"/>
        </w:rPr>
        <w:t>n’empêche</w:t>
      </w:r>
      <w:r>
        <w:rPr>
          <w:color w:val="231F20"/>
          <w:spacing w:val="-11"/>
        </w:rPr>
        <w:t> </w:t>
      </w:r>
      <w:r>
        <w:rPr>
          <w:color w:val="231F20"/>
        </w:rPr>
        <w:t>pas</w:t>
      </w:r>
      <w:r>
        <w:rPr>
          <w:color w:val="231F20"/>
          <w:spacing w:val="-10"/>
        </w:rPr>
        <w:t> </w:t>
      </w:r>
      <w:r>
        <w:rPr>
          <w:color w:val="231F20"/>
        </w:rPr>
        <w:t>près</w:t>
      </w:r>
      <w:r>
        <w:rPr>
          <w:color w:val="231F20"/>
          <w:spacing w:val="-9"/>
        </w:rPr>
        <w:t> </w:t>
      </w:r>
      <w:r>
        <w:rPr>
          <w:color w:val="231F20"/>
        </w:rPr>
        <w:t>de</w:t>
      </w:r>
      <w:r>
        <w:rPr>
          <w:color w:val="231F20"/>
          <w:spacing w:val="-9"/>
        </w:rPr>
        <w:t> </w:t>
      </w:r>
      <w:r>
        <w:rPr>
          <w:color w:val="231F20"/>
        </w:rPr>
        <w:t>1500</w:t>
      </w:r>
      <w:r>
        <w:rPr>
          <w:color w:val="231F20"/>
          <w:spacing w:val="-10"/>
        </w:rPr>
        <w:t> </w:t>
      </w:r>
      <w:r>
        <w:rPr>
          <w:color w:val="231F20"/>
        </w:rPr>
        <w:t>personnes de</w:t>
      </w:r>
      <w:r>
        <w:rPr>
          <w:color w:val="231F20"/>
          <w:spacing w:val="-15"/>
        </w:rPr>
        <w:t> </w:t>
      </w:r>
      <w:r>
        <w:rPr>
          <w:color w:val="231F20"/>
        </w:rPr>
        <w:t>franchir</w:t>
      </w:r>
      <w:r>
        <w:rPr>
          <w:color w:val="231F20"/>
          <w:spacing w:val="-15"/>
        </w:rPr>
        <w:t> </w:t>
      </w:r>
      <w:r>
        <w:rPr>
          <w:color w:val="231F20"/>
        </w:rPr>
        <w:t>les</w:t>
      </w:r>
      <w:r>
        <w:rPr>
          <w:color w:val="231F20"/>
          <w:spacing w:val="-15"/>
        </w:rPr>
        <w:t> </w:t>
      </w:r>
      <w:r>
        <w:rPr>
          <w:color w:val="231F20"/>
        </w:rPr>
        <w:t>lignes</w:t>
      </w:r>
      <w:r>
        <w:rPr>
          <w:color w:val="231F20"/>
          <w:spacing w:val="-15"/>
        </w:rPr>
        <w:t> </w:t>
      </w:r>
      <w:r>
        <w:rPr>
          <w:color w:val="231F20"/>
        </w:rPr>
        <w:t>de</w:t>
      </w:r>
      <w:r>
        <w:rPr>
          <w:color w:val="231F20"/>
          <w:spacing w:val="-15"/>
        </w:rPr>
        <w:t> </w:t>
      </w:r>
      <w:r>
        <w:rPr>
          <w:color w:val="231F20"/>
        </w:rPr>
        <w:t>police</w:t>
      </w:r>
      <w:r>
        <w:rPr>
          <w:color w:val="231F20"/>
          <w:spacing w:val="-15"/>
        </w:rPr>
        <w:t> </w:t>
      </w:r>
      <w:r>
        <w:rPr>
          <w:color w:val="231F20"/>
        </w:rPr>
        <w:t>et</w:t>
      </w:r>
      <w:r>
        <w:rPr>
          <w:color w:val="231F20"/>
          <w:spacing w:val="-15"/>
        </w:rPr>
        <w:t> </w:t>
      </w:r>
      <w:r>
        <w:rPr>
          <w:color w:val="231F20"/>
        </w:rPr>
        <w:t>mettre</w:t>
      </w:r>
      <w:r>
        <w:rPr>
          <w:color w:val="231F20"/>
          <w:spacing w:val="-15"/>
        </w:rPr>
        <w:t> </w:t>
      </w:r>
      <w:r>
        <w:rPr>
          <w:color w:val="231F20"/>
        </w:rPr>
        <w:t>le</w:t>
      </w:r>
      <w:r>
        <w:rPr>
          <w:color w:val="231F20"/>
          <w:spacing w:val="-15"/>
        </w:rPr>
        <w:t> </w:t>
      </w:r>
      <w:r>
        <w:rPr>
          <w:color w:val="231F20"/>
        </w:rPr>
        <w:t>feu</w:t>
      </w:r>
      <w:r>
        <w:rPr>
          <w:color w:val="231F20"/>
          <w:spacing w:val="-15"/>
        </w:rPr>
        <w:t> </w:t>
      </w:r>
      <w:r>
        <w:rPr>
          <w:color w:val="231F20"/>
        </w:rPr>
        <w:t>au</w:t>
      </w:r>
      <w:r>
        <w:rPr>
          <w:color w:val="231F20"/>
          <w:spacing w:val="-15"/>
        </w:rPr>
        <w:t> </w:t>
      </w:r>
      <w:r>
        <w:rPr>
          <w:color w:val="231F20"/>
        </w:rPr>
        <w:t>Parlement</w:t>
      </w:r>
      <w:r>
        <w:rPr>
          <w:color w:val="231F20"/>
          <w:spacing w:val="-15"/>
        </w:rPr>
        <w:t> </w:t>
      </w:r>
      <w:r>
        <w:rPr>
          <w:color w:val="231F20"/>
        </w:rPr>
        <w:t>pendant</w:t>
      </w:r>
      <w:r>
        <w:rPr>
          <w:color w:val="231F20"/>
          <w:spacing w:val="-15"/>
        </w:rPr>
        <w:t> </w:t>
      </w:r>
      <w:r>
        <w:rPr>
          <w:color w:val="231F20"/>
        </w:rPr>
        <w:t>que d’autres manifestants prennent le contrôle de la Télévision. Sous la pression de la rue et le soutien de la majorité des militaires, Blaise Compaoré</w:t>
      </w:r>
      <w:r>
        <w:rPr>
          <w:color w:val="231F20"/>
          <w:spacing w:val="-11"/>
        </w:rPr>
        <w:t> </w:t>
      </w:r>
      <w:r>
        <w:rPr>
          <w:color w:val="231F20"/>
        </w:rPr>
        <w:t>dissout</w:t>
      </w:r>
      <w:r>
        <w:rPr>
          <w:color w:val="231F20"/>
          <w:spacing w:val="-13"/>
        </w:rPr>
        <w:t> </w:t>
      </w:r>
      <w:r>
        <w:rPr>
          <w:color w:val="231F20"/>
        </w:rPr>
        <w:t>le</w:t>
      </w:r>
      <w:r>
        <w:rPr>
          <w:color w:val="231F20"/>
          <w:spacing w:val="-13"/>
        </w:rPr>
        <w:t> </w:t>
      </w:r>
      <w:r>
        <w:rPr>
          <w:color w:val="231F20"/>
        </w:rPr>
        <w:t>gouvernement</w:t>
      </w:r>
      <w:r>
        <w:rPr>
          <w:color w:val="231F20"/>
          <w:spacing w:val="-13"/>
        </w:rPr>
        <w:t> </w:t>
      </w:r>
      <w:r>
        <w:rPr>
          <w:color w:val="231F20"/>
        </w:rPr>
        <w:t>et</w:t>
      </w:r>
      <w:r>
        <w:rPr>
          <w:color w:val="231F20"/>
          <w:spacing w:val="-13"/>
        </w:rPr>
        <w:t> </w:t>
      </w:r>
      <w:r>
        <w:rPr>
          <w:color w:val="231F20"/>
        </w:rPr>
        <w:t>annonce</w:t>
      </w:r>
      <w:r>
        <w:rPr>
          <w:color w:val="231F20"/>
          <w:spacing w:val="-11"/>
        </w:rPr>
        <w:t> </w:t>
      </w:r>
      <w:r>
        <w:rPr>
          <w:color w:val="231F20"/>
        </w:rPr>
        <w:t>qu’il</w:t>
      </w:r>
      <w:r>
        <w:rPr>
          <w:color w:val="231F20"/>
          <w:spacing w:val="-13"/>
        </w:rPr>
        <w:t> </w:t>
      </w:r>
      <w:r>
        <w:rPr>
          <w:color w:val="231F20"/>
        </w:rPr>
        <w:t>renonce</w:t>
      </w:r>
      <w:r>
        <w:rPr>
          <w:color w:val="231F20"/>
          <w:spacing w:val="-11"/>
        </w:rPr>
        <w:t> </w:t>
      </w:r>
      <w:r>
        <w:rPr>
          <w:color w:val="231F20"/>
        </w:rPr>
        <w:t>à</w:t>
      </w:r>
      <w:r>
        <w:rPr>
          <w:color w:val="231F20"/>
          <w:spacing w:val="-13"/>
        </w:rPr>
        <w:t> </w:t>
      </w:r>
      <w:r>
        <w:rPr>
          <w:color w:val="231F20"/>
        </w:rPr>
        <w:t>modifier la loi fondamentale. Mais cela ne suffit pas.</w:t>
      </w:r>
    </w:p>
    <w:p>
      <w:pPr>
        <w:pStyle w:val="BodyText"/>
        <w:spacing w:before="121"/>
        <w:ind w:right="105" w:firstLine="283"/>
      </w:pPr>
      <w:r>
        <w:rPr>
          <w:color w:val="231F20"/>
        </w:rPr>
        <w:t>Après</w:t>
      </w:r>
      <w:r>
        <w:rPr>
          <w:color w:val="231F20"/>
          <w:spacing w:val="-7"/>
        </w:rPr>
        <w:t> </w:t>
      </w:r>
      <w:r>
        <w:rPr>
          <w:color w:val="231F20"/>
        </w:rPr>
        <w:t>27</w:t>
      </w:r>
      <w:r>
        <w:rPr>
          <w:color w:val="231F20"/>
          <w:spacing w:val="-9"/>
        </w:rPr>
        <w:t> </w:t>
      </w:r>
      <w:r>
        <w:rPr>
          <w:color w:val="231F20"/>
        </w:rPr>
        <w:t>ans</w:t>
      </w:r>
      <w:r>
        <w:rPr>
          <w:color w:val="231F20"/>
          <w:spacing w:val="-9"/>
        </w:rPr>
        <w:t> </w:t>
      </w:r>
      <w:r>
        <w:rPr>
          <w:color w:val="231F20"/>
        </w:rPr>
        <w:t>de</w:t>
      </w:r>
      <w:r>
        <w:rPr>
          <w:color w:val="231F20"/>
          <w:spacing w:val="-6"/>
        </w:rPr>
        <w:t> </w:t>
      </w:r>
      <w:r>
        <w:rPr>
          <w:color w:val="231F20"/>
        </w:rPr>
        <w:t>pouvoir</w:t>
      </w:r>
      <w:r>
        <w:rPr>
          <w:color w:val="231F20"/>
          <w:spacing w:val="-12"/>
        </w:rPr>
        <w:t> </w:t>
      </w:r>
      <w:r>
        <w:rPr>
          <w:color w:val="231F20"/>
        </w:rPr>
        <w:t>absolu,</w:t>
      </w:r>
      <w:r>
        <w:rPr>
          <w:color w:val="231F20"/>
          <w:spacing w:val="-6"/>
        </w:rPr>
        <w:t> </w:t>
      </w:r>
      <w:r>
        <w:rPr>
          <w:color w:val="231F20"/>
        </w:rPr>
        <w:t>la</w:t>
      </w:r>
      <w:r>
        <w:rPr>
          <w:color w:val="231F20"/>
          <w:spacing w:val="-10"/>
        </w:rPr>
        <w:t> </w:t>
      </w:r>
      <w:r>
        <w:rPr>
          <w:color w:val="231F20"/>
        </w:rPr>
        <w:t>rue</w:t>
      </w:r>
      <w:r>
        <w:rPr>
          <w:color w:val="231F20"/>
          <w:spacing w:val="-6"/>
        </w:rPr>
        <w:t> </w:t>
      </w:r>
      <w:r>
        <w:rPr>
          <w:color w:val="231F20"/>
        </w:rPr>
        <w:t>ne</w:t>
      </w:r>
      <w:r>
        <w:rPr>
          <w:color w:val="231F20"/>
          <w:spacing w:val="-9"/>
        </w:rPr>
        <w:t> </w:t>
      </w:r>
      <w:r>
        <w:rPr>
          <w:color w:val="231F20"/>
        </w:rPr>
        <w:t>veut</w:t>
      </w:r>
      <w:r>
        <w:rPr>
          <w:color w:val="231F20"/>
          <w:spacing w:val="-8"/>
        </w:rPr>
        <w:t> </w:t>
      </w:r>
      <w:r>
        <w:rPr>
          <w:color w:val="231F20"/>
        </w:rPr>
        <w:t>plus</w:t>
      </w:r>
      <w:r>
        <w:rPr>
          <w:color w:val="231F20"/>
          <w:spacing w:val="-7"/>
        </w:rPr>
        <w:t> </w:t>
      </w:r>
      <w:r>
        <w:rPr>
          <w:color w:val="231F20"/>
        </w:rPr>
        <w:t>de</w:t>
      </w:r>
      <w:r>
        <w:rPr>
          <w:color w:val="231F20"/>
          <w:spacing w:val="-9"/>
        </w:rPr>
        <w:t> </w:t>
      </w:r>
      <w:r>
        <w:rPr>
          <w:color w:val="231F20"/>
        </w:rPr>
        <w:t>lui</w:t>
      </w:r>
      <w:r>
        <w:rPr>
          <w:color w:val="231F20"/>
          <w:spacing w:val="-8"/>
        </w:rPr>
        <w:t> </w:t>
      </w:r>
      <w:r>
        <w:rPr>
          <w:color w:val="231F20"/>
        </w:rPr>
        <w:t>à</w:t>
      </w:r>
      <w:r>
        <w:rPr>
          <w:color w:val="231F20"/>
          <w:spacing w:val="-7"/>
        </w:rPr>
        <w:t> </w:t>
      </w:r>
      <w:r>
        <w:rPr>
          <w:color w:val="231F20"/>
        </w:rPr>
        <w:t>la</w:t>
      </w:r>
      <w:r>
        <w:rPr>
          <w:color w:val="231F20"/>
          <w:spacing w:val="-10"/>
        </w:rPr>
        <w:t> </w:t>
      </w:r>
      <w:r>
        <w:rPr>
          <w:color w:val="231F20"/>
        </w:rPr>
        <w:t>tête</w:t>
      </w:r>
      <w:r>
        <w:rPr>
          <w:color w:val="231F20"/>
          <w:spacing w:val="-10"/>
        </w:rPr>
        <w:t> </w:t>
      </w:r>
      <w:r>
        <w:rPr>
          <w:color w:val="231F20"/>
        </w:rPr>
        <w:t>du </w:t>
      </w:r>
      <w:r>
        <w:rPr>
          <w:color w:val="231F20"/>
          <w:spacing w:val="-2"/>
        </w:rPr>
        <w:t>pays.</w:t>
      </w:r>
      <w:r>
        <w:rPr>
          <w:color w:val="231F20"/>
          <w:spacing w:val="-9"/>
        </w:rPr>
        <w:t> </w:t>
      </w:r>
      <w:r>
        <w:rPr>
          <w:color w:val="231F20"/>
          <w:spacing w:val="-2"/>
        </w:rPr>
        <w:t>Le</w:t>
      </w:r>
      <w:r>
        <w:rPr>
          <w:color w:val="231F20"/>
          <w:spacing w:val="-9"/>
        </w:rPr>
        <w:t> </w:t>
      </w:r>
      <w:r>
        <w:rPr>
          <w:color w:val="231F20"/>
          <w:spacing w:val="-2"/>
        </w:rPr>
        <w:t>lendemain,</w:t>
      </w:r>
      <w:r>
        <w:rPr>
          <w:color w:val="231F20"/>
          <w:spacing w:val="-9"/>
        </w:rPr>
        <w:t> </w:t>
      </w:r>
      <w:r>
        <w:rPr>
          <w:color w:val="231F20"/>
          <w:spacing w:val="-2"/>
        </w:rPr>
        <w:t>il</w:t>
      </w:r>
      <w:r>
        <w:rPr>
          <w:color w:val="231F20"/>
          <w:spacing w:val="-9"/>
        </w:rPr>
        <w:t> </w:t>
      </w:r>
      <w:r>
        <w:rPr>
          <w:color w:val="231F20"/>
          <w:spacing w:val="-2"/>
        </w:rPr>
        <w:t>est</w:t>
      </w:r>
      <w:r>
        <w:rPr>
          <w:color w:val="231F20"/>
          <w:spacing w:val="-12"/>
        </w:rPr>
        <w:t> </w:t>
      </w:r>
      <w:r>
        <w:rPr>
          <w:color w:val="231F20"/>
          <w:spacing w:val="-2"/>
        </w:rPr>
        <w:t>exfiltré</w:t>
      </w:r>
      <w:r>
        <w:rPr>
          <w:color w:val="231F20"/>
          <w:spacing w:val="-10"/>
        </w:rPr>
        <w:t> </w:t>
      </w:r>
      <w:r>
        <w:rPr>
          <w:color w:val="231F20"/>
          <w:spacing w:val="-2"/>
        </w:rPr>
        <w:t>par</w:t>
      </w:r>
      <w:r>
        <w:rPr>
          <w:color w:val="231F20"/>
          <w:spacing w:val="-10"/>
        </w:rPr>
        <w:t> </w:t>
      </w:r>
      <w:r>
        <w:rPr>
          <w:color w:val="231F20"/>
          <w:spacing w:val="-2"/>
        </w:rPr>
        <w:t>les</w:t>
      </w:r>
      <w:r>
        <w:rPr>
          <w:color w:val="231F20"/>
          <w:spacing w:val="-10"/>
        </w:rPr>
        <w:t> </w:t>
      </w:r>
      <w:r>
        <w:rPr>
          <w:color w:val="231F20"/>
          <w:spacing w:val="-2"/>
        </w:rPr>
        <w:t>Français.</w:t>
      </w:r>
      <w:r>
        <w:rPr>
          <w:color w:val="231F20"/>
          <w:spacing w:val="-10"/>
        </w:rPr>
        <w:t> </w:t>
      </w:r>
      <w:r>
        <w:rPr>
          <w:color w:val="231F20"/>
          <w:spacing w:val="-2"/>
        </w:rPr>
        <w:t>Le</w:t>
      </w:r>
      <w:r>
        <w:rPr>
          <w:color w:val="231F20"/>
          <w:spacing w:val="-10"/>
        </w:rPr>
        <w:t> </w:t>
      </w:r>
      <w:r>
        <w:rPr>
          <w:color w:val="231F20"/>
          <w:spacing w:val="-2"/>
        </w:rPr>
        <w:t>31</w:t>
      </w:r>
      <w:r>
        <w:rPr>
          <w:color w:val="231F20"/>
          <w:spacing w:val="-10"/>
        </w:rPr>
        <w:t> </w:t>
      </w:r>
      <w:r>
        <w:rPr>
          <w:color w:val="231F20"/>
          <w:spacing w:val="-2"/>
        </w:rPr>
        <w:t>octobre</w:t>
      </w:r>
      <w:r>
        <w:rPr>
          <w:color w:val="231F20"/>
          <w:spacing w:val="-9"/>
        </w:rPr>
        <w:t> </w:t>
      </w:r>
      <w:r>
        <w:rPr>
          <w:color w:val="231F20"/>
          <w:spacing w:val="-2"/>
        </w:rPr>
        <w:t>2014,</w:t>
      </w:r>
      <w:r>
        <w:rPr>
          <w:color w:val="231F20"/>
          <w:spacing w:val="-9"/>
        </w:rPr>
        <w:t> </w:t>
      </w:r>
      <w:r>
        <w:rPr>
          <w:color w:val="231F20"/>
          <w:spacing w:val="-2"/>
        </w:rPr>
        <w:t>il est</w:t>
      </w:r>
      <w:r>
        <w:rPr>
          <w:color w:val="231F20"/>
          <w:spacing w:val="-7"/>
        </w:rPr>
        <w:t> </w:t>
      </w:r>
      <w:r>
        <w:rPr>
          <w:color w:val="231F20"/>
          <w:spacing w:val="-2"/>
        </w:rPr>
        <w:t>accueilli</w:t>
      </w:r>
      <w:r>
        <w:rPr>
          <w:color w:val="231F20"/>
          <w:spacing w:val="-8"/>
        </w:rPr>
        <w:t> </w:t>
      </w:r>
      <w:r>
        <w:rPr>
          <w:color w:val="231F20"/>
          <w:spacing w:val="-2"/>
        </w:rPr>
        <w:t>en</w:t>
      </w:r>
      <w:r>
        <w:rPr>
          <w:color w:val="231F20"/>
          <w:spacing w:val="-10"/>
        </w:rPr>
        <w:t> </w:t>
      </w:r>
      <w:r>
        <w:rPr>
          <w:color w:val="231F20"/>
          <w:spacing w:val="-2"/>
        </w:rPr>
        <w:t>Côte</w:t>
      </w:r>
      <w:r>
        <w:rPr>
          <w:color w:val="231F20"/>
          <w:spacing w:val="-11"/>
        </w:rPr>
        <w:t> </w:t>
      </w:r>
      <w:r>
        <w:rPr>
          <w:color w:val="231F20"/>
          <w:spacing w:val="-2"/>
        </w:rPr>
        <w:t>d’Ivoire</w:t>
      </w:r>
      <w:r>
        <w:rPr>
          <w:color w:val="231F20"/>
          <w:spacing w:val="-7"/>
        </w:rPr>
        <w:t> </w:t>
      </w:r>
      <w:r>
        <w:rPr>
          <w:color w:val="231F20"/>
          <w:spacing w:val="-2"/>
        </w:rPr>
        <w:t>par</w:t>
      </w:r>
      <w:r>
        <w:rPr>
          <w:color w:val="231F20"/>
          <w:spacing w:val="-11"/>
        </w:rPr>
        <w:t> </w:t>
      </w:r>
      <w:r>
        <w:rPr>
          <w:color w:val="231F20"/>
          <w:spacing w:val="-2"/>
        </w:rPr>
        <w:t>le</w:t>
      </w:r>
      <w:r>
        <w:rPr>
          <w:color w:val="231F20"/>
          <w:spacing w:val="-11"/>
        </w:rPr>
        <w:t> </w:t>
      </w:r>
      <w:r>
        <w:rPr>
          <w:color w:val="231F20"/>
          <w:spacing w:val="-2"/>
        </w:rPr>
        <w:t>président</w:t>
      </w:r>
      <w:r>
        <w:rPr>
          <w:color w:val="231F20"/>
          <w:spacing w:val="-9"/>
        </w:rPr>
        <w:t> </w:t>
      </w:r>
      <w:r>
        <w:rPr>
          <w:color w:val="231F20"/>
          <w:spacing w:val="-2"/>
        </w:rPr>
        <w:t>ivoirien</w:t>
      </w:r>
      <w:r>
        <w:rPr>
          <w:color w:val="231F20"/>
          <w:spacing w:val="-8"/>
        </w:rPr>
        <w:t> </w:t>
      </w:r>
      <w:r>
        <w:rPr>
          <w:color w:val="231F20"/>
          <w:spacing w:val="-2"/>
        </w:rPr>
        <w:t>Alassane</w:t>
      </w:r>
      <w:r>
        <w:rPr>
          <w:color w:val="231F20"/>
          <w:spacing w:val="-11"/>
        </w:rPr>
        <w:t> </w:t>
      </w:r>
      <w:r>
        <w:rPr>
          <w:color w:val="231F20"/>
          <w:spacing w:val="-2"/>
        </w:rPr>
        <w:t>Ouattara. </w:t>
      </w:r>
      <w:r>
        <w:rPr>
          <w:color w:val="231F20"/>
        </w:rPr>
        <w:t>Marié</w:t>
      </w:r>
      <w:r>
        <w:rPr>
          <w:color w:val="231F20"/>
          <w:spacing w:val="-5"/>
        </w:rPr>
        <w:t> </w:t>
      </w:r>
      <w:r>
        <w:rPr>
          <w:color w:val="231F20"/>
        </w:rPr>
        <w:t>à</w:t>
      </w:r>
      <w:r>
        <w:rPr>
          <w:color w:val="231F20"/>
          <w:spacing w:val="-5"/>
        </w:rPr>
        <w:t> </w:t>
      </w:r>
      <w:r>
        <w:rPr>
          <w:color w:val="231F20"/>
        </w:rPr>
        <w:t>une</w:t>
      </w:r>
      <w:r>
        <w:rPr>
          <w:color w:val="231F20"/>
          <w:spacing w:val="-7"/>
        </w:rPr>
        <w:t> </w:t>
      </w:r>
      <w:r>
        <w:rPr>
          <w:color w:val="231F20"/>
        </w:rPr>
        <w:t>ivoirienne,</w:t>
      </w:r>
      <w:r>
        <w:rPr>
          <w:color w:val="231F20"/>
          <w:spacing w:val="-5"/>
        </w:rPr>
        <w:t> </w:t>
      </w:r>
      <w:r>
        <w:rPr>
          <w:color w:val="231F20"/>
        </w:rPr>
        <w:t>il</w:t>
      </w:r>
      <w:r>
        <w:rPr>
          <w:color w:val="231F20"/>
          <w:spacing w:val="-7"/>
        </w:rPr>
        <w:t> </w:t>
      </w:r>
      <w:r>
        <w:rPr>
          <w:color w:val="231F20"/>
        </w:rPr>
        <w:t>prend</w:t>
      </w:r>
      <w:r>
        <w:rPr>
          <w:color w:val="231F20"/>
          <w:spacing w:val="-4"/>
        </w:rPr>
        <w:t> </w:t>
      </w:r>
      <w:r>
        <w:rPr>
          <w:color w:val="231F20"/>
        </w:rPr>
        <w:t>la</w:t>
      </w:r>
      <w:r>
        <w:rPr>
          <w:color w:val="231F20"/>
          <w:spacing w:val="-7"/>
        </w:rPr>
        <w:t> </w:t>
      </w:r>
      <w:r>
        <w:rPr>
          <w:color w:val="231F20"/>
        </w:rPr>
        <w:t>nationalité</w:t>
      </w:r>
      <w:r>
        <w:rPr>
          <w:color w:val="231F20"/>
          <w:spacing w:val="-4"/>
        </w:rPr>
        <w:t> </w:t>
      </w:r>
      <w:r>
        <w:rPr>
          <w:color w:val="231F20"/>
        </w:rPr>
        <w:t>du</w:t>
      </w:r>
      <w:r>
        <w:rPr>
          <w:color w:val="231F20"/>
          <w:spacing w:val="-4"/>
        </w:rPr>
        <w:t> </w:t>
      </w:r>
      <w:r>
        <w:rPr>
          <w:color w:val="231F20"/>
        </w:rPr>
        <w:t>pays</w:t>
      </w:r>
      <w:r>
        <w:rPr>
          <w:color w:val="231F20"/>
          <w:spacing w:val="-5"/>
        </w:rPr>
        <w:t> </w:t>
      </w:r>
      <w:r>
        <w:rPr>
          <w:color w:val="231F20"/>
        </w:rPr>
        <w:t>hôte.</w:t>
      </w:r>
    </w:p>
    <w:p>
      <w:pPr>
        <w:pStyle w:val="BodyText"/>
        <w:spacing w:before="120"/>
        <w:ind w:right="107" w:firstLine="283"/>
      </w:pPr>
      <w:r>
        <w:rPr>
          <w:color w:val="231F20"/>
        </w:rPr>
        <w:t>A Ouagadougou, le Lieutenant-colonel Isaac Yacouba Zida, commandant adjoint du Régiment de sécurité présidentielle de Blaise Compaoré</w:t>
      </w:r>
      <w:r>
        <w:rPr>
          <w:color w:val="231F20"/>
          <w:spacing w:val="-4"/>
        </w:rPr>
        <w:t> </w:t>
      </w:r>
      <w:r>
        <w:rPr>
          <w:color w:val="231F20"/>
        </w:rPr>
        <w:t>s’empare</w:t>
      </w:r>
      <w:r>
        <w:rPr>
          <w:color w:val="231F20"/>
          <w:spacing w:val="-6"/>
        </w:rPr>
        <w:t> </w:t>
      </w:r>
      <w:r>
        <w:rPr>
          <w:color w:val="231F20"/>
        </w:rPr>
        <w:t>du</w:t>
      </w:r>
      <w:r>
        <w:rPr>
          <w:color w:val="231F20"/>
          <w:spacing w:val="-4"/>
        </w:rPr>
        <w:t> </w:t>
      </w:r>
      <w:r>
        <w:rPr>
          <w:color w:val="231F20"/>
        </w:rPr>
        <w:t>pouvoir</w:t>
      </w:r>
      <w:r>
        <w:rPr>
          <w:color w:val="231F20"/>
          <w:spacing w:val="-6"/>
        </w:rPr>
        <w:t> </w:t>
      </w:r>
      <w:r>
        <w:rPr>
          <w:color w:val="231F20"/>
        </w:rPr>
        <w:t>dans</w:t>
      </w:r>
      <w:r>
        <w:rPr>
          <w:color w:val="231F20"/>
          <w:spacing w:val="-6"/>
        </w:rPr>
        <w:t> </w:t>
      </w:r>
      <w:r>
        <w:rPr>
          <w:color w:val="231F20"/>
        </w:rPr>
        <w:t>la</w:t>
      </w:r>
      <w:r>
        <w:rPr>
          <w:color w:val="231F20"/>
          <w:spacing w:val="-3"/>
        </w:rPr>
        <w:t> </w:t>
      </w:r>
      <w:r>
        <w:rPr>
          <w:color w:val="231F20"/>
        </w:rPr>
        <w:t>nuit</w:t>
      </w:r>
      <w:r>
        <w:rPr>
          <w:color w:val="231F20"/>
          <w:spacing w:val="-3"/>
        </w:rPr>
        <w:t> </w:t>
      </w:r>
      <w:r>
        <w:rPr>
          <w:color w:val="231F20"/>
        </w:rPr>
        <w:t>du</w:t>
      </w:r>
      <w:r>
        <w:rPr>
          <w:color w:val="231F20"/>
          <w:spacing w:val="-6"/>
        </w:rPr>
        <w:t> </w:t>
      </w:r>
      <w:r>
        <w:rPr>
          <w:color w:val="231F20"/>
        </w:rPr>
        <w:t>1er</w:t>
      </w:r>
      <w:r>
        <w:rPr>
          <w:color w:val="231F20"/>
          <w:spacing w:val="-6"/>
        </w:rPr>
        <w:t> </w:t>
      </w:r>
      <w:r>
        <w:rPr>
          <w:color w:val="231F20"/>
        </w:rPr>
        <w:t>novembre.</w:t>
      </w:r>
      <w:r>
        <w:rPr>
          <w:color w:val="231F20"/>
          <w:spacing w:val="-6"/>
        </w:rPr>
        <w:t> </w:t>
      </w:r>
      <w:r>
        <w:rPr>
          <w:color w:val="231F20"/>
        </w:rPr>
        <w:t>2014</w:t>
      </w:r>
    </w:p>
    <w:p>
      <w:pPr>
        <w:pStyle w:val="Heading3"/>
        <w:spacing w:before="121"/>
        <w:ind w:right="196"/>
      </w:pPr>
      <w:r>
        <w:rPr>
          <w:i/>
          <w:color w:val="231F20"/>
          <w:spacing w:val="-2"/>
        </w:rPr>
        <w:t>Face</w:t>
      </w:r>
      <w:r>
        <w:rPr>
          <w:i/>
          <w:color w:val="231F20"/>
          <w:spacing w:val="-12"/>
        </w:rPr>
        <w:t> </w:t>
      </w:r>
      <w:r>
        <w:rPr>
          <w:i/>
          <w:color w:val="231F20"/>
          <w:spacing w:val="-2"/>
        </w:rPr>
        <w:t>au</w:t>
      </w:r>
      <w:r>
        <w:rPr>
          <w:i/>
          <w:color w:val="231F20"/>
          <w:spacing w:val="-11"/>
        </w:rPr>
        <w:t> </w:t>
      </w:r>
      <w:r>
        <w:rPr>
          <w:i/>
          <w:color w:val="231F20"/>
          <w:spacing w:val="-2"/>
        </w:rPr>
        <w:t>mécontentement</w:t>
      </w:r>
      <w:r>
        <w:rPr>
          <w:i/>
          <w:color w:val="231F20"/>
          <w:spacing w:val="-11"/>
        </w:rPr>
        <w:t> </w:t>
      </w:r>
      <w:r>
        <w:rPr>
          <w:i/>
          <w:color w:val="231F20"/>
          <w:spacing w:val="-2"/>
        </w:rPr>
        <w:t>de</w:t>
      </w:r>
      <w:r>
        <w:rPr>
          <w:i/>
          <w:color w:val="231F20"/>
          <w:spacing w:val="-11"/>
        </w:rPr>
        <w:t> </w:t>
      </w:r>
      <w:r>
        <w:rPr>
          <w:i/>
          <w:color w:val="231F20"/>
          <w:spacing w:val="-2"/>
        </w:rPr>
        <w:t>la</w:t>
      </w:r>
      <w:r>
        <w:rPr>
          <w:i/>
          <w:color w:val="231F20"/>
          <w:spacing w:val="-12"/>
        </w:rPr>
        <w:t> </w:t>
      </w:r>
      <w:r>
        <w:rPr>
          <w:i/>
          <w:color w:val="231F20"/>
          <w:spacing w:val="-2"/>
        </w:rPr>
        <w:t>population,</w:t>
      </w:r>
      <w:r>
        <w:rPr>
          <w:i/>
          <w:color w:val="231F20"/>
          <w:spacing w:val="-11"/>
        </w:rPr>
        <w:t> </w:t>
      </w:r>
      <w:r>
        <w:rPr>
          <w:i/>
          <w:color w:val="231F20"/>
          <w:spacing w:val="-2"/>
        </w:rPr>
        <w:t>Isaac</w:t>
      </w:r>
      <w:r>
        <w:rPr>
          <w:i/>
          <w:color w:val="231F20"/>
          <w:spacing w:val="-11"/>
        </w:rPr>
        <w:t> </w:t>
      </w:r>
      <w:r>
        <w:rPr>
          <w:i/>
          <w:color w:val="231F20"/>
          <w:spacing w:val="-2"/>
        </w:rPr>
        <w:t>Zida</w:t>
      </w:r>
      <w:r>
        <w:rPr>
          <w:i/>
          <w:color w:val="231F20"/>
          <w:spacing w:val="-11"/>
        </w:rPr>
        <w:t> </w:t>
      </w:r>
      <w:r>
        <w:rPr>
          <w:i/>
          <w:color w:val="231F20"/>
          <w:spacing w:val="-2"/>
        </w:rPr>
        <w:t>s’engage</w:t>
      </w:r>
      <w:r>
        <w:rPr>
          <w:i/>
          <w:color w:val="231F20"/>
          <w:spacing w:val="-11"/>
        </w:rPr>
        <w:t> </w:t>
      </w:r>
      <w:r>
        <w:rPr>
          <w:i/>
          <w:color w:val="231F20"/>
          <w:spacing w:val="-2"/>
        </w:rPr>
        <w:t>à</w:t>
      </w:r>
      <w:r>
        <w:rPr>
          <w:color w:val="231F20"/>
          <w:spacing w:val="-2"/>
        </w:rPr>
        <w:t> </w:t>
      </w:r>
      <w:r>
        <w:rPr>
          <w:color w:val="231F20"/>
        </w:rPr>
        <w:t>rendre le pouvoir à un civil.</w:t>
      </w:r>
    </w:p>
    <w:p>
      <w:pPr>
        <w:pStyle w:val="BodyText"/>
        <w:spacing w:before="255"/>
        <w:ind w:right="106" w:firstLine="283"/>
      </w:pPr>
      <w:r>
        <w:rPr>
          <w:color w:val="231F20"/>
        </w:rPr>
        <w:t>Le 17 novembre, 2014 Michel Kafando, diplomate, est nommé </w:t>
      </w:r>
      <w:r>
        <w:rPr>
          <w:color w:val="231F20"/>
          <w:spacing w:val="-4"/>
        </w:rPr>
        <w:t>président</w:t>
      </w:r>
      <w:r>
        <w:rPr>
          <w:color w:val="231F20"/>
          <w:spacing w:val="-9"/>
        </w:rPr>
        <w:t> </w:t>
      </w:r>
      <w:r>
        <w:rPr>
          <w:color w:val="231F20"/>
          <w:spacing w:val="-4"/>
        </w:rPr>
        <w:t>de</w:t>
      </w:r>
      <w:r>
        <w:rPr>
          <w:color w:val="231F20"/>
          <w:spacing w:val="-11"/>
        </w:rPr>
        <w:t> </w:t>
      </w:r>
      <w:r>
        <w:rPr>
          <w:color w:val="231F20"/>
          <w:spacing w:val="-4"/>
        </w:rPr>
        <w:t>transition</w:t>
      </w:r>
      <w:r>
        <w:rPr>
          <w:color w:val="231F20"/>
          <w:spacing w:val="-9"/>
        </w:rPr>
        <w:t> </w:t>
      </w:r>
      <w:r>
        <w:rPr>
          <w:color w:val="231F20"/>
          <w:spacing w:val="-4"/>
        </w:rPr>
        <w:t>pour</w:t>
      </w:r>
      <w:r>
        <w:rPr>
          <w:color w:val="231F20"/>
          <w:spacing w:val="-10"/>
        </w:rPr>
        <w:t> </w:t>
      </w:r>
      <w:r>
        <w:rPr>
          <w:color w:val="231F20"/>
          <w:spacing w:val="-4"/>
        </w:rPr>
        <w:t>12</w:t>
      </w:r>
      <w:r>
        <w:rPr>
          <w:color w:val="231F20"/>
          <w:spacing w:val="-9"/>
        </w:rPr>
        <w:t> </w:t>
      </w:r>
      <w:r>
        <w:rPr>
          <w:color w:val="231F20"/>
          <w:spacing w:val="-4"/>
        </w:rPr>
        <w:t>mois</w:t>
      </w:r>
      <w:r>
        <w:rPr>
          <w:color w:val="231F20"/>
          <w:spacing w:val="-11"/>
        </w:rPr>
        <w:t> </w:t>
      </w:r>
      <w:r>
        <w:rPr>
          <w:color w:val="231F20"/>
          <w:spacing w:val="-4"/>
        </w:rPr>
        <w:t>jusqu’à</w:t>
      </w:r>
      <w:r>
        <w:rPr>
          <w:color w:val="231F20"/>
          <w:spacing w:val="-9"/>
        </w:rPr>
        <w:t> </w:t>
      </w:r>
      <w:r>
        <w:rPr>
          <w:color w:val="231F20"/>
          <w:spacing w:val="-4"/>
        </w:rPr>
        <w:t>la</w:t>
      </w:r>
      <w:r>
        <w:rPr>
          <w:color w:val="231F20"/>
          <w:spacing w:val="-11"/>
        </w:rPr>
        <w:t> </w:t>
      </w:r>
      <w:r>
        <w:rPr>
          <w:color w:val="231F20"/>
          <w:spacing w:val="-4"/>
        </w:rPr>
        <w:t>présidentielle</w:t>
      </w:r>
      <w:r>
        <w:rPr>
          <w:color w:val="231F20"/>
          <w:spacing w:val="-9"/>
        </w:rPr>
        <w:t> </w:t>
      </w:r>
      <w:r>
        <w:rPr>
          <w:color w:val="231F20"/>
          <w:spacing w:val="-4"/>
        </w:rPr>
        <w:t>de</w:t>
      </w:r>
      <w:r>
        <w:rPr>
          <w:color w:val="231F20"/>
          <w:spacing w:val="-9"/>
        </w:rPr>
        <w:t> </w:t>
      </w:r>
      <w:r>
        <w:rPr>
          <w:color w:val="231F20"/>
          <w:spacing w:val="-4"/>
        </w:rPr>
        <w:t>novembre </w:t>
      </w:r>
      <w:r>
        <w:rPr>
          <w:color w:val="231F20"/>
          <w:spacing w:val="-2"/>
        </w:rPr>
        <w:t>2015.</w:t>
      </w:r>
    </w:p>
    <w:p>
      <w:pPr>
        <w:pStyle w:val="BodyText"/>
        <w:spacing w:before="121"/>
        <w:ind w:right="109" w:firstLine="283"/>
      </w:pPr>
      <w:r>
        <w:rPr>
          <w:color w:val="231F20"/>
        </w:rPr>
        <w:t>Le lendemain, il est</w:t>
      </w:r>
      <w:r>
        <w:rPr>
          <w:color w:val="231F20"/>
          <w:spacing w:val="-1"/>
        </w:rPr>
        <w:t> </w:t>
      </w:r>
      <w:r>
        <w:rPr>
          <w:color w:val="231F20"/>
        </w:rPr>
        <w:t>investi</w:t>
      </w:r>
      <w:r>
        <w:rPr>
          <w:color w:val="231F20"/>
          <w:spacing w:val="-1"/>
        </w:rPr>
        <w:t> </w:t>
      </w:r>
      <w:r>
        <w:rPr>
          <w:color w:val="231F20"/>
        </w:rPr>
        <w:t>Président</w:t>
      </w:r>
      <w:r>
        <w:rPr>
          <w:color w:val="231F20"/>
          <w:spacing w:val="-1"/>
        </w:rPr>
        <w:t> </w:t>
      </w:r>
      <w:r>
        <w:rPr>
          <w:color w:val="231F20"/>
        </w:rPr>
        <w:t>du</w:t>
      </w:r>
      <w:r>
        <w:rPr>
          <w:color w:val="231F20"/>
          <w:spacing w:val="-1"/>
        </w:rPr>
        <w:t> </w:t>
      </w:r>
      <w:r>
        <w:rPr>
          <w:color w:val="231F20"/>
        </w:rPr>
        <w:t>Burkina</w:t>
      </w:r>
      <w:r>
        <w:rPr>
          <w:color w:val="231F20"/>
          <w:spacing w:val="-2"/>
        </w:rPr>
        <w:t> </w:t>
      </w:r>
      <w:r>
        <w:rPr>
          <w:color w:val="231F20"/>
        </w:rPr>
        <w:t>Faso. Il est chargé particulièrement de préparer la prochaine élection présidentielle. Le lieutenant-colonel</w:t>
      </w:r>
      <w:r>
        <w:rPr>
          <w:color w:val="231F20"/>
          <w:spacing w:val="-3"/>
        </w:rPr>
        <w:t> </w:t>
      </w:r>
      <w:r>
        <w:rPr>
          <w:color w:val="231F20"/>
        </w:rPr>
        <w:t>Zida</w:t>
      </w:r>
      <w:r>
        <w:rPr>
          <w:color w:val="231F20"/>
          <w:spacing w:val="-3"/>
        </w:rPr>
        <w:t> </w:t>
      </w:r>
      <w:r>
        <w:rPr>
          <w:color w:val="231F20"/>
        </w:rPr>
        <w:t>devient</w:t>
      </w:r>
      <w:r>
        <w:rPr>
          <w:color w:val="231F20"/>
          <w:spacing w:val="-5"/>
        </w:rPr>
        <w:t> </w:t>
      </w:r>
      <w:r>
        <w:rPr>
          <w:color w:val="231F20"/>
        </w:rPr>
        <w:t>son</w:t>
      </w:r>
      <w:r>
        <w:rPr>
          <w:color w:val="231F20"/>
          <w:spacing w:val="-6"/>
        </w:rPr>
        <w:t> </w:t>
      </w:r>
      <w:r>
        <w:rPr>
          <w:color w:val="231F20"/>
        </w:rPr>
        <w:t>Premier</w:t>
      </w:r>
      <w:r>
        <w:rPr>
          <w:color w:val="231F20"/>
          <w:spacing w:val="-4"/>
        </w:rPr>
        <w:t> </w:t>
      </w:r>
      <w:r>
        <w:rPr>
          <w:color w:val="231F20"/>
        </w:rPr>
        <w:t>ministre.</w:t>
      </w:r>
    </w:p>
    <w:p>
      <w:pPr>
        <w:pStyle w:val="BodyText"/>
        <w:spacing w:before="120"/>
        <w:ind w:left="395"/>
      </w:pPr>
      <w:r>
        <w:rPr>
          <w:color w:val="231F20"/>
        </w:rPr>
        <w:t>Le</w:t>
      </w:r>
      <w:r>
        <w:rPr>
          <w:color w:val="231F20"/>
          <w:spacing w:val="32"/>
        </w:rPr>
        <w:t> </w:t>
      </w:r>
      <w:r>
        <w:rPr>
          <w:color w:val="231F20"/>
        </w:rPr>
        <w:t>16</w:t>
      </w:r>
      <w:r>
        <w:rPr>
          <w:color w:val="231F20"/>
          <w:spacing w:val="35"/>
        </w:rPr>
        <w:t> </w:t>
      </w:r>
      <w:r>
        <w:rPr>
          <w:color w:val="231F20"/>
        </w:rPr>
        <w:t>septembre</w:t>
      </w:r>
      <w:r>
        <w:rPr>
          <w:color w:val="231F20"/>
          <w:spacing w:val="35"/>
        </w:rPr>
        <w:t> </w:t>
      </w:r>
      <w:r>
        <w:rPr>
          <w:color w:val="231F20"/>
        </w:rPr>
        <w:t>2015,</w:t>
      </w:r>
      <w:r>
        <w:rPr>
          <w:color w:val="231F20"/>
          <w:spacing w:val="33"/>
        </w:rPr>
        <w:t> </w:t>
      </w:r>
      <w:r>
        <w:rPr>
          <w:color w:val="231F20"/>
        </w:rPr>
        <w:t>le</w:t>
      </w:r>
      <w:r>
        <w:rPr>
          <w:color w:val="231F20"/>
          <w:spacing w:val="35"/>
        </w:rPr>
        <w:t> </w:t>
      </w:r>
      <w:r>
        <w:rPr>
          <w:color w:val="231F20"/>
        </w:rPr>
        <w:t>Général</w:t>
      </w:r>
      <w:r>
        <w:rPr>
          <w:color w:val="231F20"/>
          <w:spacing w:val="35"/>
        </w:rPr>
        <w:t> </w:t>
      </w:r>
      <w:r>
        <w:rPr>
          <w:color w:val="231F20"/>
        </w:rPr>
        <w:t>Gilbert</w:t>
      </w:r>
      <w:r>
        <w:rPr>
          <w:color w:val="231F20"/>
          <w:spacing w:val="38"/>
        </w:rPr>
        <w:t> </w:t>
      </w:r>
      <w:r>
        <w:rPr>
          <w:color w:val="231F20"/>
        </w:rPr>
        <w:t>Diendéré,</w:t>
      </w:r>
      <w:r>
        <w:rPr>
          <w:color w:val="231F20"/>
          <w:spacing w:val="36"/>
        </w:rPr>
        <w:t> </w:t>
      </w:r>
      <w:r>
        <w:rPr>
          <w:color w:val="231F20"/>
        </w:rPr>
        <w:t>ancien</w:t>
      </w:r>
      <w:r>
        <w:rPr>
          <w:color w:val="231F20"/>
          <w:spacing w:val="36"/>
        </w:rPr>
        <w:t> </w:t>
      </w:r>
      <w:r>
        <w:rPr>
          <w:color w:val="231F20"/>
          <w:spacing w:val="-4"/>
        </w:rPr>
        <w:t>Chef</w:t>
      </w:r>
    </w:p>
    <w:p>
      <w:pPr>
        <w:pStyle w:val="BodyText"/>
      </w:pPr>
      <w:r>
        <w:rPr>
          <w:color w:val="231F20"/>
        </w:rPr>
        <w:t>d’État-major</w:t>
      </w:r>
      <w:r>
        <w:rPr>
          <w:color w:val="231F20"/>
          <w:spacing w:val="71"/>
        </w:rPr>
        <w:t> </w:t>
      </w:r>
      <w:r>
        <w:rPr>
          <w:color w:val="231F20"/>
        </w:rPr>
        <w:t>particulier</w:t>
      </w:r>
      <w:r>
        <w:rPr>
          <w:color w:val="231F20"/>
          <w:spacing w:val="75"/>
        </w:rPr>
        <w:t> </w:t>
      </w:r>
      <w:r>
        <w:rPr>
          <w:color w:val="231F20"/>
        </w:rPr>
        <w:t>et</w:t>
      </w:r>
      <w:r>
        <w:rPr>
          <w:color w:val="231F20"/>
          <w:spacing w:val="78"/>
        </w:rPr>
        <w:t> </w:t>
      </w:r>
      <w:r>
        <w:rPr>
          <w:color w:val="231F20"/>
        </w:rPr>
        <w:t>bras</w:t>
      </w:r>
      <w:r>
        <w:rPr>
          <w:color w:val="231F20"/>
          <w:spacing w:val="74"/>
        </w:rPr>
        <w:t> </w:t>
      </w:r>
      <w:r>
        <w:rPr>
          <w:color w:val="231F20"/>
        </w:rPr>
        <w:t>droit</w:t>
      </w:r>
      <w:r>
        <w:rPr>
          <w:color w:val="231F20"/>
          <w:spacing w:val="75"/>
        </w:rPr>
        <w:t> </w:t>
      </w:r>
      <w:r>
        <w:rPr>
          <w:color w:val="231F20"/>
        </w:rPr>
        <w:t>de</w:t>
      </w:r>
      <w:r>
        <w:rPr>
          <w:color w:val="231F20"/>
          <w:spacing w:val="76"/>
        </w:rPr>
        <w:t> </w:t>
      </w:r>
      <w:r>
        <w:rPr>
          <w:color w:val="231F20"/>
        </w:rPr>
        <w:t>l’ancien</w:t>
      </w:r>
      <w:r>
        <w:rPr>
          <w:color w:val="231F20"/>
          <w:spacing w:val="77"/>
        </w:rPr>
        <w:t> </w:t>
      </w:r>
      <w:r>
        <w:rPr>
          <w:color w:val="231F20"/>
        </w:rPr>
        <w:t>président</w:t>
      </w:r>
      <w:r>
        <w:rPr>
          <w:color w:val="231F20"/>
          <w:spacing w:val="77"/>
        </w:rPr>
        <w:t> </w:t>
      </w:r>
      <w:r>
        <w:rPr>
          <w:color w:val="231F20"/>
          <w:spacing w:val="-2"/>
        </w:rPr>
        <w:t>Blaise</w:t>
      </w:r>
    </w:p>
    <w:p>
      <w:pPr>
        <w:spacing w:after="0"/>
        <w:sectPr>
          <w:pgSz w:w="8790" w:h="13610"/>
          <w:pgMar w:header="0" w:footer="802" w:top="1060" w:bottom="1000" w:left="880" w:right="880"/>
        </w:sectPr>
      </w:pPr>
    </w:p>
    <w:p>
      <w:pPr>
        <w:pStyle w:val="BodyText"/>
        <w:spacing w:before="66"/>
        <w:ind w:right="105"/>
      </w:pPr>
      <w:r>
        <w:rPr>
          <w:color w:val="231F20"/>
          <w:spacing w:val="-2"/>
        </w:rPr>
        <w:t>Compaoré,</w:t>
      </w:r>
      <w:r>
        <w:rPr>
          <w:color w:val="231F20"/>
          <w:spacing w:val="-13"/>
        </w:rPr>
        <w:t> </w:t>
      </w:r>
      <w:r>
        <w:rPr>
          <w:color w:val="231F20"/>
          <w:spacing w:val="-2"/>
        </w:rPr>
        <w:t>tente</w:t>
      </w:r>
      <w:r>
        <w:rPr>
          <w:color w:val="231F20"/>
          <w:spacing w:val="-13"/>
        </w:rPr>
        <w:t> </w:t>
      </w:r>
      <w:r>
        <w:rPr>
          <w:color w:val="231F20"/>
          <w:spacing w:val="-2"/>
        </w:rPr>
        <w:t>de</w:t>
      </w:r>
      <w:r>
        <w:rPr>
          <w:color w:val="231F20"/>
          <w:spacing w:val="-13"/>
        </w:rPr>
        <w:t> </w:t>
      </w:r>
      <w:r>
        <w:rPr>
          <w:color w:val="231F20"/>
          <w:spacing w:val="-2"/>
        </w:rPr>
        <w:t>renverser</w:t>
      </w:r>
      <w:r>
        <w:rPr>
          <w:color w:val="231F20"/>
          <w:spacing w:val="-13"/>
        </w:rPr>
        <w:t> </w:t>
      </w:r>
      <w:r>
        <w:rPr>
          <w:color w:val="231F20"/>
          <w:spacing w:val="-2"/>
        </w:rPr>
        <w:t>le</w:t>
      </w:r>
      <w:r>
        <w:rPr>
          <w:color w:val="231F20"/>
          <w:spacing w:val="-13"/>
        </w:rPr>
        <w:t> </w:t>
      </w:r>
      <w:r>
        <w:rPr>
          <w:color w:val="231F20"/>
          <w:spacing w:val="-2"/>
        </w:rPr>
        <w:t>régime</w:t>
      </w:r>
      <w:r>
        <w:rPr>
          <w:color w:val="231F20"/>
          <w:spacing w:val="-13"/>
        </w:rPr>
        <w:t> </w:t>
      </w:r>
      <w:r>
        <w:rPr>
          <w:color w:val="231F20"/>
          <w:spacing w:val="-2"/>
        </w:rPr>
        <w:t>de</w:t>
      </w:r>
      <w:r>
        <w:rPr>
          <w:color w:val="231F20"/>
          <w:spacing w:val="-13"/>
        </w:rPr>
        <w:t> </w:t>
      </w:r>
      <w:r>
        <w:rPr>
          <w:color w:val="231F20"/>
          <w:spacing w:val="-2"/>
        </w:rPr>
        <w:t>transition.</w:t>
      </w:r>
      <w:r>
        <w:rPr>
          <w:color w:val="231F20"/>
          <w:spacing w:val="-13"/>
        </w:rPr>
        <w:t> </w:t>
      </w:r>
      <w:r>
        <w:rPr>
          <w:color w:val="231F20"/>
          <w:spacing w:val="-2"/>
        </w:rPr>
        <w:t>Michel</w:t>
      </w:r>
      <w:r>
        <w:rPr>
          <w:color w:val="231F20"/>
          <w:spacing w:val="-13"/>
        </w:rPr>
        <w:t> </w:t>
      </w:r>
      <w:r>
        <w:rPr>
          <w:color w:val="231F20"/>
          <w:spacing w:val="-2"/>
        </w:rPr>
        <w:t>Kafando</w:t>
      </w:r>
      <w:r>
        <w:rPr>
          <w:color w:val="231F20"/>
          <w:spacing w:val="-13"/>
        </w:rPr>
        <w:t> </w:t>
      </w:r>
      <w:r>
        <w:rPr>
          <w:color w:val="231F20"/>
          <w:spacing w:val="-2"/>
        </w:rPr>
        <w:t>est </w:t>
      </w:r>
      <w:r>
        <w:rPr>
          <w:color w:val="231F20"/>
        </w:rPr>
        <w:t>pris en otage. La population manifeste dans la rue, la Communauté internationale</w:t>
      </w:r>
      <w:r>
        <w:rPr>
          <w:color w:val="231F20"/>
          <w:spacing w:val="-12"/>
        </w:rPr>
        <w:t> </w:t>
      </w:r>
      <w:r>
        <w:rPr>
          <w:color w:val="231F20"/>
        </w:rPr>
        <w:t>condamne.</w:t>
      </w:r>
      <w:r>
        <w:rPr>
          <w:color w:val="231F20"/>
          <w:spacing w:val="-14"/>
        </w:rPr>
        <w:t> </w:t>
      </w:r>
      <w:r>
        <w:rPr>
          <w:color w:val="231F20"/>
        </w:rPr>
        <w:t>Le</w:t>
      </w:r>
      <w:r>
        <w:rPr>
          <w:color w:val="231F20"/>
          <w:spacing w:val="-12"/>
        </w:rPr>
        <w:t> </w:t>
      </w:r>
      <w:r>
        <w:rPr>
          <w:color w:val="231F20"/>
        </w:rPr>
        <w:t>coup</w:t>
      </w:r>
      <w:r>
        <w:rPr>
          <w:color w:val="231F20"/>
          <w:spacing w:val="-12"/>
        </w:rPr>
        <w:t> </w:t>
      </w:r>
      <w:r>
        <w:rPr>
          <w:color w:val="231F20"/>
        </w:rPr>
        <w:t>d’État</w:t>
      </w:r>
      <w:r>
        <w:rPr>
          <w:color w:val="231F20"/>
          <w:spacing w:val="-11"/>
        </w:rPr>
        <w:t> </w:t>
      </w:r>
      <w:r>
        <w:rPr>
          <w:color w:val="231F20"/>
        </w:rPr>
        <w:t>avorte</w:t>
      </w:r>
      <w:r>
        <w:rPr>
          <w:color w:val="231F20"/>
          <w:spacing w:val="-12"/>
        </w:rPr>
        <w:t> </w:t>
      </w:r>
      <w:r>
        <w:rPr>
          <w:color w:val="231F20"/>
        </w:rPr>
        <w:t>et</w:t>
      </w:r>
      <w:r>
        <w:rPr>
          <w:color w:val="231F20"/>
          <w:spacing w:val="-12"/>
        </w:rPr>
        <w:t> </w:t>
      </w:r>
      <w:r>
        <w:rPr>
          <w:color w:val="231F20"/>
        </w:rPr>
        <w:t>le</w:t>
      </w:r>
      <w:r>
        <w:rPr>
          <w:color w:val="231F20"/>
          <w:spacing w:val="-12"/>
        </w:rPr>
        <w:t> </w:t>
      </w:r>
      <w:r>
        <w:rPr>
          <w:color w:val="231F20"/>
        </w:rPr>
        <w:t>Président</w:t>
      </w:r>
      <w:r>
        <w:rPr>
          <w:color w:val="231F20"/>
          <w:spacing w:val="-12"/>
        </w:rPr>
        <w:t> </w:t>
      </w:r>
      <w:r>
        <w:rPr>
          <w:color w:val="231F20"/>
        </w:rPr>
        <w:t>Kafando est rétabli</w:t>
      </w:r>
      <w:r>
        <w:rPr>
          <w:color w:val="231F20"/>
          <w:spacing w:val="-4"/>
        </w:rPr>
        <w:t> </w:t>
      </w:r>
      <w:r>
        <w:rPr>
          <w:color w:val="231F20"/>
        </w:rPr>
        <w:t>six</w:t>
      </w:r>
      <w:r>
        <w:rPr>
          <w:color w:val="231F20"/>
          <w:spacing w:val="-4"/>
        </w:rPr>
        <w:t> </w:t>
      </w:r>
      <w:r>
        <w:rPr>
          <w:color w:val="231F20"/>
        </w:rPr>
        <w:t>jours plus tard dans</w:t>
      </w:r>
      <w:r>
        <w:rPr>
          <w:color w:val="231F20"/>
          <w:spacing w:val="-4"/>
        </w:rPr>
        <w:t> </w:t>
      </w:r>
      <w:r>
        <w:rPr>
          <w:color w:val="231F20"/>
        </w:rPr>
        <w:t>ses fonctions.</w:t>
      </w:r>
    </w:p>
    <w:p>
      <w:pPr>
        <w:pStyle w:val="BodyText"/>
        <w:spacing w:before="120"/>
        <w:ind w:right="105" w:firstLine="283"/>
      </w:pPr>
      <w:r>
        <w:rPr>
          <w:color w:val="231F20"/>
        </w:rPr>
        <w:t>Le 29 novembre 2015, se tiennent les élections présidentielles et législatives. Roch Marc Christian Kaboré, candidat du Mouvement du </w:t>
      </w:r>
      <w:r>
        <w:rPr>
          <w:color w:val="231F20"/>
          <w:spacing w:val="-2"/>
        </w:rPr>
        <w:t>Peuple</w:t>
      </w:r>
      <w:r>
        <w:rPr>
          <w:color w:val="231F20"/>
          <w:spacing w:val="-11"/>
        </w:rPr>
        <w:t> </w:t>
      </w:r>
      <w:r>
        <w:rPr>
          <w:color w:val="231F20"/>
          <w:spacing w:val="-2"/>
        </w:rPr>
        <w:t>Pour</w:t>
      </w:r>
      <w:r>
        <w:rPr>
          <w:color w:val="231F20"/>
          <w:spacing w:val="-11"/>
        </w:rPr>
        <w:t> </w:t>
      </w:r>
      <w:r>
        <w:rPr>
          <w:color w:val="231F20"/>
          <w:spacing w:val="-2"/>
        </w:rPr>
        <w:t>le</w:t>
      </w:r>
      <w:r>
        <w:rPr>
          <w:color w:val="231F20"/>
          <w:spacing w:val="-9"/>
        </w:rPr>
        <w:t> </w:t>
      </w:r>
      <w:r>
        <w:rPr>
          <w:color w:val="231F20"/>
          <w:spacing w:val="-2"/>
        </w:rPr>
        <w:t>Progrès</w:t>
      </w:r>
      <w:r>
        <w:rPr>
          <w:color w:val="231F20"/>
          <w:spacing w:val="-9"/>
        </w:rPr>
        <w:t> </w:t>
      </w:r>
      <w:r>
        <w:rPr>
          <w:color w:val="231F20"/>
          <w:spacing w:val="-2"/>
        </w:rPr>
        <w:t>(MPP)</w:t>
      </w:r>
      <w:r>
        <w:rPr>
          <w:color w:val="231F20"/>
          <w:spacing w:val="-8"/>
        </w:rPr>
        <w:t> </w:t>
      </w:r>
      <w:r>
        <w:rPr>
          <w:color w:val="231F20"/>
          <w:spacing w:val="-2"/>
        </w:rPr>
        <w:t>est</w:t>
      </w:r>
      <w:r>
        <w:rPr>
          <w:color w:val="231F20"/>
          <w:spacing w:val="-9"/>
        </w:rPr>
        <w:t> </w:t>
      </w:r>
      <w:r>
        <w:rPr>
          <w:color w:val="231F20"/>
          <w:spacing w:val="-2"/>
        </w:rPr>
        <w:t>élu</w:t>
      </w:r>
      <w:r>
        <w:rPr>
          <w:color w:val="231F20"/>
          <w:spacing w:val="-9"/>
        </w:rPr>
        <w:t> </w:t>
      </w:r>
      <w:r>
        <w:rPr>
          <w:color w:val="231F20"/>
          <w:spacing w:val="-2"/>
        </w:rPr>
        <w:t>dès</w:t>
      </w:r>
      <w:r>
        <w:rPr>
          <w:color w:val="231F20"/>
          <w:spacing w:val="-9"/>
        </w:rPr>
        <w:t> </w:t>
      </w:r>
      <w:r>
        <w:rPr>
          <w:color w:val="231F20"/>
          <w:spacing w:val="-2"/>
        </w:rPr>
        <w:t>le</w:t>
      </w:r>
      <w:r>
        <w:rPr>
          <w:color w:val="231F20"/>
          <w:spacing w:val="-9"/>
        </w:rPr>
        <w:t> </w:t>
      </w:r>
      <w:r>
        <w:rPr>
          <w:color w:val="231F20"/>
          <w:spacing w:val="-2"/>
        </w:rPr>
        <w:t>premier</w:t>
      </w:r>
      <w:r>
        <w:rPr>
          <w:color w:val="231F20"/>
          <w:spacing w:val="-9"/>
        </w:rPr>
        <w:t> </w:t>
      </w:r>
      <w:r>
        <w:rPr>
          <w:color w:val="231F20"/>
          <w:spacing w:val="-2"/>
        </w:rPr>
        <w:t>tour</w:t>
      </w:r>
      <w:r>
        <w:rPr>
          <w:color w:val="231F20"/>
          <w:spacing w:val="-9"/>
        </w:rPr>
        <w:t> </w:t>
      </w:r>
      <w:r>
        <w:rPr>
          <w:color w:val="231F20"/>
          <w:spacing w:val="-2"/>
        </w:rPr>
        <w:t>pour</w:t>
      </w:r>
      <w:r>
        <w:rPr>
          <w:color w:val="231F20"/>
          <w:spacing w:val="-9"/>
        </w:rPr>
        <w:t> </w:t>
      </w:r>
      <w:r>
        <w:rPr>
          <w:color w:val="231F20"/>
          <w:spacing w:val="-2"/>
        </w:rPr>
        <w:t>un</w:t>
      </w:r>
      <w:r>
        <w:rPr>
          <w:color w:val="231F20"/>
          <w:spacing w:val="-8"/>
        </w:rPr>
        <w:t> </w:t>
      </w:r>
      <w:r>
        <w:rPr>
          <w:color w:val="231F20"/>
          <w:spacing w:val="-2"/>
        </w:rPr>
        <w:t>mandat </w:t>
      </w:r>
      <w:r>
        <w:rPr>
          <w:color w:val="231F20"/>
        </w:rPr>
        <w:t>de cinq ans renouvelable une fois, avec 53,49</w:t>
      </w:r>
      <w:r>
        <w:rPr>
          <w:color w:val="231F20"/>
          <w:spacing w:val="-14"/>
        </w:rPr>
        <w:t> </w:t>
      </w:r>
      <w:r>
        <w:rPr>
          <w:color w:val="231F20"/>
        </w:rPr>
        <w:t>% des voix. Il est le neuvième président du Burkina Faso depuis son indépendance, et le troisième président civil après Maurice Yaméogo et Michel Kafando. Roch</w:t>
      </w:r>
      <w:r>
        <w:rPr>
          <w:color w:val="231F20"/>
          <w:spacing w:val="-11"/>
        </w:rPr>
        <w:t> </w:t>
      </w:r>
      <w:r>
        <w:rPr>
          <w:color w:val="231F20"/>
        </w:rPr>
        <w:t>Marc</w:t>
      </w:r>
      <w:r>
        <w:rPr>
          <w:color w:val="231F20"/>
          <w:spacing w:val="-13"/>
        </w:rPr>
        <w:t> </w:t>
      </w:r>
      <w:r>
        <w:rPr>
          <w:color w:val="231F20"/>
        </w:rPr>
        <w:t>Christian</w:t>
      </w:r>
      <w:r>
        <w:rPr>
          <w:color w:val="231F20"/>
          <w:spacing w:val="-10"/>
        </w:rPr>
        <w:t> </w:t>
      </w:r>
      <w:r>
        <w:rPr>
          <w:color w:val="231F20"/>
        </w:rPr>
        <w:t>Kaboré,</w:t>
      </w:r>
      <w:r>
        <w:rPr>
          <w:color w:val="231F20"/>
          <w:spacing w:val="-10"/>
        </w:rPr>
        <w:t> </w:t>
      </w:r>
      <w:r>
        <w:rPr>
          <w:color w:val="231F20"/>
        </w:rPr>
        <w:t>Économiste</w:t>
      </w:r>
      <w:r>
        <w:rPr>
          <w:color w:val="231F20"/>
          <w:spacing w:val="-11"/>
        </w:rPr>
        <w:t> </w:t>
      </w:r>
      <w:r>
        <w:rPr>
          <w:color w:val="231F20"/>
        </w:rPr>
        <w:t>de</w:t>
      </w:r>
      <w:r>
        <w:rPr>
          <w:color w:val="231F20"/>
          <w:spacing w:val="-11"/>
        </w:rPr>
        <w:t> </w:t>
      </w:r>
      <w:r>
        <w:rPr>
          <w:color w:val="231F20"/>
        </w:rPr>
        <w:t>formation</w:t>
      </w:r>
      <w:r>
        <w:rPr>
          <w:color w:val="231F20"/>
          <w:spacing w:val="-13"/>
        </w:rPr>
        <w:t> </w:t>
      </w:r>
      <w:r>
        <w:rPr>
          <w:color w:val="231F20"/>
        </w:rPr>
        <w:t>est</w:t>
      </w:r>
      <w:r>
        <w:rPr>
          <w:color w:val="231F20"/>
          <w:spacing w:val="-13"/>
        </w:rPr>
        <w:t> </w:t>
      </w:r>
      <w:r>
        <w:rPr>
          <w:color w:val="231F20"/>
        </w:rPr>
        <w:t>investi</w:t>
      </w:r>
      <w:r>
        <w:rPr>
          <w:color w:val="231F20"/>
          <w:spacing w:val="-12"/>
        </w:rPr>
        <w:t> </w:t>
      </w:r>
      <w:r>
        <w:rPr>
          <w:color w:val="231F20"/>
        </w:rPr>
        <w:t>le</w:t>
      </w:r>
      <w:r>
        <w:rPr>
          <w:color w:val="231F20"/>
          <w:spacing w:val="-11"/>
        </w:rPr>
        <w:t> </w:t>
      </w:r>
      <w:r>
        <w:rPr>
          <w:color w:val="231F20"/>
        </w:rPr>
        <w:t>29 décembre 2015.</w:t>
      </w:r>
    </w:p>
    <w:p>
      <w:pPr>
        <w:pStyle w:val="BodyText"/>
        <w:spacing w:before="121"/>
        <w:ind w:right="105" w:firstLine="283"/>
      </w:pPr>
      <w:r>
        <w:rPr>
          <w:color w:val="231F20"/>
        </w:rPr>
        <w:t>Dès le 15 janvier</w:t>
      </w:r>
      <w:r>
        <w:rPr>
          <w:color w:val="231F20"/>
          <w:spacing w:val="-15"/>
        </w:rPr>
        <w:t> </w:t>
      </w:r>
      <w:r>
        <w:rPr>
          <w:color w:val="231F20"/>
        </w:rPr>
        <w:t>2016, il fait face à la première grave crise de son </w:t>
      </w:r>
      <w:r>
        <w:rPr>
          <w:color w:val="231F20"/>
          <w:spacing w:val="-2"/>
        </w:rPr>
        <w:t>mandat</w:t>
      </w:r>
      <w:r>
        <w:rPr>
          <w:color w:val="231F20"/>
          <w:spacing w:val="-9"/>
        </w:rPr>
        <w:t> </w:t>
      </w:r>
      <w:r>
        <w:rPr>
          <w:color w:val="231F20"/>
          <w:spacing w:val="-2"/>
        </w:rPr>
        <w:t>:</w:t>
      </w:r>
      <w:r>
        <w:rPr>
          <w:color w:val="231F20"/>
          <w:spacing w:val="-12"/>
        </w:rPr>
        <w:t> </w:t>
      </w:r>
      <w:r>
        <w:rPr>
          <w:color w:val="231F20"/>
          <w:spacing w:val="-2"/>
        </w:rPr>
        <w:t>un</w:t>
      </w:r>
      <w:r>
        <w:rPr>
          <w:color w:val="231F20"/>
          <w:spacing w:val="-9"/>
        </w:rPr>
        <w:t> </w:t>
      </w:r>
      <w:r>
        <w:rPr>
          <w:color w:val="231F20"/>
          <w:spacing w:val="-2"/>
        </w:rPr>
        <w:t>restaurant</w:t>
      </w:r>
      <w:r>
        <w:rPr>
          <w:color w:val="231F20"/>
          <w:spacing w:val="-9"/>
        </w:rPr>
        <w:t> </w:t>
      </w:r>
      <w:r>
        <w:rPr>
          <w:color w:val="231F20"/>
          <w:spacing w:val="-2"/>
        </w:rPr>
        <w:t>et</w:t>
      </w:r>
      <w:r>
        <w:rPr>
          <w:color w:val="231F20"/>
          <w:spacing w:val="-12"/>
        </w:rPr>
        <w:t> </w:t>
      </w:r>
      <w:r>
        <w:rPr>
          <w:color w:val="231F20"/>
          <w:spacing w:val="-2"/>
        </w:rPr>
        <w:t>un</w:t>
      </w:r>
      <w:r>
        <w:rPr>
          <w:color w:val="231F20"/>
          <w:spacing w:val="-10"/>
        </w:rPr>
        <w:t> </w:t>
      </w:r>
      <w:r>
        <w:rPr>
          <w:color w:val="231F20"/>
          <w:spacing w:val="-2"/>
        </w:rPr>
        <w:t>hôtel</w:t>
      </w:r>
      <w:r>
        <w:rPr>
          <w:color w:val="231F20"/>
          <w:spacing w:val="-9"/>
        </w:rPr>
        <w:t> </w:t>
      </w:r>
      <w:r>
        <w:rPr>
          <w:color w:val="231F20"/>
          <w:spacing w:val="-2"/>
        </w:rPr>
        <w:t>du</w:t>
      </w:r>
      <w:r>
        <w:rPr>
          <w:color w:val="231F20"/>
          <w:spacing w:val="-10"/>
        </w:rPr>
        <w:t> </w:t>
      </w:r>
      <w:r>
        <w:rPr>
          <w:color w:val="231F20"/>
          <w:spacing w:val="-2"/>
        </w:rPr>
        <w:t>centre</w:t>
      </w:r>
      <w:r>
        <w:rPr>
          <w:color w:val="231F20"/>
          <w:spacing w:val="-10"/>
        </w:rPr>
        <w:t> </w:t>
      </w:r>
      <w:r>
        <w:rPr>
          <w:color w:val="231F20"/>
          <w:spacing w:val="-2"/>
        </w:rPr>
        <w:t>de</w:t>
      </w:r>
      <w:r>
        <w:rPr>
          <w:color w:val="231F20"/>
          <w:spacing w:val="-10"/>
        </w:rPr>
        <w:t> </w:t>
      </w:r>
      <w:r>
        <w:rPr>
          <w:color w:val="231F20"/>
          <w:spacing w:val="-2"/>
        </w:rPr>
        <w:t>Ouagadougou,</w:t>
      </w:r>
      <w:r>
        <w:rPr>
          <w:color w:val="231F20"/>
          <w:spacing w:val="-10"/>
        </w:rPr>
        <w:t> </w:t>
      </w:r>
      <w:r>
        <w:rPr>
          <w:color w:val="231F20"/>
          <w:spacing w:val="-2"/>
        </w:rPr>
        <w:t>la</w:t>
      </w:r>
      <w:r>
        <w:rPr>
          <w:color w:val="231F20"/>
          <w:spacing w:val="-12"/>
        </w:rPr>
        <w:t> </w:t>
      </w:r>
      <w:r>
        <w:rPr>
          <w:color w:val="231F20"/>
          <w:spacing w:val="-2"/>
        </w:rPr>
        <w:t>capitale, </w:t>
      </w:r>
      <w:r>
        <w:rPr>
          <w:color w:val="231F20"/>
        </w:rPr>
        <w:t>fréquentés par des expatriés sont la cible d’une attaque terroriste revendiquée</w:t>
      </w:r>
      <w:r>
        <w:rPr>
          <w:color w:val="231F20"/>
          <w:spacing w:val="-9"/>
        </w:rPr>
        <w:t> </w:t>
      </w:r>
      <w:r>
        <w:rPr>
          <w:color w:val="231F20"/>
        </w:rPr>
        <w:t>par</w:t>
      </w:r>
      <w:r>
        <w:rPr>
          <w:color w:val="231F20"/>
          <w:spacing w:val="-6"/>
        </w:rPr>
        <w:t> </w:t>
      </w:r>
      <w:r>
        <w:rPr>
          <w:color w:val="231F20"/>
        </w:rPr>
        <w:t>Al</w:t>
      </w:r>
      <w:r>
        <w:rPr>
          <w:color w:val="231F20"/>
          <w:spacing w:val="-8"/>
        </w:rPr>
        <w:t> </w:t>
      </w:r>
      <w:r>
        <w:rPr>
          <w:color w:val="231F20"/>
        </w:rPr>
        <w:t>Qaida</w:t>
      </w:r>
      <w:r>
        <w:rPr>
          <w:color w:val="231F20"/>
          <w:spacing w:val="-9"/>
        </w:rPr>
        <w:t> </w:t>
      </w:r>
      <w:r>
        <w:rPr>
          <w:color w:val="231F20"/>
        </w:rPr>
        <w:t>au</w:t>
      </w:r>
      <w:r>
        <w:rPr>
          <w:color w:val="231F20"/>
          <w:spacing w:val="-8"/>
        </w:rPr>
        <w:t> </w:t>
      </w:r>
      <w:r>
        <w:rPr>
          <w:color w:val="231F20"/>
        </w:rPr>
        <w:t>Maghreb</w:t>
      </w:r>
      <w:r>
        <w:rPr>
          <w:color w:val="231F20"/>
          <w:spacing w:val="-8"/>
        </w:rPr>
        <w:t> </w:t>
      </w:r>
      <w:r>
        <w:rPr>
          <w:color w:val="231F20"/>
        </w:rPr>
        <w:t>Islamique</w:t>
      </w:r>
      <w:r>
        <w:rPr>
          <w:color w:val="231F20"/>
          <w:spacing w:val="-7"/>
        </w:rPr>
        <w:t> </w:t>
      </w:r>
      <w:r>
        <w:rPr>
          <w:color w:val="231F20"/>
        </w:rPr>
        <w:t>(AQMI).</w:t>
      </w:r>
      <w:r>
        <w:rPr>
          <w:color w:val="231F20"/>
          <w:spacing w:val="-6"/>
        </w:rPr>
        <w:t> </w:t>
      </w:r>
      <w:r>
        <w:rPr>
          <w:color w:val="231F20"/>
        </w:rPr>
        <w:t>Le</w:t>
      </w:r>
      <w:r>
        <w:rPr>
          <w:color w:val="231F20"/>
          <w:spacing w:val="-7"/>
        </w:rPr>
        <w:t> </w:t>
      </w:r>
      <w:r>
        <w:rPr>
          <w:color w:val="231F20"/>
        </w:rPr>
        <w:t>bilan</w:t>
      </w:r>
      <w:r>
        <w:rPr>
          <w:color w:val="231F20"/>
          <w:spacing w:val="-8"/>
        </w:rPr>
        <w:t> </w:t>
      </w:r>
      <w:r>
        <w:rPr>
          <w:color w:val="231F20"/>
        </w:rPr>
        <w:t>fait état</w:t>
      </w:r>
      <w:r>
        <w:rPr>
          <w:color w:val="231F20"/>
          <w:spacing w:val="-13"/>
        </w:rPr>
        <w:t> </w:t>
      </w:r>
      <w:r>
        <w:rPr>
          <w:color w:val="231F20"/>
        </w:rPr>
        <w:t>de</w:t>
      </w:r>
      <w:r>
        <w:rPr>
          <w:color w:val="231F20"/>
          <w:spacing w:val="-13"/>
        </w:rPr>
        <w:t> </w:t>
      </w:r>
      <w:r>
        <w:rPr>
          <w:color w:val="231F20"/>
        </w:rPr>
        <w:t>trente</w:t>
      </w:r>
      <w:r>
        <w:rPr>
          <w:color w:val="231F20"/>
          <w:spacing w:val="-14"/>
        </w:rPr>
        <w:t> </w:t>
      </w:r>
      <w:r>
        <w:rPr>
          <w:color w:val="231F20"/>
        </w:rPr>
        <w:t>morts.</w:t>
      </w:r>
      <w:r>
        <w:rPr>
          <w:color w:val="231F20"/>
          <w:spacing w:val="-13"/>
        </w:rPr>
        <w:t> </w:t>
      </w:r>
      <w:r>
        <w:rPr>
          <w:color w:val="231F20"/>
        </w:rPr>
        <w:t>En</w:t>
      </w:r>
      <w:r>
        <w:rPr>
          <w:color w:val="231F20"/>
          <w:spacing w:val="-13"/>
        </w:rPr>
        <w:t> </w:t>
      </w:r>
      <w:r>
        <w:rPr>
          <w:color w:val="231F20"/>
        </w:rPr>
        <w:t>septembre</w:t>
      </w:r>
      <w:r>
        <w:rPr>
          <w:color w:val="231F20"/>
          <w:spacing w:val="-14"/>
        </w:rPr>
        <w:t> </w:t>
      </w:r>
      <w:r>
        <w:rPr>
          <w:color w:val="231F20"/>
        </w:rPr>
        <w:t>2016,</w:t>
      </w:r>
      <w:r>
        <w:rPr>
          <w:color w:val="231F20"/>
          <w:spacing w:val="-13"/>
        </w:rPr>
        <w:t> </w:t>
      </w:r>
      <w:r>
        <w:rPr>
          <w:color w:val="231F20"/>
        </w:rPr>
        <w:t>un</w:t>
      </w:r>
      <w:r>
        <w:rPr>
          <w:color w:val="231F20"/>
          <w:spacing w:val="-13"/>
        </w:rPr>
        <w:t> </w:t>
      </w:r>
      <w:r>
        <w:rPr>
          <w:color w:val="231F20"/>
        </w:rPr>
        <w:t>poste</w:t>
      </w:r>
      <w:r>
        <w:rPr>
          <w:color w:val="231F20"/>
          <w:spacing w:val="-14"/>
        </w:rPr>
        <w:t> </w:t>
      </w:r>
      <w:r>
        <w:rPr>
          <w:color w:val="231F20"/>
        </w:rPr>
        <w:t>douanier</w:t>
      </w:r>
      <w:r>
        <w:rPr>
          <w:color w:val="231F20"/>
          <w:spacing w:val="-14"/>
        </w:rPr>
        <w:t> </w:t>
      </w:r>
      <w:r>
        <w:rPr>
          <w:color w:val="231F20"/>
        </w:rPr>
        <w:t>de</w:t>
      </w:r>
      <w:r>
        <w:rPr>
          <w:color w:val="231F20"/>
          <w:spacing w:val="-13"/>
        </w:rPr>
        <w:t> </w:t>
      </w:r>
      <w:r>
        <w:rPr>
          <w:color w:val="231F20"/>
        </w:rPr>
        <w:t>Markoye, </w:t>
      </w:r>
      <w:r>
        <w:rPr>
          <w:color w:val="231F20"/>
          <w:spacing w:val="-4"/>
        </w:rPr>
        <w:t>près</w:t>
      </w:r>
      <w:r>
        <w:rPr>
          <w:color w:val="231F20"/>
          <w:spacing w:val="-11"/>
        </w:rPr>
        <w:t> </w:t>
      </w:r>
      <w:r>
        <w:rPr>
          <w:color w:val="231F20"/>
          <w:spacing w:val="-4"/>
        </w:rPr>
        <w:t>du</w:t>
      </w:r>
      <w:r>
        <w:rPr>
          <w:color w:val="231F20"/>
          <w:spacing w:val="-11"/>
        </w:rPr>
        <w:t> </w:t>
      </w:r>
      <w:r>
        <w:rPr>
          <w:color w:val="231F20"/>
          <w:spacing w:val="-4"/>
        </w:rPr>
        <w:t>Niger,</w:t>
      </w:r>
      <w:r>
        <w:rPr>
          <w:color w:val="231F20"/>
          <w:spacing w:val="-11"/>
        </w:rPr>
        <w:t> </w:t>
      </w:r>
      <w:r>
        <w:rPr>
          <w:color w:val="231F20"/>
          <w:spacing w:val="-4"/>
        </w:rPr>
        <w:t>au</w:t>
      </w:r>
      <w:r>
        <w:rPr>
          <w:color w:val="231F20"/>
          <w:spacing w:val="-11"/>
        </w:rPr>
        <w:t> </w:t>
      </w:r>
      <w:r>
        <w:rPr>
          <w:color w:val="231F20"/>
          <w:spacing w:val="-4"/>
        </w:rPr>
        <w:t>nord</w:t>
      </w:r>
      <w:r>
        <w:rPr>
          <w:color w:val="231F20"/>
          <w:spacing w:val="-11"/>
        </w:rPr>
        <w:t> </w:t>
      </w:r>
      <w:r>
        <w:rPr>
          <w:color w:val="231F20"/>
          <w:spacing w:val="-4"/>
        </w:rPr>
        <w:t>du</w:t>
      </w:r>
      <w:r>
        <w:rPr>
          <w:color w:val="231F20"/>
          <w:spacing w:val="-11"/>
        </w:rPr>
        <w:t> </w:t>
      </w:r>
      <w:r>
        <w:rPr>
          <w:color w:val="231F20"/>
          <w:spacing w:val="-4"/>
        </w:rPr>
        <w:t>pays,</w:t>
      </w:r>
      <w:r>
        <w:rPr>
          <w:color w:val="231F20"/>
          <w:spacing w:val="-11"/>
        </w:rPr>
        <w:t> </w:t>
      </w:r>
      <w:r>
        <w:rPr>
          <w:color w:val="231F20"/>
          <w:spacing w:val="-4"/>
        </w:rPr>
        <w:t>fait</w:t>
      </w:r>
      <w:r>
        <w:rPr>
          <w:color w:val="231F20"/>
          <w:spacing w:val="-11"/>
        </w:rPr>
        <w:t> </w:t>
      </w:r>
      <w:r>
        <w:rPr>
          <w:color w:val="231F20"/>
          <w:spacing w:val="-4"/>
        </w:rPr>
        <w:t>deux</w:t>
      </w:r>
      <w:r>
        <w:rPr>
          <w:color w:val="231F20"/>
          <w:spacing w:val="-11"/>
        </w:rPr>
        <w:t> </w:t>
      </w:r>
      <w:r>
        <w:rPr>
          <w:color w:val="231F20"/>
          <w:spacing w:val="-4"/>
        </w:rPr>
        <w:t>morts.</w:t>
      </w:r>
      <w:r>
        <w:rPr>
          <w:color w:val="231F20"/>
          <w:spacing w:val="-11"/>
        </w:rPr>
        <w:t> </w:t>
      </w:r>
      <w:r>
        <w:rPr>
          <w:color w:val="231F20"/>
          <w:spacing w:val="-4"/>
        </w:rPr>
        <w:t>En</w:t>
      </w:r>
      <w:r>
        <w:rPr>
          <w:color w:val="231F20"/>
          <w:spacing w:val="-11"/>
        </w:rPr>
        <w:t> </w:t>
      </w:r>
      <w:r>
        <w:rPr>
          <w:color w:val="231F20"/>
          <w:spacing w:val="-4"/>
        </w:rPr>
        <w:t>juin</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même</w:t>
      </w:r>
      <w:r>
        <w:rPr>
          <w:color w:val="231F20"/>
          <w:spacing w:val="-11"/>
        </w:rPr>
        <w:t> </w:t>
      </w:r>
      <w:r>
        <w:rPr>
          <w:color w:val="231F20"/>
          <w:spacing w:val="-4"/>
        </w:rPr>
        <w:t>année, </w:t>
      </w:r>
      <w:r>
        <w:rPr>
          <w:color w:val="231F20"/>
        </w:rPr>
        <w:t>c’est un poste de police près de la frontière malienne qui est attaqué, faisant cette fois trois morts.</w:t>
      </w:r>
    </w:p>
    <w:p>
      <w:pPr>
        <w:pStyle w:val="BodyText"/>
        <w:spacing w:before="120"/>
        <w:ind w:left="395"/>
      </w:pPr>
      <w:r>
        <w:rPr>
          <w:color w:val="231F20"/>
          <w:spacing w:val="-2"/>
        </w:rPr>
        <w:t>Depuis,</w:t>
      </w:r>
      <w:r>
        <w:rPr>
          <w:color w:val="231F20"/>
          <w:spacing w:val="-13"/>
        </w:rPr>
        <w:t> </w:t>
      </w:r>
      <w:r>
        <w:rPr>
          <w:color w:val="231F20"/>
          <w:spacing w:val="-2"/>
        </w:rPr>
        <w:t>les</w:t>
      </w:r>
      <w:r>
        <w:rPr>
          <w:color w:val="231F20"/>
          <w:spacing w:val="-12"/>
        </w:rPr>
        <w:t> </w:t>
      </w:r>
      <w:r>
        <w:rPr>
          <w:color w:val="231F20"/>
          <w:spacing w:val="-2"/>
        </w:rPr>
        <w:t>attaques</w:t>
      </w:r>
      <w:r>
        <w:rPr>
          <w:color w:val="231F20"/>
          <w:spacing w:val="-9"/>
        </w:rPr>
        <w:t> </w:t>
      </w:r>
      <w:r>
        <w:rPr>
          <w:color w:val="231F20"/>
          <w:spacing w:val="-2"/>
        </w:rPr>
        <w:t>djihadistes</w:t>
      </w:r>
      <w:r>
        <w:rPr>
          <w:color w:val="231F20"/>
          <w:spacing w:val="-10"/>
        </w:rPr>
        <w:t> </w:t>
      </w:r>
      <w:r>
        <w:rPr>
          <w:color w:val="231F20"/>
          <w:spacing w:val="-2"/>
        </w:rPr>
        <w:t>se</w:t>
      </w:r>
      <w:r>
        <w:rPr>
          <w:color w:val="231F20"/>
          <w:spacing w:val="-12"/>
        </w:rPr>
        <w:t> </w:t>
      </w:r>
      <w:r>
        <w:rPr>
          <w:color w:val="231F20"/>
          <w:spacing w:val="-2"/>
        </w:rPr>
        <w:t>sont</w:t>
      </w:r>
      <w:r>
        <w:rPr>
          <w:color w:val="231F20"/>
          <w:spacing w:val="-9"/>
        </w:rPr>
        <w:t> </w:t>
      </w:r>
      <w:r>
        <w:rPr>
          <w:color w:val="231F20"/>
          <w:spacing w:val="-2"/>
        </w:rPr>
        <w:t>multipliées.</w:t>
      </w:r>
    </w:p>
    <w:p>
      <w:pPr>
        <w:pStyle w:val="BodyText"/>
        <w:spacing w:before="120"/>
        <w:ind w:right="107" w:firstLine="283"/>
      </w:pPr>
      <w:r>
        <w:rPr>
          <w:color w:val="231F20"/>
        </w:rPr>
        <w:t>Dans le Nord, les Forces de défense et de sécurité (FDS) essuient régulièrement</w:t>
      </w:r>
      <w:r>
        <w:rPr>
          <w:color w:val="231F20"/>
          <w:spacing w:val="-7"/>
        </w:rPr>
        <w:t> </w:t>
      </w:r>
      <w:r>
        <w:rPr>
          <w:color w:val="231F20"/>
        </w:rPr>
        <w:t>de</w:t>
      </w:r>
      <w:r>
        <w:rPr>
          <w:color w:val="231F20"/>
          <w:spacing w:val="-10"/>
        </w:rPr>
        <w:t> </w:t>
      </w:r>
      <w:r>
        <w:rPr>
          <w:color w:val="231F20"/>
        </w:rPr>
        <w:t>lourdes</w:t>
      </w:r>
      <w:r>
        <w:rPr>
          <w:color w:val="231F20"/>
          <w:spacing w:val="-9"/>
        </w:rPr>
        <w:t> </w:t>
      </w:r>
      <w:r>
        <w:rPr>
          <w:color w:val="231F20"/>
        </w:rPr>
        <w:t>pertes</w:t>
      </w:r>
      <w:r>
        <w:rPr>
          <w:color w:val="231F20"/>
          <w:spacing w:val="-8"/>
        </w:rPr>
        <w:t> </w:t>
      </w:r>
      <w:r>
        <w:rPr>
          <w:color w:val="231F20"/>
        </w:rPr>
        <w:t>face</w:t>
      </w:r>
      <w:r>
        <w:rPr>
          <w:color w:val="231F20"/>
          <w:spacing w:val="-8"/>
        </w:rPr>
        <w:t> </w:t>
      </w:r>
      <w:r>
        <w:rPr>
          <w:color w:val="231F20"/>
        </w:rPr>
        <w:t>aux</w:t>
      </w:r>
      <w:r>
        <w:rPr>
          <w:color w:val="231F20"/>
          <w:spacing w:val="-8"/>
        </w:rPr>
        <w:t> </w:t>
      </w:r>
      <w:r>
        <w:rPr>
          <w:color w:val="231F20"/>
        </w:rPr>
        <w:t>attaques</w:t>
      </w:r>
      <w:r>
        <w:rPr>
          <w:color w:val="231F20"/>
          <w:spacing w:val="-8"/>
        </w:rPr>
        <w:t> </w:t>
      </w:r>
      <w:r>
        <w:rPr>
          <w:color w:val="231F20"/>
        </w:rPr>
        <w:t>des</w:t>
      </w:r>
      <w:r>
        <w:rPr>
          <w:color w:val="231F20"/>
          <w:spacing w:val="-8"/>
        </w:rPr>
        <w:t> </w:t>
      </w:r>
      <w:r>
        <w:rPr>
          <w:color w:val="231F20"/>
        </w:rPr>
        <w:t>djihadistes.</w:t>
      </w:r>
    </w:p>
    <w:p>
      <w:pPr>
        <w:pStyle w:val="BodyText"/>
        <w:spacing w:before="120"/>
        <w:ind w:right="105" w:firstLine="283"/>
      </w:pPr>
      <w:r>
        <w:rPr>
          <w:color w:val="231F20"/>
        </w:rPr>
        <w:t>Le</w:t>
      </w:r>
      <w:r>
        <w:rPr>
          <w:color w:val="231F20"/>
          <w:spacing w:val="-6"/>
        </w:rPr>
        <w:t> </w:t>
      </w:r>
      <w:r>
        <w:rPr>
          <w:color w:val="231F20"/>
        </w:rPr>
        <w:t>régime</w:t>
      </w:r>
      <w:r>
        <w:rPr>
          <w:color w:val="231F20"/>
          <w:spacing w:val="-8"/>
        </w:rPr>
        <w:t> </w:t>
      </w:r>
      <w:r>
        <w:rPr>
          <w:color w:val="231F20"/>
        </w:rPr>
        <w:t>de</w:t>
      </w:r>
      <w:r>
        <w:rPr>
          <w:color w:val="231F20"/>
          <w:spacing w:val="-5"/>
        </w:rPr>
        <w:t> </w:t>
      </w:r>
      <w:r>
        <w:rPr>
          <w:color w:val="231F20"/>
        </w:rPr>
        <w:t>Marc</w:t>
      </w:r>
      <w:r>
        <w:rPr>
          <w:color w:val="231F20"/>
          <w:spacing w:val="-9"/>
        </w:rPr>
        <w:t> </w:t>
      </w:r>
      <w:r>
        <w:rPr>
          <w:color w:val="231F20"/>
        </w:rPr>
        <w:t>Christian</w:t>
      </w:r>
      <w:r>
        <w:rPr>
          <w:color w:val="231F20"/>
          <w:spacing w:val="-6"/>
        </w:rPr>
        <w:t> </w:t>
      </w:r>
      <w:r>
        <w:rPr>
          <w:color w:val="231F20"/>
        </w:rPr>
        <w:t>Kaboré</w:t>
      </w:r>
      <w:r>
        <w:rPr>
          <w:color w:val="231F20"/>
          <w:spacing w:val="-5"/>
        </w:rPr>
        <w:t> </w:t>
      </w:r>
      <w:r>
        <w:rPr>
          <w:color w:val="231F20"/>
        </w:rPr>
        <w:t>a</w:t>
      </w:r>
      <w:r>
        <w:rPr>
          <w:color w:val="231F20"/>
          <w:spacing w:val="-9"/>
        </w:rPr>
        <w:t> </w:t>
      </w:r>
      <w:r>
        <w:rPr>
          <w:color w:val="231F20"/>
        </w:rPr>
        <w:t>du</w:t>
      </w:r>
      <w:r>
        <w:rPr>
          <w:color w:val="231F20"/>
          <w:spacing w:val="-8"/>
        </w:rPr>
        <w:t> </w:t>
      </w:r>
      <w:r>
        <w:rPr>
          <w:color w:val="231F20"/>
        </w:rPr>
        <w:t>mal</w:t>
      </w:r>
      <w:r>
        <w:rPr>
          <w:color w:val="231F20"/>
          <w:spacing w:val="-7"/>
        </w:rPr>
        <w:t> </w:t>
      </w:r>
      <w:r>
        <w:rPr>
          <w:color w:val="231F20"/>
        </w:rPr>
        <w:t>à</w:t>
      </w:r>
      <w:r>
        <w:rPr>
          <w:color w:val="231F20"/>
          <w:spacing w:val="-8"/>
        </w:rPr>
        <w:t> </w:t>
      </w:r>
      <w:r>
        <w:rPr>
          <w:color w:val="231F20"/>
        </w:rPr>
        <w:t>trouver</w:t>
      </w:r>
      <w:r>
        <w:rPr>
          <w:color w:val="231F20"/>
          <w:spacing w:val="-6"/>
        </w:rPr>
        <w:t> </w:t>
      </w:r>
      <w:r>
        <w:rPr>
          <w:color w:val="231F20"/>
        </w:rPr>
        <w:t>la</w:t>
      </w:r>
      <w:r>
        <w:rPr>
          <w:color w:val="231F20"/>
          <w:spacing w:val="-9"/>
        </w:rPr>
        <w:t> </w:t>
      </w:r>
      <w:r>
        <w:rPr>
          <w:color w:val="231F20"/>
        </w:rPr>
        <w:t>solution</w:t>
      </w:r>
      <w:r>
        <w:rPr>
          <w:color w:val="231F20"/>
          <w:spacing w:val="-6"/>
        </w:rPr>
        <w:t> </w:t>
      </w:r>
      <w:r>
        <w:rPr>
          <w:color w:val="231F20"/>
        </w:rPr>
        <w:t>à cette</w:t>
      </w:r>
      <w:r>
        <w:rPr>
          <w:color w:val="231F20"/>
          <w:spacing w:val="-15"/>
        </w:rPr>
        <w:t> </w:t>
      </w:r>
      <w:r>
        <w:rPr>
          <w:color w:val="231F20"/>
        </w:rPr>
        <w:t>violence</w:t>
      </w:r>
      <w:r>
        <w:rPr>
          <w:color w:val="231F20"/>
          <w:spacing w:val="-15"/>
        </w:rPr>
        <w:t> </w:t>
      </w:r>
      <w:r>
        <w:rPr>
          <w:color w:val="231F20"/>
        </w:rPr>
        <w:t>où</w:t>
      </w:r>
      <w:r>
        <w:rPr>
          <w:color w:val="231F20"/>
          <w:spacing w:val="-15"/>
        </w:rPr>
        <w:t> </w:t>
      </w:r>
      <w:r>
        <w:rPr>
          <w:color w:val="231F20"/>
        </w:rPr>
        <w:t>se</w:t>
      </w:r>
      <w:r>
        <w:rPr>
          <w:color w:val="231F20"/>
          <w:spacing w:val="-15"/>
        </w:rPr>
        <w:t> </w:t>
      </w:r>
      <w:r>
        <w:rPr>
          <w:color w:val="231F20"/>
        </w:rPr>
        <w:t>mêlent</w:t>
      </w:r>
      <w:r>
        <w:rPr>
          <w:color w:val="231F20"/>
          <w:spacing w:val="-15"/>
        </w:rPr>
        <w:t> </w:t>
      </w:r>
      <w:r>
        <w:rPr>
          <w:color w:val="231F20"/>
        </w:rPr>
        <w:t>djihadisme</w:t>
      </w:r>
      <w:r>
        <w:rPr>
          <w:color w:val="231F20"/>
          <w:spacing w:val="-15"/>
        </w:rPr>
        <w:t> </w:t>
      </w:r>
      <w:r>
        <w:rPr>
          <w:color w:val="231F20"/>
        </w:rPr>
        <w:t>et</w:t>
      </w:r>
      <w:r>
        <w:rPr>
          <w:color w:val="231F20"/>
          <w:spacing w:val="-15"/>
        </w:rPr>
        <w:t> </w:t>
      </w:r>
      <w:r>
        <w:rPr>
          <w:color w:val="231F20"/>
        </w:rPr>
        <w:t>tensions</w:t>
      </w:r>
      <w:r>
        <w:rPr>
          <w:color w:val="231F20"/>
          <w:spacing w:val="-15"/>
        </w:rPr>
        <w:t> </w:t>
      </w:r>
      <w:r>
        <w:rPr>
          <w:color w:val="231F20"/>
        </w:rPr>
        <w:t>communautaires</w:t>
      </w:r>
      <w:r>
        <w:rPr>
          <w:color w:val="231F20"/>
          <w:spacing w:val="-15"/>
        </w:rPr>
        <w:t> </w:t>
      </w:r>
      <w:r>
        <w:rPr>
          <w:color w:val="231F20"/>
        </w:rPr>
        <w:t>liées à l'accès à la terre, à l'eau, aux zones de pâturage, de chasse ou aux ressources aurifères.</w:t>
      </w:r>
    </w:p>
    <w:p>
      <w:pPr>
        <w:pStyle w:val="BodyText"/>
        <w:spacing w:before="121"/>
        <w:ind w:right="105" w:firstLine="283"/>
      </w:pPr>
      <w:r>
        <w:rPr>
          <w:color w:val="231F20"/>
          <w:spacing w:val="-4"/>
        </w:rPr>
        <w:t>Trois</w:t>
      </w:r>
      <w:r>
        <w:rPr>
          <w:color w:val="231F20"/>
          <w:spacing w:val="-5"/>
        </w:rPr>
        <w:t> </w:t>
      </w:r>
      <w:r>
        <w:rPr>
          <w:color w:val="231F20"/>
          <w:spacing w:val="-4"/>
        </w:rPr>
        <w:t>groupes djihadistes</w:t>
      </w:r>
      <w:r>
        <w:rPr>
          <w:color w:val="231F20"/>
          <w:spacing w:val="-8"/>
        </w:rPr>
        <w:t> </w:t>
      </w:r>
      <w:r>
        <w:rPr>
          <w:color w:val="231F20"/>
          <w:spacing w:val="-4"/>
        </w:rPr>
        <w:t>opèrent</w:t>
      </w:r>
      <w:r>
        <w:rPr>
          <w:color w:val="231F20"/>
          <w:spacing w:val="-6"/>
        </w:rPr>
        <w:t> </w:t>
      </w:r>
      <w:r>
        <w:rPr>
          <w:color w:val="231F20"/>
          <w:spacing w:val="-4"/>
        </w:rPr>
        <w:t>sur</w:t>
      </w:r>
      <w:r>
        <w:rPr>
          <w:color w:val="231F20"/>
          <w:spacing w:val="-6"/>
        </w:rPr>
        <w:t> </w:t>
      </w:r>
      <w:r>
        <w:rPr>
          <w:color w:val="231F20"/>
          <w:spacing w:val="-4"/>
        </w:rPr>
        <w:t>le</w:t>
      </w:r>
      <w:r>
        <w:rPr>
          <w:color w:val="231F20"/>
          <w:spacing w:val="-6"/>
        </w:rPr>
        <w:t> </w:t>
      </w:r>
      <w:r>
        <w:rPr>
          <w:color w:val="231F20"/>
          <w:spacing w:val="-4"/>
        </w:rPr>
        <w:t>territoire burkinabé :</w:t>
      </w:r>
      <w:r>
        <w:rPr>
          <w:color w:val="231F20"/>
          <w:spacing w:val="-5"/>
        </w:rPr>
        <w:t> </w:t>
      </w:r>
      <w:r>
        <w:rPr>
          <w:color w:val="231F20"/>
          <w:spacing w:val="-4"/>
        </w:rPr>
        <w:t>le groupe </w:t>
      </w:r>
      <w:r>
        <w:rPr>
          <w:color w:val="231F20"/>
          <w:spacing w:val="-2"/>
        </w:rPr>
        <w:t>local</w:t>
      </w:r>
      <w:r>
        <w:rPr>
          <w:color w:val="231F20"/>
          <w:spacing w:val="-15"/>
        </w:rPr>
        <w:t> </w:t>
      </w:r>
      <w:r>
        <w:rPr>
          <w:color w:val="231F20"/>
          <w:spacing w:val="-2"/>
        </w:rPr>
        <w:t>Ansarul</w:t>
      </w:r>
      <w:r>
        <w:rPr>
          <w:color w:val="231F20"/>
          <w:spacing w:val="-13"/>
        </w:rPr>
        <w:t> </w:t>
      </w:r>
      <w:r>
        <w:rPr>
          <w:color w:val="231F20"/>
          <w:spacing w:val="-2"/>
        </w:rPr>
        <w:t>Islam,</w:t>
      </w:r>
      <w:r>
        <w:rPr>
          <w:color w:val="231F20"/>
          <w:spacing w:val="-13"/>
        </w:rPr>
        <w:t> </w:t>
      </w:r>
      <w:r>
        <w:rPr>
          <w:color w:val="231F20"/>
          <w:spacing w:val="-2"/>
        </w:rPr>
        <w:t>et</w:t>
      </w:r>
      <w:r>
        <w:rPr>
          <w:color w:val="231F20"/>
          <w:spacing w:val="-13"/>
        </w:rPr>
        <w:t> </w:t>
      </w:r>
      <w:r>
        <w:rPr>
          <w:color w:val="231F20"/>
          <w:spacing w:val="-2"/>
        </w:rPr>
        <w:t>deux</w:t>
      </w:r>
      <w:r>
        <w:rPr>
          <w:color w:val="231F20"/>
          <w:spacing w:val="-13"/>
        </w:rPr>
        <w:t> </w:t>
      </w:r>
      <w:r>
        <w:rPr>
          <w:color w:val="231F20"/>
          <w:spacing w:val="-2"/>
        </w:rPr>
        <w:t>groupes</w:t>
      </w:r>
      <w:r>
        <w:rPr>
          <w:color w:val="231F20"/>
          <w:spacing w:val="-13"/>
        </w:rPr>
        <w:t> </w:t>
      </w:r>
      <w:r>
        <w:rPr>
          <w:color w:val="231F20"/>
          <w:spacing w:val="-2"/>
        </w:rPr>
        <w:t>apparus</w:t>
      </w:r>
      <w:r>
        <w:rPr>
          <w:color w:val="231F20"/>
          <w:spacing w:val="-13"/>
        </w:rPr>
        <w:t> </w:t>
      </w:r>
      <w:r>
        <w:rPr>
          <w:color w:val="231F20"/>
          <w:spacing w:val="-2"/>
        </w:rPr>
        <w:t>au</w:t>
      </w:r>
      <w:r>
        <w:rPr>
          <w:color w:val="231F20"/>
          <w:spacing w:val="-13"/>
        </w:rPr>
        <w:t> </w:t>
      </w:r>
      <w:r>
        <w:rPr>
          <w:color w:val="231F20"/>
          <w:spacing w:val="-2"/>
        </w:rPr>
        <w:t>Mali,</w:t>
      </w:r>
      <w:r>
        <w:rPr>
          <w:color w:val="231F20"/>
          <w:spacing w:val="-13"/>
        </w:rPr>
        <w:t> </w:t>
      </w:r>
      <w:r>
        <w:rPr>
          <w:color w:val="231F20"/>
          <w:spacing w:val="-2"/>
        </w:rPr>
        <w:t>l’État</w:t>
      </w:r>
      <w:r>
        <w:rPr>
          <w:color w:val="231F20"/>
          <w:spacing w:val="-13"/>
        </w:rPr>
        <w:t> </w:t>
      </w:r>
      <w:r>
        <w:rPr>
          <w:color w:val="231F20"/>
          <w:spacing w:val="-2"/>
        </w:rPr>
        <w:t>islamique</w:t>
      </w:r>
      <w:r>
        <w:rPr>
          <w:color w:val="231F20"/>
          <w:spacing w:val="-13"/>
        </w:rPr>
        <w:t> </w:t>
      </w:r>
      <w:r>
        <w:rPr>
          <w:color w:val="231F20"/>
          <w:spacing w:val="-2"/>
        </w:rPr>
        <w:t>en </w:t>
      </w:r>
      <w:r>
        <w:rPr>
          <w:color w:val="231F20"/>
        </w:rPr>
        <w:t>Afrique de l’Ouest (EIAO) et le Groupe de soutien à l’islam et aux musulmans (GSIM).</w:t>
      </w:r>
    </w:p>
    <w:p>
      <w:pPr>
        <w:spacing w:before="120"/>
        <w:ind w:left="112" w:right="106" w:firstLine="283"/>
        <w:jc w:val="both"/>
        <w:rPr>
          <w:i/>
          <w:sz w:val="24"/>
        </w:rPr>
      </w:pPr>
      <w:r>
        <w:rPr>
          <w:color w:val="231F20"/>
          <w:sz w:val="24"/>
        </w:rPr>
        <w:t>En cinq ans, plus de 1200 personnes (en majorité des civils) ont été </w:t>
      </w:r>
      <w:r>
        <w:rPr>
          <w:color w:val="231F20"/>
          <w:spacing w:val="-4"/>
          <w:sz w:val="24"/>
        </w:rPr>
        <w:t>tuées</w:t>
      </w:r>
      <w:r>
        <w:rPr>
          <w:color w:val="231F20"/>
          <w:spacing w:val="-8"/>
          <w:sz w:val="24"/>
        </w:rPr>
        <w:t> </w:t>
      </w:r>
      <w:r>
        <w:rPr>
          <w:color w:val="231F20"/>
          <w:spacing w:val="-4"/>
          <w:sz w:val="24"/>
        </w:rPr>
        <w:t>dans</w:t>
      </w:r>
      <w:r>
        <w:rPr>
          <w:color w:val="231F20"/>
          <w:spacing w:val="-10"/>
          <w:sz w:val="24"/>
        </w:rPr>
        <w:t> </w:t>
      </w:r>
      <w:r>
        <w:rPr>
          <w:color w:val="231F20"/>
          <w:spacing w:val="-4"/>
          <w:sz w:val="24"/>
        </w:rPr>
        <w:t>des</w:t>
      </w:r>
      <w:r>
        <w:rPr>
          <w:color w:val="231F20"/>
          <w:spacing w:val="-8"/>
          <w:sz w:val="24"/>
        </w:rPr>
        <w:t> </w:t>
      </w:r>
      <w:r>
        <w:rPr>
          <w:color w:val="231F20"/>
          <w:spacing w:val="-4"/>
          <w:sz w:val="24"/>
        </w:rPr>
        <w:t>attaques</w:t>
      </w:r>
      <w:r>
        <w:rPr>
          <w:color w:val="231F20"/>
          <w:spacing w:val="-8"/>
          <w:sz w:val="24"/>
        </w:rPr>
        <w:t> </w:t>
      </w:r>
      <w:r>
        <w:rPr>
          <w:color w:val="231F20"/>
          <w:spacing w:val="-4"/>
          <w:sz w:val="24"/>
        </w:rPr>
        <w:t>djihadistes.</w:t>
      </w:r>
      <w:r>
        <w:rPr>
          <w:color w:val="231F20"/>
          <w:spacing w:val="-10"/>
          <w:sz w:val="24"/>
        </w:rPr>
        <w:t> </w:t>
      </w:r>
      <w:r>
        <w:rPr>
          <w:color w:val="231F20"/>
          <w:spacing w:val="-4"/>
          <w:sz w:val="24"/>
        </w:rPr>
        <w:t>Plus</w:t>
      </w:r>
      <w:r>
        <w:rPr>
          <w:color w:val="231F20"/>
          <w:spacing w:val="-9"/>
          <w:sz w:val="24"/>
        </w:rPr>
        <w:t> </w:t>
      </w:r>
      <w:r>
        <w:rPr>
          <w:color w:val="231F20"/>
          <w:spacing w:val="-4"/>
          <w:sz w:val="24"/>
        </w:rPr>
        <w:t>d'un million de</w:t>
      </w:r>
      <w:r>
        <w:rPr>
          <w:color w:val="231F20"/>
          <w:spacing w:val="-7"/>
          <w:sz w:val="24"/>
        </w:rPr>
        <w:t> </w:t>
      </w:r>
      <w:r>
        <w:rPr>
          <w:color w:val="231F20"/>
          <w:spacing w:val="-4"/>
          <w:sz w:val="24"/>
        </w:rPr>
        <w:t>personnes, ont</w:t>
      </w:r>
      <w:r>
        <w:rPr>
          <w:color w:val="231F20"/>
          <w:spacing w:val="-7"/>
          <w:sz w:val="24"/>
        </w:rPr>
        <w:t> </w:t>
      </w:r>
      <w:r>
        <w:rPr>
          <w:color w:val="231F20"/>
          <w:spacing w:val="-4"/>
          <w:sz w:val="24"/>
        </w:rPr>
        <w:t>dû fuir</w:t>
      </w:r>
      <w:r>
        <w:rPr>
          <w:color w:val="231F20"/>
          <w:spacing w:val="-8"/>
          <w:sz w:val="24"/>
        </w:rPr>
        <w:t> </w:t>
      </w:r>
      <w:r>
        <w:rPr>
          <w:color w:val="231F20"/>
          <w:spacing w:val="-4"/>
          <w:sz w:val="24"/>
        </w:rPr>
        <w:t>leurs</w:t>
      </w:r>
      <w:r>
        <w:rPr>
          <w:color w:val="231F20"/>
          <w:spacing w:val="-7"/>
          <w:sz w:val="24"/>
        </w:rPr>
        <w:t> </w:t>
      </w:r>
      <w:r>
        <w:rPr>
          <w:color w:val="231F20"/>
          <w:spacing w:val="-4"/>
          <w:sz w:val="24"/>
        </w:rPr>
        <w:t>villages.</w:t>
      </w:r>
      <w:r>
        <w:rPr>
          <w:color w:val="231F20"/>
          <w:spacing w:val="-9"/>
          <w:sz w:val="24"/>
        </w:rPr>
        <w:t> </w:t>
      </w:r>
      <w:r>
        <w:rPr>
          <w:color w:val="231F20"/>
          <w:spacing w:val="-4"/>
          <w:sz w:val="24"/>
        </w:rPr>
        <w:t>Certains</w:t>
      </w:r>
      <w:r>
        <w:rPr>
          <w:color w:val="231F20"/>
          <w:spacing w:val="-7"/>
          <w:sz w:val="24"/>
        </w:rPr>
        <w:t> </w:t>
      </w:r>
      <w:r>
        <w:rPr>
          <w:color w:val="231F20"/>
          <w:spacing w:val="-4"/>
          <w:sz w:val="24"/>
        </w:rPr>
        <w:t>intellectuels</w:t>
      </w:r>
      <w:r>
        <w:rPr>
          <w:color w:val="231F20"/>
          <w:spacing w:val="-9"/>
          <w:sz w:val="24"/>
        </w:rPr>
        <w:t> </w:t>
      </w:r>
      <w:r>
        <w:rPr>
          <w:color w:val="231F20"/>
          <w:spacing w:val="-4"/>
          <w:sz w:val="24"/>
        </w:rPr>
        <w:t>Burkinabés</w:t>
      </w:r>
      <w:r>
        <w:rPr>
          <w:color w:val="231F20"/>
          <w:spacing w:val="-9"/>
          <w:sz w:val="24"/>
        </w:rPr>
        <w:t> </w:t>
      </w:r>
      <w:r>
        <w:rPr>
          <w:color w:val="231F20"/>
          <w:spacing w:val="-4"/>
          <w:sz w:val="24"/>
        </w:rPr>
        <w:t>lient</w:t>
      </w:r>
      <w:r>
        <w:rPr>
          <w:color w:val="231F20"/>
          <w:spacing w:val="-9"/>
          <w:sz w:val="24"/>
        </w:rPr>
        <w:t> </w:t>
      </w:r>
      <w:r>
        <w:rPr>
          <w:color w:val="231F20"/>
          <w:spacing w:val="-4"/>
          <w:sz w:val="24"/>
        </w:rPr>
        <w:t>la</w:t>
      </w:r>
      <w:r>
        <w:rPr>
          <w:color w:val="231F20"/>
          <w:spacing w:val="-9"/>
          <w:sz w:val="24"/>
        </w:rPr>
        <w:t> </w:t>
      </w:r>
      <w:r>
        <w:rPr>
          <w:color w:val="231F20"/>
          <w:spacing w:val="-4"/>
          <w:sz w:val="24"/>
        </w:rPr>
        <w:t>recrudescence </w:t>
      </w:r>
      <w:r>
        <w:rPr>
          <w:color w:val="231F20"/>
          <w:sz w:val="24"/>
        </w:rPr>
        <w:t>des attaques djihadistes dans le pays aux conséquences de la chute de </w:t>
      </w:r>
      <w:r>
        <w:rPr>
          <w:color w:val="231F20"/>
          <w:spacing w:val="-2"/>
          <w:sz w:val="24"/>
        </w:rPr>
        <w:t>Blaise</w:t>
      </w:r>
      <w:r>
        <w:rPr>
          <w:color w:val="231F20"/>
          <w:spacing w:val="-13"/>
          <w:sz w:val="24"/>
        </w:rPr>
        <w:t> </w:t>
      </w:r>
      <w:r>
        <w:rPr>
          <w:color w:val="231F20"/>
          <w:spacing w:val="-2"/>
          <w:sz w:val="24"/>
        </w:rPr>
        <w:t>Compaoré</w:t>
      </w:r>
      <w:r>
        <w:rPr>
          <w:color w:val="231F20"/>
          <w:spacing w:val="-13"/>
          <w:sz w:val="24"/>
        </w:rPr>
        <w:t> </w:t>
      </w:r>
      <w:r>
        <w:rPr>
          <w:color w:val="231F20"/>
          <w:spacing w:val="-2"/>
          <w:sz w:val="24"/>
        </w:rPr>
        <w:t>le</w:t>
      </w:r>
      <w:r>
        <w:rPr>
          <w:color w:val="231F20"/>
          <w:spacing w:val="-13"/>
          <w:sz w:val="24"/>
        </w:rPr>
        <w:t> </w:t>
      </w:r>
      <w:r>
        <w:rPr>
          <w:color w:val="231F20"/>
          <w:spacing w:val="-2"/>
          <w:sz w:val="24"/>
        </w:rPr>
        <w:t>31</w:t>
      </w:r>
      <w:r>
        <w:rPr>
          <w:color w:val="231F20"/>
          <w:spacing w:val="-13"/>
          <w:sz w:val="24"/>
        </w:rPr>
        <w:t> </w:t>
      </w:r>
      <w:r>
        <w:rPr>
          <w:color w:val="231F20"/>
          <w:spacing w:val="-2"/>
          <w:sz w:val="24"/>
        </w:rPr>
        <w:t>octobre</w:t>
      </w:r>
      <w:r>
        <w:rPr>
          <w:color w:val="231F20"/>
          <w:spacing w:val="-13"/>
          <w:sz w:val="24"/>
        </w:rPr>
        <w:t> </w:t>
      </w:r>
      <w:r>
        <w:rPr>
          <w:color w:val="231F20"/>
          <w:spacing w:val="-2"/>
          <w:sz w:val="24"/>
        </w:rPr>
        <w:t>2014</w:t>
      </w:r>
      <w:r>
        <w:rPr>
          <w:color w:val="231F20"/>
          <w:spacing w:val="-13"/>
          <w:sz w:val="24"/>
        </w:rPr>
        <w:t> </w:t>
      </w:r>
      <w:r>
        <w:rPr>
          <w:color w:val="231F20"/>
          <w:spacing w:val="-2"/>
          <w:sz w:val="24"/>
        </w:rPr>
        <w:t>:</w:t>
      </w:r>
      <w:r>
        <w:rPr>
          <w:color w:val="231F20"/>
          <w:spacing w:val="-13"/>
          <w:sz w:val="24"/>
        </w:rPr>
        <w:t> </w:t>
      </w:r>
      <w:r>
        <w:rPr>
          <w:color w:val="231F20"/>
          <w:spacing w:val="-2"/>
          <w:sz w:val="24"/>
        </w:rPr>
        <w:t>"</w:t>
      </w:r>
      <w:r>
        <w:rPr>
          <w:i/>
          <w:color w:val="231F20"/>
          <w:spacing w:val="-2"/>
          <w:sz w:val="24"/>
        </w:rPr>
        <w:t>Des</w:t>
      </w:r>
      <w:r>
        <w:rPr>
          <w:i/>
          <w:color w:val="231F20"/>
          <w:spacing w:val="-13"/>
          <w:sz w:val="24"/>
        </w:rPr>
        <w:t> </w:t>
      </w:r>
      <w:r>
        <w:rPr>
          <w:i/>
          <w:color w:val="231F20"/>
          <w:spacing w:val="-2"/>
          <w:sz w:val="24"/>
        </w:rPr>
        <w:t>unités</w:t>
      </w:r>
      <w:r>
        <w:rPr>
          <w:i/>
          <w:color w:val="231F20"/>
          <w:spacing w:val="-13"/>
          <w:sz w:val="24"/>
        </w:rPr>
        <w:t> </w:t>
      </w:r>
      <w:r>
        <w:rPr>
          <w:i/>
          <w:color w:val="231F20"/>
          <w:spacing w:val="-2"/>
          <w:sz w:val="24"/>
        </w:rPr>
        <w:t>ont</w:t>
      </w:r>
      <w:r>
        <w:rPr>
          <w:i/>
          <w:color w:val="231F20"/>
          <w:spacing w:val="-13"/>
          <w:sz w:val="24"/>
        </w:rPr>
        <w:t> </w:t>
      </w:r>
      <w:r>
        <w:rPr>
          <w:i/>
          <w:color w:val="231F20"/>
          <w:spacing w:val="-2"/>
          <w:sz w:val="24"/>
        </w:rPr>
        <w:t>été</w:t>
      </w:r>
      <w:r>
        <w:rPr>
          <w:i/>
          <w:color w:val="231F20"/>
          <w:spacing w:val="-13"/>
          <w:sz w:val="24"/>
        </w:rPr>
        <w:t> </w:t>
      </w:r>
      <w:r>
        <w:rPr>
          <w:i/>
          <w:color w:val="231F20"/>
          <w:spacing w:val="-2"/>
          <w:sz w:val="24"/>
        </w:rPr>
        <w:t>dissoutes</w:t>
      </w:r>
      <w:r>
        <w:rPr>
          <w:i/>
          <w:color w:val="231F20"/>
          <w:spacing w:val="-13"/>
          <w:sz w:val="24"/>
        </w:rPr>
        <w:t> </w:t>
      </w:r>
      <w:r>
        <w:rPr>
          <w:i/>
          <w:color w:val="231F20"/>
          <w:spacing w:val="-2"/>
          <w:sz w:val="24"/>
        </w:rPr>
        <w:t>et</w:t>
      </w:r>
      <w:r>
        <w:rPr>
          <w:i/>
          <w:color w:val="231F20"/>
          <w:spacing w:val="-13"/>
          <w:sz w:val="24"/>
        </w:rPr>
        <w:t> </w:t>
      </w:r>
      <w:r>
        <w:rPr>
          <w:i/>
          <w:color w:val="231F20"/>
          <w:spacing w:val="-2"/>
          <w:sz w:val="24"/>
        </w:rPr>
        <w:t>des</w:t>
      </w:r>
      <w:r>
        <w:rPr>
          <w:i/>
          <w:color w:val="231F20"/>
          <w:spacing w:val="-2"/>
          <w:sz w:val="24"/>
        </w:rPr>
        <w:t> </w:t>
      </w:r>
      <w:r>
        <w:rPr>
          <w:i/>
          <w:color w:val="231F20"/>
          <w:sz w:val="24"/>
        </w:rPr>
        <w:t>cadres</w:t>
      </w:r>
      <w:r>
        <w:rPr>
          <w:i/>
          <w:color w:val="231F20"/>
          <w:spacing w:val="29"/>
          <w:sz w:val="24"/>
        </w:rPr>
        <w:t> </w:t>
      </w:r>
      <w:r>
        <w:rPr>
          <w:i/>
          <w:color w:val="231F20"/>
          <w:sz w:val="24"/>
        </w:rPr>
        <w:t>de</w:t>
      </w:r>
      <w:r>
        <w:rPr>
          <w:i/>
          <w:color w:val="231F20"/>
          <w:spacing w:val="27"/>
          <w:sz w:val="24"/>
        </w:rPr>
        <w:t> </w:t>
      </w:r>
      <w:r>
        <w:rPr>
          <w:i/>
          <w:color w:val="231F20"/>
          <w:sz w:val="24"/>
        </w:rPr>
        <w:t>l'armée</w:t>
      </w:r>
      <w:r>
        <w:rPr>
          <w:i/>
          <w:color w:val="231F20"/>
          <w:spacing w:val="27"/>
          <w:sz w:val="24"/>
        </w:rPr>
        <w:t> </w:t>
      </w:r>
      <w:r>
        <w:rPr>
          <w:i/>
          <w:color w:val="231F20"/>
          <w:sz w:val="24"/>
        </w:rPr>
        <w:t>ont</w:t>
      </w:r>
      <w:r>
        <w:rPr>
          <w:i/>
          <w:color w:val="231F20"/>
          <w:spacing w:val="29"/>
          <w:sz w:val="24"/>
        </w:rPr>
        <w:t> </w:t>
      </w:r>
      <w:r>
        <w:rPr>
          <w:i/>
          <w:color w:val="231F20"/>
          <w:sz w:val="24"/>
        </w:rPr>
        <w:t>quitté</w:t>
      </w:r>
      <w:r>
        <w:rPr>
          <w:i/>
          <w:color w:val="231F20"/>
          <w:spacing w:val="29"/>
          <w:sz w:val="24"/>
        </w:rPr>
        <w:t> </w:t>
      </w:r>
      <w:r>
        <w:rPr>
          <w:i/>
          <w:color w:val="231F20"/>
          <w:sz w:val="24"/>
        </w:rPr>
        <w:t>le</w:t>
      </w:r>
      <w:r>
        <w:rPr>
          <w:i/>
          <w:color w:val="231F20"/>
          <w:spacing w:val="28"/>
          <w:sz w:val="24"/>
        </w:rPr>
        <w:t> </w:t>
      </w:r>
      <w:r>
        <w:rPr>
          <w:i/>
          <w:color w:val="231F20"/>
          <w:sz w:val="24"/>
        </w:rPr>
        <w:t>pays.</w:t>
      </w:r>
      <w:r>
        <w:rPr>
          <w:i/>
          <w:color w:val="231F20"/>
          <w:spacing w:val="-13"/>
          <w:sz w:val="24"/>
        </w:rPr>
        <w:t> </w:t>
      </w:r>
      <w:r>
        <w:rPr>
          <w:color w:val="231F20"/>
          <w:sz w:val="24"/>
        </w:rPr>
        <w:t>C</w:t>
      </w:r>
      <w:r>
        <w:rPr>
          <w:i/>
          <w:color w:val="231F20"/>
          <w:sz w:val="24"/>
        </w:rPr>
        <w:t>'est</w:t>
      </w:r>
      <w:r>
        <w:rPr>
          <w:i/>
          <w:color w:val="231F20"/>
          <w:spacing w:val="30"/>
          <w:sz w:val="24"/>
        </w:rPr>
        <w:t> </w:t>
      </w:r>
      <w:r>
        <w:rPr>
          <w:i/>
          <w:color w:val="231F20"/>
          <w:sz w:val="24"/>
        </w:rPr>
        <w:t>une</w:t>
      </w:r>
      <w:r>
        <w:rPr>
          <w:i/>
          <w:color w:val="231F20"/>
          <w:spacing w:val="28"/>
          <w:sz w:val="24"/>
        </w:rPr>
        <w:t> </w:t>
      </w:r>
      <w:r>
        <w:rPr>
          <w:i/>
          <w:color w:val="231F20"/>
          <w:sz w:val="24"/>
        </w:rPr>
        <w:t>armée</w:t>
      </w:r>
      <w:r>
        <w:rPr>
          <w:i/>
          <w:color w:val="231F20"/>
          <w:spacing w:val="29"/>
          <w:sz w:val="24"/>
        </w:rPr>
        <w:t> </w:t>
      </w:r>
      <w:r>
        <w:rPr>
          <w:i/>
          <w:color w:val="231F20"/>
          <w:sz w:val="24"/>
        </w:rPr>
        <w:t>affaiblie</w:t>
      </w:r>
      <w:r>
        <w:rPr>
          <w:i/>
          <w:color w:val="231F20"/>
          <w:spacing w:val="30"/>
          <w:sz w:val="24"/>
        </w:rPr>
        <w:t> </w:t>
      </w:r>
      <w:r>
        <w:rPr>
          <w:i/>
          <w:color w:val="231F20"/>
          <w:sz w:val="24"/>
        </w:rPr>
        <w:t>qui</w:t>
      </w:r>
      <w:r>
        <w:rPr>
          <w:i/>
          <w:color w:val="231F20"/>
          <w:spacing w:val="28"/>
          <w:sz w:val="24"/>
        </w:rPr>
        <w:t> </w:t>
      </w:r>
      <w:r>
        <w:rPr>
          <w:i/>
          <w:color w:val="231F20"/>
          <w:spacing w:val="-10"/>
          <w:sz w:val="24"/>
        </w:rPr>
        <w:t>a</w:t>
      </w:r>
    </w:p>
    <w:p>
      <w:pPr>
        <w:spacing w:after="0"/>
        <w:jc w:val="both"/>
        <w:rPr>
          <w:sz w:val="24"/>
        </w:rPr>
        <w:sectPr>
          <w:pgSz w:w="8790" w:h="13610"/>
          <w:pgMar w:header="0" w:footer="802" w:top="1060" w:bottom="1000" w:left="880" w:right="880"/>
        </w:sectPr>
      </w:pPr>
    </w:p>
    <w:p>
      <w:pPr>
        <w:spacing w:before="86"/>
        <w:ind w:left="111" w:right="105" w:firstLine="0"/>
        <w:jc w:val="both"/>
        <w:rPr>
          <w:i/>
          <w:sz w:val="24"/>
        </w:rPr>
      </w:pPr>
      <w:r>
        <w:rPr>
          <w:i/>
          <w:color w:val="231F20"/>
          <w:spacing w:val="-2"/>
          <w:sz w:val="24"/>
        </w:rPr>
        <w:t>affronté</w:t>
      </w:r>
      <w:r>
        <w:rPr>
          <w:i/>
          <w:color w:val="231F20"/>
          <w:spacing w:val="-15"/>
          <w:sz w:val="24"/>
        </w:rPr>
        <w:t> </w:t>
      </w:r>
      <w:r>
        <w:rPr>
          <w:i/>
          <w:color w:val="231F20"/>
          <w:spacing w:val="-2"/>
          <w:sz w:val="24"/>
        </w:rPr>
        <w:t>les</w:t>
      </w:r>
      <w:r>
        <w:rPr>
          <w:i/>
          <w:color w:val="231F20"/>
          <w:spacing w:val="-13"/>
          <w:sz w:val="24"/>
        </w:rPr>
        <w:t> </w:t>
      </w:r>
      <w:r>
        <w:rPr>
          <w:i/>
          <w:color w:val="231F20"/>
          <w:spacing w:val="-2"/>
          <w:sz w:val="24"/>
        </w:rPr>
        <w:t>groupes</w:t>
      </w:r>
      <w:r>
        <w:rPr>
          <w:i/>
          <w:color w:val="231F20"/>
          <w:spacing w:val="-13"/>
          <w:sz w:val="24"/>
        </w:rPr>
        <w:t> </w:t>
      </w:r>
      <w:r>
        <w:rPr>
          <w:i/>
          <w:color w:val="231F20"/>
          <w:spacing w:val="-2"/>
          <w:sz w:val="24"/>
        </w:rPr>
        <w:t>armés</w:t>
      </w:r>
      <w:r>
        <w:rPr>
          <w:i/>
          <w:color w:val="231F20"/>
          <w:spacing w:val="-13"/>
          <w:sz w:val="24"/>
        </w:rPr>
        <w:t> </w:t>
      </w:r>
      <w:r>
        <w:rPr>
          <w:i/>
          <w:color w:val="231F20"/>
          <w:spacing w:val="-2"/>
          <w:sz w:val="24"/>
        </w:rPr>
        <w:t>à</w:t>
      </w:r>
      <w:r>
        <w:rPr>
          <w:i/>
          <w:color w:val="231F20"/>
          <w:spacing w:val="-13"/>
          <w:sz w:val="24"/>
        </w:rPr>
        <w:t> </w:t>
      </w:r>
      <w:r>
        <w:rPr>
          <w:i/>
          <w:color w:val="231F20"/>
          <w:spacing w:val="-2"/>
          <w:sz w:val="24"/>
        </w:rPr>
        <w:t>partir</w:t>
      </w:r>
      <w:r>
        <w:rPr>
          <w:i/>
          <w:color w:val="231F20"/>
          <w:spacing w:val="-13"/>
          <w:sz w:val="24"/>
        </w:rPr>
        <w:t> </w:t>
      </w:r>
      <w:r>
        <w:rPr>
          <w:i/>
          <w:color w:val="231F20"/>
          <w:spacing w:val="-2"/>
          <w:sz w:val="24"/>
        </w:rPr>
        <w:t>de</w:t>
      </w:r>
      <w:r>
        <w:rPr>
          <w:i/>
          <w:color w:val="231F20"/>
          <w:spacing w:val="-13"/>
          <w:sz w:val="24"/>
        </w:rPr>
        <w:t> </w:t>
      </w:r>
      <w:r>
        <w:rPr>
          <w:i/>
          <w:color w:val="231F20"/>
          <w:spacing w:val="-2"/>
          <w:sz w:val="24"/>
        </w:rPr>
        <w:t>2015"</w:t>
      </w:r>
      <w:r>
        <w:rPr>
          <w:color w:val="231F20"/>
          <w:spacing w:val="-2"/>
          <w:sz w:val="24"/>
          <w:vertAlign w:val="superscript"/>
        </w:rPr>
        <w:t>111</w:t>
      </w:r>
      <w:r>
        <w:rPr>
          <w:i/>
          <w:color w:val="231F20"/>
          <w:spacing w:val="-2"/>
          <w:sz w:val="24"/>
          <w:vertAlign w:val="baseline"/>
        </w:rPr>
        <w:t>.</w:t>
      </w:r>
      <w:r>
        <w:rPr>
          <w:i/>
          <w:color w:val="231F20"/>
          <w:spacing w:val="-13"/>
          <w:sz w:val="24"/>
          <w:vertAlign w:val="baseline"/>
        </w:rPr>
        <w:t> </w:t>
      </w:r>
      <w:r>
        <w:rPr>
          <w:color w:val="231F20"/>
          <w:spacing w:val="-2"/>
          <w:sz w:val="24"/>
          <w:vertAlign w:val="baseline"/>
        </w:rPr>
        <w:t>L'unité</w:t>
      </w:r>
      <w:r>
        <w:rPr>
          <w:color w:val="231F20"/>
          <w:spacing w:val="-13"/>
          <w:sz w:val="24"/>
          <w:vertAlign w:val="baseline"/>
        </w:rPr>
        <w:t> </w:t>
      </w:r>
      <w:r>
        <w:rPr>
          <w:color w:val="231F20"/>
          <w:spacing w:val="-2"/>
          <w:sz w:val="24"/>
          <w:vertAlign w:val="baseline"/>
        </w:rPr>
        <w:t>la</w:t>
      </w:r>
      <w:r>
        <w:rPr>
          <w:color w:val="231F20"/>
          <w:spacing w:val="-13"/>
          <w:sz w:val="24"/>
          <w:vertAlign w:val="baseline"/>
        </w:rPr>
        <w:t> </w:t>
      </w:r>
      <w:r>
        <w:rPr>
          <w:color w:val="231F20"/>
          <w:spacing w:val="-2"/>
          <w:sz w:val="24"/>
          <w:vertAlign w:val="baseline"/>
        </w:rPr>
        <w:t>plus</w:t>
      </w:r>
      <w:r>
        <w:rPr>
          <w:color w:val="231F20"/>
          <w:spacing w:val="-13"/>
          <w:sz w:val="24"/>
          <w:vertAlign w:val="baseline"/>
        </w:rPr>
        <w:t> </w:t>
      </w:r>
      <w:r>
        <w:rPr>
          <w:color w:val="231F20"/>
          <w:spacing w:val="-2"/>
          <w:sz w:val="24"/>
          <w:vertAlign w:val="baseline"/>
        </w:rPr>
        <w:t>connue</w:t>
      </w:r>
      <w:r>
        <w:rPr>
          <w:color w:val="231F20"/>
          <w:spacing w:val="-13"/>
          <w:sz w:val="24"/>
          <w:vertAlign w:val="baseline"/>
        </w:rPr>
        <w:t> </w:t>
      </w:r>
      <w:r>
        <w:rPr>
          <w:color w:val="231F20"/>
          <w:spacing w:val="-2"/>
          <w:sz w:val="24"/>
          <w:vertAlign w:val="baseline"/>
        </w:rPr>
        <w:t>du </w:t>
      </w:r>
      <w:r>
        <w:rPr>
          <w:color w:val="231F20"/>
          <w:sz w:val="24"/>
          <w:vertAlign w:val="baseline"/>
        </w:rPr>
        <w:t>régime</w:t>
      </w:r>
      <w:r>
        <w:rPr>
          <w:color w:val="231F20"/>
          <w:spacing w:val="-11"/>
          <w:sz w:val="24"/>
          <w:vertAlign w:val="baseline"/>
        </w:rPr>
        <w:t> </w:t>
      </w:r>
      <w:r>
        <w:rPr>
          <w:color w:val="231F20"/>
          <w:sz w:val="24"/>
          <w:vertAlign w:val="baseline"/>
        </w:rPr>
        <w:t>de</w:t>
      </w:r>
      <w:r>
        <w:rPr>
          <w:color w:val="231F20"/>
          <w:spacing w:val="-11"/>
          <w:sz w:val="24"/>
          <w:vertAlign w:val="baseline"/>
        </w:rPr>
        <w:t> </w:t>
      </w:r>
      <w:r>
        <w:rPr>
          <w:color w:val="231F20"/>
          <w:sz w:val="24"/>
          <w:vertAlign w:val="baseline"/>
        </w:rPr>
        <w:t>Blaise</w:t>
      </w:r>
      <w:r>
        <w:rPr>
          <w:color w:val="231F20"/>
          <w:spacing w:val="-11"/>
          <w:sz w:val="24"/>
          <w:vertAlign w:val="baseline"/>
        </w:rPr>
        <w:t> </w:t>
      </w:r>
      <w:r>
        <w:rPr>
          <w:color w:val="231F20"/>
          <w:sz w:val="24"/>
          <w:vertAlign w:val="baseline"/>
        </w:rPr>
        <w:t>Compaoré</w:t>
      </w:r>
      <w:r>
        <w:rPr>
          <w:color w:val="231F20"/>
          <w:spacing w:val="-10"/>
          <w:sz w:val="24"/>
          <w:vertAlign w:val="baseline"/>
        </w:rPr>
        <w:t> </w:t>
      </w:r>
      <w:r>
        <w:rPr>
          <w:color w:val="231F20"/>
          <w:sz w:val="24"/>
          <w:vertAlign w:val="baseline"/>
        </w:rPr>
        <w:t>était</w:t>
      </w:r>
      <w:r>
        <w:rPr>
          <w:color w:val="231F20"/>
          <w:spacing w:val="-11"/>
          <w:sz w:val="24"/>
          <w:vertAlign w:val="baseline"/>
        </w:rPr>
        <w:t> </w:t>
      </w:r>
      <w:r>
        <w:rPr>
          <w:color w:val="231F20"/>
          <w:sz w:val="24"/>
          <w:vertAlign w:val="baseline"/>
        </w:rPr>
        <w:t>le</w:t>
      </w:r>
      <w:r>
        <w:rPr>
          <w:color w:val="231F20"/>
          <w:spacing w:val="-11"/>
          <w:sz w:val="24"/>
          <w:vertAlign w:val="baseline"/>
        </w:rPr>
        <w:t> </w:t>
      </w:r>
      <w:r>
        <w:rPr>
          <w:color w:val="231F20"/>
          <w:sz w:val="24"/>
          <w:vertAlign w:val="baseline"/>
        </w:rPr>
        <w:t>Régiment</w:t>
      </w:r>
      <w:r>
        <w:rPr>
          <w:color w:val="231F20"/>
          <w:spacing w:val="-11"/>
          <w:sz w:val="24"/>
          <w:vertAlign w:val="baseline"/>
        </w:rPr>
        <w:t> </w:t>
      </w:r>
      <w:r>
        <w:rPr>
          <w:color w:val="231F20"/>
          <w:sz w:val="24"/>
          <w:vertAlign w:val="baseline"/>
        </w:rPr>
        <w:t>de</w:t>
      </w:r>
      <w:r>
        <w:rPr>
          <w:color w:val="231F20"/>
          <w:spacing w:val="-11"/>
          <w:sz w:val="24"/>
          <w:vertAlign w:val="baseline"/>
        </w:rPr>
        <w:t> </w:t>
      </w:r>
      <w:r>
        <w:rPr>
          <w:color w:val="231F20"/>
          <w:sz w:val="24"/>
          <w:vertAlign w:val="baseline"/>
        </w:rPr>
        <w:t>Sécurité</w:t>
      </w:r>
      <w:r>
        <w:rPr>
          <w:color w:val="231F20"/>
          <w:spacing w:val="-13"/>
          <w:sz w:val="24"/>
          <w:vertAlign w:val="baseline"/>
        </w:rPr>
        <w:t> </w:t>
      </w:r>
      <w:r>
        <w:rPr>
          <w:color w:val="231F20"/>
          <w:sz w:val="24"/>
          <w:vertAlign w:val="baseline"/>
        </w:rPr>
        <w:t>Présidentielle (RSP) dirigé par le général Diendéré dissoute en 2015 par le nouveau </w:t>
      </w:r>
      <w:r>
        <w:rPr>
          <w:color w:val="231F20"/>
          <w:spacing w:val="-4"/>
          <w:sz w:val="24"/>
          <w:vertAlign w:val="baseline"/>
        </w:rPr>
        <w:t>régime.</w:t>
      </w:r>
      <w:r>
        <w:rPr>
          <w:color w:val="231F20"/>
          <w:spacing w:val="-11"/>
          <w:sz w:val="24"/>
          <w:vertAlign w:val="baseline"/>
        </w:rPr>
        <w:t> </w:t>
      </w:r>
      <w:r>
        <w:rPr>
          <w:i/>
          <w:color w:val="231F20"/>
          <w:spacing w:val="-4"/>
          <w:sz w:val="24"/>
          <w:vertAlign w:val="baseline"/>
        </w:rPr>
        <w:t>«Avec</w:t>
      </w:r>
      <w:r>
        <w:rPr>
          <w:i/>
          <w:color w:val="231F20"/>
          <w:spacing w:val="-11"/>
          <w:sz w:val="24"/>
          <w:vertAlign w:val="baseline"/>
        </w:rPr>
        <w:t> </w:t>
      </w:r>
      <w:r>
        <w:rPr>
          <w:i/>
          <w:color w:val="231F20"/>
          <w:spacing w:val="-4"/>
          <w:sz w:val="24"/>
          <w:vertAlign w:val="baseline"/>
        </w:rPr>
        <w:t>ses</w:t>
      </w:r>
      <w:r>
        <w:rPr>
          <w:i/>
          <w:color w:val="231F20"/>
          <w:spacing w:val="-11"/>
          <w:sz w:val="24"/>
          <w:vertAlign w:val="baseline"/>
        </w:rPr>
        <w:t> </w:t>
      </w:r>
      <w:r>
        <w:rPr>
          <w:i/>
          <w:color w:val="231F20"/>
          <w:spacing w:val="-4"/>
          <w:sz w:val="24"/>
          <w:vertAlign w:val="baseline"/>
        </w:rPr>
        <w:t>1</w:t>
      </w:r>
      <w:r>
        <w:rPr>
          <w:i/>
          <w:color w:val="231F20"/>
          <w:spacing w:val="-11"/>
          <w:sz w:val="24"/>
          <w:vertAlign w:val="baseline"/>
        </w:rPr>
        <w:t> </w:t>
      </w:r>
      <w:r>
        <w:rPr>
          <w:i/>
          <w:color w:val="231F20"/>
          <w:spacing w:val="-4"/>
          <w:sz w:val="24"/>
          <w:vertAlign w:val="baseline"/>
        </w:rPr>
        <w:t>300</w:t>
      </w:r>
      <w:r>
        <w:rPr>
          <w:i/>
          <w:color w:val="231F20"/>
          <w:spacing w:val="-11"/>
          <w:sz w:val="24"/>
          <w:vertAlign w:val="baseline"/>
        </w:rPr>
        <w:t> </w:t>
      </w:r>
      <w:r>
        <w:rPr>
          <w:i/>
          <w:color w:val="231F20"/>
          <w:spacing w:val="-4"/>
          <w:sz w:val="24"/>
          <w:vertAlign w:val="baseline"/>
        </w:rPr>
        <w:t>hommes,</w:t>
      </w:r>
      <w:r>
        <w:rPr>
          <w:i/>
          <w:color w:val="231F20"/>
          <w:spacing w:val="-11"/>
          <w:sz w:val="24"/>
          <w:vertAlign w:val="baseline"/>
        </w:rPr>
        <w:t> </w:t>
      </w:r>
      <w:r>
        <w:rPr>
          <w:i/>
          <w:color w:val="231F20"/>
          <w:spacing w:val="-4"/>
          <w:sz w:val="24"/>
          <w:vertAlign w:val="baseline"/>
        </w:rPr>
        <w:t>cette</w:t>
      </w:r>
      <w:r>
        <w:rPr>
          <w:i/>
          <w:color w:val="231F20"/>
          <w:spacing w:val="-11"/>
          <w:sz w:val="24"/>
          <w:vertAlign w:val="baseline"/>
        </w:rPr>
        <w:t> </w:t>
      </w:r>
      <w:r>
        <w:rPr>
          <w:i/>
          <w:color w:val="231F20"/>
          <w:spacing w:val="-4"/>
          <w:sz w:val="24"/>
          <w:vertAlign w:val="baseline"/>
        </w:rPr>
        <w:t>unité</w:t>
      </w:r>
      <w:r>
        <w:rPr>
          <w:i/>
          <w:color w:val="231F20"/>
          <w:spacing w:val="-11"/>
          <w:sz w:val="24"/>
          <w:vertAlign w:val="baseline"/>
        </w:rPr>
        <w:t> </w:t>
      </w:r>
      <w:r>
        <w:rPr>
          <w:i/>
          <w:color w:val="231F20"/>
          <w:spacing w:val="-4"/>
          <w:sz w:val="24"/>
          <w:vertAlign w:val="baseline"/>
        </w:rPr>
        <w:t>représentait</w:t>
      </w:r>
      <w:r>
        <w:rPr>
          <w:i/>
          <w:color w:val="231F20"/>
          <w:spacing w:val="-10"/>
          <w:sz w:val="24"/>
          <w:vertAlign w:val="baseline"/>
        </w:rPr>
        <w:t> </w:t>
      </w:r>
      <w:r>
        <w:rPr>
          <w:i/>
          <w:color w:val="231F20"/>
          <w:spacing w:val="-4"/>
          <w:sz w:val="24"/>
          <w:vertAlign w:val="baseline"/>
        </w:rPr>
        <w:t>près</w:t>
      </w:r>
      <w:r>
        <w:rPr>
          <w:i/>
          <w:color w:val="231F20"/>
          <w:spacing w:val="-11"/>
          <w:sz w:val="24"/>
          <w:vertAlign w:val="baseline"/>
        </w:rPr>
        <w:t> </w:t>
      </w:r>
      <w:r>
        <w:rPr>
          <w:i/>
          <w:color w:val="231F20"/>
          <w:spacing w:val="-4"/>
          <w:sz w:val="24"/>
          <w:vertAlign w:val="baseline"/>
        </w:rPr>
        <w:t>de</w:t>
      </w:r>
      <w:r>
        <w:rPr>
          <w:i/>
          <w:color w:val="231F20"/>
          <w:spacing w:val="-11"/>
          <w:sz w:val="24"/>
          <w:vertAlign w:val="baseline"/>
        </w:rPr>
        <w:t> </w:t>
      </w:r>
      <w:r>
        <w:rPr>
          <w:i/>
          <w:color w:val="231F20"/>
          <w:spacing w:val="-4"/>
          <w:sz w:val="24"/>
          <w:vertAlign w:val="baseline"/>
        </w:rPr>
        <w:t>10%</w:t>
      </w:r>
      <w:r>
        <w:rPr>
          <w:i/>
          <w:color w:val="231F20"/>
          <w:spacing w:val="-11"/>
          <w:sz w:val="24"/>
          <w:vertAlign w:val="baseline"/>
        </w:rPr>
        <w:t> </w:t>
      </w:r>
      <w:r>
        <w:rPr>
          <w:i/>
          <w:color w:val="231F20"/>
          <w:spacing w:val="-4"/>
          <w:sz w:val="24"/>
          <w:vertAlign w:val="baseline"/>
        </w:rPr>
        <w:t>des</w:t>
      </w:r>
      <w:r>
        <w:rPr>
          <w:i/>
          <w:color w:val="231F20"/>
          <w:spacing w:val="-4"/>
          <w:sz w:val="24"/>
          <w:vertAlign w:val="baseline"/>
        </w:rPr>
        <w:t> </w:t>
      </w:r>
      <w:r>
        <w:rPr>
          <w:i/>
          <w:color w:val="231F20"/>
          <w:sz w:val="24"/>
          <w:vertAlign w:val="baseline"/>
        </w:rPr>
        <w:t>effectifs de l’armée</w:t>
      </w:r>
      <w:r>
        <w:rPr>
          <w:i/>
          <w:color w:val="231F20"/>
          <w:spacing w:val="-15"/>
          <w:sz w:val="24"/>
          <w:vertAlign w:val="baseline"/>
        </w:rPr>
        <w:t> </w:t>
      </w:r>
      <w:r>
        <w:rPr>
          <w:i/>
          <w:color w:val="231F20"/>
          <w:sz w:val="24"/>
          <w:vertAlign w:val="baseline"/>
        </w:rPr>
        <w:t>; elle constituait un corps d’élite et surtout la base d’un</w:t>
      </w:r>
      <w:r>
        <w:rPr>
          <w:i/>
          <w:color w:val="231F20"/>
          <w:spacing w:val="-2"/>
          <w:sz w:val="24"/>
          <w:vertAlign w:val="baseline"/>
        </w:rPr>
        <w:t> </w:t>
      </w:r>
      <w:r>
        <w:rPr>
          <w:i/>
          <w:color w:val="231F20"/>
          <w:sz w:val="24"/>
          <w:vertAlign w:val="baseline"/>
        </w:rPr>
        <w:t>service de renseignement extrêmement efficace</w:t>
      </w:r>
      <w:r>
        <w:rPr>
          <w:color w:val="231F20"/>
          <w:sz w:val="24"/>
          <w:vertAlign w:val="superscript"/>
        </w:rPr>
        <w:t>112</w:t>
      </w:r>
      <w:r>
        <w:rPr>
          <w:i/>
          <w:color w:val="231F20"/>
          <w:sz w:val="24"/>
          <w:vertAlign w:val="baseline"/>
        </w:rPr>
        <w:t>»</w:t>
      </w:r>
    </w:p>
    <w:p>
      <w:pPr>
        <w:spacing w:before="120"/>
        <w:ind w:left="111" w:right="104" w:firstLine="283"/>
        <w:jc w:val="both"/>
        <w:rPr>
          <w:i/>
          <w:sz w:val="24"/>
        </w:rPr>
      </w:pPr>
      <w:r>
        <w:rPr>
          <w:color w:val="231F20"/>
          <w:spacing w:val="-2"/>
          <w:sz w:val="24"/>
        </w:rPr>
        <w:t>La</w:t>
      </w:r>
      <w:r>
        <w:rPr>
          <w:color w:val="231F20"/>
          <w:spacing w:val="-13"/>
          <w:sz w:val="24"/>
        </w:rPr>
        <w:t> </w:t>
      </w:r>
      <w:r>
        <w:rPr>
          <w:color w:val="231F20"/>
          <w:spacing w:val="-2"/>
          <w:sz w:val="24"/>
        </w:rPr>
        <w:t>lutte</w:t>
      </w:r>
      <w:r>
        <w:rPr>
          <w:color w:val="231F20"/>
          <w:spacing w:val="-13"/>
          <w:sz w:val="24"/>
        </w:rPr>
        <w:t> </w:t>
      </w:r>
      <w:r>
        <w:rPr>
          <w:color w:val="231F20"/>
          <w:spacing w:val="-2"/>
          <w:sz w:val="24"/>
        </w:rPr>
        <w:t>contre</w:t>
      </w:r>
      <w:r>
        <w:rPr>
          <w:color w:val="231F20"/>
          <w:spacing w:val="-13"/>
          <w:sz w:val="24"/>
        </w:rPr>
        <w:t> </w:t>
      </w:r>
      <w:r>
        <w:rPr>
          <w:color w:val="231F20"/>
          <w:spacing w:val="-2"/>
          <w:sz w:val="24"/>
        </w:rPr>
        <w:t>l'insécurité</w:t>
      </w:r>
      <w:r>
        <w:rPr>
          <w:color w:val="231F20"/>
          <w:spacing w:val="-13"/>
          <w:sz w:val="24"/>
        </w:rPr>
        <w:t> </w:t>
      </w:r>
      <w:r>
        <w:rPr>
          <w:color w:val="231F20"/>
          <w:spacing w:val="-2"/>
          <w:sz w:val="24"/>
        </w:rPr>
        <w:t>est</w:t>
      </w:r>
      <w:r>
        <w:rPr>
          <w:color w:val="231F20"/>
          <w:spacing w:val="-13"/>
          <w:sz w:val="24"/>
        </w:rPr>
        <w:t> </w:t>
      </w:r>
      <w:r>
        <w:rPr>
          <w:color w:val="231F20"/>
          <w:spacing w:val="-2"/>
          <w:sz w:val="24"/>
        </w:rPr>
        <w:t>au</w:t>
      </w:r>
      <w:r>
        <w:rPr>
          <w:color w:val="231F20"/>
          <w:spacing w:val="-13"/>
          <w:sz w:val="24"/>
        </w:rPr>
        <w:t> </w:t>
      </w:r>
      <w:r>
        <w:rPr>
          <w:color w:val="231F20"/>
          <w:spacing w:val="-2"/>
          <w:sz w:val="24"/>
        </w:rPr>
        <w:t>centre</w:t>
      </w:r>
      <w:r>
        <w:rPr>
          <w:color w:val="231F20"/>
          <w:spacing w:val="-13"/>
          <w:sz w:val="24"/>
        </w:rPr>
        <w:t> </w:t>
      </w:r>
      <w:r>
        <w:rPr>
          <w:color w:val="231F20"/>
          <w:spacing w:val="-2"/>
          <w:sz w:val="24"/>
        </w:rPr>
        <w:t>des</w:t>
      </w:r>
      <w:r>
        <w:rPr>
          <w:color w:val="231F20"/>
          <w:spacing w:val="-13"/>
          <w:sz w:val="24"/>
        </w:rPr>
        <w:t> </w:t>
      </w:r>
      <w:r>
        <w:rPr>
          <w:color w:val="231F20"/>
          <w:spacing w:val="-2"/>
          <w:sz w:val="24"/>
        </w:rPr>
        <w:t>débats</w:t>
      </w:r>
      <w:r>
        <w:rPr>
          <w:color w:val="231F20"/>
          <w:spacing w:val="-13"/>
          <w:sz w:val="24"/>
        </w:rPr>
        <w:t> </w:t>
      </w:r>
      <w:r>
        <w:rPr>
          <w:color w:val="231F20"/>
          <w:spacing w:val="-2"/>
          <w:sz w:val="24"/>
        </w:rPr>
        <w:t>politiques</w:t>
      </w:r>
      <w:r>
        <w:rPr>
          <w:color w:val="231F20"/>
          <w:spacing w:val="-13"/>
          <w:sz w:val="24"/>
        </w:rPr>
        <w:t> </w:t>
      </w:r>
      <w:r>
        <w:rPr>
          <w:color w:val="231F20"/>
          <w:spacing w:val="-2"/>
          <w:sz w:val="24"/>
        </w:rPr>
        <w:t>:</w:t>
      </w:r>
      <w:r>
        <w:rPr>
          <w:color w:val="231F20"/>
          <w:spacing w:val="-13"/>
          <w:sz w:val="24"/>
        </w:rPr>
        <w:t> </w:t>
      </w:r>
      <w:r>
        <w:rPr>
          <w:i/>
          <w:color w:val="231F20"/>
          <w:spacing w:val="-2"/>
          <w:sz w:val="24"/>
        </w:rPr>
        <w:t>«</w:t>
      </w:r>
      <w:r>
        <w:rPr>
          <w:i/>
          <w:color w:val="231F20"/>
          <w:spacing w:val="-13"/>
          <w:sz w:val="24"/>
        </w:rPr>
        <w:t> </w:t>
      </w:r>
      <w:r>
        <w:rPr>
          <w:color w:val="231F20"/>
          <w:spacing w:val="-2"/>
          <w:sz w:val="24"/>
        </w:rPr>
        <w:t>(…)</w:t>
      </w:r>
      <w:r>
        <w:rPr>
          <w:color w:val="231F20"/>
          <w:spacing w:val="-13"/>
          <w:sz w:val="24"/>
        </w:rPr>
        <w:t> </w:t>
      </w:r>
      <w:r>
        <w:rPr>
          <w:i/>
          <w:color w:val="231F20"/>
          <w:spacing w:val="-2"/>
          <w:sz w:val="24"/>
        </w:rPr>
        <w:t>Il</w:t>
      </w:r>
      <w:r>
        <w:rPr>
          <w:i/>
          <w:color w:val="231F20"/>
          <w:spacing w:val="-2"/>
          <w:sz w:val="24"/>
        </w:rPr>
        <w:t> </w:t>
      </w:r>
      <w:r>
        <w:rPr>
          <w:i/>
          <w:color w:val="231F20"/>
          <w:sz w:val="24"/>
        </w:rPr>
        <w:t>existait, c'est vrai, des liens entre des cadres du pouvoir de Blaise Compaoré</w:t>
      </w:r>
      <w:r>
        <w:rPr>
          <w:i/>
          <w:color w:val="231F20"/>
          <w:spacing w:val="-4"/>
          <w:sz w:val="24"/>
        </w:rPr>
        <w:t> </w:t>
      </w:r>
      <w:r>
        <w:rPr>
          <w:i/>
          <w:color w:val="231F20"/>
          <w:sz w:val="24"/>
        </w:rPr>
        <w:t>et</w:t>
      </w:r>
      <w:r>
        <w:rPr>
          <w:i/>
          <w:color w:val="231F20"/>
          <w:spacing w:val="-2"/>
          <w:sz w:val="24"/>
        </w:rPr>
        <w:t> </w:t>
      </w:r>
      <w:r>
        <w:rPr>
          <w:i/>
          <w:color w:val="231F20"/>
          <w:sz w:val="24"/>
        </w:rPr>
        <w:t>des</w:t>
      </w:r>
      <w:r>
        <w:rPr>
          <w:i/>
          <w:color w:val="231F20"/>
          <w:spacing w:val="-2"/>
          <w:sz w:val="24"/>
        </w:rPr>
        <w:t> </w:t>
      </w:r>
      <w:r>
        <w:rPr>
          <w:i/>
          <w:color w:val="231F20"/>
          <w:sz w:val="24"/>
        </w:rPr>
        <w:t>groupes</w:t>
      </w:r>
      <w:r>
        <w:rPr>
          <w:i/>
          <w:color w:val="231F20"/>
          <w:spacing w:val="-2"/>
          <w:sz w:val="24"/>
        </w:rPr>
        <w:t> </w:t>
      </w:r>
      <w:r>
        <w:rPr>
          <w:i/>
          <w:color w:val="231F20"/>
          <w:sz w:val="24"/>
        </w:rPr>
        <w:t>armés.</w:t>
      </w:r>
      <w:r>
        <w:rPr>
          <w:i/>
          <w:color w:val="231F20"/>
          <w:spacing w:val="-3"/>
          <w:sz w:val="24"/>
        </w:rPr>
        <w:t> </w:t>
      </w:r>
      <w:r>
        <w:rPr>
          <w:i/>
          <w:color w:val="231F20"/>
          <w:sz w:val="24"/>
        </w:rPr>
        <w:t>L’État</w:t>
      </w:r>
      <w:r>
        <w:rPr>
          <w:i/>
          <w:color w:val="231F20"/>
          <w:spacing w:val="-3"/>
          <w:sz w:val="24"/>
        </w:rPr>
        <w:t> </w:t>
      </w:r>
      <w:r>
        <w:rPr>
          <w:i/>
          <w:color w:val="231F20"/>
          <w:sz w:val="24"/>
        </w:rPr>
        <w:t>burkinabé</w:t>
      </w:r>
      <w:r>
        <w:rPr>
          <w:i/>
          <w:color w:val="231F20"/>
          <w:spacing w:val="-2"/>
          <w:sz w:val="24"/>
        </w:rPr>
        <w:t> </w:t>
      </w:r>
      <w:r>
        <w:rPr>
          <w:i/>
          <w:color w:val="231F20"/>
          <w:sz w:val="24"/>
        </w:rPr>
        <w:t>a</w:t>
      </w:r>
      <w:r>
        <w:rPr>
          <w:i/>
          <w:color w:val="231F20"/>
          <w:spacing w:val="-2"/>
          <w:sz w:val="24"/>
        </w:rPr>
        <w:t> </w:t>
      </w:r>
      <w:r>
        <w:rPr>
          <w:i/>
          <w:color w:val="231F20"/>
          <w:sz w:val="24"/>
        </w:rPr>
        <w:t>ainsi</w:t>
      </w:r>
      <w:r>
        <w:rPr>
          <w:i/>
          <w:color w:val="231F20"/>
          <w:spacing w:val="-15"/>
          <w:sz w:val="24"/>
        </w:rPr>
        <w:t> </w:t>
      </w:r>
      <w:r>
        <w:rPr>
          <w:i/>
          <w:color w:val="231F20"/>
          <w:sz w:val="24"/>
        </w:rPr>
        <w:t>servi</w:t>
      </w:r>
      <w:r>
        <w:rPr>
          <w:i/>
          <w:color w:val="231F20"/>
          <w:spacing w:val="-2"/>
          <w:sz w:val="24"/>
        </w:rPr>
        <w:t> </w:t>
      </w:r>
      <w:r>
        <w:rPr>
          <w:i/>
          <w:color w:val="231F20"/>
          <w:sz w:val="24"/>
        </w:rPr>
        <w:t>durant </w:t>
      </w:r>
      <w:r>
        <w:rPr>
          <w:i/>
          <w:color w:val="231F20"/>
          <w:spacing w:val="-4"/>
          <w:sz w:val="24"/>
        </w:rPr>
        <w:t>cette</w:t>
      </w:r>
      <w:r>
        <w:rPr>
          <w:i/>
          <w:color w:val="231F20"/>
          <w:spacing w:val="-11"/>
          <w:sz w:val="24"/>
        </w:rPr>
        <w:t> </w:t>
      </w:r>
      <w:r>
        <w:rPr>
          <w:i/>
          <w:color w:val="231F20"/>
          <w:spacing w:val="-4"/>
          <w:sz w:val="24"/>
        </w:rPr>
        <w:t>période</w:t>
      </w:r>
      <w:r>
        <w:rPr>
          <w:i/>
          <w:color w:val="231F20"/>
          <w:spacing w:val="-11"/>
          <w:sz w:val="24"/>
        </w:rPr>
        <w:t> </w:t>
      </w:r>
      <w:r>
        <w:rPr>
          <w:i/>
          <w:color w:val="231F20"/>
          <w:spacing w:val="-4"/>
          <w:sz w:val="24"/>
        </w:rPr>
        <w:t>d’intermédiaire</w:t>
      </w:r>
      <w:r>
        <w:rPr>
          <w:i/>
          <w:color w:val="231F20"/>
          <w:spacing w:val="-11"/>
          <w:sz w:val="24"/>
        </w:rPr>
        <w:t> </w:t>
      </w:r>
      <w:r>
        <w:rPr>
          <w:i/>
          <w:color w:val="231F20"/>
          <w:spacing w:val="-4"/>
          <w:sz w:val="24"/>
        </w:rPr>
        <w:t>entre</w:t>
      </w:r>
      <w:r>
        <w:rPr>
          <w:i/>
          <w:color w:val="231F20"/>
          <w:spacing w:val="-11"/>
          <w:sz w:val="24"/>
        </w:rPr>
        <w:t> </w:t>
      </w:r>
      <w:r>
        <w:rPr>
          <w:i/>
          <w:color w:val="231F20"/>
          <w:spacing w:val="-4"/>
          <w:sz w:val="24"/>
        </w:rPr>
        <w:t>les</w:t>
      </w:r>
      <w:r>
        <w:rPr>
          <w:i/>
          <w:color w:val="231F20"/>
          <w:spacing w:val="-11"/>
          <w:sz w:val="24"/>
        </w:rPr>
        <w:t> </w:t>
      </w:r>
      <w:r>
        <w:rPr>
          <w:i/>
          <w:color w:val="231F20"/>
          <w:spacing w:val="-4"/>
          <w:sz w:val="24"/>
        </w:rPr>
        <w:t>groupes</w:t>
      </w:r>
      <w:r>
        <w:rPr>
          <w:i/>
          <w:color w:val="231F20"/>
          <w:sz w:val="24"/>
        </w:rPr>
        <w:t> </w:t>
      </w:r>
      <w:r>
        <w:rPr>
          <w:i/>
          <w:color w:val="231F20"/>
          <w:spacing w:val="-4"/>
          <w:sz w:val="24"/>
        </w:rPr>
        <w:t>djihadistes</w:t>
      </w:r>
      <w:r>
        <w:rPr>
          <w:i/>
          <w:color w:val="231F20"/>
          <w:spacing w:val="-10"/>
          <w:sz w:val="24"/>
        </w:rPr>
        <w:t> </w:t>
      </w:r>
      <w:r>
        <w:rPr>
          <w:i/>
          <w:color w:val="231F20"/>
          <w:spacing w:val="-4"/>
          <w:sz w:val="24"/>
        </w:rPr>
        <w:t>et</w:t>
      </w:r>
      <w:r>
        <w:rPr>
          <w:i/>
          <w:color w:val="231F20"/>
          <w:spacing w:val="-10"/>
          <w:sz w:val="24"/>
        </w:rPr>
        <w:t> </w:t>
      </w:r>
      <w:r>
        <w:rPr>
          <w:i/>
          <w:color w:val="231F20"/>
          <w:spacing w:val="-4"/>
          <w:sz w:val="24"/>
        </w:rPr>
        <w:t>les</w:t>
      </w:r>
      <w:r>
        <w:rPr>
          <w:i/>
          <w:color w:val="231F20"/>
          <w:spacing w:val="-10"/>
          <w:sz w:val="24"/>
        </w:rPr>
        <w:t> </w:t>
      </w:r>
      <w:r>
        <w:rPr>
          <w:i/>
          <w:color w:val="231F20"/>
          <w:spacing w:val="-4"/>
          <w:sz w:val="24"/>
        </w:rPr>
        <w:t>forces</w:t>
      </w:r>
      <w:r>
        <w:rPr>
          <w:i/>
          <w:color w:val="231F20"/>
          <w:spacing w:val="-10"/>
          <w:sz w:val="24"/>
        </w:rPr>
        <w:t> </w:t>
      </w:r>
      <w:r>
        <w:rPr>
          <w:i/>
          <w:color w:val="231F20"/>
          <w:spacing w:val="-4"/>
          <w:sz w:val="24"/>
        </w:rPr>
        <w:t>du Mali</w:t>
      </w:r>
      <w:r>
        <w:rPr>
          <w:i/>
          <w:color w:val="231F20"/>
          <w:spacing w:val="-11"/>
          <w:sz w:val="24"/>
        </w:rPr>
        <w:t> </w:t>
      </w:r>
      <w:r>
        <w:rPr>
          <w:i/>
          <w:color w:val="231F20"/>
          <w:spacing w:val="-4"/>
          <w:sz w:val="24"/>
        </w:rPr>
        <w:t>ou</w:t>
      </w:r>
      <w:r>
        <w:rPr>
          <w:i/>
          <w:color w:val="231F20"/>
          <w:spacing w:val="-11"/>
          <w:sz w:val="24"/>
        </w:rPr>
        <w:t> </w:t>
      </w:r>
      <w:r>
        <w:rPr>
          <w:i/>
          <w:color w:val="231F20"/>
          <w:spacing w:val="-4"/>
          <w:sz w:val="24"/>
        </w:rPr>
        <w:t>de</w:t>
      </w:r>
      <w:r>
        <w:rPr>
          <w:i/>
          <w:color w:val="231F20"/>
          <w:spacing w:val="-11"/>
          <w:sz w:val="24"/>
        </w:rPr>
        <w:t> </w:t>
      </w:r>
      <w:r>
        <w:rPr>
          <w:i/>
          <w:color w:val="231F20"/>
          <w:spacing w:val="-4"/>
          <w:sz w:val="24"/>
        </w:rPr>
        <w:t>Barkhane</w:t>
      </w:r>
      <w:r>
        <w:rPr>
          <w:i/>
          <w:color w:val="231F20"/>
          <w:spacing w:val="-11"/>
          <w:sz w:val="24"/>
        </w:rPr>
        <w:t> </w:t>
      </w:r>
      <w:r>
        <w:rPr>
          <w:i/>
          <w:color w:val="231F20"/>
          <w:spacing w:val="-4"/>
          <w:sz w:val="24"/>
        </w:rPr>
        <w:t>notamment</w:t>
      </w:r>
      <w:r>
        <w:rPr>
          <w:i/>
          <w:color w:val="231F20"/>
          <w:spacing w:val="-11"/>
          <w:sz w:val="24"/>
        </w:rPr>
        <w:t> </w:t>
      </w:r>
      <w:r>
        <w:rPr>
          <w:i/>
          <w:color w:val="231F20"/>
          <w:spacing w:val="-4"/>
          <w:sz w:val="24"/>
        </w:rPr>
        <w:t>dans</w:t>
      </w:r>
      <w:r>
        <w:rPr>
          <w:i/>
          <w:color w:val="231F20"/>
          <w:spacing w:val="-11"/>
          <w:sz w:val="24"/>
        </w:rPr>
        <w:t> </w:t>
      </w:r>
      <w:r>
        <w:rPr>
          <w:i/>
          <w:color w:val="231F20"/>
          <w:spacing w:val="-4"/>
          <w:sz w:val="24"/>
        </w:rPr>
        <w:t>la</w:t>
      </w:r>
      <w:r>
        <w:rPr>
          <w:i/>
          <w:color w:val="231F20"/>
          <w:spacing w:val="-11"/>
          <w:sz w:val="24"/>
        </w:rPr>
        <w:t> </w:t>
      </w:r>
      <w:r>
        <w:rPr>
          <w:i/>
          <w:color w:val="231F20"/>
          <w:spacing w:val="-4"/>
          <w:sz w:val="24"/>
        </w:rPr>
        <w:t>question</w:t>
      </w:r>
      <w:r>
        <w:rPr>
          <w:i/>
          <w:color w:val="231F20"/>
          <w:spacing w:val="-11"/>
          <w:sz w:val="24"/>
        </w:rPr>
        <w:t> </w:t>
      </w:r>
      <w:r>
        <w:rPr>
          <w:i/>
          <w:color w:val="231F20"/>
          <w:spacing w:val="-4"/>
          <w:sz w:val="24"/>
        </w:rPr>
        <w:t>des</w:t>
      </w:r>
      <w:r>
        <w:rPr>
          <w:i/>
          <w:color w:val="231F20"/>
          <w:spacing w:val="-11"/>
          <w:sz w:val="24"/>
        </w:rPr>
        <w:t> </w:t>
      </w:r>
      <w:r>
        <w:rPr>
          <w:i/>
          <w:color w:val="231F20"/>
          <w:spacing w:val="-4"/>
          <w:sz w:val="24"/>
        </w:rPr>
        <w:t>otages</w:t>
      </w:r>
      <w:r>
        <w:rPr>
          <w:i/>
          <w:color w:val="231F20"/>
          <w:spacing w:val="-11"/>
          <w:sz w:val="24"/>
        </w:rPr>
        <w:t> </w:t>
      </w:r>
      <w:r>
        <w:rPr>
          <w:i/>
          <w:color w:val="231F20"/>
          <w:spacing w:val="-4"/>
          <w:sz w:val="24"/>
        </w:rPr>
        <w:t>occidentaux. </w:t>
      </w:r>
      <w:r>
        <w:rPr>
          <w:i/>
          <w:color w:val="231F20"/>
          <w:sz w:val="24"/>
        </w:rPr>
        <w:t>Ces groupes armés n’allaient pas</w:t>
      </w:r>
      <w:r>
        <w:rPr>
          <w:i/>
          <w:color w:val="231F20"/>
          <w:spacing w:val="-14"/>
          <w:sz w:val="24"/>
        </w:rPr>
        <w:t> </w:t>
      </w:r>
      <w:r>
        <w:rPr>
          <w:i/>
          <w:color w:val="231F20"/>
          <w:sz w:val="24"/>
        </w:rPr>
        <w:t>attaquer le régime qui leur servait d’intermédiaire"</w:t>
      </w:r>
      <w:r>
        <w:rPr>
          <w:color w:val="76787A"/>
          <w:sz w:val="24"/>
          <w:vertAlign w:val="superscript"/>
        </w:rPr>
        <w:t>113</w:t>
      </w:r>
      <w:r>
        <w:rPr>
          <w:color w:val="76787A"/>
          <w:sz w:val="24"/>
          <w:vertAlign w:val="baseline"/>
        </w:rPr>
        <w:t> </w:t>
      </w:r>
      <w:r>
        <w:rPr>
          <w:i/>
          <w:color w:val="231F20"/>
          <w:sz w:val="24"/>
          <w:vertAlign w:val="baseline"/>
        </w:rPr>
        <w:t>.»</w:t>
      </w:r>
    </w:p>
    <w:p>
      <w:pPr>
        <w:spacing w:before="121"/>
        <w:ind w:left="111" w:right="106" w:firstLine="283"/>
        <w:jc w:val="both"/>
        <w:rPr>
          <w:i/>
          <w:sz w:val="24"/>
        </w:rPr>
      </w:pPr>
      <w:r>
        <w:rPr>
          <w:color w:val="231F20"/>
          <w:spacing w:val="-4"/>
          <w:sz w:val="24"/>
        </w:rPr>
        <w:t>Le</w:t>
      </w:r>
      <w:r>
        <w:rPr>
          <w:color w:val="231F20"/>
          <w:spacing w:val="-7"/>
          <w:sz w:val="24"/>
        </w:rPr>
        <w:t> </w:t>
      </w:r>
      <w:r>
        <w:rPr>
          <w:color w:val="231F20"/>
          <w:spacing w:val="-4"/>
          <w:sz w:val="24"/>
        </w:rPr>
        <w:t>22</w:t>
      </w:r>
      <w:r>
        <w:rPr>
          <w:color w:val="231F20"/>
          <w:spacing w:val="-9"/>
          <w:sz w:val="24"/>
        </w:rPr>
        <w:t> </w:t>
      </w:r>
      <w:r>
        <w:rPr>
          <w:color w:val="231F20"/>
          <w:spacing w:val="-4"/>
          <w:sz w:val="24"/>
        </w:rPr>
        <w:t>novembre</w:t>
      </w:r>
      <w:r>
        <w:rPr>
          <w:color w:val="231F20"/>
          <w:spacing w:val="-7"/>
          <w:sz w:val="24"/>
        </w:rPr>
        <w:t> </w:t>
      </w:r>
      <w:r>
        <w:rPr>
          <w:color w:val="231F20"/>
          <w:spacing w:val="-4"/>
          <w:sz w:val="24"/>
        </w:rPr>
        <w:t>2020,</w:t>
      </w:r>
      <w:r>
        <w:rPr>
          <w:color w:val="231F20"/>
          <w:spacing w:val="-9"/>
          <w:sz w:val="24"/>
        </w:rPr>
        <w:t> </w:t>
      </w:r>
      <w:r>
        <w:rPr>
          <w:color w:val="231F20"/>
          <w:spacing w:val="-4"/>
          <w:sz w:val="24"/>
        </w:rPr>
        <w:t>les</w:t>
      </w:r>
      <w:r>
        <w:rPr>
          <w:color w:val="231F20"/>
          <w:spacing w:val="-9"/>
          <w:sz w:val="24"/>
        </w:rPr>
        <w:t> </w:t>
      </w:r>
      <w:r>
        <w:rPr>
          <w:color w:val="231F20"/>
          <w:spacing w:val="-4"/>
          <w:sz w:val="24"/>
        </w:rPr>
        <w:t>Burkinabés</w:t>
      </w:r>
      <w:r>
        <w:rPr>
          <w:color w:val="231F20"/>
          <w:spacing w:val="-9"/>
          <w:sz w:val="24"/>
        </w:rPr>
        <w:t> </w:t>
      </w:r>
      <w:r>
        <w:rPr>
          <w:color w:val="231F20"/>
          <w:spacing w:val="-4"/>
          <w:sz w:val="24"/>
        </w:rPr>
        <w:t>se</w:t>
      </w:r>
      <w:r>
        <w:rPr>
          <w:color w:val="231F20"/>
          <w:spacing w:val="-7"/>
          <w:sz w:val="24"/>
        </w:rPr>
        <w:t> </w:t>
      </w:r>
      <w:r>
        <w:rPr>
          <w:color w:val="231F20"/>
          <w:spacing w:val="-4"/>
          <w:sz w:val="24"/>
        </w:rPr>
        <w:t>rendent</w:t>
      </w:r>
      <w:r>
        <w:rPr>
          <w:color w:val="231F20"/>
          <w:spacing w:val="-6"/>
          <w:sz w:val="24"/>
        </w:rPr>
        <w:t> </w:t>
      </w:r>
      <w:r>
        <w:rPr>
          <w:color w:val="231F20"/>
          <w:spacing w:val="-4"/>
          <w:sz w:val="24"/>
        </w:rPr>
        <w:t>aux</w:t>
      </w:r>
      <w:r>
        <w:rPr>
          <w:color w:val="231F20"/>
          <w:spacing w:val="-9"/>
          <w:sz w:val="24"/>
        </w:rPr>
        <w:t> </w:t>
      </w:r>
      <w:r>
        <w:rPr>
          <w:color w:val="231F20"/>
          <w:spacing w:val="-4"/>
          <w:sz w:val="24"/>
        </w:rPr>
        <w:t>urnes,</w:t>
      </w:r>
      <w:r>
        <w:rPr>
          <w:color w:val="231F20"/>
          <w:spacing w:val="-9"/>
          <w:sz w:val="24"/>
        </w:rPr>
        <w:t> </w:t>
      </w:r>
      <w:r>
        <w:rPr>
          <w:color w:val="231F20"/>
          <w:spacing w:val="-4"/>
          <w:sz w:val="24"/>
        </w:rPr>
        <w:t>sous</w:t>
      </w:r>
      <w:r>
        <w:rPr>
          <w:color w:val="231F20"/>
          <w:spacing w:val="-8"/>
          <w:sz w:val="24"/>
        </w:rPr>
        <w:t> </w:t>
      </w:r>
      <w:r>
        <w:rPr>
          <w:color w:val="231F20"/>
          <w:spacing w:val="-4"/>
          <w:sz w:val="24"/>
        </w:rPr>
        <w:t>haute </w:t>
      </w:r>
      <w:r>
        <w:rPr>
          <w:color w:val="231F20"/>
          <w:spacing w:val="-2"/>
          <w:sz w:val="24"/>
        </w:rPr>
        <w:t>tension</w:t>
      </w:r>
      <w:r>
        <w:rPr>
          <w:color w:val="231F20"/>
          <w:spacing w:val="-7"/>
          <w:sz w:val="24"/>
        </w:rPr>
        <w:t> </w:t>
      </w:r>
      <w:r>
        <w:rPr>
          <w:color w:val="231F20"/>
          <w:spacing w:val="-2"/>
          <w:sz w:val="24"/>
        </w:rPr>
        <w:t>sécuritaire,</w:t>
      </w:r>
      <w:r>
        <w:rPr>
          <w:color w:val="231F20"/>
          <w:spacing w:val="-9"/>
          <w:sz w:val="24"/>
        </w:rPr>
        <w:t> </w:t>
      </w:r>
      <w:r>
        <w:rPr>
          <w:color w:val="231F20"/>
          <w:spacing w:val="-2"/>
          <w:sz w:val="24"/>
        </w:rPr>
        <w:t>pour</w:t>
      </w:r>
      <w:r>
        <w:rPr>
          <w:color w:val="231F20"/>
          <w:spacing w:val="-9"/>
          <w:sz w:val="24"/>
        </w:rPr>
        <w:t> </w:t>
      </w:r>
      <w:r>
        <w:rPr>
          <w:color w:val="231F20"/>
          <w:spacing w:val="-2"/>
          <w:sz w:val="24"/>
        </w:rPr>
        <w:t>un</w:t>
      </w:r>
      <w:r>
        <w:rPr>
          <w:color w:val="231F20"/>
          <w:spacing w:val="-7"/>
          <w:sz w:val="24"/>
        </w:rPr>
        <w:t> </w:t>
      </w:r>
      <w:r>
        <w:rPr>
          <w:color w:val="231F20"/>
          <w:spacing w:val="-2"/>
          <w:sz w:val="24"/>
        </w:rPr>
        <w:t>double</w:t>
      </w:r>
      <w:r>
        <w:rPr>
          <w:color w:val="231F20"/>
          <w:spacing w:val="-7"/>
          <w:sz w:val="24"/>
        </w:rPr>
        <w:t> </w:t>
      </w:r>
      <w:r>
        <w:rPr>
          <w:color w:val="231F20"/>
          <w:spacing w:val="-2"/>
          <w:sz w:val="24"/>
        </w:rPr>
        <w:t>scrutin</w:t>
      </w:r>
      <w:r>
        <w:rPr>
          <w:color w:val="231F20"/>
          <w:spacing w:val="-9"/>
          <w:sz w:val="24"/>
        </w:rPr>
        <w:t> </w:t>
      </w:r>
      <w:r>
        <w:rPr>
          <w:color w:val="231F20"/>
          <w:spacing w:val="-2"/>
          <w:sz w:val="24"/>
        </w:rPr>
        <w:t>présidentiel</w:t>
      </w:r>
      <w:r>
        <w:rPr>
          <w:color w:val="231F20"/>
          <w:spacing w:val="-7"/>
          <w:sz w:val="24"/>
        </w:rPr>
        <w:t> </w:t>
      </w:r>
      <w:r>
        <w:rPr>
          <w:color w:val="231F20"/>
          <w:spacing w:val="-2"/>
          <w:sz w:val="24"/>
        </w:rPr>
        <w:t>et</w:t>
      </w:r>
      <w:r>
        <w:rPr>
          <w:color w:val="231F20"/>
          <w:spacing w:val="-9"/>
          <w:sz w:val="24"/>
        </w:rPr>
        <w:t> </w:t>
      </w:r>
      <w:r>
        <w:rPr>
          <w:color w:val="231F20"/>
          <w:spacing w:val="-2"/>
          <w:sz w:val="24"/>
        </w:rPr>
        <w:t>législatif</w:t>
      </w:r>
      <w:r>
        <w:rPr>
          <w:color w:val="231F20"/>
          <w:spacing w:val="-12"/>
          <w:sz w:val="24"/>
        </w:rPr>
        <w:t> </w:t>
      </w:r>
      <w:r>
        <w:rPr>
          <w:color w:val="231F20"/>
          <w:spacing w:val="-2"/>
          <w:sz w:val="24"/>
        </w:rPr>
        <w:t>:</w:t>
      </w:r>
      <w:r>
        <w:rPr>
          <w:color w:val="231F20"/>
          <w:spacing w:val="-6"/>
          <w:sz w:val="24"/>
        </w:rPr>
        <w:t> </w:t>
      </w:r>
      <w:r>
        <w:rPr>
          <w:i/>
          <w:color w:val="231F20"/>
          <w:spacing w:val="-2"/>
          <w:sz w:val="24"/>
        </w:rPr>
        <w:t>"Au-</w:t>
      </w:r>
      <w:r>
        <w:rPr>
          <w:i/>
          <w:color w:val="231F20"/>
          <w:spacing w:val="-2"/>
          <w:sz w:val="24"/>
        </w:rPr>
        <w:t> </w:t>
      </w:r>
      <w:r>
        <w:rPr>
          <w:i/>
          <w:color w:val="231F20"/>
          <w:spacing w:val="-4"/>
          <w:sz w:val="24"/>
        </w:rPr>
        <w:t>delà</w:t>
      </w:r>
      <w:r>
        <w:rPr>
          <w:i/>
          <w:color w:val="231F20"/>
          <w:spacing w:val="-11"/>
          <w:sz w:val="24"/>
        </w:rPr>
        <w:t> </w:t>
      </w:r>
      <w:r>
        <w:rPr>
          <w:i/>
          <w:color w:val="231F20"/>
          <w:spacing w:val="-4"/>
          <w:sz w:val="24"/>
        </w:rPr>
        <w:t>des</w:t>
      </w:r>
      <w:r>
        <w:rPr>
          <w:i/>
          <w:color w:val="231F20"/>
          <w:spacing w:val="-11"/>
          <w:sz w:val="24"/>
        </w:rPr>
        <w:t> </w:t>
      </w:r>
      <w:r>
        <w:rPr>
          <w:i/>
          <w:color w:val="231F20"/>
          <w:spacing w:val="-4"/>
          <w:sz w:val="24"/>
        </w:rPr>
        <w:t>120</w:t>
      </w:r>
      <w:r>
        <w:rPr>
          <w:i/>
          <w:color w:val="231F20"/>
          <w:spacing w:val="-11"/>
          <w:sz w:val="24"/>
        </w:rPr>
        <w:t> </w:t>
      </w:r>
      <w:r>
        <w:rPr>
          <w:i/>
          <w:color w:val="231F20"/>
          <w:spacing w:val="-4"/>
          <w:sz w:val="24"/>
        </w:rPr>
        <w:t>kilomètres</w:t>
      </w:r>
      <w:r>
        <w:rPr>
          <w:i/>
          <w:color w:val="231F20"/>
          <w:spacing w:val="-11"/>
          <w:sz w:val="24"/>
        </w:rPr>
        <w:t> </w:t>
      </w:r>
      <w:r>
        <w:rPr>
          <w:i/>
          <w:color w:val="231F20"/>
          <w:spacing w:val="-4"/>
          <w:sz w:val="24"/>
        </w:rPr>
        <w:t>autour</w:t>
      </w:r>
      <w:r>
        <w:rPr>
          <w:i/>
          <w:color w:val="231F20"/>
          <w:spacing w:val="-11"/>
          <w:sz w:val="24"/>
        </w:rPr>
        <w:t> </w:t>
      </w:r>
      <w:r>
        <w:rPr>
          <w:i/>
          <w:color w:val="231F20"/>
          <w:spacing w:val="-4"/>
          <w:sz w:val="24"/>
        </w:rPr>
        <w:t>de</w:t>
      </w:r>
      <w:r>
        <w:rPr>
          <w:i/>
          <w:color w:val="231F20"/>
          <w:spacing w:val="-11"/>
          <w:sz w:val="24"/>
        </w:rPr>
        <w:t> </w:t>
      </w:r>
      <w:r>
        <w:rPr>
          <w:i/>
          <w:color w:val="231F20"/>
          <w:spacing w:val="-4"/>
          <w:sz w:val="24"/>
        </w:rPr>
        <w:t>la</w:t>
      </w:r>
      <w:r>
        <w:rPr>
          <w:i/>
          <w:color w:val="231F20"/>
          <w:spacing w:val="-11"/>
          <w:sz w:val="24"/>
        </w:rPr>
        <w:t> </w:t>
      </w:r>
      <w:r>
        <w:rPr>
          <w:i/>
          <w:color w:val="231F20"/>
          <w:spacing w:val="-4"/>
          <w:sz w:val="24"/>
        </w:rPr>
        <w:t>capitale,</w:t>
      </w:r>
      <w:r>
        <w:rPr>
          <w:i/>
          <w:color w:val="231F20"/>
          <w:spacing w:val="-11"/>
          <w:sz w:val="24"/>
        </w:rPr>
        <w:t> </w:t>
      </w:r>
      <w:r>
        <w:rPr>
          <w:i/>
          <w:color w:val="231F20"/>
          <w:spacing w:val="-4"/>
          <w:sz w:val="24"/>
        </w:rPr>
        <w:t>l’État</w:t>
      </w:r>
      <w:r>
        <w:rPr>
          <w:i/>
          <w:color w:val="231F20"/>
          <w:spacing w:val="-11"/>
          <w:sz w:val="24"/>
        </w:rPr>
        <w:t> </w:t>
      </w:r>
      <w:r>
        <w:rPr>
          <w:i/>
          <w:color w:val="231F20"/>
          <w:spacing w:val="-4"/>
          <w:sz w:val="24"/>
        </w:rPr>
        <w:t>n’a</w:t>
      </w:r>
      <w:r>
        <w:rPr>
          <w:i/>
          <w:color w:val="231F20"/>
          <w:spacing w:val="-11"/>
          <w:sz w:val="24"/>
        </w:rPr>
        <w:t> </w:t>
      </w:r>
      <w:r>
        <w:rPr>
          <w:i/>
          <w:color w:val="231F20"/>
          <w:spacing w:val="-4"/>
          <w:sz w:val="24"/>
        </w:rPr>
        <w:t>plus</w:t>
      </w:r>
      <w:r>
        <w:rPr>
          <w:i/>
          <w:color w:val="231F20"/>
          <w:spacing w:val="-11"/>
          <w:sz w:val="24"/>
        </w:rPr>
        <w:t> </w:t>
      </w:r>
      <w:r>
        <w:rPr>
          <w:i/>
          <w:color w:val="231F20"/>
          <w:spacing w:val="-4"/>
          <w:sz w:val="24"/>
        </w:rPr>
        <w:t>la</w:t>
      </w:r>
      <w:r>
        <w:rPr>
          <w:i/>
          <w:color w:val="231F20"/>
          <w:spacing w:val="-11"/>
          <w:sz w:val="24"/>
        </w:rPr>
        <w:t> </w:t>
      </w:r>
      <w:r>
        <w:rPr>
          <w:i/>
          <w:color w:val="231F20"/>
          <w:spacing w:val="-4"/>
          <w:sz w:val="24"/>
        </w:rPr>
        <w:t>main.</w:t>
      </w:r>
      <w:r>
        <w:rPr>
          <w:i/>
          <w:color w:val="231F20"/>
          <w:spacing w:val="-11"/>
          <w:sz w:val="24"/>
        </w:rPr>
        <w:t> </w:t>
      </w:r>
      <w:r>
        <w:rPr>
          <w:i/>
          <w:color w:val="231F20"/>
          <w:spacing w:val="-4"/>
          <w:sz w:val="24"/>
        </w:rPr>
        <w:t>Plus </w:t>
      </w:r>
      <w:r>
        <w:rPr>
          <w:i/>
          <w:color w:val="231F20"/>
          <w:sz w:val="24"/>
        </w:rPr>
        <w:t>de 8000 écoles ont été fermées"</w:t>
      </w:r>
      <w:r>
        <w:rPr>
          <w:color w:val="231F20"/>
          <w:sz w:val="24"/>
          <w:vertAlign w:val="superscript"/>
        </w:rPr>
        <w:t>114</w:t>
      </w:r>
      <w:r>
        <w:rPr>
          <w:i/>
          <w:color w:val="231F20"/>
          <w:sz w:val="24"/>
          <w:vertAlign w:val="baseline"/>
        </w:rPr>
        <w:t>.</w:t>
      </w:r>
    </w:p>
    <w:p>
      <w:pPr>
        <w:pStyle w:val="BodyText"/>
        <w:spacing w:before="120"/>
        <w:ind w:left="395"/>
      </w:pPr>
      <w:r>
        <w:rPr>
          <w:color w:val="231F20"/>
          <w:spacing w:val="-2"/>
        </w:rPr>
        <w:t>Roch</w:t>
      </w:r>
      <w:r>
        <w:rPr>
          <w:color w:val="231F20"/>
          <w:spacing w:val="-8"/>
        </w:rPr>
        <w:t> </w:t>
      </w:r>
      <w:r>
        <w:rPr>
          <w:color w:val="231F20"/>
          <w:spacing w:val="-2"/>
        </w:rPr>
        <w:t>Marc</w:t>
      </w:r>
      <w:r>
        <w:rPr>
          <w:color w:val="231F20"/>
          <w:spacing w:val="-10"/>
        </w:rPr>
        <w:t> </w:t>
      </w:r>
      <w:r>
        <w:rPr>
          <w:color w:val="231F20"/>
          <w:spacing w:val="-2"/>
        </w:rPr>
        <w:t>Christian</w:t>
      </w:r>
      <w:r>
        <w:rPr>
          <w:color w:val="231F20"/>
          <w:spacing w:val="-8"/>
        </w:rPr>
        <w:t> </w:t>
      </w:r>
      <w:r>
        <w:rPr>
          <w:color w:val="231F20"/>
          <w:spacing w:val="-2"/>
        </w:rPr>
        <w:t>Kaboré</w:t>
      </w:r>
      <w:r>
        <w:rPr>
          <w:color w:val="231F20"/>
          <w:spacing w:val="-8"/>
        </w:rPr>
        <w:t> </w:t>
      </w:r>
      <w:r>
        <w:rPr>
          <w:color w:val="231F20"/>
          <w:spacing w:val="-2"/>
        </w:rPr>
        <w:t>est</w:t>
      </w:r>
      <w:r>
        <w:rPr>
          <w:color w:val="231F20"/>
          <w:spacing w:val="-8"/>
        </w:rPr>
        <w:t> </w:t>
      </w:r>
      <w:r>
        <w:rPr>
          <w:color w:val="231F20"/>
          <w:spacing w:val="-2"/>
        </w:rPr>
        <w:t>réélu</w:t>
      </w:r>
      <w:r>
        <w:rPr>
          <w:color w:val="231F20"/>
          <w:spacing w:val="-8"/>
        </w:rPr>
        <w:t> </w:t>
      </w:r>
      <w:r>
        <w:rPr>
          <w:color w:val="231F20"/>
          <w:spacing w:val="-2"/>
        </w:rPr>
        <w:t>avec</w:t>
      </w:r>
      <w:r>
        <w:rPr>
          <w:color w:val="231F20"/>
          <w:spacing w:val="-8"/>
        </w:rPr>
        <w:t> </w:t>
      </w:r>
      <w:r>
        <w:rPr>
          <w:color w:val="231F20"/>
          <w:spacing w:val="-2"/>
        </w:rPr>
        <w:t>57,87</w:t>
      </w:r>
      <w:r>
        <w:rPr>
          <w:color w:val="231F20"/>
          <w:spacing w:val="-8"/>
        </w:rPr>
        <w:t> </w:t>
      </w:r>
      <w:r>
        <w:rPr>
          <w:color w:val="231F20"/>
          <w:spacing w:val="-2"/>
        </w:rPr>
        <w:t>%</w:t>
      </w:r>
      <w:r>
        <w:rPr>
          <w:color w:val="231F20"/>
          <w:spacing w:val="-11"/>
        </w:rPr>
        <w:t> </w:t>
      </w:r>
      <w:r>
        <w:rPr>
          <w:color w:val="231F20"/>
          <w:spacing w:val="-2"/>
        </w:rPr>
        <w:t>des</w:t>
      </w:r>
      <w:r>
        <w:rPr>
          <w:color w:val="231F20"/>
          <w:spacing w:val="-7"/>
        </w:rPr>
        <w:t> </w:t>
      </w:r>
      <w:r>
        <w:rPr>
          <w:color w:val="231F20"/>
          <w:spacing w:val="-2"/>
        </w:rPr>
        <w:t>voix.</w:t>
      </w:r>
    </w:p>
    <w:p>
      <w:pPr>
        <w:pStyle w:val="BodyText"/>
        <w:spacing w:before="246"/>
        <w:ind w:left="0"/>
        <w:jc w:val="left"/>
      </w:pPr>
    </w:p>
    <w:p>
      <w:pPr>
        <w:spacing w:before="0"/>
        <w:ind w:left="395" w:right="0" w:firstLine="0"/>
        <w:jc w:val="both"/>
        <w:rPr>
          <w:rFonts w:ascii="Cambria" w:hAnsi="Cambria"/>
          <w:i/>
          <w:sz w:val="24"/>
        </w:rPr>
      </w:pPr>
      <w:r>
        <w:rPr>
          <w:rFonts w:ascii="Cambria" w:hAnsi="Cambria"/>
          <w:i/>
          <w:color w:val="231F20"/>
          <w:spacing w:val="-2"/>
          <w:sz w:val="24"/>
        </w:rPr>
        <w:t>La</w:t>
      </w:r>
      <w:r>
        <w:rPr>
          <w:rFonts w:ascii="Cambria" w:hAnsi="Cambria"/>
          <w:i/>
          <w:color w:val="231F20"/>
          <w:spacing w:val="-9"/>
          <w:sz w:val="24"/>
        </w:rPr>
        <w:t> </w:t>
      </w:r>
      <w:r>
        <w:rPr>
          <w:rFonts w:ascii="Cambria" w:hAnsi="Cambria"/>
          <w:i/>
          <w:color w:val="231F20"/>
          <w:spacing w:val="-2"/>
          <w:sz w:val="24"/>
        </w:rPr>
        <w:t>République</w:t>
      </w:r>
      <w:r>
        <w:rPr>
          <w:rFonts w:ascii="Cambria" w:hAnsi="Cambria"/>
          <w:i/>
          <w:color w:val="231F20"/>
          <w:spacing w:val="-10"/>
          <w:sz w:val="24"/>
        </w:rPr>
        <w:t> </w:t>
      </w:r>
      <w:r>
        <w:rPr>
          <w:rFonts w:ascii="Cambria" w:hAnsi="Cambria"/>
          <w:i/>
          <w:color w:val="231F20"/>
          <w:spacing w:val="-2"/>
          <w:sz w:val="24"/>
        </w:rPr>
        <w:t>de</w:t>
      </w:r>
      <w:r>
        <w:rPr>
          <w:rFonts w:ascii="Cambria" w:hAnsi="Cambria"/>
          <w:i/>
          <w:color w:val="231F20"/>
          <w:spacing w:val="-9"/>
          <w:sz w:val="24"/>
        </w:rPr>
        <w:t> </w:t>
      </w:r>
      <w:r>
        <w:rPr>
          <w:rFonts w:ascii="Cambria" w:hAnsi="Cambria"/>
          <w:i/>
          <w:color w:val="231F20"/>
          <w:spacing w:val="-2"/>
          <w:sz w:val="24"/>
        </w:rPr>
        <w:t>Côte</w:t>
      </w:r>
      <w:r>
        <w:rPr>
          <w:rFonts w:ascii="Cambria" w:hAnsi="Cambria"/>
          <w:i/>
          <w:color w:val="231F20"/>
          <w:spacing w:val="-9"/>
          <w:sz w:val="24"/>
        </w:rPr>
        <w:t> </w:t>
      </w:r>
      <w:r>
        <w:rPr>
          <w:rFonts w:ascii="Cambria" w:hAnsi="Cambria"/>
          <w:i/>
          <w:color w:val="231F20"/>
          <w:spacing w:val="-2"/>
          <w:sz w:val="24"/>
        </w:rPr>
        <w:t>d’ivoire</w:t>
      </w:r>
    </w:p>
    <w:p>
      <w:pPr>
        <w:pStyle w:val="BodyText"/>
        <w:spacing w:before="235"/>
        <w:ind w:left="0"/>
        <w:jc w:val="left"/>
        <w:rPr>
          <w:rFonts w:ascii="Cambria"/>
          <w:i/>
        </w:rPr>
      </w:pPr>
    </w:p>
    <w:p>
      <w:pPr>
        <w:pStyle w:val="BodyText"/>
        <w:spacing w:before="1"/>
        <w:jc w:val="left"/>
      </w:pPr>
      <w:r>
        <w:rPr>
          <w:color w:val="231F20"/>
        </w:rPr>
        <w:t>L'histoire</w:t>
      </w:r>
      <w:r>
        <w:rPr>
          <w:color w:val="231F20"/>
          <w:spacing w:val="79"/>
        </w:rPr>
        <w:t> </w:t>
      </w:r>
      <w:r>
        <w:rPr>
          <w:color w:val="231F20"/>
        </w:rPr>
        <w:t>de</w:t>
      </w:r>
      <w:r>
        <w:rPr>
          <w:color w:val="231F20"/>
          <w:spacing w:val="76"/>
        </w:rPr>
        <w:t> </w:t>
      </w:r>
      <w:r>
        <w:rPr>
          <w:color w:val="231F20"/>
        </w:rPr>
        <w:t>la</w:t>
      </w:r>
      <w:r>
        <w:rPr>
          <w:color w:val="231F20"/>
          <w:spacing w:val="76"/>
        </w:rPr>
        <w:t> </w:t>
      </w:r>
      <w:r>
        <w:rPr>
          <w:color w:val="231F20"/>
        </w:rPr>
        <w:t>Côte</w:t>
      </w:r>
      <w:r>
        <w:rPr>
          <w:color w:val="231F20"/>
          <w:spacing w:val="76"/>
        </w:rPr>
        <w:t> </w:t>
      </w:r>
      <w:r>
        <w:rPr>
          <w:color w:val="231F20"/>
        </w:rPr>
        <w:t>d'Ivoire</w:t>
      </w:r>
      <w:r>
        <w:rPr>
          <w:color w:val="231F20"/>
          <w:spacing w:val="79"/>
        </w:rPr>
        <w:t> </w:t>
      </w:r>
      <w:r>
        <w:rPr>
          <w:color w:val="231F20"/>
        </w:rPr>
        <w:t>se</w:t>
      </w:r>
      <w:r>
        <w:rPr>
          <w:color w:val="231F20"/>
          <w:spacing w:val="79"/>
        </w:rPr>
        <w:t> </w:t>
      </w:r>
      <w:r>
        <w:rPr>
          <w:color w:val="231F20"/>
        </w:rPr>
        <w:t>confond</w:t>
      </w:r>
      <w:r>
        <w:rPr>
          <w:color w:val="231F20"/>
          <w:spacing w:val="76"/>
        </w:rPr>
        <w:t> </w:t>
      </w:r>
      <w:r>
        <w:rPr>
          <w:color w:val="231F20"/>
        </w:rPr>
        <w:t>avec</w:t>
      </w:r>
      <w:r>
        <w:rPr>
          <w:color w:val="231F20"/>
          <w:spacing w:val="76"/>
        </w:rPr>
        <w:t> </w:t>
      </w:r>
      <w:r>
        <w:rPr>
          <w:color w:val="231F20"/>
        </w:rPr>
        <w:t>celle</w:t>
      </w:r>
      <w:r>
        <w:rPr>
          <w:color w:val="231F20"/>
          <w:spacing w:val="76"/>
        </w:rPr>
        <w:t> </w:t>
      </w:r>
      <w:r>
        <w:rPr>
          <w:color w:val="231F20"/>
        </w:rPr>
        <w:t>du</w:t>
      </w:r>
      <w:r>
        <w:rPr>
          <w:color w:val="231F20"/>
          <w:spacing w:val="76"/>
        </w:rPr>
        <w:t> </w:t>
      </w:r>
      <w:r>
        <w:rPr>
          <w:color w:val="231F20"/>
        </w:rPr>
        <w:t>père</w:t>
      </w:r>
      <w:r>
        <w:rPr>
          <w:color w:val="231F20"/>
          <w:spacing w:val="79"/>
        </w:rPr>
        <w:t> </w:t>
      </w:r>
      <w:r>
        <w:rPr>
          <w:color w:val="231F20"/>
        </w:rPr>
        <w:t>de l'indépendance, Félix Houphouët-Boigny.</w:t>
      </w:r>
    </w:p>
    <w:p>
      <w:pPr>
        <w:pStyle w:val="BodyText"/>
        <w:ind w:firstLine="283"/>
        <w:jc w:val="left"/>
      </w:pPr>
      <w:r>
        <w:rPr>
          <w:color w:val="231F20"/>
          <w:spacing w:val="-2"/>
        </w:rPr>
        <w:t>Pendant</w:t>
      </w:r>
      <w:r>
        <w:rPr>
          <w:color w:val="231F20"/>
          <w:spacing w:val="-6"/>
        </w:rPr>
        <w:t> </w:t>
      </w:r>
      <w:r>
        <w:rPr>
          <w:color w:val="231F20"/>
          <w:spacing w:val="-2"/>
        </w:rPr>
        <w:t>deux</w:t>
      </w:r>
      <w:r>
        <w:rPr>
          <w:color w:val="231F20"/>
          <w:spacing w:val="-6"/>
        </w:rPr>
        <w:t> </w:t>
      </w:r>
      <w:r>
        <w:rPr>
          <w:color w:val="231F20"/>
          <w:spacing w:val="-2"/>
        </w:rPr>
        <w:t>décennies,</w:t>
      </w:r>
      <w:r>
        <w:rPr>
          <w:color w:val="231F20"/>
          <w:spacing w:val="-8"/>
        </w:rPr>
        <w:t> </w:t>
      </w:r>
      <w:r>
        <w:rPr>
          <w:color w:val="231F20"/>
          <w:spacing w:val="-2"/>
        </w:rPr>
        <w:t>60-70,</w:t>
      </w:r>
      <w:r>
        <w:rPr>
          <w:color w:val="231F20"/>
          <w:spacing w:val="-6"/>
        </w:rPr>
        <w:t> </w:t>
      </w:r>
      <w:r>
        <w:rPr>
          <w:color w:val="231F20"/>
          <w:spacing w:val="-2"/>
        </w:rPr>
        <w:t>70-80,</w:t>
      </w:r>
      <w:r>
        <w:rPr>
          <w:color w:val="231F20"/>
          <w:spacing w:val="-7"/>
        </w:rPr>
        <w:t> </w:t>
      </w:r>
      <w:r>
        <w:rPr>
          <w:color w:val="231F20"/>
          <w:spacing w:val="-2"/>
        </w:rPr>
        <w:t>après</w:t>
      </w:r>
      <w:r>
        <w:rPr>
          <w:color w:val="231F20"/>
          <w:spacing w:val="-6"/>
        </w:rPr>
        <w:t> </w:t>
      </w:r>
      <w:r>
        <w:rPr>
          <w:color w:val="231F20"/>
          <w:spacing w:val="-2"/>
        </w:rPr>
        <w:t>l’indépendance,</w:t>
      </w:r>
      <w:r>
        <w:rPr>
          <w:color w:val="231F20"/>
          <w:spacing w:val="-5"/>
        </w:rPr>
        <w:t> </w:t>
      </w:r>
      <w:r>
        <w:rPr>
          <w:color w:val="231F20"/>
          <w:spacing w:val="-2"/>
        </w:rPr>
        <w:t>ce</w:t>
      </w:r>
      <w:r>
        <w:rPr>
          <w:color w:val="231F20"/>
          <w:spacing w:val="-7"/>
        </w:rPr>
        <w:t> </w:t>
      </w:r>
      <w:r>
        <w:rPr>
          <w:color w:val="231F20"/>
          <w:spacing w:val="-2"/>
        </w:rPr>
        <w:t>pays </w:t>
      </w:r>
      <w:r>
        <w:rPr>
          <w:color w:val="231F20"/>
        </w:rPr>
        <w:t>était</w:t>
      </w:r>
      <w:r>
        <w:rPr>
          <w:color w:val="231F20"/>
          <w:spacing w:val="-7"/>
        </w:rPr>
        <w:t> </w:t>
      </w:r>
      <w:r>
        <w:rPr>
          <w:color w:val="231F20"/>
        </w:rPr>
        <w:t>devenu</w:t>
      </w:r>
      <w:r>
        <w:rPr>
          <w:color w:val="231F20"/>
          <w:spacing w:val="-8"/>
        </w:rPr>
        <w:t> </w:t>
      </w:r>
      <w:r>
        <w:rPr>
          <w:color w:val="231F20"/>
        </w:rPr>
        <w:t>le</w:t>
      </w:r>
      <w:r>
        <w:rPr>
          <w:color w:val="231F20"/>
          <w:spacing w:val="-6"/>
        </w:rPr>
        <w:t> </w:t>
      </w:r>
      <w:r>
        <w:rPr>
          <w:color w:val="231F20"/>
        </w:rPr>
        <w:t>moteur</w:t>
      </w:r>
      <w:r>
        <w:rPr>
          <w:color w:val="231F20"/>
          <w:spacing w:val="-6"/>
        </w:rPr>
        <w:t> </w:t>
      </w:r>
      <w:r>
        <w:rPr>
          <w:color w:val="231F20"/>
        </w:rPr>
        <w:t>économique</w:t>
      </w:r>
      <w:r>
        <w:rPr>
          <w:color w:val="231F20"/>
          <w:spacing w:val="-7"/>
        </w:rPr>
        <w:t> </w:t>
      </w:r>
      <w:r>
        <w:rPr>
          <w:color w:val="231F20"/>
        </w:rPr>
        <w:t>de</w:t>
      </w:r>
      <w:r>
        <w:rPr>
          <w:color w:val="231F20"/>
          <w:spacing w:val="-8"/>
        </w:rPr>
        <w:t> </w:t>
      </w:r>
      <w:r>
        <w:rPr>
          <w:color w:val="231F20"/>
        </w:rPr>
        <w:t>l’Afrique</w:t>
      </w:r>
      <w:r>
        <w:rPr>
          <w:color w:val="231F20"/>
          <w:spacing w:val="-6"/>
        </w:rPr>
        <w:t> </w:t>
      </w:r>
      <w:r>
        <w:rPr>
          <w:color w:val="231F20"/>
        </w:rPr>
        <w:t>noire</w:t>
      </w:r>
      <w:r>
        <w:rPr>
          <w:color w:val="231F20"/>
          <w:spacing w:val="-6"/>
        </w:rPr>
        <w:t> </w:t>
      </w:r>
      <w:r>
        <w:rPr>
          <w:color w:val="231F20"/>
        </w:rPr>
        <w:t>francophone.</w:t>
      </w:r>
    </w:p>
    <w:p>
      <w:pPr>
        <w:pStyle w:val="BodyText"/>
        <w:spacing w:before="117"/>
        <w:jc w:val="left"/>
      </w:pPr>
      <w:r>
        <w:rPr>
          <w:color w:val="231F20"/>
        </w:rPr>
        <w:t>Alors</w:t>
      </w:r>
      <w:r>
        <w:rPr>
          <w:color w:val="231F20"/>
          <w:spacing w:val="-5"/>
        </w:rPr>
        <w:t> </w:t>
      </w:r>
      <w:r>
        <w:rPr>
          <w:color w:val="231F20"/>
        </w:rPr>
        <w:t>que</w:t>
      </w:r>
      <w:r>
        <w:rPr>
          <w:color w:val="231F20"/>
          <w:spacing w:val="-7"/>
        </w:rPr>
        <w:t> </w:t>
      </w:r>
      <w:r>
        <w:rPr>
          <w:color w:val="231F20"/>
        </w:rPr>
        <w:t>tous</w:t>
      </w:r>
      <w:r>
        <w:rPr>
          <w:color w:val="231F20"/>
          <w:spacing w:val="-6"/>
        </w:rPr>
        <w:t> </w:t>
      </w:r>
      <w:r>
        <w:rPr>
          <w:color w:val="231F20"/>
        </w:rPr>
        <w:t>ses</w:t>
      </w:r>
      <w:r>
        <w:rPr>
          <w:color w:val="231F20"/>
          <w:spacing w:val="-5"/>
        </w:rPr>
        <w:t> </w:t>
      </w:r>
      <w:r>
        <w:rPr>
          <w:color w:val="231F20"/>
        </w:rPr>
        <w:t>voisins</w:t>
      </w:r>
      <w:r>
        <w:rPr>
          <w:color w:val="231F20"/>
          <w:spacing w:val="-4"/>
        </w:rPr>
        <w:t> </w:t>
      </w:r>
      <w:r>
        <w:rPr>
          <w:color w:val="231F20"/>
        </w:rPr>
        <w:t>francophones</w:t>
      </w:r>
      <w:r>
        <w:rPr>
          <w:color w:val="231F20"/>
          <w:spacing w:val="-3"/>
        </w:rPr>
        <w:t> </w:t>
      </w:r>
      <w:r>
        <w:rPr>
          <w:color w:val="231F20"/>
        </w:rPr>
        <w:t>et</w:t>
      </w:r>
      <w:r>
        <w:rPr>
          <w:color w:val="231F20"/>
          <w:spacing w:val="-4"/>
        </w:rPr>
        <w:t> </w:t>
      </w:r>
      <w:r>
        <w:rPr>
          <w:color w:val="231F20"/>
        </w:rPr>
        <w:t>anglophones</w:t>
      </w:r>
      <w:r>
        <w:rPr>
          <w:color w:val="231F20"/>
          <w:spacing w:val="-4"/>
        </w:rPr>
        <w:t> </w:t>
      </w:r>
      <w:r>
        <w:rPr>
          <w:color w:val="231F20"/>
        </w:rPr>
        <w:t>souffraient</w:t>
      </w:r>
      <w:r>
        <w:rPr>
          <w:color w:val="231F20"/>
          <w:spacing w:val="-5"/>
        </w:rPr>
        <w:t> des</w:t>
      </w:r>
    </w:p>
    <w:p>
      <w:pPr>
        <w:pStyle w:val="BodyText"/>
        <w:jc w:val="left"/>
      </w:pPr>
      <w:r>
        <w:rPr>
          <w:color w:val="231F20"/>
        </w:rPr>
        <w:t>coups</w:t>
      </w:r>
      <w:r>
        <w:rPr>
          <w:color w:val="231F20"/>
          <w:spacing w:val="6"/>
        </w:rPr>
        <w:t> </w:t>
      </w:r>
      <w:r>
        <w:rPr>
          <w:color w:val="231F20"/>
        </w:rPr>
        <w:t>d’état</w:t>
      </w:r>
      <w:r>
        <w:rPr>
          <w:color w:val="231F20"/>
          <w:spacing w:val="7"/>
        </w:rPr>
        <w:t> </w:t>
      </w:r>
      <w:r>
        <w:rPr>
          <w:color w:val="231F20"/>
        </w:rPr>
        <w:t>à</w:t>
      </w:r>
      <w:r>
        <w:rPr>
          <w:color w:val="231F20"/>
          <w:spacing w:val="9"/>
        </w:rPr>
        <w:t> </w:t>
      </w:r>
      <w:r>
        <w:rPr>
          <w:color w:val="231F20"/>
        </w:rPr>
        <w:t>répétition,</w:t>
      </w:r>
      <w:r>
        <w:rPr>
          <w:color w:val="231F20"/>
          <w:spacing w:val="8"/>
        </w:rPr>
        <w:t> </w:t>
      </w:r>
      <w:r>
        <w:rPr>
          <w:color w:val="231F20"/>
        </w:rPr>
        <w:t>que</w:t>
      </w:r>
      <w:r>
        <w:rPr>
          <w:color w:val="231F20"/>
          <w:spacing w:val="7"/>
        </w:rPr>
        <w:t> </w:t>
      </w:r>
      <w:r>
        <w:rPr>
          <w:color w:val="231F20"/>
        </w:rPr>
        <w:t>le</w:t>
      </w:r>
      <w:r>
        <w:rPr>
          <w:color w:val="231F20"/>
          <w:spacing w:val="9"/>
        </w:rPr>
        <w:t> </w:t>
      </w:r>
      <w:r>
        <w:rPr>
          <w:color w:val="231F20"/>
        </w:rPr>
        <w:t>géant</w:t>
      </w:r>
      <w:r>
        <w:rPr>
          <w:color w:val="231F20"/>
          <w:spacing w:val="9"/>
        </w:rPr>
        <w:t> </w:t>
      </w:r>
      <w:r>
        <w:rPr>
          <w:color w:val="231F20"/>
        </w:rPr>
        <w:t>Nigérian</w:t>
      </w:r>
      <w:r>
        <w:rPr>
          <w:color w:val="231F20"/>
          <w:spacing w:val="8"/>
        </w:rPr>
        <w:t> </w:t>
      </w:r>
      <w:r>
        <w:rPr>
          <w:color w:val="231F20"/>
        </w:rPr>
        <w:t>était</w:t>
      </w:r>
      <w:r>
        <w:rPr>
          <w:color w:val="231F20"/>
          <w:spacing w:val="9"/>
        </w:rPr>
        <w:t> </w:t>
      </w:r>
      <w:r>
        <w:rPr>
          <w:color w:val="231F20"/>
        </w:rPr>
        <w:t>empêtré</w:t>
      </w:r>
      <w:r>
        <w:rPr>
          <w:color w:val="231F20"/>
          <w:spacing w:val="6"/>
        </w:rPr>
        <w:t> </w:t>
      </w:r>
      <w:r>
        <w:rPr>
          <w:color w:val="231F20"/>
        </w:rPr>
        <w:t>dans</w:t>
      </w:r>
      <w:r>
        <w:rPr>
          <w:color w:val="231F20"/>
          <w:spacing w:val="8"/>
        </w:rPr>
        <w:t> </w:t>
      </w:r>
      <w:r>
        <w:rPr>
          <w:color w:val="231F20"/>
          <w:spacing w:val="-5"/>
        </w:rPr>
        <w:t>une</w:t>
      </w:r>
    </w:p>
    <w:p>
      <w:pPr>
        <w:pStyle w:val="BodyText"/>
        <w:spacing w:before="88"/>
        <w:ind w:left="0"/>
        <w:jc w:val="left"/>
        <w:rPr>
          <w:sz w:val="20"/>
        </w:rPr>
      </w:pPr>
      <w:r>
        <w:rPr/>
        <mc:AlternateContent>
          <mc:Choice Requires="wps">
            <w:drawing>
              <wp:anchor distT="0" distB="0" distL="0" distR="0" allowOverlap="1" layoutInCell="1" locked="0" behindDoc="1" simplePos="0" relativeHeight="487623680">
                <wp:simplePos x="0" y="0"/>
                <wp:positionH relativeFrom="page">
                  <wp:posOffset>629907</wp:posOffset>
                </wp:positionH>
                <wp:positionV relativeFrom="paragraph">
                  <wp:posOffset>217393</wp:posOffset>
                </wp:positionV>
                <wp:extent cx="1829435" cy="9525"/>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117579pt;width:144.020pt;height:.72pt;mso-position-horizontal-relative:page;mso-position-vertical-relative:paragraph;z-index:-15692800;mso-wrap-distance-left:0;mso-wrap-distance-right:0" id="docshape87" filled="true" fillcolor="#231f20" stroked="false">
                <v:fill type="solid"/>
                <w10:wrap type="topAndBottom"/>
              </v:rect>
            </w:pict>
          </mc:Fallback>
        </mc:AlternateContent>
      </w:r>
    </w:p>
    <w:p>
      <w:pPr>
        <w:spacing w:before="91"/>
        <w:ind w:left="111" w:right="108" w:hanging="1"/>
        <w:jc w:val="both"/>
        <w:rPr>
          <w:sz w:val="20"/>
        </w:rPr>
      </w:pPr>
      <w:r>
        <w:rPr>
          <w:color w:val="76787A"/>
          <w:sz w:val="20"/>
          <w:vertAlign w:val="superscript"/>
        </w:rPr>
        <w:t>111</w:t>
      </w:r>
      <w:r>
        <w:rPr>
          <w:color w:val="76787A"/>
          <w:sz w:val="20"/>
          <w:vertAlign w:val="baseline"/>
        </w:rPr>
        <w:t> </w:t>
      </w:r>
      <w:r>
        <w:rPr>
          <w:color w:val="231F20"/>
          <w:sz w:val="20"/>
          <w:vertAlign w:val="baseline"/>
        </w:rPr>
        <w:t>Mahamoudou Sawadogo</w:t>
      </w:r>
      <w:r>
        <w:rPr>
          <w:color w:val="231F20"/>
          <w:spacing w:val="-13"/>
          <w:sz w:val="20"/>
          <w:vertAlign w:val="baseline"/>
        </w:rPr>
        <w:t> </w:t>
      </w:r>
      <w:r>
        <w:rPr>
          <w:color w:val="231F20"/>
          <w:sz w:val="20"/>
          <w:vertAlign w:val="baseline"/>
        </w:rPr>
        <w:t>chercheur et spécialiste des questions sécuritaires au Burkina Faso </w:t>
      </w:r>
      <w:r>
        <w:rPr>
          <w:i/>
          <w:color w:val="231F20"/>
          <w:sz w:val="20"/>
          <w:vertAlign w:val="baseline"/>
        </w:rPr>
        <w:t>in </w:t>
      </w:r>
      <w:r>
        <w:rPr>
          <w:color w:val="231F20"/>
          <w:sz w:val="20"/>
          <w:vertAlign w:val="baseline"/>
        </w:rPr>
        <w:t>Burkina Faso</w:t>
      </w:r>
      <w:r>
        <w:rPr>
          <w:color w:val="231F20"/>
          <w:spacing w:val="-10"/>
          <w:sz w:val="20"/>
          <w:vertAlign w:val="baseline"/>
        </w:rPr>
        <w:t> </w:t>
      </w:r>
      <w:r>
        <w:rPr>
          <w:color w:val="231F20"/>
          <w:sz w:val="20"/>
          <w:vertAlign w:val="baseline"/>
        </w:rPr>
        <w:t>: la lutte contre les djihadistes, enjeu majeur des élections,Pierre Desorgues, AFP.</w:t>
      </w:r>
    </w:p>
    <w:p>
      <w:pPr>
        <w:spacing w:before="2"/>
        <w:ind w:left="111" w:right="108" w:firstLine="0"/>
        <w:jc w:val="both"/>
        <w:rPr>
          <w:sz w:val="20"/>
        </w:rPr>
      </w:pPr>
      <w:r>
        <w:rPr>
          <w:color w:val="76787A"/>
          <w:sz w:val="20"/>
          <w:vertAlign w:val="superscript"/>
        </w:rPr>
        <w:t>112</w:t>
      </w:r>
      <w:r>
        <w:rPr>
          <w:color w:val="76787A"/>
          <w:spacing w:val="-13"/>
          <w:sz w:val="20"/>
          <w:vertAlign w:val="baseline"/>
        </w:rPr>
        <w:t> </w:t>
      </w:r>
      <w:r>
        <w:rPr>
          <w:color w:val="231F20"/>
          <w:sz w:val="20"/>
          <w:vertAlign w:val="baseline"/>
        </w:rPr>
        <w:t>Rapport</w:t>
      </w:r>
      <w:r>
        <w:rPr>
          <w:color w:val="231F20"/>
          <w:spacing w:val="-12"/>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2019,</w:t>
      </w:r>
      <w:r>
        <w:rPr>
          <w:color w:val="231F20"/>
          <w:spacing w:val="-1"/>
          <w:sz w:val="20"/>
          <w:vertAlign w:val="baseline"/>
        </w:rPr>
        <w:t> </w:t>
      </w:r>
      <w:r>
        <w:rPr>
          <w:color w:val="48484A"/>
          <w:sz w:val="20"/>
          <w:vertAlign w:val="baseline"/>
        </w:rPr>
        <w:t>International</w:t>
      </w:r>
      <w:r>
        <w:rPr>
          <w:color w:val="48484A"/>
          <w:spacing w:val="-1"/>
          <w:sz w:val="20"/>
          <w:vertAlign w:val="baseline"/>
        </w:rPr>
        <w:t> </w:t>
      </w:r>
      <w:r>
        <w:rPr>
          <w:color w:val="48484A"/>
          <w:sz w:val="20"/>
          <w:vertAlign w:val="baseline"/>
        </w:rPr>
        <w:t>Crisis</w:t>
      </w:r>
      <w:r>
        <w:rPr>
          <w:color w:val="48484A"/>
          <w:spacing w:val="-1"/>
          <w:sz w:val="20"/>
          <w:vertAlign w:val="baseline"/>
        </w:rPr>
        <w:t> </w:t>
      </w:r>
      <w:r>
        <w:rPr>
          <w:color w:val="48484A"/>
          <w:sz w:val="20"/>
          <w:vertAlign w:val="baseline"/>
        </w:rPr>
        <w:t>Group </w:t>
      </w:r>
      <w:r>
        <w:rPr>
          <w:color w:val="231F20"/>
          <w:sz w:val="20"/>
          <w:vertAlign w:val="baseline"/>
        </w:rPr>
        <w:t>sur</w:t>
      </w:r>
      <w:r>
        <w:rPr>
          <w:color w:val="231F20"/>
          <w:spacing w:val="-2"/>
          <w:sz w:val="20"/>
          <w:vertAlign w:val="baseline"/>
        </w:rPr>
        <w:t> </w:t>
      </w:r>
      <w:r>
        <w:rPr>
          <w:color w:val="231F20"/>
          <w:sz w:val="20"/>
          <w:vertAlign w:val="baseline"/>
        </w:rPr>
        <w:t>la</w:t>
      </w:r>
      <w:r>
        <w:rPr>
          <w:color w:val="231F20"/>
          <w:spacing w:val="-2"/>
          <w:sz w:val="20"/>
          <w:vertAlign w:val="baseline"/>
        </w:rPr>
        <w:t> </w:t>
      </w:r>
      <w:r>
        <w:rPr>
          <w:color w:val="231F20"/>
          <w:sz w:val="20"/>
          <w:vertAlign w:val="baseline"/>
        </w:rPr>
        <w:t>question</w:t>
      </w:r>
      <w:r>
        <w:rPr>
          <w:color w:val="231F20"/>
          <w:spacing w:val="-3"/>
          <w:sz w:val="20"/>
          <w:vertAlign w:val="baseline"/>
        </w:rPr>
        <w:t> </w:t>
      </w:r>
      <w:r>
        <w:rPr>
          <w:color w:val="231F20"/>
          <w:sz w:val="20"/>
          <w:vertAlign w:val="baseline"/>
        </w:rPr>
        <w:t>sécuritaire</w:t>
      </w:r>
      <w:r>
        <w:rPr>
          <w:color w:val="231F20"/>
          <w:spacing w:val="-2"/>
          <w:sz w:val="20"/>
          <w:vertAlign w:val="baseline"/>
        </w:rPr>
        <w:t> </w:t>
      </w:r>
      <w:r>
        <w:rPr>
          <w:color w:val="231F20"/>
          <w:sz w:val="20"/>
          <w:vertAlign w:val="baseline"/>
        </w:rPr>
        <w:t>au</w:t>
      </w:r>
      <w:r>
        <w:rPr>
          <w:color w:val="231F20"/>
          <w:spacing w:val="-1"/>
          <w:sz w:val="20"/>
          <w:vertAlign w:val="baseline"/>
        </w:rPr>
        <w:t> </w:t>
      </w:r>
      <w:r>
        <w:rPr>
          <w:color w:val="231F20"/>
          <w:sz w:val="20"/>
          <w:vertAlign w:val="baseline"/>
        </w:rPr>
        <w:t>Burkina </w:t>
      </w:r>
      <w:r>
        <w:rPr>
          <w:color w:val="231F20"/>
          <w:spacing w:val="-2"/>
          <w:sz w:val="20"/>
          <w:vertAlign w:val="baseline"/>
        </w:rPr>
        <w:t>Faso.</w:t>
      </w:r>
    </w:p>
    <w:p>
      <w:pPr>
        <w:spacing w:before="0"/>
        <w:ind w:left="111" w:right="103" w:firstLine="48"/>
        <w:jc w:val="both"/>
        <w:rPr>
          <w:sz w:val="20"/>
        </w:rPr>
      </w:pPr>
      <w:r>
        <w:rPr>
          <w:color w:val="76787A"/>
          <w:spacing w:val="-4"/>
          <w:sz w:val="20"/>
          <w:vertAlign w:val="superscript"/>
        </w:rPr>
        <w:t>113</w:t>
      </w:r>
      <w:r>
        <w:rPr>
          <w:color w:val="76787A"/>
          <w:sz w:val="20"/>
          <w:vertAlign w:val="baseline"/>
        </w:rPr>
        <w:t> </w:t>
      </w:r>
      <w:r>
        <w:rPr>
          <w:color w:val="48484A"/>
          <w:spacing w:val="-4"/>
          <w:sz w:val="20"/>
          <w:vertAlign w:val="baseline"/>
        </w:rPr>
        <w:t>William Assanvo,</w:t>
      </w:r>
      <w:r>
        <w:rPr>
          <w:color w:val="48484A"/>
          <w:spacing w:val="-5"/>
          <w:sz w:val="20"/>
          <w:vertAlign w:val="baseline"/>
        </w:rPr>
        <w:t> </w:t>
      </w:r>
      <w:r>
        <w:rPr>
          <w:color w:val="48484A"/>
          <w:spacing w:val="-4"/>
          <w:sz w:val="20"/>
          <w:vertAlign w:val="baseline"/>
        </w:rPr>
        <w:t>chercheur à</w:t>
      </w:r>
      <w:r>
        <w:rPr>
          <w:color w:val="48484A"/>
          <w:spacing w:val="-5"/>
          <w:sz w:val="20"/>
          <w:vertAlign w:val="baseline"/>
        </w:rPr>
        <w:t> </w:t>
      </w:r>
      <w:r>
        <w:rPr>
          <w:color w:val="48484A"/>
          <w:spacing w:val="-4"/>
          <w:sz w:val="20"/>
          <w:vertAlign w:val="baseline"/>
        </w:rPr>
        <w:t>l'Institut</w:t>
      </w:r>
      <w:r>
        <w:rPr>
          <w:color w:val="48484A"/>
          <w:spacing w:val="-5"/>
          <w:sz w:val="20"/>
          <w:vertAlign w:val="baseline"/>
        </w:rPr>
        <w:t> </w:t>
      </w:r>
      <w:r>
        <w:rPr>
          <w:color w:val="48484A"/>
          <w:spacing w:val="-4"/>
          <w:sz w:val="20"/>
          <w:vertAlign w:val="baseline"/>
        </w:rPr>
        <w:t>d'Etudes de Sécurité</w:t>
      </w:r>
      <w:r>
        <w:rPr>
          <w:color w:val="48484A"/>
          <w:spacing w:val="-5"/>
          <w:sz w:val="20"/>
          <w:vertAlign w:val="baseline"/>
        </w:rPr>
        <w:t> </w:t>
      </w:r>
      <w:r>
        <w:rPr>
          <w:color w:val="48484A"/>
          <w:spacing w:val="-4"/>
          <w:sz w:val="20"/>
          <w:vertAlign w:val="baseline"/>
        </w:rPr>
        <w:t>de Dakar (</w:t>
      </w:r>
      <w:r>
        <w:rPr>
          <w:color w:val="231F20"/>
          <w:spacing w:val="-4"/>
          <w:sz w:val="20"/>
          <w:vertAlign w:val="baseline"/>
        </w:rPr>
        <w:t>ISS Africa).</w:t>
      </w:r>
      <w:r>
        <w:rPr>
          <w:i/>
          <w:color w:val="231F20"/>
          <w:spacing w:val="-4"/>
          <w:sz w:val="20"/>
          <w:vertAlign w:val="baseline"/>
        </w:rPr>
        <w:t>in</w:t>
      </w:r>
      <w:r>
        <w:rPr>
          <w:i/>
          <w:color w:val="231F20"/>
          <w:spacing w:val="-4"/>
          <w:sz w:val="20"/>
          <w:vertAlign w:val="baseline"/>
        </w:rPr>
        <w:t> </w:t>
      </w:r>
      <w:r>
        <w:rPr>
          <w:color w:val="231F20"/>
          <w:spacing w:val="-4"/>
          <w:sz w:val="20"/>
          <w:vertAlign w:val="baseline"/>
        </w:rPr>
        <w:t>Burkina</w:t>
      </w:r>
      <w:r>
        <w:rPr>
          <w:color w:val="231F20"/>
          <w:spacing w:val="-9"/>
          <w:sz w:val="20"/>
          <w:vertAlign w:val="baseline"/>
        </w:rPr>
        <w:t> </w:t>
      </w:r>
      <w:r>
        <w:rPr>
          <w:color w:val="231F20"/>
          <w:spacing w:val="-4"/>
          <w:sz w:val="20"/>
          <w:vertAlign w:val="baseline"/>
        </w:rPr>
        <w:t>Faso</w:t>
      </w:r>
      <w:r>
        <w:rPr>
          <w:color w:val="231F20"/>
          <w:spacing w:val="-5"/>
          <w:sz w:val="20"/>
          <w:vertAlign w:val="baseline"/>
        </w:rPr>
        <w:t> </w:t>
      </w:r>
      <w:r>
        <w:rPr>
          <w:color w:val="231F20"/>
          <w:spacing w:val="-4"/>
          <w:sz w:val="20"/>
          <w:vertAlign w:val="baseline"/>
        </w:rPr>
        <w:t>:</w:t>
      </w:r>
      <w:r>
        <w:rPr>
          <w:color w:val="231F20"/>
          <w:spacing w:val="-9"/>
          <w:sz w:val="20"/>
          <w:vertAlign w:val="baseline"/>
        </w:rPr>
        <w:t> </w:t>
      </w:r>
      <w:r>
        <w:rPr>
          <w:color w:val="231F20"/>
          <w:spacing w:val="-4"/>
          <w:sz w:val="20"/>
          <w:vertAlign w:val="baseline"/>
        </w:rPr>
        <w:t>la</w:t>
      </w:r>
      <w:r>
        <w:rPr>
          <w:color w:val="231F20"/>
          <w:spacing w:val="-8"/>
          <w:sz w:val="20"/>
          <w:vertAlign w:val="baseline"/>
        </w:rPr>
        <w:t> </w:t>
      </w:r>
      <w:r>
        <w:rPr>
          <w:color w:val="231F20"/>
          <w:spacing w:val="-4"/>
          <w:sz w:val="20"/>
          <w:vertAlign w:val="baseline"/>
        </w:rPr>
        <w:t>lutte</w:t>
      </w:r>
      <w:r>
        <w:rPr>
          <w:color w:val="231F20"/>
          <w:spacing w:val="-9"/>
          <w:sz w:val="20"/>
          <w:vertAlign w:val="baseline"/>
        </w:rPr>
        <w:t> </w:t>
      </w:r>
      <w:r>
        <w:rPr>
          <w:color w:val="231F20"/>
          <w:spacing w:val="-4"/>
          <w:sz w:val="20"/>
          <w:vertAlign w:val="baseline"/>
        </w:rPr>
        <w:t>contre</w:t>
      </w:r>
      <w:r>
        <w:rPr>
          <w:color w:val="231F20"/>
          <w:spacing w:val="-8"/>
          <w:sz w:val="20"/>
          <w:vertAlign w:val="baseline"/>
        </w:rPr>
        <w:t> </w:t>
      </w:r>
      <w:r>
        <w:rPr>
          <w:color w:val="231F20"/>
          <w:spacing w:val="-4"/>
          <w:sz w:val="20"/>
          <w:vertAlign w:val="baseline"/>
        </w:rPr>
        <w:t>les</w:t>
      </w:r>
      <w:r>
        <w:rPr>
          <w:color w:val="231F20"/>
          <w:spacing w:val="-9"/>
          <w:sz w:val="20"/>
          <w:vertAlign w:val="baseline"/>
        </w:rPr>
        <w:t> </w:t>
      </w:r>
      <w:r>
        <w:rPr>
          <w:color w:val="231F20"/>
          <w:spacing w:val="-4"/>
          <w:sz w:val="20"/>
          <w:vertAlign w:val="baseline"/>
        </w:rPr>
        <w:t>djihadistes,</w:t>
      </w:r>
      <w:r>
        <w:rPr>
          <w:color w:val="231F20"/>
          <w:spacing w:val="-8"/>
          <w:sz w:val="20"/>
          <w:vertAlign w:val="baseline"/>
        </w:rPr>
        <w:t> </w:t>
      </w:r>
      <w:r>
        <w:rPr>
          <w:color w:val="231F20"/>
          <w:spacing w:val="-4"/>
          <w:sz w:val="20"/>
          <w:vertAlign w:val="baseline"/>
        </w:rPr>
        <w:t>enjeu</w:t>
      </w:r>
      <w:r>
        <w:rPr>
          <w:color w:val="231F20"/>
          <w:spacing w:val="-9"/>
          <w:sz w:val="20"/>
          <w:vertAlign w:val="baseline"/>
        </w:rPr>
        <w:t> </w:t>
      </w:r>
      <w:r>
        <w:rPr>
          <w:color w:val="231F20"/>
          <w:spacing w:val="-4"/>
          <w:sz w:val="20"/>
          <w:vertAlign w:val="baseline"/>
        </w:rPr>
        <w:t>majeur</w:t>
      </w:r>
      <w:r>
        <w:rPr>
          <w:color w:val="231F20"/>
          <w:spacing w:val="-8"/>
          <w:sz w:val="20"/>
          <w:vertAlign w:val="baseline"/>
        </w:rPr>
        <w:t> </w:t>
      </w:r>
      <w:r>
        <w:rPr>
          <w:color w:val="231F20"/>
          <w:spacing w:val="-4"/>
          <w:sz w:val="20"/>
          <w:vertAlign w:val="baseline"/>
        </w:rPr>
        <w:t>des</w:t>
      </w:r>
      <w:r>
        <w:rPr>
          <w:color w:val="231F20"/>
          <w:spacing w:val="-9"/>
          <w:sz w:val="20"/>
          <w:vertAlign w:val="baseline"/>
        </w:rPr>
        <w:t> </w:t>
      </w:r>
      <w:r>
        <w:rPr>
          <w:color w:val="231F20"/>
          <w:spacing w:val="-4"/>
          <w:sz w:val="20"/>
          <w:vertAlign w:val="baseline"/>
        </w:rPr>
        <w:t>élections,Pierre</w:t>
      </w:r>
      <w:r>
        <w:rPr>
          <w:color w:val="231F20"/>
          <w:spacing w:val="-6"/>
          <w:sz w:val="20"/>
          <w:vertAlign w:val="baseline"/>
        </w:rPr>
        <w:t> </w:t>
      </w:r>
      <w:r>
        <w:rPr>
          <w:color w:val="231F20"/>
          <w:spacing w:val="-4"/>
          <w:sz w:val="20"/>
          <w:vertAlign w:val="baseline"/>
        </w:rPr>
        <w:t>Desorgues, AFP.</w:t>
      </w:r>
    </w:p>
    <w:p>
      <w:pPr>
        <w:spacing w:before="0"/>
        <w:ind w:left="111" w:right="0" w:firstLine="0"/>
        <w:jc w:val="both"/>
        <w:rPr>
          <w:sz w:val="20"/>
        </w:rPr>
      </w:pPr>
      <w:r>
        <w:rPr>
          <w:color w:val="76787A"/>
          <w:spacing w:val="-2"/>
          <w:sz w:val="20"/>
          <w:vertAlign w:val="superscript"/>
        </w:rPr>
        <w:t>114</w:t>
      </w:r>
      <w:r>
        <w:rPr>
          <w:color w:val="48484A"/>
          <w:spacing w:val="-2"/>
          <w:sz w:val="20"/>
          <w:vertAlign w:val="baseline"/>
        </w:rPr>
        <w:t>Bakary</w:t>
      </w:r>
      <w:r>
        <w:rPr>
          <w:color w:val="48484A"/>
          <w:spacing w:val="3"/>
          <w:sz w:val="20"/>
          <w:vertAlign w:val="baseline"/>
        </w:rPr>
        <w:t> </w:t>
      </w:r>
      <w:r>
        <w:rPr>
          <w:color w:val="48484A"/>
          <w:spacing w:val="-2"/>
          <w:sz w:val="20"/>
          <w:vertAlign w:val="baseline"/>
        </w:rPr>
        <w:t>Sambe</w:t>
      </w:r>
      <w:r>
        <w:rPr>
          <w:color w:val="48484A"/>
          <w:spacing w:val="1"/>
          <w:sz w:val="20"/>
          <w:vertAlign w:val="baseline"/>
        </w:rPr>
        <w:t> </w:t>
      </w:r>
      <w:r>
        <w:rPr>
          <w:color w:val="48484A"/>
          <w:spacing w:val="-2"/>
          <w:sz w:val="20"/>
          <w:vertAlign w:val="baseline"/>
        </w:rPr>
        <w:t>politologue,</w:t>
      </w:r>
      <w:r>
        <w:rPr>
          <w:color w:val="48484A"/>
          <w:spacing w:val="1"/>
          <w:sz w:val="20"/>
          <w:vertAlign w:val="baseline"/>
        </w:rPr>
        <w:t> </w:t>
      </w:r>
      <w:r>
        <w:rPr>
          <w:color w:val="48484A"/>
          <w:spacing w:val="-2"/>
          <w:sz w:val="20"/>
          <w:vertAlign w:val="baseline"/>
        </w:rPr>
        <w:t>directeur</w:t>
      </w:r>
      <w:r>
        <w:rPr>
          <w:color w:val="48484A"/>
          <w:sz w:val="20"/>
          <w:vertAlign w:val="baseline"/>
        </w:rPr>
        <w:t> </w:t>
      </w:r>
      <w:r>
        <w:rPr>
          <w:color w:val="48484A"/>
          <w:spacing w:val="-2"/>
          <w:sz w:val="20"/>
          <w:vertAlign w:val="baseline"/>
        </w:rPr>
        <w:t>du</w:t>
      </w:r>
      <w:r>
        <w:rPr>
          <w:color w:val="48484A"/>
          <w:spacing w:val="4"/>
          <w:sz w:val="20"/>
          <w:vertAlign w:val="baseline"/>
        </w:rPr>
        <w:t> </w:t>
      </w:r>
      <w:r>
        <w:rPr>
          <w:color w:val="48484A"/>
          <w:spacing w:val="-2"/>
          <w:sz w:val="20"/>
          <w:vertAlign w:val="baseline"/>
        </w:rPr>
        <w:t>think</w:t>
      </w:r>
      <w:r>
        <w:rPr>
          <w:color w:val="48484A"/>
          <w:spacing w:val="1"/>
          <w:sz w:val="20"/>
          <w:vertAlign w:val="baseline"/>
        </w:rPr>
        <w:t> </w:t>
      </w:r>
      <w:r>
        <w:rPr>
          <w:color w:val="48484A"/>
          <w:spacing w:val="-2"/>
          <w:sz w:val="20"/>
          <w:vertAlign w:val="baseline"/>
        </w:rPr>
        <w:t>tank</w:t>
      </w:r>
      <w:r>
        <w:rPr>
          <w:color w:val="48484A"/>
          <w:spacing w:val="2"/>
          <w:sz w:val="20"/>
          <w:vertAlign w:val="baseline"/>
        </w:rPr>
        <w:t> </w:t>
      </w:r>
      <w:r>
        <w:rPr>
          <w:color w:val="48484A"/>
          <w:spacing w:val="-2"/>
          <w:sz w:val="20"/>
          <w:vertAlign w:val="baseline"/>
        </w:rPr>
        <w:t>Timbuktu</w:t>
      </w:r>
      <w:r>
        <w:rPr>
          <w:color w:val="48484A"/>
          <w:spacing w:val="4"/>
          <w:sz w:val="20"/>
          <w:vertAlign w:val="baseline"/>
        </w:rPr>
        <w:t> </w:t>
      </w:r>
      <w:r>
        <w:rPr>
          <w:color w:val="48484A"/>
          <w:spacing w:val="-2"/>
          <w:sz w:val="20"/>
          <w:vertAlign w:val="baseline"/>
        </w:rPr>
        <w:t>Institute,</w:t>
      </w:r>
      <w:r>
        <w:rPr>
          <w:color w:val="48484A"/>
          <w:spacing w:val="2"/>
          <w:sz w:val="20"/>
          <w:vertAlign w:val="baseline"/>
        </w:rPr>
        <w:t> </w:t>
      </w:r>
      <w:r>
        <w:rPr>
          <w:color w:val="48484A"/>
          <w:spacing w:val="-2"/>
          <w:sz w:val="20"/>
          <w:vertAlign w:val="baseline"/>
        </w:rPr>
        <w:t>professeur</w:t>
      </w:r>
      <w:r>
        <w:rPr>
          <w:color w:val="48484A"/>
          <w:spacing w:val="1"/>
          <w:sz w:val="20"/>
          <w:vertAlign w:val="baseline"/>
        </w:rPr>
        <w:t> </w:t>
      </w:r>
      <w:r>
        <w:rPr>
          <w:color w:val="48484A"/>
          <w:spacing w:val="-10"/>
          <w:sz w:val="20"/>
          <w:vertAlign w:val="baseline"/>
        </w:rPr>
        <w:t>à</w:t>
      </w:r>
    </w:p>
    <w:p>
      <w:pPr>
        <w:spacing w:before="0"/>
        <w:ind w:left="111" w:right="0" w:firstLine="0"/>
        <w:jc w:val="both"/>
        <w:rPr>
          <w:sz w:val="20"/>
        </w:rPr>
      </w:pPr>
      <w:r>
        <w:rPr>
          <w:color w:val="48484A"/>
          <w:spacing w:val="-4"/>
          <w:sz w:val="20"/>
        </w:rPr>
        <w:t>l’université Gaston-Berger</w:t>
      </w:r>
      <w:r>
        <w:rPr>
          <w:color w:val="48484A"/>
          <w:spacing w:val="-1"/>
          <w:sz w:val="20"/>
        </w:rPr>
        <w:t> </w:t>
      </w:r>
      <w:r>
        <w:rPr>
          <w:color w:val="48484A"/>
          <w:spacing w:val="-4"/>
          <w:sz w:val="20"/>
        </w:rPr>
        <w:t>de</w:t>
      </w:r>
      <w:r>
        <w:rPr>
          <w:color w:val="48484A"/>
          <w:spacing w:val="-1"/>
          <w:sz w:val="20"/>
        </w:rPr>
        <w:t> </w:t>
      </w:r>
      <w:r>
        <w:rPr>
          <w:color w:val="48484A"/>
          <w:spacing w:val="-4"/>
          <w:sz w:val="20"/>
        </w:rPr>
        <w:t>Saint-Louis</w:t>
      </w:r>
      <w:r>
        <w:rPr>
          <w:color w:val="48484A"/>
          <w:spacing w:val="-5"/>
          <w:sz w:val="20"/>
        </w:rPr>
        <w:t> </w:t>
      </w:r>
      <w:r>
        <w:rPr>
          <w:color w:val="48484A"/>
          <w:spacing w:val="-4"/>
          <w:sz w:val="20"/>
        </w:rPr>
        <w:t>au</w:t>
      </w:r>
      <w:r>
        <w:rPr>
          <w:color w:val="48484A"/>
          <w:spacing w:val="-2"/>
          <w:sz w:val="20"/>
        </w:rPr>
        <w:t> </w:t>
      </w:r>
      <w:r>
        <w:rPr>
          <w:color w:val="48484A"/>
          <w:spacing w:val="-4"/>
          <w:sz w:val="20"/>
        </w:rPr>
        <w:t>Sénégal.</w:t>
      </w:r>
    </w:p>
    <w:p>
      <w:pPr>
        <w:spacing w:after="0"/>
        <w:jc w:val="both"/>
        <w:rPr>
          <w:sz w:val="20"/>
        </w:rPr>
        <w:sectPr>
          <w:pgSz w:w="8790" w:h="13610"/>
          <w:pgMar w:header="0" w:footer="802" w:top="1040" w:bottom="1000" w:left="880" w:right="880"/>
        </w:sectPr>
      </w:pPr>
    </w:p>
    <w:p>
      <w:pPr>
        <w:pStyle w:val="BodyText"/>
        <w:spacing w:before="66"/>
        <w:ind w:right="106"/>
      </w:pPr>
      <w:r>
        <w:rPr>
          <w:color w:val="231F20"/>
        </w:rPr>
        <w:t>guerre</w:t>
      </w:r>
      <w:r>
        <w:rPr>
          <w:color w:val="231F20"/>
          <w:spacing w:val="-2"/>
        </w:rPr>
        <w:t> </w:t>
      </w:r>
      <w:r>
        <w:rPr>
          <w:color w:val="231F20"/>
        </w:rPr>
        <w:t>de</w:t>
      </w:r>
      <w:r>
        <w:rPr>
          <w:color w:val="231F20"/>
          <w:spacing w:val="-4"/>
        </w:rPr>
        <w:t> </w:t>
      </w:r>
      <w:r>
        <w:rPr>
          <w:color w:val="231F20"/>
        </w:rPr>
        <w:t>sécession,</w:t>
      </w:r>
      <w:r>
        <w:rPr>
          <w:color w:val="231F20"/>
          <w:spacing w:val="-4"/>
        </w:rPr>
        <w:t> </w:t>
      </w:r>
      <w:r>
        <w:rPr>
          <w:color w:val="231F20"/>
        </w:rPr>
        <w:t>Houphouët-Boigny</w:t>
      </w:r>
      <w:r>
        <w:rPr>
          <w:color w:val="231F20"/>
          <w:spacing w:val="-3"/>
        </w:rPr>
        <w:t> </w:t>
      </w:r>
      <w:r>
        <w:rPr>
          <w:color w:val="231F20"/>
        </w:rPr>
        <w:t>et</w:t>
      </w:r>
      <w:r>
        <w:rPr>
          <w:color w:val="231F20"/>
          <w:spacing w:val="-3"/>
        </w:rPr>
        <w:t> </w:t>
      </w:r>
      <w:r>
        <w:rPr>
          <w:color w:val="231F20"/>
        </w:rPr>
        <w:t>son</w:t>
      </w:r>
      <w:r>
        <w:rPr>
          <w:color w:val="231F20"/>
          <w:spacing w:val="-4"/>
        </w:rPr>
        <w:t> </w:t>
      </w:r>
      <w:r>
        <w:rPr>
          <w:color w:val="231F20"/>
        </w:rPr>
        <w:t>peuple</w:t>
      </w:r>
      <w:r>
        <w:rPr>
          <w:color w:val="231F20"/>
          <w:spacing w:val="-4"/>
        </w:rPr>
        <w:t> </w:t>
      </w:r>
      <w:r>
        <w:rPr>
          <w:color w:val="231F20"/>
        </w:rPr>
        <w:t>vivaient</w:t>
      </w:r>
      <w:r>
        <w:rPr>
          <w:color w:val="231F20"/>
          <w:spacing w:val="-3"/>
        </w:rPr>
        <w:t> </w:t>
      </w:r>
      <w:r>
        <w:rPr>
          <w:color w:val="231F20"/>
        </w:rPr>
        <w:t>dans</w:t>
      </w:r>
      <w:r>
        <w:rPr>
          <w:color w:val="231F20"/>
          <w:spacing w:val="-4"/>
        </w:rPr>
        <w:t> </w:t>
      </w:r>
      <w:r>
        <w:rPr>
          <w:color w:val="231F20"/>
        </w:rPr>
        <w:t>un climat de stabilité politique et accumulaient les performances </w:t>
      </w:r>
      <w:r>
        <w:rPr>
          <w:color w:val="231F20"/>
          <w:spacing w:val="-2"/>
        </w:rPr>
        <w:t>économiques.</w:t>
      </w:r>
    </w:p>
    <w:p>
      <w:pPr>
        <w:pStyle w:val="BodyText"/>
        <w:ind w:right="104"/>
      </w:pPr>
      <w:r>
        <w:rPr>
          <w:color w:val="231F20"/>
          <w:spacing w:val="-4"/>
        </w:rPr>
        <w:t>Mais</w:t>
      </w:r>
      <w:r>
        <w:rPr>
          <w:color w:val="231F20"/>
          <w:spacing w:val="-9"/>
        </w:rPr>
        <w:t> </w:t>
      </w:r>
      <w:r>
        <w:rPr>
          <w:color w:val="231F20"/>
          <w:spacing w:val="-4"/>
        </w:rPr>
        <w:t>le</w:t>
      </w:r>
      <w:r>
        <w:rPr>
          <w:color w:val="231F20"/>
          <w:spacing w:val="-7"/>
        </w:rPr>
        <w:t> </w:t>
      </w:r>
      <w:r>
        <w:rPr>
          <w:color w:val="231F20"/>
          <w:spacing w:val="-4"/>
        </w:rPr>
        <w:t>«</w:t>
      </w:r>
      <w:r>
        <w:rPr>
          <w:color w:val="231F20"/>
          <w:spacing w:val="-7"/>
        </w:rPr>
        <w:t> </w:t>
      </w:r>
      <w:r>
        <w:rPr>
          <w:color w:val="231F20"/>
          <w:spacing w:val="-4"/>
        </w:rPr>
        <w:t>miracle</w:t>
      </w:r>
      <w:r>
        <w:rPr>
          <w:color w:val="231F20"/>
          <w:spacing w:val="-9"/>
        </w:rPr>
        <w:t> </w:t>
      </w:r>
      <w:r>
        <w:rPr>
          <w:color w:val="231F20"/>
          <w:spacing w:val="-4"/>
        </w:rPr>
        <w:t>ivoirien</w:t>
      </w:r>
      <w:r>
        <w:rPr>
          <w:color w:val="231F20"/>
          <w:spacing w:val="-9"/>
        </w:rPr>
        <w:t> </w:t>
      </w:r>
      <w:r>
        <w:rPr>
          <w:color w:val="231F20"/>
          <w:spacing w:val="-4"/>
        </w:rPr>
        <w:t>»,</w:t>
      </w:r>
      <w:r>
        <w:rPr>
          <w:color w:val="231F20"/>
          <w:spacing w:val="-7"/>
        </w:rPr>
        <w:t> </w:t>
      </w:r>
      <w:r>
        <w:rPr>
          <w:color w:val="231F20"/>
          <w:spacing w:val="-4"/>
        </w:rPr>
        <w:t>nom</w:t>
      </w:r>
      <w:r>
        <w:rPr>
          <w:color w:val="231F20"/>
          <w:spacing w:val="-7"/>
        </w:rPr>
        <w:t> </w:t>
      </w:r>
      <w:r>
        <w:rPr>
          <w:color w:val="231F20"/>
          <w:spacing w:val="-4"/>
        </w:rPr>
        <w:t>donné</w:t>
      </w:r>
      <w:r>
        <w:rPr>
          <w:color w:val="231F20"/>
          <w:spacing w:val="-7"/>
        </w:rPr>
        <w:t> </w:t>
      </w:r>
      <w:r>
        <w:rPr>
          <w:color w:val="231F20"/>
          <w:spacing w:val="-4"/>
        </w:rPr>
        <w:t>à</w:t>
      </w:r>
      <w:r>
        <w:rPr>
          <w:color w:val="231F20"/>
          <w:spacing w:val="-7"/>
        </w:rPr>
        <w:t> </w:t>
      </w:r>
      <w:r>
        <w:rPr>
          <w:color w:val="231F20"/>
          <w:spacing w:val="-4"/>
        </w:rPr>
        <w:t>cette</w:t>
      </w:r>
      <w:r>
        <w:rPr>
          <w:color w:val="231F20"/>
          <w:spacing w:val="-9"/>
        </w:rPr>
        <w:t> </w:t>
      </w:r>
      <w:r>
        <w:rPr>
          <w:color w:val="231F20"/>
          <w:spacing w:val="-4"/>
        </w:rPr>
        <w:t>période</w:t>
      </w:r>
      <w:r>
        <w:rPr>
          <w:color w:val="231F20"/>
          <w:spacing w:val="-7"/>
        </w:rPr>
        <w:t> </w:t>
      </w:r>
      <w:r>
        <w:rPr>
          <w:color w:val="231F20"/>
          <w:spacing w:val="-4"/>
        </w:rPr>
        <w:t>de</w:t>
      </w:r>
      <w:r>
        <w:rPr>
          <w:color w:val="231F20"/>
          <w:spacing w:val="-7"/>
        </w:rPr>
        <w:t> </w:t>
      </w:r>
      <w:r>
        <w:rPr>
          <w:color w:val="231F20"/>
          <w:spacing w:val="-4"/>
        </w:rPr>
        <w:t>prospérité</w:t>
      </w:r>
      <w:r>
        <w:rPr>
          <w:color w:val="231F20"/>
          <w:spacing w:val="-10"/>
        </w:rPr>
        <w:t> </w:t>
      </w:r>
      <w:r>
        <w:rPr>
          <w:color w:val="231F20"/>
          <w:spacing w:val="-4"/>
        </w:rPr>
        <w:t>s’est </w:t>
      </w:r>
      <w:r>
        <w:rPr>
          <w:color w:val="231F20"/>
          <w:spacing w:val="-2"/>
        </w:rPr>
        <w:t>transformé</w:t>
      </w:r>
      <w:r>
        <w:rPr>
          <w:color w:val="231F20"/>
          <w:spacing w:val="-13"/>
        </w:rPr>
        <w:t> </w:t>
      </w:r>
      <w:r>
        <w:rPr>
          <w:color w:val="231F20"/>
          <w:spacing w:val="-2"/>
        </w:rPr>
        <w:t>en</w:t>
      </w:r>
      <w:r>
        <w:rPr>
          <w:color w:val="231F20"/>
          <w:spacing w:val="-13"/>
        </w:rPr>
        <w:t> </w:t>
      </w:r>
      <w:r>
        <w:rPr>
          <w:color w:val="231F20"/>
          <w:spacing w:val="-2"/>
        </w:rPr>
        <w:t>«</w:t>
      </w:r>
      <w:r>
        <w:rPr>
          <w:color w:val="231F20"/>
          <w:spacing w:val="-10"/>
        </w:rPr>
        <w:t> </w:t>
      </w:r>
      <w:r>
        <w:rPr>
          <w:color w:val="231F20"/>
          <w:spacing w:val="-2"/>
        </w:rPr>
        <w:t>mirage</w:t>
      </w:r>
      <w:r>
        <w:rPr>
          <w:color w:val="231F20"/>
          <w:spacing w:val="-13"/>
        </w:rPr>
        <w:t> </w:t>
      </w:r>
      <w:r>
        <w:rPr>
          <w:color w:val="231F20"/>
          <w:spacing w:val="-2"/>
        </w:rPr>
        <w:t>»</w:t>
      </w:r>
      <w:r>
        <w:rPr>
          <w:color w:val="231F20"/>
          <w:spacing w:val="-13"/>
        </w:rPr>
        <w:t> </w:t>
      </w:r>
      <w:r>
        <w:rPr>
          <w:color w:val="231F20"/>
          <w:spacing w:val="-2"/>
        </w:rPr>
        <w:t>après</w:t>
      </w:r>
      <w:r>
        <w:rPr>
          <w:color w:val="231F20"/>
          <w:spacing w:val="-11"/>
        </w:rPr>
        <w:t> </w:t>
      </w:r>
      <w:r>
        <w:rPr>
          <w:color w:val="231F20"/>
          <w:spacing w:val="-2"/>
        </w:rPr>
        <w:t>les</w:t>
      </w:r>
      <w:r>
        <w:rPr>
          <w:color w:val="231F20"/>
          <w:spacing w:val="-11"/>
        </w:rPr>
        <w:t> </w:t>
      </w:r>
      <w:r>
        <w:rPr>
          <w:color w:val="231F20"/>
          <w:spacing w:val="-2"/>
        </w:rPr>
        <w:t>années</w:t>
      </w:r>
      <w:r>
        <w:rPr>
          <w:color w:val="231F20"/>
          <w:spacing w:val="-11"/>
        </w:rPr>
        <w:t> </w:t>
      </w:r>
      <w:r>
        <w:rPr>
          <w:color w:val="231F20"/>
          <w:spacing w:val="-2"/>
        </w:rPr>
        <w:t>1980-1990</w:t>
      </w:r>
      <w:r>
        <w:rPr>
          <w:color w:val="231F20"/>
          <w:spacing w:val="-11"/>
        </w:rPr>
        <w:t> </w:t>
      </w:r>
      <w:r>
        <w:rPr>
          <w:color w:val="231F20"/>
          <w:spacing w:val="-2"/>
        </w:rPr>
        <w:t>et</w:t>
      </w:r>
      <w:r>
        <w:rPr>
          <w:color w:val="231F20"/>
          <w:spacing w:val="-13"/>
        </w:rPr>
        <w:t> </w:t>
      </w:r>
      <w:r>
        <w:rPr>
          <w:color w:val="231F20"/>
          <w:spacing w:val="-2"/>
        </w:rPr>
        <w:t>la</w:t>
      </w:r>
      <w:r>
        <w:rPr>
          <w:color w:val="231F20"/>
          <w:spacing w:val="-13"/>
        </w:rPr>
        <w:t> </w:t>
      </w:r>
      <w:r>
        <w:rPr>
          <w:color w:val="231F20"/>
          <w:spacing w:val="-2"/>
        </w:rPr>
        <w:t>paix</w:t>
      </w:r>
      <w:r>
        <w:rPr>
          <w:color w:val="231F20"/>
          <w:spacing w:val="-13"/>
        </w:rPr>
        <w:t> </w:t>
      </w:r>
      <w:r>
        <w:rPr>
          <w:color w:val="231F20"/>
          <w:spacing w:val="-2"/>
        </w:rPr>
        <w:t>a</w:t>
      </w:r>
      <w:r>
        <w:rPr>
          <w:color w:val="231F20"/>
          <w:spacing w:val="-13"/>
        </w:rPr>
        <w:t> </w:t>
      </w:r>
      <w:r>
        <w:rPr>
          <w:color w:val="231F20"/>
          <w:spacing w:val="-2"/>
        </w:rPr>
        <w:t>quitté</w:t>
      </w:r>
      <w:r>
        <w:rPr>
          <w:color w:val="231F20"/>
          <w:spacing w:val="-13"/>
        </w:rPr>
        <w:t> </w:t>
      </w:r>
      <w:r>
        <w:rPr>
          <w:color w:val="231F20"/>
          <w:spacing w:val="-2"/>
        </w:rPr>
        <w:t>le </w:t>
      </w:r>
      <w:r>
        <w:rPr>
          <w:color w:val="231F20"/>
        </w:rPr>
        <w:t>pays embourbé dans des crises à répétition.</w:t>
      </w:r>
    </w:p>
    <w:p>
      <w:pPr>
        <w:pStyle w:val="BodyText"/>
        <w:spacing w:before="120"/>
        <w:ind w:right="105"/>
      </w:pPr>
      <w:r>
        <w:rPr>
          <w:color w:val="212529"/>
          <w:spacing w:val="-2"/>
        </w:rPr>
        <w:t>Après</w:t>
      </w:r>
      <w:r>
        <w:rPr>
          <w:color w:val="212529"/>
          <w:spacing w:val="-13"/>
        </w:rPr>
        <w:t> </w:t>
      </w:r>
      <w:r>
        <w:rPr>
          <w:color w:val="212529"/>
          <w:spacing w:val="-2"/>
        </w:rPr>
        <w:t>le</w:t>
      </w:r>
      <w:r>
        <w:rPr>
          <w:color w:val="212529"/>
          <w:spacing w:val="-13"/>
        </w:rPr>
        <w:t> </w:t>
      </w:r>
      <w:r>
        <w:rPr>
          <w:color w:val="212529"/>
          <w:spacing w:val="-2"/>
        </w:rPr>
        <w:t>décès</w:t>
      </w:r>
      <w:r>
        <w:rPr>
          <w:color w:val="212529"/>
          <w:spacing w:val="-13"/>
        </w:rPr>
        <w:t> </w:t>
      </w:r>
      <w:r>
        <w:rPr>
          <w:color w:val="212529"/>
          <w:spacing w:val="-2"/>
        </w:rPr>
        <w:t>de</w:t>
      </w:r>
      <w:r>
        <w:rPr>
          <w:color w:val="212529"/>
          <w:spacing w:val="-11"/>
        </w:rPr>
        <w:t> </w:t>
      </w:r>
      <w:r>
        <w:rPr>
          <w:color w:val="212529"/>
          <w:spacing w:val="-2"/>
        </w:rPr>
        <w:t>Félix</w:t>
      </w:r>
      <w:r>
        <w:rPr>
          <w:color w:val="212529"/>
          <w:spacing w:val="-11"/>
        </w:rPr>
        <w:t> </w:t>
      </w:r>
      <w:r>
        <w:rPr>
          <w:color w:val="212529"/>
          <w:spacing w:val="-2"/>
        </w:rPr>
        <w:t>Houphouët</w:t>
      </w:r>
      <w:r>
        <w:rPr>
          <w:color w:val="212529"/>
          <w:spacing w:val="-13"/>
        </w:rPr>
        <w:t> </w:t>
      </w:r>
      <w:r>
        <w:rPr>
          <w:color w:val="212529"/>
          <w:spacing w:val="-2"/>
        </w:rPr>
        <w:t>–</w:t>
      </w:r>
      <w:r>
        <w:rPr>
          <w:color w:val="212529"/>
          <w:spacing w:val="-13"/>
        </w:rPr>
        <w:t> </w:t>
      </w:r>
      <w:r>
        <w:rPr>
          <w:color w:val="212529"/>
          <w:spacing w:val="-2"/>
        </w:rPr>
        <w:t>Boigny</w:t>
      </w:r>
      <w:r>
        <w:rPr>
          <w:color w:val="212529"/>
          <w:spacing w:val="-13"/>
        </w:rPr>
        <w:t> </w:t>
      </w:r>
      <w:r>
        <w:rPr>
          <w:color w:val="212529"/>
          <w:spacing w:val="-2"/>
        </w:rPr>
        <w:t>en</w:t>
      </w:r>
      <w:r>
        <w:rPr>
          <w:color w:val="212529"/>
          <w:spacing w:val="-13"/>
        </w:rPr>
        <w:t> </w:t>
      </w:r>
      <w:r>
        <w:rPr>
          <w:color w:val="212529"/>
          <w:spacing w:val="-2"/>
        </w:rPr>
        <w:t>1993,</w:t>
      </w:r>
      <w:r>
        <w:rPr>
          <w:color w:val="212529"/>
          <w:spacing w:val="-13"/>
        </w:rPr>
        <w:t> </w:t>
      </w:r>
      <w:r>
        <w:rPr>
          <w:color w:val="212529"/>
          <w:spacing w:val="-2"/>
        </w:rPr>
        <w:t>le</w:t>
      </w:r>
      <w:r>
        <w:rPr>
          <w:color w:val="212529"/>
          <w:spacing w:val="-11"/>
        </w:rPr>
        <w:t> </w:t>
      </w:r>
      <w:r>
        <w:rPr>
          <w:color w:val="212529"/>
          <w:spacing w:val="-2"/>
        </w:rPr>
        <w:t>pays</w:t>
      </w:r>
      <w:r>
        <w:rPr>
          <w:color w:val="212529"/>
          <w:spacing w:val="-11"/>
        </w:rPr>
        <w:t> </w:t>
      </w:r>
      <w:r>
        <w:rPr>
          <w:color w:val="212529"/>
          <w:spacing w:val="-2"/>
        </w:rPr>
        <w:t>a</w:t>
      </w:r>
      <w:r>
        <w:rPr>
          <w:color w:val="212529"/>
          <w:spacing w:val="-13"/>
        </w:rPr>
        <w:t> </w:t>
      </w:r>
      <w:r>
        <w:rPr>
          <w:color w:val="212529"/>
          <w:spacing w:val="-2"/>
        </w:rPr>
        <w:t>connu</w:t>
      </w:r>
      <w:r>
        <w:rPr>
          <w:color w:val="212529"/>
          <w:spacing w:val="-13"/>
        </w:rPr>
        <w:t> </w:t>
      </w:r>
      <w:r>
        <w:rPr>
          <w:color w:val="212529"/>
          <w:spacing w:val="-2"/>
        </w:rPr>
        <w:t>lui </w:t>
      </w:r>
      <w:r>
        <w:rPr>
          <w:color w:val="212529"/>
        </w:rPr>
        <w:t>aussi</w:t>
      </w:r>
      <w:r>
        <w:rPr>
          <w:color w:val="212529"/>
          <w:spacing w:val="-7"/>
        </w:rPr>
        <w:t> </w:t>
      </w:r>
      <w:r>
        <w:rPr>
          <w:color w:val="212529"/>
        </w:rPr>
        <w:t>les</w:t>
      </w:r>
      <w:r>
        <w:rPr>
          <w:color w:val="212529"/>
          <w:spacing w:val="-6"/>
        </w:rPr>
        <w:t> </w:t>
      </w:r>
      <w:r>
        <w:rPr>
          <w:color w:val="212529"/>
        </w:rPr>
        <w:t>affres</w:t>
      </w:r>
      <w:r>
        <w:rPr>
          <w:color w:val="212529"/>
          <w:spacing w:val="-8"/>
        </w:rPr>
        <w:t> </w:t>
      </w:r>
      <w:r>
        <w:rPr>
          <w:color w:val="212529"/>
        </w:rPr>
        <w:t>des</w:t>
      </w:r>
      <w:r>
        <w:rPr>
          <w:color w:val="212529"/>
          <w:spacing w:val="-6"/>
        </w:rPr>
        <w:t> </w:t>
      </w:r>
      <w:r>
        <w:rPr>
          <w:color w:val="212529"/>
        </w:rPr>
        <w:t>coups</w:t>
      </w:r>
      <w:r>
        <w:rPr>
          <w:color w:val="212529"/>
          <w:spacing w:val="-7"/>
        </w:rPr>
        <w:t> </w:t>
      </w:r>
      <w:r>
        <w:rPr>
          <w:color w:val="212529"/>
        </w:rPr>
        <w:t>d’état</w:t>
      </w:r>
      <w:r>
        <w:rPr>
          <w:color w:val="212529"/>
          <w:spacing w:val="-5"/>
        </w:rPr>
        <w:t> </w:t>
      </w:r>
      <w:r>
        <w:rPr>
          <w:color w:val="212529"/>
        </w:rPr>
        <w:t>et</w:t>
      </w:r>
      <w:r>
        <w:rPr>
          <w:color w:val="212529"/>
          <w:spacing w:val="-7"/>
        </w:rPr>
        <w:t> </w:t>
      </w:r>
      <w:r>
        <w:rPr>
          <w:color w:val="212529"/>
        </w:rPr>
        <w:t>même</w:t>
      </w:r>
      <w:r>
        <w:rPr>
          <w:color w:val="212529"/>
          <w:spacing w:val="-9"/>
        </w:rPr>
        <w:t> </w:t>
      </w:r>
      <w:r>
        <w:rPr>
          <w:color w:val="212529"/>
        </w:rPr>
        <w:t>la</w:t>
      </w:r>
      <w:r>
        <w:rPr>
          <w:color w:val="212529"/>
          <w:spacing w:val="-6"/>
        </w:rPr>
        <w:t> </w:t>
      </w:r>
      <w:r>
        <w:rPr>
          <w:color w:val="212529"/>
        </w:rPr>
        <w:t>partition</w:t>
      </w:r>
      <w:r>
        <w:rPr>
          <w:color w:val="212529"/>
          <w:spacing w:val="-8"/>
        </w:rPr>
        <w:t> </w:t>
      </w:r>
      <w:r>
        <w:rPr>
          <w:color w:val="212529"/>
        </w:rPr>
        <w:t>du</w:t>
      </w:r>
      <w:r>
        <w:rPr>
          <w:color w:val="212529"/>
          <w:spacing w:val="-6"/>
        </w:rPr>
        <w:t> </w:t>
      </w:r>
      <w:r>
        <w:rPr>
          <w:color w:val="212529"/>
        </w:rPr>
        <w:t>territoire.</w:t>
      </w:r>
    </w:p>
    <w:p>
      <w:pPr>
        <w:pStyle w:val="BodyText"/>
        <w:spacing w:before="1"/>
        <w:ind w:right="107"/>
      </w:pPr>
      <w:r>
        <w:rPr>
          <w:color w:val="212529"/>
        </w:rPr>
        <w:t>En</w:t>
      </w:r>
      <w:r>
        <w:rPr>
          <w:color w:val="212529"/>
          <w:spacing w:val="-11"/>
        </w:rPr>
        <w:t> </w:t>
      </w:r>
      <w:r>
        <w:rPr>
          <w:color w:val="212529"/>
        </w:rPr>
        <w:t>2010,</w:t>
      </w:r>
      <w:r>
        <w:rPr>
          <w:color w:val="212529"/>
          <w:spacing w:val="-11"/>
        </w:rPr>
        <w:t> </w:t>
      </w:r>
      <w:r>
        <w:rPr>
          <w:color w:val="212529"/>
        </w:rPr>
        <w:t>et,</w:t>
      </w:r>
      <w:r>
        <w:rPr>
          <w:color w:val="212529"/>
          <w:spacing w:val="-11"/>
        </w:rPr>
        <w:t> </w:t>
      </w:r>
      <w:r>
        <w:rPr>
          <w:color w:val="212529"/>
        </w:rPr>
        <w:t>pour</w:t>
      </w:r>
      <w:r>
        <w:rPr>
          <w:color w:val="212529"/>
          <w:spacing w:val="-11"/>
        </w:rPr>
        <w:t> </w:t>
      </w:r>
      <w:r>
        <w:rPr>
          <w:color w:val="212529"/>
        </w:rPr>
        <w:t>la</w:t>
      </w:r>
      <w:r>
        <w:rPr>
          <w:color w:val="212529"/>
          <w:spacing w:val="-13"/>
        </w:rPr>
        <w:t> </w:t>
      </w:r>
      <w:r>
        <w:rPr>
          <w:color w:val="212529"/>
        </w:rPr>
        <w:t>première</w:t>
      </w:r>
      <w:r>
        <w:rPr>
          <w:color w:val="212529"/>
          <w:spacing w:val="-11"/>
        </w:rPr>
        <w:t> </w:t>
      </w:r>
      <w:r>
        <w:rPr>
          <w:color w:val="212529"/>
        </w:rPr>
        <w:t>fois,</w:t>
      </w:r>
      <w:r>
        <w:rPr>
          <w:color w:val="212529"/>
          <w:spacing w:val="-11"/>
        </w:rPr>
        <w:t> </w:t>
      </w:r>
      <w:r>
        <w:rPr>
          <w:color w:val="212529"/>
        </w:rPr>
        <w:t>au</w:t>
      </w:r>
      <w:r>
        <w:rPr>
          <w:color w:val="212529"/>
          <w:spacing w:val="-13"/>
        </w:rPr>
        <w:t> </w:t>
      </w:r>
      <w:r>
        <w:rPr>
          <w:color w:val="212529"/>
        </w:rPr>
        <w:t>vu</w:t>
      </w:r>
      <w:r>
        <w:rPr>
          <w:color w:val="212529"/>
          <w:spacing w:val="-11"/>
        </w:rPr>
        <w:t> </w:t>
      </w:r>
      <w:r>
        <w:rPr>
          <w:color w:val="212529"/>
        </w:rPr>
        <w:t>et</w:t>
      </w:r>
      <w:r>
        <w:rPr>
          <w:color w:val="212529"/>
          <w:spacing w:val="-13"/>
        </w:rPr>
        <w:t> </w:t>
      </w:r>
      <w:r>
        <w:rPr>
          <w:color w:val="212529"/>
        </w:rPr>
        <w:t>au</w:t>
      </w:r>
      <w:r>
        <w:rPr>
          <w:color w:val="212529"/>
          <w:spacing w:val="-11"/>
        </w:rPr>
        <w:t> </w:t>
      </w:r>
      <w:r>
        <w:rPr>
          <w:color w:val="212529"/>
        </w:rPr>
        <w:t>su</w:t>
      </w:r>
      <w:r>
        <w:rPr>
          <w:color w:val="212529"/>
          <w:spacing w:val="-11"/>
        </w:rPr>
        <w:t> </w:t>
      </w:r>
      <w:r>
        <w:rPr>
          <w:color w:val="212529"/>
        </w:rPr>
        <w:t>du</w:t>
      </w:r>
      <w:r>
        <w:rPr>
          <w:color w:val="212529"/>
          <w:spacing w:val="-11"/>
        </w:rPr>
        <w:t> </w:t>
      </w:r>
      <w:r>
        <w:rPr>
          <w:color w:val="212529"/>
        </w:rPr>
        <w:t>Monde,</w:t>
      </w:r>
      <w:r>
        <w:rPr>
          <w:color w:val="212529"/>
          <w:spacing w:val="-11"/>
        </w:rPr>
        <w:t> </w:t>
      </w:r>
      <w:r>
        <w:rPr>
          <w:color w:val="212529"/>
        </w:rPr>
        <w:t>la</w:t>
      </w:r>
      <w:r>
        <w:rPr>
          <w:color w:val="212529"/>
          <w:spacing w:val="-13"/>
        </w:rPr>
        <w:t> </w:t>
      </w:r>
      <w:r>
        <w:rPr>
          <w:color w:val="212529"/>
        </w:rPr>
        <w:t>France</w:t>
      </w:r>
      <w:r>
        <w:rPr>
          <w:color w:val="212529"/>
          <w:spacing w:val="-8"/>
        </w:rPr>
        <w:t> </w:t>
      </w:r>
      <w:r>
        <w:rPr>
          <w:color w:val="212529"/>
        </w:rPr>
        <w:t>et </w:t>
      </w:r>
      <w:r>
        <w:rPr>
          <w:color w:val="212529"/>
          <w:spacing w:val="-2"/>
        </w:rPr>
        <w:t>l’ONU,</w:t>
      </w:r>
      <w:r>
        <w:rPr>
          <w:color w:val="212529"/>
          <w:spacing w:val="-13"/>
        </w:rPr>
        <w:t> </w:t>
      </w:r>
      <w:r>
        <w:rPr>
          <w:color w:val="212529"/>
          <w:spacing w:val="-2"/>
        </w:rPr>
        <w:t>à</w:t>
      </w:r>
      <w:r>
        <w:rPr>
          <w:color w:val="212529"/>
          <w:spacing w:val="-13"/>
        </w:rPr>
        <w:t> </w:t>
      </w:r>
      <w:r>
        <w:rPr>
          <w:color w:val="212529"/>
          <w:spacing w:val="-2"/>
        </w:rPr>
        <w:t>visage</w:t>
      </w:r>
      <w:r>
        <w:rPr>
          <w:color w:val="212529"/>
          <w:spacing w:val="-13"/>
        </w:rPr>
        <w:t> </w:t>
      </w:r>
      <w:r>
        <w:rPr>
          <w:color w:val="212529"/>
          <w:spacing w:val="-2"/>
        </w:rPr>
        <w:t>découvert</w:t>
      </w:r>
      <w:r>
        <w:rPr>
          <w:color w:val="212529"/>
          <w:spacing w:val="-13"/>
        </w:rPr>
        <w:t> </w:t>
      </w:r>
      <w:r>
        <w:rPr>
          <w:color w:val="212529"/>
          <w:spacing w:val="-2"/>
        </w:rPr>
        <w:t>ont</w:t>
      </w:r>
      <w:r>
        <w:rPr>
          <w:color w:val="212529"/>
          <w:spacing w:val="-13"/>
        </w:rPr>
        <w:t> </w:t>
      </w:r>
      <w:r>
        <w:rPr>
          <w:color w:val="212529"/>
          <w:spacing w:val="-2"/>
        </w:rPr>
        <w:t>utilisé</w:t>
      </w:r>
      <w:r>
        <w:rPr>
          <w:color w:val="212529"/>
          <w:spacing w:val="-13"/>
        </w:rPr>
        <w:t> </w:t>
      </w:r>
      <w:r>
        <w:rPr>
          <w:color w:val="212529"/>
          <w:spacing w:val="-2"/>
        </w:rPr>
        <w:t>des</w:t>
      </w:r>
      <w:r>
        <w:rPr>
          <w:color w:val="212529"/>
          <w:spacing w:val="-13"/>
        </w:rPr>
        <w:t> </w:t>
      </w:r>
      <w:r>
        <w:rPr>
          <w:color w:val="212529"/>
          <w:spacing w:val="-2"/>
        </w:rPr>
        <w:t>chars</w:t>
      </w:r>
      <w:r>
        <w:rPr>
          <w:color w:val="212529"/>
          <w:spacing w:val="-13"/>
        </w:rPr>
        <w:t> </w:t>
      </w:r>
      <w:r>
        <w:rPr>
          <w:color w:val="212529"/>
          <w:spacing w:val="-2"/>
        </w:rPr>
        <w:t>et</w:t>
      </w:r>
      <w:r>
        <w:rPr>
          <w:color w:val="212529"/>
          <w:spacing w:val="-13"/>
        </w:rPr>
        <w:t> </w:t>
      </w:r>
      <w:r>
        <w:rPr>
          <w:color w:val="212529"/>
          <w:spacing w:val="-2"/>
        </w:rPr>
        <w:t>avions</w:t>
      </w:r>
      <w:r>
        <w:rPr>
          <w:color w:val="212529"/>
          <w:spacing w:val="-13"/>
        </w:rPr>
        <w:t> </w:t>
      </w:r>
      <w:r>
        <w:rPr>
          <w:color w:val="212529"/>
          <w:spacing w:val="-2"/>
        </w:rPr>
        <w:t>de</w:t>
      </w:r>
      <w:r>
        <w:rPr>
          <w:color w:val="212529"/>
          <w:spacing w:val="-13"/>
        </w:rPr>
        <w:t> </w:t>
      </w:r>
      <w:r>
        <w:rPr>
          <w:color w:val="212529"/>
          <w:spacing w:val="-2"/>
        </w:rPr>
        <w:t>guerre</w:t>
      </w:r>
      <w:r>
        <w:rPr>
          <w:color w:val="212529"/>
          <w:spacing w:val="-13"/>
        </w:rPr>
        <w:t> </w:t>
      </w:r>
      <w:r>
        <w:rPr>
          <w:color w:val="212529"/>
          <w:spacing w:val="-2"/>
        </w:rPr>
        <w:t>contre </w:t>
      </w:r>
      <w:r>
        <w:rPr>
          <w:color w:val="212529"/>
        </w:rPr>
        <w:t>un pays indépendant.</w:t>
      </w:r>
    </w:p>
    <w:p>
      <w:pPr>
        <w:pStyle w:val="BodyText"/>
        <w:ind w:right="104" w:firstLine="283"/>
      </w:pPr>
      <w:r>
        <w:rPr>
          <w:color w:val="231F20"/>
        </w:rPr>
        <w:t>Retour</w:t>
      </w:r>
      <w:r>
        <w:rPr>
          <w:color w:val="231F20"/>
          <w:spacing w:val="-15"/>
        </w:rPr>
        <w:t> </w:t>
      </w:r>
      <w:r>
        <w:rPr>
          <w:color w:val="231F20"/>
        </w:rPr>
        <w:t>sur</w:t>
      </w:r>
      <w:r>
        <w:rPr>
          <w:color w:val="231F20"/>
          <w:spacing w:val="-15"/>
        </w:rPr>
        <w:t> </w:t>
      </w:r>
      <w:r>
        <w:rPr>
          <w:color w:val="231F20"/>
        </w:rPr>
        <w:t>l'histoire</w:t>
      </w:r>
      <w:r>
        <w:rPr>
          <w:color w:val="231F20"/>
          <w:spacing w:val="-12"/>
        </w:rPr>
        <w:t> </w:t>
      </w:r>
      <w:r>
        <w:rPr>
          <w:color w:val="231F20"/>
        </w:rPr>
        <w:t>de</w:t>
      </w:r>
      <w:r>
        <w:rPr>
          <w:color w:val="231F20"/>
          <w:spacing w:val="-10"/>
        </w:rPr>
        <w:t> </w:t>
      </w:r>
      <w:r>
        <w:rPr>
          <w:color w:val="231F20"/>
        </w:rPr>
        <w:t>ce</w:t>
      </w:r>
      <w:r>
        <w:rPr>
          <w:color w:val="231F20"/>
          <w:spacing w:val="-13"/>
        </w:rPr>
        <w:t> </w:t>
      </w:r>
      <w:r>
        <w:rPr>
          <w:color w:val="231F20"/>
        </w:rPr>
        <w:t>pays</w:t>
      </w:r>
      <w:r>
        <w:rPr>
          <w:color w:val="231F20"/>
          <w:spacing w:val="-9"/>
        </w:rPr>
        <w:t> </w:t>
      </w:r>
      <w:r>
        <w:rPr>
          <w:color w:val="231F20"/>
        </w:rPr>
        <w:t>phare</w:t>
      </w:r>
      <w:r>
        <w:rPr>
          <w:color w:val="231F20"/>
          <w:spacing w:val="-10"/>
        </w:rPr>
        <w:t> </w:t>
      </w:r>
      <w:r>
        <w:rPr>
          <w:color w:val="231F20"/>
        </w:rPr>
        <w:t>de</w:t>
      </w:r>
      <w:r>
        <w:rPr>
          <w:color w:val="231F20"/>
          <w:spacing w:val="-10"/>
        </w:rPr>
        <w:t> </w:t>
      </w:r>
      <w:r>
        <w:rPr>
          <w:color w:val="231F20"/>
        </w:rPr>
        <w:t>l'Afrique</w:t>
      </w:r>
      <w:r>
        <w:rPr>
          <w:color w:val="231F20"/>
          <w:spacing w:val="-10"/>
        </w:rPr>
        <w:t> </w:t>
      </w:r>
      <w:r>
        <w:rPr>
          <w:color w:val="231F20"/>
        </w:rPr>
        <w:t>francophone</w:t>
      </w:r>
      <w:r>
        <w:rPr>
          <w:color w:val="231F20"/>
          <w:spacing w:val="-15"/>
        </w:rPr>
        <w:t> </w:t>
      </w:r>
      <w:r>
        <w:rPr>
          <w:color w:val="231F20"/>
        </w:rPr>
        <w:t>:</w:t>
      </w:r>
      <w:r>
        <w:rPr>
          <w:color w:val="231F20"/>
          <w:spacing w:val="-9"/>
        </w:rPr>
        <w:t> </w:t>
      </w:r>
      <w:r>
        <w:rPr>
          <w:color w:val="231F20"/>
        </w:rPr>
        <w:t>«</w:t>
      </w:r>
      <w:r>
        <w:rPr>
          <w:color w:val="231F20"/>
          <w:spacing w:val="-15"/>
        </w:rPr>
        <w:t> </w:t>
      </w:r>
      <w:r>
        <w:rPr>
          <w:color w:val="231F20"/>
        </w:rPr>
        <w:t>Le paradis artificiel du vieux. »</w:t>
      </w:r>
    </w:p>
    <w:p>
      <w:pPr>
        <w:spacing w:after="0"/>
        <w:sectPr>
          <w:pgSz w:w="8790" w:h="13610"/>
          <w:pgMar w:header="0" w:footer="802" w:top="1060" w:bottom="1000" w:left="880" w:right="880"/>
        </w:sect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spacing w:before="291"/>
        <w:ind w:left="0"/>
        <w:jc w:val="left"/>
        <w:rPr>
          <w:sz w:val="32"/>
        </w:rPr>
      </w:pPr>
    </w:p>
    <w:p>
      <w:pPr>
        <w:spacing w:line="375" w:lineRule="exact" w:before="0"/>
        <w:ind w:left="64" w:right="127" w:firstLine="0"/>
        <w:jc w:val="center"/>
        <w:rPr>
          <w:rFonts w:ascii="Cambria" w:hAnsi="Cambria"/>
          <w:b/>
          <w:sz w:val="32"/>
        </w:rPr>
      </w:pPr>
      <w:r>
        <w:rPr>
          <w:rFonts w:ascii="Cambria" w:hAnsi="Cambria"/>
          <w:b/>
          <w:color w:val="231F20"/>
          <w:spacing w:val="-5"/>
          <w:sz w:val="32"/>
        </w:rPr>
        <w:t>Troisième</w:t>
      </w:r>
      <w:r>
        <w:rPr>
          <w:rFonts w:ascii="Cambria" w:hAnsi="Cambria"/>
          <w:b/>
          <w:color w:val="231F20"/>
          <w:spacing w:val="-1"/>
          <w:sz w:val="32"/>
        </w:rPr>
        <w:t> </w:t>
      </w:r>
      <w:r>
        <w:rPr>
          <w:rFonts w:ascii="Cambria" w:hAnsi="Cambria"/>
          <w:b/>
          <w:color w:val="231F20"/>
          <w:spacing w:val="-2"/>
          <w:sz w:val="32"/>
        </w:rPr>
        <w:t>partie</w:t>
      </w:r>
    </w:p>
    <w:p>
      <w:pPr>
        <w:pStyle w:val="Heading1"/>
        <w:spacing w:line="375" w:lineRule="exact"/>
        <w:ind w:left="131"/>
        <w:rPr>
          <w:rFonts w:ascii="Times New Roman"/>
          <w:sz w:val="16"/>
        </w:rPr>
      </w:pPr>
      <w:r>
        <w:rPr>
          <w:color w:val="231F20"/>
          <w:spacing w:val="-4"/>
        </w:rPr>
        <w:t>LE</w:t>
      </w:r>
      <w:r>
        <w:rPr>
          <w:color w:val="231F20"/>
          <w:spacing w:val="-8"/>
        </w:rPr>
        <w:t> </w:t>
      </w:r>
      <w:r>
        <w:rPr>
          <w:color w:val="231F20"/>
          <w:spacing w:val="-4"/>
        </w:rPr>
        <w:t>PARADIS</w:t>
      </w:r>
      <w:r>
        <w:rPr>
          <w:color w:val="231F20"/>
          <w:spacing w:val="-7"/>
        </w:rPr>
        <w:t> </w:t>
      </w:r>
      <w:r>
        <w:rPr>
          <w:color w:val="231F20"/>
          <w:spacing w:val="-4"/>
        </w:rPr>
        <w:t>ARTIFICIEL</w:t>
      </w:r>
      <w:r>
        <w:rPr>
          <w:color w:val="231F20"/>
          <w:spacing w:val="-7"/>
        </w:rPr>
        <w:t> </w:t>
      </w:r>
      <w:r>
        <w:rPr>
          <w:color w:val="231F20"/>
          <w:spacing w:val="-4"/>
        </w:rPr>
        <w:t>DU</w:t>
      </w:r>
      <w:r>
        <w:rPr>
          <w:color w:val="231F20"/>
          <w:spacing w:val="-7"/>
        </w:rPr>
        <w:t> </w:t>
      </w:r>
      <w:r>
        <w:rPr>
          <w:color w:val="231F20"/>
          <w:spacing w:val="-4"/>
        </w:rPr>
        <w:t>VIEUX</w:t>
      </w:r>
      <w:r>
        <w:rPr>
          <w:rFonts w:ascii="Times New Roman"/>
          <w:color w:val="76787A"/>
          <w:spacing w:val="-4"/>
          <w:position w:val="8"/>
          <w:sz w:val="16"/>
        </w:rPr>
        <w:t>115</w:t>
      </w:r>
    </w:p>
    <w:p>
      <w:pPr>
        <w:pStyle w:val="BodyText"/>
        <w:spacing w:before="282"/>
        <w:ind w:left="0"/>
        <w:jc w:val="left"/>
        <w:rPr>
          <w:b/>
          <w:sz w:val="32"/>
        </w:rPr>
      </w:pPr>
    </w:p>
    <w:p>
      <w:pPr>
        <w:pStyle w:val="Heading3"/>
        <w:ind w:left="0" w:right="110"/>
        <w:jc w:val="right"/>
        <w:rPr>
          <w:rFonts w:ascii="Times New Roman" w:hAnsi="Times New Roman"/>
          <w:i/>
        </w:rPr>
      </w:pPr>
      <w:r>
        <w:rPr>
          <w:rFonts w:ascii="Times New Roman" w:hAnsi="Times New Roman"/>
          <w:i/>
          <w:color w:val="231F20"/>
          <w:spacing w:val="-2"/>
        </w:rPr>
        <w:t>«</w:t>
      </w:r>
      <w:r>
        <w:rPr>
          <w:rFonts w:ascii="Times New Roman" w:hAnsi="Times New Roman"/>
          <w:i/>
          <w:color w:val="231F20"/>
          <w:spacing w:val="-12"/>
        </w:rPr>
        <w:t> </w:t>
      </w:r>
      <w:r>
        <w:rPr>
          <w:rFonts w:ascii="Times New Roman" w:hAnsi="Times New Roman"/>
          <w:i/>
          <w:color w:val="231F20"/>
          <w:spacing w:val="-2"/>
        </w:rPr>
        <w:t>L’héritage</w:t>
      </w:r>
      <w:r>
        <w:rPr>
          <w:rFonts w:ascii="Times New Roman" w:hAnsi="Times New Roman"/>
          <w:i/>
          <w:color w:val="231F20"/>
          <w:spacing w:val="-9"/>
        </w:rPr>
        <w:t> </w:t>
      </w:r>
      <w:r>
        <w:rPr>
          <w:rFonts w:ascii="Times New Roman" w:hAnsi="Times New Roman"/>
          <w:i/>
          <w:color w:val="231F20"/>
          <w:spacing w:val="-2"/>
        </w:rPr>
        <w:t>que</w:t>
      </w:r>
      <w:r>
        <w:rPr>
          <w:rFonts w:ascii="Times New Roman" w:hAnsi="Times New Roman"/>
          <w:i/>
          <w:color w:val="231F20"/>
          <w:spacing w:val="-9"/>
        </w:rPr>
        <w:t> </w:t>
      </w:r>
      <w:r>
        <w:rPr>
          <w:rFonts w:ascii="Times New Roman" w:hAnsi="Times New Roman"/>
          <w:i/>
          <w:color w:val="231F20"/>
          <w:spacing w:val="-2"/>
        </w:rPr>
        <w:t>laissera</w:t>
      </w:r>
      <w:r>
        <w:rPr>
          <w:rFonts w:ascii="Times New Roman" w:hAnsi="Times New Roman"/>
          <w:i/>
          <w:color w:val="231F20"/>
          <w:spacing w:val="-12"/>
        </w:rPr>
        <w:t> </w:t>
      </w:r>
      <w:r>
        <w:rPr>
          <w:rFonts w:ascii="Times New Roman" w:hAnsi="Times New Roman"/>
          <w:i/>
          <w:color w:val="231F20"/>
          <w:spacing w:val="-2"/>
        </w:rPr>
        <w:t>Houphouët</w:t>
      </w:r>
      <w:r>
        <w:rPr>
          <w:rFonts w:ascii="Times New Roman" w:hAnsi="Times New Roman"/>
          <w:i/>
          <w:color w:val="231F20"/>
          <w:spacing w:val="-11"/>
        </w:rPr>
        <w:t> </w:t>
      </w:r>
      <w:r>
        <w:rPr>
          <w:rFonts w:ascii="Times New Roman" w:hAnsi="Times New Roman"/>
          <w:i/>
          <w:color w:val="231F20"/>
          <w:spacing w:val="-2"/>
        </w:rPr>
        <w:t>sera</w:t>
      </w:r>
      <w:r>
        <w:rPr>
          <w:rFonts w:ascii="Times New Roman" w:hAnsi="Times New Roman"/>
          <w:i/>
          <w:color w:val="231F20"/>
          <w:spacing w:val="-12"/>
        </w:rPr>
        <w:t> </w:t>
      </w:r>
      <w:r>
        <w:rPr>
          <w:rFonts w:ascii="Times New Roman" w:hAnsi="Times New Roman"/>
          <w:i/>
          <w:color w:val="231F20"/>
          <w:spacing w:val="-2"/>
        </w:rPr>
        <w:t>lourd</w:t>
      </w:r>
      <w:r>
        <w:rPr>
          <w:rFonts w:ascii="Times New Roman" w:hAnsi="Times New Roman"/>
          <w:i/>
          <w:color w:val="231F20"/>
          <w:spacing w:val="-10"/>
        </w:rPr>
        <w:t> </w:t>
      </w:r>
      <w:r>
        <w:rPr>
          <w:rFonts w:ascii="Times New Roman" w:hAnsi="Times New Roman"/>
          <w:i/>
          <w:color w:val="231F20"/>
          <w:spacing w:val="-2"/>
        </w:rPr>
        <w:t>de</w:t>
      </w:r>
      <w:r>
        <w:rPr>
          <w:rFonts w:ascii="Times New Roman" w:hAnsi="Times New Roman"/>
          <w:i/>
          <w:color w:val="231F20"/>
          <w:spacing w:val="-12"/>
        </w:rPr>
        <w:t> </w:t>
      </w:r>
      <w:r>
        <w:rPr>
          <w:rFonts w:ascii="Times New Roman" w:hAnsi="Times New Roman"/>
          <w:i/>
          <w:color w:val="231F20"/>
          <w:spacing w:val="-2"/>
        </w:rPr>
        <w:t>guerres</w:t>
      </w:r>
    </w:p>
    <w:p>
      <w:pPr>
        <w:spacing w:before="0"/>
        <w:ind w:left="0" w:right="109" w:firstLine="0"/>
        <w:jc w:val="right"/>
        <w:rPr>
          <w:sz w:val="24"/>
        </w:rPr>
      </w:pPr>
      <w:r>
        <w:rPr>
          <w:b/>
          <w:i/>
          <w:color w:val="231F20"/>
          <w:spacing w:val="-2"/>
          <w:sz w:val="24"/>
        </w:rPr>
        <w:t>intestines</w:t>
      </w:r>
      <w:r>
        <w:rPr>
          <w:b/>
          <w:i/>
          <w:color w:val="231F20"/>
          <w:spacing w:val="-11"/>
          <w:sz w:val="24"/>
        </w:rPr>
        <w:t> </w:t>
      </w:r>
      <w:r>
        <w:rPr>
          <w:b/>
          <w:i/>
          <w:color w:val="231F20"/>
          <w:spacing w:val="-2"/>
          <w:sz w:val="24"/>
        </w:rPr>
        <w:t>et</w:t>
      </w:r>
      <w:r>
        <w:rPr>
          <w:b/>
          <w:i/>
          <w:color w:val="231F20"/>
          <w:spacing w:val="-10"/>
          <w:sz w:val="24"/>
        </w:rPr>
        <w:t> </w:t>
      </w:r>
      <w:r>
        <w:rPr>
          <w:b/>
          <w:i/>
          <w:color w:val="231F20"/>
          <w:spacing w:val="-2"/>
          <w:sz w:val="24"/>
        </w:rPr>
        <w:t>de</w:t>
      </w:r>
      <w:r>
        <w:rPr>
          <w:b/>
          <w:i/>
          <w:color w:val="231F20"/>
          <w:spacing w:val="-9"/>
          <w:sz w:val="24"/>
        </w:rPr>
        <w:t> </w:t>
      </w:r>
      <w:r>
        <w:rPr>
          <w:b/>
          <w:i/>
          <w:color w:val="231F20"/>
          <w:spacing w:val="-2"/>
          <w:sz w:val="24"/>
        </w:rPr>
        <w:t>règlements</w:t>
      </w:r>
      <w:r>
        <w:rPr>
          <w:b/>
          <w:i/>
          <w:color w:val="231F20"/>
          <w:spacing w:val="-9"/>
          <w:sz w:val="24"/>
        </w:rPr>
        <w:t> </w:t>
      </w:r>
      <w:r>
        <w:rPr>
          <w:b/>
          <w:i/>
          <w:color w:val="231F20"/>
          <w:spacing w:val="-2"/>
          <w:sz w:val="24"/>
        </w:rPr>
        <w:t>de</w:t>
      </w:r>
      <w:r>
        <w:rPr>
          <w:b/>
          <w:i/>
          <w:color w:val="231F20"/>
          <w:spacing w:val="-9"/>
          <w:sz w:val="24"/>
        </w:rPr>
        <w:t> </w:t>
      </w:r>
      <w:r>
        <w:rPr>
          <w:b/>
          <w:i/>
          <w:color w:val="231F20"/>
          <w:spacing w:val="-2"/>
          <w:sz w:val="24"/>
        </w:rPr>
        <w:t>comptes.</w:t>
      </w:r>
      <w:r>
        <w:rPr>
          <w:b/>
          <w:i/>
          <w:color w:val="231F20"/>
          <w:spacing w:val="-10"/>
          <w:sz w:val="24"/>
        </w:rPr>
        <w:t> </w:t>
      </w:r>
      <w:r>
        <w:rPr>
          <w:i/>
          <w:color w:val="231F20"/>
          <w:spacing w:val="-2"/>
          <w:sz w:val="24"/>
        </w:rPr>
        <w:t>»</w:t>
      </w:r>
      <w:r>
        <w:rPr>
          <w:i/>
          <w:color w:val="231F20"/>
          <w:spacing w:val="-11"/>
          <w:sz w:val="24"/>
        </w:rPr>
        <w:t> </w:t>
      </w:r>
      <w:r>
        <w:rPr>
          <w:i/>
          <w:color w:val="231F20"/>
          <w:spacing w:val="-2"/>
          <w:sz w:val="24"/>
        </w:rPr>
        <w:t>Eric</w:t>
      </w:r>
      <w:r>
        <w:rPr>
          <w:i/>
          <w:color w:val="231F20"/>
          <w:spacing w:val="-10"/>
          <w:sz w:val="24"/>
        </w:rPr>
        <w:t> </w:t>
      </w:r>
      <w:r>
        <w:rPr>
          <w:i/>
          <w:color w:val="231F20"/>
          <w:spacing w:val="-2"/>
          <w:sz w:val="24"/>
        </w:rPr>
        <w:t>Temos</w:t>
      </w:r>
      <w:r>
        <w:rPr>
          <w:color w:val="231F20"/>
          <w:spacing w:val="-2"/>
          <w:sz w:val="24"/>
          <w:vertAlign w:val="superscript"/>
        </w:rPr>
        <w:t>116</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59"/>
        <w:ind w:left="0"/>
        <w:jc w:val="left"/>
        <w:rPr>
          <w:sz w:val="20"/>
        </w:rPr>
      </w:pPr>
      <w:r>
        <w:rPr/>
        <mc:AlternateContent>
          <mc:Choice Requires="wps">
            <w:drawing>
              <wp:anchor distT="0" distB="0" distL="0" distR="0" allowOverlap="1" layoutInCell="1" locked="0" behindDoc="1" simplePos="0" relativeHeight="487624192">
                <wp:simplePos x="0" y="0"/>
                <wp:positionH relativeFrom="page">
                  <wp:posOffset>629907</wp:posOffset>
                </wp:positionH>
                <wp:positionV relativeFrom="paragraph">
                  <wp:posOffset>198908</wp:posOffset>
                </wp:positionV>
                <wp:extent cx="1829435" cy="9525"/>
                <wp:effectExtent l="0" t="0" r="0" b="0"/>
                <wp:wrapTopAndBottom/>
                <wp:docPr id="90" name="Graphic 90"/>
                <wp:cNvGraphicFramePr>
                  <a:graphicFrameLocks/>
                </wp:cNvGraphicFramePr>
                <a:graphic>
                  <a:graphicData uri="http://schemas.microsoft.com/office/word/2010/wordprocessingShape">
                    <wps:wsp>
                      <wps:cNvPr id="90" name="Graphic 9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66208pt;width:144.020pt;height:.72pt;mso-position-horizontal-relative:page;mso-position-vertical-relative:paragraph;z-index:-15692288;mso-wrap-distance-left:0;mso-wrap-distance-right:0" id="docshape88" filled="true" fillcolor="#231f20" stroked="false">
                <v:fill type="solid"/>
                <w10:wrap type="topAndBottom"/>
              </v:rect>
            </w:pict>
          </mc:Fallback>
        </mc:AlternateContent>
      </w:r>
    </w:p>
    <w:p>
      <w:pPr>
        <w:spacing w:before="91"/>
        <w:ind w:left="111" w:right="107" w:firstLine="0"/>
        <w:jc w:val="left"/>
        <w:rPr>
          <w:sz w:val="20"/>
        </w:rPr>
      </w:pPr>
      <w:r>
        <w:rPr>
          <w:color w:val="76787A"/>
          <w:sz w:val="20"/>
          <w:vertAlign w:val="superscript"/>
        </w:rPr>
        <w:t>115</w:t>
      </w:r>
      <w:r>
        <w:rPr>
          <w:color w:val="76787A"/>
          <w:sz w:val="20"/>
          <w:vertAlign w:val="baseline"/>
        </w:rPr>
        <w:t> </w:t>
      </w:r>
      <w:r>
        <w:rPr>
          <w:color w:val="231F20"/>
          <w:sz w:val="20"/>
          <w:vertAlign w:val="superscript"/>
        </w:rPr>
        <w:t>115</w:t>
      </w:r>
      <w:r>
        <w:rPr>
          <w:color w:val="231F20"/>
          <w:spacing w:val="-3"/>
          <w:sz w:val="20"/>
          <w:vertAlign w:val="baseline"/>
        </w:rPr>
        <w:t> </w:t>
      </w:r>
      <w:r>
        <w:rPr>
          <w:color w:val="231F20"/>
          <w:sz w:val="20"/>
          <w:vertAlign w:val="baseline"/>
        </w:rPr>
        <w:t>Le</w:t>
      </w:r>
      <w:r>
        <w:rPr>
          <w:color w:val="231F20"/>
          <w:spacing w:val="14"/>
          <w:sz w:val="20"/>
          <w:vertAlign w:val="baseline"/>
        </w:rPr>
        <w:t> </w:t>
      </w:r>
      <w:r>
        <w:rPr>
          <w:color w:val="231F20"/>
          <w:sz w:val="20"/>
          <w:vertAlign w:val="baseline"/>
        </w:rPr>
        <w:t>terme «</w:t>
      </w:r>
      <w:r>
        <w:rPr>
          <w:color w:val="231F20"/>
          <w:spacing w:val="-13"/>
          <w:sz w:val="20"/>
          <w:vertAlign w:val="baseline"/>
        </w:rPr>
        <w:t> </w:t>
      </w:r>
      <w:r>
        <w:rPr>
          <w:color w:val="231F20"/>
          <w:sz w:val="20"/>
          <w:vertAlign w:val="baseline"/>
        </w:rPr>
        <w:t>vieux</w:t>
      </w:r>
      <w:r>
        <w:rPr>
          <w:color w:val="231F20"/>
          <w:spacing w:val="-12"/>
          <w:sz w:val="20"/>
          <w:vertAlign w:val="baseline"/>
        </w:rPr>
        <w:t> </w:t>
      </w:r>
      <w:r>
        <w:rPr>
          <w:color w:val="231F20"/>
          <w:sz w:val="20"/>
          <w:vertAlign w:val="baseline"/>
        </w:rPr>
        <w:t>»</w:t>
      </w:r>
      <w:r>
        <w:rPr>
          <w:color w:val="231F20"/>
          <w:spacing w:val="14"/>
          <w:sz w:val="20"/>
          <w:vertAlign w:val="baseline"/>
        </w:rPr>
        <w:t> </w:t>
      </w:r>
      <w:r>
        <w:rPr>
          <w:color w:val="231F20"/>
          <w:sz w:val="20"/>
          <w:vertAlign w:val="baseline"/>
        </w:rPr>
        <w:t>désigne pour les Ivoiriens, le père</w:t>
      </w:r>
      <w:r>
        <w:rPr>
          <w:color w:val="231F20"/>
          <w:spacing w:val="14"/>
          <w:sz w:val="20"/>
          <w:vertAlign w:val="baseline"/>
        </w:rPr>
        <w:t> </w:t>
      </w:r>
      <w:r>
        <w:rPr>
          <w:color w:val="231F20"/>
          <w:sz w:val="20"/>
          <w:vertAlign w:val="baseline"/>
        </w:rPr>
        <w:t>et</w:t>
      </w:r>
      <w:r>
        <w:rPr>
          <w:color w:val="231F20"/>
          <w:spacing w:val="13"/>
          <w:sz w:val="20"/>
          <w:vertAlign w:val="baseline"/>
        </w:rPr>
        <w:t> </w:t>
      </w:r>
      <w:r>
        <w:rPr>
          <w:color w:val="231F20"/>
          <w:sz w:val="20"/>
          <w:vertAlign w:val="baseline"/>
        </w:rPr>
        <w:t>toute</w:t>
      </w:r>
      <w:r>
        <w:rPr>
          <w:color w:val="231F20"/>
          <w:spacing w:val="14"/>
          <w:sz w:val="20"/>
          <w:vertAlign w:val="baseline"/>
        </w:rPr>
        <w:t> </w:t>
      </w:r>
      <w:r>
        <w:rPr>
          <w:color w:val="231F20"/>
          <w:sz w:val="20"/>
          <w:vertAlign w:val="baseline"/>
        </w:rPr>
        <w:t>personne</w:t>
      </w:r>
      <w:r>
        <w:rPr>
          <w:color w:val="231F20"/>
          <w:spacing w:val="14"/>
          <w:sz w:val="20"/>
          <w:vertAlign w:val="baseline"/>
        </w:rPr>
        <w:t> </w:t>
      </w:r>
      <w:r>
        <w:rPr>
          <w:color w:val="231F20"/>
          <w:sz w:val="20"/>
          <w:vertAlign w:val="baseline"/>
        </w:rPr>
        <w:t>âgée. Houphouët-</w:t>
      </w:r>
      <w:r>
        <w:rPr>
          <w:color w:val="231F20"/>
          <w:spacing w:val="-2"/>
          <w:sz w:val="20"/>
          <w:vertAlign w:val="baseline"/>
        </w:rPr>
        <w:t> </w:t>
      </w:r>
      <w:r>
        <w:rPr>
          <w:color w:val="231F20"/>
          <w:sz w:val="20"/>
          <w:vertAlign w:val="baseline"/>
        </w:rPr>
        <w:t>Boigny</w:t>
      </w:r>
      <w:r>
        <w:rPr>
          <w:color w:val="231F20"/>
          <w:spacing w:val="-3"/>
          <w:sz w:val="20"/>
          <w:vertAlign w:val="baseline"/>
        </w:rPr>
        <w:t> </w:t>
      </w:r>
      <w:r>
        <w:rPr>
          <w:color w:val="231F20"/>
          <w:sz w:val="20"/>
          <w:vertAlign w:val="baseline"/>
        </w:rPr>
        <w:t>était</w:t>
      </w:r>
      <w:r>
        <w:rPr>
          <w:color w:val="231F20"/>
          <w:spacing w:val="-3"/>
          <w:sz w:val="20"/>
          <w:vertAlign w:val="baseline"/>
        </w:rPr>
        <w:t> </w:t>
      </w:r>
      <w:r>
        <w:rPr>
          <w:color w:val="231F20"/>
          <w:sz w:val="20"/>
          <w:vertAlign w:val="baseline"/>
        </w:rPr>
        <w:t>ainsi</w:t>
      </w:r>
      <w:r>
        <w:rPr>
          <w:color w:val="231F20"/>
          <w:spacing w:val="-6"/>
          <w:sz w:val="20"/>
          <w:vertAlign w:val="baseline"/>
        </w:rPr>
        <w:t> </w:t>
      </w:r>
      <w:r>
        <w:rPr>
          <w:color w:val="231F20"/>
          <w:sz w:val="20"/>
          <w:vertAlign w:val="baseline"/>
        </w:rPr>
        <w:t>affectueusement appelé.</w:t>
      </w:r>
    </w:p>
    <w:p>
      <w:pPr>
        <w:spacing w:before="1"/>
        <w:ind w:left="111" w:right="0" w:firstLine="0"/>
        <w:jc w:val="left"/>
        <w:rPr>
          <w:i/>
          <w:sz w:val="20"/>
        </w:rPr>
      </w:pPr>
      <w:r>
        <w:rPr>
          <w:color w:val="76787A"/>
          <w:spacing w:val="-2"/>
          <w:sz w:val="20"/>
          <w:vertAlign w:val="superscript"/>
        </w:rPr>
        <w:t>116</w:t>
      </w:r>
      <w:r>
        <w:rPr>
          <w:color w:val="231F20"/>
          <w:spacing w:val="-2"/>
          <w:sz w:val="20"/>
          <w:vertAlign w:val="baseline"/>
        </w:rPr>
        <w:t>« Côte</w:t>
      </w:r>
      <w:r>
        <w:rPr>
          <w:color w:val="231F20"/>
          <w:spacing w:val="-4"/>
          <w:sz w:val="20"/>
          <w:vertAlign w:val="baseline"/>
        </w:rPr>
        <w:t> </w:t>
      </w:r>
      <w:r>
        <w:rPr>
          <w:color w:val="231F20"/>
          <w:spacing w:val="-2"/>
          <w:sz w:val="20"/>
          <w:vertAlign w:val="baseline"/>
        </w:rPr>
        <w:t>d’Ivoire,</w:t>
      </w:r>
      <w:r>
        <w:rPr>
          <w:color w:val="231F20"/>
          <w:spacing w:val="-3"/>
          <w:sz w:val="20"/>
          <w:vertAlign w:val="baseline"/>
        </w:rPr>
        <w:t> </w:t>
      </w:r>
      <w:r>
        <w:rPr>
          <w:color w:val="231F20"/>
          <w:spacing w:val="-2"/>
          <w:sz w:val="20"/>
          <w:vertAlign w:val="baseline"/>
        </w:rPr>
        <w:t>ce</w:t>
      </w:r>
      <w:r>
        <w:rPr>
          <w:color w:val="231F20"/>
          <w:spacing w:val="-6"/>
          <w:sz w:val="20"/>
          <w:vertAlign w:val="baseline"/>
        </w:rPr>
        <w:t> </w:t>
      </w:r>
      <w:r>
        <w:rPr>
          <w:color w:val="231F20"/>
          <w:spacing w:val="-2"/>
          <w:sz w:val="20"/>
          <w:vertAlign w:val="baseline"/>
        </w:rPr>
        <w:t>que</w:t>
      </w:r>
      <w:r>
        <w:rPr>
          <w:color w:val="231F20"/>
          <w:spacing w:val="-6"/>
          <w:sz w:val="20"/>
          <w:vertAlign w:val="baseline"/>
        </w:rPr>
        <w:t> </w:t>
      </w:r>
      <w:r>
        <w:rPr>
          <w:color w:val="231F20"/>
          <w:spacing w:val="-2"/>
          <w:sz w:val="20"/>
          <w:vertAlign w:val="baseline"/>
        </w:rPr>
        <w:t>personne</w:t>
      </w:r>
      <w:r>
        <w:rPr>
          <w:color w:val="231F20"/>
          <w:spacing w:val="-3"/>
          <w:sz w:val="20"/>
          <w:vertAlign w:val="baseline"/>
        </w:rPr>
        <w:t> </w:t>
      </w:r>
      <w:r>
        <w:rPr>
          <w:color w:val="231F20"/>
          <w:spacing w:val="-2"/>
          <w:sz w:val="20"/>
          <w:vertAlign w:val="baseline"/>
        </w:rPr>
        <w:t>ne</w:t>
      </w:r>
      <w:r>
        <w:rPr>
          <w:color w:val="231F20"/>
          <w:spacing w:val="-4"/>
          <w:sz w:val="20"/>
          <w:vertAlign w:val="baseline"/>
        </w:rPr>
        <w:t> </w:t>
      </w:r>
      <w:r>
        <w:rPr>
          <w:color w:val="231F20"/>
          <w:spacing w:val="-2"/>
          <w:sz w:val="20"/>
          <w:vertAlign w:val="baseline"/>
        </w:rPr>
        <w:t>dit</w:t>
      </w:r>
      <w:r>
        <w:rPr>
          <w:color w:val="231F20"/>
          <w:spacing w:val="-7"/>
          <w:sz w:val="20"/>
          <w:vertAlign w:val="baseline"/>
        </w:rPr>
        <w:t> </w:t>
      </w:r>
      <w:r>
        <w:rPr>
          <w:color w:val="231F20"/>
          <w:spacing w:val="-2"/>
          <w:sz w:val="20"/>
          <w:vertAlign w:val="baseline"/>
        </w:rPr>
        <w:t>», </w:t>
      </w:r>
      <w:r>
        <w:rPr>
          <w:i/>
          <w:color w:val="231F20"/>
          <w:spacing w:val="-2"/>
          <w:sz w:val="20"/>
          <w:vertAlign w:val="baseline"/>
        </w:rPr>
        <w:t>L’Officiel</w:t>
      </w:r>
      <w:r>
        <w:rPr>
          <w:i/>
          <w:color w:val="231F20"/>
          <w:spacing w:val="-7"/>
          <w:sz w:val="20"/>
          <w:vertAlign w:val="baseline"/>
        </w:rPr>
        <w:t> </w:t>
      </w:r>
      <w:r>
        <w:rPr>
          <w:i/>
          <w:color w:val="231F20"/>
          <w:spacing w:val="-2"/>
          <w:sz w:val="20"/>
          <w:vertAlign w:val="baseline"/>
        </w:rPr>
        <w:t>d’Afrique</w:t>
      </w:r>
      <w:r>
        <w:rPr>
          <w:i/>
          <w:color w:val="231F20"/>
          <w:spacing w:val="-4"/>
          <w:sz w:val="20"/>
          <w:vertAlign w:val="baseline"/>
        </w:rPr>
        <w:t> </w:t>
      </w:r>
      <w:r>
        <w:rPr>
          <w:i/>
          <w:color w:val="231F20"/>
          <w:spacing w:val="-2"/>
          <w:sz w:val="20"/>
          <w:vertAlign w:val="baseline"/>
        </w:rPr>
        <w:t>n°17,</w:t>
      </w:r>
      <w:r>
        <w:rPr>
          <w:i/>
          <w:color w:val="231F20"/>
          <w:spacing w:val="-6"/>
          <w:sz w:val="20"/>
          <w:vertAlign w:val="baseline"/>
        </w:rPr>
        <w:t> </w:t>
      </w:r>
      <w:r>
        <w:rPr>
          <w:i/>
          <w:color w:val="231F20"/>
          <w:spacing w:val="-2"/>
          <w:sz w:val="20"/>
          <w:vertAlign w:val="baseline"/>
        </w:rPr>
        <w:t>décembre</w:t>
      </w:r>
      <w:r>
        <w:rPr>
          <w:i/>
          <w:color w:val="231F20"/>
          <w:spacing w:val="-4"/>
          <w:sz w:val="20"/>
          <w:vertAlign w:val="baseline"/>
        </w:rPr>
        <w:t> </w:t>
      </w:r>
      <w:r>
        <w:rPr>
          <w:i/>
          <w:color w:val="231F20"/>
          <w:spacing w:val="-2"/>
          <w:sz w:val="20"/>
          <w:vertAlign w:val="baseline"/>
        </w:rPr>
        <w:t>1984-</w:t>
      </w:r>
      <w:r>
        <w:rPr>
          <w:i/>
          <w:color w:val="231F20"/>
          <w:spacing w:val="-2"/>
          <w:sz w:val="20"/>
          <w:vertAlign w:val="baseline"/>
        </w:rPr>
        <w:t> </w:t>
      </w:r>
      <w:r>
        <w:rPr>
          <w:i/>
          <w:color w:val="231F20"/>
          <w:sz w:val="20"/>
          <w:vertAlign w:val="baseline"/>
        </w:rPr>
        <w:t>janvier</w:t>
      </w:r>
      <w:r>
        <w:rPr>
          <w:i/>
          <w:color w:val="231F20"/>
          <w:spacing w:val="-7"/>
          <w:sz w:val="20"/>
          <w:vertAlign w:val="baseline"/>
        </w:rPr>
        <w:t> </w:t>
      </w:r>
      <w:r>
        <w:rPr>
          <w:i/>
          <w:color w:val="231F20"/>
          <w:sz w:val="20"/>
          <w:vertAlign w:val="baseline"/>
        </w:rPr>
        <w:t>1985.</w:t>
      </w:r>
    </w:p>
    <w:p>
      <w:pPr>
        <w:spacing w:after="0"/>
        <w:jc w:val="left"/>
        <w:rPr>
          <w:sz w:val="20"/>
        </w:rPr>
        <w:sectPr>
          <w:pgSz w:w="8790" w:h="13610"/>
          <w:pgMar w:header="0" w:footer="802" w:top="1540" w:bottom="1000" w:left="880" w:right="880"/>
        </w:sectPr>
      </w:pPr>
    </w:p>
    <w:p>
      <w:pPr>
        <w:pStyle w:val="BodyText"/>
        <w:spacing w:before="4"/>
        <w:ind w:left="0"/>
        <w:jc w:val="left"/>
        <w:rPr>
          <w:i/>
          <w:sz w:val="17"/>
        </w:rPr>
      </w:pPr>
    </w:p>
    <w:p>
      <w:pPr>
        <w:spacing w:after="0"/>
        <w:jc w:val="left"/>
        <w:rPr>
          <w:sz w:val="17"/>
        </w:rPr>
        <w:sectPr>
          <w:footerReference w:type="even" r:id="rId39"/>
          <w:pgSz w:w="8790" w:h="13610"/>
          <w:pgMar w:header="0" w:footer="0" w:top="1540" w:bottom="280" w:left="880" w:right="880"/>
        </w:sectPr>
      </w:pPr>
    </w:p>
    <w:p>
      <w:pPr>
        <w:spacing w:before="67"/>
        <w:ind w:left="64" w:right="125" w:firstLine="0"/>
        <w:jc w:val="center"/>
        <w:rPr>
          <w:b/>
          <w:sz w:val="28"/>
        </w:rPr>
      </w:pPr>
      <w:r>
        <w:rPr>
          <w:b/>
          <w:color w:val="231F20"/>
          <w:spacing w:val="-4"/>
          <w:sz w:val="28"/>
        </w:rPr>
        <w:t>Chapitre</w:t>
      </w:r>
      <w:r>
        <w:rPr>
          <w:b/>
          <w:color w:val="231F20"/>
          <w:spacing w:val="-3"/>
          <w:sz w:val="28"/>
        </w:rPr>
        <w:t> </w:t>
      </w:r>
      <w:r>
        <w:rPr>
          <w:b/>
          <w:color w:val="231F20"/>
          <w:spacing w:val="-10"/>
          <w:sz w:val="28"/>
        </w:rPr>
        <w:t>1</w:t>
      </w:r>
    </w:p>
    <w:p>
      <w:pPr>
        <w:pStyle w:val="Heading1"/>
      </w:pPr>
      <w:r>
        <w:rPr>
          <w:color w:val="231F20"/>
          <w:spacing w:val="-4"/>
        </w:rPr>
        <w:t>TERRE</w:t>
      </w:r>
      <w:r>
        <w:rPr>
          <w:color w:val="231F20"/>
          <w:spacing w:val="-8"/>
        </w:rPr>
        <w:t> </w:t>
      </w:r>
      <w:r>
        <w:rPr>
          <w:color w:val="231F20"/>
          <w:spacing w:val="-2"/>
        </w:rPr>
        <w:t>BÉNIE</w:t>
      </w:r>
    </w:p>
    <w:p>
      <w:pPr>
        <w:pStyle w:val="BodyText"/>
        <w:ind w:left="0"/>
        <w:jc w:val="left"/>
        <w:rPr>
          <w:rFonts w:ascii="Cambria"/>
          <w:b/>
          <w:sz w:val="32"/>
        </w:rPr>
      </w:pPr>
    </w:p>
    <w:p>
      <w:pPr>
        <w:pStyle w:val="BodyText"/>
        <w:spacing w:before="275"/>
        <w:ind w:left="0"/>
        <w:jc w:val="left"/>
        <w:rPr>
          <w:rFonts w:ascii="Cambria"/>
          <w:b/>
          <w:sz w:val="32"/>
        </w:rPr>
      </w:pPr>
    </w:p>
    <w:p>
      <w:pPr>
        <w:pStyle w:val="BodyText"/>
        <w:ind w:right="107" w:firstLine="283"/>
      </w:pPr>
      <w:r>
        <w:rPr>
          <w:color w:val="231F20"/>
          <w:spacing w:val="-2"/>
        </w:rPr>
        <w:t>La</w:t>
      </w:r>
      <w:r>
        <w:rPr>
          <w:color w:val="231F20"/>
          <w:spacing w:val="-11"/>
        </w:rPr>
        <w:t> </w:t>
      </w:r>
      <w:r>
        <w:rPr>
          <w:color w:val="231F20"/>
          <w:spacing w:val="-2"/>
        </w:rPr>
        <w:t>Côte</w:t>
      </w:r>
      <w:r>
        <w:rPr>
          <w:color w:val="231F20"/>
          <w:spacing w:val="-11"/>
        </w:rPr>
        <w:t> </w:t>
      </w:r>
      <w:r>
        <w:rPr>
          <w:color w:val="231F20"/>
          <w:spacing w:val="-2"/>
        </w:rPr>
        <w:t>d’Ivoire</w:t>
      </w:r>
      <w:r>
        <w:rPr>
          <w:color w:val="231F20"/>
          <w:spacing w:val="-11"/>
        </w:rPr>
        <w:t> </w:t>
      </w:r>
      <w:r>
        <w:rPr>
          <w:color w:val="231F20"/>
          <w:spacing w:val="-2"/>
        </w:rPr>
        <w:t>en</w:t>
      </w:r>
      <w:r>
        <w:rPr>
          <w:color w:val="231F20"/>
          <w:spacing w:val="-11"/>
        </w:rPr>
        <w:t> </w:t>
      </w:r>
      <w:r>
        <w:rPr>
          <w:color w:val="231F20"/>
          <w:spacing w:val="-2"/>
        </w:rPr>
        <w:t>Afrique</w:t>
      </w:r>
      <w:r>
        <w:rPr>
          <w:color w:val="231F20"/>
          <w:spacing w:val="-11"/>
        </w:rPr>
        <w:t> </w:t>
      </w:r>
      <w:r>
        <w:rPr>
          <w:color w:val="231F20"/>
          <w:spacing w:val="-2"/>
        </w:rPr>
        <w:t>de</w:t>
      </w:r>
      <w:r>
        <w:rPr>
          <w:color w:val="231F20"/>
          <w:spacing w:val="-12"/>
        </w:rPr>
        <w:t> </w:t>
      </w:r>
      <w:r>
        <w:rPr>
          <w:color w:val="231F20"/>
          <w:spacing w:val="-2"/>
        </w:rPr>
        <w:t>l’Ouest</w:t>
      </w:r>
      <w:r>
        <w:rPr>
          <w:color w:val="231F20"/>
          <w:spacing w:val="-10"/>
        </w:rPr>
        <w:t> </w:t>
      </w:r>
      <w:r>
        <w:rPr>
          <w:color w:val="231F20"/>
          <w:spacing w:val="-2"/>
        </w:rPr>
        <w:t>a</w:t>
      </w:r>
      <w:r>
        <w:rPr>
          <w:color w:val="231F20"/>
          <w:spacing w:val="-12"/>
        </w:rPr>
        <w:t> </w:t>
      </w:r>
      <w:r>
        <w:rPr>
          <w:color w:val="231F20"/>
          <w:spacing w:val="-2"/>
        </w:rPr>
        <w:t>pour</w:t>
      </w:r>
      <w:r>
        <w:rPr>
          <w:color w:val="231F20"/>
          <w:spacing w:val="-13"/>
        </w:rPr>
        <w:t> </w:t>
      </w:r>
      <w:r>
        <w:rPr>
          <w:color w:val="231F20"/>
          <w:spacing w:val="-2"/>
        </w:rPr>
        <w:t>voisins</w:t>
      </w:r>
      <w:r>
        <w:rPr>
          <w:color w:val="231F20"/>
          <w:spacing w:val="-12"/>
        </w:rPr>
        <w:t> </w:t>
      </w:r>
      <w:r>
        <w:rPr>
          <w:color w:val="231F20"/>
          <w:spacing w:val="-2"/>
        </w:rPr>
        <w:t>le</w:t>
      </w:r>
      <w:r>
        <w:rPr>
          <w:color w:val="231F20"/>
          <w:spacing w:val="-11"/>
        </w:rPr>
        <w:t> </w:t>
      </w:r>
      <w:r>
        <w:rPr>
          <w:color w:val="231F20"/>
          <w:spacing w:val="-2"/>
        </w:rPr>
        <w:t>Burkina</w:t>
      </w:r>
      <w:r>
        <w:rPr>
          <w:color w:val="231F20"/>
          <w:spacing w:val="-11"/>
        </w:rPr>
        <w:t> </w:t>
      </w:r>
      <w:r>
        <w:rPr>
          <w:color w:val="231F20"/>
          <w:spacing w:val="-2"/>
        </w:rPr>
        <w:t>Faso </w:t>
      </w:r>
      <w:r>
        <w:rPr>
          <w:color w:val="231F20"/>
        </w:rPr>
        <w:t>et</w:t>
      </w:r>
      <w:r>
        <w:rPr>
          <w:color w:val="231F20"/>
          <w:spacing w:val="-12"/>
        </w:rPr>
        <w:t> </w:t>
      </w:r>
      <w:r>
        <w:rPr>
          <w:color w:val="231F20"/>
        </w:rPr>
        <w:t>le</w:t>
      </w:r>
      <w:r>
        <w:rPr>
          <w:color w:val="231F20"/>
          <w:spacing w:val="-14"/>
        </w:rPr>
        <w:t> </w:t>
      </w:r>
      <w:r>
        <w:rPr>
          <w:color w:val="231F20"/>
        </w:rPr>
        <w:t>Mali</w:t>
      </w:r>
      <w:r>
        <w:rPr>
          <w:color w:val="231F20"/>
          <w:spacing w:val="-12"/>
        </w:rPr>
        <w:t> </w:t>
      </w:r>
      <w:r>
        <w:rPr>
          <w:color w:val="231F20"/>
        </w:rPr>
        <w:t>au</w:t>
      </w:r>
      <w:r>
        <w:rPr>
          <w:color w:val="231F20"/>
          <w:spacing w:val="-13"/>
        </w:rPr>
        <w:t> </w:t>
      </w:r>
      <w:r>
        <w:rPr>
          <w:color w:val="231F20"/>
        </w:rPr>
        <w:t>Nord,</w:t>
      </w:r>
      <w:r>
        <w:rPr>
          <w:color w:val="231F20"/>
          <w:spacing w:val="-15"/>
        </w:rPr>
        <w:t> </w:t>
      </w:r>
      <w:r>
        <w:rPr>
          <w:color w:val="231F20"/>
        </w:rPr>
        <w:t>le</w:t>
      </w:r>
      <w:r>
        <w:rPr>
          <w:color w:val="231F20"/>
          <w:spacing w:val="-13"/>
        </w:rPr>
        <w:t> </w:t>
      </w:r>
      <w:r>
        <w:rPr>
          <w:color w:val="231F20"/>
        </w:rPr>
        <w:t>Ghana</w:t>
      </w:r>
      <w:r>
        <w:rPr>
          <w:color w:val="231F20"/>
          <w:spacing w:val="-13"/>
        </w:rPr>
        <w:t> </w:t>
      </w:r>
      <w:r>
        <w:rPr>
          <w:color w:val="231F20"/>
        </w:rPr>
        <w:t>à</w:t>
      </w:r>
      <w:r>
        <w:rPr>
          <w:color w:val="231F20"/>
          <w:spacing w:val="-13"/>
        </w:rPr>
        <w:t> </w:t>
      </w:r>
      <w:r>
        <w:rPr>
          <w:color w:val="231F20"/>
        </w:rPr>
        <w:t>l’Est,</w:t>
      </w:r>
      <w:r>
        <w:rPr>
          <w:color w:val="231F20"/>
          <w:spacing w:val="-12"/>
        </w:rPr>
        <w:t> </w:t>
      </w:r>
      <w:r>
        <w:rPr>
          <w:color w:val="231F20"/>
        </w:rPr>
        <w:t>la</w:t>
      </w:r>
      <w:r>
        <w:rPr>
          <w:color w:val="231F20"/>
          <w:spacing w:val="-13"/>
        </w:rPr>
        <w:t> </w:t>
      </w:r>
      <w:r>
        <w:rPr>
          <w:color w:val="231F20"/>
        </w:rPr>
        <w:t>Guinée</w:t>
      </w:r>
      <w:r>
        <w:rPr>
          <w:color w:val="231F20"/>
          <w:spacing w:val="-13"/>
        </w:rPr>
        <w:t> </w:t>
      </w:r>
      <w:r>
        <w:rPr>
          <w:color w:val="231F20"/>
        </w:rPr>
        <w:t>et</w:t>
      </w:r>
      <w:r>
        <w:rPr>
          <w:color w:val="231F20"/>
          <w:spacing w:val="-13"/>
        </w:rPr>
        <w:t> </w:t>
      </w:r>
      <w:r>
        <w:rPr>
          <w:color w:val="231F20"/>
        </w:rPr>
        <w:t>le</w:t>
      </w:r>
      <w:r>
        <w:rPr>
          <w:color w:val="231F20"/>
          <w:spacing w:val="-15"/>
        </w:rPr>
        <w:t> </w:t>
      </w:r>
      <w:r>
        <w:rPr>
          <w:color w:val="231F20"/>
        </w:rPr>
        <w:t>Liberia</w:t>
      </w:r>
      <w:r>
        <w:rPr>
          <w:color w:val="231F20"/>
          <w:spacing w:val="-13"/>
        </w:rPr>
        <w:t> </w:t>
      </w:r>
      <w:r>
        <w:rPr>
          <w:color w:val="231F20"/>
        </w:rPr>
        <w:t>à</w:t>
      </w:r>
      <w:r>
        <w:rPr>
          <w:color w:val="231F20"/>
          <w:spacing w:val="-13"/>
        </w:rPr>
        <w:t> </w:t>
      </w:r>
      <w:r>
        <w:rPr>
          <w:color w:val="231F20"/>
        </w:rPr>
        <w:t>l’Ouest.</w:t>
      </w:r>
      <w:r>
        <w:rPr>
          <w:color w:val="231F20"/>
          <w:spacing w:val="-15"/>
        </w:rPr>
        <w:t> </w:t>
      </w:r>
      <w:r>
        <w:rPr>
          <w:color w:val="231F20"/>
        </w:rPr>
        <w:t>Sa superficie est de 322.460 km2.</w:t>
      </w:r>
    </w:p>
    <w:p>
      <w:pPr>
        <w:spacing w:before="120"/>
        <w:ind w:left="111" w:right="109" w:firstLine="283"/>
        <w:jc w:val="both"/>
        <w:rPr>
          <w:i/>
          <w:sz w:val="24"/>
        </w:rPr>
      </w:pPr>
      <w:r>
        <w:rPr>
          <w:i/>
          <w:color w:val="231F20"/>
          <w:sz w:val="24"/>
        </w:rPr>
        <w:t>«</w:t>
      </w:r>
      <w:r>
        <w:rPr>
          <w:i/>
          <w:color w:val="231F20"/>
          <w:spacing w:val="-12"/>
          <w:sz w:val="24"/>
        </w:rPr>
        <w:t> </w:t>
      </w:r>
      <w:r>
        <w:rPr>
          <w:i/>
          <w:color w:val="231F20"/>
          <w:sz w:val="24"/>
        </w:rPr>
        <w:t>Telle une belle fille de la campagne, insolente de jeunesse et</w:t>
      </w:r>
      <w:r>
        <w:rPr>
          <w:i/>
          <w:color w:val="231F20"/>
          <w:sz w:val="24"/>
        </w:rPr>
        <w:t> </w:t>
      </w:r>
      <w:r>
        <w:rPr>
          <w:i/>
          <w:color w:val="231F20"/>
          <w:spacing w:val="-4"/>
          <w:sz w:val="24"/>
        </w:rPr>
        <w:t>éclatante</w:t>
      </w:r>
      <w:r>
        <w:rPr>
          <w:i/>
          <w:color w:val="231F20"/>
          <w:spacing w:val="-7"/>
          <w:sz w:val="24"/>
        </w:rPr>
        <w:t> </w:t>
      </w:r>
      <w:r>
        <w:rPr>
          <w:i/>
          <w:color w:val="231F20"/>
          <w:spacing w:val="-4"/>
          <w:sz w:val="24"/>
        </w:rPr>
        <w:t>de</w:t>
      </w:r>
      <w:r>
        <w:rPr>
          <w:i/>
          <w:color w:val="231F20"/>
          <w:spacing w:val="-7"/>
          <w:sz w:val="24"/>
        </w:rPr>
        <w:t> </w:t>
      </w:r>
      <w:r>
        <w:rPr>
          <w:i/>
          <w:color w:val="231F20"/>
          <w:spacing w:val="-4"/>
          <w:sz w:val="24"/>
        </w:rPr>
        <w:t>santé,</w:t>
      </w:r>
      <w:r>
        <w:rPr>
          <w:i/>
          <w:color w:val="231F20"/>
          <w:spacing w:val="-7"/>
          <w:sz w:val="24"/>
        </w:rPr>
        <w:t> </w:t>
      </w:r>
      <w:r>
        <w:rPr>
          <w:i/>
          <w:color w:val="231F20"/>
          <w:spacing w:val="-4"/>
          <w:sz w:val="24"/>
        </w:rPr>
        <w:t>la</w:t>
      </w:r>
      <w:r>
        <w:rPr>
          <w:i/>
          <w:color w:val="231F20"/>
          <w:spacing w:val="-7"/>
          <w:sz w:val="24"/>
        </w:rPr>
        <w:t> </w:t>
      </w:r>
      <w:r>
        <w:rPr>
          <w:i/>
          <w:color w:val="231F20"/>
          <w:spacing w:val="-4"/>
          <w:sz w:val="24"/>
        </w:rPr>
        <w:t>Côte</w:t>
      </w:r>
      <w:r>
        <w:rPr>
          <w:i/>
          <w:color w:val="231F20"/>
          <w:spacing w:val="-10"/>
          <w:sz w:val="24"/>
        </w:rPr>
        <w:t> </w:t>
      </w:r>
      <w:r>
        <w:rPr>
          <w:i/>
          <w:color w:val="231F20"/>
          <w:spacing w:val="-4"/>
          <w:sz w:val="24"/>
        </w:rPr>
        <w:t>d’Ivoire</w:t>
      </w:r>
      <w:r>
        <w:rPr>
          <w:i/>
          <w:color w:val="231F20"/>
          <w:spacing w:val="-8"/>
          <w:sz w:val="24"/>
        </w:rPr>
        <w:t> </w:t>
      </w:r>
      <w:r>
        <w:rPr>
          <w:i/>
          <w:color w:val="231F20"/>
          <w:spacing w:val="-4"/>
          <w:sz w:val="24"/>
        </w:rPr>
        <w:t>séduit</w:t>
      </w:r>
      <w:r>
        <w:rPr>
          <w:i/>
          <w:color w:val="231F20"/>
          <w:spacing w:val="-7"/>
          <w:sz w:val="24"/>
        </w:rPr>
        <w:t> </w:t>
      </w:r>
      <w:r>
        <w:rPr>
          <w:i/>
          <w:color w:val="231F20"/>
          <w:spacing w:val="-4"/>
          <w:sz w:val="24"/>
        </w:rPr>
        <w:t>de</w:t>
      </w:r>
      <w:r>
        <w:rPr>
          <w:i/>
          <w:color w:val="231F20"/>
          <w:spacing w:val="-7"/>
          <w:sz w:val="24"/>
        </w:rPr>
        <w:t> </w:t>
      </w:r>
      <w:r>
        <w:rPr>
          <w:i/>
          <w:color w:val="231F20"/>
          <w:spacing w:val="-4"/>
          <w:sz w:val="24"/>
        </w:rPr>
        <w:t>prime</w:t>
      </w:r>
      <w:r>
        <w:rPr>
          <w:i/>
          <w:color w:val="231F20"/>
          <w:spacing w:val="-7"/>
          <w:sz w:val="24"/>
        </w:rPr>
        <w:t> </w:t>
      </w:r>
      <w:r>
        <w:rPr>
          <w:i/>
          <w:color w:val="231F20"/>
          <w:spacing w:val="-4"/>
          <w:sz w:val="24"/>
        </w:rPr>
        <w:t>abord</w:t>
      </w:r>
      <w:r>
        <w:rPr>
          <w:i/>
          <w:color w:val="231F20"/>
          <w:spacing w:val="-7"/>
          <w:sz w:val="24"/>
        </w:rPr>
        <w:t> </w:t>
      </w:r>
      <w:r>
        <w:rPr>
          <w:i/>
          <w:color w:val="231F20"/>
          <w:spacing w:val="-4"/>
          <w:sz w:val="24"/>
        </w:rPr>
        <w:t>par</w:t>
      </w:r>
      <w:r>
        <w:rPr>
          <w:i/>
          <w:color w:val="231F20"/>
          <w:spacing w:val="-7"/>
          <w:sz w:val="24"/>
        </w:rPr>
        <w:t> </w:t>
      </w:r>
      <w:r>
        <w:rPr>
          <w:i/>
          <w:color w:val="231F20"/>
          <w:spacing w:val="-4"/>
          <w:sz w:val="24"/>
        </w:rPr>
        <w:t>sa</w:t>
      </w:r>
      <w:r>
        <w:rPr>
          <w:i/>
          <w:color w:val="231F20"/>
          <w:spacing w:val="-7"/>
          <w:sz w:val="24"/>
        </w:rPr>
        <w:t> </w:t>
      </w:r>
      <w:r>
        <w:rPr>
          <w:i/>
          <w:color w:val="231F20"/>
          <w:spacing w:val="-4"/>
          <w:sz w:val="24"/>
        </w:rPr>
        <w:t>gaieté</w:t>
      </w:r>
      <w:r>
        <w:rPr>
          <w:i/>
          <w:color w:val="231F20"/>
          <w:spacing w:val="-7"/>
          <w:sz w:val="24"/>
        </w:rPr>
        <w:t> </w:t>
      </w:r>
      <w:r>
        <w:rPr>
          <w:i/>
          <w:color w:val="231F20"/>
          <w:spacing w:val="-4"/>
          <w:sz w:val="24"/>
        </w:rPr>
        <w:t>et </w:t>
      </w:r>
      <w:r>
        <w:rPr>
          <w:i/>
          <w:color w:val="231F20"/>
          <w:sz w:val="24"/>
        </w:rPr>
        <w:t>par sa couleur.</w:t>
      </w:r>
    </w:p>
    <w:p>
      <w:pPr>
        <w:spacing w:before="120"/>
        <w:ind w:left="111" w:right="102" w:firstLine="283"/>
        <w:jc w:val="both"/>
        <w:rPr>
          <w:i/>
          <w:sz w:val="24"/>
        </w:rPr>
      </w:pPr>
      <w:r>
        <w:rPr>
          <w:i/>
          <w:color w:val="231F20"/>
          <w:sz w:val="24"/>
        </w:rPr>
        <w:t>Elle</w:t>
      </w:r>
      <w:r>
        <w:rPr>
          <w:i/>
          <w:color w:val="231F20"/>
          <w:spacing w:val="-9"/>
          <w:sz w:val="24"/>
        </w:rPr>
        <w:t> </w:t>
      </w:r>
      <w:r>
        <w:rPr>
          <w:i/>
          <w:color w:val="231F20"/>
          <w:sz w:val="24"/>
        </w:rPr>
        <w:t>retient</w:t>
      </w:r>
      <w:r>
        <w:rPr>
          <w:i/>
          <w:color w:val="231F20"/>
          <w:spacing w:val="-8"/>
          <w:sz w:val="24"/>
        </w:rPr>
        <w:t> </w:t>
      </w:r>
      <w:r>
        <w:rPr>
          <w:i/>
          <w:color w:val="231F20"/>
          <w:sz w:val="24"/>
        </w:rPr>
        <w:t>ensuite</w:t>
      </w:r>
      <w:r>
        <w:rPr>
          <w:i/>
          <w:color w:val="231F20"/>
          <w:spacing w:val="-9"/>
          <w:sz w:val="24"/>
        </w:rPr>
        <w:t> </w:t>
      </w:r>
      <w:r>
        <w:rPr>
          <w:i/>
          <w:color w:val="231F20"/>
          <w:sz w:val="24"/>
        </w:rPr>
        <w:t>par</w:t>
      </w:r>
      <w:r>
        <w:rPr>
          <w:i/>
          <w:color w:val="231F20"/>
          <w:spacing w:val="-8"/>
          <w:sz w:val="24"/>
        </w:rPr>
        <w:t> </w:t>
      </w:r>
      <w:r>
        <w:rPr>
          <w:i/>
          <w:color w:val="231F20"/>
          <w:sz w:val="24"/>
        </w:rPr>
        <w:t>la</w:t>
      </w:r>
      <w:r>
        <w:rPr>
          <w:i/>
          <w:color w:val="231F20"/>
          <w:spacing w:val="-8"/>
          <w:sz w:val="24"/>
        </w:rPr>
        <w:t> </w:t>
      </w:r>
      <w:r>
        <w:rPr>
          <w:i/>
          <w:color w:val="231F20"/>
          <w:sz w:val="24"/>
        </w:rPr>
        <w:t>prodigieuse</w:t>
      </w:r>
      <w:r>
        <w:rPr>
          <w:i/>
          <w:color w:val="231F20"/>
          <w:spacing w:val="-9"/>
          <w:sz w:val="24"/>
        </w:rPr>
        <w:t> </w:t>
      </w:r>
      <w:r>
        <w:rPr>
          <w:i/>
          <w:color w:val="231F20"/>
          <w:sz w:val="24"/>
        </w:rPr>
        <w:t>diversité</w:t>
      </w:r>
      <w:r>
        <w:rPr>
          <w:i/>
          <w:color w:val="231F20"/>
          <w:spacing w:val="-6"/>
          <w:sz w:val="24"/>
        </w:rPr>
        <w:t> </w:t>
      </w:r>
      <w:r>
        <w:rPr>
          <w:i/>
          <w:color w:val="231F20"/>
          <w:sz w:val="24"/>
        </w:rPr>
        <w:t>de</w:t>
      </w:r>
      <w:r>
        <w:rPr>
          <w:i/>
          <w:color w:val="231F20"/>
          <w:spacing w:val="-8"/>
          <w:sz w:val="24"/>
        </w:rPr>
        <w:t> </w:t>
      </w:r>
      <w:r>
        <w:rPr>
          <w:i/>
          <w:color w:val="231F20"/>
          <w:sz w:val="24"/>
        </w:rPr>
        <w:t>ses</w:t>
      </w:r>
      <w:r>
        <w:rPr>
          <w:i/>
          <w:color w:val="231F20"/>
          <w:spacing w:val="-6"/>
          <w:sz w:val="24"/>
        </w:rPr>
        <w:t> </w:t>
      </w:r>
      <w:r>
        <w:rPr>
          <w:i/>
          <w:color w:val="231F20"/>
          <w:sz w:val="24"/>
        </w:rPr>
        <w:t>paysages,</w:t>
      </w:r>
      <w:r>
        <w:rPr>
          <w:i/>
          <w:color w:val="231F20"/>
          <w:spacing w:val="-6"/>
          <w:sz w:val="24"/>
        </w:rPr>
        <w:t> </w:t>
      </w:r>
      <w:r>
        <w:rPr>
          <w:i/>
          <w:color w:val="231F20"/>
          <w:sz w:val="24"/>
        </w:rPr>
        <w:t>par</w:t>
      </w:r>
      <w:r>
        <w:rPr>
          <w:i/>
          <w:color w:val="231F20"/>
          <w:sz w:val="24"/>
        </w:rPr>
        <w:t> </w:t>
      </w:r>
      <w:r>
        <w:rPr>
          <w:i/>
          <w:color w:val="231F20"/>
          <w:spacing w:val="-2"/>
          <w:sz w:val="24"/>
        </w:rPr>
        <w:t>sa</w:t>
      </w:r>
      <w:r>
        <w:rPr>
          <w:i/>
          <w:color w:val="231F20"/>
          <w:spacing w:val="-9"/>
          <w:sz w:val="24"/>
        </w:rPr>
        <w:t> </w:t>
      </w:r>
      <w:r>
        <w:rPr>
          <w:i/>
          <w:color w:val="231F20"/>
          <w:spacing w:val="-2"/>
          <w:sz w:val="24"/>
        </w:rPr>
        <w:t>richesse,</w:t>
      </w:r>
      <w:r>
        <w:rPr>
          <w:i/>
          <w:color w:val="231F20"/>
          <w:spacing w:val="-9"/>
          <w:sz w:val="24"/>
        </w:rPr>
        <w:t> </w:t>
      </w:r>
      <w:r>
        <w:rPr>
          <w:i/>
          <w:color w:val="231F20"/>
          <w:spacing w:val="-2"/>
          <w:sz w:val="24"/>
        </w:rPr>
        <w:t>et</w:t>
      </w:r>
      <w:r>
        <w:rPr>
          <w:i/>
          <w:color w:val="231F20"/>
          <w:spacing w:val="-8"/>
          <w:sz w:val="24"/>
        </w:rPr>
        <w:t> </w:t>
      </w:r>
      <w:r>
        <w:rPr>
          <w:i/>
          <w:color w:val="231F20"/>
          <w:spacing w:val="-2"/>
          <w:sz w:val="24"/>
        </w:rPr>
        <w:t>par</w:t>
      </w:r>
      <w:r>
        <w:rPr>
          <w:i/>
          <w:color w:val="231F20"/>
          <w:spacing w:val="-11"/>
          <w:sz w:val="24"/>
        </w:rPr>
        <w:t> </w:t>
      </w:r>
      <w:r>
        <w:rPr>
          <w:i/>
          <w:color w:val="231F20"/>
          <w:spacing w:val="-2"/>
          <w:sz w:val="24"/>
        </w:rPr>
        <w:t>une</w:t>
      </w:r>
      <w:r>
        <w:rPr>
          <w:i/>
          <w:color w:val="231F20"/>
          <w:spacing w:val="-11"/>
          <w:sz w:val="24"/>
        </w:rPr>
        <w:t> </w:t>
      </w:r>
      <w:r>
        <w:rPr>
          <w:i/>
          <w:color w:val="231F20"/>
          <w:spacing w:val="-2"/>
          <w:sz w:val="24"/>
        </w:rPr>
        <w:t>activité</w:t>
      </w:r>
      <w:r>
        <w:rPr>
          <w:i/>
          <w:color w:val="231F20"/>
          <w:spacing w:val="-11"/>
          <w:sz w:val="24"/>
        </w:rPr>
        <w:t> </w:t>
      </w:r>
      <w:r>
        <w:rPr>
          <w:i/>
          <w:color w:val="231F20"/>
          <w:spacing w:val="-2"/>
          <w:sz w:val="24"/>
        </w:rPr>
        <w:t>débordante</w:t>
      </w:r>
      <w:r>
        <w:rPr>
          <w:i/>
          <w:color w:val="231F20"/>
          <w:spacing w:val="-11"/>
          <w:sz w:val="24"/>
        </w:rPr>
        <w:t> </w:t>
      </w:r>
      <w:r>
        <w:rPr>
          <w:i/>
          <w:color w:val="231F20"/>
          <w:spacing w:val="-2"/>
          <w:sz w:val="24"/>
        </w:rPr>
        <w:t>dont</w:t>
      </w:r>
      <w:r>
        <w:rPr>
          <w:i/>
          <w:color w:val="231F20"/>
          <w:spacing w:val="-12"/>
          <w:sz w:val="24"/>
        </w:rPr>
        <w:t> </w:t>
      </w:r>
      <w:r>
        <w:rPr>
          <w:i/>
          <w:color w:val="231F20"/>
          <w:spacing w:val="-2"/>
          <w:sz w:val="24"/>
        </w:rPr>
        <w:t>les</w:t>
      </w:r>
      <w:r>
        <w:rPr>
          <w:i/>
          <w:color w:val="231F20"/>
          <w:spacing w:val="-11"/>
          <w:sz w:val="24"/>
        </w:rPr>
        <w:t> </w:t>
      </w:r>
      <w:r>
        <w:rPr>
          <w:i/>
          <w:color w:val="231F20"/>
          <w:spacing w:val="-2"/>
          <w:sz w:val="24"/>
        </w:rPr>
        <w:t>résultats</w:t>
      </w:r>
      <w:r>
        <w:rPr>
          <w:i/>
          <w:color w:val="231F20"/>
          <w:spacing w:val="-9"/>
          <w:sz w:val="24"/>
        </w:rPr>
        <w:t> </w:t>
      </w:r>
      <w:r>
        <w:rPr>
          <w:i/>
          <w:color w:val="231F20"/>
          <w:spacing w:val="-2"/>
          <w:sz w:val="24"/>
        </w:rPr>
        <w:t>chiffrés</w:t>
      </w:r>
      <w:r>
        <w:rPr>
          <w:i/>
          <w:color w:val="231F20"/>
          <w:spacing w:val="-11"/>
          <w:sz w:val="24"/>
        </w:rPr>
        <w:t> </w:t>
      </w:r>
      <w:r>
        <w:rPr>
          <w:i/>
          <w:color w:val="231F20"/>
          <w:spacing w:val="-2"/>
          <w:sz w:val="24"/>
        </w:rPr>
        <w:t>sont </w:t>
      </w:r>
      <w:r>
        <w:rPr>
          <w:i/>
          <w:color w:val="231F20"/>
          <w:sz w:val="24"/>
        </w:rPr>
        <w:t>plus</w:t>
      </w:r>
      <w:r>
        <w:rPr>
          <w:i/>
          <w:color w:val="231F20"/>
          <w:spacing w:val="-7"/>
          <w:sz w:val="24"/>
        </w:rPr>
        <w:t> </w:t>
      </w:r>
      <w:r>
        <w:rPr>
          <w:i/>
          <w:color w:val="231F20"/>
          <w:sz w:val="24"/>
        </w:rPr>
        <w:t>éloquents,</w:t>
      </w:r>
      <w:r>
        <w:rPr>
          <w:i/>
          <w:color w:val="231F20"/>
          <w:spacing w:val="-7"/>
          <w:sz w:val="24"/>
        </w:rPr>
        <w:t> </w:t>
      </w:r>
      <w:r>
        <w:rPr>
          <w:i/>
          <w:color w:val="231F20"/>
          <w:sz w:val="24"/>
        </w:rPr>
        <w:t>que</w:t>
      </w:r>
      <w:r>
        <w:rPr>
          <w:i/>
          <w:color w:val="231F20"/>
          <w:spacing w:val="-6"/>
          <w:sz w:val="24"/>
        </w:rPr>
        <w:t> </w:t>
      </w:r>
      <w:r>
        <w:rPr>
          <w:i/>
          <w:color w:val="231F20"/>
          <w:sz w:val="24"/>
        </w:rPr>
        <w:t>tous</w:t>
      </w:r>
      <w:r>
        <w:rPr>
          <w:i/>
          <w:color w:val="231F20"/>
          <w:spacing w:val="-7"/>
          <w:sz w:val="24"/>
        </w:rPr>
        <w:t> </w:t>
      </w:r>
      <w:r>
        <w:rPr>
          <w:i/>
          <w:color w:val="231F20"/>
          <w:sz w:val="24"/>
        </w:rPr>
        <w:t>les</w:t>
      </w:r>
      <w:r>
        <w:rPr>
          <w:i/>
          <w:color w:val="231F20"/>
          <w:spacing w:val="-6"/>
          <w:sz w:val="24"/>
        </w:rPr>
        <w:t> </w:t>
      </w:r>
      <w:r>
        <w:rPr>
          <w:i/>
          <w:color w:val="231F20"/>
          <w:sz w:val="24"/>
        </w:rPr>
        <w:t>commentaires.</w:t>
      </w:r>
      <w:r>
        <w:rPr>
          <w:i/>
          <w:color w:val="231F20"/>
          <w:spacing w:val="-6"/>
          <w:sz w:val="24"/>
        </w:rPr>
        <w:t> </w:t>
      </w:r>
      <w:r>
        <w:rPr>
          <w:i/>
          <w:color w:val="231F20"/>
          <w:sz w:val="24"/>
        </w:rPr>
        <w:t>Ses</w:t>
      </w:r>
      <w:r>
        <w:rPr>
          <w:i/>
          <w:color w:val="231F20"/>
          <w:spacing w:val="-6"/>
          <w:sz w:val="24"/>
        </w:rPr>
        <w:t> </w:t>
      </w:r>
      <w:r>
        <w:rPr>
          <w:i/>
          <w:color w:val="231F20"/>
          <w:sz w:val="24"/>
        </w:rPr>
        <w:t>exportations</w:t>
      </w:r>
      <w:r>
        <w:rPr>
          <w:i/>
          <w:color w:val="231F20"/>
          <w:spacing w:val="-7"/>
          <w:sz w:val="24"/>
        </w:rPr>
        <w:t> </w:t>
      </w:r>
      <w:r>
        <w:rPr>
          <w:i/>
          <w:color w:val="231F20"/>
          <w:sz w:val="24"/>
        </w:rPr>
        <w:t>n’ont-elles pas atteint 170.000 tonnes en 1934 ?</w:t>
      </w:r>
    </w:p>
    <w:p>
      <w:pPr>
        <w:spacing w:before="121"/>
        <w:ind w:left="452" w:right="0" w:firstLine="0"/>
        <w:jc w:val="both"/>
        <w:rPr>
          <w:i/>
          <w:sz w:val="24"/>
        </w:rPr>
      </w:pPr>
      <w:r>
        <w:rPr>
          <w:i/>
          <w:color w:val="231F20"/>
          <w:sz w:val="24"/>
        </w:rPr>
        <w:t>Il</w:t>
      </w:r>
      <w:r>
        <w:rPr>
          <w:i/>
          <w:color w:val="231F20"/>
          <w:spacing w:val="10"/>
          <w:sz w:val="24"/>
        </w:rPr>
        <w:t> </w:t>
      </w:r>
      <w:r>
        <w:rPr>
          <w:i/>
          <w:color w:val="231F20"/>
          <w:sz w:val="24"/>
        </w:rPr>
        <w:t>ne</w:t>
      </w:r>
      <w:r>
        <w:rPr>
          <w:i/>
          <w:color w:val="231F20"/>
          <w:spacing w:val="10"/>
          <w:sz w:val="24"/>
        </w:rPr>
        <w:t> </w:t>
      </w:r>
      <w:r>
        <w:rPr>
          <w:i/>
          <w:color w:val="231F20"/>
          <w:sz w:val="24"/>
        </w:rPr>
        <w:t>semble</w:t>
      </w:r>
      <w:r>
        <w:rPr>
          <w:i/>
          <w:color w:val="231F20"/>
          <w:spacing w:val="11"/>
          <w:sz w:val="24"/>
        </w:rPr>
        <w:t> </w:t>
      </w:r>
      <w:r>
        <w:rPr>
          <w:i/>
          <w:color w:val="231F20"/>
          <w:sz w:val="24"/>
        </w:rPr>
        <w:t>donc</w:t>
      </w:r>
      <w:r>
        <w:rPr>
          <w:i/>
          <w:color w:val="231F20"/>
          <w:spacing w:val="10"/>
          <w:sz w:val="24"/>
        </w:rPr>
        <w:t> </w:t>
      </w:r>
      <w:r>
        <w:rPr>
          <w:i/>
          <w:color w:val="231F20"/>
          <w:sz w:val="24"/>
        </w:rPr>
        <w:t>pas</w:t>
      </w:r>
      <w:r>
        <w:rPr>
          <w:i/>
          <w:color w:val="231F20"/>
          <w:spacing w:val="11"/>
          <w:sz w:val="24"/>
        </w:rPr>
        <w:t> </w:t>
      </w:r>
      <w:r>
        <w:rPr>
          <w:i/>
          <w:color w:val="231F20"/>
          <w:sz w:val="24"/>
        </w:rPr>
        <w:t>exagéré</w:t>
      </w:r>
      <w:r>
        <w:rPr>
          <w:i/>
          <w:color w:val="231F20"/>
          <w:spacing w:val="9"/>
          <w:sz w:val="24"/>
        </w:rPr>
        <w:t> </w:t>
      </w:r>
      <w:r>
        <w:rPr>
          <w:i/>
          <w:color w:val="231F20"/>
          <w:sz w:val="24"/>
        </w:rPr>
        <w:t>de</w:t>
      </w:r>
      <w:r>
        <w:rPr>
          <w:i/>
          <w:color w:val="231F20"/>
          <w:spacing w:val="10"/>
          <w:sz w:val="24"/>
        </w:rPr>
        <w:t> </w:t>
      </w:r>
      <w:r>
        <w:rPr>
          <w:i/>
          <w:color w:val="231F20"/>
          <w:sz w:val="24"/>
        </w:rPr>
        <w:t>dire</w:t>
      </w:r>
      <w:r>
        <w:rPr>
          <w:i/>
          <w:color w:val="231F20"/>
          <w:spacing w:val="11"/>
          <w:sz w:val="24"/>
        </w:rPr>
        <w:t> </w:t>
      </w:r>
      <w:r>
        <w:rPr>
          <w:i/>
          <w:color w:val="231F20"/>
          <w:sz w:val="24"/>
        </w:rPr>
        <w:t>qu’elle</w:t>
      </w:r>
      <w:r>
        <w:rPr>
          <w:i/>
          <w:color w:val="231F20"/>
          <w:spacing w:val="10"/>
          <w:sz w:val="24"/>
        </w:rPr>
        <w:t> </w:t>
      </w:r>
      <w:r>
        <w:rPr>
          <w:i/>
          <w:color w:val="231F20"/>
          <w:sz w:val="24"/>
        </w:rPr>
        <w:t>sera</w:t>
      </w:r>
      <w:r>
        <w:rPr>
          <w:i/>
          <w:color w:val="231F20"/>
          <w:spacing w:val="11"/>
          <w:sz w:val="24"/>
        </w:rPr>
        <w:t> </w:t>
      </w:r>
      <w:r>
        <w:rPr>
          <w:i/>
          <w:color w:val="231F20"/>
          <w:sz w:val="24"/>
        </w:rPr>
        <w:t>bientôt</w:t>
      </w:r>
      <w:r>
        <w:rPr>
          <w:i/>
          <w:color w:val="231F20"/>
          <w:spacing w:val="7"/>
          <w:sz w:val="24"/>
        </w:rPr>
        <w:t> </w:t>
      </w:r>
      <w:r>
        <w:rPr>
          <w:i/>
          <w:color w:val="231F20"/>
          <w:sz w:val="24"/>
        </w:rPr>
        <w:t>le</w:t>
      </w:r>
      <w:r>
        <w:rPr>
          <w:i/>
          <w:color w:val="231F20"/>
          <w:spacing w:val="14"/>
          <w:sz w:val="24"/>
        </w:rPr>
        <w:t> </w:t>
      </w:r>
      <w:r>
        <w:rPr>
          <w:i/>
          <w:color w:val="231F20"/>
          <w:spacing w:val="-2"/>
          <w:sz w:val="24"/>
        </w:rPr>
        <w:t>pivot</w:t>
      </w:r>
    </w:p>
    <w:p>
      <w:pPr>
        <w:spacing w:before="0"/>
        <w:ind w:left="111" w:right="0" w:firstLine="0"/>
        <w:jc w:val="both"/>
        <w:rPr>
          <w:i/>
          <w:sz w:val="24"/>
        </w:rPr>
      </w:pPr>
      <w:r>
        <w:rPr>
          <w:i/>
          <w:color w:val="231F20"/>
          <w:spacing w:val="-2"/>
          <w:sz w:val="24"/>
        </w:rPr>
        <w:t>économique</w:t>
      </w:r>
      <w:r>
        <w:rPr>
          <w:i/>
          <w:color w:val="231F20"/>
          <w:spacing w:val="-11"/>
          <w:sz w:val="24"/>
        </w:rPr>
        <w:t> </w:t>
      </w:r>
      <w:r>
        <w:rPr>
          <w:i/>
          <w:color w:val="231F20"/>
          <w:spacing w:val="-2"/>
          <w:sz w:val="24"/>
        </w:rPr>
        <w:t>de</w:t>
      </w:r>
      <w:r>
        <w:rPr>
          <w:i/>
          <w:color w:val="231F20"/>
          <w:spacing w:val="-7"/>
          <w:sz w:val="24"/>
        </w:rPr>
        <w:t> </w:t>
      </w:r>
      <w:r>
        <w:rPr>
          <w:i/>
          <w:color w:val="231F20"/>
          <w:spacing w:val="-2"/>
          <w:sz w:val="24"/>
        </w:rPr>
        <w:t>l’A.</w:t>
      </w:r>
      <w:r>
        <w:rPr>
          <w:i/>
          <w:color w:val="231F20"/>
          <w:spacing w:val="-8"/>
          <w:sz w:val="24"/>
        </w:rPr>
        <w:t> </w:t>
      </w:r>
      <w:r>
        <w:rPr>
          <w:i/>
          <w:color w:val="231F20"/>
          <w:spacing w:val="-2"/>
          <w:sz w:val="24"/>
        </w:rPr>
        <w:t>O.</w:t>
      </w:r>
      <w:r>
        <w:rPr>
          <w:i/>
          <w:color w:val="231F20"/>
          <w:spacing w:val="-9"/>
          <w:sz w:val="24"/>
        </w:rPr>
        <w:t> </w:t>
      </w:r>
      <w:r>
        <w:rPr>
          <w:i/>
          <w:color w:val="231F20"/>
          <w:spacing w:val="-2"/>
          <w:sz w:val="24"/>
        </w:rPr>
        <w:t>F.</w:t>
      </w:r>
      <w:r>
        <w:rPr>
          <w:color w:val="231F20"/>
          <w:spacing w:val="-2"/>
          <w:sz w:val="24"/>
          <w:vertAlign w:val="superscript"/>
        </w:rPr>
        <w:t>117</w:t>
      </w:r>
      <w:r>
        <w:rPr>
          <w:i/>
          <w:color w:val="231F20"/>
          <w:spacing w:val="-2"/>
          <w:sz w:val="24"/>
          <w:vertAlign w:val="baseline"/>
        </w:rPr>
        <w:t>»</w:t>
      </w:r>
    </w:p>
    <w:p>
      <w:pPr>
        <w:pStyle w:val="BodyText"/>
        <w:spacing w:before="235"/>
        <w:ind w:left="0"/>
        <w:jc w:val="left"/>
        <w:rPr>
          <w:i/>
        </w:rPr>
      </w:pPr>
    </w:p>
    <w:p>
      <w:pPr>
        <w:pStyle w:val="Heading2"/>
        <w:jc w:val="both"/>
        <w:rPr>
          <w:sz w:val="16"/>
        </w:rPr>
      </w:pPr>
      <w:r>
        <w:rPr>
          <w:color w:val="231F20"/>
        </w:rPr>
        <w:t>Le</w:t>
      </w:r>
      <w:r>
        <w:rPr>
          <w:color w:val="231F20"/>
          <w:spacing w:val="-12"/>
        </w:rPr>
        <w:t> </w:t>
      </w:r>
      <w:r>
        <w:rPr>
          <w:color w:val="231F20"/>
        </w:rPr>
        <w:t>temps</w:t>
      </w:r>
      <w:r>
        <w:rPr>
          <w:color w:val="231F20"/>
          <w:spacing w:val="-13"/>
        </w:rPr>
        <w:t> </w:t>
      </w:r>
      <w:r>
        <w:rPr>
          <w:color w:val="231F20"/>
        </w:rPr>
        <w:t>du</w:t>
      </w:r>
      <w:r>
        <w:rPr>
          <w:color w:val="231F20"/>
          <w:spacing w:val="-13"/>
        </w:rPr>
        <w:t> </w:t>
      </w:r>
      <w:r>
        <w:rPr>
          <w:color w:val="231F20"/>
          <w:spacing w:val="-2"/>
        </w:rPr>
        <w:t>Bélier</w:t>
      </w:r>
      <w:r>
        <w:rPr>
          <w:color w:val="231F20"/>
          <w:spacing w:val="-2"/>
          <w:position w:val="8"/>
          <w:sz w:val="16"/>
        </w:rPr>
        <w:t>118</w:t>
      </w:r>
    </w:p>
    <w:p>
      <w:pPr>
        <w:pStyle w:val="BodyText"/>
        <w:spacing w:before="257"/>
        <w:ind w:right="103" w:firstLine="283"/>
      </w:pPr>
      <w:r>
        <w:rPr>
          <w:color w:val="231F20"/>
        </w:rPr>
        <w:t>7</w:t>
      </w:r>
      <w:r>
        <w:rPr>
          <w:color w:val="231F20"/>
          <w:spacing w:val="-6"/>
        </w:rPr>
        <w:t> </w:t>
      </w:r>
      <w:r>
        <w:rPr>
          <w:color w:val="231F20"/>
        </w:rPr>
        <w:t>Août</w:t>
      </w:r>
      <w:r>
        <w:rPr>
          <w:color w:val="231F20"/>
          <w:spacing w:val="-6"/>
        </w:rPr>
        <w:t> </w:t>
      </w:r>
      <w:r>
        <w:rPr>
          <w:color w:val="231F20"/>
        </w:rPr>
        <w:t>1960.</w:t>
      </w:r>
      <w:r>
        <w:rPr>
          <w:color w:val="231F20"/>
          <w:spacing w:val="-6"/>
        </w:rPr>
        <w:t> </w:t>
      </w:r>
      <w:r>
        <w:rPr>
          <w:color w:val="231F20"/>
        </w:rPr>
        <w:t>Perché</w:t>
      </w:r>
      <w:r>
        <w:rPr>
          <w:color w:val="231F20"/>
          <w:spacing w:val="-6"/>
        </w:rPr>
        <w:t> </w:t>
      </w:r>
      <w:r>
        <w:rPr>
          <w:color w:val="231F20"/>
        </w:rPr>
        <w:t>sur</w:t>
      </w:r>
      <w:r>
        <w:rPr>
          <w:color w:val="231F20"/>
          <w:spacing w:val="-7"/>
        </w:rPr>
        <w:t> </w:t>
      </w:r>
      <w:r>
        <w:rPr>
          <w:color w:val="231F20"/>
        </w:rPr>
        <w:t>les</w:t>
      </w:r>
      <w:r>
        <w:rPr>
          <w:color w:val="231F20"/>
          <w:spacing w:val="-6"/>
        </w:rPr>
        <w:t> </w:t>
      </w:r>
      <w:r>
        <w:rPr>
          <w:color w:val="231F20"/>
        </w:rPr>
        <w:t>épaules</w:t>
      </w:r>
      <w:r>
        <w:rPr>
          <w:color w:val="231F20"/>
          <w:spacing w:val="-6"/>
        </w:rPr>
        <w:t> </w:t>
      </w:r>
      <w:r>
        <w:rPr>
          <w:color w:val="231F20"/>
        </w:rPr>
        <w:t>de</w:t>
      </w:r>
      <w:r>
        <w:rPr>
          <w:color w:val="231F20"/>
          <w:spacing w:val="-6"/>
        </w:rPr>
        <w:t> </w:t>
      </w:r>
      <w:r>
        <w:rPr>
          <w:color w:val="231F20"/>
        </w:rPr>
        <w:t>mon</w:t>
      </w:r>
      <w:r>
        <w:rPr>
          <w:color w:val="231F20"/>
          <w:spacing w:val="-6"/>
        </w:rPr>
        <w:t> </w:t>
      </w:r>
      <w:r>
        <w:rPr>
          <w:color w:val="231F20"/>
        </w:rPr>
        <w:t>père,</w:t>
      </w:r>
      <w:r>
        <w:rPr>
          <w:color w:val="231F20"/>
          <w:spacing w:val="-7"/>
        </w:rPr>
        <w:t> </w:t>
      </w:r>
      <w:r>
        <w:rPr>
          <w:color w:val="231F20"/>
        </w:rPr>
        <w:t>j’admire</w:t>
      </w:r>
      <w:r>
        <w:rPr>
          <w:color w:val="231F20"/>
          <w:spacing w:val="-6"/>
        </w:rPr>
        <w:t> </w:t>
      </w:r>
      <w:r>
        <w:rPr>
          <w:color w:val="231F20"/>
        </w:rPr>
        <w:t>avec</w:t>
      </w:r>
      <w:r>
        <w:rPr>
          <w:color w:val="231F20"/>
          <w:spacing w:val="-6"/>
        </w:rPr>
        <w:t> </w:t>
      </w:r>
      <w:r>
        <w:rPr>
          <w:color w:val="231F20"/>
        </w:rPr>
        <w:t>mes </w:t>
      </w:r>
      <w:r>
        <w:rPr>
          <w:color w:val="231F20"/>
          <w:spacing w:val="-4"/>
        </w:rPr>
        <w:t>yeux</w:t>
      </w:r>
      <w:r>
        <w:rPr>
          <w:color w:val="231F20"/>
          <w:spacing w:val="-10"/>
        </w:rPr>
        <w:t> </w:t>
      </w:r>
      <w:r>
        <w:rPr>
          <w:color w:val="231F20"/>
          <w:spacing w:val="-4"/>
        </w:rPr>
        <w:t>d’enfant</w:t>
      </w:r>
      <w:r>
        <w:rPr>
          <w:color w:val="231F20"/>
          <w:spacing w:val="-11"/>
        </w:rPr>
        <w:t> </w:t>
      </w:r>
      <w:r>
        <w:rPr>
          <w:color w:val="231F20"/>
          <w:spacing w:val="-4"/>
        </w:rPr>
        <w:t>de</w:t>
      </w:r>
      <w:r>
        <w:rPr>
          <w:color w:val="231F20"/>
          <w:spacing w:val="-9"/>
        </w:rPr>
        <w:t> </w:t>
      </w:r>
      <w:r>
        <w:rPr>
          <w:color w:val="231F20"/>
          <w:spacing w:val="-4"/>
        </w:rPr>
        <w:t>5</w:t>
      </w:r>
      <w:r>
        <w:rPr>
          <w:color w:val="231F20"/>
          <w:spacing w:val="-9"/>
        </w:rPr>
        <w:t> </w:t>
      </w:r>
      <w:r>
        <w:rPr>
          <w:color w:val="231F20"/>
          <w:spacing w:val="-4"/>
        </w:rPr>
        <w:t>ans</w:t>
      </w:r>
      <w:r>
        <w:rPr>
          <w:color w:val="231F20"/>
          <w:spacing w:val="-4"/>
          <w:vertAlign w:val="superscript"/>
        </w:rPr>
        <w:t>119</w:t>
      </w:r>
      <w:r>
        <w:rPr>
          <w:color w:val="231F20"/>
          <w:spacing w:val="-4"/>
          <w:vertAlign w:val="baseline"/>
        </w:rPr>
        <w:t>,</w:t>
      </w:r>
      <w:r>
        <w:rPr>
          <w:color w:val="231F20"/>
          <w:spacing w:val="-9"/>
          <w:vertAlign w:val="baseline"/>
        </w:rPr>
        <w:t> </w:t>
      </w:r>
      <w:r>
        <w:rPr>
          <w:color w:val="231F20"/>
          <w:spacing w:val="-4"/>
          <w:vertAlign w:val="baseline"/>
        </w:rPr>
        <w:t>les</w:t>
      </w:r>
      <w:r>
        <w:rPr>
          <w:color w:val="231F20"/>
          <w:spacing w:val="-11"/>
          <w:vertAlign w:val="baseline"/>
        </w:rPr>
        <w:t> </w:t>
      </w:r>
      <w:r>
        <w:rPr>
          <w:color w:val="231F20"/>
          <w:spacing w:val="-4"/>
          <w:vertAlign w:val="baseline"/>
        </w:rPr>
        <w:t>manifestations</w:t>
      </w:r>
      <w:r>
        <w:rPr>
          <w:color w:val="231F20"/>
          <w:spacing w:val="-11"/>
          <w:vertAlign w:val="baseline"/>
        </w:rPr>
        <w:t> </w:t>
      </w:r>
      <w:r>
        <w:rPr>
          <w:color w:val="231F20"/>
          <w:spacing w:val="-4"/>
          <w:vertAlign w:val="baseline"/>
        </w:rPr>
        <w:t>marquant</w:t>
      </w:r>
      <w:r>
        <w:rPr>
          <w:color w:val="231F20"/>
          <w:spacing w:val="-11"/>
          <w:vertAlign w:val="baseline"/>
        </w:rPr>
        <w:t> </w:t>
      </w:r>
      <w:r>
        <w:rPr>
          <w:color w:val="231F20"/>
          <w:spacing w:val="-4"/>
          <w:vertAlign w:val="baseline"/>
        </w:rPr>
        <w:t>l’accession</w:t>
      </w:r>
      <w:r>
        <w:rPr>
          <w:color w:val="231F20"/>
          <w:spacing w:val="-9"/>
          <w:vertAlign w:val="baseline"/>
        </w:rPr>
        <w:t> </w:t>
      </w:r>
      <w:r>
        <w:rPr>
          <w:color w:val="231F20"/>
          <w:spacing w:val="-4"/>
          <w:vertAlign w:val="baseline"/>
        </w:rPr>
        <w:t>de</w:t>
      </w:r>
      <w:r>
        <w:rPr>
          <w:color w:val="231F20"/>
          <w:spacing w:val="-9"/>
          <w:vertAlign w:val="baseline"/>
        </w:rPr>
        <w:t> </w:t>
      </w:r>
      <w:r>
        <w:rPr>
          <w:color w:val="231F20"/>
          <w:spacing w:val="-4"/>
          <w:vertAlign w:val="baseline"/>
        </w:rPr>
        <w:t>mon </w:t>
      </w:r>
      <w:r>
        <w:rPr>
          <w:color w:val="231F20"/>
          <w:vertAlign w:val="baseline"/>
        </w:rPr>
        <w:t>pays, la Côte d’Ivoire, à la souveraineté nationale. Nous sommes à </w:t>
      </w:r>
      <w:r>
        <w:rPr>
          <w:color w:val="231F20"/>
          <w:spacing w:val="-4"/>
          <w:vertAlign w:val="baseline"/>
        </w:rPr>
        <w:t>Toumodi,</w:t>
      </w:r>
      <w:r>
        <w:rPr>
          <w:color w:val="231F20"/>
          <w:spacing w:val="-11"/>
          <w:vertAlign w:val="baseline"/>
        </w:rPr>
        <w:t> </w:t>
      </w:r>
      <w:r>
        <w:rPr>
          <w:color w:val="231F20"/>
          <w:spacing w:val="-4"/>
          <w:vertAlign w:val="baseline"/>
        </w:rPr>
        <w:t>une</w:t>
      </w:r>
      <w:r>
        <w:rPr>
          <w:color w:val="231F20"/>
          <w:spacing w:val="-11"/>
          <w:vertAlign w:val="baseline"/>
        </w:rPr>
        <w:t> </w:t>
      </w:r>
      <w:r>
        <w:rPr>
          <w:color w:val="231F20"/>
          <w:spacing w:val="-4"/>
          <w:vertAlign w:val="baseline"/>
        </w:rPr>
        <w:t>petite</w:t>
      </w:r>
      <w:r>
        <w:rPr>
          <w:color w:val="231F20"/>
          <w:spacing w:val="-11"/>
          <w:vertAlign w:val="baseline"/>
        </w:rPr>
        <w:t> </w:t>
      </w:r>
      <w:r>
        <w:rPr>
          <w:color w:val="231F20"/>
          <w:spacing w:val="-4"/>
          <w:vertAlign w:val="baseline"/>
        </w:rPr>
        <w:t>ville</w:t>
      </w:r>
      <w:r>
        <w:rPr>
          <w:color w:val="231F20"/>
          <w:spacing w:val="-11"/>
          <w:vertAlign w:val="baseline"/>
        </w:rPr>
        <w:t> </w:t>
      </w:r>
      <w:r>
        <w:rPr>
          <w:color w:val="231F20"/>
          <w:spacing w:val="-4"/>
          <w:vertAlign w:val="baseline"/>
        </w:rPr>
        <w:t>du</w:t>
      </w:r>
      <w:r>
        <w:rPr>
          <w:color w:val="231F20"/>
          <w:spacing w:val="-11"/>
          <w:vertAlign w:val="baseline"/>
        </w:rPr>
        <w:t> </w:t>
      </w:r>
      <w:r>
        <w:rPr>
          <w:color w:val="231F20"/>
          <w:spacing w:val="-4"/>
          <w:vertAlign w:val="baseline"/>
        </w:rPr>
        <w:t>Centre,</w:t>
      </w:r>
      <w:r>
        <w:rPr>
          <w:color w:val="231F20"/>
          <w:spacing w:val="-11"/>
          <w:vertAlign w:val="baseline"/>
        </w:rPr>
        <w:t> </w:t>
      </w:r>
      <w:r>
        <w:rPr>
          <w:color w:val="231F20"/>
          <w:spacing w:val="-4"/>
          <w:vertAlign w:val="baseline"/>
        </w:rPr>
        <w:t>à</w:t>
      </w:r>
      <w:r>
        <w:rPr>
          <w:color w:val="231F20"/>
          <w:spacing w:val="-11"/>
          <w:vertAlign w:val="baseline"/>
        </w:rPr>
        <w:t> </w:t>
      </w:r>
      <w:r>
        <w:rPr>
          <w:color w:val="231F20"/>
          <w:spacing w:val="-4"/>
          <w:vertAlign w:val="baseline"/>
        </w:rPr>
        <w:t>quelques</w:t>
      </w:r>
      <w:r>
        <w:rPr>
          <w:color w:val="231F20"/>
          <w:spacing w:val="-11"/>
          <w:vertAlign w:val="baseline"/>
        </w:rPr>
        <w:t> </w:t>
      </w:r>
      <w:r>
        <w:rPr>
          <w:color w:val="231F20"/>
          <w:spacing w:val="-4"/>
          <w:vertAlign w:val="baseline"/>
        </w:rPr>
        <w:t>200</w:t>
      </w:r>
      <w:r>
        <w:rPr>
          <w:color w:val="231F20"/>
          <w:spacing w:val="-11"/>
          <w:vertAlign w:val="baseline"/>
        </w:rPr>
        <w:t> </w:t>
      </w:r>
      <w:r>
        <w:rPr>
          <w:color w:val="231F20"/>
          <w:spacing w:val="-4"/>
          <w:vertAlign w:val="baseline"/>
        </w:rPr>
        <w:t>kilomètres</w:t>
      </w:r>
      <w:r>
        <w:rPr>
          <w:color w:val="231F20"/>
          <w:spacing w:val="-11"/>
          <w:vertAlign w:val="baseline"/>
        </w:rPr>
        <w:t> </w:t>
      </w:r>
      <w:r>
        <w:rPr>
          <w:color w:val="231F20"/>
          <w:spacing w:val="-4"/>
          <w:vertAlign w:val="baseline"/>
        </w:rPr>
        <w:t>d’Abidjan, </w:t>
      </w:r>
      <w:r>
        <w:rPr>
          <w:color w:val="231F20"/>
          <w:spacing w:val="-2"/>
          <w:vertAlign w:val="baseline"/>
        </w:rPr>
        <w:t>la</w:t>
      </w:r>
      <w:r>
        <w:rPr>
          <w:color w:val="231F20"/>
          <w:spacing w:val="-13"/>
          <w:vertAlign w:val="baseline"/>
        </w:rPr>
        <w:t> </w:t>
      </w:r>
      <w:r>
        <w:rPr>
          <w:color w:val="231F20"/>
          <w:spacing w:val="-2"/>
          <w:vertAlign w:val="baseline"/>
        </w:rPr>
        <w:t>capitale.</w:t>
      </w:r>
      <w:r>
        <w:rPr>
          <w:color w:val="231F20"/>
          <w:spacing w:val="-13"/>
          <w:vertAlign w:val="baseline"/>
        </w:rPr>
        <w:t> </w:t>
      </w:r>
      <w:r>
        <w:rPr>
          <w:color w:val="231F20"/>
          <w:spacing w:val="-2"/>
          <w:vertAlign w:val="baseline"/>
        </w:rPr>
        <w:t>Dans</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cour</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la</w:t>
      </w:r>
      <w:r>
        <w:rPr>
          <w:color w:val="231F20"/>
          <w:spacing w:val="-12"/>
          <w:vertAlign w:val="baseline"/>
        </w:rPr>
        <w:t> </w:t>
      </w:r>
      <w:r>
        <w:rPr>
          <w:color w:val="231F20"/>
          <w:spacing w:val="-2"/>
          <w:vertAlign w:val="baseline"/>
        </w:rPr>
        <w:t>sous-préfecture,</w:t>
      </w:r>
      <w:r>
        <w:rPr>
          <w:color w:val="231F20"/>
          <w:spacing w:val="-12"/>
          <w:vertAlign w:val="baseline"/>
        </w:rPr>
        <w:t> </w:t>
      </w:r>
      <w:r>
        <w:rPr>
          <w:color w:val="231F20"/>
          <w:spacing w:val="-2"/>
          <w:vertAlign w:val="baseline"/>
        </w:rPr>
        <w:t>tout</w:t>
      </w:r>
      <w:r>
        <w:rPr>
          <w:color w:val="231F20"/>
          <w:spacing w:val="-13"/>
          <w:vertAlign w:val="baseline"/>
        </w:rPr>
        <w:t> </w:t>
      </w:r>
      <w:r>
        <w:rPr>
          <w:color w:val="231F20"/>
          <w:spacing w:val="-2"/>
          <w:vertAlign w:val="baseline"/>
        </w:rPr>
        <w:t>de</w:t>
      </w:r>
      <w:r>
        <w:rPr>
          <w:color w:val="231F20"/>
          <w:spacing w:val="-12"/>
          <w:vertAlign w:val="baseline"/>
        </w:rPr>
        <w:t> </w:t>
      </w:r>
      <w:r>
        <w:rPr>
          <w:color w:val="231F20"/>
          <w:spacing w:val="-2"/>
          <w:vertAlign w:val="baseline"/>
        </w:rPr>
        <w:t>blanc</w:t>
      </w:r>
      <w:r>
        <w:rPr>
          <w:color w:val="231F20"/>
          <w:spacing w:val="-13"/>
          <w:vertAlign w:val="baseline"/>
        </w:rPr>
        <w:t> </w:t>
      </w:r>
      <w:r>
        <w:rPr>
          <w:color w:val="231F20"/>
          <w:spacing w:val="-2"/>
          <w:vertAlign w:val="baseline"/>
        </w:rPr>
        <w:t>vêtu</w:t>
      </w:r>
      <w:r>
        <w:rPr>
          <w:color w:val="231F20"/>
          <w:spacing w:val="-12"/>
          <w:vertAlign w:val="baseline"/>
        </w:rPr>
        <w:t> </w:t>
      </w:r>
      <w:r>
        <w:rPr>
          <w:color w:val="231F20"/>
          <w:spacing w:val="-2"/>
          <w:vertAlign w:val="baseline"/>
        </w:rPr>
        <w:t>(culotte, </w:t>
      </w:r>
      <w:r>
        <w:rPr>
          <w:color w:val="231F20"/>
          <w:vertAlign w:val="baseline"/>
        </w:rPr>
        <w:t>veste, casque), est assis un homme blanc</w:t>
      </w:r>
      <w:r>
        <w:rPr>
          <w:color w:val="231F20"/>
          <w:spacing w:val="-15"/>
          <w:vertAlign w:val="baseline"/>
        </w:rPr>
        <w:t> </w:t>
      </w:r>
      <w:r>
        <w:rPr>
          <w:color w:val="231F20"/>
          <w:vertAlign w:val="baseline"/>
        </w:rPr>
        <w:t>: c’est le Commandant. Les arbres de la cour et de grosses pierres de couleur ocre protégeant les parterres</w:t>
      </w:r>
      <w:r>
        <w:rPr>
          <w:color w:val="231F20"/>
          <w:spacing w:val="40"/>
          <w:vertAlign w:val="baseline"/>
        </w:rPr>
        <w:t> </w:t>
      </w:r>
      <w:r>
        <w:rPr>
          <w:color w:val="231F20"/>
          <w:vertAlign w:val="baseline"/>
        </w:rPr>
        <w:t>fleuris</w:t>
      </w:r>
      <w:r>
        <w:rPr>
          <w:color w:val="231F20"/>
          <w:spacing w:val="40"/>
          <w:vertAlign w:val="baseline"/>
        </w:rPr>
        <w:t> </w:t>
      </w:r>
      <w:r>
        <w:rPr>
          <w:color w:val="231F20"/>
          <w:vertAlign w:val="baseline"/>
        </w:rPr>
        <w:t>sont</w:t>
      </w:r>
      <w:r>
        <w:rPr>
          <w:color w:val="231F20"/>
          <w:spacing w:val="40"/>
          <w:vertAlign w:val="baseline"/>
        </w:rPr>
        <w:t> </w:t>
      </w:r>
      <w:r>
        <w:rPr>
          <w:color w:val="231F20"/>
          <w:vertAlign w:val="baseline"/>
        </w:rPr>
        <w:t>peints</w:t>
      </w:r>
      <w:r>
        <w:rPr>
          <w:color w:val="231F20"/>
          <w:spacing w:val="40"/>
          <w:vertAlign w:val="baseline"/>
        </w:rPr>
        <w:t> </w:t>
      </w:r>
      <w:r>
        <w:rPr>
          <w:color w:val="231F20"/>
          <w:vertAlign w:val="baseline"/>
        </w:rPr>
        <w:t>en</w:t>
      </w:r>
      <w:r>
        <w:rPr>
          <w:color w:val="231F20"/>
          <w:spacing w:val="40"/>
          <w:vertAlign w:val="baseline"/>
        </w:rPr>
        <w:t> </w:t>
      </w:r>
      <w:r>
        <w:rPr>
          <w:color w:val="231F20"/>
          <w:vertAlign w:val="baseline"/>
        </w:rPr>
        <w:t>blanc.</w:t>
      </w:r>
      <w:r>
        <w:rPr>
          <w:color w:val="231F20"/>
          <w:spacing w:val="40"/>
          <w:vertAlign w:val="baseline"/>
        </w:rPr>
        <w:t> </w:t>
      </w:r>
      <w:r>
        <w:rPr>
          <w:color w:val="231F20"/>
          <w:vertAlign w:val="baseline"/>
        </w:rPr>
        <w:t>Je</w:t>
      </w:r>
      <w:r>
        <w:rPr>
          <w:color w:val="231F20"/>
          <w:spacing w:val="40"/>
          <w:vertAlign w:val="baseline"/>
        </w:rPr>
        <w:t> </w:t>
      </w:r>
      <w:r>
        <w:rPr>
          <w:color w:val="231F20"/>
          <w:vertAlign w:val="baseline"/>
        </w:rPr>
        <w:t>ne</w:t>
      </w:r>
      <w:r>
        <w:rPr>
          <w:color w:val="231F20"/>
          <w:spacing w:val="40"/>
          <w:vertAlign w:val="baseline"/>
        </w:rPr>
        <w:t> </w:t>
      </w:r>
      <w:r>
        <w:rPr>
          <w:color w:val="231F20"/>
          <w:vertAlign w:val="baseline"/>
        </w:rPr>
        <w:t>sais</w:t>
      </w:r>
      <w:r>
        <w:rPr>
          <w:color w:val="231F20"/>
          <w:spacing w:val="40"/>
          <w:vertAlign w:val="baseline"/>
        </w:rPr>
        <w:t> </w:t>
      </w:r>
      <w:r>
        <w:rPr>
          <w:color w:val="231F20"/>
          <w:vertAlign w:val="baseline"/>
        </w:rPr>
        <w:t>pas</w:t>
      </w:r>
      <w:r>
        <w:rPr>
          <w:color w:val="231F20"/>
          <w:spacing w:val="40"/>
          <w:vertAlign w:val="baseline"/>
        </w:rPr>
        <w:t> </w:t>
      </w:r>
      <w:r>
        <w:rPr>
          <w:color w:val="231F20"/>
          <w:vertAlign w:val="baseline"/>
        </w:rPr>
        <w:t>ce</w:t>
      </w:r>
      <w:r>
        <w:rPr>
          <w:color w:val="231F20"/>
          <w:spacing w:val="40"/>
          <w:vertAlign w:val="baseline"/>
        </w:rPr>
        <w:t> </w:t>
      </w:r>
      <w:r>
        <w:rPr>
          <w:color w:val="231F20"/>
          <w:vertAlign w:val="baseline"/>
        </w:rPr>
        <w:t>que</w:t>
      </w:r>
      <w:r>
        <w:rPr>
          <w:color w:val="231F20"/>
          <w:spacing w:val="40"/>
          <w:vertAlign w:val="baseline"/>
        </w:rPr>
        <w:t> </w:t>
      </w:r>
      <w:r>
        <w:rPr>
          <w:color w:val="231F20"/>
          <w:vertAlign w:val="baseline"/>
        </w:rPr>
        <w:t>veut </w:t>
      </w:r>
      <w:r>
        <w:rPr>
          <w:color w:val="231F20"/>
          <w:spacing w:val="-2"/>
          <w:vertAlign w:val="baseline"/>
        </w:rPr>
        <w:t>dire</w:t>
      </w:r>
      <w:r>
        <w:rPr>
          <w:color w:val="231F20"/>
          <w:spacing w:val="-9"/>
          <w:vertAlign w:val="baseline"/>
        </w:rPr>
        <w:t> </w:t>
      </w:r>
      <w:r>
        <w:rPr>
          <w:color w:val="231F20"/>
          <w:spacing w:val="-2"/>
          <w:vertAlign w:val="baseline"/>
        </w:rPr>
        <w:t>«</w:t>
      </w:r>
      <w:r>
        <w:rPr>
          <w:color w:val="231F20"/>
          <w:spacing w:val="-11"/>
          <w:vertAlign w:val="baseline"/>
        </w:rPr>
        <w:t> </w:t>
      </w:r>
      <w:r>
        <w:rPr>
          <w:color w:val="231F20"/>
          <w:spacing w:val="-2"/>
          <w:vertAlign w:val="baseline"/>
        </w:rPr>
        <w:t>indépendance</w:t>
      </w:r>
      <w:r>
        <w:rPr>
          <w:color w:val="231F20"/>
          <w:spacing w:val="-9"/>
          <w:vertAlign w:val="baseline"/>
        </w:rPr>
        <w:t> </w:t>
      </w:r>
      <w:r>
        <w:rPr>
          <w:color w:val="231F20"/>
          <w:spacing w:val="-2"/>
          <w:vertAlign w:val="baseline"/>
        </w:rPr>
        <w:t>»</w:t>
      </w:r>
      <w:r>
        <w:rPr>
          <w:color w:val="231F20"/>
          <w:spacing w:val="-11"/>
          <w:vertAlign w:val="baseline"/>
        </w:rPr>
        <w:t> </w:t>
      </w:r>
      <w:r>
        <w:rPr>
          <w:color w:val="231F20"/>
          <w:spacing w:val="-2"/>
          <w:vertAlign w:val="baseline"/>
        </w:rPr>
        <w:t>;</w:t>
      </w:r>
      <w:r>
        <w:rPr>
          <w:color w:val="231F20"/>
          <w:spacing w:val="-10"/>
          <w:vertAlign w:val="baseline"/>
        </w:rPr>
        <w:t> </w:t>
      </w:r>
      <w:r>
        <w:rPr>
          <w:color w:val="231F20"/>
          <w:spacing w:val="-2"/>
          <w:vertAlign w:val="baseline"/>
        </w:rPr>
        <w:t>je</w:t>
      </w:r>
      <w:r>
        <w:rPr>
          <w:color w:val="231F20"/>
          <w:spacing w:val="-13"/>
          <w:vertAlign w:val="baseline"/>
        </w:rPr>
        <w:t> </w:t>
      </w:r>
      <w:r>
        <w:rPr>
          <w:color w:val="231F20"/>
          <w:spacing w:val="-2"/>
          <w:vertAlign w:val="baseline"/>
        </w:rPr>
        <w:t>sais</w:t>
      </w:r>
      <w:r>
        <w:rPr>
          <w:color w:val="231F20"/>
          <w:spacing w:val="-11"/>
          <w:vertAlign w:val="baseline"/>
        </w:rPr>
        <w:t> </w:t>
      </w:r>
      <w:r>
        <w:rPr>
          <w:color w:val="231F20"/>
          <w:spacing w:val="-2"/>
          <w:vertAlign w:val="baseline"/>
        </w:rPr>
        <w:t>seulement</w:t>
      </w:r>
      <w:r>
        <w:rPr>
          <w:color w:val="231F20"/>
          <w:spacing w:val="-10"/>
          <w:vertAlign w:val="baseline"/>
        </w:rPr>
        <w:t> </w:t>
      </w:r>
      <w:r>
        <w:rPr>
          <w:color w:val="231F20"/>
          <w:spacing w:val="-2"/>
          <w:vertAlign w:val="baseline"/>
        </w:rPr>
        <w:t>que</w:t>
      </w:r>
      <w:r>
        <w:rPr>
          <w:color w:val="231F20"/>
          <w:spacing w:val="-11"/>
          <w:vertAlign w:val="baseline"/>
        </w:rPr>
        <w:t> </w:t>
      </w:r>
      <w:r>
        <w:rPr>
          <w:color w:val="231F20"/>
          <w:spacing w:val="-2"/>
          <w:vertAlign w:val="baseline"/>
        </w:rPr>
        <w:t>ce</w:t>
      </w:r>
      <w:r>
        <w:rPr>
          <w:color w:val="231F20"/>
          <w:spacing w:val="-11"/>
          <w:vertAlign w:val="baseline"/>
        </w:rPr>
        <w:t> </w:t>
      </w:r>
      <w:r>
        <w:rPr>
          <w:color w:val="231F20"/>
          <w:spacing w:val="-2"/>
          <w:vertAlign w:val="baseline"/>
        </w:rPr>
        <w:t>jour,</w:t>
      </w:r>
      <w:r>
        <w:rPr>
          <w:color w:val="231F20"/>
          <w:spacing w:val="-11"/>
          <w:vertAlign w:val="baseline"/>
        </w:rPr>
        <w:t> </w:t>
      </w:r>
      <w:r>
        <w:rPr>
          <w:color w:val="231F20"/>
          <w:spacing w:val="-2"/>
          <w:vertAlign w:val="baseline"/>
        </w:rPr>
        <w:t>c’est</w:t>
      </w:r>
      <w:r>
        <w:rPr>
          <w:color w:val="231F20"/>
          <w:spacing w:val="-13"/>
          <w:vertAlign w:val="baseline"/>
        </w:rPr>
        <w:t> </w:t>
      </w:r>
      <w:r>
        <w:rPr>
          <w:color w:val="231F20"/>
          <w:spacing w:val="-2"/>
          <w:vertAlign w:val="baseline"/>
        </w:rPr>
        <w:t>la</w:t>
      </w:r>
      <w:r>
        <w:rPr>
          <w:color w:val="231F20"/>
          <w:spacing w:val="-12"/>
          <w:vertAlign w:val="baseline"/>
        </w:rPr>
        <w:t> </w:t>
      </w:r>
      <w:r>
        <w:rPr>
          <w:color w:val="231F20"/>
          <w:spacing w:val="-2"/>
          <w:vertAlign w:val="baseline"/>
        </w:rPr>
        <w:t>fête.</w:t>
      </w:r>
      <w:r>
        <w:rPr>
          <w:color w:val="231F20"/>
          <w:spacing w:val="-11"/>
          <w:vertAlign w:val="baseline"/>
        </w:rPr>
        <w:t> </w:t>
      </w:r>
      <w:r>
        <w:rPr>
          <w:color w:val="231F20"/>
          <w:spacing w:val="-2"/>
          <w:vertAlign w:val="baseline"/>
        </w:rPr>
        <w:t>Je</w:t>
      </w:r>
      <w:r>
        <w:rPr>
          <w:color w:val="231F20"/>
          <w:spacing w:val="-13"/>
          <w:vertAlign w:val="baseline"/>
        </w:rPr>
        <w:t> </w:t>
      </w:r>
      <w:r>
        <w:rPr>
          <w:color w:val="231F20"/>
          <w:spacing w:val="-2"/>
          <w:vertAlign w:val="baseline"/>
        </w:rPr>
        <w:t>vois </w:t>
      </w:r>
      <w:r>
        <w:rPr>
          <w:color w:val="231F20"/>
          <w:vertAlign w:val="baseline"/>
        </w:rPr>
        <w:t>mon</w:t>
      </w:r>
      <w:r>
        <w:rPr>
          <w:color w:val="231F20"/>
          <w:spacing w:val="2"/>
          <w:vertAlign w:val="baseline"/>
        </w:rPr>
        <w:t> </w:t>
      </w:r>
      <w:r>
        <w:rPr>
          <w:color w:val="231F20"/>
          <w:vertAlign w:val="baseline"/>
        </w:rPr>
        <w:t>père</w:t>
      </w:r>
      <w:r>
        <w:rPr>
          <w:color w:val="231F20"/>
          <w:spacing w:val="2"/>
          <w:vertAlign w:val="baseline"/>
        </w:rPr>
        <w:t> </w:t>
      </w:r>
      <w:r>
        <w:rPr>
          <w:color w:val="231F20"/>
          <w:vertAlign w:val="baseline"/>
        </w:rPr>
        <w:t>et</w:t>
      </w:r>
      <w:r>
        <w:rPr>
          <w:color w:val="231F20"/>
          <w:spacing w:val="1"/>
          <w:vertAlign w:val="baseline"/>
        </w:rPr>
        <w:t> </w:t>
      </w:r>
      <w:r>
        <w:rPr>
          <w:color w:val="231F20"/>
          <w:vertAlign w:val="baseline"/>
        </w:rPr>
        <w:t>ses</w:t>
      </w:r>
      <w:r>
        <w:rPr>
          <w:color w:val="231F20"/>
          <w:spacing w:val="1"/>
          <w:vertAlign w:val="baseline"/>
        </w:rPr>
        <w:t> </w:t>
      </w:r>
      <w:r>
        <w:rPr>
          <w:color w:val="231F20"/>
          <w:vertAlign w:val="baseline"/>
        </w:rPr>
        <w:t>amis transportés de</w:t>
      </w:r>
      <w:r>
        <w:rPr>
          <w:color w:val="231F20"/>
          <w:spacing w:val="2"/>
          <w:vertAlign w:val="baseline"/>
        </w:rPr>
        <w:t> </w:t>
      </w:r>
      <w:r>
        <w:rPr>
          <w:color w:val="231F20"/>
          <w:vertAlign w:val="baseline"/>
        </w:rPr>
        <w:t>joie.</w:t>
      </w:r>
      <w:r>
        <w:rPr>
          <w:color w:val="231F20"/>
          <w:spacing w:val="2"/>
          <w:vertAlign w:val="baseline"/>
        </w:rPr>
        <w:t> </w:t>
      </w:r>
      <w:r>
        <w:rPr>
          <w:color w:val="231F20"/>
          <w:vertAlign w:val="baseline"/>
        </w:rPr>
        <w:t>Dans</w:t>
      </w:r>
      <w:r>
        <w:rPr>
          <w:color w:val="231F20"/>
          <w:spacing w:val="2"/>
          <w:vertAlign w:val="baseline"/>
        </w:rPr>
        <w:t> </w:t>
      </w:r>
      <w:r>
        <w:rPr>
          <w:color w:val="231F20"/>
          <w:vertAlign w:val="baseline"/>
        </w:rPr>
        <w:t>la</w:t>
      </w:r>
      <w:r>
        <w:rPr>
          <w:color w:val="231F20"/>
          <w:spacing w:val="2"/>
          <w:vertAlign w:val="baseline"/>
        </w:rPr>
        <w:t> </w:t>
      </w:r>
      <w:r>
        <w:rPr>
          <w:color w:val="231F20"/>
          <w:vertAlign w:val="baseline"/>
        </w:rPr>
        <w:t>foule, les</w:t>
      </w:r>
      <w:r>
        <w:rPr>
          <w:color w:val="231F20"/>
          <w:spacing w:val="2"/>
          <w:vertAlign w:val="baseline"/>
        </w:rPr>
        <w:t> </w:t>
      </w:r>
      <w:r>
        <w:rPr>
          <w:color w:val="231F20"/>
          <w:vertAlign w:val="baseline"/>
        </w:rPr>
        <w:t>clameurs</w:t>
      </w:r>
      <w:r>
        <w:rPr>
          <w:color w:val="231F20"/>
          <w:spacing w:val="3"/>
          <w:vertAlign w:val="baseline"/>
        </w:rPr>
        <w:t> </w:t>
      </w:r>
      <w:r>
        <w:rPr>
          <w:color w:val="231F20"/>
          <w:spacing w:val="-5"/>
          <w:vertAlign w:val="baseline"/>
        </w:rPr>
        <w:t>et</w:t>
      </w:r>
    </w:p>
    <w:p>
      <w:pPr>
        <w:pStyle w:val="BodyText"/>
        <w:spacing w:before="5"/>
        <w:ind w:left="0"/>
        <w:jc w:val="left"/>
        <w:rPr>
          <w:sz w:val="19"/>
        </w:rPr>
      </w:pPr>
      <w:r>
        <w:rPr/>
        <mc:AlternateContent>
          <mc:Choice Requires="wps">
            <w:drawing>
              <wp:anchor distT="0" distB="0" distL="0" distR="0" allowOverlap="1" layoutInCell="1" locked="0" behindDoc="1" simplePos="0" relativeHeight="487624704">
                <wp:simplePos x="0" y="0"/>
                <wp:positionH relativeFrom="page">
                  <wp:posOffset>629907</wp:posOffset>
                </wp:positionH>
                <wp:positionV relativeFrom="paragraph">
                  <wp:posOffset>157548</wp:posOffset>
                </wp:positionV>
                <wp:extent cx="1829435" cy="9525"/>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2.40543pt;width:144.020pt;height:.72pt;mso-position-horizontal-relative:page;mso-position-vertical-relative:paragraph;z-index:-15691776;mso-wrap-distance-left:0;mso-wrap-distance-right:0" id="docshape91" filled="true" fillcolor="#231f20" stroked="false">
                <v:fill type="solid"/>
                <w10:wrap type="topAndBottom"/>
              </v:rect>
            </w:pict>
          </mc:Fallback>
        </mc:AlternateContent>
      </w:r>
    </w:p>
    <w:p>
      <w:pPr>
        <w:spacing w:line="229" w:lineRule="exact" w:before="94"/>
        <w:ind w:left="111" w:right="0" w:firstLine="0"/>
        <w:jc w:val="both"/>
        <w:rPr>
          <w:sz w:val="20"/>
        </w:rPr>
      </w:pPr>
      <w:r>
        <w:rPr>
          <w:color w:val="231F20"/>
          <w:spacing w:val="-4"/>
          <w:sz w:val="20"/>
          <w:vertAlign w:val="superscript"/>
        </w:rPr>
        <w:t>117</w:t>
      </w:r>
      <w:r>
        <w:rPr>
          <w:color w:val="231F20"/>
          <w:spacing w:val="2"/>
          <w:sz w:val="20"/>
          <w:vertAlign w:val="baseline"/>
        </w:rPr>
        <w:t> </w:t>
      </w:r>
      <w:r>
        <w:rPr>
          <w:color w:val="231F20"/>
          <w:spacing w:val="-4"/>
          <w:sz w:val="20"/>
          <w:vertAlign w:val="baseline"/>
        </w:rPr>
        <w:t>«</w:t>
      </w:r>
      <w:r>
        <w:rPr>
          <w:color w:val="231F20"/>
          <w:sz w:val="20"/>
          <w:vertAlign w:val="baseline"/>
        </w:rPr>
        <w:t> </w:t>
      </w:r>
      <w:r>
        <w:rPr>
          <w:color w:val="231F20"/>
          <w:spacing w:val="-4"/>
          <w:sz w:val="20"/>
          <w:vertAlign w:val="baseline"/>
        </w:rPr>
        <w:t>Côte d’Ivoire,</w:t>
      </w:r>
      <w:r>
        <w:rPr>
          <w:color w:val="231F20"/>
          <w:spacing w:val="-3"/>
          <w:sz w:val="20"/>
          <w:vertAlign w:val="baseline"/>
        </w:rPr>
        <w:t> </w:t>
      </w:r>
      <w:r>
        <w:rPr>
          <w:color w:val="231F20"/>
          <w:spacing w:val="-4"/>
          <w:sz w:val="20"/>
          <w:vertAlign w:val="baseline"/>
        </w:rPr>
        <w:t>Terre</w:t>
      </w:r>
      <w:r>
        <w:rPr>
          <w:color w:val="231F20"/>
          <w:sz w:val="20"/>
          <w:vertAlign w:val="baseline"/>
        </w:rPr>
        <w:t> </w:t>
      </w:r>
      <w:r>
        <w:rPr>
          <w:color w:val="231F20"/>
          <w:spacing w:val="-4"/>
          <w:sz w:val="20"/>
          <w:vertAlign w:val="baseline"/>
        </w:rPr>
        <w:t>Promise</w:t>
      </w:r>
      <w:r>
        <w:rPr>
          <w:color w:val="231F20"/>
          <w:spacing w:val="-3"/>
          <w:sz w:val="20"/>
          <w:vertAlign w:val="baseline"/>
        </w:rPr>
        <w:t> </w:t>
      </w:r>
      <w:r>
        <w:rPr>
          <w:color w:val="231F20"/>
          <w:spacing w:val="-4"/>
          <w:sz w:val="20"/>
          <w:vertAlign w:val="baseline"/>
        </w:rPr>
        <w:t>»,</w:t>
      </w:r>
      <w:r>
        <w:rPr>
          <w:color w:val="231F20"/>
          <w:spacing w:val="-2"/>
          <w:sz w:val="20"/>
          <w:vertAlign w:val="baseline"/>
        </w:rPr>
        <w:t> </w:t>
      </w:r>
      <w:r>
        <w:rPr>
          <w:color w:val="231F20"/>
          <w:spacing w:val="-4"/>
          <w:sz w:val="20"/>
          <w:vertAlign w:val="baseline"/>
        </w:rPr>
        <w:t>Madeleine</w:t>
      </w:r>
      <w:r>
        <w:rPr>
          <w:color w:val="231F20"/>
          <w:spacing w:val="-3"/>
          <w:sz w:val="20"/>
          <w:vertAlign w:val="baseline"/>
        </w:rPr>
        <w:t> </w:t>
      </w:r>
      <w:r>
        <w:rPr>
          <w:color w:val="231F20"/>
          <w:spacing w:val="-4"/>
          <w:sz w:val="20"/>
          <w:vertAlign w:val="baseline"/>
        </w:rPr>
        <w:t>Poulaine, 1935,</w:t>
      </w:r>
      <w:r>
        <w:rPr>
          <w:color w:val="231F20"/>
          <w:spacing w:val="-2"/>
          <w:sz w:val="20"/>
          <w:vertAlign w:val="baseline"/>
        </w:rPr>
        <w:t> </w:t>
      </w:r>
      <w:r>
        <w:rPr>
          <w:color w:val="231F20"/>
          <w:spacing w:val="-4"/>
          <w:sz w:val="20"/>
          <w:vertAlign w:val="baseline"/>
        </w:rPr>
        <w:t>«</w:t>
      </w:r>
      <w:r>
        <w:rPr>
          <w:color w:val="231F20"/>
          <w:spacing w:val="-2"/>
          <w:sz w:val="20"/>
          <w:vertAlign w:val="baseline"/>
        </w:rPr>
        <w:t> </w:t>
      </w:r>
      <w:r>
        <w:rPr>
          <w:color w:val="231F20"/>
          <w:spacing w:val="-4"/>
          <w:sz w:val="20"/>
          <w:vertAlign w:val="baseline"/>
        </w:rPr>
        <w:t>Le</w:t>
      </w:r>
      <w:r>
        <w:rPr>
          <w:color w:val="231F20"/>
          <w:spacing w:val="-2"/>
          <w:sz w:val="20"/>
          <w:vertAlign w:val="baseline"/>
        </w:rPr>
        <w:t> </w:t>
      </w:r>
      <w:r>
        <w:rPr>
          <w:color w:val="231F20"/>
          <w:spacing w:val="-4"/>
          <w:sz w:val="20"/>
          <w:vertAlign w:val="baseline"/>
        </w:rPr>
        <w:t>Temps</w:t>
      </w:r>
      <w:r>
        <w:rPr>
          <w:color w:val="231F20"/>
          <w:spacing w:val="-5"/>
          <w:sz w:val="20"/>
          <w:vertAlign w:val="baseline"/>
        </w:rPr>
        <w:t> »,</w:t>
      </w:r>
    </w:p>
    <w:p>
      <w:pPr>
        <w:spacing w:before="0"/>
        <w:ind w:left="111" w:right="108" w:hanging="1"/>
        <w:jc w:val="both"/>
        <w:rPr>
          <w:sz w:val="20"/>
        </w:rPr>
      </w:pPr>
      <w:r>
        <w:rPr>
          <w:color w:val="76787A"/>
          <w:spacing w:val="-4"/>
          <w:sz w:val="20"/>
          <w:vertAlign w:val="superscript"/>
        </w:rPr>
        <w:t>118</w:t>
      </w:r>
      <w:r>
        <w:rPr>
          <w:color w:val="76787A"/>
          <w:sz w:val="20"/>
          <w:vertAlign w:val="baseline"/>
        </w:rPr>
        <w:t> </w:t>
      </w:r>
      <w:r>
        <w:rPr>
          <w:color w:val="231F20"/>
          <w:spacing w:val="-4"/>
          <w:sz w:val="20"/>
          <w:vertAlign w:val="baseline"/>
        </w:rPr>
        <w:t>Surnom</w:t>
      </w:r>
      <w:r>
        <w:rPr>
          <w:color w:val="231F20"/>
          <w:spacing w:val="-5"/>
          <w:sz w:val="20"/>
          <w:vertAlign w:val="baseline"/>
        </w:rPr>
        <w:t> </w:t>
      </w:r>
      <w:r>
        <w:rPr>
          <w:color w:val="231F20"/>
          <w:spacing w:val="-4"/>
          <w:sz w:val="20"/>
          <w:vertAlign w:val="baseline"/>
        </w:rPr>
        <w:t>du</w:t>
      </w:r>
      <w:r>
        <w:rPr>
          <w:color w:val="231F20"/>
          <w:spacing w:val="-5"/>
          <w:sz w:val="20"/>
          <w:vertAlign w:val="baseline"/>
        </w:rPr>
        <w:t> </w:t>
      </w:r>
      <w:r>
        <w:rPr>
          <w:color w:val="231F20"/>
          <w:spacing w:val="-4"/>
          <w:sz w:val="20"/>
          <w:vertAlign w:val="baseline"/>
        </w:rPr>
        <w:t>président Félix Houphouët-Boiny ; Symbole</w:t>
      </w:r>
      <w:r>
        <w:rPr>
          <w:color w:val="231F20"/>
          <w:spacing w:val="-6"/>
          <w:sz w:val="20"/>
          <w:vertAlign w:val="baseline"/>
        </w:rPr>
        <w:t> </w:t>
      </w:r>
      <w:r>
        <w:rPr>
          <w:color w:val="231F20"/>
          <w:spacing w:val="-4"/>
          <w:sz w:val="20"/>
          <w:vertAlign w:val="baseline"/>
        </w:rPr>
        <w:t>de courage, le bélier n’hésite </w:t>
      </w:r>
      <w:r>
        <w:rPr>
          <w:color w:val="231F20"/>
          <w:sz w:val="20"/>
          <w:vertAlign w:val="baseline"/>
        </w:rPr>
        <w:t>pas à prendre la défense des plus faibles.</w:t>
      </w:r>
    </w:p>
    <w:p>
      <w:pPr>
        <w:spacing w:before="0"/>
        <w:ind w:left="111" w:right="106" w:firstLine="0"/>
        <w:jc w:val="both"/>
        <w:rPr>
          <w:sz w:val="20"/>
        </w:rPr>
      </w:pPr>
      <w:r>
        <w:rPr>
          <w:color w:val="76787A"/>
          <w:sz w:val="20"/>
          <w:vertAlign w:val="superscript"/>
        </w:rPr>
        <w:t>119</w:t>
      </w:r>
      <w:r>
        <w:rPr>
          <w:color w:val="76787A"/>
          <w:spacing w:val="-13"/>
          <w:sz w:val="20"/>
          <w:vertAlign w:val="baseline"/>
        </w:rPr>
        <w:t> </w:t>
      </w:r>
      <w:r>
        <w:rPr>
          <w:color w:val="231F20"/>
          <w:sz w:val="20"/>
          <w:vertAlign w:val="baseline"/>
        </w:rPr>
        <w:t>Au</w:t>
      </w:r>
      <w:r>
        <w:rPr>
          <w:color w:val="231F20"/>
          <w:spacing w:val="-12"/>
          <w:sz w:val="20"/>
          <w:vertAlign w:val="baseline"/>
        </w:rPr>
        <w:t> </w:t>
      </w:r>
      <w:r>
        <w:rPr>
          <w:color w:val="231F20"/>
          <w:sz w:val="20"/>
          <w:vertAlign w:val="baseline"/>
        </w:rPr>
        <w:t>contraire</w:t>
      </w:r>
      <w:r>
        <w:rPr>
          <w:color w:val="231F20"/>
          <w:spacing w:val="-13"/>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beaucoup</w:t>
      </w:r>
      <w:r>
        <w:rPr>
          <w:color w:val="231F20"/>
          <w:spacing w:val="-13"/>
          <w:sz w:val="20"/>
          <w:vertAlign w:val="baseline"/>
        </w:rPr>
        <w:t> </w:t>
      </w:r>
      <w:r>
        <w:rPr>
          <w:color w:val="231F20"/>
          <w:sz w:val="20"/>
          <w:vertAlign w:val="baseline"/>
        </w:rPr>
        <w:t>d’enfants</w:t>
      </w:r>
      <w:r>
        <w:rPr>
          <w:color w:val="231F20"/>
          <w:spacing w:val="-12"/>
          <w:sz w:val="20"/>
          <w:vertAlign w:val="baseline"/>
        </w:rPr>
        <w:t> </w:t>
      </w:r>
      <w:r>
        <w:rPr>
          <w:color w:val="231F20"/>
          <w:sz w:val="20"/>
          <w:vertAlign w:val="baseline"/>
        </w:rPr>
        <w:t>nés</w:t>
      </w:r>
      <w:r>
        <w:rPr>
          <w:color w:val="231F20"/>
          <w:spacing w:val="-13"/>
          <w:sz w:val="20"/>
          <w:vertAlign w:val="baseline"/>
        </w:rPr>
        <w:t> </w:t>
      </w:r>
      <w:r>
        <w:rPr>
          <w:color w:val="231F20"/>
          <w:sz w:val="20"/>
          <w:vertAlign w:val="baseline"/>
        </w:rPr>
        <w:t>à</w:t>
      </w:r>
      <w:r>
        <w:rPr>
          <w:color w:val="231F20"/>
          <w:spacing w:val="-12"/>
          <w:sz w:val="20"/>
          <w:vertAlign w:val="baseline"/>
        </w:rPr>
        <w:t> </w:t>
      </w:r>
      <w:r>
        <w:rPr>
          <w:color w:val="231F20"/>
          <w:sz w:val="20"/>
          <w:vertAlign w:val="baseline"/>
        </w:rPr>
        <w:t>cette</w:t>
      </w:r>
      <w:r>
        <w:rPr>
          <w:color w:val="231F20"/>
          <w:spacing w:val="-13"/>
          <w:sz w:val="20"/>
          <w:vertAlign w:val="baseline"/>
        </w:rPr>
        <w:t> </w:t>
      </w:r>
      <w:r>
        <w:rPr>
          <w:color w:val="231F20"/>
          <w:sz w:val="20"/>
          <w:vertAlign w:val="baseline"/>
        </w:rPr>
        <w:t>époque,</w:t>
      </w:r>
      <w:r>
        <w:rPr>
          <w:color w:val="231F20"/>
          <w:spacing w:val="-12"/>
          <w:sz w:val="20"/>
          <w:vertAlign w:val="baseline"/>
        </w:rPr>
        <w:t> </w:t>
      </w:r>
      <w:r>
        <w:rPr>
          <w:color w:val="231F20"/>
          <w:sz w:val="20"/>
          <w:vertAlign w:val="baseline"/>
        </w:rPr>
        <w:t>j’ai</w:t>
      </w:r>
      <w:r>
        <w:rPr>
          <w:color w:val="231F20"/>
          <w:spacing w:val="-13"/>
          <w:sz w:val="20"/>
          <w:vertAlign w:val="baseline"/>
        </w:rPr>
        <w:t> </w:t>
      </w:r>
      <w:r>
        <w:rPr>
          <w:color w:val="231F20"/>
          <w:sz w:val="20"/>
          <w:vertAlign w:val="baseline"/>
        </w:rPr>
        <w:t>eu</w:t>
      </w:r>
      <w:r>
        <w:rPr>
          <w:color w:val="231F20"/>
          <w:spacing w:val="-12"/>
          <w:sz w:val="20"/>
          <w:vertAlign w:val="baseline"/>
        </w:rPr>
        <w:t> </w:t>
      </w:r>
      <w:r>
        <w:rPr>
          <w:color w:val="231F20"/>
          <w:sz w:val="20"/>
          <w:vertAlign w:val="baseline"/>
        </w:rPr>
        <w:t>la</w:t>
      </w:r>
      <w:r>
        <w:rPr>
          <w:color w:val="231F20"/>
          <w:spacing w:val="-13"/>
          <w:sz w:val="20"/>
          <w:vertAlign w:val="baseline"/>
        </w:rPr>
        <w:t> </w:t>
      </w:r>
      <w:r>
        <w:rPr>
          <w:color w:val="231F20"/>
          <w:sz w:val="20"/>
          <w:vertAlign w:val="baseline"/>
        </w:rPr>
        <w:t>chance</w:t>
      </w:r>
      <w:r>
        <w:rPr>
          <w:color w:val="231F20"/>
          <w:spacing w:val="-12"/>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naître</w:t>
      </w:r>
      <w:r>
        <w:rPr>
          <w:color w:val="231F20"/>
          <w:spacing w:val="-12"/>
          <w:sz w:val="20"/>
          <w:vertAlign w:val="baseline"/>
        </w:rPr>
        <w:t> </w:t>
      </w:r>
      <w:r>
        <w:rPr>
          <w:color w:val="231F20"/>
          <w:sz w:val="20"/>
          <w:vertAlign w:val="baseline"/>
        </w:rPr>
        <w:t>au moment</w:t>
      </w:r>
      <w:r>
        <w:rPr>
          <w:color w:val="231F20"/>
          <w:spacing w:val="-9"/>
          <w:sz w:val="20"/>
          <w:vertAlign w:val="baseline"/>
        </w:rPr>
        <w:t> </w:t>
      </w:r>
      <w:r>
        <w:rPr>
          <w:color w:val="231F20"/>
          <w:sz w:val="20"/>
          <w:vertAlign w:val="baseline"/>
        </w:rPr>
        <w:t>où</w:t>
      </w:r>
      <w:r>
        <w:rPr>
          <w:color w:val="231F20"/>
          <w:spacing w:val="-5"/>
          <w:sz w:val="20"/>
          <w:vertAlign w:val="baseline"/>
        </w:rPr>
        <w:t> </w:t>
      </w:r>
      <w:r>
        <w:rPr>
          <w:color w:val="231F20"/>
          <w:sz w:val="20"/>
          <w:vertAlign w:val="baseline"/>
        </w:rPr>
        <w:t>le</w:t>
      </w:r>
      <w:r>
        <w:rPr>
          <w:color w:val="231F20"/>
          <w:spacing w:val="-8"/>
          <w:sz w:val="20"/>
          <w:vertAlign w:val="baseline"/>
        </w:rPr>
        <w:t> </w:t>
      </w:r>
      <w:r>
        <w:rPr>
          <w:color w:val="231F20"/>
          <w:sz w:val="20"/>
          <w:vertAlign w:val="baseline"/>
        </w:rPr>
        <w:t>neveu</w:t>
      </w:r>
      <w:r>
        <w:rPr>
          <w:color w:val="231F20"/>
          <w:spacing w:val="-8"/>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mon</w:t>
      </w:r>
      <w:r>
        <w:rPr>
          <w:color w:val="231F20"/>
          <w:spacing w:val="-8"/>
          <w:sz w:val="20"/>
          <w:vertAlign w:val="baseline"/>
        </w:rPr>
        <w:t> </w:t>
      </w:r>
      <w:r>
        <w:rPr>
          <w:color w:val="231F20"/>
          <w:sz w:val="20"/>
          <w:vertAlign w:val="baseline"/>
        </w:rPr>
        <w:t>père,</w:t>
      </w:r>
      <w:r>
        <w:rPr>
          <w:color w:val="231F20"/>
          <w:spacing w:val="-8"/>
          <w:sz w:val="20"/>
          <w:vertAlign w:val="baseline"/>
        </w:rPr>
        <w:t> </w:t>
      </w:r>
      <w:r>
        <w:rPr>
          <w:color w:val="231F20"/>
          <w:sz w:val="20"/>
          <w:vertAlign w:val="baseline"/>
        </w:rPr>
        <w:t>un</w:t>
      </w:r>
      <w:r>
        <w:rPr>
          <w:color w:val="231F20"/>
          <w:spacing w:val="-8"/>
          <w:sz w:val="20"/>
          <w:vertAlign w:val="baseline"/>
        </w:rPr>
        <w:t> </w:t>
      </w:r>
      <w:r>
        <w:rPr>
          <w:color w:val="231F20"/>
          <w:sz w:val="20"/>
          <w:vertAlign w:val="baseline"/>
        </w:rPr>
        <w:t>métis,</w:t>
      </w:r>
      <w:r>
        <w:rPr>
          <w:color w:val="231F20"/>
          <w:spacing w:val="-6"/>
          <w:sz w:val="20"/>
          <w:vertAlign w:val="baseline"/>
        </w:rPr>
        <w:t> </w:t>
      </w:r>
      <w:r>
        <w:rPr>
          <w:color w:val="231F20"/>
          <w:sz w:val="20"/>
          <w:vertAlign w:val="baseline"/>
        </w:rPr>
        <w:t>était</w:t>
      </w:r>
      <w:r>
        <w:rPr>
          <w:color w:val="231F20"/>
          <w:spacing w:val="-7"/>
          <w:sz w:val="20"/>
          <w:vertAlign w:val="baseline"/>
        </w:rPr>
        <w:t> </w:t>
      </w:r>
      <w:r>
        <w:rPr>
          <w:color w:val="231F20"/>
          <w:sz w:val="20"/>
          <w:vertAlign w:val="baseline"/>
        </w:rPr>
        <w:t>en</w:t>
      </w:r>
      <w:r>
        <w:rPr>
          <w:color w:val="231F20"/>
          <w:spacing w:val="-8"/>
          <w:sz w:val="20"/>
          <w:vertAlign w:val="baseline"/>
        </w:rPr>
        <w:t> </w:t>
      </w:r>
      <w:r>
        <w:rPr>
          <w:color w:val="231F20"/>
          <w:sz w:val="20"/>
          <w:vertAlign w:val="baseline"/>
        </w:rPr>
        <w:t>congé</w:t>
      </w:r>
      <w:r>
        <w:rPr>
          <w:color w:val="231F20"/>
          <w:spacing w:val="-6"/>
          <w:sz w:val="20"/>
          <w:vertAlign w:val="baseline"/>
        </w:rPr>
        <w:t> </w:t>
      </w:r>
      <w:r>
        <w:rPr>
          <w:color w:val="231F20"/>
          <w:sz w:val="20"/>
          <w:vertAlign w:val="baseline"/>
        </w:rPr>
        <w:t>au</w:t>
      </w:r>
      <w:r>
        <w:rPr>
          <w:color w:val="231F20"/>
          <w:spacing w:val="-8"/>
          <w:sz w:val="20"/>
          <w:vertAlign w:val="baseline"/>
        </w:rPr>
        <w:t> </w:t>
      </w:r>
      <w:r>
        <w:rPr>
          <w:color w:val="231F20"/>
          <w:sz w:val="20"/>
          <w:vertAlign w:val="baseline"/>
        </w:rPr>
        <w:t>village.</w:t>
      </w:r>
      <w:r>
        <w:rPr>
          <w:color w:val="231F20"/>
          <w:spacing w:val="-9"/>
          <w:sz w:val="20"/>
          <w:vertAlign w:val="baseline"/>
        </w:rPr>
        <w:t> </w:t>
      </w:r>
      <w:r>
        <w:rPr>
          <w:color w:val="231F20"/>
          <w:sz w:val="20"/>
          <w:vertAlign w:val="baseline"/>
        </w:rPr>
        <w:t>Et,</w:t>
      </w:r>
      <w:r>
        <w:rPr>
          <w:color w:val="231F20"/>
          <w:spacing w:val="-8"/>
          <w:sz w:val="20"/>
          <w:vertAlign w:val="baseline"/>
        </w:rPr>
        <w:t> </w:t>
      </w:r>
      <w:r>
        <w:rPr>
          <w:color w:val="231F20"/>
          <w:sz w:val="20"/>
          <w:vertAlign w:val="baseline"/>
        </w:rPr>
        <w:t>c’est</w:t>
      </w:r>
      <w:r>
        <w:rPr>
          <w:color w:val="231F20"/>
          <w:spacing w:val="-6"/>
          <w:sz w:val="20"/>
          <w:vertAlign w:val="baseline"/>
        </w:rPr>
        <w:t> </w:t>
      </w:r>
      <w:r>
        <w:rPr>
          <w:color w:val="231F20"/>
          <w:sz w:val="20"/>
          <w:vertAlign w:val="baseline"/>
        </w:rPr>
        <w:t>lui,</w:t>
      </w:r>
      <w:r>
        <w:rPr>
          <w:color w:val="231F20"/>
          <w:spacing w:val="-8"/>
          <w:sz w:val="20"/>
          <w:vertAlign w:val="baseline"/>
        </w:rPr>
        <w:t> </w:t>
      </w:r>
      <w:r>
        <w:rPr>
          <w:color w:val="231F20"/>
          <w:sz w:val="20"/>
          <w:vertAlign w:val="baseline"/>
        </w:rPr>
        <w:t>«</w:t>
      </w:r>
      <w:r>
        <w:rPr>
          <w:color w:val="231F20"/>
          <w:spacing w:val="-12"/>
          <w:sz w:val="20"/>
          <w:vertAlign w:val="baseline"/>
        </w:rPr>
        <w:t> </w:t>
      </w:r>
      <w:r>
        <w:rPr>
          <w:color w:val="231F20"/>
          <w:sz w:val="20"/>
          <w:vertAlign w:val="baseline"/>
        </w:rPr>
        <w:t>le </w:t>
      </w:r>
      <w:r>
        <w:rPr>
          <w:color w:val="231F20"/>
          <w:spacing w:val="-2"/>
          <w:sz w:val="20"/>
          <w:vertAlign w:val="baseline"/>
        </w:rPr>
        <w:t>blanc</w:t>
      </w:r>
      <w:r>
        <w:rPr>
          <w:color w:val="231F20"/>
          <w:spacing w:val="-11"/>
          <w:sz w:val="20"/>
          <w:vertAlign w:val="baseline"/>
        </w:rPr>
        <w:t> </w:t>
      </w:r>
      <w:r>
        <w:rPr>
          <w:color w:val="231F20"/>
          <w:spacing w:val="-2"/>
          <w:sz w:val="20"/>
          <w:vertAlign w:val="baseline"/>
        </w:rPr>
        <w:t>du</w:t>
      </w:r>
      <w:r>
        <w:rPr>
          <w:color w:val="231F20"/>
          <w:spacing w:val="-10"/>
          <w:sz w:val="20"/>
          <w:vertAlign w:val="baseline"/>
        </w:rPr>
        <w:t> </w:t>
      </w:r>
      <w:r>
        <w:rPr>
          <w:color w:val="231F20"/>
          <w:spacing w:val="-2"/>
          <w:sz w:val="20"/>
          <w:vertAlign w:val="baseline"/>
        </w:rPr>
        <w:t>village</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qui</w:t>
      </w:r>
      <w:r>
        <w:rPr>
          <w:color w:val="231F20"/>
          <w:spacing w:val="-11"/>
          <w:sz w:val="20"/>
          <w:vertAlign w:val="baseline"/>
        </w:rPr>
        <w:t> </w:t>
      </w:r>
      <w:r>
        <w:rPr>
          <w:color w:val="231F20"/>
          <w:spacing w:val="-2"/>
          <w:sz w:val="20"/>
          <w:vertAlign w:val="baseline"/>
        </w:rPr>
        <w:t>s’est</w:t>
      </w:r>
      <w:r>
        <w:rPr>
          <w:color w:val="231F20"/>
          <w:spacing w:val="-10"/>
          <w:sz w:val="20"/>
          <w:vertAlign w:val="baseline"/>
        </w:rPr>
        <w:t> </w:t>
      </w:r>
      <w:r>
        <w:rPr>
          <w:color w:val="231F20"/>
          <w:spacing w:val="-2"/>
          <w:sz w:val="20"/>
          <w:vertAlign w:val="baseline"/>
        </w:rPr>
        <w:t>aussitôt</w:t>
      </w:r>
      <w:r>
        <w:rPr>
          <w:color w:val="231F20"/>
          <w:spacing w:val="-11"/>
          <w:sz w:val="20"/>
          <w:vertAlign w:val="baseline"/>
        </w:rPr>
        <w:t> </w:t>
      </w:r>
      <w:r>
        <w:rPr>
          <w:color w:val="231F20"/>
          <w:spacing w:val="-2"/>
          <w:sz w:val="20"/>
          <w:vertAlign w:val="baseline"/>
        </w:rPr>
        <w:t>rendu</w:t>
      </w:r>
      <w:r>
        <w:rPr>
          <w:color w:val="231F20"/>
          <w:spacing w:val="-10"/>
          <w:sz w:val="20"/>
          <w:vertAlign w:val="baseline"/>
        </w:rPr>
        <w:t> </w:t>
      </w:r>
      <w:r>
        <w:rPr>
          <w:color w:val="231F20"/>
          <w:spacing w:val="-2"/>
          <w:sz w:val="20"/>
          <w:vertAlign w:val="baseline"/>
        </w:rPr>
        <w:t>à</w:t>
      </w:r>
      <w:r>
        <w:rPr>
          <w:color w:val="231F20"/>
          <w:spacing w:val="-11"/>
          <w:sz w:val="20"/>
          <w:vertAlign w:val="baseline"/>
        </w:rPr>
        <w:t> </w:t>
      </w:r>
      <w:r>
        <w:rPr>
          <w:color w:val="231F20"/>
          <w:spacing w:val="-2"/>
          <w:sz w:val="20"/>
          <w:vertAlign w:val="baseline"/>
        </w:rPr>
        <w:t>la</w:t>
      </w:r>
      <w:r>
        <w:rPr>
          <w:color w:val="231F20"/>
          <w:spacing w:val="-10"/>
          <w:sz w:val="20"/>
          <w:vertAlign w:val="baseline"/>
        </w:rPr>
        <w:t> </w:t>
      </w:r>
      <w:r>
        <w:rPr>
          <w:color w:val="231F20"/>
          <w:spacing w:val="-2"/>
          <w:sz w:val="20"/>
          <w:vertAlign w:val="baseline"/>
        </w:rPr>
        <w:t>sous</w:t>
      </w:r>
      <w:r>
        <w:rPr>
          <w:color w:val="231F20"/>
          <w:spacing w:val="-11"/>
          <w:sz w:val="20"/>
          <w:vertAlign w:val="baseline"/>
        </w:rPr>
        <w:t> </w:t>
      </w:r>
      <w:r>
        <w:rPr>
          <w:color w:val="231F20"/>
          <w:spacing w:val="-2"/>
          <w:sz w:val="20"/>
          <w:vertAlign w:val="baseline"/>
        </w:rPr>
        <w:t>préfecture</w:t>
      </w:r>
      <w:r>
        <w:rPr>
          <w:color w:val="231F20"/>
          <w:spacing w:val="-10"/>
          <w:sz w:val="20"/>
          <w:vertAlign w:val="baseline"/>
        </w:rPr>
        <w:t> </w:t>
      </w:r>
      <w:r>
        <w:rPr>
          <w:color w:val="231F20"/>
          <w:spacing w:val="-2"/>
          <w:sz w:val="20"/>
          <w:vertAlign w:val="baseline"/>
        </w:rPr>
        <w:t>pour</w:t>
      </w:r>
      <w:r>
        <w:rPr>
          <w:color w:val="231F20"/>
          <w:spacing w:val="-11"/>
          <w:sz w:val="20"/>
          <w:vertAlign w:val="baseline"/>
        </w:rPr>
        <w:t> </w:t>
      </w:r>
      <w:r>
        <w:rPr>
          <w:color w:val="231F20"/>
          <w:spacing w:val="-2"/>
          <w:sz w:val="20"/>
          <w:vertAlign w:val="baseline"/>
        </w:rPr>
        <w:t>faire</w:t>
      </w:r>
      <w:r>
        <w:rPr>
          <w:color w:val="231F20"/>
          <w:spacing w:val="-10"/>
          <w:sz w:val="20"/>
          <w:vertAlign w:val="baseline"/>
        </w:rPr>
        <w:t> </w:t>
      </w:r>
      <w:r>
        <w:rPr>
          <w:color w:val="231F20"/>
          <w:spacing w:val="-2"/>
          <w:sz w:val="20"/>
          <w:vertAlign w:val="baseline"/>
        </w:rPr>
        <w:t>la</w:t>
      </w:r>
      <w:r>
        <w:rPr>
          <w:color w:val="231F20"/>
          <w:spacing w:val="-11"/>
          <w:sz w:val="20"/>
          <w:vertAlign w:val="baseline"/>
        </w:rPr>
        <w:t> </w:t>
      </w:r>
      <w:r>
        <w:rPr>
          <w:color w:val="231F20"/>
          <w:spacing w:val="-2"/>
          <w:sz w:val="20"/>
          <w:vertAlign w:val="baseline"/>
        </w:rPr>
        <w:t>déclaration</w:t>
      </w:r>
      <w:r>
        <w:rPr>
          <w:color w:val="231F20"/>
          <w:spacing w:val="-10"/>
          <w:sz w:val="20"/>
          <w:vertAlign w:val="baseline"/>
        </w:rPr>
        <w:t> </w:t>
      </w:r>
      <w:r>
        <w:rPr>
          <w:color w:val="231F20"/>
          <w:spacing w:val="-2"/>
          <w:sz w:val="20"/>
          <w:vertAlign w:val="baseline"/>
        </w:rPr>
        <w:t>de </w:t>
      </w:r>
      <w:r>
        <w:rPr>
          <w:color w:val="231F20"/>
          <w:sz w:val="20"/>
          <w:vertAlign w:val="baseline"/>
        </w:rPr>
        <w:t>ma</w:t>
      </w:r>
      <w:r>
        <w:rPr>
          <w:color w:val="231F20"/>
          <w:spacing w:val="-5"/>
          <w:sz w:val="20"/>
          <w:vertAlign w:val="baseline"/>
        </w:rPr>
        <w:t> </w:t>
      </w:r>
      <w:r>
        <w:rPr>
          <w:color w:val="231F20"/>
          <w:sz w:val="20"/>
          <w:vertAlign w:val="baseline"/>
        </w:rPr>
        <w:t>naissance.</w:t>
      </w:r>
    </w:p>
    <w:p>
      <w:pPr>
        <w:spacing w:after="0"/>
        <w:jc w:val="both"/>
        <w:rPr>
          <w:sz w:val="20"/>
        </w:rPr>
        <w:sectPr>
          <w:footerReference w:type="default" r:id="rId40"/>
          <w:footerReference w:type="even" r:id="rId41"/>
          <w:pgSz w:w="8790" w:h="13610"/>
          <w:pgMar w:header="0" w:footer="802" w:top="1060" w:bottom="1000" w:left="880" w:right="880"/>
          <w:pgNumType w:start="123"/>
        </w:sectPr>
      </w:pPr>
    </w:p>
    <w:p>
      <w:pPr>
        <w:pStyle w:val="BodyText"/>
        <w:spacing w:before="66"/>
        <w:ind w:right="104"/>
      </w:pPr>
      <w:r>
        <w:rPr>
          <w:color w:val="231F20"/>
        </w:rPr>
        <w:t>applaudissements accompagnent le nouveau drapeau qui, lentement monte…monte</w:t>
      </w:r>
      <w:r>
        <w:rPr>
          <w:color w:val="231F20"/>
          <w:spacing w:val="-14"/>
        </w:rPr>
        <w:t> </w:t>
      </w:r>
      <w:r>
        <w:rPr>
          <w:color w:val="231F20"/>
        </w:rPr>
        <w:t>pour</w:t>
      </w:r>
      <w:r>
        <w:rPr>
          <w:color w:val="231F20"/>
          <w:spacing w:val="-14"/>
        </w:rPr>
        <w:t> </w:t>
      </w:r>
      <w:r>
        <w:rPr>
          <w:color w:val="231F20"/>
        </w:rPr>
        <w:t>se</w:t>
      </w:r>
      <w:r>
        <w:rPr>
          <w:color w:val="231F20"/>
          <w:spacing w:val="-14"/>
        </w:rPr>
        <w:t> </w:t>
      </w:r>
      <w:r>
        <w:rPr>
          <w:color w:val="231F20"/>
        </w:rPr>
        <w:t>dresser</w:t>
      </w:r>
      <w:r>
        <w:rPr>
          <w:color w:val="231F20"/>
          <w:spacing w:val="-14"/>
        </w:rPr>
        <w:t> </w:t>
      </w:r>
      <w:r>
        <w:rPr>
          <w:color w:val="231F20"/>
        </w:rPr>
        <w:t>fièrement</w:t>
      </w:r>
      <w:r>
        <w:rPr>
          <w:color w:val="231F20"/>
          <w:spacing w:val="-14"/>
        </w:rPr>
        <w:t> </w:t>
      </w:r>
      <w:r>
        <w:rPr>
          <w:color w:val="231F20"/>
        </w:rPr>
        <w:t>en</w:t>
      </w:r>
      <w:r>
        <w:rPr>
          <w:color w:val="231F20"/>
          <w:spacing w:val="-14"/>
        </w:rPr>
        <w:t> </w:t>
      </w:r>
      <w:r>
        <w:rPr>
          <w:color w:val="231F20"/>
        </w:rPr>
        <w:t>haut</w:t>
      </w:r>
      <w:r>
        <w:rPr>
          <w:color w:val="231F20"/>
          <w:spacing w:val="-14"/>
        </w:rPr>
        <w:t> </w:t>
      </w:r>
      <w:r>
        <w:rPr>
          <w:color w:val="231F20"/>
        </w:rPr>
        <w:t>du</w:t>
      </w:r>
      <w:r>
        <w:rPr>
          <w:color w:val="231F20"/>
          <w:spacing w:val="-14"/>
        </w:rPr>
        <w:t> </w:t>
      </w:r>
      <w:r>
        <w:rPr>
          <w:color w:val="231F20"/>
        </w:rPr>
        <w:t>mat,</w:t>
      </w:r>
      <w:r>
        <w:rPr>
          <w:color w:val="231F20"/>
          <w:spacing w:val="-14"/>
        </w:rPr>
        <w:t> </w:t>
      </w:r>
      <w:r>
        <w:rPr>
          <w:color w:val="231F20"/>
        </w:rPr>
        <w:t>au</w:t>
      </w:r>
      <w:r>
        <w:rPr>
          <w:color w:val="231F20"/>
          <w:spacing w:val="-14"/>
        </w:rPr>
        <w:t> </w:t>
      </w:r>
      <w:r>
        <w:rPr>
          <w:color w:val="231F20"/>
        </w:rPr>
        <w:t>milieu</w:t>
      </w:r>
      <w:r>
        <w:rPr>
          <w:color w:val="231F20"/>
          <w:spacing w:val="-14"/>
        </w:rPr>
        <w:t> </w:t>
      </w:r>
      <w:r>
        <w:rPr>
          <w:color w:val="231F20"/>
        </w:rPr>
        <w:t>de</w:t>
      </w:r>
      <w:r>
        <w:rPr>
          <w:color w:val="231F20"/>
          <w:spacing w:val="-15"/>
        </w:rPr>
        <w:t> </w:t>
      </w:r>
      <w:r>
        <w:rPr>
          <w:color w:val="231F20"/>
        </w:rPr>
        <w:t>la sous-préfecture. Le Commandant est debout, au garde- à –vous</w:t>
      </w:r>
      <w:r>
        <w:rPr>
          <w:color w:val="231F20"/>
          <w:spacing w:val="-15"/>
        </w:rPr>
        <w:t> </w:t>
      </w:r>
      <w:r>
        <w:rPr>
          <w:color w:val="231F20"/>
        </w:rPr>
        <w:t>; à ses côtés, un noir en costume cravate, coiffé d’un chapeau noir. Toute la journée et toute la nuit, les hommes et les femmes reprennent sans fin, </w:t>
      </w:r>
      <w:r>
        <w:rPr>
          <w:color w:val="231F20"/>
          <w:spacing w:val="-4"/>
        </w:rPr>
        <w:t>l’air</w:t>
      </w:r>
      <w:r>
        <w:rPr>
          <w:color w:val="231F20"/>
          <w:spacing w:val="-9"/>
        </w:rPr>
        <w:t> </w:t>
      </w:r>
      <w:r>
        <w:rPr>
          <w:color w:val="231F20"/>
          <w:spacing w:val="-4"/>
        </w:rPr>
        <w:t>venu</w:t>
      </w:r>
      <w:r>
        <w:rPr>
          <w:color w:val="231F20"/>
          <w:spacing w:val="-11"/>
        </w:rPr>
        <w:t> </w:t>
      </w:r>
      <w:r>
        <w:rPr>
          <w:color w:val="231F20"/>
          <w:spacing w:val="-4"/>
        </w:rPr>
        <w:t>du</w:t>
      </w:r>
      <w:r>
        <w:rPr>
          <w:color w:val="231F20"/>
          <w:spacing w:val="-9"/>
        </w:rPr>
        <w:t> </w:t>
      </w:r>
      <w:r>
        <w:rPr>
          <w:color w:val="231F20"/>
          <w:spacing w:val="-4"/>
        </w:rPr>
        <w:t>lointain</w:t>
      </w:r>
      <w:r>
        <w:rPr>
          <w:color w:val="231F20"/>
          <w:spacing w:val="-11"/>
        </w:rPr>
        <w:t> </w:t>
      </w:r>
      <w:r>
        <w:rPr>
          <w:color w:val="231F20"/>
          <w:spacing w:val="-4"/>
        </w:rPr>
        <w:t>Congo</w:t>
      </w:r>
      <w:r>
        <w:rPr>
          <w:color w:val="231F20"/>
          <w:spacing w:val="-9"/>
        </w:rPr>
        <w:t> </w:t>
      </w:r>
      <w:r>
        <w:rPr>
          <w:color w:val="231F20"/>
          <w:spacing w:val="-4"/>
        </w:rPr>
        <w:t>Kinshasa :</w:t>
      </w:r>
      <w:r>
        <w:rPr>
          <w:color w:val="231F20"/>
          <w:spacing w:val="-8"/>
        </w:rPr>
        <w:t> </w:t>
      </w:r>
      <w:r>
        <w:rPr>
          <w:color w:val="231F20"/>
          <w:spacing w:val="-4"/>
        </w:rPr>
        <w:t>« indépendance</w:t>
      </w:r>
      <w:r>
        <w:rPr>
          <w:color w:val="231F20"/>
          <w:spacing w:val="-10"/>
        </w:rPr>
        <w:t> </w:t>
      </w:r>
      <w:r>
        <w:rPr>
          <w:color w:val="231F20"/>
          <w:spacing w:val="-4"/>
        </w:rPr>
        <w:t>cha-cha…</w:t>
      </w:r>
      <w:r>
        <w:rPr>
          <w:color w:val="231F20"/>
        </w:rPr>
        <w:t> </w:t>
      </w:r>
      <w:r>
        <w:rPr>
          <w:color w:val="231F20"/>
          <w:spacing w:val="-4"/>
        </w:rPr>
        <w:t>»</w:t>
      </w:r>
      <w:r>
        <w:rPr>
          <w:color w:val="231F20"/>
          <w:spacing w:val="-9"/>
        </w:rPr>
        <w:t> </w:t>
      </w:r>
      <w:r>
        <w:rPr>
          <w:color w:val="231F20"/>
          <w:spacing w:val="-4"/>
        </w:rPr>
        <w:t>Leur </w:t>
      </w:r>
      <w:r>
        <w:rPr>
          <w:color w:val="231F20"/>
        </w:rPr>
        <w:t>bonheur,</w:t>
      </w:r>
      <w:r>
        <w:rPr>
          <w:color w:val="231F20"/>
          <w:spacing w:val="-15"/>
        </w:rPr>
        <w:t> </w:t>
      </w:r>
      <w:r>
        <w:rPr>
          <w:color w:val="231F20"/>
        </w:rPr>
        <w:t>ils</w:t>
      </w:r>
      <w:r>
        <w:rPr>
          <w:color w:val="231F20"/>
          <w:spacing w:val="-14"/>
        </w:rPr>
        <w:t> </w:t>
      </w:r>
      <w:r>
        <w:rPr>
          <w:color w:val="231F20"/>
        </w:rPr>
        <w:t>le</w:t>
      </w:r>
      <w:r>
        <w:rPr>
          <w:color w:val="231F20"/>
          <w:spacing w:val="-11"/>
        </w:rPr>
        <w:t> </w:t>
      </w:r>
      <w:r>
        <w:rPr>
          <w:color w:val="231F20"/>
        </w:rPr>
        <w:t>crient</w:t>
      </w:r>
      <w:r>
        <w:rPr>
          <w:color w:val="231F20"/>
          <w:spacing w:val="-10"/>
        </w:rPr>
        <w:t> </w:t>
      </w:r>
      <w:r>
        <w:rPr>
          <w:color w:val="231F20"/>
        </w:rPr>
        <w:t>à</w:t>
      </w:r>
      <w:r>
        <w:rPr>
          <w:color w:val="231F20"/>
          <w:spacing w:val="-12"/>
        </w:rPr>
        <w:t> </w:t>
      </w:r>
      <w:r>
        <w:rPr>
          <w:color w:val="231F20"/>
        </w:rPr>
        <w:t>qui</w:t>
      </w:r>
      <w:r>
        <w:rPr>
          <w:color w:val="231F20"/>
          <w:spacing w:val="-10"/>
        </w:rPr>
        <w:t> </w:t>
      </w:r>
      <w:r>
        <w:rPr>
          <w:color w:val="231F20"/>
        </w:rPr>
        <w:t>veut</w:t>
      </w:r>
      <w:r>
        <w:rPr>
          <w:color w:val="231F20"/>
          <w:spacing w:val="-13"/>
        </w:rPr>
        <w:t> </w:t>
      </w:r>
      <w:r>
        <w:rPr>
          <w:color w:val="231F20"/>
        </w:rPr>
        <w:t>les</w:t>
      </w:r>
      <w:r>
        <w:rPr>
          <w:color w:val="231F20"/>
          <w:spacing w:val="-11"/>
        </w:rPr>
        <w:t> </w:t>
      </w:r>
      <w:r>
        <w:rPr>
          <w:color w:val="231F20"/>
        </w:rPr>
        <w:t>entendre</w:t>
      </w:r>
      <w:r>
        <w:rPr>
          <w:color w:val="231F20"/>
          <w:spacing w:val="-15"/>
        </w:rPr>
        <w:t> </w:t>
      </w:r>
      <w:r>
        <w:rPr>
          <w:color w:val="231F20"/>
        </w:rPr>
        <w:t>:</w:t>
      </w:r>
      <w:r>
        <w:rPr>
          <w:color w:val="231F20"/>
          <w:spacing w:val="-11"/>
        </w:rPr>
        <w:t> </w:t>
      </w:r>
      <w:r>
        <w:rPr>
          <w:color w:val="231F20"/>
        </w:rPr>
        <w:t>avec</w:t>
      </w:r>
      <w:r>
        <w:rPr>
          <w:color w:val="231F20"/>
          <w:spacing w:val="-14"/>
        </w:rPr>
        <w:t> </w:t>
      </w:r>
      <w:r>
        <w:rPr>
          <w:color w:val="231F20"/>
        </w:rPr>
        <w:t>l’indépendance,</w:t>
      </w:r>
      <w:r>
        <w:rPr>
          <w:color w:val="231F20"/>
          <w:spacing w:val="-11"/>
        </w:rPr>
        <w:t> </w:t>
      </w:r>
      <w:r>
        <w:rPr>
          <w:color w:val="231F20"/>
        </w:rPr>
        <w:t>c’est le départ des blancs, c’est la liberté, c’est désormais leur frère noir Houphouët- Boigny qui va diriger le pays.</w:t>
      </w:r>
    </w:p>
    <w:p>
      <w:pPr>
        <w:pStyle w:val="BodyText"/>
        <w:spacing w:before="121"/>
        <w:ind w:right="107" w:firstLine="283"/>
      </w:pPr>
      <w:r>
        <w:rPr>
          <w:color w:val="231F20"/>
        </w:rPr>
        <w:t>Comme</w:t>
      </w:r>
      <w:r>
        <w:rPr>
          <w:color w:val="231F20"/>
          <w:spacing w:val="-11"/>
        </w:rPr>
        <w:t> </w:t>
      </w:r>
      <w:r>
        <w:rPr>
          <w:color w:val="231F20"/>
        </w:rPr>
        <w:t>partout</w:t>
      </w:r>
      <w:r>
        <w:rPr>
          <w:color w:val="231F20"/>
          <w:spacing w:val="-13"/>
        </w:rPr>
        <w:t> </w:t>
      </w:r>
      <w:r>
        <w:rPr>
          <w:color w:val="231F20"/>
        </w:rPr>
        <w:t>dans</w:t>
      </w:r>
      <w:r>
        <w:rPr>
          <w:color w:val="231F20"/>
          <w:spacing w:val="-11"/>
        </w:rPr>
        <w:t> </w:t>
      </w:r>
      <w:r>
        <w:rPr>
          <w:color w:val="231F20"/>
        </w:rPr>
        <w:t>cette</w:t>
      </w:r>
      <w:r>
        <w:rPr>
          <w:color w:val="231F20"/>
          <w:spacing w:val="-11"/>
        </w:rPr>
        <w:t> </w:t>
      </w:r>
      <w:r>
        <w:rPr>
          <w:color w:val="231F20"/>
        </w:rPr>
        <w:t>Afrique</w:t>
      </w:r>
      <w:r>
        <w:rPr>
          <w:color w:val="231F20"/>
          <w:spacing w:val="-11"/>
        </w:rPr>
        <w:t> </w:t>
      </w:r>
      <w:r>
        <w:rPr>
          <w:color w:val="231F20"/>
        </w:rPr>
        <w:t>constituée</w:t>
      </w:r>
      <w:r>
        <w:rPr>
          <w:color w:val="231F20"/>
          <w:spacing w:val="-11"/>
        </w:rPr>
        <w:t> </w:t>
      </w:r>
      <w:r>
        <w:rPr>
          <w:color w:val="231F20"/>
        </w:rPr>
        <w:t>à</w:t>
      </w:r>
      <w:r>
        <w:rPr>
          <w:color w:val="231F20"/>
          <w:spacing w:val="-13"/>
        </w:rPr>
        <w:t> </w:t>
      </w:r>
      <w:r>
        <w:rPr>
          <w:color w:val="231F20"/>
        </w:rPr>
        <w:t>90%</w:t>
      </w:r>
      <w:r>
        <w:rPr>
          <w:color w:val="231F20"/>
          <w:spacing w:val="-11"/>
        </w:rPr>
        <w:t> </w:t>
      </w:r>
      <w:r>
        <w:rPr>
          <w:color w:val="231F20"/>
        </w:rPr>
        <w:t>d’analphabètes, l’idée nationale se cristallise autour de ceux qui ont conduit le pays à l’indépendance. Ici, il s’agit du président Félix Houphouët–Boigny. Beaucoup</w:t>
      </w:r>
      <w:r>
        <w:rPr>
          <w:color w:val="231F20"/>
          <w:spacing w:val="-12"/>
        </w:rPr>
        <w:t> </w:t>
      </w:r>
      <w:r>
        <w:rPr>
          <w:color w:val="231F20"/>
        </w:rPr>
        <w:t>de</w:t>
      </w:r>
      <w:r>
        <w:rPr>
          <w:color w:val="231F20"/>
          <w:spacing w:val="-11"/>
        </w:rPr>
        <w:t> </w:t>
      </w:r>
      <w:r>
        <w:rPr>
          <w:color w:val="231F20"/>
        </w:rPr>
        <w:t>récits</w:t>
      </w:r>
      <w:r>
        <w:rPr>
          <w:color w:val="231F20"/>
          <w:spacing w:val="-11"/>
        </w:rPr>
        <w:t> </w:t>
      </w:r>
      <w:r>
        <w:rPr>
          <w:color w:val="231F20"/>
        </w:rPr>
        <w:t>sur</w:t>
      </w:r>
      <w:r>
        <w:rPr>
          <w:color w:val="231F20"/>
          <w:spacing w:val="-11"/>
        </w:rPr>
        <w:t> </w:t>
      </w:r>
      <w:r>
        <w:rPr>
          <w:color w:val="231F20"/>
        </w:rPr>
        <w:t>l’homme</w:t>
      </w:r>
      <w:r>
        <w:rPr>
          <w:color w:val="231F20"/>
          <w:spacing w:val="-13"/>
        </w:rPr>
        <w:t> </w:t>
      </w:r>
      <w:r>
        <w:rPr>
          <w:color w:val="231F20"/>
        </w:rPr>
        <w:t>circulent</w:t>
      </w:r>
      <w:r>
        <w:rPr>
          <w:color w:val="231F20"/>
          <w:spacing w:val="-12"/>
        </w:rPr>
        <w:t> </w:t>
      </w:r>
      <w:r>
        <w:rPr>
          <w:color w:val="231F20"/>
        </w:rPr>
        <w:t>dans</w:t>
      </w:r>
      <w:r>
        <w:rPr>
          <w:color w:val="231F20"/>
          <w:spacing w:val="-12"/>
        </w:rPr>
        <w:t> </w:t>
      </w:r>
      <w:r>
        <w:rPr>
          <w:color w:val="231F20"/>
        </w:rPr>
        <w:t>les</w:t>
      </w:r>
      <w:r>
        <w:rPr>
          <w:color w:val="231F20"/>
          <w:spacing w:val="-12"/>
        </w:rPr>
        <w:t> </w:t>
      </w:r>
      <w:r>
        <w:rPr>
          <w:color w:val="231F20"/>
        </w:rPr>
        <w:t>villages</w:t>
      </w:r>
      <w:r>
        <w:rPr>
          <w:color w:val="231F20"/>
          <w:spacing w:val="-12"/>
        </w:rPr>
        <w:t> </w:t>
      </w:r>
      <w:r>
        <w:rPr>
          <w:color w:val="231F20"/>
        </w:rPr>
        <w:t>et</w:t>
      </w:r>
      <w:r>
        <w:rPr>
          <w:color w:val="231F20"/>
          <w:spacing w:val="-11"/>
        </w:rPr>
        <w:t> </w:t>
      </w:r>
      <w:r>
        <w:rPr>
          <w:color w:val="231F20"/>
        </w:rPr>
        <w:t>en</w:t>
      </w:r>
      <w:r>
        <w:rPr>
          <w:color w:val="231F20"/>
          <w:spacing w:val="-12"/>
        </w:rPr>
        <w:t> </w:t>
      </w:r>
      <w:r>
        <w:rPr>
          <w:color w:val="231F20"/>
        </w:rPr>
        <w:t>font</w:t>
      </w:r>
      <w:r>
        <w:rPr>
          <w:color w:val="231F20"/>
          <w:spacing w:val="-10"/>
        </w:rPr>
        <w:t> </w:t>
      </w:r>
      <w:r>
        <w:rPr>
          <w:color w:val="231F20"/>
        </w:rPr>
        <w:t>un être extraordinaire pourvu de pouvoirs surnaturels...qui lui ont permis pendant</w:t>
      </w:r>
      <w:r>
        <w:rPr>
          <w:color w:val="231F20"/>
          <w:spacing w:val="-14"/>
        </w:rPr>
        <w:t> </w:t>
      </w:r>
      <w:r>
        <w:rPr>
          <w:color w:val="231F20"/>
        </w:rPr>
        <w:t>les</w:t>
      </w:r>
      <w:r>
        <w:rPr>
          <w:color w:val="231F20"/>
          <w:spacing w:val="-15"/>
        </w:rPr>
        <w:t> </w:t>
      </w:r>
      <w:r>
        <w:rPr>
          <w:color w:val="231F20"/>
        </w:rPr>
        <w:t>moments</w:t>
      </w:r>
      <w:r>
        <w:rPr>
          <w:color w:val="231F20"/>
          <w:spacing w:val="-14"/>
        </w:rPr>
        <w:t> </w:t>
      </w:r>
      <w:r>
        <w:rPr>
          <w:color w:val="231F20"/>
        </w:rPr>
        <w:t>difficiles</w:t>
      </w:r>
      <w:r>
        <w:rPr>
          <w:color w:val="231F20"/>
          <w:spacing w:val="-14"/>
        </w:rPr>
        <w:t> </w:t>
      </w:r>
      <w:r>
        <w:rPr>
          <w:color w:val="231F20"/>
        </w:rPr>
        <w:t>du</w:t>
      </w:r>
      <w:r>
        <w:rPr>
          <w:color w:val="231F20"/>
          <w:spacing w:val="-15"/>
        </w:rPr>
        <w:t> </w:t>
      </w:r>
      <w:r>
        <w:rPr>
          <w:color w:val="231F20"/>
        </w:rPr>
        <w:t>RDA,</w:t>
      </w:r>
      <w:r>
        <w:rPr>
          <w:color w:val="231F20"/>
          <w:spacing w:val="-15"/>
        </w:rPr>
        <w:t> </w:t>
      </w:r>
      <w:r>
        <w:rPr>
          <w:color w:val="231F20"/>
        </w:rPr>
        <w:t>d’échapper</w:t>
      </w:r>
      <w:r>
        <w:rPr>
          <w:color w:val="231F20"/>
          <w:spacing w:val="-13"/>
        </w:rPr>
        <w:t> </w:t>
      </w:r>
      <w:r>
        <w:rPr>
          <w:color w:val="231F20"/>
        </w:rPr>
        <w:t>à</w:t>
      </w:r>
      <w:r>
        <w:rPr>
          <w:color w:val="231F20"/>
          <w:spacing w:val="-10"/>
        </w:rPr>
        <w:t> </w:t>
      </w:r>
      <w:r>
        <w:rPr>
          <w:color w:val="231F20"/>
        </w:rPr>
        <w:t>plusieurs</w:t>
      </w:r>
      <w:r>
        <w:rPr>
          <w:color w:val="231F20"/>
          <w:spacing w:val="-14"/>
        </w:rPr>
        <w:t> </w:t>
      </w:r>
      <w:r>
        <w:rPr>
          <w:color w:val="231F20"/>
        </w:rPr>
        <w:t>reprises aux colons qui en voulaient à sa vie.</w:t>
      </w:r>
    </w:p>
    <w:p>
      <w:pPr>
        <w:pStyle w:val="BodyText"/>
        <w:spacing w:before="120"/>
        <w:ind w:right="102" w:firstLine="283"/>
      </w:pPr>
      <w:r>
        <w:rPr>
          <w:color w:val="231F20"/>
        </w:rPr>
        <w:t>Félix Houphouët-Boigny est né en 1905. Ancien élève de l’École coloniale</w:t>
      </w:r>
      <w:r>
        <w:rPr>
          <w:color w:val="231F20"/>
          <w:spacing w:val="-5"/>
        </w:rPr>
        <w:t> </w:t>
      </w:r>
      <w:r>
        <w:rPr>
          <w:color w:val="231F20"/>
        </w:rPr>
        <w:t>William</w:t>
      </w:r>
      <w:r>
        <w:rPr>
          <w:color w:val="231F20"/>
          <w:spacing w:val="-5"/>
        </w:rPr>
        <w:t> </w:t>
      </w:r>
      <w:r>
        <w:rPr>
          <w:color w:val="231F20"/>
        </w:rPr>
        <w:t>Ponty</w:t>
      </w:r>
      <w:r>
        <w:rPr>
          <w:color w:val="231F20"/>
          <w:spacing w:val="-5"/>
        </w:rPr>
        <w:t> </w:t>
      </w:r>
      <w:r>
        <w:rPr>
          <w:color w:val="231F20"/>
        </w:rPr>
        <w:t>du</w:t>
      </w:r>
      <w:r>
        <w:rPr>
          <w:color w:val="231F20"/>
          <w:spacing w:val="-2"/>
        </w:rPr>
        <w:t> </w:t>
      </w:r>
      <w:r>
        <w:rPr>
          <w:color w:val="231F20"/>
        </w:rPr>
        <w:t>Sénégal,</w:t>
      </w:r>
      <w:r>
        <w:rPr>
          <w:color w:val="231F20"/>
          <w:spacing w:val="-5"/>
        </w:rPr>
        <w:t> </w:t>
      </w:r>
      <w:r>
        <w:rPr>
          <w:color w:val="231F20"/>
        </w:rPr>
        <w:t>titulaire</w:t>
      </w:r>
      <w:r>
        <w:rPr>
          <w:color w:val="231F20"/>
          <w:spacing w:val="-5"/>
        </w:rPr>
        <w:t> </w:t>
      </w:r>
      <w:r>
        <w:rPr>
          <w:color w:val="231F20"/>
        </w:rPr>
        <w:t>du</w:t>
      </w:r>
      <w:r>
        <w:rPr>
          <w:color w:val="231F20"/>
          <w:spacing w:val="-3"/>
        </w:rPr>
        <w:t> </w:t>
      </w:r>
      <w:r>
        <w:rPr>
          <w:color w:val="231F20"/>
        </w:rPr>
        <w:t>diplôme</w:t>
      </w:r>
      <w:r>
        <w:rPr>
          <w:color w:val="231F20"/>
          <w:spacing w:val="-5"/>
        </w:rPr>
        <w:t> </w:t>
      </w:r>
      <w:r>
        <w:rPr>
          <w:color w:val="231F20"/>
        </w:rPr>
        <w:t>de</w:t>
      </w:r>
      <w:r>
        <w:rPr>
          <w:color w:val="231F20"/>
          <w:spacing w:val="-7"/>
        </w:rPr>
        <w:t> </w:t>
      </w:r>
      <w:r>
        <w:rPr>
          <w:color w:val="231F20"/>
        </w:rPr>
        <w:t>«</w:t>
      </w:r>
      <w:r>
        <w:rPr>
          <w:color w:val="231F20"/>
          <w:spacing w:val="-4"/>
        </w:rPr>
        <w:t> </w:t>
      </w:r>
      <w:r>
        <w:rPr>
          <w:color w:val="231F20"/>
        </w:rPr>
        <w:t>médecin </w:t>
      </w:r>
      <w:r>
        <w:rPr>
          <w:color w:val="231F20"/>
          <w:spacing w:val="-2"/>
        </w:rPr>
        <w:t>auxiliaire</w:t>
      </w:r>
      <w:r>
        <w:rPr>
          <w:color w:val="231F20"/>
          <w:spacing w:val="-15"/>
        </w:rPr>
        <w:t> </w:t>
      </w:r>
      <w:r>
        <w:rPr>
          <w:color w:val="231F20"/>
          <w:spacing w:val="-2"/>
        </w:rPr>
        <w:t>»,</w:t>
      </w:r>
      <w:r>
        <w:rPr>
          <w:color w:val="231F20"/>
          <w:spacing w:val="-13"/>
        </w:rPr>
        <w:t> </w:t>
      </w:r>
      <w:r>
        <w:rPr>
          <w:color w:val="231F20"/>
          <w:spacing w:val="-2"/>
        </w:rPr>
        <w:t>titre</w:t>
      </w:r>
      <w:r>
        <w:rPr>
          <w:color w:val="231F20"/>
          <w:spacing w:val="-13"/>
        </w:rPr>
        <w:t> </w:t>
      </w:r>
      <w:r>
        <w:rPr>
          <w:color w:val="231F20"/>
          <w:spacing w:val="-2"/>
        </w:rPr>
        <w:t>officiel</w:t>
      </w:r>
      <w:r>
        <w:rPr>
          <w:color w:val="231F20"/>
          <w:spacing w:val="-13"/>
        </w:rPr>
        <w:t> </w:t>
      </w:r>
      <w:r>
        <w:rPr>
          <w:color w:val="231F20"/>
          <w:spacing w:val="-2"/>
        </w:rPr>
        <w:t>des</w:t>
      </w:r>
      <w:r>
        <w:rPr>
          <w:color w:val="231F20"/>
          <w:spacing w:val="-13"/>
        </w:rPr>
        <w:t> </w:t>
      </w:r>
      <w:r>
        <w:rPr>
          <w:color w:val="231F20"/>
          <w:spacing w:val="-2"/>
        </w:rPr>
        <w:t>médecins</w:t>
      </w:r>
      <w:r>
        <w:rPr>
          <w:color w:val="231F20"/>
          <w:spacing w:val="-13"/>
        </w:rPr>
        <w:t> </w:t>
      </w:r>
      <w:r>
        <w:rPr>
          <w:color w:val="231F20"/>
          <w:spacing w:val="-2"/>
        </w:rPr>
        <w:t>africains</w:t>
      </w:r>
      <w:r>
        <w:rPr>
          <w:color w:val="231F20"/>
          <w:spacing w:val="-13"/>
        </w:rPr>
        <w:t> </w:t>
      </w:r>
      <w:r>
        <w:rPr>
          <w:color w:val="231F20"/>
          <w:spacing w:val="-2"/>
        </w:rPr>
        <w:t>en</w:t>
      </w:r>
      <w:r>
        <w:rPr>
          <w:color w:val="231F20"/>
          <w:spacing w:val="-13"/>
        </w:rPr>
        <w:t> </w:t>
      </w:r>
      <w:r>
        <w:rPr>
          <w:color w:val="231F20"/>
          <w:spacing w:val="-2"/>
        </w:rPr>
        <w:t>AOF</w:t>
      </w:r>
      <w:r>
        <w:rPr>
          <w:color w:val="231F20"/>
          <w:spacing w:val="-13"/>
        </w:rPr>
        <w:t> </w:t>
      </w:r>
      <w:r>
        <w:rPr>
          <w:color w:val="231F20"/>
          <w:spacing w:val="-2"/>
        </w:rPr>
        <w:t>et</w:t>
      </w:r>
      <w:r>
        <w:rPr>
          <w:color w:val="231F20"/>
          <w:spacing w:val="-13"/>
        </w:rPr>
        <w:t> </w:t>
      </w:r>
      <w:r>
        <w:rPr>
          <w:color w:val="231F20"/>
          <w:spacing w:val="-2"/>
        </w:rPr>
        <w:t>AEF,</w:t>
      </w:r>
      <w:r>
        <w:rPr>
          <w:color w:val="231F20"/>
          <w:spacing w:val="-13"/>
        </w:rPr>
        <w:t> </w:t>
      </w:r>
      <w:r>
        <w:rPr>
          <w:color w:val="231F20"/>
          <w:spacing w:val="-2"/>
        </w:rPr>
        <w:t>il</w:t>
      </w:r>
      <w:r>
        <w:rPr>
          <w:color w:val="231F20"/>
          <w:spacing w:val="-13"/>
        </w:rPr>
        <w:t> </w:t>
      </w:r>
      <w:r>
        <w:rPr>
          <w:color w:val="231F20"/>
          <w:spacing w:val="-2"/>
        </w:rPr>
        <w:t>exerce </w:t>
      </w:r>
      <w:r>
        <w:rPr>
          <w:color w:val="231F20"/>
          <w:spacing w:val="-4"/>
        </w:rPr>
        <w:t>comme</w:t>
      </w:r>
      <w:r>
        <w:rPr>
          <w:color w:val="231F20"/>
          <w:spacing w:val="-9"/>
        </w:rPr>
        <w:t> </w:t>
      </w:r>
      <w:r>
        <w:rPr>
          <w:color w:val="231F20"/>
          <w:spacing w:val="-4"/>
        </w:rPr>
        <w:t>médecin</w:t>
      </w:r>
      <w:r>
        <w:rPr>
          <w:color w:val="231F20"/>
          <w:spacing w:val="-8"/>
        </w:rPr>
        <w:t> </w:t>
      </w:r>
      <w:r>
        <w:rPr>
          <w:color w:val="231F20"/>
          <w:spacing w:val="-4"/>
        </w:rPr>
        <w:t>de</w:t>
      </w:r>
      <w:r>
        <w:rPr>
          <w:color w:val="231F20"/>
          <w:spacing w:val="-8"/>
        </w:rPr>
        <w:t> </w:t>
      </w:r>
      <w:r>
        <w:rPr>
          <w:color w:val="231F20"/>
          <w:spacing w:val="-4"/>
        </w:rPr>
        <w:t>l’Administration</w:t>
      </w:r>
      <w:r>
        <w:rPr>
          <w:color w:val="231F20"/>
          <w:spacing w:val="-6"/>
        </w:rPr>
        <w:t> </w:t>
      </w:r>
      <w:r>
        <w:rPr>
          <w:color w:val="231F20"/>
          <w:spacing w:val="-4"/>
        </w:rPr>
        <w:t>coloniale</w:t>
      </w:r>
      <w:r>
        <w:rPr>
          <w:color w:val="231F20"/>
          <w:spacing w:val="-9"/>
        </w:rPr>
        <w:t> </w:t>
      </w:r>
      <w:r>
        <w:rPr>
          <w:color w:val="231F20"/>
          <w:spacing w:val="-4"/>
        </w:rPr>
        <w:t>à</w:t>
      </w:r>
      <w:r>
        <w:rPr>
          <w:color w:val="231F20"/>
          <w:spacing w:val="-8"/>
        </w:rPr>
        <w:t> </w:t>
      </w:r>
      <w:r>
        <w:rPr>
          <w:color w:val="231F20"/>
          <w:spacing w:val="-4"/>
        </w:rPr>
        <w:t>partir</w:t>
      </w:r>
      <w:r>
        <w:rPr>
          <w:color w:val="231F20"/>
          <w:spacing w:val="-9"/>
        </w:rPr>
        <w:t> </w:t>
      </w:r>
      <w:r>
        <w:rPr>
          <w:color w:val="231F20"/>
          <w:spacing w:val="-4"/>
        </w:rPr>
        <w:t>de</w:t>
      </w:r>
      <w:r>
        <w:rPr>
          <w:color w:val="231F20"/>
          <w:spacing w:val="-8"/>
        </w:rPr>
        <w:t> </w:t>
      </w:r>
      <w:r>
        <w:rPr>
          <w:color w:val="231F20"/>
          <w:spacing w:val="-4"/>
        </w:rPr>
        <w:t>1925</w:t>
      </w:r>
      <w:r>
        <w:rPr>
          <w:color w:val="231F20"/>
          <w:spacing w:val="-8"/>
        </w:rPr>
        <w:t> </w:t>
      </w:r>
      <w:r>
        <w:rPr>
          <w:color w:val="231F20"/>
          <w:spacing w:val="-4"/>
        </w:rPr>
        <w:t>à</w:t>
      </w:r>
      <w:r>
        <w:rPr>
          <w:color w:val="231F20"/>
          <w:spacing w:val="-10"/>
        </w:rPr>
        <w:t> </w:t>
      </w:r>
      <w:r>
        <w:rPr>
          <w:color w:val="231F20"/>
          <w:spacing w:val="-4"/>
        </w:rPr>
        <w:t>Abidjan, </w:t>
      </w:r>
      <w:r>
        <w:rPr>
          <w:color w:val="231F20"/>
        </w:rPr>
        <w:t>puis à Guiglo dans l’Ouest. En septembre 1929, il dépose ses valises à Abengourou dans l’Est du pays, son nouveau lieu d’affectation. Dans cette région productrice de cacao, il s’émeut des agissements des </w:t>
      </w:r>
      <w:r>
        <w:rPr>
          <w:color w:val="231F20"/>
          <w:spacing w:val="-2"/>
        </w:rPr>
        <w:t>commerçants</w:t>
      </w:r>
      <w:r>
        <w:rPr>
          <w:color w:val="231F20"/>
          <w:spacing w:val="-10"/>
        </w:rPr>
        <w:t> </w:t>
      </w:r>
      <w:r>
        <w:rPr>
          <w:color w:val="231F20"/>
          <w:spacing w:val="-2"/>
        </w:rPr>
        <w:t>colons.</w:t>
      </w:r>
      <w:r>
        <w:rPr>
          <w:color w:val="231F20"/>
          <w:spacing w:val="-13"/>
        </w:rPr>
        <w:t> </w:t>
      </w:r>
      <w:r>
        <w:rPr>
          <w:color w:val="231F20"/>
          <w:spacing w:val="-2"/>
        </w:rPr>
        <w:t>Sous</w:t>
      </w:r>
      <w:r>
        <w:rPr>
          <w:color w:val="231F20"/>
          <w:spacing w:val="-10"/>
        </w:rPr>
        <w:t> </w:t>
      </w:r>
      <w:r>
        <w:rPr>
          <w:color w:val="231F20"/>
          <w:spacing w:val="-2"/>
        </w:rPr>
        <w:t>un</w:t>
      </w:r>
      <w:r>
        <w:rPr>
          <w:color w:val="231F20"/>
          <w:spacing w:val="-10"/>
        </w:rPr>
        <w:t> </w:t>
      </w:r>
      <w:r>
        <w:rPr>
          <w:color w:val="231F20"/>
          <w:spacing w:val="-2"/>
        </w:rPr>
        <w:t>pseudonyme,</w:t>
      </w:r>
      <w:r>
        <w:rPr>
          <w:color w:val="231F20"/>
          <w:spacing w:val="-13"/>
        </w:rPr>
        <w:t> </w:t>
      </w:r>
      <w:r>
        <w:rPr>
          <w:color w:val="231F20"/>
          <w:spacing w:val="-2"/>
        </w:rPr>
        <w:t>il</w:t>
      </w:r>
      <w:r>
        <w:rPr>
          <w:color w:val="231F20"/>
          <w:spacing w:val="-10"/>
        </w:rPr>
        <w:t> </w:t>
      </w:r>
      <w:r>
        <w:rPr>
          <w:color w:val="231F20"/>
          <w:spacing w:val="-2"/>
        </w:rPr>
        <w:t>publie</w:t>
      </w:r>
      <w:r>
        <w:rPr>
          <w:color w:val="231F20"/>
          <w:spacing w:val="-10"/>
        </w:rPr>
        <w:t> </w:t>
      </w:r>
      <w:r>
        <w:rPr>
          <w:color w:val="231F20"/>
          <w:spacing w:val="-2"/>
        </w:rPr>
        <w:t>dans</w:t>
      </w:r>
      <w:r>
        <w:rPr>
          <w:color w:val="231F20"/>
          <w:spacing w:val="-10"/>
        </w:rPr>
        <w:t> </w:t>
      </w:r>
      <w:r>
        <w:rPr>
          <w:color w:val="231F20"/>
          <w:spacing w:val="-2"/>
        </w:rPr>
        <w:t>le</w:t>
      </w:r>
      <w:r>
        <w:rPr>
          <w:color w:val="231F20"/>
          <w:spacing w:val="-10"/>
        </w:rPr>
        <w:t> </w:t>
      </w:r>
      <w:r>
        <w:rPr>
          <w:color w:val="231F20"/>
          <w:spacing w:val="-2"/>
        </w:rPr>
        <w:t>journal</w:t>
      </w:r>
      <w:r>
        <w:rPr>
          <w:color w:val="231F20"/>
          <w:spacing w:val="-12"/>
        </w:rPr>
        <w:t> </w:t>
      </w:r>
      <w:r>
        <w:rPr>
          <w:color w:val="231F20"/>
          <w:spacing w:val="-2"/>
        </w:rPr>
        <w:t>«</w:t>
      </w:r>
      <w:r>
        <w:rPr>
          <w:color w:val="231F20"/>
          <w:spacing w:val="-10"/>
        </w:rPr>
        <w:t> </w:t>
      </w:r>
      <w:r>
        <w:rPr>
          <w:color w:val="231F20"/>
          <w:spacing w:val="-2"/>
        </w:rPr>
        <w:t>Le </w:t>
      </w:r>
      <w:r>
        <w:rPr>
          <w:color w:val="231F20"/>
        </w:rPr>
        <w:t>Trait d’union</w:t>
      </w:r>
      <w:r>
        <w:rPr>
          <w:color w:val="231F20"/>
          <w:vertAlign w:val="superscript"/>
        </w:rPr>
        <w:t>120</w:t>
      </w:r>
      <w:r>
        <w:rPr>
          <w:color w:val="231F20"/>
          <w:spacing w:val="-11"/>
          <w:vertAlign w:val="baseline"/>
        </w:rPr>
        <w:t> </w:t>
      </w:r>
      <w:r>
        <w:rPr>
          <w:color w:val="231F20"/>
          <w:vertAlign w:val="baseline"/>
        </w:rPr>
        <w:t>» du 22 décembre 1932, un article intitulé</w:t>
      </w:r>
      <w:r>
        <w:rPr>
          <w:color w:val="231F20"/>
          <w:spacing w:val="-15"/>
          <w:vertAlign w:val="baseline"/>
        </w:rPr>
        <w:t> </w:t>
      </w:r>
      <w:r>
        <w:rPr>
          <w:color w:val="231F20"/>
          <w:vertAlign w:val="baseline"/>
        </w:rPr>
        <w:t>: </w:t>
      </w:r>
      <w:r>
        <w:rPr>
          <w:i/>
          <w:color w:val="231F20"/>
          <w:vertAlign w:val="baseline"/>
        </w:rPr>
        <w:t>On nous a</w:t>
      </w:r>
      <w:r>
        <w:rPr>
          <w:i/>
          <w:color w:val="231F20"/>
          <w:vertAlign w:val="baseline"/>
        </w:rPr>
        <w:t> </w:t>
      </w:r>
      <w:r>
        <w:rPr>
          <w:i/>
          <w:color w:val="231F20"/>
          <w:spacing w:val="-2"/>
          <w:vertAlign w:val="baseline"/>
        </w:rPr>
        <w:t>trop</w:t>
      </w:r>
      <w:r>
        <w:rPr>
          <w:i/>
          <w:color w:val="231F20"/>
          <w:spacing w:val="-11"/>
          <w:vertAlign w:val="baseline"/>
        </w:rPr>
        <w:t> </w:t>
      </w:r>
      <w:r>
        <w:rPr>
          <w:i/>
          <w:color w:val="231F20"/>
          <w:spacing w:val="-2"/>
          <w:vertAlign w:val="baseline"/>
        </w:rPr>
        <w:t>volés.</w:t>
      </w:r>
      <w:r>
        <w:rPr>
          <w:i/>
          <w:color w:val="231F20"/>
          <w:spacing w:val="-11"/>
          <w:vertAlign w:val="baseline"/>
        </w:rPr>
        <w:t> </w:t>
      </w:r>
      <w:r>
        <w:rPr>
          <w:color w:val="231F20"/>
          <w:spacing w:val="-2"/>
          <w:vertAlign w:val="baseline"/>
        </w:rPr>
        <w:t>Il</w:t>
      </w:r>
      <w:r>
        <w:rPr>
          <w:color w:val="231F20"/>
          <w:spacing w:val="-11"/>
          <w:vertAlign w:val="baseline"/>
        </w:rPr>
        <w:t> </w:t>
      </w:r>
      <w:r>
        <w:rPr>
          <w:color w:val="231F20"/>
          <w:spacing w:val="-2"/>
          <w:vertAlign w:val="baseline"/>
        </w:rPr>
        <w:t>écrit</w:t>
      </w:r>
      <w:r>
        <w:rPr>
          <w:color w:val="231F20"/>
          <w:spacing w:val="-11"/>
          <w:vertAlign w:val="baseline"/>
        </w:rPr>
        <w:t> </w:t>
      </w:r>
      <w:r>
        <w:rPr>
          <w:color w:val="231F20"/>
          <w:spacing w:val="-2"/>
          <w:vertAlign w:val="baseline"/>
        </w:rPr>
        <w:t>notamment</w:t>
      </w:r>
      <w:r>
        <w:rPr>
          <w:color w:val="231F20"/>
          <w:spacing w:val="-13"/>
          <w:vertAlign w:val="baseline"/>
        </w:rPr>
        <w:t> </w:t>
      </w:r>
      <w:r>
        <w:rPr>
          <w:color w:val="231F20"/>
          <w:spacing w:val="-2"/>
          <w:vertAlign w:val="baseline"/>
        </w:rPr>
        <w:t>:</w:t>
      </w:r>
      <w:r>
        <w:rPr>
          <w:color w:val="231F20"/>
          <w:spacing w:val="-11"/>
          <w:vertAlign w:val="baseline"/>
        </w:rPr>
        <w:t> </w:t>
      </w:r>
      <w:r>
        <w:rPr>
          <w:color w:val="231F20"/>
          <w:spacing w:val="-2"/>
          <w:vertAlign w:val="baseline"/>
        </w:rPr>
        <w:t>«</w:t>
      </w:r>
      <w:r>
        <w:rPr>
          <w:color w:val="231F20"/>
          <w:spacing w:val="-12"/>
          <w:vertAlign w:val="baseline"/>
        </w:rPr>
        <w:t> </w:t>
      </w:r>
      <w:r>
        <w:rPr>
          <w:color w:val="231F20"/>
          <w:spacing w:val="-2"/>
          <w:vertAlign w:val="baseline"/>
        </w:rPr>
        <w:t>(…)</w:t>
      </w:r>
      <w:r>
        <w:rPr>
          <w:color w:val="231F20"/>
          <w:spacing w:val="-11"/>
          <w:vertAlign w:val="baseline"/>
        </w:rPr>
        <w:t> </w:t>
      </w:r>
      <w:r>
        <w:rPr>
          <w:color w:val="231F20"/>
          <w:spacing w:val="-2"/>
          <w:vertAlign w:val="baseline"/>
        </w:rPr>
        <w:t>depuis</w:t>
      </w:r>
      <w:r>
        <w:rPr>
          <w:color w:val="231F20"/>
          <w:spacing w:val="-11"/>
          <w:vertAlign w:val="baseline"/>
        </w:rPr>
        <w:t> </w:t>
      </w:r>
      <w:r>
        <w:rPr>
          <w:color w:val="231F20"/>
          <w:spacing w:val="-2"/>
          <w:vertAlign w:val="baseline"/>
        </w:rPr>
        <w:t>dix</w:t>
      </w:r>
      <w:r>
        <w:rPr>
          <w:color w:val="231F20"/>
          <w:spacing w:val="-11"/>
          <w:vertAlign w:val="baseline"/>
        </w:rPr>
        <w:t> </w:t>
      </w:r>
      <w:r>
        <w:rPr>
          <w:color w:val="231F20"/>
          <w:spacing w:val="-2"/>
          <w:vertAlign w:val="baseline"/>
        </w:rPr>
        <w:t>ans,</w:t>
      </w:r>
      <w:r>
        <w:rPr>
          <w:color w:val="231F20"/>
          <w:spacing w:val="-11"/>
          <w:vertAlign w:val="baseline"/>
        </w:rPr>
        <w:t> </w:t>
      </w:r>
      <w:r>
        <w:rPr>
          <w:color w:val="231F20"/>
          <w:spacing w:val="-2"/>
          <w:vertAlign w:val="baseline"/>
        </w:rPr>
        <w:t>une</w:t>
      </w:r>
      <w:r>
        <w:rPr>
          <w:color w:val="231F20"/>
          <w:spacing w:val="-13"/>
          <w:vertAlign w:val="baseline"/>
        </w:rPr>
        <w:t> </w:t>
      </w:r>
      <w:r>
        <w:rPr>
          <w:color w:val="231F20"/>
          <w:spacing w:val="-2"/>
          <w:vertAlign w:val="baseline"/>
        </w:rPr>
        <w:t>bonne</w:t>
      </w:r>
      <w:r>
        <w:rPr>
          <w:color w:val="231F20"/>
          <w:spacing w:val="-11"/>
          <w:vertAlign w:val="baseline"/>
        </w:rPr>
        <w:t> </w:t>
      </w:r>
      <w:r>
        <w:rPr>
          <w:color w:val="231F20"/>
          <w:spacing w:val="-2"/>
          <w:vertAlign w:val="baseline"/>
        </w:rPr>
        <w:t>partie</w:t>
      </w:r>
      <w:r>
        <w:rPr>
          <w:color w:val="231F20"/>
          <w:spacing w:val="-11"/>
          <w:vertAlign w:val="baseline"/>
        </w:rPr>
        <w:t> </w:t>
      </w:r>
      <w:r>
        <w:rPr>
          <w:color w:val="231F20"/>
          <w:spacing w:val="-2"/>
          <w:vertAlign w:val="baseline"/>
        </w:rPr>
        <w:t>de </w:t>
      </w:r>
      <w:r>
        <w:rPr>
          <w:color w:val="231F20"/>
          <w:spacing w:val="-4"/>
          <w:vertAlign w:val="baseline"/>
        </w:rPr>
        <w:t>nos</w:t>
      </w:r>
      <w:r>
        <w:rPr>
          <w:color w:val="231F20"/>
          <w:spacing w:val="-11"/>
          <w:vertAlign w:val="baseline"/>
        </w:rPr>
        <w:t> </w:t>
      </w:r>
      <w:r>
        <w:rPr>
          <w:color w:val="231F20"/>
          <w:spacing w:val="-4"/>
          <w:vertAlign w:val="baseline"/>
        </w:rPr>
        <w:t>revenus</w:t>
      </w:r>
      <w:r>
        <w:rPr>
          <w:color w:val="231F20"/>
          <w:spacing w:val="-11"/>
          <w:vertAlign w:val="baseline"/>
        </w:rPr>
        <w:t> </w:t>
      </w:r>
      <w:r>
        <w:rPr>
          <w:color w:val="231F20"/>
          <w:spacing w:val="-4"/>
          <w:vertAlign w:val="baseline"/>
        </w:rPr>
        <w:t>est</w:t>
      </w:r>
      <w:r>
        <w:rPr>
          <w:color w:val="231F20"/>
          <w:spacing w:val="-11"/>
          <w:vertAlign w:val="baseline"/>
        </w:rPr>
        <w:t> </w:t>
      </w:r>
      <w:r>
        <w:rPr>
          <w:color w:val="231F20"/>
          <w:spacing w:val="-4"/>
          <w:vertAlign w:val="baseline"/>
        </w:rPr>
        <w:t>détournée</w:t>
      </w:r>
      <w:r>
        <w:rPr>
          <w:color w:val="231F20"/>
          <w:spacing w:val="-11"/>
          <w:vertAlign w:val="baseline"/>
        </w:rPr>
        <w:t> </w:t>
      </w:r>
      <w:r>
        <w:rPr>
          <w:color w:val="231F20"/>
          <w:spacing w:val="-4"/>
          <w:vertAlign w:val="baseline"/>
        </w:rPr>
        <w:t>par</w:t>
      </w:r>
      <w:r>
        <w:rPr>
          <w:color w:val="231F20"/>
          <w:spacing w:val="-8"/>
          <w:vertAlign w:val="baseline"/>
        </w:rPr>
        <w:t> </w:t>
      </w:r>
      <w:r>
        <w:rPr>
          <w:color w:val="231F20"/>
          <w:spacing w:val="-4"/>
          <w:vertAlign w:val="baseline"/>
        </w:rPr>
        <w:t>les</w:t>
      </w:r>
      <w:r>
        <w:rPr>
          <w:color w:val="231F20"/>
          <w:spacing w:val="-11"/>
          <w:vertAlign w:val="baseline"/>
        </w:rPr>
        <w:t> </w:t>
      </w:r>
      <w:r>
        <w:rPr>
          <w:color w:val="231F20"/>
          <w:spacing w:val="-4"/>
          <w:vertAlign w:val="baseline"/>
        </w:rPr>
        <w:t>agents</w:t>
      </w:r>
      <w:r>
        <w:rPr>
          <w:color w:val="231F20"/>
          <w:spacing w:val="-11"/>
          <w:vertAlign w:val="baseline"/>
        </w:rPr>
        <w:t> </w:t>
      </w:r>
      <w:r>
        <w:rPr>
          <w:color w:val="231F20"/>
          <w:spacing w:val="-4"/>
          <w:vertAlign w:val="baseline"/>
        </w:rPr>
        <w:t>malhonnêtes</w:t>
      </w:r>
      <w:r>
        <w:rPr>
          <w:color w:val="231F20"/>
          <w:spacing w:val="-8"/>
          <w:vertAlign w:val="baseline"/>
        </w:rPr>
        <w:t> </w:t>
      </w:r>
      <w:r>
        <w:rPr>
          <w:color w:val="231F20"/>
          <w:spacing w:val="-4"/>
          <w:vertAlign w:val="baseline"/>
        </w:rPr>
        <w:t>qui</w:t>
      </w:r>
      <w:r>
        <w:rPr>
          <w:color w:val="231F20"/>
          <w:spacing w:val="-11"/>
          <w:vertAlign w:val="baseline"/>
        </w:rPr>
        <w:t> </w:t>
      </w:r>
      <w:r>
        <w:rPr>
          <w:color w:val="231F20"/>
          <w:spacing w:val="-4"/>
          <w:vertAlign w:val="baseline"/>
        </w:rPr>
        <w:t>fraternisent</w:t>
      </w:r>
      <w:r>
        <w:rPr>
          <w:color w:val="231F20"/>
          <w:spacing w:val="-11"/>
          <w:vertAlign w:val="baseline"/>
        </w:rPr>
        <w:t> </w:t>
      </w:r>
      <w:r>
        <w:rPr>
          <w:color w:val="231F20"/>
          <w:spacing w:val="-4"/>
          <w:vertAlign w:val="baseline"/>
        </w:rPr>
        <w:t>avec </w:t>
      </w:r>
      <w:r>
        <w:rPr>
          <w:color w:val="231F20"/>
          <w:vertAlign w:val="baseline"/>
        </w:rPr>
        <w:t>les traitants dont la plupart, vieux employés licenciés n’ont pour tout capital que l’amitié, la complaisance de leurs anciens camarades ». </w:t>
      </w:r>
      <w:r>
        <w:rPr>
          <w:color w:val="231F20"/>
          <w:spacing w:val="-2"/>
          <w:vertAlign w:val="baseline"/>
        </w:rPr>
        <w:t>Découvert</w:t>
      </w:r>
      <w:r>
        <w:rPr>
          <w:color w:val="231F20"/>
          <w:spacing w:val="-15"/>
          <w:vertAlign w:val="baseline"/>
        </w:rPr>
        <w:t> </w:t>
      </w:r>
      <w:r>
        <w:rPr>
          <w:color w:val="231F20"/>
          <w:spacing w:val="-2"/>
          <w:vertAlign w:val="baseline"/>
        </w:rPr>
        <w:t>par</w:t>
      </w:r>
      <w:r>
        <w:rPr>
          <w:color w:val="231F20"/>
          <w:spacing w:val="-13"/>
          <w:vertAlign w:val="baseline"/>
        </w:rPr>
        <w:t> </w:t>
      </w:r>
      <w:r>
        <w:rPr>
          <w:color w:val="231F20"/>
          <w:spacing w:val="-2"/>
          <w:vertAlign w:val="baseline"/>
        </w:rPr>
        <w:t>l’Administration,</w:t>
      </w:r>
      <w:r>
        <w:rPr>
          <w:color w:val="231F20"/>
          <w:spacing w:val="-13"/>
          <w:vertAlign w:val="baseline"/>
        </w:rPr>
        <w:t> </w:t>
      </w:r>
      <w:r>
        <w:rPr>
          <w:color w:val="231F20"/>
          <w:spacing w:val="-2"/>
          <w:vertAlign w:val="baseline"/>
        </w:rPr>
        <w:t>il</w:t>
      </w:r>
      <w:r>
        <w:rPr>
          <w:color w:val="231F20"/>
          <w:spacing w:val="-13"/>
          <w:vertAlign w:val="baseline"/>
        </w:rPr>
        <w:t> </w:t>
      </w:r>
      <w:r>
        <w:rPr>
          <w:color w:val="231F20"/>
          <w:spacing w:val="-2"/>
          <w:vertAlign w:val="baseline"/>
        </w:rPr>
        <w:t>écope</w:t>
      </w:r>
      <w:r>
        <w:rPr>
          <w:color w:val="231F20"/>
          <w:spacing w:val="-13"/>
          <w:vertAlign w:val="baseline"/>
        </w:rPr>
        <w:t> </w:t>
      </w:r>
      <w:r>
        <w:rPr>
          <w:color w:val="231F20"/>
          <w:spacing w:val="-2"/>
          <w:vertAlign w:val="baseline"/>
        </w:rPr>
        <w:t>d’un</w:t>
      </w:r>
      <w:r>
        <w:rPr>
          <w:color w:val="231F20"/>
          <w:spacing w:val="-13"/>
          <w:vertAlign w:val="baseline"/>
        </w:rPr>
        <w:t> </w:t>
      </w:r>
      <w:r>
        <w:rPr>
          <w:color w:val="231F20"/>
          <w:spacing w:val="-2"/>
          <w:vertAlign w:val="baseline"/>
        </w:rPr>
        <w:t>congé</w:t>
      </w:r>
      <w:r>
        <w:rPr>
          <w:color w:val="231F20"/>
          <w:spacing w:val="-13"/>
          <w:vertAlign w:val="baseline"/>
        </w:rPr>
        <w:t> </w:t>
      </w:r>
      <w:r>
        <w:rPr>
          <w:color w:val="231F20"/>
          <w:spacing w:val="-2"/>
          <w:vertAlign w:val="baseline"/>
        </w:rPr>
        <w:t>disciplinaire</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trois mois</w:t>
      </w:r>
      <w:r>
        <w:rPr>
          <w:color w:val="231F20"/>
          <w:spacing w:val="-9"/>
          <w:vertAlign w:val="baseline"/>
        </w:rPr>
        <w:t> </w:t>
      </w:r>
      <w:r>
        <w:rPr>
          <w:color w:val="231F20"/>
          <w:spacing w:val="-2"/>
          <w:vertAlign w:val="baseline"/>
        </w:rPr>
        <w:t>qu’il</w:t>
      </w:r>
      <w:r>
        <w:rPr>
          <w:color w:val="231F20"/>
          <w:spacing w:val="-9"/>
          <w:vertAlign w:val="baseline"/>
        </w:rPr>
        <w:t> </w:t>
      </w:r>
      <w:r>
        <w:rPr>
          <w:color w:val="231F20"/>
          <w:spacing w:val="-2"/>
          <w:vertAlign w:val="baseline"/>
        </w:rPr>
        <w:t>passe</w:t>
      </w:r>
      <w:r>
        <w:rPr>
          <w:color w:val="231F20"/>
          <w:spacing w:val="-8"/>
          <w:vertAlign w:val="baseline"/>
        </w:rPr>
        <w:t> </w:t>
      </w:r>
      <w:r>
        <w:rPr>
          <w:color w:val="231F20"/>
          <w:spacing w:val="-2"/>
          <w:vertAlign w:val="baseline"/>
        </w:rPr>
        <w:t>à</w:t>
      </w:r>
      <w:r>
        <w:rPr>
          <w:color w:val="231F20"/>
          <w:spacing w:val="-7"/>
          <w:vertAlign w:val="baseline"/>
        </w:rPr>
        <w:t> </w:t>
      </w:r>
      <w:r>
        <w:rPr>
          <w:color w:val="231F20"/>
          <w:spacing w:val="-2"/>
          <w:vertAlign w:val="baseline"/>
        </w:rPr>
        <w:t>Yamoussoukro</w:t>
      </w:r>
      <w:r>
        <w:rPr>
          <w:color w:val="231F20"/>
          <w:spacing w:val="-2"/>
          <w:vertAlign w:val="superscript"/>
        </w:rPr>
        <w:t>121</w:t>
      </w:r>
      <w:r>
        <w:rPr>
          <w:color w:val="231F20"/>
          <w:spacing w:val="-2"/>
          <w:vertAlign w:val="baseline"/>
        </w:rPr>
        <w:t>,</w:t>
      </w:r>
      <w:r>
        <w:rPr>
          <w:color w:val="231F20"/>
          <w:spacing w:val="-7"/>
          <w:vertAlign w:val="baseline"/>
        </w:rPr>
        <w:t> </w:t>
      </w:r>
      <w:r>
        <w:rPr>
          <w:color w:val="231F20"/>
          <w:spacing w:val="-2"/>
          <w:vertAlign w:val="baseline"/>
        </w:rPr>
        <w:t>son</w:t>
      </w:r>
      <w:r>
        <w:rPr>
          <w:color w:val="231F20"/>
          <w:spacing w:val="-7"/>
          <w:vertAlign w:val="baseline"/>
        </w:rPr>
        <w:t> </w:t>
      </w:r>
      <w:r>
        <w:rPr>
          <w:color w:val="231F20"/>
          <w:spacing w:val="-2"/>
          <w:vertAlign w:val="baseline"/>
        </w:rPr>
        <w:t>village.</w:t>
      </w:r>
      <w:r>
        <w:rPr>
          <w:color w:val="231F20"/>
          <w:spacing w:val="-7"/>
          <w:vertAlign w:val="baseline"/>
        </w:rPr>
        <w:t> </w:t>
      </w:r>
      <w:r>
        <w:rPr>
          <w:color w:val="231F20"/>
          <w:spacing w:val="-2"/>
          <w:vertAlign w:val="baseline"/>
        </w:rPr>
        <w:t>À</w:t>
      </w:r>
      <w:r>
        <w:rPr>
          <w:color w:val="231F20"/>
          <w:spacing w:val="-10"/>
          <w:vertAlign w:val="baseline"/>
        </w:rPr>
        <w:t> </w:t>
      </w:r>
      <w:r>
        <w:rPr>
          <w:color w:val="231F20"/>
          <w:spacing w:val="-2"/>
          <w:vertAlign w:val="baseline"/>
        </w:rPr>
        <w:t>la</w:t>
      </w:r>
      <w:r>
        <w:rPr>
          <w:color w:val="231F20"/>
          <w:spacing w:val="-10"/>
          <w:vertAlign w:val="baseline"/>
        </w:rPr>
        <w:t> </w:t>
      </w:r>
      <w:r>
        <w:rPr>
          <w:color w:val="231F20"/>
          <w:spacing w:val="-2"/>
          <w:vertAlign w:val="baseline"/>
        </w:rPr>
        <w:t>reprise</w:t>
      </w:r>
      <w:r>
        <w:rPr>
          <w:color w:val="231F20"/>
          <w:spacing w:val="-7"/>
          <w:vertAlign w:val="baseline"/>
        </w:rPr>
        <w:t> </w:t>
      </w:r>
      <w:r>
        <w:rPr>
          <w:color w:val="231F20"/>
          <w:spacing w:val="-2"/>
          <w:vertAlign w:val="baseline"/>
        </w:rPr>
        <w:t>du</w:t>
      </w:r>
      <w:r>
        <w:rPr>
          <w:color w:val="231F20"/>
          <w:spacing w:val="-9"/>
          <w:vertAlign w:val="baseline"/>
        </w:rPr>
        <w:t> </w:t>
      </w:r>
      <w:r>
        <w:rPr>
          <w:color w:val="231F20"/>
          <w:spacing w:val="-2"/>
          <w:vertAlign w:val="baseline"/>
        </w:rPr>
        <w:t>service, </w:t>
      </w:r>
      <w:r>
        <w:rPr>
          <w:color w:val="231F20"/>
          <w:vertAlign w:val="baseline"/>
        </w:rPr>
        <w:t>il est successivement affecté à Dimbokro, à 80 km au Sud-Est de son village</w:t>
      </w:r>
      <w:r>
        <w:rPr>
          <w:color w:val="231F20"/>
          <w:spacing w:val="-6"/>
          <w:vertAlign w:val="baseline"/>
        </w:rPr>
        <w:t> </w:t>
      </w:r>
      <w:r>
        <w:rPr>
          <w:color w:val="231F20"/>
          <w:vertAlign w:val="baseline"/>
        </w:rPr>
        <w:t>Yamoussoukro,</w:t>
      </w:r>
      <w:r>
        <w:rPr>
          <w:color w:val="231F20"/>
          <w:spacing w:val="-5"/>
          <w:vertAlign w:val="baseline"/>
        </w:rPr>
        <w:t> </w:t>
      </w:r>
      <w:r>
        <w:rPr>
          <w:color w:val="231F20"/>
          <w:vertAlign w:val="baseline"/>
        </w:rPr>
        <w:t>puis,</w:t>
      </w:r>
      <w:r>
        <w:rPr>
          <w:color w:val="231F20"/>
          <w:spacing w:val="-7"/>
          <w:vertAlign w:val="baseline"/>
        </w:rPr>
        <w:t> </w:t>
      </w:r>
      <w:r>
        <w:rPr>
          <w:color w:val="231F20"/>
          <w:vertAlign w:val="baseline"/>
        </w:rPr>
        <w:t>Toumodi</w:t>
      </w:r>
      <w:r>
        <w:rPr>
          <w:color w:val="231F20"/>
          <w:spacing w:val="-6"/>
          <w:vertAlign w:val="baseline"/>
        </w:rPr>
        <w:t> </w:t>
      </w:r>
      <w:r>
        <w:rPr>
          <w:color w:val="231F20"/>
          <w:vertAlign w:val="baseline"/>
        </w:rPr>
        <w:t>à</w:t>
      </w:r>
      <w:r>
        <w:rPr>
          <w:color w:val="231F20"/>
          <w:spacing w:val="-7"/>
          <w:vertAlign w:val="baseline"/>
        </w:rPr>
        <w:t> </w:t>
      </w:r>
      <w:r>
        <w:rPr>
          <w:color w:val="231F20"/>
          <w:vertAlign w:val="baseline"/>
        </w:rPr>
        <w:t>moins</w:t>
      </w:r>
      <w:r>
        <w:rPr>
          <w:color w:val="231F20"/>
          <w:spacing w:val="-7"/>
          <w:vertAlign w:val="baseline"/>
        </w:rPr>
        <w:t> </w:t>
      </w:r>
      <w:r>
        <w:rPr>
          <w:color w:val="231F20"/>
          <w:vertAlign w:val="baseline"/>
        </w:rPr>
        <w:t>de</w:t>
      </w:r>
      <w:r>
        <w:rPr>
          <w:color w:val="231F20"/>
          <w:spacing w:val="-7"/>
          <w:vertAlign w:val="baseline"/>
        </w:rPr>
        <w:t> </w:t>
      </w:r>
      <w:r>
        <w:rPr>
          <w:color w:val="231F20"/>
          <w:vertAlign w:val="baseline"/>
        </w:rPr>
        <w:t>40</w:t>
      </w:r>
      <w:r>
        <w:rPr>
          <w:color w:val="231F20"/>
          <w:spacing w:val="-6"/>
          <w:vertAlign w:val="baseline"/>
        </w:rPr>
        <w:t> </w:t>
      </w:r>
      <w:r>
        <w:rPr>
          <w:color w:val="231F20"/>
          <w:vertAlign w:val="baseline"/>
        </w:rPr>
        <w:t>kilomètres</w:t>
      </w:r>
      <w:r>
        <w:rPr>
          <w:color w:val="231F20"/>
          <w:spacing w:val="-7"/>
          <w:vertAlign w:val="baseline"/>
        </w:rPr>
        <w:t> </w:t>
      </w:r>
      <w:r>
        <w:rPr>
          <w:color w:val="231F20"/>
          <w:vertAlign w:val="baseline"/>
        </w:rPr>
        <w:t>de</w:t>
      </w:r>
      <w:r>
        <w:rPr>
          <w:color w:val="231F20"/>
          <w:spacing w:val="-7"/>
          <w:vertAlign w:val="baseline"/>
        </w:rPr>
        <w:t> </w:t>
      </w:r>
      <w:r>
        <w:rPr>
          <w:color w:val="231F20"/>
          <w:vertAlign w:val="baseline"/>
        </w:rPr>
        <w:t>son village.</w:t>
      </w:r>
      <w:r>
        <w:rPr>
          <w:color w:val="231F20"/>
          <w:spacing w:val="-11"/>
          <w:vertAlign w:val="baseline"/>
        </w:rPr>
        <w:t> </w:t>
      </w:r>
      <w:r>
        <w:rPr>
          <w:color w:val="231F20"/>
          <w:vertAlign w:val="baseline"/>
        </w:rPr>
        <w:t>Ce</w:t>
      </w:r>
      <w:r>
        <w:rPr>
          <w:color w:val="231F20"/>
          <w:spacing w:val="-9"/>
          <w:vertAlign w:val="baseline"/>
        </w:rPr>
        <w:t> </w:t>
      </w:r>
      <w:r>
        <w:rPr>
          <w:color w:val="231F20"/>
          <w:vertAlign w:val="baseline"/>
        </w:rPr>
        <w:t>sera</w:t>
      </w:r>
      <w:r>
        <w:rPr>
          <w:color w:val="231F20"/>
          <w:spacing w:val="-9"/>
          <w:vertAlign w:val="baseline"/>
        </w:rPr>
        <w:t> </w:t>
      </w:r>
      <w:r>
        <w:rPr>
          <w:color w:val="231F20"/>
          <w:vertAlign w:val="baseline"/>
        </w:rPr>
        <w:t>son</w:t>
      </w:r>
      <w:r>
        <w:rPr>
          <w:color w:val="231F20"/>
          <w:spacing w:val="-9"/>
          <w:vertAlign w:val="baseline"/>
        </w:rPr>
        <w:t> </w:t>
      </w:r>
      <w:r>
        <w:rPr>
          <w:color w:val="231F20"/>
          <w:vertAlign w:val="baseline"/>
        </w:rPr>
        <w:t>dernier</w:t>
      </w:r>
      <w:r>
        <w:rPr>
          <w:color w:val="231F20"/>
          <w:spacing w:val="-8"/>
          <w:vertAlign w:val="baseline"/>
        </w:rPr>
        <w:t> </w:t>
      </w:r>
      <w:r>
        <w:rPr>
          <w:color w:val="231F20"/>
          <w:vertAlign w:val="baseline"/>
        </w:rPr>
        <w:t>poste</w:t>
      </w:r>
      <w:r>
        <w:rPr>
          <w:color w:val="231F20"/>
          <w:spacing w:val="-11"/>
          <w:vertAlign w:val="baseline"/>
        </w:rPr>
        <w:t> </w:t>
      </w:r>
      <w:r>
        <w:rPr>
          <w:color w:val="231F20"/>
          <w:vertAlign w:val="baseline"/>
        </w:rPr>
        <w:t>de</w:t>
      </w:r>
      <w:r>
        <w:rPr>
          <w:color w:val="231F20"/>
          <w:spacing w:val="-9"/>
          <w:vertAlign w:val="baseline"/>
        </w:rPr>
        <w:t> </w:t>
      </w:r>
      <w:r>
        <w:rPr>
          <w:color w:val="231F20"/>
          <w:vertAlign w:val="baseline"/>
        </w:rPr>
        <w:t>médecin.</w:t>
      </w:r>
      <w:r>
        <w:rPr>
          <w:color w:val="231F20"/>
          <w:spacing w:val="-9"/>
          <w:vertAlign w:val="baseline"/>
        </w:rPr>
        <w:t> </w:t>
      </w:r>
      <w:r>
        <w:rPr>
          <w:color w:val="231F20"/>
          <w:vertAlign w:val="baseline"/>
        </w:rPr>
        <w:t>Il</w:t>
      </w:r>
      <w:r>
        <w:rPr>
          <w:color w:val="231F20"/>
          <w:spacing w:val="-9"/>
          <w:vertAlign w:val="baseline"/>
        </w:rPr>
        <w:t> </w:t>
      </w:r>
      <w:r>
        <w:rPr>
          <w:color w:val="231F20"/>
          <w:vertAlign w:val="baseline"/>
        </w:rPr>
        <w:t>y</w:t>
      </w:r>
      <w:r>
        <w:rPr>
          <w:color w:val="231F20"/>
          <w:spacing w:val="-9"/>
          <w:vertAlign w:val="baseline"/>
        </w:rPr>
        <w:t> </w:t>
      </w:r>
      <w:r>
        <w:rPr>
          <w:color w:val="231F20"/>
          <w:vertAlign w:val="baseline"/>
        </w:rPr>
        <w:t>reste</w:t>
      </w:r>
      <w:r>
        <w:rPr>
          <w:color w:val="231F20"/>
          <w:spacing w:val="-9"/>
          <w:vertAlign w:val="baseline"/>
        </w:rPr>
        <w:t> </w:t>
      </w:r>
      <w:r>
        <w:rPr>
          <w:color w:val="231F20"/>
          <w:vertAlign w:val="baseline"/>
        </w:rPr>
        <w:t>de</w:t>
      </w:r>
      <w:r>
        <w:rPr>
          <w:color w:val="231F20"/>
          <w:spacing w:val="-9"/>
          <w:vertAlign w:val="baseline"/>
        </w:rPr>
        <w:t> </w:t>
      </w:r>
      <w:r>
        <w:rPr>
          <w:color w:val="231F20"/>
          <w:vertAlign w:val="baseline"/>
        </w:rPr>
        <w:t>1936</w:t>
      </w:r>
      <w:r>
        <w:rPr>
          <w:color w:val="231F20"/>
          <w:spacing w:val="-9"/>
          <w:vertAlign w:val="baseline"/>
        </w:rPr>
        <w:t> </w:t>
      </w:r>
      <w:r>
        <w:rPr>
          <w:color w:val="231F20"/>
          <w:vertAlign w:val="baseline"/>
        </w:rPr>
        <w:t>à</w:t>
      </w:r>
      <w:r>
        <w:rPr>
          <w:color w:val="231F20"/>
          <w:spacing w:val="-11"/>
          <w:vertAlign w:val="baseline"/>
        </w:rPr>
        <w:t> </w:t>
      </w:r>
      <w:r>
        <w:rPr>
          <w:color w:val="231F20"/>
          <w:vertAlign w:val="baseline"/>
        </w:rPr>
        <w:t>1939.</w:t>
      </w:r>
    </w:p>
    <w:p>
      <w:pPr>
        <w:pStyle w:val="BodyText"/>
        <w:spacing w:before="36"/>
        <w:ind w:left="0"/>
        <w:jc w:val="left"/>
        <w:rPr>
          <w:sz w:val="20"/>
        </w:rPr>
      </w:pPr>
      <w:r>
        <w:rPr/>
        <mc:AlternateContent>
          <mc:Choice Requires="wps">
            <w:drawing>
              <wp:anchor distT="0" distB="0" distL="0" distR="0" allowOverlap="1" layoutInCell="1" locked="0" behindDoc="1" simplePos="0" relativeHeight="487625216">
                <wp:simplePos x="0" y="0"/>
                <wp:positionH relativeFrom="page">
                  <wp:posOffset>629907</wp:posOffset>
                </wp:positionH>
                <wp:positionV relativeFrom="paragraph">
                  <wp:posOffset>184465</wp:posOffset>
                </wp:positionV>
                <wp:extent cx="1829435" cy="9525"/>
                <wp:effectExtent l="0" t="0" r="0" b="0"/>
                <wp:wrapTopAndBottom/>
                <wp:docPr id="94" name="Graphic 94"/>
                <wp:cNvGraphicFramePr>
                  <a:graphicFrameLocks/>
                </wp:cNvGraphicFramePr>
                <a:graphic>
                  <a:graphicData uri="http://schemas.microsoft.com/office/word/2010/wordprocessingShape">
                    <wps:wsp>
                      <wps:cNvPr id="94" name="Graphic 94"/>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524844pt;width:144.020pt;height:.72pt;mso-position-horizontal-relative:page;mso-position-vertical-relative:paragraph;z-index:-15691264;mso-wrap-distance-left:0;mso-wrap-distance-right:0" id="docshape92" filled="true" fillcolor="#231f20" stroked="false">
                <v:fill type="solid"/>
                <w10:wrap type="topAndBottom"/>
              </v:rect>
            </w:pict>
          </mc:Fallback>
        </mc:AlternateContent>
      </w:r>
    </w:p>
    <w:p>
      <w:pPr>
        <w:spacing w:before="91"/>
        <w:ind w:left="111" w:right="0" w:firstLine="0"/>
        <w:jc w:val="both"/>
        <w:rPr>
          <w:sz w:val="20"/>
        </w:rPr>
      </w:pPr>
      <w:r>
        <w:rPr>
          <w:color w:val="76787A"/>
          <w:spacing w:val="-2"/>
          <w:sz w:val="20"/>
          <w:vertAlign w:val="superscript"/>
        </w:rPr>
        <w:t>120</w:t>
      </w:r>
      <w:r>
        <w:rPr>
          <w:color w:val="231F20"/>
          <w:spacing w:val="-2"/>
          <w:sz w:val="20"/>
          <w:vertAlign w:val="baseline"/>
        </w:rPr>
        <w:t>Le</w:t>
      </w:r>
      <w:r>
        <w:rPr>
          <w:color w:val="231F20"/>
          <w:spacing w:val="-10"/>
          <w:sz w:val="20"/>
          <w:vertAlign w:val="baseline"/>
        </w:rPr>
        <w:t> </w:t>
      </w:r>
      <w:r>
        <w:rPr>
          <w:color w:val="231F20"/>
          <w:spacing w:val="-2"/>
          <w:sz w:val="20"/>
          <w:vertAlign w:val="baseline"/>
        </w:rPr>
        <w:t>Trait</w:t>
      </w:r>
      <w:r>
        <w:rPr>
          <w:color w:val="231F20"/>
          <w:spacing w:val="-11"/>
          <w:sz w:val="20"/>
          <w:vertAlign w:val="baseline"/>
        </w:rPr>
        <w:t> </w:t>
      </w:r>
      <w:r>
        <w:rPr>
          <w:color w:val="231F20"/>
          <w:spacing w:val="-2"/>
          <w:sz w:val="20"/>
          <w:vertAlign w:val="baseline"/>
        </w:rPr>
        <w:t>d'Union,jounal</w:t>
      </w:r>
      <w:r>
        <w:rPr>
          <w:color w:val="231F20"/>
          <w:spacing w:val="-9"/>
          <w:sz w:val="20"/>
          <w:vertAlign w:val="baseline"/>
        </w:rPr>
        <w:t> </w:t>
      </w:r>
      <w:r>
        <w:rPr>
          <w:color w:val="231F20"/>
          <w:spacing w:val="-2"/>
          <w:sz w:val="20"/>
          <w:vertAlign w:val="baseline"/>
        </w:rPr>
        <w:t>créé</w:t>
      </w:r>
      <w:r>
        <w:rPr>
          <w:color w:val="231F20"/>
          <w:spacing w:val="-7"/>
          <w:sz w:val="20"/>
          <w:vertAlign w:val="baseline"/>
        </w:rPr>
        <w:t> </w:t>
      </w:r>
      <w:r>
        <w:rPr>
          <w:color w:val="231F20"/>
          <w:spacing w:val="-2"/>
          <w:sz w:val="20"/>
          <w:vertAlign w:val="baseline"/>
        </w:rPr>
        <w:t>en</w:t>
      </w:r>
      <w:r>
        <w:rPr>
          <w:color w:val="231F20"/>
          <w:spacing w:val="-10"/>
          <w:sz w:val="20"/>
          <w:vertAlign w:val="baseline"/>
        </w:rPr>
        <w:t> </w:t>
      </w:r>
      <w:r>
        <w:rPr>
          <w:color w:val="231F20"/>
          <w:spacing w:val="-2"/>
          <w:sz w:val="20"/>
          <w:vertAlign w:val="baseline"/>
        </w:rPr>
        <w:t>1932</w:t>
      </w:r>
      <w:r>
        <w:rPr>
          <w:color w:val="231F20"/>
          <w:spacing w:val="-10"/>
          <w:sz w:val="20"/>
          <w:vertAlign w:val="baseline"/>
        </w:rPr>
        <w:t> </w:t>
      </w:r>
      <w:r>
        <w:rPr>
          <w:color w:val="231F20"/>
          <w:spacing w:val="-2"/>
          <w:sz w:val="20"/>
          <w:vertAlign w:val="baseline"/>
        </w:rPr>
        <w:t>par</w:t>
      </w:r>
      <w:r>
        <w:rPr>
          <w:color w:val="231F20"/>
          <w:spacing w:val="-7"/>
          <w:sz w:val="20"/>
          <w:vertAlign w:val="baseline"/>
        </w:rPr>
        <w:t> </w:t>
      </w:r>
      <w:r>
        <w:rPr>
          <w:color w:val="231F20"/>
          <w:spacing w:val="-2"/>
          <w:sz w:val="20"/>
          <w:vertAlign w:val="baseline"/>
        </w:rPr>
        <w:t>Roger</w:t>
      </w:r>
      <w:r>
        <w:rPr>
          <w:color w:val="231F20"/>
          <w:spacing w:val="-8"/>
          <w:sz w:val="20"/>
          <w:vertAlign w:val="baseline"/>
        </w:rPr>
        <w:t> </w:t>
      </w:r>
      <w:r>
        <w:rPr>
          <w:color w:val="231F20"/>
          <w:spacing w:val="-2"/>
          <w:sz w:val="20"/>
          <w:vertAlign w:val="baseline"/>
        </w:rPr>
        <w:t>Rappet,</w:t>
      </w:r>
      <w:r>
        <w:rPr>
          <w:color w:val="231F20"/>
          <w:spacing w:val="-9"/>
          <w:sz w:val="20"/>
          <w:vertAlign w:val="baseline"/>
        </w:rPr>
        <w:t> </w:t>
      </w:r>
      <w:r>
        <w:rPr>
          <w:color w:val="231F20"/>
          <w:spacing w:val="-2"/>
          <w:sz w:val="20"/>
          <w:vertAlign w:val="baseline"/>
        </w:rPr>
        <w:t>Il</w:t>
      </w:r>
      <w:r>
        <w:rPr>
          <w:color w:val="231F20"/>
          <w:spacing w:val="-9"/>
          <w:sz w:val="20"/>
          <w:vertAlign w:val="baseline"/>
        </w:rPr>
        <w:t> </w:t>
      </w:r>
      <w:r>
        <w:rPr>
          <w:color w:val="231F20"/>
          <w:spacing w:val="-2"/>
          <w:sz w:val="20"/>
          <w:vertAlign w:val="baseline"/>
        </w:rPr>
        <w:t>fait</w:t>
      </w:r>
      <w:r>
        <w:rPr>
          <w:color w:val="231F20"/>
          <w:spacing w:val="-11"/>
          <w:sz w:val="20"/>
          <w:vertAlign w:val="baseline"/>
        </w:rPr>
        <w:t> </w:t>
      </w:r>
      <w:r>
        <w:rPr>
          <w:color w:val="231F20"/>
          <w:spacing w:val="-2"/>
          <w:sz w:val="20"/>
          <w:vertAlign w:val="baseline"/>
        </w:rPr>
        <w:t>partie</w:t>
      </w:r>
      <w:r>
        <w:rPr>
          <w:color w:val="231F20"/>
          <w:spacing w:val="-8"/>
          <w:sz w:val="20"/>
          <w:vertAlign w:val="baseline"/>
        </w:rPr>
        <w:t> </w:t>
      </w:r>
      <w:r>
        <w:rPr>
          <w:color w:val="231F20"/>
          <w:spacing w:val="-2"/>
          <w:sz w:val="20"/>
          <w:vertAlign w:val="baseline"/>
        </w:rPr>
        <w:t>des</w:t>
      </w:r>
      <w:r>
        <w:rPr>
          <w:color w:val="231F20"/>
          <w:spacing w:val="-9"/>
          <w:sz w:val="20"/>
          <w:vertAlign w:val="baseline"/>
        </w:rPr>
        <w:t> </w:t>
      </w:r>
      <w:r>
        <w:rPr>
          <w:color w:val="231F20"/>
          <w:spacing w:val="-2"/>
          <w:sz w:val="20"/>
          <w:vertAlign w:val="baseline"/>
        </w:rPr>
        <w:t>colonialistes</w:t>
      </w:r>
    </w:p>
    <w:p>
      <w:pPr>
        <w:spacing w:before="1"/>
        <w:ind w:left="111" w:right="0" w:firstLine="0"/>
        <w:jc w:val="both"/>
        <w:rPr>
          <w:sz w:val="20"/>
        </w:rPr>
      </w:pPr>
      <w:r>
        <w:rPr>
          <w:color w:val="231F20"/>
          <w:spacing w:val="-4"/>
          <w:sz w:val="20"/>
        </w:rPr>
        <w:t>“modérés”</w:t>
      </w:r>
      <w:r>
        <w:rPr>
          <w:color w:val="231F20"/>
          <w:spacing w:val="-3"/>
          <w:sz w:val="20"/>
        </w:rPr>
        <w:t> </w:t>
      </w:r>
      <w:r>
        <w:rPr>
          <w:color w:val="231F20"/>
          <w:spacing w:val="-4"/>
          <w:sz w:val="20"/>
        </w:rPr>
        <w:t>qui</w:t>
      </w:r>
      <w:r>
        <w:rPr>
          <w:color w:val="231F20"/>
          <w:spacing w:val="-2"/>
          <w:sz w:val="20"/>
        </w:rPr>
        <w:t> </w:t>
      </w:r>
      <w:r>
        <w:rPr>
          <w:color w:val="231F20"/>
          <w:spacing w:val="-4"/>
          <w:sz w:val="20"/>
        </w:rPr>
        <w:t>prennent</w:t>
      </w:r>
      <w:r>
        <w:rPr>
          <w:color w:val="231F20"/>
          <w:spacing w:val="-2"/>
          <w:sz w:val="20"/>
        </w:rPr>
        <w:t> </w:t>
      </w:r>
      <w:r>
        <w:rPr>
          <w:color w:val="231F20"/>
          <w:spacing w:val="-4"/>
          <w:sz w:val="20"/>
        </w:rPr>
        <w:t>parfois la</w:t>
      </w:r>
      <w:r>
        <w:rPr>
          <w:color w:val="231F20"/>
          <w:spacing w:val="-2"/>
          <w:sz w:val="20"/>
        </w:rPr>
        <w:t> </w:t>
      </w:r>
      <w:r>
        <w:rPr>
          <w:color w:val="231F20"/>
          <w:spacing w:val="-4"/>
          <w:sz w:val="20"/>
        </w:rPr>
        <w:t>défense</w:t>
      </w:r>
      <w:r>
        <w:rPr>
          <w:color w:val="231F20"/>
          <w:spacing w:val="-2"/>
          <w:sz w:val="20"/>
        </w:rPr>
        <w:t> </w:t>
      </w:r>
      <w:r>
        <w:rPr>
          <w:color w:val="231F20"/>
          <w:spacing w:val="-4"/>
          <w:sz w:val="20"/>
        </w:rPr>
        <w:t>des</w:t>
      </w:r>
      <w:r>
        <w:rPr>
          <w:color w:val="231F20"/>
          <w:sz w:val="20"/>
        </w:rPr>
        <w:t> </w:t>
      </w:r>
      <w:r>
        <w:rPr>
          <w:color w:val="231F20"/>
          <w:spacing w:val="-4"/>
          <w:sz w:val="20"/>
        </w:rPr>
        <w:t>intérêts des</w:t>
      </w:r>
      <w:r>
        <w:rPr>
          <w:color w:val="231F20"/>
          <w:spacing w:val="-2"/>
          <w:sz w:val="20"/>
        </w:rPr>
        <w:t> </w:t>
      </w:r>
      <w:r>
        <w:rPr>
          <w:color w:val="231F20"/>
          <w:spacing w:val="-4"/>
          <w:sz w:val="20"/>
        </w:rPr>
        <w:t>planteurs</w:t>
      </w:r>
      <w:r>
        <w:rPr>
          <w:color w:val="231F20"/>
          <w:spacing w:val="-3"/>
          <w:sz w:val="20"/>
        </w:rPr>
        <w:t> </w:t>
      </w:r>
      <w:r>
        <w:rPr>
          <w:color w:val="231F20"/>
          <w:spacing w:val="-4"/>
          <w:sz w:val="20"/>
        </w:rPr>
        <w:t>autochtones.</w:t>
      </w:r>
    </w:p>
    <w:p>
      <w:pPr>
        <w:spacing w:before="0"/>
        <w:ind w:left="111" w:right="105" w:firstLine="0"/>
        <w:jc w:val="both"/>
        <w:rPr>
          <w:sz w:val="20"/>
        </w:rPr>
      </w:pPr>
      <w:r>
        <w:rPr>
          <w:color w:val="76787A"/>
          <w:sz w:val="20"/>
          <w:vertAlign w:val="superscript"/>
        </w:rPr>
        <w:t>121</w:t>
      </w:r>
      <w:r>
        <w:rPr>
          <w:color w:val="76787A"/>
          <w:sz w:val="20"/>
          <w:vertAlign w:val="baseline"/>
        </w:rPr>
        <w:t> </w:t>
      </w:r>
      <w:r>
        <w:rPr>
          <w:color w:val="231F20"/>
          <w:sz w:val="20"/>
          <w:vertAlign w:val="baseline"/>
        </w:rPr>
        <w:t>Située à 240</w:t>
      </w:r>
      <w:r>
        <w:rPr>
          <w:color w:val="231F20"/>
          <w:spacing w:val="-11"/>
          <w:sz w:val="20"/>
          <w:vertAlign w:val="baseline"/>
        </w:rPr>
        <w:t> </w:t>
      </w:r>
      <w:r>
        <w:rPr>
          <w:color w:val="231F20"/>
          <w:sz w:val="20"/>
          <w:vertAlign w:val="baseline"/>
        </w:rPr>
        <w:t>kilomètres au nord d'Abidjan. Érigée en capitale</w:t>
      </w:r>
      <w:r>
        <w:rPr>
          <w:color w:val="231F20"/>
          <w:spacing w:val="-12"/>
          <w:sz w:val="20"/>
          <w:vertAlign w:val="baseline"/>
        </w:rPr>
        <w:t> </w:t>
      </w:r>
      <w:r>
        <w:rPr>
          <w:color w:val="231F20"/>
          <w:sz w:val="20"/>
          <w:vertAlign w:val="baseline"/>
        </w:rPr>
        <w:t>politique et administrative</w:t>
      </w:r>
      <w:r>
        <w:rPr>
          <w:color w:val="231F20"/>
          <w:spacing w:val="-12"/>
          <w:sz w:val="20"/>
          <w:vertAlign w:val="baseline"/>
        </w:rPr>
        <w:t> </w:t>
      </w:r>
      <w:r>
        <w:rPr>
          <w:color w:val="231F20"/>
          <w:sz w:val="20"/>
          <w:vertAlign w:val="baseline"/>
        </w:rPr>
        <w:t>de la</w:t>
      </w:r>
      <w:r>
        <w:rPr>
          <w:color w:val="231F20"/>
          <w:spacing w:val="-13"/>
          <w:sz w:val="20"/>
          <w:vertAlign w:val="baseline"/>
        </w:rPr>
        <w:t> </w:t>
      </w:r>
      <w:r>
        <w:rPr>
          <w:color w:val="231F20"/>
          <w:sz w:val="20"/>
          <w:vertAlign w:val="baseline"/>
        </w:rPr>
        <w:t>Côte d'Ivoire</w:t>
      </w:r>
      <w:r>
        <w:rPr>
          <w:color w:val="231F20"/>
          <w:spacing w:val="-13"/>
          <w:sz w:val="20"/>
          <w:vertAlign w:val="baseline"/>
        </w:rPr>
        <w:t> </w:t>
      </w:r>
      <w:r>
        <w:rPr>
          <w:color w:val="231F20"/>
          <w:sz w:val="20"/>
          <w:vertAlign w:val="baseline"/>
        </w:rPr>
        <w:t>depuis 1983</w:t>
      </w:r>
      <w:r>
        <w:rPr>
          <w:color w:val="231F20"/>
          <w:spacing w:val="-13"/>
          <w:sz w:val="20"/>
          <w:vertAlign w:val="baseline"/>
        </w:rPr>
        <w:t> </w:t>
      </w:r>
      <w:r>
        <w:rPr>
          <w:color w:val="231F20"/>
          <w:sz w:val="20"/>
          <w:vertAlign w:val="baseline"/>
        </w:rPr>
        <w:t>; la</w:t>
      </w:r>
      <w:r>
        <w:rPr>
          <w:color w:val="231F20"/>
          <w:spacing w:val="-13"/>
          <w:sz w:val="20"/>
          <w:vertAlign w:val="baseline"/>
        </w:rPr>
        <w:t> </w:t>
      </w:r>
      <w:r>
        <w:rPr>
          <w:color w:val="231F20"/>
          <w:sz w:val="20"/>
          <w:vertAlign w:val="baseline"/>
        </w:rPr>
        <w:t>capitale</w:t>
      </w:r>
      <w:r>
        <w:rPr>
          <w:color w:val="231F20"/>
          <w:spacing w:val="-12"/>
          <w:sz w:val="20"/>
          <w:vertAlign w:val="baseline"/>
        </w:rPr>
        <w:t> </w:t>
      </w:r>
      <w:r>
        <w:rPr>
          <w:color w:val="231F20"/>
          <w:sz w:val="20"/>
          <w:vertAlign w:val="baseline"/>
        </w:rPr>
        <w:t>économique du pays étant </w:t>
      </w:r>
      <w:r>
        <w:rPr>
          <w:color w:val="231F20"/>
          <w:spacing w:val="-2"/>
          <w:sz w:val="20"/>
          <w:vertAlign w:val="baseline"/>
        </w:rPr>
        <w:t>Abidjan.</w:t>
      </w:r>
    </w:p>
    <w:p>
      <w:pPr>
        <w:spacing w:after="0"/>
        <w:jc w:val="both"/>
        <w:rPr>
          <w:sz w:val="20"/>
        </w:rPr>
        <w:sectPr>
          <w:pgSz w:w="8790" w:h="13610"/>
          <w:pgMar w:header="0" w:footer="802" w:top="1060" w:bottom="1000" w:left="880" w:right="880"/>
        </w:sectPr>
      </w:pPr>
    </w:p>
    <w:p>
      <w:pPr>
        <w:pStyle w:val="BodyText"/>
        <w:spacing w:before="66"/>
        <w:ind w:right="107" w:firstLine="283"/>
      </w:pPr>
      <w:r>
        <w:rPr>
          <w:color w:val="231F20"/>
          <w:spacing w:val="-2"/>
        </w:rPr>
        <w:t>Face</w:t>
      </w:r>
      <w:r>
        <w:rPr>
          <w:color w:val="231F20"/>
          <w:spacing w:val="-10"/>
        </w:rPr>
        <w:t> </w:t>
      </w:r>
      <w:r>
        <w:rPr>
          <w:color w:val="231F20"/>
          <w:spacing w:val="-2"/>
        </w:rPr>
        <w:t>aux</w:t>
      </w:r>
      <w:r>
        <w:rPr>
          <w:color w:val="231F20"/>
          <w:spacing w:val="-10"/>
        </w:rPr>
        <w:t> </w:t>
      </w:r>
      <w:r>
        <w:rPr>
          <w:color w:val="231F20"/>
          <w:spacing w:val="-2"/>
        </w:rPr>
        <w:t>abus</w:t>
      </w:r>
      <w:r>
        <w:rPr>
          <w:color w:val="231F20"/>
          <w:spacing w:val="-10"/>
        </w:rPr>
        <w:t> </w:t>
      </w:r>
      <w:r>
        <w:rPr>
          <w:color w:val="231F20"/>
          <w:spacing w:val="-2"/>
        </w:rPr>
        <w:t>des</w:t>
      </w:r>
      <w:r>
        <w:rPr>
          <w:color w:val="231F20"/>
          <w:spacing w:val="-10"/>
        </w:rPr>
        <w:t> </w:t>
      </w:r>
      <w:r>
        <w:rPr>
          <w:color w:val="231F20"/>
          <w:spacing w:val="-2"/>
        </w:rPr>
        <w:t>colons,</w:t>
      </w:r>
      <w:r>
        <w:rPr>
          <w:color w:val="231F20"/>
          <w:spacing w:val="-12"/>
        </w:rPr>
        <w:t> </w:t>
      </w:r>
      <w:r>
        <w:rPr>
          <w:color w:val="231F20"/>
          <w:spacing w:val="-2"/>
        </w:rPr>
        <w:t>en</w:t>
      </w:r>
      <w:r>
        <w:rPr>
          <w:color w:val="231F20"/>
          <w:spacing w:val="-10"/>
        </w:rPr>
        <w:t> </w:t>
      </w:r>
      <w:r>
        <w:rPr>
          <w:color w:val="231F20"/>
          <w:spacing w:val="-2"/>
        </w:rPr>
        <w:t>compagnie</w:t>
      </w:r>
      <w:r>
        <w:rPr>
          <w:color w:val="231F20"/>
          <w:spacing w:val="-10"/>
        </w:rPr>
        <w:t> </w:t>
      </w:r>
      <w:r>
        <w:rPr>
          <w:color w:val="231F20"/>
          <w:spacing w:val="-2"/>
        </w:rPr>
        <w:t>d’autres</w:t>
      </w:r>
      <w:r>
        <w:rPr>
          <w:color w:val="231F20"/>
          <w:spacing w:val="-10"/>
        </w:rPr>
        <w:t> </w:t>
      </w:r>
      <w:r>
        <w:rPr>
          <w:color w:val="231F20"/>
          <w:spacing w:val="-2"/>
        </w:rPr>
        <w:t>planteurs</w:t>
      </w:r>
      <w:r>
        <w:rPr>
          <w:color w:val="231F20"/>
          <w:spacing w:val="-13"/>
        </w:rPr>
        <w:t> </w:t>
      </w:r>
      <w:r>
        <w:rPr>
          <w:color w:val="231F20"/>
          <w:spacing w:val="-2"/>
        </w:rPr>
        <w:t>indigènes, </w:t>
      </w:r>
      <w:r>
        <w:rPr>
          <w:color w:val="231F20"/>
        </w:rPr>
        <w:t>il crée en 1944, le Syndicat Agricole Africain qui devient le premier organisme autochtone d’Afrique noire à opposer une résistance à certaines</w:t>
      </w:r>
      <w:r>
        <w:rPr>
          <w:color w:val="231F20"/>
          <w:spacing w:val="-5"/>
        </w:rPr>
        <w:t> </w:t>
      </w:r>
      <w:r>
        <w:rPr>
          <w:color w:val="231F20"/>
        </w:rPr>
        <w:t>méthodes</w:t>
      </w:r>
      <w:r>
        <w:rPr>
          <w:color w:val="231F20"/>
          <w:spacing w:val="-5"/>
        </w:rPr>
        <w:t> </w:t>
      </w:r>
      <w:r>
        <w:rPr>
          <w:color w:val="231F20"/>
        </w:rPr>
        <w:t>de</w:t>
      </w:r>
      <w:r>
        <w:rPr>
          <w:color w:val="231F20"/>
          <w:spacing w:val="-7"/>
        </w:rPr>
        <w:t> </w:t>
      </w:r>
      <w:r>
        <w:rPr>
          <w:color w:val="231F20"/>
        </w:rPr>
        <w:t>l’Administration</w:t>
      </w:r>
      <w:r>
        <w:rPr>
          <w:color w:val="231F20"/>
          <w:spacing w:val="-5"/>
        </w:rPr>
        <w:t> </w:t>
      </w:r>
      <w:r>
        <w:rPr>
          <w:color w:val="231F20"/>
        </w:rPr>
        <w:t>et</w:t>
      </w:r>
      <w:r>
        <w:rPr>
          <w:color w:val="231F20"/>
          <w:spacing w:val="-5"/>
        </w:rPr>
        <w:t> </w:t>
      </w:r>
      <w:r>
        <w:rPr>
          <w:color w:val="231F20"/>
        </w:rPr>
        <w:t>du</w:t>
      </w:r>
      <w:r>
        <w:rPr>
          <w:color w:val="231F20"/>
          <w:spacing w:val="-5"/>
        </w:rPr>
        <w:t> </w:t>
      </w:r>
      <w:r>
        <w:rPr>
          <w:color w:val="231F20"/>
        </w:rPr>
        <w:t>secteur</w:t>
      </w:r>
      <w:r>
        <w:rPr>
          <w:color w:val="231F20"/>
          <w:spacing w:val="-5"/>
        </w:rPr>
        <w:t> </w:t>
      </w:r>
      <w:r>
        <w:rPr>
          <w:color w:val="231F20"/>
        </w:rPr>
        <w:t>privé</w:t>
      </w:r>
      <w:r>
        <w:rPr>
          <w:color w:val="231F20"/>
          <w:spacing w:val="-5"/>
        </w:rPr>
        <w:t> </w:t>
      </w:r>
      <w:r>
        <w:rPr>
          <w:color w:val="231F20"/>
        </w:rPr>
        <w:t>européen.</w:t>
      </w:r>
      <w:r>
        <w:rPr>
          <w:color w:val="231F20"/>
          <w:spacing w:val="-5"/>
        </w:rPr>
        <w:t> </w:t>
      </w:r>
      <w:r>
        <w:rPr>
          <w:color w:val="231F20"/>
        </w:rPr>
        <w:t>Il abandonne</w:t>
      </w:r>
      <w:r>
        <w:rPr>
          <w:color w:val="231F20"/>
          <w:spacing w:val="-5"/>
        </w:rPr>
        <w:t> </w:t>
      </w:r>
      <w:r>
        <w:rPr>
          <w:color w:val="231F20"/>
        </w:rPr>
        <w:t>la</w:t>
      </w:r>
      <w:r>
        <w:rPr>
          <w:color w:val="231F20"/>
          <w:spacing w:val="-2"/>
        </w:rPr>
        <w:t> </w:t>
      </w:r>
      <w:r>
        <w:rPr>
          <w:color w:val="231F20"/>
        </w:rPr>
        <w:t>carrière</w:t>
      </w:r>
      <w:r>
        <w:rPr>
          <w:color w:val="231F20"/>
          <w:spacing w:val="-2"/>
        </w:rPr>
        <w:t> </w:t>
      </w:r>
      <w:r>
        <w:rPr>
          <w:color w:val="231F20"/>
        </w:rPr>
        <w:t>médicale</w:t>
      </w:r>
      <w:r>
        <w:rPr>
          <w:color w:val="231F20"/>
          <w:spacing w:val="-3"/>
        </w:rPr>
        <w:t> </w:t>
      </w:r>
      <w:r>
        <w:rPr>
          <w:color w:val="231F20"/>
        </w:rPr>
        <w:t>pour</w:t>
      </w:r>
      <w:r>
        <w:rPr>
          <w:color w:val="231F20"/>
          <w:spacing w:val="-1"/>
        </w:rPr>
        <w:t> </w:t>
      </w:r>
      <w:r>
        <w:rPr>
          <w:color w:val="231F20"/>
        </w:rPr>
        <w:t>l’action</w:t>
      </w:r>
      <w:r>
        <w:rPr>
          <w:color w:val="231F20"/>
          <w:spacing w:val="-5"/>
        </w:rPr>
        <w:t> </w:t>
      </w:r>
      <w:r>
        <w:rPr>
          <w:color w:val="231F20"/>
        </w:rPr>
        <w:t>politique</w:t>
      </w:r>
      <w:r>
        <w:rPr>
          <w:color w:val="231F20"/>
          <w:vertAlign w:val="superscript"/>
        </w:rPr>
        <w:t>122</w:t>
      </w:r>
      <w:r>
        <w:rPr>
          <w:color w:val="231F20"/>
          <w:vertAlign w:val="baseline"/>
        </w:rPr>
        <w:t>.</w:t>
      </w:r>
    </w:p>
    <w:p>
      <w:pPr>
        <w:pStyle w:val="BodyText"/>
        <w:spacing w:before="120"/>
        <w:ind w:right="106" w:firstLine="283"/>
      </w:pPr>
      <w:r>
        <w:rPr>
          <w:color w:val="231F20"/>
        </w:rPr>
        <w:t>Élu député aux deux Assemblées constituantes de 1945 et 1946, </w:t>
      </w:r>
      <w:r>
        <w:rPr>
          <w:color w:val="231F20"/>
          <w:spacing w:val="-4"/>
        </w:rPr>
        <w:t>malgré</w:t>
      </w:r>
      <w:r>
        <w:rPr>
          <w:color w:val="231F20"/>
          <w:spacing w:val="-9"/>
        </w:rPr>
        <w:t> </w:t>
      </w:r>
      <w:r>
        <w:rPr>
          <w:color w:val="231F20"/>
          <w:spacing w:val="-4"/>
        </w:rPr>
        <w:t>la</w:t>
      </w:r>
      <w:r>
        <w:rPr>
          <w:color w:val="231F20"/>
          <w:spacing w:val="-9"/>
        </w:rPr>
        <w:t> </w:t>
      </w:r>
      <w:r>
        <w:rPr>
          <w:color w:val="231F20"/>
          <w:spacing w:val="-4"/>
        </w:rPr>
        <w:t>violente</w:t>
      </w:r>
      <w:r>
        <w:rPr>
          <w:color w:val="231F20"/>
          <w:spacing w:val="-6"/>
        </w:rPr>
        <w:t> </w:t>
      </w:r>
      <w:r>
        <w:rPr>
          <w:color w:val="231F20"/>
          <w:spacing w:val="-4"/>
        </w:rPr>
        <w:t>opposition</w:t>
      </w:r>
      <w:r>
        <w:rPr>
          <w:color w:val="231F20"/>
          <w:spacing w:val="-8"/>
        </w:rPr>
        <w:t> </w:t>
      </w:r>
      <w:r>
        <w:rPr>
          <w:color w:val="231F20"/>
          <w:spacing w:val="-4"/>
        </w:rPr>
        <w:t>de</w:t>
      </w:r>
      <w:r>
        <w:rPr>
          <w:color w:val="231F20"/>
          <w:spacing w:val="-9"/>
        </w:rPr>
        <w:t> </w:t>
      </w:r>
      <w:r>
        <w:rPr>
          <w:color w:val="231F20"/>
          <w:spacing w:val="-4"/>
        </w:rPr>
        <w:t>l’Administration</w:t>
      </w:r>
      <w:r>
        <w:rPr>
          <w:color w:val="231F20"/>
          <w:spacing w:val="-8"/>
        </w:rPr>
        <w:t> </w:t>
      </w:r>
      <w:r>
        <w:rPr>
          <w:color w:val="231F20"/>
          <w:spacing w:val="-4"/>
        </w:rPr>
        <w:t>coloniale,</w:t>
      </w:r>
      <w:r>
        <w:rPr>
          <w:color w:val="231F20"/>
          <w:spacing w:val="-8"/>
        </w:rPr>
        <w:t> </w:t>
      </w:r>
      <w:r>
        <w:rPr>
          <w:color w:val="231F20"/>
          <w:spacing w:val="-4"/>
        </w:rPr>
        <w:t>il fait</w:t>
      </w:r>
      <w:r>
        <w:rPr>
          <w:color w:val="231F20"/>
          <w:spacing w:val="-7"/>
        </w:rPr>
        <w:t> </w:t>
      </w:r>
      <w:r>
        <w:rPr>
          <w:color w:val="231F20"/>
          <w:spacing w:val="-4"/>
        </w:rPr>
        <w:t>adopter </w:t>
      </w:r>
      <w:r>
        <w:rPr>
          <w:color w:val="231F20"/>
        </w:rPr>
        <w:t>la</w:t>
      </w:r>
      <w:r>
        <w:rPr>
          <w:color w:val="231F20"/>
          <w:spacing w:val="-11"/>
        </w:rPr>
        <w:t> </w:t>
      </w:r>
      <w:r>
        <w:rPr>
          <w:color w:val="231F20"/>
        </w:rPr>
        <w:t>suppression</w:t>
      </w:r>
      <w:r>
        <w:rPr>
          <w:color w:val="231F20"/>
          <w:spacing w:val="-12"/>
        </w:rPr>
        <w:t> </w:t>
      </w:r>
      <w:r>
        <w:rPr>
          <w:color w:val="231F20"/>
        </w:rPr>
        <w:t>du</w:t>
      </w:r>
      <w:r>
        <w:rPr>
          <w:color w:val="231F20"/>
          <w:spacing w:val="-12"/>
        </w:rPr>
        <w:t> </w:t>
      </w:r>
      <w:r>
        <w:rPr>
          <w:color w:val="231F20"/>
        </w:rPr>
        <w:t>travail</w:t>
      </w:r>
      <w:r>
        <w:rPr>
          <w:color w:val="231F20"/>
          <w:spacing w:val="-12"/>
        </w:rPr>
        <w:t> </w:t>
      </w:r>
      <w:r>
        <w:rPr>
          <w:color w:val="231F20"/>
        </w:rPr>
        <w:t>forcé</w:t>
      </w:r>
      <w:r>
        <w:rPr>
          <w:color w:val="231F20"/>
          <w:spacing w:val="-11"/>
        </w:rPr>
        <w:t> </w:t>
      </w:r>
      <w:r>
        <w:rPr>
          <w:color w:val="231F20"/>
        </w:rPr>
        <w:t>dans</w:t>
      </w:r>
      <w:r>
        <w:rPr>
          <w:color w:val="231F20"/>
          <w:spacing w:val="-12"/>
        </w:rPr>
        <w:t> </w:t>
      </w:r>
      <w:r>
        <w:rPr>
          <w:color w:val="231F20"/>
        </w:rPr>
        <w:t>les</w:t>
      </w:r>
      <w:r>
        <w:rPr>
          <w:color w:val="231F20"/>
          <w:spacing w:val="-12"/>
        </w:rPr>
        <w:t> </w:t>
      </w:r>
      <w:r>
        <w:rPr>
          <w:color w:val="231F20"/>
        </w:rPr>
        <w:t>colonies</w:t>
      </w:r>
      <w:r>
        <w:rPr>
          <w:color w:val="231F20"/>
          <w:spacing w:val="-11"/>
        </w:rPr>
        <w:t> </w:t>
      </w:r>
      <w:r>
        <w:rPr>
          <w:color w:val="231F20"/>
        </w:rPr>
        <w:t>d‘Afrique</w:t>
      </w:r>
      <w:r>
        <w:rPr>
          <w:color w:val="231F20"/>
          <w:spacing w:val="-12"/>
        </w:rPr>
        <w:t> </w:t>
      </w:r>
      <w:r>
        <w:rPr>
          <w:color w:val="231F20"/>
        </w:rPr>
        <w:t>qui</w:t>
      </w:r>
      <w:r>
        <w:rPr>
          <w:color w:val="231F20"/>
          <w:spacing w:val="-12"/>
        </w:rPr>
        <w:t> </w:t>
      </w:r>
      <w:r>
        <w:rPr>
          <w:color w:val="231F20"/>
        </w:rPr>
        <w:t>porte</w:t>
      </w:r>
      <w:r>
        <w:rPr>
          <w:color w:val="231F20"/>
          <w:spacing w:val="-12"/>
        </w:rPr>
        <w:t> </w:t>
      </w:r>
      <w:r>
        <w:rPr>
          <w:color w:val="231F20"/>
        </w:rPr>
        <w:t>son nom : « loi Houphouët-Boigny. »</w:t>
      </w:r>
    </w:p>
    <w:p>
      <w:pPr>
        <w:pStyle w:val="BodyText"/>
        <w:spacing w:before="121"/>
        <w:ind w:right="102" w:firstLine="283"/>
      </w:pPr>
      <w:r>
        <w:rPr>
          <w:color w:val="231F20"/>
        </w:rPr>
        <w:t>En</w:t>
      </w:r>
      <w:r>
        <w:rPr>
          <w:color w:val="231F20"/>
          <w:spacing w:val="-2"/>
        </w:rPr>
        <w:t> </w:t>
      </w:r>
      <w:r>
        <w:rPr>
          <w:color w:val="231F20"/>
        </w:rPr>
        <w:t>octobre</w:t>
      </w:r>
      <w:r>
        <w:rPr>
          <w:color w:val="231F20"/>
          <w:spacing w:val="-5"/>
        </w:rPr>
        <w:t> </w:t>
      </w:r>
      <w:r>
        <w:rPr>
          <w:color w:val="231F20"/>
        </w:rPr>
        <w:t>1946,</w:t>
      </w:r>
      <w:r>
        <w:rPr>
          <w:color w:val="231F20"/>
          <w:spacing w:val="-4"/>
        </w:rPr>
        <w:t> </w:t>
      </w:r>
      <w:r>
        <w:rPr>
          <w:color w:val="231F20"/>
        </w:rPr>
        <w:t>sur</w:t>
      </w:r>
      <w:r>
        <w:rPr>
          <w:color w:val="231F20"/>
          <w:spacing w:val="-4"/>
        </w:rPr>
        <w:t> </w:t>
      </w:r>
      <w:r>
        <w:rPr>
          <w:color w:val="231F20"/>
        </w:rPr>
        <w:t>son</w:t>
      </w:r>
      <w:r>
        <w:rPr>
          <w:color w:val="231F20"/>
          <w:spacing w:val="-4"/>
        </w:rPr>
        <w:t> </w:t>
      </w:r>
      <w:r>
        <w:rPr>
          <w:color w:val="231F20"/>
        </w:rPr>
        <w:t>initiative</w:t>
      </w:r>
      <w:r>
        <w:rPr>
          <w:color w:val="231F20"/>
          <w:spacing w:val="-2"/>
        </w:rPr>
        <w:t> </w:t>
      </w:r>
      <w:r>
        <w:rPr>
          <w:color w:val="231F20"/>
        </w:rPr>
        <w:t>et</w:t>
      </w:r>
      <w:r>
        <w:rPr>
          <w:color w:val="231F20"/>
          <w:spacing w:val="-4"/>
        </w:rPr>
        <w:t> </w:t>
      </w:r>
      <w:r>
        <w:rPr>
          <w:color w:val="231F20"/>
        </w:rPr>
        <w:t>sous</w:t>
      </w:r>
      <w:r>
        <w:rPr>
          <w:color w:val="231F20"/>
          <w:spacing w:val="-4"/>
        </w:rPr>
        <w:t> </w:t>
      </w:r>
      <w:r>
        <w:rPr>
          <w:color w:val="231F20"/>
        </w:rPr>
        <w:t>sa</w:t>
      </w:r>
      <w:r>
        <w:rPr>
          <w:color w:val="231F20"/>
          <w:spacing w:val="-2"/>
        </w:rPr>
        <w:t> </w:t>
      </w:r>
      <w:r>
        <w:rPr>
          <w:color w:val="231F20"/>
        </w:rPr>
        <w:t>présidence,</w:t>
      </w:r>
      <w:r>
        <w:rPr>
          <w:color w:val="231F20"/>
          <w:spacing w:val="-2"/>
        </w:rPr>
        <w:t> </w:t>
      </w:r>
      <w:r>
        <w:rPr>
          <w:color w:val="231F20"/>
        </w:rPr>
        <w:t>le</w:t>
      </w:r>
      <w:r>
        <w:rPr>
          <w:color w:val="231F20"/>
          <w:spacing w:val="-4"/>
        </w:rPr>
        <w:t> </w:t>
      </w:r>
      <w:r>
        <w:rPr>
          <w:color w:val="231F20"/>
        </w:rPr>
        <w:t>Congrès constitutif</w:t>
      </w:r>
      <w:r>
        <w:rPr>
          <w:color w:val="231F20"/>
          <w:spacing w:val="9"/>
        </w:rPr>
        <w:t> </w:t>
      </w:r>
      <w:r>
        <w:rPr>
          <w:color w:val="231F20"/>
        </w:rPr>
        <w:t>du</w:t>
      </w:r>
      <w:r>
        <w:rPr>
          <w:color w:val="231F20"/>
          <w:spacing w:val="8"/>
        </w:rPr>
        <w:t> </w:t>
      </w:r>
      <w:r>
        <w:rPr>
          <w:color w:val="231F20"/>
        </w:rPr>
        <w:t>Rassemblement</w:t>
      </w:r>
      <w:r>
        <w:rPr>
          <w:color w:val="231F20"/>
          <w:spacing w:val="10"/>
        </w:rPr>
        <w:t> </w:t>
      </w:r>
      <w:r>
        <w:rPr>
          <w:color w:val="231F20"/>
        </w:rPr>
        <w:t>Démocratique</w:t>
      </w:r>
      <w:r>
        <w:rPr>
          <w:color w:val="231F20"/>
          <w:spacing w:val="9"/>
        </w:rPr>
        <w:t> </w:t>
      </w:r>
      <w:r>
        <w:rPr>
          <w:color w:val="231F20"/>
        </w:rPr>
        <w:t>Africain</w:t>
      </w:r>
      <w:r>
        <w:rPr>
          <w:color w:val="231F20"/>
          <w:spacing w:val="11"/>
        </w:rPr>
        <w:t> </w:t>
      </w:r>
      <w:r>
        <w:rPr>
          <w:color w:val="231F20"/>
        </w:rPr>
        <w:t>(RDA),</w:t>
      </w:r>
      <w:r>
        <w:rPr>
          <w:color w:val="231F20"/>
          <w:spacing w:val="11"/>
        </w:rPr>
        <w:t> </w:t>
      </w:r>
      <w:r>
        <w:rPr>
          <w:color w:val="231F20"/>
        </w:rPr>
        <w:t>parti</w:t>
      </w:r>
      <w:r>
        <w:rPr>
          <w:color w:val="231F20"/>
          <w:spacing w:val="11"/>
        </w:rPr>
        <w:t> </w:t>
      </w:r>
      <w:r>
        <w:rPr>
          <w:color w:val="231F20"/>
        </w:rPr>
        <w:t>de</w:t>
      </w:r>
    </w:p>
    <w:p>
      <w:pPr>
        <w:pStyle w:val="BodyText"/>
        <w:ind w:right="103"/>
      </w:pPr>
      <w:r>
        <w:rPr>
          <w:color w:val="231F20"/>
        </w:rPr>
        <w:t>«</w:t>
      </w:r>
      <w:r>
        <w:rPr>
          <w:color w:val="231F20"/>
          <w:spacing w:val="-15"/>
        </w:rPr>
        <w:t> </w:t>
      </w:r>
      <w:r>
        <w:rPr>
          <w:color w:val="231F20"/>
        </w:rPr>
        <w:t>combat</w:t>
      </w:r>
      <w:r>
        <w:rPr>
          <w:color w:val="231F20"/>
          <w:spacing w:val="-12"/>
        </w:rPr>
        <w:t> </w:t>
      </w:r>
      <w:r>
        <w:rPr>
          <w:color w:val="231F20"/>
        </w:rPr>
        <w:t>anti</w:t>
      </w:r>
      <w:r>
        <w:rPr>
          <w:color w:val="231F20"/>
          <w:spacing w:val="-10"/>
        </w:rPr>
        <w:t> </w:t>
      </w:r>
      <w:r>
        <w:rPr>
          <w:color w:val="231F20"/>
        </w:rPr>
        <w:t>colonialiste</w:t>
      </w:r>
      <w:r>
        <w:rPr>
          <w:color w:val="231F20"/>
          <w:spacing w:val="-15"/>
        </w:rPr>
        <w:t> </w:t>
      </w:r>
      <w:r>
        <w:rPr>
          <w:color w:val="231F20"/>
        </w:rPr>
        <w:t>»,</w:t>
      </w:r>
      <w:r>
        <w:rPr>
          <w:color w:val="231F20"/>
          <w:spacing w:val="-10"/>
        </w:rPr>
        <w:t> </w:t>
      </w:r>
      <w:r>
        <w:rPr>
          <w:color w:val="231F20"/>
        </w:rPr>
        <w:t>se</w:t>
      </w:r>
      <w:r>
        <w:rPr>
          <w:color w:val="231F20"/>
          <w:spacing w:val="-11"/>
        </w:rPr>
        <w:t> </w:t>
      </w:r>
      <w:r>
        <w:rPr>
          <w:color w:val="231F20"/>
        </w:rPr>
        <w:t>tient</w:t>
      </w:r>
      <w:r>
        <w:rPr>
          <w:color w:val="231F20"/>
          <w:spacing w:val="-10"/>
        </w:rPr>
        <w:t> </w:t>
      </w:r>
      <w:r>
        <w:rPr>
          <w:color w:val="231F20"/>
        </w:rPr>
        <w:t>à</w:t>
      </w:r>
      <w:r>
        <w:rPr>
          <w:color w:val="231F20"/>
          <w:spacing w:val="-14"/>
        </w:rPr>
        <w:t> </w:t>
      </w:r>
      <w:r>
        <w:rPr>
          <w:color w:val="231F20"/>
        </w:rPr>
        <w:t>Bamako.</w:t>
      </w:r>
      <w:r>
        <w:rPr>
          <w:color w:val="231F20"/>
          <w:spacing w:val="-10"/>
        </w:rPr>
        <w:t> </w:t>
      </w:r>
      <w:r>
        <w:rPr>
          <w:color w:val="231F20"/>
        </w:rPr>
        <w:t>Il</w:t>
      </w:r>
      <w:r>
        <w:rPr>
          <w:color w:val="231F20"/>
          <w:spacing w:val="-10"/>
        </w:rPr>
        <w:t> </w:t>
      </w:r>
      <w:r>
        <w:rPr>
          <w:color w:val="231F20"/>
        </w:rPr>
        <w:t>est</w:t>
      </w:r>
      <w:r>
        <w:rPr>
          <w:color w:val="231F20"/>
          <w:spacing w:val="-11"/>
        </w:rPr>
        <w:t> </w:t>
      </w:r>
      <w:r>
        <w:rPr>
          <w:color w:val="231F20"/>
        </w:rPr>
        <w:t>élu</w:t>
      </w:r>
      <w:r>
        <w:rPr>
          <w:color w:val="231F20"/>
          <w:spacing w:val="-10"/>
        </w:rPr>
        <w:t> </w:t>
      </w:r>
      <w:r>
        <w:rPr>
          <w:color w:val="231F20"/>
        </w:rPr>
        <w:t>président</w:t>
      </w:r>
      <w:r>
        <w:rPr>
          <w:color w:val="231F20"/>
          <w:spacing w:val="-10"/>
        </w:rPr>
        <w:t> </w:t>
      </w:r>
      <w:r>
        <w:rPr>
          <w:color w:val="231F20"/>
        </w:rPr>
        <w:t>de</w:t>
      </w:r>
      <w:r>
        <w:rPr>
          <w:color w:val="231F20"/>
          <w:spacing w:val="-11"/>
        </w:rPr>
        <w:t> </w:t>
      </w:r>
      <w:r>
        <w:rPr>
          <w:color w:val="231F20"/>
        </w:rPr>
        <w:t>ce grand parti</w:t>
      </w:r>
      <w:r>
        <w:rPr>
          <w:color w:val="231F20"/>
          <w:spacing w:val="-1"/>
        </w:rPr>
        <w:t> </w:t>
      </w:r>
      <w:r>
        <w:rPr>
          <w:color w:val="231F20"/>
        </w:rPr>
        <w:t>panafricain en même</w:t>
      </w:r>
      <w:r>
        <w:rPr>
          <w:color w:val="231F20"/>
          <w:spacing w:val="-2"/>
        </w:rPr>
        <w:t> </w:t>
      </w:r>
      <w:r>
        <w:rPr>
          <w:color w:val="231F20"/>
        </w:rPr>
        <w:t>temps que président</w:t>
      </w:r>
      <w:r>
        <w:rPr>
          <w:color w:val="231F20"/>
          <w:spacing w:val="-2"/>
        </w:rPr>
        <w:t> </w:t>
      </w:r>
      <w:r>
        <w:rPr>
          <w:color w:val="231F20"/>
        </w:rPr>
        <w:t>du</w:t>
      </w:r>
      <w:r>
        <w:rPr>
          <w:color w:val="231F20"/>
          <w:spacing w:val="-2"/>
        </w:rPr>
        <w:t> </w:t>
      </w:r>
      <w:r>
        <w:rPr>
          <w:color w:val="231F20"/>
        </w:rPr>
        <w:t>P.D.C.I (Parti Démocratique de</w:t>
      </w:r>
      <w:r>
        <w:rPr>
          <w:color w:val="231F20"/>
          <w:spacing w:val="-2"/>
        </w:rPr>
        <w:t> </w:t>
      </w:r>
      <w:r>
        <w:rPr>
          <w:color w:val="231F20"/>
        </w:rPr>
        <w:t>Côte</w:t>
      </w:r>
      <w:r>
        <w:rPr>
          <w:color w:val="231F20"/>
          <w:spacing w:val="-3"/>
        </w:rPr>
        <w:t> </w:t>
      </w:r>
      <w:r>
        <w:rPr>
          <w:color w:val="231F20"/>
        </w:rPr>
        <w:t>d’ivoire),</w:t>
      </w:r>
      <w:r>
        <w:rPr>
          <w:color w:val="231F20"/>
          <w:spacing w:val="-2"/>
        </w:rPr>
        <w:t> </w:t>
      </w:r>
      <w:r>
        <w:rPr>
          <w:color w:val="231F20"/>
        </w:rPr>
        <w:t>section du</w:t>
      </w:r>
      <w:r>
        <w:rPr>
          <w:color w:val="231F20"/>
          <w:spacing w:val="-2"/>
        </w:rPr>
        <w:t> </w:t>
      </w:r>
      <w:r>
        <w:rPr>
          <w:color w:val="231F20"/>
        </w:rPr>
        <w:t>R.D.A.</w:t>
      </w:r>
    </w:p>
    <w:p>
      <w:pPr>
        <w:pStyle w:val="BodyText"/>
        <w:spacing w:before="120"/>
        <w:ind w:right="103" w:firstLine="283"/>
      </w:pPr>
      <w:r>
        <w:rPr>
          <w:color w:val="231F20"/>
        </w:rPr>
        <w:t>Un mandat d’arrêt est lancé contre lui, en février 1949, à la suite </w:t>
      </w:r>
      <w:r>
        <w:rPr>
          <w:color w:val="231F20"/>
          <w:spacing w:val="-4"/>
        </w:rPr>
        <w:t>d’incidents</w:t>
      </w:r>
      <w:r>
        <w:rPr>
          <w:color w:val="231F20"/>
          <w:spacing w:val="-9"/>
        </w:rPr>
        <w:t> </w:t>
      </w:r>
      <w:r>
        <w:rPr>
          <w:color w:val="231F20"/>
          <w:spacing w:val="-4"/>
        </w:rPr>
        <w:t>au</w:t>
      </w:r>
      <w:r>
        <w:rPr>
          <w:color w:val="231F20"/>
          <w:spacing w:val="-7"/>
        </w:rPr>
        <w:t> </w:t>
      </w:r>
      <w:r>
        <w:rPr>
          <w:color w:val="231F20"/>
          <w:spacing w:val="-4"/>
        </w:rPr>
        <w:t>cours</w:t>
      </w:r>
      <w:r>
        <w:rPr>
          <w:color w:val="231F20"/>
          <w:spacing w:val="-9"/>
        </w:rPr>
        <w:t> </w:t>
      </w:r>
      <w:r>
        <w:rPr>
          <w:color w:val="231F20"/>
          <w:spacing w:val="-4"/>
        </w:rPr>
        <w:t>d’une</w:t>
      </w:r>
      <w:r>
        <w:rPr>
          <w:color w:val="231F20"/>
          <w:spacing w:val="-10"/>
        </w:rPr>
        <w:t> </w:t>
      </w:r>
      <w:r>
        <w:rPr>
          <w:color w:val="231F20"/>
          <w:spacing w:val="-4"/>
        </w:rPr>
        <w:t>réunion</w:t>
      </w:r>
      <w:r>
        <w:rPr>
          <w:color w:val="231F20"/>
          <w:spacing w:val="-9"/>
        </w:rPr>
        <w:t> </w:t>
      </w:r>
      <w:r>
        <w:rPr>
          <w:color w:val="231F20"/>
          <w:spacing w:val="-4"/>
        </w:rPr>
        <w:t>publique</w:t>
      </w:r>
      <w:r>
        <w:rPr>
          <w:color w:val="231F20"/>
          <w:spacing w:val="-7"/>
        </w:rPr>
        <w:t> </w:t>
      </w:r>
      <w:r>
        <w:rPr>
          <w:color w:val="231F20"/>
          <w:spacing w:val="-4"/>
        </w:rPr>
        <w:t>à</w:t>
      </w:r>
      <w:r>
        <w:rPr>
          <w:color w:val="231F20"/>
          <w:spacing w:val="-7"/>
        </w:rPr>
        <w:t> </w:t>
      </w:r>
      <w:r>
        <w:rPr>
          <w:color w:val="231F20"/>
          <w:spacing w:val="-4"/>
        </w:rPr>
        <w:t>Treichville.</w:t>
      </w:r>
      <w:r>
        <w:rPr>
          <w:color w:val="231F20"/>
          <w:spacing w:val="-6"/>
        </w:rPr>
        <w:t> </w:t>
      </w:r>
      <w:r>
        <w:rPr>
          <w:color w:val="231F20"/>
          <w:spacing w:val="-4"/>
        </w:rPr>
        <w:t>Il</w:t>
      </w:r>
      <w:r>
        <w:rPr>
          <w:color w:val="231F20"/>
          <w:spacing w:val="-6"/>
        </w:rPr>
        <w:t> </w:t>
      </w:r>
      <w:r>
        <w:rPr>
          <w:color w:val="231F20"/>
          <w:spacing w:val="-4"/>
        </w:rPr>
        <w:t>y</w:t>
      </w:r>
      <w:r>
        <w:rPr>
          <w:color w:val="231F20"/>
          <w:spacing w:val="-6"/>
        </w:rPr>
        <w:t> </w:t>
      </w:r>
      <w:r>
        <w:rPr>
          <w:color w:val="231F20"/>
          <w:spacing w:val="-4"/>
        </w:rPr>
        <w:t>a</w:t>
      </w:r>
      <w:r>
        <w:rPr>
          <w:color w:val="231F20"/>
          <w:spacing w:val="-7"/>
        </w:rPr>
        <w:t> </w:t>
      </w:r>
      <w:r>
        <w:rPr>
          <w:color w:val="231F20"/>
          <w:spacing w:val="-4"/>
        </w:rPr>
        <w:t>des</w:t>
      </w:r>
      <w:r>
        <w:rPr>
          <w:color w:val="231F20"/>
          <w:spacing w:val="-9"/>
        </w:rPr>
        <w:t> </w:t>
      </w:r>
      <w:r>
        <w:rPr>
          <w:color w:val="231F20"/>
          <w:spacing w:val="-4"/>
        </w:rPr>
        <w:t>morts et</w:t>
      </w:r>
      <w:r>
        <w:rPr>
          <w:color w:val="231F20"/>
          <w:spacing w:val="-7"/>
        </w:rPr>
        <w:t> </w:t>
      </w:r>
      <w:r>
        <w:rPr>
          <w:color w:val="231F20"/>
          <w:spacing w:val="-4"/>
        </w:rPr>
        <w:t>des</w:t>
      </w:r>
      <w:r>
        <w:rPr>
          <w:color w:val="231F20"/>
          <w:spacing w:val="-8"/>
        </w:rPr>
        <w:t> </w:t>
      </w:r>
      <w:r>
        <w:rPr>
          <w:color w:val="231F20"/>
          <w:spacing w:val="-4"/>
        </w:rPr>
        <w:t>blessés.</w:t>
      </w:r>
      <w:r>
        <w:rPr>
          <w:color w:val="231F20"/>
          <w:spacing w:val="-8"/>
        </w:rPr>
        <w:t> </w:t>
      </w:r>
      <w:r>
        <w:rPr>
          <w:color w:val="231F20"/>
          <w:spacing w:val="-4"/>
        </w:rPr>
        <w:t>Il</w:t>
      </w:r>
      <w:r>
        <w:rPr>
          <w:color w:val="231F20"/>
          <w:spacing w:val="-8"/>
        </w:rPr>
        <w:t> </w:t>
      </w:r>
      <w:r>
        <w:rPr>
          <w:color w:val="231F20"/>
          <w:spacing w:val="-4"/>
        </w:rPr>
        <w:t>évite</w:t>
      </w:r>
      <w:r>
        <w:rPr>
          <w:color w:val="231F20"/>
          <w:spacing w:val="-9"/>
        </w:rPr>
        <w:t> </w:t>
      </w:r>
      <w:r>
        <w:rPr>
          <w:color w:val="231F20"/>
          <w:spacing w:val="-4"/>
        </w:rPr>
        <w:t>l’arrestation</w:t>
      </w:r>
      <w:r>
        <w:rPr>
          <w:color w:val="231F20"/>
          <w:spacing w:val="-8"/>
        </w:rPr>
        <w:t> </w:t>
      </w:r>
      <w:r>
        <w:rPr>
          <w:color w:val="231F20"/>
          <w:spacing w:val="-4"/>
        </w:rPr>
        <w:t>à</w:t>
      </w:r>
      <w:r>
        <w:rPr>
          <w:color w:val="231F20"/>
          <w:spacing w:val="-9"/>
        </w:rPr>
        <w:t> </w:t>
      </w:r>
      <w:r>
        <w:rPr>
          <w:color w:val="231F20"/>
          <w:spacing w:val="-4"/>
        </w:rPr>
        <w:t>Yamoussoukro,</w:t>
      </w:r>
      <w:r>
        <w:rPr>
          <w:color w:val="231F20"/>
          <w:spacing w:val="-11"/>
        </w:rPr>
        <w:t> </w:t>
      </w:r>
      <w:r>
        <w:rPr>
          <w:color w:val="231F20"/>
          <w:spacing w:val="-4"/>
        </w:rPr>
        <w:t>mais</w:t>
      </w:r>
      <w:r>
        <w:rPr>
          <w:color w:val="231F20"/>
          <w:spacing w:val="-8"/>
        </w:rPr>
        <w:t> </w:t>
      </w:r>
      <w:r>
        <w:rPr>
          <w:color w:val="231F20"/>
          <w:spacing w:val="-4"/>
        </w:rPr>
        <w:t>plusieurs</w:t>
      </w:r>
      <w:r>
        <w:rPr>
          <w:color w:val="231F20"/>
          <w:spacing w:val="-8"/>
        </w:rPr>
        <w:t> </w:t>
      </w:r>
      <w:r>
        <w:rPr>
          <w:color w:val="231F20"/>
          <w:spacing w:val="-4"/>
        </w:rPr>
        <w:t>de</w:t>
      </w:r>
      <w:r>
        <w:rPr>
          <w:color w:val="231F20"/>
          <w:spacing w:val="-9"/>
        </w:rPr>
        <w:t> </w:t>
      </w:r>
      <w:r>
        <w:rPr>
          <w:color w:val="231F20"/>
          <w:spacing w:val="-4"/>
        </w:rPr>
        <w:t>ses </w:t>
      </w:r>
      <w:r>
        <w:rPr>
          <w:color w:val="231F20"/>
        </w:rPr>
        <w:t>amis sont incarcérés et condamnés.</w:t>
      </w:r>
    </w:p>
    <w:p>
      <w:pPr>
        <w:pStyle w:val="BodyText"/>
        <w:spacing w:before="120"/>
        <w:ind w:right="104" w:firstLine="283"/>
      </w:pPr>
      <w:r>
        <w:rPr>
          <w:color w:val="231F20"/>
        </w:rPr>
        <w:t>En 1951, il trouve en France de nouveaux appuis politiques, notamment auprès de l’Union Démocratique et Socialiste de la </w:t>
      </w:r>
      <w:r>
        <w:rPr>
          <w:color w:val="231F20"/>
          <w:spacing w:val="-2"/>
        </w:rPr>
        <w:t>Résistance,</w:t>
      </w:r>
      <w:r>
        <w:rPr>
          <w:color w:val="231F20"/>
          <w:spacing w:val="-13"/>
        </w:rPr>
        <w:t> </w:t>
      </w:r>
      <w:r>
        <w:rPr>
          <w:color w:val="231F20"/>
          <w:spacing w:val="-2"/>
        </w:rPr>
        <w:t>U.D.S.R,</w:t>
      </w:r>
      <w:r>
        <w:rPr>
          <w:color w:val="231F20"/>
          <w:spacing w:val="-13"/>
        </w:rPr>
        <w:t> </w:t>
      </w:r>
      <w:r>
        <w:rPr>
          <w:color w:val="231F20"/>
          <w:spacing w:val="-2"/>
        </w:rPr>
        <w:t>formation</w:t>
      </w:r>
      <w:r>
        <w:rPr>
          <w:color w:val="231F20"/>
          <w:spacing w:val="-13"/>
        </w:rPr>
        <w:t> </w:t>
      </w:r>
      <w:r>
        <w:rPr>
          <w:color w:val="231F20"/>
          <w:spacing w:val="-2"/>
        </w:rPr>
        <w:t>parlementaire</w:t>
      </w:r>
      <w:r>
        <w:rPr>
          <w:color w:val="231F20"/>
          <w:spacing w:val="-13"/>
        </w:rPr>
        <w:t> </w:t>
      </w:r>
      <w:r>
        <w:rPr>
          <w:color w:val="231F20"/>
          <w:spacing w:val="-2"/>
        </w:rPr>
        <w:t>dirigée</w:t>
      </w:r>
      <w:r>
        <w:rPr>
          <w:color w:val="231F20"/>
          <w:spacing w:val="-13"/>
        </w:rPr>
        <w:t> </w:t>
      </w:r>
      <w:r>
        <w:rPr>
          <w:color w:val="231F20"/>
          <w:spacing w:val="-2"/>
        </w:rPr>
        <w:t>par</w:t>
      </w:r>
      <w:r>
        <w:rPr>
          <w:color w:val="231F20"/>
          <w:spacing w:val="-13"/>
        </w:rPr>
        <w:t> </w:t>
      </w:r>
      <w:r>
        <w:rPr>
          <w:color w:val="231F20"/>
          <w:spacing w:val="-2"/>
        </w:rPr>
        <w:t>René</w:t>
      </w:r>
      <w:r>
        <w:rPr>
          <w:color w:val="231F20"/>
          <w:spacing w:val="-13"/>
        </w:rPr>
        <w:t> </w:t>
      </w:r>
      <w:r>
        <w:rPr>
          <w:color w:val="231F20"/>
          <w:spacing w:val="-2"/>
        </w:rPr>
        <w:t>Pleven</w:t>
      </w:r>
      <w:r>
        <w:rPr>
          <w:color w:val="231F20"/>
          <w:spacing w:val="-13"/>
        </w:rPr>
        <w:t> </w:t>
      </w:r>
      <w:r>
        <w:rPr>
          <w:color w:val="231F20"/>
          <w:spacing w:val="-2"/>
        </w:rPr>
        <w:t>et </w:t>
      </w:r>
      <w:r>
        <w:rPr>
          <w:color w:val="231F20"/>
        </w:rPr>
        <w:t>François</w:t>
      </w:r>
      <w:r>
        <w:rPr>
          <w:color w:val="231F20"/>
          <w:spacing w:val="-8"/>
        </w:rPr>
        <w:t> </w:t>
      </w:r>
      <w:r>
        <w:rPr>
          <w:color w:val="231F20"/>
        </w:rPr>
        <w:t>Mitterrand.</w:t>
      </w:r>
      <w:r>
        <w:rPr>
          <w:color w:val="231F20"/>
          <w:spacing w:val="-10"/>
        </w:rPr>
        <w:t> </w:t>
      </w:r>
      <w:r>
        <w:rPr>
          <w:color w:val="231F20"/>
        </w:rPr>
        <w:t>Les</w:t>
      </w:r>
      <w:r>
        <w:rPr>
          <w:color w:val="231F20"/>
          <w:spacing w:val="-10"/>
        </w:rPr>
        <w:t> </w:t>
      </w:r>
      <w:r>
        <w:rPr>
          <w:color w:val="231F20"/>
        </w:rPr>
        <w:t>élections</w:t>
      </w:r>
      <w:r>
        <w:rPr>
          <w:color w:val="231F20"/>
          <w:spacing w:val="-10"/>
        </w:rPr>
        <w:t> </w:t>
      </w:r>
      <w:r>
        <w:rPr>
          <w:color w:val="231F20"/>
        </w:rPr>
        <w:t>législatives</w:t>
      </w:r>
      <w:r>
        <w:rPr>
          <w:color w:val="231F20"/>
          <w:spacing w:val="-10"/>
        </w:rPr>
        <w:t> </w:t>
      </w:r>
      <w:r>
        <w:rPr>
          <w:color w:val="231F20"/>
        </w:rPr>
        <w:t>de</w:t>
      </w:r>
      <w:r>
        <w:rPr>
          <w:color w:val="231F20"/>
          <w:spacing w:val="-8"/>
        </w:rPr>
        <w:t> </w:t>
      </w:r>
      <w:r>
        <w:rPr>
          <w:color w:val="231F20"/>
        </w:rPr>
        <w:t>1956</w:t>
      </w:r>
      <w:r>
        <w:rPr>
          <w:color w:val="231F20"/>
          <w:spacing w:val="-8"/>
        </w:rPr>
        <w:t> </w:t>
      </w:r>
      <w:r>
        <w:rPr>
          <w:color w:val="231F20"/>
        </w:rPr>
        <w:t>consacrent</w:t>
      </w:r>
      <w:r>
        <w:rPr>
          <w:color w:val="231F20"/>
          <w:spacing w:val="-10"/>
        </w:rPr>
        <w:t> </w:t>
      </w:r>
      <w:r>
        <w:rPr>
          <w:color w:val="231F20"/>
        </w:rPr>
        <w:t>dans toute l’Afrique la victoire du R.D.A. Houphouët-Boigny est appelé à </w:t>
      </w:r>
      <w:r>
        <w:rPr>
          <w:color w:val="231F20"/>
          <w:spacing w:val="-2"/>
        </w:rPr>
        <w:t>participer</w:t>
      </w:r>
      <w:r>
        <w:rPr>
          <w:color w:val="231F20"/>
          <w:spacing w:val="-5"/>
        </w:rPr>
        <w:t> </w:t>
      </w:r>
      <w:r>
        <w:rPr>
          <w:color w:val="231F20"/>
          <w:spacing w:val="-2"/>
        </w:rPr>
        <w:t>au</w:t>
      </w:r>
      <w:r>
        <w:rPr>
          <w:color w:val="231F20"/>
          <w:spacing w:val="-7"/>
        </w:rPr>
        <w:t> </w:t>
      </w:r>
      <w:r>
        <w:rPr>
          <w:color w:val="231F20"/>
          <w:spacing w:val="-2"/>
        </w:rPr>
        <w:t>Gouvernement</w:t>
      </w:r>
      <w:r>
        <w:rPr>
          <w:color w:val="231F20"/>
          <w:spacing w:val="-5"/>
        </w:rPr>
        <w:t> </w:t>
      </w:r>
      <w:r>
        <w:rPr>
          <w:color w:val="231F20"/>
          <w:spacing w:val="-2"/>
        </w:rPr>
        <w:t>français</w:t>
      </w:r>
      <w:r>
        <w:rPr>
          <w:color w:val="231F20"/>
          <w:spacing w:val="-12"/>
        </w:rPr>
        <w:t> </w:t>
      </w:r>
      <w:r>
        <w:rPr>
          <w:color w:val="231F20"/>
          <w:spacing w:val="-2"/>
        </w:rPr>
        <w:t>:</w:t>
      </w:r>
      <w:r>
        <w:rPr>
          <w:color w:val="231F20"/>
          <w:spacing w:val="-4"/>
        </w:rPr>
        <w:t> </w:t>
      </w:r>
      <w:r>
        <w:rPr>
          <w:color w:val="231F20"/>
          <w:spacing w:val="-2"/>
        </w:rPr>
        <w:t>cinq</w:t>
      </w:r>
      <w:r>
        <w:rPr>
          <w:color w:val="231F20"/>
          <w:spacing w:val="-6"/>
        </w:rPr>
        <w:t> </w:t>
      </w:r>
      <w:r>
        <w:rPr>
          <w:color w:val="231F20"/>
          <w:spacing w:val="-2"/>
        </w:rPr>
        <w:t>fois</w:t>
      </w:r>
      <w:r>
        <w:rPr>
          <w:color w:val="231F20"/>
          <w:spacing w:val="-7"/>
        </w:rPr>
        <w:t> </w:t>
      </w:r>
      <w:r>
        <w:rPr>
          <w:color w:val="231F20"/>
          <w:spacing w:val="-2"/>
        </w:rPr>
        <w:t>ministre,</w:t>
      </w:r>
      <w:r>
        <w:rPr>
          <w:color w:val="231F20"/>
          <w:spacing w:val="-7"/>
        </w:rPr>
        <w:t> </w:t>
      </w:r>
      <w:r>
        <w:rPr>
          <w:color w:val="231F20"/>
          <w:spacing w:val="-2"/>
        </w:rPr>
        <w:t>de</w:t>
      </w:r>
      <w:r>
        <w:rPr>
          <w:color w:val="231F20"/>
          <w:spacing w:val="-8"/>
        </w:rPr>
        <w:t> </w:t>
      </w:r>
      <w:r>
        <w:rPr>
          <w:color w:val="231F20"/>
          <w:spacing w:val="-2"/>
        </w:rPr>
        <w:t>février</w:t>
      </w:r>
      <w:r>
        <w:rPr>
          <w:color w:val="231F20"/>
          <w:spacing w:val="-7"/>
        </w:rPr>
        <w:t> </w:t>
      </w:r>
      <w:r>
        <w:rPr>
          <w:color w:val="231F20"/>
          <w:spacing w:val="-2"/>
        </w:rPr>
        <w:t>1956 </w:t>
      </w:r>
      <w:r>
        <w:rPr>
          <w:color w:val="231F20"/>
        </w:rPr>
        <w:t>à juillet 1959.</w:t>
      </w:r>
    </w:p>
    <w:p>
      <w:pPr>
        <w:pStyle w:val="BodyText"/>
        <w:spacing w:before="121"/>
        <w:ind w:right="107" w:firstLine="283"/>
      </w:pPr>
      <w:r>
        <w:rPr>
          <w:color w:val="231F20"/>
        </w:rPr>
        <w:t>Président du Grand Conseil de l’AOF, de mai 1957 à mai 1958, </w:t>
      </w:r>
      <w:r>
        <w:rPr>
          <w:color w:val="231F20"/>
          <w:spacing w:val="-4"/>
        </w:rPr>
        <w:t>Président</w:t>
      </w:r>
      <w:r>
        <w:rPr>
          <w:color w:val="231F20"/>
          <w:spacing w:val="-9"/>
        </w:rPr>
        <w:t> </w:t>
      </w:r>
      <w:r>
        <w:rPr>
          <w:color w:val="231F20"/>
          <w:spacing w:val="-4"/>
        </w:rPr>
        <w:t>de</w:t>
      </w:r>
      <w:r>
        <w:rPr>
          <w:color w:val="231F20"/>
          <w:spacing w:val="-11"/>
        </w:rPr>
        <w:t> </w:t>
      </w:r>
      <w:r>
        <w:rPr>
          <w:color w:val="231F20"/>
          <w:spacing w:val="-4"/>
        </w:rPr>
        <w:t>l‘Assemblée</w:t>
      </w:r>
      <w:r>
        <w:rPr>
          <w:color w:val="231F20"/>
          <w:spacing w:val="-11"/>
        </w:rPr>
        <w:t> </w:t>
      </w:r>
      <w:r>
        <w:rPr>
          <w:color w:val="231F20"/>
          <w:spacing w:val="-4"/>
        </w:rPr>
        <w:t>constituante</w:t>
      </w:r>
      <w:r>
        <w:rPr>
          <w:color w:val="231F20"/>
          <w:spacing w:val="-11"/>
        </w:rPr>
        <w:t> </w:t>
      </w:r>
      <w:r>
        <w:rPr>
          <w:color w:val="231F20"/>
          <w:spacing w:val="-4"/>
        </w:rPr>
        <w:t>de</w:t>
      </w:r>
      <w:r>
        <w:rPr>
          <w:color w:val="231F20"/>
          <w:spacing w:val="-11"/>
        </w:rPr>
        <w:t> </w:t>
      </w:r>
      <w:r>
        <w:rPr>
          <w:color w:val="231F20"/>
          <w:spacing w:val="-4"/>
        </w:rPr>
        <w:t>Côte</w:t>
      </w:r>
      <w:r>
        <w:rPr>
          <w:color w:val="231F20"/>
          <w:spacing w:val="-9"/>
        </w:rPr>
        <w:t> </w:t>
      </w:r>
      <w:r>
        <w:rPr>
          <w:color w:val="231F20"/>
          <w:spacing w:val="-4"/>
        </w:rPr>
        <w:t>d’Ivoire</w:t>
      </w:r>
      <w:r>
        <w:rPr>
          <w:color w:val="231F20"/>
          <w:spacing w:val="-9"/>
        </w:rPr>
        <w:t> </w:t>
      </w:r>
      <w:r>
        <w:rPr>
          <w:color w:val="231F20"/>
          <w:spacing w:val="-4"/>
        </w:rPr>
        <w:t>de</w:t>
      </w:r>
      <w:r>
        <w:rPr>
          <w:color w:val="231F20"/>
          <w:spacing w:val="-11"/>
        </w:rPr>
        <w:t> </w:t>
      </w:r>
      <w:r>
        <w:rPr>
          <w:color w:val="231F20"/>
          <w:spacing w:val="-4"/>
        </w:rPr>
        <w:t>décembre</w:t>
      </w:r>
      <w:r>
        <w:rPr>
          <w:color w:val="231F20"/>
          <w:spacing w:val="-11"/>
        </w:rPr>
        <w:t> </w:t>
      </w:r>
      <w:r>
        <w:rPr>
          <w:color w:val="231F20"/>
          <w:spacing w:val="-4"/>
        </w:rPr>
        <w:t>1958 </w:t>
      </w:r>
      <w:r>
        <w:rPr>
          <w:color w:val="231F20"/>
        </w:rPr>
        <w:t>à</w:t>
      </w:r>
      <w:r>
        <w:rPr>
          <w:color w:val="231F20"/>
          <w:spacing w:val="-9"/>
        </w:rPr>
        <w:t> </w:t>
      </w:r>
      <w:r>
        <w:rPr>
          <w:color w:val="231F20"/>
        </w:rPr>
        <w:t>mai</w:t>
      </w:r>
      <w:r>
        <w:rPr>
          <w:color w:val="231F20"/>
          <w:spacing w:val="-9"/>
        </w:rPr>
        <w:t> </w:t>
      </w:r>
      <w:r>
        <w:rPr>
          <w:color w:val="231F20"/>
        </w:rPr>
        <w:t>1959,</w:t>
      </w:r>
      <w:r>
        <w:rPr>
          <w:color w:val="231F20"/>
          <w:spacing w:val="-10"/>
        </w:rPr>
        <w:t> </w:t>
      </w:r>
      <w:r>
        <w:rPr>
          <w:color w:val="231F20"/>
        </w:rPr>
        <w:t>il</w:t>
      </w:r>
      <w:r>
        <w:rPr>
          <w:color w:val="231F20"/>
          <w:spacing w:val="-9"/>
        </w:rPr>
        <w:t> </w:t>
      </w:r>
      <w:r>
        <w:rPr>
          <w:color w:val="231F20"/>
        </w:rPr>
        <w:t>remet</w:t>
      </w:r>
      <w:r>
        <w:rPr>
          <w:color w:val="231F20"/>
          <w:spacing w:val="-9"/>
        </w:rPr>
        <w:t> </w:t>
      </w:r>
      <w:r>
        <w:rPr>
          <w:color w:val="231F20"/>
        </w:rPr>
        <w:t>sa</w:t>
      </w:r>
      <w:r>
        <w:rPr>
          <w:color w:val="231F20"/>
          <w:spacing w:val="-10"/>
        </w:rPr>
        <w:t> </w:t>
      </w:r>
      <w:r>
        <w:rPr>
          <w:color w:val="231F20"/>
        </w:rPr>
        <w:t>démission</w:t>
      </w:r>
      <w:r>
        <w:rPr>
          <w:color w:val="231F20"/>
          <w:spacing w:val="-10"/>
        </w:rPr>
        <w:t> </w:t>
      </w:r>
      <w:r>
        <w:rPr>
          <w:color w:val="231F20"/>
        </w:rPr>
        <w:t>en</w:t>
      </w:r>
      <w:r>
        <w:rPr>
          <w:color w:val="231F20"/>
          <w:spacing w:val="-10"/>
        </w:rPr>
        <w:t> </w:t>
      </w:r>
      <w:r>
        <w:rPr>
          <w:color w:val="231F20"/>
        </w:rPr>
        <w:t>tant</w:t>
      </w:r>
      <w:r>
        <w:rPr>
          <w:color w:val="231F20"/>
          <w:spacing w:val="-10"/>
        </w:rPr>
        <w:t> </w:t>
      </w:r>
      <w:r>
        <w:rPr>
          <w:color w:val="231F20"/>
        </w:rPr>
        <w:t>que</w:t>
      </w:r>
      <w:r>
        <w:rPr>
          <w:color w:val="231F20"/>
          <w:spacing w:val="-10"/>
        </w:rPr>
        <w:t> </w:t>
      </w:r>
      <w:r>
        <w:rPr>
          <w:color w:val="231F20"/>
        </w:rPr>
        <w:t>Ministre</w:t>
      </w:r>
      <w:r>
        <w:rPr>
          <w:color w:val="231F20"/>
          <w:spacing w:val="-9"/>
        </w:rPr>
        <w:t> </w:t>
      </w:r>
      <w:r>
        <w:rPr>
          <w:color w:val="231F20"/>
        </w:rPr>
        <w:t>de</w:t>
      </w:r>
      <w:r>
        <w:rPr>
          <w:color w:val="231F20"/>
          <w:spacing w:val="-9"/>
        </w:rPr>
        <w:t> </w:t>
      </w:r>
      <w:r>
        <w:rPr>
          <w:color w:val="231F20"/>
        </w:rPr>
        <w:t>la</w:t>
      </w:r>
      <w:r>
        <w:rPr>
          <w:color w:val="231F20"/>
          <w:spacing w:val="-11"/>
        </w:rPr>
        <w:t> </w:t>
      </w:r>
      <w:r>
        <w:rPr>
          <w:color w:val="231F20"/>
        </w:rPr>
        <w:t>République Française</w:t>
      </w:r>
      <w:r>
        <w:rPr>
          <w:color w:val="231F20"/>
          <w:spacing w:val="-7"/>
        </w:rPr>
        <w:t> </w:t>
      </w:r>
      <w:r>
        <w:rPr>
          <w:color w:val="231F20"/>
        </w:rPr>
        <w:t>le</w:t>
      </w:r>
      <w:r>
        <w:rPr>
          <w:color w:val="231F20"/>
          <w:spacing w:val="-7"/>
        </w:rPr>
        <w:t> </w:t>
      </w:r>
      <w:r>
        <w:rPr>
          <w:color w:val="231F20"/>
        </w:rPr>
        <w:t>8</w:t>
      </w:r>
      <w:r>
        <w:rPr>
          <w:color w:val="231F20"/>
          <w:spacing w:val="-10"/>
        </w:rPr>
        <w:t> </w:t>
      </w:r>
      <w:r>
        <w:rPr>
          <w:color w:val="231F20"/>
        </w:rPr>
        <w:t>janvier</w:t>
      </w:r>
      <w:r>
        <w:rPr>
          <w:color w:val="231F20"/>
          <w:spacing w:val="-7"/>
        </w:rPr>
        <w:t> </w:t>
      </w:r>
      <w:r>
        <w:rPr>
          <w:color w:val="231F20"/>
        </w:rPr>
        <w:t>1959.</w:t>
      </w:r>
      <w:r>
        <w:rPr>
          <w:color w:val="231F20"/>
          <w:spacing w:val="-7"/>
        </w:rPr>
        <w:t> </w:t>
      </w:r>
      <w:r>
        <w:rPr>
          <w:color w:val="231F20"/>
        </w:rPr>
        <w:t>Le</w:t>
      </w:r>
      <w:r>
        <w:rPr>
          <w:color w:val="231F20"/>
          <w:spacing w:val="-7"/>
        </w:rPr>
        <w:t> </w:t>
      </w:r>
      <w:r>
        <w:rPr>
          <w:color w:val="231F20"/>
        </w:rPr>
        <w:t>1</w:t>
      </w:r>
      <w:r>
        <w:rPr>
          <w:color w:val="231F20"/>
          <w:vertAlign w:val="superscript"/>
        </w:rPr>
        <w:t>er</w:t>
      </w:r>
      <w:r>
        <w:rPr>
          <w:color w:val="231F20"/>
          <w:spacing w:val="-10"/>
          <w:vertAlign w:val="baseline"/>
        </w:rPr>
        <w:t> </w:t>
      </w:r>
      <w:r>
        <w:rPr>
          <w:color w:val="231F20"/>
          <w:vertAlign w:val="baseline"/>
        </w:rPr>
        <w:t>mai</w:t>
      </w:r>
      <w:r>
        <w:rPr>
          <w:color w:val="231F20"/>
          <w:spacing w:val="-7"/>
          <w:vertAlign w:val="baseline"/>
        </w:rPr>
        <w:t> </w:t>
      </w:r>
      <w:r>
        <w:rPr>
          <w:color w:val="231F20"/>
          <w:vertAlign w:val="baseline"/>
        </w:rPr>
        <w:t>de</w:t>
      </w:r>
      <w:r>
        <w:rPr>
          <w:color w:val="231F20"/>
          <w:spacing w:val="-10"/>
          <w:vertAlign w:val="baseline"/>
        </w:rPr>
        <w:t> </w:t>
      </w:r>
      <w:r>
        <w:rPr>
          <w:color w:val="231F20"/>
          <w:vertAlign w:val="baseline"/>
        </w:rPr>
        <w:t>la</w:t>
      </w:r>
      <w:r>
        <w:rPr>
          <w:color w:val="231F20"/>
          <w:spacing w:val="-8"/>
          <w:vertAlign w:val="baseline"/>
        </w:rPr>
        <w:t> </w:t>
      </w:r>
      <w:r>
        <w:rPr>
          <w:color w:val="231F20"/>
          <w:vertAlign w:val="baseline"/>
        </w:rPr>
        <w:t>même</w:t>
      </w:r>
      <w:r>
        <w:rPr>
          <w:color w:val="231F20"/>
          <w:spacing w:val="-10"/>
          <w:vertAlign w:val="baseline"/>
        </w:rPr>
        <w:t> </w:t>
      </w:r>
      <w:r>
        <w:rPr>
          <w:color w:val="231F20"/>
          <w:vertAlign w:val="baseline"/>
        </w:rPr>
        <w:t>année,</w:t>
      </w:r>
      <w:r>
        <w:rPr>
          <w:color w:val="231F20"/>
          <w:spacing w:val="-8"/>
          <w:vertAlign w:val="baseline"/>
        </w:rPr>
        <w:t> </w:t>
      </w:r>
      <w:r>
        <w:rPr>
          <w:color w:val="231F20"/>
          <w:vertAlign w:val="baseline"/>
        </w:rPr>
        <w:t>il</w:t>
      </w:r>
      <w:r>
        <w:rPr>
          <w:color w:val="231F20"/>
          <w:spacing w:val="-8"/>
          <w:vertAlign w:val="baseline"/>
        </w:rPr>
        <w:t> </w:t>
      </w:r>
      <w:r>
        <w:rPr>
          <w:color w:val="231F20"/>
          <w:vertAlign w:val="baseline"/>
        </w:rPr>
        <w:t>est</w:t>
      </w:r>
      <w:r>
        <w:rPr>
          <w:color w:val="231F20"/>
          <w:spacing w:val="-9"/>
          <w:vertAlign w:val="baseline"/>
        </w:rPr>
        <w:t> </w:t>
      </w:r>
      <w:r>
        <w:rPr>
          <w:color w:val="231F20"/>
          <w:vertAlign w:val="baseline"/>
        </w:rPr>
        <w:t>Premier Ministre</w:t>
      </w:r>
      <w:r>
        <w:rPr>
          <w:color w:val="231F20"/>
          <w:spacing w:val="-6"/>
          <w:vertAlign w:val="baseline"/>
        </w:rPr>
        <w:t> </w:t>
      </w:r>
      <w:r>
        <w:rPr>
          <w:color w:val="231F20"/>
          <w:vertAlign w:val="baseline"/>
        </w:rPr>
        <w:t>de</w:t>
      </w:r>
      <w:r>
        <w:rPr>
          <w:color w:val="231F20"/>
          <w:spacing w:val="-4"/>
          <w:vertAlign w:val="baseline"/>
        </w:rPr>
        <w:t> </w:t>
      </w:r>
      <w:r>
        <w:rPr>
          <w:color w:val="231F20"/>
          <w:vertAlign w:val="baseline"/>
        </w:rPr>
        <w:t>la</w:t>
      </w:r>
      <w:r>
        <w:rPr>
          <w:color w:val="231F20"/>
          <w:spacing w:val="-7"/>
          <w:vertAlign w:val="baseline"/>
        </w:rPr>
        <w:t> </w:t>
      </w:r>
      <w:r>
        <w:rPr>
          <w:color w:val="231F20"/>
          <w:vertAlign w:val="baseline"/>
        </w:rPr>
        <w:t>Côte</w:t>
      </w:r>
      <w:r>
        <w:rPr>
          <w:color w:val="231F20"/>
          <w:spacing w:val="-6"/>
          <w:vertAlign w:val="baseline"/>
        </w:rPr>
        <w:t> </w:t>
      </w:r>
      <w:r>
        <w:rPr>
          <w:color w:val="231F20"/>
          <w:vertAlign w:val="baseline"/>
        </w:rPr>
        <w:t>d’ivoire</w:t>
      </w:r>
      <w:r>
        <w:rPr>
          <w:color w:val="231F20"/>
          <w:spacing w:val="-4"/>
          <w:vertAlign w:val="baseline"/>
        </w:rPr>
        <w:t> </w:t>
      </w:r>
      <w:r>
        <w:rPr>
          <w:color w:val="231F20"/>
          <w:vertAlign w:val="baseline"/>
        </w:rPr>
        <w:t>en</w:t>
      </w:r>
      <w:r>
        <w:rPr>
          <w:color w:val="231F20"/>
          <w:spacing w:val="-4"/>
          <w:vertAlign w:val="baseline"/>
        </w:rPr>
        <w:t> </w:t>
      </w:r>
      <w:r>
        <w:rPr>
          <w:color w:val="231F20"/>
          <w:vertAlign w:val="baseline"/>
        </w:rPr>
        <w:t>remplacement</w:t>
      </w:r>
      <w:r>
        <w:rPr>
          <w:color w:val="231F20"/>
          <w:spacing w:val="-3"/>
          <w:vertAlign w:val="baseline"/>
        </w:rPr>
        <w:t> </w:t>
      </w:r>
      <w:r>
        <w:rPr>
          <w:color w:val="231F20"/>
          <w:vertAlign w:val="baseline"/>
        </w:rPr>
        <w:t>d’Auguste</w:t>
      </w:r>
      <w:r>
        <w:rPr>
          <w:color w:val="231F20"/>
          <w:spacing w:val="-5"/>
          <w:vertAlign w:val="baseline"/>
        </w:rPr>
        <w:t> </w:t>
      </w:r>
      <w:r>
        <w:rPr>
          <w:color w:val="231F20"/>
          <w:vertAlign w:val="baseline"/>
        </w:rPr>
        <w:t>Denise.</w:t>
      </w:r>
    </w:p>
    <w:p>
      <w:pPr>
        <w:pStyle w:val="BodyText"/>
        <w:spacing w:before="120"/>
        <w:ind w:left="112" w:right="107" w:firstLine="340"/>
      </w:pPr>
      <w:r>
        <w:rPr>
          <w:color w:val="231F20"/>
        </w:rPr>
        <w:t>Le</w:t>
      </w:r>
      <w:r>
        <w:rPr>
          <w:color w:val="231F20"/>
          <w:spacing w:val="-5"/>
        </w:rPr>
        <w:t> </w:t>
      </w:r>
      <w:r>
        <w:rPr>
          <w:color w:val="231F20"/>
        </w:rPr>
        <w:t>7</w:t>
      </w:r>
      <w:r>
        <w:rPr>
          <w:color w:val="231F20"/>
          <w:spacing w:val="-5"/>
        </w:rPr>
        <w:t> </w:t>
      </w:r>
      <w:r>
        <w:rPr>
          <w:color w:val="231F20"/>
        </w:rPr>
        <w:t>août</w:t>
      </w:r>
      <w:r>
        <w:rPr>
          <w:color w:val="231F20"/>
          <w:spacing w:val="-8"/>
        </w:rPr>
        <w:t> </w:t>
      </w:r>
      <w:r>
        <w:rPr>
          <w:color w:val="231F20"/>
        </w:rPr>
        <w:t>1960,</w:t>
      </w:r>
      <w:r>
        <w:rPr>
          <w:color w:val="231F20"/>
          <w:spacing w:val="-5"/>
        </w:rPr>
        <w:t> </w:t>
      </w:r>
      <w:r>
        <w:rPr>
          <w:color w:val="231F20"/>
        </w:rPr>
        <w:t>l’indépendance</w:t>
      </w:r>
      <w:r>
        <w:rPr>
          <w:color w:val="231F20"/>
          <w:spacing w:val="-5"/>
        </w:rPr>
        <w:t> </w:t>
      </w:r>
      <w:r>
        <w:rPr>
          <w:color w:val="231F20"/>
        </w:rPr>
        <w:t>est</w:t>
      </w:r>
      <w:r>
        <w:rPr>
          <w:color w:val="231F20"/>
          <w:spacing w:val="-5"/>
        </w:rPr>
        <w:t> </w:t>
      </w:r>
      <w:r>
        <w:rPr>
          <w:color w:val="231F20"/>
        </w:rPr>
        <w:t>proclamée</w:t>
      </w:r>
      <w:r>
        <w:rPr>
          <w:color w:val="231F20"/>
          <w:spacing w:val="-5"/>
        </w:rPr>
        <w:t> </w:t>
      </w:r>
      <w:r>
        <w:rPr>
          <w:color w:val="231F20"/>
        </w:rPr>
        <w:t>et</w:t>
      </w:r>
      <w:r>
        <w:rPr>
          <w:color w:val="231F20"/>
          <w:spacing w:val="-8"/>
        </w:rPr>
        <w:t> </w:t>
      </w:r>
      <w:r>
        <w:rPr>
          <w:color w:val="231F20"/>
        </w:rPr>
        <w:t>le</w:t>
      </w:r>
      <w:r>
        <w:rPr>
          <w:color w:val="231F20"/>
          <w:spacing w:val="-5"/>
        </w:rPr>
        <w:t> </w:t>
      </w:r>
      <w:r>
        <w:rPr>
          <w:color w:val="231F20"/>
        </w:rPr>
        <w:t>27</w:t>
      </w:r>
      <w:r>
        <w:rPr>
          <w:color w:val="231F20"/>
          <w:spacing w:val="-5"/>
        </w:rPr>
        <w:t> </w:t>
      </w:r>
      <w:r>
        <w:rPr>
          <w:color w:val="231F20"/>
        </w:rPr>
        <w:t>novembre</w:t>
      </w:r>
      <w:r>
        <w:rPr>
          <w:color w:val="231F20"/>
          <w:spacing w:val="-7"/>
        </w:rPr>
        <w:t> </w:t>
      </w:r>
      <w:r>
        <w:rPr>
          <w:color w:val="231F20"/>
        </w:rPr>
        <w:t>de cette</w:t>
      </w:r>
      <w:r>
        <w:rPr>
          <w:color w:val="231F20"/>
          <w:spacing w:val="-15"/>
        </w:rPr>
        <w:t> </w:t>
      </w:r>
      <w:r>
        <w:rPr>
          <w:color w:val="231F20"/>
        </w:rPr>
        <w:t>année,</w:t>
      </w:r>
      <w:r>
        <w:rPr>
          <w:color w:val="231F20"/>
          <w:spacing w:val="-15"/>
        </w:rPr>
        <w:t> </w:t>
      </w:r>
      <w:r>
        <w:rPr>
          <w:color w:val="231F20"/>
        </w:rPr>
        <w:t>Félix</w:t>
      </w:r>
      <w:r>
        <w:rPr>
          <w:color w:val="231F20"/>
          <w:spacing w:val="-15"/>
        </w:rPr>
        <w:t> </w:t>
      </w:r>
      <w:r>
        <w:rPr>
          <w:color w:val="231F20"/>
        </w:rPr>
        <w:t>Houphouët-Boigny</w:t>
      </w:r>
      <w:r>
        <w:rPr>
          <w:color w:val="231F20"/>
          <w:spacing w:val="-15"/>
        </w:rPr>
        <w:t> </w:t>
      </w:r>
      <w:r>
        <w:rPr>
          <w:color w:val="231F20"/>
        </w:rPr>
        <w:t>à</w:t>
      </w:r>
      <w:r>
        <w:rPr>
          <w:color w:val="231F20"/>
          <w:spacing w:val="-15"/>
        </w:rPr>
        <w:t> </w:t>
      </w:r>
      <w:r>
        <w:rPr>
          <w:color w:val="231F20"/>
        </w:rPr>
        <w:t>55</w:t>
      </w:r>
      <w:r>
        <w:rPr>
          <w:color w:val="231F20"/>
          <w:spacing w:val="-15"/>
        </w:rPr>
        <w:t> </w:t>
      </w:r>
      <w:r>
        <w:rPr>
          <w:color w:val="231F20"/>
        </w:rPr>
        <w:t>ans,</w:t>
      </w:r>
      <w:r>
        <w:rPr>
          <w:color w:val="231F20"/>
          <w:spacing w:val="-15"/>
        </w:rPr>
        <w:t> </w:t>
      </w:r>
      <w:r>
        <w:rPr>
          <w:color w:val="231F20"/>
        </w:rPr>
        <w:t>est</w:t>
      </w:r>
      <w:r>
        <w:rPr>
          <w:color w:val="231F20"/>
          <w:spacing w:val="-15"/>
        </w:rPr>
        <w:t> </w:t>
      </w:r>
      <w:r>
        <w:rPr>
          <w:color w:val="231F20"/>
        </w:rPr>
        <w:t>élu</w:t>
      </w:r>
      <w:r>
        <w:rPr>
          <w:color w:val="231F20"/>
          <w:spacing w:val="-15"/>
        </w:rPr>
        <w:t> </w:t>
      </w:r>
      <w:r>
        <w:rPr>
          <w:color w:val="231F20"/>
        </w:rPr>
        <w:t>premier</w:t>
      </w:r>
      <w:r>
        <w:rPr>
          <w:color w:val="231F20"/>
          <w:spacing w:val="-15"/>
        </w:rPr>
        <w:t> </w:t>
      </w:r>
      <w:r>
        <w:rPr>
          <w:color w:val="231F20"/>
        </w:rPr>
        <w:t>Président de la République.</w:t>
      </w:r>
    </w:p>
    <w:p>
      <w:pPr>
        <w:pStyle w:val="BodyText"/>
        <w:spacing w:before="120"/>
        <w:ind w:right="104" w:firstLine="283"/>
      </w:pPr>
      <w:r>
        <w:rPr>
          <w:color w:val="231F20"/>
        </w:rPr>
        <w:t>Ministre</w:t>
      </w:r>
      <w:r>
        <w:rPr>
          <w:color w:val="231F20"/>
          <w:spacing w:val="-11"/>
        </w:rPr>
        <w:t> </w:t>
      </w:r>
      <w:r>
        <w:rPr>
          <w:color w:val="231F20"/>
        </w:rPr>
        <w:t>d’État</w:t>
      </w:r>
      <w:r>
        <w:rPr>
          <w:color w:val="231F20"/>
          <w:spacing w:val="-8"/>
        </w:rPr>
        <w:t> </w:t>
      </w:r>
      <w:r>
        <w:rPr>
          <w:color w:val="231F20"/>
        </w:rPr>
        <w:t>de</w:t>
      </w:r>
      <w:r>
        <w:rPr>
          <w:color w:val="231F20"/>
          <w:spacing w:val="-11"/>
        </w:rPr>
        <w:t> </w:t>
      </w:r>
      <w:r>
        <w:rPr>
          <w:color w:val="231F20"/>
        </w:rPr>
        <w:t>la</w:t>
      </w:r>
      <w:r>
        <w:rPr>
          <w:color w:val="231F20"/>
          <w:spacing w:val="-9"/>
        </w:rPr>
        <w:t> </w:t>
      </w:r>
      <w:r>
        <w:rPr>
          <w:color w:val="231F20"/>
        </w:rPr>
        <w:t>France,</w:t>
      </w:r>
      <w:r>
        <w:rPr>
          <w:color w:val="231F20"/>
          <w:spacing w:val="-8"/>
        </w:rPr>
        <w:t> </w:t>
      </w:r>
      <w:r>
        <w:rPr>
          <w:color w:val="231F20"/>
        </w:rPr>
        <w:t>Félix</w:t>
      </w:r>
      <w:r>
        <w:rPr>
          <w:color w:val="231F20"/>
          <w:spacing w:val="-10"/>
        </w:rPr>
        <w:t> </w:t>
      </w:r>
      <w:r>
        <w:rPr>
          <w:color w:val="231F20"/>
        </w:rPr>
        <w:t>Houphouët-Boigny</w:t>
      </w:r>
      <w:r>
        <w:rPr>
          <w:color w:val="231F20"/>
          <w:spacing w:val="-10"/>
        </w:rPr>
        <w:t> </w:t>
      </w:r>
      <w:r>
        <w:rPr>
          <w:color w:val="231F20"/>
        </w:rPr>
        <w:t>avait</w:t>
      </w:r>
      <w:r>
        <w:rPr>
          <w:color w:val="231F20"/>
          <w:spacing w:val="-8"/>
        </w:rPr>
        <w:t> </w:t>
      </w:r>
      <w:r>
        <w:rPr>
          <w:color w:val="231F20"/>
        </w:rPr>
        <w:t>pris</w:t>
      </w:r>
      <w:r>
        <w:rPr>
          <w:color w:val="231F20"/>
          <w:spacing w:val="-10"/>
        </w:rPr>
        <w:t> </w:t>
      </w:r>
      <w:r>
        <w:rPr>
          <w:color w:val="231F20"/>
        </w:rPr>
        <w:t>une </w:t>
      </w:r>
      <w:r>
        <w:rPr>
          <w:color w:val="231F20"/>
          <w:spacing w:val="-2"/>
        </w:rPr>
        <w:t>part</w:t>
      </w:r>
      <w:r>
        <w:rPr>
          <w:color w:val="231F20"/>
          <w:spacing w:val="-8"/>
        </w:rPr>
        <w:t> </w:t>
      </w:r>
      <w:r>
        <w:rPr>
          <w:color w:val="231F20"/>
          <w:spacing w:val="-2"/>
        </w:rPr>
        <w:t>active</w:t>
      </w:r>
      <w:r>
        <w:rPr>
          <w:color w:val="231F20"/>
          <w:spacing w:val="-9"/>
        </w:rPr>
        <w:t> </w:t>
      </w:r>
      <w:r>
        <w:rPr>
          <w:color w:val="231F20"/>
          <w:spacing w:val="-2"/>
        </w:rPr>
        <w:t>à</w:t>
      </w:r>
      <w:r>
        <w:rPr>
          <w:color w:val="231F20"/>
          <w:spacing w:val="-9"/>
        </w:rPr>
        <w:t> </w:t>
      </w:r>
      <w:r>
        <w:rPr>
          <w:color w:val="231F20"/>
          <w:spacing w:val="-2"/>
        </w:rPr>
        <w:t>la</w:t>
      </w:r>
      <w:r>
        <w:rPr>
          <w:color w:val="231F20"/>
          <w:spacing w:val="-7"/>
        </w:rPr>
        <w:t> </w:t>
      </w:r>
      <w:r>
        <w:rPr>
          <w:color w:val="231F20"/>
          <w:spacing w:val="-2"/>
        </w:rPr>
        <w:t>rédaction</w:t>
      </w:r>
      <w:r>
        <w:rPr>
          <w:color w:val="231F20"/>
          <w:spacing w:val="-11"/>
        </w:rPr>
        <w:t> </w:t>
      </w:r>
      <w:r>
        <w:rPr>
          <w:color w:val="231F20"/>
          <w:spacing w:val="-2"/>
        </w:rPr>
        <w:t>des</w:t>
      </w:r>
      <w:r>
        <w:rPr>
          <w:color w:val="231F20"/>
          <w:spacing w:val="-8"/>
        </w:rPr>
        <w:t> </w:t>
      </w:r>
      <w:r>
        <w:rPr>
          <w:color w:val="231F20"/>
          <w:spacing w:val="-2"/>
        </w:rPr>
        <w:t>textes</w:t>
      </w:r>
      <w:r>
        <w:rPr>
          <w:color w:val="231F20"/>
          <w:spacing w:val="-8"/>
        </w:rPr>
        <w:t> </w:t>
      </w:r>
      <w:r>
        <w:rPr>
          <w:color w:val="231F20"/>
          <w:spacing w:val="-2"/>
        </w:rPr>
        <w:t>de</w:t>
      </w:r>
      <w:r>
        <w:rPr>
          <w:color w:val="231F20"/>
          <w:spacing w:val="-9"/>
        </w:rPr>
        <w:t> </w:t>
      </w:r>
      <w:r>
        <w:rPr>
          <w:color w:val="231F20"/>
          <w:spacing w:val="-2"/>
        </w:rPr>
        <w:t>la</w:t>
      </w:r>
      <w:r>
        <w:rPr>
          <w:color w:val="231F20"/>
          <w:spacing w:val="-9"/>
        </w:rPr>
        <w:t> </w:t>
      </w:r>
      <w:r>
        <w:rPr>
          <w:color w:val="231F20"/>
          <w:spacing w:val="-2"/>
        </w:rPr>
        <w:t>Communauté</w:t>
      </w:r>
      <w:r>
        <w:rPr>
          <w:color w:val="231F20"/>
          <w:spacing w:val="-6"/>
        </w:rPr>
        <w:t> </w:t>
      </w:r>
      <w:r>
        <w:rPr>
          <w:color w:val="231F20"/>
          <w:spacing w:val="-2"/>
        </w:rPr>
        <w:t>Franco-Africaine.</w:t>
      </w:r>
    </w:p>
    <w:p>
      <w:pPr>
        <w:pStyle w:val="BodyText"/>
        <w:spacing w:before="78"/>
        <w:ind w:left="0"/>
        <w:jc w:val="left"/>
        <w:rPr>
          <w:sz w:val="20"/>
        </w:rPr>
      </w:pPr>
      <w:r>
        <w:rPr/>
        <mc:AlternateContent>
          <mc:Choice Requires="wps">
            <w:drawing>
              <wp:anchor distT="0" distB="0" distL="0" distR="0" allowOverlap="1" layoutInCell="1" locked="0" behindDoc="1" simplePos="0" relativeHeight="487625728">
                <wp:simplePos x="0" y="0"/>
                <wp:positionH relativeFrom="page">
                  <wp:posOffset>629907</wp:posOffset>
                </wp:positionH>
                <wp:positionV relativeFrom="paragraph">
                  <wp:posOffset>211277</wp:posOffset>
                </wp:positionV>
                <wp:extent cx="1829435" cy="9525"/>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636015pt;width:144.020pt;height:.72pt;mso-position-horizontal-relative:page;mso-position-vertical-relative:paragraph;z-index:-15690752;mso-wrap-distance-left:0;mso-wrap-distance-right:0" id="docshape93"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122</w:t>
      </w:r>
      <w:r>
        <w:rPr>
          <w:color w:val="76787A"/>
          <w:spacing w:val="-17"/>
          <w:sz w:val="20"/>
          <w:vertAlign w:val="baseline"/>
        </w:rPr>
        <w:t> </w:t>
      </w:r>
      <w:r>
        <w:rPr>
          <w:color w:val="231F20"/>
          <w:spacing w:val="-4"/>
          <w:sz w:val="20"/>
          <w:vertAlign w:val="baseline"/>
        </w:rPr>
        <w:t>Félix</w:t>
      </w:r>
      <w:r>
        <w:rPr>
          <w:color w:val="231F20"/>
          <w:sz w:val="20"/>
          <w:vertAlign w:val="baseline"/>
        </w:rPr>
        <w:t> </w:t>
      </w:r>
      <w:r>
        <w:rPr>
          <w:color w:val="231F20"/>
          <w:spacing w:val="-4"/>
          <w:sz w:val="20"/>
          <w:vertAlign w:val="baseline"/>
        </w:rPr>
        <w:t>Houphouët-Boigny,</w:t>
      </w:r>
      <w:r>
        <w:rPr>
          <w:color w:val="231F20"/>
          <w:spacing w:val="1"/>
          <w:sz w:val="20"/>
          <w:vertAlign w:val="baseline"/>
        </w:rPr>
        <w:t> </w:t>
      </w:r>
      <w:r>
        <w:rPr>
          <w:color w:val="231F20"/>
          <w:spacing w:val="-4"/>
          <w:sz w:val="20"/>
          <w:vertAlign w:val="baseline"/>
        </w:rPr>
        <w:t>Mes</w:t>
      </w:r>
      <w:r>
        <w:rPr>
          <w:color w:val="231F20"/>
          <w:spacing w:val="-5"/>
          <w:sz w:val="20"/>
          <w:vertAlign w:val="baseline"/>
        </w:rPr>
        <w:t> </w:t>
      </w:r>
      <w:r>
        <w:rPr>
          <w:color w:val="231F20"/>
          <w:spacing w:val="-4"/>
          <w:sz w:val="20"/>
          <w:vertAlign w:val="baseline"/>
        </w:rPr>
        <w:t>premiers</w:t>
      </w:r>
      <w:r>
        <w:rPr>
          <w:color w:val="231F20"/>
          <w:spacing w:val="-2"/>
          <w:sz w:val="20"/>
          <w:vertAlign w:val="baseline"/>
        </w:rPr>
        <w:t> </w:t>
      </w:r>
      <w:r>
        <w:rPr>
          <w:color w:val="231F20"/>
          <w:spacing w:val="-4"/>
          <w:sz w:val="20"/>
          <w:vertAlign w:val="baseline"/>
        </w:rPr>
        <w:t>combats,</w:t>
      </w:r>
      <w:r>
        <w:rPr>
          <w:color w:val="231F20"/>
          <w:spacing w:val="-2"/>
          <w:sz w:val="20"/>
          <w:vertAlign w:val="baseline"/>
        </w:rPr>
        <w:t> </w:t>
      </w:r>
      <w:r>
        <w:rPr>
          <w:color w:val="231F20"/>
          <w:spacing w:val="-4"/>
          <w:sz w:val="20"/>
          <w:vertAlign w:val="baseline"/>
        </w:rPr>
        <w:t>NEI,</w:t>
      </w:r>
      <w:r>
        <w:rPr>
          <w:color w:val="231F20"/>
          <w:spacing w:val="-3"/>
          <w:sz w:val="20"/>
          <w:vertAlign w:val="baseline"/>
        </w:rPr>
        <w:t> </w:t>
      </w:r>
      <w:r>
        <w:rPr>
          <w:color w:val="231F20"/>
          <w:spacing w:val="-4"/>
          <w:sz w:val="20"/>
          <w:vertAlign w:val="baseline"/>
        </w:rPr>
        <w:t>1994.</w:t>
      </w:r>
    </w:p>
    <w:p>
      <w:pPr>
        <w:spacing w:after="0"/>
        <w:jc w:val="left"/>
        <w:rPr>
          <w:sz w:val="20"/>
        </w:rPr>
        <w:sectPr>
          <w:pgSz w:w="8790" w:h="13610"/>
          <w:pgMar w:header="0" w:footer="802" w:top="1060" w:bottom="1000" w:left="880" w:right="880"/>
        </w:sectPr>
      </w:pPr>
    </w:p>
    <w:p>
      <w:pPr>
        <w:pStyle w:val="BodyText"/>
        <w:spacing w:before="66"/>
        <w:ind w:right="104"/>
      </w:pPr>
      <w:r>
        <w:rPr>
          <w:color w:val="231F20"/>
        </w:rPr>
        <w:t>Contrairement à de nombreux dirigeants africains qui réclamaient une indépendance</w:t>
      </w:r>
      <w:r>
        <w:rPr>
          <w:color w:val="231F20"/>
          <w:spacing w:val="-9"/>
        </w:rPr>
        <w:t> </w:t>
      </w:r>
      <w:r>
        <w:rPr>
          <w:color w:val="231F20"/>
        </w:rPr>
        <w:t>immédiate,</w:t>
      </w:r>
      <w:r>
        <w:rPr>
          <w:color w:val="231F20"/>
          <w:spacing w:val="-11"/>
        </w:rPr>
        <w:t> </w:t>
      </w:r>
      <w:r>
        <w:rPr>
          <w:color w:val="231F20"/>
        </w:rPr>
        <w:t>il</w:t>
      </w:r>
      <w:r>
        <w:rPr>
          <w:color w:val="231F20"/>
          <w:spacing w:val="-11"/>
        </w:rPr>
        <w:t> </w:t>
      </w:r>
      <w:r>
        <w:rPr>
          <w:color w:val="231F20"/>
        </w:rPr>
        <w:t>souhaitait</w:t>
      </w:r>
      <w:r>
        <w:rPr>
          <w:color w:val="231F20"/>
          <w:spacing w:val="-11"/>
        </w:rPr>
        <w:t> </w:t>
      </w:r>
      <w:r>
        <w:rPr>
          <w:color w:val="231F20"/>
        </w:rPr>
        <w:t>une</w:t>
      </w:r>
      <w:r>
        <w:rPr>
          <w:color w:val="231F20"/>
          <w:spacing w:val="-11"/>
        </w:rPr>
        <w:t> </w:t>
      </w:r>
      <w:r>
        <w:rPr>
          <w:color w:val="231F20"/>
        </w:rPr>
        <w:t>transition</w:t>
      </w:r>
      <w:r>
        <w:rPr>
          <w:color w:val="231F20"/>
          <w:spacing w:val="-9"/>
        </w:rPr>
        <w:t> </w:t>
      </w:r>
      <w:r>
        <w:rPr>
          <w:color w:val="231F20"/>
        </w:rPr>
        <w:t>en</w:t>
      </w:r>
      <w:r>
        <w:rPr>
          <w:color w:val="231F20"/>
          <w:spacing w:val="-9"/>
        </w:rPr>
        <w:t> </w:t>
      </w:r>
      <w:r>
        <w:rPr>
          <w:color w:val="231F20"/>
        </w:rPr>
        <w:t>douceur</w:t>
      </w:r>
      <w:r>
        <w:rPr>
          <w:color w:val="231F20"/>
          <w:spacing w:val="-12"/>
        </w:rPr>
        <w:t> </w:t>
      </w:r>
      <w:r>
        <w:rPr>
          <w:color w:val="231F20"/>
        </w:rPr>
        <w:t>au</w:t>
      </w:r>
      <w:r>
        <w:rPr>
          <w:color w:val="231F20"/>
          <w:spacing w:val="-11"/>
        </w:rPr>
        <w:t> </w:t>
      </w:r>
      <w:r>
        <w:rPr>
          <w:color w:val="231F20"/>
        </w:rPr>
        <w:t>sein de l’«</w:t>
      </w:r>
      <w:r>
        <w:rPr>
          <w:color w:val="231F20"/>
          <w:spacing w:val="-15"/>
        </w:rPr>
        <w:t> </w:t>
      </w:r>
      <w:r>
        <w:rPr>
          <w:color w:val="231F20"/>
        </w:rPr>
        <w:t>ensemble français</w:t>
      </w:r>
      <w:r>
        <w:rPr>
          <w:color w:val="231F20"/>
          <w:spacing w:val="-15"/>
        </w:rPr>
        <w:t> </w:t>
      </w:r>
      <w:r>
        <w:rPr>
          <w:color w:val="231F20"/>
        </w:rPr>
        <w:t>» car, selon lui, l'indépendance politique sans </w:t>
      </w:r>
      <w:r>
        <w:rPr>
          <w:color w:val="231F20"/>
          <w:spacing w:val="-2"/>
        </w:rPr>
        <w:t>l'indépendance</w:t>
      </w:r>
      <w:r>
        <w:rPr>
          <w:color w:val="231F20"/>
          <w:spacing w:val="-8"/>
        </w:rPr>
        <w:t> </w:t>
      </w:r>
      <w:r>
        <w:rPr>
          <w:color w:val="231F20"/>
          <w:spacing w:val="-2"/>
        </w:rPr>
        <w:t>économique</w:t>
      </w:r>
      <w:r>
        <w:rPr>
          <w:color w:val="231F20"/>
          <w:spacing w:val="-8"/>
        </w:rPr>
        <w:t> </w:t>
      </w:r>
      <w:r>
        <w:rPr>
          <w:color w:val="231F20"/>
          <w:spacing w:val="-2"/>
        </w:rPr>
        <w:t>ne</w:t>
      </w:r>
      <w:r>
        <w:rPr>
          <w:color w:val="231F20"/>
          <w:spacing w:val="-8"/>
        </w:rPr>
        <w:t> </w:t>
      </w:r>
      <w:r>
        <w:rPr>
          <w:color w:val="231F20"/>
          <w:spacing w:val="-2"/>
        </w:rPr>
        <w:t>vaut</w:t>
      </w:r>
      <w:r>
        <w:rPr>
          <w:color w:val="231F20"/>
          <w:spacing w:val="-8"/>
        </w:rPr>
        <w:t> </w:t>
      </w:r>
      <w:r>
        <w:rPr>
          <w:color w:val="231F20"/>
          <w:spacing w:val="-2"/>
        </w:rPr>
        <w:t>rien.</w:t>
      </w:r>
      <w:r>
        <w:rPr>
          <w:color w:val="231F20"/>
          <w:spacing w:val="-10"/>
        </w:rPr>
        <w:t> </w:t>
      </w:r>
      <w:r>
        <w:rPr>
          <w:color w:val="231F20"/>
          <w:spacing w:val="-2"/>
        </w:rPr>
        <w:t>Aussi,</w:t>
      </w:r>
      <w:r>
        <w:rPr>
          <w:color w:val="231F20"/>
          <w:spacing w:val="-7"/>
        </w:rPr>
        <w:t> </w:t>
      </w:r>
      <w:r>
        <w:rPr>
          <w:color w:val="231F20"/>
          <w:spacing w:val="-2"/>
        </w:rPr>
        <w:t>aux</w:t>
      </w:r>
      <w:r>
        <w:rPr>
          <w:color w:val="231F20"/>
          <w:spacing w:val="-8"/>
        </w:rPr>
        <w:t> </w:t>
      </w:r>
      <w:r>
        <w:rPr>
          <w:color w:val="231F20"/>
          <w:spacing w:val="-2"/>
        </w:rPr>
        <w:t>premières</w:t>
      </w:r>
      <w:r>
        <w:rPr>
          <w:color w:val="231F20"/>
          <w:spacing w:val="-10"/>
        </w:rPr>
        <w:t> </w:t>
      </w:r>
      <w:r>
        <w:rPr>
          <w:color w:val="231F20"/>
          <w:spacing w:val="-2"/>
        </w:rPr>
        <w:t>heures</w:t>
      </w:r>
      <w:r>
        <w:rPr>
          <w:color w:val="231F20"/>
          <w:spacing w:val="-10"/>
        </w:rPr>
        <w:t> </w:t>
      </w:r>
      <w:r>
        <w:rPr>
          <w:color w:val="231F20"/>
          <w:spacing w:val="-2"/>
        </w:rPr>
        <w:t>de </w:t>
      </w:r>
      <w:r>
        <w:rPr>
          <w:color w:val="231F20"/>
        </w:rPr>
        <w:t>l’indépendance, fait-il le choix d’une coopération sans réserve avec l’ancienne puissance coloniale.</w:t>
      </w:r>
    </w:p>
    <w:p>
      <w:pPr>
        <w:pStyle w:val="BodyText"/>
        <w:spacing w:before="120"/>
        <w:ind w:left="395"/>
      </w:pPr>
      <w:r>
        <w:rPr>
          <w:color w:val="231F20"/>
        </w:rPr>
        <w:t>Sitôt</w:t>
      </w:r>
      <w:r>
        <w:rPr>
          <w:color w:val="231F20"/>
          <w:spacing w:val="46"/>
        </w:rPr>
        <w:t> </w:t>
      </w:r>
      <w:r>
        <w:rPr>
          <w:color w:val="231F20"/>
        </w:rPr>
        <w:t>installé</w:t>
      </w:r>
      <w:r>
        <w:rPr>
          <w:color w:val="231F20"/>
          <w:spacing w:val="50"/>
        </w:rPr>
        <w:t> </w:t>
      </w:r>
      <w:r>
        <w:rPr>
          <w:color w:val="231F20"/>
        </w:rPr>
        <w:t>au</w:t>
      </w:r>
      <w:r>
        <w:rPr>
          <w:color w:val="231F20"/>
          <w:spacing w:val="50"/>
        </w:rPr>
        <w:t> </w:t>
      </w:r>
      <w:r>
        <w:rPr>
          <w:color w:val="231F20"/>
        </w:rPr>
        <w:t>palais</w:t>
      </w:r>
      <w:r>
        <w:rPr>
          <w:color w:val="231F20"/>
          <w:spacing w:val="46"/>
        </w:rPr>
        <w:t> </w:t>
      </w:r>
      <w:r>
        <w:rPr>
          <w:color w:val="231F20"/>
        </w:rPr>
        <w:t>présidentiel,</w:t>
      </w:r>
      <w:r>
        <w:rPr>
          <w:color w:val="231F20"/>
          <w:spacing w:val="52"/>
        </w:rPr>
        <w:t> </w:t>
      </w:r>
      <w:r>
        <w:rPr>
          <w:color w:val="231F20"/>
        </w:rPr>
        <w:t>son</w:t>
      </w:r>
      <w:r>
        <w:rPr>
          <w:color w:val="231F20"/>
          <w:spacing w:val="50"/>
        </w:rPr>
        <w:t> </w:t>
      </w:r>
      <w:r>
        <w:rPr>
          <w:color w:val="231F20"/>
        </w:rPr>
        <w:t>ami</w:t>
      </w:r>
      <w:r>
        <w:rPr>
          <w:color w:val="231F20"/>
          <w:spacing w:val="51"/>
        </w:rPr>
        <w:t> </w:t>
      </w:r>
      <w:r>
        <w:rPr>
          <w:color w:val="231F20"/>
        </w:rPr>
        <w:t>Jacques</w:t>
      </w:r>
      <w:r>
        <w:rPr>
          <w:color w:val="231F20"/>
          <w:spacing w:val="49"/>
        </w:rPr>
        <w:t> </w:t>
      </w:r>
      <w:r>
        <w:rPr>
          <w:color w:val="231F20"/>
        </w:rPr>
        <w:t>Foccart,</w:t>
      </w:r>
      <w:r>
        <w:rPr>
          <w:color w:val="231F20"/>
          <w:spacing w:val="48"/>
        </w:rPr>
        <w:t> </w:t>
      </w:r>
      <w:r>
        <w:rPr>
          <w:color w:val="231F20"/>
          <w:spacing w:val="-5"/>
        </w:rPr>
        <w:t>le</w:t>
      </w:r>
    </w:p>
    <w:p>
      <w:pPr>
        <w:pStyle w:val="BodyText"/>
        <w:ind w:right="104"/>
      </w:pPr>
      <w:r>
        <w:rPr>
          <w:color w:val="231F20"/>
        </w:rPr>
        <w:t>«</w:t>
      </w:r>
      <w:r>
        <w:rPr>
          <w:color w:val="231F20"/>
          <w:spacing w:val="-15"/>
        </w:rPr>
        <w:t> </w:t>
      </w:r>
      <w:r>
        <w:rPr>
          <w:color w:val="231F20"/>
        </w:rPr>
        <w:t>Monsieur Afrique</w:t>
      </w:r>
      <w:r>
        <w:rPr>
          <w:color w:val="231F20"/>
          <w:spacing w:val="-15"/>
        </w:rPr>
        <w:t> </w:t>
      </w:r>
      <w:r>
        <w:rPr>
          <w:color w:val="231F20"/>
        </w:rPr>
        <w:t>» de l’Élysée, l’entoure de Conseillers français </w:t>
      </w:r>
      <w:r>
        <w:rPr>
          <w:color w:val="231F20"/>
          <w:spacing w:val="-4"/>
        </w:rPr>
        <w:t>notamment</w:t>
      </w:r>
      <w:r>
        <w:rPr>
          <w:color w:val="231F20"/>
          <w:spacing w:val="-8"/>
        </w:rPr>
        <w:t> </w:t>
      </w:r>
      <w:r>
        <w:rPr>
          <w:color w:val="231F20"/>
          <w:spacing w:val="-4"/>
        </w:rPr>
        <w:t>Guy</w:t>
      </w:r>
      <w:r>
        <w:rPr>
          <w:color w:val="231F20"/>
          <w:spacing w:val="-7"/>
        </w:rPr>
        <w:t> </w:t>
      </w:r>
      <w:r>
        <w:rPr>
          <w:color w:val="231F20"/>
          <w:spacing w:val="-4"/>
        </w:rPr>
        <w:t>Nairay,</w:t>
      </w:r>
      <w:r>
        <w:rPr>
          <w:color w:val="231F20"/>
          <w:spacing w:val="-6"/>
        </w:rPr>
        <w:t> </w:t>
      </w:r>
      <w:r>
        <w:rPr>
          <w:color w:val="231F20"/>
          <w:spacing w:val="-4"/>
        </w:rPr>
        <w:t>son</w:t>
      </w:r>
      <w:r>
        <w:rPr>
          <w:color w:val="231F20"/>
          <w:spacing w:val="-7"/>
        </w:rPr>
        <w:t> </w:t>
      </w:r>
      <w:r>
        <w:rPr>
          <w:color w:val="231F20"/>
          <w:spacing w:val="-4"/>
        </w:rPr>
        <w:t>chef</w:t>
      </w:r>
      <w:r>
        <w:rPr>
          <w:color w:val="231F20"/>
          <w:spacing w:val="-7"/>
        </w:rPr>
        <w:t> </w:t>
      </w:r>
      <w:r>
        <w:rPr>
          <w:color w:val="231F20"/>
          <w:spacing w:val="-4"/>
        </w:rPr>
        <w:t>de</w:t>
      </w:r>
      <w:r>
        <w:rPr>
          <w:color w:val="231F20"/>
          <w:spacing w:val="-7"/>
        </w:rPr>
        <w:t> </w:t>
      </w:r>
      <w:r>
        <w:rPr>
          <w:color w:val="231F20"/>
          <w:spacing w:val="-4"/>
        </w:rPr>
        <w:t>cabinet</w:t>
      </w:r>
      <w:r>
        <w:rPr>
          <w:color w:val="231F20"/>
          <w:spacing w:val="-6"/>
        </w:rPr>
        <w:t> </w:t>
      </w:r>
      <w:r>
        <w:rPr>
          <w:color w:val="231F20"/>
          <w:spacing w:val="-4"/>
        </w:rPr>
        <w:t>et</w:t>
      </w:r>
      <w:r>
        <w:rPr>
          <w:color w:val="231F20"/>
          <w:spacing w:val="-7"/>
        </w:rPr>
        <w:t> </w:t>
      </w:r>
      <w:r>
        <w:rPr>
          <w:color w:val="231F20"/>
          <w:spacing w:val="-4"/>
        </w:rPr>
        <w:t>Alain</w:t>
      </w:r>
      <w:r>
        <w:rPr>
          <w:color w:val="231F20"/>
          <w:spacing w:val="-7"/>
        </w:rPr>
        <w:t> </w:t>
      </w:r>
      <w:r>
        <w:rPr>
          <w:color w:val="231F20"/>
          <w:spacing w:val="-4"/>
        </w:rPr>
        <w:t>Belkiri,</w:t>
      </w:r>
      <w:r>
        <w:rPr>
          <w:color w:val="231F20"/>
          <w:spacing w:val="-7"/>
        </w:rPr>
        <w:t> </w:t>
      </w:r>
      <w:r>
        <w:rPr>
          <w:color w:val="231F20"/>
          <w:spacing w:val="-4"/>
        </w:rPr>
        <w:t>le</w:t>
      </w:r>
      <w:r>
        <w:rPr>
          <w:color w:val="231F20"/>
          <w:spacing w:val="-11"/>
        </w:rPr>
        <w:t> </w:t>
      </w:r>
      <w:r>
        <w:rPr>
          <w:color w:val="231F20"/>
          <w:spacing w:val="-4"/>
        </w:rPr>
        <w:t>Secrétaire </w:t>
      </w:r>
      <w:r>
        <w:rPr>
          <w:color w:val="231F20"/>
        </w:rPr>
        <w:t>Général du Gouvernement. Ils sont la «</w:t>
      </w:r>
      <w:r>
        <w:rPr>
          <w:color w:val="231F20"/>
          <w:spacing w:val="-13"/>
        </w:rPr>
        <w:t> </w:t>
      </w:r>
      <w:r>
        <w:rPr>
          <w:color w:val="231F20"/>
        </w:rPr>
        <w:t>bouche et les oreilles</w:t>
      </w:r>
      <w:r>
        <w:rPr>
          <w:color w:val="231F20"/>
          <w:spacing w:val="-13"/>
        </w:rPr>
        <w:t> </w:t>
      </w:r>
      <w:r>
        <w:rPr>
          <w:color w:val="231F20"/>
        </w:rPr>
        <w:t>» de la </w:t>
      </w:r>
      <w:r>
        <w:rPr>
          <w:color w:val="231F20"/>
          <w:spacing w:val="-2"/>
        </w:rPr>
        <w:t>France</w:t>
      </w:r>
      <w:r>
        <w:rPr>
          <w:color w:val="231F20"/>
          <w:spacing w:val="-15"/>
        </w:rPr>
        <w:t> </w:t>
      </w:r>
      <w:r>
        <w:rPr>
          <w:color w:val="231F20"/>
          <w:spacing w:val="-2"/>
        </w:rPr>
        <w:t>:</w:t>
      </w:r>
      <w:r>
        <w:rPr>
          <w:color w:val="231F20"/>
          <w:spacing w:val="-13"/>
        </w:rPr>
        <w:t> </w:t>
      </w:r>
      <w:r>
        <w:rPr>
          <w:color w:val="231F20"/>
          <w:spacing w:val="-2"/>
        </w:rPr>
        <w:t>leur</w:t>
      </w:r>
      <w:r>
        <w:rPr>
          <w:color w:val="231F20"/>
          <w:spacing w:val="-13"/>
        </w:rPr>
        <w:t> </w:t>
      </w:r>
      <w:r>
        <w:rPr>
          <w:color w:val="231F20"/>
          <w:spacing w:val="-2"/>
        </w:rPr>
        <w:t>influence</w:t>
      </w:r>
      <w:r>
        <w:rPr>
          <w:color w:val="231F20"/>
          <w:spacing w:val="-13"/>
        </w:rPr>
        <w:t> </w:t>
      </w:r>
      <w:r>
        <w:rPr>
          <w:color w:val="231F20"/>
          <w:spacing w:val="-2"/>
        </w:rPr>
        <w:t>s’étend</w:t>
      </w:r>
      <w:r>
        <w:rPr>
          <w:color w:val="231F20"/>
          <w:spacing w:val="-13"/>
        </w:rPr>
        <w:t> </w:t>
      </w:r>
      <w:r>
        <w:rPr>
          <w:color w:val="231F20"/>
          <w:spacing w:val="-2"/>
        </w:rPr>
        <w:t>à</w:t>
      </w:r>
      <w:r>
        <w:rPr>
          <w:color w:val="231F20"/>
          <w:spacing w:val="-13"/>
        </w:rPr>
        <w:t> </w:t>
      </w:r>
      <w:r>
        <w:rPr>
          <w:color w:val="231F20"/>
          <w:spacing w:val="-2"/>
        </w:rPr>
        <w:t>tous</w:t>
      </w:r>
      <w:r>
        <w:rPr>
          <w:color w:val="231F20"/>
          <w:spacing w:val="-13"/>
        </w:rPr>
        <w:t> </w:t>
      </w:r>
      <w:r>
        <w:rPr>
          <w:color w:val="231F20"/>
          <w:spacing w:val="-2"/>
        </w:rPr>
        <w:t>les</w:t>
      </w:r>
      <w:r>
        <w:rPr>
          <w:color w:val="231F20"/>
          <w:spacing w:val="-13"/>
        </w:rPr>
        <w:t> </w:t>
      </w:r>
      <w:r>
        <w:rPr>
          <w:color w:val="231F20"/>
          <w:spacing w:val="-2"/>
        </w:rPr>
        <w:t>domaines</w:t>
      </w:r>
      <w:r>
        <w:rPr>
          <w:color w:val="231F20"/>
          <w:spacing w:val="-13"/>
        </w:rPr>
        <w:t> </w:t>
      </w:r>
      <w:r>
        <w:rPr>
          <w:color w:val="231F20"/>
          <w:spacing w:val="-2"/>
        </w:rPr>
        <w:t>y</w:t>
      </w:r>
      <w:r>
        <w:rPr>
          <w:color w:val="231F20"/>
          <w:spacing w:val="-13"/>
        </w:rPr>
        <w:t> </w:t>
      </w:r>
      <w:r>
        <w:rPr>
          <w:color w:val="231F20"/>
          <w:spacing w:val="-2"/>
        </w:rPr>
        <w:t>compris,</w:t>
      </w:r>
      <w:r>
        <w:rPr>
          <w:color w:val="231F20"/>
          <w:spacing w:val="-13"/>
        </w:rPr>
        <w:t> </w:t>
      </w:r>
      <w:r>
        <w:rPr>
          <w:color w:val="231F20"/>
          <w:spacing w:val="-2"/>
        </w:rPr>
        <w:t>la</w:t>
      </w:r>
      <w:r>
        <w:rPr>
          <w:color w:val="231F20"/>
          <w:spacing w:val="-13"/>
        </w:rPr>
        <w:t> </w:t>
      </w:r>
      <w:r>
        <w:rPr>
          <w:color w:val="231F20"/>
          <w:spacing w:val="-2"/>
        </w:rPr>
        <w:t>politique </w:t>
      </w:r>
      <w:r>
        <w:rPr>
          <w:color w:val="231F20"/>
        </w:rPr>
        <w:t>intérieure et extérieure.</w:t>
      </w:r>
    </w:p>
    <w:p>
      <w:pPr>
        <w:pStyle w:val="BodyText"/>
        <w:spacing w:before="121"/>
        <w:ind w:right="104" w:firstLine="283"/>
      </w:pPr>
      <w:r>
        <w:rPr>
          <w:color w:val="231F20"/>
          <w:spacing w:val="-4"/>
        </w:rPr>
        <w:t>Au niveau de la politique intérieure, Houphouët-Boigny neutralise dès </w:t>
      </w:r>
      <w:r>
        <w:rPr>
          <w:color w:val="231F20"/>
          <w:spacing w:val="-2"/>
        </w:rPr>
        <w:t>1957,</w:t>
      </w:r>
      <w:r>
        <w:rPr>
          <w:color w:val="231F20"/>
          <w:spacing w:val="-10"/>
        </w:rPr>
        <w:t> </w:t>
      </w:r>
      <w:r>
        <w:rPr>
          <w:color w:val="231F20"/>
          <w:spacing w:val="-2"/>
        </w:rPr>
        <w:t>les</w:t>
      </w:r>
      <w:r>
        <w:rPr>
          <w:color w:val="231F20"/>
          <w:spacing w:val="-8"/>
        </w:rPr>
        <w:t> </w:t>
      </w:r>
      <w:r>
        <w:rPr>
          <w:color w:val="231F20"/>
          <w:spacing w:val="-2"/>
        </w:rPr>
        <w:t>partis</w:t>
      </w:r>
      <w:r>
        <w:rPr>
          <w:color w:val="231F20"/>
          <w:spacing w:val="-10"/>
        </w:rPr>
        <w:t> </w:t>
      </w:r>
      <w:r>
        <w:rPr>
          <w:color w:val="231F20"/>
          <w:spacing w:val="-2"/>
        </w:rPr>
        <w:t>rivaux</w:t>
      </w:r>
      <w:r>
        <w:rPr>
          <w:color w:val="231F20"/>
          <w:spacing w:val="-10"/>
        </w:rPr>
        <w:t> </w:t>
      </w:r>
      <w:r>
        <w:rPr>
          <w:color w:val="231F20"/>
          <w:spacing w:val="-2"/>
        </w:rPr>
        <w:t>du</w:t>
      </w:r>
      <w:r>
        <w:rPr>
          <w:color w:val="231F20"/>
          <w:spacing w:val="-13"/>
        </w:rPr>
        <w:t> </w:t>
      </w:r>
      <w:r>
        <w:rPr>
          <w:color w:val="231F20"/>
          <w:spacing w:val="-2"/>
        </w:rPr>
        <w:t>PDCI-RDA</w:t>
      </w:r>
      <w:r>
        <w:rPr>
          <w:color w:val="231F20"/>
          <w:spacing w:val="-8"/>
        </w:rPr>
        <w:t> </w:t>
      </w:r>
      <w:r>
        <w:rPr>
          <w:color w:val="231F20"/>
          <w:spacing w:val="-2"/>
        </w:rPr>
        <w:t>et</w:t>
      </w:r>
      <w:r>
        <w:rPr>
          <w:color w:val="231F20"/>
          <w:spacing w:val="-8"/>
        </w:rPr>
        <w:t> </w:t>
      </w:r>
      <w:r>
        <w:rPr>
          <w:color w:val="231F20"/>
          <w:spacing w:val="-2"/>
        </w:rPr>
        <w:t>brise</w:t>
      </w:r>
      <w:r>
        <w:rPr>
          <w:color w:val="231F20"/>
          <w:spacing w:val="-11"/>
        </w:rPr>
        <w:t> </w:t>
      </w:r>
      <w:r>
        <w:rPr>
          <w:color w:val="231F20"/>
          <w:spacing w:val="-2"/>
        </w:rPr>
        <w:t>toute</w:t>
      </w:r>
      <w:r>
        <w:rPr>
          <w:color w:val="231F20"/>
          <w:spacing w:val="-13"/>
        </w:rPr>
        <w:t> </w:t>
      </w:r>
      <w:r>
        <w:rPr>
          <w:color w:val="231F20"/>
          <w:spacing w:val="-2"/>
        </w:rPr>
        <w:t>forme</w:t>
      </w:r>
      <w:r>
        <w:rPr>
          <w:color w:val="231F20"/>
          <w:spacing w:val="-8"/>
        </w:rPr>
        <w:t> </w:t>
      </w:r>
      <w:r>
        <w:rPr>
          <w:color w:val="231F20"/>
          <w:spacing w:val="-2"/>
        </w:rPr>
        <w:t>d’opposition</w:t>
      </w:r>
      <w:r>
        <w:rPr>
          <w:color w:val="231F20"/>
          <w:spacing w:val="-10"/>
        </w:rPr>
        <w:t> </w:t>
      </w:r>
      <w:r>
        <w:rPr>
          <w:color w:val="231F20"/>
          <w:spacing w:val="-2"/>
        </w:rPr>
        <w:t>à l’intérieur</w:t>
      </w:r>
      <w:r>
        <w:rPr>
          <w:color w:val="231F20"/>
          <w:spacing w:val="-9"/>
        </w:rPr>
        <w:t> </w:t>
      </w:r>
      <w:r>
        <w:rPr>
          <w:color w:val="231F20"/>
          <w:spacing w:val="-2"/>
        </w:rPr>
        <w:t>du</w:t>
      </w:r>
      <w:r>
        <w:rPr>
          <w:color w:val="231F20"/>
          <w:spacing w:val="-7"/>
        </w:rPr>
        <w:t> </w:t>
      </w:r>
      <w:r>
        <w:rPr>
          <w:color w:val="231F20"/>
          <w:spacing w:val="-2"/>
        </w:rPr>
        <w:t>parti.</w:t>
      </w:r>
      <w:r>
        <w:rPr>
          <w:color w:val="231F20"/>
          <w:spacing w:val="-8"/>
        </w:rPr>
        <w:t> </w:t>
      </w:r>
      <w:r>
        <w:rPr>
          <w:color w:val="231F20"/>
          <w:spacing w:val="-2"/>
        </w:rPr>
        <w:t>Mais</w:t>
      </w:r>
      <w:r>
        <w:rPr>
          <w:color w:val="231F20"/>
          <w:spacing w:val="-10"/>
        </w:rPr>
        <w:t> </w:t>
      </w:r>
      <w:r>
        <w:rPr>
          <w:color w:val="231F20"/>
          <w:spacing w:val="-2"/>
        </w:rPr>
        <w:t>des</w:t>
      </w:r>
      <w:r>
        <w:rPr>
          <w:color w:val="231F20"/>
          <w:spacing w:val="-8"/>
        </w:rPr>
        <w:t> </w:t>
      </w:r>
      <w:r>
        <w:rPr>
          <w:color w:val="231F20"/>
          <w:spacing w:val="-2"/>
        </w:rPr>
        <w:t>jeunes</w:t>
      </w:r>
      <w:r>
        <w:rPr>
          <w:color w:val="231F20"/>
          <w:spacing w:val="-8"/>
        </w:rPr>
        <w:t> </w:t>
      </w:r>
      <w:r>
        <w:rPr>
          <w:color w:val="231F20"/>
          <w:spacing w:val="-2"/>
        </w:rPr>
        <w:t>de</w:t>
      </w:r>
      <w:r>
        <w:rPr>
          <w:color w:val="231F20"/>
          <w:spacing w:val="-8"/>
        </w:rPr>
        <w:t> </w:t>
      </w:r>
      <w:r>
        <w:rPr>
          <w:color w:val="231F20"/>
          <w:spacing w:val="-2"/>
        </w:rPr>
        <w:t>son</w:t>
      </w:r>
      <w:r>
        <w:rPr>
          <w:color w:val="231F20"/>
          <w:spacing w:val="-7"/>
        </w:rPr>
        <w:t> </w:t>
      </w:r>
      <w:r>
        <w:rPr>
          <w:color w:val="231F20"/>
          <w:spacing w:val="-2"/>
        </w:rPr>
        <w:t>parti</w:t>
      </w:r>
      <w:r>
        <w:rPr>
          <w:color w:val="231F20"/>
          <w:spacing w:val="-10"/>
        </w:rPr>
        <w:t> </w:t>
      </w:r>
      <w:r>
        <w:rPr>
          <w:color w:val="231F20"/>
          <w:spacing w:val="-2"/>
        </w:rPr>
        <w:t>menés</w:t>
      </w:r>
      <w:r>
        <w:rPr>
          <w:color w:val="231F20"/>
          <w:spacing w:val="-9"/>
        </w:rPr>
        <w:t> </w:t>
      </w:r>
      <w:r>
        <w:rPr>
          <w:color w:val="231F20"/>
          <w:spacing w:val="-2"/>
        </w:rPr>
        <w:t>par</w:t>
      </w:r>
      <w:r>
        <w:rPr>
          <w:color w:val="231F20"/>
          <w:spacing w:val="-8"/>
        </w:rPr>
        <w:t> </w:t>
      </w:r>
      <w:r>
        <w:rPr>
          <w:color w:val="231F20"/>
          <w:spacing w:val="-2"/>
        </w:rPr>
        <w:t>Jean-Baptiste Mockey</w:t>
      </w:r>
      <w:r>
        <w:rPr>
          <w:color w:val="231F20"/>
          <w:spacing w:val="-2"/>
          <w:vertAlign w:val="superscript"/>
        </w:rPr>
        <w:t>123</w:t>
      </w:r>
      <w:r>
        <w:rPr>
          <w:color w:val="231F20"/>
          <w:spacing w:val="-2"/>
          <w:vertAlign w:val="baseline"/>
        </w:rPr>
        <w:t>,</w:t>
      </w:r>
      <w:r>
        <w:rPr>
          <w:color w:val="231F20"/>
          <w:spacing w:val="-6"/>
          <w:vertAlign w:val="baseline"/>
        </w:rPr>
        <w:t> </w:t>
      </w:r>
      <w:r>
        <w:rPr>
          <w:color w:val="231F20"/>
          <w:spacing w:val="-2"/>
          <w:vertAlign w:val="baseline"/>
        </w:rPr>
        <w:t>se</w:t>
      </w:r>
      <w:r>
        <w:rPr>
          <w:color w:val="231F20"/>
          <w:spacing w:val="-5"/>
          <w:vertAlign w:val="baseline"/>
        </w:rPr>
        <w:t> </w:t>
      </w:r>
      <w:r>
        <w:rPr>
          <w:color w:val="231F20"/>
          <w:spacing w:val="-2"/>
          <w:vertAlign w:val="baseline"/>
        </w:rPr>
        <w:t>dressent</w:t>
      </w:r>
      <w:r>
        <w:rPr>
          <w:color w:val="231F20"/>
          <w:spacing w:val="-5"/>
          <w:vertAlign w:val="baseline"/>
        </w:rPr>
        <w:t> </w:t>
      </w:r>
      <w:r>
        <w:rPr>
          <w:color w:val="231F20"/>
          <w:spacing w:val="-2"/>
          <w:vertAlign w:val="baseline"/>
        </w:rPr>
        <w:t>ouvertement</w:t>
      </w:r>
      <w:r>
        <w:rPr>
          <w:color w:val="231F20"/>
          <w:spacing w:val="-5"/>
          <w:vertAlign w:val="baseline"/>
        </w:rPr>
        <w:t> </w:t>
      </w:r>
      <w:r>
        <w:rPr>
          <w:color w:val="231F20"/>
          <w:spacing w:val="-2"/>
          <w:vertAlign w:val="baseline"/>
        </w:rPr>
        <w:t>contre</w:t>
      </w:r>
      <w:r>
        <w:rPr>
          <w:color w:val="231F20"/>
          <w:spacing w:val="-7"/>
          <w:vertAlign w:val="baseline"/>
        </w:rPr>
        <w:t> </w:t>
      </w:r>
      <w:r>
        <w:rPr>
          <w:color w:val="231F20"/>
          <w:spacing w:val="-2"/>
          <w:vertAlign w:val="baseline"/>
        </w:rPr>
        <w:t>sa</w:t>
      </w:r>
      <w:r>
        <w:rPr>
          <w:color w:val="231F20"/>
          <w:spacing w:val="-5"/>
          <w:vertAlign w:val="baseline"/>
        </w:rPr>
        <w:t> </w:t>
      </w:r>
      <w:r>
        <w:rPr>
          <w:color w:val="231F20"/>
          <w:spacing w:val="-2"/>
          <w:vertAlign w:val="baseline"/>
        </w:rPr>
        <w:t>politique</w:t>
      </w:r>
      <w:r>
        <w:rPr>
          <w:color w:val="231F20"/>
          <w:spacing w:val="-5"/>
          <w:vertAlign w:val="baseline"/>
        </w:rPr>
        <w:t> </w:t>
      </w:r>
      <w:r>
        <w:rPr>
          <w:color w:val="231F20"/>
          <w:spacing w:val="-2"/>
          <w:vertAlign w:val="baseline"/>
        </w:rPr>
        <w:t>trop</w:t>
      </w:r>
      <w:r>
        <w:rPr>
          <w:color w:val="231F20"/>
          <w:spacing w:val="-5"/>
          <w:vertAlign w:val="baseline"/>
        </w:rPr>
        <w:t> </w:t>
      </w:r>
      <w:r>
        <w:rPr>
          <w:color w:val="231F20"/>
          <w:spacing w:val="-2"/>
          <w:vertAlign w:val="baseline"/>
        </w:rPr>
        <w:t>francophile. </w:t>
      </w:r>
      <w:r>
        <w:rPr>
          <w:color w:val="231F20"/>
          <w:vertAlign w:val="baseline"/>
        </w:rPr>
        <w:t>En septembre 1959, Mockey est accusé de tentative de coup d’État et d’assassinat</w:t>
      </w:r>
      <w:r>
        <w:rPr>
          <w:color w:val="231F20"/>
          <w:spacing w:val="-11"/>
          <w:vertAlign w:val="baseline"/>
        </w:rPr>
        <w:t> </w:t>
      </w:r>
      <w:r>
        <w:rPr>
          <w:color w:val="231F20"/>
          <w:vertAlign w:val="baseline"/>
        </w:rPr>
        <w:t>du</w:t>
      </w:r>
      <w:r>
        <w:rPr>
          <w:color w:val="231F20"/>
          <w:spacing w:val="-11"/>
          <w:vertAlign w:val="baseline"/>
        </w:rPr>
        <w:t> </w:t>
      </w:r>
      <w:r>
        <w:rPr>
          <w:color w:val="231F20"/>
          <w:vertAlign w:val="baseline"/>
        </w:rPr>
        <w:t>président</w:t>
      </w:r>
      <w:r>
        <w:rPr>
          <w:color w:val="231F20"/>
          <w:spacing w:val="-13"/>
          <w:vertAlign w:val="baseline"/>
        </w:rPr>
        <w:t> </w:t>
      </w:r>
      <w:r>
        <w:rPr>
          <w:color w:val="231F20"/>
          <w:vertAlign w:val="baseline"/>
        </w:rPr>
        <w:t>Houphouët-Boigny</w:t>
      </w:r>
      <w:r>
        <w:rPr>
          <w:color w:val="231F20"/>
          <w:spacing w:val="-11"/>
          <w:vertAlign w:val="baseline"/>
        </w:rPr>
        <w:t> </w:t>
      </w:r>
      <w:r>
        <w:rPr>
          <w:color w:val="231F20"/>
          <w:vertAlign w:val="baseline"/>
        </w:rPr>
        <w:t>à</w:t>
      </w:r>
      <w:r>
        <w:rPr>
          <w:color w:val="231F20"/>
          <w:spacing w:val="-12"/>
          <w:vertAlign w:val="baseline"/>
        </w:rPr>
        <w:t> </w:t>
      </w:r>
      <w:r>
        <w:rPr>
          <w:color w:val="231F20"/>
          <w:vertAlign w:val="baseline"/>
        </w:rPr>
        <w:t>travers</w:t>
      </w:r>
      <w:r>
        <w:rPr>
          <w:color w:val="231F20"/>
          <w:spacing w:val="-11"/>
          <w:vertAlign w:val="baseline"/>
        </w:rPr>
        <w:t> </w:t>
      </w:r>
      <w:r>
        <w:rPr>
          <w:color w:val="231F20"/>
          <w:vertAlign w:val="baseline"/>
        </w:rPr>
        <w:t>un</w:t>
      </w:r>
      <w:r>
        <w:rPr>
          <w:color w:val="231F20"/>
          <w:spacing w:val="-11"/>
          <w:vertAlign w:val="baseline"/>
        </w:rPr>
        <w:t> </w:t>
      </w:r>
      <w:r>
        <w:rPr>
          <w:color w:val="231F20"/>
          <w:vertAlign w:val="baseline"/>
        </w:rPr>
        <w:t>complot</w:t>
      </w:r>
      <w:r>
        <w:rPr>
          <w:color w:val="231F20"/>
          <w:spacing w:val="-11"/>
          <w:vertAlign w:val="baseline"/>
        </w:rPr>
        <w:t> </w:t>
      </w:r>
      <w:r>
        <w:rPr>
          <w:color w:val="231F20"/>
          <w:vertAlign w:val="baseline"/>
        </w:rPr>
        <w:t>dit</w:t>
      </w:r>
      <w:r>
        <w:rPr>
          <w:color w:val="231F20"/>
          <w:spacing w:val="-11"/>
          <w:vertAlign w:val="baseline"/>
        </w:rPr>
        <w:t> </w:t>
      </w:r>
      <w:r>
        <w:rPr>
          <w:color w:val="231F20"/>
          <w:vertAlign w:val="baseline"/>
        </w:rPr>
        <w:t>le</w:t>
      </w:r>
    </w:p>
    <w:p>
      <w:pPr>
        <w:pStyle w:val="BodyText"/>
        <w:ind w:right="105"/>
      </w:pPr>
      <w:r>
        <w:rPr>
          <w:color w:val="231F20"/>
        </w:rPr>
        <w:t>«</w:t>
      </w:r>
      <w:r>
        <w:rPr>
          <w:color w:val="231F20"/>
          <w:spacing w:val="-15"/>
        </w:rPr>
        <w:t> </w:t>
      </w:r>
      <w:r>
        <w:rPr>
          <w:color w:val="231F20"/>
        </w:rPr>
        <w:t>complot</w:t>
      </w:r>
      <w:r>
        <w:rPr>
          <w:color w:val="231F20"/>
          <w:spacing w:val="-15"/>
        </w:rPr>
        <w:t> </w:t>
      </w:r>
      <w:r>
        <w:rPr>
          <w:color w:val="231F20"/>
        </w:rPr>
        <w:t>du</w:t>
      </w:r>
      <w:r>
        <w:rPr>
          <w:color w:val="231F20"/>
          <w:spacing w:val="-15"/>
        </w:rPr>
        <w:t> </w:t>
      </w:r>
      <w:r>
        <w:rPr>
          <w:color w:val="231F20"/>
        </w:rPr>
        <w:t>chat</w:t>
      </w:r>
      <w:r>
        <w:rPr>
          <w:color w:val="231F20"/>
          <w:spacing w:val="-15"/>
        </w:rPr>
        <w:t> </w:t>
      </w:r>
      <w:r>
        <w:rPr>
          <w:color w:val="231F20"/>
        </w:rPr>
        <w:t>noir</w:t>
      </w:r>
      <w:r>
        <w:rPr>
          <w:color w:val="231F20"/>
          <w:spacing w:val="-15"/>
        </w:rPr>
        <w:t> </w:t>
      </w:r>
      <w:r>
        <w:rPr>
          <w:color w:val="231F20"/>
        </w:rPr>
        <w:t>».</w:t>
      </w:r>
      <w:r>
        <w:rPr>
          <w:color w:val="231F20"/>
          <w:spacing w:val="-15"/>
        </w:rPr>
        <w:t> </w:t>
      </w:r>
      <w:r>
        <w:rPr>
          <w:color w:val="231F20"/>
        </w:rPr>
        <w:t>Le</w:t>
      </w:r>
      <w:r>
        <w:rPr>
          <w:color w:val="231F20"/>
          <w:spacing w:val="-15"/>
        </w:rPr>
        <w:t> </w:t>
      </w:r>
      <w:r>
        <w:rPr>
          <w:color w:val="231F20"/>
        </w:rPr>
        <w:t>complot</w:t>
      </w:r>
      <w:r>
        <w:rPr>
          <w:color w:val="231F20"/>
          <w:spacing w:val="-15"/>
        </w:rPr>
        <w:t> </w:t>
      </w:r>
      <w:r>
        <w:rPr>
          <w:color w:val="231F20"/>
        </w:rPr>
        <w:t>implique</w:t>
      </w:r>
      <w:r>
        <w:rPr>
          <w:color w:val="231F20"/>
          <w:spacing w:val="-15"/>
        </w:rPr>
        <w:t> </w:t>
      </w:r>
      <w:r>
        <w:rPr>
          <w:color w:val="231F20"/>
        </w:rPr>
        <w:t>des</w:t>
      </w:r>
      <w:r>
        <w:rPr>
          <w:color w:val="231F20"/>
          <w:spacing w:val="-15"/>
        </w:rPr>
        <w:t> </w:t>
      </w:r>
      <w:r>
        <w:rPr>
          <w:color w:val="231F20"/>
        </w:rPr>
        <w:t>anciens</w:t>
      </w:r>
      <w:r>
        <w:rPr>
          <w:color w:val="231F20"/>
          <w:spacing w:val="-15"/>
        </w:rPr>
        <w:t> </w:t>
      </w:r>
      <w:r>
        <w:rPr>
          <w:color w:val="231F20"/>
        </w:rPr>
        <w:t>opposants</w:t>
      </w:r>
      <w:r>
        <w:rPr>
          <w:color w:val="231F20"/>
          <w:spacing w:val="-14"/>
        </w:rPr>
        <w:t> </w:t>
      </w:r>
      <w:r>
        <w:rPr>
          <w:color w:val="231F20"/>
        </w:rPr>
        <w:t>au PDCI,</w:t>
      </w:r>
      <w:r>
        <w:rPr>
          <w:color w:val="231F20"/>
          <w:spacing w:val="-11"/>
        </w:rPr>
        <w:t> </w:t>
      </w:r>
      <w:r>
        <w:rPr>
          <w:color w:val="231F20"/>
        </w:rPr>
        <w:t>des</w:t>
      </w:r>
      <w:r>
        <w:rPr>
          <w:color w:val="231F20"/>
          <w:spacing w:val="-13"/>
        </w:rPr>
        <w:t> </w:t>
      </w:r>
      <w:r>
        <w:rPr>
          <w:color w:val="231F20"/>
        </w:rPr>
        <w:t>ministres,</w:t>
      </w:r>
      <w:r>
        <w:rPr>
          <w:color w:val="231F20"/>
          <w:spacing w:val="-13"/>
        </w:rPr>
        <w:t> </w:t>
      </w:r>
      <w:r>
        <w:rPr>
          <w:color w:val="231F20"/>
        </w:rPr>
        <w:t>des</w:t>
      </w:r>
      <w:r>
        <w:rPr>
          <w:color w:val="231F20"/>
          <w:spacing w:val="-13"/>
        </w:rPr>
        <w:t> </w:t>
      </w:r>
      <w:r>
        <w:rPr>
          <w:color w:val="231F20"/>
        </w:rPr>
        <w:t>députés</w:t>
      </w:r>
      <w:r>
        <w:rPr>
          <w:color w:val="231F20"/>
          <w:spacing w:val="-13"/>
        </w:rPr>
        <w:t> </w:t>
      </w:r>
      <w:r>
        <w:rPr>
          <w:color w:val="231F20"/>
        </w:rPr>
        <w:t>et</w:t>
      </w:r>
      <w:r>
        <w:rPr>
          <w:color w:val="231F20"/>
          <w:spacing w:val="-13"/>
        </w:rPr>
        <w:t> </w:t>
      </w:r>
      <w:r>
        <w:rPr>
          <w:color w:val="231F20"/>
        </w:rPr>
        <w:t>des</w:t>
      </w:r>
      <w:r>
        <w:rPr>
          <w:color w:val="231F20"/>
          <w:spacing w:val="-12"/>
        </w:rPr>
        <w:t> </w:t>
      </w:r>
      <w:r>
        <w:rPr>
          <w:color w:val="231F20"/>
        </w:rPr>
        <w:t>militants</w:t>
      </w:r>
      <w:r>
        <w:rPr>
          <w:color w:val="231F20"/>
          <w:spacing w:val="-13"/>
        </w:rPr>
        <w:t> </w:t>
      </w:r>
      <w:r>
        <w:rPr>
          <w:color w:val="231F20"/>
        </w:rPr>
        <w:t>issus</w:t>
      </w:r>
      <w:r>
        <w:rPr>
          <w:color w:val="231F20"/>
          <w:spacing w:val="-13"/>
        </w:rPr>
        <w:t> </w:t>
      </w:r>
      <w:r>
        <w:rPr>
          <w:color w:val="231F20"/>
        </w:rPr>
        <w:t>de</w:t>
      </w:r>
      <w:r>
        <w:rPr>
          <w:color w:val="231F20"/>
          <w:spacing w:val="-13"/>
        </w:rPr>
        <w:t> </w:t>
      </w:r>
      <w:r>
        <w:rPr>
          <w:color w:val="231F20"/>
        </w:rPr>
        <w:t>la</w:t>
      </w:r>
      <w:r>
        <w:rPr>
          <w:color w:val="231F20"/>
          <w:spacing w:val="-11"/>
        </w:rPr>
        <w:t> </w:t>
      </w:r>
      <w:r>
        <w:rPr>
          <w:color w:val="231F20"/>
        </w:rPr>
        <w:t>JRDACI,</w:t>
      </w:r>
      <w:r>
        <w:rPr>
          <w:color w:val="231F20"/>
          <w:spacing w:val="-11"/>
        </w:rPr>
        <w:t> </w:t>
      </w:r>
      <w:r>
        <w:rPr>
          <w:color w:val="231F20"/>
        </w:rPr>
        <w:t>la </w:t>
      </w:r>
      <w:r>
        <w:rPr>
          <w:color w:val="231F20"/>
          <w:spacing w:val="-2"/>
        </w:rPr>
        <w:t>section</w:t>
      </w:r>
      <w:r>
        <w:rPr>
          <w:color w:val="231F20"/>
          <w:spacing w:val="-13"/>
        </w:rPr>
        <w:t> </w:t>
      </w:r>
      <w:r>
        <w:rPr>
          <w:color w:val="231F20"/>
          <w:spacing w:val="-2"/>
        </w:rPr>
        <w:t>des</w:t>
      </w:r>
      <w:r>
        <w:rPr>
          <w:color w:val="231F20"/>
          <w:spacing w:val="-11"/>
        </w:rPr>
        <w:t> </w:t>
      </w:r>
      <w:r>
        <w:rPr>
          <w:color w:val="231F20"/>
          <w:spacing w:val="-2"/>
        </w:rPr>
        <w:t>jeunes</w:t>
      </w:r>
      <w:r>
        <w:rPr>
          <w:color w:val="231F20"/>
          <w:spacing w:val="-11"/>
        </w:rPr>
        <w:t> </w:t>
      </w:r>
      <w:r>
        <w:rPr>
          <w:color w:val="231F20"/>
          <w:spacing w:val="-2"/>
        </w:rPr>
        <w:t>du</w:t>
      </w:r>
      <w:r>
        <w:rPr>
          <w:color w:val="231F20"/>
          <w:spacing w:val="-11"/>
        </w:rPr>
        <w:t> </w:t>
      </w:r>
      <w:r>
        <w:rPr>
          <w:color w:val="231F20"/>
          <w:spacing w:val="-2"/>
        </w:rPr>
        <w:t>parti.</w:t>
      </w:r>
      <w:r>
        <w:rPr>
          <w:color w:val="231F20"/>
          <w:spacing w:val="-12"/>
        </w:rPr>
        <w:t> </w:t>
      </w:r>
      <w:r>
        <w:rPr>
          <w:color w:val="231F20"/>
          <w:spacing w:val="-2"/>
        </w:rPr>
        <w:t>Des</w:t>
      </w:r>
      <w:r>
        <w:rPr>
          <w:color w:val="231F20"/>
          <w:spacing w:val="-12"/>
        </w:rPr>
        <w:t> </w:t>
      </w:r>
      <w:r>
        <w:rPr>
          <w:color w:val="231F20"/>
          <w:spacing w:val="-2"/>
        </w:rPr>
        <w:t>mesures</w:t>
      </w:r>
      <w:r>
        <w:rPr>
          <w:color w:val="231F20"/>
          <w:spacing w:val="-12"/>
        </w:rPr>
        <w:t> </w:t>
      </w:r>
      <w:r>
        <w:rPr>
          <w:color w:val="231F20"/>
          <w:spacing w:val="-2"/>
        </w:rPr>
        <w:t>d’épuration</w:t>
      </w:r>
      <w:r>
        <w:rPr>
          <w:color w:val="231F20"/>
          <w:spacing w:val="-13"/>
        </w:rPr>
        <w:t> </w:t>
      </w:r>
      <w:r>
        <w:rPr>
          <w:color w:val="231F20"/>
          <w:spacing w:val="-2"/>
        </w:rPr>
        <w:t>sont</w:t>
      </w:r>
      <w:r>
        <w:rPr>
          <w:color w:val="231F20"/>
          <w:spacing w:val="-12"/>
        </w:rPr>
        <w:t> </w:t>
      </w:r>
      <w:r>
        <w:rPr>
          <w:color w:val="231F20"/>
          <w:spacing w:val="-2"/>
        </w:rPr>
        <w:t>diligentées.</w:t>
      </w:r>
      <w:r>
        <w:rPr>
          <w:color w:val="231F20"/>
          <w:spacing w:val="-11"/>
        </w:rPr>
        <w:t> </w:t>
      </w:r>
      <w:r>
        <w:rPr>
          <w:color w:val="231F20"/>
          <w:spacing w:val="-2"/>
        </w:rPr>
        <w:t>Au </w:t>
      </w:r>
      <w:r>
        <w:rPr>
          <w:color w:val="231F20"/>
        </w:rPr>
        <w:t>total</w:t>
      </w:r>
      <w:r>
        <w:rPr>
          <w:color w:val="231F20"/>
          <w:spacing w:val="-11"/>
        </w:rPr>
        <w:t> </w:t>
      </w:r>
      <w:r>
        <w:rPr>
          <w:color w:val="231F20"/>
        </w:rPr>
        <w:t>plus</w:t>
      </w:r>
      <w:r>
        <w:rPr>
          <w:color w:val="231F20"/>
          <w:spacing w:val="-11"/>
        </w:rPr>
        <w:t> </w:t>
      </w:r>
      <w:r>
        <w:rPr>
          <w:color w:val="231F20"/>
        </w:rPr>
        <w:t>d’une</w:t>
      </w:r>
      <w:r>
        <w:rPr>
          <w:color w:val="231F20"/>
          <w:spacing w:val="-12"/>
        </w:rPr>
        <w:t> </w:t>
      </w:r>
      <w:r>
        <w:rPr>
          <w:color w:val="231F20"/>
        </w:rPr>
        <w:t>centaine</w:t>
      </w:r>
      <w:r>
        <w:rPr>
          <w:color w:val="231F20"/>
          <w:spacing w:val="-11"/>
        </w:rPr>
        <w:t> </w:t>
      </w:r>
      <w:r>
        <w:rPr>
          <w:color w:val="231F20"/>
        </w:rPr>
        <w:t>de</w:t>
      </w:r>
      <w:r>
        <w:rPr>
          <w:color w:val="231F20"/>
          <w:spacing w:val="-10"/>
        </w:rPr>
        <w:t> </w:t>
      </w:r>
      <w:r>
        <w:rPr>
          <w:color w:val="231F20"/>
        </w:rPr>
        <w:t>personnes</w:t>
      </w:r>
      <w:r>
        <w:rPr>
          <w:color w:val="231F20"/>
          <w:spacing w:val="-12"/>
        </w:rPr>
        <w:t> </w:t>
      </w:r>
      <w:r>
        <w:rPr>
          <w:color w:val="231F20"/>
        </w:rPr>
        <w:t>sont</w:t>
      </w:r>
      <w:r>
        <w:rPr>
          <w:color w:val="231F20"/>
          <w:spacing w:val="-9"/>
        </w:rPr>
        <w:t> </w:t>
      </w:r>
      <w:r>
        <w:rPr>
          <w:color w:val="231F20"/>
        </w:rPr>
        <w:t>incarcérées.</w:t>
      </w:r>
      <w:r>
        <w:rPr>
          <w:color w:val="231F20"/>
          <w:spacing w:val="-10"/>
        </w:rPr>
        <w:t> </w:t>
      </w:r>
      <w:r>
        <w:rPr>
          <w:color w:val="231F20"/>
        </w:rPr>
        <w:t>De</w:t>
      </w:r>
      <w:r>
        <w:rPr>
          <w:color w:val="231F20"/>
          <w:spacing w:val="-10"/>
        </w:rPr>
        <w:t> </w:t>
      </w:r>
      <w:r>
        <w:rPr>
          <w:color w:val="231F20"/>
        </w:rPr>
        <w:t>nombreuses condamnations</w:t>
      </w:r>
      <w:r>
        <w:rPr>
          <w:color w:val="231F20"/>
          <w:spacing w:val="-2"/>
        </w:rPr>
        <w:t> </w:t>
      </w:r>
      <w:r>
        <w:rPr>
          <w:color w:val="231F20"/>
        </w:rPr>
        <w:t>dont</w:t>
      </w:r>
      <w:r>
        <w:rPr>
          <w:color w:val="231F20"/>
          <w:spacing w:val="-5"/>
        </w:rPr>
        <w:t> </w:t>
      </w:r>
      <w:r>
        <w:rPr>
          <w:color w:val="231F20"/>
        </w:rPr>
        <w:t>plusieurs</w:t>
      </w:r>
      <w:r>
        <w:rPr>
          <w:color w:val="231F20"/>
          <w:spacing w:val="-2"/>
        </w:rPr>
        <w:t> </w:t>
      </w:r>
      <w:r>
        <w:rPr>
          <w:color w:val="231F20"/>
        </w:rPr>
        <w:t>à</w:t>
      </w:r>
      <w:r>
        <w:rPr>
          <w:color w:val="231F20"/>
          <w:spacing w:val="-2"/>
        </w:rPr>
        <w:t> </w:t>
      </w:r>
      <w:r>
        <w:rPr>
          <w:color w:val="231F20"/>
        </w:rPr>
        <w:t>mort</w:t>
      </w:r>
      <w:r>
        <w:rPr>
          <w:color w:val="231F20"/>
          <w:spacing w:val="-2"/>
        </w:rPr>
        <w:t> </w:t>
      </w:r>
      <w:r>
        <w:rPr>
          <w:color w:val="231F20"/>
        </w:rPr>
        <w:t>sont</w:t>
      </w:r>
      <w:r>
        <w:rPr>
          <w:color w:val="231F20"/>
          <w:spacing w:val="-4"/>
        </w:rPr>
        <w:t> </w:t>
      </w:r>
      <w:r>
        <w:rPr>
          <w:color w:val="231F20"/>
        </w:rPr>
        <w:t>prononcées.</w:t>
      </w:r>
    </w:p>
    <w:p>
      <w:pPr>
        <w:pStyle w:val="BodyText"/>
        <w:spacing w:before="120"/>
        <w:ind w:right="106" w:firstLine="283"/>
      </w:pPr>
      <w:r>
        <w:rPr>
          <w:color w:val="231F20"/>
        </w:rPr>
        <w:t>En</w:t>
      </w:r>
      <w:r>
        <w:rPr>
          <w:color w:val="231F20"/>
          <w:spacing w:val="-1"/>
        </w:rPr>
        <w:t> </w:t>
      </w:r>
      <w:r>
        <w:rPr>
          <w:color w:val="231F20"/>
        </w:rPr>
        <w:t>1967,</w:t>
      </w:r>
      <w:r>
        <w:rPr>
          <w:color w:val="231F20"/>
          <w:spacing w:val="-1"/>
        </w:rPr>
        <w:t> </w:t>
      </w:r>
      <w:r>
        <w:rPr>
          <w:color w:val="231F20"/>
        </w:rPr>
        <w:t>ayant</w:t>
      </w:r>
      <w:r>
        <w:rPr>
          <w:color w:val="231F20"/>
          <w:spacing w:val="-1"/>
        </w:rPr>
        <w:t> </w:t>
      </w:r>
      <w:r>
        <w:rPr>
          <w:color w:val="231F20"/>
        </w:rPr>
        <w:t>consolidé</w:t>
      </w:r>
      <w:r>
        <w:rPr>
          <w:color w:val="231F20"/>
          <w:spacing w:val="-4"/>
        </w:rPr>
        <w:t> </w:t>
      </w:r>
      <w:r>
        <w:rPr>
          <w:color w:val="231F20"/>
        </w:rPr>
        <w:t>son</w:t>
      </w:r>
      <w:r>
        <w:rPr>
          <w:color w:val="231F20"/>
          <w:spacing w:val="-3"/>
        </w:rPr>
        <w:t> </w:t>
      </w:r>
      <w:r>
        <w:rPr>
          <w:color w:val="231F20"/>
        </w:rPr>
        <w:t>pouvoir,</w:t>
      </w:r>
      <w:r>
        <w:rPr>
          <w:color w:val="231F20"/>
          <w:spacing w:val="-3"/>
        </w:rPr>
        <w:t> </w:t>
      </w:r>
      <w:r>
        <w:rPr>
          <w:color w:val="231F20"/>
        </w:rPr>
        <w:t>le</w:t>
      </w:r>
      <w:r>
        <w:rPr>
          <w:color w:val="231F20"/>
          <w:spacing w:val="-1"/>
        </w:rPr>
        <w:t> </w:t>
      </w:r>
      <w:r>
        <w:rPr>
          <w:color w:val="231F20"/>
        </w:rPr>
        <w:t>président</w:t>
      </w:r>
      <w:r>
        <w:rPr>
          <w:color w:val="231F20"/>
          <w:spacing w:val="-3"/>
        </w:rPr>
        <w:t> </w:t>
      </w:r>
      <w:r>
        <w:rPr>
          <w:color w:val="231F20"/>
        </w:rPr>
        <w:t>montre</w:t>
      </w:r>
      <w:r>
        <w:rPr>
          <w:color w:val="231F20"/>
          <w:spacing w:val="-1"/>
        </w:rPr>
        <w:t> </w:t>
      </w:r>
      <w:r>
        <w:rPr>
          <w:color w:val="231F20"/>
        </w:rPr>
        <w:t>qu’il</w:t>
      </w:r>
      <w:r>
        <w:rPr>
          <w:color w:val="231F20"/>
          <w:spacing w:val="-2"/>
        </w:rPr>
        <w:t> </w:t>
      </w:r>
      <w:r>
        <w:rPr>
          <w:color w:val="231F20"/>
        </w:rPr>
        <w:t>sait manier</w:t>
      </w:r>
      <w:r>
        <w:rPr>
          <w:color w:val="231F20"/>
          <w:spacing w:val="-15"/>
        </w:rPr>
        <w:t> </w:t>
      </w:r>
      <w:r>
        <w:rPr>
          <w:color w:val="231F20"/>
        </w:rPr>
        <w:t>le</w:t>
      </w:r>
      <w:r>
        <w:rPr>
          <w:color w:val="231F20"/>
          <w:spacing w:val="-15"/>
        </w:rPr>
        <w:t> </w:t>
      </w:r>
      <w:r>
        <w:rPr>
          <w:color w:val="231F20"/>
        </w:rPr>
        <w:t>bâton</w:t>
      </w:r>
      <w:r>
        <w:rPr>
          <w:color w:val="231F20"/>
          <w:spacing w:val="-15"/>
        </w:rPr>
        <w:t> </w:t>
      </w:r>
      <w:r>
        <w:rPr>
          <w:color w:val="231F20"/>
        </w:rPr>
        <w:t>et</w:t>
      </w:r>
      <w:r>
        <w:rPr>
          <w:color w:val="231F20"/>
          <w:spacing w:val="-15"/>
        </w:rPr>
        <w:t> </w:t>
      </w:r>
      <w:r>
        <w:rPr>
          <w:color w:val="231F20"/>
        </w:rPr>
        <w:t>la</w:t>
      </w:r>
      <w:r>
        <w:rPr>
          <w:color w:val="231F20"/>
          <w:spacing w:val="-15"/>
        </w:rPr>
        <w:t> </w:t>
      </w:r>
      <w:r>
        <w:rPr>
          <w:color w:val="231F20"/>
        </w:rPr>
        <w:t>carotte.</w:t>
      </w:r>
      <w:r>
        <w:rPr>
          <w:color w:val="231F20"/>
          <w:spacing w:val="-15"/>
        </w:rPr>
        <w:t> </w:t>
      </w:r>
      <w:r>
        <w:rPr>
          <w:color w:val="231F20"/>
        </w:rPr>
        <w:t>Il</w:t>
      </w:r>
      <w:r>
        <w:rPr>
          <w:color w:val="231F20"/>
          <w:spacing w:val="-15"/>
        </w:rPr>
        <w:t> </w:t>
      </w:r>
      <w:r>
        <w:rPr>
          <w:color w:val="231F20"/>
        </w:rPr>
        <w:t>libère</w:t>
      </w:r>
      <w:r>
        <w:rPr>
          <w:color w:val="231F20"/>
          <w:spacing w:val="-15"/>
        </w:rPr>
        <w:t> </w:t>
      </w:r>
      <w:r>
        <w:rPr>
          <w:color w:val="231F20"/>
        </w:rPr>
        <w:t>tous</w:t>
      </w:r>
      <w:r>
        <w:rPr>
          <w:color w:val="231F20"/>
          <w:spacing w:val="-15"/>
        </w:rPr>
        <w:t> </w:t>
      </w:r>
      <w:r>
        <w:rPr>
          <w:color w:val="231F20"/>
        </w:rPr>
        <w:t>les</w:t>
      </w:r>
      <w:r>
        <w:rPr>
          <w:color w:val="231F20"/>
          <w:spacing w:val="-15"/>
        </w:rPr>
        <w:t> </w:t>
      </w:r>
      <w:r>
        <w:rPr>
          <w:color w:val="231F20"/>
        </w:rPr>
        <w:t>prisonniers</w:t>
      </w:r>
      <w:r>
        <w:rPr>
          <w:color w:val="231F20"/>
          <w:spacing w:val="-15"/>
        </w:rPr>
        <w:t> </w:t>
      </w:r>
      <w:r>
        <w:rPr>
          <w:color w:val="231F20"/>
        </w:rPr>
        <w:t>y</w:t>
      </w:r>
      <w:r>
        <w:rPr>
          <w:color w:val="231F20"/>
          <w:spacing w:val="-15"/>
        </w:rPr>
        <w:t> </w:t>
      </w:r>
      <w:r>
        <w:rPr>
          <w:color w:val="231F20"/>
        </w:rPr>
        <w:t>compris</w:t>
      </w:r>
      <w:r>
        <w:rPr>
          <w:color w:val="231F20"/>
          <w:spacing w:val="-15"/>
        </w:rPr>
        <w:t> </w:t>
      </w:r>
      <w:r>
        <w:rPr>
          <w:color w:val="231F20"/>
        </w:rPr>
        <w:t>ceux </w:t>
      </w:r>
      <w:r>
        <w:rPr>
          <w:color w:val="231F20"/>
          <w:spacing w:val="-4"/>
        </w:rPr>
        <w:t>qui</w:t>
      </w:r>
      <w:r>
        <w:rPr>
          <w:color w:val="231F20"/>
          <w:spacing w:val="-11"/>
        </w:rPr>
        <w:t> </w:t>
      </w:r>
      <w:r>
        <w:rPr>
          <w:color w:val="231F20"/>
          <w:spacing w:val="-4"/>
        </w:rPr>
        <w:t>avaient</w:t>
      </w:r>
      <w:r>
        <w:rPr>
          <w:color w:val="231F20"/>
          <w:spacing w:val="-11"/>
        </w:rPr>
        <w:t> </w:t>
      </w:r>
      <w:r>
        <w:rPr>
          <w:color w:val="231F20"/>
          <w:spacing w:val="-4"/>
        </w:rPr>
        <w:t>été</w:t>
      </w:r>
      <w:r>
        <w:rPr>
          <w:color w:val="231F20"/>
          <w:spacing w:val="-11"/>
        </w:rPr>
        <w:t> </w:t>
      </w:r>
      <w:r>
        <w:rPr>
          <w:color w:val="231F20"/>
          <w:spacing w:val="-4"/>
        </w:rPr>
        <w:t>condamnés</w:t>
      </w:r>
      <w:r>
        <w:rPr>
          <w:color w:val="231F20"/>
          <w:spacing w:val="-11"/>
        </w:rPr>
        <w:t> </w:t>
      </w:r>
      <w:r>
        <w:rPr>
          <w:color w:val="231F20"/>
          <w:spacing w:val="-4"/>
        </w:rPr>
        <w:t>à</w:t>
      </w:r>
      <w:r>
        <w:rPr>
          <w:color w:val="231F20"/>
          <w:spacing w:val="-10"/>
        </w:rPr>
        <w:t> </w:t>
      </w:r>
      <w:r>
        <w:rPr>
          <w:color w:val="231F20"/>
          <w:spacing w:val="-4"/>
        </w:rPr>
        <w:t>mort.</w:t>
      </w:r>
      <w:r>
        <w:rPr>
          <w:color w:val="231F20"/>
          <w:spacing w:val="-11"/>
        </w:rPr>
        <w:t> </w:t>
      </w:r>
      <w:r>
        <w:rPr>
          <w:color w:val="231F20"/>
          <w:spacing w:val="-4"/>
        </w:rPr>
        <w:t>Il</w:t>
      </w:r>
      <w:r>
        <w:rPr>
          <w:color w:val="231F20"/>
          <w:spacing w:val="-9"/>
        </w:rPr>
        <w:t> </w:t>
      </w:r>
      <w:r>
        <w:rPr>
          <w:color w:val="231F20"/>
          <w:spacing w:val="-4"/>
        </w:rPr>
        <w:t>les</w:t>
      </w:r>
      <w:r>
        <w:rPr>
          <w:color w:val="231F20"/>
          <w:spacing w:val="-11"/>
        </w:rPr>
        <w:t> </w:t>
      </w:r>
      <w:r>
        <w:rPr>
          <w:color w:val="231F20"/>
          <w:spacing w:val="-4"/>
        </w:rPr>
        <w:t>indemnise</w:t>
      </w:r>
      <w:r>
        <w:rPr>
          <w:color w:val="231F20"/>
          <w:spacing w:val="-10"/>
        </w:rPr>
        <w:t> </w:t>
      </w:r>
      <w:r>
        <w:rPr>
          <w:color w:val="231F20"/>
          <w:spacing w:val="-4"/>
        </w:rPr>
        <w:t>et</w:t>
      </w:r>
      <w:r>
        <w:rPr>
          <w:color w:val="231F20"/>
          <w:spacing w:val="-11"/>
        </w:rPr>
        <w:t> </w:t>
      </w:r>
      <w:r>
        <w:rPr>
          <w:color w:val="231F20"/>
          <w:spacing w:val="-4"/>
        </w:rPr>
        <w:t>les</w:t>
      </w:r>
      <w:r>
        <w:rPr>
          <w:color w:val="231F20"/>
          <w:spacing w:val="-9"/>
        </w:rPr>
        <w:t> </w:t>
      </w:r>
      <w:r>
        <w:rPr>
          <w:color w:val="231F20"/>
          <w:spacing w:val="-4"/>
        </w:rPr>
        <w:t>(re)introduit</w:t>
      </w:r>
      <w:r>
        <w:rPr>
          <w:color w:val="231F20"/>
          <w:spacing w:val="-8"/>
        </w:rPr>
        <w:t> </w:t>
      </w:r>
      <w:r>
        <w:rPr>
          <w:color w:val="231F20"/>
          <w:spacing w:val="-4"/>
        </w:rPr>
        <w:t>dans </w:t>
      </w:r>
      <w:r>
        <w:rPr>
          <w:color w:val="231F20"/>
          <w:spacing w:val="-2"/>
        </w:rPr>
        <w:t>l’appareil</w:t>
      </w:r>
      <w:r>
        <w:rPr>
          <w:color w:val="231F20"/>
          <w:spacing w:val="-7"/>
        </w:rPr>
        <w:t> </w:t>
      </w:r>
      <w:r>
        <w:rPr>
          <w:color w:val="231F20"/>
          <w:spacing w:val="-2"/>
        </w:rPr>
        <w:t>d’’État,</w:t>
      </w:r>
      <w:r>
        <w:rPr>
          <w:color w:val="231F20"/>
          <w:spacing w:val="-6"/>
        </w:rPr>
        <w:t> </w:t>
      </w:r>
      <w:r>
        <w:rPr>
          <w:color w:val="231F20"/>
          <w:spacing w:val="-2"/>
        </w:rPr>
        <w:t>leur</w:t>
      </w:r>
      <w:r>
        <w:rPr>
          <w:color w:val="231F20"/>
          <w:spacing w:val="-6"/>
        </w:rPr>
        <w:t> </w:t>
      </w:r>
      <w:r>
        <w:rPr>
          <w:color w:val="231F20"/>
          <w:spacing w:val="-2"/>
        </w:rPr>
        <w:t>permettant</w:t>
      </w:r>
      <w:r>
        <w:rPr>
          <w:color w:val="231F20"/>
          <w:spacing w:val="-6"/>
        </w:rPr>
        <w:t> </w:t>
      </w:r>
      <w:r>
        <w:rPr>
          <w:color w:val="231F20"/>
          <w:spacing w:val="-2"/>
        </w:rPr>
        <w:t>de</w:t>
      </w:r>
      <w:r>
        <w:rPr>
          <w:color w:val="231F20"/>
          <w:spacing w:val="-6"/>
        </w:rPr>
        <w:t> </w:t>
      </w:r>
      <w:r>
        <w:rPr>
          <w:color w:val="231F20"/>
          <w:spacing w:val="-2"/>
        </w:rPr>
        <w:t>profiter</w:t>
      </w:r>
      <w:r>
        <w:rPr>
          <w:color w:val="231F20"/>
          <w:spacing w:val="-6"/>
        </w:rPr>
        <w:t> </w:t>
      </w:r>
      <w:r>
        <w:rPr>
          <w:color w:val="231F20"/>
          <w:spacing w:val="-2"/>
        </w:rPr>
        <w:t>largement</w:t>
      </w:r>
      <w:r>
        <w:rPr>
          <w:color w:val="231F20"/>
          <w:spacing w:val="-6"/>
        </w:rPr>
        <w:t> </w:t>
      </w:r>
      <w:r>
        <w:rPr>
          <w:color w:val="231F20"/>
          <w:spacing w:val="-2"/>
        </w:rPr>
        <w:t>des</w:t>
      </w:r>
      <w:r>
        <w:rPr>
          <w:color w:val="231F20"/>
          <w:spacing w:val="-6"/>
        </w:rPr>
        <w:t> </w:t>
      </w:r>
      <w:r>
        <w:rPr>
          <w:color w:val="231F20"/>
          <w:spacing w:val="-2"/>
        </w:rPr>
        <w:t>bénéfices</w:t>
      </w:r>
      <w:r>
        <w:rPr>
          <w:color w:val="231F20"/>
          <w:spacing w:val="-8"/>
        </w:rPr>
        <w:t> </w:t>
      </w:r>
      <w:r>
        <w:rPr>
          <w:color w:val="231F20"/>
          <w:spacing w:val="-2"/>
        </w:rPr>
        <w:t>du </w:t>
      </w:r>
      <w:r>
        <w:rPr>
          <w:color w:val="231F20"/>
        </w:rPr>
        <w:t>développement du pays.</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91"/>
        <w:ind w:left="0"/>
        <w:jc w:val="left"/>
        <w:rPr>
          <w:sz w:val="20"/>
        </w:rPr>
      </w:pPr>
      <w:r>
        <w:rPr/>
        <mc:AlternateContent>
          <mc:Choice Requires="wps">
            <w:drawing>
              <wp:anchor distT="0" distB="0" distL="0" distR="0" allowOverlap="1" layoutInCell="1" locked="0" behindDoc="1" simplePos="0" relativeHeight="487626240">
                <wp:simplePos x="0" y="0"/>
                <wp:positionH relativeFrom="page">
                  <wp:posOffset>629907</wp:posOffset>
                </wp:positionH>
                <wp:positionV relativeFrom="paragraph">
                  <wp:posOffset>282596</wp:posOffset>
                </wp:positionV>
                <wp:extent cx="1829435" cy="9525"/>
                <wp:effectExtent l="0" t="0" r="0" b="0"/>
                <wp:wrapTopAndBottom/>
                <wp:docPr id="96" name="Graphic 96"/>
                <wp:cNvGraphicFramePr>
                  <a:graphicFrameLocks/>
                </wp:cNvGraphicFramePr>
                <a:graphic>
                  <a:graphicData uri="http://schemas.microsoft.com/office/word/2010/wordprocessingShape">
                    <wps:wsp>
                      <wps:cNvPr id="96" name="Graphic 9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2.251719pt;width:144.020pt;height:.72pt;mso-position-horizontal-relative:page;mso-position-vertical-relative:paragraph;z-index:-15690240;mso-wrap-distance-left:0;mso-wrap-distance-right:0" id="docshape94" filled="true" fillcolor="#231f20" stroked="false">
                <v:fill type="solid"/>
                <w10:wrap type="topAndBottom"/>
              </v:rect>
            </w:pict>
          </mc:Fallback>
        </mc:AlternateContent>
      </w:r>
    </w:p>
    <w:p>
      <w:pPr>
        <w:spacing w:before="94"/>
        <w:ind w:left="111" w:right="104" w:firstLine="0"/>
        <w:jc w:val="both"/>
        <w:rPr>
          <w:sz w:val="20"/>
        </w:rPr>
      </w:pPr>
      <w:r>
        <w:rPr>
          <w:color w:val="76787A"/>
          <w:sz w:val="20"/>
          <w:vertAlign w:val="superscript"/>
        </w:rPr>
        <w:t>123</w:t>
      </w:r>
      <w:r>
        <w:rPr>
          <w:color w:val="76787A"/>
          <w:sz w:val="20"/>
          <w:vertAlign w:val="baseline"/>
        </w:rPr>
        <w:t> </w:t>
      </w:r>
      <w:r>
        <w:rPr>
          <w:color w:val="231F20"/>
          <w:sz w:val="20"/>
          <w:vertAlign w:val="baseline"/>
        </w:rPr>
        <w:t>Jean-Baptiste Mockey, pharmacien.</w:t>
      </w:r>
      <w:r>
        <w:rPr>
          <w:color w:val="231F20"/>
          <w:spacing w:val="-13"/>
          <w:sz w:val="20"/>
          <w:vertAlign w:val="baseline"/>
        </w:rPr>
        <w:t> </w:t>
      </w:r>
      <w:r>
        <w:rPr>
          <w:color w:val="1B1D20"/>
          <w:sz w:val="20"/>
          <w:vertAlign w:val="baseline"/>
        </w:rPr>
        <w:t>Ministre de l’intérieur dans le premier gouvernement</w:t>
      </w:r>
      <w:r>
        <w:rPr>
          <w:color w:val="1B1D20"/>
          <w:spacing w:val="-13"/>
          <w:sz w:val="20"/>
          <w:vertAlign w:val="baseline"/>
        </w:rPr>
        <w:t> </w:t>
      </w:r>
      <w:r>
        <w:rPr>
          <w:color w:val="1B1D20"/>
          <w:sz w:val="20"/>
          <w:vertAlign w:val="baseline"/>
        </w:rPr>
        <w:t>ivoirien,</w:t>
      </w:r>
      <w:r>
        <w:rPr>
          <w:color w:val="1B1D20"/>
          <w:spacing w:val="-12"/>
          <w:sz w:val="20"/>
          <w:vertAlign w:val="baseline"/>
        </w:rPr>
        <w:t> </w:t>
      </w:r>
      <w:r>
        <w:rPr>
          <w:color w:val="1B1D20"/>
          <w:sz w:val="20"/>
          <w:vertAlign w:val="baseline"/>
        </w:rPr>
        <w:t>Secrétaire</w:t>
      </w:r>
      <w:r>
        <w:rPr>
          <w:color w:val="1B1D20"/>
          <w:spacing w:val="-13"/>
          <w:sz w:val="20"/>
          <w:vertAlign w:val="baseline"/>
        </w:rPr>
        <w:t> </w:t>
      </w:r>
      <w:r>
        <w:rPr>
          <w:color w:val="1B1D20"/>
          <w:sz w:val="20"/>
          <w:vertAlign w:val="baseline"/>
        </w:rPr>
        <w:t>Général</w:t>
      </w:r>
      <w:r>
        <w:rPr>
          <w:color w:val="1B1D20"/>
          <w:spacing w:val="-12"/>
          <w:sz w:val="20"/>
          <w:vertAlign w:val="baseline"/>
        </w:rPr>
        <w:t> </w:t>
      </w:r>
      <w:r>
        <w:rPr>
          <w:color w:val="1B1D20"/>
          <w:sz w:val="20"/>
          <w:vertAlign w:val="baseline"/>
        </w:rPr>
        <w:t>du</w:t>
      </w:r>
      <w:r>
        <w:rPr>
          <w:color w:val="1B1D20"/>
          <w:spacing w:val="-13"/>
          <w:sz w:val="20"/>
          <w:vertAlign w:val="baseline"/>
        </w:rPr>
        <w:t> </w:t>
      </w:r>
      <w:r>
        <w:rPr>
          <w:color w:val="1B1D20"/>
          <w:sz w:val="20"/>
          <w:vertAlign w:val="baseline"/>
        </w:rPr>
        <w:t>PDCI</w:t>
      </w:r>
      <w:r>
        <w:rPr>
          <w:color w:val="1B1D20"/>
          <w:spacing w:val="-12"/>
          <w:sz w:val="20"/>
          <w:vertAlign w:val="baseline"/>
        </w:rPr>
        <w:t> </w:t>
      </w:r>
      <w:r>
        <w:rPr>
          <w:color w:val="1B1D20"/>
          <w:sz w:val="20"/>
          <w:vertAlign w:val="baseline"/>
        </w:rPr>
        <w:t>;</w:t>
      </w:r>
      <w:r>
        <w:rPr>
          <w:color w:val="1B1D20"/>
          <w:spacing w:val="-13"/>
          <w:sz w:val="20"/>
          <w:vertAlign w:val="baseline"/>
        </w:rPr>
        <w:t> </w:t>
      </w:r>
      <w:r>
        <w:rPr>
          <w:color w:val="1B1D20"/>
          <w:sz w:val="20"/>
          <w:vertAlign w:val="baseline"/>
        </w:rPr>
        <w:t>ambassadeur</w:t>
      </w:r>
      <w:r>
        <w:rPr>
          <w:color w:val="1B1D20"/>
          <w:spacing w:val="-12"/>
          <w:sz w:val="20"/>
          <w:vertAlign w:val="baseline"/>
        </w:rPr>
        <w:t> </w:t>
      </w:r>
      <w:r>
        <w:rPr>
          <w:color w:val="1B1D20"/>
          <w:sz w:val="20"/>
          <w:vertAlign w:val="baseline"/>
        </w:rPr>
        <w:t>de</w:t>
      </w:r>
      <w:r>
        <w:rPr>
          <w:color w:val="1B1D20"/>
          <w:spacing w:val="-13"/>
          <w:sz w:val="20"/>
          <w:vertAlign w:val="baseline"/>
        </w:rPr>
        <w:t> </w:t>
      </w:r>
      <w:r>
        <w:rPr>
          <w:color w:val="1B1D20"/>
          <w:sz w:val="20"/>
          <w:vertAlign w:val="baseline"/>
        </w:rPr>
        <w:t>Côte</w:t>
      </w:r>
      <w:r>
        <w:rPr>
          <w:color w:val="1B1D20"/>
          <w:spacing w:val="-12"/>
          <w:sz w:val="20"/>
          <w:vertAlign w:val="baseline"/>
        </w:rPr>
        <w:t> </w:t>
      </w:r>
      <w:r>
        <w:rPr>
          <w:color w:val="1B1D20"/>
          <w:sz w:val="20"/>
          <w:vertAlign w:val="baseline"/>
        </w:rPr>
        <w:t>d'Ivoire</w:t>
      </w:r>
      <w:r>
        <w:rPr>
          <w:color w:val="1B1D20"/>
          <w:spacing w:val="-12"/>
          <w:sz w:val="20"/>
          <w:vertAlign w:val="baseline"/>
        </w:rPr>
        <w:t> </w:t>
      </w:r>
      <w:r>
        <w:rPr>
          <w:color w:val="1B1D20"/>
          <w:sz w:val="20"/>
          <w:vertAlign w:val="baseline"/>
        </w:rPr>
        <w:t>en </w:t>
      </w:r>
      <w:r>
        <w:rPr>
          <w:color w:val="1B1D20"/>
          <w:spacing w:val="-4"/>
          <w:sz w:val="20"/>
          <w:vertAlign w:val="baseline"/>
        </w:rPr>
        <w:t>Israël ; ministre de l'agriculture. Emprisonné lors</w:t>
      </w:r>
      <w:r>
        <w:rPr>
          <w:color w:val="1B1D20"/>
          <w:spacing w:val="-5"/>
          <w:sz w:val="20"/>
          <w:vertAlign w:val="baseline"/>
        </w:rPr>
        <w:t> </w:t>
      </w:r>
      <w:r>
        <w:rPr>
          <w:color w:val="1B1D20"/>
          <w:spacing w:val="-4"/>
          <w:sz w:val="20"/>
          <w:vertAlign w:val="baseline"/>
        </w:rPr>
        <w:t>des</w:t>
      </w:r>
      <w:r>
        <w:rPr>
          <w:color w:val="1B1D20"/>
          <w:spacing w:val="-5"/>
          <w:sz w:val="20"/>
          <w:vertAlign w:val="baseline"/>
        </w:rPr>
        <w:t> </w:t>
      </w:r>
      <w:r>
        <w:rPr>
          <w:color w:val="1B1D20"/>
          <w:spacing w:val="-4"/>
          <w:sz w:val="20"/>
          <w:vertAlign w:val="baseline"/>
        </w:rPr>
        <w:t>événements de 1963, Mockey, sera </w:t>
      </w:r>
      <w:r>
        <w:rPr>
          <w:color w:val="1B1D20"/>
          <w:sz w:val="20"/>
          <w:vertAlign w:val="baseline"/>
        </w:rPr>
        <w:t>réhabilité par le président Houphouët-Boigny en 1975. Il devient membre du bureau </w:t>
      </w:r>
      <w:r>
        <w:rPr>
          <w:color w:val="1B1D20"/>
          <w:spacing w:val="-2"/>
          <w:sz w:val="20"/>
          <w:vertAlign w:val="baseline"/>
        </w:rPr>
        <w:t>politique</w:t>
      </w:r>
      <w:r>
        <w:rPr>
          <w:color w:val="1B1D20"/>
          <w:spacing w:val="-11"/>
          <w:sz w:val="20"/>
          <w:vertAlign w:val="baseline"/>
        </w:rPr>
        <w:t> </w:t>
      </w:r>
      <w:r>
        <w:rPr>
          <w:color w:val="1B1D20"/>
          <w:spacing w:val="-2"/>
          <w:sz w:val="20"/>
          <w:vertAlign w:val="baseline"/>
        </w:rPr>
        <w:t>du</w:t>
      </w:r>
      <w:r>
        <w:rPr>
          <w:color w:val="1B1D20"/>
          <w:spacing w:val="-8"/>
          <w:sz w:val="20"/>
          <w:vertAlign w:val="baseline"/>
        </w:rPr>
        <w:t> </w:t>
      </w:r>
      <w:r>
        <w:rPr>
          <w:color w:val="1B1D20"/>
          <w:spacing w:val="-2"/>
          <w:sz w:val="20"/>
          <w:vertAlign w:val="baseline"/>
        </w:rPr>
        <w:t>PDCI.</w:t>
      </w:r>
      <w:r>
        <w:rPr>
          <w:color w:val="1B1D20"/>
          <w:spacing w:val="-8"/>
          <w:sz w:val="20"/>
          <w:vertAlign w:val="baseline"/>
        </w:rPr>
        <w:t> </w:t>
      </w:r>
      <w:r>
        <w:rPr>
          <w:color w:val="1B1D20"/>
          <w:spacing w:val="-2"/>
          <w:sz w:val="20"/>
          <w:vertAlign w:val="baseline"/>
        </w:rPr>
        <w:t>En</w:t>
      </w:r>
      <w:r>
        <w:rPr>
          <w:color w:val="1B1D20"/>
          <w:spacing w:val="-10"/>
          <w:sz w:val="20"/>
          <w:vertAlign w:val="baseline"/>
        </w:rPr>
        <w:t> </w:t>
      </w:r>
      <w:r>
        <w:rPr>
          <w:color w:val="1B1D20"/>
          <w:spacing w:val="-2"/>
          <w:sz w:val="20"/>
          <w:vertAlign w:val="baseline"/>
        </w:rPr>
        <w:t>1976,</w:t>
      </w:r>
      <w:r>
        <w:rPr>
          <w:color w:val="1B1D20"/>
          <w:spacing w:val="-8"/>
          <w:sz w:val="20"/>
          <w:vertAlign w:val="baseline"/>
        </w:rPr>
        <w:t> </w:t>
      </w:r>
      <w:r>
        <w:rPr>
          <w:color w:val="1B1D20"/>
          <w:spacing w:val="-2"/>
          <w:sz w:val="20"/>
          <w:vertAlign w:val="baseline"/>
        </w:rPr>
        <w:t>il</w:t>
      </w:r>
      <w:r>
        <w:rPr>
          <w:color w:val="1B1D20"/>
          <w:spacing w:val="-11"/>
          <w:sz w:val="20"/>
          <w:vertAlign w:val="baseline"/>
        </w:rPr>
        <w:t> </w:t>
      </w:r>
      <w:r>
        <w:rPr>
          <w:color w:val="1B1D20"/>
          <w:spacing w:val="-2"/>
          <w:sz w:val="20"/>
          <w:vertAlign w:val="baseline"/>
        </w:rPr>
        <w:t>revient</w:t>
      </w:r>
      <w:r>
        <w:rPr>
          <w:color w:val="1B1D20"/>
          <w:spacing w:val="-10"/>
          <w:sz w:val="20"/>
          <w:vertAlign w:val="baseline"/>
        </w:rPr>
        <w:t> </w:t>
      </w:r>
      <w:r>
        <w:rPr>
          <w:color w:val="1B1D20"/>
          <w:spacing w:val="-2"/>
          <w:sz w:val="20"/>
          <w:vertAlign w:val="baseline"/>
        </w:rPr>
        <w:t>au</w:t>
      </w:r>
      <w:r>
        <w:rPr>
          <w:color w:val="1B1D20"/>
          <w:spacing w:val="-10"/>
          <w:sz w:val="20"/>
          <w:vertAlign w:val="baseline"/>
        </w:rPr>
        <w:t> </w:t>
      </w:r>
      <w:r>
        <w:rPr>
          <w:color w:val="1B1D20"/>
          <w:spacing w:val="-2"/>
          <w:sz w:val="20"/>
          <w:vertAlign w:val="baseline"/>
        </w:rPr>
        <w:t>gouvernement</w:t>
      </w:r>
      <w:r>
        <w:rPr>
          <w:color w:val="1B1D20"/>
          <w:spacing w:val="-9"/>
          <w:sz w:val="20"/>
          <w:vertAlign w:val="baseline"/>
        </w:rPr>
        <w:t> </w:t>
      </w:r>
      <w:r>
        <w:rPr>
          <w:color w:val="1B1D20"/>
          <w:spacing w:val="-2"/>
          <w:sz w:val="20"/>
          <w:vertAlign w:val="baseline"/>
        </w:rPr>
        <w:t>comme</w:t>
      </w:r>
      <w:r>
        <w:rPr>
          <w:color w:val="1B1D20"/>
          <w:spacing w:val="-8"/>
          <w:sz w:val="20"/>
          <w:vertAlign w:val="baseline"/>
        </w:rPr>
        <w:t> </w:t>
      </w:r>
      <w:r>
        <w:rPr>
          <w:color w:val="1B1D20"/>
          <w:spacing w:val="-2"/>
          <w:sz w:val="20"/>
          <w:vertAlign w:val="baseline"/>
        </w:rPr>
        <w:t>ministre</w:t>
      </w:r>
      <w:r>
        <w:rPr>
          <w:color w:val="1B1D20"/>
          <w:spacing w:val="-11"/>
          <w:sz w:val="20"/>
          <w:vertAlign w:val="baseline"/>
        </w:rPr>
        <w:t> </w:t>
      </w:r>
      <w:r>
        <w:rPr>
          <w:color w:val="1B1D20"/>
          <w:spacing w:val="-2"/>
          <w:sz w:val="20"/>
          <w:vertAlign w:val="baseline"/>
        </w:rPr>
        <w:t>de</w:t>
      </w:r>
      <w:r>
        <w:rPr>
          <w:color w:val="1B1D20"/>
          <w:spacing w:val="-10"/>
          <w:sz w:val="20"/>
          <w:vertAlign w:val="baseline"/>
        </w:rPr>
        <w:t> </w:t>
      </w:r>
      <w:r>
        <w:rPr>
          <w:color w:val="1B1D20"/>
          <w:spacing w:val="-2"/>
          <w:sz w:val="20"/>
          <w:vertAlign w:val="baseline"/>
        </w:rPr>
        <w:t>la</w:t>
      </w:r>
      <w:r>
        <w:rPr>
          <w:color w:val="1B1D20"/>
          <w:spacing w:val="-9"/>
          <w:sz w:val="20"/>
          <w:vertAlign w:val="baseline"/>
        </w:rPr>
        <w:t> </w:t>
      </w:r>
      <w:r>
        <w:rPr>
          <w:color w:val="1B1D20"/>
          <w:spacing w:val="-2"/>
          <w:sz w:val="20"/>
          <w:vertAlign w:val="baseline"/>
        </w:rPr>
        <w:t>santé.</w:t>
      </w:r>
      <w:r>
        <w:rPr>
          <w:color w:val="1B1D20"/>
          <w:spacing w:val="-11"/>
          <w:sz w:val="20"/>
          <w:vertAlign w:val="baseline"/>
        </w:rPr>
        <w:t> </w:t>
      </w:r>
      <w:r>
        <w:rPr>
          <w:color w:val="1B1D20"/>
          <w:spacing w:val="-2"/>
          <w:sz w:val="20"/>
          <w:vertAlign w:val="baseline"/>
        </w:rPr>
        <w:t>En </w:t>
      </w:r>
      <w:r>
        <w:rPr>
          <w:color w:val="1B1D20"/>
          <w:sz w:val="20"/>
          <w:vertAlign w:val="baseline"/>
        </w:rPr>
        <w:t>novembre</w:t>
      </w:r>
      <w:r>
        <w:rPr>
          <w:color w:val="1B1D20"/>
          <w:spacing w:val="-10"/>
          <w:sz w:val="20"/>
          <w:vertAlign w:val="baseline"/>
        </w:rPr>
        <w:t> </w:t>
      </w:r>
      <w:r>
        <w:rPr>
          <w:color w:val="1B1D20"/>
          <w:sz w:val="20"/>
          <w:vertAlign w:val="baseline"/>
        </w:rPr>
        <w:t>1980</w:t>
      </w:r>
      <w:r>
        <w:rPr>
          <w:color w:val="1B1D20"/>
          <w:spacing w:val="-10"/>
          <w:sz w:val="20"/>
          <w:vertAlign w:val="baseline"/>
        </w:rPr>
        <w:t> </w:t>
      </w:r>
      <w:r>
        <w:rPr>
          <w:color w:val="1B1D20"/>
          <w:sz w:val="20"/>
          <w:vertAlign w:val="baseline"/>
        </w:rPr>
        <w:t>il</w:t>
      </w:r>
      <w:r>
        <w:rPr>
          <w:color w:val="1B1D20"/>
          <w:spacing w:val="-11"/>
          <w:sz w:val="20"/>
          <w:vertAlign w:val="baseline"/>
        </w:rPr>
        <w:t> </w:t>
      </w:r>
      <w:r>
        <w:rPr>
          <w:color w:val="1B1D20"/>
          <w:sz w:val="20"/>
          <w:vertAlign w:val="baseline"/>
        </w:rPr>
        <w:t>est</w:t>
      </w:r>
      <w:r>
        <w:rPr>
          <w:color w:val="1B1D20"/>
          <w:spacing w:val="-11"/>
          <w:sz w:val="20"/>
          <w:vertAlign w:val="baseline"/>
        </w:rPr>
        <w:t> </w:t>
      </w:r>
      <w:r>
        <w:rPr>
          <w:color w:val="1B1D20"/>
          <w:sz w:val="20"/>
          <w:vertAlign w:val="baseline"/>
        </w:rPr>
        <w:t>réélu</w:t>
      </w:r>
      <w:r>
        <w:rPr>
          <w:color w:val="1B1D20"/>
          <w:spacing w:val="-10"/>
          <w:sz w:val="20"/>
          <w:vertAlign w:val="baseline"/>
        </w:rPr>
        <w:t> </w:t>
      </w:r>
      <w:r>
        <w:rPr>
          <w:color w:val="1B1D20"/>
          <w:sz w:val="20"/>
          <w:vertAlign w:val="baseline"/>
        </w:rPr>
        <w:t>maire</w:t>
      </w:r>
      <w:r>
        <w:rPr>
          <w:color w:val="1B1D20"/>
          <w:spacing w:val="-10"/>
          <w:sz w:val="20"/>
          <w:vertAlign w:val="baseline"/>
        </w:rPr>
        <w:t> </w:t>
      </w:r>
      <w:r>
        <w:rPr>
          <w:color w:val="1B1D20"/>
          <w:sz w:val="20"/>
          <w:vertAlign w:val="baseline"/>
        </w:rPr>
        <w:t>de</w:t>
      </w:r>
      <w:r>
        <w:rPr>
          <w:color w:val="1B1D20"/>
          <w:spacing w:val="-10"/>
          <w:sz w:val="20"/>
          <w:vertAlign w:val="baseline"/>
        </w:rPr>
        <w:t> </w:t>
      </w:r>
      <w:r>
        <w:rPr>
          <w:color w:val="1B1D20"/>
          <w:sz w:val="20"/>
          <w:vertAlign w:val="baseline"/>
        </w:rPr>
        <w:t>Grand-Bassam.Le</w:t>
      </w:r>
      <w:r>
        <w:rPr>
          <w:color w:val="1B1D20"/>
          <w:spacing w:val="-10"/>
          <w:sz w:val="20"/>
          <w:vertAlign w:val="baseline"/>
        </w:rPr>
        <w:t> </w:t>
      </w:r>
      <w:r>
        <w:rPr>
          <w:color w:val="1B1D20"/>
          <w:sz w:val="20"/>
          <w:vertAlign w:val="baseline"/>
        </w:rPr>
        <w:t>29</w:t>
      </w:r>
      <w:r>
        <w:rPr>
          <w:color w:val="1B1D20"/>
          <w:spacing w:val="-8"/>
          <w:sz w:val="20"/>
          <w:vertAlign w:val="baseline"/>
        </w:rPr>
        <w:t> </w:t>
      </w:r>
      <w:r>
        <w:rPr>
          <w:color w:val="1B1D20"/>
          <w:sz w:val="20"/>
          <w:vertAlign w:val="baseline"/>
        </w:rPr>
        <w:t>janvier</w:t>
      </w:r>
      <w:r>
        <w:rPr>
          <w:color w:val="1B1D20"/>
          <w:spacing w:val="-13"/>
          <w:sz w:val="20"/>
          <w:vertAlign w:val="baseline"/>
        </w:rPr>
        <w:t> </w:t>
      </w:r>
      <w:r>
        <w:rPr>
          <w:color w:val="1B1D20"/>
          <w:sz w:val="20"/>
          <w:vertAlign w:val="baseline"/>
        </w:rPr>
        <w:t>1981,</w:t>
      </w:r>
      <w:r>
        <w:rPr>
          <w:color w:val="1B1D20"/>
          <w:spacing w:val="-10"/>
          <w:sz w:val="20"/>
          <w:vertAlign w:val="baseline"/>
        </w:rPr>
        <w:t> </w:t>
      </w:r>
      <w:r>
        <w:rPr>
          <w:color w:val="1B1D20"/>
          <w:sz w:val="20"/>
          <w:vertAlign w:val="baseline"/>
        </w:rPr>
        <w:t>décède</w:t>
      </w:r>
      <w:r>
        <w:rPr>
          <w:color w:val="1B1D20"/>
          <w:spacing w:val="-8"/>
          <w:sz w:val="20"/>
          <w:vertAlign w:val="baseline"/>
        </w:rPr>
        <w:t> </w:t>
      </w:r>
      <w:r>
        <w:rPr>
          <w:color w:val="1B1D20"/>
          <w:sz w:val="20"/>
          <w:vertAlign w:val="baseline"/>
        </w:rPr>
        <w:t>suite</w:t>
      </w:r>
      <w:r>
        <w:rPr>
          <w:color w:val="1B1D20"/>
          <w:spacing w:val="-10"/>
          <w:sz w:val="20"/>
          <w:vertAlign w:val="baseline"/>
        </w:rPr>
        <w:t> </w:t>
      </w:r>
      <w:r>
        <w:rPr>
          <w:color w:val="1B1D20"/>
          <w:sz w:val="20"/>
          <w:vertAlign w:val="baseline"/>
        </w:rPr>
        <w:t>à un accident de la circulation.</w:t>
      </w:r>
    </w:p>
    <w:p>
      <w:pPr>
        <w:spacing w:after="0"/>
        <w:jc w:val="both"/>
        <w:rPr>
          <w:sz w:val="20"/>
        </w:rPr>
        <w:sectPr>
          <w:pgSz w:w="8790" w:h="13610"/>
          <w:pgMar w:header="0" w:footer="802" w:top="1060" w:bottom="1000" w:left="880" w:right="880"/>
        </w:sectPr>
      </w:pPr>
    </w:p>
    <w:p>
      <w:pPr>
        <w:pStyle w:val="BodyText"/>
        <w:spacing w:before="66"/>
        <w:ind w:right="105" w:firstLine="283"/>
      </w:pPr>
      <w:r>
        <w:rPr>
          <w:color w:val="231F20"/>
          <w:spacing w:val="-2"/>
        </w:rPr>
        <w:t>Dans</w:t>
      </w:r>
      <w:r>
        <w:rPr>
          <w:color w:val="231F20"/>
          <w:spacing w:val="-13"/>
        </w:rPr>
        <w:t> </w:t>
      </w:r>
      <w:r>
        <w:rPr>
          <w:color w:val="231F20"/>
          <w:spacing w:val="-2"/>
        </w:rPr>
        <w:t>les</w:t>
      </w:r>
      <w:r>
        <w:rPr>
          <w:color w:val="231F20"/>
          <w:spacing w:val="-13"/>
        </w:rPr>
        <w:t> </w:t>
      </w:r>
      <w:r>
        <w:rPr>
          <w:color w:val="231F20"/>
          <w:spacing w:val="-2"/>
        </w:rPr>
        <w:t>années</w:t>
      </w:r>
      <w:r>
        <w:rPr>
          <w:color w:val="231F20"/>
          <w:spacing w:val="-13"/>
        </w:rPr>
        <w:t> </w:t>
      </w:r>
      <w:r>
        <w:rPr>
          <w:color w:val="231F20"/>
          <w:spacing w:val="-2"/>
        </w:rPr>
        <w:t>1970,</w:t>
      </w:r>
      <w:r>
        <w:rPr>
          <w:color w:val="231F20"/>
          <w:spacing w:val="-13"/>
        </w:rPr>
        <w:t> </w:t>
      </w:r>
      <w:r>
        <w:rPr>
          <w:color w:val="231F20"/>
          <w:spacing w:val="-2"/>
        </w:rPr>
        <w:t>il</w:t>
      </w:r>
      <w:r>
        <w:rPr>
          <w:color w:val="231F20"/>
          <w:spacing w:val="-13"/>
        </w:rPr>
        <w:t> </w:t>
      </w:r>
      <w:r>
        <w:rPr>
          <w:color w:val="231F20"/>
          <w:spacing w:val="-2"/>
        </w:rPr>
        <w:t>réprime</w:t>
      </w:r>
      <w:r>
        <w:rPr>
          <w:color w:val="231F20"/>
          <w:spacing w:val="-13"/>
        </w:rPr>
        <w:t> </w:t>
      </w:r>
      <w:r>
        <w:rPr>
          <w:color w:val="231F20"/>
          <w:spacing w:val="-2"/>
        </w:rPr>
        <w:t>les</w:t>
      </w:r>
      <w:r>
        <w:rPr>
          <w:color w:val="231F20"/>
          <w:spacing w:val="-13"/>
        </w:rPr>
        <w:t> </w:t>
      </w:r>
      <w:r>
        <w:rPr>
          <w:color w:val="231F20"/>
          <w:spacing w:val="-2"/>
        </w:rPr>
        <w:t>velléités</w:t>
      </w:r>
      <w:r>
        <w:rPr>
          <w:color w:val="231F20"/>
          <w:spacing w:val="-13"/>
        </w:rPr>
        <w:t> </w:t>
      </w:r>
      <w:r>
        <w:rPr>
          <w:color w:val="231F20"/>
          <w:spacing w:val="-2"/>
        </w:rPr>
        <w:t>sécessionnistes</w:t>
      </w:r>
      <w:r>
        <w:rPr>
          <w:color w:val="231F20"/>
          <w:spacing w:val="-13"/>
        </w:rPr>
        <w:t> </w:t>
      </w:r>
      <w:r>
        <w:rPr>
          <w:color w:val="231F20"/>
          <w:spacing w:val="-2"/>
        </w:rPr>
        <w:t>des</w:t>
      </w:r>
      <w:r>
        <w:rPr>
          <w:color w:val="231F20"/>
          <w:spacing w:val="-13"/>
        </w:rPr>
        <w:t> </w:t>
      </w:r>
      <w:r>
        <w:rPr>
          <w:color w:val="231F20"/>
          <w:spacing w:val="-2"/>
        </w:rPr>
        <w:t>Agni </w:t>
      </w:r>
      <w:r>
        <w:rPr>
          <w:color w:val="231F20"/>
        </w:rPr>
        <w:t>du Sanwi</w:t>
      </w:r>
      <w:r>
        <w:rPr>
          <w:color w:val="231F20"/>
          <w:spacing w:val="-15"/>
        </w:rPr>
        <w:t> </w:t>
      </w:r>
      <w:r>
        <w:rPr>
          <w:color w:val="231F20"/>
          <w:vertAlign w:val="superscript"/>
        </w:rPr>
        <w:t>124</w:t>
      </w:r>
      <w:r>
        <w:rPr>
          <w:color w:val="231F20"/>
          <w:vertAlign w:val="baseline"/>
        </w:rPr>
        <w:t> commencées avant l’indépendance ainsi que celles des bétés</w:t>
      </w:r>
      <w:r>
        <w:rPr>
          <w:color w:val="231F20"/>
          <w:vertAlign w:val="superscript"/>
        </w:rPr>
        <w:t>125</w:t>
      </w:r>
      <w:r>
        <w:rPr>
          <w:color w:val="231F20"/>
          <w:vertAlign w:val="baseline"/>
        </w:rPr>
        <w:t>du Guébié</w:t>
      </w:r>
      <w:r>
        <w:rPr>
          <w:color w:val="231F20"/>
          <w:vertAlign w:val="superscript"/>
        </w:rPr>
        <w:t>126</w:t>
      </w:r>
      <w:r>
        <w:rPr>
          <w:color w:val="231F20"/>
          <w:vertAlign w:val="baseline"/>
        </w:rPr>
        <w:t> dans la région de Gagnoa.</w:t>
      </w:r>
    </w:p>
    <w:p>
      <w:pPr>
        <w:pStyle w:val="BodyText"/>
        <w:spacing w:before="120"/>
        <w:ind w:right="104" w:firstLine="283"/>
      </w:pPr>
      <w:r>
        <w:rPr>
          <w:color w:val="231F20"/>
        </w:rPr>
        <w:t>Au niveau des Agni du Sanwi, dès le 18 </w:t>
      </w:r>
      <w:r>
        <w:rPr>
          <w:color w:val="231F20"/>
          <w:vertAlign w:val="superscript"/>
        </w:rPr>
        <w:t>ème</w:t>
      </w:r>
      <w:r>
        <w:rPr>
          <w:color w:val="231F20"/>
          <w:vertAlign w:val="baseline"/>
        </w:rPr>
        <w:t> siècle, des navigateurs </w:t>
      </w:r>
      <w:r>
        <w:rPr>
          <w:color w:val="231F20"/>
          <w:spacing w:val="-2"/>
          <w:vertAlign w:val="baseline"/>
        </w:rPr>
        <w:t>européens</w:t>
      </w:r>
      <w:r>
        <w:rPr>
          <w:color w:val="231F20"/>
          <w:spacing w:val="-7"/>
          <w:vertAlign w:val="baseline"/>
        </w:rPr>
        <w:t> </w:t>
      </w:r>
      <w:r>
        <w:rPr>
          <w:color w:val="231F20"/>
          <w:spacing w:val="-2"/>
          <w:vertAlign w:val="baseline"/>
        </w:rPr>
        <w:t>s’établissent</w:t>
      </w:r>
      <w:r>
        <w:rPr>
          <w:color w:val="231F20"/>
          <w:spacing w:val="-6"/>
          <w:vertAlign w:val="baseline"/>
        </w:rPr>
        <w:t> </w:t>
      </w:r>
      <w:r>
        <w:rPr>
          <w:color w:val="231F20"/>
          <w:spacing w:val="-2"/>
          <w:vertAlign w:val="baseline"/>
        </w:rPr>
        <w:t>à</w:t>
      </w:r>
      <w:r>
        <w:rPr>
          <w:color w:val="231F20"/>
          <w:spacing w:val="-10"/>
          <w:vertAlign w:val="baseline"/>
        </w:rPr>
        <w:t> </w:t>
      </w:r>
      <w:r>
        <w:rPr>
          <w:color w:val="231F20"/>
          <w:spacing w:val="-2"/>
          <w:vertAlign w:val="baseline"/>
        </w:rPr>
        <w:t>Assinie</w:t>
      </w:r>
      <w:r>
        <w:rPr>
          <w:color w:val="231F20"/>
          <w:spacing w:val="-7"/>
          <w:vertAlign w:val="baseline"/>
        </w:rPr>
        <w:t> </w:t>
      </w:r>
      <w:r>
        <w:rPr>
          <w:color w:val="231F20"/>
          <w:spacing w:val="-2"/>
          <w:vertAlign w:val="baseline"/>
        </w:rPr>
        <w:t>dans</w:t>
      </w:r>
      <w:r>
        <w:rPr>
          <w:color w:val="231F20"/>
          <w:spacing w:val="-7"/>
          <w:vertAlign w:val="baseline"/>
        </w:rPr>
        <w:t> </w:t>
      </w:r>
      <w:r>
        <w:rPr>
          <w:color w:val="231F20"/>
          <w:spacing w:val="-2"/>
          <w:vertAlign w:val="baseline"/>
        </w:rPr>
        <w:t>la</w:t>
      </w:r>
      <w:r>
        <w:rPr>
          <w:color w:val="231F20"/>
          <w:spacing w:val="-7"/>
          <w:vertAlign w:val="baseline"/>
        </w:rPr>
        <w:t> </w:t>
      </w:r>
      <w:r>
        <w:rPr>
          <w:color w:val="231F20"/>
          <w:spacing w:val="-2"/>
          <w:vertAlign w:val="baseline"/>
        </w:rPr>
        <w:t>région</w:t>
      </w:r>
      <w:r>
        <w:rPr>
          <w:color w:val="231F20"/>
          <w:spacing w:val="-9"/>
          <w:vertAlign w:val="baseline"/>
        </w:rPr>
        <w:t> </w:t>
      </w:r>
      <w:r>
        <w:rPr>
          <w:color w:val="231F20"/>
          <w:spacing w:val="-2"/>
          <w:vertAlign w:val="baseline"/>
        </w:rPr>
        <w:t>d’Aboisso</w:t>
      </w:r>
      <w:r>
        <w:rPr>
          <w:color w:val="231F20"/>
          <w:spacing w:val="-7"/>
          <w:vertAlign w:val="baseline"/>
        </w:rPr>
        <w:t> </w:t>
      </w:r>
      <w:r>
        <w:rPr>
          <w:color w:val="231F20"/>
          <w:spacing w:val="-2"/>
          <w:vertAlign w:val="baseline"/>
        </w:rPr>
        <w:t>située</w:t>
      </w:r>
      <w:r>
        <w:rPr>
          <w:color w:val="231F20"/>
          <w:spacing w:val="-7"/>
          <w:vertAlign w:val="baseline"/>
        </w:rPr>
        <w:t> </w:t>
      </w:r>
      <w:r>
        <w:rPr>
          <w:color w:val="231F20"/>
          <w:spacing w:val="-2"/>
          <w:vertAlign w:val="baseline"/>
        </w:rPr>
        <w:t>dans</w:t>
      </w:r>
      <w:r>
        <w:rPr>
          <w:color w:val="231F20"/>
          <w:spacing w:val="-9"/>
          <w:vertAlign w:val="baseline"/>
        </w:rPr>
        <w:t> </w:t>
      </w:r>
      <w:r>
        <w:rPr>
          <w:color w:val="231F20"/>
          <w:spacing w:val="-2"/>
          <w:vertAlign w:val="baseline"/>
        </w:rPr>
        <w:t>le Sud-Est</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Côte</w:t>
      </w:r>
      <w:r>
        <w:rPr>
          <w:color w:val="231F20"/>
          <w:spacing w:val="-13"/>
          <w:vertAlign w:val="baseline"/>
        </w:rPr>
        <w:t> </w:t>
      </w:r>
      <w:r>
        <w:rPr>
          <w:color w:val="231F20"/>
          <w:spacing w:val="-2"/>
          <w:vertAlign w:val="baseline"/>
        </w:rPr>
        <w:t>d’Ivoire.</w:t>
      </w:r>
      <w:r>
        <w:rPr>
          <w:color w:val="231F20"/>
          <w:spacing w:val="-11"/>
          <w:vertAlign w:val="baseline"/>
        </w:rPr>
        <w:t> </w:t>
      </w:r>
      <w:r>
        <w:rPr>
          <w:color w:val="231F20"/>
          <w:spacing w:val="-2"/>
          <w:vertAlign w:val="baseline"/>
        </w:rPr>
        <w:t>Après</w:t>
      </w:r>
      <w:r>
        <w:rPr>
          <w:color w:val="231F20"/>
          <w:spacing w:val="-13"/>
          <w:vertAlign w:val="baseline"/>
        </w:rPr>
        <w:t> </w:t>
      </w:r>
      <w:r>
        <w:rPr>
          <w:color w:val="231F20"/>
          <w:spacing w:val="-2"/>
          <w:vertAlign w:val="baseline"/>
        </w:rPr>
        <w:t>les</w:t>
      </w:r>
      <w:r>
        <w:rPr>
          <w:color w:val="231F20"/>
          <w:spacing w:val="-13"/>
          <w:vertAlign w:val="baseline"/>
        </w:rPr>
        <w:t> </w:t>
      </w:r>
      <w:r>
        <w:rPr>
          <w:color w:val="231F20"/>
          <w:spacing w:val="-2"/>
          <w:vertAlign w:val="baseline"/>
        </w:rPr>
        <w:t>comptoirs</w:t>
      </w:r>
      <w:r>
        <w:rPr>
          <w:color w:val="231F20"/>
          <w:spacing w:val="-13"/>
          <w:vertAlign w:val="baseline"/>
        </w:rPr>
        <w:t> </w:t>
      </w:r>
      <w:r>
        <w:rPr>
          <w:color w:val="231F20"/>
          <w:spacing w:val="-2"/>
          <w:vertAlign w:val="baseline"/>
        </w:rPr>
        <w:t>commerciaux,</w:t>
      </w:r>
      <w:r>
        <w:rPr>
          <w:color w:val="231F20"/>
          <w:spacing w:val="-13"/>
          <w:vertAlign w:val="baseline"/>
        </w:rPr>
        <w:t> </w:t>
      </w:r>
      <w:r>
        <w:rPr>
          <w:color w:val="231F20"/>
          <w:spacing w:val="-2"/>
          <w:vertAlign w:val="baseline"/>
        </w:rPr>
        <w:t>ils</w:t>
      </w:r>
      <w:r>
        <w:rPr>
          <w:color w:val="231F20"/>
          <w:spacing w:val="-13"/>
          <w:vertAlign w:val="baseline"/>
        </w:rPr>
        <w:t> </w:t>
      </w:r>
      <w:r>
        <w:rPr>
          <w:color w:val="231F20"/>
          <w:spacing w:val="-2"/>
          <w:vertAlign w:val="baseline"/>
        </w:rPr>
        <w:t>créent </w:t>
      </w:r>
      <w:r>
        <w:rPr>
          <w:color w:val="231F20"/>
          <w:vertAlign w:val="baseline"/>
        </w:rPr>
        <w:t>des écoles. Les premiers cadres et intellectuels de la colonie de Côte </w:t>
      </w:r>
      <w:r>
        <w:rPr>
          <w:color w:val="231F20"/>
          <w:spacing w:val="-4"/>
          <w:vertAlign w:val="baseline"/>
        </w:rPr>
        <w:t>d’ivoire sortent</w:t>
      </w:r>
      <w:r>
        <w:rPr>
          <w:color w:val="231F20"/>
          <w:spacing w:val="-7"/>
          <w:vertAlign w:val="baseline"/>
        </w:rPr>
        <w:t> </w:t>
      </w:r>
      <w:r>
        <w:rPr>
          <w:color w:val="231F20"/>
          <w:spacing w:val="-4"/>
          <w:vertAlign w:val="baseline"/>
        </w:rPr>
        <w:t>de ces</w:t>
      </w:r>
      <w:r>
        <w:rPr>
          <w:color w:val="231F20"/>
          <w:spacing w:val="-6"/>
          <w:vertAlign w:val="baseline"/>
        </w:rPr>
        <w:t> </w:t>
      </w:r>
      <w:r>
        <w:rPr>
          <w:color w:val="231F20"/>
          <w:spacing w:val="-4"/>
          <w:vertAlign w:val="baseline"/>
        </w:rPr>
        <w:t>écoles.</w:t>
      </w:r>
      <w:r>
        <w:rPr>
          <w:color w:val="231F20"/>
          <w:spacing w:val="-6"/>
          <w:vertAlign w:val="baseline"/>
        </w:rPr>
        <w:t> </w:t>
      </w:r>
      <w:r>
        <w:rPr>
          <w:color w:val="231F20"/>
          <w:spacing w:val="-4"/>
          <w:vertAlign w:val="baseline"/>
        </w:rPr>
        <w:t>Dans</w:t>
      </w:r>
      <w:r>
        <w:rPr>
          <w:color w:val="231F20"/>
          <w:spacing w:val="-6"/>
          <w:vertAlign w:val="baseline"/>
        </w:rPr>
        <w:t> </w:t>
      </w:r>
      <w:r>
        <w:rPr>
          <w:color w:val="231F20"/>
          <w:spacing w:val="-4"/>
          <w:vertAlign w:val="baseline"/>
        </w:rPr>
        <w:t>cette</w:t>
      </w:r>
      <w:r>
        <w:rPr>
          <w:color w:val="231F20"/>
          <w:spacing w:val="-7"/>
          <w:vertAlign w:val="baseline"/>
        </w:rPr>
        <w:t> </w:t>
      </w:r>
      <w:r>
        <w:rPr>
          <w:color w:val="231F20"/>
          <w:spacing w:val="-4"/>
          <w:vertAlign w:val="baseline"/>
        </w:rPr>
        <w:t>région,</w:t>
      </w:r>
      <w:r>
        <w:rPr>
          <w:color w:val="231F20"/>
          <w:spacing w:val="-6"/>
          <w:vertAlign w:val="baseline"/>
        </w:rPr>
        <w:t> </w:t>
      </w:r>
      <w:r>
        <w:rPr>
          <w:color w:val="231F20"/>
          <w:spacing w:val="-4"/>
          <w:vertAlign w:val="baseline"/>
        </w:rPr>
        <w:t>les</w:t>
      </w:r>
      <w:r>
        <w:rPr>
          <w:color w:val="231F20"/>
          <w:spacing w:val="-6"/>
          <w:vertAlign w:val="baseline"/>
        </w:rPr>
        <w:t> </w:t>
      </w:r>
      <w:r>
        <w:rPr>
          <w:color w:val="231F20"/>
          <w:spacing w:val="-4"/>
          <w:vertAlign w:val="baseline"/>
        </w:rPr>
        <w:t>colons</w:t>
      </w:r>
      <w:r>
        <w:rPr>
          <w:color w:val="231F20"/>
          <w:spacing w:val="-9"/>
          <w:vertAlign w:val="baseline"/>
        </w:rPr>
        <w:t> </w:t>
      </w:r>
      <w:r>
        <w:rPr>
          <w:color w:val="231F20"/>
          <w:spacing w:val="-4"/>
          <w:vertAlign w:val="baseline"/>
        </w:rPr>
        <w:t>introduisent le </w:t>
      </w:r>
      <w:r>
        <w:rPr>
          <w:color w:val="231F20"/>
          <w:spacing w:val="-2"/>
          <w:vertAlign w:val="baseline"/>
        </w:rPr>
        <w:t>café</w:t>
      </w:r>
      <w:r>
        <w:rPr>
          <w:color w:val="231F20"/>
          <w:spacing w:val="-15"/>
          <w:vertAlign w:val="baseline"/>
        </w:rPr>
        <w:t> </w:t>
      </w:r>
      <w:r>
        <w:rPr>
          <w:color w:val="231F20"/>
          <w:spacing w:val="-2"/>
          <w:vertAlign w:val="baseline"/>
        </w:rPr>
        <w:t>et</w:t>
      </w:r>
      <w:r>
        <w:rPr>
          <w:color w:val="231F20"/>
          <w:spacing w:val="-13"/>
          <w:vertAlign w:val="baseline"/>
        </w:rPr>
        <w:t> </w:t>
      </w:r>
      <w:r>
        <w:rPr>
          <w:color w:val="231F20"/>
          <w:spacing w:val="-2"/>
          <w:vertAlign w:val="baseline"/>
        </w:rPr>
        <w:t>le</w:t>
      </w:r>
      <w:r>
        <w:rPr>
          <w:color w:val="231F20"/>
          <w:spacing w:val="-13"/>
          <w:vertAlign w:val="baseline"/>
        </w:rPr>
        <w:t> </w:t>
      </w:r>
      <w:r>
        <w:rPr>
          <w:color w:val="231F20"/>
          <w:spacing w:val="-2"/>
          <w:vertAlign w:val="baseline"/>
        </w:rPr>
        <w:t>cacao</w:t>
      </w:r>
      <w:r>
        <w:rPr>
          <w:color w:val="231F20"/>
          <w:spacing w:val="-13"/>
          <w:vertAlign w:val="baseline"/>
        </w:rPr>
        <w:t> </w:t>
      </w:r>
      <w:r>
        <w:rPr>
          <w:color w:val="231F20"/>
          <w:spacing w:val="-2"/>
          <w:vertAlign w:val="baseline"/>
        </w:rPr>
        <w:t>qui</w:t>
      </w:r>
      <w:r>
        <w:rPr>
          <w:color w:val="231F20"/>
          <w:spacing w:val="-13"/>
          <w:vertAlign w:val="baseline"/>
        </w:rPr>
        <w:t> </w:t>
      </w:r>
      <w:r>
        <w:rPr>
          <w:color w:val="231F20"/>
          <w:spacing w:val="-2"/>
          <w:vertAlign w:val="baseline"/>
        </w:rPr>
        <w:t>vont</w:t>
      </w:r>
      <w:r>
        <w:rPr>
          <w:color w:val="231F20"/>
          <w:spacing w:val="-13"/>
          <w:vertAlign w:val="baseline"/>
        </w:rPr>
        <w:t> </w:t>
      </w:r>
      <w:r>
        <w:rPr>
          <w:color w:val="231F20"/>
          <w:spacing w:val="-2"/>
          <w:vertAlign w:val="baseline"/>
        </w:rPr>
        <w:t>créer</w:t>
      </w:r>
      <w:r>
        <w:rPr>
          <w:color w:val="231F20"/>
          <w:spacing w:val="-13"/>
          <w:vertAlign w:val="baseline"/>
        </w:rPr>
        <w:t> </w:t>
      </w:r>
      <w:r>
        <w:rPr>
          <w:color w:val="231F20"/>
          <w:spacing w:val="-2"/>
          <w:vertAlign w:val="baseline"/>
        </w:rPr>
        <w:t>une</w:t>
      </w:r>
      <w:r>
        <w:rPr>
          <w:color w:val="231F20"/>
          <w:spacing w:val="-13"/>
          <w:vertAlign w:val="baseline"/>
        </w:rPr>
        <w:t> </w:t>
      </w:r>
      <w:r>
        <w:rPr>
          <w:color w:val="231F20"/>
          <w:spacing w:val="-2"/>
          <w:vertAlign w:val="baseline"/>
        </w:rPr>
        <w:t>classe</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riches</w:t>
      </w:r>
      <w:r>
        <w:rPr>
          <w:color w:val="231F20"/>
          <w:spacing w:val="-13"/>
          <w:vertAlign w:val="baseline"/>
        </w:rPr>
        <w:t> </w:t>
      </w:r>
      <w:r>
        <w:rPr>
          <w:color w:val="231F20"/>
          <w:spacing w:val="-2"/>
          <w:vertAlign w:val="baseline"/>
        </w:rPr>
        <w:t>planteurs</w:t>
      </w:r>
      <w:r>
        <w:rPr>
          <w:color w:val="231F20"/>
          <w:spacing w:val="-13"/>
          <w:vertAlign w:val="baseline"/>
        </w:rPr>
        <w:t> </w:t>
      </w:r>
      <w:r>
        <w:rPr>
          <w:color w:val="231F20"/>
          <w:spacing w:val="-2"/>
          <w:vertAlign w:val="baseline"/>
        </w:rPr>
        <w:t>et</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paysans </w:t>
      </w:r>
      <w:r>
        <w:rPr>
          <w:color w:val="231F20"/>
          <w:vertAlign w:val="baseline"/>
        </w:rPr>
        <w:t>relativement</w:t>
      </w:r>
      <w:r>
        <w:rPr>
          <w:color w:val="231F20"/>
          <w:spacing w:val="-15"/>
          <w:vertAlign w:val="baseline"/>
        </w:rPr>
        <w:t> </w:t>
      </w:r>
      <w:r>
        <w:rPr>
          <w:color w:val="231F20"/>
          <w:vertAlign w:val="baseline"/>
        </w:rPr>
        <w:t>aisés.</w:t>
      </w:r>
      <w:r>
        <w:rPr>
          <w:color w:val="231F20"/>
          <w:spacing w:val="-15"/>
          <w:vertAlign w:val="baseline"/>
        </w:rPr>
        <w:t> </w:t>
      </w:r>
      <w:r>
        <w:rPr>
          <w:color w:val="231F20"/>
          <w:vertAlign w:val="baseline"/>
        </w:rPr>
        <w:t>Être</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premiers</w:t>
      </w:r>
      <w:r>
        <w:rPr>
          <w:color w:val="231F20"/>
          <w:spacing w:val="-15"/>
          <w:vertAlign w:val="baseline"/>
        </w:rPr>
        <w:t> </w:t>
      </w:r>
      <w:r>
        <w:rPr>
          <w:color w:val="231F20"/>
          <w:vertAlign w:val="baseline"/>
        </w:rPr>
        <w:t>cadres</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intellectuels</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colonie, être</w:t>
      </w:r>
      <w:r>
        <w:rPr>
          <w:color w:val="231F20"/>
          <w:spacing w:val="-12"/>
          <w:vertAlign w:val="baseline"/>
        </w:rPr>
        <w:t> </w:t>
      </w:r>
      <w:r>
        <w:rPr>
          <w:color w:val="231F20"/>
          <w:vertAlign w:val="baseline"/>
        </w:rPr>
        <w:t>les</w:t>
      </w:r>
      <w:r>
        <w:rPr>
          <w:color w:val="231F20"/>
          <w:spacing w:val="-12"/>
          <w:vertAlign w:val="baseline"/>
        </w:rPr>
        <w:t> </w:t>
      </w:r>
      <w:r>
        <w:rPr>
          <w:color w:val="231F20"/>
          <w:vertAlign w:val="baseline"/>
        </w:rPr>
        <w:t>premiers</w:t>
      </w:r>
      <w:r>
        <w:rPr>
          <w:color w:val="231F20"/>
          <w:spacing w:val="-12"/>
          <w:vertAlign w:val="baseline"/>
        </w:rPr>
        <w:t> </w:t>
      </w:r>
      <w:r>
        <w:rPr>
          <w:color w:val="231F20"/>
          <w:vertAlign w:val="baseline"/>
        </w:rPr>
        <w:t>à</w:t>
      </w:r>
      <w:r>
        <w:rPr>
          <w:color w:val="231F20"/>
          <w:spacing w:val="-12"/>
          <w:vertAlign w:val="baseline"/>
        </w:rPr>
        <w:t> </w:t>
      </w:r>
      <w:r>
        <w:rPr>
          <w:color w:val="231F20"/>
          <w:vertAlign w:val="baseline"/>
        </w:rPr>
        <w:t>vivre</w:t>
      </w:r>
      <w:r>
        <w:rPr>
          <w:color w:val="231F20"/>
          <w:spacing w:val="-12"/>
          <w:vertAlign w:val="baseline"/>
        </w:rPr>
        <w:t> </w:t>
      </w:r>
      <w:r>
        <w:rPr>
          <w:color w:val="231F20"/>
          <w:vertAlign w:val="baseline"/>
        </w:rPr>
        <w:t>des</w:t>
      </w:r>
      <w:r>
        <w:rPr>
          <w:color w:val="231F20"/>
          <w:spacing w:val="-10"/>
          <w:vertAlign w:val="baseline"/>
        </w:rPr>
        <w:t> </w:t>
      </w:r>
      <w:r>
        <w:rPr>
          <w:color w:val="231F20"/>
          <w:vertAlign w:val="baseline"/>
        </w:rPr>
        <w:t>richesses</w:t>
      </w:r>
      <w:r>
        <w:rPr>
          <w:color w:val="231F20"/>
          <w:spacing w:val="-13"/>
          <w:vertAlign w:val="baseline"/>
        </w:rPr>
        <w:t> </w:t>
      </w:r>
      <w:r>
        <w:rPr>
          <w:color w:val="231F20"/>
          <w:vertAlign w:val="baseline"/>
        </w:rPr>
        <w:t>procurées</w:t>
      </w:r>
      <w:r>
        <w:rPr>
          <w:color w:val="231F20"/>
          <w:spacing w:val="-12"/>
          <w:vertAlign w:val="baseline"/>
        </w:rPr>
        <w:t> </w:t>
      </w:r>
      <w:r>
        <w:rPr>
          <w:color w:val="231F20"/>
          <w:vertAlign w:val="baseline"/>
        </w:rPr>
        <w:t>par</w:t>
      </w:r>
      <w:r>
        <w:rPr>
          <w:color w:val="231F20"/>
          <w:spacing w:val="-13"/>
          <w:vertAlign w:val="baseline"/>
        </w:rPr>
        <w:t> </w:t>
      </w:r>
      <w:r>
        <w:rPr>
          <w:color w:val="231F20"/>
          <w:vertAlign w:val="baseline"/>
        </w:rPr>
        <w:t>la</w:t>
      </w:r>
      <w:r>
        <w:rPr>
          <w:color w:val="231F20"/>
          <w:spacing w:val="-12"/>
          <w:vertAlign w:val="baseline"/>
        </w:rPr>
        <w:t> </w:t>
      </w:r>
      <w:r>
        <w:rPr>
          <w:color w:val="231F20"/>
          <w:vertAlign w:val="baseline"/>
        </w:rPr>
        <w:t>culture</w:t>
      </w:r>
      <w:r>
        <w:rPr>
          <w:color w:val="231F20"/>
          <w:spacing w:val="-12"/>
          <w:vertAlign w:val="baseline"/>
        </w:rPr>
        <w:t> </w:t>
      </w:r>
      <w:r>
        <w:rPr>
          <w:color w:val="231F20"/>
          <w:vertAlign w:val="baseline"/>
        </w:rPr>
        <w:t>du</w:t>
      </w:r>
      <w:r>
        <w:rPr>
          <w:color w:val="231F20"/>
          <w:spacing w:val="-11"/>
          <w:vertAlign w:val="baseline"/>
        </w:rPr>
        <w:t> </w:t>
      </w:r>
      <w:r>
        <w:rPr>
          <w:color w:val="231F20"/>
          <w:vertAlign w:val="baseline"/>
        </w:rPr>
        <w:t>café</w:t>
      </w:r>
      <w:r>
        <w:rPr>
          <w:color w:val="231F20"/>
          <w:spacing w:val="-12"/>
          <w:vertAlign w:val="baseline"/>
        </w:rPr>
        <w:t> </w:t>
      </w:r>
      <w:r>
        <w:rPr>
          <w:color w:val="231F20"/>
          <w:vertAlign w:val="baseline"/>
        </w:rPr>
        <w:t>et du cacao, cela développe chez certains cadres du Sanwi un ethnocentrisme. Ils créent à Abidjan, l’Association des Cadres et Travailleurs du Sanwi dont les membres sont tous essentiellement </w:t>
      </w:r>
      <w:r>
        <w:rPr>
          <w:color w:val="231F20"/>
          <w:spacing w:val="-2"/>
          <w:vertAlign w:val="baseline"/>
        </w:rPr>
        <w:t>originaires</w:t>
      </w:r>
      <w:r>
        <w:rPr>
          <w:color w:val="231F20"/>
          <w:spacing w:val="-15"/>
          <w:vertAlign w:val="baseline"/>
        </w:rPr>
        <w:t> </w:t>
      </w:r>
      <w:r>
        <w:rPr>
          <w:color w:val="231F20"/>
          <w:spacing w:val="-2"/>
          <w:vertAlign w:val="baseline"/>
        </w:rPr>
        <w:t>du</w:t>
      </w:r>
      <w:r>
        <w:rPr>
          <w:color w:val="231F20"/>
          <w:spacing w:val="-13"/>
          <w:vertAlign w:val="baseline"/>
        </w:rPr>
        <w:t> </w:t>
      </w:r>
      <w:r>
        <w:rPr>
          <w:color w:val="231F20"/>
          <w:spacing w:val="-2"/>
          <w:vertAlign w:val="baseline"/>
        </w:rPr>
        <w:t>cercle</w:t>
      </w:r>
      <w:r>
        <w:rPr>
          <w:color w:val="231F20"/>
          <w:spacing w:val="-13"/>
          <w:vertAlign w:val="baseline"/>
        </w:rPr>
        <w:t> </w:t>
      </w:r>
      <w:r>
        <w:rPr>
          <w:color w:val="231F20"/>
          <w:spacing w:val="-2"/>
          <w:vertAlign w:val="baseline"/>
        </w:rPr>
        <w:t>d’Aboisso</w:t>
      </w:r>
      <w:r>
        <w:rPr>
          <w:color w:val="231F20"/>
          <w:spacing w:val="-13"/>
          <w:vertAlign w:val="baseline"/>
        </w:rPr>
        <w:t> </w:t>
      </w:r>
      <w:r>
        <w:rPr>
          <w:color w:val="231F20"/>
          <w:spacing w:val="-2"/>
          <w:vertAlign w:val="baseline"/>
        </w:rPr>
        <w:t>qui</w:t>
      </w:r>
      <w:r>
        <w:rPr>
          <w:color w:val="231F20"/>
          <w:spacing w:val="-13"/>
          <w:vertAlign w:val="baseline"/>
        </w:rPr>
        <w:t> </w:t>
      </w:r>
      <w:r>
        <w:rPr>
          <w:color w:val="231F20"/>
          <w:spacing w:val="-2"/>
          <w:vertAlign w:val="baseline"/>
        </w:rPr>
        <w:t>couvre</w:t>
      </w:r>
      <w:r>
        <w:rPr>
          <w:color w:val="231F20"/>
          <w:spacing w:val="-13"/>
          <w:vertAlign w:val="baseline"/>
        </w:rPr>
        <w:t> </w:t>
      </w:r>
      <w:r>
        <w:rPr>
          <w:color w:val="231F20"/>
          <w:spacing w:val="-2"/>
          <w:vertAlign w:val="baseline"/>
        </w:rPr>
        <w:t>une</w:t>
      </w:r>
      <w:r>
        <w:rPr>
          <w:color w:val="231F20"/>
          <w:spacing w:val="-13"/>
          <w:vertAlign w:val="baseline"/>
        </w:rPr>
        <w:t> </w:t>
      </w:r>
      <w:r>
        <w:rPr>
          <w:color w:val="231F20"/>
          <w:spacing w:val="-2"/>
          <w:vertAlign w:val="baseline"/>
        </w:rPr>
        <w:t>superficie</w:t>
      </w:r>
      <w:r>
        <w:rPr>
          <w:color w:val="231F20"/>
          <w:spacing w:val="-13"/>
          <w:vertAlign w:val="baseline"/>
        </w:rPr>
        <w:t> </w:t>
      </w:r>
      <w:r>
        <w:rPr>
          <w:color w:val="231F20"/>
          <w:spacing w:val="-2"/>
          <w:vertAlign w:val="baseline"/>
        </w:rPr>
        <w:t>d’environ</w:t>
      </w:r>
      <w:r>
        <w:rPr>
          <w:color w:val="231F20"/>
          <w:spacing w:val="-13"/>
          <w:vertAlign w:val="baseline"/>
        </w:rPr>
        <w:t> </w:t>
      </w:r>
      <w:r>
        <w:rPr>
          <w:color w:val="231F20"/>
          <w:spacing w:val="-2"/>
          <w:vertAlign w:val="baseline"/>
        </w:rPr>
        <w:t>6000 </w:t>
      </w:r>
      <w:r>
        <w:rPr>
          <w:color w:val="231F20"/>
          <w:vertAlign w:val="baseline"/>
        </w:rPr>
        <w:t>km²</w:t>
      </w:r>
      <w:r>
        <w:rPr>
          <w:color w:val="231F20"/>
          <w:spacing w:val="-15"/>
          <w:vertAlign w:val="baseline"/>
        </w:rPr>
        <w:t> </w:t>
      </w:r>
      <w:r>
        <w:rPr>
          <w:color w:val="231F20"/>
          <w:vertAlign w:val="baseline"/>
        </w:rPr>
        <w:t>peuplé</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40</w:t>
      </w:r>
      <w:r>
        <w:rPr>
          <w:color w:val="231F20"/>
          <w:spacing w:val="-15"/>
          <w:vertAlign w:val="baseline"/>
        </w:rPr>
        <w:t> </w:t>
      </w:r>
      <w:r>
        <w:rPr>
          <w:color w:val="231F20"/>
          <w:vertAlign w:val="baseline"/>
        </w:rPr>
        <w:t>000</w:t>
      </w:r>
      <w:r>
        <w:rPr>
          <w:color w:val="231F20"/>
          <w:spacing w:val="-15"/>
          <w:vertAlign w:val="baseline"/>
        </w:rPr>
        <w:t> </w:t>
      </w:r>
      <w:r>
        <w:rPr>
          <w:color w:val="231F20"/>
          <w:vertAlign w:val="baseline"/>
        </w:rPr>
        <w:t>habitants</w:t>
      </w:r>
      <w:r>
        <w:rPr>
          <w:color w:val="231F20"/>
          <w:spacing w:val="-15"/>
          <w:vertAlign w:val="baseline"/>
        </w:rPr>
        <w:t> </w:t>
      </w:r>
      <w:r>
        <w:rPr>
          <w:color w:val="231F20"/>
          <w:vertAlign w:val="baseline"/>
        </w:rPr>
        <w:t>répartis</w:t>
      </w:r>
      <w:r>
        <w:rPr>
          <w:color w:val="231F20"/>
          <w:spacing w:val="-15"/>
          <w:vertAlign w:val="baseline"/>
        </w:rPr>
        <w:t> </w:t>
      </w:r>
      <w:r>
        <w:rPr>
          <w:color w:val="231F20"/>
          <w:vertAlign w:val="baseline"/>
        </w:rPr>
        <w:t>sur</w:t>
      </w:r>
      <w:r>
        <w:rPr>
          <w:color w:val="231F20"/>
          <w:spacing w:val="-15"/>
          <w:vertAlign w:val="baseline"/>
        </w:rPr>
        <w:t> </w:t>
      </w:r>
      <w:r>
        <w:rPr>
          <w:color w:val="231F20"/>
          <w:vertAlign w:val="baseline"/>
        </w:rPr>
        <w:t>une</w:t>
      </w:r>
      <w:r>
        <w:rPr>
          <w:color w:val="231F20"/>
          <w:spacing w:val="-15"/>
          <w:vertAlign w:val="baseline"/>
        </w:rPr>
        <w:t> </w:t>
      </w:r>
      <w:r>
        <w:rPr>
          <w:color w:val="231F20"/>
          <w:vertAlign w:val="baseline"/>
        </w:rPr>
        <w:t>vingtaine</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villages</w:t>
      </w:r>
      <w:r>
        <w:rPr>
          <w:color w:val="231F20"/>
          <w:spacing w:val="-15"/>
          <w:vertAlign w:val="baseline"/>
        </w:rPr>
        <w:t> </w:t>
      </w:r>
      <w:r>
        <w:rPr>
          <w:color w:val="231F20"/>
          <w:vertAlign w:val="baseline"/>
        </w:rPr>
        <w:t>des deux ethnies Agni et Éhotilé.</w:t>
      </w:r>
    </w:p>
    <w:p>
      <w:pPr>
        <w:pStyle w:val="BodyText"/>
        <w:spacing w:before="121"/>
        <w:ind w:right="102" w:firstLine="283"/>
      </w:pPr>
      <w:r>
        <w:rPr>
          <w:color w:val="231F20"/>
        </w:rPr>
        <w:t>En</w:t>
      </w:r>
      <w:r>
        <w:rPr>
          <w:color w:val="231F20"/>
          <w:spacing w:val="-11"/>
        </w:rPr>
        <w:t> </w:t>
      </w:r>
      <w:r>
        <w:rPr>
          <w:color w:val="231F20"/>
        </w:rPr>
        <w:t>1959,</w:t>
      </w:r>
      <w:r>
        <w:rPr>
          <w:color w:val="231F20"/>
          <w:spacing w:val="-11"/>
        </w:rPr>
        <w:t> </w:t>
      </w:r>
      <w:r>
        <w:rPr>
          <w:color w:val="231F20"/>
        </w:rPr>
        <w:t>un</w:t>
      </w:r>
      <w:r>
        <w:rPr>
          <w:color w:val="231F20"/>
          <w:spacing w:val="-13"/>
        </w:rPr>
        <w:t> </w:t>
      </w:r>
      <w:r>
        <w:rPr>
          <w:color w:val="231F20"/>
        </w:rPr>
        <w:t>conflit</w:t>
      </w:r>
      <w:r>
        <w:rPr>
          <w:color w:val="231F20"/>
          <w:spacing w:val="-11"/>
        </w:rPr>
        <w:t> </w:t>
      </w:r>
      <w:r>
        <w:rPr>
          <w:color w:val="231F20"/>
        </w:rPr>
        <w:t>foncier</w:t>
      </w:r>
      <w:r>
        <w:rPr>
          <w:color w:val="231F20"/>
          <w:spacing w:val="-11"/>
        </w:rPr>
        <w:t> </w:t>
      </w:r>
      <w:r>
        <w:rPr>
          <w:color w:val="231F20"/>
        </w:rPr>
        <w:t>éclate</w:t>
      </w:r>
      <w:r>
        <w:rPr>
          <w:color w:val="231F20"/>
          <w:spacing w:val="-11"/>
        </w:rPr>
        <w:t> </w:t>
      </w:r>
      <w:r>
        <w:rPr>
          <w:color w:val="231F20"/>
        </w:rPr>
        <w:t>entre</w:t>
      </w:r>
      <w:r>
        <w:rPr>
          <w:color w:val="231F20"/>
          <w:spacing w:val="-11"/>
        </w:rPr>
        <w:t> </w:t>
      </w:r>
      <w:r>
        <w:rPr>
          <w:color w:val="231F20"/>
        </w:rPr>
        <w:t>deux</w:t>
      </w:r>
      <w:r>
        <w:rPr>
          <w:color w:val="231F20"/>
          <w:spacing w:val="-11"/>
        </w:rPr>
        <w:t> </w:t>
      </w:r>
      <w:r>
        <w:rPr>
          <w:color w:val="231F20"/>
        </w:rPr>
        <w:t>villages</w:t>
      </w:r>
      <w:r>
        <w:rPr>
          <w:color w:val="231F20"/>
          <w:spacing w:val="-11"/>
        </w:rPr>
        <w:t> </w:t>
      </w:r>
      <w:r>
        <w:rPr>
          <w:color w:val="231F20"/>
        </w:rPr>
        <w:t>de</w:t>
      </w:r>
      <w:r>
        <w:rPr>
          <w:color w:val="231F20"/>
          <w:spacing w:val="-11"/>
        </w:rPr>
        <w:t> </w:t>
      </w:r>
      <w:r>
        <w:rPr>
          <w:color w:val="231F20"/>
        </w:rPr>
        <w:t>la</w:t>
      </w:r>
      <w:r>
        <w:rPr>
          <w:color w:val="231F20"/>
          <w:spacing w:val="-11"/>
        </w:rPr>
        <w:t> </w:t>
      </w:r>
      <w:r>
        <w:rPr>
          <w:color w:val="231F20"/>
        </w:rPr>
        <w:t>région</w:t>
      </w:r>
      <w:r>
        <w:rPr>
          <w:color w:val="231F20"/>
          <w:spacing w:val="-12"/>
        </w:rPr>
        <w:t> </w:t>
      </w:r>
      <w:r>
        <w:rPr>
          <w:color w:val="231F20"/>
        </w:rPr>
        <w:t>:</w:t>
      </w:r>
      <w:r>
        <w:rPr>
          <w:color w:val="231F20"/>
          <w:spacing w:val="-11"/>
        </w:rPr>
        <w:t> </w:t>
      </w:r>
      <w:r>
        <w:rPr>
          <w:color w:val="231F20"/>
        </w:rPr>
        <w:t>le village</w:t>
      </w:r>
      <w:r>
        <w:rPr>
          <w:color w:val="231F20"/>
          <w:spacing w:val="-15"/>
        </w:rPr>
        <w:t> </w:t>
      </w:r>
      <w:r>
        <w:rPr>
          <w:color w:val="231F20"/>
        </w:rPr>
        <w:t>Aby</w:t>
      </w:r>
      <w:r>
        <w:rPr>
          <w:color w:val="231F20"/>
          <w:spacing w:val="-15"/>
        </w:rPr>
        <w:t> </w:t>
      </w:r>
      <w:r>
        <w:rPr>
          <w:color w:val="231F20"/>
        </w:rPr>
        <w:t>(Sanwi),</w:t>
      </w:r>
      <w:r>
        <w:rPr>
          <w:color w:val="231F20"/>
          <w:spacing w:val="-15"/>
        </w:rPr>
        <w:t> </w:t>
      </w:r>
      <w:r>
        <w:rPr>
          <w:color w:val="231F20"/>
        </w:rPr>
        <w:t>situé</w:t>
      </w:r>
      <w:r>
        <w:rPr>
          <w:color w:val="231F20"/>
          <w:spacing w:val="-15"/>
        </w:rPr>
        <w:t> </w:t>
      </w:r>
      <w:r>
        <w:rPr>
          <w:color w:val="231F20"/>
        </w:rPr>
        <w:t>dans</w:t>
      </w:r>
      <w:r>
        <w:rPr>
          <w:color w:val="231F20"/>
          <w:spacing w:val="-15"/>
        </w:rPr>
        <w:t> </w:t>
      </w:r>
      <w:r>
        <w:rPr>
          <w:color w:val="231F20"/>
        </w:rPr>
        <w:t>la</w:t>
      </w:r>
      <w:r>
        <w:rPr>
          <w:color w:val="231F20"/>
          <w:spacing w:val="-15"/>
        </w:rPr>
        <w:t> </w:t>
      </w:r>
      <w:r>
        <w:rPr>
          <w:color w:val="231F20"/>
        </w:rPr>
        <w:t>subdivision</w:t>
      </w:r>
      <w:r>
        <w:rPr>
          <w:color w:val="231F20"/>
          <w:spacing w:val="-15"/>
        </w:rPr>
        <w:t> </w:t>
      </w:r>
      <w:r>
        <w:rPr>
          <w:color w:val="231F20"/>
        </w:rPr>
        <w:t>administrative</w:t>
      </w:r>
      <w:r>
        <w:rPr>
          <w:color w:val="231F20"/>
          <w:spacing w:val="-15"/>
        </w:rPr>
        <w:t> </w:t>
      </w:r>
      <w:r>
        <w:rPr>
          <w:color w:val="231F20"/>
        </w:rPr>
        <w:t>d’Aboisso et</w:t>
      </w:r>
      <w:r>
        <w:rPr>
          <w:color w:val="231F20"/>
          <w:spacing w:val="-5"/>
        </w:rPr>
        <w:t> </w:t>
      </w:r>
      <w:r>
        <w:rPr>
          <w:color w:val="231F20"/>
        </w:rPr>
        <w:t>le</w:t>
      </w:r>
      <w:r>
        <w:rPr>
          <w:color w:val="231F20"/>
          <w:spacing w:val="-5"/>
        </w:rPr>
        <w:t> </w:t>
      </w:r>
      <w:r>
        <w:rPr>
          <w:color w:val="231F20"/>
        </w:rPr>
        <w:t>village</w:t>
      </w:r>
      <w:r>
        <w:rPr>
          <w:color w:val="231F20"/>
          <w:spacing w:val="-4"/>
        </w:rPr>
        <w:t> </w:t>
      </w:r>
      <w:r>
        <w:rPr>
          <w:color w:val="231F20"/>
        </w:rPr>
        <w:t>Abiaty</w:t>
      </w:r>
      <w:r>
        <w:rPr>
          <w:color w:val="231F20"/>
          <w:spacing w:val="-5"/>
        </w:rPr>
        <w:t> </w:t>
      </w:r>
      <w:r>
        <w:rPr>
          <w:color w:val="231F20"/>
        </w:rPr>
        <w:t>(Ehotilé),</w:t>
      </w:r>
      <w:r>
        <w:rPr>
          <w:color w:val="231F20"/>
          <w:spacing w:val="-5"/>
        </w:rPr>
        <w:t> </w:t>
      </w:r>
      <w:r>
        <w:rPr>
          <w:color w:val="231F20"/>
        </w:rPr>
        <w:t>relevant</w:t>
      </w:r>
      <w:r>
        <w:rPr>
          <w:color w:val="231F20"/>
          <w:spacing w:val="-5"/>
        </w:rPr>
        <w:t> </w:t>
      </w:r>
      <w:r>
        <w:rPr>
          <w:color w:val="231F20"/>
        </w:rPr>
        <w:t>de</w:t>
      </w:r>
      <w:r>
        <w:rPr>
          <w:color w:val="231F20"/>
          <w:spacing w:val="-7"/>
        </w:rPr>
        <w:t> </w:t>
      </w:r>
      <w:r>
        <w:rPr>
          <w:color w:val="231F20"/>
        </w:rPr>
        <w:t>la</w:t>
      </w:r>
      <w:r>
        <w:rPr>
          <w:color w:val="231F20"/>
          <w:spacing w:val="-5"/>
        </w:rPr>
        <w:t> </w:t>
      </w:r>
      <w:r>
        <w:rPr>
          <w:color w:val="231F20"/>
        </w:rPr>
        <w:t>subdivision</w:t>
      </w:r>
      <w:r>
        <w:rPr>
          <w:color w:val="231F20"/>
          <w:spacing w:val="-5"/>
        </w:rPr>
        <w:t> </w:t>
      </w:r>
      <w:r>
        <w:rPr>
          <w:color w:val="231F20"/>
        </w:rPr>
        <w:t>d’Adiaké.</w:t>
      </w:r>
      <w:r>
        <w:rPr>
          <w:color w:val="231F20"/>
          <w:spacing w:val="-5"/>
        </w:rPr>
        <w:t> </w:t>
      </w:r>
      <w:r>
        <w:rPr>
          <w:color w:val="231F20"/>
        </w:rPr>
        <w:t>Très rapidement, le conflit foncier se transforme en conflit armé entre les villages.</w:t>
      </w:r>
      <w:r>
        <w:rPr>
          <w:color w:val="231F20"/>
          <w:spacing w:val="-15"/>
        </w:rPr>
        <w:t> </w:t>
      </w:r>
      <w:r>
        <w:rPr>
          <w:color w:val="231F20"/>
        </w:rPr>
        <w:t>Le</w:t>
      </w:r>
      <w:r>
        <w:rPr>
          <w:color w:val="231F20"/>
          <w:spacing w:val="-15"/>
        </w:rPr>
        <w:t> </w:t>
      </w:r>
      <w:r>
        <w:rPr>
          <w:color w:val="231F20"/>
        </w:rPr>
        <w:t>premier</w:t>
      </w:r>
      <w:r>
        <w:rPr>
          <w:color w:val="231F20"/>
          <w:spacing w:val="-15"/>
        </w:rPr>
        <w:t> </w:t>
      </w:r>
      <w:r>
        <w:rPr>
          <w:color w:val="231F20"/>
        </w:rPr>
        <w:t>bilan</w:t>
      </w:r>
      <w:r>
        <w:rPr>
          <w:color w:val="231F20"/>
          <w:spacing w:val="-15"/>
        </w:rPr>
        <w:t> </w:t>
      </w:r>
      <w:r>
        <w:rPr>
          <w:color w:val="231F20"/>
        </w:rPr>
        <w:t>fait</w:t>
      </w:r>
      <w:r>
        <w:rPr>
          <w:color w:val="231F20"/>
          <w:spacing w:val="-15"/>
        </w:rPr>
        <w:t> </w:t>
      </w:r>
      <w:r>
        <w:rPr>
          <w:color w:val="231F20"/>
        </w:rPr>
        <w:t>état</w:t>
      </w:r>
      <w:r>
        <w:rPr>
          <w:color w:val="231F20"/>
          <w:spacing w:val="-15"/>
        </w:rPr>
        <w:t> </w:t>
      </w:r>
      <w:r>
        <w:rPr>
          <w:color w:val="231F20"/>
        </w:rPr>
        <w:t>de</w:t>
      </w:r>
      <w:r>
        <w:rPr>
          <w:color w:val="231F20"/>
          <w:spacing w:val="-15"/>
        </w:rPr>
        <w:t> </w:t>
      </w:r>
      <w:r>
        <w:rPr>
          <w:color w:val="231F20"/>
        </w:rPr>
        <w:t>quatre</w:t>
      </w:r>
      <w:r>
        <w:rPr>
          <w:color w:val="231F20"/>
          <w:spacing w:val="-15"/>
        </w:rPr>
        <w:t> </w:t>
      </w:r>
      <w:r>
        <w:rPr>
          <w:color w:val="231F20"/>
        </w:rPr>
        <w:t>morts,</w:t>
      </w:r>
      <w:r>
        <w:rPr>
          <w:color w:val="231F20"/>
          <w:spacing w:val="-15"/>
        </w:rPr>
        <w:t> </w:t>
      </w:r>
      <w:r>
        <w:rPr>
          <w:color w:val="231F20"/>
        </w:rPr>
        <w:t>plusieurs</w:t>
      </w:r>
      <w:r>
        <w:rPr>
          <w:color w:val="231F20"/>
          <w:spacing w:val="-15"/>
        </w:rPr>
        <w:t> </w:t>
      </w:r>
      <w:r>
        <w:rPr>
          <w:color w:val="231F20"/>
        </w:rPr>
        <w:t>blessés,</w:t>
      </w:r>
      <w:r>
        <w:rPr>
          <w:color w:val="231F20"/>
          <w:spacing w:val="-15"/>
        </w:rPr>
        <w:t> </w:t>
      </w:r>
      <w:r>
        <w:rPr>
          <w:color w:val="231F20"/>
        </w:rPr>
        <w:t>des hameaux et villages incendiés.</w:t>
      </w:r>
      <w:r>
        <w:rPr>
          <w:color w:val="231F20"/>
          <w:spacing w:val="-1"/>
        </w:rPr>
        <w:t> </w:t>
      </w:r>
      <w:r>
        <w:rPr>
          <w:color w:val="231F20"/>
        </w:rPr>
        <w:t>Le gouvernement de Félix Houphouët– Boigny</w:t>
      </w:r>
      <w:r>
        <w:rPr>
          <w:color w:val="231F20"/>
          <w:spacing w:val="-12"/>
        </w:rPr>
        <w:t> </w:t>
      </w:r>
      <w:r>
        <w:rPr>
          <w:color w:val="231F20"/>
        </w:rPr>
        <w:t>veut</w:t>
      </w:r>
      <w:r>
        <w:rPr>
          <w:color w:val="231F20"/>
          <w:spacing w:val="-11"/>
        </w:rPr>
        <w:t> </w:t>
      </w:r>
      <w:r>
        <w:rPr>
          <w:color w:val="231F20"/>
        </w:rPr>
        <w:t>y</w:t>
      </w:r>
      <w:r>
        <w:rPr>
          <w:color w:val="231F20"/>
          <w:spacing w:val="-10"/>
        </w:rPr>
        <w:t> </w:t>
      </w:r>
      <w:r>
        <w:rPr>
          <w:color w:val="231F20"/>
        </w:rPr>
        <w:t>restaurer</w:t>
      </w:r>
      <w:r>
        <w:rPr>
          <w:color w:val="231F20"/>
          <w:spacing w:val="-12"/>
        </w:rPr>
        <w:t> </w:t>
      </w:r>
      <w:r>
        <w:rPr>
          <w:color w:val="231F20"/>
        </w:rPr>
        <w:t>l’ordre</w:t>
      </w:r>
      <w:r>
        <w:rPr>
          <w:color w:val="231F20"/>
          <w:spacing w:val="-10"/>
        </w:rPr>
        <w:t> </w:t>
      </w:r>
      <w:r>
        <w:rPr>
          <w:color w:val="231F20"/>
        </w:rPr>
        <w:t>mais</w:t>
      </w:r>
      <w:r>
        <w:rPr>
          <w:color w:val="231F20"/>
          <w:spacing w:val="-12"/>
        </w:rPr>
        <w:t> </w:t>
      </w:r>
      <w:r>
        <w:rPr>
          <w:color w:val="231F20"/>
        </w:rPr>
        <w:t>il</w:t>
      </w:r>
      <w:r>
        <w:rPr>
          <w:color w:val="231F20"/>
          <w:spacing w:val="-13"/>
        </w:rPr>
        <w:t> </w:t>
      </w:r>
      <w:r>
        <w:rPr>
          <w:color w:val="231F20"/>
        </w:rPr>
        <w:t>est</w:t>
      </w:r>
      <w:r>
        <w:rPr>
          <w:color w:val="231F20"/>
          <w:spacing w:val="-11"/>
        </w:rPr>
        <w:t> </w:t>
      </w:r>
      <w:r>
        <w:rPr>
          <w:color w:val="231F20"/>
        </w:rPr>
        <w:t>contrarié</w:t>
      </w:r>
      <w:r>
        <w:rPr>
          <w:color w:val="231F20"/>
          <w:spacing w:val="-13"/>
        </w:rPr>
        <w:t> </w:t>
      </w:r>
      <w:r>
        <w:rPr>
          <w:color w:val="231F20"/>
        </w:rPr>
        <w:t>dans</w:t>
      </w:r>
      <w:r>
        <w:rPr>
          <w:color w:val="231F20"/>
          <w:spacing w:val="-12"/>
        </w:rPr>
        <w:t> </w:t>
      </w:r>
      <w:r>
        <w:rPr>
          <w:color w:val="231F20"/>
        </w:rPr>
        <w:t>les</w:t>
      </w:r>
      <w:r>
        <w:rPr>
          <w:color w:val="231F20"/>
          <w:spacing w:val="-12"/>
        </w:rPr>
        <w:t> </w:t>
      </w:r>
      <w:r>
        <w:rPr>
          <w:color w:val="231F20"/>
        </w:rPr>
        <w:t>pourparlers par</w:t>
      </w:r>
      <w:r>
        <w:rPr>
          <w:color w:val="231F20"/>
          <w:spacing w:val="-15"/>
        </w:rPr>
        <w:t> </w:t>
      </w:r>
      <w:r>
        <w:rPr>
          <w:color w:val="231F20"/>
        </w:rPr>
        <w:t>les</w:t>
      </w:r>
      <w:r>
        <w:rPr>
          <w:color w:val="231F20"/>
          <w:spacing w:val="-15"/>
        </w:rPr>
        <w:t> </w:t>
      </w:r>
      <w:r>
        <w:rPr>
          <w:color w:val="231F20"/>
        </w:rPr>
        <w:t>autorités</w:t>
      </w:r>
      <w:r>
        <w:rPr>
          <w:color w:val="231F20"/>
          <w:spacing w:val="-15"/>
        </w:rPr>
        <w:t> </w:t>
      </w:r>
      <w:r>
        <w:rPr>
          <w:color w:val="231F20"/>
        </w:rPr>
        <w:t>coutumières</w:t>
      </w:r>
      <w:r>
        <w:rPr>
          <w:color w:val="231F20"/>
          <w:spacing w:val="-15"/>
        </w:rPr>
        <w:t> </w:t>
      </w:r>
      <w:r>
        <w:rPr>
          <w:color w:val="231F20"/>
        </w:rPr>
        <w:t>du</w:t>
      </w:r>
      <w:r>
        <w:rPr>
          <w:color w:val="231F20"/>
          <w:spacing w:val="-15"/>
        </w:rPr>
        <w:t> </w:t>
      </w:r>
      <w:r>
        <w:rPr>
          <w:color w:val="231F20"/>
        </w:rPr>
        <w:t>Sanwi.</w:t>
      </w:r>
      <w:r>
        <w:rPr>
          <w:color w:val="231F20"/>
          <w:spacing w:val="-15"/>
        </w:rPr>
        <w:t> </w:t>
      </w:r>
      <w:r>
        <w:rPr>
          <w:color w:val="231F20"/>
        </w:rPr>
        <w:t>Comme</w:t>
      </w:r>
      <w:r>
        <w:rPr>
          <w:color w:val="231F20"/>
          <w:spacing w:val="-15"/>
        </w:rPr>
        <w:t> </w:t>
      </w:r>
      <w:r>
        <w:rPr>
          <w:color w:val="231F20"/>
        </w:rPr>
        <w:t>condition</w:t>
      </w:r>
      <w:r>
        <w:rPr>
          <w:color w:val="231F20"/>
          <w:spacing w:val="-15"/>
        </w:rPr>
        <w:t> </w:t>
      </w:r>
      <w:r>
        <w:rPr>
          <w:color w:val="231F20"/>
        </w:rPr>
        <w:t>d’acceptation </w:t>
      </w:r>
      <w:r>
        <w:rPr>
          <w:color w:val="231F20"/>
          <w:spacing w:val="-2"/>
        </w:rPr>
        <w:t>de</w:t>
      </w:r>
      <w:r>
        <w:rPr>
          <w:color w:val="231F20"/>
          <w:spacing w:val="-9"/>
        </w:rPr>
        <w:t> </w:t>
      </w:r>
      <w:r>
        <w:rPr>
          <w:color w:val="231F20"/>
          <w:spacing w:val="-2"/>
        </w:rPr>
        <w:t>la</w:t>
      </w:r>
      <w:r>
        <w:rPr>
          <w:color w:val="231F20"/>
          <w:spacing w:val="-12"/>
        </w:rPr>
        <w:t> </w:t>
      </w:r>
      <w:r>
        <w:rPr>
          <w:color w:val="231F20"/>
          <w:spacing w:val="-2"/>
        </w:rPr>
        <w:t>médiation,</w:t>
      </w:r>
      <w:r>
        <w:rPr>
          <w:color w:val="231F20"/>
          <w:spacing w:val="-9"/>
        </w:rPr>
        <w:t> </w:t>
      </w:r>
      <w:r>
        <w:rPr>
          <w:color w:val="231F20"/>
          <w:spacing w:val="-2"/>
        </w:rPr>
        <w:t>elles</w:t>
      </w:r>
      <w:r>
        <w:rPr>
          <w:color w:val="231F20"/>
          <w:spacing w:val="-12"/>
        </w:rPr>
        <w:t> </w:t>
      </w:r>
      <w:r>
        <w:rPr>
          <w:color w:val="231F20"/>
          <w:spacing w:val="-2"/>
        </w:rPr>
        <w:t>font</w:t>
      </w:r>
      <w:r>
        <w:rPr>
          <w:color w:val="231F20"/>
          <w:spacing w:val="-11"/>
        </w:rPr>
        <w:t> </w:t>
      </w:r>
      <w:r>
        <w:rPr>
          <w:color w:val="231F20"/>
          <w:spacing w:val="-2"/>
        </w:rPr>
        <w:t>signer</w:t>
      </w:r>
      <w:r>
        <w:rPr>
          <w:color w:val="231F20"/>
          <w:spacing w:val="-10"/>
        </w:rPr>
        <w:t> </w:t>
      </w:r>
      <w:r>
        <w:rPr>
          <w:color w:val="231F20"/>
          <w:spacing w:val="-2"/>
        </w:rPr>
        <w:t>une</w:t>
      </w:r>
      <w:r>
        <w:rPr>
          <w:color w:val="231F20"/>
          <w:spacing w:val="-13"/>
        </w:rPr>
        <w:t> </w:t>
      </w:r>
      <w:r>
        <w:rPr>
          <w:color w:val="231F20"/>
          <w:spacing w:val="-2"/>
        </w:rPr>
        <w:t>pétition</w:t>
      </w:r>
      <w:r>
        <w:rPr>
          <w:color w:val="231F20"/>
          <w:spacing w:val="-12"/>
        </w:rPr>
        <w:t> </w:t>
      </w:r>
      <w:r>
        <w:rPr>
          <w:color w:val="231F20"/>
          <w:spacing w:val="-2"/>
        </w:rPr>
        <w:t>pour</w:t>
      </w:r>
      <w:r>
        <w:rPr>
          <w:color w:val="231F20"/>
          <w:spacing w:val="-13"/>
        </w:rPr>
        <w:t> </w:t>
      </w:r>
      <w:r>
        <w:rPr>
          <w:color w:val="231F20"/>
          <w:spacing w:val="-2"/>
        </w:rPr>
        <w:t>exiger</w:t>
      </w:r>
      <w:r>
        <w:rPr>
          <w:color w:val="231F20"/>
          <w:spacing w:val="-10"/>
        </w:rPr>
        <w:t> </w:t>
      </w:r>
      <w:r>
        <w:rPr>
          <w:color w:val="231F20"/>
          <w:spacing w:val="-2"/>
        </w:rPr>
        <w:t>du</w:t>
      </w:r>
      <w:r>
        <w:rPr>
          <w:color w:val="231F20"/>
          <w:spacing w:val="-12"/>
        </w:rPr>
        <w:t> </w:t>
      </w:r>
      <w:r>
        <w:rPr>
          <w:color w:val="231F20"/>
          <w:spacing w:val="-2"/>
        </w:rPr>
        <w:t>ministère</w:t>
      </w:r>
      <w:r>
        <w:rPr>
          <w:color w:val="231F20"/>
          <w:spacing w:val="-12"/>
        </w:rPr>
        <w:t> </w:t>
      </w:r>
      <w:r>
        <w:rPr>
          <w:color w:val="231F20"/>
          <w:spacing w:val="-2"/>
        </w:rPr>
        <w:t>de l’intérieur</w:t>
      </w:r>
      <w:r>
        <w:rPr>
          <w:color w:val="231F20"/>
          <w:spacing w:val="-12"/>
        </w:rPr>
        <w:t> </w:t>
      </w:r>
      <w:r>
        <w:rPr>
          <w:color w:val="231F20"/>
          <w:spacing w:val="-2"/>
        </w:rPr>
        <w:t>«</w:t>
      </w:r>
      <w:r>
        <w:rPr>
          <w:color w:val="231F20"/>
          <w:spacing w:val="-12"/>
        </w:rPr>
        <w:t> </w:t>
      </w:r>
      <w:r>
        <w:rPr>
          <w:color w:val="231F20"/>
          <w:spacing w:val="-2"/>
        </w:rPr>
        <w:t>la</w:t>
      </w:r>
      <w:r>
        <w:rPr>
          <w:color w:val="231F20"/>
          <w:spacing w:val="-12"/>
        </w:rPr>
        <w:t> </w:t>
      </w:r>
      <w:r>
        <w:rPr>
          <w:color w:val="231F20"/>
          <w:spacing w:val="-2"/>
        </w:rPr>
        <w:t>reconnaissance</w:t>
      </w:r>
      <w:r>
        <w:rPr>
          <w:color w:val="231F20"/>
          <w:spacing w:val="-12"/>
        </w:rPr>
        <w:t> </w:t>
      </w:r>
      <w:r>
        <w:rPr>
          <w:color w:val="231F20"/>
          <w:spacing w:val="-2"/>
        </w:rPr>
        <w:t>par</w:t>
      </w:r>
      <w:r>
        <w:rPr>
          <w:color w:val="231F20"/>
          <w:spacing w:val="-12"/>
        </w:rPr>
        <w:t> </w:t>
      </w:r>
      <w:r>
        <w:rPr>
          <w:color w:val="231F20"/>
          <w:spacing w:val="-2"/>
        </w:rPr>
        <w:t>le</w:t>
      </w:r>
      <w:r>
        <w:rPr>
          <w:color w:val="231F20"/>
          <w:spacing w:val="-12"/>
        </w:rPr>
        <w:t> </w:t>
      </w:r>
      <w:r>
        <w:rPr>
          <w:color w:val="231F20"/>
          <w:spacing w:val="-2"/>
        </w:rPr>
        <w:t>gouvernement</w:t>
      </w:r>
      <w:r>
        <w:rPr>
          <w:color w:val="231F20"/>
          <w:spacing w:val="-13"/>
        </w:rPr>
        <w:t> </w:t>
      </w:r>
      <w:r>
        <w:rPr>
          <w:color w:val="231F20"/>
          <w:spacing w:val="-2"/>
        </w:rPr>
        <w:t>ivoirien</w:t>
      </w:r>
      <w:r>
        <w:rPr>
          <w:color w:val="231F20"/>
          <w:spacing w:val="-12"/>
        </w:rPr>
        <w:t> </w:t>
      </w:r>
      <w:r>
        <w:rPr>
          <w:color w:val="231F20"/>
          <w:spacing w:val="-2"/>
        </w:rPr>
        <w:t>de</w:t>
      </w:r>
      <w:r>
        <w:rPr>
          <w:color w:val="231F20"/>
          <w:spacing w:val="-12"/>
        </w:rPr>
        <w:t> </w:t>
      </w:r>
      <w:r>
        <w:rPr>
          <w:color w:val="231F20"/>
          <w:spacing w:val="-2"/>
        </w:rPr>
        <w:t>l’intégrité </w:t>
      </w:r>
      <w:r>
        <w:rPr>
          <w:color w:val="231F20"/>
        </w:rPr>
        <w:t>du royaume Sanwi dans les limites établies par un traité de protectorat </w:t>
      </w:r>
      <w:r>
        <w:rPr>
          <w:color w:val="231F20"/>
          <w:spacing w:val="-2"/>
        </w:rPr>
        <w:t>conclu</w:t>
      </w:r>
      <w:r>
        <w:rPr>
          <w:color w:val="231F20"/>
          <w:spacing w:val="-13"/>
        </w:rPr>
        <w:t> </w:t>
      </w:r>
      <w:r>
        <w:rPr>
          <w:color w:val="231F20"/>
          <w:spacing w:val="-2"/>
        </w:rPr>
        <w:t>le</w:t>
      </w:r>
      <w:r>
        <w:rPr>
          <w:color w:val="231F20"/>
          <w:spacing w:val="-13"/>
        </w:rPr>
        <w:t> </w:t>
      </w:r>
      <w:r>
        <w:rPr>
          <w:color w:val="231F20"/>
          <w:spacing w:val="-2"/>
        </w:rPr>
        <w:t>4</w:t>
      </w:r>
      <w:r>
        <w:rPr>
          <w:color w:val="231F20"/>
          <w:spacing w:val="-13"/>
        </w:rPr>
        <w:t> </w:t>
      </w:r>
      <w:r>
        <w:rPr>
          <w:color w:val="231F20"/>
          <w:spacing w:val="-2"/>
        </w:rPr>
        <w:t>juillet</w:t>
      </w:r>
      <w:r>
        <w:rPr>
          <w:color w:val="231F20"/>
          <w:spacing w:val="-13"/>
        </w:rPr>
        <w:t> </w:t>
      </w:r>
      <w:r>
        <w:rPr>
          <w:color w:val="231F20"/>
          <w:spacing w:val="-2"/>
        </w:rPr>
        <w:t>1843</w:t>
      </w:r>
      <w:r>
        <w:rPr>
          <w:color w:val="231F20"/>
          <w:spacing w:val="-13"/>
        </w:rPr>
        <w:t> </w:t>
      </w:r>
      <w:r>
        <w:rPr>
          <w:color w:val="231F20"/>
          <w:spacing w:val="-2"/>
        </w:rPr>
        <w:t>entre</w:t>
      </w:r>
      <w:r>
        <w:rPr>
          <w:color w:val="231F20"/>
          <w:spacing w:val="-13"/>
        </w:rPr>
        <w:t> </w:t>
      </w:r>
      <w:r>
        <w:rPr>
          <w:color w:val="231F20"/>
          <w:spacing w:val="-2"/>
        </w:rPr>
        <w:t>le</w:t>
      </w:r>
      <w:r>
        <w:rPr>
          <w:color w:val="231F20"/>
          <w:spacing w:val="-13"/>
        </w:rPr>
        <w:t> </w:t>
      </w:r>
      <w:r>
        <w:rPr>
          <w:color w:val="231F20"/>
          <w:spacing w:val="-2"/>
        </w:rPr>
        <w:t>Lieutenant</w:t>
      </w:r>
      <w:r>
        <w:rPr>
          <w:color w:val="231F20"/>
          <w:spacing w:val="-13"/>
        </w:rPr>
        <w:t> </w:t>
      </w:r>
      <w:r>
        <w:rPr>
          <w:color w:val="231F20"/>
          <w:spacing w:val="-2"/>
        </w:rPr>
        <w:t>de</w:t>
      </w:r>
      <w:r>
        <w:rPr>
          <w:color w:val="231F20"/>
          <w:spacing w:val="-13"/>
        </w:rPr>
        <w:t> </w:t>
      </w:r>
      <w:r>
        <w:rPr>
          <w:color w:val="231F20"/>
          <w:spacing w:val="-2"/>
        </w:rPr>
        <w:t>vaisseau</w:t>
      </w:r>
      <w:r>
        <w:rPr>
          <w:color w:val="231F20"/>
          <w:spacing w:val="-13"/>
        </w:rPr>
        <w:t> </w:t>
      </w:r>
      <w:r>
        <w:rPr>
          <w:color w:val="231F20"/>
          <w:spacing w:val="-2"/>
        </w:rPr>
        <w:t>Fleuriot</w:t>
      </w:r>
      <w:r>
        <w:rPr>
          <w:color w:val="231F20"/>
          <w:spacing w:val="-13"/>
        </w:rPr>
        <w:t> </w:t>
      </w:r>
      <w:r>
        <w:rPr>
          <w:color w:val="231F20"/>
          <w:spacing w:val="-2"/>
        </w:rPr>
        <w:t>de</w:t>
      </w:r>
      <w:r>
        <w:rPr>
          <w:color w:val="231F20"/>
          <w:spacing w:val="-11"/>
        </w:rPr>
        <w:t> </w:t>
      </w:r>
      <w:r>
        <w:rPr>
          <w:color w:val="231F20"/>
          <w:spacing w:val="-2"/>
        </w:rPr>
        <w:t>Langle</w:t>
      </w:r>
    </w:p>
    <w:p>
      <w:pPr>
        <w:pStyle w:val="BodyText"/>
        <w:ind w:left="0"/>
        <w:jc w:val="left"/>
        <w:rPr>
          <w:sz w:val="20"/>
        </w:rPr>
      </w:pPr>
    </w:p>
    <w:p>
      <w:pPr>
        <w:pStyle w:val="BodyText"/>
        <w:ind w:left="0"/>
        <w:jc w:val="left"/>
        <w:rPr>
          <w:sz w:val="20"/>
        </w:rPr>
      </w:pPr>
    </w:p>
    <w:p>
      <w:pPr>
        <w:pStyle w:val="BodyText"/>
        <w:spacing w:before="36"/>
        <w:ind w:left="0"/>
        <w:jc w:val="left"/>
        <w:rPr>
          <w:sz w:val="20"/>
        </w:rPr>
      </w:pPr>
      <w:r>
        <w:rPr/>
        <mc:AlternateContent>
          <mc:Choice Requires="wps">
            <w:drawing>
              <wp:anchor distT="0" distB="0" distL="0" distR="0" allowOverlap="1" layoutInCell="1" locked="0" behindDoc="1" simplePos="0" relativeHeight="487626752">
                <wp:simplePos x="0" y="0"/>
                <wp:positionH relativeFrom="page">
                  <wp:posOffset>629907</wp:posOffset>
                </wp:positionH>
                <wp:positionV relativeFrom="paragraph">
                  <wp:posOffset>184542</wp:posOffset>
                </wp:positionV>
                <wp:extent cx="1829435" cy="9525"/>
                <wp:effectExtent l="0" t="0" r="0" b="0"/>
                <wp:wrapTopAndBottom/>
                <wp:docPr id="97" name="Graphic 97"/>
                <wp:cNvGraphicFramePr>
                  <a:graphicFrameLocks/>
                </wp:cNvGraphicFramePr>
                <a:graphic>
                  <a:graphicData uri="http://schemas.microsoft.com/office/word/2010/wordprocessingShape">
                    <wps:wsp>
                      <wps:cNvPr id="97" name="Graphic 97"/>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530937pt;width:144.020pt;height:.72pt;mso-position-horizontal-relative:page;mso-position-vertical-relative:paragraph;z-index:-15689728;mso-wrap-distance-left:0;mso-wrap-distance-right:0" id="docshape95" filled="true" fillcolor="#231f20" stroked="false">
                <v:fill type="solid"/>
                <w10:wrap type="topAndBottom"/>
              </v:rect>
            </w:pict>
          </mc:Fallback>
        </mc:AlternateContent>
      </w:r>
    </w:p>
    <w:p>
      <w:pPr>
        <w:spacing w:before="91"/>
        <w:ind w:left="111" w:right="104" w:firstLine="0"/>
        <w:jc w:val="both"/>
        <w:rPr>
          <w:sz w:val="20"/>
        </w:rPr>
      </w:pPr>
      <w:r>
        <w:rPr>
          <w:color w:val="76787A"/>
          <w:sz w:val="20"/>
          <w:vertAlign w:val="superscript"/>
        </w:rPr>
        <w:t>124</w:t>
      </w:r>
      <w:r>
        <w:rPr>
          <w:color w:val="76787A"/>
          <w:spacing w:val="-13"/>
          <w:sz w:val="20"/>
          <w:vertAlign w:val="baseline"/>
        </w:rPr>
        <w:t> </w:t>
      </w:r>
      <w:r>
        <w:rPr>
          <w:color w:val="231F20"/>
          <w:sz w:val="20"/>
          <w:vertAlign w:val="baseline"/>
        </w:rPr>
        <w:t>Le</w:t>
      </w:r>
      <w:r>
        <w:rPr>
          <w:color w:val="231F20"/>
          <w:spacing w:val="-1"/>
          <w:sz w:val="20"/>
          <w:vertAlign w:val="baseline"/>
        </w:rPr>
        <w:t> </w:t>
      </w:r>
      <w:r>
        <w:rPr>
          <w:color w:val="231F20"/>
          <w:sz w:val="20"/>
          <w:vertAlign w:val="baseline"/>
        </w:rPr>
        <w:t>Royaume Sanwi occupe la pointe Sud-Est de la Côte d’Ivoire et couvre une superficie</w:t>
      </w:r>
      <w:r>
        <w:rPr>
          <w:color w:val="231F20"/>
          <w:spacing w:val="-13"/>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6</w:t>
      </w:r>
      <w:r>
        <w:rPr>
          <w:color w:val="231F20"/>
          <w:spacing w:val="-13"/>
          <w:sz w:val="20"/>
          <w:vertAlign w:val="baseline"/>
        </w:rPr>
        <w:t> </w:t>
      </w:r>
      <w:r>
        <w:rPr>
          <w:color w:val="231F20"/>
          <w:sz w:val="20"/>
          <w:vertAlign w:val="baseline"/>
        </w:rPr>
        <w:t>500</w:t>
      </w:r>
      <w:r>
        <w:rPr>
          <w:color w:val="231F20"/>
          <w:spacing w:val="-12"/>
          <w:sz w:val="20"/>
          <w:vertAlign w:val="baseline"/>
        </w:rPr>
        <w:t> </w:t>
      </w:r>
      <w:r>
        <w:rPr>
          <w:color w:val="231F20"/>
          <w:sz w:val="20"/>
          <w:vertAlign w:val="baseline"/>
        </w:rPr>
        <w:t>km².Les</w:t>
      </w:r>
      <w:r>
        <w:rPr>
          <w:color w:val="231F20"/>
          <w:spacing w:val="-7"/>
          <w:sz w:val="20"/>
          <w:vertAlign w:val="baseline"/>
        </w:rPr>
        <w:t> </w:t>
      </w:r>
      <w:r>
        <w:rPr>
          <w:color w:val="231F20"/>
          <w:sz w:val="20"/>
          <w:vertAlign w:val="baseline"/>
        </w:rPr>
        <w:t>populations</w:t>
      </w:r>
      <w:r>
        <w:rPr>
          <w:color w:val="231F20"/>
          <w:spacing w:val="-5"/>
          <w:sz w:val="20"/>
          <w:vertAlign w:val="baseline"/>
        </w:rPr>
        <w:t> </w:t>
      </w:r>
      <w:r>
        <w:rPr>
          <w:color w:val="231F20"/>
          <w:sz w:val="20"/>
          <w:vertAlign w:val="baseline"/>
        </w:rPr>
        <w:t>constitutives</w:t>
      </w:r>
      <w:r>
        <w:rPr>
          <w:color w:val="231F20"/>
          <w:spacing w:val="-7"/>
          <w:sz w:val="20"/>
          <w:vertAlign w:val="baseline"/>
        </w:rPr>
        <w:t> </w:t>
      </w:r>
      <w:r>
        <w:rPr>
          <w:color w:val="231F20"/>
          <w:sz w:val="20"/>
          <w:vertAlign w:val="baseline"/>
        </w:rPr>
        <w:t>de</w:t>
      </w:r>
      <w:r>
        <w:rPr>
          <w:color w:val="231F20"/>
          <w:spacing w:val="-6"/>
          <w:sz w:val="20"/>
          <w:vertAlign w:val="baseline"/>
        </w:rPr>
        <w:t> </w:t>
      </w:r>
      <w:r>
        <w:rPr>
          <w:color w:val="231F20"/>
          <w:sz w:val="20"/>
          <w:vertAlign w:val="baseline"/>
        </w:rPr>
        <w:t>ce</w:t>
      </w:r>
      <w:r>
        <w:rPr>
          <w:color w:val="231F20"/>
          <w:spacing w:val="-6"/>
          <w:sz w:val="20"/>
          <w:vertAlign w:val="baseline"/>
        </w:rPr>
        <w:t> </w:t>
      </w:r>
      <w:r>
        <w:rPr>
          <w:color w:val="231F20"/>
          <w:sz w:val="20"/>
          <w:vertAlign w:val="baseline"/>
        </w:rPr>
        <w:t>royaume</w:t>
      </w:r>
      <w:r>
        <w:rPr>
          <w:color w:val="231F20"/>
          <w:spacing w:val="-4"/>
          <w:sz w:val="20"/>
          <w:vertAlign w:val="baseline"/>
        </w:rPr>
        <w:t> </w:t>
      </w:r>
      <w:r>
        <w:rPr>
          <w:color w:val="231F20"/>
          <w:sz w:val="20"/>
          <w:vertAlign w:val="baseline"/>
        </w:rPr>
        <w:t>sont</w:t>
      </w:r>
      <w:r>
        <w:rPr>
          <w:color w:val="231F20"/>
          <w:spacing w:val="-6"/>
          <w:sz w:val="20"/>
          <w:vertAlign w:val="baseline"/>
        </w:rPr>
        <w:t> </w:t>
      </w:r>
      <w:r>
        <w:rPr>
          <w:color w:val="231F20"/>
          <w:sz w:val="20"/>
          <w:vertAlign w:val="baseline"/>
        </w:rPr>
        <w:t>venues</w:t>
      </w:r>
      <w:r>
        <w:rPr>
          <w:color w:val="231F20"/>
          <w:spacing w:val="-7"/>
          <w:sz w:val="20"/>
          <w:vertAlign w:val="baseline"/>
        </w:rPr>
        <w:t> </w:t>
      </w:r>
      <w:r>
        <w:rPr>
          <w:color w:val="231F20"/>
          <w:sz w:val="20"/>
          <w:vertAlign w:val="baseline"/>
        </w:rPr>
        <w:t>vers fin</w:t>
      </w:r>
      <w:r>
        <w:rPr>
          <w:color w:val="231F20"/>
          <w:spacing w:val="-13"/>
          <w:sz w:val="20"/>
          <w:vertAlign w:val="baseline"/>
        </w:rPr>
        <w:t> </w:t>
      </w:r>
      <w:r>
        <w:rPr>
          <w:color w:val="48484A"/>
          <w:sz w:val="20"/>
          <w:vertAlign w:val="baseline"/>
        </w:rPr>
        <w:t>xvii</w:t>
      </w:r>
      <w:r>
        <w:rPr>
          <w:color w:val="231F20"/>
          <w:sz w:val="20"/>
          <w:vertAlign w:val="baseline"/>
        </w:rPr>
        <w:t>e</w:t>
      </w:r>
      <w:r>
        <w:rPr>
          <w:color w:val="231F20"/>
          <w:spacing w:val="-12"/>
          <w:sz w:val="20"/>
          <w:vertAlign w:val="baseline"/>
        </w:rPr>
        <w:t> </w:t>
      </w:r>
      <w:r>
        <w:rPr>
          <w:color w:val="231F20"/>
          <w:sz w:val="20"/>
          <w:vertAlign w:val="baseline"/>
        </w:rPr>
        <w:t>siècle, de l’Aowin, dans l’actuel</w:t>
      </w:r>
      <w:r>
        <w:rPr>
          <w:color w:val="231F20"/>
          <w:spacing w:val="-13"/>
          <w:sz w:val="20"/>
          <w:vertAlign w:val="baseline"/>
        </w:rPr>
        <w:t> </w:t>
      </w:r>
      <w:r>
        <w:rPr>
          <w:color w:val="231F20"/>
          <w:sz w:val="20"/>
          <w:vertAlign w:val="baseline"/>
        </w:rPr>
        <w:t>Ghana</w:t>
      </w:r>
      <w:r>
        <w:rPr>
          <w:color w:val="231F20"/>
          <w:spacing w:val="-12"/>
          <w:sz w:val="20"/>
          <w:vertAlign w:val="baseline"/>
        </w:rPr>
        <w:t> </w:t>
      </w:r>
      <w:r>
        <w:rPr>
          <w:color w:val="231F20"/>
          <w:sz w:val="20"/>
          <w:vertAlign w:val="baseline"/>
        </w:rPr>
        <w:t>où elles ont dû fuir à la suite d'une </w:t>
      </w:r>
      <w:r>
        <w:rPr>
          <w:color w:val="231F20"/>
          <w:spacing w:val="-4"/>
          <w:sz w:val="20"/>
          <w:vertAlign w:val="baseline"/>
        </w:rPr>
        <w:t>défaite</w:t>
      </w:r>
      <w:r>
        <w:rPr>
          <w:color w:val="231F20"/>
          <w:spacing w:val="-9"/>
          <w:sz w:val="20"/>
          <w:vertAlign w:val="baseline"/>
        </w:rPr>
        <w:t> </w:t>
      </w:r>
      <w:r>
        <w:rPr>
          <w:color w:val="231F20"/>
          <w:spacing w:val="-4"/>
          <w:sz w:val="20"/>
          <w:vertAlign w:val="baseline"/>
        </w:rPr>
        <w:t>consécutive</w:t>
      </w:r>
      <w:r>
        <w:rPr>
          <w:color w:val="231F20"/>
          <w:spacing w:val="-8"/>
          <w:sz w:val="20"/>
          <w:vertAlign w:val="baseline"/>
        </w:rPr>
        <w:t> </w:t>
      </w:r>
      <w:r>
        <w:rPr>
          <w:color w:val="231F20"/>
          <w:spacing w:val="-4"/>
          <w:sz w:val="20"/>
          <w:vertAlign w:val="baseline"/>
        </w:rPr>
        <w:t>à</w:t>
      </w:r>
      <w:r>
        <w:rPr>
          <w:color w:val="231F20"/>
          <w:spacing w:val="-9"/>
          <w:sz w:val="20"/>
          <w:vertAlign w:val="baseline"/>
        </w:rPr>
        <w:t> </w:t>
      </w:r>
      <w:r>
        <w:rPr>
          <w:color w:val="231F20"/>
          <w:spacing w:val="-4"/>
          <w:sz w:val="20"/>
          <w:vertAlign w:val="baseline"/>
        </w:rPr>
        <w:t>une</w:t>
      </w:r>
      <w:r>
        <w:rPr>
          <w:color w:val="231F20"/>
          <w:spacing w:val="-8"/>
          <w:sz w:val="20"/>
          <w:vertAlign w:val="baseline"/>
        </w:rPr>
        <w:t> </w:t>
      </w:r>
      <w:r>
        <w:rPr>
          <w:color w:val="231F20"/>
          <w:spacing w:val="-4"/>
          <w:sz w:val="20"/>
          <w:vertAlign w:val="baseline"/>
        </w:rPr>
        <w:t>guerre.</w:t>
      </w:r>
      <w:r>
        <w:rPr>
          <w:color w:val="231F20"/>
          <w:spacing w:val="-3"/>
          <w:sz w:val="20"/>
          <w:vertAlign w:val="baseline"/>
        </w:rPr>
        <w:t> </w:t>
      </w:r>
      <w:r>
        <w:rPr>
          <w:color w:val="231F20"/>
          <w:spacing w:val="-4"/>
          <w:sz w:val="20"/>
          <w:vertAlign w:val="baseline"/>
        </w:rPr>
        <w:t>Sur</w:t>
      </w:r>
      <w:r>
        <w:rPr>
          <w:color w:val="231F20"/>
          <w:spacing w:val="-7"/>
          <w:sz w:val="20"/>
          <w:vertAlign w:val="baseline"/>
        </w:rPr>
        <w:t> </w:t>
      </w:r>
      <w:r>
        <w:rPr>
          <w:color w:val="231F20"/>
          <w:spacing w:val="-4"/>
          <w:sz w:val="20"/>
          <w:vertAlign w:val="baseline"/>
        </w:rPr>
        <w:t>les</w:t>
      </w:r>
      <w:r>
        <w:rPr>
          <w:color w:val="231F20"/>
          <w:spacing w:val="-9"/>
          <w:sz w:val="20"/>
          <w:vertAlign w:val="baseline"/>
        </w:rPr>
        <w:t> </w:t>
      </w:r>
      <w:r>
        <w:rPr>
          <w:color w:val="231F20"/>
          <w:spacing w:val="-4"/>
          <w:sz w:val="20"/>
          <w:vertAlign w:val="baseline"/>
        </w:rPr>
        <w:t>dix-sept</w:t>
      </w:r>
      <w:r>
        <w:rPr>
          <w:color w:val="231F20"/>
          <w:spacing w:val="-8"/>
          <w:sz w:val="20"/>
          <w:vertAlign w:val="baseline"/>
        </w:rPr>
        <w:t> </w:t>
      </w:r>
      <w:r>
        <w:rPr>
          <w:color w:val="231F20"/>
          <w:spacing w:val="-4"/>
          <w:sz w:val="20"/>
          <w:vertAlign w:val="baseline"/>
        </w:rPr>
        <w:t>familles</w:t>
      </w:r>
      <w:r>
        <w:rPr>
          <w:color w:val="231F20"/>
          <w:spacing w:val="-8"/>
          <w:sz w:val="20"/>
          <w:vertAlign w:val="baseline"/>
        </w:rPr>
        <w:t> </w:t>
      </w:r>
      <w:r>
        <w:rPr>
          <w:color w:val="231F20"/>
          <w:spacing w:val="-4"/>
          <w:sz w:val="20"/>
          <w:vertAlign w:val="baseline"/>
        </w:rPr>
        <w:t>ayant</w:t>
      </w:r>
      <w:r>
        <w:rPr>
          <w:color w:val="231F20"/>
          <w:spacing w:val="-9"/>
          <w:sz w:val="20"/>
          <w:vertAlign w:val="baseline"/>
        </w:rPr>
        <w:t> </w:t>
      </w:r>
      <w:r>
        <w:rPr>
          <w:color w:val="231F20"/>
          <w:spacing w:val="-4"/>
          <w:sz w:val="20"/>
          <w:vertAlign w:val="baseline"/>
        </w:rPr>
        <w:t>pris</w:t>
      </w:r>
      <w:r>
        <w:rPr>
          <w:color w:val="231F20"/>
          <w:spacing w:val="-7"/>
          <w:sz w:val="20"/>
          <w:vertAlign w:val="baseline"/>
        </w:rPr>
        <w:t> </w:t>
      </w:r>
      <w:r>
        <w:rPr>
          <w:color w:val="231F20"/>
          <w:spacing w:val="-4"/>
          <w:sz w:val="20"/>
          <w:vertAlign w:val="baseline"/>
        </w:rPr>
        <w:t>la</w:t>
      </w:r>
      <w:r>
        <w:rPr>
          <w:color w:val="231F20"/>
          <w:spacing w:val="-7"/>
          <w:sz w:val="20"/>
          <w:vertAlign w:val="baseline"/>
        </w:rPr>
        <w:t> </w:t>
      </w:r>
      <w:r>
        <w:rPr>
          <w:color w:val="231F20"/>
          <w:spacing w:val="-4"/>
          <w:sz w:val="20"/>
          <w:vertAlign w:val="baseline"/>
        </w:rPr>
        <w:t>fuite,</w:t>
      </w:r>
      <w:r>
        <w:rPr>
          <w:color w:val="231F20"/>
          <w:spacing w:val="-7"/>
          <w:sz w:val="20"/>
          <w:vertAlign w:val="baseline"/>
        </w:rPr>
        <w:t> </w:t>
      </w:r>
      <w:r>
        <w:rPr>
          <w:color w:val="231F20"/>
          <w:spacing w:val="-4"/>
          <w:sz w:val="20"/>
          <w:vertAlign w:val="baseline"/>
        </w:rPr>
        <w:t>seules</w:t>
      </w:r>
      <w:r>
        <w:rPr>
          <w:color w:val="231F20"/>
          <w:spacing w:val="-8"/>
          <w:sz w:val="20"/>
          <w:vertAlign w:val="baseline"/>
        </w:rPr>
        <w:t> </w:t>
      </w:r>
      <w:r>
        <w:rPr>
          <w:color w:val="231F20"/>
          <w:spacing w:val="-4"/>
          <w:sz w:val="20"/>
          <w:vertAlign w:val="baseline"/>
        </w:rPr>
        <w:t>quatre </w:t>
      </w:r>
      <w:r>
        <w:rPr>
          <w:color w:val="231F20"/>
          <w:spacing w:val="-2"/>
          <w:sz w:val="20"/>
          <w:vertAlign w:val="baseline"/>
        </w:rPr>
        <w:t>familles</w:t>
      </w:r>
      <w:r>
        <w:rPr>
          <w:color w:val="231F20"/>
          <w:spacing w:val="-11"/>
          <w:sz w:val="20"/>
          <w:vertAlign w:val="baseline"/>
        </w:rPr>
        <w:t> </w:t>
      </w:r>
      <w:r>
        <w:rPr>
          <w:color w:val="231F20"/>
          <w:spacing w:val="-2"/>
          <w:sz w:val="20"/>
          <w:vertAlign w:val="baseline"/>
        </w:rPr>
        <w:t>ont</w:t>
      </w:r>
      <w:r>
        <w:rPr>
          <w:color w:val="231F20"/>
          <w:spacing w:val="-10"/>
          <w:sz w:val="20"/>
          <w:vertAlign w:val="baseline"/>
        </w:rPr>
        <w:t> </w:t>
      </w:r>
      <w:r>
        <w:rPr>
          <w:color w:val="231F20"/>
          <w:spacing w:val="-2"/>
          <w:sz w:val="20"/>
          <w:vertAlign w:val="baseline"/>
        </w:rPr>
        <w:t>pu</w:t>
      </w:r>
      <w:r>
        <w:rPr>
          <w:color w:val="231F20"/>
          <w:spacing w:val="-11"/>
          <w:sz w:val="20"/>
          <w:vertAlign w:val="baseline"/>
        </w:rPr>
        <w:t> </w:t>
      </w:r>
      <w:r>
        <w:rPr>
          <w:color w:val="231F20"/>
          <w:spacing w:val="-2"/>
          <w:sz w:val="20"/>
          <w:vertAlign w:val="baseline"/>
        </w:rPr>
        <w:t>arriver</w:t>
      </w:r>
      <w:r>
        <w:rPr>
          <w:color w:val="231F20"/>
          <w:spacing w:val="-8"/>
          <w:sz w:val="20"/>
          <w:vertAlign w:val="baseline"/>
        </w:rPr>
        <w:t> </w:t>
      </w:r>
      <w:r>
        <w:rPr>
          <w:color w:val="231F20"/>
          <w:spacing w:val="-2"/>
          <w:sz w:val="20"/>
          <w:vertAlign w:val="baseline"/>
        </w:rPr>
        <w:t>sur</w:t>
      </w:r>
      <w:r>
        <w:rPr>
          <w:color w:val="231F20"/>
          <w:spacing w:val="-9"/>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sol</w:t>
      </w:r>
      <w:r>
        <w:rPr>
          <w:color w:val="231F20"/>
          <w:spacing w:val="-11"/>
          <w:sz w:val="20"/>
          <w:vertAlign w:val="baseline"/>
        </w:rPr>
        <w:t> </w:t>
      </w:r>
      <w:r>
        <w:rPr>
          <w:color w:val="231F20"/>
          <w:spacing w:val="-2"/>
          <w:sz w:val="20"/>
          <w:vertAlign w:val="baseline"/>
        </w:rPr>
        <w:t>ivoirien</w:t>
      </w:r>
      <w:r>
        <w:rPr>
          <w:color w:val="231F20"/>
          <w:spacing w:val="-8"/>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les</w:t>
      </w:r>
      <w:r>
        <w:rPr>
          <w:color w:val="231F20"/>
          <w:spacing w:val="-10"/>
          <w:sz w:val="20"/>
          <w:vertAlign w:val="baseline"/>
        </w:rPr>
        <w:t> </w:t>
      </w:r>
      <w:r>
        <w:rPr>
          <w:color w:val="231F20"/>
          <w:spacing w:val="-2"/>
          <w:sz w:val="20"/>
          <w:vertAlign w:val="baseline"/>
        </w:rPr>
        <w:t>autres</w:t>
      </w:r>
      <w:r>
        <w:rPr>
          <w:color w:val="231F20"/>
          <w:spacing w:val="-10"/>
          <w:sz w:val="20"/>
          <w:vertAlign w:val="baseline"/>
        </w:rPr>
        <w:t> </w:t>
      </w:r>
      <w:r>
        <w:rPr>
          <w:color w:val="231F20"/>
          <w:spacing w:val="-2"/>
          <w:sz w:val="20"/>
          <w:vertAlign w:val="baseline"/>
        </w:rPr>
        <w:t>ayant</w:t>
      </w:r>
      <w:r>
        <w:rPr>
          <w:color w:val="231F20"/>
          <w:spacing w:val="-10"/>
          <w:sz w:val="20"/>
          <w:vertAlign w:val="baseline"/>
        </w:rPr>
        <w:t> </w:t>
      </w:r>
      <w:r>
        <w:rPr>
          <w:color w:val="231F20"/>
          <w:spacing w:val="-2"/>
          <w:sz w:val="20"/>
          <w:vertAlign w:val="baseline"/>
        </w:rPr>
        <w:t>péri</w:t>
      </w:r>
      <w:r>
        <w:rPr>
          <w:color w:val="231F20"/>
          <w:spacing w:val="-10"/>
          <w:sz w:val="20"/>
          <w:vertAlign w:val="baseline"/>
        </w:rPr>
        <w:t> </w:t>
      </w:r>
      <w:r>
        <w:rPr>
          <w:color w:val="231F20"/>
          <w:spacing w:val="-2"/>
          <w:sz w:val="20"/>
          <w:vertAlign w:val="baseline"/>
        </w:rPr>
        <w:t>sur</w:t>
      </w:r>
      <w:r>
        <w:rPr>
          <w:color w:val="231F20"/>
          <w:spacing w:val="-9"/>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chemin</w:t>
      </w:r>
      <w:r>
        <w:rPr>
          <w:color w:val="231F20"/>
          <w:spacing w:val="-9"/>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l’exode.. Elles</w:t>
      </w:r>
      <w:r>
        <w:rPr>
          <w:color w:val="231F20"/>
          <w:spacing w:val="-3"/>
          <w:sz w:val="20"/>
          <w:vertAlign w:val="baseline"/>
        </w:rPr>
        <w:t> </w:t>
      </w:r>
      <w:r>
        <w:rPr>
          <w:color w:val="231F20"/>
          <w:spacing w:val="-2"/>
          <w:sz w:val="20"/>
          <w:vertAlign w:val="baseline"/>
        </w:rPr>
        <w:t>se</w:t>
      </w:r>
      <w:r>
        <w:rPr>
          <w:color w:val="231F20"/>
          <w:spacing w:val="-5"/>
          <w:sz w:val="20"/>
          <w:vertAlign w:val="baseline"/>
        </w:rPr>
        <w:t> </w:t>
      </w:r>
      <w:r>
        <w:rPr>
          <w:color w:val="231F20"/>
          <w:spacing w:val="-2"/>
          <w:sz w:val="20"/>
          <w:vertAlign w:val="baseline"/>
        </w:rPr>
        <w:t>sont</w:t>
      </w:r>
      <w:r>
        <w:rPr>
          <w:color w:val="231F20"/>
          <w:spacing w:val="-3"/>
          <w:sz w:val="20"/>
          <w:vertAlign w:val="baseline"/>
        </w:rPr>
        <w:t> </w:t>
      </w:r>
      <w:r>
        <w:rPr>
          <w:color w:val="231F20"/>
          <w:spacing w:val="-2"/>
          <w:sz w:val="20"/>
          <w:vertAlign w:val="baseline"/>
        </w:rPr>
        <w:t>installées</w:t>
      </w:r>
      <w:r>
        <w:rPr>
          <w:color w:val="231F20"/>
          <w:spacing w:val="-3"/>
          <w:sz w:val="20"/>
          <w:vertAlign w:val="baseline"/>
        </w:rPr>
        <w:t> </w:t>
      </w:r>
      <w:r>
        <w:rPr>
          <w:color w:val="231F20"/>
          <w:spacing w:val="-2"/>
          <w:sz w:val="20"/>
          <w:vertAlign w:val="baseline"/>
        </w:rPr>
        <w:t>avec</w:t>
      </w:r>
      <w:r>
        <w:rPr>
          <w:color w:val="231F20"/>
          <w:spacing w:val="-3"/>
          <w:sz w:val="20"/>
          <w:vertAlign w:val="baseline"/>
        </w:rPr>
        <w:t> </w:t>
      </w:r>
      <w:r>
        <w:rPr>
          <w:color w:val="231F20"/>
          <w:spacing w:val="-2"/>
          <w:sz w:val="20"/>
          <w:vertAlign w:val="baseline"/>
        </w:rPr>
        <w:t>leurs</w:t>
      </w:r>
      <w:r>
        <w:rPr>
          <w:color w:val="231F20"/>
          <w:spacing w:val="-3"/>
          <w:sz w:val="20"/>
          <w:vertAlign w:val="baseline"/>
        </w:rPr>
        <w:t> </w:t>
      </w:r>
      <w:r>
        <w:rPr>
          <w:color w:val="231F20"/>
          <w:spacing w:val="-2"/>
          <w:sz w:val="20"/>
          <w:vertAlign w:val="baseline"/>
        </w:rPr>
        <w:t>sept</w:t>
      </w:r>
      <w:r>
        <w:rPr>
          <w:color w:val="231F20"/>
          <w:spacing w:val="-3"/>
          <w:sz w:val="20"/>
          <w:vertAlign w:val="baseline"/>
        </w:rPr>
        <w:t> </w:t>
      </w:r>
      <w:r>
        <w:rPr>
          <w:color w:val="231F20"/>
          <w:spacing w:val="-2"/>
          <w:sz w:val="20"/>
          <w:vertAlign w:val="baseline"/>
        </w:rPr>
        <w:t>chaises</w:t>
      </w:r>
      <w:r>
        <w:rPr>
          <w:color w:val="231F20"/>
          <w:spacing w:val="-6"/>
          <w:sz w:val="20"/>
          <w:vertAlign w:val="baseline"/>
        </w:rPr>
        <w:t> </w:t>
      </w:r>
      <w:r>
        <w:rPr>
          <w:color w:val="231F20"/>
          <w:spacing w:val="-2"/>
          <w:sz w:val="20"/>
          <w:vertAlign w:val="baseline"/>
        </w:rPr>
        <w:t>qui</w:t>
      </w:r>
      <w:r>
        <w:rPr>
          <w:color w:val="231F20"/>
          <w:spacing w:val="-5"/>
          <w:sz w:val="20"/>
          <w:vertAlign w:val="baseline"/>
        </w:rPr>
        <w:t> </w:t>
      </w:r>
      <w:r>
        <w:rPr>
          <w:color w:val="231F20"/>
          <w:spacing w:val="-2"/>
          <w:sz w:val="20"/>
          <w:vertAlign w:val="baseline"/>
        </w:rPr>
        <w:t>symbolisent</w:t>
      </w:r>
      <w:r>
        <w:rPr>
          <w:color w:val="231F20"/>
          <w:spacing w:val="-8"/>
          <w:sz w:val="20"/>
          <w:vertAlign w:val="baseline"/>
        </w:rPr>
        <w:t> </w:t>
      </w:r>
      <w:r>
        <w:rPr>
          <w:color w:val="231F20"/>
          <w:spacing w:val="-2"/>
          <w:sz w:val="20"/>
          <w:vertAlign w:val="baseline"/>
        </w:rPr>
        <w:t>les</w:t>
      </w:r>
      <w:r>
        <w:rPr>
          <w:color w:val="231F20"/>
          <w:spacing w:val="-3"/>
          <w:sz w:val="20"/>
          <w:vertAlign w:val="baseline"/>
        </w:rPr>
        <w:t> </w:t>
      </w:r>
      <w:r>
        <w:rPr>
          <w:color w:val="231F20"/>
          <w:spacing w:val="-2"/>
          <w:sz w:val="20"/>
          <w:vertAlign w:val="baseline"/>
        </w:rPr>
        <w:t>sept</w:t>
      </w:r>
      <w:r>
        <w:rPr>
          <w:color w:val="231F20"/>
          <w:spacing w:val="-8"/>
          <w:sz w:val="20"/>
          <w:vertAlign w:val="baseline"/>
        </w:rPr>
        <w:t> </w:t>
      </w:r>
      <w:r>
        <w:rPr>
          <w:color w:val="231F20"/>
          <w:spacing w:val="-2"/>
          <w:sz w:val="20"/>
          <w:vertAlign w:val="baseline"/>
        </w:rPr>
        <w:t>grandes</w:t>
      </w:r>
      <w:r>
        <w:rPr>
          <w:color w:val="231F20"/>
          <w:spacing w:val="-5"/>
          <w:sz w:val="20"/>
          <w:vertAlign w:val="baseline"/>
        </w:rPr>
        <w:t> </w:t>
      </w:r>
      <w:r>
        <w:rPr>
          <w:color w:val="231F20"/>
          <w:spacing w:val="-2"/>
          <w:sz w:val="20"/>
          <w:vertAlign w:val="baseline"/>
        </w:rPr>
        <w:t>familles </w:t>
      </w:r>
      <w:r>
        <w:rPr>
          <w:color w:val="231F20"/>
          <w:sz w:val="20"/>
          <w:vertAlign w:val="baseline"/>
        </w:rPr>
        <w:t>royales</w:t>
      </w:r>
      <w:r>
        <w:rPr>
          <w:color w:val="231F20"/>
          <w:spacing w:val="-1"/>
          <w:sz w:val="20"/>
          <w:vertAlign w:val="baseline"/>
        </w:rPr>
        <w:t> </w:t>
      </w:r>
      <w:r>
        <w:rPr>
          <w:color w:val="231F20"/>
          <w:sz w:val="20"/>
          <w:vertAlign w:val="baseline"/>
        </w:rPr>
        <w:t>dans le Sud-Est de la Côte d’Ivoire.</w:t>
      </w:r>
    </w:p>
    <w:p>
      <w:pPr>
        <w:spacing w:before="2"/>
        <w:ind w:left="111" w:right="0" w:firstLine="0"/>
        <w:jc w:val="both"/>
        <w:rPr>
          <w:sz w:val="20"/>
        </w:rPr>
      </w:pPr>
      <w:r>
        <w:rPr>
          <w:color w:val="76787A"/>
          <w:spacing w:val="-2"/>
          <w:sz w:val="20"/>
          <w:vertAlign w:val="superscript"/>
        </w:rPr>
        <w:t>125</w:t>
      </w:r>
      <w:r>
        <w:rPr>
          <w:color w:val="76787A"/>
          <w:spacing w:val="-11"/>
          <w:sz w:val="20"/>
          <w:vertAlign w:val="baseline"/>
        </w:rPr>
        <w:t> </w:t>
      </w:r>
      <w:r>
        <w:rPr>
          <w:color w:val="231F20"/>
          <w:spacing w:val="-2"/>
          <w:sz w:val="20"/>
          <w:vertAlign w:val="baseline"/>
        </w:rPr>
        <w:t>Les</w:t>
      </w:r>
      <w:r>
        <w:rPr>
          <w:color w:val="231F20"/>
          <w:spacing w:val="-10"/>
          <w:sz w:val="20"/>
          <w:vertAlign w:val="baseline"/>
        </w:rPr>
        <w:t> </w:t>
      </w:r>
      <w:r>
        <w:rPr>
          <w:color w:val="231F20"/>
          <w:spacing w:val="-2"/>
          <w:sz w:val="20"/>
          <w:vertAlign w:val="baseline"/>
        </w:rPr>
        <w:t>Bétés</w:t>
      </w:r>
      <w:r>
        <w:rPr>
          <w:color w:val="231F20"/>
          <w:spacing w:val="-11"/>
          <w:sz w:val="20"/>
          <w:vertAlign w:val="baseline"/>
        </w:rPr>
        <w:t> </w:t>
      </w:r>
      <w:r>
        <w:rPr>
          <w:color w:val="231F20"/>
          <w:spacing w:val="-2"/>
          <w:sz w:val="20"/>
          <w:vertAlign w:val="baseline"/>
        </w:rPr>
        <w:t>sont</w:t>
      </w:r>
      <w:r>
        <w:rPr>
          <w:color w:val="231F20"/>
          <w:spacing w:val="-10"/>
          <w:sz w:val="20"/>
          <w:vertAlign w:val="baseline"/>
        </w:rPr>
        <w:t> </w:t>
      </w:r>
      <w:r>
        <w:rPr>
          <w:color w:val="231F20"/>
          <w:spacing w:val="-2"/>
          <w:sz w:val="20"/>
          <w:vertAlign w:val="baseline"/>
        </w:rPr>
        <w:t>un</w:t>
      </w:r>
      <w:r>
        <w:rPr>
          <w:color w:val="231F20"/>
          <w:spacing w:val="-11"/>
          <w:sz w:val="20"/>
          <w:vertAlign w:val="baseline"/>
        </w:rPr>
        <w:t> </w:t>
      </w:r>
      <w:r>
        <w:rPr>
          <w:color w:val="231F20"/>
          <w:spacing w:val="-2"/>
          <w:sz w:val="20"/>
          <w:vertAlign w:val="baseline"/>
        </w:rPr>
        <w:t>peuple</w:t>
      </w:r>
      <w:r>
        <w:rPr>
          <w:color w:val="231F20"/>
          <w:spacing w:val="-10"/>
          <w:sz w:val="20"/>
          <w:vertAlign w:val="baseline"/>
        </w:rPr>
        <w:t> </w:t>
      </w:r>
      <w:r>
        <w:rPr>
          <w:color w:val="231F20"/>
          <w:spacing w:val="-2"/>
          <w:sz w:val="20"/>
          <w:vertAlign w:val="baseline"/>
        </w:rPr>
        <w:t>vivant</w:t>
      </w:r>
      <w:r>
        <w:rPr>
          <w:color w:val="231F20"/>
          <w:spacing w:val="-11"/>
          <w:sz w:val="20"/>
          <w:vertAlign w:val="baseline"/>
        </w:rPr>
        <w:t> </w:t>
      </w:r>
      <w:r>
        <w:rPr>
          <w:color w:val="231F20"/>
          <w:spacing w:val="-2"/>
          <w:sz w:val="20"/>
          <w:vertAlign w:val="baseline"/>
        </w:rPr>
        <w:t>dans</w:t>
      </w:r>
      <w:r>
        <w:rPr>
          <w:color w:val="231F20"/>
          <w:spacing w:val="-10"/>
          <w:sz w:val="20"/>
          <w:vertAlign w:val="baseline"/>
        </w:rPr>
        <w:t> </w:t>
      </w:r>
      <w:r>
        <w:rPr>
          <w:color w:val="231F20"/>
          <w:spacing w:val="-2"/>
          <w:sz w:val="20"/>
          <w:vertAlign w:val="baseline"/>
        </w:rPr>
        <w:t>le</w:t>
      </w:r>
      <w:r>
        <w:rPr>
          <w:color w:val="231F20"/>
          <w:spacing w:val="-11"/>
          <w:sz w:val="20"/>
          <w:vertAlign w:val="baseline"/>
        </w:rPr>
        <w:t> </w:t>
      </w:r>
      <w:r>
        <w:rPr>
          <w:color w:val="231F20"/>
          <w:spacing w:val="-2"/>
          <w:sz w:val="20"/>
          <w:vertAlign w:val="baseline"/>
        </w:rPr>
        <w:t>Centre-Ouest</w:t>
      </w:r>
      <w:r>
        <w:rPr>
          <w:color w:val="231F20"/>
          <w:spacing w:val="-10"/>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la</w:t>
      </w:r>
      <w:r>
        <w:rPr>
          <w:color w:val="231F20"/>
          <w:spacing w:val="-9"/>
          <w:sz w:val="20"/>
          <w:vertAlign w:val="baseline"/>
        </w:rPr>
        <w:t> </w:t>
      </w:r>
      <w:r>
        <w:rPr>
          <w:color w:val="231F20"/>
          <w:spacing w:val="-2"/>
          <w:sz w:val="20"/>
          <w:vertAlign w:val="baseline"/>
        </w:rPr>
        <w:t>Côte</w:t>
      </w:r>
      <w:r>
        <w:rPr>
          <w:color w:val="231F20"/>
          <w:spacing w:val="-10"/>
          <w:sz w:val="20"/>
          <w:vertAlign w:val="baseline"/>
        </w:rPr>
        <w:t> </w:t>
      </w:r>
      <w:r>
        <w:rPr>
          <w:color w:val="231F20"/>
          <w:spacing w:val="-2"/>
          <w:sz w:val="20"/>
          <w:vertAlign w:val="baseline"/>
        </w:rPr>
        <w:t>d'Ivoire.</w:t>
      </w:r>
    </w:p>
    <w:p>
      <w:pPr>
        <w:spacing w:before="0"/>
        <w:ind w:left="111" w:right="0" w:firstLine="0"/>
        <w:jc w:val="both"/>
        <w:rPr>
          <w:sz w:val="20"/>
        </w:rPr>
      </w:pPr>
      <w:r>
        <w:rPr>
          <w:color w:val="76787A"/>
          <w:spacing w:val="-2"/>
          <w:sz w:val="20"/>
          <w:vertAlign w:val="superscript"/>
        </w:rPr>
        <w:t>126</w:t>
      </w:r>
      <w:r>
        <w:rPr>
          <w:color w:val="76787A"/>
          <w:spacing w:val="-5"/>
          <w:sz w:val="20"/>
          <w:vertAlign w:val="baseline"/>
        </w:rPr>
        <w:t> </w:t>
      </w:r>
      <w:r>
        <w:rPr>
          <w:color w:val="231F20"/>
          <w:spacing w:val="-2"/>
          <w:sz w:val="20"/>
          <w:vertAlign w:val="baseline"/>
        </w:rPr>
        <w:t>Sous</w:t>
      </w:r>
      <w:r>
        <w:rPr>
          <w:color w:val="231F20"/>
          <w:spacing w:val="-10"/>
          <w:sz w:val="20"/>
          <w:vertAlign w:val="baseline"/>
        </w:rPr>
        <w:t> </w:t>
      </w:r>
      <w:r>
        <w:rPr>
          <w:color w:val="231F20"/>
          <w:spacing w:val="-2"/>
          <w:sz w:val="20"/>
          <w:vertAlign w:val="baseline"/>
        </w:rPr>
        <w:t>groupe</w:t>
      </w:r>
      <w:r>
        <w:rPr>
          <w:color w:val="231F20"/>
          <w:spacing w:val="-8"/>
          <w:sz w:val="20"/>
          <w:vertAlign w:val="baseline"/>
        </w:rPr>
        <w:t> </w:t>
      </w:r>
      <w:r>
        <w:rPr>
          <w:color w:val="231F20"/>
          <w:spacing w:val="-2"/>
          <w:sz w:val="20"/>
          <w:vertAlign w:val="baseline"/>
        </w:rPr>
        <w:t>des</w:t>
      </w:r>
      <w:r>
        <w:rPr>
          <w:color w:val="231F20"/>
          <w:spacing w:val="-9"/>
          <w:sz w:val="20"/>
          <w:vertAlign w:val="baseline"/>
        </w:rPr>
        <w:t> </w:t>
      </w:r>
      <w:r>
        <w:rPr>
          <w:color w:val="231F20"/>
          <w:spacing w:val="-2"/>
          <w:sz w:val="20"/>
          <w:vertAlign w:val="baseline"/>
        </w:rPr>
        <w:t>Bétés.</w:t>
      </w:r>
    </w:p>
    <w:p>
      <w:pPr>
        <w:spacing w:after="0"/>
        <w:jc w:val="both"/>
        <w:rPr>
          <w:sz w:val="20"/>
        </w:rPr>
        <w:sectPr>
          <w:pgSz w:w="8790" w:h="13610"/>
          <w:pgMar w:header="0" w:footer="802" w:top="1060" w:bottom="1000" w:left="880" w:right="880"/>
        </w:sectPr>
      </w:pPr>
    </w:p>
    <w:p>
      <w:pPr>
        <w:pStyle w:val="BodyText"/>
        <w:spacing w:before="86"/>
        <w:ind w:right="104"/>
      </w:pPr>
      <w:r>
        <w:rPr>
          <w:color w:val="231F20"/>
          <w:spacing w:val="-2"/>
        </w:rPr>
        <w:t>et</w:t>
      </w:r>
      <w:r>
        <w:rPr>
          <w:color w:val="231F20"/>
          <w:spacing w:val="-15"/>
        </w:rPr>
        <w:t> </w:t>
      </w:r>
      <w:r>
        <w:rPr>
          <w:color w:val="231F20"/>
          <w:spacing w:val="-2"/>
        </w:rPr>
        <w:t>le</w:t>
      </w:r>
      <w:r>
        <w:rPr>
          <w:color w:val="231F20"/>
          <w:spacing w:val="-13"/>
        </w:rPr>
        <w:t> </w:t>
      </w:r>
      <w:r>
        <w:rPr>
          <w:color w:val="231F20"/>
          <w:spacing w:val="-2"/>
        </w:rPr>
        <w:t>roi</w:t>
      </w:r>
      <w:r>
        <w:rPr>
          <w:color w:val="231F20"/>
          <w:spacing w:val="-13"/>
        </w:rPr>
        <w:t> </w:t>
      </w:r>
      <w:r>
        <w:rPr>
          <w:color w:val="231F20"/>
          <w:spacing w:val="-2"/>
        </w:rPr>
        <w:t>Amon</w:t>
      </w:r>
      <w:r>
        <w:rPr>
          <w:color w:val="231F20"/>
          <w:spacing w:val="-13"/>
        </w:rPr>
        <w:t> </w:t>
      </w:r>
      <w:r>
        <w:rPr>
          <w:color w:val="231F20"/>
          <w:spacing w:val="-2"/>
        </w:rPr>
        <w:t>N’douffou</w:t>
      </w:r>
      <w:r>
        <w:rPr>
          <w:color w:val="231F20"/>
          <w:spacing w:val="-13"/>
        </w:rPr>
        <w:t> </w:t>
      </w:r>
      <w:r>
        <w:rPr>
          <w:color w:val="231F20"/>
          <w:spacing w:val="-2"/>
        </w:rPr>
        <w:t>III</w:t>
      </w:r>
      <w:r>
        <w:rPr>
          <w:color w:val="231F20"/>
          <w:spacing w:val="-13"/>
        </w:rPr>
        <w:t> </w:t>
      </w:r>
      <w:r>
        <w:rPr>
          <w:color w:val="231F20"/>
          <w:spacing w:val="-2"/>
        </w:rPr>
        <w:t>roi</w:t>
      </w:r>
      <w:r>
        <w:rPr>
          <w:color w:val="231F20"/>
          <w:spacing w:val="-13"/>
        </w:rPr>
        <w:t> </w:t>
      </w:r>
      <w:r>
        <w:rPr>
          <w:color w:val="231F20"/>
          <w:spacing w:val="-2"/>
        </w:rPr>
        <w:t>du</w:t>
      </w:r>
      <w:r>
        <w:rPr>
          <w:color w:val="231F20"/>
          <w:spacing w:val="-13"/>
        </w:rPr>
        <w:t> </w:t>
      </w:r>
      <w:r>
        <w:rPr>
          <w:color w:val="231F20"/>
          <w:spacing w:val="-2"/>
        </w:rPr>
        <w:t>Sanwi</w:t>
      </w:r>
      <w:r>
        <w:rPr>
          <w:color w:val="231F20"/>
          <w:spacing w:val="-2"/>
          <w:vertAlign w:val="superscript"/>
        </w:rPr>
        <w:t>127</w:t>
      </w:r>
      <w:r>
        <w:rPr>
          <w:color w:val="231F20"/>
          <w:spacing w:val="-2"/>
          <w:vertAlign w:val="baseline"/>
        </w:rPr>
        <w:t>.</w:t>
      </w:r>
      <w:r>
        <w:rPr>
          <w:color w:val="231F20"/>
          <w:spacing w:val="-13"/>
          <w:vertAlign w:val="baseline"/>
        </w:rPr>
        <w:t> </w:t>
      </w:r>
      <w:r>
        <w:rPr>
          <w:color w:val="231F20"/>
          <w:spacing w:val="-2"/>
          <w:vertAlign w:val="baseline"/>
        </w:rPr>
        <w:t>Ils</w:t>
      </w:r>
      <w:r>
        <w:rPr>
          <w:color w:val="231F20"/>
          <w:spacing w:val="-13"/>
          <w:vertAlign w:val="baseline"/>
        </w:rPr>
        <w:t> </w:t>
      </w:r>
      <w:r>
        <w:rPr>
          <w:color w:val="231F20"/>
          <w:spacing w:val="-2"/>
          <w:vertAlign w:val="baseline"/>
        </w:rPr>
        <w:t>suggèrent</w:t>
      </w:r>
      <w:r>
        <w:rPr>
          <w:color w:val="231F20"/>
          <w:spacing w:val="-13"/>
          <w:vertAlign w:val="baseline"/>
        </w:rPr>
        <w:t> </w:t>
      </w:r>
      <w:r>
        <w:rPr>
          <w:color w:val="231F20"/>
          <w:spacing w:val="-2"/>
          <w:vertAlign w:val="baseline"/>
        </w:rPr>
        <w:t>l’ouverture</w:t>
      </w:r>
      <w:r>
        <w:rPr>
          <w:color w:val="231F20"/>
          <w:spacing w:val="-13"/>
          <w:vertAlign w:val="baseline"/>
        </w:rPr>
        <w:t> </w:t>
      </w:r>
      <w:r>
        <w:rPr>
          <w:color w:val="231F20"/>
          <w:spacing w:val="-2"/>
          <w:vertAlign w:val="baseline"/>
        </w:rPr>
        <w:t>de </w:t>
      </w:r>
      <w:r>
        <w:rPr>
          <w:color w:val="231F20"/>
          <w:vertAlign w:val="baseline"/>
        </w:rPr>
        <w:t>discussions entre la France et le royaume Sanwi qui sollicite son </w:t>
      </w:r>
      <w:r>
        <w:rPr>
          <w:color w:val="231F20"/>
          <w:spacing w:val="-2"/>
          <w:vertAlign w:val="baseline"/>
        </w:rPr>
        <w:t>indépendance</w:t>
      </w:r>
      <w:r>
        <w:rPr>
          <w:color w:val="231F20"/>
          <w:spacing w:val="-15"/>
          <w:vertAlign w:val="baseline"/>
        </w:rPr>
        <w:t> </w:t>
      </w:r>
      <w:r>
        <w:rPr>
          <w:color w:val="231F20"/>
          <w:spacing w:val="-2"/>
          <w:vertAlign w:val="baseline"/>
        </w:rPr>
        <w:t>conformément</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l’article</w:t>
      </w:r>
      <w:r>
        <w:rPr>
          <w:color w:val="231F20"/>
          <w:spacing w:val="-13"/>
          <w:vertAlign w:val="baseline"/>
        </w:rPr>
        <w:t> </w:t>
      </w:r>
      <w:r>
        <w:rPr>
          <w:color w:val="231F20"/>
          <w:spacing w:val="-2"/>
          <w:vertAlign w:val="baseline"/>
        </w:rPr>
        <w:t>88</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Constitution</w:t>
      </w:r>
      <w:r>
        <w:rPr>
          <w:color w:val="231F20"/>
          <w:spacing w:val="-13"/>
          <w:vertAlign w:val="baseline"/>
        </w:rPr>
        <w:t> </w:t>
      </w:r>
      <w:r>
        <w:rPr>
          <w:color w:val="231F20"/>
          <w:spacing w:val="-2"/>
          <w:vertAlign w:val="baseline"/>
        </w:rPr>
        <w:t>française</w:t>
      </w:r>
      <w:r>
        <w:rPr>
          <w:color w:val="231F20"/>
          <w:spacing w:val="-13"/>
          <w:vertAlign w:val="baseline"/>
        </w:rPr>
        <w:t> </w:t>
      </w:r>
      <w:r>
        <w:rPr>
          <w:color w:val="231F20"/>
          <w:spacing w:val="-2"/>
          <w:vertAlign w:val="baseline"/>
        </w:rPr>
        <w:t>de </w:t>
      </w:r>
      <w:r>
        <w:rPr>
          <w:color w:val="231F20"/>
          <w:vertAlign w:val="baseline"/>
        </w:rPr>
        <w:t>1958 en vue de conclure un accord d’association et de l’échange d’ambassadeurs. Paris refuse et s’aligne sur les positions du gouvernement de</w:t>
      </w:r>
      <w:r>
        <w:rPr>
          <w:color w:val="231F20"/>
          <w:spacing w:val="-1"/>
          <w:vertAlign w:val="baseline"/>
        </w:rPr>
        <w:t> </w:t>
      </w:r>
      <w:r>
        <w:rPr>
          <w:color w:val="231F20"/>
          <w:vertAlign w:val="baseline"/>
        </w:rPr>
        <w:t>Côte d’Ivoire</w:t>
      </w:r>
      <w:r>
        <w:rPr>
          <w:color w:val="231F20"/>
          <w:spacing w:val="-15"/>
          <w:vertAlign w:val="baseline"/>
        </w:rPr>
        <w:t> </w:t>
      </w:r>
      <w:r>
        <w:rPr>
          <w:color w:val="231F20"/>
          <w:vertAlign w:val="baseline"/>
        </w:rPr>
        <w:t>: avec</w:t>
      </w:r>
      <w:r>
        <w:rPr>
          <w:color w:val="231F20"/>
          <w:spacing w:val="-1"/>
          <w:vertAlign w:val="baseline"/>
        </w:rPr>
        <w:t> </w:t>
      </w:r>
      <w:r>
        <w:rPr>
          <w:color w:val="231F20"/>
          <w:vertAlign w:val="baseline"/>
        </w:rPr>
        <w:t>la création de la colonie</w:t>
      </w:r>
      <w:r>
        <w:rPr>
          <w:color w:val="231F20"/>
          <w:spacing w:val="-1"/>
          <w:vertAlign w:val="baseline"/>
        </w:rPr>
        <w:t> </w:t>
      </w:r>
      <w:r>
        <w:rPr>
          <w:color w:val="231F20"/>
          <w:vertAlign w:val="baseline"/>
        </w:rPr>
        <w:t>de</w:t>
      </w:r>
      <w:r>
        <w:rPr>
          <w:color w:val="231F20"/>
          <w:spacing w:val="-1"/>
          <w:vertAlign w:val="baseline"/>
        </w:rPr>
        <w:t> </w:t>
      </w:r>
      <w:r>
        <w:rPr>
          <w:color w:val="231F20"/>
          <w:vertAlign w:val="baseline"/>
        </w:rPr>
        <w:t>Côte d’ivoire</w:t>
      </w:r>
      <w:r>
        <w:rPr>
          <w:color w:val="231F20"/>
          <w:spacing w:val="-15"/>
          <w:vertAlign w:val="baseline"/>
        </w:rPr>
        <w:t> </w:t>
      </w:r>
      <w:r>
        <w:rPr>
          <w:color w:val="231F20"/>
          <w:vertAlign w:val="baseline"/>
        </w:rPr>
        <w:t>par</w:t>
      </w:r>
      <w:r>
        <w:rPr>
          <w:color w:val="231F20"/>
          <w:spacing w:val="-15"/>
          <w:vertAlign w:val="baseline"/>
        </w:rPr>
        <w:t> </w:t>
      </w:r>
      <w:r>
        <w:rPr>
          <w:color w:val="231F20"/>
          <w:vertAlign w:val="baseline"/>
        </w:rPr>
        <w:t>décret</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10</w:t>
      </w:r>
      <w:r>
        <w:rPr>
          <w:color w:val="231F20"/>
          <w:spacing w:val="-15"/>
          <w:vertAlign w:val="baseline"/>
        </w:rPr>
        <w:t> </w:t>
      </w:r>
      <w:r>
        <w:rPr>
          <w:color w:val="231F20"/>
          <w:vertAlign w:val="baseline"/>
        </w:rPr>
        <w:t>mars</w:t>
      </w:r>
      <w:r>
        <w:rPr>
          <w:color w:val="231F20"/>
          <w:spacing w:val="-15"/>
          <w:vertAlign w:val="baseline"/>
        </w:rPr>
        <w:t> </w:t>
      </w:r>
      <w:r>
        <w:rPr>
          <w:color w:val="231F20"/>
          <w:vertAlign w:val="baseline"/>
        </w:rPr>
        <w:t>1893,</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traités</w:t>
      </w:r>
      <w:r>
        <w:rPr>
          <w:color w:val="231F20"/>
          <w:spacing w:val="-15"/>
          <w:vertAlign w:val="baseline"/>
        </w:rPr>
        <w:t> </w:t>
      </w:r>
      <w:r>
        <w:rPr>
          <w:color w:val="231F20"/>
          <w:vertAlign w:val="baseline"/>
        </w:rPr>
        <w:t>antérieurs</w:t>
      </w:r>
      <w:r>
        <w:rPr>
          <w:color w:val="231F20"/>
          <w:spacing w:val="-15"/>
          <w:vertAlign w:val="baseline"/>
        </w:rPr>
        <w:t> </w:t>
      </w:r>
      <w:r>
        <w:rPr>
          <w:color w:val="231F20"/>
          <w:vertAlign w:val="baseline"/>
        </w:rPr>
        <w:t>entre</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France et</w:t>
      </w:r>
      <w:r>
        <w:rPr>
          <w:color w:val="231F20"/>
          <w:spacing w:val="-12"/>
          <w:vertAlign w:val="baseline"/>
        </w:rPr>
        <w:t> </w:t>
      </w:r>
      <w:r>
        <w:rPr>
          <w:color w:val="231F20"/>
          <w:vertAlign w:val="baseline"/>
        </w:rPr>
        <w:t>les</w:t>
      </w:r>
      <w:r>
        <w:rPr>
          <w:color w:val="231F20"/>
          <w:spacing w:val="-12"/>
          <w:vertAlign w:val="baseline"/>
        </w:rPr>
        <w:t> </w:t>
      </w:r>
      <w:r>
        <w:rPr>
          <w:color w:val="231F20"/>
          <w:vertAlign w:val="baseline"/>
        </w:rPr>
        <w:t>monarques</w:t>
      </w:r>
      <w:r>
        <w:rPr>
          <w:color w:val="231F20"/>
          <w:spacing w:val="-14"/>
          <w:vertAlign w:val="baseline"/>
        </w:rPr>
        <w:t> </w:t>
      </w:r>
      <w:r>
        <w:rPr>
          <w:color w:val="231F20"/>
          <w:vertAlign w:val="baseline"/>
        </w:rPr>
        <w:t>locaux</w:t>
      </w:r>
      <w:r>
        <w:rPr>
          <w:color w:val="231F20"/>
          <w:spacing w:val="-14"/>
          <w:vertAlign w:val="baseline"/>
        </w:rPr>
        <w:t> </w:t>
      </w:r>
      <w:r>
        <w:rPr>
          <w:color w:val="231F20"/>
          <w:vertAlign w:val="baseline"/>
        </w:rPr>
        <w:t>tel</w:t>
      </w:r>
      <w:r>
        <w:rPr>
          <w:color w:val="231F20"/>
          <w:spacing w:val="-12"/>
          <w:vertAlign w:val="baseline"/>
        </w:rPr>
        <w:t> </w:t>
      </w:r>
      <w:r>
        <w:rPr>
          <w:color w:val="231F20"/>
          <w:vertAlign w:val="baseline"/>
        </w:rPr>
        <w:t>le</w:t>
      </w:r>
      <w:r>
        <w:rPr>
          <w:color w:val="231F20"/>
          <w:spacing w:val="-12"/>
          <w:vertAlign w:val="baseline"/>
        </w:rPr>
        <w:t> </w:t>
      </w:r>
      <w:r>
        <w:rPr>
          <w:color w:val="231F20"/>
          <w:vertAlign w:val="baseline"/>
        </w:rPr>
        <w:t>traité</w:t>
      </w:r>
      <w:r>
        <w:rPr>
          <w:color w:val="231F20"/>
          <w:spacing w:val="-12"/>
          <w:vertAlign w:val="baseline"/>
        </w:rPr>
        <w:t> </w:t>
      </w:r>
      <w:r>
        <w:rPr>
          <w:color w:val="231F20"/>
          <w:vertAlign w:val="baseline"/>
        </w:rPr>
        <w:t>de</w:t>
      </w:r>
      <w:r>
        <w:rPr>
          <w:color w:val="231F20"/>
          <w:spacing w:val="-12"/>
          <w:vertAlign w:val="baseline"/>
        </w:rPr>
        <w:t> </w:t>
      </w:r>
      <w:r>
        <w:rPr>
          <w:color w:val="231F20"/>
          <w:vertAlign w:val="baseline"/>
        </w:rPr>
        <w:t>1843</w:t>
      </w:r>
      <w:r>
        <w:rPr>
          <w:color w:val="231F20"/>
          <w:spacing w:val="-12"/>
          <w:vertAlign w:val="baseline"/>
        </w:rPr>
        <w:t> </w:t>
      </w:r>
      <w:r>
        <w:rPr>
          <w:color w:val="231F20"/>
          <w:vertAlign w:val="baseline"/>
        </w:rPr>
        <w:t>conclu</w:t>
      </w:r>
      <w:r>
        <w:rPr>
          <w:color w:val="231F20"/>
          <w:spacing w:val="-14"/>
          <w:vertAlign w:val="baseline"/>
        </w:rPr>
        <w:t> </w:t>
      </w:r>
      <w:r>
        <w:rPr>
          <w:color w:val="231F20"/>
          <w:vertAlign w:val="baseline"/>
        </w:rPr>
        <w:t>avec</w:t>
      </w:r>
      <w:r>
        <w:rPr>
          <w:color w:val="231F20"/>
          <w:spacing w:val="-12"/>
          <w:vertAlign w:val="baseline"/>
        </w:rPr>
        <w:t> </w:t>
      </w:r>
      <w:r>
        <w:rPr>
          <w:color w:val="231F20"/>
          <w:vertAlign w:val="baseline"/>
        </w:rPr>
        <w:t>le</w:t>
      </w:r>
      <w:r>
        <w:rPr>
          <w:color w:val="231F20"/>
          <w:spacing w:val="-12"/>
          <w:vertAlign w:val="baseline"/>
        </w:rPr>
        <w:t> </w:t>
      </w:r>
      <w:r>
        <w:rPr>
          <w:color w:val="231F20"/>
          <w:vertAlign w:val="baseline"/>
        </w:rPr>
        <w:t>roi</w:t>
      </w:r>
      <w:r>
        <w:rPr>
          <w:color w:val="231F20"/>
          <w:spacing w:val="-12"/>
          <w:vertAlign w:val="baseline"/>
        </w:rPr>
        <w:t> </w:t>
      </w:r>
      <w:r>
        <w:rPr>
          <w:color w:val="231F20"/>
          <w:vertAlign w:val="baseline"/>
        </w:rPr>
        <w:t>du</w:t>
      </w:r>
      <w:r>
        <w:rPr>
          <w:color w:val="231F20"/>
          <w:spacing w:val="-14"/>
          <w:vertAlign w:val="baseline"/>
        </w:rPr>
        <w:t> </w:t>
      </w:r>
      <w:r>
        <w:rPr>
          <w:color w:val="231F20"/>
          <w:vertAlign w:val="baseline"/>
        </w:rPr>
        <w:t>Sanwi sont devenus caduques.</w:t>
      </w:r>
    </w:p>
    <w:p>
      <w:pPr>
        <w:pStyle w:val="BodyText"/>
        <w:spacing w:before="121"/>
        <w:ind w:right="104" w:firstLine="283"/>
      </w:pPr>
      <w:r>
        <w:rPr>
          <w:color w:val="231F20"/>
          <w:spacing w:val="-4"/>
        </w:rPr>
        <w:t>Aux</w:t>
      </w:r>
      <w:r>
        <w:rPr>
          <w:color w:val="231F20"/>
          <w:spacing w:val="-7"/>
        </w:rPr>
        <w:t> </w:t>
      </w:r>
      <w:r>
        <w:rPr>
          <w:color w:val="231F20"/>
          <w:spacing w:val="-4"/>
        </w:rPr>
        <w:t>élections</w:t>
      </w:r>
      <w:r>
        <w:rPr>
          <w:color w:val="231F20"/>
          <w:spacing w:val="-6"/>
        </w:rPr>
        <w:t> </w:t>
      </w:r>
      <w:r>
        <w:rPr>
          <w:color w:val="231F20"/>
          <w:spacing w:val="-4"/>
        </w:rPr>
        <w:t>législatives</w:t>
      </w:r>
      <w:r>
        <w:rPr>
          <w:color w:val="231F20"/>
          <w:spacing w:val="-9"/>
        </w:rPr>
        <w:t> </w:t>
      </w:r>
      <w:r>
        <w:rPr>
          <w:color w:val="231F20"/>
          <w:spacing w:val="-4"/>
        </w:rPr>
        <w:t>organisées</w:t>
      </w:r>
      <w:r>
        <w:rPr>
          <w:color w:val="231F20"/>
          <w:spacing w:val="-9"/>
        </w:rPr>
        <w:t> </w:t>
      </w:r>
      <w:r>
        <w:rPr>
          <w:color w:val="231F20"/>
          <w:spacing w:val="-4"/>
        </w:rPr>
        <w:t>le</w:t>
      </w:r>
      <w:r>
        <w:rPr>
          <w:color w:val="231F20"/>
          <w:spacing w:val="-7"/>
        </w:rPr>
        <w:t> </w:t>
      </w:r>
      <w:r>
        <w:rPr>
          <w:color w:val="231F20"/>
          <w:spacing w:val="-4"/>
        </w:rPr>
        <w:t>12</w:t>
      </w:r>
      <w:r>
        <w:rPr>
          <w:color w:val="231F20"/>
          <w:spacing w:val="-6"/>
        </w:rPr>
        <w:t> </w:t>
      </w:r>
      <w:r>
        <w:rPr>
          <w:color w:val="231F20"/>
          <w:spacing w:val="-4"/>
        </w:rPr>
        <w:t>avril</w:t>
      </w:r>
      <w:r>
        <w:rPr>
          <w:color w:val="231F20"/>
          <w:spacing w:val="-6"/>
        </w:rPr>
        <w:t> </w:t>
      </w:r>
      <w:r>
        <w:rPr>
          <w:color w:val="231F20"/>
          <w:spacing w:val="-4"/>
        </w:rPr>
        <w:t>1959,</w:t>
      </w:r>
      <w:r>
        <w:rPr>
          <w:color w:val="231F20"/>
          <w:spacing w:val="-7"/>
        </w:rPr>
        <w:t> </w:t>
      </w:r>
      <w:r>
        <w:rPr>
          <w:color w:val="231F20"/>
          <w:spacing w:val="-4"/>
        </w:rPr>
        <w:t>le</w:t>
      </w:r>
      <w:r>
        <w:rPr>
          <w:color w:val="231F20"/>
          <w:spacing w:val="-7"/>
        </w:rPr>
        <w:t> </w:t>
      </w:r>
      <w:r>
        <w:rPr>
          <w:color w:val="231F20"/>
          <w:spacing w:val="-4"/>
        </w:rPr>
        <w:t>roi</w:t>
      </w:r>
      <w:r>
        <w:rPr>
          <w:color w:val="231F20"/>
          <w:spacing w:val="-6"/>
        </w:rPr>
        <w:t> </w:t>
      </w:r>
      <w:r>
        <w:rPr>
          <w:color w:val="231F20"/>
          <w:spacing w:val="-4"/>
        </w:rPr>
        <w:t>N’douffou </w:t>
      </w:r>
      <w:r>
        <w:rPr>
          <w:color w:val="231F20"/>
        </w:rPr>
        <w:t>III</w:t>
      </w:r>
      <w:r>
        <w:rPr>
          <w:color w:val="231F20"/>
          <w:spacing w:val="-14"/>
        </w:rPr>
        <w:t> </w:t>
      </w:r>
      <w:r>
        <w:rPr>
          <w:color w:val="231F20"/>
        </w:rPr>
        <w:t>ordonne</w:t>
      </w:r>
      <w:r>
        <w:rPr>
          <w:color w:val="231F20"/>
          <w:spacing w:val="-12"/>
        </w:rPr>
        <w:t> </w:t>
      </w:r>
      <w:r>
        <w:rPr>
          <w:color w:val="231F20"/>
        </w:rPr>
        <w:t>à</w:t>
      </w:r>
      <w:r>
        <w:rPr>
          <w:color w:val="231F20"/>
          <w:spacing w:val="-12"/>
        </w:rPr>
        <w:t> </w:t>
      </w:r>
      <w:r>
        <w:rPr>
          <w:color w:val="231F20"/>
        </w:rPr>
        <w:t>ses</w:t>
      </w:r>
      <w:r>
        <w:rPr>
          <w:color w:val="231F20"/>
          <w:spacing w:val="-14"/>
        </w:rPr>
        <w:t> </w:t>
      </w:r>
      <w:r>
        <w:rPr>
          <w:color w:val="231F20"/>
        </w:rPr>
        <w:t>sujets</w:t>
      </w:r>
      <w:r>
        <w:rPr>
          <w:color w:val="231F20"/>
          <w:spacing w:val="-14"/>
        </w:rPr>
        <w:t> </w:t>
      </w:r>
      <w:r>
        <w:rPr>
          <w:color w:val="231F20"/>
        </w:rPr>
        <w:t>de</w:t>
      </w:r>
      <w:r>
        <w:rPr>
          <w:color w:val="231F20"/>
          <w:spacing w:val="-14"/>
        </w:rPr>
        <w:t> </w:t>
      </w:r>
      <w:r>
        <w:rPr>
          <w:color w:val="231F20"/>
        </w:rPr>
        <w:t>boycotter</w:t>
      </w:r>
      <w:r>
        <w:rPr>
          <w:color w:val="231F20"/>
          <w:spacing w:val="-14"/>
        </w:rPr>
        <w:t> </w:t>
      </w:r>
      <w:r>
        <w:rPr>
          <w:color w:val="231F20"/>
        </w:rPr>
        <w:t>le</w:t>
      </w:r>
      <w:r>
        <w:rPr>
          <w:color w:val="231F20"/>
          <w:spacing w:val="-12"/>
        </w:rPr>
        <w:t> </w:t>
      </w:r>
      <w:r>
        <w:rPr>
          <w:color w:val="231F20"/>
        </w:rPr>
        <w:t>scrutin.</w:t>
      </w:r>
      <w:r>
        <w:rPr>
          <w:color w:val="231F20"/>
          <w:spacing w:val="-14"/>
        </w:rPr>
        <w:t> </w:t>
      </w:r>
      <w:r>
        <w:rPr>
          <w:color w:val="231F20"/>
        </w:rPr>
        <w:t>Sur</w:t>
      </w:r>
      <w:r>
        <w:rPr>
          <w:color w:val="231F20"/>
          <w:spacing w:val="-14"/>
        </w:rPr>
        <w:t> </w:t>
      </w:r>
      <w:r>
        <w:rPr>
          <w:color w:val="231F20"/>
        </w:rPr>
        <w:t>14</w:t>
      </w:r>
      <w:r>
        <w:rPr>
          <w:color w:val="231F20"/>
          <w:spacing w:val="-12"/>
        </w:rPr>
        <w:t> </w:t>
      </w:r>
      <w:r>
        <w:rPr>
          <w:color w:val="231F20"/>
        </w:rPr>
        <w:t>831</w:t>
      </w:r>
      <w:r>
        <w:rPr>
          <w:color w:val="231F20"/>
          <w:spacing w:val="-12"/>
        </w:rPr>
        <w:t> </w:t>
      </w:r>
      <w:r>
        <w:rPr>
          <w:color w:val="231F20"/>
        </w:rPr>
        <w:t>inscrits,</w:t>
      </w:r>
      <w:r>
        <w:rPr>
          <w:color w:val="231F20"/>
          <w:spacing w:val="-14"/>
        </w:rPr>
        <w:t> </w:t>
      </w:r>
      <w:r>
        <w:rPr>
          <w:color w:val="231F20"/>
        </w:rPr>
        <w:t>seuls </w:t>
      </w:r>
      <w:r>
        <w:rPr>
          <w:color w:val="231F20"/>
          <w:spacing w:val="-2"/>
        </w:rPr>
        <w:t>3200</w:t>
      </w:r>
      <w:r>
        <w:rPr>
          <w:color w:val="231F20"/>
          <w:spacing w:val="-12"/>
        </w:rPr>
        <w:t> </w:t>
      </w:r>
      <w:r>
        <w:rPr>
          <w:color w:val="231F20"/>
          <w:spacing w:val="-2"/>
        </w:rPr>
        <w:t>électeurs</w:t>
      </w:r>
      <w:r>
        <w:rPr>
          <w:color w:val="231F20"/>
          <w:spacing w:val="-12"/>
        </w:rPr>
        <w:t> </w:t>
      </w:r>
      <w:r>
        <w:rPr>
          <w:color w:val="231F20"/>
          <w:spacing w:val="-2"/>
        </w:rPr>
        <w:t>votent.</w:t>
      </w:r>
      <w:r>
        <w:rPr>
          <w:color w:val="231F20"/>
          <w:spacing w:val="-9"/>
        </w:rPr>
        <w:t> </w:t>
      </w:r>
      <w:r>
        <w:rPr>
          <w:color w:val="231F20"/>
          <w:spacing w:val="-2"/>
        </w:rPr>
        <w:t>Le</w:t>
      </w:r>
      <w:r>
        <w:rPr>
          <w:color w:val="231F20"/>
          <w:spacing w:val="-13"/>
        </w:rPr>
        <w:t> </w:t>
      </w:r>
      <w:r>
        <w:rPr>
          <w:color w:val="231F20"/>
          <w:spacing w:val="-2"/>
        </w:rPr>
        <w:t>«</w:t>
      </w:r>
      <w:r>
        <w:rPr>
          <w:color w:val="231F20"/>
          <w:spacing w:val="-9"/>
        </w:rPr>
        <w:t> </w:t>
      </w:r>
      <w:r>
        <w:rPr>
          <w:color w:val="231F20"/>
          <w:spacing w:val="-2"/>
        </w:rPr>
        <w:t>Mouvement</w:t>
      </w:r>
      <w:r>
        <w:rPr>
          <w:color w:val="231F20"/>
          <w:spacing w:val="-11"/>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Libération</w:t>
      </w:r>
      <w:r>
        <w:rPr>
          <w:color w:val="231F20"/>
          <w:spacing w:val="-12"/>
        </w:rPr>
        <w:t> </w:t>
      </w:r>
      <w:r>
        <w:rPr>
          <w:color w:val="231F20"/>
          <w:spacing w:val="-2"/>
        </w:rPr>
        <w:t>du</w:t>
      </w:r>
      <w:r>
        <w:rPr>
          <w:color w:val="231F20"/>
          <w:spacing w:val="-13"/>
        </w:rPr>
        <w:t> </w:t>
      </w:r>
      <w:r>
        <w:rPr>
          <w:color w:val="231F20"/>
          <w:spacing w:val="-2"/>
        </w:rPr>
        <w:t>Sanwi</w:t>
      </w:r>
      <w:r>
        <w:rPr>
          <w:color w:val="231F20"/>
          <w:spacing w:val="-10"/>
        </w:rPr>
        <w:t> </w:t>
      </w:r>
      <w:r>
        <w:rPr>
          <w:color w:val="231F20"/>
          <w:spacing w:val="-2"/>
        </w:rPr>
        <w:t>»</w:t>
      </w:r>
      <w:r>
        <w:rPr>
          <w:color w:val="231F20"/>
          <w:spacing w:val="-13"/>
        </w:rPr>
        <w:t> </w:t>
      </w:r>
      <w:r>
        <w:rPr>
          <w:color w:val="231F20"/>
          <w:spacing w:val="-2"/>
        </w:rPr>
        <w:t>naît. </w:t>
      </w:r>
      <w:r>
        <w:rPr>
          <w:color w:val="231F20"/>
        </w:rPr>
        <w:t>Le</w:t>
      </w:r>
      <w:r>
        <w:rPr>
          <w:color w:val="231F20"/>
          <w:spacing w:val="-15"/>
        </w:rPr>
        <w:t> </w:t>
      </w:r>
      <w:r>
        <w:rPr>
          <w:color w:val="231F20"/>
        </w:rPr>
        <w:t>3</w:t>
      </w:r>
      <w:r>
        <w:rPr>
          <w:color w:val="231F20"/>
          <w:spacing w:val="-15"/>
        </w:rPr>
        <w:t> </w:t>
      </w:r>
      <w:r>
        <w:rPr>
          <w:color w:val="231F20"/>
        </w:rPr>
        <w:t>mai</w:t>
      </w:r>
      <w:r>
        <w:rPr>
          <w:color w:val="231F20"/>
          <w:spacing w:val="-15"/>
        </w:rPr>
        <w:t> </w:t>
      </w:r>
      <w:r>
        <w:rPr>
          <w:color w:val="231F20"/>
        </w:rPr>
        <w:t>1959,</w:t>
      </w:r>
      <w:r>
        <w:rPr>
          <w:color w:val="231F20"/>
          <w:spacing w:val="-15"/>
        </w:rPr>
        <w:t> </w:t>
      </w:r>
      <w:r>
        <w:rPr>
          <w:color w:val="231F20"/>
        </w:rPr>
        <w:t>la</w:t>
      </w:r>
      <w:r>
        <w:rPr>
          <w:color w:val="231F20"/>
          <w:spacing w:val="-15"/>
        </w:rPr>
        <w:t> </w:t>
      </w:r>
      <w:r>
        <w:rPr>
          <w:color w:val="231F20"/>
        </w:rPr>
        <w:t>«</w:t>
      </w:r>
      <w:r>
        <w:rPr>
          <w:color w:val="231F20"/>
          <w:spacing w:val="-15"/>
        </w:rPr>
        <w:t> </w:t>
      </w:r>
      <w:r>
        <w:rPr>
          <w:color w:val="231F20"/>
        </w:rPr>
        <w:t>République</w:t>
      </w:r>
      <w:r>
        <w:rPr>
          <w:color w:val="231F20"/>
          <w:spacing w:val="-15"/>
        </w:rPr>
        <w:t> </w:t>
      </w:r>
      <w:r>
        <w:rPr>
          <w:color w:val="231F20"/>
        </w:rPr>
        <w:t>indépendante</w:t>
      </w:r>
      <w:r>
        <w:rPr>
          <w:color w:val="231F20"/>
          <w:spacing w:val="-15"/>
        </w:rPr>
        <w:t> </w:t>
      </w:r>
      <w:r>
        <w:rPr>
          <w:color w:val="231F20"/>
        </w:rPr>
        <w:t>du</w:t>
      </w:r>
      <w:r>
        <w:rPr>
          <w:color w:val="231F20"/>
          <w:spacing w:val="-15"/>
        </w:rPr>
        <w:t> </w:t>
      </w:r>
      <w:r>
        <w:rPr>
          <w:color w:val="231F20"/>
        </w:rPr>
        <w:t>Sanwi</w:t>
      </w:r>
      <w:r>
        <w:rPr>
          <w:color w:val="231F20"/>
          <w:spacing w:val="-15"/>
        </w:rPr>
        <w:t> </w:t>
      </w:r>
      <w:r>
        <w:rPr>
          <w:color w:val="231F20"/>
        </w:rPr>
        <w:t>»</w:t>
      </w:r>
      <w:r>
        <w:rPr>
          <w:color w:val="231F20"/>
          <w:spacing w:val="-15"/>
        </w:rPr>
        <w:t> </w:t>
      </w:r>
      <w:r>
        <w:rPr>
          <w:color w:val="231F20"/>
        </w:rPr>
        <w:t>est</w:t>
      </w:r>
      <w:r>
        <w:rPr>
          <w:color w:val="231F20"/>
          <w:spacing w:val="-15"/>
        </w:rPr>
        <w:t> </w:t>
      </w:r>
      <w:r>
        <w:rPr>
          <w:color w:val="231F20"/>
        </w:rPr>
        <w:t>proclamée. Un gouvernement est constitué sous l’autorité du roi. Face à la forte </w:t>
      </w:r>
      <w:r>
        <w:rPr>
          <w:color w:val="231F20"/>
          <w:spacing w:val="-2"/>
        </w:rPr>
        <w:t>présence</w:t>
      </w:r>
      <w:r>
        <w:rPr>
          <w:color w:val="231F20"/>
          <w:spacing w:val="-13"/>
        </w:rPr>
        <w:t> </w:t>
      </w:r>
      <w:r>
        <w:rPr>
          <w:color w:val="231F20"/>
          <w:spacing w:val="-2"/>
        </w:rPr>
        <w:t>des</w:t>
      </w:r>
      <w:r>
        <w:rPr>
          <w:color w:val="231F20"/>
          <w:spacing w:val="-13"/>
        </w:rPr>
        <w:t> </w:t>
      </w:r>
      <w:r>
        <w:rPr>
          <w:color w:val="231F20"/>
          <w:spacing w:val="-2"/>
        </w:rPr>
        <w:t>forces</w:t>
      </w:r>
      <w:r>
        <w:rPr>
          <w:color w:val="231F20"/>
          <w:spacing w:val="-13"/>
        </w:rPr>
        <w:t> </w:t>
      </w:r>
      <w:r>
        <w:rPr>
          <w:color w:val="231F20"/>
          <w:spacing w:val="-2"/>
        </w:rPr>
        <w:t>de</w:t>
      </w:r>
      <w:r>
        <w:rPr>
          <w:color w:val="231F20"/>
          <w:spacing w:val="-13"/>
        </w:rPr>
        <w:t> </w:t>
      </w:r>
      <w:r>
        <w:rPr>
          <w:color w:val="231F20"/>
          <w:spacing w:val="-2"/>
        </w:rPr>
        <w:t>défense</w:t>
      </w:r>
      <w:r>
        <w:rPr>
          <w:color w:val="231F20"/>
          <w:spacing w:val="-13"/>
        </w:rPr>
        <w:t> </w:t>
      </w:r>
      <w:r>
        <w:rPr>
          <w:color w:val="231F20"/>
          <w:spacing w:val="-2"/>
        </w:rPr>
        <w:t>et</w:t>
      </w:r>
      <w:r>
        <w:rPr>
          <w:color w:val="231F20"/>
          <w:spacing w:val="-13"/>
        </w:rPr>
        <w:t> </w:t>
      </w:r>
      <w:r>
        <w:rPr>
          <w:color w:val="231F20"/>
          <w:spacing w:val="-2"/>
        </w:rPr>
        <w:t>de</w:t>
      </w:r>
      <w:r>
        <w:rPr>
          <w:color w:val="231F20"/>
          <w:spacing w:val="-13"/>
        </w:rPr>
        <w:t> </w:t>
      </w:r>
      <w:r>
        <w:rPr>
          <w:color w:val="231F20"/>
          <w:spacing w:val="-2"/>
        </w:rPr>
        <w:t>sécurité,</w:t>
      </w:r>
      <w:r>
        <w:rPr>
          <w:color w:val="231F20"/>
          <w:spacing w:val="-13"/>
        </w:rPr>
        <w:t> </w:t>
      </w:r>
      <w:r>
        <w:rPr>
          <w:color w:val="231F20"/>
          <w:spacing w:val="-2"/>
        </w:rPr>
        <w:t>le</w:t>
      </w:r>
      <w:r>
        <w:rPr>
          <w:color w:val="231F20"/>
          <w:spacing w:val="-13"/>
        </w:rPr>
        <w:t> </w:t>
      </w:r>
      <w:r>
        <w:rPr>
          <w:color w:val="231F20"/>
          <w:spacing w:val="-2"/>
        </w:rPr>
        <w:t>gouvernement</w:t>
      </w:r>
      <w:r>
        <w:rPr>
          <w:color w:val="231F20"/>
          <w:spacing w:val="-13"/>
        </w:rPr>
        <w:t> </w:t>
      </w:r>
      <w:r>
        <w:rPr>
          <w:color w:val="231F20"/>
          <w:spacing w:val="-2"/>
        </w:rPr>
        <w:t>provisoire du</w:t>
      </w:r>
      <w:r>
        <w:rPr>
          <w:color w:val="231F20"/>
          <w:spacing w:val="-10"/>
        </w:rPr>
        <w:t> </w:t>
      </w:r>
      <w:r>
        <w:rPr>
          <w:color w:val="231F20"/>
          <w:spacing w:val="-2"/>
        </w:rPr>
        <w:t>Sanwi</w:t>
      </w:r>
      <w:r>
        <w:rPr>
          <w:color w:val="231F20"/>
          <w:spacing w:val="-9"/>
        </w:rPr>
        <w:t> </w:t>
      </w:r>
      <w:r>
        <w:rPr>
          <w:color w:val="231F20"/>
          <w:spacing w:val="-2"/>
        </w:rPr>
        <w:t>décide</w:t>
      </w:r>
      <w:r>
        <w:rPr>
          <w:color w:val="231F20"/>
          <w:spacing w:val="-10"/>
        </w:rPr>
        <w:t> </w:t>
      </w:r>
      <w:r>
        <w:rPr>
          <w:color w:val="231F20"/>
          <w:spacing w:val="-2"/>
        </w:rPr>
        <w:t>de</w:t>
      </w:r>
      <w:r>
        <w:rPr>
          <w:color w:val="231F20"/>
          <w:spacing w:val="-12"/>
        </w:rPr>
        <w:t> </w:t>
      </w:r>
      <w:r>
        <w:rPr>
          <w:color w:val="231F20"/>
          <w:spacing w:val="-2"/>
        </w:rPr>
        <w:t>se</w:t>
      </w:r>
      <w:r>
        <w:rPr>
          <w:color w:val="231F20"/>
          <w:spacing w:val="-10"/>
        </w:rPr>
        <w:t> </w:t>
      </w:r>
      <w:r>
        <w:rPr>
          <w:color w:val="231F20"/>
          <w:spacing w:val="-2"/>
        </w:rPr>
        <w:t>réfugier</w:t>
      </w:r>
      <w:r>
        <w:rPr>
          <w:color w:val="231F20"/>
          <w:spacing w:val="-10"/>
        </w:rPr>
        <w:t> </w:t>
      </w:r>
      <w:r>
        <w:rPr>
          <w:color w:val="231F20"/>
          <w:spacing w:val="-2"/>
        </w:rPr>
        <w:t>au</w:t>
      </w:r>
      <w:r>
        <w:rPr>
          <w:color w:val="231F20"/>
          <w:spacing w:val="-10"/>
        </w:rPr>
        <w:t> </w:t>
      </w:r>
      <w:r>
        <w:rPr>
          <w:color w:val="231F20"/>
          <w:spacing w:val="-2"/>
        </w:rPr>
        <w:t>Ghana</w:t>
      </w:r>
      <w:r>
        <w:rPr>
          <w:color w:val="231F20"/>
          <w:spacing w:val="-10"/>
        </w:rPr>
        <w:t> </w:t>
      </w:r>
      <w:r>
        <w:rPr>
          <w:color w:val="231F20"/>
          <w:spacing w:val="-2"/>
        </w:rPr>
        <w:t>devenu</w:t>
      </w:r>
      <w:r>
        <w:rPr>
          <w:color w:val="231F20"/>
          <w:spacing w:val="-12"/>
        </w:rPr>
        <w:t> </w:t>
      </w:r>
      <w:r>
        <w:rPr>
          <w:color w:val="231F20"/>
          <w:spacing w:val="-2"/>
        </w:rPr>
        <w:t>indépendant</w:t>
      </w:r>
      <w:r>
        <w:rPr>
          <w:color w:val="231F20"/>
          <w:spacing w:val="-12"/>
        </w:rPr>
        <w:t> </w:t>
      </w:r>
      <w:r>
        <w:rPr>
          <w:color w:val="231F20"/>
          <w:spacing w:val="-2"/>
        </w:rPr>
        <w:t>depuis</w:t>
      </w:r>
      <w:r>
        <w:rPr>
          <w:color w:val="231F20"/>
          <w:spacing w:val="-12"/>
        </w:rPr>
        <w:t> </w:t>
      </w:r>
      <w:r>
        <w:rPr>
          <w:color w:val="231F20"/>
          <w:spacing w:val="-2"/>
        </w:rPr>
        <w:t>le</w:t>
      </w:r>
      <w:r>
        <w:rPr>
          <w:color w:val="231F20"/>
          <w:spacing w:val="-13"/>
        </w:rPr>
        <w:t> </w:t>
      </w:r>
      <w:r>
        <w:rPr>
          <w:color w:val="231F20"/>
          <w:spacing w:val="-2"/>
        </w:rPr>
        <w:t>6 mars</w:t>
      </w:r>
      <w:r>
        <w:rPr>
          <w:color w:val="231F20"/>
          <w:spacing w:val="-13"/>
        </w:rPr>
        <w:t> </w:t>
      </w:r>
      <w:r>
        <w:rPr>
          <w:color w:val="231F20"/>
          <w:spacing w:val="-2"/>
        </w:rPr>
        <w:t>1957.</w:t>
      </w:r>
      <w:r>
        <w:rPr>
          <w:color w:val="231F20"/>
          <w:spacing w:val="-13"/>
        </w:rPr>
        <w:t> </w:t>
      </w:r>
      <w:r>
        <w:rPr>
          <w:color w:val="231F20"/>
          <w:spacing w:val="-2"/>
        </w:rPr>
        <w:t>Les</w:t>
      </w:r>
      <w:r>
        <w:rPr>
          <w:color w:val="231F20"/>
          <w:spacing w:val="-13"/>
        </w:rPr>
        <w:t> </w:t>
      </w:r>
      <w:r>
        <w:rPr>
          <w:color w:val="231F20"/>
          <w:spacing w:val="-2"/>
        </w:rPr>
        <w:t>autorités</w:t>
      </w:r>
      <w:r>
        <w:rPr>
          <w:color w:val="231F20"/>
          <w:spacing w:val="-13"/>
        </w:rPr>
        <w:t> </w:t>
      </w:r>
      <w:r>
        <w:rPr>
          <w:color w:val="231F20"/>
          <w:spacing w:val="-2"/>
        </w:rPr>
        <w:t>ivoiriennes</w:t>
      </w:r>
      <w:r>
        <w:rPr>
          <w:color w:val="231F20"/>
          <w:spacing w:val="-13"/>
        </w:rPr>
        <w:t> </w:t>
      </w:r>
      <w:r>
        <w:rPr>
          <w:color w:val="231F20"/>
          <w:spacing w:val="-2"/>
        </w:rPr>
        <w:t>sollicitent</w:t>
      </w:r>
      <w:r>
        <w:rPr>
          <w:color w:val="231F20"/>
          <w:spacing w:val="-12"/>
        </w:rPr>
        <w:t> </w:t>
      </w:r>
      <w:r>
        <w:rPr>
          <w:color w:val="231F20"/>
          <w:spacing w:val="-2"/>
        </w:rPr>
        <w:t>et</w:t>
      </w:r>
      <w:r>
        <w:rPr>
          <w:color w:val="231F20"/>
          <w:spacing w:val="-12"/>
        </w:rPr>
        <w:t> </w:t>
      </w:r>
      <w:r>
        <w:rPr>
          <w:color w:val="231F20"/>
          <w:spacing w:val="-2"/>
        </w:rPr>
        <w:t>obtiennent</w:t>
      </w:r>
      <w:r>
        <w:rPr>
          <w:color w:val="231F20"/>
          <w:spacing w:val="-13"/>
        </w:rPr>
        <w:t> </w:t>
      </w:r>
      <w:r>
        <w:rPr>
          <w:color w:val="231F20"/>
          <w:spacing w:val="-2"/>
        </w:rPr>
        <w:t>de</w:t>
      </w:r>
      <w:r>
        <w:rPr>
          <w:color w:val="231F20"/>
          <w:spacing w:val="-12"/>
        </w:rPr>
        <w:t> </w:t>
      </w:r>
      <w:r>
        <w:rPr>
          <w:color w:val="231F20"/>
          <w:spacing w:val="-2"/>
        </w:rPr>
        <w:t>la</w:t>
      </w:r>
      <w:r>
        <w:rPr>
          <w:color w:val="231F20"/>
          <w:spacing w:val="-13"/>
        </w:rPr>
        <w:t> </w:t>
      </w:r>
      <w:r>
        <w:rPr>
          <w:color w:val="231F20"/>
          <w:spacing w:val="-2"/>
        </w:rPr>
        <w:t>France l’arrestation</w:t>
      </w:r>
      <w:r>
        <w:rPr>
          <w:color w:val="231F20"/>
          <w:spacing w:val="-5"/>
        </w:rPr>
        <w:t> </w:t>
      </w:r>
      <w:r>
        <w:rPr>
          <w:color w:val="231F20"/>
          <w:spacing w:val="-2"/>
        </w:rPr>
        <w:t>des</w:t>
      </w:r>
      <w:r>
        <w:rPr>
          <w:color w:val="231F20"/>
          <w:spacing w:val="-6"/>
        </w:rPr>
        <w:t> </w:t>
      </w:r>
      <w:r>
        <w:rPr>
          <w:color w:val="231F20"/>
          <w:spacing w:val="-2"/>
        </w:rPr>
        <w:t>deux</w:t>
      </w:r>
      <w:r>
        <w:rPr>
          <w:color w:val="231F20"/>
          <w:spacing w:val="-4"/>
        </w:rPr>
        <w:t> </w:t>
      </w:r>
      <w:r>
        <w:rPr>
          <w:color w:val="231F20"/>
          <w:spacing w:val="-2"/>
        </w:rPr>
        <w:t>émissaires</w:t>
      </w:r>
      <w:r>
        <w:rPr>
          <w:color w:val="231F20"/>
          <w:spacing w:val="-5"/>
        </w:rPr>
        <w:t> </w:t>
      </w:r>
      <w:r>
        <w:rPr>
          <w:color w:val="231F20"/>
          <w:spacing w:val="-2"/>
        </w:rPr>
        <w:t>partis</w:t>
      </w:r>
      <w:r>
        <w:rPr>
          <w:color w:val="231F20"/>
          <w:spacing w:val="-4"/>
        </w:rPr>
        <w:t> </w:t>
      </w:r>
      <w:r>
        <w:rPr>
          <w:color w:val="231F20"/>
          <w:spacing w:val="-2"/>
        </w:rPr>
        <w:t>revendiquer</w:t>
      </w:r>
      <w:r>
        <w:rPr>
          <w:color w:val="231F20"/>
          <w:spacing w:val="-6"/>
        </w:rPr>
        <w:t> </w:t>
      </w:r>
      <w:r>
        <w:rPr>
          <w:color w:val="231F20"/>
          <w:spacing w:val="-2"/>
        </w:rPr>
        <w:t>la</w:t>
      </w:r>
      <w:r>
        <w:rPr>
          <w:color w:val="231F20"/>
          <w:spacing w:val="-4"/>
        </w:rPr>
        <w:t> </w:t>
      </w:r>
      <w:r>
        <w:rPr>
          <w:color w:val="231F20"/>
          <w:spacing w:val="-2"/>
        </w:rPr>
        <w:t>sécession.</w:t>
      </w:r>
      <w:r>
        <w:rPr>
          <w:color w:val="231F20"/>
          <w:spacing w:val="-4"/>
        </w:rPr>
        <w:t> </w:t>
      </w:r>
      <w:r>
        <w:rPr>
          <w:color w:val="231F20"/>
          <w:spacing w:val="-2"/>
        </w:rPr>
        <w:t>Ils</w:t>
      </w:r>
      <w:r>
        <w:rPr>
          <w:color w:val="231F20"/>
          <w:spacing w:val="-3"/>
        </w:rPr>
        <w:t> </w:t>
      </w:r>
      <w:r>
        <w:rPr>
          <w:color w:val="231F20"/>
          <w:spacing w:val="-2"/>
        </w:rPr>
        <w:t>sont </w:t>
      </w:r>
      <w:r>
        <w:rPr>
          <w:color w:val="231F20"/>
        </w:rPr>
        <w:t>transférés</w:t>
      </w:r>
      <w:r>
        <w:rPr>
          <w:color w:val="231F20"/>
          <w:spacing w:val="-12"/>
        </w:rPr>
        <w:t> </w:t>
      </w:r>
      <w:r>
        <w:rPr>
          <w:color w:val="231F20"/>
        </w:rPr>
        <w:t>à</w:t>
      </w:r>
      <w:r>
        <w:rPr>
          <w:color w:val="231F20"/>
          <w:spacing w:val="-14"/>
        </w:rPr>
        <w:t> </w:t>
      </w:r>
      <w:r>
        <w:rPr>
          <w:color w:val="231F20"/>
        </w:rPr>
        <w:t>Abidjan,</w:t>
      </w:r>
      <w:r>
        <w:rPr>
          <w:color w:val="231F20"/>
          <w:spacing w:val="-13"/>
        </w:rPr>
        <w:t> </w:t>
      </w:r>
      <w:r>
        <w:rPr>
          <w:color w:val="231F20"/>
        </w:rPr>
        <w:t>jugés</w:t>
      </w:r>
      <w:r>
        <w:rPr>
          <w:color w:val="231F20"/>
          <w:spacing w:val="-12"/>
        </w:rPr>
        <w:t> </w:t>
      </w:r>
      <w:r>
        <w:rPr>
          <w:color w:val="231F20"/>
        </w:rPr>
        <w:t>et</w:t>
      </w:r>
      <w:r>
        <w:rPr>
          <w:color w:val="231F20"/>
          <w:spacing w:val="-13"/>
        </w:rPr>
        <w:t> </w:t>
      </w:r>
      <w:r>
        <w:rPr>
          <w:color w:val="231F20"/>
        </w:rPr>
        <w:t>condamnés</w:t>
      </w:r>
      <w:r>
        <w:rPr>
          <w:color w:val="231F20"/>
          <w:spacing w:val="-12"/>
        </w:rPr>
        <w:t> </w:t>
      </w:r>
      <w:r>
        <w:rPr>
          <w:color w:val="231F20"/>
        </w:rPr>
        <w:t>à</w:t>
      </w:r>
      <w:r>
        <w:rPr>
          <w:color w:val="231F20"/>
          <w:spacing w:val="-14"/>
        </w:rPr>
        <w:t> </w:t>
      </w:r>
      <w:r>
        <w:rPr>
          <w:color w:val="231F20"/>
        </w:rPr>
        <w:t>des</w:t>
      </w:r>
      <w:r>
        <w:rPr>
          <w:color w:val="231F20"/>
          <w:spacing w:val="-13"/>
        </w:rPr>
        <w:t> </w:t>
      </w:r>
      <w:r>
        <w:rPr>
          <w:color w:val="231F20"/>
        </w:rPr>
        <w:t>peines</w:t>
      </w:r>
      <w:r>
        <w:rPr>
          <w:color w:val="231F20"/>
          <w:spacing w:val="-12"/>
        </w:rPr>
        <w:t> </w:t>
      </w:r>
      <w:r>
        <w:rPr>
          <w:color w:val="231F20"/>
        </w:rPr>
        <w:t>de</w:t>
      </w:r>
      <w:r>
        <w:rPr>
          <w:color w:val="231F20"/>
          <w:spacing w:val="-11"/>
        </w:rPr>
        <w:t> </w:t>
      </w:r>
      <w:r>
        <w:rPr>
          <w:color w:val="231F20"/>
        </w:rPr>
        <w:t>prison</w:t>
      </w:r>
      <w:r>
        <w:rPr>
          <w:color w:val="231F20"/>
          <w:spacing w:val="-13"/>
        </w:rPr>
        <w:t> </w:t>
      </w:r>
      <w:r>
        <w:rPr>
          <w:color w:val="231F20"/>
        </w:rPr>
        <w:t>le</w:t>
      </w:r>
      <w:r>
        <w:rPr>
          <w:color w:val="231F20"/>
          <w:spacing w:val="-12"/>
        </w:rPr>
        <w:t> </w:t>
      </w:r>
      <w:r>
        <w:rPr>
          <w:color w:val="231F20"/>
        </w:rPr>
        <w:t>2</w:t>
      </w:r>
      <w:r>
        <w:rPr>
          <w:color w:val="231F20"/>
          <w:spacing w:val="-13"/>
        </w:rPr>
        <w:t> </w:t>
      </w:r>
      <w:r>
        <w:rPr>
          <w:color w:val="231F20"/>
        </w:rPr>
        <w:t>mai </w:t>
      </w:r>
      <w:r>
        <w:rPr>
          <w:color w:val="231F20"/>
          <w:spacing w:val="-2"/>
        </w:rPr>
        <w:t>1960</w:t>
      </w:r>
      <w:r>
        <w:rPr>
          <w:color w:val="231F20"/>
          <w:spacing w:val="-13"/>
        </w:rPr>
        <w:t> </w:t>
      </w:r>
      <w:r>
        <w:rPr>
          <w:color w:val="231F20"/>
          <w:spacing w:val="-2"/>
        </w:rPr>
        <w:t>en</w:t>
      </w:r>
      <w:r>
        <w:rPr>
          <w:color w:val="231F20"/>
          <w:spacing w:val="-13"/>
        </w:rPr>
        <w:t> </w:t>
      </w:r>
      <w:r>
        <w:rPr>
          <w:color w:val="231F20"/>
          <w:spacing w:val="-2"/>
        </w:rPr>
        <w:t>même</w:t>
      </w:r>
      <w:r>
        <w:rPr>
          <w:color w:val="231F20"/>
          <w:spacing w:val="-13"/>
        </w:rPr>
        <w:t> </w:t>
      </w:r>
      <w:r>
        <w:rPr>
          <w:color w:val="231F20"/>
          <w:spacing w:val="-2"/>
        </w:rPr>
        <w:t>temps</w:t>
      </w:r>
      <w:r>
        <w:rPr>
          <w:color w:val="231F20"/>
          <w:spacing w:val="-13"/>
        </w:rPr>
        <w:t> </w:t>
      </w:r>
      <w:r>
        <w:rPr>
          <w:color w:val="231F20"/>
          <w:spacing w:val="-2"/>
        </w:rPr>
        <w:t>que</w:t>
      </w:r>
      <w:r>
        <w:rPr>
          <w:color w:val="231F20"/>
          <w:spacing w:val="-13"/>
        </w:rPr>
        <w:t> </w:t>
      </w:r>
      <w:r>
        <w:rPr>
          <w:color w:val="231F20"/>
          <w:spacing w:val="-2"/>
        </w:rPr>
        <w:t>le</w:t>
      </w:r>
      <w:r>
        <w:rPr>
          <w:color w:val="231F20"/>
          <w:spacing w:val="-11"/>
        </w:rPr>
        <w:t> </w:t>
      </w:r>
      <w:r>
        <w:rPr>
          <w:color w:val="231F20"/>
          <w:spacing w:val="-2"/>
        </w:rPr>
        <w:t>roi</w:t>
      </w:r>
      <w:r>
        <w:rPr>
          <w:color w:val="231F20"/>
          <w:spacing w:val="-11"/>
        </w:rPr>
        <w:t> </w:t>
      </w:r>
      <w:r>
        <w:rPr>
          <w:color w:val="231F20"/>
          <w:spacing w:val="-2"/>
        </w:rPr>
        <w:t>et</w:t>
      </w:r>
      <w:r>
        <w:rPr>
          <w:color w:val="231F20"/>
          <w:spacing w:val="-13"/>
        </w:rPr>
        <w:t> </w:t>
      </w:r>
      <w:r>
        <w:rPr>
          <w:color w:val="231F20"/>
          <w:spacing w:val="-2"/>
        </w:rPr>
        <w:t>quatre</w:t>
      </w:r>
      <w:r>
        <w:rPr>
          <w:color w:val="231F20"/>
          <w:spacing w:val="-11"/>
        </w:rPr>
        <w:t> </w:t>
      </w:r>
      <w:r>
        <w:rPr>
          <w:color w:val="231F20"/>
          <w:spacing w:val="-2"/>
        </w:rPr>
        <w:t>de</w:t>
      </w:r>
      <w:r>
        <w:rPr>
          <w:color w:val="231F20"/>
          <w:spacing w:val="-13"/>
        </w:rPr>
        <w:t> </w:t>
      </w:r>
      <w:r>
        <w:rPr>
          <w:color w:val="231F20"/>
          <w:spacing w:val="-2"/>
        </w:rPr>
        <w:t>ses</w:t>
      </w:r>
      <w:r>
        <w:rPr>
          <w:color w:val="231F20"/>
          <w:spacing w:val="-13"/>
        </w:rPr>
        <w:t> </w:t>
      </w:r>
      <w:r>
        <w:rPr>
          <w:color w:val="231F20"/>
          <w:spacing w:val="-2"/>
        </w:rPr>
        <w:t>notables</w:t>
      </w:r>
      <w:r>
        <w:rPr>
          <w:color w:val="231F20"/>
          <w:spacing w:val="-13"/>
        </w:rPr>
        <w:t> </w:t>
      </w:r>
      <w:r>
        <w:rPr>
          <w:color w:val="231F20"/>
          <w:spacing w:val="-2"/>
        </w:rPr>
        <w:t>pour</w:t>
      </w:r>
      <w:r>
        <w:rPr>
          <w:color w:val="231F20"/>
          <w:spacing w:val="-13"/>
        </w:rPr>
        <w:t> </w:t>
      </w:r>
      <w:r>
        <w:rPr>
          <w:color w:val="231F20"/>
          <w:spacing w:val="-2"/>
        </w:rPr>
        <w:t>atteinte</w:t>
      </w:r>
      <w:r>
        <w:rPr>
          <w:color w:val="231F20"/>
          <w:spacing w:val="-12"/>
        </w:rPr>
        <w:t> </w:t>
      </w:r>
      <w:r>
        <w:rPr>
          <w:color w:val="231F20"/>
          <w:spacing w:val="-2"/>
        </w:rPr>
        <w:t>à</w:t>
      </w:r>
      <w:r>
        <w:rPr>
          <w:color w:val="231F20"/>
          <w:spacing w:val="-13"/>
        </w:rPr>
        <w:t> </w:t>
      </w:r>
      <w:r>
        <w:rPr>
          <w:color w:val="231F20"/>
          <w:spacing w:val="-2"/>
        </w:rPr>
        <w:t>la </w:t>
      </w:r>
      <w:r>
        <w:rPr>
          <w:color w:val="231F20"/>
        </w:rPr>
        <w:t>sûreté de</w:t>
      </w:r>
      <w:r>
        <w:rPr>
          <w:color w:val="231F20"/>
          <w:spacing w:val="-2"/>
        </w:rPr>
        <w:t> </w:t>
      </w:r>
      <w:r>
        <w:rPr>
          <w:color w:val="231F20"/>
        </w:rPr>
        <w:t>l’État et à</w:t>
      </w:r>
      <w:r>
        <w:rPr>
          <w:color w:val="231F20"/>
          <w:spacing w:val="-3"/>
        </w:rPr>
        <w:t> </w:t>
      </w:r>
      <w:r>
        <w:rPr>
          <w:color w:val="231F20"/>
        </w:rPr>
        <w:t>l’intégrité du</w:t>
      </w:r>
      <w:r>
        <w:rPr>
          <w:color w:val="231F20"/>
          <w:spacing w:val="-2"/>
        </w:rPr>
        <w:t> </w:t>
      </w:r>
      <w:r>
        <w:rPr>
          <w:color w:val="231F20"/>
        </w:rPr>
        <w:t>territoire.</w:t>
      </w:r>
    </w:p>
    <w:p>
      <w:pPr>
        <w:pStyle w:val="BodyText"/>
        <w:spacing w:before="120"/>
        <w:ind w:right="105" w:firstLine="283"/>
      </w:pPr>
      <w:r>
        <w:rPr>
          <w:color w:val="231F20"/>
        </w:rPr>
        <w:t>À la suite d’une demande de clémence exprimée au président </w:t>
      </w:r>
      <w:r>
        <w:rPr>
          <w:color w:val="231F20"/>
          <w:spacing w:val="-2"/>
        </w:rPr>
        <w:t>Houphouët</w:t>
      </w:r>
      <w:r>
        <w:rPr>
          <w:color w:val="231F20"/>
          <w:spacing w:val="-15"/>
        </w:rPr>
        <w:t> </w:t>
      </w:r>
      <w:r>
        <w:rPr>
          <w:color w:val="231F20"/>
          <w:spacing w:val="-2"/>
        </w:rPr>
        <w:t>par</w:t>
      </w:r>
      <w:r>
        <w:rPr>
          <w:color w:val="231F20"/>
          <w:spacing w:val="-13"/>
        </w:rPr>
        <w:t> </w:t>
      </w:r>
      <w:r>
        <w:rPr>
          <w:color w:val="231F20"/>
          <w:spacing w:val="-2"/>
        </w:rPr>
        <w:t>la</w:t>
      </w:r>
      <w:r>
        <w:rPr>
          <w:color w:val="231F20"/>
          <w:spacing w:val="-13"/>
        </w:rPr>
        <w:t> </w:t>
      </w:r>
      <w:r>
        <w:rPr>
          <w:color w:val="231F20"/>
          <w:spacing w:val="-2"/>
        </w:rPr>
        <w:t>notabilité</w:t>
      </w:r>
      <w:r>
        <w:rPr>
          <w:color w:val="231F20"/>
          <w:spacing w:val="-13"/>
        </w:rPr>
        <w:t> </w:t>
      </w:r>
      <w:r>
        <w:rPr>
          <w:color w:val="231F20"/>
          <w:spacing w:val="-2"/>
        </w:rPr>
        <w:t>du</w:t>
      </w:r>
      <w:r>
        <w:rPr>
          <w:color w:val="231F20"/>
          <w:spacing w:val="-13"/>
        </w:rPr>
        <w:t> </w:t>
      </w:r>
      <w:r>
        <w:rPr>
          <w:color w:val="231F20"/>
          <w:spacing w:val="-2"/>
        </w:rPr>
        <w:t>Sanwi,</w:t>
      </w:r>
      <w:r>
        <w:rPr>
          <w:color w:val="231F20"/>
          <w:spacing w:val="-13"/>
        </w:rPr>
        <w:t> </w:t>
      </w:r>
      <w:r>
        <w:rPr>
          <w:color w:val="231F20"/>
          <w:spacing w:val="-2"/>
        </w:rPr>
        <w:t>le</w:t>
      </w:r>
      <w:r>
        <w:rPr>
          <w:color w:val="231F20"/>
          <w:spacing w:val="-13"/>
        </w:rPr>
        <w:t> </w:t>
      </w:r>
      <w:r>
        <w:rPr>
          <w:color w:val="231F20"/>
          <w:spacing w:val="-2"/>
        </w:rPr>
        <w:t>roi</w:t>
      </w:r>
      <w:r>
        <w:rPr>
          <w:color w:val="231F20"/>
          <w:spacing w:val="-13"/>
        </w:rPr>
        <w:t> </w:t>
      </w:r>
      <w:r>
        <w:rPr>
          <w:color w:val="231F20"/>
          <w:spacing w:val="-2"/>
        </w:rPr>
        <w:t>et</w:t>
      </w:r>
      <w:r>
        <w:rPr>
          <w:color w:val="231F20"/>
          <w:spacing w:val="-13"/>
        </w:rPr>
        <w:t> </w:t>
      </w:r>
      <w:r>
        <w:rPr>
          <w:color w:val="231F20"/>
          <w:spacing w:val="-2"/>
        </w:rPr>
        <w:t>ses</w:t>
      </w:r>
      <w:r>
        <w:rPr>
          <w:color w:val="231F20"/>
          <w:spacing w:val="-13"/>
        </w:rPr>
        <w:t> </w:t>
      </w:r>
      <w:r>
        <w:rPr>
          <w:color w:val="231F20"/>
          <w:spacing w:val="-2"/>
        </w:rPr>
        <w:t>co-accusés</w:t>
      </w:r>
      <w:r>
        <w:rPr>
          <w:color w:val="231F20"/>
          <w:spacing w:val="-13"/>
        </w:rPr>
        <w:t> </w:t>
      </w:r>
      <w:r>
        <w:rPr>
          <w:color w:val="231F20"/>
          <w:spacing w:val="-2"/>
        </w:rPr>
        <w:t>sont</w:t>
      </w:r>
      <w:r>
        <w:rPr>
          <w:color w:val="231F20"/>
          <w:spacing w:val="-13"/>
        </w:rPr>
        <w:t> </w:t>
      </w:r>
      <w:r>
        <w:rPr>
          <w:color w:val="231F20"/>
          <w:spacing w:val="-2"/>
        </w:rPr>
        <w:t>libérés </w:t>
      </w:r>
      <w:r>
        <w:rPr>
          <w:color w:val="231F20"/>
        </w:rPr>
        <w:t>le 4 décembre 1961.</w:t>
      </w:r>
    </w:p>
    <w:p>
      <w:pPr>
        <w:pStyle w:val="BodyText"/>
        <w:spacing w:before="121"/>
        <w:ind w:right="108" w:firstLine="283"/>
      </w:pPr>
      <w:r>
        <w:rPr>
          <w:color w:val="231F20"/>
        </w:rPr>
        <w:t>Aussitôt</w:t>
      </w:r>
      <w:r>
        <w:rPr>
          <w:color w:val="231F20"/>
          <w:spacing w:val="-2"/>
        </w:rPr>
        <w:t> </w:t>
      </w:r>
      <w:r>
        <w:rPr>
          <w:color w:val="231F20"/>
        </w:rPr>
        <w:t>libres, ils</w:t>
      </w:r>
      <w:r>
        <w:rPr>
          <w:color w:val="231F20"/>
          <w:spacing w:val="-1"/>
        </w:rPr>
        <w:t> </w:t>
      </w:r>
      <w:r>
        <w:rPr>
          <w:color w:val="231F20"/>
        </w:rPr>
        <w:t>rejoignent</w:t>
      </w:r>
      <w:r>
        <w:rPr>
          <w:color w:val="231F20"/>
          <w:spacing w:val="-1"/>
        </w:rPr>
        <w:t> </w:t>
      </w:r>
      <w:r>
        <w:rPr>
          <w:color w:val="231F20"/>
        </w:rPr>
        <w:t>au Ghana,</w:t>
      </w:r>
      <w:r>
        <w:rPr>
          <w:color w:val="231F20"/>
          <w:spacing w:val="-1"/>
        </w:rPr>
        <w:t> </w:t>
      </w:r>
      <w:r>
        <w:rPr>
          <w:color w:val="231F20"/>
        </w:rPr>
        <w:t>le</w:t>
      </w:r>
      <w:r>
        <w:rPr>
          <w:color w:val="231F20"/>
          <w:spacing w:val="-2"/>
        </w:rPr>
        <w:t> </w:t>
      </w:r>
      <w:r>
        <w:rPr>
          <w:color w:val="231F20"/>
        </w:rPr>
        <w:t>gouvernement</w:t>
      </w:r>
      <w:r>
        <w:rPr>
          <w:color w:val="231F20"/>
          <w:spacing w:val="-1"/>
        </w:rPr>
        <w:t> </w:t>
      </w:r>
      <w:r>
        <w:rPr>
          <w:color w:val="231F20"/>
        </w:rPr>
        <w:t>du</w:t>
      </w:r>
      <w:r>
        <w:rPr>
          <w:color w:val="231F20"/>
          <w:spacing w:val="-3"/>
        </w:rPr>
        <w:t> </w:t>
      </w:r>
      <w:r>
        <w:rPr>
          <w:color w:val="231F20"/>
        </w:rPr>
        <w:t>Sanwi, issu</w:t>
      </w:r>
      <w:r>
        <w:rPr>
          <w:color w:val="231F20"/>
          <w:spacing w:val="-2"/>
        </w:rPr>
        <w:t> </w:t>
      </w:r>
      <w:r>
        <w:rPr>
          <w:color w:val="231F20"/>
        </w:rPr>
        <w:t>du</w:t>
      </w:r>
      <w:r>
        <w:rPr>
          <w:color w:val="231F20"/>
          <w:spacing w:val="-2"/>
        </w:rPr>
        <w:t> </w:t>
      </w:r>
      <w:r>
        <w:rPr>
          <w:color w:val="231F20"/>
        </w:rPr>
        <w:t>« Mouvement de</w:t>
      </w:r>
      <w:r>
        <w:rPr>
          <w:color w:val="231F20"/>
          <w:spacing w:val="-2"/>
        </w:rPr>
        <w:t> </w:t>
      </w:r>
      <w:r>
        <w:rPr>
          <w:color w:val="231F20"/>
        </w:rPr>
        <w:t>la Libération</w:t>
      </w:r>
      <w:r>
        <w:rPr>
          <w:color w:val="231F20"/>
          <w:spacing w:val="-2"/>
        </w:rPr>
        <w:t> </w:t>
      </w:r>
      <w:r>
        <w:rPr>
          <w:color w:val="231F20"/>
        </w:rPr>
        <w:t>du</w:t>
      </w:r>
      <w:r>
        <w:rPr>
          <w:color w:val="231F20"/>
          <w:spacing w:val="-2"/>
        </w:rPr>
        <w:t> </w:t>
      </w:r>
      <w:r>
        <w:rPr>
          <w:color w:val="231F20"/>
        </w:rPr>
        <w:t>Sanwi</w:t>
      </w:r>
      <w:r>
        <w:rPr>
          <w:color w:val="231F20"/>
          <w:spacing w:val="-1"/>
        </w:rPr>
        <w:t> </w:t>
      </w:r>
      <w:r>
        <w:rPr>
          <w:color w:val="231F20"/>
        </w:rPr>
        <w:t>».</w:t>
      </w:r>
    </w:p>
    <w:p>
      <w:pPr>
        <w:pStyle w:val="BodyText"/>
        <w:spacing w:before="53"/>
        <w:ind w:left="0"/>
        <w:jc w:val="left"/>
        <w:rPr>
          <w:sz w:val="20"/>
        </w:rPr>
      </w:pPr>
      <w:r>
        <w:rPr/>
        <mc:AlternateContent>
          <mc:Choice Requires="wps">
            <w:drawing>
              <wp:anchor distT="0" distB="0" distL="0" distR="0" allowOverlap="1" layoutInCell="1" locked="0" behindDoc="1" simplePos="0" relativeHeight="487627264">
                <wp:simplePos x="0" y="0"/>
                <wp:positionH relativeFrom="page">
                  <wp:posOffset>629907</wp:posOffset>
                </wp:positionH>
                <wp:positionV relativeFrom="paragraph">
                  <wp:posOffset>195522</wp:posOffset>
                </wp:positionV>
                <wp:extent cx="1829435" cy="9525"/>
                <wp:effectExtent l="0" t="0" r="0" b="0"/>
                <wp:wrapTopAndBottom/>
                <wp:docPr id="98" name="Graphic 98"/>
                <wp:cNvGraphicFramePr>
                  <a:graphicFrameLocks/>
                </wp:cNvGraphicFramePr>
                <a:graphic>
                  <a:graphicData uri="http://schemas.microsoft.com/office/word/2010/wordprocessingShape">
                    <wps:wsp>
                      <wps:cNvPr id="98" name="Graphic 9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395469pt;width:144.020pt;height:.72pt;mso-position-horizontal-relative:page;mso-position-vertical-relative:paragraph;z-index:-15689216;mso-wrap-distance-left:0;mso-wrap-distance-right:0" id="docshape96" filled="true" fillcolor="#231f20" stroked="false">
                <v:fill type="solid"/>
                <w10:wrap type="topAndBottom"/>
              </v:rect>
            </w:pict>
          </mc:Fallback>
        </mc:AlternateContent>
      </w:r>
    </w:p>
    <w:p>
      <w:pPr>
        <w:spacing w:before="91"/>
        <w:ind w:left="111" w:right="105" w:firstLine="0"/>
        <w:jc w:val="both"/>
        <w:rPr>
          <w:sz w:val="20"/>
        </w:rPr>
      </w:pPr>
      <w:r>
        <w:rPr>
          <w:color w:val="76787A"/>
          <w:spacing w:val="-2"/>
          <w:sz w:val="20"/>
          <w:vertAlign w:val="superscript"/>
        </w:rPr>
        <w:t>127</w:t>
      </w:r>
      <w:r>
        <w:rPr>
          <w:color w:val="76787A"/>
          <w:spacing w:val="-11"/>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4</w:t>
      </w:r>
      <w:r>
        <w:rPr>
          <w:color w:val="231F20"/>
          <w:spacing w:val="-11"/>
          <w:sz w:val="20"/>
          <w:vertAlign w:val="baseline"/>
        </w:rPr>
        <w:t> </w:t>
      </w:r>
      <w:r>
        <w:rPr>
          <w:color w:val="231F20"/>
          <w:spacing w:val="-2"/>
          <w:sz w:val="20"/>
          <w:vertAlign w:val="baseline"/>
        </w:rPr>
        <w:t>juillet</w:t>
      </w:r>
      <w:r>
        <w:rPr>
          <w:color w:val="231F20"/>
          <w:spacing w:val="-10"/>
          <w:sz w:val="20"/>
          <w:vertAlign w:val="baseline"/>
        </w:rPr>
        <w:t> </w:t>
      </w:r>
      <w:r>
        <w:rPr>
          <w:color w:val="231F20"/>
          <w:spacing w:val="-2"/>
          <w:sz w:val="20"/>
          <w:vertAlign w:val="baseline"/>
        </w:rPr>
        <w:t>1843,</w:t>
      </w:r>
      <w:r>
        <w:rPr>
          <w:color w:val="231F20"/>
          <w:spacing w:val="-11"/>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lieutenant</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vaisseau</w:t>
      </w:r>
      <w:r>
        <w:rPr>
          <w:color w:val="231F20"/>
          <w:spacing w:val="-9"/>
          <w:sz w:val="20"/>
          <w:vertAlign w:val="baseline"/>
        </w:rPr>
        <w:t> </w:t>
      </w:r>
      <w:r>
        <w:rPr>
          <w:color w:val="231F20"/>
          <w:spacing w:val="-2"/>
          <w:sz w:val="20"/>
          <w:vertAlign w:val="baseline"/>
        </w:rPr>
        <w:t>François</w:t>
      </w:r>
      <w:r>
        <w:rPr>
          <w:color w:val="231F20"/>
          <w:spacing w:val="-8"/>
          <w:sz w:val="20"/>
          <w:vertAlign w:val="baseline"/>
        </w:rPr>
        <w:t> </w:t>
      </w:r>
      <w:r>
        <w:rPr>
          <w:color w:val="231F20"/>
          <w:spacing w:val="-2"/>
          <w:sz w:val="20"/>
          <w:vertAlign w:val="baseline"/>
        </w:rPr>
        <w:t>Fleuriot</w:t>
      </w:r>
      <w:r>
        <w:rPr>
          <w:color w:val="231F20"/>
          <w:spacing w:val="-11"/>
          <w:sz w:val="20"/>
          <w:vertAlign w:val="baseline"/>
        </w:rPr>
        <w:t> </w:t>
      </w:r>
      <w:r>
        <w:rPr>
          <w:color w:val="231F20"/>
          <w:spacing w:val="-2"/>
          <w:sz w:val="20"/>
          <w:vertAlign w:val="baseline"/>
        </w:rPr>
        <w:t>de</w:t>
      </w:r>
      <w:r>
        <w:rPr>
          <w:color w:val="231F20"/>
          <w:spacing w:val="-8"/>
          <w:sz w:val="20"/>
          <w:vertAlign w:val="baseline"/>
        </w:rPr>
        <w:t> </w:t>
      </w:r>
      <w:r>
        <w:rPr>
          <w:color w:val="231F20"/>
          <w:spacing w:val="-2"/>
          <w:sz w:val="20"/>
          <w:vertAlign w:val="baseline"/>
        </w:rPr>
        <w:t>Langle</w:t>
      </w:r>
      <w:r>
        <w:rPr>
          <w:color w:val="231F20"/>
          <w:spacing w:val="-9"/>
          <w:sz w:val="20"/>
          <w:vertAlign w:val="baseline"/>
        </w:rPr>
        <w:t> </w:t>
      </w:r>
      <w:r>
        <w:rPr>
          <w:color w:val="231F20"/>
          <w:spacing w:val="-2"/>
          <w:sz w:val="20"/>
          <w:vertAlign w:val="baseline"/>
        </w:rPr>
        <w:t>signe</w:t>
      </w:r>
      <w:r>
        <w:rPr>
          <w:color w:val="231F20"/>
          <w:spacing w:val="-9"/>
          <w:sz w:val="20"/>
          <w:vertAlign w:val="baseline"/>
        </w:rPr>
        <w:t> </w:t>
      </w:r>
      <w:r>
        <w:rPr>
          <w:color w:val="231F20"/>
          <w:spacing w:val="-2"/>
          <w:sz w:val="20"/>
          <w:vertAlign w:val="baseline"/>
        </w:rPr>
        <w:t>un</w:t>
      </w:r>
      <w:r>
        <w:rPr>
          <w:color w:val="231F20"/>
          <w:spacing w:val="-8"/>
          <w:sz w:val="20"/>
          <w:vertAlign w:val="baseline"/>
        </w:rPr>
        <w:t> </w:t>
      </w:r>
      <w:r>
        <w:rPr>
          <w:color w:val="231F20"/>
          <w:spacing w:val="-2"/>
          <w:sz w:val="20"/>
          <w:vertAlign w:val="baseline"/>
        </w:rPr>
        <w:t>traité </w:t>
      </w:r>
      <w:r>
        <w:rPr>
          <w:color w:val="231F20"/>
          <w:spacing w:val="-4"/>
          <w:sz w:val="20"/>
          <w:vertAlign w:val="baseline"/>
        </w:rPr>
        <w:t>avec</w:t>
      </w:r>
      <w:r>
        <w:rPr>
          <w:color w:val="231F20"/>
          <w:spacing w:val="-9"/>
          <w:sz w:val="20"/>
          <w:vertAlign w:val="baseline"/>
        </w:rPr>
        <w:t> </w:t>
      </w:r>
      <w:r>
        <w:rPr>
          <w:color w:val="231F20"/>
          <w:spacing w:val="-4"/>
          <w:sz w:val="20"/>
          <w:vertAlign w:val="baseline"/>
        </w:rPr>
        <w:t>le</w:t>
      </w:r>
      <w:r>
        <w:rPr>
          <w:color w:val="231F20"/>
          <w:spacing w:val="-8"/>
          <w:sz w:val="20"/>
          <w:vertAlign w:val="baseline"/>
        </w:rPr>
        <w:t> </w:t>
      </w:r>
      <w:r>
        <w:rPr>
          <w:color w:val="231F20"/>
          <w:spacing w:val="-4"/>
          <w:sz w:val="20"/>
          <w:vertAlign w:val="baseline"/>
        </w:rPr>
        <w:t>roi</w:t>
      </w:r>
      <w:r>
        <w:rPr>
          <w:color w:val="231F20"/>
          <w:spacing w:val="-9"/>
          <w:sz w:val="20"/>
          <w:vertAlign w:val="baseline"/>
        </w:rPr>
        <w:t> </w:t>
      </w:r>
      <w:r>
        <w:rPr>
          <w:color w:val="231F20"/>
          <w:spacing w:val="-4"/>
          <w:sz w:val="20"/>
          <w:vertAlign w:val="baseline"/>
        </w:rPr>
        <w:t>du</w:t>
      </w:r>
      <w:r>
        <w:rPr>
          <w:color w:val="231F20"/>
          <w:spacing w:val="-8"/>
          <w:sz w:val="20"/>
          <w:vertAlign w:val="baseline"/>
        </w:rPr>
        <w:t> </w:t>
      </w:r>
      <w:r>
        <w:rPr>
          <w:color w:val="231F20"/>
          <w:spacing w:val="-4"/>
          <w:sz w:val="20"/>
          <w:vertAlign w:val="baseline"/>
        </w:rPr>
        <w:t>Sanwi</w:t>
      </w:r>
      <w:r>
        <w:rPr>
          <w:color w:val="231F20"/>
          <w:spacing w:val="-9"/>
          <w:sz w:val="20"/>
          <w:vertAlign w:val="baseline"/>
        </w:rPr>
        <w:t> </w:t>
      </w:r>
      <w:r>
        <w:rPr>
          <w:color w:val="231F20"/>
          <w:spacing w:val="-4"/>
          <w:sz w:val="20"/>
          <w:vertAlign w:val="baseline"/>
        </w:rPr>
        <w:t>Attokplora</w:t>
      </w:r>
      <w:r>
        <w:rPr>
          <w:color w:val="231F20"/>
          <w:spacing w:val="-8"/>
          <w:sz w:val="20"/>
          <w:vertAlign w:val="baseline"/>
        </w:rPr>
        <w:t> </w:t>
      </w:r>
      <w:r>
        <w:rPr>
          <w:color w:val="231F20"/>
          <w:spacing w:val="-4"/>
          <w:sz w:val="20"/>
          <w:vertAlign w:val="baseline"/>
        </w:rPr>
        <w:t>Kouassi</w:t>
      </w:r>
      <w:r>
        <w:rPr>
          <w:color w:val="231F20"/>
          <w:spacing w:val="-9"/>
          <w:sz w:val="20"/>
          <w:vertAlign w:val="baseline"/>
        </w:rPr>
        <w:t> </w:t>
      </w:r>
      <w:r>
        <w:rPr>
          <w:color w:val="231F20"/>
          <w:spacing w:val="-4"/>
          <w:sz w:val="20"/>
          <w:vertAlign w:val="baseline"/>
        </w:rPr>
        <w:t>(Attacla</w:t>
      </w:r>
      <w:r>
        <w:rPr>
          <w:color w:val="231F20"/>
          <w:spacing w:val="-8"/>
          <w:sz w:val="20"/>
          <w:vertAlign w:val="baseline"/>
        </w:rPr>
        <w:t> </w:t>
      </w:r>
      <w:r>
        <w:rPr>
          <w:color w:val="231F20"/>
          <w:spacing w:val="-4"/>
          <w:sz w:val="20"/>
          <w:vertAlign w:val="baseline"/>
        </w:rPr>
        <w:t>dans</w:t>
      </w:r>
      <w:r>
        <w:rPr>
          <w:color w:val="231F20"/>
          <w:spacing w:val="-8"/>
          <w:sz w:val="20"/>
          <w:vertAlign w:val="baseline"/>
        </w:rPr>
        <w:t> </w:t>
      </w:r>
      <w:r>
        <w:rPr>
          <w:color w:val="231F20"/>
          <w:spacing w:val="-4"/>
          <w:sz w:val="20"/>
          <w:vertAlign w:val="baseline"/>
        </w:rPr>
        <w:t>les</w:t>
      </w:r>
      <w:r>
        <w:rPr>
          <w:color w:val="231F20"/>
          <w:spacing w:val="-7"/>
          <w:sz w:val="20"/>
          <w:vertAlign w:val="baseline"/>
        </w:rPr>
        <w:t> </w:t>
      </w:r>
      <w:r>
        <w:rPr>
          <w:color w:val="231F20"/>
          <w:spacing w:val="-4"/>
          <w:sz w:val="20"/>
          <w:vertAlign w:val="baseline"/>
        </w:rPr>
        <w:t>archives</w:t>
      </w:r>
      <w:r>
        <w:rPr>
          <w:color w:val="231F20"/>
          <w:spacing w:val="-8"/>
          <w:sz w:val="20"/>
          <w:vertAlign w:val="baseline"/>
        </w:rPr>
        <w:t> </w:t>
      </w:r>
      <w:r>
        <w:rPr>
          <w:color w:val="231F20"/>
          <w:spacing w:val="-4"/>
          <w:sz w:val="20"/>
          <w:vertAlign w:val="baseline"/>
        </w:rPr>
        <w:t>françaises),</w:t>
      </w:r>
      <w:r>
        <w:rPr>
          <w:color w:val="231F20"/>
          <w:spacing w:val="-6"/>
          <w:sz w:val="20"/>
          <w:vertAlign w:val="baseline"/>
        </w:rPr>
        <w:t> </w:t>
      </w:r>
      <w:r>
        <w:rPr>
          <w:color w:val="231F20"/>
          <w:spacing w:val="-4"/>
          <w:sz w:val="20"/>
          <w:vertAlign w:val="baseline"/>
        </w:rPr>
        <w:t>représenté par</w:t>
      </w:r>
      <w:r>
        <w:rPr>
          <w:color w:val="231F20"/>
          <w:spacing w:val="-5"/>
          <w:sz w:val="20"/>
          <w:vertAlign w:val="baseline"/>
        </w:rPr>
        <w:t> </w:t>
      </w:r>
      <w:r>
        <w:rPr>
          <w:color w:val="231F20"/>
          <w:spacing w:val="-4"/>
          <w:sz w:val="20"/>
          <w:vertAlign w:val="baseline"/>
        </w:rPr>
        <w:t>son</w:t>
      </w:r>
      <w:r>
        <w:rPr>
          <w:color w:val="231F20"/>
          <w:spacing w:val="-7"/>
          <w:sz w:val="20"/>
          <w:vertAlign w:val="baseline"/>
        </w:rPr>
        <w:t> </w:t>
      </w:r>
      <w:r>
        <w:rPr>
          <w:color w:val="231F20"/>
          <w:spacing w:val="-4"/>
          <w:sz w:val="20"/>
          <w:vertAlign w:val="baseline"/>
        </w:rPr>
        <w:t>neveu</w:t>
      </w:r>
      <w:r>
        <w:rPr>
          <w:color w:val="231F20"/>
          <w:spacing w:val="-5"/>
          <w:sz w:val="20"/>
          <w:vertAlign w:val="baseline"/>
        </w:rPr>
        <w:t> </w:t>
      </w:r>
      <w:r>
        <w:rPr>
          <w:color w:val="231F20"/>
          <w:spacing w:val="-4"/>
          <w:sz w:val="20"/>
          <w:vertAlign w:val="baseline"/>
        </w:rPr>
        <w:t>Amon</w:t>
      </w:r>
      <w:r>
        <w:rPr>
          <w:color w:val="231F20"/>
          <w:spacing w:val="-5"/>
          <w:sz w:val="20"/>
          <w:vertAlign w:val="baseline"/>
        </w:rPr>
        <w:t> </w:t>
      </w:r>
      <w:r>
        <w:rPr>
          <w:color w:val="231F20"/>
          <w:spacing w:val="-4"/>
          <w:sz w:val="20"/>
          <w:vertAlign w:val="baseline"/>
        </w:rPr>
        <w:t>N’douffou</w:t>
      </w:r>
      <w:r>
        <w:rPr>
          <w:color w:val="231F20"/>
          <w:spacing w:val="-7"/>
          <w:sz w:val="20"/>
          <w:vertAlign w:val="baseline"/>
        </w:rPr>
        <w:t> </w:t>
      </w:r>
      <w:r>
        <w:rPr>
          <w:color w:val="231F20"/>
          <w:spacing w:val="-4"/>
          <w:sz w:val="20"/>
          <w:vertAlign w:val="baseline"/>
        </w:rPr>
        <w:t>(Amatiffou</w:t>
      </w:r>
      <w:r>
        <w:rPr>
          <w:color w:val="231F20"/>
          <w:spacing w:val="-5"/>
          <w:sz w:val="20"/>
          <w:vertAlign w:val="baseline"/>
        </w:rPr>
        <w:t> </w:t>
      </w:r>
      <w:r>
        <w:rPr>
          <w:color w:val="231F20"/>
          <w:spacing w:val="-4"/>
          <w:sz w:val="20"/>
          <w:vertAlign w:val="baseline"/>
        </w:rPr>
        <w:t>dans</w:t>
      </w:r>
      <w:r>
        <w:rPr>
          <w:color w:val="231F20"/>
          <w:spacing w:val="-7"/>
          <w:sz w:val="20"/>
          <w:vertAlign w:val="baseline"/>
        </w:rPr>
        <w:t> </w:t>
      </w:r>
      <w:r>
        <w:rPr>
          <w:color w:val="231F20"/>
          <w:spacing w:val="-4"/>
          <w:sz w:val="20"/>
          <w:vertAlign w:val="baseline"/>
        </w:rPr>
        <w:t>les</w:t>
      </w:r>
      <w:r>
        <w:rPr>
          <w:color w:val="231F20"/>
          <w:spacing w:val="-7"/>
          <w:sz w:val="20"/>
          <w:vertAlign w:val="baseline"/>
        </w:rPr>
        <w:t> </w:t>
      </w:r>
      <w:r>
        <w:rPr>
          <w:color w:val="231F20"/>
          <w:spacing w:val="-4"/>
          <w:sz w:val="20"/>
          <w:vertAlign w:val="baseline"/>
        </w:rPr>
        <w:t>archives).</w:t>
      </w:r>
      <w:r>
        <w:rPr>
          <w:color w:val="231F20"/>
          <w:spacing w:val="-8"/>
          <w:sz w:val="20"/>
          <w:vertAlign w:val="baseline"/>
        </w:rPr>
        <w:t> </w:t>
      </w:r>
      <w:r>
        <w:rPr>
          <w:color w:val="231F20"/>
          <w:spacing w:val="-4"/>
          <w:sz w:val="20"/>
          <w:vertAlign w:val="baseline"/>
        </w:rPr>
        <w:t>Dans</w:t>
      </w:r>
      <w:r>
        <w:rPr>
          <w:color w:val="231F20"/>
          <w:spacing w:val="-7"/>
          <w:sz w:val="20"/>
          <w:vertAlign w:val="baseline"/>
        </w:rPr>
        <w:t> </w:t>
      </w:r>
      <w:r>
        <w:rPr>
          <w:color w:val="231F20"/>
          <w:spacing w:val="-4"/>
          <w:sz w:val="20"/>
          <w:vertAlign w:val="baseline"/>
        </w:rPr>
        <w:t>celui-ci,</w:t>
      </w:r>
      <w:r>
        <w:rPr>
          <w:color w:val="231F20"/>
          <w:spacing w:val="-8"/>
          <w:sz w:val="20"/>
          <w:vertAlign w:val="baseline"/>
        </w:rPr>
        <w:t> </w:t>
      </w:r>
      <w:r>
        <w:rPr>
          <w:color w:val="231F20"/>
          <w:spacing w:val="-4"/>
          <w:sz w:val="20"/>
          <w:vertAlign w:val="baseline"/>
        </w:rPr>
        <w:t>on</w:t>
      </w:r>
      <w:r>
        <w:rPr>
          <w:color w:val="231F20"/>
          <w:spacing w:val="-5"/>
          <w:sz w:val="20"/>
          <w:vertAlign w:val="baseline"/>
        </w:rPr>
        <w:t> </w:t>
      </w:r>
      <w:r>
        <w:rPr>
          <w:color w:val="231F20"/>
          <w:spacing w:val="-4"/>
          <w:sz w:val="20"/>
          <w:vertAlign w:val="baseline"/>
        </w:rPr>
        <w:t>peut</w:t>
      </w:r>
      <w:r>
        <w:rPr>
          <w:color w:val="231F20"/>
          <w:spacing w:val="-9"/>
          <w:sz w:val="20"/>
          <w:vertAlign w:val="baseline"/>
        </w:rPr>
        <w:t> </w:t>
      </w:r>
      <w:r>
        <w:rPr>
          <w:color w:val="231F20"/>
          <w:spacing w:val="-4"/>
          <w:sz w:val="20"/>
          <w:vertAlign w:val="baseline"/>
        </w:rPr>
        <w:t>lire</w:t>
      </w:r>
    </w:p>
    <w:p>
      <w:pPr>
        <w:spacing w:before="0"/>
        <w:ind w:left="111" w:right="104" w:firstLine="0"/>
        <w:jc w:val="both"/>
        <w:rPr>
          <w:sz w:val="20"/>
        </w:rPr>
      </w:pPr>
      <w:r>
        <w:rPr>
          <w:color w:val="231F20"/>
          <w:spacing w:val="-2"/>
          <w:sz w:val="20"/>
        </w:rPr>
        <w:t>:«</w:t>
      </w:r>
      <w:r>
        <w:rPr>
          <w:color w:val="231F20"/>
          <w:spacing w:val="-5"/>
          <w:sz w:val="20"/>
        </w:rPr>
        <w:t> </w:t>
      </w:r>
      <w:r>
        <w:rPr>
          <w:color w:val="231F20"/>
          <w:spacing w:val="-2"/>
          <w:sz w:val="20"/>
        </w:rPr>
        <w:t>Art.1er</w:t>
      </w:r>
      <w:r>
        <w:rPr>
          <w:color w:val="231F20"/>
          <w:spacing w:val="-6"/>
          <w:sz w:val="20"/>
        </w:rPr>
        <w:t> </w:t>
      </w:r>
      <w:r>
        <w:rPr>
          <w:color w:val="231F20"/>
          <w:spacing w:val="-2"/>
          <w:sz w:val="20"/>
        </w:rPr>
        <w:t>:</w:t>
      </w:r>
      <w:r>
        <w:rPr>
          <w:color w:val="231F20"/>
          <w:spacing w:val="-9"/>
          <w:sz w:val="20"/>
        </w:rPr>
        <w:t> </w:t>
      </w:r>
      <w:r>
        <w:rPr>
          <w:color w:val="231F20"/>
          <w:spacing w:val="-2"/>
          <w:sz w:val="20"/>
        </w:rPr>
        <w:t>Le</w:t>
      </w:r>
      <w:r>
        <w:rPr>
          <w:color w:val="231F20"/>
          <w:spacing w:val="-6"/>
          <w:sz w:val="20"/>
        </w:rPr>
        <w:t> </w:t>
      </w:r>
      <w:r>
        <w:rPr>
          <w:color w:val="231F20"/>
          <w:spacing w:val="-2"/>
          <w:sz w:val="20"/>
        </w:rPr>
        <w:t>roi,</w:t>
      </w:r>
      <w:r>
        <w:rPr>
          <w:color w:val="231F20"/>
          <w:spacing w:val="-8"/>
          <w:sz w:val="20"/>
        </w:rPr>
        <w:t> </w:t>
      </w:r>
      <w:r>
        <w:rPr>
          <w:color w:val="231F20"/>
          <w:spacing w:val="-2"/>
          <w:sz w:val="20"/>
        </w:rPr>
        <w:t>les</w:t>
      </w:r>
      <w:r>
        <w:rPr>
          <w:color w:val="231F20"/>
          <w:spacing w:val="-8"/>
          <w:sz w:val="20"/>
        </w:rPr>
        <w:t> </w:t>
      </w:r>
      <w:r>
        <w:rPr>
          <w:color w:val="231F20"/>
          <w:spacing w:val="-2"/>
          <w:sz w:val="20"/>
        </w:rPr>
        <w:t>chefs</w:t>
      </w:r>
      <w:r>
        <w:rPr>
          <w:color w:val="231F20"/>
          <w:spacing w:val="-8"/>
          <w:sz w:val="20"/>
        </w:rPr>
        <w:t> </w:t>
      </w:r>
      <w:r>
        <w:rPr>
          <w:color w:val="231F20"/>
          <w:spacing w:val="-2"/>
          <w:sz w:val="20"/>
        </w:rPr>
        <w:t>et</w:t>
      </w:r>
      <w:r>
        <w:rPr>
          <w:color w:val="231F20"/>
          <w:spacing w:val="-7"/>
          <w:sz w:val="20"/>
        </w:rPr>
        <w:t> </w:t>
      </w:r>
      <w:r>
        <w:rPr>
          <w:color w:val="231F20"/>
          <w:spacing w:val="-2"/>
          <w:sz w:val="20"/>
        </w:rPr>
        <w:t>le</w:t>
      </w:r>
      <w:r>
        <w:rPr>
          <w:color w:val="231F20"/>
          <w:spacing w:val="-6"/>
          <w:sz w:val="20"/>
        </w:rPr>
        <w:t> </w:t>
      </w:r>
      <w:r>
        <w:rPr>
          <w:color w:val="231F20"/>
          <w:spacing w:val="-2"/>
          <w:sz w:val="20"/>
        </w:rPr>
        <w:t>peuple</w:t>
      </w:r>
      <w:r>
        <w:rPr>
          <w:color w:val="231F20"/>
          <w:spacing w:val="-6"/>
          <w:sz w:val="20"/>
        </w:rPr>
        <w:t> </w:t>
      </w:r>
      <w:r>
        <w:rPr>
          <w:color w:val="231F20"/>
          <w:spacing w:val="-2"/>
          <w:sz w:val="20"/>
        </w:rPr>
        <w:t>d’Assinie</w:t>
      </w:r>
      <w:r>
        <w:rPr>
          <w:color w:val="231F20"/>
          <w:spacing w:val="-9"/>
          <w:sz w:val="20"/>
        </w:rPr>
        <w:t> </w:t>
      </w:r>
      <w:r>
        <w:rPr>
          <w:color w:val="231F20"/>
          <w:spacing w:val="-2"/>
          <w:sz w:val="20"/>
        </w:rPr>
        <w:t>se</w:t>
      </w:r>
      <w:r>
        <w:rPr>
          <w:color w:val="231F20"/>
          <w:spacing w:val="-6"/>
          <w:sz w:val="20"/>
        </w:rPr>
        <w:t> </w:t>
      </w:r>
      <w:r>
        <w:rPr>
          <w:color w:val="231F20"/>
          <w:spacing w:val="-2"/>
          <w:sz w:val="20"/>
        </w:rPr>
        <w:t>rappellent</w:t>
      </w:r>
      <w:r>
        <w:rPr>
          <w:color w:val="231F20"/>
          <w:spacing w:val="-7"/>
          <w:sz w:val="20"/>
        </w:rPr>
        <w:t> </w:t>
      </w:r>
      <w:r>
        <w:rPr>
          <w:color w:val="231F20"/>
          <w:spacing w:val="-2"/>
          <w:sz w:val="20"/>
        </w:rPr>
        <w:t>l’amitié</w:t>
      </w:r>
      <w:r>
        <w:rPr>
          <w:color w:val="231F20"/>
          <w:spacing w:val="-6"/>
          <w:sz w:val="20"/>
        </w:rPr>
        <w:t> </w:t>
      </w:r>
      <w:r>
        <w:rPr>
          <w:color w:val="231F20"/>
          <w:spacing w:val="-2"/>
          <w:sz w:val="20"/>
        </w:rPr>
        <w:t>et</w:t>
      </w:r>
      <w:r>
        <w:rPr>
          <w:color w:val="231F20"/>
          <w:spacing w:val="-6"/>
          <w:sz w:val="20"/>
        </w:rPr>
        <w:t> </w:t>
      </w:r>
      <w:r>
        <w:rPr>
          <w:color w:val="231F20"/>
          <w:spacing w:val="-2"/>
          <w:sz w:val="20"/>
        </w:rPr>
        <w:t>l’alliance</w:t>
      </w:r>
      <w:r>
        <w:rPr>
          <w:color w:val="231F20"/>
          <w:spacing w:val="-6"/>
          <w:sz w:val="20"/>
        </w:rPr>
        <w:t> </w:t>
      </w:r>
      <w:r>
        <w:rPr>
          <w:color w:val="231F20"/>
          <w:spacing w:val="-2"/>
          <w:sz w:val="20"/>
        </w:rPr>
        <w:t>qui </w:t>
      </w:r>
      <w:r>
        <w:rPr>
          <w:color w:val="231F20"/>
          <w:spacing w:val="-4"/>
          <w:sz w:val="20"/>
        </w:rPr>
        <w:t>a existé</w:t>
      </w:r>
      <w:r>
        <w:rPr>
          <w:color w:val="231F20"/>
          <w:spacing w:val="-6"/>
          <w:sz w:val="20"/>
        </w:rPr>
        <w:t> </w:t>
      </w:r>
      <w:r>
        <w:rPr>
          <w:color w:val="231F20"/>
          <w:spacing w:val="-4"/>
          <w:sz w:val="20"/>
        </w:rPr>
        <w:t>de tous</w:t>
      </w:r>
      <w:r>
        <w:rPr>
          <w:color w:val="231F20"/>
          <w:spacing w:val="-5"/>
          <w:sz w:val="20"/>
        </w:rPr>
        <w:t> </w:t>
      </w:r>
      <w:r>
        <w:rPr>
          <w:color w:val="231F20"/>
          <w:spacing w:val="-4"/>
          <w:sz w:val="20"/>
        </w:rPr>
        <w:t>temps</w:t>
      </w:r>
      <w:r>
        <w:rPr>
          <w:color w:val="231F20"/>
          <w:spacing w:val="-5"/>
          <w:sz w:val="20"/>
        </w:rPr>
        <w:t> </w:t>
      </w:r>
      <w:r>
        <w:rPr>
          <w:color w:val="231F20"/>
          <w:spacing w:val="-4"/>
          <w:sz w:val="20"/>
        </w:rPr>
        <w:t>avec</w:t>
      </w:r>
      <w:r>
        <w:rPr>
          <w:color w:val="231F20"/>
          <w:spacing w:val="-6"/>
          <w:sz w:val="20"/>
        </w:rPr>
        <w:t> </w:t>
      </w:r>
      <w:r>
        <w:rPr>
          <w:color w:val="231F20"/>
          <w:spacing w:val="-4"/>
          <w:sz w:val="20"/>
        </w:rPr>
        <w:t>la nation française,</w:t>
      </w:r>
      <w:r>
        <w:rPr>
          <w:color w:val="231F20"/>
          <w:spacing w:val="-6"/>
          <w:sz w:val="20"/>
        </w:rPr>
        <w:t> </w:t>
      </w:r>
      <w:r>
        <w:rPr>
          <w:color w:val="231F20"/>
          <w:spacing w:val="-4"/>
          <w:sz w:val="20"/>
        </w:rPr>
        <w:t>amitié qui avait</w:t>
      </w:r>
      <w:r>
        <w:rPr>
          <w:color w:val="231F20"/>
          <w:spacing w:val="-7"/>
          <w:sz w:val="20"/>
        </w:rPr>
        <w:t> </w:t>
      </w:r>
      <w:r>
        <w:rPr>
          <w:color w:val="231F20"/>
          <w:spacing w:val="-4"/>
          <w:sz w:val="20"/>
        </w:rPr>
        <w:t>porté les anciens chefs</w:t>
      </w:r>
      <w:r>
        <w:rPr>
          <w:color w:val="231F20"/>
          <w:spacing w:val="-7"/>
          <w:sz w:val="20"/>
        </w:rPr>
        <w:t> </w:t>
      </w:r>
      <w:r>
        <w:rPr>
          <w:color w:val="231F20"/>
          <w:spacing w:val="-4"/>
          <w:sz w:val="20"/>
        </w:rPr>
        <w:t>du pays</w:t>
      </w:r>
      <w:r>
        <w:rPr>
          <w:color w:val="231F20"/>
          <w:spacing w:val="-7"/>
          <w:sz w:val="20"/>
        </w:rPr>
        <w:t> </w:t>
      </w:r>
      <w:r>
        <w:rPr>
          <w:color w:val="231F20"/>
          <w:spacing w:val="-4"/>
          <w:sz w:val="20"/>
        </w:rPr>
        <w:t>à faire des</w:t>
      </w:r>
      <w:r>
        <w:rPr>
          <w:color w:val="231F20"/>
          <w:spacing w:val="-5"/>
          <w:sz w:val="20"/>
        </w:rPr>
        <w:t> </w:t>
      </w:r>
      <w:r>
        <w:rPr>
          <w:color w:val="231F20"/>
          <w:spacing w:val="-4"/>
          <w:sz w:val="20"/>
        </w:rPr>
        <w:t>concessions</w:t>
      </w:r>
      <w:r>
        <w:rPr>
          <w:color w:val="231F20"/>
          <w:spacing w:val="-7"/>
          <w:sz w:val="20"/>
        </w:rPr>
        <w:t> </w:t>
      </w:r>
      <w:r>
        <w:rPr>
          <w:color w:val="231F20"/>
          <w:spacing w:val="-4"/>
          <w:sz w:val="20"/>
        </w:rPr>
        <w:t>de</w:t>
      </w:r>
      <w:r>
        <w:rPr>
          <w:color w:val="231F20"/>
          <w:spacing w:val="-8"/>
          <w:sz w:val="20"/>
        </w:rPr>
        <w:t> </w:t>
      </w:r>
      <w:r>
        <w:rPr>
          <w:color w:val="231F20"/>
          <w:spacing w:val="-4"/>
          <w:sz w:val="20"/>
        </w:rPr>
        <w:t>terrain</w:t>
      </w:r>
      <w:r>
        <w:rPr>
          <w:color w:val="231F20"/>
          <w:spacing w:val="-5"/>
          <w:sz w:val="20"/>
        </w:rPr>
        <w:t> </w:t>
      </w:r>
      <w:r>
        <w:rPr>
          <w:color w:val="231F20"/>
          <w:spacing w:val="-4"/>
          <w:sz w:val="20"/>
        </w:rPr>
        <w:t>aux Français,</w:t>
      </w:r>
      <w:r>
        <w:rPr>
          <w:color w:val="231F20"/>
          <w:spacing w:val="-5"/>
          <w:sz w:val="20"/>
        </w:rPr>
        <w:t> </w:t>
      </w:r>
      <w:r>
        <w:rPr>
          <w:color w:val="231F20"/>
          <w:spacing w:val="-4"/>
          <w:sz w:val="20"/>
        </w:rPr>
        <w:t>avec le</w:t>
      </w:r>
      <w:r>
        <w:rPr>
          <w:color w:val="231F20"/>
          <w:spacing w:val="-6"/>
          <w:sz w:val="20"/>
        </w:rPr>
        <w:t> </w:t>
      </w:r>
      <w:r>
        <w:rPr>
          <w:color w:val="231F20"/>
          <w:spacing w:val="-4"/>
          <w:sz w:val="20"/>
        </w:rPr>
        <w:t>droit d’y</w:t>
      </w:r>
      <w:r>
        <w:rPr>
          <w:color w:val="231F20"/>
          <w:spacing w:val="-5"/>
          <w:sz w:val="20"/>
        </w:rPr>
        <w:t> </w:t>
      </w:r>
      <w:r>
        <w:rPr>
          <w:color w:val="231F20"/>
          <w:spacing w:val="-4"/>
          <w:sz w:val="20"/>
        </w:rPr>
        <w:t>bâtir</w:t>
      </w:r>
      <w:r>
        <w:rPr>
          <w:color w:val="231F20"/>
          <w:spacing w:val="-6"/>
          <w:sz w:val="20"/>
        </w:rPr>
        <w:t> </w:t>
      </w:r>
      <w:r>
        <w:rPr>
          <w:color w:val="231F20"/>
          <w:spacing w:val="-4"/>
          <w:sz w:val="20"/>
        </w:rPr>
        <w:t>des forts,</w:t>
      </w:r>
      <w:r>
        <w:rPr>
          <w:color w:val="231F20"/>
          <w:spacing w:val="-6"/>
          <w:sz w:val="20"/>
        </w:rPr>
        <w:t> </w:t>
      </w:r>
      <w:r>
        <w:rPr>
          <w:color w:val="231F20"/>
          <w:spacing w:val="-4"/>
          <w:sz w:val="20"/>
        </w:rPr>
        <w:t>droit </w:t>
      </w:r>
      <w:r>
        <w:rPr>
          <w:color w:val="231F20"/>
          <w:sz w:val="20"/>
        </w:rPr>
        <w:t>dont</w:t>
      </w:r>
      <w:r>
        <w:rPr>
          <w:color w:val="231F20"/>
          <w:spacing w:val="-11"/>
          <w:sz w:val="20"/>
        </w:rPr>
        <w:t> </w:t>
      </w:r>
      <w:r>
        <w:rPr>
          <w:color w:val="231F20"/>
          <w:sz w:val="20"/>
        </w:rPr>
        <w:t>ils</w:t>
      </w:r>
      <w:r>
        <w:rPr>
          <w:color w:val="231F20"/>
          <w:spacing w:val="-11"/>
          <w:sz w:val="20"/>
        </w:rPr>
        <w:t> </w:t>
      </w:r>
      <w:r>
        <w:rPr>
          <w:color w:val="231F20"/>
          <w:sz w:val="20"/>
        </w:rPr>
        <w:t>ont</w:t>
      </w:r>
      <w:r>
        <w:rPr>
          <w:color w:val="231F20"/>
          <w:spacing w:val="-12"/>
          <w:sz w:val="20"/>
        </w:rPr>
        <w:t> </w:t>
      </w:r>
      <w:r>
        <w:rPr>
          <w:color w:val="231F20"/>
          <w:sz w:val="20"/>
        </w:rPr>
        <w:t>déjà</w:t>
      </w:r>
      <w:r>
        <w:rPr>
          <w:color w:val="231F20"/>
          <w:spacing w:val="-10"/>
          <w:sz w:val="20"/>
        </w:rPr>
        <w:t> </w:t>
      </w:r>
      <w:r>
        <w:rPr>
          <w:color w:val="231F20"/>
          <w:sz w:val="20"/>
        </w:rPr>
        <w:t>usé</w:t>
      </w:r>
      <w:r>
        <w:rPr>
          <w:color w:val="231F20"/>
          <w:spacing w:val="-8"/>
          <w:sz w:val="20"/>
        </w:rPr>
        <w:t> </w:t>
      </w:r>
      <w:r>
        <w:rPr>
          <w:color w:val="231F20"/>
          <w:sz w:val="20"/>
        </w:rPr>
        <w:t>;</w:t>
      </w:r>
      <w:r>
        <w:rPr>
          <w:color w:val="231F20"/>
          <w:spacing w:val="-11"/>
          <w:sz w:val="20"/>
        </w:rPr>
        <w:t> </w:t>
      </w:r>
      <w:r>
        <w:rPr>
          <w:color w:val="231F20"/>
          <w:sz w:val="20"/>
        </w:rPr>
        <w:t>ils</w:t>
      </w:r>
      <w:r>
        <w:rPr>
          <w:color w:val="231F20"/>
          <w:spacing w:val="-11"/>
          <w:sz w:val="20"/>
        </w:rPr>
        <w:t> </w:t>
      </w:r>
      <w:r>
        <w:rPr>
          <w:color w:val="231F20"/>
          <w:sz w:val="20"/>
        </w:rPr>
        <w:t>considèrent</w:t>
      </w:r>
      <w:r>
        <w:rPr>
          <w:color w:val="231F20"/>
          <w:spacing w:val="-12"/>
          <w:sz w:val="20"/>
        </w:rPr>
        <w:t> </w:t>
      </w:r>
      <w:r>
        <w:rPr>
          <w:color w:val="231F20"/>
          <w:sz w:val="20"/>
        </w:rPr>
        <w:t>que</w:t>
      </w:r>
      <w:r>
        <w:rPr>
          <w:color w:val="231F20"/>
          <w:spacing w:val="-10"/>
          <w:sz w:val="20"/>
        </w:rPr>
        <w:t> </w:t>
      </w:r>
      <w:r>
        <w:rPr>
          <w:color w:val="231F20"/>
          <w:sz w:val="20"/>
        </w:rPr>
        <w:t>cette</w:t>
      </w:r>
      <w:r>
        <w:rPr>
          <w:color w:val="231F20"/>
          <w:spacing w:val="-10"/>
          <w:sz w:val="20"/>
        </w:rPr>
        <w:t> </w:t>
      </w:r>
      <w:r>
        <w:rPr>
          <w:color w:val="231F20"/>
          <w:sz w:val="20"/>
        </w:rPr>
        <w:t>amitié</w:t>
      </w:r>
      <w:r>
        <w:rPr>
          <w:color w:val="231F20"/>
          <w:spacing w:val="-10"/>
          <w:sz w:val="20"/>
        </w:rPr>
        <w:t> </w:t>
      </w:r>
      <w:r>
        <w:rPr>
          <w:color w:val="231F20"/>
          <w:sz w:val="20"/>
        </w:rPr>
        <w:t>ancienne</w:t>
      </w:r>
      <w:r>
        <w:rPr>
          <w:color w:val="231F20"/>
          <w:spacing w:val="-8"/>
          <w:sz w:val="20"/>
        </w:rPr>
        <w:t> </w:t>
      </w:r>
      <w:r>
        <w:rPr>
          <w:color w:val="231F20"/>
          <w:sz w:val="20"/>
        </w:rPr>
        <w:t>n’a</w:t>
      </w:r>
      <w:r>
        <w:rPr>
          <w:color w:val="231F20"/>
          <w:spacing w:val="-10"/>
          <w:sz w:val="20"/>
        </w:rPr>
        <w:t> </w:t>
      </w:r>
      <w:r>
        <w:rPr>
          <w:color w:val="231F20"/>
          <w:sz w:val="20"/>
        </w:rPr>
        <w:t>jamais</w:t>
      </w:r>
      <w:r>
        <w:rPr>
          <w:color w:val="231F20"/>
          <w:spacing w:val="-11"/>
          <w:sz w:val="20"/>
        </w:rPr>
        <w:t> </w:t>
      </w:r>
      <w:r>
        <w:rPr>
          <w:color w:val="231F20"/>
          <w:sz w:val="20"/>
        </w:rPr>
        <w:t>été</w:t>
      </w:r>
      <w:r>
        <w:rPr>
          <w:color w:val="231F20"/>
          <w:spacing w:val="-10"/>
          <w:sz w:val="20"/>
        </w:rPr>
        <w:t> </w:t>
      </w:r>
      <w:r>
        <w:rPr>
          <w:color w:val="231F20"/>
          <w:sz w:val="20"/>
        </w:rPr>
        <w:t>altérée</w:t>
      </w:r>
      <w:r>
        <w:rPr>
          <w:color w:val="231F20"/>
          <w:spacing w:val="-8"/>
          <w:sz w:val="20"/>
        </w:rPr>
        <w:t> </w:t>
      </w:r>
      <w:r>
        <w:rPr>
          <w:color w:val="231F20"/>
          <w:sz w:val="20"/>
        </w:rPr>
        <w:t>et désirent</w:t>
      </w:r>
      <w:r>
        <w:rPr>
          <w:color w:val="231F20"/>
          <w:spacing w:val="-13"/>
          <w:sz w:val="20"/>
        </w:rPr>
        <w:t> </w:t>
      </w:r>
      <w:r>
        <w:rPr>
          <w:color w:val="231F20"/>
          <w:sz w:val="20"/>
        </w:rPr>
        <w:t>se</w:t>
      </w:r>
      <w:r>
        <w:rPr>
          <w:color w:val="231F20"/>
          <w:spacing w:val="-12"/>
          <w:sz w:val="20"/>
        </w:rPr>
        <w:t> </w:t>
      </w:r>
      <w:r>
        <w:rPr>
          <w:color w:val="231F20"/>
          <w:sz w:val="20"/>
        </w:rPr>
        <w:t>créer</w:t>
      </w:r>
      <w:r>
        <w:rPr>
          <w:color w:val="231F20"/>
          <w:spacing w:val="-12"/>
          <w:sz w:val="20"/>
        </w:rPr>
        <w:t> </w:t>
      </w:r>
      <w:r>
        <w:rPr>
          <w:color w:val="231F20"/>
          <w:sz w:val="20"/>
        </w:rPr>
        <w:t>un</w:t>
      </w:r>
      <w:r>
        <w:rPr>
          <w:color w:val="231F20"/>
          <w:spacing w:val="-13"/>
          <w:sz w:val="20"/>
        </w:rPr>
        <w:t> </w:t>
      </w:r>
      <w:r>
        <w:rPr>
          <w:color w:val="231F20"/>
          <w:sz w:val="20"/>
        </w:rPr>
        <w:t>protecteur</w:t>
      </w:r>
      <w:r>
        <w:rPr>
          <w:color w:val="231F20"/>
          <w:spacing w:val="-12"/>
          <w:sz w:val="20"/>
        </w:rPr>
        <w:t> </w:t>
      </w:r>
      <w:r>
        <w:rPr>
          <w:color w:val="231F20"/>
          <w:sz w:val="20"/>
        </w:rPr>
        <w:t>puissant</w:t>
      </w:r>
      <w:r>
        <w:rPr>
          <w:color w:val="231F20"/>
          <w:spacing w:val="-13"/>
          <w:sz w:val="20"/>
        </w:rPr>
        <w:t> </w:t>
      </w:r>
      <w:r>
        <w:rPr>
          <w:color w:val="231F20"/>
          <w:sz w:val="20"/>
        </w:rPr>
        <w:t>en</w:t>
      </w:r>
      <w:r>
        <w:rPr>
          <w:color w:val="231F20"/>
          <w:spacing w:val="-11"/>
          <w:sz w:val="20"/>
        </w:rPr>
        <w:t> </w:t>
      </w:r>
      <w:r>
        <w:rPr>
          <w:color w:val="231F20"/>
          <w:sz w:val="20"/>
        </w:rPr>
        <w:t>se</w:t>
      </w:r>
      <w:r>
        <w:rPr>
          <w:color w:val="231F20"/>
          <w:spacing w:val="-12"/>
          <w:sz w:val="20"/>
        </w:rPr>
        <w:t> </w:t>
      </w:r>
      <w:r>
        <w:rPr>
          <w:color w:val="231F20"/>
          <w:sz w:val="20"/>
        </w:rPr>
        <w:t>rangeant</w:t>
      </w:r>
      <w:r>
        <w:rPr>
          <w:color w:val="231F20"/>
          <w:spacing w:val="-12"/>
          <w:sz w:val="20"/>
        </w:rPr>
        <w:t> </w:t>
      </w:r>
      <w:r>
        <w:rPr>
          <w:color w:val="231F20"/>
          <w:sz w:val="20"/>
        </w:rPr>
        <w:t>sous</w:t>
      </w:r>
      <w:r>
        <w:rPr>
          <w:color w:val="231F20"/>
          <w:spacing w:val="-11"/>
          <w:sz w:val="20"/>
        </w:rPr>
        <w:t> </w:t>
      </w:r>
      <w:r>
        <w:rPr>
          <w:color w:val="231F20"/>
          <w:sz w:val="20"/>
        </w:rPr>
        <w:t>la</w:t>
      </w:r>
      <w:r>
        <w:rPr>
          <w:color w:val="231F20"/>
          <w:spacing w:val="-13"/>
          <w:sz w:val="20"/>
        </w:rPr>
        <w:t> </w:t>
      </w:r>
      <w:r>
        <w:rPr>
          <w:color w:val="231F20"/>
          <w:sz w:val="20"/>
        </w:rPr>
        <w:t>protection</w:t>
      </w:r>
      <w:r>
        <w:rPr>
          <w:color w:val="231F20"/>
          <w:spacing w:val="-12"/>
          <w:sz w:val="20"/>
        </w:rPr>
        <w:t> </w:t>
      </w:r>
      <w:r>
        <w:rPr>
          <w:color w:val="231F20"/>
          <w:sz w:val="20"/>
        </w:rPr>
        <w:t>de</w:t>
      </w:r>
      <w:r>
        <w:rPr>
          <w:color w:val="231F20"/>
          <w:spacing w:val="-12"/>
          <w:sz w:val="20"/>
        </w:rPr>
        <w:t> </w:t>
      </w:r>
      <w:r>
        <w:rPr>
          <w:color w:val="231F20"/>
          <w:sz w:val="20"/>
        </w:rPr>
        <w:t>Sa</w:t>
      </w:r>
      <w:r>
        <w:rPr>
          <w:color w:val="231F20"/>
          <w:spacing w:val="-12"/>
          <w:sz w:val="20"/>
        </w:rPr>
        <w:t> </w:t>
      </w:r>
      <w:r>
        <w:rPr>
          <w:color w:val="231F20"/>
          <w:sz w:val="20"/>
        </w:rPr>
        <w:t>Majesté Louis-Phillipe</w:t>
      </w:r>
      <w:r>
        <w:rPr>
          <w:color w:val="231F20"/>
          <w:spacing w:val="-13"/>
          <w:sz w:val="20"/>
        </w:rPr>
        <w:t> </w:t>
      </w:r>
      <w:r>
        <w:rPr>
          <w:color w:val="231F20"/>
          <w:sz w:val="20"/>
        </w:rPr>
        <w:t>1er,</w:t>
      </w:r>
      <w:r>
        <w:rPr>
          <w:color w:val="231F20"/>
          <w:spacing w:val="-12"/>
          <w:sz w:val="20"/>
        </w:rPr>
        <w:t> </w:t>
      </w:r>
      <w:r>
        <w:rPr>
          <w:color w:val="231F20"/>
          <w:sz w:val="20"/>
        </w:rPr>
        <w:t>roi</w:t>
      </w:r>
      <w:r>
        <w:rPr>
          <w:color w:val="231F20"/>
          <w:spacing w:val="-13"/>
          <w:sz w:val="20"/>
        </w:rPr>
        <w:t> </w:t>
      </w:r>
      <w:r>
        <w:rPr>
          <w:color w:val="231F20"/>
          <w:sz w:val="20"/>
        </w:rPr>
        <w:t>des</w:t>
      </w:r>
      <w:r>
        <w:rPr>
          <w:color w:val="231F20"/>
          <w:spacing w:val="-11"/>
          <w:sz w:val="20"/>
        </w:rPr>
        <w:t> </w:t>
      </w:r>
      <w:r>
        <w:rPr>
          <w:color w:val="231F20"/>
          <w:sz w:val="20"/>
        </w:rPr>
        <w:t>Français,</w:t>
      </w:r>
      <w:r>
        <w:rPr>
          <w:color w:val="231F20"/>
          <w:spacing w:val="-13"/>
          <w:sz w:val="20"/>
        </w:rPr>
        <w:t> </w:t>
      </w:r>
      <w:r>
        <w:rPr>
          <w:color w:val="231F20"/>
          <w:sz w:val="20"/>
        </w:rPr>
        <w:t>à</w:t>
      </w:r>
      <w:r>
        <w:rPr>
          <w:color w:val="231F20"/>
          <w:spacing w:val="-10"/>
          <w:sz w:val="20"/>
        </w:rPr>
        <w:t> </w:t>
      </w:r>
      <w:r>
        <w:rPr>
          <w:color w:val="231F20"/>
          <w:sz w:val="20"/>
        </w:rPr>
        <w:t>qui</w:t>
      </w:r>
      <w:r>
        <w:rPr>
          <w:color w:val="231F20"/>
          <w:spacing w:val="-13"/>
          <w:sz w:val="20"/>
        </w:rPr>
        <w:t> </w:t>
      </w:r>
      <w:r>
        <w:rPr>
          <w:color w:val="231F20"/>
          <w:sz w:val="20"/>
        </w:rPr>
        <w:t>ils</w:t>
      </w:r>
      <w:r>
        <w:rPr>
          <w:color w:val="231F20"/>
          <w:spacing w:val="-11"/>
          <w:sz w:val="20"/>
        </w:rPr>
        <w:t> </w:t>
      </w:r>
      <w:r>
        <w:rPr>
          <w:color w:val="231F20"/>
          <w:sz w:val="20"/>
        </w:rPr>
        <w:t>cèdent</w:t>
      </w:r>
      <w:r>
        <w:rPr>
          <w:color w:val="231F20"/>
          <w:spacing w:val="-13"/>
          <w:sz w:val="20"/>
        </w:rPr>
        <w:t> </w:t>
      </w:r>
      <w:r>
        <w:rPr>
          <w:color w:val="231F20"/>
          <w:sz w:val="20"/>
        </w:rPr>
        <w:t>la</w:t>
      </w:r>
      <w:r>
        <w:rPr>
          <w:color w:val="231F20"/>
          <w:spacing w:val="-12"/>
          <w:sz w:val="20"/>
        </w:rPr>
        <w:t> </w:t>
      </w:r>
      <w:r>
        <w:rPr>
          <w:color w:val="231F20"/>
          <w:sz w:val="20"/>
        </w:rPr>
        <w:t>souveraineté</w:t>
      </w:r>
      <w:r>
        <w:rPr>
          <w:color w:val="231F20"/>
          <w:spacing w:val="-12"/>
          <w:sz w:val="20"/>
        </w:rPr>
        <w:t> </w:t>
      </w:r>
      <w:r>
        <w:rPr>
          <w:color w:val="231F20"/>
          <w:sz w:val="20"/>
        </w:rPr>
        <w:t>pleine</w:t>
      </w:r>
      <w:r>
        <w:rPr>
          <w:color w:val="231F20"/>
          <w:spacing w:val="-11"/>
          <w:sz w:val="20"/>
        </w:rPr>
        <w:t> </w:t>
      </w:r>
      <w:r>
        <w:rPr>
          <w:color w:val="231F20"/>
          <w:sz w:val="20"/>
        </w:rPr>
        <w:t>et</w:t>
      </w:r>
      <w:r>
        <w:rPr>
          <w:color w:val="231F20"/>
          <w:spacing w:val="-13"/>
          <w:sz w:val="20"/>
        </w:rPr>
        <w:t> </w:t>
      </w:r>
      <w:r>
        <w:rPr>
          <w:color w:val="231F20"/>
          <w:sz w:val="20"/>
        </w:rPr>
        <w:t>entière</w:t>
      </w:r>
      <w:r>
        <w:rPr>
          <w:color w:val="231F20"/>
          <w:spacing w:val="-12"/>
          <w:sz w:val="20"/>
        </w:rPr>
        <w:t> </w:t>
      </w:r>
      <w:r>
        <w:rPr>
          <w:color w:val="231F20"/>
          <w:sz w:val="20"/>
        </w:rPr>
        <w:t>de tout</w:t>
      </w:r>
      <w:r>
        <w:rPr>
          <w:color w:val="231F20"/>
          <w:spacing w:val="-11"/>
          <w:sz w:val="20"/>
        </w:rPr>
        <w:t> </w:t>
      </w:r>
      <w:r>
        <w:rPr>
          <w:color w:val="231F20"/>
          <w:sz w:val="20"/>
        </w:rPr>
        <w:t>leur</w:t>
      </w:r>
      <w:r>
        <w:rPr>
          <w:color w:val="231F20"/>
          <w:spacing w:val="-10"/>
          <w:sz w:val="20"/>
        </w:rPr>
        <w:t> </w:t>
      </w:r>
      <w:r>
        <w:rPr>
          <w:color w:val="231F20"/>
          <w:sz w:val="20"/>
        </w:rPr>
        <w:t>territoire</w:t>
      </w:r>
      <w:r>
        <w:rPr>
          <w:color w:val="231F20"/>
          <w:spacing w:val="-8"/>
          <w:sz w:val="20"/>
        </w:rPr>
        <w:t> </w:t>
      </w:r>
      <w:r>
        <w:rPr>
          <w:color w:val="231F20"/>
          <w:sz w:val="20"/>
        </w:rPr>
        <w:t>avec</w:t>
      </w:r>
      <w:r>
        <w:rPr>
          <w:color w:val="231F20"/>
          <w:spacing w:val="-10"/>
          <w:sz w:val="20"/>
        </w:rPr>
        <w:t> </w:t>
      </w:r>
      <w:r>
        <w:rPr>
          <w:color w:val="231F20"/>
          <w:sz w:val="20"/>
        </w:rPr>
        <w:t>le</w:t>
      </w:r>
      <w:r>
        <w:rPr>
          <w:color w:val="231F20"/>
          <w:spacing w:val="-10"/>
          <w:sz w:val="20"/>
        </w:rPr>
        <w:t> </w:t>
      </w:r>
      <w:r>
        <w:rPr>
          <w:color w:val="231F20"/>
          <w:sz w:val="20"/>
        </w:rPr>
        <w:t>droit</w:t>
      </w:r>
      <w:r>
        <w:rPr>
          <w:color w:val="231F20"/>
          <w:spacing w:val="-11"/>
          <w:sz w:val="20"/>
        </w:rPr>
        <w:t> </w:t>
      </w:r>
      <w:r>
        <w:rPr>
          <w:color w:val="231F20"/>
          <w:sz w:val="20"/>
        </w:rPr>
        <w:t>d’y</w:t>
      </w:r>
      <w:r>
        <w:rPr>
          <w:color w:val="231F20"/>
          <w:spacing w:val="-10"/>
          <w:sz w:val="20"/>
        </w:rPr>
        <w:t> </w:t>
      </w:r>
      <w:r>
        <w:rPr>
          <w:color w:val="231F20"/>
          <w:sz w:val="20"/>
        </w:rPr>
        <w:t>arborer</w:t>
      </w:r>
      <w:r>
        <w:rPr>
          <w:color w:val="231F20"/>
          <w:spacing w:val="-8"/>
          <w:sz w:val="20"/>
        </w:rPr>
        <w:t> </w:t>
      </w:r>
      <w:r>
        <w:rPr>
          <w:color w:val="231F20"/>
          <w:sz w:val="20"/>
        </w:rPr>
        <w:t>ses</w:t>
      </w:r>
      <w:r>
        <w:rPr>
          <w:color w:val="231F20"/>
          <w:spacing w:val="-11"/>
          <w:sz w:val="20"/>
        </w:rPr>
        <w:t> </w:t>
      </w:r>
      <w:r>
        <w:rPr>
          <w:color w:val="231F20"/>
          <w:sz w:val="20"/>
        </w:rPr>
        <w:t>couleurs</w:t>
      </w:r>
      <w:r>
        <w:rPr>
          <w:color w:val="231F20"/>
          <w:spacing w:val="-11"/>
          <w:sz w:val="20"/>
        </w:rPr>
        <w:t> </w:t>
      </w:r>
      <w:r>
        <w:rPr>
          <w:color w:val="231F20"/>
          <w:sz w:val="20"/>
        </w:rPr>
        <w:t>et</w:t>
      </w:r>
      <w:r>
        <w:rPr>
          <w:color w:val="231F20"/>
          <w:spacing w:val="-11"/>
          <w:sz w:val="20"/>
        </w:rPr>
        <w:t> </w:t>
      </w:r>
      <w:r>
        <w:rPr>
          <w:color w:val="231F20"/>
          <w:sz w:val="20"/>
        </w:rPr>
        <w:t>d’y</w:t>
      </w:r>
      <w:r>
        <w:rPr>
          <w:color w:val="231F20"/>
          <w:spacing w:val="-10"/>
          <w:sz w:val="20"/>
        </w:rPr>
        <w:t> </w:t>
      </w:r>
      <w:r>
        <w:rPr>
          <w:color w:val="231F20"/>
          <w:sz w:val="20"/>
        </w:rPr>
        <w:t>faire</w:t>
      </w:r>
      <w:r>
        <w:rPr>
          <w:color w:val="231F20"/>
          <w:spacing w:val="-11"/>
          <w:sz w:val="20"/>
        </w:rPr>
        <w:t> </w:t>
      </w:r>
      <w:r>
        <w:rPr>
          <w:color w:val="231F20"/>
          <w:sz w:val="20"/>
        </w:rPr>
        <w:t>telle</w:t>
      </w:r>
      <w:r>
        <w:rPr>
          <w:color w:val="231F20"/>
          <w:spacing w:val="-10"/>
          <w:sz w:val="20"/>
        </w:rPr>
        <w:t> </w:t>
      </w:r>
      <w:r>
        <w:rPr>
          <w:color w:val="231F20"/>
          <w:sz w:val="20"/>
        </w:rPr>
        <w:t>bâtisse</w:t>
      </w:r>
      <w:r>
        <w:rPr>
          <w:color w:val="231F20"/>
          <w:spacing w:val="-11"/>
          <w:sz w:val="20"/>
        </w:rPr>
        <w:t> </w:t>
      </w:r>
      <w:r>
        <w:rPr>
          <w:color w:val="231F20"/>
          <w:sz w:val="20"/>
        </w:rPr>
        <w:t>ou</w:t>
      </w:r>
      <w:r>
        <w:rPr>
          <w:color w:val="231F20"/>
          <w:spacing w:val="-10"/>
          <w:sz w:val="20"/>
        </w:rPr>
        <w:t> </w:t>
      </w:r>
      <w:r>
        <w:rPr>
          <w:color w:val="231F20"/>
          <w:sz w:val="20"/>
        </w:rPr>
        <w:t>fort qu’elle jugera convenable ».</w:t>
      </w:r>
    </w:p>
    <w:p>
      <w:pPr>
        <w:spacing w:before="1"/>
        <w:ind w:left="111" w:right="106" w:firstLine="0"/>
        <w:jc w:val="both"/>
        <w:rPr>
          <w:sz w:val="20"/>
        </w:rPr>
      </w:pPr>
      <w:r>
        <w:rPr>
          <w:color w:val="231F20"/>
          <w:sz w:val="20"/>
        </w:rPr>
        <w:t>DIABATE</w:t>
      </w:r>
      <w:r>
        <w:rPr>
          <w:color w:val="231F20"/>
          <w:spacing w:val="-8"/>
          <w:sz w:val="20"/>
        </w:rPr>
        <w:t> </w:t>
      </w:r>
      <w:r>
        <w:rPr>
          <w:color w:val="231F20"/>
          <w:sz w:val="20"/>
        </w:rPr>
        <w:t>(H.),</w:t>
      </w:r>
      <w:r>
        <w:rPr>
          <w:color w:val="231F20"/>
          <w:spacing w:val="-9"/>
          <w:sz w:val="20"/>
        </w:rPr>
        <w:t> </w:t>
      </w:r>
      <w:r>
        <w:rPr>
          <w:color w:val="231F20"/>
          <w:sz w:val="20"/>
        </w:rPr>
        <w:t>Le</w:t>
      </w:r>
      <w:r>
        <w:rPr>
          <w:color w:val="231F20"/>
          <w:spacing w:val="-6"/>
          <w:sz w:val="20"/>
        </w:rPr>
        <w:t> </w:t>
      </w:r>
      <w:r>
        <w:rPr>
          <w:color w:val="231F20"/>
          <w:sz w:val="20"/>
        </w:rPr>
        <w:t>Sanwi.</w:t>
      </w:r>
      <w:r>
        <w:rPr>
          <w:color w:val="231F20"/>
          <w:spacing w:val="-6"/>
          <w:sz w:val="20"/>
        </w:rPr>
        <w:t> </w:t>
      </w:r>
      <w:r>
        <w:rPr>
          <w:color w:val="231F20"/>
          <w:sz w:val="20"/>
        </w:rPr>
        <w:t>Un</w:t>
      </w:r>
      <w:r>
        <w:rPr>
          <w:color w:val="231F20"/>
          <w:spacing w:val="-8"/>
          <w:sz w:val="20"/>
        </w:rPr>
        <w:t> </w:t>
      </w:r>
      <w:r>
        <w:rPr>
          <w:color w:val="231F20"/>
          <w:sz w:val="20"/>
        </w:rPr>
        <w:t>royaume</w:t>
      </w:r>
      <w:r>
        <w:rPr>
          <w:color w:val="231F20"/>
          <w:spacing w:val="-9"/>
          <w:sz w:val="20"/>
        </w:rPr>
        <w:t> </w:t>
      </w:r>
      <w:r>
        <w:rPr>
          <w:color w:val="231F20"/>
          <w:sz w:val="20"/>
        </w:rPr>
        <w:t>akan</w:t>
      </w:r>
      <w:r>
        <w:rPr>
          <w:color w:val="231F20"/>
          <w:spacing w:val="-8"/>
          <w:sz w:val="20"/>
        </w:rPr>
        <w:t> </w:t>
      </w:r>
      <w:r>
        <w:rPr>
          <w:color w:val="231F20"/>
          <w:sz w:val="20"/>
        </w:rPr>
        <w:t>de</w:t>
      </w:r>
      <w:r>
        <w:rPr>
          <w:color w:val="231F20"/>
          <w:spacing w:val="-6"/>
          <w:sz w:val="20"/>
        </w:rPr>
        <w:t> </w:t>
      </w:r>
      <w:r>
        <w:rPr>
          <w:color w:val="231F20"/>
          <w:sz w:val="20"/>
        </w:rPr>
        <w:t>la</w:t>
      </w:r>
      <w:r>
        <w:rPr>
          <w:color w:val="231F20"/>
          <w:spacing w:val="-6"/>
          <w:sz w:val="20"/>
        </w:rPr>
        <w:t> </w:t>
      </w:r>
      <w:r>
        <w:rPr>
          <w:color w:val="231F20"/>
          <w:sz w:val="20"/>
        </w:rPr>
        <w:t>Côte</w:t>
      </w:r>
      <w:r>
        <w:rPr>
          <w:color w:val="231F20"/>
          <w:spacing w:val="-9"/>
          <w:sz w:val="20"/>
        </w:rPr>
        <w:t> </w:t>
      </w:r>
      <w:r>
        <w:rPr>
          <w:color w:val="231F20"/>
          <w:sz w:val="20"/>
        </w:rPr>
        <w:t>d’Ivoire,</w:t>
      </w:r>
      <w:r>
        <w:rPr>
          <w:color w:val="231F20"/>
          <w:spacing w:val="-6"/>
          <w:sz w:val="20"/>
        </w:rPr>
        <w:t> </w:t>
      </w:r>
      <w:r>
        <w:rPr>
          <w:color w:val="231F20"/>
          <w:sz w:val="20"/>
        </w:rPr>
        <w:t>Paris,</w:t>
      </w:r>
      <w:r>
        <w:rPr>
          <w:color w:val="231F20"/>
          <w:spacing w:val="-9"/>
          <w:sz w:val="20"/>
        </w:rPr>
        <w:t> </w:t>
      </w:r>
      <w:r>
        <w:rPr>
          <w:color w:val="231F20"/>
          <w:sz w:val="20"/>
        </w:rPr>
        <w:t>Université</w:t>
      </w:r>
      <w:r>
        <w:rPr>
          <w:color w:val="231F20"/>
          <w:spacing w:val="-7"/>
          <w:sz w:val="20"/>
        </w:rPr>
        <w:t> </w:t>
      </w:r>
      <w:r>
        <w:rPr>
          <w:color w:val="231F20"/>
          <w:sz w:val="20"/>
        </w:rPr>
        <w:t>de Paris I, 1984.</w:t>
      </w:r>
    </w:p>
    <w:p>
      <w:pPr>
        <w:spacing w:before="1"/>
        <w:ind w:left="111" w:right="0" w:firstLine="0"/>
        <w:jc w:val="both"/>
        <w:rPr>
          <w:sz w:val="20"/>
        </w:rPr>
      </w:pPr>
      <w:r>
        <w:rPr>
          <w:color w:val="231F20"/>
          <w:spacing w:val="-4"/>
          <w:sz w:val="20"/>
        </w:rPr>
        <w:t>(Thèse de</w:t>
      </w:r>
      <w:r>
        <w:rPr>
          <w:color w:val="231F20"/>
          <w:spacing w:val="-3"/>
          <w:sz w:val="20"/>
        </w:rPr>
        <w:t> </w:t>
      </w:r>
      <w:r>
        <w:rPr>
          <w:color w:val="231F20"/>
          <w:spacing w:val="-4"/>
          <w:sz w:val="20"/>
        </w:rPr>
        <w:t>doctorat</w:t>
      </w:r>
      <w:r>
        <w:rPr>
          <w:color w:val="231F20"/>
          <w:spacing w:val="-3"/>
          <w:sz w:val="20"/>
        </w:rPr>
        <w:t> </w:t>
      </w:r>
      <w:r>
        <w:rPr>
          <w:color w:val="231F20"/>
          <w:spacing w:val="-4"/>
          <w:sz w:val="20"/>
        </w:rPr>
        <w:t>d’État),</w:t>
      </w:r>
      <w:r>
        <w:rPr>
          <w:color w:val="231F20"/>
          <w:sz w:val="20"/>
        </w:rPr>
        <w:t> </w:t>
      </w:r>
      <w:r>
        <w:rPr>
          <w:color w:val="231F20"/>
          <w:spacing w:val="-4"/>
          <w:sz w:val="20"/>
        </w:rPr>
        <w:t>T.</w:t>
      </w:r>
      <w:r>
        <w:rPr>
          <w:color w:val="231F20"/>
          <w:spacing w:val="-3"/>
          <w:sz w:val="20"/>
        </w:rPr>
        <w:t> </w:t>
      </w:r>
      <w:r>
        <w:rPr>
          <w:color w:val="231F20"/>
          <w:spacing w:val="-4"/>
          <w:sz w:val="20"/>
        </w:rPr>
        <w:t>1,</w:t>
      </w:r>
      <w:r>
        <w:rPr>
          <w:color w:val="231F20"/>
          <w:sz w:val="20"/>
        </w:rPr>
        <w:t> </w:t>
      </w:r>
      <w:r>
        <w:rPr>
          <w:color w:val="231F20"/>
          <w:spacing w:val="-4"/>
          <w:sz w:val="20"/>
        </w:rPr>
        <w:t>pp.262-305.</w:t>
      </w:r>
    </w:p>
    <w:p>
      <w:pPr>
        <w:spacing w:after="0"/>
        <w:jc w:val="both"/>
        <w:rPr>
          <w:sz w:val="20"/>
        </w:rPr>
        <w:sectPr>
          <w:pgSz w:w="8790" w:h="13610"/>
          <w:pgMar w:header="0" w:footer="802" w:top="1040" w:bottom="1000" w:left="880" w:right="880"/>
        </w:sectPr>
      </w:pPr>
    </w:p>
    <w:p>
      <w:pPr>
        <w:pStyle w:val="BodyText"/>
        <w:spacing w:before="66"/>
        <w:ind w:right="106" w:firstLine="283"/>
      </w:pPr>
      <w:r>
        <w:rPr>
          <w:color w:val="231F20"/>
        </w:rPr>
        <w:t>En Février 1966, un coup d’État renverse le président Nkrumah du Ghana. Les nouvelles autorités de ce pays décident d’extrader les membres</w:t>
      </w:r>
      <w:r>
        <w:rPr>
          <w:color w:val="231F20"/>
          <w:spacing w:val="-14"/>
        </w:rPr>
        <w:t> </w:t>
      </w:r>
      <w:r>
        <w:rPr>
          <w:color w:val="231F20"/>
        </w:rPr>
        <w:t>du</w:t>
      </w:r>
      <w:r>
        <w:rPr>
          <w:color w:val="231F20"/>
          <w:spacing w:val="-8"/>
        </w:rPr>
        <w:t> </w:t>
      </w:r>
      <w:r>
        <w:rPr>
          <w:color w:val="231F20"/>
        </w:rPr>
        <w:t>«</w:t>
      </w:r>
      <w:r>
        <w:rPr>
          <w:color w:val="231F20"/>
          <w:spacing w:val="-15"/>
        </w:rPr>
        <w:t> </w:t>
      </w:r>
      <w:r>
        <w:rPr>
          <w:color w:val="231F20"/>
        </w:rPr>
        <w:t>Mouvement</w:t>
      </w:r>
      <w:r>
        <w:rPr>
          <w:color w:val="231F20"/>
          <w:spacing w:val="-9"/>
        </w:rPr>
        <w:t> </w:t>
      </w:r>
      <w:r>
        <w:rPr>
          <w:color w:val="231F20"/>
        </w:rPr>
        <w:t>de</w:t>
      </w:r>
      <w:r>
        <w:rPr>
          <w:color w:val="231F20"/>
          <w:spacing w:val="-9"/>
        </w:rPr>
        <w:t> </w:t>
      </w:r>
      <w:r>
        <w:rPr>
          <w:color w:val="231F20"/>
        </w:rPr>
        <w:t>la</w:t>
      </w:r>
      <w:r>
        <w:rPr>
          <w:color w:val="231F20"/>
          <w:spacing w:val="-11"/>
        </w:rPr>
        <w:t> </w:t>
      </w:r>
      <w:r>
        <w:rPr>
          <w:color w:val="231F20"/>
        </w:rPr>
        <w:t>Libération</w:t>
      </w:r>
      <w:r>
        <w:rPr>
          <w:color w:val="231F20"/>
          <w:spacing w:val="-11"/>
        </w:rPr>
        <w:t> </w:t>
      </w:r>
      <w:r>
        <w:rPr>
          <w:color w:val="231F20"/>
        </w:rPr>
        <w:t>du</w:t>
      </w:r>
      <w:r>
        <w:rPr>
          <w:color w:val="231F20"/>
          <w:spacing w:val="-11"/>
        </w:rPr>
        <w:t> </w:t>
      </w:r>
      <w:r>
        <w:rPr>
          <w:color w:val="231F20"/>
        </w:rPr>
        <w:t>Sanwi</w:t>
      </w:r>
      <w:r>
        <w:rPr>
          <w:color w:val="231F20"/>
          <w:spacing w:val="-15"/>
        </w:rPr>
        <w:t> </w:t>
      </w:r>
      <w:r>
        <w:rPr>
          <w:color w:val="231F20"/>
        </w:rPr>
        <w:t>»,</w:t>
      </w:r>
      <w:r>
        <w:rPr>
          <w:color w:val="231F20"/>
          <w:spacing w:val="-11"/>
        </w:rPr>
        <w:t> </w:t>
      </w:r>
      <w:r>
        <w:rPr>
          <w:color w:val="231F20"/>
        </w:rPr>
        <w:t>encore</w:t>
      </w:r>
      <w:r>
        <w:rPr>
          <w:color w:val="231F20"/>
          <w:spacing w:val="-9"/>
        </w:rPr>
        <w:t> </w:t>
      </w:r>
      <w:r>
        <w:rPr>
          <w:color w:val="231F20"/>
        </w:rPr>
        <w:t>refugiés au Ghana, vers la Côte d’Ivoire. Le Président Houphouët-Boigny fait </w:t>
      </w:r>
      <w:r>
        <w:rPr>
          <w:color w:val="231F20"/>
          <w:spacing w:val="-2"/>
        </w:rPr>
        <w:t>voter</w:t>
      </w:r>
      <w:r>
        <w:rPr>
          <w:color w:val="231F20"/>
          <w:spacing w:val="-15"/>
        </w:rPr>
        <w:t> </w:t>
      </w:r>
      <w:r>
        <w:rPr>
          <w:color w:val="231F20"/>
          <w:spacing w:val="-2"/>
        </w:rPr>
        <w:t>une</w:t>
      </w:r>
      <w:r>
        <w:rPr>
          <w:color w:val="231F20"/>
          <w:spacing w:val="-13"/>
        </w:rPr>
        <w:t> </w:t>
      </w:r>
      <w:r>
        <w:rPr>
          <w:color w:val="231F20"/>
          <w:spacing w:val="-2"/>
        </w:rPr>
        <w:t>loi</w:t>
      </w:r>
      <w:r>
        <w:rPr>
          <w:color w:val="231F20"/>
          <w:spacing w:val="-13"/>
        </w:rPr>
        <w:t> </w:t>
      </w:r>
      <w:r>
        <w:rPr>
          <w:color w:val="231F20"/>
          <w:spacing w:val="-2"/>
        </w:rPr>
        <w:t>d’amnistie</w:t>
      </w:r>
      <w:r>
        <w:rPr>
          <w:color w:val="231F20"/>
          <w:spacing w:val="-13"/>
        </w:rPr>
        <w:t> </w:t>
      </w:r>
      <w:r>
        <w:rPr>
          <w:color w:val="231F20"/>
          <w:spacing w:val="-2"/>
        </w:rPr>
        <w:t>en</w:t>
      </w:r>
      <w:r>
        <w:rPr>
          <w:color w:val="231F20"/>
          <w:spacing w:val="-13"/>
        </w:rPr>
        <w:t> </w:t>
      </w:r>
      <w:r>
        <w:rPr>
          <w:color w:val="231F20"/>
          <w:spacing w:val="-2"/>
        </w:rPr>
        <w:t>faveur</w:t>
      </w:r>
      <w:r>
        <w:rPr>
          <w:color w:val="231F20"/>
          <w:spacing w:val="-13"/>
        </w:rPr>
        <w:t> </w:t>
      </w:r>
      <w:r>
        <w:rPr>
          <w:color w:val="231F20"/>
          <w:spacing w:val="-2"/>
        </w:rPr>
        <w:t>de</w:t>
      </w:r>
      <w:r>
        <w:rPr>
          <w:color w:val="231F20"/>
          <w:spacing w:val="-13"/>
        </w:rPr>
        <w:t> </w:t>
      </w:r>
      <w:r>
        <w:rPr>
          <w:color w:val="231F20"/>
          <w:spacing w:val="-2"/>
        </w:rPr>
        <w:t>tous</w:t>
      </w:r>
      <w:r>
        <w:rPr>
          <w:color w:val="231F20"/>
          <w:spacing w:val="-13"/>
        </w:rPr>
        <w:t> </w:t>
      </w:r>
      <w:r>
        <w:rPr>
          <w:color w:val="231F20"/>
          <w:spacing w:val="-2"/>
        </w:rPr>
        <w:t>ceux</w:t>
      </w:r>
      <w:r>
        <w:rPr>
          <w:color w:val="231F20"/>
          <w:spacing w:val="-13"/>
        </w:rPr>
        <w:t> </w:t>
      </w:r>
      <w:r>
        <w:rPr>
          <w:color w:val="231F20"/>
          <w:spacing w:val="-2"/>
        </w:rPr>
        <w:t>qui</w:t>
      </w:r>
      <w:r>
        <w:rPr>
          <w:color w:val="231F20"/>
          <w:spacing w:val="-13"/>
        </w:rPr>
        <w:t> </w:t>
      </w:r>
      <w:r>
        <w:rPr>
          <w:color w:val="231F20"/>
          <w:spacing w:val="-2"/>
        </w:rPr>
        <w:t>étaient</w:t>
      </w:r>
      <w:r>
        <w:rPr>
          <w:color w:val="231F20"/>
          <w:spacing w:val="-13"/>
        </w:rPr>
        <w:t> </w:t>
      </w:r>
      <w:r>
        <w:rPr>
          <w:color w:val="231F20"/>
          <w:spacing w:val="-2"/>
        </w:rPr>
        <w:t>impliqués</w:t>
      </w:r>
      <w:r>
        <w:rPr>
          <w:color w:val="231F20"/>
          <w:spacing w:val="-13"/>
        </w:rPr>
        <w:t> </w:t>
      </w:r>
      <w:r>
        <w:rPr>
          <w:color w:val="231F20"/>
          <w:spacing w:val="-2"/>
        </w:rPr>
        <w:t>dans </w:t>
      </w:r>
      <w:r>
        <w:rPr>
          <w:color w:val="231F20"/>
        </w:rPr>
        <w:t>les évènements du Sanwi.</w:t>
      </w:r>
    </w:p>
    <w:p>
      <w:pPr>
        <w:pStyle w:val="BodyText"/>
        <w:spacing w:before="120"/>
        <w:ind w:right="104" w:firstLine="283"/>
      </w:pPr>
      <w:r>
        <w:rPr>
          <w:color w:val="231F20"/>
          <w:spacing w:val="-4"/>
        </w:rPr>
        <w:t>En</w:t>
      </w:r>
      <w:r>
        <w:rPr>
          <w:color w:val="231F20"/>
          <w:spacing w:val="-11"/>
        </w:rPr>
        <w:t> </w:t>
      </w:r>
      <w:r>
        <w:rPr>
          <w:color w:val="231F20"/>
          <w:spacing w:val="-4"/>
        </w:rPr>
        <w:t>1969,</w:t>
      </w:r>
      <w:r>
        <w:rPr>
          <w:color w:val="231F20"/>
          <w:spacing w:val="-11"/>
        </w:rPr>
        <w:t> </w:t>
      </w:r>
      <w:r>
        <w:rPr>
          <w:color w:val="231F20"/>
          <w:spacing w:val="-4"/>
        </w:rPr>
        <w:t>à</w:t>
      </w:r>
      <w:r>
        <w:rPr>
          <w:color w:val="231F20"/>
          <w:spacing w:val="-11"/>
        </w:rPr>
        <w:t> </w:t>
      </w:r>
      <w:r>
        <w:rPr>
          <w:color w:val="231F20"/>
          <w:spacing w:val="-4"/>
        </w:rPr>
        <w:t>la</w:t>
      </w:r>
      <w:r>
        <w:rPr>
          <w:color w:val="231F20"/>
          <w:spacing w:val="-11"/>
        </w:rPr>
        <w:t> </w:t>
      </w:r>
      <w:r>
        <w:rPr>
          <w:color w:val="231F20"/>
          <w:spacing w:val="-4"/>
        </w:rPr>
        <w:t>faveur</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reconnaissance</w:t>
      </w:r>
      <w:r>
        <w:rPr>
          <w:color w:val="231F20"/>
          <w:spacing w:val="-11"/>
        </w:rPr>
        <w:t> </w:t>
      </w:r>
      <w:r>
        <w:rPr>
          <w:color w:val="231F20"/>
          <w:spacing w:val="-4"/>
        </w:rPr>
        <w:t>par</w:t>
      </w:r>
      <w:r>
        <w:rPr>
          <w:color w:val="231F20"/>
          <w:spacing w:val="-11"/>
        </w:rPr>
        <w:t> </w:t>
      </w:r>
      <w:r>
        <w:rPr>
          <w:color w:val="231F20"/>
          <w:spacing w:val="-4"/>
        </w:rPr>
        <w:t>la</w:t>
      </w:r>
      <w:r>
        <w:rPr>
          <w:color w:val="231F20"/>
          <w:spacing w:val="-11"/>
        </w:rPr>
        <w:t> </w:t>
      </w:r>
      <w:r>
        <w:rPr>
          <w:color w:val="231F20"/>
          <w:spacing w:val="-4"/>
        </w:rPr>
        <w:t>Côte</w:t>
      </w:r>
      <w:r>
        <w:rPr>
          <w:color w:val="231F20"/>
          <w:spacing w:val="-11"/>
        </w:rPr>
        <w:t> </w:t>
      </w:r>
      <w:r>
        <w:rPr>
          <w:color w:val="231F20"/>
          <w:spacing w:val="-4"/>
        </w:rPr>
        <w:t>d’Ivoire</w:t>
      </w:r>
      <w:r>
        <w:rPr>
          <w:color w:val="231F20"/>
          <w:spacing w:val="-11"/>
        </w:rPr>
        <w:t> </w:t>
      </w:r>
      <w:r>
        <w:rPr>
          <w:color w:val="231F20"/>
          <w:spacing w:val="-4"/>
        </w:rPr>
        <w:t>du</w:t>
      </w:r>
      <w:r>
        <w:rPr>
          <w:color w:val="231F20"/>
          <w:spacing w:val="-11"/>
        </w:rPr>
        <w:t> </w:t>
      </w:r>
      <w:r>
        <w:rPr>
          <w:color w:val="231F20"/>
          <w:spacing w:val="-4"/>
        </w:rPr>
        <w:t>Biafra </w:t>
      </w:r>
      <w:r>
        <w:rPr>
          <w:color w:val="231F20"/>
        </w:rPr>
        <w:t>sécessionniste</w:t>
      </w:r>
      <w:r>
        <w:rPr>
          <w:color w:val="231F20"/>
          <w:spacing w:val="-15"/>
        </w:rPr>
        <w:t> </w:t>
      </w:r>
      <w:r>
        <w:rPr>
          <w:color w:val="231F20"/>
          <w:vertAlign w:val="superscript"/>
        </w:rPr>
        <w:t>128</w:t>
      </w:r>
      <w:r>
        <w:rPr>
          <w:color w:val="231F20"/>
          <w:spacing w:val="-15"/>
          <w:vertAlign w:val="baseline"/>
        </w:rPr>
        <w:t> </w:t>
      </w:r>
      <w:r>
        <w:rPr>
          <w:color w:val="231F20"/>
          <w:vertAlign w:val="baseline"/>
        </w:rPr>
        <w:t>, l’affaire du Sanwi refait surface</w:t>
      </w:r>
      <w:r>
        <w:rPr>
          <w:color w:val="231F20"/>
          <w:spacing w:val="-14"/>
          <w:vertAlign w:val="baseline"/>
        </w:rPr>
        <w:t> </w:t>
      </w:r>
      <w:r>
        <w:rPr>
          <w:color w:val="231F20"/>
          <w:vertAlign w:val="baseline"/>
        </w:rPr>
        <w:t>: le mouvement </w:t>
      </w:r>
      <w:r>
        <w:rPr>
          <w:color w:val="231F20"/>
          <w:spacing w:val="-2"/>
          <w:vertAlign w:val="baseline"/>
        </w:rPr>
        <w:t>indépendantiste</w:t>
      </w:r>
      <w:r>
        <w:rPr>
          <w:color w:val="231F20"/>
          <w:spacing w:val="-5"/>
          <w:vertAlign w:val="baseline"/>
        </w:rPr>
        <w:t> </w:t>
      </w:r>
      <w:r>
        <w:rPr>
          <w:color w:val="231F20"/>
          <w:spacing w:val="-2"/>
          <w:vertAlign w:val="baseline"/>
        </w:rPr>
        <w:t>est</w:t>
      </w:r>
      <w:r>
        <w:rPr>
          <w:color w:val="231F20"/>
          <w:spacing w:val="-3"/>
          <w:vertAlign w:val="baseline"/>
        </w:rPr>
        <w:t> </w:t>
      </w:r>
      <w:r>
        <w:rPr>
          <w:color w:val="231F20"/>
          <w:spacing w:val="-2"/>
          <w:vertAlign w:val="baseline"/>
        </w:rPr>
        <w:t>reconstitué.</w:t>
      </w:r>
      <w:r>
        <w:rPr>
          <w:color w:val="231F20"/>
          <w:spacing w:val="-5"/>
          <w:vertAlign w:val="baseline"/>
        </w:rPr>
        <w:t> </w:t>
      </w:r>
      <w:r>
        <w:rPr>
          <w:color w:val="231F20"/>
          <w:spacing w:val="-2"/>
          <w:vertAlign w:val="baseline"/>
        </w:rPr>
        <w:t>Des</w:t>
      </w:r>
      <w:r>
        <w:rPr>
          <w:color w:val="231F20"/>
          <w:spacing w:val="-3"/>
          <w:vertAlign w:val="baseline"/>
        </w:rPr>
        <w:t> </w:t>
      </w:r>
      <w:r>
        <w:rPr>
          <w:color w:val="231F20"/>
          <w:spacing w:val="-2"/>
          <w:vertAlign w:val="baseline"/>
        </w:rPr>
        <w:t>arrestations</w:t>
      </w:r>
      <w:r>
        <w:rPr>
          <w:color w:val="231F20"/>
          <w:spacing w:val="-5"/>
          <w:vertAlign w:val="baseline"/>
        </w:rPr>
        <w:t> </w:t>
      </w:r>
      <w:r>
        <w:rPr>
          <w:color w:val="231F20"/>
          <w:spacing w:val="-2"/>
          <w:vertAlign w:val="baseline"/>
        </w:rPr>
        <w:t>sont opérées,</w:t>
      </w:r>
      <w:r>
        <w:rPr>
          <w:color w:val="231F20"/>
          <w:spacing w:val="-4"/>
          <w:vertAlign w:val="baseline"/>
        </w:rPr>
        <w:t> </w:t>
      </w:r>
      <w:r>
        <w:rPr>
          <w:color w:val="231F20"/>
          <w:spacing w:val="-2"/>
          <w:vertAlign w:val="baseline"/>
        </w:rPr>
        <w:t>suivies</w:t>
      </w:r>
      <w:r>
        <w:rPr>
          <w:color w:val="231F20"/>
          <w:spacing w:val="-3"/>
          <w:vertAlign w:val="baseline"/>
        </w:rPr>
        <w:t> </w:t>
      </w:r>
      <w:r>
        <w:rPr>
          <w:color w:val="231F20"/>
          <w:spacing w:val="-2"/>
          <w:vertAlign w:val="baseline"/>
        </w:rPr>
        <w:t>de </w:t>
      </w:r>
      <w:r>
        <w:rPr>
          <w:color w:val="231F20"/>
          <w:spacing w:val="-4"/>
          <w:vertAlign w:val="baseline"/>
        </w:rPr>
        <w:t>détention.</w:t>
      </w:r>
      <w:r>
        <w:rPr>
          <w:color w:val="231F20"/>
          <w:spacing w:val="-6"/>
          <w:vertAlign w:val="baseline"/>
        </w:rPr>
        <w:t> </w:t>
      </w:r>
      <w:r>
        <w:rPr>
          <w:color w:val="231F20"/>
          <w:spacing w:val="-4"/>
          <w:vertAlign w:val="baseline"/>
        </w:rPr>
        <w:t>En</w:t>
      </w:r>
      <w:r>
        <w:rPr>
          <w:color w:val="231F20"/>
          <w:spacing w:val="-6"/>
          <w:vertAlign w:val="baseline"/>
        </w:rPr>
        <w:t> </w:t>
      </w:r>
      <w:r>
        <w:rPr>
          <w:color w:val="231F20"/>
          <w:spacing w:val="-4"/>
          <w:vertAlign w:val="baseline"/>
        </w:rPr>
        <w:t>1981,</w:t>
      </w:r>
      <w:r>
        <w:rPr>
          <w:color w:val="231F20"/>
          <w:spacing w:val="-9"/>
          <w:vertAlign w:val="baseline"/>
        </w:rPr>
        <w:t> </w:t>
      </w:r>
      <w:r>
        <w:rPr>
          <w:color w:val="231F20"/>
          <w:spacing w:val="-4"/>
          <w:vertAlign w:val="baseline"/>
        </w:rPr>
        <w:t>les</w:t>
      </w:r>
      <w:r>
        <w:rPr>
          <w:color w:val="231F20"/>
          <w:spacing w:val="-6"/>
          <w:vertAlign w:val="baseline"/>
        </w:rPr>
        <w:t> </w:t>
      </w:r>
      <w:r>
        <w:rPr>
          <w:color w:val="231F20"/>
          <w:spacing w:val="-4"/>
          <w:vertAlign w:val="baseline"/>
        </w:rPr>
        <w:t>détenus recouvrent</w:t>
      </w:r>
      <w:r>
        <w:rPr>
          <w:color w:val="231F20"/>
          <w:spacing w:val="-8"/>
          <w:vertAlign w:val="baseline"/>
        </w:rPr>
        <w:t> </w:t>
      </w:r>
      <w:r>
        <w:rPr>
          <w:color w:val="231F20"/>
          <w:spacing w:val="-4"/>
          <w:vertAlign w:val="baseline"/>
        </w:rPr>
        <w:t>la</w:t>
      </w:r>
      <w:r>
        <w:rPr>
          <w:color w:val="231F20"/>
          <w:spacing w:val="-7"/>
          <w:vertAlign w:val="baseline"/>
        </w:rPr>
        <w:t> </w:t>
      </w:r>
      <w:r>
        <w:rPr>
          <w:color w:val="231F20"/>
          <w:spacing w:val="-4"/>
          <w:vertAlign w:val="baseline"/>
        </w:rPr>
        <w:t>liberté</w:t>
      </w:r>
      <w:r>
        <w:rPr>
          <w:color w:val="231F20"/>
          <w:spacing w:val="-7"/>
          <w:vertAlign w:val="baseline"/>
        </w:rPr>
        <w:t> </w:t>
      </w:r>
      <w:r>
        <w:rPr>
          <w:color w:val="231F20"/>
          <w:spacing w:val="-4"/>
          <w:vertAlign w:val="baseline"/>
        </w:rPr>
        <w:t>à</w:t>
      </w:r>
      <w:r>
        <w:rPr>
          <w:color w:val="231F20"/>
          <w:spacing w:val="-5"/>
          <w:vertAlign w:val="baseline"/>
        </w:rPr>
        <w:t> </w:t>
      </w:r>
      <w:r>
        <w:rPr>
          <w:color w:val="231F20"/>
          <w:spacing w:val="-4"/>
          <w:vertAlign w:val="baseline"/>
        </w:rPr>
        <w:t>la</w:t>
      </w:r>
      <w:r>
        <w:rPr>
          <w:color w:val="231F20"/>
          <w:spacing w:val="-7"/>
          <w:vertAlign w:val="baseline"/>
        </w:rPr>
        <w:t> </w:t>
      </w:r>
      <w:r>
        <w:rPr>
          <w:color w:val="231F20"/>
          <w:spacing w:val="-4"/>
          <w:vertAlign w:val="baseline"/>
        </w:rPr>
        <w:t>faveur</w:t>
      </w:r>
      <w:r>
        <w:rPr>
          <w:color w:val="231F20"/>
          <w:spacing w:val="-6"/>
          <w:vertAlign w:val="baseline"/>
        </w:rPr>
        <w:t> </w:t>
      </w:r>
      <w:r>
        <w:rPr>
          <w:color w:val="231F20"/>
          <w:spacing w:val="-4"/>
          <w:vertAlign w:val="baseline"/>
        </w:rPr>
        <w:t>dela</w:t>
      </w:r>
      <w:r>
        <w:rPr>
          <w:color w:val="231F20"/>
          <w:spacing w:val="-7"/>
          <w:vertAlign w:val="baseline"/>
        </w:rPr>
        <w:t> </w:t>
      </w:r>
      <w:r>
        <w:rPr>
          <w:color w:val="231F20"/>
          <w:spacing w:val="-4"/>
          <w:vertAlign w:val="baseline"/>
        </w:rPr>
        <w:t>visite </w:t>
      </w:r>
      <w:r>
        <w:rPr>
          <w:color w:val="231F20"/>
          <w:vertAlign w:val="baseline"/>
        </w:rPr>
        <w:t>en</w:t>
      </w:r>
      <w:r>
        <w:rPr>
          <w:color w:val="231F20"/>
          <w:spacing w:val="-15"/>
          <w:vertAlign w:val="baseline"/>
        </w:rPr>
        <w:t> </w:t>
      </w:r>
      <w:r>
        <w:rPr>
          <w:color w:val="231F20"/>
          <w:vertAlign w:val="baseline"/>
        </w:rPr>
        <w:t>Côte</w:t>
      </w:r>
      <w:r>
        <w:rPr>
          <w:color w:val="231F20"/>
          <w:spacing w:val="-15"/>
          <w:vertAlign w:val="baseline"/>
        </w:rPr>
        <w:t> </w:t>
      </w:r>
      <w:r>
        <w:rPr>
          <w:color w:val="231F20"/>
          <w:vertAlign w:val="baseline"/>
        </w:rPr>
        <w:t>d’Ivoire</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pape</w:t>
      </w:r>
      <w:r>
        <w:rPr>
          <w:color w:val="231F20"/>
          <w:spacing w:val="-15"/>
          <w:vertAlign w:val="baseline"/>
        </w:rPr>
        <w:t> </w:t>
      </w:r>
      <w:r>
        <w:rPr>
          <w:color w:val="231F20"/>
          <w:vertAlign w:val="baseline"/>
        </w:rPr>
        <w:t>Jean</w:t>
      </w:r>
      <w:r>
        <w:rPr>
          <w:color w:val="231F20"/>
          <w:spacing w:val="-15"/>
          <w:vertAlign w:val="baseline"/>
        </w:rPr>
        <w:t> </w:t>
      </w:r>
      <w:r>
        <w:rPr>
          <w:color w:val="231F20"/>
          <w:vertAlign w:val="baseline"/>
        </w:rPr>
        <w:t>Paul</w:t>
      </w:r>
      <w:r>
        <w:rPr>
          <w:color w:val="231F20"/>
          <w:spacing w:val="-15"/>
          <w:vertAlign w:val="baseline"/>
        </w:rPr>
        <w:t> </w:t>
      </w:r>
      <w:r>
        <w:rPr>
          <w:color w:val="231F20"/>
          <w:vertAlign w:val="baseline"/>
        </w:rPr>
        <w:t>II.</w:t>
      </w:r>
      <w:r>
        <w:rPr>
          <w:color w:val="231F20"/>
          <w:spacing w:val="-15"/>
          <w:vertAlign w:val="baseline"/>
        </w:rPr>
        <w:t> </w:t>
      </w:r>
      <w:r>
        <w:rPr>
          <w:color w:val="231F20"/>
          <w:vertAlign w:val="baseline"/>
        </w:rPr>
        <w:t>Pour</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troisième</w:t>
      </w:r>
      <w:r>
        <w:rPr>
          <w:color w:val="231F20"/>
          <w:spacing w:val="-15"/>
          <w:vertAlign w:val="baseline"/>
        </w:rPr>
        <w:t> </w:t>
      </w:r>
      <w:r>
        <w:rPr>
          <w:color w:val="231F20"/>
          <w:vertAlign w:val="baseline"/>
        </w:rPr>
        <w:t>fois,</w:t>
      </w:r>
      <w:r>
        <w:rPr>
          <w:color w:val="231F20"/>
          <w:spacing w:val="-15"/>
          <w:vertAlign w:val="baseline"/>
        </w:rPr>
        <w:t> </w:t>
      </w:r>
      <w:r>
        <w:rPr>
          <w:color w:val="231F20"/>
          <w:vertAlign w:val="baseline"/>
        </w:rPr>
        <w:t>le</w:t>
      </w:r>
      <w:r>
        <w:rPr>
          <w:color w:val="231F20"/>
          <w:spacing w:val="-15"/>
          <w:vertAlign w:val="baseline"/>
        </w:rPr>
        <w:t> </w:t>
      </w:r>
      <w:r>
        <w:rPr>
          <w:color w:val="231F20"/>
          <w:vertAlign w:val="baseline"/>
        </w:rPr>
        <w:t>président Houphouët-Boigny</w:t>
      </w:r>
      <w:r>
        <w:rPr>
          <w:color w:val="231F20"/>
          <w:spacing w:val="-12"/>
          <w:vertAlign w:val="baseline"/>
        </w:rPr>
        <w:t> </w:t>
      </w:r>
      <w:r>
        <w:rPr>
          <w:color w:val="231F20"/>
          <w:vertAlign w:val="baseline"/>
        </w:rPr>
        <w:t>ordonne</w:t>
      </w:r>
      <w:r>
        <w:rPr>
          <w:color w:val="231F20"/>
          <w:spacing w:val="-12"/>
          <w:vertAlign w:val="baseline"/>
        </w:rPr>
        <w:t> </w:t>
      </w:r>
      <w:r>
        <w:rPr>
          <w:color w:val="231F20"/>
          <w:vertAlign w:val="baseline"/>
        </w:rPr>
        <w:t>la</w:t>
      </w:r>
      <w:r>
        <w:rPr>
          <w:color w:val="231F20"/>
          <w:spacing w:val="-12"/>
          <w:vertAlign w:val="baseline"/>
        </w:rPr>
        <w:t> </w:t>
      </w:r>
      <w:r>
        <w:rPr>
          <w:color w:val="231F20"/>
          <w:vertAlign w:val="baseline"/>
        </w:rPr>
        <w:t>remise</w:t>
      </w:r>
      <w:r>
        <w:rPr>
          <w:color w:val="231F20"/>
          <w:spacing w:val="-12"/>
          <w:vertAlign w:val="baseline"/>
        </w:rPr>
        <w:t> </w:t>
      </w:r>
      <w:r>
        <w:rPr>
          <w:color w:val="231F20"/>
          <w:vertAlign w:val="baseline"/>
        </w:rPr>
        <w:t>en</w:t>
      </w:r>
      <w:r>
        <w:rPr>
          <w:color w:val="231F20"/>
          <w:spacing w:val="-14"/>
          <w:vertAlign w:val="baseline"/>
        </w:rPr>
        <w:t> </w:t>
      </w:r>
      <w:r>
        <w:rPr>
          <w:color w:val="231F20"/>
          <w:vertAlign w:val="baseline"/>
        </w:rPr>
        <w:t>liberté</w:t>
      </w:r>
      <w:r>
        <w:rPr>
          <w:color w:val="231F20"/>
          <w:spacing w:val="-14"/>
          <w:vertAlign w:val="baseline"/>
        </w:rPr>
        <w:t> </w:t>
      </w:r>
      <w:r>
        <w:rPr>
          <w:color w:val="231F20"/>
          <w:vertAlign w:val="baseline"/>
        </w:rPr>
        <w:t>des</w:t>
      </w:r>
      <w:r>
        <w:rPr>
          <w:color w:val="231F20"/>
          <w:spacing w:val="-13"/>
          <w:vertAlign w:val="baseline"/>
        </w:rPr>
        <w:t> </w:t>
      </w:r>
      <w:r>
        <w:rPr>
          <w:color w:val="231F20"/>
          <w:vertAlign w:val="baseline"/>
        </w:rPr>
        <w:t>détenus</w:t>
      </w:r>
      <w:r>
        <w:rPr>
          <w:color w:val="231F20"/>
          <w:spacing w:val="-14"/>
          <w:vertAlign w:val="baseline"/>
        </w:rPr>
        <w:t> </w:t>
      </w:r>
      <w:r>
        <w:rPr>
          <w:color w:val="231F20"/>
          <w:vertAlign w:val="baseline"/>
        </w:rPr>
        <w:t>de</w:t>
      </w:r>
      <w:r>
        <w:rPr>
          <w:color w:val="231F20"/>
          <w:spacing w:val="-12"/>
          <w:vertAlign w:val="baseline"/>
        </w:rPr>
        <w:t> </w:t>
      </w:r>
      <w:r>
        <w:rPr>
          <w:color w:val="231F20"/>
          <w:vertAlign w:val="baseline"/>
        </w:rPr>
        <w:t>l’affaire du</w:t>
      </w:r>
      <w:r>
        <w:rPr>
          <w:color w:val="231F20"/>
          <w:spacing w:val="-1"/>
          <w:vertAlign w:val="baseline"/>
        </w:rPr>
        <w:t> </w:t>
      </w:r>
      <w:r>
        <w:rPr>
          <w:color w:val="231F20"/>
          <w:vertAlign w:val="baseline"/>
        </w:rPr>
        <w:t>Sanwi.</w:t>
      </w:r>
      <w:r>
        <w:rPr>
          <w:color w:val="231F20"/>
          <w:spacing w:val="-3"/>
          <w:vertAlign w:val="baseline"/>
        </w:rPr>
        <w:t> </w:t>
      </w:r>
      <w:r>
        <w:rPr>
          <w:color w:val="231F20"/>
          <w:vertAlign w:val="baseline"/>
        </w:rPr>
        <w:t>Le</w:t>
      </w:r>
      <w:r>
        <w:rPr>
          <w:color w:val="231F20"/>
          <w:spacing w:val="-1"/>
          <w:vertAlign w:val="baseline"/>
        </w:rPr>
        <w:t> </w:t>
      </w:r>
      <w:r>
        <w:rPr>
          <w:color w:val="231F20"/>
          <w:vertAlign w:val="baseline"/>
        </w:rPr>
        <w:t>roi</w:t>
      </w:r>
      <w:r>
        <w:rPr>
          <w:color w:val="231F20"/>
          <w:spacing w:val="-2"/>
          <w:vertAlign w:val="baseline"/>
        </w:rPr>
        <w:t> </w:t>
      </w:r>
      <w:r>
        <w:rPr>
          <w:color w:val="231F20"/>
          <w:vertAlign w:val="baseline"/>
        </w:rPr>
        <w:t>N’douffou</w:t>
      </w:r>
      <w:r>
        <w:rPr>
          <w:color w:val="231F20"/>
          <w:spacing w:val="-1"/>
          <w:vertAlign w:val="baseline"/>
        </w:rPr>
        <w:t> </w:t>
      </w:r>
      <w:r>
        <w:rPr>
          <w:color w:val="231F20"/>
          <w:vertAlign w:val="baseline"/>
        </w:rPr>
        <w:t>III</w:t>
      </w:r>
      <w:r>
        <w:rPr>
          <w:color w:val="231F20"/>
          <w:spacing w:val="-4"/>
          <w:vertAlign w:val="baseline"/>
        </w:rPr>
        <w:t> </w:t>
      </w:r>
      <w:r>
        <w:rPr>
          <w:color w:val="231F20"/>
          <w:vertAlign w:val="baseline"/>
        </w:rPr>
        <w:t>retrouve</w:t>
      </w:r>
      <w:r>
        <w:rPr>
          <w:color w:val="231F20"/>
          <w:spacing w:val="-1"/>
          <w:vertAlign w:val="baseline"/>
        </w:rPr>
        <w:t> </w:t>
      </w:r>
      <w:r>
        <w:rPr>
          <w:color w:val="231F20"/>
          <w:vertAlign w:val="baseline"/>
        </w:rPr>
        <w:t>son</w:t>
      </w:r>
      <w:r>
        <w:rPr>
          <w:color w:val="231F20"/>
          <w:spacing w:val="-1"/>
          <w:vertAlign w:val="baseline"/>
        </w:rPr>
        <w:t> </w:t>
      </w:r>
      <w:r>
        <w:rPr>
          <w:color w:val="231F20"/>
          <w:vertAlign w:val="baseline"/>
        </w:rPr>
        <w:t>trône.</w:t>
      </w:r>
    </w:p>
    <w:p>
      <w:pPr>
        <w:pStyle w:val="BodyText"/>
        <w:spacing w:before="241"/>
        <w:ind w:left="0"/>
        <w:jc w:val="left"/>
      </w:pPr>
    </w:p>
    <w:p>
      <w:pPr>
        <w:pStyle w:val="Heading3"/>
        <w:spacing w:before="1"/>
        <w:jc w:val="left"/>
        <w:rPr>
          <w:i/>
        </w:rPr>
      </w:pPr>
      <w:bookmarkStart w:name="_TOC_250028" w:id="15"/>
      <w:r>
        <w:rPr>
          <w:i/>
          <w:color w:val="231F20"/>
          <w:spacing w:val="-2"/>
        </w:rPr>
        <w:t>En</w:t>
      </w:r>
      <w:r>
        <w:rPr>
          <w:i/>
          <w:color w:val="231F20"/>
          <w:spacing w:val="-8"/>
        </w:rPr>
        <w:t> </w:t>
      </w:r>
      <w:r>
        <w:rPr>
          <w:i/>
          <w:color w:val="231F20"/>
          <w:spacing w:val="-2"/>
        </w:rPr>
        <w:t>1970,</w:t>
      </w:r>
      <w:r>
        <w:rPr>
          <w:i/>
          <w:color w:val="231F20"/>
          <w:spacing w:val="-7"/>
        </w:rPr>
        <w:t> </w:t>
      </w:r>
      <w:r>
        <w:rPr>
          <w:i/>
          <w:color w:val="231F20"/>
          <w:spacing w:val="-2"/>
        </w:rPr>
        <w:t>c’est</w:t>
      </w:r>
      <w:r>
        <w:rPr>
          <w:i/>
          <w:color w:val="231F20"/>
          <w:spacing w:val="-9"/>
        </w:rPr>
        <w:t> </w:t>
      </w:r>
      <w:r>
        <w:rPr>
          <w:i/>
          <w:color w:val="231F20"/>
          <w:spacing w:val="-2"/>
        </w:rPr>
        <w:t>l’épisode</w:t>
      </w:r>
      <w:r>
        <w:rPr>
          <w:i/>
          <w:color w:val="231F20"/>
          <w:spacing w:val="-11"/>
        </w:rPr>
        <w:t> </w:t>
      </w:r>
      <w:r>
        <w:rPr>
          <w:i/>
          <w:color w:val="231F20"/>
          <w:spacing w:val="-2"/>
        </w:rPr>
        <w:t>de</w:t>
      </w:r>
      <w:r>
        <w:rPr>
          <w:i/>
          <w:color w:val="231F20"/>
          <w:spacing w:val="-9"/>
        </w:rPr>
        <w:t> </w:t>
      </w:r>
      <w:r>
        <w:rPr>
          <w:i/>
          <w:color w:val="231F20"/>
          <w:spacing w:val="-2"/>
        </w:rPr>
        <w:t>«</w:t>
      </w:r>
      <w:r>
        <w:rPr>
          <w:i/>
          <w:color w:val="231F20"/>
          <w:spacing w:val="-11"/>
        </w:rPr>
        <w:t> </w:t>
      </w:r>
      <w:r>
        <w:rPr>
          <w:i/>
          <w:color w:val="231F20"/>
          <w:spacing w:val="-2"/>
        </w:rPr>
        <w:t>l’affaire</w:t>
      </w:r>
      <w:r>
        <w:rPr>
          <w:i/>
          <w:color w:val="231F20"/>
          <w:spacing w:val="-10"/>
        </w:rPr>
        <w:t> </w:t>
      </w:r>
      <w:r>
        <w:rPr>
          <w:i/>
          <w:color w:val="231F20"/>
          <w:spacing w:val="-2"/>
        </w:rPr>
        <w:t>Gnagbé</w:t>
      </w:r>
      <w:r>
        <w:rPr>
          <w:i/>
          <w:color w:val="231F20"/>
          <w:spacing w:val="-10"/>
        </w:rPr>
        <w:t> </w:t>
      </w:r>
      <w:r>
        <w:rPr>
          <w:i/>
          <w:color w:val="231F20"/>
          <w:spacing w:val="-2"/>
        </w:rPr>
        <w:t>Kragbé</w:t>
      </w:r>
      <w:r>
        <w:rPr>
          <w:i/>
          <w:color w:val="231F20"/>
          <w:spacing w:val="-8"/>
        </w:rPr>
        <w:t> </w:t>
      </w:r>
      <w:bookmarkEnd w:id="15"/>
      <w:r>
        <w:rPr>
          <w:i/>
          <w:color w:val="231F20"/>
          <w:spacing w:val="-5"/>
        </w:rPr>
        <w:t>».</w:t>
      </w:r>
    </w:p>
    <w:p>
      <w:pPr>
        <w:pStyle w:val="BodyText"/>
        <w:spacing w:before="255"/>
        <w:ind w:right="104" w:firstLine="283"/>
      </w:pPr>
      <w:r>
        <w:rPr>
          <w:color w:val="231F20"/>
          <w:spacing w:val="-4"/>
        </w:rPr>
        <w:t>Né</w:t>
      </w:r>
      <w:r>
        <w:rPr>
          <w:color w:val="231F20"/>
          <w:spacing w:val="-7"/>
        </w:rPr>
        <w:t> </w:t>
      </w:r>
      <w:r>
        <w:rPr>
          <w:color w:val="231F20"/>
          <w:spacing w:val="-4"/>
        </w:rPr>
        <w:t>le</w:t>
      </w:r>
      <w:r>
        <w:rPr>
          <w:color w:val="231F20"/>
          <w:spacing w:val="-7"/>
        </w:rPr>
        <w:t> </w:t>
      </w:r>
      <w:r>
        <w:rPr>
          <w:color w:val="231F20"/>
          <w:spacing w:val="-4"/>
        </w:rPr>
        <w:t>5</w:t>
      </w:r>
      <w:r>
        <w:rPr>
          <w:color w:val="231F20"/>
          <w:spacing w:val="-7"/>
        </w:rPr>
        <w:t> </w:t>
      </w:r>
      <w:r>
        <w:rPr>
          <w:color w:val="231F20"/>
          <w:spacing w:val="-4"/>
        </w:rPr>
        <w:t>juillet</w:t>
      </w:r>
      <w:r>
        <w:rPr>
          <w:color w:val="231F20"/>
          <w:spacing w:val="-7"/>
        </w:rPr>
        <w:t> </w:t>
      </w:r>
      <w:r>
        <w:rPr>
          <w:color w:val="231F20"/>
          <w:spacing w:val="-4"/>
        </w:rPr>
        <w:t>1935</w:t>
      </w:r>
      <w:r>
        <w:rPr>
          <w:color w:val="231F20"/>
          <w:spacing w:val="-7"/>
        </w:rPr>
        <w:t> </w:t>
      </w:r>
      <w:r>
        <w:rPr>
          <w:color w:val="231F20"/>
          <w:spacing w:val="-4"/>
        </w:rPr>
        <w:t>à</w:t>
      </w:r>
      <w:r>
        <w:rPr>
          <w:color w:val="231F20"/>
          <w:spacing w:val="-9"/>
        </w:rPr>
        <w:t> </w:t>
      </w:r>
      <w:r>
        <w:rPr>
          <w:color w:val="231F20"/>
          <w:spacing w:val="-4"/>
        </w:rPr>
        <w:t>Sassandra</w:t>
      </w:r>
      <w:r>
        <w:rPr>
          <w:color w:val="231F20"/>
          <w:spacing w:val="-8"/>
        </w:rPr>
        <w:t> </w:t>
      </w:r>
      <w:r>
        <w:rPr>
          <w:color w:val="231F20"/>
          <w:spacing w:val="-4"/>
        </w:rPr>
        <w:t>dans</w:t>
      </w:r>
      <w:r>
        <w:rPr>
          <w:color w:val="231F20"/>
          <w:spacing w:val="-7"/>
        </w:rPr>
        <w:t> </w:t>
      </w:r>
      <w:r>
        <w:rPr>
          <w:color w:val="231F20"/>
          <w:spacing w:val="-4"/>
        </w:rPr>
        <w:t>le</w:t>
      </w:r>
      <w:r>
        <w:rPr>
          <w:color w:val="231F20"/>
          <w:spacing w:val="-8"/>
        </w:rPr>
        <w:t> </w:t>
      </w:r>
      <w:r>
        <w:rPr>
          <w:color w:val="231F20"/>
          <w:spacing w:val="-4"/>
        </w:rPr>
        <w:t>Sud-Ouest,</w:t>
      </w:r>
      <w:r>
        <w:rPr>
          <w:color w:val="231F20"/>
          <w:spacing w:val="-11"/>
        </w:rPr>
        <w:t> </w:t>
      </w:r>
      <w:r>
        <w:rPr>
          <w:color w:val="231F20"/>
          <w:spacing w:val="-4"/>
        </w:rPr>
        <w:t>Kragbé</w:t>
      </w:r>
      <w:r>
        <w:rPr>
          <w:color w:val="231F20"/>
          <w:spacing w:val="-7"/>
        </w:rPr>
        <w:t> </w:t>
      </w:r>
      <w:r>
        <w:rPr>
          <w:color w:val="231F20"/>
          <w:spacing w:val="-4"/>
        </w:rPr>
        <w:t>Gnagbé</w:t>
      </w:r>
      <w:r>
        <w:rPr>
          <w:color w:val="231F20"/>
          <w:spacing w:val="-7"/>
        </w:rPr>
        <w:t> </w:t>
      </w:r>
      <w:r>
        <w:rPr>
          <w:color w:val="231F20"/>
          <w:spacing w:val="-4"/>
        </w:rPr>
        <w:t>est </w:t>
      </w:r>
      <w:r>
        <w:rPr>
          <w:color w:val="231F20"/>
        </w:rPr>
        <w:t>originaire</w:t>
      </w:r>
      <w:r>
        <w:rPr>
          <w:color w:val="231F20"/>
          <w:spacing w:val="-10"/>
        </w:rPr>
        <w:t> </w:t>
      </w:r>
      <w:r>
        <w:rPr>
          <w:color w:val="231F20"/>
        </w:rPr>
        <w:t>de</w:t>
      </w:r>
      <w:r>
        <w:rPr>
          <w:color w:val="231F20"/>
          <w:spacing w:val="-10"/>
        </w:rPr>
        <w:t> </w:t>
      </w:r>
      <w:r>
        <w:rPr>
          <w:color w:val="231F20"/>
        </w:rPr>
        <w:t>Gagnoa</w:t>
      </w:r>
      <w:r>
        <w:rPr>
          <w:color w:val="231F20"/>
          <w:spacing w:val="-10"/>
        </w:rPr>
        <w:t> </w:t>
      </w:r>
      <w:r>
        <w:rPr>
          <w:color w:val="231F20"/>
        </w:rPr>
        <w:t>dans</w:t>
      </w:r>
      <w:r>
        <w:rPr>
          <w:color w:val="231F20"/>
          <w:spacing w:val="-9"/>
        </w:rPr>
        <w:t> </w:t>
      </w:r>
      <w:r>
        <w:rPr>
          <w:color w:val="231F20"/>
        </w:rPr>
        <w:t>le</w:t>
      </w:r>
      <w:r>
        <w:rPr>
          <w:color w:val="231F20"/>
          <w:spacing w:val="-11"/>
        </w:rPr>
        <w:t> </w:t>
      </w:r>
      <w:r>
        <w:rPr>
          <w:color w:val="231F20"/>
        </w:rPr>
        <w:t>Centre-Ouest.</w:t>
      </w:r>
      <w:r>
        <w:rPr>
          <w:color w:val="231F20"/>
          <w:spacing w:val="-11"/>
        </w:rPr>
        <w:t> </w:t>
      </w:r>
      <w:r>
        <w:rPr>
          <w:color w:val="231F20"/>
        </w:rPr>
        <w:t>Étudiant</w:t>
      </w:r>
      <w:r>
        <w:rPr>
          <w:color w:val="231F20"/>
          <w:spacing w:val="-8"/>
        </w:rPr>
        <w:t> </w:t>
      </w:r>
      <w:r>
        <w:rPr>
          <w:color w:val="231F20"/>
        </w:rPr>
        <w:t>en</w:t>
      </w:r>
      <w:r>
        <w:rPr>
          <w:color w:val="231F20"/>
          <w:spacing w:val="-8"/>
        </w:rPr>
        <w:t> </w:t>
      </w:r>
      <w:r>
        <w:rPr>
          <w:color w:val="231F20"/>
        </w:rPr>
        <w:t>France,</w:t>
      </w:r>
      <w:r>
        <w:rPr>
          <w:color w:val="231F20"/>
          <w:spacing w:val="-10"/>
        </w:rPr>
        <w:t> </w:t>
      </w:r>
      <w:r>
        <w:rPr>
          <w:color w:val="231F20"/>
        </w:rPr>
        <w:t>Kragbé </w:t>
      </w:r>
      <w:r>
        <w:rPr>
          <w:color w:val="231F20"/>
          <w:spacing w:val="-2"/>
        </w:rPr>
        <w:t>Gnagbé</w:t>
      </w:r>
      <w:r>
        <w:rPr>
          <w:color w:val="231F20"/>
          <w:spacing w:val="-13"/>
        </w:rPr>
        <w:t> </w:t>
      </w:r>
      <w:r>
        <w:rPr>
          <w:color w:val="231F20"/>
          <w:spacing w:val="-2"/>
        </w:rPr>
        <w:t>milite</w:t>
      </w:r>
      <w:r>
        <w:rPr>
          <w:color w:val="231F20"/>
          <w:spacing w:val="-13"/>
        </w:rPr>
        <w:t> </w:t>
      </w:r>
      <w:r>
        <w:rPr>
          <w:color w:val="231F20"/>
          <w:spacing w:val="-2"/>
        </w:rPr>
        <w:t>beaucoup</w:t>
      </w:r>
      <w:r>
        <w:rPr>
          <w:color w:val="231F20"/>
          <w:spacing w:val="-13"/>
        </w:rPr>
        <w:t> </w:t>
      </w:r>
      <w:r>
        <w:rPr>
          <w:color w:val="231F20"/>
          <w:spacing w:val="-2"/>
        </w:rPr>
        <w:t>dans</w:t>
      </w:r>
      <w:r>
        <w:rPr>
          <w:color w:val="231F20"/>
          <w:spacing w:val="-13"/>
        </w:rPr>
        <w:t> </w:t>
      </w:r>
      <w:r>
        <w:rPr>
          <w:color w:val="231F20"/>
          <w:spacing w:val="-2"/>
        </w:rPr>
        <w:t>les</w:t>
      </w:r>
      <w:r>
        <w:rPr>
          <w:color w:val="231F20"/>
          <w:spacing w:val="-13"/>
        </w:rPr>
        <w:t> </w:t>
      </w:r>
      <w:r>
        <w:rPr>
          <w:color w:val="231F20"/>
          <w:spacing w:val="-2"/>
        </w:rPr>
        <w:t>associations</w:t>
      </w:r>
      <w:r>
        <w:rPr>
          <w:color w:val="231F20"/>
          <w:spacing w:val="-13"/>
        </w:rPr>
        <w:t> </w:t>
      </w:r>
      <w:r>
        <w:rPr>
          <w:color w:val="231F20"/>
          <w:spacing w:val="-2"/>
        </w:rPr>
        <w:t>et</w:t>
      </w:r>
      <w:r>
        <w:rPr>
          <w:color w:val="231F20"/>
          <w:spacing w:val="-13"/>
        </w:rPr>
        <w:t> </w:t>
      </w:r>
      <w:r>
        <w:rPr>
          <w:color w:val="231F20"/>
          <w:spacing w:val="-2"/>
        </w:rPr>
        <w:t>organisations</w:t>
      </w:r>
      <w:r>
        <w:rPr>
          <w:color w:val="231F20"/>
          <w:spacing w:val="-13"/>
        </w:rPr>
        <w:t> </w:t>
      </w:r>
      <w:r>
        <w:rPr>
          <w:color w:val="231F20"/>
          <w:spacing w:val="-2"/>
        </w:rPr>
        <w:t>de</w:t>
      </w:r>
      <w:r>
        <w:rPr>
          <w:color w:val="231F20"/>
          <w:spacing w:val="-13"/>
        </w:rPr>
        <w:t> </w:t>
      </w:r>
      <w:r>
        <w:rPr>
          <w:color w:val="231F20"/>
          <w:spacing w:val="-2"/>
        </w:rPr>
        <w:t>défense des</w:t>
      </w:r>
      <w:r>
        <w:rPr>
          <w:color w:val="231F20"/>
          <w:spacing w:val="-9"/>
        </w:rPr>
        <w:t> </w:t>
      </w:r>
      <w:r>
        <w:rPr>
          <w:color w:val="231F20"/>
          <w:spacing w:val="-2"/>
        </w:rPr>
        <w:t>intérêts</w:t>
      </w:r>
      <w:r>
        <w:rPr>
          <w:color w:val="231F20"/>
          <w:spacing w:val="-9"/>
        </w:rPr>
        <w:t> </w:t>
      </w:r>
      <w:r>
        <w:rPr>
          <w:color w:val="231F20"/>
          <w:spacing w:val="-2"/>
        </w:rPr>
        <w:t>des</w:t>
      </w:r>
      <w:r>
        <w:rPr>
          <w:color w:val="231F20"/>
          <w:spacing w:val="-9"/>
        </w:rPr>
        <w:t> </w:t>
      </w:r>
      <w:r>
        <w:rPr>
          <w:color w:val="231F20"/>
          <w:spacing w:val="-2"/>
        </w:rPr>
        <w:t>Africains.</w:t>
      </w:r>
      <w:r>
        <w:rPr>
          <w:color w:val="231F20"/>
          <w:spacing w:val="-11"/>
        </w:rPr>
        <w:t> </w:t>
      </w:r>
      <w:r>
        <w:rPr>
          <w:color w:val="231F20"/>
          <w:spacing w:val="-2"/>
        </w:rPr>
        <w:t>Le</w:t>
      </w:r>
      <w:r>
        <w:rPr>
          <w:color w:val="231F20"/>
          <w:spacing w:val="-10"/>
        </w:rPr>
        <w:t> </w:t>
      </w:r>
      <w:r>
        <w:rPr>
          <w:color w:val="231F20"/>
          <w:spacing w:val="-2"/>
        </w:rPr>
        <w:t>7</w:t>
      </w:r>
      <w:r>
        <w:rPr>
          <w:color w:val="231F20"/>
          <w:spacing w:val="-8"/>
        </w:rPr>
        <w:t> </w:t>
      </w:r>
      <w:r>
        <w:rPr>
          <w:color w:val="231F20"/>
          <w:spacing w:val="-2"/>
        </w:rPr>
        <w:t>mai</w:t>
      </w:r>
      <w:r>
        <w:rPr>
          <w:color w:val="231F20"/>
          <w:spacing w:val="-8"/>
        </w:rPr>
        <w:t> </w:t>
      </w:r>
      <w:r>
        <w:rPr>
          <w:color w:val="231F20"/>
          <w:spacing w:val="-2"/>
        </w:rPr>
        <w:t>1963,</w:t>
      </w:r>
      <w:r>
        <w:rPr>
          <w:color w:val="231F20"/>
          <w:spacing w:val="-8"/>
        </w:rPr>
        <w:t> </w:t>
      </w:r>
      <w:r>
        <w:rPr>
          <w:color w:val="231F20"/>
          <w:spacing w:val="-2"/>
        </w:rPr>
        <w:t>il</w:t>
      </w:r>
      <w:r>
        <w:rPr>
          <w:color w:val="231F20"/>
          <w:spacing w:val="-8"/>
        </w:rPr>
        <w:t> </w:t>
      </w:r>
      <w:r>
        <w:rPr>
          <w:color w:val="231F20"/>
          <w:spacing w:val="-2"/>
        </w:rPr>
        <w:t>soutient</w:t>
      </w:r>
      <w:r>
        <w:rPr>
          <w:color w:val="231F20"/>
          <w:spacing w:val="-10"/>
        </w:rPr>
        <w:t> </w:t>
      </w:r>
      <w:r>
        <w:rPr>
          <w:color w:val="231F20"/>
          <w:spacing w:val="-2"/>
        </w:rPr>
        <w:t>à</w:t>
      </w:r>
      <w:r>
        <w:rPr>
          <w:color w:val="231F20"/>
          <w:spacing w:val="-8"/>
        </w:rPr>
        <w:t> </w:t>
      </w:r>
      <w:r>
        <w:rPr>
          <w:color w:val="231F20"/>
          <w:spacing w:val="-2"/>
        </w:rPr>
        <w:t>Paris,</w:t>
      </w:r>
      <w:r>
        <w:rPr>
          <w:color w:val="231F20"/>
          <w:spacing w:val="-9"/>
        </w:rPr>
        <w:t> </w:t>
      </w:r>
      <w:r>
        <w:rPr>
          <w:color w:val="231F20"/>
          <w:spacing w:val="-2"/>
        </w:rPr>
        <w:t>une</w:t>
      </w:r>
      <w:r>
        <w:rPr>
          <w:color w:val="231F20"/>
          <w:spacing w:val="-9"/>
        </w:rPr>
        <w:t> </w:t>
      </w:r>
      <w:r>
        <w:rPr>
          <w:color w:val="231F20"/>
          <w:spacing w:val="-2"/>
        </w:rPr>
        <w:t>thèse</w:t>
      </w:r>
      <w:r>
        <w:rPr>
          <w:color w:val="231F20"/>
          <w:spacing w:val="-9"/>
        </w:rPr>
        <w:t> </w:t>
      </w:r>
      <w:r>
        <w:rPr>
          <w:color w:val="231F20"/>
          <w:spacing w:val="-2"/>
        </w:rPr>
        <w:t>de </w:t>
      </w:r>
      <w:r>
        <w:rPr>
          <w:color w:val="231F20"/>
        </w:rPr>
        <w:t>doctorat</w:t>
      </w:r>
      <w:r>
        <w:rPr>
          <w:color w:val="231F20"/>
          <w:spacing w:val="-15"/>
        </w:rPr>
        <w:t> </w:t>
      </w:r>
      <w:r>
        <w:rPr>
          <w:color w:val="231F20"/>
        </w:rPr>
        <w:t>de</w:t>
      </w:r>
      <w:r>
        <w:rPr>
          <w:color w:val="231F20"/>
          <w:spacing w:val="-15"/>
        </w:rPr>
        <w:t> </w:t>
      </w:r>
      <w:r>
        <w:rPr>
          <w:color w:val="231F20"/>
        </w:rPr>
        <w:t>3ème</w:t>
      </w:r>
      <w:r>
        <w:rPr>
          <w:color w:val="231F20"/>
          <w:spacing w:val="-15"/>
        </w:rPr>
        <w:t> </w:t>
      </w:r>
      <w:r>
        <w:rPr>
          <w:color w:val="231F20"/>
        </w:rPr>
        <w:t>cycle</w:t>
      </w:r>
      <w:r>
        <w:rPr>
          <w:color w:val="231F20"/>
          <w:spacing w:val="-15"/>
        </w:rPr>
        <w:t> </w:t>
      </w:r>
      <w:r>
        <w:rPr>
          <w:color w:val="231F20"/>
        </w:rPr>
        <w:t>dont</w:t>
      </w:r>
      <w:r>
        <w:rPr>
          <w:color w:val="231F20"/>
          <w:spacing w:val="-15"/>
        </w:rPr>
        <w:t> </w:t>
      </w:r>
      <w:r>
        <w:rPr>
          <w:color w:val="231F20"/>
        </w:rPr>
        <w:t>le</w:t>
      </w:r>
      <w:r>
        <w:rPr>
          <w:color w:val="231F20"/>
          <w:spacing w:val="-15"/>
        </w:rPr>
        <w:t> </w:t>
      </w:r>
      <w:r>
        <w:rPr>
          <w:color w:val="231F20"/>
        </w:rPr>
        <w:t>thème</w:t>
      </w:r>
      <w:r>
        <w:rPr>
          <w:color w:val="231F20"/>
          <w:spacing w:val="-15"/>
        </w:rPr>
        <w:t> </w:t>
      </w:r>
      <w:r>
        <w:rPr>
          <w:color w:val="231F20"/>
        </w:rPr>
        <w:t>est</w:t>
      </w:r>
      <w:r>
        <w:rPr>
          <w:color w:val="231F20"/>
          <w:spacing w:val="-15"/>
        </w:rPr>
        <w:t> </w:t>
      </w:r>
      <w:r>
        <w:rPr>
          <w:color w:val="231F20"/>
        </w:rPr>
        <w:t>la</w:t>
      </w:r>
      <w:r>
        <w:rPr>
          <w:color w:val="231F20"/>
          <w:spacing w:val="-15"/>
        </w:rPr>
        <w:t> </w:t>
      </w:r>
      <w:r>
        <w:rPr>
          <w:color w:val="231F20"/>
        </w:rPr>
        <w:t>«</w:t>
      </w:r>
      <w:r>
        <w:rPr>
          <w:color w:val="231F20"/>
          <w:spacing w:val="-15"/>
        </w:rPr>
        <w:t> </w:t>
      </w:r>
      <w:r>
        <w:rPr>
          <w:color w:val="231F20"/>
        </w:rPr>
        <w:t>politique</w:t>
      </w:r>
      <w:r>
        <w:rPr>
          <w:color w:val="231F20"/>
          <w:spacing w:val="-15"/>
        </w:rPr>
        <w:t> </w:t>
      </w:r>
      <w:r>
        <w:rPr>
          <w:color w:val="231F20"/>
        </w:rPr>
        <w:t>coloniale</w:t>
      </w:r>
      <w:r>
        <w:rPr>
          <w:color w:val="231F20"/>
          <w:spacing w:val="-15"/>
        </w:rPr>
        <w:t> </w:t>
      </w:r>
      <w:r>
        <w:rPr>
          <w:color w:val="231F20"/>
        </w:rPr>
        <w:t>en</w:t>
      </w:r>
      <w:r>
        <w:rPr>
          <w:color w:val="231F20"/>
          <w:spacing w:val="-15"/>
        </w:rPr>
        <w:t> </w:t>
      </w:r>
      <w:r>
        <w:rPr>
          <w:color w:val="231F20"/>
        </w:rPr>
        <w:t>Côte d’ivoire ».</w:t>
      </w:r>
    </w:p>
    <w:p>
      <w:pPr>
        <w:pStyle w:val="BodyText"/>
        <w:spacing w:before="121"/>
        <w:ind w:right="102" w:firstLine="283"/>
      </w:pPr>
      <w:r>
        <w:rPr>
          <w:color w:val="231F20"/>
        </w:rPr>
        <w:t>Il fonde en 1966 le Parti Nationaliste (PANA) comme l’y autorise l’article</w:t>
      </w:r>
      <w:r>
        <w:rPr>
          <w:color w:val="231F20"/>
          <w:spacing w:val="-1"/>
        </w:rPr>
        <w:t> </w:t>
      </w:r>
      <w:r>
        <w:rPr>
          <w:color w:val="231F20"/>
        </w:rPr>
        <w:t>7 de</w:t>
      </w:r>
      <w:r>
        <w:rPr>
          <w:color w:val="231F20"/>
          <w:spacing w:val="-1"/>
        </w:rPr>
        <w:t> </w:t>
      </w:r>
      <w:r>
        <w:rPr>
          <w:color w:val="231F20"/>
        </w:rPr>
        <w:t>la</w:t>
      </w:r>
      <w:r>
        <w:rPr>
          <w:color w:val="231F20"/>
          <w:spacing w:val="-3"/>
        </w:rPr>
        <w:t> </w:t>
      </w:r>
      <w:r>
        <w:rPr>
          <w:color w:val="231F20"/>
        </w:rPr>
        <w:t>Constitution de son pays. Un an plus tard, il dépose</w:t>
      </w:r>
      <w:r>
        <w:rPr>
          <w:color w:val="231F20"/>
          <w:spacing w:val="-2"/>
        </w:rPr>
        <w:t> </w:t>
      </w:r>
      <w:r>
        <w:rPr>
          <w:color w:val="231F20"/>
        </w:rPr>
        <w:t>les statuts de son Parti au ministère de l’intérieur. Son acte est considéré </w:t>
      </w:r>
      <w:r>
        <w:rPr>
          <w:color w:val="231F20"/>
          <w:spacing w:val="-2"/>
        </w:rPr>
        <w:t>comme</w:t>
      </w:r>
      <w:r>
        <w:rPr>
          <w:color w:val="231F20"/>
          <w:spacing w:val="-10"/>
        </w:rPr>
        <w:t> </w:t>
      </w:r>
      <w:r>
        <w:rPr>
          <w:color w:val="231F20"/>
          <w:spacing w:val="-2"/>
        </w:rPr>
        <w:t>une</w:t>
      </w:r>
      <w:r>
        <w:rPr>
          <w:color w:val="231F20"/>
          <w:spacing w:val="-10"/>
        </w:rPr>
        <w:t> </w:t>
      </w:r>
      <w:r>
        <w:rPr>
          <w:color w:val="231F20"/>
          <w:spacing w:val="-2"/>
        </w:rPr>
        <w:t>défiance</w:t>
      </w:r>
      <w:r>
        <w:rPr>
          <w:color w:val="231F20"/>
          <w:spacing w:val="-10"/>
        </w:rPr>
        <w:t> </w:t>
      </w:r>
      <w:r>
        <w:rPr>
          <w:color w:val="231F20"/>
          <w:spacing w:val="-2"/>
        </w:rPr>
        <w:t>envers</w:t>
      </w:r>
      <w:r>
        <w:rPr>
          <w:color w:val="231F20"/>
          <w:spacing w:val="-10"/>
        </w:rPr>
        <w:t> </w:t>
      </w:r>
      <w:r>
        <w:rPr>
          <w:color w:val="231F20"/>
          <w:spacing w:val="-2"/>
        </w:rPr>
        <w:t>Houphouët-Boigny,</w:t>
      </w:r>
      <w:r>
        <w:rPr>
          <w:color w:val="231F20"/>
          <w:spacing w:val="-10"/>
        </w:rPr>
        <w:t> </w:t>
      </w:r>
      <w:r>
        <w:rPr>
          <w:color w:val="231F20"/>
          <w:spacing w:val="-2"/>
        </w:rPr>
        <w:t>le</w:t>
      </w:r>
      <w:r>
        <w:rPr>
          <w:color w:val="231F20"/>
          <w:spacing w:val="-13"/>
        </w:rPr>
        <w:t> </w:t>
      </w:r>
      <w:r>
        <w:rPr>
          <w:color w:val="231F20"/>
          <w:spacing w:val="-2"/>
        </w:rPr>
        <w:t>Parti</w:t>
      </w:r>
      <w:r>
        <w:rPr>
          <w:color w:val="231F20"/>
          <w:spacing w:val="-12"/>
        </w:rPr>
        <w:t> </w:t>
      </w:r>
      <w:r>
        <w:rPr>
          <w:color w:val="231F20"/>
          <w:spacing w:val="-2"/>
        </w:rPr>
        <w:t>unique</w:t>
      </w:r>
      <w:r>
        <w:rPr>
          <w:color w:val="231F20"/>
          <w:spacing w:val="-10"/>
        </w:rPr>
        <w:t> </w:t>
      </w:r>
      <w:r>
        <w:rPr>
          <w:color w:val="231F20"/>
          <w:spacing w:val="-2"/>
        </w:rPr>
        <w:t>et</w:t>
      </w:r>
      <w:r>
        <w:rPr>
          <w:color w:val="231F20"/>
          <w:spacing w:val="-10"/>
        </w:rPr>
        <w:t> </w:t>
      </w:r>
      <w:r>
        <w:rPr>
          <w:color w:val="231F20"/>
          <w:spacing w:val="-2"/>
        </w:rPr>
        <w:t>l’État. </w:t>
      </w:r>
      <w:r>
        <w:rPr>
          <w:color w:val="231F20"/>
        </w:rPr>
        <w:t>Il est considéré « bon pour un asile d’aliénés aux mains de quelques spécialistes en psychiatrie ». Gnagbé est donc enfermé à l’hôpital </w:t>
      </w:r>
      <w:r>
        <w:rPr>
          <w:color w:val="231F20"/>
          <w:spacing w:val="-4"/>
        </w:rPr>
        <w:t>psychiatrique</w:t>
      </w:r>
      <w:r>
        <w:rPr>
          <w:color w:val="231F20"/>
          <w:spacing w:val="-5"/>
        </w:rPr>
        <w:t> </w:t>
      </w:r>
      <w:r>
        <w:rPr>
          <w:color w:val="231F20"/>
          <w:spacing w:val="-4"/>
        </w:rPr>
        <w:t>de</w:t>
      </w:r>
      <w:r>
        <w:rPr>
          <w:color w:val="231F20"/>
          <w:spacing w:val="-7"/>
        </w:rPr>
        <w:t> </w:t>
      </w:r>
      <w:r>
        <w:rPr>
          <w:color w:val="231F20"/>
          <w:spacing w:val="-4"/>
        </w:rPr>
        <w:t>Bingerville.</w:t>
      </w:r>
      <w:r>
        <w:rPr>
          <w:color w:val="231F20"/>
          <w:spacing w:val="-5"/>
        </w:rPr>
        <w:t> </w:t>
      </w:r>
      <w:r>
        <w:rPr>
          <w:color w:val="231F20"/>
          <w:spacing w:val="-4"/>
        </w:rPr>
        <w:t>Son</w:t>
      </w:r>
      <w:r>
        <w:rPr>
          <w:color w:val="231F20"/>
          <w:spacing w:val="-5"/>
        </w:rPr>
        <w:t> </w:t>
      </w:r>
      <w:r>
        <w:rPr>
          <w:color w:val="231F20"/>
          <w:spacing w:val="-4"/>
        </w:rPr>
        <w:t>épouse,</w:t>
      </w:r>
      <w:r>
        <w:rPr>
          <w:color w:val="231F20"/>
          <w:spacing w:val="-7"/>
        </w:rPr>
        <w:t> </w:t>
      </w:r>
      <w:r>
        <w:rPr>
          <w:color w:val="231F20"/>
          <w:spacing w:val="-4"/>
        </w:rPr>
        <w:t>une</w:t>
      </w:r>
      <w:r>
        <w:rPr>
          <w:color w:val="231F20"/>
          <w:spacing w:val="-5"/>
        </w:rPr>
        <w:t> </w:t>
      </w:r>
      <w:r>
        <w:rPr>
          <w:color w:val="231F20"/>
          <w:spacing w:val="-4"/>
        </w:rPr>
        <w:t>Française</w:t>
      </w:r>
      <w:r>
        <w:rPr>
          <w:color w:val="231F20"/>
          <w:spacing w:val="-5"/>
        </w:rPr>
        <w:t> </w:t>
      </w:r>
      <w:r>
        <w:rPr>
          <w:color w:val="231F20"/>
          <w:spacing w:val="-4"/>
        </w:rPr>
        <w:t>s’inquiète</w:t>
      </w:r>
      <w:r>
        <w:rPr>
          <w:color w:val="231F20"/>
          <w:spacing w:val="-5"/>
        </w:rPr>
        <w:t> </w:t>
      </w:r>
      <w:r>
        <w:rPr>
          <w:color w:val="231F20"/>
          <w:spacing w:val="-4"/>
        </w:rPr>
        <w:t>auprès </w:t>
      </w:r>
      <w:r>
        <w:rPr>
          <w:color w:val="231F20"/>
        </w:rPr>
        <w:t>des autorités françaises. Le Chargé des affaires africaines, M. René Journiac, fait pression auprès des autorités ivoiriennes qui le libèrent. Mais, Gnagbé forme au début de l’année 1970, un gouvernement </w:t>
      </w:r>
      <w:r>
        <w:rPr>
          <w:color w:val="231F20"/>
          <w:spacing w:val="-4"/>
        </w:rPr>
        <w:t>provisoire</w:t>
      </w:r>
      <w:r>
        <w:rPr>
          <w:color w:val="231F20"/>
          <w:spacing w:val="-11"/>
        </w:rPr>
        <w:t> </w:t>
      </w:r>
      <w:r>
        <w:rPr>
          <w:color w:val="231F20"/>
          <w:spacing w:val="-4"/>
        </w:rPr>
        <w:t>de</w:t>
      </w:r>
      <w:r>
        <w:rPr>
          <w:color w:val="231F20"/>
          <w:spacing w:val="-11"/>
        </w:rPr>
        <w:t> </w:t>
      </w:r>
      <w:r>
        <w:rPr>
          <w:color w:val="231F20"/>
          <w:spacing w:val="-4"/>
        </w:rPr>
        <w:t>«</w:t>
      </w:r>
      <w:r>
        <w:rPr>
          <w:color w:val="231F20"/>
          <w:spacing w:val="-11"/>
        </w:rPr>
        <w:t> </w:t>
      </w:r>
      <w:r>
        <w:rPr>
          <w:color w:val="231F20"/>
          <w:spacing w:val="-4"/>
        </w:rPr>
        <w:t>la</w:t>
      </w:r>
      <w:r>
        <w:rPr>
          <w:color w:val="231F20"/>
          <w:spacing w:val="-11"/>
        </w:rPr>
        <w:t> </w:t>
      </w:r>
      <w:r>
        <w:rPr>
          <w:color w:val="231F20"/>
          <w:spacing w:val="-4"/>
        </w:rPr>
        <w:t>République</w:t>
      </w:r>
      <w:r>
        <w:rPr>
          <w:color w:val="231F20"/>
          <w:spacing w:val="-11"/>
        </w:rPr>
        <w:t> </w:t>
      </w:r>
      <w:r>
        <w:rPr>
          <w:color w:val="231F20"/>
          <w:spacing w:val="-4"/>
        </w:rPr>
        <w:t>d’Éburnie</w:t>
      </w:r>
      <w:r>
        <w:rPr>
          <w:color w:val="231F20"/>
          <w:spacing w:val="-2"/>
        </w:rPr>
        <w:t> </w:t>
      </w:r>
      <w:r>
        <w:rPr>
          <w:color w:val="231F20"/>
          <w:spacing w:val="-4"/>
        </w:rPr>
        <w:t>»</w:t>
      </w:r>
      <w:r>
        <w:rPr>
          <w:color w:val="231F20"/>
          <w:spacing w:val="-11"/>
        </w:rPr>
        <w:t> </w:t>
      </w:r>
      <w:r>
        <w:rPr>
          <w:color w:val="231F20"/>
          <w:spacing w:val="-4"/>
        </w:rPr>
        <w:t>et</w:t>
      </w:r>
      <w:r>
        <w:rPr>
          <w:color w:val="231F20"/>
          <w:spacing w:val="-11"/>
        </w:rPr>
        <w:t> </w:t>
      </w:r>
      <w:r>
        <w:rPr>
          <w:color w:val="231F20"/>
          <w:spacing w:val="-4"/>
        </w:rPr>
        <w:t>se</w:t>
      </w:r>
      <w:r>
        <w:rPr>
          <w:color w:val="231F20"/>
          <w:spacing w:val="-11"/>
        </w:rPr>
        <w:t> </w:t>
      </w:r>
      <w:r>
        <w:rPr>
          <w:color w:val="231F20"/>
          <w:spacing w:val="-4"/>
        </w:rPr>
        <w:t>retranche</w:t>
      </w:r>
      <w:r>
        <w:rPr>
          <w:color w:val="231F20"/>
          <w:spacing w:val="-11"/>
        </w:rPr>
        <w:t> </w:t>
      </w:r>
      <w:r>
        <w:rPr>
          <w:color w:val="231F20"/>
          <w:spacing w:val="-4"/>
        </w:rPr>
        <w:t>dans</w:t>
      </w:r>
      <w:r>
        <w:rPr>
          <w:color w:val="231F20"/>
          <w:spacing w:val="-11"/>
        </w:rPr>
        <w:t> </w:t>
      </w:r>
      <w:r>
        <w:rPr>
          <w:color w:val="231F20"/>
          <w:spacing w:val="-4"/>
        </w:rPr>
        <w:t>son</w:t>
      </w:r>
      <w:r>
        <w:rPr>
          <w:color w:val="231F20"/>
          <w:spacing w:val="-11"/>
        </w:rPr>
        <w:t> </w:t>
      </w:r>
      <w:r>
        <w:rPr>
          <w:color w:val="231F20"/>
          <w:spacing w:val="-4"/>
        </w:rPr>
        <w:t>village, </w:t>
      </w:r>
      <w:r>
        <w:rPr>
          <w:color w:val="231F20"/>
        </w:rPr>
        <w:t>dans</w:t>
      </w:r>
      <w:r>
        <w:rPr>
          <w:color w:val="231F20"/>
          <w:spacing w:val="41"/>
        </w:rPr>
        <w:t> </w:t>
      </w:r>
      <w:r>
        <w:rPr>
          <w:color w:val="231F20"/>
        </w:rPr>
        <w:t>le</w:t>
      </w:r>
      <w:r>
        <w:rPr>
          <w:color w:val="231F20"/>
          <w:spacing w:val="46"/>
        </w:rPr>
        <w:t> </w:t>
      </w:r>
      <w:r>
        <w:rPr>
          <w:color w:val="231F20"/>
        </w:rPr>
        <w:t>canton</w:t>
      </w:r>
      <w:r>
        <w:rPr>
          <w:color w:val="231F20"/>
          <w:spacing w:val="47"/>
        </w:rPr>
        <w:t> </w:t>
      </w:r>
      <w:r>
        <w:rPr>
          <w:color w:val="231F20"/>
        </w:rPr>
        <w:t>Guébié,</w:t>
      </w:r>
      <w:r>
        <w:rPr>
          <w:color w:val="231F20"/>
          <w:spacing w:val="41"/>
        </w:rPr>
        <w:t> </w:t>
      </w:r>
      <w:r>
        <w:rPr>
          <w:color w:val="231F20"/>
        </w:rPr>
        <w:t>près</w:t>
      </w:r>
      <w:r>
        <w:rPr>
          <w:color w:val="231F20"/>
          <w:spacing w:val="47"/>
        </w:rPr>
        <w:t> </w:t>
      </w:r>
      <w:r>
        <w:rPr>
          <w:color w:val="231F20"/>
        </w:rPr>
        <w:t>de</w:t>
      </w:r>
      <w:r>
        <w:rPr>
          <w:color w:val="231F20"/>
          <w:spacing w:val="43"/>
        </w:rPr>
        <w:t> </w:t>
      </w:r>
      <w:r>
        <w:rPr>
          <w:color w:val="231F20"/>
        </w:rPr>
        <w:t>la</w:t>
      </w:r>
      <w:r>
        <w:rPr>
          <w:color w:val="231F20"/>
          <w:spacing w:val="47"/>
        </w:rPr>
        <w:t> </w:t>
      </w:r>
      <w:r>
        <w:rPr>
          <w:color w:val="231F20"/>
        </w:rPr>
        <w:t>ville</w:t>
      </w:r>
      <w:r>
        <w:rPr>
          <w:color w:val="231F20"/>
          <w:spacing w:val="46"/>
        </w:rPr>
        <w:t> </w:t>
      </w:r>
      <w:r>
        <w:rPr>
          <w:color w:val="231F20"/>
        </w:rPr>
        <w:t>de</w:t>
      </w:r>
      <w:r>
        <w:rPr>
          <w:color w:val="231F20"/>
          <w:spacing w:val="44"/>
        </w:rPr>
        <w:t> </w:t>
      </w:r>
      <w:r>
        <w:rPr>
          <w:color w:val="231F20"/>
        </w:rPr>
        <w:t>Gagnoa.</w:t>
      </w:r>
      <w:r>
        <w:rPr>
          <w:color w:val="231F20"/>
          <w:spacing w:val="46"/>
        </w:rPr>
        <w:t> </w:t>
      </w:r>
      <w:r>
        <w:rPr>
          <w:color w:val="231F20"/>
        </w:rPr>
        <w:t>L’Armée</w:t>
      </w:r>
      <w:r>
        <w:rPr>
          <w:color w:val="231F20"/>
          <w:spacing w:val="46"/>
        </w:rPr>
        <w:t> </w:t>
      </w:r>
      <w:r>
        <w:rPr>
          <w:color w:val="231F20"/>
        </w:rPr>
        <w:t>y</w:t>
      </w:r>
      <w:r>
        <w:rPr>
          <w:color w:val="231F20"/>
          <w:spacing w:val="47"/>
        </w:rPr>
        <w:t> </w:t>
      </w:r>
      <w:r>
        <w:rPr>
          <w:color w:val="231F20"/>
          <w:spacing w:val="-5"/>
        </w:rPr>
        <w:t>est</w:t>
      </w:r>
    </w:p>
    <w:p>
      <w:pPr>
        <w:pStyle w:val="BodyText"/>
        <w:spacing w:before="40"/>
        <w:ind w:left="0"/>
        <w:jc w:val="left"/>
        <w:rPr>
          <w:sz w:val="20"/>
        </w:rPr>
      </w:pPr>
      <w:r>
        <w:rPr/>
        <mc:AlternateContent>
          <mc:Choice Requires="wps">
            <w:drawing>
              <wp:anchor distT="0" distB="0" distL="0" distR="0" allowOverlap="1" layoutInCell="1" locked="0" behindDoc="1" simplePos="0" relativeHeight="487627776">
                <wp:simplePos x="0" y="0"/>
                <wp:positionH relativeFrom="page">
                  <wp:posOffset>629907</wp:posOffset>
                </wp:positionH>
                <wp:positionV relativeFrom="paragraph">
                  <wp:posOffset>186996</wp:posOffset>
                </wp:positionV>
                <wp:extent cx="1829435" cy="9525"/>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72414pt;width:144.020pt;height:.72pt;mso-position-horizontal-relative:page;mso-position-vertical-relative:paragraph;z-index:-15688704;mso-wrap-distance-left:0;mso-wrap-distance-right:0" id="docshape97" filled="true" fillcolor="#231f20" stroked="false">
                <v:fill type="solid"/>
                <w10:wrap type="topAndBottom"/>
              </v:rect>
            </w:pict>
          </mc:Fallback>
        </mc:AlternateContent>
      </w:r>
    </w:p>
    <w:p>
      <w:pPr>
        <w:spacing w:before="91"/>
        <w:ind w:left="111" w:right="103" w:firstLine="0"/>
        <w:jc w:val="both"/>
        <w:rPr>
          <w:sz w:val="20"/>
        </w:rPr>
      </w:pPr>
      <w:r>
        <w:rPr>
          <w:color w:val="76787A"/>
          <w:sz w:val="20"/>
          <w:vertAlign w:val="superscript"/>
        </w:rPr>
        <w:t>128</w:t>
      </w:r>
      <w:r>
        <w:rPr>
          <w:color w:val="76787A"/>
          <w:sz w:val="20"/>
          <w:vertAlign w:val="baseline"/>
        </w:rPr>
        <w:t> </w:t>
      </w:r>
      <w:r>
        <w:rPr>
          <w:color w:val="231F20"/>
          <w:sz w:val="20"/>
          <w:vertAlign w:val="baseline"/>
        </w:rPr>
        <w:t>Guerre</w:t>
      </w:r>
      <w:r>
        <w:rPr>
          <w:color w:val="231F20"/>
          <w:spacing w:val="40"/>
          <w:sz w:val="20"/>
          <w:vertAlign w:val="baseline"/>
        </w:rPr>
        <w:t> </w:t>
      </w:r>
      <w:r>
        <w:rPr>
          <w:color w:val="231F20"/>
          <w:sz w:val="20"/>
          <w:vertAlign w:val="baseline"/>
        </w:rPr>
        <w:t>civile</w:t>
      </w:r>
      <w:r>
        <w:rPr>
          <w:color w:val="231F20"/>
          <w:spacing w:val="37"/>
          <w:sz w:val="20"/>
          <w:vertAlign w:val="baseline"/>
        </w:rPr>
        <w:t> </w:t>
      </w:r>
      <w:r>
        <w:rPr>
          <w:color w:val="231F20"/>
          <w:sz w:val="20"/>
          <w:vertAlign w:val="baseline"/>
        </w:rPr>
        <w:t>au</w:t>
      </w:r>
      <w:r>
        <w:rPr>
          <w:color w:val="231F20"/>
          <w:spacing w:val="38"/>
          <w:sz w:val="20"/>
          <w:vertAlign w:val="baseline"/>
        </w:rPr>
        <w:t> </w:t>
      </w:r>
      <w:r>
        <w:rPr>
          <w:color w:val="231F20"/>
          <w:sz w:val="20"/>
          <w:vertAlign w:val="baseline"/>
        </w:rPr>
        <w:t>Nigéria</w:t>
      </w:r>
      <w:r>
        <w:rPr>
          <w:color w:val="231F20"/>
          <w:spacing w:val="40"/>
          <w:sz w:val="20"/>
          <w:vertAlign w:val="baseline"/>
        </w:rPr>
        <w:t> </w:t>
      </w:r>
      <w:r>
        <w:rPr>
          <w:color w:val="231F20"/>
          <w:sz w:val="20"/>
          <w:vertAlign w:val="baseline"/>
        </w:rPr>
        <w:t>du</w:t>
      </w:r>
      <w:r>
        <w:rPr>
          <w:color w:val="231F20"/>
          <w:spacing w:val="-13"/>
          <w:sz w:val="20"/>
          <w:vertAlign w:val="baseline"/>
        </w:rPr>
        <w:t> </w:t>
      </w:r>
      <w:r>
        <w:rPr>
          <w:color w:val="231F20"/>
          <w:sz w:val="20"/>
          <w:vertAlign w:val="baseline"/>
        </w:rPr>
        <w:t>6</w:t>
      </w:r>
      <w:r>
        <w:rPr>
          <w:color w:val="231F20"/>
          <w:spacing w:val="-12"/>
          <w:sz w:val="20"/>
          <w:vertAlign w:val="baseline"/>
        </w:rPr>
        <w:t> </w:t>
      </w:r>
      <w:r>
        <w:rPr>
          <w:color w:val="231F20"/>
          <w:sz w:val="20"/>
          <w:vertAlign w:val="baseline"/>
        </w:rPr>
        <w:t>juillet</w:t>
      </w:r>
      <w:r>
        <w:rPr>
          <w:color w:val="231F20"/>
          <w:spacing w:val="-13"/>
          <w:sz w:val="20"/>
          <w:vertAlign w:val="baseline"/>
        </w:rPr>
        <w:t> </w:t>
      </w:r>
      <w:r>
        <w:rPr>
          <w:color w:val="231F20"/>
          <w:sz w:val="20"/>
          <w:vertAlign w:val="baseline"/>
        </w:rPr>
        <w:t>1967</w:t>
      </w:r>
      <w:r>
        <w:rPr>
          <w:color w:val="231F20"/>
          <w:spacing w:val="-12"/>
          <w:sz w:val="20"/>
          <w:vertAlign w:val="baseline"/>
        </w:rPr>
        <w:t> </w:t>
      </w:r>
      <w:r>
        <w:rPr>
          <w:color w:val="231F20"/>
          <w:sz w:val="20"/>
          <w:vertAlign w:val="baseline"/>
        </w:rPr>
        <w:t>au</w:t>
      </w:r>
      <w:r>
        <w:rPr>
          <w:color w:val="231F20"/>
          <w:spacing w:val="-13"/>
          <w:sz w:val="20"/>
          <w:vertAlign w:val="baseline"/>
        </w:rPr>
        <w:t> </w:t>
      </w:r>
      <w:r>
        <w:rPr>
          <w:color w:val="231F20"/>
          <w:sz w:val="20"/>
          <w:vertAlign w:val="baseline"/>
        </w:rPr>
        <w:t>15</w:t>
      </w:r>
      <w:r>
        <w:rPr>
          <w:color w:val="231F20"/>
          <w:spacing w:val="-12"/>
          <w:sz w:val="20"/>
          <w:vertAlign w:val="baseline"/>
        </w:rPr>
        <w:t> </w:t>
      </w:r>
      <w:r>
        <w:rPr>
          <w:color w:val="231F20"/>
          <w:sz w:val="20"/>
          <w:vertAlign w:val="baseline"/>
        </w:rPr>
        <w:t>janvier</w:t>
      </w:r>
      <w:r>
        <w:rPr>
          <w:color w:val="231F20"/>
          <w:spacing w:val="-13"/>
          <w:sz w:val="20"/>
          <w:vertAlign w:val="baseline"/>
        </w:rPr>
        <w:t> </w:t>
      </w:r>
      <w:r>
        <w:rPr>
          <w:color w:val="231F20"/>
          <w:sz w:val="20"/>
          <w:vertAlign w:val="baseline"/>
        </w:rPr>
        <w:t>1970,</w:t>
      </w:r>
      <w:r>
        <w:rPr>
          <w:color w:val="231F20"/>
          <w:spacing w:val="40"/>
          <w:sz w:val="20"/>
          <w:vertAlign w:val="baseline"/>
        </w:rPr>
        <w:t> </w:t>
      </w:r>
      <w:r>
        <w:rPr>
          <w:color w:val="231F20"/>
          <w:sz w:val="20"/>
          <w:vertAlign w:val="baseline"/>
        </w:rPr>
        <w:t>déclenchée</w:t>
      </w:r>
      <w:r>
        <w:rPr>
          <w:color w:val="231F20"/>
          <w:spacing w:val="37"/>
          <w:sz w:val="20"/>
          <w:vertAlign w:val="baseline"/>
        </w:rPr>
        <w:t> </w:t>
      </w:r>
      <w:r>
        <w:rPr>
          <w:color w:val="231F20"/>
          <w:sz w:val="20"/>
          <w:vertAlign w:val="baseline"/>
        </w:rPr>
        <w:t>par</w:t>
      </w:r>
      <w:r>
        <w:rPr>
          <w:color w:val="231F20"/>
          <w:spacing w:val="40"/>
          <w:sz w:val="20"/>
          <w:vertAlign w:val="baseline"/>
        </w:rPr>
        <w:t> </w:t>
      </w:r>
      <w:r>
        <w:rPr>
          <w:color w:val="231F20"/>
          <w:sz w:val="20"/>
          <w:vertAlign w:val="baseline"/>
        </w:rPr>
        <w:t>la </w:t>
      </w:r>
      <w:r>
        <w:rPr>
          <w:color w:val="231F20"/>
          <w:spacing w:val="-4"/>
          <w:sz w:val="20"/>
          <w:vertAlign w:val="baseline"/>
        </w:rPr>
        <w:t>sécession</w:t>
      </w:r>
      <w:r>
        <w:rPr>
          <w:color w:val="231F20"/>
          <w:spacing w:val="-5"/>
          <w:sz w:val="20"/>
          <w:vertAlign w:val="baseline"/>
        </w:rPr>
        <w:t> </w:t>
      </w:r>
      <w:r>
        <w:rPr>
          <w:color w:val="231F20"/>
          <w:spacing w:val="-4"/>
          <w:sz w:val="20"/>
          <w:vertAlign w:val="baseline"/>
        </w:rPr>
        <w:t>de</w:t>
      </w:r>
      <w:r>
        <w:rPr>
          <w:color w:val="231F20"/>
          <w:spacing w:val="-6"/>
          <w:sz w:val="20"/>
          <w:vertAlign w:val="baseline"/>
        </w:rPr>
        <w:t> </w:t>
      </w:r>
      <w:r>
        <w:rPr>
          <w:color w:val="231F20"/>
          <w:spacing w:val="-4"/>
          <w:sz w:val="20"/>
          <w:vertAlign w:val="baseline"/>
        </w:rPr>
        <w:t>la région</w:t>
      </w:r>
      <w:r>
        <w:rPr>
          <w:color w:val="231F20"/>
          <w:spacing w:val="-6"/>
          <w:sz w:val="20"/>
          <w:vertAlign w:val="baseline"/>
        </w:rPr>
        <w:t> </w:t>
      </w:r>
      <w:r>
        <w:rPr>
          <w:color w:val="231F20"/>
          <w:spacing w:val="-4"/>
          <w:sz w:val="20"/>
          <w:vertAlign w:val="baseline"/>
        </w:rPr>
        <w:t>orientalele Biafra. Le blocus</w:t>
      </w:r>
      <w:r>
        <w:rPr>
          <w:color w:val="231F20"/>
          <w:sz w:val="20"/>
          <w:vertAlign w:val="baseline"/>
        </w:rPr>
        <w:t> </w:t>
      </w:r>
      <w:r>
        <w:rPr>
          <w:color w:val="231F20"/>
          <w:spacing w:val="-4"/>
          <w:sz w:val="20"/>
          <w:vertAlign w:val="baseline"/>
        </w:rPr>
        <w:t>terrestre</w:t>
      </w:r>
      <w:r>
        <w:rPr>
          <w:color w:val="231F20"/>
          <w:spacing w:val="-5"/>
          <w:sz w:val="20"/>
          <w:vertAlign w:val="baseline"/>
        </w:rPr>
        <w:t> </w:t>
      </w:r>
      <w:r>
        <w:rPr>
          <w:color w:val="231F20"/>
          <w:spacing w:val="-4"/>
          <w:sz w:val="20"/>
          <w:vertAlign w:val="baseline"/>
        </w:rPr>
        <w:t>et</w:t>
      </w:r>
      <w:r>
        <w:rPr>
          <w:color w:val="231F20"/>
          <w:spacing w:val="-5"/>
          <w:sz w:val="20"/>
          <w:vertAlign w:val="baseline"/>
        </w:rPr>
        <w:t> </w:t>
      </w:r>
      <w:r>
        <w:rPr>
          <w:color w:val="231F20"/>
          <w:spacing w:val="-4"/>
          <w:sz w:val="20"/>
          <w:vertAlign w:val="baseline"/>
        </w:rPr>
        <w:t>maritime</w:t>
      </w:r>
      <w:r>
        <w:rPr>
          <w:color w:val="231F20"/>
          <w:spacing w:val="-5"/>
          <w:sz w:val="20"/>
          <w:vertAlign w:val="baseline"/>
        </w:rPr>
        <w:t> </w:t>
      </w:r>
      <w:r>
        <w:rPr>
          <w:color w:val="231F20"/>
          <w:spacing w:val="-4"/>
          <w:sz w:val="20"/>
          <w:vertAlign w:val="baseline"/>
        </w:rPr>
        <w:t>du Biafra par les </w:t>
      </w:r>
      <w:r>
        <w:rPr>
          <w:color w:val="231F20"/>
          <w:sz w:val="20"/>
          <w:vertAlign w:val="baseline"/>
        </w:rPr>
        <w:t>troupes</w:t>
      </w:r>
      <w:r>
        <w:rPr>
          <w:color w:val="231F20"/>
          <w:spacing w:val="-12"/>
          <w:sz w:val="20"/>
          <w:vertAlign w:val="baseline"/>
        </w:rPr>
        <w:t> </w:t>
      </w:r>
      <w:r>
        <w:rPr>
          <w:color w:val="231F20"/>
          <w:sz w:val="20"/>
          <w:vertAlign w:val="baseline"/>
        </w:rPr>
        <w:t>gouvernementales</w:t>
      </w:r>
      <w:r>
        <w:rPr>
          <w:color w:val="231F20"/>
          <w:spacing w:val="-1"/>
          <w:sz w:val="20"/>
          <w:vertAlign w:val="baseline"/>
        </w:rPr>
        <w:t> </w:t>
      </w:r>
      <w:r>
        <w:rPr>
          <w:color w:val="231F20"/>
          <w:sz w:val="20"/>
          <w:vertAlign w:val="baseline"/>
        </w:rPr>
        <w:t>provoque,</w:t>
      </w:r>
      <w:r>
        <w:rPr>
          <w:color w:val="231F20"/>
          <w:spacing w:val="-1"/>
          <w:sz w:val="20"/>
          <w:vertAlign w:val="baseline"/>
        </w:rPr>
        <w:t> </w:t>
      </w:r>
      <w:r>
        <w:rPr>
          <w:color w:val="231F20"/>
          <w:sz w:val="20"/>
          <w:vertAlign w:val="baseline"/>
        </w:rPr>
        <w:t>dans</w:t>
      </w:r>
      <w:r>
        <w:rPr>
          <w:color w:val="231F20"/>
          <w:spacing w:val="-1"/>
          <w:sz w:val="20"/>
          <w:vertAlign w:val="baseline"/>
        </w:rPr>
        <w:t> </w:t>
      </w:r>
      <w:r>
        <w:rPr>
          <w:color w:val="231F20"/>
          <w:sz w:val="20"/>
          <w:vertAlign w:val="baseline"/>
        </w:rPr>
        <w:t>la</w:t>
      </w:r>
      <w:r>
        <w:rPr>
          <w:color w:val="231F20"/>
          <w:spacing w:val="-1"/>
          <w:sz w:val="20"/>
          <w:vertAlign w:val="baseline"/>
        </w:rPr>
        <w:t> </w:t>
      </w:r>
      <w:r>
        <w:rPr>
          <w:color w:val="231F20"/>
          <w:sz w:val="20"/>
          <w:vertAlign w:val="baseline"/>
        </w:rPr>
        <w:t>région, une</w:t>
      </w:r>
      <w:r>
        <w:rPr>
          <w:color w:val="231F20"/>
          <w:spacing w:val="-13"/>
          <w:sz w:val="20"/>
          <w:vertAlign w:val="baseline"/>
        </w:rPr>
        <w:t> </w:t>
      </w:r>
      <w:r>
        <w:rPr>
          <w:color w:val="231F20"/>
          <w:sz w:val="20"/>
          <w:vertAlign w:val="baseline"/>
        </w:rPr>
        <w:t>famine</w:t>
      </w:r>
      <w:r>
        <w:rPr>
          <w:color w:val="231F20"/>
          <w:spacing w:val="-12"/>
          <w:sz w:val="20"/>
          <w:vertAlign w:val="baseline"/>
        </w:rPr>
        <w:t> </w:t>
      </w:r>
      <w:r>
        <w:rPr>
          <w:color w:val="231F20"/>
          <w:sz w:val="20"/>
          <w:vertAlign w:val="baseline"/>
        </w:rPr>
        <w:t>qui</w:t>
      </w:r>
      <w:r>
        <w:rPr>
          <w:color w:val="231F20"/>
          <w:spacing w:val="-1"/>
          <w:sz w:val="20"/>
          <w:vertAlign w:val="baseline"/>
        </w:rPr>
        <w:t> </w:t>
      </w:r>
      <w:r>
        <w:rPr>
          <w:color w:val="231F20"/>
          <w:sz w:val="20"/>
          <w:vertAlign w:val="baseline"/>
        </w:rPr>
        <w:t>aurait</w:t>
      </w:r>
      <w:r>
        <w:rPr>
          <w:color w:val="231F20"/>
          <w:spacing w:val="-1"/>
          <w:sz w:val="20"/>
          <w:vertAlign w:val="baseline"/>
        </w:rPr>
        <w:t> </w:t>
      </w:r>
      <w:r>
        <w:rPr>
          <w:color w:val="231F20"/>
          <w:sz w:val="20"/>
          <w:vertAlign w:val="baseline"/>
        </w:rPr>
        <w:t>entraîné la mort</w:t>
      </w:r>
      <w:r>
        <w:rPr>
          <w:color w:val="231F20"/>
          <w:spacing w:val="-1"/>
          <w:sz w:val="20"/>
          <w:vertAlign w:val="baseline"/>
        </w:rPr>
        <w:t> </w:t>
      </w:r>
      <w:r>
        <w:rPr>
          <w:color w:val="231F20"/>
          <w:sz w:val="20"/>
          <w:vertAlign w:val="baseline"/>
        </w:rPr>
        <w:t>et</w:t>
      </w:r>
      <w:r>
        <w:rPr>
          <w:color w:val="231F20"/>
          <w:spacing w:val="-4"/>
          <w:sz w:val="20"/>
          <w:vertAlign w:val="baseline"/>
        </w:rPr>
        <w:t> </w:t>
      </w:r>
      <w:r>
        <w:rPr>
          <w:color w:val="231F20"/>
          <w:sz w:val="20"/>
          <w:vertAlign w:val="baseline"/>
        </w:rPr>
        <w:t>le</w:t>
      </w:r>
      <w:r>
        <w:rPr>
          <w:color w:val="231F20"/>
          <w:spacing w:val="-4"/>
          <w:sz w:val="20"/>
          <w:vertAlign w:val="baseline"/>
        </w:rPr>
        <w:t> </w:t>
      </w:r>
      <w:r>
        <w:rPr>
          <w:color w:val="231F20"/>
          <w:sz w:val="20"/>
          <w:vertAlign w:val="baseline"/>
        </w:rPr>
        <w:t>déplacement</w:t>
      </w:r>
      <w:r>
        <w:rPr>
          <w:color w:val="231F20"/>
          <w:spacing w:val="-4"/>
          <w:sz w:val="20"/>
          <w:vertAlign w:val="baseline"/>
        </w:rPr>
        <w:t> </w:t>
      </w:r>
      <w:r>
        <w:rPr>
          <w:color w:val="231F20"/>
          <w:sz w:val="20"/>
          <w:vertAlign w:val="baseline"/>
        </w:rPr>
        <w:t>d'un</w:t>
      </w:r>
      <w:r>
        <w:rPr>
          <w:color w:val="231F20"/>
          <w:spacing w:val="-1"/>
          <w:sz w:val="20"/>
          <w:vertAlign w:val="baseline"/>
        </w:rPr>
        <w:t> </w:t>
      </w:r>
      <w:r>
        <w:rPr>
          <w:color w:val="231F20"/>
          <w:sz w:val="20"/>
          <w:vertAlign w:val="baseline"/>
        </w:rPr>
        <w:t>à</w:t>
      </w:r>
      <w:r>
        <w:rPr>
          <w:color w:val="231F20"/>
          <w:spacing w:val="-4"/>
          <w:sz w:val="20"/>
          <w:vertAlign w:val="baseline"/>
        </w:rPr>
        <w:t> </w:t>
      </w:r>
      <w:r>
        <w:rPr>
          <w:color w:val="231F20"/>
          <w:sz w:val="20"/>
          <w:vertAlign w:val="baseline"/>
        </w:rPr>
        <w:t>deux</w:t>
      </w:r>
      <w:r>
        <w:rPr>
          <w:color w:val="231F20"/>
          <w:spacing w:val="-3"/>
          <w:sz w:val="20"/>
          <w:vertAlign w:val="baseline"/>
        </w:rPr>
        <w:t> </w:t>
      </w:r>
      <w:r>
        <w:rPr>
          <w:color w:val="231F20"/>
          <w:sz w:val="20"/>
          <w:vertAlign w:val="baseline"/>
        </w:rPr>
        <w:t>millions</w:t>
      </w:r>
      <w:r>
        <w:rPr>
          <w:color w:val="231F20"/>
          <w:spacing w:val="-5"/>
          <w:sz w:val="20"/>
          <w:vertAlign w:val="baseline"/>
        </w:rPr>
        <w:t> </w:t>
      </w:r>
      <w:r>
        <w:rPr>
          <w:color w:val="231F20"/>
          <w:sz w:val="20"/>
          <w:vertAlign w:val="baseline"/>
        </w:rPr>
        <w:t>de</w:t>
      </w:r>
      <w:r>
        <w:rPr>
          <w:color w:val="231F20"/>
          <w:spacing w:val="-4"/>
          <w:sz w:val="20"/>
          <w:vertAlign w:val="baseline"/>
        </w:rPr>
        <w:t> </w:t>
      </w:r>
      <w:r>
        <w:rPr>
          <w:color w:val="231F20"/>
          <w:sz w:val="20"/>
          <w:vertAlign w:val="baseline"/>
        </w:rPr>
        <w:t>personnes.</w:t>
      </w:r>
    </w:p>
    <w:p>
      <w:pPr>
        <w:spacing w:after="0"/>
        <w:jc w:val="both"/>
        <w:rPr>
          <w:sz w:val="20"/>
        </w:rPr>
        <w:sectPr>
          <w:pgSz w:w="8790" w:h="13610"/>
          <w:pgMar w:header="0" w:footer="802" w:top="1060" w:bottom="1000" w:left="880" w:right="880"/>
        </w:sectPr>
      </w:pPr>
    </w:p>
    <w:p>
      <w:pPr>
        <w:pStyle w:val="BodyText"/>
        <w:spacing w:before="66"/>
        <w:ind w:right="106"/>
      </w:pPr>
      <w:r>
        <w:rPr>
          <w:color w:val="231F20"/>
          <w:spacing w:val="-4"/>
        </w:rPr>
        <w:t>dépêchée.</w:t>
      </w:r>
      <w:r>
        <w:rPr>
          <w:color w:val="231F20"/>
          <w:spacing w:val="-6"/>
        </w:rPr>
        <w:t> </w:t>
      </w:r>
      <w:r>
        <w:rPr>
          <w:color w:val="231F20"/>
          <w:spacing w:val="-4"/>
        </w:rPr>
        <w:t>Des</w:t>
      </w:r>
      <w:r>
        <w:rPr>
          <w:color w:val="231F20"/>
          <w:spacing w:val="-6"/>
        </w:rPr>
        <w:t> </w:t>
      </w:r>
      <w:r>
        <w:rPr>
          <w:color w:val="231F20"/>
          <w:spacing w:val="-4"/>
        </w:rPr>
        <w:t>combats</w:t>
      </w:r>
      <w:r>
        <w:rPr>
          <w:color w:val="231F20"/>
          <w:spacing w:val="-6"/>
        </w:rPr>
        <w:t> </w:t>
      </w:r>
      <w:r>
        <w:rPr>
          <w:color w:val="231F20"/>
          <w:spacing w:val="-4"/>
        </w:rPr>
        <w:t>entre</w:t>
      </w:r>
      <w:r>
        <w:rPr>
          <w:color w:val="231F20"/>
          <w:spacing w:val="-8"/>
        </w:rPr>
        <w:t> </w:t>
      </w:r>
      <w:r>
        <w:rPr>
          <w:color w:val="231F20"/>
          <w:spacing w:val="-4"/>
        </w:rPr>
        <w:t>les</w:t>
      </w:r>
      <w:r>
        <w:rPr>
          <w:color w:val="231F20"/>
          <w:spacing w:val="-6"/>
        </w:rPr>
        <w:t> </w:t>
      </w:r>
      <w:r>
        <w:rPr>
          <w:color w:val="231F20"/>
          <w:spacing w:val="-4"/>
        </w:rPr>
        <w:t>partisans</w:t>
      </w:r>
      <w:r>
        <w:rPr>
          <w:color w:val="231F20"/>
          <w:spacing w:val="-6"/>
        </w:rPr>
        <w:t> </w:t>
      </w:r>
      <w:r>
        <w:rPr>
          <w:color w:val="231F20"/>
          <w:spacing w:val="-4"/>
        </w:rPr>
        <w:t>de</w:t>
      </w:r>
      <w:r>
        <w:rPr>
          <w:color w:val="231F20"/>
          <w:spacing w:val="-8"/>
        </w:rPr>
        <w:t> </w:t>
      </w:r>
      <w:r>
        <w:rPr>
          <w:color w:val="231F20"/>
          <w:spacing w:val="-4"/>
        </w:rPr>
        <w:t>Kragbé</w:t>
      </w:r>
      <w:r>
        <w:rPr>
          <w:color w:val="231F20"/>
          <w:spacing w:val="-11"/>
        </w:rPr>
        <w:t> </w:t>
      </w:r>
      <w:r>
        <w:rPr>
          <w:color w:val="231F20"/>
          <w:spacing w:val="-4"/>
        </w:rPr>
        <w:t>Gnagbé</w:t>
      </w:r>
      <w:r>
        <w:rPr>
          <w:color w:val="231F20"/>
          <w:spacing w:val="-8"/>
        </w:rPr>
        <w:t> </w:t>
      </w:r>
      <w:r>
        <w:rPr>
          <w:color w:val="231F20"/>
          <w:spacing w:val="-4"/>
        </w:rPr>
        <w:t>et</w:t>
      </w:r>
      <w:r>
        <w:rPr>
          <w:color w:val="231F20"/>
          <w:spacing w:val="-5"/>
        </w:rPr>
        <w:t> </w:t>
      </w:r>
      <w:r>
        <w:rPr>
          <w:color w:val="231F20"/>
          <w:spacing w:val="-4"/>
        </w:rPr>
        <w:t>les</w:t>
      </w:r>
      <w:r>
        <w:rPr>
          <w:color w:val="231F20"/>
          <w:spacing w:val="-8"/>
        </w:rPr>
        <w:t> </w:t>
      </w:r>
      <w:r>
        <w:rPr>
          <w:color w:val="231F20"/>
          <w:spacing w:val="-4"/>
        </w:rPr>
        <w:t>forces </w:t>
      </w:r>
      <w:r>
        <w:rPr>
          <w:color w:val="231F20"/>
        </w:rPr>
        <w:t>de l’ordre font</w:t>
      </w:r>
      <w:r>
        <w:rPr>
          <w:color w:val="231F20"/>
          <w:spacing w:val="-1"/>
        </w:rPr>
        <w:t> </w:t>
      </w:r>
      <w:r>
        <w:rPr>
          <w:color w:val="231F20"/>
        </w:rPr>
        <w:t>des centaines de</w:t>
      </w:r>
      <w:r>
        <w:rPr>
          <w:color w:val="231F20"/>
          <w:spacing w:val="-2"/>
        </w:rPr>
        <w:t> </w:t>
      </w:r>
      <w:r>
        <w:rPr>
          <w:color w:val="231F20"/>
        </w:rPr>
        <w:t>morts.</w:t>
      </w:r>
      <w:r>
        <w:rPr>
          <w:color w:val="231F20"/>
          <w:spacing w:val="-2"/>
        </w:rPr>
        <w:t> </w:t>
      </w:r>
      <w:r>
        <w:rPr>
          <w:color w:val="231F20"/>
        </w:rPr>
        <w:t>Pourchassé, Kragbé Gnagbé est finalement abattu par l’Armée.</w:t>
      </w:r>
    </w:p>
    <w:p>
      <w:pPr>
        <w:pStyle w:val="BodyText"/>
        <w:spacing w:before="120"/>
        <w:ind w:right="103" w:firstLine="283"/>
      </w:pPr>
      <w:r>
        <w:rPr>
          <w:color w:val="231F20"/>
        </w:rPr>
        <w:t>Dans</w:t>
      </w:r>
      <w:r>
        <w:rPr>
          <w:color w:val="231F20"/>
          <w:spacing w:val="-13"/>
        </w:rPr>
        <w:t> </w:t>
      </w:r>
      <w:r>
        <w:rPr>
          <w:color w:val="231F20"/>
        </w:rPr>
        <w:t>la</w:t>
      </w:r>
      <w:r>
        <w:rPr>
          <w:color w:val="231F20"/>
          <w:spacing w:val="-12"/>
        </w:rPr>
        <w:t> </w:t>
      </w:r>
      <w:r>
        <w:rPr>
          <w:color w:val="231F20"/>
        </w:rPr>
        <w:t>décennie</w:t>
      </w:r>
      <w:r>
        <w:rPr>
          <w:color w:val="231F20"/>
          <w:spacing w:val="-13"/>
        </w:rPr>
        <w:t> </w:t>
      </w:r>
      <w:r>
        <w:rPr>
          <w:color w:val="231F20"/>
        </w:rPr>
        <w:t>post</w:t>
      </w:r>
      <w:r>
        <w:rPr>
          <w:color w:val="231F20"/>
          <w:spacing w:val="-15"/>
        </w:rPr>
        <w:t> </w:t>
      </w:r>
      <w:r>
        <w:rPr>
          <w:color w:val="231F20"/>
        </w:rPr>
        <w:t>indépendance,</w:t>
      </w:r>
      <w:r>
        <w:rPr>
          <w:color w:val="231F20"/>
          <w:spacing w:val="-13"/>
        </w:rPr>
        <w:t> </w:t>
      </w:r>
      <w:r>
        <w:rPr>
          <w:color w:val="231F20"/>
        </w:rPr>
        <w:t>la</w:t>
      </w:r>
      <w:r>
        <w:rPr>
          <w:color w:val="231F20"/>
          <w:spacing w:val="-13"/>
        </w:rPr>
        <w:t> </w:t>
      </w:r>
      <w:r>
        <w:rPr>
          <w:color w:val="231F20"/>
        </w:rPr>
        <w:t>Côte</w:t>
      </w:r>
      <w:r>
        <w:rPr>
          <w:color w:val="231F20"/>
          <w:spacing w:val="-13"/>
        </w:rPr>
        <w:t> </w:t>
      </w:r>
      <w:r>
        <w:rPr>
          <w:color w:val="231F20"/>
        </w:rPr>
        <w:t>d’Ivoire</w:t>
      </w:r>
      <w:r>
        <w:rPr>
          <w:color w:val="231F20"/>
          <w:spacing w:val="-13"/>
        </w:rPr>
        <w:t> </w:t>
      </w:r>
      <w:r>
        <w:rPr>
          <w:color w:val="231F20"/>
        </w:rPr>
        <w:t>devient</w:t>
      </w:r>
      <w:r>
        <w:rPr>
          <w:color w:val="231F20"/>
          <w:spacing w:val="-13"/>
        </w:rPr>
        <w:t> </w:t>
      </w:r>
      <w:r>
        <w:rPr>
          <w:color w:val="231F20"/>
        </w:rPr>
        <w:t>le</w:t>
      </w:r>
      <w:r>
        <w:rPr>
          <w:color w:val="231F20"/>
          <w:spacing w:val="-13"/>
        </w:rPr>
        <w:t> </w:t>
      </w:r>
      <w:r>
        <w:rPr>
          <w:color w:val="231F20"/>
        </w:rPr>
        <w:t>pays d’immigration pour les ressortissants de l’Afrique de l’Ouest. Il y a d’abord, d’anciens travailleurs de l’AOF mutés à Abidjan par l’Administration coloniale qui préfèrent y rester nonobstant </w:t>
      </w:r>
      <w:r>
        <w:rPr>
          <w:color w:val="231F20"/>
          <w:spacing w:val="-2"/>
        </w:rPr>
        <w:t>l’indépendance</w:t>
      </w:r>
      <w:r>
        <w:rPr>
          <w:color w:val="231F20"/>
          <w:spacing w:val="-13"/>
        </w:rPr>
        <w:t> </w:t>
      </w:r>
      <w:r>
        <w:rPr>
          <w:color w:val="231F20"/>
          <w:spacing w:val="-2"/>
        </w:rPr>
        <w:t>de</w:t>
      </w:r>
      <w:r>
        <w:rPr>
          <w:color w:val="231F20"/>
          <w:spacing w:val="-10"/>
        </w:rPr>
        <w:t> </w:t>
      </w:r>
      <w:r>
        <w:rPr>
          <w:color w:val="231F20"/>
          <w:spacing w:val="-2"/>
        </w:rPr>
        <w:t>leur</w:t>
      </w:r>
      <w:r>
        <w:rPr>
          <w:color w:val="231F20"/>
          <w:spacing w:val="-9"/>
        </w:rPr>
        <w:t> </w:t>
      </w:r>
      <w:r>
        <w:rPr>
          <w:color w:val="231F20"/>
          <w:spacing w:val="-2"/>
        </w:rPr>
        <w:t>pays</w:t>
      </w:r>
      <w:r>
        <w:rPr>
          <w:color w:val="231F20"/>
          <w:spacing w:val="-9"/>
        </w:rPr>
        <w:t> </w:t>
      </w:r>
      <w:r>
        <w:rPr>
          <w:color w:val="231F20"/>
          <w:spacing w:val="-2"/>
        </w:rPr>
        <w:t>d’origine</w:t>
      </w:r>
      <w:r>
        <w:rPr>
          <w:color w:val="231F20"/>
          <w:spacing w:val="-13"/>
        </w:rPr>
        <w:t> </w:t>
      </w:r>
      <w:r>
        <w:rPr>
          <w:color w:val="231F20"/>
          <w:spacing w:val="-2"/>
        </w:rPr>
        <w:t>:</w:t>
      </w:r>
      <w:r>
        <w:rPr>
          <w:color w:val="231F20"/>
          <w:spacing w:val="-10"/>
        </w:rPr>
        <w:t> </w:t>
      </w:r>
      <w:r>
        <w:rPr>
          <w:color w:val="231F20"/>
          <w:spacing w:val="-2"/>
        </w:rPr>
        <w:t>Sénégalais,</w:t>
      </w:r>
      <w:r>
        <w:rPr>
          <w:color w:val="231F20"/>
          <w:spacing w:val="-13"/>
        </w:rPr>
        <w:t> </w:t>
      </w:r>
      <w:r>
        <w:rPr>
          <w:color w:val="231F20"/>
          <w:spacing w:val="-2"/>
        </w:rPr>
        <w:t>Maliens,</w:t>
      </w:r>
      <w:r>
        <w:rPr>
          <w:color w:val="231F20"/>
          <w:spacing w:val="-9"/>
        </w:rPr>
        <w:t> </w:t>
      </w:r>
      <w:r>
        <w:rPr>
          <w:color w:val="231F20"/>
          <w:spacing w:val="-2"/>
        </w:rPr>
        <w:t>Dahoméens </w:t>
      </w:r>
      <w:r>
        <w:rPr>
          <w:color w:val="231F20"/>
          <w:spacing w:val="-4"/>
        </w:rPr>
        <w:t>ou</w:t>
      </w:r>
      <w:r>
        <w:rPr>
          <w:color w:val="231F20"/>
          <w:spacing w:val="-11"/>
        </w:rPr>
        <w:t> </w:t>
      </w:r>
      <w:r>
        <w:rPr>
          <w:color w:val="231F20"/>
          <w:spacing w:val="-4"/>
        </w:rPr>
        <w:t>encore</w:t>
      </w:r>
      <w:r>
        <w:rPr>
          <w:color w:val="231F20"/>
          <w:spacing w:val="-11"/>
        </w:rPr>
        <w:t> </w:t>
      </w:r>
      <w:r>
        <w:rPr>
          <w:color w:val="231F20"/>
          <w:spacing w:val="-4"/>
        </w:rPr>
        <w:t>Guinéens.</w:t>
      </w:r>
      <w:r>
        <w:rPr>
          <w:color w:val="231F20"/>
          <w:spacing w:val="-11"/>
        </w:rPr>
        <w:t> </w:t>
      </w:r>
      <w:r>
        <w:rPr>
          <w:color w:val="231F20"/>
          <w:spacing w:val="-4"/>
        </w:rPr>
        <w:t>S’y</w:t>
      </w:r>
      <w:r>
        <w:rPr>
          <w:color w:val="231F20"/>
          <w:spacing w:val="-11"/>
        </w:rPr>
        <w:t> </w:t>
      </w:r>
      <w:r>
        <w:rPr>
          <w:color w:val="231F20"/>
          <w:spacing w:val="-4"/>
        </w:rPr>
        <w:t>trouve</w:t>
      </w:r>
      <w:r>
        <w:rPr>
          <w:color w:val="231F20"/>
          <w:spacing w:val="-11"/>
        </w:rPr>
        <w:t> </w:t>
      </w:r>
      <w:r>
        <w:rPr>
          <w:color w:val="231F20"/>
          <w:spacing w:val="-4"/>
        </w:rPr>
        <w:t>aussi,</w:t>
      </w:r>
      <w:r>
        <w:rPr>
          <w:color w:val="231F20"/>
          <w:spacing w:val="-11"/>
        </w:rPr>
        <w:t> </w:t>
      </w:r>
      <w:r>
        <w:rPr>
          <w:color w:val="231F20"/>
          <w:spacing w:val="-4"/>
        </w:rPr>
        <w:t>une</w:t>
      </w:r>
      <w:r>
        <w:rPr>
          <w:color w:val="231F20"/>
          <w:spacing w:val="-11"/>
        </w:rPr>
        <w:t> </w:t>
      </w:r>
      <w:r>
        <w:rPr>
          <w:color w:val="231F20"/>
          <w:spacing w:val="-4"/>
        </w:rPr>
        <w:t>forte</w:t>
      </w:r>
      <w:r>
        <w:rPr>
          <w:color w:val="231F20"/>
          <w:spacing w:val="-10"/>
        </w:rPr>
        <w:t> </w:t>
      </w:r>
      <w:r>
        <w:rPr>
          <w:color w:val="231F20"/>
          <w:spacing w:val="-4"/>
        </w:rPr>
        <w:t>main-d’œuvre</w:t>
      </w:r>
      <w:r>
        <w:rPr>
          <w:color w:val="231F20"/>
          <w:spacing w:val="-11"/>
        </w:rPr>
        <w:t> </w:t>
      </w:r>
      <w:r>
        <w:rPr>
          <w:color w:val="231F20"/>
          <w:spacing w:val="-4"/>
        </w:rPr>
        <w:t>burkinabé</w:t>
      </w:r>
      <w:r>
        <w:rPr>
          <w:color w:val="231F20"/>
          <w:spacing w:val="2"/>
        </w:rPr>
        <w:t> </w:t>
      </w:r>
      <w:r>
        <w:rPr>
          <w:color w:val="231F20"/>
          <w:spacing w:val="-4"/>
        </w:rPr>
        <w:t>: </w:t>
      </w:r>
      <w:r>
        <w:rPr>
          <w:color w:val="231F20"/>
          <w:spacing w:val="-2"/>
        </w:rPr>
        <w:t>personnel</w:t>
      </w:r>
      <w:r>
        <w:rPr>
          <w:color w:val="231F20"/>
          <w:spacing w:val="-15"/>
        </w:rPr>
        <w:t> </w:t>
      </w:r>
      <w:r>
        <w:rPr>
          <w:color w:val="231F20"/>
          <w:spacing w:val="-2"/>
        </w:rPr>
        <w:t>de</w:t>
      </w:r>
      <w:r>
        <w:rPr>
          <w:color w:val="231F20"/>
          <w:spacing w:val="-13"/>
        </w:rPr>
        <w:t> </w:t>
      </w:r>
      <w:r>
        <w:rPr>
          <w:color w:val="231F20"/>
          <w:spacing w:val="-2"/>
        </w:rPr>
        <w:t>maison</w:t>
      </w:r>
      <w:r>
        <w:rPr>
          <w:color w:val="231F20"/>
          <w:spacing w:val="-13"/>
        </w:rPr>
        <w:t> </w:t>
      </w:r>
      <w:r>
        <w:rPr>
          <w:color w:val="231F20"/>
          <w:spacing w:val="-2"/>
        </w:rPr>
        <w:t>(technicien</w:t>
      </w:r>
      <w:r>
        <w:rPr>
          <w:color w:val="231F20"/>
          <w:spacing w:val="-13"/>
        </w:rPr>
        <w:t> </w:t>
      </w:r>
      <w:r>
        <w:rPr>
          <w:color w:val="231F20"/>
          <w:spacing w:val="-2"/>
        </w:rPr>
        <w:t>de</w:t>
      </w:r>
      <w:r>
        <w:rPr>
          <w:color w:val="231F20"/>
          <w:spacing w:val="-13"/>
        </w:rPr>
        <w:t> </w:t>
      </w:r>
      <w:r>
        <w:rPr>
          <w:color w:val="231F20"/>
          <w:spacing w:val="-2"/>
        </w:rPr>
        <w:t>surface,</w:t>
      </w:r>
      <w:r>
        <w:rPr>
          <w:color w:val="231F20"/>
          <w:spacing w:val="-13"/>
        </w:rPr>
        <w:t> </w:t>
      </w:r>
      <w:r>
        <w:rPr>
          <w:color w:val="231F20"/>
          <w:spacing w:val="-2"/>
        </w:rPr>
        <w:t>cuisiniers,</w:t>
      </w:r>
      <w:r>
        <w:rPr>
          <w:color w:val="231F20"/>
          <w:spacing w:val="-13"/>
        </w:rPr>
        <w:t> </w:t>
      </w:r>
      <w:r>
        <w:rPr>
          <w:color w:val="231F20"/>
          <w:spacing w:val="-2"/>
        </w:rPr>
        <w:t>vigiles)</w:t>
      </w:r>
      <w:r>
        <w:rPr>
          <w:color w:val="231F20"/>
          <w:spacing w:val="-13"/>
        </w:rPr>
        <w:t> </w:t>
      </w:r>
      <w:r>
        <w:rPr>
          <w:color w:val="231F20"/>
          <w:spacing w:val="-2"/>
        </w:rPr>
        <w:t>et</w:t>
      </w:r>
      <w:r>
        <w:rPr>
          <w:color w:val="231F20"/>
          <w:spacing w:val="-13"/>
        </w:rPr>
        <w:t> </w:t>
      </w:r>
      <w:r>
        <w:rPr>
          <w:color w:val="231F20"/>
          <w:spacing w:val="-2"/>
        </w:rPr>
        <w:t>surtout, </w:t>
      </w:r>
      <w:r>
        <w:rPr>
          <w:color w:val="231F20"/>
        </w:rPr>
        <w:t>ouvriers agricoles nécessaires à la mise en œuvre et à l’entretien des </w:t>
      </w:r>
      <w:r>
        <w:rPr>
          <w:color w:val="231F20"/>
          <w:spacing w:val="-2"/>
        </w:rPr>
        <w:t>plantations.</w:t>
      </w:r>
    </w:p>
    <w:p>
      <w:pPr>
        <w:pStyle w:val="BodyText"/>
        <w:spacing w:before="241"/>
        <w:ind w:left="0"/>
        <w:jc w:val="left"/>
      </w:pPr>
    </w:p>
    <w:p>
      <w:pPr>
        <w:pStyle w:val="Heading3"/>
        <w:spacing w:before="1"/>
        <w:rPr>
          <w:i/>
        </w:rPr>
      </w:pPr>
      <w:bookmarkStart w:name="_TOC_250027" w:id="16"/>
      <w:r>
        <w:rPr>
          <w:i/>
          <w:color w:val="231F20"/>
          <w:spacing w:val="-2"/>
        </w:rPr>
        <w:t>Les</w:t>
      </w:r>
      <w:r>
        <w:rPr>
          <w:i/>
          <w:color w:val="231F20"/>
          <w:spacing w:val="-8"/>
        </w:rPr>
        <w:t> </w:t>
      </w:r>
      <w:r>
        <w:rPr>
          <w:i/>
          <w:color w:val="231F20"/>
          <w:spacing w:val="-2"/>
        </w:rPr>
        <w:t>«</w:t>
      </w:r>
      <w:r>
        <w:rPr>
          <w:i/>
          <w:color w:val="231F20"/>
          <w:spacing w:val="-9"/>
        </w:rPr>
        <w:t> </w:t>
      </w:r>
      <w:r>
        <w:rPr>
          <w:i/>
          <w:color w:val="231F20"/>
          <w:spacing w:val="-2"/>
        </w:rPr>
        <w:t>bulldozers</w:t>
      </w:r>
      <w:r>
        <w:rPr>
          <w:i/>
          <w:color w:val="231F20"/>
          <w:spacing w:val="-7"/>
        </w:rPr>
        <w:t> </w:t>
      </w:r>
      <w:r>
        <w:rPr>
          <w:i/>
          <w:color w:val="231F20"/>
          <w:spacing w:val="-2"/>
        </w:rPr>
        <w:t>de</w:t>
      </w:r>
      <w:r>
        <w:rPr>
          <w:i/>
          <w:color w:val="231F20"/>
          <w:spacing w:val="-9"/>
        </w:rPr>
        <w:t> </w:t>
      </w:r>
      <w:r>
        <w:rPr>
          <w:i/>
          <w:color w:val="231F20"/>
          <w:spacing w:val="-2"/>
        </w:rPr>
        <w:t>la</w:t>
      </w:r>
      <w:r>
        <w:rPr>
          <w:i/>
          <w:color w:val="231F20"/>
          <w:spacing w:val="-6"/>
        </w:rPr>
        <w:t> </w:t>
      </w:r>
      <w:r>
        <w:rPr>
          <w:i/>
          <w:color w:val="231F20"/>
          <w:spacing w:val="-2"/>
        </w:rPr>
        <w:t>forêt</w:t>
      </w:r>
      <w:r>
        <w:rPr>
          <w:i/>
          <w:color w:val="231F20"/>
          <w:spacing w:val="-6"/>
        </w:rPr>
        <w:t> </w:t>
      </w:r>
      <w:bookmarkEnd w:id="16"/>
      <w:r>
        <w:rPr>
          <w:i/>
          <w:color w:val="231F20"/>
          <w:spacing w:val="-10"/>
        </w:rPr>
        <w:t>»</w:t>
      </w:r>
    </w:p>
    <w:p>
      <w:pPr>
        <w:pStyle w:val="BodyText"/>
        <w:spacing w:before="255"/>
        <w:ind w:right="106" w:firstLine="283"/>
      </w:pPr>
      <w:r>
        <w:rPr>
          <w:color w:val="231F20"/>
          <w:spacing w:val="-2"/>
        </w:rPr>
        <w:t>Lorsqu’</w:t>
      </w:r>
      <w:r>
        <w:rPr>
          <w:color w:val="231F20"/>
          <w:spacing w:val="-11"/>
        </w:rPr>
        <w:t> </w:t>
      </w:r>
      <w:r>
        <w:rPr>
          <w:color w:val="231F20"/>
          <w:spacing w:val="-2"/>
        </w:rPr>
        <w:t>en</w:t>
      </w:r>
      <w:r>
        <w:rPr>
          <w:color w:val="231F20"/>
          <w:spacing w:val="-8"/>
        </w:rPr>
        <w:t> </w:t>
      </w:r>
      <w:r>
        <w:rPr>
          <w:color w:val="231F20"/>
          <w:spacing w:val="-2"/>
        </w:rPr>
        <w:t>1932,</w:t>
      </w:r>
      <w:r>
        <w:rPr>
          <w:color w:val="231F20"/>
          <w:spacing w:val="-10"/>
        </w:rPr>
        <w:t> </w:t>
      </w:r>
      <w:r>
        <w:rPr>
          <w:color w:val="231F20"/>
          <w:spacing w:val="-2"/>
        </w:rPr>
        <w:t>la</w:t>
      </w:r>
      <w:r>
        <w:rPr>
          <w:color w:val="231F20"/>
          <w:spacing w:val="-11"/>
        </w:rPr>
        <w:t> </w:t>
      </w:r>
      <w:r>
        <w:rPr>
          <w:color w:val="231F20"/>
          <w:spacing w:val="-2"/>
        </w:rPr>
        <w:t>Haute</w:t>
      </w:r>
      <w:r>
        <w:rPr>
          <w:color w:val="231F20"/>
          <w:spacing w:val="-11"/>
        </w:rPr>
        <w:t> </w:t>
      </w:r>
      <w:r>
        <w:rPr>
          <w:color w:val="231F20"/>
          <w:spacing w:val="-2"/>
        </w:rPr>
        <w:t>Volta</w:t>
      </w:r>
      <w:r>
        <w:rPr>
          <w:color w:val="231F20"/>
          <w:spacing w:val="-8"/>
        </w:rPr>
        <w:t> </w:t>
      </w:r>
      <w:r>
        <w:rPr>
          <w:color w:val="231F20"/>
          <w:spacing w:val="-2"/>
        </w:rPr>
        <w:t>fût</w:t>
      </w:r>
      <w:r>
        <w:rPr>
          <w:color w:val="231F20"/>
          <w:spacing w:val="-8"/>
        </w:rPr>
        <w:t> </w:t>
      </w:r>
      <w:r>
        <w:rPr>
          <w:color w:val="231F20"/>
          <w:spacing w:val="-2"/>
        </w:rPr>
        <w:t>dissoute</w:t>
      </w:r>
      <w:r>
        <w:rPr>
          <w:color w:val="231F20"/>
          <w:spacing w:val="-11"/>
        </w:rPr>
        <w:t> </w:t>
      </w:r>
      <w:r>
        <w:rPr>
          <w:color w:val="231F20"/>
          <w:spacing w:val="-2"/>
        </w:rPr>
        <w:t>dans</w:t>
      </w:r>
      <w:r>
        <w:rPr>
          <w:color w:val="231F20"/>
          <w:spacing w:val="-10"/>
        </w:rPr>
        <w:t> </w:t>
      </w:r>
      <w:r>
        <w:rPr>
          <w:color w:val="231F20"/>
          <w:spacing w:val="-2"/>
        </w:rPr>
        <w:t>le</w:t>
      </w:r>
      <w:r>
        <w:rPr>
          <w:color w:val="231F20"/>
          <w:spacing w:val="-11"/>
        </w:rPr>
        <w:t> </w:t>
      </w:r>
      <w:r>
        <w:rPr>
          <w:color w:val="231F20"/>
          <w:spacing w:val="-2"/>
        </w:rPr>
        <w:t>but</w:t>
      </w:r>
      <w:r>
        <w:rPr>
          <w:color w:val="231F20"/>
          <w:spacing w:val="-9"/>
        </w:rPr>
        <w:t> </w:t>
      </w:r>
      <w:r>
        <w:rPr>
          <w:color w:val="231F20"/>
          <w:spacing w:val="-2"/>
        </w:rPr>
        <w:t>de</w:t>
      </w:r>
      <w:r>
        <w:rPr>
          <w:color w:val="231F20"/>
          <w:spacing w:val="-10"/>
        </w:rPr>
        <w:t> </w:t>
      </w:r>
      <w:r>
        <w:rPr>
          <w:color w:val="231F20"/>
          <w:spacing w:val="-2"/>
        </w:rPr>
        <w:t>mettre</w:t>
      </w:r>
      <w:r>
        <w:rPr>
          <w:color w:val="231F20"/>
          <w:spacing w:val="-8"/>
        </w:rPr>
        <w:t> </w:t>
      </w:r>
      <w:r>
        <w:rPr>
          <w:color w:val="231F20"/>
          <w:spacing w:val="-2"/>
        </w:rPr>
        <w:t>à</w:t>
      </w:r>
      <w:r>
        <w:rPr>
          <w:color w:val="231F20"/>
          <w:spacing w:val="-10"/>
        </w:rPr>
        <w:t> </w:t>
      </w:r>
      <w:r>
        <w:rPr>
          <w:color w:val="231F20"/>
          <w:spacing w:val="-2"/>
        </w:rPr>
        <w:t>la </w:t>
      </w:r>
      <w:r>
        <w:rPr>
          <w:color w:val="231F20"/>
          <w:spacing w:val="-4"/>
        </w:rPr>
        <w:t>disposition</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Côte</w:t>
      </w:r>
      <w:r>
        <w:rPr>
          <w:color w:val="231F20"/>
          <w:spacing w:val="-11"/>
        </w:rPr>
        <w:t> </w:t>
      </w:r>
      <w:r>
        <w:rPr>
          <w:color w:val="231F20"/>
          <w:spacing w:val="-4"/>
        </w:rPr>
        <w:t>d’ivoire</w:t>
      </w:r>
      <w:r>
        <w:rPr>
          <w:color w:val="231F20"/>
          <w:spacing w:val="-11"/>
        </w:rPr>
        <w:t> </w:t>
      </w:r>
      <w:r>
        <w:rPr>
          <w:color w:val="231F20"/>
          <w:spacing w:val="-4"/>
        </w:rPr>
        <w:t>une</w:t>
      </w:r>
      <w:r>
        <w:rPr>
          <w:color w:val="231F20"/>
          <w:spacing w:val="-11"/>
        </w:rPr>
        <w:t> </w:t>
      </w:r>
      <w:r>
        <w:rPr>
          <w:color w:val="231F20"/>
          <w:spacing w:val="-4"/>
        </w:rPr>
        <w:t>main</w:t>
      </w:r>
      <w:r>
        <w:rPr>
          <w:color w:val="231F20"/>
          <w:spacing w:val="-11"/>
        </w:rPr>
        <w:t> </w:t>
      </w:r>
      <w:r>
        <w:rPr>
          <w:color w:val="231F20"/>
          <w:spacing w:val="-4"/>
        </w:rPr>
        <w:t>d’œuvre</w:t>
      </w:r>
      <w:r>
        <w:rPr>
          <w:color w:val="231F20"/>
          <w:spacing w:val="-11"/>
        </w:rPr>
        <w:t> </w:t>
      </w:r>
      <w:r>
        <w:rPr>
          <w:color w:val="231F20"/>
          <w:spacing w:val="-4"/>
        </w:rPr>
        <w:t>abondante</w:t>
      </w:r>
      <w:r>
        <w:rPr>
          <w:color w:val="231F20"/>
          <w:spacing w:val="-11"/>
        </w:rPr>
        <w:t> </w:t>
      </w:r>
      <w:r>
        <w:rPr>
          <w:color w:val="231F20"/>
          <w:spacing w:val="-4"/>
        </w:rPr>
        <w:t>et</w:t>
      </w:r>
      <w:r>
        <w:rPr>
          <w:color w:val="231F20"/>
          <w:spacing w:val="-11"/>
        </w:rPr>
        <w:t> </w:t>
      </w:r>
      <w:r>
        <w:rPr>
          <w:color w:val="231F20"/>
          <w:spacing w:val="-4"/>
        </w:rPr>
        <w:t>disciplinée, </w:t>
      </w:r>
      <w:r>
        <w:rPr>
          <w:color w:val="231F20"/>
        </w:rPr>
        <w:t>plus</w:t>
      </w:r>
      <w:r>
        <w:rPr>
          <w:color w:val="231F20"/>
          <w:spacing w:val="-15"/>
        </w:rPr>
        <w:t> </w:t>
      </w:r>
      <w:r>
        <w:rPr>
          <w:color w:val="231F20"/>
        </w:rPr>
        <w:t>de</w:t>
      </w:r>
      <w:r>
        <w:rPr>
          <w:color w:val="231F20"/>
          <w:spacing w:val="-13"/>
        </w:rPr>
        <w:t> </w:t>
      </w:r>
      <w:r>
        <w:rPr>
          <w:color w:val="231F20"/>
        </w:rPr>
        <w:t>2</w:t>
      </w:r>
      <w:r>
        <w:rPr>
          <w:color w:val="231F20"/>
          <w:spacing w:val="-15"/>
        </w:rPr>
        <w:t> </w:t>
      </w:r>
      <w:r>
        <w:rPr>
          <w:color w:val="231F20"/>
        </w:rPr>
        <w:t>millions</w:t>
      </w:r>
      <w:r>
        <w:rPr>
          <w:color w:val="231F20"/>
          <w:spacing w:val="-15"/>
        </w:rPr>
        <w:t> </w:t>
      </w:r>
      <w:r>
        <w:rPr>
          <w:color w:val="231F20"/>
        </w:rPr>
        <w:t>de</w:t>
      </w:r>
      <w:r>
        <w:rPr>
          <w:color w:val="231F20"/>
          <w:spacing w:val="-13"/>
        </w:rPr>
        <w:t> </w:t>
      </w:r>
      <w:r>
        <w:rPr>
          <w:color w:val="231F20"/>
        </w:rPr>
        <w:t>voltaïques</w:t>
      </w:r>
      <w:r>
        <w:rPr>
          <w:color w:val="231F20"/>
          <w:spacing w:val="-13"/>
        </w:rPr>
        <w:t> </w:t>
      </w:r>
      <w:r>
        <w:rPr>
          <w:color w:val="231F20"/>
        </w:rPr>
        <w:t>devinrent</w:t>
      </w:r>
      <w:r>
        <w:rPr>
          <w:color w:val="231F20"/>
          <w:spacing w:val="-13"/>
        </w:rPr>
        <w:t> </w:t>
      </w:r>
      <w:r>
        <w:rPr>
          <w:color w:val="231F20"/>
        </w:rPr>
        <w:t>les</w:t>
      </w:r>
      <w:r>
        <w:rPr>
          <w:color w:val="231F20"/>
          <w:spacing w:val="-13"/>
        </w:rPr>
        <w:t> </w:t>
      </w:r>
      <w:r>
        <w:rPr>
          <w:color w:val="231F20"/>
        </w:rPr>
        <w:t>habitants</w:t>
      </w:r>
      <w:r>
        <w:rPr>
          <w:color w:val="231F20"/>
          <w:spacing w:val="-13"/>
        </w:rPr>
        <w:t> </w:t>
      </w:r>
      <w:r>
        <w:rPr>
          <w:color w:val="231F20"/>
        </w:rPr>
        <w:t>de</w:t>
      </w:r>
      <w:r>
        <w:rPr>
          <w:color w:val="231F20"/>
          <w:spacing w:val="-15"/>
        </w:rPr>
        <w:t> </w:t>
      </w:r>
      <w:r>
        <w:rPr>
          <w:color w:val="231F20"/>
        </w:rPr>
        <w:t>la</w:t>
      </w:r>
      <w:r>
        <w:rPr>
          <w:color w:val="231F20"/>
          <w:spacing w:val="-13"/>
        </w:rPr>
        <w:t> </w:t>
      </w:r>
      <w:r>
        <w:rPr>
          <w:color w:val="231F20"/>
        </w:rPr>
        <w:t>Haute</w:t>
      </w:r>
      <w:r>
        <w:rPr>
          <w:color w:val="231F20"/>
          <w:spacing w:val="-15"/>
        </w:rPr>
        <w:t> </w:t>
      </w:r>
      <w:r>
        <w:rPr>
          <w:color w:val="231F20"/>
        </w:rPr>
        <w:t>Côte </w:t>
      </w:r>
      <w:r>
        <w:rPr>
          <w:color w:val="231F20"/>
          <w:spacing w:val="-2"/>
        </w:rPr>
        <w:t>d’ivoire.</w:t>
      </w:r>
    </w:p>
    <w:p>
      <w:pPr>
        <w:pStyle w:val="BodyText"/>
        <w:spacing w:before="120"/>
        <w:ind w:right="106" w:firstLine="283"/>
      </w:pPr>
      <w:r>
        <w:rPr>
          <w:color w:val="231F20"/>
          <w:spacing w:val="-4"/>
        </w:rPr>
        <w:t>Le 4</w:t>
      </w:r>
      <w:r>
        <w:rPr>
          <w:color w:val="231F20"/>
          <w:spacing w:val="-6"/>
        </w:rPr>
        <w:t> </w:t>
      </w:r>
      <w:r>
        <w:rPr>
          <w:color w:val="231F20"/>
          <w:spacing w:val="-4"/>
        </w:rPr>
        <w:t>septembre 1947,</w:t>
      </w:r>
      <w:r>
        <w:rPr>
          <w:color w:val="231F20"/>
          <w:spacing w:val="-10"/>
        </w:rPr>
        <w:t> </w:t>
      </w:r>
      <w:r>
        <w:rPr>
          <w:color w:val="231F20"/>
          <w:spacing w:val="-4"/>
        </w:rPr>
        <w:t>la Haute Volta</w:t>
      </w:r>
      <w:r>
        <w:rPr>
          <w:color w:val="231F20"/>
          <w:spacing w:val="-7"/>
        </w:rPr>
        <w:t> </w:t>
      </w:r>
      <w:r>
        <w:rPr>
          <w:color w:val="231F20"/>
          <w:spacing w:val="-4"/>
        </w:rPr>
        <w:t>redevient</w:t>
      </w:r>
      <w:r>
        <w:rPr>
          <w:color w:val="231F20"/>
          <w:spacing w:val="-6"/>
        </w:rPr>
        <w:t> </w:t>
      </w:r>
      <w:r>
        <w:rPr>
          <w:color w:val="231F20"/>
          <w:spacing w:val="-4"/>
        </w:rPr>
        <w:t>un</w:t>
      </w:r>
      <w:r>
        <w:rPr>
          <w:color w:val="231F20"/>
          <w:spacing w:val="-7"/>
        </w:rPr>
        <w:t> </w:t>
      </w:r>
      <w:r>
        <w:rPr>
          <w:color w:val="231F20"/>
          <w:spacing w:val="-4"/>
        </w:rPr>
        <w:t>Territoire</w:t>
      </w:r>
      <w:r>
        <w:rPr>
          <w:color w:val="231F20"/>
          <w:spacing w:val="-7"/>
        </w:rPr>
        <w:t> </w:t>
      </w:r>
      <w:r>
        <w:rPr>
          <w:color w:val="231F20"/>
          <w:spacing w:val="-4"/>
        </w:rPr>
        <w:t>autonome </w:t>
      </w:r>
      <w:r>
        <w:rPr>
          <w:color w:val="231F20"/>
        </w:rPr>
        <w:t>mais</w:t>
      </w:r>
      <w:r>
        <w:rPr>
          <w:color w:val="231F20"/>
          <w:spacing w:val="-15"/>
        </w:rPr>
        <w:t> </w:t>
      </w:r>
      <w:r>
        <w:rPr>
          <w:color w:val="231F20"/>
        </w:rPr>
        <w:t>un</w:t>
      </w:r>
      <w:r>
        <w:rPr>
          <w:color w:val="231F20"/>
          <w:spacing w:val="-15"/>
        </w:rPr>
        <w:t> </w:t>
      </w:r>
      <w:r>
        <w:rPr>
          <w:color w:val="231F20"/>
        </w:rPr>
        <w:t>grand</w:t>
      </w:r>
      <w:r>
        <w:rPr>
          <w:color w:val="231F20"/>
          <w:spacing w:val="-15"/>
        </w:rPr>
        <w:t> </w:t>
      </w:r>
      <w:r>
        <w:rPr>
          <w:color w:val="231F20"/>
        </w:rPr>
        <w:t>nombre</w:t>
      </w:r>
      <w:r>
        <w:rPr>
          <w:color w:val="231F20"/>
          <w:spacing w:val="-15"/>
        </w:rPr>
        <w:t> </w:t>
      </w:r>
      <w:r>
        <w:rPr>
          <w:color w:val="231F20"/>
        </w:rPr>
        <w:t>de</w:t>
      </w:r>
      <w:r>
        <w:rPr>
          <w:color w:val="231F20"/>
          <w:spacing w:val="-14"/>
        </w:rPr>
        <w:t> </w:t>
      </w:r>
      <w:r>
        <w:rPr>
          <w:color w:val="231F20"/>
        </w:rPr>
        <w:t>ces</w:t>
      </w:r>
      <w:r>
        <w:rPr>
          <w:color w:val="231F20"/>
          <w:spacing w:val="-15"/>
        </w:rPr>
        <w:t> </w:t>
      </w:r>
      <w:r>
        <w:rPr>
          <w:color w:val="231F20"/>
        </w:rPr>
        <w:t>Voltaïques</w:t>
      </w:r>
      <w:r>
        <w:rPr>
          <w:color w:val="231F20"/>
          <w:spacing w:val="-15"/>
        </w:rPr>
        <w:t> </w:t>
      </w:r>
      <w:r>
        <w:rPr>
          <w:color w:val="231F20"/>
        </w:rPr>
        <w:t>choisissent</w:t>
      </w:r>
      <w:r>
        <w:rPr>
          <w:color w:val="231F20"/>
          <w:spacing w:val="-14"/>
        </w:rPr>
        <w:t> </w:t>
      </w:r>
      <w:r>
        <w:rPr>
          <w:color w:val="231F20"/>
        </w:rPr>
        <w:t>de</w:t>
      </w:r>
      <w:r>
        <w:rPr>
          <w:color w:val="231F20"/>
          <w:spacing w:val="-15"/>
        </w:rPr>
        <w:t> </w:t>
      </w:r>
      <w:r>
        <w:rPr>
          <w:color w:val="231F20"/>
        </w:rPr>
        <w:t>rester</w:t>
      </w:r>
      <w:r>
        <w:rPr>
          <w:color w:val="231F20"/>
          <w:spacing w:val="-15"/>
        </w:rPr>
        <w:t> </w:t>
      </w:r>
      <w:r>
        <w:rPr>
          <w:color w:val="231F20"/>
        </w:rPr>
        <w:t>du</w:t>
      </w:r>
      <w:r>
        <w:rPr>
          <w:color w:val="231F20"/>
          <w:spacing w:val="-15"/>
        </w:rPr>
        <w:t> </w:t>
      </w:r>
      <w:r>
        <w:rPr>
          <w:color w:val="231F20"/>
        </w:rPr>
        <w:t>côté</w:t>
      </w:r>
      <w:r>
        <w:rPr>
          <w:color w:val="231F20"/>
          <w:spacing w:val="-15"/>
        </w:rPr>
        <w:t> </w:t>
      </w:r>
      <w:r>
        <w:rPr>
          <w:color w:val="231F20"/>
        </w:rPr>
        <w:t>de la</w:t>
      </w:r>
      <w:r>
        <w:rPr>
          <w:color w:val="231F20"/>
          <w:spacing w:val="-6"/>
        </w:rPr>
        <w:t> </w:t>
      </w:r>
      <w:r>
        <w:rPr>
          <w:color w:val="231F20"/>
        </w:rPr>
        <w:t>Côte</w:t>
      </w:r>
      <w:r>
        <w:rPr>
          <w:color w:val="231F20"/>
          <w:spacing w:val="-6"/>
        </w:rPr>
        <w:t> </w:t>
      </w:r>
      <w:r>
        <w:rPr>
          <w:color w:val="231F20"/>
        </w:rPr>
        <w:t>d’Ivoire,</w:t>
      </w:r>
      <w:r>
        <w:rPr>
          <w:color w:val="231F20"/>
          <w:spacing w:val="-8"/>
        </w:rPr>
        <w:t> </w:t>
      </w:r>
      <w:r>
        <w:rPr>
          <w:color w:val="231F20"/>
        </w:rPr>
        <w:t>travailler</w:t>
      </w:r>
      <w:r>
        <w:rPr>
          <w:color w:val="231F20"/>
          <w:spacing w:val="-9"/>
        </w:rPr>
        <w:t> </w:t>
      </w:r>
      <w:r>
        <w:rPr>
          <w:color w:val="231F20"/>
        </w:rPr>
        <w:t>dans</w:t>
      </w:r>
      <w:r>
        <w:rPr>
          <w:color w:val="231F20"/>
          <w:spacing w:val="-8"/>
        </w:rPr>
        <w:t> </w:t>
      </w:r>
      <w:r>
        <w:rPr>
          <w:color w:val="231F20"/>
        </w:rPr>
        <w:t>les</w:t>
      </w:r>
      <w:r>
        <w:rPr>
          <w:color w:val="231F20"/>
          <w:spacing w:val="-6"/>
        </w:rPr>
        <w:t> </w:t>
      </w:r>
      <w:r>
        <w:rPr>
          <w:color w:val="231F20"/>
        </w:rPr>
        <w:t>plantations</w:t>
      </w:r>
      <w:r>
        <w:rPr>
          <w:color w:val="231F20"/>
          <w:spacing w:val="-6"/>
        </w:rPr>
        <w:t> </w:t>
      </w:r>
      <w:r>
        <w:rPr>
          <w:color w:val="231F20"/>
        </w:rPr>
        <w:t>de</w:t>
      </w:r>
      <w:r>
        <w:rPr>
          <w:color w:val="231F20"/>
          <w:spacing w:val="-9"/>
        </w:rPr>
        <w:t> </w:t>
      </w:r>
      <w:r>
        <w:rPr>
          <w:color w:val="231F20"/>
        </w:rPr>
        <w:t>café</w:t>
      </w:r>
      <w:r>
        <w:rPr>
          <w:color w:val="231F20"/>
          <w:spacing w:val="-6"/>
        </w:rPr>
        <w:t> </w:t>
      </w:r>
      <w:r>
        <w:rPr>
          <w:color w:val="231F20"/>
        </w:rPr>
        <w:t>ou</w:t>
      </w:r>
      <w:r>
        <w:rPr>
          <w:color w:val="231F20"/>
          <w:spacing w:val="-6"/>
        </w:rPr>
        <w:t> </w:t>
      </w:r>
      <w:r>
        <w:rPr>
          <w:color w:val="231F20"/>
        </w:rPr>
        <w:t>de</w:t>
      </w:r>
      <w:r>
        <w:rPr>
          <w:color w:val="231F20"/>
          <w:spacing w:val="-6"/>
        </w:rPr>
        <w:t> </w:t>
      </w:r>
      <w:r>
        <w:rPr>
          <w:color w:val="231F20"/>
        </w:rPr>
        <w:t>cacao.</w:t>
      </w:r>
    </w:p>
    <w:p>
      <w:pPr>
        <w:pStyle w:val="BodyText"/>
        <w:spacing w:before="121"/>
        <w:ind w:right="103" w:firstLine="283"/>
      </w:pPr>
      <w:r>
        <w:rPr>
          <w:color w:val="231F20"/>
        </w:rPr>
        <w:t>Dès</w:t>
      </w:r>
      <w:r>
        <w:rPr>
          <w:color w:val="231F20"/>
          <w:spacing w:val="-5"/>
        </w:rPr>
        <w:t> </w:t>
      </w:r>
      <w:r>
        <w:rPr>
          <w:color w:val="231F20"/>
        </w:rPr>
        <w:t>1960,</w:t>
      </w:r>
      <w:r>
        <w:rPr>
          <w:color w:val="231F20"/>
          <w:spacing w:val="-5"/>
        </w:rPr>
        <w:t> </w:t>
      </w:r>
      <w:r>
        <w:rPr>
          <w:color w:val="231F20"/>
        </w:rPr>
        <w:t>Félix</w:t>
      </w:r>
      <w:r>
        <w:rPr>
          <w:color w:val="231F20"/>
          <w:spacing w:val="-5"/>
        </w:rPr>
        <w:t> </w:t>
      </w:r>
      <w:r>
        <w:rPr>
          <w:color w:val="231F20"/>
        </w:rPr>
        <w:t>Houphouët-Boigny,</w:t>
      </w:r>
      <w:r>
        <w:rPr>
          <w:color w:val="231F20"/>
          <w:spacing w:val="-5"/>
        </w:rPr>
        <w:t> </w:t>
      </w:r>
      <w:r>
        <w:rPr>
          <w:color w:val="231F20"/>
        </w:rPr>
        <w:t>encourage</w:t>
      </w:r>
      <w:r>
        <w:rPr>
          <w:color w:val="231F20"/>
          <w:spacing w:val="-6"/>
        </w:rPr>
        <w:t> </w:t>
      </w:r>
      <w:r>
        <w:rPr>
          <w:color w:val="231F20"/>
        </w:rPr>
        <w:t>comme</w:t>
      </w:r>
      <w:r>
        <w:rPr>
          <w:color w:val="231F20"/>
          <w:spacing w:val="-6"/>
        </w:rPr>
        <w:t> </w:t>
      </w:r>
      <w:r>
        <w:rPr>
          <w:color w:val="231F20"/>
        </w:rPr>
        <w:t>l’ont</w:t>
      </w:r>
      <w:r>
        <w:rPr>
          <w:color w:val="231F20"/>
          <w:spacing w:val="-5"/>
        </w:rPr>
        <w:t> </w:t>
      </w:r>
      <w:r>
        <w:rPr>
          <w:color w:val="231F20"/>
        </w:rPr>
        <w:t>fait</w:t>
      </w:r>
      <w:r>
        <w:rPr>
          <w:color w:val="231F20"/>
          <w:spacing w:val="-5"/>
        </w:rPr>
        <w:t> </w:t>
      </w:r>
      <w:r>
        <w:rPr>
          <w:color w:val="231F20"/>
        </w:rPr>
        <w:t>les colons,</w:t>
      </w:r>
      <w:r>
        <w:rPr>
          <w:color w:val="231F20"/>
          <w:spacing w:val="-15"/>
        </w:rPr>
        <w:t> </w:t>
      </w:r>
      <w:r>
        <w:rPr>
          <w:color w:val="231F20"/>
        </w:rPr>
        <w:t>l’installation</w:t>
      </w:r>
      <w:r>
        <w:rPr>
          <w:color w:val="231F20"/>
          <w:spacing w:val="-15"/>
        </w:rPr>
        <w:t> </w:t>
      </w:r>
      <w:r>
        <w:rPr>
          <w:color w:val="231F20"/>
        </w:rPr>
        <w:t>de</w:t>
      </w:r>
      <w:r>
        <w:rPr>
          <w:color w:val="231F20"/>
          <w:spacing w:val="-14"/>
        </w:rPr>
        <w:t> </w:t>
      </w:r>
      <w:r>
        <w:rPr>
          <w:color w:val="231F20"/>
        </w:rPr>
        <w:t>cette</w:t>
      </w:r>
      <w:r>
        <w:rPr>
          <w:color w:val="231F20"/>
          <w:spacing w:val="-15"/>
        </w:rPr>
        <w:t> </w:t>
      </w:r>
      <w:r>
        <w:rPr>
          <w:color w:val="231F20"/>
        </w:rPr>
        <w:t>main-d’œuvre</w:t>
      </w:r>
      <w:r>
        <w:rPr>
          <w:color w:val="231F20"/>
          <w:spacing w:val="-13"/>
        </w:rPr>
        <w:t> </w:t>
      </w:r>
      <w:r>
        <w:rPr>
          <w:color w:val="231F20"/>
        </w:rPr>
        <w:t>bon</w:t>
      </w:r>
      <w:r>
        <w:rPr>
          <w:color w:val="231F20"/>
          <w:spacing w:val="-15"/>
        </w:rPr>
        <w:t> </w:t>
      </w:r>
      <w:r>
        <w:rPr>
          <w:color w:val="231F20"/>
        </w:rPr>
        <w:t>marché</w:t>
      </w:r>
      <w:r>
        <w:rPr>
          <w:color w:val="231F20"/>
          <w:spacing w:val="-13"/>
        </w:rPr>
        <w:t> </w:t>
      </w:r>
      <w:r>
        <w:rPr>
          <w:color w:val="231F20"/>
        </w:rPr>
        <w:t>que</w:t>
      </w:r>
      <w:r>
        <w:rPr>
          <w:color w:val="231F20"/>
          <w:spacing w:val="-13"/>
        </w:rPr>
        <w:t> </w:t>
      </w:r>
      <w:r>
        <w:rPr>
          <w:color w:val="231F20"/>
        </w:rPr>
        <w:t>constituent les</w:t>
      </w:r>
      <w:r>
        <w:rPr>
          <w:color w:val="231F20"/>
          <w:spacing w:val="-3"/>
        </w:rPr>
        <w:t> </w:t>
      </w:r>
      <w:r>
        <w:rPr>
          <w:color w:val="231F20"/>
        </w:rPr>
        <w:t>voltaïques</w:t>
      </w:r>
      <w:r>
        <w:rPr>
          <w:color w:val="231F20"/>
          <w:spacing w:val="-6"/>
        </w:rPr>
        <w:t> </w:t>
      </w:r>
      <w:r>
        <w:rPr>
          <w:color w:val="231F20"/>
        </w:rPr>
        <w:t>dans</w:t>
      </w:r>
      <w:r>
        <w:rPr>
          <w:color w:val="231F20"/>
          <w:spacing w:val="-6"/>
        </w:rPr>
        <w:t> </w:t>
      </w:r>
      <w:r>
        <w:rPr>
          <w:color w:val="231F20"/>
        </w:rPr>
        <w:t>le</w:t>
      </w:r>
      <w:r>
        <w:rPr>
          <w:color w:val="231F20"/>
          <w:spacing w:val="-6"/>
        </w:rPr>
        <w:t> </w:t>
      </w:r>
      <w:r>
        <w:rPr>
          <w:color w:val="231F20"/>
        </w:rPr>
        <w:t>Sud,</w:t>
      </w:r>
      <w:r>
        <w:rPr>
          <w:color w:val="231F20"/>
          <w:spacing w:val="-3"/>
        </w:rPr>
        <w:t> </w:t>
      </w:r>
      <w:r>
        <w:rPr>
          <w:color w:val="231F20"/>
        </w:rPr>
        <w:t>le</w:t>
      </w:r>
      <w:r>
        <w:rPr>
          <w:color w:val="231F20"/>
          <w:spacing w:val="-6"/>
        </w:rPr>
        <w:t> </w:t>
      </w:r>
      <w:r>
        <w:rPr>
          <w:color w:val="231F20"/>
        </w:rPr>
        <w:t>Sud-Ouest</w:t>
      </w:r>
      <w:r>
        <w:rPr>
          <w:color w:val="231F20"/>
          <w:spacing w:val="-3"/>
        </w:rPr>
        <w:t> </w:t>
      </w:r>
      <w:r>
        <w:rPr>
          <w:color w:val="231F20"/>
        </w:rPr>
        <w:t>et</w:t>
      </w:r>
      <w:r>
        <w:rPr>
          <w:color w:val="231F20"/>
          <w:spacing w:val="-3"/>
        </w:rPr>
        <w:t> </w:t>
      </w:r>
      <w:r>
        <w:rPr>
          <w:color w:val="231F20"/>
        </w:rPr>
        <w:t>l’Ouest</w:t>
      </w:r>
      <w:r>
        <w:rPr>
          <w:color w:val="231F20"/>
          <w:spacing w:val="-6"/>
        </w:rPr>
        <w:t> </w:t>
      </w:r>
      <w:r>
        <w:rPr>
          <w:color w:val="231F20"/>
        </w:rPr>
        <w:t>du</w:t>
      </w:r>
      <w:r>
        <w:rPr>
          <w:color w:val="231F20"/>
          <w:spacing w:val="-3"/>
        </w:rPr>
        <w:t> </w:t>
      </w:r>
      <w:r>
        <w:rPr>
          <w:color w:val="231F20"/>
        </w:rPr>
        <w:t>pays.</w:t>
      </w:r>
    </w:p>
    <w:p>
      <w:pPr>
        <w:pStyle w:val="BodyText"/>
        <w:spacing w:before="120"/>
        <w:ind w:right="104" w:firstLine="283"/>
      </w:pPr>
      <w:r>
        <w:rPr>
          <w:color w:val="231F20"/>
        </w:rPr>
        <w:t>Pour</w:t>
      </w:r>
      <w:r>
        <w:rPr>
          <w:color w:val="231F20"/>
          <w:spacing w:val="-1"/>
        </w:rPr>
        <w:t> </w:t>
      </w:r>
      <w:r>
        <w:rPr>
          <w:color w:val="231F20"/>
        </w:rPr>
        <w:t>inciter les paysans</w:t>
      </w:r>
      <w:r>
        <w:rPr>
          <w:color w:val="231F20"/>
          <w:spacing w:val="-1"/>
        </w:rPr>
        <w:t> </w:t>
      </w:r>
      <w:r>
        <w:rPr>
          <w:color w:val="231F20"/>
        </w:rPr>
        <w:t>à plus</w:t>
      </w:r>
      <w:r>
        <w:rPr>
          <w:color w:val="231F20"/>
          <w:spacing w:val="-1"/>
        </w:rPr>
        <w:t> </w:t>
      </w:r>
      <w:r>
        <w:rPr>
          <w:color w:val="231F20"/>
        </w:rPr>
        <w:t>d’efforts pour produire davantage,</w:t>
      </w:r>
      <w:r>
        <w:rPr>
          <w:color w:val="231F20"/>
          <w:spacing w:val="-1"/>
        </w:rPr>
        <w:t> </w:t>
      </w:r>
      <w:r>
        <w:rPr>
          <w:color w:val="231F20"/>
        </w:rPr>
        <w:t>la politique</w:t>
      </w:r>
      <w:r>
        <w:rPr>
          <w:color w:val="231F20"/>
          <w:spacing w:val="-15"/>
        </w:rPr>
        <w:t> </w:t>
      </w:r>
      <w:r>
        <w:rPr>
          <w:color w:val="231F20"/>
        </w:rPr>
        <w:t>agricole</w:t>
      </w:r>
      <w:r>
        <w:rPr>
          <w:color w:val="231F20"/>
          <w:spacing w:val="-14"/>
        </w:rPr>
        <w:t> </w:t>
      </w:r>
      <w:r>
        <w:rPr>
          <w:color w:val="231F20"/>
        </w:rPr>
        <w:t>est</w:t>
      </w:r>
      <w:r>
        <w:rPr>
          <w:color w:val="231F20"/>
          <w:spacing w:val="-15"/>
        </w:rPr>
        <w:t> </w:t>
      </w:r>
      <w:r>
        <w:rPr>
          <w:color w:val="231F20"/>
        </w:rPr>
        <w:t>soutenue</w:t>
      </w:r>
      <w:r>
        <w:rPr>
          <w:color w:val="231F20"/>
          <w:spacing w:val="-15"/>
        </w:rPr>
        <w:t> </w:t>
      </w:r>
      <w:r>
        <w:rPr>
          <w:color w:val="231F20"/>
        </w:rPr>
        <w:t>par</w:t>
      </w:r>
      <w:r>
        <w:rPr>
          <w:color w:val="231F20"/>
          <w:spacing w:val="-15"/>
        </w:rPr>
        <w:t> </w:t>
      </w:r>
      <w:r>
        <w:rPr>
          <w:color w:val="231F20"/>
        </w:rPr>
        <w:t>les</w:t>
      </w:r>
      <w:r>
        <w:rPr>
          <w:color w:val="231F20"/>
          <w:spacing w:val="-14"/>
        </w:rPr>
        <w:t> </w:t>
      </w:r>
      <w:r>
        <w:rPr>
          <w:color w:val="231F20"/>
        </w:rPr>
        <w:t>mass-média</w:t>
      </w:r>
      <w:r>
        <w:rPr>
          <w:color w:val="231F20"/>
          <w:spacing w:val="-15"/>
        </w:rPr>
        <w:t> </w:t>
      </w:r>
      <w:r>
        <w:rPr>
          <w:color w:val="231F20"/>
        </w:rPr>
        <w:t>(Radio,</w:t>
      </w:r>
      <w:r>
        <w:rPr>
          <w:color w:val="231F20"/>
          <w:spacing w:val="-15"/>
        </w:rPr>
        <w:t> </w:t>
      </w:r>
      <w:r>
        <w:rPr>
          <w:color w:val="231F20"/>
        </w:rPr>
        <w:t>Télévision</w:t>
      </w:r>
      <w:r>
        <w:rPr>
          <w:color w:val="231F20"/>
          <w:spacing w:val="-15"/>
        </w:rPr>
        <w:t> </w:t>
      </w:r>
      <w:r>
        <w:rPr>
          <w:color w:val="231F20"/>
        </w:rPr>
        <w:t>et presse écrite) dont la principale mission est d’accompagner le développement du pays en servant de relais au mot d’ordre du gouvernement et du parti au pouvoir, le P.D.C.I. A partir de 1966, une compétition agricole à travers «</w:t>
      </w:r>
      <w:r>
        <w:rPr>
          <w:color w:val="231F20"/>
          <w:spacing w:val="-14"/>
        </w:rPr>
        <w:t> </w:t>
      </w:r>
      <w:r>
        <w:rPr>
          <w:color w:val="231F20"/>
        </w:rPr>
        <w:t>La coupe nationale du progrès</w:t>
      </w:r>
      <w:r>
        <w:rPr>
          <w:color w:val="231F20"/>
          <w:spacing w:val="-14"/>
        </w:rPr>
        <w:t> </w:t>
      </w:r>
      <w:r>
        <w:rPr>
          <w:color w:val="231F20"/>
        </w:rPr>
        <w:t>» une émission radiotélévisée est lancée.</w:t>
      </w:r>
    </w:p>
    <w:p>
      <w:pPr>
        <w:pStyle w:val="BodyText"/>
        <w:spacing w:before="120"/>
        <w:ind w:right="104" w:firstLine="283"/>
      </w:pPr>
      <w:r>
        <w:rPr>
          <w:color w:val="231F20"/>
          <w:spacing w:val="-4"/>
        </w:rPr>
        <w:t>Encouragée par</w:t>
      </w:r>
      <w:r>
        <w:rPr>
          <w:color w:val="231F20"/>
          <w:spacing w:val="-6"/>
        </w:rPr>
        <w:t> </w:t>
      </w:r>
      <w:r>
        <w:rPr>
          <w:color w:val="231F20"/>
          <w:spacing w:val="-4"/>
        </w:rPr>
        <w:t>le président Houphouët-Boigny,</w:t>
      </w:r>
      <w:r>
        <w:rPr>
          <w:color w:val="231F20"/>
          <w:spacing w:val="-5"/>
        </w:rPr>
        <w:t> </w:t>
      </w:r>
      <w:r>
        <w:rPr>
          <w:color w:val="231F20"/>
          <w:spacing w:val="-4"/>
        </w:rPr>
        <w:t>l’émission diffuse</w:t>
      </w:r>
      <w:r>
        <w:rPr>
          <w:color w:val="231F20"/>
          <w:spacing w:val="-6"/>
        </w:rPr>
        <w:t> </w:t>
      </w:r>
      <w:r>
        <w:rPr>
          <w:color w:val="231F20"/>
          <w:spacing w:val="-4"/>
        </w:rPr>
        <w:t>les </w:t>
      </w:r>
      <w:r>
        <w:rPr>
          <w:color w:val="231F20"/>
        </w:rPr>
        <w:t>éliminatoires départementales, régionales et la finale. Le contenu de l’émission mêle vulgarisation agricole, musique traditionnelle et compétition entre sous-préfectures. A la fin de la saison agricole, la meilleure</w:t>
      </w:r>
      <w:r>
        <w:rPr>
          <w:color w:val="231F20"/>
          <w:spacing w:val="-15"/>
        </w:rPr>
        <w:t> </w:t>
      </w:r>
      <w:r>
        <w:rPr>
          <w:color w:val="231F20"/>
        </w:rPr>
        <w:t>Communauté</w:t>
      </w:r>
      <w:r>
        <w:rPr>
          <w:color w:val="231F20"/>
          <w:spacing w:val="-15"/>
        </w:rPr>
        <w:t> </w:t>
      </w:r>
      <w:r>
        <w:rPr>
          <w:color w:val="231F20"/>
        </w:rPr>
        <w:t>rurale</w:t>
      </w:r>
      <w:r>
        <w:rPr>
          <w:color w:val="231F20"/>
          <w:spacing w:val="-15"/>
        </w:rPr>
        <w:t> </w:t>
      </w:r>
      <w:r>
        <w:rPr>
          <w:color w:val="231F20"/>
        </w:rPr>
        <w:t>et</w:t>
      </w:r>
      <w:r>
        <w:rPr>
          <w:color w:val="231F20"/>
          <w:spacing w:val="-15"/>
        </w:rPr>
        <w:t> </w:t>
      </w:r>
      <w:r>
        <w:rPr>
          <w:color w:val="231F20"/>
        </w:rPr>
        <w:t>les</w:t>
      </w:r>
      <w:r>
        <w:rPr>
          <w:color w:val="231F20"/>
          <w:spacing w:val="-15"/>
        </w:rPr>
        <w:t> </w:t>
      </w:r>
      <w:r>
        <w:rPr>
          <w:color w:val="231F20"/>
        </w:rPr>
        <w:t>meilleurs</w:t>
      </w:r>
      <w:r>
        <w:rPr>
          <w:color w:val="231F20"/>
          <w:spacing w:val="-14"/>
        </w:rPr>
        <w:t> </w:t>
      </w:r>
      <w:r>
        <w:rPr>
          <w:color w:val="231F20"/>
        </w:rPr>
        <w:t>exploitants</w:t>
      </w:r>
      <w:r>
        <w:rPr>
          <w:color w:val="231F20"/>
          <w:spacing w:val="-15"/>
        </w:rPr>
        <w:t> </w:t>
      </w:r>
      <w:r>
        <w:rPr>
          <w:color w:val="231F20"/>
        </w:rPr>
        <w:t>agricoles</w:t>
      </w:r>
      <w:r>
        <w:rPr>
          <w:color w:val="231F20"/>
          <w:spacing w:val="-15"/>
        </w:rPr>
        <w:t> </w:t>
      </w:r>
      <w:r>
        <w:rPr>
          <w:color w:val="231F20"/>
        </w:rPr>
        <w:t>sont</w:t>
      </w:r>
    </w:p>
    <w:p>
      <w:pPr>
        <w:spacing w:after="0"/>
        <w:sectPr>
          <w:pgSz w:w="8790" w:h="13610"/>
          <w:pgMar w:header="0" w:footer="802" w:top="1060" w:bottom="1000" w:left="880" w:right="880"/>
        </w:sectPr>
      </w:pPr>
    </w:p>
    <w:p>
      <w:pPr>
        <w:pStyle w:val="BodyText"/>
        <w:spacing w:before="66"/>
        <w:ind w:right="105"/>
      </w:pPr>
      <w:r>
        <w:rPr>
          <w:color w:val="231F20"/>
          <w:spacing w:val="-4"/>
        </w:rPr>
        <w:t>primés</w:t>
      </w:r>
      <w:r>
        <w:rPr>
          <w:color w:val="231F20"/>
          <w:spacing w:val="-10"/>
        </w:rPr>
        <w:t> </w:t>
      </w:r>
      <w:r>
        <w:rPr>
          <w:color w:val="231F20"/>
          <w:spacing w:val="-4"/>
        </w:rPr>
        <w:t>en</w:t>
      </w:r>
      <w:r>
        <w:rPr>
          <w:color w:val="231F20"/>
          <w:spacing w:val="-10"/>
        </w:rPr>
        <w:t> </w:t>
      </w:r>
      <w:r>
        <w:rPr>
          <w:color w:val="231F20"/>
          <w:spacing w:val="-4"/>
        </w:rPr>
        <w:t>direct</w:t>
      </w:r>
      <w:r>
        <w:rPr>
          <w:color w:val="231F20"/>
          <w:spacing w:val="-10"/>
        </w:rPr>
        <w:t> </w:t>
      </w:r>
      <w:r>
        <w:rPr>
          <w:color w:val="231F20"/>
          <w:spacing w:val="-4"/>
        </w:rPr>
        <w:t>sur</w:t>
      </w:r>
      <w:r>
        <w:rPr>
          <w:color w:val="231F20"/>
          <w:spacing w:val="-11"/>
        </w:rPr>
        <w:t> </w:t>
      </w:r>
      <w:r>
        <w:rPr>
          <w:color w:val="231F20"/>
          <w:spacing w:val="-4"/>
        </w:rPr>
        <w:t>les</w:t>
      </w:r>
      <w:r>
        <w:rPr>
          <w:color w:val="231F20"/>
          <w:spacing w:val="-10"/>
        </w:rPr>
        <w:t> </w:t>
      </w:r>
      <w:r>
        <w:rPr>
          <w:color w:val="231F20"/>
          <w:spacing w:val="-4"/>
        </w:rPr>
        <w:t>antennes</w:t>
      </w:r>
      <w:r>
        <w:rPr>
          <w:color w:val="231F20"/>
          <w:spacing w:val="-6"/>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radio</w:t>
      </w:r>
      <w:r>
        <w:rPr>
          <w:color w:val="231F20"/>
          <w:spacing w:val="-6"/>
        </w:rPr>
        <w:t> </w:t>
      </w:r>
      <w:r>
        <w:rPr>
          <w:color w:val="231F20"/>
          <w:spacing w:val="-4"/>
        </w:rPr>
        <w:t>et</w:t>
      </w:r>
      <w:r>
        <w:rPr>
          <w:color w:val="231F20"/>
          <w:spacing w:val="-8"/>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télévision</w:t>
      </w:r>
      <w:r>
        <w:rPr>
          <w:color w:val="231F20"/>
          <w:spacing w:val="-1"/>
        </w:rPr>
        <w:t> </w:t>
      </w:r>
      <w:r>
        <w:rPr>
          <w:color w:val="231F20"/>
          <w:spacing w:val="-4"/>
        </w:rPr>
        <w:t>:</w:t>
      </w:r>
      <w:r>
        <w:rPr>
          <w:color w:val="231F20"/>
          <w:spacing w:val="-8"/>
        </w:rPr>
        <w:t> </w:t>
      </w:r>
      <w:r>
        <w:rPr>
          <w:color w:val="231F20"/>
          <w:spacing w:val="-4"/>
        </w:rPr>
        <w:t>entre</w:t>
      </w:r>
      <w:r>
        <w:rPr>
          <w:color w:val="231F20"/>
          <w:spacing w:val="-11"/>
        </w:rPr>
        <w:t> </w:t>
      </w:r>
      <w:r>
        <w:rPr>
          <w:color w:val="231F20"/>
          <w:spacing w:val="-4"/>
        </w:rPr>
        <w:t>1960 </w:t>
      </w:r>
      <w:r>
        <w:rPr>
          <w:color w:val="231F20"/>
        </w:rPr>
        <w:t>et</w:t>
      </w:r>
      <w:r>
        <w:rPr>
          <w:color w:val="231F20"/>
          <w:spacing w:val="-15"/>
        </w:rPr>
        <w:t> </w:t>
      </w:r>
      <w:r>
        <w:rPr>
          <w:color w:val="231F20"/>
        </w:rPr>
        <w:t>1970,</w:t>
      </w:r>
      <w:r>
        <w:rPr>
          <w:color w:val="231F20"/>
          <w:spacing w:val="-14"/>
        </w:rPr>
        <w:t> </w:t>
      </w:r>
      <w:r>
        <w:rPr>
          <w:color w:val="231F20"/>
        </w:rPr>
        <w:t>l’Agriculture</w:t>
      </w:r>
      <w:r>
        <w:rPr>
          <w:color w:val="231F20"/>
          <w:spacing w:val="-13"/>
        </w:rPr>
        <w:t> </w:t>
      </w:r>
      <w:r>
        <w:rPr>
          <w:color w:val="231F20"/>
        </w:rPr>
        <w:t>connaît</w:t>
      </w:r>
      <w:r>
        <w:rPr>
          <w:color w:val="231F20"/>
          <w:spacing w:val="-13"/>
        </w:rPr>
        <w:t> </w:t>
      </w:r>
      <w:r>
        <w:rPr>
          <w:color w:val="231F20"/>
        </w:rPr>
        <w:t>un</w:t>
      </w:r>
      <w:r>
        <w:rPr>
          <w:color w:val="231F20"/>
          <w:spacing w:val="-13"/>
        </w:rPr>
        <w:t> </w:t>
      </w:r>
      <w:r>
        <w:rPr>
          <w:color w:val="231F20"/>
        </w:rPr>
        <w:t>développement</w:t>
      </w:r>
      <w:r>
        <w:rPr>
          <w:color w:val="231F20"/>
          <w:spacing w:val="-13"/>
        </w:rPr>
        <w:t> </w:t>
      </w:r>
      <w:r>
        <w:rPr>
          <w:color w:val="231F20"/>
        </w:rPr>
        <w:t>fulgurant</w:t>
      </w:r>
      <w:r>
        <w:rPr>
          <w:color w:val="231F20"/>
          <w:spacing w:val="-15"/>
        </w:rPr>
        <w:t> </w:t>
      </w:r>
      <w:r>
        <w:rPr>
          <w:color w:val="231F20"/>
        </w:rPr>
        <w:t>:</w:t>
      </w:r>
      <w:r>
        <w:rPr>
          <w:color w:val="231F20"/>
          <w:spacing w:val="-14"/>
        </w:rPr>
        <w:t> </w:t>
      </w:r>
      <w:r>
        <w:rPr>
          <w:color w:val="231F20"/>
        </w:rPr>
        <w:t>les</w:t>
      </w:r>
      <w:r>
        <w:rPr>
          <w:color w:val="231F20"/>
          <w:spacing w:val="-11"/>
        </w:rPr>
        <w:t> </w:t>
      </w:r>
      <w:r>
        <w:rPr>
          <w:color w:val="231F20"/>
        </w:rPr>
        <w:t>cultures de cacao triplent leur production, celles de café augmentent de moitié, passant de 185 500 à 275 000 tonnes.</w:t>
      </w:r>
    </w:p>
    <w:p>
      <w:pPr>
        <w:pStyle w:val="BodyText"/>
        <w:spacing w:before="120"/>
        <w:ind w:right="103" w:firstLine="283"/>
      </w:pPr>
      <w:r>
        <w:rPr>
          <w:color w:val="231F20"/>
        </w:rPr>
        <w:t>Dans sa politique de diversification des cultures d’exportation, le régime de Félix Houphouët-Boigny crée des structures d’Etat pour </w:t>
      </w:r>
      <w:r>
        <w:rPr>
          <w:color w:val="231F20"/>
          <w:spacing w:val="-4"/>
        </w:rPr>
        <w:t>encadrer</w:t>
      </w:r>
      <w:r>
        <w:rPr>
          <w:color w:val="231F20"/>
          <w:spacing w:val="-9"/>
        </w:rPr>
        <w:t> </w:t>
      </w:r>
      <w:r>
        <w:rPr>
          <w:color w:val="231F20"/>
          <w:spacing w:val="-4"/>
        </w:rPr>
        <w:t>et</w:t>
      </w:r>
      <w:r>
        <w:rPr>
          <w:color w:val="231F20"/>
          <w:spacing w:val="-7"/>
        </w:rPr>
        <w:t> </w:t>
      </w:r>
      <w:r>
        <w:rPr>
          <w:color w:val="231F20"/>
          <w:spacing w:val="-4"/>
        </w:rPr>
        <w:t>financer</w:t>
      </w:r>
      <w:r>
        <w:rPr>
          <w:color w:val="231F20"/>
          <w:spacing w:val="-9"/>
        </w:rPr>
        <w:t> </w:t>
      </w:r>
      <w:r>
        <w:rPr>
          <w:color w:val="231F20"/>
          <w:spacing w:val="-4"/>
        </w:rPr>
        <w:t>d’immenses</w:t>
      </w:r>
      <w:r>
        <w:rPr>
          <w:color w:val="231F20"/>
          <w:spacing w:val="-9"/>
        </w:rPr>
        <w:t> </w:t>
      </w:r>
      <w:r>
        <w:rPr>
          <w:color w:val="231F20"/>
          <w:spacing w:val="-4"/>
        </w:rPr>
        <w:t>plantations</w:t>
      </w:r>
      <w:r>
        <w:rPr>
          <w:color w:val="231F20"/>
          <w:spacing w:val="-7"/>
        </w:rPr>
        <w:t> </w:t>
      </w:r>
      <w:r>
        <w:rPr>
          <w:color w:val="231F20"/>
          <w:spacing w:val="-4"/>
        </w:rPr>
        <w:t>industrielles</w:t>
      </w:r>
      <w:r>
        <w:rPr>
          <w:color w:val="231F20"/>
          <w:spacing w:val="-10"/>
        </w:rPr>
        <w:t> </w:t>
      </w:r>
      <w:r>
        <w:rPr>
          <w:color w:val="231F20"/>
          <w:spacing w:val="-4"/>
        </w:rPr>
        <w:t>de</w:t>
      </w:r>
      <w:r>
        <w:rPr>
          <w:color w:val="231F20"/>
          <w:spacing w:val="-8"/>
        </w:rPr>
        <w:t> </w:t>
      </w:r>
      <w:r>
        <w:rPr>
          <w:color w:val="231F20"/>
          <w:spacing w:val="-4"/>
        </w:rPr>
        <w:t>noix</w:t>
      </w:r>
      <w:r>
        <w:rPr>
          <w:color w:val="231F20"/>
          <w:spacing w:val="-8"/>
        </w:rPr>
        <w:t> </w:t>
      </w:r>
      <w:r>
        <w:rPr>
          <w:color w:val="231F20"/>
          <w:spacing w:val="-4"/>
        </w:rPr>
        <w:t>de</w:t>
      </w:r>
      <w:r>
        <w:rPr>
          <w:color w:val="231F20"/>
          <w:spacing w:val="-8"/>
        </w:rPr>
        <w:t> </w:t>
      </w:r>
      <w:r>
        <w:rPr>
          <w:color w:val="231F20"/>
          <w:spacing w:val="-4"/>
        </w:rPr>
        <w:t>coco, de</w:t>
      </w:r>
      <w:r>
        <w:rPr>
          <w:color w:val="231F20"/>
          <w:spacing w:val="-7"/>
        </w:rPr>
        <w:t> </w:t>
      </w:r>
      <w:r>
        <w:rPr>
          <w:color w:val="231F20"/>
          <w:spacing w:val="-4"/>
        </w:rPr>
        <w:t>palmiers</w:t>
      </w:r>
      <w:r>
        <w:rPr>
          <w:color w:val="231F20"/>
          <w:spacing w:val="-7"/>
        </w:rPr>
        <w:t> </w:t>
      </w:r>
      <w:r>
        <w:rPr>
          <w:color w:val="231F20"/>
          <w:spacing w:val="-4"/>
        </w:rPr>
        <w:t>à</w:t>
      </w:r>
      <w:r>
        <w:rPr>
          <w:color w:val="231F20"/>
          <w:spacing w:val="-7"/>
        </w:rPr>
        <w:t> </w:t>
      </w:r>
      <w:r>
        <w:rPr>
          <w:color w:val="231F20"/>
          <w:spacing w:val="-4"/>
        </w:rPr>
        <w:t>huile,</w:t>
      </w:r>
      <w:r>
        <w:rPr>
          <w:color w:val="231F20"/>
          <w:spacing w:val="-7"/>
        </w:rPr>
        <w:t> </w:t>
      </w:r>
      <w:r>
        <w:rPr>
          <w:color w:val="231F20"/>
          <w:spacing w:val="-4"/>
        </w:rPr>
        <w:t>d’hévéa,</w:t>
      </w:r>
      <w:r>
        <w:rPr>
          <w:color w:val="231F20"/>
          <w:spacing w:val="-7"/>
        </w:rPr>
        <w:t> </w:t>
      </w:r>
      <w:r>
        <w:rPr>
          <w:color w:val="231F20"/>
          <w:spacing w:val="-4"/>
        </w:rPr>
        <w:t>de</w:t>
      </w:r>
      <w:r>
        <w:rPr>
          <w:color w:val="231F20"/>
          <w:spacing w:val="-7"/>
        </w:rPr>
        <w:t> </w:t>
      </w:r>
      <w:r>
        <w:rPr>
          <w:color w:val="231F20"/>
          <w:spacing w:val="-4"/>
        </w:rPr>
        <w:t>rizières</w:t>
      </w:r>
      <w:r>
        <w:rPr>
          <w:color w:val="231F20"/>
          <w:spacing w:val="-7"/>
        </w:rPr>
        <w:t> </w:t>
      </w:r>
      <w:r>
        <w:rPr>
          <w:color w:val="231F20"/>
          <w:spacing w:val="-4"/>
        </w:rPr>
        <w:t>etc.</w:t>
      </w:r>
      <w:r>
        <w:rPr>
          <w:color w:val="231F20"/>
          <w:spacing w:val="-7"/>
        </w:rPr>
        <w:t> </w:t>
      </w:r>
      <w:r>
        <w:rPr>
          <w:color w:val="231F20"/>
          <w:spacing w:val="-4"/>
        </w:rPr>
        <w:t>Il</w:t>
      </w:r>
      <w:r>
        <w:rPr>
          <w:color w:val="231F20"/>
          <w:spacing w:val="-7"/>
        </w:rPr>
        <w:t> </w:t>
      </w:r>
      <w:r>
        <w:rPr>
          <w:color w:val="231F20"/>
          <w:spacing w:val="-4"/>
        </w:rPr>
        <w:t>faut</w:t>
      </w:r>
      <w:r>
        <w:rPr>
          <w:color w:val="231F20"/>
          <w:spacing w:val="-7"/>
        </w:rPr>
        <w:t> </w:t>
      </w:r>
      <w:r>
        <w:rPr>
          <w:color w:val="231F20"/>
          <w:spacing w:val="-4"/>
        </w:rPr>
        <w:t>encore</w:t>
      </w:r>
      <w:r>
        <w:rPr>
          <w:color w:val="231F20"/>
          <w:spacing w:val="-7"/>
        </w:rPr>
        <w:t> </w:t>
      </w:r>
      <w:r>
        <w:rPr>
          <w:color w:val="231F20"/>
          <w:spacing w:val="-4"/>
        </w:rPr>
        <w:t>et</w:t>
      </w:r>
      <w:r>
        <w:rPr>
          <w:color w:val="231F20"/>
          <w:spacing w:val="-7"/>
        </w:rPr>
        <w:t> </w:t>
      </w:r>
      <w:r>
        <w:rPr>
          <w:color w:val="231F20"/>
          <w:spacing w:val="-4"/>
        </w:rPr>
        <w:t>toujours</w:t>
      </w:r>
      <w:r>
        <w:rPr>
          <w:color w:val="231F20"/>
          <w:spacing w:val="-7"/>
        </w:rPr>
        <w:t> </w:t>
      </w:r>
      <w:r>
        <w:rPr>
          <w:color w:val="231F20"/>
          <w:spacing w:val="-4"/>
        </w:rPr>
        <w:t>faire </w:t>
      </w:r>
      <w:r>
        <w:rPr>
          <w:color w:val="231F20"/>
        </w:rPr>
        <w:t>appel à un nombre important d’ouvriers agricole, en l’occurrence, de Voltaïques. Outre les ouvriers agricoles voltaïques, les populations du Centre du pays notamment, les baoulé du groupe Akan s’enfoncent </w:t>
      </w:r>
      <w:r>
        <w:rPr>
          <w:color w:val="231F20"/>
          <w:spacing w:val="-4"/>
        </w:rPr>
        <w:t>également</w:t>
      </w:r>
      <w:r>
        <w:rPr>
          <w:color w:val="231F20"/>
          <w:spacing w:val="-9"/>
        </w:rPr>
        <w:t> </w:t>
      </w:r>
      <w:r>
        <w:rPr>
          <w:color w:val="231F20"/>
          <w:spacing w:val="-4"/>
        </w:rPr>
        <w:t>dans</w:t>
      </w:r>
      <w:r>
        <w:rPr>
          <w:color w:val="231F20"/>
          <w:spacing w:val="-10"/>
        </w:rPr>
        <w:t> </w:t>
      </w:r>
      <w:r>
        <w:rPr>
          <w:color w:val="231F20"/>
          <w:spacing w:val="-4"/>
        </w:rPr>
        <w:t>les</w:t>
      </w:r>
      <w:r>
        <w:rPr>
          <w:color w:val="231F20"/>
          <w:spacing w:val="-11"/>
        </w:rPr>
        <w:t> </w:t>
      </w:r>
      <w:r>
        <w:rPr>
          <w:color w:val="231F20"/>
          <w:spacing w:val="-4"/>
        </w:rPr>
        <w:t>riches</w:t>
      </w:r>
      <w:r>
        <w:rPr>
          <w:color w:val="231F20"/>
          <w:spacing w:val="-11"/>
        </w:rPr>
        <w:t> </w:t>
      </w:r>
      <w:r>
        <w:rPr>
          <w:color w:val="231F20"/>
          <w:spacing w:val="-4"/>
        </w:rPr>
        <w:t>forêts</w:t>
      </w:r>
      <w:r>
        <w:rPr>
          <w:color w:val="231F20"/>
          <w:spacing w:val="-11"/>
        </w:rPr>
        <w:t> </w:t>
      </w:r>
      <w:r>
        <w:rPr>
          <w:color w:val="231F20"/>
          <w:spacing w:val="-4"/>
        </w:rPr>
        <w:t>du</w:t>
      </w:r>
      <w:r>
        <w:rPr>
          <w:color w:val="231F20"/>
          <w:spacing w:val="-11"/>
        </w:rPr>
        <w:t> </w:t>
      </w:r>
      <w:r>
        <w:rPr>
          <w:color w:val="231F20"/>
          <w:spacing w:val="-4"/>
        </w:rPr>
        <w:t>Centre-Ouest,</w:t>
      </w:r>
      <w:r>
        <w:rPr>
          <w:color w:val="231F20"/>
          <w:spacing w:val="-11"/>
        </w:rPr>
        <w:t> </w:t>
      </w:r>
      <w:r>
        <w:rPr>
          <w:color w:val="231F20"/>
          <w:spacing w:val="-4"/>
        </w:rPr>
        <w:t>sud-Ouest</w:t>
      </w:r>
      <w:r>
        <w:rPr>
          <w:color w:val="231F20"/>
          <w:spacing w:val="-9"/>
        </w:rPr>
        <w:t> </w:t>
      </w:r>
      <w:r>
        <w:rPr>
          <w:color w:val="231F20"/>
          <w:spacing w:val="-4"/>
        </w:rPr>
        <w:t>et</w:t>
      </w:r>
      <w:r>
        <w:rPr>
          <w:color w:val="231F20"/>
          <w:spacing w:val="-9"/>
        </w:rPr>
        <w:t> </w:t>
      </w:r>
      <w:r>
        <w:rPr>
          <w:color w:val="231F20"/>
          <w:spacing w:val="-4"/>
        </w:rPr>
        <w:t>de</w:t>
      </w:r>
      <w:r>
        <w:rPr>
          <w:color w:val="231F20"/>
          <w:spacing w:val="-11"/>
        </w:rPr>
        <w:t> </w:t>
      </w:r>
      <w:r>
        <w:rPr>
          <w:color w:val="231F20"/>
          <w:spacing w:val="-4"/>
        </w:rPr>
        <w:t>l’Ouest. </w:t>
      </w:r>
      <w:r>
        <w:rPr>
          <w:color w:val="231F20"/>
          <w:spacing w:val="-2"/>
        </w:rPr>
        <w:t>Un</w:t>
      </w:r>
      <w:r>
        <w:rPr>
          <w:color w:val="231F20"/>
          <w:spacing w:val="-11"/>
        </w:rPr>
        <w:t> </w:t>
      </w:r>
      <w:r>
        <w:rPr>
          <w:color w:val="231F20"/>
          <w:spacing w:val="-2"/>
        </w:rPr>
        <w:t>véritable</w:t>
      </w:r>
      <w:r>
        <w:rPr>
          <w:color w:val="231F20"/>
          <w:spacing w:val="-13"/>
        </w:rPr>
        <w:t> </w:t>
      </w:r>
      <w:r>
        <w:rPr>
          <w:color w:val="231F20"/>
          <w:spacing w:val="-2"/>
        </w:rPr>
        <w:t>front</w:t>
      </w:r>
      <w:r>
        <w:rPr>
          <w:color w:val="231F20"/>
          <w:spacing w:val="-11"/>
        </w:rPr>
        <w:t> </w:t>
      </w:r>
      <w:r>
        <w:rPr>
          <w:color w:val="231F20"/>
          <w:spacing w:val="-2"/>
        </w:rPr>
        <w:t>de</w:t>
      </w:r>
      <w:r>
        <w:rPr>
          <w:color w:val="231F20"/>
          <w:spacing w:val="-11"/>
        </w:rPr>
        <w:t> </w:t>
      </w:r>
      <w:r>
        <w:rPr>
          <w:color w:val="231F20"/>
          <w:spacing w:val="-2"/>
        </w:rPr>
        <w:t>colonisation</w:t>
      </w:r>
      <w:r>
        <w:rPr>
          <w:color w:val="231F20"/>
          <w:spacing w:val="-12"/>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zone</w:t>
      </w:r>
      <w:r>
        <w:rPr>
          <w:color w:val="231F20"/>
          <w:spacing w:val="-11"/>
        </w:rPr>
        <w:t> </w:t>
      </w:r>
      <w:r>
        <w:rPr>
          <w:color w:val="231F20"/>
          <w:spacing w:val="-2"/>
        </w:rPr>
        <w:t>forestière</w:t>
      </w:r>
      <w:r>
        <w:rPr>
          <w:color w:val="231F20"/>
          <w:spacing w:val="-11"/>
        </w:rPr>
        <w:t> </w:t>
      </w:r>
      <w:r>
        <w:rPr>
          <w:color w:val="231F20"/>
          <w:spacing w:val="-2"/>
        </w:rPr>
        <w:t>d’Est</w:t>
      </w:r>
      <w:r>
        <w:rPr>
          <w:color w:val="231F20"/>
          <w:spacing w:val="-13"/>
        </w:rPr>
        <w:t> </w:t>
      </w:r>
      <w:r>
        <w:rPr>
          <w:color w:val="231F20"/>
          <w:spacing w:val="-2"/>
        </w:rPr>
        <w:t>en</w:t>
      </w:r>
      <w:r>
        <w:rPr>
          <w:color w:val="231F20"/>
          <w:spacing w:val="-12"/>
        </w:rPr>
        <w:t> </w:t>
      </w:r>
      <w:r>
        <w:rPr>
          <w:color w:val="231F20"/>
          <w:spacing w:val="-2"/>
        </w:rPr>
        <w:t>Ouest</w:t>
      </w:r>
      <w:r>
        <w:rPr>
          <w:color w:val="231F20"/>
          <w:spacing w:val="-10"/>
        </w:rPr>
        <w:t> </w:t>
      </w:r>
      <w:r>
        <w:rPr>
          <w:color w:val="231F20"/>
          <w:spacing w:val="-2"/>
        </w:rPr>
        <w:t>est </w:t>
      </w:r>
      <w:r>
        <w:rPr>
          <w:color w:val="231F20"/>
        </w:rPr>
        <w:t>mis en place.</w:t>
      </w:r>
    </w:p>
    <w:p>
      <w:pPr>
        <w:pStyle w:val="BodyText"/>
        <w:spacing w:before="121"/>
        <w:ind w:right="105" w:firstLine="283"/>
      </w:pPr>
      <w:r>
        <w:rPr>
          <w:color w:val="231F20"/>
        </w:rPr>
        <w:t>Par ailleurs, les cultivateurs du Nord sont vivement encouragés à développer la culture du coton dans leur région. L’État ivoirien, par l’intermédiaire de la Caisse de stabilisation et de soutien des prix des </w:t>
      </w:r>
      <w:r>
        <w:rPr>
          <w:color w:val="231F20"/>
          <w:spacing w:val="-4"/>
        </w:rPr>
        <w:t>production</w:t>
      </w:r>
      <w:r>
        <w:rPr>
          <w:color w:val="231F20"/>
          <w:spacing w:val="-11"/>
        </w:rPr>
        <w:t> </w:t>
      </w:r>
      <w:r>
        <w:rPr>
          <w:color w:val="231F20"/>
          <w:spacing w:val="-4"/>
        </w:rPr>
        <w:t>agricoles</w:t>
      </w:r>
      <w:r>
        <w:rPr>
          <w:color w:val="231F20"/>
          <w:spacing w:val="-11"/>
        </w:rPr>
        <w:t> </w:t>
      </w:r>
      <w:r>
        <w:rPr>
          <w:color w:val="231F20"/>
          <w:spacing w:val="-4"/>
        </w:rPr>
        <w:t>–</w:t>
      </w:r>
      <w:r>
        <w:rPr>
          <w:color w:val="231F20"/>
          <w:spacing w:val="-11"/>
        </w:rPr>
        <w:t> </w:t>
      </w:r>
      <w:r>
        <w:rPr>
          <w:color w:val="231F20"/>
          <w:spacing w:val="-4"/>
        </w:rPr>
        <w:t>Caistab-</w:t>
      </w:r>
      <w:r>
        <w:rPr>
          <w:color w:val="231F20"/>
          <w:spacing w:val="-11"/>
        </w:rPr>
        <w:t> </w:t>
      </w:r>
      <w:r>
        <w:rPr>
          <w:color w:val="231F20"/>
          <w:spacing w:val="-4"/>
        </w:rPr>
        <w:t>qui</w:t>
      </w:r>
      <w:r>
        <w:rPr>
          <w:color w:val="231F20"/>
          <w:spacing w:val="-11"/>
        </w:rPr>
        <w:t> </w:t>
      </w:r>
      <w:r>
        <w:rPr>
          <w:color w:val="231F20"/>
          <w:spacing w:val="-4"/>
        </w:rPr>
        <w:t>garantit,</w:t>
      </w:r>
      <w:r>
        <w:rPr>
          <w:color w:val="231F20"/>
          <w:spacing w:val="-11"/>
        </w:rPr>
        <w:t> </w:t>
      </w:r>
      <w:r>
        <w:rPr>
          <w:color w:val="231F20"/>
          <w:spacing w:val="-4"/>
        </w:rPr>
        <w:t>chaque</w:t>
      </w:r>
      <w:r>
        <w:rPr>
          <w:color w:val="231F20"/>
          <w:spacing w:val="-11"/>
        </w:rPr>
        <w:t> </w:t>
      </w:r>
      <w:r>
        <w:rPr>
          <w:color w:val="231F20"/>
          <w:spacing w:val="-4"/>
        </w:rPr>
        <w:t>année,</w:t>
      </w:r>
      <w:r>
        <w:rPr>
          <w:color w:val="231F20"/>
          <w:spacing w:val="-11"/>
        </w:rPr>
        <w:t> </w:t>
      </w:r>
      <w:r>
        <w:rPr>
          <w:color w:val="231F20"/>
          <w:spacing w:val="-4"/>
        </w:rPr>
        <w:t>un</w:t>
      </w:r>
      <w:r>
        <w:rPr>
          <w:color w:val="231F20"/>
          <w:spacing w:val="-11"/>
        </w:rPr>
        <w:t> </w:t>
      </w:r>
      <w:r>
        <w:rPr>
          <w:color w:val="231F20"/>
          <w:spacing w:val="-4"/>
        </w:rPr>
        <w:t>prix</w:t>
      </w:r>
      <w:r>
        <w:rPr>
          <w:color w:val="231F20"/>
          <w:spacing w:val="-11"/>
        </w:rPr>
        <w:t> </w:t>
      </w:r>
      <w:r>
        <w:rPr>
          <w:color w:val="231F20"/>
          <w:spacing w:val="-4"/>
        </w:rPr>
        <w:t>d’achat </w:t>
      </w:r>
      <w:r>
        <w:rPr>
          <w:color w:val="231F20"/>
        </w:rPr>
        <w:t>minimum aux productions des planteurs, se garde le monopole sur les exportations</w:t>
      </w:r>
      <w:r>
        <w:rPr>
          <w:color w:val="231F20"/>
          <w:spacing w:val="-15"/>
        </w:rPr>
        <w:t> </w:t>
      </w:r>
      <w:r>
        <w:rPr>
          <w:color w:val="231F20"/>
        </w:rPr>
        <w:t>de</w:t>
      </w:r>
      <w:r>
        <w:rPr>
          <w:color w:val="231F20"/>
          <w:spacing w:val="-15"/>
        </w:rPr>
        <w:t> </w:t>
      </w:r>
      <w:r>
        <w:rPr>
          <w:color w:val="231F20"/>
        </w:rPr>
        <w:t>café,</w:t>
      </w:r>
      <w:r>
        <w:rPr>
          <w:color w:val="231F20"/>
          <w:spacing w:val="-15"/>
        </w:rPr>
        <w:t> </w:t>
      </w:r>
      <w:r>
        <w:rPr>
          <w:color w:val="231F20"/>
        </w:rPr>
        <w:t>de</w:t>
      </w:r>
      <w:r>
        <w:rPr>
          <w:color w:val="231F20"/>
          <w:spacing w:val="-15"/>
        </w:rPr>
        <w:t> </w:t>
      </w:r>
      <w:r>
        <w:rPr>
          <w:color w:val="231F20"/>
        </w:rPr>
        <w:t>cacao</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coton.</w:t>
      </w:r>
      <w:r>
        <w:rPr>
          <w:color w:val="231F20"/>
          <w:spacing w:val="-15"/>
        </w:rPr>
        <w:t> </w:t>
      </w:r>
      <w:r>
        <w:rPr>
          <w:color w:val="231F20"/>
        </w:rPr>
        <w:t>Des</w:t>
      </w:r>
      <w:r>
        <w:rPr>
          <w:color w:val="231F20"/>
          <w:spacing w:val="-15"/>
        </w:rPr>
        <w:t> </w:t>
      </w:r>
      <w:r>
        <w:rPr>
          <w:color w:val="231F20"/>
        </w:rPr>
        <w:t>ressources</w:t>
      </w:r>
      <w:r>
        <w:rPr>
          <w:color w:val="231F20"/>
          <w:spacing w:val="-15"/>
        </w:rPr>
        <w:t> </w:t>
      </w:r>
      <w:r>
        <w:rPr>
          <w:color w:val="231F20"/>
        </w:rPr>
        <w:t>considérables sont</w:t>
      </w:r>
      <w:r>
        <w:rPr>
          <w:color w:val="231F20"/>
          <w:spacing w:val="-5"/>
        </w:rPr>
        <w:t> </w:t>
      </w:r>
      <w:r>
        <w:rPr>
          <w:color w:val="231F20"/>
        </w:rPr>
        <w:t>ainsi</w:t>
      </w:r>
      <w:r>
        <w:rPr>
          <w:color w:val="231F20"/>
          <w:spacing w:val="-3"/>
        </w:rPr>
        <w:t> </w:t>
      </w:r>
      <w:r>
        <w:rPr>
          <w:color w:val="231F20"/>
        </w:rPr>
        <w:t>dégagées</w:t>
      </w:r>
      <w:r>
        <w:rPr>
          <w:color w:val="231F20"/>
          <w:spacing w:val="-4"/>
        </w:rPr>
        <w:t> </w:t>
      </w:r>
      <w:r>
        <w:rPr>
          <w:color w:val="231F20"/>
        </w:rPr>
        <w:t>pour</w:t>
      </w:r>
      <w:r>
        <w:rPr>
          <w:color w:val="231F20"/>
          <w:spacing w:val="-4"/>
        </w:rPr>
        <w:t> </w:t>
      </w:r>
      <w:r>
        <w:rPr>
          <w:color w:val="231F20"/>
        </w:rPr>
        <w:t>financer</w:t>
      </w:r>
      <w:r>
        <w:rPr>
          <w:color w:val="231F20"/>
          <w:spacing w:val="-4"/>
        </w:rPr>
        <w:t> </w:t>
      </w:r>
      <w:r>
        <w:rPr>
          <w:color w:val="231F20"/>
        </w:rPr>
        <w:t>les</w:t>
      </w:r>
      <w:r>
        <w:rPr>
          <w:color w:val="231F20"/>
          <w:spacing w:val="-6"/>
        </w:rPr>
        <w:t> </w:t>
      </w:r>
      <w:r>
        <w:rPr>
          <w:color w:val="231F20"/>
        </w:rPr>
        <w:t>projets</w:t>
      </w:r>
      <w:r>
        <w:rPr>
          <w:color w:val="231F20"/>
          <w:spacing w:val="-6"/>
        </w:rPr>
        <w:t> </w:t>
      </w:r>
      <w:r>
        <w:rPr>
          <w:color w:val="231F20"/>
        </w:rPr>
        <w:t>nationaux.</w:t>
      </w:r>
    </w:p>
    <w:p>
      <w:pPr>
        <w:pStyle w:val="BodyText"/>
        <w:spacing w:before="241"/>
        <w:ind w:left="0"/>
        <w:jc w:val="left"/>
      </w:pPr>
    </w:p>
    <w:p>
      <w:pPr>
        <w:pStyle w:val="Heading3"/>
        <w:rPr>
          <w:i/>
        </w:rPr>
      </w:pPr>
      <w:bookmarkStart w:name="_TOC_250026" w:id="17"/>
      <w:r>
        <w:rPr>
          <w:i/>
          <w:color w:val="231F20"/>
          <w:spacing w:val="-4"/>
        </w:rPr>
        <w:t>Les</w:t>
      </w:r>
      <w:r>
        <w:rPr>
          <w:i/>
          <w:color w:val="231F20"/>
          <w:spacing w:val="-1"/>
        </w:rPr>
        <w:t> </w:t>
      </w:r>
      <w:r>
        <w:rPr>
          <w:i/>
          <w:color w:val="231F20"/>
          <w:spacing w:val="-4"/>
        </w:rPr>
        <w:t>Coopérants</w:t>
      </w:r>
      <w:r>
        <w:rPr>
          <w:i/>
          <w:color w:val="231F20"/>
        </w:rPr>
        <w:t> </w:t>
      </w:r>
      <w:bookmarkEnd w:id="17"/>
      <w:r>
        <w:rPr>
          <w:i/>
          <w:color w:val="231F20"/>
          <w:spacing w:val="-4"/>
        </w:rPr>
        <w:t>français</w:t>
      </w:r>
    </w:p>
    <w:p>
      <w:pPr>
        <w:pStyle w:val="BodyText"/>
        <w:spacing w:before="256"/>
        <w:ind w:left="0" w:right="107"/>
        <w:jc w:val="right"/>
      </w:pPr>
      <w:r>
        <w:rPr>
          <w:color w:val="231F20"/>
        </w:rPr>
        <w:t>Octobre</w:t>
      </w:r>
      <w:r>
        <w:rPr>
          <w:color w:val="231F20"/>
          <w:spacing w:val="27"/>
        </w:rPr>
        <w:t> </w:t>
      </w:r>
      <w:r>
        <w:rPr>
          <w:color w:val="231F20"/>
        </w:rPr>
        <w:t>1964.</w:t>
      </w:r>
      <w:r>
        <w:rPr>
          <w:color w:val="231F20"/>
          <w:spacing w:val="28"/>
        </w:rPr>
        <w:t> </w:t>
      </w:r>
      <w:r>
        <w:rPr>
          <w:color w:val="231F20"/>
        </w:rPr>
        <w:t>Je</w:t>
      </w:r>
      <w:r>
        <w:rPr>
          <w:color w:val="231F20"/>
          <w:spacing w:val="27"/>
        </w:rPr>
        <w:t> </w:t>
      </w:r>
      <w:r>
        <w:rPr>
          <w:color w:val="231F20"/>
        </w:rPr>
        <w:t>viens</w:t>
      </w:r>
      <w:r>
        <w:rPr>
          <w:color w:val="231F20"/>
          <w:spacing w:val="26"/>
        </w:rPr>
        <w:t> </w:t>
      </w:r>
      <w:r>
        <w:rPr>
          <w:color w:val="231F20"/>
        </w:rPr>
        <w:t>poursuivre</w:t>
      </w:r>
      <w:r>
        <w:rPr>
          <w:color w:val="231F20"/>
          <w:spacing w:val="28"/>
        </w:rPr>
        <w:t> </w:t>
      </w:r>
      <w:r>
        <w:rPr>
          <w:color w:val="231F20"/>
        </w:rPr>
        <w:t>ma</w:t>
      </w:r>
      <w:r>
        <w:rPr>
          <w:color w:val="231F20"/>
          <w:spacing w:val="28"/>
        </w:rPr>
        <w:t> </w:t>
      </w:r>
      <w:r>
        <w:rPr>
          <w:color w:val="231F20"/>
        </w:rPr>
        <w:t>scolarité</w:t>
      </w:r>
      <w:r>
        <w:rPr>
          <w:color w:val="231F20"/>
          <w:spacing w:val="27"/>
        </w:rPr>
        <w:t> </w:t>
      </w:r>
      <w:r>
        <w:rPr>
          <w:color w:val="231F20"/>
        </w:rPr>
        <w:t>à</w:t>
      </w:r>
      <w:r>
        <w:rPr>
          <w:color w:val="231F20"/>
          <w:spacing w:val="28"/>
        </w:rPr>
        <w:t> </w:t>
      </w:r>
      <w:r>
        <w:rPr>
          <w:color w:val="231F20"/>
        </w:rPr>
        <w:t>Abidjan,</w:t>
      </w:r>
      <w:r>
        <w:rPr>
          <w:color w:val="231F20"/>
          <w:spacing w:val="28"/>
        </w:rPr>
        <w:t> </w:t>
      </w:r>
      <w:r>
        <w:rPr>
          <w:color w:val="231F20"/>
          <w:spacing w:val="-2"/>
        </w:rPr>
        <w:t>venant</w:t>
      </w:r>
    </w:p>
    <w:p>
      <w:pPr>
        <w:pStyle w:val="BodyText"/>
        <w:spacing w:line="266" w:lineRule="exact"/>
        <w:ind w:left="0" w:right="105"/>
        <w:jc w:val="right"/>
      </w:pPr>
      <w:r>
        <w:rPr>
          <w:color w:val="231F20"/>
          <w:spacing w:val="-2"/>
        </w:rPr>
        <w:t>d’une</w:t>
      </w:r>
      <w:r>
        <w:rPr>
          <w:color w:val="231F20"/>
          <w:spacing w:val="-6"/>
        </w:rPr>
        <w:t> </w:t>
      </w:r>
      <w:r>
        <w:rPr>
          <w:color w:val="231F20"/>
          <w:spacing w:val="-2"/>
        </w:rPr>
        <w:t>ville</w:t>
      </w:r>
      <w:r>
        <w:rPr>
          <w:color w:val="231F20"/>
          <w:spacing w:val="-8"/>
        </w:rPr>
        <w:t> </w:t>
      </w:r>
      <w:r>
        <w:rPr>
          <w:color w:val="231F20"/>
          <w:spacing w:val="-2"/>
        </w:rPr>
        <w:t>de</w:t>
      </w:r>
      <w:r>
        <w:rPr>
          <w:color w:val="231F20"/>
          <w:spacing w:val="-8"/>
        </w:rPr>
        <w:t> </w:t>
      </w:r>
      <w:r>
        <w:rPr>
          <w:color w:val="231F20"/>
          <w:spacing w:val="-2"/>
        </w:rPr>
        <w:t>l’intérieur</w:t>
      </w:r>
      <w:r>
        <w:rPr>
          <w:color w:val="231F20"/>
          <w:spacing w:val="-7"/>
        </w:rPr>
        <w:t> </w:t>
      </w:r>
      <w:r>
        <w:rPr>
          <w:color w:val="231F20"/>
          <w:spacing w:val="-2"/>
        </w:rPr>
        <w:t>du</w:t>
      </w:r>
      <w:r>
        <w:rPr>
          <w:color w:val="231F20"/>
          <w:spacing w:val="-6"/>
        </w:rPr>
        <w:t> </w:t>
      </w:r>
      <w:r>
        <w:rPr>
          <w:color w:val="231F20"/>
          <w:spacing w:val="-2"/>
        </w:rPr>
        <w:t>pays.</w:t>
      </w:r>
      <w:r>
        <w:rPr>
          <w:color w:val="231F20"/>
          <w:spacing w:val="-7"/>
        </w:rPr>
        <w:t> </w:t>
      </w:r>
      <w:r>
        <w:rPr>
          <w:color w:val="231F20"/>
          <w:spacing w:val="-2"/>
        </w:rPr>
        <w:t>Je</w:t>
      </w:r>
      <w:r>
        <w:rPr>
          <w:color w:val="231F20"/>
          <w:spacing w:val="-8"/>
        </w:rPr>
        <w:t> </w:t>
      </w:r>
      <w:r>
        <w:rPr>
          <w:color w:val="231F20"/>
          <w:spacing w:val="-2"/>
        </w:rPr>
        <w:t>suis</w:t>
      </w:r>
      <w:r>
        <w:rPr>
          <w:color w:val="231F20"/>
          <w:spacing w:val="-7"/>
        </w:rPr>
        <w:t> </w:t>
      </w:r>
      <w:r>
        <w:rPr>
          <w:color w:val="231F20"/>
          <w:spacing w:val="-2"/>
        </w:rPr>
        <w:t>inscris</w:t>
      </w:r>
      <w:r>
        <w:rPr>
          <w:color w:val="231F20"/>
          <w:spacing w:val="-7"/>
        </w:rPr>
        <w:t> </w:t>
      </w:r>
      <w:r>
        <w:rPr>
          <w:color w:val="231F20"/>
          <w:spacing w:val="-2"/>
        </w:rPr>
        <w:t>à</w:t>
      </w:r>
      <w:r>
        <w:rPr>
          <w:color w:val="231F20"/>
          <w:spacing w:val="-8"/>
        </w:rPr>
        <w:t> </w:t>
      </w:r>
      <w:r>
        <w:rPr>
          <w:color w:val="231F20"/>
          <w:spacing w:val="-2"/>
        </w:rPr>
        <w:t>l’École</w:t>
      </w:r>
      <w:r>
        <w:rPr>
          <w:color w:val="231F20"/>
          <w:spacing w:val="-7"/>
        </w:rPr>
        <w:t> </w:t>
      </w:r>
      <w:r>
        <w:rPr>
          <w:color w:val="231F20"/>
          <w:spacing w:val="-2"/>
        </w:rPr>
        <w:t>Pilote,</w:t>
      </w:r>
      <w:r>
        <w:rPr>
          <w:color w:val="231F20"/>
          <w:spacing w:val="-7"/>
        </w:rPr>
        <w:t> </w:t>
      </w:r>
      <w:r>
        <w:rPr>
          <w:color w:val="231F20"/>
          <w:spacing w:val="-2"/>
        </w:rPr>
        <w:t>Cocody</w:t>
      </w:r>
    </w:p>
    <w:p>
      <w:pPr>
        <w:spacing w:after="0" w:line="266" w:lineRule="exact"/>
        <w:jc w:val="right"/>
        <w:sectPr>
          <w:pgSz w:w="8790" w:h="13610"/>
          <w:pgMar w:header="0" w:footer="802" w:top="1060" w:bottom="1000" w:left="880" w:right="880"/>
        </w:sectPr>
      </w:pPr>
    </w:p>
    <w:p>
      <w:pPr>
        <w:spacing w:line="151" w:lineRule="auto" w:before="42"/>
        <w:ind w:left="111" w:right="0" w:firstLine="0"/>
        <w:jc w:val="left"/>
        <w:rPr>
          <w:sz w:val="16"/>
        </w:rPr>
      </w:pPr>
      <w:r>
        <w:rPr/>
        <mc:AlternateContent>
          <mc:Choice Requires="wps">
            <w:drawing>
              <wp:anchor distT="0" distB="0" distL="0" distR="0" allowOverlap="1" layoutInCell="1" locked="0" behindDoc="0" simplePos="0" relativeHeight="15769600">
                <wp:simplePos x="0" y="0"/>
                <wp:positionH relativeFrom="page">
                  <wp:posOffset>1017003</wp:posOffset>
                </wp:positionH>
                <wp:positionV relativeFrom="paragraph">
                  <wp:posOffset>70113</wp:posOffset>
                </wp:positionV>
                <wp:extent cx="26034" cy="113664"/>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6034" cy="113664"/>
                        </a:xfrm>
                        <a:prstGeom prst="rect">
                          <a:avLst/>
                        </a:prstGeom>
                      </wps:spPr>
                      <wps:txbx>
                        <w:txbxContent>
                          <w:p>
                            <w:pPr>
                              <w:spacing w:line="178" w:lineRule="exact" w:before="0"/>
                              <w:ind w:left="0" w:right="0" w:firstLine="0"/>
                              <w:jc w:val="left"/>
                              <w:rPr>
                                <w:sz w:val="16"/>
                              </w:rPr>
                            </w:pPr>
                            <w:r>
                              <w:rPr>
                                <w:color w:val="231F20"/>
                                <w:spacing w:val="-10"/>
                                <w:sz w:val="16"/>
                              </w:rPr>
                              <w:t>,</w:t>
                            </w:r>
                          </w:p>
                        </w:txbxContent>
                      </wps:txbx>
                      <wps:bodyPr wrap="square" lIns="0" tIns="0" rIns="0" bIns="0" rtlCol="0">
                        <a:noAutofit/>
                      </wps:bodyPr>
                    </wps:wsp>
                  </a:graphicData>
                </a:graphic>
              </wp:anchor>
            </w:drawing>
          </mc:Choice>
          <mc:Fallback>
            <w:pict>
              <v:shape style="position:absolute;margin-left:80.078995pt;margin-top:5.520734pt;width:2.050pt;height:8.950pt;mso-position-horizontal-relative:page;mso-position-vertical-relative:paragraph;z-index:15769600" type="#_x0000_t202" id="docshape98" filled="false" stroked="false">
                <v:textbox inset="0,0,0,0">
                  <w:txbxContent>
                    <w:p>
                      <w:pPr>
                        <w:spacing w:line="178" w:lineRule="exact" w:before="0"/>
                        <w:ind w:left="0" w:right="0" w:firstLine="0"/>
                        <w:jc w:val="left"/>
                        <w:rPr>
                          <w:sz w:val="16"/>
                        </w:rPr>
                      </w:pPr>
                      <w:r>
                        <w:rPr>
                          <w:color w:val="231F20"/>
                          <w:spacing w:val="-10"/>
                          <w:sz w:val="16"/>
                        </w:rPr>
                        <w:t>,</w:t>
                      </w:r>
                    </w:p>
                  </w:txbxContent>
                </v:textbox>
                <w10:wrap type="none"/>
              </v:shape>
            </w:pict>
          </mc:Fallback>
        </mc:AlternateContent>
      </w:r>
      <w:r>
        <w:rPr>
          <w:color w:val="231F20"/>
          <w:spacing w:val="-4"/>
          <w:position w:val="-8"/>
          <w:sz w:val="24"/>
        </w:rPr>
        <w:t>Sud</w:t>
      </w:r>
      <w:r>
        <w:rPr>
          <w:color w:val="231F20"/>
          <w:spacing w:val="-4"/>
          <w:sz w:val="16"/>
        </w:rPr>
        <w:t>129</w:t>
      </w:r>
    </w:p>
    <w:p>
      <w:pPr>
        <w:pStyle w:val="BodyText"/>
        <w:spacing w:before="10"/>
        <w:ind w:left="77"/>
        <w:jc w:val="left"/>
      </w:pPr>
      <w:r>
        <w:rPr/>
        <w:br w:type="column"/>
      </w:r>
      <w:r>
        <w:rPr>
          <w:color w:val="231F20"/>
        </w:rPr>
        <w:t>en</w:t>
      </w:r>
      <w:r>
        <w:rPr>
          <w:color w:val="231F20"/>
          <w:spacing w:val="2"/>
        </w:rPr>
        <w:t> </w:t>
      </w:r>
      <w:r>
        <w:rPr>
          <w:color w:val="231F20"/>
        </w:rPr>
        <w:t>classe</w:t>
      </w:r>
      <w:r>
        <w:rPr>
          <w:color w:val="231F20"/>
          <w:spacing w:val="4"/>
        </w:rPr>
        <w:t> </w:t>
      </w:r>
      <w:r>
        <w:rPr>
          <w:color w:val="231F20"/>
        </w:rPr>
        <w:t>de</w:t>
      </w:r>
      <w:r>
        <w:rPr>
          <w:color w:val="231F20"/>
          <w:spacing w:val="1"/>
        </w:rPr>
        <w:t> </w:t>
      </w:r>
      <w:r>
        <w:rPr>
          <w:color w:val="231F20"/>
        </w:rPr>
        <w:t>Cours</w:t>
      </w:r>
      <w:r>
        <w:rPr>
          <w:color w:val="231F20"/>
          <w:spacing w:val="1"/>
        </w:rPr>
        <w:t> </w:t>
      </w:r>
      <w:r>
        <w:rPr>
          <w:color w:val="231F20"/>
        </w:rPr>
        <w:t>Moyen</w:t>
      </w:r>
      <w:r>
        <w:rPr>
          <w:color w:val="231F20"/>
          <w:spacing w:val="3"/>
        </w:rPr>
        <w:t> </w:t>
      </w:r>
      <w:r>
        <w:rPr>
          <w:color w:val="231F20"/>
        </w:rPr>
        <w:t>1ère</w:t>
      </w:r>
      <w:r>
        <w:rPr>
          <w:color w:val="231F20"/>
          <w:spacing w:val="4"/>
        </w:rPr>
        <w:t> </w:t>
      </w:r>
      <w:r>
        <w:rPr>
          <w:color w:val="231F20"/>
        </w:rPr>
        <w:t>année</w:t>
      </w:r>
      <w:r>
        <w:rPr>
          <w:color w:val="231F20"/>
          <w:spacing w:val="3"/>
        </w:rPr>
        <w:t> </w:t>
      </w:r>
      <w:r>
        <w:rPr>
          <w:color w:val="231F20"/>
        </w:rPr>
        <w:t>(CM1).</w:t>
      </w:r>
      <w:r>
        <w:rPr>
          <w:color w:val="231F20"/>
          <w:spacing w:val="3"/>
        </w:rPr>
        <w:t> </w:t>
      </w:r>
      <w:r>
        <w:rPr>
          <w:color w:val="231F20"/>
        </w:rPr>
        <w:t>La</w:t>
      </w:r>
      <w:r>
        <w:rPr>
          <w:color w:val="231F20"/>
          <w:spacing w:val="4"/>
        </w:rPr>
        <w:t> </w:t>
      </w:r>
      <w:r>
        <w:rPr>
          <w:color w:val="231F20"/>
        </w:rPr>
        <w:t>Directrice</w:t>
      </w:r>
      <w:r>
        <w:rPr>
          <w:color w:val="231F20"/>
          <w:spacing w:val="4"/>
        </w:rPr>
        <w:t> </w:t>
      </w:r>
      <w:r>
        <w:rPr>
          <w:color w:val="231F20"/>
          <w:spacing w:val="-5"/>
        </w:rPr>
        <w:t>est</w:t>
      </w:r>
    </w:p>
    <w:p>
      <w:pPr>
        <w:spacing w:after="0"/>
        <w:jc w:val="left"/>
        <w:sectPr>
          <w:type w:val="continuous"/>
          <w:pgSz w:w="8790" w:h="13610"/>
          <w:pgMar w:header="0" w:footer="802" w:top="320" w:bottom="280" w:left="880" w:right="880"/>
          <w:cols w:num="2" w:equalWidth="0">
            <w:col w:w="722" w:space="40"/>
            <w:col w:w="6268"/>
          </w:cols>
        </w:sectPr>
      </w:pPr>
    </w:p>
    <w:p>
      <w:pPr>
        <w:pStyle w:val="BodyText"/>
        <w:ind w:right="105"/>
      </w:pPr>
      <w:r>
        <w:rPr>
          <w:color w:val="231F20"/>
          <w:spacing w:val="-2"/>
        </w:rPr>
        <w:t>Française.</w:t>
      </w:r>
      <w:r>
        <w:rPr>
          <w:color w:val="231F20"/>
          <w:spacing w:val="-15"/>
        </w:rPr>
        <w:t> </w:t>
      </w:r>
      <w:r>
        <w:rPr>
          <w:color w:val="231F20"/>
          <w:spacing w:val="-2"/>
        </w:rPr>
        <w:t>Dans</w:t>
      </w:r>
      <w:r>
        <w:rPr>
          <w:color w:val="231F20"/>
          <w:spacing w:val="-13"/>
        </w:rPr>
        <w:t> </w:t>
      </w:r>
      <w:r>
        <w:rPr>
          <w:color w:val="231F20"/>
          <w:spacing w:val="-2"/>
        </w:rPr>
        <w:t>ma</w:t>
      </w:r>
      <w:r>
        <w:rPr>
          <w:color w:val="231F20"/>
          <w:spacing w:val="-13"/>
        </w:rPr>
        <w:t> </w:t>
      </w:r>
      <w:r>
        <w:rPr>
          <w:color w:val="231F20"/>
          <w:spacing w:val="-2"/>
        </w:rPr>
        <w:t>nouvelle</w:t>
      </w:r>
      <w:r>
        <w:rPr>
          <w:color w:val="231F20"/>
          <w:spacing w:val="-13"/>
        </w:rPr>
        <w:t> </w:t>
      </w:r>
      <w:r>
        <w:rPr>
          <w:color w:val="231F20"/>
          <w:spacing w:val="-2"/>
        </w:rPr>
        <w:t>classe</w:t>
      </w:r>
      <w:r>
        <w:rPr>
          <w:color w:val="231F20"/>
          <w:spacing w:val="-13"/>
        </w:rPr>
        <w:t> </w:t>
      </w:r>
      <w:r>
        <w:rPr>
          <w:color w:val="231F20"/>
          <w:spacing w:val="-2"/>
        </w:rPr>
        <w:t>dont</w:t>
      </w:r>
      <w:r>
        <w:rPr>
          <w:color w:val="231F20"/>
          <w:spacing w:val="-13"/>
        </w:rPr>
        <w:t> </w:t>
      </w:r>
      <w:r>
        <w:rPr>
          <w:color w:val="231F20"/>
          <w:spacing w:val="-2"/>
        </w:rPr>
        <w:t>l’effectif</w:t>
      </w:r>
      <w:r>
        <w:rPr>
          <w:color w:val="231F20"/>
          <w:spacing w:val="-13"/>
        </w:rPr>
        <w:t> </w:t>
      </w:r>
      <w:r>
        <w:rPr>
          <w:color w:val="231F20"/>
          <w:spacing w:val="-2"/>
        </w:rPr>
        <w:t>est</w:t>
      </w:r>
      <w:r>
        <w:rPr>
          <w:color w:val="231F20"/>
          <w:spacing w:val="-13"/>
        </w:rPr>
        <w:t> </w:t>
      </w:r>
      <w:r>
        <w:rPr>
          <w:color w:val="231F20"/>
          <w:spacing w:val="-2"/>
        </w:rPr>
        <w:t>de</w:t>
      </w:r>
      <w:r>
        <w:rPr>
          <w:color w:val="231F20"/>
          <w:spacing w:val="-13"/>
        </w:rPr>
        <w:t> </w:t>
      </w:r>
      <w:r>
        <w:rPr>
          <w:color w:val="231F20"/>
          <w:spacing w:val="-2"/>
        </w:rPr>
        <w:t>vingt-six</w:t>
      </w:r>
      <w:r>
        <w:rPr>
          <w:color w:val="231F20"/>
          <w:spacing w:val="-13"/>
        </w:rPr>
        <w:t> </w:t>
      </w:r>
      <w:r>
        <w:rPr>
          <w:color w:val="231F20"/>
          <w:spacing w:val="-2"/>
        </w:rPr>
        <w:t>élèves, </w:t>
      </w:r>
      <w:r>
        <w:rPr>
          <w:color w:val="231F20"/>
        </w:rPr>
        <w:t>nous</w:t>
      </w:r>
      <w:r>
        <w:rPr>
          <w:color w:val="231F20"/>
          <w:spacing w:val="-15"/>
        </w:rPr>
        <w:t> </w:t>
      </w:r>
      <w:r>
        <w:rPr>
          <w:color w:val="231F20"/>
        </w:rPr>
        <w:t>sommes</w:t>
      </w:r>
      <w:r>
        <w:rPr>
          <w:color w:val="231F20"/>
          <w:spacing w:val="-15"/>
        </w:rPr>
        <w:t> </w:t>
      </w:r>
      <w:r>
        <w:rPr>
          <w:color w:val="231F20"/>
        </w:rPr>
        <w:t>deux</w:t>
      </w:r>
      <w:r>
        <w:rPr>
          <w:color w:val="231F20"/>
          <w:spacing w:val="-15"/>
        </w:rPr>
        <w:t> </w:t>
      </w:r>
      <w:r>
        <w:rPr>
          <w:color w:val="231F20"/>
        </w:rPr>
        <w:t>noirs,</w:t>
      </w:r>
      <w:r>
        <w:rPr>
          <w:color w:val="231F20"/>
          <w:spacing w:val="-15"/>
        </w:rPr>
        <w:t> </w:t>
      </w:r>
      <w:r>
        <w:rPr>
          <w:color w:val="231F20"/>
        </w:rPr>
        <w:t>deux</w:t>
      </w:r>
      <w:r>
        <w:rPr>
          <w:color w:val="231F20"/>
          <w:spacing w:val="-15"/>
        </w:rPr>
        <w:t> </w:t>
      </w:r>
      <w:r>
        <w:rPr>
          <w:color w:val="231F20"/>
        </w:rPr>
        <w:t>métis</w:t>
      </w:r>
      <w:r>
        <w:rPr>
          <w:color w:val="231F20"/>
          <w:spacing w:val="-15"/>
        </w:rPr>
        <w:t> </w:t>
      </w:r>
      <w:r>
        <w:rPr>
          <w:color w:val="231F20"/>
        </w:rPr>
        <w:t>;</w:t>
      </w:r>
      <w:r>
        <w:rPr>
          <w:color w:val="231F20"/>
          <w:spacing w:val="-15"/>
        </w:rPr>
        <w:t> </w:t>
      </w:r>
      <w:r>
        <w:rPr>
          <w:color w:val="231F20"/>
        </w:rPr>
        <w:t>le</w:t>
      </w:r>
      <w:r>
        <w:rPr>
          <w:color w:val="231F20"/>
          <w:spacing w:val="-15"/>
        </w:rPr>
        <w:t> </w:t>
      </w:r>
      <w:r>
        <w:rPr>
          <w:color w:val="231F20"/>
        </w:rPr>
        <w:t>reste</w:t>
      </w:r>
      <w:r>
        <w:rPr>
          <w:color w:val="231F20"/>
          <w:spacing w:val="-15"/>
        </w:rPr>
        <w:t> </w:t>
      </w:r>
      <w:r>
        <w:rPr>
          <w:color w:val="231F20"/>
        </w:rPr>
        <w:t>des</w:t>
      </w:r>
      <w:r>
        <w:rPr>
          <w:color w:val="231F20"/>
          <w:spacing w:val="-15"/>
        </w:rPr>
        <w:t> </w:t>
      </w:r>
      <w:r>
        <w:rPr>
          <w:color w:val="231F20"/>
        </w:rPr>
        <w:t>élèves</w:t>
      </w:r>
      <w:r>
        <w:rPr>
          <w:color w:val="231F20"/>
          <w:spacing w:val="-15"/>
        </w:rPr>
        <w:t> </w:t>
      </w:r>
      <w:r>
        <w:rPr>
          <w:color w:val="231F20"/>
        </w:rPr>
        <w:t>est</w:t>
      </w:r>
      <w:r>
        <w:rPr>
          <w:color w:val="231F20"/>
          <w:spacing w:val="-15"/>
        </w:rPr>
        <w:t> </w:t>
      </w:r>
      <w:r>
        <w:rPr>
          <w:color w:val="231F20"/>
        </w:rPr>
        <w:t>uniquement composé de Blancs.</w:t>
      </w:r>
    </w:p>
    <w:p>
      <w:pPr>
        <w:pStyle w:val="BodyText"/>
        <w:spacing w:before="120"/>
        <w:ind w:firstLine="283"/>
        <w:jc w:val="left"/>
      </w:pPr>
      <w:r>
        <w:rPr>
          <w:color w:val="231F20"/>
        </w:rPr>
        <w:t>Ma maîtresse, blanche,</w:t>
      </w:r>
      <w:r>
        <w:rPr>
          <w:color w:val="231F20"/>
          <w:spacing w:val="15"/>
        </w:rPr>
        <w:t> </w:t>
      </w:r>
      <w:r>
        <w:rPr>
          <w:color w:val="231F20"/>
        </w:rPr>
        <w:t>Française,</w:t>
      </w:r>
      <w:r>
        <w:rPr>
          <w:color w:val="231F20"/>
          <w:spacing w:val="15"/>
        </w:rPr>
        <w:t> </w:t>
      </w:r>
      <w:r>
        <w:rPr>
          <w:color w:val="231F20"/>
        </w:rPr>
        <w:t>me demande,</w:t>
      </w:r>
      <w:r>
        <w:rPr>
          <w:color w:val="231F20"/>
          <w:spacing w:val="15"/>
        </w:rPr>
        <w:t> </w:t>
      </w:r>
      <w:r>
        <w:rPr>
          <w:color w:val="231F20"/>
        </w:rPr>
        <w:t>le premier jour de classe :</w:t>
      </w:r>
    </w:p>
    <w:p>
      <w:pPr>
        <w:pStyle w:val="BodyText"/>
        <w:spacing w:before="121"/>
        <w:ind w:left="395"/>
        <w:jc w:val="left"/>
      </w:pPr>
      <w:r>
        <w:rPr>
          <w:color w:val="231F20"/>
          <w:spacing w:val="-2"/>
        </w:rPr>
        <w:t>«</w:t>
      </w:r>
      <w:r>
        <w:rPr>
          <w:color w:val="231F20"/>
          <w:spacing w:val="-9"/>
        </w:rPr>
        <w:t> </w:t>
      </w:r>
      <w:r>
        <w:rPr>
          <w:color w:val="231F20"/>
          <w:spacing w:val="-2"/>
        </w:rPr>
        <w:t>Où</w:t>
      </w:r>
      <w:r>
        <w:rPr>
          <w:color w:val="231F20"/>
          <w:spacing w:val="-9"/>
        </w:rPr>
        <w:t> </w:t>
      </w:r>
      <w:r>
        <w:rPr>
          <w:color w:val="231F20"/>
          <w:spacing w:val="-2"/>
        </w:rPr>
        <w:t>étais-tu</w:t>
      </w:r>
      <w:r>
        <w:rPr>
          <w:color w:val="231F20"/>
          <w:spacing w:val="-10"/>
        </w:rPr>
        <w:t> </w:t>
      </w:r>
      <w:r>
        <w:rPr>
          <w:color w:val="231F20"/>
          <w:spacing w:val="-2"/>
        </w:rPr>
        <w:t>l’année</w:t>
      </w:r>
      <w:r>
        <w:rPr>
          <w:color w:val="231F20"/>
          <w:spacing w:val="-10"/>
        </w:rPr>
        <w:t> </w:t>
      </w:r>
      <w:r>
        <w:rPr>
          <w:color w:val="231F20"/>
          <w:spacing w:val="-2"/>
        </w:rPr>
        <w:t>dernière</w:t>
      </w:r>
      <w:r>
        <w:rPr>
          <w:color w:val="231F20"/>
          <w:spacing w:val="-9"/>
        </w:rPr>
        <w:t> </w:t>
      </w:r>
      <w:r>
        <w:rPr>
          <w:color w:val="231F20"/>
          <w:spacing w:val="-10"/>
        </w:rPr>
        <w:t>?</w:t>
      </w:r>
    </w:p>
    <w:p>
      <w:pPr>
        <w:pStyle w:val="BodyText"/>
        <w:spacing w:before="120"/>
        <w:ind w:left="395"/>
        <w:jc w:val="left"/>
      </w:pPr>
      <w:r>
        <w:rPr>
          <w:color w:val="231F20"/>
        </w:rPr>
        <w:t>-</w:t>
      </w:r>
      <w:r>
        <w:rPr>
          <w:color w:val="231F20"/>
          <w:spacing w:val="-13"/>
        </w:rPr>
        <w:t> </w:t>
      </w:r>
      <w:r>
        <w:rPr>
          <w:color w:val="231F20"/>
        </w:rPr>
        <w:t>A</w:t>
      </w:r>
      <w:r>
        <w:rPr>
          <w:color w:val="231F20"/>
          <w:spacing w:val="-12"/>
        </w:rPr>
        <w:t> </w:t>
      </w:r>
      <w:r>
        <w:rPr>
          <w:color w:val="231F20"/>
        </w:rPr>
        <w:t>Sinfra,</w:t>
      </w:r>
      <w:r>
        <w:rPr>
          <w:color w:val="231F20"/>
          <w:spacing w:val="-14"/>
        </w:rPr>
        <w:t> </w:t>
      </w:r>
      <w:r>
        <w:rPr>
          <w:color w:val="231F20"/>
          <w:spacing w:val="-2"/>
        </w:rPr>
        <w:t>madame.</w:t>
      </w:r>
    </w:p>
    <w:p>
      <w:pPr>
        <w:pStyle w:val="BodyText"/>
        <w:ind w:left="0"/>
        <w:jc w:val="left"/>
        <w:rPr>
          <w:sz w:val="20"/>
        </w:rPr>
      </w:pPr>
    </w:p>
    <w:p>
      <w:pPr>
        <w:pStyle w:val="BodyText"/>
        <w:spacing w:before="138"/>
        <w:ind w:left="0"/>
        <w:jc w:val="left"/>
        <w:rPr>
          <w:sz w:val="20"/>
        </w:rPr>
      </w:pPr>
      <w:r>
        <w:rPr/>
        <mc:AlternateContent>
          <mc:Choice Requires="wps">
            <w:drawing>
              <wp:anchor distT="0" distB="0" distL="0" distR="0" allowOverlap="1" layoutInCell="1" locked="0" behindDoc="1" simplePos="0" relativeHeight="487628288">
                <wp:simplePos x="0" y="0"/>
                <wp:positionH relativeFrom="page">
                  <wp:posOffset>629907</wp:posOffset>
                </wp:positionH>
                <wp:positionV relativeFrom="paragraph">
                  <wp:posOffset>249369</wp:posOffset>
                </wp:positionV>
                <wp:extent cx="1829435" cy="9525"/>
                <wp:effectExtent l="0" t="0" r="0" b="0"/>
                <wp:wrapTopAndBottom/>
                <wp:docPr id="101" name="Graphic 101"/>
                <wp:cNvGraphicFramePr>
                  <a:graphicFrameLocks/>
                </wp:cNvGraphicFramePr>
                <a:graphic>
                  <a:graphicData uri="http://schemas.microsoft.com/office/word/2010/wordprocessingShape">
                    <wps:wsp>
                      <wps:cNvPr id="101" name="Graphic 10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635372pt;width:144.020pt;height:.72pt;mso-position-horizontal-relative:page;mso-position-vertical-relative:paragraph;z-index:-15688192;mso-wrap-distance-left:0;mso-wrap-distance-right:0" id="docshape99"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129</w:t>
      </w:r>
      <w:r>
        <w:rPr>
          <w:color w:val="76787A"/>
          <w:spacing w:val="3"/>
          <w:sz w:val="20"/>
          <w:vertAlign w:val="baseline"/>
        </w:rPr>
        <w:t> </w:t>
      </w:r>
      <w:r>
        <w:rPr>
          <w:color w:val="231F20"/>
          <w:spacing w:val="-4"/>
          <w:sz w:val="20"/>
          <w:vertAlign w:val="baseline"/>
        </w:rPr>
        <w:t>Commune</w:t>
      </w:r>
      <w:r>
        <w:rPr>
          <w:color w:val="231F20"/>
          <w:spacing w:val="-2"/>
          <w:sz w:val="20"/>
          <w:vertAlign w:val="baseline"/>
        </w:rPr>
        <w:t> </w:t>
      </w:r>
      <w:r>
        <w:rPr>
          <w:color w:val="231F20"/>
          <w:spacing w:val="-4"/>
          <w:sz w:val="20"/>
          <w:vertAlign w:val="baseline"/>
        </w:rPr>
        <w:t>huppée</w:t>
      </w:r>
      <w:r>
        <w:rPr>
          <w:color w:val="231F20"/>
          <w:spacing w:val="-2"/>
          <w:sz w:val="20"/>
          <w:vertAlign w:val="baseline"/>
        </w:rPr>
        <w:t> </w:t>
      </w:r>
      <w:r>
        <w:rPr>
          <w:color w:val="231F20"/>
          <w:spacing w:val="-4"/>
          <w:sz w:val="20"/>
          <w:vertAlign w:val="baseline"/>
        </w:rPr>
        <w:t>d’Abidjan.</w:t>
      </w:r>
    </w:p>
    <w:p>
      <w:pPr>
        <w:spacing w:after="0"/>
        <w:jc w:val="left"/>
        <w:rPr>
          <w:sz w:val="20"/>
        </w:rPr>
        <w:sectPr>
          <w:type w:val="continuous"/>
          <w:pgSz w:w="8790" w:h="13610"/>
          <w:pgMar w:header="0" w:footer="802" w:top="320" w:bottom="280" w:left="880" w:right="880"/>
        </w:sectPr>
      </w:pPr>
    </w:p>
    <w:p>
      <w:pPr>
        <w:pStyle w:val="ListParagraph"/>
        <w:numPr>
          <w:ilvl w:val="0"/>
          <w:numId w:val="3"/>
        </w:numPr>
        <w:tabs>
          <w:tab w:pos="528" w:val="left" w:leader="none"/>
        </w:tabs>
        <w:spacing w:line="240" w:lineRule="auto" w:before="66" w:after="0"/>
        <w:ind w:left="528" w:right="0" w:hanging="133"/>
        <w:jc w:val="left"/>
        <w:rPr>
          <w:sz w:val="24"/>
        </w:rPr>
      </w:pPr>
      <w:r>
        <w:rPr>
          <w:color w:val="231F20"/>
          <w:spacing w:val="-2"/>
          <w:sz w:val="24"/>
        </w:rPr>
        <w:t>C’est</w:t>
      </w:r>
      <w:r>
        <w:rPr>
          <w:color w:val="231F20"/>
          <w:spacing w:val="-11"/>
          <w:sz w:val="24"/>
        </w:rPr>
        <w:t> </w:t>
      </w:r>
      <w:r>
        <w:rPr>
          <w:color w:val="231F20"/>
          <w:spacing w:val="-2"/>
          <w:sz w:val="24"/>
        </w:rPr>
        <w:t>en</w:t>
      </w:r>
      <w:r>
        <w:rPr>
          <w:color w:val="231F20"/>
          <w:spacing w:val="-7"/>
          <w:sz w:val="24"/>
        </w:rPr>
        <w:t> </w:t>
      </w:r>
      <w:r>
        <w:rPr>
          <w:color w:val="231F20"/>
          <w:spacing w:val="-2"/>
          <w:sz w:val="24"/>
        </w:rPr>
        <w:t>brousse</w:t>
      </w:r>
      <w:r>
        <w:rPr>
          <w:color w:val="231F20"/>
          <w:spacing w:val="-8"/>
          <w:sz w:val="24"/>
        </w:rPr>
        <w:t> </w:t>
      </w:r>
      <w:r>
        <w:rPr>
          <w:color w:val="231F20"/>
          <w:spacing w:val="-2"/>
          <w:sz w:val="24"/>
        </w:rPr>
        <w:t>ça</w:t>
      </w:r>
      <w:r>
        <w:rPr>
          <w:color w:val="231F20"/>
          <w:spacing w:val="-7"/>
          <w:sz w:val="24"/>
        </w:rPr>
        <w:t> </w:t>
      </w:r>
      <w:r>
        <w:rPr>
          <w:color w:val="231F20"/>
          <w:spacing w:val="-10"/>
          <w:sz w:val="24"/>
        </w:rPr>
        <w:t>?</w:t>
      </w:r>
    </w:p>
    <w:p>
      <w:pPr>
        <w:pStyle w:val="ListParagraph"/>
        <w:numPr>
          <w:ilvl w:val="0"/>
          <w:numId w:val="3"/>
        </w:numPr>
        <w:tabs>
          <w:tab w:pos="527" w:val="left" w:leader="none"/>
        </w:tabs>
        <w:spacing w:line="240" w:lineRule="auto" w:before="120" w:after="0"/>
        <w:ind w:left="527" w:right="0" w:hanging="132"/>
        <w:jc w:val="left"/>
        <w:rPr>
          <w:sz w:val="24"/>
        </w:rPr>
      </w:pPr>
      <w:r>
        <w:rPr>
          <w:color w:val="231F20"/>
          <w:spacing w:val="-2"/>
          <w:sz w:val="24"/>
        </w:rPr>
        <w:t>Oui,</w:t>
      </w:r>
      <w:r>
        <w:rPr>
          <w:color w:val="231F20"/>
          <w:spacing w:val="-10"/>
          <w:sz w:val="24"/>
        </w:rPr>
        <w:t> </w:t>
      </w:r>
      <w:r>
        <w:rPr>
          <w:color w:val="231F20"/>
          <w:spacing w:val="-2"/>
          <w:sz w:val="24"/>
        </w:rPr>
        <w:t>madame.</w:t>
      </w:r>
    </w:p>
    <w:p>
      <w:pPr>
        <w:pStyle w:val="ListParagraph"/>
        <w:numPr>
          <w:ilvl w:val="0"/>
          <w:numId w:val="3"/>
        </w:numPr>
        <w:tabs>
          <w:tab w:pos="528" w:val="left" w:leader="none"/>
        </w:tabs>
        <w:spacing w:line="240" w:lineRule="auto" w:before="120" w:after="0"/>
        <w:ind w:left="528" w:right="0" w:hanging="133"/>
        <w:jc w:val="left"/>
        <w:rPr>
          <w:sz w:val="24"/>
        </w:rPr>
      </w:pPr>
      <w:r>
        <w:rPr>
          <w:color w:val="231F20"/>
          <w:spacing w:val="-2"/>
          <w:sz w:val="24"/>
        </w:rPr>
        <w:t>Et,</w:t>
      </w:r>
      <w:r>
        <w:rPr>
          <w:color w:val="231F20"/>
          <w:spacing w:val="-13"/>
          <w:sz w:val="24"/>
        </w:rPr>
        <w:t> </w:t>
      </w:r>
      <w:r>
        <w:rPr>
          <w:color w:val="231F20"/>
          <w:spacing w:val="-2"/>
          <w:sz w:val="24"/>
        </w:rPr>
        <w:t>tu</w:t>
      </w:r>
      <w:r>
        <w:rPr>
          <w:color w:val="231F20"/>
          <w:spacing w:val="-10"/>
          <w:sz w:val="24"/>
        </w:rPr>
        <w:t> </w:t>
      </w:r>
      <w:r>
        <w:rPr>
          <w:color w:val="231F20"/>
          <w:spacing w:val="-2"/>
          <w:sz w:val="24"/>
        </w:rPr>
        <w:t>occupais</w:t>
      </w:r>
      <w:r>
        <w:rPr>
          <w:color w:val="231F20"/>
          <w:spacing w:val="-10"/>
          <w:sz w:val="24"/>
        </w:rPr>
        <w:t> </w:t>
      </w:r>
      <w:r>
        <w:rPr>
          <w:color w:val="231F20"/>
          <w:spacing w:val="-2"/>
          <w:sz w:val="24"/>
        </w:rPr>
        <w:t>quel</w:t>
      </w:r>
      <w:r>
        <w:rPr>
          <w:color w:val="231F20"/>
          <w:spacing w:val="-10"/>
          <w:sz w:val="24"/>
        </w:rPr>
        <w:t> </w:t>
      </w:r>
      <w:r>
        <w:rPr>
          <w:color w:val="231F20"/>
          <w:spacing w:val="-2"/>
          <w:sz w:val="24"/>
        </w:rPr>
        <w:t>rang</w:t>
      </w:r>
      <w:r>
        <w:rPr>
          <w:color w:val="231F20"/>
          <w:spacing w:val="-10"/>
          <w:sz w:val="24"/>
        </w:rPr>
        <w:t> </w:t>
      </w:r>
      <w:r>
        <w:rPr>
          <w:color w:val="231F20"/>
          <w:spacing w:val="-2"/>
          <w:sz w:val="24"/>
        </w:rPr>
        <w:t>à</w:t>
      </w:r>
      <w:r>
        <w:rPr>
          <w:color w:val="231F20"/>
          <w:spacing w:val="-8"/>
          <w:sz w:val="24"/>
        </w:rPr>
        <w:t> </w:t>
      </w:r>
      <w:r>
        <w:rPr>
          <w:color w:val="231F20"/>
          <w:spacing w:val="-2"/>
          <w:sz w:val="24"/>
        </w:rPr>
        <w:t>la</w:t>
      </w:r>
      <w:r>
        <w:rPr>
          <w:color w:val="231F20"/>
          <w:spacing w:val="-9"/>
          <w:sz w:val="24"/>
        </w:rPr>
        <w:t> </w:t>
      </w:r>
      <w:r>
        <w:rPr>
          <w:color w:val="231F20"/>
          <w:spacing w:val="-2"/>
          <w:sz w:val="24"/>
        </w:rPr>
        <w:t>composition</w:t>
      </w:r>
      <w:r>
        <w:rPr>
          <w:color w:val="231F20"/>
          <w:spacing w:val="-10"/>
          <w:sz w:val="24"/>
        </w:rPr>
        <w:t> </w:t>
      </w:r>
      <w:r>
        <w:rPr>
          <w:color w:val="231F20"/>
          <w:spacing w:val="-2"/>
          <w:sz w:val="24"/>
        </w:rPr>
        <w:t>de</w:t>
      </w:r>
      <w:r>
        <w:rPr>
          <w:color w:val="231F20"/>
          <w:spacing w:val="-8"/>
          <w:sz w:val="24"/>
        </w:rPr>
        <w:t> </w:t>
      </w:r>
      <w:r>
        <w:rPr>
          <w:color w:val="231F20"/>
          <w:spacing w:val="-2"/>
          <w:sz w:val="24"/>
        </w:rPr>
        <w:t>passage</w:t>
      </w:r>
      <w:r>
        <w:rPr>
          <w:color w:val="231F20"/>
          <w:spacing w:val="-8"/>
          <w:sz w:val="24"/>
        </w:rPr>
        <w:t> </w:t>
      </w:r>
      <w:r>
        <w:rPr>
          <w:color w:val="231F20"/>
          <w:spacing w:val="-10"/>
          <w:sz w:val="24"/>
        </w:rPr>
        <w:t>?</w:t>
      </w:r>
    </w:p>
    <w:p>
      <w:pPr>
        <w:pStyle w:val="ListParagraph"/>
        <w:numPr>
          <w:ilvl w:val="0"/>
          <w:numId w:val="3"/>
        </w:numPr>
        <w:tabs>
          <w:tab w:pos="528" w:val="left" w:leader="none"/>
        </w:tabs>
        <w:spacing w:line="240" w:lineRule="auto" w:before="120" w:after="0"/>
        <w:ind w:left="528" w:right="0" w:hanging="133"/>
        <w:jc w:val="left"/>
        <w:rPr>
          <w:sz w:val="24"/>
        </w:rPr>
      </w:pPr>
      <w:r>
        <w:rPr>
          <w:color w:val="231F20"/>
          <w:spacing w:val="-2"/>
          <w:sz w:val="24"/>
        </w:rPr>
        <w:t>J’étais</w:t>
      </w:r>
      <w:r>
        <w:rPr>
          <w:color w:val="231F20"/>
          <w:spacing w:val="-12"/>
          <w:sz w:val="24"/>
        </w:rPr>
        <w:t> </w:t>
      </w:r>
      <w:r>
        <w:rPr>
          <w:color w:val="231F20"/>
          <w:spacing w:val="-2"/>
          <w:sz w:val="24"/>
        </w:rPr>
        <w:t>1</w:t>
      </w:r>
      <w:r>
        <w:rPr>
          <w:color w:val="231F20"/>
          <w:spacing w:val="-2"/>
          <w:sz w:val="24"/>
          <w:vertAlign w:val="superscript"/>
        </w:rPr>
        <w:t>er</w:t>
      </w:r>
      <w:r>
        <w:rPr>
          <w:color w:val="231F20"/>
          <w:spacing w:val="-2"/>
          <w:sz w:val="24"/>
          <w:vertAlign w:val="baseline"/>
        </w:rPr>
        <w:t>,</w:t>
      </w:r>
      <w:r>
        <w:rPr>
          <w:color w:val="231F20"/>
          <w:spacing w:val="-11"/>
          <w:sz w:val="24"/>
          <w:vertAlign w:val="baseline"/>
        </w:rPr>
        <w:t> </w:t>
      </w:r>
      <w:r>
        <w:rPr>
          <w:color w:val="231F20"/>
          <w:spacing w:val="-2"/>
          <w:sz w:val="24"/>
          <w:vertAlign w:val="baseline"/>
        </w:rPr>
        <w:t>madame.</w:t>
      </w:r>
    </w:p>
    <w:p>
      <w:pPr>
        <w:pStyle w:val="BodyText"/>
        <w:spacing w:before="120"/>
        <w:ind w:left="452"/>
        <w:jc w:val="left"/>
      </w:pPr>
      <w:r>
        <w:rPr>
          <w:color w:val="231F20"/>
          <w:spacing w:val="-2"/>
        </w:rPr>
        <w:t>-Ici,</w:t>
      </w:r>
      <w:r>
        <w:rPr>
          <w:color w:val="231F20"/>
          <w:spacing w:val="-7"/>
        </w:rPr>
        <w:t> </w:t>
      </w:r>
      <w:r>
        <w:rPr>
          <w:color w:val="231F20"/>
          <w:spacing w:val="-2"/>
        </w:rPr>
        <w:t>sois</w:t>
      </w:r>
      <w:r>
        <w:rPr>
          <w:color w:val="231F20"/>
          <w:spacing w:val="-10"/>
        </w:rPr>
        <w:t> </w:t>
      </w:r>
      <w:r>
        <w:rPr>
          <w:color w:val="231F20"/>
          <w:spacing w:val="-2"/>
        </w:rPr>
        <w:t>sûr…</w:t>
      </w:r>
      <w:r>
        <w:rPr>
          <w:color w:val="231F20"/>
          <w:spacing w:val="-9"/>
        </w:rPr>
        <w:t> </w:t>
      </w:r>
      <w:r>
        <w:rPr>
          <w:color w:val="231F20"/>
          <w:spacing w:val="-2"/>
        </w:rPr>
        <w:t>tu</w:t>
      </w:r>
      <w:r>
        <w:rPr>
          <w:color w:val="231F20"/>
          <w:spacing w:val="-9"/>
        </w:rPr>
        <w:t> </w:t>
      </w:r>
      <w:r>
        <w:rPr>
          <w:color w:val="231F20"/>
          <w:spacing w:val="-2"/>
        </w:rPr>
        <w:t>ne</w:t>
      </w:r>
      <w:r>
        <w:rPr>
          <w:color w:val="231F20"/>
          <w:spacing w:val="-7"/>
        </w:rPr>
        <w:t> </w:t>
      </w:r>
      <w:r>
        <w:rPr>
          <w:color w:val="231F20"/>
          <w:spacing w:val="-2"/>
        </w:rPr>
        <w:t>seras</w:t>
      </w:r>
      <w:r>
        <w:rPr>
          <w:color w:val="231F20"/>
          <w:spacing w:val="-6"/>
        </w:rPr>
        <w:t> </w:t>
      </w:r>
      <w:r>
        <w:rPr>
          <w:color w:val="231F20"/>
          <w:spacing w:val="-2"/>
        </w:rPr>
        <w:t>pas</w:t>
      </w:r>
      <w:r>
        <w:rPr>
          <w:color w:val="231F20"/>
          <w:spacing w:val="-9"/>
        </w:rPr>
        <w:t> </w:t>
      </w:r>
      <w:r>
        <w:rPr>
          <w:color w:val="231F20"/>
          <w:spacing w:val="-2"/>
        </w:rPr>
        <w:t>1</w:t>
      </w:r>
      <w:r>
        <w:rPr>
          <w:color w:val="231F20"/>
          <w:spacing w:val="-2"/>
          <w:vertAlign w:val="superscript"/>
        </w:rPr>
        <w:t>er</w:t>
      </w:r>
      <w:r>
        <w:rPr>
          <w:color w:val="231F20"/>
          <w:spacing w:val="-28"/>
          <w:vertAlign w:val="baseline"/>
        </w:rPr>
        <w:t> </w:t>
      </w:r>
      <w:r>
        <w:rPr>
          <w:color w:val="231F20"/>
          <w:spacing w:val="-10"/>
          <w:vertAlign w:val="baseline"/>
        </w:rPr>
        <w:t>»</w:t>
      </w:r>
    </w:p>
    <w:p>
      <w:pPr>
        <w:pStyle w:val="BodyText"/>
        <w:spacing w:before="120"/>
        <w:ind w:right="106" w:firstLine="283"/>
      </w:pPr>
      <w:r>
        <w:rPr>
          <w:color w:val="231F20"/>
        </w:rPr>
        <w:t>Toute la classe s’est mise à rire. Du haut de mes 10 ans, je ne comprenais</w:t>
      </w:r>
      <w:r>
        <w:rPr>
          <w:color w:val="231F20"/>
          <w:spacing w:val="-2"/>
        </w:rPr>
        <w:t> </w:t>
      </w:r>
      <w:r>
        <w:rPr>
          <w:color w:val="231F20"/>
        </w:rPr>
        <w:t>pas</w:t>
      </w:r>
      <w:r>
        <w:rPr>
          <w:color w:val="231F20"/>
          <w:spacing w:val="-3"/>
        </w:rPr>
        <w:t> </w:t>
      </w:r>
      <w:r>
        <w:rPr>
          <w:color w:val="231F20"/>
        </w:rPr>
        <w:t>la</w:t>
      </w:r>
      <w:r>
        <w:rPr>
          <w:color w:val="231F20"/>
          <w:spacing w:val="-2"/>
        </w:rPr>
        <w:t> </w:t>
      </w:r>
      <w:r>
        <w:rPr>
          <w:color w:val="231F20"/>
        </w:rPr>
        <w:t>remarque</w:t>
      </w:r>
      <w:r>
        <w:rPr>
          <w:color w:val="231F20"/>
          <w:spacing w:val="-2"/>
        </w:rPr>
        <w:t> </w:t>
      </w:r>
      <w:r>
        <w:rPr>
          <w:color w:val="231F20"/>
        </w:rPr>
        <w:t>de</w:t>
      </w:r>
      <w:r>
        <w:rPr>
          <w:color w:val="231F20"/>
          <w:spacing w:val="-2"/>
        </w:rPr>
        <w:t> </w:t>
      </w:r>
      <w:r>
        <w:rPr>
          <w:color w:val="231F20"/>
        </w:rPr>
        <w:t>la</w:t>
      </w:r>
      <w:r>
        <w:rPr>
          <w:color w:val="231F20"/>
          <w:spacing w:val="-4"/>
        </w:rPr>
        <w:t> </w:t>
      </w:r>
      <w:r>
        <w:rPr>
          <w:color w:val="231F20"/>
        </w:rPr>
        <w:t>maîtresse.</w:t>
      </w:r>
      <w:r>
        <w:rPr>
          <w:color w:val="231F20"/>
          <w:spacing w:val="-2"/>
        </w:rPr>
        <w:t> </w:t>
      </w:r>
      <w:r>
        <w:rPr>
          <w:color w:val="231F20"/>
        </w:rPr>
        <w:t>A</w:t>
      </w:r>
      <w:r>
        <w:rPr>
          <w:color w:val="231F20"/>
          <w:spacing w:val="-3"/>
        </w:rPr>
        <w:t> </w:t>
      </w:r>
      <w:r>
        <w:rPr>
          <w:color w:val="231F20"/>
        </w:rPr>
        <w:t>la</w:t>
      </w:r>
      <w:r>
        <w:rPr>
          <w:color w:val="231F20"/>
          <w:spacing w:val="-2"/>
        </w:rPr>
        <w:t> </w:t>
      </w:r>
      <w:r>
        <w:rPr>
          <w:color w:val="231F20"/>
        </w:rPr>
        <w:t>fin</w:t>
      </w:r>
      <w:r>
        <w:rPr>
          <w:color w:val="231F20"/>
          <w:spacing w:val="-2"/>
        </w:rPr>
        <w:t> </w:t>
      </w:r>
      <w:r>
        <w:rPr>
          <w:color w:val="231F20"/>
        </w:rPr>
        <w:t>de</w:t>
      </w:r>
      <w:r>
        <w:rPr>
          <w:color w:val="231F20"/>
          <w:spacing w:val="-4"/>
        </w:rPr>
        <w:t> </w:t>
      </w:r>
      <w:r>
        <w:rPr>
          <w:color w:val="231F20"/>
        </w:rPr>
        <w:t>l’année,</w:t>
      </w:r>
      <w:r>
        <w:rPr>
          <w:color w:val="231F20"/>
          <w:spacing w:val="-3"/>
        </w:rPr>
        <w:t> </w:t>
      </w:r>
      <w:r>
        <w:rPr>
          <w:color w:val="231F20"/>
        </w:rPr>
        <w:t>je</w:t>
      </w:r>
      <w:r>
        <w:rPr>
          <w:color w:val="231F20"/>
          <w:spacing w:val="-4"/>
        </w:rPr>
        <w:t> </w:t>
      </w:r>
      <w:r>
        <w:rPr>
          <w:color w:val="231F20"/>
        </w:rPr>
        <w:t>n’ai pas été le premier de la classe mais tout au long de l’année, j’ai été constamment parmi les cinq premiers.</w:t>
      </w:r>
    </w:p>
    <w:p>
      <w:pPr>
        <w:pStyle w:val="BodyText"/>
        <w:spacing w:before="121"/>
        <w:ind w:right="104" w:firstLine="283"/>
      </w:pPr>
      <w:r>
        <w:rPr>
          <w:color w:val="231F20"/>
        </w:rPr>
        <w:t>A cette époque, les enseignants français sont en grand nombre à Abidjan,</w:t>
      </w:r>
      <w:r>
        <w:rPr>
          <w:color w:val="231F20"/>
          <w:spacing w:val="-7"/>
        </w:rPr>
        <w:t> </w:t>
      </w:r>
      <w:r>
        <w:rPr>
          <w:color w:val="231F20"/>
        </w:rPr>
        <w:t>principalement,</w:t>
      </w:r>
      <w:r>
        <w:rPr>
          <w:color w:val="231F20"/>
          <w:spacing w:val="-3"/>
        </w:rPr>
        <w:t> </w:t>
      </w:r>
      <w:r>
        <w:rPr>
          <w:color w:val="231F20"/>
        </w:rPr>
        <w:t>dans</w:t>
      </w:r>
      <w:r>
        <w:rPr>
          <w:color w:val="231F20"/>
          <w:spacing w:val="-2"/>
        </w:rPr>
        <w:t> </w:t>
      </w:r>
      <w:r>
        <w:rPr>
          <w:color w:val="231F20"/>
        </w:rPr>
        <w:t>les</w:t>
      </w:r>
      <w:r>
        <w:rPr>
          <w:color w:val="231F20"/>
          <w:spacing w:val="-4"/>
        </w:rPr>
        <w:t> </w:t>
      </w:r>
      <w:r>
        <w:rPr>
          <w:color w:val="231F20"/>
        </w:rPr>
        <w:t>quartiers</w:t>
      </w:r>
      <w:r>
        <w:rPr>
          <w:color w:val="231F20"/>
          <w:spacing w:val="-2"/>
        </w:rPr>
        <w:t> </w:t>
      </w:r>
      <w:r>
        <w:rPr>
          <w:color w:val="231F20"/>
        </w:rPr>
        <w:t>«</w:t>
      </w:r>
      <w:r>
        <w:rPr>
          <w:color w:val="231F20"/>
          <w:spacing w:val="-15"/>
        </w:rPr>
        <w:t> </w:t>
      </w:r>
      <w:r>
        <w:rPr>
          <w:color w:val="231F20"/>
        </w:rPr>
        <w:t>chics</w:t>
      </w:r>
      <w:r>
        <w:rPr>
          <w:color w:val="231F20"/>
          <w:spacing w:val="-15"/>
        </w:rPr>
        <w:t> </w:t>
      </w:r>
      <w:r>
        <w:rPr>
          <w:color w:val="231F20"/>
        </w:rPr>
        <w:t>».</w:t>
      </w:r>
      <w:r>
        <w:rPr>
          <w:color w:val="231F20"/>
          <w:spacing w:val="-2"/>
        </w:rPr>
        <w:t> </w:t>
      </w:r>
      <w:r>
        <w:rPr>
          <w:color w:val="231F20"/>
        </w:rPr>
        <w:t>Ils</w:t>
      </w:r>
      <w:r>
        <w:rPr>
          <w:color w:val="231F20"/>
          <w:spacing w:val="-2"/>
        </w:rPr>
        <w:t> </w:t>
      </w:r>
      <w:r>
        <w:rPr>
          <w:color w:val="231F20"/>
        </w:rPr>
        <w:t>font</w:t>
      </w:r>
      <w:r>
        <w:rPr>
          <w:color w:val="231F20"/>
          <w:spacing w:val="-2"/>
        </w:rPr>
        <w:t> </w:t>
      </w:r>
      <w:r>
        <w:rPr>
          <w:color w:val="231F20"/>
        </w:rPr>
        <w:t>partie</w:t>
      </w:r>
      <w:r>
        <w:rPr>
          <w:color w:val="231F20"/>
          <w:spacing w:val="-2"/>
        </w:rPr>
        <w:t> </w:t>
      </w:r>
      <w:r>
        <w:rPr>
          <w:color w:val="231F20"/>
        </w:rPr>
        <w:t>des Assistants Techniques envoyés dans le cadre d’accords entre la Côte d’Ivoire</w:t>
      </w:r>
      <w:r>
        <w:rPr>
          <w:color w:val="231F20"/>
          <w:spacing w:val="34"/>
        </w:rPr>
        <w:t> </w:t>
      </w:r>
      <w:r>
        <w:rPr>
          <w:color w:val="231F20"/>
        </w:rPr>
        <w:t>et</w:t>
      </w:r>
      <w:r>
        <w:rPr>
          <w:color w:val="231F20"/>
          <w:spacing w:val="36"/>
        </w:rPr>
        <w:t> </w:t>
      </w:r>
      <w:r>
        <w:rPr>
          <w:color w:val="231F20"/>
        </w:rPr>
        <w:t>la</w:t>
      </w:r>
      <w:r>
        <w:rPr>
          <w:color w:val="231F20"/>
          <w:spacing w:val="37"/>
        </w:rPr>
        <w:t> </w:t>
      </w:r>
      <w:r>
        <w:rPr>
          <w:color w:val="231F20"/>
        </w:rPr>
        <w:t>France</w:t>
      </w:r>
      <w:r>
        <w:rPr>
          <w:color w:val="231F20"/>
          <w:spacing w:val="36"/>
        </w:rPr>
        <w:t> </w:t>
      </w:r>
      <w:r>
        <w:rPr>
          <w:color w:val="231F20"/>
        </w:rPr>
        <w:t>pour</w:t>
      </w:r>
      <w:r>
        <w:rPr>
          <w:color w:val="231F20"/>
          <w:spacing w:val="36"/>
        </w:rPr>
        <w:t> </w:t>
      </w:r>
      <w:r>
        <w:rPr>
          <w:color w:val="231F20"/>
        </w:rPr>
        <w:t>aider</w:t>
      </w:r>
      <w:r>
        <w:rPr>
          <w:color w:val="231F20"/>
          <w:spacing w:val="37"/>
        </w:rPr>
        <w:t> </w:t>
      </w:r>
      <w:r>
        <w:rPr>
          <w:color w:val="231F20"/>
        </w:rPr>
        <w:t>le</w:t>
      </w:r>
      <w:r>
        <w:rPr>
          <w:color w:val="231F20"/>
          <w:spacing w:val="34"/>
        </w:rPr>
        <w:t> </w:t>
      </w:r>
      <w:r>
        <w:rPr>
          <w:color w:val="231F20"/>
        </w:rPr>
        <w:t>pays</w:t>
      </w:r>
      <w:r>
        <w:rPr>
          <w:color w:val="231F20"/>
          <w:spacing w:val="35"/>
        </w:rPr>
        <w:t> </w:t>
      </w:r>
      <w:r>
        <w:rPr>
          <w:color w:val="231F20"/>
        </w:rPr>
        <w:t>qui</w:t>
      </w:r>
      <w:r>
        <w:rPr>
          <w:color w:val="231F20"/>
          <w:spacing w:val="35"/>
        </w:rPr>
        <w:t> </w:t>
      </w:r>
      <w:r>
        <w:rPr>
          <w:color w:val="231F20"/>
        </w:rPr>
        <w:t>manque</w:t>
      </w:r>
      <w:r>
        <w:rPr>
          <w:color w:val="231F20"/>
          <w:spacing w:val="36"/>
        </w:rPr>
        <w:t> </w:t>
      </w:r>
      <w:r>
        <w:rPr>
          <w:color w:val="231F20"/>
        </w:rPr>
        <w:t>cruellement</w:t>
      </w:r>
      <w:r>
        <w:rPr>
          <w:color w:val="231F20"/>
          <w:spacing w:val="36"/>
        </w:rPr>
        <w:t> </w:t>
      </w:r>
      <w:r>
        <w:rPr>
          <w:color w:val="231F20"/>
          <w:spacing w:val="-5"/>
        </w:rPr>
        <w:t>de</w:t>
      </w:r>
    </w:p>
    <w:p>
      <w:pPr>
        <w:pStyle w:val="BodyText"/>
        <w:ind w:right="105"/>
      </w:pPr>
      <w:r>
        <w:rPr>
          <w:color w:val="231F20"/>
          <w:spacing w:val="-4"/>
        </w:rPr>
        <w:t>«</w:t>
      </w:r>
      <w:r>
        <w:rPr>
          <w:color w:val="231F20"/>
          <w:spacing w:val="-11"/>
        </w:rPr>
        <w:t> </w:t>
      </w:r>
      <w:r>
        <w:rPr>
          <w:color w:val="231F20"/>
          <w:spacing w:val="-4"/>
        </w:rPr>
        <w:t>cadres</w:t>
      </w:r>
      <w:r>
        <w:rPr>
          <w:color w:val="231F20"/>
          <w:spacing w:val="2"/>
        </w:rPr>
        <w:t> </w:t>
      </w:r>
      <w:r>
        <w:rPr>
          <w:color w:val="231F20"/>
          <w:spacing w:val="-4"/>
        </w:rPr>
        <w:t>».</w:t>
      </w:r>
      <w:r>
        <w:rPr>
          <w:color w:val="231F20"/>
          <w:spacing w:val="-11"/>
        </w:rPr>
        <w:t> </w:t>
      </w:r>
      <w:r>
        <w:rPr>
          <w:color w:val="231F20"/>
          <w:spacing w:val="-4"/>
        </w:rPr>
        <w:t>Les</w:t>
      </w:r>
      <w:r>
        <w:rPr>
          <w:color w:val="231F20"/>
          <w:spacing w:val="-11"/>
        </w:rPr>
        <w:t> </w:t>
      </w:r>
      <w:r>
        <w:rPr>
          <w:color w:val="231F20"/>
          <w:spacing w:val="-4"/>
        </w:rPr>
        <w:t>Français</w:t>
      </w:r>
      <w:r>
        <w:rPr>
          <w:color w:val="231F20"/>
          <w:spacing w:val="-11"/>
        </w:rPr>
        <w:t> </w:t>
      </w:r>
      <w:r>
        <w:rPr>
          <w:color w:val="231F20"/>
          <w:spacing w:val="-4"/>
        </w:rPr>
        <w:t>sont</w:t>
      </w:r>
      <w:r>
        <w:rPr>
          <w:color w:val="231F20"/>
          <w:spacing w:val="-11"/>
        </w:rPr>
        <w:t> </w:t>
      </w:r>
      <w:r>
        <w:rPr>
          <w:color w:val="231F20"/>
          <w:spacing w:val="-4"/>
        </w:rPr>
        <w:t>présents</w:t>
      </w:r>
      <w:r>
        <w:rPr>
          <w:color w:val="231F20"/>
          <w:spacing w:val="-11"/>
        </w:rPr>
        <w:t> </w:t>
      </w:r>
      <w:r>
        <w:rPr>
          <w:color w:val="231F20"/>
          <w:spacing w:val="-4"/>
        </w:rPr>
        <w:t>dans</w:t>
      </w:r>
      <w:r>
        <w:rPr>
          <w:color w:val="231F20"/>
          <w:spacing w:val="-11"/>
        </w:rPr>
        <w:t> </w:t>
      </w:r>
      <w:r>
        <w:rPr>
          <w:color w:val="231F20"/>
          <w:spacing w:val="-4"/>
        </w:rPr>
        <w:t>toute</w:t>
      </w:r>
      <w:r>
        <w:rPr>
          <w:color w:val="231F20"/>
          <w:spacing w:val="-11"/>
        </w:rPr>
        <w:t> </w:t>
      </w:r>
      <w:r>
        <w:rPr>
          <w:color w:val="231F20"/>
          <w:spacing w:val="-4"/>
        </w:rPr>
        <w:t>l’Administration.</w:t>
      </w:r>
      <w:r>
        <w:rPr>
          <w:color w:val="231F20"/>
          <w:spacing w:val="-11"/>
        </w:rPr>
        <w:t> </w:t>
      </w:r>
      <w:r>
        <w:rPr>
          <w:color w:val="231F20"/>
          <w:spacing w:val="-4"/>
        </w:rPr>
        <w:t>Ils</w:t>
      </w:r>
      <w:r>
        <w:rPr>
          <w:color w:val="231F20"/>
          <w:spacing w:val="-11"/>
        </w:rPr>
        <w:t> </w:t>
      </w:r>
      <w:r>
        <w:rPr>
          <w:color w:val="231F20"/>
          <w:spacing w:val="-4"/>
        </w:rPr>
        <w:t>sont </w:t>
      </w:r>
      <w:r>
        <w:rPr>
          <w:color w:val="231F20"/>
          <w:spacing w:val="-2"/>
        </w:rPr>
        <w:t>Conseillers</w:t>
      </w:r>
      <w:r>
        <w:rPr>
          <w:color w:val="231F20"/>
          <w:spacing w:val="-9"/>
        </w:rPr>
        <w:t> </w:t>
      </w:r>
      <w:r>
        <w:rPr>
          <w:color w:val="231F20"/>
          <w:spacing w:val="-2"/>
        </w:rPr>
        <w:t>dans</w:t>
      </w:r>
      <w:r>
        <w:rPr>
          <w:color w:val="231F20"/>
          <w:spacing w:val="-9"/>
        </w:rPr>
        <w:t> </w:t>
      </w:r>
      <w:r>
        <w:rPr>
          <w:color w:val="231F20"/>
          <w:spacing w:val="-2"/>
        </w:rPr>
        <w:t>les</w:t>
      </w:r>
      <w:r>
        <w:rPr>
          <w:color w:val="231F20"/>
          <w:spacing w:val="-9"/>
        </w:rPr>
        <w:t> </w:t>
      </w:r>
      <w:r>
        <w:rPr>
          <w:color w:val="231F20"/>
          <w:spacing w:val="-2"/>
        </w:rPr>
        <w:t>ministères.</w:t>
      </w:r>
      <w:r>
        <w:rPr>
          <w:color w:val="231F20"/>
          <w:spacing w:val="-7"/>
        </w:rPr>
        <w:t> </w:t>
      </w:r>
      <w:r>
        <w:rPr>
          <w:color w:val="231F20"/>
          <w:spacing w:val="-2"/>
        </w:rPr>
        <w:t>Ils</w:t>
      </w:r>
      <w:r>
        <w:rPr>
          <w:color w:val="231F20"/>
          <w:spacing w:val="-9"/>
        </w:rPr>
        <w:t> </w:t>
      </w:r>
      <w:r>
        <w:rPr>
          <w:color w:val="231F20"/>
          <w:spacing w:val="-2"/>
        </w:rPr>
        <w:t>sont</w:t>
      </w:r>
      <w:r>
        <w:rPr>
          <w:color w:val="231F20"/>
          <w:spacing w:val="-9"/>
        </w:rPr>
        <w:t> </w:t>
      </w:r>
      <w:r>
        <w:rPr>
          <w:color w:val="231F20"/>
          <w:spacing w:val="-2"/>
        </w:rPr>
        <w:t>logés</w:t>
      </w:r>
      <w:r>
        <w:rPr>
          <w:color w:val="231F20"/>
          <w:spacing w:val="-7"/>
        </w:rPr>
        <w:t> </w:t>
      </w:r>
      <w:r>
        <w:rPr>
          <w:color w:val="231F20"/>
          <w:spacing w:val="-2"/>
        </w:rPr>
        <w:t>dans</w:t>
      </w:r>
      <w:r>
        <w:rPr>
          <w:color w:val="231F20"/>
          <w:spacing w:val="-9"/>
        </w:rPr>
        <w:t> </w:t>
      </w:r>
      <w:r>
        <w:rPr>
          <w:color w:val="231F20"/>
          <w:spacing w:val="-2"/>
        </w:rPr>
        <w:t>des</w:t>
      </w:r>
      <w:r>
        <w:rPr>
          <w:color w:val="231F20"/>
          <w:spacing w:val="-7"/>
        </w:rPr>
        <w:t> </w:t>
      </w:r>
      <w:r>
        <w:rPr>
          <w:color w:val="231F20"/>
          <w:spacing w:val="-2"/>
        </w:rPr>
        <w:t>cités</w:t>
      </w:r>
      <w:r>
        <w:rPr>
          <w:color w:val="231F20"/>
          <w:spacing w:val="-7"/>
        </w:rPr>
        <w:t> </w:t>
      </w:r>
      <w:r>
        <w:rPr>
          <w:color w:val="231F20"/>
          <w:spacing w:val="-2"/>
        </w:rPr>
        <w:t>construites</w:t>
      </w:r>
      <w:r>
        <w:rPr>
          <w:color w:val="231F20"/>
          <w:spacing w:val="-7"/>
        </w:rPr>
        <w:t> </w:t>
      </w:r>
      <w:r>
        <w:rPr>
          <w:color w:val="231F20"/>
          <w:spacing w:val="-2"/>
        </w:rPr>
        <w:t>à </w:t>
      </w:r>
      <w:r>
        <w:rPr>
          <w:color w:val="231F20"/>
        </w:rPr>
        <w:t>leur intention. Il y a aussi de nombreux hommes d’Affaires, des industriels,</w:t>
      </w:r>
      <w:r>
        <w:rPr>
          <w:color w:val="231F20"/>
          <w:spacing w:val="-2"/>
        </w:rPr>
        <w:t> </w:t>
      </w:r>
      <w:r>
        <w:rPr>
          <w:color w:val="231F20"/>
        </w:rPr>
        <w:t>des</w:t>
      </w:r>
      <w:r>
        <w:rPr>
          <w:color w:val="231F20"/>
          <w:spacing w:val="-2"/>
        </w:rPr>
        <w:t> </w:t>
      </w:r>
      <w:r>
        <w:rPr>
          <w:color w:val="231F20"/>
        </w:rPr>
        <w:t>commerçants...</w:t>
      </w:r>
      <w:r>
        <w:rPr>
          <w:color w:val="231F20"/>
          <w:spacing w:val="-1"/>
        </w:rPr>
        <w:t> </w:t>
      </w:r>
      <w:r>
        <w:rPr>
          <w:color w:val="231F20"/>
        </w:rPr>
        <w:t>Leurs</w:t>
      </w:r>
      <w:r>
        <w:rPr>
          <w:color w:val="231F20"/>
          <w:spacing w:val="-1"/>
        </w:rPr>
        <w:t> </w:t>
      </w:r>
      <w:r>
        <w:rPr>
          <w:color w:val="231F20"/>
        </w:rPr>
        <w:t>entreprises</w:t>
      </w:r>
      <w:r>
        <w:rPr>
          <w:color w:val="231F20"/>
          <w:spacing w:val="-2"/>
        </w:rPr>
        <w:t> </w:t>
      </w:r>
      <w:r>
        <w:rPr>
          <w:color w:val="231F20"/>
        </w:rPr>
        <w:t>ont</w:t>
      </w:r>
      <w:r>
        <w:rPr>
          <w:color w:val="231F20"/>
          <w:spacing w:val="-2"/>
        </w:rPr>
        <w:t> </w:t>
      </w:r>
      <w:r>
        <w:rPr>
          <w:color w:val="231F20"/>
        </w:rPr>
        <w:t>le</w:t>
      </w:r>
      <w:r>
        <w:rPr>
          <w:color w:val="231F20"/>
          <w:spacing w:val="-2"/>
        </w:rPr>
        <w:t> </w:t>
      </w:r>
      <w:r>
        <w:rPr>
          <w:color w:val="231F20"/>
        </w:rPr>
        <w:t>monopole</w:t>
      </w:r>
      <w:r>
        <w:rPr>
          <w:color w:val="231F20"/>
          <w:spacing w:val="-3"/>
        </w:rPr>
        <w:t> </w:t>
      </w:r>
      <w:r>
        <w:rPr>
          <w:color w:val="231F20"/>
        </w:rPr>
        <w:t>dans l’Agro-alimentaire, les cultures industrielles, les mines, le </w:t>
      </w:r>
      <w:r>
        <w:rPr>
          <w:color w:val="231F20"/>
          <w:spacing w:val="-4"/>
        </w:rPr>
        <w:t>Commerce…Des</w:t>
      </w:r>
      <w:r>
        <w:rPr>
          <w:color w:val="231F20"/>
          <w:spacing w:val="-11"/>
        </w:rPr>
        <w:t> </w:t>
      </w:r>
      <w:r>
        <w:rPr>
          <w:color w:val="231F20"/>
          <w:spacing w:val="-4"/>
        </w:rPr>
        <w:t>chiffres</w:t>
      </w:r>
      <w:r>
        <w:rPr>
          <w:color w:val="231F20"/>
          <w:spacing w:val="-11"/>
        </w:rPr>
        <w:t> </w:t>
      </w:r>
      <w:r>
        <w:rPr>
          <w:color w:val="231F20"/>
          <w:spacing w:val="-4"/>
        </w:rPr>
        <w:t>non</w:t>
      </w:r>
      <w:r>
        <w:rPr>
          <w:color w:val="231F20"/>
          <w:spacing w:val="-11"/>
        </w:rPr>
        <w:t> </w:t>
      </w:r>
      <w:r>
        <w:rPr>
          <w:color w:val="231F20"/>
          <w:spacing w:val="-4"/>
        </w:rPr>
        <w:t>officiels</w:t>
      </w:r>
      <w:r>
        <w:rPr>
          <w:color w:val="231F20"/>
          <w:spacing w:val="-8"/>
        </w:rPr>
        <w:t> </w:t>
      </w:r>
      <w:r>
        <w:rPr>
          <w:color w:val="231F20"/>
          <w:spacing w:val="-4"/>
        </w:rPr>
        <w:t>font</w:t>
      </w:r>
      <w:r>
        <w:rPr>
          <w:color w:val="231F20"/>
          <w:spacing w:val="-9"/>
        </w:rPr>
        <w:t> </w:t>
      </w:r>
      <w:r>
        <w:rPr>
          <w:color w:val="231F20"/>
          <w:spacing w:val="-4"/>
        </w:rPr>
        <w:t>état</w:t>
      </w:r>
      <w:r>
        <w:rPr>
          <w:color w:val="231F20"/>
          <w:spacing w:val="-11"/>
        </w:rPr>
        <w:t> </w:t>
      </w:r>
      <w:r>
        <w:rPr>
          <w:color w:val="231F20"/>
          <w:spacing w:val="-4"/>
        </w:rPr>
        <w:t>de</w:t>
      </w:r>
      <w:r>
        <w:rPr>
          <w:color w:val="231F20"/>
          <w:spacing w:val="-9"/>
        </w:rPr>
        <w:t> </w:t>
      </w:r>
      <w:r>
        <w:rPr>
          <w:color w:val="231F20"/>
          <w:spacing w:val="-4"/>
        </w:rPr>
        <w:t>la</w:t>
      </w:r>
      <w:r>
        <w:rPr>
          <w:color w:val="231F20"/>
          <w:spacing w:val="-11"/>
        </w:rPr>
        <w:t> </w:t>
      </w:r>
      <w:r>
        <w:rPr>
          <w:color w:val="231F20"/>
          <w:spacing w:val="-4"/>
        </w:rPr>
        <w:t>présence</w:t>
      </w:r>
      <w:r>
        <w:rPr>
          <w:color w:val="231F20"/>
          <w:spacing w:val="-9"/>
        </w:rPr>
        <w:t> </w:t>
      </w:r>
      <w:r>
        <w:rPr>
          <w:color w:val="231F20"/>
          <w:spacing w:val="-4"/>
        </w:rPr>
        <w:t>de</w:t>
      </w:r>
      <w:r>
        <w:rPr>
          <w:color w:val="231F20"/>
          <w:spacing w:val="-11"/>
        </w:rPr>
        <w:t> </w:t>
      </w:r>
      <w:r>
        <w:rPr>
          <w:color w:val="231F20"/>
          <w:spacing w:val="-4"/>
        </w:rPr>
        <w:t>300</w:t>
      </w:r>
      <w:r>
        <w:rPr>
          <w:color w:val="231F20"/>
          <w:spacing w:val="-11"/>
        </w:rPr>
        <w:t> </w:t>
      </w:r>
      <w:r>
        <w:rPr>
          <w:color w:val="231F20"/>
          <w:spacing w:val="-4"/>
        </w:rPr>
        <w:t>000 </w:t>
      </w:r>
      <w:r>
        <w:rPr>
          <w:color w:val="231F20"/>
        </w:rPr>
        <w:t>Français présents en Côte d’Ivoire dont la moitié au titre de la </w:t>
      </w:r>
      <w:r>
        <w:rPr>
          <w:color w:val="231F20"/>
          <w:spacing w:val="-2"/>
        </w:rPr>
        <w:t>Coopération.</w:t>
      </w:r>
    </w:p>
    <w:p>
      <w:pPr>
        <w:pStyle w:val="BodyText"/>
        <w:spacing w:before="120"/>
        <w:ind w:right="104" w:firstLine="283"/>
      </w:pPr>
      <w:r>
        <w:rPr>
          <w:color w:val="231F20"/>
        </w:rPr>
        <w:t>Face</w:t>
      </w:r>
      <w:r>
        <w:rPr>
          <w:color w:val="231F20"/>
          <w:spacing w:val="-11"/>
        </w:rPr>
        <w:t> </w:t>
      </w:r>
      <w:r>
        <w:rPr>
          <w:color w:val="231F20"/>
        </w:rPr>
        <w:t>aux</w:t>
      </w:r>
      <w:r>
        <w:rPr>
          <w:color w:val="231F20"/>
          <w:spacing w:val="-11"/>
        </w:rPr>
        <w:t> </w:t>
      </w:r>
      <w:r>
        <w:rPr>
          <w:color w:val="231F20"/>
        </w:rPr>
        <w:t>contraintes</w:t>
      </w:r>
      <w:r>
        <w:rPr>
          <w:color w:val="231F20"/>
          <w:spacing w:val="-11"/>
        </w:rPr>
        <w:t> </w:t>
      </w:r>
      <w:r>
        <w:rPr>
          <w:color w:val="231F20"/>
        </w:rPr>
        <w:t>liées</w:t>
      </w:r>
      <w:r>
        <w:rPr>
          <w:color w:val="231F20"/>
          <w:spacing w:val="-13"/>
        </w:rPr>
        <w:t> </w:t>
      </w:r>
      <w:r>
        <w:rPr>
          <w:color w:val="231F20"/>
        </w:rPr>
        <w:t>au</w:t>
      </w:r>
      <w:r>
        <w:rPr>
          <w:color w:val="231F20"/>
          <w:spacing w:val="-11"/>
        </w:rPr>
        <w:t> </w:t>
      </w:r>
      <w:r>
        <w:rPr>
          <w:color w:val="231F20"/>
        </w:rPr>
        <w:t>coût</w:t>
      </w:r>
      <w:r>
        <w:rPr>
          <w:color w:val="231F20"/>
          <w:spacing w:val="-11"/>
        </w:rPr>
        <w:t> </w:t>
      </w:r>
      <w:r>
        <w:rPr>
          <w:color w:val="231F20"/>
        </w:rPr>
        <w:t>élevé</w:t>
      </w:r>
      <w:r>
        <w:rPr>
          <w:color w:val="231F20"/>
          <w:spacing w:val="-11"/>
        </w:rPr>
        <w:t> </w:t>
      </w:r>
      <w:r>
        <w:rPr>
          <w:color w:val="231F20"/>
        </w:rPr>
        <w:t>des</w:t>
      </w:r>
      <w:r>
        <w:rPr>
          <w:color w:val="231F20"/>
          <w:spacing w:val="-11"/>
        </w:rPr>
        <w:t> </w:t>
      </w:r>
      <w:r>
        <w:rPr>
          <w:color w:val="231F20"/>
        </w:rPr>
        <w:t>facteurs</w:t>
      </w:r>
      <w:r>
        <w:rPr>
          <w:color w:val="231F20"/>
          <w:spacing w:val="-11"/>
        </w:rPr>
        <w:t> </w:t>
      </w:r>
      <w:r>
        <w:rPr>
          <w:color w:val="231F20"/>
        </w:rPr>
        <w:t>de</w:t>
      </w:r>
      <w:r>
        <w:rPr>
          <w:color w:val="231F20"/>
          <w:spacing w:val="-11"/>
        </w:rPr>
        <w:t> </w:t>
      </w:r>
      <w:r>
        <w:rPr>
          <w:color w:val="231F20"/>
        </w:rPr>
        <w:t>production,</w:t>
      </w:r>
      <w:r>
        <w:rPr>
          <w:color w:val="231F20"/>
          <w:spacing w:val="-11"/>
        </w:rPr>
        <w:t> </w:t>
      </w:r>
      <w:r>
        <w:rPr>
          <w:color w:val="231F20"/>
        </w:rPr>
        <w:t>à la rareté de main-d’œuvre qualifiée et aux difficultés de financement, </w:t>
      </w:r>
      <w:r>
        <w:rPr>
          <w:color w:val="231F20"/>
          <w:spacing w:val="-2"/>
        </w:rPr>
        <w:t>Houphouët-Boigny</w:t>
      </w:r>
      <w:r>
        <w:rPr>
          <w:color w:val="231F20"/>
          <w:spacing w:val="-12"/>
        </w:rPr>
        <w:t> </w:t>
      </w:r>
      <w:r>
        <w:rPr>
          <w:color w:val="231F20"/>
          <w:spacing w:val="-2"/>
        </w:rPr>
        <w:t>accorde</w:t>
      </w:r>
      <w:r>
        <w:rPr>
          <w:color w:val="231F20"/>
          <w:spacing w:val="-11"/>
        </w:rPr>
        <w:t> </w:t>
      </w:r>
      <w:r>
        <w:rPr>
          <w:color w:val="231F20"/>
          <w:spacing w:val="-2"/>
        </w:rPr>
        <w:t>aux</w:t>
      </w:r>
      <w:r>
        <w:rPr>
          <w:color w:val="231F20"/>
          <w:spacing w:val="-11"/>
        </w:rPr>
        <w:t> </w:t>
      </w:r>
      <w:r>
        <w:rPr>
          <w:color w:val="231F20"/>
          <w:spacing w:val="-2"/>
        </w:rPr>
        <w:t>entreprises,</w:t>
      </w:r>
      <w:r>
        <w:rPr>
          <w:color w:val="231F20"/>
          <w:spacing w:val="-13"/>
        </w:rPr>
        <w:t> </w:t>
      </w:r>
      <w:r>
        <w:rPr>
          <w:color w:val="231F20"/>
          <w:spacing w:val="-2"/>
        </w:rPr>
        <w:t>de</w:t>
      </w:r>
      <w:r>
        <w:rPr>
          <w:color w:val="231F20"/>
          <w:spacing w:val="-11"/>
        </w:rPr>
        <w:t> </w:t>
      </w:r>
      <w:r>
        <w:rPr>
          <w:color w:val="231F20"/>
          <w:spacing w:val="-2"/>
        </w:rPr>
        <w:t>rapatrier</w:t>
      </w:r>
      <w:r>
        <w:rPr>
          <w:color w:val="231F20"/>
          <w:spacing w:val="-13"/>
        </w:rPr>
        <w:t> </w:t>
      </w:r>
      <w:r>
        <w:rPr>
          <w:color w:val="231F20"/>
          <w:spacing w:val="-2"/>
        </w:rPr>
        <w:t>jusqu’à</w:t>
      </w:r>
      <w:r>
        <w:rPr>
          <w:color w:val="231F20"/>
          <w:spacing w:val="-11"/>
        </w:rPr>
        <w:t> </w:t>
      </w:r>
      <w:r>
        <w:rPr>
          <w:color w:val="231F20"/>
          <w:spacing w:val="-2"/>
        </w:rPr>
        <w:t>90</w:t>
      </w:r>
      <w:r>
        <w:rPr>
          <w:color w:val="231F20"/>
          <w:spacing w:val="-13"/>
        </w:rPr>
        <w:t> </w:t>
      </w:r>
      <w:r>
        <w:rPr>
          <w:color w:val="231F20"/>
          <w:spacing w:val="-2"/>
        </w:rPr>
        <w:t>%</w:t>
      </w:r>
      <w:r>
        <w:rPr>
          <w:color w:val="231F20"/>
          <w:spacing w:val="-11"/>
        </w:rPr>
        <w:t> </w:t>
      </w:r>
      <w:r>
        <w:rPr>
          <w:color w:val="231F20"/>
          <w:spacing w:val="-2"/>
        </w:rPr>
        <w:t>de </w:t>
      </w:r>
      <w:r>
        <w:rPr>
          <w:color w:val="231F20"/>
        </w:rPr>
        <w:t>leurs bénéfices dans leur pays d’origine, les 10</w:t>
      </w:r>
      <w:r>
        <w:rPr>
          <w:color w:val="231F20"/>
          <w:spacing w:val="-15"/>
        </w:rPr>
        <w:t> </w:t>
      </w:r>
      <w:r>
        <w:rPr>
          <w:color w:val="231F20"/>
        </w:rPr>
        <w:t>% restants devant être réinvestis</w:t>
      </w:r>
      <w:r>
        <w:rPr>
          <w:color w:val="231F20"/>
          <w:spacing w:val="-10"/>
        </w:rPr>
        <w:t> </w:t>
      </w:r>
      <w:r>
        <w:rPr>
          <w:color w:val="231F20"/>
        </w:rPr>
        <w:t>en</w:t>
      </w:r>
      <w:r>
        <w:rPr>
          <w:color w:val="231F20"/>
          <w:spacing w:val="-12"/>
        </w:rPr>
        <w:t> </w:t>
      </w:r>
      <w:r>
        <w:rPr>
          <w:color w:val="231F20"/>
        </w:rPr>
        <w:t>Côte</w:t>
      </w:r>
      <w:r>
        <w:rPr>
          <w:color w:val="231F20"/>
          <w:spacing w:val="-12"/>
        </w:rPr>
        <w:t> </w:t>
      </w:r>
      <w:r>
        <w:rPr>
          <w:color w:val="231F20"/>
        </w:rPr>
        <w:t>d’Ivoire.</w:t>
      </w:r>
      <w:r>
        <w:rPr>
          <w:color w:val="231F20"/>
          <w:spacing w:val="-10"/>
        </w:rPr>
        <w:t> </w:t>
      </w:r>
      <w:r>
        <w:rPr>
          <w:color w:val="231F20"/>
        </w:rPr>
        <w:t>En</w:t>
      </w:r>
      <w:r>
        <w:rPr>
          <w:color w:val="231F20"/>
          <w:spacing w:val="-10"/>
        </w:rPr>
        <w:t> </w:t>
      </w:r>
      <w:r>
        <w:rPr>
          <w:color w:val="231F20"/>
        </w:rPr>
        <w:t>1976</w:t>
      </w:r>
      <w:r>
        <w:rPr>
          <w:color w:val="231F20"/>
          <w:spacing w:val="-10"/>
        </w:rPr>
        <w:t> </w:t>
      </w:r>
      <w:r>
        <w:rPr>
          <w:color w:val="231F20"/>
        </w:rPr>
        <w:t>et</w:t>
      </w:r>
      <w:r>
        <w:rPr>
          <w:color w:val="231F20"/>
          <w:spacing w:val="-10"/>
        </w:rPr>
        <w:t> </w:t>
      </w:r>
      <w:r>
        <w:rPr>
          <w:color w:val="231F20"/>
        </w:rPr>
        <w:t>1977,</w:t>
      </w:r>
      <w:r>
        <w:rPr>
          <w:color w:val="231F20"/>
          <w:spacing w:val="-10"/>
        </w:rPr>
        <w:t> </w:t>
      </w:r>
      <w:r>
        <w:rPr>
          <w:color w:val="231F20"/>
        </w:rPr>
        <w:t>le</w:t>
      </w:r>
      <w:r>
        <w:rPr>
          <w:color w:val="231F20"/>
          <w:spacing w:val="-10"/>
        </w:rPr>
        <w:t> </w:t>
      </w:r>
      <w:r>
        <w:rPr>
          <w:color w:val="231F20"/>
        </w:rPr>
        <w:t>chiffre</w:t>
      </w:r>
      <w:r>
        <w:rPr>
          <w:color w:val="231F20"/>
          <w:spacing w:val="-10"/>
        </w:rPr>
        <w:t> </w:t>
      </w:r>
      <w:r>
        <w:rPr>
          <w:color w:val="231F20"/>
        </w:rPr>
        <w:t>d’affaires</w:t>
      </w:r>
      <w:r>
        <w:rPr>
          <w:color w:val="231F20"/>
          <w:spacing w:val="-10"/>
        </w:rPr>
        <w:t> </w:t>
      </w:r>
      <w:r>
        <w:rPr>
          <w:color w:val="231F20"/>
        </w:rPr>
        <w:t>global des entreprises industrielles est respectivement de 350 milliards et 459 milliards de francs CFA</w:t>
      </w:r>
      <w:r>
        <w:rPr>
          <w:color w:val="231F20"/>
          <w:vertAlign w:val="superscript"/>
        </w:rPr>
        <w:t>130</w:t>
      </w:r>
      <w:r>
        <w:rPr>
          <w:color w:val="231F20"/>
          <w:vertAlign w:val="baseline"/>
        </w:rPr>
        <w:t>. Les Multinationales remplacent au fil du temps, les entreprises coloniales.</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27"/>
        <w:ind w:left="0"/>
        <w:jc w:val="left"/>
        <w:rPr>
          <w:sz w:val="20"/>
        </w:rPr>
      </w:pPr>
      <w:r>
        <w:rPr/>
        <mc:AlternateContent>
          <mc:Choice Requires="wps">
            <w:drawing>
              <wp:anchor distT="0" distB="0" distL="0" distR="0" allowOverlap="1" layoutInCell="1" locked="0" behindDoc="1" simplePos="0" relativeHeight="487629312">
                <wp:simplePos x="0" y="0"/>
                <wp:positionH relativeFrom="page">
                  <wp:posOffset>629907</wp:posOffset>
                </wp:positionH>
                <wp:positionV relativeFrom="paragraph">
                  <wp:posOffset>242111</wp:posOffset>
                </wp:positionV>
                <wp:extent cx="1829435" cy="9525"/>
                <wp:effectExtent l="0" t="0" r="0" b="0"/>
                <wp:wrapTopAndBottom/>
                <wp:docPr id="102" name="Graphic 102"/>
                <wp:cNvGraphicFramePr>
                  <a:graphicFrameLocks/>
                </wp:cNvGraphicFramePr>
                <a:graphic>
                  <a:graphicData uri="http://schemas.microsoft.com/office/word/2010/wordprocessingShape">
                    <wps:wsp>
                      <wps:cNvPr id="102" name="Graphic 102"/>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063927pt;width:144.020pt;height:.71994pt;mso-position-horizontal-relative:page;mso-position-vertical-relative:paragraph;z-index:-15687168;mso-wrap-distance-left:0;mso-wrap-distance-right:0" id="docshape100" filled="true" fillcolor="#231f20" stroked="false">
                <v:fill type="solid"/>
                <w10:wrap type="topAndBottom"/>
              </v:rect>
            </w:pict>
          </mc:Fallback>
        </mc:AlternateContent>
      </w:r>
    </w:p>
    <w:p>
      <w:pPr>
        <w:spacing w:before="91"/>
        <w:ind w:left="111" w:right="108" w:firstLine="0"/>
        <w:jc w:val="both"/>
        <w:rPr>
          <w:sz w:val="20"/>
        </w:rPr>
      </w:pPr>
      <w:r>
        <w:rPr>
          <w:color w:val="76787A"/>
          <w:sz w:val="20"/>
          <w:vertAlign w:val="superscript"/>
        </w:rPr>
        <w:t>130</w:t>
      </w:r>
      <w:r>
        <w:rPr>
          <w:color w:val="231F20"/>
          <w:sz w:val="20"/>
          <w:vertAlign w:val="baseline"/>
        </w:rPr>
        <w:t>L’industrie</w:t>
      </w:r>
      <w:r>
        <w:rPr>
          <w:color w:val="231F20"/>
          <w:spacing w:val="-13"/>
          <w:sz w:val="20"/>
          <w:vertAlign w:val="baseline"/>
        </w:rPr>
        <w:t> </w:t>
      </w:r>
      <w:r>
        <w:rPr>
          <w:color w:val="231F20"/>
          <w:sz w:val="20"/>
          <w:vertAlign w:val="baseline"/>
        </w:rPr>
        <w:t>se</w:t>
      </w:r>
      <w:r>
        <w:rPr>
          <w:color w:val="231F20"/>
          <w:spacing w:val="-10"/>
          <w:sz w:val="20"/>
          <w:vertAlign w:val="baseline"/>
        </w:rPr>
        <w:t> </w:t>
      </w:r>
      <w:r>
        <w:rPr>
          <w:color w:val="231F20"/>
          <w:sz w:val="20"/>
          <w:vertAlign w:val="baseline"/>
        </w:rPr>
        <w:t>caractérise</w:t>
      </w:r>
      <w:r>
        <w:rPr>
          <w:color w:val="231F20"/>
          <w:spacing w:val="-12"/>
          <w:sz w:val="20"/>
          <w:vertAlign w:val="baseline"/>
        </w:rPr>
        <w:t> </w:t>
      </w:r>
      <w:r>
        <w:rPr>
          <w:color w:val="231F20"/>
          <w:sz w:val="20"/>
          <w:vertAlign w:val="baseline"/>
        </w:rPr>
        <w:t>par</w:t>
      </w:r>
      <w:r>
        <w:rPr>
          <w:color w:val="231F20"/>
          <w:spacing w:val="-12"/>
          <w:sz w:val="20"/>
          <w:vertAlign w:val="baseline"/>
        </w:rPr>
        <w:t> </w:t>
      </w:r>
      <w:r>
        <w:rPr>
          <w:color w:val="231F20"/>
          <w:sz w:val="20"/>
          <w:vertAlign w:val="baseline"/>
        </w:rPr>
        <w:t>un</w:t>
      </w:r>
      <w:r>
        <w:rPr>
          <w:color w:val="231F20"/>
          <w:spacing w:val="-10"/>
          <w:sz w:val="20"/>
          <w:vertAlign w:val="baseline"/>
        </w:rPr>
        <w:t> </w:t>
      </w:r>
      <w:r>
        <w:rPr>
          <w:color w:val="231F20"/>
          <w:sz w:val="20"/>
          <w:vertAlign w:val="baseline"/>
        </w:rPr>
        <w:t>grand</w:t>
      </w:r>
      <w:r>
        <w:rPr>
          <w:color w:val="231F20"/>
          <w:spacing w:val="-11"/>
          <w:sz w:val="20"/>
          <w:vertAlign w:val="baseline"/>
        </w:rPr>
        <w:t> </w:t>
      </w:r>
      <w:r>
        <w:rPr>
          <w:color w:val="231F20"/>
          <w:sz w:val="20"/>
          <w:vertAlign w:val="baseline"/>
        </w:rPr>
        <w:t>nombre</w:t>
      </w:r>
      <w:r>
        <w:rPr>
          <w:color w:val="231F20"/>
          <w:spacing w:val="-12"/>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petites</w:t>
      </w:r>
      <w:r>
        <w:rPr>
          <w:color w:val="231F20"/>
          <w:spacing w:val="-10"/>
          <w:sz w:val="20"/>
          <w:vertAlign w:val="baseline"/>
        </w:rPr>
        <w:t> </w:t>
      </w:r>
      <w:r>
        <w:rPr>
          <w:color w:val="231F20"/>
          <w:sz w:val="20"/>
          <w:vertAlign w:val="baseline"/>
        </w:rPr>
        <w:t>et</w:t>
      </w:r>
      <w:r>
        <w:rPr>
          <w:color w:val="231F20"/>
          <w:spacing w:val="-13"/>
          <w:sz w:val="20"/>
          <w:vertAlign w:val="baseline"/>
        </w:rPr>
        <w:t> </w:t>
      </w:r>
      <w:r>
        <w:rPr>
          <w:color w:val="231F20"/>
          <w:sz w:val="20"/>
          <w:vertAlign w:val="baseline"/>
        </w:rPr>
        <w:t>moyennes</w:t>
      </w:r>
      <w:r>
        <w:rPr>
          <w:color w:val="231F20"/>
          <w:spacing w:val="-12"/>
          <w:sz w:val="20"/>
          <w:vertAlign w:val="baseline"/>
        </w:rPr>
        <w:t> </w:t>
      </w:r>
      <w:r>
        <w:rPr>
          <w:color w:val="231F20"/>
          <w:sz w:val="20"/>
          <w:vertAlign w:val="baseline"/>
        </w:rPr>
        <w:t>entreprises</w:t>
      </w:r>
      <w:r>
        <w:rPr>
          <w:color w:val="231F20"/>
          <w:spacing w:val="-11"/>
          <w:sz w:val="20"/>
          <w:vertAlign w:val="baseline"/>
        </w:rPr>
        <w:t> </w:t>
      </w:r>
      <w:r>
        <w:rPr>
          <w:color w:val="231F20"/>
          <w:sz w:val="20"/>
          <w:vertAlign w:val="baseline"/>
        </w:rPr>
        <w:t>et très</w:t>
      </w:r>
      <w:r>
        <w:rPr>
          <w:color w:val="231F20"/>
          <w:spacing w:val="-8"/>
          <w:sz w:val="20"/>
          <w:vertAlign w:val="baseline"/>
        </w:rPr>
        <w:t> </w:t>
      </w:r>
      <w:r>
        <w:rPr>
          <w:color w:val="231F20"/>
          <w:sz w:val="20"/>
          <w:vertAlign w:val="baseline"/>
        </w:rPr>
        <w:t>peu</w:t>
      </w:r>
      <w:r>
        <w:rPr>
          <w:color w:val="231F20"/>
          <w:spacing w:val="-7"/>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grandes</w:t>
      </w:r>
      <w:r>
        <w:rPr>
          <w:color w:val="231F20"/>
          <w:spacing w:val="-6"/>
          <w:sz w:val="20"/>
          <w:vertAlign w:val="baseline"/>
        </w:rPr>
        <w:t> </w:t>
      </w:r>
      <w:r>
        <w:rPr>
          <w:color w:val="231F20"/>
          <w:sz w:val="20"/>
          <w:vertAlign w:val="baseline"/>
        </w:rPr>
        <w:t>entreprises.</w:t>
      </w:r>
      <w:r>
        <w:rPr>
          <w:color w:val="231F20"/>
          <w:spacing w:val="-5"/>
          <w:sz w:val="20"/>
          <w:vertAlign w:val="baseline"/>
        </w:rPr>
        <w:t> </w:t>
      </w:r>
      <w:r>
        <w:rPr>
          <w:color w:val="231F20"/>
          <w:sz w:val="20"/>
          <w:vertAlign w:val="baseline"/>
        </w:rPr>
        <w:t>Elle</w:t>
      </w:r>
      <w:r>
        <w:rPr>
          <w:color w:val="231F20"/>
          <w:spacing w:val="-7"/>
          <w:sz w:val="20"/>
          <w:vertAlign w:val="baseline"/>
        </w:rPr>
        <w:t> </w:t>
      </w:r>
      <w:r>
        <w:rPr>
          <w:color w:val="231F20"/>
          <w:sz w:val="20"/>
          <w:vertAlign w:val="baseline"/>
        </w:rPr>
        <w:t>demeure</w:t>
      </w:r>
      <w:r>
        <w:rPr>
          <w:color w:val="231F20"/>
          <w:spacing w:val="-7"/>
          <w:sz w:val="20"/>
          <w:vertAlign w:val="baseline"/>
        </w:rPr>
        <w:t> </w:t>
      </w:r>
      <w:r>
        <w:rPr>
          <w:color w:val="231F20"/>
          <w:sz w:val="20"/>
          <w:vertAlign w:val="baseline"/>
        </w:rPr>
        <w:t>cependant</w:t>
      </w:r>
      <w:r>
        <w:rPr>
          <w:color w:val="231F20"/>
          <w:spacing w:val="-5"/>
          <w:sz w:val="20"/>
          <w:vertAlign w:val="baseline"/>
        </w:rPr>
        <w:t> </w:t>
      </w:r>
      <w:r>
        <w:rPr>
          <w:color w:val="231F20"/>
          <w:sz w:val="20"/>
          <w:vertAlign w:val="baseline"/>
        </w:rPr>
        <w:t>la</w:t>
      </w:r>
      <w:r>
        <w:rPr>
          <w:color w:val="231F20"/>
          <w:spacing w:val="-7"/>
          <w:sz w:val="20"/>
          <w:vertAlign w:val="baseline"/>
        </w:rPr>
        <w:t> </w:t>
      </w:r>
      <w:r>
        <w:rPr>
          <w:color w:val="231F20"/>
          <w:sz w:val="20"/>
          <w:vertAlign w:val="baseline"/>
        </w:rPr>
        <w:t>plus</w:t>
      </w:r>
      <w:r>
        <w:rPr>
          <w:color w:val="231F20"/>
          <w:spacing w:val="-8"/>
          <w:sz w:val="20"/>
          <w:vertAlign w:val="baseline"/>
        </w:rPr>
        <w:t> </w:t>
      </w:r>
      <w:r>
        <w:rPr>
          <w:color w:val="231F20"/>
          <w:sz w:val="20"/>
          <w:vertAlign w:val="baseline"/>
        </w:rPr>
        <w:t>diversifiée</w:t>
      </w:r>
      <w:r>
        <w:rPr>
          <w:color w:val="231F20"/>
          <w:spacing w:val="-7"/>
          <w:sz w:val="20"/>
          <w:vertAlign w:val="baseline"/>
        </w:rPr>
        <w:t> </w:t>
      </w:r>
      <w:r>
        <w:rPr>
          <w:color w:val="231F20"/>
          <w:sz w:val="20"/>
          <w:vertAlign w:val="baseline"/>
        </w:rPr>
        <w:t>de</w:t>
      </w:r>
      <w:r>
        <w:rPr>
          <w:color w:val="231F20"/>
          <w:spacing w:val="-5"/>
          <w:sz w:val="20"/>
          <w:vertAlign w:val="baseline"/>
        </w:rPr>
        <w:t> </w:t>
      </w:r>
      <w:r>
        <w:rPr>
          <w:color w:val="231F20"/>
          <w:sz w:val="20"/>
          <w:vertAlign w:val="baseline"/>
        </w:rPr>
        <w:t>la</w:t>
      </w:r>
      <w:r>
        <w:rPr>
          <w:color w:val="231F20"/>
          <w:spacing w:val="-5"/>
          <w:sz w:val="20"/>
          <w:vertAlign w:val="baseline"/>
        </w:rPr>
        <w:t> </w:t>
      </w:r>
      <w:r>
        <w:rPr>
          <w:color w:val="231F20"/>
          <w:sz w:val="20"/>
          <w:vertAlign w:val="baseline"/>
        </w:rPr>
        <w:t>sous- région</w:t>
      </w:r>
      <w:r>
        <w:rPr>
          <w:color w:val="231F20"/>
          <w:spacing w:val="-10"/>
          <w:sz w:val="20"/>
          <w:vertAlign w:val="baseline"/>
        </w:rPr>
        <w:t> </w:t>
      </w:r>
      <w:r>
        <w:rPr>
          <w:color w:val="231F20"/>
          <w:sz w:val="20"/>
          <w:vertAlign w:val="baseline"/>
        </w:rPr>
        <w:t>ouest-africaine</w:t>
      </w:r>
      <w:r>
        <w:rPr>
          <w:color w:val="231F20"/>
          <w:spacing w:val="-8"/>
          <w:sz w:val="20"/>
          <w:vertAlign w:val="baseline"/>
        </w:rPr>
        <w:t> </w:t>
      </w:r>
      <w:r>
        <w:rPr>
          <w:color w:val="231F20"/>
          <w:sz w:val="20"/>
          <w:vertAlign w:val="baseline"/>
        </w:rPr>
        <w:t>et</w:t>
      </w:r>
      <w:r>
        <w:rPr>
          <w:color w:val="231F20"/>
          <w:spacing w:val="-11"/>
          <w:sz w:val="20"/>
          <w:vertAlign w:val="baseline"/>
        </w:rPr>
        <w:t> </w:t>
      </w:r>
      <w:r>
        <w:rPr>
          <w:color w:val="231F20"/>
          <w:sz w:val="20"/>
          <w:vertAlign w:val="baseline"/>
        </w:rPr>
        <w:t>représente</w:t>
      </w:r>
      <w:r>
        <w:rPr>
          <w:color w:val="231F20"/>
          <w:spacing w:val="-11"/>
          <w:sz w:val="20"/>
          <w:vertAlign w:val="baseline"/>
        </w:rPr>
        <w:t> </w:t>
      </w:r>
      <w:r>
        <w:rPr>
          <w:color w:val="231F20"/>
          <w:sz w:val="20"/>
          <w:vertAlign w:val="baseline"/>
        </w:rPr>
        <w:t>40</w:t>
      </w:r>
      <w:r>
        <w:rPr>
          <w:color w:val="231F20"/>
          <w:spacing w:val="-8"/>
          <w:sz w:val="20"/>
          <w:vertAlign w:val="baseline"/>
        </w:rPr>
        <w:t> </w:t>
      </w:r>
      <w:r>
        <w:rPr>
          <w:color w:val="231F20"/>
          <w:sz w:val="20"/>
          <w:vertAlign w:val="baseline"/>
        </w:rPr>
        <w:t>%</w:t>
      </w:r>
      <w:r>
        <w:rPr>
          <w:color w:val="231F20"/>
          <w:spacing w:val="-12"/>
          <w:sz w:val="20"/>
          <w:vertAlign w:val="baseline"/>
        </w:rPr>
        <w:t> </w:t>
      </w:r>
      <w:r>
        <w:rPr>
          <w:color w:val="231F20"/>
          <w:sz w:val="20"/>
          <w:vertAlign w:val="baseline"/>
        </w:rPr>
        <w:t>du</w:t>
      </w:r>
      <w:r>
        <w:rPr>
          <w:color w:val="231F20"/>
          <w:spacing w:val="-10"/>
          <w:sz w:val="20"/>
          <w:vertAlign w:val="baseline"/>
        </w:rPr>
        <w:t> </w:t>
      </w:r>
      <w:r>
        <w:rPr>
          <w:color w:val="231F20"/>
          <w:sz w:val="20"/>
          <w:vertAlign w:val="baseline"/>
        </w:rPr>
        <w:t>potentiel</w:t>
      </w:r>
      <w:r>
        <w:rPr>
          <w:color w:val="231F20"/>
          <w:spacing w:val="-9"/>
          <w:sz w:val="20"/>
          <w:vertAlign w:val="baseline"/>
        </w:rPr>
        <w:t> </w:t>
      </w:r>
      <w:r>
        <w:rPr>
          <w:color w:val="231F20"/>
          <w:sz w:val="20"/>
          <w:vertAlign w:val="baseline"/>
        </w:rPr>
        <w:t>industriel</w:t>
      </w:r>
      <w:r>
        <w:rPr>
          <w:color w:val="231F20"/>
          <w:spacing w:val="-9"/>
          <w:sz w:val="20"/>
          <w:vertAlign w:val="baseline"/>
        </w:rPr>
        <w:t> </w:t>
      </w:r>
      <w:r>
        <w:rPr>
          <w:color w:val="231F20"/>
          <w:sz w:val="20"/>
          <w:vertAlign w:val="baseline"/>
        </w:rPr>
        <w:t>de</w:t>
      </w:r>
      <w:r>
        <w:rPr>
          <w:color w:val="231F20"/>
          <w:spacing w:val="-11"/>
          <w:sz w:val="20"/>
          <w:vertAlign w:val="baseline"/>
        </w:rPr>
        <w:t> </w:t>
      </w:r>
      <w:r>
        <w:rPr>
          <w:color w:val="231F20"/>
          <w:sz w:val="20"/>
          <w:vertAlign w:val="baseline"/>
        </w:rPr>
        <w:t>l’UEMOA.</w:t>
      </w:r>
    </w:p>
    <w:p>
      <w:pPr>
        <w:spacing w:after="0"/>
        <w:jc w:val="both"/>
        <w:rPr>
          <w:sz w:val="20"/>
        </w:rPr>
        <w:sectPr>
          <w:pgSz w:w="8790" w:h="13610"/>
          <w:pgMar w:header="0" w:footer="802" w:top="1060" w:bottom="1000" w:left="880" w:right="880"/>
        </w:sectPr>
      </w:pPr>
    </w:p>
    <w:p>
      <w:pPr>
        <w:pStyle w:val="Heading3"/>
        <w:spacing w:before="87"/>
        <w:jc w:val="left"/>
        <w:rPr>
          <w:i/>
        </w:rPr>
      </w:pPr>
      <w:bookmarkStart w:name="_TOC_250025" w:id="18"/>
      <w:r>
        <w:rPr>
          <w:i/>
          <w:color w:val="231F20"/>
        </w:rPr>
        <w:t>Les</w:t>
      </w:r>
      <w:r>
        <w:rPr>
          <w:i/>
          <w:color w:val="231F20"/>
          <w:spacing w:val="-12"/>
        </w:rPr>
        <w:t> </w:t>
      </w:r>
      <w:bookmarkEnd w:id="18"/>
      <w:r>
        <w:rPr>
          <w:i/>
          <w:color w:val="231F20"/>
          <w:spacing w:val="-2"/>
        </w:rPr>
        <w:t>Libanais</w:t>
      </w:r>
    </w:p>
    <w:p>
      <w:pPr>
        <w:pStyle w:val="BodyText"/>
        <w:spacing w:before="255"/>
        <w:ind w:right="105" w:firstLine="283"/>
      </w:pPr>
      <w:r>
        <w:rPr>
          <w:color w:val="231F20"/>
          <w:spacing w:val="-2"/>
        </w:rPr>
        <w:t>Connus</w:t>
      </w:r>
      <w:r>
        <w:rPr>
          <w:color w:val="231F20"/>
          <w:spacing w:val="-15"/>
        </w:rPr>
        <w:t> </w:t>
      </w:r>
      <w:r>
        <w:rPr>
          <w:color w:val="231F20"/>
          <w:spacing w:val="-2"/>
        </w:rPr>
        <w:t>en</w:t>
      </w:r>
      <w:r>
        <w:rPr>
          <w:color w:val="231F20"/>
          <w:spacing w:val="-13"/>
        </w:rPr>
        <w:t> </w:t>
      </w:r>
      <w:r>
        <w:rPr>
          <w:color w:val="231F20"/>
          <w:spacing w:val="-2"/>
        </w:rPr>
        <w:t>Côte</w:t>
      </w:r>
      <w:r>
        <w:rPr>
          <w:color w:val="231F20"/>
          <w:spacing w:val="-13"/>
        </w:rPr>
        <w:t> </w:t>
      </w:r>
      <w:r>
        <w:rPr>
          <w:color w:val="231F20"/>
          <w:spacing w:val="-2"/>
        </w:rPr>
        <w:t>d’Ivoire</w:t>
      </w:r>
      <w:r>
        <w:rPr>
          <w:color w:val="231F20"/>
          <w:spacing w:val="-13"/>
        </w:rPr>
        <w:t> </w:t>
      </w:r>
      <w:r>
        <w:rPr>
          <w:color w:val="231F20"/>
          <w:spacing w:val="-2"/>
        </w:rPr>
        <w:t>d’abord</w:t>
      </w:r>
      <w:r>
        <w:rPr>
          <w:color w:val="231F20"/>
          <w:spacing w:val="-13"/>
        </w:rPr>
        <w:t> </w:t>
      </w:r>
      <w:r>
        <w:rPr>
          <w:color w:val="231F20"/>
          <w:spacing w:val="-2"/>
        </w:rPr>
        <w:t>sous</w:t>
      </w:r>
      <w:r>
        <w:rPr>
          <w:color w:val="231F20"/>
          <w:spacing w:val="-13"/>
        </w:rPr>
        <w:t> </w:t>
      </w:r>
      <w:r>
        <w:rPr>
          <w:color w:val="231F20"/>
          <w:spacing w:val="-2"/>
        </w:rPr>
        <w:t>le</w:t>
      </w:r>
      <w:r>
        <w:rPr>
          <w:color w:val="231F20"/>
          <w:spacing w:val="-13"/>
        </w:rPr>
        <w:t> </w:t>
      </w:r>
      <w:r>
        <w:rPr>
          <w:color w:val="231F20"/>
          <w:spacing w:val="-2"/>
        </w:rPr>
        <w:t>nom</w:t>
      </w:r>
      <w:r>
        <w:rPr>
          <w:color w:val="231F20"/>
          <w:spacing w:val="-13"/>
        </w:rPr>
        <w:t> </w:t>
      </w:r>
      <w:r>
        <w:rPr>
          <w:color w:val="231F20"/>
          <w:spacing w:val="-2"/>
        </w:rPr>
        <w:t>de</w:t>
      </w:r>
      <w:r>
        <w:rPr>
          <w:color w:val="231F20"/>
          <w:spacing w:val="-13"/>
        </w:rPr>
        <w:t> </w:t>
      </w:r>
      <w:r>
        <w:rPr>
          <w:color w:val="231F20"/>
          <w:spacing w:val="-2"/>
        </w:rPr>
        <w:t>Syriens</w:t>
      </w:r>
      <w:r>
        <w:rPr>
          <w:color w:val="231F20"/>
          <w:spacing w:val="-13"/>
        </w:rPr>
        <w:t> </w:t>
      </w:r>
      <w:r>
        <w:rPr>
          <w:color w:val="231F20"/>
          <w:spacing w:val="-2"/>
        </w:rPr>
        <w:t>puis</w:t>
      </w:r>
      <w:r>
        <w:rPr>
          <w:color w:val="231F20"/>
          <w:spacing w:val="-13"/>
        </w:rPr>
        <w:t> </w:t>
      </w:r>
      <w:r>
        <w:rPr>
          <w:color w:val="231F20"/>
          <w:spacing w:val="-2"/>
        </w:rPr>
        <w:t>de</w:t>
      </w:r>
      <w:r>
        <w:rPr>
          <w:color w:val="231F20"/>
          <w:spacing w:val="-13"/>
        </w:rPr>
        <w:t> </w:t>
      </w:r>
      <w:r>
        <w:rPr>
          <w:color w:val="231F20"/>
          <w:spacing w:val="-2"/>
        </w:rPr>
        <w:t>Syro- </w:t>
      </w:r>
      <w:r>
        <w:rPr>
          <w:color w:val="231F20"/>
        </w:rPr>
        <w:t>Libanais ou Libano-Syriens dans les années 1960, les Libanais sont présents dans le pays depuis les années 1900. Leur installation s’est effectuée par vagues successives. Il s’agissait au départ de simples paysans,</w:t>
      </w:r>
      <w:r>
        <w:rPr>
          <w:color w:val="231F20"/>
          <w:spacing w:val="-15"/>
        </w:rPr>
        <w:t> </w:t>
      </w:r>
      <w:r>
        <w:rPr>
          <w:color w:val="231F20"/>
        </w:rPr>
        <w:t>d’analphabètes,</w:t>
      </w:r>
      <w:r>
        <w:rPr>
          <w:color w:val="231F20"/>
          <w:spacing w:val="-15"/>
        </w:rPr>
        <w:t> </w:t>
      </w:r>
      <w:r>
        <w:rPr>
          <w:color w:val="231F20"/>
        </w:rPr>
        <w:t>d’ouvriers</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chômeurs.</w:t>
      </w:r>
      <w:r>
        <w:rPr>
          <w:color w:val="231F20"/>
          <w:spacing w:val="-15"/>
        </w:rPr>
        <w:t> </w:t>
      </w:r>
      <w:r>
        <w:rPr>
          <w:color w:val="231F20"/>
        </w:rPr>
        <w:t>Ils</w:t>
      </w:r>
      <w:r>
        <w:rPr>
          <w:color w:val="231F20"/>
          <w:spacing w:val="-15"/>
        </w:rPr>
        <w:t> </w:t>
      </w:r>
      <w:r>
        <w:rPr>
          <w:color w:val="231F20"/>
        </w:rPr>
        <w:t>s’installent</w:t>
      </w:r>
      <w:r>
        <w:rPr>
          <w:color w:val="231F20"/>
          <w:spacing w:val="-15"/>
        </w:rPr>
        <w:t> </w:t>
      </w:r>
      <w:r>
        <w:rPr>
          <w:color w:val="231F20"/>
        </w:rPr>
        <w:t>dans les grandes villes de l’époque</w:t>
      </w:r>
      <w:r>
        <w:rPr>
          <w:color w:val="231F20"/>
          <w:spacing w:val="-15"/>
        </w:rPr>
        <w:t> </w:t>
      </w:r>
      <w:r>
        <w:rPr>
          <w:color w:val="231F20"/>
        </w:rPr>
        <w:t>: Grand-Bassam, la première capitale ivoirienne</w:t>
      </w:r>
      <w:r>
        <w:rPr>
          <w:color w:val="231F20"/>
          <w:spacing w:val="-6"/>
        </w:rPr>
        <w:t> </w:t>
      </w:r>
      <w:r>
        <w:rPr>
          <w:color w:val="231F20"/>
        </w:rPr>
        <w:t>de</w:t>
      </w:r>
      <w:r>
        <w:rPr>
          <w:color w:val="231F20"/>
          <w:spacing w:val="-6"/>
        </w:rPr>
        <w:t> </w:t>
      </w:r>
      <w:r>
        <w:rPr>
          <w:color w:val="231F20"/>
        </w:rPr>
        <w:t>1893</w:t>
      </w:r>
      <w:r>
        <w:rPr>
          <w:color w:val="231F20"/>
          <w:spacing w:val="-6"/>
        </w:rPr>
        <w:t> </w:t>
      </w:r>
      <w:r>
        <w:rPr>
          <w:color w:val="231F20"/>
        </w:rPr>
        <w:t>à</w:t>
      </w:r>
      <w:r>
        <w:rPr>
          <w:color w:val="231F20"/>
          <w:spacing w:val="-6"/>
        </w:rPr>
        <w:t> </w:t>
      </w:r>
      <w:r>
        <w:rPr>
          <w:color w:val="231F20"/>
        </w:rPr>
        <w:t>1900,</w:t>
      </w:r>
      <w:r>
        <w:rPr>
          <w:color w:val="231F20"/>
          <w:spacing w:val="-4"/>
        </w:rPr>
        <w:t> </w:t>
      </w:r>
      <w:r>
        <w:rPr>
          <w:color w:val="231F20"/>
        </w:rPr>
        <w:t>puis</w:t>
      </w:r>
      <w:r>
        <w:rPr>
          <w:color w:val="231F20"/>
          <w:spacing w:val="-8"/>
        </w:rPr>
        <w:t> </w:t>
      </w:r>
      <w:r>
        <w:rPr>
          <w:color w:val="231F20"/>
        </w:rPr>
        <w:t>Bingerville</w:t>
      </w:r>
      <w:r>
        <w:rPr>
          <w:color w:val="231F20"/>
          <w:spacing w:val="-6"/>
        </w:rPr>
        <w:t> </w:t>
      </w:r>
      <w:r>
        <w:rPr>
          <w:color w:val="231F20"/>
        </w:rPr>
        <w:t>de</w:t>
      </w:r>
      <w:r>
        <w:rPr>
          <w:color w:val="231F20"/>
          <w:spacing w:val="-4"/>
        </w:rPr>
        <w:t> </w:t>
      </w:r>
      <w:r>
        <w:rPr>
          <w:color w:val="231F20"/>
        </w:rPr>
        <w:t>1900</w:t>
      </w:r>
      <w:r>
        <w:rPr>
          <w:color w:val="231F20"/>
          <w:spacing w:val="-4"/>
        </w:rPr>
        <w:t> </w:t>
      </w:r>
      <w:r>
        <w:rPr>
          <w:color w:val="231F20"/>
        </w:rPr>
        <w:t>à</w:t>
      </w:r>
      <w:r>
        <w:rPr>
          <w:color w:val="231F20"/>
          <w:spacing w:val="-6"/>
        </w:rPr>
        <w:t> </w:t>
      </w:r>
      <w:r>
        <w:rPr>
          <w:color w:val="231F20"/>
        </w:rPr>
        <w:t>1934</w:t>
      </w:r>
      <w:r>
        <w:rPr>
          <w:color w:val="231F20"/>
          <w:spacing w:val="-4"/>
        </w:rPr>
        <w:t> </w:t>
      </w:r>
      <w:r>
        <w:rPr>
          <w:color w:val="231F20"/>
        </w:rPr>
        <w:t>et</w:t>
      </w:r>
      <w:r>
        <w:rPr>
          <w:color w:val="231F20"/>
          <w:spacing w:val="-6"/>
        </w:rPr>
        <w:t> </w:t>
      </w:r>
      <w:r>
        <w:rPr>
          <w:color w:val="231F20"/>
        </w:rPr>
        <w:t>ensuite</w:t>
      </w:r>
      <w:r>
        <w:rPr>
          <w:color w:val="231F20"/>
          <w:spacing w:val="-4"/>
        </w:rPr>
        <w:t> </w:t>
      </w:r>
      <w:r>
        <w:rPr>
          <w:color w:val="231F20"/>
        </w:rPr>
        <w:t>à Abidjan</w:t>
      </w:r>
      <w:r>
        <w:rPr>
          <w:color w:val="231F20"/>
          <w:spacing w:val="-4"/>
        </w:rPr>
        <w:t> </w:t>
      </w:r>
      <w:r>
        <w:rPr>
          <w:color w:val="231F20"/>
        </w:rPr>
        <w:t>et</w:t>
      </w:r>
      <w:r>
        <w:rPr>
          <w:color w:val="231F20"/>
          <w:spacing w:val="-7"/>
        </w:rPr>
        <w:t> </w:t>
      </w:r>
      <w:r>
        <w:rPr>
          <w:color w:val="231F20"/>
        </w:rPr>
        <w:t>progressivement</w:t>
      </w:r>
      <w:r>
        <w:rPr>
          <w:color w:val="231F20"/>
          <w:spacing w:val="-4"/>
        </w:rPr>
        <w:t> </w:t>
      </w:r>
      <w:r>
        <w:rPr>
          <w:color w:val="231F20"/>
        </w:rPr>
        <w:t>dans</w:t>
      </w:r>
      <w:r>
        <w:rPr>
          <w:color w:val="231F20"/>
          <w:spacing w:val="-4"/>
        </w:rPr>
        <w:t> </w:t>
      </w:r>
      <w:r>
        <w:rPr>
          <w:color w:val="231F20"/>
        </w:rPr>
        <w:t>des</w:t>
      </w:r>
      <w:r>
        <w:rPr>
          <w:color w:val="231F20"/>
          <w:spacing w:val="-7"/>
        </w:rPr>
        <w:t> </w:t>
      </w:r>
      <w:r>
        <w:rPr>
          <w:color w:val="231F20"/>
        </w:rPr>
        <w:t>villes</w:t>
      </w:r>
      <w:r>
        <w:rPr>
          <w:color w:val="231F20"/>
          <w:spacing w:val="-7"/>
        </w:rPr>
        <w:t> </w:t>
      </w:r>
      <w:r>
        <w:rPr>
          <w:color w:val="231F20"/>
        </w:rPr>
        <w:t>de</w:t>
      </w:r>
      <w:r>
        <w:rPr>
          <w:color w:val="231F20"/>
          <w:spacing w:val="-5"/>
        </w:rPr>
        <w:t> </w:t>
      </w:r>
      <w:r>
        <w:rPr>
          <w:color w:val="231F20"/>
        </w:rPr>
        <w:t>l’intérieur.</w:t>
      </w:r>
    </w:p>
    <w:p>
      <w:pPr>
        <w:pStyle w:val="BodyText"/>
        <w:spacing w:before="121"/>
        <w:ind w:right="103" w:firstLine="283"/>
      </w:pPr>
      <w:r>
        <w:rPr>
          <w:color w:val="231F20"/>
        </w:rPr>
        <w:t>La</w:t>
      </w:r>
      <w:r>
        <w:rPr>
          <w:color w:val="231F20"/>
          <w:spacing w:val="-11"/>
        </w:rPr>
        <w:t> </w:t>
      </w:r>
      <w:r>
        <w:rPr>
          <w:color w:val="231F20"/>
        </w:rPr>
        <w:t>plupart</w:t>
      </w:r>
      <w:r>
        <w:rPr>
          <w:color w:val="231F20"/>
          <w:spacing w:val="-13"/>
        </w:rPr>
        <w:t> </w:t>
      </w:r>
      <w:r>
        <w:rPr>
          <w:color w:val="231F20"/>
        </w:rPr>
        <w:t>d’entre</w:t>
      </w:r>
      <w:r>
        <w:rPr>
          <w:color w:val="231F20"/>
          <w:spacing w:val="-13"/>
        </w:rPr>
        <w:t> </w:t>
      </w:r>
      <w:r>
        <w:rPr>
          <w:color w:val="231F20"/>
        </w:rPr>
        <w:t>eux</w:t>
      </w:r>
      <w:r>
        <w:rPr>
          <w:color w:val="231F20"/>
          <w:spacing w:val="-13"/>
        </w:rPr>
        <w:t> </w:t>
      </w:r>
      <w:r>
        <w:rPr>
          <w:color w:val="231F20"/>
        </w:rPr>
        <w:t>sont</w:t>
      </w:r>
      <w:r>
        <w:rPr>
          <w:color w:val="231F20"/>
          <w:spacing w:val="-11"/>
        </w:rPr>
        <w:t> </w:t>
      </w:r>
      <w:r>
        <w:rPr>
          <w:color w:val="231F20"/>
        </w:rPr>
        <w:t>au</w:t>
      </w:r>
      <w:r>
        <w:rPr>
          <w:color w:val="231F20"/>
          <w:spacing w:val="-13"/>
        </w:rPr>
        <w:t> </w:t>
      </w:r>
      <w:r>
        <w:rPr>
          <w:color w:val="231F20"/>
        </w:rPr>
        <w:t>service</w:t>
      </w:r>
      <w:r>
        <w:rPr>
          <w:color w:val="231F20"/>
          <w:spacing w:val="-11"/>
        </w:rPr>
        <w:t> </w:t>
      </w:r>
      <w:r>
        <w:rPr>
          <w:color w:val="231F20"/>
        </w:rPr>
        <w:t>des</w:t>
      </w:r>
      <w:r>
        <w:rPr>
          <w:color w:val="231F20"/>
          <w:spacing w:val="-13"/>
        </w:rPr>
        <w:t> </w:t>
      </w:r>
      <w:r>
        <w:rPr>
          <w:color w:val="231F20"/>
        </w:rPr>
        <w:t>grandes</w:t>
      </w:r>
      <w:r>
        <w:rPr>
          <w:color w:val="231F20"/>
          <w:spacing w:val="-13"/>
        </w:rPr>
        <w:t> </w:t>
      </w:r>
      <w:r>
        <w:rPr>
          <w:color w:val="231F20"/>
        </w:rPr>
        <w:t>sociétés</w:t>
      </w:r>
      <w:r>
        <w:rPr>
          <w:color w:val="231F20"/>
          <w:spacing w:val="-13"/>
        </w:rPr>
        <w:t> </w:t>
      </w:r>
      <w:r>
        <w:rPr>
          <w:color w:val="231F20"/>
        </w:rPr>
        <w:t>d’import- export telle la Compagnie Française de l’Afrique de l’Ouest (CFAO). Leurs activités sont principalement la collecte du café, du cacao et le </w:t>
      </w:r>
      <w:r>
        <w:rPr>
          <w:color w:val="231F20"/>
          <w:spacing w:val="-2"/>
        </w:rPr>
        <w:t>commerce</w:t>
      </w:r>
      <w:r>
        <w:rPr>
          <w:color w:val="231F20"/>
          <w:spacing w:val="-10"/>
        </w:rPr>
        <w:t> </w:t>
      </w:r>
      <w:r>
        <w:rPr>
          <w:color w:val="231F20"/>
          <w:spacing w:val="-2"/>
        </w:rPr>
        <w:t>de</w:t>
      </w:r>
      <w:r>
        <w:rPr>
          <w:color w:val="231F20"/>
          <w:spacing w:val="-10"/>
        </w:rPr>
        <w:t> </w:t>
      </w:r>
      <w:r>
        <w:rPr>
          <w:color w:val="231F20"/>
          <w:spacing w:val="-2"/>
        </w:rPr>
        <w:t>détail.</w:t>
      </w:r>
      <w:r>
        <w:rPr>
          <w:color w:val="231F20"/>
          <w:spacing w:val="-10"/>
        </w:rPr>
        <w:t> </w:t>
      </w:r>
      <w:r>
        <w:rPr>
          <w:color w:val="231F20"/>
          <w:spacing w:val="-2"/>
        </w:rPr>
        <w:t>Les</w:t>
      </w:r>
      <w:r>
        <w:rPr>
          <w:color w:val="231F20"/>
          <w:spacing w:val="-10"/>
        </w:rPr>
        <w:t> </w:t>
      </w:r>
      <w:r>
        <w:rPr>
          <w:color w:val="231F20"/>
          <w:spacing w:val="-2"/>
        </w:rPr>
        <w:t>colons</w:t>
      </w:r>
      <w:r>
        <w:rPr>
          <w:color w:val="231F20"/>
          <w:spacing w:val="-10"/>
        </w:rPr>
        <w:t> </w:t>
      </w:r>
      <w:r>
        <w:rPr>
          <w:color w:val="231F20"/>
          <w:spacing w:val="-2"/>
        </w:rPr>
        <w:t>leur</w:t>
      </w:r>
      <w:r>
        <w:rPr>
          <w:color w:val="231F20"/>
          <w:spacing w:val="-11"/>
        </w:rPr>
        <w:t> </w:t>
      </w:r>
      <w:r>
        <w:rPr>
          <w:color w:val="231F20"/>
          <w:spacing w:val="-2"/>
        </w:rPr>
        <w:t>font</w:t>
      </w:r>
      <w:r>
        <w:rPr>
          <w:color w:val="231F20"/>
          <w:spacing w:val="-11"/>
        </w:rPr>
        <w:t> </w:t>
      </w:r>
      <w:r>
        <w:rPr>
          <w:color w:val="231F20"/>
          <w:spacing w:val="-2"/>
        </w:rPr>
        <w:t>confiance</w:t>
      </w:r>
      <w:r>
        <w:rPr>
          <w:color w:val="231F20"/>
          <w:spacing w:val="-12"/>
        </w:rPr>
        <w:t> </w:t>
      </w:r>
      <w:r>
        <w:rPr>
          <w:color w:val="231F20"/>
          <w:spacing w:val="-2"/>
        </w:rPr>
        <w:t>et</w:t>
      </w:r>
      <w:r>
        <w:rPr>
          <w:color w:val="231F20"/>
          <w:spacing w:val="-11"/>
        </w:rPr>
        <w:t> </w:t>
      </w:r>
      <w:r>
        <w:rPr>
          <w:color w:val="231F20"/>
          <w:spacing w:val="-2"/>
        </w:rPr>
        <w:t>les</w:t>
      </w:r>
      <w:r>
        <w:rPr>
          <w:color w:val="231F20"/>
          <w:spacing w:val="-11"/>
        </w:rPr>
        <w:t> </w:t>
      </w:r>
      <w:r>
        <w:rPr>
          <w:color w:val="231F20"/>
          <w:spacing w:val="-2"/>
        </w:rPr>
        <w:t>aident</w:t>
      </w:r>
      <w:r>
        <w:rPr>
          <w:color w:val="231F20"/>
          <w:spacing w:val="-9"/>
        </w:rPr>
        <w:t> </w:t>
      </w:r>
      <w:r>
        <w:rPr>
          <w:color w:val="231F20"/>
          <w:spacing w:val="-2"/>
        </w:rPr>
        <w:t>à</w:t>
      </w:r>
      <w:r>
        <w:rPr>
          <w:color w:val="231F20"/>
          <w:spacing w:val="-11"/>
        </w:rPr>
        <w:t> </w:t>
      </w:r>
      <w:r>
        <w:rPr>
          <w:color w:val="231F20"/>
          <w:spacing w:val="-2"/>
        </w:rPr>
        <w:t>obtenir </w:t>
      </w:r>
      <w:r>
        <w:rPr>
          <w:color w:val="231F20"/>
          <w:spacing w:val="-4"/>
        </w:rPr>
        <w:t>des</w:t>
      </w:r>
      <w:r>
        <w:rPr>
          <w:color w:val="231F20"/>
          <w:spacing w:val="-7"/>
        </w:rPr>
        <w:t> </w:t>
      </w:r>
      <w:r>
        <w:rPr>
          <w:color w:val="231F20"/>
          <w:spacing w:val="-4"/>
        </w:rPr>
        <w:t>crédits</w:t>
      </w:r>
      <w:r>
        <w:rPr>
          <w:color w:val="231F20"/>
          <w:spacing w:val="-10"/>
        </w:rPr>
        <w:t> </w:t>
      </w:r>
      <w:r>
        <w:rPr>
          <w:color w:val="231F20"/>
          <w:spacing w:val="-4"/>
        </w:rPr>
        <w:t>dans</w:t>
      </w:r>
      <w:r>
        <w:rPr>
          <w:color w:val="231F20"/>
          <w:spacing w:val="-8"/>
        </w:rPr>
        <w:t> </w:t>
      </w:r>
      <w:r>
        <w:rPr>
          <w:color w:val="231F20"/>
          <w:spacing w:val="-4"/>
        </w:rPr>
        <w:t>les</w:t>
      </w:r>
      <w:r>
        <w:rPr>
          <w:color w:val="231F20"/>
          <w:spacing w:val="-10"/>
        </w:rPr>
        <w:t> </w:t>
      </w:r>
      <w:r>
        <w:rPr>
          <w:color w:val="231F20"/>
          <w:spacing w:val="-4"/>
        </w:rPr>
        <w:t>banques</w:t>
      </w:r>
      <w:r>
        <w:rPr>
          <w:color w:val="231F20"/>
          <w:spacing w:val="-7"/>
        </w:rPr>
        <w:t> </w:t>
      </w:r>
      <w:r>
        <w:rPr>
          <w:color w:val="231F20"/>
          <w:spacing w:val="-4"/>
        </w:rPr>
        <w:t>de</w:t>
      </w:r>
      <w:r>
        <w:rPr>
          <w:color w:val="231F20"/>
          <w:spacing w:val="-7"/>
        </w:rPr>
        <w:t> </w:t>
      </w:r>
      <w:r>
        <w:rPr>
          <w:color w:val="231F20"/>
          <w:spacing w:val="-4"/>
        </w:rPr>
        <w:t>commerce</w:t>
      </w:r>
      <w:r>
        <w:rPr>
          <w:color w:val="231F20"/>
          <w:spacing w:val="-7"/>
        </w:rPr>
        <w:t> </w:t>
      </w:r>
      <w:r>
        <w:rPr>
          <w:color w:val="231F20"/>
          <w:spacing w:val="-4"/>
        </w:rPr>
        <w:t>ainsi</w:t>
      </w:r>
      <w:r>
        <w:rPr>
          <w:color w:val="231F20"/>
          <w:spacing w:val="-7"/>
        </w:rPr>
        <w:t> </w:t>
      </w:r>
      <w:r>
        <w:rPr>
          <w:color w:val="231F20"/>
          <w:spacing w:val="-4"/>
        </w:rPr>
        <w:t>que</w:t>
      </w:r>
      <w:r>
        <w:rPr>
          <w:color w:val="231F20"/>
          <w:spacing w:val="-9"/>
        </w:rPr>
        <w:t> </w:t>
      </w:r>
      <w:r>
        <w:rPr>
          <w:color w:val="231F20"/>
          <w:spacing w:val="-4"/>
        </w:rPr>
        <w:t>de</w:t>
      </w:r>
      <w:r>
        <w:rPr>
          <w:color w:val="231F20"/>
          <w:spacing w:val="-7"/>
        </w:rPr>
        <w:t> </w:t>
      </w:r>
      <w:r>
        <w:rPr>
          <w:color w:val="231F20"/>
          <w:spacing w:val="-4"/>
        </w:rPr>
        <w:t>la</w:t>
      </w:r>
      <w:r>
        <w:rPr>
          <w:color w:val="231F20"/>
          <w:spacing w:val="-10"/>
        </w:rPr>
        <w:t> </w:t>
      </w:r>
      <w:r>
        <w:rPr>
          <w:color w:val="231F20"/>
          <w:spacing w:val="-4"/>
        </w:rPr>
        <w:t>marchandise.</w:t>
      </w:r>
      <w:r>
        <w:rPr>
          <w:color w:val="231F20"/>
          <w:spacing w:val="-7"/>
        </w:rPr>
        <w:t> </w:t>
      </w:r>
      <w:r>
        <w:rPr>
          <w:color w:val="231F20"/>
          <w:spacing w:val="-4"/>
        </w:rPr>
        <w:t>Ils </w:t>
      </w:r>
      <w:r>
        <w:rPr>
          <w:color w:val="231F20"/>
        </w:rPr>
        <w:t>ouvrent alors, les premières épiceries et boutiques de proximité. La </w:t>
      </w:r>
      <w:r>
        <w:rPr>
          <w:color w:val="231F20"/>
          <w:spacing w:val="-4"/>
        </w:rPr>
        <w:t>communauté</w:t>
      </w:r>
      <w:r>
        <w:rPr>
          <w:color w:val="231F20"/>
          <w:spacing w:val="-7"/>
        </w:rPr>
        <w:t> </w:t>
      </w:r>
      <w:r>
        <w:rPr>
          <w:color w:val="231F20"/>
          <w:spacing w:val="-4"/>
        </w:rPr>
        <w:t>s’accroît</w:t>
      </w:r>
      <w:r>
        <w:rPr>
          <w:color w:val="231F20"/>
          <w:spacing w:val="-5"/>
        </w:rPr>
        <w:t> </w:t>
      </w:r>
      <w:r>
        <w:rPr>
          <w:color w:val="231F20"/>
          <w:spacing w:val="-4"/>
        </w:rPr>
        <w:t>au</w:t>
      </w:r>
      <w:r>
        <w:rPr>
          <w:color w:val="231F20"/>
          <w:spacing w:val="-7"/>
        </w:rPr>
        <w:t> </w:t>
      </w:r>
      <w:r>
        <w:rPr>
          <w:color w:val="231F20"/>
          <w:spacing w:val="-4"/>
        </w:rPr>
        <w:t>fur</w:t>
      </w:r>
      <w:r>
        <w:rPr>
          <w:color w:val="231F20"/>
          <w:spacing w:val="-7"/>
        </w:rPr>
        <w:t> </w:t>
      </w:r>
      <w:r>
        <w:rPr>
          <w:color w:val="231F20"/>
          <w:spacing w:val="-4"/>
        </w:rPr>
        <w:t>et</w:t>
      </w:r>
      <w:r>
        <w:rPr>
          <w:color w:val="231F20"/>
          <w:spacing w:val="-5"/>
        </w:rPr>
        <w:t> </w:t>
      </w:r>
      <w:r>
        <w:rPr>
          <w:color w:val="231F20"/>
          <w:spacing w:val="-4"/>
        </w:rPr>
        <w:t>à</w:t>
      </w:r>
      <w:r>
        <w:rPr>
          <w:color w:val="231F20"/>
          <w:spacing w:val="-7"/>
        </w:rPr>
        <w:t> </w:t>
      </w:r>
      <w:r>
        <w:rPr>
          <w:color w:val="231F20"/>
          <w:spacing w:val="-4"/>
        </w:rPr>
        <w:t>mesure</w:t>
      </w:r>
      <w:r>
        <w:rPr>
          <w:color w:val="231F20"/>
          <w:spacing w:val="-7"/>
        </w:rPr>
        <w:t> </w:t>
      </w:r>
      <w:r>
        <w:rPr>
          <w:color w:val="231F20"/>
          <w:spacing w:val="-4"/>
        </w:rPr>
        <w:t>que</w:t>
      </w:r>
      <w:r>
        <w:rPr>
          <w:color w:val="231F20"/>
          <w:spacing w:val="-7"/>
        </w:rPr>
        <w:t> </w:t>
      </w:r>
      <w:r>
        <w:rPr>
          <w:color w:val="231F20"/>
          <w:spacing w:val="-4"/>
        </w:rPr>
        <w:t>les</w:t>
      </w:r>
      <w:r>
        <w:rPr>
          <w:color w:val="231F20"/>
          <w:spacing w:val="-7"/>
        </w:rPr>
        <w:t> </w:t>
      </w:r>
      <w:r>
        <w:rPr>
          <w:color w:val="231F20"/>
          <w:spacing w:val="-4"/>
        </w:rPr>
        <w:t>activités</w:t>
      </w:r>
      <w:r>
        <w:rPr>
          <w:color w:val="231F20"/>
          <w:spacing w:val="-7"/>
        </w:rPr>
        <w:t> </w:t>
      </w:r>
      <w:r>
        <w:rPr>
          <w:color w:val="231F20"/>
          <w:spacing w:val="-4"/>
        </w:rPr>
        <w:t>économiques</w:t>
      </w:r>
      <w:r>
        <w:rPr>
          <w:color w:val="231F20"/>
          <w:spacing w:val="-5"/>
        </w:rPr>
        <w:t> </w:t>
      </w:r>
      <w:r>
        <w:rPr>
          <w:color w:val="231F20"/>
          <w:spacing w:val="-4"/>
        </w:rPr>
        <w:t>se </w:t>
      </w:r>
      <w:r>
        <w:rPr>
          <w:color w:val="231F20"/>
        </w:rPr>
        <w:t>développent. La qualité des immigrants aussi. Ils sont médecins, enseignants, étudiants, militaires…</w:t>
      </w:r>
    </w:p>
    <w:p>
      <w:pPr>
        <w:pStyle w:val="BodyText"/>
        <w:spacing w:before="120"/>
        <w:ind w:right="105" w:firstLine="283"/>
      </w:pPr>
      <w:r>
        <w:rPr>
          <w:color w:val="231F20"/>
          <w:spacing w:val="-2"/>
        </w:rPr>
        <w:t>Progressivement</w:t>
      </w:r>
      <w:r>
        <w:rPr>
          <w:color w:val="231F20"/>
          <w:spacing w:val="-11"/>
        </w:rPr>
        <w:t> </w:t>
      </w:r>
      <w:r>
        <w:rPr>
          <w:color w:val="231F20"/>
          <w:spacing w:val="-2"/>
        </w:rPr>
        <w:t>les</w:t>
      </w:r>
      <w:r>
        <w:rPr>
          <w:color w:val="231F20"/>
          <w:spacing w:val="-11"/>
        </w:rPr>
        <w:t> </w:t>
      </w:r>
      <w:r>
        <w:rPr>
          <w:color w:val="231F20"/>
          <w:spacing w:val="-2"/>
        </w:rPr>
        <w:t>libanais</w:t>
      </w:r>
      <w:r>
        <w:rPr>
          <w:color w:val="231F20"/>
          <w:spacing w:val="-8"/>
        </w:rPr>
        <w:t> </w:t>
      </w:r>
      <w:r>
        <w:rPr>
          <w:color w:val="231F20"/>
          <w:spacing w:val="-2"/>
        </w:rPr>
        <w:t>embrassent</w:t>
      </w:r>
      <w:r>
        <w:rPr>
          <w:color w:val="231F20"/>
          <w:spacing w:val="-8"/>
        </w:rPr>
        <w:t> </w:t>
      </w:r>
      <w:r>
        <w:rPr>
          <w:color w:val="231F20"/>
          <w:spacing w:val="-2"/>
        </w:rPr>
        <w:t>divers</w:t>
      </w:r>
      <w:r>
        <w:rPr>
          <w:color w:val="231F20"/>
          <w:spacing w:val="-11"/>
        </w:rPr>
        <w:t> </w:t>
      </w:r>
      <w:r>
        <w:rPr>
          <w:color w:val="231F20"/>
          <w:spacing w:val="-2"/>
        </w:rPr>
        <w:t>domaines</w:t>
      </w:r>
      <w:r>
        <w:rPr>
          <w:color w:val="231F20"/>
          <w:spacing w:val="-11"/>
        </w:rPr>
        <w:t> </w:t>
      </w:r>
      <w:r>
        <w:rPr>
          <w:color w:val="231F20"/>
          <w:spacing w:val="-2"/>
        </w:rPr>
        <w:t>d’activités</w:t>
      </w:r>
      <w:r>
        <w:rPr>
          <w:color w:val="231F20"/>
          <w:spacing w:val="-13"/>
        </w:rPr>
        <w:t> </w:t>
      </w:r>
      <w:r>
        <w:rPr>
          <w:color w:val="231F20"/>
          <w:spacing w:val="-2"/>
        </w:rPr>
        <w:t>: exploitations</w:t>
      </w:r>
      <w:r>
        <w:rPr>
          <w:color w:val="231F20"/>
          <w:spacing w:val="-9"/>
        </w:rPr>
        <w:t> </w:t>
      </w:r>
      <w:r>
        <w:rPr>
          <w:color w:val="231F20"/>
          <w:spacing w:val="-2"/>
        </w:rPr>
        <w:t>forestières,</w:t>
      </w:r>
      <w:r>
        <w:rPr>
          <w:color w:val="231F20"/>
          <w:spacing w:val="-11"/>
        </w:rPr>
        <w:t> </w:t>
      </w:r>
      <w:r>
        <w:rPr>
          <w:color w:val="231F20"/>
          <w:spacing w:val="-2"/>
        </w:rPr>
        <w:t>industries</w:t>
      </w:r>
      <w:r>
        <w:rPr>
          <w:color w:val="231F20"/>
          <w:spacing w:val="-11"/>
        </w:rPr>
        <w:t> </w:t>
      </w:r>
      <w:r>
        <w:rPr>
          <w:color w:val="231F20"/>
          <w:spacing w:val="-2"/>
        </w:rPr>
        <w:t>de</w:t>
      </w:r>
      <w:r>
        <w:rPr>
          <w:color w:val="231F20"/>
          <w:spacing w:val="-11"/>
        </w:rPr>
        <w:t> </w:t>
      </w:r>
      <w:r>
        <w:rPr>
          <w:color w:val="231F20"/>
          <w:spacing w:val="-2"/>
        </w:rPr>
        <w:t>Cosmétique,</w:t>
      </w:r>
      <w:r>
        <w:rPr>
          <w:color w:val="231F20"/>
          <w:spacing w:val="-11"/>
        </w:rPr>
        <w:t> </w:t>
      </w:r>
      <w:r>
        <w:rPr>
          <w:color w:val="231F20"/>
          <w:spacing w:val="-2"/>
        </w:rPr>
        <w:t>de</w:t>
      </w:r>
      <w:r>
        <w:rPr>
          <w:color w:val="231F20"/>
          <w:spacing w:val="-9"/>
        </w:rPr>
        <w:t> </w:t>
      </w:r>
      <w:r>
        <w:rPr>
          <w:color w:val="231F20"/>
          <w:spacing w:val="-2"/>
        </w:rPr>
        <w:t>Chimie-plastique, </w:t>
      </w:r>
      <w:r>
        <w:rPr>
          <w:color w:val="231F20"/>
        </w:rPr>
        <w:t>de Cartonnerie, d’imprimerie, et… cliniques médicales privées </w:t>
      </w:r>
      <w:r>
        <w:rPr>
          <w:color w:val="231F20"/>
          <w:spacing w:val="-2"/>
        </w:rPr>
        <w:t>comportant</w:t>
      </w:r>
      <w:r>
        <w:rPr>
          <w:color w:val="231F20"/>
          <w:spacing w:val="-15"/>
        </w:rPr>
        <w:t> </w:t>
      </w:r>
      <w:r>
        <w:rPr>
          <w:color w:val="231F20"/>
          <w:spacing w:val="-2"/>
        </w:rPr>
        <w:t>plusieurs</w:t>
      </w:r>
      <w:r>
        <w:rPr>
          <w:color w:val="231F20"/>
          <w:spacing w:val="-13"/>
        </w:rPr>
        <w:t> </w:t>
      </w:r>
      <w:r>
        <w:rPr>
          <w:color w:val="231F20"/>
          <w:spacing w:val="-2"/>
        </w:rPr>
        <w:t>spécialités.</w:t>
      </w:r>
      <w:r>
        <w:rPr>
          <w:color w:val="231F20"/>
          <w:spacing w:val="-13"/>
        </w:rPr>
        <w:t> </w:t>
      </w:r>
      <w:r>
        <w:rPr>
          <w:color w:val="231F20"/>
          <w:spacing w:val="-2"/>
        </w:rPr>
        <w:t>La</w:t>
      </w:r>
      <w:r>
        <w:rPr>
          <w:color w:val="231F20"/>
          <w:spacing w:val="-13"/>
        </w:rPr>
        <w:t> </w:t>
      </w:r>
      <w:r>
        <w:rPr>
          <w:color w:val="231F20"/>
          <w:spacing w:val="-2"/>
        </w:rPr>
        <w:t>crise</w:t>
      </w:r>
      <w:r>
        <w:rPr>
          <w:color w:val="231F20"/>
          <w:spacing w:val="-13"/>
        </w:rPr>
        <w:t> </w:t>
      </w:r>
      <w:r>
        <w:rPr>
          <w:color w:val="231F20"/>
          <w:spacing w:val="-2"/>
        </w:rPr>
        <w:t>politique</w:t>
      </w:r>
      <w:r>
        <w:rPr>
          <w:color w:val="231F20"/>
          <w:spacing w:val="-13"/>
        </w:rPr>
        <w:t> </w:t>
      </w:r>
      <w:r>
        <w:rPr>
          <w:color w:val="231F20"/>
          <w:spacing w:val="-2"/>
        </w:rPr>
        <w:t>de</w:t>
      </w:r>
      <w:r>
        <w:rPr>
          <w:color w:val="231F20"/>
          <w:spacing w:val="-13"/>
        </w:rPr>
        <w:t> </w:t>
      </w:r>
      <w:r>
        <w:rPr>
          <w:color w:val="231F20"/>
          <w:spacing w:val="-2"/>
        </w:rPr>
        <w:t>2002,</w:t>
      </w:r>
      <w:r>
        <w:rPr>
          <w:color w:val="231F20"/>
          <w:spacing w:val="-13"/>
        </w:rPr>
        <w:t> </w:t>
      </w:r>
      <w:r>
        <w:rPr>
          <w:color w:val="231F20"/>
          <w:spacing w:val="-2"/>
        </w:rPr>
        <w:t>le</w:t>
      </w:r>
      <w:r>
        <w:rPr>
          <w:color w:val="231F20"/>
          <w:spacing w:val="-13"/>
        </w:rPr>
        <w:t> </w:t>
      </w:r>
      <w:r>
        <w:rPr>
          <w:color w:val="231F20"/>
          <w:spacing w:val="-2"/>
        </w:rPr>
        <w:t>départ</w:t>
      </w:r>
      <w:r>
        <w:rPr>
          <w:color w:val="231F20"/>
          <w:spacing w:val="-13"/>
        </w:rPr>
        <w:t> </w:t>
      </w:r>
      <w:r>
        <w:rPr>
          <w:color w:val="231F20"/>
          <w:spacing w:val="-2"/>
        </w:rPr>
        <w:t>des </w:t>
      </w:r>
      <w:r>
        <w:rPr>
          <w:color w:val="231F20"/>
        </w:rPr>
        <w:t>Français de Côte d’Ivoire en 2004, ouvrent aux Libanais les portes de toutes les d’Affaires</w:t>
      </w:r>
      <w:r>
        <w:rPr>
          <w:color w:val="231F20"/>
          <w:spacing w:val="-15"/>
        </w:rPr>
        <w:t> </w:t>
      </w:r>
      <w:r>
        <w:rPr>
          <w:color w:val="231F20"/>
        </w:rPr>
        <w:t>: grandes surfaces de distributions alimentaires, </w:t>
      </w:r>
      <w:r>
        <w:rPr>
          <w:color w:val="231F20"/>
          <w:spacing w:val="-4"/>
        </w:rPr>
        <w:t>Assurances</w:t>
      </w:r>
      <w:r>
        <w:rPr>
          <w:color w:val="231F20"/>
          <w:spacing w:val="-10"/>
        </w:rPr>
        <w:t> </w:t>
      </w:r>
      <w:r>
        <w:rPr>
          <w:color w:val="231F20"/>
          <w:spacing w:val="-4"/>
        </w:rPr>
        <w:t>et</w:t>
      </w:r>
      <w:r>
        <w:rPr>
          <w:color w:val="231F20"/>
          <w:spacing w:val="-9"/>
        </w:rPr>
        <w:t> </w:t>
      </w:r>
      <w:r>
        <w:rPr>
          <w:color w:val="231F20"/>
          <w:spacing w:val="-4"/>
        </w:rPr>
        <w:t>banques</w:t>
      </w:r>
      <w:r>
        <w:rPr>
          <w:color w:val="231F20"/>
          <w:spacing w:val="-9"/>
        </w:rPr>
        <w:t> </w:t>
      </w:r>
      <w:r>
        <w:rPr>
          <w:color w:val="231F20"/>
          <w:spacing w:val="-4"/>
        </w:rPr>
        <w:t>transport,</w:t>
      </w:r>
      <w:r>
        <w:rPr>
          <w:color w:val="231F20"/>
          <w:spacing w:val="-10"/>
        </w:rPr>
        <w:t> </w:t>
      </w:r>
      <w:r>
        <w:rPr>
          <w:color w:val="231F20"/>
          <w:spacing w:val="-4"/>
        </w:rPr>
        <w:t>immobilier,</w:t>
      </w:r>
      <w:r>
        <w:rPr>
          <w:color w:val="231F20"/>
          <w:spacing w:val="-10"/>
        </w:rPr>
        <w:t> </w:t>
      </w:r>
      <w:r>
        <w:rPr>
          <w:color w:val="231F20"/>
          <w:spacing w:val="-4"/>
        </w:rPr>
        <w:t>distribution</w:t>
      </w:r>
      <w:r>
        <w:rPr>
          <w:color w:val="231F20"/>
          <w:spacing w:val="-10"/>
        </w:rPr>
        <w:t> </w:t>
      </w:r>
      <w:r>
        <w:rPr>
          <w:color w:val="231F20"/>
          <w:spacing w:val="-4"/>
        </w:rPr>
        <w:t>d’hydrocarbure, </w:t>
      </w:r>
      <w:r>
        <w:rPr>
          <w:color w:val="231F20"/>
        </w:rPr>
        <w:t>recherche minière, fonderies …</w:t>
      </w:r>
    </w:p>
    <w:p>
      <w:pPr>
        <w:pStyle w:val="BodyText"/>
        <w:spacing w:before="121"/>
        <w:ind w:right="105" w:firstLine="283"/>
      </w:pPr>
      <w:r>
        <w:rPr>
          <w:color w:val="231F20"/>
        </w:rPr>
        <w:t>Abinader, Fakhri, Farhat, Ghanddour, Khalil, Omaïs, Zaher... ces noms éveillent dans la mémoire collective en Côte d’Ivoire, la</w:t>
      </w:r>
      <w:r>
        <w:rPr>
          <w:color w:val="231F20"/>
          <w:spacing w:val="-1"/>
        </w:rPr>
        <w:t> </w:t>
      </w:r>
      <w:r>
        <w:rPr>
          <w:color w:val="231F20"/>
        </w:rPr>
        <w:t>réussite </w:t>
      </w:r>
      <w:r>
        <w:rPr>
          <w:color w:val="231F20"/>
          <w:spacing w:val="-4"/>
        </w:rPr>
        <w:t>économique</w:t>
      </w:r>
      <w:r>
        <w:rPr>
          <w:color w:val="231F20"/>
          <w:spacing w:val="-11"/>
        </w:rPr>
        <w:t> </w:t>
      </w:r>
      <w:r>
        <w:rPr>
          <w:color w:val="231F20"/>
          <w:spacing w:val="-4"/>
        </w:rPr>
        <w:t>des</w:t>
      </w:r>
      <w:r>
        <w:rPr>
          <w:color w:val="231F20"/>
          <w:spacing w:val="-11"/>
        </w:rPr>
        <w:t> </w:t>
      </w:r>
      <w:r>
        <w:rPr>
          <w:color w:val="231F20"/>
          <w:spacing w:val="-4"/>
        </w:rPr>
        <w:t>Libanais</w:t>
      </w:r>
      <w:r>
        <w:rPr>
          <w:color w:val="231F20"/>
          <w:spacing w:val="-11"/>
        </w:rPr>
        <w:t> </w:t>
      </w:r>
      <w:r>
        <w:rPr>
          <w:color w:val="231F20"/>
          <w:spacing w:val="-4"/>
        </w:rPr>
        <w:t>du</w:t>
      </w:r>
      <w:r>
        <w:rPr>
          <w:color w:val="231F20"/>
          <w:spacing w:val="-9"/>
        </w:rPr>
        <w:t> </w:t>
      </w:r>
      <w:r>
        <w:rPr>
          <w:color w:val="231F20"/>
          <w:spacing w:val="-4"/>
        </w:rPr>
        <w:t>pays</w:t>
      </w:r>
      <w:r>
        <w:rPr>
          <w:color w:val="231F20"/>
          <w:spacing w:val="-11"/>
        </w:rPr>
        <w:t> </w:t>
      </w:r>
      <w:r>
        <w:rPr>
          <w:color w:val="231F20"/>
          <w:spacing w:val="-4"/>
        </w:rPr>
        <w:t>devenus</w:t>
      </w:r>
      <w:r>
        <w:rPr>
          <w:color w:val="231F20"/>
          <w:spacing w:val="-11"/>
        </w:rPr>
        <w:t> </w:t>
      </w:r>
      <w:r>
        <w:rPr>
          <w:color w:val="231F20"/>
          <w:spacing w:val="-4"/>
        </w:rPr>
        <w:t>incontournables</w:t>
      </w:r>
      <w:r>
        <w:rPr>
          <w:color w:val="231F20"/>
          <w:spacing w:val="-10"/>
        </w:rPr>
        <w:t> </w:t>
      </w:r>
      <w:r>
        <w:rPr>
          <w:color w:val="231F20"/>
          <w:spacing w:val="-4"/>
        </w:rPr>
        <w:t>dans</w:t>
      </w:r>
      <w:r>
        <w:rPr>
          <w:color w:val="231F20"/>
          <w:spacing w:val="-10"/>
        </w:rPr>
        <w:t> </w:t>
      </w:r>
      <w:r>
        <w:rPr>
          <w:color w:val="231F20"/>
          <w:spacing w:val="-4"/>
        </w:rPr>
        <w:t>plusieurs </w:t>
      </w:r>
      <w:r>
        <w:rPr>
          <w:color w:val="231F20"/>
        </w:rPr>
        <w:t>secteurs</w:t>
      </w:r>
      <w:r>
        <w:rPr>
          <w:color w:val="231F20"/>
          <w:spacing w:val="-3"/>
        </w:rPr>
        <w:t> </w:t>
      </w:r>
      <w:r>
        <w:rPr>
          <w:color w:val="231F20"/>
        </w:rPr>
        <w:t>de</w:t>
      </w:r>
      <w:r>
        <w:rPr>
          <w:color w:val="231F20"/>
          <w:spacing w:val="-5"/>
        </w:rPr>
        <w:t> </w:t>
      </w:r>
      <w:r>
        <w:rPr>
          <w:color w:val="231F20"/>
        </w:rPr>
        <w:t>l’économie</w:t>
      </w:r>
      <w:r>
        <w:rPr>
          <w:color w:val="231F20"/>
          <w:spacing w:val="-3"/>
        </w:rPr>
        <w:t> </w:t>
      </w:r>
      <w:r>
        <w:rPr>
          <w:color w:val="231F20"/>
        </w:rPr>
        <w:t>et</w:t>
      </w:r>
      <w:r>
        <w:rPr>
          <w:color w:val="231F20"/>
          <w:spacing w:val="-4"/>
        </w:rPr>
        <w:t> </w:t>
      </w:r>
      <w:r>
        <w:rPr>
          <w:color w:val="231F20"/>
        </w:rPr>
        <w:t>pèseraient</w:t>
      </w:r>
      <w:r>
        <w:rPr>
          <w:color w:val="231F20"/>
          <w:spacing w:val="-4"/>
        </w:rPr>
        <w:t> </w:t>
      </w:r>
      <w:r>
        <w:rPr>
          <w:color w:val="231F20"/>
        </w:rPr>
        <w:t>8</w:t>
      </w:r>
      <w:r>
        <w:rPr>
          <w:color w:val="231F20"/>
          <w:spacing w:val="-2"/>
        </w:rPr>
        <w:t> </w:t>
      </w:r>
      <w:r>
        <w:rPr>
          <w:color w:val="231F20"/>
        </w:rPr>
        <w:t>%</w:t>
      </w:r>
      <w:r>
        <w:rPr>
          <w:color w:val="231F20"/>
          <w:spacing w:val="-5"/>
        </w:rPr>
        <w:t> </w:t>
      </w:r>
      <w:r>
        <w:rPr>
          <w:color w:val="231F20"/>
          <w:vertAlign w:val="superscript"/>
        </w:rPr>
        <w:t>131</w:t>
      </w:r>
      <w:r>
        <w:rPr>
          <w:color w:val="231F20"/>
          <w:vertAlign w:val="baseline"/>
        </w:rPr>
        <w:t>du</w:t>
      </w:r>
      <w:r>
        <w:rPr>
          <w:color w:val="231F20"/>
          <w:spacing w:val="-2"/>
          <w:vertAlign w:val="baseline"/>
        </w:rPr>
        <w:t> </w:t>
      </w:r>
      <w:r>
        <w:rPr>
          <w:color w:val="231F20"/>
          <w:vertAlign w:val="baseline"/>
        </w:rPr>
        <w:t>PIB</w:t>
      </w:r>
      <w:r>
        <w:rPr>
          <w:color w:val="231F20"/>
          <w:spacing w:val="-2"/>
          <w:vertAlign w:val="baseline"/>
        </w:rPr>
        <w:t> </w:t>
      </w:r>
      <w:r>
        <w:rPr>
          <w:color w:val="231F20"/>
          <w:vertAlign w:val="baseline"/>
        </w:rPr>
        <w:t>national.</w:t>
      </w:r>
    </w:p>
    <w:p>
      <w:pPr>
        <w:pStyle w:val="BodyText"/>
        <w:spacing w:before="120"/>
        <w:ind w:right="104" w:firstLine="283"/>
      </w:pPr>
      <w:r>
        <w:rPr>
          <w:color w:val="231F20"/>
          <w:spacing w:val="-2"/>
        </w:rPr>
        <w:t>De</w:t>
      </w:r>
      <w:r>
        <w:rPr>
          <w:color w:val="231F20"/>
          <w:spacing w:val="-13"/>
        </w:rPr>
        <w:t> </w:t>
      </w:r>
      <w:r>
        <w:rPr>
          <w:color w:val="231F20"/>
          <w:spacing w:val="-2"/>
        </w:rPr>
        <w:t>1960</w:t>
      </w:r>
      <w:r>
        <w:rPr>
          <w:color w:val="231F20"/>
          <w:spacing w:val="-13"/>
        </w:rPr>
        <w:t> </w:t>
      </w:r>
      <w:r>
        <w:rPr>
          <w:color w:val="231F20"/>
          <w:spacing w:val="-2"/>
        </w:rPr>
        <w:t>jusqu’aux</w:t>
      </w:r>
      <w:r>
        <w:rPr>
          <w:color w:val="231F20"/>
          <w:spacing w:val="-13"/>
        </w:rPr>
        <w:t> </w:t>
      </w:r>
      <w:r>
        <w:rPr>
          <w:color w:val="231F20"/>
          <w:spacing w:val="-2"/>
        </w:rPr>
        <w:t>années</w:t>
      </w:r>
      <w:r>
        <w:rPr>
          <w:color w:val="231F20"/>
          <w:spacing w:val="-13"/>
        </w:rPr>
        <w:t> </w:t>
      </w:r>
      <w:r>
        <w:rPr>
          <w:color w:val="231F20"/>
          <w:spacing w:val="-2"/>
        </w:rPr>
        <w:t>1980,</w:t>
      </w:r>
      <w:r>
        <w:rPr>
          <w:color w:val="231F20"/>
          <w:spacing w:val="-13"/>
        </w:rPr>
        <w:t> </w:t>
      </w:r>
      <w:r>
        <w:rPr>
          <w:color w:val="231F20"/>
          <w:spacing w:val="-2"/>
        </w:rPr>
        <w:t>les</w:t>
      </w:r>
      <w:r>
        <w:rPr>
          <w:color w:val="231F20"/>
          <w:spacing w:val="-13"/>
        </w:rPr>
        <w:t> </w:t>
      </w:r>
      <w:r>
        <w:rPr>
          <w:color w:val="231F20"/>
          <w:spacing w:val="-2"/>
        </w:rPr>
        <w:t>détournements</w:t>
      </w:r>
      <w:r>
        <w:rPr>
          <w:color w:val="231F20"/>
          <w:spacing w:val="-13"/>
        </w:rPr>
        <w:t> </w:t>
      </w:r>
      <w:r>
        <w:rPr>
          <w:color w:val="231F20"/>
          <w:spacing w:val="-2"/>
        </w:rPr>
        <w:t>de</w:t>
      </w:r>
      <w:r>
        <w:rPr>
          <w:color w:val="231F20"/>
          <w:spacing w:val="-13"/>
        </w:rPr>
        <w:t> </w:t>
      </w:r>
      <w:r>
        <w:rPr>
          <w:color w:val="231F20"/>
          <w:spacing w:val="-2"/>
        </w:rPr>
        <w:t>deniers</w:t>
      </w:r>
      <w:r>
        <w:rPr>
          <w:color w:val="231F20"/>
          <w:spacing w:val="-13"/>
        </w:rPr>
        <w:t> </w:t>
      </w:r>
      <w:r>
        <w:rPr>
          <w:color w:val="231F20"/>
          <w:spacing w:val="-2"/>
        </w:rPr>
        <w:t>publics </w:t>
      </w:r>
      <w:r>
        <w:rPr>
          <w:color w:val="231F20"/>
        </w:rPr>
        <w:t>et</w:t>
      </w:r>
      <w:r>
        <w:rPr>
          <w:color w:val="231F20"/>
          <w:spacing w:val="-15"/>
        </w:rPr>
        <w:t> </w:t>
      </w:r>
      <w:r>
        <w:rPr>
          <w:color w:val="231F20"/>
        </w:rPr>
        <w:t>l’enrichissement</w:t>
      </w:r>
      <w:r>
        <w:rPr>
          <w:color w:val="231F20"/>
          <w:spacing w:val="-15"/>
        </w:rPr>
        <w:t> </w:t>
      </w:r>
      <w:r>
        <w:rPr>
          <w:color w:val="231F20"/>
        </w:rPr>
        <w:t>illicite</w:t>
      </w:r>
      <w:r>
        <w:rPr>
          <w:color w:val="231F20"/>
          <w:spacing w:val="-15"/>
        </w:rPr>
        <w:t> </w:t>
      </w:r>
      <w:r>
        <w:rPr>
          <w:color w:val="231F20"/>
        </w:rPr>
        <w:t>des</w:t>
      </w:r>
      <w:r>
        <w:rPr>
          <w:color w:val="231F20"/>
          <w:spacing w:val="-15"/>
        </w:rPr>
        <w:t> </w:t>
      </w:r>
      <w:r>
        <w:rPr>
          <w:color w:val="231F20"/>
        </w:rPr>
        <w:t>dignitaires</w:t>
      </w:r>
      <w:r>
        <w:rPr>
          <w:color w:val="231F20"/>
          <w:spacing w:val="-15"/>
        </w:rPr>
        <w:t> </w:t>
      </w:r>
      <w:r>
        <w:rPr>
          <w:color w:val="231F20"/>
        </w:rPr>
        <w:t>du</w:t>
      </w:r>
      <w:r>
        <w:rPr>
          <w:color w:val="231F20"/>
          <w:spacing w:val="-15"/>
        </w:rPr>
        <w:t> </w:t>
      </w:r>
      <w:r>
        <w:rPr>
          <w:color w:val="231F20"/>
        </w:rPr>
        <w:t>parti</w:t>
      </w:r>
      <w:r>
        <w:rPr>
          <w:color w:val="231F20"/>
          <w:spacing w:val="-15"/>
        </w:rPr>
        <w:t> </w:t>
      </w:r>
      <w:r>
        <w:rPr>
          <w:color w:val="231F20"/>
        </w:rPr>
        <w:t>au</w:t>
      </w:r>
      <w:r>
        <w:rPr>
          <w:color w:val="231F20"/>
          <w:spacing w:val="-15"/>
        </w:rPr>
        <w:t> </w:t>
      </w:r>
      <w:r>
        <w:rPr>
          <w:color w:val="231F20"/>
        </w:rPr>
        <w:t>pouvoir</w:t>
      </w:r>
      <w:r>
        <w:rPr>
          <w:color w:val="231F20"/>
          <w:spacing w:val="-15"/>
        </w:rPr>
        <w:t> </w:t>
      </w:r>
      <w:r>
        <w:rPr>
          <w:color w:val="231F20"/>
        </w:rPr>
        <w:t>sont</w:t>
      </w:r>
      <w:r>
        <w:rPr>
          <w:color w:val="231F20"/>
          <w:spacing w:val="-15"/>
        </w:rPr>
        <w:t> </w:t>
      </w:r>
      <w:r>
        <w:rPr>
          <w:color w:val="231F20"/>
        </w:rPr>
        <w:t>érigés </w:t>
      </w:r>
      <w:r>
        <w:rPr>
          <w:color w:val="231F20"/>
          <w:spacing w:val="-2"/>
        </w:rPr>
        <w:t>en</w:t>
      </w:r>
      <w:r>
        <w:rPr>
          <w:color w:val="231F20"/>
          <w:spacing w:val="-10"/>
        </w:rPr>
        <w:t> </w:t>
      </w:r>
      <w:r>
        <w:rPr>
          <w:color w:val="231F20"/>
          <w:spacing w:val="-2"/>
        </w:rPr>
        <w:t>mode</w:t>
      </w:r>
      <w:r>
        <w:rPr>
          <w:color w:val="231F20"/>
          <w:spacing w:val="-10"/>
        </w:rPr>
        <w:t> </w:t>
      </w:r>
      <w:r>
        <w:rPr>
          <w:color w:val="231F20"/>
          <w:spacing w:val="-2"/>
        </w:rPr>
        <w:t>de</w:t>
      </w:r>
      <w:r>
        <w:rPr>
          <w:color w:val="231F20"/>
          <w:spacing w:val="-10"/>
        </w:rPr>
        <w:t> </w:t>
      </w:r>
      <w:r>
        <w:rPr>
          <w:color w:val="231F20"/>
          <w:spacing w:val="-2"/>
        </w:rPr>
        <w:t>gestion.</w:t>
      </w:r>
      <w:r>
        <w:rPr>
          <w:color w:val="231F20"/>
          <w:spacing w:val="-10"/>
        </w:rPr>
        <w:t> </w:t>
      </w:r>
      <w:r>
        <w:rPr>
          <w:color w:val="231F20"/>
          <w:spacing w:val="-2"/>
        </w:rPr>
        <w:t>«</w:t>
      </w:r>
      <w:r>
        <w:rPr>
          <w:color w:val="231F20"/>
          <w:spacing w:val="-9"/>
        </w:rPr>
        <w:t> </w:t>
      </w:r>
      <w:r>
        <w:rPr>
          <w:color w:val="231F20"/>
          <w:spacing w:val="-2"/>
        </w:rPr>
        <w:t>Le</w:t>
      </w:r>
      <w:r>
        <w:rPr>
          <w:color w:val="231F20"/>
          <w:spacing w:val="-12"/>
        </w:rPr>
        <w:t> </w:t>
      </w:r>
      <w:r>
        <w:rPr>
          <w:color w:val="231F20"/>
          <w:spacing w:val="-2"/>
        </w:rPr>
        <w:t>père</w:t>
      </w:r>
      <w:r>
        <w:rPr>
          <w:color w:val="231F20"/>
          <w:spacing w:val="-10"/>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nation</w:t>
      </w:r>
      <w:r>
        <w:rPr>
          <w:color w:val="231F20"/>
          <w:spacing w:val="-9"/>
        </w:rPr>
        <w:t> </w:t>
      </w:r>
      <w:r>
        <w:rPr>
          <w:color w:val="231F20"/>
          <w:spacing w:val="-2"/>
        </w:rPr>
        <w:t>»</w:t>
      </w:r>
      <w:r>
        <w:rPr>
          <w:color w:val="231F20"/>
          <w:spacing w:val="-10"/>
        </w:rPr>
        <w:t> </w:t>
      </w:r>
      <w:r>
        <w:rPr>
          <w:color w:val="231F20"/>
          <w:spacing w:val="-2"/>
        </w:rPr>
        <w:t>est</w:t>
      </w:r>
      <w:r>
        <w:rPr>
          <w:color w:val="231F20"/>
          <w:spacing w:val="-10"/>
        </w:rPr>
        <w:t> </w:t>
      </w:r>
      <w:r>
        <w:rPr>
          <w:color w:val="231F20"/>
          <w:spacing w:val="-2"/>
        </w:rPr>
        <w:t>généreux</w:t>
      </w:r>
      <w:r>
        <w:rPr>
          <w:color w:val="231F20"/>
          <w:spacing w:val="-10"/>
        </w:rPr>
        <w:t> </w:t>
      </w:r>
      <w:r>
        <w:rPr>
          <w:color w:val="231F20"/>
          <w:spacing w:val="-2"/>
        </w:rPr>
        <w:t>avec</w:t>
      </w:r>
      <w:r>
        <w:rPr>
          <w:color w:val="231F20"/>
          <w:spacing w:val="-10"/>
        </w:rPr>
        <w:t> </w:t>
      </w:r>
      <w:r>
        <w:rPr>
          <w:color w:val="231F20"/>
          <w:spacing w:val="-2"/>
        </w:rPr>
        <w:t>les</w:t>
      </w:r>
      <w:r>
        <w:rPr>
          <w:color w:val="231F20"/>
          <w:spacing w:val="-10"/>
        </w:rPr>
        <w:t> </w:t>
      </w:r>
      <w:r>
        <w:rPr>
          <w:color w:val="231F20"/>
          <w:spacing w:val="-2"/>
        </w:rPr>
        <w:t>barons </w:t>
      </w:r>
      <w:r>
        <w:rPr>
          <w:color w:val="231F20"/>
          <w:spacing w:val="-4"/>
        </w:rPr>
        <w:t>du</w:t>
      </w:r>
      <w:r>
        <w:rPr>
          <w:color w:val="231F20"/>
          <w:spacing w:val="-9"/>
        </w:rPr>
        <w:t> </w:t>
      </w:r>
      <w:r>
        <w:rPr>
          <w:color w:val="231F20"/>
          <w:spacing w:val="-4"/>
        </w:rPr>
        <w:t>régime</w:t>
      </w:r>
      <w:r>
        <w:rPr>
          <w:color w:val="231F20"/>
          <w:spacing w:val="-7"/>
        </w:rPr>
        <w:t> </w:t>
      </w:r>
      <w:r>
        <w:rPr>
          <w:color w:val="231F20"/>
          <w:spacing w:val="-4"/>
        </w:rPr>
        <w:t>et</w:t>
      </w:r>
      <w:r>
        <w:rPr>
          <w:color w:val="231F20"/>
          <w:spacing w:val="-8"/>
        </w:rPr>
        <w:t> </w:t>
      </w:r>
      <w:r>
        <w:rPr>
          <w:color w:val="231F20"/>
          <w:spacing w:val="-4"/>
        </w:rPr>
        <w:t>ferme</w:t>
      </w:r>
      <w:r>
        <w:rPr>
          <w:color w:val="231F20"/>
          <w:spacing w:val="-9"/>
        </w:rPr>
        <w:t> </w:t>
      </w:r>
      <w:r>
        <w:rPr>
          <w:color w:val="231F20"/>
          <w:spacing w:val="-4"/>
        </w:rPr>
        <w:t>les</w:t>
      </w:r>
      <w:r>
        <w:rPr>
          <w:color w:val="231F20"/>
          <w:spacing w:val="-7"/>
        </w:rPr>
        <w:t> </w:t>
      </w:r>
      <w:r>
        <w:rPr>
          <w:color w:val="231F20"/>
          <w:spacing w:val="-4"/>
        </w:rPr>
        <w:t>yeux</w:t>
      </w:r>
      <w:r>
        <w:rPr>
          <w:color w:val="231F20"/>
          <w:spacing w:val="-6"/>
        </w:rPr>
        <w:t> </w:t>
      </w:r>
      <w:r>
        <w:rPr>
          <w:color w:val="231F20"/>
          <w:spacing w:val="-4"/>
        </w:rPr>
        <w:t>et</w:t>
      </w:r>
      <w:r>
        <w:rPr>
          <w:color w:val="231F20"/>
          <w:spacing w:val="-9"/>
        </w:rPr>
        <w:t> </w:t>
      </w:r>
      <w:r>
        <w:rPr>
          <w:color w:val="231F20"/>
          <w:spacing w:val="-4"/>
        </w:rPr>
        <w:t>les</w:t>
      </w:r>
      <w:r>
        <w:rPr>
          <w:color w:val="231F20"/>
          <w:spacing w:val="-9"/>
        </w:rPr>
        <w:t> </w:t>
      </w:r>
      <w:r>
        <w:rPr>
          <w:color w:val="231F20"/>
          <w:spacing w:val="-4"/>
        </w:rPr>
        <w:t>oreilles</w:t>
      </w:r>
      <w:r>
        <w:rPr>
          <w:color w:val="231F20"/>
          <w:spacing w:val="-8"/>
        </w:rPr>
        <w:t> </w:t>
      </w:r>
      <w:r>
        <w:rPr>
          <w:color w:val="231F20"/>
          <w:spacing w:val="-4"/>
        </w:rPr>
        <w:t>sur</w:t>
      </w:r>
      <w:r>
        <w:rPr>
          <w:color w:val="231F20"/>
          <w:spacing w:val="-9"/>
        </w:rPr>
        <w:t> </w:t>
      </w:r>
      <w:r>
        <w:rPr>
          <w:color w:val="231F20"/>
          <w:spacing w:val="-4"/>
        </w:rPr>
        <w:t>la</w:t>
      </w:r>
      <w:r>
        <w:rPr>
          <w:color w:val="231F20"/>
          <w:spacing w:val="-7"/>
        </w:rPr>
        <w:t> </w:t>
      </w:r>
      <w:r>
        <w:rPr>
          <w:color w:val="231F20"/>
          <w:spacing w:val="-4"/>
        </w:rPr>
        <w:t>gabegie</w:t>
      </w:r>
      <w:r>
        <w:rPr>
          <w:color w:val="231F20"/>
          <w:spacing w:val="-6"/>
        </w:rPr>
        <w:t> </w:t>
      </w:r>
      <w:r>
        <w:rPr>
          <w:color w:val="231F20"/>
          <w:spacing w:val="-4"/>
        </w:rPr>
        <w:t>orchestrée</w:t>
      </w:r>
      <w:r>
        <w:rPr>
          <w:color w:val="231F20"/>
          <w:spacing w:val="1"/>
        </w:rPr>
        <w:t> </w:t>
      </w:r>
      <w:r>
        <w:rPr>
          <w:color w:val="231F20"/>
          <w:spacing w:val="-4"/>
        </w:rPr>
        <w:t>par</w:t>
      </w:r>
      <w:r>
        <w:rPr>
          <w:color w:val="231F20"/>
          <w:spacing w:val="-10"/>
        </w:rPr>
        <w:t> </w:t>
      </w:r>
      <w:r>
        <w:rPr>
          <w:color w:val="231F20"/>
          <w:spacing w:val="-5"/>
        </w:rPr>
        <w:t>les</w:t>
      </w:r>
    </w:p>
    <w:p>
      <w:pPr>
        <w:spacing w:after="0"/>
        <w:sectPr>
          <w:footerReference w:type="default" r:id="rId42"/>
          <w:footerReference w:type="even" r:id="rId43"/>
          <w:pgSz w:w="8790" w:h="13610"/>
          <w:pgMar w:header="0" w:footer="1440" w:top="1040" w:bottom="1640" w:left="880" w:right="880"/>
          <w:pgNumType w:start="133"/>
        </w:sectPr>
      </w:pPr>
    </w:p>
    <w:p>
      <w:pPr>
        <w:pStyle w:val="BodyText"/>
        <w:spacing w:before="86"/>
        <w:ind w:right="103"/>
      </w:pPr>
      <w:r>
        <w:rPr>
          <w:color w:val="231F20"/>
        </w:rPr>
        <w:t>dirigeants</w:t>
      </w:r>
      <w:r>
        <w:rPr>
          <w:color w:val="231F20"/>
          <w:spacing w:val="-7"/>
        </w:rPr>
        <w:t> </w:t>
      </w:r>
      <w:r>
        <w:rPr>
          <w:color w:val="231F20"/>
        </w:rPr>
        <w:t>des programmes de développement régionaux</w:t>
      </w:r>
      <w:r>
        <w:rPr>
          <w:color w:val="231F20"/>
          <w:spacing w:val="-15"/>
        </w:rPr>
        <w:t> </w:t>
      </w:r>
      <w:r>
        <w:rPr>
          <w:color w:val="231F20"/>
        </w:rPr>
        <w:t>: l'Arso</w:t>
      </w:r>
      <w:r>
        <w:rPr>
          <w:color w:val="231F20"/>
          <w:vertAlign w:val="superscript"/>
        </w:rPr>
        <w:t>132</w:t>
      </w:r>
      <w:r>
        <w:rPr>
          <w:color w:val="231F20"/>
          <w:spacing w:val="-15"/>
          <w:vertAlign w:val="baseline"/>
        </w:rPr>
        <w:t> </w:t>
      </w:r>
      <w:r>
        <w:rPr>
          <w:color w:val="231F20"/>
          <w:vertAlign w:val="baseline"/>
        </w:rPr>
        <w:t>en </w:t>
      </w:r>
      <w:r>
        <w:rPr>
          <w:color w:val="231F20"/>
          <w:spacing w:val="-2"/>
          <w:vertAlign w:val="baseline"/>
        </w:rPr>
        <w:t>1969</w:t>
      </w:r>
      <w:r>
        <w:rPr>
          <w:color w:val="231F20"/>
          <w:spacing w:val="-13"/>
          <w:vertAlign w:val="baseline"/>
        </w:rPr>
        <w:t> </w:t>
      </w:r>
      <w:r>
        <w:rPr>
          <w:color w:val="231F20"/>
          <w:spacing w:val="-2"/>
          <w:vertAlign w:val="baseline"/>
        </w:rPr>
        <w:t>pour</w:t>
      </w:r>
      <w:r>
        <w:rPr>
          <w:color w:val="231F20"/>
          <w:spacing w:val="-12"/>
          <w:vertAlign w:val="baseline"/>
        </w:rPr>
        <w:t> </w:t>
      </w:r>
      <w:r>
        <w:rPr>
          <w:color w:val="231F20"/>
          <w:spacing w:val="-2"/>
          <w:vertAlign w:val="baseline"/>
        </w:rPr>
        <w:t>désenclaver</w:t>
      </w:r>
      <w:r>
        <w:rPr>
          <w:color w:val="231F20"/>
          <w:spacing w:val="-12"/>
          <w:vertAlign w:val="baseline"/>
        </w:rPr>
        <w:t> </w:t>
      </w:r>
      <w:r>
        <w:rPr>
          <w:color w:val="231F20"/>
          <w:spacing w:val="-2"/>
          <w:vertAlign w:val="baseline"/>
        </w:rPr>
        <w:t>la</w:t>
      </w:r>
      <w:r>
        <w:rPr>
          <w:color w:val="231F20"/>
          <w:spacing w:val="-13"/>
          <w:vertAlign w:val="baseline"/>
        </w:rPr>
        <w:t> </w:t>
      </w:r>
      <w:r>
        <w:rPr>
          <w:color w:val="231F20"/>
          <w:spacing w:val="-2"/>
          <w:vertAlign w:val="baseline"/>
        </w:rPr>
        <w:t>zone</w:t>
      </w:r>
      <w:r>
        <w:rPr>
          <w:color w:val="231F20"/>
          <w:spacing w:val="-13"/>
          <w:vertAlign w:val="baseline"/>
        </w:rPr>
        <w:t> </w:t>
      </w:r>
      <w:r>
        <w:rPr>
          <w:color w:val="231F20"/>
          <w:spacing w:val="-2"/>
          <w:vertAlign w:val="baseline"/>
        </w:rPr>
        <w:t>Sud-Ouest,</w:t>
      </w:r>
      <w:r>
        <w:rPr>
          <w:color w:val="231F20"/>
          <w:spacing w:val="-12"/>
          <w:vertAlign w:val="baseline"/>
        </w:rPr>
        <w:t> </w:t>
      </w:r>
      <w:r>
        <w:rPr>
          <w:color w:val="231F20"/>
          <w:spacing w:val="-2"/>
          <w:vertAlign w:val="baseline"/>
        </w:rPr>
        <w:t>les</w:t>
      </w:r>
      <w:r>
        <w:rPr>
          <w:color w:val="231F20"/>
          <w:spacing w:val="-10"/>
          <w:vertAlign w:val="baseline"/>
        </w:rPr>
        <w:t> </w:t>
      </w:r>
      <w:r>
        <w:rPr>
          <w:color w:val="231F20"/>
          <w:spacing w:val="-2"/>
          <w:vertAlign w:val="baseline"/>
        </w:rPr>
        <w:t>Frar</w:t>
      </w:r>
      <w:r>
        <w:rPr>
          <w:color w:val="231F20"/>
          <w:spacing w:val="-2"/>
          <w:vertAlign w:val="superscript"/>
        </w:rPr>
        <w:t>133</w:t>
      </w:r>
      <w:r>
        <w:rPr>
          <w:color w:val="231F20"/>
          <w:spacing w:val="-2"/>
          <w:vertAlign w:val="baseline"/>
        </w:rPr>
        <w:t>mis</w:t>
      </w:r>
      <w:r>
        <w:rPr>
          <w:color w:val="231F20"/>
          <w:spacing w:val="-12"/>
          <w:vertAlign w:val="baseline"/>
        </w:rPr>
        <w:t> </w:t>
      </w:r>
      <w:r>
        <w:rPr>
          <w:color w:val="231F20"/>
          <w:spacing w:val="-2"/>
          <w:vertAlign w:val="baseline"/>
        </w:rPr>
        <w:t>en</w:t>
      </w:r>
      <w:r>
        <w:rPr>
          <w:color w:val="231F20"/>
          <w:spacing w:val="-12"/>
          <w:vertAlign w:val="baseline"/>
        </w:rPr>
        <w:t> </w:t>
      </w:r>
      <w:r>
        <w:rPr>
          <w:color w:val="231F20"/>
          <w:spacing w:val="-2"/>
          <w:vertAlign w:val="baseline"/>
        </w:rPr>
        <w:t>place</w:t>
      </w:r>
      <w:r>
        <w:rPr>
          <w:color w:val="231F20"/>
          <w:spacing w:val="-10"/>
          <w:vertAlign w:val="baseline"/>
        </w:rPr>
        <w:t> </w:t>
      </w:r>
      <w:r>
        <w:rPr>
          <w:color w:val="231F20"/>
          <w:spacing w:val="-2"/>
          <w:vertAlign w:val="baseline"/>
        </w:rPr>
        <w:t>à</w:t>
      </w:r>
      <w:r>
        <w:rPr>
          <w:color w:val="231F20"/>
          <w:spacing w:val="-12"/>
          <w:vertAlign w:val="baseline"/>
        </w:rPr>
        <w:t> </w:t>
      </w:r>
      <w:r>
        <w:rPr>
          <w:color w:val="231F20"/>
          <w:spacing w:val="-2"/>
          <w:vertAlign w:val="baseline"/>
        </w:rPr>
        <w:t>partir de</w:t>
      </w:r>
      <w:r>
        <w:rPr>
          <w:color w:val="231F20"/>
          <w:spacing w:val="-13"/>
          <w:vertAlign w:val="baseline"/>
        </w:rPr>
        <w:t> </w:t>
      </w:r>
      <w:r>
        <w:rPr>
          <w:color w:val="231F20"/>
          <w:spacing w:val="-2"/>
          <w:vertAlign w:val="baseline"/>
        </w:rPr>
        <w:t>1971</w:t>
      </w:r>
      <w:r>
        <w:rPr>
          <w:color w:val="231F20"/>
          <w:spacing w:val="-13"/>
          <w:vertAlign w:val="baseline"/>
        </w:rPr>
        <w:t> </w:t>
      </w:r>
      <w:r>
        <w:rPr>
          <w:color w:val="231F20"/>
          <w:spacing w:val="-2"/>
          <w:vertAlign w:val="baseline"/>
        </w:rPr>
        <w:t>pour</w:t>
      </w:r>
      <w:r>
        <w:rPr>
          <w:color w:val="231F20"/>
          <w:spacing w:val="-13"/>
          <w:vertAlign w:val="baseline"/>
        </w:rPr>
        <w:t> </w:t>
      </w:r>
      <w:r>
        <w:rPr>
          <w:color w:val="231F20"/>
          <w:spacing w:val="-2"/>
          <w:vertAlign w:val="baseline"/>
        </w:rPr>
        <w:t>doter</w:t>
      </w:r>
      <w:r>
        <w:rPr>
          <w:color w:val="231F20"/>
          <w:spacing w:val="-13"/>
          <w:vertAlign w:val="baseline"/>
        </w:rPr>
        <w:t> </w:t>
      </w:r>
      <w:r>
        <w:rPr>
          <w:color w:val="231F20"/>
          <w:spacing w:val="-2"/>
          <w:vertAlign w:val="baseline"/>
        </w:rPr>
        <w:t>les</w:t>
      </w:r>
      <w:r>
        <w:rPr>
          <w:color w:val="231F20"/>
          <w:spacing w:val="-12"/>
          <w:vertAlign w:val="baseline"/>
        </w:rPr>
        <w:t> </w:t>
      </w:r>
      <w:r>
        <w:rPr>
          <w:color w:val="231F20"/>
          <w:spacing w:val="-2"/>
          <w:vertAlign w:val="baseline"/>
        </w:rPr>
        <w:t>zones</w:t>
      </w:r>
      <w:r>
        <w:rPr>
          <w:color w:val="231F20"/>
          <w:spacing w:val="-13"/>
          <w:vertAlign w:val="baseline"/>
        </w:rPr>
        <w:t> </w:t>
      </w:r>
      <w:r>
        <w:rPr>
          <w:color w:val="231F20"/>
          <w:spacing w:val="-2"/>
          <w:vertAlign w:val="baseline"/>
        </w:rPr>
        <w:t>rurales</w:t>
      </w:r>
      <w:r>
        <w:rPr>
          <w:color w:val="231F20"/>
          <w:spacing w:val="-13"/>
          <w:vertAlign w:val="baseline"/>
        </w:rPr>
        <w:t> </w:t>
      </w:r>
      <w:r>
        <w:rPr>
          <w:color w:val="231F20"/>
          <w:spacing w:val="-2"/>
          <w:vertAlign w:val="baseline"/>
        </w:rPr>
        <w:t>du</w:t>
      </w:r>
      <w:r>
        <w:rPr>
          <w:color w:val="231F20"/>
          <w:spacing w:val="-12"/>
          <w:vertAlign w:val="baseline"/>
        </w:rPr>
        <w:t> </w:t>
      </w:r>
      <w:r>
        <w:rPr>
          <w:color w:val="231F20"/>
          <w:spacing w:val="-2"/>
          <w:vertAlign w:val="baseline"/>
        </w:rPr>
        <w:t>pays</w:t>
      </w:r>
      <w:r>
        <w:rPr>
          <w:color w:val="231F20"/>
          <w:spacing w:val="-13"/>
          <w:vertAlign w:val="baseline"/>
        </w:rPr>
        <w:t> </w:t>
      </w:r>
      <w:r>
        <w:rPr>
          <w:color w:val="231F20"/>
          <w:spacing w:val="-2"/>
          <w:vertAlign w:val="baseline"/>
        </w:rPr>
        <w:t>en</w:t>
      </w:r>
      <w:r>
        <w:rPr>
          <w:color w:val="231F20"/>
          <w:spacing w:val="-12"/>
          <w:vertAlign w:val="baseline"/>
        </w:rPr>
        <w:t> </w:t>
      </w:r>
      <w:r>
        <w:rPr>
          <w:color w:val="231F20"/>
          <w:spacing w:val="-2"/>
          <w:vertAlign w:val="baseline"/>
        </w:rPr>
        <w:t>infrastructures</w:t>
      </w:r>
      <w:r>
        <w:rPr>
          <w:color w:val="231F20"/>
          <w:spacing w:val="-13"/>
          <w:vertAlign w:val="baseline"/>
        </w:rPr>
        <w:t> </w:t>
      </w:r>
      <w:r>
        <w:rPr>
          <w:color w:val="231F20"/>
          <w:spacing w:val="-2"/>
          <w:vertAlign w:val="baseline"/>
        </w:rPr>
        <w:t>sociales</w:t>
      </w:r>
      <w:r>
        <w:rPr>
          <w:color w:val="231F20"/>
          <w:spacing w:val="-12"/>
          <w:vertAlign w:val="baseline"/>
        </w:rPr>
        <w:t> </w:t>
      </w:r>
      <w:r>
        <w:rPr>
          <w:color w:val="231F20"/>
          <w:spacing w:val="-2"/>
          <w:vertAlign w:val="baseline"/>
        </w:rPr>
        <w:t>et </w:t>
      </w:r>
      <w:r>
        <w:rPr>
          <w:color w:val="231F20"/>
          <w:vertAlign w:val="baseline"/>
        </w:rPr>
        <w:t>économiques (pompes hydrauliques, ponts, barrages, lycées, </w:t>
      </w:r>
      <w:r>
        <w:rPr>
          <w:color w:val="231F20"/>
          <w:spacing w:val="-2"/>
          <w:vertAlign w:val="baseline"/>
        </w:rPr>
        <w:t>maternités…)</w:t>
      </w:r>
      <w:r>
        <w:rPr>
          <w:color w:val="231F20"/>
          <w:spacing w:val="-6"/>
          <w:vertAlign w:val="baseline"/>
        </w:rPr>
        <w:t> </w:t>
      </w:r>
      <w:r>
        <w:rPr>
          <w:color w:val="231F20"/>
          <w:spacing w:val="-2"/>
          <w:vertAlign w:val="baseline"/>
        </w:rPr>
        <w:t>,</w:t>
      </w:r>
      <w:r>
        <w:rPr>
          <w:color w:val="231F20"/>
          <w:spacing w:val="-8"/>
          <w:vertAlign w:val="baseline"/>
        </w:rPr>
        <w:t> </w:t>
      </w:r>
      <w:r>
        <w:rPr>
          <w:color w:val="231F20"/>
          <w:spacing w:val="-2"/>
          <w:vertAlign w:val="baseline"/>
        </w:rPr>
        <w:t>la</w:t>
      </w:r>
      <w:r>
        <w:rPr>
          <w:color w:val="231F20"/>
          <w:spacing w:val="-7"/>
          <w:vertAlign w:val="baseline"/>
        </w:rPr>
        <w:t> </w:t>
      </w:r>
      <w:r>
        <w:rPr>
          <w:color w:val="231F20"/>
          <w:spacing w:val="-2"/>
          <w:vertAlign w:val="baseline"/>
        </w:rPr>
        <w:t>Cidt</w:t>
      </w:r>
      <w:r>
        <w:rPr>
          <w:color w:val="231F20"/>
          <w:spacing w:val="-2"/>
          <w:vertAlign w:val="superscript"/>
        </w:rPr>
        <w:t>134</w:t>
      </w:r>
      <w:r>
        <w:rPr>
          <w:color w:val="231F20"/>
          <w:spacing w:val="-7"/>
          <w:vertAlign w:val="baseline"/>
        </w:rPr>
        <w:t> </w:t>
      </w:r>
      <w:r>
        <w:rPr>
          <w:color w:val="231F20"/>
          <w:spacing w:val="-2"/>
          <w:vertAlign w:val="baseline"/>
        </w:rPr>
        <w:t>pour</w:t>
      </w:r>
      <w:r>
        <w:rPr>
          <w:color w:val="231F20"/>
          <w:spacing w:val="-6"/>
          <w:vertAlign w:val="baseline"/>
        </w:rPr>
        <w:t> </w:t>
      </w:r>
      <w:r>
        <w:rPr>
          <w:color w:val="231F20"/>
          <w:spacing w:val="-2"/>
          <w:vertAlign w:val="baseline"/>
        </w:rPr>
        <w:t>gérer</w:t>
      </w:r>
      <w:r>
        <w:rPr>
          <w:color w:val="231F20"/>
          <w:spacing w:val="-6"/>
          <w:vertAlign w:val="baseline"/>
        </w:rPr>
        <w:t> </w:t>
      </w:r>
      <w:r>
        <w:rPr>
          <w:color w:val="231F20"/>
          <w:spacing w:val="-2"/>
          <w:vertAlign w:val="baseline"/>
        </w:rPr>
        <w:t>et</w:t>
      </w:r>
      <w:r>
        <w:rPr>
          <w:color w:val="231F20"/>
          <w:spacing w:val="-6"/>
          <w:vertAlign w:val="baseline"/>
        </w:rPr>
        <w:t> </w:t>
      </w:r>
      <w:r>
        <w:rPr>
          <w:color w:val="231F20"/>
          <w:spacing w:val="-2"/>
          <w:vertAlign w:val="baseline"/>
        </w:rPr>
        <w:t>encadrer</w:t>
      </w:r>
      <w:r>
        <w:rPr>
          <w:color w:val="231F20"/>
          <w:spacing w:val="-6"/>
          <w:vertAlign w:val="baseline"/>
        </w:rPr>
        <w:t> </w:t>
      </w:r>
      <w:r>
        <w:rPr>
          <w:color w:val="231F20"/>
          <w:spacing w:val="-2"/>
          <w:vertAlign w:val="baseline"/>
        </w:rPr>
        <w:t>la</w:t>
      </w:r>
      <w:r>
        <w:rPr>
          <w:color w:val="231F20"/>
          <w:spacing w:val="-6"/>
          <w:vertAlign w:val="baseline"/>
        </w:rPr>
        <w:t> </w:t>
      </w:r>
      <w:r>
        <w:rPr>
          <w:color w:val="231F20"/>
          <w:spacing w:val="-2"/>
          <w:vertAlign w:val="baseline"/>
        </w:rPr>
        <w:t>production</w:t>
      </w:r>
      <w:r>
        <w:rPr>
          <w:color w:val="231F20"/>
          <w:spacing w:val="-6"/>
          <w:vertAlign w:val="baseline"/>
        </w:rPr>
        <w:t> </w:t>
      </w:r>
      <w:r>
        <w:rPr>
          <w:color w:val="231F20"/>
          <w:spacing w:val="-2"/>
          <w:vertAlign w:val="baseline"/>
        </w:rPr>
        <w:t>cotonnière </w:t>
      </w:r>
      <w:r>
        <w:rPr>
          <w:color w:val="231F20"/>
          <w:vertAlign w:val="baseline"/>
        </w:rPr>
        <w:t>depuis le stade du labour des parcelles jusqu’au stade de la commercialisation de la récolte, la Soderiz</w:t>
      </w:r>
      <w:r>
        <w:rPr>
          <w:color w:val="231F20"/>
          <w:vertAlign w:val="superscript"/>
        </w:rPr>
        <w:t>135</w:t>
      </w:r>
      <w:r>
        <w:rPr>
          <w:color w:val="231F20"/>
          <w:vertAlign w:val="baseline"/>
        </w:rPr>
        <w:t>pour la production et la commercialisation du riz, la Sodefel</w:t>
      </w:r>
      <w:r>
        <w:rPr>
          <w:color w:val="231F20"/>
          <w:spacing w:val="-15"/>
          <w:vertAlign w:val="baseline"/>
        </w:rPr>
        <w:t> </w:t>
      </w:r>
      <w:r>
        <w:rPr>
          <w:color w:val="231F20"/>
          <w:vertAlign w:val="superscript"/>
        </w:rPr>
        <w:t>136</w:t>
      </w:r>
      <w:r>
        <w:rPr>
          <w:color w:val="231F20"/>
          <w:vertAlign w:val="baseline"/>
        </w:rPr>
        <w:t> pour les produits vivriers, la Sodesucre</w:t>
      </w:r>
      <w:r>
        <w:rPr>
          <w:color w:val="231F20"/>
          <w:vertAlign w:val="superscript"/>
        </w:rPr>
        <w:t>137</w:t>
      </w:r>
      <w:r>
        <w:rPr>
          <w:color w:val="231F20"/>
          <w:vertAlign w:val="baseline"/>
        </w:rPr>
        <w:t> pour les complexes sucriers, etc.</w:t>
      </w:r>
    </w:p>
    <w:p>
      <w:pPr>
        <w:pStyle w:val="BodyText"/>
        <w:spacing w:before="121"/>
        <w:ind w:right="103" w:firstLine="283"/>
      </w:pPr>
      <w:r>
        <w:rPr>
          <w:color w:val="231F20"/>
        </w:rPr>
        <w:t>En</w:t>
      </w:r>
      <w:r>
        <w:rPr>
          <w:color w:val="231F20"/>
          <w:spacing w:val="-6"/>
        </w:rPr>
        <w:t> </w:t>
      </w:r>
      <w:r>
        <w:rPr>
          <w:color w:val="231F20"/>
        </w:rPr>
        <w:t>1977,</w:t>
      </w:r>
      <w:r>
        <w:rPr>
          <w:color w:val="231F20"/>
          <w:spacing w:val="-15"/>
        </w:rPr>
        <w:t> </w:t>
      </w:r>
      <w:r>
        <w:rPr>
          <w:color w:val="231F20"/>
        </w:rPr>
        <w:t>c’est</w:t>
      </w:r>
      <w:r>
        <w:rPr>
          <w:color w:val="231F20"/>
          <w:spacing w:val="-1"/>
        </w:rPr>
        <w:t> </w:t>
      </w:r>
      <w:r>
        <w:rPr>
          <w:color w:val="231F20"/>
        </w:rPr>
        <w:t>d’abord,</w:t>
      </w:r>
      <w:r>
        <w:rPr>
          <w:color w:val="231F20"/>
          <w:spacing w:val="-3"/>
        </w:rPr>
        <w:t> </w:t>
      </w:r>
      <w:r>
        <w:rPr>
          <w:color w:val="231F20"/>
        </w:rPr>
        <w:t>l’Affaire</w:t>
      </w:r>
      <w:r>
        <w:rPr>
          <w:color w:val="231F20"/>
          <w:spacing w:val="-2"/>
        </w:rPr>
        <w:t> </w:t>
      </w:r>
      <w:r>
        <w:rPr>
          <w:color w:val="231F20"/>
        </w:rPr>
        <w:t>de</w:t>
      </w:r>
      <w:r>
        <w:rPr>
          <w:color w:val="231F20"/>
          <w:spacing w:val="-2"/>
        </w:rPr>
        <w:t> </w:t>
      </w:r>
      <w:r>
        <w:rPr>
          <w:color w:val="231F20"/>
        </w:rPr>
        <w:t>la</w:t>
      </w:r>
      <w:r>
        <w:rPr>
          <w:color w:val="231F20"/>
          <w:spacing w:val="-2"/>
        </w:rPr>
        <w:t> </w:t>
      </w:r>
      <w:r>
        <w:rPr>
          <w:color w:val="231F20"/>
        </w:rPr>
        <w:t>surfacturation</w:t>
      </w:r>
      <w:r>
        <w:rPr>
          <w:color w:val="231F20"/>
          <w:spacing w:val="-2"/>
        </w:rPr>
        <w:t> </w:t>
      </w:r>
      <w:r>
        <w:rPr>
          <w:color w:val="231F20"/>
        </w:rPr>
        <w:t>des</w:t>
      </w:r>
      <w:r>
        <w:rPr>
          <w:color w:val="231F20"/>
          <w:spacing w:val="-2"/>
        </w:rPr>
        <w:t> </w:t>
      </w:r>
      <w:r>
        <w:rPr>
          <w:color w:val="231F20"/>
        </w:rPr>
        <w:t>complexes sucriers</w:t>
      </w:r>
      <w:r>
        <w:rPr>
          <w:color w:val="231F20"/>
          <w:spacing w:val="-15"/>
        </w:rPr>
        <w:t> </w:t>
      </w:r>
      <w:r>
        <w:rPr>
          <w:color w:val="231F20"/>
        </w:rPr>
        <w:t>qui révèle l’ampleur des détournements au sommet de l’Etat. L’histoire des complexes sucriers commence en 1974. A cette date, le Président Houphouët-Boigny effectue des tournées dans le Nord de la </w:t>
      </w:r>
      <w:r>
        <w:rPr>
          <w:color w:val="231F20"/>
          <w:spacing w:val="-4"/>
        </w:rPr>
        <w:t>Côte</w:t>
      </w:r>
      <w:r>
        <w:rPr>
          <w:color w:val="231F20"/>
          <w:spacing w:val="-11"/>
        </w:rPr>
        <w:t> </w:t>
      </w:r>
      <w:r>
        <w:rPr>
          <w:color w:val="231F20"/>
          <w:spacing w:val="-4"/>
        </w:rPr>
        <w:t>d’Ivoire.</w:t>
      </w:r>
      <w:r>
        <w:rPr>
          <w:color w:val="231F20"/>
          <w:spacing w:val="-11"/>
        </w:rPr>
        <w:t> </w:t>
      </w:r>
      <w:r>
        <w:rPr>
          <w:color w:val="231F20"/>
          <w:spacing w:val="-4"/>
        </w:rPr>
        <w:t>Il</w:t>
      </w:r>
      <w:r>
        <w:rPr>
          <w:color w:val="231F20"/>
          <w:spacing w:val="-11"/>
        </w:rPr>
        <w:t> </w:t>
      </w:r>
      <w:r>
        <w:rPr>
          <w:color w:val="231F20"/>
          <w:spacing w:val="-4"/>
        </w:rPr>
        <w:t>constate</w:t>
      </w:r>
      <w:r>
        <w:rPr>
          <w:color w:val="231F20"/>
          <w:spacing w:val="-11"/>
        </w:rPr>
        <w:t> </w:t>
      </w:r>
      <w:r>
        <w:rPr>
          <w:color w:val="231F20"/>
          <w:spacing w:val="-4"/>
        </w:rPr>
        <w:t>les</w:t>
      </w:r>
      <w:r>
        <w:rPr>
          <w:color w:val="231F20"/>
          <w:spacing w:val="-11"/>
        </w:rPr>
        <w:t> </w:t>
      </w:r>
      <w:r>
        <w:rPr>
          <w:color w:val="231F20"/>
          <w:spacing w:val="-4"/>
        </w:rPr>
        <w:t>inégalités</w:t>
      </w:r>
      <w:r>
        <w:rPr>
          <w:color w:val="231F20"/>
          <w:spacing w:val="-11"/>
        </w:rPr>
        <w:t> </w:t>
      </w:r>
      <w:r>
        <w:rPr>
          <w:color w:val="231F20"/>
          <w:spacing w:val="-4"/>
        </w:rPr>
        <w:t>de</w:t>
      </w:r>
      <w:r>
        <w:rPr>
          <w:color w:val="231F20"/>
          <w:spacing w:val="-11"/>
        </w:rPr>
        <w:t> </w:t>
      </w:r>
      <w:r>
        <w:rPr>
          <w:color w:val="231F20"/>
          <w:spacing w:val="-4"/>
        </w:rPr>
        <w:t>développement</w:t>
      </w:r>
      <w:r>
        <w:rPr>
          <w:color w:val="231F20"/>
          <w:spacing w:val="-11"/>
        </w:rPr>
        <w:t> </w:t>
      </w:r>
      <w:r>
        <w:rPr>
          <w:color w:val="231F20"/>
          <w:spacing w:val="-4"/>
        </w:rPr>
        <w:t>entre</w:t>
      </w:r>
      <w:r>
        <w:rPr>
          <w:color w:val="231F20"/>
          <w:spacing w:val="-11"/>
        </w:rPr>
        <w:t> </w:t>
      </w:r>
      <w:r>
        <w:rPr>
          <w:color w:val="231F20"/>
          <w:spacing w:val="-4"/>
        </w:rPr>
        <w:t>les</w:t>
      </w:r>
      <w:r>
        <w:rPr>
          <w:color w:val="231F20"/>
          <w:spacing w:val="-11"/>
        </w:rPr>
        <w:t> </w:t>
      </w:r>
      <w:r>
        <w:rPr>
          <w:color w:val="231F20"/>
          <w:spacing w:val="-4"/>
        </w:rPr>
        <w:t>régions du</w:t>
      </w:r>
      <w:r>
        <w:rPr>
          <w:color w:val="231F20"/>
          <w:spacing w:val="-9"/>
        </w:rPr>
        <w:t> </w:t>
      </w:r>
      <w:r>
        <w:rPr>
          <w:color w:val="231F20"/>
          <w:spacing w:val="-4"/>
        </w:rPr>
        <w:t>Nord</w:t>
      </w:r>
      <w:r>
        <w:rPr>
          <w:color w:val="231F20"/>
          <w:spacing w:val="-8"/>
        </w:rPr>
        <w:t> </w:t>
      </w:r>
      <w:r>
        <w:rPr>
          <w:color w:val="231F20"/>
          <w:spacing w:val="-4"/>
        </w:rPr>
        <w:t>et</w:t>
      </w:r>
      <w:r>
        <w:rPr>
          <w:color w:val="231F20"/>
          <w:spacing w:val="-9"/>
        </w:rPr>
        <w:t> </w:t>
      </w:r>
      <w:r>
        <w:rPr>
          <w:color w:val="231F20"/>
          <w:spacing w:val="-4"/>
        </w:rPr>
        <w:t>celles</w:t>
      </w:r>
      <w:r>
        <w:rPr>
          <w:color w:val="231F20"/>
          <w:spacing w:val="-10"/>
        </w:rPr>
        <w:t> </w:t>
      </w:r>
      <w:r>
        <w:rPr>
          <w:color w:val="231F20"/>
          <w:spacing w:val="-4"/>
        </w:rPr>
        <w:t>du</w:t>
      </w:r>
      <w:r>
        <w:rPr>
          <w:color w:val="231F20"/>
          <w:spacing w:val="-9"/>
        </w:rPr>
        <w:t> </w:t>
      </w:r>
      <w:r>
        <w:rPr>
          <w:color w:val="231F20"/>
          <w:spacing w:val="-4"/>
        </w:rPr>
        <w:t>Sud :</w:t>
      </w:r>
      <w:r>
        <w:rPr>
          <w:color w:val="231F20"/>
          <w:spacing w:val="-11"/>
        </w:rPr>
        <w:t> </w:t>
      </w:r>
      <w:r>
        <w:rPr>
          <w:color w:val="231F20"/>
          <w:spacing w:val="-4"/>
        </w:rPr>
        <w:t>revenu</w:t>
      </w:r>
      <w:r>
        <w:rPr>
          <w:color w:val="231F20"/>
          <w:spacing w:val="-8"/>
        </w:rPr>
        <w:t> </w:t>
      </w:r>
      <w:r>
        <w:rPr>
          <w:color w:val="231F20"/>
          <w:spacing w:val="-4"/>
        </w:rPr>
        <w:t>annuel</w:t>
      </w:r>
      <w:r>
        <w:rPr>
          <w:color w:val="231F20"/>
          <w:spacing w:val="-9"/>
        </w:rPr>
        <w:t> </w:t>
      </w:r>
      <w:r>
        <w:rPr>
          <w:color w:val="231F20"/>
          <w:spacing w:val="-4"/>
        </w:rPr>
        <w:t>par</w:t>
      </w:r>
      <w:r>
        <w:rPr>
          <w:color w:val="231F20"/>
          <w:spacing w:val="-11"/>
        </w:rPr>
        <w:t> </w:t>
      </w:r>
      <w:r>
        <w:rPr>
          <w:color w:val="231F20"/>
          <w:spacing w:val="-4"/>
        </w:rPr>
        <w:t>tête</w:t>
      </w:r>
      <w:r>
        <w:rPr>
          <w:color w:val="231F20"/>
          <w:spacing w:val="-11"/>
        </w:rPr>
        <w:t> </w:t>
      </w:r>
      <w:r>
        <w:rPr>
          <w:color w:val="231F20"/>
          <w:spacing w:val="-4"/>
        </w:rPr>
        <w:t>d’habitant</w:t>
      </w:r>
      <w:r>
        <w:rPr>
          <w:color w:val="231F20"/>
          <w:spacing w:val="-6"/>
        </w:rPr>
        <w:t> </w:t>
      </w:r>
      <w:r>
        <w:rPr>
          <w:color w:val="231F20"/>
          <w:spacing w:val="-4"/>
        </w:rPr>
        <w:t>au-dessous</w:t>
      </w:r>
      <w:r>
        <w:rPr>
          <w:color w:val="231F20"/>
          <w:spacing w:val="-10"/>
        </w:rPr>
        <w:t> </w:t>
      </w:r>
      <w:r>
        <w:rPr>
          <w:color w:val="231F20"/>
          <w:spacing w:val="-4"/>
        </w:rPr>
        <w:t>du </w:t>
      </w:r>
      <w:r>
        <w:rPr>
          <w:color w:val="231F20"/>
        </w:rPr>
        <w:t>quart</w:t>
      </w:r>
      <w:r>
        <w:rPr>
          <w:color w:val="231F20"/>
          <w:spacing w:val="-8"/>
        </w:rPr>
        <w:t> </w:t>
      </w:r>
      <w:r>
        <w:rPr>
          <w:color w:val="231F20"/>
        </w:rPr>
        <w:t>du</w:t>
      </w:r>
      <w:r>
        <w:rPr>
          <w:color w:val="231F20"/>
          <w:spacing w:val="-10"/>
        </w:rPr>
        <w:t> </w:t>
      </w:r>
      <w:r>
        <w:rPr>
          <w:color w:val="231F20"/>
        </w:rPr>
        <w:t>revenu</w:t>
      </w:r>
      <w:r>
        <w:rPr>
          <w:color w:val="231F20"/>
          <w:spacing w:val="-10"/>
        </w:rPr>
        <w:t> </w:t>
      </w:r>
      <w:r>
        <w:rPr>
          <w:color w:val="231F20"/>
        </w:rPr>
        <w:t>moyen</w:t>
      </w:r>
      <w:r>
        <w:rPr>
          <w:color w:val="231F20"/>
          <w:spacing w:val="-10"/>
        </w:rPr>
        <w:t> </w:t>
      </w:r>
      <w:r>
        <w:rPr>
          <w:color w:val="231F20"/>
        </w:rPr>
        <w:t>national,</w:t>
      </w:r>
      <w:r>
        <w:rPr>
          <w:color w:val="231F20"/>
          <w:spacing w:val="-8"/>
        </w:rPr>
        <w:t> </w:t>
      </w:r>
      <w:r>
        <w:rPr>
          <w:color w:val="231F20"/>
        </w:rPr>
        <w:t>fort</w:t>
      </w:r>
      <w:r>
        <w:rPr>
          <w:color w:val="231F20"/>
          <w:spacing w:val="-8"/>
        </w:rPr>
        <w:t> </w:t>
      </w:r>
      <w:r>
        <w:rPr>
          <w:color w:val="231F20"/>
        </w:rPr>
        <w:t>taux</w:t>
      </w:r>
      <w:r>
        <w:rPr>
          <w:color w:val="231F20"/>
          <w:spacing w:val="-8"/>
        </w:rPr>
        <w:t> </w:t>
      </w:r>
      <w:r>
        <w:rPr>
          <w:color w:val="231F20"/>
        </w:rPr>
        <w:t>d’analphabétisme…</w:t>
      </w:r>
      <w:r>
        <w:rPr>
          <w:color w:val="231F20"/>
          <w:spacing w:val="-8"/>
        </w:rPr>
        <w:t> </w:t>
      </w:r>
      <w:r>
        <w:rPr>
          <w:color w:val="231F20"/>
        </w:rPr>
        <w:t>Le</w:t>
      </w:r>
      <w:r>
        <w:rPr>
          <w:color w:val="231F20"/>
          <w:spacing w:val="-10"/>
        </w:rPr>
        <w:t> </w:t>
      </w:r>
      <w:r>
        <w:rPr>
          <w:color w:val="231F20"/>
        </w:rPr>
        <w:t>Nord étant la partie du pays la plus anciennement islamisée du pays, l’Éducation dans cette région est souvent exclusivement coranique au </w:t>
      </w:r>
      <w:r>
        <w:rPr>
          <w:color w:val="231F20"/>
          <w:spacing w:val="-2"/>
        </w:rPr>
        <w:t>détriment</w:t>
      </w:r>
      <w:r>
        <w:rPr>
          <w:color w:val="231F20"/>
          <w:spacing w:val="-15"/>
        </w:rPr>
        <w:t> </w:t>
      </w:r>
      <w:r>
        <w:rPr>
          <w:color w:val="231F20"/>
          <w:spacing w:val="-2"/>
        </w:rPr>
        <w:t>de</w:t>
      </w:r>
      <w:r>
        <w:rPr>
          <w:color w:val="231F20"/>
          <w:spacing w:val="-13"/>
        </w:rPr>
        <w:t> </w:t>
      </w:r>
      <w:r>
        <w:rPr>
          <w:color w:val="231F20"/>
          <w:spacing w:val="-2"/>
        </w:rPr>
        <w:t>l’Enseignement</w:t>
      </w:r>
      <w:r>
        <w:rPr>
          <w:color w:val="231F20"/>
          <w:spacing w:val="-13"/>
        </w:rPr>
        <w:t> </w:t>
      </w:r>
      <w:r>
        <w:rPr>
          <w:color w:val="231F20"/>
          <w:spacing w:val="-2"/>
        </w:rPr>
        <w:t>classique</w:t>
      </w:r>
      <w:r>
        <w:rPr>
          <w:color w:val="231F20"/>
          <w:spacing w:val="-13"/>
        </w:rPr>
        <w:t> </w:t>
      </w:r>
      <w:r>
        <w:rPr>
          <w:color w:val="231F20"/>
          <w:spacing w:val="-2"/>
        </w:rPr>
        <w:t>en</w:t>
      </w:r>
      <w:r>
        <w:rPr>
          <w:color w:val="231F20"/>
          <w:spacing w:val="-13"/>
        </w:rPr>
        <w:t> </w:t>
      </w:r>
      <w:r>
        <w:rPr>
          <w:color w:val="231F20"/>
          <w:spacing w:val="-2"/>
        </w:rPr>
        <w:t>français.</w:t>
      </w:r>
      <w:r>
        <w:rPr>
          <w:color w:val="231F20"/>
          <w:spacing w:val="-13"/>
        </w:rPr>
        <w:t> </w:t>
      </w:r>
      <w:r>
        <w:rPr>
          <w:color w:val="231F20"/>
          <w:spacing w:val="-2"/>
        </w:rPr>
        <w:t>Dans</w:t>
      </w:r>
      <w:r>
        <w:rPr>
          <w:color w:val="231F20"/>
          <w:spacing w:val="-13"/>
        </w:rPr>
        <w:t> </w:t>
      </w:r>
      <w:r>
        <w:rPr>
          <w:color w:val="231F20"/>
          <w:spacing w:val="-2"/>
        </w:rPr>
        <w:t>d’autres</w:t>
      </w:r>
      <w:r>
        <w:rPr>
          <w:color w:val="231F20"/>
          <w:spacing w:val="-13"/>
        </w:rPr>
        <w:t> </w:t>
      </w:r>
      <w:r>
        <w:rPr>
          <w:color w:val="231F20"/>
          <w:spacing w:val="-2"/>
        </w:rPr>
        <w:t>régions </w:t>
      </w:r>
      <w:r>
        <w:rPr>
          <w:color w:val="231F20"/>
        </w:rPr>
        <w:t>du Nord, c’est l’Enseignement du poro</w:t>
      </w:r>
      <w:r>
        <w:rPr>
          <w:color w:val="231F20"/>
          <w:spacing w:val="-15"/>
        </w:rPr>
        <w:t> </w:t>
      </w:r>
      <w:r>
        <w:rPr>
          <w:color w:val="231F20"/>
          <w:vertAlign w:val="superscript"/>
        </w:rPr>
        <w:t>138</w:t>
      </w:r>
      <w:r>
        <w:rPr>
          <w:color w:val="231F20"/>
          <w:spacing w:val="-15"/>
          <w:vertAlign w:val="baseline"/>
        </w:rPr>
        <w:t> </w:t>
      </w:r>
      <w:r>
        <w:rPr>
          <w:color w:val="231F20"/>
          <w:vertAlign w:val="baseline"/>
        </w:rPr>
        <w:t>qui supplante l’Éducation </w:t>
      </w:r>
      <w:r>
        <w:rPr>
          <w:color w:val="231F20"/>
          <w:spacing w:val="-2"/>
          <w:vertAlign w:val="baseline"/>
        </w:rPr>
        <w:t>nationale.</w:t>
      </w:r>
      <w:r>
        <w:rPr>
          <w:color w:val="231F20"/>
          <w:spacing w:val="-8"/>
          <w:vertAlign w:val="baseline"/>
        </w:rPr>
        <w:t> </w:t>
      </w:r>
      <w:r>
        <w:rPr>
          <w:color w:val="231F20"/>
          <w:spacing w:val="-2"/>
          <w:vertAlign w:val="baseline"/>
        </w:rPr>
        <w:t>Au</w:t>
      </w:r>
      <w:r>
        <w:rPr>
          <w:color w:val="231F20"/>
          <w:spacing w:val="-9"/>
          <w:vertAlign w:val="baseline"/>
        </w:rPr>
        <w:t> </w:t>
      </w:r>
      <w:r>
        <w:rPr>
          <w:color w:val="231F20"/>
          <w:spacing w:val="-2"/>
          <w:vertAlign w:val="baseline"/>
        </w:rPr>
        <w:t>lieu</w:t>
      </w:r>
      <w:r>
        <w:rPr>
          <w:color w:val="231F20"/>
          <w:spacing w:val="-9"/>
          <w:vertAlign w:val="baseline"/>
        </w:rPr>
        <w:t> </w:t>
      </w:r>
      <w:r>
        <w:rPr>
          <w:color w:val="231F20"/>
          <w:spacing w:val="-2"/>
          <w:vertAlign w:val="baseline"/>
        </w:rPr>
        <w:t>et</w:t>
      </w:r>
      <w:r>
        <w:rPr>
          <w:color w:val="231F20"/>
          <w:spacing w:val="-9"/>
          <w:vertAlign w:val="baseline"/>
        </w:rPr>
        <w:t> </w:t>
      </w:r>
      <w:r>
        <w:rPr>
          <w:color w:val="231F20"/>
          <w:spacing w:val="-2"/>
          <w:vertAlign w:val="baseline"/>
        </w:rPr>
        <w:t>place</w:t>
      </w:r>
      <w:r>
        <w:rPr>
          <w:color w:val="231F20"/>
          <w:spacing w:val="-10"/>
          <w:vertAlign w:val="baseline"/>
        </w:rPr>
        <w:t> </w:t>
      </w:r>
      <w:r>
        <w:rPr>
          <w:color w:val="231F20"/>
          <w:spacing w:val="-2"/>
          <w:vertAlign w:val="baseline"/>
        </w:rPr>
        <w:t>de</w:t>
      </w:r>
      <w:r>
        <w:rPr>
          <w:color w:val="231F20"/>
          <w:spacing w:val="-9"/>
          <w:vertAlign w:val="baseline"/>
        </w:rPr>
        <w:t> </w:t>
      </w:r>
      <w:r>
        <w:rPr>
          <w:color w:val="231F20"/>
          <w:spacing w:val="-2"/>
          <w:vertAlign w:val="baseline"/>
        </w:rPr>
        <w:t>la</w:t>
      </w:r>
      <w:r>
        <w:rPr>
          <w:color w:val="231F20"/>
          <w:spacing w:val="-9"/>
          <w:vertAlign w:val="baseline"/>
        </w:rPr>
        <w:t> </w:t>
      </w:r>
      <w:r>
        <w:rPr>
          <w:color w:val="231F20"/>
          <w:spacing w:val="-2"/>
          <w:vertAlign w:val="baseline"/>
        </w:rPr>
        <w:t>scolarisation</w:t>
      </w:r>
      <w:r>
        <w:rPr>
          <w:color w:val="231F20"/>
          <w:spacing w:val="-8"/>
          <w:vertAlign w:val="baseline"/>
        </w:rPr>
        <w:t> </w:t>
      </w:r>
      <w:r>
        <w:rPr>
          <w:color w:val="231F20"/>
          <w:spacing w:val="-2"/>
          <w:vertAlign w:val="baseline"/>
        </w:rPr>
        <w:t>de</w:t>
      </w:r>
      <w:r>
        <w:rPr>
          <w:color w:val="231F20"/>
          <w:spacing w:val="-10"/>
          <w:vertAlign w:val="baseline"/>
        </w:rPr>
        <w:t> </w:t>
      </w:r>
      <w:r>
        <w:rPr>
          <w:color w:val="231F20"/>
          <w:spacing w:val="-2"/>
          <w:vertAlign w:val="baseline"/>
        </w:rPr>
        <w:t>leurs</w:t>
      </w:r>
      <w:r>
        <w:rPr>
          <w:color w:val="231F20"/>
          <w:spacing w:val="-8"/>
          <w:vertAlign w:val="baseline"/>
        </w:rPr>
        <w:t> </w:t>
      </w:r>
      <w:r>
        <w:rPr>
          <w:color w:val="231F20"/>
          <w:spacing w:val="-2"/>
          <w:vertAlign w:val="baseline"/>
        </w:rPr>
        <w:t>enfants,</w:t>
      </w:r>
      <w:r>
        <w:rPr>
          <w:color w:val="231F20"/>
          <w:spacing w:val="-11"/>
          <w:vertAlign w:val="baseline"/>
        </w:rPr>
        <w:t> </w:t>
      </w:r>
      <w:r>
        <w:rPr>
          <w:color w:val="231F20"/>
          <w:spacing w:val="-2"/>
          <w:vertAlign w:val="baseline"/>
        </w:rPr>
        <w:t>les</w:t>
      </w:r>
      <w:r>
        <w:rPr>
          <w:color w:val="231F20"/>
          <w:spacing w:val="-9"/>
          <w:vertAlign w:val="baseline"/>
        </w:rPr>
        <w:t> </w:t>
      </w:r>
      <w:r>
        <w:rPr>
          <w:color w:val="231F20"/>
          <w:spacing w:val="-2"/>
          <w:vertAlign w:val="baseline"/>
        </w:rPr>
        <w:t>parents </w:t>
      </w:r>
      <w:r>
        <w:rPr>
          <w:color w:val="231F20"/>
          <w:vertAlign w:val="baseline"/>
        </w:rPr>
        <w:t>font le choix de leur apprentissage aux métiers de commerçants, </w:t>
      </w:r>
      <w:r>
        <w:rPr>
          <w:color w:val="231F20"/>
          <w:spacing w:val="-2"/>
          <w:vertAlign w:val="baseline"/>
        </w:rPr>
        <w:t>colporteurs,</w:t>
      </w:r>
      <w:r>
        <w:rPr>
          <w:color w:val="231F20"/>
          <w:spacing w:val="-15"/>
          <w:vertAlign w:val="baseline"/>
        </w:rPr>
        <w:t> </w:t>
      </w:r>
      <w:r>
        <w:rPr>
          <w:color w:val="231F20"/>
          <w:spacing w:val="-2"/>
          <w:vertAlign w:val="baseline"/>
        </w:rPr>
        <w:t>apprentis</w:t>
      </w:r>
      <w:r>
        <w:rPr>
          <w:color w:val="231F20"/>
          <w:spacing w:val="-13"/>
          <w:vertAlign w:val="baseline"/>
        </w:rPr>
        <w:t> </w:t>
      </w:r>
      <w:r>
        <w:rPr>
          <w:color w:val="231F20"/>
          <w:spacing w:val="-2"/>
          <w:vertAlign w:val="baseline"/>
        </w:rPr>
        <w:t>mécaniciens,</w:t>
      </w:r>
      <w:r>
        <w:rPr>
          <w:color w:val="231F20"/>
          <w:spacing w:val="-13"/>
          <w:vertAlign w:val="baseline"/>
        </w:rPr>
        <w:t> </w:t>
      </w:r>
      <w:r>
        <w:rPr>
          <w:color w:val="231F20"/>
          <w:spacing w:val="-2"/>
          <w:vertAlign w:val="baseline"/>
        </w:rPr>
        <w:t>artisans</w:t>
      </w:r>
      <w:r>
        <w:rPr>
          <w:color w:val="231F20"/>
          <w:spacing w:val="-13"/>
          <w:vertAlign w:val="baseline"/>
        </w:rPr>
        <w:t> </w:t>
      </w:r>
      <w:r>
        <w:rPr>
          <w:color w:val="231F20"/>
          <w:spacing w:val="-2"/>
          <w:vertAlign w:val="baseline"/>
        </w:rPr>
        <w:t>et</w:t>
      </w:r>
      <w:r>
        <w:rPr>
          <w:color w:val="231F20"/>
          <w:spacing w:val="-13"/>
          <w:vertAlign w:val="baseline"/>
        </w:rPr>
        <w:t> </w:t>
      </w:r>
      <w:r>
        <w:rPr>
          <w:color w:val="231F20"/>
          <w:spacing w:val="-2"/>
          <w:vertAlign w:val="baseline"/>
        </w:rPr>
        <w:t>surtout</w:t>
      </w:r>
      <w:r>
        <w:rPr>
          <w:color w:val="231F20"/>
          <w:spacing w:val="-13"/>
          <w:vertAlign w:val="baseline"/>
        </w:rPr>
        <w:t> </w:t>
      </w:r>
      <w:r>
        <w:rPr>
          <w:color w:val="231F20"/>
          <w:spacing w:val="-2"/>
          <w:vertAlign w:val="baseline"/>
        </w:rPr>
        <w:t>agriculteurs.</w:t>
      </w:r>
      <w:r>
        <w:rPr>
          <w:color w:val="231F20"/>
          <w:spacing w:val="-13"/>
          <w:vertAlign w:val="baseline"/>
        </w:rPr>
        <w:t> </w:t>
      </w:r>
      <w:r>
        <w:rPr>
          <w:color w:val="231F20"/>
          <w:spacing w:val="-2"/>
          <w:vertAlign w:val="baseline"/>
        </w:rPr>
        <w:t>Après sa</w:t>
      </w:r>
      <w:r>
        <w:rPr>
          <w:color w:val="231F20"/>
          <w:spacing w:val="-13"/>
          <w:vertAlign w:val="baseline"/>
        </w:rPr>
        <w:t> </w:t>
      </w:r>
      <w:r>
        <w:rPr>
          <w:color w:val="231F20"/>
          <w:spacing w:val="-2"/>
          <w:vertAlign w:val="baseline"/>
        </w:rPr>
        <w:t>visite</w:t>
      </w:r>
      <w:r>
        <w:rPr>
          <w:color w:val="231F20"/>
          <w:spacing w:val="-13"/>
          <w:vertAlign w:val="baseline"/>
        </w:rPr>
        <w:t> </w:t>
      </w:r>
      <w:r>
        <w:rPr>
          <w:color w:val="231F20"/>
          <w:spacing w:val="-2"/>
          <w:vertAlign w:val="baseline"/>
        </w:rPr>
        <w:t>dans</w:t>
      </w:r>
      <w:r>
        <w:rPr>
          <w:color w:val="231F20"/>
          <w:spacing w:val="-13"/>
          <w:vertAlign w:val="baseline"/>
        </w:rPr>
        <w:t> </w:t>
      </w:r>
      <w:r>
        <w:rPr>
          <w:color w:val="231F20"/>
          <w:spacing w:val="-2"/>
          <w:vertAlign w:val="baseline"/>
        </w:rPr>
        <w:t>le</w:t>
      </w:r>
      <w:r>
        <w:rPr>
          <w:color w:val="231F20"/>
          <w:spacing w:val="-13"/>
          <w:vertAlign w:val="baseline"/>
        </w:rPr>
        <w:t> </w:t>
      </w:r>
      <w:r>
        <w:rPr>
          <w:color w:val="231F20"/>
          <w:spacing w:val="-2"/>
          <w:vertAlign w:val="baseline"/>
        </w:rPr>
        <w:t>Nord,</w:t>
      </w:r>
      <w:r>
        <w:rPr>
          <w:color w:val="231F20"/>
          <w:spacing w:val="-13"/>
          <w:vertAlign w:val="baseline"/>
        </w:rPr>
        <w:t> </w:t>
      </w:r>
      <w:r>
        <w:rPr>
          <w:color w:val="231F20"/>
          <w:spacing w:val="-2"/>
          <w:vertAlign w:val="baseline"/>
        </w:rPr>
        <w:t>le</w:t>
      </w:r>
      <w:r>
        <w:rPr>
          <w:color w:val="231F20"/>
          <w:spacing w:val="-13"/>
          <w:vertAlign w:val="baseline"/>
        </w:rPr>
        <w:t> </w:t>
      </w:r>
      <w:r>
        <w:rPr>
          <w:color w:val="231F20"/>
          <w:spacing w:val="-2"/>
          <w:vertAlign w:val="baseline"/>
        </w:rPr>
        <w:t>président</w:t>
      </w:r>
      <w:r>
        <w:rPr>
          <w:color w:val="231F20"/>
          <w:spacing w:val="-13"/>
          <w:vertAlign w:val="baseline"/>
        </w:rPr>
        <w:t> </w:t>
      </w:r>
      <w:r>
        <w:rPr>
          <w:color w:val="231F20"/>
          <w:spacing w:val="-2"/>
          <w:vertAlign w:val="baseline"/>
        </w:rPr>
        <w:t>ivoirien</w:t>
      </w:r>
      <w:r>
        <w:rPr>
          <w:color w:val="231F20"/>
          <w:spacing w:val="-13"/>
          <w:vertAlign w:val="baseline"/>
        </w:rPr>
        <w:t> </w:t>
      </w:r>
      <w:r>
        <w:rPr>
          <w:color w:val="231F20"/>
          <w:spacing w:val="-2"/>
          <w:vertAlign w:val="baseline"/>
        </w:rPr>
        <w:t>décide</w:t>
      </w:r>
      <w:r>
        <w:rPr>
          <w:color w:val="231F20"/>
          <w:spacing w:val="-13"/>
          <w:vertAlign w:val="baseline"/>
        </w:rPr>
        <w:t> </w:t>
      </w:r>
      <w:r>
        <w:rPr>
          <w:color w:val="231F20"/>
          <w:spacing w:val="-2"/>
          <w:vertAlign w:val="baseline"/>
        </w:rPr>
        <w:t>d’y</w:t>
      </w:r>
      <w:r>
        <w:rPr>
          <w:color w:val="231F20"/>
          <w:spacing w:val="-12"/>
          <w:vertAlign w:val="baseline"/>
        </w:rPr>
        <w:t> </w:t>
      </w:r>
      <w:r>
        <w:rPr>
          <w:color w:val="231F20"/>
          <w:spacing w:val="-2"/>
          <w:vertAlign w:val="baseline"/>
        </w:rPr>
        <w:t>faire</w:t>
      </w:r>
      <w:r>
        <w:rPr>
          <w:color w:val="231F20"/>
          <w:spacing w:val="-12"/>
          <w:vertAlign w:val="baseline"/>
        </w:rPr>
        <w:t> </w:t>
      </w:r>
      <w:r>
        <w:rPr>
          <w:color w:val="231F20"/>
          <w:spacing w:val="-2"/>
          <w:vertAlign w:val="baseline"/>
        </w:rPr>
        <w:t>construire</w:t>
      </w:r>
      <w:r>
        <w:rPr>
          <w:color w:val="231F20"/>
          <w:spacing w:val="-12"/>
          <w:vertAlign w:val="baseline"/>
        </w:rPr>
        <w:t> </w:t>
      </w:r>
      <w:r>
        <w:rPr>
          <w:color w:val="231F20"/>
          <w:spacing w:val="-2"/>
          <w:vertAlign w:val="baseline"/>
        </w:rPr>
        <w:t>dix </w:t>
      </w:r>
      <w:r>
        <w:rPr>
          <w:color w:val="231F20"/>
          <w:spacing w:val="-4"/>
          <w:vertAlign w:val="baseline"/>
        </w:rPr>
        <w:t>complexes</w:t>
      </w:r>
      <w:r>
        <w:rPr>
          <w:color w:val="231F20"/>
          <w:spacing w:val="-11"/>
          <w:vertAlign w:val="baseline"/>
        </w:rPr>
        <w:t> </w:t>
      </w:r>
      <w:r>
        <w:rPr>
          <w:color w:val="231F20"/>
          <w:spacing w:val="-4"/>
          <w:vertAlign w:val="baseline"/>
        </w:rPr>
        <w:t>sucriers</w:t>
      </w:r>
      <w:r>
        <w:rPr>
          <w:color w:val="231F20"/>
          <w:spacing w:val="-10"/>
          <w:vertAlign w:val="baseline"/>
        </w:rPr>
        <w:t> </w:t>
      </w:r>
      <w:r>
        <w:rPr>
          <w:color w:val="231F20"/>
          <w:spacing w:val="-4"/>
          <w:vertAlign w:val="baseline"/>
        </w:rPr>
        <w:t>afin</w:t>
      </w:r>
      <w:r>
        <w:rPr>
          <w:color w:val="231F20"/>
          <w:spacing w:val="-8"/>
          <w:vertAlign w:val="baseline"/>
        </w:rPr>
        <w:t> </w:t>
      </w:r>
      <w:r>
        <w:rPr>
          <w:color w:val="231F20"/>
          <w:spacing w:val="-4"/>
          <w:vertAlign w:val="baseline"/>
        </w:rPr>
        <w:t>d’endiguer</w:t>
      </w:r>
      <w:r>
        <w:rPr>
          <w:color w:val="231F20"/>
          <w:spacing w:val="-11"/>
          <w:vertAlign w:val="baseline"/>
        </w:rPr>
        <w:t> </w:t>
      </w:r>
      <w:r>
        <w:rPr>
          <w:color w:val="231F20"/>
          <w:spacing w:val="-4"/>
          <w:vertAlign w:val="baseline"/>
        </w:rPr>
        <w:t>l’exode</w:t>
      </w:r>
      <w:r>
        <w:rPr>
          <w:color w:val="231F20"/>
          <w:spacing w:val="-11"/>
          <w:vertAlign w:val="baseline"/>
        </w:rPr>
        <w:t> </w:t>
      </w:r>
      <w:r>
        <w:rPr>
          <w:color w:val="231F20"/>
          <w:spacing w:val="-4"/>
          <w:vertAlign w:val="baseline"/>
        </w:rPr>
        <w:t>des</w:t>
      </w:r>
      <w:r>
        <w:rPr>
          <w:color w:val="231F20"/>
          <w:spacing w:val="-10"/>
          <w:vertAlign w:val="baseline"/>
        </w:rPr>
        <w:t> </w:t>
      </w:r>
      <w:r>
        <w:rPr>
          <w:color w:val="231F20"/>
          <w:spacing w:val="-4"/>
          <w:vertAlign w:val="baseline"/>
        </w:rPr>
        <w:t>jeunes.</w:t>
      </w:r>
      <w:r>
        <w:rPr>
          <w:color w:val="231F20"/>
          <w:spacing w:val="-7"/>
          <w:vertAlign w:val="baseline"/>
        </w:rPr>
        <w:t> </w:t>
      </w:r>
      <w:r>
        <w:rPr>
          <w:color w:val="231F20"/>
          <w:spacing w:val="-4"/>
          <w:vertAlign w:val="baseline"/>
        </w:rPr>
        <w:t>Outre</w:t>
      </w:r>
      <w:r>
        <w:rPr>
          <w:color w:val="231F20"/>
          <w:spacing w:val="-11"/>
          <w:vertAlign w:val="baseline"/>
        </w:rPr>
        <w:t> </w:t>
      </w:r>
      <w:r>
        <w:rPr>
          <w:color w:val="231F20"/>
          <w:spacing w:val="-4"/>
          <w:vertAlign w:val="baseline"/>
        </w:rPr>
        <w:t>l’emploi</w:t>
      </w:r>
      <w:r>
        <w:rPr>
          <w:color w:val="231F20"/>
          <w:spacing w:val="-10"/>
          <w:vertAlign w:val="baseline"/>
        </w:rPr>
        <w:t> </w:t>
      </w:r>
      <w:r>
        <w:rPr>
          <w:color w:val="231F20"/>
          <w:spacing w:val="-4"/>
          <w:vertAlign w:val="baseline"/>
        </w:rPr>
        <w:t>des </w:t>
      </w:r>
      <w:r>
        <w:rPr>
          <w:color w:val="231F20"/>
          <w:vertAlign w:val="baseline"/>
        </w:rPr>
        <w:t>jeunes,</w:t>
      </w:r>
      <w:r>
        <w:rPr>
          <w:color w:val="231F20"/>
          <w:spacing w:val="-15"/>
          <w:vertAlign w:val="baseline"/>
        </w:rPr>
        <w:t> </w:t>
      </w:r>
      <w:r>
        <w:rPr>
          <w:color w:val="231F20"/>
          <w:vertAlign w:val="baseline"/>
        </w:rPr>
        <w:t>deux</w:t>
      </w:r>
      <w:r>
        <w:rPr>
          <w:color w:val="231F20"/>
          <w:spacing w:val="-15"/>
          <w:vertAlign w:val="baseline"/>
        </w:rPr>
        <w:t> </w:t>
      </w:r>
      <w:r>
        <w:rPr>
          <w:color w:val="231F20"/>
          <w:vertAlign w:val="baseline"/>
        </w:rPr>
        <w:t>objectifs</w:t>
      </w:r>
      <w:r>
        <w:rPr>
          <w:color w:val="231F20"/>
          <w:spacing w:val="-15"/>
          <w:vertAlign w:val="baseline"/>
        </w:rPr>
        <w:t> </w:t>
      </w:r>
      <w:r>
        <w:rPr>
          <w:color w:val="231F20"/>
          <w:vertAlign w:val="baseline"/>
        </w:rPr>
        <w:t>majeurs</w:t>
      </w:r>
      <w:r>
        <w:rPr>
          <w:color w:val="231F20"/>
          <w:spacing w:val="-15"/>
          <w:vertAlign w:val="baseline"/>
        </w:rPr>
        <w:t> </w:t>
      </w:r>
      <w:r>
        <w:rPr>
          <w:color w:val="231F20"/>
          <w:vertAlign w:val="baseline"/>
        </w:rPr>
        <w:t>sont</w:t>
      </w:r>
      <w:r>
        <w:rPr>
          <w:color w:val="231F20"/>
          <w:spacing w:val="-15"/>
          <w:vertAlign w:val="baseline"/>
        </w:rPr>
        <w:t> </w:t>
      </w:r>
      <w:r>
        <w:rPr>
          <w:color w:val="231F20"/>
          <w:vertAlign w:val="baseline"/>
        </w:rPr>
        <w:t>assignés</w:t>
      </w:r>
      <w:r>
        <w:rPr>
          <w:color w:val="231F20"/>
          <w:spacing w:val="-15"/>
          <w:vertAlign w:val="baseline"/>
        </w:rPr>
        <w:t> </w:t>
      </w:r>
      <w:r>
        <w:rPr>
          <w:color w:val="231F20"/>
          <w:vertAlign w:val="baseline"/>
        </w:rPr>
        <w:t>à</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Sodesucre</w:t>
      </w:r>
      <w:r>
        <w:rPr>
          <w:color w:val="231F20"/>
          <w:spacing w:val="-15"/>
          <w:vertAlign w:val="baseline"/>
        </w:rPr>
        <w:t> </w:t>
      </w:r>
      <w:r>
        <w:rPr>
          <w:color w:val="231F20"/>
          <w:vertAlign w:val="baseline"/>
        </w:rPr>
        <w:t>:</w:t>
      </w:r>
      <w:r>
        <w:rPr>
          <w:color w:val="231F20"/>
          <w:spacing w:val="-15"/>
          <w:vertAlign w:val="baseline"/>
        </w:rPr>
        <w:t> </w:t>
      </w:r>
      <w:r>
        <w:rPr>
          <w:color w:val="231F20"/>
          <w:vertAlign w:val="baseline"/>
        </w:rPr>
        <w:t>satisfaire</w:t>
      </w:r>
      <w:r>
        <w:rPr>
          <w:color w:val="231F20"/>
          <w:spacing w:val="-15"/>
          <w:vertAlign w:val="baseline"/>
        </w:rPr>
        <w:t> </w:t>
      </w:r>
      <w:r>
        <w:rPr>
          <w:color w:val="231F20"/>
          <w:vertAlign w:val="baseline"/>
        </w:rPr>
        <w:t>la demande intérieure en sucre et faire de la Côte d’Ivoire, un grand exportateur</w:t>
      </w:r>
      <w:r>
        <w:rPr>
          <w:color w:val="231F20"/>
          <w:spacing w:val="33"/>
          <w:vertAlign w:val="baseline"/>
        </w:rPr>
        <w:t> </w:t>
      </w:r>
      <w:r>
        <w:rPr>
          <w:color w:val="231F20"/>
          <w:vertAlign w:val="baseline"/>
        </w:rPr>
        <w:t>de</w:t>
      </w:r>
      <w:r>
        <w:rPr>
          <w:color w:val="231F20"/>
          <w:spacing w:val="38"/>
          <w:vertAlign w:val="baseline"/>
        </w:rPr>
        <w:t> </w:t>
      </w:r>
      <w:r>
        <w:rPr>
          <w:color w:val="231F20"/>
          <w:vertAlign w:val="baseline"/>
        </w:rPr>
        <w:t>cette</w:t>
      </w:r>
      <w:r>
        <w:rPr>
          <w:color w:val="231F20"/>
          <w:spacing w:val="39"/>
          <w:vertAlign w:val="baseline"/>
        </w:rPr>
        <w:t> </w:t>
      </w:r>
      <w:r>
        <w:rPr>
          <w:color w:val="231F20"/>
          <w:vertAlign w:val="baseline"/>
        </w:rPr>
        <w:t>denrée.</w:t>
      </w:r>
      <w:r>
        <w:rPr>
          <w:color w:val="231F20"/>
          <w:spacing w:val="39"/>
          <w:vertAlign w:val="baseline"/>
        </w:rPr>
        <w:t> </w:t>
      </w:r>
      <w:r>
        <w:rPr>
          <w:color w:val="231F20"/>
          <w:vertAlign w:val="baseline"/>
        </w:rPr>
        <w:t>Six</w:t>
      </w:r>
      <w:r>
        <w:rPr>
          <w:color w:val="231F20"/>
          <w:spacing w:val="38"/>
          <w:vertAlign w:val="baseline"/>
        </w:rPr>
        <w:t> </w:t>
      </w:r>
      <w:r>
        <w:rPr>
          <w:color w:val="231F20"/>
          <w:vertAlign w:val="baseline"/>
        </w:rPr>
        <w:t>unités</w:t>
      </w:r>
      <w:r>
        <w:rPr>
          <w:color w:val="231F20"/>
          <w:spacing w:val="38"/>
          <w:vertAlign w:val="baseline"/>
        </w:rPr>
        <w:t> </w:t>
      </w:r>
      <w:r>
        <w:rPr>
          <w:color w:val="231F20"/>
          <w:vertAlign w:val="baseline"/>
        </w:rPr>
        <w:t>industrielles</w:t>
      </w:r>
      <w:r>
        <w:rPr>
          <w:color w:val="231F20"/>
          <w:spacing w:val="38"/>
          <w:vertAlign w:val="baseline"/>
        </w:rPr>
        <w:t> </w:t>
      </w:r>
      <w:r>
        <w:rPr>
          <w:color w:val="231F20"/>
          <w:vertAlign w:val="baseline"/>
        </w:rPr>
        <w:t>sont</w:t>
      </w:r>
      <w:r>
        <w:rPr>
          <w:color w:val="231F20"/>
          <w:spacing w:val="37"/>
          <w:vertAlign w:val="baseline"/>
        </w:rPr>
        <w:t> </w:t>
      </w:r>
      <w:r>
        <w:rPr>
          <w:color w:val="231F20"/>
          <w:spacing w:val="-2"/>
          <w:vertAlign w:val="baseline"/>
        </w:rPr>
        <w:t>construites.</w:t>
      </w:r>
    </w:p>
    <w:p>
      <w:pPr>
        <w:pStyle w:val="BodyText"/>
        <w:spacing w:before="5"/>
        <w:ind w:left="0"/>
        <w:jc w:val="left"/>
        <w:rPr>
          <w:sz w:val="17"/>
        </w:rPr>
      </w:pPr>
      <w:r>
        <w:rPr/>
        <mc:AlternateContent>
          <mc:Choice Requires="wps">
            <w:drawing>
              <wp:anchor distT="0" distB="0" distL="0" distR="0" allowOverlap="1" layoutInCell="1" locked="0" behindDoc="1" simplePos="0" relativeHeight="487629824">
                <wp:simplePos x="0" y="0"/>
                <wp:positionH relativeFrom="page">
                  <wp:posOffset>629907</wp:posOffset>
                </wp:positionH>
                <wp:positionV relativeFrom="paragraph">
                  <wp:posOffset>142847</wp:posOffset>
                </wp:positionV>
                <wp:extent cx="1829435" cy="9525"/>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1.247812pt;width:144.020pt;height:.72pt;mso-position-horizontal-relative:page;mso-position-vertical-relative:paragraph;z-index:-15686656;mso-wrap-distance-left:0;mso-wrap-distance-right:0" id="docshape105" filled="true" fillcolor="#231f20" stroked="false">
                <v:fill type="solid"/>
                <w10:wrap type="topAndBottom"/>
              </v:rect>
            </w:pict>
          </mc:Fallback>
        </mc:AlternateContent>
      </w:r>
    </w:p>
    <w:p>
      <w:pPr>
        <w:spacing w:before="94"/>
        <w:ind w:left="111" w:right="103" w:firstLine="0"/>
        <w:jc w:val="both"/>
        <w:rPr>
          <w:sz w:val="20"/>
        </w:rPr>
      </w:pPr>
      <w:r>
        <w:rPr>
          <w:color w:val="76787A"/>
          <w:spacing w:val="-4"/>
          <w:sz w:val="20"/>
          <w:vertAlign w:val="superscript"/>
        </w:rPr>
        <w:t>132</w:t>
      </w:r>
      <w:r>
        <w:rPr>
          <w:color w:val="76787A"/>
          <w:spacing w:val="5"/>
          <w:sz w:val="20"/>
          <w:vertAlign w:val="baseline"/>
        </w:rPr>
        <w:t> </w:t>
      </w:r>
      <w:r>
        <w:rPr>
          <w:color w:val="231F20"/>
          <w:spacing w:val="-4"/>
          <w:sz w:val="20"/>
          <w:vertAlign w:val="baseline"/>
        </w:rPr>
        <w:t>L’Autorité</w:t>
      </w:r>
      <w:r>
        <w:rPr>
          <w:color w:val="231F20"/>
          <w:spacing w:val="-8"/>
          <w:sz w:val="20"/>
          <w:vertAlign w:val="baseline"/>
        </w:rPr>
        <w:t> </w:t>
      </w:r>
      <w:r>
        <w:rPr>
          <w:color w:val="231F20"/>
          <w:spacing w:val="-4"/>
          <w:sz w:val="20"/>
          <w:vertAlign w:val="baseline"/>
        </w:rPr>
        <w:t>pour</w:t>
      </w:r>
      <w:r>
        <w:rPr>
          <w:color w:val="231F20"/>
          <w:spacing w:val="-7"/>
          <w:sz w:val="20"/>
          <w:vertAlign w:val="baseline"/>
        </w:rPr>
        <w:t> </w:t>
      </w:r>
      <w:r>
        <w:rPr>
          <w:color w:val="231F20"/>
          <w:spacing w:val="-4"/>
          <w:sz w:val="20"/>
          <w:vertAlign w:val="baseline"/>
        </w:rPr>
        <w:t>l'aménagement</w:t>
      </w:r>
      <w:r>
        <w:rPr>
          <w:color w:val="231F20"/>
          <w:spacing w:val="-6"/>
          <w:sz w:val="20"/>
          <w:vertAlign w:val="baseline"/>
        </w:rPr>
        <w:t> </w:t>
      </w:r>
      <w:r>
        <w:rPr>
          <w:color w:val="231F20"/>
          <w:spacing w:val="-4"/>
          <w:sz w:val="20"/>
          <w:vertAlign w:val="baseline"/>
        </w:rPr>
        <w:t>de</w:t>
      </w:r>
      <w:r>
        <w:rPr>
          <w:color w:val="231F20"/>
          <w:spacing w:val="-6"/>
          <w:sz w:val="20"/>
          <w:vertAlign w:val="baseline"/>
        </w:rPr>
        <w:t> </w:t>
      </w:r>
      <w:r>
        <w:rPr>
          <w:color w:val="231F20"/>
          <w:spacing w:val="-4"/>
          <w:sz w:val="20"/>
          <w:vertAlign w:val="baseline"/>
        </w:rPr>
        <w:t>la</w:t>
      </w:r>
      <w:r>
        <w:rPr>
          <w:color w:val="231F20"/>
          <w:spacing w:val="-9"/>
          <w:sz w:val="20"/>
          <w:vertAlign w:val="baseline"/>
        </w:rPr>
        <w:t> </w:t>
      </w:r>
      <w:r>
        <w:rPr>
          <w:color w:val="231F20"/>
          <w:spacing w:val="-4"/>
          <w:sz w:val="20"/>
          <w:vertAlign w:val="baseline"/>
        </w:rPr>
        <w:t>région</w:t>
      </w:r>
      <w:r>
        <w:rPr>
          <w:color w:val="231F20"/>
          <w:spacing w:val="-6"/>
          <w:sz w:val="20"/>
          <w:vertAlign w:val="baseline"/>
        </w:rPr>
        <w:t> </w:t>
      </w:r>
      <w:r>
        <w:rPr>
          <w:color w:val="231F20"/>
          <w:spacing w:val="-4"/>
          <w:sz w:val="20"/>
          <w:vertAlign w:val="baseline"/>
        </w:rPr>
        <w:t>du</w:t>
      </w:r>
      <w:r>
        <w:rPr>
          <w:color w:val="231F20"/>
          <w:spacing w:val="-7"/>
          <w:sz w:val="20"/>
          <w:vertAlign w:val="baseline"/>
        </w:rPr>
        <w:t> </w:t>
      </w:r>
      <w:r>
        <w:rPr>
          <w:color w:val="231F20"/>
          <w:spacing w:val="-4"/>
          <w:sz w:val="20"/>
          <w:vertAlign w:val="baseline"/>
        </w:rPr>
        <w:t>Sud-Ouest</w:t>
      </w:r>
      <w:r>
        <w:rPr>
          <w:color w:val="231F20"/>
          <w:sz w:val="20"/>
          <w:vertAlign w:val="baseline"/>
        </w:rPr>
        <w:t> </w:t>
      </w:r>
      <w:r>
        <w:rPr>
          <w:color w:val="231F20"/>
          <w:spacing w:val="-4"/>
          <w:sz w:val="20"/>
          <w:vertAlign w:val="baseline"/>
        </w:rPr>
        <w:t>(ARSO) est</w:t>
      </w:r>
      <w:r>
        <w:rPr>
          <w:color w:val="231F20"/>
          <w:spacing w:val="-9"/>
          <w:sz w:val="20"/>
          <w:vertAlign w:val="baseline"/>
        </w:rPr>
        <w:t> </w:t>
      </w:r>
      <w:r>
        <w:rPr>
          <w:color w:val="231F20"/>
          <w:spacing w:val="-4"/>
          <w:sz w:val="20"/>
          <w:vertAlign w:val="baseline"/>
        </w:rPr>
        <w:t>un</w:t>
      </w:r>
      <w:r>
        <w:rPr>
          <w:color w:val="231F20"/>
          <w:spacing w:val="-6"/>
          <w:sz w:val="20"/>
          <w:vertAlign w:val="baseline"/>
        </w:rPr>
        <w:t> </w:t>
      </w:r>
      <w:r>
        <w:rPr>
          <w:color w:val="231F20"/>
          <w:spacing w:val="-4"/>
          <w:sz w:val="20"/>
          <w:vertAlign w:val="baseline"/>
        </w:rPr>
        <w:t>programme </w:t>
      </w:r>
      <w:r>
        <w:rPr>
          <w:color w:val="231F20"/>
          <w:sz w:val="20"/>
          <w:vertAlign w:val="baseline"/>
        </w:rPr>
        <w:t>d'Aménagement</w:t>
      </w:r>
      <w:r>
        <w:rPr>
          <w:color w:val="231F20"/>
          <w:spacing w:val="-4"/>
          <w:sz w:val="20"/>
          <w:vertAlign w:val="baseline"/>
        </w:rPr>
        <w:t> </w:t>
      </w:r>
      <w:r>
        <w:rPr>
          <w:color w:val="231F20"/>
          <w:sz w:val="20"/>
          <w:vertAlign w:val="baseline"/>
        </w:rPr>
        <w:t>du territoire</w:t>
      </w:r>
      <w:r>
        <w:rPr>
          <w:color w:val="231F20"/>
          <w:spacing w:val="-13"/>
          <w:sz w:val="20"/>
          <w:vertAlign w:val="baseline"/>
        </w:rPr>
        <w:t> </w:t>
      </w:r>
      <w:r>
        <w:rPr>
          <w:color w:val="231F20"/>
          <w:sz w:val="20"/>
          <w:vertAlign w:val="baseline"/>
        </w:rPr>
        <w:t>et</w:t>
      </w:r>
      <w:r>
        <w:rPr>
          <w:color w:val="231F20"/>
          <w:spacing w:val="-1"/>
          <w:sz w:val="20"/>
          <w:vertAlign w:val="baseline"/>
        </w:rPr>
        <w:t> </w:t>
      </w:r>
      <w:r>
        <w:rPr>
          <w:color w:val="231F20"/>
          <w:sz w:val="20"/>
          <w:vertAlign w:val="baseline"/>
        </w:rPr>
        <w:t>de développement</w:t>
      </w:r>
      <w:r>
        <w:rPr>
          <w:color w:val="231F20"/>
          <w:spacing w:val="-3"/>
          <w:sz w:val="20"/>
          <w:vertAlign w:val="baseline"/>
        </w:rPr>
        <w:t> </w:t>
      </w:r>
      <w:r>
        <w:rPr>
          <w:color w:val="231F20"/>
          <w:sz w:val="20"/>
          <w:vertAlign w:val="baseline"/>
        </w:rPr>
        <w:t>régional</w:t>
      </w:r>
      <w:r>
        <w:rPr>
          <w:color w:val="231F20"/>
          <w:spacing w:val="-3"/>
          <w:sz w:val="20"/>
          <w:vertAlign w:val="baseline"/>
        </w:rPr>
        <w:t> </w:t>
      </w:r>
      <w:r>
        <w:rPr>
          <w:color w:val="231F20"/>
          <w:sz w:val="20"/>
          <w:vertAlign w:val="baseline"/>
        </w:rPr>
        <w:t>réalisé de</w:t>
      </w:r>
      <w:r>
        <w:rPr>
          <w:color w:val="231F20"/>
          <w:spacing w:val="-2"/>
          <w:sz w:val="20"/>
          <w:vertAlign w:val="baseline"/>
        </w:rPr>
        <w:t> </w:t>
      </w:r>
      <w:r>
        <w:rPr>
          <w:color w:val="231F20"/>
          <w:sz w:val="20"/>
          <w:vertAlign w:val="baseline"/>
        </w:rPr>
        <w:t>1969 à</w:t>
      </w:r>
      <w:r>
        <w:rPr>
          <w:color w:val="231F20"/>
          <w:spacing w:val="-2"/>
          <w:sz w:val="20"/>
          <w:vertAlign w:val="baseline"/>
        </w:rPr>
        <w:t> </w:t>
      </w:r>
      <w:r>
        <w:rPr>
          <w:color w:val="231F20"/>
          <w:sz w:val="20"/>
          <w:vertAlign w:val="baseline"/>
        </w:rPr>
        <w:t>1980</w:t>
      </w:r>
      <w:r>
        <w:rPr>
          <w:color w:val="231F20"/>
          <w:spacing w:val="-2"/>
          <w:sz w:val="20"/>
          <w:vertAlign w:val="baseline"/>
        </w:rPr>
        <w:t> </w:t>
      </w:r>
      <w:r>
        <w:rPr>
          <w:color w:val="231F20"/>
          <w:sz w:val="20"/>
          <w:vertAlign w:val="baseline"/>
        </w:rPr>
        <w:t>au Sud-Ouest</w:t>
      </w:r>
      <w:r>
        <w:rPr>
          <w:color w:val="231F20"/>
          <w:spacing w:val="-5"/>
          <w:sz w:val="20"/>
          <w:vertAlign w:val="baseline"/>
        </w:rPr>
        <w:t> </w:t>
      </w:r>
      <w:r>
        <w:rPr>
          <w:color w:val="231F20"/>
          <w:sz w:val="20"/>
          <w:vertAlign w:val="baseline"/>
        </w:rPr>
        <w:t>..</w:t>
      </w:r>
    </w:p>
    <w:p>
      <w:pPr>
        <w:spacing w:line="229" w:lineRule="exact" w:before="0"/>
        <w:ind w:left="111" w:right="0" w:firstLine="0"/>
        <w:jc w:val="both"/>
        <w:rPr>
          <w:sz w:val="20"/>
        </w:rPr>
      </w:pPr>
      <w:r>
        <w:rPr>
          <w:color w:val="76787A"/>
          <w:spacing w:val="-4"/>
          <w:sz w:val="20"/>
          <w:vertAlign w:val="superscript"/>
        </w:rPr>
        <w:t>133</w:t>
      </w:r>
      <w:r>
        <w:rPr>
          <w:color w:val="76787A"/>
          <w:spacing w:val="3"/>
          <w:sz w:val="20"/>
          <w:vertAlign w:val="baseline"/>
        </w:rPr>
        <w:t> </w:t>
      </w:r>
      <w:r>
        <w:rPr>
          <w:color w:val="231F20"/>
          <w:spacing w:val="-4"/>
          <w:sz w:val="20"/>
          <w:vertAlign w:val="baseline"/>
        </w:rPr>
        <w:t>Fonds</w:t>
      </w:r>
      <w:r>
        <w:rPr>
          <w:color w:val="231F20"/>
          <w:spacing w:val="-1"/>
          <w:sz w:val="20"/>
          <w:vertAlign w:val="baseline"/>
        </w:rPr>
        <w:t> </w:t>
      </w:r>
      <w:r>
        <w:rPr>
          <w:color w:val="231F20"/>
          <w:spacing w:val="-4"/>
          <w:sz w:val="20"/>
          <w:vertAlign w:val="baseline"/>
        </w:rPr>
        <w:t>Régionaux</w:t>
      </w:r>
      <w:r>
        <w:rPr>
          <w:color w:val="231F20"/>
          <w:sz w:val="20"/>
          <w:vertAlign w:val="baseline"/>
        </w:rPr>
        <w:t> </w:t>
      </w:r>
      <w:r>
        <w:rPr>
          <w:color w:val="231F20"/>
          <w:spacing w:val="-4"/>
          <w:sz w:val="20"/>
          <w:vertAlign w:val="baseline"/>
        </w:rPr>
        <w:t>d’Aménagement</w:t>
      </w:r>
      <w:r>
        <w:rPr>
          <w:color w:val="231F20"/>
          <w:spacing w:val="-2"/>
          <w:sz w:val="20"/>
          <w:vertAlign w:val="baseline"/>
        </w:rPr>
        <w:t> </w:t>
      </w:r>
      <w:r>
        <w:rPr>
          <w:color w:val="231F20"/>
          <w:spacing w:val="-4"/>
          <w:sz w:val="20"/>
          <w:vertAlign w:val="baseline"/>
        </w:rPr>
        <w:t>Ruraux.</w:t>
      </w:r>
    </w:p>
    <w:p>
      <w:pPr>
        <w:spacing w:before="0"/>
        <w:ind w:left="111" w:right="0" w:firstLine="0"/>
        <w:jc w:val="both"/>
        <w:rPr>
          <w:sz w:val="20"/>
        </w:rPr>
      </w:pPr>
      <w:r>
        <w:rPr>
          <w:color w:val="76787A"/>
          <w:spacing w:val="-4"/>
          <w:sz w:val="20"/>
          <w:vertAlign w:val="superscript"/>
        </w:rPr>
        <w:t>134</w:t>
      </w:r>
      <w:r>
        <w:rPr>
          <w:color w:val="76787A"/>
          <w:spacing w:val="3"/>
          <w:sz w:val="20"/>
          <w:vertAlign w:val="baseline"/>
        </w:rPr>
        <w:t> </w:t>
      </w:r>
      <w:r>
        <w:rPr>
          <w:color w:val="231F20"/>
          <w:spacing w:val="-4"/>
          <w:sz w:val="20"/>
          <w:vertAlign w:val="baseline"/>
        </w:rPr>
        <w:t>compagnie</w:t>
      </w:r>
      <w:r>
        <w:rPr>
          <w:color w:val="231F20"/>
          <w:spacing w:val="-2"/>
          <w:sz w:val="20"/>
          <w:vertAlign w:val="baseline"/>
        </w:rPr>
        <w:t> </w:t>
      </w:r>
      <w:r>
        <w:rPr>
          <w:color w:val="231F20"/>
          <w:spacing w:val="-4"/>
          <w:sz w:val="20"/>
          <w:vertAlign w:val="baseline"/>
        </w:rPr>
        <w:t>ivoirienne</w:t>
      </w:r>
      <w:r>
        <w:rPr>
          <w:color w:val="231F20"/>
          <w:spacing w:val="-2"/>
          <w:sz w:val="20"/>
          <w:vertAlign w:val="baseline"/>
        </w:rPr>
        <w:t> </w:t>
      </w:r>
      <w:r>
        <w:rPr>
          <w:color w:val="231F20"/>
          <w:spacing w:val="-4"/>
          <w:sz w:val="20"/>
          <w:vertAlign w:val="baseline"/>
        </w:rPr>
        <w:t>pour</w:t>
      </w:r>
      <w:r>
        <w:rPr>
          <w:color w:val="231F20"/>
          <w:spacing w:val="1"/>
          <w:sz w:val="20"/>
          <w:vertAlign w:val="baseline"/>
        </w:rPr>
        <w:t> </w:t>
      </w:r>
      <w:r>
        <w:rPr>
          <w:color w:val="231F20"/>
          <w:spacing w:val="-4"/>
          <w:sz w:val="20"/>
          <w:vertAlign w:val="baseline"/>
        </w:rPr>
        <w:t>le</w:t>
      </w:r>
      <w:r>
        <w:rPr>
          <w:color w:val="231F20"/>
          <w:spacing w:val="-3"/>
          <w:sz w:val="20"/>
          <w:vertAlign w:val="baseline"/>
        </w:rPr>
        <w:t> </w:t>
      </w:r>
      <w:r>
        <w:rPr>
          <w:color w:val="231F20"/>
          <w:spacing w:val="-4"/>
          <w:sz w:val="20"/>
          <w:vertAlign w:val="baseline"/>
        </w:rPr>
        <w:t>developpement</w:t>
      </w:r>
      <w:r>
        <w:rPr>
          <w:color w:val="231F20"/>
          <w:spacing w:val="-3"/>
          <w:sz w:val="20"/>
          <w:vertAlign w:val="baseline"/>
        </w:rPr>
        <w:t> </w:t>
      </w:r>
      <w:r>
        <w:rPr>
          <w:color w:val="231F20"/>
          <w:spacing w:val="-4"/>
          <w:sz w:val="20"/>
          <w:vertAlign w:val="baseline"/>
        </w:rPr>
        <w:t>du</w:t>
      </w:r>
      <w:r>
        <w:rPr>
          <w:color w:val="231F20"/>
          <w:spacing w:val="1"/>
          <w:sz w:val="20"/>
          <w:vertAlign w:val="baseline"/>
        </w:rPr>
        <w:t> </w:t>
      </w:r>
      <w:r>
        <w:rPr>
          <w:color w:val="231F20"/>
          <w:spacing w:val="-4"/>
          <w:sz w:val="20"/>
          <w:vertAlign w:val="baseline"/>
        </w:rPr>
        <w:t>textile.</w:t>
      </w:r>
    </w:p>
    <w:p>
      <w:pPr>
        <w:spacing w:before="1"/>
        <w:ind w:left="111" w:right="0" w:firstLine="0"/>
        <w:jc w:val="both"/>
        <w:rPr>
          <w:sz w:val="20"/>
        </w:rPr>
      </w:pPr>
      <w:r>
        <w:rPr>
          <w:color w:val="76787A"/>
          <w:spacing w:val="-4"/>
          <w:sz w:val="20"/>
          <w:vertAlign w:val="superscript"/>
        </w:rPr>
        <w:t>135</w:t>
      </w:r>
      <w:r>
        <w:rPr>
          <w:color w:val="76787A"/>
          <w:spacing w:val="4"/>
          <w:sz w:val="20"/>
          <w:vertAlign w:val="baseline"/>
        </w:rPr>
        <w:t> </w:t>
      </w:r>
      <w:r>
        <w:rPr>
          <w:color w:val="231F20"/>
          <w:spacing w:val="-4"/>
          <w:sz w:val="20"/>
          <w:vertAlign w:val="baseline"/>
        </w:rPr>
        <w:t>Société</w:t>
      </w:r>
      <w:r>
        <w:rPr>
          <w:color w:val="231F20"/>
          <w:spacing w:val="-2"/>
          <w:sz w:val="20"/>
          <w:vertAlign w:val="baseline"/>
        </w:rPr>
        <w:t> </w:t>
      </w:r>
      <w:r>
        <w:rPr>
          <w:color w:val="231F20"/>
          <w:spacing w:val="-4"/>
          <w:sz w:val="20"/>
          <w:vertAlign w:val="baseline"/>
        </w:rPr>
        <w:t>d’État</w:t>
      </w:r>
      <w:r>
        <w:rPr>
          <w:color w:val="231F20"/>
          <w:spacing w:val="-3"/>
          <w:sz w:val="20"/>
          <w:vertAlign w:val="baseline"/>
        </w:rPr>
        <w:t> </w:t>
      </w:r>
      <w:r>
        <w:rPr>
          <w:color w:val="231F20"/>
          <w:spacing w:val="-4"/>
          <w:sz w:val="20"/>
          <w:vertAlign w:val="baseline"/>
        </w:rPr>
        <w:t>pour</w:t>
      </w:r>
      <w:r>
        <w:rPr>
          <w:color w:val="231F20"/>
          <w:spacing w:val="2"/>
          <w:sz w:val="20"/>
          <w:vertAlign w:val="baseline"/>
        </w:rPr>
        <w:t> </w:t>
      </w:r>
      <w:r>
        <w:rPr>
          <w:color w:val="231F20"/>
          <w:spacing w:val="-4"/>
          <w:sz w:val="20"/>
          <w:vertAlign w:val="baseline"/>
        </w:rPr>
        <w:t>le</w:t>
      </w:r>
      <w:r>
        <w:rPr>
          <w:color w:val="231F20"/>
          <w:spacing w:val="-2"/>
          <w:sz w:val="20"/>
          <w:vertAlign w:val="baseline"/>
        </w:rPr>
        <w:t> </w:t>
      </w:r>
      <w:r>
        <w:rPr>
          <w:color w:val="231F20"/>
          <w:spacing w:val="-4"/>
          <w:sz w:val="20"/>
          <w:vertAlign w:val="baseline"/>
        </w:rPr>
        <w:t>développement</w:t>
      </w:r>
      <w:r>
        <w:rPr>
          <w:color w:val="231F20"/>
          <w:spacing w:val="-1"/>
          <w:sz w:val="20"/>
          <w:vertAlign w:val="baseline"/>
        </w:rPr>
        <w:t> </w:t>
      </w:r>
      <w:r>
        <w:rPr>
          <w:color w:val="231F20"/>
          <w:spacing w:val="-4"/>
          <w:sz w:val="20"/>
          <w:vertAlign w:val="baseline"/>
        </w:rPr>
        <w:t>de</w:t>
      </w:r>
      <w:r>
        <w:rPr>
          <w:color w:val="231F20"/>
          <w:spacing w:val="-2"/>
          <w:sz w:val="20"/>
          <w:vertAlign w:val="baseline"/>
        </w:rPr>
        <w:t> </w:t>
      </w:r>
      <w:r>
        <w:rPr>
          <w:color w:val="231F20"/>
          <w:spacing w:val="-4"/>
          <w:sz w:val="20"/>
          <w:vertAlign w:val="baseline"/>
        </w:rPr>
        <w:t>la</w:t>
      </w:r>
      <w:r>
        <w:rPr>
          <w:color w:val="231F20"/>
          <w:spacing w:val="-1"/>
          <w:sz w:val="20"/>
          <w:vertAlign w:val="baseline"/>
        </w:rPr>
        <w:t> </w:t>
      </w:r>
      <w:r>
        <w:rPr>
          <w:color w:val="231F20"/>
          <w:spacing w:val="-4"/>
          <w:sz w:val="20"/>
          <w:vertAlign w:val="baseline"/>
        </w:rPr>
        <w:t>riziculture</w:t>
      </w:r>
      <w:r>
        <w:rPr>
          <w:color w:val="231F20"/>
          <w:spacing w:val="-2"/>
          <w:sz w:val="20"/>
          <w:vertAlign w:val="baseline"/>
        </w:rPr>
        <w:t> </w:t>
      </w:r>
      <w:r>
        <w:rPr>
          <w:color w:val="231F20"/>
          <w:spacing w:val="-4"/>
          <w:sz w:val="20"/>
          <w:vertAlign w:val="baseline"/>
        </w:rPr>
        <w:t>en</w:t>
      </w:r>
      <w:r>
        <w:rPr>
          <w:color w:val="231F20"/>
          <w:sz w:val="20"/>
          <w:vertAlign w:val="baseline"/>
        </w:rPr>
        <w:t> </w:t>
      </w:r>
      <w:r>
        <w:rPr>
          <w:color w:val="231F20"/>
          <w:spacing w:val="-4"/>
          <w:sz w:val="20"/>
          <w:vertAlign w:val="baseline"/>
        </w:rPr>
        <w:t>Côte-d'Ivoire.</w:t>
      </w:r>
    </w:p>
    <w:p>
      <w:pPr>
        <w:spacing w:line="229" w:lineRule="exact" w:before="1"/>
        <w:ind w:left="111" w:right="0" w:firstLine="0"/>
        <w:jc w:val="both"/>
        <w:rPr>
          <w:sz w:val="20"/>
        </w:rPr>
      </w:pPr>
      <w:r>
        <w:rPr>
          <w:color w:val="76787A"/>
          <w:spacing w:val="-4"/>
          <w:sz w:val="20"/>
          <w:vertAlign w:val="superscript"/>
        </w:rPr>
        <w:t>136</w:t>
      </w:r>
      <w:r>
        <w:rPr>
          <w:color w:val="76787A"/>
          <w:spacing w:val="4"/>
          <w:sz w:val="20"/>
          <w:vertAlign w:val="baseline"/>
        </w:rPr>
        <w:t> </w:t>
      </w:r>
      <w:r>
        <w:rPr>
          <w:color w:val="231F20"/>
          <w:spacing w:val="-4"/>
          <w:sz w:val="20"/>
          <w:vertAlign w:val="baseline"/>
        </w:rPr>
        <w:t>Société</w:t>
      </w:r>
      <w:r>
        <w:rPr>
          <w:color w:val="231F20"/>
          <w:spacing w:val="-1"/>
          <w:sz w:val="20"/>
          <w:vertAlign w:val="baseline"/>
        </w:rPr>
        <w:t> </w:t>
      </w:r>
      <w:r>
        <w:rPr>
          <w:color w:val="231F20"/>
          <w:spacing w:val="-4"/>
          <w:sz w:val="20"/>
          <w:vertAlign w:val="baseline"/>
        </w:rPr>
        <w:t>d’État</w:t>
      </w:r>
      <w:r>
        <w:rPr>
          <w:color w:val="231F20"/>
          <w:spacing w:val="-2"/>
          <w:sz w:val="20"/>
          <w:vertAlign w:val="baseline"/>
        </w:rPr>
        <w:t> </w:t>
      </w:r>
      <w:r>
        <w:rPr>
          <w:color w:val="231F20"/>
          <w:spacing w:val="-4"/>
          <w:sz w:val="20"/>
          <w:vertAlign w:val="baseline"/>
        </w:rPr>
        <w:t>pour</w:t>
      </w:r>
      <w:r>
        <w:rPr>
          <w:color w:val="231F20"/>
          <w:spacing w:val="1"/>
          <w:sz w:val="20"/>
          <w:vertAlign w:val="baseline"/>
        </w:rPr>
        <w:t> </w:t>
      </w:r>
      <w:r>
        <w:rPr>
          <w:color w:val="231F20"/>
          <w:spacing w:val="-4"/>
          <w:sz w:val="20"/>
          <w:vertAlign w:val="baseline"/>
        </w:rPr>
        <w:t>le</w:t>
      </w:r>
      <w:r>
        <w:rPr>
          <w:color w:val="231F20"/>
          <w:spacing w:val="-1"/>
          <w:sz w:val="20"/>
          <w:vertAlign w:val="baseline"/>
        </w:rPr>
        <w:t> </w:t>
      </w:r>
      <w:r>
        <w:rPr>
          <w:color w:val="231F20"/>
          <w:spacing w:val="-4"/>
          <w:sz w:val="20"/>
          <w:vertAlign w:val="baseline"/>
        </w:rPr>
        <w:t>développement</w:t>
      </w:r>
      <w:r>
        <w:rPr>
          <w:color w:val="231F20"/>
          <w:spacing w:val="-1"/>
          <w:sz w:val="20"/>
          <w:vertAlign w:val="baseline"/>
        </w:rPr>
        <w:t> </w:t>
      </w:r>
      <w:r>
        <w:rPr>
          <w:color w:val="231F20"/>
          <w:spacing w:val="-4"/>
          <w:sz w:val="20"/>
          <w:vertAlign w:val="baseline"/>
        </w:rPr>
        <w:t>des</w:t>
      </w:r>
      <w:r>
        <w:rPr>
          <w:color w:val="231F20"/>
          <w:spacing w:val="-3"/>
          <w:sz w:val="20"/>
          <w:vertAlign w:val="baseline"/>
        </w:rPr>
        <w:t> </w:t>
      </w:r>
      <w:r>
        <w:rPr>
          <w:color w:val="231F20"/>
          <w:spacing w:val="-4"/>
          <w:sz w:val="20"/>
          <w:vertAlign w:val="baseline"/>
        </w:rPr>
        <w:t>fruits</w:t>
      </w:r>
      <w:r>
        <w:rPr>
          <w:color w:val="231F20"/>
          <w:spacing w:val="-2"/>
          <w:sz w:val="20"/>
          <w:vertAlign w:val="baseline"/>
        </w:rPr>
        <w:t> </w:t>
      </w:r>
      <w:r>
        <w:rPr>
          <w:color w:val="231F20"/>
          <w:spacing w:val="-4"/>
          <w:sz w:val="20"/>
          <w:vertAlign w:val="baseline"/>
        </w:rPr>
        <w:t>et</w:t>
      </w:r>
      <w:r>
        <w:rPr>
          <w:color w:val="231F20"/>
          <w:spacing w:val="-1"/>
          <w:sz w:val="20"/>
          <w:vertAlign w:val="baseline"/>
        </w:rPr>
        <w:t> </w:t>
      </w:r>
      <w:r>
        <w:rPr>
          <w:color w:val="231F20"/>
          <w:spacing w:val="-4"/>
          <w:sz w:val="20"/>
          <w:vertAlign w:val="baseline"/>
        </w:rPr>
        <w:t>légumes.</w:t>
      </w:r>
    </w:p>
    <w:p>
      <w:pPr>
        <w:spacing w:line="229" w:lineRule="exact" w:before="0"/>
        <w:ind w:left="111" w:right="0" w:firstLine="0"/>
        <w:jc w:val="both"/>
        <w:rPr>
          <w:sz w:val="20"/>
        </w:rPr>
      </w:pPr>
      <w:r>
        <w:rPr>
          <w:color w:val="76787A"/>
          <w:spacing w:val="-4"/>
          <w:sz w:val="20"/>
          <w:vertAlign w:val="superscript"/>
        </w:rPr>
        <w:t>137</w:t>
      </w:r>
      <w:r>
        <w:rPr>
          <w:color w:val="76787A"/>
          <w:spacing w:val="3"/>
          <w:sz w:val="20"/>
          <w:vertAlign w:val="baseline"/>
        </w:rPr>
        <w:t> </w:t>
      </w:r>
      <w:r>
        <w:rPr>
          <w:color w:val="231F20"/>
          <w:spacing w:val="-4"/>
          <w:sz w:val="20"/>
          <w:vertAlign w:val="baseline"/>
        </w:rPr>
        <w:t>Société</w:t>
      </w:r>
      <w:r>
        <w:rPr>
          <w:color w:val="231F20"/>
          <w:spacing w:val="-1"/>
          <w:sz w:val="20"/>
          <w:vertAlign w:val="baseline"/>
        </w:rPr>
        <w:t> </w:t>
      </w:r>
      <w:r>
        <w:rPr>
          <w:color w:val="231F20"/>
          <w:spacing w:val="-4"/>
          <w:sz w:val="20"/>
          <w:vertAlign w:val="baseline"/>
        </w:rPr>
        <w:t>d’État</w:t>
      </w:r>
      <w:r>
        <w:rPr>
          <w:color w:val="231F20"/>
          <w:spacing w:val="-2"/>
          <w:sz w:val="20"/>
          <w:vertAlign w:val="baseline"/>
        </w:rPr>
        <w:t> </w:t>
      </w:r>
      <w:r>
        <w:rPr>
          <w:color w:val="231F20"/>
          <w:spacing w:val="-4"/>
          <w:sz w:val="20"/>
          <w:vertAlign w:val="baseline"/>
        </w:rPr>
        <w:t>pour</w:t>
      </w:r>
      <w:r>
        <w:rPr>
          <w:color w:val="231F20"/>
          <w:spacing w:val="2"/>
          <w:sz w:val="20"/>
          <w:vertAlign w:val="baseline"/>
        </w:rPr>
        <w:t> </w:t>
      </w:r>
      <w:r>
        <w:rPr>
          <w:color w:val="231F20"/>
          <w:spacing w:val="-4"/>
          <w:sz w:val="20"/>
          <w:vertAlign w:val="baseline"/>
        </w:rPr>
        <w:t>le</w:t>
      </w:r>
      <w:r>
        <w:rPr>
          <w:color w:val="231F20"/>
          <w:spacing w:val="-2"/>
          <w:sz w:val="20"/>
          <w:vertAlign w:val="baseline"/>
        </w:rPr>
        <w:t> </w:t>
      </w:r>
      <w:r>
        <w:rPr>
          <w:color w:val="231F20"/>
          <w:spacing w:val="-4"/>
          <w:sz w:val="20"/>
          <w:vertAlign w:val="baseline"/>
        </w:rPr>
        <w:t>développement</w:t>
      </w:r>
      <w:r>
        <w:rPr>
          <w:color w:val="231F20"/>
          <w:spacing w:val="-2"/>
          <w:sz w:val="20"/>
          <w:vertAlign w:val="baseline"/>
        </w:rPr>
        <w:t> </w:t>
      </w:r>
      <w:r>
        <w:rPr>
          <w:color w:val="231F20"/>
          <w:spacing w:val="-4"/>
          <w:sz w:val="20"/>
          <w:vertAlign w:val="baseline"/>
        </w:rPr>
        <w:t>des</w:t>
      </w:r>
      <w:r>
        <w:rPr>
          <w:color w:val="231F20"/>
          <w:spacing w:val="-3"/>
          <w:sz w:val="20"/>
          <w:vertAlign w:val="baseline"/>
        </w:rPr>
        <w:t> </w:t>
      </w:r>
      <w:r>
        <w:rPr>
          <w:color w:val="231F20"/>
          <w:spacing w:val="-4"/>
          <w:sz w:val="20"/>
          <w:vertAlign w:val="baseline"/>
        </w:rPr>
        <w:t>plantations</w:t>
      </w:r>
      <w:r>
        <w:rPr>
          <w:color w:val="231F20"/>
          <w:spacing w:val="-3"/>
          <w:sz w:val="20"/>
          <w:vertAlign w:val="baseline"/>
        </w:rPr>
        <w:t> </w:t>
      </w:r>
      <w:r>
        <w:rPr>
          <w:color w:val="231F20"/>
          <w:spacing w:val="-4"/>
          <w:sz w:val="20"/>
          <w:vertAlign w:val="baseline"/>
        </w:rPr>
        <w:t>de</w:t>
      </w:r>
      <w:r>
        <w:rPr>
          <w:color w:val="231F20"/>
          <w:spacing w:val="-1"/>
          <w:sz w:val="20"/>
          <w:vertAlign w:val="baseline"/>
        </w:rPr>
        <w:t> </w:t>
      </w:r>
      <w:r>
        <w:rPr>
          <w:color w:val="231F20"/>
          <w:spacing w:val="-4"/>
          <w:sz w:val="20"/>
          <w:vertAlign w:val="baseline"/>
        </w:rPr>
        <w:t>canne</w:t>
      </w:r>
      <w:r>
        <w:rPr>
          <w:color w:val="231F20"/>
          <w:spacing w:val="1"/>
          <w:sz w:val="20"/>
          <w:vertAlign w:val="baseline"/>
        </w:rPr>
        <w:t> </w:t>
      </w:r>
      <w:r>
        <w:rPr>
          <w:color w:val="231F20"/>
          <w:spacing w:val="-4"/>
          <w:sz w:val="20"/>
          <w:vertAlign w:val="baseline"/>
        </w:rPr>
        <w:t>à</w:t>
      </w:r>
      <w:r>
        <w:rPr>
          <w:color w:val="231F20"/>
          <w:sz w:val="20"/>
          <w:vertAlign w:val="baseline"/>
        </w:rPr>
        <w:t> </w:t>
      </w:r>
      <w:r>
        <w:rPr>
          <w:color w:val="231F20"/>
          <w:spacing w:val="-4"/>
          <w:sz w:val="20"/>
          <w:vertAlign w:val="baseline"/>
        </w:rPr>
        <w:t>sucre.</w:t>
      </w:r>
    </w:p>
    <w:p>
      <w:pPr>
        <w:spacing w:before="0"/>
        <w:ind w:left="111" w:right="102" w:firstLine="0"/>
        <w:jc w:val="both"/>
        <w:rPr>
          <w:sz w:val="20"/>
        </w:rPr>
      </w:pPr>
      <w:r>
        <w:rPr>
          <w:color w:val="76787A"/>
          <w:sz w:val="20"/>
          <w:vertAlign w:val="superscript"/>
        </w:rPr>
        <w:t>138</w:t>
      </w:r>
      <w:r>
        <w:rPr>
          <w:color w:val="76787A"/>
          <w:spacing w:val="-6"/>
          <w:sz w:val="20"/>
          <w:vertAlign w:val="baseline"/>
        </w:rPr>
        <w:t> </w:t>
      </w:r>
      <w:r>
        <w:rPr>
          <w:color w:val="231F20"/>
          <w:sz w:val="20"/>
          <w:vertAlign w:val="baseline"/>
        </w:rPr>
        <w:t>système initiatique pratiqué par la majorité des populations du Nord de la</w:t>
      </w:r>
      <w:r>
        <w:rPr>
          <w:color w:val="231F20"/>
          <w:spacing w:val="-13"/>
          <w:sz w:val="20"/>
          <w:vertAlign w:val="baseline"/>
        </w:rPr>
        <w:t> </w:t>
      </w:r>
      <w:r>
        <w:rPr>
          <w:color w:val="231F20"/>
          <w:sz w:val="20"/>
          <w:vertAlign w:val="baseline"/>
        </w:rPr>
        <w:t>Côte d'Ivoire, en Guinée, dans le Sud du Mali, également en Sierra Leone</w:t>
      </w:r>
      <w:r>
        <w:rPr>
          <w:color w:val="231F20"/>
          <w:spacing w:val="-10"/>
          <w:sz w:val="20"/>
          <w:vertAlign w:val="baseline"/>
        </w:rPr>
        <w:t> </w:t>
      </w:r>
      <w:r>
        <w:rPr>
          <w:color w:val="231F20"/>
          <w:sz w:val="20"/>
          <w:vertAlign w:val="baseline"/>
        </w:rPr>
        <w:t>; Chez les </w:t>
      </w:r>
      <w:r>
        <w:rPr>
          <w:color w:val="231F20"/>
          <w:spacing w:val="-2"/>
          <w:sz w:val="20"/>
          <w:vertAlign w:val="baseline"/>
        </w:rPr>
        <w:t>Sénoufos</w:t>
      </w:r>
      <w:r>
        <w:rPr>
          <w:color w:val="231F20"/>
          <w:spacing w:val="-11"/>
          <w:sz w:val="20"/>
          <w:vertAlign w:val="baseline"/>
        </w:rPr>
        <w:t> </w:t>
      </w:r>
      <w:r>
        <w:rPr>
          <w:color w:val="231F20"/>
          <w:spacing w:val="-2"/>
          <w:sz w:val="20"/>
          <w:vertAlign w:val="baseline"/>
        </w:rPr>
        <w:t>du</w:t>
      </w:r>
      <w:r>
        <w:rPr>
          <w:color w:val="231F20"/>
          <w:spacing w:val="-4"/>
          <w:sz w:val="20"/>
          <w:vertAlign w:val="baseline"/>
        </w:rPr>
        <w:t> </w:t>
      </w:r>
      <w:r>
        <w:rPr>
          <w:color w:val="231F20"/>
          <w:spacing w:val="-2"/>
          <w:sz w:val="20"/>
          <w:vertAlign w:val="baseline"/>
        </w:rPr>
        <w:t>Nord</w:t>
      </w:r>
      <w:r>
        <w:rPr>
          <w:color w:val="231F20"/>
          <w:spacing w:val="-4"/>
          <w:sz w:val="20"/>
          <w:vertAlign w:val="baseline"/>
        </w:rPr>
        <w:t> </w:t>
      </w:r>
      <w:r>
        <w:rPr>
          <w:color w:val="231F20"/>
          <w:spacing w:val="-2"/>
          <w:sz w:val="20"/>
          <w:vertAlign w:val="baseline"/>
        </w:rPr>
        <w:t>de</w:t>
      </w:r>
      <w:r>
        <w:rPr>
          <w:color w:val="231F20"/>
          <w:spacing w:val="-5"/>
          <w:sz w:val="20"/>
          <w:vertAlign w:val="baseline"/>
        </w:rPr>
        <w:t> </w:t>
      </w:r>
      <w:r>
        <w:rPr>
          <w:color w:val="231F20"/>
          <w:spacing w:val="-2"/>
          <w:sz w:val="20"/>
          <w:vertAlign w:val="baseline"/>
        </w:rPr>
        <w:t>la</w:t>
      </w:r>
      <w:r>
        <w:rPr>
          <w:color w:val="231F20"/>
          <w:spacing w:val="-6"/>
          <w:sz w:val="20"/>
          <w:vertAlign w:val="baseline"/>
        </w:rPr>
        <w:t> </w:t>
      </w:r>
      <w:r>
        <w:rPr>
          <w:color w:val="231F20"/>
          <w:spacing w:val="-2"/>
          <w:sz w:val="20"/>
          <w:vertAlign w:val="baseline"/>
        </w:rPr>
        <w:t>Côte</w:t>
      </w:r>
      <w:r>
        <w:rPr>
          <w:color w:val="231F20"/>
          <w:spacing w:val="-5"/>
          <w:sz w:val="20"/>
          <w:vertAlign w:val="baseline"/>
        </w:rPr>
        <w:t> </w:t>
      </w:r>
      <w:r>
        <w:rPr>
          <w:color w:val="231F20"/>
          <w:spacing w:val="-2"/>
          <w:sz w:val="20"/>
          <w:vertAlign w:val="baseline"/>
        </w:rPr>
        <w:t>d'Ivoire,</w:t>
      </w:r>
      <w:r>
        <w:rPr>
          <w:color w:val="231F20"/>
          <w:spacing w:val="-3"/>
          <w:sz w:val="20"/>
          <w:vertAlign w:val="baseline"/>
        </w:rPr>
        <w:t> </w:t>
      </w:r>
      <w:r>
        <w:rPr>
          <w:color w:val="231F20"/>
          <w:spacing w:val="-2"/>
          <w:sz w:val="20"/>
          <w:vertAlign w:val="baseline"/>
        </w:rPr>
        <w:t>l'initiation</w:t>
      </w:r>
      <w:r>
        <w:rPr>
          <w:color w:val="231F20"/>
          <w:spacing w:val="-5"/>
          <w:sz w:val="20"/>
          <w:vertAlign w:val="baseline"/>
        </w:rPr>
        <w:t> </w:t>
      </w:r>
      <w:r>
        <w:rPr>
          <w:color w:val="231F20"/>
          <w:spacing w:val="-2"/>
          <w:sz w:val="20"/>
          <w:vertAlign w:val="baseline"/>
        </w:rPr>
        <w:t>au</w:t>
      </w:r>
      <w:r>
        <w:rPr>
          <w:color w:val="231F20"/>
          <w:spacing w:val="-8"/>
          <w:sz w:val="20"/>
          <w:vertAlign w:val="baseline"/>
        </w:rPr>
        <w:t> </w:t>
      </w:r>
      <w:r>
        <w:rPr>
          <w:color w:val="231F20"/>
          <w:spacing w:val="-2"/>
          <w:sz w:val="20"/>
          <w:vertAlign w:val="baseline"/>
        </w:rPr>
        <w:t>Poro</w:t>
      </w:r>
      <w:r>
        <w:rPr>
          <w:color w:val="231F20"/>
          <w:spacing w:val="-9"/>
          <w:sz w:val="20"/>
          <w:vertAlign w:val="baseline"/>
        </w:rPr>
        <w:t> </w:t>
      </w:r>
      <w:r>
        <w:rPr>
          <w:color w:val="231F20"/>
          <w:spacing w:val="-2"/>
          <w:sz w:val="20"/>
          <w:vertAlign w:val="baseline"/>
        </w:rPr>
        <w:t>se</w:t>
      </w:r>
      <w:r>
        <w:rPr>
          <w:color w:val="231F20"/>
          <w:spacing w:val="-4"/>
          <w:sz w:val="20"/>
          <w:vertAlign w:val="baseline"/>
        </w:rPr>
        <w:t> </w:t>
      </w:r>
      <w:r>
        <w:rPr>
          <w:color w:val="231F20"/>
          <w:spacing w:val="-2"/>
          <w:sz w:val="20"/>
          <w:vertAlign w:val="baseline"/>
        </w:rPr>
        <w:t>déroule</w:t>
      </w:r>
      <w:r>
        <w:rPr>
          <w:color w:val="231F20"/>
          <w:spacing w:val="-5"/>
          <w:sz w:val="20"/>
          <w:vertAlign w:val="baseline"/>
        </w:rPr>
        <w:t> </w:t>
      </w:r>
      <w:r>
        <w:rPr>
          <w:color w:val="231F20"/>
          <w:spacing w:val="-2"/>
          <w:sz w:val="20"/>
          <w:vertAlign w:val="baseline"/>
        </w:rPr>
        <w:t>en</w:t>
      </w:r>
      <w:r>
        <w:rPr>
          <w:color w:val="231F20"/>
          <w:spacing w:val="-4"/>
          <w:sz w:val="20"/>
          <w:vertAlign w:val="baseline"/>
        </w:rPr>
        <w:t> </w:t>
      </w:r>
      <w:r>
        <w:rPr>
          <w:color w:val="231F20"/>
          <w:spacing w:val="-2"/>
          <w:sz w:val="20"/>
          <w:vertAlign w:val="baseline"/>
        </w:rPr>
        <w:t>trois</w:t>
      </w:r>
      <w:r>
        <w:rPr>
          <w:color w:val="231F20"/>
          <w:spacing w:val="-4"/>
          <w:sz w:val="20"/>
          <w:vertAlign w:val="baseline"/>
        </w:rPr>
        <w:t> </w:t>
      </w:r>
      <w:r>
        <w:rPr>
          <w:color w:val="231F20"/>
          <w:spacing w:val="-2"/>
          <w:sz w:val="20"/>
          <w:vertAlign w:val="baseline"/>
        </w:rPr>
        <w:t>étapes</w:t>
      </w:r>
      <w:r>
        <w:rPr>
          <w:color w:val="231F20"/>
          <w:spacing w:val="-7"/>
          <w:sz w:val="20"/>
          <w:vertAlign w:val="baseline"/>
        </w:rPr>
        <w:t> </w:t>
      </w:r>
      <w:r>
        <w:rPr>
          <w:color w:val="231F20"/>
          <w:spacing w:val="-2"/>
          <w:sz w:val="20"/>
          <w:vertAlign w:val="baseline"/>
        </w:rPr>
        <w:t>de</w:t>
      </w:r>
      <w:r>
        <w:rPr>
          <w:color w:val="231F20"/>
          <w:spacing w:val="-5"/>
          <w:sz w:val="20"/>
          <w:vertAlign w:val="baseline"/>
        </w:rPr>
        <w:t> </w:t>
      </w:r>
      <w:r>
        <w:rPr>
          <w:color w:val="231F20"/>
          <w:spacing w:val="-2"/>
          <w:sz w:val="20"/>
          <w:vertAlign w:val="baseline"/>
        </w:rPr>
        <w:t>7 ans.</w:t>
      </w:r>
      <w:r>
        <w:rPr>
          <w:color w:val="231F20"/>
          <w:spacing w:val="-11"/>
          <w:sz w:val="20"/>
          <w:vertAlign w:val="baseline"/>
        </w:rPr>
        <w:t> </w:t>
      </w:r>
      <w:r>
        <w:rPr>
          <w:color w:val="231F20"/>
          <w:spacing w:val="-2"/>
          <w:sz w:val="20"/>
          <w:vertAlign w:val="baseline"/>
        </w:rPr>
        <w:t>Tous</w:t>
      </w:r>
      <w:r>
        <w:rPr>
          <w:color w:val="231F20"/>
          <w:spacing w:val="-10"/>
          <w:sz w:val="20"/>
          <w:vertAlign w:val="baseline"/>
        </w:rPr>
        <w:t> </w:t>
      </w:r>
      <w:r>
        <w:rPr>
          <w:color w:val="231F20"/>
          <w:spacing w:val="-2"/>
          <w:sz w:val="20"/>
          <w:vertAlign w:val="baseline"/>
        </w:rPr>
        <w:t>les</w:t>
      </w:r>
      <w:r>
        <w:rPr>
          <w:color w:val="231F20"/>
          <w:spacing w:val="-11"/>
          <w:sz w:val="20"/>
          <w:vertAlign w:val="baseline"/>
        </w:rPr>
        <w:t> </w:t>
      </w:r>
      <w:r>
        <w:rPr>
          <w:color w:val="231F20"/>
          <w:spacing w:val="-2"/>
          <w:sz w:val="20"/>
          <w:vertAlign w:val="baseline"/>
        </w:rPr>
        <w:t>jeunes</w:t>
      </w:r>
      <w:r>
        <w:rPr>
          <w:color w:val="231F20"/>
          <w:spacing w:val="-10"/>
          <w:sz w:val="20"/>
          <w:vertAlign w:val="baseline"/>
        </w:rPr>
        <w:t> </w:t>
      </w:r>
      <w:r>
        <w:rPr>
          <w:color w:val="231F20"/>
          <w:spacing w:val="-2"/>
          <w:sz w:val="20"/>
          <w:vertAlign w:val="baseline"/>
        </w:rPr>
        <w:t>garçons</w:t>
      </w:r>
      <w:r>
        <w:rPr>
          <w:color w:val="231F20"/>
          <w:spacing w:val="-11"/>
          <w:sz w:val="20"/>
          <w:vertAlign w:val="baseline"/>
        </w:rPr>
        <w:t> </w:t>
      </w:r>
      <w:r>
        <w:rPr>
          <w:color w:val="231F20"/>
          <w:spacing w:val="-2"/>
          <w:sz w:val="20"/>
          <w:vertAlign w:val="baseline"/>
        </w:rPr>
        <w:t>prennent</w:t>
      </w:r>
      <w:r>
        <w:rPr>
          <w:color w:val="231F20"/>
          <w:spacing w:val="-10"/>
          <w:sz w:val="20"/>
          <w:vertAlign w:val="baseline"/>
        </w:rPr>
        <w:t> </w:t>
      </w:r>
      <w:r>
        <w:rPr>
          <w:color w:val="231F20"/>
          <w:spacing w:val="-2"/>
          <w:sz w:val="20"/>
          <w:vertAlign w:val="baseline"/>
        </w:rPr>
        <w:t>part</w:t>
      </w:r>
      <w:r>
        <w:rPr>
          <w:color w:val="231F20"/>
          <w:spacing w:val="-11"/>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l'initiation</w:t>
      </w:r>
      <w:r>
        <w:rPr>
          <w:color w:val="231F20"/>
          <w:spacing w:val="-11"/>
          <w:sz w:val="20"/>
          <w:vertAlign w:val="baseline"/>
        </w:rPr>
        <w:t> </w:t>
      </w:r>
      <w:r>
        <w:rPr>
          <w:color w:val="231F20"/>
          <w:spacing w:val="-2"/>
          <w:sz w:val="20"/>
          <w:vertAlign w:val="baseline"/>
        </w:rPr>
        <w:t>dès</w:t>
      </w:r>
      <w:r>
        <w:rPr>
          <w:color w:val="231F20"/>
          <w:spacing w:val="-10"/>
          <w:sz w:val="20"/>
          <w:vertAlign w:val="baseline"/>
        </w:rPr>
        <w:t> </w:t>
      </w:r>
      <w:r>
        <w:rPr>
          <w:color w:val="231F20"/>
          <w:spacing w:val="-2"/>
          <w:sz w:val="20"/>
          <w:vertAlign w:val="baseline"/>
        </w:rPr>
        <w:t>l'âge</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7</w:t>
      </w:r>
      <w:r>
        <w:rPr>
          <w:color w:val="231F20"/>
          <w:spacing w:val="-10"/>
          <w:sz w:val="20"/>
          <w:vertAlign w:val="baseline"/>
        </w:rPr>
        <w:t> </w:t>
      </w:r>
      <w:r>
        <w:rPr>
          <w:color w:val="231F20"/>
          <w:spacing w:val="-2"/>
          <w:sz w:val="20"/>
          <w:vertAlign w:val="baseline"/>
        </w:rPr>
        <w:t>ans</w:t>
      </w:r>
      <w:r>
        <w:rPr>
          <w:color w:val="231F20"/>
          <w:spacing w:val="-9"/>
          <w:sz w:val="20"/>
          <w:vertAlign w:val="baseline"/>
        </w:rPr>
        <w:t> </w:t>
      </w:r>
      <w:r>
        <w:rPr>
          <w:color w:val="231F20"/>
          <w:spacing w:val="-2"/>
          <w:sz w:val="20"/>
          <w:vertAlign w:val="baseline"/>
        </w:rPr>
        <w:t>jusqu'à</w:t>
      </w:r>
      <w:r>
        <w:rPr>
          <w:color w:val="231F20"/>
          <w:spacing w:val="-7"/>
          <w:sz w:val="20"/>
          <w:vertAlign w:val="baseline"/>
        </w:rPr>
        <w:t> </w:t>
      </w:r>
      <w:r>
        <w:rPr>
          <w:color w:val="231F20"/>
          <w:spacing w:val="-2"/>
          <w:sz w:val="20"/>
          <w:vertAlign w:val="baseline"/>
        </w:rPr>
        <w:t>l'âge</w:t>
      </w:r>
      <w:r>
        <w:rPr>
          <w:color w:val="231F20"/>
          <w:spacing w:val="-11"/>
          <w:sz w:val="20"/>
          <w:vertAlign w:val="baseline"/>
        </w:rPr>
        <w:t> </w:t>
      </w:r>
      <w:r>
        <w:rPr>
          <w:color w:val="231F20"/>
          <w:spacing w:val="-2"/>
          <w:sz w:val="20"/>
          <w:vertAlign w:val="baseline"/>
        </w:rPr>
        <w:t>de </w:t>
      </w:r>
      <w:r>
        <w:rPr>
          <w:color w:val="231F20"/>
          <w:sz w:val="20"/>
          <w:vertAlign w:val="baseline"/>
        </w:rPr>
        <w:t>28</w:t>
      </w:r>
      <w:r>
        <w:rPr>
          <w:color w:val="231F20"/>
          <w:spacing w:val="-3"/>
          <w:sz w:val="20"/>
          <w:vertAlign w:val="baseline"/>
        </w:rPr>
        <w:t> </w:t>
      </w:r>
      <w:r>
        <w:rPr>
          <w:color w:val="231F20"/>
          <w:sz w:val="20"/>
          <w:vertAlign w:val="baseline"/>
        </w:rPr>
        <w:t>ans.</w:t>
      </w:r>
    </w:p>
    <w:p>
      <w:pPr>
        <w:spacing w:after="0"/>
        <w:jc w:val="both"/>
        <w:rPr>
          <w:sz w:val="20"/>
        </w:rPr>
        <w:sectPr>
          <w:pgSz w:w="8790" w:h="13610"/>
          <w:pgMar w:header="0" w:footer="802" w:top="1040" w:bottom="1000" w:left="880" w:right="880"/>
        </w:sectPr>
      </w:pPr>
    </w:p>
    <w:p>
      <w:pPr>
        <w:pStyle w:val="BodyText"/>
        <w:spacing w:before="66"/>
      </w:pPr>
      <w:r>
        <w:rPr>
          <w:color w:val="231F20"/>
          <w:spacing w:val="-4"/>
        </w:rPr>
        <w:t>Autour</w:t>
      </w:r>
      <w:r>
        <w:rPr>
          <w:color w:val="231F20"/>
          <w:spacing w:val="-9"/>
        </w:rPr>
        <w:t> </w:t>
      </w:r>
      <w:r>
        <w:rPr>
          <w:color w:val="231F20"/>
          <w:spacing w:val="-4"/>
        </w:rPr>
        <w:t>de</w:t>
      </w:r>
      <w:r>
        <w:rPr>
          <w:color w:val="231F20"/>
          <w:spacing w:val="-8"/>
        </w:rPr>
        <w:t> </w:t>
      </w:r>
      <w:r>
        <w:rPr>
          <w:color w:val="231F20"/>
          <w:spacing w:val="-4"/>
        </w:rPr>
        <w:t>ces</w:t>
      </w:r>
      <w:r>
        <w:rPr>
          <w:color w:val="231F20"/>
          <w:spacing w:val="-7"/>
        </w:rPr>
        <w:t> </w:t>
      </w:r>
      <w:r>
        <w:rPr>
          <w:color w:val="231F20"/>
          <w:spacing w:val="-4"/>
        </w:rPr>
        <w:t>complexes</w:t>
      </w:r>
      <w:r>
        <w:rPr>
          <w:color w:val="231F20"/>
          <w:spacing w:val="-9"/>
        </w:rPr>
        <w:t> </w:t>
      </w:r>
      <w:r>
        <w:rPr>
          <w:color w:val="231F20"/>
          <w:spacing w:val="-4"/>
        </w:rPr>
        <w:t>sucriers,</w:t>
      </w:r>
      <w:r>
        <w:rPr>
          <w:color w:val="231F20"/>
          <w:spacing w:val="-7"/>
        </w:rPr>
        <w:t> </w:t>
      </w:r>
      <w:r>
        <w:rPr>
          <w:color w:val="231F20"/>
          <w:spacing w:val="-4"/>
        </w:rPr>
        <w:t>de</w:t>
      </w:r>
      <w:r>
        <w:rPr>
          <w:color w:val="231F20"/>
          <w:spacing w:val="-8"/>
        </w:rPr>
        <w:t> </w:t>
      </w:r>
      <w:r>
        <w:rPr>
          <w:color w:val="231F20"/>
          <w:spacing w:val="-4"/>
        </w:rPr>
        <w:t>nombreuses</w:t>
      </w:r>
      <w:r>
        <w:rPr>
          <w:color w:val="231F20"/>
          <w:spacing w:val="-7"/>
        </w:rPr>
        <w:t> </w:t>
      </w:r>
      <w:r>
        <w:rPr>
          <w:color w:val="231F20"/>
          <w:spacing w:val="-4"/>
        </w:rPr>
        <w:t>plantations</w:t>
      </w:r>
      <w:r>
        <w:rPr>
          <w:color w:val="231F20"/>
          <w:spacing w:val="-6"/>
        </w:rPr>
        <w:t> </w:t>
      </w:r>
      <w:r>
        <w:rPr>
          <w:color w:val="231F20"/>
          <w:spacing w:val="-4"/>
        </w:rPr>
        <w:t>villageoises</w:t>
      </w:r>
    </w:p>
    <w:p>
      <w:pPr>
        <w:pStyle w:val="BodyText"/>
      </w:pPr>
      <w:r>
        <w:rPr>
          <w:color w:val="231F20"/>
        </w:rPr>
        <w:t>de</w:t>
      </w:r>
      <w:r>
        <w:rPr>
          <w:color w:val="231F20"/>
          <w:spacing w:val="-13"/>
        </w:rPr>
        <w:t> </w:t>
      </w:r>
      <w:r>
        <w:rPr>
          <w:color w:val="231F20"/>
        </w:rPr>
        <w:t>canne</w:t>
      </w:r>
      <w:r>
        <w:rPr>
          <w:color w:val="231F20"/>
          <w:spacing w:val="-13"/>
        </w:rPr>
        <w:t> </w:t>
      </w:r>
      <w:r>
        <w:rPr>
          <w:color w:val="231F20"/>
        </w:rPr>
        <w:t>à</w:t>
      </w:r>
      <w:r>
        <w:rPr>
          <w:color w:val="231F20"/>
          <w:spacing w:val="-13"/>
        </w:rPr>
        <w:t> </w:t>
      </w:r>
      <w:r>
        <w:rPr>
          <w:color w:val="231F20"/>
        </w:rPr>
        <w:t>sucre</w:t>
      </w:r>
      <w:r>
        <w:rPr>
          <w:color w:val="231F20"/>
          <w:spacing w:val="-14"/>
        </w:rPr>
        <w:t> </w:t>
      </w:r>
      <w:r>
        <w:rPr>
          <w:color w:val="231F20"/>
          <w:spacing w:val="-2"/>
        </w:rPr>
        <w:t>s’installent.</w:t>
      </w:r>
    </w:p>
    <w:p>
      <w:pPr>
        <w:pStyle w:val="BodyText"/>
        <w:spacing w:before="120"/>
        <w:ind w:right="104" w:firstLine="283"/>
      </w:pPr>
      <w:r>
        <w:rPr>
          <w:color w:val="231F20"/>
        </w:rPr>
        <w:t>Malheureusement, le programme sucrier est loin de répondre aux attentes. Non</w:t>
      </w:r>
      <w:r>
        <w:rPr>
          <w:color w:val="231F20"/>
          <w:spacing w:val="-1"/>
        </w:rPr>
        <w:t> </w:t>
      </w:r>
      <w:r>
        <w:rPr>
          <w:color w:val="231F20"/>
        </w:rPr>
        <w:t>seulement,</w:t>
      </w:r>
      <w:r>
        <w:rPr>
          <w:color w:val="231F20"/>
          <w:spacing w:val="-1"/>
        </w:rPr>
        <w:t> </w:t>
      </w:r>
      <w:r>
        <w:rPr>
          <w:color w:val="231F20"/>
        </w:rPr>
        <w:t>le coût</w:t>
      </w:r>
      <w:r>
        <w:rPr>
          <w:color w:val="231F20"/>
          <w:spacing w:val="-1"/>
        </w:rPr>
        <w:t> </w:t>
      </w:r>
      <w:r>
        <w:rPr>
          <w:color w:val="231F20"/>
        </w:rPr>
        <w:t>des complexes</w:t>
      </w:r>
      <w:r>
        <w:rPr>
          <w:color w:val="231F20"/>
          <w:spacing w:val="-1"/>
        </w:rPr>
        <w:t> </w:t>
      </w:r>
      <w:r>
        <w:rPr>
          <w:color w:val="231F20"/>
        </w:rPr>
        <w:t>aurait été</w:t>
      </w:r>
      <w:r>
        <w:rPr>
          <w:color w:val="231F20"/>
          <w:spacing w:val="-1"/>
        </w:rPr>
        <w:t> </w:t>
      </w:r>
      <w:r>
        <w:rPr>
          <w:color w:val="231F20"/>
        </w:rPr>
        <w:t>multiplié</w:t>
      </w:r>
      <w:r>
        <w:rPr>
          <w:color w:val="231F20"/>
          <w:spacing w:val="-2"/>
        </w:rPr>
        <w:t> </w:t>
      </w:r>
      <w:r>
        <w:rPr>
          <w:color w:val="231F20"/>
        </w:rPr>
        <w:t>par deux</w:t>
      </w:r>
      <w:r>
        <w:rPr>
          <w:color w:val="231F20"/>
          <w:spacing w:val="-15"/>
        </w:rPr>
        <w:t> </w:t>
      </w:r>
      <w:r>
        <w:rPr>
          <w:color w:val="231F20"/>
          <w:vertAlign w:val="superscript"/>
        </w:rPr>
        <w:t>139</w:t>
      </w:r>
      <w:r>
        <w:rPr>
          <w:color w:val="231F20"/>
          <w:spacing w:val="-15"/>
          <w:vertAlign w:val="baseline"/>
        </w:rPr>
        <w:t> </w:t>
      </w:r>
      <w:r>
        <w:rPr>
          <w:color w:val="231F20"/>
          <w:vertAlign w:val="baseline"/>
        </w:rPr>
        <w:t>mais plus grave, la Sodesucre est minée par la gestion des </w:t>
      </w:r>
      <w:r>
        <w:rPr>
          <w:color w:val="231F20"/>
          <w:spacing w:val="-4"/>
          <w:vertAlign w:val="baseline"/>
        </w:rPr>
        <w:t>dirigeants</w:t>
      </w:r>
      <w:r>
        <w:rPr>
          <w:color w:val="231F20"/>
          <w:spacing w:val="-1"/>
          <w:vertAlign w:val="baseline"/>
        </w:rPr>
        <w:t> </w:t>
      </w:r>
      <w:r>
        <w:rPr>
          <w:color w:val="231F20"/>
          <w:spacing w:val="-4"/>
          <w:vertAlign w:val="baseline"/>
        </w:rPr>
        <w:t>:</w:t>
      </w:r>
      <w:r>
        <w:rPr>
          <w:color w:val="231F20"/>
          <w:spacing w:val="-11"/>
          <w:vertAlign w:val="baseline"/>
        </w:rPr>
        <w:t> </w:t>
      </w:r>
      <w:r>
        <w:rPr>
          <w:color w:val="231F20"/>
          <w:spacing w:val="-4"/>
          <w:vertAlign w:val="baseline"/>
        </w:rPr>
        <w:t>les</w:t>
      </w:r>
      <w:r>
        <w:rPr>
          <w:color w:val="231F20"/>
          <w:spacing w:val="-8"/>
          <w:vertAlign w:val="baseline"/>
        </w:rPr>
        <w:t> </w:t>
      </w:r>
      <w:r>
        <w:rPr>
          <w:color w:val="231F20"/>
          <w:spacing w:val="-4"/>
          <w:vertAlign w:val="baseline"/>
        </w:rPr>
        <w:t>normes</w:t>
      </w:r>
      <w:r>
        <w:rPr>
          <w:color w:val="231F20"/>
          <w:spacing w:val="-11"/>
          <w:vertAlign w:val="baseline"/>
        </w:rPr>
        <w:t> </w:t>
      </w:r>
      <w:r>
        <w:rPr>
          <w:color w:val="231F20"/>
          <w:spacing w:val="-4"/>
          <w:vertAlign w:val="baseline"/>
        </w:rPr>
        <w:t>de</w:t>
      </w:r>
      <w:r>
        <w:rPr>
          <w:color w:val="231F20"/>
          <w:spacing w:val="-11"/>
          <w:vertAlign w:val="baseline"/>
        </w:rPr>
        <w:t> </w:t>
      </w:r>
      <w:r>
        <w:rPr>
          <w:color w:val="231F20"/>
          <w:spacing w:val="-4"/>
          <w:vertAlign w:val="baseline"/>
        </w:rPr>
        <w:t>production</w:t>
      </w:r>
      <w:r>
        <w:rPr>
          <w:color w:val="231F20"/>
          <w:spacing w:val="-11"/>
          <w:vertAlign w:val="baseline"/>
        </w:rPr>
        <w:t> </w:t>
      </w:r>
      <w:r>
        <w:rPr>
          <w:color w:val="231F20"/>
          <w:spacing w:val="-4"/>
          <w:vertAlign w:val="baseline"/>
        </w:rPr>
        <w:t>n’obéissent</w:t>
      </w:r>
      <w:r>
        <w:rPr>
          <w:color w:val="231F20"/>
          <w:spacing w:val="-7"/>
          <w:vertAlign w:val="baseline"/>
        </w:rPr>
        <w:t> </w:t>
      </w:r>
      <w:r>
        <w:rPr>
          <w:color w:val="231F20"/>
          <w:spacing w:val="-4"/>
          <w:vertAlign w:val="baseline"/>
        </w:rPr>
        <w:t>pas</w:t>
      </w:r>
      <w:r>
        <w:rPr>
          <w:color w:val="231F20"/>
          <w:spacing w:val="-8"/>
          <w:vertAlign w:val="baseline"/>
        </w:rPr>
        <w:t> </w:t>
      </w:r>
      <w:r>
        <w:rPr>
          <w:color w:val="231F20"/>
          <w:spacing w:val="-4"/>
          <w:vertAlign w:val="baseline"/>
        </w:rPr>
        <w:t>à</w:t>
      </w:r>
      <w:r>
        <w:rPr>
          <w:color w:val="231F20"/>
          <w:spacing w:val="-10"/>
          <w:vertAlign w:val="baseline"/>
        </w:rPr>
        <w:t> </w:t>
      </w:r>
      <w:r>
        <w:rPr>
          <w:color w:val="231F20"/>
          <w:spacing w:val="-4"/>
          <w:vertAlign w:val="baseline"/>
        </w:rPr>
        <w:t>des</w:t>
      </w:r>
      <w:r>
        <w:rPr>
          <w:color w:val="231F20"/>
          <w:spacing w:val="-11"/>
          <w:vertAlign w:val="baseline"/>
        </w:rPr>
        <w:t> </w:t>
      </w:r>
      <w:r>
        <w:rPr>
          <w:color w:val="231F20"/>
          <w:spacing w:val="-4"/>
          <w:vertAlign w:val="baseline"/>
        </w:rPr>
        <w:t>lois</w:t>
      </w:r>
      <w:r>
        <w:rPr>
          <w:color w:val="231F20"/>
          <w:spacing w:val="-11"/>
          <w:vertAlign w:val="baseline"/>
        </w:rPr>
        <w:t> </w:t>
      </w:r>
      <w:r>
        <w:rPr>
          <w:color w:val="231F20"/>
          <w:spacing w:val="-4"/>
          <w:vertAlign w:val="baseline"/>
        </w:rPr>
        <w:t>rigides,</w:t>
      </w:r>
      <w:r>
        <w:rPr>
          <w:color w:val="231F20"/>
          <w:spacing w:val="-11"/>
          <w:vertAlign w:val="baseline"/>
        </w:rPr>
        <w:t> </w:t>
      </w:r>
      <w:r>
        <w:rPr>
          <w:color w:val="231F20"/>
          <w:spacing w:val="-4"/>
          <w:vertAlign w:val="baseline"/>
        </w:rPr>
        <w:t>les </w:t>
      </w:r>
      <w:r>
        <w:rPr>
          <w:color w:val="231F20"/>
          <w:vertAlign w:val="baseline"/>
        </w:rPr>
        <w:t>cadres surpayés du complexe utilisent pour leur propre compte, des </w:t>
      </w:r>
      <w:r>
        <w:rPr>
          <w:color w:val="231F20"/>
          <w:spacing w:val="-4"/>
          <w:vertAlign w:val="baseline"/>
        </w:rPr>
        <w:t>travailleurs</w:t>
      </w:r>
      <w:r>
        <w:rPr>
          <w:color w:val="231F20"/>
          <w:spacing w:val="-8"/>
          <w:vertAlign w:val="baseline"/>
        </w:rPr>
        <w:t> </w:t>
      </w:r>
      <w:r>
        <w:rPr>
          <w:color w:val="231F20"/>
          <w:spacing w:val="-4"/>
          <w:vertAlign w:val="baseline"/>
        </w:rPr>
        <w:t>saisonniers</w:t>
      </w:r>
      <w:r>
        <w:rPr>
          <w:color w:val="231F20"/>
          <w:spacing w:val="-5"/>
          <w:vertAlign w:val="baseline"/>
        </w:rPr>
        <w:t> </w:t>
      </w:r>
      <w:r>
        <w:rPr>
          <w:color w:val="231F20"/>
          <w:spacing w:val="-4"/>
          <w:vertAlign w:val="baseline"/>
        </w:rPr>
        <w:t>de</w:t>
      </w:r>
      <w:r>
        <w:rPr>
          <w:color w:val="231F20"/>
          <w:spacing w:val="-9"/>
          <w:vertAlign w:val="baseline"/>
        </w:rPr>
        <w:t> </w:t>
      </w:r>
      <w:r>
        <w:rPr>
          <w:color w:val="231F20"/>
          <w:spacing w:val="-4"/>
          <w:vertAlign w:val="baseline"/>
        </w:rPr>
        <w:t>la</w:t>
      </w:r>
      <w:r>
        <w:rPr>
          <w:color w:val="231F20"/>
          <w:spacing w:val="-6"/>
          <w:vertAlign w:val="baseline"/>
        </w:rPr>
        <w:t> </w:t>
      </w:r>
      <w:r>
        <w:rPr>
          <w:color w:val="231F20"/>
          <w:spacing w:val="-4"/>
          <w:vertAlign w:val="baseline"/>
        </w:rPr>
        <w:t>Société</w:t>
      </w:r>
      <w:r>
        <w:rPr>
          <w:color w:val="231F20"/>
          <w:spacing w:val="-6"/>
          <w:vertAlign w:val="baseline"/>
        </w:rPr>
        <w:t> </w:t>
      </w:r>
      <w:r>
        <w:rPr>
          <w:color w:val="231F20"/>
          <w:spacing w:val="-4"/>
          <w:vertAlign w:val="baseline"/>
        </w:rPr>
        <w:t>dans</w:t>
      </w:r>
      <w:r>
        <w:rPr>
          <w:color w:val="231F20"/>
          <w:spacing w:val="-5"/>
          <w:vertAlign w:val="baseline"/>
        </w:rPr>
        <w:t> </w:t>
      </w:r>
      <w:r>
        <w:rPr>
          <w:color w:val="231F20"/>
          <w:spacing w:val="-4"/>
          <w:vertAlign w:val="baseline"/>
        </w:rPr>
        <w:t>des</w:t>
      </w:r>
      <w:r>
        <w:rPr>
          <w:color w:val="231F20"/>
          <w:spacing w:val="-5"/>
          <w:vertAlign w:val="baseline"/>
        </w:rPr>
        <w:t> </w:t>
      </w:r>
      <w:r>
        <w:rPr>
          <w:color w:val="231F20"/>
          <w:spacing w:val="-4"/>
          <w:vertAlign w:val="baseline"/>
        </w:rPr>
        <w:t>plantations</w:t>
      </w:r>
      <w:r>
        <w:rPr>
          <w:color w:val="231F20"/>
          <w:spacing w:val="-7"/>
          <w:vertAlign w:val="baseline"/>
        </w:rPr>
        <w:t> </w:t>
      </w:r>
      <w:r>
        <w:rPr>
          <w:color w:val="231F20"/>
          <w:spacing w:val="-4"/>
          <w:vertAlign w:val="baseline"/>
        </w:rPr>
        <w:t>privées</w:t>
      </w:r>
      <w:r>
        <w:rPr>
          <w:color w:val="231F20"/>
          <w:spacing w:val="-7"/>
          <w:vertAlign w:val="baseline"/>
        </w:rPr>
        <w:t> </w:t>
      </w:r>
      <w:r>
        <w:rPr>
          <w:color w:val="231F20"/>
          <w:spacing w:val="-4"/>
          <w:vertAlign w:val="baseline"/>
        </w:rPr>
        <w:t>qu’ils</w:t>
      </w:r>
      <w:r>
        <w:rPr>
          <w:color w:val="231F20"/>
          <w:spacing w:val="-8"/>
          <w:vertAlign w:val="baseline"/>
        </w:rPr>
        <w:t> </w:t>
      </w:r>
      <w:r>
        <w:rPr>
          <w:color w:val="231F20"/>
          <w:spacing w:val="-4"/>
          <w:vertAlign w:val="baseline"/>
        </w:rPr>
        <w:t>se sont</w:t>
      </w:r>
      <w:r>
        <w:rPr>
          <w:color w:val="231F20"/>
          <w:spacing w:val="-11"/>
          <w:vertAlign w:val="baseline"/>
        </w:rPr>
        <w:t> </w:t>
      </w:r>
      <w:r>
        <w:rPr>
          <w:color w:val="231F20"/>
          <w:spacing w:val="-4"/>
          <w:vertAlign w:val="baseline"/>
        </w:rPr>
        <w:t>créés</w:t>
      </w:r>
      <w:r>
        <w:rPr>
          <w:color w:val="231F20"/>
          <w:spacing w:val="-11"/>
          <w:vertAlign w:val="baseline"/>
        </w:rPr>
        <w:t> </w:t>
      </w:r>
      <w:r>
        <w:rPr>
          <w:color w:val="231F20"/>
          <w:spacing w:val="-4"/>
          <w:vertAlign w:val="baseline"/>
        </w:rPr>
        <w:t>à</w:t>
      </w:r>
      <w:r>
        <w:rPr>
          <w:color w:val="231F20"/>
          <w:spacing w:val="-11"/>
          <w:vertAlign w:val="baseline"/>
        </w:rPr>
        <w:t> </w:t>
      </w:r>
      <w:r>
        <w:rPr>
          <w:color w:val="231F20"/>
          <w:spacing w:val="-4"/>
          <w:vertAlign w:val="baseline"/>
        </w:rPr>
        <w:t>proximité</w:t>
      </w:r>
      <w:r>
        <w:rPr>
          <w:color w:val="231F20"/>
          <w:spacing w:val="-11"/>
          <w:vertAlign w:val="baseline"/>
        </w:rPr>
        <w:t> </w:t>
      </w:r>
      <w:r>
        <w:rPr>
          <w:color w:val="231F20"/>
          <w:spacing w:val="-4"/>
          <w:vertAlign w:val="baseline"/>
        </w:rPr>
        <w:t>des</w:t>
      </w:r>
      <w:r>
        <w:rPr>
          <w:color w:val="231F20"/>
          <w:spacing w:val="-11"/>
          <w:vertAlign w:val="baseline"/>
        </w:rPr>
        <w:t> </w:t>
      </w:r>
      <w:r>
        <w:rPr>
          <w:color w:val="231F20"/>
          <w:spacing w:val="-4"/>
          <w:vertAlign w:val="baseline"/>
        </w:rPr>
        <w:t>complexes</w:t>
      </w:r>
      <w:r>
        <w:rPr>
          <w:color w:val="231F20"/>
          <w:spacing w:val="-11"/>
          <w:vertAlign w:val="baseline"/>
        </w:rPr>
        <w:t> </w:t>
      </w:r>
      <w:r>
        <w:rPr>
          <w:color w:val="231F20"/>
          <w:spacing w:val="-4"/>
          <w:vertAlign w:val="baseline"/>
        </w:rPr>
        <w:t>et</w:t>
      </w:r>
      <w:r>
        <w:rPr>
          <w:color w:val="231F20"/>
          <w:spacing w:val="-11"/>
          <w:vertAlign w:val="baseline"/>
        </w:rPr>
        <w:t> </w:t>
      </w:r>
      <w:r>
        <w:rPr>
          <w:color w:val="231F20"/>
          <w:spacing w:val="-4"/>
          <w:vertAlign w:val="baseline"/>
        </w:rPr>
        <w:t>font</w:t>
      </w:r>
      <w:r>
        <w:rPr>
          <w:color w:val="231F20"/>
          <w:spacing w:val="-11"/>
          <w:vertAlign w:val="baseline"/>
        </w:rPr>
        <w:t> </w:t>
      </w:r>
      <w:r>
        <w:rPr>
          <w:color w:val="231F20"/>
          <w:spacing w:val="-4"/>
          <w:vertAlign w:val="baseline"/>
        </w:rPr>
        <w:t>payer</w:t>
      </w:r>
      <w:r>
        <w:rPr>
          <w:color w:val="231F20"/>
          <w:spacing w:val="-11"/>
          <w:vertAlign w:val="baseline"/>
        </w:rPr>
        <w:t> </w:t>
      </w:r>
      <w:r>
        <w:rPr>
          <w:color w:val="231F20"/>
          <w:spacing w:val="-4"/>
          <w:vertAlign w:val="baseline"/>
        </w:rPr>
        <w:t>les</w:t>
      </w:r>
      <w:r>
        <w:rPr>
          <w:color w:val="231F20"/>
          <w:spacing w:val="-11"/>
          <w:vertAlign w:val="baseline"/>
        </w:rPr>
        <w:t> </w:t>
      </w:r>
      <w:r>
        <w:rPr>
          <w:color w:val="231F20"/>
          <w:spacing w:val="-4"/>
          <w:vertAlign w:val="baseline"/>
        </w:rPr>
        <w:t>salaires</w:t>
      </w:r>
      <w:r>
        <w:rPr>
          <w:color w:val="231F20"/>
          <w:spacing w:val="-11"/>
          <w:vertAlign w:val="baseline"/>
        </w:rPr>
        <w:t> </w:t>
      </w:r>
      <w:r>
        <w:rPr>
          <w:color w:val="231F20"/>
          <w:spacing w:val="-4"/>
          <w:vertAlign w:val="baseline"/>
        </w:rPr>
        <w:t>des</w:t>
      </w:r>
      <w:r>
        <w:rPr>
          <w:color w:val="231F20"/>
          <w:spacing w:val="-11"/>
          <w:vertAlign w:val="baseline"/>
        </w:rPr>
        <w:t> </w:t>
      </w:r>
      <w:r>
        <w:rPr>
          <w:color w:val="231F20"/>
          <w:spacing w:val="-4"/>
          <w:vertAlign w:val="baseline"/>
        </w:rPr>
        <w:t>ouvriers </w:t>
      </w:r>
      <w:r>
        <w:rPr>
          <w:color w:val="231F20"/>
          <w:vertAlign w:val="baseline"/>
        </w:rPr>
        <w:t>par le complexe sucrier etc. Enfin, le sucre produit n’est pas commercialisé rationnellement et il arrive que l’on cesse la production </w:t>
      </w:r>
      <w:r>
        <w:rPr>
          <w:color w:val="231F20"/>
          <w:spacing w:val="-2"/>
          <w:vertAlign w:val="baseline"/>
        </w:rPr>
        <w:t>faute</w:t>
      </w:r>
      <w:r>
        <w:rPr>
          <w:color w:val="231F20"/>
          <w:spacing w:val="-13"/>
          <w:vertAlign w:val="baseline"/>
        </w:rPr>
        <w:t> </w:t>
      </w:r>
      <w:r>
        <w:rPr>
          <w:color w:val="231F20"/>
          <w:spacing w:val="-2"/>
          <w:vertAlign w:val="baseline"/>
        </w:rPr>
        <w:t>d’aire</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stockage.</w:t>
      </w:r>
      <w:r>
        <w:rPr>
          <w:color w:val="231F20"/>
          <w:spacing w:val="-13"/>
          <w:vertAlign w:val="baseline"/>
        </w:rPr>
        <w:t> </w:t>
      </w:r>
      <w:r>
        <w:rPr>
          <w:color w:val="231F20"/>
          <w:spacing w:val="-2"/>
          <w:vertAlign w:val="baseline"/>
        </w:rPr>
        <w:t>En</w:t>
      </w:r>
      <w:r>
        <w:rPr>
          <w:color w:val="231F20"/>
          <w:spacing w:val="-13"/>
          <w:vertAlign w:val="baseline"/>
        </w:rPr>
        <w:t> </w:t>
      </w:r>
      <w:r>
        <w:rPr>
          <w:color w:val="231F20"/>
          <w:spacing w:val="-2"/>
          <w:vertAlign w:val="baseline"/>
        </w:rPr>
        <w:t>définitive</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production</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ces</w:t>
      </w:r>
      <w:r>
        <w:rPr>
          <w:color w:val="231F20"/>
          <w:spacing w:val="-13"/>
          <w:vertAlign w:val="baseline"/>
        </w:rPr>
        <w:t> </w:t>
      </w:r>
      <w:r>
        <w:rPr>
          <w:color w:val="231F20"/>
          <w:spacing w:val="-2"/>
          <w:vertAlign w:val="baseline"/>
        </w:rPr>
        <w:t>complexes</w:t>
      </w:r>
      <w:r>
        <w:rPr>
          <w:color w:val="231F20"/>
          <w:spacing w:val="-13"/>
          <w:vertAlign w:val="baseline"/>
        </w:rPr>
        <w:t> </w:t>
      </w:r>
      <w:r>
        <w:rPr>
          <w:color w:val="231F20"/>
          <w:spacing w:val="-2"/>
          <w:vertAlign w:val="baseline"/>
        </w:rPr>
        <w:t>est en</w:t>
      </w:r>
      <w:r>
        <w:rPr>
          <w:color w:val="231F20"/>
          <w:spacing w:val="-13"/>
          <w:vertAlign w:val="baseline"/>
        </w:rPr>
        <w:t> </w:t>
      </w:r>
      <w:r>
        <w:rPr>
          <w:color w:val="231F20"/>
          <w:spacing w:val="-2"/>
          <w:vertAlign w:val="baseline"/>
        </w:rPr>
        <w:t>deçà</w:t>
      </w:r>
      <w:r>
        <w:rPr>
          <w:color w:val="231F20"/>
          <w:spacing w:val="-13"/>
          <w:vertAlign w:val="baseline"/>
        </w:rPr>
        <w:t> </w:t>
      </w:r>
      <w:r>
        <w:rPr>
          <w:color w:val="231F20"/>
          <w:spacing w:val="-2"/>
          <w:vertAlign w:val="baseline"/>
        </w:rPr>
        <w:t>des</w:t>
      </w:r>
      <w:r>
        <w:rPr>
          <w:color w:val="231F20"/>
          <w:spacing w:val="-13"/>
          <w:vertAlign w:val="baseline"/>
        </w:rPr>
        <w:t> </w:t>
      </w:r>
      <w:r>
        <w:rPr>
          <w:color w:val="231F20"/>
          <w:spacing w:val="-2"/>
          <w:vertAlign w:val="baseline"/>
        </w:rPr>
        <w:t>prévisions</w:t>
      </w:r>
      <w:r>
        <w:rPr>
          <w:color w:val="231F20"/>
          <w:spacing w:val="-11"/>
          <w:vertAlign w:val="baseline"/>
        </w:rPr>
        <w:t> </w:t>
      </w:r>
      <w:r>
        <w:rPr>
          <w:color w:val="231F20"/>
          <w:spacing w:val="-2"/>
          <w:vertAlign w:val="baseline"/>
        </w:rPr>
        <w:t>:</w:t>
      </w:r>
      <w:r>
        <w:rPr>
          <w:color w:val="231F20"/>
          <w:spacing w:val="-12"/>
          <w:vertAlign w:val="baseline"/>
        </w:rPr>
        <w:t> </w:t>
      </w:r>
      <w:r>
        <w:rPr>
          <w:color w:val="231F20"/>
          <w:spacing w:val="-2"/>
          <w:vertAlign w:val="baseline"/>
        </w:rPr>
        <w:t>150.000</w:t>
      </w:r>
      <w:r>
        <w:rPr>
          <w:color w:val="231F20"/>
          <w:spacing w:val="-13"/>
          <w:vertAlign w:val="baseline"/>
        </w:rPr>
        <w:t> </w:t>
      </w:r>
      <w:r>
        <w:rPr>
          <w:color w:val="231F20"/>
          <w:spacing w:val="-2"/>
          <w:vertAlign w:val="baseline"/>
        </w:rPr>
        <w:t>tonnes</w:t>
      </w:r>
      <w:r>
        <w:rPr>
          <w:color w:val="231F20"/>
          <w:spacing w:val="-13"/>
          <w:vertAlign w:val="baseline"/>
        </w:rPr>
        <w:t> </w:t>
      </w:r>
      <w:r>
        <w:rPr>
          <w:color w:val="231F20"/>
          <w:spacing w:val="-2"/>
          <w:vertAlign w:val="baseline"/>
        </w:rPr>
        <w:t>au</w:t>
      </w:r>
      <w:r>
        <w:rPr>
          <w:color w:val="231F20"/>
          <w:spacing w:val="-12"/>
          <w:vertAlign w:val="baseline"/>
        </w:rPr>
        <w:t> </w:t>
      </w:r>
      <w:r>
        <w:rPr>
          <w:color w:val="231F20"/>
          <w:spacing w:val="-2"/>
          <w:vertAlign w:val="baseline"/>
        </w:rPr>
        <w:t>lieu</w:t>
      </w:r>
      <w:r>
        <w:rPr>
          <w:color w:val="231F20"/>
          <w:spacing w:val="-13"/>
          <w:vertAlign w:val="baseline"/>
        </w:rPr>
        <w:t> </w:t>
      </w:r>
      <w:r>
        <w:rPr>
          <w:color w:val="231F20"/>
          <w:spacing w:val="-2"/>
          <w:vertAlign w:val="baseline"/>
        </w:rPr>
        <w:t>de</w:t>
      </w:r>
      <w:r>
        <w:rPr>
          <w:color w:val="231F20"/>
          <w:spacing w:val="-12"/>
          <w:vertAlign w:val="baseline"/>
        </w:rPr>
        <w:t> </w:t>
      </w:r>
      <w:r>
        <w:rPr>
          <w:color w:val="231F20"/>
          <w:spacing w:val="-2"/>
          <w:vertAlign w:val="baseline"/>
        </w:rPr>
        <w:t>300</w:t>
      </w:r>
      <w:r>
        <w:rPr>
          <w:color w:val="231F20"/>
          <w:spacing w:val="-13"/>
          <w:vertAlign w:val="baseline"/>
        </w:rPr>
        <w:t> </w:t>
      </w:r>
      <w:r>
        <w:rPr>
          <w:color w:val="231F20"/>
          <w:spacing w:val="-2"/>
          <w:vertAlign w:val="baseline"/>
        </w:rPr>
        <w:t>000.</w:t>
      </w:r>
      <w:r>
        <w:rPr>
          <w:color w:val="231F20"/>
          <w:spacing w:val="-13"/>
          <w:vertAlign w:val="baseline"/>
        </w:rPr>
        <w:t> </w:t>
      </w:r>
      <w:r>
        <w:rPr>
          <w:color w:val="231F20"/>
          <w:spacing w:val="-2"/>
          <w:vertAlign w:val="baseline"/>
        </w:rPr>
        <w:t>Pis,</w:t>
      </w:r>
      <w:r>
        <w:rPr>
          <w:color w:val="231F20"/>
          <w:spacing w:val="-12"/>
          <w:vertAlign w:val="baseline"/>
        </w:rPr>
        <w:t> </w:t>
      </w:r>
      <w:r>
        <w:rPr>
          <w:color w:val="231F20"/>
          <w:spacing w:val="-2"/>
          <w:vertAlign w:val="baseline"/>
        </w:rPr>
        <w:t>le</w:t>
      </w:r>
      <w:r>
        <w:rPr>
          <w:color w:val="231F20"/>
          <w:spacing w:val="-13"/>
          <w:vertAlign w:val="baseline"/>
        </w:rPr>
        <w:t> </w:t>
      </w:r>
      <w:r>
        <w:rPr>
          <w:color w:val="231F20"/>
          <w:spacing w:val="-2"/>
          <w:vertAlign w:val="baseline"/>
        </w:rPr>
        <w:t>prix</w:t>
      </w:r>
      <w:r>
        <w:rPr>
          <w:color w:val="231F20"/>
          <w:spacing w:val="-12"/>
          <w:vertAlign w:val="baseline"/>
        </w:rPr>
        <w:t> </w:t>
      </w:r>
      <w:r>
        <w:rPr>
          <w:color w:val="231F20"/>
          <w:spacing w:val="-2"/>
          <w:vertAlign w:val="baseline"/>
        </w:rPr>
        <w:t>de </w:t>
      </w:r>
      <w:r>
        <w:rPr>
          <w:color w:val="231F20"/>
          <w:vertAlign w:val="baseline"/>
        </w:rPr>
        <w:t>revient</w:t>
      </w:r>
      <w:r>
        <w:rPr>
          <w:color w:val="231F20"/>
          <w:spacing w:val="-4"/>
          <w:vertAlign w:val="baseline"/>
        </w:rPr>
        <w:t> </w:t>
      </w:r>
      <w:r>
        <w:rPr>
          <w:color w:val="231F20"/>
          <w:vertAlign w:val="baseline"/>
        </w:rPr>
        <w:t>du</w:t>
      </w:r>
      <w:r>
        <w:rPr>
          <w:color w:val="231F20"/>
          <w:spacing w:val="-4"/>
          <w:vertAlign w:val="baseline"/>
        </w:rPr>
        <w:t> </w:t>
      </w:r>
      <w:r>
        <w:rPr>
          <w:color w:val="231F20"/>
          <w:vertAlign w:val="baseline"/>
        </w:rPr>
        <w:t>sucre</w:t>
      </w:r>
      <w:r>
        <w:rPr>
          <w:color w:val="231F20"/>
          <w:spacing w:val="-5"/>
          <w:vertAlign w:val="baseline"/>
        </w:rPr>
        <w:t> </w:t>
      </w:r>
      <w:r>
        <w:rPr>
          <w:color w:val="231F20"/>
          <w:vertAlign w:val="baseline"/>
        </w:rPr>
        <w:t>produit</w:t>
      </w:r>
      <w:r>
        <w:rPr>
          <w:color w:val="231F20"/>
          <w:spacing w:val="-2"/>
          <w:vertAlign w:val="baseline"/>
        </w:rPr>
        <w:t> </w:t>
      </w:r>
      <w:r>
        <w:rPr>
          <w:color w:val="231F20"/>
          <w:vertAlign w:val="baseline"/>
        </w:rPr>
        <w:t>en</w:t>
      </w:r>
      <w:r>
        <w:rPr>
          <w:color w:val="231F20"/>
          <w:spacing w:val="-2"/>
          <w:vertAlign w:val="baseline"/>
        </w:rPr>
        <w:t> </w:t>
      </w:r>
      <w:r>
        <w:rPr>
          <w:color w:val="231F20"/>
          <w:vertAlign w:val="baseline"/>
        </w:rPr>
        <w:t>Côte</w:t>
      </w:r>
      <w:r>
        <w:rPr>
          <w:color w:val="231F20"/>
          <w:spacing w:val="-5"/>
          <w:vertAlign w:val="baseline"/>
        </w:rPr>
        <w:t> </w:t>
      </w:r>
      <w:r>
        <w:rPr>
          <w:color w:val="231F20"/>
          <w:vertAlign w:val="baseline"/>
        </w:rPr>
        <w:t>d’Ivoire</w:t>
      </w:r>
      <w:r>
        <w:rPr>
          <w:color w:val="231F20"/>
          <w:spacing w:val="-2"/>
          <w:vertAlign w:val="baseline"/>
        </w:rPr>
        <w:t> </w:t>
      </w:r>
      <w:r>
        <w:rPr>
          <w:color w:val="231F20"/>
          <w:vertAlign w:val="baseline"/>
        </w:rPr>
        <w:t>est</w:t>
      </w:r>
      <w:r>
        <w:rPr>
          <w:color w:val="231F20"/>
          <w:spacing w:val="-4"/>
          <w:vertAlign w:val="baseline"/>
        </w:rPr>
        <w:t> </w:t>
      </w:r>
      <w:r>
        <w:rPr>
          <w:color w:val="231F20"/>
          <w:vertAlign w:val="baseline"/>
        </w:rPr>
        <w:t>trois</w:t>
      </w:r>
      <w:r>
        <w:rPr>
          <w:color w:val="231F20"/>
          <w:spacing w:val="-4"/>
          <w:vertAlign w:val="baseline"/>
        </w:rPr>
        <w:t> </w:t>
      </w:r>
      <w:r>
        <w:rPr>
          <w:color w:val="231F20"/>
          <w:vertAlign w:val="baseline"/>
        </w:rPr>
        <w:t>fois</w:t>
      </w:r>
      <w:r>
        <w:rPr>
          <w:color w:val="231F20"/>
          <w:spacing w:val="-4"/>
          <w:vertAlign w:val="baseline"/>
        </w:rPr>
        <w:t> </w:t>
      </w:r>
      <w:r>
        <w:rPr>
          <w:color w:val="231F20"/>
          <w:vertAlign w:val="baseline"/>
        </w:rPr>
        <w:t>plus</w:t>
      </w:r>
      <w:r>
        <w:rPr>
          <w:color w:val="231F20"/>
          <w:spacing w:val="-4"/>
          <w:vertAlign w:val="baseline"/>
        </w:rPr>
        <w:t> </w:t>
      </w:r>
      <w:r>
        <w:rPr>
          <w:color w:val="231F20"/>
          <w:vertAlign w:val="baseline"/>
        </w:rPr>
        <w:t>élevé</w:t>
      </w:r>
      <w:r>
        <w:rPr>
          <w:color w:val="231F20"/>
          <w:spacing w:val="-5"/>
          <w:vertAlign w:val="baseline"/>
        </w:rPr>
        <w:t> </w:t>
      </w:r>
      <w:r>
        <w:rPr>
          <w:color w:val="231F20"/>
          <w:vertAlign w:val="baseline"/>
        </w:rPr>
        <w:t>que</w:t>
      </w:r>
      <w:r>
        <w:rPr>
          <w:color w:val="231F20"/>
          <w:spacing w:val="-5"/>
          <w:vertAlign w:val="baseline"/>
        </w:rPr>
        <w:t> </w:t>
      </w:r>
      <w:r>
        <w:rPr>
          <w:color w:val="231F20"/>
          <w:vertAlign w:val="baseline"/>
        </w:rPr>
        <w:t>le </w:t>
      </w:r>
      <w:r>
        <w:rPr>
          <w:color w:val="231F20"/>
          <w:spacing w:val="-2"/>
          <w:vertAlign w:val="baseline"/>
        </w:rPr>
        <w:t>prix</w:t>
      </w:r>
      <w:r>
        <w:rPr>
          <w:color w:val="231F20"/>
          <w:spacing w:val="-5"/>
          <w:vertAlign w:val="baseline"/>
        </w:rPr>
        <w:t> </w:t>
      </w:r>
      <w:r>
        <w:rPr>
          <w:color w:val="231F20"/>
          <w:spacing w:val="-2"/>
          <w:vertAlign w:val="baseline"/>
        </w:rPr>
        <w:t>à</w:t>
      </w:r>
      <w:r>
        <w:rPr>
          <w:color w:val="231F20"/>
          <w:spacing w:val="-6"/>
          <w:vertAlign w:val="baseline"/>
        </w:rPr>
        <w:t> </w:t>
      </w:r>
      <w:r>
        <w:rPr>
          <w:color w:val="231F20"/>
          <w:spacing w:val="-2"/>
          <w:vertAlign w:val="baseline"/>
        </w:rPr>
        <w:t>l’international.</w:t>
      </w:r>
      <w:r>
        <w:rPr>
          <w:color w:val="231F20"/>
          <w:spacing w:val="-4"/>
          <w:vertAlign w:val="baseline"/>
        </w:rPr>
        <w:t> </w:t>
      </w:r>
      <w:r>
        <w:rPr>
          <w:color w:val="231F20"/>
          <w:spacing w:val="-2"/>
          <w:vertAlign w:val="baseline"/>
        </w:rPr>
        <w:t>Lorsque</w:t>
      </w:r>
      <w:r>
        <w:rPr>
          <w:color w:val="231F20"/>
          <w:spacing w:val="-6"/>
          <w:vertAlign w:val="baseline"/>
        </w:rPr>
        <w:t> </w:t>
      </w:r>
      <w:r>
        <w:rPr>
          <w:color w:val="231F20"/>
          <w:spacing w:val="-2"/>
          <w:vertAlign w:val="baseline"/>
        </w:rPr>
        <w:t>le</w:t>
      </w:r>
      <w:r>
        <w:rPr>
          <w:color w:val="231F20"/>
          <w:spacing w:val="-6"/>
          <w:vertAlign w:val="baseline"/>
        </w:rPr>
        <w:t> </w:t>
      </w:r>
      <w:r>
        <w:rPr>
          <w:color w:val="231F20"/>
          <w:spacing w:val="-2"/>
          <w:vertAlign w:val="baseline"/>
        </w:rPr>
        <w:t>scandale</w:t>
      </w:r>
      <w:r>
        <w:rPr>
          <w:color w:val="231F20"/>
          <w:spacing w:val="-6"/>
          <w:vertAlign w:val="baseline"/>
        </w:rPr>
        <w:t> </w:t>
      </w:r>
      <w:r>
        <w:rPr>
          <w:color w:val="231F20"/>
          <w:spacing w:val="-2"/>
          <w:vertAlign w:val="baseline"/>
        </w:rPr>
        <w:t>des</w:t>
      </w:r>
      <w:r>
        <w:rPr>
          <w:color w:val="231F20"/>
          <w:spacing w:val="-6"/>
          <w:vertAlign w:val="baseline"/>
        </w:rPr>
        <w:t> </w:t>
      </w:r>
      <w:r>
        <w:rPr>
          <w:color w:val="231F20"/>
          <w:spacing w:val="-2"/>
          <w:vertAlign w:val="baseline"/>
        </w:rPr>
        <w:t>complexes</w:t>
      </w:r>
      <w:r>
        <w:rPr>
          <w:color w:val="231F20"/>
          <w:spacing w:val="-6"/>
          <w:vertAlign w:val="baseline"/>
        </w:rPr>
        <w:t> </w:t>
      </w:r>
      <w:r>
        <w:rPr>
          <w:color w:val="231F20"/>
          <w:spacing w:val="-2"/>
          <w:vertAlign w:val="baseline"/>
        </w:rPr>
        <w:t>sucriers</w:t>
      </w:r>
      <w:r>
        <w:rPr>
          <w:color w:val="231F20"/>
          <w:spacing w:val="-4"/>
          <w:vertAlign w:val="baseline"/>
        </w:rPr>
        <w:t> </w:t>
      </w:r>
      <w:r>
        <w:rPr>
          <w:color w:val="231F20"/>
          <w:spacing w:val="-2"/>
          <w:vertAlign w:val="baseline"/>
        </w:rPr>
        <w:t>éclate, </w:t>
      </w:r>
      <w:r>
        <w:rPr>
          <w:color w:val="231F20"/>
          <w:vertAlign w:val="baseline"/>
        </w:rPr>
        <w:t>le</w:t>
      </w:r>
      <w:r>
        <w:rPr>
          <w:color w:val="231F20"/>
          <w:spacing w:val="-15"/>
          <w:vertAlign w:val="baseline"/>
        </w:rPr>
        <w:t> </w:t>
      </w:r>
      <w:r>
        <w:rPr>
          <w:color w:val="231F20"/>
          <w:vertAlign w:val="baseline"/>
        </w:rPr>
        <w:t>Président</w:t>
      </w:r>
      <w:r>
        <w:rPr>
          <w:color w:val="231F20"/>
          <w:spacing w:val="-8"/>
          <w:vertAlign w:val="baseline"/>
        </w:rPr>
        <w:t> </w:t>
      </w:r>
      <w:r>
        <w:rPr>
          <w:color w:val="231F20"/>
          <w:vertAlign w:val="baseline"/>
        </w:rPr>
        <w:t>est</w:t>
      </w:r>
      <w:r>
        <w:rPr>
          <w:color w:val="231F20"/>
          <w:spacing w:val="-9"/>
          <w:vertAlign w:val="baseline"/>
        </w:rPr>
        <w:t> </w:t>
      </w:r>
      <w:r>
        <w:rPr>
          <w:color w:val="231F20"/>
          <w:vertAlign w:val="baseline"/>
        </w:rPr>
        <w:t>contraint</w:t>
      </w:r>
      <w:r>
        <w:rPr>
          <w:color w:val="231F20"/>
          <w:spacing w:val="-10"/>
          <w:vertAlign w:val="baseline"/>
        </w:rPr>
        <w:t> </w:t>
      </w:r>
      <w:r>
        <w:rPr>
          <w:color w:val="231F20"/>
          <w:vertAlign w:val="baseline"/>
        </w:rPr>
        <w:t>de</w:t>
      </w:r>
      <w:r>
        <w:rPr>
          <w:color w:val="231F20"/>
          <w:spacing w:val="-10"/>
          <w:vertAlign w:val="baseline"/>
        </w:rPr>
        <w:t> </w:t>
      </w:r>
      <w:r>
        <w:rPr>
          <w:color w:val="231F20"/>
          <w:vertAlign w:val="baseline"/>
        </w:rPr>
        <w:t>sévir</w:t>
      </w:r>
      <w:r>
        <w:rPr>
          <w:color w:val="231F20"/>
          <w:spacing w:val="-15"/>
          <w:vertAlign w:val="baseline"/>
        </w:rPr>
        <w:t> </w:t>
      </w:r>
      <w:r>
        <w:rPr>
          <w:color w:val="231F20"/>
          <w:vertAlign w:val="baseline"/>
        </w:rPr>
        <w:t>:</w:t>
      </w:r>
      <w:r>
        <w:rPr>
          <w:color w:val="231F20"/>
          <w:spacing w:val="-9"/>
          <w:vertAlign w:val="baseline"/>
        </w:rPr>
        <w:t> </w:t>
      </w:r>
      <w:r>
        <w:rPr>
          <w:color w:val="231F20"/>
          <w:vertAlign w:val="baseline"/>
        </w:rPr>
        <w:t>une</w:t>
      </w:r>
      <w:r>
        <w:rPr>
          <w:color w:val="231F20"/>
          <w:spacing w:val="-9"/>
          <w:vertAlign w:val="baseline"/>
        </w:rPr>
        <w:t> </w:t>
      </w:r>
      <w:r>
        <w:rPr>
          <w:color w:val="231F20"/>
          <w:vertAlign w:val="baseline"/>
        </w:rPr>
        <w:t>loi</w:t>
      </w:r>
      <w:r>
        <w:rPr>
          <w:color w:val="231F20"/>
          <w:spacing w:val="-9"/>
          <w:vertAlign w:val="baseline"/>
        </w:rPr>
        <w:t> </w:t>
      </w:r>
      <w:r>
        <w:rPr>
          <w:color w:val="231F20"/>
          <w:vertAlign w:val="baseline"/>
        </w:rPr>
        <w:t>anti-corruption</w:t>
      </w:r>
      <w:r>
        <w:rPr>
          <w:color w:val="231F20"/>
          <w:spacing w:val="-9"/>
          <w:vertAlign w:val="baseline"/>
        </w:rPr>
        <w:t> </w:t>
      </w:r>
      <w:r>
        <w:rPr>
          <w:color w:val="231F20"/>
          <w:vertAlign w:val="baseline"/>
        </w:rPr>
        <w:t>est</w:t>
      </w:r>
      <w:r>
        <w:rPr>
          <w:color w:val="231F20"/>
          <w:spacing w:val="-9"/>
          <w:vertAlign w:val="baseline"/>
        </w:rPr>
        <w:t> </w:t>
      </w:r>
      <w:r>
        <w:rPr>
          <w:color w:val="231F20"/>
          <w:vertAlign w:val="baseline"/>
        </w:rPr>
        <w:t>adoptée</w:t>
      </w:r>
      <w:r>
        <w:rPr>
          <w:color w:val="231F20"/>
          <w:spacing w:val="-10"/>
          <w:vertAlign w:val="baseline"/>
        </w:rPr>
        <w:t> </w:t>
      </w:r>
      <w:r>
        <w:rPr>
          <w:color w:val="231F20"/>
          <w:vertAlign w:val="baseline"/>
        </w:rPr>
        <w:t>le 23</w:t>
      </w:r>
      <w:r>
        <w:rPr>
          <w:color w:val="231F20"/>
          <w:spacing w:val="-11"/>
          <w:vertAlign w:val="baseline"/>
        </w:rPr>
        <w:t> </w:t>
      </w:r>
      <w:r>
        <w:rPr>
          <w:color w:val="231F20"/>
          <w:vertAlign w:val="baseline"/>
        </w:rPr>
        <w:t>juin</w:t>
      </w:r>
      <w:r>
        <w:rPr>
          <w:color w:val="231F20"/>
          <w:spacing w:val="-11"/>
          <w:vertAlign w:val="baseline"/>
        </w:rPr>
        <w:t> </w:t>
      </w:r>
      <w:r>
        <w:rPr>
          <w:color w:val="231F20"/>
          <w:vertAlign w:val="baseline"/>
        </w:rPr>
        <w:t>1977.</w:t>
      </w:r>
      <w:r>
        <w:rPr>
          <w:color w:val="231F20"/>
          <w:spacing w:val="-11"/>
          <w:vertAlign w:val="baseline"/>
        </w:rPr>
        <w:t> </w:t>
      </w:r>
      <w:r>
        <w:rPr>
          <w:color w:val="231F20"/>
          <w:vertAlign w:val="baseline"/>
        </w:rPr>
        <w:t>Un</w:t>
      </w:r>
      <w:r>
        <w:rPr>
          <w:color w:val="231F20"/>
          <w:spacing w:val="-13"/>
          <w:vertAlign w:val="baseline"/>
        </w:rPr>
        <w:t> </w:t>
      </w:r>
      <w:r>
        <w:rPr>
          <w:color w:val="231F20"/>
          <w:vertAlign w:val="baseline"/>
        </w:rPr>
        <w:t>mois</w:t>
      </w:r>
      <w:r>
        <w:rPr>
          <w:color w:val="231F20"/>
          <w:spacing w:val="-11"/>
          <w:vertAlign w:val="baseline"/>
        </w:rPr>
        <w:t> </w:t>
      </w:r>
      <w:r>
        <w:rPr>
          <w:color w:val="231F20"/>
          <w:vertAlign w:val="baseline"/>
        </w:rPr>
        <w:t>plus</w:t>
      </w:r>
      <w:r>
        <w:rPr>
          <w:color w:val="231F20"/>
          <w:spacing w:val="-11"/>
          <w:vertAlign w:val="baseline"/>
        </w:rPr>
        <w:t> </w:t>
      </w:r>
      <w:r>
        <w:rPr>
          <w:color w:val="231F20"/>
          <w:vertAlign w:val="baseline"/>
        </w:rPr>
        <w:t>tard,</w:t>
      </w:r>
      <w:r>
        <w:rPr>
          <w:color w:val="231F20"/>
          <w:spacing w:val="-11"/>
          <w:vertAlign w:val="baseline"/>
        </w:rPr>
        <w:t> </w:t>
      </w:r>
      <w:r>
        <w:rPr>
          <w:color w:val="231F20"/>
          <w:vertAlign w:val="baseline"/>
        </w:rPr>
        <w:t>le</w:t>
      </w:r>
      <w:r>
        <w:rPr>
          <w:color w:val="231F20"/>
          <w:spacing w:val="-11"/>
          <w:vertAlign w:val="baseline"/>
        </w:rPr>
        <w:t> </w:t>
      </w:r>
      <w:r>
        <w:rPr>
          <w:color w:val="231F20"/>
          <w:vertAlign w:val="baseline"/>
        </w:rPr>
        <w:t>20</w:t>
      </w:r>
      <w:r>
        <w:rPr>
          <w:color w:val="231F20"/>
          <w:spacing w:val="-11"/>
          <w:vertAlign w:val="baseline"/>
        </w:rPr>
        <w:t> </w:t>
      </w:r>
      <w:r>
        <w:rPr>
          <w:color w:val="231F20"/>
          <w:vertAlign w:val="baseline"/>
        </w:rPr>
        <w:t>juillet,</w:t>
      </w:r>
      <w:r>
        <w:rPr>
          <w:color w:val="231F20"/>
          <w:spacing w:val="-13"/>
          <w:vertAlign w:val="baseline"/>
        </w:rPr>
        <w:t> </w:t>
      </w:r>
      <w:r>
        <w:rPr>
          <w:color w:val="231F20"/>
          <w:vertAlign w:val="baseline"/>
        </w:rPr>
        <w:t>des</w:t>
      </w:r>
      <w:r>
        <w:rPr>
          <w:color w:val="231F20"/>
          <w:spacing w:val="-13"/>
          <w:vertAlign w:val="baseline"/>
        </w:rPr>
        <w:t> </w:t>
      </w:r>
      <w:r>
        <w:rPr>
          <w:color w:val="231F20"/>
          <w:vertAlign w:val="baseline"/>
        </w:rPr>
        <w:t>ministres</w:t>
      </w:r>
      <w:r>
        <w:rPr>
          <w:color w:val="231F20"/>
          <w:spacing w:val="-11"/>
          <w:vertAlign w:val="baseline"/>
        </w:rPr>
        <w:t> </w:t>
      </w:r>
      <w:r>
        <w:rPr>
          <w:color w:val="231F20"/>
          <w:vertAlign w:val="baseline"/>
        </w:rPr>
        <w:t>sont</w:t>
      </w:r>
      <w:r>
        <w:rPr>
          <w:color w:val="231F20"/>
          <w:spacing w:val="-11"/>
          <w:vertAlign w:val="baseline"/>
        </w:rPr>
        <w:t> </w:t>
      </w:r>
      <w:r>
        <w:rPr>
          <w:color w:val="231F20"/>
          <w:vertAlign w:val="baseline"/>
        </w:rPr>
        <w:t>limogés mais…</w:t>
      </w:r>
      <w:r>
        <w:rPr>
          <w:color w:val="231F20"/>
          <w:spacing w:val="-4"/>
          <w:vertAlign w:val="baseline"/>
        </w:rPr>
        <w:t> </w:t>
      </w:r>
      <w:r>
        <w:rPr>
          <w:color w:val="231F20"/>
          <w:vertAlign w:val="baseline"/>
        </w:rPr>
        <w:t>affectés</w:t>
      </w:r>
      <w:r>
        <w:rPr>
          <w:color w:val="231F20"/>
          <w:spacing w:val="-2"/>
          <w:vertAlign w:val="baseline"/>
        </w:rPr>
        <w:t> </w:t>
      </w:r>
      <w:r>
        <w:rPr>
          <w:color w:val="231F20"/>
          <w:vertAlign w:val="baseline"/>
        </w:rPr>
        <w:t>à</w:t>
      </w:r>
      <w:r>
        <w:rPr>
          <w:color w:val="231F20"/>
          <w:spacing w:val="-2"/>
          <w:vertAlign w:val="baseline"/>
        </w:rPr>
        <w:t> </w:t>
      </w:r>
      <w:r>
        <w:rPr>
          <w:color w:val="231F20"/>
          <w:vertAlign w:val="baseline"/>
        </w:rPr>
        <w:t>d’autres</w:t>
      </w:r>
      <w:r>
        <w:rPr>
          <w:color w:val="231F20"/>
          <w:spacing w:val="-4"/>
          <w:vertAlign w:val="baseline"/>
        </w:rPr>
        <w:t> </w:t>
      </w:r>
      <w:r>
        <w:rPr>
          <w:color w:val="231F20"/>
          <w:vertAlign w:val="baseline"/>
        </w:rPr>
        <w:t>postes</w:t>
      </w:r>
      <w:r>
        <w:rPr>
          <w:color w:val="231F20"/>
          <w:spacing w:val="-2"/>
          <w:vertAlign w:val="baseline"/>
        </w:rPr>
        <w:t> </w:t>
      </w:r>
      <w:r>
        <w:rPr>
          <w:color w:val="231F20"/>
          <w:vertAlign w:val="baseline"/>
        </w:rPr>
        <w:t>où…</w:t>
      </w:r>
      <w:r>
        <w:rPr>
          <w:color w:val="231F20"/>
          <w:spacing w:val="-2"/>
          <w:vertAlign w:val="baseline"/>
        </w:rPr>
        <w:t> </w:t>
      </w:r>
      <w:r>
        <w:rPr>
          <w:color w:val="231F20"/>
          <w:vertAlign w:val="baseline"/>
        </w:rPr>
        <w:t>circule</w:t>
      </w:r>
      <w:r>
        <w:rPr>
          <w:color w:val="231F20"/>
          <w:spacing w:val="-2"/>
          <w:vertAlign w:val="baseline"/>
        </w:rPr>
        <w:t> </w:t>
      </w:r>
      <w:r>
        <w:rPr>
          <w:color w:val="231F20"/>
          <w:vertAlign w:val="baseline"/>
        </w:rPr>
        <w:t>l’argent.</w:t>
      </w:r>
    </w:p>
    <w:p>
      <w:pPr>
        <w:pStyle w:val="BodyText"/>
        <w:spacing w:before="121"/>
        <w:ind w:right="105" w:firstLine="283"/>
      </w:pPr>
      <w:r>
        <w:rPr>
          <w:color w:val="231F20"/>
        </w:rPr>
        <w:t>A partir de 1978, la chute brutale des cours mondiaux du café et du cacao</w:t>
      </w:r>
      <w:r>
        <w:rPr>
          <w:color w:val="231F20"/>
          <w:spacing w:val="-13"/>
        </w:rPr>
        <w:t> </w:t>
      </w:r>
      <w:r>
        <w:rPr>
          <w:color w:val="231F20"/>
        </w:rPr>
        <w:t>entraîne</w:t>
      </w:r>
      <w:r>
        <w:rPr>
          <w:color w:val="231F20"/>
          <w:spacing w:val="-12"/>
        </w:rPr>
        <w:t> </w:t>
      </w:r>
      <w:r>
        <w:rPr>
          <w:color w:val="231F20"/>
        </w:rPr>
        <w:t>un</w:t>
      </w:r>
      <w:r>
        <w:rPr>
          <w:color w:val="231F20"/>
          <w:spacing w:val="-13"/>
        </w:rPr>
        <w:t> </w:t>
      </w:r>
      <w:r>
        <w:rPr>
          <w:color w:val="231F20"/>
        </w:rPr>
        <w:t>sérieux</w:t>
      </w:r>
      <w:r>
        <w:rPr>
          <w:color w:val="231F20"/>
          <w:spacing w:val="-14"/>
        </w:rPr>
        <w:t> </w:t>
      </w:r>
      <w:r>
        <w:rPr>
          <w:color w:val="231F20"/>
        </w:rPr>
        <w:t>ralentissement</w:t>
      </w:r>
      <w:r>
        <w:rPr>
          <w:color w:val="231F20"/>
          <w:spacing w:val="-13"/>
        </w:rPr>
        <w:t> </w:t>
      </w:r>
      <w:r>
        <w:rPr>
          <w:color w:val="231F20"/>
        </w:rPr>
        <w:t>de</w:t>
      </w:r>
      <w:r>
        <w:rPr>
          <w:color w:val="231F20"/>
          <w:spacing w:val="-13"/>
        </w:rPr>
        <w:t> </w:t>
      </w:r>
      <w:r>
        <w:rPr>
          <w:color w:val="231F20"/>
        </w:rPr>
        <w:t>l’Économie</w:t>
      </w:r>
      <w:r>
        <w:rPr>
          <w:color w:val="231F20"/>
          <w:spacing w:val="-13"/>
        </w:rPr>
        <w:t> </w:t>
      </w:r>
      <w:r>
        <w:rPr>
          <w:color w:val="231F20"/>
        </w:rPr>
        <w:t>ivoirienne.</w:t>
      </w:r>
      <w:r>
        <w:rPr>
          <w:color w:val="231F20"/>
          <w:spacing w:val="-13"/>
        </w:rPr>
        <w:t> </w:t>
      </w:r>
      <w:r>
        <w:rPr>
          <w:color w:val="231F20"/>
        </w:rPr>
        <w:t>Dès </w:t>
      </w:r>
      <w:r>
        <w:rPr>
          <w:color w:val="231F20"/>
          <w:spacing w:val="-2"/>
        </w:rPr>
        <w:t>1979,</w:t>
      </w:r>
      <w:r>
        <w:rPr>
          <w:color w:val="231F20"/>
          <w:spacing w:val="-13"/>
        </w:rPr>
        <w:t> </w:t>
      </w:r>
      <w:r>
        <w:rPr>
          <w:color w:val="231F20"/>
          <w:spacing w:val="-2"/>
        </w:rPr>
        <w:t>Houphouët-Boigny</w:t>
      </w:r>
      <w:r>
        <w:rPr>
          <w:color w:val="231F20"/>
          <w:spacing w:val="-13"/>
        </w:rPr>
        <w:t> </w:t>
      </w:r>
      <w:r>
        <w:rPr>
          <w:color w:val="231F20"/>
          <w:spacing w:val="-2"/>
        </w:rPr>
        <w:t>gèle</w:t>
      </w:r>
      <w:r>
        <w:rPr>
          <w:color w:val="231F20"/>
          <w:spacing w:val="-13"/>
        </w:rPr>
        <w:t> </w:t>
      </w:r>
      <w:r>
        <w:rPr>
          <w:color w:val="231F20"/>
          <w:spacing w:val="-2"/>
        </w:rPr>
        <w:t>les</w:t>
      </w:r>
      <w:r>
        <w:rPr>
          <w:color w:val="231F20"/>
          <w:spacing w:val="-13"/>
        </w:rPr>
        <w:t> </w:t>
      </w:r>
      <w:r>
        <w:rPr>
          <w:color w:val="231F20"/>
          <w:spacing w:val="-2"/>
        </w:rPr>
        <w:t>exportations</w:t>
      </w:r>
      <w:r>
        <w:rPr>
          <w:color w:val="231F20"/>
          <w:spacing w:val="-13"/>
        </w:rPr>
        <w:t> </w:t>
      </w:r>
      <w:r>
        <w:rPr>
          <w:color w:val="231F20"/>
          <w:spacing w:val="-2"/>
        </w:rPr>
        <w:t>dans</w:t>
      </w:r>
      <w:r>
        <w:rPr>
          <w:color w:val="231F20"/>
          <w:spacing w:val="-13"/>
        </w:rPr>
        <w:t> </w:t>
      </w:r>
      <w:r>
        <w:rPr>
          <w:color w:val="231F20"/>
          <w:spacing w:val="-2"/>
        </w:rPr>
        <w:t>l’espoir</w:t>
      </w:r>
      <w:r>
        <w:rPr>
          <w:color w:val="231F20"/>
          <w:spacing w:val="-13"/>
        </w:rPr>
        <w:t> </w:t>
      </w:r>
      <w:r>
        <w:rPr>
          <w:color w:val="231F20"/>
          <w:spacing w:val="-2"/>
        </w:rPr>
        <w:t>de</w:t>
      </w:r>
      <w:r>
        <w:rPr>
          <w:color w:val="231F20"/>
          <w:spacing w:val="-13"/>
        </w:rPr>
        <w:t> </w:t>
      </w:r>
      <w:r>
        <w:rPr>
          <w:color w:val="231F20"/>
          <w:spacing w:val="-2"/>
        </w:rPr>
        <w:t>forcer</w:t>
      </w:r>
      <w:r>
        <w:rPr>
          <w:color w:val="231F20"/>
          <w:spacing w:val="-13"/>
        </w:rPr>
        <w:t> </w:t>
      </w:r>
      <w:r>
        <w:rPr>
          <w:color w:val="231F20"/>
          <w:spacing w:val="-2"/>
        </w:rPr>
        <w:t>les </w:t>
      </w:r>
      <w:r>
        <w:rPr>
          <w:color w:val="231F20"/>
        </w:rPr>
        <w:t>cours</w:t>
      </w:r>
      <w:r>
        <w:rPr>
          <w:color w:val="231F20"/>
          <w:spacing w:val="-1"/>
        </w:rPr>
        <w:t> </w:t>
      </w:r>
      <w:r>
        <w:rPr>
          <w:color w:val="231F20"/>
        </w:rPr>
        <w:t>mondiaux à augmenter. Mais,</w:t>
      </w:r>
      <w:r>
        <w:rPr>
          <w:color w:val="231F20"/>
          <w:spacing w:val="-2"/>
        </w:rPr>
        <w:t> </w:t>
      </w:r>
      <w:r>
        <w:rPr>
          <w:color w:val="231F20"/>
        </w:rPr>
        <w:t>il est seul.</w:t>
      </w:r>
      <w:r>
        <w:rPr>
          <w:color w:val="231F20"/>
          <w:spacing w:val="-3"/>
        </w:rPr>
        <w:t> </w:t>
      </w:r>
      <w:r>
        <w:rPr>
          <w:color w:val="231F20"/>
        </w:rPr>
        <w:t>Sans</w:t>
      </w:r>
      <w:r>
        <w:rPr>
          <w:color w:val="231F20"/>
          <w:spacing w:val="-1"/>
        </w:rPr>
        <w:t> </w:t>
      </w:r>
      <w:r>
        <w:rPr>
          <w:color w:val="231F20"/>
        </w:rPr>
        <w:t>le soutien du reste </w:t>
      </w:r>
      <w:r>
        <w:rPr>
          <w:color w:val="231F20"/>
          <w:spacing w:val="-2"/>
        </w:rPr>
        <w:t>des</w:t>
      </w:r>
      <w:r>
        <w:rPr>
          <w:color w:val="231F20"/>
          <w:spacing w:val="-12"/>
        </w:rPr>
        <w:t> </w:t>
      </w:r>
      <w:r>
        <w:rPr>
          <w:color w:val="231F20"/>
          <w:spacing w:val="-2"/>
        </w:rPr>
        <w:t>producteurs</w:t>
      </w:r>
      <w:r>
        <w:rPr>
          <w:color w:val="231F20"/>
          <w:spacing w:val="-12"/>
        </w:rPr>
        <w:t> </w:t>
      </w:r>
      <w:r>
        <w:rPr>
          <w:color w:val="231F20"/>
          <w:spacing w:val="-2"/>
        </w:rPr>
        <w:t>africains,</w:t>
      </w:r>
      <w:r>
        <w:rPr>
          <w:color w:val="231F20"/>
          <w:spacing w:val="-13"/>
        </w:rPr>
        <w:t> </w:t>
      </w:r>
      <w:r>
        <w:rPr>
          <w:color w:val="231F20"/>
          <w:spacing w:val="-2"/>
        </w:rPr>
        <w:t>la</w:t>
      </w:r>
      <w:r>
        <w:rPr>
          <w:color w:val="231F20"/>
          <w:spacing w:val="-12"/>
        </w:rPr>
        <w:t> </w:t>
      </w:r>
      <w:r>
        <w:rPr>
          <w:color w:val="231F20"/>
          <w:spacing w:val="-2"/>
        </w:rPr>
        <w:t>Côte</w:t>
      </w:r>
      <w:r>
        <w:rPr>
          <w:color w:val="231F20"/>
          <w:spacing w:val="-12"/>
        </w:rPr>
        <w:t> </w:t>
      </w:r>
      <w:r>
        <w:rPr>
          <w:color w:val="231F20"/>
          <w:spacing w:val="-2"/>
        </w:rPr>
        <w:t>d’Ivoire</w:t>
      </w:r>
      <w:r>
        <w:rPr>
          <w:color w:val="231F20"/>
          <w:spacing w:val="-12"/>
        </w:rPr>
        <w:t> </w:t>
      </w:r>
      <w:r>
        <w:rPr>
          <w:color w:val="231F20"/>
          <w:spacing w:val="-2"/>
        </w:rPr>
        <w:t>enregistre,</w:t>
      </w:r>
      <w:r>
        <w:rPr>
          <w:color w:val="231F20"/>
          <w:spacing w:val="-12"/>
        </w:rPr>
        <w:t> </w:t>
      </w:r>
      <w:r>
        <w:rPr>
          <w:color w:val="231F20"/>
          <w:spacing w:val="-2"/>
        </w:rPr>
        <w:t>entre</w:t>
      </w:r>
      <w:r>
        <w:rPr>
          <w:color w:val="231F20"/>
          <w:spacing w:val="-11"/>
        </w:rPr>
        <w:t> </w:t>
      </w:r>
      <w:r>
        <w:rPr>
          <w:color w:val="231F20"/>
          <w:spacing w:val="-2"/>
        </w:rPr>
        <w:t>1980</w:t>
      </w:r>
      <w:r>
        <w:rPr>
          <w:color w:val="231F20"/>
          <w:spacing w:val="-11"/>
        </w:rPr>
        <w:t> </w:t>
      </w:r>
      <w:r>
        <w:rPr>
          <w:color w:val="231F20"/>
          <w:spacing w:val="-2"/>
        </w:rPr>
        <w:t>et</w:t>
      </w:r>
      <w:r>
        <w:rPr>
          <w:color w:val="231F20"/>
          <w:spacing w:val="-11"/>
        </w:rPr>
        <w:t> </w:t>
      </w:r>
      <w:r>
        <w:rPr>
          <w:color w:val="231F20"/>
          <w:spacing w:val="-2"/>
        </w:rPr>
        <w:t>1982, plus</w:t>
      </w:r>
      <w:r>
        <w:rPr>
          <w:color w:val="231F20"/>
          <w:spacing w:val="-12"/>
        </w:rPr>
        <w:t> </w:t>
      </w:r>
      <w:r>
        <w:rPr>
          <w:color w:val="231F20"/>
          <w:spacing w:val="-2"/>
        </w:rPr>
        <w:t>de</w:t>
      </w:r>
      <w:r>
        <w:rPr>
          <w:color w:val="231F20"/>
          <w:spacing w:val="-12"/>
        </w:rPr>
        <w:t> </w:t>
      </w:r>
      <w:r>
        <w:rPr>
          <w:color w:val="231F20"/>
          <w:spacing w:val="-2"/>
        </w:rPr>
        <w:t>700</w:t>
      </w:r>
      <w:r>
        <w:rPr>
          <w:color w:val="231F20"/>
          <w:spacing w:val="-12"/>
        </w:rPr>
        <w:t> </w:t>
      </w:r>
      <w:r>
        <w:rPr>
          <w:color w:val="231F20"/>
          <w:spacing w:val="-2"/>
        </w:rPr>
        <w:t>milliards</w:t>
      </w:r>
      <w:r>
        <w:rPr>
          <w:color w:val="231F20"/>
          <w:spacing w:val="-12"/>
        </w:rPr>
        <w:t> </w:t>
      </w:r>
      <w:r>
        <w:rPr>
          <w:color w:val="231F20"/>
          <w:spacing w:val="-2"/>
        </w:rPr>
        <w:t>de</w:t>
      </w:r>
      <w:r>
        <w:rPr>
          <w:color w:val="231F20"/>
          <w:spacing w:val="-12"/>
        </w:rPr>
        <w:t> </w:t>
      </w:r>
      <w:r>
        <w:rPr>
          <w:color w:val="231F20"/>
          <w:spacing w:val="-2"/>
        </w:rPr>
        <w:t>francs</w:t>
      </w:r>
      <w:r>
        <w:rPr>
          <w:color w:val="231F20"/>
          <w:spacing w:val="-12"/>
        </w:rPr>
        <w:t> </w:t>
      </w:r>
      <w:r>
        <w:rPr>
          <w:color w:val="231F20"/>
          <w:spacing w:val="-2"/>
        </w:rPr>
        <w:t>CFA</w:t>
      </w:r>
      <w:r>
        <w:rPr>
          <w:color w:val="231F20"/>
          <w:spacing w:val="-12"/>
        </w:rPr>
        <w:t> </w:t>
      </w:r>
      <w:r>
        <w:rPr>
          <w:color w:val="231F20"/>
          <w:spacing w:val="-2"/>
        </w:rPr>
        <w:t>de</w:t>
      </w:r>
      <w:r>
        <w:rPr>
          <w:color w:val="231F20"/>
          <w:spacing w:val="-12"/>
        </w:rPr>
        <w:t> </w:t>
      </w:r>
      <w:r>
        <w:rPr>
          <w:color w:val="231F20"/>
          <w:spacing w:val="-2"/>
        </w:rPr>
        <w:t>perte.</w:t>
      </w:r>
      <w:r>
        <w:rPr>
          <w:color w:val="231F20"/>
          <w:spacing w:val="-12"/>
        </w:rPr>
        <w:t> </w:t>
      </w:r>
      <w:r>
        <w:rPr>
          <w:color w:val="231F20"/>
          <w:spacing w:val="-2"/>
        </w:rPr>
        <w:t>Houphouët-Boigny</w:t>
      </w:r>
      <w:r>
        <w:rPr>
          <w:color w:val="231F20"/>
          <w:spacing w:val="-13"/>
        </w:rPr>
        <w:t> </w:t>
      </w:r>
      <w:r>
        <w:rPr>
          <w:color w:val="231F20"/>
          <w:spacing w:val="-2"/>
        </w:rPr>
        <w:t>se</w:t>
      </w:r>
      <w:r>
        <w:rPr>
          <w:color w:val="231F20"/>
          <w:spacing w:val="-13"/>
        </w:rPr>
        <w:t> </w:t>
      </w:r>
      <w:r>
        <w:rPr>
          <w:color w:val="231F20"/>
          <w:spacing w:val="-2"/>
        </w:rPr>
        <w:t>rend </w:t>
      </w:r>
      <w:r>
        <w:rPr>
          <w:color w:val="231F20"/>
        </w:rPr>
        <w:t>en</w:t>
      </w:r>
      <w:r>
        <w:rPr>
          <w:color w:val="231F20"/>
          <w:spacing w:val="-10"/>
        </w:rPr>
        <w:t> </w:t>
      </w:r>
      <w:r>
        <w:rPr>
          <w:color w:val="231F20"/>
        </w:rPr>
        <w:t>1983,</w:t>
      </w:r>
      <w:r>
        <w:rPr>
          <w:color w:val="231F20"/>
          <w:spacing w:val="-10"/>
        </w:rPr>
        <w:t> </w:t>
      </w:r>
      <w:r>
        <w:rPr>
          <w:color w:val="231F20"/>
        </w:rPr>
        <w:t>à</w:t>
      </w:r>
      <w:r>
        <w:rPr>
          <w:color w:val="231F20"/>
          <w:spacing w:val="-10"/>
        </w:rPr>
        <w:t> </w:t>
      </w:r>
      <w:r>
        <w:rPr>
          <w:color w:val="231F20"/>
        </w:rPr>
        <w:t>Londres,</w:t>
      </w:r>
      <w:r>
        <w:rPr>
          <w:color w:val="231F20"/>
          <w:spacing w:val="-10"/>
        </w:rPr>
        <w:t> </w:t>
      </w:r>
      <w:r>
        <w:rPr>
          <w:color w:val="231F20"/>
        </w:rPr>
        <w:t>pour</w:t>
      </w:r>
      <w:r>
        <w:rPr>
          <w:color w:val="231F20"/>
          <w:spacing w:val="-10"/>
        </w:rPr>
        <w:t> </w:t>
      </w:r>
      <w:r>
        <w:rPr>
          <w:color w:val="231F20"/>
        </w:rPr>
        <w:t>négocier</w:t>
      </w:r>
      <w:r>
        <w:rPr>
          <w:color w:val="231F20"/>
          <w:spacing w:val="-10"/>
        </w:rPr>
        <w:t> </w:t>
      </w:r>
      <w:r>
        <w:rPr>
          <w:color w:val="231F20"/>
        </w:rPr>
        <w:t>un</w:t>
      </w:r>
      <w:r>
        <w:rPr>
          <w:color w:val="231F20"/>
          <w:spacing w:val="-10"/>
        </w:rPr>
        <w:t> </w:t>
      </w:r>
      <w:r>
        <w:rPr>
          <w:color w:val="231F20"/>
        </w:rPr>
        <w:t>accord</w:t>
      </w:r>
      <w:r>
        <w:rPr>
          <w:color w:val="231F20"/>
          <w:spacing w:val="-10"/>
        </w:rPr>
        <w:t> </w:t>
      </w:r>
      <w:r>
        <w:rPr>
          <w:color w:val="231F20"/>
        </w:rPr>
        <w:t>sur</w:t>
      </w:r>
      <w:r>
        <w:rPr>
          <w:color w:val="231F20"/>
          <w:spacing w:val="-11"/>
        </w:rPr>
        <w:t> </w:t>
      </w:r>
      <w:r>
        <w:rPr>
          <w:color w:val="231F20"/>
        </w:rPr>
        <w:t>le</w:t>
      </w:r>
      <w:r>
        <w:rPr>
          <w:color w:val="231F20"/>
          <w:spacing w:val="-10"/>
        </w:rPr>
        <w:t> </w:t>
      </w:r>
      <w:r>
        <w:rPr>
          <w:color w:val="231F20"/>
        </w:rPr>
        <w:t>café</w:t>
      </w:r>
      <w:r>
        <w:rPr>
          <w:color w:val="231F20"/>
          <w:spacing w:val="-10"/>
        </w:rPr>
        <w:t> </w:t>
      </w:r>
      <w:r>
        <w:rPr>
          <w:color w:val="231F20"/>
        </w:rPr>
        <w:t>et</w:t>
      </w:r>
      <w:r>
        <w:rPr>
          <w:color w:val="231F20"/>
          <w:spacing w:val="-10"/>
        </w:rPr>
        <w:t> </w:t>
      </w:r>
      <w:r>
        <w:rPr>
          <w:color w:val="231F20"/>
        </w:rPr>
        <w:t>le</w:t>
      </w:r>
      <w:r>
        <w:rPr>
          <w:color w:val="231F20"/>
          <w:spacing w:val="-10"/>
        </w:rPr>
        <w:t> </w:t>
      </w:r>
      <w:r>
        <w:rPr>
          <w:color w:val="231F20"/>
        </w:rPr>
        <w:t>cacao</w:t>
      </w:r>
      <w:r>
        <w:rPr>
          <w:color w:val="231F20"/>
          <w:spacing w:val="-10"/>
        </w:rPr>
        <w:t> </w:t>
      </w:r>
      <w:r>
        <w:rPr>
          <w:color w:val="231F20"/>
        </w:rPr>
        <w:t>avec les</w:t>
      </w:r>
      <w:r>
        <w:rPr>
          <w:color w:val="231F20"/>
          <w:spacing w:val="-11"/>
        </w:rPr>
        <w:t> </w:t>
      </w:r>
      <w:r>
        <w:rPr>
          <w:color w:val="231F20"/>
        </w:rPr>
        <w:t>négociants</w:t>
      </w:r>
      <w:r>
        <w:rPr>
          <w:color w:val="231F20"/>
          <w:spacing w:val="-11"/>
        </w:rPr>
        <w:t> </w:t>
      </w:r>
      <w:r>
        <w:rPr>
          <w:color w:val="231F20"/>
        </w:rPr>
        <w:t>et</w:t>
      </w:r>
      <w:r>
        <w:rPr>
          <w:color w:val="231F20"/>
          <w:spacing w:val="-11"/>
        </w:rPr>
        <w:t> </w:t>
      </w:r>
      <w:r>
        <w:rPr>
          <w:color w:val="231F20"/>
        </w:rPr>
        <w:t>les</w:t>
      </w:r>
      <w:r>
        <w:rPr>
          <w:color w:val="231F20"/>
          <w:spacing w:val="-14"/>
        </w:rPr>
        <w:t> </w:t>
      </w:r>
      <w:r>
        <w:rPr>
          <w:color w:val="231F20"/>
        </w:rPr>
        <w:t>industriels.</w:t>
      </w:r>
      <w:r>
        <w:rPr>
          <w:color w:val="231F20"/>
          <w:spacing w:val="-11"/>
        </w:rPr>
        <w:t> </w:t>
      </w:r>
      <w:r>
        <w:rPr>
          <w:color w:val="231F20"/>
        </w:rPr>
        <w:t>Sans</w:t>
      </w:r>
      <w:r>
        <w:rPr>
          <w:color w:val="231F20"/>
          <w:spacing w:val="-11"/>
        </w:rPr>
        <w:t> </w:t>
      </w:r>
      <w:r>
        <w:rPr>
          <w:color w:val="231F20"/>
        </w:rPr>
        <w:t>succès.</w:t>
      </w:r>
      <w:r>
        <w:rPr>
          <w:color w:val="231F20"/>
          <w:spacing w:val="-9"/>
        </w:rPr>
        <w:t> </w:t>
      </w:r>
      <w:r>
        <w:rPr>
          <w:color w:val="231F20"/>
        </w:rPr>
        <w:t>Les</w:t>
      </w:r>
      <w:r>
        <w:rPr>
          <w:color w:val="231F20"/>
          <w:spacing w:val="-11"/>
        </w:rPr>
        <w:t> </w:t>
      </w:r>
      <w:r>
        <w:rPr>
          <w:color w:val="231F20"/>
        </w:rPr>
        <w:t>planteurs</w:t>
      </w:r>
      <w:r>
        <w:rPr>
          <w:color w:val="231F20"/>
          <w:spacing w:val="-11"/>
        </w:rPr>
        <w:t> </w:t>
      </w:r>
      <w:r>
        <w:rPr>
          <w:color w:val="231F20"/>
        </w:rPr>
        <w:t>de</w:t>
      </w:r>
      <w:r>
        <w:rPr>
          <w:color w:val="231F20"/>
          <w:spacing w:val="-12"/>
        </w:rPr>
        <w:t> </w:t>
      </w:r>
      <w:r>
        <w:rPr>
          <w:color w:val="231F20"/>
        </w:rPr>
        <w:t>café</w:t>
      </w:r>
      <w:r>
        <w:rPr>
          <w:color w:val="231F20"/>
          <w:spacing w:val="-12"/>
        </w:rPr>
        <w:t> </w:t>
      </w:r>
      <w:r>
        <w:rPr>
          <w:color w:val="231F20"/>
        </w:rPr>
        <w:t>et</w:t>
      </w:r>
      <w:r>
        <w:rPr>
          <w:color w:val="231F20"/>
          <w:spacing w:val="-11"/>
        </w:rPr>
        <w:t> </w:t>
      </w:r>
      <w:r>
        <w:rPr>
          <w:color w:val="231F20"/>
        </w:rPr>
        <w:t>de cacao</w:t>
      </w:r>
      <w:r>
        <w:rPr>
          <w:color w:val="231F20"/>
          <w:spacing w:val="-15"/>
        </w:rPr>
        <w:t> </w:t>
      </w:r>
      <w:r>
        <w:rPr>
          <w:color w:val="231F20"/>
        </w:rPr>
        <w:t>se</w:t>
      </w:r>
      <w:r>
        <w:rPr>
          <w:color w:val="231F20"/>
          <w:spacing w:val="-15"/>
        </w:rPr>
        <w:t> </w:t>
      </w:r>
      <w:r>
        <w:rPr>
          <w:color w:val="231F20"/>
        </w:rPr>
        <w:t>tournent,</w:t>
      </w:r>
      <w:r>
        <w:rPr>
          <w:color w:val="231F20"/>
          <w:spacing w:val="-15"/>
        </w:rPr>
        <w:t> </w:t>
      </w:r>
      <w:r>
        <w:rPr>
          <w:color w:val="231F20"/>
        </w:rPr>
        <w:t>confiants,</w:t>
      </w:r>
      <w:r>
        <w:rPr>
          <w:color w:val="231F20"/>
          <w:spacing w:val="-15"/>
        </w:rPr>
        <w:t> </w:t>
      </w:r>
      <w:r>
        <w:rPr>
          <w:color w:val="231F20"/>
        </w:rPr>
        <w:t>vers</w:t>
      </w:r>
      <w:r>
        <w:rPr>
          <w:color w:val="231F20"/>
          <w:spacing w:val="-15"/>
        </w:rPr>
        <w:t> </w:t>
      </w:r>
      <w:r>
        <w:rPr>
          <w:color w:val="231F20"/>
        </w:rPr>
        <w:t>la</w:t>
      </w:r>
      <w:r>
        <w:rPr>
          <w:color w:val="231F20"/>
          <w:spacing w:val="-15"/>
        </w:rPr>
        <w:t> </w:t>
      </w:r>
      <w:r>
        <w:rPr>
          <w:color w:val="231F20"/>
        </w:rPr>
        <w:t>Caisse</w:t>
      </w:r>
      <w:r>
        <w:rPr>
          <w:color w:val="231F20"/>
          <w:spacing w:val="-15"/>
        </w:rPr>
        <w:t> </w:t>
      </w:r>
      <w:r>
        <w:rPr>
          <w:color w:val="231F20"/>
        </w:rPr>
        <w:t>de</w:t>
      </w:r>
      <w:r>
        <w:rPr>
          <w:color w:val="231F20"/>
          <w:spacing w:val="-15"/>
        </w:rPr>
        <w:t> </w:t>
      </w:r>
      <w:r>
        <w:rPr>
          <w:color w:val="231F20"/>
        </w:rPr>
        <w:t>stabilisation.</w:t>
      </w:r>
      <w:r>
        <w:rPr>
          <w:color w:val="231F20"/>
          <w:spacing w:val="-15"/>
        </w:rPr>
        <w:t> </w:t>
      </w:r>
      <w:r>
        <w:rPr>
          <w:color w:val="231F20"/>
        </w:rPr>
        <w:t>Cette</w:t>
      </w:r>
      <w:r>
        <w:rPr>
          <w:color w:val="231F20"/>
          <w:spacing w:val="-15"/>
        </w:rPr>
        <w:t> </w:t>
      </w:r>
      <w:r>
        <w:rPr>
          <w:color w:val="231F20"/>
        </w:rPr>
        <w:t>Caisse </w:t>
      </w:r>
      <w:r>
        <w:rPr>
          <w:color w:val="231F20"/>
          <w:spacing w:val="-2"/>
        </w:rPr>
        <w:t>créée</w:t>
      </w:r>
      <w:r>
        <w:rPr>
          <w:color w:val="231F20"/>
          <w:spacing w:val="-13"/>
        </w:rPr>
        <w:t> </w:t>
      </w:r>
      <w:r>
        <w:rPr>
          <w:color w:val="231F20"/>
          <w:spacing w:val="-2"/>
        </w:rPr>
        <w:t>dès</w:t>
      </w:r>
      <w:r>
        <w:rPr>
          <w:color w:val="231F20"/>
          <w:spacing w:val="-13"/>
        </w:rPr>
        <w:t> </w:t>
      </w:r>
      <w:r>
        <w:rPr>
          <w:color w:val="231F20"/>
          <w:spacing w:val="-2"/>
        </w:rPr>
        <w:t>les</w:t>
      </w:r>
      <w:r>
        <w:rPr>
          <w:color w:val="231F20"/>
          <w:spacing w:val="-13"/>
        </w:rPr>
        <w:t> </w:t>
      </w:r>
      <w:r>
        <w:rPr>
          <w:color w:val="231F20"/>
          <w:spacing w:val="-2"/>
        </w:rPr>
        <w:t>premières</w:t>
      </w:r>
      <w:r>
        <w:rPr>
          <w:color w:val="231F20"/>
          <w:spacing w:val="-13"/>
        </w:rPr>
        <w:t> </w:t>
      </w:r>
      <w:r>
        <w:rPr>
          <w:color w:val="231F20"/>
          <w:spacing w:val="-2"/>
        </w:rPr>
        <w:t>années</w:t>
      </w:r>
      <w:r>
        <w:rPr>
          <w:color w:val="231F20"/>
          <w:spacing w:val="-13"/>
        </w:rPr>
        <w:t> </w:t>
      </w:r>
      <w:r>
        <w:rPr>
          <w:color w:val="231F20"/>
          <w:spacing w:val="-2"/>
        </w:rPr>
        <w:t>de</w:t>
      </w:r>
      <w:r>
        <w:rPr>
          <w:color w:val="231F20"/>
          <w:spacing w:val="-13"/>
        </w:rPr>
        <w:t> </w:t>
      </w:r>
      <w:r>
        <w:rPr>
          <w:color w:val="231F20"/>
          <w:spacing w:val="-2"/>
        </w:rPr>
        <w:t>l'indépendance</w:t>
      </w:r>
      <w:r>
        <w:rPr>
          <w:color w:val="231F20"/>
          <w:spacing w:val="-13"/>
        </w:rPr>
        <w:t> </w:t>
      </w:r>
      <w:r>
        <w:rPr>
          <w:color w:val="231F20"/>
          <w:spacing w:val="-2"/>
        </w:rPr>
        <w:t>a</w:t>
      </w:r>
      <w:r>
        <w:rPr>
          <w:color w:val="231F20"/>
          <w:spacing w:val="-13"/>
        </w:rPr>
        <w:t> </w:t>
      </w:r>
      <w:r>
        <w:rPr>
          <w:color w:val="231F20"/>
          <w:spacing w:val="-2"/>
        </w:rPr>
        <w:t>pour</w:t>
      </w:r>
      <w:r>
        <w:rPr>
          <w:color w:val="231F20"/>
          <w:spacing w:val="-12"/>
        </w:rPr>
        <w:t> </w:t>
      </w:r>
      <w:r>
        <w:rPr>
          <w:color w:val="231F20"/>
          <w:spacing w:val="-2"/>
        </w:rPr>
        <w:t>rôle</w:t>
      </w:r>
      <w:r>
        <w:rPr>
          <w:color w:val="231F20"/>
          <w:spacing w:val="-13"/>
        </w:rPr>
        <w:t> </w:t>
      </w:r>
      <w:r>
        <w:rPr>
          <w:color w:val="231F20"/>
          <w:spacing w:val="-2"/>
        </w:rPr>
        <w:t>entre</w:t>
      </w:r>
      <w:r>
        <w:rPr>
          <w:color w:val="231F20"/>
          <w:spacing w:val="-13"/>
        </w:rPr>
        <w:t> </w:t>
      </w:r>
      <w:r>
        <w:rPr>
          <w:color w:val="231F20"/>
          <w:spacing w:val="-2"/>
        </w:rPr>
        <w:t>autres, </w:t>
      </w:r>
      <w:r>
        <w:rPr>
          <w:color w:val="231F20"/>
          <w:spacing w:val="-4"/>
        </w:rPr>
        <w:t>de</w:t>
      </w:r>
      <w:r>
        <w:rPr>
          <w:color w:val="231F20"/>
          <w:spacing w:val="-11"/>
        </w:rPr>
        <w:t> </w:t>
      </w:r>
      <w:r>
        <w:rPr>
          <w:color w:val="231F20"/>
          <w:spacing w:val="-4"/>
        </w:rPr>
        <w:t>les</w:t>
      </w:r>
      <w:r>
        <w:rPr>
          <w:color w:val="231F20"/>
          <w:spacing w:val="-11"/>
        </w:rPr>
        <w:t> </w:t>
      </w:r>
      <w:r>
        <w:rPr>
          <w:color w:val="231F20"/>
          <w:spacing w:val="-4"/>
        </w:rPr>
        <w:t>protéger,</w:t>
      </w:r>
      <w:r>
        <w:rPr>
          <w:color w:val="231F20"/>
          <w:spacing w:val="-11"/>
        </w:rPr>
        <w:t> </w:t>
      </w:r>
      <w:r>
        <w:rPr>
          <w:color w:val="231F20"/>
          <w:spacing w:val="-4"/>
        </w:rPr>
        <w:t>grâce</w:t>
      </w:r>
      <w:r>
        <w:rPr>
          <w:color w:val="231F20"/>
          <w:spacing w:val="-11"/>
        </w:rPr>
        <w:t> </w:t>
      </w:r>
      <w:r>
        <w:rPr>
          <w:color w:val="231F20"/>
          <w:spacing w:val="-4"/>
        </w:rPr>
        <w:t>à</w:t>
      </w:r>
      <w:r>
        <w:rPr>
          <w:color w:val="231F20"/>
          <w:spacing w:val="-11"/>
        </w:rPr>
        <w:t> </w:t>
      </w:r>
      <w:r>
        <w:rPr>
          <w:color w:val="231F20"/>
          <w:spacing w:val="-4"/>
        </w:rPr>
        <w:t>un</w:t>
      </w:r>
      <w:r>
        <w:rPr>
          <w:color w:val="231F20"/>
          <w:spacing w:val="-11"/>
        </w:rPr>
        <w:t> </w:t>
      </w:r>
      <w:r>
        <w:rPr>
          <w:color w:val="231F20"/>
          <w:spacing w:val="-4"/>
        </w:rPr>
        <w:t>mécanisme</w:t>
      </w:r>
      <w:r>
        <w:rPr>
          <w:color w:val="231F20"/>
          <w:spacing w:val="-11"/>
        </w:rPr>
        <w:t> </w:t>
      </w:r>
      <w:r>
        <w:rPr>
          <w:color w:val="231F20"/>
          <w:spacing w:val="-4"/>
        </w:rPr>
        <w:t>de</w:t>
      </w:r>
      <w:r>
        <w:rPr>
          <w:color w:val="231F20"/>
          <w:spacing w:val="-11"/>
        </w:rPr>
        <w:t> </w:t>
      </w:r>
      <w:r>
        <w:rPr>
          <w:color w:val="231F20"/>
          <w:spacing w:val="-4"/>
        </w:rPr>
        <w:t>garantie,</w:t>
      </w:r>
      <w:r>
        <w:rPr>
          <w:color w:val="231F20"/>
          <w:spacing w:val="-11"/>
        </w:rPr>
        <w:t> </w:t>
      </w:r>
      <w:r>
        <w:rPr>
          <w:color w:val="231F20"/>
          <w:spacing w:val="-4"/>
        </w:rPr>
        <w:t>des</w:t>
      </w:r>
      <w:r>
        <w:rPr>
          <w:color w:val="231F20"/>
          <w:spacing w:val="-11"/>
        </w:rPr>
        <w:t> </w:t>
      </w:r>
      <w:r>
        <w:rPr>
          <w:color w:val="231F20"/>
          <w:spacing w:val="-4"/>
        </w:rPr>
        <w:t>variations</w:t>
      </w:r>
      <w:r>
        <w:rPr>
          <w:color w:val="231F20"/>
          <w:spacing w:val="-11"/>
        </w:rPr>
        <w:t> </w:t>
      </w:r>
      <w:r>
        <w:rPr>
          <w:color w:val="231F20"/>
          <w:spacing w:val="-4"/>
        </w:rPr>
        <w:t>des</w:t>
      </w:r>
      <w:r>
        <w:rPr>
          <w:color w:val="231F20"/>
          <w:spacing w:val="-11"/>
        </w:rPr>
        <w:t> </w:t>
      </w:r>
      <w:r>
        <w:rPr>
          <w:color w:val="231F20"/>
          <w:spacing w:val="-4"/>
        </w:rPr>
        <w:t>cours </w:t>
      </w:r>
      <w:r>
        <w:rPr>
          <w:color w:val="231F20"/>
        </w:rPr>
        <w:t>internationaux de ces deux produits. Hélas, la Caisse est dans l’impossibilité de jouer sa partition</w:t>
      </w:r>
      <w:r>
        <w:rPr>
          <w:color w:val="231F20"/>
          <w:spacing w:val="-15"/>
        </w:rPr>
        <w:t> </w:t>
      </w:r>
      <w:r>
        <w:rPr>
          <w:color w:val="231F20"/>
        </w:rPr>
        <w:t>: les bénéfices du cacao ont été dilapidés</w:t>
      </w:r>
      <w:r>
        <w:rPr>
          <w:color w:val="231F20"/>
          <w:spacing w:val="-8"/>
        </w:rPr>
        <w:t> </w:t>
      </w:r>
      <w:r>
        <w:rPr>
          <w:color w:val="231F20"/>
        </w:rPr>
        <w:t>et</w:t>
      </w:r>
      <w:r>
        <w:rPr>
          <w:color w:val="231F20"/>
          <w:spacing w:val="-7"/>
        </w:rPr>
        <w:t> </w:t>
      </w:r>
      <w:r>
        <w:rPr>
          <w:color w:val="231F20"/>
        </w:rPr>
        <w:t>les</w:t>
      </w:r>
      <w:r>
        <w:rPr>
          <w:color w:val="231F20"/>
          <w:spacing w:val="-8"/>
        </w:rPr>
        <w:t> </w:t>
      </w:r>
      <w:r>
        <w:rPr>
          <w:color w:val="231F20"/>
        </w:rPr>
        <w:t>caisses</w:t>
      </w:r>
      <w:r>
        <w:rPr>
          <w:color w:val="231F20"/>
          <w:spacing w:val="-9"/>
        </w:rPr>
        <w:t> </w:t>
      </w:r>
      <w:r>
        <w:rPr>
          <w:color w:val="231F20"/>
        </w:rPr>
        <w:t>sont</w:t>
      </w:r>
      <w:r>
        <w:rPr>
          <w:color w:val="231F20"/>
          <w:spacing w:val="-8"/>
        </w:rPr>
        <w:t> </w:t>
      </w:r>
      <w:r>
        <w:rPr>
          <w:color w:val="231F20"/>
        </w:rPr>
        <w:t>vides.</w:t>
      </w:r>
      <w:r>
        <w:rPr>
          <w:color w:val="231F20"/>
          <w:spacing w:val="-5"/>
        </w:rPr>
        <w:t> </w:t>
      </w:r>
      <w:r>
        <w:rPr>
          <w:color w:val="231F20"/>
        </w:rPr>
        <w:t>Les</w:t>
      </w:r>
      <w:r>
        <w:rPr>
          <w:color w:val="231F20"/>
          <w:spacing w:val="-8"/>
        </w:rPr>
        <w:t> </w:t>
      </w:r>
      <w:r>
        <w:rPr>
          <w:color w:val="231F20"/>
        </w:rPr>
        <w:t>paysans</w:t>
      </w:r>
      <w:r>
        <w:rPr>
          <w:color w:val="231F20"/>
          <w:spacing w:val="-8"/>
        </w:rPr>
        <w:t> </w:t>
      </w:r>
      <w:r>
        <w:rPr>
          <w:color w:val="231F20"/>
        </w:rPr>
        <w:t>en</w:t>
      </w:r>
      <w:r>
        <w:rPr>
          <w:color w:val="231F20"/>
          <w:spacing w:val="-9"/>
        </w:rPr>
        <w:t> </w:t>
      </w:r>
      <w:r>
        <w:rPr>
          <w:color w:val="231F20"/>
        </w:rPr>
        <w:t>sont</w:t>
      </w:r>
      <w:r>
        <w:rPr>
          <w:color w:val="231F20"/>
          <w:spacing w:val="-8"/>
        </w:rPr>
        <w:t> </w:t>
      </w:r>
      <w:r>
        <w:rPr>
          <w:color w:val="231F20"/>
        </w:rPr>
        <w:t>réduits</w:t>
      </w:r>
      <w:r>
        <w:rPr>
          <w:color w:val="231F20"/>
          <w:spacing w:val="-6"/>
        </w:rPr>
        <w:t> </w:t>
      </w:r>
      <w:r>
        <w:rPr>
          <w:color w:val="231F20"/>
        </w:rPr>
        <w:t>à</w:t>
      </w:r>
      <w:r>
        <w:rPr>
          <w:color w:val="231F20"/>
          <w:spacing w:val="-8"/>
        </w:rPr>
        <w:t> </w:t>
      </w:r>
      <w:r>
        <w:rPr>
          <w:color w:val="231F20"/>
        </w:rPr>
        <w:t>subir</w:t>
      </w:r>
      <w:r>
        <w:rPr>
          <w:color w:val="231F20"/>
          <w:spacing w:val="-9"/>
        </w:rPr>
        <w:t> </w:t>
      </w:r>
      <w:r>
        <w:rPr>
          <w:color w:val="231F20"/>
        </w:rPr>
        <w:t>la </w:t>
      </w:r>
      <w:r>
        <w:rPr>
          <w:color w:val="231F20"/>
          <w:spacing w:val="-2"/>
        </w:rPr>
        <w:t>chute</w:t>
      </w:r>
      <w:r>
        <w:rPr>
          <w:color w:val="231F20"/>
          <w:spacing w:val="-13"/>
        </w:rPr>
        <w:t> </w:t>
      </w:r>
      <w:r>
        <w:rPr>
          <w:color w:val="231F20"/>
          <w:spacing w:val="-2"/>
        </w:rPr>
        <w:t>des</w:t>
      </w:r>
      <w:r>
        <w:rPr>
          <w:color w:val="231F20"/>
          <w:spacing w:val="-13"/>
        </w:rPr>
        <w:t> </w:t>
      </w:r>
      <w:r>
        <w:rPr>
          <w:color w:val="231F20"/>
          <w:spacing w:val="-2"/>
        </w:rPr>
        <w:t>cours</w:t>
      </w:r>
      <w:r>
        <w:rPr>
          <w:color w:val="231F20"/>
          <w:spacing w:val="-13"/>
        </w:rPr>
        <w:t> </w:t>
      </w:r>
      <w:r>
        <w:rPr>
          <w:color w:val="231F20"/>
          <w:spacing w:val="-2"/>
        </w:rPr>
        <w:t>de</w:t>
      </w:r>
      <w:r>
        <w:rPr>
          <w:color w:val="231F20"/>
          <w:spacing w:val="-13"/>
        </w:rPr>
        <w:t> </w:t>
      </w:r>
      <w:r>
        <w:rPr>
          <w:color w:val="231F20"/>
          <w:spacing w:val="-2"/>
        </w:rPr>
        <w:t>plein</w:t>
      </w:r>
      <w:r>
        <w:rPr>
          <w:color w:val="231F20"/>
          <w:spacing w:val="-12"/>
        </w:rPr>
        <w:t> </w:t>
      </w:r>
      <w:r>
        <w:rPr>
          <w:color w:val="231F20"/>
          <w:spacing w:val="-2"/>
        </w:rPr>
        <w:t>fouet.</w:t>
      </w:r>
      <w:r>
        <w:rPr>
          <w:color w:val="231F20"/>
          <w:spacing w:val="-13"/>
        </w:rPr>
        <w:t> </w:t>
      </w:r>
      <w:r>
        <w:rPr>
          <w:color w:val="231F20"/>
          <w:spacing w:val="-2"/>
        </w:rPr>
        <w:t>Cette</w:t>
      </w:r>
      <w:r>
        <w:rPr>
          <w:color w:val="231F20"/>
          <w:spacing w:val="-13"/>
        </w:rPr>
        <w:t> </w:t>
      </w:r>
      <w:r>
        <w:rPr>
          <w:color w:val="231F20"/>
          <w:spacing w:val="-2"/>
        </w:rPr>
        <w:t>situation</w:t>
      </w:r>
      <w:r>
        <w:rPr>
          <w:color w:val="231F20"/>
          <w:spacing w:val="-11"/>
        </w:rPr>
        <w:t> </w:t>
      </w:r>
      <w:r>
        <w:rPr>
          <w:color w:val="231F20"/>
          <w:spacing w:val="-2"/>
        </w:rPr>
        <w:t>ne</w:t>
      </w:r>
      <w:r>
        <w:rPr>
          <w:color w:val="231F20"/>
          <w:spacing w:val="-13"/>
        </w:rPr>
        <w:t> </w:t>
      </w:r>
      <w:r>
        <w:rPr>
          <w:color w:val="231F20"/>
          <w:spacing w:val="-2"/>
        </w:rPr>
        <w:t>freine</w:t>
      </w:r>
      <w:r>
        <w:rPr>
          <w:color w:val="231F20"/>
          <w:spacing w:val="-12"/>
        </w:rPr>
        <w:t> </w:t>
      </w:r>
      <w:r>
        <w:rPr>
          <w:color w:val="231F20"/>
          <w:spacing w:val="-2"/>
        </w:rPr>
        <w:t>pas</w:t>
      </w:r>
      <w:r>
        <w:rPr>
          <w:color w:val="231F20"/>
          <w:spacing w:val="-13"/>
        </w:rPr>
        <w:t> </w:t>
      </w:r>
      <w:r>
        <w:rPr>
          <w:color w:val="231F20"/>
          <w:spacing w:val="-2"/>
        </w:rPr>
        <w:t>les</w:t>
      </w:r>
      <w:r>
        <w:rPr>
          <w:color w:val="231F20"/>
          <w:spacing w:val="-13"/>
        </w:rPr>
        <w:t> </w:t>
      </w:r>
      <w:r>
        <w:rPr>
          <w:color w:val="231F20"/>
          <w:spacing w:val="-2"/>
        </w:rPr>
        <w:t>pillards</w:t>
      </w:r>
      <w:r>
        <w:rPr>
          <w:color w:val="231F20"/>
          <w:spacing w:val="-13"/>
        </w:rPr>
        <w:t> </w:t>
      </w:r>
      <w:r>
        <w:rPr>
          <w:color w:val="231F20"/>
          <w:spacing w:val="-2"/>
        </w:rPr>
        <w:t>du </w:t>
      </w:r>
      <w:r>
        <w:rPr>
          <w:color w:val="231F20"/>
        </w:rPr>
        <w:t>régime.</w:t>
      </w:r>
      <w:r>
        <w:rPr>
          <w:color w:val="231F20"/>
          <w:spacing w:val="-5"/>
        </w:rPr>
        <w:t> </w:t>
      </w:r>
      <w:r>
        <w:rPr>
          <w:color w:val="231F20"/>
        </w:rPr>
        <w:t>Les</w:t>
      </w:r>
      <w:r>
        <w:rPr>
          <w:color w:val="231F20"/>
          <w:spacing w:val="-5"/>
        </w:rPr>
        <w:t> </w:t>
      </w:r>
      <w:r>
        <w:rPr>
          <w:color w:val="231F20"/>
        </w:rPr>
        <w:t>barons</w:t>
      </w:r>
      <w:r>
        <w:rPr>
          <w:color w:val="231F20"/>
          <w:spacing w:val="-5"/>
        </w:rPr>
        <w:t> </w:t>
      </w:r>
      <w:r>
        <w:rPr>
          <w:color w:val="231F20"/>
        </w:rPr>
        <w:t>du</w:t>
      </w:r>
      <w:r>
        <w:rPr>
          <w:color w:val="231F20"/>
          <w:spacing w:val="-5"/>
        </w:rPr>
        <w:t> </w:t>
      </w:r>
      <w:r>
        <w:rPr>
          <w:color w:val="231F20"/>
        </w:rPr>
        <w:t>PDCI</w:t>
      </w:r>
      <w:r>
        <w:rPr>
          <w:color w:val="231F20"/>
          <w:spacing w:val="-8"/>
        </w:rPr>
        <w:t> </w:t>
      </w:r>
      <w:r>
        <w:rPr>
          <w:color w:val="231F20"/>
        </w:rPr>
        <w:t>continuent</w:t>
      </w:r>
      <w:r>
        <w:rPr>
          <w:color w:val="231F20"/>
          <w:spacing w:val="-7"/>
        </w:rPr>
        <w:t> </w:t>
      </w:r>
      <w:r>
        <w:rPr>
          <w:color w:val="231F20"/>
        </w:rPr>
        <w:t>de</w:t>
      </w:r>
      <w:r>
        <w:rPr>
          <w:color w:val="231F20"/>
          <w:spacing w:val="-5"/>
        </w:rPr>
        <w:t> </w:t>
      </w:r>
      <w:r>
        <w:rPr>
          <w:color w:val="231F20"/>
        </w:rPr>
        <w:t>vider</w:t>
      </w:r>
      <w:r>
        <w:rPr>
          <w:color w:val="231F20"/>
          <w:spacing w:val="-7"/>
        </w:rPr>
        <w:t> </w:t>
      </w:r>
      <w:r>
        <w:rPr>
          <w:color w:val="231F20"/>
        </w:rPr>
        <w:t>des</w:t>
      </w:r>
      <w:r>
        <w:rPr>
          <w:color w:val="231F20"/>
          <w:spacing w:val="-8"/>
        </w:rPr>
        <w:t> </w:t>
      </w:r>
      <w:r>
        <w:rPr>
          <w:color w:val="231F20"/>
        </w:rPr>
        <w:t>caisses</w:t>
      </w:r>
      <w:r>
        <w:rPr>
          <w:color w:val="231F20"/>
          <w:spacing w:val="-8"/>
        </w:rPr>
        <w:t> </w:t>
      </w:r>
      <w:r>
        <w:rPr>
          <w:color w:val="231F20"/>
        </w:rPr>
        <w:t>de</w:t>
      </w:r>
      <w:r>
        <w:rPr>
          <w:color w:val="231F20"/>
          <w:spacing w:val="-6"/>
        </w:rPr>
        <w:t> </w:t>
      </w:r>
      <w:r>
        <w:rPr>
          <w:color w:val="231F20"/>
        </w:rPr>
        <w:t>l’État.</w:t>
      </w:r>
    </w:p>
    <w:p>
      <w:pPr>
        <w:pStyle w:val="BodyText"/>
        <w:spacing w:before="121"/>
        <w:ind w:right="103" w:firstLine="283"/>
      </w:pPr>
      <w:r>
        <w:rPr>
          <w:color w:val="231F20"/>
        </w:rPr>
        <w:t>En 1983,</w:t>
      </w:r>
      <w:r>
        <w:rPr>
          <w:color w:val="231F20"/>
          <w:spacing w:val="-15"/>
        </w:rPr>
        <w:t> </w:t>
      </w:r>
      <w:r>
        <w:rPr>
          <w:color w:val="231F20"/>
        </w:rPr>
        <w:t>le régime est secoué par l’Affaire Logemad (logement </w:t>
      </w:r>
      <w:r>
        <w:rPr>
          <w:color w:val="231F20"/>
          <w:spacing w:val="-2"/>
        </w:rPr>
        <w:t>administratif)</w:t>
      </w:r>
      <w:r>
        <w:rPr>
          <w:color w:val="231F20"/>
          <w:spacing w:val="-11"/>
        </w:rPr>
        <w:t> </w:t>
      </w:r>
      <w:r>
        <w:rPr>
          <w:color w:val="231F20"/>
          <w:spacing w:val="-2"/>
        </w:rPr>
        <w:t>qui</w:t>
      </w:r>
      <w:r>
        <w:rPr>
          <w:color w:val="231F20"/>
          <w:spacing w:val="-12"/>
        </w:rPr>
        <w:t> </w:t>
      </w:r>
      <w:r>
        <w:rPr>
          <w:color w:val="231F20"/>
          <w:spacing w:val="-2"/>
        </w:rPr>
        <w:t>révèle</w:t>
      </w:r>
      <w:r>
        <w:rPr>
          <w:color w:val="231F20"/>
          <w:spacing w:val="-10"/>
        </w:rPr>
        <w:t> </w:t>
      </w:r>
      <w:r>
        <w:rPr>
          <w:color w:val="231F20"/>
          <w:spacing w:val="-2"/>
        </w:rPr>
        <w:t>que</w:t>
      </w:r>
      <w:r>
        <w:rPr>
          <w:color w:val="231F20"/>
          <w:spacing w:val="-10"/>
        </w:rPr>
        <w:t> </w:t>
      </w:r>
      <w:r>
        <w:rPr>
          <w:color w:val="231F20"/>
          <w:spacing w:val="-2"/>
        </w:rPr>
        <w:t>cet</w:t>
      </w:r>
      <w:r>
        <w:rPr>
          <w:color w:val="231F20"/>
          <w:spacing w:val="-8"/>
        </w:rPr>
        <w:t> </w:t>
      </w:r>
      <w:r>
        <w:rPr>
          <w:color w:val="231F20"/>
          <w:spacing w:val="-2"/>
        </w:rPr>
        <w:t>organisme</w:t>
      </w:r>
      <w:r>
        <w:rPr>
          <w:color w:val="231F20"/>
          <w:spacing w:val="-10"/>
        </w:rPr>
        <w:t> </w:t>
      </w:r>
      <w:r>
        <w:rPr>
          <w:color w:val="231F20"/>
          <w:spacing w:val="-2"/>
        </w:rPr>
        <w:t>d’État</w:t>
      </w:r>
      <w:r>
        <w:rPr>
          <w:color w:val="231F20"/>
          <w:spacing w:val="-8"/>
        </w:rPr>
        <w:t> </w:t>
      </w:r>
      <w:r>
        <w:rPr>
          <w:color w:val="231F20"/>
          <w:spacing w:val="-2"/>
        </w:rPr>
        <w:t>chargé</w:t>
      </w:r>
      <w:r>
        <w:rPr>
          <w:color w:val="231F20"/>
          <w:spacing w:val="-10"/>
        </w:rPr>
        <w:t> </w:t>
      </w:r>
      <w:r>
        <w:rPr>
          <w:color w:val="231F20"/>
          <w:spacing w:val="-2"/>
        </w:rPr>
        <w:t>de</w:t>
      </w:r>
      <w:r>
        <w:rPr>
          <w:color w:val="231F20"/>
          <w:spacing w:val="-10"/>
        </w:rPr>
        <w:t> </w:t>
      </w:r>
      <w:r>
        <w:rPr>
          <w:color w:val="231F20"/>
          <w:spacing w:val="-2"/>
        </w:rPr>
        <w:t>reverser</w:t>
      </w:r>
      <w:r>
        <w:rPr>
          <w:color w:val="231F20"/>
          <w:spacing w:val="-10"/>
        </w:rPr>
        <w:t> </w:t>
      </w:r>
      <w:r>
        <w:rPr>
          <w:color w:val="231F20"/>
          <w:spacing w:val="-2"/>
        </w:rPr>
        <w:t>aux </w:t>
      </w:r>
      <w:r>
        <w:rPr>
          <w:color w:val="231F20"/>
          <w:spacing w:val="-4"/>
        </w:rPr>
        <w:t>propriétaires</w:t>
      </w:r>
      <w:r>
        <w:rPr>
          <w:color w:val="231F20"/>
          <w:spacing w:val="-3"/>
        </w:rPr>
        <w:t> </w:t>
      </w:r>
      <w:r>
        <w:rPr>
          <w:color w:val="231F20"/>
          <w:spacing w:val="-4"/>
        </w:rPr>
        <w:t>des logements</w:t>
      </w:r>
      <w:r>
        <w:rPr>
          <w:color w:val="231F20"/>
          <w:spacing w:val="-1"/>
        </w:rPr>
        <w:t> </w:t>
      </w:r>
      <w:r>
        <w:rPr>
          <w:color w:val="231F20"/>
          <w:spacing w:val="-4"/>
        </w:rPr>
        <w:t>occupés</w:t>
      </w:r>
      <w:r>
        <w:rPr>
          <w:color w:val="231F20"/>
          <w:spacing w:val="-1"/>
        </w:rPr>
        <w:t> </w:t>
      </w:r>
      <w:r>
        <w:rPr>
          <w:color w:val="231F20"/>
          <w:spacing w:val="-4"/>
        </w:rPr>
        <w:t>par</w:t>
      </w:r>
      <w:r>
        <w:rPr>
          <w:color w:val="231F20"/>
          <w:spacing w:val="-2"/>
        </w:rPr>
        <w:t> </w:t>
      </w:r>
      <w:r>
        <w:rPr>
          <w:color w:val="231F20"/>
          <w:spacing w:val="-4"/>
        </w:rPr>
        <w:t>des</w:t>
      </w:r>
      <w:r>
        <w:rPr>
          <w:color w:val="231F20"/>
          <w:spacing w:val="-1"/>
        </w:rPr>
        <w:t> </w:t>
      </w:r>
      <w:r>
        <w:rPr>
          <w:color w:val="231F20"/>
          <w:spacing w:val="-4"/>
        </w:rPr>
        <w:t>fonctionnaires,</w:t>
      </w:r>
      <w:r>
        <w:rPr>
          <w:color w:val="231F20"/>
          <w:spacing w:val="-5"/>
        </w:rPr>
        <w:t> </w:t>
      </w:r>
      <w:r>
        <w:rPr>
          <w:color w:val="231F20"/>
          <w:spacing w:val="-4"/>
        </w:rPr>
        <w:t>les</w:t>
      </w:r>
      <w:r>
        <w:rPr>
          <w:color w:val="231F20"/>
          <w:spacing w:val="-5"/>
        </w:rPr>
        <w:t> </w:t>
      </w:r>
      <w:r>
        <w:rPr>
          <w:color w:val="231F20"/>
          <w:spacing w:val="-4"/>
        </w:rPr>
        <w:t>loyers</w:t>
      </w:r>
      <w:r>
        <w:rPr>
          <w:color w:val="231F20"/>
          <w:spacing w:val="-3"/>
        </w:rPr>
        <w:t> </w:t>
      </w:r>
      <w:r>
        <w:rPr>
          <w:color w:val="231F20"/>
          <w:spacing w:val="-5"/>
        </w:rPr>
        <w:t>des</w:t>
      </w:r>
    </w:p>
    <w:p>
      <w:pPr>
        <w:pStyle w:val="BodyText"/>
        <w:spacing w:before="6"/>
        <w:ind w:left="0"/>
        <w:jc w:val="left"/>
        <w:rPr>
          <w:sz w:val="20"/>
        </w:rPr>
      </w:pPr>
      <w:r>
        <w:rPr/>
        <mc:AlternateContent>
          <mc:Choice Requires="wps">
            <w:drawing>
              <wp:anchor distT="0" distB="0" distL="0" distR="0" allowOverlap="1" layoutInCell="1" locked="0" behindDoc="1" simplePos="0" relativeHeight="487630336">
                <wp:simplePos x="0" y="0"/>
                <wp:positionH relativeFrom="page">
                  <wp:posOffset>629907</wp:posOffset>
                </wp:positionH>
                <wp:positionV relativeFrom="paragraph">
                  <wp:posOffset>165587</wp:posOffset>
                </wp:positionV>
                <wp:extent cx="1829435" cy="9525"/>
                <wp:effectExtent l="0" t="0" r="0" b="0"/>
                <wp:wrapTopAndBottom/>
                <wp:docPr id="110" name="Graphic 110"/>
                <wp:cNvGraphicFramePr>
                  <a:graphicFrameLocks/>
                </wp:cNvGraphicFramePr>
                <a:graphic>
                  <a:graphicData uri="http://schemas.microsoft.com/office/word/2010/wordprocessingShape">
                    <wps:wsp>
                      <wps:cNvPr id="110" name="Graphic 11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03836pt;width:144.020pt;height:.72pt;mso-position-horizontal-relative:page;mso-position-vertical-relative:paragraph;z-index:-15686144;mso-wrap-distance-left:0;mso-wrap-distance-right:0" id="docshape108"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139</w:t>
      </w:r>
      <w:r>
        <w:rPr>
          <w:color w:val="76787A"/>
          <w:spacing w:val="2"/>
          <w:sz w:val="20"/>
          <w:vertAlign w:val="baseline"/>
        </w:rPr>
        <w:t> </w:t>
      </w:r>
      <w:r>
        <w:rPr>
          <w:color w:val="231F20"/>
          <w:spacing w:val="-4"/>
          <w:sz w:val="20"/>
          <w:vertAlign w:val="baseline"/>
        </w:rPr>
        <w:t>Plus</w:t>
      </w:r>
      <w:r>
        <w:rPr>
          <w:color w:val="231F20"/>
          <w:spacing w:val="-3"/>
          <w:sz w:val="20"/>
          <w:vertAlign w:val="baseline"/>
        </w:rPr>
        <w:t> </w:t>
      </w:r>
      <w:r>
        <w:rPr>
          <w:color w:val="231F20"/>
          <w:spacing w:val="-4"/>
          <w:sz w:val="20"/>
          <w:vertAlign w:val="baseline"/>
        </w:rPr>
        <w:t>de</w:t>
      </w:r>
      <w:r>
        <w:rPr>
          <w:color w:val="231F20"/>
          <w:spacing w:val="-3"/>
          <w:sz w:val="20"/>
          <w:vertAlign w:val="baseline"/>
        </w:rPr>
        <w:t> </w:t>
      </w:r>
      <w:r>
        <w:rPr>
          <w:color w:val="231F20"/>
          <w:spacing w:val="-4"/>
          <w:sz w:val="20"/>
          <w:vertAlign w:val="baseline"/>
        </w:rPr>
        <w:t>250</w:t>
      </w:r>
      <w:r>
        <w:rPr>
          <w:color w:val="231F20"/>
          <w:spacing w:val="-2"/>
          <w:sz w:val="20"/>
          <w:vertAlign w:val="baseline"/>
        </w:rPr>
        <w:t> </w:t>
      </w:r>
      <w:r>
        <w:rPr>
          <w:color w:val="231F20"/>
          <w:spacing w:val="-4"/>
          <w:sz w:val="20"/>
          <w:vertAlign w:val="baseline"/>
        </w:rPr>
        <w:t>milliards</w:t>
      </w:r>
      <w:r>
        <w:rPr>
          <w:color w:val="231F20"/>
          <w:spacing w:val="-3"/>
          <w:sz w:val="20"/>
          <w:vertAlign w:val="baseline"/>
        </w:rPr>
        <w:t> </w:t>
      </w:r>
      <w:r>
        <w:rPr>
          <w:color w:val="231F20"/>
          <w:spacing w:val="-4"/>
          <w:sz w:val="20"/>
          <w:vertAlign w:val="baseline"/>
        </w:rPr>
        <w:t>de</w:t>
      </w:r>
      <w:r>
        <w:rPr>
          <w:color w:val="231F20"/>
          <w:spacing w:val="-3"/>
          <w:sz w:val="20"/>
          <w:vertAlign w:val="baseline"/>
        </w:rPr>
        <w:t> </w:t>
      </w:r>
      <w:r>
        <w:rPr>
          <w:color w:val="231F20"/>
          <w:spacing w:val="-4"/>
          <w:sz w:val="20"/>
          <w:vertAlign w:val="baseline"/>
        </w:rPr>
        <w:t>francs CFA</w:t>
      </w:r>
      <w:r>
        <w:rPr>
          <w:color w:val="231F20"/>
          <w:sz w:val="20"/>
          <w:vertAlign w:val="baseline"/>
        </w:rPr>
        <w:t> </w:t>
      </w:r>
      <w:r>
        <w:rPr>
          <w:color w:val="231F20"/>
          <w:spacing w:val="-4"/>
          <w:sz w:val="20"/>
          <w:vertAlign w:val="baseline"/>
        </w:rPr>
        <w:t>engloutis</w:t>
      </w:r>
      <w:r>
        <w:rPr>
          <w:color w:val="231F20"/>
          <w:spacing w:val="-5"/>
          <w:sz w:val="20"/>
          <w:vertAlign w:val="baseline"/>
        </w:rPr>
        <w:t> </w:t>
      </w:r>
      <w:r>
        <w:rPr>
          <w:color w:val="231F20"/>
          <w:spacing w:val="-4"/>
          <w:sz w:val="20"/>
          <w:vertAlign w:val="baseline"/>
        </w:rPr>
        <w:t>dans</w:t>
      </w:r>
      <w:r>
        <w:rPr>
          <w:color w:val="231F20"/>
          <w:spacing w:val="-1"/>
          <w:sz w:val="20"/>
          <w:vertAlign w:val="baseline"/>
        </w:rPr>
        <w:t> </w:t>
      </w:r>
      <w:r>
        <w:rPr>
          <w:color w:val="231F20"/>
          <w:spacing w:val="-4"/>
          <w:sz w:val="20"/>
          <w:vertAlign w:val="baseline"/>
        </w:rPr>
        <w:t>l’opération.</w:t>
      </w:r>
    </w:p>
    <w:p>
      <w:pPr>
        <w:spacing w:after="0"/>
        <w:jc w:val="left"/>
        <w:rPr>
          <w:sz w:val="20"/>
        </w:rPr>
        <w:sectPr>
          <w:footerReference w:type="default" r:id="rId44"/>
          <w:footerReference w:type="even" r:id="rId45"/>
          <w:pgSz w:w="8790" w:h="13610"/>
          <w:pgMar w:header="0" w:footer="802" w:top="1060" w:bottom="1000" w:left="880" w:right="880"/>
          <w:pgNumType w:start="135"/>
        </w:sectPr>
      </w:pPr>
    </w:p>
    <w:p>
      <w:pPr>
        <w:pStyle w:val="BodyText"/>
        <w:spacing w:before="66"/>
        <w:ind w:right="104"/>
      </w:pPr>
      <w:r>
        <w:rPr>
          <w:color w:val="231F20"/>
        </w:rPr>
        <w:t>maisons baillés, profite essentiellement aux responsables politiques. Leurs techniques consistent à fixer des prix exorbitants aux baux administratifs alors qu’ils sont propriétaires de ces logements baillés à l’État.</w:t>
      </w:r>
      <w:r>
        <w:rPr>
          <w:color w:val="231F20"/>
          <w:spacing w:val="-14"/>
        </w:rPr>
        <w:t> </w:t>
      </w:r>
      <w:r>
        <w:rPr>
          <w:color w:val="231F20"/>
        </w:rPr>
        <w:t>Le</w:t>
      </w:r>
      <w:r>
        <w:rPr>
          <w:color w:val="231F20"/>
          <w:spacing w:val="-14"/>
        </w:rPr>
        <w:t> </w:t>
      </w:r>
      <w:r>
        <w:rPr>
          <w:color w:val="231F20"/>
        </w:rPr>
        <w:t>préjudice</w:t>
      </w:r>
      <w:r>
        <w:rPr>
          <w:color w:val="231F20"/>
          <w:spacing w:val="-15"/>
        </w:rPr>
        <w:t> </w:t>
      </w:r>
      <w:r>
        <w:rPr>
          <w:color w:val="231F20"/>
        </w:rPr>
        <w:t>subi</w:t>
      </w:r>
      <w:r>
        <w:rPr>
          <w:color w:val="231F20"/>
          <w:spacing w:val="-12"/>
        </w:rPr>
        <w:t> </w:t>
      </w:r>
      <w:r>
        <w:rPr>
          <w:color w:val="231F20"/>
        </w:rPr>
        <w:t>par</w:t>
      </w:r>
      <w:r>
        <w:rPr>
          <w:color w:val="231F20"/>
          <w:spacing w:val="-14"/>
        </w:rPr>
        <w:t> </w:t>
      </w:r>
      <w:r>
        <w:rPr>
          <w:color w:val="231F20"/>
        </w:rPr>
        <w:t>l’État</w:t>
      </w:r>
      <w:r>
        <w:rPr>
          <w:color w:val="231F20"/>
          <w:spacing w:val="-15"/>
        </w:rPr>
        <w:t> </w:t>
      </w:r>
      <w:r>
        <w:rPr>
          <w:color w:val="231F20"/>
        </w:rPr>
        <w:t>s’élève</w:t>
      </w:r>
      <w:r>
        <w:rPr>
          <w:color w:val="231F20"/>
          <w:spacing w:val="-14"/>
        </w:rPr>
        <w:t> </w:t>
      </w:r>
      <w:r>
        <w:rPr>
          <w:color w:val="231F20"/>
        </w:rPr>
        <w:t>à</w:t>
      </w:r>
      <w:r>
        <w:rPr>
          <w:color w:val="231F20"/>
          <w:spacing w:val="-14"/>
        </w:rPr>
        <w:t> </w:t>
      </w:r>
      <w:r>
        <w:rPr>
          <w:color w:val="231F20"/>
        </w:rPr>
        <w:t>des</w:t>
      </w:r>
      <w:r>
        <w:rPr>
          <w:color w:val="231F20"/>
          <w:spacing w:val="-13"/>
        </w:rPr>
        <w:t> </w:t>
      </w:r>
      <w:r>
        <w:rPr>
          <w:color w:val="231F20"/>
        </w:rPr>
        <w:t>centaines</w:t>
      </w:r>
      <w:r>
        <w:rPr>
          <w:color w:val="231F20"/>
          <w:spacing w:val="-15"/>
        </w:rPr>
        <w:t> </w:t>
      </w:r>
      <w:r>
        <w:rPr>
          <w:color w:val="231F20"/>
        </w:rPr>
        <w:t>de</w:t>
      </w:r>
      <w:r>
        <w:rPr>
          <w:color w:val="231F20"/>
          <w:spacing w:val="-14"/>
        </w:rPr>
        <w:t> </w:t>
      </w:r>
      <w:r>
        <w:rPr>
          <w:color w:val="231F20"/>
        </w:rPr>
        <w:t>millions</w:t>
      </w:r>
      <w:r>
        <w:rPr>
          <w:color w:val="231F20"/>
          <w:spacing w:val="-13"/>
        </w:rPr>
        <w:t> </w:t>
      </w:r>
      <w:r>
        <w:rPr>
          <w:color w:val="231F20"/>
        </w:rPr>
        <w:t>de </w:t>
      </w:r>
      <w:r>
        <w:rPr>
          <w:color w:val="231F20"/>
          <w:spacing w:val="-2"/>
        </w:rPr>
        <w:t>francs.</w:t>
      </w:r>
    </w:p>
    <w:p>
      <w:pPr>
        <w:pStyle w:val="BodyText"/>
        <w:spacing w:before="120"/>
        <w:ind w:right="104" w:firstLine="283"/>
      </w:pPr>
      <w:r>
        <w:rPr>
          <w:color w:val="231F20"/>
        </w:rPr>
        <w:t>Devenu insolvable, le pays n’est plus en mesure de régler sa dette </w:t>
      </w:r>
      <w:r>
        <w:rPr>
          <w:color w:val="231F20"/>
          <w:spacing w:val="-4"/>
        </w:rPr>
        <w:t>envers</w:t>
      </w:r>
      <w:r>
        <w:rPr>
          <w:color w:val="231F20"/>
          <w:spacing w:val="-11"/>
        </w:rPr>
        <w:t> </w:t>
      </w:r>
      <w:r>
        <w:rPr>
          <w:color w:val="231F20"/>
          <w:spacing w:val="-4"/>
        </w:rPr>
        <w:t>les</w:t>
      </w:r>
      <w:r>
        <w:rPr>
          <w:color w:val="231F20"/>
          <w:spacing w:val="-11"/>
        </w:rPr>
        <w:t> </w:t>
      </w:r>
      <w:r>
        <w:rPr>
          <w:color w:val="231F20"/>
          <w:spacing w:val="-4"/>
        </w:rPr>
        <w:t>bailleurs</w:t>
      </w:r>
      <w:r>
        <w:rPr>
          <w:color w:val="231F20"/>
          <w:spacing w:val="-11"/>
        </w:rPr>
        <w:t> </w:t>
      </w:r>
      <w:r>
        <w:rPr>
          <w:color w:val="231F20"/>
          <w:spacing w:val="-4"/>
        </w:rPr>
        <w:t>de</w:t>
      </w:r>
      <w:r>
        <w:rPr>
          <w:color w:val="231F20"/>
          <w:spacing w:val="-11"/>
        </w:rPr>
        <w:t> </w:t>
      </w:r>
      <w:r>
        <w:rPr>
          <w:color w:val="231F20"/>
          <w:spacing w:val="-4"/>
        </w:rPr>
        <w:t>fonds</w:t>
      </w:r>
      <w:r>
        <w:rPr>
          <w:color w:val="231F20"/>
          <w:spacing w:val="2"/>
        </w:rPr>
        <w:t> </w:t>
      </w:r>
      <w:r>
        <w:rPr>
          <w:color w:val="231F20"/>
          <w:spacing w:val="-4"/>
        </w:rPr>
        <w:t>:</w:t>
      </w:r>
      <w:r>
        <w:rPr>
          <w:color w:val="231F20"/>
          <w:spacing w:val="-7"/>
        </w:rPr>
        <w:t> </w:t>
      </w:r>
      <w:r>
        <w:rPr>
          <w:color w:val="231F20"/>
          <w:spacing w:val="-4"/>
        </w:rPr>
        <w:t>le</w:t>
      </w:r>
      <w:r>
        <w:rPr>
          <w:color w:val="231F20"/>
          <w:spacing w:val="-11"/>
        </w:rPr>
        <w:t> </w:t>
      </w:r>
      <w:r>
        <w:rPr>
          <w:color w:val="231F20"/>
          <w:spacing w:val="-4"/>
        </w:rPr>
        <w:t>chef</w:t>
      </w:r>
      <w:r>
        <w:rPr>
          <w:color w:val="231F20"/>
          <w:spacing w:val="-9"/>
        </w:rPr>
        <w:t> </w:t>
      </w:r>
      <w:r>
        <w:rPr>
          <w:color w:val="231F20"/>
          <w:spacing w:val="-4"/>
        </w:rPr>
        <w:t>de</w:t>
      </w:r>
      <w:r>
        <w:rPr>
          <w:color w:val="231F20"/>
          <w:spacing w:val="-11"/>
        </w:rPr>
        <w:t> </w:t>
      </w:r>
      <w:r>
        <w:rPr>
          <w:color w:val="231F20"/>
          <w:spacing w:val="-4"/>
        </w:rPr>
        <w:t>l’État</w:t>
      </w:r>
      <w:r>
        <w:rPr>
          <w:color w:val="231F20"/>
          <w:spacing w:val="-11"/>
        </w:rPr>
        <w:t> </w:t>
      </w:r>
      <w:r>
        <w:rPr>
          <w:color w:val="231F20"/>
          <w:spacing w:val="-4"/>
        </w:rPr>
        <w:t>suspend</w:t>
      </w:r>
      <w:r>
        <w:rPr>
          <w:color w:val="231F20"/>
          <w:spacing w:val="-9"/>
        </w:rPr>
        <w:t> </w:t>
      </w:r>
      <w:r>
        <w:rPr>
          <w:color w:val="231F20"/>
          <w:spacing w:val="-4"/>
        </w:rPr>
        <w:t>unilatéralement</w:t>
      </w:r>
      <w:r>
        <w:rPr>
          <w:color w:val="231F20"/>
          <w:spacing w:val="-11"/>
        </w:rPr>
        <w:t> </w:t>
      </w:r>
      <w:r>
        <w:rPr>
          <w:color w:val="231F20"/>
          <w:spacing w:val="-4"/>
        </w:rPr>
        <w:t>les </w:t>
      </w:r>
      <w:r>
        <w:rPr>
          <w:color w:val="231F20"/>
        </w:rPr>
        <w:t>remboursements de la dette.</w:t>
      </w:r>
    </w:p>
    <w:p>
      <w:pPr>
        <w:pStyle w:val="BodyText"/>
        <w:spacing w:before="121"/>
        <w:ind w:right="107" w:firstLine="283"/>
      </w:pPr>
      <w:r>
        <w:rPr>
          <w:color w:val="231F20"/>
        </w:rPr>
        <w:t>La</w:t>
      </w:r>
      <w:r>
        <w:rPr>
          <w:color w:val="231F20"/>
          <w:spacing w:val="-15"/>
        </w:rPr>
        <w:t> </w:t>
      </w:r>
      <w:r>
        <w:rPr>
          <w:color w:val="231F20"/>
        </w:rPr>
        <w:t>crise</w:t>
      </w:r>
      <w:r>
        <w:rPr>
          <w:color w:val="231F20"/>
          <w:spacing w:val="-13"/>
        </w:rPr>
        <w:t> </w:t>
      </w:r>
      <w:r>
        <w:rPr>
          <w:color w:val="231F20"/>
        </w:rPr>
        <w:t>du</w:t>
      </w:r>
      <w:r>
        <w:rPr>
          <w:color w:val="231F20"/>
          <w:spacing w:val="-13"/>
        </w:rPr>
        <w:t> </w:t>
      </w:r>
      <w:r>
        <w:rPr>
          <w:color w:val="231F20"/>
        </w:rPr>
        <w:t>cacao</w:t>
      </w:r>
      <w:r>
        <w:rPr>
          <w:color w:val="231F20"/>
          <w:spacing w:val="-13"/>
        </w:rPr>
        <w:t> </w:t>
      </w:r>
      <w:r>
        <w:rPr>
          <w:color w:val="231F20"/>
        </w:rPr>
        <w:t>l’amène</w:t>
      </w:r>
      <w:r>
        <w:rPr>
          <w:color w:val="231F20"/>
          <w:spacing w:val="-15"/>
        </w:rPr>
        <w:t> </w:t>
      </w:r>
      <w:r>
        <w:rPr>
          <w:color w:val="231F20"/>
        </w:rPr>
        <w:t>à</w:t>
      </w:r>
      <w:r>
        <w:rPr>
          <w:color w:val="231F20"/>
          <w:spacing w:val="-15"/>
        </w:rPr>
        <w:t> </w:t>
      </w:r>
      <w:r>
        <w:rPr>
          <w:color w:val="231F20"/>
        </w:rPr>
        <w:t>mettre</w:t>
      </w:r>
      <w:r>
        <w:rPr>
          <w:color w:val="231F20"/>
          <w:spacing w:val="-14"/>
        </w:rPr>
        <w:t> </w:t>
      </w:r>
      <w:r>
        <w:rPr>
          <w:color w:val="231F20"/>
        </w:rPr>
        <w:t>un</w:t>
      </w:r>
      <w:r>
        <w:rPr>
          <w:color w:val="231F20"/>
          <w:spacing w:val="-15"/>
        </w:rPr>
        <w:t> </w:t>
      </w:r>
      <w:r>
        <w:rPr>
          <w:color w:val="231F20"/>
        </w:rPr>
        <w:t>terme</w:t>
      </w:r>
      <w:r>
        <w:rPr>
          <w:color w:val="231F20"/>
          <w:spacing w:val="-15"/>
        </w:rPr>
        <w:t> </w:t>
      </w:r>
      <w:r>
        <w:rPr>
          <w:color w:val="231F20"/>
        </w:rPr>
        <w:t>à</w:t>
      </w:r>
      <w:r>
        <w:rPr>
          <w:color w:val="231F20"/>
          <w:spacing w:val="-14"/>
        </w:rPr>
        <w:t> </w:t>
      </w:r>
      <w:r>
        <w:rPr>
          <w:color w:val="231F20"/>
        </w:rPr>
        <w:t>la</w:t>
      </w:r>
      <w:r>
        <w:rPr>
          <w:color w:val="231F20"/>
          <w:spacing w:val="-14"/>
        </w:rPr>
        <w:t> </w:t>
      </w:r>
      <w:r>
        <w:rPr>
          <w:color w:val="231F20"/>
        </w:rPr>
        <w:t>coopération</w:t>
      </w:r>
      <w:r>
        <w:rPr>
          <w:color w:val="231F20"/>
          <w:spacing w:val="-13"/>
        </w:rPr>
        <w:t> </w:t>
      </w:r>
      <w:r>
        <w:rPr>
          <w:color w:val="231F20"/>
        </w:rPr>
        <w:t>avec</w:t>
      </w:r>
      <w:r>
        <w:rPr>
          <w:color w:val="231F20"/>
          <w:spacing w:val="-15"/>
        </w:rPr>
        <w:t> </w:t>
      </w:r>
      <w:r>
        <w:rPr>
          <w:color w:val="231F20"/>
        </w:rPr>
        <w:t>les </w:t>
      </w:r>
      <w:r>
        <w:rPr>
          <w:color w:val="231F20"/>
          <w:spacing w:val="-2"/>
        </w:rPr>
        <w:t>Assistants</w:t>
      </w:r>
      <w:r>
        <w:rPr>
          <w:color w:val="231F20"/>
          <w:spacing w:val="-6"/>
        </w:rPr>
        <w:t> </w:t>
      </w:r>
      <w:r>
        <w:rPr>
          <w:color w:val="231F20"/>
          <w:spacing w:val="-2"/>
        </w:rPr>
        <w:t>Techniques</w:t>
      </w:r>
      <w:r>
        <w:rPr>
          <w:color w:val="231F20"/>
          <w:spacing w:val="-6"/>
        </w:rPr>
        <w:t> </w:t>
      </w:r>
      <w:r>
        <w:rPr>
          <w:color w:val="231F20"/>
          <w:spacing w:val="-2"/>
        </w:rPr>
        <w:t>Français</w:t>
      </w:r>
      <w:r>
        <w:rPr>
          <w:color w:val="231F20"/>
          <w:spacing w:val="-11"/>
        </w:rPr>
        <w:t> </w:t>
      </w:r>
      <w:r>
        <w:rPr>
          <w:color w:val="231F20"/>
          <w:spacing w:val="-2"/>
        </w:rPr>
        <w:t>:</w:t>
      </w:r>
      <w:r>
        <w:rPr>
          <w:color w:val="231F20"/>
          <w:spacing w:val="-9"/>
        </w:rPr>
        <w:t> </w:t>
      </w:r>
      <w:r>
        <w:rPr>
          <w:color w:val="231F20"/>
          <w:spacing w:val="-2"/>
        </w:rPr>
        <w:t>ils</w:t>
      </w:r>
      <w:r>
        <w:rPr>
          <w:color w:val="231F20"/>
          <w:spacing w:val="-6"/>
        </w:rPr>
        <w:t> </w:t>
      </w:r>
      <w:r>
        <w:rPr>
          <w:color w:val="231F20"/>
          <w:spacing w:val="-2"/>
        </w:rPr>
        <w:t>étaient</w:t>
      </w:r>
      <w:r>
        <w:rPr>
          <w:color w:val="231F20"/>
          <w:spacing w:val="-6"/>
        </w:rPr>
        <w:t> </w:t>
      </w:r>
      <w:r>
        <w:rPr>
          <w:color w:val="231F20"/>
          <w:spacing w:val="-2"/>
        </w:rPr>
        <w:t>pris</w:t>
      </w:r>
      <w:r>
        <w:rPr>
          <w:color w:val="231F20"/>
          <w:spacing w:val="-9"/>
        </w:rPr>
        <w:t> </w:t>
      </w:r>
      <w:r>
        <w:rPr>
          <w:color w:val="231F20"/>
          <w:spacing w:val="-2"/>
        </w:rPr>
        <w:t>totalement</w:t>
      </w:r>
      <w:r>
        <w:rPr>
          <w:color w:val="231F20"/>
          <w:spacing w:val="-6"/>
        </w:rPr>
        <w:t> </w:t>
      </w:r>
      <w:r>
        <w:rPr>
          <w:color w:val="231F20"/>
          <w:spacing w:val="-2"/>
        </w:rPr>
        <w:t>en</w:t>
      </w:r>
      <w:r>
        <w:rPr>
          <w:color w:val="231F20"/>
          <w:spacing w:val="-9"/>
        </w:rPr>
        <w:t> </w:t>
      </w:r>
      <w:r>
        <w:rPr>
          <w:color w:val="231F20"/>
          <w:spacing w:val="-2"/>
        </w:rPr>
        <w:t>charge</w:t>
      </w:r>
      <w:r>
        <w:rPr>
          <w:color w:val="231F20"/>
          <w:spacing w:val="-7"/>
        </w:rPr>
        <w:t> </w:t>
      </w:r>
      <w:r>
        <w:rPr>
          <w:color w:val="231F20"/>
          <w:spacing w:val="-2"/>
        </w:rPr>
        <w:t>par </w:t>
      </w:r>
      <w:r>
        <w:rPr>
          <w:color w:val="231F20"/>
        </w:rPr>
        <w:t>la Côte d’Ivoire.</w:t>
      </w:r>
    </w:p>
    <w:p>
      <w:pPr>
        <w:pStyle w:val="BodyText"/>
        <w:spacing w:before="120"/>
        <w:ind w:right="103" w:firstLine="283"/>
      </w:pPr>
      <w:r>
        <w:rPr>
          <w:color w:val="231F20"/>
        </w:rPr>
        <w:t>La mauvaise gestion des sociétés d’Etat, les salaires et avantages </w:t>
      </w:r>
      <w:r>
        <w:rPr>
          <w:color w:val="231F20"/>
          <w:spacing w:val="-4"/>
        </w:rPr>
        <w:t>astronomiques</w:t>
      </w:r>
      <w:r>
        <w:rPr>
          <w:color w:val="231F20"/>
          <w:spacing w:val="-11"/>
        </w:rPr>
        <w:t> </w:t>
      </w:r>
      <w:r>
        <w:rPr>
          <w:color w:val="231F20"/>
          <w:spacing w:val="-4"/>
        </w:rPr>
        <w:t>des</w:t>
      </w:r>
      <w:r>
        <w:rPr>
          <w:color w:val="231F20"/>
          <w:spacing w:val="-11"/>
        </w:rPr>
        <w:t> </w:t>
      </w:r>
      <w:r>
        <w:rPr>
          <w:color w:val="231F20"/>
          <w:spacing w:val="-4"/>
        </w:rPr>
        <w:t>dirigeants</w:t>
      </w:r>
      <w:r>
        <w:rPr>
          <w:color w:val="231F20"/>
          <w:spacing w:val="-11"/>
        </w:rPr>
        <w:t> </w:t>
      </w:r>
      <w:r>
        <w:rPr>
          <w:color w:val="231F20"/>
          <w:spacing w:val="-4"/>
        </w:rPr>
        <w:t>des</w:t>
      </w:r>
      <w:r>
        <w:rPr>
          <w:color w:val="231F20"/>
          <w:spacing w:val="-11"/>
        </w:rPr>
        <w:t> </w:t>
      </w:r>
      <w:r>
        <w:rPr>
          <w:color w:val="231F20"/>
          <w:spacing w:val="-4"/>
        </w:rPr>
        <w:t>entreprises</w:t>
      </w:r>
      <w:r>
        <w:rPr>
          <w:color w:val="231F20"/>
          <w:spacing w:val="-11"/>
        </w:rPr>
        <w:t> </w:t>
      </w:r>
      <w:r>
        <w:rPr>
          <w:color w:val="231F20"/>
          <w:spacing w:val="-4"/>
        </w:rPr>
        <w:t>publiques,</w:t>
      </w:r>
      <w:r>
        <w:rPr>
          <w:color w:val="231F20"/>
          <w:spacing w:val="-11"/>
        </w:rPr>
        <w:t> </w:t>
      </w:r>
      <w:r>
        <w:rPr>
          <w:color w:val="231F20"/>
          <w:spacing w:val="-4"/>
        </w:rPr>
        <w:t>les</w:t>
      </w:r>
      <w:r>
        <w:rPr>
          <w:color w:val="231F20"/>
          <w:spacing w:val="-11"/>
        </w:rPr>
        <w:t> </w:t>
      </w:r>
      <w:r>
        <w:rPr>
          <w:color w:val="231F20"/>
          <w:spacing w:val="-4"/>
        </w:rPr>
        <w:t>détournements </w:t>
      </w:r>
      <w:r>
        <w:rPr>
          <w:color w:val="231F20"/>
        </w:rPr>
        <w:t>de</w:t>
      </w:r>
      <w:r>
        <w:rPr>
          <w:color w:val="231F20"/>
          <w:spacing w:val="-15"/>
        </w:rPr>
        <w:t> </w:t>
      </w:r>
      <w:r>
        <w:rPr>
          <w:color w:val="231F20"/>
        </w:rPr>
        <w:t>deniers</w:t>
      </w:r>
      <w:r>
        <w:rPr>
          <w:color w:val="231F20"/>
          <w:spacing w:val="-15"/>
        </w:rPr>
        <w:t> </w:t>
      </w:r>
      <w:r>
        <w:rPr>
          <w:color w:val="231F20"/>
        </w:rPr>
        <w:t>publics,</w:t>
      </w:r>
      <w:r>
        <w:rPr>
          <w:color w:val="231F20"/>
          <w:spacing w:val="-15"/>
        </w:rPr>
        <w:t> </w:t>
      </w:r>
      <w:r>
        <w:rPr>
          <w:color w:val="231F20"/>
        </w:rPr>
        <w:t>les</w:t>
      </w:r>
      <w:r>
        <w:rPr>
          <w:color w:val="231F20"/>
          <w:spacing w:val="-15"/>
        </w:rPr>
        <w:t> </w:t>
      </w:r>
      <w:r>
        <w:rPr>
          <w:color w:val="231F20"/>
        </w:rPr>
        <w:t>prêts</w:t>
      </w:r>
      <w:r>
        <w:rPr>
          <w:color w:val="231F20"/>
          <w:spacing w:val="-15"/>
        </w:rPr>
        <w:t> </w:t>
      </w:r>
      <w:r>
        <w:rPr>
          <w:color w:val="231F20"/>
        </w:rPr>
        <w:t>consentis</w:t>
      </w:r>
      <w:r>
        <w:rPr>
          <w:color w:val="231F20"/>
          <w:spacing w:val="-15"/>
        </w:rPr>
        <w:t> </w:t>
      </w:r>
      <w:r>
        <w:rPr>
          <w:color w:val="231F20"/>
        </w:rPr>
        <w:t>par</w:t>
      </w:r>
      <w:r>
        <w:rPr>
          <w:color w:val="231F20"/>
          <w:spacing w:val="-15"/>
        </w:rPr>
        <w:t> </w:t>
      </w:r>
      <w:r>
        <w:rPr>
          <w:color w:val="231F20"/>
        </w:rPr>
        <w:t>les</w:t>
      </w:r>
      <w:r>
        <w:rPr>
          <w:color w:val="231F20"/>
          <w:spacing w:val="-15"/>
        </w:rPr>
        <w:t> </w:t>
      </w:r>
      <w:r>
        <w:rPr>
          <w:color w:val="231F20"/>
        </w:rPr>
        <w:t>banques</w:t>
      </w:r>
      <w:r>
        <w:rPr>
          <w:color w:val="231F20"/>
          <w:spacing w:val="-15"/>
        </w:rPr>
        <w:t> </w:t>
      </w:r>
      <w:r>
        <w:rPr>
          <w:color w:val="231F20"/>
        </w:rPr>
        <w:t>de</w:t>
      </w:r>
      <w:r>
        <w:rPr>
          <w:color w:val="231F20"/>
          <w:spacing w:val="-15"/>
        </w:rPr>
        <w:t> </w:t>
      </w:r>
      <w:r>
        <w:rPr>
          <w:color w:val="231F20"/>
        </w:rPr>
        <w:t>développement </w:t>
      </w:r>
      <w:r>
        <w:rPr>
          <w:color w:val="231F20"/>
          <w:spacing w:val="-2"/>
        </w:rPr>
        <w:t>à</w:t>
      </w:r>
      <w:r>
        <w:rPr>
          <w:color w:val="231F20"/>
          <w:spacing w:val="-15"/>
        </w:rPr>
        <w:t> </w:t>
      </w:r>
      <w:r>
        <w:rPr>
          <w:color w:val="231F20"/>
          <w:spacing w:val="-2"/>
        </w:rPr>
        <w:t>de</w:t>
      </w:r>
      <w:r>
        <w:rPr>
          <w:color w:val="231F20"/>
          <w:spacing w:val="-13"/>
        </w:rPr>
        <w:t> </w:t>
      </w:r>
      <w:r>
        <w:rPr>
          <w:color w:val="231F20"/>
          <w:spacing w:val="-2"/>
        </w:rPr>
        <w:t>nombreux</w:t>
      </w:r>
      <w:r>
        <w:rPr>
          <w:color w:val="231F20"/>
          <w:spacing w:val="-13"/>
        </w:rPr>
        <w:t> </w:t>
      </w:r>
      <w:r>
        <w:rPr>
          <w:color w:val="231F20"/>
          <w:spacing w:val="-2"/>
        </w:rPr>
        <w:t>dignitaires</w:t>
      </w:r>
      <w:r>
        <w:rPr>
          <w:color w:val="231F20"/>
          <w:spacing w:val="-13"/>
        </w:rPr>
        <w:t> </w:t>
      </w:r>
      <w:r>
        <w:rPr>
          <w:color w:val="231F20"/>
          <w:spacing w:val="-2"/>
        </w:rPr>
        <w:t>du</w:t>
      </w:r>
      <w:r>
        <w:rPr>
          <w:color w:val="231F20"/>
          <w:spacing w:val="-13"/>
        </w:rPr>
        <w:t> </w:t>
      </w:r>
      <w:r>
        <w:rPr>
          <w:color w:val="231F20"/>
          <w:spacing w:val="-2"/>
        </w:rPr>
        <w:t>régime</w:t>
      </w:r>
      <w:r>
        <w:rPr>
          <w:color w:val="231F20"/>
          <w:spacing w:val="-13"/>
        </w:rPr>
        <w:t> </w:t>
      </w:r>
      <w:r>
        <w:rPr>
          <w:color w:val="231F20"/>
          <w:spacing w:val="-2"/>
        </w:rPr>
        <w:t>restés</w:t>
      </w:r>
      <w:r>
        <w:rPr>
          <w:color w:val="231F20"/>
          <w:spacing w:val="-13"/>
        </w:rPr>
        <w:t> </w:t>
      </w:r>
      <w:r>
        <w:rPr>
          <w:color w:val="231F20"/>
          <w:spacing w:val="-2"/>
        </w:rPr>
        <w:t>impayés</w:t>
      </w:r>
      <w:r>
        <w:rPr>
          <w:color w:val="231F20"/>
          <w:spacing w:val="-13"/>
        </w:rPr>
        <w:t> </w:t>
      </w:r>
      <w:r>
        <w:rPr>
          <w:color w:val="231F20"/>
          <w:spacing w:val="-2"/>
        </w:rPr>
        <w:t>et</w:t>
      </w:r>
      <w:r>
        <w:rPr>
          <w:color w:val="231F20"/>
          <w:spacing w:val="-13"/>
        </w:rPr>
        <w:t> </w:t>
      </w:r>
      <w:r>
        <w:rPr>
          <w:color w:val="231F20"/>
          <w:spacing w:val="-2"/>
        </w:rPr>
        <w:t>convertis</w:t>
      </w:r>
      <w:r>
        <w:rPr>
          <w:color w:val="231F20"/>
          <w:spacing w:val="-13"/>
        </w:rPr>
        <w:t> </w:t>
      </w:r>
      <w:r>
        <w:rPr>
          <w:color w:val="231F20"/>
          <w:spacing w:val="-2"/>
        </w:rPr>
        <w:t>en</w:t>
      </w:r>
      <w:r>
        <w:rPr>
          <w:color w:val="231F20"/>
          <w:spacing w:val="-13"/>
        </w:rPr>
        <w:t> </w:t>
      </w:r>
      <w:r>
        <w:rPr>
          <w:color w:val="231F20"/>
          <w:spacing w:val="-2"/>
        </w:rPr>
        <w:t>dettes </w:t>
      </w:r>
      <w:r>
        <w:rPr>
          <w:color w:val="231F20"/>
        </w:rPr>
        <w:t>d’État,</w:t>
      </w:r>
      <w:r>
        <w:rPr>
          <w:color w:val="231F20"/>
          <w:spacing w:val="-15"/>
        </w:rPr>
        <w:t> </w:t>
      </w:r>
      <w:r>
        <w:rPr>
          <w:color w:val="231F20"/>
        </w:rPr>
        <w:t>avalisées</w:t>
      </w:r>
      <w:r>
        <w:rPr>
          <w:color w:val="231F20"/>
          <w:spacing w:val="-14"/>
        </w:rPr>
        <w:t> </w:t>
      </w:r>
      <w:r>
        <w:rPr>
          <w:color w:val="231F20"/>
        </w:rPr>
        <w:t>par</w:t>
      </w:r>
      <w:r>
        <w:rPr>
          <w:color w:val="231F20"/>
          <w:spacing w:val="-15"/>
        </w:rPr>
        <w:t> </w:t>
      </w:r>
      <w:r>
        <w:rPr>
          <w:color w:val="231F20"/>
        </w:rPr>
        <w:t>l’État</w:t>
      </w:r>
      <w:r>
        <w:rPr>
          <w:color w:val="231F20"/>
          <w:spacing w:val="-13"/>
        </w:rPr>
        <w:t> </w:t>
      </w:r>
      <w:r>
        <w:rPr>
          <w:color w:val="231F20"/>
        </w:rPr>
        <w:t>et</w:t>
      </w:r>
      <w:r>
        <w:rPr>
          <w:color w:val="231F20"/>
          <w:spacing w:val="-15"/>
        </w:rPr>
        <w:t> </w:t>
      </w:r>
      <w:r>
        <w:rPr>
          <w:color w:val="231F20"/>
        </w:rPr>
        <w:t>transformées</w:t>
      </w:r>
      <w:r>
        <w:rPr>
          <w:color w:val="231F20"/>
          <w:spacing w:val="-13"/>
        </w:rPr>
        <w:t> </w:t>
      </w:r>
      <w:r>
        <w:rPr>
          <w:color w:val="231F20"/>
        </w:rPr>
        <w:t>en</w:t>
      </w:r>
      <w:r>
        <w:rPr>
          <w:color w:val="231F20"/>
          <w:spacing w:val="-15"/>
        </w:rPr>
        <w:t> </w:t>
      </w:r>
      <w:r>
        <w:rPr>
          <w:color w:val="231F20"/>
        </w:rPr>
        <w:t>dettes</w:t>
      </w:r>
      <w:r>
        <w:rPr>
          <w:color w:val="231F20"/>
          <w:spacing w:val="-13"/>
        </w:rPr>
        <w:t> </w:t>
      </w:r>
      <w:r>
        <w:rPr>
          <w:color w:val="231F20"/>
        </w:rPr>
        <w:t>publiques,</w:t>
      </w:r>
      <w:r>
        <w:rPr>
          <w:color w:val="231F20"/>
          <w:spacing w:val="-13"/>
        </w:rPr>
        <w:t> </w:t>
      </w:r>
      <w:r>
        <w:rPr>
          <w:color w:val="231F20"/>
        </w:rPr>
        <w:t>finissent par</w:t>
      </w:r>
      <w:r>
        <w:rPr>
          <w:color w:val="231F20"/>
          <w:spacing w:val="-8"/>
        </w:rPr>
        <w:t> </w:t>
      </w:r>
      <w:r>
        <w:rPr>
          <w:color w:val="231F20"/>
        </w:rPr>
        <w:t>étouffer</w:t>
      </w:r>
      <w:r>
        <w:rPr>
          <w:color w:val="231F20"/>
          <w:spacing w:val="-8"/>
        </w:rPr>
        <w:t> </w:t>
      </w:r>
      <w:r>
        <w:rPr>
          <w:color w:val="231F20"/>
        </w:rPr>
        <w:t>financièrement</w:t>
      </w:r>
      <w:r>
        <w:rPr>
          <w:color w:val="231F20"/>
          <w:spacing w:val="-8"/>
        </w:rPr>
        <w:t> </w:t>
      </w:r>
      <w:r>
        <w:rPr>
          <w:color w:val="231F20"/>
        </w:rPr>
        <w:t>l’État</w:t>
      </w:r>
      <w:r>
        <w:rPr>
          <w:color w:val="231F20"/>
          <w:spacing w:val="-9"/>
        </w:rPr>
        <w:t> </w:t>
      </w:r>
      <w:r>
        <w:rPr>
          <w:color w:val="231F20"/>
        </w:rPr>
        <w:t>et</w:t>
      </w:r>
      <w:r>
        <w:rPr>
          <w:color w:val="231F20"/>
          <w:spacing w:val="-7"/>
        </w:rPr>
        <w:t> </w:t>
      </w:r>
      <w:r>
        <w:rPr>
          <w:color w:val="231F20"/>
        </w:rPr>
        <w:t>user</w:t>
      </w:r>
      <w:r>
        <w:rPr>
          <w:color w:val="231F20"/>
          <w:spacing w:val="-7"/>
        </w:rPr>
        <w:t> </w:t>
      </w:r>
      <w:r>
        <w:rPr>
          <w:color w:val="231F20"/>
        </w:rPr>
        <w:t>le</w:t>
      </w:r>
      <w:r>
        <w:rPr>
          <w:color w:val="231F20"/>
          <w:spacing w:val="-10"/>
        </w:rPr>
        <w:t> </w:t>
      </w:r>
      <w:r>
        <w:rPr>
          <w:color w:val="231F20"/>
        </w:rPr>
        <w:t>président</w:t>
      </w:r>
      <w:r>
        <w:rPr>
          <w:color w:val="231F20"/>
          <w:spacing w:val="-7"/>
        </w:rPr>
        <w:t> </w:t>
      </w:r>
      <w:r>
        <w:rPr>
          <w:color w:val="231F20"/>
        </w:rPr>
        <w:t>de</w:t>
      </w:r>
      <w:r>
        <w:rPr>
          <w:color w:val="231F20"/>
          <w:spacing w:val="-10"/>
        </w:rPr>
        <w:t> </w:t>
      </w:r>
      <w:r>
        <w:rPr>
          <w:color w:val="231F20"/>
        </w:rPr>
        <w:t>la</w:t>
      </w:r>
      <w:r>
        <w:rPr>
          <w:color w:val="231F20"/>
          <w:spacing w:val="-7"/>
        </w:rPr>
        <w:t> </w:t>
      </w:r>
      <w:r>
        <w:rPr>
          <w:color w:val="231F20"/>
        </w:rPr>
        <w:t>République.</w:t>
      </w:r>
    </w:p>
    <w:p>
      <w:pPr>
        <w:pStyle w:val="BodyText"/>
        <w:spacing w:before="120"/>
        <w:ind w:right="103" w:firstLine="283"/>
      </w:pPr>
      <w:r>
        <w:rPr>
          <w:color w:val="231F20"/>
        </w:rPr>
        <w:t>Le 18 avril 1990, le président Félix Houphouët-Boigny fatigué, malade,</w:t>
      </w:r>
      <w:r>
        <w:rPr>
          <w:color w:val="231F20"/>
          <w:spacing w:val="-8"/>
        </w:rPr>
        <w:t> </w:t>
      </w:r>
      <w:r>
        <w:rPr>
          <w:color w:val="231F20"/>
        </w:rPr>
        <w:t>esseulé,</w:t>
      </w:r>
      <w:r>
        <w:rPr>
          <w:color w:val="231F20"/>
          <w:spacing w:val="-8"/>
        </w:rPr>
        <w:t> </w:t>
      </w:r>
      <w:r>
        <w:rPr>
          <w:color w:val="231F20"/>
        </w:rPr>
        <w:t>dans</w:t>
      </w:r>
      <w:r>
        <w:rPr>
          <w:color w:val="231F20"/>
          <w:spacing w:val="-10"/>
        </w:rPr>
        <w:t> </w:t>
      </w:r>
      <w:r>
        <w:rPr>
          <w:color w:val="231F20"/>
        </w:rPr>
        <w:t>le</w:t>
      </w:r>
      <w:r>
        <w:rPr>
          <w:color w:val="231F20"/>
          <w:spacing w:val="-8"/>
        </w:rPr>
        <w:t> </w:t>
      </w:r>
      <w:r>
        <w:rPr>
          <w:color w:val="231F20"/>
        </w:rPr>
        <w:t>souci</w:t>
      </w:r>
      <w:r>
        <w:rPr>
          <w:color w:val="231F20"/>
          <w:spacing w:val="-7"/>
        </w:rPr>
        <w:t> </w:t>
      </w:r>
      <w:r>
        <w:rPr>
          <w:color w:val="231F20"/>
        </w:rPr>
        <w:t>de</w:t>
      </w:r>
      <w:r>
        <w:rPr>
          <w:color w:val="231F20"/>
          <w:spacing w:val="-8"/>
        </w:rPr>
        <w:t> </w:t>
      </w:r>
      <w:r>
        <w:rPr>
          <w:color w:val="231F20"/>
        </w:rPr>
        <w:t>rassurer</w:t>
      </w:r>
      <w:r>
        <w:rPr>
          <w:color w:val="231F20"/>
          <w:spacing w:val="-8"/>
        </w:rPr>
        <w:t> </w:t>
      </w:r>
      <w:r>
        <w:rPr>
          <w:color w:val="231F20"/>
        </w:rPr>
        <w:t>et</w:t>
      </w:r>
      <w:r>
        <w:rPr>
          <w:color w:val="231F20"/>
          <w:spacing w:val="-7"/>
        </w:rPr>
        <w:t> </w:t>
      </w:r>
      <w:r>
        <w:rPr>
          <w:color w:val="231F20"/>
        </w:rPr>
        <w:t>être</w:t>
      </w:r>
      <w:r>
        <w:rPr>
          <w:color w:val="231F20"/>
          <w:spacing w:val="-8"/>
        </w:rPr>
        <w:t> </w:t>
      </w:r>
      <w:r>
        <w:rPr>
          <w:color w:val="231F20"/>
        </w:rPr>
        <w:t>dans</w:t>
      </w:r>
      <w:r>
        <w:rPr>
          <w:color w:val="231F20"/>
          <w:spacing w:val="-7"/>
        </w:rPr>
        <w:t> </w:t>
      </w:r>
      <w:r>
        <w:rPr>
          <w:color w:val="231F20"/>
        </w:rPr>
        <w:t>les</w:t>
      </w:r>
      <w:r>
        <w:rPr>
          <w:color w:val="231F20"/>
          <w:spacing w:val="-7"/>
        </w:rPr>
        <w:t> </w:t>
      </w:r>
      <w:r>
        <w:rPr>
          <w:color w:val="231F20"/>
        </w:rPr>
        <w:t>bonnes</w:t>
      </w:r>
      <w:r>
        <w:rPr>
          <w:color w:val="231F20"/>
          <w:spacing w:val="-8"/>
        </w:rPr>
        <w:t> </w:t>
      </w:r>
      <w:r>
        <w:rPr>
          <w:color w:val="231F20"/>
        </w:rPr>
        <w:t>grâces </w:t>
      </w:r>
      <w:r>
        <w:rPr>
          <w:color w:val="231F20"/>
          <w:spacing w:val="-2"/>
        </w:rPr>
        <w:t>d’une</w:t>
      </w:r>
      <w:r>
        <w:rPr>
          <w:color w:val="231F20"/>
          <w:spacing w:val="-15"/>
        </w:rPr>
        <w:t> </w:t>
      </w:r>
      <w:r>
        <w:rPr>
          <w:color w:val="231F20"/>
          <w:spacing w:val="-2"/>
        </w:rPr>
        <w:t>Communauté</w:t>
      </w:r>
      <w:r>
        <w:rPr>
          <w:color w:val="231F20"/>
          <w:spacing w:val="-13"/>
        </w:rPr>
        <w:t> </w:t>
      </w:r>
      <w:r>
        <w:rPr>
          <w:color w:val="231F20"/>
          <w:spacing w:val="-2"/>
        </w:rPr>
        <w:t>Internationale</w:t>
      </w:r>
      <w:r>
        <w:rPr>
          <w:color w:val="231F20"/>
          <w:spacing w:val="-13"/>
        </w:rPr>
        <w:t> </w:t>
      </w:r>
      <w:r>
        <w:rPr>
          <w:color w:val="231F20"/>
          <w:spacing w:val="-2"/>
        </w:rPr>
        <w:t>inquiète</w:t>
      </w:r>
      <w:r>
        <w:rPr>
          <w:color w:val="231F20"/>
          <w:spacing w:val="-13"/>
        </w:rPr>
        <w:t> </w:t>
      </w:r>
      <w:r>
        <w:rPr>
          <w:color w:val="231F20"/>
          <w:spacing w:val="-2"/>
        </w:rPr>
        <w:t>de</w:t>
      </w:r>
      <w:r>
        <w:rPr>
          <w:color w:val="231F20"/>
          <w:spacing w:val="-13"/>
        </w:rPr>
        <w:t> </w:t>
      </w:r>
      <w:r>
        <w:rPr>
          <w:color w:val="231F20"/>
          <w:spacing w:val="-2"/>
        </w:rPr>
        <w:t>l’endettement</w:t>
      </w:r>
      <w:r>
        <w:rPr>
          <w:color w:val="231F20"/>
          <w:spacing w:val="-13"/>
        </w:rPr>
        <w:t> </w:t>
      </w:r>
      <w:r>
        <w:rPr>
          <w:color w:val="231F20"/>
          <w:spacing w:val="-2"/>
        </w:rPr>
        <w:t>du</w:t>
      </w:r>
      <w:r>
        <w:rPr>
          <w:color w:val="231F20"/>
          <w:spacing w:val="-13"/>
        </w:rPr>
        <w:t> </w:t>
      </w:r>
      <w:r>
        <w:rPr>
          <w:color w:val="231F20"/>
          <w:spacing w:val="-2"/>
        </w:rPr>
        <w:t>pays,</w:t>
      </w:r>
      <w:r>
        <w:rPr>
          <w:color w:val="231F20"/>
          <w:spacing w:val="-13"/>
        </w:rPr>
        <w:t> </w:t>
      </w:r>
      <w:r>
        <w:rPr>
          <w:color w:val="231F20"/>
          <w:spacing w:val="-2"/>
        </w:rPr>
        <w:t>fait </w:t>
      </w:r>
      <w:r>
        <w:rPr>
          <w:color w:val="231F20"/>
        </w:rPr>
        <w:t>appel à Alassane Dramane Ouattara, alors Gouverneur de la Banque Centrale</w:t>
      </w:r>
      <w:r>
        <w:rPr>
          <w:color w:val="231F20"/>
          <w:spacing w:val="-9"/>
        </w:rPr>
        <w:t> </w:t>
      </w:r>
      <w:r>
        <w:rPr>
          <w:color w:val="231F20"/>
        </w:rPr>
        <w:t>des</w:t>
      </w:r>
      <w:r>
        <w:rPr>
          <w:color w:val="231F20"/>
          <w:spacing w:val="-7"/>
        </w:rPr>
        <w:t> </w:t>
      </w:r>
      <w:r>
        <w:rPr>
          <w:color w:val="231F20"/>
        </w:rPr>
        <w:t>États</w:t>
      </w:r>
      <w:r>
        <w:rPr>
          <w:color w:val="231F20"/>
          <w:spacing w:val="-8"/>
        </w:rPr>
        <w:t> </w:t>
      </w:r>
      <w:r>
        <w:rPr>
          <w:color w:val="231F20"/>
        </w:rPr>
        <w:t>de</w:t>
      </w:r>
      <w:r>
        <w:rPr>
          <w:color w:val="231F20"/>
          <w:spacing w:val="-9"/>
        </w:rPr>
        <w:t> </w:t>
      </w:r>
      <w:r>
        <w:rPr>
          <w:color w:val="231F20"/>
        </w:rPr>
        <w:t>l’Afrique</w:t>
      </w:r>
      <w:r>
        <w:rPr>
          <w:color w:val="231F20"/>
          <w:spacing w:val="-6"/>
        </w:rPr>
        <w:t> </w:t>
      </w:r>
      <w:r>
        <w:rPr>
          <w:color w:val="231F20"/>
        </w:rPr>
        <w:t>de</w:t>
      </w:r>
      <w:r>
        <w:rPr>
          <w:color w:val="231F20"/>
          <w:spacing w:val="-9"/>
        </w:rPr>
        <w:t> </w:t>
      </w:r>
      <w:r>
        <w:rPr>
          <w:color w:val="231F20"/>
        </w:rPr>
        <w:t>l’Ouest</w:t>
      </w:r>
      <w:r>
        <w:rPr>
          <w:color w:val="231F20"/>
          <w:spacing w:val="-6"/>
        </w:rPr>
        <w:t> </w:t>
      </w:r>
      <w:r>
        <w:rPr>
          <w:color w:val="231F20"/>
        </w:rPr>
        <w:t>(BCEAO).</w:t>
      </w:r>
      <w:r>
        <w:rPr>
          <w:color w:val="231F20"/>
          <w:spacing w:val="-6"/>
        </w:rPr>
        <w:t> </w:t>
      </w:r>
      <w:r>
        <w:rPr>
          <w:color w:val="231F20"/>
        </w:rPr>
        <w:t>Avant</w:t>
      </w:r>
      <w:r>
        <w:rPr>
          <w:color w:val="231F20"/>
          <w:spacing w:val="-6"/>
        </w:rPr>
        <w:t> </w:t>
      </w:r>
      <w:r>
        <w:rPr>
          <w:color w:val="231F20"/>
        </w:rPr>
        <w:t>de</w:t>
      </w:r>
      <w:r>
        <w:rPr>
          <w:color w:val="231F20"/>
          <w:spacing w:val="-9"/>
        </w:rPr>
        <w:t> </w:t>
      </w:r>
      <w:r>
        <w:rPr>
          <w:color w:val="231F20"/>
        </w:rPr>
        <w:t>prendre ce poste réservé à la Côte d’Ivoire dans l’institution monétaire Ouest- Africaine,</w:t>
      </w:r>
      <w:r>
        <w:rPr>
          <w:color w:val="231F20"/>
          <w:spacing w:val="-14"/>
        </w:rPr>
        <w:t> </w:t>
      </w:r>
      <w:r>
        <w:rPr>
          <w:color w:val="231F20"/>
        </w:rPr>
        <w:t>Monsieur</w:t>
      </w:r>
      <w:r>
        <w:rPr>
          <w:color w:val="231F20"/>
          <w:spacing w:val="-14"/>
        </w:rPr>
        <w:t> </w:t>
      </w:r>
      <w:r>
        <w:rPr>
          <w:color w:val="231F20"/>
        </w:rPr>
        <w:t>Ouattara</w:t>
      </w:r>
      <w:r>
        <w:rPr>
          <w:color w:val="231F20"/>
          <w:spacing w:val="-12"/>
        </w:rPr>
        <w:t> </w:t>
      </w:r>
      <w:r>
        <w:rPr>
          <w:color w:val="231F20"/>
        </w:rPr>
        <w:t>occupait</w:t>
      </w:r>
      <w:r>
        <w:rPr>
          <w:color w:val="231F20"/>
          <w:spacing w:val="-14"/>
        </w:rPr>
        <w:t> </w:t>
      </w:r>
      <w:r>
        <w:rPr>
          <w:color w:val="231F20"/>
        </w:rPr>
        <w:t>celui</w:t>
      </w:r>
      <w:r>
        <w:rPr>
          <w:color w:val="231F20"/>
          <w:spacing w:val="-14"/>
        </w:rPr>
        <w:t> </w:t>
      </w:r>
      <w:r>
        <w:rPr>
          <w:color w:val="231F20"/>
        </w:rPr>
        <w:t>de</w:t>
      </w:r>
      <w:r>
        <w:rPr>
          <w:color w:val="231F20"/>
          <w:spacing w:val="-14"/>
        </w:rPr>
        <w:t> </w:t>
      </w:r>
      <w:r>
        <w:rPr>
          <w:color w:val="231F20"/>
        </w:rPr>
        <w:t>vice-gouverneur</w:t>
      </w:r>
      <w:r>
        <w:rPr>
          <w:color w:val="231F20"/>
          <w:spacing w:val="-15"/>
        </w:rPr>
        <w:t> </w:t>
      </w:r>
      <w:r>
        <w:rPr>
          <w:color w:val="231F20"/>
        </w:rPr>
        <w:t>pour</w:t>
      </w:r>
      <w:r>
        <w:rPr>
          <w:color w:val="231F20"/>
          <w:spacing w:val="-14"/>
        </w:rPr>
        <w:t> </w:t>
      </w:r>
      <w:r>
        <w:rPr>
          <w:color w:val="231F20"/>
        </w:rPr>
        <w:t>le compte de la Haute Volta devenue entretemps Burkina Faso. Alassane </w:t>
      </w:r>
      <w:r>
        <w:rPr>
          <w:color w:val="231F20"/>
          <w:spacing w:val="-4"/>
        </w:rPr>
        <w:t>Ouattara</w:t>
      </w:r>
      <w:r>
        <w:rPr>
          <w:color w:val="231F20"/>
          <w:spacing w:val="-6"/>
        </w:rPr>
        <w:t> </w:t>
      </w:r>
      <w:r>
        <w:rPr>
          <w:color w:val="231F20"/>
          <w:spacing w:val="-4"/>
        </w:rPr>
        <w:t>sans être lui-même ministre,</w:t>
      </w:r>
      <w:r>
        <w:rPr>
          <w:color w:val="231F20"/>
          <w:spacing w:val="-5"/>
        </w:rPr>
        <w:t> </w:t>
      </w:r>
      <w:r>
        <w:rPr>
          <w:color w:val="231F20"/>
          <w:spacing w:val="-4"/>
        </w:rPr>
        <w:t>est</w:t>
      </w:r>
      <w:r>
        <w:rPr>
          <w:color w:val="231F20"/>
          <w:spacing w:val="-5"/>
        </w:rPr>
        <w:t> </w:t>
      </w:r>
      <w:r>
        <w:rPr>
          <w:color w:val="231F20"/>
          <w:spacing w:val="-4"/>
        </w:rPr>
        <w:t>nommé</w:t>
      </w:r>
      <w:r>
        <w:rPr>
          <w:color w:val="231F20"/>
          <w:spacing w:val="-6"/>
        </w:rPr>
        <w:t> </w:t>
      </w:r>
      <w:r>
        <w:rPr>
          <w:color w:val="231F20"/>
          <w:spacing w:val="-4"/>
        </w:rPr>
        <w:t>par Houphouët-Boigny, </w:t>
      </w:r>
      <w:r>
        <w:rPr>
          <w:color w:val="231F20"/>
          <w:spacing w:val="-2"/>
        </w:rPr>
        <w:t>président</w:t>
      </w:r>
      <w:r>
        <w:rPr>
          <w:color w:val="231F20"/>
          <w:spacing w:val="-15"/>
        </w:rPr>
        <w:t> </w:t>
      </w:r>
      <w:r>
        <w:rPr>
          <w:color w:val="231F20"/>
          <w:spacing w:val="-2"/>
        </w:rPr>
        <w:t>d’un</w:t>
      </w:r>
      <w:r>
        <w:rPr>
          <w:color w:val="231F20"/>
          <w:spacing w:val="-13"/>
        </w:rPr>
        <w:t> </w:t>
      </w:r>
      <w:r>
        <w:rPr>
          <w:color w:val="231F20"/>
          <w:spacing w:val="-2"/>
        </w:rPr>
        <w:t>Comité</w:t>
      </w:r>
      <w:r>
        <w:rPr>
          <w:color w:val="231F20"/>
          <w:spacing w:val="-13"/>
        </w:rPr>
        <w:t> </w:t>
      </w:r>
      <w:r>
        <w:rPr>
          <w:color w:val="231F20"/>
          <w:spacing w:val="-2"/>
        </w:rPr>
        <w:t>Interministériel</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Coordination</w:t>
      </w:r>
      <w:r>
        <w:rPr>
          <w:color w:val="231F20"/>
          <w:spacing w:val="-13"/>
        </w:rPr>
        <w:t> </w:t>
      </w:r>
      <w:r>
        <w:rPr>
          <w:color w:val="231F20"/>
          <w:spacing w:val="-2"/>
        </w:rPr>
        <w:t>du</w:t>
      </w:r>
      <w:r>
        <w:rPr>
          <w:color w:val="231F20"/>
          <w:spacing w:val="-13"/>
        </w:rPr>
        <w:t> </w:t>
      </w:r>
      <w:r>
        <w:rPr>
          <w:color w:val="231F20"/>
          <w:spacing w:val="-2"/>
        </w:rPr>
        <w:t>Programme de</w:t>
      </w:r>
      <w:r>
        <w:rPr>
          <w:color w:val="231F20"/>
          <w:spacing w:val="-8"/>
        </w:rPr>
        <w:t> </w:t>
      </w:r>
      <w:r>
        <w:rPr>
          <w:color w:val="231F20"/>
          <w:spacing w:val="-2"/>
        </w:rPr>
        <w:t>Stabilisation</w:t>
      </w:r>
      <w:r>
        <w:rPr>
          <w:color w:val="231F20"/>
          <w:spacing w:val="-8"/>
        </w:rPr>
        <w:t> </w:t>
      </w:r>
      <w:r>
        <w:rPr>
          <w:color w:val="231F20"/>
          <w:spacing w:val="-2"/>
        </w:rPr>
        <w:t>et</w:t>
      </w:r>
      <w:r>
        <w:rPr>
          <w:color w:val="231F20"/>
          <w:spacing w:val="-7"/>
        </w:rPr>
        <w:t> </w:t>
      </w:r>
      <w:r>
        <w:rPr>
          <w:color w:val="231F20"/>
          <w:spacing w:val="-2"/>
        </w:rPr>
        <w:t>de</w:t>
      </w:r>
      <w:r>
        <w:rPr>
          <w:color w:val="231F20"/>
          <w:spacing w:val="-11"/>
        </w:rPr>
        <w:t> </w:t>
      </w:r>
      <w:r>
        <w:rPr>
          <w:color w:val="231F20"/>
          <w:spacing w:val="-2"/>
        </w:rPr>
        <w:t>Relance</w:t>
      </w:r>
      <w:r>
        <w:rPr>
          <w:color w:val="231F20"/>
          <w:spacing w:val="-9"/>
        </w:rPr>
        <w:t> </w:t>
      </w:r>
      <w:r>
        <w:rPr>
          <w:color w:val="231F20"/>
          <w:spacing w:val="-2"/>
        </w:rPr>
        <w:t>Économique</w:t>
      </w:r>
      <w:r>
        <w:rPr>
          <w:color w:val="231F20"/>
          <w:spacing w:val="-8"/>
        </w:rPr>
        <w:t> </w:t>
      </w:r>
      <w:r>
        <w:rPr>
          <w:color w:val="231F20"/>
          <w:spacing w:val="-2"/>
        </w:rPr>
        <w:t>dont</w:t>
      </w:r>
      <w:r>
        <w:rPr>
          <w:color w:val="231F20"/>
          <w:spacing w:val="-10"/>
        </w:rPr>
        <w:t> </w:t>
      </w:r>
      <w:r>
        <w:rPr>
          <w:color w:val="231F20"/>
          <w:spacing w:val="-2"/>
        </w:rPr>
        <w:t>le</w:t>
      </w:r>
      <w:r>
        <w:rPr>
          <w:color w:val="231F20"/>
          <w:spacing w:val="-8"/>
        </w:rPr>
        <w:t> </w:t>
      </w:r>
      <w:r>
        <w:rPr>
          <w:color w:val="231F20"/>
          <w:spacing w:val="-2"/>
        </w:rPr>
        <w:t>rôle</w:t>
      </w:r>
      <w:r>
        <w:rPr>
          <w:color w:val="231F20"/>
          <w:spacing w:val="-8"/>
        </w:rPr>
        <w:t> </w:t>
      </w:r>
      <w:r>
        <w:rPr>
          <w:color w:val="231F20"/>
          <w:spacing w:val="-2"/>
        </w:rPr>
        <w:t>est</w:t>
      </w:r>
      <w:r>
        <w:rPr>
          <w:color w:val="231F20"/>
          <w:spacing w:val="-8"/>
        </w:rPr>
        <w:t> </w:t>
      </w:r>
      <w:r>
        <w:rPr>
          <w:color w:val="231F20"/>
          <w:spacing w:val="-2"/>
        </w:rPr>
        <w:t>de</w:t>
      </w:r>
      <w:r>
        <w:rPr>
          <w:color w:val="231F20"/>
          <w:spacing w:val="-11"/>
        </w:rPr>
        <w:t> </w:t>
      </w:r>
      <w:r>
        <w:rPr>
          <w:color w:val="231F20"/>
          <w:spacing w:val="-2"/>
        </w:rPr>
        <w:t>résoudre</w:t>
      </w:r>
      <w:r>
        <w:rPr>
          <w:color w:val="231F20"/>
          <w:spacing w:val="-8"/>
        </w:rPr>
        <w:t> </w:t>
      </w:r>
      <w:r>
        <w:rPr>
          <w:color w:val="231F20"/>
          <w:spacing w:val="-2"/>
        </w:rPr>
        <w:t>la </w:t>
      </w:r>
      <w:r>
        <w:rPr>
          <w:color w:val="231F20"/>
        </w:rPr>
        <w:t>crise</w:t>
      </w:r>
      <w:r>
        <w:rPr>
          <w:color w:val="231F20"/>
          <w:spacing w:val="-15"/>
        </w:rPr>
        <w:t> </w:t>
      </w:r>
      <w:r>
        <w:rPr>
          <w:color w:val="231F20"/>
        </w:rPr>
        <w:t>financière</w:t>
      </w:r>
      <w:r>
        <w:rPr>
          <w:color w:val="231F20"/>
          <w:spacing w:val="-15"/>
        </w:rPr>
        <w:t> </w:t>
      </w:r>
      <w:r>
        <w:rPr>
          <w:color w:val="231F20"/>
        </w:rPr>
        <w:t>provoquée</w:t>
      </w:r>
      <w:r>
        <w:rPr>
          <w:color w:val="231F20"/>
          <w:spacing w:val="-15"/>
        </w:rPr>
        <w:t> </w:t>
      </w:r>
      <w:r>
        <w:rPr>
          <w:color w:val="231F20"/>
        </w:rPr>
        <w:t>par</w:t>
      </w:r>
      <w:r>
        <w:rPr>
          <w:color w:val="231F20"/>
          <w:spacing w:val="-15"/>
        </w:rPr>
        <w:t> </w:t>
      </w:r>
      <w:r>
        <w:rPr>
          <w:color w:val="231F20"/>
        </w:rPr>
        <w:t>la</w:t>
      </w:r>
      <w:r>
        <w:rPr>
          <w:color w:val="231F20"/>
          <w:spacing w:val="-15"/>
        </w:rPr>
        <w:t> </w:t>
      </w:r>
      <w:r>
        <w:rPr>
          <w:color w:val="231F20"/>
        </w:rPr>
        <w:t>chute</w:t>
      </w:r>
      <w:r>
        <w:rPr>
          <w:color w:val="231F20"/>
          <w:spacing w:val="-15"/>
        </w:rPr>
        <w:t> </w:t>
      </w:r>
      <w:r>
        <w:rPr>
          <w:color w:val="231F20"/>
        </w:rPr>
        <w:t>des</w:t>
      </w:r>
      <w:r>
        <w:rPr>
          <w:color w:val="231F20"/>
          <w:spacing w:val="-15"/>
        </w:rPr>
        <w:t> </w:t>
      </w:r>
      <w:r>
        <w:rPr>
          <w:color w:val="231F20"/>
        </w:rPr>
        <w:t>cours</w:t>
      </w:r>
      <w:r>
        <w:rPr>
          <w:color w:val="231F20"/>
          <w:spacing w:val="-15"/>
        </w:rPr>
        <w:t> </w:t>
      </w:r>
      <w:r>
        <w:rPr>
          <w:color w:val="231F20"/>
        </w:rPr>
        <w:t>des</w:t>
      </w:r>
      <w:r>
        <w:rPr>
          <w:color w:val="231F20"/>
          <w:spacing w:val="-15"/>
        </w:rPr>
        <w:t> </w:t>
      </w:r>
      <w:r>
        <w:rPr>
          <w:color w:val="231F20"/>
        </w:rPr>
        <w:t>matières</w:t>
      </w:r>
      <w:r>
        <w:rPr>
          <w:color w:val="231F20"/>
          <w:spacing w:val="-15"/>
        </w:rPr>
        <w:t> </w:t>
      </w:r>
      <w:r>
        <w:rPr>
          <w:color w:val="231F20"/>
        </w:rPr>
        <w:t>premières </w:t>
      </w:r>
      <w:r>
        <w:rPr>
          <w:color w:val="231F20"/>
          <w:spacing w:val="-4"/>
        </w:rPr>
        <w:t>et</w:t>
      </w:r>
      <w:r>
        <w:rPr>
          <w:color w:val="231F20"/>
          <w:spacing w:val="-7"/>
        </w:rPr>
        <w:t> </w:t>
      </w:r>
      <w:r>
        <w:rPr>
          <w:color w:val="231F20"/>
          <w:spacing w:val="-4"/>
        </w:rPr>
        <w:t>le</w:t>
      </w:r>
      <w:r>
        <w:rPr>
          <w:color w:val="231F20"/>
          <w:spacing w:val="-11"/>
        </w:rPr>
        <w:t> </w:t>
      </w:r>
      <w:r>
        <w:rPr>
          <w:color w:val="231F20"/>
          <w:spacing w:val="-4"/>
        </w:rPr>
        <w:t>poids</w:t>
      </w:r>
      <w:r>
        <w:rPr>
          <w:color w:val="231F20"/>
          <w:spacing w:val="-9"/>
        </w:rPr>
        <w:t> </w:t>
      </w:r>
      <w:r>
        <w:rPr>
          <w:color w:val="231F20"/>
          <w:spacing w:val="-4"/>
        </w:rPr>
        <w:t>de</w:t>
      </w:r>
      <w:r>
        <w:rPr>
          <w:color w:val="231F20"/>
          <w:spacing w:val="-9"/>
        </w:rPr>
        <w:t> </w:t>
      </w:r>
      <w:r>
        <w:rPr>
          <w:color w:val="231F20"/>
          <w:spacing w:val="-4"/>
        </w:rPr>
        <w:t>la</w:t>
      </w:r>
      <w:r>
        <w:rPr>
          <w:color w:val="231F20"/>
          <w:spacing w:val="-7"/>
        </w:rPr>
        <w:t> </w:t>
      </w:r>
      <w:r>
        <w:rPr>
          <w:color w:val="231F20"/>
          <w:spacing w:val="-4"/>
        </w:rPr>
        <w:t>dette</w:t>
      </w:r>
      <w:r>
        <w:rPr>
          <w:color w:val="231F20"/>
          <w:spacing w:val="-7"/>
        </w:rPr>
        <w:t> </w:t>
      </w:r>
      <w:r>
        <w:rPr>
          <w:color w:val="231F20"/>
          <w:spacing w:val="-4"/>
        </w:rPr>
        <w:t>extérieure.</w:t>
      </w:r>
      <w:r>
        <w:rPr>
          <w:color w:val="231F20"/>
          <w:spacing w:val="-7"/>
        </w:rPr>
        <w:t> </w:t>
      </w:r>
      <w:r>
        <w:rPr>
          <w:color w:val="231F20"/>
          <w:spacing w:val="-4"/>
        </w:rPr>
        <w:t>Lors</w:t>
      </w:r>
      <w:r>
        <w:rPr>
          <w:color w:val="231F20"/>
          <w:spacing w:val="-6"/>
        </w:rPr>
        <w:t> </w:t>
      </w:r>
      <w:r>
        <w:rPr>
          <w:color w:val="231F20"/>
          <w:spacing w:val="-4"/>
        </w:rPr>
        <w:t>de</w:t>
      </w:r>
      <w:r>
        <w:rPr>
          <w:color w:val="231F20"/>
          <w:spacing w:val="-9"/>
        </w:rPr>
        <w:t> </w:t>
      </w:r>
      <w:r>
        <w:rPr>
          <w:color w:val="231F20"/>
          <w:spacing w:val="-4"/>
        </w:rPr>
        <w:t>sa</w:t>
      </w:r>
      <w:r>
        <w:rPr>
          <w:color w:val="231F20"/>
          <w:spacing w:val="-9"/>
        </w:rPr>
        <w:t> </w:t>
      </w:r>
      <w:r>
        <w:rPr>
          <w:color w:val="231F20"/>
          <w:spacing w:val="-4"/>
        </w:rPr>
        <w:t>première</w:t>
      </w:r>
      <w:r>
        <w:rPr>
          <w:color w:val="231F20"/>
          <w:spacing w:val="-11"/>
        </w:rPr>
        <w:t> </w:t>
      </w:r>
      <w:r>
        <w:rPr>
          <w:color w:val="231F20"/>
          <w:spacing w:val="-4"/>
        </w:rPr>
        <w:t>conférence</w:t>
      </w:r>
      <w:r>
        <w:rPr>
          <w:color w:val="231F20"/>
          <w:spacing w:val="-7"/>
        </w:rPr>
        <w:t> </w:t>
      </w:r>
      <w:r>
        <w:rPr>
          <w:color w:val="231F20"/>
          <w:spacing w:val="-4"/>
        </w:rPr>
        <w:t>de</w:t>
      </w:r>
      <w:r>
        <w:rPr>
          <w:color w:val="231F20"/>
          <w:spacing w:val="-7"/>
        </w:rPr>
        <w:t> </w:t>
      </w:r>
      <w:r>
        <w:rPr>
          <w:color w:val="231F20"/>
          <w:spacing w:val="-4"/>
        </w:rPr>
        <w:t>presse </w:t>
      </w:r>
      <w:r>
        <w:rPr>
          <w:color w:val="231F20"/>
        </w:rPr>
        <w:t>au</w:t>
      </w:r>
      <w:r>
        <w:rPr>
          <w:color w:val="231F20"/>
          <w:spacing w:val="-12"/>
        </w:rPr>
        <w:t> </w:t>
      </w:r>
      <w:r>
        <w:rPr>
          <w:color w:val="231F20"/>
        </w:rPr>
        <w:t>palais</w:t>
      </w:r>
      <w:r>
        <w:rPr>
          <w:color w:val="231F20"/>
          <w:spacing w:val="-14"/>
        </w:rPr>
        <w:t> </w:t>
      </w:r>
      <w:r>
        <w:rPr>
          <w:color w:val="231F20"/>
        </w:rPr>
        <w:t>de</w:t>
      </w:r>
      <w:r>
        <w:rPr>
          <w:color w:val="231F20"/>
          <w:spacing w:val="-12"/>
        </w:rPr>
        <w:t> </w:t>
      </w:r>
      <w:r>
        <w:rPr>
          <w:color w:val="231F20"/>
        </w:rPr>
        <w:t>la</w:t>
      </w:r>
      <w:r>
        <w:rPr>
          <w:color w:val="231F20"/>
          <w:spacing w:val="-12"/>
        </w:rPr>
        <w:t> </w:t>
      </w:r>
      <w:r>
        <w:rPr>
          <w:color w:val="231F20"/>
        </w:rPr>
        <w:t>présidence,</w:t>
      </w:r>
      <w:r>
        <w:rPr>
          <w:color w:val="231F20"/>
          <w:spacing w:val="-12"/>
        </w:rPr>
        <w:t> </w:t>
      </w:r>
      <w:r>
        <w:rPr>
          <w:color w:val="231F20"/>
        </w:rPr>
        <w:t>au</w:t>
      </w:r>
      <w:r>
        <w:rPr>
          <w:color w:val="231F20"/>
          <w:spacing w:val="-12"/>
        </w:rPr>
        <w:t> </w:t>
      </w:r>
      <w:r>
        <w:rPr>
          <w:color w:val="231F20"/>
        </w:rPr>
        <w:t>Plateau,</w:t>
      </w:r>
      <w:r>
        <w:rPr>
          <w:color w:val="231F20"/>
          <w:spacing w:val="-14"/>
        </w:rPr>
        <w:t> </w:t>
      </w:r>
      <w:r>
        <w:rPr>
          <w:color w:val="231F20"/>
        </w:rPr>
        <w:t>il</w:t>
      </w:r>
      <w:r>
        <w:rPr>
          <w:color w:val="231F20"/>
          <w:spacing w:val="-11"/>
        </w:rPr>
        <w:t> </w:t>
      </w:r>
      <w:r>
        <w:rPr>
          <w:color w:val="231F20"/>
        </w:rPr>
        <w:t>promet</w:t>
      </w:r>
      <w:r>
        <w:rPr>
          <w:color w:val="231F20"/>
          <w:spacing w:val="-14"/>
        </w:rPr>
        <w:t> </w:t>
      </w:r>
      <w:r>
        <w:rPr>
          <w:color w:val="231F20"/>
        </w:rPr>
        <w:t>de</w:t>
      </w:r>
      <w:r>
        <w:rPr>
          <w:color w:val="231F20"/>
          <w:spacing w:val="-14"/>
        </w:rPr>
        <w:t> </w:t>
      </w:r>
      <w:r>
        <w:rPr>
          <w:color w:val="231F20"/>
        </w:rPr>
        <w:t>redresser</w:t>
      </w:r>
      <w:r>
        <w:rPr>
          <w:color w:val="231F20"/>
          <w:spacing w:val="-12"/>
        </w:rPr>
        <w:t> </w:t>
      </w:r>
      <w:r>
        <w:rPr>
          <w:color w:val="231F20"/>
        </w:rPr>
        <w:t>l’économie en 100 jours. Mais les 100 jours passent très vite, et rien n’apparaît à l’horizon.</w:t>
      </w:r>
      <w:r>
        <w:rPr>
          <w:color w:val="231F20"/>
          <w:spacing w:val="-15"/>
        </w:rPr>
        <w:t> </w:t>
      </w:r>
      <w:r>
        <w:rPr>
          <w:color w:val="231F20"/>
        </w:rPr>
        <w:t>Il</w:t>
      </w:r>
      <w:r>
        <w:rPr>
          <w:color w:val="231F20"/>
          <w:spacing w:val="-15"/>
        </w:rPr>
        <w:t> </w:t>
      </w:r>
      <w:r>
        <w:rPr>
          <w:color w:val="231F20"/>
        </w:rPr>
        <w:t>revoit</w:t>
      </w:r>
      <w:r>
        <w:rPr>
          <w:color w:val="231F20"/>
          <w:spacing w:val="-15"/>
        </w:rPr>
        <w:t> </w:t>
      </w:r>
      <w:r>
        <w:rPr>
          <w:color w:val="231F20"/>
        </w:rPr>
        <w:t>ses</w:t>
      </w:r>
      <w:r>
        <w:rPr>
          <w:color w:val="231F20"/>
          <w:spacing w:val="-15"/>
        </w:rPr>
        <w:t> </w:t>
      </w:r>
      <w:r>
        <w:rPr>
          <w:color w:val="231F20"/>
        </w:rPr>
        <w:t>prévisions</w:t>
      </w:r>
      <w:r>
        <w:rPr>
          <w:color w:val="231F20"/>
          <w:spacing w:val="-15"/>
        </w:rPr>
        <w:t> </w:t>
      </w:r>
      <w:r>
        <w:rPr>
          <w:color w:val="231F20"/>
        </w:rPr>
        <w:t>et</w:t>
      </w:r>
      <w:r>
        <w:rPr>
          <w:color w:val="231F20"/>
          <w:spacing w:val="-15"/>
        </w:rPr>
        <w:t> </w:t>
      </w:r>
      <w:r>
        <w:rPr>
          <w:color w:val="231F20"/>
        </w:rPr>
        <w:t>repousse</w:t>
      </w:r>
      <w:r>
        <w:rPr>
          <w:color w:val="231F20"/>
          <w:spacing w:val="-15"/>
        </w:rPr>
        <w:t> </w:t>
      </w:r>
      <w:r>
        <w:rPr>
          <w:color w:val="231F20"/>
        </w:rPr>
        <w:t>la</w:t>
      </w:r>
      <w:r>
        <w:rPr>
          <w:color w:val="231F20"/>
          <w:spacing w:val="-15"/>
        </w:rPr>
        <w:t> </w:t>
      </w:r>
      <w:r>
        <w:rPr>
          <w:color w:val="231F20"/>
        </w:rPr>
        <w:t>barre</w:t>
      </w:r>
      <w:r>
        <w:rPr>
          <w:color w:val="231F20"/>
          <w:spacing w:val="-15"/>
        </w:rPr>
        <w:t> </w:t>
      </w:r>
      <w:r>
        <w:rPr>
          <w:color w:val="231F20"/>
        </w:rPr>
        <w:t>à</w:t>
      </w:r>
      <w:r>
        <w:rPr>
          <w:color w:val="231F20"/>
          <w:spacing w:val="-15"/>
        </w:rPr>
        <w:t> </w:t>
      </w:r>
      <w:r>
        <w:rPr>
          <w:color w:val="231F20"/>
        </w:rPr>
        <w:t>1000</w:t>
      </w:r>
      <w:r>
        <w:rPr>
          <w:color w:val="231F20"/>
          <w:spacing w:val="-15"/>
        </w:rPr>
        <w:t> </w:t>
      </w:r>
      <w:r>
        <w:rPr>
          <w:color w:val="231F20"/>
        </w:rPr>
        <w:t>jours.</w:t>
      </w:r>
      <w:r>
        <w:rPr>
          <w:color w:val="231F20"/>
          <w:spacing w:val="-15"/>
        </w:rPr>
        <w:t> </w:t>
      </w:r>
      <w:r>
        <w:rPr>
          <w:color w:val="231F20"/>
        </w:rPr>
        <w:t>Passé ce délai, toujours aucune lueur d’espoir n’apparaît à l’horizon. Les institutions de Bretton Woods imposent leur remède habituel</w:t>
      </w:r>
      <w:r>
        <w:rPr>
          <w:color w:val="231F20"/>
          <w:spacing w:val="-12"/>
        </w:rPr>
        <w:t> </w:t>
      </w:r>
      <w:r>
        <w:rPr>
          <w:color w:val="231F20"/>
        </w:rPr>
        <w:t>: l’ajustement structurel.</w:t>
      </w:r>
    </w:p>
    <w:p>
      <w:pPr>
        <w:pStyle w:val="BodyText"/>
        <w:spacing w:before="121"/>
        <w:ind w:left="112" w:right="104" w:firstLine="283"/>
      </w:pPr>
      <w:r>
        <w:rPr>
          <w:color w:val="231F20"/>
          <w:spacing w:val="-2"/>
        </w:rPr>
        <w:t>Alors,</w:t>
      </w:r>
      <w:r>
        <w:rPr>
          <w:color w:val="231F20"/>
          <w:spacing w:val="-13"/>
        </w:rPr>
        <w:t> </w:t>
      </w:r>
      <w:r>
        <w:rPr>
          <w:color w:val="231F20"/>
          <w:spacing w:val="-2"/>
        </w:rPr>
        <w:t>sans</w:t>
      </w:r>
      <w:r>
        <w:rPr>
          <w:color w:val="231F20"/>
          <w:spacing w:val="-13"/>
        </w:rPr>
        <w:t> </w:t>
      </w:r>
      <w:r>
        <w:rPr>
          <w:color w:val="231F20"/>
          <w:spacing w:val="-2"/>
        </w:rPr>
        <w:t>état</w:t>
      </w:r>
      <w:r>
        <w:rPr>
          <w:color w:val="231F20"/>
          <w:spacing w:val="-13"/>
        </w:rPr>
        <w:t> </w:t>
      </w:r>
      <w:r>
        <w:rPr>
          <w:color w:val="231F20"/>
          <w:spacing w:val="-2"/>
        </w:rPr>
        <w:t>d’âme,</w:t>
      </w:r>
      <w:r>
        <w:rPr>
          <w:color w:val="231F20"/>
          <w:spacing w:val="-13"/>
        </w:rPr>
        <w:t> </w:t>
      </w:r>
      <w:r>
        <w:rPr>
          <w:color w:val="231F20"/>
          <w:spacing w:val="-2"/>
        </w:rPr>
        <w:t>le</w:t>
      </w:r>
      <w:r>
        <w:rPr>
          <w:color w:val="231F20"/>
          <w:spacing w:val="-13"/>
        </w:rPr>
        <w:t> </w:t>
      </w:r>
      <w:r>
        <w:rPr>
          <w:color w:val="231F20"/>
          <w:spacing w:val="-2"/>
        </w:rPr>
        <w:t>premier</w:t>
      </w:r>
      <w:r>
        <w:rPr>
          <w:color w:val="231F20"/>
          <w:spacing w:val="-13"/>
        </w:rPr>
        <w:t> </w:t>
      </w:r>
      <w:r>
        <w:rPr>
          <w:color w:val="231F20"/>
          <w:spacing w:val="-2"/>
        </w:rPr>
        <w:t>Premier</w:t>
      </w:r>
      <w:r>
        <w:rPr>
          <w:color w:val="231F20"/>
          <w:spacing w:val="-12"/>
        </w:rPr>
        <w:t> </w:t>
      </w:r>
      <w:r>
        <w:rPr>
          <w:color w:val="231F20"/>
          <w:spacing w:val="-2"/>
        </w:rPr>
        <w:t>ministre</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Côte</w:t>
      </w:r>
      <w:r>
        <w:rPr>
          <w:color w:val="231F20"/>
          <w:spacing w:val="-13"/>
        </w:rPr>
        <w:t> </w:t>
      </w:r>
      <w:r>
        <w:rPr>
          <w:color w:val="231F20"/>
          <w:spacing w:val="-2"/>
        </w:rPr>
        <w:t>d’ivoire </w:t>
      </w:r>
      <w:r>
        <w:rPr>
          <w:color w:val="231F20"/>
          <w:spacing w:val="-4"/>
        </w:rPr>
        <w:t>passe</w:t>
      </w:r>
      <w:r>
        <w:rPr>
          <w:color w:val="231F20"/>
          <w:spacing w:val="-7"/>
        </w:rPr>
        <w:t> </w:t>
      </w:r>
      <w:r>
        <w:rPr>
          <w:color w:val="231F20"/>
          <w:spacing w:val="-4"/>
        </w:rPr>
        <w:t>à</w:t>
      </w:r>
      <w:r>
        <w:rPr>
          <w:color w:val="231F20"/>
          <w:spacing w:val="-7"/>
        </w:rPr>
        <w:t> </w:t>
      </w:r>
      <w:r>
        <w:rPr>
          <w:color w:val="231F20"/>
          <w:spacing w:val="-4"/>
        </w:rPr>
        <w:t>l’action :</w:t>
      </w:r>
      <w:r>
        <w:rPr>
          <w:color w:val="231F20"/>
          <w:spacing w:val="-6"/>
        </w:rPr>
        <w:t> </w:t>
      </w:r>
      <w:r>
        <w:rPr>
          <w:color w:val="231F20"/>
          <w:spacing w:val="-4"/>
        </w:rPr>
        <w:t>arrêt</w:t>
      </w:r>
      <w:r>
        <w:rPr>
          <w:color w:val="231F20"/>
          <w:spacing w:val="-6"/>
        </w:rPr>
        <w:t> </w:t>
      </w:r>
      <w:r>
        <w:rPr>
          <w:color w:val="231F20"/>
          <w:spacing w:val="-4"/>
        </w:rPr>
        <w:t>des</w:t>
      </w:r>
      <w:r>
        <w:rPr>
          <w:color w:val="231F20"/>
          <w:spacing w:val="-6"/>
        </w:rPr>
        <w:t> </w:t>
      </w:r>
      <w:r>
        <w:rPr>
          <w:color w:val="231F20"/>
          <w:spacing w:val="-4"/>
        </w:rPr>
        <w:t>investissements</w:t>
      </w:r>
      <w:r>
        <w:rPr>
          <w:color w:val="231F20"/>
          <w:spacing w:val="-6"/>
        </w:rPr>
        <w:t> </w:t>
      </w:r>
      <w:r>
        <w:rPr>
          <w:color w:val="231F20"/>
          <w:spacing w:val="-4"/>
        </w:rPr>
        <w:t>sociaux,</w:t>
      </w:r>
      <w:r>
        <w:rPr>
          <w:color w:val="231F20"/>
          <w:spacing w:val="-6"/>
        </w:rPr>
        <w:t> </w:t>
      </w:r>
      <w:r>
        <w:rPr>
          <w:color w:val="231F20"/>
          <w:spacing w:val="-4"/>
        </w:rPr>
        <w:t>diminution</w:t>
      </w:r>
      <w:r>
        <w:rPr>
          <w:color w:val="231F20"/>
          <w:spacing w:val="-6"/>
        </w:rPr>
        <w:t> </w:t>
      </w:r>
      <w:r>
        <w:rPr>
          <w:color w:val="231F20"/>
          <w:spacing w:val="-4"/>
        </w:rPr>
        <w:t>de</w:t>
      </w:r>
      <w:r>
        <w:rPr>
          <w:color w:val="231F20"/>
          <w:spacing w:val="-9"/>
        </w:rPr>
        <w:t> </w:t>
      </w:r>
      <w:r>
        <w:rPr>
          <w:color w:val="231F20"/>
          <w:spacing w:val="-4"/>
        </w:rPr>
        <w:t>tous</w:t>
      </w:r>
      <w:r>
        <w:rPr>
          <w:color w:val="231F20"/>
          <w:spacing w:val="-9"/>
        </w:rPr>
        <w:t> </w:t>
      </w:r>
      <w:r>
        <w:rPr>
          <w:color w:val="231F20"/>
          <w:spacing w:val="-4"/>
        </w:rPr>
        <w:t>les</w:t>
      </w:r>
    </w:p>
    <w:p>
      <w:pPr>
        <w:spacing w:after="0"/>
        <w:sectPr>
          <w:pgSz w:w="8790" w:h="13610"/>
          <w:pgMar w:header="0" w:footer="802" w:top="1060" w:bottom="1000" w:left="880" w:right="880"/>
        </w:sectPr>
      </w:pPr>
    </w:p>
    <w:p>
      <w:pPr>
        <w:pStyle w:val="BodyText"/>
        <w:spacing w:before="66"/>
        <w:ind w:right="104"/>
      </w:pPr>
      <w:r>
        <w:rPr>
          <w:color w:val="231F20"/>
        </w:rPr>
        <w:t>avantages sociaux, dégraissage de la fonction publique, diminution et </w:t>
      </w:r>
      <w:r>
        <w:rPr>
          <w:color w:val="231F20"/>
          <w:spacing w:val="-4"/>
        </w:rPr>
        <w:t>blocage</w:t>
      </w:r>
      <w:r>
        <w:rPr>
          <w:color w:val="231F20"/>
          <w:spacing w:val="-7"/>
        </w:rPr>
        <w:t> </w:t>
      </w:r>
      <w:r>
        <w:rPr>
          <w:color w:val="231F20"/>
          <w:spacing w:val="-4"/>
        </w:rPr>
        <w:t>des</w:t>
      </w:r>
      <w:r>
        <w:rPr>
          <w:color w:val="231F20"/>
          <w:spacing w:val="-6"/>
        </w:rPr>
        <w:t> </w:t>
      </w:r>
      <w:r>
        <w:rPr>
          <w:color w:val="231F20"/>
          <w:spacing w:val="-4"/>
        </w:rPr>
        <w:t>salaires,</w:t>
      </w:r>
      <w:r>
        <w:rPr>
          <w:color w:val="231F20"/>
          <w:spacing w:val="-6"/>
        </w:rPr>
        <w:t> </w:t>
      </w:r>
      <w:r>
        <w:rPr>
          <w:color w:val="231F20"/>
          <w:spacing w:val="-4"/>
        </w:rPr>
        <w:t>privatisation des</w:t>
      </w:r>
      <w:r>
        <w:rPr>
          <w:color w:val="231F20"/>
          <w:spacing w:val="-6"/>
        </w:rPr>
        <w:t> </w:t>
      </w:r>
      <w:r>
        <w:rPr>
          <w:color w:val="231F20"/>
          <w:spacing w:val="-4"/>
        </w:rPr>
        <w:t>sociétés</w:t>
      </w:r>
      <w:r>
        <w:rPr>
          <w:color w:val="231F20"/>
          <w:spacing w:val="-6"/>
        </w:rPr>
        <w:t> </w:t>
      </w:r>
      <w:r>
        <w:rPr>
          <w:color w:val="231F20"/>
          <w:spacing w:val="-4"/>
        </w:rPr>
        <w:t>d’État</w:t>
      </w:r>
      <w:r>
        <w:rPr>
          <w:color w:val="231F20"/>
          <w:spacing w:val="-6"/>
        </w:rPr>
        <w:t> </w:t>
      </w:r>
      <w:r>
        <w:rPr>
          <w:color w:val="231F20"/>
          <w:spacing w:val="-4"/>
        </w:rPr>
        <w:t>en</w:t>
      </w:r>
      <w:r>
        <w:rPr>
          <w:color w:val="231F20"/>
          <w:spacing w:val="-6"/>
        </w:rPr>
        <w:t> </w:t>
      </w:r>
      <w:r>
        <w:rPr>
          <w:color w:val="231F20"/>
          <w:spacing w:val="-4"/>
        </w:rPr>
        <w:t>vendant un</w:t>
      </w:r>
      <w:r>
        <w:rPr>
          <w:color w:val="231F20"/>
          <w:spacing w:val="-7"/>
        </w:rPr>
        <w:t> </w:t>
      </w:r>
      <w:r>
        <w:rPr>
          <w:color w:val="231F20"/>
          <w:spacing w:val="-4"/>
        </w:rPr>
        <w:t>grand </w:t>
      </w:r>
      <w:r>
        <w:rPr>
          <w:color w:val="231F20"/>
          <w:spacing w:val="-2"/>
        </w:rPr>
        <w:t>nombre</w:t>
      </w:r>
      <w:r>
        <w:rPr>
          <w:color w:val="231F20"/>
          <w:spacing w:val="-13"/>
        </w:rPr>
        <w:t> </w:t>
      </w:r>
      <w:r>
        <w:rPr>
          <w:color w:val="231F20"/>
          <w:spacing w:val="-2"/>
        </w:rPr>
        <w:t>d’entreprises</w:t>
      </w:r>
      <w:r>
        <w:rPr>
          <w:color w:val="231F20"/>
          <w:spacing w:val="-13"/>
        </w:rPr>
        <w:t> </w:t>
      </w:r>
      <w:r>
        <w:rPr>
          <w:color w:val="231F20"/>
          <w:spacing w:val="-2"/>
        </w:rPr>
        <w:t>publiques</w:t>
      </w:r>
      <w:r>
        <w:rPr>
          <w:color w:val="231F20"/>
          <w:spacing w:val="-13"/>
        </w:rPr>
        <w:t> </w:t>
      </w:r>
      <w:r>
        <w:rPr>
          <w:color w:val="231F20"/>
          <w:spacing w:val="-2"/>
        </w:rPr>
        <w:t>ou</w:t>
      </w:r>
      <w:r>
        <w:rPr>
          <w:color w:val="231F20"/>
          <w:spacing w:val="-13"/>
        </w:rPr>
        <w:t> </w:t>
      </w:r>
      <w:r>
        <w:rPr>
          <w:color w:val="231F20"/>
          <w:spacing w:val="-2"/>
        </w:rPr>
        <w:t>parapubliques</w:t>
      </w:r>
      <w:r>
        <w:rPr>
          <w:color w:val="231F20"/>
          <w:spacing w:val="-13"/>
        </w:rPr>
        <w:t> </w:t>
      </w:r>
      <w:r>
        <w:rPr>
          <w:color w:val="231F20"/>
          <w:spacing w:val="-2"/>
        </w:rPr>
        <w:t>à</w:t>
      </w:r>
      <w:r>
        <w:rPr>
          <w:color w:val="231F20"/>
          <w:spacing w:val="-13"/>
        </w:rPr>
        <w:t> </w:t>
      </w:r>
      <w:r>
        <w:rPr>
          <w:color w:val="231F20"/>
          <w:spacing w:val="-2"/>
        </w:rPr>
        <w:t>des</w:t>
      </w:r>
      <w:r>
        <w:rPr>
          <w:color w:val="231F20"/>
          <w:spacing w:val="-13"/>
        </w:rPr>
        <w:t> </w:t>
      </w:r>
      <w:r>
        <w:rPr>
          <w:color w:val="231F20"/>
          <w:spacing w:val="-2"/>
        </w:rPr>
        <w:t>privés.</w:t>
      </w:r>
      <w:r>
        <w:rPr>
          <w:color w:val="231F20"/>
          <w:spacing w:val="-13"/>
        </w:rPr>
        <w:t> </w:t>
      </w:r>
      <w:r>
        <w:rPr>
          <w:color w:val="231F20"/>
          <w:spacing w:val="-2"/>
        </w:rPr>
        <w:t>Bouygues </w:t>
      </w:r>
      <w:r>
        <w:rPr>
          <w:color w:val="231F20"/>
        </w:rPr>
        <w:t>obtient la concession pour quinze ans de l’Energie Electrique de Côte </w:t>
      </w:r>
      <w:r>
        <w:rPr>
          <w:color w:val="231F20"/>
          <w:spacing w:val="-4"/>
        </w:rPr>
        <w:t>d’Ivoire</w:t>
      </w:r>
      <w:r>
        <w:rPr>
          <w:color w:val="231F20"/>
          <w:spacing w:val="-10"/>
        </w:rPr>
        <w:t> </w:t>
      </w:r>
      <w:r>
        <w:rPr>
          <w:color w:val="231F20"/>
          <w:spacing w:val="-4"/>
        </w:rPr>
        <w:t>(EECI),</w:t>
      </w:r>
      <w:r>
        <w:rPr>
          <w:color w:val="231F20"/>
          <w:spacing w:val="-9"/>
        </w:rPr>
        <w:t> </w:t>
      </w:r>
      <w:r>
        <w:rPr>
          <w:color w:val="231F20"/>
          <w:spacing w:val="-4"/>
        </w:rPr>
        <w:t>par</w:t>
      </w:r>
      <w:r>
        <w:rPr>
          <w:color w:val="231F20"/>
          <w:spacing w:val="-9"/>
        </w:rPr>
        <w:t> </w:t>
      </w:r>
      <w:r>
        <w:rPr>
          <w:color w:val="231F20"/>
          <w:spacing w:val="-4"/>
        </w:rPr>
        <w:t>un</w:t>
      </w:r>
      <w:r>
        <w:rPr>
          <w:color w:val="231F20"/>
          <w:spacing w:val="-9"/>
        </w:rPr>
        <w:t> </w:t>
      </w:r>
      <w:r>
        <w:rPr>
          <w:color w:val="231F20"/>
          <w:spacing w:val="-4"/>
        </w:rPr>
        <w:t>scandaleux</w:t>
      </w:r>
      <w:r>
        <w:rPr>
          <w:color w:val="231F20"/>
          <w:spacing w:val="-9"/>
        </w:rPr>
        <w:t> </w:t>
      </w:r>
      <w:r>
        <w:rPr>
          <w:color w:val="231F20"/>
          <w:spacing w:val="-4"/>
        </w:rPr>
        <w:t>gré</w:t>
      </w:r>
      <w:r>
        <w:rPr>
          <w:color w:val="231F20"/>
          <w:spacing w:val="-9"/>
        </w:rPr>
        <w:t> </w:t>
      </w:r>
      <w:r>
        <w:rPr>
          <w:color w:val="231F20"/>
          <w:spacing w:val="-4"/>
        </w:rPr>
        <w:t>à</w:t>
      </w:r>
      <w:r>
        <w:rPr>
          <w:color w:val="231F20"/>
          <w:spacing w:val="-11"/>
        </w:rPr>
        <w:t> </w:t>
      </w:r>
      <w:r>
        <w:rPr>
          <w:color w:val="231F20"/>
          <w:spacing w:val="-4"/>
        </w:rPr>
        <w:t>gré,</w:t>
      </w:r>
      <w:r>
        <w:rPr>
          <w:color w:val="231F20"/>
          <w:spacing w:val="-10"/>
        </w:rPr>
        <w:t> </w:t>
      </w:r>
      <w:r>
        <w:rPr>
          <w:color w:val="231F20"/>
          <w:spacing w:val="-4"/>
        </w:rPr>
        <w:t>sous-évalué,</w:t>
      </w:r>
      <w:r>
        <w:rPr>
          <w:color w:val="231F20"/>
          <w:spacing w:val="-10"/>
        </w:rPr>
        <w:t> </w:t>
      </w:r>
      <w:r>
        <w:rPr>
          <w:color w:val="231F20"/>
          <w:spacing w:val="-4"/>
        </w:rPr>
        <w:t>ficelé</w:t>
      </w:r>
      <w:r>
        <w:rPr>
          <w:color w:val="231F20"/>
          <w:spacing w:val="-10"/>
        </w:rPr>
        <w:t> </w:t>
      </w:r>
      <w:r>
        <w:rPr>
          <w:color w:val="231F20"/>
          <w:spacing w:val="-4"/>
        </w:rPr>
        <w:t>le</w:t>
      </w:r>
      <w:r>
        <w:rPr>
          <w:color w:val="231F20"/>
          <w:spacing w:val="-10"/>
        </w:rPr>
        <w:t> </w:t>
      </w:r>
      <w:r>
        <w:rPr>
          <w:color w:val="231F20"/>
          <w:spacing w:val="-4"/>
        </w:rPr>
        <w:t>comité </w:t>
      </w:r>
      <w:r>
        <w:rPr>
          <w:color w:val="231F20"/>
          <w:spacing w:val="-2"/>
        </w:rPr>
        <w:t>de</w:t>
      </w:r>
      <w:r>
        <w:rPr>
          <w:color w:val="231F20"/>
          <w:spacing w:val="-15"/>
        </w:rPr>
        <w:t> </w:t>
      </w:r>
      <w:r>
        <w:rPr>
          <w:color w:val="231F20"/>
          <w:spacing w:val="-2"/>
        </w:rPr>
        <w:t>privatisation</w:t>
      </w:r>
      <w:r>
        <w:rPr>
          <w:color w:val="231F20"/>
          <w:spacing w:val="-13"/>
        </w:rPr>
        <w:t> </w:t>
      </w:r>
      <w:r>
        <w:rPr>
          <w:color w:val="231F20"/>
          <w:spacing w:val="-2"/>
        </w:rPr>
        <w:t>dirigé</w:t>
      </w:r>
      <w:r>
        <w:rPr>
          <w:color w:val="231F20"/>
          <w:spacing w:val="-13"/>
        </w:rPr>
        <w:t> </w:t>
      </w:r>
      <w:r>
        <w:rPr>
          <w:color w:val="231F20"/>
          <w:spacing w:val="-2"/>
        </w:rPr>
        <w:t>par</w:t>
      </w:r>
      <w:r>
        <w:rPr>
          <w:color w:val="231F20"/>
          <w:spacing w:val="-13"/>
        </w:rPr>
        <w:t> </w:t>
      </w:r>
      <w:r>
        <w:rPr>
          <w:color w:val="231F20"/>
          <w:spacing w:val="-2"/>
        </w:rPr>
        <w:t>Alassane</w:t>
      </w:r>
      <w:r>
        <w:rPr>
          <w:color w:val="231F20"/>
          <w:spacing w:val="-13"/>
        </w:rPr>
        <w:t> </w:t>
      </w:r>
      <w:r>
        <w:rPr>
          <w:color w:val="231F20"/>
          <w:spacing w:val="-2"/>
        </w:rPr>
        <w:t>Ouattara.</w:t>
      </w:r>
      <w:r>
        <w:rPr>
          <w:color w:val="231F20"/>
          <w:spacing w:val="-13"/>
        </w:rPr>
        <w:t> </w:t>
      </w:r>
      <w:r>
        <w:rPr>
          <w:color w:val="231F20"/>
          <w:spacing w:val="-2"/>
        </w:rPr>
        <w:t>Avant</w:t>
      </w:r>
      <w:r>
        <w:rPr>
          <w:color w:val="231F20"/>
          <w:spacing w:val="-13"/>
        </w:rPr>
        <w:t> </w:t>
      </w:r>
      <w:r>
        <w:rPr>
          <w:color w:val="231F20"/>
          <w:spacing w:val="-2"/>
        </w:rPr>
        <w:t>même</w:t>
      </w:r>
      <w:r>
        <w:rPr>
          <w:color w:val="231F20"/>
          <w:spacing w:val="-13"/>
        </w:rPr>
        <w:t> </w:t>
      </w:r>
      <w:r>
        <w:rPr>
          <w:color w:val="231F20"/>
          <w:spacing w:val="-2"/>
        </w:rPr>
        <w:t>la</w:t>
      </w:r>
      <w:r>
        <w:rPr>
          <w:color w:val="231F20"/>
          <w:spacing w:val="-13"/>
        </w:rPr>
        <w:t> </w:t>
      </w:r>
      <w:r>
        <w:rPr>
          <w:color w:val="231F20"/>
          <w:spacing w:val="-2"/>
        </w:rPr>
        <w:t>préparation </w:t>
      </w:r>
      <w:r>
        <w:rPr>
          <w:color w:val="231F20"/>
        </w:rPr>
        <w:t>des appels d'offres, Bouygues prend l'affaire en main… politiquement comme le font les français depuis 1960 en Afrique : directement à la présidence,</w:t>
      </w:r>
      <w:r>
        <w:rPr>
          <w:color w:val="231F20"/>
          <w:spacing w:val="-14"/>
        </w:rPr>
        <w:t> </w:t>
      </w:r>
      <w:r>
        <w:rPr>
          <w:color w:val="231F20"/>
        </w:rPr>
        <w:t>avec</w:t>
      </w:r>
      <w:r>
        <w:rPr>
          <w:color w:val="231F20"/>
          <w:spacing w:val="-13"/>
        </w:rPr>
        <w:t> </w:t>
      </w:r>
      <w:r>
        <w:rPr>
          <w:color w:val="231F20"/>
        </w:rPr>
        <w:t>la</w:t>
      </w:r>
      <w:r>
        <w:rPr>
          <w:color w:val="231F20"/>
          <w:spacing w:val="-13"/>
        </w:rPr>
        <w:t> </w:t>
      </w:r>
      <w:r>
        <w:rPr>
          <w:color w:val="231F20"/>
        </w:rPr>
        <w:t>caution</w:t>
      </w:r>
      <w:r>
        <w:rPr>
          <w:color w:val="231F20"/>
          <w:spacing w:val="-13"/>
        </w:rPr>
        <w:t> </w:t>
      </w:r>
      <w:r>
        <w:rPr>
          <w:color w:val="231F20"/>
        </w:rPr>
        <w:t>du</w:t>
      </w:r>
      <w:r>
        <w:rPr>
          <w:color w:val="231F20"/>
          <w:spacing w:val="-15"/>
        </w:rPr>
        <w:t> </w:t>
      </w:r>
      <w:r>
        <w:rPr>
          <w:color w:val="231F20"/>
        </w:rPr>
        <w:t>Premier</w:t>
      </w:r>
      <w:r>
        <w:rPr>
          <w:color w:val="231F20"/>
          <w:spacing w:val="-13"/>
        </w:rPr>
        <w:t> </w:t>
      </w:r>
      <w:r>
        <w:rPr>
          <w:color w:val="231F20"/>
        </w:rPr>
        <w:t>ministre</w:t>
      </w:r>
      <w:r>
        <w:rPr>
          <w:color w:val="231F20"/>
          <w:spacing w:val="-15"/>
        </w:rPr>
        <w:t> </w:t>
      </w:r>
      <w:r>
        <w:rPr>
          <w:color w:val="231F20"/>
        </w:rPr>
        <w:t>qui</w:t>
      </w:r>
      <w:r>
        <w:rPr>
          <w:color w:val="231F20"/>
          <w:spacing w:val="-14"/>
        </w:rPr>
        <w:t> </w:t>
      </w:r>
      <w:r>
        <w:rPr>
          <w:color w:val="231F20"/>
        </w:rPr>
        <w:t>a</w:t>
      </w:r>
      <w:r>
        <w:rPr>
          <w:color w:val="231F20"/>
          <w:spacing w:val="-14"/>
        </w:rPr>
        <w:t> </w:t>
      </w:r>
      <w:r>
        <w:rPr>
          <w:color w:val="231F20"/>
        </w:rPr>
        <w:t>l'aval</w:t>
      </w:r>
      <w:r>
        <w:rPr>
          <w:color w:val="231F20"/>
          <w:spacing w:val="-13"/>
        </w:rPr>
        <w:t> </w:t>
      </w:r>
      <w:r>
        <w:rPr>
          <w:color w:val="231F20"/>
        </w:rPr>
        <w:t>des</w:t>
      </w:r>
      <w:r>
        <w:rPr>
          <w:color w:val="231F20"/>
          <w:spacing w:val="-14"/>
        </w:rPr>
        <w:t> </w:t>
      </w:r>
      <w:r>
        <w:rPr>
          <w:color w:val="231F20"/>
        </w:rPr>
        <w:t>bailleurs de</w:t>
      </w:r>
      <w:r>
        <w:rPr>
          <w:color w:val="231F20"/>
          <w:spacing w:val="-4"/>
        </w:rPr>
        <w:t> </w:t>
      </w:r>
      <w:r>
        <w:rPr>
          <w:color w:val="231F20"/>
        </w:rPr>
        <w:t>fonds</w:t>
      </w:r>
      <w:r>
        <w:rPr>
          <w:color w:val="231F20"/>
          <w:spacing w:val="-7"/>
        </w:rPr>
        <w:t> </w:t>
      </w:r>
      <w:r>
        <w:rPr>
          <w:color w:val="231F20"/>
        </w:rPr>
        <w:t>internationaux,</w:t>
      </w:r>
      <w:r>
        <w:rPr>
          <w:color w:val="231F20"/>
          <w:spacing w:val="-4"/>
        </w:rPr>
        <w:t> </w:t>
      </w:r>
      <w:r>
        <w:rPr>
          <w:color w:val="231F20"/>
        </w:rPr>
        <w:t>principaux</w:t>
      </w:r>
      <w:r>
        <w:rPr>
          <w:color w:val="231F20"/>
          <w:spacing w:val="-5"/>
        </w:rPr>
        <w:t> </w:t>
      </w:r>
      <w:r>
        <w:rPr>
          <w:color w:val="231F20"/>
        </w:rPr>
        <w:t>créanciers</w:t>
      </w:r>
      <w:r>
        <w:rPr>
          <w:color w:val="231F20"/>
          <w:spacing w:val="-7"/>
        </w:rPr>
        <w:t> </w:t>
      </w:r>
      <w:r>
        <w:rPr>
          <w:color w:val="231F20"/>
        </w:rPr>
        <w:t>de</w:t>
      </w:r>
      <w:r>
        <w:rPr>
          <w:color w:val="231F20"/>
          <w:spacing w:val="-4"/>
        </w:rPr>
        <w:t> </w:t>
      </w:r>
      <w:r>
        <w:rPr>
          <w:color w:val="231F20"/>
        </w:rPr>
        <w:t>I'EECI.</w:t>
      </w:r>
    </w:p>
    <w:p>
      <w:pPr>
        <w:pStyle w:val="BodyText"/>
        <w:spacing w:before="121"/>
        <w:ind w:right="104" w:firstLine="283"/>
      </w:pPr>
      <w:r>
        <w:rPr>
          <w:color w:val="231F20"/>
        </w:rPr>
        <w:t>Il</w:t>
      </w:r>
      <w:r>
        <w:rPr>
          <w:color w:val="231F20"/>
          <w:spacing w:val="-15"/>
        </w:rPr>
        <w:t> </w:t>
      </w:r>
      <w:r>
        <w:rPr>
          <w:color w:val="231F20"/>
        </w:rPr>
        <w:t>n'y</w:t>
      </w:r>
      <w:r>
        <w:rPr>
          <w:color w:val="231F20"/>
          <w:spacing w:val="-15"/>
        </w:rPr>
        <w:t> </w:t>
      </w:r>
      <w:r>
        <w:rPr>
          <w:color w:val="231F20"/>
        </w:rPr>
        <w:t>aura</w:t>
      </w:r>
      <w:r>
        <w:rPr>
          <w:color w:val="231F20"/>
          <w:spacing w:val="-15"/>
        </w:rPr>
        <w:t> </w:t>
      </w:r>
      <w:r>
        <w:rPr>
          <w:color w:val="231F20"/>
        </w:rPr>
        <w:t>plus</w:t>
      </w:r>
      <w:r>
        <w:rPr>
          <w:color w:val="231F20"/>
          <w:spacing w:val="-15"/>
        </w:rPr>
        <w:t> </w:t>
      </w:r>
      <w:r>
        <w:rPr>
          <w:color w:val="231F20"/>
        </w:rPr>
        <w:t>d'appel</w:t>
      </w:r>
      <w:r>
        <w:rPr>
          <w:color w:val="231F20"/>
          <w:spacing w:val="-15"/>
        </w:rPr>
        <w:t> </w:t>
      </w:r>
      <w:r>
        <w:rPr>
          <w:color w:val="231F20"/>
        </w:rPr>
        <w:t>d'offres</w:t>
      </w:r>
      <w:r>
        <w:rPr>
          <w:color w:val="231F20"/>
          <w:spacing w:val="-15"/>
        </w:rPr>
        <w:t> </w:t>
      </w:r>
      <w:r>
        <w:rPr>
          <w:color w:val="231F20"/>
        </w:rPr>
        <w:t>international.</w:t>
      </w:r>
      <w:r>
        <w:rPr>
          <w:color w:val="231F20"/>
          <w:spacing w:val="-15"/>
        </w:rPr>
        <w:t> </w:t>
      </w:r>
      <w:r>
        <w:rPr>
          <w:color w:val="231F20"/>
        </w:rPr>
        <w:t>Et</w:t>
      </w:r>
      <w:r>
        <w:rPr>
          <w:color w:val="231F20"/>
          <w:spacing w:val="-15"/>
        </w:rPr>
        <w:t> </w:t>
      </w:r>
      <w:r>
        <w:rPr>
          <w:color w:val="231F20"/>
        </w:rPr>
        <w:t>pourtant,</w:t>
      </w:r>
      <w:r>
        <w:rPr>
          <w:color w:val="231F20"/>
          <w:spacing w:val="-15"/>
        </w:rPr>
        <w:t> </w:t>
      </w:r>
      <w:r>
        <w:rPr>
          <w:color w:val="231F20"/>
        </w:rPr>
        <w:t>les</w:t>
      </w:r>
      <w:r>
        <w:rPr>
          <w:color w:val="231F20"/>
          <w:spacing w:val="-15"/>
        </w:rPr>
        <w:t> </w:t>
      </w:r>
      <w:r>
        <w:rPr>
          <w:color w:val="231F20"/>
        </w:rPr>
        <w:t>actifs</w:t>
      </w:r>
      <w:r>
        <w:rPr>
          <w:color w:val="231F20"/>
          <w:spacing w:val="-15"/>
        </w:rPr>
        <w:t> </w:t>
      </w:r>
      <w:r>
        <w:rPr>
          <w:color w:val="231F20"/>
        </w:rPr>
        <w:t>de </w:t>
      </w:r>
      <w:r>
        <w:rPr>
          <w:color w:val="231F20"/>
          <w:spacing w:val="-2"/>
        </w:rPr>
        <w:t>I'EECI</w:t>
      </w:r>
      <w:r>
        <w:rPr>
          <w:color w:val="231F20"/>
          <w:spacing w:val="-13"/>
        </w:rPr>
        <w:t> </w:t>
      </w:r>
      <w:r>
        <w:rPr>
          <w:color w:val="231F20"/>
          <w:spacing w:val="-2"/>
        </w:rPr>
        <w:t>sont</w:t>
      </w:r>
      <w:r>
        <w:rPr>
          <w:color w:val="231F20"/>
          <w:spacing w:val="-13"/>
        </w:rPr>
        <w:t> </w:t>
      </w:r>
      <w:r>
        <w:rPr>
          <w:color w:val="231F20"/>
          <w:spacing w:val="-2"/>
        </w:rPr>
        <w:t>très</w:t>
      </w:r>
      <w:r>
        <w:rPr>
          <w:color w:val="231F20"/>
          <w:spacing w:val="-13"/>
        </w:rPr>
        <w:t> </w:t>
      </w:r>
      <w:r>
        <w:rPr>
          <w:color w:val="231F20"/>
          <w:spacing w:val="-2"/>
        </w:rPr>
        <w:t>importants</w:t>
      </w:r>
      <w:r>
        <w:rPr>
          <w:color w:val="231F20"/>
          <w:spacing w:val="-13"/>
        </w:rPr>
        <w:t> </w:t>
      </w:r>
      <w:r>
        <w:rPr>
          <w:color w:val="231F20"/>
          <w:spacing w:val="-2"/>
        </w:rPr>
        <w:t>:</w:t>
      </w:r>
      <w:r>
        <w:rPr>
          <w:color w:val="231F20"/>
          <w:spacing w:val="-13"/>
        </w:rPr>
        <w:t> </w:t>
      </w:r>
      <w:r>
        <w:rPr>
          <w:color w:val="231F20"/>
          <w:spacing w:val="-2"/>
        </w:rPr>
        <w:t>5</w:t>
      </w:r>
      <w:r>
        <w:rPr>
          <w:color w:val="231F20"/>
          <w:spacing w:val="-11"/>
        </w:rPr>
        <w:t> </w:t>
      </w:r>
      <w:r>
        <w:rPr>
          <w:color w:val="231F20"/>
          <w:spacing w:val="-2"/>
        </w:rPr>
        <w:t>barrages</w:t>
      </w:r>
      <w:r>
        <w:rPr>
          <w:color w:val="231F20"/>
          <w:spacing w:val="-12"/>
        </w:rPr>
        <w:t> </w:t>
      </w:r>
      <w:r>
        <w:rPr>
          <w:color w:val="231F20"/>
          <w:spacing w:val="-2"/>
        </w:rPr>
        <w:t>avec</w:t>
      </w:r>
      <w:r>
        <w:rPr>
          <w:color w:val="231F20"/>
          <w:spacing w:val="-13"/>
        </w:rPr>
        <w:t> </w:t>
      </w:r>
      <w:r>
        <w:rPr>
          <w:color w:val="231F20"/>
          <w:spacing w:val="-2"/>
        </w:rPr>
        <w:t>leurs</w:t>
      </w:r>
      <w:r>
        <w:rPr>
          <w:color w:val="231F20"/>
          <w:spacing w:val="-12"/>
        </w:rPr>
        <w:t> </w:t>
      </w:r>
      <w:r>
        <w:rPr>
          <w:color w:val="231F20"/>
          <w:spacing w:val="-2"/>
        </w:rPr>
        <w:t>centrales</w:t>
      </w:r>
      <w:r>
        <w:rPr>
          <w:color w:val="231F20"/>
          <w:spacing w:val="-13"/>
        </w:rPr>
        <w:t> </w:t>
      </w:r>
      <w:r>
        <w:rPr>
          <w:color w:val="231F20"/>
          <w:spacing w:val="-2"/>
        </w:rPr>
        <w:t>hydrauliques représentant</w:t>
      </w:r>
      <w:r>
        <w:rPr>
          <w:color w:val="231F20"/>
          <w:spacing w:val="-15"/>
        </w:rPr>
        <w:t> </w:t>
      </w:r>
      <w:r>
        <w:rPr>
          <w:color w:val="231F20"/>
          <w:spacing w:val="-2"/>
        </w:rPr>
        <w:t>une</w:t>
      </w:r>
      <w:r>
        <w:rPr>
          <w:color w:val="231F20"/>
          <w:spacing w:val="-13"/>
        </w:rPr>
        <w:t> </w:t>
      </w:r>
      <w:r>
        <w:rPr>
          <w:color w:val="231F20"/>
          <w:spacing w:val="-2"/>
        </w:rPr>
        <w:t>puissance</w:t>
      </w:r>
      <w:r>
        <w:rPr>
          <w:color w:val="231F20"/>
          <w:spacing w:val="-13"/>
        </w:rPr>
        <w:t> </w:t>
      </w:r>
      <w:r>
        <w:rPr>
          <w:color w:val="231F20"/>
          <w:spacing w:val="-2"/>
        </w:rPr>
        <w:t>installée</w:t>
      </w:r>
      <w:r>
        <w:rPr>
          <w:color w:val="231F20"/>
          <w:spacing w:val="-13"/>
        </w:rPr>
        <w:t> </w:t>
      </w:r>
      <w:r>
        <w:rPr>
          <w:color w:val="231F20"/>
          <w:spacing w:val="-2"/>
        </w:rPr>
        <w:t>de</w:t>
      </w:r>
      <w:r>
        <w:rPr>
          <w:color w:val="231F20"/>
          <w:spacing w:val="-13"/>
        </w:rPr>
        <w:t> </w:t>
      </w:r>
      <w:r>
        <w:rPr>
          <w:color w:val="231F20"/>
          <w:spacing w:val="-2"/>
        </w:rPr>
        <w:t>plus</w:t>
      </w:r>
      <w:r>
        <w:rPr>
          <w:color w:val="231F20"/>
          <w:spacing w:val="-13"/>
        </w:rPr>
        <w:t> </w:t>
      </w:r>
      <w:r>
        <w:rPr>
          <w:color w:val="231F20"/>
          <w:spacing w:val="-2"/>
        </w:rPr>
        <w:t>de</w:t>
      </w:r>
      <w:r>
        <w:rPr>
          <w:color w:val="231F20"/>
          <w:spacing w:val="-13"/>
        </w:rPr>
        <w:t> </w:t>
      </w:r>
      <w:r>
        <w:rPr>
          <w:color w:val="231F20"/>
          <w:spacing w:val="-2"/>
        </w:rPr>
        <w:t>600</w:t>
      </w:r>
      <w:r>
        <w:rPr>
          <w:color w:val="231F20"/>
          <w:spacing w:val="-13"/>
        </w:rPr>
        <w:t> </w:t>
      </w:r>
      <w:r>
        <w:rPr>
          <w:color w:val="231F20"/>
          <w:spacing w:val="-2"/>
        </w:rPr>
        <w:t>millions</w:t>
      </w:r>
      <w:r>
        <w:rPr>
          <w:color w:val="231F20"/>
          <w:spacing w:val="-13"/>
        </w:rPr>
        <w:t> </w:t>
      </w:r>
      <w:r>
        <w:rPr>
          <w:color w:val="231F20"/>
          <w:spacing w:val="-2"/>
        </w:rPr>
        <w:t>de</w:t>
      </w:r>
      <w:r>
        <w:rPr>
          <w:color w:val="231F20"/>
          <w:spacing w:val="-13"/>
        </w:rPr>
        <w:t> </w:t>
      </w:r>
      <w:r>
        <w:rPr>
          <w:color w:val="231F20"/>
          <w:spacing w:val="-2"/>
        </w:rPr>
        <w:t>watts,</w:t>
      </w:r>
      <w:r>
        <w:rPr>
          <w:color w:val="231F20"/>
          <w:spacing w:val="-13"/>
        </w:rPr>
        <w:t> </w:t>
      </w:r>
      <w:r>
        <w:rPr>
          <w:color w:val="231F20"/>
          <w:spacing w:val="-2"/>
        </w:rPr>
        <w:t>une </w:t>
      </w:r>
      <w:r>
        <w:rPr>
          <w:color w:val="231F20"/>
          <w:spacing w:val="-4"/>
        </w:rPr>
        <w:t>centrale</w:t>
      </w:r>
      <w:r>
        <w:rPr>
          <w:color w:val="231F20"/>
          <w:spacing w:val="-8"/>
        </w:rPr>
        <w:t> </w:t>
      </w:r>
      <w:r>
        <w:rPr>
          <w:color w:val="231F20"/>
          <w:spacing w:val="-4"/>
        </w:rPr>
        <w:t>thermique</w:t>
      </w:r>
      <w:r>
        <w:rPr>
          <w:color w:val="231F20"/>
          <w:spacing w:val="-8"/>
        </w:rPr>
        <w:t> </w:t>
      </w:r>
      <w:r>
        <w:rPr>
          <w:color w:val="231F20"/>
          <w:spacing w:val="-4"/>
        </w:rPr>
        <w:t>de 350</w:t>
      </w:r>
      <w:r>
        <w:rPr>
          <w:color w:val="231F20"/>
          <w:spacing w:val="-6"/>
        </w:rPr>
        <w:t> </w:t>
      </w:r>
      <w:r>
        <w:rPr>
          <w:color w:val="231F20"/>
          <w:spacing w:val="-4"/>
        </w:rPr>
        <w:t>millions de</w:t>
      </w:r>
      <w:r>
        <w:rPr>
          <w:color w:val="231F20"/>
          <w:spacing w:val="-8"/>
        </w:rPr>
        <w:t> </w:t>
      </w:r>
      <w:r>
        <w:rPr>
          <w:color w:val="231F20"/>
          <w:spacing w:val="-4"/>
        </w:rPr>
        <w:t>watts,</w:t>
      </w:r>
      <w:r>
        <w:rPr>
          <w:color w:val="231F20"/>
          <w:spacing w:val="-6"/>
        </w:rPr>
        <w:t> </w:t>
      </w:r>
      <w:r>
        <w:rPr>
          <w:color w:val="231F20"/>
          <w:spacing w:val="-4"/>
        </w:rPr>
        <w:t>plus</w:t>
      </w:r>
      <w:r>
        <w:rPr>
          <w:color w:val="231F20"/>
          <w:spacing w:val="-8"/>
        </w:rPr>
        <w:t> </w:t>
      </w:r>
      <w:r>
        <w:rPr>
          <w:color w:val="231F20"/>
          <w:spacing w:val="-4"/>
        </w:rPr>
        <w:t>de</w:t>
      </w:r>
      <w:r>
        <w:rPr>
          <w:color w:val="231F20"/>
          <w:spacing w:val="-8"/>
        </w:rPr>
        <w:t> </w:t>
      </w:r>
      <w:r>
        <w:rPr>
          <w:color w:val="231F20"/>
          <w:spacing w:val="-4"/>
        </w:rPr>
        <w:t>23 000 kilomètres de </w:t>
      </w:r>
      <w:r>
        <w:rPr>
          <w:color w:val="231F20"/>
          <w:spacing w:val="-2"/>
        </w:rPr>
        <w:t>lignes</w:t>
      </w:r>
      <w:r>
        <w:rPr>
          <w:color w:val="231F20"/>
          <w:spacing w:val="-9"/>
        </w:rPr>
        <w:t> </w:t>
      </w:r>
      <w:r>
        <w:rPr>
          <w:color w:val="231F20"/>
          <w:spacing w:val="-2"/>
        </w:rPr>
        <w:t>électriques,</w:t>
      </w:r>
      <w:r>
        <w:rPr>
          <w:color w:val="231F20"/>
          <w:spacing w:val="-9"/>
        </w:rPr>
        <w:t> </w:t>
      </w:r>
      <w:r>
        <w:rPr>
          <w:color w:val="231F20"/>
          <w:spacing w:val="-2"/>
        </w:rPr>
        <w:t>5</w:t>
      </w:r>
      <w:r>
        <w:rPr>
          <w:color w:val="231F20"/>
          <w:spacing w:val="-9"/>
        </w:rPr>
        <w:t> </w:t>
      </w:r>
      <w:r>
        <w:rPr>
          <w:color w:val="231F20"/>
          <w:spacing w:val="-2"/>
        </w:rPr>
        <w:t>000</w:t>
      </w:r>
      <w:r>
        <w:rPr>
          <w:color w:val="231F20"/>
          <w:spacing w:val="-9"/>
        </w:rPr>
        <w:t> </w:t>
      </w:r>
      <w:r>
        <w:rPr>
          <w:color w:val="231F20"/>
          <w:spacing w:val="-2"/>
        </w:rPr>
        <w:t>postes</w:t>
      </w:r>
      <w:r>
        <w:rPr>
          <w:color w:val="231F20"/>
          <w:spacing w:val="-9"/>
        </w:rPr>
        <w:t> </w:t>
      </w:r>
      <w:r>
        <w:rPr>
          <w:color w:val="231F20"/>
          <w:spacing w:val="-2"/>
        </w:rPr>
        <w:t>de</w:t>
      </w:r>
      <w:r>
        <w:rPr>
          <w:color w:val="231F20"/>
          <w:spacing w:val="-9"/>
        </w:rPr>
        <w:t> </w:t>
      </w:r>
      <w:r>
        <w:rPr>
          <w:color w:val="231F20"/>
          <w:spacing w:val="-2"/>
        </w:rPr>
        <w:t>transformation,</w:t>
      </w:r>
      <w:r>
        <w:rPr>
          <w:color w:val="231F20"/>
          <w:spacing w:val="-9"/>
        </w:rPr>
        <w:t> </w:t>
      </w:r>
      <w:r>
        <w:rPr>
          <w:color w:val="231F20"/>
          <w:spacing w:val="-2"/>
        </w:rPr>
        <w:t>plus</w:t>
      </w:r>
      <w:r>
        <w:rPr>
          <w:color w:val="231F20"/>
          <w:spacing w:val="-9"/>
        </w:rPr>
        <w:t> </w:t>
      </w:r>
      <w:r>
        <w:rPr>
          <w:color w:val="231F20"/>
          <w:spacing w:val="-2"/>
        </w:rPr>
        <w:t>de</w:t>
      </w:r>
      <w:r>
        <w:rPr>
          <w:color w:val="231F20"/>
          <w:spacing w:val="-9"/>
        </w:rPr>
        <w:t> </w:t>
      </w:r>
      <w:r>
        <w:rPr>
          <w:color w:val="231F20"/>
          <w:spacing w:val="-2"/>
        </w:rPr>
        <w:t>150000</w:t>
      </w:r>
      <w:r>
        <w:rPr>
          <w:color w:val="231F20"/>
          <w:spacing w:val="-9"/>
        </w:rPr>
        <w:t> </w:t>
      </w:r>
      <w:r>
        <w:rPr>
          <w:color w:val="231F20"/>
          <w:spacing w:val="-2"/>
        </w:rPr>
        <w:t>points </w:t>
      </w:r>
      <w:r>
        <w:rPr>
          <w:color w:val="231F20"/>
          <w:spacing w:val="-4"/>
        </w:rPr>
        <w:t>lumineux...L’EECI</w:t>
      </w:r>
      <w:r>
        <w:rPr>
          <w:color w:val="231F20"/>
          <w:spacing w:val="-11"/>
        </w:rPr>
        <w:t> </w:t>
      </w:r>
      <w:r>
        <w:rPr>
          <w:color w:val="231F20"/>
          <w:spacing w:val="-4"/>
        </w:rPr>
        <w:t>aurait</w:t>
      </w:r>
      <w:r>
        <w:rPr>
          <w:color w:val="231F20"/>
          <w:spacing w:val="-11"/>
        </w:rPr>
        <w:t> </w:t>
      </w:r>
      <w:r>
        <w:rPr>
          <w:color w:val="231F20"/>
          <w:spacing w:val="-4"/>
        </w:rPr>
        <w:t>été</w:t>
      </w:r>
      <w:r>
        <w:rPr>
          <w:color w:val="231F20"/>
          <w:spacing w:val="-11"/>
        </w:rPr>
        <w:t> </w:t>
      </w:r>
      <w:r>
        <w:rPr>
          <w:color w:val="231F20"/>
          <w:spacing w:val="-4"/>
        </w:rPr>
        <w:t>cédée</w:t>
      </w:r>
      <w:r>
        <w:rPr>
          <w:color w:val="231F20"/>
          <w:spacing w:val="-11"/>
        </w:rPr>
        <w:t> </w:t>
      </w:r>
      <w:r>
        <w:rPr>
          <w:color w:val="231F20"/>
          <w:spacing w:val="-4"/>
        </w:rPr>
        <w:t>à</w:t>
      </w:r>
      <w:r>
        <w:rPr>
          <w:color w:val="231F20"/>
          <w:spacing w:val="-11"/>
        </w:rPr>
        <w:t> </w:t>
      </w:r>
      <w:r>
        <w:rPr>
          <w:color w:val="231F20"/>
          <w:spacing w:val="-4"/>
        </w:rPr>
        <w:t>1</w:t>
      </w:r>
      <w:r>
        <w:rPr>
          <w:color w:val="231F20"/>
          <w:spacing w:val="-11"/>
        </w:rPr>
        <w:t> </w:t>
      </w:r>
      <w:r>
        <w:rPr>
          <w:color w:val="231F20"/>
          <w:spacing w:val="-4"/>
        </w:rPr>
        <w:t>f</w:t>
      </w:r>
      <w:r>
        <w:rPr>
          <w:color w:val="231F20"/>
          <w:spacing w:val="-11"/>
        </w:rPr>
        <w:t> </w:t>
      </w:r>
      <w:r>
        <w:rPr>
          <w:color w:val="231F20"/>
          <w:spacing w:val="-4"/>
        </w:rPr>
        <w:t>symbolique.</w:t>
      </w:r>
      <w:r>
        <w:rPr>
          <w:color w:val="231F20"/>
          <w:spacing w:val="-11"/>
        </w:rPr>
        <w:t> </w:t>
      </w:r>
      <w:r>
        <w:rPr>
          <w:color w:val="231F20"/>
          <w:spacing w:val="-4"/>
        </w:rPr>
        <w:t>Aucune</w:t>
      </w:r>
      <w:r>
        <w:rPr>
          <w:color w:val="231F20"/>
          <w:spacing w:val="-11"/>
        </w:rPr>
        <w:t> </w:t>
      </w:r>
      <w:r>
        <w:rPr>
          <w:color w:val="231F20"/>
          <w:spacing w:val="-4"/>
        </w:rPr>
        <w:t>information </w:t>
      </w:r>
      <w:r>
        <w:rPr>
          <w:color w:val="231F20"/>
        </w:rPr>
        <w:t>ne sera fournie à la population sur le coût réel de l’opération. Dans le secteur agricole, la Satmaci, Irho, la palmindustrie...sont vendues. L'Office National des Télécommunications et l’l’Office National des Postes sont vendus à France Télécom.</w:t>
      </w:r>
    </w:p>
    <w:p>
      <w:pPr>
        <w:pStyle w:val="BodyText"/>
        <w:spacing w:before="120"/>
        <w:ind w:right="107" w:firstLine="283"/>
      </w:pPr>
      <w:r>
        <w:rPr>
          <w:color w:val="231F20"/>
        </w:rPr>
        <w:t>La Société Ivoirienne des Transports Maritimes (sitram) et sitram international shipping agencies(sisa) et leurs navires de la marine marchande</w:t>
      </w:r>
      <w:r>
        <w:rPr>
          <w:color w:val="231F20"/>
          <w:spacing w:val="-14"/>
        </w:rPr>
        <w:t> </w:t>
      </w:r>
      <w:r>
        <w:rPr>
          <w:color w:val="231F20"/>
        </w:rPr>
        <w:t>ivoirienne</w:t>
      </w:r>
      <w:r>
        <w:rPr>
          <w:color w:val="231F20"/>
          <w:spacing w:val="-14"/>
        </w:rPr>
        <w:t> </w:t>
      </w:r>
      <w:r>
        <w:rPr>
          <w:color w:val="231F20"/>
        </w:rPr>
        <w:t>sont</w:t>
      </w:r>
      <w:r>
        <w:rPr>
          <w:color w:val="231F20"/>
          <w:spacing w:val="-14"/>
        </w:rPr>
        <w:t> </w:t>
      </w:r>
      <w:r>
        <w:rPr>
          <w:color w:val="231F20"/>
        </w:rPr>
        <w:t>liquidés</w:t>
      </w:r>
      <w:r>
        <w:rPr>
          <w:color w:val="231F20"/>
          <w:spacing w:val="-13"/>
        </w:rPr>
        <w:t> </w:t>
      </w:r>
      <w:r>
        <w:rPr>
          <w:color w:val="231F20"/>
        </w:rPr>
        <w:t>tout</w:t>
      </w:r>
      <w:r>
        <w:rPr>
          <w:color w:val="231F20"/>
          <w:spacing w:val="-14"/>
        </w:rPr>
        <w:t> </w:t>
      </w:r>
      <w:r>
        <w:rPr>
          <w:color w:val="231F20"/>
        </w:rPr>
        <w:t>comme</w:t>
      </w:r>
      <w:r>
        <w:rPr>
          <w:color w:val="231F20"/>
          <w:spacing w:val="-14"/>
        </w:rPr>
        <w:t> </w:t>
      </w:r>
      <w:r>
        <w:rPr>
          <w:color w:val="231F20"/>
        </w:rPr>
        <w:t>la</w:t>
      </w:r>
      <w:r>
        <w:rPr>
          <w:color w:val="231F20"/>
          <w:spacing w:val="-14"/>
        </w:rPr>
        <w:t> </w:t>
      </w:r>
      <w:r>
        <w:rPr>
          <w:color w:val="231F20"/>
        </w:rPr>
        <w:t>Régie</w:t>
      </w:r>
      <w:r>
        <w:rPr>
          <w:color w:val="231F20"/>
          <w:spacing w:val="-14"/>
        </w:rPr>
        <w:t> </w:t>
      </w:r>
      <w:r>
        <w:rPr>
          <w:color w:val="231F20"/>
        </w:rPr>
        <w:t>Abidjan-Niger (RAN) qui gère le rail ivoirien.</w:t>
      </w:r>
    </w:p>
    <w:p>
      <w:pPr>
        <w:pStyle w:val="BodyText"/>
        <w:spacing w:before="121"/>
        <w:ind w:right="104" w:firstLine="283"/>
      </w:pPr>
      <w:r>
        <w:rPr>
          <w:color w:val="231F20"/>
        </w:rPr>
        <w:t>Il</w:t>
      </w:r>
      <w:r>
        <w:rPr>
          <w:color w:val="231F20"/>
          <w:spacing w:val="-10"/>
        </w:rPr>
        <w:t> </w:t>
      </w:r>
      <w:r>
        <w:rPr>
          <w:color w:val="231F20"/>
        </w:rPr>
        <w:t>n’y</w:t>
      </w:r>
      <w:r>
        <w:rPr>
          <w:color w:val="231F20"/>
          <w:spacing w:val="-10"/>
        </w:rPr>
        <w:t> </w:t>
      </w:r>
      <w:r>
        <w:rPr>
          <w:color w:val="231F20"/>
        </w:rPr>
        <w:t>aura</w:t>
      </w:r>
      <w:r>
        <w:rPr>
          <w:color w:val="231F20"/>
          <w:spacing w:val="-10"/>
        </w:rPr>
        <w:t> </w:t>
      </w:r>
      <w:r>
        <w:rPr>
          <w:color w:val="231F20"/>
        </w:rPr>
        <w:t>pas</w:t>
      </w:r>
      <w:r>
        <w:rPr>
          <w:color w:val="231F20"/>
          <w:spacing w:val="-10"/>
        </w:rPr>
        <w:t> </w:t>
      </w:r>
      <w:r>
        <w:rPr>
          <w:color w:val="231F20"/>
        </w:rPr>
        <w:t>de</w:t>
      </w:r>
      <w:r>
        <w:rPr>
          <w:color w:val="231F20"/>
          <w:spacing w:val="-10"/>
        </w:rPr>
        <w:t> </w:t>
      </w:r>
      <w:r>
        <w:rPr>
          <w:color w:val="231F20"/>
        </w:rPr>
        <w:t>communication</w:t>
      </w:r>
      <w:r>
        <w:rPr>
          <w:color w:val="231F20"/>
          <w:spacing w:val="-10"/>
        </w:rPr>
        <w:t> </w:t>
      </w:r>
      <w:r>
        <w:rPr>
          <w:color w:val="231F20"/>
        </w:rPr>
        <w:t>sur</w:t>
      </w:r>
      <w:r>
        <w:rPr>
          <w:color w:val="231F20"/>
          <w:spacing w:val="-10"/>
        </w:rPr>
        <w:t> </w:t>
      </w:r>
      <w:r>
        <w:rPr>
          <w:color w:val="231F20"/>
        </w:rPr>
        <w:t>ces</w:t>
      </w:r>
      <w:r>
        <w:rPr>
          <w:color w:val="231F20"/>
          <w:spacing w:val="-10"/>
        </w:rPr>
        <w:t> </w:t>
      </w:r>
      <w:r>
        <w:rPr>
          <w:color w:val="231F20"/>
        </w:rPr>
        <w:t>ventes.</w:t>
      </w:r>
      <w:r>
        <w:rPr>
          <w:color w:val="231F20"/>
          <w:spacing w:val="-10"/>
        </w:rPr>
        <w:t> </w:t>
      </w:r>
      <w:r>
        <w:rPr>
          <w:color w:val="231F20"/>
        </w:rPr>
        <w:t>Henri</w:t>
      </w:r>
      <w:r>
        <w:rPr>
          <w:color w:val="231F20"/>
          <w:spacing w:val="-10"/>
        </w:rPr>
        <w:t> </w:t>
      </w:r>
      <w:r>
        <w:rPr>
          <w:color w:val="231F20"/>
        </w:rPr>
        <w:t>Konan</w:t>
      </w:r>
      <w:r>
        <w:rPr>
          <w:color w:val="231F20"/>
          <w:spacing w:val="-10"/>
        </w:rPr>
        <w:t> </w:t>
      </w:r>
      <w:r>
        <w:rPr>
          <w:color w:val="231F20"/>
        </w:rPr>
        <w:t>Bédié Président de l’Assemblée Nationale s’en émeut mais le programme se poursuit créant plus</w:t>
      </w:r>
      <w:r>
        <w:rPr>
          <w:color w:val="231F20"/>
          <w:spacing w:val="-1"/>
        </w:rPr>
        <w:t> </w:t>
      </w:r>
      <w:r>
        <w:rPr>
          <w:color w:val="231F20"/>
        </w:rPr>
        <w:t>de chômage que</w:t>
      </w:r>
      <w:r>
        <w:rPr>
          <w:color w:val="231F20"/>
          <w:spacing w:val="-2"/>
        </w:rPr>
        <w:t> </w:t>
      </w:r>
      <w:r>
        <w:rPr>
          <w:color w:val="231F20"/>
        </w:rPr>
        <w:t>d'emplois.</w:t>
      </w:r>
    </w:p>
    <w:p>
      <w:pPr>
        <w:pStyle w:val="BodyText"/>
        <w:spacing w:before="120"/>
        <w:ind w:right="105" w:firstLine="283"/>
      </w:pPr>
      <w:r>
        <w:rPr>
          <w:color w:val="231F20"/>
        </w:rPr>
        <w:t>Au niveau des paysans, les produits sont achetés à vil prix</w:t>
      </w:r>
      <w:r>
        <w:rPr>
          <w:color w:val="231F20"/>
          <w:spacing w:val="-9"/>
        </w:rPr>
        <w:t> </w:t>
      </w:r>
      <w:r>
        <w:rPr>
          <w:color w:val="231F20"/>
        </w:rPr>
        <w:t>; dans certaines</w:t>
      </w:r>
      <w:r>
        <w:rPr>
          <w:color w:val="231F20"/>
          <w:spacing w:val="-7"/>
        </w:rPr>
        <w:t> </w:t>
      </w:r>
      <w:r>
        <w:rPr>
          <w:color w:val="231F20"/>
        </w:rPr>
        <w:t>régions,</w:t>
      </w:r>
      <w:r>
        <w:rPr>
          <w:color w:val="231F20"/>
          <w:spacing w:val="-7"/>
        </w:rPr>
        <w:t> </w:t>
      </w:r>
      <w:r>
        <w:rPr>
          <w:color w:val="231F20"/>
        </w:rPr>
        <w:t>au</w:t>
      </w:r>
      <w:r>
        <w:rPr>
          <w:color w:val="231F20"/>
          <w:spacing w:val="-7"/>
        </w:rPr>
        <w:t> </w:t>
      </w:r>
      <w:r>
        <w:rPr>
          <w:color w:val="231F20"/>
        </w:rPr>
        <w:t>Sud-Ouest</w:t>
      </w:r>
      <w:r>
        <w:rPr>
          <w:color w:val="231F20"/>
          <w:spacing w:val="-5"/>
        </w:rPr>
        <w:t> </w:t>
      </w:r>
      <w:r>
        <w:rPr>
          <w:color w:val="231F20"/>
        </w:rPr>
        <w:t>en</w:t>
      </w:r>
      <w:r>
        <w:rPr>
          <w:color w:val="231F20"/>
          <w:spacing w:val="-7"/>
        </w:rPr>
        <w:t> </w:t>
      </w:r>
      <w:r>
        <w:rPr>
          <w:color w:val="231F20"/>
        </w:rPr>
        <w:t>particulier,</w:t>
      </w:r>
      <w:r>
        <w:rPr>
          <w:color w:val="231F20"/>
          <w:spacing w:val="-7"/>
        </w:rPr>
        <w:t> </w:t>
      </w:r>
      <w:r>
        <w:rPr>
          <w:color w:val="231F20"/>
        </w:rPr>
        <w:t>ils</w:t>
      </w:r>
      <w:r>
        <w:rPr>
          <w:color w:val="231F20"/>
          <w:spacing w:val="-7"/>
        </w:rPr>
        <w:t> </w:t>
      </w:r>
      <w:r>
        <w:rPr>
          <w:color w:val="231F20"/>
        </w:rPr>
        <w:t>sont</w:t>
      </w:r>
      <w:r>
        <w:rPr>
          <w:color w:val="231F20"/>
          <w:spacing w:val="-6"/>
        </w:rPr>
        <w:t> </w:t>
      </w:r>
      <w:r>
        <w:rPr>
          <w:color w:val="231F20"/>
        </w:rPr>
        <w:t>amenés</w:t>
      </w:r>
      <w:r>
        <w:rPr>
          <w:color w:val="231F20"/>
          <w:spacing w:val="-8"/>
        </w:rPr>
        <w:t> </w:t>
      </w:r>
      <w:r>
        <w:rPr>
          <w:color w:val="231F20"/>
        </w:rPr>
        <w:t>à</w:t>
      </w:r>
      <w:r>
        <w:rPr>
          <w:color w:val="231F20"/>
          <w:spacing w:val="-8"/>
        </w:rPr>
        <w:t> </w:t>
      </w:r>
      <w:r>
        <w:rPr>
          <w:color w:val="231F20"/>
        </w:rPr>
        <w:t>vendre </w:t>
      </w:r>
      <w:r>
        <w:rPr>
          <w:color w:val="231F20"/>
          <w:spacing w:val="-4"/>
        </w:rPr>
        <w:t>leurs</w:t>
      </w:r>
      <w:r>
        <w:rPr>
          <w:color w:val="231F20"/>
          <w:spacing w:val="-11"/>
        </w:rPr>
        <w:t> </w:t>
      </w:r>
      <w:r>
        <w:rPr>
          <w:color w:val="231F20"/>
          <w:spacing w:val="-4"/>
        </w:rPr>
        <w:t>terres</w:t>
      </w:r>
      <w:r>
        <w:rPr>
          <w:color w:val="231F20"/>
          <w:spacing w:val="-11"/>
        </w:rPr>
        <w:t> </w:t>
      </w:r>
      <w:r>
        <w:rPr>
          <w:color w:val="231F20"/>
          <w:spacing w:val="-4"/>
        </w:rPr>
        <w:t>à</w:t>
      </w:r>
      <w:r>
        <w:rPr>
          <w:color w:val="231F20"/>
          <w:spacing w:val="-11"/>
        </w:rPr>
        <w:t> </w:t>
      </w:r>
      <w:r>
        <w:rPr>
          <w:color w:val="231F20"/>
          <w:spacing w:val="-4"/>
        </w:rPr>
        <w:t>un</w:t>
      </w:r>
      <w:r>
        <w:rPr>
          <w:color w:val="231F20"/>
          <w:spacing w:val="-11"/>
        </w:rPr>
        <w:t> </w:t>
      </w:r>
      <w:r>
        <w:rPr>
          <w:color w:val="231F20"/>
          <w:spacing w:val="-4"/>
        </w:rPr>
        <w:t>coût</w:t>
      </w:r>
      <w:r>
        <w:rPr>
          <w:color w:val="231F20"/>
          <w:spacing w:val="-11"/>
        </w:rPr>
        <w:t> </w:t>
      </w:r>
      <w:r>
        <w:rPr>
          <w:color w:val="231F20"/>
          <w:spacing w:val="-4"/>
        </w:rPr>
        <w:t>dérisoire</w:t>
      </w:r>
      <w:r>
        <w:rPr>
          <w:color w:val="231F20"/>
          <w:spacing w:val="-8"/>
        </w:rPr>
        <w:t> </w:t>
      </w:r>
      <w:r>
        <w:rPr>
          <w:color w:val="231F20"/>
          <w:spacing w:val="-4"/>
        </w:rPr>
        <w:t>à</w:t>
      </w:r>
      <w:r>
        <w:rPr>
          <w:color w:val="231F20"/>
          <w:spacing w:val="-11"/>
        </w:rPr>
        <w:t> </w:t>
      </w:r>
      <w:r>
        <w:rPr>
          <w:color w:val="231F20"/>
          <w:spacing w:val="-4"/>
        </w:rPr>
        <w:t>des</w:t>
      </w:r>
      <w:r>
        <w:rPr>
          <w:color w:val="231F20"/>
          <w:spacing w:val="-11"/>
        </w:rPr>
        <w:t> </w:t>
      </w:r>
      <w:r>
        <w:rPr>
          <w:color w:val="231F20"/>
          <w:spacing w:val="-4"/>
        </w:rPr>
        <w:t>étrangers</w:t>
      </w:r>
      <w:r>
        <w:rPr>
          <w:color w:val="231F20"/>
          <w:spacing w:val="-11"/>
        </w:rPr>
        <w:t> </w:t>
      </w:r>
      <w:r>
        <w:rPr>
          <w:color w:val="231F20"/>
          <w:spacing w:val="-4"/>
        </w:rPr>
        <w:t>et</w:t>
      </w:r>
      <w:r>
        <w:rPr>
          <w:color w:val="231F20"/>
          <w:spacing w:val="-11"/>
        </w:rPr>
        <w:t> </w:t>
      </w:r>
      <w:r>
        <w:rPr>
          <w:color w:val="231F20"/>
          <w:spacing w:val="-4"/>
        </w:rPr>
        <w:t>allochtones</w:t>
      </w:r>
      <w:r>
        <w:rPr>
          <w:color w:val="231F20"/>
          <w:spacing w:val="-11"/>
        </w:rPr>
        <w:t> </w:t>
      </w:r>
      <w:r>
        <w:rPr>
          <w:color w:val="231F20"/>
          <w:spacing w:val="-4"/>
        </w:rPr>
        <w:t>pour</w:t>
      </w:r>
      <w:r>
        <w:rPr>
          <w:color w:val="231F20"/>
          <w:spacing w:val="-9"/>
        </w:rPr>
        <w:t> </w:t>
      </w:r>
      <w:r>
        <w:rPr>
          <w:color w:val="231F20"/>
          <w:spacing w:val="-4"/>
        </w:rPr>
        <w:t>subvenir </w:t>
      </w:r>
      <w:r>
        <w:rPr>
          <w:color w:val="231F20"/>
        </w:rPr>
        <w:t>aux besoins de leur famille.</w:t>
      </w:r>
    </w:p>
    <w:p>
      <w:pPr>
        <w:pStyle w:val="BodyText"/>
        <w:spacing w:before="120"/>
        <w:ind w:right="104" w:firstLine="283"/>
      </w:pPr>
      <w:r>
        <w:rPr>
          <w:color w:val="231F20"/>
        </w:rPr>
        <w:t>Presque tous les corps sociaux se mettent à protester. Houphouët- Boigny,</w:t>
      </w:r>
      <w:r>
        <w:rPr>
          <w:color w:val="231F20"/>
          <w:spacing w:val="-10"/>
        </w:rPr>
        <w:t> </w:t>
      </w:r>
      <w:r>
        <w:rPr>
          <w:color w:val="231F20"/>
        </w:rPr>
        <w:t>pour</w:t>
      </w:r>
      <w:r>
        <w:rPr>
          <w:color w:val="231F20"/>
          <w:spacing w:val="-10"/>
        </w:rPr>
        <w:t> </w:t>
      </w:r>
      <w:r>
        <w:rPr>
          <w:color w:val="231F20"/>
        </w:rPr>
        <w:t>la</w:t>
      </w:r>
      <w:r>
        <w:rPr>
          <w:color w:val="231F20"/>
          <w:spacing w:val="-10"/>
        </w:rPr>
        <w:t> </w:t>
      </w:r>
      <w:r>
        <w:rPr>
          <w:color w:val="231F20"/>
        </w:rPr>
        <w:t>première</w:t>
      </w:r>
      <w:r>
        <w:rPr>
          <w:color w:val="231F20"/>
          <w:spacing w:val="-12"/>
        </w:rPr>
        <w:t> </w:t>
      </w:r>
      <w:r>
        <w:rPr>
          <w:color w:val="231F20"/>
        </w:rPr>
        <w:t>fois,</w:t>
      </w:r>
      <w:r>
        <w:rPr>
          <w:color w:val="231F20"/>
          <w:spacing w:val="-10"/>
        </w:rPr>
        <w:t> </w:t>
      </w:r>
      <w:r>
        <w:rPr>
          <w:color w:val="231F20"/>
        </w:rPr>
        <w:t>est</w:t>
      </w:r>
      <w:r>
        <w:rPr>
          <w:color w:val="231F20"/>
          <w:spacing w:val="-10"/>
        </w:rPr>
        <w:t> </w:t>
      </w:r>
      <w:r>
        <w:rPr>
          <w:color w:val="231F20"/>
        </w:rPr>
        <w:t>sérieusement</w:t>
      </w:r>
      <w:r>
        <w:rPr>
          <w:color w:val="231F20"/>
          <w:spacing w:val="-10"/>
        </w:rPr>
        <w:t> </w:t>
      </w:r>
      <w:r>
        <w:rPr>
          <w:color w:val="231F20"/>
        </w:rPr>
        <w:t>ébranlé</w:t>
      </w:r>
      <w:r>
        <w:rPr>
          <w:color w:val="231F20"/>
          <w:spacing w:val="-10"/>
        </w:rPr>
        <w:t> </w:t>
      </w:r>
      <w:r>
        <w:rPr>
          <w:color w:val="231F20"/>
        </w:rPr>
        <w:t>de</w:t>
      </w:r>
      <w:r>
        <w:rPr>
          <w:color w:val="231F20"/>
          <w:spacing w:val="-10"/>
        </w:rPr>
        <w:t> </w:t>
      </w:r>
      <w:r>
        <w:rPr>
          <w:color w:val="231F20"/>
        </w:rPr>
        <w:t>l’intérieur.</w:t>
      </w:r>
      <w:r>
        <w:rPr>
          <w:color w:val="231F20"/>
          <w:spacing w:val="-10"/>
        </w:rPr>
        <w:t> </w:t>
      </w:r>
      <w:r>
        <w:rPr>
          <w:color w:val="231F20"/>
        </w:rPr>
        <w:t>Il </w:t>
      </w:r>
      <w:r>
        <w:rPr>
          <w:color w:val="231F20"/>
          <w:spacing w:val="-2"/>
        </w:rPr>
        <w:t>remplace</w:t>
      </w:r>
      <w:r>
        <w:rPr>
          <w:color w:val="231F20"/>
          <w:spacing w:val="-13"/>
        </w:rPr>
        <w:t> </w:t>
      </w:r>
      <w:r>
        <w:rPr>
          <w:color w:val="231F20"/>
          <w:spacing w:val="-2"/>
        </w:rPr>
        <w:t>son</w:t>
      </w:r>
      <w:r>
        <w:rPr>
          <w:color w:val="231F20"/>
          <w:spacing w:val="-13"/>
        </w:rPr>
        <w:t> </w:t>
      </w:r>
      <w:r>
        <w:rPr>
          <w:color w:val="231F20"/>
          <w:spacing w:val="-2"/>
        </w:rPr>
        <w:t>ministre</w:t>
      </w:r>
      <w:r>
        <w:rPr>
          <w:color w:val="231F20"/>
          <w:spacing w:val="-13"/>
        </w:rPr>
        <w:t> </w:t>
      </w:r>
      <w:r>
        <w:rPr>
          <w:color w:val="231F20"/>
          <w:spacing w:val="-2"/>
        </w:rPr>
        <w:t>de</w:t>
      </w:r>
      <w:r>
        <w:rPr>
          <w:color w:val="231F20"/>
          <w:spacing w:val="-13"/>
        </w:rPr>
        <w:t> </w:t>
      </w:r>
      <w:r>
        <w:rPr>
          <w:color w:val="231F20"/>
          <w:spacing w:val="-2"/>
        </w:rPr>
        <w:t>l’Économie</w:t>
      </w:r>
      <w:r>
        <w:rPr>
          <w:color w:val="231F20"/>
          <w:spacing w:val="-13"/>
        </w:rPr>
        <w:t> </w:t>
      </w:r>
      <w:r>
        <w:rPr>
          <w:color w:val="231F20"/>
          <w:spacing w:val="-2"/>
        </w:rPr>
        <w:t>et</w:t>
      </w:r>
      <w:r>
        <w:rPr>
          <w:color w:val="231F20"/>
          <w:spacing w:val="-13"/>
        </w:rPr>
        <w:t> </w:t>
      </w:r>
      <w:r>
        <w:rPr>
          <w:color w:val="231F20"/>
          <w:spacing w:val="-2"/>
        </w:rPr>
        <w:t>des</w:t>
      </w:r>
      <w:r>
        <w:rPr>
          <w:color w:val="231F20"/>
          <w:spacing w:val="-13"/>
        </w:rPr>
        <w:t> </w:t>
      </w:r>
      <w:r>
        <w:rPr>
          <w:color w:val="231F20"/>
          <w:spacing w:val="-2"/>
        </w:rPr>
        <w:t>Finances.</w:t>
      </w:r>
      <w:r>
        <w:rPr>
          <w:color w:val="231F20"/>
          <w:spacing w:val="-13"/>
        </w:rPr>
        <w:t> </w:t>
      </w:r>
      <w:r>
        <w:rPr>
          <w:color w:val="231F20"/>
          <w:spacing w:val="-2"/>
        </w:rPr>
        <w:t>Le</w:t>
      </w:r>
      <w:r>
        <w:rPr>
          <w:color w:val="231F20"/>
          <w:spacing w:val="-13"/>
        </w:rPr>
        <w:t> </w:t>
      </w:r>
      <w:r>
        <w:rPr>
          <w:color w:val="231F20"/>
          <w:spacing w:val="-2"/>
        </w:rPr>
        <w:t>nouveau</w:t>
      </w:r>
      <w:r>
        <w:rPr>
          <w:color w:val="231F20"/>
          <w:spacing w:val="-13"/>
        </w:rPr>
        <w:t> </w:t>
      </w:r>
      <w:r>
        <w:rPr>
          <w:color w:val="231F20"/>
          <w:spacing w:val="-2"/>
        </w:rPr>
        <w:t>promu </w:t>
      </w:r>
      <w:r>
        <w:rPr>
          <w:color w:val="231F20"/>
        </w:rPr>
        <w:t>ne fait pas mieux que son prédécesseur. Au contraire, les mesures de réduction des salaires ordonnées par les institutions internationales accentuent le mécontentement de la rue.</w:t>
      </w:r>
    </w:p>
    <w:p>
      <w:pPr>
        <w:spacing w:after="0"/>
        <w:sectPr>
          <w:pgSz w:w="8790" w:h="13610"/>
          <w:pgMar w:header="0" w:footer="802" w:top="1060" w:bottom="1000" w:left="880" w:right="880"/>
        </w:sectPr>
      </w:pPr>
    </w:p>
    <w:p>
      <w:pPr>
        <w:pStyle w:val="BodyText"/>
        <w:spacing w:before="66"/>
        <w:ind w:right="101" w:firstLine="283"/>
      </w:pPr>
      <w:r>
        <w:rPr>
          <w:color w:val="231F20"/>
        </w:rPr>
        <w:t>Le 20 juin 1990, à La Baule, en France, le président François Mitterrand réunit ses gouverneurs tropicaux, les chefs d’État des ex- </w:t>
      </w:r>
      <w:r>
        <w:rPr>
          <w:color w:val="231F20"/>
          <w:spacing w:val="-2"/>
        </w:rPr>
        <w:t>colonies</w:t>
      </w:r>
      <w:r>
        <w:rPr>
          <w:color w:val="231F20"/>
          <w:spacing w:val="-7"/>
        </w:rPr>
        <w:t> </w:t>
      </w:r>
      <w:r>
        <w:rPr>
          <w:color w:val="231F20"/>
          <w:spacing w:val="-2"/>
        </w:rPr>
        <w:t>noires</w:t>
      </w:r>
      <w:r>
        <w:rPr>
          <w:color w:val="231F20"/>
          <w:spacing w:val="-9"/>
        </w:rPr>
        <w:t> </w:t>
      </w:r>
      <w:r>
        <w:rPr>
          <w:color w:val="231F20"/>
          <w:spacing w:val="-2"/>
        </w:rPr>
        <w:t>de</w:t>
      </w:r>
      <w:r>
        <w:rPr>
          <w:color w:val="231F20"/>
          <w:spacing w:val="-8"/>
        </w:rPr>
        <w:t> </w:t>
      </w:r>
      <w:r>
        <w:rPr>
          <w:color w:val="231F20"/>
          <w:spacing w:val="-2"/>
        </w:rPr>
        <w:t>la</w:t>
      </w:r>
      <w:r>
        <w:rPr>
          <w:color w:val="231F20"/>
          <w:spacing w:val="-10"/>
        </w:rPr>
        <w:t> </w:t>
      </w:r>
      <w:r>
        <w:rPr>
          <w:color w:val="231F20"/>
          <w:spacing w:val="-2"/>
        </w:rPr>
        <w:t>France</w:t>
      </w:r>
      <w:r>
        <w:rPr>
          <w:color w:val="231F20"/>
          <w:spacing w:val="-7"/>
        </w:rPr>
        <w:t> </w:t>
      </w:r>
      <w:r>
        <w:rPr>
          <w:color w:val="231F20"/>
          <w:spacing w:val="-2"/>
        </w:rPr>
        <w:t>et</w:t>
      </w:r>
      <w:r>
        <w:rPr>
          <w:color w:val="231F20"/>
          <w:spacing w:val="-6"/>
        </w:rPr>
        <w:t> </w:t>
      </w:r>
      <w:r>
        <w:rPr>
          <w:color w:val="231F20"/>
          <w:spacing w:val="-2"/>
        </w:rPr>
        <w:t>les</w:t>
      </w:r>
      <w:r>
        <w:rPr>
          <w:color w:val="231F20"/>
          <w:spacing w:val="-9"/>
        </w:rPr>
        <w:t> </w:t>
      </w:r>
      <w:r>
        <w:rPr>
          <w:color w:val="231F20"/>
          <w:spacing w:val="-2"/>
        </w:rPr>
        <w:t>invite</w:t>
      </w:r>
      <w:r>
        <w:rPr>
          <w:color w:val="231F20"/>
          <w:spacing w:val="-8"/>
        </w:rPr>
        <w:t> </w:t>
      </w:r>
      <w:r>
        <w:rPr>
          <w:color w:val="231F20"/>
          <w:spacing w:val="-2"/>
        </w:rPr>
        <w:t>à</w:t>
      </w:r>
      <w:r>
        <w:rPr>
          <w:color w:val="231F20"/>
          <w:spacing w:val="-8"/>
        </w:rPr>
        <w:t> </w:t>
      </w:r>
      <w:r>
        <w:rPr>
          <w:color w:val="231F20"/>
          <w:spacing w:val="-2"/>
        </w:rPr>
        <w:t>développer</w:t>
      </w:r>
      <w:r>
        <w:rPr>
          <w:color w:val="231F20"/>
          <w:spacing w:val="-8"/>
        </w:rPr>
        <w:t> </w:t>
      </w:r>
      <w:r>
        <w:rPr>
          <w:color w:val="231F20"/>
          <w:spacing w:val="-2"/>
        </w:rPr>
        <w:t>la</w:t>
      </w:r>
      <w:r>
        <w:rPr>
          <w:color w:val="231F20"/>
          <w:spacing w:val="-8"/>
        </w:rPr>
        <w:t> </w:t>
      </w:r>
      <w:r>
        <w:rPr>
          <w:color w:val="231F20"/>
          <w:spacing w:val="-2"/>
        </w:rPr>
        <w:t>démocratie</w:t>
      </w:r>
      <w:r>
        <w:rPr>
          <w:color w:val="231F20"/>
          <w:spacing w:val="-11"/>
        </w:rPr>
        <w:t> </w:t>
      </w:r>
      <w:r>
        <w:rPr>
          <w:color w:val="231F20"/>
          <w:spacing w:val="-2"/>
        </w:rPr>
        <w:t>dans </w:t>
      </w:r>
      <w:r>
        <w:rPr>
          <w:color w:val="231F20"/>
          <w:spacing w:val="-4"/>
        </w:rPr>
        <w:t>leur</w:t>
      </w:r>
      <w:r>
        <w:rPr>
          <w:color w:val="231F20"/>
          <w:spacing w:val="-11"/>
        </w:rPr>
        <w:t> </w:t>
      </w:r>
      <w:r>
        <w:rPr>
          <w:color w:val="231F20"/>
          <w:spacing w:val="-4"/>
        </w:rPr>
        <w:t>pays.</w:t>
      </w:r>
      <w:r>
        <w:rPr>
          <w:color w:val="231F20"/>
          <w:spacing w:val="-11"/>
        </w:rPr>
        <w:t> </w:t>
      </w:r>
      <w:r>
        <w:rPr>
          <w:color w:val="231F20"/>
          <w:spacing w:val="-4"/>
        </w:rPr>
        <w:t>Il</w:t>
      </w:r>
      <w:r>
        <w:rPr>
          <w:color w:val="231F20"/>
          <w:spacing w:val="-11"/>
        </w:rPr>
        <w:t> </w:t>
      </w:r>
      <w:r>
        <w:rPr>
          <w:color w:val="231F20"/>
          <w:spacing w:val="-4"/>
        </w:rPr>
        <w:t>subordonne</w:t>
      </w:r>
      <w:r>
        <w:rPr>
          <w:color w:val="231F20"/>
          <w:spacing w:val="-11"/>
        </w:rPr>
        <w:t> </w:t>
      </w:r>
      <w:r>
        <w:rPr>
          <w:color w:val="231F20"/>
          <w:spacing w:val="-4"/>
        </w:rPr>
        <w:t>l’aide</w:t>
      </w:r>
      <w:r>
        <w:rPr>
          <w:color w:val="231F20"/>
          <w:spacing w:val="-11"/>
        </w:rPr>
        <w:t> </w:t>
      </w:r>
      <w:r>
        <w:rPr>
          <w:color w:val="231F20"/>
          <w:spacing w:val="-4"/>
        </w:rPr>
        <w:t>française</w:t>
      </w:r>
      <w:r>
        <w:rPr>
          <w:color w:val="231F20"/>
          <w:spacing w:val="-11"/>
        </w:rPr>
        <w:t> </w:t>
      </w:r>
      <w:r>
        <w:rPr>
          <w:color w:val="231F20"/>
          <w:spacing w:val="-4"/>
        </w:rPr>
        <w:t>à</w:t>
      </w:r>
      <w:r>
        <w:rPr>
          <w:color w:val="231F20"/>
          <w:spacing w:val="-11"/>
        </w:rPr>
        <w:t> </w:t>
      </w:r>
      <w:r>
        <w:rPr>
          <w:color w:val="231F20"/>
          <w:spacing w:val="-4"/>
        </w:rPr>
        <w:t>l’introduction</w:t>
      </w:r>
      <w:r>
        <w:rPr>
          <w:color w:val="231F20"/>
          <w:spacing w:val="-11"/>
        </w:rPr>
        <w:t> </w:t>
      </w:r>
      <w:r>
        <w:rPr>
          <w:color w:val="231F20"/>
          <w:spacing w:val="-4"/>
        </w:rPr>
        <w:t>du</w:t>
      </w:r>
      <w:r>
        <w:rPr>
          <w:color w:val="231F20"/>
          <w:spacing w:val="-11"/>
        </w:rPr>
        <w:t> </w:t>
      </w:r>
      <w:r>
        <w:rPr>
          <w:color w:val="231F20"/>
          <w:spacing w:val="-4"/>
        </w:rPr>
        <w:t>multipartisme, déclarant</w:t>
      </w:r>
      <w:r>
        <w:rPr>
          <w:color w:val="231F20"/>
          <w:spacing w:val="-7"/>
        </w:rPr>
        <w:t> </w:t>
      </w:r>
      <w:r>
        <w:rPr>
          <w:color w:val="231F20"/>
          <w:spacing w:val="-4"/>
        </w:rPr>
        <w:t>à</w:t>
      </w:r>
      <w:r>
        <w:rPr>
          <w:color w:val="231F20"/>
          <w:spacing w:val="-8"/>
        </w:rPr>
        <w:t> </w:t>
      </w:r>
      <w:r>
        <w:rPr>
          <w:color w:val="231F20"/>
          <w:spacing w:val="-4"/>
        </w:rPr>
        <w:t>ses</w:t>
      </w:r>
      <w:r>
        <w:rPr>
          <w:color w:val="231F20"/>
          <w:spacing w:val="-8"/>
        </w:rPr>
        <w:t> </w:t>
      </w:r>
      <w:r>
        <w:rPr>
          <w:color w:val="231F20"/>
          <w:spacing w:val="-4"/>
        </w:rPr>
        <w:t>hôtes</w:t>
      </w:r>
      <w:r>
        <w:rPr>
          <w:color w:val="231F20"/>
          <w:spacing w:val="-8"/>
        </w:rPr>
        <w:t> </w:t>
      </w:r>
      <w:r>
        <w:rPr>
          <w:color w:val="231F20"/>
          <w:spacing w:val="-4"/>
        </w:rPr>
        <w:t>:</w:t>
      </w:r>
      <w:r>
        <w:rPr>
          <w:color w:val="231F20"/>
          <w:spacing w:val="-8"/>
        </w:rPr>
        <w:t> </w:t>
      </w:r>
      <w:r>
        <w:rPr>
          <w:color w:val="231F20"/>
          <w:spacing w:val="-4"/>
        </w:rPr>
        <w:t>«</w:t>
      </w:r>
      <w:r>
        <w:rPr>
          <w:color w:val="231F20"/>
          <w:spacing w:val="-8"/>
        </w:rPr>
        <w:t> </w:t>
      </w:r>
      <w:r>
        <w:rPr>
          <w:color w:val="231F20"/>
          <w:spacing w:val="-4"/>
        </w:rPr>
        <w:t>La</w:t>
      </w:r>
      <w:r>
        <w:rPr>
          <w:color w:val="231F20"/>
          <w:spacing w:val="-8"/>
        </w:rPr>
        <w:t> </w:t>
      </w:r>
      <w:r>
        <w:rPr>
          <w:color w:val="231F20"/>
          <w:spacing w:val="-4"/>
        </w:rPr>
        <w:t>France</w:t>
      </w:r>
      <w:r>
        <w:rPr>
          <w:color w:val="231F20"/>
          <w:spacing w:val="-8"/>
        </w:rPr>
        <w:t> </w:t>
      </w:r>
      <w:r>
        <w:rPr>
          <w:color w:val="231F20"/>
          <w:spacing w:val="-4"/>
        </w:rPr>
        <w:t>liera</w:t>
      </w:r>
      <w:r>
        <w:rPr>
          <w:color w:val="231F20"/>
          <w:spacing w:val="-8"/>
        </w:rPr>
        <w:t> </w:t>
      </w:r>
      <w:r>
        <w:rPr>
          <w:color w:val="231F20"/>
          <w:spacing w:val="-4"/>
        </w:rPr>
        <w:t>tout</w:t>
      </w:r>
      <w:r>
        <w:rPr>
          <w:color w:val="231F20"/>
          <w:spacing w:val="-7"/>
        </w:rPr>
        <w:t> </w:t>
      </w:r>
      <w:r>
        <w:rPr>
          <w:color w:val="231F20"/>
          <w:spacing w:val="-4"/>
        </w:rPr>
        <w:t>son</w:t>
      </w:r>
      <w:r>
        <w:rPr>
          <w:color w:val="231F20"/>
          <w:spacing w:val="-8"/>
        </w:rPr>
        <w:t> </w:t>
      </w:r>
      <w:r>
        <w:rPr>
          <w:color w:val="231F20"/>
          <w:spacing w:val="-4"/>
        </w:rPr>
        <w:t>effort</w:t>
      </w:r>
      <w:r>
        <w:rPr>
          <w:color w:val="231F20"/>
          <w:spacing w:val="-7"/>
        </w:rPr>
        <w:t> </w:t>
      </w:r>
      <w:r>
        <w:rPr>
          <w:color w:val="231F20"/>
          <w:spacing w:val="-4"/>
        </w:rPr>
        <w:t>de</w:t>
      </w:r>
      <w:r>
        <w:rPr>
          <w:color w:val="231F20"/>
          <w:spacing w:val="-8"/>
        </w:rPr>
        <w:t> </w:t>
      </w:r>
      <w:r>
        <w:rPr>
          <w:color w:val="231F20"/>
          <w:spacing w:val="-4"/>
        </w:rPr>
        <w:t>contribution</w:t>
      </w:r>
      <w:r>
        <w:rPr>
          <w:color w:val="231F20"/>
          <w:spacing w:val="-8"/>
        </w:rPr>
        <w:t> </w:t>
      </w:r>
      <w:r>
        <w:rPr>
          <w:color w:val="231F20"/>
          <w:spacing w:val="-4"/>
        </w:rPr>
        <w:t>aux </w:t>
      </w:r>
      <w:r>
        <w:rPr>
          <w:color w:val="231F20"/>
        </w:rPr>
        <w:t>efforts qui seront accomplis pour aller vers plus de liberté ». En Côte d’Ivoire, Houphouët-Boigny dont le pays est plombé par la dette extérieure, se résigne à introduire le multipartisme, lui qui a toujours estimé</w:t>
      </w:r>
      <w:r>
        <w:rPr>
          <w:color w:val="231F20"/>
          <w:spacing w:val="-7"/>
        </w:rPr>
        <w:t> </w:t>
      </w:r>
      <w:r>
        <w:rPr>
          <w:color w:val="231F20"/>
        </w:rPr>
        <w:t>que</w:t>
      </w:r>
      <w:r>
        <w:rPr>
          <w:color w:val="231F20"/>
          <w:spacing w:val="-11"/>
        </w:rPr>
        <w:t> </w:t>
      </w:r>
      <w:r>
        <w:rPr>
          <w:color w:val="231F20"/>
        </w:rPr>
        <w:t>l’Afrique</w:t>
      </w:r>
      <w:r>
        <w:rPr>
          <w:color w:val="231F20"/>
          <w:spacing w:val="-8"/>
        </w:rPr>
        <w:t> </w:t>
      </w:r>
      <w:r>
        <w:rPr>
          <w:color w:val="231F20"/>
        </w:rPr>
        <w:t>n’est</w:t>
      </w:r>
      <w:r>
        <w:rPr>
          <w:color w:val="231F20"/>
          <w:spacing w:val="-9"/>
        </w:rPr>
        <w:t> </w:t>
      </w:r>
      <w:r>
        <w:rPr>
          <w:color w:val="231F20"/>
        </w:rPr>
        <w:t>pas</w:t>
      </w:r>
      <w:r>
        <w:rPr>
          <w:color w:val="231F20"/>
          <w:spacing w:val="-8"/>
        </w:rPr>
        <w:t> </w:t>
      </w:r>
      <w:r>
        <w:rPr>
          <w:color w:val="231F20"/>
        </w:rPr>
        <w:t>prête</w:t>
      </w:r>
      <w:r>
        <w:rPr>
          <w:color w:val="231F20"/>
          <w:spacing w:val="-11"/>
        </w:rPr>
        <w:t> </w:t>
      </w:r>
      <w:r>
        <w:rPr>
          <w:color w:val="231F20"/>
        </w:rPr>
        <w:t>pour</w:t>
      </w:r>
      <w:r>
        <w:rPr>
          <w:color w:val="231F20"/>
          <w:spacing w:val="-8"/>
        </w:rPr>
        <w:t> </w:t>
      </w:r>
      <w:r>
        <w:rPr>
          <w:color w:val="231F20"/>
        </w:rPr>
        <w:t>cette</w:t>
      </w:r>
      <w:r>
        <w:rPr>
          <w:color w:val="231F20"/>
          <w:spacing w:val="-8"/>
        </w:rPr>
        <w:t> </w:t>
      </w:r>
      <w:r>
        <w:rPr>
          <w:color w:val="231F20"/>
        </w:rPr>
        <w:t>forme</w:t>
      </w:r>
      <w:r>
        <w:rPr>
          <w:color w:val="231F20"/>
          <w:spacing w:val="-8"/>
        </w:rPr>
        <w:t> </w:t>
      </w:r>
      <w:r>
        <w:rPr>
          <w:color w:val="231F20"/>
        </w:rPr>
        <w:t>de</w:t>
      </w:r>
      <w:r>
        <w:rPr>
          <w:color w:val="231F20"/>
          <w:spacing w:val="-8"/>
        </w:rPr>
        <w:t> </w:t>
      </w:r>
      <w:r>
        <w:rPr>
          <w:color w:val="231F20"/>
        </w:rPr>
        <w:t>gouvernement.</w:t>
      </w:r>
    </w:p>
    <w:p>
      <w:pPr>
        <w:pStyle w:val="BodyText"/>
        <w:spacing w:before="121"/>
        <w:ind w:right="104" w:firstLine="283"/>
      </w:pPr>
      <w:r>
        <w:rPr>
          <w:color w:val="231F20"/>
          <w:spacing w:val="-2"/>
        </w:rPr>
        <w:t>Pour</w:t>
      </w:r>
      <w:r>
        <w:rPr>
          <w:color w:val="231F20"/>
          <w:spacing w:val="-13"/>
        </w:rPr>
        <w:t> </w:t>
      </w:r>
      <w:r>
        <w:rPr>
          <w:color w:val="231F20"/>
          <w:spacing w:val="-2"/>
        </w:rPr>
        <w:t>«</w:t>
      </w:r>
      <w:r>
        <w:rPr>
          <w:color w:val="231F20"/>
          <w:spacing w:val="-11"/>
        </w:rPr>
        <w:t> </w:t>
      </w:r>
      <w:r>
        <w:rPr>
          <w:color w:val="231F20"/>
          <w:spacing w:val="-2"/>
        </w:rPr>
        <w:t>le</w:t>
      </w:r>
      <w:r>
        <w:rPr>
          <w:color w:val="231F20"/>
          <w:spacing w:val="-13"/>
        </w:rPr>
        <w:t> </w:t>
      </w:r>
      <w:r>
        <w:rPr>
          <w:color w:val="231F20"/>
          <w:spacing w:val="-2"/>
        </w:rPr>
        <w:t>Vieux</w:t>
      </w:r>
      <w:r>
        <w:rPr>
          <w:color w:val="231F20"/>
          <w:spacing w:val="-13"/>
        </w:rPr>
        <w:t> </w:t>
      </w:r>
      <w:r>
        <w:rPr>
          <w:color w:val="231F20"/>
          <w:spacing w:val="-2"/>
        </w:rPr>
        <w:t>Sage</w:t>
      </w:r>
      <w:r>
        <w:rPr>
          <w:color w:val="231F20"/>
          <w:spacing w:val="-13"/>
        </w:rPr>
        <w:t> </w:t>
      </w:r>
      <w:r>
        <w:rPr>
          <w:color w:val="231F20"/>
          <w:spacing w:val="-2"/>
        </w:rPr>
        <w:t>d’Afrique</w:t>
      </w:r>
      <w:r>
        <w:rPr>
          <w:color w:val="231F20"/>
          <w:spacing w:val="-10"/>
        </w:rPr>
        <w:t> </w:t>
      </w:r>
      <w:r>
        <w:rPr>
          <w:color w:val="231F20"/>
          <w:spacing w:val="-2"/>
        </w:rPr>
        <w:t>»,</w:t>
      </w:r>
      <w:r>
        <w:rPr>
          <w:color w:val="231F20"/>
          <w:spacing w:val="-13"/>
        </w:rPr>
        <w:t> </w:t>
      </w:r>
      <w:r>
        <w:rPr>
          <w:color w:val="231F20"/>
          <w:spacing w:val="-2"/>
        </w:rPr>
        <w:t>la</w:t>
      </w:r>
      <w:r>
        <w:rPr>
          <w:color w:val="231F20"/>
          <w:spacing w:val="-13"/>
        </w:rPr>
        <w:t> </w:t>
      </w:r>
      <w:r>
        <w:rPr>
          <w:color w:val="231F20"/>
          <w:spacing w:val="-2"/>
        </w:rPr>
        <w:t>démocratie</w:t>
      </w:r>
      <w:r>
        <w:rPr>
          <w:color w:val="231F20"/>
          <w:spacing w:val="-13"/>
        </w:rPr>
        <w:t> </w:t>
      </w:r>
      <w:r>
        <w:rPr>
          <w:color w:val="231F20"/>
          <w:spacing w:val="-2"/>
        </w:rPr>
        <w:t>à</w:t>
      </w:r>
      <w:r>
        <w:rPr>
          <w:color w:val="231F20"/>
          <w:spacing w:val="-13"/>
        </w:rPr>
        <w:t> </w:t>
      </w:r>
      <w:r>
        <w:rPr>
          <w:color w:val="231F20"/>
          <w:spacing w:val="-2"/>
        </w:rPr>
        <w:t>l’européenne</w:t>
      </w:r>
      <w:r>
        <w:rPr>
          <w:color w:val="231F20"/>
          <w:spacing w:val="-12"/>
        </w:rPr>
        <w:t> </w:t>
      </w:r>
      <w:r>
        <w:rPr>
          <w:color w:val="231F20"/>
          <w:spacing w:val="-2"/>
        </w:rPr>
        <w:t>est</w:t>
      </w:r>
      <w:r>
        <w:rPr>
          <w:color w:val="231F20"/>
          <w:spacing w:val="-11"/>
        </w:rPr>
        <w:t> </w:t>
      </w:r>
      <w:r>
        <w:rPr>
          <w:color w:val="231F20"/>
          <w:spacing w:val="-2"/>
        </w:rPr>
        <w:t>un </w:t>
      </w:r>
      <w:r>
        <w:rPr>
          <w:color w:val="231F20"/>
        </w:rPr>
        <w:t>système</w:t>
      </w:r>
      <w:r>
        <w:rPr>
          <w:color w:val="231F20"/>
          <w:spacing w:val="-15"/>
        </w:rPr>
        <w:t> </w:t>
      </w:r>
      <w:r>
        <w:rPr>
          <w:color w:val="231F20"/>
        </w:rPr>
        <w:t>politique</w:t>
      </w:r>
      <w:r>
        <w:rPr>
          <w:color w:val="231F20"/>
          <w:spacing w:val="-15"/>
        </w:rPr>
        <w:t> </w:t>
      </w:r>
      <w:r>
        <w:rPr>
          <w:color w:val="231F20"/>
        </w:rPr>
        <w:t>exogène</w:t>
      </w:r>
      <w:r>
        <w:rPr>
          <w:color w:val="231F20"/>
          <w:spacing w:val="-15"/>
        </w:rPr>
        <w:t> </w:t>
      </w:r>
      <w:r>
        <w:rPr>
          <w:color w:val="231F20"/>
        </w:rPr>
        <w:t>;</w:t>
      </w:r>
      <w:r>
        <w:rPr>
          <w:color w:val="231F20"/>
          <w:spacing w:val="-12"/>
        </w:rPr>
        <w:t> </w:t>
      </w:r>
      <w:r>
        <w:rPr>
          <w:color w:val="231F20"/>
        </w:rPr>
        <w:t>ce</w:t>
      </w:r>
      <w:r>
        <w:rPr>
          <w:color w:val="231F20"/>
          <w:spacing w:val="-14"/>
        </w:rPr>
        <w:t> </w:t>
      </w:r>
      <w:r>
        <w:rPr>
          <w:color w:val="231F20"/>
        </w:rPr>
        <w:t>système,</w:t>
      </w:r>
      <w:r>
        <w:rPr>
          <w:color w:val="231F20"/>
          <w:spacing w:val="-14"/>
        </w:rPr>
        <w:t> </w:t>
      </w:r>
      <w:r>
        <w:rPr>
          <w:color w:val="231F20"/>
        </w:rPr>
        <w:t>considéré</w:t>
      </w:r>
      <w:r>
        <w:rPr>
          <w:color w:val="231F20"/>
          <w:spacing w:val="-15"/>
        </w:rPr>
        <w:t> </w:t>
      </w:r>
      <w:r>
        <w:rPr>
          <w:color w:val="231F20"/>
        </w:rPr>
        <w:t>comme</w:t>
      </w:r>
      <w:r>
        <w:rPr>
          <w:color w:val="231F20"/>
          <w:spacing w:val="-13"/>
        </w:rPr>
        <w:t> </w:t>
      </w:r>
      <w:r>
        <w:rPr>
          <w:color w:val="231F20"/>
        </w:rPr>
        <w:t>celui</w:t>
      </w:r>
      <w:r>
        <w:rPr>
          <w:color w:val="231F20"/>
          <w:spacing w:val="-13"/>
        </w:rPr>
        <w:t> </w:t>
      </w:r>
      <w:r>
        <w:rPr>
          <w:color w:val="231F20"/>
        </w:rPr>
        <w:t>qui</w:t>
      </w:r>
      <w:r>
        <w:rPr>
          <w:color w:val="231F20"/>
          <w:spacing w:val="-13"/>
        </w:rPr>
        <w:t> </w:t>
      </w:r>
      <w:r>
        <w:rPr>
          <w:color w:val="231F20"/>
        </w:rPr>
        <w:t>doit prévaloir sur toute la planète est un luxe pour les pays africains où les </w:t>
      </w:r>
      <w:r>
        <w:rPr>
          <w:color w:val="231F20"/>
          <w:spacing w:val="-4"/>
        </w:rPr>
        <w:t>règles</w:t>
      </w:r>
      <w:r>
        <w:rPr>
          <w:color w:val="231F20"/>
          <w:spacing w:val="-11"/>
        </w:rPr>
        <w:t> </w:t>
      </w:r>
      <w:r>
        <w:rPr>
          <w:color w:val="231F20"/>
          <w:spacing w:val="-4"/>
        </w:rPr>
        <w:t>de</w:t>
      </w:r>
      <w:r>
        <w:rPr>
          <w:color w:val="231F20"/>
          <w:spacing w:val="-11"/>
        </w:rPr>
        <w:t> </w:t>
      </w:r>
      <w:r>
        <w:rPr>
          <w:color w:val="231F20"/>
          <w:spacing w:val="-4"/>
        </w:rPr>
        <w:t>droit</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culture</w:t>
      </w:r>
      <w:r>
        <w:rPr>
          <w:color w:val="231F20"/>
          <w:spacing w:val="-11"/>
        </w:rPr>
        <w:t> </w:t>
      </w:r>
      <w:r>
        <w:rPr>
          <w:color w:val="231F20"/>
          <w:spacing w:val="-4"/>
        </w:rPr>
        <w:t>occidentale</w:t>
      </w:r>
      <w:r>
        <w:rPr>
          <w:color w:val="231F20"/>
          <w:spacing w:val="-11"/>
        </w:rPr>
        <w:t> </w:t>
      </w:r>
      <w:r>
        <w:rPr>
          <w:color w:val="231F20"/>
          <w:spacing w:val="-4"/>
        </w:rPr>
        <w:t>et</w:t>
      </w:r>
      <w:r>
        <w:rPr>
          <w:color w:val="231F20"/>
          <w:spacing w:val="-11"/>
        </w:rPr>
        <w:t> </w:t>
      </w:r>
      <w:r>
        <w:rPr>
          <w:color w:val="231F20"/>
          <w:spacing w:val="-4"/>
        </w:rPr>
        <w:t>les</w:t>
      </w:r>
      <w:r>
        <w:rPr>
          <w:color w:val="231F20"/>
          <w:spacing w:val="-11"/>
        </w:rPr>
        <w:t> </w:t>
      </w:r>
      <w:r>
        <w:rPr>
          <w:color w:val="231F20"/>
          <w:spacing w:val="-4"/>
        </w:rPr>
        <w:t>enjeux</w:t>
      </w:r>
      <w:r>
        <w:rPr>
          <w:color w:val="231F20"/>
          <w:spacing w:val="-11"/>
        </w:rPr>
        <w:t> </w:t>
      </w:r>
      <w:r>
        <w:rPr>
          <w:color w:val="231F20"/>
          <w:spacing w:val="-4"/>
        </w:rPr>
        <w:t>politiques</w:t>
      </w:r>
      <w:r>
        <w:rPr>
          <w:color w:val="231F20"/>
          <w:spacing w:val="-11"/>
        </w:rPr>
        <w:t> </w:t>
      </w:r>
      <w:r>
        <w:rPr>
          <w:color w:val="231F20"/>
          <w:spacing w:val="-4"/>
        </w:rPr>
        <w:t>sont</w:t>
      </w:r>
      <w:r>
        <w:rPr>
          <w:color w:val="231F20"/>
          <w:spacing w:val="-11"/>
        </w:rPr>
        <w:t> </w:t>
      </w:r>
      <w:r>
        <w:rPr>
          <w:color w:val="231F20"/>
          <w:spacing w:val="-4"/>
        </w:rPr>
        <w:t>encore </w:t>
      </w:r>
      <w:r>
        <w:rPr>
          <w:color w:val="231F20"/>
        </w:rPr>
        <w:t>mal assimilés. La démocratie impliquerait en Afrique, des disputes </w:t>
      </w:r>
      <w:r>
        <w:rPr>
          <w:color w:val="231F20"/>
          <w:spacing w:val="-4"/>
        </w:rPr>
        <w:t>interminables</w:t>
      </w:r>
      <w:r>
        <w:rPr>
          <w:color w:val="231F20"/>
          <w:spacing w:val="-5"/>
        </w:rPr>
        <w:t> </w:t>
      </w:r>
      <w:r>
        <w:rPr>
          <w:color w:val="231F20"/>
          <w:spacing w:val="-4"/>
        </w:rPr>
        <w:t>et</w:t>
      </w:r>
      <w:r>
        <w:rPr>
          <w:color w:val="231F20"/>
          <w:spacing w:val="-7"/>
        </w:rPr>
        <w:t> </w:t>
      </w:r>
      <w:r>
        <w:rPr>
          <w:color w:val="231F20"/>
          <w:spacing w:val="-4"/>
        </w:rPr>
        <w:t>des</w:t>
      </w:r>
      <w:r>
        <w:rPr>
          <w:color w:val="231F20"/>
          <w:spacing w:val="-5"/>
        </w:rPr>
        <w:t> </w:t>
      </w:r>
      <w:r>
        <w:rPr>
          <w:color w:val="231F20"/>
          <w:spacing w:val="-4"/>
        </w:rPr>
        <w:t>conflits</w:t>
      </w:r>
      <w:r>
        <w:rPr>
          <w:color w:val="231F20"/>
          <w:spacing w:val="-5"/>
        </w:rPr>
        <w:t> </w:t>
      </w:r>
      <w:r>
        <w:rPr>
          <w:color w:val="231F20"/>
          <w:spacing w:val="-4"/>
        </w:rPr>
        <w:t>inutiles</w:t>
      </w:r>
      <w:r>
        <w:rPr>
          <w:color w:val="231F20"/>
          <w:spacing w:val="-9"/>
        </w:rPr>
        <w:t> </w:t>
      </w:r>
      <w:r>
        <w:rPr>
          <w:color w:val="231F20"/>
          <w:spacing w:val="-4"/>
        </w:rPr>
        <w:t>et</w:t>
      </w:r>
      <w:r>
        <w:rPr>
          <w:color w:val="231F20"/>
          <w:spacing w:val="-5"/>
        </w:rPr>
        <w:t> </w:t>
      </w:r>
      <w:r>
        <w:rPr>
          <w:color w:val="231F20"/>
          <w:spacing w:val="-4"/>
        </w:rPr>
        <w:t>constituerait</w:t>
      </w:r>
      <w:r>
        <w:rPr>
          <w:color w:val="231F20"/>
          <w:spacing w:val="-9"/>
        </w:rPr>
        <w:t> </w:t>
      </w:r>
      <w:r>
        <w:rPr>
          <w:color w:val="231F20"/>
          <w:spacing w:val="-4"/>
        </w:rPr>
        <w:t>un</w:t>
      </w:r>
      <w:r>
        <w:rPr>
          <w:color w:val="231F20"/>
          <w:spacing w:val="-5"/>
        </w:rPr>
        <w:t> </w:t>
      </w:r>
      <w:r>
        <w:rPr>
          <w:color w:val="231F20"/>
          <w:spacing w:val="-4"/>
        </w:rPr>
        <w:t>danger</w:t>
      </w:r>
      <w:r>
        <w:rPr>
          <w:color w:val="231F20"/>
          <w:spacing w:val="-6"/>
        </w:rPr>
        <w:t> </w:t>
      </w:r>
      <w:r>
        <w:rPr>
          <w:color w:val="231F20"/>
          <w:spacing w:val="-4"/>
        </w:rPr>
        <w:t>réel</w:t>
      </w:r>
      <w:r>
        <w:rPr>
          <w:color w:val="231F20"/>
          <w:spacing w:val="-9"/>
        </w:rPr>
        <w:t> </w:t>
      </w:r>
      <w:r>
        <w:rPr>
          <w:color w:val="231F20"/>
          <w:spacing w:val="-4"/>
        </w:rPr>
        <w:t>pour</w:t>
      </w:r>
      <w:r>
        <w:rPr>
          <w:color w:val="231F20"/>
          <w:spacing w:val="-9"/>
        </w:rPr>
        <w:t> </w:t>
      </w:r>
      <w:r>
        <w:rPr>
          <w:color w:val="231F20"/>
          <w:spacing w:val="-4"/>
        </w:rPr>
        <w:t>la </w:t>
      </w:r>
      <w:r>
        <w:rPr>
          <w:color w:val="231F20"/>
          <w:spacing w:val="-2"/>
        </w:rPr>
        <w:t>construction</w:t>
      </w:r>
      <w:r>
        <w:rPr>
          <w:color w:val="231F20"/>
          <w:spacing w:val="-8"/>
        </w:rPr>
        <w:t> </w:t>
      </w:r>
      <w:r>
        <w:rPr>
          <w:color w:val="231F20"/>
          <w:spacing w:val="-2"/>
        </w:rPr>
        <w:t>de</w:t>
      </w:r>
      <w:r>
        <w:rPr>
          <w:color w:val="231F20"/>
          <w:spacing w:val="-10"/>
        </w:rPr>
        <w:t> </w:t>
      </w:r>
      <w:r>
        <w:rPr>
          <w:color w:val="231F20"/>
          <w:spacing w:val="-2"/>
        </w:rPr>
        <w:t>l’unité</w:t>
      </w:r>
      <w:r>
        <w:rPr>
          <w:color w:val="231F20"/>
          <w:spacing w:val="-11"/>
        </w:rPr>
        <w:t> </w:t>
      </w:r>
      <w:r>
        <w:rPr>
          <w:color w:val="231F20"/>
          <w:spacing w:val="-2"/>
        </w:rPr>
        <w:t>nationale.</w:t>
      </w:r>
      <w:r>
        <w:rPr>
          <w:color w:val="231F20"/>
          <w:spacing w:val="-13"/>
        </w:rPr>
        <w:t> </w:t>
      </w:r>
      <w:r>
        <w:rPr>
          <w:color w:val="231F20"/>
          <w:spacing w:val="-2"/>
        </w:rPr>
        <w:t>Le</w:t>
      </w:r>
      <w:r>
        <w:rPr>
          <w:color w:val="231F20"/>
          <w:spacing w:val="-8"/>
        </w:rPr>
        <w:t> </w:t>
      </w:r>
      <w:r>
        <w:rPr>
          <w:color w:val="231F20"/>
          <w:spacing w:val="-2"/>
        </w:rPr>
        <w:t>31</w:t>
      </w:r>
      <w:r>
        <w:rPr>
          <w:color w:val="231F20"/>
          <w:spacing w:val="-10"/>
        </w:rPr>
        <w:t> </w:t>
      </w:r>
      <w:r>
        <w:rPr>
          <w:color w:val="231F20"/>
          <w:spacing w:val="-2"/>
        </w:rPr>
        <w:t>mai</w:t>
      </w:r>
      <w:r>
        <w:rPr>
          <w:color w:val="231F20"/>
          <w:spacing w:val="-7"/>
        </w:rPr>
        <w:t> </w:t>
      </w:r>
      <w:r>
        <w:rPr>
          <w:color w:val="231F20"/>
          <w:spacing w:val="-2"/>
        </w:rPr>
        <w:t>1990,</w:t>
      </w:r>
      <w:r>
        <w:rPr>
          <w:color w:val="231F20"/>
          <w:spacing w:val="-8"/>
        </w:rPr>
        <w:t> </w:t>
      </w:r>
      <w:r>
        <w:rPr>
          <w:color w:val="231F20"/>
          <w:spacing w:val="-2"/>
        </w:rPr>
        <w:t>à</w:t>
      </w:r>
      <w:r>
        <w:rPr>
          <w:color w:val="231F20"/>
          <w:spacing w:val="-11"/>
        </w:rPr>
        <w:t> </w:t>
      </w:r>
      <w:r>
        <w:rPr>
          <w:color w:val="231F20"/>
          <w:spacing w:val="-2"/>
        </w:rPr>
        <w:t>son</w:t>
      </w:r>
      <w:r>
        <w:rPr>
          <w:color w:val="231F20"/>
          <w:spacing w:val="-8"/>
        </w:rPr>
        <w:t> </w:t>
      </w:r>
      <w:r>
        <w:rPr>
          <w:color w:val="231F20"/>
          <w:spacing w:val="-2"/>
        </w:rPr>
        <w:t>corps</w:t>
      </w:r>
      <w:r>
        <w:rPr>
          <w:color w:val="231F20"/>
          <w:spacing w:val="-8"/>
        </w:rPr>
        <w:t> </w:t>
      </w:r>
      <w:r>
        <w:rPr>
          <w:color w:val="231F20"/>
          <w:spacing w:val="-2"/>
        </w:rPr>
        <w:t>défendant, </w:t>
      </w:r>
      <w:r>
        <w:rPr>
          <w:color w:val="231F20"/>
          <w:spacing w:val="-4"/>
        </w:rPr>
        <w:t>Houphouët-Boigny</w:t>
      </w:r>
      <w:r>
        <w:rPr>
          <w:color w:val="231F20"/>
          <w:spacing w:val="-3"/>
        </w:rPr>
        <w:t> </w:t>
      </w:r>
      <w:r>
        <w:rPr>
          <w:color w:val="231F20"/>
          <w:spacing w:val="-4"/>
        </w:rPr>
        <w:t>autorise</w:t>
      </w:r>
      <w:r>
        <w:rPr>
          <w:color w:val="231F20"/>
          <w:spacing w:val="-3"/>
        </w:rPr>
        <w:t> </w:t>
      </w:r>
      <w:r>
        <w:rPr>
          <w:color w:val="231F20"/>
          <w:spacing w:val="-4"/>
        </w:rPr>
        <w:t>la</w:t>
      </w:r>
      <w:r>
        <w:rPr>
          <w:color w:val="231F20"/>
          <w:spacing w:val="-3"/>
        </w:rPr>
        <w:t> </w:t>
      </w:r>
      <w:r>
        <w:rPr>
          <w:color w:val="231F20"/>
          <w:spacing w:val="-4"/>
        </w:rPr>
        <w:t>formation</w:t>
      </w:r>
      <w:r>
        <w:rPr>
          <w:color w:val="231F20"/>
          <w:spacing w:val="-3"/>
        </w:rPr>
        <w:t> </w:t>
      </w:r>
      <w:r>
        <w:rPr>
          <w:color w:val="231F20"/>
          <w:spacing w:val="-4"/>
        </w:rPr>
        <w:t>des</w:t>
      </w:r>
      <w:r>
        <w:rPr>
          <w:color w:val="231F20"/>
          <w:spacing w:val="-6"/>
        </w:rPr>
        <w:t> </w:t>
      </w:r>
      <w:r>
        <w:rPr>
          <w:color w:val="231F20"/>
          <w:spacing w:val="-4"/>
        </w:rPr>
        <w:t>Partis</w:t>
      </w:r>
      <w:r>
        <w:rPr>
          <w:color w:val="231F20"/>
          <w:spacing w:val="-5"/>
        </w:rPr>
        <w:t> </w:t>
      </w:r>
      <w:r>
        <w:rPr>
          <w:color w:val="231F20"/>
          <w:spacing w:val="-4"/>
        </w:rPr>
        <w:t>et</w:t>
      </w:r>
      <w:r>
        <w:rPr>
          <w:color w:val="231F20"/>
          <w:spacing w:val="-3"/>
        </w:rPr>
        <w:t> </w:t>
      </w:r>
      <w:r>
        <w:rPr>
          <w:color w:val="231F20"/>
          <w:spacing w:val="-4"/>
        </w:rPr>
        <w:t>la</w:t>
      </w:r>
      <w:r>
        <w:rPr>
          <w:color w:val="231F20"/>
          <w:spacing w:val="-3"/>
        </w:rPr>
        <w:t> </w:t>
      </w:r>
      <w:r>
        <w:rPr>
          <w:color w:val="231F20"/>
          <w:spacing w:val="-4"/>
        </w:rPr>
        <w:t>liberté</w:t>
      </w:r>
      <w:r>
        <w:rPr>
          <w:color w:val="231F20"/>
          <w:spacing w:val="-8"/>
        </w:rPr>
        <w:t> </w:t>
      </w:r>
      <w:r>
        <w:rPr>
          <w:color w:val="231F20"/>
          <w:spacing w:val="-4"/>
        </w:rPr>
        <w:t>syndicale.</w:t>
      </w:r>
    </w:p>
    <w:p>
      <w:pPr>
        <w:pStyle w:val="BodyText"/>
        <w:spacing w:before="120"/>
        <w:ind w:right="105" w:firstLine="283"/>
      </w:pPr>
      <w:r>
        <w:rPr>
          <w:color w:val="231F20"/>
        </w:rPr>
        <w:t>Et, comme pour lui donner raison, c’est le réveil des antagonismes ethniques et corporatistes</w:t>
      </w:r>
      <w:r>
        <w:rPr>
          <w:color w:val="231F20"/>
          <w:spacing w:val="-15"/>
        </w:rPr>
        <w:t> </w:t>
      </w:r>
      <w:r>
        <w:rPr>
          <w:color w:val="231F20"/>
        </w:rPr>
        <w:t>: chaque Parti recrute ses militants dans une communauté</w:t>
      </w:r>
      <w:r>
        <w:rPr>
          <w:color w:val="231F20"/>
          <w:spacing w:val="-12"/>
        </w:rPr>
        <w:t> </w:t>
      </w:r>
      <w:r>
        <w:rPr>
          <w:color w:val="231F20"/>
        </w:rPr>
        <w:t>qui</w:t>
      </w:r>
      <w:r>
        <w:rPr>
          <w:color w:val="231F20"/>
          <w:spacing w:val="-12"/>
        </w:rPr>
        <w:t> </w:t>
      </w:r>
      <w:r>
        <w:rPr>
          <w:color w:val="231F20"/>
        </w:rPr>
        <w:t>lui</w:t>
      </w:r>
      <w:r>
        <w:rPr>
          <w:color w:val="231F20"/>
          <w:spacing w:val="-11"/>
        </w:rPr>
        <w:t> </w:t>
      </w:r>
      <w:r>
        <w:rPr>
          <w:color w:val="231F20"/>
        </w:rPr>
        <w:t>est</w:t>
      </w:r>
      <w:r>
        <w:rPr>
          <w:color w:val="231F20"/>
          <w:spacing w:val="-11"/>
        </w:rPr>
        <w:t> </w:t>
      </w:r>
      <w:r>
        <w:rPr>
          <w:color w:val="231F20"/>
        </w:rPr>
        <w:t>propre.</w:t>
      </w:r>
      <w:r>
        <w:rPr>
          <w:color w:val="231F20"/>
          <w:spacing w:val="-12"/>
        </w:rPr>
        <w:t> </w:t>
      </w:r>
      <w:r>
        <w:rPr>
          <w:color w:val="231F20"/>
        </w:rPr>
        <w:t>Plus</w:t>
      </w:r>
      <w:r>
        <w:rPr>
          <w:color w:val="231F20"/>
          <w:spacing w:val="-11"/>
        </w:rPr>
        <w:t> </w:t>
      </w:r>
      <w:r>
        <w:rPr>
          <w:color w:val="231F20"/>
        </w:rPr>
        <w:t>d’une</w:t>
      </w:r>
      <w:r>
        <w:rPr>
          <w:color w:val="231F20"/>
          <w:spacing w:val="-12"/>
        </w:rPr>
        <w:t> </w:t>
      </w:r>
      <w:r>
        <w:rPr>
          <w:color w:val="231F20"/>
        </w:rPr>
        <w:t>centaine</w:t>
      </w:r>
      <w:r>
        <w:rPr>
          <w:color w:val="231F20"/>
          <w:spacing w:val="-10"/>
        </w:rPr>
        <w:t> </w:t>
      </w:r>
      <w:r>
        <w:rPr>
          <w:color w:val="231F20"/>
        </w:rPr>
        <w:t>de</w:t>
      </w:r>
      <w:r>
        <w:rPr>
          <w:color w:val="231F20"/>
          <w:spacing w:val="-12"/>
        </w:rPr>
        <w:t> </w:t>
      </w:r>
      <w:r>
        <w:rPr>
          <w:color w:val="231F20"/>
        </w:rPr>
        <w:t>Partis</w:t>
      </w:r>
      <w:r>
        <w:rPr>
          <w:color w:val="231F20"/>
          <w:spacing w:val="-11"/>
        </w:rPr>
        <w:t> </w:t>
      </w:r>
      <w:r>
        <w:rPr>
          <w:color w:val="231F20"/>
        </w:rPr>
        <w:t>fleurissent mais peu survivent.</w:t>
      </w:r>
    </w:p>
    <w:p>
      <w:pPr>
        <w:pStyle w:val="BodyText"/>
        <w:spacing w:before="120"/>
        <w:ind w:right="104" w:firstLine="283"/>
      </w:pPr>
      <w:r>
        <w:rPr>
          <w:color w:val="231F20"/>
        </w:rPr>
        <w:t>Laurent Gbagbo, Enseignant-Chercheur, syndicaliste actif dans les </w:t>
      </w:r>
      <w:r>
        <w:rPr>
          <w:color w:val="231F20"/>
          <w:spacing w:val="-4"/>
        </w:rPr>
        <w:t>années</w:t>
      </w:r>
      <w:r>
        <w:rPr>
          <w:color w:val="231F20"/>
          <w:spacing w:val="-7"/>
        </w:rPr>
        <w:t> </w:t>
      </w:r>
      <w:r>
        <w:rPr>
          <w:color w:val="231F20"/>
          <w:spacing w:val="-4"/>
        </w:rPr>
        <w:t>1970</w:t>
      </w:r>
      <w:r>
        <w:rPr>
          <w:color w:val="231F20"/>
          <w:spacing w:val="-9"/>
        </w:rPr>
        <w:t> </w:t>
      </w:r>
      <w:r>
        <w:rPr>
          <w:color w:val="231F20"/>
          <w:spacing w:val="-4"/>
        </w:rPr>
        <w:t>sort</w:t>
      </w:r>
      <w:r>
        <w:rPr>
          <w:color w:val="231F20"/>
          <w:spacing w:val="-9"/>
        </w:rPr>
        <w:t> </w:t>
      </w:r>
      <w:r>
        <w:rPr>
          <w:color w:val="231F20"/>
          <w:spacing w:val="-4"/>
        </w:rPr>
        <w:t>son</w:t>
      </w:r>
      <w:r>
        <w:rPr>
          <w:color w:val="231F20"/>
          <w:spacing w:val="-9"/>
        </w:rPr>
        <w:t> </w:t>
      </w:r>
      <w:r>
        <w:rPr>
          <w:color w:val="231F20"/>
          <w:spacing w:val="-4"/>
        </w:rPr>
        <w:t>Parti,</w:t>
      </w:r>
      <w:r>
        <w:rPr>
          <w:color w:val="231F20"/>
          <w:spacing w:val="-5"/>
        </w:rPr>
        <w:t> </w:t>
      </w:r>
      <w:r>
        <w:rPr>
          <w:color w:val="231F20"/>
          <w:spacing w:val="-4"/>
        </w:rPr>
        <w:t>le</w:t>
      </w:r>
      <w:r>
        <w:rPr>
          <w:color w:val="231F20"/>
          <w:spacing w:val="-7"/>
        </w:rPr>
        <w:t> </w:t>
      </w:r>
      <w:r>
        <w:rPr>
          <w:color w:val="231F20"/>
          <w:spacing w:val="-4"/>
        </w:rPr>
        <w:t>Front</w:t>
      </w:r>
      <w:r>
        <w:rPr>
          <w:color w:val="231F20"/>
          <w:spacing w:val="-9"/>
        </w:rPr>
        <w:t> </w:t>
      </w:r>
      <w:r>
        <w:rPr>
          <w:color w:val="231F20"/>
          <w:spacing w:val="-4"/>
        </w:rPr>
        <w:t>Populaire</w:t>
      </w:r>
      <w:r>
        <w:rPr>
          <w:color w:val="231F20"/>
          <w:spacing w:val="-7"/>
        </w:rPr>
        <w:t> </w:t>
      </w:r>
      <w:r>
        <w:rPr>
          <w:color w:val="231F20"/>
          <w:spacing w:val="-4"/>
        </w:rPr>
        <w:t>Ivoirien (FPI)</w:t>
      </w:r>
      <w:r>
        <w:rPr>
          <w:color w:val="231F20"/>
          <w:spacing w:val="-7"/>
        </w:rPr>
        <w:t> </w:t>
      </w:r>
      <w:r>
        <w:rPr>
          <w:color w:val="231F20"/>
          <w:spacing w:val="-4"/>
        </w:rPr>
        <w:t>créé</w:t>
      </w:r>
      <w:r>
        <w:rPr>
          <w:color w:val="231F20"/>
          <w:spacing w:val="-7"/>
        </w:rPr>
        <w:t> </w:t>
      </w:r>
      <w:r>
        <w:rPr>
          <w:color w:val="231F20"/>
          <w:spacing w:val="-4"/>
        </w:rPr>
        <w:t>en</w:t>
      </w:r>
      <w:r>
        <w:rPr>
          <w:color w:val="231F20"/>
          <w:spacing w:val="-7"/>
        </w:rPr>
        <w:t> </w:t>
      </w:r>
      <w:r>
        <w:rPr>
          <w:color w:val="231F20"/>
          <w:spacing w:val="-4"/>
        </w:rPr>
        <w:t>1982, </w:t>
      </w:r>
      <w:r>
        <w:rPr>
          <w:color w:val="231F20"/>
        </w:rPr>
        <w:t>de la clandestinité. Le FPI est officiellement reconnu comme Parti </w:t>
      </w:r>
      <w:r>
        <w:rPr>
          <w:color w:val="231F20"/>
          <w:spacing w:val="-2"/>
        </w:rPr>
        <w:t>politique</w:t>
      </w:r>
      <w:r>
        <w:rPr>
          <w:color w:val="231F20"/>
          <w:spacing w:val="-8"/>
        </w:rPr>
        <w:t> </w:t>
      </w:r>
      <w:r>
        <w:rPr>
          <w:color w:val="231F20"/>
          <w:spacing w:val="-2"/>
        </w:rPr>
        <w:t>en</w:t>
      </w:r>
      <w:r>
        <w:rPr>
          <w:color w:val="231F20"/>
          <w:spacing w:val="-10"/>
        </w:rPr>
        <w:t> </w:t>
      </w:r>
      <w:r>
        <w:rPr>
          <w:color w:val="231F20"/>
          <w:spacing w:val="-2"/>
        </w:rPr>
        <w:t>1990.</w:t>
      </w:r>
      <w:r>
        <w:rPr>
          <w:color w:val="231F20"/>
          <w:spacing w:val="-10"/>
        </w:rPr>
        <w:t> </w:t>
      </w:r>
      <w:r>
        <w:rPr>
          <w:color w:val="231F20"/>
          <w:spacing w:val="-2"/>
        </w:rPr>
        <w:t>Il</w:t>
      </w:r>
      <w:r>
        <w:rPr>
          <w:color w:val="231F20"/>
          <w:spacing w:val="-7"/>
        </w:rPr>
        <w:t> </w:t>
      </w:r>
      <w:r>
        <w:rPr>
          <w:color w:val="231F20"/>
          <w:spacing w:val="-2"/>
        </w:rPr>
        <w:t>se</w:t>
      </w:r>
      <w:r>
        <w:rPr>
          <w:color w:val="231F20"/>
          <w:spacing w:val="-8"/>
        </w:rPr>
        <w:t> </w:t>
      </w:r>
      <w:r>
        <w:rPr>
          <w:color w:val="231F20"/>
          <w:spacing w:val="-2"/>
        </w:rPr>
        <w:t>réclame</w:t>
      </w:r>
      <w:r>
        <w:rPr>
          <w:color w:val="231F20"/>
          <w:spacing w:val="-8"/>
        </w:rPr>
        <w:t> </w:t>
      </w:r>
      <w:r>
        <w:rPr>
          <w:color w:val="231F20"/>
          <w:spacing w:val="-2"/>
        </w:rPr>
        <w:t>du</w:t>
      </w:r>
      <w:r>
        <w:rPr>
          <w:color w:val="231F20"/>
          <w:spacing w:val="-8"/>
        </w:rPr>
        <w:t> </w:t>
      </w:r>
      <w:r>
        <w:rPr>
          <w:color w:val="231F20"/>
          <w:spacing w:val="-2"/>
        </w:rPr>
        <w:t>socialisme</w:t>
      </w:r>
      <w:r>
        <w:rPr>
          <w:color w:val="231F20"/>
          <w:spacing w:val="-8"/>
        </w:rPr>
        <w:t> </w:t>
      </w:r>
      <w:r>
        <w:rPr>
          <w:color w:val="231F20"/>
          <w:spacing w:val="-2"/>
        </w:rPr>
        <w:t>démocratique</w:t>
      </w:r>
      <w:r>
        <w:rPr>
          <w:color w:val="231F20"/>
          <w:spacing w:val="-11"/>
        </w:rPr>
        <w:t> </w:t>
      </w:r>
      <w:r>
        <w:rPr>
          <w:color w:val="231F20"/>
          <w:spacing w:val="-2"/>
        </w:rPr>
        <w:t>et</w:t>
      </w:r>
      <w:r>
        <w:rPr>
          <w:color w:val="231F20"/>
          <w:spacing w:val="-10"/>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lutte </w:t>
      </w:r>
      <w:r>
        <w:rPr>
          <w:color w:val="231F20"/>
        </w:rPr>
        <w:t>contre le néocolonialisme. Pour son combat, il se dote d’organes de </w:t>
      </w:r>
      <w:r>
        <w:rPr>
          <w:color w:val="231F20"/>
          <w:spacing w:val="-2"/>
        </w:rPr>
        <w:t>presse.</w:t>
      </w:r>
    </w:p>
    <w:p>
      <w:pPr>
        <w:pStyle w:val="BodyText"/>
        <w:spacing w:before="121"/>
        <w:ind w:right="102" w:firstLine="283"/>
      </w:pPr>
      <w:r>
        <w:rPr>
          <w:color w:val="231F20"/>
          <w:spacing w:val="-4"/>
        </w:rPr>
        <w:t>Le</w:t>
      </w:r>
      <w:r>
        <w:rPr>
          <w:color w:val="231F20"/>
          <w:spacing w:val="-11"/>
        </w:rPr>
        <w:t> </w:t>
      </w:r>
      <w:r>
        <w:rPr>
          <w:color w:val="231F20"/>
          <w:spacing w:val="-4"/>
        </w:rPr>
        <w:t>8</w:t>
      </w:r>
      <w:r>
        <w:rPr>
          <w:color w:val="231F20"/>
          <w:spacing w:val="-11"/>
        </w:rPr>
        <w:t> </w:t>
      </w:r>
      <w:r>
        <w:rPr>
          <w:color w:val="231F20"/>
          <w:spacing w:val="-4"/>
        </w:rPr>
        <w:t>avril</w:t>
      </w:r>
      <w:r>
        <w:rPr>
          <w:color w:val="231F20"/>
          <w:spacing w:val="-11"/>
        </w:rPr>
        <w:t> </w:t>
      </w:r>
      <w:r>
        <w:rPr>
          <w:color w:val="231F20"/>
          <w:spacing w:val="-4"/>
        </w:rPr>
        <w:t>1990,</w:t>
      </w:r>
      <w:r>
        <w:rPr>
          <w:color w:val="231F20"/>
          <w:spacing w:val="-11"/>
        </w:rPr>
        <w:t> </w:t>
      </w:r>
      <w:r>
        <w:rPr>
          <w:color w:val="231F20"/>
          <w:spacing w:val="-4"/>
        </w:rPr>
        <w:t>le</w:t>
      </w:r>
      <w:r>
        <w:rPr>
          <w:color w:val="231F20"/>
          <w:spacing w:val="-11"/>
        </w:rPr>
        <w:t> </w:t>
      </w:r>
      <w:r>
        <w:rPr>
          <w:color w:val="231F20"/>
          <w:spacing w:val="-4"/>
        </w:rPr>
        <w:t>Parti</w:t>
      </w:r>
      <w:r>
        <w:rPr>
          <w:color w:val="231F20"/>
          <w:spacing w:val="-11"/>
        </w:rPr>
        <w:t> </w:t>
      </w:r>
      <w:r>
        <w:rPr>
          <w:color w:val="231F20"/>
          <w:spacing w:val="-4"/>
        </w:rPr>
        <w:t>Ivoirien</w:t>
      </w:r>
      <w:r>
        <w:rPr>
          <w:color w:val="231F20"/>
          <w:spacing w:val="-11"/>
        </w:rPr>
        <w:t> </w:t>
      </w:r>
      <w:r>
        <w:rPr>
          <w:color w:val="231F20"/>
          <w:spacing w:val="-4"/>
        </w:rPr>
        <w:t>des</w:t>
      </w:r>
      <w:r>
        <w:rPr>
          <w:color w:val="231F20"/>
          <w:spacing w:val="-11"/>
        </w:rPr>
        <w:t> </w:t>
      </w:r>
      <w:r>
        <w:rPr>
          <w:color w:val="231F20"/>
          <w:spacing w:val="-4"/>
        </w:rPr>
        <w:t>Travailleurs</w:t>
      </w:r>
      <w:r>
        <w:rPr>
          <w:color w:val="231F20"/>
          <w:spacing w:val="-11"/>
        </w:rPr>
        <w:t> </w:t>
      </w:r>
      <w:r>
        <w:rPr>
          <w:color w:val="231F20"/>
          <w:spacing w:val="-4"/>
        </w:rPr>
        <w:t>(PIT)</w:t>
      </w:r>
      <w:r>
        <w:rPr>
          <w:color w:val="231F20"/>
          <w:spacing w:val="-11"/>
        </w:rPr>
        <w:t> </w:t>
      </w:r>
      <w:r>
        <w:rPr>
          <w:color w:val="231F20"/>
          <w:spacing w:val="-4"/>
        </w:rPr>
        <w:t>voit</w:t>
      </w:r>
      <w:r>
        <w:rPr>
          <w:color w:val="231F20"/>
          <w:spacing w:val="-11"/>
        </w:rPr>
        <w:t> </w:t>
      </w:r>
      <w:r>
        <w:rPr>
          <w:color w:val="231F20"/>
          <w:spacing w:val="-4"/>
        </w:rPr>
        <w:t>le</w:t>
      </w:r>
      <w:r>
        <w:rPr>
          <w:color w:val="231F20"/>
          <w:spacing w:val="-11"/>
        </w:rPr>
        <w:t> </w:t>
      </w:r>
      <w:r>
        <w:rPr>
          <w:color w:val="231F20"/>
          <w:spacing w:val="-4"/>
        </w:rPr>
        <w:t>jour.</w:t>
      </w:r>
      <w:r>
        <w:rPr>
          <w:color w:val="231F20"/>
          <w:spacing w:val="-11"/>
        </w:rPr>
        <w:t> </w:t>
      </w:r>
      <w:r>
        <w:rPr>
          <w:color w:val="231F20"/>
          <w:spacing w:val="-4"/>
        </w:rPr>
        <w:t>Son </w:t>
      </w:r>
      <w:r>
        <w:rPr>
          <w:color w:val="231F20"/>
          <w:spacing w:val="-2"/>
        </w:rPr>
        <w:t>fondateur</w:t>
      </w:r>
      <w:r>
        <w:rPr>
          <w:color w:val="231F20"/>
          <w:spacing w:val="-9"/>
        </w:rPr>
        <w:t> </w:t>
      </w:r>
      <w:r>
        <w:rPr>
          <w:color w:val="231F20"/>
          <w:spacing w:val="-2"/>
        </w:rPr>
        <w:t>Francis</w:t>
      </w:r>
      <w:r>
        <w:rPr>
          <w:color w:val="231F20"/>
          <w:spacing w:val="-9"/>
        </w:rPr>
        <w:t> </w:t>
      </w:r>
      <w:r>
        <w:rPr>
          <w:color w:val="231F20"/>
          <w:spacing w:val="-2"/>
        </w:rPr>
        <w:t>Wodié</w:t>
      </w:r>
      <w:r>
        <w:rPr>
          <w:color w:val="231F20"/>
          <w:spacing w:val="-9"/>
        </w:rPr>
        <w:t> </w:t>
      </w:r>
      <w:r>
        <w:rPr>
          <w:color w:val="231F20"/>
          <w:spacing w:val="-2"/>
        </w:rPr>
        <w:t>est</w:t>
      </w:r>
      <w:r>
        <w:rPr>
          <w:color w:val="231F20"/>
          <w:spacing w:val="-9"/>
        </w:rPr>
        <w:t> </w:t>
      </w:r>
      <w:r>
        <w:rPr>
          <w:color w:val="231F20"/>
          <w:spacing w:val="-2"/>
        </w:rPr>
        <w:t>professeur</w:t>
      </w:r>
      <w:r>
        <w:rPr>
          <w:color w:val="231F20"/>
          <w:spacing w:val="-9"/>
        </w:rPr>
        <w:t> </w:t>
      </w:r>
      <w:r>
        <w:rPr>
          <w:color w:val="231F20"/>
          <w:spacing w:val="-2"/>
        </w:rPr>
        <w:t>de</w:t>
      </w:r>
      <w:r>
        <w:rPr>
          <w:color w:val="231F20"/>
          <w:spacing w:val="-9"/>
        </w:rPr>
        <w:t> </w:t>
      </w:r>
      <w:r>
        <w:rPr>
          <w:color w:val="231F20"/>
          <w:spacing w:val="-2"/>
        </w:rPr>
        <w:t>Droit.</w:t>
      </w:r>
      <w:r>
        <w:rPr>
          <w:color w:val="231F20"/>
          <w:spacing w:val="-9"/>
        </w:rPr>
        <w:t> </w:t>
      </w:r>
      <w:r>
        <w:rPr>
          <w:color w:val="231F20"/>
          <w:spacing w:val="-2"/>
        </w:rPr>
        <w:t>Le</w:t>
      </w:r>
      <w:r>
        <w:rPr>
          <w:color w:val="231F20"/>
          <w:spacing w:val="-7"/>
        </w:rPr>
        <w:t> </w:t>
      </w:r>
      <w:r>
        <w:rPr>
          <w:color w:val="231F20"/>
          <w:spacing w:val="-2"/>
        </w:rPr>
        <w:t>PIT</w:t>
      </w:r>
      <w:r>
        <w:rPr>
          <w:color w:val="231F20"/>
          <w:spacing w:val="-7"/>
        </w:rPr>
        <w:t> </w:t>
      </w:r>
      <w:r>
        <w:rPr>
          <w:color w:val="231F20"/>
          <w:spacing w:val="-2"/>
        </w:rPr>
        <w:t>est</w:t>
      </w:r>
      <w:r>
        <w:rPr>
          <w:color w:val="231F20"/>
          <w:spacing w:val="-8"/>
        </w:rPr>
        <w:t> </w:t>
      </w:r>
      <w:r>
        <w:rPr>
          <w:color w:val="231F20"/>
          <w:spacing w:val="-2"/>
        </w:rPr>
        <w:t>d’obédience </w:t>
      </w:r>
      <w:r>
        <w:rPr>
          <w:color w:val="231F20"/>
        </w:rPr>
        <w:t>Social-démocratique. Dans les années 1970, il avait fondé le Syndicat </w:t>
      </w:r>
      <w:r>
        <w:rPr>
          <w:color w:val="231F20"/>
          <w:spacing w:val="-2"/>
        </w:rPr>
        <w:t>national</w:t>
      </w:r>
      <w:r>
        <w:rPr>
          <w:color w:val="231F20"/>
          <w:spacing w:val="-7"/>
        </w:rPr>
        <w:t> </w:t>
      </w:r>
      <w:r>
        <w:rPr>
          <w:color w:val="231F20"/>
          <w:spacing w:val="-2"/>
        </w:rPr>
        <w:t>de</w:t>
      </w:r>
      <w:r>
        <w:rPr>
          <w:color w:val="231F20"/>
          <w:spacing w:val="-10"/>
        </w:rPr>
        <w:t> </w:t>
      </w:r>
      <w:r>
        <w:rPr>
          <w:color w:val="231F20"/>
          <w:spacing w:val="-2"/>
        </w:rPr>
        <w:t>la</w:t>
      </w:r>
      <w:r>
        <w:rPr>
          <w:color w:val="231F20"/>
          <w:spacing w:val="-8"/>
        </w:rPr>
        <w:t> </w:t>
      </w:r>
      <w:r>
        <w:rPr>
          <w:color w:val="231F20"/>
          <w:spacing w:val="-2"/>
        </w:rPr>
        <w:t>recherche</w:t>
      </w:r>
      <w:r>
        <w:rPr>
          <w:color w:val="231F20"/>
          <w:spacing w:val="-8"/>
        </w:rPr>
        <w:t> </w:t>
      </w:r>
      <w:r>
        <w:rPr>
          <w:color w:val="231F20"/>
          <w:spacing w:val="-2"/>
        </w:rPr>
        <w:t>et</w:t>
      </w:r>
      <w:r>
        <w:rPr>
          <w:color w:val="231F20"/>
          <w:spacing w:val="-7"/>
        </w:rPr>
        <w:t> </w:t>
      </w:r>
      <w:r>
        <w:rPr>
          <w:color w:val="231F20"/>
          <w:spacing w:val="-2"/>
        </w:rPr>
        <w:t>de</w:t>
      </w:r>
      <w:r>
        <w:rPr>
          <w:color w:val="231F20"/>
          <w:spacing w:val="-8"/>
        </w:rPr>
        <w:t> </w:t>
      </w:r>
      <w:r>
        <w:rPr>
          <w:color w:val="231F20"/>
          <w:spacing w:val="-2"/>
        </w:rPr>
        <w:t>l’enseignement</w:t>
      </w:r>
      <w:r>
        <w:rPr>
          <w:color w:val="231F20"/>
          <w:spacing w:val="-8"/>
        </w:rPr>
        <w:t> </w:t>
      </w:r>
      <w:r>
        <w:rPr>
          <w:color w:val="231F20"/>
          <w:spacing w:val="-2"/>
        </w:rPr>
        <w:t>supérieur</w:t>
      </w:r>
      <w:r>
        <w:rPr>
          <w:color w:val="231F20"/>
          <w:spacing w:val="-6"/>
        </w:rPr>
        <w:t> </w:t>
      </w:r>
      <w:r>
        <w:rPr>
          <w:color w:val="231F20"/>
          <w:spacing w:val="-2"/>
        </w:rPr>
        <w:t>(SYNARES)</w:t>
      </w:r>
      <w:r>
        <w:rPr>
          <w:color w:val="231F20"/>
          <w:spacing w:val="-8"/>
        </w:rPr>
        <w:t> </w:t>
      </w:r>
      <w:r>
        <w:rPr>
          <w:color w:val="231F20"/>
          <w:spacing w:val="-2"/>
        </w:rPr>
        <w:t>qui </w:t>
      </w:r>
      <w:r>
        <w:rPr>
          <w:color w:val="231F20"/>
        </w:rPr>
        <w:t>deviendra l’un des plus puissants syndicats du pays. Il est membre </w:t>
      </w:r>
      <w:r>
        <w:rPr>
          <w:color w:val="231F20"/>
          <w:spacing w:val="-4"/>
        </w:rPr>
        <w:t>fondateur</w:t>
      </w:r>
      <w:r>
        <w:rPr>
          <w:color w:val="231F20"/>
          <w:spacing w:val="-8"/>
        </w:rPr>
        <w:t> </w:t>
      </w:r>
      <w:r>
        <w:rPr>
          <w:color w:val="231F20"/>
          <w:spacing w:val="-4"/>
        </w:rPr>
        <w:t>de</w:t>
      </w:r>
      <w:r>
        <w:rPr>
          <w:color w:val="231F20"/>
          <w:spacing w:val="-8"/>
        </w:rPr>
        <w:t> </w:t>
      </w:r>
      <w:r>
        <w:rPr>
          <w:color w:val="231F20"/>
          <w:spacing w:val="-4"/>
        </w:rPr>
        <w:t>la</w:t>
      </w:r>
      <w:r>
        <w:rPr>
          <w:color w:val="231F20"/>
          <w:spacing w:val="-5"/>
        </w:rPr>
        <w:t> </w:t>
      </w:r>
      <w:r>
        <w:rPr>
          <w:color w:val="231F20"/>
          <w:spacing w:val="-4"/>
        </w:rPr>
        <w:t>LIDHO</w:t>
      </w:r>
      <w:r>
        <w:rPr>
          <w:color w:val="231F20"/>
          <w:spacing w:val="-4"/>
          <w:vertAlign w:val="superscript"/>
        </w:rPr>
        <w:t>140</w:t>
      </w:r>
      <w:r>
        <w:rPr>
          <w:color w:val="231F20"/>
          <w:spacing w:val="8"/>
          <w:vertAlign w:val="baseline"/>
        </w:rPr>
        <w:t> </w:t>
      </w:r>
      <w:r>
        <w:rPr>
          <w:color w:val="231F20"/>
          <w:spacing w:val="-4"/>
          <w:vertAlign w:val="baseline"/>
        </w:rPr>
        <w:t>et</w:t>
      </w:r>
      <w:r>
        <w:rPr>
          <w:color w:val="231F20"/>
          <w:spacing w:val="-8"/>
          <w:vertAlign w:val="baseline"/>
        </w:rPr>
        <w:t> </w:t>
      </w:r>
      <w:r>
        <w:rPr>
          <w:color w:val="231F20"/>
          <w:spacing w:val="-4"/>
          <w:vertAlign w:val="baseline"/>
        </w:rPr>
        <w:t>président de</w:t>
      </w:r>
      <w:r>
        <w:rPr>
          <w:color w:val="231F20"/>
          <w:spacing w:val="-9"/>
          <w:vertAlign w:val="baseline"/>
        </w:rPr>
        <w:t> </w:t>
      </w:r>
      <w:r>
        <w:rPr>
          <w:color w:val="231F20"/>
          <w:spacing w:val="-4"/>
          <w:vertAlign w:val="baseline"/>
        </w:rPr>
        <w:t>la</w:t>
      </w:r>
      <w:r>
        <w:rPr>
          <w:color w:val="231F20"/>
          <w:spacing w:val="-8"/>
          <w:vertAlign w:val="baseline"/>
        </w:rPr>
        <w:t> </w:t>
      </w:r>
      <w:r>
        <w:rPr>
          <w:color w:val="231F20"/>
          <w:spacing w:val="-4"/>
          <w:vertAlign w:val="baseline"/>
        </w:rPr>
        <w:t>section</w:t>
      </w:r>
      <w:r>
        <w:rPr>
          <w:color w:val="231F20"/>
          <w:spacing w:val="-8"/>
          <w:vertAlign w:val="baseline"/>
        </w:rPr>
        <w:t> </w:t>
      </w:r>
      <w:r>
        <w:rPr>
          <w:color w:val="231F20"/>
          <w:spacing w:val="-4"/>
          <w:vertAlign w:val="baseline"/>
        </w:rPr>
        <w:t>ivoirienne</w:t>
      </w:r>
      <w:r>
        <w:rPr>
          <w:color w:val="231F20"/>
          <w:spacing w:val="-9"/>
          <w:vertAlign w:val="baseline"/>
        </w:rPr>
        <w:t> </w:t>
      </w:r>
      <w:r>
        <w:rPr>
          <w:color w:val="231F20"/>
          <w:spacing w:val="-4"/>
          <w:vertAlign w:val="baseline"/>
        </w:rPr>
        <w:t>d’Amnesty </w:t>
      </w:r>
      <w:r>
        <w:rPr>
          <w:color w:val="231F20"/>
          <w:vertAlign w:val="baseline"/>
        </w:rPr>
        <w:t>International de 1985 à 1989.</w:t>
      </w:r>
    </w:p>
    <w:p>
      <w:pPr>
        <w:pStyle w:val="BodyText"/>
        <w:spacing w:before="120"/>
        <w:ind w:right="107" w:firstLine="283"/>
      </w:pPr>
      <w:r>
        <w:rPr>
          <w:color w:val="231F20"/>
          <w:spacing w:val="-2"/>
        </w:rPr>
        <w:t>Le</w:t>
      </w:r>
      <w:r>
        <w:rPr>
          <w:color w:val="231F20"/>
          <w:spacing w:val="-13"/>
        </w:rPr>
        <w:t> </w:t>
      </w:r>
      <w:r>
        <w:rPr>
          <w:color w:val="231F20"/>
          <w:spacing w:val="-2"/>
        </w:rPr>
        <w:t>vent</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liberté</w:t>
      </w:r>
      <w:r>
        <w:rPr>
          <w:color w:val="231F20"/>
          <w:spacing w:val="-13"/>
        </w:rPr>
        <w:t> </w:t>
      </w:r>
      <w:r>
        <w:rPr>
          <w:color w:val="231F20"/>
          <w:spacing w:val="-2"/>
        </w:rPr>
        <w:t>souffle</w:t>
      </w:r>
      <w:r>
        <w:rPr>
          <w:color w:val="231F20"/>
          <w:spacing w:val="-13"/>
        </w:rPr>
        <w:t> </w:t>
      </w:r>
      <w:r>
        <w:rPr>
          <w:color w:val="231F20"/>
          <w:spacing w:val="-2"/>
        </w:rPr>
        <w:t>même</w:t>
      </w:r>
      <w:r>
        <w:rPr>
          <w:color w:val="231F20"/>
          <w:spacing w:val="-13"/>
        </w:rPr>
        <w:t> </w:t>
      </w:r>
      <w:r>
        <w:rPr>
          <w:color w:val="231F20"/>
          <w:spacing w:val="-2"/>
        </w:rPr>
        <w:t>dans</w:t>
      </w:r>
      <w:r>
        <w:rPr>
          <w:color w:val="231F20"/>
          <w:spacing w:val="-13"/>
        </w:rPr>
        <w:t> </w:t>
      </w:r>
      <w:r>
        <w:rPr>
          <w:color w:val="231F20"/>
          <w:spacing w:val="-2"/>
        </w:rPr>
        <w:t>le</w:t>
      </w:r>
      <w:r>
        <w:rPr>
          <w:color w:val="231F20"/>
          <w:spacing w:val="-13"/>
        </w:rPr>
        <w:t> </w:t>
      </w:r>
      <w:r>
        <w:rPr>
          <w:color w:val="231F20"/>
          <w:spacing w:val="-2"/>
        </w:rPr>
        <w:t>Parti</w:t>
      </w:r>
      <w:r>
        <w:rPr>
          <w:color w:val="231F20"/>
          <w:spacing w:val="-13"/>
        </w:rPr>
        <w:t> </w:t>
      </w:r>
      <w:r>
        <w:rPr>
          <w:color w:val="231F20"/>
          <w:spacing w:val="-2"/>
        </w:rPr>
        <w:t>au</w:t>
      </w:r>
      <w:r>
        <w:rPr>
          <w:color w:val="231F20"/>
          <w:spacing w:val="-13"/>
        </w:rPr>
        <w:t> </w:t>
      </w:r>
      <w:r>
        <w:rPr>
          <w:color w:val="231F20"/>
          <w:spacing w:val="-2"/>
        </w:rPr>
        <w:t>pouvoir</w:t>
      </w:r>
      <w:r>
        <w:rPr>
          <w:color w:val="231F20"/>
          <w:spacing w:val="-13"/>
        </w:rPr>
        <w:t> </w:t>
      </w:r>
      <w:r>
        <w:rPr>
          <w:color w:val="231F20"/>
          <w:spacing w:val="-2"/>
        </w:rPr>
        <w:t>:</w:t>
      </w:r>
      <w:r>
        <w:rPr>
          <w:color w:val="231F20"/>
          <w:spacing w:val="-13"/>
        </w:rPr>
        <w:t> </w:t>
      </w:r>
      <w:r>
        <w:rPr>
          <w:color w:val="231F20"/>
          <w:spacing w:val="-2"/>
        </w:rPr>
        <w:t>des</w:t>
      </w:r>
      <w:r>
        <w:rPr>
          <w:color w:val="231F20"/>
          <w:spacing w:val="-13"/>
        </w:rPr>
        <w:t> </w:t>
      </w:r>
      <w:r>
        <w:rPr>
          <w:color w:val="231F20"/>
          <w:spacing w:val="-2"/>
        </w:rPr>
        <w:t>jeunes </w:t>
      </w:r>
      <w:r>
        <w:rPr>
          <w:color w:val="231F20"/>
        </w:rPr>
        <w:t>du</w:t>
      </w:r>
      <w:r>
        <w:rPr>
          <w:color w:val="231F20"/>
          <w:spacing w:val="20"/>
        </w:rPr>
        <w:t> </w:t>
      </w:r>
      <w:r>
        <w:rPr>
          <w:color w:val="231F20"/>
        </w:rPr>
        <w:t>parti</w:t>
      </w:r>
      <w:r>
        <w:rPr>
          <w:color w:val="231F20"/>
          <w:spacing w:val="19"/>
        </w:rPr>
        <w:t> </w:t>
      </w:r>
      <w:r>
        <w:rPr>
          <w:color w:val="231F20"/>
        </w:rPr>
        <w:t>critiquent</w:t>
      </w:r>
      <w:r>
        <w:rPr>
          <w:color w:val="231F20"/>
          <w:spacing w:val="18"/>
        </w:rPr>
        <w:t> </w:t>
      </w:r>
      <w:r>
        <w:rPr>
          <w:color w:val="231F20"/>
        </w:rPr>
        <w:t>les</w:t>
      </w:r>
      <w:r>
        <w:rPr>
          <w:color w:val="231F20"/>
          <w:spacing w:val="17"/>
        </w:rPr>
        <w:t> </w:t>
      </w:r>
      <w:r>
        <w:rPr>
          <w:color w:val="231F20"/>
        </w:rPr>
        <w:t>structures</w:t>
      </w:r>
      <w:r>
        <w:rPr>
          <w:color w:val="231F20"/>
          <w:spacing w:val="20"/>
        </w:rPr>
        <w:t> </w:t>
      </w:r>
      <w:r>
        <w:rPr>
          <w:color w:val="231F20"/>
        </w:rPr>
        <w:t>et</w:t>
      </w:r>
      <w:r>
        <w:rPr>
          <w:color w:val="231F20"/>
          <w:spacing w:val="18"/>
        </w:rPr>
        <w:t> </w:t>
      </w:r>
      <w:r>
        <w:rPr>
          <w:color w:val="231F20"/>
        </w:rPr>
        <w:t>le</w:t>
      </w:r>
      <w:r>
        <w:rPr>
          <w:color w:val="231F20"/>
          <w:spacing w:val="20"/>
        </w:rPr>
        <w:t> </w:t>
      </w:r>
      <w:r>
        <w:rPr>
          <w:color w:val="231F20"/>
        </w:rPr>
        <w:t>fonctionnement</w:t>
      </w:r>
      <w:r>
        <w:rPr>
          <w:color w:val="231F20"/>
          <w:spacing w:val="17"/>
        </w:rPr>
        <w:t> </w:t>
      </w:r>
      <w:r>
        <w:rPr>
          <w:color w:val="231F20"/>
        </w:rPr>
        <w:t>du</w:t>
      </w:r>
      <w:r>
        <w:rPr>
          <w:color w:val="231F20"/>
          <w:spacing w:val="17"/>
        </w:rPr>
        <w:t> </w:t>
      </w:r>
      <w:r>
        <w:rPr>
          <w:color w:val="231F20"/>
        </w:rPr>
        <w:t>PDCI</w:t>
      </w:r>
      <w:r>
        <w:rPr>
          <w:color w:val="231F20"/>
          <w:spacing w:val="17"/>
        </w:rPr>
        <w:t> </w:t>
      </w:r>
      <w:r>
        <w:rPr>
          <w:color w:val="231F20"/>
        </w:rPr>
        <w:t>qu’ils</w:t>
      </w:r>
    </w:p>
    <w:p>
      <w:pPr>
        <w:pStyle w:val="BodyText"/>
        <w:spacing w:before="42"/>
        <w:ind w:left="0"/>
        <w:jc w:val="left"/>
        <w:rPr>
          <w:sz w:val="20"/>
        </w:rPr>
      </w:pPr>
      <w:r>
        <w:rPr/>
        <mc:AlternateContent>
          <mc:Choice Requires="wps">
            <w:drawing>
              <wp:anchor distT="0" distB="0" distL="0" distR="0" allowOverlap="1" layoutInCell="1" locked="0" behindDoc="1" simplePos="0" relativeHeight="487630848">
                <wp:simplePos x="0" y="0"/>
                <wp:positionH relativeFrom="page">
                  <wp:posOffset>629907</wp:posOffset>
                </wp:positionH>
                <wp:positionV relativeFrom="paragraph">
                  <wp:posOffset>188432</wp:posOffset>
                </wp:positionV>
                <wp:extent cx="1829435" cy="9525"/>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837188pt;width:144.020pt;height:.72pt;mso-position-horizontal-relative:page;mso-position-vertical-relative:paragraph;z-index:-15685632;mso-wrap-distance-left:0;mso-wrap-distance-right:0" id="docshape109"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140</w:t>
      </w:r>
      <w:r>
        <w:rPr>
          <w:color w:val="76787A"/>
          <w:spacing w:val="-10"/>
          <w:sz w:val="20"/>
          <w:vertAlign w:val="baseline"/>
        </w:rPr>
        <w:t> </w:t>
      </w:r>
      <w:r>
        <w:rPr>
          <w:color w:val="231F20"/>
          <w:spacing w:val="-2"/>
          <w:sz w:val="20"/>
          <w:vertAlign w:val="baseline"/>
        </w:rPr>
        <w:t>Ligue</w:t>
      </w:r>
      <w:r>
        <w:rPr>
          <w:color w:val="231F20"/>
          <w:spacing w:val="-11"/>
          <w:sz w:val="20"/>
          <w:vertAlign w:val="baseline"/>
        </w:rPr>
        <w:t> </w:t>
      </w:r>
      <w:r>
        <w:rPr>
          <w:color w:val="231F20"/>
          <w:spacing w:val="-2"/>
          <w:sz w:val="20"/>
          <w:vertAlign w:val="baseline"/>
        </w:rPr>
        <w:t>Ivoirienne</w:t>
      </w:r>
      <w:r>
        <w:rPr>
          <w:color w:val="231F20"/>
          <w:spacing w:val="-10"/>
          <w:sz w:val="20"/>
          <w:vertAlign w:val="baseline"/>
        </w:rPr>
        <w:t> </w:t>
      </w:r>
      <w:r>
        <w:rPr>
          <w:color w:val="231F20"/>
          <w:spacing w:val="-2"/>
          <w:sz w:val="20"/>
          <w:vertAlign w:val="baseline"/>
        </w:rPr>
        <w:t>des</w:t>
      </w:r>
      <w:r>
        <w:rPr>
          <w:color w:val="231F20"/>
          <w:spacing w:val="-11"/>
          <w:sz w:val="20"/>
          <w:vertAlign w:val="baseline"/>
        </w:rPr>
        <w:t> </w:t>
      </w:r>
      <w:r>
        <w:rPr>
          <w:color w:val="231F20"/>
          <w:spacing w:val="-2"/>
          <w:sz w:val="20"/>
          <w:vertAlign w:val="baseline"/>
        </w:rPr>
        <w:t>Droits</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l’Homme.</w:t>
      </w:r>
    </w:p>
    <w:p>
      <w:pPr>
        <w:spacing w:after="0"/>
        <w:jc w:val="left"/>
        <w:rPr>
          <w:sz w:val="20"/>
        </w:rPr>
        <w:sectPr>
          <w:pgSz w:w="8790" w:h="13610"/>
          <w:pgMar w:header="0" w:footer="802" w:top="1060" w:bottom="1000" w:left="880" w:right="880"/>
        </w:sectPr>
      </w:pPr>
    </w:p>
    <w:p>
      <w:pPr>
        <w:pStyle w:val="BodyText"/>
        <w:spacing w:before="66"/>
        <w:ind w:right="105"/>
      </w:pPr>
      <w:r>
        <w:rPr>
          <w:color w:val="231F20"/>
          <w:spacing w:val="-2"/>
        </w:rPr>
        <w:t>estiment</w:t>
      </w:r>
      <w:r>
        <w:rPr>
          <w:color w:val="231F20"/>
          <w:spacing w:val="-10"/>
        </w:rPr>
        <w:t> </w:t>
      </w:r>
      <w:r>
        <w:rPr>
          <w:color w:val="231F20"/>
          <w:spacing w:val="-2"/>
        </w:rPr>
        <w:t>dépassés.</w:t>
      </w:r>
      <w:r>
        <w:rPr>
          <w:color w:val="231F20"/>
          <w:spacing w:val="-10"/>
        </w:rPr>
        <w:t> </w:t>
      </w:r>
      <w:r>
        <w:rPr>
          <w:color w:val="231F20"/>
          <w:spacing w:val="-2"/>
        </w:rPr>
        <w:t>Ils</w:t>
      </w:r>
      <w:r>
        <w:rPr>
          <w:color w:val="231F20"/>
          <w:spacing w:val="-10"/>
        </w:rPr>
        <w:t> </w:t>
      </w:r>
      <w:r>
        <w:rPr>
          <w:color w:val="231F20"/>
          <w:spacing w:val="-2"/>
        </w:rPr>
        <w:t>créent</w:t>
      </w:r>
      <w:r>
        <w:rPr>
          <w:color w:val="231F20"/>
          <w:spacing w:val="-12"/>
        </w:rPr>
        <w:t> </w:t>
      </w:r>
      <w:r>
        <w:rPr>
          <w:color w:val="231F20"/>
          <w:spacing w:val="-2"/>
        </w:rPr>
        <w:t>à</w:t>
      </w:r>
      <w:r>
        <w:rPr>
          <w:color w:val="231F20"/>
          <w:spacing w:val="-11"/>
        </w:rPr>
        <w:t> </w:t>
      </w:r>
      <w:r>
        <w:rPr>
          <w:color w:val="231F20"/>
          <w:spacing w:val="-2"/>
        </w:rPr>
        <w:t>l’intérieur</w:t>
      </w:r>
      <w:r>
        <w:rPr>
          <w:color w:val="231F20"/>
          <w:spacing w:val="-11"/>
        </w:rPr>
        <w:t> </w:t>
      </w:r>
      <w:r>
        <w:rPr>
          <w:color w:val="231F20"/>
          <w:spacing w:val="-2"/>
        </w:rPr>
        <w:t>du</w:t>
      </w:r>
      <w:r>
        <w:rPr>
          <w:color w:val="231F20"/>
          <w:spacing w:val="-10"/>
        </w:rPr>
        <w:t> </w:t>
      </w:r>
      <w:r>
        <w:rPr>
          <w:color w:val="231F20"/>
          <w:spacing w:val="-2"/>
        </w:rPr>
        <w:t>Parti,</w:t>
      </w:r>
      <w:r>
        <w:rPr>
          <w:color w:val="231F20"/>
          <w:spacing w:val="-11"/>
        </w:rPr>
        <w:t> </w:t>
      </w:r>
      <w:r>
        <w:rPr>
          <w:color w:val="231F20"/>
          <w:spacing w:val="-2"/>
        </w:rPr>
        <w:t>un</w:t>
      </w:r>
      <w:r>
        <w:rPr>
          <w:color w:val="231F20"/>
          <w:spacing w:val="-10"/>
        </w:rPr>
        <w:t> </w:t>
      </w:r>
      <w:r>
        <w:rPr>
          <w:color w:val="231F20"/>
          <w:spacing w:val="-2"/>
        </w:rPr>
        <w:t>nouveau</w:t>
      </w:r>
      <w:r>
        <w:rPr>
          <w:color w:val="231F20"/>
          <w:spacing w:val="-11"/>
        </w:rPr>
        <w:t> </w:t>
      </w:r>
      <w:r>
        <w:rPr>
          <w:color w:val="231F20"/>
          <w:spacing w:val="-2"/>
        </w:rPr>
        <w:t>courant</w:t>
      </w:r>
      <w:r>
        <w:rPr>
          <w:color w:val="231F20"/>
          <w:spacing w:val="-11"/>
        </w:rPr>
        <w:t> </w:t>
      </w:r>
      <w:r>
        <w:rPr>
          <w:color w:val="231F20"/>
          <w:spacing w:val="-2"/>
        </w:rPr>
        <w:t>de </w:t>
      </w:r>
      <w:r>
        <w:rPr>
          <w:color w:val="231F20"/>
        </w:rPr>
        <w:t>pensées dit «</w:t>
      </w:r>
      <w:r>
        <w:rPr>
          <w:color w:val="231F20"/>
          <w:spacing w:val="-15"/>
        </w:rPr>
        <w:t> </w:t>
      </w:r>
      <w:r>
        <w:rPr>
          <w:color w:val="231F20"/>
        </w:rPr>
        <w:t>PDCI-Rénovation</w:t>
      </w:r>
      <w:r>
        <w:rPr>
          <w:color w:val="231F20"/>
          <w:spacing w:val="-15"/>
        </w:rPr>
        <w:t> </w:t>
      </w:r>
      <w:r>
        <w:rPr>
          <w:color w:val="231F20"/>
        </w:rPr>
        <w:t>». Son Porte-Parole est Djéni Kobina Kouamé, un enseignant, Secrétaire National du PDCI, chargé des Relations avec les autres Partis.</w:t>
      </w:r>
    </w:p>
    <w:p>
      <w:pPr>
        <w:pStyle w:val="BodyText"/>
        <w:spacing w:before="120"/>
        <w:ind w:right="104" w:firstLine="283"/>
      </w:pPr>
      <w:r>
        <w:rPr>
          <w:color w:val="231F20"/>
        </w:rPr>
        <w:t>Enfermés dans leur bulle de confort, les dirigeants du PDCI </w:t>
      </w:r>
      <w:r>
        <w:rPr>
          <w:color w:val="231F20"/>
          <w:spacing w:val="-2"/>
        </w:rPr>
        <w:t>minimisent</w:t>
      </w:r>
      <w:r>
        <w:rPr>
          <w:color w:val="231F20"/>
          <w:spacing w:val="-8"/>
        </w:rPr>
        <w:t> </w:t>
      </w:r>
      <w:r>
        <w:rPr>
          <w:color w:val="231F20"/>
          <w:spacing w:val="-2"/>
        </w:rPr>
        <w:t>les</w:t>
      </w:r>
      <w:r>
        <w:rPr>
          <w:color w:val="231F20"/>
          <w:spacing w:val="-8"/>
        </w:rPr>
        <w:t> </w:t>
      </w:r>
      <w:r>
        <w:rPr>
          <w:color w:val="231F20"/>
          <w:spacing w:val="-2"/>
        </w:rPr>
        <w:t>tensions</w:t>
      </w:r>
      <w:r>
        <w:rPr>
          <w:color w:val="231F20"/>
          <w:spacing w:val="-9"/>
        </w:rPr>
        <w:t> </w:t>
      </w:r>
      <w:r>
        <w:rPr>
          <w:color w:val="231F20"/>
          <w:spacing w:val="-2"/>
        </w:rPr>
        <w:t>au</w:t>
      </w:r>
      <w:r>
        <w:rPr>
          <w:color w:val="231F20"/>
          <w:spacing w:val="-6"/>
        </w:rPr>
        <w:t> </w:t>
      </w:r>
      <w:r>
        <w:rPr>
          <w:color w:val="231F20"/>
          <w:spacing w:val="-2"/>
        </w:rPr>
        <w:t>sein</w:t>
      </w:r>
      <w:r>
        <w:rPr>
          <w:color w:val="231F20"/>
          <w:spacing w:val="-7"/>
        </w:rPr>
        <w:t> </w:t>
      </w:r>
      <w:r>
        <w:rPr>
          <w:color w:val="231F20"/>
          <w:spacing w:val="-2"/>
        </w:rPr>
        <w:t>des</w:t>
      </w:r>
      <w:r>
        <w:rPr>
          <w:color w:val="231F20"/>
          <w:spacing w:val="-7"/>
        </w:rPr>
        <w:t> </w:t>
      </w:r>
      <w:r>
        <w:rPr>
          <w:color w:val="231F20"/>
          <w:spacing w:val="-2"/>
        </w:rPr>
        <w:t>populations</w:t>
      </w:r>
      <w:r>
        <w:rPr>
          <w:color w:val="231F20"/>
          <w:spacing w:val="-9"/>
        </w:rPr>
        <w:t> </w:t>
      </w:r>
      <w:r>
        <w:rPr>
          <w:color w:val="231F20"/>
          <w:spacing w:val="-2"/>
        </w:rPr>
        <w:t>et</w:t>
      </w:r>
      <w:r>
        <w:rPr>
          <w:color w:val="231F20"/>
          <w:spacing w:val="-9"/>
        </w:rPr>
        <w:t> </w:t>
      </w:r>
      <w:r>
        <w:rPr>
          <w:color w:val="231F20"/>
          <w:spacing w:val="-2"/>
        </w:rPr>
        <w:t>les</w:t>
      </w:r>
      <w:r>
        <w:rPr>
          <w:color w:val="231F20"/>
          <w:spacing w:val="-4"/>
        </w:rPr>
        <w:t> </w:t>
      </w:r>
      <w:r>
        <w:rPr>
          <w:color w:val="231F20"/>
          <w:spacing w:val="-2"/>
        </w:rPr>
        <w:t>conflits</w:t>
      </w:r>
      <w:r>
        <w:rPr>
          <w:color w:val="231F20"/>
          <w:spacing w:val="-9"/>
        </w:rPr>
        <w:t> </w:t>
      </w:r>
      <w:r>
        <w:rPr>
          <w:color w:val="231F20"/>
          <w:spacing w:val="-2"/>
        </w:rPr>
        <w:t>sociaux</w:t>
      </w:r>
      <w:r>
        <w:rPr>
          <w:color w:val="231F20"/>
          <w:spacing w:val="-6"/>
        </w:rPr>
        <w:t> </w:t>
      </w:r>
      <w:r>
        <w:rPr>
          <w:color w:val="231F20"/>
          <w:spacing w:val="-2"/>
        </w:rPr>
        <w:t>ou </w:t>
      </w:r>
      <w:r>
        <w:rPr>
          <w:color w:val="231F20"/>
        </w:rPr>
        <w:t>feignent de les ignorer. Autour du Chef de l’État, personne n’ose l’informer sur l’état réel du pays</w:t>
      </w:r>
      <w:r>
        <w:rPr>
          <w:color w:val="231F20"/>
          <w:spacing w:val="-14"/>
        </w:rPr>
        <w:t> </w:t>
      </w:r>
      <w:r>
        <w:rPr>
          <w:color w:val="231F20"/>
        </w:rPr>
        <w:t>: tous pratiquent la langue de bois, préférant s’adonner au clientélisme.</w:t>
      </w:r>
    </w:p>
    <w:p>
      <w:pPr>
        <w:pStyle w:val="BodyText"/>
        <w:spacing w:before="121"/>
        <w:ind w:right="106" w:firstLine="283"/>
      </w:pPr>
      <w:r>
        <w:rPr>
          <w:color w:val="231F20"/>
        </w:rPr>
        <w:t>Le</w:t>
      </w:r>
      <w:r>
        <w:rPr>
          <w:color w:val="231F20"/>
          <w:spacing w:val="-1"/>
        </w:rPr>
        <w:t> </w:t>
      </w:r>
      <w:r>
        <w:rPr>
          <w:color w:val="231F20"/>
        </w:rPr>
        <w:t>28</w:t>
      </w:r>
      <w:r>
        <w:rPr>
          <w:color w:val="231F20"/>
          <w:spacing w:val="-1"/>
        </w:rPr>
        <w:t> </w:t>
      </w:r>
      <w:r>
        <w:rPr>
          <w:color w:val="231F20"/>
        </w:rPr>
        <w:t>octobre</w:t>
      </w:r>
      <w:r>
        <w:rPr>
          <w:color w:val="231F20"/>
          <w:spacing w:val="-1"/>
        </w:rPr>
        <w:t> </w:t>
      </w:r>
      <w:r>
        <w:rPr>
          <w:color w:val="231F20"/>
        </w:rPr>
        <w:t>1990</w:t>
      </w:r>
      <w:r>
        <w:rPr>
          <w:color w:val="231F20"/>
          <w:spacing w:val="-1"/>
        </w:rPr>
        <w:t> </w:t>
      </w:r>
      <w:r>
        <w:rPr>
          <w:color w:val="231F20"/>
        </w:rPr>
        <w:t>a</w:t>
      </w:r>
      <w:r>
        <w:rPr>
          <w:color w:val="231F20"/>
          <w:spacing w:val="-1"/>
        </w:rPr>
        <w:t> </w:t>
      </w:r>
      <w:r>
        <w:rPr>
          <w:color w:val="231F20"/>
        </w:rPr>
        <w:t>lieu</w:t>
      </w:r>
      <w:r>
        <w:rPr>
          <w:color w:val="231F20"/>
          <w:spacing w:val="-1"/>
        </w:rPr>
        <w:t> </w:t>
      </w:r>
      <w:r>
        <w:rPr>
          <w:color w:val="231F20"/>
        </w:rPr>
        <w:t>l’élection</w:t>
      </w:r>
      <w:r>
        <w:rPr>
          <w:color w:val="231F20"/>
          <w:spacing w:val="-1"/>
        </w:rPr>
        <w:t> </w:t>
      </w:r>
      <w:r>
        <w:rPr>
          <w:color w:val="231F20"/>
        </w:rPr>
        <w:t>présidentielle.</w:t>
      </w:r>
      <w:r>
        <w:rPr>
          <w:color w:val="231F20"/>
          <w:spacing w:val="-1"/>
        </w:rPr>
        <w:t> </w:t>
      </w:r>
      <w:r>
        <w:rPr>
          <w:color w:val="231F20"/>
        </w:rPr>
        <w:t>Pour</w:t>
      </w:r>
      <w:r>
        <w:rPr>
          <w:color w:val="231F20"/>
          <w:spacing w:val="-1"/>
        </w:rPr>
        <w:t> </w:t>
      </w:r>
      <w:r>
        <w:rPr>
          <w:color w:val="231F20"/>
        </w:rPr>
        <w:t>la</w:t>
      </w:r>
      <w:r>
        <w:rPr>
          <w:color w:val="231F20"/>
          <w:spacing w:val="-1"/>
        </w:rPr>
        <w:t> </w:t>
      </w:r>
      <w:r>
        <w:rPr>
          <w:color w:val="231F20"/>
        </w:rPr>
        <w:t>première fois dans la jeune histoire du pays, Félix Houphouët-Boigny a un outsider</w:t>
      </w:r>
      <w:r>
        <w:rPr>
          <w:color w:val="231F20"/>
          <w:spacing w:val="-15"/>
        </w:rPr>
        <w:t> </w:t>
      </w:r>
      <w:r>
        <w:rPr>
          <w:color w:val="231F20"/>
        </w:rPr>
        <w:t>:</w:t>
      </w:r>
      <w:r>
        <w:rPr>
          <w:color w:val="231F20"/>
          <w:spacing w:val="-3"/>
        </w:rPr>
        <w:t> </w:t>
      </w:r>
      <w:r>
        <w:rPr>
          <w:color w:val="231F20"/>
        </w:rPr>
        <w:t>Laurent</w:t>
      </w:r>
      <w:r>
        <w:rPr>
          <w:color w:val="231F20"/>
          <w:spacing w:val="-2"/>
        </w:rPr>
        <w:t> </w:t>
      </w:r>
      <w:r>
        <w:rPr>
          <w:color w:val="231F20"/>
        </w:rPr>
        <w:t>Gbagbo.</w:t>
      </w:r>
      <w:r>
        <w:rPr>
          <w:color w:val="231F20"/>
          <w:spacing w:val="-2"/>
        </w:rPr>
        <w:t> </w:t>
      </w:r>
      <w:r>
        <w:rPr>
          <w:color w:val="231F20"/>
        </w:rPr>
        <w:t>À</w:t>
      </w:r>
      <w:r>
        <w:rPr>
          <w:color w:val="231F20"/>
          <w:spacing w:val="-2"/>
        </w:rPr>
        <w:t> </w:t>
      </w:r>
      <w:r>
        <w:rPr>
          <w:color w:val="231F20"/>
        </w:rPr>
        <w:t>deux</w:t>
      </w:r>
      <w:r>
        <w:rPr>
          <w:color w:val="231F20"/>
          <w:spacing w:val="-4"/>
        </w:rPr>
        <w:t> </w:t>
      </w:r>
      <w:r>
        <w:rPr>
          <w:color w:val="231F20"/>
        </w:rPr>
        <w:t>jours</w:t>
      </w:r>
      <w:r>
        <w:rPr>
          <w:color w:val="231F20"/>
          <w:spacing w:val="-2"/>
        </w:rPr>
        <w:t> </w:t>
      </w:r>
      <w:r>
        <w:rPr>
          <w:color w:val="231F20"/>
        </w:rPr>
        <w:t>de</w:t>
      </w:r>
      <w:r>
        <w:rPr>
          <w:color w:val="231F20"/>
          <w:spacing w:val="-4"/>
        </w:rPr>
        <w:t> </w:t>
      </w:r>
      <w:r>
        <w:rPr>
          <w:color w:val="231F20"/>
        </w:rPr>
        <w:t>la</w:t>
      </w:r>
      <w:r>
        <w:rPr>
          <w:color w:val="231F20"/>
          <w:spacing w:val="-2"/>
        </w:rPr>
        <w:t> </w:t>
      </w:r>
      <w:r>
        <w:rPr>
          <w:color w:val="231F20"/>
        </w:rPr>
        <w:t>fin</w:t>
      </w:r>
      <w:r>
        <w:rPr>
          <w:color w:val="231F20"/>
          <w:spacing w:val="-4"/>
        </w:rPr>
        <w:t> </w:t>
      </w:r>
      <w:r>
        <w:rPr>
          <w:color w:val="231F20"/>
        </w:rPr>
        <w:t>du</w:t>
      </w:r>
      <w:r>
        <w:rPr>
          <w:color w:val="231F20"/>
          <w:spacing w:val="-2"/>
        </w:rPr>
        <w:t> </w:t>
      </w:r>
      <w:r>
        <w:rPr>
          <w:color w:val="231F20"/>
        </w:rPr>
        <w:t>délai</w:t>
      </w:r>
      <w:r>
        <w:rPr>
          <w:color w:val="231F20"/>
          <w:spacing w:val="-4"/>
        </w:rPr>
        <w:t> </w:t>
      </w:r>
      <w:r>
        <w:rPr>
          <w:color w:val="231F20"/>
        </w:rPr>
        <w:t>de</w:t>
      </w:r>
      <w:r>
        <w:rPr>
          <w:color w:val="231F20"/>
          <w:spacing w:val="-2"/>
        </w:rPr>
        <w:t> </w:t>
      </w:r>
      <w:r>
        <w:rPr>
          <w:color w:val="231F20"/>
        </w:rPr>
        <w:t>dépôt</w:t>
      </w:r>
      <w:r>
        <w:rPr>
          <w:color w:val="231F20"/>
          <w:spacing w:val="-4"/>
        </w:rPr>
        <w:t> </w:t>
      </w:r>
      <w:r>
        <w:rPr>
          <w:color w:val="231F20"/>
        </w:rPr>
        <w:t>des </w:t>
      </w:r>
      <w:r>
        <w:rPr>
          <w:color w:val="231F20"/>
          <w:spacing w:val="-4"/>
        </w:rPr>
        <w:t>candidatures,</w:t>
      </w:r>
      <w:r>
        <w:rPr>
          <w:color w:val="231F20"/>
          <w:spacing w:val="-9"/>
        </w:rPr>
        <w:t> </w:t>
      </w:r>
      <w:r>
        <w:rPr>
          <w:color w:val="231F20"/>
          <w:spacing w:val="-4"/>
        </w:rPr>
        <w:t>le</w:t>
      </w:r>
      <w:r>
        <w:rPr>
          <w:color w:val="231F20"/>
          <w:spacing w:val="-8"/>
        </w:rPr>
        <w:t> </w:t>
      </w:r>
      <w:r>
        <w:rPr>
          <w:color w:val="231F20"/>
          <w:spacing w:val="-4"/>
        </w:rPr>
        <w:t>Parlement</w:t>
      </w:r>
      <w:r>
        <w:rPr>
          <w:color w:val="231F20"/>
          <w:spacing w:val="-8"/>
        </w:rPr>
        <w:t> </w:t>
      </w:r>
      <w:r>
        <w:rPr>
          <w:color w:val="231F20"/>
          <w:spacing w:val="-4"/>
        </w:rPr>
        <w:t>vote</w:t>
      </w:r>
      <w:r>
        <w:rPr>
          <w:color w:val="231F20"/>
          <w:spacing w:val="-10"/>
        </w:rPr>
        <w:t> </w:t>
      </w:r>
      <w:r>
        <w:rPr>
          <w:color w:val="231F20"/>
          <w:spacing w:val="-4"/>
        </w:rPr>
        <w:t>en</w:t>
      </w:r>
      <w:r>
        <w:rPr>
          <w:color w:val="231F20"/>
          <w:spacing w:val="-7"/>
        </w:rPr>
        <w:t> </w:t>
      </w:r>
      <w:r>
        <w:rPr>
          <w:color w:val="231F20"/>
          <w:spacing w:val="-4"/>
        </w:rPr>
        <w:t>urgence</w:t>
      </w:r>
      <w:r>
        <w:rPr>
          <w:color w:val="231F20"/>
          <w:spacing w:val="-7"/>
        </w:rPr>
        <w:t> </w:t>
      </w:r>
      <w:r>
        <w:rPr>
          <w:color w:val="231F20"/>
          <w:spacing w:val="-4"/>
        </w:rPr>
        <w:t>une</w:t>
      </w:r>
      <w:r>
        <w:rPr>
          <w:color w:val="231F20"/>
          <w:spacing w:val="-10"/>
        </w:rPr>
        <w:t> </w:t>
      </w:r>
      <w:r>
        <w:rPr>
          <w:color w:val="231F20"/>
          <w:spacing w:val="-4"/>
        </w:rPr>
        <w:t>loi</w:t>
      </w:r>
      <w:r>
        <w:rPr>
          <w:color w:val="231F20"/>
          <w:spacing w:val="-6"/>
        </w:rPr>
        <w:t> </w:t>
      </w:r>
      <w:r>
        <w:rPr>
          <w:color w:val="231F20"/>
          <w:spacing w:val="-4"/>
        </w:rPr>
        <w:t>exigeant</w:t>
      </w:r>
      <w:r>
        <w:rPr>
          <w:color w:val="231F20"/>
          <w:spacing w:val="-8"/>
        </w:rPr>
        <w:t> </w:t>
      </w:r>
      <w:r>
        <w:rPr>
          <w:color w:val="231F20"/>
          <w:spacing w:val="-4"/>
        </w:rPr>
        <w:t>le</w:t>
      </w:r>
      <w:r>
        <w:rPr>
          <w:color w:val="231F20"/>
          <w:spacing w:val="-10"/>
        </w:rPr>
        <w:t> </w:t>
      </w:r>
      <w:r>
        <w:rPr>
          <w:color w:val="231F20"/>
          <w:spacing w:val="-4"/>
        </w:rPr>
        <w:t>dépôt</w:t>
      </w:r>
      <w:r>
        <w:rPr>
          <w:color w:val="231F20"/>
          <w:spacing w:val="-6"/>
        </w:rPr>
        <w:t> </w:t>
      </w:r>
      <w:r>
        <w:rPr>
          <w:color w:val="231F20"/>
          <w:spacing w:val="-4"/>
        </w:rPr>
        <w:t>d'une caution</w:t>
      </w:r>
      <w:r>
        <w:rPr>
          <w:color w:val="231F20"/>
          <w:spacing w:val="-11"/>
        </w:rPr>
        <w:t> </w:t>
      </w:r>
      <w:r>
        <w:rPr>
          <w:color w:val="231F20"/>
          <w:spacing w:val="-4"/>
        </w:rPr>
        <w:t>de</w:t>
      </w:r>
      <w:r>
        <w:rPr>
          <w:color w:val="231F20"/>
          <w:spacing w:val="-11"/>
        </w:rPr>
        <w:t> </w:t>
      </w:r>
      <w:r>
        <w:rPr>
          <w:color w:val="231F20"/>
          <w:spacing w:val="-4"/>
        </w:rPr>
        <w:t>20</w:t>
      </w:r>
      <w:r>
        <w:rPr>
          <w:color w:val="231F20"/>
          <w:spacing w:val="-11"/>
        </w:rPr>
        <w:t> </w:t>
      </w:r>
      <w:r>
        <w:rPr>
          <w:color w:val="231F20"/>
          <w:spacing w:val="-4"/>
        </w:rPr>
        <w:t>millions</w:t>
      </w:r>
      <w:r>
        <w:rPr>
          <w:color w:val="231F20"/>
          <w:spacing w:val="-11"/>
        </w:rPr>
        <w:t> </w:t>
      </w:r>
      <w:r>
        <w:rPr>
          <w:color w:val="231F20"/>
          <w:spacing w:val="-4"/>
        </w:rPr>
        <w:t>de</w:t>
      </w:r>
      <w:r>
        <w:rPr>
          <w:color w:val="231F20"/>
          <w:spacing w:val="-11"/>
        </w:rPr>
        <w:t> </w:t>
      </w:r>
      <w:r>
        <w:rPr>
          <w:color w:val="231F20"/>
          <w:spacing w:val="-4"/>
        </w:rPr>
        <w:t>francs</w:t>
      </w:r>
      <w:r>
        <w:rPr>
          <w:color w:val="231F20"/>
          <w:spacing w:val="-11"/>
        </w:rPr>
        <w:t> </w:t>
      </w:r>
      <w:r>
        <w:rPr>
          <w:color w:val="231F20"/>
          <w:spacing w:val="-4"/>
        </w:rPr>
        <w:t>CFA</w:t>
      </w:r>
      <w:r>
        <w:rPr>
          <w:color w:val="231F20"/>
          <w:spacing w:val="-11"/>
        </w:rPr>
        <w:t> </w:t>
      </w:r>
      <w:r>
        <w:rPr>
          <w:color w:val="231F20"/>
          <w:spacing w:val="-4"/>
        </w:rPr>
        <w:t>par</w:t>
      </w:r>
      <w:r>
        <w:rPr>
          <w:color w:val="231F20"/>
          <w:spacing w:val="-11"/>
        </w:rPr>
        <w:t> </w:t>
      </w:r>
      <w:r>
        <w:rPr>
          <w:color w:val="231F20"/>
          <w:spacing w:val="-4"/>
        </w:rPr>
        <w:t>chaque</w:t>
      </w:r>
      <w:r>
        <w:rPr>
          <w:color w:val="231F20"/>
          <w:spacing w:val="-10"/>
        </w:rPr>
        <w:t> </w:t>
      </w:r>
      <w:r>
        <w:rPr>
          <w:color w:val="231F20"/>
          <w:spacing w:val="-4"/>
        </w:rPr>
        <w:t>prétendant.</w:t>
      </w:r>
      <w:r>
        <w:rPr>
          <w:color w:val="231F20"/>
          <w:spacing w:val="-8"/>
        </w:rPr>
        <w:t> </w:t>
      </w:r>
      <w:r>
        <w:rPr>
          <w:color w:val="231F20"/>
          <w:spacing w:val="-4"/>
        </w:rPr>
        <w:t>Les</w:t>
      </w:r>
      <w:r>
        <w:rPr>
          <w:color w:val="231F20"/>
          <w:spacing w:val="-9"/>
        </w:rPr>
        <w:t> </w:t>
      </w:r>
      <w:r>
        <w:rPr>
          <w:color w:val="231F20"/>
          <w:spacing w:val="-4"/>
        </w:rPr>
        <w:t>caciques </w:t>
      </w:r>
      <w:r>
        <w:rPr>
          <w:color w:val="231F20"/>
        </w:rPr>
        <w:t>du</w:t>
      </w:r>
      <w:r>
        <w:rPr>
          <w:color w:val="231F20"/>
          <w:spacing w:val="-9"/>
        </w:rPr>
        <w:t> </w:t>
      </w:r>
      <w:r>
        <w:rPr>
          <w:color w:val="231F20"/>
        </w:rPr>
        <w:t>PDCI</w:t>
      </w:r>
      <w:r>
        <w:rPr>
          <w:color w:val="231F20"/>
          <w:spacing w:val="-10"/>
        </w:rPr>
        <w:t> </w:t>
      </w:r>
      <w:r>
        <w:rPr>
          <w:color w:val="231F20"/>
        </w:rPr>
        <w:t>mais</w:t>
      </w:r>
      <w:r>
        <w:rPr>
          <w:color w:val="231F20"/>
          <w:spacing w:val="-7"/>
        </w:rPr>
        <w:t> </w:t>
      </w:r>
      <w:r>
        <w:rPr>
          <w:color w:val="231F20"/>
        </w:rPr>
        <w:t>aussi</w:t>
      </w:r>
      <w:r>
        <w:rPr>
          <w:color w:val="231F20"/>
          <w:spacing w:val="-7"/>
        </w:rPr>
        <w:t> </w:t>
      </w:r>
      <w:r>
        <w:rPr>
          <w:color w:val="231F20"/>
        </w:rPr>
        <w:t>beaucoup</w:t>
      </w:r>
      <w:r>
        <w:rPr>
          <w:color w:val="231F20"/>
          <w:spacing w:val="-8"/>
        </w:rPr>
        <w:t> </w:t>
      </w:r>
      <w:r>
        <w:rPr>
          <w:color w:val="231F20"/>
        </w:rPr>
        <w:t>d’ivoiriens</w:t>
      </w:r>
      <w:r>
        <w:rPr>
          <w:color w:val="231F20"/>
          <w:spacing w:val="-7"/>
        </w:rPr>
        <w:t> </w:t>
      </w:r>
      <w:r>
        <w:rPr>
          <w:color w:val="231F20"/>
        </w:rPr>
        <w:t>rient</w:t>
      </w:r>
      <w:r>
        <w:rPr>
          <w:color w:val="231F20"/>
          <w:spacing w:val="-8"/>
        </w:rPr>
        <w:t> </w:t>
      </w:r>
      <w:r>
        <w:rPr>
          <w:color w:val="231F20"/>
        </w:rPr>
        <w:t>sous</w:t>
      </w:r>
      <w:r>
        <w:rPr>
          <w:color w:val="231F20"/>
          <w:spacing w:val="-6"/>
        </w:rPr>
        <w:t> </w:t>
      </w:r>
      <w:r>
        <w:rPr>
          <w:color w:val="231F20"/>
        </w:rPr>
        <w:t>cape</w:t>
      </w:r>
      <w:r>
        <w:rPr>
          <w:color w:val="231F20"/>
          <w:spacing w:val="-15"/>
        </w:rPr>
        <w:t> </w:t>
      </w:r>
      <w:r>
        <w:rPr>
          <w:color w:val="231F20"/>
        </w:rPr>
        <w:t>:</w:t>
      </w:r>
      <w:r>
        <w:rPr>
          <w:color w:val="231F20"/>
          <w:spacing w:val="-7"/>
        </w:rPr>
        <w:t> </w:t>
      </w:r>
      <w:r>
        <w:rPr>
          <w:color w:val="231F20"/>
        </w:rPr>
        <w:t>comment</w:t>
      </w:r>
      <w:r>
        <w:rPr>
          <w:color w:val="231F20"/>
          <w:spacing w:val="-6"/>
        </w:rPr>
        <w:t> </w:t>
      </w:r>
      <w:r>
        <w:rPr>
          <w:color w:val="231F20"/>
          <w:spacing w:val="-5"/>
        </w:rPr>
        <w:t>cet</w:t>
      </w:r>
    </w:p>
    <w:p>
      <w:pPr>
        <w:pStyle w:val="BodyText"/>
        <w:ind w:right="104"/>
      </w:pPr>
      <w:r>
        <w:rPr>
          <w:color w:val="231F20"/>
        </w:rPr>
        <w:t>«</w:t>
      </w:r>
      <w:r>
        <w:rPr>
          <w:color w:val="231F20"/>
          <w:spacing w:val="-15"/>
        </w:rPr>
        <w:t> </w:t>
      </w:r>
      <w:r>
        <w:rPr>
          <w:color w:val="231F20"/>
        </w:rPr>
        <w:t>impertinent</w:t>
      </w:r>
      <w:r>
        <w:rPr>
          <w:color w:val="231F20"/>
          <w:spacing w:val="-15"/>
        </w:rPr>
        <w:t> </w:t>
      </w:r>
      <w:r>
        <w:rPr>
          <w:color w:val="231F20"/>
        </w:rPr>
        <w:t>» Gbagbo pourra-t-il réunir en si peu de temps une telle somme</w:t>
      </w:r>
      <w:r>
        <w:rPr>
          <w:color w:val="231F20"/>
          <w:spacing w:val="-15"/>
        </w:rPr>
        <w:t> </w:t>
      </w:r>
      <w:r>
        <w:rPr>
          <w:color w:val="231F20"/>
        </w:rPr>
        <w:t>?</w:t>
      </w:r>
      <w:r>
        <w:rPr>
          <w:color w:val="231F20"/>
          <w:spacing w:val="-9"/>
        </w:rPr>
        <w:t> </w:t>
      </w:r>
      <w:r>
        <w:rPr>
          <w:color w:val="231F20"/>
        </w:rPr>
        <w:t>Comme</w:t>
      </w:r>
      <w:r>
        <w:rPr>
          <w:color w:val="231F20"/>
          <w:spacing w:val="-6"/>
        </w:rPr>
        <w:t> </w:t>
      </w:r>
      <w:r>
        <w:rPr>
          <w:color w:val="231F20"/>
        </w:rPr>
        <w:t>en</w:t>
      </w:r>
      <w:r>
        <w:rPr>
          <w:color w:val="231F20"/>
          <w:spacing w:val="-6"/>
        </w:rPr>
        <w:t> </w:t>
      </w:r>
      <w:r>
        <w:rPr>
          <w:color w:val="231F20"/>
        </w:rPr>
        <w:t>1960,</w:t>
      </w:r>
      <w:r>
        <w:rPr>
          <w:color w:val="231F20"/>
          <w:spacing w:val="-6"/>
        </w:rPr>
        <w:t> </w:t>
      </w:r>
      <w:r>
        <w:rPr>
          <w:color w:val="231F20"/>
        </w:rPr>
        <w:t>1965,</w:t>
      </w:r>
      <w:r>
        <w:rPr>
          <w:color w:val="231F20"/>
          <w:spacing w:val="-8"/>
        </w:rPr>
        <w:t> </w:t>
      </w:r>
      <w:r>
        <w:rPr>
          <w:color w:val="231F20"/>
        </w:rPr>
        <w:t>1970,</w:t>
      </w:r>
      <w:r>
        <w:rPr>
          <w:color w:val="231F20"/>
          <w:spacing w:val="-6"/>
        </w:rPr>
        <w:t> </w:t>
      </w:r>
      <w:r>
        <w:rPr>
          <w:color w:val="231F20"/>
        </w:rPr>
        <w:t>1975,</w:t>
      </w:r>
      <w:r>
        <w:rPr>
          <w:color w:val="231F20"/>
          <w:spacing w:val="-8"/>
        </w:rPr>
        <w:t> </w:t>
      </w:r>
      <w:r>
        <w:rPr>
          <w:color w:val="231F20"/>
        </w:rPr>
        <w:t>1980</w:t>
      </w:r>
      <w:r>
        <w:rPr>
          <w:color w:val="231F20"/>
          <w:spacing w:val="-6"/>
        </w:rPr>
        <w:t> </w:t>
      </w:r>
      <w:r>
        <w:rPr>
          <w:color w:val="231F20"/>
        </w:rPr>
        <w:t>et</w:t>
      </w:r>
      <w:r>
        <w:rPr>
          <w:color w:val="231F20"/>
          <w:spacing w:val="-8"/>
        </w:rPr>
        <w:t> </w:t>
      </w:r>
      <w:r>
        <w:rPr>
          <w:color w:val="231F20"/>
        </w:rPr>
        <w:t>1985,</w:t>
      </w:r>
      <w:r>
        <w:rPr>
          <w:color w:val="231F20"/>
          <w:spacing w:val="-4"/>
        </w:rPr>
        <w:t> </w:t>
      </w:r>
      <w:r>
        <w:rPr>
          <w:color w:val="231F20"/>
        </w:rPr>
        <w:t>le</w:t>
      </w:r>
      <w:r>
        <w:rPr>
          <w:color w:val="231F20"/>
          <w:spacing w:val="-9"/>
        </w:rPr>
        <w:t> </w:t>
      </w:r>
      <w:r>
        <w:rPr>
          <w:color w:val="231F20"/>
        </w:rPr>
        <w:t>"</w:t>
      </w:r>
      <w:r>
        <w:rPr>
          <w:color w:val="231F20"/>
          <w:spacing w:val="-8"/>
        </w:rPr>
        <w:t> </w:t>
      </w:r>
      <w:r>
        <w:rPr>
          <w:color w:val="231F20"/>
        </w:rPr>
        <w:t>vieux</w:t>
      </w:r>
      <w:r>
        <w:rPr>
          <w:color w:val="231F20"/>
          <w:spacing w:val="-12"/>
        </w:rPr>
        <w:t> </w:t>
      </w:r>
      <w:r>
        <w:rPr>
          <w:color w:val="231F20"/>
        </w:rPr>
        <w:t>" sera seul en lice.</w:t>
      </w:r>
    </w:p>
    <w:p>
      <w:pPr>
        <w:pStyle w:val="BodyText"/>
        <w:spacing w:before="120"/>
        <w:ind w:right="105" w:firstLine="283"/>
      </w:pPr>
      <w:r>
        <w:rPr>
          <w:color w:val="231F20"/>
        </w:rPr>
        <w:t>Surprise</w:t>
      </w:r>
      <w:r>
        <w:rPr>
          <w:color w:val="231F20"/>
          <w:spacing w:val="-15"/>
        </w:rPr>
        <w:t> </w:t>
      </w:r>
      <w:r>
        <w:rPr>
          <w:color w:val="231F20"/>
        </w:rPr>
        <w:t>!</w:t>
      </w:r>
      <w:r>
        <w:rPr>
          <w:color w:val="231F20"/>
          <w:spacing w:val="-15"/>
        </w:rPr>
        <w:t> </w:t>
      </w:r>
      <w:r>
        <w:rPr>
          <w:color w:val="231F20"/>
        </w:rPr>
        <w:t>en</w:t>
      </w:r>
      <w:r>
        <w:rPr>
          <w:color w:val="231F20"/>
          <w:spacing w:val="-15"/>
        </w:rPr>
        <w:t> </w:t>
      </w:r>
      <w:r>
        <w:rPr>
          <w:color w:val="231F20"/>
        </w:rPr>
        <w:t>quarante-huit</w:t>
      </w:r>
      <w:r>
        <w:rPr>
          <w:color w:val="231F20"/>
          <w:spacing w:val="-15"/>
        </w:rPr>
        <w:t> </w:t>
      </w:r>
      <w:r>
        <w:rPr>
          <w:color w:val="231F20"/>
        </w:rPr>
        <w:t>heures,</w:t>
      </w:r>
      <w:r>
        <w:rPr>
          <w:color w:val="231F20"/>
          <w:spacing w:val="-15"/>
        </w:rPr>
        <w:t> </w:t>
      </w:r>
      <w:r>
        <w:rPr>
          <w:color w:val="231F20"/>
        </w:rPr>
        <w:t>Laurent</w:t>
      </w:r>
      <w:r>
        <w:rPr>
          <w:color w:val="231F20"/>
          <w:spacing w:val="-15"/>
        </w:rPr>
        <w:t> </w:t>
      </w:r>
      <w:r>
        <w:rPr>
          <w:color w:val="231F20"/>
        </w:rPr>
        <w:t>Gabgbo</w:t>
      </w:r>
      <w:r>
        <w:rPr>
          <w:color w:val="231F20"/>
          <w:spacing w:val="-15"/>
        </w:rPr>
        <w:t> </w:t>
      </w:r>
      <w:r>
        <w:rPr>
          <w:color w:val="231F20"/>
        </w:rPr>
        <w:t>obtient</w:t>
      </w:r>
      <w:r>
        <w:rPr>
          <w:color w:val="231F20"/>
          <w:spacing w:val="-15"/>
        </w:rPr>
        <w:t> </w:t>
      </w:r>
      <w:r>
        <w:rPr>
          <w:color w:val="231F20"/>
        </w:rPr>
        <w:t>la</w:t>
      </w:r>
      <w:r>
        <w:rPr>
          <w:color w:val="231F20"/>
          <w:spacing w:val="-15"/>
        </w:rPr>
        <w:t> </w:t>
      </w:r>
      <w:r>
        <w:rPr>
          <w:color w:val="231F20"/>
        </w:rPr>
        <w:t>somme </w:t>
      </w:r>
      <w:r>
        <w:rPr>
          <w:color w:val="231F20"/>
          <w:spacing w:val="-2"/>
        </w:rPr>
        <w:t>nécessaire.</w:t>
      </w:r>
    </w:p>
    <w:p>
      <w:pPr>
        <w:pStyle w:val="BodyText"/>
        <w:spacing w:before="120"/>
        <w:ind w:right="105" w:firstLine="283"/>
      </w:pPr>
      <w:r>
        <w:rPr>
          <w:color w:val="231F20"/>
        </w:rPr>
        <w:t>Gbagbo</w:t>
      </w:r>
      <w:r>
        <w:rPr>
          <w:color w:val="231F20"/>
          <w:spacing w:val="-10"/>
        </w:rPr>
        <w:t> </w:t>
      </w:r>
      <w:r>
        <w:rPr>
          <w:color w:val="231F20"/>
        </w:rPr>
        <w:t>sait</w:t>
      </w:r>
      <w:r>
        <w:rPr>
          <w:color w:val="231F20"/>
          <w:spacing w:val="-10"/>
        </w:rPr>
        <w:t> </w:t>
      </w:r>
      <w:r>
        <w:rPr>
          <w:color w:val="231F20"/>
        </w:rPr>
        <w:t>bien</w:t>
      </w:r>
      <w:r>
        <w:rPr>
          <w:color w:val="231F20"/>
          <w:spacing w:val="-10"/>
        </w:rPr>
        <w:t> </w:t>
      </w:r>
      <w:r>
        <w:rPr>
          <w:color w:val="231F20"/>
        </w:rPr>
        <w:t>qu’il</w:t>
      </w:r>
      <w:r>
        <w:rPr>
          <w:color w:val="231F20"/>
          <w:spacing w:val="-10"/>
        </w:rPr>
        <w:t> </w:t>
      </w:r>
      <w:r>
        <w:rPr>
          <w:color w:val="231F20"/>
        </w:rPr>
        <w:t>ne</w:t>
      </w:r>
      <w:r>
        <w:rPr>
          <w:color w:val="231F20"/>
          <w:spacing w:val="-13"/>
        </w:rPr>
        <w:t> </w:t>
      </w:r>
      <w:r>
        <w:rPr>
          <w:color w:val="231F20"/>
        </w:rPr>
        <w:t>peut</w:t>
      </w:r>
      <w:r>
        <w:rPr>
          <w:color w:val="231F20"/>
          <w:spacing w:val="-10"/>
        </w:rPr>
        <w:t> </w:t>
      </w:r>
      <w:r>
        <w:rPr>
          <w:color w:val="231F20"/>
        </w:rPr>
        <w:t>pas</w:t>
      </w:r>
      <w:r>
        <w:rPr>
          <w:color w:val="231F20"/>
          <w:spacing w:val="-10"/>
        </w:rPr>
        <w:t> </w:t>
      </w:r>
      <w:r>
        <w:rPr>
          <w:color w:val="231F20"/>
        </w:rPr>
        <w:t>battre</w:t>
      </w:r>
      <w:r>
        <w:rPr>
          <w:color w:val="231F20"/>
          <w:spacing w:val="-10"/>
        </w:rPr>
        <w:t> </w:t>
      </w:r>
      <w:r>
        <w:rPr>
          <w:color w:val="231F20"/>
        </w:rPr>
        <w:t>Houphouët-Boigny.</w:t>
      </w:r>
      <w:r>
        <w:rPr>
          <w:color w:val="231F20"/>
          <w:spacing w:val="-10"/>
        </w:rPr>
        <w:t> </w:t>
      </w:r>
      <w:r>
        <w:rPr>
          <w:color w:val="231F20"/>
        </w:rPr>
        <w:t>Mais</w:t>
      </w:r>
      <w:r>
        <w:rPr>
          <w:color w:val="231F20"/>
          <w:spacing w:val="-12"/>
        </w:rPr>
        <w:t> </w:t>
      </w:r>
      <w:r>
        <w:rPr>
          <w:color w:val="231F20"/>
        </w:rPr>
        <w:t>il </w:t>
      </w:r>
      <w:r>
        <w:rPr>
          <w:color w:val="231F20"/>
          <w:spacing w:val="-2"/>
        </w:rPr>
        <w:t>veut</w:t>
      </w:r>
      <w:r>
        <w:rPr>
          <w:color w:val="231F20"/>
          <w:spacing w:val="-11"/>
        </w:rPr>
        <w:t> </w:t>
      </w:r>
      <w:r>
        <w:rPr>
          <w:color w:val="231F20"/>
          <w:spacing w:val="-2"/>
        </w:rPr>
        <w:t>entrer</w:t>
      </w:r>
      <w:r>
        <w:rPr>
          <w:color w:val="231F20"/>
          <w:spacing w:val="-11"/>
        </w:rPr>
        <w:t> </w:t>
      </w:r>
      <w:r>
        <w:rPr>
          <w:color w:val="231F20"/>
          <w:spacing w:val="-2"/>
        </w:rPr>
        <w:t>dans</w:t>
      </w:r>
      <w:r>
        <w:rPr>
          <w:color w:val="231F20"/>
          <w:spacing w:val="-10"/>
        </w:rPr>
        <w:t> </w:t>
      </w:r>
      <w:r>
        <w:rPr>
          <w:color w:val="231F20"/>
          <w:spacing w:val="-2"/>
        </w:rPr>
        <w:t>l’histoire</w:t>
      </w:r>
      <w:r>
        <w:rPr>
          <w:color w:val="231F20"/>
          <w:spacing w:val="-11"/>
        </w:rPr>
        <w:t> </w:t>
      </w:r>
      <w:r>
        <w:rPr>
          <w:color w:val="231F20"/>
          <w:spacing w:val="-2"/>
        </w:rPr>
        <w:t>:</w:t>
      </w:r>
      <w:r>
        <w:rPr>
          <w:color w:val="231F20"/>
          <w:spacing w:val="-10"/>
        </w:rPr>
        <w:t> </w:t>
      </w:r>
      <w:r>
        <w:rPr>
          <w:color w:val="231F20"/>
          <w:spacing w:val="-2"/>
        </w:rPr>
        <w:t>celle</w:t>
      </w:r>
      <w:r>
        <w:rPr>
          <w:color w:val="231F20"/>
          <w:spacing w:val="-11"/>
        </w:rPr>
        <w:t> </w:t>
      </w:r>
      <w:r>
        <w:rPr>
          <w:color w:val="231F20"/>
          <w:spacing w:val="-2"/>
        </w:rPr>
        <w:t>du</w:t>
      </w:r>
      <w:r>
        <w:rPr>
          <w:color w:val="231F20"/>
          <w:spacing w:val="-11"/>
        </w:rPr>
        <w:t> </w:t>
      </w:r>
      <w:r>
        <w:rPr>
          <w:color w:val="231F20"/>
          <w:spacing w:val="-2"/>
        </w:rPr>
        <w:t>premier</w:t>
      </w:r>
      <w:r>
        <w:rPr>
          <w:color w:val="231F20"/>
          <w:spacing w:val="-11"/>
        </w:rPr>
        <w:t> </w:t>
      </w:r>
      <w:r>
        <w:rPr>
          <w:color w:val="231F20"/>
          <w:spacing w:val="-2"/>
        </w:rPr>
        <w:t>opposant</w:t>
      </w:r>
      <w:r>
        <w:rPr>
          <w:color w:val="231F20"/>
          <w:spacing w:val="-11"/>
        </w:rPr>
        <w:t> </w:t>
      </w:r>
      <w:r>
        <w:rPr>
          <w:color w:val="231F20"/>
          <w:spacing w:val="-2"/>
        </w:rPr>
        <w:t>à</w:t>
      </w:r>
      <w:r>
        <w:rPr>
          <w:color w:val="231F20"/>
          <w:spacing w:val="-11"/>
        </w:rPr>
        <w:t> </w:t>
      </w:r>
      <w:r>
        <w:rPr>
          <w:color w:val="231F20"/>
          <w:spacing w:val="-2"/>
        </w:rPr>
        <w:t>affronter</w:t>
      </w:r>
      <w:r>
        <w:rPr>
          <w:color w:val="231F20"/>
          <w:spacing w:val="-11"/>
        </w:rPr>
        <w:t> </w:t>
      </w:r>
      <w:r>
        <w:rPr>
          <w:color w:val="231F20"/>
          <w:spacing w:val="-2"/>
        </w:rPr>
        <w:t>dans</w:t>
      </w:r>
      <w:r>
        <w:rPr>
          <w:color w:val="231F20"/>
          <w:spacing w:val="-11"/>
        </w:rPr>
        <w:t> </w:t>
      </w:r>
      <w:r>
        <w:rPr>
          <w:color w:val="231F20"/>
          <w:spacing w:val="-2"/>
        </w:rPr>
        <w:t>les </w:t>
      </w:r>
      <w:r>
        <w:rPr>
          <w:color w:val="231F20"/>
        </w:rPr>
        <w:t>urnes Houphouët-Boigny et marquer également l’avènement des élections multipartites en Côte d’Ivoire.</w:t>
      </w:r>
    </w:p>
    <w:p>
      <w:pPr>
        <w:pStyle w:val="BodyText"/>
        <w:spacing w:before="121"/>
        <w:ind w:right="106" w:firstLine="283"/>
      </w:pPr>
      <w:r>
        <w:rPr>
          <w:color w:val="231F20"/>
        </w:rPr>
        <w:t>Au terme de l’élection, il remporte 18,3</w:t>
      </w:r>
      <w:r>
        <w:rPr>
          <w:color w:val="231F20"/>
          <w:spacing w:val="-15"/>
        </w:rPr>
        <w:t> </w:t>
      </w:r>
      <w:r>
        <w:rPr>
          <w:color w:val="231F20"/>
        </w:rPr>
        <w:t>% des suffrages, ce qui lui confère le statut de chef de l’opposition.</w:t>
      </w:r>
    </w:p>
    <w:p>
      <w:pPr>
        <w:pStyle w:val="BodyText"/>
        <w:spacing w:before="120"/>
        <w:ind w:right="105" w:firstLine="283"/>
      </w:pPr>
      <w:r>
        <w:rPr>
          <w:color w:val="231F20"/>
        </w:rPr>
        <w:t>Le</w:t>
      </w:r>
      <w:r>
        <w:rPr>
          <w:color w:val="231F20"/>
          <w:spacing w:val="-6"/>
        </w:rPr>
        <w:t> </w:t>
      </w:r>
      <w:r>
        <w:rPr>
          <w:color w:val="231F20"/>
        </w:rPr>
        <w:t>7</w:t>
      </w:r>
      <w:r>
        <w:rPr>
          <w:color w:val="231F20"/>
          <w:spacing w:val="-5"/>
        </w:rPr>
        <w:t> </w:t>
      </w:r>
      <w:r>
        <w:rPr>
          <w:color w:val="231F20"/>
        </w:rPr>
        <w:t>novembre,</w:t>
      </w:r>
      <w:r>
        <w:rPr>
          <w:color w:val="231F20"/>
          <w:spacing w:val="-5"/>
        </w:rPr>
        <w:t> </w:t>
      </w:r>
      <w:r>
        <w:rPr>
          <w:color w:val="231F20"/>
        </w:rPr>
        <w:t>le</w:t>
      </w:r>
      <w:r>
        <w:rPr>
          <w:color w:val="231F20"/>
          <w:spacing w:val="-5"/>
        </w:rPr>
        <w:t> </w:t>
      </w:r>
      <w:r>
        <w:rPr>
          <w:color w:val="231F20"/>
        </w:rPr>
        <w:t>«</w:t>
      </w:r>
      <w:r>
        <w:rPr>
          <w:color w:val="231F20"/>
          <w:spacing w:val="-15"/>
        </w:rPr>
        <w:t> </w:t>
      </w:r>
      <w:r>
        <w:rPr>
          <w:color w:val="231F20"/>
        </w:rPr>
        <w:t>vieux</w:t>
      </w:r>
      <w:r>
        <w:rPr>
          <w:color w:val="231F20"/>
          <w:spacing w:val="-15"/>
        </w:rPr>
        <w:t> </w:t>
      </w:r>
      <w:r>
        <w:rPr>
          <w:color w:val="231F20"/>
        </w:rPr>
        <w:t>»</w:t>
      </w:r>
      <w:r>
        <w:rPr>
          <w:color w:val="231F20"/>
          <w:spacing w:val="-5"/>
        </w:rPr>
        <w:t> </w:t>
      </w:r>
      <w:r>
        <w:rPr>
          <w:color w:val="231F20"/>
        </w:rPr>
        <w:t>prend</w:t>
      </w:r>
      <w:r>
        <w:rPr>
          <w:color w:val="231F20"/>
          <w:spacing w:val="-8"/>
        </w:rPr>
        <w:t> </w:t>
      </w:r>
      <w:r>
        <w:rPr>
          <w:color w:val="231F20"/>
        </w:rPr>
        <w:t>de</w:t>
      </w:r>
      <w:r>
        <w:rPr>
          <w:color w:val="231F20"/>
          <w:spacing w:val="-5"/>
        </w:rPr>
        <w:t> </w:t>
      </w:r>
      <w:r>
        <w:rPr>
          <w:color w:val="231F20"/>
        </w:rPr>
        <w:t>court</w:t>
      </w:r>
      <w:r>
        <w:rPr>
          <w:color w:val="231F20"/>
          <w:spacing w:val="-7"/>
        </w:rPr>
        <w:t> </w:t>
      </w:r>
      <w:r>
        <w:rPr>
          <w:color w:val="231F20"/>
        </w:rPr>
        <w:t>toute</w:t>
      </w:r>
      <w:r>
        <w:rPr>
          <w:color w:val="231F20"/>
          <w:spacing w:val="-5"/>
        </w:rPr>
        <w:t> </w:t>
      </w:r>
      <w:r>
        <w:rPr>
          <w:color w:val="231F20"/>
        </w:rPr>
        <w:t>la</w:t>
      </w:r>
      <w:r>
        <w:rPr>
          <w:color w:val="231F20"/>
          <w:spacing w:val="-5"/>
        </w:rPr>
        <w:t> </w:t>
      </w:r>
      <w:r>
        <w:rPr>
          <w:color w:val="231F20"/>
        </w:rPr>
        <w:t>classe</w:t>
      </w:r>
      <w:r>
        <w:rPr>
          <w:color w:val="231F20"/>
          <w:spacing w:val="-5"/>
        </w:rPr>
        <w:t> </w:t>
      </w:r>
      <w:r>
        <w:rPr>
          <w:color w:val="231F20"/>
        </w:rPr>
        <w:t>politique</w:t>
      </w:r>
      <w:r>
        <w:rPr>
          <w:color w:val="231F20"/>
          <w:spacing w:val="-14"/>
        </w:rPr>
        <w:t> </w:t>
      </w:r>
      <w:r>
        <w:rPr>
          <w:color w:val="231F20"/>
        </w:rPr>
        <w:t>: </w:t>
      </w:r>
      <w:r>
        <w:rPr>
          <w:color w:val="231F20"/>
          <w:spacing w:val="-2"/>
        </w:rPr>
        <w:t>Alassane</w:t>
      </w:r>
      <w:r>
        <w:rPr>
          <w:color w:val="231F20"/>
          <w:spacing w:val="-8"/>
        </w:rPr>
        <w:t> </w:t>
      </w:r>
      <w:r>
        <w:rPr>
          <w:color w:val="231F20"/>
          <w:spacing w:val="-2"/>
        </w:rPr>
        <w:t>Dramane</w:t>
      </w:r>
      <w:r>
        <w:rPr>
          <w:color w:val="231F20"/>
          <w:spacing w:val="-8"/>
        </w:rPr>
        <w:t> </w:t>
      </w:r>
      <w:r>
        <w:rPr>
          <w:color w:val="231F20"/>
          <w:spacing w:val="-2"/>
        </w:rPr>
        <w:t>Ouattara</w:t>
      </w:r>
      <w:r>
        <w:rPr>
          <w:color w:val="231F20"/>
          <w:spacing w:val="-8"/>
        </w:rPr>
        <w:t> </w:t>
      </w:r>
      <w:r>
        <w:rPr>
          <w:color w:val="231F20"/>
          <w:spacing w:val="-2"/>
        </w:rPr>
        <w:t>est</w:t>
      </w:r>
      <w:r>
        <w:rPr>
          <w:color w:val="231F20"/>
          <w:spacing w:val="-7"/>
        </w:rPr>
        <w:t> </w:t>
      </w:r>
      <w:r>
        <w:rPr>
          <w:color w:val="231F20"/>
          <w:spacing w:val="-2"/>
        </w:rPr>
        <w:t>nommé</w:t>
      </w:r>
      <w:r>
        <w:rPr>
          <w:color w:val="231F20"/>
          <w:spacing w:val="-5"/>
        </w:rPr>
        <w:t> </w:t>
      </w:r>
      <w:r>
        <w:rPr>
          <w:color w:val="231F20"/>
          <w:spacing w:val="-2"/>
        </w:rPr>
        <w:t>Premier</w:t>
      </w:r>
      <w:r>
        <w:rPr>
          <w:color w:val="231F20"/>
          <w:spacing w:val="-10"/>
        </w:rPr>
        <w:t> </w:t>
      </w:r>
      <w:r>
        <w:rPr>
          <w:color w:val="231F20"/>
          <w:spacing w:val="-2"/>
        </w:rPr>
        <w:t>ministre,</w:t>
      </w:r>
      <w:r>
        <w:rPr>
          <w:color w:val="231F20"/>
          <w:spacing w:val="-7"/>
        </w:rPr>
        <w:t> </w:t>
      </w:r>
      <w:r>
        <w:rPr>
          <w:color w:val="231F20"/>
          <w:spacing w:val="-2"/>
        </w:rPr>
        <w:t>fonction</w:t>
      </w:r>
      <w:r>
        <w:rPr>
          <w:color w:val="231F20"/>
          <w:spacing w:val="-8"/>
        </w:rPr>
        <w:t> </w:t>
      </w:r>
      <w:r>
        <w:rPr>
          <w:color w:val="231F20"/>
          <w:spacing w:val="-2"/>
        </w:rPr>
        <w:t>créée </w:t>
      </w:r>
      <w:r>
        <w:rPr>
          <w:color w:val="231F20"/>
        </w:rPr>
        <w:t>à</w:t>
      </w:r>
      <w:r>
        <w:rPr>
          <w:color w:val="231F20"/>
          <w:spacing w:val="-5"/>
        </w:rPr>
        <w:t> </w:t>
      </w:r>
      <w:r>
        <w:rPr>
          <w:color w:val="231F20"/>
        </w:rPr>
        <w:t>la</w:t>
      </w:r>
      <w:r>
        <w:rPr>
          <w:color w:val="231F20"/>
          <w:spacing w:val="-5"/>
        </w:rPr>
        <w:t> </w:t>
      </w:r>
      <w:r>
        <w:rPr>
          <w:color w:val="231F20"/>
        </w:rPr>
        <w:t>suite</w:t>
      </w:r>
      <w:r>
        <w:rPr>
          <w:color w:val="231F20"/>
          <w:spacing w:val="-7"/>
        </w:rPr>
        <w:t> </w:t>
      </w:r>
      <w:r>
        <w:rPr>
          <w:color w:val="231F20"/>
        </w:rPr>
        <w:t>d’une</w:t>
      </w:r>
      <w:r>
        <w:rPr>
          <w:color w:val="231F20"/>
          <w:spacing w:val="-7"/>
        </w:rPr>
        <w:t> </w:t>
      </w:r>
      <w:r>
        <w:rPr>
          <w:color w:val="231F20"/>
        </w:rPr>
        <w:t>modification</w:t>
      </w:r>
      <w:r>
        <w:rPr>
          <w:color w:val="231F20"/>
          <w:spacing w:val="-5"/>
        </w:rPr>
        <w:t> </w:t>
      </w:r>
      <w:r>
        <w:rPr>
          <w:color w:val="231F20"/>
        </w:rPr>
        <w:t>en</w:t>
      </w:r>
      <w:r>
        <w:rPr>
          <w:color w:val="231F20"/>
          <w:spacing w:val="-4"/>
        </w:rPr>
        <w:t> </w:t>
      </w:r>
      <w:r>
        <w:rPr>
          <w:color w:val="231F20"/>
        </w:rPr>
        <w:t>urgence</w:t>
      </w:r>
      <w:r>
        <w:rPr>
          <w:color w:val="231F20"/>
          <w:spacing w:val="-4"/>
        </w:rPr>
        <w:t> </w:t>
      </w:r>
      <w:r>
        <w:rPr>
          <w:color w:val="231F20"/>
        </w:rPr>
        <w:t>de</w:t>
      </w:r>
      <w:r>
        <w:rPr>
          <w:color w:val="231F20"/>
          <w:spacing w:val="-4"/>
        </w:rPr>
        <w:t> </w:t>
      </w:r>
      <w:r>
        <w:rPr>
          <w:color w:val="231F20"/>
        </w:rPr>
        <w:t>la</w:t>
      </w:r>
      <w:r>
        <w:rPr>
          <w:color w:val="231F20"/>
          <w:spacing w:val="-8"/>
        </w:rPr>
        <w:t> </w:t>
      </w:r>
      <w:r>
        <w:rPr>
          <w:color w:val="231F20"/>
        </w:rPr>
        <w:t>Constitution.</w:t>
      </w:r>
    </w:p>
    <w:p>
      <w:pPr>
        <w:pStyle w:val="BodyText"/>
        <w:spacing w:before="120"/>
        <w:ind w:right="105" w:firstLine="283"/>
      </w:pPr>
      <w:r>
        <w:rPr>
          <w:color w:val="231F20"/>
        </w:rPr>
        <w:t>Le</w:t>
      </w:r>
      <w:r>
        <w:rPr>
          <w:color w:val="231F20"/>
          <w:spacing w:val="-12"/>
        </w:rPr>
        <w:t> </w:t>
      </w:r>
      <w:r>
        <w:rPr>
          <w:color w:val="231F20"/>
        </w:rPr>
        <w:t>25</w:t>
      </w:r>
      <w:r>
        <w:rPr>
          <w:color w:val="231F20"/>
          <w:spacing w:val="-14"/>
        </w:rPr>
        <w:t> </w:t>
      </w:r>
      <w:r>
        <w:rPr>
          <w:color w:val="231F20"/>
        </w:rPr>
        <w:t>novembre,</w:t>
      </w:r>
      <w:r>
        <w:rPr>
          <w:color w:val="231F20"/>
          <w:spacing w:val="-14"/>
        </w:rPr>
        <w:t> </w:t>
      </w:r>
      <w:r>
        <w:rPr>
          <w:color w:val="231F20"/>
        </w:rPr>
        <w:t>les</w:t>
      </w:r>
      <w:r>
        <w:rPr>
          <w:color w:val="231F20"/>
          <w:spacing w:val="-14"/>
        </w:rPr>
        <w:t> </w:t>
      </w:r>
      <w:r>
        <w:rPr>
          <w:color w:val="231F20"/>
        </w:rPr>
        <w:t>élections</w:t>
      </w:r>
      <w:r>
        <w:rPr>
          <w:color w:val="231F20"/>
          <w:spacing w:val="-14"/>
        </w:rPr>
        <w:t> </w:t>
      </w:r>
      <w:r>
        <w:rPr>
          <w:color w:val="231F20"/>
        </w:rPr>
        <w:t>législatives</w:t>
      </w:r>
      <w:r>
        <w:rPr>
          <w:color w:val="231F20"/>
          <w:spacing w:val="-14"/>
        </w:rPr>
        <w:t> </w:t>
      </w:r>
      <w:r>
        <w:rPr>
          <w:color w:val="231F20"/>
        </w:rPr>
        <w:t>donnent</w:t>
      </w:r>
      <w:r>
        <w:rPr>
          <w:color w:val="231F20"/>
          <w:spacing w:val="-15"/>
        </w:rPr>
        <w:t> </w:t>
      </w:r>
      <w:r>
        <w:rPr>
          <w:color w:val="231F20"/>
        </w:rPr>
        <w:t>au</w:t>
      </w:r>
      <w:r>
        <w:rPr>
          <w:color w:val="231F20"/>
          <w:spacing w:val="-12"/>
        </w:rPr>
        <w:t> </w:t>
      </w:r>
      <w:r>
        <w:rPr>
          <w:color w:val="231F20"/>
        </w:rPr>
        <w:t>FPI,</w:t>
      </w:r>
      <w:r>
        <w:rPr>
          <w:color w:val="231F20"/>
          <w:spacing w:val="-12"/>
        </w:rPr>
        <w:t> </w:t>
      </w:r>
      <w:r>
        <w:rPr>
          <w:color w:val="231F20"/>
        </w:rPr>
        <w:t>le</w:t>
      </w:r>
      <w:r>
        <w:rPr>
          <w:color w:val="231F20"/>
          <w:spacing w:val="-14"/>
        </w:rPr>
        <w:t> </w:t>
      </w:r>
      <w:r>
        <w:rPr>
          <w:color w:val="231F20"/>
        </w:rPr>
        <w:t>Parti</w:t>
      </w:r>
      <w:r>
        <w:rPr>
          <w:color w:val="231F20"/>
          <w:spacing w:val="-14"/>
        </w:rPr>
        <w:t> </w:t>
      </w:r>
      <w:r>
        <w:rPr>
          <w:color w:val="231F20"/>
        </w:rPr>
        <w:t>de </w:t>
      </w:r>
      <w:r>
        <w:rPr>
          <w:color w:val="231F20"/>
          <w:spacing w:val="-2"/>
        </w:rPr>
        <w:t>Laurent</w:t>
      </w:r>
      <w:r>
        <w:rPr>
          <w:color w:val="231F20"/>
          <w:spacing w:val="-15"/>
        </w:rPr>
        <w:t> </w:t>
      </w:r>
      <w:r>
        <w:rPr>
          <w:color w:val="231F20"/>
          <w:spacing w:val="-2"/>
        </w:rPr>
        <w:t>Gbagbo,</w:t>
      </w:r>
      <w:r>
        <w:rPr>
          <w:color w:val="231F20"/>
          <w:spacing w:val="-13"/>
        </w:rPr>
        <w:t> </w:t>
      </w:r>
      <w:r>
        <w:rPr>
          <w:color w:val="231F20"/>
          <w:spacing w:val="-2"/>
        </w:rPr>
        <w:t>9</w:t>
      </w:r>
      <w:r>
        <w:rPr>
          <w:color w:val="231F20"/>
          <w:spacing w:val="-13"/>
        </w:rPr>
        <w:t> </w:t>
      </w:r>
      <w:r>
        <w:rPr>
          <w:color w:val="231F20"/>
          <w:spacing w:val="-2"/>
        </w:rPr>
        <w:t>sièges</w:t>
      </w:r>
      <w:r>
        <w:rPr>
          <w:color w:val="231F20"/>
          <w:spacing w:val="-13"/>
        </w:rPr>
        <w:t> </w:t>
      </w:r>
      <w:r>
        <w:rPr>
          <w:color w:val="231F20"/>
          <w:spacing w:val="-2"/>
        </w:rPr>
        <w:t>sur</w:t>
      </w:r>
      <w:r>
        <w:rPr>
          <w:color w:val="231F20"/>
          <w:spacing w:val="-13"/>
        </w:rPr>
        <w:t> </w:t>
      </w:r>
      <w:r>
        <w:rPr>
          <w:color w:val="231F20"/>
          <w:spacing w:val="-2"/>
        </w:rPr>
        <w:t>175</w:t>
      </w:r>
      <w:r>
        <w:rPr>
          <w:color w:val="231F20"/>
          <w:spacing w:val="-13"/>
        </w:rPr>
        <w:t> </w:t>
      </w:r>
      <w:r>
        <w:rPr>
          <w:color w:val="231F20"/>
          <w:spacing w:val="-2"/>
        </w:rPr>
        <w:t>à</w:t>
      </w:r>
      <w:r>
        <w:rPr>
          <w:color w:val="231F20"/>
          <w:spacing w:val="-13"/>
        </w:rPr>
        <w:t> </w:t>
      </w:r>
      <w:r>
        <w:rPr>
          <w:color w:val="231F20"/>
          <w:spacing w:val="-2"/>
        </w:rPr>
        <w:t>l’Assemblée</w:t>
      </w:r>
      <w:r>
        <w:rPr>
          <w:color w:val="231F20"/>
          <w:spacing w:val="-13"/>
        </w:rPr>
        <w:t> </w:t>
      </w:r>
      <w:r>
        <w:rPr>
          <w:color w:val="231F20"/>
          <w:spacing w:val="-2"/>
        </w:rPr>
        <w:t>Nationale</w:t>
      </w:r>
      <w:r>
        <w:rPr>
          <w:color w:val="231F20"/>
          <w:spacing w:val="-13"/>
        </w:rPr>
        <w:t> </w:t>
      </w:r>
      <w:r>
        <w:rPr>
          <w:color w:val="231F20"/>
          <w:spacing w:val="-2"/>
        </w:rPr>
        <w:t>;</w:t>
      </w:r>
      <w:r>
        <w:rPr>
          <w:color w:val="231F20"/>
          <w:spacing w:val="-13"/>
        </w:rPr>
        <w:t> </w:t>
      </w:r>
      <w:r>
        <w:rPr>
          <w:color w:val="231F20"/>
          <w:spacing w:val="-2"/>
        </w:rPr>
        <w:t>Gbagbo,</w:t>
      </w:r>
      <w:r>
        <w:rPr>
          <w:color w:val="231F20"/>
          <w:spacing w:val="-13"/>
        </w:rPr>
        <w:t> </w:t>
      </w:r>
      <w:r>
        <w:rPr>
          <w:color w:val="231F20"/>
          <w:spacing w:val="-2"/>
        </w:rPr>
        <w:t>lui- </w:t>
      </w:r>
      <w:r>
        <w:rPr>
          <w:color w:val="231F20"/>
        </w:rPr>
        <w:t>même,</w:t>
      </w:r>
      <w:r>
        <w:rPr>
          <w:color w:val="231F20"/>
          <w:spacing w:val="-14"/>
        </w:rPr>
        <w:t> </w:t>
      </w:r>
      <w:r>
        <w:rPr>
          <w:color w:val="231F20"/>
        </w:rPr>
        <w:t>est</w:t>
      </w:r>
      <w:r>
        <w:rPr>
          <w:color w:val="231F20"/>
          <w:spacing w:val="-14"/>
        </w:rPr>
        <w:t> </w:t>
      </w:r>
      <w:r>
        <w:rPr>
          <w:color w:val="231F20"/>
        </w:rPr>
        <w:t>élu.</w:t>
      </w:r>
      <w:r>
        <w:rPr>
          <w:color w:val="231F20"/>
          <w:spacing w:val="-14"/>
        </w:rPr>
        <w:t> </w:t>
      </w:r>
      <w:r>
        <w:rPr>
          <w:color w:val="231F20"/>
        </w:rPr>
        <w:t>Autre</w:t>
      </w:r>
      <w:r>
        <w:rPr>
          <w:color w:val="231F20"/>
          <w:spacing w:val="-14"/>
        </w:rPr>
        <w:t> </w:t>
      </w:r>
      <w:r>
        <w:rPr>
          <w:color w:val="231F20"/>
        </w:rPr>
        <w:t>opposant</w:t>
      </w:r>
      <w:r>
        <w:rPr>
          <w:color w:val="231F20"/>
          <w:spacing w:val="-14"/>
        </w:rPr>
        <w:t> </w:t>
      </w:r>
      <w:r>
        <w:rPr>
          <w:color w:val="231F20"/>
        </w:rPr>
        <w:t>à</w:t>
      </w:r>
      <w:r>
        <w:rPr>
          <w:color w:val="231F20"/>
          <w:spacing w:val="-14"/>
        </w:rPr>
        <w:t> </w:t>
      </w:r>
      <w:r>
        <w:rPr>
          <w:color w:val="231F20"/>
        </w:rPr>
        <w:t>entrer</w:t>
      </w:r>
      <w:r>
        <w:rPr>
          <w:color w:val="231F20"/>
          <w:spacing w:val="-14"/>
        </w:rPr>
        <w:t> </w:t>
      </w:r>
      <w:r>
        <w:rPr>
          <w:color w:val="231F20"/>
        </w:rPr>
        <w:t>à</w:t>
      </w:r>
      <w:r>
        <w:rPr>
          <w:color w:val="231F20"/>
          <w:spacing w:val="-14"/>
        </w:rPr>
        <w:t> </w:t>
      </w:r>
      <w:r>
        <w:rPr>
          <w:color w:val="231F20"/>
        </w:rPr>
        <w:t>l’Assemblée</w:t>
      </w:r>
      <w:r>
        <w:rPr>
          <w:color w:val="231F20"/>
          <w:spacing w:val="-14"/>
        </w:rPr>
        <w:t> </w:t>
      </w:r>
      <w:r>
        <w:rPr>
          <w:color w:val="231F20"/>
        </w:rPr>
        <w:t>Nationale</w:t>
      </w:r>
      <w:r>
        <w:rPr>
          <w:color w:val="231F20"/>
          <w:spacing w:val="-15"/>
        </w:rPr>
        <w:t> </w:t>
      </w:r>
      <w:r>
        <w:rPr>
          <w:color w:val="231F20"/>
        </w:rPr>
        <w:t>en</w:t>
      </w:r>
      <w:r>
        <w:rPr>
          <w:color w:val="231F20"/>
          <w:spacing w:val="-14"/>
        </w:rPr>
        <w:t> </w:t>
      </w:r>
      <w:r>
        <w:rPr>
          <w:color w:val="231F20"/>
        </w:rPr>
        <w:t>cette année 1990, Francis Wodié, professeur de Droit, président du Parti Ivoirien des Travailleurs(PIT).</w:t>
      </w:r>
    </w:p>
    <w:p>
      <w:pPr>
        <w:spacing w:after="0"/>
        <w:sectPr>
          <w:pgSz w:w="8790" w:h="13610"/>
          <w:pgMar w:header="0" w:footer="802" w:top="1060" w:bottom="1000" w:left="880" w:right="880"/>
        </w:sectPr>
      </w:pPr>
    </w:p>
    <w:p>
      <w:pPr>
        <w:pStyle w:val="BodyText"/>
        <w:spacing w:before="66"/>
        <w:ind w:right="104" w:firstLine="283"/>
      </w:pPr>
      <w:r>
        <w:rPr>
          <w:color w:val="231F20"/>
          <w:spacing w:val="-2"/>
        </w:rPr>
        <w:t>En</w:t>
      </w:r>
      <w:r>
        <w:rPr>
          <w:color w:val="231F20"/>
          <w:spacing w:val="-9"/>
        </w:rPr>
        <w:t> </w:t>
      </w:r>
      <w:r>
        <w:rPr>
          <w:color w:val="231F20"/>
          <w:spacing w:val="-2"/>
        </w:rPr>
        <w:t>cette</w:t>
      </w:r>
      <w:r>
        <w:rPr>
          <w:color w:val="231F20"/>
          <w:spacing w:val="-9"/>
        </w:rPr>
        <w:t> </w:t>
      </w:r>
      <w:r>
        <w:rPr>
          <w:color w:val="231F20"/>
          <w:spacing w:val="-2"/>
        </w:rPr>
        <w:t>année</w:t>
      </w:r>
      <w:r>
        <w:rPr>
          <w:color w:val="231F20"/>
          <w:spacing w:val="-9"/>
        </w:rPr>
        <w:t> </w:t>
      </w:r>
      <w:r>
        <w:rPr>
          <w:color w:val="231F20"/>
          <w:spacing w:val="-2"/>
        </w:rPr>
        <w:t>1990,</w:t>
      </w:r>
      <w:r>
        <w:rPr>
          <w:color w:val="231F20"/>
          <w:spacing w:val="-12"/>
        </w:rPr>
        <w:t> </w:t>
      </w:r>
      <w:r>
        <w:rPr>
          <w:color w:val="231F20"/>
          <w:spacing w:val="-2"/>
        </w:rPr>
        <w:t>le</w:t>
      </w:r>
      <w:r>
        <w:rPr>
          <w:color w:val="231F20"/>
          <w:spacing w:val="-9"/>
        </w:rPr>
        <w:t> </w:t>
      </w:r>
      <w:r>
        <w:rPr>
          <w:color w:val="231F20"/>
          <w:spacing w:val="-2"/>
        </w:rPr>
        <w:t>Premier</w:t>
      </w:r>
      <w:r>
        <w:rPr>
          <w:color w:val="231F20"/>
          <w:spacing w:val="-9"/>
        </w:rPr>
        <w:t> </w:t>
      </w:r>
      <w:r>
        <w:rPr>
          <w:color w:val="231F20"/>
          <w:spacing w:val="-2"/>
        </w:rPr>
        <w:t>ministre</w:t>
      </w:r>
      <w:r>
        <w:rPr>
          <w:color w:val="231F20"/>
          <w:spacing w:val="-9"/>
        </w:rPr>
        <w:t> </w:t>
      </w:r>
      <w:r>
        <w:rPr>
          <w:color w:val="231F20"/>
          <w:spacing w:val="-2"/>
        </w:rPr>
        <w:t>assure</w:t>
      </w:r>
      <w:r>
        <w:rPr>
          <w:color w:val="231F20"/>
          <w:spacing w:val="-9"/>
        </w:rPr>
        <w:t> </w:t>
      </w:r>
      <w:r>
        <w:rPr>
          <w:color w:val="231F20"/>
          <w:spacing w:val="-2"/>
        </w:rPr>
        <w:t>l’essentiel</w:t>
      </w:r>
      <w:r>
        <w:rPr>
          <w:color w:val="231F20"/>
          <w:spacing w:val="-9"/>
        </w:rPr>
        <w:t> </w:t>
      </w:r>
      <w:r>
        <w:rPr>
          <w:color w:val="231F20"/>
          <w:spacing w:val="-2"/>
        </w:rPr>
        <w:t>du</w:t>
      </w:r>
      <w:r>
        <w:rPr>
          <w:color w:val="231F20"/>
          <w:spacing w:val="-9"/>
        </w:rPr>
        <w:t> </w:t>
      </w:r>
      <w:r>
        <w:rPr>
          <w:color w:val="231F20"/>
          <w:spacing w:val="-2"/>
        </w:rPr>
        <w:t>pouvoir </w:t>
      </w:r>
      <w:r>
        <w:rPr>
          <w:color w:val="231F20"/>
        </w:rPr>
        <w:t>du fait des hospitalisations répétées du Président de la République à </w:t>
      </w:r>
      <w:r>
        <w:rPr>
          <w:color w:val="231F20"/>
          <w:spacing w:val="-2"/>
        </w:rPr>
        <w:t>l’étranger.</w:t>
      </w:r>
    </w:p>
    <w:p>
      <w:pPr>
        <w:pStyle w:val="BodyText"/>
        <w:spacing w:before="120"/>
        <w:ind w:right="105" w:firstLine="283"/>
      </w:pPr>
      <w:r>
        <w:rPr>
          <w:color w:val="231F20"/>
        </w:rPr>
        <w:t>La crise économique est de plus en plus ressentie par les populations</w:t>
      </w:r>
      <w:r>
        <w:rPr>
          <w:color w:val="231F20"/>
          <w:spacing w:val="-15"/>
        </w:rPr>
        <w:t> </w:t>
      </w:r>
      <w:r>
        <w:rPr>
          <w:color w:val="231F20"/>
        </w:rPr>
        <w:t>:de nombreuses entreprises ferment</w:t>
      </w:r>
      <w:r>
        <w:rPr>
          <w:color w:val="231F20"/>
          <w:spacing w:val="-12"/>
        </w:rPr>
        <w:t> </w:t>
      </w:r>
      <w:r>
        <w:rPr>
          <w:color w:val="231F20"/>
        </w:rPr>
        <w:t>; les jeunes des campagnes prennent d’assaut les villes, principalement Abidjan dans </w:t>
      </w:r>
      <w:r>
        <w:rPr>
          <w:color w:val="231F20"/>
          <w:spacing w:val="-2"/>
        </w:rPr>
        <w:t>l’espoir</w:t>
      </w:r>
      <w:r>
        <w:rPr>
          <w:color w:val="231F20"/>
          <w:spacing w:val="-8"/>
        </w:rPr>
        <w:t> </w:t>
      </w:r>
      <w:r>
        <w:rPr>
          <w:color w:val="231F20"/>
          <w:spacing w:val="-2"/>
        </w:rPr>
        <w:t>d’y</w:t>
      </w:r>
      <w:r>
        <w:rPr>
          <w:color w:val="231F20"/>
          <w:spacing w:val="-10"/>
        </w:rPr>
        <w:t> </w:t>
      </w:r>
      <w:r>
        <w:rPr>
          <w:color w:val="231F20"/>
          <w:spacing w:val="-2"/>
        </w:rPr>
        <w:t>trouver</w:t>
      </w:r>
      <w:r>
        <w:rPr>
          <w:color w:val="231F20"/>
          <w:spacing w:val="-8"/>
        </w:rPr>
        <w:t> </w:t>
      </w:r>
      <w:r>
        <w:rPr>
          <w:color w:val="231F20"/>
          <w:spacing w:val="-2"/>
        </w:rPr>
        <w:t>du</w:t>
      </w:r>
      <w:r>
        <w:rPr>
          <w:color w:val="231F20"/>
          <w:spacing w:val="-11"/>
        </w:rPr>
        <w:t> </w:t>
      </w:r>
      <w:r>
        <w:rPr>
          <w:color w:val="231F20"/>
          <w:spacing w:val="-2"/>
        </w:rPr>
        <w:t>travail</w:t>
      </w:r>
      <w:r>
        <w:rPr>
          <w:color w:val="231F20"/>
          <w:spacing w:val="-11"/>
        </w:rPr>
        <w:t> </w:t>
      </w:r>
      <w:r>
        <w:rPr>
          <w:color w:val="231F20"/>
          <w:spacing w:val="-2"/>
        </w:rPr>
        <w:t>mais</w:t>
      </w:r>
      <w:r>
        <w:rPr>
          <w:color w:val="231F20"/>
          <w:spacing w:val="-8"/>
        </w:rPr>
        <w:t> </w:t>
      </w:r>
      <w:r>
        <w:rPr>
          <w:color w:val="231F20"/>
          <w:spacing w:val="-2"/>
        </w:rPr>
        <w:t>c’est</w:t>
      </w:r>
      <w:r>
        <w:rPr>
          <w:color w:val="231F20"/>
          <w:spacing w:val="-7"/>
        </w:rPr>
        <w:t> </w:t>
      </w:r>
      <w:r>
        <w:rPr>
          <w:color w:val="231F20"/>
          <w:spacing w:val="-2"/>
        </w:rPr>
        <w:t>le</w:t>
      </w:r>
      <w:r>
        <w:rPr>
          <w:color w:val="231F20"/>
          <w:spacing w:val="-11"/>
        </w:rPr>
        <w:t> </w:t>
      </w:r>
      <w:r>
        <w:rPr>
          <w:color w:val="231F20"/>
          <w:spacing w:val="-2"/>
        </w:rPr>
        <w:t>chômage</w:t>
      </w:r>
      <w:r>
        <w:rPr>
          <w:color w:val="231F20"/>
          <w:spacing w:val="-8"/>
        </w:rPr>
        <w:t> </w:t>
      </w:r>
      <w:r>
        <w:rPr>
          <w:color w:val="231F20"/>
          <w:spacing w:val="-2"/>
        </w:rPr>
        <w:t>qui</w:t>
      </w:r>
      <w:r>
        <w:rPr>
          <w:color w:val="231F20"/>
          <w:spacing w:val="-10"/>
        </w:rPr>
        <w:t> </w:t>
      </w:r>
      <w:r>
        <w:rPr>
          <w:color w:val="231F20"/>
          <w:spacing w:val="-2"/>
        </w:rPr>
        <w:t>les</w:t>
      </w:r>
      <w:r>
        <w:rPr>
          <w:color w:val="231F20"/>
          <w:spacing w:val="-10"/>
        </w:rPr>
        <w:t> </w:t>
      </w:r>
      <w:r>
        <w:rPr>
          <w:color w:val="231F20"/>
          <w:spacing w:val="-2"/>
        </w:rPr>
        <w:t>accueille.</w:t>
      </w:r>
      <w:r>
        <w:rPr>
          <w:color w:val="231F20"/>
          <w:spacing w:val="-9"/>
        </w:rPr>
        <w:t> </w:t>
      </w:r>
      <w:r>
        <w:rPr>
          <w:color w:val="231F20"/>
          <w:spacing w:val="-2"/>
        </w:rPr>
        <w:t>Le </w:t>
      </w:r>
      <w:r>
        <w:rPr>
          <w:color w:val="231F20"/>
        </w:rPr>
        <w:t>manque</w:t>
      </w:r>
      <w:r>
        <w:rPr>
          <w:color w:val="231F20"/>
          <w:spacing w:val="-2"/>
        </w:rPr>
        <w:t> </w:t>
      </w:r>
      <w:r>
        <w:rPr>
          <w:color w:val="231F20"/>
        </w:rPr>
        <w:t>d’emploi</w:t>
      </w:r>
      <w:r>
        <w:rPr>
          <w:color w:val="231F20"/>
          <w:spacing w:val="-2"/>
        </w:rPr>
        <w:t> </w:t>
      </w:r>
      <w:r>
        <w:rPr>
          <w:color w:val="231F20"/>
        </w:rPr>
        <w:t>sévit</w:t>
      </w:r>
      <w:r>
        <w:rPr>
          <w:color w:val="231F20"/>
          <w:spacing w:val="-2"/>
        </w:rPr>
        <w:t> </w:t>
      </w:r>
      <w:r>
        <w:rPr>
          <w:color w:val="231F20"/>
        </w:rPr>
        <w:t>aussi</w:t>
      </w:r>
      <w:r>
        <w:rPr>
          <w:color w:val="231F20"/>
          <w:spacing w:val="-4"/>
        </w:rPr>
        <w:t> </w:t>
      </w:r>
      <w:r>
        <w:rPr>
          <w:color w:val="231F20"/>
        </w:rPr>
        <w:t>bien</w:t>
      </w:r>
      <w:r>
        <w:rPr>
          <w:color w:val="231F20"/>
          <w:spacing w:val="-2"/>
        </w:rPr>
        <w:t> </w:t>
      </w:r>
      <w:r>
        <w:rPr>
          <w:color w:val="231F20"/>
        </w:rPr>
        <w:t>chez</w:t>
      </w:r>
      <w:r>
        <w:rPr>
          <w:color w:val="231F20"/>
          <w:spacing w:val="-4"/>
        </w:rPr>
        <w:t> </w:t>
      </w:r>
      <w:r>
        <w:rPr>
          <w:color w:val="231F20"/>
        </w:rPr>
        <w:t>les</w:t>
      </w:r>
      <w:r>
        <w:rPr>
          <w:color w:val="231F20"/>
          <w:spacing w:val="-3"/>
        </w:rPr>
        <w:t> </w:t>
      </w:r>
      <w:r>
        <w:rPr>
          <w:color w:val="231F20"/>
        </w:rPr>
        <w:t>adultes,</w:t>
      </w:r>
      <w:r>
        <w:rPr>
          <w:color w:val="231F20"/>
          <w:spacing w:val="-2"/>
        </w:rPr>
        <w:t> </w:t>
      </w:r>
      <w:r>
        <w:rPr>
          <w:color w:val="231F20"/>
        </w:rPr>
        <w:t>pères</w:t>
      </w:r>
      <w:r>
        <w:rPr>
          <w:color w:val="231F20"/>
          <w:spacing w:val="-3"/>
        </w:rPr>
        <w:t> </w:t>
      </w:r>
      <w:r>
        <w:rPr>
          <w:color w:val="231F20"/>
        </w:rPr>
        <w:t>de</w:t>
      </w:r>
      <w:r>
        <w:rPr>
          <w:color w:val="231F20"/>
          <w:spacing w:val="-3"/>
        </w:rPr>
        <w:t> </w:t>
      </w:r>
      <w:r>
        <w:rPr>
          <w:color w:val="231F20"/>
        </w:rPr>
        <w:t>famille</w:t>
      </w:r>
      <w:r>
        <w:rPr>
          <w:color w:val="231F20"/>
          <w:spacing w:val="-1"/>
        </w:rPr>
        <w:t> </w:t>
      </w:r>
      <w:r>
        <w:rPr>
          <w:color w:val="231F20"/>
        </w:rPr>
        <w:t>qui ont</w:t>
      </w:r>
      <w:r>
        <w:rPr>
          <w:color w:val="231F20"/>
          <w:spacing w:val="-11"/>
        </w:rPr>
        <w:t> </w:t>
      </w:r>
      <w:r>
        <w:rPr>
          <w:color w:val="231F20"/>
        </w:rPr>
        <w:t>perdu</w:t>
      </w:r>
      <w:r>
        <w:rPr>
          <w:color w:val="231F20"/>
          <w:spacing w:val="-11"/>
        </w:rPr>
        <w:t> </w:t>
      </w:r>
      <w:r>
        <w:rPr>
          <w:color w:val="231F20"/>
        </w:rPr>
        <w:t>le</w:t>
      </w:r>
      <w:r>
        <w:rPr>
          <w:color w:val="231F20"/>
          <w:spacing w:val="-9"/>
        </w:rPr>
        <w:t> </w:t>
      </w:r>
      <w:r>
        <w:rPr>
          <w:color w:val="231F20"/>
        </w:rPr>
        <w:t>leur</w:t>
      </w:r>
      <w:r>
        <w:rPr>
          <w:color w:val="231F20"/>
          <w:spacing w:val="-9"/>
        </w:rPr>
        <w:t> </w:t>
      </w:r>
      <w:r>
        <w:rPr>
          <w:color w:val="231F20"/>
        </w:rPr>
        <w:t>que</w:t>
      </w:r>
      <w:r>
        <w:rPr>
          <w:color w:val="231F20"/>
          <w:spacing w:val="-10"/>
        </w:rPr>
        <w:t> </w:t>
      </w:r>
      <w:r>
        <w:rPr>
          <w:color w:val="231F20"/>
        </w:rPr>
        <w:t>chez</w:t>
      </w:r>
      <w:r>
        <w:rPr>
          <w:color w:val="231F20"/>
          <w:spacing w:val="-9"/>
        </w:rPr>
        <w:t> </w:t>
      </w:r>
      <w:r>
        <w:rPr>
          <w:color w:val="231F20"/>
        </w:rPr>
        <w:t>les</w:t>
      </w:r>
      <w:r>
        <w:rPr>
          <w:color w:val="231F20"/>
          <w:spacing w:val="-11"/>
        </w:rPr>
        <w:t> </w:t>
      </w:r>
      <w:r>
        <w:rPr>
          <w:color w:val="231F20"/>
        </w:rPr>
        <w:t>jeunes</w:t>
      </w:r>
      <w:r>
        <w:rPr>
          <w:color w:val="231F20"/>
          <w:spacing w:val="-10"/>
        </w:rPr>
        <w:t> </w:t>
      </w:r>
      <w:r>
        <w:rPr>
          <w:color w:val="231F20"/>
        </w:rPr>
        <w:t>qui</w:t>
      </w:r>
      <w:r>
        <w:rPr>
          <w:color w:val="231F20"/>
          <w:spacing w:val="-9"/>
        </w:rPr>
        <w:t> </w:t>
      </w:r>
      <w:r>
        <w:rPr>
          <w:color w:val="231F20"/>
        </w:rPr>
        <w:t>ont</w:t>
      </w:r>
      <w:r>
        <w:rPr>
          <w:color w:val="231F20"/>
          <w:spacing w:val="-11"/>
        </w:rPr>
        <w:t> </w:t>
      </w:r>
      <w:r>
        <w:rPr>
          <w:color w:val="231F20"/>
        </w:rPr>
        <w:t>achevé</w:t>
      </w:r>
      <w:r>
        <w:rPr>
          <w:color w:val="231F20"/>
          <w:spacing w:val="-9"/>
        </w:rPr>
        <w:t> </w:t>
      </w:r>
      <w:r>
        <w:rPr>
          <w:color w:val="231F20"/>
        </w:rPr>
        <w:t>ou</w:t>
      </w:r>
      <w:r>
        <w:rPr>
          <w:color w:val="231F20"/>
          <w:spacing w:val="-11"/>
        </w:rPr>
        <w:t> </w:t>
      </w:r>
      <w:r>
        <w:rPr>
          <w:color w:val="231F20"/>
        </w:rPr>
        <w:t>interrompu</w:t>
      </w:r>
      <w:r>
        <w:rPr>
          <w:color w:val="231F20"/>
          <w:spacing w:val="-11"/>
        </w:rPr>
        <w:t> </w:t>
      </w:r>
      <w:r>
        <w:rPr>
          <w:color w:val="231F20"/>
        </w:rPr>
        <w:t>leurs </w:t>
      </w:r>
      <w:r>
        <w:rPr>
          <w:color w:val="231F20"/>
          <w:spacing w:val="-2"/>
        </w:rPr>
        <w:t>études.</w:t>
      </w:r>
    </w:p>
    <w:p>
      <w:pPr>
        <w:spacing w:before="121"/>
        <w:ind w:left="111" w:right="105" w:firstLine="283"/>
        <w:jc w:val="both"/>
        <w:rPr>
          <w:sz w:val="28"/>
        </w:rPr>
      </w:pPr>
      <w:r>
        <w:rPr>
          <w:color w:val="231F20"/>
          <w:sz w:val="24"/>
        </w:rPr>
        <w:t>La</w:t>
      </w:r>
      <w:r>
        <w:rPr>
          <w:color w:val="231F20"/>
          <w:spacing w:val="-11"/>
          <w:sz w:val="24"/>
        </w:rPr>
        <w:t> </w:t>
      </w:r>
      <w:r>
        <w:rPr>
          <w:color w:val="231F20"/>
          <w:sz w:val="24"/>
        </w:rPr>
        <w:t>relative</w:t>
      </w:r>
      <w:r>
        <w:rPr>
          <w:color w:val="231F20"/>
          <w:spacing w:val="-11"/>
          <w:sz w:val="24"/>
        </w:rPr>
        <w:t> </w:t>
      </w:r>
      <w:r>
        <w:rPr>
          <w:color w:val="231F20"/>
          <w:sz w:val="24"/>
        </w:rPr>
        <w:t>prospérité</w:t>
      </w:r>
      <w:r>
        <w:rPr>
          <w:color w:val="231F20"/>
          <w:spacing w:val="-11"/>
          <w:sz w:val="24"/>
        </w:rPr>
        <w:t> </w:t>
      </w:r>
      <w:r>
        <w:rPr>
          <w:color w:val="231F20"/>
          <w:sz w:val="24"/>
        </w:rPr>
        <w:t>économique</w:t>
      </w:r>
      <w:r>
        <w:rPr>
          <w:color w:val="231F20"/>
          <w:spacing w:val="-13"/>
          <w:sz w:val="24"/>
        </w:rPr>
        <w:t> </w:t>
      </w:r>
      <w:r>
        <w:rPr>
          <w:color w:val="231F20"/>
          <w:sz w:val="24"/>
        </w:rPr>
        <w:t>du</w:t>
      </w:r>
      <w:r>
        <w:rPr>
          <w:color w:val="231F20"/>
          <w:spacing w:val="-13"/>
          <w:sz w:val="24"/>
        </w:rPr>
        <w:t> </w:t>
      </w:r>
      <w:r>
        <w:rPr>
          <w:color w:val="231F20"/>
          <w:sz w:val="24"/>
        </w:rPr>
        <w:t>pays</w:t>
      </w:r>
      <w:r>
        <w:rPr>
          <w:color w:val="231F20"/>
          <w:spacing w:val="-11"/>
          <w:sz w:val="24"/>
        </w:rPr>
        <w:t> </w:t>
      </w:r>
      <w:r>
        <w:rPr>
          <w:color w:val="231F20"/>
          <w:sz w:val="24"/>
        </w:rPr>
        <w:t>avait</w:t>
      </w:r>
      <w:r>
        <w:rPr>
          <w:color w:val="231F20"/>
          <w:spacing w:val="-13"/>
          <w:sz w:val="24"/>
        </w:rPr>
        <w:t> </w:t>
      </w:r>
      <w:r>
        <w:rPr>
          <w:color w:val="231F20"/>
          <w:sz w:val="24"/>
        </w:rPr>
        <w:t>voilé</w:t>
      </w:r>
      <w:r>
        <w:rPr>
          <w:color w:val="231F20"/>
          <w:spacing w:val="-13"/>
          <w:sz w:val="24"/>
        </w:rPr>
        <w:t> </w:t>
      </w:r>
      <w:r>
        <w:rPr>
          <w:color w:val="231F20"/>
          <w:sz w:val="24"/>
        </w:rPr>
        <w:t>les</w:t>
      </w:r>
      <w:r>
        <w:rPr>
          <w:color w:val="231F20"/>
          <w:spacing w:val="-13"/>
          <w:sz w:val="24"/>
        </w:rPr>
        <w:t> </w:t>
      </w:r>
      <w:r>
        <w:rPr>
          <w:color w:val="231F20"/>
          <w:sz w:val="24"/>
        </w:rPr>
        <w:t>problèmes. L</w:t>
      </w:r>
      <w:r>
        <w:rPr>
          <w:color w:val="231F20"/>
          <w:sz w:val="28"/>
        </w:rPr>
        <w:t>a</w:t>
      </w:r>
      <w:r>
        <w:rPr>
          <w:color w:val="231F20"/>
          <w:spacing w:val="-18"/>
          <w:sz w:val="28"/>
        </w:rPr>
        <w:t> </w:t>
      </w:r>
      <w:r>
        <w:rPr>
          <w:color w:val="231F20"/>
          <w:sz w:val="28"/>
        </w:rPr>
        <w:t>crise</w:t>
      </w:r>
      <w:r>
        <w:rPr>
          <w:color w:val="231F20"/>
          <w:spacing w:val="-17"/>
          <w:sz w:val="28"/>
        </w:rPr>
        <w:t> </w:t>
      </w:r>
      <w:r>
        <w:rPr>
          <w:color w:val="231F20"/>
          <w:sz w:val="28"/>
        </w:rPr>
        <w:t>économique</w:t>
      </w:r>
      <w:r>
        <w:rPr>
          <w:color w:val="231F20"/>
          <w:spacing w:val="-18"/>
          <w:sz w:val="28"/>
        </w:rPr>
        <w:t> </w:t>
      </w:r>
      <w:r>
        <w:rPr>
          <w:color w:val="231F20"/>
          <w:sz w:val="28"/>
        </w:rPr>
        <w:t>avec</w:t>
      </w:r>
      <w:r>
        <w:rPr>
          <w:color w:val="231F20"/>
          <w:spacing w:val="-17"/>
          <w:sz w:val="28"/>
        </w:rPr>
        <w:t> </w:t>
      </w:r>
      <w:r>
        <w:rPr>
          <w:color w:val="231F20"/>
          <w:sz w:val="28"/>
        </w:rPr>
        <w:t>son</w:t>
      </w:r>
      <w:r>
        <w:rPr>
          <w:color w:val="231F20"/>
          <w:spacing w:val="-18"/>
          <w:sz w:val="28"/>
        </w:rPr>
        <w:t> </w:t>
      </w:r>
      <w:r>
        <w:rPr>
          <w:color w:val="231F20"/>
          <w:sz w:val="28"/>
        </w:rPr>
        <w:t>cortège</w:t>
      </w:r>
      <w:r>
        <w:rPr>
          <w:color w:val="231F20"/>
          <w:spacing w:val="-17"/>
          <w:sz w:val="28"/>
        </w:rPr>
        <w:t> </w:t>
      </w:r>
      <w:r>
        <w:rPr>
          <w:color w:val="231F20"/>
          <w:sz w:val="28"/>
        </w:rPr>
        <w:t>de</w:t>
      </w:r>
      <w:r>
        <w:rPr>
          <w:color w:val="231F20"/>
          <w:spacing w:val="-18"/>
          <w:sz w:val="28"/>
        </w:rPr>
        <w:t> </w:t>
      </w:r>
      <w:r>
        <w:rPr>
          <w:color w:val="231F20"/>
          <w:sz w:val="28"/>
        </w:rPr>
        <w:t>misère</w:t>
      </w:r>
      <w:r>
        <w:rPr>
          <w:color w:val="231F20"/>
          <w:spacing w:val="-17"/>
          <w:sz w:val="28"/>
        </w:rPr>
        <w:t> </w:t>
      </w:r>
      <w:r>
        <w:rPr>
          <w:color w:val="231F20"/>
          <w:sz w:val="28"/>
        </w:rPr>
        <w:t>va</w:t>
      </w:r>
      <w:r>
        <w:rPr>
          <w:color w:val="231F20"/>
          <w:spacing w:val="-18"/>
          <w:sz w:val="28"/>
        </w:rPr>
        <w:t> </w:t>
      </w:r>
      <w:r>
        <w:rPr>
          <w:color w:val="231F20"/>
          <w:sz w:val="28"/>
        </w:rPr>
        <w:t>provoquer une</w:t>
      </w:r>
      <w:r>
        <w:rPr>
          <w:color w:val="231F20"/>
          <w:spacing w:val="-3"/>
          <w:sz w:val="28"/>
        </w:rPr>
        <w:t> </w:t>
      </w:r>
      <w:r>
        <w:rPr>
          <w:color w:val="231F20"/>
          <w:sz w:val="28"/>
        </w:rPr>
        <w:t>remise</w:t>
      </w:r>
      <w:r>
        <w:rPr>
          <w:color w:val="231F20"/>
          <w:spacing w:val="-3"/>
          <w:sz w:val="28"/>
        </w:rPr>
        <w:t> </w:t>
      </w:r>
      <w:r>
        <w:rPr>
          <w:color w:val="231F20"/>
          <w:sz w:val="28"/>
        </w:rPr>
        <w:t>en</w:t>
      </w:r>
      <w:r>
        <w:rPr>
          <w:color w:val="231F20"/>
          <w:spacing w:val="-3"/>
          <w:sz w:val="28"/>
        </w:rPr>
        <w:t> </w:t>
      </w:r>
      <w:r>
        <w:rPr>
          <w:color w:val="231F20"/>
          <w:sz w:val="28"/>
        </w:rPr>
        <w:t>cause</w:t>
      </w:r>
      <w:r>
        <w:rPr>
          <w:color w:val="231F20"/>
          <w:spacing w:val="-3"/>
          <w:sz w:val="28"/>
        </w:rPr>
        <w:t> </w:t>
      </w:r>
      <w:r>
        <w:rPr>
          <w:color w:val="231F20"/>
          <w:sz w:val="28"/>
        </w:rPr>
        <w:t>sérieuse</w:t>
      </w:r>
      <w:r>
        <w:rPr>
          <w:color w:val="231F20"/>
          <w:spacing w:val="-3"/>
          <w:sz w:val="28"/>
        </w:rPr>
        <w:t> </w:t>
      </w:r>
      <w:r>
        <w:rPr>
          <w:color w:val="231F20"/>
          <w:sz w:val="28"/>
        </w:rPr>
        <w:t>de</w:t>
      </w:r>
      <w:r>
        <w:rPr>
          <w:color w:val="231F20"/>
          <w:spacing w:val="-3"/>
          <w:sz w:val="28"/>
        </w:rPr>
        <w:t> </w:t>
      </w:r>
      <w:r>
        <w:rPr>
          <w:color w:val="231F20"/>
          <w:sz w:val="28"/>
        </w:rPr>
        <w:t>la</w:t>
      </w:r>
      <w:r>
        <w:rPr>
          <w:color w:val="231F20"/>
          <w:spacing w:val="-3"/>
          <w:sz w:val="28"/>
        </w:rPr>
        <w:t> </w:t>
      </w:r>
      <w:r>
        <w:rPr>
          <w:color w:val="231F20"/>
          <w:sz w:val="28"/>
        </w:rPr>
        <w:t>société</w:t>
      </w:r>
      <w:r>
        <w:rPr>
          <w:color w:val="231F20"/>
          <w:spacing w:val="-3"/>
          <w:sz w:val="28"/>
        </w:rPr>
        <w:t> </w:t>
      </w:r>
      <w:r>
        <w:rPr>
          <w:color w:val="231F20"/>
          <w:sz w:val="28"/>
        </w:rPr>
        <w:t>ivoirienne,</w:t>
      </w:r>
      <w:r>
        <w:rPr>
          <w:color w:val="231F20"/>
          <w:spacing w:val="-4"/>
          <w:sz w:val="28"/>
        </w:rPr>
        <w:t> </w:t>
      </w:r>
      <w:r>
        <w:rPr>
          <w:color w:val="231F20"/>
          <w:sz w:val="28"/>
        </w:rPr>
        <w:t>surtout au double plan social et politique.</w:t>
      </w:r>
    </w:p>
    <w:p>
      <w:pPr>
        <w:pStyle w:val="BodyText"/>
        <w:spacing w:before="241"/>
        <w:ind w:left="0"/>
        <w:jc w:val="left"/>
        <w:rPr>
          <w:sz w:val="28"/>
        </w:rPr>
      </w:pPr>
    </w:p>
    <w:p>
      <w:pPr>
        <w:pStyle w:val="Heading3"/>
        <w:spacing w:before="1"/>
        <w:jc w:val="left"/>
        <w:rPr>
          <w:i/>
        </w:rPr>
      </w:pPr>
      <w:bookmarkStart w:name="_TOC_250024" w:id="19"/>
      <w:r>
        <w:rPr>
          <w:i/>
          <w:color w:val="231F20"/>
        </w:rPr>
        <w:t>La</w:t>
      </w:r>
      <w:r>
        <w:rPr>
          <w:i/>
          <w:color w:val="231F20"/>
          <w:spacing w:val="-14"/>
        </w:rPr>
        <w:t> </w:t>
      </w:r>
      <w:r>
        <w:rPr>
          <w:i/>
          <w:color w:val="231F20"/>
        </w:rPr>
        <w:t>crise</w:t>
      </w:r>
      <w:r>
        <w:rPr>
          <w:i/>
          <w:color w:val="231F20"/>
          <w:spacing w:val="-12"/>
        </w:rPr>
        <w:t> </w:t>
      </w:r>
      <w:r>
        <w:rPr>
          <w:i/>
          <w:color w:val="231F20"/>
        </w:rPr>
        <w:t>de</w:t>
      </w:r>
      <w:r>
        <w:rPr>
          <w:i/>
          <w:color w:val="231F20"/>
          <w:spacing w:val="-12"/>
        </w:rPr>
        <w:t> </w:t>
      </w:r>
      <w:bookmarkEnd w:id="19"/>
      <w:r>
        <w:rPr>
          <w:i/>
          <w:color w:val="231F20"/>
          <w:spacing w:val="-2"/>
        </w:rPr>
        <w:t>l’École</w:t>
      </w:r>
    </w:p>
    <w:p>
      <w:pPr>
        <w:pStyle w:val="BodyText"/>
        <w:spacing w:before="253"/>
        <w:ind w:right="102" w:firstLine="283"/>
      </w:pPr>
      <w:r>
        <w:rPr>
          <w:color w:val="231F20"/>
        </w:rPr>
        <w:t>La</w:t>
      </w:r>
      <w:r>
        <w:rPr>
          <w:color w:val="231F20"/>
          <w:spacing w:val="-11"/>
        </w:rPr>
        <w:t> </w:t>
      </w:r>
      <w:r>
        <w:rPr>
          <w:color w:val="231F20"/>
        </w:rPr>
        <w:t>Côte</w:t>
      </w:r>
      <w:r>
        <w:rPr>
          <w:color w:val="231F20"/>
          <w:spacing w:val="-13"/>
        </w:rPr>
        <w:t> </w:t>
      </w:r>
      <w:r>
        <w:rPr>
          <w:color w:val="231F20"/>
        </w:rPr>
        <w:t>d’Ivoire</w:t>
      </w:r>
      <w:r>
        <w:rPr>
          <w:color w:val="231F20"/>
          <w:spacing w:val="-11"/>
        </w:rPr>
        <w:t> </w:t>
      </w:r>
      <w:r>
        <w:rPr>
          <w:color w:val="231F20"/>
        </w:rPr>
        <w:t>avait</w:t>
      </w:r>
      <w:r>
        <w:rPr>
          <w:color w:val="231F20"/>
          <w:spacing w:val="-11"/>
        </w:rPr>
        <w:t> </w:t>
      </w:r>
      <w:r>
        <w:rPr>
          <w:color w:val="231F20"/>
        </w:rPr>
        <w:t>dès</w:t>
      </w:r>
      <w:r>
        <w:rPr>
          <w:color w:val="231F20"/>
          <w:spacing w:val="-11"/>
        </w:rPr>
        <w:t> </w:t>
      </w:r>
      <w:r>
        <w:rPr>
          <w:color w:val="231F20"/>
        </w:rPr>
        <w:t>l'indépendance</w:t>
      </w:r>
      <w:r>
        <w:rPr>
          <w:color w:val="231F20"/>
          <w:spacing w:val="-13"/>
        </w:rPr>
        <w:t> </w:t>
      </w:r>
      <w:r>
        <w:rPr>
          <w:color w:val="231F20"/>
        </w:rPr>
        <w:t>du</w:t>
      </w:r>
      <w:r>
        <w:rPr>
          <w:color w:val="231F20"/>
          <w:spacing w:val="-13"/>
        </w:rPr>
        <w:t> </w:t>
      </w:r>
      <w:r>
        <w:rPr>
          <w:color w:val="231F20"/>
        </w:rPr>
        <w:t>pays,</w:t>
      </w:r>
      <w:r>
        <w:rPr>
          <w:color w:val="231F20"/>
          <w:spacing w:val="-13"/>
        </w:rPr>
        <w:t> </w:t>
      </w:r>
      <w:r>
        <w:rPr>
          <w:color w:val="231F20"/>
        </w:rPr>
        <w:t>placé</w:t>
      </w:r>
      <w:r>
        <w:rPr>
          <w:color w:val="231F20"/>
          <w:spacing w:val="-13"/>
        </w:rPr>
        <w:t> </w:t>
      </w:r>
      <w:r>
        <w:rPr>
          <w:color w:val="231F20"/>
        </w:rPr>
        <w:t>l’Éducation </w:t>
      </w:r>
      <w:r>
        <w:rPr>
          <w:color w:val="231F20"/>
          <w:spacing w:val="-2"/>
        </w:rPr>
        <w:t>nationale</w:t>
      </w:r>
      <w:r>
        <w:rPr>
          <w:color w:val="231F20"/>
          <w:spacing w:val="-13"/>
        </w:rPr>
        <w:t> </w:t>
      </w:r>
      <w:r>
        <w:rPr>
          <w:color w:val="231F20"/>
          <w:spacing w:val="-2"/>
        </w:rPr>
        <w:t>au</w:t>
      </w:r>
      <w:r>
        <w:rPr>
          <w:color w:val="231F20"/>
          <w:spacing w:val="-13"/>
        </w:rPr>
        <w:t> </w:t>
      </w:r>
      <w:r>
        <w:rPr>
          <w:color w:val="231F20"/>
          <w:spacing w:val="-2"/>
        </w:rPr>
        <w:t>rang</w:t>
      </w:r>
      <w:r>
        <w:rPr>
          <w:color w:val="231F20"/>
          <w:spacing w:val="-13"/>
        </w:rPr>
        <w:t> </w:t>
      </w:r>
      <w:r>
        <w:rPr>
          <w:color w:val="231F20"/>
          <w:spacing w:val="-2"/>
        </w:rPr>
        <w:t>des</w:t>
      </w:r>
      <w:r>
        <w:rPr>
          <w:color w:val="231F20"/>
          <w:spacing w:val="-13"/>
        </w:rPr>
        <w:t> </w:t>
      </w:r>
      <w:r>
        <w:rPr>
          <w:color w:val="231F20"/>
          <w:spacing w:val="-2"/>
        </w:rPr>
        <w:t>priorités</w:t>
      </w:r>
      <w:r>
        <w:rPr>
          <w:color w:val="231F20"/>
          <w:spacing w:val="-13"/>
        </w:rPr>
        <w:t> </w:t>
      </w:r>
      <w:r>
        <w:rPr>
          <w:color w:val="231F20"/>
          <w:spacing w:val="-2"/>
        </w:rPr>
        <w:t>et</w:t>
      </w:r>
      <w:r>
        <w:rPr>
          <w:color w:val="231F20"/>
          <w:spacing w:val="-13"/>
        </w:rPr>
        <w:t> </w:t>
      </w:r>
      <w:r>
        <w:rPr>
          <w:color w:val="231F20"/>
          <w:spacing w:val="-2"/>
        </w:rPr>
        <w:t>affiché</w:t>
      </w:r>
      <w:r>
        <w:rPr>
          <w:color w:val="231F20"/>
          <w:spacing w:val="-13"/>
        </w:rPr>
        <w:t> </w:t>
      </w:r>
      <w:r>
        <w:rPr>
          <w:color w:val="231F20"/>
          <w:spacing w:val="-2"/>
        </w:rPr>
        <w:t>sa</w:t>
      </w:r>
      <w:r>
        <w:rPr>
          <w:color w:val="231F20"/>
          <w:spacing w:val="-13"/>
        </w:rPr>
        <w:t> </w:t>
      </w:r>
      <w:r>
        <w:rPr>
          <w:color w:val="231F20"/>
          <w:spacing w:val="-2"/>
        </w:rPr>
        <w:t>volonté</w:t>
      </w:r>
      <w:r>
        <w:rPr>
          <w:color w:val="231F20"/>
          <w:spacing w:val="-13"/>
        </w:rPr>
        <w:t> </w:t>
      </w:r>
      <w:r>
        <w:rPr>
          <w:color w:val="231F20"/>
          <w:spacing w:val="-2"/>
        </w:rPr>
        <w:t>de</w:t>
      </w:r>
      <w:r>
        <w:rPr>
          <w:color w:val="231F20"/>
          <w:spacing w:val="-11"/>
        </w:rPr>
        <w:t> </w:t>
      </w:r>
      <w:r>
        <w:rPr>
          <w:color w:val="231F20"/>
          <w:spacing w:val="-2"/>
        </w:rPr>
        <w:t>scolariser</w:t>
      </w:r>
      <w:r>
        <w:rPr>
          <w:color w:val="231F20"/>
          <w:spacing w:val="-12"/>
        </w:rPr>
        <w:t> </w:t>
      </w:r>
      <w:r>
        <w:rPr>
          <w:color w:val="231F20"/>
          <w:spacing w:val="-2"/>
        </w:rPr>
        <w:t>à</w:t>
      </w:r>
      <w:r>
        <w:rPr>
          <w:color w:val="231F20"/>
          <w:spacing w:val="-13"/>
        </w:rPr>
        <w:t> </w:t>
      </w:r>
      <w:r>
        <w:rPr>
          <w:color w:val="231F20"/>
          <w:spacing w:val="-2"/>
        </w:rPr>
        <w:t>100</w:t>
      </w:r>
      <w:r>
        <w:rPr>
          <w:color w:val="231F20"/>
          <w:spacing w:val="-10"/>
        </w:rPr>
        <w:t> </w:t>
      </w:r>
      <w:r>
        <w:rPr>
          <w:color w:val="231F20"/>
          <w:spacing w:val="-2"/>
        </w:rPr>
        <w:t>%, </w:t>
      </w:r>
      <w:r>
        <w:rPr>
          <w:color w:val="231F20"/>
        </w:rPr>
        <w:t>les enfants du pays. Dans cette perspective, elle institutionnalise la gratuité</w:t>
      </w:r>
      <w:r>
        <w:rPr>
          <w:color w:val="231F20"/>
          <w:spacing w:val="-12"/>
        </w:rPr>
        <w:t> </w:t>
      </w:r>
      <w:r>
        <w:rPr>
          <w:color w:val="231F20"/>
        </w:rPr>
        <w:t>de</w:t>
      </w:r>
      <w:r>
        <w:rPr>
          <w:color w:val="231F20"/>
          <w:spacing w:val="-8"/>
        </w:rPr>
        <w:t> </w:t>
      </w:r>
      <w:r>
        <w:rPr>
          <w:color w:val="231F20"/>
        </w:rPr>
        <w:t>l’école</w:t>
      </w:r>
      <w:r>
        <w:rPr>
          <w:color w:val="231F20"/>
          <w:spacing w:val="-8"/>
        </w:rPr>
        <w:t> </w:t>
      </w:r>
      <w:r>
        <w:rPr>
          <w:color w:val="231F20"/>
        </w:rPr>
        <w:t>depuis</w:t>
      </w:r>
      <w:r>
        <w:rPr>
          <w:color w:val="231F20"/>
          <w:spacing w:val="-11"/>
        </w:rPr>
        <w:t> </w:t>
      </w:r>
      <w:r>
        <w:rPr>
          <w:color w:val="231F20"/>
        </w:rPr>
        <w:t>la</w:t>
      </w:r>
      <w:r>
        <w:rPr>
          <w:color w:val="231F20"/>
          <w:spacing w:val="-8"/>
        </w:rPr>
        <w:t> </w:t>
      </w:r>
      <w:r>
        <w:rPr>
          <w:color w:val="231F20"/>
        </w:rPr>
        <w:t>classe</w:t>
      </w:r>
      <w:r>
        <w:rPr>
          <w:color w:val="231F20"/>
          <w:spacing w:val="-8"/>
        </w:rPr>
        <w:t> </w:t>
      </w:r>
      <w:r>
        <w:rPr>
          <w:color w:val="231F20"/>
        </w:rPr>
        <w:t>de</w:t>
      </w:r>
      <w:r>
        <w:rPr>
          <w:color w:val="231F20"/>
          <w:spacing w:val="-8"/>
        </w:rPr>
        <w:t> </w:t>
      </w:r>
      <w:r>
        <w:rPr>
          <w:color w:val="231F20"/>
        </w:rPr>
        <w:t>CP1</w:t>
      </w:r>
      <w:r>
        <w:rPr>
          <w:color w:val="231F20"/>
          <w:spacing w:val="-15"/>
        </w:rPr>
        <w:t> </w:t>
      </w:r>
      <w:r>
        <w:rPr>
          <w:color w:val="231F20"/>
        </w:rPr>
        <w:t>jusqu’à</w:t>
      </w:r>
      <w:r>
        <w:rPr>
          <w:color w:val="231F20"/>
          <w:spacing w:val="-8"/>
        </w:rPr>
        <w:t> </w:t>
      </w:r>
      <w:r>
        <w:rPr>
          <w:color w:val="231F20"/>
        </w:rPr>
        <w:t>celle</w:t>
      </w:r>
      <w:r>
        <w:rPr>
          <w:color w:val="231F20"/>
          <w:spacing w:val="-8"/>
        </w:rPr>
        <w:t> </w:t>
      </w:r>
      <w:r>
        <w:rPr>
          <w:color w:val="231F20"/>
        </w:rPr>
        <w:t>de</w:t>
      </w:r>
      <w:r>
        <w:rPr>
          <w:color w:val="231F20"/>
          <w:spacing w:val="-15"/>
        </w:rPr>
        <w:t> </w:t>
      </w:r>
      <w:r>
        <w:rPr>
          <w:color w:val="231F20"/>
        </w:rPr>
        <w:t>3</w:t>
      </w:r>
      <w:r>
        <w:rPr>
          <w:color w:val="231F20"/>
          <w:vertAlign w:val="superscript"/>
        </w:rPr>
        <w:t>ème</w:t>
      </w:r>
      <w:r>
        <w:rPr>
          <w:color w:val="231F20"/>
          <w:spacing w:val="-8"/>
          <w:vertAlign w:val="baseline"/>
        </w:rPr>
        <w:t> </w:t>
      </w:r>
      <w:r>
        <w:rPr>
          <w:color w:val="231F20"/>
          <w:vertAlign w:val="baseline"/>
        </w:rPr>
        <w:t>donnant gratuitement les livres scolaires</w:t>
      </w:r>
      <w:r>
        <w:rPr>
          <w:color w:val="231F20"/>
          <w:spacing w:val="-15"/>
          <w:vertAlign w:val="baseline"/>
        </w:rPr>
        <w:t> </w:t>
      </w:r>
      <w:r>
        <w:rPr>
          <w:color w:val="231F20"/>
          <w:vertAlign w:val="baseline"/>
        </w:rPr>
        <w:t>; tous les enseignants bénéficient d’un logement</w:t>
      </w:r>
      <w:r>
        <w:rPr>
          <w:color w:val="231F20"/>
          <w:spacing w:val="-7"/>
          <w:vertAlign w:val="baseline"/>
        </w:rPr>
        <w:t> </w:t>
      </w:r>
      <w:r>
        <w:rPr>
          <w:color w:val="231F20"/>
          <w:vertAlign w:val="baseline"/>
        </w:rPr>
        <w:t>gratuit,</w:t>
      </w:r>
      <w:r>
        <w:rPr>
          <w:color w:val="231F20"/>
          <w:spacing w:val="-7"/>
          <w:vertAlign w:val="baseline"/>
        </w:rPr>
        <w:t> </w:t>
      </w:r>
      <w:r>
        <w:rPr>
          <w:color w:val="231F20"/>
          <w:vertAlign w:val="baseline"/>
        </w:rPr>
        <w:t>meublé</w:t>
      </w:r>
      <w:r>
        <w:rPr>
          <w:color w:val="231F20"/>
          <w:spacing w:val="-8"/>
          <w:vertAlign w:val="baseline"/>
        </w:rPr>
        <w:t> </w:t>
      </w:r>
      <w:r>
        <w:rPr>
          <w:color w:val="231F20"/>
          <w:vertAlign w:val="baseline"/>
        </w:rPr>
        <w:t>et</w:t>
      </w:r>
      <w:r>
        <w:rPr>
          <w:color w:val="231F20"/>
          <w:spacing w:val="-5"/>
          <w:vertAlign w:val="baseline"/>
        </w:rPr>
        <w:t> </w:t>
      </w:r>
      <w:r>
        <w:rPr>
          <w:color w:val="231F20"/>
          <w:vertAlign w:val="baseline"/>
        </w:rPr>
        <w:t>de</w:t>
      </w:r>
      <w:r>
        <w:rPr>
          <w:color w:val="231F20"/>
          <w:spacing w:val="-6"/>
          <w:vertAlign w:val="baseline"/>
        </w:rPr>
        <w:t> </w:t>
      </w:r>
      <w:r>
        <w:rPr>
          <w:color w:val="231F20"/>
          <w:vertAlign w:val="baseline"/>
        </w:rPr>
        <w:t>standing</w:t>
      </w:r>
      <w:r>
        <w:rPr>
          <w:color w:val="231F20"/>
          <w:spacing w:val="-15"/>
          <w:vertAlign w:val="baseline"/>
        </w:rPr>
        <w:t> </w:t>
      </w:r>
      <w:r>
        <w:rPr>
          <w:color w:val="231F20"/>
          <w:vertAlign w:val="baseline"/>
        </w:rPr>
        <w:t>;</w:t>
      </w:r>
      <w:r>
        <w:rPr>
          <w:color w:val="231F20"/>
          <w:spacing w:val="-7"/>
          <w:vertAlign w:val="baseline"/>
        </w:rPr>
        <w:t> </w:t>
      </w:r>
      <w:r>
        <w:rPr>
          <w:color w:val="231F20"/>
          <w:vertAlign w:val="baseline"/>
        </w:rPr>
        <w:t>ils</w:t>
      </w:r>
      <w:r>
        <w:rPr>
          <w:color w:val="231F20"/>
          <w:spacing w:val="-7"/>
          <w:vertAlign w:val="baseline"/>
        </w:rPr>
        <w:t> </w:t>
      </w:r>
      <w:r>
        <w:rPr>
          <w:color w:val="231F20"/>
          <w:vertAlign w:val="baseline"/>
        </w:rPr>
        <w:t>ont</w:t>
      </w:r>
      <w:r>
        <w:rPr>
          <w:color w:val="231F20"/>
          <w:spacing w:val="-4"/>
          <w:vertAlign w:val="baseline"/>
        </w:rPr>
        <w:t> </w:t>
      </w:r>
      <w:r>
        <w:rPr>
          <w:color w:val="231F20"/>
          <w:vertAlign w:val="baseline"/>
        </w:rPr>
        <w:t>pratiquement</w:t>
      </w:r>
      <w:r>
        <w:rPr>
          <w:color w:val="231F20"/>
          <w:spacing w:val="-8"/>
          <w:vertAlign w:val="baseline"/>
        </w:rPr>
        <w:t> </w:t>
      </w:r>
      <w:r>
        <w:rPr>
          <w:color w:val="231F20"/>
          <w:vertAlign w:val="baseline"/>
        </w:rPr>
        <w:t>le</w:t>
      </w:r>
      <w:r>
        <w:rPr>
          <w:color w:val="231F20"/>
          <w:spacing w:val="-6"/>
          <w:vertAlign w:val="baseline"/>
        </w:rPr>
        <w:t> </w:t>
      </w:r>
      <w:r>
        <w:rPr>
          <w:color w:val="231F20"/>
          <w:vertAlign w:val="baseline"/>
        </w:rPr>
        <w:t>double </w:t>
      </w:r>
      <w:r>
        <w:rPr>
          <w:color w:val="231F20"/>
          <w:spacing w:val="-2"/>
          <w:vertAlign w:val="baseline"/>
        </w:rPr>
        <w:t>du</w:t>
      </w:r>
      <w:r>
        <w:rPr>
          <w:color w:val="231F20"/>
          <w:spacing w:val="-5"/>
          <w:vertAlign w:val="baseline"/>
        </w:rPr>
        <w:t> </w:t>
      </w:r>
      <w:r>
        <w:rPr>
          <w:color w:val="231F20"/>
          <w:spacing w:val="-2"/>
          <w:vertAlign w:val="baseline"/>
        </w:rPr>
        <w:t>salaire</w:t>
      </w:r>
      <w:r>
        <w:rPr>
          <w:color w:val="231F20"/>
          <w:spacing w:val="-5"/>
          <w:vertAlign w:val="baseline"/>
        </w:rPr>
        <w:t> </w:t>
      </w:r>
      <w:r>
        <w:rPr>
          <w:color w:val="231F20"/>
          <w:spacing w:val="-2"/>
          <w:vertAlign w:val="baseline"/>
        </w:rPr>
        <w:t>des</w:t>
      </w:r>
      <w:r>
        <w:rPr>
          <w:color w:val="231F20"/>
          <w:spacing w:val="-4"/>
          <w:vertAlign w:val="baseline"/>
        </w:rPr>
        <w:t> </w:t>
      </w:r>
      <w:r>
        <w:rPr>
          <w:color w:val="231F20"/>
          <w:spacing w:val="-2"/>
          <w:vertAlign w:val="baseline"/>
        </w:rPr>
        <w:t>autres</w:t>
      </w:r>
      <w:r>
        <w:rPr>
          <w:color w:val="231F20"/>
          <w:spacing w:val="-6"/>
          <w:vertAlign w:val="baseline"/>
        </w:rPr>
        <w:t> </w:t>
      </w:r>
      <w:r>
        <w:rPr>
          <w:color w:val="231F20"/>
          <w:spacing w:val="-2"/>
          <w:vertAlign w:val="baseline"/>
        </w:rPr>
        <w:t>fonctionnaires</w:t>
      </w:r>
      <w:r>
        <w:rPr>
          <w:color w:val="231F20"/>
          <w:spacing w:val="-6"/>
          <w:vertAlign w:val="baseline"/>
        </w:rPr>
        <w:t> </w:t>
      </w:r>
      <w:r>
        <w:rPr>
          <w:color w:val="231F20"/>
          <w:spacing w:val="-2"/>
          <w:vertAlign w:val="baseline"/>
        </w:rPr>
        <w:t>ayant</w:t>
      </w:r>
      <w:r>
        <w:rPr>
          <w:color w:val="231F20"/>
          <w:spacing w:val="-7"/>
          <w:vertAlign w:val="baseline"/>
        </w:rPr>
        <w:t> </w:t>
      </w:r>
      <w:r>
        <w:rPr>
          <w:color w:val="231F20"/>
          <w:spacing w:val="-2"/>
          <w:vertAlign w:val="baseline"/>
        </w:rPr>
        <w:t>le</w:t>
      </w:r>
      <w:r>
        <w:rPr>
          <w:color w:val="231F20"/>
          <w:spacing w:val="-6"/>
          <w:vertAlign w:val="baseline"/>
        </w:rPr>
        <w:t> </w:t>
      </w:r>
      <w:r>
        <w:rPr>
          <w:color w:val="231F20"/>
          <w:spacing w:val="-2"/>
          <w:vertAlign w:val="baseline"/>
        </w:rPr>
        <w:t>même</w:t>
      </w:r>
      <w:r>
        <w:rPr>
          <w:color w:val="231F20"/>
          <w:spacing w:val="-7"/>
          <w:vertAlign w:val="baseline"/>
        </w:rPr>
        <w:t> </w:t>
      </w:r>
      <w:r>
        <w:rPr>
          <w:color w:val="231F20"/>
          <w:spacing w:val="-2"/>
          <w:vertAlign w:val="baseline"/>
        </w:rPr>
        <w:t>diplôme</w:t>
      </w:r>
      <w:r>
        <w:rPr>
          <w:color w:val="231F20"/>
          <w:spacing w:val="-6"/>
          <w:vertAlign w:val="baseline"/>
        </w:rPr>
        <w:t> </w:t>
      </w:r>
      <w:r>
        <w:rPr>
          <w:color w:val="231F20"/>
          <w:spacing w:val="-2"/>
          <w:vertAlign w:val="baseline"/>
        </w:rPr>
        <w:t>académique. </w:t>
      </w:r>
      <w:r>
        <w:rPr>
          <w:color w:val="231F20"/>
          <w:vertAlign w:val="baseline"/>
        </w:rPr>
        <w:t>L’État attribue un grand nombre de bourses d’étude aussi bien à </w:t>
      </w:r>
      <w:r>
        <w:rPr>
          <w:color w:val="231F20"/>
          <w:spacing w:val="-4"/>
          <w:vertAlign w:val="baseline"/>
        </w:rPr>
        <w:t>l’université</w:t>
      </w:r>
      <w:r>
        <w:rPr>
          <w:color w:val="231F20"/>
          <w:spacing w:val="-11"/>
          <w:vertAlign w:val="baseline"/>
        </w:rPr>
        <w:t> </w:t>
      </w:r>
      <w:r>
        <w:rPr>
          <w:color w:val="231F20"/>
          <w:spacing w:val="-4"/>
          <w:vertAlign w:val="baseline"/>
        </w:rPr>
        <w:t>qu’au</w:t>
      </w:r>
      <w:r>
        <w:rPr>
          <w:color w:val="231F20"/>
          <w:spacing w:val="-9"/>
          <w:vertAlign w:val="baseline"/>
        </w:rPr>
        <w:t> </w:t>
      </w:r>
      <w:r>
        <w:rPr>
          <w:color w:val="231F20"/>
          <w:spacing w:val="-4"/>
          <w:vertAlign w:val="baseline"/>
        </w:rPr>
        <w:t>secondaire.</w:t>
      </w:r>
      <w:r>
        <w:rPr>
          <w:color w:val="231F20"/>
          <w:spacing w:val="-9"/>
          <w:vertAlign w:val="baseline"/>
        </w:rPr>
        <w:t> </w:t>
      </w:r>
      <w:r>
        <w:rPr>
          <w:color w:val="231F20"/>
          <w:spacing w:val="-4"/>
          <w:vertAlign w:val="baseline"/>
        </w:rPr>
        <w:t>Des</w:t>
      </w:r>
      <w:r>
        <w:rPr>
          <w:color w:val="231F20"/>
          <w:spacing w:val="-9"/>
          <w:vertAlign w:val="baseline"/>
        </w:rPr>
        <w:t> </w:t>
      </w:r>
      <w:r>
        <w:rPr>
          <w:color w:val="231F20"/>
          <w:spacing w:val="-4"/>
          <w:vertAlign w:val="baseline"/>
        </w:rPr>
        <w:t>cités</w:t>
      </w:r>
      <w:r>
        <w:rPr>
          <w:color w:val="231F20"/>
          <w:spacing w:val="-9"/>
          <w:vertAlign w:val="baseline"/>
        </w:rPr>
        <w:t> </w:t>
      </w:r>
      <w:r>
        <w:rPr>
          <w:color w:val="231F20"/>
          <w:spacing w:val="-4"/>
          <w:vertAlign w:val="baseline"/>
        </w:rPr>
        <w:t>universitaires</w:t>
      </w:r>
      <w:r>
        <w:rPr>
          <w:color w:val="231F20"/>
          <w:spacing w:val="-9"/>
          <w:vertAlign w:val="baseline"/>
        </w:rPr>
        <w:t> </w:t>
      </w:r>
      <w:r>
        <w:rPr>
          <w:color w:val="231F20"/>
          <w:spacing w:val="-4"/>
          <w:vertAlign w:val="baseline"/>
        </w:rPr>
        <w:t>et</w:t>
      </w:r>
      <w:r>
        <w:rPr>
          <w:color w:val="231F20"/>
          <w:spacing w:val="-9"/>
          <w:vertAlign w:val="baseline"/>
        </w:rPr>
        <w:t> </w:t>
      </w:r>
      <w:r>
        <w:rPr>
          <w:color w:val="231F20"/>
          <w:spacing w:val="-4"/>
          <w:vertAlign w:val="baseline"/>
        </w:rPr>
        <w:t>des</w:t>
      </w:r>
      <w:r>
        <w:rPr>
          <w:color w:val="231F20"/>
          <w:spacing w:val="-9"/>
          <w:vertAlign w:val="baseline"/>
        </w:rPr>
        <w:t> </w:t>
      </w:r>
      <w:r>
        <w:rPr>
          <w:color w:val="231F20"/>
          <w:spacing w:val="-4"/>
          <w:vertAlign w:val="baseline"/>
        </w:rPr>
        <w:t>internats</w:t>
      </w:r>
      <w:r>
        <w:rPr>
          <w:color w:val="231F20"/>
          <w:spacing w:val="-9"/>
          <w:vertAlign w:val="baseline"/>
        </w:rPr>
        <w:t> </w:t>
      </w:r>
      <w:r>
        <w:rPr>
          <w:color w:val="231F20"/>
          <w:spacing w:val="-4"/>
          <w:vertAlign w:val="baseline"/>
        </w:rPr>
        <w:t>dans </w:t>
      </w:r>
      <w:r>
        <w:rPr>
          <w:color w:val="231F20"/>
          <w:vertAlign w:val="baseline"/>
        </w:rPr>
        <w:t>les établissements secondaires à travers le pays accueillent tous les boursiers.</w:t>
      </w:r>
      <w:r>
        <w:rPr>
          <w:color w:val="231F20"/>
          <w:spacing w:val="-9"/>
          <w:vertAlign w:val="baseline"/>
        </w:rPr>
        <w:t> </w:t>
      </w:r>
      <w:r>
        <w:rPr>
          <w:color w:val="231F20"/>
          <w:vertAlign w:val="baseline"/>
        </w:rPr>
        <w:t>L’État</w:t>
      </w:r>
      <w:r>
        <w:rPr>
          <w:color w:val="231F20"/>
          <w:spacing w:val="-9"/>
          <w:vertAlign w:val="baseline"/>
        </w:rPr>
        <w:t> </w:t>
      </w:r>
      <w:r>
        <w:rPr>
          <w:color w:val="231F20"/>
          <w:vertAlign w:val="baseline"/>
        </w:rPr>
        <w:t>accorde</w:t>
      </w:r>
      <w:r>
        <w:rPr>
          <w:color w:val="231F20"/>
          <w:spacing w:val="-11"/>
          <w:vertAlign w:val="baseline"/>
        </w:rPr>
        <w:t> </w:t>
      </w:r>
      <w:r>
        <w:rPr>
          <w:color w:val="231F20"/>
          <w:vertAlign w:val="baseline"/>
        </w:rPr>
        <w:t>également</w:t>
      </w:r>
      <w:r>
        <w:rPr>
          <w:color w:val="231F20"/>
          <w:spacing w:val="-10"/>
          <w:vertAlign w:val="baseline"/>
        </w:rPr>
        <w:t> </w:t>
      </w:r>
      <w:r>
        <w:rPr>
          <w:color w:val="231F20"/>
          <w:vertAlign w:val="baseline"/>
        </w:rPr>
        <w:t>des</w:t>
      </w:r>
      <w:r>
        <w:rPr>
          <w:color w:val="231F20"/>
          <w:spacing w:val="-9"/>
          <w:vertAlign w:val="baseline"/>
        </w:rPr>
        <w:t> </w:t>
      </w:r>
      <w:r>
        <w:rPr>
          <w:color w:val="231F20"/>
          <w:vertAlign w:val="baseline"/>
        </w:rPr>
        <w:t>subventions</w:t>
      </w:r>
      <w:r>
        <w:rPr>
          <w:color w:val="231F20"/>
          <w:spacing w:val="-8"/>
          <w:vertAlign w:val="baseline"/>
        </w:rPr>
        <w:t> </w:t>
      </w:r>
      <w:r>
        <w:rPr>
          <w:color w:val="231F20"/>
          <w:vertAlign w:val="baseline"/>
        </w:rPr>
        <w:t>supplémentaires</w:t>
      </w:r>
      <w:r>
        <w:rPr>
          <w:color w:val="231F20"/>
          <w:spacing w:val="-8"/>
          <w:vertAlign w:val="baseline"/>
        </w:rPr>
        <w:t> </w:t>
      </w:r>
      <w:r>
        <w:rPr>
          <w:color w:val="231F20"/>
          <w:vertAlign w:val="baseline"/>
        </w:rPr>
        <w:t>à l’Enseignement privé laïc et confessionnel.</w:t>
      </w:r>
    </w:p>
    <w:p>
      <w:pPr>
        <w:pStyle w:val="BodyText"/>
        <w:spacing w:before="120"/>
        <w:ind w:right="101" w:firstLine="283"/>
      </w:pPr>
      <w:r>
        <w:rPr>
          <w:color w:val="231F20"/>
        </w:rPr>
        <w:t>À</w:t>
      </w:r>
      <w:r>
        <w:rPr>
          <w:color w:val="231F20"/>
          <w:spacing w:val="-15"/>
        </w:rPr>
        <w:t> </w:t>
      </w:r>
      <w:r>
        <w:rPr>
          <w:color w:val="231F20"/>
        </w:rPr>
        <w:t>partir</w:t>
      </w:r>
      <w:r>
        <w:rPr>
          <w:color w:val="231F20"/>
          <w:spacing w:val="-14"/>
        </w:rPr>
        <w:t> </w:t>
      </w:r>
      <w:r>
        <w:rPr>
          <w:color w:val="231F20"/>
        </w:rPr>
        <w:t>de</w:t>
      </w:r>
      <w:r>
        <w:rPr>
          <w:color w:val="231F20"/>
          <w:spacing w:val="-15"/>
        </w:rPr>
        <w:t> </w:t>
      </w:r>
      <w:r>
        <w:rPr>
          <w:color w:val="231F20"/>
        </w:rPr>
        <w:t>1990,</w:t>
      </w:r>
      <w:r>
        <w:rPr>
          <w:color w:val="231F20"/>
          <w:spacing w:val="-14"/>
        </w:rPr>
        <w:t> </w:t>
      </w:r>
      <w:r>
        <w:rPr>
          <w:color w:val="231F20"/>
        </w:rPr>
        <w:t>la</w:t>
      </w:r>
      <w:r>
        <w:rPr>
          <w:color w:val="231F20"/>
          <w:spacing w:val="-15"/>
        </w:rPr>
        <w:t> </w:t>
      </w:r>
      <w:r>
        <w:rPr>
          <w:color w:val="231F20"/>
        </w:rPr>
        <w:t>persistance</w:t>
      </w:r>
      <w:r>
        <w:rPr>
          <w:color w:val="231F20"/>
          <w:spacing w:val="-14"/>
        </w:rPr>
        <w:t> </w:t>
      </w:r>
      <w:r>
        <w:rPr>
          <w:color w:val="231F20"/>
        </w:rPr>
        <w:t>de</w:t>
      </w:r>
      <w:r>
        <w:rPr>
          <w:color w:val="231F20"/>
          <w:spacing w:val="-15"/>
        </w:rPr>
        <w:t> </w:t>
      </w:r>
      <w:r>
        <w:rPr>
          <w:color w:val="231F20"/>
        </w:rPr>
        <w:t>la</w:t>
      </w:r>
      <w:r>
        <w:rPr>
          <w:color w:val="231F20"/>
          <w:spacing w:val="-15"/>
        </w:rPr>
        <w:t> </w:t>
      </w:r>
      <w:r>
        <w:rPr>
          <w:color w:val="231F20"/>
        </w:rPr>
        <w:t>crise</w:t>
      </w:r>
      <w:r>
        <w:rPr>
          <w:color w:val="231F20"/>
          <w:spacing w:val="-15"/>
        </w:rPr>
        <w:t> </w:t>
      </w:r>
      <w:r>
        <w:rPr>
          <w:color w:val="231F20"/>
        </w:rPr>
        <w:t>débutée</w:t>
      </w:r>
      <w:r>
        <w:rPr>
          <w:color w:val="231F20"/>
          <w:spacing w:val="-14"/>
        </w:rPr>
        <w:t> </w:t>
      </w:r>
      <w:r>
        <w:rPr>
          <w:color w:val="231F20"/>
        </w:rPr>
        <w:t>en</w:t>
      </w:r>
      <w:r>
        <w:rPr>
          <w:color w:val="231F20"/>
          <w:spacing w:val="-12"/>
        </w:rPr>
        <w:t> </w:t>
      </w:r>
      <w:r>
        <w:rPr>
          <w:color w:val="231F20"/>
        </w:rPr>
        <w:t>1980</w:t>
      </w:r>
      <w:r>
        <w:rPr>
          <w:color w:val="231F20"/>
          <w:spacing w:val="-15"/>
        </w:rPr>
        <w:t> </w:t>
      </w:r>
      <w:r>
        <w:rPr>
          <w:color w:val="231F20"/>
        </w:rPr>
        <w:t>ne</w:t>
      </w:r>
      <w:r>
        <w:rPr>
          <w:color w:val="231F20"/>
          <w:spacing w:val="-14"/>
        </w:rPr>
        <w:t> </w:t>
      </w:r>
      <w:r>
        <w:rPr>
          <w:color w:val="231F20"/>
        </w:rPr>
        <w:t>permet </w:t>
      </w:r>
      <w:r>
        <w:rPr>
          <w:color w:val="231F20"/>
          <w:spacing w:val="-4"/>
        </w:rPr>
        <w:t>plus</w:t>
      </w:r>
      <w:r>
        <w:rPr>
          <w:color w:val="231F20"/>
          <w:spacing w:val="-5"/>
        </w:rPr>
        <w:t> </w:t>
      </w:r>
      <w:r>
        <w:rPr>
          <w:color w:val="231F20"/>
          <w:spacing w:val="-4"/>
        </w:rPr>
        <w:t>à</w:t>
      </w:r>
      <w:r>
        <w:rPr>
          <w:color w:val="231F20"/>
          <w:spacing w:val="-7"/>
        </w:rPr>
        <w:t> </w:t>
      </w:r>
      <w:r>
        <w:rPr>
          <w:color w:val="231F20"/>
          <w:spacing w:val="-4"/>
        </w:rPr>
        <w:t>l’État</w:t>
      </w:r>
      <w:r>
        <w:rPr>
          <w:color w:val="231F20"/>
          <w:spacing w:val="-5"/>
        </w:rPr>
        <w:t> </w:t>
      </w:r>
      <w:r>
        <w:rPr>
          <w:color w:val="231F20"/>
          <w:spacing w:val="-4"/>
        </w:rPr>
        <w:t>de</w:t>
      </w:r>
      <w:r>
        <w:rPr>
          <w:color w:val="231F20"/>
          <w:spacing w:val="-7"/>
        </w:rPr>
        <w:t> </w:t>
      </w:r>
      <w:r>
        <w:rPr>
          <w:color w:val="231F20"/>
          <w:spacing w:val="-4"/>
        </w:rPr>
        <w:t>combler</w:t>
      </w:r>
      <w:r>
        <w:rPr>
          <w:color w:val="231F20"/>
          <w:spacing w:val="-7"/>
        </w:rPr>
        <w:t> </w:t>
      </w:r>
      <w:r>
        <w:rPr>
          <w:color w:val="231F20"/>
          <w:spacing w:val="-4"/>
        </w:rPr>
        <w:t>l’écart</w:t>
      </w:r>
      <w:r>
        <w:rPr>
          <w:color w:val="231F20"/>
          <w:spacing w:val="-5"/>
        </w:rPr>
        <w:t> </w:t>
      </w:r>
      <w:r>
        <w:rPr>
          <w:color w:val="231F20"/>
          <w:spacing w:val="-4"/>
        </w:rPr>
        <w:t>entre</w:t>
      </w:r>
      <w:r>
        <w:rPr>
          <w:color w:val="231F20"/>
          <w:spacing w:val="-7"/>
        </w:rPr>
        <w:t> </w:t>
      </w:r>
      <w:r>
        <w:rPr>
          <w:color w:val="231F20"/>
          <w:spacing w:val="-4"/>
        </w:rPr>
        <w:t>la</w:t>
      </w:r>
      <w:r>
        <w:rPr>
          <w:color w:val="231F20"/>
          <w:spacing w:val="-7"/>
        </w:rPr>
        <w:t> </w:t>
      </w:r>
      <w:r>
        <w:rPr>
          <w:color w:val="231F20"/>
          <w:spacing w:val="-4"/>
        </w:rPr>
        <w:t>demande</w:t>
      </w:r>
      <w:r>
        <w:rPr>
          <w:color w:val="231F20"/>
          <w:spacing w:val="-7"/>
        </w:rPr>
        <w:t> </w:t>
      </w:r>
      <w:r>
        <w:rPr>
          <w:color w:val="231F20"/>
          <w:spacing w:val="-4"/>
        </w:rPr>
        <w:t>et</w:t>
      </w:r>
      <w:r>
        <w:rPr>
          <w:color w:val="231F20"/>
          <w:spacing w:val="-5"/>
        </w:rPr>
        <w:t> </w:t>
      </w:r>
      <w:r>
        <w:rPr>
          <w:color w:val="231F20"/>
          <w:spacing w:val="-4"/>
        </w:rPr>
        <w:t>les</w:t>
      </w:r>
      <w:r>
        <w:rPr>
          <w:color w:val="231F20"/>
          <w:spacing w:val="-7"/>
        </w:rPr>
        <w:t> </w:t>
      </w:r>
      <w:r>
        <w:rPr>
          <w:color w:val="231F20"/>
          <w:spacing w:val="-4"/>
        </w:rPr>
        <w:t>capacités</w:t>
      </w:r>
      <w:r>
        <w:rPr>
          <w:color w:val="231F20"/>
          <w:spacing w:val="-7"/>
        </w:rPr>
        <w:t> </w:t>
      </w:r>
      <w:r>
        <w:rPr>
          <w:color w:val="231F20"/>
          <w:spacing w:val="-4"/>
        </w:rPr>
        <w:t>d’accueil </w:t>
      </w:r>
      <w:r>
        <w:rPr>
          <w:color w:val="231F20"/>
        </w:rPr>
        <w:t>du système éducatif. Le poids important des dépenses de personnel </w:t>
      </w:r>
      <w:r>
        <w:rPr>
          <w:color w:val="231F20"/>
          <w:spacing w:val="-4"/>
        </w:rPr>
        <w:t>représentant</w:t>
      </w:r>
      <w:r>
        <w:rPr>
          <w:color w:val="231F20"/>
          <w:spacing w:val="-7"/>
        </w:rPr>
        <w:t> </w:t>
      </w:r>
      <w:r>
        <w:rPr>
          <w:color w:val="231F20"/>
          <w:spacing w:val="-4"/>
        </w:rPr>
        <w:t>environ</w:t>
      </w:r>
      <w:r>
        <w:rPr>
          <w:color w:val="231F20"/>
          <w:spacing w:val="-6"/>
        </w:rPr>
        <w:t> </w:t>
      </w:r>
      <w:r>
        <w:rPr>
          <w:color w:val="231F20"/>
          <w:spacing w:val="-4"/>
        </w:rPr>
        <w:t>98 %</w:t>
      </w:r>
      <w:r>
        <w:rPr>
          <w:color w:val="231F20"/>
          <w:spacing w:val="-10"/>
        </w:rPr>
        <w:t> </w:t>
      </w:r>
      <w:r>
        <w:rPr>
          <w:color w:val="231F20"/>
          <w:spacing w:val="-4"/>
        </w:rPr>
        <w:t>du</w:t>
      </w:r>
      <w:r>
        <w:rPr>
          <w:color w:val="231F20"/>
          <w:spacing w:val="-6"/>
        </w:rPr>
        <w:t> </w:t>
      </w:r>
      <w:r>
        <w:rPr>
          <w:color w:val="231F20"/>
          <w:spacing w:val="-4"/>
        </w:rPr>
        <w:t>budget</w:t>
      </w:r>
      <w:r>
        <w:rPr>
          <w:color w:val="231F20"/>
          <w:spacing w:val="-8"/>
        </w:rPr>
        <w:t> </w:t>
      </w:r>
      <w:r>
        <w:rPr>
          <w:color w:val="231F20"/>
          <w:spacing w:val="-4"/>
        </w:rPr>
        <w:t>du</w:t>
      </w:r>
      <w:r>
        <w:rPr>
          <w:color w:val="231F20"/>
          <w:spacing w:val="-6"/>
        </w:rPr>
        <w:t> </w:t>
      </w:r>
      <w:r>
        <w:rPr>
          <w:color w:val="231F20"/>
          <w:spacing w:val="-4"/>
        </w:rPr>
        <w:t>système</w:t>
      </w:r>
      <w:r>
        <w:rPr>
          <w:color w:val="231F20"/>
          <w:spacing w:val="-6"/>
        </w:rPr>
        <w:t> </w:t>
      </w:r>
      <w:r>
        <w:rPr>
          <w:color w:val="231F20"/>
          <w:spacing w:val="-4"/>
        </w:rPr>
        <w:t>éducatif,</w:t>
      </w:r>
      <w:r>
        <w:rPr>
          <w:color w:val="231F20"/>
          <w:spacing w:val="-6"/>
        </w:rPr>
        <w:t> </w:t>
      </w:r>
      <w:r>
        <w:rPr>
          <w:color w:val="231F20"/>
          <w:spacing w:val="-4"/>
        </w:rPr>
        <w:t>la</w:t>
      </w:r>
      <w:r>
        <w:rPr>
          <w:color w:val="231F20"/>
          <w:spacing w:val="-10"/>
        </w:rPr>
        <w:t> </w:t>
      </w:r>
      <w:r>
        <w:rPr>
          <w:color w:val="231F20"/>
          <w:spacing w:val="-4"/>
        </w:rPr>
        <w:t>crise</w:t>
      </w:r>
      <w:r>
        <w:rPr>
          <w:color w:val="231F20"/>
          <w:spacing w:val="-6"/>
        </w:rPr>
        <w:t> </w:t>
      </w:r>
      <w:r>
        <w:rPr>
          <w:color w:val="231F20"/>
          <w:spacing w:val="-4"/>
        </w:rPr>
        <w:t>conduit </w:t>
      </w:r>
      <w:r>
        <w:rPr>
          <w:color w:val="231F20"/>
        </w:rPr>
        <w:t>à des restrictions budgétaires au niveau de l’entretien des locaux et du matériel et provoque la dégradation rapide d’une grande partie des établissements scolaires et universitaires.</w:t>
      </w:r>
    </w:p>
    <w:p>
      <w:pPr>
        <w:spacing w:after="0"/>
        <w:sectPr>
          <w:pgSz w:w="8790" w:h="13610"/>
          <w:pgMar w:header="0" w:footer="802" w:top="1060" w:bottom="1000" w:left="880" w:right="880"/>
        </w:sectPr>
      </w:pPr>
    </w:p>
    <w:p>
      <w:pPr>
        <w:pStyle w:val="BodyText"/>
        <w:spacing w:before="66"/>
        <w:ind w:right="102" w:firstLine="283"/>
      </w:pPr>
      <w:r>
        <w:rPr>
          <w:color w:val="231F20"/>
        </w:rPr>
        <w:t>En 1968, l’État avait créé le</w:t>
      </w:r>
      <w:r>
        <w:rPr>
          <w:color w:val="231F20"/>
          <w:spacing w:val="-15"/>
        </w:rPr>
        <w:t> </w:t>
      </w:r>
      <w:r>
        <w:rPr>
          <w:color w:val="231F20"/>
        </w:rPr>
        <w:t>Mouvement des étudiants et élèves de Côte</w:t>
      </w:r>
      <w:r>
        <w:rPr>
          <w:color w:val="231F20"/>
          <w:spacing w:val="-14"/>
        </w:rPr>
        <w:t> </w:t>
      </w:r>
      <w:r>
        <w:rPr>
          <w:color w:val="231F20"/>
        </w:rPr>
        <w:t>d'Ivoire</w:t>
      </w:r>
      <w:r>
        <w:rPr>
          <w:color w:val="231F20"/>
          <w:spacing w:val="-15"/>
        </w:rPr>
        <w:t> </w:t>
      </w:r>
      <w:r>
        <w:rPr>
          <w:color w:val="231F20"/>
        </w:rPr>
        <w:t>(Meeci).</w:t>
      </w:r>
      <w:r>
        <w:rPr>
          <w:color w:val="231F20"/>
          <w:spacing w:val="-7"/>
        </w:rPr>
        <w:t> </w:t>
      </w:r>
      <w:r>
        <w:rPr>
          <w:color w:val="231F20"/>
        </w:rPr>
        <w:t>Ce</w:t>
      </w:r>
      <w:r>
        <w:rPr>
          <w:color w:val="231F20"/>
          <w:spacing w:val="-8"/>
        </w:rPr>
        <w:t> </w:t>
      </w:r>
      <w:r>
        <w:rPr>
          <w:color w:val="231F20"/>
        </w:rPr>
        <w:t>Mouvement,</w:t>
      </w:r>
      <w:r>
        <w:rPr>
          <w:color w:val="231F20"/>
          <w:spacing w:val="-7"/>
        </w:rPr>
        <w:t> </w:t>
      </w:r>
      <w:r>
        <w:rPr>
          <w:color w:val="231F20"/>
        </w:rPr>
        <w:t>s’affirmait</w:t>
      </w:r>
      <w:r>
        <w:rPr>
          <w:color w:val="231F20"/>
          <w:spacing w:val="-8"/>
        </w:rPr>
        <w:t> </w:t>
      </w:r>
      <w:r>
        <w:rPr>
          <w:color w:val="231F20"/>
        </w:rPr>
        <w:t>et</w:t>
      </w:r>
      <w:r>
        <w:rPr>
          <w:color w:val="231F20"/>
          <w:spacing w:val="-5"/>
        </w:rPr>
        <w:t> </w:t>
      </w:r>
      <w:r>
        <w:rPr>
          <w:color w:val="231F20"/>
        </w:rPr>
        <w:t>s’affichait</w:t>
      </w:r>
      <w:r>
        <w:rPr>
          <w:color w:val="231F20"/>
          <w:spacing w:val="-5"/>
        </w:rPr>
        <w:t> </w:t>
      </w:r>
      <w:r>
        <w:rPr>
          <w:color w:val="231F20"/>
        </w:rPr>
        <w:t>comme </w:t>
      </w:r>
      <w:r>
        <w:rPr>
          <w:color w:val="231F20"/>
          <w:spacing w:val="-2"/>
        </w:rPr>
        <w:t>une</w:t>
      </w:r>
      <w:r>
        <w:rPr>
          <w:color w:val="231F20"/>
          <w:spacing w:val="-15"/>
        </w:rPr>
        <w:t> </w:t>
      </w:r>
      <w:r>
        <w:rPr>
          <w:color w:val="231F20"/>
          <w:spacing w:val="-2"/>
        </w:rPr>
        <w:t>section</w:t>
      </w:r>
      <w:r>
        <w:rPr>
          <w:color w:val="231F20"/>
          <w:spacing w:val="-13"/>
        </w:rPr>
        <w:t> </w:t>
      </w:r>
      <w:r>
        <w:rPr>
          <w:color w:val="231F20"/>
          <w:spacing w:val="-2"/>
        </w:rPr>
        <w:t>du</w:t>
      </w:r>
      <w:r>
        <w:rPr>
          <w:color w:val="231F20"/>
          <w:spacing w:val="-13"/>
        </w:rPr>
        <w:t> </w:t>
      </w:r>
      <w:r>
        <w:rPr>
          <w:color w:val="231F20"/>
          <w:spacing w:val="-2"/>
        </w:rPr>
        <w:t>parti</w:t>
      </w:r>
      <w:r>
        <w:rPr>
          <w:color w:val="231F20"/>
          <w:spacing w:val="-13"/>
        </w:rPr>
        <w:t> </w:t>
      </w:r>
      <w:r>
        <w:rPr>
          <w:color w:val="231F20"/>
          <w:spacing w:val="-2"/>
        </w:rPr>
        <w:t>unique</w:t>
      </w:r>
      <w:r>
        <w:rPr>
          <w:color w:val="231F20"/>
          <w:spacing w:val="-13"/>
        </w:rPr>
        <w:t> </w:t>
      </w:r>
      <w:r>
        <w:rPr>
          <w:color w:val="231F20"/>
          <w:spacing w:val="-2"/>
        </w:rPr>
        <w:t>qui</w:t>
      </w:r>
      <w:r>
        <w:rPr>
          <w:color w:val="231F20"/>
          <w:spacing w:val="-13"/>
        </w:rPr>
        <w:t> </w:t>
      </w:r>
      <w:r>
        <w:rPr>
          <w:color w:val="231F20"/>
          <w:spacing w:val="-2"/>
        </w:rPr>
        <w:t>lui</w:t>
      </w:r>
      <w:r>
        <w:rPr>
          <w:color w:val="231F20"/>
          <w:spacing w:val="-13"/>
        </w:rPr>
        <w:t> </w:t>
      </w:r>
      <w:r>
        <w:rPr>
          <w:color w:val="231F20"/>
          <w:spacing w:val="-2"/>
        </w:rPr>
        <w:t>apporte</w:t>
      </w:r>
      <w:r>
        <w:rPr>
          <w:color w:val="231F20"/>
          <w:spacing w:val="-13"/>
        </w:rPr>
        <w:t> </w:t>
      </w:r>
      <w:r>
        <w:rPr>
          <w:color w:val="231F20"/>
          <w:spacing w:val="-2"/>
        </w:rPr>
        <w:t>l’appui</w:t>
      </w:r>
      <w:r>
        <w:rPr>
          <w:color w:val="231F20"/>
          <w:spacing w:val="-13"/>
        </w:rPr>
        <w:t> </w:t>
      </w:r>
      <w:r>
        <w:rPr>
          <w:color w:val="231F20"/>
          <w:spacing w:val="-2"/>
        </w:rPr>
        <w:t>institutionnel</w:t>
      </w:r>
      <w:r>
        <w:rPr>
          <w:color w:val="231F20"/>
          <w:spacing w:val="-13"/>
        </w:rPr>
        <w:t> </w:t>
      </w:r>
      <w:r>
        <w:rPr>
          <w:color w:val="231F20"/>
          <w:spacing w:val="-2"/>
        </w:rPr>
        <w:t>de</w:t>
      </w:r>
      <w:r>
        <w:rPr>
          <w:color w:val="231F20"/>
          <w:spacing w:val="-13"/>
        </w:rPr>
        <w:t> </w:t>
      </w:r>
      <w:r>
        <w:rPr>
          <w:color w:val="231F20"/>
          <w:spacing w:val="-2"/>
        </w:rPr>
        <w:t>l’État. </w:t>
      </w:r>
      <w:r>
        <w:rPr>
          <w:color w:val="231F20"/>
        </w:rPr>
        <w:t>Unique</w:t>
      </w:r>
      <w:r>
        <w:rPr>
          <w:color w:val="231F20"/>
          <w:spacing w:val="-9"/>
        </w:rPr>
        <w:t> </w:t>
      </w:r>
      <w:r>
        <w:rPr>
          <w:color w:val="231F20"/>
        </w:rPr>
        <w:t>syndicat,</w:t>
      </w:r>
      <w:r>
        <w:rPr>
          <w:color w:val="231F20"/>
          <w:spacing w:val="-9"/>
        </w:rPr>
        <w:t> </w:t>
      </w:r>
      <w:r>
        <w:rPr>
          <w:color w:val="231F20"/>
        </w:rPr>
        <w:t>son</w:t>
      </w:r>
      <w:r>
        <w:rPr>
          <w:color w:val="231F20"/>
          <w:spacing w:val="-7"/>
        </w:rPr>
        <w:t> </w:t>
      </w:r>
      <w:r>
        <w:rPr>
          <w:color w:val="231F20"/>
        </w:rPr>
        <w:t>rôle</w:t>
      </w:r>
      <w:r>
        <w:rPr>
          <w:color w:val="231F20"/>
          <w:spacing w:val="-9"/>
        </w:rPr>
        <w:t> </w:t>
      </w:r>
      <w:r>
        <w:rPr>
          <w:color w:val="231F20"/>
        </w:rPr>
        <w:t>était</w:t>
      </w:r>
      <w:r>
        <w:rPr>
          <w:color w:val="231F20"/>
          <w:spacing w:val="-9"/>
        </w:rPr>
        <w:t> </w:t>
      </w:r>
      <w:r>
        <w:rPr>
          <w:color w:val="231F20"/>
        </w:rPr>
        <w:t>d’être</w:t>
      </w:r>
      <w:r>
        <w:rPr>
          <w:color w:val="231F20"/>
          <w:spacing w:val="-8"/>
        </w:rPr>
        <w:t> </w:t>
      </w:r>
      <w:r>
        <w:rPr>
          <w:color w:val="231F20"/>
        </w:rPr>
        <w:t>le</w:t>
      </w:r>
      <w:r>
        <w:rPr>
          <w:color w:val="231F20"/>
          <w:spacing w:val="-8"/>
        </w:rPr>
        <w:t> </w:t>
      </w:r>
      <w:r>
        <w:rPr>
          <w:color w:val="231F20"/>
        </w:rPr>
        <w:t>porte-voix</w:t>
      </w:r>
      <w:r>
        <w:rPr>
          <w:color w:val="231F20"/>
          <w:spacing w:val="-9"/>
        </w:rPr>
        <w:t> </w:t>
      </w:r>
      <w:r>
        <w:rPr>
          <w:color w:val="231F20"/>
        </w:rPr>
        <w:t>officiel</w:t>
      </w:r>
      <w:r>
        <w:rPr>
          <w:color w:val="231F20"/>
          <w:spacing w:val="-9"/>
        </w:rPr>
        <w:t> </w:t>
      </w:r>
      <w:r>
        <w:rPr>
          <w:color w:val="231F20"/>
        </w:rPr>
        <w:t>des</w:t>
      </w:r>
      <w:r>
        <w:rPr>
          <w:color w:val="231F20"/>
          <w:spacing w:val="-8"/>
        </w:rPr>
        <w:t> </w:t>
      </w:r>
      <w:r>
        <w:rPr>
          <w:color w:val="231F20"/>
        </w:rPr>
        <w:t>élèves</w:t>
      </w:r>
      <w:r>
        <w:rPr>
          <w:color w:val="231F20"/>
          <w:spacing w:val="-9"/>
        </w:rPr>
        <w:t> </w:t>
      </w:r>
      <w:r>
        <w:rPr>
          <w:color w:val="231F20"/>
        </w:rPr>
        <w:t>et étudiants. Ses principaux responsables sitôt les études universitaires </w:t>
      </w:r>
      <w:r>
        <w:rPr>
          <w:color w:val="231F20"/>
          <w:spacing w:val="-2"/>
        </w:rPr>
        <w:t>achevées,</w:t>
      </w:r>
      <w:r>
        <w:rPr>
          <w:color w:val="231F20"/>
          <w:spacing w:val="-13"/>
        </w:rPr>
        <w:t> </w:t>
      </w:r>
      <w:r>
        <w:rPr>
          <w:color w:val="231F20"/>
          <w:spacing w:val="-2"/>
        </w:rPr>
        <w:t>avaient</w:t>
      </w:r>
      <w:r>
        <w:rPr>
          <w:color w:val="231F20"/>
          <w:spacing w:val="-13"/>
        </w:rPr>
        <w:t> </w:t>
      </w:r>
      <w:r>
        <w:rPr>
          <w:color w:val="231F20"/>
          <w:spacing w:val="-2"/>
        </w:rPr>
        <w:t>une</w:t>
      </w:r>
      <w:r>
        <w:rPr>
          <w:color w:val="231F20"/>
          <w:spacing w:val="-13"/>
        </w:rPr>
        <w:t> </w:t>
      </w:r>
      <w:r>
        <w:rPr>
          <w:color w:val="231F20"/>
          <w:spacing w:val="-2"/>
        </w:rPr>
        <w:t>place</w:t>
      </w:r>
      <w:r>
        <w:rPr>
          <w:color w:val="231F20"/>
          <w:spacing w:val="-11"/>
        </w:rPr>
        <w:t> </w:t>
      </w:r>
      <w:r>
        <w:rPr>
          <w:color w:val="231F20"/>
          <w:spacing w:val="-2"/>
        </w:rPr>
        <w:t>de</w:t>
      </w:r>
      <w:r>
        <w:rPr>
          <w:color w:val="231F20"/>
          <w:spacing w:val="-12"/>
        </w:rPr>
        <w:t> </w:t>
      </w:r>
      <w:r>
        <w:rPr>
          <w:color w:val="231F20"/>
          <w:spacing w:val="-2"/>
        </w:rPr>
        <w:t>choix</w:t>
      </w:r>
      <w:r>
        <w:rPr>
          <w:color w:val="231F20"/>
          <w:spacing w:val="-13"/>
        </w:rPr>
        <w:t> </w:t>
      </w:r>
      <w:r>
        <w:rPr>
          <w:color w:val="231F20"/>
          <w:spacing w:val="-2"/>
        </w:rPr>
        <w:t>dans</w:t>
      </w:r>
      <w:r>
        <w:rPr>
          <w:color w:val="231F20"/>
          <w:spacing w:val="-13"/>
        </w:rPr>
        <w:t> </w:t>
      </w:r>
      <w:r>
        <w:rPr>
          <w:color w:val="231F20"/>
          <w:spacing w:val="-2"/>
        </w:rPr>
        <w:t>l’appareil</w:t>
      </w:r>
      <w:r>
        <w:rPr>
          <w:color w:val="231F20"/>
          <w:spacing w:val="-11"/>
        </w:rPr>
        <w:t> </w:t>
      </w:r>
      <w:r>
        <w:rPr>
          <w:color w:val="231F20"/>
          <w:spacing w:val="-2"/>
        </w:rPr>
        <w:t>politique</w:t>
      </w:r>
      <w:r>
        <w:rPr>
          <w:color w:val="231F20"/>
          <w:spacing w:val="-13"/>
        </w:rPr>
        <w:t> </w:t>
      </w:r>
      <w:r>
        <w:rPr>
          <w:color w:val="231F20"/>
          <w:spacing w:val="-2"/>
        </w:rPr>
        <w:t>de</w:t>
      </w:r>
      <w:r>
        <w:rPr>
          <w:color w:val="231F20"/>
          <w:spacing w:val="-13"/>
        </w:rPr>
        <w:t> </w:t>
      </w:r>
      <w:r>
        <w:rPr>
          <w:color w:val="231F20"/>
          <w:spacing w:val="-2"/>
        </w:rPr>
        <w:t>l’État</w:t>
      </w:r>
      <w:r>
        <w:rPr>
          <w:color w:val="231F20"/>
          <w:spacing w:val="-11"/>
        </w:rPr>
        <w:t> </w:t>
      </w:r>
      <w:r>
        <w:rPr>
          <w:color w:val="231F20"/>
          <w:spacing w:val="-2"/>
        </w:rPr>
        <w:t>et </w:t>
      </w:r>
      <w:r>
        <w:rPr>
          <w:color w:val="231F20"/>
        </w:rPr>
        <w:t>une profession garantie.</w:t>
      </w:r>
    </w:p>
    <w:p>
      <w:pPr>
        <w:pStyle w:val="BodyText"/>
        <w:spacing w:before="120"/>
        <w:ind w:right="105" w:firstLine="283"/>
      </w:pPr>
      <w:r>
        <w:rPr>
          <w:color w:val="231F20"/>
          <w:spacing w:val="-4"/>
        </w:rPr>
        <w:t>En</w:t>
      </w:r>
      <w:r>
        <w:rPr>
          <w:color w:val="231F20"/>
          <w:spacing w:val="-7"/>
        </w:rPr>
        <w:t> </w:t>
      </w:r>
      <w:r>
        <w:rPr>
          <w:color w:val="231F20"/>
          <w:spacing w:val="-4"/>
        </w:rPr>
        <w:t>1990,</w:t>
      </w:r>
      <w:r>
        <w:rPr>
          <w:color w:val="231F20"/>
          <w:spacing w:val="-9"/>
        </w:rPr>
        <w:t> </w:t>
      </w:r>
      <w:r>
        <w:rPr>
          <w:color w:val="231F20"/>
          <w:spacing w:val="-4"/>
        </w:rPr>
        <w:t>les</w:t>
      </w:r>
      <w:r>
        <w:rPr>
          <w:color w:val="231F20"/>
          <w:spacing w:val="-9"/>
        </w:rPr>
        <w:t> </w:t>
      </w:r>
      <w:r>
        <w:rPr>
          <w:color w:val="231F20"/>
          <w:spacing w:val="-4"/>
        </w:rPr>
        <w:t>étudiants</w:t>
      </w:r>
      <w:r>
        <w:rPr>
          <w:color w:val="231F20"/>
          <w:spacing w:val="-7"/>
        </w:rPr>
        <w:t> </w:t>
      </w:r>
      <w:r>
        <w:rPr>
          <w:color w:val="231F20"/>
          <w:spacing w:val="-4"/>
        </w:rPr>
        <w:t>sont</w:t>
      </w:r>
      <w:r>
        <w:rPr>
          <w:color w:val="231F20"/>
          <w:spacing w:val="-6"/>
        </w:rPr>
        <w:t> </w:t>
      </w:r>
      <w:r>
        <w:rPr>
          <w:color w:val="231F20"/>
          <w:spacing w:val="-4"/>
        </w:rPr>
        <w:t>privés,</w:t>
      </w:r>
      <w:r>
        <w:rPr>
          <w:color w:val="231F20"/>
          <w:spacing w:val="-9"/>
        </w:rPr>
        <w:t> </w:t>
      </w:r>
      <w:r>
        <w:rPr>
          <w:color w:val="231F20"/>
          <w:spacing w:val="-4"/>
        </w:rPr>
        <w:t>du</w:t>
      </w:r>
      <w:r>
        <w:rPr>
          <w:color w:val="231F20"/>
          <w:spacing w:val="-9"/>
        </w:rPr>
        <w:t> </w:t>
      </w:r>
      <w:r>
        <w:rPr>
          <w:color w:val="231F20"/>
          <w:spacing w:val="-4"/>
        </w:rPr>
        <w:t>jour</w:t>
      </w:r>
      <w:r>
        <w:rPr>
          <w:color w:val="231F20"/>
          <w:spacing w:val="-10"/>
        </w:rPr>
        <w:t> </w:t>
      </w:r>
      <w:r>
        <w:rPr>
          <w:color w:val="231F20"/>
          <w:spacing w:val="-4"/>
        </w:rPr>
        <w:t>au</w:t>
      </w:r>
      <w:r>
        <w:rPr>
          <w:color w:val="231F20"/>
          <w:spacing w:val="-9"/>
        </w:rPr>
        <w:t> </w:t>
      </w:r>
      <w:r>
        <w:rPr>
          <w:color w:val="231F20"/>
          <w:spacing w:val="-4"/>
        </w:rPr>
        <w:t>lendemain,</w:t>
      </w:r>
      <w:r>
        <w:rPr>
          <w:color w:val="231F20"/>
          <w:spacing w:val="-7"/>
        </w:rPr>
        <w:t> </w:t>
      </w:r>
      <w:r>
        <w:rPr>
          <w:color w:val="231F20"/>
          <w:spacing w:val="-4"/>
        </w:rPr>
        <w:t>de</w:t>
      </w:r>
      <w:r>
        <w:rPr>
          <w:color w:val="231F20"/>
          <w:spacing w:val="-10"/>
        </w:rPr>
        <w:t> </w:t>
      </w:r>
      <w:r>
        <w:rPr>
          <w:color w:val="231F20"/>
          <w:spacing w:val="-4"/>
        </w:rPr>
        <w:t>cantine,</w:t>
      </w:r>
      <w:r>
        <w:rPr>
          <w:color w:val="231F20"/>
          <w:spacing w:val="-9"/>
        </w:rPr>
        <w:t> </w:t>
      </w:r>
      <w:r>
        <w:rPr>
          <w:color w:val="231F20"/>
          <w:spacing w:val="-4"/>
        </w:rPr>
        <w:t>de </w:t>
      </w:r>
      <w:r>
        <w:rPr>
          <w:color w:val="231F20"/>
        </w:rPr>
        <w:t>car, de bourse. Les salaires des enseignants sont revus à la baisse. Les diplômés</w:t>
      </w:r>
      <w:r>
        <w:rPr>
          <w:color w:val="231F20"/>
          <w:spacing w:val="-8"/>
        </w:rPr>
        <w:t> </w:t>
      </w:r>
      <w:r>
        <w:rPr>
          <w:color w:val="231F20"/>
        </w:rPr>
        <w:t>des</w:t>
      </w:r>
      <w:r>
        <w:rPr>
          <w:color w:val="231F20"/>
          <w:spacing w:val="-6"/>
        </w:rPr>
        <w:t> </w:t>
      </w:r>
      <w:r>
        <w:rPr>
          <w:color w:val="231F20"/>
        </w:rPr>
        <w:t>universités</w:t>
      </w:r>
      <w:r>
        <w:rPr>
          <w:color w:val="231F20"/>
          <w:spacing w:val="-6"/>
        </w:rPr>
        <w:t> </w:t>
      </w:r>
      <w:r>
        <w:rPr>
          <w:color w:val="231F20"/>
        </w:rPr>
        <w:t>et</w:t>
      </w:r>
      <w:r>
        <w:rPr>
          <w:color w:val="231F20"/>
          <w:spacing w:val="-5"/>
        </w:rPr>
        <w:t> </w:t>
      </w:r>
      <w:r>
        <w:rPr>
          <w:color w:val="231F20"/>
        </w:rPr>
        <w:t>grandes</w:t>
      </w:r>
      <w:r>
        <w:rPr>
          <w:color w:val="231F20"/>
          <w:spacing w:val="-7"/>
        </w:rPr>
        <w:t> </w:t>
      </w:r>
      <w:r>
        <w:rPr>
          <w:color w:val="231F20"/>
        </w:rPr>
        <w:t>écoles</w:t>
      </w:r>
      <w:r>
        <w:rPr>
          <w:color w:val="231F20"/>
          <w:spacing w:val="-8"/>
        </w:rPr>
        <w:t> </w:t>
      </w:r>
      <w:r>
        <w:rPr>
          <w:color w:val="231F20"/>
        </w:rPr>
        <w:t>n’ont</w:t>
      </w:r>
      <w:r>
        <w:rPr>
          <w:color w:val="231F20"/>
          <w:spacing w:val="-6"/>
        </w:rPr>
        <w:t> </w:t>
      </w:r>
      <w:r>
        <w:rPr>
          <w:color w:val="231F20"/>
        </w:rPr>
        <w:t>pas</w:t>
      </w:r>
      <w:r>
        <w:rPr>
          <w:color w:val="231F20"/>
          <w:spacing w:val="-8"/>
        </w:rPr>
        <w:t> </w:t>
      </w:r>
      <w:r>
        <w:rPr>
          <w:color w:val="231F20"/>
        </w:rPr>
        <w:t>d’emplois.</w:t>
      </w:r>
    </w:p>
    <w:p>
      <w:pPr>
        <w:pStyle w:val="BodyText"/>
        <w:spacing w:before="121"/>
        <w:ind w:right="107" w:firstLine="283"/>
      </w:pPr>
      <w:r>
        <w:rPr>
          <w:color w:val="231F20"/>
        </w:rPr>
        <w:t>En avril 1990, naît la Fédération estudiantine et scolaire de Côte d'Ivoire</w:t>
      </w:r>
      <w:r>
        <w:rPr>
          <w:color w:val="231F20"/>
          <w:spacing w:val="-15"/>
        </w:rPr>
        <w:t> </w:t>
      </w:r>
      <w:r>
        <w:rPr>
          <w:color w:val="231F20"/>
        </w:rPr>
        <w:t>(FESCI).</w:t>
      </w:r>
      <w:r>
        <w:rPr>
          <w:color w:val="231F20"/>
          <w:spacing w:val="-15"/>
        </w:rPr>
        <w:t> </w:t>
      </w:r>
      <w:r>
        <w:rPr>
          <w:color w:val="231F20"/>
        </w:rPr>
        <w:t>Selon</w:t>
      </w:r>
      <w:r>
        <w:rPr>
          <w:color w:val="231F20"/>
          <w:spacing w:val="-15"/>
        </w:rPr>
        <w:t> </w:t>
      </w:r>
      <w:r>
        <w:rPr>
          <w:color w:val="231F20"/>
        </w:rPr>
        <w:t>ses</w:t>
      </w:r>
      <w:r>
        <w:rPr>
          <w:color w:val="231F20"/>
          <w:spacing w:val="-15"/>
        </w:rPr>
        <w:t> </w:t>
      </w:r>
      <w:r>
        <w:rPr>
          <w:color w:val="231F20"/>
        </w:rPr>
        <w:t>dirigeants,</w:t>
      </w:r>
      <w:r>
        <w:rPr>
          <w:color w:val="231F20"/>
          <w:spacing w:val="-15"/>
        </w:rPr>
        <w:t> </w:t>
      </w:r>
      <w:r>
        <w:rPr>
          <w:color w:val="231F20"/>
        </w:rPr>
        <w:t>la</w:t>
      </w:r>
      <w:r>
        <w:rPr>
          <w:color w:val="231F20"/>
          <w:spacing w:val="-15"/>
        </w:rPr>
        <w:t> </w:t>
      </w:r>
      <w:r>
        <w:rPr>
          <w:color w:val="231F20"/>
        </w:rPr>
        <w:t>FESCI</w:t>
      </w:r>
      <w:r>
        <w:rPr>
          <w:color w:val="231F20"/>
          <w:spacing w:val="-15"/>
        </w:rPr>
        <w:t> </w:t>
      </w:r>
      <w:r>
        <w:rPr>
          <w:color w:val="231F20"/>
        </w:rPr>
        <w:t>est</w:t>
      </w:r>
      <w:r>
        <w:rPr>
          <w:color w:val="231F20"/>
          <w:spacing w:val="-15"/>
        </w:rPr>
        <w:t> </w:t>
      </w:r>
      <w:r>
        <w:rPr>
          <w:color w:val="231F20"/>
        </w:rPr>
        <w:t>créée</w:t>
      </w:r>
      <w:r>
        <w:rPr>
          <w:color w:val="231F20"/>
          <w:spacing w:val="-15"/>
        </w:rPr>
        <w:t> </w:t>
      </w:r>
      <w:r>
        <w:rPr>
          <w:color w:val="231F20"/>
        </w:rPr>
        <w:t>pour</w:t>
      </w:r>
      <w:r>
        <w:rPr>
          <w:color w:val="231F20"/>
          <w:spacing w:val="-15"/>
        </w:rPr>
        <w:t> </w:t>
      </w:r>
      <w:r>
        <w:rPr>
          <w:color w:val="231F20"/>
        </w:rPr>
        <w:t>réclamer certains droits dus aux étudiants.</w:t>
      </w:r>
    </w:p>
    <w:p>
      <w:pPr>
        <w:pStyle w:val="BodyText"/>
        <w:spacing w:before="120"/>
        <w:ind w:right="106" w:firstLine="283"/>
      </w:pPr>
      <w:r>
        <w:rPr>
          <w:color w:val="231F20"/>
        </w:rPr>
        <w:t>En</w:t>
      </w:r>
      <w:r>
        <w:rPr>
          <w:color w:val="231F20"/>
          <w:spacing w:val="-11"/>
        </w:rPr>
        <w:t> </w:t>
      </w:r>
      <w:r>
        <w:rPr>
          <w:color w:val="231F20"/>
        </w:rPr>
        <w:t>1990,</w:t>
      </w:r>
      <w:r>
        <w:rPr>
          <w:color w:val="231F20"/>
          <w:spacing w:val="-15"/>
        </w:rPr>
        <w:t> </w:t>
      </w:r>
      <w:r>
        <w:rPr>
          <w:color w:val="231F20"/>
        </w:rPr>
        <w:t>l’État</w:t>
      </w:r>
      <w:r>
        <w:rPr>
          <w:color w:val="231F20"/>
          <w:spacing w:val="-13"/>
        </w:rPr>
        <w:t> </w:t>
      </w:r>
      <w:r>
        <w:rPr>
          <w:color w:val="231F20"/>
        </w:rPr>
        <w:t>ne</w:t>
      </w:r>
      <w:r>
        <w:rPr>
          <w:color w:val="231F20"/>
          <w:spacing w:val="-14"/>
        </w:rPr>
        <w:t> </w:t>
      </w:r>
      <w:r>
        <w:rPr>
          <w:color w:val="231F20"/>
        </w:rPr>
        <w:t>peut</w:t>
      </w:r>
      <w:r>
        <w:rPr>
          <w:color w:val="231F20"/>
          <w:spacing w:val="-13"/>
        </w:rPr>
        <w:t> </w:t>
      </w:r>
      <w:r>
        <w:rPr>
          <w:color w:val="231F20"/>
        </w:rPr>
        <w:t>plus</w:t>
      </w:r>
      <w:r>
        <w:rPr>
          <w:color w:val="231F20"/>
          <w:spacing w:val="-12"/>
        </w:rPr>
        <w:t> </w:t>
      </w:r>
      <w:r>
        <w:rPr>
          <w:color w:val="231F20"/>
        </w:rPr>
        <w:t>financer</w:t>
      </w:r>
      <w:r>
        <w:rPr>
          <w:color w:val="231F20"/>
          <w:spacing w:val="-12"/>
        </w:rPr>
        <w:t> </w:t>
      </w:r>
      <w:r>
        <w:rPr>
          <w:color w:val="231F20"/>
        </w:rPr>
        <w:t>à</w:t>
      </w:r>
      <w:r>
        <w:rPr>
          <w:color w:val="231F20"/>
          <w:spacing w:val="-14"/>
        </w:rPr>
        <w:t> </w:t>
      </w:r>
      <w:r>
        <w:rPr>
          <w:color w:val="231F20"/>
        </w:rPr>
        <w:t>coût</w:t>
      </w:r>
      <w:r>
        <w:rPr>
          <w:color w:val="231F20"/>
          <w:spacing w:val="-11"/>
        </w:rPr>
        <w:t> </w:t>
      </w:r>
      <w:r>
        <w:rPr>
          <w:color w:val="231F20"/>
        </w:rPr>
        <w:t>de</w:t>
      </w:r>
      <w:r>
        <w:rPr>
          <w:color w:val="231F20"/>
          <w:spacing w:val="-13"/>
        </w:rPr>
        <w:t> </w:t>
      </w:r>
      <w:r>
        <w:rPr>
          <w:color w:val="231F20"/>
        </w:rPr>
        <w:t>millions</w:t>
      </w:r>
      <w:r>
        <w:rPr>
          <w:color w:val="231F20"/>
          <w:spacing w:val="-13"/>
        </w:rPr>
        <w:t> </w:t>
      </w:r>
      <w:r>
        <w:rPr>
          <w:color w:val="231F20"/>
        </w:rPr>
        <w:t>les</w:t>
      </w:r>
      <w:r>
        <w:rPr>
          <w:color w:val="231F20"/>
          <w:spacing w:val="-13"/>
        </w:rPr>
        <w:t> </w:t>
      </w:r>
      <w:r>
        <w:rPr>
          <w:color w:val="231F20"/>
        </w:rPr>
        <w:t>caisses</w:t>
      </w:r>
      <w:r>
        <w:rPr>
          <w:color w:val="231F20"/>
          <w:spacing w:val="-13"/>
        </w:rPr>
        <w:t> </w:t>
      </w:r>
      <w:r>
        <w:rPr>
          <w:color w:val="231F20"/>
        </w:rPr>
        <w:t>du </w:t>
      </w:r>
      <w:r>
        <w:rPr>
          <w:color w:val="231F20"/>
          <w:spacing w:val="-2"/>
        </w:rPr>
        <w:t>Meeci.</w:t>
      </w:r>
    </w:p>
    <w:p>
      <w:pPr>
        <w:pStyle w:val="BodyText"/>
        <w:spacing w:before="120"/>
        <w:ind w:right="103" w:firstLine="283"/>
      </w:pPr>
      <w:r>
        <w:rPr>
          <w:color w:val="231F20"/>
        </w:rPr>
        <w:t>Privé du parapluie institutionnel et des largesses matérielles du </w:t>
      </w:r>
      <w:r>
        <w:rPr>
          <w:color w:val="231F20"/>
          <w:spacing w:val="-2"/>
        </w:rPr>
        <w:t>pouvoir,</w:t>
      </w:r>
      <w:r>
        <w:rPr>
          <w:color w:val="231F20"/>
          <w:spacing w:val="-12"/>
        </w:rPr>
        <w:t> </w:t>
      </w:r>
      <w:r>
        <w:rPr>
          <w:color w:val="231F20"/>
          <w:spacing w:val="-2"/>
        </w:rPr>
        <w:t>il</w:t>
      </w:r>
      <w:r>
        <w:rPr>
          <w:color w:val="231F20"/>
          <w:spacing w:val="-11"/>
        </w:rPr>
        <w:t> </w:t>
      </w:r>
      <w:r>
        <w:rPr>
          <w:color w:val="231F20"/>
          <w:spacing w:val="-2"/>
        </w:rPr>
        <w:t>disparaît</w:t>
      </w:r>
      <w:r>
        <w:rPr>
          <w:color w:val="231F20"/>
          <w:spacing w:val="-12"/>
        </w:rPr>
        <w:t> </w:t>
      </w:r>
      <w:r>
        <w:rPr>
          <w:color w:val="231F20"/>
          <w:spacing w:val="-2"/>
        </w:rPr>
        <w:t>du</w:t>
      </w:r>
      <w:r>
        <w:rPr>
          <w:color w:val="231F20"/>
          <w:spacing w:val="-12"/>
        </w:rPr>
        <w:t> </w:t>
      </w:r>
      <w:r>
        <w:rPr>
          <w:color w:val="231F20"/>
          <w:spacing w:val="-2"/>
        </w:rPr>
        <w:t>champ</w:t>
      </w:r>
      <w:r>
        <w:rPr>
          <w:color w:val="231F20"/>
          <w:spacing w:val="-12"/>
        </w:rPr>
        <w:t> </w:t>
      </w:r>
      <w:r>
        <w:rPr>
          <w:color w:val="231F20"/>
          <w:spacing w:val="-2"/>
        </w:rPr>
        <w:t>de</w:t>
      </w:r>
      <w:r>
        <w:rPr>
          <w:color w:val="231F20"/>
          <w:spacing w:val="-12"/>
        </w:rPr>
        <w:t> </w:t>
      </w:r>
      <w:r>
        <w:rPr>
          <w:color w:val="231F20"/>
          <w:spacing w:val="-2"/>
        </w:rPr>
        <w:t>la</w:t>
      </w:r>
      <w:r>
        <w:rPr>
          <w:color w:val="231F20"/>
          <w:spacing w:val="-12"/>
        </w:rPr>
        <w:t> </w:t>
      </w:r>
      <w:r>
        <w:rPr>
          <w:color w:val="231F20"/>
          <w:spacing w:val="-2"/>
        </w:rPr>
        <w:t>lutte</w:t>
      </w:r>
      <w:r>
        <w:rPr>
          <w:color w:val="231F20"/>
          <w:spacing w:val="-12"/>
        </w:rPr>
        <w:t> </w:t>
      </w:r>
      <w:r>
        <w:rPr>
          <w:color w:val="231F20"/>
          <w:spacing w:val="-2"/>
        </w:rPr>
        <w:t>syndicale</w:t>
      </w:r>
      <w:r>
        <w:rPr>
          <w:color w:val="231F20"/>
          <w:spacing w:val="-12"/>
        </w:rPr>
        <w:t> </w:t>
      </w:r>
      <w:r>
        <w:rPr>
          <w:color w:val="231F20"/>
          <w:spacing w:val="-2"/>
        </w:rPr>
        <w:t>investi</w:t>
      </w:r>
      <w:r>
        <w:rPr>
          <w:color w:val="231F20"/>
          <w:spacing w:val="-12"/>
        </w:rPr>
        <w:t> </w:t>
      </w:r>
      <w:r>
        <w:rPr>
          <w:color w:val="231F20"/>
          <w:spacing w:val="-2"/>
        </w:rPr>
        <w:t>par</w:t>
      </w:r>
      <w:r>
        <w:rPr>
          <w:color w:val="231F20"/>
          <w:spacing w:val="-12"/>
        </w:rPr>
        <w:t> </w:t>
      </w:r>
      <w:r>
        <w:rPr>
          <w:color w:val="231F20"/>
          <w:spacing w:val="-2"/>
        </w:rPr>
        <w:t>la</w:t>
      </w:r>
      <w:r>
        <w:rPr>
          <w:color w:val="231F20"/>
          <w:spacing w:val="-12"/>
        </w:rPr>
        <w:t> </w:t>
      </w:r>
      <w:r>
        <w:rPr>
          <w:color w:val="231F20"/>
          <w:spacing w:val="-2"/>
        </w:rPr>
        <w:t>nouvelle </w:t>
      </w:r>
      <w:r>
        <w:rPr>
          <w:color w:val="231F20"/>
        </w:rPr>
        <w:t>association</w:t>
      </w:r>
      <w:r>
        <w:rPr>
          <w:color w:val="231F20"/>
          <w:spacing w:val="-14"/>
        </w:rPr>
        <w:t> </w:t>
      </w:r>
      <w:r>
        <w:rPr>
          <w:color w:val="231F20"/>
        </w:rPr>
        <w:t>qui</w:t>
      </w:r>
      <w:r>
        <w:rPr>
          <w:color w:val="231F20"/>
          <w:spacing w:val="-13"/>
        </w:rPr>
        <w:t> </w:t>
      </w:r>
      <w:r>
        <w:rPr>
          <w:color w:val="231F20"/>
        </w:rPr>
        <w:t>s’impose</w:t>
      </w:r>
      <w:r>
        <w:rPr>
          <w:color w:val="231F20"/>
          <w:spacing w:val="-14"/>
        </w:rPr>
        <w:t> </w:t>
      </w:r>
      <w:r>
        <w:rPr>
          <w:color w:val="231F20"/>
        </w:rPr>
        <w:t>comme</w:t>
      </w:r>
      <w:r>
        <w:rPr>
          <w:color w:val="231F20"/>
          <w:spacing w:val="-13"/>
        </w:rPr>
        <w:t> </w:t>
      </w:r>
      <w:r>
        <w:rPr>
          <w:color w:val="231F20"/>
        </w:rPr>
        <w:t>la</w:t>
      </w:r>
      <w:r>
        <w:rPr>
          <w:color w:val="231F20"/>
          <w:spacing w:val="-13"/>
        </w:rPr>
        <w:t> </w:t>
      </w:r>
      <w:r>
        <w:rPr>
          <w:color w:val="231F20"/>
        </w:rPr>
        <w:t>première</w:t>
      </w:r>
      <w:r>
        <w:rPr>
          <w:color w:val="231F20"/>
          <w:spacing w:val="-13"/>
        </w:rPr>
        <w:t> </w:t>
      </w:r>
      <w:r>
        <w:rPr>
          <w:color w:val="231F20"/>
        </w:rPr>
        <w:t>force</w:t>
      </w:r>
      <w:r>
        <w:rPr>
          <w:color w:val="231F20"/>
          <w:spacing w:val="-14"/>
        </w:rPr>
        <w:t> </w:t>
      </w:r>
      <w:r>
        <w:rPr>
          <w:color w:val="231F20"/>
        </w:rPr>
        <w:t>organisée</w:t>
      </w:r>
      <w:r>
        <w:rPr>
          <w:color w:val="231F20"/>
          <w:spacing w:val="-13"/>
        </w:rPr>
        <w:t> </w:t>
      </w:r>
      <w:r>
        <w:rPr>
          <w:color w:val="231F20"/>
        </w:rPr>
        <w:t>à</w:t>
      </w:r>
      <w:r>
        <w:rPr>
          <w:color w:val="231F20"/>
          <w:spacing w:val="-13"/>
        </w:rPr>
        <w:t> </w:t>
      </w:r>
      <w:r>
        <w:rPr>
          <w:color w:val="231F20"/>
        </w:rPr>
        <w:t>même</w:t>
      </w:r>
      <w:r>
        <w:rPr>
          <w:color w:val="231F20"/>
          <w:spacing w:val="-13"/>
        </w:rPr>
        <w:t> </w:t>
      </w:r>
      <w:r>
        <w:rPr>
          <w:color w:val="231F20"/>
        </w:rPr>
        <w:t>de faire</w:t>
      </w:r>
      <w:r>
        <w:rPr>
          <w:color w:val="231F20"/>
          <w:spacing w:val="-10"/>
        </w:rPr>
        <w:t> </w:t>
      </w:r>
      <w:r>
        <w:rPr>
          <w:color w:val="231F20"/>
        </w:rPr>
        <w:t>descendre</w:t>
      </w:r>
      <w:r>
        <w:rPr>
          <w:color w:val="231F20"/>
          <w:spacing w:val="-13"/>
        </w:rPr>
        <w:t> </w:t>
      </w:r>
      <w:r>
        <w:rPr>
          <w:color w:val="231F20"/>
        </w:rPr>
        <w:t>dans</w:t>
      </w:r>
      <w:r>
        <w:rPr>
          <w:color w:val="231F20"/>
          <w:spacing w:val="-12"/>
        </w:rPr>
        <w:t> </w:t>
      </w:r>
      <w:r>
        <w:rPr>
          <w:color w:val="231F20"/>
        </w:rPr>
        <w:t>la</w:t>
      </w:r>
      <w:r>
        <w:rPr>
          <w:color w:val="231F20"/>
          <w:spacing w:val="-13"/>
        </w:rPr>
        <w:t> </w:t>
      </w:r>
      <w:r>
        <w:rPr>
          <w:color w:val="231F20"/>
        </w:rPr>
        <w:t>rue</w:t>
      </w:r>
      <w:r>
        <w:rPr>
          <w:color w:val="231F20"/>
          <w:spacing w:val="-10"/>
        </w:rPr>
        <w:t> </w:t>
      </w:r>
      <w:r>
        <w:rPr>
          <w:color w:val="231F20"/>
        </w:rPr>
        <w:t>des</w:t>
      </w:r>
      <w:r>
        <w:rPr>
          <w:color w:val="231F20"/>
          <w:spacing w:val="-13"/>
        </w:rPr>
        <w:t> </w:t>
      </w:r>
      <w:r>
        <w:rPr>
          <w:color w:val="231F20"/>
        </w:rPr>
        <w:t>dizaines</w:t>
      </w:r>
      <w:r>
        <w:rPr>
          <w:color w:val="231F20"/>
          <w:spacing w:val="-10"/>
        </w:rPr>
        <w:t> </w:t>
      </w:r>
      <w:r>
        <w:rPr>
          <w:color w:val="231F20"/>
        </w:rPr>
        <w:t>de</w:t>
      </w:r>
      <w:r>
        <w:rPr>
          <w:color w:val="231F20"/>
          <w:spacing w:val="-13"/>
        </w:rPr>
        <w:t> </w:t>
      </w:r>
      <w:r>
        <w:rPr>
          <w:color w:val="231F20"/>
        </w:rPr>
        <w:t>milliers</w:t>
      </w:r>
      <w:r>
        <w:rPr>
          <w:color w:val="231F20"/>
          <w:spacing w:val="-14"/>
        </w:rPr>
        <w:t> </w:t>
      </w:r>
      <w:r>
        <w:rPr>
          <w:color w:val="231F20"/>
        </w:rPr>
        <w:t>de</w:t>
      </w:r>
      <w:r>
        <w:rPr>
          <w:color w:val="231F20"/>
          <w:spacing w:val="-10"/>
        </w:rPr>
        <w:t> </w:t>
      </w:r>
      <w:r>
        <w:rPr>
          <w:color w:val="231F20"/>
        </w:rPr>
        <w:t>jeunes.</w:t>
      </w:r>
      <w:r>
        <w:rPr>
          <w:color w:val="231F20"/>
          <w:spacing w:val="-13"/>
        </w:rPr>
        <w:t> </w:t>
      </w:r>
      <w:r>
        <w:rPr>
          <w:color w:val="231F20"/>
        </w:rPr>
        <w:t>La</w:t>
      </w:r>
      <w:r>
        <w:rPr>
          <w:color w:val="231F20"/>
          <w:spacing w:val="-9"/>
        </w:rPr>
        <w:t> </w:t>
      </w:r>
      <w:r>
        <w:rPr>
          <w:color w:val="231F20"/>
        </w:rPr>
        <w:t>FESCI </w:t>
      </w:r>
      <w:r>
        <w:rPr>
          <w:color w:val="231F20"/>
          <w:spacing w:val="-4"/>
        </w:rPr>
        <w:t>regroupe l’essentiel des étudiants engagés dans</w:t>
      </w:r>
      <w:r>
        <w:rPr>
          <w:color w:val="231F20"/>
          <w:spacing w:val="-5"/>
        </w:rPr>
        <w:t> </w:t>
      </w:r>
      <w:r>
        <w:rPr>
          <w:color w:val="231F20"/>
          <w:spacing w:val="-4"/>
        </w:rPr>
        <w:t>la lutte démocratique.</w:t>
      </w:r>
      <w:r>
        <w:rPr>
          <w:color w:val="231F20"/>
          <w:spacing w:val="-6"/>
        </w:rPr>
        <w:t> </w:t>
      </w:r>
      <w:r>
        <w:rPr>
          <w:color w:val="231F20"/>
          <w:spacing w:val="-4"/>
        </w:rPr>
        <w:t>Sur </w:t>
      </w:r>
      <w:r>
        <w:rPr>
          <w:color w:val="231F20"/>
        </w:rPr>
        <w:t>le terrain, au nom de l’unité d’action contre le PDCI, l’adversaire commun,</w:t>
      </w:r>
      <w:r>
        <w:rPr>
          <w:color w:val="231F20"/>
          <w:spacing w:val="-7"/>
        </w:rPr>
        <w:t> </w:t>
      </w:r>
      <w:r>
        <w:rPr>
          <w:color w:val="231F20"/>
        </w:rPr>
        <w:t>la</w:t>
      </w:r>
      <w:r>
        <w:rPr>
          <w:color w:val="231F20"/>
          <w:spacing w:val="-7"/>
        </w:rPr>
        <w:t> </w:t>
      </w:r>
      <w:r>
        <w:rPr>
          <w:color w:val="231F20"/>
        </w:rPr>
        <w:t>FESCI</w:t>
      </w:r>
      <w:r>
        <w:rPr>
          <w:color w:val="231F20"/>
          <w:spacing w:val="-9"/>
        </w:rPr>
        <w:t> </w:t>
      </w:r>
      <w:r>
        <w:rPr>
          <w:color w:val="231F20"/>
        </w:rPr>
        <w:t>se</w:t>
      </w:r>
      <w:r>
        <w:rPr>
          <w:color w:val="231F20"/>
          <w:spacing w:val="-7"/>
        </w:rPr>
        <w:t> </w:t>
      </w:r>
      <w:r>
        <w:rPr>
          <w:color w:val="231F20"/>
        </w:rPr>
        <w:t>retrouve</w:t>
      </w:r>
      <w:r>
        <w:rPr>
          <w:color w:val="231F20"/>
          <w:spacing w:val="-7"/>
        </w:rPr>
        <w:t> </w:t>
      </w:r>
      <w:r>
        <w:rPr>
          <w:color w:val="231F20"/>
        </w:rPr>
        <w:t>l’alliée</w:t>
      </w:r>
      <w:r>
        <w:rPr>
          <w:color w:val="231F20"/>
          <w:spacing w:val="-7"/>
        </w:rPr>
        <w:t> </w:t>
      </w:r>
      <w:r>
        <w:rPr>
          <w:color w:val="231F20"/>
        </w:rPr>
        <w:t>naturelle</w:t>
      </w:r>
      <w:r>
        <w:rPr>
          <w:color w:val="231F20"/>
          <w:spacing w:val="-7"/>
        </w:rPr>
        <w:t> </w:t>
      </w:r>
      <w:r>
        <w:rPr>
          <w:color w:val="231F20"/>
        </w:rPr>
        <w:t>des</w:t>
      </w:r>
      <w:r>
        <w:rPr>
          <w:color w:val="231F20"/>
          <w:spacing w:val="-7"/>
        </w:rPr>
        <w:t> </w:t>
      </w:r>
      <w:r>
        <w:rPr>
          <w:color w:val="231F20"/>
        </w:rPr>
        <w:t>partis</w:t>
      </w:r>
      <w:r>
        <w:rPr>
          <w:color w:val="231F20"/>
          <w:spacing w:val="-7"/>
        </w:rPr>
        <w:t> </w:t>
      </w:r>
      <w:r>
        <w:rPr>
          <w:color w:val="231F20"/>
        </w:rPr>
        <w:t>d’opposition d’autant que, sur les quarante partis reconnus, une bonne trentaine est dirigée</w:t>
      </w:r>
      <w:r>
        <w:rPr>
          <w:color w:val="231F20"/>
          <w:spacing w:val="-2"/>
        </w:rPr>
        <w:t> </w:t>
      </w:r>
      <w:r>
        <w:rPr>
          <w:color w:val="231F20"/>
        </w:rPr>
        <w:t>par des</w:t>
      </w:r>
      <w:r>
        <w:rPr>
          <w:color w:val="231F20"/>
          <w:spacing w:val="-2"/>
        </w:rPr>
        <w:t> </w:t>
      </w:r>
      <w:r>
        <w:rPr>
          <w:color w:val="231F20"/>
        </w:rPr>
        <w:t>enseignants.</w:t>
      </w:r>
      <w:r>
        <w:rPr>
          <w:color w:val="231F20"/>
          <w:spacing w:val="-2"/>
        </w:rPr>
        <w:t> </w:t>
      </w:r>
      <w:r>
        <w:rPr>
          <w:color w:val="231F20"/>
        </w:rPr>
        <w:t>Les quatre</w:t>
      </w:r>
      <w:r>
        <w:rPr>
          <w:color w:val="231F20"/>
          <w:spacing w:val="-2"/>
        </w:rPr>
        <w:t> </w:t>
      </w:r>
      <w:r>
        <w:rPr>
          <w:color w:val="231F20"/>
        </w:rPr>
        <w:t>Partis</w:t>
      </w:r>
      <w:r>
        <w:rPr>
          <w:color w:val="231F20"/>
          <w:spacing w:val="-2"/>
        </w:rPr>
        <w:t> </w:t>
      </w:r>
      <w:r>
        <w:rPr>
          <w:color w:val="231F20"/>
        </w:rPr>
        <w:t>les</w:t>
      </w:r>
      <w:r>
        <w:rPr>
          <w:color w:val="231F20"/>
          <w:spacing w:val="-2"/>
        </w:rPr>
        <w:t> </w:t>
      </w:r>
      <w:r>
        <w:rPr>
          <w:color w:val="231F20"/>
        </w:rPr>
        <w:t>plus engagés</w:t>
      </w:r>
      <w:r>
        <w:rPr>
          <w:color w:val="231F20"/>
          <w:spacing w:val="-2"/>
        </w:rPr>
        <w:t> </w:t>
      </w:r>
      <w:r>
        <w:rPr>
          <w:color w:val="231F20"/>
        </w:rPr>
        <w:t>sont des créations de professeurs qui sont par ailleurs militants du SYNARES</w:t>
      </w:r>
      <w:r>
        <w:rPr>
          <w:color w:val="231F20"/>
          <w:spacing w:val="-15"/>
        </w:rPr>
        <w:t> </w:t>
      </w:r>
      <w:r>
        <w:rPr>
          <w:color w:val="231F20"/>
        </w:rPr>
        <w:t>: Laurent Gbagbo (FPI), Francis Wodié (PIT) mais aussi, l’Union des Sociaux-Démocrates (USD) de Bernard Zadi, poète et professeur de stylistique,</w:t>
      </w:r>
      <w:r>
        <w:rPr>
          <w:color w:val="231F20"/>
          <w:spacing w:val="-9"/>
        </w:rPr>
        <w:t> </w:t>
      </w:r>
      <w:r>
        <w:rPr>
          <w:color w:val="231F20"/>
        </w:rPr>
        <w:t>le</w:t>
      </w:r>
      <w:r>
        <w:rPr>
          <w:color w:val="231F20"/>
          <w:spacing w:val="-11"/>
        </w:rPr>
        <w:t> </w:t>
      </w:r>
      <w:r>
        <w:rPr>
          <w:color w:val="231F20"/>
        </w:rPr>
        <w:t>Parti</w:t>
      </w:r>
      <w:r>
        <w:rPr>
          <w:color w:val="231F20"/>
          <w:spacing w:val="-9"/>
        </w:rPr>
        <w:t> </w:t>
      </w:r>
      <w:r>
        <w:rPr>
          <w:color w:val="231F20"/>
        </w:rPr>
        <w:t>Socialiste</w:t>
      </w:r>
      <w:r>
        <w:rPr>
          <w:color w:val="231F20"/>
          <w:spacing w:val="-11"/>
        </w:rPr>
        <w:t> </w:t>
      </w:r>
      <w:r>
        <w:rPr>
          <w:color w:val="231F20"/>
        </w:rPr>
        <w:t>Ivoirien</w:t>
      </w:r>
      <w:r>
        <w:rPr>
          <w:color w:val="231F20"/>
          <w:spacing w:val="-10"/>
        </w:rPr>
        <w:t> </w:t>
      </w:r>
      <w:r>
        <w:rPr>
          <w:color w:val="231F20"/>
        </w:rPr>
        <w:t>(PSI)</w:t>
      </w:r>
      <w:r>
        <w:rPr>
          <w:color w:val="231F20"/>
          <w:spacing w:val="-9"/>
        </w:rPr>
        <w:t> </w:t>
      </w:r>
      <w:r>
        <w:rPr>
          <w:color w:val="231F20"/>
        </w:rPr>
        <w:t>de</w:t>
      </w:r>
      <w:r>
        <w:rPr>
          <w:color w:val="231F20"/>
          <w:spacing w:val="-10"/>
        </w:rPr>
        <w:t> </w:t>
      </w:r>
      <w:r>
        <w:rPr>
          <w:color w:val="231F20"/>
        </w:rPr>
        <w:t>Moriféré</w:t>
      </w:r>
      <w:r>
        <w:rPr>
          <w:color w:val="231F20"/>
          <w:spacing w:val="-9"/>
        </w:rPr>
        <w:t> </w:t>
      </w:r>
      <w:r>
        <w:rPr>
          <w:color w:val="231F20"/>
        </w:rPr>
        <w:t>Bamba,</w:t>
      </w:r>
      <w:r>
        <w:rPr>
          <w:color w:val="231F20"/>
          <w:spacing w:val="-10"/>
        </w:rPr>
        <w:t> </w:t>
      </w:r>
      <w:r>
        <w:rPr>
          <w:color w:val="231F20"/>
        </w:rPr>
        <w:t>ancien doyen de</w:t>
      </w:r>
      <w:r>
        <w:rPr>
          <w:color w:val="231F20"/>
          <w:spacing w:val="-1"/>
        </w:rPr>
        <w:t> </w:t>
      </w:r>
      <w:r>
        <w:rPr>
          <w:color w:val="231F20"/>
        </w:rPr>
        <w:t>la faculté de pharmacie. Par ailleurs, la FESCI</w:t>
      </w:r>
      <w:r>
        <w:rPr>
          <w:color w:val="231F20"/>
          <w:spacing w:val="-1"/>
        </w:rPr>
        <w:t> </w:t>
      </w:r>
      <w:r>
        <w:rPr>
          <w:color w:val="231F20"/>
        </w:rPr>
        <w:t>soutient et est </w:t>
      </w:r>
      <w:r>
        <w:rPr>
          <w:color w:val="231F20"/>
          <w:spacing w:val="-2"/>
        </w:rPr>
        <w:t>soutenue</w:t>
      </w:r>
      <w:r>
        <w:rPr>
          <w:color w:val="231F20"/>
          <w:spacing w:val="-11"/>
        </w:rPr>
        <w:t> </w:t>
      </w:r>
      <w:r>
        <w:rPr>
          <w:color w:val="231F20"/>
          <w:spacing w:val="-2"/>
        </w:rPr>
        <w:t>par</w:t>
      </w:r>
      <w:r>
        <w:rPr>
          <w:color w:val="231F20"/>
          <w:spacing w:val="-13"/>
        </w:rPr>
        <w:t> </w:t>
      </w:r>
      <w:r>
        <w:rPr>
          <w:color w:val="231F20"/>
          <w:spacing w:val="-2"/>
        </w:rPr>
        <w:t>les</w:t>
      </w:r>
      <w:r>
        <w:rPr>
          <w:color w:val="231F20"/>
          <w:spacing w:val="-13"/>
        </w:rPr>
        <w:t> </w:t>
      </w:r>
      <w:r>
        <w:rPr>
          <w:color w:val="231F20"/>
          <w:spacing w:val="-2"/>
        </w:rPr>
        <w:t>associations</w:t>
      </w:r>
      <w:r>
        <w:rPr>
          <w:color w:val="231F20"/>
          <w:spacing w:val="-13"/>
        </w:rPr>
        <w:t> </w:t>
      </w:r>
      <w:r>
        <w:rPr>
          <w:color w:val="231F20"/>
          <w:spacing w:val="-2"/>
        </w:rPr>
        <w:t>des</w:t>
      </w:r>
      <w:r>
        <w:rPr>
          <w:color w:val="231F20"/>
          <w:spacing w:val="-10"/>
        </w:rPr>
        <w:t> </w:t>
      </w:r>
      <w:r>
        <w:rPr>
          <w:color w:val="231F20"/>
          <w:spacing w:val="-2"/>
        </w:rPr>
        <w:t>droits</w:t>
      </w:r>
      <w:r>
        <w:rPr>
          <w:color w:val="231F20"/>
          <w:spacing w:val="-13"/>
        </w:rPr>
        <w:t> </w:t>
      </w:r>
      <w:r>
        <w:rPr>
          <w:color w:val="231F20"/>
          <w:spacing w:val="-2"/>
        </w:rPr>
        <w:t>de</w:t>
      </w:r>
      <w:r>
        <w:rPr>
          <w:color w:val="231F20"/>
          <w:spacing w:val="-10"/>
        </w:rPr>
        <w:t> </w:t>
      </w:r>
      <w:r>
        <w:rPr>
          <w:color w:val="231F20"/>
          <w:spacing w:val="-2"/>
        </w:rPr>
        <w:t>l’homme</w:t>
      </w:r>
      <w:r>
        <w:rPr>
          <w:color w:val="231F20"/>
          <w:spacing w:val="-13"/>
        </w:rPr>
        <w:t> </w:t>
      </w:r>
      <w:r>
        <w:rPr>
          <w:color w:val="231F20"/>
          <w:spacing w:val="-2"/>
        </w:rPr>
        <w:t>nées</w:t>
      </w:r>
      <w:r>
        <w:rPr>
          <w:color w:val="231F20"/>
          <w:spacing w:val="-10"/>
        </w:rPr>
        <w:t> </w:t>
      </w:r>
      <w:r>
        <w:rPr>
          <w:color w:val="231F20"/>
          <w:spacing w:val="-2"/>
        </w:rPr>
        <w:t>en</w:t>
      </w:r>
      <w:r>
        <w:rPr>
          <w:color w:val="231F20"/>
          <w:spacing w:val="-13"/>
        </w:rPr>
        <w:t> </w:t>
      </w:r>
      <w:r>
        <w:rPr>
          <w:color w:val="231F20"/>
          <w:spacing w:val="-2"/>
        </w:rPr>
        <w:t>même</w:t>
      </w:r>
      <w:r>
        <w:rPr>
          <w:color w:val="231F20"/>
          <w:spacing w:val="-11"/>
        </w:rPr>
        <w:t> </w:t>
      </w:r>
      <w:r>
        <w:rPr>
          <w:color w:val="231F20"/>
          <w:spacing w:val="-2"/>
        </w:rPr>
        <w:t>temps qu’elle.</w:t>
      </w:r>
    </w:p>
    <w:p>
      <w:pPr>
        <w:pStyle w:val="BodyText"/>
        <w:spacing w:before="121"/>
        <w:ind w:right="104" w:firstLine="283"/>
      </w:pPr>
      <w:r>
        <w:rPr>
          <w:color w:val="231F20"/>
        </w:rPr>
        <w:t>Le</w:t>
      </w:r>
      <w:r>
        <w:rPr>
          <w:color w:val="231F20"/>
          <w:spacing w:val="-15"/>
        </w:rPr>
        <w:t> </w:t>
      </w:r>
      <w:r>
        <w:rPr>
          <w:color w:val="231F20"/>
        </w:rPr>
        <w:t>PDCI</w:t>
      </w:r>
      <w:r>
        <w:rPr>
          <w:color w:val="231F20"/>
          <w:spacing w:val="-15"/>
        </w:rPr>
        <w:t> </w:t>
      </w:r>
      <w:r>
        <w:rPr>
          <w:color w:val="231F20"/>
        </w:rPr>
        <w:t>accuse</w:t>
      </w:r>
      <w:r>
        <w:rPr>
          <w:color w:val="231F20"/>
          <w:spacing w:val="-15"/>
        </w:rPr>
        <w:t> </w:t>
      </w:r>
      <w:r>
        <w:rPr>
          <w:color w:val="231F20"/>
        </w:rPr>
        <w:t>le</w:t>
      </w:r>
      <w:r>
        <w:rPr>
          <w:color w:val="231F20"/>
          <w:spacing w:val="-14"/>
        </w:rPr>
        <w:t> </w:t>
      </w:r>
      <w:r>
        <w:rPr>
          <w:color w:val="231F20"/>
        </w:rPr>
        <w:t>FPI</w:t>
      </w:r>
      <w:r>
        <w:rPr>
          <w:color w:val="231F20"/>
          <w:spacing w:val="-15"/>
        </w:rPr>
        <w:t> </w:t>
      </w:r>
      <w:r>
        <w:rPr>
          <w:color w:val="231F20"/>
        </w:rPr>
        <w:t>de</w:t>
      </w:r>
      <w:r>
        <w:rPr>
          <w:color w:val="231F20"/>
          <w:spacing w:val="-14"/>
        </w:rPr>
        <w:t> </w:t>
      </w:r>
      <w:r>
        <w:rPr>
          <w:color w:val="231F20"/>
        </w:rPr>
        <w:t>manipuler</w:t>
      </w:r>
      <w:r>
        <w:rPr>
          <w:color w:val="231F20"/>
          <w:spacing w:val="-14"/>
        </w:rPr>
        <w:t> </w:t>
      </w:r>
      <w:r>
        <w:rPr>
          <w:color w:val="231F20"/>
        </w:rPr>
        <w:t>les</w:t>
      </w:r>
      <w:r>
        <w:rPr>
          <w:color w:val="231F20"/>
          <w:spacing w:val="-15"/>
        </w:rPr>
        <w:t> </w:t>
      </w:r>
      <w:r>
        <w:rPr>
          <w:color w:val="231F20"/>
        </w:rPr>
        <w:t>jeunes</w:t>
      </w:r>
      <w:r>
        <w:rPr>
          <w:color w:val="231F20"/>
          <w:spacing w:val="-15"/>
        </w:rPr>
        <w:t> </w:t>
      </w:r>
      <w:r>
        <w:rPr>
          <w:color w:val="231F20"/>
        </w:rPr>
        <w:t>de</w:t>
      </w:r>
      <w:r>
        <w:rPr>
          <w:color w:val="231F20"/>
          <w:spacing w:val="-14"/>
        </w:rPr>
        <w:t> </w:t>
      </w:r>
      <w:r>
        <w:rPr>
          <w:color w:val="231F20"/>
        </w:rPr>
        <w:t>la</w:t>
      </w:r>
      <w:r>
        <w:rPr>
          <w:color w:val="231F20"/>
          <w:spacing w:val="-14"/>
        </w:rPr>
        <w:t> </w:t>
      </w:r>
      <w:r>
        <w:rPr>
          <w:color w:val="231F20"/>
        </w:rPr>
        <w:t>FESCI</w:t>
      </w:r>
      <w:r>
        <w:rPr>
          <w:color w:val="231F20"/>
          <w:spacing w:val="-15"/>
        </w:rPr>
        <w:t> </w:t>
      </w:r>
      <w:r>
        <w:rPr>
          <w:color w:val="231F20"/>
        </w:rPr>
        <w:t>qui,</w:t>
      </w:r>
      <w:r>
        <w:rPr>
          <w:color w:val="231F20"/>
          <w:spacing w:val="-15"/>
        </w:rPr>
        <w:t> </w:t>
      </w:r>
      <w:r>
        <w:rPr>
          <w:color w:val="231F20"/>
        </w:rPr>
        <w:t>pour leur part, jouent à fond la carte de l’opposition pure et dure. Le 2 mars 1990, des manifestations contestataires sont organisées dans les rues d’Abidjan avec des slogans hostiles au Père fondateur</w:t>
      </w:r>
      <w:r>
        <w:rPr>
          <w:color w:val="231F20"/>
          <w:spacing w:val="-15"/>
        </w:rPr>
        <w:t> </w:t>
      </w:r>
      <w:r>
        <w:rPr>
          <w:color w:val="231F20"/>
        </w:rPr>
        <w:t>:«</w:t>
      </w:r>
      <w:r>
        <w:rPr>
          <w:color w:val="231F20"/>
          <w:spacing w:val="-15"/>
        </w:rPr>
        <w:t> </w:t>
      </w:r>
      <w:r>
        <w:rPr>
          <w:color w:val="231F20"/>
        </w:rPr>
        <w:t>Houphouët </w:t>
      </w:r>
      <w:r>
        <w:rPr>
          <w:color w:val="231F20"/>
          <w:spacing w:val="-2"/>
        </w:rPr>
        <w:t>voleur</w:t>
      </w:r>
      <w:r>
        <w:rPr>
          <w:color w:val="231F20"/>
          <w:spacing w:val="-8"/>
        </w:rPr>
        <w:t> </w:t>
      </w:r>
      <w:r>
        <w:rPr>
          <w:color w:val="231F20"/>
          <w:spacing w:val="-2"/>
        </w:rPr>
        <w:t>»</w:t>
      </w:r>
      <w:r>
        <w:rPr>
          <w:color w:val="231F20"/>
          <w:spacing w:val="-13"/>
        </w:rPr>
        <w:t> </w:t>
      </w:r>
      <w:r>
        <w:rPr>
          <w:color w:val="231F20"/>
          <w:spacing w:val="-2"/>
        </w:rPr>
        <w:t>…</w:t>
      </w:r>
      <w:r>
        <w:rPr>
          <w:color w:val="231F20"/>
          <w:spacing w:val="-11"/>
        </w:rPr>
        <w:t> </w:t>
      </w:r>
      <w:r>
        <w:rPr>
          <w:color w:val="231F20"/>
          <w:spacing w:val="-2"/>
        </w:rPr>
        <w:t>«</w:t>
      </w:r>
      <w:r>
        <w:rPr>
          <w:color w:val="231F20"/>
          <w:spacing w:val="-8"/>
        </w:rPr>
        <w:t> </w:t>
      </w:r>
      <w:r>
        <w:rPr>
          <w:color w:val="231F20"/>
          <w:spacing w:val="-2"/>
        </w:rPr>
        <w:t>Houphouët</w:t>
      </w:r>
      <w:r>
        <w:rPr>
          <w:color w:val="231F20"/>
          <w:spacing w:val="-13"/>
        </w:rPr>
        <w:t> </w:t>
      </w:r>
      <w:r>
        <w:rPr>
          <w:color w:val="231F20"/>
          <w:spacing w:val="-2"/>
        </w:rPr>
        <w:t>corrompu</w:t>
      </w:r>
      <w:r>
        <w:rPr>
          <w:color w:val="231F20"/>
          <w:spacing w:val="-12"/>
        </w:rPr>
        <w:t> </w:t>
      </w:r>
      <w:r>
        <w:rPr>
          <w:color w:val="231F20"/>
          <w:spacing w:val="-2"/>
        </w:rPr>
        <w:t>»</w:t>
      </w:r>
      <w:r>
        <w:rPr>
          <w:color w:val="231F20"/>
          <w:spacing w:val="-11"/>
        </w:rPr>
        <w:t> </w:t>
      </w:r>
      <w:r>
        <w:rPr>
          <w:color w:val="231F20"/>
          <w:spacing w:val="-2"/>
        </w:rPr>
        <w:t>…</w:t>
      </w:r>
      <w:r>
        <w:rPr>
          <w:color w:val="231F20"/>
          <w:spacing w:val="-10"/>
        </w:rPr>
        <w:t> </w:t>
      </w:r>
      <w:r>
        <w:rPr>
          <w:color w:val="231F20"/>
          <w:spacing w:val="-2"/>
        </w:rPr>
        <w:t>Dans</w:t>
      </w:r>
      <w:r>
        <w:rPr>
          <w:color w:val="231F20"/>
          <w:spacing w:val="-11"/>
        </w:rPr>
        <w:t> </w:t>
      </w:r>
      <w:r>
        <w:rPr>
          <w:color w:val="231F20"/>
          <w:spacing w:val="-2"/>
        </w:rPr>
        <w:t>le</w:t>
      </w:r>
      <w:r>
        <w:rPr>
          <w:color w:val="231F20"/>
          <w:spacing w:val="-12"/>
        </w:rPr>
        <w:t> </w:t>
      </w:r>
      <w:r>
        <w:rPr>
          <w:color w:val="231F20"/>
          <w:spacing w:val="-2"/>
        </w:rPr>
        <w:t>but</w:t>
      </w:r>
      <w:r>
        <w:rPr>
          <w:color w:val="231F20"/>
          <w:spacing w:val="-10"/>
        </w:rPr>
        <w:t> </w:t>
      </w:r>
      <w:r>
        <w:rPr>
          <w:color w:val="231F20"/>
          <w:spacing w:val="-2"/>
        </w:rPr>
        <w:t>de</w:t>
      </w:r>
      <w:r>
        <w:rPr>
          <w:color w:val="231F20"/>
          <w:spacing w:val="-12"/>
        </w:rPr>
        <w:t> </w:t>
      </w:r>
      <w:r>
        <w:rPr>
          <w:color w:val="231F20"/>
          <w:spacing w:val="-2"/>
        </w:rPr>
        <w:t>donner</w:t>
      </w:r>
      <w:r>
        <w:rPr>
          <w:color w:val="231F20"/>
          <w:spacing w:val="-11"/>
        </w:rPr>
        <w:t> </w:t>
      </w:r>
      <w:r>
        <w:rPr>
          <w:color w:val="231F20"/>
          <w:spacing w:val="-2"/>
        </w:rPr>
        <w:t>une</w:t>
      </w:r>
      <w:r>
        <w:rPr>
          <w:color w:val="231F20"/>
          <w:spacing w:val="-13"/>
        </w:rPr>
        <w:t> </w:t>
      </w:r>
      <w:r>
        <w:rPr>
          <w:color w:val="231F20"/>
          <w:spacing w:val="-2"/>
        </w:rPr>
        <w:t>leçon </w:t>
      </w:r>
      <w:r>
        <w:rPr>
          <w:color w:val="231F20"/>
        </w:rPr>
        <w:t>aux étudiants, le chef d’état-major de l’Armée, le général Gueï fait descendre</w:t>
      </w:r>
      <w:r>
        <w:rPr>
          <w:color w:val="231F20"/>
          <w:spacing w:val="-6"/>
        </w:rPr>
        <w:t> </w:t>
      </w:r>
      <w:r>
        <w:rPr>
          <w:color w:val="231F20"/>
        </w:rPr>
        <w:t>dans</w:t>
      </w:r>
      <w:r>
        <w:rPr>
          <w:color w:val="231F20"/>
          <w:spacing w:val="-6"/>
        </w:rPr>
        <w:t> </w:t>
      </w:r>
      <w:r>
        <w:rPr>
          <w:color w:val="231F20"/>
        </w:rPr>
        <w:t>la</w:t>
      </w:r>
      <w:r>
        <w:rPr>
          <w:color w:val="231F20"/>
          <w:spacing w:val="-3"/>
        </w:rPr>
        <w:t> </w:t>
      </w:r>
      <w:r>
        <w:rPr>
          <w:color w:val="231F20"/>
        </w:rPr>
        <w:t>nuit</w:t>
      </w:r>
      <w:r>
        <w:rPr>
          <w:color w:val="231F20"/>
          <w:spacing w:val="-5"/>
        </w:rPr>
        <w:t> </w:t>
      </w:r>
      <w:r>
        <w:rPr>
          <w:color w:val="231F20"/>
        </w:rPr>
        <w:t>du</w:t>
      </w:r>
      <w:r>
        <w:rPr>
          <w:color w:val="231F20"/>
          <w:spacing w:val="-5"/>
        </w:rPr>
        <w:t> </w:t>
      </w:r>
      <w:r>
        <w:rPr>
          <w:color w:val="231F20"/>
        </w:rPr>
        <w:t>17</w:t>
      </w:r>
      <w:r>
        <w:rPr>
          <w:color w:val="231F20"/>
          <w:spacing w:val="-4"/>
        </w:rPr>
        <w:t> </w:t>
      </w:r>
      <w:r>
        <w:rPr>
          <w:color w:val="231F20"/>
        </w:rPr>
        <w:t>au</w:t>
      </w:r>
      <w:r>
        <w:rPr>
          <w:color w:val="231F20"/>
          <w:spacing w:val="-3"/>
        </w:rPr>
        <w:t> </w:t>
      </w:r>
      <w:r>
        <w:rPr>
          <w:color w:val="231F20"/>
        </w:rPr>
        <w:t>18</w:t>
      </w:r>
      <w:r>
        <w:rPr>
          <w:color w:val="231F20"/>
          <w:spacing w:val="-4"/>
        </w:rPr>
        <w:t> </w:t>
      </w:r>
      <w:r>
        <w:rPr>
          <w:color w:val="231F20"/>
        </w:rPr>
        <w:t>mai</w:t>
      </w:r>
      <w:r>
        <w:rPr>
          <w:color w:val="231F20"/>
          <w:spacing w:val="-4"/>
        </w:rPr>
        <w:t> </w:t>
      </w:r>
      <w:r>
        <w:rPr>
          <w:color w:val="231F20"/>
        </w:rPr>
        <w:t>1991,</w:t>
      </w:r>
      <w:r>
        <w:rPr>
          <w:color w:val="231F20"/>
          <w:spacing w:val="-5"/>
        </w:rPr>
        <w:t> </w:t>
      </w:r>
      <w:r>
        <w:rPr>
          <w:color w:val="231F20"/>
        </w:rPr>
        <w:t>sa</w:t>
      </w:r>
      <w:r>
        <w:rPr>
          <w:color w:val="231F20"/>
          <w:spacing w:val="-4"/>
        </w:rPr>
        <w:t> </w:t>
      </w:r>
      <w:r>
        <w:rPr>
          <w:color w:val="231F20"/>
        </w:rPr>
        <w:t>toute</w:t>
      </w:r>
      <w:r>
        <w:rPr>
          <w:color w:val="231F20"/>
          <w:spacing w:val="-3"/>
        </w:rPr>
        <w:t> </w:t>
      </w:r>
      <w:r>
        <w:rPr>
          <w:color w:val="231F20"/>
        </w:rPr>
        <w:t>nouvelle</w:t>
      </w:r>
      <w:r>
        <w:rPr>
          <w:color w:val="231F20"/>
          <w:spacing w:val="-6"/>
        </w:rPr>
        <w:t> </w:t>
      </w:r>
      <w:r>
        <w:rPr>
          <w:color w:val="231F20"/>
        </w:rPr>
        <w:t>unité</w:t>
      </w:r>
      <w:r>
        <w:rPr>
          <w:color w:val="231F20"/>
          <w:spacing w:val="-2"/>
        </w:rPr>
        <w:t> </w:t>
      </w:r>
      <w:r>
        <w:rPr>
          <w:color w:val="231F20"/>
          <w:spacing w:val="-5"/>
        </w:rPr>
        <w:t>de</w:t>
      </w:r>
    </w:p>
    <w:p>
      <w:pPr>
        <w:spacing w:after="0"/>
        <w:sectPr>
          <w:pgSz w:w="8790" w:h="13610"/>
          <w:pgMar w:header="0" w:footer="802" w:top="1060" w:bottom="1000" w:left="880" w:right="880"/>
        </w:sectPr>
      </w:pPr>
    </w:p>
    <w:p>
      <w:pPr>
        <w:pStyle w:val="BodyText"/>
        <w:spacing w:before="66"/>
        <w:ind w:right="106"/>
      </w:pPr>
      <w:r>
        <w:rPr>
          <w:color w:val="231F20"/>
        </w:rPr>
        <w:t>para-commandos sur le campus universitaire de Yopougon, le grand </w:t>
      </w:r>
      <w:r>
        <w:rPr>
          <w:color w:val="231F20"/>
          <w:spacing w:val="-4"/>
        </w:rPr>
        <w:t>faubourg populeux d’Abidjan. La répression est sauvage. De nombreuses </w:t>
      </w:r>
      <w:r>
        <w:rPr>
          <w:color w:val="231F20"/>
        </w:rPr>
        <w:t>exactions</w:t>
      </w:r>
      <w:r>
        <w:rPr>
          <w:color w:val="231F20"/>
          <w:spacing w:val="-3"/>
        </w:rPr>
        <w:t> </w:t>
      </w:r>
      <w:r>
        <w:rPr>
          <w:color w:val="231F20"/>
        </w:rPr>
        <w:t>sont</w:t>
      </w:r>
      <w:r>
        <w:rPr>
          <w:color w:val="231F20"/>
          <w:spacing w:val="-7"/>
        </w:rPr>
        <w:t> </w:t>
      </w:r>
      <w:r>
        <w:rPr>
          <w:color w:val="231F20"/>
        </w:rPr>
        <w:t>perpétrées,</w:t>
      </w:r>
      <w:r>
        <w:rPr>
          <w:color w:val="231F20"/>
          <w:spacing w:val="-7"/>
        </w:rPr>
        <w:t> </w:t>
      </w:r>
      <w:r>
        <w:rPr>
          <w:color w:val="231F20"/>
        </w:rPr>
        <w:t>notamment</w:t>
      </w:r>
      <w:r>
        <w:rPr>
          <w:color w:val="231F20"/>
          <w:spacing w:val="-6"/>
        </w:rPr>
        <w:t> </w:t>
      </w:r>
      <w:r>
        <w:rPr>
          <w:color w:val="231F20"/>
        </w:rPr>
        <w:t>le</w:t>
      </w:r>
      <w:r>
        <w:rPr>
          <w:color w:val="231F20"/>
          <w:spacing w:val="-5"/>
        </w:rPr>
        <w:t> </w:t>
      </w:r>
      <w:r>
        <w:rPr>
          <w:color w:val="231F20"/>
        </w:rPr>
        <w:t>viol</w:t>
      </w:r>
      <w:r>
        <w:rPr>
          <w:color w:val="231F20"/>
          <w:spacing w:val="-3"/>
        </w:rPr>
        <w:t> </w:t>
      </w:r>
      <w:r>
        <w:rPr>
          <w:color w:val="231F20"/>
        </w:rPr>
        <w:t>d’étudiantes.</w:t>
      </w:r>
    </w:p>
    <w:p>
      <w:pPr>
        <w:pStyle w:val="BodyText"/>
        <w:spacing w:before="120"/>
        <w:ind w:right="105" w:firstLine="283"/>
      </w:pPr>
      <w:r>
        <w:rPr>
          <w:color w:val="231F20"/>
        </w:rPr>
        <w:t>Le 16 juin 1991, Thierry Zébié, un étudiant, transfuge de la FESCI passé du côté du pouvoir, est tué à coups de projectiles par une foule d’étudiants.</w:t>
      </w:r>
      <w:r>
        <w:rPr>
          <w:color w:val="231F20"/>
          <w:spacing w:val="-12"/>
        </w:rPr>
        <w:t> </w:t>
      </w:r>
      <w:r>
        <w:rPr>
          <w:color w:val="231F20"/>
        </w:rPr>
        <w:t>Les</w:t>
      </w:r>
      <w:r>
        <w:rPr>
          <w:color w:val="231F20"/>
          <w:spacing w:val="-14"/>
        </w:rPr>
        <w:t> </w:t>
      </w:r>
      <w:r>
        <w:rPr>
          <w:color w:val="231F20"/>
        </w:rPr>
        <w:t>responsables</w:t>
      </w:r>
      <w:r>
        <w:rPr>
          <w:color w:val="231F20"/>
          <w:spacing w:val="-12"/>
        </w:rPr>
        <w:t> </w:t>
      </w:r>
      <w:r>
        <w:rPr>
          <w:color w:val="231F20"/>
        </w:rPr>
        <w:t>de</w:t>
      </w:r>
      <w:r>
        <w:rPr>
          <w:color w:val="231F20"/>
          <w:spacing w:val="-15"/>
        </w:rPr>
        <w:t> </w:t>
      </w:r>
      <w:r>
        <w:rPr>
          <w:color w:val="231F20"/>
        </w:rPr>
        <w:t>la</w:t>
      </w:r>
      <w:r>
        <w:rPr>
          <w:color w:val="231F20"/>
          <w:spacing w:val="-12"/>
        </w:rPr>
        <w:t> </w:t>
      </w:r>
      <w:r>
        <w:rPr>
          <w:color w:val="231F20"/>
        </w:rPr>
        <w:t>FESCI</w:t>
      </w:r>
      <w:r>
        <w:rPr>
          <w:color w:val="231F20"/>
          <w:spacing w:val="-14"/>
        </w:rPr>
        <w:t> </w:t>
      </w:r>
      <w:r>
        <w:rPr>
          <w:color w:val="231F20"/>
        </w:rPr>
        <w:t>voient</w:t>
      </w:r>
      <w:r>
        <w:rPr>
          <w:color w:val="231F20"/>
          <w:spacing w:val="-12"/>
        </w:rPr>
        <w:t> </w:t>
      </w:r>
      <w:r>
        <w:rPr>
          <w:color w:val="231F20"/>
        </w:rPr>
        <w:t>en</w:t>
      </w:r>
      <w:r>
        <w:rPr>
          <w:color w:val="231F20"/>
          <w:spacing w:val="-12"/>
        </w:rPr>
        <w:t> </w:t>
      </w:r>
      <w:r>
        <w:rPr>
          <w:color w:val="231F20"/>
        </w:rPr>
        <w:t>cette</w:t>
      </w:r>
      <w:r>
        <w:rPr>
          <w:color w:val="231F20"/>
          <w:spacing w:val="-15"/>
        </w:rPr>
        <w:t> </w:t>
      </w:r>
      <w:r>
        <w:rPr>
          <w:color w:val="231F20"/>
        </w:rPr>
        <w:t>mort,</w:t>
      </w:r>
      <w:r>
        <w:rPr>
          <w:color w:val="231F20"/>
          <w:spacing w:val="-12"/>
        </w:rPr>
        <w:t> </w:t>
      </w:r>
      <w:r>
        <w:rPr>
          <w:color w:val="231F20"/>
        </w:rPr>
        <w:t>un</w:t>
      </w:r>
      <w:r>
        <w:rPr>
          <w:color w:val="231F20"/>
          <w:spacing w:val="-12"/>
        </w:rPr>
        <w:t> </w:t>
      </w:r>
      <w:r>
        <w:rPr>
          <w:color w:val="231F20"/>
        </w:rPr>
        <w:t>coup monté</w:t>
      </w:r>
      <w:r>
        <w:rPr>
          <w:color w:val="231F20"/>
          <w:spacing w:val="-8"/>
        </w:rPr>
        <w:t> </w:t>
      </w:r>
      <w:r>
        <w:rPr>
          <w:color w:val="231F20"/>
        </w:rPr>
        <w:t>du</w:t>
      </w:r>
      <w:r>
        <w:rPr>
          <w:color w:val="231F20"/>
          <w:spacing w:val="-7"/>
        </w:rPr>
        <w:t> </w:t>
      </w:r>
      <w:r>
        <w:rPr>
          <w:color w:val="231F20"/>
        </w:rPr>
        <w:t>pouvoir</w:t>
      </w:r>
      <w:r>
        <w:rPr>
          <w:color w:val="231F20"/>
          <w:spacing w:val="-7"/>
        </w:rPr>
        <w:t> </w:t>
      </w:r>
      <w:r>
        <w:rPr>
          <w:color w:val="231F20"/>
        </w:rPr>
        <w:t>dans</w:t>
      </w:r>
      <w:r>
        <w:rPr>
          <w:color w:val="231F20"/>
          <w:spacing w:val="-7"/>
        </w:rPr>
        <w:t> </w:t>
      </w:r>
      <w:r>
        <w:rPr>
          <w:color w:val="231F20"/>
        </w:rPr>
        <w:t>le</w:t>
      </w:r>
      <w:r>
        <w:rPr>
          <w:color w:val="231F20"/>
          <w:spacing w:val="-8"/>
        </w:rPr>
        <w:t> </w:t>
      </w:r>
      <w:r>
        <w:rPr>
          <w:color w:val="231F20"/>
        </w:rPr>
        <w:t>but</w:t>
      </w:r>
      <w:r>
        <w:rPr>
          <w:color w:val="231F20"/>
          <w:spacing w:val="-7"/>
        </w:rPr>
        <w:t> </w:t>
      </w:r>
      <w:r>
        <w:rPr>
          <w:color w:val="231F20"/>
        </w:rPr>
        <w:t>de</w:t>
      </w:r>
      <w:r>
        <w:rPr>
          <w:color w:val="231F20"/>
          <w:spacing w:val="-6"/>
        </w:rPr>
        <w:t> </w:t>
      </w:r>
      <w:r>
        <w:rPr>
          <w:color w:val="231F20"/>
        </w:rPr>
        <w:t>détruire</w:t>
      </w:r>
      <w:r>
        <w:rPr>
          <w:color w:val="231F20"/>
          <w:spacing w:val="-6"/>
        </w:rPr>
        <w:t> </w:t>
      </w:r>
      <w:r>
        <w:rPr>
          <w:color w:val="231F20"/>
        </w:rPr>
        <w:t>l’honorabilité</w:t>
      </w:r>
      <w:r>
        <w:rPr>
          <w:color w:val="231F20"/>
          <w:spacing w:val="-7"/>
        </w:rPr>
        <w:t> </w:t>
      </w:r>
      <w:r>
        <w:rPr>
          <w:color w:val="231F20"/>
        </w:rPr>
        <w:t>de</w:t>
      </w:r>
      <w:r>
        <w:rPr>
          <w:color w:val="231F20"/>
          <w:spacing w:val="-7"/>
        </w:rPr>
        <w:t> </w:t>
      </w:r>
      <w:r>
        <w:rPr>
          <w:color w:val="231F20"/>
        </w:rPr>
        <w:t>leur</w:t>
      </w:r>
      <w:r>
        <w:rPr>
          <w:color w:val="231F20"/>
          <w:spacing w:val="-7"/>
        </w:rPr>
        <w:t> </w:t>
      </w:r>
      <w:r>
        <w:rPr>
          <w:color w:val="231F20"/>
        </w:rPr>
        <w:t>syndicat </w:t>
      </w:r>
      <w:r>
        <w:rPr>
          <w:color w:val="231F20"/>
          <w:spacing w:val="-2"/>
        </w:rPr>
        <w:t>dans</w:t>
      </w:r>
      <w:r>
        <w:rPr>
          <w:color w:val="231F20"/>
          <w:spacing w:val="-13"/>
        </w:rPr>
        <w:t> </w:t>
      </w:r>
      <w:r>
        <w:rPr>
          <w:color w:val="231F20"/>
          <w:spacing w:val="-2"/>
        </w:rPr>
        <w:t>l'opinion</w:t>
      </w:r>
      <w:r>
        <w:rPr>
          <w:color w:val="231F20"/>
          <w:spacing w:val="-10"/>
        </w:rPr>
        <w:t> </w:t>
      </w:r>
      <w:r>
        <w:rPr>
          <w:color w:val="231F20"/>
          <w:spacing w:val="-2"/>
        </w:rPr>
        <w:t>et</w:t>
      </w:r>
      <w:r>
        <w:rPr>
          <w:color w:val="231F20"/>
          <w:spacing w:val="-9"/>
        </w:rPr>
        <w:t> </w:t>
      </w:r>
      <w:r>
        <w:rPr>
          <w:color w:val="231F20"/>
          <w:spacing w:val="-2"/>
        </w:rPr>
        <w:t>freiner</w:t>
      </w:r>
      <w:r>
        <w:rPr>
          <w:color w:val="231F20"/>
          <w:spacing w:val="-10"/>
        </w:rPr>
        <w:t> </w:t>
      </w:r>
      <w:r>
        <w:rPr>
          <w:color w:val="231F20"/>
          <w:spacing w:val="-2"/>
        </w:rPr>
        <w:t>son</w:t>
      </w:r>
      <w:r>
        <w:rPr>
          <w:color w:val="231F20"/>
          <w:spacing w:val="-10"/>
        </w:rPr>
        <w:t> </w:t>
      </w:r>
      <w:r>
        <w:rPr>
          <w:color w:val="231F20"/>
          <w:spacing w:val="-2"/>
        </w:rPr>
        <w:t>influence</w:t>
      </w:r>
      <w:r>
        <w:rPr>
          <w:color w:val="231F20"/>
          <w:spacing w:val="-13"/>
        </w:rPr>
        <w:t> </w:t>
      </w:r>
      <w:r>
        <w:rPr>
          <w:color w:val="231F20"/>
          <w:spacing w:val="-2"/>
        </w:rPr>
        <w:t>dans</w:t>
      </w:r>
      <w:r>
        <w:rPr>
          <w:color w:val="231F20"/>
          <w:spacing w:val="-12"/>
        </w:rPr>
        <w:t> </w:t>
      </w:r>
      <w:r>
        <w:rPr>
          <w:color w:val="231F20"/>
          <w:spacing w:val="-2"/>
        </w:rPr>
        <w:t>le</w:t>
      </w:r>
      <w:r>
        <w:rPr>
          <w:color w:val="231F20"/>
          <w:spacing w:val="-13"/>
        </w:rPr>
        <w:t> </w:t>
      </w:r>
      <w:r>
        <w:rPr>
          <w:color w:val="231F20"/>
          <w:spacing w:val="-2"/>
        </w:rPr>
        <w:t>milieu</w:t>
      </w:r>
      <w:r>
        <w:rPr>
          <w:color w:val="231F20"/>
          <w:spacing w:val="-10"/>
        </w:rPr>
        <w:t> </w:t>
      </w:r>
      <w:r>
        <w:rPr>
          <w:color w:val="231F20"/>
          <w:spacing w:val="-2"/>
        </w:rPr>
        <w:t>estudiantin.</w:t>
      </w:r>
      <w:r>
        <w:rPr>
          <w:color w:val="231F20"/>
          <w:spacing w:val="-10"/>
        </w:rPr>
        <w:t> </w:t>
      </w:r>
      <w:r>
        <w:rPr>
          <w:color w:val="231F20"/>
          <w:spacing w:val="-2"/>
        </w:rPr>
        <w:t>Laurent </w:t>
      </w:r>
      <w:r>
        <w:rPr>
          <w:color w:val="231F20"/>
        </w:rPr>
        <w:t>Gbagbo</w:t>
      </w:r>
      <w:r>
        <w:rPr>
          <w:color w:val="231F20"/>
          <w:spacing w:val="-11"/>
        </w:rPr>
        <w:t> </w:t>
      </w:r>
      <w:r>
        <w:rPr>
          <w:color w:val="231F20"/>
        </w:rPr>
        <w:t>monte</w:t>
      </w:r>
      <w:r>
        <w:rPr>
          <w:color w:val="231F20"/>
          <w:spacing w:val="-11"/>
        </w:rPr>
        <w:t> </w:t>
      </w:r>
      <w:r>
        <w:rPr>
          <w:color w:val="231F20"/>
        </w:rPr>
        <w:t>au</w:t>
      </w:r>
      <w:r>
        <w:rPr>
          <w:color w:val="231F20"/>
          <w:spacing w:val="-11"/>
        </w:rPr>
        <w:t> </w:t>
      </w:r>
      <w:r>
        <w:rPr>
          <w:color w:val="231F20"/>
        </w:rPr>
        <w:t>créneau</w:t>
      </w:r>
      <w:r>
        <w:rPr>
          <w:color w:val="231F20"/>
          <w:spacing w:val="-11"/>
        </w:rPr>
        <w:t> </w:t>
      </w:r>
      <w:r>
        <w:rPr>
          <w:color w:val="231F20"/>
        </w:rPr>
        <w:t>quand</w:t>
      </w:r>
      <w:r>
        <w:rPr>
          <w:color w:val="231F20"/>
          <w:spacing w:val="-12"/>
        </w:rPr>
        <w:t> </w:t>
      </w:r>
      <w:r>
        <w:rPr>
          <w:color w:val="231F20"/>
        </w:rPr>
        <w:t>le</w:t>
      </w:r>
      <w:r>
        <w:rPr>
          <w:color w:val="231F20"/>
          <w:spacing w:val="-12"/>
        </w:rPr>
        <w:t> </w:t>
      </w:r>
      <w:r>
        <w:rPr>
          <w:color w:val="231F20"/>
        </w:rPr>
        <w:t>Premier</w:t>
      </w:r>
      <w:r>
        <w:rPr>
          <w:color w:val="231F20"/>
          <w:spacing w:val="-12"/>
        </w:rPr>
        <w:t> </w:t>
      </w:r>
      <w:r>
        <w:rPr>
          <w:color w:val="231F20"/>
        </w:rPr>
        <w:t>ministre</w:t>
      </w:r>
      <w:r>
        <w:rPr>
          <w:color w:val="231F20"/>
          <w:spacing w:val="-11"/>
        </w:rPr>
        <w:t> </w:t>
      </w:r>
      <w:r>
        <w:rPr>
          <w:color w:val="231F20"/>
        </w:rPr>
        <w:t>Alassane</w:t>
      </w:r>
      <w:r>
        <w:rPr>
          <w:color w:val="231F20"/>
          <w:spacing w:val="-11"/>
        </w:rPr>
        <w:t> </w:t>
      </w:r>
      <w:r>
        <w:rPr>
          <w:color w:val="231F20"/>
        </w:rPr>
        <w:t>Ouattara prend</w:t>
      </w:r>
      <w:r>
        <w:rPr>
          <w:color w:val="231F20"/>
          <w:spacing w:val="-9"/>
        </w:rPr>
        <w:t> </w:t>
      </w:r>
      <w:r>
        <w:rPr>
          <w:color w:val="231F20"/>
        </w:rPr>
        <w:t>la</w:t>
      </w:r>
      <w:r>
        <w:rPr>
          <w:color w:val="231F20"/>
          <w:spacing w:val="-9"/>
        </w:rPr>
        <w:t> </w:t>
      </w:r>
      <w:r>
        <w:rPr>
          <w:color w:val="231F20"/>
        </w:rPr>
        <w:t>décision</w:t>
      </w:r>
      <w:r>
        <w:rPr>
          <w:color w:val="231F20"/>
          <w:spacing w:val="-9"/>
        </w:rPr>
        <w:t> </w:t>
      </w:r>
      <w:r>
        <w:rPr>
          <w:color w:val="231F20"/>
        </w:rPr>
        <w:t>de</w:t>
      </w:r>
      <w:r>
        <w:rPr>
          <w:color w:val="231F20"/>
          <w:spacing w:val="-9"/>
        </w:rPr>
        <w:t> </w:t>
      </w:r>
      <w:r>
        <w:rPr>
          <w:color w:val="231F20"/>
        </w:rPr>
        <w:t>dissoudre</w:t>
      </w:r>
      <w:r>
        <w:rPr>
          <w:color w:val="231F20"/>
          <w:spacing w:val="-9"/>
        </w:rPr>
        <w:t> </w:t>
      </w:r>
      <w:r>
        <w:rPr>
          <w:color w:val="231F20"/>
        </w:rPr>
        <w:t>la</w:t>
      </w:r>
      <w:r>
        <w:rPr>
          <w:color w:val="231F20"/>
          <w:spacing w:val="-8"/>
        </w:rPr>
        <w:t> </w:t>
      </w:r>
      <w:r>
        <w:rPr>
          <w:color w:val="231F20"/>
        </w:rPr>
        <w:t>FESCI.</w:t>
      </w:r>
      <w:r>
        <w:rPr>
          <w:color w:val="231F20"/>
          <w:spacing w:val="-8"/>
        </w:rPr>
        <w:t> </w:t>
      </w:r>
      <w:r>
        <w:rPr>
          <w:color w:val="231F20"/>
        </w:rPr>
        <w:t>Il</w:t>
      </w:r>
      <w:r>
        <w:rPr>
          <w:color w:val="231F20"/>
          <w:spacing w:val="-8"/>
        </w:rPr>
        <w:t> </w:t>
      </w:r>
      <w:r>
        <w:rPr>
          <w:color w:val="231F20"/>
        </w:rPr>
        <w:t>parle</w:t>
      </w:r>
      <w:r>
        <w:rPr>
          <w:color w:val="231F20"/>
          <w:spacing w:val="-10"/>
        </w:rPr>
        <w:t> </w:t>
      </w:r>
      <w:r>
        <w:rPr>
          <w:color w:val="231F20"/>
        </w:rPr>
        <w:t>d'une</w:t>
      </w:r>
      <w:r>
        <w:rPr>
          <w:color w:val="231F20"/>
          <w:spacing w:val="-10"/>
        </w:rPr>
        <w:t> </w:t>
      </w:r>
      <w:r>
        <w:rPr>
          <w:color w:val="231F20"/>
        </w:rPr>
        <w:t>"</w:t>
      </w:r>
      <w:r>
        <w:rPr>
          <w:color w:val="231F20"/>
          <w:spacing w:val="-9"/>
        </w:rPr>
        <w:t> </w:t>
      </w:r>
      <w:r>
        <w:rPr>
          <w:color w:val="231F20"/>
        </w:rPr>
        <w:t>grande</w:t>
      </w:r>
      <w:r>
        <w:rPr>
          <w:color w:val="231F20"/>
          <w:spacing w:val="-10"/>
        </w:rPr>
        <w:t> </w:t>
      </w:r>
      <w:r>
        <w:rPr>
          <w:color w:val="231F20"/>
        </w:rPr>
        <w:t>erreur</w:t>
      </w:r>
      <w:r>
        <w:rPr>
          <w:color w:val="231F20"/>
          <w:spacing w:val="-12"/>
        </w:rPr>
        <w:t> </w:t>
      </w:r>
      <w:r>
        <w:rPr>
          <w:color w:val="231F20"/>
        </w:rPr>
        <w:t>" et</w:t>
      </w:r>
      <w:r>
        <w:rPr>
          <w:color w:val="231F20"/>
          <w:spacing w:val="40"/>
        </w:rPr>
        <w:t>  </w:t>
      </w:r>
      <w:r>
        <w:rPr>
          <w:color w:val="231F20"/>
        </w:rPr>
        <w:t>apporte</w:t>
      </w:r>
      <w:r>
        <w:rPr>
          <w:color w:val="231F20"/>
          <w:spacing w:val="80"/>
          <w:w w:val="150"/>
        </w:rPr>
        <w:t> </w:t>
      </w:r>
      <w:r>
        <w:rPr>
          <w:color w:val="231F20"/>
        </w:rPr>
        <w:t>officiellement</w:t>
      </w:r>
      <w:r>
        <w:rPr>
          <w:color w:val="231F20"/>
          <w:spacing w:val="40"/>
        </w:rPr>
        <w:t>  </w:t>
      </w:r>
      <w:r>
        <w:rPr>
          <w:color w:val="231F20"/>
        </w:rPr>
        <w:t>son</w:t>
      </w:r>
      <w:r>
        <w:rPr>
          <w:color w:val="231F20"/>
          <w:spacing w:val="40"/>
        </w:rPr>
        <w:t>  </w:t>
      </w:r>
      <w:r>
        <w:rPr>
          <w:color w:val="231F20"/>
        </w:rPr>
        <w:t>soutien</w:t>
      </w:r>
      <w:r>
        <w:rPr>
          <w:color w:val="231F20"/>
          <w:spacing w:val="80"/>
          <w:w w:val="150"/>
        </w:rPr>
        <w:t> </w:t>
      </w:r>
      <w:r>
        <w:rPr>
          <w:color w:val="231F20"/>
        </w:rPr>
        <w:t>politique</w:t>
      </w:r>
      <w:r>
        <w:rPr>
          <w:color w:val="231F20"/>
          <w:spacing w:val="40"/>
        </w:rPr>
        <w:t>  </w:t>
      </w:r>
      <w:r>
        <w:rPr>
          <w:color w:val="231F20"/>
        </w:rPr>
        <w:t>à</w:t>
      </w:r>
      <w:r>
        <w:rPr>
          <w:color w:val="231F20"/>
          <w:spacing w:val="40"/>
        </w:rPr>
        <w:t>  </w:t>
      </w:r>
      <w:r>
        <w:rPr>
          <w:color w:val="231F20"/>
        </w:rPr>
        <w:t>aux étudiants.</w:t>
      </w:r>
      <w:r>
        <w:rPr>
          <w:color w:val="231F20"/>
          <w:spacing w:val="-15"/>
        </w:rPr>
        <w:t> </w:t>
      </w:r>
      <w:r>
        <w:rPr>
          <w:color w:val="231F20"/>
        </w:rPr>
        <w:t>Pourchassés par les autorités, la plupart des dirigeants de la FESCI rejoignent la clandestinité.</w:t>
      </w:r>
    </w:p>
    <w:p>
      <w:pPr>
        <w:pStyle w:val="BodyText"/>
        <w:spacing w:before="121"/>
        <w:ind w:right="105" w:firstLine="283"/>
      </w:pPr>
      <w:r>
        <w:rPr>
          <w:color w:val="231F20"/>
        </w:rPr>
        <w:t>Leurs militants réclament la constitution d’une Commission internationale pour enquêter au sujet de la descente effectuée par le général Gueï dans la cité universitaire de Yopougon. Le Président Houphouët-Boigny crée plutôt en janvier 1992, une Commission </w:t>
      </w:r>
      <w:r>
        <w:rPr>
          <w:color w:val="231F20"/>
          <w:spacing w:val="-4"/>
        </w:rPr>
        <w:t>gouvernementale pour mener l’enquête. Cette</w:t>
      </w:r>
      <w:r>
        <w:rPr>
          <w:color w:val="231F20"/>
          <w:spacing w:val="-7"/>
        </w:rPr>
        <w:t> </w:t>
      </w:r>
      <w:r>
        <w:rPr>
          <w:color w:val="231F20"/>
          <w:spacing w:val="-4"/>
        </w:rPr>
        <w:t>Commission conclut en fin </w:t>
      </w:r>
      <w:r>
        <w:rPr>
          <w:color w:val="231F20"/>
        </w:rPr>
        <w:t>d’enquête que «</w:t>
      </w:r>
      <w:r>
        <w:rPr>
          <w:color w:val="231F20"/>
          <w:spacing w:val="-11"/>
        </w:rPr>
        <w:t> </w:t>
      </w:r>
      <w:r>
        <w:rPr>
          <w:color w:val="231F20"/>
        </w:rPr>
        <w:t>les soldats avaient violé au moins trois filles et sauvagement passé à tabac des étudiants, et que l’initiative de ce raid </w:t>
      </w:r>
      <w:r>
        <w:rPr>
          <w:color w:val="231F20"/>
          <w:spacing w:val="-2"/>
        </w:rPr>
        <w:t>sauvage</w:t>
      </w:r>
      <w:r>
        <w:rPr>
          <w:color w:val="231F20"/>
          <w:spacing w:val="-13"/>
        </w:rPr>
        <w:t> </w:t>
      </w:r>
      <w:r>
        <w:rPr>
          <w:color w:val="231F20"/>
          <w:spacing w:val="-2"/>
        </w:rPr>
        <w:t>était</w:t>
      </w:r>
      <w:r>
        <w:rPr>
          <w:color w:val="231F20"/>
          <w:spacing w:val="-13"/>
        </w:rPr>
        <w:t> </w:t>
      </w:r>
      <w:r>
        <w:rPr>
          <w:color w:val="231F20"/>
          <w:spacing w:val="-2"/>
        </w:rPr>
        <w:t>imputable</w:t>
      </w:r>
      <w:r>
        <w:rPr>
          <w:color w:val="231F20"/>
          <w:spacing w:val="-13"/>
        </w:rPr>
        <w:t> </w:t>
      </w:r>
      <w:r>
        <w:rPr>
          <w:color w:val="231F20"/>
          <w:spacing w:val="-2"/>
        </w:rPr>
        <w:t>au</w:t>
      </w:r>
      <w:r>
        <w:rPr>
          <w:color w:val="231F20"/>
          <w:spacing w:val="-13"/>
        </w:rPr>
        <w:t> </w:t>
      </w:r>
      <w:r>
        <w:rPr>
          <w:color w:val="231F20"/>
          <w:spacing w:val="-2"/>
        </w:rPr>
        <w:t>Général</w:t>
      </w:r>
      <w:r>
        <w:rPr>
          <w:color w:val="231F20"/>
          <w:spacing w:val="-13"/>
        </w:rPr>
        <w:t> </w:t>
      </w:r>
      <w:r>
        <w:rPr>
          <w:color w:val="231F20"/>
          <w:spacing w:val="-2"/>
        </w:rPr>
        <w:t>Gueï</w:t>
      </w:r>
      <w:r>
        <w:rPr>
          <w:color w:val="231F20"/>
          <w:spacing w:val="-13"/>
        </w:rPr>
        <w:t> </w:t>
      </w:r>
      <w:r>
        <w:rPr>
          <w:color w:val="231F20"/>
          <w:spacing w:val="-2"/>
        </w:rPr>
        <w:t>».</w:t>
      </w:r>
      <w:r>
        <w:rPr>
          <w:color w:val="231F20"/>
          <w:spacing w:val="-13"/>
        </w:rPr>
        <w:t> </w:t>
      </w:r>
      <w:r>
        <w:rPr>
          <w:color w:val="231F20"/>
          <w:spacing w:val="-2"/>
        </w:rPr>
        <w:t>La</w:t>
      </w:r>
      <w:r>
        <w:rPr>
          <w:color w:val="231F20"/>
          <w:spacing w:val="-13"/>
        </w:rPr>
        <w:t> </w:t>
      </w:r>
      <w:r>
        <w:rPr>
          <w:color w:val="231F20"/>
          <w:spacing w:val="-2"/>
        </w:rPr>
        <w:t>Commission</w:t>
      </w:r>
      <w:r>
        <w:rPr>
          <w:color w:val="231F20"/>
          <w:spacing w:val="-13"/>
        </w:rPr>
        <w:t> </w:t>
      </w:r>
      <w:r>
        <w:rPr>
          <w:color w:val="231F20"/>
          <w:spacing w:val="-2"/>
        </w:rPr>
        <w:t>recommande </w:t>
      </w:r>
      <w:r>
        <w:rPr>
          <w:color w:val="231F20"/>
        </w:rPr>
        <w:t>que Gueï soit sanctionné. Houphouët-Boigny refuse de suivre la Commission,</w:t>
      </w:r>
      <w:r>
        <w:rPr>
          <w:color w:val="231F20"/>
          <w:spacing w:val="-11"/>
        </w:rPr>
        <w:t> </w:t>
      </w:r>
      <w:r>
        <w:rPr>
          <w:color w:val="231F20"/>
        </w:rPr>
        <w:t>invoquant</w:t>
      </w:r>
      <w:r>
        <w:rPr>
          <w:color w:val="231F20"/>
          <w:spacing w:val="-8"/>
        </w:rPr>
        <w:t> </w:t>
      </w:r>
      <w:r>
        <w:rPr>
          <w:color w:val="231F20"/>
        </w:rPr>
        <w:t>le</w:t>
      </w:r>
      <w:r>
        <w:rPr>
          <w:color w:val="231F20"/>
          <w:spacing w:val="-12"/>
        </w:rPr>
        <w:t> </w:t>
      </w:r>
      <w:r>
        <w:rPr>
          <w:color w:val="231F20"/>
        </w:rPr>
        <w:t>fait</w:t>
      </w:r>
      <w:r>
        <w:rPr>
          <w:color w:val="231F20"/>
          <w:spacing w:val="-8"/>
        </w:rPr>
        <w:t> </w:t>
      </w:r>
      <w:r>
        <w:rPr>
          <w:color w:val="231F20"/>
        </w:rPr>
        <w:t>qu’il</w:t>
      </w:r>
      <w:r>
        <w:rPr>
          <w:color w:val="231F20"/>
          <w:spacing w:val="-8"/>
        </w:rPr>
        <w:t> </w:t>
      </w:r>
      <w:r>
        <w:rPr>
          <w:color w:val="231F20"/>
        </w:rPr>
        <w:t>ne</w:t>
      </w:r>
      <w:r>
        <w:rPr>
          <w:color w:val="231F20"/>
          <w:spacing w:val="-11"/>
        </w:rPr>
        <w:t> </w:t>
      </w:r>
      <w:r>
        <w:rPr>
          <w:color w:val="231F20"/>
        </w:rPr>
        <w:t>souhaitait</w:t>
      </w:r>
      <w:r>
        <w:rPr>
          <w:color w:val="231F20"/>
          <w:spacing w:val="-8"/>
        </w:rPr>
        <w:t> </w:t>
      </w:r>
      <w:r>
        <w:rPr>
          <w:color w:val="231F20"/>
        </w:rPr>
        <w:t>pas</w:t>
      </w:r>
      <w:r>
        <w:rPr>
          <w:color w:val="231F20"/>
          <w:spacing w:val="-8"/>
        </w:rPr>
        <w:t> </w:t>
      </w:r>
      <w:r>
        <w:rPr>
          <w:color w:val="231F20"/>
        </w:rPr>
        <w:t>diviser</w:t>
      </w:r>
      <w:r>
        <w:rPr>
          <w:color w:val="231F20"/>
          <w:spacing w:val="-11"/>
        </w:rPr>
        <w:t> </w:t>
      </w:r>
      <w:r>
        <w:rPr>
          <w:color w:val="231F20"/>
        </w:rPr>
        <w:t>l’Armée.</w:t>
      </w:r>
    </w:p>
    <w:p>
      <w:pPr>
        <w:pStyle w:val="BodyText"/>
        <w:spacing w:before="120"/>
        <w:ind w:right="103" w:firstLine="283"/>
      </w:pPr>
      <w:r>
        <w:rPr>
          <w:color w:val="231F20"/>
          <w:spacing w:val="-2"/>
        </w:rPr>
        <w:t>Les</w:t>
      </w:r>
      <w:r>
        <w:rPr>
          <w:color w:val="231F20"/>
          <w:spacing w:val="-15"/>
        </w:rPr>
        <w:t> </w:t>
      </w:r>
      <w:r>
        <w:rPr>
          <w:color w:val="231F20"/>
          <w:spacing w:val="-2"/>
        </w:rPr>
        <w:t>étudiants</w:t>
      </w:r>
      <w:r>
        <w:rPr>
          <w:color w:val="231F20"/>
          <w:spacing w:val="-13"/>
        </w:rPr>
        <w:t> </w:t>
      </w:r>
      <w:r>
        <w:rPr>
          <w:color w:val="231F20"/>
          <w:spacing w:val="-2"/>
        </w:rPr>
        <w:t>déçus,</w:t>
      </w:r>
      <w:r>
        <w:rPr>
          <w:color w:val="231F20"/>
          <w:spacing w:val="-13"/>
        </w:rPr>
        <w:t> </w:t>
      </w:r>
      <w:r>
        <w:rPr>
          <w:color w:val="231F20"/>
          <w:spacing w:val="-2"/>
        </w:rPr>
        <w:t>organisent</w:t>
      </w:r>
      <w:r>
        <w:rPr>
          <w:color w:val="231F20"/>
          <w:spacing w:val="-13"/>
        </w:rPr>
        <w:t> </w:t>
      </w:r>
      <w:r>
        <w:rPr>
          <w:color w:val="231F20"/>
          <w:spacing w:val="-2"/>
        </w:rPr>
        <w:t>de</w:t>
      </w:r>
      <w:r>
        <w:rPr>
          <w:color w:val="231F20"/>
          <w:spacing w:val="-13"/>
        </w:rPr>
        <w:t> </w:t>
      </w:r>
      <w:r>
        <w:rPr>
          <w:color w:val="231F20"/>
          <w:spacing w:val="-2"/>
        </w:rPr>
        <w:t>violentes</w:t>
      </w:r>
      <w:r>
        <w:rPr>
          <w:color w:val="231F20"/>
          <w:spacing w:val="-13"/>
        </w:rPr>
        <w:t> </w:t>
      </w:r>
      <w:r>
        <w:rPr>
          <w:color w:val="231F20"/>
          <w:spacing w:val="-2"/>
        </w:rPr>
        <w:t>manifestations</w:t>
      </w:r>
      <w:r>
        <w:rPr>
          <w:color w:val="231F20"/>
          <w:spacing w:val="-13"/>
        </w:rPr>
        <w:t> </w:t>
      </w:r>
      <w:r>
        <w:rPr>
          <w:color w:val="231F20"/>
          <w:spacing w:val="-2"/>
        </w:rPr>
        <w:t>durant</w:t>
      </w:r>
      <w:r>
        <w:rPr>
          <w:color w:val="231F20"/>
          <w:spacing w:val="-13"/>
        </w:rPr>
        <w:t> </w:t>
      </w:r>
      <w:r>
        <w:rPr>
          <w:color w:val="231F20"/>
          <w:spacing w:val="-2"/>
        </w:rPr>
        <w:t>des </w:t>
      </w:r>
      <w:r>
        <w:rPr>
          <w:color w:val="231F20"/>
        </w:rPr>
        <w:t>semaines,</w:t>
      </w:r>
      <w:r>
        <w:rPr>
          <w:color w:val="231F20"/>
          <w:spacing w:val="-12"/>
        </w:rPr>
        <w:t> </w:t>
      </w:r>
      <w:r>
        <w:rPr>
          <w:color w:val="231F20"/>
        </w:rPr>
        <w:t>affrontant</w:t>
      </w:r>
      <w:r>
        <w:rPr>
          <w:color w:val="231F20"/>
          <w:spacing w:val="-12"/>
        </w:rPr>
        <w:t> </w:t>
      </w:r>
      <w:r>
        <w:rPr>
          <w:color w:val="231F20"/>
        </w:rPr>
        <w:t>la</w:t>
      </w:r>
      <w:r>
        <w:rPr>
          <w:color w:val="231F20"/>
          <w:spacing w:val="-13"/>
        </w:rPr>
        <w:t> </w:t>
      </w:r>
      <w:r>
        <w:rPr>
          <w:color w:val="231F20"/>
        </w:rPr>
        <w:t>police,</w:t>
      </w:r>
      <w:r>
        <w:rPr>
          <w:color w:val="231F20"/>
          <w:spacing w:val="-13"/>
        </w:rPr>
        <w:t> </w:t>
      </w:r>
      <w:r>
        <w:rPr>
          <w:color w:val="231F20"/>
        </w:rPr>
        <w:t>brûlant</w:t>
      </w:r>
      <w:r>
        <w:rPr>
          <w:color w:val="231F20"/>
          <w:spacing w:val="-13"/>
        </w:rPr>
        <w:t> </w:t>
      </w:r>
      <w:r>
        <w:rPr>
          <w:color w:val="231F20"/>
        </w:rPr>
        <w:t>des</w:t>
      </w:r>
      <w:r>
        <w:rPr>
          <w:color w:val="231F20"/>
          <w:spacing w:val="-12"/>
        </w:rPr>
        <w:t> </w:t>
      </w:r>
      <w:r>
        <w:rPr>
          <w:color w:val="231F20"/>
        </w:rPr>
        <w:t>pneus,</w:t>
      </w:r>
      <w:r>
        <w:rPr>
          <w:color w:val="231F20"/>
          <w:spacing w:val="-13"/>
        </w:rPr>
        <w:t> </w:t>
      </w:r>
      <w:r>
        <w:rPr>
          <w:color w:val="231F20"/>
        </w:rPr>
        <w:t>détruisant</w:t>
      </w:r>
      <w:r>
        <w:rPr>
          <w:color w:val="231F20"/>
          <w:spacing w:val="-12"/>
        </w:rPr>
        <w:t> </w:t>
      </w:r>
      <w:r>
        <w:rPr>
          <w:color w:val="231F20"/>
        </w:rPr>
        <w:t>des</w:t>
      </w:r>
      <w:r>
        <w:rPr>
          <w:color w:val="231F20"/>
          <w:spacing w:val="-12"/>
        </w:rPr>
        <w:t> </w:t>
      </w:r>
      <w:r>
        <w:rPr>
          <w:color w:val="231F20"/>
        </w:rPr>
        <w:t>vitres</w:t>
      </w:r>
      <w:r>
        <w:rPr>
          <w:color w:val="231F20"/>
          <w:spacing w:val="-12"/>
        </w:rPr>
        <w:t> </w:t>
      </w:r>
      <w:r>
        <w:rPr>
          <w:color w:val="231F20"/>
        </w:rPr>
        <w:t>et </w:t>
      </w:r>
      <w:r>
        <w:rPr>
          <w:color w:val="231F20"/>
          <w:spacing w:val="-6"/>
        </w:rPr>
        <w:t>des portes de bâtiments sur le campus. Le 13 février 1992, la manifestation </w:t>
      </w:r>
      <w:r>
        <w:rPr>
          <w:color w:val="231F20"/>
        </w:rPr>
        <w:t>se termine par l’interpellation d’une centaine de personnes. Le FPI </w:t>
      </w:r>
      <w:r>
        <w:rPr>
          <w:color w:val="231F20"/>
          <w:spacing w:val="-2"/>
        </w:rPr>
        <w:t>organise</w:t>
      </w:r>
      <w:r>
        <w:rPr>
          <w:color w:val="231F20"/>
          <w:spacing w:val="-13"/>
        </w:rPr>
        <w:t> </w:t>
      </w:r>
      <w:r>
        <w:rPr>
          <w:color w:val="231F20"/>
          <w:spacing w:val="-2"/>
        </w:rPr>
        <w:t>la</w:t>
      </w:r>
      <w:r>
        <w:rPr>
          <w:color w:val="231F20"/>
          <w:spacing w:val="-13"/>
        </w:rPr>
        <w:t> </w:t>
      </w:r>
      <w:r>
        <w:rPr>
          <w:color w:val="231F20"/>
          <w:spacing w:val="-2"/>
        </w:rPr>
        <w:t>semaine</w:t>
      </w:r>
      <w:r>
        <w:rPr>
          <w:color w:val="231F20"/>
          <w:spacing w:val="-13"/>
        </w:rPr>
        <w:t> </w:t>
      </w:r>
      <w:r>
        <w:rPr>
          <w:color w:val="231F20"/>
          <w:spacing w:val="-2"/>
        </w:rPr>
        <w:t>suivante,</w:t>
      </w:r>
      <w:r>
        <w:rPr>
          <w:color w:val="231F20"/>
          <w:spacing w:val="-13"/>
        </w:rPr>
        <w:t> </w:t>
      </w:r>
      <w:r>
        <w:rPr>
          <w:color w:val="231F20"/>
          <w:spacing w:val="-2"/>
        </w:rPr>
        <w:t>une</w:t>
      </w:r>
      <w:r>
        <w:rPr>
          <w:color w:val="231F20"/>
          <w:spacing w:val="-13"/>
        </w:rPr>
        <w:t> </w:t>
      </w:r>
      <w:r>
        <w:rPr>
          <w:color w:val="231F20"/>
          <w:spacing w:val="-2"/>
        </w:rPr>
        <w:t>manifestation</w:t>
      </w:r>
      <w:r>
        <w:rPr>
          <w:color w:val="231F20"/>
          <w:spacing w:val="-13"/>
        </w:rPr>
        <w:t> </w:t>
      </w:r>
      <w:r>
        <w:rPr>
          <w:color w:val="231F20"/>
          <w:spacing w:val="-2"/>
        </w:rPr>
        <w:t>de</w:t>
      </w:r>
      <w:r>
        <w:rPr>
          <w:color w:val="231F20"/>
          <w:spacing w:val="-13"/>
        </w:rPr>
        <w:t> </w:t>
      </w:r>
      <w:r>
        <w:rPr>
          <w:color w:val="231F20"/>
          <w:spacing w:val="-2"/>
        </w:rPr>
        <w:t>soutien</w:t>
      </w:r>
      <w:r>
        <w:rPr>
          <w:color w:val="231F20"/>
          <w:spacing w:val="-12"/>
        </w:rPr>
        <w:t> </w:t>
      </w:r>
      <w:r>
        <w:rPr>
          <w:color w:val="231F20"/>
          <w:spacing w:val="-2"/>
        </w:rPr>
        <w:t>aux</w:t>
      </w:r>
      <w:r>
        <w:rPr>
          <w:color w:val="231F20"/>
          <w:spacing w:val="-12"/>
        </w:rPr>
        <w:t> </w:t>
      </w:r>
      <w:r>
        <w:rPr>
          <w:color w:val="231F20"/>
          <w:spacing w:val="-2"/>
        </w:rPr>
        <w:t>étudiants. </w:t>
      </w:r>
      <w:r>
        <w:rPr>
          <w:color w:val="231F20"/>
          <w:spacing w:val="-4"/>
        </w:rPr>
        <w:t>La</w:t>
      </w:r>
      <w:r>
        <w:rPr>
          <w:color w:val="231F20"/>
          <w:spacing w:val="-9"/>
        </w:rPr>
        <w:t> </w:t>
      </w:r>
      <w:r>
        <w:rPr>
          <w:color w:val="231F20"/>
          <w:spacing w:val="-4"/>
        </w:rPr>
        <w:t>manifestation</w:t>
      </w:r>
      <w:r>
        <w:rPr>
          <w:color w:val="231F20"/>
          <w:spacing w:val="-11"/>
        </w:rPr>
        <w:t> </w:t>
      </w:r>
      <w:r>
        <w:rPr>
          <w:color w:val="231F20"/>
          <w:spacing w:val="-4"/>
        </w:rPr>
        <w:t>dégénère</w:t>
      </w:r>
      <w:r>
        <w:rPr>
          <w:color w:val="231F20"/>
        </w:rPr>
        <w:t> </w:t>
      </w:r>
      <w:r>
        <w:rPr>
          <w:color w:val="231F20"/>
          <w:spacing w:val="-4"/>
        </w:rPr>
        <w:t>:</w:t>
      </w:r>
      <w:r>
        <w:rPr>
          <w:color w:val="231F20"/>
          <w:spacing w:val="-11"/>
        </w:rPr>
        <w:t> </w:t>
      </w:r>
      <w:r>
        <w:rPr>
          <w:color w:val="231F20"/>
          <w:spacing w:val="-4"/>
        </w:rPr>
        <w:t>des</w:t>
      </w:r>
      <w:r>
        <w:rPr>
          <w:color w:val="231F20"/>
          <w:spacing w:val="-11"/>
        </w:rPr>
        <w:t> </w:t>
      </w:r>
      <w:r>
        <w:rPr>
          <w:color w:val="231F20"/>
          <w:spacing w:val="-4"/>
        </w:rPr>
        <w:t>véhicules</w:t>
      </w:r>
      <w:r>
        <w:rPr>
          <w:color w:val="231F20"/>
          <w:spacing w:val="-11"/>
        </w:rPr>
        <w:t> </w:t>
      </w:r>
      <w:r>
        <w:rPr>
          <w:color w:val="231F20"/>
          <w:spacing w:val="-4"/>
        </w:rPr>
        <w:t>sont</w:t>
      </w:r>
      <w:r>
        <w:rPr>
          <w:color w:val="231F20"/>
          <w:spacing w:val="-11"/>
        </w:rPr>
        <w:t> </w:t>
      </w:r>
      <w:r>
        <w:rPr>
          <w:color w:val="231F20"/>
          <w:spacing w:val="-4"/>
        </w:rPr>
        <w:t>incendiés</w:t>
      </w:r>
      <w:r>
        <w:rPr>
          <w:color w:val="231F20"/>
          <w:spacing w:val="-11"/>
        </w:rPr>
        <w:t> </w:t>
      </w:r>
      <w:r>
        <w:rPr>
          <w:color w:val="231F20"/>
          <w:spacing w:val="-4"/>
        </w:rPr>
        <w:t>et</w:t>
      </w:r>
      <w:r>
        <w:rPr>
          <w:color w:val="231F20"/>
          <w:spacing w:val="-10"/>
        </w:rPr>
        <w:t> </w:t>
      </w:r>
      <w:r>
        <w:rPr>
          <w:color w:val="231F20"/>
          <w:spacing w:val="-4"/>
        </w:rPr>
        <w:t>300</w:t>
      </w:r>
      <w:r>
        <w:rPr>
          <w:color w:val="231F20"/>
          <w:spacing w:val="-11"/>
        </w:rPr>
        <w:t> </w:t>
      </w:r>
      <w:r>
        <w:rPr>
          <w:color w:val="231F20"/>
          <w:spacing w:val="-4"/>
        </w:rPr>
        <w:t>personnes </w:t>
      </w:r>
      <w:r>
        <w:rPr>
          <w:color w:val="231F20"/>
        </w:rPr>
        <w:t>dont Laurent Gbagbo et René Dégni-Ségui, président de la Ligue ivoirienne</w:t>
      </w:r>
      <w:r>
        <w:rPr>
          <w:color w:val="231F20"/>
          <w:spacing w:val="-15"/>
        </w:rPr>
        <w:t> </w:t>
      </w:r>
      <w:r>
        <w:rPr>
          <w:color w:val="231F20"/>
        </w:rPr>
        <w:t>des</w:t>
      </w:r>
      <w:r>
        <w:rPr>
          <w:color w:val="231F20"/>
          <w:spacing w:val="-15"/>
        </w:rPr>
        <w:t> </w:t>
      </w:r>
      <w:r>
        <w:rPr>
          <w:color w:val="231F20"/>
        </w:rPr>
        <w:t>droits</w:t>
      </w:r>
      <w:r>
        <w:rPr>
          <w:color w:val="231F20"/>
          <w:spacing w:val="-15"/>
        </w:rPr>
        <w:t> </w:t>
      </w:r>
      <w:r>
        <w:rPr>
          <w:color w:val="231F20"/>
        </w:rPr>
        <w:t>de</w:t>
      </w:r>
      <w:r>
        <w:rPr>
          <w:color w:val="231F20"/>
          <w:spacing w:val="-15"/>
        </w:rPr>
        <w:t> </w:t>
      </w:r>
      <w:r>
        <w:rPr>
          <w:color w:val="231F20"/>
        </w:rPr>
        <w:t>l’homme</w:t>
      </w:r>
      <w:r>
        <w:rPr>
          <w:color w:val="231F20"/>
          <w:spacing w:val="-15"/>
        </w:rPr>
        <w:t> </w:t>
      </w:r>
      <w:r>
        <w:rPr>
          <w:color w:val="231F20"/>
        </w:rPr>
        <w:t>sont</w:t>
      </w:r>
      <w:r>
        <w:rPr>
          <w:color w:val="231F20"/>
          <w:spacing w:val="-15"/>
        </w:rPr>
        <w:t> </w:t>
      </w:r>
      <w:r>
        <w:rPr>
          <w:color w:val="231F20"/>
        </w:rPr>
        <w:t>arrêtés.</w:t>
      </w:r>
      <w:r>
        <w:rPr>
          <w:color w:val="231F20"/>
          <w:spacing w:val="-15"/>
        </w:rPr>
        <w:t> </w:t>
      </w:r>
      <w:r>
        <w:rPr>
          <w:color w:val="231F20"/>
        </w:rPr>
        <w:t>Condamnés</w:t>
      </w:r>
      <w:r>
        <w:rPr>
          <w:color w:val="231F20"/>
          <w:spacing w:val="-15"/>
        </w:rPr>
        <w:t> </w:t>
      </w:r>
      <w:r>
        <w:rPr>
          <w:color w:val="231F20"/>
        </w:rPr>
        <w:t>à</w:t>
      </w:r>
      <w:r>
        <w:rPr>
          <w:color w:val="231F20"/>
          <w:spacing w:val="-15"/>
        </w:rPr>
        <w:t> </w:t>
      </w:r>
      <w:r>
        <w:rPr>
          <w:color w:val="231F20"/>
        </w:rPr>
        <w:t>deux</w:t>
      </w:r>
      <w:r>
        <w:rPr>
          <w:color w:val="231F20"/>
          <w:spacing w:val="-15"/>
        </w:rPr>
        <w:t> </w:t>
      </w:r>
      <w:r>
        <w:rPr>
          <w:color w:val="231F20"/>
        </w:rPr>
        <w:t>ans</w:t>
      </w:r>
      <w:r>
        <w:rPr>
          <w:color w:val="231F20"/>
          <w:spacing w:val="-15"/>
        </w:rPr>
        <w:t> </w:t>
      </w:r>
      <w:r>
        <w:rPr>
          <w:color w:val="231F20"/>
        </w:rPr>
        <w:t>de prison ferme, ils sont amnistiés par Houphouët-Boigny le 24 juillet de </w:t>
      </w:r>
      <w:r>
        <w:rPr>
          <w:color w:val="231F20"/>
          <w:spacing w:val="-2"/>
        </w:rPr>
        <w:t>l’année.</w:t>
      </w:r>
    </w:p>
    <w:p>
      <w:pPr>
        <w:spacing w:after="0"/>
        <w:sectPr>
          <w:pgSz w:w="8790" w:h="13610"/>
          <w:pgMar w:header="0" w:footer="802" w:top="1060" w:bottom="1000" w:left="880" w:right="880"/>
        </w:sectPr>
      </w:pPr>
    </w:p>
    <w:p>
      <w:pPr>
        <w:pStyle w:val="Heading3"/>
        <w:spacing w:before="85"/>
        <w:rPr>
          <w:rFonts w:ascii="Times New Roman" w:hAnsi="Times New Roman"/>
          <w:i w:val="0"/>
          <w:sz w:val="16"/>
        </w:rPr>
      </w:pPr>
      <w:r>
        <w:rPr>
          <w:i/>
          <w:color w:val="231F20"/>
          <w:spacing w:val="-2"/>
        </w:rPr>
        <w:t>Le</w:t>
      </w:r>
      <w:r>
        <w:rPr>
          <w:i/>
          <w:color w:val="231F20"/>
          <w:spacing w:val="-12"/>
        </w:rPr>
        <w:t> </w:t>
      </w:r>
      <w:r>
        <w:rPr>
          <w:i/>
          <w:color w:val="231F20"/>
          <w:spacing w:val="-2"/>
        </w:rPr>
        <w:t>phénoméne</w:t>
      </w:r>
      <w:r>
        <w:rPr>
          <w:i/>
          <w:color w:val="231F20"/>
          <w:spacing w:val="-8"/>
        </w:rPr>
        <w:t> </w:t>
      </w:r>
      <w:r>
        <w:rPr>
          <w:i/>
          <w:color w:val="231F20"/>
          <w:spacing w:val="-2"/>
        </w:rPr>
        <w:t>des</w:t>
      </w:r>
      <w:r>
        <w:rPr>
          <w:i/>
          <w:color w:val="231F20"/>
          <w:spacing w:val="-11"/>
        </w:rPr>
        <w:t> </w:t>
      </w:r>
      <w:r>
        <w:rPr>
          <w:i/>
          <w:color w:val="231F20"/>
          <w:spacing w:val="-2"/>
        </w:rPr>
        <w:t>loubards</w:t>
      </w:r>
      <w:r>
        <w:rPr>
          <w:rFonts w:ascii="Times New Roman" w:hAnsi="Times New Roman"/>
          <w:i w:val="0"/>
          <w:color w:val="231F20"/>
          <w:spacing w:val="-2"/>
          <w:position w:val="8"/>
          <w:sz w:val="16"/>
        </w:rPr>
        <w:t>141</w:t>
      </w:r>
    </w:p>
    <w:p>
      <w:pPr>
        <w:pStyle w:val="BodyText"/>
        <w:spacing w:before="256"/>
        <w:ind w:right="103"/>
      </w:pPr>
      <w:r>
        <w:rPr>
          <w:color w:val="231F20"/>
          <w:spacing w:val="-2"/>
        </w:rPr>
        <w:t>Les</w:t>
      </w:r>
      <w:r>
        <w:rPr>
          <w:color w:val="231F20"/>
          <w:spacing w:val="-7"/>
        </w:rPr>
        <w:t> </w:t>
      </w:r>
      <w:r>
        <w:rPr>
          <w:color w:val="231F20"/>
          <w:spacing w:val="-2"/>
        </w:rPr>
        <w:t>jeunes,</w:t>
      </w:r>
      <w:r>
        <w:rPr>
          <w:color w:val="231F20"/>
          <w:spacing w:val="-7"/>
        </w:rPr>
        <w:t> </w:t>
      </w:r>
      <w:r>
        <w:rPr>
          <w:color w:val="231F20"/>
          <w:spacing w:val="-2"/>
        </w:rPr>
        <w:t>dans</w:t>
      </w:r>
      <w:r>
        <w:rPr>
          <w:color w:val="231F20"/>
          <w:spacing w:val="-9"/>
        </w:rPr>
        <w:t> </w:t>
      </w:r>
      <w:r>
        <w:rPr>
          <w:color w:val="231F20"/>
          <w:spacing w:val="-2"/>
        </w:rPr>
        <w:t>leur</w:t>
      </w:r>
      <w:r>
        <w:rPr>
          <w:color w:val="231F20"/>
          <w:spacing w:val="-7"/>
        </w:rPr>
        <w:t> </w:t>
      </w:r>
      <w:r>
        <w:rPr>
          <w:color w:val="231F20"/>
          <w:spacing w:val="-2"/>
        </w:rPr>
        <w:t>lutte</w:t>
      </w:r>
      <w:r>
        <w:rPr>
          <w:color w:val="231F20"/>
          <w:spacing w:val="-9"/>
        </w:rPr>
        <w:t> </w:t>
      </w:r>
      <w:r>
        <w:rPr>
          <w:color w:val="231F20"/>
          <w:spacing w:val="-2"/>
        </w:rPr>
        <w:t>quotidienne</w:t>
      </w:r>
      <w:r>
        <w:rPr>
          <w:color w:val="231F20"/>
          <w:spacing w:val="-7"/>
        </w:rPr>
        <w:t> </w:t>
      </w:r>
      <w:r>
        <w:rPr>
          <w:color w:val="231F20"/>
          <w:spacing w:val="-2"/>
        </w:rPr>
        <w:t>pour</w:t>
      </w:r>
      <w:r>
        <w:rPr>
          <w:color w:val="231F20"/>
          <w:spacing w:val="-7"/>
        </w:rPr>
        <w:t> </w:t>
      </w:r>
      <w:r>
        <w:rPr>
          <w:color w:val="231F20"/>
          <w:spacing w:val="-2"/>
        </w:rPr>
        <w:t>survivre,</w:t>
      </w:r>
      <w:r>
        <w:rPr>
          <w:color w:val="231F20"/>
          <w:spacing w:val="-7"/>
        </w:rPr>
        <w:t> </w:t>
      </w:r>
      <w:r>
        <w:rPr>
          <w:color w:val="231F20"/>
          <w:spacing w:val="-2"/>
        </w:rPr>
        <w:t>franchissent</w:t>
      </w:r>
      <w:r>
        <w:rPr>
          <w:color w:val="231F20"/>
          <w:spacing w:val="-6"/>
        </w:rPr>
        <w:t> </w:t>
      </w:r>
      <w:r>
        <w:rPr>
          <w:color w:val="231F20"/>
          <w:spacing w:val="-2"/>
        </w:rPr>
        <w:t>vite</w:t>
      </w:r>
      <w:r>
        <w:rPr>
          <w:color w:val="231F20"/>
          <w:spacing w:val="-7"/>
        </w:rPr>
        <w:t> </w:t>
      </w:r>
      <w:r>
        <w:rPr>
          <w:color w:val="231F20"/>
          <w:spacing w:val="-2"/>
        </w:rPr>
        <w:t>le pas</w:t>
      </w:r>
      <w:r>
        <w:rPr>
          <w:color w:val="231F20"/>
          <w:spacing w:val="-11"/>
        </w:rPr>
        <w:t> </w:t>
      </w:r>
      <w:r>
        <w:rPr>
          <w:color w:val="231F20"/>
          <w:spacing w:val="-2"/>
        </w:rPr>
        <w:t>vers</w:t>
      </w:r>
      <w:r>
        <w:rPr>
          <w:color w:val="231F20"/>
          <w:spacing w:val="-12"/>
        </w:rPr>
        <w:t> </w:t>
      </w:r>
      <w:r>
        <w:rPr>
          <w:color w:val="231F20"/>
          <w:spacing w:val="-2"/>
        </w:rPr>
        <w:t>la</w:t>
      </w:r>
      <w:r>
        <w:rPr>
          <w:color w:val="231F20"/>
          <w:spacing w:val="-13"/>
        </w:rPr>
        <w:t> </w:t>
      </w:r>
      <w:r>
        <w:rPr>
          <w:color w:val="231F20"/>
          <w:spacing w:val="-2"/>
        </w:rPr>
        <w:t>délinquance.</w:t>
      </w:r>
      <w:r>
        <w:rPr>
          <w:color w:val="231F20"/>
          <w:spacing w:val="-12"/>
        </w:rPr>
        <w:t> </w:t>
      </w:r>
      <w:r>
        <w:rPr>
          <w:color w:val="231F20"/>
          <w:spacing w:val="-2"/>
        </w:rPr>
        <w:t>La</w:t>
      </w:r>
      <w:r>
        <w:rPr>
          <w:color w:val="231F20"/>
          <w:spacing w:val="-10"/>
        </w:rPr>
        <w:t> </w:t>
      </w:r>
      <w:r>
        <w:rPr>
          <w:color w:val="231F20"/>
          <w:spacing w:val="-2"/>
        </w:rPr>
        <w:t>rue</w:t>
      </w:r>
      <w:r>
        <w:rPr>
          <w:color w:val="231F20"/>
          <w:spacing w:val="-10"/>
        </w:rPr>
        <w:t> </w:t>
      </w:r>
      <w:r>
        <w:rPr>
          <w:color w:val="231F20"/>
          <w:spacing w:val="-2"/>
        </w:rPr>
        <w:t>devient</w:t>
      </w:r>
      <w:r>
        <w:rPr>
          <w:color w:val="231F20"/>
          <w:spacing w:val="-13"/>
        </w:rPr>
        <w:t> </w:t>
      </w:r>
      <w:r>
        <w:rPr>
          <w:color w:val="231F20"/>
          <w:spacing w:val="-2"/>
        </w:rPr>
        <w:t>leur</w:t>
      </w:r>
      <w:r>
        <w:rPr>
          <w:color w:val="231F20"/>
          <w:spacing w:val="-10"/>
        </w:rPr>
        <w:t> </w:t>
      </w:r>
      <w:r>
        <w:rPr>
          <w:color w:val="231F20"/>
          <w:spacing w:val="-2"/>
        </w:rPr>
        <w:t>principal</w:t>
      </w:r>
      <w:r>
        <w:rPr>
          <w:color w:val="231F20"/>
          <w:spacing w:val="-10"/>
        </w:rPr>
        <w:t> </w:t>
      </w:r>
      <w:r>
        <w:rPr>
          <w:color w:val="231F20"/>
          <w:spacing w:val="-2"/>
        </w:rPr>
        <w:t>et</w:t>
      </w:r>
      <w:r>
        <w:rPr>
          <w:color w:val="231F20"/>
          <w:spacing w:val="-11"/>
        </w:rPr>
        <w:t> </w:t>
      </w:r>
      <w:r>
        <w:rPr>
          <w:color w:val="231F20"/>
          <w:spacing w:val="-2"/>
        </w:rPr>
        <w:t>unique</w:t>
      </w:r>
      <w:r>
        <w:rPr>
          <w:color w:val="231F20"/>
          <w:spacing w:val="-12"/>
        </w:rPr>
        <w:t> </w:t>
      </w:r>
      <w:r>
        <w:rPr>
          <w:color w:val="231F20"/>
          <w:spacing w:val="-2"/>
        </w:rPr>
        <w:t>moyen</w:t>
      </w:r>
      <w:r>
        <w:rPr>
          <w:color w:val="231F20"/>
          <w:spacing w:val="-12"/>
        </w:rPr>
        <w:t> </w:t>
      </w:r>
      <w:r>
        <w:rPr>
          <w:color w:val="231F20"/>
          <w:spacing w:val="-2"/>
        </w:rPr>
        <w:t>de </w:t>
      </w:r>
      <w:r>
        <w:rPr>
          <w:color w:val="231F20"/>
        </w:rPr>
        <w:t>survie.</w:t>
      </w:r>
      <w:r>
        <w:rPr>
          <w:color w:val="231F20"/>
          <w:spacing w:val="-2"/>
        </w:rPr>
        <w:t> </w:t>
      </w:r>
      <w:r>
        <w:rPr>
          <w:color w:val="231F20"/>
        </w:rPr>
        <w:t>La prostitution, la</w:t>
      </w:r>
      <w:r>
        <w:rPr>
          <w:color w:val="231F20"/>
          <w:spacing w:val="-2"/>
        </w:rPr>
        <w:t> </w:t>
      </w:r>
      <w:r>
        <w:rPr>
          <w:color w:val="231F20"/>
        </w:rPr>
        <w:t>toxicomanie, le</w:t>
      </w:r>
      <w:r>
        <w:rPr>
          <w:color w:val="231F20"/>
          <w:spacing w:val="-2"/>
        </w:rPr>
        <w:t> </w:t>
      </w:r>
      <w:r>
        <w:rPr>
          <w:color w:val="231F20"/>
        </w:rPr>
        <w:t>vol et la</w:t>
      </w:r>
      <w:r>
        <w:rPr>
          <w:color w:val="231F20"/>
          <w:spacing w:val="-2"/>
        </w:rPr>
        <w:t> </w:t>
      </w:r>
      <w:r>
        <w:rPr>
          <w:color w:val="231F20"/>
        </w:rPr>
        <w:t>violence deviennent alors</w:t>
      </w:r>
      <w:r>
        <w:rPr>
          <w:color w:val="231F20"/>
          <w:spacing w:val="-6"/>
        </w:rPr>
        <w:t> </w:t>
      </w:r>
      <w:r>
        <w:rPr>
          <w:color w:val="231F20"/>
        </w:rPr>
        <w:t>le</w:t>
      </w:r>
      <w:r>
        <w:rPr>
          <w:color w:val="231F20"/>
          <w:spacing w:val="-3"/>
        </w:rPr>
        <w:t> </w:t>
      </w:r>
      <w:r>
        <w:rPr>
          <w:color w:val="231F20"/>
        </w:rPr>
        <w:t>vécu</w:t>
      </w:r>
      <w:r>
        <w:rPr>
          <w:color w:val="231F20"/>
          <w:spacing w:val="-3"/>
        </w:rPr>
        <w:t> </w:t>
      </w:r>
      <w:r>
        <w:rPr>
          <w:color w:val="231F20"/>
        </w:rPr>
        <w:t>quotidien</w:t>
      </w:r>
      <w:r>
        <w:rPr>
          <w:color w:val="231F20"/>
          <w:spacing w:val="-3"/>
        </w:rPr>
        <w:t> </w:t>
      </w:r>
      <w:r>
        <w:rPr>
          <w:color w:val="231F20"/>
        </w:rPr>
        <w:t>des</w:t>
      </w:r>
      <w:r>
        <w:rPr>
          <w:color w:val="231F20"/>
          <w:spacing w:val="-3"/>
        </w:rPr>
        <w:t> </w:t>
      </w:r>
      <w:r>
        <w:rPr>
          <w:color w:val="231F20"/>
        </w:rPr>
        <w:t>jeunes</w:t>
      </w:r>
      <w:r>
        <w:rPr>
          <w:color w:val="231F20"/>
          <w:spacing w:val="-3"/>
        </w:rPr>
        <w:t> </w:t>
      </w:r>
      <w:r>
        <w:rPr>
          <w:color w:val="231F20"/>
        </w:rPr>
        <w:t>des</w:t>
      </w:r>
      <w:r>
        <w:rPr>
          <w:color w:val="231F20"/>
          <w:spacing w:val="-6"/>
        </w:rPr>
        <w:t> </w:t>
      </w:r>
      <w:r>
        <w:rPr>
          <w:color w:val="231F20"/>
        </w:rPr>
        <w:t>quartiers</w:t>
      </w:r>
      <w:r>
        <w:rPr>
          <w:color w:val="231F20"/>
          <w:spacing w:val="-4"/>
        </w:rPr>
        <w:t> </w:t>
      </w:r>
      <w:r>
        <w:rPr>
          <w:color w:val="231F20"/>
        </w:rPr>
        <w:t>pauvres.</w:t>
      </w:r>
    </w:p>
    <w:p>
      <w:pPr>
        <w:pStyle w:val="BodyText"/>
        <w:ind w:right="106" w:firstLine="283"/>
      </w:pPr>
      <w:r>
        <w:rPr>
          <w:color w:val="231F20"/>
        </w:rPr>
        <w:t>Des</w:t>
      </w:r>
      <w:r>
        <w:rPr>
          <w:color w:val="231F20"/>
          <w:spacing w:val="-12"/>
        </w:rPr>
        <w:t> </w:t>
      </w:r>
      <w:r>
        <w:rPr>
          <w:color w:val="231F20"/>
        </w:rPr>
        <w:t>groupes</w:t>
      </w:r>
      <w:r>
        <w:rPr>
          <w:color w:val="231F20"/>
          <w:spacing w:val="-13"/>
        </w:rPr>
        <w:t> </w:t>
      </w:r>
      <w:r>
        <w:rPr>
          <w:color w:val="231F20"/>
        </w:rPr>
        <w:t>s'installent</w:t>
      </w:r>
      <w:r>
        <w:rPr>
          <w:color w:val="231F20"/>
          <w:spacing w:val="-12"/>
        </w:rPr>
        <w:t> </w:t>
      </w:r>
      <w:r>
        <w:rPr>
          <w:color w:val="231F20"/>
        </w:rPr>
        <w:t>dans</w:t>
      </w:r>
      <w:r>
        <w:rPr>
          <w:color w:val="231F20"/>
          <w:spacing w:val="-12"/>
        </w:rPr>
        <w:t> </w:t>
      </w:r>
      <w:r>
        <w:rPr>
          <w:color w:val="231F20"/>
        </w:rPr>
        <w:t>les</w:t>
      </w:r>
      <w:r>
        <w:rPr>
          <w:color w:val="231F20"/>
          <w:spacing w:val="-14"/>
        </w:rPr>
        <w:t> </w:t>
      </w:r>
      <w:r>
        <w:rPr>
          <w:color w:val="231F20"/>
        </w:rPr>
        <w:t>quartiers</w:t>
      </w:r>
      <w:r>
        <w:rPr>
          <w:color w:val="231F20"/>
          <w:spacing w:val="-12"/>
        </w:rPr>
        <w:t> </w:t>
      </w:r>
      <w:r>
        <w:rPr>
          <w:color w:val="231F20"/>
        </w:rPr>
        <w:t>d'Abidjan</w:t>
      </w:r>
      <w:r>
        <w:rPr>
          <w:color w:val="231F20"/>
          <w:spacing w:val="-11"/>
        </w:rPr>
        <w:t> </w:t>
      </w:r>
      <w:r>
        <w:rPr>
          <w:color w:val="231F20"/>
        </w:rPr>
        <w:t>et</w:t>
      </w:r>
      <w:r>
        <w:rPr>
          <w:color w:val="231F20"/>
          <w:spacing w:val="-12"/>
        </w:rPr>
        <w:t> </w:t>
      </w:r>
      <w:r>
        <w:rPr>
          <w:color w:val="231F20"/>
        </w:rPr>
        <w:t>se</w:t>
      </w:r>
      <w:r>
        <w:rPr>
          <w:color w:val="231F20"/>
          <w:spacing w:val="-12"/>
        </w:rPr>
        <w:t> </w:t>
      </w:r>
      <w:r>
        <w:rPr>
          <w:color w:val="231F20"/>
        </w:rPr>
        <w:t>dotent</w:t>
      </w:r>
      <w:r>
        <w:rPr>
          <w:color w:val="231F20"/>
          <w:spacing w:val="-12"/>
        </w:rPr>
        <w:t> </w:t>
      </w:r>
      <w:r>
        <w:rPr>
          <w:color w:val="231F20"/>
        </w:rPr>
        <w:t>d'un ensemble d’identifiants qui permettent de les reconnaitre : une musculature</w:t>
      </w:r>
      <w:r>
        <w:rPr>
          <w:color w:val="231F20"/>
          <w:spacing w:val="-4"/>
        </w:rPr>
        <w:t> </w:t>
      </w:r>
      <w:r>
        <w:rPr>
          <w:color w:val="231F20"/>
        </w:rPr>
        <w:t>impressionnante</w:t>
      </w:r>
      <w:r>
        <w:rPr>
          <w:color w:val="231F20"/>
          <w:spacing w:val="-4"/>
        </w:rPr>
        <w:t> </w:t>
      </w:r>
      <w:r>
        <w:rPr>
          <w:color w:val="231F20"/>
        </w:rPr>
        <w:t>et</w:t>
      </w:r>
      <w:r>
        <w:rPr>
          <w:color w:val="231F20"/>
          <w:spacing w:val="-4"/>
        </w:rPr>
        <w:t> </w:t>
      </w:r>
      <w:r>
        <w:rPr>
          <w:color w:val="231F20"/>
        </w:rPr>
        <w:t>imposante,</w:t>
      </w:r>
      <w:r>
        <w:rPr>
          <w:color w:val="231F20"/>
          <w:spacing w:val="-4"/>
        </w:rPr>
        <w:t> </w:t>
      </w:r>
      <w:r>
        <w:rPr>
          <w:color w:val="231F20"/>
        </w:rPr>
        <w:t>un</w:t>
      </w:r>
      <w:r>
        <w:rPr>
          <w:color w:val="231F20"/>
          <w:spacing w:val="-4"/>
        </w:rPr>
        <w:t> </w:t>
      </w:r>
      <w:r>
        <w:rPr>
          <w:color w:val="231F20"/>
        </w:rPr>
        <w:t>langage</w:t>
      </w:r>
      <w:r>
        <w:rPr>
          <w:color w:val="231F20"/>
          <w:spacing w:val="-4"/>
        </w:rPr>
        <w:t> </w:t>
      </w:r>
      <w:r>
        <w:rPr>
          <w:color w:val="231F20"/>
        </w:rPr>
        <w:t>propre</w:t>
      </w:r>
      <w:r>
        <w:rPr>
          <w:color w:val="231F20"/>
          <w:spacing w:val="-4"/>
        </w:rPr>
        <w:t> </w:t>
      </w:r>
      <w:r>
        <w:rPr>
          <w:color w:val="231F20"/>
        </w:rPr>
        <w:t>à</w:t>
      </w:r>
      <w:r>
        <w:rPr>
          <w:color w:val="231F20"/>
          <w:spacing w:val="-4"/>
        </w:rPr>
        <w:t> </w:t>
      </w:r>
      <w:r>
        <w:rPr>
          <w:color w:val="231F20"/>
        </w:rPr>
        <w:t>eux,</w:t>
      </w:r>
      <w:r>
        <w:rPr>
          <w:color w:val="231F20"/>
          <w:spacing w:val="-1"/>
        </w:rPr>
        <w:t> </w:t>
      </w:r>
      <w:r>
        <w:rPr>
          <w:color w:val="231F20"/>
        </w:rPr>
        <w:t>le ‘‘nouchi’’.</w:t>
      </w:r>
      <w:r>
        <w:rPr>
          <w:color w:val="231F20"/>
          <w:spacing w:val="-11"/>
        </w:rPr>
        <w:t> </w:t>
      </w:r>
      <w:r>
        <w:rPr>
          <w:color w:val="231F20"/>
        </w:rPr>
        <w:t>Ces</w:t>
      </w:r>
      <w:r>
        <w:rPr>
          <w:color w:val="231F20"/>
          <w:spacing w:val="-9"/>
        </w:rPr>
        <w:t> </w:t>
      </w:r>
      <w:r>
        <w:rPr>
          <w:color w:val="231F20"/>
        </w:rPr>
        <w:t>jeunes</w:t>
      </w:r>
      <w:r>
        <w:rPr>
          <w:color w:val="231F20"/>
          <w:spacing w:val="-9"/>
        </w:rPr>
        <w:t> </w:t>
      </w:r>
      <w:r>
        <w:rPr>
          <w:color w:val="231F20"/>
        </w:rPr>
        <w:t>sont</w:t>
      </w:r>
      <w:r>
        <w:rPr>
          <w:color w:val="231F20"/>
          <w:spacing w:val="-9"/>
        </w:rPr>
        <w:t> </w:t>
      </w:r>
      <w:r>
        <w:rPr>
          <w:color w:val="231F20"/>
        </w:rPr>
        <w:t>appelés</w:t>
      </w:r>
      <w:r>
        <w:rPr>
          <w:color w:val="231F20"/>
          <w:spacing w:val="-8"/>
        </w:rPr>
        <w:t> </w:t>
      </w:r>
      <w:r>
        <w:rPr>
          <w:color w:val="231F20"/>
        </w:rPr>
        <w:t>«</w:t>
      </w:r>
      <w:r>
        <w:rPr>
          <w:color w:val="231F20"/>
          <w:spacing w:val="-11"/>
        </w:rPr>
        <w:t> </w:t>
      </w:r>
      <w:r>
        <w:rPr>
          <w:color w:val="231F20"/>
        </w:rPr>
        <w:t>loubards</w:t>
      </w:r>
      <w:r>
        <w:rPr>
          <w:color w:val="231F20"/>
          <w:spacing w:val="-9"/>
        </w:rPr>
        <w:t> </w:t>
      </w:r>
      <w:r>
        <w:rPr>
          <w:color w:val="231F20"/>
        </w:rPr>
        <w:t>».</w:t>
      </w:r>
      <w:r>
        <w:rPr>
          <w:color w:val="231F20"/>
          <w:spacing w:val="-11"/>
        </w:rPr>
        <w:t> </w:t>
      </w:r>
      <w:r>
        <w:rPr>
          <w:color w:val="231F20"/>
        </w:rPr>
        <w:t>Organisés</w:t>
      </w:r>
      <w:r>
        <w:rPr>
          <w:color w:val="231F20"/>
          <w:spacing w:val="-9"/>
        </w:rPr>
        <w:t> </w:t>
      </w:r>
      <w:r>
        <w:rPr>
          <w:color w:val="231F20"/>
        </w:rPr>
        <w:t>en</w:t>
      </w:r>
      <w:r>
        <w:rPr>
          <w:color w:val="231F20"/>
          <w:spacing w:val="-9"/>
        </w:rPr>
        <w:t> </w:t>
      </w:r>
      <w:r>
        <w:rPr>
          <w:color w:val="231F20"/>
        </w:rPr>
        <w:t>bandes</w:t>
      </w:r>
      <w:r>
        <w:rPr>
          <w:color w:val="231F20"/>
          <w:spacing w:val="-9"/>
        </w:rPr>
        <w:t> </w:t>
      </w:r>
      <w:r>
        <w:rPr>
          <w:color w:val="231F20"/>
        </w:rPr>
        <w:t>à travers</w:t>
      </w:r>
      <w:r>
        <w:rPr>
          <w:color w:val="231F20"/>
          <w:spacing w:val="-15"/>
        </w:rPr>
        <w:t> </w:t>
      </w:r>
      <w:r>
        <w:rPr>
          <w:color w:val="231F20"/>
        </w:rPr>
        <w:t>l'ensemble</w:t>
      </w:r>
      <w:r>
        <w:rPr>
          <w:color w:val="231F20"/>
          <w:spacing w:val="-15"/>
        </w:rPr>
        <w:t> </w:t>
      </w:r>
      <w:r>
        <w:rPr>
          <w:color w:val="231F20"/>
        </w:rPr>
        <w:t>des</w:t>
      </w:r>
      <w:r>
        <w:rPr>
          <w:color w:val="231F20"/>
          <w:spacing w:val="-15"/>
        </w:rPr>
        <w:t> </w:t>
      </w:r>
      <w:r>
        <w:rPr>
          <w:color w:val="231F20"/>
        </w:rPr>
        <w:t>communes</w:t>
      </w:r>
      <w:r>
        <w:rPr>
          <w:color w:val="231F20"/>
          <w:spacing w:val="-15"/>
        </w:rPr>
        <w:t> </w:t>
      </w:r>
      <w:r>
        <w:rPr>
          <w:color w:val="231F20"/>
        </w:rPr>
        <w:t>d'Abidjan,</w:t>
      </w:r>
      <w:r>
        <w:rPr>
          <w:color w:val="231F20"/>
          <w:spacing w:val="-15"/>
        </w:rPr>
        <w:t> </w:t>
      </w:r>
      <w:r>
        <w:rPr>
          <w:color w:val="231F20"/>
        </w:rPr>
        <w:t>ils</w:t>
      </w:r>
      <w:r>
        <w:rPr>
          <w:color w:val="231F20"/>
          <w:spacing w:val="-15"/>
        </w:rPr>
        <w:t> </w:t>
      </w:r>
      <w:r>
        <w:rPr>
          <w:color w:val="231F20"/>
        </w:rPr>
        <w:t>se</w:t>
      </w:r>
      <w:r>
        <w:rPr>
          <w:color w:val="231F20"/>
          <w:spacing w:val="-15"/>
        </w:rPr>
        <w:t> </w:t>
      </w:r>
      <w:r>
        <w:rPr>
          <w:color w:val="231F20"/>
        </w:rPr>
        <w:t>présentent</w:t>
      </w:r>
      <w:r>
        <w:rPr>
          <w:color w:val="231F20"/>
          <w:spacing w:val="-15"/>
        </w:rPr>
        <w:t> </w:t>
      </w:r>
      <w:r>
        <w:rPr>
          <w:color w:val="231F20"/>
        </w:rPr>
        <w:t>comme</w:t>
      </w:r>
      <w:r>
        <w:rPr>
          <w:color w:val="231F20"/>
          <w:spacing w:val="-15"/>
        </w:rPr>
        <w:t> </w:t>
      </w:r>
      <w:r>
        <w:rPr>
          <w:color w:val="231F20"/>
        </w:rPr>
        <w:t>de grands « bagarreurs » ayant la force pour</w:t>
      </w:r>
      <w:r>
        <w:rPr>
          <w:color w:val="231F20"/>
          <w:spacing w:val="-1"/>
        </w:rPr>
        <w:t> </w:t>
      </w:r>
      <w:r>
        <w:rPr>
          <w:color w:val="231F20"/>
        </w:rPr>
        <w:t>seul moyen de s’imposer. Ils forment une Communauté</w:t>
      </w:r>
      <w:r>
        <w:rPr>
          <w:color w:val="231F20"/>
          <w:spacing w:val="-15"/>
        </w:rPr>
        <w:t> </w:t>
      </w:r>
      <w:r>
        <w:rPr>
          <w:color w:val="231F20"/>
        </w:rPr>
        <w:t>: les "frères de sang'' ou "parents''. C’est la Communauté des "John</w:t>
      </w:r>
      <w:r>
        <w:rPr>
          <w:color w:val="231F20"/>
          <w:spacing w:val="-1"/>
        </w:rPr>
        <w:t> </w:t>
      </w:r>
      <w:r>
        <w:rPr>
          <w:color w:val="231F20"/>
        </w:rPr>
        <w:t>bri" et des "gos bri"</w:t>
      </w:r>
      <w:r>
        <w:rPr>
          <w:color w:val="231F20"/>
          <w:vertAlign w:val="superscript"/>
        </w:rPr>
        <w:t>142</w:t>
      </w:r>
      <w:r>
        <w:rPr>
          <w:color w:val="231F20"/>
          <w:vertAlign w:val="baseline"/>
        </w:rPr>
        <w:t>. Leur territoire, c’est le </w:t>
      </w:r>
      <w:r>
        <w:rPr>
          <w:color w:val="231F20"/>
          <w:spacing w:val="-2"/>
          <w:vertAlign w:val="baseline"/>
        </w:rPr>
        <w:t>"glôglô"</w:t>
      </w:r>
      <w:r>
        <w:rPr>
          <w:color w:val="231F20"/>
          <w:spacing w:val="-2"/>
          <w:vertAlign w:val="superscript"/>
        </w:rPr>
        <w:t>143</w:t>
      </w:r>
      <w:r>
        <w:rPr>
          <w:color w:val="231F20"/>
          <w:spacing w:val="-2"/>
          <w:vertAlign w:val="baseline"/>
        </w:rPr>
        <w:t>.</w:t>
      </w:r>
    </w:p>
    <w:p>
      <w:pPr>
        <w:pStyle w:val="BodyText"/>
        <w:spacing w:before="121"/>
        <w:ind w:right="103" w:firstLine="283"/>
      </w:pPr>
      <w:r>
        <w:rPr>
          <w:color w:val="231F20"/>
        </w:rPr>
        <w:t>Face</w:t>
      </w:r>
      <w:r>
        <w:rPr>
          <w:color w:val="231F20"/>
          <w:spacing w:val="-2"/>
        </w:rPr>
        <w:t> </w:t>
      </w:r>
      <w:r>
        <w:rPr>
          <w:color w:val="231F20"/>
        </w:rPr>
        <w:t>à</w:t>
      </w:r>
      <w:r>
        <w:rPr>
          <w:color w:val="231F20"/>
          <w:spacing w:val="-2"/>
        </w:rPr>
        <w:t> </w:t>
      </w:r>
      <w:r>
        <w:rPr>
          <w:color w:val="231F20"/>
        </w:rPr>
        <w:t>la</w:t>
      </w:r>
      <w:r>
        <w:rPr>
          <w:color w:val="231F20"/>
          <w:spacing w:val="-2"/>
        </w:rPr>
        <w:t> </w:t>
      </w:r>
      <w:r>
        <w:rPr>
          <w:color w:val="231F20"/>
        </w:rPr>
        <w:t>recrudescence</w:t>
      </w:r>
      <w:r>
        <w:rPr>
          <w:color w:val="231F20"/>
          <w:spacing w:val="-3"/>
        </w:rPr>
        <w:t> </w:t>
      </w:r>
      <w:r>
        <w:rPr>
          <w:color w:val="231F20"/>
        </w:rPr>
        <w:t>du</w:t>
      </w:r>
      <w:r>
        <w:rPr>
          <w:color w:val="231F20"/>
          <w:spacing w:val="-2"/>
        </w:rPr>
        <w:t> </w:t>
      </w:r>
      <w:r>
        <w:rPr>
          <w:color w:val="231F20"/>
        </w:rPr>
        <w:t>grand</w:t>
      </w:r>
      <w:r>
        <w:rPr>
          <w:color w:val="231F20"/>
          <w:spacing w:val="-3"/>
        </w:rPr>
        <w:t> </w:t>
      </w:r>
      <w:r>
        <w:rPr>
          <w:color w:val="231F20"/>
        </w:rPr>
        <w:t>banditisme,</w:t>
      </w:r>
      <w:r>
        <w:rPr>
          <w:color w:val="231F20"/>
          <w:spacing w:val="-2"/>
        </w:rPr>
        <w:t> </w:t>
      </w:r>
      <w:r>
        <w:rPr>
          <w:color w:val="231F20"/>
        </w:rPr>
        <w:t>ils</w:t>
      </w:r>
      <w:r>
        <w:rPr>
          <w:color w:val="231F20"/>
          <w:spacing w:val="-5"/>
        </w:rPr>
        <w:t> </w:t>
      </w:r>
      <w:r>
        <w:rPr>
          <w:color w:val="231F20"/>
        </w:rPr>
        <w:t>sont</w:t>
      </w:r>
      <w:r>
        <w:rPr>
          <w:color w:val="231F20"/>
          <w:spacing w:val="-2"/>
        </w:rPr>
        <w:t> </w:t>
      </w:r>
      <w:r>
        <w:rPr>
          <w:color w:val="231F20"/>
        </w:rPr>
        <w:t>sollicités</w:t>
      </w:r>
      <w:r>
        <w:rPr>
          <w:color w:val="231F20"/>
          <w:spacing w:val="-1"/>
        </w:rPr>
        <w:t> </w:t>
      </w:r>
      <w:r>
        <w:rPr>
          <w:color w:val="231F20"/>
        </w:rPr>
        <w:t>pour diverses activités liées à la surveillance des centres commerciaux, des habitations et résidences, des institutions (financières, administratives privées ou publiques) et</w:t>
      </w:r>
      <w:r>
        <w:rPr>
          <w:color w:val="231F20"/>
          <w:spacing w:val="-1"/>
        </w:rPr>
        <w:t> </w:t>
      </w:r>
      <w:r>
        <w:rPr>
          <w:color w:val="231F20"/>
        </w:rPr>
        <w:t>même gardes</w:t>
      </w:r>
      <w:r>
        <w:rPr>
          <w:color w:val="231F20"/>
          <w:spacing w:val="-1"/>
        </w:rPr>
        <w:t> </w:t>
      </w:r>
      <w:r>
        <w:rPr>
          <w:color w:val="231F20"/>
        </w:rPr>
        <w:t>de corps.</w:t>
      </w:r>
    </w:p>
    <w:p>
      <w:pPr>
        <w:pStyle w:val="BodyText"/>
        <w:spacing w:before="241"/>
        <w:ind w:left="0"/>
        <w:jc w:val="left"/>
      </w:pPr>
    </w:p>
    <w:p>
      <w:pPr>
        <w:pStyle w:val="Heading3"/>
        <w:rPr>
          <w:i/>
        </w:rPr>
      </w:pPr>
      <w:bookmarkStart w:name="_TOC_250023" w:id="20"/>
      <w:r>
        <w:rPr>
          <w:i/>
          <w:color w:val="231F20"/>
          <w:spacing w:val="-2"/>
        </w:rPr>
        <w:t>Le</w:t>
      </w:r>
      <w:r>
        <w:rPr>
          <w:i/>
          <w:color w:val="231F20"/>
          <w:spacing w:val="-10"/>
        </w:rPr>
        <w:t> </w:t>
      </w:r>
      <w:r>
        <w:rPr>
          <w:i/>
          <w:color w:val="231F20"/>
          <w:spacing w:val="-2"/>
        </w:rPr>
        <w:t>foncier</w:t>
      </w:r>
      <w:r>
        <w:rPr>
          <w:i/>
          <w:color w:val="231F20"/>
          <w:spacing w:val="-9"/>
        </w:rPr>
        <w:t> </w:t>
      </w:r>
      <w:r>
        <w:rPr>
          <w:i/>
          <w:color w:val="231F20"/>
          <w:spacing w:val="-2"/>
        </w:rPr>
        <w:t>rural</w:t>
      </w:r>
      <w:r>
        <w:rPr>
          <w:i/>
          <w:color w:val="231F20"/>
          <w:spacing w:val="-8"/>
        </w:rPr>
        <w:t> </w:t>
      </w:r>
      <w:r>
        <w:rPr>
          <w:i/>
          <w:color w:val="231F20"/>
          <w:spacing w:val="-2"/>
        </w:rPr>
        <w:t>en</w:t>
      </w:r>
      <w:r>
        <w:rPr>
          <w:i/>
          <w:color w:val="231F20"/>
          <w:spacing w:val="-7"/>
        </w:rPr>
        <w:t> </w:t>
      </w:r>
      <w:bookmarkEnd w:id="20"/>
      <w:r>
        <w:rPr>
          <w:i/>
          <w:color w:val="231F20"/>
          <w:spacing w:val="-4"/>
        </w:rPr>
        <w:t>crise</w:t>
      </w:r>
    </w:p>
    <w:p>
      <w:pPr>
        <w:pStyle w:val="BodyText"/>
        <w:spacing w:before="253"/>
        <w:ind w:right="104" w:firstLine="283"/>
      </w:pPr>
      <w:r>
        <w:rPr>
          <w:color w:val="231F20"/>
        </w:rPr>
        <w:t>Face à la surpopulation sur le campus, à la raréfaction des bourses d’études,</w:t>
      </w:r>
      <w:r>
        <w:rPr>
          <w:color w:val="231F20"/>
          <w:spacing w:val="-15"/>
        </w:rPr>
        <w:t> </w:t>
      </w:r>
      <w:r>
        <w:rPr>
          <w:color w:val="231F20"/>
        </w:rPr>
        <w:t>aux</w:t>
      </w:r>
      <w:r>
        <w:rPr>
          <w:color w:val="231F20"/>
          <w:spacing w:val="-14"/>
        </w:rPr>
        <w:t> </w:t>
      </w:r>
      <w:r>
        <w:rPr>
          <w:color w:val="231F20"/>
        </w:rPr>
        <w:t>affrontements</w:t>
      </w:r>
      <w:r>
        <w:rPr>
          <w:color w:val="231F20"/>
          <w:spacing w:val="-15"/>
        </w:rPr>
        <w:t> </w:t>
      </w:r>
      <w:r>
        <w:rPr>
          <w:color w:val="231F20"/>
        </w:rPr>
        <w:t>constants</w:t>
      </w:r>
      <w:r>
        <w:rPr>
          <w:color w:val="231F20"/>
          <w:spacing w:val="-14"/>
        </w:rPr>
        <w:t> </w:t>
      </w:r>
      <w:r>
        <w:rPr>
          <w:color w:val="231F20"/>
        </w:rPr>
        <w:t>en</w:t>
      </w:r>
      <w:r>
        <w:rPr>
          <w:color w:val="231F20"/>
          <w:spacing w:val="-15"/>
        </w:rPr>
        <w:t> </w:t>
      </w:r>
      <w:r>
        <w:rPr>
          <w:color w:val="231F20"/>
        </w:rPr>
        <w:t>milieu</w:t>
      </w:r>
      <w:r>
        <w:rPr>
          <w:color w:val="231F20"/>
          <w:spacing w:val="-15"/>
        </w:rPr>
        <w:t> </w:t>
      </w:r>
      <w:r>
        <w:rPr>
          <w:color w:val="231F20"/>
        </w:rPr>
        <w:t>scolaire,</w:t>
      </w:r>
      <w:r>
        <w:rPr>
          <w:color w:val="231F20"/>
          <w:spacing w:val="-13"/>
        </w:rPr>
        <w:t> </w:t>
      </w:r>
      <w:r>
        <w:rPr>
          <w:color w:val="231F20"/>
        </w:rPr>
        <w:t>à</w:t>
      </w:r>
      <w:r>
        <w:rPr>
          <w:color w:val="231F20"/>
          <w:spacing w:val="-15"/>
        </w:rPr>
        <w:t> </w:t>
      </w:r>
      <w:r>
        <w:rPr>
          <w:color w:val="231F20"/>
        </w:rPr>
        <w:t>la</w:t>
      </w:r>
      <w:r>
        <w:rPr>
          <w:color w:val="231F20"/>
          <w:spacing w:val="-15"/>
        </w:rPr>
        <w:t> </w:t>
      </w:r>
      <w:r>
        <w:rPr>
          <w:color w:val="231F20"/>
        </w:rPr>
        <w:t>chasse</w:t>
      </w:r>
      <w:r>
        <w:rPr>
          <w:color w:val="231F20"/>
          <w:spacing w:val="-15"/>
        </w:rPr>
        <w:t> </w:t>
      </w:r>
      <w:r>
        <w:rPr>
          <w:color w:val="231F20"/>
        </w:rPr>
        <w:t>des </w:t>
      </w:r>
      <w:r>
        <w:rPr>
          <w:color w:val="231F20"/>
          <w:spacing w:val="-2"/>
        </w:rPr>
        <w:t>membres</w:t>
      </w:r>
      <w:r>
        <w:rPr>
          <w:color w:val="231F20"/>
          <w:spacing w:val="-9"/>
        </w:rPr>
        <w:t> </w:t>
      </w:r>
      <w:r>
        <w:rPr>
          <w:color w:val="231F20"/>
          <w:spacing w:val="-2"/>
        </w:rPr>
        <w:t>de</w:t>
      </w:r>
      <w:r>
        <w:rPr>
          <w:color w:val="231F20"/>
          <w:spacing w:val="-11"/>
        </w:rPr>
        <w:t> </w:t>
      </w:r>
      <w:r>
        <w:rPr>
          <w:color w:val="231F20"/>
          <w:spacing w:val="-2"/>
        </w:rPr>
        <w:t>la</w:t>
      </w:r>
      <w:r>
        <w:rPr>
          <w:color w:val="231F20"/>
          <w:spacing w:val="-9"/>
        </w:rPr>
        <w:t> </w:t>
      </w:r>
      <w:r>
        <w:rPr>
          <w:color w:val="231F20"/>
          <w:spacing w:val="-2"/>
        </w:rPr>
        <w:t>FESCI</w:t>
      </w:r>
      <w:r>
        <w:rPr>
          <w:color w:val="231F20"/>
          <w:spacing w:val="-12"/>
        </w:rPr>
        <w:t> </w:t>
      </w:r>
      <w:r>
        <w:rPr>
          <w:color w:val="231F20"/>
          <w:spacing w:val="-2"/>
        </w:rPr>
        <w:t>considérés</w:t>
      </w:r>
      <w:r>
        <w:rPr>
          <w:color w:val="231F20"/>
          <w:spacing w:val="-9"/>
        </w:rPr>
        <w:t> </w:t>
      </w:r>
      <w:r>
        <w:rPr>
          <w:color w:val="231F20"/>
          <w:spacing w:val="-2"/>
        </w:rPr>
        <w:t>«</w:t>
      </w:r>
      <w:r>
        <w:rPr>
          <w:color w:val="231F20"/>
          <w:spacing w:val="-9"/>
        </w:rPr>
        <w:t> </w:t>
      </w:r>
      <w:r>
        <w:rPr>
          <w:color w:val="231F20"/>
          <w:spacing w:val="-2"/>
        </w:rPr>
        <w:t>hors-la-loi</w:t>
      </w:r>
      <w:r>
        <w:rPr>
          <w:color w:val="231F20"/>
          <w:spacing w:val="-11"/>
        </w:rPr>
        <w:t> </w:t>
      </w:r>
      <w:r>
        <w:rPr>
          <w:color w:val="231F20"/>
          <w:spacing w:val="-2"/>
        </w:rPr>
        <w:t>»</w:t>
      </w:r>
      <w:r>
        <w:rPr>
          <w:color w:val="231F20"/>
          <w:spacing w:val="-9"/>
        </w:rPr>
        <w:t> </w:t>
      </w:r>
      <w:r>
        <w:rPr>
          <w:color w:val="231F20"/>
          <w:spacing w:val="-2"/>
        </w:rPr>
        <w:t>par</w:t>
      </w:r>
      <w:r>
        <w:rPr>
          <w:color w:val="231F20"/>
          <w:spacing w:val="-9"/>
        </w:rPr>
        <w:t> </w:t>
      </w:r>
      <w:r>
        <w:rPr>
          <w:color w:val="231F20"/>
          <w:spacing w:val="-2"/>
        </w:rPr>
        <w:t>le</w:t>
      </w:r>
      <w:r>
        <w:rPr>
          <w:color w:val="231F20"/>
          <w:spacing w:val="-9"/>
        </w:rPr>
        <w:t> </w:t>
      </w:r>
      <w:r>
        <w:rPr>
          <w:color w:val="231F20"/>
          <w:spacing w:val="-2"/>
        </w:rPr>
        <w:t>pouvoir,</w:t>
      </w:r>
      <w:r>
        <w:rPr>
          <w:color w:val="231F20"/>
          <w:spacing w:val="-9"/>
        </w:rPr>
        <w:t> </w:t>
      </w:r>
      <w:r>
        <w:rPr>
          <w:color w:val="231F20"/>
          <w:spacing w:val="-2"/>
        </w:rPr>
        <w:t>à</w:t>
      </w:r>
      <w:r>
        <w:rPr>
          <w:color w:val="231F20"/>
          <w:spacing w:val="-9"/>
        </w:rPr>
        <w:t> </w:t>
      </w:r>
      <w:r>
        <w:rPr>
          <w:color w:val="231F20"/>
          <w:spacing w:val="-2"/>
        </w:rPr>
        <w:t>la</w:t>
      </w:r>
      <w:r>
        <w:rPr>
          <w:color w:val="231F20"/>
          <w:spacing w:val="-9"/>
        </w:rPr>
        <w:t> </w:t>
      </w:r>
      <w:r>
        <w:rPr>
          <w:color w:val="231F20"/>
          <w:spacing w:val="-2"/>
        </w:rPr>
        <w:t>perte </w:t>
      </w:r>
      <w:r>
        <w:rPr>
          <w:color w:val="231F20"/>
        </w:rPr>
        <w:t>d’emploi</w:t>
      </w:r>
      <w:r>
        <w:rPr>
          <w:color w:val="231F20"/>
          <w:spacing w:val="-6"/>
        </w:rPr>
        <w:t> </w:t>
      </w:r>
      <w:r>
        <w:rPr>
          <w:color w:val="231F20"/>
        </w:rPr>
        <w:t>et</w:t>
      </w:r>
      <w:r>
        <w:rPr>
          <w:color w:val="231F20"/>
          <w:spacing w:val="-6"/>
        </w:rPr>
        <w:t> </w:t>
      </w:r>
      <w:r>
        <w:rPr>
          <w:color w:val="231F20"/>
        </w:rPr>
        <w:t>du</w:t>
      </w:r>
      <w:r>
        <w:rPr>
          <w:color w:val="231F20"/>
          <w:spacing w:val="-7"/>
        </w:rPr>
        <w:t> </w:t>
      </w:r>
      <w:r>
        <w:rPr>
          <w:color w:val="231F20"/>
        </w:rPr>
        <w:t>chômage</w:t>
      </w:r>
      <w:r>
        <w:rPr>
          <w:color w:val="231F20"/>
          <w:spacing w:val="-9"/>
        </w:rPr>
        <w:t> </w:t>
      </w:r>
      <w:r>
        <w:rPr>
          <w:color w:val="231F20"/>
        </w:rPr>
        <w:t>dans</w:t>
      </w:r>
      <w:r>
        <w:rPr>
          <w:color w:val="231F20"/>
          <w:spacing w:val="-7"/>
        </w:rPr>
        <w:t> </w:t>
      </w:r>
      <w:r>
        <w:rPr>
          <w:color w:val="231F20"/>
        </w:rPr>
        <w:t>les</w:t>
      </w:r>
      <w:r>
        <w:rPr>
          <w:color w:val="231F20"/>
          <w:spacing w:val="-7"/>
        </w:rPr>
        <w:t> </w:t>
      </w:r>
      <w:r>
        <w:rPr>
          <w:color w:val="231F20"/>
        </w:rPr>
        <w:t>années</w:t>
      </w:r>
      <w:r>
        <w:rPr>
          <w:color w:val="231F20"/>
          <w:spacing w:val="-7"/>
        </w:rPr>
        <w:t> </w:t>
      </w:r>
      <w:r>
        <w:rPr>
          <w:color w:val="231F20"/>
        </w:rPr>
        <w:t>90,</w:t>
      </w:r>
      <w:r>
        <w:rPr>
          <w:color w:val="231F20"/>
          <w:spacing w:val="-9"/>
        </w:rPr>
        <w:t> </w:t>
      </w:r>
      <w:r>
        <w:rPr>
          <w:color w:val="231F20"/>
        </w:rPr>
        <w:t>les</w:t>
      </w:r>
      <w:r>
        <w:rPr>
          <w:color w:val="231F20"/>
          <w:spacing w:val="-7"/>
        </w:rPr>
        <w:t> </w:t>
      </w:r>
      <w:r>
        <w:rPr>
          <w:color w:val="231F20"/>
        </w:rPr>
        <w:t>travailleurs</w:t>
      </w:r>
      <w:r>
        <w:rPr>
          <w:color w:val="231F20"/>
          <w:spacing w:val="-7"/>
        </w:rPr>
        <w:t> </w:t>
      </w:r>
      <w:r>
        <w:rPr>
          <w:color w:val="231F20"/>
        </w:rPr>
        <w:t>et</w:t>
      </w:r>
      <w:r>
        <w:rPr>
          <w:color w:val="231F20"/>
          <w:spacing w:val="-7"/>
        </w:rPr>
        <w:t> </w:t>
      </w:r>
      <w:r>
        <w:rPr>
          <w:color w:val="231F20"/>
        </w:rPr>
        <w:t>étudiants retournent dans les villages dont ils sont originaires,</w:t>
      </w:r>
      <w:r>
        <w:rPr>
          <w:color w:val="231F20"/>
          <w:spacing w:val="-15"/>
        </w:rPr>
        <w:t> </w:t>
      </w:r>
      <w:r>
        <w:rPr>
          <w:color w:val="231F20"/>
        </w:rPr>
        <w:t>dans le but d’un retour</w:t>
      </w:r>
      <w:r>
        <w:rPr>
          <w:color w:val="231F20"/>
          <w:spacing w:val="-9"/>
        </w:rPr>
        <w:t> </w:t>
      </w:r>
      <w:r>
        <w:rPr>
          <w:color w:val="231F20"/>
        </w:rPr>
        <w:t>à</w:t>
      </w:r>
      <w:r>
        <w:rPr>
          <w:color w:val="231F20"/>
          <w:spacing w:val="-9"/>
        </w:rPr>
        <w:t> </w:t>
      </w:r>
      <w:r>
        <w:rPr>
          <w:color w:val="231F20"/>
        </w:rPr>
        <w:t>la</w:t>
      </w:r>
      <w:r>
        <w:rPr>
          <w:color w:val="231F20"/>
          <w:spacing w:val="-9"/>
        </w:rPr>
        <w:t> </w:t>
      </w:r>
      <w:r>
        <w:rPr>
          <w:color w:val="231F20"/>
        </w:rPr>
        <w:t>terre.</w:t>
      </w:r>
      <w:r>
        <w:rPr>
          <w:color w:val="231F20"/>
          <w:spacing w:val="-7"/>
        </w:rPr>
        <w:t> </w:t>
      </w:r>
      <w:r>
        <w:rPr>
          <w:color w:val="231F20"/>
        </w:rPr>
        <w:t>Or</w:t>
      </w:r>
      <w:r>
        <w:rPr>
          <w:color w:val="231F20"/>
          <w:spacing w:val="-9"/>
        </w:rPr>
        <w:t> </w:t>
      </w:r>
      <w:r>
        <w:rPr>
          <w:color w:val="231F20"/>
        </w:rPr>
        <w:t>depuis</w:t>
      </w:r>
      <w:r>
        <w:rPr>
          <w:color w:val="231F20"/>
          <w:spacing w:val="-8"/>
        </w:rPr>
        <w:t> </w:t>
      </w:r>
      <w:r>
        <w:rPr>
          <w:color w:val="231F20"/>
        </w:rPr>
        <w:t>les</w:t>
      </w:r>
      <w:r>
        <w:rPr>
          <w:color w:val="231F20"/>
          <w:spacing w:val="-9"/>
        </w:rPr>
        <w:t> </w:t>
      </w:r>
      <w:r>
        <w:rPr>
          <w:color w:val="231F20"/>
        </w:rPr>
        <w:t>années</w:t>
      </w:r>
      <w:r>
        <w:rPr>
          <w:color w:val="231F20"/>
          <w:spacing w:val="-8"/>
        </w:rPr>
        <w:t> </w:t>
      </w:r>
      <w:r>
        <w:rPr>
          <w:color w:val="231F20"/>
        </w:rPr>
        <w:t>80,</w:t>
      </w:r>
      <w:r>
        <w:rPr>
          <w:color w:val="231F20"/>
          <w:spacing w:val="-9"/>
        </w:rPr>
        <w:t> </w:t>
      </w:r>
      <w:r>
        <w:rPr>
          <w:color w:val="231F20"/>
        </w:rPr>
        <w:t>la</w:t>
      </w:r>
      <w:r>
        <w:rPr>
          <w:color w:val="231F20"/>
          <w:spacing w:val="-11"/>
        </w:rPr>
        <w:t> </w:t>
      </w:r>
      <w:r>
        <w:rPr>
          <w:color w:val="231F20"/>
        </w:rPr>
        <w:t>Côte</w:t>
      </w:r>
      <w:r>
        <w:rPr>
          <w:color w:val="231F20"/>
          <w:spacing w:val="-8"/>
        </w:rPr>
        <w:t> </w:t>
      </w:r>
      <w:r>
        <w:rPr>
          <w:color w:val="231F20"/>
        </w:rPr>
        <w:t>d’Ivoire</w:t>
      </w:r>
      <w:r>
        <w:rPr>
          <w:color w:val="231F20"/>
          <w:spacing w:val="-8"/>
        </w:rPr>
        <w:t> </w:t>
      </w:r>
      <w:r>
        <w:rPr>
          <w:color w:val="231F20"/>
        </w:rPr>
        <w:t>est</w:t>
      </w:r>
      <w:r>
        <w:rPr>
          <w:color w:val="231F20"/>
          <w:spacing w:val="-7"/>
        </w:rPr>
        <w:t> </w:t>
      </w:r>
      <w:r>
        <w:rPr>
          <w:color w:val="231F20"/>
          <w:spacing w:val="-2"/>
        </w:rPr>
        <w:t>confrontée</w:t>
      </w:r>
    </w:p>
    <w:p>
      <w:pPr>
        <w:pStyle w:val="BodyText"/>
        <w:ind w:left="0"/>
        <w:jc w:val="left"/>
        <w:rPr>
          <w:sz w:val="20"/>
        </w:rPr>
      </w:pPr>
    </w:p>
    <w:p>
      <w:pPr>
        <w:pStyle w:val="BodyText"/>
        <w:spacing w:before="223"/>
        <w:ind w:left="0"/>
        <w:jc w:val="left"/>
        <w:rPr>
          <w:sz w:val="20"/>
        </w:rPr>
      </w:pPr>
      <w:r>
        <w:rPr/>
        <mc:AlternateContent>
          <mc:Choice Requires="wps">
            <w:drawing>
              <wp:anchor distT="0" distB="0" distL="0" distR="0" allowOverlap="1" layoutInCell="1" locked="0" behindDoc="1" simplePos="0" relativeHeight="487631360">
                <wp:simplePos x="0" y="0"/>
                <wp:positionH relativeFrom="page">
                  <wp:posOffset>629907</wp:posOffset>
                </wp:positionH>
                <wp:positionV relativeFrom="paragraph">
                  <wp:posOffset>302907</wp:posOffset>
                </wp:positionV>
                <wp:extent cx="1829435" cy="9525"/>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3.850977pt;width:144.020pt;height:.72pt;mso-position-horizontal-relative:page;mso-position-vertical-relative:paragraph;z-index:-15685120;mso-wrap-distance-left:0;mso-wrap-distance-right:0" id="docshape110" filled="true" fillcolor="#231f20" stroked="false">
                <v:fill type="solid"/>
                <w10:wrap type="topAndBottom"/>
              </v:rect>
            </w:pict>
          </mc:Fallback>
        </mc:AlternateContent>
      </w:r>
    </w:p>
    <w:p>
      <w:pPr>
        <w:spacing w:before="91"/>
        <w:ind w:left="111" w:right="103" w:firstLine="0"/>
        <w:jc w:val="both"/>
        <w:rPr>
          <w:sz w:val="20"/>
        </w:rPr>
      </w:pPr>
      <w:r>
        <w:rPr>
          <w:color w:val="231F20"/>
          <w:spacing w:val="-2"/>
          <w:sz w:val="20"/>
          <w:vertAlign w:val="superscript"/>
        </w:rPr>
        <w:t>141</w:t>
      </w:r>
      <w:r>
        <w:rPr>
          <w:color w:val="231F20"/>
          <w:spacing w:val="-2"/>
          <w:sz w:val="20"/>
          <w:vertAlign w:val="baseline"/>
        </w:rPr>
        <w:t>Sources</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Marguerat</w:t>
      </w:r>
      <w:r>
        <w:rPr>
          <w:color w:val="231F20"/>
          <w:spacing w:val="-11"/>
          <w:sz w:val="20"/>
          <w:vertAlign w:val="baseline"/>
        </w:rPr>
        <w:t> </w:t>
      </w:r>
      <w:r>
        <w:rPr>
          <w:color w:val="231F20"/>
          <w:spacing w:val="-2"/>
          <w:sz w:val="20"/>
          <w:vertAlign w:val="baseline"/>
        </w:rPr>
        <w:t>Yves.</w:t>
      </w:r>
      <w:r>
        <w:rPr>
          <w:color w:val="231F20"/>
          <w:spacing w:val="-10"/>
          <w:sz w:val="20"/>
          <w:vertAlign w:val="baseline"/>
        </w:rPr>
        <w:t> </w:t>
      </w:r>
      <w:r>
        <w:rPr>
          <w:color w:val="231F20"/>
          <w:spacing w:val="-2"/>
          <w:sz w:val="20"/>
          <w:vertAlign w:val="baseline"/>
        </w:rPr>
        <w:t>L'étude</w:t>
      </w:r>
      <w:r>
        <w:rPr>
          <w:color w:val="231F20"/>
          <w:spacing w:val="-11"/>
          <w:sz w:val="20"/>
          <w:vertAlign w:val="baseline"/>
        </w:rPr>
        <w:t> </w:t>
      </w:r>
      <w:r>
        <w:rPr>
          <w:color w:val="231F20"/>
          <w:spacing w:val="-2"/>
          <w:sz w:val="20"/>
          <w:vertAlign w:val="baseline"/>
        </w:rPr>
        <w:t>des</w:t>
      </w:r>
      <w:r>
        <w:rPr>
          <w:color w:val="231F20"/>
          <w:spacing w:val="-10"/>
          <w:sz w:val="20"/>
          <w:vertAlign w:val="baseline"/>
        </w:rPr>
        <w:t> </w:t>
      </w:r>
      <w:r>
        <w:rPr>
          <w:color w:val="231F20"/>
          <w:spacing w:val="-2"/>
          <w:sz w:val="20"/>
          <w:vertAlign w:val="baseline"/>
        </w:rPr>
        <w:t>violences</w:t>
      </w:r>
      <w:r>
        <w:rPr>
          <w:color w:val="231F20"/>
          <w:spacing w:val="-11"/>
          <w:sz w:val="20"/>
          <w:vertAlign w:val="baseline"/>
        </w:rPr>
        <w:t> </w:t>
      </w:r>
      <w:r>
        <w:rPr>
          <w:color w:val="231F20"/>
          <w:spacing w:val="-2"/>
          <w:sz w:val="20"/>
          <w:vertAlign w:val="baseline"/>
        </w:rPr>
        <w:t>urbaines</w:t>
      </w:r>
      <w:r>
        <w:rPr>
          <w:color w:val="231F20"/>
          <w:spacing w:val="-10"/>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d'Ibadan</w:t>
      </w:r>
      <w:r>
        <w:rPr>
          <w:color w:val="231F20"/>
          <w:spacing w:val="-10"/>
          <w:sz w:val="20"/>
          <w:vertAlign w:val="baseline"/>
        </w:rPr>
        <w:t> </w:t>
      </w:r>
      <w:r>
        <w:rPr>
          <w:color w:val="231F20"/>
          <w:spacing w:val="-2"/>
          <w:sz w:val="20"/>
          <w:vertAlign w:val="baseline"/>
        </w:rPr>
        <w:t>(1994)</w:t>
      </w:r>
      <w:r>
        <w:rPr>
          <w:color w:val="231F20"/>
          <w:spacing w:val="-11"/>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Abidjan </w:t>
      </w:r>
      <w:r>
        <w:rPr>
          <w:color w:val="231F20"/>
          <w:sz w:val="20"/>
          <w:vertAlign w:val="baseline"/>
        </w:rPr>
        <w:t>(1997). In:</w:t>
      </w:r>
      <w:r>
        <w:rPr>
          <w:color w:val="231F20"/>
          <w:spacing w:val="-13"/>
          <w:sz w:val="20"/>
          <w:vertAlign w:val="baseline"/>
        </w:rPr>
        <w:t> </w:t>
      </w:r>
      <w:r>
        <w:rPr>
          <w:i/>
          <w:color w:val="231F20"/>
          <w:sz w:val="20"/>
          <w:vertAlign w:val="baseline"/>
        </w:rPr>
        <w:t>Cahiers d'études africaines</w:t>
      </w:r>
      <w:r>
        <w:rPr>
          <w:color w:val="231F20"/>
          <w:sz w:val="20"/>
          <w:vertAlign w:val="baseline"/>
        </w:rPr>
        <w:t>, vol. 38, n°150-152, 1998. Disciplines et déchirures. Les formes de la violence. pp. 665-671. Séverin Kouamé Yao, </w:t>
      </w:r>
      <w:r>
        <w:rPr>
          <w:i/>
          <w:color w:val="231F20"/>
          <w:sz w:val="20"/>
          <w:vertAlign w:val="baseline"/>
        </w:rPr>
        <w:t>Nouchis,</w:t>
      </w:r>
      <w:r>
        <w:rPr>
          <w:i/>
          <w:color w:val="231F20"/>
          <w:sz w:val="20"/>
          <w:vertAlign w:val="baseline"/>
        </w:rPr>
        <w:t> ziguéhis</w:t>
      </w:r>
      <w:r>
        <w:rPr>
          <w:i/>
          <w:color w:val="231F20"/>
          <w:spacing w:val="-13"/>
          <w:sz w:val="20"/>
          <w:vertAlign w:val="baseline"/>
        </w:rPr>
        <w:t> </w:t>
      </w:r>
      <w:r>
        <w:rPr>
          <w:color w:val="231F20"/>
          <w:sz w:val="20"/>
          <w:vertAlign w:val="baseline"/>
        </w:rPr>
        <w:t>et</w:t>
      </w:r>
      <w:r>
        <w:rPr>
          <w:color w:val="231F20"/>
          <w:spacing w:val="-12"/>
          <w:sz w:val="20"/>
          <w:vertAlign w:val="baseline"/>
        </w:rPr>
        <w:t> </w:t>
      </w:r>
      <w:r>
        <w:rPr>
          <w:color w:val="231F20"/>
          <w:sz w:val="20"/>
          <w:vertAlign w:val="baseline"/>
        </w:rPr>
        <w:t>microbes</w:t>
      </w:r>
      <w:r>
        <w:rPr>
          <w:color w:val="231F20"/>
          <w:spacing w:val="-13"/>
          <w:sz w:val="20"/>
          <w:vertAlign w:val="baseline"/>
        </w:rPr>
        <w:t> </w:t>
      </w:r>
      <w:r>
        <w:rPr>
          <w:color w:val="231F20"/>
          <w:sz w:val="20"/>
          <w:vertAlign w:val="baseline"/>
        </w:rPr>
        <w:t>d’Abidjan</w:t>
      </w:r>
      <w:r>
        <w:rPr>
          <w:color w:val="231F20"/>
          <w:spacing w:val="-12"/>
          <w:sz w:val="20"/>
          <w:vertAlign w:val="baseline"/>
        </w:rPr>
        <w:t> </w:t>
      </w:r>
      <w:r>
        <w:rPr>
          <w:color w:val="231F20"/>
          <w:sz w:val="20"/>
          <w:vertAlign w:val="baseline"/>
        </w:rPr>
        <w:t>:</w:t>
      </w:r>
      <w:r>
        <w:rPr>
          <w:color w:val="231F20"/>
          <w:spacing w:val="-7"/>
          <w:sz w:val="20"/>
          <w:vertAlign w:val="baseline"/>
        </w:rPr>
        <w:t> </w:t>
      </w:r>
      <w:r>
        <w:rPr>
          <w:color w:val="231F20"/>
          <w:sz w:val="20"/>
          <w:vertAlign w:val="baseline"/>
        </w:rPr>
        <w:t>déclassement</w:t>
      </w:r>
      <w:r>
        <w:rPr>
          <w:color w:val="231F20"/>
          <w:spacing w:val="-7"/>
          <w:sz w:val="20"/>
          <w:vertAlign w:val="baseline"/>
        </w:rPr>
        <w:t> </w:t>
      </w:r>
      <w:r>
        <w:rPr>
          <w:color w:val="231F20"/>
          <w:sz w:val="20"/>
          <w:vertAlign w:val="baseline"/>
        </w:rPr>
        <w:t>et</w:t>
      </w:r>
      <w:r>
        <w:rPr>
          <w:color w:val="231F20"/>
          <w:spacing w:val="-7"/>
          <w:sz w:val="20"/>
          <w:vertAlign w:val="baseline"/>
        </w:rPr>
        <w:t> </w:t>
      </w:r>
      <w:r>
        <w:rPr>
          <w:color w:val="231F20"/>
          <w:sz w:val="20"/>
          <w:vertAlign w:val="baseline"/>
        </w:rPr>
        <w:t>distinction</w:t>
      </w:r>
      <w:r>
        <w:rPr>
          <w:color w:val="231F20"/>
          <w:spacing w:val="-6"/>
          <w:sz w:val="20"/>
          <w:vertAlign w:val="baseline"/>
        </w:rPr>
        <w:t> </w:t>
      </w:r>
      <w:r>
        <w:rPr>
          <w:color w:val="231F20"/>
          <w:sz w:val="20"/>
          <w:vertAlign w:val="baseline"/>
        </w:rPr>
        <w:t>sociale</w:t>
      </w:r>
      <w:r>
        <w:rPr>
          <w:color w:val="231F20"/>
          <w:spacing w:val="-7"/>
          <w:sz w:val="20"/>
          <w:vertAlign w:val="baseline"/>
        </w:rPr>
        <w:t> </w:t>
      </w:r>
      <w:r>
        <w:rPr>
          <w:color w:val="231F20"/>
          <w:sz w:val="20"/>
          <w:vertAlign w:val="baseline"/>
        </w:rPr>
        <w:t>par</w:t>
      </w:r>
      <w:r>
        <w:rPr>
          <w:color w:val="231F20"/>
          <w:spacing w:val="-7"/>
          <w:sz w:val="20"/>
          <w:vertAlign w:val="baseline"/>
        </w:rPr>
        <w:t> </w:t>
      </w:r>
      <w:r>
        <w:rPr>
          <w:color w:val="231F20"/>
          <w:sz w:val="20"/>
          <w:vertAlign w:val="baseline"/>
        </w:rPr>
        <w:t>la</w:t>
      </w:r>
      <w:r>
        <w:rPr>
          <w:color w:val="231F20"/>
          <w:spacing w:val="-8"/>
          <w:sz w:val="20"/>
          <w:vertAlign w:val="baseline"/>
        </w:rPr>
        <w:t> </w:t>
      </w:r>
      <w:r>
        <w:rPr>
          <w:color w:val="231F20"/>
          <w:sz w:val="20"/>
          <w:vertAlign w:val="baseline"/>
        </w:rPr>
        <w:t>violence</w:t>
      </w:r>
      <w:r>
        <w:rPr>
          <w:color w:val="231F20"/>
          <w:spacing w:val="-7"/>
          <w:sz w:val="20"/>
          <w:vertAlign w:val="baseline"/>
        </w:rPr>
        <w:t> </w:t>
      </w:r>
      <w:r>
        <w:rPr>
          <w:color w:val="231F20"/>
          <w:sz w:val="20"/>
          <w:vertAlign w:val="baseline"/>
        </w:rPr>
        <w:t>de rue</w:t>
      </w:r>
      <w:r>
        <w:rPr>
          <w:color w:val="231F20"/>
          <w:spacing w:val="-5"/>
          <w:sz w:val="20"/>
          <w:vertAlign w:val="baseline"/>
        </w:rPr>
        <w:t> </w:t>
      </w:r>
      <w:r>
        <w:rPr>
          <w:color w:val="231F20"/>
          <w:sz w:val="20"/>
          <w:vertAlign w:val="baseline"/>
        </w:rPr>
        <w:t>en</w:t>
      </w:r>
      <w:r>
        <w:rPr>
          <w:color w:val="231F20"/>
          <w:spacing w:val="-1"/>
          <w:sz w:val="20"/>
          <w:vertAlign w:val="baseline"/>
        </w:rPr>
        <w:t> </w:t>
      </w:r>
      <w:r>
        <w:rPr>
          <w:color w:val="231F20"/>
          <w:sz w:val="20"/>
          <w:vertAlign w:val="baseline"/>
        </w:rPr>
        <w:t>Côte</w:t>
      </w:r>
      <w:r>
        <w:rPr>
          <w:color w:val="231F20"/>
          <w:spacing w:val="-4"/>
          <w:sz w:val="20"/>
          <w:vertAlign w:val="baseline"/>
        </w:rPr>
        <w:t> </w:t>
      </w:r>
      <w:r>
        <w:rPr>
          <w:color w:val="231F20"/>
          <w:sz w:val="20"/>
          <w:vertAlign w:val="baseline"/>
        </w:rPr>
        <w:t>d’Ivoire,</w:t>
      </w:r>
      <w:r>
        <w:rPr>
          <w:color w:val="231F20"/>
          <w:spacing w:val="-2"/>
          <w:sz w:val="20"/>
          <w:vertAlign w:val="baseline"/>
        </w:rPr>
        <w:t> </w:t>
      </w:r>
      <w:r>
        <w:rPr>
          <w:color w:val="231F20"/>
          <w:sz w:val="20"/>
          <w:vertAlign w:val="baseline"/>
        </w:rPr>
        <w:t>Politique</w:t>
      </w:r>
      <w:r>
        <w:rPr>
          <w:color w:val="231F20"/>
          <w:spacing w:val="-4"/>
          <w:sz w:val="20"/>
          <w:vertAlign w:val="baseline"/>
        </w:rPr>
        <w:t> </w:t>
      </w:r>
      <w:r>
        <w:rPr>
          <w:color w:val="231F20"/>
          <w:sz w:val="20"/>
          <w:vertAlign w:val="baseline"/>
        </w:rPr>
        <w:t>africaine</w:t>
      </w:r>
      <w:r>
        <w:rPr>
          <w:color w:val="231F20"/>
          <w:spacing w:val="-5"/>
          <w:sz w:val="20"/>
          <w:vertAlign w:val="baseline"/>
        </w:rPr>
        <w:t> </w:t>
      </w:r>
      <w:r>
        <w:rPr>
          <w:color w:val="231F20"/>
          <w:sz w:val="20"/>
          <w:vertAlign w:val="baseline"/>
        </w:rPr>
        <w:t>2017/4</w:t>
      </w:r>
      <w:r>
        <w:rPr>
          <w:color w:val="231F20"/>
          <w:spacing w:val="-4"/>
          <w:sz w:val="20"/>
          <w:vertAlign w:val="baseline"/>
        </w:rPr>
        <w:t> </w:t>
      </w:r>
      <w:r>
        <w:rPr>
          <w:color w:val="231F20"/>
          <w:sz w:val="20"/>
          <w:vertAlign w:val="baseline"/>
        </w:rPr>
        <w:t>(n°</w:t>
      </w:r>
      <w:r>
        <w:rPr>
          <w:color w:val="231F20"/>
          <w:spacing w:val="-5"/>
          <w:sz w:val="20"/>
          <w:vertAlign w:val="baseline"/>
        </w:rPr>
        <w:t> </w:t>
      </w:r>
      <w:r>
        <w:rPr>
          <w:color w:val="231F20"/>
          <w:sz w:val="20"/>
          <w:vertAlign w:val="baseline"/>
        </w:rPr>
        <w:t>148).</w:t>
      </w:r>
    </w:p>
    <w:p>
      <w:pPr>
        <w:spacing w:before="1"/>
        <w:ind w:left="111" w:right="105" w:firstLine="0"/>
        <w:jc w:val="both"/>
        <w:rPr>
          <w:sz w:val="20"/>
        </w:rPr>
      </w:pPr>
      <w:r>
        <w:rPr>
          <w:color w:val="231F20"/>
          <w:spacing w:val="-2"/>
          <w:sz w:val="20"/>
        </w:rPr>
        <w:t>Jeune</w:t>
      </w:r>
      <w:r>
        <w:rPr>
          <w:color w:val="231F20"/>
          <w:spacing w:val="-13"/>
          <w:sz w:val="20"/>
        </w:rPr>
        <w:t> </w:t>
      </w:r>
      <w:r>
        <w:rPr>
          <w:color w:val="231F20"/>
          <w:spacing w:val="-2"/>
          <w:sz w:val="20"/>
        </w:rPr>
        <w:t>vivant</w:t>
      </w:r>
      <w:r>
        <w:rPr>
          <w:color w:val="231F20"/>
          <w:spacing w:val="-10"/>
          <w:sz w:val="20"/>
        </w:rPr>
        <w:t> </w:t>
      </w:r>
      <w:r>
        <w:rPr>
          <w:color w:val="231F20"/>
          <w:spacing w:val="-2"/>
          <w:sz w:val="20"/>
        </w:rPr>
        <w:t>en</w:t>
      </w:r>
      <w:r>
        <w:rPr>
          <w:color w:val="231F20"/>
          <w:spacing w:val="-11"/>
          <w:sz w:val="20"/>
        </w:rPr>
        <w:t> </w:t>
      </w:r>
      <w:r>
        <w:rPr>
          <w:color w:val="231F20"/>
          <w:spacing w:val="-2"/>
          <w:sz w:val="20"/>
        </w:rPr>
        <w:t>banlieue</w:t>
      </w:r>
      <w:r>
        <w:rPr>
          <w:color w:val="231F20"/>
          <w:spacing w:val="-10"/>
          <w:sz w:val="20"/>
        </w:rPr>
        <w:t> </w:t>
      </w:r>
      <w:r>
        <w:rPr>
          <w:color w:val="231F20"/>
          <w:spacing w:val="-2"/>
          <w:sz w:val="20"/>
        </w:rPr>
        <w:t>défavorisée,</w:t>
      </w:r>
      <w:r>
        <w:rPr>
          <w:color w:val="231F20"/>
          <w:spacing w:val="-11"/>
          <w:sz w:val="20"/>
        </w:rPr>
        <w:t> </w:t>
      </w:r>
      <w:r>
        <w:rPr>
          <w:color w:val="231F20"/>
          <w:spacing w:val="-2"/>
          <w:sz w:val="20"/>
        </w:rPr>
        <w:t>appartenant</w:t>
      </w:r>
      <w:r>
        <w:rPr>
          <w:color w:val="231F20"/>
          <w:spacing w:val="-10"/>
          <w:sz w:val="20"/>
        </w:rPr>
        <w:t> </w:t>
      </w:r>
      <w:r>
        <w:rPr>
          <w:color w:val="231F20"/>
          <w:spacing w:val="-2"/>
          <w:sz w:val="20"/>
        </w:rPr>
        <w:t>à</w:t>
      </w:r>
      <w:r>
        <w:rPr>
          <w:color w:val="231F20"/>
          <w:spacing w:val="-11"/>
          <w:sz w:val="20"/>
        </w:rPr>
        <w:t> </w:t>
      </w:r>
      <w:r>
        <w:rPr>
          <w:color w:val="231F20"/>
          <w:spacing w:val="-2"/>
          <w:sz w:val="20"/>
        </w:rPr>
        <w:t>une</w:t>
      </w:r>
      <w:r>
        <w:rPr>
          <w:color w:val="231F20"/>
          <w:spacing w:val="-10"/>
          <w:sz w:val="20"/>
        </w:rPr>
        <w:t> </w:t>
      </w:r>
      <w:r>
        <w:rPr>
          <w:color w:val="231F20"/>
          <w:spacing w:val="-2"/>
          <w:sz w:val="20"/>
        </w:rPr>
        <w:t>bande</w:t>
      </w:r>
      <w:r>
        <w:rPr>
          <w:color w:val="231F20"/>
          <w:spacing w:val="-11"/>
          <w:sz w:val="20"/>
        </w:rPr>
        <w:t> </w:t>
      </w:r>
      <w:r>
        <w:rPr>
          <w:color w:val="231F20"/>
          <w:spacing w:val="-2"/>
          <w:sz w:val="20"/>
        </w:rPr>
        <w:t>dont</w:t>
      </w:r>
      <w:r>
        <w:rPr>
          <w:color w:val="231F20"/>
          <w:spacing w:val="-10"/>
          <w:sz w:val="20"/>
        </w:rPr>
        <w:t> </w:t>
      </w:r>
      <w:r>
        <w:rPr>
          <w:color w:val="231F20"/>
          <w:spacing w:val="-2"/>
          <w:sz w:val="20"/>
        </w:rPr>
        <w:t>le</w:t>
      </w:r>
      <w:r>
        <w:rPr>
          <w:color w:val="231F20"/>
          <w:spacing w:val="-11"/>
          <w:sz w:val="20"/>
        </w:rPr>
        <w:t> </w:t>
      </w:r>
      <w:r>
        <w:rPr>
          <w:color w:val="231F20"/>
          <w:spacing w:val="-2"/>
          <w:sz w:val="20"/>
        </w:rPr>
        <w:t>comportement</w:t>
      </w:r>
      <w:r>
        <w:rPr>
          <w:color w:val="231F20"/>
          <w:spacing w:val="-10"/>
          <w:sz w:val="20"/>
        </w:rPr>
        <w:t> </w:t>
      </w:r>
      <w:r>
        <w:rPr>
          <w:color w:val="231F20"/>
          <w:spacing w:val="-2"/>
          <w:sz w:val="20"/>
        </w:rPr>
        <w:t>est associal.</w:t>
      </w:r>
    </w:p>
    <w:p>
      <w:pPr>
        <w:spacing w:before="1"/>
        <w:ind w:left="111" w:right="0" w:firstLine="0"/>
        <w:jc w:val="both"/>
        <w:rPr>
          <w:sz w:val="20"/>
        </w:rPr>
      </w:pPr>
      <w:r>
        <w:rPr>
          <w:color w:val="231F20"/>
          <w:sz w:val="20"/>
          <w:vertAlign w:val="superscript"/>
        </w:rPr>
        <w:t>142</w:t>
      </w:r>
      <w:r>
        <w:rPr>
          <w:color w:val="231F20"/>
          <w:spacing w:val="-13"/>
          <w:sz w:val="20"/>
          <w:vertAlign w:val="baseline"/>
        </w:rPr>
        <w:t> </w:t>
      </w:r>
      <w:r>
        <w:rPr>
          <w:color w:val="231F20"/>
          <w:sz w:val="20"/>
          <w:vertAlign w:val="baseline"/>
        </w:rPr>
        <w:t>terme</w:t>
      </w:r>
      <w:r>
        <w:rPr>
          <w:color w:val="231F20"/>
          <w:spacing w:val="-5"/>
          <w:sz w:val="20"/>
          <w:vertAlign w:val="baseline"/>
        </w:rPr>
        <w:t> </w:t>
      </w:r>
      <w:r>
        <w:rPr>
          <w:color w:val="231F20"/>
          <w:sz w:val="20"/>
          <w:vertAlign w:val="baseline"/>
        </w:rPr>
        <w:t>affectif</w:t>
      </w:r>
      <w:r>
        <w:rPr>
          <w:color w:val="231F20"/>
          <w:spacing w:val="-3"/>
          <w:sz w:val="20"/>
          <w:vertAlign w:val="baseline"/>
        </w:rPr>
        <w:t> </w:t>
      </w:r>
      <w:r>
        <w:rPr>
          <w:color w:val="231F20"/>
          <w:sz w:val="20"/>
          <w:vertAlign w:val="baseline"/>
        </w:rPr>
        <w:t>dans</w:t>
      </w:r>
      <w:r>
        <w:rPr>
          <w:color w:val="231F20"/>
          <w:spacing w:val="-5"/>
          <w:sz w:val="20"/>
          <w:vertAlign w:val="baseline"/>
        </w:rPr>
        <w:t> </w:t>
      </w:r>
      <w:r>
        <w:rPr>
          <w:color w:val="231F20"/>
          <w:sz w:val="20"/>
          <w:vertAlign w:val="baseline"/>
        </w:rPr>
        <w:t>le</w:t>
      </w:r>
      <w:r>
        <w:rPr>
          <w:color w:val="231F20"/>
          <w:spacing w:val="-2"/>
          <w:sz w:val="20"/>
          <w:vertAlign w:val="baseline"/>
        </w:rPr>
        <w:t> </w:t>
      </w:r>
      <w:r>
        <w:rPr>
          <w:color w:val="231F20"/>
          <w:sz w:val="20"/>
          <w:vertAlign w:val="baseline"/>
        </w:rPr>
        <w:t>langage</w:t>
      </w:r>
      <w:r>
        <w:rPr>
          <w:color w:val="231F20"/>
          <w:spacing w:val="-3"/>
          <w:sz w:val="20"/>
          <w:vertAlign w:val="baseline"/>
        </w:rPr>
        <w:t> </w:t>
      </w:r>
      <w:r>
        <w:rPr>
          <w:color w:val="231F20"/>
          <w:sz w:val="20"/>
          <w:vertAlign w:val="baseline"/>
        </w:rPr>
        <w:t>nouchi</w:t>
      </w:r>
      <w:r>
        <w:rPr>
          <w:color w:val="231F20"/>
          <w:spacing w:val="-4"/>
          <w:sz w:val="20"/>
          <w:vertAlign w:val="baseline"/>
        </w:rPr>
        <w:t> </w:t>
      </w:r>
      <w:r>
        <w:rPr>
          <w:color w:val="231F20"/>
          <w:sz w:val="20"/>
          <w:vertAlign w:val="baseline"/>
        </w:rPr>
        <w:t>pour</w:t>
      </w:r>
      <w:r>
        <w:rPr>
          <w:color w:val="231F20"/>
          <w:spacing w:val="-1"/>
          <w:sz w:val="20"/>
          <w:vertAlign w:val="baseline"/>
        </w:rPr>
        <w:t> </w:t>
      </w:r>
      <w:r>
        <w:rPr>
          <w:color w:val="231F20"/>
          <w:sz w:val="20"/>
          <w:vertAlign w:val="baseline"/>
        </w:rPr>
        <w:t>désigner</w:t>
      </w:r>
      <w:r>
        <w:rPr>
          <w:color w:val="231F20"/>
          <w:spacing w:val="-4"/>
          <w:sz w:val="20"/>
          <w:vertAlign w:val="baseline"/>
        </w:rPr>
        <w:t> </w:t>
      </w:r>
      <w:r>
        <w:rPr>
          <w:color w:val="231F20"/>
          <w:sz w:val="20"/>
          <w:vertAlign w:val="baseline"/>
        </w:rPr>
        <w:t>les</w:t>
      </w:r>
      <w:r>
        <w:rPr>
          <w:color w:val="231F20"/>
          <w:spacing w:val="-2"/>
          <w:sz w:val="20"/>
          <w:vertAlign w:val="baseline"/>
        </w:rPr>
        <w:t> </w:t>
      </w:r>
      <w:r>
        <w:rPr>
          <w:color w:val="231F20"/>
          <w:sz w:val="20"/>
          <w:vertAlign w:val="baseline"/>
        </w:rPr>
        <w:t>jeunes</w:t>
      </w:r>
      <w:r>
        <w:rPr>
          <w:color w:val="231F20"/>
          <w:spacing w:val="-2"/>
          <w:sz w:val="20"/>
          <w:vertAlign w:val="baseline"/>
        </w:rPr>
        <w:t> </w:t>
      </w:r>
      <w:r>
        <w:rPr>
          <w:color w:val="231F20"/>
          <w:sz w:val="20"/>
          <w:vertAlign w:val="baseline"/>
        </w:rPr>
        <w:t>gens</w:t>
      </w:r>
      <w:r>
        <w:rPr>
          <w:color w:val="231F20"/>
          <w:spacing w:val="-2"/>
          <w:sz w:val="20"/>
          <w:vertAlign w:val="baseline"/>
        </w:rPr>
        <w:t> </w:t>
      </w:r>
      <w:r>
        <w:rPr>
          <w:color w:val="231F20"/>
          <w:sz w:val="20"/>
          <w:vertAlign w:val="baseline"/>
        </w:rPr>
        <w:t>et</w:t>
      </w:r>
      <w:r>
        <w:rPr>
          <w:color w:val="231F20"/>
          <w:spacing w:val="-3"/>
          <w:sz w:val="20"/>
          <w:vertAlign w:val="baseline"/>
        </w:rPr>
        <w:t> </w:t>
      </w:r>
      <w:r>
        <w:rPr>
          <w:color w:val="231F20"/>
          <w:sz w:val="20"/>
          <w:vertAlign w:val="baseline"/>
        </w:rPr>
        <w:t>jeunes</w:t>
      </w:r>
      <w:r>
        <w:rPr>
          <w:color w:val="231F20"/>
          <w:spacing w:val="-4"/>
          <w:sz w:val="20"/>
          <w:vertAlign w:val="baseline"/>
        </w:rPr>
        <w:t> </w:t>
      </w:r>
      <w:r>
        <w:rPr>
          <w:color w:val="231F20"/>
          <w:spacing w:val="-2"/>
          <w:sz w:val="20"/>
          <w:vertAlign w:val="baseline"/>
        </w:rPr>
        <w:t>filles</w:t>
      </w:r>
    </w:p>
    <w:p>
      <w:pPr>
        <w:spacing w:before="0"/>
        <w:ind w:left="111" w:right="0" w:firstLine="0"/>
        <w:jc w:val="both"/>
        <w:rPr>
          <w:sz w:val="20"/>
        </w:rPr>
      </w:pPr>
      <w:r>
        <w:rPr>
          <w:color w:val="231F20"/>
          <w:spacing w:val="-4"/>
          <w:sz w:val="20"/>
        </w:rPr>
        <w:t>versés dans</w:t>
      </w:r>
      <w:r>
        <w:rPr>
          <w:color w:val="231F20"/>
          <w:spacing w:val="-2"/>
          <w:sz w:val="20"/>
        </w:rPr>
        <w:t> </w:t>
      </w:r>
      <w:r>
        <w:rPr>
          <w:color w:val="231F20"/>
          <w:spacing w:val="-4"/>
          <w:sz w:val="20"/>
        </w:rPr>
        <w:t>la</w:t>
      </w:r>
      <w:r>
        <w:rPr>
          <w:color w:val="231F20"/>
          <w:spacing w:val="-2"/>
          <w:sz w:val="20"/>
        </w:rPr>
        <w:t> </w:t>
      </w:r>
      <w:r>
        <w:rPr>
          <w:color w:val="231F20"/>
          <w:spacing w:val="-4"/>
          <w:sz w:val="20"/>
        </w:rPr>
        <w:t>délinquance.</w:t>
      </w:r>
      <w:r>
        <w:rPr>
          <w:color w:val="231F20"/>
          <w:spacing w:val="-3"/>
          <w:sz w:val="20"/>
        </w:rPr>
        <w:t> </w:t>
      </w:r>
      <w:r>
        <w:rPr>
          <w:color w:val="231F20"/>
          <w:spacing w:val="-4"/>
          <w:sz w:val="20"/>
        </w:rPr>
        <w:t>‘Bri’</w:t>
      </w:r>
      <w:r>
        <w:rPr>
          <w:color w:val="231F20"/>
          <w:spacing w:val="1"/>
          <w:sz w:val="20"/>
        </w:rPr>
        <w:t> </w:t>
      </w:r>
      <w:r>
        <w:rPr>
          <w:color w:val="231F20"/>
          <w:spacing w:val="-4"/>
          <w:sz w:val="20"/>
        </w:rPr>
        <w:t>est</w:t>
      </w:r>
      <w:r>
        <w:rPr>
          <w:color w:val="231F20"/>
          <w:spacing w:val="-3"/>
          <w:sz w:val="20"/>
        </w:rPr>
        <w:t> </w:t>
      </w:r>
      <w:r>
        <w:rPr>
          <w:color w:val="231F20"/>
          <w:spacing w:val="-4"/>
          <w:sz w:val="20"/>
        </w:rPr>
        <w:t>l’abréviation</w:t>
      </w:r>
      <w:r>
        <w:rPr>
          <w:color w:val="231F20"/>
          <w:spacing w:val="-2"/>
          <w:sz w:val="20"/>
        </w:rPr>
        <w:t> </w:t>
      </w:r>
      <w:r>
        <w:rPr>
          <w:color w:val="231F20"/>
          <w:spacing w:val="-4"/>
          <w:sz w:val="20"/>
        </w:rPr>
        <w:t>de</w:t>
      </w:r>
      <w:r>
        <w:rPr>
          <w:color w:val="231F20"/>
          <w:spacing w:val="-3"/>
          <w:sz w:val="20"/>
        </w:rPr>
        <w:t> </w:t>
      </w:r>
      <w:r>
        <w:rPr>
          <w:color w:val="231F20"/>
          <w:spacing w:val="-4"/>
          <w:sz w:val="20"/>
        </w:rPr>
        <w:t>brigand.</w:t>
      </w:r>
    </w:p>
    <w:p>
      <w:pPr>
        <w:spacing w:before="0"/>
        <w:ind w:left="111" w:right="0" w:firstLine="0"/>
        <w:jc w:val="both"/>
        <w:rPr>
          <w:sz w:val="20"/>
        </w:rPr>
      </w:pPr>
      <w:r>
        <w:rPr>
          <w:color w:val="231F20"/>
          <w:spacing w:val="-4"/>
          <w:sz w:val="20"/>
          <w:vertAlign w:val="superscript"/>
        </w:rPr>
        <w:t>143</w:t>
      </w:r>
      <w:r>
        <w:rPr>
          <w:color w:val="231F20"/>
          <w:spacing w:val="2"/>
          <w:sz w:val="20"/>
          <w:vertAlign w:val="baseline"/>
        </w:rPr>
        <w:t> </w:t>
      </w:r>
      <w:r>
        <w:rPr>
          <w:color w:val="231F20"/>
          <w:spacing w:val="-4"/>
          <w:sz w:val="20"/>
          <w:vertAlign w:val="baseline"/>
        </w:rPr>
        <w:t>Appelation</w:t>
      </w:r>
      <w:r>
        <w:rPr>
          <w:color w:val="231F20"/>
          <w:spacing w:val="-3"/>
          <w:sz w:val="20"/>
          <w:vertAlign w:val="baseline"/>
        </w:rPr>
        <w:t> </w:t>
      </w:r>
      <w:r>
        <w:rPr>
          <w:color w:val="231F20"/>
          <w:spacing w:val="-4"/>
          <w:sz w:val="20"/>
          <w:vertAlign w:val="baseline"/>
        </w:rPr>
        <w:t>des</w:t>
      </w:r>
      <w:r>
        <w:rPr>
          <w:color w:val="231F20"/>
          <w:spacing w:val="-3"/>
          <w:sz w:val="20"/>
          <w:vertAlign w:val="baseline"/>
        </w:rPr>
        <w:t> </w:t>
      </w:r>
      <w:r>
        <w:rPr>
          <w:color w:val="231F20"/>
          <w:spacing w:val="-4"/>
          <w:sz w:val="20"/>
          <w:vertAlign w:val="baseline"/>
        </w:rPr>
        <w:t>bidonvilles</w:t>
      </w:r>
      <w:r>
        <w:rPr>
          <w:color w:val="231F20"/>
          <w:spacing w:val="-1"/>
          <w:sz w:val="20"/>
          <w:vertAlign w:val="baseline"/>
        </w:rPr>
        <w:t> </w:t>
      </w:r>
      <w:r>
        <w:rPr>
          <w:color w:val="231F20"/>
          <w:spacing w:val="-4"/>
          <w:sz w:val="20"/>
          <w:vertAlign w:val="baseline"/>
        </w:rPr>
        <w:t>des</w:t>
      </w:r>
      <w:r>
        <w:rPr>
          <w:color w:val="231F20"/>
          <w:spacing w:val="-5"/>
          <w:sz w:val="20"/>
          <w:vertAlign w:val="baseline"/>
        </w:rPr>
        <w:t> </w:t>
      </w:r>
      <w:r>
        <w:rPr>
          <w:color w:val="231F20"/>
          <w:spacing w:val="-4"/>
          <w:sz w:val="20"/>
          <w:vertAlign w:val="baseline"/>
        </w:rPr>
        <w:t>communes</w:t>
      </w:r>
      <w:r>
        <w:rPr>
          <w:color w:val="231F20"/>
          <w:spacing w:val="-1"/>
          <w:sz w:val="20"/>
          <w:vertAlign w:val="baseline"/>
        </w:rPr>
        <w:t> </w:t>
      </w:r>
      <w:r>
        <w:rPr>
          <w:color w:val="231F20"/>
          <w:spacing w:val="-4"/>
          <w:sz w:val="20"/>
          <w:vertAlign w:val="baseline"/>
        </w:rPr>
        <w:t>de</w:t>
      </w:r>
      <w:r>
        <w:rPr>
          <w:color w:val="231F20"/>
          <w:spacing w:val="-2"/>
          <w:sz w:val="20"/>
          <w:vertAlign w:val="baseline"/>
        </w:rPr>
        <w:t> </w:t>
      </w:r>
      <w:r>
        <w:rPr>
          <w:color w:val="231F20"/>
          <w:spacing w:val="-4"/>
          <w:sz w:val="20"/>
          <w:vertAlign w:val="baseline"/>
        </w:rPr>
        <w:t>la</w:t>
      </w:r>
      <w:r>
        <w:rPr>
          <w:color w:val="231F20"/>
          <w:spacing w:val="-3"/>
          <w:sz w:val="20"/>
          <w:vertAlign w:val="baseline"/>
        </w:rPr>
        <w:t> </w:t>
      </w:r>
      <w:r>
        <w:rPr>
          <w:color w:val="231F20"/>
          <w:spacing w:val="-4"/>
          <w:sz w:val="20"/>
          <w:vertAlign w:val="baseline"/>
        </w:rPr>
        <w:t>ville</w:t>
      </w:r>
      <w:r>
        <w:rPr>
          <w:color w:val="231F20"/>
          <w:spacing w:val="-3"/>
          <w:sz w:val="20"/>
          <w:vertAlign w:val="baseline"/>
        </w:rPr>
        <w:t> </w:t>
      </w:r>
      <w:r>
        <w:rPr>
          <w:color w:val="231F20"/>
          <w:spacing w:val="-4"/>
          <w:sz w:val="20"/>
          <w:vertAlign w:val="baseline"/>
        </w:rPr>
        <w:t>d'Abidjan.</w:t>
      </w:r>
    </w:p>
    <w:p>
      <w:pPr>
        <w:spacing w:after="0"/>
        <w:jc w:val="both"/>
        <w:rPr>
          <w:sz w:val="20"/>
        </w:rPr>
        <w:sectPr>
          <w:pgSz w:w="8790" w:h="13610"/>
          <w:pgMar w:header="0" w:footer="802" w:top="1040" w:bottom="1000" w:left="880" w:right="880"/>
        </w:sectPr>
      </w:pPr>
    </w:p>
    <w:p>
      <w:pPr>
        <w:pStyle w:val="BodyText"/>
        <w:spacing w:before="66"/>
      </w:pPr>
      <w:r>
        <w:rPr>
          <w:color w:val="231F20"/>
          <w:spacing w:val="-4"/>
        </w:rPr>
        <w:t>à</w:t>
      </w:r>
      <w:r>
        <w:rPr>
          <w:color w:val="231F20"/>
          <w:spacing w:val="-5"/>
        </w:rPr>
        <w:t> </w:t>
      </w:r>
      <w:r>
        <w:rPr>
          <w:color w:val="231F20"/>
          <w:spacing w:val="-4"/>
        </w:rPr>
        <w:t>la disparition</w:t>
      </w:r>
      <w:r>
        <w:rPr>
          <w:color w:val="231F20"/>
          <w:spacing w:val="-3"/>
        </w:rPr>
        <w:t> </w:t>
      </w:r>
      <w:r>
        <w:rPr>
          <w:color w:val="231F20"/>
          <w:spacing w:val="-4"/>
        </w:rPr>
        <w:t>des</w:t>
      </w:r>
      <w:r>
        <w:rPr>
          <w:color w:val="231F20"/>
          <w:spacing w:val="-3"/>
        </w:rPr>
        <w:t> </w:t>
      </w:r>
      <w:r>
        <w:rPr>
          <w:color w:val="231F20"/>
          <w:spacing w:val="-4"/>
        </w:rPr>
        <w:t>réserves</w:t>
      </w:r>
      <w:r>
        <w:rPr>
          <w:color w:val="231F20"/>
          <w:spacing w:val="-3"/>
        </w:rPr>
        <w:t> </w:t>
      </w:r>
      <w:r>
        <w:rPr>
          <w:color w:val="231F20"/>
          <w:spacing w:val="-4"/>
        </w:rPr>
        <w:t>forestières</w:t>
      </w:r>
      <w:r>
        <w:rPr>
          <w:color w:val="231F20"/>
          <w:spacing w:val="-7"/>
        </w:rPr>
        <w:t> </w:t>
      </w:r>
      <w:r>
        <w:rPr>
          <w:color w:val="231F20"/>
          <w:spacing w:val="-4"/>
        </w:rPr>
        <w:t>dans</w:t>
      </w:r>
      <w:r>
        <w:rPr>
          <w:color w:val="231F20"/>
          <w:spacing w:val="-3"/>
        </w:rPr>
        <w:t> </w:t>
      </w:r>
      <w:r>
        <w:rPr>
          <w:color w:val="231F20"/>
          <w:spacing w:val="-4"/>
        </w:rPr>
        <w:t>le</w:t>
      </w:r>
      <w:r>
        <w:rPr>
          <w:color w:val="231F20"/>
          <w:spacing w:val="-5"/>
        </w:rPr>
        <w:t> </w:t>
      </w:r>
      <w:r>
        <w:rPr>
          <w:color w:val="231F20"/>
          <w:spacing w:val="-4"/>
        </w:rPr>
        <w:t>Sud</w:t>
      </w:r>
      <w:r>
        <w:rPr>
          <w:color w:val="231F20"/>
          <w:spacing w:val="-7"/>
        </w:rPr>
        <w:t> </w:t>
      </w:r>
      <w:r>
        <w:rPr>
          <w:color w:val="231F20"/>
          <w:spacing w:val="-4"/>
        </w:rPr>
        <w:t>et</w:t>
      </w:r>
      <w:r>
        <w:rPr>
          <w:color w:val="231F20"/>
          <w:spacing w:val="-3"/>
        </w:rPr>
        <w:t> </w:t>
      </w:r>
      <w:r>
        <w:rPr>
          <w:color w:val="231F20"/>
          <w:spacing w:val="-4"/>
        </w:rPr>
        <w:t>à l’augmentation</w:t>
      </w:r>
      <w:r>
        <w:rPr>
          <w:color w:val="231F20"/>
          <w:spacing w:val="-3"/>
        </w:rPr>
        <w:t> </w:t>
      </w:r>
      <w:r>
        <w:rPr>
          <w:color w:val="231F20"/>
          <w:spacing w:val="-5"/>
        </w:rPr>
        <w:t>de</w:t>
      </w:r>
    </w:p>
    <w:p>
      <w:pPr>
        <w:pStyle w:val="BodyText"/>
      </w:pPr>
      <w:r>
        <w:rPr>
          <w:color w:val="231F20"/>
          <w:spacing w:val="-2"/>
        </w:rPr>
        <w:t>la</w:t>
      </w:r>
      <w:r>
        <w:rPr>
          <w:color w:val="231F20"/>
          <w:spacing w:val="-11"/>
        </w:rPr>
        <w:t> </w:t>
      </w:r>
      <w:r>
        <w:rPr>
          <w:color w:val="231F20"/>
          <w:spacing w:val="-2"/>
        </w:rPr>
        <w:t>pression</w:t>
      </w:r>
      <w:r>
        <w:rPr>
          <w:color w:val="231F20"/>
          <w:spacing w:val="-10"/>
        </w:rPr>
        <w:t> </w:t>
      </w:r>
      <w:r>
        <w:rPr>
          <w:color w:val="231F20"/>
          <w:spacing w:val="-2"/>
        </w:rPr>
        <w:t>foncière</w:t>
      </w:r>
      <w:r>
        <w:rPr>
          <w:color w:val="231F20"/>
          <w:spacing w:val="-11"/>
        </w:rPr>
        <w:t> </w:t>
      </w:r>
      <w:r>
        <w:rPr>
          <w:color w:val="231F20"/>
          <w:spacing w:val="-2"/>
        </w:rPr>
        <w:t>dans</w:t>
      </w:r>
      <w:r>
        <w:rPr>
          <w:color w:val="231F20"/>
          <w:spacing w:val="-12"/>
        </w:rPr>
        <w:t> </w:t>
      </w:r>
      <w:r>
        <w:rPr>
          <w:color w:val="231F20"/>
          <w:spacing w:val="-2"/>
        </w:rPr>
        <w:t>les</w:t>
      </w:r>
      <w:r>
        <w:rPr>
          <w:color w:val="231F20"/>
          <w:spacing w:val="-10"/>
        </w:rPr>
        <w:t> </w:t>
      </w:r>
      <w:r>
        <w:rPr>
          <w:color w:val="231F20"/>
          <w:spacing w:val="-2"/>
        </w:rPr>
        <w:t>régions</w:t>
      </w:r>
      <w:r>
        <w:rPr>
          <w:color w:val="231F20"/>
          <w:spacing w:val="-10"/>
        </w:rPr>
        <w:t> </w:t>
      </w:r>
      <w:r>
        <w:rPr>
          <w:color w:val="231F20"/>
          <w:spacing w:val="-2"/>
        </w:rPr>
        <w:t>forestières.</w:t>
      </w:r>
    </w:p>
    <w:p>
      <w:pPr>
        <w:pStyle w:val="BodyText"/>
        <w:spacing w:before="120"/>
        <w:ind w:right="107" w:firstLine="283"/>
      </w:pPr>
      <w:r>
        <w:rPr>
          <w:color w:val="231F20"/>
          <w:spacing w:val="-2"/>
        </w:rPr>
        <w:t>Grâce</w:t>
      </w:r>
      <w:r>
        <w:rPr>
          <w:color w:val="231F20"/>
          <w:spacing w:val="-10"/>
        </w:rPr>
        <w:t> </w:t>
      </w:r>
      <w:r>
        <w:rPr>
          <w:color w:val="231F20"/>
          <w:spacing w:val="-2"/>
        </w:rPr>
        <w:t>à</w:t>
      </w:r>
      <w:r>
        <w:rPr>
          <w:color w:val="231F20"/>
          <w:spacing w:val="-10"/>
        </w:rPr>
        <w:t> </w:t>
      </w:r>
      <w:r>
        <w:rPr>
          <w:color w:val="231F20"/>
          <w:spacing w:val="-2"/>
        </w:rPr>
        <w:t>la</w:t>
      </w:r>
      <w:r>
        <w:rPr>
          <w:color w:val="231F20"/>
          <w:spacing w:val="-11"/>
        </w:rPr>
        <w:t> </w:t>
      </w:r>
      <w:r>
        <w:rPr>
          <w:color w:val="231F20"/>
          <w:spacing w:val="-2"/>
        </w:rPr>
        <w:t>facilité</w:t>
      </w:r>
      <w:r>
        <w:rPr>
          <w:color w:val="231F20"/>
          <w:spacing w:val="-11"/>
        </w:rPr>
        <w:t> </w:t>
      </w:r>
      <w:r>
        <w:rPr>
          <w:color w:val="231F20"/>
          <w:spacing w:val="-2"/>
        </w:rPr>
        <w:t>d’accès</w:t>
      </w:r>
      <w:r>
        <w:rPr>
          <w:color w:val="231F20"/>
          <w:spacing w:val="-12"/>
        </w:rPr>
        <w:t> </w:t>
      </w:r>
      <w:r>
        <w:rPr>
          <w:color w:val="231F20"/>
          <w:spacing w:val="-2"/>
        </w:rPr>
        <w:t>à</w:t>
      </w:r>
      <w:r>
        <w:rPr>
          <w:color w:val="231F20"/>
          <w:spacing w:val="-11"/>
        </w:rPr>
        <w:t> </w:t>
      </w:r>
      <w:r>
        <w:rPr>
          <w:color w:val="231F20"/>
          <w:spacing w:val="-2"/>
        </w:rPr>
        <w:t>la</w:t>
      </w:r>
      <w:r>
        <w:rPr>
          <w:color w:val="231F20"/>
          <w:spacing w:val="-10"/>
        </w:rPr>
        <w:t> </w:t>
      </w:r>
      <w:r>
        <w:rPr>
          <w:color w:val="231F20"/>
          <w:spacing w:val="-2"/>
        </w:rPr>
        <w:t>terre</w:t>
      </w:r>
      <w:r>
        <w:rPr>
          <w:color w:val="231F20"/>
          <w:spacing w:val="-10"/>
        </w:rPr>
        <w:t> </w:t>
      </w:r>
      <w:r>
        <w:rPr>
          <w:color w:val="231F20"/>
          <w:spacing w:val="-2"/>
        </w:rPr>
        <w:t>prônée</w:t>
      </w:r>
      <w:r>
        <w:rPr>
          <w:color w:val="231F20"/>
          <w:spacing w:val="-10"/>
        </w:rPr>
        <w:t> </w:t>
      </w:r>
      <w:r>
        <w:rPr>
          <w:color w:val="231F20"/>
          <w:spacing w:val="-2"/>
        </w:rPr>
        <w:t>par</w:t>
      </w:r>
      <w:r>
        <w:rPr>
          <w:color w:val="231F20"/>
          <w:spacing w:val="-10"/>
        </w:rPr>
        <w:t> </w:t>
      </w:r>
      <w:r>
        <w:rPr>
          <w:color w:val="231F20"/>
          <w:spacing w:val="-2"/>
        </w:rPr>
        <w:t>le</w:t>
      </w:r>
      <w:r>
        <w:rPr>
          <w:color w:val="231F20"/>
          <w:spacing w:val="-13"/>
        </w:rPr>
        <w:t> </w:t>
      </w:r>
      <w:r>
        <w:rPr>
          <w:color w:val="231F20"/>
          <w:spacing w:val="-2"/>
        </w:rPr>
        <w:t>premier</w:t>
      </w:r>
      <w:r>
        <w:rPr>
          <w:color w:val="231F20"/>
          <w:spacing w:val="-10"/>
        </w:rPr>
        <w:t> </w:t>
      </w:r>
      <w:r>
        <w:rPr>
          <w:color w:val="231F20"/>
          <w:spacing w:val="-2"/>
        </w:rPr>
        <w:t>président</w:t>
      </w:r>
      <w:r>
        <w:rPr>
          <w:color w:val="231F20"/>
          <w:spacing w:val="-9"/>
        </w:rPr>
        <w:t> </w:t>
      </w:r>
      <w:r>
        <w:rPr>
          <w:color w:val="231F20"/>
          <w:spacing w:val="-2"/>
        </w:rPr>
        <w:t>du pays</w:t>
      </w:r>
      <w:r>
        <w:rPr>
          <w:color w:val="231F20"/>
          <w:spacing w:val="-8"/>
        </w:rPr>
        <w:t> </w:t>
      </w:r>
      <w:r>
        <w:rPr>
          <w:color w:val="231F20"/>
          <w:spacing w:val="-2"/>
        </w:rPr>
        <w:t>Félix</w:t>
      </w:r>
      <w:r>
        <w:rPr>
          <w:color w:val="231F20"/>
          <w:spacing w:val="-11"/>
        </w:rPr>
        <w:t> </w:t>
      </w:r>
      <w:r>
        <w:rPr>
          <w:color w:val="231F20"/>
          <w:spacing w:val="-2"/>
        </w:rPr>
        <w:t>Houphouët-Boigny,</w:t>
      </w:r>
      <w:r>
        <w:rPr>
          <w:color w:val="231F20"/>
          <w:spacing w:val="-11"/>
        </w:rPr>
        <w:t> </w:t>
      </w:r>
      <w:r>
        <w:rPr>
          <w:color w:val="231F20"/>
          <w:spacing w:val="-2"/>
        </w:rPr>
        <w:t>certains</w:t>
      </w:r>
      <w:r>
        <w:rPr>
          <w:color w:val="231F20"/>
          <w:spacing w:val="-8"/>
        </w:rPr>
        <w:t> </w:t>
      </w:r>
      <w:r>
        <w:rPr>
          <w:color w:val="231F20"/>
          <w:spacing w:val="-2"/>
        </w:rPr>
        <w:t>immigrés</w:t>
      </w:r>
      <w:r>
        <w:rPr>
          <w:color w:val="231F20"/>
          <w:spacing w:val="-8"/>
        </w:rPr>
        <w:t> </w:t>
      </w:r>
      <w:r>
        <w:rPr>
          <w:color w:val="231F20"/>
          <w:spacing w:val="-2"/>
        </w:rPr>
        <w:t>ressortissants</w:t>
      </w:r>
      <w:r>
        <w:rPr>
          <w:color w:val="231F20"/>
          <w:spacing w:val="-11"/>
        </w:rPr>
        <w:t> </w:t>
      </w:r>
      <w:r>
        <w:rPr>
          <w:color w:val="231F20"/>
          <w:spacing w:val="-2"/>
        </w:rPr>
        <w:t>des</w:t>
      </w:r>
      <w:r>
        <w:rPr>
          <w:color w:val="231F20"/>
          <w:spacing w:val="-9"/>
        </w:rPr>
        <w:t> </w:t>
      </w:r>
      <w:r>
        <w:rPr>
          <w:color w:val="231F20"/>
          <w:spacing w:val="-2"/>
        </w:rPr>
        <w:t>pays </w:t>
      </w:r>
      <w:r>
        <w:rPr>
          <w:color w:val="231F20"/>
        </w:rPr>
        <w:t>voisins (Burkina Faso, Mali et Guinée), analphabètes pour la plupart, installés à majorité dans les zones forestières comme main d’œuvre </w:t>
      </w:r>
      <w:r>
        <w:rPr>
          <w:color w:val="231F20"/>
          <w:spacing w:val="-4"/>
        </w:rPr>
        <w:t>agricole</w:t>
      </w:r>
      <w:r>
        <w:rPr>
          <w:color w:val="231F20"/>
          <w:spacing w:val="-9"/>
        </w:rPr>
        <w:t> </w:t>
      </w:r>
      <w:r>
        <w:rPr>
          <w:color w:val="231F20"/>
          <w:spacing w:val="-4"/>
        </w:rPr>
        <w:t>dans</w:t>
      </w:r>
      <w:r>
        <w:rPr>
          <w:color w:val="231F20"/>
          <w:spacing w:val="-8"/>
        </w:rPr>
        <w:t> </w:t>
      </w:r>
      <w:r>
        <w:rPr>
          <w:color w:val="231F20"/>
          <w:spacing w:val="-4"/>
        </w:rPr>
        <w:t>les</w:t>
      </w:r>
      <w:r>
        <w:rPr>
          <w:color w:val="231F20"/>
          <w:spacing w:val="-8"/>
        </w:rPr>
        <w:t> </w:t>
      </w:r>
      <w:r>
        <w:rPr>
          <w:color w:val="231F20"/>
          <w:spacing w:val="-4"/>
        </w:rPr>
        <w:t>plantations</w:t>
      </w:r>
      <w:r>
        <w:rPr>
          <w:color w:val="231F20"/>
          <w:spacing w:val="-8"/>
        </w:rPr>
        <w:t> </w:t>
      </w:r>
      <w:r>
        <w:rPr>
          <w:color w:val="231F20"/>
          <w:spacing w:val="-4"/>
        </w:rPr>
        <w:t>industrielles et</w:t>
      </w:r>
      <w:r>
        <w:rPr>
          <w:color w:val="231F20"/>
          <w:spacing w:val="-7"/>
        </w:rPr>
        <w:t> </w:t>
      </w:r>
      <w:r>
        <w:rPr>
          <w:color w:val="231F20"/>
          <w:spacing w:val="-4"/>
        </w:rPr>
        <w:t>villageoises,</w:t>
      </w:r>
      <w:r>
        <w:rPr>
          <w:color w:val="231F20"/>
          <w:spacing w:val="-8"/>
        </w:rPr>
        <w:t> </w:t>
      </w:r>
      <w:r>
        <w:rPr>
          <w:color w:val="231F20"/>
          <w:spacing w:val="-4"/>
        </w:rPr>
        <w:t>sont</w:t>
      </w:r>
      <w:r>
        <w:rPr>
          <w:color w:val="231F20"/>
          <w:spacing w:val="-6"/>
        </w:rPr>
        <w:t> </w:t>
      </w:r>
      <w:r>
        <w:rPr>
          <w:color w:val="231F20"/>
          <w:spacing w:val="-4"/>
        </w:rPr>
        <w:t>devenus</w:t>
      </w:r>
      <w:r>
        <w:rPr>
          <w:color w:val="231F20"/>
          <w:spacing w:val="-8"/>
        </w:rPr>
        <w:t> </w:t>
      </w:r>
      <w:r>
        <w:rPr>
          <w:color w:val="231F20"/>
          <w:spacing w:val="-4"/>
        </w:rPr>
        <w:t>par </w:t>
      </w:r>
      <w:r>
        <w:rPr>
          <w:color w:val="231F20"/>
        </w:rPr>
        <w:t>la suite, des producteurs agricoles à l’Ouest et dans le sud-ouest. Dès 1980,</w:t>
      </w:r>
      <w:r>
        <w:rPr>
          <w:color w:val="231F20"/>
          <w:spacing w:val="-9"/>
        </w:rPr>
        <w:t> </w:t>
      </w:r>
      <w:r>
        <w:rPr>
          <w:color w:val="231F20"/>
        </w:rPr>
        <w:t>des</w:t>
      </w:r>
      <w:r>
        <w:rPr>
          <w:color w:val="231F20"/>
          <w:spacing w:val="-7"/>
        </w:rPr>
        <w:t> </w:t>
      </w:r>
      <w:r>
        <w:rPr>
          <w:color w:val="231F20"/>
        </w:rPr>
        <w:t>problèmes</w:t>
      </w:r>
      <w:r>
        <w:rPr>
          <w:color w:val="231F20"/>
          <w:spacing w:val="-7"/>
        </w:rPr>
        <w:t> </w:t>
      </w:r>
      <w:r>
        <w:rPr>
          <w:color w:val="231F20"/>
        </w:rPr>
        <w:t>fonciers</w:t>
      </w:r>
      <w:r>
        <w:rPr>
          <w:color w:val="231F20"/>
          <w:spacing w:val="-7"/>
        </w:rPr>
        <w:t> </w:t>
      </w:r>
      <w:r>
        <w:rPr>
          <w:color w:val="231F20"/>
        </w:rPr>
        <w:t>opposent</w:t>
      </w:r>
      <w:r>
        <w:rPr>
          <w:color w:val="231F20"/>
          <w:spacing w:val="-7"/>
        </w:rPr>
        <w:t> </w:t>
      </w:r>
      <w:r>
        <w:rPr>
          <w:color w:val="231F20"/>
        </w:rPr>
        <w:t>étrangers</w:t>
      </w:r>
      <w:r>
        <w:rPr>
          <w:color w:val="231F20"/>
          <w:spacing w:val="-7"/>
        </w:rPr>
        <w:t> </w:t>
      </w:r>
      <w:r>
        <w:rPr>
          <w:color w:val="231F20"/>
        </w:rPr>
        <w:t>et</w:t>
      </w:r>
      <w:r>
        <w:rPr>
          <w:color w:val="231F20"/>
          <w:spacing w:val="-11"/>
        </w:rPr>
        <w:t> </w:t>
      </w:r>
      <w:r>
        <w:rPr>
          <w:color w:val="231F20"/>
        </w:rPr>
        <w:t>autochtones.</w:t>
      </w:r>
    </w:p>
    <w:p>
      <w:pPr>
        <w:pStyle w:val="BodyText"/>
        <w:spacing w:before="121"/>
        <w:ind w:right="100"/>
      </w:pPr>
      <w:r>
        <w:rPr>
          <w:color w:val="231F20"/>
          <w:spacing w:val="-2"/>
        </w:rPr>
        <w:t>Avec</w:t>
      </w:r>
      <w:r>
        <w:rPr>
          <w:color w:val="231F20"/>
          <w:spacing w:val="-10"/>
        </w:rPr>
        <w:t> </w:t>
      </w:r>
      <w:r>
        <w:rPr>
          <w:color w:val="231F20"/>
          <w:spacing w:val="-2"/>
        </w:rPr>
        <w:t>ces</w:t>
      </w:r>
      <w:r>
        <w:rPr>
          <w:color w:val="231F20"/>
          <w:spacing w:val="-10"/>
        </w:rPr>
        <w:t> </w:t>
      </w:r>
      <w:r>
        <w:rPr>
          <w:color w:val="231F20"/>
          <w:spacing w:val="-2"/>
        </w:rPr>
        <w:t>«</w:t>
      </w:r>
      <w:r>
        <w:rPr>
          <w:color w:val="231F20"/>
          <w:spacing w:val="-9"/>
        </w:rPr>
        <w:t> </w:t>
      </w:r>
      <w:r>
        <w:rPr>
          <w:color w:val="231F20"/>
          <w:spacing w:val="-2"/>
        </w:rPr>
        <w:t>retours</w:t>
      </w:r>
      <w:r>
        <w:rPr>
          <w:color w:val="231F20"/>
          <w:spacing w:val="-10"/>
        </w:rPr>
        <w:t> </w:t>
      </w:r>
      <w:r>
        <w:rPr>
          <w:color w:val="231F20"/>
          <w:spacing w:val="-2"/>
        </w:rPr>
        <w:t>au</w:t>
      </w:r>
      <w:r>
        <w:rPr>
          <w:color w:val="231F20"/>
          <w:spacing w:val="-12"/>
        </w:rPr>
        <w:t> </w:t>
      </w:r>
      <w:r>
        <w:rPr>
          <w:color w:val="231F20"/>
          <w:spacing w:val="-2"/>
        </w:rPr>
        <w:t>village</w:t>
      </w:r>
      <w:r>
        <w:rPr>
          <w:color w:val="231F20"/>
          <w:spacing w:val="-10"/>
        </w:rPr>
        <w:t> </w:t>
      </w:r>
      <w:r>
        <w:rPr>
          <w:color w:val="231F20"/>
          <w:spacing w:val="-2"/>
        </w:rPr>
        <w:t>»,</w:t>
      </w:r>
      <w:r>
        <w:rPr>
          <w:color w:val="231F20"/>
          <w:spacing w:val="-9"/>
        </w:rPr>
        <w:t> </w:t>
      </w:r>
      <w:r>
        <w:rPr>
          <w:color w:val="231F20"/>
          <w:spacing w:val="-2"/>
        </w:rPr>
        <w:t>les</w:t>
      </w:r>
      <w:r>
        <w:rPr>
          <w:color w:val="231F20"/>
          <w:spacing w:val="-9"/>
        </w:rPr>
        <w:t> </w:t>
      </w:r>
      <w:r>
        <w:rPr>
          <w:color w:val="231F20"/>
          <w:spacing w:val="-2"/>
        </w:rPr>
        <w:t>ruraux</w:t>
      </w:r>
      <w:r>
        <w:rPr>
          <w:color w:val="231F20"/>
          <w:spacing w:val="-12"/>
        </w:rPr>
        <w:t> </w:t>
      </w:r>
      <w:r>
        <w:rPr>
          <w:color w:val="231F20"/>
          <w:spacing w:val="-2"/>
        </w:rPr>
        <w:t>sont</w:t>
      </w:r>
      <w:r>
        <w:rPr>
          <w:color w:val="231F20"/>
          <w:spacing w:val="-8"/>
        </w:rPr>
        <w:t> </w:t>
      </w:r>
      <w:r>
        <w:rPr>
          <w:color w:val="231F20"/>
          <w:spacing w:val="-2"/>
        </w:rPr>
        <w:t>confrontés</w:t>
      </w:r>
      <w:r>
        <w:rPr>
          <w:color w:val="231F20"/>
          <w:spacing w:val="-9"/>
        </w:rPr>
        <w:t> </w:t>
      </w:r>
      <w:r>
        <w:rPr>
          <w:color w:val="231F20"/>
          <w:spacing w:val="-2"/>
        </w:rPr>
        <w:t>à</w:t>
      </w:r>
      <w:r>
        <w:rPr>
          <w:color w:val="231F20"/>
          <w:spacing w:val="-12"/>
        </w:rPr>
        <w:t> </w:t>
      </w:r>
      <w:r>
        <w:rPr>
          <w:color w:val="231F20"/>
          <w:spacing w:val="-2"/>
        </w:rPr>
        <w:t>une</w:t>
      </w:r>
      <w:r>
        <w:rPr>
          <w:color w:val="231F20"/>
          <w:spacing w:val="-10"/>
        </w:rPr>
        <w:t> </w:t>
      </w:r>
      <w:r>
        <w:rPr>
          <w:color w:val="231F20"/>
          <w:spacing w:val="-2"/>
        </w:rPr>
        <w:t>nouvelle </w:t>
      </w:r>
      <w:r>
        <w:rPr>
          <w:color w:val="231F20"/>
        </w:rPr>
        <w:t>catégorie</w:t>
      </w:r>
      <w:r>
        <w:rPr>
          <w:color w:val="231F20"/>
          <w:spacing w:val="-15"/>
        </w:rPr>
        <w:t> </w:t>
      </w:r>
      <w:r>
        <w:rPr>
          <w:color w:val="231F20"/>
        </w:rPr>
        <w:t>d’habitants</w:t>
      </w:r>
      <w:r>
        <w:rPr>
          <w:color w:val="231F20"/>
          <w:spacing w:val="-15"/>
        </w:rPr>
        <w:t> </w:t>
      </w:r>
      <w:r>
        <w:rPr>
          <w:color w:val="231F20"/>
        </w:rPr>
        <w:t>:</w:t>
      </w:r>
      <w:r>
        <w:rPr>
          <w:color w:val="231F20"/>
          <w:spacing w:val="-15"/>
        </w:rPr>
        <w:t> </w:t>
      </w:r>
      <w:r>
        <w:rPr>
          <w:color w:val="231F20"/>
        </w:rPr>
        <w:t>de</w:t>
      </w:r>
      <w:r>
        <w:rPr>
          <w:color w:val="231F20"/>
          <w:spacing w:val="-15"/>
        </w:rPr>
        <w:t> </w:t>
      </w:r>
      <w:r>
        <w:rPr>
          <w:color w:val="231F20"/>
        </w:rPr>
        <w:t>jeunes</w:t>
      </w:r>
      <w:r>
        <w:rPr>
          <w:color w:val="231F20"/>
          <w:spacing w:val="-15"/>
        </w:rPr>
        <w:t> </w:t>
      </w:r>
      <w:r>
        <w:rPr>
          <w:color w:val="231F20"/>
        </w:rPr>
        <w:t>«</w:t>
      </w:r>
      <w:r>
        <w:rPr>
          <w:color w:val="231F20"/>
          <w:spacing w:val="-15"/>
        </w:rPr>
        <w:t> </w:t>
      </w:r>
      <w:r>
        <w:rPr>
          <w:color w:val="231F20"/>
        </w:rPr>
        <w:t>chômeurs</w:t>
      </w:r>
      <w:r>
        <w:rPr>
          <w:color w:val="231F20"/>
          <w:spacing w:val="-15"/>
        </w:rPr>
        <w:t> </w:t>
      </w:r>
      <w:r>
        <w:rPr>
          <w:color w:val="231F20"/>
        </w:rPr>
        <w:t>intellectuels</w:t>
      </w:r>
      <w:r>
        <w:rPr>
          <w:color w:val="231F20"/>
          <w:spacing w:val="-15"/>
        </w:rPr>
        <w:t> </w:t>
      </w:r>
      <w:r>
        <w:rPr>
          <w:color w:val="231F20"/>
        </w:rPr>
        <w:t>villageois</w:t>
      </w:r>
      <w:r>
        <w:rPr>
          <w:color w:val="231F20"/>
          <w:spacing w:val="-15"/>
        </w:rPr>
        <w:t> </w:t>
      </w:r>
      <w:r>
        <w:rPr>
          <w:color w:val="231F20"/>
        </w:rPr>
        <w:t>»</w:t>
      </w:r>
      <w:r>
        <w:rPr>
          <w:color w:val="231F20"/>
          <w:spacing w:val="-15"/>
        </w:rPr>
        <w:t> </w:t>
      </w:r>
      <w:r>
        <w:rPr>
          <w:color w:val="231F20"/>
        </w:rPr>
        <w:t>en </w:t>
      </w:r>
      <w:r>
        <w:rPr>
          <w:color w:val="231F20"/>
          <w:spacing w:val="-4"/>
        </w:rPr>
        <w:t>révolte</w:t>
      </w:r>
      <w:r>
        <w:rPr>
          <w:color w:val="231F20"/>
          <w:spacing w:val="-7"/>
        </w:rPr>
        <w:t> </w:t>
      </w:r>
      <w:r>
        <w:rPr>
          <w:color w:val="231F20"/>
          <w:spacing w:val="-4"/>
        </w:rPr>
        <w:t>contre</w:t>
      </w:r>
      <w:r>
        <w:rPr>
          <w:color w:val="231F20"/>
          <w:spacing w:val="-10"/>
        </w:rPr>
        <w:t> </w:t>
      </w:r>
      <w:r>
        <w:rPr>
          <w:color w:val="231F20"/>
          <w:spacing w:val="-4"/>
        </w:rPr>
        <w:t>les</w:t>
      </w:r>
      <w:r>
        <w:rPr>
          <w:color w:val="231F20"/>
          <w:spacing w:val="-6"/>
        </w:rPr>
        <w:t> </w:t>
      </w:r>
      <w:r>
        <w:rPr>
          <w:color w:val="231F20"/>
          <w:spacing w:val="-4"/>
        </w:rPr>
        <w:t>hommes</w:t>
      </w:r>
      <w:r>
        <w:rPr>
          <w:color w:val="231F20"/>
          <w:spacing w:val="-9"/>
        </w:rPr>
        <w:t> </w:t>
      </w:r>
      <w:r>
        <w:rPr>
          <w:color w:val="231F20"/>
          <w:spacing w:val="-4"/>
        </w:rPr>
        <w:t>politiques</w:t>
      </w:r>
      <w:r>
        <w:rPr>
          <w:color w:val="231F20"/>
          <w:spacing w:val="-6"/>
        </w:rPr>
        <w:t> </w:t>
      </w:r>
      <w:r>
        <w:rPr>
          <w:color w:val="231F20"/>
          <w:spacing w:val="-4"/>
        </w:rPr>
        <w:t>en</w:t>
      </w:r>
      <w:r>
        <w:rPr>
          <w:color w:val="231F20"/>
          <w:spacing w:val="-9"/>
        </w:rPr>
        <w:t> </w:t>
      </w:r>
      <w:r>
        <w:rPr>
          <w:color w:val="231F20"/>
          <w:spacing w:val="-4"/>
        </w:rPr>
        <w:t>place</w:t>
      </w:r>
      <w:r>
        <w:rPr>
          <w:color w:val="231F20"/>
          <w:spacing w:val="-7"/>
        </w:rPr>
        <w:t> </w:t>
      </w:r>
      <w:r>
        <w:rPr>
          <w:color w:val="231F20"/>
          <w:spacing w:val="-4"/>
        </w:rPr>
        <w:t>à</w:t>
      </w:r>
      <w:r>
        <w:rPr>
          <w:color w:val="231F20"/>
          <w:spacing w:val="-7"/>
        </w:rPr>
        <w:t> </w:t>
      </w:r>
      <w:r>
        <w:rPr>
          <w:color w:val="231F20"/>
          <w:spacing w:val="-4"/>
        </w:rPr>
        <w:t>Abidjan</w:t>
      </w:r>
      <w:r>
        <w:rPr>
          <w:color w:val="231F20"/>
          <w:spacing w:val="-6"/>
        </w:rPr>
        <w:t> </w:t>
      </w:r>
      <w:r>
        <w:rPr>
          <w:color w:val="231F20"/>
          <w:spacing w:val="-4"/>
        </w:rPr>
        <w:t>mais</w:t>
      </w:r>
      <w:r>
        <w:rPr>
          <w:color w:val="231F20"/>
          <w:spacing w:val="-6"/>
        </w:rPr>
        <w:t> </w:t>
      </w:r>
      <w:r>
        <w:rPr>
          <w:color w:val="231F20"/>
          <w:spacing w:val="-4"/>
        </w:rPr>
        <w:t>aussi</w:t>
      </w:r>
      <w:r>
        <w:rPr>
          <w:color w:val="231F20"/>
          <w:spacing w:val="-6"/>
        </w:rPr>
        <w:t> </w:t>
      </w:r>
      <w:r>
        <w:rPr>
          <w:color w:val="231F20"/>
          <w:spacing w:val="-4"/>
        </w:rPr>
        <w:t>contre </w:t>
      </w:r>
      <w:r>
        <w:rPr>
          <w:color w:val="231F20"/>
        </w:rPr>
        <w:t>des</w:t>
      </w:r>
      <w:r>
        <w:rPr>
          <w:color w:val="231F20"/>
          <w:spacing w:val="-4"/>
        </w:rPr>
        <w:t> </w:t>
      </w:r>
      <w:r>
        <w:rPr>
          <w:color w:val="231F20"/>
        </w:rPr>
        <w:t>règles</w:t>
      </w:r>
      <w:r>
        <w:rPr>
          <w:color w:val="231F20"/>
          <w:spacing w:val="-5"/>
        </w:rPr>
        <w:t> </w:t>
      </w:r>
      <w:r>
        <w:rPr>
          <w:color w:val="231F20"/>
        </w:rPr>
        <w:t>de</w:t>
      </w:r>
      <w:r>
        <w:rPr>
          <w:color w:val="231F20"/>
          <w:spacing w:val="-5"/>
        </w:rPr>
        <w:t> </w:t>
      </w:r>
      <w:r>
        <w:rPr>
          <w:color w:val="231F20"/>
        </w:rPr>
        <w:t>la</w:t>
      </w:r>
      <w:r>
        <w:rPr>
          <w:color w:val="231F20"/>
          <w:spacing w:val="-4"/>
        </w:rPr>
        <w:t> </w:t>
      </w:r>
      <w:r>
        <w:rPr>
          <w:color w:val="231F20"/>
        </w:rPr>
        <w:t>vie</w:t>
      </w:r>
      <w:r>
        <w:rPr>
          <w:color w:val="231F20"/>
          <w:spacing w:val="-4"/>
        </w:rPr>
        <w:t> </w:t>
      </w:r>
      <w:r>
        <w:rPr>
          <w:color w:val="231F20"/>
        </w:rPr>
        <w:t>au</w:t>
      </w:r>
      <w:r>
        <w:rPr>
          <w:color w:val="231F20"/>
          <w:spacing w:val="-5"/>
        </w:rPr>
        <w:t> </w:t>
      </w:r>
      <w:r>
        <w:rPr>
          <w:color w:val="231F20"/>
        </w:rPr>
        <w:t>village</w:t>
      </w:r>
      <w:r>
        <w:rPr>
          <w:color w:val="231F20"/>
          <w:spacing w:val="-4"/>
        </w:rPr>
        <w:t> </w:t>
      </w:r>
      <w:r>
        <w:rPr>
          <w:color w:val="231F20"/>
        </w:rPr>
        <w:t>auxquelles</w:t>
      </w:r>
      <w:r>
        <w:rPr>
          <w:color w:val="231F20"/>
          <w:spacing w:val="-5"/>
        </w:rPr>
        <w:t> </w:t>
      </w:r>
      <w:r>
        <w:rPr>
          <w:color w:val="231F20"/>
        </w:rPr>
        <w:t>ils</w:t>
      </w:r>
      <w:r>
        <w:rPr>
          <w:color w:val="231F20"/>
          <w:spacing w:val="-3"/>
        </w:rPr>
        <w:t> </w:t>
      </w:r>
      <w:r>
        <w:rPr>
          <w:color w:val="231F20"/>
        </w:rPr>
        <w:t>ont</w:t>
      </w:r>
      <w:r>
        <w:rPr>
          <w:color w:val="231F20"/>
          <w:spacing w:val="-4"/>
        </w:rPr>
        <w:t> </w:t>
      </w:r>
      <w:r>
        <w:rPr>
          <w:color w:val="231F20"/>
        </w:rPr>
        <w:t>du</w:t>
      </w:r>
      <w:r>
        <w:rPr>
          <w:color w:val="231F20"/>
          <w:spacing w:val="-5"/>
        </w:rPr>
        <w:t> </w:t>
      </w:r>
      <w:r>
        <w:rPr>
          <w:color w:val="231F20"/>
        </w:rPr>
        <w:t>mal</w:t>
      </w:r>
      <w:r>
        <w:rPr>
          <w:color w:val="231F20"/>
          <w:spacing w:val="-4"/>
        </w:rPr>
        <w:t> </w:t>
      </w:r>
      <w:r>
        <w:rPr>
          <w:color w:val="231F20"/>
        </w:rPr>
        <w:t>à</w:t>
      </w:r>
      <w:r>
        <w:rPr>
          <w:color w:val="231F20"/>
          <w:spacing w:val="-5"/>
        </w:rPr>
        <w:t> </w:t>
      </w:r>
      <w:r>
        <w:rPr>
          <w:color w:val="231F20"/>
        </w:rPr>
        <w:t>se</w:t>
      </w:r>
      <w:r>
        <w:rPr>
          <w:color w:val="231F20"/>
          <w:spacing w:val="-2"/>
        </w:rPr>
        <w:t> </w:t>
      </w:r>
      <w:r>
        <w:rPr>
          <w:color w:val="231F20"/>
        </w:rPr>
        <w:t>conformer. Leur demande d’accès à la terre se transforme en conflits intercommunautaires et identitaires particulièrement dans les régions Ouest</w:t>
      </w:r>
      <w:r>
        <w:rPr>
          <w:color w:val="231F20"/>
          <w:spacing w:val="-7"/>
        </w:rPr>
        <w:t> </w:t>
      </w:r>
      <w:r>
        <w:rPr>
          <w:color w:val="231F20"/>
        </w:rPr>
        <w:t>et</w:t>
      </w:r>
      <w:r>
        <w:rPr>
          <w:color w:val="231F20"/>
          <w:spacing w:val="-10"/>
        </w:rPr>
        <w:t> </w:t>
      </w:r>
      <w:r>
        <w:rPr>
          <w:color w:val="231F20"/>
        </w:rPr>
        <w:t>Sud-</w:t>
      </w:r>
      <w:r>
        <w:rPr>
          <w:color w:val="231F20"/>
          <w:spacing w:val="-11"/>
        </w:rPr>
        <w:t> </w:t>
      </w:r>
      <w:r>
        <w:rPr>
          <w:color w:val="231F20"/>
        </w:rPr>
        <w:t>ouest</w:t>
      </w:r>
      <w:r>
        <w:rPr>
          <w:color w:val="231F20"/>
          <w:spacing w:val="-10"/>
        </w:rPr>
        <w:t> </w:t>
      </w:r>
      <w:r>
        <w:rPr>
          <w:color w:val="231F20"/>
        </w:rPr>
        <w:t>de</w:t>
      </w:r>
      <w:r>
        <w:rPr>
          <w:color w:val="231F20"/>
          <w:spacing w:val="-8"/>
        </w:rPr>
        <w:t> </w:t>
      </w:r>
      <w:r>
        <w:rPr>
          <w:color w:val="231F20"/>
        </w:rPr>
        <w:t>la</w:t>
      </w:r>
      <w:r>
        <w:rPr>
          <w:color w:val="231F20"/>
          <w:spacing w:val="-10"/>
        </w:rPr>
        <w:t> </w:t>
      </w:r>
      <w:r>
        <w:rPr>
          <w:color w:val="231F20"/>
        </w:rPr>
        <w:t>Côte</w:t>
      </w:r>
      <w:r>
        <w:rPr>
          <w:color w:val="231F20"/>
          <w:spacing w:val="-8"/>
        </w:rPr>
        <w:t> </w:t>
      </w:r>
      <w:r>
        <w:rPr>
          <w:color w:val="231F20"/>
        </w:rPr>
        <w:t>d’Ivoire</w:t>
      </w:r>
      <w:r>
        <w:rPr>
          <w:color w:val="231F20"/>
          <w:spacing w:val="-8"/>
        </w:rPr>
        <w:t> </w:t>
      </w:r>
      <w:r>
        <w:rPr>
          <w:color w:val="231F20"/>
        </w:rPr>
        <w:t>où</w:t>
      </w:r>
      <w:r>
        <w:rPr>
          <w:color w:val="231F20"/>
          <w:spacing w:val="-8"/>
        </w:rPr>
        <w:t> </w:t>
      </w:r>
      <w:r>
        <w:rPr>
          <w:color w:val="231F20"/>
        </w:rPr>
        <w:t>le</w:t>
      </w:r>
      <w:r>
        <w:rPr>
          <w:color w:val="231F20"/>
          <w:spacing w:val="-8"/>
        </w:rPr>
        <w:t> </w:t>
      </w:r>
      <w:r>
        <w:rPr>
          <w:color w:val="231F20"/>
        </w:rPr>
        <w:t>taux</w:t>
      </w:r>
      <w:r>
        <w:rPr>
          <w:color w:val="231F20"/>
          <w:spacing w:val="-8"/>
        </w:rPr>
        <w:t> </w:t>
      </w:r>
      <w:r>
        <w:rPr>
          <w:color w:val="231F20"/>
        </w:rPr>
        <w:t>d'immigration</w:t>
      </w:r>
      <w:r>
        <w:rPr>
          <w:color w:val="231F20"/>
          <w:spacing w:val="-8"/>
        </w:rPr>
        <w:t> </w:t>
      </w:r>
      <w:r>
        <w:rPr>
          <w:color w:val="231F20"/>
        </w:rPr>
        <w:t>est</w:t>
      </w:r>
      <w:r>
        <w:rPr>
          <w:color w:val="231F20"/>
          <w:spacing w:val="-10"/>
        </w:rPr>
        <w:t> </w:t>
      </w:r>
      <w:r>
        <w:rPr>
          <w:color w:val="231F20"/>
        </w:rPr>
        <w:t>très largement</w:t>
      </w:r>
      <w:r>
        <w:rPr>
          <w:color w:val="231F20"/>
          <w:spacing w:val="-10"/>
        </w:rPr>
        <w:t> </w:t>
      </w:r>
      <w:r>
        <w:rPr>
          <w:color w:val="231F20"/>
        </w:rPr>
        <w:t>supérieur</w:t>
      </w:r>
      <w:r>
        <w:rPr>
          <w:color w:val="231F20"/>
          <w:spacing w:val="-8"/>
        </w:rPr>
        <w:t> </w:t>
      </w:r>
      <w:r>
        <w:rPr>
          <w:color w:val="231F20"/>
        </w:rPr>
        <w:t>à</w:t>
      </w:r>
      <w:r>
        <w:rPr>
          <w:color w:val="231F20"/>
          <w:spacing w:val="-8"/>
        </w:rPr>
        <w:t> </w:t>
      </w:r>
      <w:r>
        <w:rPr>
          <w:color w:val="231F20"/>
        </w:rPr>
        <w:t>24%,</w:t>
      </w:r>
      <w:r>
        <w:rPr>
          <w:color w:val="231F20"/>
          <w:spacing w:val="-8"/>
        </w:rPr>
        <w:t> </w:t>
      </w:r>
      <w:r>
        <w:rPr>
          <w:color w:val="231F20"/>
        </w:rPr>
        <w:t>la</w:t>
      </w:r>
      <w:r>
        <w:rPr>
          <w:color w:val="231F20"/>
          <w:spacing w:val="-8"/>
        </w:rPr>
        <w:t> </w:t>
      </w:r>
      <w:r>
        <w:rPr>
          <w:color w:val="231F20"/>
        </w:rPr>
        <w:t>moyenne</w:t>
      </w:r>
      <w:r>
        <w:rPr>
          <w:color w:val="231F20"/>
          <w:spacing w:val="-8"/>
        </w:rPr>
        <w:t> </w:t>
      </w:r>
      <w:r>
        <w:rPr>
          <w:color w:val="231F20"/>
        </w:rPr>
        <w:t>nationale.</w:t>
      </w:r>
      <w:r>
        <w:rPr>
          <w:color w:val="231F20"/>
          <w:spacing w:val="-8"/>
        </w:rPr>
        <w:t> </w:t>
      </w:r>
      <w:r>
        <w:rPr>
          <w:color w:val="231F20"/>
        </w:rPr>
        <w:t>À</w:t>
      </w:r>
      <w:r>
        <w:rPr>
          <w:color w:val="231F20"/>
          <w:spacing w:val="-9"/>
        </w:rPr>
        <w:t> </w:t>
      </w:r>
      <w:r>
        <w:rPr>
          <w:color w:val="231F20"/>
        </w:rPr>
        <w:t>titre</w:t>
      </w:r>
      <w:r>
        <w:rPr>
          <w:color w:val="231F20"/>
          <w:spacing w:val="-9"/>
        </w:rPr>
        <w:t> </w:t>
      </w:r>
      <w:r>
        <w:rPr>
          <w:color w:val="231F20"/>
        </w:rPr>
        <w:t>d’exemple,</w:t>
      </w:r>
      <w:r>
        <w:rPr>
          <w:color w:val="231F20"/>
          <w:spacing w:val="-8"/>
        </w:rPr>
        <w:t> </w:t>
      </w:r>
      <w:r>
        <w:rPr>
          <w:color w:val="231F20"/>
        </w:rPr>
        <w:t>le taux des étrangers atteint des piques de 74% dans certaines sous- </w:t>
      </w:r>
      <w:r>
        <w:rPr>
          <w:color w:val="231F20"/>
          <w:spacing w:val="-2"/>
        </w:rPr>
        <w:t>préfectures</w:t>
      </w:r>
      <w:r>
        <w:rPr>
          <w:color w:val="231F20"/>
          <w:spacing w:val="-6"/>
        </w:rPr>
        <w:t> </w:t>
      </w:r>
      <w:r>
        <w:rPr>
          <w:color w:val="231F20"/>
          <w:spacing w:val="-2"/>
        </w:rPr>
        <w:t>du</w:t>
      </w:r>
      <w:r>
        <w:rPr>
          <w:color w:val="231F20"/>
          <w:spacing w:val="-9"/>
        </w:rPr>
        <w:t> </w:t>
      </w:r>
      <w:r>
        <w:rPr>
          <w:color w:val="231F20"/>
          <w:spacing w:val="-2"/>
        </w:rPr>
        <w:t>District</w:t>
      </w:r>
      <w:r>
        <w:rPr>
          <w:color w:val="231F20"/>
          <w:spacing w:val="-6"/>
        </w:rPr>
        <w:t> </w:t>
      </w:r>
      <w:r>
        <w:rPr>
          <w:color w:val="231F20"/>
          <w:spacing w:val="-2"/>
        </w:rPr>
        <w:t>de</w:t>
      </w:r>
      <w:r>
        <w:rPr>
          <w:color w:val="231F20"/>
          <w:spacing w:val="-11"/>
        </w:rPr>
        <w:t> </w:t>
      </w:r>
      <w:r>
        <w:rPr>
          <w:color w:val="231F20"/>
          <w:spacing w:val="-2"/>
        </w:rPr>
        <w:t>San-Pedro</w:t>
      </w:r>
      <w:r>
        <w:rPr>
          <w:color w:val="76787A"/>
          <w:spacing w:val="-2"/>
          <w:vertAlign w:val="superscript"/>
        </w:rPr>
        <w:t>144</w:t>
      </w:r>
      <w:r>
        <w:rPr>
          <w:color w:val="231F20"/>
          <w:spacing w:val="-2"/>
          <w:vertAlign w:val="baseline"/>
        </w:rPr>
        <w:t>.</w:t>
      </w:r>
      <w:r>
        <w:rPr>
          <w:color w:val="231F20"/>
          <w:spacing w:val="-6"/>
          <w:vertAlign w:val="baseline"/>
        </w:rPr>
        <w:t> </w:t>
      </w:r>
      <w:r>
        <w:rPr>
          <w:color w:val="231F20"/>
          <w:spacing w:val="-2"/>
          <w:vertAlign w:val="baseline"/>
        </w:rPr>
        <w:t>Le</w:t>
      </w:r>
      <w:r>
        <w:rPr>
          <w:color w:val="231F20"/>
          <w:spacing w:val="-8"/>
          <w:vertAlign w:val="baseline"/>
        </w:rPr>
        <w:t> </w:t>
      </w:r>
      <w:r>
        <w:rPr>
          <w:color w:val="231F20"/>
          <w:spacing w:val="-2"/>
          <w:vertAlign w:val="baseline"/>
        </w:rPr>
        <w:t>District</w:t>
      </w:r>
      <w:r>
        <w:rPr>
          <w:color w:val="231F20"/>
          <w:spacing w:val="-6"/>
          <w:vertAlign w:val="baseline"/>
        </w:rPr>
        <w:t> </w:t>
      </w:r>
      <w:r>
        <w:rPr>
          <w:color w:val="231F20"/>
          <w:spacing w:val="-2"/>
          <w:vertAlign w:val="baseline"/>
        </w:rPr>
        <w:t>du</w:t>
      </w:r>
      <w:r>
        <w:rPr>
          <w:color w:val="231F20"/>
          <w:spacing w:val="-9"/>
          <w:vertAlign w:val="baseline"/>
        </w:rPr>
        <w:t> </w:t>
      </w:r>
      <w:r>
        <w:rPr>
          <w:color w:val="231F20"/>
          <w:spacing w:val="-2"/>
          <w:vertAlign w:val="baseline"/>
        </w:rPr>
        <w:t>Bas-Sassandra</w:t>
      </w:r>
      <w:r>
        <w:rPr>
          <w:color w:val="231F20"/>
          <w:spacing w:val="-8"/>
          <w:vertAlign w:val="baseline"/>
        </w:rPr>
        <w:t> </w:t>
      </w:r>
      <w:r>
        <w:rPr>
          <w:color w:val="231F20"/>
          <w:spacing w:val="-2"/>
          <w:vertAlign w:val="baseline"/>
        </w:rPr>
        <w:t>est </w:t>
      </w:r>
      <w:r>
        <w:rPr>
          <w:color w:val="231F20"/>
          <w:vertAlign w:val="baseline"/>
        </w:rPr>
        <w:t>très</w:t>
      </w:r>
      <w:r>
        <w:rPr>
          <w:color w:val="231F20"/>
          <w:spacing w:val="-2"/>
          <w:vertAlign w:val="baseline"/>
        </w:rPr>
        <w:t> </w:t>
      </w:r>
      <w:r>
        <w:rPr>
          <w:color w:val="231F20"/>
          <w:vertAlign w:val="baseline"/>
        </w:rPr>
        <w:t>peuplé.</w:t>
      </w:r>
      <w:r>
        <w:rPr>
          <w:color w:val="231F20"/>
          <w:spacing w:val="-2"/>
          <w:vertAlign w:val="baseline"/>
        </w:rPr>
        <w:t> </w:t>
      </w:r>
      <w:r>
        <w:rPr>
          <w:color w:val="231F20"/>
          <w:vertAlign w:val="baseline"/>
        </w:rPr>
        <w:t>Le</w:t>
      </w:r>
      <w:r>
        <w:rPr>
          <w:color w:val="231F20"/>
          <w:spacing w:val="-3"/>
          <w:vertAlign w:val="baseline"/>
        </w:rPr>
        <w:t> </w:t>
      </w:r>
      <w:r>
        <w:rPr>
          <w:color w:val="231F20"/>
          <w:vertAlign w:val="baseline"/>
        </w:rPr>
        <w:t>nombre</w:t>
      </w:r>
      <w:r>
        <w:rPr>
          <w:color w:val="231F20"/>
          <w:spacing w:val="-3"/>
          <w:vertAlign w:val="baseline"/>
        </w:rPr>
        <w:t> </w:t>
      </w:r>
      <w:r>
        <w:rPr>
          <w:color w:val="231F20"/>
          <w:vertAlign w:val="baseline"/>
        </w:rPr>
        <w:t>d’habitants</w:t>
      </w:r>
      <w:r>
        <w:rPr>
          <w:color w:val="231F20"/>
          <w:spacing w:val="-2"/>
          <w:vertAlign w:val="baseline"/>
        </w:rPr>
        <w:t> </w:t>
      </w:r>
      <w:r>
        <w:rPr>
          <w:color w:val="231F20"/>
          <w:vertAlign w:val="baseline"/>
        </w:rPr>
        <w:t>en</w:t>
      </w:r>
      <w:r>
        <w:rPr>
          <w:color w:val="231F20"/>
          <w:spacing w:val="-2"/>
          <w:vertAlign w:val="baseline"/>
        </w:rPr>
        <w:t> </w:t>
      </w:r>
      <w:r>
        <w:rPr>
          <w:color w:val="231F20"/>
          <w:vertAlign w:val="baseline"/>
        </w:rPr>
        <w:t>2014 était</w:t>
      </w:r>
      <w:r>
        <w:rPr>
          <w:color w:val="231F20"/>
          <w:spacing w:val="-1"/>
          <w:vertAlign w:val="baseline"/>
        </w:rPr>
        <w:t> </w:t>
      </w:r>
      <w:r>
        <w:rPr>
          <w:color w:val="231F20"/>
          <w:vertAlign w:val="baseline"/>
        </w:rPr>
        <w:t>de 2</w:t>
      </w:r>
      <w:r>
        <w:rPr>
          <w:color w:val="231F20"/>
          <w:spacing w:val="-2"/>
          <w:vertAlign w:val="baseline"/>
        </w:rPr>
        <w:t> </w:t>
      </w:r>
      <w:r>
        <w:rPr>
          <w:color w:val="231F20"/>
          <w:vertAlign w:val="baseline"/>
        </w:rPr>
        <w:t>280548</w:t>
      </w:r>
      <w:r>
        <w:rPr>
          <w:color w:val="231F20"/>
          <w:spacing w:val="-2"/>
          <w:vertAlign w:val="baseline"/>
        </w:rPr>
        <w:t> </w:t>
      </w:r>
      <w:r>
        <w:rPr>
          <w:color w:val="231F20"/>
          <w:vertAlign w:val="baseline"/>
        </w:rPr>
        <w:t>dont</w:t>
      </w:r>
      <w:r>
        <w:rPr>
          <w:color w:val="231F20"/>
          <w:spacing w:val="-1"/>
          <w:vertAlign w:val="baseline"/>
        </w:rPr>
        <w:t> </w:t>
      </w:r>
      <w:r>
        <w:rPr>
          <w:color w:val="231F20"/>
          <w:vertAlign w:val="baseline"/>
        </w:rPr>
        <w:t>982 </w:t>
      </w:r>
      <w:r>
        <w:rPr>
          <w:color w:val="231F20"/>
          <w:spacing w:val="-2"/>
          <w:vertAlign w:val="baseline"/>
        </w:rPr>
        <w:t>610</w:t>
      </w:r>
      <w:r>
        <w:rPr>
          <w:color w:val="231F20"/>
          <w:spacing w:val="-10"/>
          <w:vertAlign w:val="baseline"/>
        </w:rPr>
        <w:t> </w:t>
      </w:r>
      <w:r>
        <w:rPr>
          <w:color w:val="231F20"/>
          <w:spacing w:val="-2"/>
          <w:vertAlign w:val="baseline"/>
        </w:rPr>
        <w:t>non-ivoiriens</w:t>
      </w:r>
      <w:r>
        <w:rPr>
          <w:color w:val="231F20"/>
          <w:spacing w:val="-12"/>
          <w:vertAlign w:val="baseline"/>
        </w:rPr>
        <w:t> </w:t>
      </w:r>
      <w:r>
        <w:rPr>
          <w:color w:val="231F20"/>
          <w:spacing w:val="-2"/>
          <w:vertAlign w:val="baseline"/>
        </w:rPr>
        <w:t>soit</w:t>
      </w:r>
      <w:r>
        <w:rPr>
          <w:color w:val="231F20"/>
          <w:spacing w:val="-9"/>
          <w:vertAlign w:val="baseline"/>
        </w:rPr>
        <w:t> </w:t>
      </w:r>
      <w:r>
        <w:rPr>
          <w:color w:val="231F20"/>
          <w:spacing w:val="-2"/>
          <w:vertAlign w:val="baseline"/>
        </w:rPr>
        <w:t>43%.</w:t>
      </w:r>
      <w:r>
        <w:rPr>
          <w:color w:val="231F20"/>
          <w:spacing w:val="-10"/>
          <w:vertAlign w:val="baseline"/>
        </w:rPr>
        <w:t> </w:t>
      </w:r>
      <w:r>
        <w:rPr>
          <w:color w:val="231F20"/>
          <w:spacing w:val="-2"/>
          <w:vertAlign w:val="baseline"/>
        </w:rPr>
        <w:t>Toujours</w:t>
      </w:r>
      <w:r>
        <w:rPr>
          <w:color w:val="231F20"/>
          <w:spacing w:val="-12"/>
          <w:vertAlign w:val="baseline"/>
        </w:rPr>
        <w:t> </w:t>
      </w:r>
      <w:r>
        <w:rPr>
          <w:color w:val="231F20"/>
          <w:spacing w:val="-2"/>
          <w:vertAlign w:val="baseline"/>
        </w:rPr>
        <w:t>dans</w:t>
      </w:r>
      <w:r>
        <w:rPr>
          <w:color w:val="231F20"/>
          <w:spacing w:val="-12"/>
          <w:vertAlign w:val="baseline"/>
        </w:rPr>
        <w:t> </w:t>
      </w:r>
      <w:r>
        <w:rPr>
          <w:color w:val="231F20"/>
          <w:spacing w:val="-2"/>
          <w:vertAlign w:val="baseline"/>
        </w:rPr>
        <w:t>le</w:t>
      </w:r>
      <w:r>
        <w:rPr>
          <w:color w:val="231F20"/>
          <w:spacing w:val="-12"/>
          <w:vertAlign w:val="baseline"/>
        </w:rPr>
        <w:t> </w:t>
      </w:r>
      <w:r>
        <w:rPr>
          <w:color w:val="231F20"/>
          <w:spacing w:val="-2"/>
          <w:vertAlign w:val="baseline"/>
        </w:rPr>
        <w:t>Sud-Ouest,</w:t>
      </w:r>
      <w:r>
        <w:rPr>
          <w:color w:val="231F20"/>
          <w:spacing w:val="-12"/>
          <w:vertAlign w:val="baseline"/>
        </w:rPr>
        <w:t> </w:t>
      </w:r>
      <w:r>
        <w:rPr>
          <w:color w:val="231F20"/>
          <w:spacing w:val="-2"/>
          <w:vertAlign w:val="baseline"/>
        </w:rPr>
        <w:t>le</w:t>
      </w:r>
      <w:r>
        <w:rPr>
          <w:color w:val="231F20"/>
          <w:spacing w:val="-10"/>
          <w:vertAlign w:val="baseline"/>
        </w:rPr>
        <w:t> </w:t>
      </w:r>
      <w:r>
        <w:rPr>
          <w:color w:val="231F20"/>
          <w:spacing w:val="-2"/>
          <w:vertAlign w:val="baseline"/>
        </w:rPr>
        <w:t>Département </w:t>
      </w:r>
      <w:r>
        <w:rPr>
          <w:color w:val="231F20"/>
          <w:vertAlign w:val="baseline"/>
        </w:rPr>
        <w:t>de Buyo avait en 2014, 183 875 habitants comprenant 92 302 non- </w:t>
      </w:r>
      <w:r>
        <w:rPr>
          <w:color w:val="231F20"/>
          <w:spacing w:val="-2"/>
          <w:vertAlign w:val="baseline"/>
        </w:rPr>
        <w:t>Ivoiriens</w:t>
      </w:r>
      <w:r>
        <w:rPr>
          <w:color w:val="231F20"/>
          <w:spacing w:val="-15"/>
          <w:vertAlign w:val="baseline"/>
        </w:rPr>
        <w:t> </w:t>
      </w:r>
      <w:r>
        <w:rPr>
          <w:color w:val="231F20"/>
          <w:spacing w:val="-2"/>
          <w:vertAlign w:val="baseline"/>
        </w:rPr>
        <w:t>soit</w:t>
      </w:r>
      <w:r>
        <w:rPr>
          <w:color w:val="231F20"/>
          <w:spacing w:val="-13"/>
          <w:vertAlign w:val="baseline"/>
        </w:rPr>
        <w:t> </w:t>
      </w:r>
      <w:r>
        <w:rPr>
          <w:color w:val="231F20"/>
          <w:spacing w:val="-2"/>
          <w:vertAlign w:val="baseline"/>
        </w:rPr>
        <w:t>50%</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population,</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Sous-</w:t>
      </w:r>
      <w:r>
        <w:rPr>
          <w:color w:val="231F20"/>
          <w:spacing w:val="-13"/>
          <w:vertAlign w:val="baseline"/>
        </w:rPr>
        <w:t> </w:t>
      </w:r>
      <w:r>
        <w:rPr>
          <w:color w:val="231F20"/>
          <w:spacing w:val="-2"/>
          <w:vertAlign w:val="baseline"/>
        </w:rPr>
        <w:t>préfecture</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Dogbo,</w:t>
      </w:r>
      <w:r>
        <w:rPr>
          <w:color w:val="231F20"/>
          <w:spacing w:val="-13"/>
          <w:vertAlign w:val="baseline"/>
        </w:rPr>
        <w:t> </w:t>
      </w:r>
      <w:r>
        <w:rPr>
          <w:color w:val="231F20"/>
          <w:spacing w:val="-2"/>
          <w:vertAlign w:val="baseline"/>
        </w:rPr>
        <w:t>37</w:t>
      </w:r>
      <w:r>
        <w:rPr>
          <w:color w:val="231F20"/>
          <w:spacing w:val="-13"/>
          <w:vertAlign w:val="baseline"/>
        </w:rPr>
        <w:t> </w:t>
      </w:r>
      <w:r>
        <w:rPr>
          <w:color w:val="231F20"/>
          <w:spacing w:val="-2"/>
          <w:vertAlign w:val="baseline"/>
        </w:rPr>
        <w:t>381 </w:t>
      </w:r>
      <w:r>
        <w:rPr>
          <w:color w:val="231F20"/>
          <w:spacing w:val="-4"/>
          <w:vertAlign w:val="baseline"/>
        </w:rPr>
        <w:t>comprenant</w:t>
      </w:r>
      <w:r>
        <w:rPr>
          <w:color w:val="231F20"/>
          <w:spacing w:val="-13"/>
          <w:vertAlign w:val="baseline"/>
        </w:rPr>
        <w:t> </w:t>
      </w:r>
      <w:r>
        <w:rPr>
          <w:color w:val="231F20"/>
          <w:spacing w:val="-4"/>
          <w:vertAlign w:val="baseline"/>
        </w:rPr>
        <w:t>27</w:t>
      </w:r>
      <w:r>
        <w:rPr>
          <w:color w:val="231F20"/>
          <w:spacing w:val="-14"/>
          <w:vertAlign w:val="baseline"/>
        </w:rPr>
        <w:t> </w:t>
      </w:r>
      <w:r>
        <w:rPr>
          <w:color w:val="231F20"/>
          <w:spacing w:val="-4"/>
          <w:vertAlign w:val="baseline"/>
        </w:rPr>
        <w:t>926</w:t>
      </w:r>
      <w:r>
        <w:rPr>
          <w:color w:val="231F20"/>
          <w:spacing w:val="-14"/>
          <w:vertAlign w:val="baseline"/>
        </w:rPr>
        <w:t> </w:t>
      </w:r>
      <w:r>
        <w:rPr>
          <w:color w:val="231F20"/>
          <w:spacing w:val="-4"/>
          <w:vertAlign w:val="baseline"/>
        </w:rPr>
        <w:t>non-</w:t>
      </w:r>
      <w:r>
        <w:rPr>
          <w:color w:val="231F20"/>
          <w:spacing w:val="-11"/>
          <w:vertAlign w:val="baseline"/>
        </w:rPr>
        <w:t> </w:t>
      </w:r>
      <w:r>
        <w:rPr>
          <w:color w:val="231F20"/>
          <w:spacing w:val="-4"/>
          <w:vertAlign w:val="baseline"/>
        </w:rPr>
        <w:t>Ivoiriens</w:t>
      </w:r>
      <w:r>
        <w:rPr>
          <w:color w:val="231F20"/>
          <w:spacing w:val="-11"/>
          <w:vertAlign w:val="baseline"/>
        </w:rPr>
        <w:t> </w:t>
      </w:r>
      <w:r>
        <w:rPr>
          <w:color w:val="231F20"/>
          <w:spacing w:val="-4"/>
          <w:vertAlign w:val="baseline"/>
        </w:rPr>
        <w:t>soit</w:t>
      </w:r>
      <w:r>
        <w:rPr>
          <w:color w:val="231F20"/>
          <w:spacing w:val="-10"/>
          <w:vertAlign w:val="baseline"/>
        </w:rPr>
        <w:t> </w:t>
      </w:r>
      <w:r>
        <w:rPr>
          <w:color w:val="231F20"/>
          <w:spacing w:val="-4"/>
          <w:vertAlign w:val="baseline"/>
        </w:rPr>
        <w:t>74%,</w:t>
      </w:r>
      <w:r>
        <w:rPr>
          <w:color w:val="231F20"/>
          <w:spacing w:val="-11"/>
          <w:vertAlign w:val="baseline"/>
        </w:rPr>
        <w:t> </w:t>
      </w:r>
      <w:r>
        <w:rPr>
          <w:color w:val="231F20"/>
          <w:spacing w:val="-4"/>
          <w:vertAlign w:val="baseline"/>
        </w:rPr>
        <w:t>le</w:t>
      </w:r>
      <w:r>
        <w:rPr>
          <w:color w:val="231F20"/>
          <w:spacing w:val="-12"/>
          <w:vertAlign w:val="baseline"/>
        </w:rPr>
        <w:t> </w:t>
      </w:r>
      <w:r>
        <w:rPr>
          <w:color w:val="231F20"/>
          <w:spacing w:val="-4"/>
          <w:vertAlign w:val="baseline"/>
        </w:rPr>
        <w:t>Département</w:t>
      </w:r>
      <w:r>
        <w:rPr>
          <w:color w:val="231F20"/>
          <w:spacing w:val="-13"/>
          <w:vertAlign w:val="baseline"/>
        </w:rPr>
        <w:t> </w:t>
      </w:r>
      <w:r>
        <w:rPr>
          <w:color w:val="231F20"/>
          <w:spacing w:val="-4"/>
          <w:vertAlign w:val="baseline"/>
        </w:rPr>
        <w:t>de</w:t>
      </w:r>
      <w:r>
        <w:rPr>
          <w:color w:val="231F20"/>
          <w:spacing w:val="-11"/>
          <w:vertAlign w:val="baseline"/>
        </w:rPr>
        <w:t> </w:t>
      </w:r>
      <w:r>
        <w:rPr>
          <w:color w:val="231F20"/>
          <w:spacing w:val="-4"/>
          <w:vertAlign w:val="baseline"/>
        </w:rPr>
        <w:t>Tabou</w:t>
      </w:r>
      <w:r>
        <w:rPr>
          <w:color w:val="231F20"/>
          <w:spacing w:val="-10"/>
          <w:vertAlign w:val="baseline"/>
        </w:rPr>
        <w:t> </w:t>
      </w:r>
      <w:r>
        <w:rPr>
          <w:color w:val="231F20"/>
          <w:spacing w:val="-5"/>
          <w:vertAlign w:val="baseline"/>
        </w:rPr>
        <w:t>195</w:t>
      </w:r>
    </w:p>
    <w:p>
      <w:pPr>
        <w:pStyle w:val="BodyText"/>
        <w:spacing w:before="1"/>
        <w:ind w:right="104"/>
      </w:pPr>
      <w:r>
        <w:rPr>
          <w:color w:val="231F20"/>
        </w:rPr>
        <w:t>510 habitants comprenant 99 873 non- ivoiriens soit 53% de la </w:t>
      </w:r>
      <w:r>
        <w:rPr>
          <w:color w:val="231F20"/>
          <w:spacing w:val="-4"/>
        </w:rPr>
        <w:t>population</w:t>
      </w:r>
      <w:r>
        <w:rPr>
          <w:color w:val="76787A"/>
          <w:spacing w:val="-4"/>
          <w:vertAlign w:val="superscript"/>
        </w:rPr>
        <w:t>145</w:t>
      </w:r>
      <w:r>
        <w:rPr>
          <w:color w:val="76787A"/>
          <w:spacing w:val="6"/>
          <w:vertAlign w:val="baseline"/>
        </w:rPr>
        <w:t> </w:t>
      </w:r>
      <w:r>
        <w:rPr>
          <w:color w:val="231F20"/>
          <w:spacing w:val="-4"/>
          <w:vertAlign w:val="baseline"/>
        </w:rPr>
        <w:t>etc.</w:t>
      </w:r>
      <w:r>
        <w:rPr>
          <w:color w:val="231F20"/>
          <w:spacing w:val="-7"/>
          <w:vertAlign w:val="baseline"/>
        </w:rPr>
        <w:t> </w:t>
      </w:r>
      <w:r>
        <w:rPr>
          <w:color w:val="231F20"/>
          <w:spacing w:val="-4"/>
          <w:vertAlign w:val="baseline"/>
        </w:rPr>
        <w:t>Il</w:t>
      </w:r>
      <w:r>
        <w:rPr>
          <w:color w:val="231F20"/>
          <w:spacing w:val="-7"/>
          <w:vertAlign w:val="baseline"/>
        </w:rPr>
        <w:t> </w:t>
      </w:r>
      <w:r>
        <w:rPr>
          <w:color w:val="231F20"/>
          <w:spacing w:val="-4"/>
          <w:vertAlign w:val="baseline"/>
        </w:rPr>
        <w:t>n’y</w:t>
      </w:r>
      <w:r>
        <w:rPr>
          <w:color w:val="231F20"/>
          <w:spacing w:val="-7"/>
          <w:vertAlign w:val="baseline"/>
        </w:rPr>
        <w:t> </w:t>
      </w:r>
      <w:r>
        <w:rPr>
          <w:color w:val="231F20"/>
          <w:spacing w:val="-4"/>
          <w:vertAlign w:val="baseline"/>
        </w:rPr>
        <w:t>a</w:t>
      </w:r>
      <w:r>
        <w:rPr>
          <w:color w:val="231F20"/>
          <w:spacing w:val="-7"/>
          <w:vertAlign w:val="baseline"/>
        </w:rPr>
        <w:t> </w:t>
      </w:r>
      <w:r>
        <w:rPr>
          <w:color w:val="231F20"/>
          <w:spacing w:val="-4"/>
          <w:vertAlign w:val="baseline"/>
        </w:rPr>
        <w:t>plus</w:t>
      </w:r>
      <w:r>
        <w:rPr>
          <w:color w:val="231F20"/>
          <w:spacing w:val="-6"/>
          <w:vertAlign w:val="baseline"/>
        </w:rPr>
        <w:t> </w:t>
      </w:r>
      <w:r>
        <w:rPr>
          <w:color w:val="231F20"/>
          <w:spacing w:val="-4"/>
          <w:vertAlign w:val="baseline"/>
        </w:rPr>
        <w:t>d’année</w:t>
      </w:r>
      <w:r>
        <w:rPr>
          <w:color w:val="231F20"/>
          <w:spacing w:val="-7"/>
          <w:vertAlign w:val="baseline"/>
        </w:rPr>
        <w:t> </w:t>
      </w:r>
      <w:r>
        <w:rPr>
          <w:color w:val="231F20"/>
          <w:spacing w:val="-4"/>
          <w:vertAlign w:val="baseline"/>
        </w:rPr>
        <w:t>où</w:t>
      </w:r>
      <w:r>
        <w:rPr>
          <w:color w:val="231F20"/>
          <w:spacing w:val="-10"/>
          <w:vertAlign w:val="baseline"/>
        </w:rPr>
        <w:t> </w:t>
      </w:r>
      <w:r>
        <w:rPr>
          <w:color w:val="231F20"/>
          <w:spacing w:val="-4"/>
          <w:vertAlign w:val="baseline"/>
        </w:rPr>
        <w:t>l’on</w:t>
      </w:r>
      <w:r>
        <w:rPr>
          <w:color w:val="231F20"/>
          <w:spacing w:val="-10"/>
          <w:vertAlign w:val="baseline"/>
        </w:rPr>
        <w:t> </w:t>
      </w:r>
      <w:r>
        <w:rPr>
          <w:color w:val="231F20"/>
          <w:spacing w:val="-4"/>
          <w:vertAlign w:val="baseline"/>
        </w:rPr>
        <w:t>ne</w:t>
      </w:r>
      <w:r>
        <w:rPr>
          <w:color w:val="231F20"/>
          <w:spacing w:val="-7"/>
          <w:vertAlign w:val="baseline"/>
        </w:rPr>
        <w:t> </w:t>
      </w:r>
      <w:r>
        <w:rPr>
          <w:color w:val="231F20"/>
          <w:spacing w:val="-4"/>
          <w:vertAlign w:val="baseline"/>
        </w:rPr>
        <w:t>signale</w:t>
      </w:r>
      <w:r>
        <w:rPr>
          <w:color w:val="231F20"/>
          <w:spacing w:val="-7"/>
          <w:vertAlign w:val="baseline"/>
        </w:rPr>
        <w:t> </w:t>
      </w:r>
      <w:r>
        <w:rPr>
          <w:color w:val="231F20"/>
          <w:spacing w:val="-4"/>
          <w:vertAlign w:val="baseline"/>
        </w:rPr>
        <w:t>une</w:t>
      </w:r>
      <w:r>
        <w:rPr>
          <w:color w:val="231F20"/>
          <w:spacing w:val="-7"/>
          <w:vertAlign w:val="baseline"/>
        </w:rPr>
        <w:t> </w:t>
      </w:r>
      <w:r>
        <w:rPr>
          <w:color w:val="231F20"/>
          <w:spacing w:val="-4"/>
          <w:vertAlign w:val="baseline"/>
        </w:rPr>
        <w:t>ou</w:t>
      </w:r>
      <w:r>
        <w:rPr>
          <w:color w:val="231F20"/>
          <w:spacing w:val="-7"/>
          <w:vertAlign w:val="baseline"/>
        </w:rPr>
        <w:t> </w:t>
      </w:r>
      <w:r>
        <w:rPr>
          <w:color w:val="231F20"/>
          <w:spacing w:val="-4"/>
          <w:vertAlign w:val="baseline"/>
        </w:rPr>
        <w:t>plusieurs </w:t>
      </w:r>
      <w:r>
        <w:rPr>
          <w:color w:val="231F20"/>
          <w:vertAlign w:val="baseline"/>
        </w:rPr>
        <w:t>attaques</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villages</w:t>
      </w:r>
      <w:r>
        <w:rPr>
          <w:color w:val="231F20"/>
          <w:spacing w:val="-15"/>
          <w:vertAlign w:val="baseline"/>
        </w:rPr>
        <w:t> </w:t>
      </w:r>
      <w:r>
        <w:rPr>
          <w:color w:val="231F20"/>
          <w:vertAlign w:val="baseline"/>
        </w:rPr>
        <w:t>ou</w:t>
      </w:r>
      <w:r>
        <w:rPr>
          <w:color w:val="231F20"/>
          <w:spacing w:val="-15"/>
          <w:vertAlign w:val="baseline"/>
        </w:rPr>
        <w:t> </w:t>
      </w:r>
      <w:r>
        <w:rPr>
          <w:color w:val="231F20"/>
          <w:vertAlign w:val="baseline"/>
        </w:rPr>
        <w:t>campements</w:t>
      </w:r>
      <w:r>
        <w:rPr>
          <w:color w:val="231F20"/>
          <w:spacing w:val="-15"/>
          <w:vertAlign w:val="baseline"/>
        </w:rPr>
        <w:t> </w:t>
      </w:r>
      <w:r>
        <w:rPr>
          <w:color w:val="231F20"/>
          <w:vertAlign w:val="baseline"/>
        </w:rPr>
        <w:t>dans</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régions</w:t>
      </w:r>
      <w:r>
        <w:rPr>
          <w:color w:val="231F20"/>
          <w:spacing w:val="-15"/>
          <w:vertAlign w:val="baseline"/>
        </w:rPr>
        <w:t> </w:t>
      </w:r>
      <w:r>
        <w:rPr>
          <w:color w:val="231F20"/>
          <w:vertAlign w:val="baseline"/>
        </w:rPr>
        <w:t>Ouest</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Sud-</w:t>
      </w:r>
      <w:r>
        <w:rPr>
          <w:color w:val="231F20"/>
          <w:spacing w:val="-15"/>
          <w:vertAlign w:val="baseline"/>
        </w:rPr>
        <w:t> </w:t>
      </w:r>
      <w:r>
        <w:rPr>
          <w:color w:val="231F20"/>
          <w:vertAlign w:val="baseline"/>
        </w:rPr>
        <w:t>ouest de</w:t>
      </w:r>
      <w:r>
        <w:rPr>
          <w:color w:val="231F20"/>
          <w:spacing w:val="-3"/>
          <w:vertAlign w:val="baseline"/>
        </w:rPr>
        <w:t> </w:t>
      </w:r>
      <w:r>
        <w:rPr>
          <w:color w:val="231F20"/>
          <w:vertAlign w:val="baseline"/>
        </w:rPr>
        <w:t>la</w:t>
      </w:r>
      <w:r>
        <w:rPr>
          <w:color w:val="231F20"/>
          <w:spacing w:val="-3"/>
          <w:vertAlign w:val="baseline"/>
        </w:rPr>
        <w:t> </w:t>
      </w:r>
      <w:r>
        <w:rPr>
          <w:color w:val="231F20"/>
          <w:vertAlign w:val="baseline"/>
        </w:rPr>
        <w:t>Côte</w:t>
      </w:r>
      <w:r>
        <w:rPr>
          <w:color w:val="231F20"/>
          <w:spacing w:val="-6"/>
          <w:vertAlign w:val="baseline"/>
        </w:rPr>
        <w:t> </w:t>
      </w:r>
      <w:r>
        <w:rPr>
          <w:color w:val="231F20"/>
          <w:vertAlign w:val="baseline"/>
        </w:rPr>
        <w:t>d’Ivoire</w:t>
      </w:r>
      <w:r>
        <w:rPr>
          <w:color w:val="231F20"/>
          <w:spacing w:val="-3"/>
          <w:vertAlign w:val="baseline"/>
        </w:rPr>
        <w:t> </w:t>
      </w:r>
      <w:r>
        <w:rPr>
          <w:color w:val="231F20"/>
          <w:vertAlign w:val="baseline"/>
        </w:rPr>
        <w:t>provoquant</w:t>
      </w:r>
      <w:r>
        <w:rPr>
          <w:color w:val="231F20"/>
          <w:spacing w:val="-6"/>
          <w:vertAlign w:val="baseline"/>
        </w:rPr>
        <w:t> </w:t>
      </w:r>
      <w:r>
        <w:rPr>
          <w:color w:val="231F20"/>
          <w:vertAlign w:val="baseline"/>
        </w:rPr>
        <w:t>des</w:t>
      </w:r>
      <w:r>
        <w:rPr>
          <w:color w:val="231F20"/>
          <w:spacing w:val="-3"/>
          <w:vertAlign w:val="baseline"/>
        </w:rPr>
        <w:t> </w:t>
      </w:r>
      <w:r>
        <w:rPr>
          <w:color w:val="231F20"/>
          <w:vertAlign w:val="baseline"/>
        </w:rPr>
        <w:t>morts,</w:t>
      </w:r>
      <w:r>
        <w:rPr>
          <w:color w:val="231F20"/>
          <w:spacing w:val="-3"/>
          <w:vertAlign w:val="baseline"/>
        </w:rPr>
        <w:t> </w:t>
      </w:r>
      <w:r>
        <w:rPr>
          <w:color w:val="231F20"/>
          <w:vertAlign w:val="baseline"/>
        </w:rPr>
        <w:t>et</w:t>
      </w:r>
      <w:r>
        <w:rPr>
          <w:color w:val="231F20"/>
          <w:spacing w:val="-3"/>
          <w:vertAlign w:val="baseline"/>
        </w:rPr>
        <w:t> </w:t>
      </w:r>
      <w:r>
        <w:rPr>
          <w:color w:val="231F20"/>
          <w:vertAlign w:val="baseline"/>
        </w:rPr>
        <w:t>des</w:t>
      </w:r>
      <w:r>
        <w:rPr>
          <w:color w:val="231F20"/>
          <w:spacing w:val="-3"/>
          <w:vertAlign w:val="baseline"/>
        </w:rPr>
        <w:t> </w:t>
      </w:r>
      <w:r>
        <w:rPr>
          <w:color w:val="231F20"/>
          <w:vertAlign w:val="baseline"/>
        </w:rPr>
        <w:t>déplacés.</w:t>
      </w:r>
    </w:p>
    <w:p>
      <w:pPr>
        <w:pStyle w:val="BodyText"/>
        <w:spacing w:before="120"/>
        <w:ind w:left="0"/>
        <w:jc w:val="left"/>
      </w:pPr>
    </w:p>
    <w:p>
      <w:pPr>
        <w:pStyle w:val="Heading3"/>
        <w:rPr>
          <w:i/>
        </w:rPr>
      </w:pPr>
      <w:bookmarkStart w:name="_TOC_250022" w:id="21"/>
      <w:r>
        <w:rPr>
          <w:i/>
          <w:color w:val="231F20"/>
          <w:spacing w:val="-2"/>
        </w:rPr>
        <w:t>Les</w:t>
      </w:r>
      <w:r>
        <w:rPr>
          <w:i/>
          <w:color w:val="231F20"/>
          <w:spacing w:val="-12"/>
        </w:rPr>
        <w:t> </w:t>
      </w:r>
      <w:r>
        <w:rPr>
          <w:i/>
          <w:color w:val="231F20"/>
          <w:spacing w:val="-2"/>
        </w:rPr>
        <w:t>revers</w:t>
      </w:r>
      <w:r>
        <w:rPr>
          <w:i/>
          <w:color w:val="231F20"/>
          <w:spacing w:val="-11"/>
        </w:rPr>
        <w:t> </w:t>
      </w:r>
      <w:r>
        <w:rPr>
          <w:i/>
          <w:color w:val="231F20"/>
          <w:spacing w:val="-2"/>
        </w:rPr>
        <w:t>de</w:t>
      </w:r>
      <w:r>
        <w:rPr>
          <w:i/>
          <w:color w:val="231F20"/>
          <w:spacing w:val="-11"/>
        </w:rPr>
        <w:t> </w:t>
      </w:r>
      <w:r>
        <w:rPr>
          <w:i/>
          <w:color w:val="231F20"/>
          <w:spacing w:val="-2"/>
        </w:rPr>
        <w:t>l’immigration</w:t>
      </w:r>
      <w:r>
        <w:rPr>
          <w:i/>
          <w:color w:val="231F20"/>
          <w:spacing w:val="-9"/>
        </w:rPr>
        <w:t> </w:t>
      </w:r>
      <w:bookmarkEnd w:id="21"/>
      <w:r>
        <w:rPr>
          <w:i/>
          <w:color w:val="231F20"/>
          <w:spacing w:val="-2"/>
        </w:rPr>
        <w:t>incontrôlée</w:t>
      </w:r>
    </w:p>
    <w:p>
      <w:pPr>
        <w:pStyle w:val="BodyText"/>
        <w:spacing w:before="214"/>
        <w:ind w:left="0"/>
        <w:jc w:val="left"/>
        <w:rPr>
          <w:rFonts w:ascii="Cambria"/>
          <w:b/>
          <w:i/>
        </w:rPr>
      </w:pPr>
    </w:p>
    <w:p>
      <w:pPr>
        <w:pStyle w:val="BodyText"/>
        <w:ind w:right="107"/>
      </w:pPr>
      <w:r>
        <w:rPr>
          <w:color w:val="231F20"/>
        </w:rPr>
        <w:t>Considérée</w:t>
      </w:r>
      <w:r>
        <w:rPr>
          <w:color w:val="231F20"/>
          <w:spacing w:val="-15"/>
        </w:rPr>
        <w:t> </w:t>
      </w:r>
      <w:r>
        <w:rPr>
          <w:color w:val="231F20"/>
        </w:rPr>
        <w:t>comme</w:t>
      </w:r>
      <w:r>
        <w:rPr>
          <w:color w:val="231F20"/>
          <w:spacing w:val="-15"/>
        </w:rPr>
        <w:t> </w:t>
      </w:r>
      <w:r>
        <w:rPr>
          <w:color w:val="231F20"/>
        </w:rPr>
        <w:t>un</w:t>
      </w:r>
      <w:r>
        <w:rPr>
          <w:color w:val="231F20"/>
          <w:spacing w:val="-15"/>
        </w:rPr>
        <w:t> </w:t>
      </w:r>
      <w:r>
        <w:rPr>
          <w:color w:val="231F20"/>
        </w:rPr>
        <w:t>territoire</w:t>
      </w:r>
      <w:r>
        <w:rPr>
          <w:color w:val="231F20"/>
          <w:spacing w:val="-15"/>
        </w:rPr>
        <w:t> </w:t>
      </w:r>
      <w:r>
        <w:rPr>
          <w:color w:val="231F20"/>
        </w:rPr>
        <w:t>à</w:t>
      </w:r>
      <w:r>
        <w:rPr>
          <w:color w:val="231F20"/>
          <w:spacing w:val="-15"/>
        </w:rPr>
        <w:t> </w:t>
      </w:r>
      <w:r>
        <w:rPr>
          <w:color w:val="231F20"/>
        </w:rPr>
        <w:t>mettre</w:t>
      </w:r>
      <w:r>
        <w:rPr>
          <w:color w:val="231F20"/>
          <w:spacing w:val="-15"/>
        </w:rPr>
        <w:t> </w:t>
      </w:r>
      <w:r>
        <w:rPr>
          <w:color w:val="231F20"/>
        </w:rPr>
        <w:t>en</w:t>
      </w:r>
      <w:r>
        <w:rPr>
          <w:color w:val="231F20"/>
          <w:spacing w:val="-15"/>
        </w:rPr>
        <w:t> </w:t>
      </w:r>
      <w:r>
        <w:rPr>
          <w:color w:val="231F20"/>
        </w:rPr>
        <w:t>valeur,</w:t>
      </w:r>
      <w:r>
        <w:rPr>
          <w:color w:val="231F20"/>
          <w:spacing w:val="-15"/>
        </w:rPr>
        <w:t> </w:t>
      </w:r>
      <w:r>
        <w:rPr>
          <w:color w:val="231F20"/>
        </w:rPr>
        <w:t>la</w:t>
      </w:r>
      <w:r>
        <w:rPr>
          <w:color w:val="231F20"/>
          <w:spacing w:val="-15"/>
        </w:rPr>
        <w:t> </w:t>
      </w:r>
      <w:r>
        <w:rPr>
          <w:color w:val="231F20"/>
        </w:rPr>
        <w:t>Côte</w:t>
      </w:r>
      <w:r>
        <w:rPr>
          <w:color w:val="231F20"/>
          <w:spacing w:val="-15"/>
        </w:rPr>
        <w:t> </w:t>
      </w:r>
      <w:r>
        <w:rPr>
          <w:color w:val="231F20"/>
        </w:rPr>
        <w:t>d’Ivoire</w:t>
      </w:r>
      <w:r>
        <w:rPr>
          <w:color w:val="231F20"/>
          <w:spacing w:val="-15"/>
        </w:rPr>
        <w:t> </w:t>
      </w:r>
      <w:r>
        <w:rPr>
          <w:color w:val="231F20"/>
        </w:rPr>
        <w:t>était alors</w:t>
      </w:r>
      <w:r>
        <w:rPr>
          <w:color w:val="231F20"/>
          <w:spacing w:val="-10"/>
        </w:rPr>
        <w:t> </w:t>
      </w:r>
      <w:r>
        <w:rPr>
          <w:color w:val="231F20"/>
        </w:rPr>
        <w:t>sous-peuplée</w:t>
      </w:r>
      <w:r>
        <w:rPr>
          <w:color w:val="231F20"/>
          <w:spacing w:val="-10"/>
        </w:rPr>
        <w:t> </w:t>
      </w:r>
      <w:r>
        <w:rPr>
          <w:color w:val="231F20"/>
        </w:rPr>
        <w:t>et</w:t>
      </w:r>
      <w:r>
        <w:rPr>
          <w:color w:val="231F20"/>
          <w:spacing w:val="-10"/>
        </w:rPr>
        <w:t> </w:t>
      </w:r>
      <w:r>
        <w:rPr>
          <w:color w:val="231F20"/>
        </w:rPr>
        <w:t>les</w:t>
      </w:r>
      <w:r>
        <w:rPr>
          <w:color w:val="231F20"/>
          <w:spacing w:val="-12"/>
        </w:rPr>
        <w:t> </w:t>
      </w:r>
      <w:r>
        <w:rPr>
          <w:color w:val="231F20"/>
        </w:rPr>
        <w:t>populations</w:t>
      </w:r>
      <w:r>
        <w:rPr>
          <w:color w:val="231F20"/>
          <w:spacing w:val="-10"/>
        </w:rPr>
        <w:t> </w:t>
      </w:r>
      <w:r>
        <w:rPr>
          <w:color w:val="231F20"/>
        </w:rPr>
        <w:t>réfractaires</w:t>
      </w:r>
      <w:r>
        <w:rPr>
          <w:color w:val="231F20"/>
          <w:spacing w:val="-10"/>
        </w:rPr>
        <w:t> </w:t>
      </w:r>
      <w:r>
        <w:rPr>
          <w:color w:val="231F20"/>
        </w:rPr>
        <w:t>à</w:t>
      </w:r>
      <w:r>
        <w:rPr>
          <w:color w:val="231F20"/>
          <w:spacing w:val="-12"/>
        </w:rPr>
        <w:t> </w:t>
      </w:r>
      <w:r>
        <w:rPr>
          <w:color w:val="231F20"/>
        </w:rPr>
        <w:t>la</w:t>
      </w:r>
      <w:r>
        <w:rPr>
          <w:color w:val="231F20"/>
          <w:spacing w:val="-10"/>
        </w:rPr>
        <w:t> </w:t>
      </w:r>
      <w:r>
        <w:rPr>
          <w:color w:val="231F20"/>
        </w:rPr>
        <w:t>colonisation.</w:t>
      </w:r>
      <w:r>
        <w:rPr>
          <w:color w:val="231F20"/>
          <w:spacing w:val="-12"/>
        </w:rPr>
        <w:t> </w:t>
      </w:r>
      <w:r>
        <w:rPr>
          <w:color w:val="231F20"/>
        </w:rPr>
        <w:t>Pour corriger</w:t>
      </w:r>
      <w:r>
        <w:rPr>
          <w:color w:val="231F20"/>
          <w:spacing w:val="61"/>
        </w:rPr>
        <w:t> </w:t>
      </w:r>
      <w:r>
        <w:rPr>
          <w:color w:val="231F20"/>
        </w:rPr>
        <w:t>cela,</w:t>
      </w:r>
      <w:r>
        <w:rPr>
          <w:color w:val="231F20"/>
          <w:spacing w:val="60"/>
        </w:rPr>
        <w:t> </w:t>
      </w:r>
      <w:r>
        <w:rPr>
          <w:color w:val="231F20"/>
        </w:rPr>
        <w:t>les</w:t>
      </w:r>
      <w:r>
        <w:rPr>
          <w:color w:val="231F20"/>
          <w:spacing w:val="62"/>
        </w:rPr>
        <w:t> </w:t>
      </w:r>
      <w:r>
        <w:rPr>
          <w:color w:val="231F20"/>
        </w:rPr>
        <w:t>colons</w:t>
      </w:r>
      <w:r>
        <w:rPr>
          <w:color w:val="231F20"/>
          <w:spacing w:val="59"/>
        </w:rPr>
        <w:t> </w:t>
      </w:r>
      <w:r>
        <w:rPr>
          <w:color w:val="231F20"/>
        </w:rPr>
        <w:t>font</w:t>
      </w:r>
      <w:r>
        <w:rPr>
          <w:color w:val="231F20"/>
          <w:spacing w:val="60"/>
        </w:rPr>
        <w:t> </w:t>
      </w:r>
      <w:r>
        <w:rPr>
          <w:color w:val="231F20"/>
        </w:rPr>
        <w:t>venir,</w:t>
      </w:r>
      <w:r>
        <w:rPr>
          <w:color w:val="231F20"/>
          <w:spacing w:val="60"/>
        </w:rPr>
        <w:t> </w:t>
      </w:r>
      <w:r>
        <w:rPr>
          <w:color w:val="231F20"/>
        </w:rPr>
        <w:t>aux</w:t>
      </w:r>
      <w:r>
        <w:rPr>
          <w:color w:val="231F20"/>
          <w:spacing w:val="62"/>
        </w:rPr>
        <w:t> </w:t>
      </w:r>
      <w:r>
        <w:rPr>
          <w:color w:val="231F20"/>
        </w:rPr>
        <w:t>côtés</w:t>
      </w:r>
      <w:r>
        <w:rPr>
          <w:color w:val="231F20"/>
          <w:spacing w:val="57"/>
        </w:rPr>
        <w:t> </w:t>
      </w:r>
      <w:r>
        <w:rPr>
          <w:color w:val="231F20"/>
        </w:rPr>
        <w:t>des</w:t>
      </w:r>
      <w:r>
        <w:rPr>
          <w:color w:val="231F20"/>
          <w:spacing w:val="62"/>
        </w:rPr>
        <w:t> </w:t>
      </w:r>
      <w:r>
        <w:rPr>
          <w:color w:val="231F20"/>
        </w:rPr>
        <w:t>Européens,</w:t>
      </w:r>
      <w:r>
        <w:rPr>
          <w:color w:val="231F20"/>
          <w:spacing w:val="59"/>
        </w:rPr>
        <w:t> </w:t>
      </w:r>
      <w:r>
        <w:rPr>
          <w:color w:val="231F20"/>
          <w:spacing w:val="-5"/>
        </w:rPr>
        <w:t>des</w:t>
      </w:r>
    </w:p>
    <w:p>
      <w:pPr>
        <w:pStyle w:val="BodyText"/>
        <w:spacing w:before="1"/>
        <w:ind w:left="0"/>
        <w:jc w:val="left"/>
        <w:rPr>
          <w:sz w:val="13"/>
        </w:rPr>
      </w:pPr>
      <w:r>
        <w:rPr/>
        <mc:AlternateContent>
          <mc:Choice Requires="wps">
            <w:drawing>
              <wp:anchor distT="0" distB="0" distL="0" distR="0" allowOverlap="1" layoutInCell="1" locked="0" behindDoc="1" simplePos="0" relativeHeight="487631872">
                <wp:simplePos x="0" y="0"/>
                <wp:positionH relativeFrom="page">
                  <wp:posOffset>629907</wp:posOffset>
                </wp:positionH>
                <wp:positionV relativeFrom="paragraph">
                  <wp:posOffset>111198</wp:posOffset>
                </wp:positionV>
                <wp:extent cx="1829435" cy="9525"/>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8.755781pt;width:144.020pt;height:.72pt;mso-position-horizontal-relative:page;mso-position-vertical-relative:paragraph;z-index:-15684608;mso-wrap-distance-left:0;mso-wrap-distance-right:0" id="docshape111" filled="true" fillcolor="#231f20" stroked="false">
                <v:fill type="solid"/>
                <w10:wrap type="topAndBottom"/>
              </v:rect>
            </w:pict>
          </mc:Fallback>
        </mc:AlternateContent>
      </w:r>
    </w:p>
    <w:p>
      <w:pPr>
        <w:spacing w:before="91"/>
        <w:ind w:left="111" w:right="105" w:firstLine="0"/>
        <w:jc w:val="both"/>
        <w:rPr>
          <w:sz w:val="20"/>
        </w:rPr>
      </w:pPr>
      <w:r>
        <w:rPr>
          <w:color w:val="76787A"/>
          <w:sz w:val="20"/>
          <w:vertAlign w:val="superscript"/>
        </w:rPr>
        <w:t>144</w:t>
      </w:r>
      <w:r>
        <w:rPr>
          <w:color w:val="76787A"/>
          <w:spacing w:val="-13"/>
          <w:sz w:val="20"/>
          <w:vertAlign w:val="baseline"/>
        </w:rPr>
        <w:t> </w:t>
      </w:r>
      <w:r>
        <w:rPr>
          <w:color w:val="231F20"/>
          <w:sz w:val="20"/>
          <w:vertAlign w:val="baseline"/>
        </w:rPr>
        <w:t>La</w:t>
      </w:r>
      <w:r>
        <w:rPr>
          <w:color w:val="231F20"/>
          <w:spacing w:val="-12"/>
          <w:sz w:val="20"/>
          <w:vertAlign w:val="baseline"/>
        </w:rPr>
        <w:t> </w:t>
      </w:r>
      <w:r>
        <w:rPr>
          <w:color w:val="231F20"/>
          <w:sz w:val="20"/>
          <w:vertAlign w:val="baseline"/>
        </w:rPr>
        <w:t>ville</w:t>
      </w:r>
      <w:r>
        <w:rPr>
          <w:color w:val="231F20"/>
          <w:spacing w:val="-13"/>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San</w:t>
      </w:r>
      <w:r>
        <w:rPr>
          <w:color w:val="231F20"/>
          <w:spacing w:val="-12"/>
          <w:sz w:val="20"/>
          <w:vertAlign w:val="baseline"/>
        </w:rPr>
        <w:t> </w:t>
      </w:r>
      <w:r>
        <w:rPr>
          <w:color w:val="231F20"/>
          <w:sz w:val="20"/>
          <w:vertAlign w:val="baseline"/>
        </w:rPr>
        <w:t>Pedro</w:t>
      </w:r>
      <w:r>
        <w:rPr>
          <w:color w:val="231F20"/>
          <w:spacing w:val="-7"/>
          <w:sz w:val="20"/>
          <w:vertAlign w:val="baseline"/>
        </w:rPr>
        <w:t> </w:t>
      </w:r>
      <w:r>
        <w:rPr>
          <w:color w:val="231F20"/>
          <w:sz w:val="20"/>
          <w:vertAlign w:val="baseline"/>
        </w:rPr>
        <w:t>située</w:t>
      </w:r>
      <w:r>
        <w:rPr>
          <w:color w:val="231F20"/>
          <w:spacing w:val="-9"/>
          <w:sz w:val="20"/>
          <w:vertAlign w:val="baseline"/>
        </w:rPr>
        <w:t> </w:t>
      </w:r>
      <w:r>
        <w:rPr>
          <w:color w:val="231F20"/>
          <w:sz w:val="20"/>
          <w:vertAlign w:val="baseline"/>
        </w:rPr>
        <w:t>au</w:t>
      </w:r>
      <w:r>
        <w:rPr>
          <w:color w:val="231F20"/>
          <w:spacing w:val="-9"/>
          <w:sz w:val="20"/>
          <w:vertAlign w:val="baseline"/>
        </w:rPr>
        <w:t> </w:t>
      </w:r>
      <w:r>
        <w:rPr>
          <w:color w:val="231F20"/>
          <w:sz w:val="20"/>
          <w:vertAlign w:val="baseline"/>
        </w:rPr>
        <w:t>bord</w:t>
      </w:r>
      <w:r>
        <w:rPr>
          <w:color w:val="231F20"/>
          <w:spacing w:val="-9"/>
          <w:sz w:val="20"/>
          <w:vertAlign w:val="baseline"/>
        </w:rPr>
        <w:t> </w:t>
      </w:r>
      <w:r>
        <w:rPr>
          <w:color w:val="231F20"/>
          <w:sz w:val="20"/>
          <w:vertAlign w:val="baseline"/>
        </w:rPr>
        <w:t>de</w:t>
      </w:r>
      <w:r>
        <w:rPr>
          <w:color w:val="231F20"/>
          <w:spacing w:val="-7"/>
          <w:sz w:val="20"/>
          <w:vertAlign w:val="baseline"/>
        </w:rPr>
        <w:t> </w:t>
      </w:r>
      <w:r>
        <w:rPr>
          <w:color w:val="231F20"/>
          <w:sz w:val="20"/>
          <w:vertAlign w:val="baseline"/>
        </w:rPr>
        <w:t>l'océan</w:t>
      </w:r>
      <w:r>
        <w:rPr>
          <w:color w:val="231F20"/>
          <w:spacing w:val="-9"/>
          <w:sz w:val="20"/>
          <w:vertAlign w:val="baseline"/>
        </w:rPr>
        <w:t> </w:t>
      </w:r>
      <w:r>
        <w:rPr>
          <w:color w:val="231F20"/>
          <w:sz w:val="20"/>
          <w:vertAlign w:val="baseline"/>
        </w:rPr>
        <w:t>Atlantique,</w:t>
      </w:r>
      <w:r>
        <w:rPr>
          <w:color w:val="231F20"/>
          <w:spacing w:val="-7"/>
          <w:sz w:val="20"/>
          <w:vertAlign w:val="baseline"/>
        </w:rPr>
        <w:t> </w:t>
      </w:r>
      <w:r>
        <w:rPr>
          <w:color w:val="231F20"/>
          <w:sz w:val="20"/>
          <w:vertAlign w:val="baseline"/>
        </w:rPr>
        <w:t>sur</w:t>
      </w:r>
      <w:r>
        <w:rPr>
          <w:color w:val="231F20"/>
          <w:spacing w:val="-10"/>
          <w:sz w:val="20"/>
          <w:vertAlign w:val="baseline"/>
        </w:rPr>
        <w:t> </w:t>
      </w:r>
      <w:r>
        <w:rPr>
          <w:color w:val="231F20"/>
          <w:sz w:val="20"/>
          <w:vertAlign w:val="baseline"/>
        </w:rPr>
        <w:t>le</w:t>
      </w:r>
      <w:r>
        <w:rPr>
          <w:color w:val="231F20"/>
          <w:spacing w:val="-13"/>
          <w:sz w:val="20"/>
          <w:vertAlign w:val="baseline"/>
        </w:rPr>
        <w:t> </w:t>
      </w:r>
      <w:r>
        <w:rPr>
          <w:color w:val="231F20"/>
          <w:sz w:val="20"/>
          <w:vertAlign w:val="baseline"/>
        </w:rPr>
        <w:t>golfe</w:t>
      </w:r>
      <w:r>
        <w:rPr>
          <w:color w:val="231F20"/>
          <w:spacing w:val="-8"/>
          <w:sz w:val="20"/>
          <w:vertAlign w:val="baseline"/>
        </w:rPr>
        <w:t> </w:t>
      </w:r>
      <w:r>
        <w:rPr>
          <w:color w:val="231F20"/>
          <w:sz w:val="20"/>
          <w:vertAlign w:val="baseline"/>
        </w:rPr>
        <w:t>de</w:t>
      </w:r>
      <w:r>
        <w:rPr>
          <w:color w:val="231F20"/>
          <w:spacing w:val="-7"/>
          <w:sz w:val="20"/>
          <w:vertAlign w:val="baseline"/>
        </w:rPr>
        <w:t> </w:t>
      </w:r>
      <w:r>
        <w:rPr>
          <w:color w:val="231F20"/>
          <w:sz w:val="20"/>
          <w:vertAlign w:val="baseline"/>
        </w:rPr>
        <w:t>Guinée,</w:t>
      </w:r>
      <w:r>
        <w:rPr>
          <w:color w:val="231F20"/>
          <w:spacing w:val="-9"/>
          <w:sz w:val="20"/>
          <w:vertAlign w:val="baseline"/>
        </w:rPr>
        <w:t> </w:t>
      </w:r>
      <w:r>
        <w:rPr>
          <w:color w:val="231F20"/>
          <w:sz w:val="20"/>
          <w:vertAlign w:val="baseline"/>
        </w:rPr>
        <w:t>à 368</w:t>
      </w:r>
      <w:r>
        <w:rPr>
          <w:color w:val="231F20"/>
          <w:spacing w:val="-13"/>
          <w:sz w:val="20"/>
          <w:vertAlign w:val="baseline"/>
        </w:rPr>
        <w:t> </w:t>
      </w:r>
      <w:r>
        <w:rPr>
          <w:color w:val="231F20"/>
          <w:sz w:val="20"/>
          <w:vertAlign w:val="baseline"/>
        </w:rPr>
        <w:t>km</w:t>
      </w:r>
      <w:r>
        <w:rPr>
          <w:color w:val="231F20"/>
          <w:spacing w:val="-12"/>
          <w:sz w:val="20"/>
          <w:vertAlign w:val="baseline"/>
        </w:rPr>
        <w:t> </w:t>
      </w:r>
      <w:r>
        <w:rPr>
          <w:color w:val="231F20"/>
          <w:sz w:val="20"/>
          <w:vertAlign w:val="baseline"/>
        </w:rPr>
        <w:t>d’Abidjan, capitale économique du pays, fait partie de la</w:t>
      </w:r>
      <w:r>
        <w:rPr>
          <w:color w:val="231F20"/>
          <w:spacing w:val="-13"/>
          <w:sz w:val="20"/>
          <w:vertAlign w:val="baseline"/>
        </w:rPr>
        <w:t> </w:t>
      </w:r>
      <w:r>
        <w:rPr>
          <w:color w:val="231F20"/>
          <w:sz w:val="20"/>
          <w:vertAlign w:val="baseline"/>
        </w:rPr>
        <w:t>région du Bas- </w:t>
      </w:r>
      <w:r>
        <w:rPr>
          <w:color w:val="231F20"/>
          <w:spacing w:val="-2"/>
          <w:sz w:val="20"/>
          <w:vertAlign w:val="baseline"/>
        </w:rPr>
        <w:t>Sassandra.</w:t>
      </w:r>
    </w:p>
    <w:p>
      <w:pPr>
        <w:spacing w:before="2"/>
        <w:ind w:left="111" w:right="0" w:firstLine="0"/>
        <w:jc w:val="both"/>
        <w:rPr>
          <w:sz w:val="20"/>
        </w:rPr>
      </w:pPr>
      <w:r>
        <w:rPr>
          <w:color w:val="76787A"/>
          <w:sz w:val="20"/>
          <w:vertAlign w:val="superscript"/>
        </w:rPr>
        <w:t>145</w:t>
      </w:r>
      <w:r>
        <w:rPr>
          <w:color w:val="76787A"/>
          <w:spacing w:val="-11"/>
          <w:sz w:val="20"/>
          <w:vertAlign w:val="baseline"/>
        </w:rPr>
        <w:t> </w:t>
      </w:r>
      <w:r>
        <w:rPr>
          <w:color w:val="231F20"/>
          <w:sz w:val="20"/>
          <w:vertAlign w:val="baseline"/>
        </w:rPr>
        <w:t>RGPH</w:t>
      </w:r>
      <w:r>
        <w:rPr>
          <w:color w:val="231F20"/>
          <w:spacing w:val="-13"/>
          <w:sz w:val="20"/>
          <w:vertAlign w:val="baseline"/>
        </w:rPr>
        <w:t> </w:t>
      </w:r>
      <w:r>
        <w:rPr>
          <w:color w:val="231F20"/>
          <w:spacing w:val="-2"/>
          <w:sz w:val="20"/>
          <w:vertAlign w:val="baseline"/>
        </w:rPr>
        <w:t>2014.</w:t>
      </w:r>
    </w:p>
    <w:p>
      <w:pPr>
        <w:spacing w:after="0"/>
        <w:jc w:val="both"/>
        <w:rPr>
          <w:sz w:val="20"/>
        </w:rPr>
        <w:sectPr>
          <w:pgSz w:w="8790" w:h="13610"/>
          <w:pgMar w:header="0" w:footer="802" w:top="1060" w:bottom="1000" w:left="880" w:right="880"/>
        </w:sectPr>
      </w:pPr>
    </w:p>
    <w:p>
      <w:pPr>
        <w:pStyle w:val="BodyText"/>
        <w:spacing w:before="66"/>
        <w:ind w:right="108"/>
      </w:pPr>
      <w:r>
        <w:rPr>
          <w:color w:val="231F20"/>
          <w:spacing w:val="-2"/>
        </w:rPr>
        <w:t>auxiliaires</w:t>
      </w:r>
      <w:r>
        <w:rPr>
          <w:color w:val="231F20"/>
          <w:spacing w:val="-5"/>
        </w:rPr>
        <w:t> </w:t>
      </w:r>
      <w:r>
        <w:rPr>
          <w:color w:val="231F20"/>
          <w:spacing w:val="-2"/>
        </w:rPr>
        <w:t>africains,</w:t>
      </w:r>
      <w:r>
        <w:rPr>
          <w:color w:val="231F20"/>
          <w:spacing w:val="-5"/>
        </w:rPr>
        <w:t> </w:t>
      </w:r>
      <w:r>
        <w:rPr>
          <w:color w:val="231F20"/>
          <w:spacing w:val="-2"/>
        </w:rPr>
        <w:t>des</w:t>
      </w:r>
      <w:r>
        <w:rPr>
          <w:color w:val="231F20"/>
          <w:spacing w:val="-5"/>
        </w:rPr>
        <w:t> </w:t>
      </w:r>
      <w:r>
        <w:rPr>
          <w:color w:val="231F20"/>
          <w:spacing w:val="-2"/>
        </w:rPr>
        <w:t>non-ivoiriens,</w:t>
      </w:r>
      <w:r>
        <w:rPr>
          <w:color w:val="231F20"/>
          <w:spacing w:val="-5"/>
        </w:rPr>
        <w:t> </w:t>
      </w:r>
      <w:r>
        <w:rPr>
          <w:color w:val="231F20"/>
          <w:spacing w:val="-2"/>
        </w:rPr>
        <w:t>notamment</w:t>
      </w:r>
      <w:r>
        <w:rPr>
          <w:color w:val="231F20"/>
          <w:spacing w:val="-6"/>
        </w:rPr>
        <w:t> </w:t>
      </w:r>
      <w:r>
        <w:rPr>
          <w:color w:val="231F20"/>
          <w:spacing w:val="-2"/>
        </w:rPr>
        <w:t>des</w:t>
      </w:r>
      <w:r>
        <w:rPr>
          <w:color w:val="231F20"/>
          <w:spacing w:val="-6"/>
        </w:rPr>
        <w:t> </w:t>
      </w:r>
      <w:r>
        <w:rPr>
          <w:color w:val="231F20"/>
          <w:spacing w:val="-2"/>
        </w:rPr>
        <w:t>Sénégalais</w:t>
      </w:r>
      <w:r>
        <w:rPr>
          <w:color w:val="231F20"/>
          <w:spacing w:val="-11"/>
        </w:rPr>
        <w:t> </w:t>
      </w:r>
      <w:r>
        <w:rPr>
          <w:color w:val="231F20"/>
          <w:spacing w:val="-2"/>
        </w:rPr>
        <w:t>et</w:t>
      </w:r>
      <w:r>
        <w:rPr>
          <w:color w:val="231F20"/>
          <w:spacing w:val="-3"/>
        </w:rPr>
        <w:t> </w:t>
      </w:r>
      <w:r>
        <w:rPr>
          <w:color w:val="231F20"/>
          <w:spacing w:val="-2"/>
        </w:rPr>
        <w:t>des Dahoméens</w:t>
      </w:r>
      <w:r>
        <w:rPr>
          <w:color w:val="231F20"/>
          <w:spacing w:val="-12"/>
        </w:rPr>
        <w:t> </w:t>
      </w:r>
      <w:r>
        <w:rPr>
          <w:color w:val="231F20"/>
          <w:spacing w:val="-2"/>
        </w:rPr>
        <w:t>pour</w:t>
      </w:r>
      <w:r>
        <w:rPr>
          <w:color w:val="231F20"/>
          <w:spacing w:val="-13"/>
        </w:rPr>
        <w:t> </w:t>
      </w:r>
      <w:r>
        <w:rPr>
          <w:color w:val="231F20"/>
          <w:spacing w:val="-2"/>
        </w:rPr>
        <w:t>occuper</w:t>
      </w:r>
      <w:r>
        <w:rPr>
          <w:color w:val="231F20"/>
          <w:spacing w:val="-13"/>
        </w:rPr>
        <w:t> </w:t>
      </w:r>
      <w:r>
        <w:rPr>
          <w:color w:val="231F20"/>
          <w:spacing w:val="-2"/>
        </w:rPr>
        <w:t>les</w:t>
      </w:r>
      <w:r>
        <w:rPr>
          <w:color w:val="231F20"/>
          <w:spacing w:val="-13"/>
        </w:rPr>
        <w:t> </w:t>
      </w:r>
      <w:r>
        <w:rPr>
          <w:color w:val="231F20"/>
          <w:spacing w:val="-2"/>
        </w:rPr>
        <w:t>postes</w:t>
      </w:r>
      <w:r>
        <w:rPr>
          <w:color w:val="231F20"/>
          <w:spacing w:val="-13"/>
        </w:rPr>
        <w:t> </w:t>
      </w:r>
      <w:r>
        <w:rPr>
          <w:color w:val="231F20"/>
          <w:spacing w:val="-2"/>
        </w:rPr>
        <w:t>de</w:t>
      </w:r>
      <w:r>
        <w:rPr>
          <w:color w:val="231F20"/>
          <w:spacing w:val="-10"/>
        </w:rPr>
        <w:t> </w:t>
      </w:r>
      <w:r>
        <w:rPr>
          <w:color w:val="231F20"/>
          <w:spacing w:val="-2"/>
        </w:rPr>
        <w:t>commis</w:t>
      </w:r>
      <w:r>
        <w:rPr>
          <w:color w:val="231F20"/>
          <w:spacing w:val="-12"/>
        </w:rPr>
        <w:t> </w:t>
      </w:r>
      <w:r>
        <w:rPr>
          <w:color w:val="231F20"/>
          <w:spacing w:val="-2"/>
        </w:rPr>
        <w:t>dans</w:t>
      </w:r>
      <w:r>
        <w:rPr>
          <w:color w:val="231F20"/>
          <w:spacing w:val="-10"/>
        </w:rPr>
        <w:t> </w:t>
      </w:r>
      <w:r>
        <w:rPr>
          <w:color w:val="231F20"/>
          <w:spacing w:val="-2"/>
        </w:rPr>
        <w:t>l’administration.</w:t>
      </w:r>
      <w:r>
        <w:rPr>
          <w:color w:val="231F20"/>
          <w:spacing w:val="-12"/>
        </w:rPr>
        <w:t> </w:t>
      </w:r>
      <w:r>
        <w:rPr>
          <w:color w:val="231F20"/>
          <w:spacing w:val="-2"/>
        </w:rPr>
        <w:t>Ils </w:t>
      </w:r>
      <w:r>
        <w:rPr>
          <w:color w:val="231F20"/>
        </w:rPr>
        <w:t>font venir aussi, des maçons, mécaniciens, commerçants, infirmiers, instituteurs de l’AOF.</w:t>
      </w:r>
    </w:p>
    <w:p>
      <w:pPr>
        <w:pStyle w:val="BodyText"/>
        <w:spacing w:before="240"/>
        <w:ind w:right="103"/>
      </w:pPr>
      <w:r>
        <w:rPr>
          <w:color w:val="231F20"/>
          <w:spacing w:val="-2"/>
        </w:rPr>
        <w:t>En</w:t>
      </w:r>
      <w:r>
        <w:rPr>
          <w:color w:val="231F20"/>
          <w:spacing w:val="-12"/>
        </w:rPr>
        <w:t> </w:t>
      </w:r>
      <w:r>
        <w:rPr>
          <w:color w:val="231F20"/>
          <w:spacing w:val="-2"/>
        </w:rPr>
        <w:t>octobre</w:t>
      </w:r>
      <w:r>
        <w:rPr>
          <w:color w:val="231F20"/>
          <w:spacing w:val="-12"/>
        </w:rPr>
        <w:t> </w:t>
      </w:r>
      <w:r>
        <w:rPr>
          <w:color w:val="231F20"/>
          <w:spacing w:val="-2"/>
        </w:rPr>
        <w:t>1958,</w:t>
      </w:r>
      <w:r>
        <w:rPr>
          <w:color w:val="231F20"/>
          <w:spacing w:val="-13"/>
        </w:rPr>
        <w:t> </w:t>
      </w:r>
      <w:r>
        <w:rPr>
          <w:color w:val="231F20"/>
          <w:spacing w:val="-2"/>
        </w:rPr>
        <w:t>des</w:t>
      </w:r>
      <w:r>
        <w:rPr>
          <w:color w:val="231F20"/>
          <w:spacing w:val="-12"/>
        </w:rPr>
        <w:t> </w:t>
      </w:r>
      <w:r>
        <w:rPr>
          <w:color w:val="231F20"/>
          <w:spacing w:val="-2"/>
        </w:rPr>
        <w:t>altercations</w:t>
      </w:r>
      <w:r>
        <w:rPr>
          <w:color w:val="231F20"/>
          <w:spacing w:val="-13"/>
        </w:rPr>
        <w:t> </w:t>
      </w:r>
      <w:r>
        <w:rPr>
          <w:color w:val="231F20"/>
          <w:spacing w:val="-2"/>
        </w:rPr>
        <w:t>violentes</w:t>
      </w:r>
      <w:r>
        <w:rPr>
          <w:color w:val="231F20"/>
          <w:spacing w:val="-12"/>
        </w:rPr>
        <w:t> </w:t>
      </w:r>
      <w:r>
        <w:rPr>
          <w:color w:val="231F20"/>
          <w:spacing w:val="-2"/>
        </w:rPr>
        <w:t>entre</w:t>
      </w:r>
      <w:r>
        <w:rPr>
          <w:color w:val="231F20"/>
          <w:spacing w:val="-13"/>
        </w:rPr>
        <w:t> </w:t>
      </w:r>
      <w:r>
        <w:rPr>
          <w:color w:val="231F20"/>
          <w:spacing w:val="-2"/>
        </w:rPr>
        <w:t>Sénégalais,</w:t>
      </w:r>
      <w:r>
        <w:rPr>
          <w:color w:val="231F20"/>
          <w:spacing w:val="-12"/>
        </w:rPr>
        <w:t> </w:t>
      </w:r>
      <w:r>
        <w:rPr>
          <w:color w:val="231F20"/>
          <w:spacing w:val="-2"/>
        </w:rPr>
        <w:t>Dahoméens </w:t>
      </w:r>
      <w:r>
        <w:rPr>
          <w:color w:val="231F20"/>
        </w:rPr>
        <w:t>et Ivoiriens provoquent</w:t>
      </w:r>
      <w:r>
        <w:rPr>
          <w:color w:val="231F20"/>
          <w:spacing w:val="-1"/>
        </w:rPr>
        <w:t> </w:t>
      </w:r>
      <w:r>
        <w:rPr>
          <w:color w:val="231F20"/>
        </w:rPr>
        <w:t>l’expulsion</w:t>
      </w:r>
      <w:r>
        <w:rPr>
          <w:color w:val="231F20"/>
          <w:spacing w:val="-1"/>
        </w:rPr>
        <w:t> </w:t>
      </w:r>
      <w:r>
        <w:rPr>
          <w:color w:val="231F20"/>
        </w:rPr>
        <w:t>de</w:t>
      </w:r>
      <w:r>
        <w:rPr>
          <w:color w:val="231F20"/>
          <w:spacing w:val="-2"/>
        </w:rPr>
        <w:t> </w:t>
      </w:r>
      <w:r>
        <w:rPr>
          <w:color w:val="231F20"/>
        </w:rPr>
        <w:t>17 000 Dahoméens et Togolais. </w:t>
      </w:r>
      <w:r>
        <w:rPr>
          <w:color w:val="231F20"/>
          <w:spacing w:val="-2"/>
        </w:rPr>
        <w:t>Sénégalais</w:t>
      </w:r>
      <w:r>
        <w:rPr>
          <w:color w:val="231F20"/>
          <w:spacing w:val="-13"/>
        </w:rPr>
        <w:t> </w:t>
      </w:r>
      <w:r>
        <w:rPr>
          <w:color w:val="231F20"/>
          <w:spacing w:val="-2"/>
        </w:rPr>
        <w:t>et</w:t>
      </w:r>
      <w:r>
        <w:rPr>
          <w:color w:val="231F20"/>
          <w:spacing w:val="-13"/>
        </w:rPr>
        <w:t> </w:t>
      </w:r>
      <w:r>
        <w:rPr>
          <w:color w:val="231F20"/>
          <w:spacing w:val="-2"/>
        </w:rPr>
        <w:t>Voltaïque</w:t>
      </w:r>
      <w:r>
        <w:rPr>
          <w:color w:val="231F20"/>
          <w:spacing w:val="-12"/>
        </w:rPr>
        <w:t> </w:t>
      </w:r>
      <w:r>
        <w:rPr>
          <w:color w:val="231F20"/>
          <w:spacing w:val="-2"/>
        </w:rPr>
        <w:t>sont</w:t>
      </w:r>
      <w:r>
        <w:rPr>
          <w:color w:val="231F20"/>
          <w:spacing w:val="-13"/>
        </w:rPr>
        <w:t> </w:t>
      </w:r>
      <w:r>
        <w:rPr>
          <w:color w:val="231F20"/>
          <w:spacing w:val="-2"/>
        </w:rPr>
        <w:t>épargnés.</w:t>
      </w:r>
      <w:r>
        <w:rPr>
          <w:color w:val="231F20"/>
          <w:spacing w:val="-13"/>
        </w:rPr>
        <w:t> </w:t>
      </w:r>
      <w:r>
        <w:rPr>
          <w:color w:val="231F20"/>
          <w:spacing w:val="-2"/>
        </w:rPr>
        <w:t>Les</w:t>
      </w:r>
      <w:r>
        <w:rPr>
          <w:color w:val="231F20"/>
          <w:spacing w:val="-13"/>
        </w:rPr>
        <w:t> </w:t>
      </w:r>
      <w:r>
        <w:rPr>
          <w:color w:val="231F20"/>
          <w:spacing w:val="-2"/>
        </w:rPr>
        <w:t>Sénégalais</w:t>
      </w:r>
      <w:r>
        <w:rPr>
          <w:color w:val="231F20"/>
          <w:spacing w:val="-13"/>
        </w:rPr>
        <w:t> </w:t>
      </w:r>
      <w:r>
        <w:rPr>
          <w:color w:val="231F20"/>
          <w:spacing w:val="-2"/>
        </w:rPr>
        <w:t>ont</w:t>
      </w:r>
      <w:r>
        <w:rPr>
          <w:color w:val="231F20"/>
          <w:spacing w:val="-13"/>
        </w:rPr>
        <w:t> </w:t>
      </w:r>
      <w:r>
        <w:rPr>
          <w:color w:val="231F20"/>
          <w:spacing w:val="-2"/>
        </w:rPr>
        <w:t>un</w:t>
      </w:r>
      <w:r>
        <w:rPr>
          <w:color w:val="231F20"/>
          <w:spacing w:val="-13"/>
        </w:rPr>
        <w:t> </w:t>
      </w:r>
      <w:r>
        <w:rPr>
          <w:color w:val="231F20"/>
          <w:spacing w:val="-2"/>
        </w:rPr>
        <w:t>statut</w:t>
      </w:r>
      <w:r>
        <w:rPr>
          <w:color w:val="231F20"/>
          <w:spacing w:val="-12"/>
        </w:rPr>
        <w:t> </w:t>
      </w:r>
      <w:r>
        <w:rPr>
          <w:color w:val="231F20"/>
          <w:spacing w:val="-2"/>
        </w:rPr>
        <w:t>à</w:t>
      </w:r>
      <w:r>
        <w:rPr>
          <w:color w:val="231F20"/>
          <w:spacing w:val="-13"/>
        </w:rPr>
        <w:t> </w:t>
      </w:r>
      <w:r>
        <w:rPr>
          <w:color w:val="231F20"/>
          <w:spacing w:val="-2"/>
        </w:rPr>
        <w:t>part </w:t>
      </w:r>
      <w:r>
        <w:rPr>
          <w:color w:val="231F20"/>
        </w:rPr>
        <w:t>dans</w:t>
      </w:r>
      <w:r>
        <w:rPr>
          <w:color w:val="231F20"/>
          <w:spacing w:val="-5"/>
        </w:rPr>
        <w:t> </w:t>
      </w:r>
      <w:r>
        <w:rPr>
          <w:color w:val="231F20"/>
        </w:rPr>
        <w:t>l’AOF</w:t>
      </w:r>
      <w:r>
        <w:rPr>
          <w:color w:val="231F20"/>
          <w:spacing w:val="-15"/>
        </w:rPr>
        <w:t> </w:t>
      </w:r>
      <w:r>
        <w:rPr>
          <w:color w:val="231F20"/>
        </w:rPr>
        <w:t>; quant aux</w:t>
      </w:r>
      <w:r>
        <w:rPr>
          <w:color w:val="231F20"/>
          <w:spacing w:val="-1"/>
        </w:rPr>
        <w:t> </w:t>
      </w:r>
      <w:r>
        <w:rPr>
          <w:color w:val="231F20"/>
        </w:rPr>
        <w:t>ressortissants</w:t>
      </w:r>
      <w:r>
        <w:rPr>
          <w:color w:val="231F20"/>
          <w:spacing w:val="-3"/>
        </w:rPr>
        <w:t> </w:t>
      </w:r>
      <w:r>
        <w:rPr>
          <w:color w:val="231F20"/>
        </w:rPr>
        <w:t>de</w:t>
      </w:r>
      <w:r>
        <w:rPr>
          <w:color w:val="231F20"/>
          <w:spacing w:val="-1"/>
        </w:rPr>
        <w:t> </w:t>
      </w:r>
      <w:r>
        <w:rPr>
          <w:color w:val="231F20"/>
        </w:rPr>
        <w:t>la</w:t>
      </w:r>
      <w:r>
        <w:rPr>
          <w:color w:val="231F20"/>
          <w:spacing w:val="-1"/>
        </w:rPr>
        <w:t> </w:t>
      </w:r>
      <w:r>
        <w:rPr>
          <w:color w:val="231F20"/>
        </w:rPr>
        <w:t>Haute</w:t>
      </w:r>
      <w:r>
        <w:rPr>
          <w:color w:val="231F20"/>
          <w:spacing w:val="-2"/>
        </w:rPr>
        <w:t> </w:t>
      </w:r>
      <w:r>
        <w:rPr>
          <w:color w:val="231F20"/>
        </w:rPr>
        <w:t>Volta,</w:t>
      </w:r>
      <w:r>
        <w:rPr>
          <w:color w:val="231F20"/>
          <w:spacing w:val="-2"/>
        </w:rPr>
        <w:t> </w:t>
      </w:r>
      <w:r>
        <w:rPr>
          <w:color w:val="231F20"/>
        </w:rPr>
        <w:t>ils constituent </w:t>
      </w:r>
      <w:r>
        <w:rPr>
          <w:color w:val="231F20"/>
          <w:spacing w:val="-4"/>
        </w:rPr>
        <w:t>pour</w:t>
      </w:r>
      <w:r>
        <w:rPr>
          <w:color w:val="231F20"/>
          <w:spacing w:val="-10"/>
        </w:rPr>
        <w:t> </w:t>
      </w:r>
      <w:r>
        <w:rPr>
          <w:color w:val="231F20"/>
          <w:spacing w:val="-4"/>
        </w:rPr>
        <w:t>producteurs</w:t>
      </w:r>
      <w:r>
        <w:rPr>
          <w:color w:val="231F20"/>
          <w:spacing w:val="-9"/>
        </w:rPr>
        <w:t> </w:t>
      </w:r>
      <w:r>
        <w:rPr>
          <w:color w:val="231F20"/>
          <w:spacing w:val="-4"/>
        </w:rPr>
        <w:t>de</w:t>
      </w:r>
      <w:r>
        <w:rPr>
          <w:color w:val="231F20"/>
          <w:spacing w:val="-9"/>
        </w:rPr>
        <w:t> </w:t>
      </w:r>
      <w:r>
        <w:rPr>
          <w:color w:val="231F20"/>
          <w:spacing w:val="-4"/>
        </w:rPr>
        <w:t>café</w:t>
      </w:r>
      <w:r>
        <w:rPr>
          <w:color w:val="231F20"/>
          <w:spacing w:val="-9"/>
        </w:rPr>
        <w:t> </w:t>
      </w:r>
      <w:r>
        <w:rPr>
          <w:color w:val="231F20"/>
          <w:spacing w:val="-4"/>
        </w:rPr>
        <w:t>et</w:t>
      </w:r>
      <w:r>
        <w:rPr>
          <w:color w:val="231F20"/>
          <w:spacing w:val="-8"/>
        </w:rPr>
        <w:t> </w:t>
      </w:r>
      <w:r>
        <w:rPr>
          <w:color w:val="231F20"/>
          <w:spacing w:val="-4"/>
        </w:rPr>
        <w:t>cacao,</w:t>
      </w:r>
      <w:r>
        <w:rPr>
          <w:color w:val="231F20"/>
          <w:spacing w:val="-9"/>
        </w:rPr>
        <w:t> </w:t>
      </w:r>
      <w:r>
        <w:rPr>
          <w:color w:val="231F20"/>
          <w:spacing w:val="-4"/>
        </w:rPr>
        <w:t>une</w:t>
      </w:r>
      <w:r>
        <w:rPr>
          <w:color w:val="231F20"/>
          <w:spacing w:val="-9"/>
        </w:rPr>
        <w:t> </w:t>
      </w:r>
      <w:r>
        <w:rPr>
          <w:color w:val="231F20"/>
          <w:spacing w:val="-4"/>
        </w:rPr>
        <w:t>main-d’œuvre</w:t>
      </w:r>
      <w:r>
        <w:rPr>
          <w:color w:val="231F20"/>
          <w:spacing w:val="-11"/>
        </w:rPr>
        <w:t> </w:t>
      </w:r>
      <w:r>
        <w:rPr>
          <w:color w:val="231F20"/>
          <w:spacing w:val="-4"/>
        </w:rPr>
        <w:t>étrangère</w:t>
      </w:r>
      <w:r>
        <w:rPr>
          <w:color w:val="231F20"/>
          <w:spacing w:val="-9"/>
        </w:rPr>
        <w:t> </w:t>
      </w:r>
      <w:r>
        <w:rPr>
          <w:color w:val="231F20"/>
          <w:spacing w:val="-4"/>
        </w:rPr>
        <w:t>abondante </w:t>
      </w:r>
      <w:r>
        <w:rPr>
          <w:color w:val="231F20"/>
        </w:rPr>
        <w:t>et bon marché dont ils ne peuvent se passer.</w:t>
      </w:r>
    </w:p>
    <w:p>
      <w:pPr>
        <w:pStyle w:val="BodyText"/>
        <w:spacing w:before="241"/>
        <w:ind w:right="104"/>
      </w:pPr>
      <w:r>
        <w:rPr>
          <w:color w:val="231F20"/>
          <w:spacing w:val="-2"/>
        </w:rPr>
        <w:t>À</w:t>
      </w:r>
      <w:r>
        <w:rPr>
          <w:color w:val="231F20"/>
          <w:spacing w:val="-8"/>
        </w:rPr>
        <w:t> </w:t>
      </w:r>
      <w:r>
        <w:rPr>
          <w:color w:val="231F20"/>
          <w:spacing w:val="-2"/>
        </w:rPr>
        <w:t>l’indépendance</w:t>
      </w:r>
      <w:r>
        <w:rPr>
          <w:color w:val="231F20"/>
          <w:spacing w:val="-10"/>
        </w:rPr>
        <w:t> </w:t>
      </w:r>
      <w:r>
        <w:rPr>
          <w:color w:val="231F20"/>
          <w:spacing w:val="-2"/>
        </w:rPr>
        <w:t>les</w:t>
      </w:r>
      <w:r>
        <w:rPr>
          <w:color w:val="231F20"/>
          <w:spacing w:val="-9"/>
        </w:rPr>
        <w:t> </w:t>
      </w:r>
      <w:r>
        <w:rPr>
          <w:color w:val="231F20"/>
          <w:spacing w:val="-2"/>
        </w:rPr>
        <w:t>«</w:t>
      </w:r>
      <w:r>
        <w:rPr>
          <w:color w:val="231F20"/>
          <w:spacing w:val="-10"/>
        </w:rPr>
        <w:t> </w:t>
      </w:r>
      <w:r>
        <w:rPr>
          <w:color w:val="231F20"/>
          <w:spacing w:val="-2"/>
        </w:rPr>
        <w:t>étrangers</w:t>
      </w:r>
      <w:r>
        <w:rPr>
          <w:color w:val="231F20"/>
          <w:spacing w:val="-12"/>
        </w:rPr>
        <w:t> </w:t>
      </w:r>
      <w:r>
        <w:rPr>
          <w:color w:val="231F20"/>
          <w:spacing w:val="-2"/>
        </w:rPr>
        <w:t>»</w:t>
      </w:r>
      <w:r>
        <w:rPr>
          <w:color w:val="231F20"/>
          <w:spacing w:val="-8"/>
        </w:rPr>
        <w:t> </w:t>
      </w:r>
      <w:r>
        <w:rPr>
          <w:color w:val="231F20"/>
          <w:spacing w:val="-2"/>
        </w:rPr>
        <w:t>conservent</w:t>
      </w:r>
      <w:r>
        <w:rPr>
          <w:color w:val="231F20"/>
          <w:spacing w:val="-7"/>
        </w:rPr>
        <w:t> </w:t>
      </w:r>
      <w:r>
        <w:rPr>
          <w:color w:val="231F20"/>
          <w:spacing w:val="-2"/>
        </w:rPr>
        <w:t>une</w:t>
      </w:r>
      <w:r>
        <w:rPr>
          <w:color w:val="231F20"/>
          <w:spacing w:val="-9"/>
        </w:rPr>
        <w:t> </w:t>
      </w:r>
      <w:r>
        <w:rPr>
          <w:color w:val="231F20"/>
          <w:spacing w:val="-2"/>
        </w:rPr>
        <w:t>place</w:t>
      </w:r>
      <w:r>
        <w:rPr>
          <w:color w:val="231F20"/>
          <w:spacing w:val="-8"/>
        </w:rPr>
        <w:t> </w:t>
      </w:r>
      <w:r>
        <w:rPr>
          <w:color w:val="231F20"/>
          <w:spacing w:val="-2"/>
        </w:rPr>
        <w:t>privilégiée</w:t>
      </w:r>
      <w:r>
        <w:rPr>
          <w:color w:val="231F20"/>
          <w:spacing w:val="-8"/>
        </w:rPr>
        <w:t> </w:t>
      </w:r>
      <w:r>
        <w:rPr>
          <w:color w:val="231F20"/>
          <w:spacing w:val="-2"/>
        </w:rPr>
        <w:t>dans </w:t>
      </w:r>
      <w:r>
        <w:rPr>
          <w:color w:val="231F20"/>
        </w:rPr>
        <w:t>la construction de l’économie et de la société ivoirienne fondée résolument sur l’expansion de l’économie de plantation. Le modèle </w:t>
      </w:r>
      <w:r>
        <w:rPr>
          <w:color w:val="231F20"/>
          <w:spacing w:val="-2"/>
        </w:rPr>
        <w:t>extraverti</w:t>
      </w:r>
      <w:r>
        <w:rPr>
          <w:color w:val="231F20"/>
          <w:spacing w:val="-3"/>
        </w:rPr>
        <w:t> </w:t>
      </w:r>
      <w:r>
        <w:rPr>
          <w:color w:val="231F20"/>
          <w:spacing w:val="-2"/>
        </w:rPr>
        <w:t>de</w:t>
      </w:r>
      <w:r>
        <w:rPr>
          <w:color w:val="231F20"/>
          <w:spacing w:val="-5"/>
        </w:rPr>
        <w:t> </w:t>
      </w:r>
      <w:r>
        <w:rPr>
          <w:color w:val="231F20"/>
          <w:spacing w:val="-2"/>
        </w:rPr>
        <w:t>développement retenu</w:t>
      </w:r>
      <w:r>
        <w:rPr>
          <w:color w:val="231F20"/>
          <w:spacing w:val="-4"/>
        </w:rPr>
        <w:t> </w:t>
      </w:r>
      <w:r>
        <w:rPr>
          <w:color w:val="231F20"/>
          <w:spacing w:val="-2"/>
        </w:rPr>
        <w:t>par</w:t>
      </w:r>
      <w:r>
        <w:rPr>
          <w:color w:val="231F20"/>
          <w:spacing w:val="-4"/>
        </w:rPr>
        <w:t> </w:t>
      </w:r>
      <w:r>
        <w:rPr>
          <w:color w:val="231F20"/>
          <w:spacing w:val="-2"/>
        </w:rPr>
        <w:t>les</w:t>
      </w:r>
      <w:r>
        <w:rPr>
          <w:color w:val="231F20"/>
          <w:spacing w:val="-4"/>
        </w:rPr>
        <w:t> </w:t>
      </w:r>
      <w:r>
        <w:rPr>
          <w:color w:val="231F20"/>
          <w:spacing w:val="-2"/>
        </w:rPr>
        <w:t>autorités</w:t>
      </w:r>
      <w:r>
        <w:rPr>
          <w:color w:val="231F20"/>
          <w:spacing w:val="-4"/>
        </w:rPr>
        <w:t> </w:t>
      </w:r>
      <w:r>
        <w:rPr>
          <w:color w:val="231F20"/>
          <w:spacing w:val="-2"/>
        </w:rPr>
        <w:t>ivoiriennes</w:t>
      </w:r>
      <w:r>
        <w:rPr>
          <w:color w:val="231F20"/>
          <w:spacing w:val="-4"/>
        </w:rPr>
        <w:t> </w:t>
      </w:r>
      <w:r>
        <w:rPr>
          <w:color w:val="231F20"/>
          <w:spacing w:val="-2"/>
        </w:rPr>
        <w:t>suppose l’emploi</w:t>
      </w:r>
      <w:r>
        <w:rPr>
          <w:color w:val="231F20"/>
          <w:spacing w:val="-13"/>
        </w:rPr>
        <w:t> </w:t>
      </w:r>
      <w:r>
        <w:rPr>
          <w:color w:val="231F20"/>
          <w:spacing w:val="-2"/>
        </w:rPr>
        <w:t>d’une</w:t>
      </w:r>
      <w:r>
        <w:rPr>
          <w:color w:val="231F20"/>
          <w:spacing w:val="-13"/>
        </w:rPr>
        <w:t> </w:t>
      </w:r>
      <w:r>
        <w:rPr>
          <w:color w:val="231F20"/>
          <w:spacing w:val="-2"/>
        </w:rPr>
        <w:t>main-d’œuvre</w:t>
      </w:r>
      <w:r>
        <w:rPr>
          <w:color w:val="231F20"/>
          <w:spacing w:val="-13"/>
        </w:rPr>
        <w:t> </w:t>
      </w:r>
      <w:r>
        <w:rPr>
          <w:color w:val="231F20"/>
          <w:spacing w:val="-2"/>
        </w:rPr>
        <w:t>importante,</w:t>
      </w:r>
      <w:r>
        <w:rPr>
          <w:color w:val="231F20"/>
          <w:spacing w:val="-13"/>
        </w:rPr>
        <w:t> </w:t>
      </w:r>
      <w:r>
        <w:rPr>
          <w:color w:val="231F20"/>
          <w:spacing w:val="-2"/>
        </w:rPr>
        <w:t>impossible</w:t>
      </w:r>
      <w:r>
        <w:rPr>
          <w:color w:val="231F20"/>
          <w:spacing w:val="-13"/>
        </w:rPr>
        <w:t> </w:t>
      </w:r>
      <w:r>
        <w:rPr>
          <w:color w:val="231F20"/>
          <w:spacing w:val="-2"/>
        </w:rPr>
        <w:t>à</w:t>
      </w:r>
      <w:r>
        <w:rPr>
          <w:color w:val="231F20"/>
          <w:spacing w:val="-13"/>
        </w:rPr>
        <w:t> </w:t>
      </w:r>
      <w:r>
        <w:rPr>
          <w:color w:val="231F20"/>
          <w:spacing w:val="-2"/>
        </w:rPr>
        <w:t>recruter</w:t>
      </w:r>
      <w:r>
        <w:rPr>
          <w:color w:val="231F20"/>
          <w:spacing w:val="-13"/>
        </w:rPr>
        <w:t> </w:t>
      </w:r>
      <w:r>
        <w:rPr>
          <w:color w:val="231F20"/>
          <w:spacing w:val="-2"/>
        </w:rPr>
        <w:t>parmi</w:t>
      </w:r>
      <w:r>
        <w:rPr>
          <w:color w:val="231F20"/>
          <w:spacing w:val="-13"/>
        </w:rPr>
        <w:t> </w:t>
      </w:r>
      <w:r>
        <w:rPr>
          <w:color w:val="231F20"/>
          <w:spacing w:val="-2"/>
        </w:rPr>
        <w:t>les seuls</w:t>
      </w:r>
      <w:r>
        <w:rPr>
          <w:color w:val="231F20"/>
          <w:spacing w:val="-15"/>
        </w:rPr>
        <w:t> </w:t>
      </w:r>
      <w:r>
        <w:rPr>
          <w:color w:val="231F20"/>
          <w:spacing w:val="-2"/>
        </w:rPr>
        <w:t>Ivoiriens,</w:t>
      </w:r>
      <w:r>
        <w:rPr>
          <w:color w:val="231F20"/>
          <w:spacing w:val="-13"/>
        </w:rPr>
        <w:t> </w:t>
      </w:r>
      <w:r>
        <w:rPr>
          <w:color w:val="231F20"/>
          <w:spacing w:val="-2"/>
        </w:rPr>
        <w:t>trop</w:t>
      </w:r>
      <w:r>
        <w:rPr>
          <w:color w:val="231F20"/>
          <w:spacing w:val="-13"/>
        </w:rPr>
        <w:t> </w:t>
      </w:r>
      <w:r>
        <w:rPr>
          <w:color w:val="231F20"/>
          <w:spacing w:val="-2"/>
        </w:rPr>
        <w:t>peu</w:t>
      </w:r>
      <w:r>
        <w:rPr>
          <w:color w:val="231F20"/>
          <w:spacing w:val="-13"/>
        </w:rPr>
        <w:t> </w:t>
      </w:r>
      <w:r>
        <w:rPr>
          <w:color w:val="231F20"/>
          <w:spacing w:val="-2"/>
        </w:rPr>
        <w:t>nombreux.</w:t>
      </w:r>
      <w:r>
        <w:rPr>
          <w:color w:val="231F20"/>
          <w:spacing w:val="-13"/>
        </w:rPr>
        <w:t> </w:t>
      </w:r>
      <w:r>
        <w:rPr>
          <w:color w:val="231F20"/>
          <w:spacing w:val="-2"/>
        </w:rPr>
        <w:t>Baoulé,</w:t>
      </w:r>
      <w:r>
        <w:rPr>
          <w:color w:val="231F20"/>
          <w:spacing w:val="-13"/>
        </w:rPr>
        <w:t> </w:t>
      </w:r>
      <w:r>
        <w:rPr>
          <w:color w:val="231F20"/>
          <w:spacing w:val="-2"/>
        </w:rPr>
        <w:t>Dioula</w:t>
      </w:r>
      <w:r>
        <w:rPr>
          <w:color w:val="231F20"/>
          <w:spacing w:val="-13"/>
        </w:rPr>
        <w:t> </w:t>
      </w:r>
      <w:r>
        <w:rPr>
          <w:color w:val="231F20"/>
          <w:spacing w:val="-2"/>
        </w:rPr>
        <w:t>mais</w:t>
      </w:r>
      <w:r>
        <w:rPr>
          <w:color w:val="231F20"/>
          <w:spacing w:val="-13"/>
        </w:rPr>
        <w:t> </w:t>
      </w:r>
      <w:r>
        <w:rPr>
          <w:color w:val="231F20"/>
          <w:spacing w:val="-2"/>
        </w:rPr>
        <w:t>aussi</w:t>
      </w:r>
      <w:r>
        <w:rPr>
          <w:color w:val="231F20"/>
          <w:spacing w:val="-13"/>
        </w:rPr>
        <w:t> </w:t>
      </w:r>
      <w:r>
        <w:rPr>
          <w:color w:val="231F20"/>
          <w:spacing w:val="-2"/>
        </w:rPr>
        <w:t>Burkinabè et</w:t>
      </w:r>
      <w:r>
        <w:rPr>
          <w:color w:val="231F20"/>
          <w:spacing w:val="-6"/>
        </w:rPr>
        <w:t> </w:t>
      </w:r>
      <w:r>
        <w:rPr>
          <w:color w:val="231F20"/>
          <w:spacing w:val="-2"/>
        </w:rPr>
        <w:t>Maliens</w:t>
      </w:r>
      <w:r>
        <w:rPr>
          <w:color w:val="231F20"/>
          <w:spacing w:val="-6"/>
        </w:rPr>
        <w:t> </w:t>
      </w:r>
      <w:r>
        <w:rPr>
          <w:color w:val="231F20"/>
          <w:spacing w:val="-2"/>
        </w:rPr>
        <w:t>s’installent</w:t>
      </w:r>
      <w:r>
        <w:rPr>
          <w:color w:val="231F20"/>
          <w:spacing w:val="-6"/>
        </w:rPr>
        <w:t> </w:t>
      </w:r>
      <w:r>
        <w:rPr>
          <w:color w:val="231F20"/>
          <w:spacing w:val="-2"/>
        </w:rPr>
        <w:t>dans</w:t>
      </w:r>
      <w:r>
        <w:rPr>
          <w:color w:val="231F20"/>
          <w:spacing w:val="-6"/>
        </w:rPr>
        <w:t> </w:t>
      </w:r>
      <w:r>
        <w:rPr>
          <w:color w:val="231F20"/>
          <w:spacing w:val="-2"/>
        </w:rPr>
        <w:t>la</w:t>
      </w:r>
      <w:r>
        <w:rPr>
          <w:color w:val="231F20"/>
          <w:spacing w:val="-6"/>
        </w:rPr>
        <w:t> </w:t>
      </w:r>
      <w:r>
        <w:rPr>
          <w:color w:val="231F20"/>
          <w:spacing w:val="-2"/>
        </w:rPr>
        <w:t>forêt</w:t>
      </w:r>
      <w:r>
        <w:rPr>
          <w:color w:val="231F20"/>
          <w:spacing w:val="-6"/>
        </w:rPr>
        <w:t> </w:t>
      </w:r>
      <w:r>
        <w:rPr>
          <w:color w:val="231F20"/>
          <w:spacing w:val="-2"/>
        </w:rPr>
        <w:t>ivoirienne,</w:t>
      </w:r>
      <w:r>
        <w:rPr>
          <w:color w:val="231F20"/>
          <w:spacing w:val="-6"/>
        </w:rPr>
        <w:t> </w:t>
      </w:r>
      <w:r>
        <w:rPr>
          <w:color w:val="231F20"/>
          <w:spacing w:val="-2"/>
        </w:rPr>
        <w:t>répondant</w:t>
      </w:r>
      <w:r>
        <w:rPr>
          <w:color w:val="231F20"/>
          <w:spacing w:val="-6"/>
        </w:rPr>
        <w:t> </w:t>
      </w:r>
      <w:r>
        <w:rPr>
          <w:color w:val="231F20"/>
          <w:spacing w:val="-2"/>
        </w:rPr>
        <w:t>au</w:t>
      </w:r>
      <w:r>
        <w:rPr>
          <w:color w:val="231F20"/>
          <w:spacing w:val="-9"/>
        </w:rPr>
        <w:t> </w:t>
      </w:r>
      <w:r>
        <w:rPr>
          <w:color w:val="231F20"/>
          <w:spacing w:val="-2"/>
        </w:rPr>
        <w:t>mot</w:t>
      </w:r>
      <w:r>
        <w:rPr>
          <w:color w:val="231F20"/>
          <w:spacing w:val="-6"/>
        </w:rPr>
        <w:t> </w:t>
      </w:r>
      <w:r>
        <w:rPr>
          <w:color w:val="231F20"/>
          <w:spacing w:val="-2"/>
        </w:rPr>
        <w:t>d’ordre </w:t>
      </w:r>
      <w:r>
        <w:rPr>
          <w:color w:val="231F20"/>
        </w:rPr>
        <w:t>lancé par Houphouët-Boigny</w:t>
      </w:r>
      <w:r>
        <w:rPr>
          <w:color w:val="231F20"/>
          <w:spacing w:val="-14"/>
        </w:rPr>
        <w:t> </w:t>
      </w:r>
      <w:r>
        <w:rPr>
          <w:color w:val="231F20"/>
        </w:rPr>
        <w:t>:</w:t>
      </w:r>
      <w:r>
        <w:rPr>
          <w:color w:val="231F20"/>
          <w:spacing w:val="-14"/>
        </w:rPr>
        <w:t> </w:t>
      </w:r>
      <w:r>
        <w:rPr>
          <w:i/>
          <w:color w:val="231F20"/>
        </w:rPr>
        <w:t>«</w:t>
      </w:r>
      <w:r>
        <w:rPr>
          <w:i/>
          <w:color w:val="231F20"/>
          <w:spacing w:val="-12"/>
        </w:rPr>
        <w:t> </w:t>
      </w:r>
      <w:r>
        <w:rPr>
          <w:i/>
          <w:color w:val="231F20"/>
        </w:rPr>
        <w:t>la terre appartient à celui qui la</w:t>
      </w:r>
      <w:r>
        <w:rPr>
          <w:i/>
          <w:color w:val="231F20"/>
        </w:rPr>
        <w:t> cultive »</w:t>
      </w:r>
      <w:r>
        <w:rPr>
          <w:color w:val="231F20"/>
        </w:rPr>
        <w:t>.</w:t>
      </w:r>
    </w:p>
    <w:p>
      <w:pPr>
        <w:pStyle w:val="BodyText"/>
        <w:spacing w:before="240"/>
        <w:ind w:right="104" w:firstLine="283"/>
      </w:pPr>
      <w:r>
        <w:rPr>
          <w:color w:val="231F20"/>
          <w:spacing w:val="-2"/>
        </w:rPr>
        <w:t>Les</w:t>
      </w:r>
      <w:r>
        <w:rPr>
          <w:color w:val="231F20"/>
          <w:spacing w:val="-13"/>
        </w:rPr>
        <w:t> </w:t>
      </w:r>
      <w:r>
        <w:rPr>
          <w:color w:val="231F20"/>
          <w:spacing w:val="-2"/>
        </w:rPr>
        <w:t>démographes</w:t>
      </w:r>
      <w:r>
        <w:rPr>
          <w:color w:val="231F20"/>
          <w:spacing w:val="-13"/>
        </w:rPr>
        <w:t> </w:t>
      </w:r>
      <w:r>
        <w:rPr>
          <w:color w:val="231F20"/>
          <w:spacing w:val="-2"/>
        </w:rPr>
        <w:t>situent</w:t>
      </w:r>
      <w:r>
        <w:rPr>
          <w:color w:val="231F20"/>
          <w:spacing w:val="-13"/>
        </w:rPr>
        <w:t> </w:t>
      </w:r>
      <w:r>
        <w:rPr>
          <w:color w:val="231F20"/>
          <w:spacing w:val="-2"/>
        </w:rPr>
        <w:t>à</w:t>
      </w:r>
      <w:r>
        <w:rPr>
          <w:color w:val="231F20"/>
          <w:spacing w:val="-13"/>
        </w:rPr>
        <w:t> </w:t>
      </w:r>
      <w:r>
        <w:rPr>
          <w:color w:val="231F20"/>
          <w:spacing w:val="-2"/>
        </w:rPr>
        <w:t>10</w:t>
      </w:r>
      <w:r>
        <w:rPr>
          <w:color w:val="231F20"/>
          <w:spacing w:val="-13"/>
        </w:rPr>
        <w:t> </w:t>
      </w:r>
      <w:r>
        <w:rPr>
          <w:color w:val="231F20"/>
          <w:spacing w:val="-2"/>
        </w:rPr>
        <w:t>%</w:t>
      </w:r>
      <w:r>
        <w:rPr>
          <w:color w:val="231F20"/>
          <w:spacing w:val="-13"/>
        </w:rPr>
        <w:t> </w:t>
      </w:r>
      <w:r>
        <w:rPr>
          <w:color w:val="231F20"/>
          <w:spacing w:val="-2"/>
        </w:rPr>
        <w:t>la</w:t>
      </w:r>
      <w:r>
        <w:rPr>
          <w:color w:val="231F20"/>
          <w:spacing w:val="-13"/>
        </w:rPr>
        <w:t> </w:t>
      </w:r>
      <w:r>
        <w:rPr>
          <w:color w:val="231F20"/>
          <w:spacing w:val="-2"/>
        </w:rPr>
        <w:t>proportion</w:t>
      </w:r>
      <w:r>
        <w:rPr>
          <w:color w:val="231F20"/>
          <w:spacing w:val="-13"/>
        </w:rPr>
        <w:t> </w:t>
      </w:r>
      <w:r>
        <w:rPr>
          <w:color w:val="231F20"/>
          <w:spacing w:val="-2"/>
        </w:rPr>
        <w:t>d’étrangers</w:t>
      </w:r>
      <w:r>
        <w:rPr>
          <w:color w:val="231F20"/>
          <w:spacing w:val="-13"/>
        </w:rPr>
        <w:t> </w:t>
      </w:r>
      <w:r>
        <w:rPr>
          <w:color w:val="231F20"/>
          <w:spacing w:val="-2"/>
        </w:rPr>
        <w:t>supportable </w:t>
      </w:r>
      <w:r>
        <w:rPr>
          <w:color w:val="231F20"/>
        </w:rPr>
        <w:t>par</w:t>
      </w:r>
      <w:r>
        <w:rPr>
          <w:color w:val="231F20"/>
          <w:spacing w:val="-1"/>
        </w:rPr>
        <w:t> </w:t>
      </w:r>
      <w:r>
        <w:rPr>
          <w:color w:val="231F20"/>
        </w:rPr>
        <w:t>une</w:t>
      </w:r>
      <w:r>
        <w:rPr>
          <w:color w:val="231F20"/>
          <w:spacing w:val="-1"/>
        </w:rPr>
        <w:t> </w:t>
      </w:r>
      <w:r>
        <w:rPr>
          <w:color w:val="231F20"/>
        </w:rPr>
        <w:t>population</w:t>
      </w:r>
      <w:r>
        <w:rPr>
          <w:color w:val="231F20"/>
          <w:spacing w:val="-15"/>
        </w:rPr>
        <w:t> </w:t>
      </w:r>
      <w:r>
        <w:rPr>
          <w:color w:val="231F20"/>
        </w:rPr>
        <w:t>;</w:t>
      </w:r>
      <w:r>
        <w:rPr>
          <w:color w:val="231F20"/>
          <w:spacing w:val="-2"/>
        </w:rPr>
        <w:t> </w:t>
      </w:r>
      <w:r>
        <w:rPr>
          <w:color w:val="231F20"/>
        </w:rPr>
        <w:t>c’est</w:t>
      </w:r>
      <w:r>
        <w:rPr>
          <w:color w:val="231F20"/>
          <w:spacing w:val="-2"/>
        </w:rPr>
        <w:t> </w:t>
      </w:r>
      <w:r>
        <w:rPr>
          <w:color w:val="231F20"/>
        </w:rPr>
        <w:t>le</w:t>
      </w:r>
      <w:r>
        <w:rPr>
          <w:color w:val="231F20"/>
          <w:spacing w:val="-2"/>
        </w:rPr>
        <w:t> </w:t>
      </w:r>
      <w:r>
        <w:rPr>
          <w:color w:val="231F20"/>
        </w:rPr>
        <w:t>seuil</w:t>
      </w:r>
      <w:r>
        <w:rPr>
          <w:color w:val="231F20"/>
          <w:spacing w:val="-1"/>
        </w:rPr>
        <w:t> </w:t>
      </w:r>
      <w:r>
        <w:rPr>
          <w:color w:val="231F20"/>
        </w:rPr>
        <w:t>de</w:t>
      </w:r>
      <w:r>
        <w:rPr>
          <w:color w:val="231F20"/>
          <w:spacing w:val="-1"/>
        </w:rPr>
        <w:t> </w:t>
      </w:r>
      <w:r>
        <w:rPr>
          <w:color w:val="231F20"/>
        </w:rPr>
        <w:t>tolérance</w:t>
      </w:r>
      <w:r>
        <w:rPr>
          <w:color w:val="231F20"/>
          <w:spacing w:val="-1"/>
        </w:rPr>
        <w:t> </w:t>
      </w:r>
      <w:r>
        <w:rPr>
          <w:color w:val="231F20"/>
        </w:rPr>
        <w:t>à</w:t>
      </w:r>
      <w:r>
        <w:rPr>
          <w:color w:val="231F20"/>
          <w:spacing w:val="-1"/>
        </w:rPr>
        <w:t> </w:t>
      </w:r>
      <w:r>
        <w:rPr>
          <w:color w:val="231F20"/>
        </w:rPr>
        <w:t>ne</w:t>
      </w:r>
      <w:r>
        <w:rPr>
          <w:color w:val="231F20"/>
          <w:spacing w:val="-4"/>
        </w:rPr>
        <w:t> </w:t>
      </w:r>
      <w:r>
        <w:rPr>
          <w:color w:val="231F20"/>
        </w:rPr>
        <w:t>pas</w:t>
      </w:r>
      <w:r>
        <w:rPr>
          <w:color w:val="231F20"/>
          <w:spacing w:val="-1"/>
        </w:rPr>
        <w:t> </w:t>
      </w:r>
      <w:r>
        <w:rPr>
          <w:color w:val="231F20"/>
        </w:rPr>
        <w:t>franchir.</w:t>
      </w:r>
      <w:r>
        <w:rPr>
          <w:color w:val="231F20"/>
          <w:spacing w:val="-2"/>
        </w:rPr>
        <w:t> </w:t>
      </w:r>
      <w:r>
        <w:rPr>
          <w:color w:val="231F20"/>
          <w:sz w:val="28"/>
        </w:rPr>
        <w:t>Or,</w:t>
      </w:r>
      <w:r>
        <w:rPr>
          <w:color w:val="231F20"/>
          <w:spacing w:val="-1"/>
          <w:sz w:val="28"/>
        </w:rPr>
        <w:t> </w:t>
      </w:r>
      <w:r>
        <w:rPr>
          <w:color w:val="231F20"/>
          <w:sz w:val="28"/>
        </w:rPr>
        <w:t>l</w:t>
      </w:r>
      <w:r>
        <w:rPr>
          <w:color w:val="231F20"/>
        </w:rPr>
        <w:t>a structure démographique de la Côte d’Ivoire montre qu’un tiers de la population totale du pays est d’origine étrangère</w:t>
      </w:r>
      <w:r>
        <w:rPr>
          <w:color w:val="231F20"/>
          <w:vertAlign w:val="superscript"/>
        </w:rPr>
        <w:t>146</w:t>
      </w:r>
      <w:r>
        <w:rPr>
          <w:color w:val="231F20"/>
          <w:vertAlign w:val="baseline"/>
        </w:rPr>
        <w:t> et que la capitale économique, Abidjan, offre un quasi-équilibre entre la population ivoirienne et la population non ivoirienne.</w:t>
      </w:r>
    </w:p>
    <w:p>
      <w:pPr>
        <w:pStyle w:val="BodyText"/>
        <w:spacing w:before="120"/>
        <w:ind w:right="105" w:firstLine="283"/>
      </w:pPr>
      <w:r>
        <w:rPr>
          <w:color w:val="231F20"/>
        </w:rPr>
        <w:t>Suite</w:t>
      </w:r>
      <w:r>
        <w:rPr>
          <w:color w:val="231F20"/>
          <w:spacing w:val="-15"/>
        </w:rPr>
        <w:t> </w:t>
      </w:r>
      <w:r>
        <w:rPr>
          <w:color w:val="231F20"/>
        </w:rPr>
        <w:t>aux</w:t>
      </w:r>
      <w:r>
        <w:rPr>
          <w:color w:val="231F20"/>
          <w:spacing w:val="-15"/>
        </w:rPr>
        <w:t> </w:t>
      </w:r>
      <w:r>
        <w:rPr>
          <w:color w:val="231F20"/>
        </w:rPr>
        <w:t>crises</w:t>
      </w:r>
      <w:r>
        <w:rPr>
          <w:color w:val="231F20"/>
          <w:spacing w:val="-15"/>
        </w:rPr>
        <w:t> </w:t>
      </w:r>
      <w:r>
        <w:rPr>
          <w:color w:val="231F20"/>
        </w:rPr>
        <w:t>politiques</w:t>
      </w:r>
      <w:r>
        <w:rPr>
          <w:color w:val="231F20"/>
          <w:spacing w:val="-14"/>
        </w:rPr>
        <w:t> </w:t>
      </w:r>
      <w:r>
        <w:rPr>
          <w:color w:val="231F20"/>
        </w:rPr>
        <w:t>dans</w:t>
      </w:r>
      <w:r>
        <w:rPr>
          <w:color w:val="231F20"/>
          <w:spacing w:val="-15"/>
        </w:rPr>
        <w:t> </w:t>
      </w:r>
      <w:r>
        <w:rPr>
          <w:color w:val="231F20"/>
        </w:rPr>
        <w:t>la</w:t>
      </w:r>
      <w:r>
        <w:rPr>
          <w:color w:val="231F20"/>
          <w:spacing w:val="-15"/>
        </w:rPr>
        <w:t> </w:t>
      </w:r>
      <w:r>
        <w:rPr>
          <w:color w:val="231F20"/>
        </w:rPr>
        <w:t>région</w:t>
      </w:r>
      <w:r>
        <w:rPr>
          <w:color w:val="231F20"/>
          <w:spacing w:val="-14"/>
        </w:rPr>
        <w:t> </w:t>
      </w:r>
      <w:r>
        <w:rPr>
          <w:color w:val="231F20"/>
        </w:rPr>
        <w:t>ouest-africaine,</w:t>
      </w:r>
      <w:r>
        <w:rPr>
          <w:color w:val="231F20"/>
          <w:spacing w:val="-15"/>
        </w:rPr>
        <w:t> </w:t>
      </w:r>
      <w:r>
        <w:rPr>
          <w:color w:val="231F20"/>
        </w:rPr>
        <w:t>encouragés par la politique d’ouverture de Félix Houphouët-Boigny, de nombreux </w:t>
      </w:r>
      <w:r>
        <w:rPr>
          <w:color w:val="231F20"/>
          <w:spacing w:val="-4"/>
        </w:rPr>
        <w:t>réfugiés</w:t>
      </w:r>
      <w:r>
        <w:rPr>
          <w:color w:val="231F20"/>
          <w:spacing w:val="-11"/>
        </w:rPr>
        <w:t> </w:t>
      </w:r>
      <w:r>
        <w:rPr>
          <w:color w:val="231F20"/>
          <w:spacing w:val="-4"/>
        </w:rPr>
        <w:t>font</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Côte</w:t>
      </w:r>
      <w:r>
        <w:rPr>
          <w:color w:val="231F20"/>
          <w:spacing w:val="-11"/>
        </w:rPr>
        <w:t> </w:t>
      </w:r>
      <w:r>
        <w:rPr>
          <w:color w:val="231F20"/>
          <w:spacing w:val="-4"/>
        </w:rPr>
        <w:t>d’ivoire,</w:t>
      </w:r>
      <w:r>
        <w:rPr>
          <w:color w:val="231F20"/>
          <w:spacing w:val="-11"/>
        </w:rPr>
        <w:t> </w:t>
      </w:r>
      <w:r>
        <w:rPr>
          <w:color w:val="231F20"/>
          <w:spacing w:val="-4"/>
        </w:rPr>
        <w:t>leur</w:t>
      </w:r>
      <w:r>
        <w:rPr>
          <w:color w:val="231F20"/>
          <w:spacing w:val="-11"/>
        </w:rPr>
        <w:t> </w:t>
      </w:r>
      <w:r>
        <w:rPr>
          <w:color w:val="231F20"/>
          <w:spacing w:val="-4"/>
        </w:rPr>
        <w:t>terre</w:t>
      </w:r>
      <w:r>
        <w:rPr>
          <w:color w:val="231F20"/>
          <w:spacing w:val="-11"/>
        </w:rPr>
        <w:t> </w:t>
      </w:r>
      <w:r>
        <w:rPr>
          <w:color w:val="231F20"/>
          <w:spacing w:val="-4"/>
        </w:rPr>
        <w:t>d’accueil</w:t>
      </w:r>
      <w:r>
        <w:rPr>
          <w:color w:val="231F20"/>
          <w:spacing w:val="-11"/>
        </w:rPr>
        <w:t> </w:t>
      </w:r>
      <w:r>
        <w:rPr>
          <w:color w:val="231F20"/>
          <w:spacing w:val="-4"/>
        </w:rPr>
        <w:t>:</w:t>
      </w:r>
      <w:r>
        <w:rPr>
          <w:color w:val="231F20"/>
          <w:spacing w:val="-11"/>
        </w:rPr>
        <w:t> </w:t>
      </w:r>
      <w:r>
        <w:rPr>
          <w:color w:val="231F20"/>
          <w:spacing w:val="-4"/>
        </w:rPr>
        <w:t>Guinéens,</w:t>
      </w:r>
      <w:r>
        <w:rPr>
          <w:color w:val="231F20"/>
          <w:spacing w:val="-11"/>
        </w:rPr>
        <w:t> </w:t>
      </w:r>
      <w:r>
        <w:rPr>
          <w:color w:val="231F20"/>
          <w:spacing w:val="-4"/>
        </w:rPr>
        <w:t>Libériens, </w:t>
      </w:r>
      <w:r>
        <w:rPr>
          <w:color w:val="231F20"/>
        </w:rPr>
        <w:t>Biafrais du Nigéria etc.</w:t>
      </w:r>
    </w:p>
    <w:p>
      <w:pPr>
        <w:spacing w:before="240"/>
        <w:ind w:left="111" w:right="105" w:firstLine="0"/>
        <w:jc w:val="both"/>
        <w:rPr>
          <w:sz w:val="24"/>
        </w:rPr>
      </w:pPr>
      <w:r>
        <w:rPr>
          <w:color w:val="231F20"/>
          <w:spacing w:val="-4"/>
          <w:sz w:val="24"/>
        </w:rPr>
        <w:t>En</w:t>
      </w:r>
      <w:r>
        <w:rPr>
          <w:color w:val="231F20"/>
          <w:spacing w:val="-11"/>
          <w:sz w:val="24"/>
        </w:rPr>
        <w:t> </w:t>
      </w:r>
      <w:r>
        <w:rPr>
          <w:color w:val="231F20"/>
          <w:spacing w:val="-4"/>
          <w:sz w:val="24"/>
        </w:rPr>
        <w:t>1965</w:t>
      </w:r>
      <w:r>
        <w:rPr>
          <w:color w:val="231F20"/>
          <w:spacing w:val="-11"/>
          <w:sz w:val="24"/>
        </w:rPr>
        <w:t> </w:t>
      </w:r>
      <w:r>
        <w:rPr>
          <w:color w:val="231F20"/>
          <w:spacing w:val="-4"/>
          <w:sz w:val="24"/>
        </w:rPr>
        <w:t>soit</w:t>
      </w:r>
      <w:r>
        <w:rPr>
          <w:color w:val="231F20"/>
          <w:spacing w:val="-11"/>
          <w:sz w:val="24"/>
        </w:rPr>
        <w:t> </w:t>
      </w:r>
      <w:r>
        <w:rPr>
          <w:color w:val="231F20"/>
          <w:spacing w:val="-4"/>
          <w:sz w:val="24"/>
        </w:rPr>
        <w:t>c</w:t>
      </w:r>
      <w:r>
        <w:rPr>
          <w:rFonts w:ascii="Trebuchet MS" w:hAnsi="Trebuchet MS"/>
          <w:color w:val="231F20"/>
          <w:spacing w:val="-4"/>
          <w:sz w:val="22"/>
        </w:rPr>
        <w:t>inq</w:t>
      </w:r>
      <w:r>
        <w:rPr>
          <w:rFonts w:ascii="Trebuchet MS" w:hAnsi="Trebuchet MS"/>
          <w:color w:val="231F20"/>
          <w:spacing w:val="-13"/>
          <w:sz w:val="22"/>
        </w:rPr>
        <w:t> </w:t>
      </w:r>
      <w:r>
        <w:rPr>
          <w:rFonts w:ascii="Trebuchet MS" w:hAnsi="Trebuchet MS"/>
          <w:color w:val="231F20"/>
          <w:spacing w:val="-4"/>
          <w:sz w:val="22"/>
        </w:rPr>
        <w:t>ans</w:t>
      </w:r>
      <w:r>
        <w:rPr>
          <w:rFonts w:ascii="Trebuchet MS" w:hAnsi="Trebuchet MS"/>
          <w:color w:val="231F20"/>
          <w:spacing w:val="-11"/>
          <w:sz w:val="22"/>
        </w:rPr>
        <w:t> </w:t>
      </w:r>
      <w:r>
        <w:rPr>
          <w:rFonts w:ascii="Trebuchet MS" w:hAnsi="Trebuchet MS"/>
          <w:color w:val="231F20"/>
          <w:spacing w:val="-4"/>
          <w:sz w:val="22"/>
        </w:rPr>
        <w:t>après</w:t>
      </w:r>
      <w:r>
        <w:rPr>
          <w:rFonts w:ascii="Trebuchet MS" w:hAnsi="Trebuchet MS"/>
          <w:color w:val="231F20"/>
          <w:spacing w:val="-11"/>
          <w:sz w:val="22"/>
        </w:rPr>
        <w:t> </w:t>
      </w:r>
      <w:r>
        <w:rPr>
          <w:rFonts w:ascii="Trebuchet MS" w:hAnsi="Trebuchet MS"/>
          <w:color w:val="231F20"/>
          <w:spacing w:val="-4"/>
          <w:sz w:val="22"/>
        </w:rPr>
        <w:t>son</w:t>
      </w:r>
      <w:r>
        <w:rPr>
          <w:rFonts w:ascii="Trebuchet MS" w:hAnsi="Trebuchet MS"/>
          <w:color w:val="231F20"/>
          <w:spacing w:val="-11"/>
          <w:sz w:val="22"/>
        </w:rPr>
        <w:t> </w:t>
      </w:r>
      <w:r>
        <w:rPr>
          <w:rFonts w:ascii="Trebuchet MS" w:hAnsi="Trebuchet MS"/>
          <w:color w:val="231F20"/>
          <w:spacing w:val="-4"/>
          <w:sz w:val="22"/>
        </w:rPr>
        <w:t>indépendance,</w:t>
      </w:r>
      <w:r>
        <w:rPr>
          <w:rFonts w:ascii="Trebuchet MS" w:hAnsi="Trebuchet MS"/>
          <w:color w:val="231F20"/>
          <w:spacing w:val="-10"/>
          <w:sz w:val="22"/>
        </w:rPr>
        <w:t> </w:t>
      </w:r>
      <w:r>
        <w:rPr>
          <w:rFonts w:ascii="Trebuchet MS" w:hAnsi="Trebuchet MS"/>
          <w:color w:val="231F20"/>
          <w:spacing w:val="-4"/>
          <w:sz w:val="22"/>
        </w:rPr>
        <w:t>la</w:t>
      </w:r>
      <w:r>
        <w:rPr>
          <w:rFonts w:ascii="Trebuchet MS" w:hAnsi="Trebuchet MS"/>
          <w:color w:val="231F20"/>
          <w:spacing w:val="-13"/>
          <w:sz w:val="22"/>
        </w:rPr>
        <w:t> </w:t>
      </w:r>
      <w:r>
        <w:rPr>
          <w:rFonts w:ascii="Trebuchet MS" w:hAnsi="Trebuchet MS"/>
          <w:color w:val="231F20"/>
          <w:spacing w:val="-4"/>
          <w:sz w:val="22"/>
        </w:rPr>
        <w:t>Côte</w:t>
      </w:r>
      <w:r>
        <w:rPr>
          <w:rFonts w:ascii="Trebuchet MS" w:hAnsi="Trebuchet MS"/>
          <w:color w:val="231F20"/>
          <w:spacing w:val="-13"/>
          <w:sz w:val="22"/>
        </w:rPr>
        <w:t> </w:t>
      </w:r>
      <w:r>
        <w:rPr>
          <w:rFonts w:ascii="Trebuchet MS" w:hAnsi="Trebuchet MS"/>
          <w:color w:val="231F20"/>
          <w:spacing w:val="-4"/>
          <w:sz w:val="22"/>
        </w:rPr>
        <w:t>d’Ivoire</w:t>
      </w:r>
      <w:r>
        <w:rPr>
          <w:rFonts w:ascii="Trebuchet MS" w:hAnsi="Trebuchet MS"/>
          <w:color w:val="231F20"/>
          <w:spacing w:val="-12"/>
          <w:sz w:val="22"/>
        </w:rPr>
        <w:t> </w:t>
      </w:r>
      <w:r>
        <w:rPr>
          <w:rFonts w:ascii="Trebuchet MS" w:hAnsi="Trebuchet MS"/>
          <w:color w:val="231F20"/>
          <w:spacing w:val="-4"/>
          <w:sz w:val="22"/>
        </w:rPr>
        <w:t>comptait </w:t>
      </w:r>
      <w:r>
        <w:rPr>
          <w:rFonts w:ascii="Trebuchet MS" w:hAnsi="Trebuchet MS"/>
          <w:color w:val="231F20"/>
          <w:spacing w:val="-2"/>
          <w:sz w:val="22"/>
        </w:rPr>
        <w:t>700</w:t>
      </w:r>
      <w:r>
        <w:rPr>
          <w:rFonts w:ascii="Trebuchet MS" w:hAnsi="Trebuchet MS"/>
          <w:color w:val="231F20"/>
          <w:spacing w:val="-13"/>
          <w:sz w:val="22"/>
        </w:rPr>
        <w:t> </w:t>
      </w:r>
      <w:r>
        <w:rPr>
          <w:rFonts w:ascii="Trebuchet MS" w:hAnsi="Trebuchet MS"/>
          <w:color w:val="231F20"/>
          <w:spacing w:val="-2"/>
          <w:sz w:val="22"/>
        </w:rPr>
        <w:t>000</w:t>
      </w:r>
      <w:r>
        <w:rPr>
          <w:rFonts w:ascii="Trebuchet MS" w:hAnsi="Trebuchet MS"/>
          <w:color w:val="231F20"/>
          <w:spacing w:val="-5"/>
          <w:sz w:val="22"/>
        </w:rPr>
        <w:t> </w:t>
      </w:r>
      <w:r>
        <w:rPr>
          <w:rFonts w:ascii="Trebuchet MS" w:hAnsi="Trebuchet MS"/>
          <w:color w:val="231F20"/>
          <w:spacing w:val="-2"/>
          <w:sz w:val="22"/>
        </w:rPr>
        <w:t>étrangers. </w:t>
      </w:r>
      <w:r>
        <w:rPr>
          <w:color w:val="231F20"/>
          <w:spacing w:val="-2"/>
          <w:sz w:val="24"/>
        </w:rPr>
        <w:t>Houphouët-Boigny</w:t>
      </w:r>
      <w:r>
        <w:rPr>
          <w:color w:val="231F20"/>
          <w:spacing w:val="-6"/>
          <w:sz w:val="24"/>
        </w:rPr>
        <w:t> </w:t>
      </w:r>
      <w:r>
        <w:rPr>
          <w:color w:val="231F20"/>
          <w:spacing w:val="-2"/>
          <w:sz w:val="24"/>
        </w:rPr>
        <w:t>propose</w:t>
      </w:r>
      <w:r>
        <w:rPr>
          <w:color w:val="231F20"/>
          <w:spacing w:val="-4"/>
          <w:sz w:val="24"/>
        </w:rPr>
        <w:t> </w:t>
      </w:r>
      <w:r>
        <w:rPr>
          <w:color w:val="231F20"/>
          <w:spacing w:val="-2"/>
          <w:sz w:val="24"/>
        </w:rPr>
        <w:t>au</w:t>
      </w:r>
      <w:r>
        <w:rPr>
          <w:color w:val="231F20"/>
          <w:spacing w:val="-6"/>
          <w:sz w:val="24"/>
        </w:rPr>
        <w:t> </w:t>
      </w:r>
      <w:r>
        <w:rPr>
          <w:color w:val="231F20"/>
          <w:spacing w:val="-2"/>
          <w:sz w:val="24"/>
        </w:rPr>
        <w:t>Parlement</w:t>
      </w:r>
      <w:r>
        <w:rPr>
          <w:color w:val="231F20"/>
          <w:spacing w:val="-6"/>
          <w:sz w:val="24"/>
        </w:rPr>
        <w:t> </w:t>
      </w:r>
      <w:r>
        <w:rPr>
          <w:color w:val="231F20"/>
          <w:spacing w:val="-2"/>
          <w:sz w:val="24"/>
        </w:rPr>
        <w:t>ivoirien</w:t>
      </w:r>
      <w:r>
        <w:rPr>
          <w:color w:val="231F20"/>
          <w:spacing w:val="-6"/>
          <w:sz w:val="24"/>
        </w:rPr>
        <w:t> </w:t>
      </w:r>
      <w:r>
        <w:rPr>
          <w:color w:val="231F20"/>
          <w:spacing w:val="-2"/>
          <w:sz w:val="24"/>
        </w:rPr>
        <w:t>le principe</w:t>
      </w:r>
      <w:r>
        <w:rPr>
          <w:color w:val="231F20"/>
          <w:spacing w:val="-12"/>
          <w:sz w:val="24"/>
        </w:rPr>
        <w:t> </w:t>
      </w:r>
      <w:r>
        <w:rPr>
          <w:color w:val="231F20"/>
          <w:spacing w:val="-2"/>
          <w:sz w:val="24"/>
        </w:rPr>
        <w:t>de</w:t>
      </w:r>
      <w:r>
        <w:rPr>
          <w:color w:val="231F20"/>
          <w:spacing w:val="-9"/>
          <w:sz w:val="24"/>
        </w:rPr>
        <w:t> </w:t>
      </w:r>
      <w:r>
        <w:rPr>
          <w:color w:val="231F20"/>
          <w:spacing w:val="-2"/>
          <w:sz w:val="24"/>
        </w:rPr>
        <w:t>double</w:t>
      </w:r>
      <w:r>
        <w:rPr>
          <w:color w:val="231F20"/>
          <w:spacing w:val="-11"/>
          <w:sz w:val="24"/>
        </w:rPr>
        <w:t> </w:t>
      </w:r>
      <w:r>
        <w:rPr>
          <w:color w:val="231F20"/>
          <w:spacing w:val="-2"/>
          <w:sz w:val="24"/>
        </w:rPr>
        <w:t>nationalité</w:t>
      </w:r>
      <w:r>
        <w:rPr>
          <w:color w:val="231F20"/>
          <w:spacing w:val="-11"/>
          <w:sz w:val="24"/>
        </w:rPr>
        <w:t> </w:t>
      </w:r>
      <w:r>
        <w:rPr>
          <w:color w:val="231F20"/>
          <w:spacing w:val="-2"/>
          <w:sz w:val="24"/>
        </w:rPr>
        <w:t>pour</w:t>
      </w:r>
      <w:r>
        <w:rPr>
          <w:color w:val="231F20"/>
          <w:spacing w:val="-13"/>
          <w:sz w:val="24"/>
        </w:rPr>
        <w:t> </w:t>
      </w:r>
      <w:r>
        <w:rPr>
          <w:color w:val="231F20"/>
          <w:spacing w:val="-2"/>
          <w:sz w:val="24"/>
        </w:rPr>
        <w:t>les</w:t>
      </w:r>
      <w:r>
        <w:rPr>
          <w:color w:val="231F20"/>
          <w:spacing w:val="-9"/>
          <w:sz w:val="24"/>
        </w:rPr>
        <w:t> </w:t>
      </w:r>
      <w:r>
        <w:rPr>
          <w:color w:val="231F20"/>
          <w:spacing w:val="-2"/>
          <w:sz w:val="24"/>
        </w:rPr>
        <w:t>ressortissants</w:t>
      </w:r>
      <w:r>
        <w:rPr>
          <w:color w:val="231F20"/>
          <w:spacing w:val="-9"/>
          <w:sz w:val="24"/>
        </w:rPr>
        <w:t> </w:t>
      </w:r>
      <w:r>
        <w:rPr>
          <w:color w:val="231F20"/>
          <w:spacing w:val="-2"/>
          <w:sz w:val="24"/>
        </w:rPr>
        <w:t>des</w:t>
      </w:r>
      <w:r>
        <w:rPr>
          <w:color w:val="231F20"/>
          <w:spacing w:val="-9"/>
          <w:sz w:val="24"/>
        </w:rPr>
        <w:t> </w:t>
      </w:r>
      <w:r>
        <w:rPr>
          <w:color w:val="231F20"/>
          <w:spacing w:val="-2"/>
          <w:sz w:val="24"/>
        </w:rPr>
        <w:t>pays</w:t>
      </w:r>
      <w:r>
        <w:rPr>
          <w:color w:val="231F20"/>
          <w:spacing w:val="-8"/>
          <w:sz w:val="24"/>
        </w:rPr>
        <w:t> </w:t>
      </w:r>
      <w:r>
        <w:rPr>
          <w:color w:val="231F20"/>
          <w:spacing w:val="-2"/>
          <w:sz w:val="24"/>
        </w:rPr>
        <w:t>du</w:t>
      </w:r>
      <w:r>
        <w:rPr>
          <w:color w:val="231F20"/>
          <w:spacing w:val="-9"/>
          <w:sz w:val="24"/>
        </w:rPr>
        <w:t> </w:t>
      </w:r>
      <w:r>
        <w:rPr>
          <w:color w:val="231F20"/>
          <w:spacing w:val="-2"/>
          <w:sz w:val="24"/>
        </w:rPr>
        <w:t>Conseil </w:t>
      </w:r>
      <w:r>
        <w:rPr>
          <w:color w:val="231F20"/>
          <w:sz w:val="24"/>
        </w:rPr>
        <w:t>de</w:t>
      </w:r>
      <w:r>
        <w:rPr>
          <w:color w:val="231F20"/>
          <w:spacing w:val="75"/>
          <w:sz w:val="24"/>
        </w:rPr>
        <w:t> </w:t>
      </w:r>
      <w:r>
        <w:rPr>
          <w:color w:val="231F20"/>
          <w:sz w:val="24"/>
        </w:rPr>
        <w:t>l’Entente</w:t>
      </w:r>
      <w:r>
        <w:rPr>
          <w:color w:val="231F20"/>
          <w:spacing w:val="-12"/>
          <w:sz w:val="24"/>
        </w:rPr>
        <w:t> </w:t>
      </w:r>
      <w:r>
        <w:rPr>
          <w:color w:val="231F20"/>
          <w:sz w:val="24"/>
        </w:rPr>
        <w:t>:</w:t>
      </w:r>
      <w:r>
        <w:rPr>
          <w:color w:val="231F20"/>
          <w:spacing w:val="74"/>
          <w:sz w:val="24"/>
        </w:rPr>
        <w:t> </w:t>
      </w:r>
      <w:r>
        <w:rPr>
          <w:color w:val="231F20"/>
          <w:sz w:val="24"/>
        </w:rPr>
        <w:t>Côte</w:t>
      </w:r>
      <w:r>
        <w:rPr>
          <w:color w:val="231F20"/>
          <w:spacing w:val="73"/>
          <w:sz w:val="24"/>
        </w:rPr>
        <w:t> </w:t>
      </w:r>
      <w:r>
        <w:rPr>
          <w:color w:val="231F20"/>
          <w:sz w:val="24"/>
        </w:rPr>
        <w:t>d’Ivoire,</w:t>
      </w:r>
      <w:r>
        <w:rPr>
          <w:color w:val="231F20"/>
          <w:spacing w:val="72"/>
          <w:sz w:val="24"/>
        </w:rPr>
        <w:t> </w:t>
      </w:r>
      <w:r>
        <w:rPr>
          <w:color w:val="231F20"/>
          <w:sz w:val="24"/>
        </w:rPr>
        <w:t>Dahomey,</w:t>
      </w:r>
      <w:r>
        <w:rPr>
          <w:color w:val="231F20"/>
          <w:spacing w:val="76"/>
          <w:sz w:val="24"/>
        </w:rPr>
        <w:t> </w:t>
      </w:r>
      <w:r>
        <w:rPr>
          <w:color w:val="231F20"/>
          <w:sz w:val="24"/>
        </w:rPr>
        <w:t>Haute-Volta</w:t>
      </w:r>
      <w:r>
        <w:rPr>
          <w:color w:val="231F20"/>
          <w:spacing w:val="72"/>
          <w:sz w:val="24"/>
        </w:rPr>
        <w:t> </w:t>
      </w:r>
      <w:r>
        <w:rPr>
          <w:color w:val="231F20"/>
          <w:sz w:val="24"/>
        </w:rPr>
        <w:t>et</w:t>
      </w:r>
      <w:r>
        <w:rPr>
          <w:color w:val="231F20"/>
          <w:spacing w:val="74"/>
          <w:sz w:val="24"/>
        </w:rPr>
        <w:t> </w:t>
      </w:r>
      <w:r>
        <w:rPr>
          <w:color w:val="231F20"/>
          <w:sz w:val="24"/>
        </w:rPr>
        <w:t>Niger.</w:t>
      </w:r>
      <w:r>
        <w:rPr>
          <w:color w:val="231F20"/>
          <w:spacing w:val="73"/>
          <w:sz w:val="24"/>
        </w:rPr>
        <w:t> </w:t>
      </w:r>
      <w:r>
        <w:rPr>
          <w:color w:val="231F20"/>
          <w:spacing w:val="-5"/>
          <w:sz w:val="24"/>
        </w:rPr>
        <w:t>Le</w:t>
      </w:r>
    </w:p>
    <w:p>
      <w:pPr>
        <w:pStyle w:val="BodyText"/>
        <w:ind w:left="0"/>
        <w:jc w:val="left"/>
        <w:rPr>
          <w:sz w:val="20"/>
        </w:rPr>
      </w:pPr>
    </w:p>
    <w:p>
      <w:pPr>
        <w:pStyle w:val="BodyText"/>
        <w:spacing w:before="115"/>
        <w:ind w:left="0"/>
        <w:jc w:val="left"/>
        <w:rPr>
          <w:sz w:val="20"/>
        </w:rPr>
      </w:pPr>
      <w:r>
        <w:rPr/>
        <mc:AlternateContent>
          <mc:Choice Requires="wps">
            <w:drawing>
              <wp:anchor distT="0" distB="0" distL="0" distR="0" allowOverlap="1" layoutInCell="1" locked="0" behindDoc="1" simplePos="0" relativeHeight="487632384">
                <wp:simplePos x="0" y="0"/>
                <wp:positionH relativeFrom="page">
                  <wp:posOffset>629907</wp:posOffset>
                </wp:positionH>
                <wp:positionV relativeFrom="paragraph">
                  <wp:posOffset>234757</wp:posOffset>
                </wp:positionV>
                <wp:extent cx="1829435" cy="9525"/>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8.484844pt;width:144.020pt;height:.72pt;mso-position-horizontal-relative:page;mso-position-vertical-relative:paragraph;z-index:-15684096;mso-wrap-distance-left:0;mso-wrap-distance-right:0" id="docshape112"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146</w:t>
      </w:r>
      <w:r>
        <w:rPr>
          <w:color w:val="231F20"/>
          <w:spacing w:val="-4"/>
          <w:sz w:val="20"/>
          <w:vertAlign w:val="baseline"/>
        </w:rPr>
        <w:t>Résultats</w:t>
      </w:r>
      <w:r>
        <w:rPr>
          <w:color w:val="231F20"/>
          <w:spacing w:val="-3"/>
          <w:sz w:val="20"/>
          <w:vertAlign w:val="baseline"/>
        </w:rPr>
        <w:t> </w:t>
      </w:r>
      <w:r>
        <w:rPr>
          <w:color w:val="231F20"/>
          <w:spacing w:val="-4"/>
          <w:sz w:val="20"/>
          <w:vertAlign w:val="baseline"/>
        </w:rPr>
        <w:t>préliminaires</w:t>
      </w:r>
      <w:r>
        <w:rPr>
          <w:color w:val="231F20"/>
          <w:spacing w:val="-3"/>
          <w:sz w:val="20"/>
          <w:vertAlign w:val="baseline"/>
        </w:rPr>
        <w:t> </w:t>
      </w:r>
      <w:r>
        <w:rPr>
          <w:color w:val="231F20"/>
          <w:spacing w:val="-4"/>
          <w:sz w:val="20"/>
          <w:vertAlign w:val="baseline"/>
        </w:rPr>
        <w:t>du</w:t>
      </w:r>
      <w:r>
        <w:rPr>
          <w:color w:val="231F20"/>
          <w:sz w:val="20"/>
          <w:vertAlign w:val="baseline"/>
        </w:rPr>
        <w:t> </w:t>
      </w:r>
      <w:r>
        <w:rPr>
          <w:color w:val="231F20"/>
          <w:spacing w:val="-4"/>
          <w:sz w:val="20"/>
          <w:vertAlign w:val="baseline"/>
        </w:rPr>
        <w:t>recensement</w:t>
      </w:r>
      <w:r>
        <w:rPr>
          <w:color w:val="231F20"/>
          <w:spacing w:val="-3"/>
          <w:sz w:val="20"/>
          <w:vertAlign w:val="baseline"/>
        </w:rPr>
        <w:t> </w:t>
      </w:r>
      <w:r>
        <w:rPr>
          <w:color w:val="231F20"/>
          <w:spacing w:val="-4"/>
          <w:sz w:val="20"/>
          <w:vertAlign w:val="baseline"/>
        </w:rPr>
        <w:t>général</w:t>
      </w:r>
      <w:r>
        <w:rPr>
          <w:color w:val="231F20"/>
          <w:spacing w:val="-3"/>
          <w:sz w:val="20"/>
          <w:vertAlign w:val="baseline"/>
        </w:rPr>
        <w:t> </w:t>
      </w:r>
      <w:r>
        <w:rPr>
          <w:color w:val="231F20"/>
          <w:spacing w:val="-4"/>
          <w:sz w:val="20"/>
          <w:vertAlign w:val="baseline"/>
        </w:rPr>
        <w:t>de</w:t>
      </w:r>
      <w:r>
        <w:rPr>
          <w:color w:val="231F20"/>
          <w:spacing w:val="-1"/>
          <w:sz w:val="20"/>
          <w:vertAlign w:val="baseline"/>
        </w:rPr>
        <w:t> </w:t>
      </w:r>
      <w:r>
        <w:rPr>
          <w:color w:val="231F20"/>
          <w:spacing w:val="-4"/>
          <w:sz w:val="20"/>
          <w:vertAlign w:val="baseline"/>
        </w:rPr>
        <w:t>la</w:t>
      </w:r>
      <w:r>
        <w:rPr>
          <w:color w:val="231F20"/>
          <w:spacing w:val="-2"/>
          <w:sz w:val="20"/>
          <w:vertAlign w:val="baseline"/>
        </w:rPr>
        <w:t> </w:t>
      </w:r>
      <w:r>
        <w:rPr>
          <w:color w:val="231F20"/>
          <w:spacing w:val="-4"/>
          <w:sz w:val="20"/>
          <w:vertAlign w:val="baseline"/>
        </w:rPr>
        <w:t>population.</w:t>
      </w:r>
      <w:r>
        <w:rPr>
          <w:color w:val="231F20"/>
          <w:spacing w:val="-2"/>
          <w:sz w:val="20"/>
          <w:vertAlign w:val="baseline"/>
        </w:rPr>
        <w:t> </w:t>
      </w:r>
      <w:r>
        <w:rPr>
          <w:color w:val="231F20"/>
          <w:spacing w:val="-4"/>
          <w:sz w:val="20"/>
          <w:vertAlign w:val="baseline"/>
        </w:rPr>
        <w:t>2021.</w:t>
      </w:r>
    </w:p>
    <w:p>
      <w:pPr>
        <w:spacing w:after="0"/>
        <w:jc w:val="left"/>
        <w:rPr>
          <w:sz w:val="20"/>
        </w:rPr>
        <w:sectPr>
          <w:pgSz w:w="8790" w:h="13610"/>
          <w:pgMar w:header="0" w:footer="802" w:top="1060" w:bottom="1000" w:left="880" w:right="880"/>
        </w:sectPr>
      </w:pPr>
    </w:p>
    <w:p>
      <w:pPr>
        <w:pStyle w:val="BodyText"/>
        <w:spacing w:before="66"/>
      </w:pPr>
      <w:r>
        <w:rPr>
          <w:color w:val="231F20"/>
        </w:rPr>
        <w:t>Parlement</w:t>
      </w:r>
      <w:r>
        <w:rPr>
          <w:color w:val="231F20"/>
          <w:spacing w:val="-15"/>
        </w:rPr>
        <w:t> </w:t>
      </w:r>
      <w:r>
        <w:rPr>
          <w:color w:val="231F20"/>
        </w:rPr>
        <w:t>refuse</w:t>
      </w:r>
      <w:r>
        <w:rPr>
          <w:color w:val="231F20"/>
          <w:spacing w:val="-15"/>
        </w:rPr>
        <w:t> </w:t>
      </w:r>
      <w:r>
        <w:rPr>
          <w:color w:val="231F20"/>
        </w:rPr>
        <w:t>mais</w:t>
      </w:r>
      <w:r>
        <w:rPr>
          <w:color w:val="231F20"/>
          <w:spacing w:val="-15"/>
        </w:rPr>
        <w:t> </w:t>
      </w:r>
      <w:r>
        <w:rPr>
          <w:color w:val="231F20"/>
        </w:rPr>
        <w:t>rien</w:t>
      </w:r>
      <w:r>
        <w:rPr>
          <w:color w:val="231F20"/>
          <w:spacing w:val="-15"/>
        </w:rPr>
        <w:t> </w:t>
      </w:r>
      <w:r>
        <w:rPr>
          <w:color w:val="231F20"/>
        </w:rPr>
        <w:t>n’est</w:t>
      </w:r>
      <w:r>
        <w:rPr>
          <w:color w:val="231F20"/>
          <w:spacing w:val="-15"/>
        </w:rPr>
        <w:t> </w:t>
      </w:r>
      <w:r>
        <w:rPr>
          <w:color w:val="231F20"/>
        </w:rPr>
        <w:t>fait</w:t>
      </w:r>
      <w:r>
        <w:rPr>
          <w:color w:val="231F20"/>
          <w:spacing w:val="-15"/>
        </w:rPr>
        <w:t> </w:t>
      </w:r>
      <w:r>
        <w:rPr>
          <w:color w:val="231F20"/>
        </w:rPr>
        <w:t>pour</w:t>
      </w:r>
      <w:r>
        <w:rPr>
          <w:color w:val="231F20"/>
          <w:spacing w:val="-15"/>
        </w:rPr>
        <w:t> </w:t>
      </w:r>
      <w:r>
        <w:rPr>
          <w:color w:val="231F20"/>
        </w:rPr>
        <w:t>éclairer</w:t>
      </w:r>
      <w:r>
        <w:rPr>
          <w:color w:val="231F20"/>
          <w:spacing w:val="-15"/>
        </w:rPr>
        <w:t> </w:t>
      </w:r>
      <w:r>
        <w:rPr>
          <w:color w:val="231F20"/>
        </w:rPr>
        <w:t>la</w:t>
      </w:r>
      <w:r>
        <w:rPr>
          <w:color w:val="231F20"/>
          <w:spacing w:val="-15"/>
        </w:rPr>
        <w:t> </w:t>
      </w:r>
      <w:r>
        <w:rPr>
          <w:color w:val="231F20"/>
        </w:rPr>
        <w:t>politique</w:t>
      </w:r>
      <w:r>
        <w:rPr>
          <w:color w:val="231F20"/>
          <w:spacing w:val="-15"/>
        </w:rPr>
        <w:t> </w:t>
      </w:r>
      <w:r>
        <w:rPr>
          <w:color w:val="231F20"/>
          <w:spacing w:val="-2"/>
        </w:rPr>
        <w:t>migratoire</w:t>
      </w:r>
    </w:p>
    <w:p>
      <w:pPr>
        <w:pStyle w:val="BodyText"/>
      </w:pPr>
      <w:r>
        <w:rPr>
          <w:color w:val="231F20"/>
        </w:rPr>
        <w:t>du</w:t>
      </w:r>
      <w:r>
        <w:rPr>
          <w:color w:val="231F20"/>
          <w:spacing w:val="-8"/>
        </w:rPr>
        <w:t> </w:t>
      </w:r>
      <w:r>
        <w:rPr>
          <w:color w:val="231F20"/>
          <w:spacing w:val="-2"/>
        </w:rPr>
        <w:t>pays.</w:t>
      </w:r>
    </w:p>
    <w:p>
      <w:pPr>
        <w:pStyle w:val="BodyText"/>
        <w:spacing w:before="240"/>
        <w:ind w:right="106" w:firstLine="283"/>
      </w:pPr>
      <w:r>
        <w:rPr>
          <w:color w:val="231F20"/>
        </w:rPr>
        <w:t>Les</w:t>
      </w:r>
      <w:r>
        <w:rPr>
          <w:color w:val="231F20"/>
          <w:spacing w:val="-12"/>
        </w:rPr>
        <w:t> </w:t>
      </w:r>
      <w:r>
        <w:rPr>
          <w:color w:val="231F20"/>
        </w:rPr>
        <w:t>ressortissants</w:t>
      </w:r>
      <w:r>
        <w:rPr>
          <w:color w:val="231F20"/>
          <w:spacing w:val="-14"/>
        </w:rPr>
        <w:t> </w:t>
      </w:r>
      <w:r>
        <w:rPr>
          <w:color w:val="231F20"/>
        </w:rPr>
        <w:t>de</w:t>
      </w:r>
      <w:r>
        <w:rPr>
          <w:color w:val="231F20"/>
          <w:spacing w:val="-12"/>
        </w:rPr>
        <w:t> </w:t>
      </w:r>
      <w:r>
        <w:rPr>
          <w:color w:val="231F20"/>
        </w:rPr>
        <w:t>Haute-Volta</w:t>
      </w:r>
      <w:r>
        <w:rPr>
          <w:color w:val="231F20"/>
          <w:spacing w:val="-14"/>
        </w:rPr>
        <w:t> </w:t>
      </w:r>
      <w:r>
        <w:rPr>
          <w:color w:val="231F20"/>
        </w:rPr>
        <w:t>(ex</w:t>
      </w:r>
      <w:r>
        <w:rPr>
          <w:color w:val="231F20"/>
          <w:spacing w:val="-14"/>
        </w:rPr>
        <w:t> </w:t>
      </w:r>
      <w:r>
        <w:rPr>
          <w:color w:val="231F20"/>
        </w:rPr>
        <w:t>Burkina-Faso),</w:t>
      </w:r>
      <w:r>
        <w:rPr>
          <w:color w:val="231F20"/>
          <w:spacing w:val="-12"/>
        </w:rPr>
        <w:t> </w:t>
      </w:r>
      <w:r>
        <w:rPr>
          <w:color w:val="231F20"/>
        </w:rPr>
        <w:t>Mali</w:t>
      </w:r>
      <w:r>
        <w:rPr>
          <w:color w:val="231F20"/>
          <w:spacing w:val="-14"/>
        </w:rPr>
        <w:t> </w:t>
      </w:r>
      <w:r>
        <w:rPr>
          <w:color w:val="231F20"/>
        </w:rPr>
        <w:t>et</w:t>
      </w:r>
      <w:r>
        <w:rPr>
          <w:color w:val="231F20"/>
          <w:spacing w:val="-14"/>
        </w:rPr>
        <w:t> </w:t>
      </w:r>
      <w:r>
        <w:rPr>
          <w:color w:val="231F20"/>
        </w:rPr>
        <w:t>Guinée représentent au début des années 1980, plus de 80</w:t>
      </w:r>
      <w:r>
        <w:rPr>
          <w:color w:val="231F20"/>
          <w:spacing w:val="-15"/>
        </w:rPr>
        <w:t> </w:t>
      </w:r>
      <w:r>
        <w:rPr>
          <w:color w:val="231F20"/>
        </w:rPr>
        <w:t>% des étrangers. En 1988, un individu sur trois est étranger.</w:t>
      </w:r>
    </w:p>
    <w:p>
      <w:pPr>
        <w:pStyle w:val="BodyText"/>
        <w:spacing w:before="120"/>
        <w:ind w:right="102" w:firstLine="283"/>
      </w:pPr>
      <w:r>
        <w:rPr>
          <w:color w:val="231F20"/>
          <w:spacing w:val="-4"/>
        </w:rPr>
        <w:t>En</w:t>
      </w:r>
      <w:r>
        <w:rPr>
          <w:color w:val="231F20"/>
          <w:spacing w:val="-9"/>
        </w:rPr>
        <w:t> </w:t>
      </w:r>
      <w:r>
        <w:rPr>
          <w:color w:val="231F20"/>
          <w:spacing w:val="-4"/>
        </w:rPr>
        <w:t>ouvrant</w:t>
      </w:r>
      <w:r>
        <w:rPr>
          <w:color w:val="231F20"/>
          <w:spacing w:val="-8"/>
        </w:rPr>
        <w:t> </w:t>
      </w:r>
      <w:r>
        <w:rPr>
          <w:color w:val="231F20"/>
          <w:spacing w:val="-4"/>
        </w:rPr>
        <w:t>largement</w:t>
      </w:r>
      <w:r>
        <w:rPr>
          <w:color w:val="231F20"/>
          <w:spacing w:val="-11"/>
        </w:rPr>
        <w:t> </w:t>
      </w:r>
      <w:r>
        <w:rPr>
          <w:color w:val="231F20"/>
          <w:spacing w:val="-4"/>
        </w:rPr>
        <w:t>ses</w:t>
      </w:r>
      <w:r>
        <w:rPr>
          <w:color w:val="231F20"/>
          <w:spacing w:val="-11"/>
        </w:rPr>
        <w:t> </w:t>
      </w:r>
      <w:r>
        <w:rPr>
          <w:color w:val="231F20"/>
          <w:spacing w:val="-4"/>
        </w:rPr>
        <w:t>frontières</w:t>
      </w:r>
      <w:r>
        <w:rPr>
          <w:color w:val="231F20"/>
          <w:spacing w:val="-8"/>
        </w:rPr>
        <w:t> </w:t>
      </w:r>
      <w:r>
        <w:rPr>
          <w:color w:val="231F20"/>
          <w:spacing w:val="-4"/>
        </w:rPr>
        <w:t>à</w:t>
      </w:r>
      <w:r>
        <w:rPr>
          <w:color w:val="231F20"/>
          <w:spacing w:val="-11"/>
        </w:rPr>
        <w:t> </w:t>
      </w:r>
      <w:r>
        <w:rPr>
          <w:color w:val="231F20"/>
          <w:spacing w:val="-4"/>
        </w:rPr>
        <w:t>ses</w:t>
      </w:r>
      <w:r>
        <w:rPr>
          <w:color w:val="231F20"/>
          <w:spacing w:val="-8"/>
        </w:rPr>
        <w:t> </w:t>
      </w:r>
      <w:r>
        <w:rPr>
          <w:color w:val="231F20"/>
          <w:spacing w:val="-4"/>
        </w:rPr>
        <w:t>voisins,</w:t>
      </w:r>
      <w:r>
        <w:rPr>
          <w:color w:val="231F20"/>
          <w:spacing w:val="-8"/>
        </w:rPr>
        <w:t> </w:t>
      </w:r>
      <w:r>
        <w:rPr>
          <w:color w:val="231F20"/>
          <w:spacing w:val="-4"/>
        </w:rPr>
        <w:t>la</w:t>
      </w:r>
      <w:r>
        <w:rPr>
          <w:color w:val="231F20"/>
          <w:spacing w:val="-11"/>
        </w:rPr>
        <w:t> </w:t>
      </w:r>
      <w:r>
        <w:rPr>
          <w:color w:val="231F20"/>
          <w:spacing w:val="-4"/>
        </w:rPr>
        <w:t>Côte</w:t>
      </w:r>
      <w:r>
        <w:rPr>
          <w:color w:val="231F20"/>
          <w:spacing w:val="-8"/>
        </w:rPr>
        <w:t> </w:t>
      </w:r>
      <w:r>
        <w:rPr>
          <w:color w:val="231F20"/>
          <w:spacing w:val="-4"/>
        </w:rPr>
        <w:t>d’Ivoire</w:t>
      </w:r>
      <w:r>
        <w:rPr>
          <w:color w:val="231F20"/>
          <w:spacing w:val="-8"/>
        </w:rPr>
        <w:t> </w:t>
      </w:r>
      <w:r>
        <w:rPr>
          <w:color w:val="231F20"/>
          <w:spacing w:val="-4"/>
        </w:rPr>
        <w:t>avait </w:t>
      </w:r>
      <w:r>
        <w:rPr>
          <w:color w:val="231F20"/>
        </w:rPr>
        <w:t>favorisé l’entrée d’une main d’œuvre abondante et laborieuse mais également</w:t>
      </w:r>
      <w:r>
        <w:rPr>
          <w:color w:val="231F20"/>
          <w:spacing w:val="-6"/>
        </w:rPr>
        <w:t> </w:t>
      </w:r>
      <w:r>
        <w:rPr>
          <w:color w:val="231F20"/>
        </w:rPr>
        <w:t>celle</w:t>
      </w:r>
      <w:r>
        <w:rPr>
          <w:color w:val="231F20"/>
          <w:spacing w:val="-7"/>
        </w:rPr>
        <w:t> </w:t>
      </w:r>
      <w:r>
        <w:rPr>
          <w:color w:val="231F20"/>
        </w:rPr>
        <w:t>d’individus</w:t>
      </w:r>
      <w:r>
        <w:rPr>
          <w:color w:val="231F20"/>
          <w:spacing w:val="-7"/>
        </w:rPr>
        <w:t> </w:t>
      </w:r>
      <w:r>
        <w:rPr>
          <w:color w:val="231F20"/>
        </w:rPr>
        <w:t>peu</w:t>
      </w:r>
      <w:r>
        <w:rPr>
          <w:color w:val="231F20"/>
          <w:spacing w:val="-7"/>
        </w:rPr>
        <w:t> </w:t>
      </w:r>
      <w:r>
        <w:rPr>
          <w:color w:val="231F20"/>
        </w:rPr>
        <w:t>recommandables</w:t>
      </w:r>
      <w:r>
        <w:rPr>
          <w:color w:val="231F20"/>
          <w:spacing w:val="-6"/>
        </w:rPr>
        <w:t> </w:t>
      </w:r>
      <w:r>
        <w:rPr>
          <w:color w:val="231F20"/>
        </w:rPr>
        <w:t>qui</w:t>
      </w:r>
      <w:r>
        <w:rPr>
          <w:color w:val="231F20"/>
          <w:spacing w:val="-6"/>
        </w:rPr>
        <w:t> </w:t>
      </w:r>
      <w:r>
        <w:rPr>
          <w:color w:val="231F20"/>
        </w:rPr>
        <w:t>font</w:t>
      </w:r>
      <w:r>
        <w:rPr>
          <w:color w:val="231F20"/>
          <w:spacing w:val="-6"/>
        </w:rPr>
        <w:t> </w:t>
      </w:r>
      <w:r>
        <w:rPr>
          <w:color w:val="231F20"/>
        </w:rPr>
        <w:t>d’Abidjan</w:t>
      </w:r>
      <w:r>
        <w:rPr>
          <w:color w:val="231F20"/>
          <w:spacing w:val="-6"/>
        </w:rPr>
        <w:t> </w:t>
      </w:r>
      <w:r>
        <w:rPr>
          <w:color w:val="231F20"/>
        </w:rPr>
        <w:t>et </w:t>
      </w:r>
      <w:r>
        <w:rPr>
          <w:color w:val="231F20"/>
          <w:spacing w:val="-2"/>
        </w:rPr>
        <w:t>sur</w:t>
      </w:r>
      <w:r>
        <w:rPr>
          <w:color w:val="231F20"/>
          <w:spacing w:val="-13"/>
        </w:rPr>
        <w:t> </w:t>
      </w:r>
      <w:r>
        <w:rPr>
          <w:color w:val="231F20"/>
          <w:spacing w:val="-2"/>
        </w:rPr>
        <w:t>les</w:t>
      </w:r>
      <w:r>
        <w:rPr>
          <w:color w:val="231F20"/>
          <w:spacing w:val="-13"/>
        </w:rPr>
        <w:t> </w:t>
      </w:r>
      <w:r>
        <w:rPr>
          <w:color w:val="231F20"/>
          <w:spacing w:val="-2"/>
        </w:rPr>
        <w:t>routes</w:t>
      </w:r>
      <w:r>
        <w:rPr>
          <w:color w:val="231F20"/>
          <w:spacing w:val="-13"/>
        </w:rPr>
        <w:t> </w:t>
      </w:r>
      <w:r>
        <w:rPr>
          <w:color w:val="231F20"/>
          <w:spacing w:val="-2"/>
        </w:rPr>
        <w:t>de</w:t>
      </w:r>
      <w:r>
        <w:rPr>
          <w:color w:val="231F20"/>
          <w:spacing w:val="-13"/>
        </w:rPr>
        <w:t> </w:t>
      </w:r>
      <w:r>
        <w:rPr>
          <w:color w:val="231F20"/>
          <w:spacing w:val="-2"/>
        </w:rPr>
        <w:t>l’intérieur,</w:t>
      </w:r>
      <w:r>
        <w:rPr>
          <w:color w:val="231F20"/>
          <w:spacing w:val="-13"/>
        </w:rPr>
        <w:t> </w:t>
      </w:r>
      <w:r>
        <w:rPr>
          <w:color w:val="231F20"/>
          <w:spacing w:val="-2"/>
        </w:rPr>
        <w:t>leur</w:t>
      </w:r>
      <w:r>
        <w:rPr>
          <w:color w:val="231F20"/>
          <w:spacing w:val="-13"/>
        </w:rPr>
        <w:t> </w:t>
      </w:r>
      <w:r>
        <w:rPr>
          <w:color w:val="231F20"/>
          <w:spacing w:val="-2"/>
        </w:rPr>
        <w:t>territoire</w:t>
      </w:r>
      <w:r>
        <w:rPr>
          <w:color w:val="231F20"/>
          <w:spacing w:val="-13"/>
        </w:rPr>
        <w:t> </w:t>
      </w:r>
      <w:r>
        <w:rPr>
          <w:color w:val="231F20"/>
          <w:spacing w:val="-2"/>
        </w:rPr>
        <w:t>de</w:t>
      </w:r>
      <w:r>
        <w:rPr>
          <w:color w:val="231F20"/>
          <w:spacing w:val="-13"/>
        </w:rPr>
        <w:t> </w:t>
      </w:r>
      <w:r>
        <w:rPr>
          <w:color w:val="231F20"/>
          <w:spacing w:val="-2"/>
        </w:rPr>
        <w:t>chasse.</w:t>
      </w:r>
      <w:r>
        <w:rPr>
          <w:color w:val="231F20"/>
          <w:spacing w:val="-13"/>
        </w:rPr>
        <w:t> </w:t>
      </w:r>
      <w:r>
        <w:rPr>
          <w:color w:val="231F20"/>
          <w:spacing w:val="-2"/>
        </w:rPr>
        <w:t>Venus</w:t>
      </w:r>
      <w:r>
        <w:rPr>
          <w:color w:val="231F20"/>
          <w:spacing w:val="-13"/>
        </w:rPr>
        <w:t> </w:t>
      </w:r>
      <w:r>
        <w:rPr>
          <w:color w:val="231F20"/>
          <w:spacing w:val="-2"/>
        </w:rPr>
        <w:t>de</w:t>
      </w:r>
      <w:r>
        <w:rPr>
          <w:color w:val="231F20"/>
          <w:spacing w:val="-13"/>
        </w:rPr>
        <w:t> </w:t>
      </w:r>
      <w:r>
        <w:rPr>
          <w:color w:val="231F20"/>
          <w:spacing w:val="-2"/>
        </w:rPr>
        <w:t>Guinée,</w:t>
      </w:r>
      <w:r>
        <w:rPr>
          <w:color w:val="231F20"/>
          <w:spacing w:val="-13"/>
        </w:rPr>
        <w:t> </w:t>
      </w:r>
      <w:r>
        <w:rPr>
          <w:color w:val="231F20"/>
          <w:spacing w:val="-2"/>
        </w:rPr>
        <w:t>du </w:t>
      </w:r>
      <w:r>
        <w:rPr>
          <w:color w:val="231F20"/>
          <w:spacing w:val="-4"/>
        </w:rPr>
        <w:t>Mali</w:t>
      </w:r>
      <w:r>
        <w:rPr>
          <w:color w:val="231F20"/>
          <w:spacing w:val="-11"/>
        </w:rPr>
        <w:t> </w:t>
      </w:r>
      <w:r>
        <w:rPr>
          <w:color w:val="231F20"/>
          <w:spacing w:val="-4"/>
        </w:rPr>
        <w:t>et</w:t>
      </w:r>
      <w:r>
        <w:rPr>
          <w:color w:val="231F20"/>
          <w:spacing w:val="-9"/>
        </w:rPr>
        <w:t> </w:t>
      </w:r>
      <w:r>
        <w:rPr>
          <w:color w:val="231F20"/>
          <w:spacing w:val="-4"/>
        </w:rPr>
        <w:t>du</w:t>
      </w:r>
      <w:r>
        <w:rPr>
          <w:color w:val="231F20"/>
          <w:spacing w:val="-11"/>
        </w:rPr>
        <w:t> </w:t>
      </w:r>
      <w:r>
        <w:rPr>
          <w:color w:val="231F20"/>
          <w:spacing w:val="-4"/>
        </w:rPr>
        <w:t>Burkina</w:t>
      </w:r>
      <w:r>
        <w:rPr>
          <w:color w:val="231F20"/>
          <w:spacing w:val="-10"/>
        </w:rPr>
        <w:t> </w:t>
      </w:r>
      <w:r>
        <w:rPr>
          <w:color w:val="231F20"/>
          <w:spacing w:val="-4"/>
        </w:rPr>
        <w:t>Faso,</w:t>
      </w:r>
      <w:r>
        <w:rPr>
          <w:color w:val="231F20"/>
          <w:spacing w:val="-11"/>
        </w:rPr>
        <w:t> </w:t>
      </w:r>
      <w:r>
        <w:rPr>
          <w:color w:val="231F20"/>
          <w:spacing w:val="-4"/>
        </w:rPr>
        <w:t>ils</w:t>
      </w:r>
      <w:r>
        <w:rPr>
          <w:color w:val="231F20"/>
          <w:spacing w:val="-9"/>
        </w:rPr>
        <w:t> </w:t>
      </w:r>
      <w:r>
        <w:rPr>
          <w:color w:val="231F20"/>
          <w:spacing w:val="-4"/>
        </w:rPr>
        <w:t>se</w:t>
      </w:r>
      <w:r>
        <w:rPr>
          <w:color w:val="231F20"/>
          <w:spacing w:val="-10"/>
        </w:rPr>
        <w:t> </w:t>
      </w:r>
      <w:r>
        <w:rPr>
          <w:color w:val="231F20"/>
          <w:spacing w:val="-4"/>
        </w:rPr>
        <w:t>replient,</w:t>
      </w:r>
      <w:r>
        <w:rPr>
          <w:color w:val="231F20"/>
          <w:spacing w:val="-9"/>
        </w:rPr>
        <w:t> </w:t>
      </w:r>
      <w:r>
        <w:rPr>
          <w:color w:val="231F20"/>
          <w:spacing w:val="-4"/>
        </w:rPr>
        <w:t>après</w:t>
      </w:r>
      <w:r>
        <w:rPr>
          <w:color w:val="231F20"/>
          <w:spacing w:val="-11"/>
        </w:rPr>
        <w:t> </w:t>
      </w:r>
      <w:r>
        <w:rPr>
          <w:color w:val="231F20"/>
          <w:spacing w:val="-4"/>
        </w:rPr>
        <w:t>leurs</w:t>
      </w:r>
      <w:r>
        <w:rPr>
          <w:color w:val="231F20"/>
          <w:spacing w:val="-9"/>
        </w:rPr>
        <w:t> </w:t>
      </w:r>
      <w:r>
        <w:rPr>
          <w:color w:val="231F20"/>
          <w:spacing w:val="-4"/>
        </w:rPr>
        <w:t>forfaits</w:t>
      </w:r>
      <w:r>
        <w:rPr>
          <w:color w:val="231F20"/>
          <w:spacing w:val="-11"/>
        </w:rPr>
        <w:t> </w:t>
      </w:r>
      <w:r>
        <w:rPr>
          <w:color w:val="231F20"/>
          <w:spacing w:val="-4"/>
        </w:rPr>
        <w:t>dans</w:t>
      </w:r>
      <w:r>
        <w:rPr>
          <w:color w:val="231F20"/>
          <w:spacing w:val="-11"/>
        </w:rPr>
        <w:t> </w:t>
      </w:r>
      <w:r>
        <w:rPr>
          <w:color w:val="231F20"/>
          <w:spacing w:val="-4"/>
        </w:rPr>
        <w:t>leurs</w:t>
      </w:r>
      <w:r>
        <w:rPr>
          <w:color w:val="231F20"/>
          <w:spacing w:val="-11"/>
        </w:rPr>
        <w:t> </w:t>
      </w:r>
      <w:r>
        <w:rPr>
          <w:color w:val="231F20"/>
          <w:spacing w:val="-4"/>
        </w:rPr>
        <w:t>pays </w:t>
      </w:r>
      <w:r>
        <w:rPr>
          <w:color w:val="231F20"/>
        </w:rPr>
        <w:t>respectifs avec leurs butins. Dans les années 90, ces jeunes ne se </w:t>
      </w:r>
      <w:r>
        <w:rPr>
          <w:color w:val="231F20"/>
          <w:spacing w:val="-4"/>
        </w:rPr>
        <w:t>contentent</w:t>
      </w:r>
      <w:r>
        <w:rPr>
          <w:color w:val="231F20"/>
          <w:spacing w:val="-6"/>
        </w:rPr>
        <w:t> </w:t>
      </w:r>
      <w:r>
        <w:rPr>
          <w:color w:val="231F20"/>
          <w:spacing w:val="-4"/>
        </w:rPr>
        <w:t>plus</w:t>
      </w:r>
      <w:r>
        <w:rPr>
          <w:color w:val="231F20"/>
          <w:spacing w:val="-9"/>
        </w:rPr>
        <w:t> </w:t>
      </w:r>
      <w:r>
        <w:rPr>
          <w:color w:val="231F20"/>
          <w:spacing w:val="-4"/>
        </w:rPr>
        <w:t>de</w:t>
      </w:r>
      <w:r>
        <w:rPr>
          <w:color w:val="231F20"/>
          <w:spacing w:val="-7"/>
        </w:rPr>
        <w:t> </w:t>
      </w:r>
      <w:r>
        <w:rPr>
          <w:color w:val="231F20"/>
          <w:spacing w:val="-4"/>
        </w:rPr>
        <w:t>voler.</w:t>
      </w:r>
      <w:r>
        <w:rPr>
          <w:color w:val="231F20"/>
          <w:spacing w:val="-6"/>
        </w:rPr>
        <w:t> </w:t>
      </w:r>
      <w:r>
        <w:rPr>
          <w:color w:val="231F20"/>
          <w:spacing w:val="-4"/>
        </w:rPr>
        <w:t>Ils</w:t>
      </w:r>
      <w:r>
        <w:rPr>
          <w:color w:val="231F20"/>
          <w:spacing w:val="-7"/>
        </w:rPr>
        <w:t> </w:t>
      </w:r>
      <w:r>
        <w:rPr>
          <w:color w:val="231F20"/>
          <w:spacing w:val="-4"/>
        </w:rPr>
        <w:t>prospèrent</w:t>
      </w:r>
      <w:r>
        <w:rPr>
          <w:color w:val="231F20"/>
          <w:spacing w:val="-7"/>
        </w:rPr>
        <w:t> </w:t>
      </w:r>
      <w:r>
        <w:rPr>
          <w:color w:val="231F20"/>
          <w:spacing w:val="-4"/>
        </w:rPr>
        <w:t>avec</w:t>
      </w:r>
      <w:r>
        <w:rPr>
          <w:color w:val="231F20"/>
          <w:spacing w:val="-7"/>
        </w:rPr>
        <w:t> </w:t>
      </w:r>
      <w:r>
        <w:rPr>
          <w:color w:val="231F20"/>
          <w:spacing w:val="-4"/>
        </w:rPr>
        <w:t>des</w:t>
      </w:r>
      <w:r>
        <w:rPr>
          <w:color w:val="231F20"/>
          <w:spacing w:val="-7"/>
        </w:rPr>
        <w:t> </w:t>
      </w:r>
      <w:r>
        <w:rPr>
          <w:color w:val="231F20"/>
          <w:spacing w:val="-4"/>
        </w:rPr>
        <w:t>armes. La</w:t>
      </w:r>
      <w:r>
        <w:rPr>
          <w:color w:val="231F20"/>
          <w:spacing w:val="-7"/>
        </w:rPr>
        <w:t> </w:t>
      </w:r>
      <w:r>
        <w:rPr>
          <w:color w:val="231F20"/>
          <w:spacing w:val="-4"/>
        </w:rPr>
        <w:t>plupart</w:t>
      </w:r>
      <w:r>
        <w:rPr>
          <w:color w:val="231F20"/>
          <w:spacing w:val="-8"/>
        </w:rPr>
        <w:t> </w:t>
      </w:r>
      <w:r>
        <w:rPr>
          <w:color w:val="231F20"/>
          <w:spacing w:val="-4"/>
        </w:rPr>
        <w:t>d’entre eux</w:t>
      </w:r>
      <w:r>
        <w:rPr>
          <w:color w:val="231F20"/>
          <w:spacing w:val="-11"/>
        </w:rPr>
        <w:t> </w:t>
      </w:r>
      <w:r>
        <w:rPr>
          <w:color w:val="231F20"/>
          <w:spacing w:val="-4"/>
        </w:rPr>
        <w:t>sont</w:t>
      </w:r>
      <w:r>
        <w:rPr>
          <w:color w:val="231F20"/>
          <w:spacing w:val="-11"/>
        </w:rPr>
        <w:t> </w:t>
      </w:r>
      <w:r>
        <w:rPr>
          <w:color w:val="231F20"/>
          <w:spacing w:val="-4"/>
        </w:rPr>
        <w:t>nés</w:t>
      </w:r>
      <w:r>
        <w:rPr>
          <w:color w:val="231F20"/>
          <w:spacing w:val="-11"/>
        </w:rPr>
        <w:t> </w:t>
      </w:r>
      <w:r>
        <w:rPr>
          <w:color w:val="231F20"/>
          <w:spacing w:val="-4"/>
        </w:rPr>
        <w:t>en</w:t>
      </w:r>
      <w:r>
        <w:rPr>
          <w:color w:val="231F20"/>
          <w:spacing w:val="-11"/>
        </w:rPr>
        <w:t> </w:t>
      </w:r>
      <w:r>
        <w:rPr>
          <w:color w:val="231F20"/>
          <w:spacing w:val="-4"/>
        </w:rPr>
        <w:t>Côte</w:t>
      </w:r>
      <w:r>
        <w:rPr>
          <w:color w:val="231F20"/>
          <w:spacing w:val="-11"/>
        </w:rPr>
        <w:t> </w:t>
      </w:r>
      <w:r>
        <w:rPr>
          <w:color w:val="231F20"/>
          <w:spacing w:val="-4"/>
        </w:rPr>
        <w:t>d’Ivoire</w:t>
      </w:r>
      <w:r>
        <w:rPr>
          <w:color w:val="231F20"/>
          <w:spacing w:val="-11"/>
        </w:rPr>
        <w:t> </w:t>
      </w:r>
      <w:r>
        <w:rPr>
          <w:color w:val="231F20"/>
          <w:spacing w:val="-4"/>
        </w:rPr>
        <w:t>:</w:t>
      </w:r>
      <w:r>
        <w:rPr>
          <w:color w:val="231F20"/>
          <w:spacing w:val="-11"/>
        </w:rPr>
        <w:t> </w:t>
      </w:r>
      <w:r>
        <w:rPr>
          <w:color w:val="231F20"/>
          <w:spacing w:val="-4"/>
        </w:rPr>
        <w:t>en</w:t>
      </w:r>
      <w:r>
        <w:rPr>
          <w:color w:val="231F20"/>
          <w:spacing w:val="-11"/>
        </w:rPr>
        <w:t> </w:t>
      </w:r>
      <w:r>
        <w:rPr>
          <w:color w:val="231F20"/>
          <w:spacing w:val="-4"/>
        </w:rPr>
        <w:t>1975,</w:t>
      </w:r>
      <w:r>
        <w:rPr>
          <w:color w:val="231F20"/>
          <w:spacing w:val="-11"/>
        </w:rPr>
        <w:t> </w:t>
      </w:r>
      <w:r>
        <w:rPr>
          <w:color w:val="231F20"/>
          <w:spacing w:val="-4"/>
        </w:rPr>
        <w:t>29,7</w:t>
      </w:r>
      <w:r>
        <w:rPr>
          <w:color w:val="231F20"/>
          <w:spacing w:val="-8"/>
        </w:rPr>
        <w:t> </w:t>
      </w:r>
      <w:r>
        <w:rPr>
          <w:color w:val="231F20"/>
          <w:spacing w:val="-4"/>
        </w:rPr>
        <w:t>%</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population</w:t>
      </w:r>
      <w:r>
        <w:rPr>
          <w:color w:val="231F20"/>
          <w:spacing w:val="-11"/>
        </w:rPr>
        <w:t> </w:t>
      </w:r>
      <w:r>
        <w:rPr>
          <w:color w:val="231F20"/>
          <w:spacing w:val="-4"/>
        </w:rPr>
        <w:t>originaire </w:t>
      </w:r>
      <w:r>
        <w:rPr>
          <w:color w:val="231F20"/>
        </w:rPr>
        <w:t>des</w:t>
      </w:r>
      <w:r>
        <w:rPr>
          <w:color w:val="231F20"/>
          <w:spacing w:val="-15"/>
        </w:rPr>
        <w:t> </w:t>
      </w:r>
      <w:r>
        <w:rPr>
          <w:color w:val="231F20"/>
        </w:rPr>
        <w:t>pays</w:t>
      </w:r>
      <w:r>
        <w:rPr>
          <w:color w:val="231F20"/>
          <w:spacing w:val="-15"/>
        </w:rPr>
        <w:t> </w:t>
      </w:r>
      <w:r>
        <w:rPr>
          <w:color w:val="231F20"/>
        </w:rPr>
        <w:t>limitrophes</w:t>
      </w:r>
      <w:r>
        <w:rPr>
          <w:color w:val="231F20"/>
          <w:spacing w:val="-15"/>
        </w:rPr>
        <w:t> </w:t>
      </w:r>
      <w:r>
        <w:rPr>
          <w:color w:val="231F20"/>
        </w:rPr>
        <w:t>vivant</w:t>
      </w:r>
      <w:r>
        <w:rPr>
          <w:color w:val="231F20"/>
          <w:spacing w:val="-15"/>
        </w:rPr>
        <w:t> </w:t>
      </w:r>
      <w:r>
        <w:rPr>
          <w:color w:val="231F20"/>
        </w:rPr>
        <w:t>en</w:t>
      </w:r>
      <w:r>
        <w:rPr>
          <w:color w:val="231F20"/>
          <w:spacing w:val="-15"/>
        </w:rPr>
        <w:t> </w:t>
      </w:r>
      <w:r>
        <w:rPr>
          <w:color w:val="231F20"/>
        </w:rPr>
        <w:t>Côte</w:t>
      </w:r>
      <w:r>
        <w:rPr>
          <w:color w:val="231F20"/>
          <w:spacing w:val="-15"/>
        </w:rPr>
        <w:t> </w:t>
      </w:r>
      <w:r>
        <w:rPr>
          <w:color w:val="231F20"/>
        </w:rPr>
        <w:t>d’Ivoire,</w:t>
      </w:r>
      <w:r>
        <w:rPr>
          <w:color w:val="231F20"/>
          <w:spacing w:val="-15"/>
        </w:rPr>
        <w:t> </w:t>
      </w:r>
      <w:r>
        <w:rPr>
          <w:color w:val="231F20"/>
        </w:rPr>
        <w:t>sont</w:t>
      </w:r>
      <w:r>
        <w:rPr>
          <w:color w:val="231F20"/>
          <w:spacing w:val="-15"/>
        </w:rPr>
        <w:t> </w:t>
      </w:r>
      <w:r>
        <w:rPr>
          <w:color w:val="231F20"/>
        </w:rPr>
        <w:t>nés</w:t>
      </w:r>
      <w:r>
        <w:rPr>
          <w:color w:val="231F20"/>
          <w:spacing w:val="-15"/>
        </w:rPr>
        <w:t> </w:t>
      </w:r>
      <w:r>
        <w:rPr>
          <w:color w:val="231F20"/>
        </w:rPr>
        <w:t>sur</w:t>
      </w:r>
      <w:r>
        <w:rPr>
          <w:color w:val="231F20"/>
          <w:spacing w:val="-15"/>
        </w:rPr>
        <w:t> </w:t>
      </w:r>
      <w:r>
        <w:rPr>
          <w:color w:val="231F20"/>
        </w:rPr>
        <w:t>le</w:t>
      </w:r>
      <w:r>
        <w:rPr>
          <w:color w:val="231F20"/>
          <w:spacing w:val="-15"/>
        </w:rPr>
        <w:t> </w:t>
      </w:r>
      <w:r>
        <w:rPr>
          <w:color w:val="231F20"/>
        </w:rPr>
        <w:t>sol</w:t>
      </w:r>
      <w:r>
        <w:rPr>
          <w:color w:val="231F20"/>
          <w:spacing w:val="-15"/>
        </w:rPr>
        <w:t> </w:t>
      </w:r>
      <w:r>
        <w:rPr>
          <w:color w:val="231F20"/>
        </w:rPr>
        <w:t>ivoirien. Ce</w:t>
      </w:r>
      <w:r>
        <w:rPr>
          <w:color w:val="231F20"/>
          <w:spacing w:val="-9"/>
        </w:rPr>
        <w:t> </w:t>
      </w:r>
      <w:r>
        <w:rPr>
          <w:color w:val="231F20"/>
        </w:rPr>
        <w:t>taux</w:t>
      </w:r>
      <w:r>
        <w:rPr>
          <w:color w:val="231F20"/>
          <w:spacing w:val="-8"/>
        </w:rPr>
        <w:t> </w:t>
      </w:r>
      <w:r>
        <w:rPr>
          <w:color w:val="231F20"/>
        </w:rPr>
        <w:t>passe</w:t>
      </w:r>
      <w:r>
        <w:rPr>
          <w:color w:val="231F20"/>
          <w:spacing w:val="-8"/>
        </w:rPr>
        <w:t> </w:t>
      </w:r>
      <w:r>
        <w:rPr>
          <w:color w:val="231F20"/>
        </w:rPr>
        <w:t>à</w:t>
      </w:r>
      <w:r>
        <w:rPr>
          <w:color w:val="231F20"/>
          <w:spacing w:val="-10"/>
        </w:rPr>
        <w:t> </w:t>
      </w:r>
      <w:r>
        <w:rPr>
          <w:color w:val="231F20"/>
        </w:rPr>
        <w:t>44,67</w:t>
      </w:r>
      <w:r>
        <w:rPr>
          <w:color w:val="231F20"/>
          <w:spacing w:val="-15"/>
        </w:rPr>
        <w:t> </w:t>
      </w:r>
      <w:r>
        <w:rPr>
          <w:color w:val="231F20"/>
        </w:rPr>
        <w:t>%</w:t>
      </w:r>
      <w:r>
        <w:rPr>
          <w:color w:val="231F20"/>
          <w:spacing w:val="-11"/>
        </w:rPr>
        <w:t> </w:t>
      </w:r>
      <w:r>
        <w:rPr>
          <w:color w:val="231F20"/>
        </w:rPr>
        <w:t>en</w:t>
      </w:r>
      <w:r>
        <w:rPr>
          <w:color w:val="231F20"/>
          <w:spacing w:val="-8"/>
        </w:rPr>
        <w:t> </w:t>
      </w:r>
      <w:r>
        <w:rPr>
          <w:color w:val="231F20"/>
        </w:rPr>
        <w:t>1988.</w:t>
      </w:r>
      <w:r>
        <w:rPr>
          <w:color w:val="231F20"/>
          <w:spacing w:val="-8"/>
        </w:rPr>
        <w:t> </w:t>
      </w:r>
      <w:r>
        <w:rPr>
          <w:color w:val="231F20"/>
        </w:rPr>
        <w:t>De</w:t>
      </w:r>
      <w:r>
        <w:rPr>
          <w:color w:val="231F20"/>
          <w:spacing w:val="-10"/>
        </w:rPr>
        <w:t> </w:t>
      </w:r>
      <w:r>
        <w:rPr>
          <w:color w:val="231F20"/>
        </w:rPr>
        <w:t>nombreux</w:t>
      </w:r>
      <w:r>
        <w:rPr>
          <w:color w:val="231F20"/>
          <w:spacing w:val="-10"/>
        </w:rPr>
        <w:t> </w:t>
      </w:r>
      <w:r>
        <w:rPr>
          <w:color w:val="231F20"/>
        </w:rPr>
        <w:t>jeunes</w:t>
      </w:r>
      <w:r>
        <w:rPr>
          <w:color w:val="231F20"/>
          <w:spacing w:val="-10"/>
        </w:rPr>
        <w:t> </w:t>
      </w:r>
      <w:r>
        <w:rPr>
          <w:color w:val="231F20"/>
        </w:rPr>
        <w:t>ivoiriens</w:t>
      </w:r>
      <w:r>
        <w:rPr>
          <w:color w:val="231F20"/>
          <w:spacing w:val="-10"/>
        </w:rPr>
        <w:t> </w:t>
      </w:r>
      <w:r>
        <w:rPr>
          <w:color w:val="231F20"/>
        </w:rPr>
        <w:t>de</w:t>
      </w:r>
      <w:r>
        <w:rPr>
          <w:color w:val="231F20"/>
          <w:spacing w:val="-11"/>
        </w:rPr>
        <w:t> </w:t>
      </w:r>
      <w:r>
        <w:rPr>
          <w:color w:val="231F20"/>
        </w:rPr>
        <w:t>leur âge, sans emploi, entrent dans des gangs.</w:t>
      </w:r>
    </w:p>
    <w:p>
      <w:pPr>
        <w:pStyle w:val="BodyText"/>
        <w:spacing w:before="121"/>
        <w:ind w:right="105" w:firstLine="283"/>
      </w:pPr>
      <w:r>
        <w:rPr>
          <w:color w:val="231F20"/>
          <w:spacing w:val="-4"/>
        </w:rPr>
        <w:t>Dans</w:t>
      </w:r>
      <w:r>
        <w:rPr>
          <w:color w:val="231F20"/>
          <w:spacing w:val="-5"/>
        </w:rPr>
        <w:t> </w:t>
      </w:r>
      <w:r>
        <w:rPr>
          <w:color w:val="231F20"/>
          <w:spacing w:val="-4"/>
        </w:rPr>
        <w:t>la</w:t>
      </w:r>
      <w:r>
        <w:rPr>
          <w:color w:val="231F20"/>
          <w:spacing w:val="-9"/>
        </w:rPr>
        <w:t> </w:t>
      </w:r>
      <w:r>
        <w:rPr>
          <w:color w:val="231F20"/>
          <w:spacing w:val="-4"/>
        </w:rPr>
        <w:t>décennie</w:t>
      </w:r>
      <w:r>
        <w:rPr>
          <w:color w:val="231F20"/>
          <w:spacing w:val="-9"/>
        </w:rPr>
        <w:t> </w:t>
      </w:r>
      <w:r>
        <w:rPr>
          <w:color w:val="231F20"/>
          <w:spacing w:val="-4"/>
        </w:rPr>
        <w:t>1980-1990,</w:t>
      </w:r>
      <w:r>
        <w:rPr>
          <w:color w:val="231F20"/>
          <w:spacing w:val="-7"/>
        </w:rPr>
        <w:t> </w:t>
      </w:r>
      <w:r>
        <w:rPr>
          <w:color w:val="231F20"/>
          <w:spacing w:val="-4"/>
        </w:rPr>
        <w:t>malgré</w:t>
      </w:r>
      <w:r>
        <w:rPr>
          <w:color w:val="231F20"/>
          <w:spacing w:val="-9"/>
        </w:rPr>
        <w:t> </w:t>
      </w:r>
      <w:r>
        <w:rPr>
          <w:color w:val="231F20"/>
          <w:spacing w:val="-4"/>
        </w:rPr>
        <w:t>sa</w:t>
      </w:r>
      <w:r>
        <w:rPr>
          <w:color w:val="231F20"/>
          <w:spacing w:val="-5"/>
        </w:rPr>
        <w:t> </w:t>
      </w:r>
      <w:r>
        <w:rPr>
          <w:color w:val="231F20"/>
          <w:spacing w:val="-4"/>
        </w:rPr>
        <w:t>situation</w:t>
      </w:r>
      <w:r>
        <w:rPr>
          <w:color w:val="231F20"/>
          <w:spacing w:val="-5"/>
        </w:rPr>
        <w:t> </w:t>
      </w:r>
      <w:r>
        <w:rPr>
          <w:color w:val="231F20"/>
          <w:spacing w:val="-4"/>
        </w:rPr>
        <w:t>économique</w:t>
      </w:r>
      <w:r>
        <w:rPr>
          <w:color w:val="231F20"/>
          <w:spacing w:val="-5"/>
        </w:rPr>
        <w:t> </w:t>
      </w:r>
      <w:r>
        <w:rPr>
          <w:color w:val="231F20"/>
          <w:spacing w:val="-4"/>
        </w:rPr>
        <w:t>difficile, </w:t>
      </w:r>
      <w:r>
        <w:rPr>
          <w:color w:val="231F20"/>
        </w:rPr>
        <w:t>la Côte</w:t>
      </w:r>
      <w:r>
        <w:rPr>
          <w:color w:val="231F20"/>
          <w:spacing w:val="-2"/>
        </w:rPr>
        <w:t> </w:t>
      </w:r>
      <w:r>
        <w:rPr>
          <w:color w:val="231F20"/>
        </w:rPr>
        <w:t>d’Ivoire demeure</w:t>
      </w:r>
      <w:r>
        <w:rPr>
          <w:color w:val="231F20"/>
          <w:spacing w:val="-2"/>
        </w:rPr>
        <w:t> </w:t>
      </w:r>
      <w:r>
        <w:rPr>
          <w:color w:val="231F20"/>
        </w:rPr>
        <w:t>encore une</w:t>
      </w:r>
      <w:r>
        <w:rPr>
          <w:color w:val="231F20"/>
          <w:spacing w:val="-2"/>
        </w:rPr>
        <w:t> </w:t>
      </w:r>
      <w:r>
        <w:rPr>
          <w:color w:val="231F20"/>
        </w:rPr>
        <w:t>oasis</w:t>
      </w:r>
      <w:r>
        <w:rPr>
          <w:color w:val="231F20"/>
          <w:spacing w:val="-1"/>
        </w:rPr>
        <w:t> </w:t>
      </w:r>
      <w:r>
        <w:rPr>
          <w:color w:val="231F20"/>
        </w:rPr>
        <w:t>de prospérité</w:t>
      </w:r>
      <w:r>
        <w:rPr>
          <w:color w:val="231F20"/>
          <w:spacing w:val="-2"/>
        </w:rPr>
        <w:t> </w:t>
      </w:r>
      <w:r>
        <w:rPr>
          <w:color w:val="231F20"/>
        </w:rPr>
        <w:t>dans</w:t>
      </w:r>
      <w:r>
        <w:rPr>
          <w:color w:val="231F20"/>
          <w:spacing w:val="-2"/>
        </w:rPr>
        <w:t> </w:t>
      </w:r>
      <w:r>
        <w:rPr>
          <w:color w:val="231F20"/>
        </w:rPr>
        <w:t>une zone ouest-africaine toujours sinistrée par l’instabilité politique et/ou la sècheresse dans les pays soudano-sahéliens.</w:t>
      </w:r>
    </w:p>
    <w:p>
      <w:pPr>
        <w:pStyle w:val="BodyText"/>
        <w:spacing w:before="120"/>
        <w:ind w:right="110" w:firstLine="283"/>
      </w:pPr>
      <w:r>
        <w:rPr>
          <w:color w:val="231F20"/>
        </w:rPr>
        <w:t>Foyer d’immigration, le pays se caractérise par l’absence d’une politique</w:t>
      </w:r>
      <w:r>
        <w:rPr>
          <w:color w:val="231F20"/>
          <w:spacing w:val="-5"/>
        </w:rPr>
        <w:t> </w:t>
      </w:r>
      <w:r>
        <w:rPr>
          <w:color w:val="231F20"/>
        </w:rPr>
        <w:t>d’immigration</w:t>
      </w:r>
      <w:r>
        <w:rPr>
          <w:color w:val="231F20"/>
          <w:spacing w:val="-7"/>
        </w:rPr>
        <w:t> </w:t>
      </w:r>
      <w:r>
        <w:rPr>
          <w:color w:val="231F20"/>
        </w:rPr>
        <w:t>et</w:t>
      </w:r>
      <w:r>
        <w:rPr>
          <w:color w:val="231F20"/>
          <w:spacing w:val="-7"/>
        </w:rPr>
        <w:t> </w:t>
      </w:r>
      <w:r>
        <w:rPr>
          <w:color w:val="231F20"/>
        </w:rPr>
        <w:t>d’intégration</w:t>
      </w:r>
      <w:r>
        <w:rPr>
          <w:color w:val="231F20"/>
          <w:spacing w:val="-6"/>
        </w:rPr>
        <w:t> </w:t>
      </w:r>
      <w:r>
        <w:rPr>
          <w:color w:val="231F20"/>
        </w:rPr>
        <w:t>de</w:t>
      </w:r>
      <w:r>
        <w:rPr>
          <w:color w:val="231F20"/>
          <w:spacing w:val="-9"/>
        </w:rPr>
        <w:t> </w:t>
      </w:r>
      <w:r>
        <w:rPr>
          <w:color w:val="231F20"/>
        </w:rPr>
        <w:t>ses</w:t>
      </w:r>
      <w:r>
        <w:rPr>
          <w:color w:val="231F20"/>
          <w:spacing w:val="-6"/>
        </w:rPr>
        <w:t> </w:t>
      </w:r>
      <w:r>
        <w:rPr>
          <w:color w:val="231F20"/>
        </w:rPr>
        <w:t>étrangers.</w:t>
      </w:r>
    </w:p>
    <w:p>
      <w:pPr>
        <w:pStyle w:val="BodyText"/>
        <w:spacing w:before="240"/>
        <w:ind w:right="105"/>
      </w:pPr>
      <w:r>
        <w:rPr>
          <w:color w:val="231F20"/>
        </w:rPr>
        <w:t>La</w:t>
      </w:r>
      <w:r>
        <w:rPr>
          <w:color w:val="231F20"/>
          <w:spacing w:val="-15"/>
        </w:rPr>
        <w:t> </w:t>
      </w:r>
      <w:r>
        <w:rPr>
          <w:color w:val="231F20"/>
        </w:rPr>
        <w:t>Côte</w:t>
      </w:r>
      <w:r>
        <w:rPr>
          <w:color w:val="231F20"/>
          <w:spacing w:val="-15"/>
        </w:rPr>
        <w:t> </w:t>
      </w:r>
      <w:r>
        <w:rPr>
          <w:color w:val="231F20"/>
        </w:rPr>
        <w:t>d’Ivoire</w:t>
      </w:r>
      <w:r>
        <w:rPr>
          <w:color w:val="231F20"/>
          <w:spacing w:val="-15"/>
        </w:rPr>
        <w:t> </w:t>
      </w:r>
      <w:r>
        <w:rPr>
          <w:color w:val="231F20"/>
        </w:rPr>
        <w:t>fonctionne</w:t>
      </w:r>
      <w:r>
        <w:rPr>
          <w:color w:val="231F20"/>
          <w:spacing w:val="-15"/>
        </w:rPr>
        <w:t> </w:t>
      </w:r>
      <w:r>
        <w:rPr>
          <w:color w:val="231F20"/>
        </w:rPr>
        <w:t>depuis</w:t>
      </w:r>
      <w:r>
        <w:rPr>
          <w:color w:val="231F20"/>
          <w:spacing w:val="-15"/>
        </w:rPr>
        <w:t> </w:t>
      </w:r>
      <w:r>
        <w:rPr>
          <w:color w:val="231F20"/>
        </w:rPr>
        <w:t>l’indépendance</w:t>
      </w:r>
      <w:r>
        <w:rPr>
          <w:color w:val="231F20"/>
          <w:spacing w:val="-15"/>
        </w:rPr>
        <w:t> </w:t>
      </w:r>
      <w:r>
        <w:rPr>
          <w:color w:val="231F20"/>
        </w:rPr>
        <w:t>avec</w:t>
      </w:r>
      <w:r>
        <w:rPr>
          <w:color w:val="231F20"/>
          <w:spacing w:val="-15"/>
        </w:rPr>
        <w:t> </w:t>
      </w:r>
      <w:r>
        <w:rPr>
          <w:color w:val="231F20"/>
        </w:rPr>
        <w:t>une</w:t>
      </w:r>
      <w:r>
        <w:rPr>
          <w:color w:val="231F20"/>
          <w:spacing w:val="-15"/>
        </w:rPr>
        <w:t> </w:t>
      </w:r>
      <w:r>
        <w:rPr>
          <w:color w:val="231F20"/>
        </w:rPr>
        <w:t>absence</w:t>
      </w:r>
      <w:r>
        <w:rPr>
          <w:color w:val="231F20"/>
          <w:spacing w:val="-15"/>
        </w:rPr>
        <w:t> </w:t>
      </w:r>
      <w:r>
        <w:rPr>
          <w:color w:val="231F20"/>
        </w:rPr>
        <w:t>de contrôle</w:t>
      </w:r>
      <w:r>
        <w:rPr>
          <w:color w:val="231F20"/>
          <w:spacing w:val="-12"/>
        </w:rPr>
        <w:t> </w:t>
      </w:r>
      <w:r>
        <w:rPr>
          <w:color w:val="231F20"/>
        </w:rPr>
        <w:t>des</w:t>
      </w:r>
      <w:r>
        <w:rPr>
          <w:color w:val="231F20"/>
          <w:spacing w:val="-12"/>
        </w:rPr>
        <w:t> </w:t>
      </w:r>
      <w:r>
        <w:rPr>
          <w:color w:val="231F20"/>
        </w:rPr>
        <w:t>flux,</w:t>
      </w:r>
      <w:r>
        <w:rPr>
          <w:color w:val="231F20"/>
          <w:spacing w:val="-12"/>
        </w:rPr>
        <w:t> </w:t>
      </w:r>
      <w:r>
        <w:rPr>
          <w:color w:val="231F20"/>
        </w:rPr>
        <w:t>une</w:t>
      </w:r>
      <w:r>
        <w:rPr>
          <w:color w:val="231F20"/>
          <w:spacing w:val="-12"/>
        </w:rPr>
        <w:t> </w:t>
      </w:r>
      <w:r>
        <w:rPr>
          <w:color w:val="231F20"/>
        </w:rPr>
        <w:t>absence</w:t>
      </w:r>
      <w:r>
        <w:rPr>
          <w:color w:val="231F20"/>
          <w:spacing w:val="-12"/>
        </w:rPr>
        <w:t> </w:t>
      </w:r>
      <w:r>
        <w:rPr>
          <w:color w:val="231F20"/>
        </w:rPr>
        <w:t>de</w:t>
      </w:r>
      <w:r>
        <w:rPr>
          <w:color w:val="231F20"/>
          <w:spacing w:val="-12"/>
        </w:rPr>
        <w:t> </w:t>
      </w:r>
      <w:r>
        <w:rPr>
          <w:color w:val="231F20"/>
        </w:rPr>
        <w:t>droits</w:t>
      </w:r>
      <w:r>
        <w:rPr>
          <w:color w:val="231F20"/>
          <w:spacing w:val="-12"/>
        </w:rPr>
        <w:t> </w:t>
      </w:r>
      <w:r>
        <w:rPr>
          <w:color w:val="231F20"/>
        </w:rPr>
        <w:t>politiques</w:t>
      </w:r>
      <w:r>
        <w:rPr>
          <w:color w:val="231F20"/>
          <w:spacing w:val="-14"/>
        </w:rPr>
        <w:t> </w:t>
      </w:r>
      <w:r>
        <w:rPr>
          <w:color w:val="231F20"/>
        </w:rPr>
        <w:t>ou</w:t>
      </w:r>
      <w:r>
        <w:rPr>
          <w:color w:val="231F20"/>
          <w:spacing w:val="-12"/>
        </w:rPr>
        <w:t> </w:t>
      </w:r>
      <w:r>
        <w:rPr>
          <w:color w:val="231F20"/>
        </w:rPr>
        <w:t>sociaux</w:t>
      </w:r>
      <w:r>
        <w:rPr>
          <w:color w:val="231F20"/>
          <w:spacing w:val="-13"/>
        </w:rPr>
        <w:t> </w:t>
      </w:r>
      <w:r>
        <w:rPr>
          <w:color w:val="231F20"/>
        </w:rPr>
        <w:t>réels</w:t>
      </w:r>
      <w:r>
        <w:rPr>
          <w:color w:val="231F20"/>
          <w:spacing w:val="-12"/>
        </w:rPr>
        <w:t> </w:t>
      </w:r>
      <w:r>
        <w:rPr>
          <w:color w:val="231F20"/>
        </w:rPr>
        <w:t>pour les</w:t>
      </w:r>
      <w:r>
        <w:rPr>
          <w:color w:val="231F20"/>
          <w:spacing w:val="-6"/>
        </w:rPr>
        <w:t> </w:t>
      </w:r>
      <w:r>
        <w:rPr>
          <w:color w:val="231F20"/>
        </w:rPr>
        <w:t>immigrés</w:t>
      </w:r>
      <w:r>
        <w:rPr>
          <w:color w:val="231F20"/>
          <w:spacing w:val="-6"/>
        </w:rPr>
        <w:t> </w:t>
      </w:r>
      <w:r>
        <w:rPr>
          <w:color w:val="231F20"/>
        </w:rPr>
        <w:t>et</w:t>
      </w:r>
      <w:r>
        <w:rPr>
          <w:color w:val="231F20"/>
          <w:spacing w:val="-5"/>
        </w:rPr>
        <w:t> </w:t>
      </w:r>
      <w:r>
        <w:rPr>
          <w:color w:val="231F20"/>
        </w:rPr>
        <w:t>une</w:t>
      </w:r>
      <w:r>
        <w:rPr>
          <w:color w:val="231F20"/>
          <w:spacing w:val="-6"/>
        </w:rPr>
        <w:t> </w:t>
      </w:r>
      <w:r>
        <w:rPr>
          <w:color w:val="231F20"/>
        </w:rPr>
        <w:t>absence</w:t>
      </w:r>
      <w:r>
        <w:rPr>
          <w:color w:val="231F20"/>
          <w:spacing w:val="-6"/>
        </w:rPr>
        <w:t> </w:t>
      </w:r>
      <w:r>
        <w:rPr>
          <w:color w:val="231F20"/>
        </w:rPr>
        <w:t>de</w:t>
      </w:r>
      <w:r>
        <w:rPr>
          <w:color w:val="231F20"/>
          <w:spacing w:val="-6"/>
        </w:rPr>
        <w:t> </w:t>
      </w:r>
      <w:r>
        <w:rPr>
          <w:color w:val="231F20"/>
        </w:rPr>
        <w:t>politique</w:t>
      </w:r>
      <w:r>
        <w:rPr>
          <w:color w:val="231F20"/>
          <w:spacing w:val="-8"/>
        </w:rPr>
        <w:t> </w:t>
      </w:r>
      <w:r>
        <w:rPr>
          <w:color w:val="231F20"/>
        </w:rPr>
        <w:t>d’intégration.</w:t>
      </w:r>
      <w:r>
        <w:rPr>
          <w:color w:val="231F20"/>
          <w:spacing w:val="-5"/>
        </w:rPr>
        <w:t> </w:t>
      </w:r>
      <w:r>
        <w:rPr>
          <w:color w:val="231F20"/>
        </w:rPr>
        <w:t>L’étranger</w:t>
      </w:r>
      <w:r>
        <w:rPr>
          <w:color w:val="231F20"/>
          <w:spacing w:val="-6"/>
        </w:rPr>
        <w:t> </w:t>
      </w:r>
      <w:r>
        <w:rPr>
          <w:color w:val="231F20"/>
        </w:rPr>
        <w:t>s’est donc retrouvé en situation de fait et non de droit, n’ayant d’autres </w:t>
      </w:r>
      <w:r>
        <w:rPr>
          <w:color w:val="231F20"/>
          <w:spacing w:val="-2"/>
        </w:rPr>
        <w:t>garanties</w:t>
      </w:r>
      <w:r>
        <w:rPr>
          <w:color w:val="231F20"/>
          <w:spacing w:val="-10"/>
        </w:rPr>
        <w:t> </w:t>
      </w:r>
      <w:r>
        <w:rPr>
          <w:color w:val="231F20"/>
          <w:spacing w:val="-2"/>
        </w:rPr>
        <w:t>que</w:t>
      </w:r>
      <w:r>
        <w:rPr>
          <w:color w:val="231F20"/>
          <w:spacing w:val="-10"/>
        </w:rPr>
        <w:t> </w:t>
      </w:r>
      <w:r>
        <w:rPr>
          <w:color w:val="231F20"/>
          <w:spacing w:val="-2"/>
        </w:rPr>
        <w:t>la</w:t>
      </w:r>
      <w:r>
        <w:rPr>
          <w:color w:val="231F20"/>
          <w:spacing w:val="-10"/>
        </w:rPr>
        <w:t> </w:t>
      </w:r>
      <w:r>
        <w:rPr>
          <w:color w:val="231F20"/>
          <w:spacing w:val="-2"/>
        </w:rPr>
        <w:t>seule</w:t>
      </w:r>
      <w:r>
        <w:rPr>
          <w:color w:val="231F20"/>
          <w:spacing w:val="-10"/>
        </w:rPr>
        <w:t> </w:t>
      </w:r>
      <w:r>
        <w:rPr>
          <w:color w:val="231F20"/>
          <w:spacing w:val="-2"/>
        </w:rPr>
        <w:t>protection</w:t>
      </w:r>
      <w:r>
        <w:rPr>
          <w:color w:val="231F20"/>
          <w:spacing w:val="-10"/>
        </w:rPr>
        <w:t> </w:t>
      </w:r>
      <w:r>
        <w:rPr>
          <w:color w:val="231F20"/>
          <w:spacing w:val="-2"/>
        </w:rPr>
        <w:t>des</w:t>
      </w:r>
      <w:r>
        <w:rPr>
          <w:color w:val="231F20"/>
          <w:spacing w:val="-13"/>
        </w:rPr>
        <w:t> </w:t>
      </w:r>
      <w:r>
        <w:rPr>
          <w:color w:val="231F20"/>
          <w:spacing w:val="-2"/>
        </w:rPr>
        <w:t>gouvernants</w:t>
      </w:r>
      <w:r>
        <w:rPr>
          <w:color w:val="231F20"/>
          <w:spacing w:val="-10"/>
        </w:rPr>
        <w:t> </w:t>
      </w:r>
      <w:r>
        <w:rPr>
          <w:color w:val="231F20"/>
          <w:spacing w:val="-2"/>
        </w:rPr>
        <w:t>qui</w:t>
      </w:r>
      <w:r>
        <w:rPr>
          <w:color w:val="231F20"/>
          <w:spacing w:val="-9"/>
        </w:rPr>
        <w:t> </w:t>
      </w:r>
      <w:r>
        <w:rPr>
          <w:color w:val="231F20"/>
          <w:spacing w:val="-2"/>
        </w:rPr>
        <w:t>prônent</w:t>
      </w:r>
      <w:r>
        <w:rPr>
          <w:color w:val="231F20"/>
          <w:spacing w:val="-9"/>
        </w:rPr>
        <w:t> </w:t>
      </w:r>
      <w:r>
        <w:rPr>
          <w:color w:val="231F20"/>
          <w:spacing w:val="-2"/>
        </w:rPr>
        <w:t>l’ouverture </w:t>
      </w:r>
      <w:r>
        <w:rPr>
          <w:color w:val="231F20"/>
        </w:rPr>
        <w:t>et l’hospitalité</w:t>
      </w:r>
      <w:r>
        <w:rPr>
          <w:color w:val="231F20"/>
          <w:spacing w:val="-2"/>
        </w:rPr>
        <w:t> </w:t>
      </w:r>
      <w:r>
        <w:rPr>
          <w:color w:val="231F20"/>
        </w:rPr>
        <w:t>ainsi</w:t>
      </w:r>
      <w:r>
        <w:rPr>
          <w:color w:val="231F20"/>
          <w:spacing w:val="-1"/>
        </w:rPr>
        <w:t> </w:t>
      </w:r>
      <w:r>
        <w:rPr>
          <w:color w:val="231F20"/>
        </w:rPr>
        <w:t>que</w:t>
      </w:r>
      <w:r>
        <w:rPr>
          <w:color w:val="231F20"/>
          <w:spacing w:val="-5"/>
        </w:rPr>
        <w:t> </w:t>
      </w:r>
      <w:r>
        <w:rPr>
          <w:color w:val="231F20"/>
        </w:rPr>
        <w:t>la</w:t>
      </w:r>
      <w:r>
        <w:rPr>
          <w:color w:val="231F20"/>
          <w:spacing w:val="-5"/>
        </w:rPr>
        <w:t> </w:t>
      </w:r>
      <w:r>
        <w:rPr>
          <w:color w:val="231F20"/>
        </w:rPr>
        <w:t>«</w:t>
      </w:r>
      <w:r>
        <w:rPr>
          <w:color w:val="231F20"/>
          <w:spacing w:val="-1"/>
        </w:rPr>
        <w:t> </w:t>
      </w:r>
      <w:r>
        <w:rPr>
          <w:color w:val="231F20"/>
        </w:rPr>
        <w:t>culture</w:t>
      </w:r>
      <w:r>
        <w:rPr>
          <w:color w:val="231F20"/>
          <w:spacing w:val="-1"/>
        </w:rPr>
        <w:t> </w:t>
      </w:r>
      <w:r>
        <w:rPr>
          <w:color w:val="231F20"/>
        </w:rPr>
        <w:t>de</w:t>
      </w:r>
      <w:r>
        <w:rPr>
          <w:color w:val="231F20"/>
          <w:spacing w:val="-4"/>
        </w:rPr>
        <w:t> </w:t>
      </w:r>
      <w:r>
        <w:rPr>
          <w:color w:val="231F20"/>
        </w:rPr>
        <w:t>la</w:t>
      </w:r>
      <w:r>
        <w:rPr>
          <w:color w:val="231F20"/>
          <w:spacing w:val="-1"/>
        </w:rPr>
        <w:t> </w:t>
      </w:r>
      <w:r>
        <w:rPr>
          <w:color w:val="231F20"/>
        </w:rPr>
        <w:t>paix</w:t>
      </w:r>
      <w:r>
        <w:rPr>
          <w:color w:val="231F20"/>
          <w:spacing w:val="-1"/>
        </w:rPr>
        <w:t> </w:t>
      </w:r>
      <w:r>
        <w:rPr>
          <w:color w:val="231F20"/>
        </w:rPr>
        <w:t>».</w:t>
      </w:r>
    </w:p>
    <w:p>
      <w:pPr>
        <w:pStyle w:val="BodyText"/>
        <w:ind w:left="0"/>
        <w:jc w:val="left"/>
      </w:pPr>
    </w:p>
    <w:p>
      <w:pPr>
        <w:pStyle w:val="BodyText"/>
        <w:spacing w:before="84"/>
        <w:ind w:left="0"/>
        <w:jc w:val="left"/>
      </w:pPr>
    </w:p>
    <w:p>
      <w:pPr>
        <w:pStyle w:val="Heading3"/>
        <w:rPr>
          <w:i/>
        </w:rPr>
      </w:pPr>
      <w:r>
        <w:rPr>
          <w:i/>
          <w:color w:val="231F20"/>
        </w:rPr>
        <w:t>Des</w:t>
      </w:r>
      <w:r>
        <w:rPr>
          <w:i/>
          <w:color w:val="231F20"/>
          <w:spacing w:val="-13"/>
        </w:rPr>
        <w:t> </w:t>
      </w:r>
      <w:r>
        <w:rPr>
          <w:i/>
          <w:color w:val="231F20"/>
        </w:rPr>
        <w:t>dozo</w:t>
      </w:r>
      <w:r>
        <w:rPr>
          <w:rFonts w:ascii="Times New Roman" w:hAnsi="Times New Roman"/>
          <w:i w:val="0"/>
          <w:color w:val="231F20"/>
          <w:position w:val="8"/>
          <w:sz w:val="16"/>
        </w:rPr>
        <w:t>147</w:t>
      </w:r>
      <w:r>
        <w:rPr>
          <w:rFonts w:ascii="Times New Roman" w:hAnsi="Times New Roman"/>
          <w:i w:val="0"/>
          <w:color w:val="231F20"/>
          <w:spacing w:val="6"/>
          <w:position w:val="8"/>
          <w:sz w:val="16"/>
        </w:rPr>
        <w:t> </w:t>
      </w:r>
      <w:r>
        <w:rPr>
          <w:i/>
          <w:color w:val="231F20"/>
        </w:rPr>
        <w:t>à</w:t>
      </w:r>
      <w:r>
        <w:rPr>
          <w:i/>
          <w:color w:val="231F20"/>
          <w:spacing w:val="-11"/>
        </w:rPr>
        <w:t> </w:t>
      </w:r>
      <w:r>
        <w:rPr>
          <w:i/>
          <w:color w:val="231F20"/>
          <w:spacing w:val="-2"/>
        </w:rPr>
        <w:t>Abidjan</w:t>
      </w:r>
    </w:p>
    <w:p>
      <w:pPr>
        <w:pStyle w:val="BodyText"/>
        <w:spacing w:before="256"/>
        <w:ind w:right="104" w:firstLine="283"/>
      </w:pPr>
      <w:r>
        <w:rPr>
          <w:color w:val="231F20"/>
          <w:spacing w:val="-4"/>
        </w:rPr>
        <w:t>La</w:t>
      </w:r>
      <w:r>
        <w:rPr>
          <w:color w:val="231F20"/>
          <w:spacing w:val="-7"/>
        </w:rPr>
        <w:t> </w:t>
      </w:r>
      <w:r>
        <w:rPr>
          <w:color w:val="231F20"/>
          <w:spacing w:val="-4"/>
        </w:rPr>
        <w:t>défaillance</w:t>
      </w:r>
      <w:r>
        <w:rPr>
          <w:color w:val="231F20"/>
          <w:spacing w:val="-7"/>
        </w:rPr>
        <w:t> </w:t>
      </w:r>
      <w:r>
        <w:rPr>
          <w:color w:val="231F20"/>
          <w:spacing w:val="-4"/>
        </w:rPr>
        <w:t>de</w:t>
      </w:r>
      <w:r>
        <w:rPr>
          <w:color w:val="231F20"/>
          <w:spacing w:val="-10"/>
        </w:rPr>
        <w:t> </w:t>
      </w:r>
      <w:r>
        <w:rPr>
          <w:color w:val="231F20"/>
          <w:spacing w:val="-4"/>
        </w:rPr>
        <w:t>l’État</w:t>
      </w:r>
      <w:r>
        <w:rPr>
          <w:color w:val="231F20"/>
          <w:spacing w:val="-6"/>
        </w:rPr>
        <w:t> </w:t>
      </w:r>
      <w:r>
        <w:rPr>
          <w:color w:val="231F20"/>
          <w:spacing w:val="-4"/>
        </w:rPr>
        <w:t>ivoirien</w:t>
      </w:r>
      <w:r>
        <w:rPr>
          <w:color w:val="231F20"/>
          <w:spacing w:val="-6"/>
        </w:rPr>
        <w:t> </w:t>
      </w:r>
      <w:r>
        <w:rPr>
          <w:color w:val="231F20"/>
          <w:spacing w:val="-4"/>
        </w:rPr>
        <w:t>et</w:t>
      </w:r>
      <w:r>
        <w:rPr>
          <w:color w:val="231F20"/>
          <w:spacing w:val="-6"/>
        </w:rPr>
        <w:t> </w:t>
      </w:r>
      <w:r>
        <w:rPr>
          <w:color w:val="231F20"/>
          <w:spacing w:val="-4"/>
        </w:rPr>
        <w:t>de</w:t>
      </w:r>
      <w:r>
        <w:rPr>
          <w:color w:val="231F20"/>
          <w:spacing w:val="-7"/>
        </w:rPr>
        <w:t> </w:t>
      </w:r>
      <w:r>
        <w:rPr>
          <w:color w:val="231F20"/>
          <w:spacing w:val="-4"/>
        </w:rPr>
        <w:t>ses</w:t>
      </w:r>
      <w:r>
        <w:rPr>
          <w:color w:val="231F20"/>
          <w:spacing w:val="-9"/>
        </w:rPr>
        <w:t> </w:t>
      </w:r>
      <w:r>
        <w:rPr>
          <w:color w:val="231F20"/>
          <w:spacing w:val="-4"/>
        </w:rPr>
        <w:t>services</w:t>
      </w:r>
      <w:r>
        <w:rPr>
          <w:color w:val="231F20"/>
          <w:spacing w:val="-9"/>
        </w:rPr>
        <w:t> </w:t>
      </w:r>
      <w:r>
        <w:rPr>
          <w:color w:val="231F20"/>
          <w:spacing w:val="-4"/>
        </w:rPr>
        <w:t>de</w:t>
      </w:r>
      <w:r>
        <w:rPr>
          <w:color w:val="231F20"/>
          <w:spacing w:val="-7"/>
        </w:rPr>
        <w:t> </w:t>
      </w:r>
      <w:r>
        <w:rPr>
          <w:color w:val="231F20"/>
          <w:spacing w:val="-4"/>
        </w:rPr>
        <w:t>sécurité</w:t>
      </w:r>
      <w:r>
        <w:rPr>
          <w:color w:val="231F20"/>
          <w:spacing w:val="-7"/>
        </w:rPr>
        <w:t> </w:t>
      </w:r>
      <w:r>
        <w:rPr>
          <w:color w:val="231F20"/>
          <w:spacing w:val="-4"/>
        </w:rPr>
        <w:t>à</w:t>
      </w:r>
      <w:r>
        <w:rPr>
          <w:color w:val="231F20"/>
          <w:spacing w:val="-7"/>
        </w:rPr>
        <w:t> </w:t>
      </w:r>
      <w:r>
        <w:rPr>
          <w:color w:val="231F20"/>
          <w:spacing w:val="-4"/>
        </w:rPr>
        <w:t>délivrer </w:t>
      </w:r>
      <w:r>
        <w:rPr>
          <w:color w:val="231F20"/>
        </w:rPr>
        <w:t>une</w:t>
      </w:r>
      <w:r>
        <w:rPr>
          <w:color w:val="231F20"/>
          <w:spacing w:val="44"/>
        </w:rPr>
        <w:t> </w:t>
      </w:r>
      <w:r>
        <w:rPr>
          <w:color w:val="231F20"/>
        </w:rPr>
        <w:t>sécurité</w:t>
      </w:r>
      <w:r>
        <w:rPr>
          <w:color w:val="231F20"/>
          <w:spacing w:val="44"/>
        </w:rPr>
        <w:t> </w:t>
      </w:r>
      <w:r>
        <w:rPr>
          <w:color w:val="231F20"/>
        </w:rPr>
        <w:t>accessible</w:t>
      </w:r>
      <w:r>
        <w:rPr>
          <w:color w:val="231F20"/>
          <w:spacing w:val="40"/>
        </w:rPr>
        <w:t> </w:t>
      </w:r>
      <w:r>
        <w:rPr>
          <w:color w:val="231F20"/>
        </w:rPr>
        <w:t>à</w:t>
      </w:r>
      <w:r>
        <w:rPr>
          <w:color w:val="231F20"/>
          <w:spacing w:val="45"/>
        </w:rPr>
        <w:t> </w:t>
      </w:r>
      <w:r>
        <w:rPr>
          <w:color w:val="231F20"/>
        </w:rPr>
        <w:t>tous</w:t>
      </w:r>
      <w:r>
        <w:rPr>
          <w:color w:val="231F20"/>
          <w:spacing w:val="45"/>
        </w:rPr>
        <w:t> </w:t>
      </w:r>
      <w:r>
        <w:rPr>
          <w:color w:val="231F20"/>
        </w:rPr>
        <w:t>dans</w:t>
      </w:r>
      <w:r>
        <w:rPr>
          <w:color w:val="231F20"/>
          <w:spacing w:val="45"/>
        </w:rPr>
        <w:t> </w:t>
      </w:r>
      <w:r>
        <w:rPr>
          <w:color w:val="231F20"/>
        </w:rPr>
        <w:t>un</w:t>
      </w:r>
      <w:r>
        <w:rPr>
          <w:color w:val="231F20"/>
          <w:spacing w:val="43"/>
        </w:rPr>
        <w:t> </w:t>
      </w:r>
      <w:r>
        <w:rPr>
          <w:color w:val="231F20"/>
        </w:rPr>
        <w:t>contexte</w:t>
      </w:r>
      <w:r>
        <w:rPr>
          <w:color w:val="231F20"/>
          <w:spacing w:val="42"/>
        </w:rPr>
        <w:t> </w:t>
      </w:r>
      <w:r>
        <w:rPr>
          <w:color w:val="231F20"/>
        </w:rPr>
        <w:t>de</w:t>
      </w:r>
      <w:r>
        <w:rPr>
          <w:color w:val="231F20"/>
          <w:spacing w:val="45"/>
        </w:rPr>
        <w:t> </w:t>
      </w:r>
      <w:r>
        <w:rPr>
          <w:color w:val="231F20"/>
        </w:rPr>
        <w:t>paupérisation</w:t>
      </w:r>
      <w:r>
        <w:rPr>
          <w:color w:val="231F20"/>
          <w:spacing w:val="43"/>
        </w:rPr>
        <w:t> </w:t>
      </w:r>
      <w:r>
        <w:rPr>
          <w:color w:val="231F20"/>
          <w:spacing w:val="-5"/>
        </w:rPr>
        <w:t>et</w:t>
      </w:r>
    </w:p>
    <w:p>
      <w:pPr>
        <w:pStyle w:val="BodyText"/>
        <w:spacing w:before="54"/>
        <w:ind w:left="0"/>
        <w:jc w:val="left"/>
        <w:rPr>
          <w:sz w:val="20"/>
        </w:rPr>
      </w:pPr>
      <w:r>
        <w:rPr/>
        <mc:AlternateContent>
          <mc:Choice Requires="wps">
            <w:drawing>
              <wp:anchor distT="0" distB="0" distL="0" distR="0" allowOverlap="1" layoutInCell="1" locked="0" behindDoc="1" simplePos="0" relativeHeight="487632896">
                <wp:simplePos x="0" y="0"/>
                <wp:positionH relativeFrom="page">
                  <wp:posOffset>629907</wp:posOffset>
                </wp:positionH>
                <wp:positionV relativeFrom="paragraph">
                  <wp:posOffset>195932</wp:posOffset>
                </wp:positionV>
                <wp:extent cx="1829435" cy="9525"/>
                <wp:effectExtent l="0" t="0" r="0" b="0"/>
                <wp:wrapTopAndBottom/>
                <wp:docPr id="115" name="Graphic 115"/>
                <wp:cNvGraphicFramePr>
                  <a:graphicFrameLocks/>
                </wp:cNvGraphicFramePr>
                <a:graphic>
                  <a:graphicData uri="http://schemas.microsoft.com/office/word/2010/wordprocessingShape">
                    <wps:wsp>
                      <wps:cNvPr id="115" name="Graphic 11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427734pt;width:144.020pt;height:.72pt;mso-position-horizontal-relative:page;mso-position-vertical-relative:paragraph;z-index:-15683584;mso-wrap-distance-left:0;mso-wrap-distance-right:0" id="docshape113"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147</w:t>
      </w:r>
      <w:r>
        <w:rPr>
          <w:color w:val="76787A"/>
          <w:spacing w:val="-17"/>
          <w:sz w:val="20"/>
          <w:vertAlign w:val="baseline"/>
        </w:rPr>
        <w:t> </w:t>
      </w:r>
      <w:r>
        <w:rPr>
          <w:color w:val="231F20"/>
          <w:spacing w:val="-4"/>
          <w:sz w:val="20"/>
          <w:vertAlign w:val="baseline"/>
        </w:rPr>
        <w:t>la confrérie de</w:t>
      </w:r>
      <w:r>
        <w:rPr>
          <w:color w:val="231F20"/>
          <w:spacing w:val="-3"/>
          <w:sz w:val="20"/>
          <w:vertAlign w:val="baseline"/>
        </w:rPr>
        <w:t> </w:t>
      </w:r>
      <w:r>
        <w:rPr>
          <w:color w:val="231F20"/>
          <w:spacing w:val="-4"/>
          <w:sz w:val="20"/>
          <w:vertAlign w:val="baseline"/>
        </w:rPr>
        <w:t>chasseurs</w:t>
      </w:r>
      <w:r>
        <w:rPr>
          <w:color w:val="231F20"/>
          <w:spacing w:val="-5"/>
          <w:sz w:val="20"/>
          <w:vertAlign w:val="baseline"/>
        </w:rPr>
        <w:t> </w:t>
      </w:r>
      <w:r>
        <w:rPr>
          <w:color w:val="231F20"/>
          <w:spacing w:val="-4"/>
          <w:sz w:val="20"/>
          <w:vertAlign w:val="baseline"/>
        </w:rPr>
        <w:t>traditionnels</w:t>
      </w:r>
      <w:r>
        <w:rPr>
          <w:color w:val="231F20"/>
          <w:spacing w:val="-5"/>
          <w:sz w:val="20"/>
          <w:vertAlign w:val="baseline"/>
        </w:rPr>
        <w:t> </w:t>
      </w:r>
      <w:r>
        <w:rPr>
          <w:color w:val="231F20"/>
          <w:spacing w:val="-4"/>
          <w:sz w:val="20"/>
          <w:vertAlign w:val="baseline"/>
        </w:rPr>
        <w:t>du</w:t>
      </w:r>
      <w:r>
        <w:rPr>
          <w:color w:val="231F20"/>
          <w:spacing w:val="1"/>
          <w:sz w:val="20"/>
          <w:vertAlign w:val="baseline"/>
        </w:rPr>
        <w:t> </w:t>
      </w:r>
      <w:r>
        <w:rPr>
          <w:color w:val="231F20"/>
          <w:spacing w:val="-4"/>
          <w:sz w:val="20"/>
          <w:vertAlign w:val="baseline"/>
        </w:rPr>
        <w:t>Nord</w:t>
      </w:r>
      <w:r>
        <w:rPr>
          <w:color w:val="231F20"/>
          <w:spacing w:val="-3"/>
          <w:sz w:val="20"/>
          <w:vertAlign w:val="baseline"/>
        </w:rPr>
        <w:t> </w:t>
      </w:r>
      <w:r>
        <w:rPr>
          <w:color w:val="231F20"/>
          <w:spacing w:val="-4"/>
          <w:sz w:val="20"/>
          <w:vertAlign w:val="baseline"/>
        </w:rPr>
        <w:t>en</w:t>
      </w:r>
      <w:r>
        <w:rPr>
          <w:color w:val="231F20"/>
          <w:spacing w:val="-2"/>
          <w:sz w:val="20"/>
          <w:vertAlign w:val="baseline"/>
        </w:rPr>
        <w:t> </w:t>
      </w:r>
      <w:r>
        <w:rPr>
          <w:color w:val="231F20"/>
          <w:spacing w:val="-4"/>
          <w:sz w:val="20"/>
          <w:vertAlign w:val="baseline"/>
        </w:rPr>
        <w:t>Côte</w:t>
      </w:r>
      <w:r>
        <w:rPr>
          <w:color w:val="231F20"/>
          <w:spacing w:val="-3"/>
          <w:sz w:val="20"/>
          <w:vertAlign w:val="baseline"/>
        </w:rPr>
        <w:t> </w:t>
      </w:r>
      <w:r>
        <w:rPr>
          <w:color w:val="231F20"/>
          <w:spacing w:val="-4"/>
          <w:sz w:val="20"/>
          <w:vertAlign w:val="baseline"/>
        </w:rPr>
        <w:t>d’Ivoire</w:t>
      </w:r>
      <w:r>
        <w:rPr>
          <w:color w:val="231F20"/>
          <w:sz w:val="20"/>
          <w:vertAlign w:val="baseline"/>
        </w:rPr>
        <w:t> </w:t>
      </w:r>
      <w:r>
        <w:rPr>
          <w:color w:val="231F20"/>
          <w:spacing w:val="-4"/>
          <w:sz w:val="20"/>
          <w:vertAlign w:val="baseline"/>
        </w:rPr>
        <w:t>, au</w:t>
      </w:r>
      <w:r>
        <w:rPr>
          <w:color w:val="231F20"/>
          <w:spacing w:val="-2"/>
          <w:sz w:val="20"/>
          <w:vertAlign w:val="baseline"/>
        </w:rPr>
        <w:t> </w:t>
      </w:r>
      <w:r>
        <w:rPr>
          <w:color w:val="231F20"/>
          <w:spacing w:val="-4"/>
          <w:sz w:val="20"/>
          <w:vertAlign w:val="baseline"/>
        </w:rPr>
        <w:t>Burkina</w:t>
      </w:r>
      <w:r>
        <w:rPr>
          <w:color w:val="231F20"/>
          <w:spacing w:val="-1"/>
          <w:sz w:val="20"/>
          <w:vertAlign w:val="baseline"/>
        </w:rPr>
        <w:t> </w:t>
      </w:r>
      <w:r>
        <w:rPr>
          <w:color w:val="231F20"/>
          <w:spacing w:val="-4"/>
          <w:sz w:val="20"/>
          <w:vertAlign w:val="baseline"/>
        </w:rPr>
        <w:t>Faso, </w:t>
      </w:r>
      <w:r>
        <w:rPr>
          <w:color w:val="231F20"/>
          <w:spacing w:val="-5"/>
          <w:sz w:val="20"/>
          <w:vertAlign w:val="baseline"/>
        </w:rPr>
        <w:t>au</w:t>
      </w:r>
    </w:p>
    <w:p>
      <w:pPr>
        <w:spacing w:before="0"/>
        <w:ind w:left="111" w:right="0" w:firstLine="0"/>
        <w:jc w:val="left"/>
        <w:rPr>
          <w:sz w:val="20"/>
        </w:rPr>
      </w:pPr>
      <w:r>
        <w:rPr>
          <w:color w:val="231F20"/>
          <w:spacing w:val="-2"/>
          <w:sz w:val="20"/>
        </w:rPr>
        <w:t>Mali,</w:t>
      </w:r>
      <w:r>
        <w:rPr>
          <w:color w:val="231F20"/>
          <w:spacing w:val="-11"/>
          <w:sz w:val="20"/>
        </w:rPr>
        <w:t> </w:t>
      </w:r>
      <w:r>
        <w:rPr>
          <w:color w:val="231F20"/>
          <w:spacing w:val="-2"/>
          <w:sz w:val="20"/>
        </w:rPr>
        <w:t>en</w:t>
      </w:r>
      <w:r>
        <w:rPr>
          <w:color w:val="231F20"/>
          <w:spacing w:val="-9"/>
          <w:sz w:val="20"/>
        </w:rPr>
        <w:t> </w:t>
      </w:r>
      <w:r>
        <w:rPr>
          <w:color w:val="231F20"/>
          <w:spacing w:val="-2"/>
          <w:sz w:val="20"/>
        </w:rPr>
        <w:t>Guinée.</w:t>
      </w:r>
    </w:p>
    <w:p>
      <w:pPr>
        <w:spacing w:after="0"/>
        <w:jc w:val="left"/>
        <w:rPr>
          <w:sz w:val="20"/>
        </w:rPr>
        <w:sectPr>
          <w:pgSz w:w="8790" w:h="13610"/>
          <w:pgMar w:header="0" w:footer="802" w:top="1060" w:bottom="1000" w:left="880" w:right="880"/>
        </w:sectPr>
      </w:pPr>
    </w:p>
    <w:p>
      <w:pPr>
        <w:pStyle w:val="BodyText"/>
        <w:spacing w:before="66"/>
        <w:ind w:right="106"/>
      </w:pPr>
      <w:r>
        <w:rPr>
          <w:color w:val="231F20"/>
        </w:rPr>
        <w:t>d’expansion de la criminalité en milieu urbain et rural, amène certains hommes</w:t>
      </w:r>
      <w:r>
        <w:rPr>
          <w:color w:val="231F20"/>
          <w:spacing w:val="-14"/>
        </w:rPr>
        <w:t> </w:t>
      </w:r>
      <w:r>
        <w:rPr>
          <w:color w:val="231F20"/>
        </w:rPr>
        <w:t>politique</w:t>
      </w:r>
      <w:r>
        <w:rPr>
          <w:color w:val="231F20"/>
          <w:spacing w:val="-14"/>
        </w:rPr>
        <w:t> </w:t>
      </w:r>
      <w:r>
        <w:rPr>
          <w:color w:val="231F20"/>
        </w:rPr>
        <w:t>du</w:t>
      </w:r>
      <w:r>
        <w:rPr>
          <w:color w:val="231F20"/>
          <w:spacing w:val="-14"/>
        </w:rPr>
        <w:t> </w:t>
      </w:r>
      <w:r>
        <w:rPr>
          <w:color w:val="231F20"/>
        </w:rPr>
        <w:t>Nord</w:t>
      </w:r>
      <w:r>
        <w:rPr>
          <w:color w:val="231F20"/>
          <w:spacing w:val="-14"/>
        </w:rPr>
        <w:t> </w:t>
      </w:r>
      <w:r>
        <w:rPr>
          <w:color w:val="231F20"/>
        </w:rPr>
        <w:t>à</w:t>
      </w:r>
      <w:r>
        <w:rPr>
          <w:color w:val="231F20"/>
          <w:spacing w:val="-14"/>
        </w:rPr>
        <w:t> </w:t>
      </w:r>
      <w:r>
        <w:rPr>
          <w:color w:val="231F20"/>
        </w:rPr>
        <w:t>faire</w:t>
      </w:r>
      <w:r>
        <w:rPr>
          <w:color w:val="231F20"/>
          <w:spacing w:val="-14"/>
        </w:rPr>
        <w:t> </w:t>
      </w:r>
      <w:r>
        <w:rPr>
          <w:color w:val="231F20"/>
        </w:rPr>
        <w:t>descendre</w:t>
      </w:r>
      <w:r>
        <w:rPr>
          <w:color w:val="231F20"/>
          <w:spacing w:val="-14"/>
        </w:rPr>
        <w:t> </w:t>
      </w:r>
      <w:r>
        <w:rPr>
          <w:color w:val="231F20"/>
        </w:rPr>
        <w:t>sur</w:t>
      </w:r>
      <w:r>
        <w:rPr>
          <w:color w:val="231F20"/>
          <w:spacing w:val="-14"/>
        </w:rPr>
        <w:t> </w:t>
      </w:r>
      <w:r>
        <w:rPr>
          <w:color w:val="231F20"/>
        </w:rPr>
        <w:t>Abidjan,</w:t>
      </w:r>
      <w:r>
        <w:rPr>
          <w:color w:val="231F20"/>
          <w:spacing w:val="-14"/>
        </w:rPr>
        <w:t> </w:t>
      </w:r>
      <w:r>
        <w:rPr>
          <w:color w:val="231F20"/>
        </w:rPr>
        <w:t>des</w:t>
      </w:r>
      <w:r>
        <w:rPr>
          <w:color w:val="231F20"/>
          <w:spacing w:val="-14"/>
        </w:rPr>
        <w:t> </w:t>
      </w:r>
      <w:r>
        <w:rPr>
          <w:color w:val="231F20"/>
        </w:rPr>
        <w:t>dozo</w:t>
      </w:r>
      <w:r>
        <w:rPr>
          <w:color w:val="231F20"/>
          <w:spacing w:val="-14"/>
        </w:rPr>
        <w:t> </w:t>
      </w:r>
      <w:r>
        <w:rPr>
          <w:color w:val="231F20"/>
        </w:rPr>
        <w:t>pour leur servir de vigiles. L’éclosion du grand banditisme ayant pour corollaire les attaques à main armée et le phénomène des coupeurs de route</w:t>
      </w:r>
      <w:r>
        <w:rPr>
          <w:color w:val="231F20"/>
          <w:vertAlign w:val="superscript"/>
        </w:rPr>
        <w:t>148,</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dozos</w:t>
      </w:r>
      <w:r>
        <w:rPr>
          <w:color w:val="231F20"/>
          <w:spacing w:val="-14"/>
          <w:vertAlign w:val="baseline"/>
        </w:rPr>
        <w:t> </w:t>
      </w:r>
      <w:r>
        <w:rPr>
          <w:color w:val="231F20"/>
          <w:vertAlign w:val="baseline"/>
        </w:rPr>
        <w:t>sont</w:t>
      </w:r>
      <w:r>
        <w:rPr>
          <w:color w:val="231F20"/>
          <w:spacing w:val="-14"/>
          <w:vertAlign w:val="baseline"/>
        </w:rPr>
        <w:t> </w:t>
      </w:r>
      <w:r>
        <w:rPr>
          <w:color w:val="231F20"/>
          <w:vertAlign w:val="baseline"/>
        </w:rPr>
        <w:t>sollicités</w:t>
      </w:r>
      <w:r>
        <w:rPr>
          <w:color w:val="231F20"/>
          <w:spacing w:val="-14"/>
          <w:vertAlign w:val="baseline"/>
        </w:rPr>
        <w:t> </w:t>
      </w:r>
      <w:r>
        <w:rPr>
          <w:color w:val="231F20"/>
          <w:vertAlign w:val="baseline"/>
        </w:rPr>
        <w:t>par</w:t>
      </w:r>
      <w:r>
        <w:rPr>
          <w:color w:val="231F20"/>
          <w:spacing w:val="-14"/>
          <w:vertAlign w:val="baseline"/>
        </w:rPr>
        <w:t> </w:t>
      </w:r>
      <w:r>
        <w:rPr>
          <w:color w:val="231F20"/>
          <w:vertAlign w:val="baseline"/>
        </w:rPr>
        <w:t>les</w:t>
      </w:r>
      <w:r>
        <w:rPr>
          <w:color w:val="231F20"/>
          <w:spacing w:val="-14"/>
          <w:vertAlign w:val="baseline"/>
        </w:rPr>
        <w:t> </w:t>
      </w:r>
      <w:r>
        <w:rPr>
          <w:color w:val="231F20"/>
          <w:vertAlign w:val="baseline"/>
        </w:rPr>
        <w:t>compagnies</w:t>
      </w:r>
      <w:r>
        <w:rPr>
          <w:color w:val="231F20"/>
          <w:spacing w:val="-15"/>
          <w:vertAlign w:val="baseline"/>
        </w:rPr>
        <w:t> </w:t>
      </w:r>
      <w:r>
        <w:rPr>
          <w:color w:val="231F20"/>
          <w:vertAlign w:val="baseline"/>
        </w:rPr>
        <w:t>de</w:t>
      </w:r>
      <w:r>
        <w:rPr>
          <w:color w:val="231F20"/>
          <w:spacing w:val="-12"/>
          <w:vertAlign w:val="baseline"/>
        </w:rPr>
        <w:t> </w:t>
      </w:r>
      <w:r>
        <w:rPr>
          <w:color w:val="231F20"/>
          <w:vertAlign w:val="baseline"/>
        </w:rPr>
        <w:t>transport</w:t>
      </w:r>
      <w:r>
        <w:rPr>
          <w:color w:val="231F20"/>
          <w:spacing w:val="-15"/>
          <w:vertAlign w:val="baseline"/>
        </w:rPr>
        <w:t> </w:t>
      </w:r>
      <w:r>
        <w:rPr>
          <w:color w:val="231F20"/>
          <w:vertAlign w:val="baseline"/>
        </w:rPr>
        <w:t>pour</w:t>
      </w:r>
      <w:r>
        <w:rPr>
          <w:color w:val="231F20"/>
          <w:spacing w:val="-15"/>
          <w:vertAlign w:val="baseline"/>
        </w:rPr>
        <w:t> </w:t>
      </w:r>
      <w:r>
        <w:rPr>
          <w:color w:val="231F20"/>
          <w:vertAlign w:val="baseline"/>
        </w:rPr>
        <w:t>la protection</w:t>
      </w:r>
      <w:r>
        <w:rPr>
          <w:color w:val="231F20"/>
          <w:spacing w:val="-5"/>
          <w:vertAlign w:val="baseline"/>
        </w:rPr>
        <w:t> </w:t>
      </w:r>
      <w:r>
        <w:rPr>
          <w:color w:val="231F20"/>
          <w:vertAlign w:val="baseline"/>
        </w:rPr>
        <w:t>des</w:t>
      </w:r>
      <w:r>
        <w:rPr>
          <w:color w:val="231F20"/>
          <w:spacing w:val="-3"/>
          <w:vertAlign w:val="baseline"/>
        </w:rPr>
        <w:t> </w:t>
      </w:r>
      <w:r>
        <w:rPr>
          <w:color w:val="231F20"/>
          <w:vertAlign w:val="baseline"/>
        </w:rPr>
        <w:t>voyageurs.</w:t>
      </w:r>
      <w:r>
        <w:rPr>
          <w:color w:val="231F20"/>
          <w:spacing w:val="-4"/>
          <w:vertAlign w:val="baseline"/>
        </w:rPr>
        <w:t> </w:t>
      </w:r>
      <w:r>
        <w:rPr>
          <w:color w:val="231F20"/>
          <w:vertAlign w:val="baseline"/>
        </w:rPr>
        <w:t>Face</w:t>
      </w:r>
      <w:r>
        <w:rPr>
          <w:color w:val="231F20"/>
          <w:spacing w:val="-3"/>
          <w:vertAlign w:val="baseline"/>
        </w:rPr>
        <w:t> </w:t>
      </w:r>
      <w:r>
        <w:rPr>
          <w:color w:val="231F20"/>
          <w:vertAlign w:val="baseline"/>
        </w:rPr>
        <w:t>aux</w:t>
      </w:r>
      <w:r>
        <w:rPr>
          <w:color w:val="231F20"/>
          <w:spacing w:val="-3"/>
          <w:vertAlign w:val="baseline"/>
        </w:rPr>
        <w:t> </w:t>
      </w:r>
      <w:r>
        <w:rPr>
          <w:color w:val="231F20"/>
          <w:vertAlign w:val="baseline"/>
        </w:rPr>
        <w:t>attaques</w:t>
      </w:r>
      <w:r>
        <w:rPr>
          <w:color w:val="231F20"/>
          <w:spacing w:val="-3"/>
          <w:vertAlign w:val="baseline"/>
        </w:rPr>
        <w:t> </w:t>
      </w:r>
      <w:r>
        <w:rPr>
          <w:color w:val="231F20"/>
          <w:vertAlign w:val="baseline"/>
        </w:rPr>
        <w:t>répétées</w:t>
      </w:r>
      <w:r>
        <w:rPr>
          <w:color w:val="231F20"/>
          <w:spacing w:val="-3"/>
          <w:vertAlign w:val="baseline"/>
        </w:rPr>
        <w:t> </w:t>
      </w:r>
      <w:r>
        <w:rPr>
          <w:color w:val="231F20"/>
          <w:vertAlign w:val="baseline"/>
        </w:rPr>
        <w:t>des</w:t>
      </w:r>
      <w:r>
        <w:rPr>
          <w:color w:val="231F20"/>
          <w:spacing w:val="-3"/>
          <w:vertAlign w:val="baseline"/>
        </w:rPr>
        <w:t> </w:t>
      </w:r>
      <w:r>
        <w:rPr>
          <w:color w:val="231F20"/>
          <w:vertAlign w:val="baseline"/>
        </w:rPr>
        <w:t>cars</w:t>
      </w:r>
      <w:r>
        <w:rPr>
          <w:color w:val="231F20"/>
          <w:spacing w:val="-4"/>
          <w:vertAlign w:val="baseline"/>
        </w:rPr>
        <w:t> </w:t>
      </w:r>
      <w:r>
        <w:rPr>
          <w:color w:val="231F20"/>
          <w:vertAlign w:val="baseline"/>
        </w:rPr>
        <w:t>reliant</w:t>
      </w:r>
      <w:r>
        <w:rPr>
          <w:color w:val="231F20"/>
          <w:spacing w:val="-4"/>
          <w:vertAlign w:val="baseline"/>
        </w:rPr>
        <w:t> </w:t>
      </w:r>
      <w:r>
        <w:rPr>
          <w:color w:val="231F20"/>
          <w:vertAlign w:val="baseline"/>
        </w:rPr>
        <w:t>le Nord du pays à la capitale économique Abidjan au Sud, moyennant rémunération,</w:t>
      </w:r>
      <w:r>
        <w:rPr>
          <w:color w:val="231F20"/>
          <w:spacing w:val="-11"/>
          <w:vertAlign w:val="baseline"/>
        </w:rPr>
        <w:t> </w:t>
      </w:r>
      <w:r>
        <w:rPr>
          <w:color w:val="231F20"/>
          <w:vertAlign w:val="baseline"/>
        </w:rPr>
        <w:t>ces</w:t>
      </w:r>
      <w:r>
        <w:rPr>
          <w:color w:val="231F20"/>
          <w:spacing w:val="-12"/>
          <w:vertAlign w:val="baseline"/>
        </w:rPr>
        <w:t> </w:t>
      </w:r>
      <w:r>
        <w:rPr>
          <w:color w:val="231F20"/>
          <w:vertAlign w:val="baseline"/>
        </w:rPr>
        <w:t>chasseurs</w:t>
      </w:r>
      <w:r>
        <w:rPr>
          <w:color w:val="231F20"/>
          <w:spacing w:val="-11"/>
          <w:vertAlign w:val="baseline"/>
        </w:rPr>
        <w:t> </w:t>
      </w:r>
      <w:r>
        <w:rPr>
          <w:color w:val="231F20"/>
          <w:vertAlign w:val="baseline"/>
        </w:rPr>
        <w:t>traditionnels,</w:t>
      </w:r>
      <w:r>
        <w:rPr>
          <w:color w:val="231F20"/>
          <w:spacing w:val="-12"/>
          <w:vertAlign w:val="baseline"/>
        </w:rPr>
        <w:t> </w:t>
      </w:r>
      <w:r>
        <w:rPr>
          <w:color w:val="231F20"/>
          <w:vertAlign w:val="baseline"/>
        </w:rPr>
        <w:t>craints</w:t>
      </w:r>
      <w:r>
        <w:rPr>
          <w:color w:val="231F20"/>
          <w:spacing w:val="-12"/>
          <w:vertAlign w:val="baseline"/>
        </w:rPr>
        <w:t> </w:t>
      </w:r>
      <w:r>
        <w:rPr>
          <w:color w:val="231F20"/>
          <w:vertAlign w:val="baseline"/>
        </w:rPr>
        <w:t>pour</w:t>
      </w:r>
      <w:r>
        <w:rPr>
          <w:color w:val="231F20"/>
          <w:spacing w:val="-11"/>
          <w:vertAlign w:val="baseline"/>
        </w:rPr>
        <w:t> </w:t>
      </w:r>
      <w:r>
        <w:rPr>
          <w:color w:val="231F20"/>
          <w:vertAlign w:val="baseline"/>
        </w:rPr>
        <w:t>leur</w:t>
      </w:r>
      <w:r>
        <w:rPr>
          <w:color w:val="231F20"/>
          <w:spacing w:val="-11"/>
          <w:vertAlign w:val="baseline"/>
        </w:rPr>
        <w:t> </w:t>
      </w:r>
      <w:r>
        <w:rPr>
          <w:color w:val="231F20"/>
          <w:vertAlign w:val="baseline"/>
        </w:rPr>
        <w:t>mysticisme, convoient des cars de transport. De ce fait, ils sortent de leur cadre traditionnel pour se retrouver dans un nouveau rôle, celui d’agents de sécurité,</w:t>
      </w:r>
      <w:r>
        <w:rPr>
          <w:color w:val="231F20"/>
          <w:spacing w:val="-3"/>
          <w:vertAlign w:val="baseline"/>
        </w:rPr>
        <w:t> </w:t>
      </w:r>
      <w:r>
        <w:rPr>
          <w:color w:val="231F20"/>
          <w:vertAlign w:val="baseline"/>
        </w:rPr>
        <w:t>voire</w:t>
      </w:r>
      <w:r>
        <w:rPr>
          <w:color w:val="231F20"/>
          <w:spacing w:val="-4"/>
          <w:vertAlign w:val="baseline"/>
        </w:rPr>
        <w:t> </w:t>
      </w:r>
      <w:r>
        <w:rPr>
          <w:color w:val="231F20"/>
          <w:vertAlign w:val="baseline"/>
        </w:rPr>
        <w:t>de</w:t>
      </w:r>
      <w:r>
        <w:rPr>
          <w:color w:val="231F20"/>
          <w:spacing w:val="-1"/>
          <w:vertAlign w:val="baseline"/>
        </w:rPr>
        <w:t> </w:t>
      </w:r>
      <w:r>
        <w:rPr>
          <w:color w:val="231F20"/>
          <w:vertAlign w:val="baseline"/>
        </w:rPr>
        <w:t>supplétifs</w:t>
      </w:r>
      <w:r>
        <w:rPr>
          <w:color w:val="231F20"/>
          <w:spacing w:val="-1"/>
          <w:vertAlign w:val="baseline"/>
        </w:rPr>
        <w:t> </w:t>
      </w:r>
      <w:r>
        <w:rPr>
          <w:color w:val="231F20"/>
          <w:vertAlign w:val="baseline"/>
        </w:rPr>
        <w:t>aux</w:t>
      </w:r>
      <w:r>
        <w:rPr>
          <w:color w:val="231F20"/>
          <w:spacing w:val="-1"/>
          <w:vertAlign w:val="baseline"/>
        </w:rPr>
        <w:t> </w:t>
      </w:r>
      <w:r>
        <w:rPr>
          <w:color w:val="231F20"/>
          <w:vertAlign w:val="baseline"/>
        </w:rPr>
        <w:t>forces</w:t>
      </w:r>
      <w:r>
        <w:rPr>
          <w:color w:val="231F20"/>
          <w:spacing w:val="-3"/>
          <w:vertAlign w:val="baseline"/>
        </w:rPr>
        <w:t> </w:t>
      </w:r>
      <w:r>
        <w:rPr>
          <w:color w:val="231F20"/>
          <w:vertAlign w:val="baseline"/>
        </w:rPr>
        <w:t>de</w:t>
      </w:r>
      <w:r>
        <w:rPr>
          <w:color w:val="231F20"/>
          <w:spacing w:val="-1"/>
          <w:vertAlign w:val="baseline"/>
        </w:rPr>
        <w:t> </w:t>
      </w:r>
      <w:r>
        <w:rPr>
          <w:color w:val="231F20"/>
          <w:vertAlign w:val="baseline"/>
        </w:rPr>
        <w:t>police.</w:t>
      </w:r>
    </w:p>
    <w:p>
      <w:pPr>
        <w:pStyle w:val="BodyText"/>
        <w:spacing w:before="121"/>
        <w:ind w:right="106" w:firstLine="283"/>
      </w:pPr>
      <w:r>
        <w:rPr>
          <w:color w:val="231F20"/>
        </w:rPr>
        <w:t>Dans les villes du Nord du pays, ces chasseurs traditionnels sont </w:t>
      </w:r>
      <w:r>
        <w:rPr>
          <w:color w:val="231F20"/>
          <w:spacing w:val="-2"/>
        </w:rPr>
        <w:t>souvent</w:t>
      </w:r>
      <w:r>
        <w:rPr>
          <w:color w:val="231F20"/>
          <w:spacing w:val="-13"/>
        </w:rPr>
        <w:t> </w:t>
      </w:r>
      <w:r>
        <w:rPr>
          <w:color w:val="231F20"/>
          <w:spacing w:val="-2"/>
        </w:rPr>
        <w:t>sollicités</w:t>
      </w:r>
      <w:r>
        <w:rPr>
          <w:color w:val="231F20"/>
          <w:spacing w:val="-12"/>
        </w:rPr>
        <w:t> </w:t>
      </w:r>
      <w:r>
        <w:rPr>
          <w:color w:val="231F20"/>
          <w:spacing w:val="-2"/>
        </w:rPr>
        <w:t>pour</w:t>
      </w:r>
      <w:r>
        <w:rPr>
          <w:color w:val="231F20"/>
          <w:spacing w:val="-13"/>
        </w:rPr>
        <w:t> </w:t>
      </w:r>
      <w:r>
        <w:rPr>
          <w:color w:val="231F20"/>
          <w:spacing w:val="-2"/>
        </w:rPr>
        <w:t>régler</w:t>
      </w:r>
      <w:r>
        <w:rPr>
          <w:color w:val="231F20"/>
          <w:spacing w:val="-13"/>
        </w:rPr>
        <w:t> </w:t>
      </w:r>
      <w:r>
        <w:rPr>
          <w:color w:val="231F20"/>
          <w:spacing w:val="-2"/>
        </w:rPr>
        <w:t>des</w:t>
      </w:r>
      <w:r>
        <w:rPr>
          <w:color w:val="231F20"/>
          <w:spacing w:val="-12"/>
        </w:rPr>
        <w:t> </w:t>
      </w:r>
      <w:r>
        <w:rPr>
          <w:color w:val="231F20"/>
          <w:spacing w:val="-2"/>
        </w:rPr>
        <w:t>situations</w:t>
      </w:r>
      <w:r>
        <w:rPr>
          <w:color w:val="231F20"/>
          <w:spacing w:val="-12"/>
        </w:rPr>
        <w:t> </w:t>
      </w:r>
      <w:r>
        <w:rPr>
          <w:color w:val="231F20"/>
          <w:spacing w:val="-2"/>
        </w:rPr>
        <w:t>d’insécurité</w:t>
      </w:r>
      <w:r>
        <w:rPr>
          <w:color w:val="231F20"/>
          <w:spacing w:val="-12"/>
        </w:rPr>
        <w:t> </w:t>
      </w:r>
      <w:r>
        <w:rPr>
          <w:color w:val="231F20"/>
          <w:spacing w:val="-2"/>
        </w:rPr>
        <w:t>que</w:t>
      </w:r>
      <w:r>
        <w:rPr>
          <w:color w:val="231F20"/>
          <w:spacing w:val="-13"/>
        </w:rPr>
        <w:t> </w:t>
      </w:r>
      <w:r>
        <w:rPr>
          <w:color w:val="231F20"/>
          <w:spacing w:val="-2"/>
        </w:rPr>
        <w:t>les</w:t>
      </w:r>
      <w:r>
        <w:rPr>
          <w:color w:val="231F20"/>
          <w:spacing w:val="-13"/>
        </w:rPr>
        <w:t> </w:t>
      </w:r>
      <w:r>
        <w:rPr>
          <w:color w:val="231F20"/>
          <w:spacing w:val="-2"/>
        </w:rPr>
        <w:t>agents</w:t>
      </w:r>
      <w:r>
        <w:rPr>
          <w:color w:val="231F20"/>
          <w:spacing w:val="-12"/>
        </w:rPr>
        <w:t> </w:t>
      </w:r>
      <w:r>
        <w:rPr>
          <w:color w:val="231F20"/>
          <w:spacing w:val="-2"/>
        </w:rPr>
        <w:t>de </w:t>
      </w:r>
      <w:r>
        <w:rPr>
          <w:color w:val="231F20"/>
          <w:spacing w:val="-4"/>
        </w:rPr>
        <w:t>sécurité</w:t>
      </w:r>
      <w:r>
        <w:rPr>
          <w:color w:val="231F20"/>
          <w:spacing w:val="-9"/>
        </w:rPr>
        <w:t> </w:t>
      </w:r>
      <w:r>
        <w:rPr>
          <w:color w:val="231F20"/>
          <w:spacing w:val="-4"/>
        </w:rPr>
        <w:t>n’ont</w:t>
      </w:r>
      <w:r>
        <w:rPr>
          <w:color w:val="231F20"/>
          <w:spacing w:val="-7"/>
        </w:rPr>
        <w:t> </w:t>
      </w:r>
      <w:r>
        <w:rPr>
          <w:color w:val="231F20"/>
          <w:spacing w:val="-4"/>
        </w:rPr>
        <w:t>pas</w:t>
      </w:r>
      <w:r>
        <w:rPr>
          <w:color w:val="231F20"/>
          <w:spacing w:val="-8"/>
        </w:rPr>
        <w:t> </w:t>
      </w:r>
      <w:r>
        <w:rPr>
          <w:color w:val="231F20"/>
          <w:spacing w:val="-4"/>
        </w:rPr>
        <w:t>pu</w:t>
      </w:r>
      <w:r>
        <w:rPr>
          <w:color w:val="231F20"/>
          <w:spacing w:val="-6"/>
        </w:rPr>
        <w:t> </w:t>
      </w:r>
      <w:r>
        <w:rPr>
          <w:color w:val="231F20"/>
          <w:spacing w:val="-4"/>
        </w:rPr>
        <w:t>résoudre.</w:t>
      </w:r>
      <w:r>
        <w:rPr>
          <w:color w:val="231F20"/>
          <w:spacing w:val="-8"/>
        </w:rPr>
        <w:t> </w:t>
      </w:r>
      <w:r>
        <w:rPr>
          <w:color w:val="231F20"/>
          <w:spacing w:val="-4"/>
        </w:rPr>
        <w:t>Cela</w:t>
      </w:r>
      <w:r>
        <w:rPr>
          <w:color w:val="231F20"/>
          <w:spacing w:val="-8"/>
        </w:rPr>
        <w:t> </w:t>
      </w:r>
      <w:r>
        <w:rPr>
          <w:color w:val="231F20"/>
          <w:spacing w:val="-4"/>
        </w:rPr>
        <w:t>popularise</w:t>
      </w:r>
      <w:r>
        <w:rPr>
          <w:color w:val="231F20"/>
          <w:spacing w:val="-9"/>
        </w:rPr>
        <w:t> </w:t>
      </w:r>
      <w:r>
        <w:rPr>
          <w:color w:val="231F20"/>
          <w:spacing w:val="-4"/>
        </w:rPr>
        <w:t>leur</w:t>
      </w:r>
      <w:r>
        <w:rPr>
          <w:color w:val="231F20"/>
          <w:spacing w:val="-11"/>
        </w:rPr>
        <w:t> </w:t>
      </w:r>
      <w:r>
        <w:rPr>
          <w:color w:val="231F20"/>
          <w:spacing w:val="-4"/>
        </w:rPr>
        <w:t>recours</w:t>
      </w:r>
      <w:r>
        <w:rPr>
          <w:color w:val="231F20"/>
          <w:spacing w:val="-6"/>
        </w:rPr>
        <w:t> </w:t>
      </w:r>
      <w:r>
        <w:rPr>
          <w:color w:val="231F20"/>
          <w:spacing w:val="-4"/>
        </w:rPr>
        <w:t>et</w:t>
      </w:r>
      <w:r>
        <w:rPr>
          <w:color w:val="231F20"/>
          <w:spacing w:val="-9"/>
        </w:rPr>
        <w:t> </w:t>
      </w:r>
      <w:r>
        <w:rPr>
          <w:color w:val="231F20"/>
          <w:spacing w:val="-4"/>
        </w:rPr>
        <w:t>renforce</w:t>
      </w:r>
      <w:r>
        <w:rPr>
          <w:color w:val="231F20"/>
          <w:spacing w:val="-9"/>
        </w:rPr>
        <w:t> </w:t>
      </w:r>
      <w:r>
        <w:rPr>
          <w:color w:val="231F20"/>
          <w:spacing w:val="-4"/>
        </w:rPr>
        <w:t>les </w:t>
      </w:r>
      <w:r>
        <w:rPr>
          <w:color w:val="231F20"/>
        </w:rPr>
        <w:t>croyances en leurs supposés pouvoirs magico-religieux qui leur permettent d’affronter toute sorte de dangers et d’ennemis visibles ou </w:t>
      </w:r>
      <w:r>
        <w:rPr>
          <w:color w:val="231F20"/>
          <w:spacing w:val="-2"/>
        </w:rPr>
        <w:t>invisibles.</w:t>
      </w:r>
      <w:r>
        <w:rPr>
          <w:color w:val="231F20"/>
          <w:spacing w:val="-13"/>
        </w:rPr>
        <w:t> </w:t>
      </w:r>
      <w:r>
        <w:rPr>
          <w:color w:val="231F20"/>
          <w:spacing w:val="-2"/>
        </w:rPr>
        <w:t>Comme</w:t>
      </w:r>
      <w:r>
        <w:rPr>
          <w:color w:val="231F20"/>
          <w:spacing w:val="-11"/>
        </w:rPr>
        <w:t> </w:t>
      </w:r>
      <w:r>
        <w:rPr>
          <w:color w:val="231F20"/>
          <w:spacing w:val="-2"/>
        </w:rPr>
        <w:t>arme</w:t>
      </w:r>
      <w:r>
        <w:rPr>
          <w:color w:val="231F20"/>
          <w:spacing w:val="-10"/>
        </w:rPr>
        <w:t> </w:t>
      </w:r>
      <w:r>
        <w:rPr>
          <w:color w:val="231F20"/>
          <w:spacing w:val="-2"/>
        </w:rPr>
        <w:t>efficace</w:t>
      </w:r>
      <w:r>
        <w:rPr>
          <w:color w:val="231F20"/>
          <w:spacing w:val="-10"/>
        </w:rPr>
        <w:t> </w:t>
      </w:r>
      <w:r>
        <w:rPr>
          <w:color w:val="231F20"/>
          <w:spacing w:val="-2"/>
        </w:rPr>
        <w:t>contre</w:t>
      </w:r>
      <w:r>
        <w:rPr>
          <w:color w:val="231F20"/>
          <w:spacing w:val="-10"/>
        </w:rPr>
        <w:t> </w:t>
      </w:r>
      <w:r>
        <w:rPr>
          <w:color w:val="231F20"/>
          <w:spacing w:val="-2"/>
        </w:rPr>
        <w:t>le</w:t>
      </w:r>
      <w:r>
        <w:rPr>
          <w:color w:val="231F20"/>
          <w:spacing w:val="-10"/>
        </w:rPr>
        <w:t> </w:t>
      </w:r>
      <w:r>
        <w:rPr>
          <w:color w:val="231F20"/>
          <w:spacing w:val="-2"/>
        </w:rPr>
        <w:t>banditisme,</w:t>
      </w:r>
      <w:r>
        <w:rPr>
          <w:color w:val="231F20"/>
          <w:spacing w:val="-9"/>
        </w:rPr>
        <w:t> </w:t>
      </w:r>
      <w:r>
        <w:rPr>
          <w:color w:val="231F20"/>
          <w:spacing w:val="-2"/>
        </w:rPr>
        <w:t>agents</w:t>
      </w:r>
      <w:r>
        <w:rPr>
          <w:color w:val="231F20"/>
          <w:spacing w:val="-10"/>
        </w:rPr>
        <w:t> </w:t>
      </w:r>
      <w:r>
        <w:rPr>
          <w:color w:val="231F20"/>
          <w:spacing w:val="-2"/>
        </w:rPr>
        <w:t>de</w:t>
      </w:r>
      <w:r>
        <w:rPr>
          <w:color w:val="231F20"/>
          <w:spacing w:val="-13"/>
        </w:rPr>
        <w:t> </w:t>
      </w:r>
      <w:r>
        <w:rPr>
          <w:color w:val="231F20"/>
          <w:spacing w:val="-2"/>
        </w:rPr>
        <w:t>sécurité </w:t>
      </w:r>
      <w:r>
        <w:rPr>
          <w:color w:val="231F20"/>
          <w:spacing w:val="-4"/>
        </w:rPr>
        <w:t>sollicités</w:t>
      </w:r>
      <w:r>
        <w:rPr>
          <w:color w:val="231F20"/>
          <w:spacing w:val="-6"/>
        </w:rPr>
        <w:t> </w:t>
      </w:r>
      <w:r>
        <w:rPr>
          <w:color w:val="231F20"/>
          <w:spacing w:val="-4"/>
        </w:rPr>
        <w:t>par</w:t>
      </w:r>
      <w:r>
        <w:rPr>
          <w:color w:val="231F20"/>
          <w:spacing w:val="-9"/>
        </w:rPr>
        <w:t> </w:t>
      </w:r>
      <w:r>
        <w:rPr>
          <w:color w:val="231F20"/>
          <w:spacing w:val="-4"/>
        </w:rPr>
        <w:t>les</w:t>
      </w:r>
      <w:r>
        <w:rPr>
          <w:color w:val="231F20"/>
          <w:spacing w:val="-6"/>
        </w:rPr>
        <w:t> </w:t>
      </w:r>
      <w:r>
        <w:rPr>
          <w:color w:val="231F20"/>
          <w:spacing w:val="-4"/>
        </w:rPr>
        <w:t>autorités</w:t>
      </w:r>
      <w:r>
        <w:rPr>
          <w:color w:val="231F20"/>
          <w:spacing w:val="-9"/>
        </w:rPr>
        <w:t> </w:t>
      </w:r>
      <w:r>
        <w:rPr>
          <w:color w:val="231F20"/>
          <w:spacing w:val="-4"/>
        </w:rPr>
        <w:t>ou</w:t>
      </w:r>
      <w:r>
        <w:rPr>
          <w:color w:val="231F20"/>
          <w:spacing w:val="-6"/>
        </w:rPr>
        <w:t> </w:t>
      </w:r>
      <w:r>
        <w:rPr>
          <w:color w:val="231F20"/>
          <w:spacing w:val="-4"/>
        </w:rPr>
        <w:t>agents</w:t>
      </w:r>
      <w:r>
        <w:rPr>
          <w:color w:val="231F20"/>
          <w:spacing w:val="-6"/>
        </w:rPr>
        <w:t> </w:t>
      </w:r>
      <w:r>
        <w:rPr>
          <w:color w:val="231F20"/>
          <w:spacing w:val="-4"/>
        </w:rPr>
        <w:t>d’autodéfense</w:t>
      </w:r>
      <w:r>
        <w:rPr>
          <w:color w:val="231F20"/>
          <w:spacing w:val="-10"/>
        </w:rPr>
        <w:t> </w:t>
      </w:r>
      <w:r>
        <w:rPr>
          <w:color w:val="231F20"/>
          <w:spacing w:val="-4"/>
        </w:rPr>
        <w:t>dans</w:t>
      </w:r>
      <w:r>
        <w:rPr>
          <w:color w:val="231F20"/>
          <w:spacing w:val="-6"/>
        </w:rPr>
        <w:t> </w:t>
      </w:r>
      <w:r>
        <w:rPr>
          <w:color w:val="231F20"/>
          <w:spacing w:val="-4"/>
        </w:rPr>
        <w:t>certaines</w:t>
      </w:r>
      <w:r>
        <w:rPr>
          <w:color w:val="231F20"/>
          <w:spacing w:val="-5"/>
        </w:rPr>
        <w:t> </w:t>
      </w:r>
      <w:r>
        <w:rPr>
          <w:color w:val="231F20"/>
          <w:spacing w:val="-4"/>
        </w:rPr>
        <w:t>villes</w:t>
      </w:r>
      <w:r>
        <w:rPr>
          <w:color w:val="231F20"/>
          <w:spacing w:val="-5"/>
        </w:rPr>
        <w:t> </w:t>
      </w:r>
      <w:r>
        <w:rPr>
          <w:color w:val="231F20"/>
          <w:spacing w:val="-4"/>
        </w:rPr>
        <w:t>du </w:t>
      </w:r>
      <w:r>
        <w:rPr>
          <w:color w:val="231F20"/>
        </w:rPr>
        <w:t>Nord</w:t>
      </w:r>
      <w:r>
        <w:rPr>
          <w:color w:val="231F20"/>
          <w:spacing w:val="-1"/>
        </w:rPr>
        <w:t> </w:t>
      </w:r>
      <w:r>
        <w:rPr>
          <w:color w:val="231F20"/>
        </w:rPr>
        <w:t>où</w:t>
      </w:r>
      <w:r>
        <w:rPr>
          <w:color w:val="231F20"/>
          <w:spacing w:val="-1"/>
        </w:rPr>
        <w:t> </w:t>
      </w:r>
      <w:r>
        <w:rPr>
          <w:color w:val="231F20"/>
        </w:rPr>
        <w:t>ils</w:t>
      </w:r>
      <w:r>
        <w:rPr>
          <w:color w:val="231F20"/>
          <w:spacing w:val="-1"/>
        </w:rPr>
        <w:t> </w:t>
      </w:r>
      <w:r>
        <w:rPr>
          <w:color w:val="231F20"/>
        </w:rPr>
        <w:t>s’érigent</w:t>
      </w:r>
      <w:r>
        <w:rPr>
          <w:color w:val="231F20"/>
          <w:spacing w:val="-1"/>
        </w:rPr>
        <w:t> </w:t>
      </w:r>
      <w:r>
        <w:rPr>
          <w:color w:val="231F20"/>
        </w:rPr>
        <w:t>eux-mêmes</w:t>
      </w:r>
      <w:r>
        <w:rPr>
          <w:color w:val="231F20"/>
          <w:spacing w:val="-1"/>
        </w:rPr>
        <w:t> </w:t>
      </w:r>
      <w:r>
        <w:rPr>
          <w:color w:val="231F20"/>
        </w:rPr>
        <w:t>en</w:t>
      </w:r>
      <w:r>
        <w:rPr>
          <w:color w:val="231F20"/>
          <w:spacing w:val="-1"/>
        </w:rPr>
        <w:t> </w:t>
      </w:r>
      <w:r>
        <w:rPr>
          <w:color w:val="231F20"/>
        </w:rPr>
        <w:t>protecteurs de</w:t>
      </w:r>
      <w:r>
        <w:rPr>
          <w:color w:val="231F20"/>
          <w:spacing w:val="-3"/>
        </w:rPr>
        <w:t> </w:t>
      </w:r>
      <w:r>
        <w:rPr>
          <w:color w:val="231F20"/>
        </w:rPr>
        <w:t>la</w:t>
      </w:r>
      <w:r>
        <w:rPr>
          <w:color w:val="231F20"/>
          <w:spacing w:val="-1"/>
        </w:rPr>
        <w:t> </w:t>
      </w:r>
      <w:r>
        <w:rPr>
          <w:color w:val="231F20"/>
        </w:rPr>
        <w:t>Communauté,</w:t>
      </w:r>
      <w:r>
        <w:rPr>
          <w:color w:val="231F20"/>
          <w:spacing w:val="-1"/>
        </w:rPr>
        <w:t> </w:t>
      </w:r>
      <w:r>
        <w:rPr>
          <w:color w:val="231F20"/>
        </w:rPr>
        <w:t>ils deviennent de</w:t>
      </w:r>
      <w:r>
        <w:rPr>
          <w:color w:val="231F20"/>
          <w:spacing w:val="-2"/>
        </w:rPr>
        <w:t> </w:t>
      </w:r>
      <w:r>
        <w:rPr>
          <w:color w:val="231F20"/>
        </w:rPr>
        <w:t>fait</w:t>
      </w:r>
      <w:r>
        <w:rPr>
          <w:color w:val="231F20"/>
          <w:spacing w:val="-4"/>
        </w:rPr>
        <w:t> </w:t>
      </w:r>
      <w:r>
        <w:rPr>
          <w:color w:val="231F20"/>
        </w:rPr>
        <w:t>des</w:t>
      </w:r>
      <w:r>
        <w:rPr>
          <w:color w:val="231F20"/>
          <w:spacing w:val="-2"/>
        </w:rPr>
        <w:t> </w:t>
      </w:r>
      <w:r>
        <w:rPr>
          <w:color w:val="231F20"/>
        </w:rPr>
        <w:t>agents</w:t>
      </w:r>
      <w:r>
        <w:rPr>
          <w:color w:val="231F20"/>
          <w:spacing w:val="-4"/>
        </w:rPr>
        <w:t> </w:t>
      </w:r>
      <w:r>
        <w:rPr>
          <w:color w:val="231F20"/>
        </w:rPr>
        <w:t>de</w:t>
      </w:r>
      <w:r>
        <w:rPr>
          <w:color w:val="231F20"/>
          <w:spacing w:val="-2"/>
        </w:rPr>
        <w:t> </w:t>
      </w:r>
      <w:r>
        <w:rPr>
          <w:color w:val="231F20"/>
        </w:rPr>
        <w:t>maintien</w:t>
      </w:r>
      <w:r>
        <w:rPr>
          <w:color w:val="231F20"/>
          <w:spacing w:val="-2"/>
        </w:rPr>
        <w:t> </w:t>
      </w:r>
      <w:r>
        <w:rPr>
          <w:color w:val="231F20"/>
        </w:rPr>
        <w:t>de</w:t>
      </w:r>
      <w:r>
        <w:rPr>
          <w:color w:val="231F20"/>
          <w:spacing w:val="-4"/>
        </w:rPr>
        <w:t> </w:t>
      </w:r>
      <w:r>
        <w:rPr>
          <w:color w:val="231F20"/>
        </w:rPr>
        <w:t>l’ordre.</w:t>
      </w:r>
    </w:p>
    <w:p>
      <w:pPr>
        <w:pStyle w:val="BodyText"/>
        <w:spacing w:before="241"/>
        <w:ind w:left="0"/>
        <w:jc w:val="left"/>
      </w:pPr>
    </w:p>
    <w:p>
      <w:pPr>
        <w:pStyle w:val="Heading3"/>
        <w:rPr>
          <w:i/>
        </w:rPr>
      </w:pPr>
      <w:bookmarkStart w:name="_TOC_250021" w:id="22"/>
      <w:r>
        <w:rPr>
          <w:i/>
          <w:color w:val="231F20"/>
          <w:spacing w:val="-2"/>
        </w:rPr>
        <w:t>La</w:t>
      </w:r>
      <w:r>
        <w:rPr>
          <w:i/>
          <w:color w:val="231F20"/>
          <w:spacing w:val="-10"/>
        </w:rPr>
        <w:t> </w:t>
      </w:r>
      <w:r>
        <w:rPr>
          <w:i/>
          <w:color w:val="231F20"/>
          <w:spacing w:val="-2"/>
        </w:rPr>
        <w:t>Presse</w:t>
      </w:r>
      <w:r>
        <w:rPr>
          <w:i/>
          <w:color w:val="231F20"/>
          <w:spacing w:val="-7"/>
        </w:rPr>
        <w:t> </w:t>
      </w:r>
      <w:r>
        <w:rPr>
          <w:i/>
          <w:color w:val="231F20"/>
          <w:spacing w:val="-2"/>
        </w:rPr>
        <w:t>en</w:t>
      </w:r>
      <w:r>
        <w:rPr>
          <w:i/>
          <w:color w:val="231F20"/>
          <w:spacing w:val="-6"/>
        </w:rPr>
        <w:t> </w:t>
      </w:r>
      <w:bookmarkEnd w:id="22"/>
      <w:r>
        <w:rPr>
          <w:i/>
          <w:color w:val="231F20"/>
          <w:spacing w:val="-4"/>
        </w:rPr>
        <w:t>fête</w:t>
      </w:r>
    </w:p>
    <w:p>
      <w:pPr>
        <w:pStyle w:val="BodyText"/>
        <w:spacing w:before="256"/>
        <w:ind w:left="395"/>
      </w:pPr>
      <w:r>
        <w:rPr>
          <w:color w:val="231F20"/>
        </w:rPr>
        <w:t>De</w:t>
      </w:r>
      <w:r>
        <w:rPr>
          <w:color w:val="231F20"/>
          <w:spacing w:val="-15"/>
        </w:rPr>
        <w:t> </w:t>
      </w:r>
      <w:r>
        <w:rPr>
          <w:color w:val="231F20"/>
        </w:rPr>
        <w:t>l’accession</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Côte</w:t>
      </w:r>
      <w:r>
        <w:rPr>
          <w:color w:val="231F20"/>
          <w:spacing w:val="-15"/>
        </w:rPr>
        <w:t> </w:t>
      </w:r>
      <w:r>
        <w:rPr>
          <w:color w:val="231F20"/>
        </w:rPr>
        <w:t>d’Ivoire</w:t>
      </w:r>
      <w:r>
        <w:rPr>
          <w:color w:val="231F20"/>
          <w:spacing w:val="-15"/>
        </w:rPr>
        <w:t> </w:t>
      </w:r>
      <w:r>
        <w:rPr>
          <w:color w:val="231F20"/>
        </w:rPr>
        <w:t>à</w:t>
      </w:r>
      <w:r>
        <w:rPr>
          <w:color w:val="231F20"/>
          <w:spacing w:val="-14"/>
        </w:rPr>
        <w:t> </w:t>
      </w:r>
      <w:r>
        <w:rPr>
          <w:color w:val="231F20"/>
        </w:rPr>
        <w:t>l’indépendance</w:t>
      </w:r>
      <w:r>
        <w:rPr>
          <w:color w:val="231F20"/>
          <w:spacing w:val="-15"/>
        </w:rPr>
        <w:t> </w:t>
      </w:r>
      <w:r>
        <w:rPr>
          <w:color w:val="231F20"/>
        </w:rPr>
        <w:t>en</w:t>
      </w:r>
      <w:r>
        <w:rPr>
          <w:color w:val="231F20"/>
          <w:spacing w:val="-13"/>
        </w:rPr>
        <w:t> </w:t>
      </w:r>
      <w:r>
        <w:rPr>
          <w:color w:val="231F20"/>
        </w:rPr>
        <w:t>1960</w:t>
      </w:r>
      <w:r>
        <w:rPr>
          <w:color w:val="231F20"/>
          <w:spacing w:val="-15"/>
        </w:rPr>
        <w:t> </w:t>
      </w:r>
      <w:r>
        <w:rPr>
          <w:color w:val="231F20"/>
          <w:spacing w:val="-2"/>
        </w:rPr>
        <w:t>jusqu’en</w:t>
      </w:r>
    </w:p>
    <w:p>
      <w:pPr>
        <w:pStyle w:val="BodyText"/>
      </w:pPr>
      <w:r>
        <w:rPr>
          <w:color w:val="231F20"/>
          <w:spacing w:val="-2"/>
        </w:rPr>
        <w:t>1990,</w:t>
      </w:r>
      <w:r>
        <w:rPr>
          <w:color w:val="231F20"/>
          <w:spacing w:val="-14"/>
        </w:rPr>
        <w:t> </w:t>
      </w:r>
      <w:r>
        <w:rPr>
          <w:color w:val="231F20"/>
          <w:spacing w:val="-2"/>
        </w:rPr>
        <w:t>la</w:t>
      </w:r>
      <w:r>
        <w:rPr>
          <w:color w:val="231F20"/>
          <w:spacing w:val="-10"/>
        </w:rPr>
        <w:t> </w:t>
      </w:r>
      <w:r>
        <w:rPr>
          <w:color w:val="231F20"/>
          <w:spacing w:val="-2"/>
        </w:rPr>
        <w:t>presse</w:t>
      </w:r>
      <w:r>
        <w:rPr>
          <w:color w:val="231F20"/>
          <w:spacing w:val="-10"/>
        </w:rPr>
        <w:t> </w:t>
      </w:r>
      <w:r>
        <w:rPr>
          <w:color w:val="231F20"/>
          <w:spacing w:val="-2"/>
        </w:rPr>
        <w:t>ivoirienne</w:t>
      </w:r>
      <w:r>
        <w:rPr>
          <w:color w:val="231F20"/>
          <w:spacing w:val="-11"/>
        </w:rPr>
        <w:t> </w:t>
      </w:r>
      <w:r>
        <w:rPr>
          <w:color w:val="231F20"/>
          <w:spacing w:val="-2"/>
        </w:rPr>
        <w:t>se</w:t>
      </w:r>
      <w:r>
        <w:rPr>
          <w:color w:val="231F20"/>
          <w:spacing w:val="-10"/>
        </w:rPr>
        <w:t> </w:t>
      </w:r>
      <w:r>
        <w:rPr>
          <w:color w:val="231F20"/>
          <w:spacing w:val="-2"/>
        </w:rPr>
        <w:t>réduisait</w:t>
      </w:r>
      <w:r>
        <w:rPr>
          <w:color w:val="231F20"/>
          <w:spacing w:val="-11"/>
        </w:rPr>
        <w:t> </w:t>
      </w:r>
      <w:r>
        <w:rPr>
          <w:color w:val="231F20"/>
          <w:spacing w:val="-2"/>
        </w:rPr>
        <w:t>aux</w:t>
      </w:r>
      <w:r>
        <w:rPr>
          <w:color w:val="231F20"/>
          <w:spacing w:val="-9"/>
        </w:rPr>
        <w:t> </w:t>
      </w:r>
      <w:r>
        <w:rPr>
          <w:color w:val="231F20"/>
          <w:spacing w:val="-2"/>
        </w:rPr>
        <w:t>seuls</w:t>
      </w:r>
      <w:r>
        <w:rPr>
          <w:color w:val="231F20"/>
          <w:spacing w:val="-12"/>
        </w:rPr>
        <w:t> </w:t>
      </w:r>
      <w:r>
        <w:rPr>
          <w:color w:val="231F20"/>
          <w:spacing w:val="-2"/>
        </w:rPr>
        <w:t>médias</w:t>
      </w:r>
      <w:r>
        <w:rPr>
          <w:color w:val="231F20"/>
          <w:spacing w:val="-8"/>
        </w:rPr>
        <w:t> </w:t>
      </w:r>
      <w:r>
        <w:rPr>
          <w:color w:val="231F20"/>
          <w:spacing w:val="-2"/>
        </w:rPr>
        <w:t>d’État.</w:t>
      </w:r>
    </w:p>
    <w:p>
      <w:pPr>
        <w:pStyle w:val="BodyText"/>
        <w:spacing w:line="278" w:lineRule="auto" w:before="120"/>
        <w:ind w:right="104" w:firstLine="283"/>
      </w:pPr>
      <w:r>
        <w:rPr>
          <w:color w:val="231F20"/>
        </w:rPr>
        <w:t>Ainsi,</w:t>
      </w:r>
      <w:r>
        <w:rPr>
          <w:color w:val="231F20"/>
          <w:spacing w:val="40"/>
        </w:rPr>
        <w:t> </w:t>
      </w:r>
      <w:r>
        <w:rPr>
          <w:color w:val="231F20"/>
        </w:rPr>
        <w:t>avant</w:t>
      </w:r>
      <w:r>
        <w:rPr>
          <w:color w:val="231F20"/>
          <w:spacing w:val="40"/>
        </w:rPr>
        <w:t> </w:t>
      </w:r>
      <w:r>
        <w:rPr>
          <w:color w:val="231F20"/>
        </w:rPr>
        <w:t>le</w:t>
      </w:r>
      <w:r>
        <w:rPr>
          <w:color w:val="231F20"/>
          <w:spacing w:val="40"/>
        </w:rPr>
        <w:t> </w:t>
      </w:r>
      <w:r>
        <w:rPr>
          <w:color w:val="231F20"/>
        </w:rPr>
        <w:t>03</w:t>
      </w:r>
      <w:r>
        <w:rPr>
          <w:color w:val="231F20"/>
          <w:spacing w:val="40"/>
        </w:rPr>
        <w:t> </w:t>
      </w:r>
      <w:r>
        <w:rPr>
          <w:color w:val="231F20"/>
        </w:rPr>
        <w:t>mai</w:t>
      </w:r>
      <w:r>
        <w:rPr>
          <w:color w:val="231F20"/>
          <w:spacing w:val="40"/>
        </w:rPr>
        <w:t> </w:t>
      </w:r>
      <w:r>
        <w:rPr>
          <w:color w:val="231F20"/>
        </w:rPr>
        <w:t>1990,</w:t>
      </w:r>
      <w:r>
        <w:rPr>
          <w:color w:val="231F20"/>
          <w:spacing w:val="40"/>
        </w:rPr>
        <w:t> </w:t>
      </w:r>
      <w:r>
        <w:rPr>
          <w:color w:val="231F20"/>
        </w:rPr>
        <w:t>date</w:t>
      </w:r>
      <w:r>
        <w:rPr>
          <w:color w:val="231F20"/>
          <w:spacing w:val="40"/>
        </w:rPr>
        <w:t> </w:t>
      </w:r>
      <w:r>
        <w:rPr>
          <w:color w:val="231F20"/>
        </w:rPr>
        <w:t>du</w:t>
      </w:r>
      <w:r>
        <w:rPr>
          <w:color w:val="231F20"/>
          <w:spacing w:val="40"/>
        </w:rPr>
        <w:t> </w:t>
      </w:r>
      <w:r>
        <w:rPr>
          <w:color w:val="231F20"/>
        </w:rPr>
        <w:t>retour</w:t>
      </w:r>
      <w:r>
        <w:rPr>
          <w:color w:val="231F20"/>
          <w:spacing w:val="40"/>
        </w:rPr>
        <w:t> </w:t>
      </w:r>
      <w:r>
        <w:rPr>
          <w:color w:val="231F20"/>
        </w:rPr>
        <w:t>au</w:t>
      </w:r>
      <w:r>
        <w:rPr>
          <w:color w:val="231F20"/>
          <w:spacing w:val="40"/>
        </w:rPr>
        <w:t> </w:t>
      </w:r>
      <w:r>
        <w:rPr>
          <w:color w:val="231F20"/>
        </w:rPr>
        <w:t>multipartisme, seuls</w:t>
      </w:r>
      <w:r>
        <w:rPr>
          <w:color w:val="231F20"/>
          <w:spacing w:val="-15"/>
        </w:rPr>
        <w:t> </w:t>
      </w:r>
      <w:r>
        <w:rPr>
          <w:i/>
          <w:color w:val="231F20"/>
        </w:rPr>
        <w:t>Fraternité</w:t>
      </w:r>
      <w:r>
        <w:rPr>
          <w:i/>
          <w:color w:val="231F20"/>
          <w:spacing w:val="-8"/>
        </w:rPr>
        <w:t> </w:t>
      </w:r>
      <w:r>
        <w:rPr>
          <w:i/>
          <w:color w:val="231F20"/>
        </w:rPr>
        <w:t>Matin</w:t>
      </w:r>
      <w:r>
        <w:rPr>
          <w:i/>
          <w:color w:val="231F20"/>
          <w:spacing w:val="-8"/>
        </w:rPr>
        <w:t> </w:t>
      </w:r>
      <w:r>
        <w:rPr>
          <w:color w:val="231F20"/>
        </w:rPr>
        <w:t>(journal</w:t>
      </w:r>
      <w:r>
        <w:rPr>
          <w:color w:val="231F20"/>
          <w:spacing w:val="-8"/>
        </w:rPr>
        <w:t> </w:t>
      </w:r>
      <w:r>
        <w:rPr>
          <w:color w:val="231F20"/>
        </w:rPr>
        <w:t>gouvernemental),</w:t>
      </w:r>
      <w:r>
        <w:rPr>
          <w:color w:val="231F20"/>
          <w:spacing w:val="-10"/>
        </w:rPr>
        <w:t> </w:t>
      </w:r>
      <w:r>
        <w:rPr>
          <w:i/>
          <w:color w:val="231F20"/>
        </w:rPr>
        <w:t>Ivoir’</w:t>
      </w:r>
      <w:r>
        <w:rPr>
          <w:i/>
          <w:color w:val="231F20"/>
          <w:spacing w:val="-9"/>
        </w:rPr>
        <w:t> </w:t>
      </w:r>
      <w:r>
        <w:rPr>
          <w:i/>
          <w:color w:val="231F20"/>
        </w:rPr>
        <w:t>Soir</w:t>
      </w:r>
      <w:r>
        <w:rPr>
          <w:i/>
          <w:color w:val="231F20"/>
          <w:spacing w:val="-9"/>
        </w:rPr>
        <w:t> </w:t>
      </w:r>
      <w:r>
        <w:rPr>
          <w:color w:val="231F20"/>
        </w:rPr>
        <w:t>à</w:t>
      </w:r>
      <w:r>
        <w:rPr>
          <w:color w:val="231F20"/>
          <w:spacing w:val="-7"/>
        </w:rPr>
        <w:t> </w:t>
      </w:r>
      <w:r>
        <w:rPr>
          <w:color w:val="231F20"/>
        </w:rPr>
        <w:t>vocation culturelle, un support du groupe de presse</w:t>
      </w:r>
      <w:r>
        <w:rPr>
          <w:color w:val="231F20"/>
          <w:spacing w:val="-4"/>
        </w:rPr>
        <w:t> </w:t>
      </w:r>
      <w:r>
        <w:rPr>
          <w:color w:val="231F20"/>
        </w:rPr>
        <w:t>Fraternité Matin, </w:t>
      </w:r>
      <w:r>
        <w:rPr>
          <w:i/>
          <w:color w:val="231F20"/>
        </w:rPr>
        <w:t>Ivoire</w:t>
      </w:r>
      <w:r>
        <w:rPr>
          <w:i/>
          <w:color w:val="231F20"/>
        </w:rPr>
        <w:t> Dimanche</w:t>
      </w:r>
      <w:r>
        <w:rPr>
          <w:color w:val="231F20"/>
        </w:rPr>
        <w:t>,</w:t>
      </w:r>
      <w:r>
        <w:rPr>
          <w:color w:val="231F20"/>
          <w:spacing w:val="-9"/>
        </w:rPr>
        <w:t> </w:t>
      </w:r>
      <w:r>
        <w:rPr>
          <w:color w:val="231F20"/>
        </w:rPr>
        <w:t>complément</w:t>
      </w:r>
      <w:r>
        <w:rPr>
          <w:color w:val="231F20"/>
          <w:spacing w:val="40"/>
        </w:rPr>
        <w:t> </w:t>
      </w:r>
      <w:r>
        <w:rPr>
          <w:color w:val="231F20"/>
        </w:rPr>
        <w:t>dominical</w:t>
      </w:r>
      <w:r>
        <w:rPr>
          <w:color w:val="231F20"/>
          <w:spacing w:val="40"/>
        </w:rPr>
        <w:t> </w:t>
      </w:r>
      <w:r>
        <w:rPr>
          <w:color w:val="231F20"/>
        </w:rPr>
        <w:t>de</w:t>
      </w:r>
      <w:r>
        <w:rPr>
          <w:color w:val="231F20"/>
          <w:spacing w:val="-9"/>
        </w:rPr>
        <w:t> </w:t>
      </w:r>
      <w:r>
        <w:rPr>
          <w:color w:val="231F20"/>
        </w:rPr>
        <w:t>Fraternité</w:t>
      </w:r>
      <w:r>
        <w:rPr>
          <w:color w:val="231F20"/>
          <w:spacing w:val="40"/>
        </w:rPr>
        <w:t> </w:t>
      </w:r>
      <w:r>
        <w:rPr>
          <w:color w:val="231F20"/>
        </w:rPr>
        <w:t>Matin</w:t>
      </w:r>
      <w:r>
        <w:rPr>
          <w:color w:val="231F20"/>
          <w:spacing w:val="40"/>
        </w:rPr>
        <w:t> </w:t>
      </w:r>
      <w:r>
        <w:rPr>
          <w:color w:val="231F20"/>
        </w:rPr>
        <w:t>et</w:t>
      </w:r>
      <w:r>
        <w:rPr>
          <w:color w:val="231F20"/>
          <w:spacing w:val="-9"/>
        </w:rPr>
        <w:t> </w:t>
      </w:r>
      <w:r>
        <w:rPr>
          <w:i/>
          <w:color w:val="231F20"/>
        </w:rPr>
        <w:t>Fraternité</w:t>
      </w:r>
      <w:r>
        <w:rPr>
          <w:i/>
          <w:color w:val="231F20"/>
        </w:rPr>
        <w:t> </w:t>
      </w:r>
      <w:r>
        <w:rPr>
          <w:i/>
          <w:color w:val="231F20"/>
          <w:spacing w:val="-4"/>
        </w:rPr>
        <w:t>Hebdo</w:t>
      </w:r>
      <w:r>
        <w:rPr>
          <w:i/>
          <w:color w:val="231F20"/>
          <w:spacing w:val="13"/>
        </w:rPr>
        <w:t> </w:t>
      </w:r>
      <w:r>
        <w:rPr>
          <w:color w:val="231F20"/>
          <w:spacing w:val="-4"/>
        </w:rPr>
        <w:t>(organe</w:t>
      </w:r>
      <w:r>
        <w:rPr>
          <w:color w:val="231F20"/>
          <w:spacing w:val="-1"/>
        </w:rPr>
        <w:t> </w:t>
      </w:r>
      <w:r>
        <w:rPr>
          <w:color w:val="231F20"/>
          <w:spacing w:val="-4"/>
        </w:rPr>
        <w:t>d’information</w:t>
      </w:r>
      <w:r>
        <w:rPr>
          <w:color w:val="231F20"/>
        </w:rPr>
        <w:t> </w:t>
      </w:r>
      <w:r>
        <w:rPr>
          <w:color w:val="231F20"/>
          <w:spacing w:val="-4"/>
        </w:rPr>
        <w:t>du</w:t>
      </w:r>
      <w:r>
        <w:rPr>
          <w:color w:val="231F20"/>
          <w:spacing w:val="-5"/>
        </w:rPr>
        <w:t> </w:t>
      </w:r>
      <w:r>
        <w:rPr>
          <w:color w:val="231F20"/>
          <w:spacing w:val="-4"/>
        </w:rPr>
        <w:t>Parti</w:t>
      </w:r>
      <w:r>
        <w:rPr>
          <w:color w:val="231F20"/>
          <w:spacing w:val="-1"/>
        </w:rPr>
        <w:t> </w:t>
      </w:r>
      <w:r>
        <w:rPr>
          <w:color w:val="231F20"/>
          <w:spacing w:val="-4"/>
        </w:rPr>
        <w:t>unique,</w:t>
      </w:r>
      <w:r>
        <w:rPr>
          <w:color w:val="231F20"/>
          <w:spacing w:val="-3"/>
        </w:rPr>
        <w:t> </w:t>
      </w:r>
      <w:r>
        <w:rPr>
          <w:color w:val="231F20"/>
          <w:spacing w:val="-4"/>
        </w:rPr>
        <w:t>P.D.C.I.-R.D.</w:t>
      </w:r>
      <w:r>
        <w:rPr>
          <w:color w:val="231F20"/>
        </w:rPr>
        <w:t> </w:t>
      </w:r>
      <w:r>
        <w:rPr>
          <w:color w:val="231F20"/>
          <w:spacing w:val="-4"/>
        </w:rPr>
        <w:t>A)</w:t>
      </w:r>
      <w:r>
        <w:rPr>
          <w:color w:val="231F20"/>
        </w:rPr>
        <w:t> </w:t>
      </w:r>
      <w:r>
        <w:rPr>
          <w:color w:val="231F20"/>
          <w:spacing w:val="-4"/>
        </w:rPr>
        <w:t>traitaient</w:t>
      </w:r>
    </w:p>
    <w:p>
      <w:pPr>
        <w:pStyle w:val="BodyText"/>
        <w:spacing w:line="238" w:lineRule="exact"/>
      </w:pPr>
      <w:r>
        <w:rPr>
          <w:color w:val="231F20"/>
        </w:rPr>
        <w:t>de</w:t>
      </w:r>
      <w:r>
        <w:rPr>
          <w:color w:val="231F20"/>
          <w:spacing w:val="-1"/>
        </w:rPr>
        <w:t> </w:t>
      </w:r>
      <w:r>
        <w:rPr>
          <w:color w:val="231F20"/>
        </w:rPr>
        <w:t>l’actualité.</w:t>
      </w:r>
      <w:r>
        <w:rPr>
          <w:color w:val="231F20"/>
          <w:spacing w:val="2"/>
        </w:rPr>
        <w:t> </w:t>
      </w:r>
      <w:r>
        <w:rPr>
          <w:color w:val="231F20"/>
        </w:rPr>
        <w:t>A</w:t>
      </w:r>
      <w:r>
        <w:rPr>
          <w:color w:val="231F20"/>
          <w:spacing w:val="2"/>
        </w:rPr>
        <w:t> </w:t>
      </w:r>
      <w:r>
        <w:rPr>
          <w:color w:val="231F20"/>
        </w:rPr>
        <w:t>cette</w:t>
      </w:r>
      <w:r>
        <w:rPr>
          <w:color w:val="231F20"/>
          <w:spacing w:val="1"/>
        </w:rPr>
        <w:t> </w:t>
      </w:r>
      <w:r>
        <w:rPr>
          <w:color w:val="231F20"/>
        </w:rPr>
        <w:t>presse</w:t>
      </w:r>
      <w:r>
        <w:rPr>
          <w:color w:val="231F20"/>
          <w:spacing w:val="1"/>
        </w:rPr>
        <w:t> </w:t>
      </w:r>
      <w:r>
        <w:rPr>
          <w:color w:val="231F20"/>
        </w:rPr>
        <w:t>écrite,</w:t>
      </w:r>
      <w:r>
        <w:rPr>
          <w:color w:val="231F20"/>
          <w:spacing w:val="2"/>
        </w:rPr>
        <w:t> </w:t>
      </w:r>
      <w:r>
        <w:rPr>
          <w:color w:val="231F20"/>
        </w:rPr>
        <w:t>s’ajoutent</w:t>
      </w:r>
      <w:r>
        <w:rPr>
          <w:color w:val="231F20"/>
          <w:spacing w:val="2"/>
        </w:rPr>
        <w:t> </w:t>
      </w:r>
      <w:r>
        <w:rPr>
          <w:color w:val="231F20"/>
        </w:rPr>
        <w:t>la</w:t>
      </w:r>
      <w:r>
        <w:rPr>
          <w:color w:val="231F20"/>
          <w:spacing w:val="1"/>
        </w:rPr>
        <w:t> </w:t>
      </w:r>
      <w:r>
        <w:rPr>
          <w:color w:val="231F20"/>
        </w:rPr>
        <w:t>Radio</w:t>
      </w:r>
      <w:r>
        <w:rPr>
          <w:color w:val="231F20"/>
          <w:spacing w:val="1"/>
        </w:rPr>
        <w:t> </w:t>
      </w:r>
      <w:r>
        <w:rPr>
          <w:color w:val="231F20"/>
        </w:rPr>
        <w:t>et</w:t>
      </w:r>
      <w:r>
        <w:rPr>
          <w:color w:val="231F20"/>
          <w:spacing w:val="2"/>
        </w:rPr>
        <w:t> </w:t>
      </w:r>
      <w:r>
        <w:rPr>
          <w:color w:val="231F20"/>
        </w:rPr>
        <w:t>la</w:t>
      </w:r>
      <w:r>
        <w:rPr>
          <w:color w:val="231F20"/>
          <w:spacing w:val="1"/>
        </w:rPr>
        <w:t> </w:t>
      </w:r>
      <w:r>
        <w:rPr>
          <w:color w:val="231F20"/>
          <w:spacing w:val="-2"/>
        </w:rPr>
        <w:t>Télévision</w:t>
      </w:r>
    </w:p>
    <w:p>
      <w:pPr>
        <w:pStyle w:val="BodyText"/>
      </w:pPr>
      <w:r>
        <w:rPr>
          <w:color w:val="231F20"/>
          <w:spacing w:val="-2"/>
        </w:rPr>
        <w:t>d’État</w:t>
      </w:r>
      <w:r>
        <w:rPr>
          <w:color w:val="231F20"/>
          <w:spacing w:val="-9"/>
        </w:rPr>
        <w:t> </w:t>
      </w:r>
      <w:r>
        <w:rPr>
          <w:color w:val="231F20"/>
          <w:spacing w:val="-2"/>
        </w:rPr>
        <w:t>(RTI).</w:t>
      </w:r>
    </w:p>
    <w:p>
      <w:pPr>
        <w:pStyle w:val="BodyText"/>
        <w:spacing w:before="120"/>
        <w:ind w:right="105" w:firstLine="283"/>
        <w:rPr>
          <w:i/>
        </w:rPr>
      </w:pPr>
      <w:r>
        <w:rPr>
          <w:color w:val="231F20"/>
          <w:spacing w:val="-2"/>
        </w:rPr>
        <w:t>La</w:t>
      </w:r>
      <w:r>
        <w:rPr>
          <w:color w:val="231F20"/>
          <w:spacing w:val="-8"/>
        </w:rPr>
        <w:t> </w:t>
      </w:r>
      <w:r>
        <w:rPr>
          <w:color w:val="231F20"/>
          <w:spacing w:val="-2"/>
        </w:rPr>
        <w:t>principale</w:t>
      </w:r>
      <w:r>
        <w:rPr>
          <w:color w:val="231F20"/>
          <w:spacing w:val="-8"/>
        </w:rPr>
        <w:t> </w:t>
      </w:r>
      <w:r>
        <w:rPr>
          <w:color w:val="231F20"/>
          <w:spacing w:val="-2"/>
        </w:rPr>
        <w:t>mission</w:t>
      </w:r>
      <w:r>
        <w:rPr>
          <w:color w:val="231F20"/>
          <w:spacing w:val="-8"/>
        </w:rPr>
        <w:t> </w:t>
      </w:r>
      <w:r>
        <w:rPr>
          <w:color w:val="231F20"/>
          <w:spacing w:val="-2"/>
        </w:rPr>
        <w:t>assignée</w:t>
      </w:r>
      <w:r>
        <w:rPr>
          <w:color w:val="231F20"/>
          <w:spacing w:val="-8"/>
        </w:rPr>
        <w:t> </w:t>
      </w:r>
      <w:r>
        <w:rPr>
          <w:color w:val="231F20"/>
          <w:spacing w:val="-2"/>
        </w:rPr>
        <w:t>aux</w:t>
      </w:r>
      <w:r>
        <w:rPr>
          <w:color w:val="231F20"/>
          <w:spacing w:val="-8"/>
        </w:rPr>
        <w:t> </w:t>
      </w:r>
      <w:r>
        <w:rPr>
          <w:color w:val="231F20"/>
          <w:spacing w:val="-2"/>
        </w:rPr>
        <w:t>médias</w:t>
      </w:r>
      <w:r>
        <w:rPr>
          <w:color w:val="231F20"/>
          <w:spacing w:val="-8"/>
        </w:rPr>
        <w:t> </w:t>
      </w:r>
      <w:r>
        <w:rPr>
          <w:color w:val="231F20"/>
          <w:spacing w:val="-2"/>
        </w:rPr>
        <w:t>d’État,</w:t>
      </w:r>
      <w:r>
        <w:rPr>
          <w:color w:val="231F20"/>
          <w:spacing w:val="-8"/>
        </w:rPr>
        <w:t> </w:t>
      </w:r>
      <w:r>
        <w:rPr>
          <w:color w:val="231F20"/>
          <w:spacing w:val="-2"/>
        </w:rPr>
        <w:t>est</w:t>
      </w:r>
      <w:r>
        <w:rPr>
          <w:color w:val="231F20"/>
          <w:spacing w:val="-7"/>
        </w:rPr>
        <w:t> </w:t>
      </w:r>
      <w:r>
        <w:rPr>
          <w:color w:val="231F20"/>
          <w:spacing w:val="-2"/>
        </w:rPr>
        <w:t>d’accompagner </w:t>
      </w:r>
      <w:r>
        <w:rPr>
          <w:color w:val="231F20"/>
        </w:rPr>
        <w:t>le développement du pays en servant de relais au mot d’ordre du gouvernement</w:t>
      </w:r>
      <w:r>
        <w:rPr>
          <w:color w:val="231F20"/>
          <w:spacing w:val="-17"/>
        </w:rPr>
        <w:t> </w:t>
      </w:r>
      <w:r>
        <w:rPr>
          <w:color w:val="231F20"/>
        </w:rPr>
        <w:t>et</w:t>
      </w:r>
      <w:r>
        <w:rPr>
          <w:color w:val="231F20"/>
          <w:spacing w:val="-15"/>
        </w:rPr>
        <w:t> </w:t>
      </w:r>
      <w:r>
        <w:rPr>
          <w:color w:val="231F20"/>
        </w:rPr>
        <w:t>du</w:t>
      </w:r>
      <w:r>
        <w:rPr>
          <w:color w:val="231F20"/>
          <w:spacing w:val="-15"/>
        </w:rPr>
        <w:t> </w:t>
      </w:r>
      <w:r>
        <w:rPr>
          <w:color w:val="231F20"/>
        </w:rPr>
        <w:t>parti</w:t>
      </w:r>
      <w:r>
        <w:rPr>
          <w:color w:val="231F20"/>
          <w:spacing w:val="-15"/>
        </w:rPr>
        <w:t> </w:t>
      </w:r>
      <w:r>
        <w:rPr>
          <w:color w:val="231F20"/>
        </w:rPr>
        <w:t>au</w:t>
      </w:r>
      <w:r>
        <w:rPr>
          <w:color w:val="231F20"/>
          <w:spacing w:val="-15"/>
        </w:rPr>
        <w:t> </w:t>
      </w:r>
      <w:r>
        <w:rPr>
          <w:color w:val="231F20"/>
        </w:rPr>
        <w:t>pouvoir,</w:t>
      </w:r>
      <w:r>
        <w:rPr>
          <w:color w:val="231F20"/>
          <w:spacing w:val="-15"/>
        </w:rPr>
        <w:t> </w:t>
      </w:r>
      <w:r>
        <w:rPr>
          <w:color w:val="231F20"/>
        </w:rPr>
        <w:t>le</w:t>
      </w:r>
      <w:r>
        <w:rPr>
          <w:color w:val="231F20"/>
          <w:spacing w:val="-15"/>
        </w:rPr>
        <w:t> </w:t>
      </w:r>
      <w:r>
        <w:rPr>
          <w:color w:val="231F20"/>
        </w:rPr>
        <w:t>P.D.C.I</w:t>
      </w:r>
      <w:r>
        <w:rPr>
          <w:color w:val="231F20"/>
          <w:spacing w:val="-15"/>
        </w:rPr>
        <w:t> </w:t>
      </w:r>
      <w:r>
        <w:rPr>
          <w:color w:val="231F20"/>
        </w:rPr>
        <w:t>:</w:t>
      </w:r>
      <w:r>
        <w:rPr>
          <w:color w:val="231F20"/>
          <w:spacing w:val="-15"/>
        </w:rPr>
        <w:t> </w:t>
      </w:r>
      <w:r>
        <w:rPr>
          <w:i/>
          <w:color w:val="231F20"/>
        </w:rPr>
        <w:t>«</w:t>
      </w:r>
      <w:r>
        <w:rPr>
          <w:i/>
          <w:color w:val="231F20"/>
          <w:spacing w:val="-15"/>
        </w:rPr>
        <w:t> </w:t>
      </w:r>
      <w:r>
        <w:rPr>
          <w:i/>
          <w:color w:val="231F20"/>
        </w:rPr>
        <w:t>les</w:t>
      </w:r>
      <w:r>
        <w:rPr>
          <w:i/>
          <w:color w:val="231F20"/>
          <w:spacing w:val="-14"/>
        </w:rPr>
        <w:t> </w:t>
      </w:r>
      <w:r>
        <w:rPr>
          <w:i/>
          <w:color w:val="231F20"/>
        </w:rPr>
        <w:t>moyens</w:t>
      </w:r>
      <w:r>
        <w:rPr>
          <w:i/>
          <w:color w:val="231F20"/>
          <w:spacing w:val="-13"/>
        </w:rPr>
        <w:t> </w:t>
      </w:r>
      <w:r>
        <w:rPr>
          <w:i/>
          <w:color w:val="231F20"/>
          <w:spacing w:val="-2"/>
        </w:rPr>
        <w:t>modernes</w:t>
      </w:r>
    </w:p>
    <w:p>
      <w:pPr>
        <w:pStyle w:val="BodyText"/>
        <w:spacing w:before="150"/>
        <w:ind w:left="0"/>
        <w:jc w:val="left"/>
        <w:rPr>
          <w:i/>
          <w:sz w:val="20"/>
        </w:rPr>
      </w:pPr>
      <w:r>
        <w:rPr/>
        <mc:AlternateContent>
          <mc:Choice Requires="wps">
            <w:drawing>
              <wp:anchor distT="0" distB="0" distL="0" distR="0" allowOverlap="1" layoutInCell="1" locked="0" behindDoc="1" simplePos="0" relativeHeight="487633408">
                <wp:simplePos x="0" y="0"/>
                <wp:positionH relativeFrom="page">
                  <wp:posOffset>629907</wp:posOffset>
                </wp:positionH>
                <wp:positionV relativeFrom="paragraph">
                  <wp:posOffset>257041</wp:posOffset>
                </wp:positionV>
                <wp:extent cx="1829435" cy="9525"/>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239458pt;width:144.020pt;height:.72pt;mso-position-horizontal-relative:page;mso-position-vertical-relative:paragraph;z-index:-15683072;mso-wrap-distance-left:0;mso-wrap-distance-right:0" id="docshape116"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148</w:t>
      </w:r>
      <w:r>
        <w:rPr>
          <w:color w:val="76787A"/>
          <w:spacing w:val="-14"/>
          <w:sz w:val="20"/>
          <w:vertAlign w:val="baseline"/>
        </w:rPr>
        <w:t> </w:t>
      </w:r>
      <w:r>
        <w:rPr>
          <w:color w:val="231F20"/>
          <w:spacing w:val="-4"/>
          <w:sz w:val="20"/>
          <w:vertAlign w:val="baseline"/>
        </w:rPr>
        <w:t>Bandits</w:t>
      </w:r>
      <w:r>
        <w:rPr>
          <w:color w:val="231F20"/>
          <w:spacing w:val="3"/>
          <w:sz w:val="20"/>
          <w:vertAlign w:val="baseline"/>
        </w:rPr>
        <w:t> </w:t>
      </w:r>
      <w:r>
        <w:rPr>
          <w:color w:val="231F20"/>
          <w:spacing w:val="-4"/>
          <w:sz w:val="20"/>
          <w:vertAlign w:val="baseline"/>
        </w:rPr>
        <w:t>armés.</w:t>
      </w:r>
    </w:p>
    <w:p>
      <w:pPr>
        <w:spacing w:after="0"/>
        <w:jc w:val="left"/>
        <w:rPr>
          <w:sz w:val="20"/>
        </w:rPr>
        <w:sectPr>
          <w:footerReference w:type="default" r:id="rId46"/>
          <w:footerReference w:type="even" r:id="rId47"/>
          <w:pgSz w:w="8790" w:h="13610"/>
          <w:pgMar w:header="0" w:footer="802" w:top="1060" w:bottom="1000" w:left="880" w:right="880"/>
          <w:pgNumType w:start="147"/>
        </w:sectPr>
      </w:pPr>
    </w:p>
    <w:p>
      <w:pPr>
        <w:spacing w:before="66"/>
        <w:ind w:left="111" w:right="102" w:firstLine="0"/>
        <w:jc w:val="both"/>
        <w:rPr>
          <w:sz w:val="24"/>
        </w:rPr>
      </w:pPr>
      <w:r>
        <w:rPr>
          <w:i/>
          <w:color w:val="231F20"/>
          <w:sz w:val="24"/>
        </w:rPr>
        <w:t>de</w:t>
      </w:r>
      <w:r>
        <w:rPr>
          <w:i/>
          <w:color w:val="231F20"/>
          <w:spacing w:val="-7"/>
          <w:sz w:val="24"/>
        </w:rPr>
        <w:t> </w:t>
      </w:r>
      <w:r>
        <w:rPr>
          <w:i/>
          <w:color w:val="231F20"/>
          <w:sz w:val="24"/>
        </w:rPr>
        <w:t>l’information</w:t>
      </w:r>
      <w:r>
        <w:rPr>
          <w:i/>
          <w:color w:val="231F20"/>
          <w:spacing w:val="-6"/>
          <w:sz w:val="24"/>
        </w:rPr>
        <w:t> </w:t>
      </w:r>
      <w:r>
        <w:rPr>
          <w:i/>
          <w:color w:val="231F20"/>
          <w:sz w:val="24"/>
        </w:rPr>
        <w:t>sont,</w:t>
      </w:r>
      <w:r>
        <w:rPr>
          <w:i/>
          <w:color w:val="231F20"/>
          <w:spacing w:val="-6"/>
          <w:sz w:val="24"/>
        </w:rPr>
        <w:t> </w:t>
      </w:r>
      <w:r>
        <w:rPr>
          <w:i/>
          <w:color w:val="231F20"/>
          <w:sz w:val="24"/>
        </w:rPr>
        <w:t>pour</w:t>
      </w:r>
      <w:r>
        <w:rPr>
          <w:i/>
          <w:color w:val="231F20"/>
          <w:spacing w:val="-8"/>
          <w:sz w:val="24"/>
        </w:rPr>
        <w:t> </w:t>
      </w:r>
      <w:r>
        <w:rPr>
          <w:i/>
          <w:color w:val="231F20"/>
          <w:sz w:val="24"/>
        </w:rPr>
        <w:t>l’essentiel,</w:t>
      </w:r>
      <w:r>
        <w:rPr>
          <w:i/>
          <w:color w:val="231F20"/>
          <w:spacing w:val="-6"/>
          <w:sz w:val="24"/>
        </w:rPr>
        <w:t> </w:t>
      </w:r>
      <w:r>
        <w:rPr>
          <w:i/>
          <w:color w:val="231F20"/>
          <w:sz w:val="24"/>
        </w:rPr>
        <w:t>des</w:t>
      </w:r>
      <w:r>
        <w:rPr>
          <w:i/>
          <w:color w:val="231F20"/>
          <w:spacing w:val="-6"/>
          <w:sz w:val="24"/>
        </w:rPr>
        <w:t> </w:t>
      </w:r>
      <w:r>
        <w:rPr>
          <w:i/>
          <w:color w:val="231F20"/>
          <w:sz w:val="24"/>
        </w:rPr>
        <w:t>organes</w:t>
      </w:r>
      <w:r>
        <w:rPr>
          <w:i/>
          <w:color w:val="231F20"/>
          <w:spacing w:val="-6"/>
          <w:sz w:val="24"/>
        </w:rPr>
        <w:t> </w:t>
      </w:r>
      <w:r>
        <w:rPr>
          <w:i/>
          <w:color w:val="231F20"/>
          <w:sz w:val="24"/>
        </w:rPr>
        <w:t>de</w:t>
      </w:r>
      <w:r>
        <w:rPr>
          <w:i/>
          <w:color w:val="231F20"/>
          <w:spacing w:val="-9"/>
          <w:sz w:val="24"/>
        </w:rPr>
        <w:t> </w:t>
      </w:r>
      <w:r>
        <w:rPr>
          <w:i/>
          <w:color w:val="231F20"/>
          <w:sz w:val="24"/>
        </w:rPr>
        <w:t>l’</w:t>
      </w:r>
      <w:r>
        <w:rPr>
          <w:color w:val="231F20"/>
          <w:sz w:val="24"/>
        </w:rPr>
        <w:t>É</w:t>
      </w:r>
      <w:r>
        <w:rPr>
          <w:i/>
          <w:color w:val="231F20"/>
          <w:sz w:val="24"/>
        </w:rPr>
        <w:t>tat</w:t>
      </w:r>
      <w:r>
        <w:rPr>
          <w:i/>
          <w:color w:val="231F20"/>
          <w:spacing w:val="-7"/>
          <w:sz w:val="24"/>
        </w:rPr>
        <w:t> </w:t>
      </w:r>
      <w:r>
        <w:rPr>
          <w:i/>
          <w:color w:val="231F20"/>
          <w:sz w:val="24"/>
        </w:rPr>
        <w:t>ivoirien</w:t>
      </w:r>
      <w:r>
        <w:rPr>
          <w:i/>
          <w:color w:val="231F20"/>
          <w:spacing w:val="-6"/>
          <w:sz w:val="24"/>
        </w:rPr>
        <w:t> </w:t>
      </w:r>
      <w:r>
        <w:rPr>
          <w:i/>
          <w:color w:val="231F20"/>
          <w:sz w:val="24"/>
        </w:rPr>
        <w:t>et</w:t>
      </w:r>
      <w:r>
        <w:rPr>
          <w:i/>
          <w:color w:val="231F20"/>
          <w:sz w:val="24"/>
        </w:rPr>
        <w:t> leurs</w:t>
      </w:r>
      <w:r>
        <w:rPr>
          <w:i/>
          <w:color w:val="231F20"/>
          <w:spacing w:val="-15"/>
          <w:sz w:val="24"/>
        </w:rPr>
        <w:t> </w:t>
      </w:r>
      <w:r>
        <w:rPr>
          <w:i/>
          <w:color w:val="231F20"/>
          <w:sz w:val="24"/>
        </w:rPr>
        <w:t>servants</w:t>
      </w:r>
      <w:r>
        <w:rPr>
          <w:i/>
          <w:color w:val="231F20"/>
          <w:spacing w:val="-15"/>
          <w:sz w:val="24"/>
        </w:rPr>
        <w:t> </w:t>
      </w:r>
      <w:r>
        <w:rPr>
          <w:i/>
          <w:color w:val="231F20"/>
          <w:sz w:val="24"/>
        </w:rPr>
        <w:t>sont</w:t>
      </w:r>
      <w:r>
        <w:rPr>
          <w:i/>
          <w:color w:val="231F20"/>
          <w:spacing w:val="-15"/>
          <w:sz w:val="24"/>
        </w:rPr>
        <w:t> </w:t>
      </w:r>
      <w:r>
        <w:rPr>
          <w:i/>
          <w:color w:val="231F20"/>
          <w:sz w:val="24"/>
        </w:rPr>
        <w:t>des</w:t>
      </w:r>
      <w:r>
        <w:rPr>
          <w:i/>
          <w:color w:val="231F20"/>
          <w:spacing w:val="-15"/>
          <w:sz w:val="24"/>
        </w:rPr>
        <w:t> </w:t>
      </w:r>
      <w:r>
        <w:rPr>
          <w:i/>
          <w:color w:val="231F20"/>
          <w:sz w:val="24"/>
        </w:rPr>
        <w:t>militants</w:t>
      </w:r>
      <w:r>
        <w:rPr>
          <w:i/>
          <w:color w:val="231F20"/>
          <w:spacing w:val="-15"/>
          <w:sz w:val="24"/>
        </w:rPr>
        <w:t> </w:t>
      </w:r>
      <w:r>
        <w:rPr>
          <w:i/>
          <w:color w:val="231F20"/>
          <w:sz w:val="24"/>
        </w:rPr>
        <w:t>du</w:t>
      </w:r>
      <w:r>
        <w:rPr>
          <w:i/>
          <w:color w:val="231F20"/>
          <w:spacing w:val="-15"/>
          <w:sz w:val="24"/>
        </w:rPr>
        <w:t> </w:t>
      </w:r>
      <w:r>
        <w:rPr>
          <w:i/>
          <w:color w:val="231F20"/>
          <w:sz w:val="24"/>
        </w:rPr>
        <w:t>PDCI.</w:t>
      </w:r>
      <w:r>
        <w:rPr>
          <w:i/>
          <w:color w:val="231F20"/>
          <w:spacing w:val="-15"/>
          <w:sz w:val="24"/>
        </w:rPr>
        <w:t> </w:t>
      </w:r>
      <w:r>
        <w:rPr>
          <w:i/>
          <w:color w:val="231F20"/>
          <w:sz w:val="24"/>
        </w:rPr>
        <w:t>Ce</w:t>
      </w:r>
      <w:r>
        <w:rPr>
          <w:i/>
          <w:color w:val="231F20"/>
          <w:spacing w:val="-15"/>
          <w:sz w:val="24"/>
        </w:rPr>
        <w:t> </w:t>
      </w:r>
      <w:r>
        <w:rPr>
          <w:i/>
          <w:color w:val="231F20"/>
          <w:sz w:val="24"/>
        </w:rPr>
        <w:t>métier</w:t>
      </w:r>
      <w:r>
        <w:rPr>
          <w:i/>
          <w:color w:val="231F20"/>
          <w:spacing w:val="-15"/>
          <w:sz w:val="24"/>
        </w:rPr>
        <w:t> </w:t>
      </w:r>
      <w:r>
        <w:rPr>
          <w:i/>
          <w:color w:val="231F20"/>
          <w:sz w:val="24"/>
        </w:rPr>
        <w:t>n’est</w:t>
      </w:r>
      <w:r>
        <w:rPr>
          <w:i/>
          <w:color w:val="231F20"/>
          <w:spacing w:val="-15"/>
          <w:sz w:val="24"/>
        </w:rPr>
        <w:t> </w:t>
      </w:r>
      <w:r>
        <w:rPr>
          <w:i/>
          <w:color w:val="231F20"/>
          <w:sz w:val="24"/>
        </w:rPr>
        <w:t>pas</w:t>
      </w:r>
      <w:r>
        <w:rPr>
          <w:i/>
          <w:color w:val="231F20"/>
          <w:spacing w:val="-15"/>
          <w:sz w:val="24"/>
        </w:rPr>
        <w:t> </w:t>
      </w:r>
      <w:r>
        <w:rPr>
          <w:i/>
          <w:color w:val="231F20"/>
          <w:sz w:val="24"/>
        </w:rPr>
        <w:t>un</w:t>
      </w:r>
      <w:r>
        <w:rPr>
          <w:i/>
          <w:color w:val="231F20"/>
          <w:spacing w:val="-13"/>
          <w:sz w:val="24"/>
        </w:rPr>
        <w:t> </w:t>
      </w:r>
      <w:r>
        <w:rPr>
          <w:i/>
          <w:color w:val="231F20"/>
          <w:sz w:val="24"/>
        </w:rPr>
        <w:t>métier d’artiste</w:t>
      </w:r>
      <w:r>
        <w:rPr>
          <w:i/>
          <w:color w:val="231F20"/>
          <w:spacing w:val="-13"/>
          <w:sz w:val="24"/>
        </w:rPr>
        <w:t> </w:t>
      </w:r>
      <w:r>
        <w:rPr>
          <w:i/>
          <w:color w:val="231F20"/>
          <w:sz w:val="24"/>
        </w:rPr>
        <w:t>où</w:t>
      </w:r>
      <w:r>
        <w:rPr>
          <w:i/>
          <w:color w:val="231F20"/>
          <w:spacing w:val="-13"/>
          <w:sz w:val="24"/>
        </w:rPr>
        <w:t> </w:t>
      </w:r>
      <w:r>
        <w:rPr>
          <w:i/>
          <w:color w:val="231F20"/>
          <w:sz w:val="24"/>
        </w:rPr>
        <w:t>l’on</w:t>
      </w:r>
      <w:r>
        <w:rPr>
          <w:i/>
          <w:color w:val="231F20"/>
          <w:spacing w:val="-13"/>
          <w:sz w:val="24"/>
        </w:rPr>
        <w:t> </w:t>
      </w:r>
      <w:r>
        <w:rPr>
          <w:i/>
          <w:color w:val="231F20"/>
          <w:sz w:val="24"/>
        </w:rPr>
        <w:t>puisse</w:t>
      </w:r>
      <w:r>
        <w:rPr>
          <w:i/>
          <w:color w:val="231F20"/>
          <w:spacing w:val="-13"/>
          <w:sz w:val="24"/>
        </w:rPr>
        <w:t> </w:t>
      </w:r>
      <w:r>
        <w:rPr>
          <w:i/>
          <w:color w:val="231F20"/>
          <w:sz w:val="24"/>
        </w:rPr>
        <w:t>tolérer</w:t>
      </w:r>
      <w:r>
        <w:rPr>
          <w:i/>
          <w:color w:val="231F20"/>
          <w:spacing w:val="-13"/>
          <w:sz w:val="24"/>
        </w:rPr>
        <w:t> </w:t>
      </w:r>
      <w:r>
        <w:rPr>
          <w:i/>
          <w:color w:val="231F20"/>
          <w:sz w:val="24"/>
        </w:rPr>
        <w:t>des</w:t>
      </w:r>
      <w:r>
        <w:rPr>
          <w:i/>
          <w:color w:val="231F20"/>
          <w:spacing w:val="-13"/>
          <w:sz w:val="24"/>
        </w:rPr>
        <w:t> </w:t>
      </w:r>
      <w:r>
        <w:rPr>
          <w:i/>
          <w:color w:val="231F20"/>
          <w:sz w:val="24"/>
        </w:rPr>
        <w:t>cabotins.</w:t>
      </w:r>
      <w:r>
        <w:rPr>
          <w:i/>
          <w:color w:val="231F20"/>
          <w:spacing w:val="-13"/>
          <w:sz w:val="24"/>
        </w:rPr>
        <w:t> </w:t>
      </w:r>
      <w:r>
        <w:rPr>
          <w:i/>
          <w:color w:val="231F20"/>
          <w:sz w:val="24"/>
        </w:rPr>
        <w:t>Il</w:t>
      </w:r>
      <w:r>
        <w:rPr>
          <w:i/>
          <w:color w:val="231F20"/>
          <w:spacing w:val="-13"/>
          <w:sz w:val="24"/>
        </w:rPr>
        <w:t> </w:t>
      </w:r>
      <w:r>
        <w:rPr>
          <w:i/>
          <w:color w:val="231F20"/>
          <w:sz w:val="24"/>
        </w:rPr>
        <w:t>y</w:t>
      </w:r>
      <w:r>
        <w:rPr>
          <w:i/>
          <w:color w:val="231F20"/>
          <w:spacing w:val="-13"/>
          <w:sz w:val="24"/>
        </w:rPr>
        <w:t> </w:t>
      </w:r>
      <w:r>
        <w:rPr>
          <w:i/>
          <w:color w:val="231F20"/>
          <w:sz w:val="24"/>
        </w:rPr>
        <w:t>faut</w:t>
      </w:r>
      <w:r>
        <w:rPr>
          <w:i/>
          <w:color w:val="231F20"/>
          <w:spacing w:val="-14"/>
          <w:sz w:val="24"/>
        </w:rPr>
        <w:t> </w:t>
      </w:r>
      <w:r>
        <w:rPr>
          <w:i/>
          <w:color w:val="231F20"/>
          <w:sz w:val="24"/>
        </w:rPr>
        <w:t>des</w:t>
      </w:r>
      <w:r>
        <w:rPr>
          <w:i/>
          <w:color w:val="231F20"/>
          <w:spacing w:val="-13"/>
          <w:sz w:val="24"/>
        </w:rPr>
        <w:t> </w:t>
      </w:r>
      <w:r>
        <w:rPr>
          <w:i/>
          <w:color w:val="231F20"/>
          <w:sz w:val="24"/>
        </w:rPr>
        <w:t>militants,</w:t>
      </w:r>
      <w:r>
        <w:rPr>
          <w:i/>
          <w:color w:val="231F20"/>
          <w:spacing w:val="-13"/>
          <w:sz w:val="24"/>
        </w:rPr>
        <w:t> </w:t>
      </w:r>
      <w:r>
        <w:rPr>
          <w:i/>
          <w:color w:val="231F20"/>
          <w:sz w:val="24"/>
        </w:rPr>
        <w:t>prêts à prendre leur part de sacrifices personnels à la construction </w:t>
      </w:r>
      <w:r>
        <w:rPr>
          <w:i/>
          <w:color w:val="231F20"/>
          <w:spacing w:val="-4"/>
          <w:sz w:val="24"/>
        </w:rPr>
        <w:t>nationale.</w:t>
      </w:r>
      <w:r>
        <w:rPr>
          <w:i/>
          <w:color w:val="231F20"/>
          <w:sz w:val="24"/>
        </w:rPr>
        <w:t> </w:t>
      </w:r>
      <w:r>
        <w:rPr>
          <w:i/>
          <w:color w:val="231F20"/>
          <w:spacing w:val="-4"/>
          <w:sz w:val="24"/>
        </w:rPr>
        <w:t>»</w:t>
      </w:r>
      <w:r>
        <w:rPr>
          <w:color w:val="231F20"/>
          <w:spacing w:val="-4"/>
          <w:sz w:val="24"/>
          <w:vertAlign w:val="superscript"/>
        </w:rPr>
        <w:t>149</w:t>
      </w:r>
      <w:r>
        <w:rPr>
          <w:color w:val="231F20"/>
          <w:spacing w:val="17"/>
          <w:sz w:val="24"/>
          <w:vertAlign w:val="baseline"/>
        </w:rPr>
        <w:t> </w:t>
      </w:r>
      <w:r>
        <w:rPr>
          <w:color w:val="231F20"/>
          <w:spacing w:val="-4"/>
          <w:sz w:val="24"/>
          <w:vertAlign w:val="baseline"/>
        </w:rPr>
        <w:t>En</w:t>
      </w:r>
      <w:r>
        <w:rPr>
          <w:color w:val="231F20"/>
          <w:spacing w:val="-9"/>
          <w:sz w:val="24"/>
          <w:vertAlign w:val="baseline"/>
        </w:rPr>
        <w:t> </w:t>
      </w:r>
      <w:r>
        <w:rPr>
          <w:color w:val="231F20"/>
          <w:spacing w:val="-4"/>
          <w:sz w:val="24"/>
          <w:vertAlign w:val="baseline"/>
        </w:rPr>
        <w:t>clair,</w:t>
      </w:r>
      <w:r>
        <w:rPr>
          <w:color w:val="231F20"/>
          <w:spacing w:val="-11"/>
          <w:sz w:val="24"/>
          <w:vertAlign w:val="baseline"/>
        </w:rPr>
        <w:t> </w:t>
      </w:r>
      <w:r>
        <w:rPr>
          <w:color w:val="231F20"/>
          <w:spacing w:val="-4"/>
          <w:sz w:val="24"/>
          <w:vertAlign w:val="baseline"/>
        </w:rPr>
        <w:t>dans</w:t>
      </w:r>
      <w:r>
        <w:rPr>
          <w:color w:val="231F20"/>
          <w:spacing w:val="-11"/>
          <w:sz w:val="24"/>
          <w:vertAlign w:val="baseline"/>
        </w:rPr>
        <w:t> </w:t>
      </w:r>
      <w:r>
        <w:rPr>
          <w:color w:val="231F20"/>
          <w:spacing w:val="-4"/>
          <w:sz w:val="24"/>
          <w:vertAlign w:val="baseline"/>
        </w:rPr>
        <w:t>les</w:t>
      </w:r>
      <w:r>
        <w:rPr>
          <w:color w:val="231F20"/>
          <w:spacing w:val="-9"/>
          <w:sz w:val="24"/>
          <w:vertAlign w:val="baseline"/>
        </w:rPr>
        <w:t> </w:t>
      </w:r>
      <w:r>
        <w:rPr>
          <w:color w:val="231F20"/>
          <w:spacing w:val="-4"/>
          <w:sz w:val="24"/>
          <w:vertAlign w:val="baseline"/>
        </w:rPr>
        <w:t>médias</w:t>
      </w:r>
      <w:r>
        <w:rPr>
          <w:color w:val="231F20"/>
          <w:spacing w:val="-9"/>
          <w:sz w:val="24"/>
          <w:vertAlign w:val="baseline"/>
        </w:rPr>
        <w:t> </w:t>
      </w:r>
      <w:r>
        <w:rPr>
          <w:color w:val="231F20"/>
          <w:spacing w:val="-4"/>
          <w:sz w:val="24"/>
          <w:vertAlign w:val="baseline"/>
        </w:rPr>
        <w:t>d’État</w:t>
      </w:r>
      <w:r>
        <w:rPr>
          <w:color w:val="231F20"/>
          <w:spacing w:val="-8"/>
          <w:sz w:val="24"/>
          <w:vertAlign w:val="baseline"/>
        </w:rPr>
        <w:t> </w:t>
      </w:r>
      <w:r>
        <w:rPr>
          <w:color w:val="231F20"/>
          <w:spacing w:val="-4"/>
          <w:sz w:val="24"/>
          <w:vertAlign w:val="baseline"/>
        </w:rPr>
        <w:t>il</w:t>
      </w:r>
      <w:r>
        <w:rPr>
          <w:color w:val="231F20"/>
          <w:spacing w:val="-11"/>
          <w:sz w:val="24"/>
          <w:vertAlign w:val="baseline"/>
        </w:rPr>
        <w:t> </w:t>
      </w:r>
      <w:r>
        <w:rPr>
          <w:color w:val="231F20"/>
          <w:spacing w:val="-4"/>
          <w:sz w:val="24"/>
          <w:vertAlign w:val="baseline"/>
        </w:rPr>
        <w:t>n’y</w:t>
      </w:r>
      <w:r>
        <w:rPr>
          <w:color w:val="231F20"/>
          <w:spacing w:val="-9"/>
          <w:sz w:val="24"/>
          <w:vertAlign w:val="baseline"/>
        </w:rPr>
        <w:t> </w:t>
      </w:r>
      <w:r>
        <w:rPr>
          <w:color w:val="231F20"/>
          <w:spacing w:val="-4"/>
          <w:sz w:val="24"/>
          <w:vertAlign w:val="baseline"/>
        </w:rPr>
        <w:t>a</w:t>
      </w:r>
      <w:r>
        <w:rPr>
          <w:color w:val="231F20"/>
          <w:spacing w:val="-9"/>
          <w:sz w:val="24"/>
          <w:vertAlign w:val="baseline"/>
        </w:rPr>
        <w:t> </w:t>
      </w:r>
      <w:r>
        <w:rPr>
          <w:color w:val="231F20"/>
          <w:spacing w:val="-4"/>
          <w:sz w:val="24"/>
          <w:vertAlign w:val="baseline"/>
        </w:rPr>
        <w:t>point</w:t>
      </w:r>
      <w:r>
        <w:rPr>
          <w:color w:val="231F20"/>
          <w:spacing w:val="-8"/>
          <w:sz w:val="24"/>
          <w:vertAlign w:val="baseline"/>
        </w:rPr>
        <w:t> </w:t>
      </w:r>
      <w:r>
        <w:rPr>
          <w:color w:val="231F20"/>
          <w:spacing w:val="-4"/>
          <w:sz w:val="24"/>
          <w:vertAlign w:val="baseline"/>
        </w:rPr>
        <w:t>de</w:t>
      </w:r>
      <w:r>
        <w:rPr>
          <w:color w:val="231F20"/>
          <w:spacing w:val="-9"/>
          <w:sz w:val="24"/>
          <w:vertAlign w:val="baseline"/>
        </w:rPr>
        <w:t> </w:t>
      </w:r>
      <w:r>
        <w:rPr>
          <w:color w:val="231F20"/>
          <w:spacing w:val="-4"/>
          <w:sz w:val="24"/>
          <w:vertAlign w:val="baseline"/>
        </w:rPr>
        <w:t>place</w:t>
      </w:r>
      <w:r>
        <w:rPr>
          <w:color w:val="231F20"/>
          <w:spacing w:val="-9"/>
          <w:sz w:val="24"/>
          <w:vertAlign w:val="baseline"/>
        </w:rPr>
        <w:t> </w:t>
      </w:r>
      <w:r>
        <w:rPr>
          <w:color w:val="231F20"/>
          <w:spacing w:val="-4"/>
          <w:sz w:val="24"/>
          <w:vertAlign w:val="baseline"/>
        </w:rPr>
        <w:t>pour </w:t>
      </w:r>
      <w:r>
        <w:rPr>
          <w:color w:val="231F20"/>
          <w:sz w:val="24"/>
          <w:vertAlign w:val="baseline"/>
        </w:rPr>
        <w:t>critiquer</w:t>
      </w:r>
      <w:r>
        <w:rPr>
          <w:color w:val="231F20"/>
          <w:spacing w:val="-11"/>
          <w:sz w:val="24"/>
          <w:vertAlign w:val="baseline"/>
        </w:rPr>
        <w:t> </w:t>
      </w:r>
      <w:r>
        <w:rPr>
          <w:color w:val="231F20"/>
          <w:sz w:val="24"/>
          <w:vertAlign w:val="baseline"/>
        </w:rPr>
        <w:t>les</w:t>
      </w:r>
      <w:r>
        <w:rPr>
          <w:color w:val="231F20"/>
          <w:spacing w:val="-9"/>
          <w:sz w:val="24"/>
          <w:vertAlign w:val="baseline"/>
        </w:rPr>
        <w:t> </w:t>
      </w:r>
      <w:r>
        <w:rPr>
          <w:color w:val="231F20"/>
          <w:sz w:val="24"/>
          <w:vertAlign w:val="baseline"/>
        </w:rPr>
        <w:t>actions</w:t>
      </w:r>
      <w:r>
        <w:rPr>
          <w:color w:val="231F20"/>
          <w:spacing w:val="-10"/>
          <w:sz w:val="24"/>
          <w:vertAlign w:val="baseline"/>
        </w:rPr>
        <w:t> </w:t>
      </w:r>
      <w:r>
        <w:rPr>
          <w:color w:val="231F20"/>
          <w:sz w:val="24"/>
          <w:vertAlign w:val="baseline"/>
        </w:rPr>
        <w:t>entreprises</w:t>
      </w:r>
      <w:r>
        <w:rPr>
          <w:color w:val="231F20"/>
          <w:spacing w:val="-12"/>
          <w:sz w:val="24"/>
          <w:vertAlign w:val="baseline"/>
        </w:rPr>
        <w:t> </w:t>
      </w:r>
      <w:r>
        <w:rPr>
          <w:color w:val="231F20"/>
          <w:sz w:val="24"/>
          <w:vertAlign w:val="baseline"/>
        </w:rPr>
        <w:t>par</w:t>
      </w:r>
      <w:r>
        <w:rPr>
          <w:color w:val="231F20"/>
          <w:spacing w:val="-12"/>
          <w:sz w:val="24"/>
          <w:vertAlign w:val="baseline"/>
        </w:rPr>
        <w:t> </w:t>
      </w:r>
      <w:r>
        <w:rPr>
          <w:color w:val="231F20"/>
          <w:sz w:val="24"/>
          <w:vertAlign w:val="baseline"/>
        </w:rPr>
        <w:t>les</w:t>
      </w:r>
      <w:r>
        <w:rPr>
          <w:color w:val="231F20"/>
          <w:spacing w:val="-12"/>
          <w:sz w:val="24"/>
          <w:vertAlign w:val="baseline"/>
        </w:rPr>
        <w:t> </w:t>
      </w:r>
      <w:r>
        <w:rPr>
          <w:color w:val="231F20"/>
          <w:sz w:val="24"/>
          <w:vertAlign w:val="baseline"/>
        </w:rPr>
        <w:t>membres</w:t>
      </w:r>
      <w:r>
        <w:rPr>
          <w:color w:val="231F20"/>
          <w:spacing w:val="-10"/>
          <w:sz w:val="24"/>
          <w:vertAlign w:val="baseline"/>
        </w:rPr>
        <w:t> </w:t>
      </w:r>
      <w:r>
        <w:rPr>
          <w:color w:val="231F20"/>
          <w:sz w:val="24"/>
          <w:vertAlign w:val="baseline"/>
        </w:rPr>
        <w:t>du</w:t>
      </w:r>
      <w:r>
        <w:rPr>
          <w:color w:val="231F20"/>
          <w:spacing w:val="-10"/>
          <w:sz w:val="24"/>
          <w:vertAlign w:val="baseline"/>
        </w:rPr>
        <w:t> </w:t>
      </w:r>
      <w:r>
        <w:rPr>
          <w:color w:val="231F20"/>
          <w:sz w:val="24"/>
          <w:vertAlign w:val="baseline"/>
        </w:rPr>
        <w:t>gouvernement</w:t>
      </w:r>
      <w:r>
        <w:rPr>
          <w:color w:val="231F20"/>
          <w:spacing w:val="-10"/>
          <w:sz w:val="24"/>
          <w:vertAlign w:val="baseline"/>
        </w:rPr>
        <w:t> </w:t>
      </w:r>
      <w:r>
        <w:rPr>
          <w:color w:val="231F20"/>
          <w:sz w:val="24"/>
          <w:vertAlign w:val="baseline"/>
        </w:rPr>
        <w:t>et</w:t>
      </w:r>
      <w:r>
        <w:rPr>
          <w:color w:val="231F20"/>
          <w:spacing w:val="-9"/>
          <w:sz w:val="24"/>
          <w:vertAlign w:val="baseline"/>
        </w:rPr>
        <w:t> </w:t>
      </w:r>
      <w:r>
        <w:rPr>
          <w:color w:val="231F20"/>
          <w:sz w:val="24"/>
          <w:vertAlign w:val="baseline"/>
        </w:rPr>
        <w:t>du parti au pouvoir.</w:t>
      </w:r>
    </w:p>
    <w:p>
      <w:pPr>
        <w:pStyle w:val="BodyText"/>
        <w:spacing w:before="120"/>
        <w:ind w:right="106" w:firstLine="283"/>
      </w:pPr>
      <w:r>
        <w:rPr>
          <w:color w:val="231F20"/>
        </w:rPr>
        <w:t>En 1990, la libéralisation de l’espace politique ivoirien ouvre le paysage médiatique. De juillet 1990 à la mi-août 1996, 181 supports d’informations générales, culturelles, politiques, sportives, satiriques, féminines …sont mis sur le marché. Les titres de ces organes sont </w:t>
      </w:r>
      <w:r>
        <w:rPr>
          <w:color w:val="231F20"/>
          <w:spacing w:val="-2"/>
        </w:rPr>
        <w:t>révélateurs</w:t>
      </w:r>
      <w:r>
        <w:rPr>
          <w:color w:val="231F20"/>
          <w:spacing w:val="-11"/>
        </w:rPr>
        <w:t> </w:t>
      </w:r>
      <w:r>
        <w:rPr>
          <w:color w:val="231F20"/>
          <w:spacing w:val="-2"/>
        </w:rPr>
        <w:t>du</w:t>
      </w:r>
      <w:r>
        <w:rPr>
          <w:color w:val="231F20"/>
          <w:spacing w:val="-10"/>
        </w:rPr>
        <w:t> </w:t>
      </w:r>
      <w:r>
        <w:rPr>
          <w:color w:val="231F20"/>
          <w:spacing w:val="-2"/>
        </w:rPr>
        <w:t>nouvel</w:t>
      </w:r>
      <w:r>
        <w:rPr>
          <w:color w:val="231F20"/>
          <w:spacing w:val="-10"/>
        </w:rPr>
        <w:t> </w:t>
      </w:r>
      <w:r>
        <w:rPr>
          <w:color w:val="231F20"/>
          <w:spacing w:val="-2"/>
        </w:rPr>
        <w:t>état</w:t>
      </w:r>
      <w:r>
        <w:rPr>
          <w:color w:val="231F20"/>
          <w:spacing w:val="-10"/>
        </w:rPr>
        <w:t> </w:t>
      </w:r>
      <w:r>
        <w:rPr>
          <w:color w:val="231F20"/>
          <w:spacing w:val="-2"/>
        </w:rPr>
        <w:t>d’esprit</w:t>
      </w:r>
      <w:r>
        <w:rPr>
          <w:color w:val="231F20"/>
          <w:spacing w:val="-10"/>
        </w:rPr>
        <w:t> </w:t>
      </w:r>
      <w:r>
        <w:rPr>
          <w:color w:val="231F20"/>
          <w:spacing w:val="-2"/>
        </w:rPr>
        <w:t>qui</w:t>
      </w:r>
      <w:r>
        <w:rPr>
          <w:color w:val="231F20"/>
          <w:spacing w:val="-9"/>
        </w:rPr>
        <w:t> </w:t>
      </w:r>
      <w:r>
        <w:rPr>
          <w:color w:val="231F20"/>
          <w:spacing w:val="-2"/>
        </w:rPr>
        <w:t>prévaut</w:t>
      </w:r>
      <w:r>
        <w:rPr>
          <w:color w:val="231F20"/>
          <w:spacing w:val="-10"/>
        </w:rPr>
        <w:t> </w:t>
      </w:r>
      <w:r>
        <w:rPr>
          <w:color w:val="231F20"/>
          <w:spacing w:val="-2"/>
        </w:rPr>
        <w:t>depuis</w:t>
      </w:r>
      <w:r>
        <w:rPr>
          <w:color w:val="231F20"/>
          <w:spacing w:val="-11"/>
        </w:rPr>
        <w:t> </w:t>
      </w:r>
      <w:r>
        <w:rPr>
          <w:color w:val="231F20"/>
          <w:spacing w:val="-2"/>
        </w:rPr>
        <w:t>la</w:t>
      </w:r>
      <w:r>
        <w:rPr>
          <w:color w:val="231F20"/>
          <w:spacing w:val="-8"/>
        </w:rPr>
        <w:t> </w:t>
      </w:r>
      <w:r>
        <w:rPr>
          <w:color w:val="231F20"/>
          <w:spacing w:val="-2"/>
        </w:rPr>
        <w:t>réinstauration</w:t>
      </w:r>
      <w:r>
        <w:rPr>
          <w:color w:val="231F20"/>
          <w:spacing w:val="-10"/>
        </w:rPr>
        <w:t> </w:t>
      </w:r>
      <w:r>
        <w:rPr>
          <w:color w:val="231F20"/>
          <w:spacing w:val="-5"/>
        </w:rPr>
        <w:t>du</w:t>
      </w:r>
    </w:p>
    <w:p>
      <w:pPr>
        <w:spacing w:line="242" w:lineRule="auto" w:before="39"/>
        <w:ind w:left="111" w:right="105" w:firstLine="0"/>
        <w:jc w:val="both"/>
        <w:rPr>
          <w:i/>
          <w:sz w:val="24"/>
        </w:rPr>
      </w:pPr>
      <w:r>
        <w:rPr>
          <w:color w:val="231F20"/>
          <w:sz w:val="24"/>
        </w:rPr>
        <w:t>multipartisme :</w:t>
      </w:r>
      <w:r>
        <w:rPr>
          <w:color w:val="231F20"/>
          <w:spacing w:val="-11"/>
          <w:sz w:val="24"/>
        </w:rPr>
        <w:t> </w:t>
      </w:r>
      <w:r>
        <w:rPr>
          <w:i/>
          <w:color w:val="231F20"/>
          <w:sz w:val="24"/>
        </w:rPr>
        <w:t>La Voie, Le Nouvel Horizon, Notre Temps, Liberté, Le</w:t>
      </w:r>
      <w:r>
        <w:rPr>
          <w:i/>
          <w:color w:val="231F20"/>
          <w:sz w:val="24"/>
        </w:rPr>
        <w:t> Démocrate,</w:t>
      </w:r>
      <w:r>
        <w:rPr>
          <w:i/>
          <w:color w:val="231F20"/>
          <w:spacing w:val="-15"/>
          <w:sz w:val="24"/>
        </w:rPr>
        <w:t> </w:t>
      </w:r>
      <w:r>
        <w:rPr>
          <w:i/>
          <w:color w:val="231F20"/>
          <w:sz w:val="24"/>
        </w:rPr>
        <w:t>Téré</w:t>
      </w:r>
      <w:r>
        <w:rPr>
          <w:i/>
          <w:color w:val="231F20"/>
          <w:spacing w:val="-15"/>
          <w:sz w:val="24"/>
        </w:rPr>
        <w:t> </w:t>
      </w:r>
      <w:r>
        <w:rPr>
          <w:i/>
          <w:color w:val="231F20"/>
          <w:sz w:val="24"/>
        </w:rPr>
        <w:t>(soleil),</w:t>
      </w:r>
      <w:r>
        <w:rPr>
          <w:i/>
          <w:color w:val="231F20"/>
          <w:spacing w:val="-15"/>
          <w:sz w:val="24"/>
        </w:rPr>
        <w:t> </w:t>
      </w:r>
      <w:r>
        <w:rPr>
          <w:i/>
          <w:color w:val="231F20"/>
          <w:sz w:val="24"/>
        </w:rPr>
        <w:t>L’indépendant,</w:t>
      </w:r>
      <w:r>
        <w:rPr>
          <w:i/>
          <w:color w:val="231F20"/>
          <w:spacing w:val="-15"/>
          <w:sz w:val="24"/>
        </w:rPr>
        <w:t> </w:t>
      </w:r>
      <w:r>
        <w:rPr>
          <w:i/>
          <w:color w:val="231F20"/>
          <w:sz w:val="24"/>
        </w:rPr>
        <w:t>Le</w:t>
      </w:r>
      <w:r>
        <w:rPr>
          <w:i/>
          <w:color w:val="231F20"/>
          <w:spacing w:val="-15"/>
          <w:sz w:val="24"/>
        </w:rPr>
        <w:t> </w:t>
      </w:r>
      <w:r>
        <w:rPr>
          <w:i/>
          <w:color w:val="231F20"/>
          <w:sz w:val="24"/>
        </w:rPr>
        <w:t>Changement,</w:t>
      </w:r>
      <w:r>
        <w:rPr>
          <w:i/>
          <w:color w:val="231F20"/>
          <w:spacing w:val="-15"/>
          <w:sz w:val="24"/>
        </w:rPr>
        <w:t> </w:t>
      </w:r>
      <w:r>
        <w:rPr>
          <w:i/>
          <w:color w:val="231F20"/>
          <w:sz w:val="24"/>
        </w:rPr>
        <w:t>Plume</w:t>
      </w:r>
      <w:r>
        <w:rPr>
          <w:i/>
          <w:color w:val="231F20"/>
          <w:spacing w:val="-15"/>
          <w:sz w:val="24"/>
        </w:rPr>
        <w:t> </w:t>
      </w:r>
      <w:r>
        <w:rPr>
          <w:i/>
          <w:color w:val="231F20"/>
          <w:sz w:val="24"/>
        </w:rPr>
        <w:t>Libre, Le</w:t>
      </w:r>
      <w:r>
        <w:rPr>
          <w:i/>
          <w:color w:val="231F20"/>
          <w:spacing w:val="-6"/>
          <w:sz w:val="24"/>
        </w:rPr>
        <w:t> </w:t>
      </w:r>
      <w:r>
        <w:rPr>
          <w:i/>
          <w:color w:val="231F20"/>
          <w:sz w:val="24"/>
        </w:rPr>
        <w:t>Dénonciateur,</w:t>
      </w:r>
      <w:r>
        <w:rPr>
          <w:i/>
          <w:color w:val="231F20"/>
          <w:spacing w:val="-6"/>
          <w:sz w:val="24"/>
        </w:rPr>
        <w:t> </w:t>
      </w:r>
      <w:r>
        <w:rPr>
          <w:i/>
          <w:color w:val="231F20"/>
          <w:sz w:val="24"/>
        </w:rPr>
        <w:t>Le</w:t>
      </w:r>
      <w:r>
        <w:rPr>
          <w:i/>
          <w:color w:val="231F20"/>
          <w:spacing w:val="-6"/>
          <w:sz w:val="24"/>
        </w:rPr>
        <w:t> </w:t>
      </w:r>
      <w:r>
        <w:rPr>
          <w:i/>
          <w:color w:val="231F20"/>
          <w:sz w:val="24"/>
        </w:rPr>
        <w:t>Virage,</w:t>
      </w:r>
      <w:r>
        <w:rPr>
          <w:i/>
          <w:color w:val="231F20"/>
          <w:spacing w:val="-6"/>
          <w:sz w:val="24"/>
        </w:rPr>
        <w:t> </w:t>
      </w:r>
      <w:r>
        <w:rPr>
          <w:i/>
          <w:color w:val="231F20"/>
          <w:sz w:val="24"/>
        </w:rPr>
        <w:t>Réalités,</w:t>
      </w:r>
      <w:r>
        <w:rPr>
          <w:i/>
          <w:color w:val="231F20"/>
          <w:spacing w:val="-7"/>
          <w:sz w:val="24"/>
        </w:rPr>
        <w:t> </w:t>
      </w:r>
      <w:r>
        <w:rPr>
          <w:i/>
          <w:color w:val="231F20"/>
          <w:sz w:val="24"/>
        </w:rPr>
        <w:t>Le</w:t>
      </w:r>
      <w:r>
        <w:rPr>
          <w:i/>
          <w:color w:val="231F20"/>
          <w:spacing w:val="-6"/>
          <w:sz w:val="24"/>
        </w:rPr>
        <w:t> </w:t>
      </w:r>
      <w:r>
        <w:rPr>
          <w:i/>
          <w:color w:val="231F20"/>
          <w:sz w:val="24"/>
        </w:rPr>
        <w:t>Défi,</w:t>
      </w:r>
      <w:r>
        <w:rPr>
          <w:i/>
          <w:color w:val="231F20"/>
          <w:spacing w:val="-6"/>
          <w:sz w:val="24"/>
        </w:rPr>
        <w:t> </w:t>
      </w:r>
      <w:r>
        <w:rPr>
          <w:i/>
          <w:color w:val="231F20"/>
          <w:sz w:val="24"/>
        </w:rPr>
        <w:t>Le</w:t>
      </w:r>
      <w:r>
        <w:rPr>
          <w:i/>
          <w:color w:val="231F20"/>
          <w:spacing w:val="-7"/>
          <w:sz w:val="24"/>
        </w:rPr>
        <w:t> </w:t>
      </w:r>
      <w:r>
        <w:rPr>
          <w:i/>
          <w:color w:val="231F20"/>
          <w:sz w:val="24"/>
        </w:rPr>
        <w:t>Regard,</w:t>
      </w:r>
      <w:r>
        <w:rPr>
          <w:i/>
          <w:color w:val="231F20"/>
          <w:spacing w:val="-7"/>
          <w:sz w:val="24"/>
        </w:rPr>
        <w:t> </w:t>
      </w:r>
      <w:r>
        <w:rPr>
          <w:i/>
          <w:color w:val="231F20"/>
          <w:sz w:val="24"/>
        </w:rPr>
        <w:t>La</w:t>
      </w:r>
      <w:r>
        <w:rPr>
          <w:i/>
          <w:color w:val="231F20"/>
          <w:spacing w:val="-7"/>
          <w:sz w:val="24"/>
        </w:rPr>
        <w:t> </w:t>
      </w:r>
      <w:r>
        <w:rPr>
          <w:i/>
          <w:color w:val="231F20"/>
          <w:sz w:val="24"/>
        </w:rPr>
        <w:t>Nouvelle Nation, Eclosion, Le Combattant, Côte d’Ivoire Nouvelle, Le Jeune </w:t>
      </w:r>
      <w:r>
        <w:rPr>
          <w:i/>
          <w:color w:val="231F20"/>
          <w:spacing w:val="-4"/>
          <w:sz w:val="24"/>
        </w:rPr>
        <w:t>Démocrate,</w:t>
      </w:r>
      <w:r>
        <w:rPr>
          <w:i/>
          <w:color w:val="231F20"/>
          <w:spacing w:val="-11"/>
          <w:sz w:val="24"/>
        </w:rPr>
        <w:t> </w:t>
      </w:r>
      <w:r>
        <w:rPr>
          <w:i/>
          <w:color w:val="231F20"/>
          <w:spacing w:val="-4"/>
          <w:sz w:val="24"/>
        </w:rPr>
        <w:t>L‘œil</w:t>
      </w:r>
      <w:r>
        <w:rPr>
          <w:i/>
          <w:color w:val="231F20"/>
          <w:spacing w:val="-11"/>
          <w:sz w:val="24"/>
        </w:rPr>
        <w:t> </w:t>
      </w:r>
      <w:r>
        <w:rPr>
          <w:i/>
          <w:color w:val="231F20"/>
          <w:spacing w:val="-4"/>
          <w:sz w:val="24"/>
        </w:rPr>
        <w:t>du</w:t>
      </w:r>
      <w:r>
        <w:rPr>
          <w:i/>
          <w:color w:val="231F20"/>
          <w:spacing w:val="-11"/>
          <w:sz w:val="24"/>
        </w:rPr>
        <w:t> </w:t>
      </w:r>
      <w:r>
        <w:rPr>
          <w:i/>
          <w:color w:val="231F20"/>
          <w:spacing w:val="-4"/>
          <w:sz w:val="24"/>
        </w:rPr>
        <w:t>Peuple,</w:t>
      </w:r>
      <w:r>
        <w:rPr>
          <w:i/>
          <w:color w:val="231F20"/>
          <w:spacing w:val="-11"/>
          <w:sz w:val="24"/>
        </w:rPr>
        <w:t> </w:t>
      </w:r>
      <w:r>
        <w:rPr>
          <w:i/>
          <w:color w:val="231F20"/>
          <w:spacing w:val="-4"/>
          <w:sz w:val="24"/>
        </w:rPr>
        <w:t>Le</w:t>
      </w:r>
      <w:r>
        <w:rPr>
          <w:i/>
          <w:color w:val="231F20"/>
          <w:spacing w:val="-11"/>
          <w:sz w:val="24"/>
        </w:rPr>
        <w:t> </w:t>
      </w:r>
      <w:r>
        <w:rPr>
          <w:i/>
          <w:color w:val="231F20"/>
          <w:spacing w:val="-4"/>
          <w:sz w:val="24"/>
        </w:rPr>
        <w:t>Nouvel</w:t>
      </w:r>
      <w:r>
        <w:rPr>
          <w:i/>
          <w:color w:val="231F20"/>
          <w:spacing w:val="-11"/>
          <w:sz w:val="24"/>
        </w:rPr>
        <w:t> </w:t>
      </w:r>
      <w:r>
        <w:rPr>
          <w:i/>
          <w:color w:val="231F20"/>
          <w:spacing w:val="-4"/>
          <w:sz w:val="24"/>
        </w:rPr>
        <w:t>Élan,</w:t>
      </w:r>
      <w:r>
        <w:rPr>
          <w:i/>
          <w:color w:val="231F20"/>
          <w:spacing w:val="-11"/>
          <w:sz w:val="24"/>
        </w:rPr>
        <w:t> </w:t>
      </w:r>
      <w:r>
        <w:rPr>
          <w:i/>
          <w:color w:val="231F20"/>
          <w:spacing w:val="-4"/>
          <w:sz w:val="24"/>
        </w:rPr>
        <w:t>L’Alternative,</w:t>
      </w:r>
      <w:r>
        <w:rPr>
          <w:i/>
          <w:color w:val="231F20"/>
          <w:spacing w:val="-11"/>
          <w:sz w:val="24"/>
        </w:rPr>
        <w:t> </w:t>
      </w:r>
      <w:r>
        <w:rPr>
          <w:i/>
          <w:color w:val="231F20"/>
          <w:spacing w:val="-4"/>
          <w:sz w:val="24"/>
        </w:rPr>
        <w:t>Nouvelle</w:t>
      </w:r>
      <w:r>
        <w:rPr>
          <w:i/>
          <w:color w:val="231F20"/>
          <w:spacing w:val="-11"/>
          <w:sz w:val="24"/>
        </w:rPr>
        <w:t> </w:t>
      </w:r>
      <w:r>
        <w:rPr>
          <w:i/>
          <w:color w:val="231F20"/>
          <w:spacing w:val="-4"/>
          <w:sz w:val="24"/>
        </w:rPr>
        <w:t>ère, etc.</w:t>
      </w:r>
    </w:p>
    <w:p>
      <w:pPr>
        <w:pStyle w:val="BodyText"/>
        <w:spacing w:before="111"/>
        <w:ind w:right="105" w:firstLine="283"/>
      </w:pPr>
      <w:r>
        <w:rPr>
          <w:color w:val="231F20"/>
        </w:rPr>
        <w:t>Certains des journaux se veulent «</w:t>
      </w:r>
      <w:r>
        <w:rPr>
          <w:color w:val="231F20"/>
          <w:spacing w:val="-15"/>
        </w:rPr>
        <w:t> </w:t>
      </w:r>
      <w:r>
        <w:rPr>
          <w:color w:val="231F20"/>
        </w:rPr>
        <w:t>indépendants</w:t>
      </w:r>
      <w:r>
        <w:rPr>
          <w:color w:val="231F20"/>
          <w:spacing w:val="-15"/>
        </w:rPr>
        <w:t> </w:t>
      </w:r>
      <w:r>
        <w:rPr>
          <w:color w:val="231F20"/>
        </w:rPr>
        <w:t>»,</w:t>
      </w:r>
      <w:r>
        <w:rPr>
          <w:color w:val="231F20"/>
          <w:spacing w:val="-15"/>
        </w:rPr>
        <w:t> </w:t>
      </w:r>
      <w:r>
        <w:rPr>
          <w:color w:val="231F20"/>
        </w:rPr>
        <w:t>; d’autres sont </w:t>
      </w:r>
      <w:r>
        <w:rPr>
          <w:color w:val="231F20"/>
          <w:spacing w:val="-2"/>
        </w:rPr>
        <w:t>proches</w:t>
      </w:r>
      <w:r>
        <w:rPr>
          <w:color w:val="231F20"/>
          <w:spacing w:val="-10"/>
        </w:rPr>
        <w:t> </w:t>
      </w:r>
      <w:r>
        <w:rPr>
          <w:color w:val="231F20"/>
          <w:spacing w:val="-2"/>
        </w:rPr>
        <w:t>de</w:t>
      </w:r>
      <w:r>
        <w:rPr>
          <w:color w:val="231F20"/>
          <w:spacing w:val="-9"/>
        </w:rPr>
        <w:t> </w:t>
      </w:r>
      <w:r>
        <w:rPr>
          <w:color w:val="231F20"/>
          <w:spacing w:val="-2"/>
        </w:rPr>
        <w:t>l’opposition</w:t>
      </w:r>
      <w:r>
        <w:rPr>
          <w:color w:val="231F20"/>
          <w:spacing w:val="-9"/>
        </w:rPr>
        <w:t> </w:t>
      </w:r>
      <w:r>
        <w:rPr>
          <w:color w:val="231F20"/>
          <w:spacing w:val="-2"/>
        </w:rPr>
        <w:t>ou</w:t>
      </w:r>
      <w:r>
        <w:rPr>
          <w:color w:val="231F20"/>
          <w:spacing w:val="-9"/>
        </w:rPr>
        <w:t> </w:t>
      </w:r>
      <w:r>
        <w:rPr>
          <w:color w:val="231F20"/>
          <w:spacing w:val="-2"/>
        </w:rPr>
        <w:t>du</w:t>
      </w:r>
      <w:r>
        <w:rPr>
          <w:color w:val="231F20"/>
          <w:spacing w:val="-9"/>
        </w:rPr>
        <w:t> </w:t>
      </w:r>
      <w:r>
        <w:rPr>
          <w:color w:val="231F20"/>
          <w:spacing w:val="-2"/>
        </w:rPr>
        <w:t>parti</w:t>
      </w:r>
      <w:r>
        <w:rPr>
          <w:color w:val="231F20"/>
          <w:spacing w:val="-9"/>
        </w:rPr>
        <w:t> </w:t>
      </w:r>
      <w:r>
        <w:rPr>
          <w:color w:val="231F20"/>
          <w:spacing w:val="-2"/>
        </w:rPr>
        <w:t>au</w:t>
      </w:r>
      <w:r>
        <w:rPr>
          <w:color w:val="231F20"/>
          <w:spacing w:val="-9"/>
        </w:rPr>
        <w:t> </w:t>
      </w:r>
      <w:r>
        <w:rPr>
          <w:color w:val="231F20"/>
          <w:spacing w:val="-2"/>
        </w:rPr>
        <w:t>pouvoir.</w:t>
      </w:r>
      <w:r>
        <w:rPr>
          <w:color w:val="231F20"/>
          <w:spacing w:val="-10"/>
        </w:rPr>
        <w:t> </w:t>
      </w:r>
      <w:r>
        <w:rPr>
          <w:color w:val="231F20"/>
          <w:spacing w:val="-2"/>
        </w:rPr>
        <w:t>En</w:t>
      </w:r>
      <w:r>
        <w:rPr>
          <w:color w:val="231F20"/>
          <w:spacing w:val="-12"/>
        </w:rPr>
        <w:t> </w:t>
      </w:r>
      <w:r>
        <w:rPr>
          <w:color w:val="231F20"/>
          <w:spacing w:val="-2"/>
        </w:rPr>
        <w:t>général,</w:t>
      </w:r>
      <w:r>
        <w:rPr>
          <w:color w:val="231F20"/>
          <w:spacing w:val="-10"/>
        </w:rPr>
        <w:t> </w:t>
      </w:r>
      <w:r>
        <w:rPr>
          <w:color w:val="231F20"/>
          <w:spacing w:val="-2"/>
        </w:rPr>
        <w:t>la</w:t>
      </w:r>
      <w:r>
        <w:rPr>
          <w:color w:val="231F20"/>
          <w:spacing w:val="-10"/>
        </w:rPr>
        <w:t> </w:t>
      </w:r>
      <w:r>
        <w:rPr>
          <w:color w:val="231F20"/>
          <w:spacing w:val="-2"/>
        </w:rPr>
        <w:t>plupart</w:t>
      </w:r>
      <w:r>
        <w:rPr>
          <w:color w:val="231F20"/>
          <w:spacing w:val="-10"/>
        </w:rPr>
        <w:t> </w:t>
      </w:r>
      <w:r>
        <w:rPr>
          <w:color w:val="231F20"/>
          <w:spacing w:val="-2"/>
        </w:rPr>
        <w:t>des </w:t>
      </w:r>
      <w:r>
        <w:rPr>
          <w:color w:val="231F20"/>
        </w:rPr>
        <w:t>quotidiens sont soutenus par des partis politiques dont ils se font les caisses de résonance. Le manque de professionnalisme, l’extorsion de fonds, la corruption, la diffamation, le chantage, l’escroquerie et de nombreux</w:t>
      </w:r>
      <w:r>
        <w:rPr>
          <w:color w:val="231F20"/>
          <w:spacing w:val="-11"/>
        </w:rPr>
        <w:t> </w:t>
      </w:r>
      <w:r>
        <w:rPr>
          <w:color w:val="231F20"/>
        </w:rPr>
        <w:t>manquements</w:t>
      </w:r>
      <w:r>
        <w:rPr>
          <w:color w:val="231F20"/>
          <w:spacing w:val="-12"/>
        </w:rPr>
        <w:t> </w:t>
      </w:r>
      <w:r>
        <w:rPr>
          <w:color w:val="231F20"/>
        </w:rPr>
        <w:t>à</w:t>
      </w:r>
      <w:r>
        <w:rPr>
          <w:color w:val="231F20"/>
          <w:spacing w:val="-9"/>
        </w:rPr>
        <w:t> </w:t>
      </w:r>
      <w:r>
        <w:rPr>
          <w:color w:val="231F20"/>
        </w:rPr>
        <w:t>l’éthique</w:t>
      </w:r>
      <w:r>
        <w:rPr>
          <w:color w:val="231F20"/>
          <w:spacing w:val="-9"/>
        </w:rPr>
        <w:t> </w:t>
      </w:r>
      <w:r>
        <w:rPr>
          <w:color w:val="231F20"/>
        </w:rPr>
        <w:t>et</w:t>
      </w:r>
      <w:r>
        <w:rPr>
          <w:color w:val="231F20"/>
          <w:spacing w:val="-9"/>
        </w:rPr>
        <w:t> </w:t>
      </w:r>
      <w:r>
        <w:rPr>
          <w:color w:val="231F20"/>
        </w:rPr>
        <w:t>à</w:t>
      </w:r>
      <w:r>
        <w:rPr>
          <w:color w:val="231F20"/>
          <w:spacing w:val="-11"/>
        </w:rPr>
        <w:t> </w:t>
      </w:r>
      <w:r>
        <w:rPr>
          <w:color w:val="231F20"/>
        </w:rPr>
        <w:t>la</w:t>
      </w:r>
      <w:r>
        <w:rPr>
          <w:color w:val="231F20"/>
          <w:spacing w:val="-9"/>
        </w:rPr>
        <w:t> </w:t>
      </w:r>
      <w:r>
        <w:rPr>
          <w:color w:val="231F20"/>
        </w:rPr>
        <w:t>déontologie</w:t>
      </w:r>
      <w:r>
        <w:rPr>
          <w:color w:val="231F20"/>
          <w:spacing w:val="-8"/>
        </w:rPr>
        <w:t> </w:t>
      </w:r>
      <w:r>
        <w:rPr>
          <w:color w:val="231F20"/>
        </w:rPr>
        <w:t>mettent</w:t>
      </w:r>
      <w:r>
        <w:rPr>
          <w:color w:val="231F20"/>
          <w:spacing w:val="-11"/>
        </w:rPr>
        <w:t> </w:t>
      </w:r>
      <w:r>
        <w:rPr>
          <w:color w:val="231F20"/>
        </w:rPr>
        <w:t>souvent en péril le processus démocratique de la Côte d’Ivoire</w:t>
      </w:r>
      <w:r>
        <w:rPr>
          <w:color w:val="231F20"/>
          <w:spacing w:val="-15"/>
        </w:rPr>
        <w:t> </w:t>
      </w:r>
      <w:r>
        <w:rPr>
          <w:color w:val="231F20"/>
        </w:rPr>
        <w:t>: le contenu des journaux étant souvent acerbe, violent et incitateur à la haine, à la xénophobie et au tribalisme.</w:t>
      </w:r>
    </w:p>
    <w:p>
      <w:pPr>
        <w:pStyle w:val="BodyText"/>
        <w:spacing w:before="240"/>
        <w:ind w:left="0"/>
        <w:jc w:val="left"/>
      </w:pPr>
    </w:p>
    <w:p>
      <w:pPr>
        <w:pStyle w:val="Heading2"/>
        <w:spacing w:before="1"/>
        <w:ind w:left="111"/>
        <w:jc w:val="both"/>
      </w:pPr>
      <w:r>
        <w:rPr>
          <w:color w:val="231F20"/>
          <w:spacing w:val="-2"/>
        </w:rPr>
        <w:t>La</w:t>
      </w:r>
      <w:r>
        <w:rPr>
          <w:color w:val="231F20"/>
          <w:spacing w:val="-14"/>
        </w:rPr>
        <w:t> </w:t>
      </w:r>
      <w:r>
        <w:rPr>
          <w:color w:val="231F20"/>
          <w:spacing w:val="-2"/>
        </w:rPr>
        <w:t>danse</w:t>
      </w:r>
      <w:r>
        <w:rPr>
          <w:color w:val="231F20"/>
          <w:spacing w:val="-11"/>
        </w:rPr>
        <w:t> </w:t>
      </w:r>
      <w:r>
        <w:rPr>
          <w:color w:val="231F20"/>
          <w:spacing w:val="-2"/>
        </w:rPr>
        <w:t>des</w:t>
      </w:r>
      <w:r>
        <w:rPr>
          <w:color w:val="231F20"/>
          <w:spacing w:val="-8"/>
        </w:rPr>
        <w:t> </w:t>
      </w:r>
      <w:r>
        <w:rPr>
          <w:color w:val="231F20"/>
          <w:spacing w:val="-2"/>
        </w:rPr>
        <w:t>«</w:t>
      </w:r>
      <w:r>
        <w:rPr>
          <w:color w:val="231F20"/>
          <w:spacing w:val="-10"/>
        </w:rPr>
        <w:t> </w:t>
      </w:r>
      <w:r>
        <w:rPr>
          <w:color w:val="231F20"/>
          <w:spacing w:val="-2"/>
        </w:rPr>
        <w:t>héritiers</w:t>
      </w:r>
      <w:r>
        <w:rPr>
          <w:color w:val="231F20"/>
          <w:spacing w:val="-11"/>
        </w:rPr>
        <w:t> </w:t>
      </w:r>
      <w:r>
        <w:rPr>
          <w:color w:val="231F20"/>
          <w:spacing w:val="-2"/>
        </w:rPr>
        <w:t>politiques</w:t>
      </w:r>
      <w:r>
        <w:rPr>
          <w:color w:val="231F20"/>
          <w:spacing w:val="-8"/>
        </w:rPr>
        <w:t> </w:t>
      </w:r>
      <w:r>
        <w:rPr>
          <w:color w:val="231F20"/>
          <w:spacing w:val="-10"/>
        </w:rPr>
        <w:t>»</w:t>
      </w:r>
    </w:p>
    <w:p>
      <w:pPr>
        <w:pStyle w:val="BodyText"/>
        <w:spacing w:before="120"/>
        <w:ind w:right="107" w:firstLine="283"/>
      </w:pPr>
      <w:r>
        <w:rPr>
          <w:color w:val="231F20"/>
        </w:rPr>
        <w:t>Année 1992</w:t>
      </w:r>
      <w:r>
        <w:rPr>
          <w:color w:val="231F20"/>
          <w:spacing w:val="-15"/>
        </w:rPr>
        <w:t> </w:t>
      </w:r>
      <w:r>
        <w:rPr>
          <w:color w:val="231F20"/>
        </w:rPr>
        <w:t>: Houphouët-Boigny est de plus en plus affaibli par la maladie</w:t>
      </w:r>
      <w:r>
        <w:rPr>
          <w:color w:val="231F20"/>
          <w:spacing w:val="-7"/>
        </w:rPr>
        <w:t> </w:t>
      </w:r>
      <w:r>
        <w:rPr>
          <w:color w:val="231F20"/>
        </w:rPr>
        <w:t>et</w:t>
      </w:r>
      <w:r>
        <w:rPr>
          <w:color w:val="231F20"/>
          <w:spacing w:val="-6"/>
        </w:rPr>
        <w:t> </w:t>
      </w:r>
      <w:r>
        <w:rPr>
          <w:color w:val="231F20"/>
        </w:rPr>
        <w:t>l’âge</w:t>
      </w:r>
      <w:r>
        <w:rPr>
          <w:color w:val="231F20"/>
          <w:spacing w:val="-7"/>
        </w:rPr>
        <w:t> </w:t>
      </w:r>
      <w:r>
        <w:rPr>
          <w:color w:val="231F20"/>
        </w:rPr>
        <w:t>;</w:t>
      </w:r>
      <w:r>
        <w:rPr>
          <w:color w:val="231F20"/>
          <w:spacing w:val="-8"/>
        </w:rPr>
        <w:t> </w:t>
      </w:r>
      <w:r>
        <w:rPr>
          <w:color w:val="231F20"/>
        </w:rPr>
        <w:t>les</w:t>
      </w:r>
      <w:r>
        <w:rPr>
          <w:color w:val="231F20"/>
          <w:spacing w:val="-6"/>
        </w:rPr>
        <w:t> </w:t>
      </w:r>
      <w:r>
        <w:rPr>
          <w:color w:val="231F20"/>
        </w:rPr>
        <w:t>rivalités</w:t>
      </w:r>
      <w:r>
        <w:rPr>
          <w:color w:val="231F20"/>
          <w:spacing w:val="-9"/>
        </w:rPr>
        <w:t> </w:t>
      </w:r>
      <w:r>
        <w:rPr>
          <w:color w:val="231F20"/>
        </w:rPr>
        <w:t>politiques</w:t>
      </w:r>
      <w:r>
        <w:rPr>
          <w:color w:val="231F20"/>
          <w:spacing w:val="-9"/>
        </w:rPr>
        <w:t> </w:t>
      </w:r>
      <w:r>
        <w:rPr>
          <w:color w:val="231F20"/>
        </w:rPr>
        <w:t>sont</w:t>
      </w:r>
      <w:r>
        <w:rPr>
          <w:color w:val="231F20"/>
          <w:spacing w:val="-6"/>
        </w:rPr>
        <w:t> </w:t>
      </w:r>
      <w:r>
        <w:rPr>
          <w:color w:val="231F20"/>
        </w:rPr>
        <w:t>de</w:t>
      </w:r>
      <w:r>
        <w:rPr>
          <w:color w:val="231F20"/>
          <w:spacing w:val="-10"/>
        </w:rPr>
        <w:t> </w:t>
      </w:r>
      <w:r>
        <w:rPr>
          <w:color w:val="231F20"/>
        </w:rPr>
        <w:t>plus</w:t>
      </w:r>
      <w:r>
        <w:rPr>
          <w:color w:val="231F20"/>
          <w:spacing w:val="-6"/>
        </w:rPr>
        <w:t> </w:t>
      </w:r>
      <w:r>
        <w:rPr>
          <w:color w:val="231F20"/>
        </w:rPr>
        <w:t>en</w:t>
      </w:r>
      <w:r>
        <w:rPr>
          <w:color w:val="231F20"/>
          <w:spacing w:val="-6"/>
        </w:rPr>
        <w:t> </w:t>
      </w:r>
      <w:r>
        <w:rPr>
          <w:color w:val="231F20"/>
        </w:rPr>
        <w:t>plus</w:t>
      </w:r>
      <w:r>
        <w:rPr>
          <w:color w:val="231F20"/>
          <w:spacing w:val="-9"/>
        </w:rPr>
        <w:t> </w:t>
      </w:r>
      <w:r>
        <w:rPr>
          <w:color w:val="231F20"/>
        </w:rPr>
        <w:t>visibles.</w:t>
      </w:r>
    </w:p>
    <w:p>
      <w:pPr>
        <w:pStyle w:val="BodyText"/>
        <w:spacing w:before="120"/>
        <w:ind w:right="107" w:firstLine="283"/>
      </w:pPr>
      <w:r>
        <w:rPr>
          <w:color w:val="231F20"/>
        </w:rPr>
        <w:t>Au</w:t>
      </w:r>
      <w:r>
        <w:rPr>
          <w:color w:val="231F20"/>
          <w:spacing w:val="-1"/>
        </w:rPr>
        <w:t> </w:t>
      </w:r>
      <w:r>
        <w:rPr>
          <w:color w:val="231F20"/>
        </w:rPr>
        <w:t>mois</w:t>
      </w:r>
      <w:r>
        <w:rPr>
          <w:color w:val="231F20"/>
          <w:spacing w:val="-3"/>
        </w:rPr>
        <w:t> </w:t>
      </w:r>
      <w:r>
        <w:rPr>
          <w:color w:val="231F20"/>
        </w:rPr>
        <w:t>de</w:t>
      </w:r>
      <w:r>
        <w:rPr>
          <w:color w:val="231F20"/>
          <w:spacing w:val="-3"/>
        </w:rPr>
        <w:t> </w:t>
      </w:r>
      <w:r>
        <w:rPr>
          <w:color w:val="231F20"/>
        </w:rPr>
        <w:t>juin,</w:t>
      </w:r>
      <w:r>
        <w:rPr>
          <w:color w:val="231F20"/>
          <w:spacing w:val="-4"/>
        </w:rPr>
        <w:t> </w:t>
      </w:r>
      <w:r>
        <w:rPr>
          <w:color w:val="231F20"/>
        </w:rPr>
        <w:t>le</w:t>
      </w:r>
      <w:r>
        <w:rPr>
          <w:color w:val="231F20"/>
          <w:spacing w:val="-1"/>
        </w:rPr>
        <w:t> </w:t>
      </w:r>
      <w:r>
        <w:rPr>
          <w:color w:val="231F20"/>
        </w:rPr>
        <w:t>chef</w:t>
      </w:r>
      <w:r>
        <w:rPr>
          <w:color w:val="231F20"/>
          <w:spacing w:val="-3"/>
        </w:rPr>
        <w:t> </w:t>
      </w:r>
      <w:r>
        <w:rPr>
          <w:color w:val="231F20"/>
        </w:rPr>
        <w:t>de</w:t>
      </w:r>
      <w:r>
        <w:rPr>
          <w:color w:val="231F20"/>
          <w:spacing w:val="-1"/>
        </w:rPr>
        <w:t> </w:t>
      </w:r>
      <w:r>
        <w:rPr>
          <w:color w:val="231F20"/>
        </w:rPr>
        <w:t>l’État</w:t>
      </w:r>
      <w:r>
        <w:rPr>
          <w:color w:val="231F20"/>
          <w:spacing w:val="-1"/>
        </w:rPr>
        <w:t> </w:t>
      </w:r>
      <w:r>
        <w:rPr>
          <w:color w:val="231F20"/>
        </w:rPr>
        <w:t>est</w:t>
      </w:r>
      <w:r>
        <w:rPr>
          <w:color w:val="231F20"/>
          <w:spacing w:val="-3"/>
        </w:rPr>
        <w:t> </w:t>
      </w:r>
      <w:r>
        <w:rPr>
          <w:color w:val="231F20"/>
        </w:rPr>
        <w:t>opéré</w:t>
      </w:r>
      <w:r>
        <w:rPr>
          <w:color w:val="231F20"/>
          <w:spacing w:val="-2"/>
        </w:rPr>
        <w:t> </w:t>
      </w:r>
      <w:r>
        <w:rPr>
          <w:color w:val="231F20"/>
        </w:rPr>
        <w:t>à</w:t>
      </w:r>
      <w:r>
        <w:rPr>
          <w:color w:val="231F20"/>
          <w:spacing w:val="-3"/>
        </w:rPr>
        <w:t> </w:t>
      </w:r>
      <w:r>
        <w:rPr>
          <w:color w:val="231F20"/>
        </w:rPr>
        <w:t>Paris</w:t>
      </w:r>
      <w:r>
        <w:rPr>
          <w:color w:val="231F20"/>
          <w:spacing w:val="-3"/>
        </w:rPr>
        <w:t> </w:t>
      </w:r>
      <w:r>
        <w:rPr>
          <w:color w:val="231F20"/>
        </w:rPr>
        <w:t>d’un</w:t>
      </w:r>
      <w:r>
        <w:rPr>
          <w:color w:val="231F20"/>
          <w:spacing w:val="-2"/>
        </w:rPr>
        <w:t> </w:t>
      </w:r>
      <w:r>
        <w:rPr>
          <w:color w:val="231F20"/>
        </w:rPr>
        <w:t>cancer</w:t>
      </w:r>
      <w:r>
        <w:rPr>
          <w:color w:val="231F20"/>
          <w:spacing w:val="-3"/>
        </w:rPr>
        <w:t> </w:t>
      </w:r>
      <w:r>
        <w:rPr>
          <w:color w:val="231F20"/>
        </w:rPr>
        <w:t>de</w:t>
      </w:r>
      <w:r>
        <w:rPr>
          <w:color w:val="231F20"/>
          <w:spacing w:val="-4"/>
        </w:rPr>
        <w:t> </w:t>
      </w:r>
      <w:r>
        <w:rPr>
          <w:color w:val="231F20"/>
        </w:rPr>
        <w:t>la prostate. En octobre, il est hospitalisé de nouveau dans la capitale française, puis à Genève.</w:t>
      </w:r>
    </w:p>
    <w:p>
      <w:pPr>
        <w:pStyle w:val="BodyText"/>
        <w:spacing w:before="198"/>
        <w:ind w:left="0"/>
        <w:jc w:val="left"/>
        <w:rPr>
          <w:sz w:val="20"/>
        </w:rPr>
      </w:pPr>
      <w:r>
        <w:rPr/>
        <mc:AlternateContent>
          <mc:Choice Requires="wps">
            <w:drawing>
              <wp:anchor distT="0" distB="0" distL="0" distR="0" allowOverlap="1" layoutInCell="1" locked="0" behindDoc="1" simplePos="0" relativeHeight="487633920">
                <wp:simplePos x="0" y="0"/>
                <wp:positionH relativeFrom="page">
                  <wp:posOffset>629907</wp:posOffset>
                </wp:positionH>
                <wp:positionV relativeFrom="paragraph">
                  <wp:posOffset>287488</wp:posOffset>
                </wp:positionV>
                <wp:extent cx="1829435" cy="9525"/>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2.636913pt;width:144.020pt;height:.72pt;mso-position-horizontal-relative:page;mso-position-vertical-relative:paragraph;z-index:-15682560;mso-wrap-distance-left:0;mso-wrap-distance-right:0" id="docshape117" filled="true" fillcolor="#231f20" stroked="false">
                <v:fill type="solid"/>
                <w10:wrap type="topAndBottom"/>
              </v:rect>
            </w:pict>
          </mc:Fallback>
        </mc:AlternateContent>
      </w:r>
    </w:p>
    <w:p>
      <w:pPr>
        <w:spacing w:before="94"/>
        <w:ind w:left="111" w:right="0" w:hanging="1"/>
        <w:jc w:val="left"/>
        <w:rPr>
          <w:sz w:val="20"/>
        </w:rPr>
      </w:pPr>
      <w:r>
        <w:rPr>
          <w:color w:val="76787A"/>
          <w:spacing w:val="-2"/>
          <w:sz w:val="20"/>
          <w:vertAlign w:val="superscript"/>
        </w:rPr>
        <w:t>149</w:t>
      </w:r>
      <w:r>
        <w:rPr>
          <w:color w:val="76787A"/>
          <w:spacing w:val="-8"/>
          <w:sz w:val="20"/>
          <w:vertAlign w:val="baseline"/>
        </w:rPr>
        <w:t> </w:t>
      </w:r>
      <w:r>
        <w:rPr>
          <w:color w:val="231F20"/>
          <w:spacing w:val="-2"/>
          <w:sz w:val="20"/>
          <w:vertAlign w:val="baseline"/>
        </w:rPr>
        <w:t>Mathieu</w:t>
      </w:r>
      <w:r>
        <w:rPr>
          <w:color w:val="231F20"/>
          <w:spacing w:val="-4"/>
          <w:sz w:val="20"/>
          <w:vertAlign w:val="baseline"/>
        </w:rPr>
        <w:t> </w:t>
      </w:r>
      <w:r>
        <w:rPr>
          <w:color w:val="231F20"/>
          <w:spacing w:val="-2"/>
          <w:sz w:val="20"/>
          <w:vertAlign w:val="baseline"/>
        </w:rPr>
        <w:t>EKra,</w:t>
      </w:r>
      <w:r>
        <w:rPr>
          <w:color w:val="231F20"/>
          <w:spacing w:val="-5"/>
          <w:sz w:val="20"/>
          <w:vertAlign w:val="baseline"/>
        </w:rPr>
        <w:t> </w:t>
      </w:r>
      <w:r>
        <w:rPr>
          <w:color w:val="231F20"/>
          <w:spacing w:val="-2"/>
          <w:sz w:val="20"/>
          <w:vertAlign w:val="baseline"/>
        </w:rPr>
        <w:t>Ministre</w:t>
      </w:r>
      <w:r>
        <w:rPr>
          <w:color w:val="231F20"/>
          <w:spacing w:val="-4"/>
          <w:sz w:val="20"/>
          <w:vertAlign w:val="baseline"/>
        </w:rPr>
        <w:t> </w:t>
      </w:r>
      <w:r>
        <w:rPr>
          <w:color w:val="231F20"/>
          <w:spacing w:val="-2"/>
          <w:sz w:val="20"/>
          <w:vertAlign w:val="baseline"/>
        </w:rPr>
        <w:t>d’État, Ministre</w:t>
      </w:r>
      <w:r>
        <w:rPr>
          <w:color w:val="231F20"/>
          <w:spacing w:val="-5"/>
          <w:sz w:val="20"/>
          <w:vertAlign w:val="baseline"/>
        </w:rPr>
        <w:t> </w:t>
      </w:r>
      <w:r>
        <w:rPr>
          <w:color w:val="231F20"/>
          <w:spacing w:val="-2"/>
          <w:sz w:val="20"/>
          <w:vertAlign w:val="baseline"/>
        </w:rPr>
        <w:t>de</w:t>
      </w:r>
      <w:r>
        <w:rPr>
          <w:color w:val="231F20"/>
          <w:spacing w:val="-4"/>
          <w:sz w:val="20"/>
          <w:vertAlign w:val="baseline"/>
        </w:rPr>
        <w:t> </w:t>
      </w:r>
      <w:r>
        <w:rPr>
          <w:color w:val="231F20"/>
          <w:spacing w:val="-2"/>
          <w:sz w:val="20"/>
          <w:vertAlign w:val="baseline"/>
        </w:rPr>
        <w:t>l’Intérieur,</w:t>
      </w:r>
      <w:r>
        <w:rPr>
          <w:color w:val="231F20"/>
          <w:spacing w:val="-6"/>
          <w:sz w:val="20"/>
          <w:vertAlign w:val="baseline"/>
        </w:rPr>
        <w:t> </w:t>
      </w:r>
      <w:r>
        <w:rPr>
          <w:color w:val="231F20"/>
          <w:spacing w:val="-2"/>
          <w:sz w:val="20"/>
          <w:vertAlign w:val="baseline"/>
        </w:rPr>
        <w:t>décembre</w:t>
      </w:r>
      <w:r>
        <w:rPr>
          <w:color w:val="231F20"/>
          <w:spacing w:val="-6"/>
          <w:sz w:val="20"/>
          <w:vertAlign w:val="baseline"/>
        </w:rPr>
        <w:t> </w:t>
      </w:r>
      <w:r>
        <w:rPr>
          <w:color w:val="231F20"/>
          <w:spacing w:val="-2"/>
          <w:sz w:val="20"/>
          <w:vertAlign w:val="baseline"/>
        </w:rPr>
        <w:t>1976,</w:t>
      </w:r>
      <w:r>
        <w:rPr>
          <w:color w:val="231F20"/>
          <w:spacing w:val="-4"/>
          <w:sz w:val="20"/>
          <w:vertAlign w:val="baseline"/>
        </w:rPr>
        <w:t> </w:t>
      </w:r>
      <w:r>
        <w:rPr>
          <w:color w:val="231F20"/>
          <w:spacing w:val="-2"/>
          <w:sz w:val="20"/>
          <w:vertAlign w:val="baseline"/>
        </w:rPr>
        <w:t>à</w:t>
      </w:r>
      <w:r>
        <w:rPr>
          <w:color w:val="231F20"/>
          <w:spacing w:val="-4"/>
          <w:sz w:val="20"/>
          <w:vertAlign w:val="baseline"/>
        </w:rPr>
        <w:t> </w:t>
      </w:r>
      <w:r>
        <w:rPr>
          <w:color w:val="231F20"/>
          <w:spacing w:val="-2"/>
          <w:sz w:val="20"/>
          <w:vertAlign w:val="baseline"/>
        </w:rPr>
        <w:t>l’occasion </w:t>
      </w:r>
      <w:r>
        <w:rPr>
          <w:color w:val="231F20"/>
          <w:sz w:val="20"/>
          <w:vertAlign w:val="baseline"/>
        </w:rPr>
        <w:t>d’un séminaire sur l’information.</w:t>
      </w:r>
    </w:p>
    <w:p>
      <w:pPr>
        <w:spacing w:after="0"/>
        <w:jc w:val="left"/>
        <w:rPr>
          <w:sz w:val="20"/>
        </w:rPr>
        <w:sectPr>
          <w:pgSz w:w="8790" w:h="13610"/>
          <w:pgMar w:header="0" w:footer="802" w:top="1060" w:bottom="1000" w:left="880" w:right="880"/>
        </w:sectPr>
      </w:pPr>
    </w:p>
    <w:p>
      <w:pPr>
        <w:spacing w:before="66"/>
        <w:ind w:left="111" w:right="102" w:firstLine="340"/>
        <w:jc w:val="both"/>
        <w:rPr>
          <w:i/>
          <w:sz w:val="24"/>
        </w:rPr>
      </w:pPr>
      <w:r>
        <w:rPr>
          <w:i/>
          <w:color w:val="231F20"/>
          <w:sz w:val="24"/>
        </w:rPr>
        <w:t>«</w:t>
      </w:r>
      <w:r>
        <w:rPr>
          <w:i/>
          <w:color w:val="231F20"/>
          <w:spacing w:val="-11"/>
          <w:sz w:val="24"/>
        </w:rPr>
        <w:t> </w:t>
      </w:r>
      <w:r>
        <w:rPr>
          <w:i/>
          <w:color w:val="231F20"/>
          <w:sz w:val="24"/>
        </w:rPr>
        <w:t>Le</w:t>
      </w:r>
      <w:r>
        <w:rPr>
          <w:i/>
          <w:color w:val="231F20"/>
          <w:spacing w:val="-11"/>
          <w:sz w:val="24"/>
        </w:rPr>
        <w:t> </w:t>
      </w:r>
      <w:r>
        <w:rPr>
          <w:i/>
          <w:color w:val="231F20"/>
          <w:sz w:val="24"/>
        </w:rPr>
        <w:t>17</w:t>
      </w:r>
      <w:r>
        <w:rPr>
          <w:i/>
          <w:color w:val="231F20"/>
          <w:spacing w:val="-13"/>
          <w:sz w:val="24"/>
        </w:rPr>
        <w:t> </w:t>
      </w:r>
      <w:r>
        <w:rPr>
          <w:i/>
          <w:color w:val="231F20"/>
          <w:sz w:val="24"/>
        </w:rPr>
        <w:t>novembre</w:t>
      </w:r>
      <w:r>
        <w:rPr>
          <w:i/>
          <w:color w:val="231F20"/>
          <w:spacing w:val="-11"/>
          <w:sz w:val="24"/>
        </w:rPr>
        <w:t> </w:t>
      </w:r>
      <w:r>
        <w:rPr>
          <w:i/>
          <w:color w:val="231F20"/>
          <w:sz w:val="24"/>
        </w:rPr>
        <w:t>1993,</w:t>
      </w:r>
      <w:r>
        <w:rPr>
          <w:i/>
          <w:color w:val="231F20"/>
          <w:spacing w:val="-13"/>
          <w:sz w:val="24"/>
        </w:rPr>
        <w:t> </w:t>
      </w:r>
      <w:r>
        <w:rPr>
          <w:i/>
          <w:color w:val="231F20"/>
          <w:sz w:val="24"/>
        </w:rPr>
        <w:t>je</w:t>
      </w:r>
      <w:r>
        <w:rPr>
          <w:i/>
          <w:color w:val="231F20"/>
          <w:spacing w:val="-11"/>
          <w:sz w:val="24"/>
        </w:rPr>
        <w:t> </w:t>
      </w:r>
      <w:r>
        <w:rPr>
          <w:i/>
          <w:color w:val="231F20"/>
          <w:sz w:val="24"/>
        </w:rPr>
        <w:t>reçois</w:t>
      </w:r>
      <w:r>
        <w:rPr>
          <w:i/>
          <w:color w:val="231F20"/>
          <w:spacing w:val="-13"/>
          <w:sz w:val="24"/>
        </w:rPr>
        <w:t> </w:t>
      </w:r>
      <w:r>
        <w:rPr>
          <w:i/>
          <w:color w:val="231F20"/>
          <w:sz w:val="24"/>
        </w:rPr>
        <w:t>plusieurs</w:t>
      </w:r>
      <w:r>
        <w:rPr>
          <w:i/>
          <w:color w:val="231F20"/>
          <w:spacing w:val="-11"/>
          <w:sz w:val="24"/>
        </w:rPr>
        <w:t> </w:t>
      </w:r>
      <w:r>
        <w:rPr>
          <w:i/>
          <w:color w:val="231F20"/>
          <w:sz w:val="24"/>
        </w:rPr>
        <w:t>coups</w:t>
      </w:r>
      <w:r>
        <w:rPr>
          <w:i/>
          <w:color w:val="231F20"/>
          <w:spacing w:val="-13"/>
          <w:sz w:val="24"/>
        </w:rPr>
        <w:t> </w:t>
      </w:r>
      <w:r>
        <w:rPr>
          <w:i/>
          <w:color w:val="231F20"/>
          <w:sz w:val="24"/>
        </w:rPr>
        <w:t>de</w:t>
      </w:r>
      <w:r>
        <w:rPr>
          <w:i/>
          <w:color w:val="231F20"/>
          <w:spacing w:val="-11"/>
          <w:sz w:val="24"/>
        </w:rPr>
        <w:t> </w:t>
      </w:r>
      <w:r>
        <w:rPr>
          <w:i/>
          <w:color w:val="231F20"/>
          <w:sz w:val="24"/>
        </w:rPr>
        <w:t>fil</w:t>
      </w:r>
      <w:r>
        <w:rPr>
          <w:i/>
          <w:color w:val="231F20"/>
          <w:spacing w:val="-13"/>
          <w:sz w:val="24"/>
        </w:rPr>
        <w:t> </w:t>
      </w:r>
      <w:r>
        <w:rPr>
          <w:i/>
          <w:color w:val="231F20"/>
          <w:sz w:val="24"/>
        </w:rPr>
        <w:t>de</w:t>
      </w:r>
      <w:r>
        <w:rPr>
          <w:i/>
          <w:color w:val="231F20"/>
          <w:spacing w:val="-11"/>
          <w:sz w:val="24"/>
        </w:rPr>
        <w:t> </w:t>
      </w:r>
      <w:r>
        <w:rPr>
          <w:i/>
          <w:color w:val="231F20"/>
          <w:sz w:val="24"/>
        </w:rPr>
        <w:t>la</w:t>
      </w:r>
      <w:r>
        <w:rPr>
          <w:i/>
          <w:color w:val="231F20"/>
          <w:spacing w:val="-13"/>
          <w:sz w:val="24"/>
        </w:rPr>
        <w:t> </w:t>
      </w:r>
      <w:r>
        <w:rPr>
          <w:i/>
          <w:color w:val="231F20"/>
          <w:sz w:val="24"/>
        </w:rPr>
        <w:t>part</w:t>
      </w:r>
      <w:r>
        <w:rPr>
          <w:i/>
          <w:color w:val="231F20"/>
          <w:spacing w:val="-11"/>
          <w:sz w:val="24"/>
        </w:rPr>
        <w:t> </w:t>
      </w:r>
      <w:r>
        <w:rPr>
          <w:i/>
          <w:color w:val="231F20"/>
          <w:sz w:val="24"/>
        </w:rPr>
        <w:t>de</w:t>
      </w:r>
      <w:r>
        <w:rPr>
          <w:i/>
          <w:color w:val="231F20"/>
          <w:sz w:val="24"/>
        </w:rPr>
        <w:t> Alassane Ouattara, Premier Ministre, de Konan Bédié, Président de l’Assemblée Nationale, et de Philippe Yacé, Président du Conseil </w:t>
      </w:r>
      <w:r>
        <w:rPr>
          <w:color w:val="231F20"/>
          <w:spacing w:val="-4"/>
          <w:sz w:val="24"/>
        </w:rPr>
        <w:t>É</w:t>
      </w:r>
      <w:r>
        <w:rPr>
          <w:i/>
          <w:color w:val="231F20"/>
          <w:spacing w:val="-4"/>
          <w:sz w:val="24"/>
        </w:rPr>
        <w:t>conomique</w:t>
      </w:r>
      <w:r>
        <w:rPr>
          <w:i/>
          <w:color w:val="231F20"/>
          <w:spacing w:val="-8"/>
          <w:sz w:val="24"/>
        </w:rPr>
        <w:t> </w:t>
      </w:r>
      <w:r>
        <w:rPr>
          <w:i/>
          <w:color w:val="231F20"/>
          <w:spacing w:val="-4"/>
          <w:sz w:val="24"/>
        </w:rPr>
        <w:t>et</w:t>
      </w:r>
      <w:r>
        <w:rPr>
          <w:i/>
          <w:color w:val="231F20"/>
          <w:spacing w:val="-8"/>
          <w:sz w:val="24"/>
        </w:rPr>
        <w:t> </w:t>
      </w:r>
      <w:r>
        <w:rPr>
          <w:i/>
          <w:color w:val="231F20"/>
          <w:spacing w:val="-4"/>
          <w:sz w:val="24"/>
        </w:rPr>
        <w:t>Social,</w:t>
      </w:r>
      <w:r>
        <w:rPr>
          <w:i/>
          <w:color w:val="231F20"/>
          <w:spacing w:val="-8"/>
          <w:sz w:val="24"/>
        </w:rPr>
        <w:t> </w:t>
      </w:r>
      <w:r>
        <w:rPr>
          <w:i/>
          <w:color w:val="231F20"/>
          <w:spacing w:val="-4"/>
          <w:sz w:val="24"/>
        </w:rPr>
        <w:t>chacun</w:t>
      </w:r>
      <w:r>
        <w:rPr>
          <w:i/>
          <w:color w:val="231F20"/>
          <w:spacing w:val="-8"/>
          <w:sz w:val="24"/>
        </w:rPr>
        <w:t> </w:t>
      </w:r>
      <w:r>
        <w:rPr>
          <w:i/>
          <w:color w:val="231F20"/>
          <w:spacing w:val="-4"/>
          <w:sz w:val="24"/>
        </w:rPr>
        <w:t>demandant</w:t>
      </w:r>
      <w:r>
        <w:rPr>
          <w:i/>
          <w:color w:val="231F20"/>
          <w:spacing w:val="-11"/>
          <w:sz w:val="24"/>
        </w:rPr>
        <w:t> </w:t>
      </w:r>
      <w:r>
        <w:rPr>
          <w:i/>
          <w:color w:val="231F20"/>
          <w:spacing w:val="-4"/>
          <w:sz w:val="24"/>
        </w:rPr>
        <w:t>à</w:t>
      </w:r>
      <w:r>
        <w:rPr>
          <w:i/>
          <w:color w:val="231F20"/>
          <w:spacing w:val="-8"/>
          <w:sz w:val="24"/>
        </w:rPr>
        <w:t> </w:t>
      </w:r>
      <w:r>
        <w:rPr>
          <w:i/>
          <w:color w:val="231F20"/>
          <w:spacing w:val="-4"/>
          <w:sz w:val="24"/>
        </w:rPr>
        <w:t>me</w:t>
      </w:r>
      <w:r>
        <w:rPr>
          <w:i/>
          <w:color w:val="231F20"/>
          <w:spacing w:val="-8"/>
          <w:sz w:val="24"/>
        </w:rPr>
        <w:t> </w:t>
      </w:r>
      <w:r>
        <w:rPr>
          <w:i/>
          <w:color w:val="231F20"/>
          <w:spacing w:val="-4"/>
          <w:sz w:val="24"/>
        </w:rPr>
        <w:t>rencontrer.</w:t>
      </w:r>
      <w:r>
        <w:rPr>
          <w:i/>
          <w:color w:val="231F20"/>
          <w:spacing w:val="-8"/>
          <w:sz w:val="24"/>
        </w:rPr>
        <w:t> </w:t>
      </w:r>
      <w:r>
        <w:rPr>
          <w:i/>
          <w:color w:val="231F20"/>
          <w:spacing w:val="-4"/>
          <w:sz w:val="24"/>
        </w:rPr>
        <w:t>Nous</w:t>
      </w:r>
      <w:r>
        <w:rPr>
          <w:i/>
          <w:color w:val="231F20"/>
          <w:spacing w:val="-8"/>
          <w:sz w:val="24"/>
        </w:rPr>
        <w:t> </w:t>
      </w:r>
      <w:r>
        <w:rPr>
          <w:i/>
          <w:color w:val="231F20"/>
          <w:spacing w:val="-4"/>
          <w:sz w:val="24"/>
        </w:rPr>
        <w:t>prenons</w:t>
      </w:r>
      <w:r>
        <w:rPr>
          <w:i/>
          <w:color w:val="231F20"/>
          <w:spacing w:val="-4"/>
          <w:sz w:val="24"/>
        </w:rPr>
        <w:t> </w:t>
      </w:r>
      <w:r>
        <w:rPr>
          <w:i/>
          <w:color w:val="231F20"/>
          <w:sz w:val="24"/>
        </w:rPr>
        <w:t>rendez-vous pour le lendemain. Le 18 novembre vers huit heures, je rencontre</w:t>
      </w:r>
      <w:r>
        <w:rPr>
          <w:i/>
          <w:color w:val="231F20"/>
          <w:spacing w:val="-4"/>
          <w:sz w:val="24"/>
        </w:rPr>
        <w:t> </w:t>
      </w:r>
      <w:r>
        <w:rPr>
          <w:i/>
          <w:color w:val="231F20"/>
          <w:sz w:val="24"/>
        </w:rPr>
        <w:t>d’abord</w:t>
      </w:r>
      <w:r>
        <w:rPr>
          <w:i/>
          <w:color w:val="231F20"/>
          <w:spacing w:val="-5"/>
          <w:sz w:val="24"/>
        </w:rPr>
        <w:t> </w:t>
      </w:r>
      <w:r>
        <w:rPr>
          <w:i/>
          <w:color w:val="231F20"/>
          <w:sz w:val="24"/>
        </w:rPr>
        <w:t>Konan</w:t>
      </w:r>
      <w:r>
        <w:rPr>
          <w:i/>
          <w:color w:val="231F20"/>
          <w:spacing w:val="-5"/>
          <w:sz w:val="24"/>
        </w:rPr>
        <w:t> </w:t>
      </w:r>
      <w:r>
        <w:rPr>
          <w:i/>
          <w:color w:val="231F20"/>
          <w:sz w:val="24"/>
        </w:rPr>
        <w:t>Bédié.</w:t>
      </w:r>
      <w:r>
        <w:rPr>
          <w:i/>
          <w:color w:val="231F20"/>
          <w:spacing w:val="-5"/>
          <w:sz w:val="24"/>
        </w:rPr>
        <w:t> </w:t>
      </w:r>
      <w:r>
        <w:rPr>
          <w:i/>
          <w:color w:val="231F20"/>
          <w:sz w:val="24"/>
        </w:rPr>
        <w:t>Il</w:t>
      </w:r>
      <w:r>
        <w:rPr>
          <w:i/>
          <w:color w:val="231F20"/>
          <w:spacing w:val="-5"/>
          <w:sz w:val="24"/>
        </w:rPr>
        <w:t> </w:t>
      </w:r>
      <w:r>
        <w:rPr>
          <w:i/>
          <w:color w:val="231F20"/>
          <w:sz w:val="24"/>
        </w:rPr>
        <w:t>me</w:t>
      </w:r>
      <w:r>
        <w:rPr>
          <w:i/>
          <w:color w:val="231F20"/>
          <w:spacing w:val="-4"/>
          <w:sz w:val="24"/>
        </w:rPr>
        <w:t> </w:t>
      </w:r>
      <w:r>
        <w:rPr>
          <w:i/>
          <w:color w:val="231F20"/>
          <w:sz w:val="24"/>
        </w:rPr>
        <w:t>dit</w:t>
      </w:r>
      <w:r>
        <w:rPr>
          <w:i/>
          <w:color w:val="231F20"/>
          <w:spacing w:val="-5"/>
          <w:sz w:val="24"/>
        </w:rPr>
        <w:t> </w:t>
      </w:r>
      <w:r>
        <w:rPr>
          <w:i/>
          <w:color w:val="231F20"/>
          <w:sz w:val="24"/>
        </w:rPr>
        <w:t>que</w:t>
      </w:r>
      <w:r>
        <w:rPr>
          <w:i/>
          <w:color w:val="231F20"/>
          <w:spacing w:val="-5"/>
          <w:sz w:val="24"/>
        </w:rPr>
        <w:t> </w:t>
      </w:r>
      <w:r>
        <w:rPr>
          <w:i/>
          <w:color w:val="231F20"/>
          <w:sz w:val="24"/>
        </w:rPr>
        <w:t>le</w:t>
      </w:r>
      <w:r>
        <w:rPr>
          <w:i/>
          <w:color w:val="231F20"/>
          <w:spacing w:val="-4"/>
          <w:sz w:val="24"/>
        </w:rPr>
        <w:t> </w:t>
      </w:r>
      <w:r>
        <w:rPr>
          <w:i/>
          <w:color w:val="231F20"/>
          <w:sz w:val="24"/>
        </w:rPr>
        <w:t>Président</w:t>
      </w:r>
      <w:r>
        <w:rPr>
          <w:i/>
          <w:color w:val="231F20"/>
          <w:spacing w:val="-4"/>
          <w:sz w:val="24"/>
        </w:rPr>
        <w:t> </w:t>
      </w:r>
      <w:r>
        <w:rPr>
          <w:i/>
          <w:color w:val="231F20"/>
          <w:sz w:val="24"/>
        </w:rPr>
        <w:t>Houphouët- Boigny va mal et que des gens veulent former un gouvernement ; qu’il semblerait</w:t>
      </w:r>
      <w:r>
        <w:rPr>
          <w:i/>
          <w:color w:val="231F20"/>
          <w:spacing w:val="-5"/>
          <w:sz w:val="24"/>
        </w:rPr>
        <w:t> </w:t>
      </w:r>
      <w:r>
        <w:rPr>
          <w:i/>
          <w:color w:val="231F20"/>
          <w:sz w:val="24"/>
        </w:rPr>
        <w:t>que</w:t>
      </w:r>
      <w:r>
        <w:rPr>
          <w:i/>
          <w:color w:val="231F20"/>
          <w:spacing w:val="-6"/>
          <w:sz w:val="24"/>
        </w:rPr>
        <w:t> </w:t>
      </w:r>
      <w:r>
        <w:rPr>
          <w:i/>
          <w:color w:val="231F20"/>
          <w:sz w:val="24"/>
        </w:rPr>
        <w:t>le</w:t>
      </w:r>
      <w:r>
        <w:rPr>
          <w:i/>
          <w:color w:val="231F20"/>
          <w:spacing w:val="-4"/>
          <w:sz w:val="24"/>
        </w:rPr>
        <w:t> </w:t>
      </w:r>
      <w:r>
        <w:rPr>
          <w:i/>
          <w:color w:val="231F20"/>
          <w:sz w:val="24"/>
        </w:rPr>
        <w:t>PIT</w:t>
      </w:r>
      <w:r>
        <w:rPr>
          <w:i/>
          <w:color w:val="231F20"/>
          <w:spacing w:val="-4"/>
          <w:sz w:val="24"/>
        </w:rPr>
        <w:t> </w:t>
      </w:r>
      <w:r>
        <w:rPr>
          <w:i/>
          <w:color w:val="231F20"/>
          <w:sz w:val="24"/>
        </w:rPr>
        <w:t>soit</w:t>
      </w:r>
      <w:r>
        <w:rPr>
          <w:i/>
          <w:color w:val="231F20"/>
          <w:spacing w:val="-5"/>
          <w:sz w:val="24"/>
        </w:rPr>
        <w:t> </w:t>
      </w:r>
      <w:r>
        <w:rPr>
          <w:i/>
          <w:color w:val="231F20"/>
          <w:sz w:val="24"/>
        </w:rPr>
        <w:t>prêt</w:t>
      </w:r>
      <w:r>
        <w:rPr>
          <w:i/>
          <w:color w:val="231F20"/>
          <w:spacing w:val="-5"/>
          <w:sz w:val="24"/>
        </w:rPr>
        <w:t> </w:t>
      </w:r>
      <w:r>
        <w:rPr>
          <w:i/>
          <w:color w:val="231F20"/>
          <w:sz w:val="24"/>
        </w:rPr>
        <w:t>à</w:t>
      </w:r>
      <w:r>
        <w:rPr>
          <w:i/>
          <w:color w:val="231F20"/>
          <w:spacing w:val="-4"/>
          <w:sz w:val="24"/>
        </w:rPr>
        <w:t> </w:t>
      </w:r>
      <w:r>
        <w:rPr>
          <w:i/>
          <w:color w:val="231F20"/>
          <w:sz w:val="24"/>
        </w:rPr>
        <w:t>accepter</w:t>
      </w:r>
      <w:r>
        <w:rPr>
          <w:i/>
          <w:color w:val="231F20"/>
          <w:spacing w:val="-4"/>
          <w:sz w:val="24"/>
        </w:rPr>
        <w:t> </w:t>
      </w:r>
      <w:r>
        <w:rPr>
          <w:i/>
          <w:color w:val="231F20"/>
          <w:sz w:val="24"/>
        </w:rPr>
        <w:t>d’y</w:t>
      </w:r>
      <w:r>
        <w:rPr>
          <w:i/>
          <w:color w:val="231F20"/>
          <w:spacing w:val="-4"/>
          <w:sz w:val="24"/>
        </w:rPr>
        <w:t> </w:t>
      </w:r>
      <w:r>
        <w:rPr>
          <w:i/>
          <w:color w:val="231F20"/>
          <w:sz w:val="24"/>
        </w:rPr>
        <w:t>participer</w:t>
      </w:r>
      <w:r>
        <w:rPr>
          <w:i/>
          <w:color w:val="231F20"/>
          <w:spacing w:val="-3"/>
          <w:sz w:val="24"/>
        </w:rPr>
        <w:t> </w:t>
      </w:r>
      <w:r>
        <w:rPr>
          <w:i/>
          <w:color w:val="231F20"/>
          <w:sz w:val="24"/>
        </w:rPr>
        <w:t>(…)</w:t>
      </w:r>
    </w:p>
    <w:p>
      <w:pPr>
        <w:pStyle w:val="BodyText"/>
        <w:spacing w:before="121"/>
        <w:ind w:right="110" w:firstLine="283"/>
      </w:pPr>
      <w:r>
        <w:rPr>
          <w:color w:val="231F20"/>
          <w:spacing w:val="-2"/>
        </w:rPr>
        <w:t>Le</w:t>
      </w:r>
      <w:r>
        <w:rPr>
          <w:color w:val="231F20"/>
          <w:spacing w:val="-13"/>
        </w:rPr>
        <w:t> </w:t>
      </w:r>
      <w:r>
        <w:rPr>
          <w:color w:val="231F20"/>
          <w:spacing w:val="-2"/>
        </w:rPr>
        <w:t>Professeur</w:t>
      </w:r>
      <w:r>
        <w:rPr>
          <w:color w:val="231F20"/>
          <w:spacing w:val="-13"/>
        </w:rPr>
        <w:t> </w:t>
      </w:r>
      <w:r>
        <w:rPr>
          <w:color w:val="231F20"/>
          <w:spacing w:val="-2"/>
        </w:rPr>
        <w:t>Francis</w:t>
      </w:r>
      <w:r>
        <w:rPr>
          <w:color w:val="231F20"/>
          <w:spacing w:val="-13"/>
        </w:rPr>
        <w:t> </w:t>
      </w:r>
      <w:r>
        <w:rPr>
          <w:color w:val="231F20"/>
          <w:spacing w:val="-2"/>
        </w:rPr>
        <w:t>Wodié,</w:t>
      </w:r>
      <w:r>
        <w:rPr>
          <w:color w:val="231F20"/>
          <w:spacing w:val="-13"/>
        </w:rPr>
        <w:t> </w:t>
      </w:r>
      <w:r>
        <w:rPr>
          <w:color w:val="231F20"/>
          <w:spacing w:val="-2"/>
        </w:rPr>
        <w:t>Président</w:t>
      </w:r>
      <w:r>
        <w:rPr>
          <w:color w:val="231F20"/>
          <w:spacing w:val="-13"/>
        </w:rPr>
        <w:t> </w:t>
      </w:r>
      <w:r>
        <w:rPr>
          <w:color w:val="231F20"/>
          <w:spacing w:val="-2"/>
        </w:rPr>
        <w:t>du</w:t>
      </w:r>
      <w:r>
        <w:rPr>
          <w:color w:val="231F20"/>
          <w:spacing w:val="-13"/>
        </w:rPr>
        <w:t> </w:t>
      </w:r>
      <w:r>
        <w:rPr>
          <w:color w:val="231F20"/>
          <w:spacing w:val="-2"/>
        </w:rPr>
        <w:t>Parti</w:t>
      </w:r>
      <w:r>
        <w:rPr>
          <w:color w:val="231F20"/>
          <w:spacing w:val="-13"/>
        </w:rPr>
        <w:t> </w:t>
      </w:r>
      <w:r>
        <w:rPr>
          <w:color w:val="231F20"/>
          <w:spacing w:val="-2"/>
        </w:rPr>
        <w:t>des</w:t>
      </w:r>
      <w:r>
        <w:rPr>
          <w:color w:val="231F20"/>
          <w:spacing w:val="-13"/>
        </w:rPr>
        <w:t> </w:t>
      </w:r>
      <w:r>
        <w:rPr>
          <w:color w:val="231F20"/>
          <w:spacing w:val="-2"/>
        </w:rPr>
        <w:t>Travailleurs(PIT) </w:t>
      </w:r>
      <w:r>
        <w:rPr>
          <w:color w:val="231F20"/>
        </w:rPr>
        <w:t>ajoute :</w:t>
      </w:r>
    </w:p>
    <w:p>
      <w:pPr>
        <w:spacing w:before="120"/>
        <w:ind w:left="111" w:right="106" w:firstLine="283"/>
        <w:jc w:val="both"/>
        <w:rPr>
          <w:i/>
          <w:sz w:val="24"/>
        </w:rPr>
      </w:pPr>
      <w:r>
        <w:rPr>
          <w:i/>
          <w:color w:val="231F20"/>
          <w:sz w:val="24"/>
        </w:rPr>
        <w:t>(…)</w:t>
      </w:r>
      <w:r>
        <w:rPr>
          <w:i/>
          <w:color w:val="231F20"/>
          <w:spacing w:val="-15"/>
          <w:sz w:val="24"/>
        </w:rPr>
        <w:t> </w:t>
      </w:r>
      <w:r>
        <w:rPr>
          <w:i/>
          <w:color w:val="231F20"/>
          <w:sz w:val="24"/>
        </w:rPr>
        <w:t>A</w:t>
      </w:r>
      <w:r>
        <w:rPr>
          <w:i/>
          <w:color w:val="231F20"/>
          <w:spacing w:val="-15"/>
          <w:sz w:val="24"/>
        </w:rPr>
        <w:t> </w:t>
      </w:r>
      <w:r>
        <w:rPr>
          <w:i/>
          <w:color w:val="231F20"/>
          <w:sz w:val="24"/>
        </w:rPr>
        <w:t>neuf</w:t>
      </w:r>
      <w:r>
        <w:rPr>
          <w:i/>
          <w:color w:val="231F20"/>
          <w:spacing w:val="-15"/>
          <w:sz w:val="24"/>
        </w:rPr>
        <w:t> </w:t>
      </w:r>
      <w:r>
        <w:rPr>
          <w:i/>
          <w:color w:val="231F20"/>
          <w:sz w:val="24"/>
        </w:rPr>
        <w:t>heures</w:t>
      </w:r>
      <w:r>
        <w:rPr>
          <w:i/>
          <w:color w:val="231F20"/>
          <w:spacing w:val="-15"/>
          <w:sz w:val="24"/>
        </w:rPr>
        <w:t> </w:t>
      </w:r>
      <w:r>
        <w:rPr>
          <w:i/>
          <w:color w:val="231F20"/>
          <w:sz w:val="24"/>
        </w:rPr>
        <w:t>je</w:t>
      </w:r>
      <w:r>
        <w:rPr>
          <w:i/>
          <w:color w:val="231F20"/>
          <w:spacing w:val="-15"/>
          <w:sz w:val="24"/>
        </w:rPr>
        <w:t> </w:t>
      </w:r>
      <w:r>
        <w:rPr>
          <w:i/>
          <w:color w:val="231F20"/>
          <w:sz w:val="24"/>
        </w:rPr>
        <w:t>rencontre</w:t>
      </w:r>
      <w:r>
        <w:rPr>
          <w:i/>
          <w:color w:val="231F20"/>
          <w:spacing w:val="-15"/>
          <w:sz w:val="24"/>
        </w:rPr>
        <w:t> </w:t>
      </w:r>
      <w:r>
        <w:rPr>
          <w:i/>
          <w:color w:val="231F20"/>
          <w:sz w:val="24"/>
        </w:rPr>
        <w:t>Yacé.</w:t>
      </w:r>
      <w:r>
        <w:rPr>
          <w:i/>
          <w:color w:val="231F20"/>
          <w:spacing w:val="-13"/>
          <w:sz w:val="24"/>
        </w:rPr>
        <w:t> </w:t>
      </w:r>
      <w:r>
        <w:rPr>
          <w:i/>
          <w:color w:val="231F20"/>
          <w:sz w:val="24"/>
        </w:rPr>
        <w:t>Il</w:t>
      </w:r>
      <w:r>
        <w:rPr>
          <w:i/>
          <w:color w:val="231F20"/>
          <w:spacing w:val="-15"/>
          <w:sz w:val="24"/>
        </w:rPr>
        <w:t> </w:t>
      </w:r>
      <w:r>
        <w:rPr>
          <w:i/>
          <w:color w:val="231F20"/>
          <w:sz w:val="24"/>
        </w:rPr>
        <w:t>me</w:t>
      </w:r>
      <w:r>
        <w:rPr>
          <w:i/>
          <w:color w:val="231F20"/>
          <w:spacing w:val="-13"/>
          <w:sz w:val="24"/>
        </w:rPr>
        <w:t> </w:t>
      </w:r>
      <w:r>
        <w:rPr>
          <w:i/>
          <w:color w:val="231F20"/>
          <w:sz w:val="24"/>
        </w:rPr>
        <w:t>dit</w:t>
      </w:r>
      <w:r>
        <w:rPr>
          <w:i/>
          <w:color w:val="231F20"/>
          <w:spacing w:val="-15"/>
          <w:sz w:val="24"/>
        </w:rPr>
        <w:t> </w:t>
      </w:r>
      <w:r>
        <w:rPr>
          <w:i/>
          <w:color w:val="231F20"/>
          <w:sz w:val="24"/>
        </w:rPr>
        <w:t>qu’Houphouët-Boigny</w:t>
      </w:r>
      <w:r>
        <w:rPr>
          <w:i/>
          <w:color w:val="231F20"/>
          <w:sz w:val="24"/>
        </w:rPr>
        <w:t> est au plus mal et qu’après le Président Houphouët-Boigny, c’est lui, Yacé</w:t>
      </w:r>
      <w:r>
        <w:rPr>
          <w:color w:val="231F20"/>
          <w:sz w:val="24"/>
          <w:vertAlign w:val="superscript"/>
        </w:rPr>
        <w:t>150</w:t>
      </w:r>
      <w:r>
        <w:rPr>
          <w:i/>
          <w:color w:val="231F20"/>
          <w:sz w:val="24"/>
          <w:vertAlign w:val="baseline"/>
        </w:rPr>
        <w:t>, qui est le dépositaire de la légitimité au sein du PDCI; que le</w:t>
      </w:r>
      <w:r>
        <w:rPr>
          <w:i/>
          <w:color w:val="231F20"/>
          <w:sz w:val="24"/>
          <w:vertAlign w:val="baseline"/>
        </w:rPr>
        <w:t> </w:t>
      </w:r>
      <w:r>
        <w:rPr>
          <w:i/>
          <w:color w:val="231F20"/>
          <w:spacing w:val="-4"/>
          <w:sz w:val="24"/>
          <w:vertAlign w:val="baseline"/>
        </w:rPr>
        <w:t>Président</w:t>
      </w:r>
      <w:r>
        <w:rPr>
          <w:i/>
          <w:color w:val="231F20"/>
          <w:spacing w:val="-11"/>
          <w:sz w:val="24"/>
          <w:vertAlign w:val="baseline"/>
        </w:rPr>
        <w:t> </w:t>
      </w:r>
      <w:r>
        <w:rPr>
          <w:i/>
          <w:color w:val="231F20"/>
          <w:spacing w:val="-4"/>
          <w:sz w:val="24"/>
          <w:vertAlign w:val="baseline"/>
        </w:rPr>
        <w:t>demande</w:t>
      </w:r>
      <w:r>
        <w:rPr>
          <w:i/>
          <w:color w:val="231F20"/>
          <w:spacing w:val="-11"/>
          <w:sz w:val="24"/>
          <w:vertAlign w:val="baseline"/>
        </w:rPr>
        <w:t> </w:t>
      </w:r>
      <w:r>
        <w:rPr>
          <w:i/>
          <w:color w:val="231F20"/>
          <w:spacing w:val="-4"/>
          <w:sz w:val="24"/>
          <w:vertAlign w:val="baseline"/>
        </w:rPr>
        <w:t>à</w:t>
      </w:r>
      <w:r>
        <w:rPr>
          <w:i/>
          <w:color w:val="231F20"/>
          <w:spacing w:val="-11"/>
          <w:sz w:val="24"/>
          <w:vertAlign w:val="baseline"/>
        </w:rPr>
        <w:t> </w:t>
      </w:r>
      <w:r>
        <w:rPr>
          <w:i/>
          <w:color w:val="231F20"/>
          <w:spacing w:val="-4"/>
          <w:sz w:val="24"/>
          <w:vertAlign w:val="baseline"/>
        </w:rPr>
        <w:t>Alassane</w:t>
      </w:r>
      <w:r>
        <w:rPr>
          <w:i/>
          <w:color w:val="231F20"/>
          <w:spacing w:val="-8"/>
          <w:sz w:val="24"/>
          <w:vertAlign w:val="baseline"/>
        </w:rPr>
        <w:t> </w:t>
      </w:r>
      <w:r>
        <w:rPr>
          <w:i/>
          <w:color w:val="231F20"/>
          <w:spacing w:val="-4"/>
          <w:sz w:val="24"/>
          <w:vertAlign w:val="baseline"/>
        </w:rPr>
        <w:t>Ouattara</w:t>
      </w:r>
      <w:r>
        <w:rPr>
          <w:i/>
          <w:color w:val="231F20"/>
          <w:spacing w:val="-11"/>
          <w:sz w:val="24"/>
          <w:vertAlign w:val="baseline"/>
        </w:rPr>
        <w:t> </w:t>
      </w:r>
      <w:r>
        <w:rPr>
          <w:i/>
          <w:color w:val="231F20"/>
          <w:spacing w:val="-4"/>
          <w:sz w:val="24"/>
          <w:vertAlign w:val="baseline"/>
        </w:rPr>
        <w:t>de</w:t>
      </w:r>
      <w:r>
        <w:rPr>
          <w:i/>
          <w:color w:val="231F20"/>
          <w:spacing w:val="-11"/>
          <w:sz w:val="24"/>
          <w:vertAlign w:val="baseline"/>
        </w:rPr>
        <w:t> </w:t>
      </w:r>
      <w:r>
        <w:rPr>
          <w:i/>
          <w:color w:val="231F20"/>
          <w:spacing w:val="-4"/>
          <w:sz w:val="24"/>
          <w:vertAlign w:val="baseline"/>
        </w:rPr>
        <w:t>former</w:t>
      </w:r>
      <w:r>
        <w:rPr>
          <w:i/>
          <w:color w:val="231F20"/>
          <w:spacing w:val="-11"/>
          <w:sz w:val="24"/>
          <w:vertAlign w:val="baseline"/>
        </w:rPr>
        <w:t> </w:t>
      </w:r>
      <w:r>
        <w:rPr>
          <w:i/>
          <w:color w:val="231F20"/>
          <w:spacing w:val="-4"/>
          <w:sz w:val="24"/>
          <w:vertAlign w:val="baseline"/>
        </w:rPr>
        <w:t>un</w:t>
      </w:r>
      <w:r>
        <w:rPr>
          <w:i/>
          <w:color w:val="231F20"/>
          <w:spacing w:val="-8"/>
          <w:sz w:val="24"/>
          <w:vertAlign w:val="baseline"/>
        </w:rPr>
        <w:t> </w:t>
      </w:r>
      <w:r>
        <w:rPr>
          <w:i/>
          <w:color w:val="231F20"/>
          <w:spacing w:val="-4"/>
          <w:sz w:val="24"/>
          <w:vertAlign w:val="baseline"/>
        </w:rPr>
        <w:t>gouvernement;</w:t>
      </w:r>
      <w:r>
        <w:rPr>
          <w:i/>
          <w:color w:val="231F20"/>
          <w:spacing w:val="-11"/>
          <w:sz w:val="24"/>
          <w:vertAlign w:val="baseline"/>
        </w:rPr>
        <w:t> </w:t>
      </w:r>
      <w:r>
        <w:rPr>
          <w:i/>
          <w:color w:val="231F20"/>
          <w:spacing w:val="-4"/>
          <w:sz w:val="24"/>
          <w:vertAlign w:val="baseline"/>
        </w:rPr>
        <w:t>que </w:t>
      </w:r>
      <w:r>
        <w:rPr>
          <w:i/>
          <w:color w:val="231F20"/>
          <w:sz w:val="24"/>
          <w:vertAlign w:val="baseline"/>
        </w:rPr>
        <w:t>celui-ci</w:t>
      </w:r>
      <w:r>
        <w:rPr>
          <w:i/>
          <w:color w:val="231F20"/>
          <w:spacing w:val="-10"/>
          <w:sz w:val="24"/>
          <w:vertAlign w:val="baseline"/>
        </w:rPr>
        <w:t> </w:t>
      </w:r>
      <w:r>
        <w:rPr>
          <w:i/>
          <w:color w:val="231F20"/>
          <w:sz w:val="24"/>
          <w:vertAlign w:val="baseline"/>
        </w:rPr>
        <w:t>n’etant</w:t>
      </w:r>
      <w:r>
        <w:rPr>
          <w:i/>
          <w:color w:val="231F20"/>
          <w:spacing w:val="-8"/>
          <w:sz w:val="24"/>
          <w:vertAlign w:val="baseline"/>
        </w:rPr>
        <w:t> </w:t>
      </w:r>
      <w:r>
        <w:rPr>
          <w:i/>
          <w:color w:val="231F20"/>
          <w:sz w:val="24"/>
          <w:vertAlign w:val="baseline"/>
        </w:rPr>
        <w:t>pas</w:t>
      </w:r>
      <w:r>
        <w:rPr>
          <w:i/>
          <w:color w:val="231F20"/>
          <w:spacing w:val="-10"/>
          <w:sz w:val="24"/>
          <w:vertAlign w:val="baseline"/>
        </w:rPr>
        <w:t> </w:t>
      </w:r>
      <w:r>
        <w:rPr>
          <w:i/>
          <w:color w:val="231F20"/>
          <w:sz w:val="24"/>
          <w:vertAlign w:val="baseline"/>
        </w:rPr>
        <w:t>très</w:t>
      </w:r>
      <w:r>
        <w:rPr>
          <w:i/>
          <w:color w:val="231F20"/>
          <w:spacing w:val="-10"/>
          <w:sz w:val="24"/>
          <w:vertAlign w:val="baseline"/>
        </w:rPr>
        <w:t> </w:t>
      </w:r>
      <w:r>
        <w:rPr>
          <w:i/>
          <w:color w:val="231F20"/>
          <w:sz w:val="24"/>
          <w:vertAlign w:val="baseline"/>
        </w:rPr>
        <w:t>connu</w:t>
      </w:r>
      <w:r>
        <w:rPr>
          <w:i/>
          <w:color w:val="231F20"/>
          <w:spacing w:val="-8"/>
          <w:sz w:val="24"/>
          <w:vertAlign w:val="baseline"/>
        </w:rPr>
        <w:t> </w:t>
      </w:r>
      <w:r>
        <w:rPr>
          <w:i/>
          <w:color w:val="231F20"/>
          <w:sz w:val="24"/>
          <w:vertAlign w:val="baseline"/>
        </w:rPr>
        <w:t>encore,</w:t>
      </w:r>
      <w:r>
        <w:rPr>
          <w:i/>
          <w:color w:val="231F20"/>
          <w:spacing w:val="-10"/>
          <w:sz w:val="24"/>
          <w:vertAlign w:val="baseline"/>
        </w:rPr>
        <w:t> </w:t>
      </w:r>
      <w:r>
        <w:rPr>
          <w:i/>
          <w:color w:val="231F20"/>
          <w:sz w:val="24"/>
          <w:vertAlign w:val="baseline"/>
        </w:rPr>
        <w:t>le</w:t>
      </w:r>
      <w:r>
        <w:rPr>
          <w:i/>
          <w:color w:val="231F20"/>
          <w:spacing w:val="-8"/>
          <w:sz w:val="24"/>
          <w:vertAlign w:val="baseline"/>
        </w:rPr>
        <w:t> </w:t>
      </w:r>
      <w:r>
        <w:rPr>
          <w:i/>
          <w:color w:val="231F20"/>
          <w:sz w:val="24"/>
          <w:vertAlign w:val="baseline"/>
        </w:rPr>
        <w:t>Président</w:t>
      </w:r>
      <w:r>
        <w:rPr>
          <w:i/>
          <w:color w:val="231F20"/>
          <w:spacing w:val="-9"/>
          <w:sz w:val="24"/>
          <w:vertAlign w:val="baseline"/>
        </w:rPr>
        <w:t> </w:t>
      </w:r>
      <w:r>
        <w:rPr>
          <w:i/>
          <w:color w:val="231F20"/>
          <w:sz w:val="24"/>
          <w:vertAlign w:val="baseline"/>
        </w:rPr>
        <w:t>lui</w:t>
      </w:r>
      <w:r>
        <w:rPr>
          <w:i/>
          <w:color w:val="231F20"/>
          <w:spacing w:val="-9"/>
          <w:sz w:val="24"/>
          <w:vertAlign w:val="baseline"/>
        </w:rPr>
        <w:t> </w:t>
      </w:r>
      <w:r>
        <w:rPr>
          <w:i/>
          <w:color w:val="231F20"/>
          <w:sz w:val="24"/>
          <w:vertAlign w:val="baseline"/>
        </w:rPr>
        <w:t>a</w:t>
      </w:r>
      <w:r>
        <w:rPr>
          <w:i/>
          <w:color w:val="231F20"/>
          <w:spacing w:val="-10"/>
          <w:sz w:val="24"/>
          <w:vertAlign w:val="baseline"/>
        </w:rPr>
        <w:t> </w:t>
      </w:r>
      <w:r>
        <w:rPr>
          <w:i/>
          <w:color w:val="231F20"/>
          <w:sz w:val="24"/>
          <w:vertAlign w:val="baseline"/>
        </w:rPr>
        <w:t>demandé</w:t>
      </w:r>
      <w:r>
        <w:rPr>
          <w:i/>
          <w:color w:val="231F20"/>
          <w:spacing w:val="-10"/>
          <w:sz w:val="24"/>
          <w:vertAlign w:val="baseline"/>
        </w:rPr>
        <w:t> </w:t>
      </w:r>
      <w:r>
        <w:rPr>
          <w:i/>
          <w:color w:val="231F20"/>
          <w:sz w:val="24"/>
          <w:vertAlign w:val="baseline"/>
        </w:rPr>
        <w:t>à</w:t>
      </w:r>
      <w:r>
        <w:rPr>
          <w:i/>
          <w:color w:val="231F20"/>
          <w:spacing w:val="-8"/>
          <w:sz w:val="24"/>
          <w:vertAlign w:val="baseline"/>
        </w:rPr>
        <w:t> </w:t>
      </w:r>
      <w:r>
        <w:rPr>
          <w:i/>
          <w:color w:val="231F20"/>
          <w:sz w:val="24"/>
          <w:vertAlign w:val="baseline"/>
        </w:rPr>
        <w:t>lui, Yacé,</w:t>
      </w:r>
      <w:r>
        <w:rPr>
          <w:i/>
          <w:color w:val="231F20"/>
          <w:spacing w:val="-4"/>
          <w:sz w:val="24"/>
          <w:vertAlign w:val="baseline"/>
        </w:rPr>
        <w:t> </w:t>
      </w:r>
      <w:r>
        <w:rPr>
          <w:i/>
          <w:color w:val="231F20"/>
          <w:sz w:val="24"/>
          <w:vertAlign w:val="baseline"/>
        </w:rPr>
        <w:t>d’aider</w:t>
      </w:r>
      <w:r>
        <w:rPr>
          <w:i/>
          <w:color w:val="231F20"/>
          <w:spacing w:val="-7"/>
          <w:sz w:val="24"/>
          <w:vertAlign w:val="baseline"/>
        </w:rPr>
        <w:t> </w:t>
      </w:r>
      <w:r>
        <w:rPr>
          <w:i/>
          <w:color w:val="231F20"/>
          <w:sz w:val="24"/>
          <w:vertAlign w:val="baseline"/>
        </w:rPr>
        <w:t>Alassane</w:t>
      </w:r>
      <w:r>
        <w:rPr>
          <w:i/>
          <w:color w:val="231F20"/>
          <w:spacing w:val="-4"/>
          <w:sz w:val="24"/>
          <w:vertAlign w:val="baseline"/>
        </w:rPr>
        <w:t> </w:t>
      </w:r>
      <w:r>
        <w:rPr>
          <w:i/>
          <w:color w:val="231F20"/>
          <w:sz w:val="24"/>
          <w:vertAlign w:val="baseline"/>
        </w:rPr>
        <w:t>Ouattara</w:t>
      </w:r>
      <w:r>
        <w:rPr>
          <w:i/>
          <w:color w:val="231F20"/>
          <w:spacing w:val="-7"/>
          <w:sz w:val="24"/>
          <w:vertAlign w:val="baseline"/>
        </w:rPr>
        <w:t> </w:t>
      </w:r>
      <w:r>
        <w:rPr>
          <w:i/>
          <w:color w:val="231F20"/>
          <w:sz w:val="24"/>
          <w:vertAlign w:val="baseline"/>
        </w:rPr>
        <w:t>à</w:t>
      </w:r>
      <w:r>
        <w:rPr>
          <w:i/>
          <w:color w:val="231F20"/>
          <w:spacing w:val="-5"/>
          <w:sz w:val="24"/>
          <w:vertAlign w:val="baseline"/>
        </w:rPr>
        <w:t> </w:t>
      </w:r>
      <w:r>
        <w:rPr>
          <w:i/>
          <w:color w:val="231F20"/>
          <w:sz w:val="24"/>
          <w:vertAlign w:val="baseline"/>
        </w:rPr>
        <w:t>former</w:t>
      </w:r>
      <w:r>
        <w:rPr>
          <w:i/>
          <w:color w:val="231F20"/>
          <w:spacing w:val="-7"/>
          <w:sz w:val="24"/>
          <w:vertAlign w:val="baseline"/>
        </w:rPr>
        <w:t> </w:t>
      </w:r>
      <w:r>
        <w:rPr>
          <w:i/>
          <w:color w:val="231F20"/>
          <w:sz w:val="24"/>
          <w:vertAlign w:val="baseline"/>
        </w:rPr>
        <w:t>le</w:t>
      </w:r>
      <w:r>
        <w:rPr>
          <w:i/>
          <w:color w:val="231F20"/>
          <w:spacing w:val="-5"/>
          <w:sz w:val="24"/>
          <w:vertAlign w:val="baseline"/>
        </w:rPr>
        <w:t> </w:t>
      </w:r>
      <w:r>
        <w:rPr>
          <w:i/>
          <w:color w:val="231F20"/>
          <w:sz w:val="24"/>
          <w:vertAlign w:val="baseline"/>
        </w:rPr>
        <w:t>gouvernement(…)</w:t>
      </w:r>
    </w:p>
    <w:p>
      <w:pPr>
        <w:spacing w:before="120"/>
        <w:ind w:left="111" w:right="109" w:firstLine="283"/>
        <w:jc w:val="both"/>
        <w:rPr>
          <w:sz w:val="24"/>
        </w:rPr>
      </w:pPr>
      <w:r>
        <w:rPr>
          <w:i/>
          <w:color w:val="231F20"/>
          <w:sz w:val="24"/>
        </w:rPr>
        <w:t>A</w:t>
      </w:r>
      <w:r>
        <w:rPr>
          <w:i/>
          <w:color w:val="231F20"/>
          <w:spacing w:val="-10"/>
          <w:sz w:val="24"/>
        </w:rPr>
        <w:t> </w:t>
      </w:r>
      <w:r>
        <w:rPr>
          <w:i/>
          <w:color w:val="231F20"/>
          <w:sz w:val="24"/>
        </w:rPr>
        <w:t>onze</w:t>
      </w:r>
      <w:r>
        <w:rPr>
          <w:i/>
          <w:color w:val="231F20"/>
          <w:spacing w:val="-10"/>
          <w:sz w:val="24"/>
        </w:rPr>
        <w:t> </w:t>
      </w:r>
      <w:r>
        <w:rPr>
          <w:i/>
          <w:color w:val="231F20"/>
          <w:sz w:val="24"/>
        </w:rPr>
        <w:t>heures,</w:t>
      </w:r>
      <w:r>
        <w:rPr>
          <w:i/>
          <w:color w:val="231F20"/>
          <w:spacing w:val="-10"/>
          <w:sz w:val="24"/>
        </w:rPr>
        <w:t> </w:t>
      </w:r>
      <w:r>
        <w:rPr>
          <w:i/>
          <w:color w:val="231F20"/>
          <w:sz w:val="24"/>
        </w:rPr>
        <w:t>je</w:t>
      </w:r>
      <w:r>
        <w:rPr>
          <w:i/>
          <w:color w:val="231F20"/>
          <w:spacing w:val="-10"/>
          <w:sz w:val="24"/>
        </w:rPr>
        <w:t> </w:t>
      </w:r>
      <w:r>
        <w:rPr>
          <w:i/>
          <w:color w:val="231F20"/>
          <w:sz w:val="24"/>
        </w:rPr>
        <w:t>rencontre</w:t>
      </w:r>
      <w:r>
        <w:rPr>
          <w:i/>
          <w:color w:val="231F20"/>
          <w:spacing w:val="-10"/>
          <w:sz w:val="24"/>
        </w:rPr>
        <w:t> </w:t>
      </w:r>
      <w:r>
        <w:rPr>
          <w:i/>
          <w:color w:val="231F20"/>
          <w:sz w:val="24"/>
        </w:rPr>
        <w:t>Alassane</w:t>
      </w:r>
      <w:r>
        <w:rPr>
          <w:i/>
          <w:color w:val="231F20"/>
          <w:spacing w:val="-10"/>
          <w:sz w:val="24"/>
        </w:rPr>
        <w:t> </w:t>
      </w:r>
      <w:r>
        <w:rPr>
          <w:i/>
          <w:color w:val="231F20"/>
          <w:sz w:val="24"/>
        </w:rPr>
        <w:t>Ouattara.</w:t>
      </w:r>
      <w:r>
        <w:rPr>
          <w:i/>
          <w:color w:val="231F20"/>
          <w:spacing w:val="-10"/>
          <w:sz w:val="24"/>
        </w:rPr>
        <w:t> </w:t>
      </w:r>
      <w:r>
        <w:rPr>
          <w:i/>
          <w:color w:val="231F20"/>
          <w:sz w:val="24"/>
        </w:rPr>
        <w:t>Il</w:t>
      </w:r>
      <w:r>
        <w:rPr>
          <w:i/>
          <w:color w:val="231F20"/>
          <w:spacing w:val="-9"/>
          <w:sz w:val="24"/>
        </w:rPr>
        <w:t> </w:t>
      </w:r>
      <w:r>
        <w:rPr>
          <w:i/>
          <w:color w:val="231F20"/>
          <w:sz w:val="24"/>
        </w:rPr>
        <w:t>me</w:t>
      </w:r>
      <w:r>
        <w:rPr>
          <w:i/>
          <w:color w:val="231F20"/>
          <w:spacing w:val="-10"/>
          <w:sz w:val="24"/>
        </w:rPr>
        <w:t> </w:t>
      </w:r>
      <w:r>
        <w:rPr>
          <w:i/>
          <w:color w:val="231F20"/>
          <w:sz w:val="24"/>
        </w:rPr>
        <w:t>dit</w:t>
      </w:r>
      <w:r>
        <w:rPr>
          <w:i/>
          <w:color w:val="231F20"/>
          <w:spacing w:val="-10"/>
          <w:sz w:val="24"/>
        </w:rPr>
        <w:t> </w:t>
      </w:r>
      <w:r>
        <w:rPr>
          <w:i/>
          <w:color w:val="231F20"/>
          <w:sz w:val="24"/>
        </w:rPr>
        <w:t>qu’il</w:t>
      </w:r>
      <w:r>
        <w:rPr>
          <w:i/>
          <w:color w:val="231F20"/>
          <w:spacing w:val="-10"/>
          <w:sz w:val="24"/>
        </w:rPr>
        <w:t> </w:t>
      </w:r>
      <w:r>
        <w:rPr>
          <w:i/>
          <w:color w:val="231F20"/>
          <w:sz w:val="24"/>
        </w:rPr>
        <w:t>a</w:t>
      </w:r>
      <w:r>
        <w:rPr>
          <w:i/>
          <w:color w:val="231F20"/>
          <w:spacing w:val="-10"/>
          <w:sz w:val="24"/>
        </w:rPr>
        <w:t> </w:t>
      </w:r>
      <w:r>
        <w:rPr>
          <w:i/>
          <w:color w:val="231F20"/>
          <w:sz w:val="24"/>
        </w:rPr>
        <w:t>reçu</w:t>
      </w:r>
      <w:r>
        <w:rPr>
          <w:i/>
          <w:color w:val="231F20"/>
          <w:sz w:val="24"/>
        </w:rPr>
        <w:t> mandat du Chef de l’État pour former un gouvernement d’union et voudrait la participation du PIT (…) »</w:t>
      </w:r>
      <w:r>
        <w:rPr>
          <w:color w:val="231F20"/>
          <w:sz w:val="24"/>
          <w:vertAlign w:val="superscript"/>
        </w:rPr>
        <w:t>151</w:t>
      </w:r>
    </w:p>
    <w:p>
      <w:pPr>
        <w:pStyle w:val="BodyText"/>
        <w:spacing w:before="120"/>
        <w:ind w:left="395"/>
      </w:pPr>
      <w:r>
        <w:rPr>
          <w:color w:val="231F20"/>
        </w:rPr>
        <w:t>Le</w:t>
      </w:r>
      <w:r>
        <w:rPr>
          <w:color w:val="231F20"/>
          <w:spacing w:val="10"/>
        </w:rPr>
        <w:t> </w:t>
      </w:r>
      <w:r>
        <w:rPr>
          <w:color w:val="231F20"/>
        </w:rPr>
        <w:t>19</w:t>
      </w:r>
      <w:r>
        <w:rPr>
          <w:color w:val="231F20"/>
          <w:spacing w:val="12"/>
        </w:rPr>
        <w:t> </w:t>
      </w:r>
      <w:r>
        <w:rPr>
          <w:color w:val="231F20"/>
        </w:rPr>
        <w:t>novembre,</w:t>
      </w:r>
      <w:r>
        <w:rPr>
          <w:color w:val="231F20"/>
          <w:spacing w:val="10"/>
        </w:rPr>
        <w:t> </w:t>
      </w:r>
      <w:r>
        <w:rPr>
          <w:color w:val="231F20"/>
        </w:rPr>
        <w:t>le</w:t>
      </w:r>
      <w:r>
        <w:rPr>
          <w:color w:val="231F20"/>
          <w:spacing w:val="10"/>
        </w:rPr>
        <w:t> </w:t>
      </w:r>
      <w:r>
        <w:rPr>
          <w:color w:val="231F20"/>
        </w:rPr>
        <w:t>Bélier</w:t>
      </w:r>
      <w:r>
        <w:rPr>
          <w:color w:val="231F20"/>
          <w:spacing w:val="12"/>
        </w:rPr>
        <w:t> </w:t>
      </w:r>
      <w:r>
        <w:rPr>
          <w:color w:val="231F20"/>
        </w:rPr>
        <w:t>de</w:t>
      </w:r>
      <w:r>
        <w:rPr>
          <w:color w:val="231F20"/>
          <w:spacing w:val="12"/>
        </w:rPr>
        <w:t> </w:t>
      </w:r>
      <w:r>
        <w:rPr>
          <w:color w:val="231F20"/>
        </w:rPr>
        <w:t>Yamoussoukro</w:t>
      </w:r>
      <w:r>
        <w:rPr>
          <w:color w:val="231F20"/>
          <w:spacing w:val="12"/>
        </w:rPr>
        <w:t> </w:t>
      </w:r>
      <w:r>
        <w:rPr>
          <w:color w:val="231F20"/>
        </w:rPr>
        <w:t>est</w:t>
      </w:r>
      <w:r>
        <w:rPr>
          <w:color w:val="231F20"/>
          <w:spacing w:val="11"/>
        </w:rPr>
        <w:t> </w:t>
      </w:r>
      <w:r>
        <w:rPr>
          <w:color w:val="231F20"/>
        </w:rPr>
        <w:t>ramené</w:t>
      </w:r>
      <w:r>
        <w:rPr>
          <w:color w:val="231F20"/>
          <w:spacing w:val="12"/>
        </w:rPr>
        <w:t> </w:t>
      </w:r>
      <w:r>
        <w:rPr>
          <w:color w:val="231F20"/>
          <w:spacing w:val="-2"/>
        </w:rPr>
        <w:t>d’urgence</w:t>
      </w:r>
    </w:p>
    <w:p>
      <w:pPr>
        <w:pStyle w:val="BodyText"/>
      </w:pPr>
      <w:r>
        <w:rPr>
          <w:color w:val="231F20"/>
          <w:spacing w:val="-2"/>
        </w:rPr>
        <w:t>dans</w:t>
      </w:r>
      <w:r>
        <w:rPr>
          <w:color w:val="231F20"/>
          <w:spacing w:val="-11"/>
        </w:rPr>
        <w:t> </w:t>
      </w:r>
      <w:r>
        <w:rPr>
          <w:color w:val="231F20"/>
          <w:spacing w:val="-2"/>
        </w:rPr>
        <w:t>son</w:t>
      </w:r>
      <w:r>
        <w:rPr>
          <w:color w:val="231F20"/>
          <w:spacing w:val="-9"/>
        </w:rPr>
        <w:t> </w:t>
      </w:r>
      <w:r>
        <w:rPr>
          <w:color w:val="231F20"/>
          <w:spacing w:val="-2"/>
        </w:rPr>
        <w:t>village</w:t>
      </w:r>
      <w:r>
        <w:rPr>
          <w:color w:val="231F20"/>
          <w:spacing w:val="-8"/>
        </w:rPr>
        <w:t> </w:t>
      </w:r>
      <w:r>
        <w:rPr>
          <w:color w:val="231F20"/>
          <w:spacing w:val="-2"/>
        </w:rPr>
        <w:t>natal.</w:t>
      </w:r>
    </w:p>
    <w:p>
      <w:pPr>
        <w:spacing w:line="240" w:lineRule="auto" w:before="121"/>
        <w:ind w:left="111" w:right="105" w:firstLine="283"/>
        <w:jc w:val="both"/>
        <w:rPr>
          <w:sz w:val="28"/>
        </w:rPr>
      </w:pPr>
      <w:r>
        <w:rPr>
          <w:color w:val="231F20"/>
          <w:sz w:val="28"/>
        </w:rPr>
        <w:t>Le 27 novembre, Michel Roussin, ministre français de la Coopération, se rend à Yamoussoukro. Il rencontre Henri Bédié, puis Alassane Ouattara. La Côte d'Ivoire, poumon économique</w:t>
      </w:r>
      <w:r>
        <w:rPr>
          <w:color w:val="231F20"/>
          <w:spacing w:val="-9"/>
          <w:sz w:val="28"/>
        </w:rPr>
        <w:t> </w:t>
      </w:r>
      <w:r>
        <w:rPr>
          <w:color w:val="231F20"/>
          <w:sz w:val="28"/>
        </w:rPr>
        <w:t>de</w:t>
      </w:r>
      <w:r>
        <w:rPr>
          <w:color w:val="231F20"/>
          <w:spacing w:val="-8"/>
          <w:sz w:val="28"/>
        </w:rPr>
        <w:t> </w:t>
      </w:r>
      <w:r>
        <w:rPr>
          <w:color w:val="231F20"/>
          <w:sz w:val="28"/>
        </w:rPr>
        <w:t>la</w:t>
      </w:r>
      <w:r>
        <w:rPr>
          <w:color w:val="231F20"/>
          <w:spacing w:val="-6"/>
          <w:sz w:val="28"/>
        </w:rPr>
        <w:t> </w:t>
      </w:r>
      <w:r>
        <w:rPr>
          <w:color w:val="231F20"/>
          <w:sz w:val="28"/>
        </w:rPr>
        <w:t>sous-région,</w:t>
      </w:r>
      <w:r>
        <w:rPr>
          <w:color w:val="231F20"/>
          <w:spacing w:val="-9"/>
          <w:sz w:val="28"/>
        </w:rPr>
        <w:t> </w:t>
      </w:r>
      <w:r>
        <w:rPr>
          <w:color w:val="231F20"/>
          <w:sz w:val="28"/>
        </w:rPr>
        <w:t>moteur</w:t>
      </w:r>
      <w:r>
        <w:rPr>
          <w:color w:val="231F20"/>
          <w:spacing w:val="-7"/>
          <w:sz w:val="28"/>
        </w:rPr>
        <w:t> </w:t>
      </w:r>
      <w:r>
        <w:rPr>
          <w:color w:val="231F20"/>
          <w:sz w:val="28"/>
        </w:rPr>
        <w:t>de</w:t>
      </w:r>
      <w:r>
        <w:rPr>
          <w:color w:val="231F20"/>
          <w:spacing w:val="-8"/>
          <w:sz w:val="28"/>
        </w:rPr>
        <w:t> </w:t>
      </w:r>
      <w:r>
        <w:rPr>
          <w:color w:val="231F20"/>
          <w:sz w:val="28"/>
        </w:rPr>
        <w:t>la</w:t>
      </w:r>
      <w:r>
        <w:rPr>
          <w:color w:val="231F20"/>
          <w:spacing w:val="-7"/>
          <w:sz w:val="28"/>
        </w:rPr>
        <w:t> </w:t>
      </w:r>
      <w:r>
        <w:rPr>
          <w:color w:val="231F20"/>
          <w:sz w:val="28"/>
        </w:rPr>
        <w:t>françafrique</w:t>
      </w:r>
      <w:r>
        <w:rPr>
          <w:color w:val="231F20"/>
          <w:spacing w:val="-9"/>
          <w:sz w:val="28"/>
        </w:rPr>
        <w:t> </w:t>
      </w:r>
      <w:r>
        <w:rPr>
          <w:color w:val="231F20"/>
          <w:sz w:val="28"/>
        </w:rPr>
        <w:t>doit impérativement</w:t>
      </w:r>
      <w:r>
        <w:rPr>
          <w:color w:val="231F20"/>
          <w:spacing w:val="-6"/>
          <w:sz w:val="28"/>
        </w:rPr>
        <w:t> </w:t>
      </w:r>
      <w:r>
        <w:rPr>
          <w:color w:val="231F20"/>
          <w:sz w:val="28"/>
        </w:rPr>
        <w:t>demeurer</w:t>
      </w:r>
      <w:r>
        <w:rPr>
          <w:color w:val="231F20"/>
          <w:spacing w:val="-4"/>
          <w:sz w:val="28"/>
        </w:rPr>
        <w:t> </w:t>
      </w:r>
      <w:r>
        <w:rPr>
          <w:color w:val="231F20"/>
          <w:sz w:val="28"/>
        </w:rPr>
        <w:t>dans</w:t>
      </w:r>
      <w:r>
        <w:rPr>
          <w:color w:val="231F20"/>
          <w:spacing w:val="-3"/>
          <w:sz w:val="28"/>
        </w:rPr>
        <w:t> </w:t>
      </w:r>
      <w:r>
        <w:rPr>
          <w:color w:val="231F20"/>
          <w:sz w:val="28"/>
        </w:rPr>
        <w:t>le</w:t>
      </w:r>
      <w:r>
        <w:rPr>
          <w:color w:val="231F20"/>
          <w:spacing w:val="-4"/>
          <w:sz w:val="28"/>
        </w:rPr>
        <w:t> </w:t>
      </w:r>
      <w:r>
        <w:rPr>
          <w:color w:val="231F20"/>
          <w:sz w:val="28"/>
        </w:rPr>
        <w:t>«</w:t>
      </w:r>
      <w:r>
        <w:rPr>
          <w:color w:val="231F20"/>
          <w:spacing w:val="-18"/>
          <w:sz w:val="28"/>
        </w:rPr>
        <w:t> </w:t>
      </w:r>
      <w:r>
        <w:rPr>
          <w:color w:val="231F20"/>
          <w:sz w:val="28"/>
        </w:rPr>
        <w:t>pré</w:t>
      </w:r>
      <w:r>
        <w:rPr>
          <w:color w:val="231F20"/>
          <w:spacing w:val="-4"/>
          <w:sz w:val="28"/>
        </w:rPr>
        <w:t> </w:t>
      </w:r>
      <w:r>
        <w:rPr>
          <w:color w:val="231F20"/>
          <w:sz w:val="28"/>
        </w:rPr>
        <w:t>carré</w:t>
      </w:r>
      <w:r>
        <w:rPr>
          <w:color w:val="231F20"/>
          <w:spacing w:val="-18"/>
          <w:sz w:val="28"/>
        </w:rPr>
        <w:t> </w:t>
      </w:r>
      <w:r>
        <w:rPr>
          <w:color w:val="231F20"/>
          <w:sz w:val="28"/>
        </w:rPr>
        <w:t>»</w:t>
      </w:r>
      <w:r>
        <w:rPr>
          <w:color w:val="231F20"/>
          <w:spacing w:val="-1"/>
          <w:sz w:val="28"/>
        </w:rPr>
        <w:t> </w:t>
      </w:r>
      <w:r>
        <w:rPr>
          <w:color w:val="231F20"/>
          <w:sz w:val="28"/>
        </w:rPr>
        <w:t>français</w:t>
      </w:r>
      <w:r>
        <w:rPr>
          <w:color w:val="231F20"/>
          <w:spacing w:val="-4"/>
          <w:sz w:val="28"/>
        </w:rPr>
        <w:t> </w:t>
      </w:r>
      <w:r>
        <w:rPr>
          <w:color w:val="231F20"/>
          <w:sz w:val="28"/>
        </w:rPr>
        <w:t>après </w:t>
      </w:r>
      <w:r>
        <w:rPr>
          <w:color w:val="231F20"/>
          <w:spacing w:val="-2"/>
          <w:sz w:val="28"/>
        </w:rPr>
        <w:t>Houphouët-Boigny.</w:t>
      </w:r>
    </w:p>
    <w:p>
      <w:pPr>
        <w:spacing w:before="121"/>
        <w:ind w:left="111" w:right="105" w:firstLine="283"/>
        <w:jc w:val="both"/>
        <w:rPr>
          <w:sz w:val="24"/>
        </w:rPr>
      </w:pPr>
      <w:r>
        <w:rPr>
          <w:color w:val="231F20"/>
          <w:sz w:val="28"/>
        </w:rPr>
        <w:t>Aimé Henri Konan Bédié est né le</w:t>
      </w:r>
      <w:r>
        <w:rPr>
          <w:color w:val="231F20"/>
          <w:spacing w:val="-14"/>
          <w:sz w:val="28"/>
        </w:rPr>
        <w:t> </w:t>
      </w:r>
      <w:r>
        <w:rPr>
          <w:color w:val="231F20"/>
          <w:sz w:val="28"/>
        </w:rPr>
        <w:t>5 mai 1934 à Daoukro dans le Centre-Est du pays. </w:t>
      </w:r>
      <w:r>
        <w:rPr>
          <w:color w:val="231F20"/>
          <w:sz w:val="24"/>
        </w:rPr>
        <w:t>Après l`obtention de son baccalauréat scientifique</w:t>
      </w:r>
      <w:r>
        <w:rPr>
          <w:color w:val="231F20"/>
          <w:spacing w:val="-4"/>
          <w:sz w:val="24"/>
        </w:rPr>
        <w:t> </w:t>
      </w:r>
      <w:r>
        <w:rPr>
          <w:color w:val="231F20"/>
          <w:sz w:val="24"/>
        </w:rPr>
        <w:t>en</w:t>
      </w:r>
      <w:r>
        <w:rPr>
          <w:color w:val="231F20"/>
          <w:spacing w:val="-5"/>
          <w:sz w:val="24"/>
        </w:rPr>
        <w:t> </w:t>
      </w:r>
      <w:r>
        <w:rPr>
          <w:color w:val="231F20"/>
          <w:sz w:val="24"/>
        </w:rPr>
        <w:t>1954,</w:t>
      </w:r>
      <w:r>
        <w:rPr>
          <w:color w:val="231F20"/>
          <w:spacing w:val="-7"/>
          <w:sz w:val="24"/>
        </w:rPr>
        <w:t> </w:t>
      </w:r>
      <w:r>
        <w:rPr>
          <w:color w:val="231F20"/>
          <w:sz w:val="24"/>
        </w:rPr>
        <w:t>il</w:t>
      </w:r>
      <w:r>
        <w:rPr>
          <w:color w:val="231F20"/>
          <w:spacing w:val="-6"/>
          <w:sz w:val="24"/>
        </w:rPr>
        <w:t> </w:t>
      </w:r>
      <w:r>
        <w:rPr>
          <w:color w:val="231F20"/>
          <w:sz w:val="24"/>
        </w:rPr>
        <w:t>poursuit</w:t>
      </w:r>
      <w:r>
        <w:rPr>
          <w:color w:val="231F20"/>
          <w:spacing w:val="-8"/>
          <w:sz w:val="24"/>
        </w:rPr>
        <w:t> </w:t>
      </w:r>
      <w:r>
        <w:rPr>
          <w:color w:val="231F20"/>
          <w:sz w:val="24"/>
        </w:rPr>
        <w:t>ses</w:t>
      </w:r>
      <w:r>
        <w:rPr>
          <w:color w:val="231F20"/>
          <w:spacing w:val="-6"/>
          <w:sz w:val="24"/>
        </w:rPr>
        <w:t> </w:t>
      </w:r>
      <w:r>
        <w:rPr>
          <w:color w:val="231F20"/>
          <w:sz w:val="24"/>
        </w:rPr>
        <w:t>études</w:t>
      </w:r>
      <w:r>
        <w:rPr>
          <w:color w:val="231F20"/>
          <w:spacing w:val="-7"/>
          <w:sz w:val="24"/>
        </w:rPr>
        <w:t> </w:t>
      </w:r>
      <w:r>
        <w:rPr>
          <w:color w:val="231F20"/>
          <w:sz w:val="24"/>
        </w:rPr>
        <w:t>supérieures</w:t>
      </w:r>
      <w:r>
        <w:rPr>
          <w:color w:val="231F20"/>
          <w:spacing w:val="-6"/>
          <w:sz w:val="24"/>
        </w:rPr>
        <w:t> </w:t>
      </w:r>
      <w:r>
        <w:rPr>
          <w:color w:val="231F20"/>
          <w:sz w:val="24"/>
        </w:rPr>
        <w:t>à</w:t>
      </w:r>
      <w:r>
        <w:rPr>
          <w:color w:val="231F20"/>
          <w:spacing w:val="-5"/>
          <w:sz w:val="24"/>
        </w:rPr>
        <w:t> </w:t>
      </w:r>
      <w:r>
        <w:rPr>
          <w:color w:val="231F20"/>
          <w:sz w:val="24"/>
        </w:rPr>
        <w:t>l`université</w:t>
      </w:r>
      <w:r>
        <w:rPr>
          <w:color w:val="231F20"/>
          <w:spacing w:val="-8"/>
          <w:sz w:val="24"/>
        </w:rPr>
        <w:t> </w:t>
      </w:r>
      <w:r>
        <w:rPr>
          <w:color w:val="231F20"/>
          <w:sz w:val="24"/>
        </w:rPr>
        <w:t>de Poitiers en France. Il obtient successivement la licence en droit, deux diplômes</w:t>
      </w:r>
      <w:r>
        <w:rPr>
          <w:color w:val="231F20"/>
          <w:spacing w:val="38"/>
          <w:sz w:val="24"/>
        </w:rPr>
        <w:t> </w:t>
      </w:r>
      <w:r>
        <w:rPr>
          <w:color w:val="231F20"/>
          <w:sz w:val="24"/>
        </w:rPr>
        <w:t>d`études</w:t>
      </w:r>
      <w:r>
        <w:rPr>
          <w:color w:val="231F20"/>
          <w:spacing w:val="41"/>
          <w:sz w:val="24"/>
        </w:rPr>
        <w:t> </w:t>
      </w:r>
      <w:r>
        <w:rPr>
          <w:color w:val="231F20"/>
          <w:sz w:val="24"/>
        </w:rPr>
        <w:t>supérieures</w:t>
      </w:r>
      <w:r>
        <w:rPr>
          <w:color w:val="231F20"/>
          <w:spacing w:val="43"/>
          <w:sz w:val="24"/>
        </w:rPr>
        <w:t> </w:t>
      </w:r>
      <w:r>
        <w:rPr>
          <w:color w:val="231F20"/>
          <w:sz w:val="24"/>
        </w:rPr>
        <w:t>en</w:t>
      </w:r>
      <w:r>
        <w:rPr>
          <w:color w:val="231F20"/>
          <w:spacing w:val="43"/>
          <w:sz w:val="24"/>
        </w:rPr>
        <w:t> </w:t>
      </w:r>
      <w:r>
        <w:rPr>
          <w:color w:val="231F20"/>
          <w:sz w:val="24"/>
        </w:rPr>
        <w:t>économie</w:t>
      </w:r>
      <w:r>
        <w:rPr>
          <w:color w:val="231F20"/>
          <w:spacing w:val="41"/>
          <w:sz w:val="24"/>
        </w:rPr>
        <w:t> </w:t>
      </w:r>
      <w:r>
        <w:rPr>
          <w:color w:val="231F20"/>
          <w:sz w:val="24"/>
        </w:rPr>
        <w:t>politique</w:t>
      </w:r>
      <w:r>
        <w:rPr>
          <w:color w:val="231F20"/>
          <w:spacing w:val="40"/>
          <w:sz w:val="24"/>
        </w:rPr>
        <w:t> </w:t>
      </w:r>
      <w:r>
        <w:rPr>
          <w:color w:val="231F20"/>
          <w:sz w:val="24"/>
        </w:rPr>
        <w:t>et</w:t>
      </w:r>
      <w:r>
        <w:rPr>
          <w:color w:val="231F20"/>
          <w:spacing w:val="39"/>
          <w:sz w:val="24"/>
        </w:rPr>
        <w:t> </w:t>
      </w:r>
      <w:r>
        <w:rPr>
          <w:color w:val="231F20"/>
          <w:sz w:val="24"/>
        </w:rPr>
        <w:t>le</w:t>
      </w:r>
      <w:r>
        <w:rPr>
          <w:color w:val="231F20"/>
          <w:spacing w:val="43"/>
          <w:sz w:val="24"/>
        </w:rPr>
        <w:t> </w:t>
      </w:r>
      <w:r>
        <w:rPr>
          <w:color w:val="231F20"/>
          <w:spacing w:val="-2"/>
          <w:sz w:val="24"/>
        </w:rPr>
        <w:t>certificat</w:t>
      </w:r>
    </w:p>
    <w:p>
      <w:pPr>
        <w:pStyle w:val="BodyText"/>
        <w:spacing w:before="3"/>
        <w:ind w:left="0"/>
        <w:jc w:val="left"/>
        <w:rPr>
          <w:sz w:val="17"/>
        </w:rPr>
      </w:pPr>
      <w:r>
        <w:rPr/>
        <mc:AlternateContent>
          <mc:Choice Requires="wps">
            <w:drawing>
              <wp:anchor distT="0" distB="0" distL="0" distR="0" allowOverlap="1" layoutInCell="1" locked="0" behindDoc="1" simplePos="0" relativeHeight="487634432">
                <wp:simplePos x="0" y="0"/>
                <wp:positionH relativeFrom="page">
                  <wp:posOffset>629907</wp:posOffset>
                </wp:positionH>
                <wp:positionV relativeFrom="paragraph">
                  <wp:posOffset>141529</wp:posOffset>
                </wp:positionV>
                <wp:extent cx="1829435" cy="9525"/>
                <wp:effectExtent l="0" t="0" r="0" b="0"/>
                <wp:wrapTopAndBottom/>
                <wp:docPr id="120" name="Graphic 120"/>
                <wp:cNvGraphicFramePr>
                  <a:graphicFrameLocks/>
                </wp:cNvGraphicFramePr>
                <a:graphic>
                  <a:graphicData uri="http://schemas.microsoft.com/office/word/2010/wordprocessingShape">
                    <wps:wsp>
                      <wps:cNvPr id="120" name="Graphic 12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1.144062pt;width:144.020pt;height:.72pt;mso-position-horizontal-relative:page;mso-position-vertical-relative:paragraph;z-index:-15682048;mso-wrap-distance-left:0;mso-wrap-distance-right:0" id="docshape118" filled="true" fillcolor="#231f20" stroked="false">
                <v:fill type="solid"/>
                <w10:wrap type="topAndBottom"/>
              </v:rect>
            </w:pict>
          </mc:Fallback>
        </mc:AlternateContent>
      </w:r>
    </w:p>
    <w:p>
      <w:pPr>
        <w:spacing w:before="91"/>
        <w:ind w:left="111" w:right="0" w:firstLine="0"/>
        <w:jc w:val="left"/>
        <w:rPr>
          <w:sz w:val="20"/>
        </w:rPr>
      </w:pPr>
      <w:r>
        <w:rPr>
          <w:color w:val="76787A"/>
          <w:sz w:val="20"/>
          <w:vertAlign w:val="superscript"/>
        </w:rPr>
        <w:t>150</w:t>
      </w:r>
      <w:r>
        <w:rPr>
          <w:color w:val="76787A"/>
          <w:spacing w:val="-22"/>
          <w:sz w:val="20"/>
          <w:vertAlign w:val="baseline"/>
        </w:rPr>
        <w:t> </w:t>
      </w:r>
      <w:r>
        <w:rPr>
          <w:color w:val="231F20"/>
          <w:sz w:val="20"/>
          <w:vertAlign w:val="baseline"/>
        </w:rPr>
        <w:t>Yacé</w:t>
      </w:r>
      <w:r>
        <w:rPr>
          <w:color w:val="231F20"/>
          <w:spacing w:val="20"/>
          <w:sz w:val="20"/>
          <w:vertAlign w:val="baseline"/>
        </w:rPr>
        <w:t> </w:t>
      </w:r>
      <w:r>
        <w:rPr>
          <w:color w:val="231F20"/>
          <w:sz w:val="20"/>
          <w:vertAlign w:val="baseline"/>
        </w:rPr>
        <w:t>Philippe</w:t>
      </w:r>
      <w:r>
        <w:rPr>
          <w:color w:val="231F20"/>
          <w:spacing w:val="26"/>
          <w:sz w:val="20"/>
          <w:vertAlign w:val="baseline"/>
        </w:rPr>
        <w:t> </w:t>
      </w:r>
      <w:r>
        <w:rPr>
          <w:color w:val="231F20"/>
          <w:sz w:val="20"/>
          <w:vertAlign w:val="baseline"/>
        </w:rPr>
        <w:t>ancien</w:t>
      </w:r>
      <w:r>
        <w:rPr>
          <w:color w:val="231F20"/>
          <w:spacing w:val="27"/>
          <w:sz w:val="20"/>
          <w:vertAlign w:val="baseline"/>
        </w:rPr>
        <w:t> </w:t>
      </w:r>
      <w:r>
        <w:rPr>
          <w:color w:val="231F20"/>
          <w:sz w:val="20"/>
          <w:vertAlign w:val="baseline"/>
        </w:rPr>
        <w:t>Président</w:t>
      </w:r>
      <w:r>
        <w:rPr>
          <w:color w:val="231F20"/>
          <w:spacing w:val="26"/>
          <w:sz w:val="20"/>
          <w:vertAlign w:val="baseline"/>
        </w:rPr>
        <w:t> </w:t>
      </w:r>
      <w:r>
        <w:rPr>
          <w:color w:val="231F20"/>
          <w:sz w:val="20"/>
          <w:vertAlign w:val="baseline"/>
        </w:rPr>
        <w:t>de</w:t>
      </w:r>
      <w:r>
        <w:rPr>
          <w:color w:val="231F20"/>
          <w:spacing w:val="26"/>
          <w:sz w:val="20"/>
          <w:vertAlign w:val="baseline"/>
        </w:rPr>
        <w:t> </w:t>
      </w:r>
      <w:r>
        <w:rPr>
          <w:color w:val="231F20"/>
          <w:sz w:val="20"/>
          <w:vertAlign w:val="baseline"/>
        </w:rPr>
        <w:t>l’Assemblée</w:t>
      </w:r>
      <w:r>
        <w:rPr>
          <w:color w:val="231F20"/>
          <w:spacing w:val="26"/>
          <w:sz w:val="20"/>
          <w:vertAlign w:val="baseline"/>
        </w:rPr>
        <w:t> </w:t>
      </w:r>
      <w:r>
        <w:rPr>
          <w:color w:val="231F20"/>
          <w:sz w:val="20"/>
          <w:vertAlign w:val="baseline"/>
        </w:rPr>
        <w:t>Nationale,</w:t>
      </w:r>
      <w:r>
        <w:rPr>
          <w:color w:val="231F20"/>
          <w:spacing w:val="24"/>
          <w:sz w:val="20"/>
          <w:vertAlign w:val="baseline"/>
        </w:rPr>
        <w:t> </w:t>
      </w:r>
      <w:r>
        <w:rPr>
          <w:color w:val="231F20"/>
          <w:sz w:val="20"/>
          <w:vertAlign w:val="baseline"/>
        </w:rPr>
        <w:t>ancien</w:t>
      </w:r>
      <w:r>
        <w:rPr>
          <w:color w:val="231F20"/>
          <w:spacing w:val="24"/>
          <w:sz w:val="20"/>
          <w:vertAlign w:val="baseline"/>
        </w:rPr>
        <w:t> </w:t>
      </w:r>
      <w:r>
        <w:rPr>
          <w:color w:val="231F20"/>
          <w:sz w:val="20"/>
          <w:vertAlign w:val="baseline"/>
        </w:rPr>
        <w:t>numero</w:t>
      </w:r>
      <w:r>
        <w:rPr>
          <w:color w:val="231F20"/>
          <w:spacing w:val="24"/>
          <w:sz w:val="20"/>
          <w:vertAlign w:val="baseline"/>
        </w:rPr>
        <w:t> </w:t>
      </w:r>
      <w:r>
        <w:rPr>
          <w:color w:val="231F20"/>
          <w:sz w:val="20"/>
          <w:vertAlign w:val="baseline"/>
        </w:rPr>
        <w:t>2</w:t>
      </w:r>
      <w:r>
        <w:rPr>
          <w:color w:val="231F20"/>
          <w:spacing w:val="24"/>
          <w:sz w:val="20"/>
          <w:vertAlign w:val="baseline"/>
        </w:rPr>
        <w:t> </w:t>
      </w:r>
      <w:r>
        <w:rPr>
          <w:color w:val="231F20"/>
          <w:sz w:val="20"/>
          <w:vertAlign w:val="baseline"/>
        </w:rPr>
        <w:t>du régime,longtemps</w:t>
      </w:r>
      <w:r>
        <w:rPr>
          <w:color w:val="231F20"/>
          <w:spacing w:val="-13"/>
          <w:sz w:val="20"/>
          <w:vertAlign w:val="baseline"/>
        </w:rPr>
        <w:t> </w:t>
      </w:r>
      <w:r>
        <w:rPr>
          <w:color w:val="231F20"/>
          <w:sz w:val="20"/>
          <w:vertAlign w:val="baseline"/>
        </w:rPr>
        <w:t>considéré</w:t>
      </w:r>
      <w:r>
        <w:rPr>
          <w:color w:val="231F20"/>
          <w:spacing w:val="-12"/>
          <w:sz w:val="20"/>
          <w:vertAlign w:val="baseline"/>
        </w:rPr>
        <w:t> </w:t>
      </w:r>
      <w:r>
        <w:rPr>
          <w:color w:val="231F20"/>
          <w:sz w:val="20"/>
          <w:vertAlign w:val="baseline"/>
        </w:rPr>
        <w:t>comme</w:t>
      </w:r>
      <w:r>
        <w:rPr>
          <w:color w:val="231F20"/>
          <w:spacing w:val="-13"/>
          <w:sz w:val="20"/>
          <w:vertAlign w:val="baseline"/>
        </w:rPr>
        <w:t> </w:t>
      </w:r>
      <w:r>
        <w:rPr>
          <w:color w:val="231F20"/>
          <w:sz w:val="20"/>
          <w:vertAlign w:val="baseline"/>
        </w:rPr>
        <w:t>le</w:t>
      </w:r>
      <w:r>
        <w:rPr>
          <w:color w:val="231F20"/>
          <w:spacing w:val="-11"/>
          <w:sz w:val="20"/>
          <w:vertAlign w:val="baseline"/>
        </w:rPr>
        <w:t> </w:t>
      </w:r>
      <w:r>
        <w:rPr>
          <w:color w:val="231F20"/>
          <w:sz w:val="20"/>
          <w:vertAlign w:val="baseline"/>
        </w:rPr>
        <w:t>successeur</w:t>
      </w:r>
      <w:r>
        <w:rPr>
          <w:color w:val="231F20"/>
          <w:spacing w:val="-13"/>
          <w:sz w:val="20"/>
          <w:vertAlign w:val="baseline"/>
        </w:rPr>
        <w:t> </w:t>
      </w:r>
      <w:r>
        <w:rPr>
          <w:color w:val="231F20"/>
          <w:sz w:val="20"/>
          <w:vertAlign w:val="baseline"/>
        </w:rPr>
        <w:t>d’Houphouët-Boigny.</w:t>
      </w:r>
    </w:p>
    <w:p>
      <w:pPr>
        <w:spacing w:before="1"/>
        <w:ind w:left="111" w:right="107" w:firstLine="0"/>
        <w:jc w:val="left"/>
        <w:rPr>
          <w:sz w:val="20"/>
        </w:rPr>
      </w:pPr>
      <w:r>
        <w:rPr>
          <w:color w:val="76787A"/>
          <w:spacing w:val="-4"/>
          <w:sz w:val="20"/>
          <w:vertAlign w:val="superscript"/>
        </w:rPr>
        <w:t>151</w:t>
      </w:r>
      <w:r>
        <w:rPr>
          <w:color w:val="231F20"/>
          <w:spacing w:val="-4"/>
          <w:sz w:val="20"/>
          <w:vertAlign w:val="baseline"/>
        </w:rPr>
        <w:t>Professeur Francis Wodié, Constitutionaliste, Président</w:t>
      </w:r>
      <w:r>
        <w:rPr>
          <w:color w:val="231F20"/>
          <w:spacing w:val="-5"/>
          <w:sz w:val="20"/>
          <w:vertAlign w:val="baseline"/>
        </w:rPr>
        <w:t> </w:t>
      </w:r>
      <w:r>
        <w:rPr>
          <w:color w:val="231F20"/>
          <w:spacing w:val="-4"/>
          <w:sz w:val="20"/>
          <w:vertAlign w:val="baseline"/>
        </w:rPr>
        <w:t>du Parti des Travailleurs (PIT) </w:t>
      </w:r>
      <w:r>
        <w:rPr>
          <w:color w:val="231F20"/>
          <w:sz w:val="20"/>
          <w:vertAlign w:val="baseline"/>
        </w:rPr>
        <w:t>in</w:t>
      </w:r>
      <w:r>
        <w:rPr>
          <w:color w:val="231F20"/>
          <w:spacing w:val="-3"/>
          <w:sz w:val="20"/>
          <w:vertAlign w:val="baseline"/>
        </w:rPr>
        <w:t> </w:t>
      </w:r>
      <w:r>
        <w:rPr>
          <w:color w:val="231F20"/>
          <w:sz w:val="20"/>
          <w:vertAlign w:val="baseline"/>
        </w:rPr>
        <w:t>«</w:t>
      </w:r>
      <w:r>
        <w:rPr>
          <w:color w:val="231F20"/>
          <w:spacing w:val="-1"/>
          <w:sz w:val="20"/>
          <w:vertAlign w:val="baseline"/>
        </w:rPr>
        <w:t> </w:t>
      </w:r>
      <w:r>
        <w:rPr>
          <w:color w:val="231F20"/>
          <w:sz w:val="20"/>
          <w:vertAlign w:val="baseline"/>
        </w:rPr>
        <w:t>Mon</w:t>
      </w:r>
      <w:r>
        <w:rPr>
          <w:color w:val="231F20"/>
          <w:spacing w:val="-3"/>
          <w:sz w:val="20"/>
          <w:vertAlign w:val="baseline"/>
        </w:rPr>
        <w:t> </w:t>
      </w:r>
      <w:r>
        <w:rPr>
          <w:color w:val="231F20"/>
          <w:sz w:val="20"/>
          <w:vertAlign w:val="baseline"/>
        </w:rPr>
        <w:t>combat</w:t>
      </w:r>
      <w:r>
        <w:rPr>
          <w:color w:val="231F20"/>
          <w:spacing w:val="-4"/>
          <w:sz w:val="20"/>
          <w:vertAlign w:val="baseline"/>
        </w:rPr>
        <w:t> </w:t>
      </w:r>
      <w:r>
        <w:rPr>
          <w:color w:val="231F20"/>
          <w:sz w:val="20"/>
          <w:vertAlign w:val="baseline"/>
        </w:rPr>
        <w:t>pour</w:t>
      </w:r>
      <w:r>
        <w:rPr>
          <w:color w:val="231F20"/>
          <w:spacing w:val="-1"/>
          <w:sz w:val="20"/>
          <w:vertAlign w:val="baseline"/>
        </w:rPr>
        <w:t> </w:t>
      </w:r>
      <w:r>
        <w:rPr>
          <w:color w:val="231F20"/>
          <w:sz w:val="20"/>
          <w:vertAlign w:val="baseline"/>
        </w:rPr>
        <w:t>la</w:t>
      </w:r>
      <w:r>
        <w:rPr>
          <w:color w:val="231F20"/>
          <w:spacing w:val="-3"/>
          <w:sz w:val="20"/>
          <w:vertAlign w:val="baseline"/>
        </w:rPr>
        <w:t> </w:t>
      </w:r>
      <w:r>
        <w:rPr>
          <w:color w:val="231F20"/>
          <w:sz w:val="20"/>
          <w:vertAlign w:val="baseline"/>
        </w:rPr>
        <w:t>Côte</w:t>
      </w:r>
      <w:r>
        <w:rPr>
          <w:color w:val="231F20"/>
          <w:spacing w:val="-6"/>
          <w:sz w:val="20"/>
          <w:vertAlign w:val="baseline"/>
        </w:rPr>
        <w:t> </w:t>
      </w:r>
      <w:r>
        <w:rPr>
          <w:color w:val="231F20"/>
          <w:sz w:val="20"/>
          <w:vertAlign w:val="baseline"/>
        </w:rPr>
        <w:t>d’Ivoire,</w:t>
      </w:r>
      <w:r>
        <w:rPr>
          <w:color w:val="231F20"/>
          <w:spacing w:val="-2"/>
          <w:sz w:val="20"/>
          <w:vertAlign w:val="baseline"/>
        </w:rPr>
        <w:t> </w:t>
      </w:r>
      <w:r>
        <w:rPr>
          <w:color w:val="231F20"/>
          <w:sz w:val="20"/>
          <w:vertAlign w:val="baseline"/>
        </w:rPr>
        <w:t>NEI-CEDA,</w:t>
      </w:r>
      <w:r>
        <w:rPr>
          <w:color w:val="231F20"/>
          <w:spacing w:val="-4"/>
          <w:sz w:val="20"/>
          <w:vertAlign w:val="baseline"/>
        </w:rPr>
        <w:t> </w:t>
      </w:r>
      <w:r>
        <w:rPr>
          <w:color w:val="231F20"/>
          <w:sz w:val="20"/>
          <w:vertAlign w:val="baseline"/>
        </w:rPr>
        <w:t>2010».</w:t>
      </w:r>
    </w:p>
    <w:p>
      <w:pPr>
        <w:spacing w:after="0"/>
        <w:jc w:val="left"/>
        <w:rPr>
          <w:sz w:val="20"/>
        </w:rPr>
        <w:sectPr>
          <w:pgSz w:w="8790" w:h="13610"/>
          <w:pgMar w:header="0" w:footer="802" w:top="1060" w:bottom="1000" w:left="880" w:right="880"/>
        </w:sectPr>
      </w:pPr>
    </w:p>
    <w:p>
      <w:pPr>
        <w:pStyle w:val="BodyText"/>
        <w:spacing w:before="66"/>
        <w:ind w:right="106"/>
      </w:pPr>
      <w:r>
        <w:rPr>
          <w:color w:val="231F20"/>
          <w:spacing w:val="-2"/>
        </w:rPr>
        <w:t>d`aptitude</w:t>
      </w:r>
      <w:r>
        <w:rPr>
          <w:color w:val="231F20"/>
          <w:spacing w:val="-6"/>
        </w:rPr>
        <w:t> </w:t>
      </w:r>
      <w:r>
        <w:rPr>
          <w:color w:val="231F20"/>
          <w:spacing w:val="-2"/>
        </w:rPr>
        <w:t>à</w:t>
      </w:r>
      <w:r>
        <w:rPr>
          <w:color w:val="231F20"/>
          <w:spacing w:val="-9"/>
        </w:rPr>
        <w:t> </w:t>
      </w:r>
      <w:r>
        <w:rPr>
          <w:color w:val="231F20"/>
          <w:spacing w:val="-2"/>
        </w:rPr>
        <w:t>la</w:t>
      </w:r>
      <w:r>
        <w:rPr>
          <w:color w:val="231F20"/>
          <w:spacing w:val="-6"/>
        </w:rPr>
        <w:t> </w:t>
      </w:r>
      <w:r>
        <w:rPr>
          <w:color w:val="231F20"/>
          <w:spacing w:val="-2"/>
        </w:rPr>
        <w:t>profession</w:t>
      </w:r>
      <w:r>
        <w:rPr>
          <w:color w:val="231F20"/>
          <w:spacing w:val="-8"/>
        </w:rPr>
        <w:t> </w:t>
      </w:r>
      <w:r>
        <w:rPr>
          <w:color w:val="231F20"/>
          <w:spacing w:val="-2"/>
        </w:rPr>
        <w:t>d`avocat.</w:t>
      </w:r>
      <w:r>
        <w:rPr>
          <w:color w:val="231F20"/>
          <w:spacing w:val="-6"/>
        </w:rPr>
        <w:t> </w:t>
      </w:r>
      <w:r>
        <w:rPr>
          <w:color w:val="231F20"/>
          <w:spacing w:val="-2"/>
        </w:rPr>
        <w:t>En</w:t>
      </w:r>
      <w:r>
        <w:rPr>
          <w:color w:val="231F20"/>
          <w:spacing w:val="-6"/>
        </w:rPr>
        <w:t> </w:t>
      </w:r>
      <w:r>
        <w:rPr>
          <w:color w:val="231F20"/>
          <w:spacing w:val="-2"/>
        </w:rPr>
        <w:t>1969,</w:t>
      </w:r>
      <w:r>
        <w:rPr>
          <w:color w:val="231F20"/>
          <w:spacing w:val="-8"/>
        </w:rPr>
        <w:t> </w:t>
      </w:r>
      <w:r>
        <w:rPr>
          <w:color w:val="231F20"/>
          <w:spacing w:val="-2"/>
        </w:rPr>
        <w:t>il</w:t>
      </w:r>
      <w:r>
        <w:rPr>
          <w:color w:val="231F20"/>
          <w:spacing w:val="-8"/>
        </w:rPr>
        <w:t> </w:t>
      </w:r>
      <w:r>
        <w:rPr>
          <w:color w:val="231F20"/>
          <w:spacing w:val="-2"/>
        </w:rPr>
        <w:t>soutient</w:t>
      </w:r>
      <w:r>
        <w:rPr>
          <w:color w:val="231F20"/>
          <w:spacing w:val="-6"/>
        </w:rPr>
        <w:t> </w:t>
      </w:r>
      <w:r>
        <w:rPr>
          <w:color w:val="231F20"/>
          <w:spacing w:val="-2"/>
        </w:rPr>
        <w:t>avec</w:t>
      </w:r>
      <w:r>
        <w:rPr>
          <w:color w:val="231F20"/>
          <w:spacing w:val="-10"/>
        </w:rPr>
        <w:t> </w:t>
      </w:r>
      <w:r>
        <w:rPr>
          <w:color w:val="231F20"/>
          <w:spacing w:val="-2"/>
        </w:rPr>
        <w:t>succès,</w:t>
      </w:r>
      <w:r>
        <w:rPr>
          <w:color w:val="231F20"/>
          <w:spacing w:val="-8"/>
        </w:rPr>
        <w:t> </w:t>
      </w:r>
      <w:r>
        <w:rPr>
          <w:color w:val="231F20"/>
          <w:spacing w:val="-2"/>
        </w:rPr>
        <w:t>une thèse</w:t>
      </w:r>
      <w:r>
        <w:rPr>
          <w:color w:val="231F20"/>
          <w:spacing w:val="-4"/>
        </w:rPr>
        <w:t> </w:t>
      </w:r>
      <w:r>
        <w:rPr>
          <w:color w:val="231F20"/>
          <w:spacing w:val="-2"/>
        </w:rPr>
        <w:t>de</w:t>
      </w:r>
      <w:r>
        <w:rPr>
          <w:color w:val="231F20"/>
          <w:spacing w:val="-4"/>
        </w:rPr>
        <w:t> </w:t>
      </w:r>
      <w:r>
        <w:rPr>
          <w:color w:val="231F20"/>
          <w:spacing w:val="-2"/>
        </w:rPr>
        <w:t>doctorat</w:t>
      </w:r>
      <w:r>
        <w:rPr>
          <w:color w:val="231F20"/>
          <w:spacing w:val="-4"/>
        </w:rPr>
        <w:t> </w:t>
      </w:r>
      <w:r>
        <w:rPr>
          <w:color w:val="231F20"/>
          <w:spacing w:val="-2"/>
        </w:rPr>
        <w:t>d’État</w:t>
      </w:r>
      <w:r>
        <w:rPr>
          <w:color w:val="231F20"/>
          <w:spacing w:val="-3"/>
        </w:rPr>
        <w:t> </w:t>
      </w:r>
      <w:r>
        <w:rPr>
          <w:color w:val="231F20"/>
          <w:spacing w:val="-2"/>
        </w:rPr>
        <w:t>en</w:t>
      </w:r>
      <w:r>
        <w:rPr>
          <w:color w:val="231F20"/>
          <w:spacing w:val="-4"/>
        </w:rPr>
        <w:t> </w:t>
      </w:r>
      <w:r>
        <w:rPr>
          <w:color w:val="231F20"/>
          <w:spacing w:val="-2"/>
        </w:rPr>
        <w:t>sciences</w:t>
      </w:r>
      <w:r>
        <w:rPr>
          <w:color w:val="231F20"/>
          <w:spacing w:val="-4"/>
        </w:rPr>
        <w:t> </w:t>
      </w:r>
      <w:r>
        <w:rPr>
          <w:color w:val="231F20"/>
          <w:spacing w:val="-2"/>
        </w:rPr>
        <w:t>économiques.</w:t>
      </w:r>
      <w:r>
        <w:rPr>
          <w:color w:val="231F20"/>
          <w:spacing w:val="-5"/>
        </w:rPr>
        <w:t> </w:t>
      </w:r>
      <w:r>
        <w:rPr>
          <w:color w:val="231F20"/>
          <w:spacing w:val="-2"/>
        </w:rPr>
        <w:t>Premier</w:t>
      </w:r>
      <w:r>
        <w:rPr>
          <w:color w:val="231F20"/>
          <w:spacing w:val="-4"/>
        </w:rPr>
        <w:t> </w:t>
      </w:r>
      <w:r>
        <w:rPr>
          <w:color w:val="231F20"/>
          <w:spacing w:val="-2"/>
        </w:rPr>
        <w:t>ambassadeur de</w:t>
      </w:r>
      <w:r>
        <w:rPr>
          <w:color w:val="231F20"/>
          <w:spacing w:val="-15"/>
        </w:rPr>
        <w:t> </w:t>
      </w:r>
      <w:r>
        <w:rPr>
          <w:color w:val="231F20"/>
          <w:spacing w:val="-2"/>
        </w:rPr>
        <w:t>la</w:t>
      </w:r>
      <w:r>
        <w:rPr>
          <w:color w:val="231F20"/>
          <w:spacing w:val="-13"/>
        </w:rPr>
        <w:t> </w:t>
      </w:r>
      <w:r>
        <w:rPr>
          <w:color w:val="231F20"/>
          <w:spacing w:val="-2"/>
        </w:rPr>
        <w:t>Côte</w:t>
      </w:r>
      <w:r>
        <w:rPr>
          <w:color w:val="231F20"/>
          <w:spacing w:val="-13"/>
        </w:rPr>
        <w:t> </w:t>
      </w:r>
      <w:r>
        <w:rPr>
          <w:color w:val="231F20"/>
          <w:spacing w:val="-2"/>
        </w:rPr>
        <w:t>d’Ivoire</w:t>
      </w:r>
      <w:r>
        <w:rPr>
          <w:color w:val="231F20"/>
          <w:spacing w:val="-13"/>
        </w:rPr>
        <w:t> </w:t>
      </w:r>
      <w:r>
        <w:rPr>
          <w:color w:val="231F20"/>
          <w:spacing w:val="-2"/>
        </w:rPr>
        <w:t>aux</w:t>
      </w:r>
      <w:r>
        <w:rPr>
          <w:color w:val="231F20"/>
          <w:spacing w:val="-13"/>
        </w:rPr>
        <w:t> </w:t>
      </w:r>
      <w:r>
        <w:rPr>
          <w:color w:val="231F20"/>
          <w:spacing w:val="-2"/>
        </w:rPr>
        <w:t>États-Unis</w:t>
      </w:r>
      <w:r>
        <w:rPr>
          <w:color w:val="231F20"/>
          <w:spacing w:val="-13"/>
        </w:rPr>
        <w:t> </w:t>
      </w:r>
      <w:r>
        <w:rPr>
          <w:color w:val="231F20"/>
          <w:spacing w:val="-2"/>
        </w:rPr>
        <w:t>et</w:t>
      </w:r>
      <w:r>
        <w:rPr>
          <w:color w:val="231F20"/>
          <w:spacing w:val="-13"/>
        </w:rPr>
        <w:t> </w:t>
      </w:r>
      <w:r>
        <w:rPr>
          <w:color w:val="231F20"/>
          <w:spacing w:val="-2"/>
        </w:rPr>
        <w:t>au</w:t>
      </w:r>
      <w:r>
        <w:rPr>
          <w:color w:val="231F20"/>
          <w:spacing w:val="-13"/>
        </w:rPr>
        <w:t> </w:t>
      </w:r>
      <w:r>
        <w:rPr>
          <w:color w:val="231F20"/>
          <w:spacing w:val="-2"/>
        </w:rPr>
        <w:t>Canada</w:t>
      </w:r>
      <w:r>
        <w:rPr>
          <w:color w:val="231F20"/>
          <w:spacing w:val="-13"/>
        </w:rPr>
        <w:t> </w:t>
      </w:r>
      <w:r>
        <w:rPr>
          <w:color w:val="231F20"/>
          <w:spacing w:val="-2"/>
        </w:rPr>
        <w:t>à</w:t>
      </w:r>
      <w:r>
        <w:rPr>
          <w:color w:val="231F20"/>
          <w:spacing w:val="-13"/>
        </w:rPr>
        <w:t> </w:t>
      </w:r>
      <w:r>
        <w:rPr>
          <w:color w:val="231F20"/>
          <w:spacing w:val="-2"/>
        </w:rPr>
        <w:t>26</w:t>
      </w:r>
      <w:r>
        <w:rPr>
          <w:color w:val="231F20"/>
          <w:spacing w:val="-13"/>
        </w:rPr>
        <w:t> </w:t>
      </w:r>
      <w:r>
        <w:rPr>
          <w:color w:val="231F20"/>
          <w:spacing w:val="-2"/>
        </w:rPr>
        <w:t>ans,</w:t>
      </w:r>
      <w:r>
        <w:rPr>
          <w:color w:val="231F20"/>
          <w:spacing w:val="-13"/>
        </w:rPr>
        <w:t> </w:t>
      </w:r>
      <w:r>
        <w:rPr>
          <w:color w:val="231F20"/>
          <w:spacing w:val="-2"/>
        </w:rPr>
        <w:t>de</w:t>
      </w:r>
      <w:r>
        <w:rPr>
          <w:color w:val="231F20"/>
          <w:spacing w:val="-13"/>
        </w:rPr>
        <w:t> </w:t>
      </w:r>
      <w:r>
        <w:rPr>
          <w:color w:val="231F20"/>
          <w:spacing w:val="-2"/>
        </w:rPr>
        <w:t>1961</w:t>
      </w:r>
      <w:r>
        <w:rPr>
          <w:color w:val="231F20"/>
          <w:spacing w:val="-13"/>
        </w:rPr>
        <w:t> </w:t>
      </w:r>
      <w:r>
        <w:rPr>
          <w:color w:val="231F20"/>
          <w:spacing w:val="-2"/>
        </w:rPr>
        <w:t>à</w:t>
      </w:r>
      <w:r>
        <w:rPr>
          <w:color w:val="231F20"/>
          <w:spacing w:val="-13"/>
        </w:rPr>
        <w:t> </w:t>
      </w:r>
      <w:r>
        <w:rPr>
          <w:color w:val="231F20"/>
          <w:spacing w:val="-2"/>
        </w:rPr>
        <w:t>1966, </w:t>
      </w:r>
      <w:r>
        <w:rPr>
          <w:color w:val="231F20"/>
        </w:rPr>
        <w:t>ministre des Finances de 1966 à 1977 et Président de l'Assemblée </w:t>
      </w:r>
      <w:r>
        <w:rPr>
          <w:color w:val="231F20"/>
          <w:spacing w:val="-6"/>
        </w:rPr>
        <w:t>Nationale de 1980 à 1993. Selon l’article 16 de la constitution, le Président </w:t>
      </w:r>
      <w:r>
        <w:rPr>
          <w:color w:val="231F20"/>
        </w:rPr>
        <w:t>de l'Assemblée Nationale est le successeur désigné en cas de décès du Président</w:t>
      </w:r>
      <w:r>
        <w:rPr>
          <w:color w:val="231F20"/>
          <w:spacing w:val="-15"/>
        </w:rPr>
        <w:t> </w:t>
      </w:r>
      <w:r>
        <w:rPr>
          <w:color w:val="231F20"/>
        </w:rPr>
        <w:t>de</w:t>
      </w:r>
      <w:r>
        <w:rPr>
          <w:color w:val="231F20"/>
          <w:spacing w:val="-14"/>
        </w:rPr>
        <w:t> </w:t>
      </w:r>
      <w:r>
        <w:rPr>
          <w:color w:val="231F20"/>
        </w:rPr>
        <w:t>la</w:t>
      </w:r>
      <w:r>
        <w:rPr>
          <w:color w:val="231F20"/>
          <w:spacing w:val="-15"/>
        </w:rPr>
        <w:t> </w:t>
      </w:r>
      <w:r>
        <w:rPr>
          <w:color w:val="231F20"/>
        </w:rPr>
        <w:t>République.</w:t>
      </w:r>
      <w:r>
        <w:rPr>
          <w:color w:val="231F20"/>
          <w:spacing w:val="-14"/>
        </w:rPr>
        <w:t> </w:t>
      </w:r>
      <w:r>
        <w:rPr>
          <w:color w:val="231F20"/>
        </w:rPr>
        <w:t>La</w:t>
      </w:r>
      <w:r>
        <w:rPr>
          <w:color w:val="231F20"/>
          <w:spacing w:val="-14"/>
        </w:rPr>
        <w:t> </w:t>
      </w:r>
      <w:r>
        <w:rPr>
          <w:color w:val="231F20"/>
        </w:rPr>
        <w:t>lutte</w:t>
      </w:r>
      <w:r>
        <w:rPr>
          <w:color w:val="231F20"/>
          <w:spacing w:val="-14"/>
        </w:rPr>
        <w:t> </w:t>
      </w:r>
      <w:r>
        <w:rPr>
          <w:color w:val="231F20"/>
        </w:rPr>
        <w:t>du</w:t>
      </w:r>
      <w:r>
        <w:rPr>
          <w:color w:val="231F20"/>
          <w:spacing w:val="-14"/>
        </w:rPr>
        <w:t> </w:t>
      </w:r>
      <w:r>
        <w:rPr>
          <w:color w:val="231F20"/>
        </w:rPr>
        <w:t>pouvoir</w:t>
      </w:r>
      <w:r>
        <w:rPr>
          <w:color w:val="231F20"/>
          <w:spacing w:val="-14"/>
        </w:rPr>
        <w:t> </w:t>
      </w:r>
      <w:r>
        <w:rPr>
          <w:color w:val="231F20"/>
        </w:rPr>
        <w:t>l’oppose</w:t>
      </w:r>
      <w:r>
        <w:rPr>
          <w:color w:val="231F20"/>
          <w:spacing w:val="-14"/>
        </w:rPr>
        <w:t> </w:t>
      </w:r>
      <w:r>
        <w:rPr>
          <w:color w:val="231F20"/>
        </w:rPr>
        <w:t>directement</w:t>
      </w:r>
      <w:r>
        <w:rPr>
          <w:color w:val="231F20"/>
          <w:spacing w:val="-13"/>
        </w:rPr>
        <w:t> </w:t>
      </w:r>
      <w:r>
        <w:rPr>
          <w:color w:val="231F20"/>
        </w:rPr>
        <w:t>au Premier</w:t>
      </w:r>
      <w:r>
        <w:rPr>
          <w:color w:val="231F20"/>
          <w:spacing w:val="-15"/>
        </w:rPr>
        <w:t> </w:t>
      </w:r>
      <w:r>
        <w:rPr>
          <w:color w:val="231F20"/>
        </w:rPr>
        <w:t>Ministre</w:t>
      </w:r>
      <w:r>
        <w:rPr>
          <w:color w:val="231F20"/>
          <w:spacing w:val="-15"/>
        </w:rPr>
        <w:t> </w:t>
      </w:r>
      <w:r>
        <w:rPr>
          <w:color w:val="231F20"/>
        </w:rPr>
        <w:t>Alassane</w:t>
      </w:r>
      <w:r>
        <w:rPr>
          <w:color w:val="231F20"/>
          <w:spacing w:val="-15"/>
        </w:rPr>
        <w:t> </w:t>
      </w:r>
      <w:r>
        <w:rPr>
          <w:color w:val="231F20"/>
        </w:rPr>
        <w:t>Dramane</w:t>
      </w:r>
      <w:r>
        <w:rPr>
          <w:color w:val="231F20"/>
          <w:spacing w:val="-14"/>
        </w:rPr>
        <w:t> </w:t>
      </w:r>
      <w:r>
        <w:rPr>
          <w:color w:val="231F20"/>
        </w:rPr>
        <w:t>Ouattara,</w:t>
      </w:r>
      <w:r>
        <w:rPr>
          <w:color w:val="231F20"/>
          <w:spacing w:val="-14"/>
        </w:rPr>
        <w:t> </w:t>
      </w:r>
      <w:r>
        <w:rPr>
          <w:color w:val="231F20"/>
        </w:rPr>
        <w:t>souvent</w:t>
      </w:r>
      <w:r>
        <w:rPr>
          <w:color w:val="231F20"/>
          <w:spacing w:val="-14"/>
        </w:rPr>
        <w:t> </w:t>
      </w:r>
      <w:r>
        <w:rPr>
          <w:color w:val="231F20"/>
        </w:rPr>
        <w:t>désigné</w:t>
      </w:r>
      <w:r>
        <w:rPr>
          <w:color w:val="231F20"/>
          <w:spacing w:val="-14"/>
        </w:rPr>
        <w:t> </w:t>
      </w:r>
      <w:r>
        <w:rPr>
          <w:color w:val="231F20"/>
        </w:rPr>
        <w:t>sous</w:t>
      </w:r>
      <w:r>
        <w:rPr>
          <w:color w:val="231F20"/>
          <w:spacing w:val="-14"/>
        </w:rPr>
        <w:t> </w:t>
      </w:r>
      <w:r>
        <w:rPr>
          <w:color w:val="231F20"/>
        </w:rPr>
        <w:t>ses initiales « ADO ».</w:t>
      </w:r>
    </w:p>
    <w:p>
      <w:pPr>
        <w:pStyle w:val="BodyText"/>
        <w:spacing w:before="121"/>
        <w:ind w:right="104" w:firstLine="283"/>
      </w:pPr>
      <w:r>
        <w:rPr>
          <w:color w:val="231F20"/>
        </w:rPr>
        <w:t>Alassane</w:t>
      </w:r>
      <w:r>
        <w:rPr>
          <w:color w:val="231F20"/>
          <w:spacing w:val="-11"/>
        </w:rPr>
        <w:t> </w:t>
      </w:r>
      <w:r>
        <w:rPr>
          <w:color w:val="231F20"/>
        </w:rPr>
        <w:t>Dramane</w:t>
      </w:r>
      <w:r>
        <w:rPr>
          <w:color w:val="231F20"/>
          <w:spacing w:val="-11"/>
        </w:rPr>
        <w:t> </w:t>
      </w:r>
      <w:r>
        <w:rPr>
          <w:color w:val="231F20"/>
        </w:rPr>
        <w:t>Ouattara</w:t>
      </w:r>
      <w:r>
        <w:rPr>
          <w:color w:val="231F20"/>
          <w:spacing w:val="-11"/>
        </w:rPr>
        <w:t> </w:t>
      </w:r>
      <w:r>
        <w:rPr>
          <w:color w:val="231F20"/>
        </w:rPr>
        <w:t>est</w:t>
      </w:r>
      <w:r>
        <w:rPr>
          <w:color w:val="231F20"/>
          <w:spacing w:val="-11"/>
        </w:rPr>
        <w:t> </w:t>
      </w:r>
      <w:r>
        <w:rPr>
          <w:color w:val="231F20"/>
        </w:rPr>
        <w:t>né</w:t>
      </w:r>
      <w:r>
        <w:rPr>
          <w:color w:val="231F20"/>
          <w:spacing w:val="-13"/>
        </w:rPr>
        <w:t> </w:t>
      </w:r>
      <w:r>
        <w:rPr>
          <w:color w:val="231F20"/>
        </w:rPr>
        <w:t>le</w:t>
      </w:r>
      <w:r>
        <w:rPr>
          <w:color w:val="231F20"/>
          <w:spacing w:val="-11"/>
        </w:rPr>
        <w:t> </w:t>
      </w:r>
      <w:r>
        <w:rPr>
          <w:color w:val="231F20"/>
        </w:rPr>
        <w:t>1er</w:t>
      </w:r>
      <w:r>
        <w:rPr>
          <w:color w:val="231F20"/>
          <w:spacing w:val="-13"/>
        </w:rPr>
        <w:t> </w:t>
      </w:r>
      <w:r>
        <w:rPr>
          <w:color w:val="231F20"/>
        </w:rPr>
        <w:t>janvier</w:t>
      </w:r>
      <w:r>
        <w:rPr>
          <w:color w:val="231F20"/>
          <w:spacing w:val="-11"/>
        </w:rPr>
        <w:t> </w:t>
      </w:r>
      <w:r>
        <w:rPr>
          <w:color w:val="231F20"/>
        </w:rPr>
        <w:t>1942</w:t>
      </w:r>
      <w:r>
        <w:rPr>
          <w:color w:val="231F20"/>
          <w:spacing w:val="-11"/>
        </w:rPr>
        <w:t> </w:t>
      </w:r>
      <w:r>
        <w:rPr>
          <w:color w:val="231F20"/>
        </w:rPr>
        <w:t>à</w:t>
      </w:r>
      <w:r>
        <w:rPr>
          <w:color w:val="231F20"/>
          <w:spacing w:val="-11"/>
        </w:rPr>
        <w:t> </w:t>
      </w:r>
      <w:r>
        <w:rPr>
          <w:color w:val="231F20"/>
        </w:rPr>
        <w:t>Dimbokro,</w:t>
      </w:r>
      <w:r>
        <w:rPr>
          <w:color w:val="231F20"/>
          <w:spacing w:val="-9"/>
        </w:rPr>
        <w:t> </w:t>
      </w:r>
      <w:r>
        <w:rPr>
          <w:color w:val="231F20"/>
        </w:rPr>
        <w:t>à </w:t>
      </w:r>
      <w:r>
        <w:rPr>
          <w:color w:val="231F20"/>
          <w:spacing w:val="-2"/>
        </w:rPr>
        <w:t>240</w:t>
      </w:r>
      <w:r>
        <w:rPr>
          <w:color w:val="231F20"/>
          <w:spacing w:val="-15"/>
        </w:rPr>
        <w:t> </w:t>
      </w:r>
      <w:r>
        <w:rPr>
          <w:color w:val="231F20"/>
          <w:spacing w:val="-2"/>
        </w:rPr>
        <w:t>km</w:t>
      </w:r>
      <w:r>
        <w:rPr>
          <w:color w:val="231F20"/>
          <w:spacing w:val="-13"/>
        </w:rPr>
        <w:t> </w:t>
      </w:r>
      <w:r>
        <w:rPr>
          <w:color w:val="231F20"/>
          <w:spacing w:val="-2"/>
        </w:rPr>
        <w:t>au</w:t>
      </w:r>
      <w:r>
        <w:rPr>
          <w:color w:val="231F20"/>
          <w:spacing w:val="-13"/>
        </w:rPr>
        <w:t> </w:t>
      </w:r>
      <w:r>
        <w:rPr>
          <w:color w:val="231F20"/>
          <w:spacing w:val="-2"/>
        </w:rPr>
        <w:t>nord</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capitale</w:t>
      </w:r>
      <w:r>
        <w:rPr>
          <w:color w:val="231F20"/>
          <w:spacing w:val="-13"/>
        </w:rPr>
        <w:t> </w:t>
      </w:r>
      <w:r>
        <w:rPr>
          <w:color w:val="231F20"/>
          <w:spacing w:val="-2"/>
        </w:rPr>
        <w:t>économique</w:t>
      </w:r>
      <w:r>
        <w:rPr>
          <w:color w:val="231F20"/>
          <w:spacing w:val="-13"/>
        </w:rPr>
        <w:t> </w:t>
      </w:r>
      <w:r>
        <w:rPr>
          <w:color w:val="231F20"/>
          <w:spacing w:val="-2"/>
        </w:rPr>
        <w:t>Abidjan</w:t>
      </w:r>
      <w:r>
        <w:rPr>
          <w:color w:val="231F20"/>
          <w:spacing w:val="-13"/>
        </w:rPr>
        <w:t> </w:t>
      </w:r>
      <w:r>
        <w:rPr>
          <w:color w:val="231F20"/>
          <w:spacing w:val="-2"/>
        </w:rPr>
        <w:t>et</w:t>
      </w:r>
      <w:r>
        <w:rPr>
          <w:color w:val="231F20"/>
          <w:spacing w:val="-13"/>
        </w:rPr>
        <w:t> </w:t>
      </w:r>
      <w:r>
        <w:rPr>
          <w:color w:val="231F20"/>
          <w:spacing w:val="-2"/>
        </w:rPr>
        <w:t>à</w:t>
      </w:r>
      <w:r>
        <w:rPr>
          <w:color w:val="231F20"/>
          <w:spacing w:val="-13"/>
        </w:rPr>
        <w:t> </w:t>
      </w:r>
      <w:r>
        <w:rPr>
          <w:color w:val="231F20"/>
          <w:spacing w:val="-2"/>
        </w:rPr>
        <w:t>80</w:t>
      </w:r>
      <w:r>
        <w:rPr>
          <w:color w:val="231F20"/>
          <w:spacing w:val="-13"/>
        </w:rPr>
        <w:t> </w:t>
      </w:r>
      <w:r>
        <w:rPr>
          <w:color w:val="231F20"/>
          <w:spacing w:val="-2"/>
        </w:rPr>
        <w:t>km</w:t>
      </w:r>
      <w:r>
        <w:rPr>
          <w:color w:val="231F20"/>
          <w:spacing w:val="-13"/>
        </w:rPr>
        <w:t> </w:t>
      </w:r>
      <w:r>
        <w:rPr>
          <w:color w:val="231F20"/>
          <w:spacing w:val="-2"/>
        </w:rPr>
        <w:t>au</w:t>
      </w:r>
      <w:r>
        <w:rPr>
          <w:color w:val="231F20"/>
          <w:spacing w:val="-13"/>
        </w:rPr>
        <w:t> </w:t>
      </w:r>
      <w:r>
        <w:rPr>
          <w:color w:val="231F20"/>
          <w:spacing w:val="-2"/>
        </w:rPr>
        <w:t>Sud-Est </w:t>
      </w:r>
      <w:r>
        <w:rPr>
          <w:color w:val="231F20"/>
        </w:rPr>
        <w:t>de</w:t>
      </w:r>
      <w:r>
        <w:rPr>
          <w:color w:val="231F20"/>
          <w:spacing w:val="-15"/>
        </w:rPr>
        <w:t> </w:t>
      </w:r>
      <w:r>
        <w:rPr>
          <w:color w:val="231F20"/>
        </w:rPr>
        <w:t>la</w:t>
      </w:r>
      <w:r>
        <w:rPr>
          <w:color w:val="231F20"/>
          <w:spacing w:val="-15"/>
        </w:rPr>
        <w:t> </w:t>
      </w:r>
      <w:r>
        <w:rPr>
          <w:color w:val="231F20"/>
        </w:rPr>
        <w:t>capitale</w:t>
      </w:r>
      <w:r>
        <w:rPr>
          <w:color w:val="231F20"/>
          <w:spacing w:val="-15"/>
        </w:rPr>
        <w:t> </w:t>
      </w:r>
      <w:r>
        <w:rPr>
          <w:color w:val="231F20"/>
        </w:rPr>
        <w:t>politique</w:t>
      </w:r>
      <w:r>
        <w:rPr>
          <w:color w:val="231F20"/>
          <w:spacing w:val="-15"/>
        </w:rPr>
        <w:t> </w:t>
      </w:r>
      <w:r>
        <w:rPr>
          <w:color w:val="231F20"/>
        </w:rPr>
        <w:t>Yamoussoukro.</w:t>
      </w:r>
      <w:r>
        <w:rPr>
          <w:color w:val="231F20"/>
          <w:spacing w:val="-15"/>
        </w:rPr>
        <w:t> </w:t>
      </w:r>
      <w:r>
        <w:rPr>
          <w:color w:val="231F20"/>
        </w:rPr>
        <w:t>Inscrit</w:t>
      </w:r>
      <w:r>
        <w:rPr>
          <w:color w:val="231F20"/>
          <w:spacing w:val="-15"/>
        </w:rPr>
        <w:t> </w:t>
      </w:r>
      <w:r>
        <w:rPr>
          <w:color w:val="231F20"/>
        </w:rPr>
        <w:t>à</w:t>
      </w:r>
      <w:r>
        <w:rPr>
          <w:color w:val="231F20"/>
          <w:spacing w:val="-14"/>
        </w:rPr>
        <w:t> </w:t>
      </w:r>
      <w:r>
        <w:rPr>
          <w:color w:val="231F20"/>
        </w:rPr>
        <w:t>l'Institut</w:t>
      </w:r>
      <w:r>
        <w:rPr>
          <w:color w:val="231F20"/>
          <w:spacing w:val="-15"/>
        </w:rPr>
        <w:t> </w:t>
      </w:r>
      <w:r>
        <w:rPr>
          <w:color w:val="231F20"/>
        </w:rPr>
        <w:t>de</w:t>
      </w:r>
      <w:r>
        <w:rPr>
          <w:color w:val="231F20"/>
          <w:spacing w:val="-15"/>
        </w:rPr>
        <w:t> </w:t>
      </w:r>
      <w:r>
        <w:rPr>
          <w:color w:val="231F20"/>
        </w:rPr>
        <w:t>technologie </w:t>
      </w:r>
      <w:r>
        <w:rPr>
          <w:color w:val="231F20"/>
          <w:spacing w:val="-4"/>
        </w:rPr>
        <w:t>de</w:t>
      </w:r>
      <w:r>
        <w:rPr>
          <w:color w:val="231F20"/>
          <w:spacing w:val="-10"/>
        </w:rPr>
        <w:t> </w:t>
      </w:r>
      <w:r>
        <w:rPr>
          <w:color w:val="231F20"/>
          <w:spacing w:val="-4"/>
        </w:rPr>
        <w:t>Drexel</w:t>
      </w:r>
      <w:r>
        <w:rPr>
          <w:color w:val="231F20"/>
          <w:spacing w:val="-11"/>
        </w:rPr>
        <w:t> </w:t>
      </w:r>
      <w:r>
        <w:rPr>
          <w:color w:val="231F20"/>
          <w:spacing w:val="-4"/>
        </w:rPr>
        <w:t>puis</w:t>
      </w:r>
      <w:r>
        <w:rPr>
          <w:color w:val="231F20"/>
          <w:spacing w:val="-11"/>
        </w:rPr>
        <w:t> </w:t>
      </w:r>
      <w:r>
        <w:rPr>
          <w:color w:val="231F20"/>
          <w:spacing w:val="-4"/>
        </w:rPr>
        <w:t>à</w:t>
      </w:r>
      <w:r>
        <w:rPr>
          <w:color w:val="231F20"/>
          <w:spacing w:val="-10"/>
        </w:rPr>
        <w:t> </w:t>
      </w:r>
      <w:r>
        <w:rPr>
          <w:color w:val="231F20"/>
          <w:spacing w:val="-4"/>
        </w:rPr>
        <w:t>l’université</w:t>
      </w:r>
      <w:r>
        <w:rPr>
          <w:color w:val="231F20"/>
          <w:spacing w:val="-9"/>
        </w:rPr>
        <w:t> </w:t>
      </w:r>
      <w:r>
        <w:rPr>
          <w:color w:val="231F20"/>
          <w:spacing w:val="-4"/>
        </w:rPr>
        <w:t>de</w:t>
      </w:r>
      <w:r>
        <w:rPr>
          <w:color w:val="231F20"/>
          <w:spacing w:val="-11"/>
        </w:rPr>
        <w:t> </w:t>
      </w:r>
      <w:r>
        <w:rPr>
          <w:color w:val="231F20"/>
          <w:spacing w:val="-4"/>
        </w:rPr>
        <w:t>Pennsylvanie,</w:t>
      </w:r>
      <w:r>
        <w:rPr>
          <w:color w:val="231F20"/>
          <w:spacing w:val="-11"/>
        </w:rPr>
        <w:t> </w:t>
      </w:r>
      <w:r>
        <w:rPr>
          <w:color w:val="231F20"/>
          <w:spacing w:val="-4"/>
        </w:rPr>
        <w:t>il</w:t>
      </w:r>
      <w:r>
        <w:rPr>
          <w:color w:val="231F20"/>
          <w:spacing w:val="-11"/>
        </w:rPr>
        <w:t> </w:t>
      </w:r>
      <w:r>
        <w:rPr>
          <w:color w:val="231F20"/>
          <w:spacing w:val="-4"/>
        </w:rPr>
        <w:t>obtient</w:t>
      </w:r>
      <w:r>
        <w:rPr>
          <w:color w:val="231F20"/>
          <w:spacing w:val="-9"/>
        </w:rPr>
        <w:t> </w:t>
      </w:r>
      <w:r>
        <w:rPr>
          <w:color w:val="231F20"/>
          <w:spacing w:val="-4"/>
        </w:rPr>
        <w:t>en</w:t>
      </w:r>
      <w:r>
        <w:rPr>
          <w:color w:val="231F20"/>
          <w:spacing w:val="-11"/>
        </w:rPr>
        <w:t> </w:t>
      </w:r>
      <w:r>
        <w:rPr>
          <w:color w:val="231F20"/>
          <w:spacing w:val="-4"/>
        </w:rPr>
        <w:t>1967</w:t>
      </w:r>
      <w:r>
        <w:rPr>
          <w:color w:val="231F20"/>
          <w:spacing w:val="-11"/>
        </w:rPr>
        <w:t> </w:t>
      </w:r>
      <w:r>
        <w:rPr>
          <w:color w:val="231F20"/>
          <w:spacing w:val="-4"/>
        </w:rPr>
        <w:t>un</w:t>
      </w:r>
      <w:r>
        <w:rPr>
          <w:color w:val="231F20"/>
          <w:spacing w:val="-11"/>
        </w:rPr>
        <w:t> </w:t>
      </w:r>
      <w:r>
        <w:rPr>
          <w:color w:val="231F20"/>
          <w:spacing w:val="-4"/>
        </w:rPr>
        <w:t>master </w:t>
      </w:r>
      <w:r>
        <w:rPr>
          <w:color w:val="231F20"/>
        </w:rPr>
        <w:t>en économie et un doctorat d'État en sciences économiques</w:t>
      </w:r>
      <w:r>
        <w:rPr>
          <w:color w:val="231F20"/>
          <w:spacing w:val="-12"/>
        </w:rPr>
        <w:t> </w:t>
      </w:r>
      <w:r>
        <w:rPr>
          <w:color w:val="231F20"/>
        </w:rPr>
        <w:t>en 1972. Vice-gouverneur</w:t>
      </w:r>
      <w:r>
        <w:rPr>
          <w:color w:val="231F20"/>
          <w:spacing w:val="-13"/>
        </w:rPr>
        <w:t> </w:t>
      </w:r>
      <w:r>
        <w:rPr>
          <w:color w:val="231F20"/>
        </w:rPr>
        <w:t>de</w:t>
      </w:r>
      <w:r>
        <w:rPr>
          <w:color w:val="231F20"/>
          <w:spacing w:val="-12"/>
        </w:rPr>
        <w:t> </w:t>
      </w:r>
      <w:r>
        <w:rPr>
          <w:color w:val="231F20"/>
        </w:rPr>
        <w:t>1983</w:t>
      </w:r>
      <w:r>
        <w:rPr>
          <w:color w:val="231F20"/>
          <w:spacing w:val="-13"/>
        </w:rPr>
        <w:t> </w:t>
      </w:r>
      <w:r>
        <w:rPr>
          <w:color w:val="231F20"/>
        </w:rPr>
        <w:t>à</w:t>
      </w:r>
      <w:r>
        <w:rPr>
          <w:color w:val="231F20"/>
          <w:spacing w:val="-12"/>
        </w:rPr>
        <w:t> </w:t>
      </w:r>
      <w:r>
        <w:rPr>
          <w:color w:val="231F20"/>
        </w:rPr>
        <w:t>1984</w:t>
      </w:r>
      <w:r>
        <w:rPr>
          <w:color w:val="231F20"/>
          <w:spacing w:val="-12"/>
        </w:rPr>
        <w:t> </w:t>
      </w:r>
      <w:r>
        <w:rPr>
          <w:color w:val="231F20"/>
        </w:rPr>
        <w:t>de</w:t>
      </w:r>
      <w:r>
        <w:rPr>
          <w:color w:val="231F20"/>
          <w:spacing w:val="-13"/>
        </w:rPr>
        <w:t> </w:t>
      </w:r>
      <w:r>
        <w:rPr>
          <w:color w:val="231F20"/>
        </w:rPr>
        <w:t>la</w:t>
      </w:r>
      <w:r>
        <w:rPr>
          <w:color w:val="231F20"/>
          <w:spacing w:val="-12"/>
        </w:rPr>
        <w:t> </w:t>
      </w:r>
      <w:r>
        <w:rPr>
          <w:color w:val="231F20"/>
        </w:rPr>
        <w:t>Banque</w:t>
      </w:r>
      <w:r>
        <w:rPr>
          <w:color w:val="231F20"/>
          <w:spacing w:val="-12"/>
        </w:rPr>
        <w:t> </w:t>
      </w:r>
      <w:r>
        <w:rPr>
          <w:color w:val="231F20"/>
        </w:rPr>
        <w:t>des</w:t>
      </w:r>
      <w:r>
        <w:rPr>
          <w:color w:val="231F20"/>
          <w:spacing w:val="-13"/>
        </w:rPr>
        <w:t> </w:t>
      </w:r>
      <w:r>
        <w:rPr>
          <w:color w:val="231F20"/>
        </w:rPr>
        <w:t>Etats</w:t>
      </w:r>
      <w:r>
        <w:rPr>
          <w:color w:val="231F20"/>
          <w:spacing w:val="-13"/>
        </w:rPr>
        <w:t> </w:t>
      </w:r>
      <w:r>
        <w:rPr>
          <w:color w:val="231F20"/>
        </w:rPr>
        <w:t>de</w:t>
      </w:r>
      <w:r>
        <w:rPr>
          <w:color w:val="231F20"/>
          <w:spacing w:val="-12"/>
        </w:rPr>
        <w:t> </w:t>
      </w:r>
      <w:r>
        <w:rPr>
          <w:color w:val="231F20"/>
        </w:rPr>
        <w:t>l’Afrique</w:t>
      </w:r>
      <w:r>
        <w:rPr>
          <w:color w:val="231F20"/>
          <w:spacing w:val="-12"/>
        </w:rPr>
        <w:t> </w:t>
      </w:r>
      <w:r>
        <w:rPr>
          <w:color w:val="231F20"/>
        </w:rPr>
        <w:t>de </w:t>
      </w:r>
      <w:r>
        <w:rPr>
          <w:color w:val="231F20"/>
          <w:spacing w:val="-4"/>
        </w:rPr>
        <w:t>l’Ouest</w:t>
      </w:r>
      <w:r>
        <w:rPr>
          <w:color w:val="231F20"/>
          <w:spacing w:val="-11"/>
        </w:rPr>
        <w:t> </w:t>
      </w:r>
      <w:r>
        <w:rPr>
          <w:color w:val="231F20"/>
          <w:spacing w:val="-4"/>
        </w:rPr>
        <w:t>(BCEAO),</w:t>
      </w:r>
      <w:r>
        <w:rPr>
          <w:color w:val="231F20"/>
          <w:spacing w:val="-11"/>
        </w:rPr>
        <w:t> </w:t>
      </w:r>
      <w:r>
        <w:rPr>
          <w:color w:val="231F20"/>
          <w:spacing w:val="-4"/>
        </w:rPr>
        <w:t>Directeur</w:t>
      </w:r>
      <w:r>
        <w:rPr>
          <w:color w:val="231F20"/>
          <w:spacing w:val="-11"/>
        </w:rPr>
        <w:t> </w:t>
      </w:r>
      <w:r>
        <w:rPr>
          <w:color w:val="231F20"/>
          <w:spacing w:val="-4"/>
        </w:rPr>
        <w:t>du</w:t>
      </w:r>
      <w:r>
        <w:rPr>
          <w:color w:val="231F20"/>
          <w:spacing w:val="-11"/>
        </w:rPr>
        <w:t> </w:t>
      </w:r>
      <w:r>
        <w:rPr>
          <w:color w:val="231F20"/>
          <w:spacing w:val="-4"/>
        </w:rPr>
        <w:t>département</w:t>
      </w:r>
      <w:r>
        <w:rPr>
          <w:color w:val="231F20"/>
          <w:spacing w:val="-11"/>
        </w:rPr>
        <w:t> </w:t>
      </w:r>
      <w:r>
        <w:rPr>
          <w:color w:val="231F20"/>
          <w:spacing w:val="-4"/>
        </w:rPr>
        <w:t>Afrique</w:t>
      </w:r>
      <w:r>
        <w:rPr>
          <w:color w:val="231F20"/>
          <w:spacing w:val="-11"/>
        </w:rPr>
        <w:t> </w:t>
      </w:r>
      <w:r>
        <w:rPr>
          <w:color w:val="231F20"/>
          <w:spacing w:val="-4"/>
        </w:rPr>
        <w:t>du</w:t>
      </w:r>
      <w:r>
        <w:rPr>
          <w:color w:val="231F20"/>
          <w:spacing w:val="-11"/>
        </w:rPr>
        <w:t> </w:t>
      </w:r>
      <w:r>
        <w:rPr>
          <w:color w:val="231F20"/>
          <w:spacing w:val="-4"/>
        </w:rPr>
        <w:t>Fonds</w:t>
      </w:r>
      <w:r>
        <w:rPr>
          <w:color w:val="231F20"/>
          <w:spacing w:val="-11"/>
        </w:rPr>
        <w:t> </w:t>
      </w:r>
      <w:r>
        <w:rPr>
          <w:color w:val="231F20"/>
          <w:spacing w:val="-4"/>
        </w:rPr>
        <w:t>Monétaire </w:t>
      </w:r>
      <w:r>
        <w:rPr>
          <w:color w:val="231F20"/>
        </w:rPr>
        <w:t>International (FMI) en 1984, Gouverneur de la BECEAO en 1998, Premier Ministre en 1990.</w:t>
      </w:r>
    </w:p>
    <w:p>
      <w:pPr>
        <w:pStyle w:val="BodyText"/>
        <w:spacing w:before="120"/>
        <w:ind w:right="102" w:firstLine="283"/>
      </w:pPr>
      <w:r>
        <w:rPr>
          <w:color w:val="231F20"/>
        </w:rPr>
        <w:t>Compte</w:t>
      </w:r>
      <w:r>
        <w:rPr>
          <w:color w:val="231F20"/>
          <w:spacing w:val="-1"/>
        </w:rPr>
        <w:t> </w:t>
      </w:r>
      <w:r>
        <w:rPr>
          <w:color w:val="231F20"/>
        </w:rPr>
        <w:t>tenu des nombreuses absences du</w:t>
      </w:r>
      <w:r>
        <w:rPr>
          <w:color w:val="231F20"/>
          <w:spacing w:val="-2"/>
        </w:rPr>
        <w:t> </w:t>
      </w:r>
      <w:r>
        <w:rPr>
          <w:color w:val="231F20"/>
        </w:rPr>
        <w:t>Chef</w:t>
      </w:r>
      <w:r>
        <w:rPr>
          <w:color w:val="231F20"/>
          <w:spacing w:val="-1"/>
        </w:rPr>
        <w:t> </w:t>
      </w:r>
      <w:r>
        <w:rPr>
          <w:color w:val="231F20"/>
        </w:rPr>
        <w:t>de l’État à cause de son état de santé, le Premier Ministre est le véritable Patron de l’Exécutif…depuis 3 ans. Si, Henri Konan Bédié Président de l'Assemblée nationale est le dauphin constitutionnel et donc certain de </w:t>
      </w:r>
      <w:r>
        <w:rPr>
          <w:color w:val="231F20"/>
          <w:spacing w:val="-2"/>
        </w:rPr>
        <w:t>succéder</w:t>
      </w:r>
      <w:r>
        <w:rPr>
          <w:color w:val="231F20"/>
          <w:spacing w:val="-6"/>
        </w:rPr>
        <w:t> </w:t>
      </w:r>
      <w:r>
        <w:rPr>
          <w:color w:val="231F20"/>
          <w:spacing w:val="-2"/>
        </w:rPr>
        <w:t>au</w:t>
      </w:r>
      <w:r>
        <w:rPr>
          <w:color w:val="231F20"/>
          <w:spacing w:val="-6"/>
        </w:rPr>
        <w:t> </w:t>
      </w:r>
      <w:r>
        <w:rPr>
          <w:color w:val="231F20"/>
          <w:spacing w:val="-2"/>
        </w:rPr>
        <w:t>Président</w:t>
      </w:r>
      <w:r>
        <w:rPr>
          <w:color w:val="231F20"/>
          <w:spacing w:val="-5"/>
        </w:rPr>
        <w:t> </w:t>
      </w:r>
      <w:r>
        <w:rPr>
          <w:color w:val="231F20"/>
          <w:spacing w:val="-2"/>
        </w:rPr>
        <w:t>de</w:t>
      </w:r>
      <w:r>
        <w:rPr>
          <w:color w:val="231F20"/>
          <w:spacing w:val="-7"/>
        </w:rPr>
        <w:t> </w:t>
      </w:r>
      <w:r>
        <w:rPr>
          <w:color w:val="231F20"/>
          <w:spacing w:val="-2"/>
        </w:rPr>
        <w:t>la</w:t>
      </w:r>
      <w:r>
        <w:rPr>
          <w:color w:val="231F20"/>
          <w:spacing w:val="-6"/>
        </w:rPr>
        <w:t> </w:t>
      </w:r>
      <w:r>
        <w:rPr>
          <w:color w:val="231F20"/>
          <w:spacing w:val="-2"/>
        </w:rPr>
        <w:t>République,</w:t>
      </w:r>
      <w:r>
        <w:rPr>
          <w:color w:val="231F20"/>
          <w:spacing w:val="-6"/>
        </w:rPr>
        <w:t> </w:t>
      </w:r>
      <w:r>
        <w:rPr>
          <w:color w:val="231F20"/>
          <w:spacing w:val="-2"/>
        </w:rPr>
        <w:t>Alassane</w:t>
      </w:r>
      <w:r>
        <w:rPr>
          <w:color w:val="231F20"/>
          <w:spacing w:val="-6"/>
        </w:rPr>
        <w:t> </w:t>
      </w:r>
      <w:r>
        <w:rPr>
          <w:color w:val="231F20"/>
          <w:spacing w:val="-2"/>
        </w:rPr>
        <w:t>Dramane</w:t>
      </w:r>
      <w:r>
        <w:rPr>
          <w:color w:val="231F20"/>
          <w:spacing w:val="-6"/>
        </w:rPr>
        <w:t> </w:t>
      </w:r>
      <w:r>
        <w:rPr>
          <w:color w:val="231F20"/>
          <w:spacing w:val="-2"/>
        </w:rPr>
        <w:t>Ouattara</w:t>
      </w:r>
      <w:r>
        <w:rPr>
          <w:color w:val="231F20"/>
          <w:spacing w:val="-6"/>
        </w:rPr>
        <w:t> </w:t>
      </w:r>
      <w:r>
        <w:rPr>
          <w:color w:val="231F20"/>
          <w:spacing w:val="-2"/>
        </w:rPr>
        <w:t>qui </w:t>
      </w:r>
      <w:r>
        <w:rPr>
          <w:color w:val="231F20"/>
        </w:rPr>
        <w:t>a pris goût au pouvoir et qui estime avoir sauvé la Côte d'Ivoire du marasme économique, pense mériter de poursuivre le redressement économique</w:t>
      </w:r>
      <w:r>
        <w:rPr>
          <w:color w:val="231F20"/>
          <w:spacing w:val="-4"/>
        </w:rPr>
        <w:t> </w:t>
      </w:r>
      <w:r>
        <w:rPr>
          <w:color w:val="231F20"/>
        </w:rPr>
        <w:t>en</w:t>
      </w:r>
      <w:r>
        <w:rPr>
          <w:color w:val="231F20"/>
          <w:spacing w:val="-5"/>
        </w:rPr>
        <w:t> </w:t>
      </w:r>
      <w:r>
        <w:rPr>
          <w:color w:val="231F20"/>
        </w:rPr>
        <w:t>étant</w:t>
      </w:r>
      <w:r>
        <w:rPr>
          <w:color w:val="231F20"/>
          <w:spacing w:val="-4"/>
        </w:rPr>
        <w:t> </w:t>
      </w:r>
      <w:r>
        <w:rPr>
          <w:color w:val="231F20"/>
        </w:rPr>
        <w:t>à</w:t>
      </w:r>
      <w:r>
        <w:rPr>
          <w:color w:val="231F20"/>
          <w:spacing w:val="-8"/>
        </w:rPr>
        <w:t> </w:t>
      </w:r>
      <w:r>
        <w:rPr>
          <w:color w:val="231F20"/>
        </w:rPr>
        <w:t>la</w:t>
      </w:r>
      <w:r>
        <w:rPr>
          <w:color w:val="231F20"/>
          <w:spacing w:val="-7"/>
        </w:rPr>
        <w:t> </w:t>
      </w:r>
      <w:r>
        <w:rPr>
          <w:color w:val="231F20"/>
        </w:rPr>
        <w:t>tête</w:t>
      </w:r>
      <w:r>
        <w:rPr>
          <w:color w:val="231F20"/>
          <w:spacing w:val="-4"/>
        </w:rPr>
        <w:t> </w:t>
      </w:r>
      <w:r>
        <w:rPr>
          <w:color w:val="231F20"/>
        </w:rPr>
        <w:t>du</w:t>
      </w:r>
      <w:r>
        <w:rPr>
          <w:color w:val="231F20"/>
          <w:spacing w:val="-5"/>
        </w:rPr>
        <w:t> </w:t>
      </w:r>
      <w:r>
        <w:rPr>
          <w:color w:val="231F20"/>
        </w:rPr>
        <w:t>pays</w:t>
      </w:r>
      <w:r>
        <w:rPr>
          <w:color w:val="231F20"/>
          <w:spacing w:val="-5"/>
        </w:rPr>
        <w:t> </w:t>
      </w:r>
      <w:r>
        <w:rPr>
          <w:color w:val="231F20"/>
        </w:rPr>
        <w:t>après</w:t>
      </w:r>
      <w:r>
        <w:rPr>
          <w:color w:val="231F20"/>
          <w:spacing w:val="-6"/>
        </w:rPr>
        <w:t> </w:t>
      </w:r>
      <w:r>
        <w:rPr>
          <w:color w:val="231F20"/>
        </w:rPr>
        <w:t>Houphouët-Boigny.</w:t>
      </w:r>
    </w:p>
    <w:p>
      <w:pPr>
        <w:pStyle w:val="BodyText"/>
        <w:spacing w:before="121"/>
        <w:ind w:right="103" w:firstLine="283"/>
      </w:pPr>
      <w:r>
        <w:rPr>
          <w:color w:val="231F20"/>
        </w:rPr>
        <w:t>Mardi 7 décembre 1993. Le pays s’apprête à célébrer le trente- </w:t>
      </w:r>
      <w:r>
        <w:rPr>
          <w:color w:val="231F20"/>
          <w:spacing w:val="-2"/>
        </w:rPr>
        <w:t>troisième</w:t>
      </w:r>
      <w:r>
        <w:rPr>
          <w:color w:val="231F20"/>
          <w:spacing w:val="-15"/>
        </w:rPr>
        <w:t> </w:t>
      </w:r>
      <w:r>
        <w:rPr>
          <w:color w:val="231F20"/>
          <w:spacing w:val="-2"/>
        </w:rPr>
        <w:t>anniversaire</w:t>
      </w:r>
      <w:r>
        <w:rPr>
          <w:color w:val="231F20"/>
          <w:spacing w:val="-13"/>
        </w:rPr>
        <w:t> </w:t>
      </w:r>
      <w:r>
        <w:rPr>
          <w:color w:val="231F20"/>
          <w:spacing w:val="-2"/>
        </w:rPr>
        <w:t>de</w:t>
      </w:r>
      <w:r>
        <w:rPr>
          <w:color w:val="231F20"/>
          <w:spacing w:val="-13"/>
        </w:rPr>
        <w:t> </w:t>
      </w:r>
      <w:r>
        <w:rPr>
          <w:color w:val="231F20"/>
          <w:spacing w:val="-2"/>
        </w:rPr>
        <w:t>l’indépendance</w:t>
      </w:r>
      <w:r>
        <w:rPr>
          <w:color w:val="231F20"/>
          <w:spacing w:val="-13"/>
        </w:rPr>
        <w:t> </w:t>
      </w:r>
      <w:r>
        <w:rPr>
          <w:color w:val="231F20"/>
          <w:spacing w:val="-2"/>
        </w:rPr>
        <w:t>mais</w:t>
      </w:r>
      <w:r>
        <w:rPr>
          <w:color w:val="231F20"/>
          <w:spacing w:val="-13"/>
        </w:rPr>
        <w:t> </w:t>
      </w:r>
      <w:r>
        <w:rPr>
          <w:color w:val="231F20"/>
          <w:spacing w:val="-2"/>
        </w:rPr>
        <w:t>le</w:t>
      </w:r>
      <w:r>
        <w:rPr>
          <w:color w:val="231F20"/>
          <w:spacing w:val="-13"/>
        </w:rPr>
        <w:t> </w:t>
      </w:r>
      <w:r>
        <w:rPr>
          <w:color w:val="231F20"/>
          <w:spacing w:val="-2"/>
        </w:rPr>
        <w:t>cœur</w:t>
      </w:r>
      <w:r>
        <w:rPr>
          <w:color w:val="231F20"/>
          <w:spacing w:val="-13"/>
        </w:rPr>
        <w:t> </w:t>
      </w:r>
      <w:r>
        <w:rPr>
          <w:color w:val="231F20"/>
          <w:spacing w:val="-2"/>
        </w:rPr>
        <w:t>n’est</w:t>
      </w:r>
      <w:r>
        <w:rPr>
          <w:color w:val="231F20"/>
          <w:spacing w:val="-13"/>
        </w:rPr>
        <w:t> </w:t>
      </w:r>
      <w:r>
        <w:rPr>
          <w:color w:val="231F20"/>
          <w:spacing w:val="-2"/>
        </w:rPr>
        <w:t>pas</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fête</w:t>
      </w:r>
      <w:r>
        <w:rPr>
          <w:color w:val="231F20"/>
          <w:spacing w:val="-13"/>
        </w:rPr>
        <w:t> </w:t>
      </w:r>
      <w:r>
        <w:rPr>
          <w:color w:val="231F20"/>
          <w:spacing w:val="-2"/>
        </w:rPr>
        <w:t>; </w:t>
      </w:r>
      <w:r>
        <w:rPr>
          <w:color w:val="231F20"/>
        </w:rPr>
        <w:t>la veille,</w:t>
      </w:r>
      <w:r>
        <w:rPr>
          <w:color w:val="231F20"/>
          <w:spacing w:val="-13"/>
        </w:rPr>
        <w:t> </w:t>
      </w:r>
      <w:r>
        <w:rPr>
          <w:color w:val="231F20"/>
        </w:rPr>
        <w:t>«</w:t>
      </w:r>
      <w:r>
        <w:rPr>
          <w:color w:val="231F20"/>
          <w:spacing w:val="-13"/>
        </w:rPr>
        <w:t> </w:t>
      </w:r>
      <w:r>
        <w:rPr>
          <w:color w:val="231F20"/>
        </w:rPr>
        <w:t>LA Voie</w:t>
      </w:r>
      <w:r>
        <w:rPr>
          <w:color w:val="231F20"/>
          <w:spacing w:val="-13"/>
        </w:rPr>
        <w:t> </w:t>
      </w:r>
      <w:r>
        <w:rPr>
          <w:color w:val="231F20"/>
        </w:rPr>
        <w:t>», le journal du FPI, Parti d’opposition avait au conditionnel, annoncé la mort du Président. Fallait-il prendre au </w:t>
      </w:r>
      <w:r>
        <w:rPr>
          <w:color w:val="231F20"/>
          <w:spacing w:val="-2"/>
        </w:rPr>
        <w:t>sérieux</w:t>
      </w:r>
      <w:r>
        <w:rPr>
          <w:color w:val="231F20"/>
          <w:spacing w:val="-13"/>
        </w:rPr>
        <w:t> </w:t>
      </w:r>
      <w:r>
        <w:rPr>
          <w:color w:val="231F20"/>
          <w:spacing w:val="-2"/>
        </w:rPr>
        <w:t>l'information</w:t>
      </w:r>
      <w:r>
        <w:rPr>
          <w:color w:val="231F20"/>
          <w:spacing w:val="-13"/>
        </w:rPr>
        <w:t> </w:t>
      </w:r>
      <w:r>
        <w:rPr>
          <w:color w:val="231F20"/>
          <w:spacing w:val="-2"/>
        </w:rPr>
        <w:t>?</w:t>
      </w:r>
      <w:r>
        <w:rPr>
          <w:color w:val="231F20"/>
          <w:spacing w:val="-10"/>
        </w:rPr>
        <w:t> </w:t>
      </w:r>
      <w:r>
        <w:rPr>
          <w:color w:val="231F20"/>
          <w:spacing w:val="-2"/>
        </w:rPr>
        <w:t>Quoiqu’il</w:t>
      </w:r>
      <w:r>
        <w:rPr>
          <w:color w:val="231F20"/>
          <w:spacing w:val="-10"/>
        </w:rPr>
        <w:t> </w:t>
      </w:r>
      <w:r>
        <w:rPr>
          <w:color w:val="231F20"/>
          <w:spacing w:val="-2"/>
        </w:rPr>
        <w:t>en</w:t>
      </w:r>
      <w:r>
        <w:rPr>
          <w:color w:val="231F20"/>
          <w:spacing w:val="-10"/>
        </w:rPr>
        <w:t> </w:t>
      </w:r>
      <w:r>
        <w:rPr>
          <w:color w:val="231F20"/>
          <w:spacing w:val="-2"/>
        </w:rPr>
        <w:t>soit,</w:t>
      </w:r>
      <w:r>
        <w:rPr>
          <w:color w:val="231F20"/>
          <w:spacing w:val="-7"/>
        </w:rPr>
        <w:t> </w:t>
      </w:r>
      <w:r>
        <w:rPr>
          <w:color w:val="231F20"/>
          <w:spacing w:val="-2"/>
        </w:rPr>
        <w:t>Houphouët-Boigny</w:t>
      </w:r>
      <w:r>
        <w:rPr>
          <w:color w:val="231F20"/>
          <w:spacing w:val="-8"/>
        </w:rPr>
        <w:t> </w:t>
      </w:r>
      <w:r>
        <w:rPr>
          <w:color w:val="231F20"/>
          <w:spacing w:val="-2"/>
        </w:rPr>
        <w:t>est</w:t>
      </w:r>
      <w:r>
        <w:rPr>
          <w:color w:val="231F20"/>
          <w:spacing w:val="-10"/>
        </w:rPr>
        <w:t> </w:t>
      </w:r>
      <w:r>
        <w:rPr>
          <w:color w:val="231F20"/>
          <w:spacing w:val="-2"/>
        </w:rPr>
        <w:t>absent</w:t>
      </w:r>
      <w:r>
        <w:rPr>
          <w:color w:val="231F20"/>
          <w:spacing w:val="-8"/>
        </w:rPr>
        <w:t> </w:t>
      </w:r>
      <w:r>
        <w:rPr>
          <w:color w:val="231F20"/>
          <w:spacing w:val="-2"/>
        </w:rPr>
        <w:t>à </w:t>
      </w:r>
      <w:r>
        <w:rPr>
          <w:color w:val="231F20"/>
        </w:rPr>
        <w:t>la cérémonie de « prise d’armes » au Palais présidentiel</w:t>
      </w:r>
      <w:r>
        <w:rPr>
          <w:color w:val="231F20"/>
          <w:spacing w:val="-12"/>
        </w:rPr>
        <w:t> </w:t>
      </w:r>
      <w:r>
        <w:rPr>
          <w:color w:val="231F20"/>
        </w:rPr>
        <w:t>: de mémoire d’Ivoiriens,</w:t>
      </w:r>
      <w:r>
        <w:rPr>
          <w:color w:val="231F20"/>
          <w:spacing w:val="-14"/>
        </w:rPr>
        <w:t> </w:t>
      </w:r>
      <w:r>
        <w:rPr>
          <w:color w:val="231F20"/>
        </w:rPr>
        <w:t>c’est</w:t>
      </w:r>
      <w:r>
        <w:rPr>
          <w:color w:val="231F20"/>
          <w:spacing w:val="-14"/>
        </w:rPr>
        <w:t> </w:t>
      </w:r>
      <w:r>
        <w:rPr>
          <w:color w:val="231F20"/>
        </w:rPr>
        <w:t>une</w:t>
      </w:r>
      <w:r>
        <w:rPr>
          <w:color w:val="231F20"/>
          <w:spacing w:val="-12"/>
        </w:rPr>
        <w:t> </w:t>
      </w:r>
      <w:r>
        <w:rPr>
          <w:color w:val="231F20"/>
        </w:rPr>
        <w:t>première.</w:t>
      </w:r>
      <w:r>
        <w:rPr>
          <w:color w:val="231F20"/>
          <w:spacing w:val="-11"/>
        </w:rPr>
        <w:t> </w:t>
      </w:r>
      <w:r>
        <w:rPr>
          <w:color w:val="231F20"/>
        </w:rPr>
        <w:t>Le</w:t>
      </w:r>
      <w:r>
        <w:rPr>
          <w:color w:val="231F20"/>
          <w:spacing w:val="-14"/>
        </w:rPr>
        <w:t> </w:t>
      </w:r>
      <w:r>
        <w:rPr>
          <w:color w:val="231F20"/>
        </w:rPr>
        <w:t>Premier</w:t>
      </w:r>
      <w:r>
        <w:rPr>
          <w:color w:val="231F20"/>
          <w:spacing w:val="-14"/>
        </w:rPr>
        <w:t> </w:t>
      </w:r>
      <w:r>
        <w:rPr>
          <w:color w:val="231F20"/>
        </w:rPr>
        <w:t>Ministre</w:t>
      </w:r>
      <w:r>
        <w:rPr>
          <w:color w:val="231F20"/>
          <w:spacing w:val="-13"/>
        </w:rPr>
        <w:t> </w:t>
      </w:r>
      <w:r>
        <w:rPr>
          <w:color w:val="231F20"/>
        </w:rPr>
        <w:t>Alassane</w:t>
      </w:r>
      <w:r>
        <w:rPr>
          <w:color w:val="231F20"/>
          <w:spacing w:val="-14"/>
        </w:rPr>
        <w:t> </w:t>
      </w:r>
      <w:r>
        <w:rPr>
          <w:color w:val="231F20"/>
        </w:rPr>
        <w:t>Dramane Ouattara et</w:t>
      </w:r>
      <w:r>
        <w:rPr>
          <w:color w:val="231F20"/>
          <w:spacing w:val="-1"/>
        </w:rPr>
        <w:t> </w:t>
      </w:r>
      <w:r>
        <w:rPr>
          <w:color w:val="231F20"/>
        </w:rPr>
        <w:t>le</w:t>
      </w:r>
      <w:r>
        <w:rPr>
          <w:color w:val="231F20"/>
          <w:spacing w:val="-1"/>
        </w:rPr>
        <w:t> </w:t>
      </w:r>
      <w:r>
        <w:rPr>
          <w:color w:val="231F20"/>
        </w:rPr>
        <w:t>Président de l’Assemblée Nationale</w:t>
      </w:r>
      <w:r>
        <w:rPr>
          <w:color w:val="231F20"/>
          <w:spacing w:val="-1"/>
        </w:rPr>
        <w:t> </w:t>
      </w:r>
      <w:r>
        <w:rPr>
          <w:color w:val="231F20"/>
        </w:rPr>
        <w:t>Henri Konan Bédié, </w:t>
      </w:r>
      <w:r>
        <w:rPr>
          <w:color w:val="231F20"/>
          <w:spacing w:val="-2"/>
        </w:rPr>
        <w:t>côte</w:t>
      </w:r>
      <w:r>
        <w:rPr>
          <w:color w:val="231F20"/>
          <w:spacing w:val="-13"/>
        </w:rPr>
        <w:t> </w:t>
      </w:r>
      <w:r>
        <w:rPr>
          <w:color w:val="231F20"/>
          <w:spacing w:val="-2"/>
        </w:rPr>
        <w:t>à</w:t>
      </w:r>
      <w:r>
        <w:rPr>
          <w:color w:val="231F20"/>
          <w:spacing w:val="-13"/>
        </w:rPr>
        <w:t> </w:t>
      </w:r>
      <w:r>
        <w:rPr>
          <w:color w:val="231F20"/>
          <w:spacing w:val="-2"/>
        </w:rPr>
        <w:t>côte,</w:t>
      </w:r>
      <w:r>
        <w:rPr>
          <w:color w:val="231F20"/>
          <w:spacing w:val="-13"/>
        </w:rPr>
        <w:t> </w:t>
      </w:r>
      <w:r>
        <w:rPr>
          <w:color w:val="231F20"/>
          <w:spacing w:val="-2"/>
        </w:rPr>
        <w:t>pour</w:t>
      </w:r>
      <w:r>
        <w:rPr>
          <w:color w:val="231F20"/>
          <w:spacing w:val="-13"/>
        </w:rPr>
        <w:t> </w:t>
      </w:r>
      <w:r>
        <w:rPr>
          <w:color w:val="231F20"/>
          <w:spacing w:val="-2"/>
        </w:rPr>
        <w:t>l’occasion,</w:t>
      </w:r>
      <w:r>
        <w:rPr>
          <w:color w:val="231F20"/>
          <w:spacing w:val="-13"/>
        </w:rPr>
        <w:t> </w:t>
      </w:r>
      <w:r>
        <w:rPr>
          <w:color w:val="231F20"/>
          <w:spacing w:val="-2"/>
        </w:rPr>
        <w:t>co-président</w:t>
      </w:r>
      <w:r>
        <w:rPr>
          <w:color w:val="231F20"/>
          <w:spacing w:val="-11"/>
        </w:rPr>
        <w:t> </w:t>
      </w:r>
      <w:r>
        <w:rPr>
          <w:color w:val="231F20"/>
          <w:spacing w:val="-2"/>
        </w:rPr>
        <w:t>la</w:t>
      </w:r>
      <w:r>
        <w:rPr>
          <w:color w:val="231F20"/>
          <w:spacing w:val="-13"/>
        </w:rPr>
        <w:t> </w:t>
      </w:r>
      <w:r>
        <w:rPr>
          <w:color w:val="231F20"/>
          <w:spacing w:val="-2"/>
        </w:rPr>
        <w:t>cérémonie.</w:t>
      </w:r>
      <w:r>
        <w:rPr>
          <w:color w:val="231F20"/>
          <w:spacing w:val="-13"/>
        </w:rPr>
        <w:t> </w:t>
      </w:r>
      <w:r>
        <w:rPr>
          <w:color w:val="231F20"/>
          <w:spacing w:val="-2"/>
        </w:rPr>
        <w:t>L’atmosphère</w:t>
      </w:r>
      <w:r>
        <w:rPr>
          <w:color w:val="231F20"/>
          <w:spacing w:val="-13"/>
        </w:rPr>
        <w:t> </w:t>
      </w:r>
      <w:r>
        <w:rPr>
          <w:color w:val="231F20"/>
          <w:spacing w:val="-2"/>
        </w:rPr>
        <w:t>est </w:t>
      </w:r>
      <w:r>
        <w:rPr>
          <w:color w:val="231F20"/>
        </w:rPr>
        <w:t>pesante,</w:t>
      </w:r>
      <w:r>
        <w:rPr>
          <w:color w:val="231F20"/>
          <w:spacing w:val="-2"/>
        </w:rPr>
        <w:t> </w:t>
      </w:r>
      <w:r>
        <w:rPr>
          <w:color w:val="231F20"/>
        </w:rPr>
        <w:t>la rumeur enfle</w:t>
      </w:r>
      <w:r>
        <w:rPr>
          <w:color w:val="231F20"/>
          <w:spacing w:val="-15"/>
        </w:rPr>
        <w:t> </w:t>
      </w:r>
      <w:r>
        <w:rPr>
          <w:color w:val="231F20"/>
        </w:rPr>
        <w:t>: Houphouët-Boigny est</w:t>
      </w:r>
      <w:r>
        <w:rPr>
          <w:color w:val="231F20"/>
          <w:spacing w:val="-1"/>
        </w:rPr>
        <w:t> </w:t>
      </w:r>
      <w:r>
        <w:rPr>
          <w:color w:val="231F20"/>
        </w:rPr>
        <w:t>mort. Les officiels ne réagissent</w:t>
      </w:r>
      <w:r>
        <w:rPr>
          <w:color w:val="231F20"/>
          <w:spacing w:val="-2"/>
        </w:rPr>
        <w:t> </w:t>
      </w:r>
      <w:r>
        <w:rPr>
          <w:color w:val="231F20"/>
        </w:rPr>
        <w:t>pas.</w:t>
      </w:r>
      <w:r>
        <w:rPr>
          <w:color w:val="231F20"/>
          <w:spacing w:val="-4"/>
        </w:rPr>
        <w:t> </w:t>
      </w:r>
      <w:r>
        <w:rPr>
          <w:color w:val="231F20"/>
        </w:rPr>
        <w:t>Comme</w:t>
      </w:r>
      <w:r>
        <w:rPr>
          <w:color w:val="231F20"/>
          <w:spacing w:val="-5"/>
        </w:rPr>
        <w:t> </w:t>
      </w:r>
      <w:r>
        <w:rPr>
          <w:color w:val="231F20"/>
        </w:rPr>
        <w:t>une</w:t>
      </w:r>
      <w:r>
        <w:rPr>
          <w:color w:val="231F20"/>
          <w:spacing w:val="-3"/>
        </w:rPr>
        <w:t> </w:t>
      </w:r>
      <w:r>
        <w:rPr>
          <w:color w:val="231F20"/>
        </w:rPr>
        <w:t>trainée</w:t>
      </w:r>
      <w:r>
        <w:rPr>
          <w:color w:val="231F20"/>
          <w:spacing w:val="-3"/>
        </w:rPr>
        <w:t> </w:t>
      </w:r>
      <w:r>
        <w:rPr>
          <w:color w:val="231F20"/>
        </w:rPr>
        <w:t>de</w:t>
      </w:r>
      <w:r>
        <w:rPr>
          <w:color w:val="231F20"/>
          <w:spacing w:val="-5"/>
        </w:rPr>
        <w:t> </w:t>
      </w:r>
      <w:r>
        <w:rPr>
          <w:color w:val="231F20"/>
        </w:rPr>
        <w:t>poudre,</w:t>
      </w:r>
      <w:r>
        <w:rPr>
          <w:color w:val="231F20"/>
          <w:spacing w:val="-4"/>
        </w:rPr>
        <w:t> </w:t>
      </w:r>
      <w:r>
        <w:rPr>
          <w:color w:val="231F20"/>
        </w:rPr>
        <w:t>les</w:t>
      </w:r>
      <w:r>
        <w:rPr>
          <w:color w:val="231F20"/>
          <w:spacing w:val="-6"/>
        </w:rPr>
        <w:t> </w:t>
      </w:r>
      <w:r>
        <w:rPr>
          <w:color w:val="231F20"/>
        </w:rPr>
        <w:t>bruits</w:t>
      </w:r>
      <w:r>
        <w:rPr>
          <w:color w:val="231F20"/>
          <w:spacing w:val="-5"/>
        </w:rPr>
        <w:t> </w:t>
      </w:r>
      <w:r>
        <w:rPr>
          <w:color w:val="231F20"/>
        </w:rPr>
        <w:t>sur</w:t>
      </w:r>
      <w:r>
        <w:rPr>
          <w:color w:val="231F20"/>
          <w:spacing w:val="-5"/>
        </w:rPr>
        <w:t> </w:t>
      </w:r>
      <w:r>
        <w:rPr>
          <w:color w:val="231F20"/>
        </w:rPr>
        <w:t>le</w:t>
      </w:r>
      <w:r>
        <w:rPr>
          <w:color w:val="231F20"/>
          <w:spacing w:val="-6"/>
        </w:rPr>
        <w:t> </w:t>
      </w:r>
      <w:r>
        <w:rPr>
          <w:color w:val="231F20"/>
        </w:rPr>
        <w:t>décès</w:t>
      </w:r>
      <w:r>
        <w:rPr>
          <w:color w:val="231F20"/>
          <w:spacing w:val="-5"/>
        </w:rPr>
        <w:t> </w:t>
      </w:r>
      <w:r>
        <w:rPr>
          <w:color w:val="231F20"/>
        </w:rPr>
        <w:t>du président</w:t>
      </w:r>
      <w:r>
        <w:rPr>
          <w:color w:val="231F20"/>
          <w:spacing w:val="23"/>
        </w:rPr>
        <w:t> </w:t>
      </w:r>
      <w:r>
        <w:rPr>
          <w:color w:val="231F20"/>
        </w:rPr>
        <w:t>se</w:t>
      </w:r>
      <w:r>
        <w:rPr>
          <w:color w:val="231F20"/>
          <w:spacing w:val="25"/>
        </w:rPr>
        <w:t> </w:t>
      </w:r>
      <w:r>
        <w:rPr>
          <w:color w:val="231F20"/>
        </w:rPr>
        <w:t>répandent</w:t>
      </w:r>
      <w:r>
        <w:rPr>
          <w:color w:val="231F20"/>
          <w:spacing w:val="26"/>
        </w:rPr>
        <w:t> </w:t>
      </w:r>
      <w:r>
        <w:rPr>
          <w:color w:val="231F20"/>
        </w:rPr>
        <w:t>à</w:t>
      </w:r>
      <w:r>
        <w:rPr>
          <w:color w:val="231F20"/>
          <w:spacing w:val="25"/>
        </w:rPr>
        <w:t> </w:t>
      </w:r>
      <w:r>
        <w:rPr>
          <w:color w:val="231F20"/>
        </w:rPr>
        <w:t>travers</w:t>
      </w:r>
      <w:r>
        <w:rPr>
          <w:color w:val="231F20"/>
          <w:spacing w:val="25"/>
        </w:rPr>
        <w:t> </w:t>
      </w:r>
      <w:r>
        <w:rPr>
          <w:color w:val="231F20"/>
        </w:rPr>
        <w:t>tout</w:t>
      </w:r>
      <w:r>
        <w:rPr>
          <w:color w:val="231F20"/>
          <w:spacing w:val="25"/>
        </w:rPr>
        <w:t> </w:t>
      </w:r>
      <w:r>
        <w:rPr>
          <w:color w:val="231F20"/>
        </w:rPr>
        <w:t>le</w:t>
      </w:r>
      <w:r>
        <w:rPr>
          <w:color w:val="231F20"/>
          <w:spacing w:val="25"/>
        </w:rPr>
        <w:t> </w:t>
      </w:r>
      <w:r>
        <w:rPr>
          <w:color w:val="231F20"/>
        </w:rPr>
        <w:t>pays.</w:t>
      </w:r>
      <w:r>
        <w:rPr>
          <w:color w:val="231F20"/>
          <w:spacing w:val="25"/>
        </w:rPr>
        <w:t> </w:t>
      </w:r>
      <w:r>
        <w:rPr>
          <w:color w:val="231F20"/>
        </w:rPr>
        <w:t>À</w:t>
      </w:r>
      <w:r>
        <w:rPr>
          <w:color w:val="231F20"/>
          <w:spacing w:val="24"/>
        </w:rPr>
        <w:t> </w:t>
      </w:r>
      <w:r>
        <w:rPr>
          <w:color w:val="231F20"/>
        </w:rPr>
        <w:t>la</w:t>
      </w:r>
      <w:r>
        <w:rPr>
          <w:color w:val="231F20"/>
          <w:spacing w:val="25"/>
        </w:rPr>
        <w:t> </w:t>
      </w:r>
      <w:r>
        <w:rPr>
          <w:color w:val="231F20"/>
        </w:rPr>
        <w:t>mi-journée,</w:t>
      </w:r>
      <w:r>
        <w:rPr>
          <w:color w:val="231F20"/>
          <w:spacing w:val="23"/>
        </w:rPr>
        <w:t> </w:t>
      </w:r>
      <w:r>
        <w:rPr>
          <w:color w:val="231F20"/>
          <w:spacing w:val="-2"/>
        </w:rPr>
        <w:t>Radio</w:t>
      </w:r>
    </w:p>
    <w:p>
      <w:pPr>
        <w:spacing w:after="0"/>
        <w:sectPr>
          <w:pgSz w:w="8790" w:h="13610"/>
          <w:pgMar w:header="0" w:footer="802" w:top="1060" w:bottom="1000" w:left="880" w:right="880"/>
        </w:sectPr>
      </w:pPr>
    </w:p>
    <w:p>
      <w:pPr>
        <w:pStyle w:val="BodyText"/>
        <w:spacing w:before="66"/>
        <w:ind w:right="105"/>
      </w:pPr>
      <w:r>
        <w:rPr>
          <w:color w:val="231F20"/>
          <w:spacing w:val="-4"/>
        </w:rPr>
        <w:t>France</w:t>
      </w:r>
      <w:r>
        <w:rPr>
          <w:color w:val="231F20"/>
          <w:spacing w:val="-11"/>
        </w:rPr>
        <w:t> </w:t>
      </w:r>
      <w:r>
        <w:rPr>
          <w:color w:val="231F20"/>
          <w:spacing w:val="-4"/>
        </w:rPr>
        <w:t>Internationale</w:t>
      </w:r>
      <w:r>
        <w:rPr>
          <w:color w:val="231F20"/>
          <w:spacing w:val="-11"/>
        </w:rPr>
        <w:t> </w:t>
      </w:r>
      <w:r>
        <w:rPr>
          <w:color w:val="231F20"/>
          <w:spacing w:val="-4"/>
        </w:rPr>
        <w:t>(RFI)</w:t>
      </w:r>
      <w:r>
        <w:rPr>
          <w:color w:val="231F20"/>
          <w:spacing w:val="-11"/>
        </w:rPr>
        <w:t> </w:t>
      </w:r>
      <w:r>
        <w:rPr>
          <w:color w:val="231F20"/>
          <w:spacing w:val="-4"/>
        </w:rPr>
        <w:t>met</w:t>
      </w:r>
      <w:r>
        <w:rPr>
          <w:color w:val="231F20"/>
          <w:spacing w:val="-11"/>
        </w:rPr>
        <w:t> </w:t>
      </w:r>
      <w:r>
        <w:rPr>
          <w:color w:val="231F20"/>
          <w:spacing w:val="-4"/>
        </w:rPr>
        <w:t>fin</w:t>
      </w:r>
      <w:r>
        <w:rPr>
          <w:color w:val="231F20"/>
          <w:spacing w:val="-11"/>
        </w:rPr>
        <w:t> </w:t>
      </w:r>
      <w:r>
        <w:rPr>
          <w:color w:val="231F20"/>
          <w:spacing w:val="-4"/>
        </w:rPr>
        <w:t>aux</w:t>
      </w:r>
      <w:r>
        <w:rPr>
          <w:color w:val="231F20"/>
          <w:spacing w:val="-11"/>
        </w:rPr>
        <w:t> </w:t>
      </w:r>
      <w:r>
        <w:rPr>
          <w:color w:val="231F20"/>
          <w:spacing w:val="-4"/>
        </w:rPr>
        <w:t>spéculations</w:t>
      </w:r>
      <w:r>
        <w:rPr>
          <w:color w:val="231F20"/>
          <w:spacing w:val="-11"/>
        </w:rPr>
        <w:t> </w:t>
      </w:r>
      <w:r>
        <w:rPr>
          <w:color w:val="231F20"/>
          <w:spacing w:val="-4"/>
        </w:rPr>
        <w:t>des</w:t>
      </w:r>
      <w:r>
        <w:rPr>
          <w:color w:val="231F20"/>
          <w:spacing w:val="-11"/>
        </w:rPr>
        <w:t> </w:t>
      </w:r>
      <w:r>
        <w:rPr>
          <w:color w:val="231F20"/>
          <w:spacing w:val="-4"/>
        </w:rPr>
        <w:t>uns</w:t>
      </w:r>
      <w:r>
        <w:rPr>
          <w:color w:val="231F20"/>
          <w:spacing w:val="-11"/>
        </w:rPr>
        <w:t> </w:t>
      </w:r>
      <w:r>
        <w:rPr>
          <w:color w:val="231F20"/>
          <w:spacing w:val="-4"/>
        </w:rPr>
        <w:t>et</w:t>
      </w:r>
      <w:r>
        <w:rPr>
          <w:color w:val="231F20"/>
          <w:spacing w:val="-11"/>
        </w:rPr>
        <w:t> </w:t>
      </w:r>
      <w:r>
        <w:rPr>
          <w:color w:val="231F20"/>
          <w:spacing w:val="-4"/>
        </w:rPr>
        <w:t>des</w:t>
      </w:r>
      <w:r>
        <w:rPr>
          <w:color w:val="231F20"/>
          <w:spacing w:val="-11"/>
        </w:rPr>
        <w:t> </w:t>
      </w:r>
      <w:r>
        <w:rPr>
          <w:color w:val="231F20"/>
          <w:spacing w:val="-4"/>
        </w:rPr>
        <w:t>autres</w:t>
      </w:r>
      <w:r>
        <w:rPr>
          <w:color w:val="231F20"/>
          <w:spacing w:val="-11"/>
        </w:rPr>
        <w:t> </w:t>
      </w:r>
      <w:r>
        <w:rPr>
          <w:color w:val="231F20"/>
          <w:spacing w:val="-4"/>
        </w:rPr>
        <w:t>: </w:t>
      </w:r>
      <w:r>
        <w:rPr>
          <w:color w:val="231F20"/>
        </w:rPr>
        <w:t>la mort du</w:t>
      </w:r>
      <w:r>
        <w:rPr>
          <w:color w:val="231F20"/>
          <w:spacing w:val="-2"/>
        </w:rPr>
        <w:t> </w:t>
      </w:r>
      <w:r>
        <w:rPr>
          <w:color w:val="231F20"/>
        </w:rPr>
        <w:t>« père</w:t>
      </w:r>
      <w:r>
        <w:rPr>
          <w:color w:val="231F20"/>
          <w:spacing w:val="-2"/>
        </w:rPr>
        <w:t> </w:t>
      </w:r>
      <w:r>
        <w:rPr>
          <w:color w:val="231F20"/>
        </w:rPr>
        <w:t>de la Nation</w:t>
      </w:r>
      <w:r>
        <w:rPr>
          <w:color w:val="231F20"/>
          <w:spacing w:val="-2"/>
        </w:rPr>
        <w:t> </w:t>
      </w:r>
      <w:r>
        <w:rPr>
          <w:color w:val="231F20"/>
        </w:rPr>
        <w:t>» est annoncée.</w:t>
      </w:r>
    </w:p>
    <w:p>
      <w:pPr>
        <w:spacing w:before="120"/>
        <w:ind w:left="111" w:right="105" w:firstLine="283"/>
        <w:jc w:val="both"/>
        <w:rPr>
          <w:i/>
          <w:sz w:val="24"/>
        </w:rPr>
      </w:pPr>
      <w:r>
        <w:rPr>
          <w:color w:val="231F20"/>
          <w:spacing w:val="-2"/>
          <w:sz w:val="24"/>
        </w:rPr>
        <w:t>Ce</w:t>
      </w:r>
      <w:r>
        <w:rPr>
          <w:color w:val="231F20"/>
          <w:spacing w:val="-9"/>
          <w:sz w:val="24"/>
        </w:rPr>
        <w:t> </w:t>
      </w:r>
      <w:r>
        <w:rPr>
          <w:color w:val="231F20"/>
          <w:spacing w:val="-2"/>
          <w:sz w:val="24"/>
        </w:rPr>
        <w:t>7</w:t>
      </w:r>
      <w:r>
        <w:rPr>
          <w:color w:val="231F20"/>
          <w:spacing w:val="-10"/>
          <w:sz w:val="24"/>
        </w:rPr>
        <w:t> </w:t>
      </w:r>
      <w:r>
        <w:rPr>
          <w:color w:val="231F20"/>
          <w:spacing w:val="-2"/>
          <w:sz w:val="24"/>
        </w:rPr>
        <w:t>décembre,</w:t>
      </w:r>
      <w:r>
        <w:rPr>
          <w:color w:val="231F20"/>
          <w:spacing w:val="-10"/>
          <w:sz w:val="24"/>
        </w:rPr>
        <w:t> </w:t>
      </w:r>
      <w:r>
        <w:rPr>
          <w:color w:val="231F20"/>
          <w:spacing w:val="-2"/>
          <w:sz w:val="24"/>
        </w:rPr>
        <w:t>sur</w:t>
      </w:r>
      <w:r>
        <w:rPr>
          <w:color w:val="231F20"/>
          <w:spacing w:val="-11"/>
          <w:sz w:val="24"/>
        </w:rPr>
        <w:t> </w:t>
      </w:r>
      <w:r>
        <w:rPr>
          <w:color w:val="231F20"/>
          <w:spacing w:val="-2"/>
          <w:sz w:val="24"/>
        </w:rPr>
        <w:t>les</w:t>
      </w:r>
      <w:r>
        <w:rPr>
          <w:color w:val="231F20"/>
          <w:spacing w:val="-9"/>
          <w:sz w:val="24"/>
        </w:rPr>
        <w:t> </w:t>
      </w:r>
      <w:r>
        <w:rPr>
          <w:color w:val="231F20"/>
          <w:spacing w:val="-2"/>
          <w:sz w:val="24"/>
        </w:rPr>
        <w:t>antennes</w:t>
      </w:r>
      <w:r>
        <w:rPr>
          <w:color w:val="231F20"/>
          <w:spacing w:val="-10"/>
          <w:sz w:val="24"/>
        </w:rPr>
        <w:t> </w:t>
      </w:r>
      <w:r>
        <w:rPr>
          <w:color w:val="231F20"/>
          <w:spacing w:val="-2"/>
          <w:sz w:val="24"/>
        </w:rPr>
        <w:t>de</w:t>
      </w:r>
      <w:r>
        <w:rPr>
          <w:color w:val="231F20"/>
          <w:spacing w:val="-11"/>
          <w:sz w:val="24"/>
        </w:rPr>
        <w:t> </w:t>
      </w:r>
      <w:r>
        <w:rPr>
          <w:color w:val="231F20"/>
          <w:spacing w:val="-2"/>
          <w:sz w:val="24"/>
        </w:rPr>
        <w:t>la</w:t>
      </w:r>
      <w:r>
        <w:rPr>
          <w:color w:val="231F20"/>
          <w:spacing w:val="-8"/>
          <w:sz w:val="24"/>
        </w:rPr>
        <w:t> </w:t>
      </w:r>
      <w:r>
        <w:rPr>
          <w:color w:val="231F20"/>
          <w:spacing w:val="-2"/>
          <w:sz w:val="24"/>
        </w:rPr>
        <w:t>Télévision</w:t>
      </w:r>
      <w:r>
        <w:rPr>
          <w:color w:val="231F20"/>
          <w:spacing w:val="-9"/>
          <w:sz w:val="24"/>
        </w:rPr>
        <w:t> </w:t>
      </w:r>
      <w:r>
        <w:rPr>
          <w:color w:val="231F20"/>
          <w:spacing w:val="-2"/>
          <w:sz w:val="24"/>
        </w:rPr>
        <w:t>Ivoirienne</w:t>
      </w:r>
      <w:r>
        <w:rPr>
          <w:color w:val="231F20"/>
          <w:spacing w:val="-11"/>
          <w:sz w:val="24"/>
        </w:rPr>
        <w:t> </w:t>
      </w:r>
      <w:r>
        <w:rPr>
          <w:color w:val="231F20"/>
          <w:spacing w:val="-2"/>
          <w:sz w:val="24"/>
        </w:rPr>
        <w:t>(RTI),</w:t>
      </w:r>
      <w:r>
        <w:rPr>
          <w:color w:val="231F20"/>
          <w:spacing w:val="-9"/>
          <w:sz w:val="24"/>
        </w:rPr>
        <w:t> </w:t>
      </w:r>
      <w:r>
        <w:rPr>
          <w:color w:val="231F20"/>
          <w:spacing w:val="-2"/>
          <w:sz w:val="24"/>
        </w:rPr>
        <w:t>les </w:t>
      </w:r>
      <w:r>
        <w:rPr>
          <w:color w:val="231F20"/>
          <w:sz w:val="24"/>
        </w:rPr>
        <w:t>Ivoiriens assistent à une guerre des communiqués entre les deux prétendants. Le Premier Ministre Alassane Ouattara informe </w:t>
      </w:r>
      <w:r>
        <w:rPr>
          <w:color w:val="231F20"/>
          <w:spacing w:val="-2"/>
          <w:sz w:val="24"/>
        </w:rPr>
        <w:t>officiellement</w:t>
      </w:r>
      <w:r>
        <w:rPr>
          <w:color w:val="231F20"/>
          <w:spacing w:val="-15"/>
          <w:sz w:val="24"/>
        </w:rPr>
        <w:t> </w:t>
      </w:r>
      <w:r>
        <w:rPr>
          <w:color w:val="231F20"/>
          <w:spacing w:val="-2"/>
          <w:sz w:val="24"/>
        </w:rPr>
        <w:t>à</w:t>
      </w:r>
      <w:r>
        <w:rPr>
          <w:color w:val="231F20"/>
          <w:spacing w:val="-13"/>
          <w:sz w:val="24"/>
        </w:rPr>
        <w:t> </w:t>
      </w:r>
      <w:r>
        <w:rPr>
          <w:color w:val="231F20"/>
          <w:spacing w:val="-2"/>
          <w:sz w:val="24"/>
        </w:rPr>
        <w:t>13</w:t>
      </w:r>
      <w:r>
        <w:rPr>
          <w:color w:val="231F20"/>
          <w:spacing w:val="-13"/>
          <w:sz w:val="24"/>
        </w:rPr>
        <w:t> </w:t>
      </w:r>
      <w:r>
        <w:rPr>
          <w:color w:val="231F20"/>
          <w:spacing w:val="-2"/>
          <w:sz w:val="24"/>
        </w:rPr>
        <w:t>heures,</w:t>
      </w:r>
      <w:r>
        <w:rPr>
          <w:color w:val="231F20"/>
          <w:spacing w:val="-13"/>
          <w:sz w:val="24"/>
        </w:rPr>
        <w:t> </w:t>
      </w:r>
      <w:r>
        <w:rPr>
          <w:color w:val="231F20"/>
          <w:spacing w:val="-2"/>
          <w:sz w:val="24"/>
        </w:rPr>
        <w:t>la</w:t>
      </w:r>
      <w:r>
        <w:rPr>
          <w:color w:val="231F20"/>
          <w:spacing w:val="-13"/>
          <w:sz w:val="24"/>
        </w:rPr>
        <w:t> </w:t>
      </w:r>
      <w:r>
        <w:rPr>
          <w:color w:val="231F20"/>
          <w:spacing w:val="-2"/>
          <w:sz w:val="24"/>
        </w:rPr>
        <w:t>nation</w:t>
      </w:r>
      <w:r>
        <w:rPr>
          <w:color w:val="231F20"/>
          <w:spacing w:val="-13"/>
          <w:sz w:val="24"/>
        </w:rPr>
        <w:t> </w:t>
      </w:r>
      <w:r>
        <w:rPr>
          <w:color w:val="231F20"/>
          <w:spacing w:val="-2"/>
          <w:sz w:val="24"/>
        </w:rPr>
        <w:t>:</w:t>
      </w:r>
      <w:r>
        <w:rPr>
          <w:color w:val="231F20"/>
          <w:spacing w:val="-13"/>
          <w:sz w:val="24"/>
        </w:rPr>
        <w:t> </w:t>
      </w:r>
      <w:r>
        <w:rPr>
          <w:i/>
          <w:color w:val="231F20"/>
          <w:spacing w:val="-2"/>
          <w:sz w:val="24"/>
        </w:rPr>
        <w:t>«</w:t>
      </w:r>
      <w:r>
        <w:rPr>
          <w:i/>
          <w:color w:val="231F20"/>
          <w:spacing w:val="-13"/>
          <w:sz w:val="24"/>
        </w:rPr>
        <w:t> </w:t>
      </w:r>
      <w:r>
        <w:rPr>
          <w:i/>
          <w:color w:val="231F20"/>
          <w:spacing w:val="-2"/>
          <w:sz w:val="24"/>
        </w:rPr>
        <w:t>la</w:t>
      </w:r>
      <w:r>
        <w:rPr>
          <w:i/>
          <w:color w:val="231F20"/>
          <w:spacing w:val="-13"/>
          <w:sz w:val="24"/>
        </w:rPr>
        <w:t> </w:t>
      </w:r>
      <w:r>
        <w:rPr>
          <w:i/>
          <w:color w:val="231F20"/>
          <w:spacing w:val="-2"/>
          <w:sz w:val="24"/>
        </w:rPr>
        <w:t>Côte</w:t>
      </w:r>
      <w:r>
        <w:rPr>
          <w:i/>
          <w:color w:val="231F20"/>
          <w:spacing w:val="-13"/>
          <w:sz w:val="24"/>
        </w:rPr>
        <w:t> </w:t>
      </w:r>
      <w:r>
        <w:rPr>
          <w:i/>
          <w:color w:val="231F20"/>
          <w:spacing w:val="-2"/>
          <w:sz w:val="24"/>
        </w:rPr>
        <w:t>d’Ivoire</w:t>
      </w:r>
      <w:r>
        <w:rPr>
          <w:i/>
          <w:color w:val="231F20"/>
          <w:spacing w:val="-13"/>
          <w:sz w:val="24"/>
        </w:rPr>
        <w:t> </w:t>
      </w:r>
      <w:r>
        <w:rPr>
          <w:i/>
          <w:color w:val="231F20"/>
          <w:spacing w:val="-2"/>
          <w:sz w:val="24"/>
        </w:rPr>
        <w:t>est</w:t>
      </w:r>
      <w:r>
        <w:rPr>
          <w:i/>
          <w:color w:val="231F20"/>
          <w:spacing w:val="-13"/>
          <w:sz w:val="24"/>
        </w:rPr>
        <w:t> </w:t>
      </w:r>
      <w:r>
        <w:rPr>
          <w:i/>
          <w:color w:val="231F20"/>
          <w:spacing w:val="-2"/>
          <w:sz w:val="24"/>
        </w:rPr>
        <w:t>orpheline</w:t>
      </w:r>
      <w:r>
        <w:rPr>
          <w:i/>
          <w:color w:val="231F20"/>
          <w:spacing w:val="-13"/>
          <w:sz w:val="24"/>
        </w:rPr>
        <w:t> </w:t>
      </w:r>
      <w:r>
        <w:rPr>
          <w:i/>
          <w:color w:val="231F20"/>
          <w:spacing w:val="-2"/>
          <w:sz w:val="24"/>
        </w:rPr>
        <w:t>(…)</w:t>
      </w:r>
      <w:r>
        <w:rPr>
          <w:i/>
          <w:color w:val="231F20"/>
          <w:spacing w:val="-2"/>
          <w:sz w:val="24"/>
        </w:rPr>
        <w:t> </w:t>
      </w:r>
      <w:r>
        <w:rPr>
          <w:i/>
          <w:color w:val="231F20"/>
          <w:sz w:val="24"/>
        </w:rPr>
        <w:t>je</w:t>
      </w:r>
      <w:r>
        <w:rPr>
          <w:i/>
          <w:color w:val="231F20"/>
          <w:spacing w:val="-11"/>
          <w:sz w:val="24"/>
        </w:rPr>
        <w:t> </w:t>
      </w:r>
      <w:r>
        <w:rPr>
          <w:i/>
          <w:color w:val="231F20"/>
          <w:sz w:val="24"/>
        </w:rPr>
        <w:t>décrète</w:t>
      </w:r>
      <w:r>
        <w:rPr>
          <w:i/>
          <w:color w:val="231F20"/>
          <w:spacing w:val="-11"/>
          <w:sz w:val="24"/>
        </w:rPr>
        <w:t> </w:t>
      </w:r>
      <w:r>
        <w:rPr>
          <w:i/>
          <w:color w:val="231F20"/>
          <w:sz w:val="24"/>
        </w:rPr>
        <w:t>le</w:t>
      </w:r>
      <w:r>
        <w:rPr>
          <w:i/>
          <w:color w:val="231F20"/>
          <w:spacing w:val="-10"/>
          <w:sz w:val="24"/>
        </w:rPr>
        <w:t> </w:t>
      </w:r>
      <w:r>
        <w:rPr>
          <w:i/>
          <w:color w:val="231F20"/>
          <w:sz w:val="24"/>
        </w:rPr>
        <w:t>deuil</w:t>
      </w:r>
      <w:r>
        <w:rPr>
          <w:i/>
          <w:color w:val="231F20"/>
          <w:spacing w:val="-11"/>
          <w:sz w:val="24"/>
        </w:rPr>
        <w:t> </w:t>
      </w:r>
      <w:r>
        <w:rPr>
          <w:i/>
          <w:color w:val="231F20"/>
          <w:sz w:val="24"/>
        </w:rPr>
        <w:t>national</w:t>
      </w:r>
      <w:r>
        <w:rPr>
          <w:i/>
          <w:color w:val="231F20"/>
          <w:spacing w:val="-10"/>
          <w:sz w:val="24"/>
        </w:rPr>
        <w:t> </w:t>
      </w:r>
      <w:r>
        <w:rPr>
          <w:i/>
          <w:color w:val="231F20"/>
          <w:sz w:val="24"/>
        </w:rPr>
        <w:t>;</w:t>
      </w:r>
      <w:r>
        <w:rPr>
          <w:i/>
          <w:color w:val="231F20"/>
          <w:spacing w:val="-12"/>
          <w:sz w:val="24"/>
        </w:rPr>
        <w:t> </w:t>
      </w:r>
      <w:r>
        <w:rPr>
          <w:i/>
          <w:color w:val="231F20"/>
          <w:sz w:val="24"/>
        </w:rPr>
        <w:t>et</w:t>
      </w:r>
      <w:r>
        <w:rPr>
          <w:i/>
          <w:color w:val="231F20"/>
          <w:spacing w:val="-11"/>
          <w:sz w:val="24"/>
        </w:rPr>
        <w:t> </w:t>
      </w:r>
      <w:r>
        <w:rPr>
          <w:i/>
          <w:color w:val="231F20"/>
          <w:sz w:val="24"/>
        </w:rPr>
        <w:t>je</w:t>
      </w:r>
      <w:r>
        <w:rPr>
          <w:i/>
          <w:color w:val="231F20"/>
          <w:spacing w:val="-12"/>
          <w:sz w:val="24"/>
        </w:rPr>
        <w:t> </w:t>
      </w:r>
      <w:r>
        <w:rPr>
          <w:i/>
          <w:color w:val="231F20"/>
          <w:sz w:val="24"/>
        </w:rPr>
        <w:t>saisis</w:t>
      </w:r>
      <w:r>
        <w:rPr>
          <w:i/>
          <w:color w:val="231F20"/>
          <w:spacing w:val="-11"/>
          <w:sz w:val="24"/>
        </w:rPr>
        <w:t> </w:t>
      </w:r>
      <w:r>
        <w:rPr>
          <w:i/>
          <w:color w:val="231F20"/>
          <w:sz w:val="24"/>
        </w:rPr>
        <w:t>la</w:t>
      </w:r>
      <w:r>
        <w:rPr>
          <w:i/>
          <w:color w:val="231F20"/>
          <w:spacing w:val="-11"/>
          <w:sz w:val="24"/>
        </w:rPr>
        <w:t> </w:t>
      </w:r>
      <w:r>
        <w:rPr>
          <w:i/>
          <w:color w:val="231F20"/>
          <w:sz w:val="24"/>
        </w:rPr>
        <w:t>Cour</w:t>
      </w:r>
      <w:r>
        <w:rPr>
          <w:i/>
          <w:color w:val="231F20"/>
          <w:spacing w:val="-11"/>
          <w:sz w:val="24"/>
        </w:rPr>
        <w:t> </w:t>
      </w:r>
      <w:r>
        <w:rPr>
          <w:i/>
          <w:color w:val="231F20"/>
          <w:sz w:val="24"/>
        </w:rPr>
        <w:t>suprême</w:t>
      </w:r>
      <w:r>
        <w:rPr>
          <w:i/>
          <w:color w:val="231F20"/>
          <w:spacing w:val="-10"/>
          <w:sz w:val="24"/>
        </w:rPr>
        <w:t> </w:t>
      </w:r>
      <w:r>
        <w:rPr>
          <w:i/>
          <w:color w:val="231F20"/>
          <w:sz w:val="24"/>
        </w:rPr>
        <w:t>pour</w:t>
      </w:r>
      <w:r>
        <w:rPr>
          <w:i/>
          <w:color w:val="231F20"/>
          <w:spacing w:val="-11"/>
          <w:sz w:val="24"/>
        </w:rPr>
        <w:t> </w:t>
      </w:r>
      <w:r>
        <w:rPr>
          <w:i/>
          <w:color w:val="231F20"/>
          <w:sz w:val="24"/>
        </w:rPr>
        <w:t>constater la vacance du pouvoir, un pouvoir que le cher défunt m’a confié au moment d’aller à Paris attendre sa mort annoncée et que je tiens et </w:t>
      </w:r>
      <w:r>
        <w:rPr>
          <w:i/>
          <w:color w:val="231F20"/>
          <w:spacing w:val="-2"/>
          <w:sz w:val="24"/>
        </w:rPr>
        <w:t>tiendrai</w:t>
      </w:r>
      <w:r>
        <w:rPr>
          <w:i/>
          <w:color w:val="231F20"/>
          <w:spacing w:val="-10"/>
          <w:sz w:val="24"/>
        </w:rPr>
        <w:t> </w:t>
      </w:r>
      <w:r>
        <w:rPr>
          <w:i/>
          <w:color w:val="231F20"/>
          <w:spacing w:val="-2"/>
          <w:sz w:val="24"/>
        </w:rPr>
        <w:t>d’une</w:t>
      </w:r>
      <w:r>
        <w:rPr>
          <w:i/>
          <w:color w:val="231F20"/>
          <w:spacing w:val="-5"/>
          <w:sz w:val="24"/>
        </w:rPr>
        <w:t> </w:t>
      </w:r>
      <w:r>
        <w:rPr>
          <w:i/>
          <w:color w:val="231F20"/>
          <w:spacing w:val="-2"/>
          <w:sz w:val="24"/>
        </w:rPr>
        <w:t>main</w:t>
      </w:r>
      <w:r>
        <w:rPr>
          <w:i/>
          <w:color w:val="231F20"/>
          <w:spacing w:val="-8"/>
          <w:sz w:val="24"/>
        </w:rPr>
        <w:t> </w:t>
      </w:r>
      <w:r>
        <w:rPr>
          <w:i/>
          <w:color w:val="231F20"/>
          <w:spacing w:val="-2"/>
          <w:sz w:val="24"/>
        </w:rPr>
        <w:t>ferme</w:t>
      </w:r>
      <w:r>
        <w:rPr>
          <w:i/>
          <w:color w:val="231F20"/>
          <w:spacing w:val="-8"/>
          <w:sz w:val="24"/>
        </w:rPr>
        <w:t> </w:t>
      </w:r>
      <w:r>
        <w:rPr>
          <w:i/>
          <w:color w:val="231F20"/>
          <w:spacing w:val="-2"/>
          <w:sz w:val="24"/>
        </w:rPr>
        <w:t>tant</w:t>
      </w:r>
      <w:r>
        <w:rPr>
          <w:i/>
          <w:color w:val="231F20"/>
          <w:spacing w:val="-4"/>
          <w:sz w:val="24"/>
        </w:rPr>
        <w:t> </w:t>
      </w:r>
      <w:r>
        <w:rPr>
          <w:i/>
          <w:color w:val="231F20"/>
          <w:spacing w:val="-2"/>
          <w:sz w:val="24"/>
        </w:rPr>
        <w:t>que</w:t>
      </w:r>
      <w:r>
        <w:rPr>
          <w:i/>
          <w:color w:val="231F20"/>
          <w:spacing w:val="-9"/>
          <w:sz w:val="24"/>
        </w:rPr>
        <w:t> </w:t>
      </w:r>
      <w:r>
        <w:rPr>
          <w:i/>
          <w:color w:val="231F20"/>
          <w:spacing w:val="-2"/>
          <w:sz w:val="24"/>
        </w:rPr>
        <w:t>la</w:t>
      </w:r>
      <w:r>
        <w:rPr>
          <w:i/>
          <w:color w:val="231F20"/>
          <w:spacing w:val="-7"/>
          <w:sz w:val="24"/>
        </w:rPr>
        <w:t> </w:t>
      </w:r>
      <w:r>
        <w:rPr>
          <w:i/>
          <w:color w:val="231F20"/>
          <w:spacing w:val="-2"/>
          <w:sz w:val="24"/>
        </w:rPr>
        <w:t>Cour</w:t>
      </w:r>
      <w:r>
        <w:rPr>
          <w:i/>
          <w:color w:val="231F20"/>
          <w:spacing w:val="-7"/>
          <w:sz w:val="24"/>
        </w:rPr>
        <w:t> </w:t>
      </w:r>
      <w:r>
        <w:rPr>
          <w:i/>
          <w:color w:val="231F20"/>
          <w:spacing w:val="-2"/>
          <w:sz w:val="24"/>
        </w:rPr>
        <w:t>suprême</w:t>
      </w:r>
      <w:r>
        <w:rPr>
          <w:i/>
          <w:color w:val="231F20"/>
          <w:spacing w:val="-6"/>
          <w:sz w:val="24"/>
        </w:rPr>
        <w:t> </w:t>
      </w:r>
      <w:r>
        <w:rPr>
          <w:i/>
          <w:color w:val="231F20"/>
          <w:spacing w:val="-2"/>
          <w:sz w:val="24"/>
        </w:rPr>
        <w:t>n’aura</w:t>
      </w:r>
      <w:r>
        <w:rPr>
          <w:i/>
          <w:color w:val="231F20"/>
          <w:spacing w:val="-7"/>
          <w:sz w:val="24"/>
        </w:rPr>
        <w:t> </w:t>
      </w:r>
      <w:r>
        <w:rPr>
          <w:i/>
          <w:color w:val="231F20"/>
          <w:spacing w:val="-2"/>
          <w:sz w:val="24"/>
        </w:rPr>
        <w:t>pas</w:t>
      </w:r>
      <w:r>
        <w:rPr>
          <w:i/>
          <w:color w:val="231F20"/>
          <w:spacing w:val="-7"/>
          <w:sz w:val="24"/>
        </w:rPr>
        <w:t> </w:t>
      </w:r>
      <w:r>
        <w:rPr>
          <w:i/>
          <w:color w:val="231F20"/>
          <w:spacing w:val="-2"/>
          <w:sz w:val="24"/>
        </w:rPr>
        <w:t>statué…</w:t>
      </w:r>
    </w:p>
    <w:p>
      <w:pPr>
        <w:spacing w:before="1"/>
        <w:ind w:left="111" w:right="0" w:firstLine="0"/>
        <w:jc w:val="left"/>
        <w:rPr>
          <w:i/>
          <w:sz w:val="24"/>
        </w:rPr>
      </w:pPr>
      <w:r>
        <w:rPr>
          <w:i/>
          <w:color w:val="231F20"/>
          <w:spacing w:val="-10"/>
          <w:sz w:val="24"/>
        </w:rPr>
        <w:t>»</w:t>
      </w:r>
    </w:p>
    <w:p>
      <w:pPr>
        <w:spacing w:before="120"/>
        <w:ind w:left="111" w:right="105" w:firstLine="283"/>
        <w:jc w:val="both"/>
        <w:rPr>
          <w:sz w:val="24"/>
        </w:rPr>
      </w:pPr>
      <w:r>
        <w:rPr>
          <w:color w:val="231F20"/>
          <w:spacing w:val="-2"/>
          <w:sz w:val="24"/>
        </w:rPr>
        <w:t>Après</w:t>
      </w:r>
      <w:r>
        <w:rPr>
          <w:color w:val="231F20"/>
          <w:spacing w:val="-13"/>
          <w:sz w:val="24"/>
        </w:rPr>
        <w:t> </w:t>
      </w:r>
      <w:r>
        <w:rPr>
          <w:color w:val="231F20"/>
          <w:spacing w:val="-2"/>
          <w:sz w:val="24"/>
        </w:rPr>
        <w:t>son</w:t>
      </w:r>
      <w:r>
        <w:rPr>
          <w:color w:val="231F20"/>
          <w:spacing w:val="-13"/>
          <w:sz w:val="24"/>
        </w:rPr>
        <w:t> </w:t>
      </w:r>
      <w:r>
        <w:rPr>
          <w:color w:val="231F20"/>
          <w:spacing w:val="-2"/>
          <w:sz w:val="24"/>
        </w:rPr>
        <w:t>annonce,</w:t>
      </w:r>
      <w:r>
        <w:rPr>
          <w:color w:val="231F20"/>
          <w:spacing w:val="-13"/>
          <w:sz w:val="24"/>
        </w:rPr>
        <w:t> </w:t>
      </w:r>
      <w:r>
        <w:rPr>
          <w:color w:val="231F20"/>
          <w:spacing w:val="-2"/>
          <w:sz w:val="24"/>
        </w:rPr>
        <w:t>une</w:t>
      </w:r>
      <w:r>
        <w:rPr>
          <w:color w:val="231F20"/>
          <w:spacing w:val="-13"/>
          <w:sz w:val="24"/>
        </w:rPr>
        <w:t> </w:t>
      </w:r>
      <w:r>
        <w:rPr>
          <w:color w:val="231F20"/>
          <w:spacing w:val="-2"/>
          <w:sz w:val="24"/>
        </w:rPr>
        <w:t>compagnie</w:t>
      </w:r>
      <w:r>
        <w:rPr>
          <w:color w:val="231F20"/>
          <w:spacing w:val="-11"/>
          <w:sz w:val="24"/>
        </w:rPr>
        <w:t> </w:t>
      </w:r>
      <w:r>
        <w:rPr>
          <w:color w:val="231F20"/>
          <w:spacing w:val="-2"/>
          <w:sz w:val="24"/>
        </w:rPr>
        <w:t>entière</w:t>
      </w:r>
      <w:r>
        <w:rPr>
          <w:color w:val="231F20"/>
          <w:spacing w:val="-13"/>
          <w:sz w:val="24"/>
        </w:rPr>
        <w:t> </w:t>
      </w:r>
      <w:r>
        <w:rPr>
          <w:color w:val="231F20"/>
          <w:spacing w:val="-2"/>
          <w:sz w:val="24"/>
        </w:rPr>
        <w:t>de</w:t>
      </w:r>
      <w:r>
        <w:rPr>
          <w:color w:val="231F20"/>
          <w:spacing w:val="-13"/>
          <w:sz w:val="24"/>
        </w:rPr>
        <w:t> </w:t>
      </w:r>
      <w:r>
        <w:rPr>
          <w:color w:val="231F20"/>
          <w:spacing w:val="-2"/>
          <w:sz w:val="24"/>
        </w:rPr>
        <w:t>soldats</w:t>
      </w:r>
      <w:r>
        <w:rPr>
          <w:color w:val="231F20"/>
          <w:spacing w:val="-12"/>
          <w:sz w:val="24"/>
        </w:rPr>
        <w:t> </w:t>
      </w:r>
      <w:r>
        <w:rPr>
          <w:color w:val="231F20"/>
          <w:spacing w:val="-2"/>
          <w:sz w:val="24"/>
        </w:rPr>
        <w:t>encercle</w:t>
      </w:r>
      <w:r>
        <w:rPr>
          <w:color w:val="231F20"/>
          <w:spacing w:val="-12"/>
          <w:sz w:val="24"/>
        </w:rPr>
        <w:t> </w:t>
      </w:r>
      <w:r>
        <w:rPr>
          <w:color w:val="231F20"/>
          <w:spacing w:val="-2"/>
          <w:sz w:val="24"/>
        </w:rPr>
        <w:t>la</w:t>
      </w:r>
      <w:r>
        <w:rPr>
          <w:color w:val="231F20"/>
          <w:spacing w:val="-13"/>
          <w:sz w:val="24"/>
        </w:rPr>
        <w:t> </w:t>
      </w:r>
      <w:r>
        <w:rPr>
          <w:color w:val="231F20"/>
          <w:spacing w:val="-2"/>
          <w:sz w:val="24"/>
        </w:rPr>
        <w:t>RTI. </w:t>
      </w:r>
      <w:r>
        <w:rPr>
          <w:color w:val="231F20"/>
          <w:sz w:val="24"/>
        </w:rPr>
        <w:t>Vers</w:t>
      </w:r>
      <w:r>
        <w:rPr>
          <w:color w:val="231F20"/>
          <w:spacing w:val="-10"/>
          <w:sz w:val="24"/>
        </w:rPr>
        <w:t> </w:t>
      </w:r>
      <w:r>
        <w:rPr>
          <w:color w:val="231F20"/>
          <w:sz w:val="24"/>
        </w:rPr>
        <w:t>la</w:t>
      </w:r>
      <w:r>
        <w:rPr>
          <w:color w:val="231F20"/>
          <w:spacing w:val="-12"/>
          <w:sz w:val="24"/>
        </w:rPr>
        <w:t> </w:t>
      </w:r>
      <w:r>
        <w:rPr>
          <w:color w:val="231F20"/>
          <w:sz w:val="24"/>
        </w:rPr>
        <w:t>mi-journée</w:t>
      </w:r>
      <w:r>
        <w:rPr>
          <w:color w:val="231F20"/>
          <w:spacing w:val="-10"/>
          <w:sz w:val="24"/>
        </w:rPr>
        <w:t> </w:t>
      </w:r>
      <w:r>
        <w:rPr>
          <w:color w:val="231F20"/>
          <w:sz w:val="24"/>
        </w:rPr>
        <w:t>Bédié</w:t>
      </w:r>
      <w:r>
        <w:rPr>
          <w:color w:val="231F20"/>
          <w:spacing w:val="-12"/>
          <w:sz w:val="24"/>
        </w:rPr>
        <w:t> </w:t>
      </w:r>
      <w:r>
        <w:rPr>
          <w:color w:val="231F20"/>
          <w:sz w:val="24"/>
        </w:rPr>
        <w:t>escorté</w:t>
      </w:r>
      <w:r>
        <w:rPr>
          <w:color w:val="231F20"/>
          <w:spacing w:val="-12"/>
          <w:sz w:val="24"/>
        </w:rPr>
        <w:t> </w:t>
      </w:r>
      <w:r>
        <w:rPr>
          <w:color w:val="231F20"/>
          <w:sz w:val="24"/>
        </w:rPr>
        <w:t>par</w:t>
      </w:r>
      <w:r>
        <w:rPr>
          <w:color w:val="231F20"/>
          <w:spacing w:val="-10"/>
          <w:sz w:val="24"/>
        </w:rPr>
        <w:t> </w:t>
      </w:r>
      <w:r>
        <w:rPr>
          <w:color w:val="231F20"/>
          <w:sz w:val="24"/>
        </w:rPr>
        <w:t>une</w:t>
      </w:r>
      <w:r>
        <w:rPr>
          <w:color w:val="231F20"/>
          <w:spacing w:val="-10"/>
          <w:sz w:val="24"/>
        </w:rPr>
        <w:t> </w:t>
      </w:r>
      <w:r>
        <w:rPr>
          <w:color w:val="231F20"/>
          <w:sz w:val="24"/>
        </w:rPr>
        <w:t>division</w:t>
      </w:r>
      <w:r>
        <w:rPr>
          <w:color w:val="231F20"/>
          <w:spacing w:val="-12"/>
          <w:sz w:val="24"/>
        </w:rPr>
        <w:t> </w:t>
      </w:r>
      <w:r>
        <w:rPr>
          <w:color w:val="231F20"/>
          <w:sz w:val="24"/>
        </w:rPr>
        <w:t>entière</w:t>
      </w:r>
      <w:r>
        <w:rPr>
          <w:color w:val="231F20"/>
          <w:spacing w:val="-10"/>
          <w:sz w:val="24"/>
        </w:rPr>
        <w:t> </w:t>
      </w:r>
      <w:r>
        <w:rPr>
          <w:color w:val="231F20"/>
          <w:sz w:val="24"/>
        </w:rPr>
        <w:t>d’éléments</w:t>
      </w:r>
      <w:r>
        <w:rPr>
          <w:color w:val="231F20"/>
          <w:spacing w:val="-12"/>
          <w:sz w:val="24"/>
        </w:rPr>
        <w:t> </w:t>
      </w:r>
      <w:r>
        <w:rPr>
          <w:color w:val="231F20"/>
          <w:sz w:val="24"/>
        </w:rPr>
        <w:t>de la</w:t>
      </w:r>
      <w:r>
        <w:rPr>
          <w:color w:val="231F20"/>
          <w:spacing w:val="-7"/>
          <w:sz w:val="24"/>
        </w:rPr>
        <w:t> </w:t>
      </w:r>
      <w:r>
        <w:rPr>
          <w:color w:val="231F20"/>
          <w:sz w:val="24"/>
        </w:rPr>
        <w:t>gendarmerie</w:t>
      </w:r>
      <w:r>
        <w:rPr>
          <w:color w:val="231F20"/>
          <w:spacing w:val="-7"/>
          <w:sz w:val="24"/>
        </w:rPr>
        <w:t> </w:t>
      </w:r>
      <w:r>
        <w:rPr>
          <w:color w:val="231F20"/>
          <w:sz w:val="24"/>
        </w:rPr>
        <w:t>arrive</w:t>
      </w:r>
      <w:r>
        <w:rPr>
          <w:color w:val="231F20"/>
          <w:spacing w:val="-7"/>
          <w:sz w:val="24"/>
        </w:rPr>
        <w:t> </w:t>
      </w:r>
      <w:r>
        <w:rPr>
          <w:color w:val="231F20"/>
          <w:sz w:val="24"/>
        </w:rPr>
        <w:t>à</w:t>
      </w:r>
      <w:r>
        <w:rPr>
          <w:color w:val="231F20"/>
          <w:spacing w:val="-9"/>
          <w:sz w:val="24"/>
        </w:rPr>
        <w:t> </w:t>
      </w:r>
      <w:r>
        <w:rPr>
          <w:color w:val="231F20"/>
          <w:sz w:val="24"/>
        </w:rPr>
        <w:t>son</w:t>
      </w:r>
      <w:r>
        <w:rPr>
          <w:color w:val="231F20"/>
          <w:spacing w:val="-7"/>
          <w:sz w:val="24"/>
        </w:rPr>
        <w:t> </w:t>
      </w:r>
      <w:r>
        <w:rPr>
          <w:color w:val="231F20"/>
          <w:sz w:val="24"/>
        </w:rPr>
        <w:t>tour</w:t>
      </w:r>
      <w:r>
        <w:rPr>
          <w:color w:val="231F20"/>
          <w:spacing w:val="-7"/>
          <w:sz w:val="24"/>
        </w:rPr>
        <w:t> </w:t>
      </w:r>
      <w:r>
        <w:rPr>
          <w:color w:val="231F20"/>
          <w:sz w:val="24"/>
        </w:rPr>
        <w:t>aux</w:t>
      </w:r>
      <w:r>
        <w:rPr>
          <w:color w:val="231F20"/>
          <w:spacing w:val="-8"/>
          <w:sz w:val="24"/>
        </w:rPr>
        <w:t> </w:t>
      </w:r>
      <w:r>
        <w:rPr>
          <w:color w:val="231F20"/>
          <w:sz w:val="24"/>
        </w:rPr>
        <w:t>portes</w:t>
      </w:r>
      <w:r>
        <w:rPr>
          <w:color w:val="231F20"/>
          <w:spacing w:val="-7"/>
          <w:sz w:val="24"/>
        </w:rPr>
        <w:t> </w:t>
      </w:r>
      <w:r>
        <w:rPr>
          <w:color w:val="231F20"/>
          <w:sz w:val="24"/>
        </w:rPr>
        <w:t>de</w:t>
      </w:r>
      <w:r>
        <w:rPr>
          <w:color w:val="231F20"/>
          <w:spacing w:val="-8"/>
          <w:sz w:val="24"/>
        </w:rPr>
        <w:t> </w:t>
      </w:r>
      <w:r>
        <w:rPr>
          <w:color w:val="231F20"/>
          <w:sz w:val="24"/>
        </w:rPr>
        <w:t>la</w:t>
      </w:r>
      <w:r>
        <w:rPr>
          <w:color w:val="231F20"/>
          <w:spacing w:val="-8"/>
          <w:sz w:val="24"/>
        </w:rPr>
        <w:t> </w:t>
      </w:r>
      <w:r>
        <w:rPr>
          <w:color w:val="231F20"/>
          <w:sz w:val="24"/>
        </w:rPr>
        <w:t>RTI.</w:t>
      </w:r>
      <w:r>
        <w:rPr>
          <w:color w:val="231F20"/>
          <w:spacing w:val="-7"/>
          <w:sz w:val="24"/>
        </w:rPr>
        <w:t> </w:t>
      </w:r>
      <w:r>
        <w:rPr>
          <w:color w:val="231F20"/>
          <w:sz w:val="24"/>
        </w:rPr>
        <w:t>Le</w:t>
      </w:r>
      <w:r>
        <w:rPr>
          <w:color w:val="231F20"/>
          <w:spacing w:val="-7"/>
          <w:sz w:val="24"/>
        </w:rPr>
        <w:t> </w:t>
      </w:r>
      <w:r>
        <w:rPr>
          <w:color w:val="231F20"/>
          <w:sz w:val="24"/>
        </w:rPr>
        <w:t>face-à-face</w:t>
      </w:r>
      <w:r>
        <w:rPr>
          <w:color w:val="231F20"/>
          <w:spacing w:val="-7"/>
          <w:sz w:val="24"/>
        </w:rPr>
        <w:t> </w:t>
      </w:r>
      <w:r>
        <w:rPr>
          <w:color w:val="231F20"/>
          <w:sz w:val="24"/>
        </w:rPr>
        <w:t>de </w:t>
      </w:r>
      <w:r>
        <w:rPr>
          <w:color w:val="231F20"/>
          <w:spacing w:val="-4"/>
          <w:sz w:val="24"/>
        </w:rPr>
        <w:t>quelques</w:t>
      </w:r>
      <w:r>
        <w:rPr>
          <w:color w:val="231F20"/>
          <w:spacing w:val="-11"/>
          <w:sz w:val="24"/>
        </w:rPr>
        <w:t> </w:t>
      </w:r>
      <w:r>
        <w:rPr>
          <w:color w:val="231F20"/>
          <w:spacing w:val="-4"/>
          <w:sz w:val="24"/>
        </w:rPr>
        <w:t>minutes</w:t>
      </w:r>
      <w:r>
        <w:rPr>
          <w:color w:val="231F20"/>
          <w:spacing w:val="-11"/>
          <w:sz w:val="24"/>
        </w:rPr>
        <w:t> </w:t>
      </w:r>
      <w:r>
        <w:rPr>
          <w:color w:val="231F20"/>
          <w:spacing w:val="-4"/>
          <w:sz w:val="24"/>
        </w:rPr>
        <w:t>entre</w:t>
      </w:r>
      <w:r>
        <w:rPr>
          <w:color w:val="231F20"/>
          <w:spacing w:val="-11"/>
          <w:sz w:val="24"/>
        </w:rPr>
        <w:t> </w:t>
      </w:r>
      <w:r>
        <w:rPr>
          <w:color w:val="231F20"/>
          <w:spacing w:val="-4"/>
          <w:sz w:val="24"/>
        </w:rPr>
        <w:t>les</w:t>
      </w:r>
      <w:r>
        <w:rPr>
          <w:color w:val="231F20"/>
          <w:spacing w:val="-11"/>
          <w:sz w:val="24"/>
        </w:rPr>
        <w:t> </w:t>
      </w:r>
      <w:r>
        <w:rPr>
          <w:color w:val="231F20"/>
          <w:spacing w:val="-4"/>
          <w:sz w:val="24"/>
        </w:rPr>
        <w:t>deux</w:t>
      </w:r>
      <w:r>
        <w:rPr>
          <w:color w:val="231F20"/>
          <w:spacing w:val="-11"/>
          <w:sz w:val="24"/>
        </w:rPr>
        <w:t> </w:t>
      </w:r>
      <w:r>
        <w:rPr>
          <w:color w:val="231F20"/>
          <w:spacing w:val="-4"/>
          <w:sz w:val="24"/>
        </w:rPr>
        <w:t>forces</w:t>
      </w:r>
      <w:r>
        <w:rPr>
          <w:color w:val="231F20"/>
          <w:spacing w:val="-11"/>
          <w:sz w:val="24"/>
        </w:rPr>
        <w:t> </w:t>
      </w:r>
      <w:r>
        <w:rPr>
          <w:color w:val="231F20"/>
          <w:spacing w:val="-4"/>
          <w:sz w:val="24"/>
        </w:rPr>
        <w:t>tourne</w:t>
      </w:r>
      <w:r>
        <w:rPr>
          <w:color w:val="231F20"/>
          <w:spacing w:val="-11"/>
          <w:sz w:val="24"/>
        </w:rPr>
        <w:t> </w:t>
      </w:r>
      <w:r>
        <w:rPr>
          <w:color w:val="231F20"/>
          <w:spacing w:val="-4"/>
          <w:sz w:val="24"/>
        </w:rPr>
        <w:t>à</w:t>
      </w:r>
      <w:r>
        <w:rPr>
          <w:color w:val="231F20"/>
          <w:spacing w:val="-11"/>
          <w:sz w:val="24"/>
        </w:rPr>
        <w:t> </w:t>
      </w:r>
      <w:r>
        <w:rPr>
          <w:color w:val="231F20"/>
          <w:spacing w:val="-4"/>
          <w:sz w:val="24"/>
        </w:rPr>
        <w:t>l’avantage</w:t>
      </w:r>
      <w:r>
        <w:rPr>
          <w:color w:val="231F20"/>
          <w:spacing w:val="-11"/>
          <w:sz w:val="24"/>
        </w:rPr>
        <w:t> </w:t>
      </w:r>
      <w:r>
        <w:rPr>
          <w:color w:val="231F20"/>
          <w:spacing w:val="-4"/>
          <w:sz w:val="24"/>
        </w:rPr>
        <w:t>des</w:t>
      </w:r>
      <w:r>
        <w:rPr>
          <w:color w:val="231F20"/>
          <w:spacing w:val="-11"/>
          <w:sz w:val="24"/>
        </w:rPr>
        <w:t> </w:t>
      </w:r>
      <w:r>
        <w:rPr>
          <w:color w:val="231F20"/>
          <w:spacing w:val="-4"/>
          <w:sz w:val="24"/>
        </w:rPr>
        <w:t>gendarmes. </w:t>
      </w:r>
      <w:r>
        <w:rPr>
          <w:color w:val="231F20"/>
          <w:sz w:val="24"/>
        </w:rPr>
        <w:t>Sans</w:t>
      </w:r>
      <w:r>
        <w:rPr>
          <w:color w:val="231F20"/>
          <w:spacing w:val="-2"/>
          <w:sz w:val="24"/>
        </w:rPr>
        <w:t> </w:t>
      </w:r>
      <w:r>
        <w:rPr>
          <w:color w:val="231F20"/>
          <w:sz w:val="24"/>
        </w:rPr>
        <w:t>un</w:t>
      </w:r>
      <w:r>
        <w:rPr>
          <w:color w:val="231F20"/>
          <w:spacing w:val="-2"/>
          <w:sz w:val="24"/>
        </w:rPr>
        <w:t> </w:t>
      </w:r>
      <w:r>
        <w:rPr>
          <w:color w:val="231F20"/>
          <w:sz w:val="24"/>
        </w:rPr>
        <w:t>coup</w:t>
      </w:r>
      <w:r>
        <w:rPr>
          <w:color w:val="231F20"/>
          <w:spacing w:val="-2"/>
          <w:sz w:val="24"/>
        </w:rPr>
        <w:t> </w:t>
      </w:r>
      <w:r>
        <w:rPr>
          <w:color w:val="231F20"/>
          <w:sz w:val="24"/>
        </w:rPr>
        <w:t>de</w:t>
      </w:r>
      <w:r>
        <w:rPr>
          <w:color w:val="231F20"/>
          <w:spacing w:val="-2"/>
          <w:sz w:val="24"/>
        </w:rPr>
        <w:t> </w:t>
      </w:r>
      <w:r>
        <w:rPr>
          <w:color w:val="231F20"/>
          <w:sz w:val="24"/>
        </w:rPr>
        <w:t>feu,</w:t>
      </w:r>
      <w:r>
        <w:rPr>
          <w:color w:val="231F20"/>
          <w:spacing w:val="-2"/>
          <w:sz w:val="24"/>
        </w:rPr>
        <w:t> </w:t>
      </w:r>
      <w:r>
        <w:rPr>
          <w:color w:val="231F20"/>
          <w:sz w:val="24"/>
        </w:rPr>
        <w:t>les</w:t>
      </w:r>
      <w:r>
        <w:rPr>
          <w:color w:val="231F20"/>
          <w:spacing w:val="-5"/>
          <w:sz w:val="24"/>
        </w:rPr>
        <w:t> </w:t>
      </w:r>
      <w:r>
        <w:rPr>
          <w:color w:val="231F20"/>
          <w:sz w:val="24"/>
        </w:rPr>
        <w:t>militaires</w:t>
      </w:r>
      <w:r>
        <w:rPr>
          <w:color w:val="231F20"/>
          <w:spacing w:val="-3"/>
          <w:sz w:val="24"/>
        </w:rPr>
        <w:t> </w:t>
      </w:r>
      <w:r>
        <w:rPr>
          <w:color w:val="231F20"/>
          <w:sz w:val="24"/>
        </w:rPr>
        <w:t>cèdent</w:t>
      </w:r>
      <w:r>
        <w:rPr>
          <w:color w:val="231F20"/>
          <w:spacing w:val="-2"/>
          <w:sz w:val="24"/>
        </w:rPr>
        <w:t> </w:t>
      </w:r>
      <w:r>
        <w:rPr>
          <w:color w:val="231F20"/>
          <w:sz w:val="24"/>
        </w:rPr>
        <w:t>le</w:t>
      </w:r>
      <w:r>
        <w:rPr>
          <w:color w:val="231F20"/>
          <w:spacing w:val="-3"/>
          <w:sz w:val="24"/>
        </w:rPr>
        <w:t> </w:t>
      </w:r>
      <w:r>
        <w:rPr>
          <w:color w:val="231F20"/>
          <w:sz w:val="24"/>
        </w:rPr>
        <w:t>passage</w:t>
      </w:r>
      <w:r>
        <w:rPr>
          <w:color w:val="231F20"/>
          <w:spacing w:val="-3"/>
          <w:sz w:val="24"/>
        </w:rPr>
        <w:t> </w:t>
      </w:r>
      <w:r>
        <w:rPr>
          <w:color w:val="231F20"/>
          <w:sz w:val="24"/>
        </w:rPr>
        <w:t>et</w:t>
      </w:r>
      <w:r>
        <w:rPr>
          <w:color w:val="231F20"/>
          <w:spacing w:val="-2"/>
          <w:sz w:val="24"/>
        </w:rPr>
        <w:t> </w:t>
      </w:r>
      <w:r>
        <w:rPr>
          <w:color w:val="231F20"/>
          <w:sz w:val="24"/>
        </w:rPr>
        <w:t>Bédié</w:t>
      </w:r>
      <w:r>
        <w:rPr>
          <w:color w:val="231F20"/>
          <w:spacing w:val="-3"/>
          <w:sz w:val="24"/>
        </w:rPr>
        <w:t> </w:t>
      </w:r>
      <w:r>
        <w:rPr>
          <w:color w:val="231F20"/>
          <w:sz w:val="24"/>
        </w:rPr>
        <w:t>entre</w:t>
      </w:r>
      <w:r>
        <w:rPr>
          <w:color w:val="231F20"/>
          <w:spacing w:val="-3"/>
          <w:sz w:val="24"/>
        </w:rPr>
        <w:t> </w:t>
      </w:r>
      <w:r>
        <w:rPr>
          <w:color w:val="231F20"/>
          <w:sz w:val="24"/>
        </w:rPr>
        <w:t>à</w:t>
      </w:r>
      <w:r>
        <w:rPr>
          <w:color w:val="231F20"/>
          <w:spacing w:val="-3"/>
          <w:sz w:val="24"/>
        </w:rPr>
        <w:t> </w:t>
      </w:r>
      <w:r>
        <w:rPr>
          <w:color w:val="231F20"/>
          <w:sz w:val="24"/>
        </w:rPr>
        <w:t>la RTI</w:t>
      </w:r>
      <w:r>
        <w:rPr>
          <w:color w:val="231F20"/>
          <w:spacing w:val="-15"/>
          <w:sz w:val="24"/>
        </w:rPr>
        <w:t> </w:t>
      </w:r>
      <w:r>
        <w:rPr>
          <w:i/>
          <w:color w:val="231F20"/>
          <w:sz w:val="24"/>
        </w:rPr>
        <w:t>:«</w:t>
      </w:r>
      <w:r>
        <w:rPr>
          <w:i/>
          <w:color w:val="231F20"/>
          <w:spacing w:val="-15"/>
          <w:sz w:val="24"/>
        </w:rPr>
        <w:t> </w:t>
      </w:r>
      <w:r>
        <w:rPr>
          <w:i/>
          <w:color w:val="231F20"/>
          <w:sz w:val="24"/>
        </w:rPr>
        <w:t>(…) La Constitution, notre loi suprême, me confère, dans cette</w:t>
      </w:r>
      <w:r>
        <w:rPr>
          <w:i/>
          <w:color w:val="231F20"/>
          <w:sz w:val="24"/>
        </w:rPr>
        <w:t> dramatique</w:t>
      </w:r>
      <w:r>
        <w:rPr>
          <w:i/>
          <w:color w:val="231F20"/>
          <w:spacing w:val="-12"/>
          <w:sz w:val="24"/>
        </w:rPr>
        <w:t> </w:t>
      </w:r>
      <w:r>
        <w:rPr>
          <w:i/>
          <w:color w:val="231F20"/>
          <w:sz w:val="24"/>
        </w:rPr>
        <w:t>situation,</w:t>
      </w:r>
      <w:r>
        <w:rPr>
          <w:i/>
          <w:color w:val="231F20"/>
          <w:spacing w:val="-14"/>
          <w:sz w:val="24"/>
        </w:rPr>
        <w:t> </w:t>
      </w:r>
      <w:r>
        <w:rPr>
          <w:i/>
          <w:color w:val="231F20"/>
          <w:sz w:val="24"/>
        </w:rPr>
        <w:t>des</w:t>
      </w:r>
      <w:r>
        <w:rPr>
          <w:i/>
          <w:color w:val="231F20"/>
          <w:spacing w:val="-13"/>
          <w:sz w:val="24"/>
        </w:rPr>
        <w:t> </w:t>
      </w:r>
      <w:r>
        <w:rPr>
          <w:i/>
          <w:color w:val="231F20"/>
          <w:sz w:val="24"/>
        </w:rPr>
        <w:t>responsabilités</w:t>
      </w:r>
      <w:r>
        <w:rPr>
          <w:i/>
          <w:color w:val="231F20"/>
          <w:spacing w:val="-12"/>
          <w:sz w:val="24"/>
        </w:rPr>
        <w:t> </w:t>
      </w:r>
      <w:r>
        <w:rPr>
          <w:i/>
          <w:color w:val="231F20"/>
          <w:sz w:val="24"/>
        </w:rPr>
        <w:t>dont</w:t>
      </w:r>
      <w:r>
        <w:rPr>
          <w:i/>
          <w:color w:val="231F20"/>
          <w:spacing w:val="-14"/>
          <w:sz w:val="24"/>
        </w:rPr>
        <w:t> </w:t>
      </w:r>
      <w:r>
        <w:rPr>
          <w:i/>
          <w:color w:val="231F20"/>
          <w:sz w:val="24"/>
        </w:rPr>
        <w:t>je</w:t>
      </w:r>
      <w:r>
        <w:rPr>
          <w:i/>
          <w:color w:val="231F20"/>
          <w:spacing w:val="-15"/>
          <w:sz w:val="24"/>
        </w:rPr>
        <w:t> </w:t>
      </w:r>
      <w:r>
        <w:rPr>
          <w:i/>
          <w:color w:val="231F20"/>
          <w:sz w:val="24"/>
        </w:rPr>
        <w:t>mesure</w:t>
      </w:r>
      <w:r>
        <w:rPr>
          <w:i/>
          <w:color w:val="231F20"/>
          <w:spacing w:val="-15"/>
          <w:sz w:val="24"/>
        </w:rPr>
        <w:t> </w:t>
      </w:r>
      <w:r>
        <w:rPr>
          <w:i/>
          <w:color w:val="231F20"/>
          <w:sz w:val="24"/>
        </w:rPr>
        <w:t>le</w:t>
      </w:r>
      <w:r>
        <w:rPr>
          <w:i/>
          <w:color w:val="231F20"/>
          <w:spacing w:val="-13"/>
          <w:sz w:val="24"/>
        </w:rPr>
        <w:t> </w:t>
      </w:r>
      <w:r>
        <w:rPr>
          <w:i/>
          <w:color w:val="231F20"/>
          <w:sz w:val="24"/>
        </w:rPr>
        <w:t>poids.</w:t>
      </w:r>
      <w:r>
        <w:rPr>
          <w:i/>
          <w:color w:val="231F20"/>
          <w:spacing w:val="-13"/>
          <w:sz w:val="24"/>
        </w:rPr>
        <w:t> </w:t>
      </w:r>
      <w:r>
        <w:rPr>
          <w:i/>
          <w:color w:val="231F20"/>
          <w:sz w:val="24"/>
        </w:rPr>
        <w:t>Je</w:t>
      </w:r>
      <w:r>
        <w:rPr>
          <w:i/>
          <w:color w:val="231F20"/>
          <w:spacing w:val="-15"/>
          <w:sz w:val="24"/>
        </w:rPr>
        <w:t> </w:t>
      </w:r>
      <w:r>
        <w:rPr>
          <w:i/>
          <w:color w:val="231F20"/>
          <w:sz w:val="24"/>
        </w:rPr>
        <w:t>les </w:t>
      </w:r>
      <w:r>
        <w:rPr>
          <w:i/>
          <w:color w:val="231F20"/>
          <w:spacing w:val="-2"/>
          <w:sz w:val="24"/>
        </w:rPr>
        <w:t>assumerai</w:t>
      </w:r>
      <w:r>
        <w:rPr>
          <w:i/>
          <w:color w:val="231F20"/>
          <w:spacing w:val="-13"/>
          <w:sz w:val="24"/>
        </w:rPr>
        <w:t> </w:t>
      </w:r>
      <w:r>
        <w:rPr>
          <w:i/>
          <w:color w:val="231F20"/>
          <w:spacing w:val="-2"/>
          <w:sz w:val="24"/>
        </w:rPr>
        <w:t>dans</w:t>
      </w:r>
      <w:r>
        <w:rPr>
          <w:i/>
          <w:color w:val="231F20"/>
          <w:spacing w:val="-13"/>
          <w:sz w:val="24"/>
        </w:rPr>
        <w:t> </w:t>
      </w:r>
      <w:r>
        <w:rPr>
          <w:i/>
          <w:color w:val="231F20"/>
          <w:spacing w:val="-2"/>
          <w:sz w:val="24"/>
        </w:rPr>
        <w:t>le</w:t>
      </w:r>
      <w:r>
        <w:rPr>
          <w:i/>
          <w:color w:val="231F20"/>
          <w:spacing w:val="-13"/>
          <w:sz w:val="24"/>
        </w:rPr>
        <w:t> </w:t>
      </w:r>
      <w:r>
        <w:rPr>
          <w:i/>
          <w:color w:val="231F20"/>
          <w:spacing w:val="-2"/>
          <w:sz w:val="24"/>
        </w:rPr>
        <w:t>droit</w:t>
      </w:r>
      <w:r>
        <w:rPr>
          <w:i/>
          <w:color w:val="231F20"/>
          <w:spacing w:val="-13"/>
          <w:sz w:val="24"/>
        </w:rPr>
        <w:t> </w:t>
      </w:r>
      <w:r>
        <w:rPr>
          <w:i/>
          <w:color w:val="231F20"/>
          <w:spacing w:val="-2"/>
          <w:sz w:val="24"/>
        </w:rPr>
        <w:t>fil</w:t>
      </w:r>
      <w:r>
        <w:rPr>
          <w:i/>
          <w:color w:val="231F20"/>
          <w:spacing w:val="-13"/>
          <w:sz w:val="24"/>
        </w:rPr>
        <w:t> </w:t>
      </w:r>
      <w:r>
        <w:rPr>
          <w:i/>
          <w:color w:val="231F20"/>
          <w:spacing w:val="-2"/>
          <w:sz w:val="24"/>
        </w:rPr>
        <w:t>de</w:t>
      </w:r>
      <w:r>
        <w:rPr>
          <w:i/>
          <w:color w:val="231F20"/>
          <w:spacing w:val="-12"/>
          <w:sz w:val="24"/>
        </w:rPr>
        <w:t> </w:t>
      </w:r>
      <w:r>
        <w:rPr>
          <w:i/>
          <w:color w:val="231F20"/>
          <w:spacing w:val="-2"/>
          <w:sz w:val="24"/>
        </w:rPr>
        <w:t>celui</w:t>
      </w:r>
      <w:r>
        <w:rPr>
          <w:i/>
          <w:color w:val="231F20"/>
          <w:spacing w:val="-10"/>
          <w:sz w:val="24"/>
        </w:rPr>
        <w:t> </w:t>
      </w:r>
      <w:r>
        <w:rPr>
          <w:i/>
          <w:color w:val="231F20"/>
          <w:spacing w:val="-2"/>
          <w:sz w:val="24"/>
        </w:rPr>
        <w:t>qui</w:t>
      </w:r>
      <w:r>
        <w:rPr>
          <w:i/>
          <w:color w:val="231F20"/>
          <w:spacing w:val="-12"/>
          <w:sz w:val="24"/>
        </w:rPr>
        <w:t> </w:t>
      </w:r>
      <w:r>
        <w:rPr>
          <w:i/>
          <w:color w:val="231F20"/>
          <w:spacing w:val="-2"/>
          <w:sz w:val="24"/>
        </w:rPr>
        <w:t>en</w:t>
      </w:r>
      <w:r>
        <w:rPr>
          <w:i/>
          <w:color w:val="231F20"/>
          <w:spacing w:val="-13"/>
          <w:sz w:val="24"/>
        </w:rPr>
        <w:t> </w:t>
      </w:r>
      <w:r>
        <w:rPr>
          <w:i/>
          <w:color w:val="231F20"/>
          <w:spacing w:val="-2"/>
          <w:sz w:val="24"/>
        </w:rPr>
        <w:t>fut</w:t>
      </w:r>
      <w:r>
        <w:rPr>
          <w:i/>
          <w:color w:val="231F20"/>
          <w:spacing w:val="-13"/>
          <w:sz w:val="24"/>
        </w:rPr>
        <w:t> </w:t>
      </w:r>
      <w:r>
        <w:rPr>
          <w:i/>
          <w:color w:val="231F20"/>
          <w:spacing w:val="-2"/>
          <w:sz w:val="24"/>
        </w:rPr>
        <w:t>l’inspirateur,</w:t>
      </w:r>
      <w:r>
        <w:rPr>
          <w:i/>
          <w:color w:val="231F20"/>
          <w:spacing w:val="-13"/>
          <w:sz w:val="24"/>
        </w:rPr>
        <w:t> </w:t>
      </w:r>
      <w:r>
        <w:rPr>
          <w:i/>
          <w:color w:val="231F20"/>
          <w:spacing w:val="-2"/>
          <w:sz w:val="24"/>
        </w:rPr>
        <w:t>et</w:t>
      </w:r>
      <w:r>
        <w:rPr>
          <w:i/>
          <w:color w:val="231F20"/>
          <w:spacing w:val="-13"/>
          <w:sz w:val="24"/>
        </w:rPr>
        <w:t> </w:t>
      </w:r>
      <w:r>
        <w:rPr>
          <w:i/>
          <w:color w:val="231F20"/>
          <w:spacing w:val="-2"/>
          <w:sz w:val="24"/>
        </w:rPr>
        <w:t>le</w:t>
      </w:r>
      <w:r>
        <w:rPr>
          <w:i/>
          <w:color w:val="231F20"/>
          <w:spacing w:val="-11"/>
          <w:sz w:val="24"/>
        </w:rPr>
        <w:t> </w:t>
      </w:r>
      <w:r>
        <w:rPr>
          <w:i/>
          <w:color w:val="231F20"/>
          <w:spacing w:val="-2"/>
          <w:sz w:val="24"/>
        </w:rPr>
        <w:t>pays</w:t>
      </w:r>
      <w:r>
        <w:rPr>
          <w:i/>
          <w:color w:val="231F20"/>
          <w:spacing w:val="-12"/>
          <w:sz w:val="24"/>
        </w:rPr>
        <w:t> </w:t>
      </w:r>
      <w:r>
        <w:rPr>
          <w:i/>
          <w:color w:val="231F20"/>
          <w:spacing w:val="-2"/>
          <w:sz w:val="24"/>
        </w:rPr>
        <w:t>sera </w:t>
      </w:r>
      <w:r>
        <w:rPr>
          <w:i/>
          <w:color w:val="231F20"/>
          <w:sz w:val="24"/>
        </w:rPr>
        <w:t>gouverné.</w:t>
      </w:r>
      <w:r>
        <w:rPr>
          <w:i/>
          <w:color w:val="231F20"/>
          <w:spacing w:val="-1"/>
          <w:sz w:val="24"/>
        </w:rPr>
        <w:t> </w:t>
      </w:r>
      <w:r>
        <w:rPr>
          <w:i/>
          <w:color w:val="231F20"/>
          <w:sz w:val="24"/>
        </w:rPr>
        <w:t>(...)</w:t>
      </w:r>
      <w:r>
        <w:rPr>
          <w:i/>
          <w:color w:val="231F20"/>
          <w:spacing w:val="-5"/>
          <w:sz w:val="24"/>
        </w:rPr>
        <w:t> </w:t>
      </w:r>
      <w:r>
        <w:rPr>
          <w:i/>
          <w:color w:val="231F20"/>
          <w:sz w:val="24"/>
        </w:rPr>
        <w:t>»</w:t>
      </w:r>
      <w:r>
        <w:rPr>
          <w:color w:val="231F20"/>
          <w:sz w:val="24"/>
        </w:rPr>
        <w:t>.</w:t>
      </w:r>
      <w:r>
        <w:rPr>
          <w:color w:val="231F20"/>
          <w:spacing w:val="-2"/>
          <w:sz w:val="24"/>
        </w:rPr>
        <w:t> </w:t>
      </w:r>
      <w:r>
        <w:rPr>
          <w:color w:val="231F20"/>
          <w:sz w:val="24"/>
        </w:rPr>
        <w:t>Une</w:t>
      </w:r>
      <w:r>
        <w:rPr>
          <w:color w:val="231F20"/>
          <w:spacing w:val="-5"/>
          <w:sz w:val="24"/>
        </w:rPr>
        <w:t> </w:t>
      </w:r>
      <w:r>
        <w:rPr>
          <w:color w:val="231F20"/>
          <w:sz w:val="24"/>
        </w:rPr>
        <w:t>déclaration</w:t>
      </w:r>
      <w:r>
        <w:rPr>
          <w:color w:val="231F20"/>
          <w:spacing w:val="-5"/>
          <w:sz w:val="24"/>
        </w:rPr>
        <w:t> </w:t>
      </w:r>
      <w:r>
        <w:rPr>
          <w:color w:val="231F20"/>
          <w:sz w:val="24"/>
        </w:rPr>
        <w:t>de</w:t>
      </w:r>
      <w:r>
        <w:rPr>
          <w:color w:val="231F20"/>
          <w:spacing w:val="-2"/>
          <w:sz w:val="24"/>
        </w:rPr>
        <w:t> </w:t>
      </w:r>
      <w:r>
        <w:rPr>
          <w:color w:val="231F20"/>
          <w:sz w:val="24"/>
        </w:rPr>
        <w:t>prise</w:t>
      </w:r>
      <w:r>
        <w:rPr>
          <w:color w:val="231F20"/>
          <w:spacing w:val="-2"/>
          <w:sz w:val="24"/>
        </w:rPr>
        <w:t> </w:t>
      </w:r>
      <w:r>
        <w:rPr>
          <w:color w:val="231F20"/>
          <w:sz w:val="24"/>
        </w:rPr>
        <w:t>du</w:t>
      </w:r>
      <w:r>
        <w:rPr>
          <w:color w:val="231F20"/>
          <w:spacing w:val="-5"/>
          <w:sz w:val="24"/>
        </w:rPr>
        <w:t> </w:t>
      </w:r>
      <w:r>
        <w:rPr>
          <w:color w:val="231F20"/>
          <w:sz w:val="24"/>
        </w:rPr>
        <w:t>pouvoir.</w:t>
      </w:r>
    </w:p>
    <w:p>
      <w:pPr>
        <w:pStyle w:val="BodyText"/>
        <w:spacing w:before="120"/>
        <w:ind w:right="105" w:firstLine="283"/>
      </w:pPr>
      <w:r>
        <w:rPr>
          <w:color w:val="231F20"/>
          <w:spacing w:val="-2"/>
        </w:rPr>
        <w:t>Deux</w:t>
      </w:r>
      <w:r>
        <w:rPr>
          <w:color w:val="231F20"/>
          <w:spacing w:val="-7"/>
        </w:rPr>
        <w:t> </w:t>
      </w:r>
      <w:r>
        <w:rPr>
          <w:color w:val="231F20"/>
          <w:spacing w:val="-2"/>
        </w:rPr>
        <w:t>communiqués,</w:t>
      </w:r>
      <w:r>
        <w:rPr>
          <w:color w:val="231F20"/>
          <w:spacing w:val="-9"/>
        </w:rPr>
        <w:t> </w:t>
      </w:r>
      <w:r>
        <w:rPr>
          <w:color w:val="231F20"/>
          <w:spacing w:val="-2"/>
        </w:rPr>
        <w:t>l’un</w:t>
      </w:r>
      <w:r>
        <w:rPr>
          <w:color w:val="231F20"/>
          <w:spacing w:val="-9"/>
        </w:rPr>
        <w:t> </w:t>
      </w:r>
      <w:r>
        <w:rPr>
          <w:color w:val="231F20"/>
          <w:spacing w:val="-2"/>
        </w:rPr>
        <w:t>par</w:t>
      </w:r>
      <w:r>
        <w:rPr>
          <w:color w:val="231F20"/>
          <w:spacing w:val="-7"/>
        </w:rPr>
        <w:t> </w:t>
      </w:r>
      <w:r>
        <w:rPr>
          <w:color w:val="231F20"/>
          <w:spacing w:val="-2"/>
        </w:rPr>
        <w:t>Alassane</w:t>
      </w:r>
      <w:r>
        <w:rPr>
          <w:color w:val="231F20"/>
          <w:spacing w:val="-7"/>
        </w:rPr>
        <w:t> </w:t>
      </w:r>
      <w:r>
        <w:rPr>
          <w:color w:val="231F20"/>
          <w:spacing w:val="-2"/>
        </w:rPr>
        <w:t>Dramane</w:t>
      </w:r>
      <w:r>
        <w:rPr>
          <w:color w:val="231F20"/>
          <w:spacing w:val="-6"/>
        </w:rPr>
        <w:t> </w:t>
      </w:r>
      <w:r>
        <w:rPr>
          <w:color w:val="231F20"/>
          <w:spacing w:val="-2"/>
        </w:rPr>
        <w:t>Ouattara,</w:t>
      </w:r>
      <w:r>
        <w:rPr>
          <w:color w:val="231F20"/>
          <w:spacing w:val="-9"/>
        </w:rPr>
        <w:t> </w:t>
      </w:r>
      <w:r>
        <w:rPr>
          <w:color w:val="231F20"/>
          <w:spacing w:val="-2"/>
        </w:rPr>
        <w:t>l’autre</w:t>
      </w:r>
      <w:r>
        <w:rPr>
          <w:color w:val="231F20"/>
          <w:spacing w:val="-7"/>
        </w:rPr>
        <w:t> </w:t>
      </w:r>
      <w:r>
        <w:rPr>
          <w:color w:val="231F20"/>
          <w:spacing w:val="-2"/>
        </w:rPr>
        <w:t>par </w:t>
      </w:r>
      <w:r>
        <w:rPr>
          <w:color w:val="231F20"/>
        </w:rPr>
        <w:t>Henri Konan Bédié pour donner la même information</w:t>
      </w:r>
      <w:r>
        <w:rPr>
          <w:color w:val="231F20"/>
          <w:spacing w:val="-11"/>
        </w:rPr>
        <w:t> </w:t>
      </w:r>
      <w:r>
        <w:rPr>
          <w:color w:val="231F20"/>
        </w:rPr>
        <w:t>: le ton des communiqués</w:t>
      </w:r>
      <w:r>
        <w:rPr>
          <w:color w:val="231F20"/>
          <w:spacing w:val="-2"/>
        </w:rPr>
        <w:t> </w:t>
      </w:r>
      <w:r>
        <w:rPr>
          <w:color w:val="231F20"/>
        </w:rPr>
        <w:t>dévoile</w:t>
      </w:r>
      <w:r>
        <w:rPr>
          <w:color w:val="231F20"/>
          <w:spacing w:val="-7"/>
        </w:rPr>
        <w:t> </w:t>
      </w:r>
      <w:r>
        <w:rPr>
          <w:color w:val="231F20"/>
        </w:rPr>
        <w:t>les</w:t>
      </w:r>
      <w:r>
        <w:rPr>
          <w:color w:val="231F20"/>
          <w:spacing w:val="-6"/>
        </w:rPr>
        <w:t> </w:t>
      </w:r>
      <w:r>
        <w:rPr>
          <w:color w:val="231F20"/>
        </w:rPr>
        <w:t>prétentions</w:t>
      </w:r>
      <w:r>
        <w:rPr>
          <w:color w:val="231F20"/>
          <w:spacing w:val="-6"/>
        </w:rPr>
        <w:t> </w:t>
      </w:r>
      <w:r>
        <w:rPr>
          <w:color w:val="231F20"/>
        </w:rPr>
        <w:t>de</w:t>
      </w:r>
      <w:r>
        <w:rPr>
          <w:color w:val="231F20"/>
          <w:spacing w:val="-3"/>
        </w:rPr>
        <w:t> </w:t>
      </w:r>
      <w:r>
        <w:rPr>
          <w:color w:val="231F20"/>
        </w:rPr>
        <w:t>l’un</w:t>
      </w:r>
      <w:r>
        <w:rPr>
          <w:color w:val="231F20"/>
          <w:spacing w:val="-3"/>
        </w:rPr>
        <w:t> </w:t>
      </w:r>
      <w:r>
        <w:rPr>
          <w:color w:val="231F20"/>
        </w:rPr>
        <w:t>et</w:t>
      </w:r>
      <w:r>
        <w:rPr>
          <w:color w:val="231F20"/>
          <w:spacing w:val="-5"/>
        </w:rPr>
        <w:t> </w:t>
      </w:r>
      <w:r>
        <w:rPr>
          <w:color w:val="231F20"/>
        </w:rPr>
        <w:t>de</w:t>
      </w:r>
      <w:r>
        <w:rPr>
          <w:color w:val="231F20"/>
          <w:spacing w:val="-6"/>
        </w:rPr>
        <w:t> </w:t>
      </w:r>
      <w:r>
        <w:rPr>
          <w:color w:val="231F20"/>
        </w:rPr>
        <w:t>l’autre.</w:t>
      </w:r>
    </w:p>
    <w:p>
      <w:pPr>
        <w:pStyle w:val="BodyText"/>
        <w:spacing w:before="120"/>
        <w:ind w:right="105" w:firstLine="283"/>
      </w:pPr>
      <w:r>
        <w:rPr>
          <w:color w:val="231F20"/>
          <w:spacing w:val="-2"/>
        </w:rPr>
        <w:t>La</w:t>
      </w:r>
      <w:r>
        <w:rPr>
          <w:color w:val="231F20"/>
          <w:spacing w:val="-13"/>
        </w:rPr>
        <w:t> </w:t>
      </w:r>
      <w:r>
        <w:rPr>
          <w:color w:val="231F20"/>
          <w:spacing w:val="-2"/>
        </w:rPr>
        <w:t>Constitution</w:t>
      </w:r>
      <w:r>
        <w:rPr>
          <w:color w:val="231F20"/>
          <w:spacing w:val="-13"/>
        </w:rPr>
        <w:t> </w:t>
      </w:r>
      <w:r>
        <w:rPr>
          <w:color w:val="231F20"/>
          <w:spacing w:val="-2"/>
        </w:rPr>
        <w:t>stipule</w:t>
      </w:r>
      <w:r>
        <w:rPr>
          <w:color w:val="231F20"/>
          <w:spacing w:val="-13"/>
        </w:rPr>
        <w:t> </w:t>
      </w:r>
      <w:r>
        <w:rPr>
          <w:color w:val="231F20"/>
          <w:spacing w:val="-2"/>
        </w:rPr>
        <w:t>qu’en</w:t>
      </w:r>
      <w:r>
        <w:rPr>
          <w:color w:val="231F20"/>
          <w:spacing w:val="-13"/>
        </w:rPr>
        <w:t> </w:t>
      </w:r>
      <w:r>
        <w:rPr>
          <w:color w:val="231F20"/>
          <w:spacing w:val="-2"/>
        </w:rPr>
        <w:t>cas</w:t>
      </w:r>
      <w:r>
        <w:rPr>
          <w:color w:val="231F20"/>
          <w:spacing w:val="-13"/>
        </w:rPr>
        <w:t> </w:t>
      </w:r>
      <w:r>
        <w:rPr>
          <w:color w:val="231F20"/>
          <w:spacing w:val="-2"/>
        </w:rPr>
        <w:t>d’incapacité</w:t>
      </w:r>
      <w:r>
        <w:rPr>
          <w:color w:val="231F20"/>
          <w:spacing w:val="-13"/>
        </w:rPr>
        <w:t> </w:t>
      </w:r>
      <w:r>
        <w:rPr>
          <w:color w:val="231F20"/>
          <w:spacing w:val="-2"/>
        </w:rPr>
        <w:t>absolu</w:t>
      </w:r>
      <w:r>
        <w:rPr>
          <w:color w:val="231F20"/>
          <w:spacing w:val="-13"/>
        </w:rPr>
        <w:t> </w:t>
      </w:r>
      <w:r>
        <w:rPr>
          <w:color w:val="231F20"/>
          <w:spacing w:val="-2"/>
        </w:rPr>
        <w:t>du</w:t>
      </w:r>
      <w:r>
        <w:rPr>
          <w:color w:val="231F20"/>
          <w:spacing w:val="-13"/>
        </w:rPr>
        <w:t> </w:t>
      </w:r>
      <w:r>
        <w:rPr>
          <w:color w:val="231F20"/>
          <w:spacing w:val="-2"/>
        </w:rPr>
        <w:t>chef</w:t>
      </w:r>
      <w:r>
        <w:rPr>
          <w:color w:val="231F20"/>
          <w:spacing w:val="-13"/>
        </w:rPr>
        <w:t> </w:t>
      </w:r>
      <w:r>
        <w:rPr>
          <w:color w:val="231F20"/>
          <w:spacing w:val="-2"/>
        </w:rPr>
        <w:t>de</w:t>
      </w:r>
      <w:r>
        <w:rPr>
          <w:color w:val="231F20"/>
          <w:spacing w:val="-13"/>
        </w:rPr>
        <w:t> </w:t>
      </w:r>
      <w:r>
        <w:rPr>
          <w:color w:val="231F20"/>
          <w:spacing w:val="-2"/>
        </w:rPr>
        <w:t>l’État </w:t>
      </w:r>
      <w:r>
        <w:rPr>
          <w:color w:val="231F20"/>
        </w:rPr>
        <w:t>en exercice dûment constatée par la Cour suprême, cette charge est dévolue</w:t>
      </w:r>
      <w:r>
        <w:rPr>
          <w:color w:val="231F20"/>
          <w:spacing w:val="-5"/>
        </w:rPr>
        <w:t> </w:t>
      </w:r>
      <w:r>
        <w:rPr>
          <w:color w:val="231F20"/>
        </w:rPr>
        <w:t>de</w:t>
      </w:r>
      <w:r>
        <w:rPr>
          <w:color w:val="231F20"/>
          <w:spacing w:val="-2"/>
        </w:rPr>
        <w:t> </w:t>
      </w:r>
      <w:r>
        <w:rPr>
          <w:color w:val="231F20"/>
        </w:rPr>
        <w:t>plein</w:t>
      </w:r>
      <w:r>
        <w:rPr>
          <w:color w:val="231F20"/>
          <w:spacing w:val="-4"/>
        </w:rPr>
        <w:t> </w:t>
      </w:r>
      <w:r>
        <w:rPr>
          <w:color w:val="231F20"/>
        </w:rPr>
        <w:t>droit</w:t>
      </w:r>
      <w:r>
        <w:rPr>
          <w:color w:val="231F20"/>
          <w:spacing w:val="-2"/>
        </w:rPr>
        <w:t> </w:t>
      </w:r>
      <w:r>
        <w:rPr>
          <w:color w:val="231F20"/>
        </w:rPr>
        <w:t>au</w:t>
      </w:r>
      <w:r>
        <w:rPr>
          <w:color w:val="231F20"/>
          <w:spacing w:val="-4"/>
        </w:rPr>
        <w:t> </w:t>
      </w:r>
      <w:r>
        <w:rPr>
          <w:color w:val="231F20"/>
        </w:rPr>
        <w:t>président</w:t>
      </w:r>
      <w:r>
        <w:rPr>
          <w:color w:val="231F20"/>
          <w:spacing w:val="-4"/>
        </w:rPr>
        <w:t> </w:t>
      </w:r>
      <w:r>
        <w:rPr>
          <w:color w:val="231F20"/>
        </w:rPr>
        <w:t>de</w:t>
      </w:r>
      <w:r>
        <w:rPr>
          <w:color w:val="231F20"/>
          <w:spacing w:val="-2"/>
        </w:rPr>
        <w:t> </w:t>
      </w:r>
      <w:r>
        <w:rPr>
          <w:color w:val="231F20"/>
        </w:rPr>
        <w:t>l’Assemblée</w:t>
      </w:r>
      <w:r>
        <w:rPr>
          <w:color w:val="231F20"/>
          <w:spacing w:val="-3"/>
        </w:rPr>
        <w:t> </w:t>
      </w:r>
      <w:r>
        <w:rPr>
          <w:color w:val="231F20"/>
        </w:rPr>
        <w:t>nationale.</w:t>
      </w:r>
      <w:r>
        <w:rPr>
          <w:color w:val="231F20"/>
          <w:spacing w:val="-2"/>
        </w:rPr>
        <w:t> </w:t>
      </w:r>
      <w:r>
        <w:rPr>
          <w:color w:val="231F20"/>
        </w:rPr>
        <w:t>Alassane Ouattara veut faire constater le décès par la Cour Suprême sauf que la </w:t>
      </w:r>
      <w:r>
        <w:rPr>
          <w:color w:val="231F20"/>
          <w:spacing w:val="-4"/>
        </w:rPr>
        <w:t>juridiction</w:t>
      </w:r>
      <w:r>
        <w:rPr>
          <w:color w:val="231F20"/>
          <w:spacing w:val="-6"/>
        </w:rPr>
        <w:t> </w:t>
      </w:r>
      <w:r>
        <w:rPr>
          <w:color w:val="231F20"/>
          <w:spacing w:val="-4"/>
        </w:rPr>
        <w:t>suprême</w:t>
      </w:r>
      <w:r>
        <w:rPr>
          <w:color w:val="231F20"/>
          <w:spacing w:val="-5"/>
        </w:rPr>
        <w:t> </w:t>
      </w:r>
      <w:r>
        <w:rPr>
          <w:color w:val="231F20"/>
          <w:spacing w:val="-4"/>
        </w:rPr>
        <w:t>n’est</w:t>
      </w:r>
      <w:r>
        <w:rPr>
          <w:color w:val="231F20"/>
          <w:spacing w:val="-7"/>
        </w:rPr>
        <w:t> </w:t>
      </w:r>
      <w:r>
        <w:rPr>
          <w:color w:val="231F20"/>
          <w:spacing w:val="-4"/>
        </w:rPr>
        <w:t>pas en état de</w:t>
      </w:r>
      <w:r>
        <w:rPr>
          <w:color w:val="231F20"/>
          <w:spacing w:val="-7"/>
        </w:rPr>
        <w:t> </w:t>
      </w:r>
      <w:r>
        <w:rPr>
          <w:color w:val="231F20"/>
          <w:spacing w:val="-4"/>
        </w:rPr>
        <w:t>siéger valablement. Son</w:t>
      </w:r>
      <w:r>
        <w:rPr>
          <w:color w:val="231F20"/>
          <w:spacing w:val="-6"/>
        </w:rPr>
        <w:t> </w:t>
      </w:r>
      <w:r>
        <w:rPr>
          <w:color w:val="231F20"/>
          <w:spacing w:val="-4"/>
        </w:rPr>
        <w:t>Président </w:t>
      </w:r>
      <w:r>
        <w:rPr>
          <w:color w:val="231F20"/>
        </w:rPr>
        <w:t>Lanzéni Coulibaly avait dû démissionner après avoir été accusé d’un détournement de fonds publics et, n’était toujours pas remplacé au moment de l’annonce du décès du président Houphouët-Boigny. Ses membres</w:t>
      </w:r>
      <w:r>
        <w:rPr>
          <w:color w:val="231F20"/>
          <w:spacing w:val="-6"/>
        </w:rPr>
        <w:t> </w:t>
      </w:r>
      <w:r>
        <w:rPr>
          <w:color w:val="231F20"/>
        </w:rPr>
        <w:t>estiment</w:t>
      </w:r>
      <w:r>
        <w:rPr>
          <w:color w:val="231F20"/>
          <w:spacing w:val="-5"/>
        </w:rPr>
        <w:t> </w:t>
      </w:r>
      <w:r>
        <w:rPr>
          <w:color w:val="231F20"/>
        </w:rPr>
        <w:t>par</w:t>
      </w:r>
      <w:r>
        <w:rPr>
          <w:color w:val="231F20"/>
          <w:spacing w:val="-7"/>
        </w:rPr>
        <w:t> </w:t>
      </w:r>
      <w:r>
        <w:rPr>
          <w:color w:val="231F20"/>
        </w:rPr>
        <w:t>ailleurs</w:t>
      </w:r>
      <w:r>
        <w:rPr>
          <w:color w:val="231F20"/>
          <w:spacing w:val="-6"/>
        </w:rPr>
        <w:t> </w:t>
      </w:r>
      <w:r>
        <w:rPr>
          <w:color w:val="231F20"/>
        </w:rPr>
        <w:t>qu’il</w:t>
      </w:r>
      <w:r>
        <w:rPr>
          <w:color w:val="231F20"/>
          <w:spacing w:val="-6"/>
        </w:rPr>
        <w:t> </w:t>
      </w:r>
      <w:r>
        <w:rPr>
          <w:color w:val="231F20"/>
        </w:rPr>
        <w:t>n’y</w:t>
      </w:r>
      <w:r>
        <w:rPr>
          <w:color w:val="231F20"/>
          <w:spacing w:val="-6"/>
        </w:rPr>
        <w:t> </w:t>
      </w:r>
      <w:r>
        <w:rPr>
          <w:color w:val="231F20"/>
        </w:rPr>
        <w:t>a</w:t>
      </w:r>
      <w:r>
        <w:rPr>
          <w:color w:val="231F20"/>
          <w:spacing w:val="-6"/>
        </w:rPr>
        <w:t> </w:t>
      </w:r>
      <w:r>
        <w:rPr>
          <w:color w:val="231F20"/>
        </w:rPr>
        <w:t>pas</w:t>
      </w:r>
      <w:r>
        <w:rPr>
          <w:color w:val="231F20"/>
          <w:spacing w:val="-9"/>
        </w:rPr>
        <w:t> </w:t>
      </w:r>
      <w:r>
        <w:rPr>
          <w:color w:val="231F20"/>
        </w:rPr>
        <w:t>à</w:t>
      </w:r>
      <w:r>
        <w:rPr>
          <w:color w:val="231F20"/>
          <w:spacing w:val="-7"/>
        </w:rPr>
        <w:t> </w:t>
      </w:r>
      <w:r>
        <w:rPr>
          <w:color w:val="231F20"/>
        </w:rPr>
        <w:t>constater</w:t>
      </w:r>
      <w:r>
        <w:rPr>
          <w:color w:val="231F20"/>
          <w:spacing w:val="-7"/>
        </w:rPr>
        <w:t> </w:t>
      </w:r>
      <w:r>
        <w:rPr>
          <w:color w:val="231F20"/>
        </w:rPr>
        <w:t>le</w:t>
      </w:r>
      <w:r>
        <w:rPr>
          <w:color w:val="231F20"/>
          <w:spacing w:val="-10"/>
        </w:rPr>
        <w:t> </w:t>
      </w:r>
      <w:r>
        <w:rPr>
          <w:color w:val="231F20"/>
        </w:rPr>
        <w:t>décès.</w:t>
      </w:r>
    </w:p>
    <w:p>
      <w:pPr>
        <w:spacing w:before="121"/>
        <w:ind w:left="111" w:right="105" w:firstLine="283"/>
        <w:jc w:val="both"/>
        <w:rPr>
          <w:sz w:val="24"/>
        </w:rPr>
      </w:pPr>
      <w:r>
        <w:rPr>
          <w:color w:val="231F20"/>
          <w:spacing w:val="-2"/>
          <w:sz w:val="24"/>
        </w:rPr>
        <w:t>Pour</w:t>
      </w:r>
      <w:r>
        <w:rPr>
          <w:color w:val="231F20"/>
          <w:spacing w:val="-15"/>
          <w:sz w:val="24"/>
        </w:rPr>
        <w:t> </w:t>
      </w:r>
      <w:r>
        <w:rPr>
          <w:color w:val="231F20"/>
          <w:spacing w:val="-2"/>
          <w:sz w:val="24"/>
        </w:rPr>
        <w:t>Francis</w:t>
      </w:r>
      <w:r>
        <w:rPr>
          <w:color w:val="231F20"/>
          <w:spacing w:val="-13"/>
          <w:sz w:val="24"/>
        </w:rPr>
        <w:t> </w:t>
      </w:r>
      <w:r>
        <w:rPr>
          <w:color w:val="231F20"/>
          <w:spacing w:val="-2"/>
          <w:sz w:val="24"/>
        </w:rPr>
        <w:t>Wodié,</w:t>
      </w:r>
      <w:r>
        <w:rPr>
          <w:color w:val="231F20"/>
          <w:spacing w:val="-13"/>
          <w:sz w:val="24"/>
        </w:rPr>
        <w:t> </w:t>
      </w:r>
      <w:r>
        <w:rPr>
          <w:color w:val="231F20"/>
          <w:spacing w:val="-2"/>
          <w:sz w:val="24"/>
        </w:rPr>
        <w:t>Constitutionnaliste</w:t>
      </w:r>
      <w:r>
        <w:rPr>
          <w:color w:val="231F20"/>
          <w:spacing w:val="-13"/>
          <w:sz w:val="24"/>
        </w:rPr>
        <w:t> </w:t>
      </w:r>
      <w:r>
        <w:rPr>
          <w:i/>
          <w:color w:val="231F20"/>
          <w:spacing w:val="-2"/>
          <w:sz w:val="24"/>
        </w:rPr>
        <w:t>:«</w:t>
      </w:r>
      <w:r>
        <w:rPr>
          <w:i/>
          <w:color w:val="231F20"/>
          <w:spacing w:val="-13"/>
          <w:sz w:val="24"/>
        </w:rPr>
        <w:t> </w:t>
      </w:r>
      <w:r>
        <w:rPr>
          <w:i/>
          <w:color w:val="231F20"/>
          <w:spacing w:val="-2"/>
          <w:sz w:val="24"/>
        </w:rPr>
        <w:t>Konan</w:t>
      </w:r>
      <w:r>
        <w:rPr>
          <w:i/>
          <w:color w:val="231F20"/>
          <w:spacing w:val="-13"/>
          <w:sz w:val="24"/>
        </w:rPr>
        <w:t> </w:t>
      </w:r>
      <w:r>
        <w:rPr>
          <w:i/>
          <w:color w:val="231F20"/>
          <w:spacing w:val="-2"/>
          <w:sz w:val="24"/>
        </w:rPr>
        <w:t>Bédié</w:t>
      </w:r>
      <w:r>
        <w:rPr>
          <w:i/>
          <w:color w:val="231F20"/>
          <w:spacing w:val="-13"/>
          <w:sz w:val="24"/>
        </w:rPr>
        <w:t> </w:t>
      </w:r>
      <w:r>
        <w:rPr>
          <w:i/>
          <w:color w:val="231F20"/>
          <w:spacing w:val="-2"/>
          <w:sz w:val="24"/>
        </w:rPr>
        <w:t>est</w:t>
      </w:r>
      <w:r>
        <w:rPr>
          <w:i/>
          <w:color w:val="231F20"/>
          <w:spacing w:val="-13"/>
          <w:sz w:val="24"/>
        </w:rPr>
        <w:t> </w:t>
      </w:r>
      <w:r>
        <w:rPr>
          <w:i/>
          <w:color w:val="231F20"/>
          <w:spacing w:val="-2"/>
          <w:sz w:val="24"/>
        </w:rPr>
        <w:t>considéré</w:t>
      </w:r>
      <w:r>
        <w:rPr>
          <w:i/>
          <w:color w:val="231F20"/>
          <w:spacing w:val="-2"/>
          <w:sz w:val="24"/>
        </w:rPr>
        <w:t> comme</w:t>
      </w:r>
      <w:r>
        <w:rPr>
          <w:i/>
          <w:color w:val="231F20"/>
          <w:spacing w:val="-10"/>
          <w:sz w:val="24"/>
        </w:rPr>
        <w:t> </w:t>
      </w:r>
      <w:r>
        <w:rPr>
          <w:i/>
          <w:color w:val="231F20"/>
          <w:spacing w:val="-2"/>
          <w:sz w:val="24"/>
        </w:rPr>
        <w:t>le</w:t>
      </w:r>
      <w:r>
        <w:rPr>
          <w:i/>
          <w:color w:val="231F20"/>
          <w:spacing w:val="-10"/>
          <w:sz w:val="24"/>
        </w:rPr>
        <w:t> </w:t>
      </w:r>
      <w:r>
        <w:rPr>
          <w:i/>
          <w:color w:val="231F20"/>
          <w:spacing w:val="-2"/>
          <w:sz w:val="24"/>
        </w:rPr>
        <w:t>nouveau</w:t>
      </w:r>
      <w:r>
        <w:rPr>
          <w:i/>
          <w:color w:val="231F20"/>
          <w:spacing w:val="-10"/>
          <w:sz w:val="24"/>
        </w:rPr>
        <w:t> </w:t>
      </w:r>
      <w:r>
        <w:rPr>
          <w:i/>
          <w:color w:val="231F20"/>
          <w:spacing w:val="-2"/>
          <w:sz w:val="24"/>
        </w:rPr>
        <w:t>président</w:t>
      </w:r>
      <w:r>
        <w:rPr>
          <w:i/>
          <w:color w:val="231F20"/>
          <w:spacing w:val="-10"/>
          <w:sz w:val="24"/>
        </w:rPr>
        <w:t> </w:t>
      </w:r>
      <w:r>
        <w:rPr>
          <w:i/>
          <w:color w:val="231F20"/>
          <w:spacing w:val="-2"/>
          <w:sz w:val="24"/>
        </w:rPr>
        <w:t>de</w:t>
      </w:r>
      <w:r>
        <w:rPr>
          <w:i/>
          <w:color w:val="231F20"/>
          <w:spacing w:val="-10"/>
          <w:sz w:val="24"/>
        </w:rPr>
        <w:t> </w:t>
      </w:r>
      <w:r>
        <w:rPr>
          <w:i/>
          <w:color w:val="231F20"/>
          <w:spacing w:val="-2"/>
          <w:sz w:val="24"/>
        </w:rPr>
        <w:t>la</w:t>
      </w:r>
      <w:r>
        <w:rPr>
          <w:i/>
          <w:color w:val="231F20"/>
          <w:spacing w:val="-10"/>
          <w:sz w:val="24"/>
        </w:rPr>
        <w:t> </w:t>
      </w:r>
      <w:r>
        <w:rPr>
          <w:i/>
          <w:color w:val="231F20"/>
          <w:spacing w:val="-2"/>
          <w:sz w:val="24"/>
        </w:rPr>
        <w:t>République.</w:t>
      </w:r>
      <w:r>
        <w:rPr>
          <w:i/>
          <w:color w:val="231F20"/>
          <w:spacing w:val="-13"/>
          <w:sz w:val="24"/>
        </w:rPr>
        <w:t> </w:t>
      </w:r>
      <w:r>
        <w:rPr>
          <w:i/>
          <w:color w:val="231F20"/>
          <w:spacing w:val="-2"/>
          <w:sz w:val="24"/>
        </w:rPr>
        <w:t>Ce</w:t>
      </w:r>
      <w:r>
        <w:rPr>
          <w:i/>
          <w:color w:val="231F20"/>
          <w:spacing w:val="-10"/>
          <w:sz w:val="24"/>
        </w:rPr>
        <w:t> </w:t>
      </w:r>
      <w:r>
        <w:rPr>
          <w:i/>
          <w:color w:val="231F20"/>
          <w:spacing w:val="-2"/>
          <w:sz w:val="24"/>
        </w:rPr>
        <w:t>n’est</w:t>
      </w:r>
      <w:r>
        <w:rPr>
          <w:i/>
          <w:color w:val="231F20"/>
          <w:spacing w:val="-10"/>
          <w:sz w:val="24"/>
        </w:rPr>
        <w:t> </w:t>
      </w:r>
      <w:r>
        <w:rPr>
          <w:i/>
          <w:color w:val="231F20"/>
          <w:spacing w:val="-2"/>
          <w:sz w:val="24"/>
        </w:rPr>
        <w:t>pas</w:t>
      </w:r>
      <w:r>
        <w:rPr>
          <w:i/>
          <w:color w:val="231F20"/>
          <w:spacing w:val="-10"/>
          <w:sz w:val="24"/>
        </w:rPr>
        <w:t> </w:t>
      </w:r>
      <w:r>
        <w:rPr>
          <w:i/>
          <w:color w:val="231F20"/>
          <w:spacing w:val="-2"/>
          <w:sz w:val="24"/>
        </w:rPr>
        <w:t>normal</w:t>
      </w:r>
      <w:r>
        <w:rPr>
          <w:i/>
          <w:color w:val="231F20"/>
          <w:spacing w:val="-10"/>
          <w:sz w:val="24"/>
        </w:rPr>
        <w:t> </w:t>
      </w:r>
      <w:r>
        <w:rPr>
          <w:i/>
          <w:color w:val="231F20"/>
          <w:spacing w:val="-2"/>
          <w:sz w:val="24"/>
        </w:rPr>
        <w:t>mais </w:t>
      </w:r>
      <w:r>
        <w:rPr>
          <w:i/>
          <w:color w:val="231F20"/>
          <w:sz w:val="24"/>
        </w:rPr>
        <w:t>que pouvons-nous, que devons-nous faire ? Si nous ne sommes pas d’accord,</w:t>
      </w:r>
      <w:r>
        <w:rPr>
          <w:i/>
          <w:color w:val="231F20"/>
          <w:spacing w:val="-10"/>
          <w:sz w:val="24"/>
        </w:rPr>
        <w:t> </w:t>
      </w:r>
      <w:r>
        <w:rPr>
          <w:i/>
          <w:color w:val="231F20"/>
          <w:sz w:val="24"/>
        </w:rPr>
        <w:t>nous</w:t>
      </w:r>
      <w:r>
        <w:rPr>
          <w:i/>
          <w:color w:val="231F20"/>
          <w:spacing w:val="-11"/>
          <w:sz w:val="24"/>
        </w:rPr>
        <w:t> </w:t>
      </w:r>
      <w:r>
        <w:rPr>
          <w:i/>
          <w:color w:val="231F20"/>
          <w:sz w:val="24"/>
        </w:rPr>
        <w:t>trouvons</w:t>
      </w:r>
      <w:r>
        <w:rPr>
          <w:i/>
          <w:color w:val="231F20"/>
          <w:spacing w:val="-11"/>
          <w:sz w:val="24"/>
        </w:rPr>
        <w:t> </w:t>
      </w:r>
      <w:r>
        <w:rPr>
          <w:i/>
          <w:color w:val="231F20"/>
          <w:sz w:val="24"/>
        </w:rPr>
        <w:t>une</w:t>
      </w:r>
      <w:r>
        <w:rPr>
          <w:i/>
          <w:color w:val="231F20"/>
          <w:spacing w:val="-9"/>
          <w:sz w:val="24"/>
        </w:rPr>
        <w:t> </w:t>
      </w:r>
      <w:r>
        <w:rPr>
          <w:i/>
          <w:color w:val="231F20"/>
          <w:sz w:val="24"/>
        </w:rPr>
        <w:t>autre</w:t>
      </w:r>
      <w:r>
        <w:rPr>
          <w:i/>
          <w:color w:val="231F20"/>
          <w:spacing w:val="-10"/>
          <w:sz w:val="24"/>
        </w:rPr>
        <w:t> </w:t>
      </w:r>
      <w:r>
        <w:rPr>
          <w:i/>
          <w:color w:val="231F20"/>
          <w:sz w:val="24"/>
        </w:rPr>
        <w:t>solution,</w:t>
      </w:r>
      <w:r>
        <w:rPr>
          <w:i/>
          <w:color w:val="231F20"/>
          <w:spacing w:val="-11"/>
          <w:sz w:val="24"/>
        </w:rPr>
        <w:t> </w:t>
      </w:r>
      <w:r>
        <w:rPr>
          <w:i/>
          <w:color w:val="231F20"/>
          <w:sz w:val="24"/>
        </w:rPr>
        <w:t>mais</w:t>
      </w:r>
      <w:r>
        <w:rPr>
          <w:i/>
          <w:color w:val="231F20"/>
          <w:spacing w:val="-11"/>
          <w:sz w:val="24"/>
        </w:rPr>
        <w:t> </w:t>
      </w:r>
      <w:r>
        <w:rPr>
          <w:i/>
          <w:color w:val="231F20"/>
          <w:sz w:val="24"/>
        </w:rPr>
        <w:t>qui</w:t>
      </w:r>
      <w:r>
        <w:rPr>
          <w:i/>
          <w:color w:val="231F20"/>
          <w:spacing w:val="-10"/>
          <w:sz w:val="24"/>
        </w:rPr>
        <w:t> </w:t>
      </w:r>
      <w:r>
        <w:rPr>
          <w:i/>
          <w:color w:val="231F20"/>
          <w:sz w:val="24"/>
        </w:rPr>
        <w:t>n’est</w:t>
      </w:r>
      <w:r>
        <w:rPr>
          <w:i/>
          <w:color w:val="231F20"/>
          <w:spacing w:val="-10"/>
          <w:sz w:val="24"/>
        </w:rPr>
        <w:t> </w:t>
      </w:r>
      <w:r>
        <w:rPr>
          <w:i/>
          <w:color w:val="231F20"/>
          <w:sz w:val="24"/>
        </w:rPr>
        <w:t>pas</w:t>
      </w:r>
      <w:r>
        <w:rPr>
          <w:i/>
          <w:color w:val="231F20"/>
          <w:spacing w:val="-10"/>
          <w:sz w:val="24"/>
        </w:rPr>
        <w:t> </w:t>
      </w:r>
      <w:r>
        <w:rPr>
          <w:i/>
          <w:color w:val="231F20"/>
          <w:sz w:val="24"/>
        </w:rPr>
        <w:t>de</w:t>
      </w:r>
      <w:r>
        <w:rPr>
          <w:i/>
          <w:color w:val="231F20"/>
          <w:spacing w:val="-10"/>
          <w:sz w:val="24"/>
        </w:rPr>
        <w:t> </w:t>
      </w:r>
      <w:r>
        <w:rPr>
          <w:i/>
          <w:color w:val="231F20"/>
          <w:sz w:val="24"/>
        </w:rPr>
        <w:t>droit. </w:t>
      </w:r>
      <w:r>
        <w:rPr>
          <w:i/>
          <w:color w:val="231F20"/>
          <w:spacing w:val="-2"/>
          <w:sz w:val="24"/>
        </w:rPr>
        <w:t>On</w:t>
      </w:r>
      <w:r>
        <w:rPr>
          <w:i/>
          <w:color w:val="231F20"/>
          <w:spacing w:val="-13"/>
          <w:sz w:val="24"/>
        </w:rPr>
        <w:t> </w:t>
      </w:r>
      <w:r>
        <w:rPr>
          <w:i/>
          <w:color w:val="231F20"/>
          <w:spacing w:val="-2"/>
          <w:sz w:val="24"/>
        </w:rPr>
        <w:t>tombe</w:t>
      </w:r>
      <w:r>
        <w:rPr>
          <w:i/>
          <w:color w:val="231F20"/>
          <w:spacing w:val="-13"/>
          <w:sz w:val="24"/>
        </w:rPr>
        <w:t> </w:t>
      </w:r>
      <w:r>
        <w:rPr>
          <w:i/>
          <w:color w:val="231F20"/>
          <w:spacing w:val="-2"/>
          <w:sz w:val="24"/>
        </w:rPr>
        <w:t>alors</w:t>
      </w:r>
      <w:r>
        <w:rPr>
          <w:i/>
          <w:color w:val="231F20"/>
          <w:spacing w:val="-13"/>
          <w:sz w:val="24"/>
        </w:rPr>
        <w:t> </w:t>
      </w:r>
      <w:r>
        <w:rPr>
          <w:i/>
          <w:color w:val="231F20"/>
          <w:spacing w:val="-2"/>
          <w:sz w:val="24"/>
        </w:rPr>
        <w:t>dans</w:t>
      </w:r>
      <w:r>
        <w:rPr>
          <w:i/>
          <w:color w:val="231F20"/>
          <w:spacing w:val="-13"/>
          <w:sz w:val="24"/>
        </w:rPr>
        <w:t> </w:t>
      </w:r>
      <w:r>
        <w:rPr>
          <w:i/>
          <w:color w:val="231F20"/>
          <w:spacing w:val="-2"/>
          <w:sz w:val="24"/>
        </w:rPr>
        <w:t>l’aventure</w:t>
      </w:r>
      <w:r>
        <w:rPr>
          <w:i/>
          <w:color w:val="231F20"/>
          <w:spacing w:val="-11"/>
          <w:sz w:val="24"/>
        </w:rPr>
        <w:t> </w:t>
      </w:r>
      <w:r>
        <w:rPr>
          <w:i/>
          <w:color w:val="231F20"/>
          <w:spacing w:val="-2"/>
          <w:sz w:val="24"/>
        </w:rPr>
        <w:t>politique.</w:t>
      </w:r>
      <w:r>
        <w:rPr>
          <w:i/>
          <w:color w:val="231F20"/>
          <w:spacing w:val="-13"/>
          <w:sz w:val="24"/>
        </w:rPr>
        <w:t> </w:t>
      </w:r>
      <w:r>
        <w:rPr>
          <w:i/>
          <w:color w:val="231F20"/>
          <w:spacing w:val="-2"/>
          <w:sz w:val="24"/>
        </w:rPr>
        <w:t>»</w:t>
      </w:r>
      <w:r>
        <w:rPr>
          <w:i/>
          <w:color w:val="231F20"/>
          <w:spacing w:val="-11"/>
          <w:sz w:val="24"/>
        </w:rPr>
        <w:t> </w:t>
      </w:r>
      <w:r>
        <w:rPr>
          <w:color w:val="231F20"/>
          <w:spacing w:val="-2"/>
          <w:sz w:val="24"/>
        </w:rPr>
        <w:t>Laurent</w:t>
      </w:r>
      <w:r>
        <w:rPr>
          <w:color w:val="231F20"/>
          <w:spacing w:val="-10"/>
          <w:sz w:val="24"/>
        </w:rPr>
        <w:t> </w:t>
      </w:r>
      <w:r>
        <w:rPr>
          <w:color w:val="231F20"/>
          <w:spacing w:val="-2"/>
          <w:sz w:val="24"/>
        </w:rPr>
        <w:t>Gbagbo</w:t>
      </w:r>
      <w:r>
        <w:rPr>
          <w:color w:val="231F20"/>
          <w:spacing w:val="-11"/>
          <w:sz w:val="24"/>
        </w:rPr>
        <w:t> </w:t>
      </w:r>
      <w:r>
        <w:rPr>
          <w:color w:val="231F20"/>
          <w:spacing w:val="-2"/>
          <w:sz w:val="24"/>
        </w:rPr>
        <w:t>ne</w:t>
      </w:r>
      <w:r>
        <w:rPr>
          <w:color w:val="231F20"/>
          <w:spacing w:val="-11"/>
          <w:sz w:val="24"/>
        </w:rPr>
        <w:t> </w:t>
      </w:r>
      <w:r>
        <w:rPr>
          <w:color w:val="231F20"/>
          <w:spacing w:val="-2"/>
          <w:sz w:val="24"/>
        </w:rPr>
        <w:t>dit</w:t>
      </w:r>
      <w:r>
        <w:rPr>
          <w:color w:val="231F20"/>
          <w:spacing w:val="-13"/>
          <w:sz w:val="24"/>
        </w:rPr>
        <w:t> </w:t>
      </w:r>
      <w:r>
        <w:rPr>
          <w:color w:val="231F20"/>
          <w:spacing w:val="-2"/>
          <w:sz w:val="24"/>
        </w:rPr>
        <w:t>pas</w:t>
      </w:r>
      <w:r>
        <w:rPr>
          <w:color w:val="231F20"/>
          <w:spacing w:val="-13"/>
          <w:sz w:val="24"/>
        </w:rPr>
        <w:t> </w:t>
      </w:r>
      <w:r>
        <w:rPr>
          <w:color w:val="231F20"/>
          <w:spacing w:val="-5"/>
          <w:sz w:val="24"/>
        </w:rPr>
        <w:t>le</w:t>
      </w:r>
    </w:p>
    <w:p>
      <w:pPr>
        <w:spacing w:after="0"/>
        <w:jc w:val="both"/>
        <w:rPr>
          <w:sz w:val="24"/>
        </w:rPr>
        <w:sectPr>
          <w:pgSz w:w="8790" w:h="13610"/>
          <w:pgMar w:header="0" w:footer="802" w:top="1060" w:bottom="1000" w:left="880" w:right="880"/>
        </w:sectPr>
      </w:pPr>
    </w:p>
    <w:p>
      <w:pPr>
        <w:spacing w:before="66"/>
        <w:ind w:left="111" w:right="104" w:firstLine="0"/>
        <w:jc w:val="both"/>
        <w:rPr>
          <w:i/>
          <w:sz w:val="24"/>
        </w:rPr>
      </w:pPr>
      <w:r>
        <w:rPr>
          <w:color w:val="231F20"/>
          <w:sz w:val="24"/>
        </w:rPr>
        <w:t>contraire</w:t>
      </w:r>
      <w:r>
        <w:rPr>
          <w:color w:val="231F20"/>
          <w:spacing w:val="-15"/>
          <w:sz w:val="24"/>
        </w:rPr>
        <w:t> </w:t>
      </w:r>
      <w:r>
        <w:rPr>
          <w:i/>
          <w:color w:val="231F20"/>
          <w:sz w:val="24"/>
        </w:rPr>
        <w:t>:«</w:t>
      </w:r>
      <w:r>
        <w:rPr>
          <w:i/>
          <w:color w:val="231F20"/>
          <w:spacing w:val="-15"/>
          <w:sz w:val="24"/>
        </w:rPr>
        <w:t> </w:t>
      </w:r>
      <w:r>
        <w:rPr>
          <w:i/>
          <w:color w:val="231F20"/>
          <w:sz w:val="24"/>
        </w:rPr>
        <w:t>Bédié</w:t>
      </w:r>
      <w:r>
        <w:rPr>
          <w:i/>
          <w:color w:val="231F20"/>
          <w:spacing w:val="-15"/>
          <w:sz w:val="24"/>
        </w:rPr>
        <w:t> </w:t>
      </w:r>
      <w:r>
        <w:rPr>
          <w:i/>
          <w:color w:val="231F20"/>
          <w:sz w:val="24"/>
        </w:rPr>
        <w:t>représente</w:t>
      </w:r>
      <w:r>
        <w:rPr>
          <w:i/>
          <w:color w:val="231F20"/>
          <w:spacing w:val="-11"/>
          <w:sz w:val="24"/>
        </w:rPr>
        <w:t> </w:t>
      </w:r>
      <w:r>
        <w:rPr>
          <w:i/>
          <w:color w:val="231F20"/>
          <w:sz w:val="24"/>
        </w:rPr>
        <w:t>la</w:t>
      </w:r>
      <w:r>
        <w:rPr>
          <w:i/>
          <w:color w:val="231F20"/>
          <w:spacing w:val="-11"/>
          <w:sz w:val="24"/>
        </w:rPr>
        <w:t> </w:t>
      </w:r>
      <w:r>
        <w:rPr>
          <w:i/>
          <w:color w:val="231F20"/>
          <w:sz w:val="24"/>
        </w:rPr>
        <w:t>légalité</w:t>
      </w:r>
      <w:r>
        <w:rPr>
          <w:i/>
          <w:color w:val="231F20"/>
          <w:spacing w:val="-11"/>
          <w:sz w:val="24"/>
        </w:rPr>
        <w:t> </w:t>
      </w:r>
      <w:r>
        <w:rPr>
          <w:i/>
          <w:color w:val="231F20"/>
          <w:sz w:val="24"/>
        </w:rPr>
        <w:t>républicaine.</w:t>
      </w:r>
      <w:r>
        <w:rPr>
          <w:i/>
          <w:color w:val="231F20"/>
          <w:spacing w:val="-11"/>
          <w:sz w:val="24"/>
        </w:rPr>
        <w:t> </w:t>
      </w:r>
      <w:r>
        <w:rPr>
          <w:i/>
          <w:color w:val="231F20"/>
          <w:sz w:val="24"/>
        </w:rPr>
        <w:t>Tout</w:t>
      </w:r>
      <w:r>
        <w:rPr>
          <w:i/>
          <w:color w:val="231F20"/>
          <w:spacing w:val="-11"/>
          <w:sz w:val="24"/>
        </w:rPr>
        <w:t> </w:t>
      </w:r>
      <w:r>
        <w:rPr>
          <w:i/>
          <w:color w:val="231F20"/>
          <w:sz w:val="24"/>
        </w:rPr>
        <w:t>ce</w:t>
      </w:r>
      <w:r>
        <w:rPr>
          <w:i/>
          <w:color w:val="231F20"/>
          <w:spacing w:val="-11"/>
          <w:sz w:val="24"/>
        </w:rPr>
        <w:t> </w:t>
      </w:r>
      <w:r>
        <w:rPr>
          <w:i/>
          <w:color w:val="231F20"/>
          <w:sz w:val="24"/>
        </w:rPr>
        <w:t>qui</w:t>
      </w:r>
      <w:r>
        <w:rPr>
          <w:i/>
          <w:color w:val="231F20"/>
          <w:spacing w:val="-11"/>
          <w:sz w:val="24"/>
        </w:rPr>
        <w:t> </w:t>
      </w:r>
      <w:r>
        <w:rPr>
          <w:i/>
          <w:color w:val="231F20"/>
          <w:sz w:val="24"/>
        </w:rPr>
        <w:t>est</w:t>
      </w:r>
      <w:r>
        <w:rPr>
          <w:i/>
          <w:color w:val="231F20"/>
          <w:spacing w:val="-11"/>
          <w:sz w:val="24"/>
        </w:rPr>
        <w:t> </w:t>
      </w:r>
      <w:r>
        <w:rPr>
          <w:i/>
          <w:color w:val="231F20"/>
          <w:sz w:val="24"/>
        </w:rPr>
        <w:t>en</w:t>
      </w:r>
      <w:r>
        <w:rPr>
          <w:i/>
          <w:color w:val="231F20"/>
          <w:sz w:val="24"/>
        </w:rPr>
        <w:t> dehors</w:t>
      </w:r>
      <w:r>
        <w:rPr>
          <w:i/>
          <w:color w:val="231F20"/>
          <w:spacing w:val="-10"/>
          <w:sz w:val="24"/>
        </w:rPr>
        <w:t> </w:t>
      </w:r>
      <w:r>
        <w:rPr>
          <w:i/>
          <w:color w:val="231F20"/>
          <w:sz w:val="24"/>
        </w:rPr>
        <w:t>de</w:t>
      </w:r>
      <w:r>
        <w:rPr>
          <w:i/>
          <w:color w:val="231F20"/>
          <w:spacing w:val="-8"/>
          <w:sz w:val="24"/>
        </w:rPr>
        <w:t> </w:t>
      </w:r>
      <w:r>
        <w:rPr>
          <w:i/>
          <w:color w:val="231F20"/>
          <w:sz w:val="24"/>
        </w:rPr>
        <w:t>la</w:t>
      </w:r>
      <w:r>
        <w:rPr>
          <w:i/>
          <w:color w:val="231F20"/>
          <w:spacing w:val="-8"/>
          <w:sz w:val="24"/>
        </w:rPr>
        <w:t> </w:t>
      </w:r>
      <w:r>
        <w:rPr>
          <w:i/>
          <w:color w:val="231F20"/>
          <w:sz w:val="24"/>
        </w:rPr>
        <w:t>Constitution</w:t>
      </w:r>
      <w:r>
        <w:rPr>
          <w:i/>
          <w:color w:val="231F20"/>
          <w:spacing w:val="-11"/>
          <w:sz w:val="24"/>
        </w:rPr>
        <w:t> </w:t>
      </w:r>
      <w:r>
        <w:rPr>
          <w:i/>
          <w:color w:val="231F20"/>
          <w:sz w:val="24"/>
        </w:rPr>
        <w:t>équivaut</w:t>
      </w:r>
      <w:r>
        <w:rPr>
          <w:i/>
          <w:color w:val="231F20"/>
          <w:spacing w:val="-8"/>
          <w:sz w:val="24"/>
        </w:rPr>
        <w:t> </w:t>
      </w:r>
      <w:r>
        <w:rPr>
          <w:i/>
          <w:color w:val="231F20"/>
          <w:sz w:val="24"/>
        </w:rPr>
        <w:t>à</w:t>
      </w:r>
      <w:r>
        <w:rPr>
          <w:i/>
          <w:color w:val="231F20"/>
          <w:spacing w:val="-11"/>
          <w:sz w:val="24"/>
        </w:rPr>
        <w:t> </w:t>
      </w:r>
      <w:r>
        <w:rPr>
          <w:i/>
          <w:color w:val="231F20"/>
          <w:sz w:val="24"/>
        </w:rPr>
        <w:t>un</w:t>
      </w:r>
      <w:r>
        <w:rPr>
          <w:i/>
          <w:color w:val="231F20"/>
          <w:spacing w:val="-10"/>
          <w:sz w:val="24"/>
        </w:rPr>
        <w:t> </w:t>
      </w:r>
      <w:r>
        <w:rPr>
          <w:i/>
          <w:color w:val="231F20"/>
          <w:sz w:val="24"/>
        </w:rPr>
        <w:t>coup</w:t>
      </w:r>
      <w:r>
        <w:rPr>
          <w:i/>
          <w:color w:val="231F20"/>
          <w:spacing w:val="-8"/>
          <w:sz w:val="24"/>
        </w:rPr>
        <w:t> </w:t>
      </w:r>
      <w:r>
        <w:rPr>
          <w:i/>
          <w:color w:val="231F20"/>
          <w:sz w:val="24"/>
        </w:rPr>
        <w:t>d’État</w:t>
      </w:r>
      <w:r>
        <w:rPr>
          <w:i/>
          <w:color w:val="231F20"/>
          <w:spacing w:val="-10"/>
          <w:sz w:val="24"/>
        </w:rPr>
        <w:t> </w:t>
      </w:r>
      <w:r>
        <w:rPr>
          <w:i/>
          <w:color w:val="231F20"/>
          <w:sz w:val="24"/>
        </w:rPr>
        <w:t>civil</w:t>
      </w:r>
      <w:r>
        <w:rPr>
          <w:i/>
          <w:color w:val="231F20"/>
          <w:spacing w:val="-10"/>
          <w:sz w:val="24"/>
        </w:rPr>
        <w:t> </w:t>
      </w:r>
      <w:r>
        <w:rPr>
          <w:i/>
          <w:color w:val="231F20"/>
          <w:sz w:val="24"/>
        </w:rPr>
        <w:t>ou</w:t>
      </w:r>
      <w:r>
        <w:rPr>
          <w:i/>
          <w:color w:val="231F20"/>
          <w:spacing w:val="-8"/>
          <w:sz w:val="24"/>
        </w:rPr>
        <w:t> </w:t>
      </w:r>
      <w:r>
        <w:rPr>
          <w:i/>
          <w:color w:val="231F20"/>
          <w:sz w:val="24"/>
        </w:rPr>
        <w:t>militaire.</w:t>
      </w:r>
      <w:r>
        <w:rPr>
          <w:i/>
          <w:color w:val="231F20"/>
          <w:spacing w:val="-10"/>
          <w:sz w:val="24"/>
        </w:rPr>
        <w:t> </w:t>
      </w:r>
      <w:r>
        <w:rPr>
          <w:i/>
          <w:color w:val="231F20"/>
          <w:sz w:val="24"/>
        </w:rPr>
        <w:t>»</w:t>
      </w:r>
    </w:p>
    <w:p>
      <w:pPr>
        <w:pStyle w:val="BodyText"/>
        <w:spacing w:before="120"/>
        <w:ind w:right="110" w:firstLine="283"/>
      </w:pPr>
      <w:r>
        <w:rPr>
          <w:color w:val="231F20"/>
        </w:rPr>
        <w:t>Le PDCI, parti au pouvoir appelle avec fermeté par la voix de son Secrétaire</w:t>
      </w:r>
      <w:r>
        <w:rPr>
          <w:color w:val="231F20"/>
          <w:spacing w:val="-8"/>
        </w:rPr>
        <w:t> </w:t>
      </w:r>
      <w:r>
        <w:rPr>
          <w:color w:val="231F20"/>
        </w:rPr>
        <w:t>général</w:t>
      </w:r>
      <w:r>
        <w:rPr>
          <w:color w:val="231F20"/>
          <w:spacing w:val="-9"/>
        </w:rPr>
        <w:t> </w:t>
      </w:r>
      <w:r>
        <w:rPr>
          <w:color w:val="231F20"/>
        </w:rPr>
        <w:t>Laurent</w:t>
      </w:r>
      <w:r>
        <w:rPr>
          <w:color w:val="231F20"/>
          <w:spacing w:val="-9"/>
        </w:rPr>
        <w:t> </w:t>
      </w:r>
      <w:r>
        <w:rPr>
          <w:color w:val="231F20"/>
        </w:rPr>
        <w:t>Dona</w:t>
      </w:r>
      <w:r>
        <w:rPr>
          <w:color w:val="231F20"/>
          <w:spacing w:val="-9"/>
        </w:rPr>
        <w:t> </w:t>
      </w:r>
      <w:r>
        <w:rPr>
          <w:color w:val="231F20"/>
        </w:rPr>
        <w:t>Fologo,</w:t>
      </w:r>
      <w:r>
        <w:rPr>
          <w:color w:val="231F20"/>
          <w:spacing w:val="-7"/>
        </w:rPr>
        <w:t> </w:t>
      </w:r>
      <w:r>
        <w:rPr>
          <w:color w:val="231F20"/>
        </w:rPr>
        <w:t>au</w:t>
      </w:r>
      <w:r>
        <w:rPr>
          <w:color w:val="231F20"/>
          <w:spacing w:val="-7"/>
        </w:rPr>
        <w:t> </w:t>
      </w:r>
      <w:r>
        <w:rPr>
          <w:color w:val="231F20"/>
        </w:rPr>
        <w:t>respect</w:t>
      </w:r>
      <w:r>
        <w:rPr>
          <w:color w:val="231F20"/>
          <w:spacing w:val="-12"/>
        </w:rPr>
        <w:t> </w:t>
      </w:r>
      <w:r>
        <w:rPr>
          <w:color w:val="231F20"/>
        </w:rPr>
        <w:t>de</w:t>
      </w:r>
      <w:r>
        <w:rPr>
          <w:color w:val="231F20"/>
          <w:spacing w:val="-7"/>
        </w:rPr>
        <w:t> </w:t>
      </w:r>
      <w:r>
        <w:rPr>
          <w:color w:val="231F20"/>
        </w:rPr>
        <w:t>la</w:t>
      </w:r>
      <w:r>
        <w:rPr>
          <w:color w:val="231F20"/>
          <w:spacing w:val="-7"/>
        </w:rPr>
        <w:t> </w:t>
      </w:r>
      <w:r>
        <w:rPr>
          <w:color w:val="231F20"/>
        </w:rPr>
        <w:t>Constitution.</w:t>
      </w:r>
    </w:p>
    <w:p>
      <w:pPr>
        <w:pStyle w:val="BodyText"/>
        <w:spacing w:before="120"/>
        <w:ind w:right="104" w:firstLine="283"/>
      </w:pPr>
      <w:r>
        <w:rPr>
          <w:color w:val="231F20"/>
        </w:rPr>
        <w:t>Officiellement,</w:t>
      </w:r>
      <w:r>
        <w:rPr>
          <w:color w:val="231F20"/>
          <w:spacing w:val="-15"/>
        </w:rPr>
        <w:t> </w:t>
      </w:r>
      <w:r>
        <w:rPr>
          <w:color w:val="231F20"/>
        </w:rPr>
        <w:t>c’est</w:t>
      </w:r>
      <w:r>
        <w:rPr>
          <w:color w:val="231F20"/>
          <w:spacing w:val="-15"/>
        </w:rPr>
        <w:t> </w:t>
      </w:r>
      <w:r>
        <w:rPr>
          <w:color w:val="231F20"/>
        </w:rPr>
        <w:t>le</w:t>
      </w:r>
      <w:r>
        <w:rPr>
          <w:color w:val="231F20"/>
          <w:spacing w:val="-14"/>
        </w:rPr>
        <w:t> </w:t>
      </w:r>
      <w:r>
        <w:rPr>
          <w:color w:val="231F20"/>
        </w:rPr>
        <w:t>7</w:t>
      </w:r>
      <w:r>
        <w:rPr>
          <w:color w:val="231F20"/>
          <w:spacing w:val="-15"/>
        </w:rPr>
        <w:t> </w:t>
      </w:r>
      <w:r>
        <w:rPr>
          <w:color w:val="231F20"/>
        </w:rPr>
        <w:t>décembre</w:t>
      </w:r>
      <w:r>
        <w:rPr>
          <w:color w:val="231F20"/>
          <w:spacing w:val="-14"/>
        </w:rPr>
        <w:t> </w:t>
      </w:r>
      <w:r>
        <w:rPr>
          <w:color w:val="231F20"/>
        </w:rPr>
        <w:t>1993,</w:t>
      </w:r>
      <w:r>
        <w:rPr>
          <w:color w:val="231F20"/>
          <w:spacing w:val="-14"/>
        </w:rPr>
        <w:t> </w:t>
      </w:r>
      <w:r>
        <w:rPr>
          <w:color w:val="231F20"/>
        </w:rPr>
        <w:t>dans</w:t>
      </w:r>
      <w:r>
        <w:rPr>
          <w:color w:val="231F20"/>
          <w:spacing w:val="-14"/>
        </w:rPr>
        <w:t> </w:t>
      </w:r>
      <w:r>
        <w:rPr>
          <w:color w:val="231F20"/>
        </w:rPr>
        <w:t>sa</w:t>
      </w:r>
      <w:r>
        <w:rPr>
          <w:color w:val="231F20"/>
          <w:spacing w:val="-14"/>
        </w:rPr>
        <w:t> </w:t>
      </w:r>
      <w:r>
        <w:rPr>
          <w:color w:val="231F20"/>
        </w:rPr>
        <w:t>résidence</w:t>
      </w:r>
      <w:r>
        <w:rPr>
          <w:color w:val="231F20"/>
          <w:spacing w:val="-14"/>
        </w:rPr>
        <w:t> </w:t>
      </w:r>
      <w:r>
        <w:rPr>
          <w:color w:val="231F20"/>
        </w:rPr>
        <w:t>familiale de Yamoussoukro, qu’Houphouët-Boigny est décédé. Beaucoup </w:t>
      </w:r>
      <w:r>
        <w:rPr>
          <w:color w:val="231F20"/>
          <w:spacing w:val="-4"/>
        </w:rPr>
        <w:t>d’ivoiriens</w:t>
      </w:r>
      <w:r>
        <w:rPr>
          <w:color w:val="231F20"/>
          <w:spacing w:val="-8"/>
        </w:rPr>
        <w:t> </w:t>
      </w:r>
      <w:r>
        <w:rPr>
          <w:color w:val="231F20"/>
          <w:spacing w:val="-4"/>
        </w:rPr>
        <w:t>demeurent</w:t>
      </w:r>
      <w:r>
        <w:rPr>
          <w:color w:val="231F20"/>
          <w:spacing w:val="-8"/>
        </w:rPr>
        <w:t> </w:t>
      </w:r>
      <w:r>
        <w:rPr>
          <w:color w:val="231F20"/>
          <w:spacing w:val="-4"/>
        </w:rPr>
        <w:t>sceptiques :</w:t>
      </w:r>
      <w:r>
        <w:rPr>
          <w:color w:val="231F20"/>
          <w:spacing w:val="-5"/>
        </w:rPr>
        <w:t> </w:t>
      </w:r>
      <w:r>
        <w:rPr>
          <w:color w:val="231F20"/>
          <w:spacing w:val="-4"/>
        </w:rPr>
        <w:t>en</w:t>
      </w:r>
      <w:r>
        <w:rPr>
          <w:color w:val="231F20"/>
          <w:spacing w:val="-5"/>
        </w:rPr>
        <w:t> </w:t>
      </w:r>
      <w:r>
        <w:rPr>
          <w:color w:val="231F20"/>
          <w:spacing w:val="-4"/>
        </w:rPr>
        <w:t>Afrique</w:t>
      </w:r>
      <w:r>
        <w:rPr>
          <w:color w:val="231F20"/>
          <w:spacing w:val="-9"/>
        </w:rPr>
        <w:t> </w:t>
      </w:r>
      <w:r>
        <w:rPr>
          <w:color w:val="231F20"/>
          <w:spacing w:val="-4"/>
        </w:rPr>
        <w:t>et</w:t>
      </w:r>
      <w:r>
        <w:rPr>
          <w:color w:val="231F20"/>
          <w:spacing w:val="-5"/>
        </w:rPr>
        <w:t> </w:t>
      </w:r>
      <w:r>
        <w:rPr>
          <w:color w:val="231F20"/>
          <w:spacing w:val="-4"/>
        </w:rPr>
        <w:t>particulièrement</w:t>
      </w:r>
      <w:r>
        <w:rPr>
          <w:color w:val="231F20"/>
          <w:spacing w:val="-6"/>
        </w:rPr>
        <w:t> </w:t>
      </w:r>
      <w:r>
        <w:rPr>
          <w:color w:val="231F20"/>
          <w:spacing w:val="-4"/>
        </w:rPr>
        <w:t>chez</w:t>
      </w:r>
      <w:r>
        <w:rPr>
          <w:color w:val="231F20"/>
          <w:spacing w:val="-9"/>
        </w:rPr>
        <w:t> </w:t>
      </w:r>
      <w:r>
        <w:rPr>
          <w:color w:val="231F20"/>
          <w:spacing w:val="-4"/>
        </w:rPr>
        <w:t>les </w:t>
      </w:r>
      <w:r>
        <w:rPr>
          <w:color w:val="231F20"/>
        </w:rPr>
        <w:t>Akans,</w:t>
      </w:r>
      <w:r>
        <w:rPr>
          <w:color w:val="231F20"/>
          <w:spacing w:val="-2"/>
        </w:rPr>
        <w:t> </w:t>
      </w:r>
      <w:r>
        <w:rPr>
          <w:color w:val="231F20"/>
        </w:rPr>
        <w:t>ethnie</w:t>
      </w:r>
      <w:r>
        <w:rPr>
          <w:color w:val="231F20"/>
          <w:spacing w:val="-2"/>
        </w:rPr>
        <w:t> </w:t>
      </w:r>
      <w:r>
        <w:rPr>
          <w:color w:val="231F20"/>
        </w:rPr>
        <w:t>du</w:t>
      </w:r>
      <w:r>
        <w:rPr>
          <w:color w:val="231F20"/>
          <w:spacing w:val="-2"/>
        </w:rPr>
        <w:t> </w:t>
      </w:r>
      <w:r>
        <w:rPr>
          <w:color w:val="231F20"/>
        </w:rPr>
        <w:t>défunt,</w:t>
      </w:r>
      <w:r>
        <w:rPr>
          <w:color w:val="231F20"/>
          <w:spacing w:val="-4"/>
        </w:rPr>
        <w:t> </w:t>
      </w:r>
      <w:r>
        <w:rPr>
          <w:color w:val="231F20"/>
        </w:rPr>
        <w:t>la</w:t>
      </w:r>
      <w:r>
        <w:rPr>
          <w:color w:val="231F20"/>
          <w:spacing w:val="-2"/>
        </w:rPr>
        <w:t> </w:t>
      </w:r>
      <w:r>
        <w:rPr>
          <w:color w:val="231F20"/>
        </w:rPr>
        <w:t>mort</w:t>
      </w:r>
      <w:r>
        <w:rPr>
          <w:color w:val="231F20"/>
          <w:spacing w:val="-2"/>
        </w:rPr>
        <w:t> </w:t>
      </w:r>
      <w:r>
        <w:rPr>
          <w:color w:val="231F20"/>
        </w:rPr>
        <w:t>du</w:t>
      </w:r>
      <w:r>
        <w:rPr>
          <w:color w:val="231F20"/>
          <w:spacing w:val="-2"/>
        </w:rPr>
        <w:t> </w:t>
      </w:r>
      <w:r>
        <w:rPr>
          <w:color w:val="231F20"/>
        </w:rPr>
        <w:t>chef</w:t>
      </w:r>
      <w:r>
        <w:rPr>
          <w:color w:val="231F20"/>
          <w:spacing w:val="-2"/>
        </w:rPr>
        <w:t> </w:t>
      </w:r>
      <w:r>
        <w:rPr>
          <w:color w:val="231F20"/>
        </w:rPr>
        <w:t>ou</w:t>
      </w:r>
      <w:r>
        <w:rPr>
          <w:color w:val="231F20"/>
          <w:spacing w:val="-2"/>
        </w:rPr>
        <w:t> </w:t>
      </w:r>
      <w:r>
        <w:rPr>
          <w:color w:val="231F20"/>
        </w:rPr>
        <w:t>du</w:t>
      </w:r>
      <w:r>
        <w:rPr>
          <w:color w:val="231F20"/>
          <w:spacing w:val="-2"/>
        </w:rPr>
        <w:t> </w:t>
      </w:r>
      <w:r>
        <w:rPr>
          <w:color w:val="231F20"/>
        </w:rPr>
        <w:t>roi</w:t>
      </w:r>
      <w:r>
        <w:rPr>
          <w:color w:val="231F20"/>
          <w:spacing w:val="-4"/>
        </w:rPr>
        <w:t> </w:t>
      </w:r>
      <w:r>
        <w:rPr>
          <w:color w:val="231F20"/>
        </w:rPr>
        <w:t>n’est</w:t>
      </w:r>
      <w:r>
        <w:rPr>
          <w:color w:val="231F20"/>
          <w:spacing w:val="-2"/>
        </w:rPr>
        <w:t> </w:t>
      </w:r>
      <w:r>
        <w:rPr>
          <w:color w:val="231F20"/>
        </w:rPr>
        <w:t>pas</w:t>
      </w:r>
      <w:r>
        <w:rPr>
          <w:color w:val="231F20"/>
          <w:spacing w:val="-2"/>
        </w:rPr>
        <w:t> </w:t>
      </w:r>
      <w:r>
        <w:rPr>
          <w:color w:val="231F20"/>
        </w:rPr>
        <w:t>annoncé</w:t>
      </w:r>
      <w:r>
        <w:rPr>
          <w:color w:val="231F20"/>
          <w:spacing w:val="-2"/>
        </w:rPr>
        <w:t> </w:t>
      </w:r>
      <w:r>
        <w:rPr>
          <w:color w:val="231F20"/>
        </w:rPr>
        <w:t>le même</w:t>
      </w:r>
      <w:r>
        <w:rPr>
          <w:color w:val="231F20"/>
          <w:spacing w:val="-13"/>
        </w:rPr>
        <w:t> </w:t>
      </w:r>
      <w:r>
        <w:rPr>
          <w:color w:val="231F20"/>
        </w:rPr>
        <w:t>jour.</w:t>
      </w:r>
      <w:r>
        <w:rPr>
          <w:color w:val="231F20"/>
          <w:spacing w:val="-13"/>
        </w:rPr>
        <w:t> </w:t>
      </w:r>
      <w:r>
        <w:rPr>
          <w:color w:val="231F20"/>
        </w:rPr>
        <w:t>Le</w:t>
      </w:r>
      <w:r>
        <w:rPr>
          <w:color w:val="231F20"/>
          <w:spacing w:val="-11"/>
        </w:rPr>
        <w:t> </w:t>
      </w:r>
      <w:r>
        <w:rPr>
          <w:color w:val="231F20"/>
        </w:rPr>
        <w:t>président</w:t>
      </w:r>
      <w:r>
        <w:rPr>
          <w:color w:val="231F20"/>
          <w:spacing w:val="-14"/>
        </w:rPr>
        <w:t> </w:t>
      </w:r>
      <w:r>
        <w:rPr>
          <w:color w:val="231F20"/>
        </w:rPr>
        <w:t>Houphouët-Boigny</w:t>
      </w:r>
      <w:r>
        <w:rPr>
          <w:color w:val="231F20"/>
          <w:spacing w:val="-13"/>
        </w:rPr>
        <w:t> </w:t>
      </w:r>
      <w:r>
        <w:rPr>
          <w:color w:val="231F20"/>
        </w:rPr>
        <w:t>était</w:t>
      </w:r>
      <w:r>
        <w:rPr>
          <w:color w:val="231F20"/>
          <w:spacing w:val="-13"/>
        </w:rPr>
        <w:t> </w:t>
      </w:r>
      <w:r>
        <w:rPr>
          <w:color w:val="231F20"/>
        </w:rPr>
        <w:t>très</w:t>
      </w:r>
      <w:r>
        <w:rPr>
          <w:color w:val="231F20"/>
          <w:spacing w:val="-13"/>
        </w:rPr>
        <w:t> </w:t>
      </w:r>
      <w:r>
        <w:rPr>
          <w:color w:val="231F20"/>
        </w:rPr>
        <w:t>traditionnaliste</w:t>
      </w:r>
      <w:r>
        <w:rPr>
          <w:color w:val="231F20"/>
          <w:spacing w:val="-13"/>
        </w:rPr>
        <w:t> </w:t>
      </w:r>
      <w:r>
        <w:rPr>
          <w:color w:val="231F20"/>
        </w:rPr>
        <w:t>et </w:t>
      </w:r>
      <w:r>
        <w:rPr>
          <w:color w:val="231F20"/>
          <w:spacing w:val="-4"/>
        </w:rPr>
        <w:t>sa</w:t>
      </w:r>
      <w:r>
        <w:rPr>
          <w:color w:val="231F20"/>
          <w:spacing w:val="-11"/>
        </w:rPr>
        <w:t> </w:t>
      </w:r>
      <w:r>
        <w:rPr>
          <w:color w:val="231F20"/>
          <w:spacing w:val="-4"/>
        </w:rPr>
        <w:t>famille</w:t>
      </w:r>
      <w:r>
        <w:rPr>
          <w:color w:val="231F20"/>
          <w:spacing w:val="-11"/>
        </w:rPr>
        <w:t> </w:t>
      </w:r>
      <w:r>
        <w:rPr>
          <w:color w:val="231F20"/>
          <w:spacing w:val="-4"/>
        </w:rPr>
        <w:t>à</w:t>
      </w:r>
      <w:r>
        <w:rPr>
          <w:color w:val="231F20"/>
          <w:spacing w:val="-11"/>
        </w:rPr>
        <w:t> </w:t>
      </w:r>
      <w:r>
        <w:rPr>
          <w:color w:val="231F20"/>
          <w:spacing w:val="-4"/>
        </w:rPr>
        <w:t>Yamoussoukro</w:t>
      </w:r>
      <w:r>
        <w:rPr>
          <w:color w:val="231F20"/>
          <w:spacing w:val="-9"/>
        </w:rPr>
        <w:t> </w:t>
      </w:r>
      <w:r>
        <w:rPr>
          <w:color w:val="231F20"/>
          <w:spacing w:val="-4"/>
        </w:rPr>
        <w:t>n’aurait</w:t>
      </w:r>
      <w:r>
        <w:rPr>
          <w:color w:val="231F20"/>
          <w:spacing w:val="-11"/>
        </w:rPr>
        <w:t> </w:t>
      </w:r>
      <w:r>
        <w:rPr>
          <w:color w:val="231F20"/>
          <w:spacing w:val="-4"/>
        </w:rPr>
        <w:t>pour</w:t>
      </w:r>
      <w:r>
        <w:rPr>
          <w:color w:val="231F20"/>
          <w:spacing w:val="-11"/>
        </w:rPr>
        <w:t> </w:t>
      </w:r>
      <w:r>
        <w:rPr>
          <w:color w:val="231F20"/>
          <w:spacing w:val="-4"/>
        </w:rPr>
        <w:t>rien</w:t>
      </w:r>
      <w:r>
        <w:rPr>
          <w:color w:val="231F20"/>
          <w:spacing w:val="-11"/>
        </w:rPr>
        <w:t> </w:t>
      </w:r>
      <w:r>
        <w:rPr>
          <w:color w:val="231F20"/>
          <w:spacing w:val="-4"/>
        </w:rPr>
        <w:t>au</w:t>
      </w:r>
      <w:r>
        <w:rPr>
          <w:color w:val="231F20"/>
          <w:spacing w:val="-11"/>
        </w:rPr>
        <w:t> </w:t>
      </w:r>
      <w:r>
        <w:rPr>
          <w:color w:val="231F20"/>
          <w:spacing w:val="-4"/>
        </w:rPr>
        <w:t>monde,</w:t>
      </w:r>
      <w:r>
        <w:rPr>
          <w:color w:val="231F20"/>
          <w:spacing w:val="-9"/>
        </w:rPr>
        <w:t> </w:t>
      </w:r>
      <w:r>
        <w:rPr>
          <w:color w:val="231F20"/>
          <w:spacing w:val="-4"/>
        </w:rPr>
        <w:t>fût-il</w:t>
      </w:r>
      <w:r>
        <w:rPr>
          <w:color w:val="231F20"/>
          <w:spacing w:val="-8"/>
        </w:rPr>
        <w:t> </w:t>
      </w:r>
      <w:r>
        <w:rPr>
          <w:color w:val="231F20"/>
          <w:spacing w:val="-4"/>
        </w:rPr>
        <w:t>chef</w:t>
      </w:r>
      <w:r>
        <w:rPr>
          <w:color w:val="231F20"/>
          <w:spacing w:val="-11"/>
        </w:rPr>
        <w:t> </w:t>
      </w:r>
      <w:r>
        <w:rPr>
          <w:color w:val="231F20"/>
          <w:spacing w:val="-4"/>
        </w:rPr>
        <w:t>d’État, </w:t>
      </w:r>
      <w:r>
        <w:rPr>
          <w:color w:val="231F20"/>
        </w:rPr>
        <w:t>dérogé aux us et coutumes ancestraux. Aussi, pour la majorité de ses compatriotes, il est plausible qu’il soit mort en Suisse où il avait été </w:t>
      </w:r>
      <w:r>
        <w:rPr>
          <w:color w:val="231F20"/>
          <w:spacing w:val="-4"/>
        </w:rPr>
        <w:t>évacué</w:t>
      </w:r>
      <w:r>
        <w:rPr>
          <w:color w:val="231F20"/>
          <w:spacing w:val="-14"/>
        </w:rPr>
        <w:t> </w:t>
      </w:r>
      <w:r>
        <w:rPr>
          <w:color w:val="231F20"/>
          <w:spacing w:val="-4"/>
        </w:rPr>
        <w:t>depuis</w:t>
      </w:r>
      <w:r>
        <w:rPr>
          <w:color w:val="231F20"/>
          <w:spacing w:val="-13"/>
        </w:rPr>
        <w:t> </w:t>
      </w:r>
      <w:r>
        <w:rPr>
          <w:color w:val="231F20"/>
          <w:spacing w:val="-4"/>
        </w:rPr>
        <w:t>un</w:t>
      </w:r>
      <w:r>
        <w:rPr>
          <w:color w:val="231F20"/>
          <w:spacing w:val="-13"/>
        </w:rPr>
        <w:t> </w:t>
      </w:r>
      <w:r>
        <w:rPr>
          <w:color w:val="231F20"/>
          <w:spacing w:val="-4"/>
        </w:rPr>
        <w:t>hôpital</w:t>
      </w:r>
      <w:r>
        <w:rPr>
          <w:color w:val="231F20"/>
          <w:spacing w:val="-11"/>
        </w:rPr>
        <w:t> </w:t>
      </w:r>
      <w:r>
        <w:rPr>
          <w:color w:val="231F20"/>
          <w:spacing w:val="-4"/>
        </w:rPr>
        <w:t>parisien</w:t>
      </w:r>
      <w:r>
        <w:rPr>
          <w:color w:val="231F20"/>
          <w:spacing w:val="-14"/>
        </w:rPr>
        <w:t> </w:t>
      </w:r>
      <w:r>
        <w:rPr>
          <w:color w:val="231F20"/>
          <w:spacing w:val="-4"/>
        </w:rPr>
        <w:t>ou</w:t>
      </w:r>
      <w:r>
        <w:rPr>
          <w:color w:val="231F20"/>
          <w:spacing w:val="-16"/>
        </w:rPr>
        <w:t> </w:t>
      </w:r>
      <w:r>
        <w:rPr>
          <w:color w:val="231F20"/>
          <w:spacing w:val="-4"/>
        </w:rPr>
        <w:t>même</w:t>
      </w:r>
      <w:r>
        <w:rPr>
          <w:color w:val="231F20"/>
          <w:spacing w:val="-14"/>
        </w:rPr>
        <w:t> </w:t>
      </w:r>
      <w:r>
        <w:rPr>
          <w:color w:val="231F20"/>
          <w:spacing w:val="-4"/>
        </w:rPr>
        <w:t>à</w:t>
      </w:r>
      <w:r>
        <w:rPr>
          <w:color w:val="231F20"/>
          <w:spacing w:val="-15"/>
        </w:rPr>
        <w:t> </w:t>
      </w:r>
      <w:r>
        <w:rPr>
          <w:color w:val="231F20"/>
          <w:spacing w:val="-4"/>
        </w:rPr>
        <w:t>Paris,</w:t>
      </w:r>
      <w:r>
        <w:rPr>
          <w:color w:val="231F20"/>
          <w:spacing w:val="-13"/>
        </w:rPr>
        <w:t> </w:t>
      </w:r>
      <w:r>
        <w:rPr>
          <w:color w:val="231F20"/>
          <w:spacing w:val="-4"/>
        </w:rPr>
        <w:t>avant</w:t>
      </w:r>
      <w:r>
        <w:rPr>
          <w:color w:val="231F20"/>
          <w:spacing w:val="-11"/>
        </w:rPr>
        <w:t> </w:t>
      </w:r>
      <w:r>
        <w:rPr>
          <w:color w:val="231F20"/>
          <w:spacing w:val="-4"/>
        </w:rPr>
        <w:t>d’en</w:t>
      </w:r>
      <w:r>
        <w:rPr>
          <w:color w:val="231F20"/>
          <w:spacing w:val="-13"/>
        </w:rPr>
        <w:t> </w:t>
      </w:r>
      <w:r>
        <w:rPr>
          <w:color w:val="231F20"/>
          <w:spacing w:val="-4"/>
        </w:rPr>
        <w:t>être</w:t>
      </w:r>
      <w:r>
        <w:rPr>
          <w:color w:val="231F20"/>
          <w:spacing w:val="-13"/>
        </w:rPr>
        <w:t> </w:t>
      </w:r>
      <w:r>
        <w:rPr>
          <w:color w:val="231F20"/>
          <w:spacing w:val="-4"/>
        </w:rPr>
        <w:t>évacué.</w:t>
      </w:r>
    </w:p>
    <w:p>
      <w:pPr>
        <w:spacing w:before="121"/>
        <w:ind w:left="111" w:right="104" w:firstLine="283"/>
        <w:jc w:val="both"/>
        <w:rPr>
          <w:sz w:val="24"/>
        </w:rPr>
      </w:pPr>
      <w:r>
        <w:rPr>
          <w:color w:val="231F20"/>
          <w:sz w:val="24"/>
        </w:rPr>
        <w:t>Le</w:t>
      </w:r>
      <w:r>
        <w:rPr>
          <w:color w:val="231F20"/>
          <w:spacing w:val="-15"/>
          <w:sz w:val="24"/>
        </w:rPr>
        <w:t> </w:t>
      </w:r>
      <w:r>
        <w:rPr>
          <w:color w:val="231F20"/>
          <w:sz w:val="24"/>
        </w:rPr>
        <w:t>choix</w:t>
      </w:r>
      <w:r>
        <w:rPr>
          <w:color w:val="231F20"/>
          <w:spacing w:val="-15"/>
          <w:sz w:val="24"/>
        </w:rPr>
        <w:t> </w:t>
      </w:r>
      <w:r>
        <w:rPr>
          <w:color w:val="231F20"/>
          <w:sz w:val="24"/>
        </w:rPr>
        <w:t>de</w:t>
      </w:r>
      <w:r>
        <w:rPr>
          <w:color w:val="231F20"/>
          <w:spacing w:val="-15"/>
          <w:sz w:val="24"/>
        </w:rPr>
        <w:t> </w:t>
      </w:r>
      <w:r>
        <w:rPr>
          <w:color w:val="231F20"/>
          <w:sz w:val="24"/>
        </w:rPr>
        <w:t>la</w:t>
      </w:r>
      <w:r>
        <w:rPr>
          <w:color w:val="231F20"/>
          <w:spacing w:val="-15"/>
          <w:sz w:val="24"/>
        </w:rPr>
        <w:t> </w:t>
      </w:r>
      <w:r>
        <w:rPr>
          <w:color w:val="231F20"/>
          <w:sz w:val="24"/>
        </w:rPr>
        <w:t>date</w:t>
      </w:r>
      <w:r>
        <w:rPr>
          <w:color w:val="231F20"/>
          <w:spacing w:val="-15"/>
          <w:sz w:val="24"/>
        </w:rPr>
        <w:t> </w:t>
      </w:r>
      <w:r>
        <w:rPr>
          <w:color w:val="231F20"/>
          <w:sz w:val="24"/>
        </w:rPr>
        <w:t>du</w:t>
      </w:r>
      <w:r>
        <w:rPr>
          <w:color w:val="231F20"/>
          <w:spacing w:val="-15"/>
          <w:sz w:val="24"/>
        </w:rPr>
        <w:t> </w:t>
      </w:r>
      <w:r>
        <w:rPr>
          <w:color w:val="231F20"/>
          <w:sz w:val="24"/>
        </w:rPr>
        <w:t>7</w:t>
      </w:r>
      <w:r>
        <w:rPr>
          <w:color w:val="231F20"/>
          <w:spacing w:val="-15"/>
          <w:sz w:val="24"/>
        </w:rPr>
        <w:t> </w:t>
      </w:r>
      <w:r>
        <w:rPr>
          <w:color w:val="231F20"/>
          <w:sz w:val="24"/>
        </w:rPr>
        <w:t>décembre,</w:t>
      </w:r>
      <w:r>
        <w:rPr>
          <w:color w:val="231F20"/>
          <w:spacing w:val="-15"/>
          <w:sz w:val="24"/>
        </w:rPr>
        <w:t> </w:t>
      </w:r>
      <w:r>
        <w:rPr>
          <w:color w:val="231F20"/>
          <w:sz w:val="24"/>
        </w:rPr>
        <w:t>jour</w:t>
      </w:r>
      <w:r>
        <w:rPr>
          <w:color w:val="231F20"/>
          <w:spacing w:val="-15"/>
          <w:sz w:val="24"/>
        </w:rPr>
        <w:t> </w:t>
      </w:r>
      <w:r>
        <w:rPr>
          <w:color w:val="231F20"/>
          <w:sz w:val="24"/>
        </w:rPr>
        <w:t>de</w:t>
      </w:r>
      <w:r>
        <w:rPr>
          <w:color w:val="231F20"/>
          <w:spacing w:val="-15"/>
          <w:sz w:val="24"/>
        </w:rPr>
        <w:t> </w:t>
      </w:r>
      <w:r>
        <w:rPr>
          <w:color w:val="231F20"/>
          <w:sz w:val="24"/>
        </w:rPr>
        <w:t>la</w:t>
      </w:r>
      <w:r>
        <w:rPr>
          <w:color w:val="231F20"/>
          <w:spacing w:val="-15"/>
          <w:sz w:val="24"/>
        </w:rPr>
        <w:t> </w:t>
      </w:r>
      <w:r>
        <w:rPr>
          <w:color w:val="231F20"/>
          <w:sz w:val="24"/>
        </w:rPr>
        <w:t>fête</w:t>
      </w:r>
      <w:r>
        <w:rPr>
          <w:color w:val="231F20"/>
          <w:spacing w:val="-15"/>
          <w:sz w:val="24"/>
        </w:rPr>
        <w:t> </w:t>
      </w:r>
      <w:r>
        <w:rPr>
          <w:color w:val="231F20"/>
          <w:sz w:val="24"/>
        </w:rPr>
        <w:t>nationale</w:t>
      </w:r>
      <w:r>
        <w:rPr>
          <w:color w:val="231F20"/>
          <w:spacing w:val="-15"/>
          <w:sz w:val="24"/>
        </w:rPr>
        <w:t> </w:t>
      </w:r>
      <w:r>
        <w:rPr>
          <w:color w:val="231F20"/>
          <w:sz w:val="24"/>
        </w:rPr>
        <w:t>participait à écrire une autre page de la légende de l’homme extraordinaire. Pour </w:t>
      </w:r>
      <w:r>
        <w:rPr>
          <w:color w:val="231F20"/>
          <w:spacing w:val="-2"/>
          <w:sz w:val="24"/>
        </w:rPr>
        <w:t>corroborer</w:t>
      </w:r>
      <w:r>
        <w:rPr>
          <w:color w:val="231F20"/>
          <w:spacing w:val="-15"/>
          <w:sz w:val="24"/>
        </w:rPr>
        <w:t> </w:t>
      </w:r>
      <w:r>
        <w:rPr>
          <w:color w:val="231F20"/>
          <w:spacing w:val="-2"/>
          <w:sz w:val="24"/>
        </w:rPr>
        <w:t>les</w:t>
      </w:r>
      <w:r>
        <w:rPr>
          <w:color w:val="231F20"/>
          <w:spacing w:val="-13"/>
          <w:sz w:val="24"/>
        </w:rPr>
        <w:t> </w:t>
      </w:r>
      <w:r>
        <w:rPr>
          <w:color w:val="231F20"/>
          <w:spacing w:val="-2"/>
          <w:sz w:val="24"/>
        </w:rPr>
        <w:t>doutes</w:t>
      </w:r>
      <w:r>
        <w:rPr>
          <w:color w:val="231F20"/>
          <w:spacing w:val="-13"/>
          <w:sz w:val="24"/>
        </w:rPr>
        <w:t> </w:t>
      </w:r>
      <w:r>
        <w:rPr>
          <w:color w:val="231F20"/>
          <w:spacing w:val="-2"/>
          <w:sz w:val="24"/>
        </w:rPr>
        <w:t>des</w:t>
      </w:r>
      <w:r>
        <w:rPr>
          <w:color w:val="231F20"/>
          <w:spacing w:val="-13"/>
          <w:sz w:val="24"/>
        </w:rPr>
        <w:t> </w:t>
      </w:r>
      <w:r>
        <w:rPr>
          <w:color w:val="231F20"/>
          <w:spacing w:val="-2"/>
          <w:sz w:val="24"/>
        </w:rPr>
        <w:t>Ivoiriens,</w:t>
      </w:r>
      <w:r>
        <w:rPr>
          <w:color w:val="231F20"/>
          <w:spacing w:val="-13"/>
          <w:sz w:val="24"/>
        </w:rPr>
        <w:t> </w:t>
      </w:r>
      <w:r>
        <w:rPr>
          <w:color w:val="231F20"/>
          <w:spacing w:val="-2"/>
          <w:sz w:val="24"/>
        </w:rPr>
        <w:t>la</w:t>
      </w:r>
      <w:r>
        <w:rPr>
          <w:color w:val="231F20"/>
          <w:spacing w:val="-13"/>
          <w:sz w:val="24"/>
        </w:rPr>
        <w:t> </w:t>
      </w:r>
      <w:r>
        <w:rPr>
          <w:i/>
          <w:color w:val="231F20"/>
          <w:spacing w:val="-2"/>
          <w:sz w:val="24"/>
        </w:rPr>
        <w:t>Lettre</w:t>
      </w:r>
      <w:r>
        <w:rPr>
          <w:i/>
          <w:color w:val="231F20"/>
          <w:spacing w:val="-13"/>
          <w:sz w:val="24"/>
        </w:rPr>
        <w:t> </w:t>
      </w:r>
      <w:r>
        <w:rPr>
          <w:i/>
          <w:color w:val="231F20"/>
          <w:spacing w:val="-2"/>
          <w:sz w:val="24"/>
        </w:rPr>
        <w:t>du</w:t>
      </w:r>
      <w:r>
        <w:rPr>
          <w:i/>
          <w:color w:val="231F20"/>
          <w:spacing w:val="-13"/>
          <w:sz w:val="24"/>
        </w:rPr>
        <w:t> </w:t>
      </w:r>
      <w:r>
        <w:rPr>
          <w:i/>
          <w:color w:val="231F20"/>
          <w:spacing w:val="-2"/>
          <w:sz w:val="24"/>
        </w:rPr>
        <w:t>continent</w:t>
      </w:r>
      <w:r>
        <w:rPr>
          <w:i/>
          <w:color w:val="231F20"/>
          <w:spacing w:val="-13"/>
          <w:sz w:val="24"/>
        </w:rPr>
        <w:t> </w:t>
      </w:r>
      <w:r>
        <w:rPr>
          <w:color w:val="231F20"/>
          <w:spacing w:val="-2"/>
          <w:sz w:val="24"/>
        </w:rPr>
        <w:t>avait</w:t>
      </w:r>
      <w:r>
        <w:rPr>
          <w:color w:val="231F20"/>
          <w:spacing w:val="-13"/>
          <w:sz w:val="24"/>
        </w:rPr>
        <w:t> </w:t>
      </w:r>
      <w:r>
        <w:rPr>
          <w:color w:val="231F20"/>
          <w:spacing w:val="-2"/>
          <w:sz w:val="24"/>
        </w:rPr>
        <w:t>révélé</w:t>
      </w:r>
      <w:r>
        <w:rPr>
          <w:color w:val="231F20"/>
          <w:spacing w:val="-13"/>
          <w:sz w:val="24"/>
        </w:rPr>
        <w:t> </w:t>
      </w:r>
      <w:r>
        <w:rPr>
          <w:color w:val="231F20"/>
          <w:spacing w:val="-2"/>
          <w:sz w:val="24"/>
        </w:rPr>
        <w:t>dès </w:t>
      </w:r>
      <w:r>
        <w:rPr>
          <w:color w:val="231F20"/>
          <w:spacing w:val="-4"/>
          <w:sz w:val="24"/>
        </w:rPr>
        <w:t>le</w:t>
      </w:r>
      <w:r>
        <w:rPr>
          <w:color w:val="231F20"/>
          <w:spacing w:val="-11"/>
          <w:sz w:val="24"/>
        </w:rPr>
        <w:t> </w:t>
      </w:r>
      <w:r>
        <w:rPr>
          <w:color w:val="231F20"/>
          <w:spacing w:val="-4"/>
          <w:sz w:val="24"/>
        </w:rPr>
        <w:t>2</w:t>
      </w:r>
      <w:r>
        <w:rPr>
          <w:color w:val="231F20"/>
          <w:spacing w:val="-11"/>
          <w:sz w:val="24"/>
        </w:rPr>
        <w:t> </w:t>
      </w:r>
      <w:r>
        <w:rPr>
          <w:color w:val="231F20"/>
          <w:spacing w:val="-4"/>
          <w:sz w:val="24"/>
        </w:rPr>
        <w:t>décembre</w:t>
      </w:r>
      <w:r>
        <w:rPr>
          <w:color w:val="231F20"/>
          <w:spacing w:val="-11"/>
          <w:sz w:val="24"/>
        </w:rPr>
        <w:t> </w:t>
      </w:r>
      <w:r>
        <w:rPr>
          <w:color w:val="231F20"/>
          <w:spacing w:val="-4"/>
          <w:sz w:val="24"/>
        </w:rPr>
        <w:t>1993</w:t>
      </w:r>
      <w:r>
        <w:rPr>
          <w:color w:val="231F20"/>
          <w:spacing w:val="-11"/>
          <w:sz w:val="24"/>
        </w:rPr>
        <w:t> </w:t>
      </w:r>
      <w:r>
        <w:rPr>
          <w:color w:val="231F20"/>
          <w:spacing w:val="-4"/>
          <w:sz w:val="24"/>
        </w:rPr>
        <w:t>:</w:t>
      </w:r>
      <w:r>
        <w:rPr>
          <w:color w:val="231F20"/>
          <w:spacing w:val="-11"/>
          <w:sz w:val="24"/>
        </w:rPr>
        <w:t> </w:t>
      </w:r>
      <w:r>
        <w:rPr>
          <w:i/>
          <w:color w:val="231F20"/>
          <w:spacing w:val="-4"/>
          <w:sz w:val="24"/>
        </w:rPr>
        <w:t>«</w:t>
      </w:r>
      <w:r>
        <w:rPr>
          <w:i/>
          <w:color w:val="231F20"/>
          <w:spacing w:val="-11"/>
          <w:sz w:val="24"/>
        </w:rPr>
        <w:t> </w:t>
      </w:r>
      <w:r>
        <w:rPr>
          <w:i/>
          <w:color w:val="231F20"/>
          <w:spacing w:val="-4"/>
          <w:sz w:val="24"/>
        </w:rPr>
        <w:t>La</w:t>
      </w:r>
      <w:r>
        <w:rPr>
          <w:i/>
          <w:color w:val="231F20"/>
          <w:spacing w:val="-11"/>
          <w:sz w:val="24"/>
        </w:rPr>
        <w:t> </w:t>
      </w:r>
      <w:r>
        <w:rPr>
          <w:i/>
          <w:color w:val="231F20"/>
          <w:spacing w:val="-4"/>
          <w:sz w:val="24"/>
        </w:rPr>
        <w:t>France</w:t>
      </w:r>
      <w:r>
        <w:rPr>
          <w:i/>
          <w:color w:val="231F20"/>
          <w:spacing w:val="-11"/>
          <w:sz w:val="24"/>
        </w:rPr>
        <w:t> </w:t>
      </w:r>
      <w:r>
        <w:rPr>
          <w:i/>
          <w:color w:val="231F20"/>
          <w:spacing w:val="-4"/>
          <w:sz w:val="24"/>
        </w:rPr>
        <w:t>est</w:t>
      </w:r>
      <w:r>
        <w:rPr>
          <w:i/>
          <w:color w:val="231F20"/>
          <w:spacing w:val="-11"/>
          <w:sz w:val="24"/>
        </w:rPr>
        <w:t> </w:t>
      </w:r>
      <w:r>
        <w:rPr>
          <w:i/>
          <w:color w:val="231F20"/>
          <w:spacing w:val="-4"/>
          <w:sz w:val="24"/>
        </w:rPr>
        <w:t>en</w:t>
      </w:r>
      <w:r>
        <w:rPr>
          <w:i/>
          <w:color w:val="231F20"/>
          <w:spacing w:val="-11"/>
          <w:sz w:val="24"/>
        </w:rPr>
        <w:t> </w:t>
      </w:r>
      <w:r>
        <w:rPr>
          <w:i/>
          <w:color w:val="231F20"/>
          <w:spacing w:val="-4"/>
          <w:sz w:val="24"/>
        </w:rPr>
        <w:t>train</w:t>
      </w:r>
      <w:r>
        <w:rPr>
          <w:i/>
          <w:color w:val="231F20"/>
          <w:spacing w:val="-11"/>
          <w:sz w:val="24"/>
        </w:rPr>
        <w:t> </w:t>
      </w:r>
      <w:r>
        <w:rPr>
          <w:i/>
          <w:color w:val="231F20"/>
          <w:spacing w:val="-4"/>
          <w:sz w:val="24"/>
        </w:rPr>
        <w:t>de</w:t>
      </w:r>
      <w:r>
        <w:rPr>
          <w:i/>
          <w:color w:val="231F20"/>
          <w:spacing w:val="-11"/>
          <w:sz w:val="24"/>
        </w:rPr>
        <w:t> </w:t>
      </w:r>
      <w:r>
        <w:rPr>
          <w:i/>
          <w:color w:val="231F20"/>
          <w:spacing w:val="-4"/>
          <w:sz w:val="24"/>
        </w:rPr>
        <w:t>mettre</w:t>
      </w:r>
      <w:r>
        <w:rPr>
          <w:i/>
          <w:color w:val="231F20"/>
          <w:spacing w:val="-11"/>
          <w:sz w:val="24"/>
        </w:rPr>
        <w:t> </w:t>
      </w:r>
      <w:r>
        <w:rPr>
          <w:i/>
          <w:color w:val="231F20"/>
          <w:spacing w:val="-4"/>
          <w:sz w:val="24"/>
        </w:rPr>
        <w:t>en</w:t>
      </w:r>
      <w:r>
        <w:rPr>
          <w:i/>
          <w:color w:val="231F20"/>
          <w:spacing w:val="-11"/>
          <w:sz w:val="24"/>
        </w:rPr>
        <w:t> </w:t>
      </w:r>
      <w:r>
        <w:rPr>
          <w:i/>
          <w:color w:val="231F20"/>
          <w:spacing w:val="-4"/>
          <w:sz w:val="24"/>
        </w:rPr>
        <w:t>place</w:t>
      </w:r>
      <w:r>
        <w:rPr>
          <w:i/>
          <w:color w:val="231F20"/>
          <w:spacing w:val="-11"/>
          <w:sz w:val="24"/>
        </w:rPr>
        <w:t> </w:t>
      </w:r>
      <w:r>
        <w:rPr>
          <w:i/>
          <w:color w:val="231F20"/>
          <w:spacing w:val="-4"/>
          <w:sz w:val="24"/>
        </w:rPr>
        <w:t>le</w:t>
      </w:r>
      <w:r>
        <w:rPr>
          <w:i/>
          <w:color w:val="231F20"/>
          <w:spacing w:val="-11"/>
          <w:sz w:val="24"/>
        </w:rPr>
        <w:t> </w:t>
      </w:r>
      <w:r>
        <w:rPr>
          <w:i/>
          <w:color w:val="231F20"/>
          <w:spacing w:val="-4"/>
          <w:sz w:val="24"/>
        </w:rPr>
        <w:t>casting</w:t>
      </w:r>
      <w:r>
        <w:rPr>
          <w:i/>
          <w:color w:val="231F20"/>
          <w:spacing w:val="-4"/>
          <w:sz w:val="24"/>
        </w:rPr>
        <w:t> </w:t>
      </w:r>
      <w:r>
        <w:rPr>
          <w:i/>
          <w:color w:val="231F20"/>
          <w:spacing w:val="-2"/>
          <w:sz w:val="24"/>
        </w:rPr>
        <w:t>du</w:t>
      </w:r>
      <w:r>
        <w:rPr>
          <w:i/>
          <w:color w:val="231F20"/>
          <w:spacing w:val="-15"/>
          <w:sz w:val="24"/>
        </w:rPr>
        <w:t> </w:t>
      </w:r>
      <w:r>
        <w:rPr>
          <w:i/>
          <w:color w:val="231F20"/>
          <w:spacing w:val="-2"/>
          <w:sz w:val="24"/>
        </w:rPr>
        <w:t>film</w:t>
      </w:r>
      <w:r>
        <w:rPr>
          <w:i/>
          <w:color w:val="231F20"/>
          <w:spacing w:val="-13"/>
          <w:sz w:val="24"/>
        </w:rPr>
        <w:t> </w:t>
      </w:r>
      <w:r>
        <w:rPr>
          <w:i/>
          <w:color w:val="231F20"/>
          <w:spacing w:val="-2"/>
          <w:sz w:val="24"/>
        </w:rPr>
        <w:t>"La</w:t>
      </w:r>
      <w:r>
        <w:rPr>
          <w:i/>
          <w:color w:val="231F20"/>
          <w:spacing w:val="-13"/>
          <w:sz w:val="24"/>
        </w:rPr>
        <w:t> </w:t>
      </w:r>
      <w:r>
        <w:rPr>
          <w:i/>
          <w:color w:val="231F20"/>
          <w:spacing w:val="-2"/>
          <w:sz w:val="24"/>
        </w:rPr>
        <w:t>Constitution,</w:t>
      </w:r>
      <w:r>
        <w:rPr>
          <w:i/>
          <w:color w:val="231F20"/>
          <w:spacing w:val="-13"/>
          <w:sz w:val="24"/>
        </w:rPr>
        <w:t> </w:t>
      </w:r>
      <w:r>
        <w:rPr>
          <w:i/>
          <w:color w:val="231F20"/>
          <w:spacing w:val="-2"/>
          <w:sz w:val="24"/>
        </w:rPr>
        <w:t>rien</w:t>
      </w:r>
      <w:r>
        <w:rPr>
          <w:i/>
          <w:color w:val="231F20"/>
          <w:spacing w:val="-13"/>
          <w:sz w:val="24"/>
        </w:rPr>
        <w:t> </w:t>
      </w:r>
      <w:r>
        <w:rPr>
          <w:i/>
          <w:color w:val="231F20"/>
          <w:spacing w:val="-2"/>
          <w:sz w:val="24"/>
        </w:rPr>
        <w:t>que</w:t>
      </w:r>
      <w:r>
        <w:rPr>
          <w:i/>
          <w:color w:val="231F20"/>
          <w:spacing w:val="-13"/>
          <w:sz w:val="24"/>
        </w:rPr>
        <w:t> </w:t>
      </w:r>
      <w:r>
        <w:rPr>
          <w:i/>
          <w:color w:val="231F20"/>
          <w:spacing w:val="-2"/>
          <w:sz w:val="24"/>
        </w:rPr>
        <w:t>la</w:t>
      </w:r>
      <w:r>
        <w:rPr>
          <w:i/>
          <w:color w:val="231F20"/>
          <w:spacing w:val="-13"/>
          <w:sz w:val="24"/>
        </w:rPr>
        <w:t> </w:t>
      </w:r>
      <w:r>
        <w:rPr>
          <w:i/>
          <w:color w:val="231F20"/>
          <w:spacing w:val="-2"/>
          <w:sz w:val="24"/>
        </w:rPr>
        <w:t>Constitution"</w:t>
      </w:r>
      <w:r>
        <w:rPr>
          <w:i/>
          <w:color w:val="231F20"/>
          <w:spacing w:val="-13"/>
          <w:sz w:val="24"/>
        </w:rPr>
        <w:t> </w:t>
      </w:r>
      <w:r>
        <w:rPr>
          <w:i/>
          <w:color w:val="231F20"/>
          <w:spacing w:val="-2"/>
          <w:sz w:val="24"/>
        </w:rPr>
        <w:t>pour</w:t>
      </w:r>
      <w:r>
        <w:rPr>
          <w:i/>
          <w:color w:val="231F20"/>
          <w:spacing w:val="-13"/>
          <w:sz w:val="24"/>
        </w:rPr>
        <w:t> </w:t>
      </w:r>
      <w:r>
        <w:rPr>
          <w:i/>
          <w:color w:val="231F20"/>
          <w:spacing w:val="-2"/>
          <w:sz w:val="24"/>
        </w:rPr>
        <w:t>introniser</w:t>
      </w:r>
      <w:r>
        <w:rPr>
          <w:i/>
          <w:color w:val="231F20"/>
          <w:spacing w:val="-13"/>
          <w:sz w:val="24"/>
        </w:rPr>
        <w:t> </w:t>
      </w:r>
      <w:r>
        <w:rPr>
          <w:i/>
          <w:color w:val="231F20"/>
          <w:spacing w:val="-2"/>
          <w:sz w:val="24"/>
        </w:rPr>
        <w:t>le</w:t>
      </w:r>
      <w:r>
        <w:rPr>
          <w:i/>
          <w:color w:val="231F20"/>
          <w:spacing w:val="-13"/>
          <w:sz w:val="24"/>
        </w:rPr>
        <w:t> </w:t>
      </w:r>
      <w:r>
        <w:rPr>
          <w:i/>
          <w:color w:val="231F20"/>
          <w:spacing w:val="-2"/>
          <w:sz w:val="24"/>
        </w:rPr>
        <w:t>plus </w:t>
      </w:r>
      <w:r>
        <w:rPr>
          <w:i/>
          <w:color w:val="231F20"/>
          <w:spacing w:val="-4"/>
          <w:sz w:val="24"/>
        </w:rPr>
        <w:t>vite</w:t>
      </w:r>
      <w:r>
        <w:rPr>
          <w:i/>
          <w:color w:val="231F20"/>
          <w:spacing w:val="-5"/>
          <w:sz w:val="24"/>
        </w:rPr>
        <w:t> </w:t>
      </w:r>
      <w:r>
        <w:rPr>
          <w:i/>
          <w:color w:val="231F20"/>
          <w:spacing w:val="-4"/>
          <w:sz w:val="24"/>
        </w:rPr>
        <w:t>possible, au titre</w:t>
      </w:r>
      <w:r>
        <w:rPr>
          <w:i/>
          <w:color w:val="231F20"/>
          <w:spacing w:val="-5"/>
          <w:sz w:val="24"/>
        </w:rPr>
        <w:t> </w:t>
      </w:r>
      <w:r>
        <w:rPr>
          <w:i/>
          <w:color w:val="231F20"/>
          <w:spacing w:val="-4"/>
          <w:sz w:val="24"/>
        </w:rPr>
        <w:t>de</w:t>
      </w:r>
      <w:r>
        <w:rPr>
          <w:i/>
          <w:color w:val="231F20"/>
          <w:spacing w:val="-7"/>
          <w:sz w:val="24"/>
        </w:rPr>
        <w:t> </w:t>
      </w:r>
      <w:r>
        <w:rPr>
          <w:i/>
          <w:color w:val="231F20"/>
          <w:spacing w:val="-4"/>
          <w:sz w:val="24"/>
        </w:rPr>
        <w:t>l'article</w:t>
      </w:r>
      <w:r>
        <w:rPr>
          <w:i/>
          <w:color w:val="231F20"/>
          <w:spacing w:val="-5"/>
          <w:sz w:val="24"/>
        </w:rPr>
        <w:t> </w:t>
      </w:r>
      <w:r>
        <w:rPr>
          <w:i/>
          <w:color w:val="231F20"/>
          <w:spacing w:val="-4"/>
          <w:sz w:val="24"/>
        </w:rPr>
        <w:t>11,</w:t>
      </w:r>
      <w:r>
        <w:rPr>
          <w:i/>
          <w:color w:val="231F20"/>
          <w:spacing w:val="-6"/>
          <w:sz w:val="24"/>
        </w:rPr>
        <w:t> </w:t>
      </w:r>
      <w:r>
        <w:rPr>
          <w:i/>
          <w:color w:val="231F20"/>
          <w:spacing w:val="-4"/>
          <w:sz w:val="24"/>
        </w:rPr>
        <w:t>le</w:t>
      </w:r>
      <w:r>
        <w:rPr>
          <w:i/>
          <w:color w:val="231F20"/>
          <w:spacing w:val="-5"/>
          <w:sz w:val="24"/>
        </w:rPr>
        <w:t> </w:t>
      </w:r>
      <w:r>
        <w:rPr>
          <w:i/>
          <w:color w:val="231F20"/>
          <w:spacing w:val="-4"/>
          <w:sz w:val="24"/>
        </w:rPr>
        <w:t>président</w:t>
      </w:r>
      <w:r>
        <w:rPr>
          <w:i/>
          <w:color w:val="231F20"/>
          <w:spacing w:val="-6"/>
          <w:sz w:val="24"/>
        </w:rPr>
        <w:t> </w:t>
      </w:r>
      <w:r>
        <w:rPr>
          <w:i/>
          <w:color w:val="231F20"/>
          <w:spacing w:val="-4"/>
          <w:sz w:val="24"/>
        </w:rPr>
        <w:t>de</w:t>
      </w:r>
      <w:r>
        <w:rPr>
          <w:i/>
          <w:color w:val="231F20"/>
          <w:spacing w:val="-7"/>
          <w:sz w:val="24"/>
        </w:rPr>
        <w:t> </w:t>
      </w:r>
      <w:r>
        <w:rPr>
          <w:i/>
          <w:color w:val="231F20"/>
          <w:spacing w:val="-4"/>
          <w:sz w:val="24"/>
        </w:rPr>
        <w:t>l'Assemblée</w:t>
      </w:r>
      <w:r>
        <w:rPr>
          <w:i/>
          <w:color w:val="231F20"/>
          <w:spacing w:val="-5"/>
          <w:sz w:val="24"/>
        </w:rPr>
        <w:t> </w:t>
      </w:r>
      <w:r>
        <w:rPr>
          <w:i/>
          <w:color w:val="231F20"/>
          <w:spacing w:val="-4"/>
          <w:sz w:val="24"/>
        </w:rPr>
        <w:t>nationale </w:t>
      </w:r>
      <w:r>
        <w:rPr>
          <w:i/>
          <w:color w:val="231F20"/>
          <w:sz w:val="24"/>
        </w:rPr>
        <w:t>à la tête de l'État. Tout doit être verrouillé pour le</w:t>
      </w:r>
      <w:r>
        <w:rPr>
          <w:i/>
          <w:color w:val="231F20"/>
          <w:spacing w:val="-1"/>
          <w:sz w:val="24"/>
        </w:rPr>
        <w:t> </w:t>
      </w:r>
      <w:r>
        <w:rPr>
          <w:i/>
          <w:color w:val="231F20"/>
          <w:sz w:val="24"/>
        </w:rPr>
        <w:t>7 décembre, fête de </w:t>
      </w:r>
      <w:r>
        <w:rPr>
          <w:i/>
          <w:color w:val="231F20"/>
          <w:spacing w:val="-4"/>
          <w:sz w:val="24"/>
        </w:rPr>
        <w:t>l'indépendance nationale. Le "Président Bédié" pourrait alors prononcer un premier discours historique de rassemblement national pour affronter </w:t>
      </w:r>
      <w:r>
        <w:rPr>
          <w:i/>
          <w:color w:val="231F20"/>
          <w:sz w:val="24"/>
        </w:rPr>
        <w:t>la tempête économique et financière, en particulier l'éventuelle dévaluation du franc CFA après les fêtes(…)</w:t>
      </w:r>
      <w:r>
        <w:rPr>
          <w:color w:val="231F20"/>
          <w:sz w:val="24"/>
          <w:vertAlign w:val="superscript"/>
        </w:rPr>
        <w:t>152</w:t>
      </w:r>
    </w:p>
    <w:p>
      <w:pPr>
        <w:pStyle w:val="BodyText"/>
        <w:spacing w:before="121"/>
        <w:ind w:right="102" w:firstLine="283"/>
      </w:pPr>
      <w:r>
        <w:rPr>
          <w:color w:val="231F20"/>
        </w:rPr>
        <w:t>Le</w:t>
      </w:r>
      <w:r>
        <w:rPr>
          <w:color w:val="231F20"/>
          <w:spacing w:val="-15"/>
        </w:rPr>
        <w:t> </w:t>
      </w:r>
      <w:r>
        <w:rPr>
          <w:color w:val="231F20"/>
        </w:rPr>
        <w:t>7</w:t>
      </w:r>
      <w:r>
        <w:rPr>
          <w:color w:val="231F20"/>
          <w:spacing w:val="-15"/>
        </w:rPr>
        <w:t> </w:t>
      </w:r>
      <w:r>
        <w:rPr>
          <w:color w:val="231F20"/>
        </w:rPr>
        <w:t>février,</w:t>
      </w:r>
      <w:r>
        <w:rPr>
          <w:color w:val="231F20"/>
          <w:spacing w:val="-15"/>
        </w:rPr>
        <w:t> </w:t>
      </w:r>
      <w:r>
        <w:rPr>
          <w:color w:val="231F20"/>
        </w:rPr>
        <w:t>vingt-sept</w:t>
      </w:r>
      <w:r>
        <w:rPr>
          <w:color w:val="231F20"/>
          <w:spacing w:val="-15"/>
        </w:rPr>
        <w:t> </w:t>
      </w:r>
      <w:r>
        <w:rPr>
          <w:color w:val="231F20"/>
        </w:rPr>
        <w:t>chefs</w:t>
      </w:r>
      <w:r>
        <w:rPr>
          <w:color w:val="231F20"/>
          <w:spacing w:val="-15"/>
        </w:rPr>
        <w:t> </w:t>
      </w:r>
      <w:r>
        <w:rPr>
          <w:color w:val="231F20"/>
        </w:rPr>
        <w:t>d’État</w:t>
      </w:r>
      <w:r>
        <w:rPr>
          <w:color w:val="231F20"/>
          <w:spacing w:val="-15"/>
        </w:rPr>
        <w:t> </w:t>
      </w:r>
      <w:r>
        <w:rPr>
          <w:color w:val="231F20"/>
        </w:rPr>
        <w:t>et</w:t>
      </w:r>
      <w:r>
        <w:rPr>
          <w:color w:val="231F20"/>
          <w:spacing w:val="-15"/>
        </w:rPr>
        <w:t> </w:t>
      </w:r>
      <w:r>
        <w:rPr>
          <w:color w:val="231F20"/>
        </w:rPr>
        <w:t>des</w:t>
      </w:r>
      <w:r>
        <w:rPr>
          <w:color w:val="231F20"/>
          <w:spacing w:val="-15"/>
        </w:rPr>
        <w:t> </w:t>
      </w:r>
      <w:r>
        <w:rPr>
          <w:color w:val="231F20"/>
        </w:rPr>
        <w:t>représentants</w:t>
      </w:r>
      <w:r>
        <w:rPr>
          <w:color w:val="231F20"/>
          <w:spacing w:val="-15"/>
        </w:rPr>
        <w:t> </w:t>
      </w:r>
      <w:r>
        <w:rPr>
          <w:color w:val="231F20"/>
        </w:rPr>
        <w:t>de</w:t>
      </w:r>
      <w:r>
        <w:rPr>
          <w:color w:val="231F20"/>
          <w:spacing w:val="-15"/>
        </w:rPr>
        <w:t> </w:t>
      </w:r>
      <w:r>
        <w:rPr>
          <w:color w:val="231F20"/>
        </w:rPr>
        <w:t>cent</w:t>
      </w:r>
      <w:r>
        <w:rPr>
          <w:color w:val="231F20"/>
          <w:spacing w:val="-15"/>
        </w:rPr>
        <w:t> </w:t>
      </w:r>
      <w:r>
        <w:rPr>
          <w:color w:val="231F20"/>
        </w:rPr>
        <w:t>vingt </w:t>
      </w:r>
      <w:r>
        <w:rPr>
          <w:color w:val="231F20"/>
          <w:spacing w:val="-2"/>
        </w:rPr>
        <w:t>autres</w:t>
      </w:r>
      <w:r>
        <w:rPr>
          <w:color w:val="231F20"/>
          <w:spacing w:val="-5"/>
        </w:rPr>
        <w:t> </w:t>
      </w:r>
      <w:r>
        <w:rPr>
          <w:color w:val="231F20"/>
          <w:spacing w:val="-2"/>
        </w:rPr>
        <w:t>pays,</w:t>
      </w:r>
      <w:r>
        <w:rPr>
          <w:color w:val="231F20"/>
          <w:spacing w:val="-4"/>
        </w:rPr>
        <w:t> </w:t>
      </w:r>
      <w:r>
        <w:rPr>
          <w:color w:val="231F20"/>
          <w:spacing w:val="-2"/>
        </w:rPr>
        <w:t>des</w:t>
      </w:r>
      <w:r>
        <w:rPr>
          <w:color w:val="231F20"/>
          <w:spacing w:val="-5"/>
        </w:rPr>
        <w:t> </w:t>
      </w:r>
      <w:r>
        <w:rPr>
          <w:color w:val="231F20"/>
          <w:spacing w:val="-2"/>
        </w:rPr>
        <w:t>représentants</w:t>
      </w:r>
      <w:r>
        <w:rPr>
          <w:color w:val="231F20"/>
          <w:spacing w:val="-4"/>
        </w:rPr>
        <w:t> </w:t>
      </w:r>
      <w:r>
        <w:rPr>
          <w:color w:val="231F20"/>
          <w:spacing w:val="-2"/>
        </w:rPr>
        <w:t>des</w:t>
      </w:r>
      <w:r>
        <w:rPr>
          <w:color w:val="231F20"/>
          <w:spacing w:val="-6"/>
        </w:rPr>
        <w:t> </w:t>
      </w:r>
      <w:r>
        <w:rPr>
          <w:color w:val="231F20"/>
          <w:spacing w:val="-2"/>
        </w:rPr>
        <w:t>organisations</w:t>
      </w:r>
      <w:r>
        <w:rPr>
          <w:color w:val="231F20"/>
          <w:spacing w:val="-4"/>
        </w:rPr>
        <w:t> </w:t>
      </w:r>
      <w:r>
        <w:rPr>
          <w:color w:val="231F20"/>
          <w:spacing w:val="-2"/>
        </w:rPr>
        <w:t>internationales,</w:t>
      </w:r>
      <w:r>
        <w:rPr>
          <w:color w:val="231F20"/>
          <w:spacing w:val="-4"/>
        </w:rPr>
        <w:t> </w:t>
      </w:r>
      <w:r>
        <w:rPr>
          <w:color w:val="231F20"/>
          <w:spacing w:val="-2"/>
        </w:rPr>
        <w:t>de</w:t>
      </w:r>
      <w:r>
        <w:rPr>
          <w:color w:val="231F20"/>
          <w:spacing w:val="-7"/>
        </w:rPr>
        <w:t> </w:t>
      </w:r>
      <w:r>
        <w:rPr>
          <w:color w:val="231F20"/>
          <w:spacing w:val="-2"/>
        </w:rPr>
        <w:t>hauts </w:t>
      </w:r>
      <w:r>
        <w:rPr>
          <w:color w:val="231F20"/>
        </w:rPr>
        <w:t>dignitaires</w:t>
      </w:r>
      <w:r>
        <w:rPr>
          <w:color w:val="231F20"/>
          <w:spacing w:val="-7"/>
        </w:rPr>
        <w:t> </w:t>
      </w:r>
      <w:r>
        <w:rPr>
          <w:color w:val="231F20"/>
        </w:rPr>
        <w:t>des</w:t>
      </w:r>
      <w:r>
        <w:rPr>
          <w:color w:val="231F20"/>
          <w:spacing w:val="-7"/>
        </w:rPr>
        <w:t> </w:t>
      </w:r>
      <w:r>
        <w:rPr>
          <w:color w:val="231F20"/>
        </w:rPr>
        <w:t>cinq</w:t>
      </w:r>
      <w:r>
        <w:rPr>
          <w:color w:val="231F20"/>
          <w:spacing w:val="-7"/>
        </w:rPr>
        <w:t> </w:t>
      </w:r>
      <w:r>
        <w:rPr>
          <w:color w:val="231F20"/>
        </w:rPr>
        <w:t>continents</w:t>
      </w:r>
      <w:r>
        <w:rPr>
          <w:color w:val="231F20"/>
          <w:spacing w:val="-6"/>
        </w:rPr>
        <w:t> </w:t>
      </w:r>
      <w:r>
        <w:rPr>
          <w:color w:val="231F20"/>
        </w:rPr>
        <w:t>adressent</w:t>
      </w:r>
      <w:r>
        <w:rPr>
          <w:color w:val="231F20"/>
          <w:spacing w:val="-7"/>
        </w:rPr>
        <w:t> </w:t>
      </w:r>
      <w:r>
        <w:rPr>
          <w:color w:val="231F20"/>
        </w:rPr>
        <w:t>un</w:t>
      </w:r>
      <w:r>
        <w:rPr>
          <w:color w:val="231F20"/>
          <w:spacing w:val="-7"/>
        </w:rPr>
        <w:t> </w:t>
      </w:r>
      <w:r>
        <w:rPr>
          <w:color w:val="231F20"/>
        </w:rPr>
        <w:t>ultime</w:t>
      </w:r>
      <w:r>
        <w:rPr>
          <w:color w:val="231F20"/>
          <w:spacing w:val="-7"/>
        </w:rPr>
        <w:t> </w:t>
      </w:r>
      <w:r>
        <w:rPr>
          <w:color w:val="231F20"/>
        </w:rPr>
        <w:t>adieu</w:t>
      </w:r>
      <w:r>
        <w:rPr>
          <w:color w:val="231F20"/>
          <w:spacing w:val="-7"/>
        </w:rPr>
        <w:t> </w:t>
      </w:r>
      <w:r>
        <w:rPr>
          <w:color w:val="231F20"/>
        </w:rPr>
        <w:t>à</w:t>
      </w:r>
      <w:r>
        <w:rPr>
          <w:color w:val="231F20"/>
          <w:spacing w:val="-7"/>
        </w:rPr>
        <w:t> </w:t>
      </w:r>
      <w:r>
        <w:rPr>
          <w:color w:val="231F20"/>
        </w:rPr>
        <w:t>Houphouët– Boigny dans la basilique Notre-Dame-de-la-Paix qu’il a bâti dans son village, Yamoussoukro.</w:t>
      </w:r>
    </w:p>
    <w:p>
      <w:pPr>
        <w:pStyle w:val="BodyText"/>
        <w:spacing w:before="120"/>
        <w:ind w:right="103" w:firstLine="283"/>
      </w:pPr>
      <w:r>
        <w:rPr>
          <w:color w:val="231F20"/>
        </w:rPr>
        <w:t>La France est là avec une forte délégation : le président français François Mitterrand, son Premier ministre Édouard Balladur, l’ancien chef de l’État français Valéry Giscard d’Estaing et tous les anciens Premiers</w:t>
      </w:r>
      <w:r>
        <w:rPr>
          <w:color w:val="231F20"/>
          <w:spacing w:val="-15"/>
        </w:rPr>
        <w:t> </w:t>
      </w:r>
      <w:r>
        <w:rPr>
          <w:color w:val="231F20"/>
        </w:rPr>
        <w:t>ministres</w:t>
      </w:r>
      <w:r>
        <w:rPr>
          <w:color w:val="231F20"/>
          <w:spacing w:val="-15"/>
        </w:rPr>
        <w:t> </w:t>
      </w:r>
      <w:r>
        <w:rPr>
          <w:color w:val="231F20"/>
        </w:rPr>
        <w:t>français.</w:t>
      </w:r>
      <w:r>
        <w:rPr>
          <w:color w:val="231F20"/>
          <w:spacing w:val="-14"/>
        </w:rPr>
        <w:t> </w:t>
      </w:r>
      <w:r>
        <w:rPr>
          <w:color w:val="231F20"/>
        </w:rPr>
        <w:t>Ils</w:t>
      </w:r>
      <w:r>
        <w:rPr>
          <w:color w:val="231F20"/>
          <w:spacing w:val="-14"/>
        </w:rPr>
        <w:t> </w:t>
      </w:r>
      <w:r>
        <w:rPr>
          <w:color w:val="231F20"/>
        </w:rPr>
        <w:t>ont</w:t>
      </w:r>
      <w:r>
        <w:rPr>
          <w:color w:val="231F20"/>
          <w:spacing w:val="-14"/>
        </w:rPr>
        <w:t> </w:t>
      </w:r>
      <w:r>
        <w:rPr>
          <w:color w:val="231F20"/>
        </w:rPr>
        <w:t>fait</w:t>
      </w:r>
      <w:r>
        <w:rPr>
          <w:color w:val="231F20"/>
          <w:spacing w:val="-15"/>
        </w:rPr>
        <w:t> </w:t>
      </w:r>
      <w:r>
        <w:rPr>
          <w:color w:val="231F20"/>
        </w:rPr>
        <w:t>le</w:t>
      </w:r>
      <w:r>
        <w:rPr>
          <w:color w:val="231F20"/>
          <w:spacing w:val="-14"/>
        </w:rPr>
        <w:t> </w:t>
      </w:r>
      <w:r>
        <w:rPr>
          <w:color w:val="231F20"/>
        </w:rPr>
        <w:t>déplacement</w:t>
      </w:r>
      <w:r>
        <w:rPr>
          <w:color w:val="231F20"/>
          <w:spacing w:val="-14"/>
        </w:rPr>
        <w:t> </w:t>
      </w:r>
      <w:r>
        <w:rPr>
          <w:color w:val="231F20"/>
        </w:rPr>
        <w:t>à</w:t>
      </w:r>
      <w:r>
        <w:rPr>
          <w:color w:val="231F20"/>
          <w:spacing w:val="-15"/>
        </w:rPr>
        <w:t> </w:t>
      </w:r>
      <w:r>
        <w:rPr>
          <w:color w:val="231F20"/>
        </w:rPr>
        <w:t>Yamoussoukro pour</w:t>
      </w:r>
      <w:r>
        <w:rPr>
          <w:color w:val="231F20"/>
          <w:spacing w:val="-12"/>
        </w:rPr>
        <w:t> </w:t>
      </w:r>
      <w:r>
        <w:rPr>
          <w:color w:val="231F20"/>
        </w:rPr>
        <w:t>saluer</w:t>
      </w:r>
      <w:r>
        <w:rPr>
          <w:color w:val="231F20"/>
          <w:spacing w:val="-11"/>
        </w:rPr>
        <w:t> </w:t>
      </w:r>
      <w:r>
        <w:rPr>
          <w:color w:val="231F20"/>
        </w:rPr>
        <w:t>«</w:t>
      </w:r>
      <w:r>
        <w:rPr>
          <w:color w:val="231F20"/>
          <w:spacing w:val="-15"/>
        </w:rPr>
        <w:t> </w:t>
      </w:r>
      <w:r>
        <w:rPr>
          <w:color w:val="231F20"/>
        </w:rPr>
        <w:t>l’ami</w:t>
      </w:r>
      <w:r>
        <w:rPr>
          <w:color w:val="231F20"/>
          <w:spacing w:val="-15"/>
        </w:rPr>
        <w:t> </w:t>
      </w:r>
      <w:r>
        <w:rPr>
          <w:color w:val="231F20"/>
        </w:rPr>
        <w:t>»</w:t>
      </w:r>
      <w:r>
        <w:rPr>
          <w:color w:val="231F20"/>
          <w:spacing w:val="-13"/>
        </w:rPr>
        <w:t> </w:t>
      </w:r>
      <w:r>
        <w:rPr>
          <w:color w:val="231F20"/>
        </w:rPr>
        <w:t>de</w:t>
      </w:r>
      <w:r>
        <w:rPr>
          <w:color w:val="231F20"/>
          <w:spacing w:val="-10"/>
        </w:rPr>
        <w:t> </w:t>
      </w:r>
      <w:r>
        <w:rPr>
          <w:color w:val="231F20"/>
        </w:rPr>
        <w:t>la</w:t>
      </w:r>
      <w:r>
        <w:rPr>
          <w:color w:val="231F20"/>
          <w:spacing w:val="-10"/>
        </w:rPr>
        <w:t> </w:t>
      </w:r>
      <w:r>
        <w:rPr>
          <w:color w:val="231F20"/>
        </w:rPr>
        <w:t>France.</w:t>
      </w:r>
      <w:r>
        <w:rPr>
          <w:color w:val="231F20"/>
          <w:spacing w:val="-10"/>
        </w:rPr>
        <w:t> </w:t>
      </w:r>
      <w:r>
        <w:rPr>
          <w:color w:val="231F20"/>
        </w:rPr>
        <w:t>Sont</w:t>
      </w:r>
      <w:r>
        <w:rPr>
          <w:color w:val="231F20"/>
          <w:spacing w:val="-10"/>
        </w:rPr>
        <w:t> </w:t>
      </w:r>
      <w:r>
        <w:rPr>
          <w:color w:val="231F20"/>
        </w:rPr>
        <w:t>aussi</w:t>
      </w:r>
      <w:r>
        <w:rPr>
          <w:color w:val="231F20"/>
          <w:spacing w:val="-10"/>
        </w:rPr>
        <w:t> </w:t>
      </w:r>
      <w:r>
        <w:rPr>
          <w:color w:val="231F20"/>
        </w:rPr>
        <w:t>présents,</w:t>
      </w:r>
      <w:r>
        <w:rPr>
          <w:color w:val="231F20"/>
          <w:spacing w:val="-13"/>
        </w:rPr>
        <w:t> </w:t>
      </w:r>
      <w:r>
        <w:rPr>
          <w:color w:val="231F20"/>
        </w:rPr>
        <w:t>le</w:t>
      </w:r>
      <w:r>
        <w:rPr>
          <w:color w:val="231F20"/>
          <w:spacing w:val="-10"/>
        </w:rPr>
        <w:t> </w:t>
      </w:r>
      <w:r>
        <w:rPr>
          <w:color w:val="231F20"/>
        </w:rPr>
        <w:t>président</w:t>
      </w:r>
      <w:r>
        <w:rPr>
          <w:color w:val="231F20"/>
          <w:spacing w:val="-10"/>
        </w:rPr>
        <w:t> </w:t>
      </w:r>
      <w:r>
        <w:rPr>
          <w:color w:val="231F20"/>
        </w:rPr>
        <w:t>de</w:t>
      </w:r>
      <w:r>
        <w:rPr>
          <w:color w:val="231F20"/>
          <w:spacing w:val="-13"/>
        </w:rPr>
        <w:t> </w:t>
      </w:r>
      <w:r>
        <w:rPr>
          <w:color w:val="231F20"/>
        </w:rPr>
        <w:t>la Commission</w:t>
      </w:r>
      <w:r>
        <w:rPr>
          <w:color w:val="231F20"/>
          <w:spacing w:val="-15"/>
        </w:rPr>
        <w:t> </w:t>
      </w:r>
      <w:r>
        <w:rPr>
          <w:color w:val="231F20"/>
        </w:rPr>
        <w:t>européenne</w:t>
      </w:r>
      <w:r>
        <w:rPr>
          <w:color w:val="231F20"/>
          <w:spacing w:val="-15"/>
        </w:rPr>
        <w:t> </w:t>
      </w:r>
      <w:r>
        <w:rPr>
          <w:color w:val="231F20"/>
        </w:rPr>
        <w:t>Jacques</w:t>
      </w:r>
      <w:r>
        <w:rPr>
          <w:color w:val="231F20"/>
          <w:spacing w:val="-15"/>
        </w:rPr>
        <w:t> </w:t>
      </w:r>
      <w:r>
        <w:rPr>
          <w:color w:val="231F20"/>
        </w:rPr>
        <w:t>Delors</w:t>
      </w:r>
      <w:r>
        <w:rPr>
          <w:color w:val="231F20"/>
          <w:spacing w:val="-15"/>
        </w:rPr>
        <w:t> </w:t>
      </w:r>
      <w:r>
        <w:rPr>
          <w:color w:val="231F20"/>
        </w:rPr>
        <w:t>et</w:t>
      </w:r>
      <w:r>
        <w:rPr>
          <w:color w:val="231F20"/>
          <w:spacing w:val="-15"/>
        </w:rPr>
        <w:t> </w:t>
      </w:r>
      <w:r>
        <w:rPr>
          <w:color w:val="231F20"/>
        </w:rPr>
        <w:t>Jacques</w:t>
      </w:r>
      <w:r>
        <w:rPr>
          <w:color w:val="231F20"/>
          <w:spacing w:val="-15"/>
        </w:rPr>
        <w:t> </w:t>
      </w:r>
      <w:r>
        <w:rPr>
          <w:color w:val="231F20"/>
        </w:rPr>
        <w:t>Foccart.</w:t>
      </w:r>
      <w:r>
        <w:rPr>
          <w:color w:val="231F20"/>
          <w:spacing w:val="-15"/>
        </w:rPr>
        <w:t> </w:t>
      </w:r>
      <w:r>
        <w:rPr>
          <w:color w:val="231F20"/>
        </w:rPr>
        <w:t>Au</w:t>
      </w:r>
      <w:r>
        <w:rPr>
          <w:color w:val="231F20"/>
          <w:spacing w:val="-15"/>
        </w:rPr>
        <w:t> </w:t>
      </w:r>
      <w:r>
        <w:rPr>
          <w:color w:val="231F20"/>
        </w:rPr>
        <w:t>nombre </w:t>
      </w:r>
      <w:r>
        <w:rPr>
          <w:color w:val="231F20"/>
          <w:spacing w:val="-4"/>
        </w:rPr>
        <w:t>des</w:t>
      </w:r>
      <w:r>
        <w:rPr>
          <w:color w:val="231F20"/>
          <w:spacing w:val="-3"/>
        </w:rPr>
        <w:t> </w:t>
      </w:r>
      <w:r>
        <w:rPr>
          <w:color w:val="231F20"/>
          <w:spacing w:val="-4"/>
        </w:rPr>
        <w:t>Africains,</w:t>
      </w:r>
      <w:r>
        <w:rPr>
          <w:color w:val="231F20"/>
          <w:spacing w:val="-5"/>
        </w:rPr>
        <w:t> </w:t>
      </w:r>
      <w:r>
        <w:rPr>
          <w:color w:val="231F20"/>
          <w:spacing w:val="-4"/>
        </w:rPr>
        <w:t>les</w:t>
      </w:r>
      <w:r>
        <w:rPr>
          <w:color w:val="231F20"/>
          <w:spacing w:val="-6"/>
        </w:rPr>
        <w:t> </w:t>
      </w:r>
      <w:r>
        <w:rPr>
          <w:color w:val="231F20"/>
          <w:spacing w:val="-4"/>
        </w:rPr>
        <w:t>présidents</w:t>
      </w:r>
      <w:r>
        <w:rPr>
          <w:color w:val="231F20"/>
          <w:spacing w:val="-2"/>
        </w:rPr>
        <w:t> </w:t>
      </w:r>
      <w:r>
        <w:rPr>
          <w:color w:val="231F20"/>
          <w:spacing w:val="-4"/>
        </w:rPr>
        <w:t>Abdou</w:t>
      </w:r>
      <w:r>
        <w:rPr>
          <w:color w:val="231F20"/>
          <w:spacing w:val="-6"/>
        </w:rPr>
        <w:t> </w:t>
      </w:r>
      <w:r>
        <w:rPr>
          <w:color w:val="231F20"/>
          <w:spacing w:val="-4"/>
        </w:rPr>
        <w:t>Diouf</w:t>
      </w:r>
      <w:r>
        <w:rPr>
          <w:color w:val="231F20"/>
          <w:spacing w:val="-2"/>
        </w:rPr>
        <w:t> </w:t>
      </w:r>
      <w:r>
        <w:rPr>
          <w:color w:val="231F20"/>
          <w:spacing w:val="-4"/>
        </w:rPr>
        <w:t>du</w:t>
      </w:r>
      <w:r>
        <w:rPr>
          <w:color w:val="231F20"/>
          <w:spacing w:val="-7"/>
        </w:rPr>
        <w:t> </w:t>
      </w:r>
      <w:r>
        <w:rPr>
          <w:color w:val="231F20"/>
          <w:spacing w:val="-4"/>
        </w:rPr>
        <w:t>Sénégal,</w:t>
      </w:r>
      <w:r>
        <w:rPr>
          <w:color w:val="231F20"/>
          <w:spacing w:val="-6"/>
        </w:rPr>
        <w:t> </w:t>
      </w:r>
      <w:r>
        <w:rPr>
          <w:color w:val="231F20"/>
          <w:spacing w:val="-4"/>
        </w:rPr>
        <w:t>Mobutu</w:t>
      </w:r>
      <w:r>
        <w:rPr>
          <w:color w:val="231F20"/>
          <w:spacing w:val="-6"/>
        </w:rPr>
        <w:t> </w:t>
      </w:r>
      <w:r>
        <w:rPr>
          <w:color w:val="231F20"/>
          <w:spacing w:val="-4"/>
        </w:rPr>
        <w:t>Sese</w:t>
      </w:r>
      <w:r>
        <w:rPr>
          <w:color w:val="231F20"/>
          <w:spacing w:val="-6"/>
        </w:rPr>
        <w:t> </w:t>
      </w:r>
      <w:r>
        <w:rPr>
          <w:color w:val="231F20"/>
          <w:spacing w:val="-4"/>
        </w:rPr>
        <w:t>Seko</w:t>
      </w:r>
    </w:p>
    <w:p>
      <w:pPr>
        <w:pStyle w:val="BodyText"/>
        <w:spacing w:before="42"/>
        <w:ind w:left="0"/>
        <w:jc w:val="left"/>
        <w:rPr>
          <w:sz w:val="20"/>
        </w:rPr>
      </w:pPr>
      <w:r>
        <w:rPr/>
        <mc:AlternateContent>
          <mc:Choice Requires="wps">
            <w:drawing>
              <wp:anchor distT="0" distB="0" distL="0" distR="0" allowOverlap="1" layoutInCell="1" locked="0" behindDoc="1" simplePos="0" relativeHeight="487634944">
                <wp:simplePos x="0" y="0"/>
                <wp:positionH relativeFrom="page">
                  <wp:posOffset>629907</wp:posOffset>
                </wp:positionH>
                <wp:positionV relativeFrom="paragraph">
                  <wp:posOffset>188432</wp:posOffset>
                </wp:positionV>
                <wp:extent cx="1829435" cy="9525"/>
                <wp:effectExtent l="0" t="0" r="0" b="0"/>
                <wp:wrapTopAndBottom/>
                <wp:docPr id="121" name="Graphic 121"/>
                <wp:cNvGraphicFramePr>
                  <a:graphicFrameLocks/>
                </wp:cNvGraphicFramePr>
                <a:graphic>
                  <a:graphicData uri="http://schemas.microsoft.com/office/word/2010/wordprocessingShape">
                    <wps:wsp>
                      <wps:cNvPr id="121" name="Graphic 12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837188pt;width:144.020pt;height:.72pt;mso-position-horizontal-relative:page;mso-position-vertical-relative:paragraph;z-index:-15681536;mso-wrap-distance-left:0;mso-wrap-distance-right:0" id="docshape119"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152</w:t>
      </w:r>
      <w:r>
        <w:rPr>
          <w:color w:val="76787A"/>
          <w:spacing w:val="-16"/>
          <w:sz w:val="20"/>
          <w:vertAlign w:val="baseline"/>
        </w:rPr>
        <w:t> </w:t>
      </w:r>
      <w:r>
        <w:rPr>
          <w:color w:val="231F20"/>
          <w:spacing w:val="-4"/>
          <w:sz w:val="20"/>
          <w:vertAlign w:val="baseline"/>
        </w:rPr>
        <w:t>La</w:t>
      </w:r>
      <w:r>
        <w:rPr>
          <w:color w:val="231F20"/>
          <w:spacing w:val="-2"/>
          <w:sz w:val="20"/>
          <w:vertAlign w:val="baseline"/>
        </w:rPr>
        <w:t> </w:t>
      </w:r>
      <w:r>
        <w:rPr>
          <w:color w:val="231F20"/>
          <w:spacing w:val="-4"/>
          <w:sz w:val="20"/>
          <w:vertAlign w:val="baseline"/>
        </w:rPr>
        <w:t>Lettre</w:t>
      </w:r>
      <w:r>
        <w:rPr>
          <w:color w:val="231F20"/>
          <w:spacing w:val="-3"/>
          <w:sz w:val="20"/>
          <w:vertAlign w:val="baseline"/>
        </w:rPr>
        <w:t> </w:t>
      </w:r>
      <w:r>
        <w:rPr>
          <w:color w:val="231F20"/>
          <w:spacing w:val="-4"/>
          <w:sz w:val="20"/>
          <w:vertAlign w:val="baseline"/>
        </w:rPr>
        <w:t>du</w:t>
      </w:r>
      <w:r>
        <w:rPr>
          <w:color w:val="231F20"/>
          <w:spacing w:val="-1"/>
          <w:sz w:val="20"/>
          <w:vertAlign w:val="baseline"/>
        </w:rPr>
        <w:t> </w:t>
      </w:r>
      <w:r>
        <w:rPr>
          <w:color w:val="231F20"/>
          <w:spacing w:val="-4"/>
          <w:sz w:val="20"/>
          <w:vertAlign w:val="baseline"/>
        </w:rPr>
        <w:t>continent</w:t>
      </w:r>
      <w:r>
        <w:rPr>
          <w:color w:val="231F20"/>
          <w:spacing w:val="-3"/>
          <w:sz w:val="20"/>
          <w:vertAlign w:val="baseline"/>
        </w:rPr>
        <w:t> </w:t>
      </w:r>
      <w:r>
        <w:rPr>
          <w:color w:val="231F20"/>
          <w:spacing w:val="-4"/>
          <w:sz w:val="20"/>
          <w:vertAlign w:val="baseline"/>
        </w:rPr>
        <w:t>n°200</w:t>
      </w:r>
      <w:r>
        <w:rPr>
          <w:color w:val="231F20"/>
          <w:spacing w:val="-2"/>
          <w:sz w:val="20"/>
          <w:vertAlign w:val="baseline"/>
        </w:rPr>
        <w:t> </w:t>
      </w:r>
      <w:r>
        <w:rPr>
          <w:color w:val="231F20"/>
          <w:spacing w:val="-4"/>
          <w:sz w:val="20"/>
          <w:vertAlign w:val="baseline"/>
        </w:rPr>
        <w:t>du</w:t>
      </w:r>
      <w:r>
        <w:rPr>
          <w:color w:val="231F20"/>
          <w:spacing w:val="-1"/>
          <w:sz w:val="20"/>
          <w:vertAlign w:val="baseline"/>
        </w:rPr>
        <w:t> </w:t>
      </w:r>
      <w:r>
        <w:rPr>
          <w:color w:val="231F20"/>
          <w:spacing w:val="-4"/>
          <w:sz w:val="20"/>
          <w:vertAlign w:val="baseline"/>
        </w:rPr>
        <w:t>02</w:t>
      </w:r>
      <w:r>
        <w:rPr>
          <w:color w:val="231F20"/>
          <w:spacing w:val="-2"/>
          <w:sz w:val="20"/>
          <w:vertAlign w:val="baseline"/>
        </w:rPr>
        <w:t> </w:t>
      </w:r>
      <w:r>
        <w:rPr>
          <w:color w:val="231F20"/>
          <w:spacing w:val="-4"/>
          <w:sz w:val="20"/>
          <w:vertAlign w:val="baseline"/>
        </w:rPr>
        <w:t>décembre</w:t>
      </w:r>
      <w:r>
        <w:rPr>
          <w:color w:val="231F20"/>
          <w:spacing w:val="-1"/>
          <w:sz w:val="20"/>
          <w:vertAlign w:val="baseline"/>
        </w:rPr>
        <w:t> </w:t>
      </w:r>
      <w:r>
        <w:rPr>
          <w:color w:val="231F20"/>
          <w:spacing w:val="-4"/>
          <w:sz w:val="20"/>
          <w:vertAlign w:val="baseline"/>
        </w:rPr>
        <w:t>1993.</w:t>
      </w:r>
    </w:p>
    <w:p>
      <w:pPr>
        <w:spacing w:after="0"/>
        <w:jc w:val="left"/>
        <w:rPr>
          <w:sz w:val="20"/>
        </w:rPr>
        <w:sectPr>
          <w:pgSz w:w="8790" w:h="13610"/>
          <w:pgMar w:header="0" w:footer="802" w:top="1060" w:bottom="1000" w:left="880" w:right="880"/>
        </w:sectPr>
      </w:pPr>
    </w:p>
    <w:p>
      <w:pPr>
        <w:pStyle w:val="BodyText"/>
        <w:spacing w:before="66"/>
        <w:ind w:right="105"/>
      </w:pPr>
      <w:r>
        <w:rPr>
          <w:color w:val="231F20"/>
          <w:spacing w:val="-2"/>
        </w:rPr>
        <w:t>du</w:t>
      </w:r>
      <w:r>
        <w:rPr>
          <w:color w:val="231F20"/>
          <w:spacing w:val="-8"/>
        </w:rPr>
        <w:t> </w:t>
      </w:r>
      <w:r>
        <w:rPr>
          <w:color w:val="231F20"/>
          <w:spacing w:val="-2"/>
        </w:rPr>
        <w:t>Zaïre,</w:t>
      </w:r>
      <w:r>
        <w:rPr>
          <w:color w:val="231F20"/>
          <w:spacing w:val="-8"/>
        </w:rPr>
        <w:t> </w:t>
      </w:r>
      <w:r>
        <w:rPr>
          <w:color w:val="231F20"/>
          <w:spacing w:val="-2"/>
        </w:rPr>
        <w:t>Omar</w:t>
      </w:r>
      <w:r>
        <w:rPr>
          <w:color w:val="231F20"/>
          <w:spacing w:val="-8"/>
        </w:rPr>
        <w:t> </w:t>
      </w:r>
      <w:r>
        <w:rPr>
          <w:color w:val="231F20"/>
          <w:spacing w:val="-2"/>
        </w:rPr>
        <w:t>Bongo</w:t>
      </w:r>
      <w:r>
        <w:rPr>
          <w:color w:val="231F20"/>
          <w:spacing w:val="-8"/>
        </w:rPr>
        <w:t> </w:t>
      </w:r>
      <w:r>
        <w:rPr>
          <w:color w:val="231F20"/>
          <w:spacing w:val="-2"/>
        </w:rPr>
        <w:t>du</w:t>
      </w:r>
      <w:r>
        <w:rPr>
          <w:color w:val="231F20"/>
          <w:spacing w:val="-10"/>
        </w:rPr>
        <w:t> </w:t>
      </w:r>
      <w:r>
        <w:rPr>
          <w:color w:val="231F20"/>
          <w:spacing w:val="-2"/>
        </w:rPr>
        <w:t>Gabon,</w:t>
      </w:r>
      <w:r>
        <w:rPr>
          <w:color w:val="231F20"/>
          <w:spacing w:val="-8"/>
        </w:rPr>
        <w:t> </w:t>
      </w:r>
      <w:r>
        <w:rPr>
          <w:color w:val="231F20"/>
          <w:spacing w:val="-2"/>
        </w:rPr>
        <w:t>Jerry</w:t>
      </w:r>
      <w:r>
        <w:rPr>
          <w:color w:val="231F20"/>
          <w:spacing w:val="-8"/>
        </w:rPr>
        <w:t> </w:t>
      </w:r>
      <w:r>
        <w:rPr>
          <w:color w:val="231F20"/>
          <w:spacing w:val="-2"/>
        </w:rPr>
        <w:t>Rawlings</w:t>
      </w:r>
      <w:r>
        <w:rPr>
          <w:color w:val="231F20"/>
          <w:spacing w:val="-8"/>
        </w:rPr>
        <w:t> </w:t>
      </w:r>
      <w:r>
        <w:rPr>
          <w:color w:val="231F20"/>
          <w:spacing w:val="-2"/>
        </w:rPr>
        <w:t>du</w:t>
      </w:r>
      <w:r>
        <w:rPr>
          <w:color w:val="231F20"/>
          <w:spacing w:val="-8"/>
        </w:rPr>
        <w:t> </w:t>
      </w:r>
      <w:r>
        <w:rPr>
          <w:color w:val="231F20"/>
          <w:spacing w:val="-2"/>
        </w:rPr>
        <w:t>Ghana,</w:t>
      </w:r>
      <w:r>
        <w:rPr>
          <w:color w:val="231F20"/>
          <w:spacing w:val="-8"/>
        </w:rPr>
        <w:t> </w:t>
      </w:r>
      <w:r>
        <w:rPr>
          <w:color w:val="231F20"/>
          <w:spacing w:val="-2"/>
        </w:rPr>
        <w:t>Gnassingbé </w:t>
      </w:r>
      <w:r>
        <w:rPr>
          <w:color w:val="231F20"/>
          <w:spacing w:val="-4"/>
        </w:rPr>
        <w:t>Éyadéma</w:t>
      </w:r>
      <w:r>
        <w:rPr>
          <w:color w:val="231F20"/>
          <w:spacing w:val="-11"/>
        </w:rPr>
        <w:t> </w:t>
      </w:r>
      <w:r>
        <w:rPr>
          <w:color w:val="231F20"/>
          <w:spacing w:val="-4"/>
        </w:rPr>
        <w:t>du</w:t>
      </w:r>
      <w:r>
        <w:rPr>
          <w:color w:val="231F20"/>
          <w:spacing w:val="-11"/>
        </w:rPr>
        <w:t> </w:t>
      </w:r>
      <w:r>
        <w:rPr>
          <w:color w:val="231F20"/>
          <w:spacing w:val="-4"/>
        </w:rPr>
        <w:t>Togo</w:t>
      </w:r>
      <w:r>
        <w:rPr>
          <w:color w:val="231F20"/>
          <w:spacing w:val="-11"/>
        </w:rPr>
        <w:t> </w:t>
      </w:r>
      <w:r>
        <w:rPr>
          <w:color w:val="231F20"/>
          <w:spacing w:val="-4"/>
        </w:rPr>
        <w:t>ont</w:t>
      </w:r>
      <w:r>
        <w:rPr>
          <w:color w:val="231F20"/>
          <w:spacing w:val="-11"/>
        </w:rPr>
        <w:t> </w:t>
      </w:r>
      <w:r>
        <w:rPr>
          <w:color w:val="231F20"/>
          <w:spacing w:val="-4"/>
        </w:rPr>
        <w:t>également</w:t>
      </w:r>
      <w:r>
        <w:rPr>
          <w:color w:val="231F20"/>
          <w:spacing w:val="-11"/>
        </w:rPr>
        <w:t> </w:t>
      </w:r>
      <w:r>
        <w:rPr>
          <w:color w:val="231F20"/>
          <w:spacing w:val="-4"/>
        </w:rPr>
        <w:t>tenu</w:t>
      </w:r>
      <w:r>
        <w:rPr>
          <w:color w:val="231F20"/>
          <w:spacing w:val="-11"/>
        </w:rPr>
        <w:t> </w:t>
      </w:r>
      <w:r>
        <w:rPr>
          <w:color w:val="231F20"/>
          <w:spacing w:val="-4"/>
        </w:rPr>
        <w:t>à</w:t>
      </w:r>
      <w:r>
        <w:rPr>
          <w:color w:val="231F20"/>
          <w:spacing w:val="-11"/>
        </w:rPr>
        <w:t> </w:t>
      </w:r>
      <w:r>
        <w:rPr>
          <w:color w:val="231F20"/>
          <w:spacing w:val="-4"/>
        </w:rPr>
        <w:t>rendre</w:t>
      </w:r>
      <w:r>
        <w:rPr>
          <w:color w:val="231F20"/>
          <w:spacing w:val="-11"/>
        </w:rPr>
        <w:t> </w:t>
      </w:r>
      <w:r>
        <w:rPr>
          <w:color w:val="231F20"/>
          <w:spacing w:val="-4"/>
        </w:rPr>
        <w:t>un</w:t>
      </w:r>
      <w:r>
        <w:rPr>
          <w:color w:val="231F20"/>
          <w:spacing w:val="-10"/>
        </w:rPr>
        <w:t> </w:t>
      </w:r>
      <w:r>
        <w:rPr>
          <w:color w:val="231F20"/>
          <w:spacing w:val="-4"/>
        </w:rPr>
        <w:t>dernier</w:t>
      </w:r>
      <w:r>
        <w:rPr>
          <w:color w:val="231F20"/>
          <w:spacing w:val="-9"/>
        </w:rPr>
        <w:t> </w:t>
      </w:r>
      <w:r>
        <w:rPr>
          <w:color w:val="231F20"/>
          <w:spacing w:val="-4"/>
        </w:rPr>
        <w:t>hommage</w:t>
      </w:r>
      <w:r>
        <w:rPr>
          <w:color w:val="231F20"/>
          <w:spacing w:val="-11"/>
        </w:rPr>
        <w:t> </w:t>
      </w:r>
      <w:r>
        <w:rPr>
          <w:color w:val="231F20"/>
          <w:spacing w:val="-4"/>
        </w:rPr>
        <w:t>à</w:t>
      </w:r>
      <w:r>
        <w:rPr>
          <w:color w:val="231F20"/>
          <w:spacing w:val="-11"/>
        </w:rPr>
        <w:t> </w:t>
      </w:r>
      <w:r>
        <w:rPr>
          <w:color w:val="231F20"/>
          <w:spacing w:val="-4"/>
        </w:rPr>
        <w:t>leur </w:t>
      </w:r>
      <w:r>
        <w:rPr>
          <w:color w:val="231F20"/>
          <w:spacing w:val="-2"/>
        </w:rPr>
        <w:t>doyen.</w:t>
      </w:r>
    </w:p>
    <w:p>
      <w:pPr>
        <w:pStyle w:val="BodyText"/>
        <w:spacing w:before="241"/>
        <w:ind w:left="0"/>
        <w:jc w:val="left"/>
      </w:pPr>
    </w:p>
    <w:p>
      <w:pPr>
        <w:pStyle w:val="Heading3"/>
        <w:rPr>
          <w:i/>
        </w:rPr>
      </w:pPr>
      <w:bookmarkStart w:name="_TOC_250020" w:id="23"/>
      <w:r>
        <w:rPr>
          <w:i/>
          <w:color w:val="231F20"/>
        </w:rPr>
        <w:t>Aimé</w:t>
      </w:r>
      <w:r>
        <w:rPr>
          <w:i/>
          <w:color w:val="231F20"/>
          <w:spacing w:val="-15"/>
        </w:rPr>
        <w:t> </w:t>
      </w:r>
      <w:r>
        <w:rPr>
          <w:i/>
          <w:color w:val="231F20"/>
        </w:rPr>
        <w:t>le</w:t>
      </w:r>
      <w:r>
        <w:rPr>
          <w:i/>
          <w:color w:val="231F20"/>
          <w:spacing w:val="-13"/>
        </w:rPr>
        <w:t> </w:t>
      </w:r>
      <w:r>
        <w:rPr>
          <w:i/>
          <w:color w:val="231F20"/>
        </w:rPr>
        <w:t>mal</w:t>
      </w:r>
      <w:r>
        <w:rPr>
          <w:i/>
          <w:color w:val="231F20"/>
          <w:spacing w:val="-11"/>
        </w:rPr>
        <w:t> </w:t>
      </w:r>
      <w:bookmarkEnd w:id="23"/>
      <w:r>
        <w:rPr>
          <w:i/>
          <w:color w:val="231F20"/>
          <w:spacing w:val="-4"/>
        </w:rPr>
        <w:t>aimé</w:t>
      </w:r>
    </w:p>
    <w:p>
      <w:pPr>
        <w:pStyle w:val="BodyText"/>
        <w:spacing w:before="255"/>
        <w:ind w:right="103" w:firstLine="283"/>
      </w:pPr>
      <w:r>
        <w:rPr>
          <w:color w:val="231F20"/>
        </w:rPr>
        <w:t>Aimé</w:t>
      </w:r>
      <w:r>
        <w:rPr>
          <w:color w:val="231F20"/>
          <w:spacing w:val="-15"/>
        </w:rPr>
        <w:t> </w:t>
      </w:r>
      <w:r>
        <w:rPr>
          <w:color w:val="231F20"/>
        </w:rPr>
        <w:t>Henri</w:t>
      </w:r>
      <w:r>
        <w:rPr>
          <w:color w:val="231F20"/>
          <w:spacing w:val="-15"/>
        </w:rPr>
        <w:t> </w:t>
      </w:r>
      <w:r>
        <w:rPr>
          <w:color w:val="231F20"/>
        </w:rPr>
        <w:t>Konan</w:t>
      </w:r>
      <w:r>
        <w:rPr>
          <w:color w:val="231F20"/>
          <w:spacing w:val="-15"/>
        </w:rPr>
        <w:t> </w:t>
      </w:r>
      <w:r>
        <w:rPr>
          <w:color w:val="231F20"/>
        </w:rPr>
        <w:t>Bédié</w:t>
      </w:r>
      <w:r>
        <w:rPr>
          <w:color w:val="231F20"/>
          <w:spacing w:val="-15"/>
        </w:rPr>
        <w:t> </w:t>
      </w:r>
      <w:r>
        <w:rPr>
          <w:color w:val="231F20"/>
        </w:rPr>
        <w:t>est</w:t>
      </w:r>
      <w:r>
        <w:rPr>
          <w:color w:val="231F20"/>
          <w:spacing w:val="-15"/>
        </w:rPr>
        <w:t> </w:t>
      </w:r>
      <w:r>
        <w:rPr>
          <w:color w:val="231F20"/>
        </w:rPr>
        <w:t>devenu</w:t>
      </w:r>
      <w:r>
        <w:rPr>
          <w:color w:val="231F20"/>
          <w:spacing w:val="-15"/>
        </w:rPr>
        <w:t> </w:t>
      </w:r>
      <w:r>
        <w:rPr>
          <w:color w:val="231F20"/>
        </w:rPr>
        <w:t>le</w:t>
      </w:r>
      <w:r>
        <w:rPr>
          <w:color w:val="231F20"/>
          <w:spacing w:val="-15"/>
        </w:rPr>
        <w:t> </w:t>
      </w:r>
      <w:r>
        <w:rPr>
          <w:color w:val="231F20"/>
        </w:rPr>
        <w:t>président</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République.</w:t>
      </w:r>
      <w:r>
        <w:rPr>
          <w:color w:val="231F20"/>
          <w:spacing w:val="-15"/>
        </w:rPr>
        <w:t> </w:t>
      </w:r>
      <w:r>
        <w:rPr>
          <w:color w:val="231F20"/>
        </w:rPr>
        <w:t>Il achève</w:t>
      </w:r>
      <w:r>
        <w:rPr>
          <w:color w:val="231F20"/>
          <w:spacing w:val="-10"/>
        </w:rPr>
        <w:t> </w:t>
      </w:r>
      <w:r>
        <w:rPr>
          <w:color w:val="231F20"/>
        </w:rPr>
        <w:t>le</w:t>
      </w:r>
      <w:r>
        <w:rPr>
          <w:color w:val="231F20"/>
          <w:spacing w:val="-10"/>
        </w:rPr>
        <w:t> </w:t>
      </w:r>
      <w:r>
        <w:rPr>
          <w:color w:val="231F20"/>
        </w:rPr>
        <w:t>mandat</w:t>
      </w:r>
      <w:r>
        <w:rPr>
          <w:color w:val="231F20"/>
          <w:spacing w:val="-11"/>
        </w:rPr>
        <w:t> </w:t>
      </w:r>
      <w:r>
        <w:rPr>
          <w:color w:val="231F20"/>
        </w:rPr>
        <w:t>de</w:t>
      </w:r>
      <w:r>
        <w:rPr>
          <w:color w:val="231F20"/>
          <w:spacing w:val="-10"/>
        </w:rPr>
        <w:t> </w:t>
      </w:r>
      <w:r>
        <w:rPr>
          <w:color w:val="231F20"/>
        </w:rPr>
        <w:t>Félix</w:t>
      </w:r>
      <w:r>
        <w:rPr>
          <w:color w:val="231F20"/>
          <w:spacing w:val="-9"/>
        </w:rPr>
        <w:t> </w:t>
      </w:r>
      <w:r>
        <w:rPr>
          <w:color w:val="231F20"/>
        </w:rPr>
        <w:t>Houphouët-Boigny</w:t>
      </w:r>
      <w:r>
        <w:rPr>
          <w:color w:val="231F20"/>
          <w:spacing w:val="-11"/>
        </w:rPr>
        <w:t> </w:t>
      </w:r>
      <w:r>
        <w:rPr>
          <w:color w:val="231F20"/>
        </w:rPr>
        <w:t>conformément</w:t>
      </w:r>
      <w:r>
        <w:rPr>
          <w:color w:val="231F20"/>
          <w:spacing w:val="-10"/>
        </w:rPr>
        <w:t> </w:t>
      </w:r>
      <w:r>
        <w:rPr>
          <w:color w:val="231F20"/>
        </w:rPr>
        <w:t>à</w:t>
      </w:r>
      <w:r>
        <w:rPr>
          <w:color w:val="231F20"/>
          <w:spacing w:val="-10"/>
        </w:rPr>
        <w:t> </w:t>
      </w:r>
      <w:r>
        <w:rPr>
          <w:color w:val="231F20"/>
        </w:rPr>
        <w:t>l’article </w:t>
      </w:r>
      <w:r>
        <w:rPr>
          <w:color w:val="231F20"/>
          <w:spacing w:val="-4"/>
        </w:rPr>
        <w:t>11</w:t>
      </w:r>
      <w:r>
        <w:rPr>
          <w:color w:val="231F20"/>
          <w:spacing w:val="-10"/>
        </w:rPr>
        <w:t> </w:t>
      </w:r>
      <w:r>
        <w:rPr>
          <w:color w:val="231F20"/>
          <w:spacing w:val="-4"/>
        </w:rPr>
        <w:t>de</w:t>
      </w:r>
      <w:r>
        <w:rPr>
          <w:color w:val="231F20"/>
          <w:spacing w:val="-10"/>
        </w:rPr>
        <w:t> </w:t>
      </w:r>
      <w:r>
        <w:rPr>
          <w:color w:val="231F20"/>
          <w:spacing w:val="-4"/>
        </w:rPr>
        <w:t>la</w:t>
      </w:r>
      <w:r>
        <w:rPr>
          <w:color w:val="231F20"/>
          <w:spacing w:val="-12"/>
        </w:rPr>
        <w:t> </w:t>
      </w:r>
      <w:r>
        <w:rPr>
          <w:color w:val="231F20"/>
          <w:spacing w:val="-4"/>
        </w:rPr>
        <w:t>Constitution. Il</w:t>
      </w:r>
      <w:r>
        <w:rPr>
          <w:color w:val="231F20"/>
          <w:spacing w:val="-9"/>
        </w:rPr>
        <w:t> </w:t>
      </w:r>
      <w:r>
        <w:rPr>
          <w:color w:val="231F20"/>
          <w:spacing w:val="-4"/>
        </w:rPr>
        <w:t>prend</w:t>
      </w:r>
      <w:r>
        <w:rPr>
          <w:color w:val="231F20"/>
          <w:spacing w:val="-10"/>
        </w:rPr>
        <w:t> </w:t>
      </w:r>
      <w:r>
        <w:rPr>
          <w:color w:val="231F20"/>
          <w:spacing w:val="-4"/>
        </w:rPr>
        <w:t>aussi</w:t>
      </w:r>
      <w:r>
        <w:rPr>
          <w:color w:val="231F20"/>
          <w:spacing w:val="-10"/>
        </w:rPr>
        <w:t> </w:t>
      </w:r>
      <w:r>
        <w:rPr>
          <w:color w:val="231F20"/>
          <w:spacing w:val="-4"/>
        </w:rPr>
        <w:t>les</w:t>
      </w:r>
      <w:r>
        <w:rPr>
          <w:color w:val="231F20"/>
          <w:spacing w:val="-10"/>
        </w:rPr>
        <w:t> </w:t>
      </w:r>
      <w:r>
        <w:rPr>
          <w:color w:val="231F20"/>
          <w:spacing w:val="-4"/>
        </w:rPr>
        <w:t>rennes</w:t>
      </w:r>
      <w:r>
        <w:rPr>
          <w:color w:val="231F20"/>
          <w:spacing w:val="-10"/>
        </w:rPr>
        <w:t> </w:t>
      </w:r>
      <w:r>
        <w:rPr>
          <w:color w:val="231F20"/>
          <w:spacing w:val="-4"/>
        </w:rPr>
        <w:t>du</w:t>
      </w:r>
      <w:r>
        <w:rPr>
          <w:color w:val="231F20"/>
          <w:spacing w:val="-12"/>
        </w:rPr>
        <w:t> </w:t>
      </w:r>
      <w:r>
        <w:rPr>
          <w:color w:val="231F20"/>
          <w:spacing w:val="-4"/>
        </w:rPr>
        <w:t>parti</w:t>
      </w:r>
      <w:r>
        <w:rPr>
          <w:color w:val="231F20"/>
          <w:spacing w:val="-10"/>
        </w:rPr>
        <w:t> </w:t>
      </w:r>
      <w:r>
        <w:rPr>
          <w:color w:val="231F20"/>
          <w:spacing w:val="-4"/>
        </w:rPr>
        <w:t>au</w:t>
      </w:r>
      <w:r>
        <w:rPr>
          <w:color w:val="231F20"/>
          <w:spacing w:val="-10"/>
        </w:rPr>
        <w:t> </w:t>
      </w:r>
      <w:r>
        <w:rPr>
          <w:color w:val="231F20"/>
          <w:spacing w:val="-4"/>
        </w:rPr>
        <w:t>pouvoir</w:t>
      </w:r>
      <w:r>
        <w:rPr>
          <w:color w:val="231F20"/>
          <w:spacing w:val="-10"/>
        </w:rPr>
        <w:t> </w:t>
      </w:r>
      <w:r>
        <w:rPr>
          <w:color w:val="231F20"/>
          <w:spacing w:val="-4"/>
        </w:rPr>
        <w:t>créé</w:t>
      </w:r>
      <w:r>
        <w:rPr>
          <w:color w:val="231F20"/>
          <w:spacing w:val="-10"/>
        </w:rPr>
        <w:t> </w:t>
      </w:r>
      <w:r>
        <w:rPr>
          <w:color w:val="231F20"/>
          <w:spacing w:val="-4"/>
        </w:rPr>
        <w:t>par</w:t>
      </w:r>
    </w:p>
    <w:p>
      <w:pPr>
        <w:pStyle w:val="BodyText"/>
        <w:spacing w:before="1"/>
      </w:pPr>
      <w:r>
        <w:rPr>
          <w:color w:val="231F20"/>
        </w:rPr>
        <w:t>«</w:t>
      </w:r>
      <w:r>
        <w:rPr>
          <w:color w:val="231F20"/>
          <w:spacing w:val="-12"/>
        </w:rPr>
        <w:t> </w:t>
      </w:r>
      <w:r>
        <w:rPr>
          <w:color w:val="231F20"/>
        </w:rPr>
        <w:t>le</w:t>
      </w:r>
      <w:r>
        <w:rPr>
          <w:color w:val="231F20"/>
          <w:spacing w:val="-12"/>
        </w:rPr>
        <w:t> </w:t>
      </w:r>
      <w:r>
        <w:rPr>
          <w:color w:val="231F20"/>
        </w:rPr>
        <w:t>vieux.</w:t>
      </w:r>
      <w:r>
        <w:rPr>
          <w:color w:val="231F20"/>
          <w:spacing w:val="-13"/>
        </w:rPr>
        <w:t> </w:t>
      </w:r>
      <w:r>
        <w:rPr>
          <w:color w:val="231F20"/>
          <w:spacing w:val="-12"/>
        </w:rPr>
        <w:t>»</w:t>
      </w:r>
    </w:p>
    <w:p>
      <w:pPr>
        <w:pStyle w:val="BodyText"/>
        <w:spacing w:before="120"/>
        <w:ind w:right="104" w:firstLine="283"/>
      </w:pPr>
      <w:r>
        <w:rPr>
          <w:color w:val="231F20"/>
          <w:spacing w:val="-4"/>
        </w:rPr>
        <w:t>Bédié</w:t>
      </w:r>
      <w:r>
        <w:rPr>
          <w:color w:val="231F20"/>
          <w:spacing w:val="-6"/>
        </w:rPr>
        <w:t> </w:t>
      </w:r>
      <w:r>
        <w:rPr>
          <w:color w:val="231F20"/>
          <w:spacing w:val="-4"/>
        </w:rPr>
        <w:t>s’intalle</w:t>
      </w:r>
      <w:r>
        <w:rPr>
          <w:color w:val="231F20"/>
          <w:spacing w:val="-6"/>
        </w:rPr>
        <w:t> </w:t>
      </w:r>
      <w:r>
        <w:rPr>
          <w:color w:val="231F20"/>
          <w:spacing w:val="-4"/>
        </w:rPr>
        <w:t>au</w:t>
      </w:r>
      <w:r>
        <w:rPr>
          <w:color w:val="231F20"/>
          <w:spacing w:val="-9"/>
        </w:rPr>
        <w:t> </w:t>
      </w:r>
      <w:r>
        <w:rPr>
          <w:color w:val="231F20"/>
          <w:spacing w:val="-4"/>
        </w:rPr>
        <w:t>palais</w:t>
      </w:r>
      <w:r>
        <w:rPr>
          <w:color w:val="231F20"/>
          <w:spacing w:val="-5"/>
        </w:rPr>
        <w:t> </w:t>
      </w:r>
      <w:r>
        <w:rPr>
          <w:color w:val="231F20"/>
          <w:spacing w:val="-4"/>
        </w:rPr>
        <w:t>présidentiel</w:t>
      </w:r>
      <w:r>
        <w:rPr>
          <w:color w:val="231F20"/>
          <w:spacing w:val="-9"/>
        </w:rPr>
        <w:t> </w:t>
      </w:r>
      <w:r>
        <w:rPr>
          <w:color w:val="231F20"/>
          <w:spacing w:val="-4"/>
        </w:rPr>
        <w:t>mais</w:t>
      </w:r>
      <w:r>
        <w:rPr>
          <w:color w:val="231F20"/>
          <w:spacing w:val="-9"/>
        </w:rPr>
        <w:t> </w:t>
      </w:r>
      <w:r>
        <w:rPr>
          <w:color w:val="231F20"/>
          <w:spacing w:val="-4"/>
        </w:rPr>
        <w:t>il</w:t>
      </w:r>
      <w:r>
        <w:rPr>
          <w:color w:val="231F20"/>
          <w:spacing w:val="-7"/>
        </w:rPr>
        <w:t> </w:t>
      </w:r>
      <w:r>
        <w:rPr>
          <w:color w:val="231F20"/>
          <w:spacing w:val="-4"/>
        </w:rPr>
        <w:t>n’a</w:t>
      </w:r>
      <w:r>
        <w:rPr>
          <w:color w:val="231F20"/>
          <w:spacing w:val="-6"/>
        </w:rPr>
        <w:t> </w:t>
      </w:r>
      <w:r>
        <w:rPr>
          <w:color w:val="231F20"/>
          <w:spacing w:val="-4"/>
        </w:rPr>
        <w:t>ni</w:t>
      </w:r>
      <w:r>
        <w:rPr>
          <w:color w:val="231F20"/>
          <w:spacing w:val="-9"/>
        </w:rPr>
        <w:t> </w:t>
      </w:r>
      <w:r>
        <w:rPr>
          <w:color w:val="231F20"/>
          <w:spacing w:val="-4"/>
        </w:rPr>
        <w:t>le</w:t>
      </w:r>
      <w:r>
        <w:rPr>
          <w:color w:val="231F20"/>
          <w:spacing w:val="-10"/>
        </w:rPr>
        <w:t> </w:t>
      </w:r>
      <w:r>
        <w:rPr>
          <w:color w:val="231F20"/>
          <w:spacing w:val="-4"/>
        </w:rPr>
        <w:t>charisme</w:t>
      </w:r>
      <w:r>
        <w:rPr>
          <w:color w:val="231F20"/>
          <w:spacing w:val="-6"/>
        </w:rPr>
        <w:t> </w:t>
      </w:r>
      <w:r>
        <w:rPr>
          <w:color w:val="231F20"/>
          <w:spacing w:val="-4"/>
        </w:rPr>
        <w:t>ni</w:t>
      </w:r>
      <w:r>
        <w:rPr>
          <w:color w:val="231F20"/>
          <w:spacing w:val="-5"/>
        </w:rPr>
        <w:t> </w:t>
      </w:r>
      <w:r>
        <w:rPr>
          <w:color w:val="231F20"/>
          <w:spacing w:val="-4"/>
        </w:rPr>
        <w:t>l’aura de son prédécesseur. Houphouët-Boigny était craint</w:t>
      </w:r>
      <w:r>
        <w:rPr>
          <w:color w:val="231F20"/>
          <w:spacing w:val="-5"/>
        </w:rPr>
        <w:t> </w:t>
      </w:r>
      <w:r>
        <w:rPr>
          <w:color w:val="231F20"/>
          <w:spacing w:val="-4"/>
        </w:rPr>
        <w:t>et respecté.</w:t>
      </w:r>
      <w:r>
        <w:rPr>
          <w:color w:val="231F20"/>
          <w:spacing w:val="-5"/>
        </w:rPr>
        <w:t> </w:t>
      </w:r>
      <w:r>
        <w:rPr>
          <w:color w:val="231F20"/>
          <w:spacing w:val="-4"/>
        </w:rPr>
        <w:t>Bédié est </w:t>
      </w:r>
      <w:r>
        <w:rPr>
          <w:color w:val="231F20"/>
        </w:rPr>
        <w:t>vu</w:t>
      </w:r>
      <w:r>
        <w:rPr>
          <w:color w:val="231F20"/>
          <w:spacing w:val="-15"/>
        </w:rPr>
        <w:t> </w:t>
      </w:r>
      <w:r>
        <w:rPr>
          <w:color w:val="231F20"/>
        </w:rPr>
        <w:t>comme</w:t>
      </w:r>
      <w:r>
        <w:rPr>
          <w:color w:val="231F20"/>
          <w:spacing w:val="-15"/>
        </w:rPr>
        <w:t> </w:t>
      </w:r>
      <w:r>
        <w:rPr>
          <w:color w:val="231F20"/>
        </w:rPr>
        <w:t>un</w:t>
      </w:r>
      <w:r>
        <w:rPr>
          <w:color w:val="231F20"/>
          <w:spacing w:val="-15"/>
        </w:rPr>
        <w:t> </w:t>
      </w:r>
      <w:r>
        <w:rPr>
          <w:color w:val="231F20"/>
        </w:rPr>
        <w:t>«</w:t>
      </w:r>
      <w:r>
        <w:rPr>
          <w:color w:val="231F20"/>
          <w:spacing w:val="-15"/>
        </w:rPr>
        <w:t> </w:t>
      </w:r>
      <w:r>
        <w:rPr>
          <w:color w:val="231F20"/>
        </w:rPr>
        <w:t>parachuté</w:t>
      </w:r>
      <w:r>
        <w:rPr>
          <w:color w:val="231F20"/>
          <w:spacing w:val="-15"/>
        </w:rPr>
        <w:t> </w:t>
      </w:r>
      <w:r>
        <w:rPr>
          <w:color w:val="231F20"/>
        </w:rPr>
        <w:t>».</w:t>
      </w:r>
      <w:r>
        <w:rPr>
          <w:color w:val="231F20"/>
          <w:spacing w:val="-15"/>
        </w:rPr>
        <w:t> </w:t>
      </w:r>
      <w:r>
        <w:rPr>
          <w:color w:val="231F20"/>
        </w:rPr>
        <w:t>Dans</w:t>
      </w:r>
      <w:r>
        <w:rPr>
          <w:color w:val="231F20"/>
          <w:spacing w:val="-15"/>
        </w:rPr>
        <w:t> </w:t>
      </w:r>
      <w:r>
        <w:rPr>
          <w:color w:val="231F20"/>
        </w:rPr>
        <w:t>son</w:t>
      </w:r>
      <w:r>
        <w:rPr>
          <w:color w:val="231F20"/>
          <w:spacing w:val="-15"/>
        </w:rPr>
        <w:t> </w:t>
      </w:r>
      <w:r>
        <w:rPr>
          <w:color w:val="231F20"/>
        </w:rPr>
        <w:t>propre</w:t>
      </w:r>
      <w:r>
        <w:rPr>
          <w:color w:val="231F20"/>
          <w:spacing w:val="-15"/>
        </w:rPr>
        <w:t> </w:t>
      </w:r>
      <w:r>
        <w:rPr>
          <w:color w:val="231F20"/>
        </w:rPr>
        <w:t>Parti,</w:t>
      </w:r>
      <w:r>
        <w:rPr>
          <w:color w:val="231F20"/>
          <w:spacing w:val="-15"/>
        </w:rPr>
        <w:t> </w:t>
      </w:r>
      <w:r>
        <w:rPr>
          <w:color w:val="231F20"/>
        </w:rPr>
        <w:t>il</w:t>
      </w:r>
      <w:r>
        <w:rPr>
          <w:color w:val="231F20"/>
          <w:spacing w:val="-15"/>
        </w:rPr>
        <w:t> </w:t>
      </w:r>
      <w:r>
        <w:rPr>
          <w:color w:val="231F20"/>
        </w:rPr>
        <w:t>est</w:t>
      </w:r>
      <w:r>
        <w:rPr>
          <w:color w:val="231F20"/>
          <w:spacing w:val="-15"/>
        </w:rPr>
        <w:t> </w:t>
      </w:r>
      <w:r>
        <w:rPr>
          <w:color w:val="231F20"/>
        </w:rPr>
        <w:t>contesté</w:t>
      </w:r>
      <w:r>
        <w:rPr>
          <w:color w:val="231F20"/>
          <w:spacing w:val="-15"/>
        </w:rPr>
        <w:t> </w:t>
      </w:r>
      <w:r>
        <w:rPr>
          <w:color w:val="231F20"/>
        </w:rPr>
        <w:t>par</w:t>
      </w:r>
      <w:r>
        <w:rPr>
          <w:color w:val="231F20"/>
          <w:spacing w:val="-15"/>
        </w:rPr>
        <w:t> </w:t>
      </w:r>
      <w:r>
        <w:rPr>
          <w:color w:val="231F20"/>
        </w:rPr>
        <w:t>les faucons du PDCI et surtout par Yacé qui estime qu’il lui a «</w:t>
      </w:r>
      <w:r>
        <w:rPr>
          <w:color w:val="231F20"/>
          <w:spacing w:val="-10"/>
        </w:rPr>
        <w:t> </w:t>
      </w:r>
      <w:r>
        <w:rPr>
          <w:color w:val="231F20"/>
        </w:rPr>
        <w:t>volé</w:t>
      </w:r>
      <w:r>
        <w:rPr>
          <w:color w:val="231F20"/>
          <w:spacing w:val="-13"/>
        </w:rPr>
        <w:t> </w:t>
      </w:r>
      <w:r>
        <w:rPr>
          <w:color w:val="231F20"/>
        </w:rPr>
        <w:t>» sa place de dauphin.</w:t>
      </w:r>
    </w:p>
    <w:p>
      <w:pPr>
        <w:pStyle w:val="BodyText"/>
        <w:spacing w:before="120"/>
        <w:ind w:right="104" w:firstLine="283"/>
      </w:pPr>
      <w:r>
        <w:rPr>
          <w:color w:val="231F20"/>
          <w:spacing w:val="-2"/>
        </w:rPr>
        <w:t>Alassane</w:t>
      </w:r>
      <w:r>
        <w:rPr>
          <w:color w:val="231F20"/>
          <w:spacing w:val="-10"/>
        </w:rPr>
        <w:t> </w:t>
      </w:r>
      <w:r>
        <w:rPr>
          <w:color w:val="231F20"/>
          <w:spacing w:val="-2"/>
        </w:rPr>
        <w:t>Dramane</w:t>
      </w:r>
      <w:r>
        <w:rPr>
          <w:color w:val="231F20"/>
          <w:spacing w:val="-10"/>
        </w:rPr>
        <w:t> </w:t>
      </w:r>
      <w:r>
        <w:rPr>
          <w:color w:val="231F20"/>
          <w:spacing w:val="-2"/>
        </w:rPr>
        <w:t>Ouattara</w:t>
      </w:r>
      <w:r>
        <w:rPr>
          <w:color w:val="231F20"/>
          <w:spacing w:val="-10"/>
        </w:rPr>
        <w:t> </w:t>
      </w:r>
      <w:r>
        <w:rPr>
          <w:color w:val="231F20"/>
          <w:spacing w:val="-2"/>
        </w:rPr>
        <w:t>part</w:t>
      </w:r>
      <w:r>
        <w:rPr>
          <w:color w:val="231F20"/>
          <w:spacing w:val="-2"/>
          <w:vertAlign w:val="superscript"/>
        </w:rPr>
        <w:t>153</w:t>
      </w:r>
      <w:r>
        <w:rPr>
          <w:color w:val="231F20"/>
          <w:spacing w:val="-2"/>
          <w:vertAlign w:val="baseline"/>
        </w:rPr>
        <w:t>aux</w:t>
      </w:r>
      <w:r>
        <w:rPr>
          <w:color w:val="231F20"/>
          <w:spacing w:val="-10"/>
          <w:vertAlign w:val="baseline"/>
        </w:rPr>
        <w:t> </w:t>
      </w:r>
      <w:r>
        <w:rPr>
          <w:color w:val="231F20"/>
          <w:spacing w:val="-2"/>
          <w:vertAlign w:val="baseline"/>
        </w:rPr>
        <w:t>États-Unis</w:t>
      </w:r>
      <w:r>
        <w:rPr>
          <w:color w:val="231F20"/>
          <w:spacing w:val="-12"/>
          <w:vertAlign w:val="baseline"/>
        </w:rPr>
        <w:t> </w:t>
      </w:r>
      <w:r>
        <w:rPr>
          <w:color w:val="231F20"/>
          <w:spacing w:val="-2"/>
          <w:vertAlign w:val="baseline"/>
        </w:rPr>
        <w:t>occuper</w:t>
      </w:r>
      <w:r>
        <w:rPr>
          <w:color w:val="231F20"/>
          <w:spacing w:val="-10"/>
          <w:vertAlign w:val="baseline"/>
        </w:rPr>
        <w:t> </w:t>
      </w:r>
      <w:r>
        <w:rPr>
          <w:color w:val="231F20"/>
          <w:spacing w:val="-2"/>
          <w:vertAlign w:val="baseline"/>
        </w:rPr>
        <w:t>le</w:t>
      </w:r>
      <w:r>
        <w:rPr>
          <w:color w:val="231F20"/>
          <w:spacing w:val="-10"/>
          <w:vertAlign w:val="baseline"/>
        </w:rPr>
        <w:t> </w:t>
      </w:r>
      <w:r>
        <w:rPr>
          <w:color w:val="231F20"/>
          <w:spacing w:val="-2"/>
          <w:vertAlign w:val="baseline"/>
        </w:rPr>
        <w:t>poste</w:t>
      </w:r>
      <w:r>
        <w:rPr>
          <w:color w:val="231F20"/>
          <w:spacing w:val="-13"/>
          <w:vertAlign w:val="baseline"/>
        </w:rPr>
        <w:t> </w:t>
      </w:r>
      <w:r>
        <w:rPr>
          <w:color w:val="231F20"/>
          <w:spacing w:val="-2"/>
          <w:vertAlign w:val="baseline"/>
        </w:rPr>
        <w:t>de Directeur</w:t>
      </w:r>
      <w:r>
        <w:rPr>
          <w:color w:val="231F20"/>
          <w:spacing w:val="-15"/>
          <w:vertAlign w:val="baseline"/>
        </w:rPr>
        <w:t> </w:t>
      </w:r>
      <w:r>
        <w:rPr>
          <w:color w:val="231F20"/>
          <w:spacing w:val="-2"/>
          <w:vertAlign w:val="baseline"/>
        </w:rPr>
        <w:t>Général</w:t>
      </w:r>
      <w:r>
        <w:rPr>
          <w:color w:val="231F20"/>
          <w:spacing w:val="-13"/>
          <w:vertAlign w:val="baseline"/>
        </w:rPr>
        <w:t> </w:t>
      </w:r>
      <w:r>
        <w:rPr>
          <w:color w:val="231F20"/>
          <w:spacing w:val="-2"/>
          <w:vertAlign w:val="baseline"/>
        </w:rPr>
        <w:t>Adjoint</w:t>
      </w:r>
      <w:r>
        <w:rPr>
          <w:color w:val="231F20"/>
          <w:spacing w:val="-13"/>
          <w:vertAlign w:val="baseline"/>
        </w:rPr>
        <w:t> </w:t>
      </w:r>
      <w:r>
        <w:rPr>
          <w:color w:val="231F20"/>
          <w:spacing w:val="-2"/>
          <w:vertAlign w:val="baseline"/>
        </w:rPr>
        <w:t>du</w:t>
      </w:r>
      <w:r>
        <w:rPr>
          <w:color w:val="231F20"/>
          <w:spacing w:val="-13"/>
          <w:vertAlign w:val="baseline"/>
        </w:rPr>
        <w:t> </w:t>
      </w:r>
      <w:r>
        <w:rPr>
          <w:color w:val="231F20"/>
          <w:spacing w:val="-2"/>
          <w:vertAlign w:val="baseline"/>
        </w:rPr>
        <w:t>Fonds</w:t>
      </w:r>
      <w:r>
        <w:rPr>
          <w:color w:val="231F20"/>
          <w:spacing w:val="-13"/>
          <w:vertAlign w:val="baseline"/>
        </w:rPr>
        <w:t> </w:t>
      </w:r>
      <w:r>
        <w:rPr>
          <w:color w:val="231F20"/>
          <w:spacing w:val="-2"/>
          <w:vertAlign w:val="baseline"/>
        </w:rPr>
        <w:t>Monétaire</w:t>
      </w:r>
      <w:r>
        <w:rPr>
          <w:color w:val="231F20"/>
          <w:spacing w:val="-13"/>
          <w:vertAlign w:val="baseline"/>
        </w:rPr>
        <w:t> </w:t>
      </w:r>
      <w:r>
        <w:rPr>
          <w:color w:val="231F20"/>
          <w:spacing w:val="-2"/>
          <w:vertAlign w:val="baseline"/>
        </w:rPr>
        <w:t>International</w:t>
      </w:r>
      <w:r>
        <w:rPr>
          <w:color w:val="231F20"/>
          <w:spacing w:val="-13"/>
          <w:vertAlign w:val="baseline"/>
        </w:rPr>
        <w:t> </w:t>
      </w:r>
      <w:r>
        <w:rPr>
          <w:color w:val="231F20"/>
          <w:spacing w:val="-2"/>
          <w:vertAlign w:val="baseline"/>
        </w:rPr>
        <w:t>(FMI)</w:t>
      </w:r>
      <w:r>
        <w:rPr>
          <w:color w:val="231F20"/>
          <w:spacing w:val="-13"/>
          <w:vertAlign w:val="baseline"/>
        </w:rPr>
        <w:t> </w:t>
      </w:r>
      <w:r>
        <w:rPr>
          <w:color w:val="231F20"/>
          <w:spacing w:val="-2"/>
          <w:vertAlign w:val="baseline"/>
        </w:rPr>
        <w:t>mais, </w:t>
      </w:r>
      <w:r>
        <w:rPr>
          <w:color w:val="231F20"/>
          <w:vertAlign w:val="baseline"/>
        </w:rPr>
        <w:t>depuis</w:t>
      </w:r>
      <w:r>
        <w:rPr>
          <w:color w:val="231F20"/>
          <w:spacing w:val="-3"/>
          <w:vertAlign w:val="baseline"/>
        </w:rPr>
        <w:t> </w:t>
      </w:r>
      <w:r>
        <w:rPr>
          <w:color w:val="231F20"/>
          <w:vertAlign w:val="baseline"/>
        </w:rPr>
        <w:t>cette</w:t>
      </w:r>
      <w:r>
        <w:rPr>
          <w:color w:val="231F20"/>
          <w:spacing w:val="-4"/>
          <w:vertAlign w:val="baseline"/>
        </w:rPr>
        <w:t> </w:t>
      </w:r>
      <w:r>
        <w:rPr>
          <w:color w:val="231F20"/>
          <w:vertAlign w:val="baseline"/>
        </w:rPr>
        <w:t>influente</w:t>
      </w:r>
      <w:r>
        <w:rPr>
          <w:color w:val="231F20"/>
          <w:spacing w:val="-4"/>
          <w:vertAlign w:val="baseline"/>
        </w:rPr>
        <w:t> </w:t>
      </w:r>
      <w:r>
        <w:rPr>
          <w:color w:val="231F20"/>
          <w:vertAlign w:val="baseline"/>
        </w:rPr>
        <w:t>institution</w:t>
      </w:r>
      <w:r>
        <w:rPr>
          <w:color w:val="231F20"/>
          <w:spacing w:val="-1"/>
          <w:vertAlign w:val="baseline"/>
        </w:rPr>
        <w:t> </w:t>
      </w:r>
      <w:r>
        <w:rPr>
          <w:color w:val="231F20"/>
          <w:vertAlign w:val="baseline"/>
        </w:rPr>
        <w:t>qui</w:t>
      </w:r>
      <w:r>
        <w:rPr>
          <w:color w:val="231F20"/>
          <w:spacing w:val="-3"/>
          <w:vertAlign w:val="baseline"/>
        </w:rPr>
        <w:t> </w:t>
      </w:r>
      <w:r>
        <w:rPr>
          <w:color w:val="231F20"/>
          <w:vertAlign w:val="baseline"/>
        </w:rPr>
        <w:t>entretient</w:t>
      </w:r>
      <w:r>
        <w:rPr>
          <w:color w:val="231F20"/>
          <w:spacing w:val="-1"/>
          <w:vertAlign w:val="baseline"/>
        </w:rPr>
        <w:t> </w:t>
      </w:r>
      <w:r>
        <w:rPr>
          <w:color w:val="231F20"/>
          <w:vertAlign w:val="baseline"/>
        </w:rPr>
        <w:t>des</w:t>
      </w:r>
      <w:r>
        <w:rPr>
          <w:color w:val="231F20"/>
          <w:spacing w:val="-3"/>
          <w:vertAlign w:val="baseline"/>
        </w:rPr>
        <w:t> </w:t>
      </w:r>
      <w:r>
        <w:rPr>
          <w:color w:val="231F20"/>
          <w:vertAlign w:val="baseline"/>
        </w:rPr>
        <w:t>liens</w:t>
      </w:r>
      <w:r>
        <w:rPr>
          <w:color w:val="231F20"/>
          <w:spacing w:val="-3"/>
          <w:vertAlign w:val="baseline"/>
        </w:rPr>
        <w:t> </w:t>
      </w:r>
      <w:r>
        <w:rPr>
          <w:color w:val="231F20"/>
          <w:vertAlign w:val="baseline"/>
        </w:rPr>
        <w:t>étroits</w:t>
      </w:r>
      <w:r>
        <w:rPr>
          <w:color w:val="231F20"/>
          <w:spacing w:val="-1"/>
          <w:vertAlign w:val="baseline"/>
        </w:rPr>
        <w:t> </w:t>
      </w:r>
      <w:r>
        <w:rPr>
          <w:color w:val="231F20"/>
          <w:vertAlign w:val="baseline"/>
        </w:rPr>
        <w:t>avec</w:t>
      </w:r>
      <w:r>
        <w:rPr>
          <w:color w:val="231F20"/>
          <w:spacing w:val="-3"/>
          <w:vertAlign w:val="baseline"/>
        </w:rPr>
        <w:t> </w:t>
      </w:r>
      <w:r>
        <w:rPr>
          <w:color w:val="231F20"/>
          <w:vertAlign w:val="baseline"/>
        </w:rPr>
        <w:t>les pouvoirs africains, il fourbit ses armes.</w:t>
      </w:r>
    </w:p>
    <w:p>
      <w:pPr>
        <w:pStyle w:val="BodyText"/>
        <w:spacing w:before="121"/>
        <w:ind w:right="105" w:firstLine="283"/>
      </w:pPr>
      <w:r>
        <w:rPr>
          <w:color w:val="231F20"/>
        </w:rPr>
        <w:t>Trente-quatre jours après le décès du premier président de la Côte d’Ivoire,</w:t>
      </w:r>
      <w:r>
        <w:rPr>
          <w:color w:val="231F20"/>
          <w:spacing w:val="-15"/>
        </w:rPr>
        <w:t> </w:t>
      </w:r>
      <w:r>
        <w:rPr>
          <w:color w:val="231F20"/>
        </w:rPr>
        <w:t>Paris</w:t>
      </w:r>
      <w:r>
        <w:rPr>
          <w:color w:val="231F20"/>
          <w:spacing w:val="-15"/>
        </w:rPr>
        <w:t> </w:t>
      </w:r>
      <w:r>
        <w:rPr>
          <w:color w:val="231F20"/>
        </w:rPr>
        <w:t>décide</w:t>
      </w:r>
      <w:r>
        <w:rPr>
          <w:color w:val="231F20"/>
          <w:spacing w:val="-15"/>
        </w:rPr>
        <w:t> </w:t>
      </w:r>
      <w:r>
        <w:rPr>
          <w:color w:val="231F20"/>
        </w:rPr>
        <w:t>de</w:t>
      </w:r>
      <w:r>
        <w:rPr>
          <w:color w:val="231F20"/>
          <w:spacing w:val="-15"/>
        </w:rPr>
        <w:t> </w:t>
      </w:r>
      <w:r>
        <w:rPr>
          <w:color w:val="231F20"/>
        </w:rPr>
        <w:t>dévaluer</w:t>
      </w:r>
      <w:r>
        <w:rPr>
          <w:color w:val="231F20"/>
          <w:spacing w:val="-15"/>
        </w:rPr>
        <w:t> </w:t>
      </w:r>
      <w:r>
        <w:rPr>
          <w:color w:val="231F20"/>
        </w:rPr>
        <w:t>de</w:t>
      </w:r>
      <w:r>
        <w:rPr>
          <w:color w:val="231F20"/>
          <w:spacing w:val="-15"/>
        </w:rPr>
        <w:t> </w:t>
      </w:r>
      <w:r>
        <w:rPr>
          <w:color w:val="231F20"/>
        </w:rPr>
        <w:t>moitié</w:t>
      </w:r>
      <w:r>
        <w:rPr>
          <w:color w:val="231F20"/>
          <w:spacing w:val="-15"/>
        </w:rPr>
        <w:t> </w:t>
      </w:r>
      <w:r>
        <w:rPr>
          <w:color w:val="231F20"/>
        </w:rPr>
        <w:t>le</w:t>
      </w:r>
      <w:r>
        <w:rPr>
          <w:color w:val="231F20"/>
          <w:spacing w:val="-15"/>
        </w:rPr>
        <w:t> </w:t>
      </w:r>
      <w:r>
        <w:rPr>
          <w:color w:val="231F20"/>
        </w:rPr>
        <w:t>franc</w:t>
      </w:r>
      <w:r>
        <w:rPr>
          <w:color w:val="231F20"/>
          <w:spacing w:val="-15"/>
        </w:rPr>
        <w:t> </w:t>
      </w:r>
      <w:r>
        <w:rPr>
          <w:color w:val="231F20"/>
        </w:rPr>
        <w:t>CFA,</w:t>
      </w:r>
      <w:r>
        <w:rPr>
          <w:color w:val="231F20"/>
          <w:spacing w:val="-15"/>
        </w:rPr>
        <w:t> </w:t>
      </w:r>
      <w:r>
        <w:rPr>
          <w:color w:val="231F20"/>
        </w:rPr>
        <w:t>cette</w:t>
      </w:r>
      <w:r>
        <w:rPr>
          <w:color w:val="231F20"/>
          <w:spacing w:val="-15"/>
        </w:rPr>
        <w:t> </w:t>
      </w:r>
      <w:r>
        <w:rPr>
          <w:color w:val="231F20"/>
        </w:rPr>
        <w:t>monnaie créée</w:t>
      </w:r>
      <w:r>
        <w:rPr>
          <w:color w:val="231F20"/>
          <w:spacing w:val="-8"/>
        </w:rPr>
        <w:t> </w:t>
      </w:r>
      <w:r>
        <w:rPr>
          <w:color w:val="231F20"/>
        </w:rPr>
        <w:t>par</w:t>
      </w:r>
      <w:r>
        <w:rPr>
          <w:color w:val="231F20"/>
          <w:spacing w:val="-8"/>
        </w:rPr>
        <w:t> </w:t>
      </w:r>
      <w:r>
        <w:rPr>
          <w:color w:val="231F20"/>
        </w:rPr>
        <w:t>la</w:t>
      </w:r>
      <w:r>
        <w:rPr>
          <w:color w:val="231F20"/>
          <w:spacing w:val="-11"/>
        </w:rPr>
        <w:t> </w:t>
      </w:r>
      <w:r>
        <w:rPr>
          <w:color w:val="231F20"/>
        </w:rPr>
        <w:t>France</w:t>
      </w:r>
      <w:r>
        <w:rPr>
          <w:color w:val="231F20"/>
          <w:spacing w:val="-8"/>
        </w:rPr>
        <w:t> </w:t>
      </w:r>
      <w:r>
        <w:rPr>
          <w:color w:val="231F20"/>
        </w:rPr>
        <w:t>en</w:t>
      </w:r>
      <w:r>
        <w:rPr>
          <w:color w:val="231F20"/>
          <w:spacing w:val="-10"/>
        </w:rPr>
        <w:t> </w:t>
      </w:r>
      <w:r>
        <w:rPr>
          <w:color w:val="231F20"/>
        </w:rPr>
        <w:t>1948</w:t>
      </w:r>
      <w:r>
        <w:rPr>
          <w:color w:val="231F20"/>
          <w:spacing w:val="-8"/>
        </w:rPr>
        <w:t> </w:t>
      </w:r>
      <w:r>
        <w:rPr>
          <w:color w:val="231F20"/>
        </w:rPr>
        <w:t>pour</w:t>
      </w:r>
      <w:r>
        <w:rPr>
          <w:color w:val="231F20"/>
          <w:spacing w:val="-11"/>
        </w:rPr>
        <w:t> </w:t>
      </w:r>
      <w:r>
        <w:rPr>
          <w:color w:val="231F20"/>
        </w:rPr>
        <w:t>ses</w:t>
      </w:r>
      <w:r>
        <w:rPr>
          <w:color w:val="231F20"/>
          <w:spacing w:val="-10"/>
        </w:rPr>
        <w:t> </w:t>
      </w:r>
      <w:r>
        <w:rPr>
          <w:color w:val="231F20"/>
        </w:rPr>
        <w:t>colonies</w:t>
      </w:r>
      <w:r>
        <w:rPr>
          <w:color w:val="231F20"/>
          <w:spacing w:val="-10"/>
        </w:rPr>
        <w:t> </w:t>
      </w:r>
      <w:r>
        <w:rPr>
          <w:color w:val="231F20"/>
        </w:rPr>
        <w:t>d’Afrique</w:t>
      </w:r>
      <w:r>
        <w:rPr>
          <w:color w:val="231F20"/>
          <w:spacing w:val="-10"/>
        </w:rPr>
        <w:t> </w:t>
      </w:r>
      <w:r>
        <w:rPr>
          <w:color w:val="231F20"/>
        </w:rPr>
        <w:t>noire,</w:t>
      </w:r>
      <w:r>
        <w:rPr>
          <w:color w:val="231F20"/>
          <w:spacing w:val="-10"/>
        </w:rPr>
        <w:t> </w:t>
      </w:r>
      <w:r>
        <w:rPr>
          <w:color w:val="231F20"/>
        </w:rPr>
        <w:t>avec</w:t>
      </w:r>
      <w:r>
        <w:rPr>
          <w:color w:val="231F20"/>
          <w:spacing w:val="-11"/>
        </w:rPr>
        <w:t> </w:t>
      </w:r>
      <w:r>
        <w:rPr>
          <w:color w:val="231F20"/>
        </w:rPr>
        <w:t>une parité fixe par rapport au franc français.</w:t>
      </w:r>
    </w:p>
    <w:p>
      <w:pPr>
        <w:pStyle w:val="BodyText"/>
        <w:spacing w:before="120"/>
        <w:ind w:right="104" w:firstLine="283"/>
      </w:pPr>
      <w:r>
        <w:rPr>
          <w:color w:val="231F20"/>
        </w:rPr>
        <w:t>Pesant environ</w:t>
      </w:r>
      <w:r>
        <w:rPr>
          <w:color w:val="231F20"/>
          <w:spacing w:val="-1"/>
        </w:rPr>
        <w:t> </w:t>
      </w:r>
      <w:r>
        <w:rPr>
          <w:color w:val="231F20"/>
        </w:rPr>
        <w:t>60 % du</w:t>
      </w:r>
      <w:r>
        <w:rPr>
          <w:color w:val="231F20"/>
          <w:spacing w:val="-1"/>
        </w:rPr>
        <w:t> </w:t>
      </w:r>
      <w:r>
        <w:rPr>
          <w:color w:val="231F20"/>
        </w:rPr>
        <w:t>poids économique de</w:t>
      </w:r>
      <w:r>
        <w:rPr>
          <w:color w:val="231F20"/>
          <w:spacing w:val="-1"/>
        </w:rPr>
        <w:t> </w:t>
      </w:r>
      <w:r>
        <w:rPr>
          <w:color w:val="231F20"/>
        </w:rPr>
        <w:t>la zone franc,</w:t>
      </w:r>
      <w:r>
        <w:rPr>
          <w:color w:val="231F20"/>
          <w:spacing w:val="-1"/>
        </w:rPr>
        <w:t> </w:t>
      </w:r>
      <w:r>
        <w:rPr>
          <w:color w:val="231F20"/>
        </w:rPr>
        <w:t>la Côte </w:t>
      </w:r>
      <w:r>
        <w:rPr>
          <w:color w:val="231F20"/>
          <w:spacing w:val="-2"/>
        </w:rPr>
        <w:t>d’Ivoire</w:t>
      </w:r>
      <w:r>
        <w:rPr>
          <w:color w:val="231F20"/>
          <w:spacing w:val="-8"/>
        </w:rPr>
        <w:t> </w:t>
      </w:r>
      <w:r>
        <w:rPr>
          <w:color w:val="231F20"/>
          <w:spacing w:val="-2"/>
        </w:rPr>
        <w:t>subissait</w:t>
      </w:r>
      <w:r>
        <w:rPr>
          <w:color w:val="231F20"/>
          <w:spacing w:val="-8"/>
        </w:rPr>
        <w:t> </w:t>
      </w:r>
      <w:r>
        <w:rPr>
          <w:color w:val="231F20"/>
          <w:spacing w:val="-2"/>
        </w:rPr>
        <w:t>de</w:t>
      </w:r>
      <w:r>
        <w:rPr>
          <w:color w:val="231F20"/>
          <w:spacing w:val="-8"/>
        </w:rPr>
        <w:t> </w:t>
      </w:r>
      <w:r>
        <w:rPr>
          <w:color w:val="231F20"/>
          <w:spacing w:val="-2"/>
        </w:rPr>
        <w:t>plein</w:t>
      </w:r>
      <w:r>
        <w:rPr>
          <w:color w:val="231F20"/>
          <w:spacing w:val="-10"/>
        </w:rPr>
        <w:t> </w:t>
      </w:r>
      <w:r>
        <w:rPr>
          <w:color w:val="231F20"/>
          <w:spacing w:val="-2"/>
        </w:rPr>
        <w:t>fouet</w:t>
      </w:r>
      <w:r>
        <w:rPr>
          <w:color w:val="231F20"/>
          <w:spacing w:val="-8"/>
        </w:rPr>
        <w:t> </w:t>
      </w:r>
      <w:r>
        <w:rPr>
          <w:color w:val="231F20"/>
          <w:spacing w:val="-2"/>
        </w:rPr>
        <w:t>les</w:t>
      </w:r>
      <w:r>
        <w:rPr>
          <w:color w:val="231F20"/>
          <w:spacing w:val="-8"/>
        </w:rPr>
        <w:t> </w:t>
      </w:r>
      <w:r>
        <w:rPr>
          <w:color w:val="231F20"/>
          <w:spacing w:val="-2"/>
        </w:rPr>
        <w:t>effets</w:t>
      </w:r>
      <w:r>
        <w:rPr>
          <w:color w:val="231F20"/>
          <w:spacing w:val="-8"/>
        </w:rPr>
        <w:t> </w:t>
      </w:r>
      <w:r>
        <w:rPr>
          <w:color w:val="231F20"/>
          <w:spacing w:val="-2"/>
        </w:rPr>
        <w:t>de</w:t>
      </w:r>
      <w:r>
        <w:rPr>
          <w:color w:val="231F20"/>
          <w:spacing w:val="-8"/>
        </w:rPr>
        <w:t> </w:t>
      </w:r>
      <w:r>
        <w:rPr>
          <w:color w:val="231F20"/>
          <w:spacing w:val="-2"/>
        </w:rPr>
        <w:t>la</w:t>
      </w:r>
      <w:r>
        <w:rPr>
          <w:color w:val="231F20"/>
          <w:spacing w:val="-8"/>
        </w:rPr>
        <w:t> </w:t>
      </w:r>
      <w:r>
        <w:rPr>
          <w:color w:val="231F20"/>
          <w:spacing w:val="-2"/>
        </w:rPr>
        <w:t>baisse</w:t>
      </w:r>
      <w:r>
        <w:rPr>
          <w:color w:val="231F20"/>
          <w:spacing w:val="-8"/>
        </w:rPr>
        <w:t> </w:t>
      </w:r>
      <w:r>
        <w:rPr>
          <w:color w:val="231F20"/>
          <w:spacing w:val="-2"/>
        </w:rPr>
        <w:t>du</w:t>
      </w:r>
      <w:r>
        <w:rPr>
          <w:color w:val="231F20"/>
          <w:spacing w:val="-8"/>
        </w:rPr>
        <w:t> </w:t>
      </w:r>
      <w:r>
        <w:rPr>
          <w:color w:val="231F20"/>
          <w:spacing w:val="-2"/>
        </w:rPr>
        <w:t>dollar,</w:t>
      </w:r>
      <w:r>
        <w:rPr>
          <w:color w:val="231F20"/>
          <w:spacing w:val="-8"/>
        </w:rPr>
        <w:t> </w:t>
      </w:r>
      <w:r>
        <w:rPr>
          <w:color w:val="231F20"/>
          <w:spacing w:val="-2"/>
        </w:rPr>
        <w:t>monnaie </w:t>
      </w:r>
      <w:r>
        <w:rPr>
          <w:color w:val="231F20"/>
        </w:rPr>
        <w:t>dans laquelle sont libellées ses exportations de cacao, alors que ses </w:t>
      </w:r>
      <w:r>
        <w:rPr>
          <w:color w:val="231F20"/>
          <w:spacing w:val="-2"/>
        </w:rPr>
        <w:t>producteurs</w:t>
      </w:r>
      <w:r>
        <w:rPr>
          <w:color w:val="231F20"/>
          <w:spacing w:val="-8"/>
        </w:rPr>
        <w:t> </w:t>
      </w:r>
      <w:r>
        <w:rPr>
          <w:color w:val="231F20"/>
          <w:spacing w:val="-2"/>
        </w:rPr>
        <w:t>sont</w:t>
      </w:r>
      <w:r>
        <w:rPr>
          <w:color w:val="231F20"/>
          <w:spacing w:val="-7"/>
        </w:rPr>
        <w:t> </w:t>
      </w:r>
      <w:r>
        <w:rPr>
          <w:color w:val="231F20"/>
          <w:spacing w:val="-2"/>
        </w:rPr>
        <w:t>rémunérés</w:t>
      </w:r>
      <w:r>
        <w:rPr>
          <w:color w:val="231F20"/>
          <w:spacing w:val="-8"/>
        </w:rPr>
        <w:t> </w:t>
      </w:r>
      <w:r>
        <w:rPr>
          <w:color w:val="231F20"/>
          <w:spacing w:val="-2"/>
        </w:rPr>
        <w:t>en</w:t>
      </w:r>
      <w:r>
        <w:rPr>
          <w:color w:val="231F20"/>
          <w:spacing w:val="-8"/>
        </w:rPr>
        <w:t> </w:t>
      </w:r>
      <w:r>
        <w:rPr>
          <w:color w:val="231F20"/>
          <w:spacing w:val="-2"/>
        </w:rPr>
        <w:t>franc.</w:t>
      </w:r>
      <w:r>
        <w:rPr>
          <w:color w:val="231F20"/>
          <w:spacing w:val="-8"/>
        </w:rPr>
        <w:t> </w:t>
      </w:r>
      <w:r>
        <w:rPr>
          <w:color w:val="231F20"/>
          <w:spacing w:val="-2"/>
        </w:rPr>
        <w:t>Sur</w:t>
      </w:r>
      <w:r>
        <w:rPr>
          <w:color w:val="231F20"/>
          <w:spacing w:val="-8"/>
        </w:rPr>
        <w:t> </w:t>
      </w:r>
      <w:r>
        <w:rPr>
          <w:color w:val="231F20"/>
          <w:spacing w:val="-2"/>
        </w:rPr>
        <w:t>les</w:t>
      </w:r>
      <w:r>
        <w:rPr>
          <w:color w:val="231F20"/>
          <w:spacing w:val="-11"/>
        </w:rPr>
        <w:t> </w:t>
      </w:r>
      <w:r>
        <w:rPr>
          <w:color w:val="231F20"/>
          <w:spacing w:val="-2"/>
        </w:rPr>
        <w:t>trois</w:t>
      </w:r>
      <w:r>
        <w:rPr>
          <w:color w:val="231F20"/>
          <w:spacing w:val="-8"/>
        </w:rPr>
        <w:t> </w:t>
      </w:r>
      <w:r>
        <w:rPr>
          <w:color w:val="231F20"/>
          <w:spacing w:val="-2"/>
        </w:rPr>
        <w:t>années</w:t>
      </w:r>
      <w:r>
        <w:rPr>
          <w:color w:val="231F20"/>
          <w:spacing w:val="-8"/>
        </w:rPr>
        <w:t> </w:t>
      </w:r>
      <w:r>
        <w:rPr>
          <w:color w:val="231F20"/>
          <w:spacing w:val="-2"/>
        </w:rPr>
        <w:t>de</w:t>
      </w:r>
      <w:r>
        <w:rPr>
          <w:color w:val="231F20"/>
          <w:spacing w:val="-8"/>
        </w:rPr>
        <w:t> </w:t>
      </w:r>
      <w:r>
        <w:rPr>
          <w:color w:val="231F20"/>
          <w:spacing w:val="-2"/>
        </w:rPr>
        <w:t>la</w:t>
      </w:r>
      <w:r>
        <w:rPr>
          <w:color w:val="231F20"/>
          <w:spacing w:val="-8"/>
        </w:rPr>
        <w:t> </w:t>
      </w:r>
      <w:r>
        <w:rPr>
          <w:color w:val="231F20"/>
          <w:spacing w:val="-2"/>
        </w:rPr>
        <w:t>primature </w:t>
      </w:r>
      <w:r>
        <w:rPr>
          <w:color w:val="231F20"/>
        </w:rPr>
        <w:t>du</w:t>
      </w:r>
      <w:r>
        <w:rPr>
          <w:color w:val="231F20"/>
          <w:spacing w:val="-9"/>
        </w:rPr>
        <w:t> </w:t>
      </w:r>
      <w:r>
        <w:rPr>
          <w:color w:val="231F20"/>
        </w:rPr>
        <w:t>Premier</w:t>
      </w:r>
      <w:r>
        <w:rPr>
          <w:color w:val="231F20"/>
          <w:spacing w:val="-10"/>
        </w:rPr>
        <w:t> </w:t>
      </w:r>
      <w:r>
        <w:rPr>
          <w:color w:val="231F20"/>
        </w:rPr>
        <w:t>ministre</w:t>
      </w:r>
      <w:r>
        <w:rPr>
          <w:color w:val="231F20"/>
          <w:spacing w:val="-10"/>
        </w:rPr>
        <w:t> </w:t>
      </w:r>
      <w:r>
        <w:rPr>
          <w:color w:val="231F20"/>
        </w:rPr>
        <w:t>Alassane</w:t>
      </w:r>
      <w:r>
        <w:rPr>
          <w:color w:val="231F20"/>
          <w:spacing w:val="-10"/>
        </w:rPr>
        <w:t> </w:t>
      </w:r>
      <w:r>
        <w:rPr>
          <w:color w:val="231F20"/>
        </w:rPr>
        <w:t>Ouattara,</w:t>
      </w:r>
      <w:r>
        <w:rPr>
          <w:color w:val="231F20"/>
          <w:spacing w:val="-9"/>
        </w:rPr>
        <w:t> </w:t>
      </w:r>
      <w:r>
        <w:rPr>
          <w:color w:val="231F20"/>
        </w:rPr>
        <w:t>le</w:t>
      </w:r>
      <w:r>
        <w:rPr>
          <w:color w:val="231F20"/>
          <w:spacing w:val="-10"/>
        </w:rPr>
        <w:t> </w:t>
      </w:r>
      <w:r>
        <w:rPr>
          <w:color w:val="231F20"/>
        </w:rPr>
        <w:t>déficit</w:t>
      </w:r>
      <w:r>
        <w:rPr>
          <w:color w:val="231F20"/>
          <w:spacing w:val="-9"/>
        </w:rPr>
        <w:t> </w:t>
      </w:r>
      <w:r>
        <w:rPr>
          <w:color w:val="231F20"/>
        </w:rPr>
        <w:t>n’a</w:t>
      </w:r>
      <w:r>
        <w:rPr>
          <w:color w:val="231F20"/>
          <w:spacing w:val="-10"/>
        </w:rPr>
        <w:t> </w:t>
      </w:r>
      <w:r>
        <w:rPr>
          <w:color w:val="231F20"/>
        </w:rPr>
        <w:t>cessé</w:t>
      </w:r>
      <w:r>
        <w:rPr>
          <w:color w:val="231F20"/>
          <w:spacing w:val="-10"/>
        </w:rPr>
        <w:t> </w:t>
      </w:r>
      <w:r>
        <w:rPr>
          <w:color w:val="231F20"/>
        </w:rPr>
        <w:t>de</w:t>
      </w:r>
      <w:r>
        <w:rPr>
          <w:color w:val="231F20"/>
          <w:spacing w:val="-11"/>
        </w:rPr>
        <w:t> </w:t>
      </w:r>
      <w:r>
        <w:rPr>
          <w:color w:val="231F20"/>
        </w:rPr>
        <w:t>croître</w:t>
      </w:r>
      <w:r>
        <w:rPr>
          <w:color w:val="231F20"/>
          <w:spacing w:val="-10"/>
        </w:rPr>
        <w:t> </w:t>
      </w:r>
      <w:r>
        <w:rPr>
          <w:color w:val="231F20"/>
        </w:rPr>
        <w:t>en </w:t>
      </w:r>
      <w:r>
        <w:rPr>
          <w:color w:val="231F20"/>
          <w:spacing w:val="-2"/>
        </w:rPr>
        <w:t>dépit</w:t>
      </w:r>
      <w:r>
        <w:rPr>
          <w:color w:val="231F20"/>
          <w:spacing w:val="-15"/>
        </w:rPr>
        <w:t> </w:t>
      </w:r>
      <w:r>
        <w:rPr>
          <w:color w:val="231F20"/>
          <w:spacing w:val="-2"/>
        </w:rPr>
        <w:t>des</w:t>
      </w:r>
      <w:r>
        <w:rPr>
          <w:color w:val="231F20"/>
          <w:spacing w:val="-13"/>
        </w:rPr>
        <w:t> </w:t>
      </w:r>
      <w:r>
        <w:rPr>
          <w:color w:val="231F20"/>
          <w:spacing w:val="-2"/>
        </w:rPr>
        <w:t>mesures</w:t>
      </w:r>
      <w:r>
        <w:rPr>
          <w:color w:val="231F20"/>
          <w:spacing w:val="-13"/>
        </w:rPr>
        <w:t> </w:t>
      </w:r>
      <w:r>
        <w:rPr>
          <w:color w:val="231F20"/>
          <w:spacing w:val="-2"/>
        </w:rPr>
        <w:t>draconiennes</w:t>
      </w:r>
      <w:r>
        <w:rPr>
          <w:color w:val="231F20"/>
          <w:spacing w:val="-13"/>
        </w:rPr>
        <w:t> </w:t>
      </w:r>
      <w:r>
        <w:rPr>
          <w:color w:val="231F20"/>
          <w:spacing w:val="-2"/>
        </w:rPr>
        <w:t>prises</w:t>
      </w:r>
      <w:r>
        <w:rPr>
          <w:color w:val="231F20"/>
          <w:spacing w:val="-13"/>
        </w:rPr>
        <w:t> </w:t>
      </w:r>
      <w:r>
        <w:rPr>
          <w:color w:val="231F20"/>
          <w:spacing w:val="-2"/>
        </w:rPr>
        <w:t>au</w:t>
      </w:r>
      <w:r>
        <w:rPr>
          <w:color w:val="231F20"/>
          <w:spacing w:val="-13"/>
        </w:rPr>
        <w:t> </w:t>
      </w:r>
      <w:r>
        <w:rPr>
          <w:color w:val="231F20"/>
          <w:spacing w:val="-2"/>
        </w:rPr>
        <w:t>plan</w:t>
      </w:r>
      <w:r>
        <w:rPr>
          <w:color w:val="231F20"/>
          <w:spacing w:val="-13"/>
        </w:rPr>
        <w:t> </w:t>
      </w:r>
      <w:r>
        <w:rPr>
          <w:color w:val="231F20"/>
          <w:spacing w:val="-2"/>
        </w:rPr>
        <w:t>social...</w:t>
      </w:r>
      <w:r>
        <w:rPr>
          <w:color w:val="231F20"/>
          <w:spacing w:val="-13"/>
        </w:rPr>
        <w:t> </w:t>
      </w:r>
      <w:r>
        <w:rPr>
          <w:color w:val="231F20"/>
          <w:spacing w:val="-2"/>
        </w:rPr>
        <w:t>un</w:t>
      </w:r>
      <w:r>
        <w:rPr>
          <w:color w:val="231F20"/>
          <w:spacing w:val="-13"/>
        </w:rPr>
        <w:t> </w:t>
      </w:r>
      <w:r>
        <w:rPr>
          <w:color w:val="231F20"/>
          <w:spacing w:val="-2"/>
        </w:rPr>
        <w:t>déficit</w:t>
      </w:r>
      <w:r>
        <w:rPr>
          <w:color w:val="231F20"/>
          <w:spacing w:val="-13"/>
        </w:rPr>
        <w:t> </w:t>
      </w:r>
      <w:r>
        <w:rPr>
          <w:color w:val="231F20"/>
          <w:spacing w:val="-2"/>
        </w:rPr>
        <w:t>intérieur </w:t>
      </w:r>
      <w:r>
        <w:rPr>
          <w:color w:val="231F20"/>
        </w:rPr>
        <w:t>de</w:t>
      </w:r>
      <w:r>
        <w:rPr>
          <w:color w:val="231F20"/>
          <w:spacing w:val="-15"/>
        </w:rPr>
        <w:t> </w:t>
      </w:r>
      <w:r>
        <w:rPr>
          <w:color w:val="231F20"/>
        </w:rPr>
        <w:t>1.200</w:t>
      </w:r>
      <w:r>
        <w:rPr>
          <w:color w:val="231F20"/>
          <w:spacing w:val="-15"/>
        </w:rPr>
        <w:t> </w:t>
      </w:r>
      <w:r>
        <w:rPr>
          <w:color w:val="231F20"/>
        </w:rPr>
        <w:t>milliards</w:t>
      </w:r>
      <w:r>
        <w:rPr>
          <w:color w:val="231F20"/>
          <w:spacing w:val="-15"/>
        </w:rPr>
        <w:t> </w:t>
      </w:r>
      <w:r>
        <w:rPr>
          <w:color w:val="231F20"/>
        </w:rPr>
        <w:t>de</w:t>
      </w:r>
      <w:r>
        <w:rPr>
          <w:color w:val="231F20"/>
          <w:spacing w:val="-15"/>
        </w:rPr>
        <w:t> </w:t>
      </w:r>
      <w:r>
        <w:rPr>
          <w:color w:val="231F20"/>
        </w:rPr>
        <w:t>FCFA</w:t>
      </w:r>
      <w:r>
        <w:rPr>
          <w:color w:val="231F20"/>
          <w:spacing w:val="-15"/>
        </w:rPr>
        <w:t> </w:t>
      </w:r>
      <w:r>
        <w:rPr>
          <w:color w:val="231F20"/>
        </w:rPr>
        <w:t>et</w:t>
      </w:r>
      <w:r>
        <w:rPr>
          <w:color w:val="231F20"/>
          <w:spacing w:val="-15"/>
        </w:rPr>
        <w:t> </w:t>
      </w:r>
      <w:r>
        <w:rPr>
          <w:color w:val="231F20"/>
        </w:rPr>
        <w:t>une</w:t>
      </w:r>
      <w:r>
        <w:rPr>
          <w:color w:val="231F20"/>
          <w:spacing w:val="-15"/>
        </w:rPr>
        <w:t> </w:t>
      </w:r>
      <w:r>
        <w:rPr>
          <w:color w:val="231F20"/>
        </w:rPr>
        <w:t>dette</w:t>
      </w:r>
      <w:r>
        <w:rPr>
          <w:color w:val="231F20"/>
          <w:spacing w:val="-15"/>
        </w:rPr>
        <w:t> </w:t>
      </w:r>
      <w:r>
        <w:rPr>
          <w:color w:val="231F20"/>
        </w:rPr>
        <w:t>extérieure</w:t>
      </w:r>
      <w:r>
        <w:rPr>
          <w:color w:val="231F20"/>
          <w:spacing w:val="-15"/>
        </w:rPr>
        <w:t> </w:t>
      </w:r>
      <w:r>
        <w:rPr>
          <w:color w:val="231F20"/>
        </w:rPr>
        <w:t>de</w:t>
      </w:r>
      <w:r>
        <w:rPr>
          <w:color w:val="231F20"/>
          <w:spacing w:val="-15"/>
        </w:rPr>
        <w:t> </w:t>
      </w:r>
      <w:r>
        <w:rPr>
          <w:color w:val="231F20"/>
        </w:rPr>
        <w:t>9.200</w:t>
      </w:r>
      <w:r>
        <w:rPr>
          <w:color w:val="231F20"/>
          <w:spacing w:val="-15"/>
        </w:rPr>
        <w:t> </w:t>
      </w:r>
      <w:r>
        <w:rPr>
          <w:color w:val="231F20"/>
        </w:rPr>
        <w:t>milliards</w:t>
      </w:r>
      <w:r>
        <w:rPr>
          <w:color w:val="231F20"/>
          <w:spacing w:val="-15"/>
        </w:rPr>
        <w:t> </w:t>
      </w:r>
      <w:r>
        <w:rPr>
          <w:color w:val="231F20"/>
        </w:rPr>
        <w:t>de </w:t>
      </w:r>
      <w:r>
        <w:rPr>
          <w:color w:val="231F20"/>
          <w:spacing w:val="-2"/>
        </w:rPr>
        <w:t>FCFA.</w:t>
      </w:r>
    </w:p>
    <w:p>
      <w:pPr>
        <w:pStyle w:val="BodyText"/>
        <w:ind w:left="0"/>
        <w:jc w:val="left"/>
        <w:rPr>
          <w:sz w:val="20"/>
        </w:rPr>
      </w:pPr>
    </w:p>
    <w:p>
      <w:pPr>
        <w:pStyle w:val="BodyText"/>
        <w:spacing w:before="168"/>
        <w:ind w:left="0"/>
        <w:jc w:val="left"/>
        <w:rPr>
          <w:sz w:val="20"/>
        </w:rPr>
      </w:pPr>
      <w:r>
        <w:rPr/>
        <mc:AlternateContent>
          <mc:Choice Requires="wps">
            <w:drawing>
              <wp:anchor distT="0" distB="0" distL="0" distR="0" allowOverlap="1" layoutInCell="1" locked="0" behindDoc="1" simplePos="0" relativeHeight="487635456">
                <wp:simplePos x="0" y="0"/>
                <wp:positionH relativeFrom="page">
                  <wp:posOffset>629907</wp:posOffset>
                </wp:positionH>
                <wp:positionV relativeFrom="paragraph">
                  <wp:posOffset>267990</wp:posOffset>
                </wp:positionV>
                <wp:extent cx="1829435" cy="9525"/>
                <wp:effectExtent l="0" t="0" r="0" b="0"/>
                <wp:wrapTopAndBottom/>
                <wp:docPr id="122" name="Graphic 122"/>
                <wp:cNvGraphicFramePr>
                  <a:graphicFrameLocks/>
                </wp:cNvGraphicFramePr>
                <a:graphic>
                  <a:graphicData uri="http://schemas.microsoft.com/office/word/2010/wordprocessingShape">
                    <wps:wsp>
                      <wps:cNvPr id="122" name="Graphic 122"/>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1.101601pt;width:144.020pt;height:.72pt;mso-position-horizontal-relative:page;mso-position-vertical-relative:paragraph;z-index:-15681024;mso-wrap-distance-left:0;mso-wrap-distance-right:0" id="docshape120" filled="true" fillcolor="#231f20" stroked="false">
                <v:fill type="solid"/>
                <w10:wrap type="topAndBottom"/>
              </v:rect>
            </w:pict>
          </mc:Fallback>
        </mc:AlternateContent>
      </w:r>
    </w:p>
    <w:p>
      <w:pPr>
        <w:spacing w:before="91"/>
        <w:ind w:left="111" w:right="103" w:firstLine="0"/>
        <w:jc w:val="both"/>
        <w:rPr>
          <w:sz w:val="20"/>
        </w:rPr>
      </w:pPr>
      <w:r>
        <w:rPr>
          <w:color w:val="76787A"/>
          <w:sz w:val="20"/>
          <w:vertAlign w:val="superscript"/>
        </w:rPr>
        <w:t>153</w:t>
      </w:r>
      <w:r>
        <w:rPr>
          <w:color w:val="76787A"/>
          <w:sz w:val="20"/>
          <w:vertAlign w:val="baseline"/>
        </w:rPr>
        <w:t> </w:t>
      </w:r>
      <w:r>
        <w:rPr>
          <w:color w:val="231F20"/>
          <w:sz w:val="20"/>
          <w:vertAlign w:val="baseline"/>
        </w:rPr>
        <w:t>Alain Juppé, ministre des Affaires étrangères dans le gouvernement Balladur, soutenait l’entreprise visant à maintenir Ouattara dans la fonction de Premier </w:t>
      </w:r>
      <w:r>
        <w:rPr>
          <w:color w:val="231F20"/>
          <w:spacing w:val="-2"/>
          <w:sz w:val="20"/>
          <w:vertAlign w:val="baseline"/>
        </w:rPr>
        <w:t>ministre(...)mais</w:t>
      </w:r>
      <w:r>
        <w:rPr>
          <w:color w:val="231F20"/>
          <w:spacing w:val="-11"/>
          <w:sz w:val="20"/>
          <w:vertAlign w:val="baseline"/>
        </w:rPr>
        <w:t> </w:t>
      </w:r>
      <w:r>
        <w:rPr>
          <w:color w:val="231F20"/>
          <w:spacing w:val="-2"/>
          <w:sz w:val="20"/>
          <w:vertAlign w:val="baseline"/>
        </w:rPr>
        <w:t>cette</w:t>
      </w:r>
      <w:r>
        <w:rPr>
          <w:color w:val="231F20"/>
          <w:spacing w:val="-10"/>
          <w:sz w:val="20"/>
          <w:vertAlign w:val="baseline"/>
        </w:rPr>
        <w:t> </w:t>
      </w:r>
      <w:r>
        <w:rPr>
          <w:color w:val="231F20"/>
          <w:spacing w:val="-2"/>
          <w:sz w:val="20"/>
          <w:vertAlign w:val="baseline"/>
        </w:rPr>
        <w:t>option</w:t>
      </w:r>
      <w:r>
        <w:rPr>
          <w:color w:val="231F20"/>
          <w:spacing w:val="-11"/>
          <w:sz w:val="20"/>
          <w:vertAlign w:val="baseline"/>
        </w:rPr>
        <w:t> </w:t>
      </w:r>
      <w:r>
        <w:rPr>
          <w:color w:val="231F20"/>
          <w:spacing w:val="-2"/>
          <w:sz w:val="20"/>
          <w:vertAlign w:val="baseline"/>
        </w:rPr>
        <w:t>se</w:t>
      </w:r>
      <w:r>
        <w:rPr>
          <w:color w:val="231F20"/>
          <w:spacing w:val="-10"/>
          <w:sz w:val="20"/>
          <w:vertAlign w:val="baseline"/>
        </w:rPr>
        <w:t> </w:t>
      </w:r>
      <w:r>
        <w:rPr>
          <w:color w:val="231F20"/>
          <w:spacing w:val="-2"/>
          <w:sz w:val="20"/>
          <w:vertAlign w:val="baseline"/>
        </w:rPr>
        <w:t>heurtait</w:t>
      </w:r>
      <w:r>
        <w:rPr>
          <w:color w:val="231F20"/>
          <w:spacing w:val="-11"/>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la</w:t>
      </w:r>
      <w:r>
        <w:rPr>
          <w:color w:val="231F20"/>
          <w:spacing w:val="-11"/>
          <w:sz w:val="20"/>
          <w:vertAlign w:val="baseline"/>
        </w:rPr>
        <w:t> </w:t>
      </w:r>
      <w:r>
        <w:rPr>
          <w:color w:val="231F20"/>
          <w:spacing w:val="-2"/>
          <w:sz w:val="20"/>
          <w:vertAlign w:val="baseline"/>
        </w:rPr>
        <w:t>volonté</w:t>
      </w:r>
      <w:r>
        <w:rPr>
          <w:color w:val="231F20"/>
          <w:spacing w:val="-10"/>
          <w:sz w:val="20"/>
          <w:vertAlign w:val="baseline"/>
        </w:rPr>
        <w:t> </w:t>
      </w:r>
      <w:r>
        <w:rPr>
          <w:color w:val="231F20"/>
          <w:spacing w:val="-2"/>
          <w:sz w:val="20"/>
          <w:vertAlign w:val="baseline"/>
        </w:rPr>
        <w:t>du</w:t>
      </w:r>
      <w:r>
        <w:rPr>
          <w:color w:val="231F20"/>
          <w:spacing w:val="-11"/>
          <w:sz w:val="20"/>
          <w:vertAlign w:val="baseline"/>
        </w:rPr>
        <w:t> </w:t>
      </w:r>
      <w:r>
        <w:rPr>
          <w:color w:val="231F20"/>
          <w:spacing w:val="-2"/>
          <w:sz w:val="20"/>
          <w:vertAlign w:val="baseline"/>
        </w:rPr>
        <w:t>concerné</w:t>
      </w:r>
      <w:r>
        <w:rPr>
          <w:color w:val="231F20"/>
          <w:spacing w:val="-10"/>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ayant</w:t>
      </w:r>
      <w:r>
        <w:rPr>
          <w:color w:val="231F20"/>
          <w:spacing w:val="-11"/>
          <w:sz w:val="20"/>
          <w:vertAlign w:val="baseline"/>
        </w:rPr>
        <w:t> </w:t>
      </w:r>
      <w:r>
        <w:rPr>
          <w:color w:val="231F20"/>
          <w:spacing w:val="-2"/>
          <w:sz w:val="20"/>
          <w:vertAlign w:val="baseline"/>
        </w:rPr>
        <w:t>été</w:t>
      </w:r>
      <w:r>
        <w:rPr>
          <w:color w:val="231F20"/>
          <w:spacing w:val="-10"/>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Premier </w:t>
      </w:r>
      <w:r>
        <w:rPr>
          <w:color w:val="231F20"/>
          <w:spacing w:val="-4"/>
          <w:sz w:val="20"/>
          <w:vertAlign w:val="baseline"/>
        </w:rPr>
        <w:t>ministre de Félix Houphouët-Boigny, il ne</w:t>
      </w:r>
      <w:r>
        <w:rPr>
          <w:color w:val="231F20"/>
          <w:spacing w:val="-6"/>
          <w:sz w:val="20"/>
          <w:vertAlign w:val="baseline"/>
        </w:rPr>
        <w:t> </w:t>
      </w:r>
      <w:r>
        <w:rPr>
          <w:color w:val="231F20"/>
          <w:spacing w:val="-4"/>
          <w:sz w:val="20"/>
          <w:vertAlign w:val="baseline"/>
        </w:rPr>
        <w:t>pouvait envisager d’être quoi</w:t>
      </w:r>
      <w:r>
        <w:rPr>
          <w:color w:val="231F20"/>
          <w:spacing w:val="-6"/>
          <w:sz w:val="20"/>
          <w:vertAlign w:val="baseline"/>
        </w:rPr>
        <w:t> </w:t>
      </w:r>
      <w:r>
        <w:rPr>
          <w:color w:val="231F20"/>
          <w:spacing w:val="-4"/>
          <w:sz w:val="20"/>
          <w:vertAlign w:val="baseline"/>
        </w:rPr>
        <w:t>que</w:t>
      </w:r>
      <w:r>
        <w:rPr>
          <w:color w:val="231F20"/>
          <w:spacing w:val="-6"/>
          <w:sz w:val="20"/>
          <w:vertAlign w:val="baseline"/>
        </w:rPr>
        <w:t> </w:t>
      </w:r>
      <w:r>
        <w:rPr>
          <w:color w:val="231F20"/>
          <w:spacing w:val="-4"/>
          <w:sz w:val="20"/>
          <w:vertAlign w:val="baseline"/>
        </w:rPr>
        <w:t>ce soit</w:t>
      </w:r>
      <w:r>
        <w:rPr>
          <w:color w:val="231F20"/>
          <w:spacing w:val="-6"/>
          <w:sz w:val="20"/>
          <w:vertAlign w:val="baseline"/>
        </w:rPr>
        <w:t> </w:t>
      </w:r>
      <w:r>
        <w:rPr>
          <w:color w:val="231F20"/>
          <w:spacing w:val="-4"/>
          <w:sz w:val="20"/>
          <w:vertAlign w:val="baseline"/>
        </w:rPr>
        <w:t>dans </w:t>
      </w:r>
      <w:r>
        <w:rPr>
          <w:color w:val="231F20"/>
          <w:sz w:val="20"/>
          <w:vertAlign w:val="baseline"/>
        </w:rPr>
        <w:t>le</w:t>
      </w:r>
      <w:r>
        <w:rPr>
          <w:color w:val="231F20"/>
          <w:spacing w:val="-13"/>
          <w:sz w:val="20"/>
          <w:vertAlign w:val="baseline"/>
        </w:rPr>
        <w:t> </w:t>
      </w:r>
      <w:r>
        <w:rPr>
          <w:color w:val="231F20"/>
          <w:sz w:val="20"/>
          <w:vertAlign w:val="baseline"/>
        </w:rPr>
        <w:t>système</w:t>
      </w:r>
      <w:r>
        <w:rPr>
          <w:color w:val="231F20"/>
          <w:spacing w:val="-12"/>
          <w:sz w:val="20"/>
          <w:vertAlign w:val="baseline"/>
        </w:rPr>
        <w:t> </w:t>
      </w:r>
      <w:r>
        <w:rPr>
          <w:color w:val="231F20"/>
          <w:sz w:val="20"/>
          <w:vertAlign w:val="baseline"/>
        </w:rPr>
        <w:t>Bédié,</w:t>
      </w:r>
      <w:r>
        <w:rPr>
          <w:color w:val="231F20"/>
          <w:spacing w:val="-13"/>
          <w:sz w:val="20"/>
          <w:vertAlign w:val="baseline"/>
        </w:rPr>
        <w:t> </w:t>
      </w:r>
      <w:r>
        <w:rPr>
          <w:color w:val="231F20"/>
          <w:sz w:val="20"/>
          <w:vertAlign w:val="baseline"/>
        </w:rPr>
        <w:t>L</w:t>
      </w:r>
      <w:r>
        <w:rPr>
          <w:color w:val="231F20"/>
          <w:sz w:val="16"/>
          <w:vertAlign w:val="baseline"/>
        </w:rPr>
        <w:t>A</w:t>
      </w:r>
      <w:r>
        <w:rPr>
          <w:color w:val="231F20"/>
          <w:spacing w:val="-10"/>
          <w:sz w:val="16"/>
          <w:vertAlign w:val="baseline"/>
        </w:rPr>
        <w:t> </w:t>
      </w:r>
      <w:r>
        <w:rPr>
          <w:color w:val="231F20"/>
          <w:sz w:val="20"/>
          <w:vertAlign w:val="baseline"/>
        </w:rPr>
        <w:t>L</w:t>
      </w:r>
      <w:r>
        <w:rPr>
          <w:color w:val="231F20"/>
          <w:sz w:val="16"/>
          <w:vertAlign w:val="baseline"/>
        </w:rPr>
        <w:t>ETTRE</w:t>
      </w:r>
      <w:r>
        <w:rPr>
          <w:color w:val="231F20"/>
          <w:spacing w:val="-10"/>
          <w:sz w:val="16"/>
          <w:vertAlign w:val="baseline"/>
        </w:rPr>
        <w:t> </w:t>
      </w:r>
      <w:r>
        <w:rPr>
          <w:color w:val="231F20"/>
          <w:sz w:val="16"/>
          <w:vertAlign w:val="baseline"/>
        </w:rPr>
        <w:t>DU</w:t>
      </w:r>
      <w:r>
        <w:rPr>
          <w:color w:val="231F20"/>
          <w:spacing w:val="-10"/>
          <w:sz w:val="16"/>
          <w:vertAlign w:val="baseline"/>
        </w:rPr>
        <w:t> </w:t>
      </w:r>
      <w:r>
        <w:rPr>
          <w:color w:val="231F20"/>
          <w:sz w:val="16"/>
          <w:vertAlign w:val="baseline"/>
        </w:rPr>
        <w:t>CONTINENT</w:t>
      </w:r>
      <w:r>
        <w:rPr>
          <w:color w:val="231F20"/>
          <w:spacing w:val="-10"/>
          <w:sz w:val="16"/>
          <w:vertAlign w:val="baseline"/>
        </w:rPr>
        <w:t> </w:t>
      </w:r>
      <w:r>
        <w:rPr>
          <w:color w:val="231F20"/>
          <w:sz w:val="20"/>
          <w:vertAlign w:val="baseline"/>
        </w:rPr>
        <w:t>n°243,</w:t>
      </w:r>
      <w:r>
        <w:rPr>
          <w:color w:val="231F20"/>
          <w:spacing w:val="-12"/>
          <w:sz w:val="20"/>
          <w:vertAlign w:val="baseline"/>
        </w:rPr>
        <w:t> </w:t>
      </w:r>
      <w:r>
        <w:rPr>
          <w:color w:val="231F20"/>
          <w:sz w:val="20"/>
          <w:vertAlign w:val="baseline"/>
        </w:rPr>
        <w:t>5</w:t>
      </w:r>
      <w:r>
        <w:rPr>
          <w:color w:val="231F20"/>
          <w:spacing w:val="-13"/>
          <w:sz w:val="20"/>
          <w:vertAlign w:val="baseline"/>
        </w:rPr>
        <w:t> </w:t>
      </w:r>
      <w:r>
        <w:rPr>
          <w:color w:val="231F20"/>
          <w:sz w:val="20"/>
          <w:vertAlign w:val="baseline"/>
        </w:rPr>
        <w:t>octobre</w:t>
      </w:r>
      <w:r>
        <w:rPr>
          <w:color w:val="231F20"/>
          <w:spacing w:val="-12"/>
          <w:sz w:val="20"/>
          <w:vertAlign w:val="baseline"/>
        </w:rPr>
        <w:t> </w:t>
      </w:r>
      <w:r>
        <w:rPr>
          <w:color w:val="231F20"/>
          <w:sz w:val="20"/>
          <w:vertAlign w:val="baseline"/>
        </w:rPr>
        <w:t>1995,</w:t>
      </w:r>
      <w:r>
        <w:rPr>
          <w:color w:val="231F20"/>
          <w:spacing w:val="-13"/>
          <w:sz w:val="20"/>
          <w:vertAlign w:val="baseline"/>
        </w:rPr>
        <w:t> </w:t>
      </w:r>
      <w:r>
        <w:rPr>
          <w:color w:val="231F20"/>
          <w:sz w:val="20"/>
          <w:vertAlign w:val="baseline"/>
        </w:rPr>
        <w:t>Jean-Pierre</w:t>
      </w:r>
      <w:r>
        <w:rPr>
          <w:color w:val="231F20"/>
          <w:spacing w:val="-12"/>
          <w:sz w:val="20"/>
          <w:vertAlign w:val="baseline"/>
        </w:rPr>
        <w:t> </w:t>
      </w:r>
      <w:r>
        <w:rPr>
          <w:color w:val="231F20"/>
          <w:sz w:val="20"/>
          <w:vertAlign w:val="baseline"/>
        </w:rPr>
        <w:t>Béjot.</w:t>
      </w:r>
    </w:p>
    <w:p>
      <w:pPr>
        <w:spacing w:after="0"/>
        <w:jc w:val="both"/>
        <w:rPr>
          <w:sz w:val="20"/>
        </w:rPr>
        <w:sectPr>
          <w:pgSz w:w="8790" w:h="13610"/>
          <w:pgMar w:header="0" w:footer="802" w:top="1060" w:bottom="1000" w:left="880" w:right="880"/>
        </w:sectPr>
      </w:pPr>
    </w:p>
    <w:p>
      <w:pPr>
        <w:pStyle w:val="BodyText"/>
        <w:spacing w:before="66"/>
        <w:ind w:right="106" w:firstLine="283"/>
      </w:pPr>
      <w:r>
        <w:rPr>
          <w:color w:val="231F20"/>
        </w:rPr>
        <w:t>Selon</w:t>
      </w:r>
      <w:r>
        <w:rPr>
          <w:color w:val="231F20"/>
          <w:spacing w:val="-14"/>
        </w:rPr>
        <w:t> </w:t>
      </w:r>
      <w:r>
        <w:rPr>
          <w:color w:val="231F20"/>
        </w:rPr>
        <w:t>les</w:t>
      </w:r>
      <w:r>
        <w:rPr>
          <w:color w:val="231F20"/>
          <w:spacing w:val="-12"/>
        </w:rPr>
        <w:t> </w:t>
      </w:r>
      <w:r>
        <w:rPr>
          <w:color w:val="231F20"/>
        </w:rPr>
        <w:t>statistiques</w:t>
      </w:r>
      <w:r>
        <w:rPr>
          <w:color w:val="231F20"/>
          <w:spacing w:val="-13"/>
        </w:rPr>
        <w:t> </w:t>
      </w:r>
      <w:r>
        <w:rPr>
          <w:color w:val="231F20"/>
        </w:rPr>
        <w:t>rendues</w:t>
      </w:r>
      <w:r>
        <w:rPr>
          <w:color w:val="231F20"/>
          <w:spacing w:val="-12"/>
        </w:rPr>
        <w:t> </w:t>
      </w:r>
      <w:r>
        <w:rPr>
          <w:color w:val="231F20"/>
        </w:rPr>
        <w:t>publiques</w:t>
      </w:r>
      <w:r>
        <w:rPr>
          <w:color w:val="231F20"/>
          <w:spacing w:val="-12"/>
        </w:rPr>
        <w:t> </w:t>
      </w:r>
      <w:r>
        <w:rPr>
          <w:color w:val="231F20"/>
        </w:rPr>
        <w:t>par</w:t>
      </w:r>
      <w:r>
        <w:rPr>
          <w:color w:val="231F20"/>
          <w:spacing w:val="-13"/>
        </w:rPr>
        <w:t> </w:t>
      </w:r>
      <w:r>
        <w:rPr>
          <w:color w:val="231F20"/>
        </w:rPr>
        <w:t>les</w:t>
      </w:r>
      <w:r>
        <w:rPr>
          <w:color w:val="231F20"/>
          <w:spacing w:val="-12"/>
        </w:rPr>
        <w:t> </w:t>
      </w:r>
      <w:r>
        <w:rPr>
          <w:color w:val="231F20"/>
        </w:rPr>
        <w:t>institutions</w:t>
      </w:r>
      <w:r>
        <w:rPr>
          <w:color w:val="231F20"/>
          <w:spacing w:val="-13"/>
        </w:rPr>
        <w:t> </w:t>
      </w:r>
      <w:r>
        <w:rPr>
          <w:color w:val="231F20"/>
        </w:rPr>
        <w:t>bancaires internationales,</w:t>
      </w:r>
      <w:r>
        <w:rPr>
          <w:color w:val="231F20"/>
          <w:spacing w:val="-15"/>
        </w:rPr>
        <w:t> </w:t>
      </w:r>
      <w:r>
        <w:rPr>
          <w:color w:val="231F20"/>
        </w:rPr>
        <w:t>le</w:t>
      </w:r>
      <w:r>
        <w:rPr>
          <w:color w:val="231F20"/>
          <w:spacing w:val="-15"/>
        </w:rPr>
        <w:t> </w:t>
      </w:r>
      <w:r>
        <w:rPr>
          <w:color w:val="231F20"/>
        </w:rPr>
        <w:t>PIB</w:t>
      </w:r>
      <w:r>
        <w:rPr>
          <w:color w:val="231F20"/>
          <w:spacing w:val="-15"/>
        </w:rPr>
        <w:t> </w:t>
      </w:r>
      <w:r>
        <w:rPr>
          <w:color w:val="231F20"/>
        </w:rPr>
        <w:t>par</w:t>
      </w:r>
      <w:r>
        <w:rPr>
          <w:color w:val="231F20"/>
          <w:spacing w:val="-15"/>
        </w:rPr>
        <w:t> </w:t>
      </w:r>
      <w:r>
        <w:rPr>
          <w:color w:val="231F20"/>
        </w:rPr>
        <w:t>habitant</w:t>
      </w:r>
      <w:r>
        <w:rPr>
          <w:color w:val="231F20"/>
          <w:spacing w:val="-15"/>
        </w:rPr>
        <w:t> </w:t>
      </w:r>
      <w:r>
        <w:rPr>
          <w:color w:val="231F20"/>
        </w:rPr>
        <w:t>a</w:t>
      </w:r>
      <w:r>
        <w:rPr>
          <w:color w:val="231F20"/>
          <w:spacing w:val="-15"/>
        </w:rPr>
        <w:t> </w:t>
      </w:r>
      <w:r>
        <w:rPr>
          <w:color w:val="231F20"/>
        </w:rPr>
        <w:t>si</w:t>
      </w:r>
      <w:r>
        <w:rPr>
          <w:color w:val="231F20"/>
          <w:spacing w:val="-15"/>
        </w:rPr>
        <w:t> </w:t>
      </w:r>
      <w:r>
        <w:rPr>
          <w:color w:val="231F20"/>
        </w:rPr>
        <w:t>chuté</w:t>
      </w:r>
      <w:r>
        <w:rPr>
          <w:color w:val="231F20"/>
          <w:spacing w:val="-15"/>
        </w:rPr>
        <w:t> </w:t>
      </w:r>
      <w:r>
        <w:rPr>
          <w:color w:val="231F20"/>
        </w:rPr>
        <w:t>qu’il</w:t>
      </w:r>
      <w:r>
        <w:rPr>
          <w:color w:val="231F20"/>
          <w:spacing w:val="-15"/>
        </w:rPr>
        <w:t> </w:t>
      </w:r>
      <w:r>
        <w:rPr>
          <w:color w:val="231F20"/>
        </w:rPr>
        <w:t>est</w:t>
      </w:r>
      <w:r>
        <w:rPr>
          <w:color w:val="231F20"/>
          <w:spacing w:val="-15"/>
        </w:rPr>
        <w:t> </w:t>
      </w:r>
      <w:r>
        <w:rPr>
          <w:color w:val="231F20"/>
        </w:rPr>
        <w:t>passé</w:t>
      </w:r>
      <w:r>
        <w:rPr>
          <w:color w:val="231F20"/>
          <w:spacing w:val="-15"/>
        </w:rPr>
        <w:t> </w:t>
      </w:r>
      <w:r>
        <w:rPr>
          <w:color w:val="231F20"/>
        </w:rPr>
        <w:t>sous</w:t>
      </w:r>
      <w:r>
        <w:rPr>
          <w:color w:val="231F20"/>
          <w:spacing w:val="-15"/>
        </w:rPr>
        <w:t> </w:t>
      </w:r>
      <w:r>
        <w:rPr>
          <w:color w:val="231F20"/>
        </w:rPr>
        <w:t>la</w:t>
      </w:r>
      <w:r>
        <w:rPr>
          <w:color w:val="231F20"/>
          <w:spacing w:val="-15"/>
        </w:rPr>
        <w:t> </w:t>
      </w:r>
      <w:r>
        <w:rPr>
          <w:color w:val="231F20"/>
        </w:rPr>
        <w:t>barre de 1000 dollars US. La dette globale sur le PNB est passée de 77% en 1980</w:t>
      </w:r>
      <w:r>
        <w:rPr>
          <w:color w:val="231F20"/>
          <w:spacing w:val="-12"/>
        </w:rPr>
        <w:t> </w:t>
      </w:r>
      <w:r>
        <w:rPr>
          <w:color w:val="231F20"/>
        </w:rPr>
        <w:t>à</w:t>
      </w:r>
      <w:r>
        <w:rPr>
          <w:color w:val="231F20"/>
          <w:spacing w:val="-14"/>
        </w:rPr>
        <w:t> </w:t>
      </w:r>
      <w:r>
        <w:rPr>
          <w:color w:val="231F20"/>
        </w:rPr>
        <w:t>243%</w:t>
      </w:r>
      <w:r>
        <w:rPr>
          <w:color w:val="231F20"/>
          <w:spacing w:val="-12"/>
        </w:rPr>
        <w:t> </w:t>
      </w:r>
      <w:r>
        <w:rPr>
          <w:color w:val="231F20"/>
        </w:rPr>
        <w:t>en</w:t>
      </w:r>
      <w:r>
        <w:rPr>
          <w:color w:val="231F20"/>
          <w:spacing w:val="-14"/>
        </w:rPr>
        <w:t> </w:t>
      </w:r>
      <w:r>
        <w:rPr>
          <w:color w:val="231F20"/>
        </w:rPr>
        <w:t>1993,</w:t>
      </w:r>
      <w:r>
        <w:rPr>
          <w:color w:val="231F20"/>
          <w:spacing w:val="-12"/>
        </w:rPr>
        <w:t> </w:t>
      </w:r>
      <w:r>
        <w:rPr>
          <w:color w:val="231F20"/>
        </w:rPr>
        <w:t>fardeau</w:t>
      </w:r>
      <w:r>
        <w:rPr>
          <w:color w:val="231F20"/>
          <w:spacing w:val="-12"/>
        </w:rPr>
        <w:t> </w:t>
      </w:r>
      <w:r>
        <w:rPr>
          <w:color w:val="231F20"/>
        </w:rPr>
        <w:t>insupportable</w:t>
      </w:r>
      <w:r>
        <w:rPr>
          <w:color w:val="231F20"/>
          <w:spacing w:val="-14"/>
        </w:rPr>
        <w:t> </w:t>
      </w:r>
      <w:r>
        <w:rPr>
          <w:color w:val="231F20"/>
        </w:rPr>
        <w:t>qui</w:t>
      </w:r>
      <w:r>
        <w:rPr>
          <w:color w:val="231F20"/>
          <w:spacing w:val="-13"/>
        </w:rPr>
        <w:t> </w:t>
      </w:r>
      <w:r>
        <w:rPr>
          <w:color w:val="231F20"/>
        </w:rPr>
        <w:t>réduit</w:t>
      </w:r>
      <w:r>
        <w:rPr>
          <w:color w:val="231F20"/>
          <w:spacing w:val="-13"/>
        </w:rPr>
        <w:t> </w:t>
      </w:r>
      <w:r>
        <w:rPr>
          <w:color w:val="231F20"/>
        </w:rPr>
        <w:t>à</w:t>
      </w:r>
      <w:r>
        <w:rPr>
          <w:color w:val="231F20"/>
          <w:spacing w:val="-12"/>
        </w:rPr>
        <w:t> </w:t>
      </w:r>
      <w:r>
        <w:rPr>
          <w:color w:val="231F20"/>
        </w:rPr>
        <w:t>néant</w:t>
      </w:r>
      <w:r>
        <w:rPr>
          <w:color w:val="231F20"/>
          <w:spacing w:val="-13"/>
        </w:rPr>
        <w:t> </w:t>
      </w:r>
      <w:r>
        <w:rPr>
          <w:color w:val="231F20"/>
        </w:rPr>
        <w:t>la</w:t>
      </w:r>
      <w:r>
        <w:rPr>
          <w:color w:val="231F20"/>
          <w:spacing w:val="-14"/>
        </w:rPr>
        <w:t> </w:t>
      </w:r>
      <w:r>
        <w:rPr>
          <w:color w:val="231F20"/>
        </w:rPr>
        <w:t>marge </w:t>
      </w:r>
      <w:r>
        <w:rPr>
          <w:color w:val="231F20"/>
          <w:spacing w:val="-2"/>
        </w:rPr>
        <w:t>publique</w:t>
      </w:r>
      <w:r>
        <w:rPr>
          <w:color w:val="231F20"/>
          <w:spacing w:val="-5"/>
        </w:rPr>
        <w:t> </w:t>
      </w:r>
      <w:r>
        <w:rPr>
          <w:color w:val="231F20"/>
          <w:spacing w:val="-2"/>
        </w:rPr>
        <w:t>d’investissement</w:t>
      </w:r>
      <w:r>
        <w:rPr>
          <w:color w:val="231F20"/>
          <w:spacing w:val="-7"/>
        </w:rPr>
        <w:t> </w:t>
      </w:r>
      <w:r>
        <w:rPr>
          <w:color w:val="231F20"/>
          <w:spacing w:val="-2"/>
        </w:rPr>
        <w:t>et</w:t>
      </w:r>
      <w:r>
        <w:rPr>
          <w:color w:val="231F20"/>
          <w:spacing w:val="-5"/>
        </w:rPr>
        <w:t> </w:t>
      </w:r>
      <w:r>
        <w:rPr>
          <w:color w:val="231F20"/>
          <w:spacing w:val="-2"/>
        </w:rPr>
        <w:t>absorbe,</w:t>
      </w:r>
      <w:r>
        <w:rPr>
          <w:color w:val="231F20"/>
          <w:spacing w:val="-7"/>
        </w:rPr>
        <w:t> </w:t>
      </w:r>
      <w:r>
        <w:rPr>
          <w:color w:val="231F20"/>
          <w:spacing w:val="-2"/>
        </w:rPr>
        <w:t>pour</w:t>
      </w:r>
      <w:r>
        <w:rPr>
          <w:color w:val="231F20"/>
          <w:spacing w:val="-7"/>
        </w:rPr>
        <w:t> </w:t>
      </w:r>
      <w:r>
        <w:rPr>
          <w:color w:val="231F20"/>
          <w:spacing w:val="-2"/>
        </w:rPr>
        <w:t>le</w:t>
      </w:r>
      <w:r>
        <w:rPr>
          <w:color w:val="231F20"/>
          <w:spacing w:val="-6"/>
        </w:rPr>
        <w:t> </w:t>
      </w:r>
      <w:r>
        <w:rPr>
          <w:color w:val="231F20"/>
          <w:spacing w:val="-2"/>
        </w:rPr>
        <w:t>paiement</w:t>
      </w:r>
      <w:r>
        <w:rPr>
          <w:color w:val="231F20"/>
          <w:spacing w:val="-6"/>
        </w:rPr>
        <w:t> </w:t>
      </w:r>
      <w:r>
        <w:rPr>
          <w:color w:val="231F20"/>
          <w:spacing w:val="-2"/>
        </w:rPr>
        <w:t>des</w:t>
      </w:r>
      <w:r>
        <w:rPr>
          <w:color w:val="231F20"/>
          <w:spacing w:val="-7"/>
        </w:rPr>
        <w:t> </w:t>
      </w:r>
      <w:r>
        <w:rPr>
          <w:color w:val="231F20"/>
          <w:spacing w:val="-2"/>
        </w:rPr>
        <w:t>intérêts,</w:t>
      </w:r>
      <w:r>
        <w:rPr>
          <w:color w:val="231F20"/>
          <w:spacing w:val="-6"/>
        </w:rPr>
        <w:t> </w:t>
      </w:r>
      <w:r>
        <w:rPr>
          <w:color w:val="231F20"/>
          <w:spacing w:val="-2"/>
        </w:rPr>
        <w:t>plus </w:t>
      </w:r>
      <w:r>
        <w:rPr>
          <w:color w:val="231F20"/>
        </w:rPr>
        <w:t>de la moitié des recettes de l’État.</w:t>
      </w:r>
    </w:p>
    <w:p>
      <w:pPr>
        <w:pStyle w:val="BodyText"/>
        <w:spacing w:before="120"/>
        <w:ind w:right="103" w:firstLine="283"/>
      </w:pPr>
      <w:r>
        <w:rPr>
          <w:color w:val="231F20"/>
        </w:rPr>
        <w:t>Sachant que la dévaluation du franc CFA impliquerait des réformes structurelles et internes qui affecteront négativement le quotidien des populations ivoiriennes et de celles de toute la zone franc CFA, Paris </w:t>
      </w:r>
      <w:r>
        <w:rPr>
          <w:color w:val="231F20"/>
          <w:spacing w:val="-2"/>
        </w:rPr>
        <w:t>hésitait</w:t>
      </w:r>
      <w:r>
        <w:rPr>
          <w:color w:val="231F20"/>
          <w:spacing w:val="-10"/>
        </w:rPr>
        <w:t> </w:t>
      </w:r>
      <w:r>
        <w:rPr>
          <w:color w:val="231F20"/>
          <w:spacing w:val="-2"/>
        </w:rPr>
        <w:t>à</w:t>
      </w:r>
      <w:r>
        <w:rPr>
          <w:color w:val="231F20"/>
          <w:spacing w:val="-11"/>
        </w:rPr>
        <w:t> </w:t>
      </w:r>
      <w:r>
        <w:rPr>
          <w:color w:val="231F20"/>
          <w:spacing w:val="-2"/>
        </w:rPr>
        <w:t>l’imposer</w:t>
      </w:r>
      <w:r>
        <w:rPr>
          <w:color w:val="231F20"/>
          <w:spacing w:val="-11"/>
        </w:rPr>
        <w:t> </w:t>
      </w:r>
      <w:r>
        <w:rPr>
          <w:color w:val="231F20"/>
          <w:spacing w:val="-2"/>
        </w:rPr>
        <w:t>au</w:t>
      </w:r>
      <w:r>
        <w:rPr>
          <w:color w:val="231F20"/>
          <w:spacing w:val="-10"/>
        </w:rPr>
        <w:t> </w:t>
      </w:r>
      <w:r>
        <w:rPr>
          <w:color w:val="231F20"/>
          <w:spacing w:val="-2"/>
        </w:rPr>
        <w:t>soir</w:t>
      </w:r>
      <w:r>
        <w:rPr>
          <w:color w:val="231F20"/>
          <w:spacing w:val="-9"/>
        </w:rPr>
        <w:t> </w:t>
      </w:r>
      <w:r>
        <w:rPr>
          <w:color w:val="231F20"/>
          <w:spacing w:val="-2"/>
        </w:rPr>
        <w:t>de</w:t>
      </w:r>
      <w:r>
        <w:rPr>
          <w:color w:val="231F20"/>
          <w:spacing w:val="-9"/>
        </w:rPr>
        <w:t> </w:t>
      </w:r>
      <w:r>
        <w:rPr>
          <w:color w:val="231F20"/>
          <w:spacing w:val="-2"/>
        </w:rPr>
        <w:t>la</w:t>
      </w:r>
      <w:r>
        <w:rPr>
          <w:color w:val="231F20"/>
          <w:spacing w:val="-10"/>
        </w:rPr>
        <w:t> </w:t>
      </w:r>
      <w:r>
        <w:rPr>
          <w:color w:val="231F20"/>
          <w:spacing w:val="-2"/>
        </w:rPr>
        <w:t>vie</w:t>
      </w:r>
      <w:r>
        <w:rPr>
          <w:color w:val="231F20"/>
          <w:spacing w:val="-11"/>
        </w:rPr>
        <w:t> </w:t>
      </w:r>
      <w:r>
        <w:rPr>
          <w:color w:val="231F20"/>
          <w:spacing w:val="-2"/>
        </w:rPr>
        <w:t>du</w:t>
      </w:r>
      <w:r>
        <w:rPr>
          <w:color w:val="231F20"/>
          <w:spacing w:val="-10"/>
        </w:rPr>
        <w:t> </w:t>
      </w:r>
      <w:r>
        <w:rPr>
          <w:color w:val="231F20"/>
          <w:spacing w:val="-2"/>
        </w:rPr>
        <w:t>président</w:t>
      </w:r>
      <w:r>
        <w:rPr>
          <w:color w:val="231F20"/>
          <w:spacing w:val="-10"/>
        </w:rPr>
        <w:t> </w:t>
      </w:r>
      <w:r>
        <w:rPr>
          <w:color w:val="231F20"/>
          <w:spacing w:val="-2"/>
        </w:rPr>
        <w:t>Houphouët-Boigny</w:t>
      </w:r>
      <w:r>
        <w:rPr>
          <w:color w:val="231F20"/>
          <w:spacing w:val="-7"/>
        </w:rPr>
        <w:t> </w:t>
      </w:r>
      <w:r>
        <w:rPr>
          <w:color w:val="231F20"/>
          <w:spacing w:val="-2"/>
        </w:rPr>
        <w:t>afin de</w:t>
      </w:r>
      <w:r>
        <w:rPr>
          <w:color w:val="231F20"/>
          <w:spacing w:val="-8"/>
        </w:rPr>
        <w:t> </w:t>
      </w:r>
      <w:r>
        <w:rPr>
          <w:color w:val="231F20"/>
          <w:spacing w:val="-2"/>
        </w:rPr>
        <w:t>lui</w:t>
      </w:r>
      <w:r>
        <w:rPr>
          <w:color w:val="231F20"/>
          <w:spacing w:val="-7"/>
        </w:rPr>
        <w:t> </w:t>
      </w:r>
      <w:r>
        <w:rPr>
          <w:color w:val="231F20"/>
          <w:spacing w:val="-2"/>
        </w:rPr>
        <w:t>épargner</w:t>
      </w:r>
      <w:r>
        <w:rPr>
          <w:color w:val="231F20"/>
          <w:spacing w:val="-8"/>
        </w:rPr>
        <w:t> </w:t>
      </w:r>
      <w:r>
        <w:rPr>
          <w:color w:val="231F20"/>
          <w:spacing w:val="-2"/>
        </w:rPr>
        <w:t>ainsi,</w:t>
      </w:r>
      <w:r>
        <w:rPr>
          <w:color w:val="231F20"/>
          <w:spacing w:val="-11"/>
        </w:rPr>
        <w:t> </w:t>
      </w:r>
      <w:r>
        <w:rPr>
          <w:color w:val="231F20"/>
          <w:spacing w:val="-2"/>
        </w:rPr>
        <w:t>la</w:t>
      </w:r>
      <w:r>
        <w:rPr>
          <w:color w:val="231F20"/>
          <w:spacing w:val="-11"/>
        </w:rPr>
        <w:t> </w:t>
      </w:r>
      <w:r>
        <w:rPr>
          <w:color w:val="231F20"/>
          <w:spacing w:val="-2"/>
        </w:rPr>
        <w:t>prise</w:t>
      </w:r>
      <w:r>
        <w:rPr>
          <w:color w:val="231F20"/>
          <w:spacing w:val="-8"/>
        </w:rPr>
        <w:t> </w:t>
      </w:r>
      <w:r>
        <w:rPr>
          <w:color w:val="231F20"/>
          <w:spacing w:val="-2"/>
        </w:rPr>
        <w:t>de</w:t>
      </w:r>
      <w:r>
        <w:rPr>
          <w:color w:val="231F20"/>
          <w:spacing w:val="-11"/>
        </w:rPr>
        <w:t> </w:t>
      </w:r>
      <w:r>
        <w:rPr>
          <w:color w:val="231F20"/>
          <w:spacing w:val="-2"/>
        </w:rPr>
        <w:t>décisions</w:t>
      </w:r>
      <w:r>
        <w:rPr>
          <w:color w:val="231F20"/>
          <w:spacing w:val="-10"/>
        </w:rPr>
        <w:t> </w:t>
      </w:r>
      <w:r>
        <w:rPr>
          <w:color w:val="231F20"/>
          <w:spacing w:val="-2"/>
        </w:rPr>
        <w:t>impopulaires</w:t>
      </w:r>
      <w:r>
        <w:rPr>
          <w:color w:val="231F20"/>
          <w:spacing w:val="-8"/>
        </w:rPr>
        <w:t> </w:t>
      </w:r>
      <w:r>
        <w:rPr>
          <w:color w:val="231F20"/>
          <w:spacing w:val="-2"/>
        </w:rPr>
        <w:t>à</w:t>
      </w:r>
      <w:r>
        <w:rPr>
          <w:color w:val="231F20"/>
          <w:spacing w:val="-11"/>
        </w:rPr>
        <w:t> </w:t>
      </w:r>
      <w:r>
        <w:rPr>
          <w:color w:val="231F20"/>
          <w:spacing w:val="-2"/>
        </w:rPr>
        <w:t>même</w:t>
      </w:r>
      <w:r>
        <w:rPr>
          <w:color w:val="231F20"/>
          <w:spacing w:val="-11"/>
        </w:rPr>
        <w:t> </w:t>
      </w:r>
      <w:r>
        <w:rPr>
          <w:color w:val="231F20"/>
          <w:spacing w:val="-2"/>
        </w:rPr>
        <w:t>de</w:t>
      </w:r>
      <w:r>
        <w:rPr>
          <w:color w:val="231F20"/>
          <w:spacing w:val="-11"/>
        </w:rPr>
        <w:t> </w:t>
      </w:r>
      <w:r>
        <w:rPr>
          <w:color w:val="231F20"/>
          <w:spacing w:val="-2"/>
        </w:rPr>
        <w:t>ternir </w:t>
      </w:r>
      <w:r>
        <w:rPr>
          <w:color w:val="231F20"/>
        </w:rPr>
        <w:t>son</w:t>
      </w:r>
      <w:r>
        <w:rPr>
          <w:color w:val="231F20"/>
          <w:spacing w:val="-3"/>
        </w:rPr>
        <w:t> </w:t>
      </w:r>
      <w:r>
        <w:rPr>
          <w:color w:val="231F20"/>
        </w:rPr>
        <w:t>image.</w:t>
      </w:r>
      <w:r>
        <w:rPr>
          <w:color w:val="231F20"/>
          <w:spacing w:val="-3"/>
        </w:rPr>
        <w:t> </w:t>
      </w:r>
      <w:r>
        <w:rPr>
          <w:color w:val="231F20"/>
        </w:rPr>
        <w:t>Avec</w:t>
      </w:r>
      <w:r>
        <w:rPr>
          <w:color w:val="231F20"/>
          <w:spacing w:val="-5"/>
        </w:rPr>
        <w:t> </w:t>
      </w:r>
      <w:r>
        <w:rPr>
          <w:color w:val="231F20"/>
        </w:rPr>
        <w:t>sa</w:t>
      </w:r>
      <w:r>
        <w:rPr>
          <w:color w:val="231F20"/>
          <w:spacing w:val="-3"/>
        </w:rPr>
        <w:t> </w:t>
      </w:r>
      <w:r>
        <w:rPr>
          <w:color w:val="231F20"/>
        </w:rPr>
        <w:t>disparition,</w:t>
      </w:r>
      <w:r>
        <w:rPr>
          <w:color w:val="231F20"/>
          <w:spacing w:val="-5"/>
        </w:rPr>
        <w:t> </w:t>
      </w:r>
      <w:r>
        <w:rPr>
          <w:color w:val="231F20"/>
        </w:rPr>
        <w:t>Paris</w:t>
      </w:r>
      <w:r>
        <w:rPr>
          <w:color w:val="231F20"/>
          <w:spacing w:val="-3"/>
        </w:rPr>
        <w:t> </w:t>
      </w:r>
      <w:r>
        <w:rPr>
          <w:color w:val="231F20"/>
        </w:rPr>
        <w:t>force</w:t>
      </w:r>
      <w:r>
        <w:rPr>
          <w:color w:val="231F20"/>
          <w:spacing w:val="-3"/>
        </w:rPr>
        <w:t> </w:t>
      </w:r>
      <w:r>
        <w:rPr>
          <w:color w:val="231F20"/>
        </w:rPr>
        <w:t>la</w:t>
      </w:r>
      <w:r>
        <w:rPr>
          <w:color w:val="231F20"/>
          <w:spacing w:val="-3"/>
        </w:rPr>
        <w:t> </w:t>
      </w:r>
      <w:r>
        <w:rPr>
          <w:color w:val="231F20"/>
        </w:rPr>
        <w:t>main</w:t>
      </w:r>
      <w:r>
        <w:rPr>
          <w:color w:val="231F20"/>
          <w:spacing w:val="-5"/>
        </w:rPr>
        <w:t> </w:t>
      </w:r>
      <w:r>
        <w:rPr>
          <w:color w:val="231F20"/>
        </w:rPr>
        <w:t>aux</w:t>
      </w:r>
      <w:r>
        <w:rPr>
          <w:color w:val="231F20"/>
          <w:spacing w:val="-3"/>
        </w:rPr>
        <w:t> </w:t>
      </w:r>
      <w:r>
        <w:rPr>
          <w:color w:val="231F20"/>
        </w:rPr>
        <w:t>dirigeants</w:t>
      </w:r>
      <w:r>
        <w:rPr>
          <w:color w:val="231F20"/>
          <w:spacing w:val="-1"/>
        </w:rPr>
        <w:t> </w:t>
      </w:r>
      <w:r>
        <w:rPr>
          <w:color w:val="231F20"/>
        </w:rPr>
        <w:t>de</w:t>
      </w:r>
      <w:r>
        <w:rPr>
          <w:color w:val="231F20"/>
          <w:spacing w:val="-3"/>
        </w:rPr>
        <w:t> </w:t>
      </w:r>
      <w:r>
        <w:rPr>
          <w:color w:val="231F20"/>
        </w:rPr>
        <w:t>la zone monétaire.</w:t>
      </w:r>
    </w:p>
    <w:p>
      <w:pPr>
        <w:spacing w:before="121"/>
        <w:ind w:left="111" w:right="104" w:firstLine="283"/>
        <w:jc w:val="both"/>
        <w:rPr>
          <w:i/>
          <w:sz w:val="24"/>
        </w:rPr>
      </w:pPr>
      <w:r>
        <w:rPr>
          <w:color w:val="231F20"/>
          <w:spacing w:val="-2"/>
          <w:sz w:val="24"/>
        </w:rPr>
        <w:t>Le</w:t>
      </w:r>
      <w:r>
        <w:rPr>
          <w:color w:val="231F20"/>
          <w:spacing w:val="-15"/>
          <w:sz w:val="24"/>
        </w:rPr>
        <w:t> </w:t>
      </w:r>
      <w:r>
        <w:rPr>
          <w:color w:val="231F20"/>
          <w:spacing w:val="-2"/>
          <w:sz w:val="24"/>
        </w:rPr>
        <w:t>11</w:t>
      </w:r>
      <w:r>
        <w:rPr>
          <w:color w:val="231F20"/>
          <w:spacing w:val="-13"/>
          <w:sz w:val="24"/>
        </w:rPr>
        <w:t> </w:t>
      </w:r>
      <w:r>
        <w:rPr>
          <w:color w:val="231F20"/>
          <w:spacing w:val="-2"/>
          <w:sz w:val="24"/>
        </w:rPr>
        <w:t>janvier</w:t>
      </w:r>
      <w:r>
        <w:rPr>
          <w:color w:val="231F20"/>
          <w:spacing w:val="-13"/>
          <w:sz w:val="24"/>
        </w:rPr>
        <w:t> </w:t>
      </w:r>
      <w:r>
        <w:rPr>
          <w:color w:val="231F20"/>
          <w:spacing w:val="-2"/>
          <w:sz w:val="24"/>
        </w:rPr>
        <w:t>1994</w:t>
      </w:r>
      <w:r>
        <w:rPr>
          <w:color w:val="231F20"/>
          <w:spacing w:val="-13"/>
          <w:sz w:val="24"/>
        </w:rPr>
        <w:t> </w:t>
      </w:r>
      <w:r>
        <w:rPr>
          <w:color w:val="231F20"/>
          <w:spacing w:val="-2"/>
          <w:sz w:val="24"/>
        </w:rPr>
        <w:t>à</w:t>
      </w:r>
      <w:r>
        <w:rPr>
          <w:color w:val="231F20"/>
          <w:spacing w:val="-13"/>
          <w:sz w:val="24"/>
        </w:rPr>
        <w:t> </w:t>
      </w:r>
      <w:r>
        <w:rPr>
          <w:color w:val="231F20"/>
          <w:spacing w:val="-2"/>
          <w:sz w:val="24"/>
        </w:rPr>
        <w:t>Dakar,</w:t>
      </w:r>
      <w:r>
        <w:rPr>
          <w:color w:val="231F20"/>
          <w:spacing w:val="-13"/>
          <w:sz w:val="24"/>
        </w:rPr>
        <w:t> </w:t>
      </w:r>
      <w:r>
        <w:rPr>
          <w:color w:val="231F20"/>
          <w:spacing w:val="-2"/>
          <w:sz w:val="24"/>
        </w:rPr>
        <w:t>l’annonce</w:t>
      </w:r>
      <w:r>
        <w:rPr>
          <w:color w:val="231F20"/>
          <w:spacing w:val="-13"/>
          <w:sz w:val="24"/>
        </w:rPr>
        <w:t> </w:t>
      </w:r>
      <w:r>
        <w:rPr>
          <w:color w:val="231F20"/>
          <w:spacing w:val="-2"/>
          <w:sz w:val="24"/>
        </w:rPr>
        <w:t>tombe</w:t>
      </w:r>
      <w:r>
        <w:rPr>
          <w:color w:val="231F20"/>
          <w:spacing w:val="-13"/>
          <w:sz w:val="24"/>
        </w:rPr>
        <w:t> </w:t>
      </w:r>
      <w:r>
        <w:rPr>
          <w:i/>
          <w:color w:val="231F20"/>
          <w:spacing w:val="-2"/>
          <w:sz w:val="24"/>
        </w:rPr>
        <w:t>:</w:t>
      </w:r>
      <w:r>
        <w:rPr>
          <w:i/>
          <w:color w:val="231F20"/>
          <w:spacing w:val="-13"/>
          <w:sz w:val="24"/>
        </w:rPr>
        <w:t> </w:t>
      </w:r>
      <w:r>
        <w:rPr>
          <w:i/>
          <w:color w:val="231F20"/>
          <w:spacing w:val="-2"/>
          <w:sz w:val="24"/>
        </w:rPr>
        <w:t>«</w:t>
      </w:r>
      <w:r>
        <w:rPr>
          <w:i/>
          <w:color w:val="231F20"/>
          <w:spacing w:val="-13"/>
          <w:sz w:val="24"/>
        </w:rPr>
        <w:t> </w:t>
      </w:r>
      <w:r>
        <w:rPr>
          <w:i/>
          <w:color w:val="231F20"/>
          <w:spacing w:val="-2"/>
          <w:sz w:val="24"/>
        </w:rPr>
        <w:t>Les</w:t>
      </w:r>
      <w:r>
        <w:rPr>
          <w:i/>
          <w:color w:val="231F20"/>
          <w:spacing w:val="-13"/>
          <w:sz w:val="24"/>
        </w:rPr>
        <w:t> </w:t>
      </w:r>
      <w:r>
        <w:rPr>
          <w:i/>
          <w:color w:val="231F20"/>
          <w:spacing w:val="-2"/>
          <w:sz w:val="24"/>
        </w:rPr>
        <w:t>chefs</w:t>
      </w:r>
      <w:r>
        <w:rPr>
          <w:i/>
          <w:color w:val="231F20"/>
          <w:spacing w:val="-13"/>
          <w:sz w:val="24"/>
        </w:rPr>
        <w:t> </w:t>
      </w:r>
      <w:r>
        <w:rPr>
          <w:i/>
          <w:color w:val="231F20"/>
          <w:spacing w:val="-2"/>
          <w:sz w:val="24"/>
        </w:rPr>
        <w:t>d’État</w:t>
      </w:r>
      <w:r>
        <w:rPr>
          <w:i/>
          <w:color w:val="231F20"/>
          <w:spacing w:val="-13"/>
          <w:sz w:val="24"/>
        </w:rPr>
        <w:t> </w:t>
      </w:r>
      <w:r>
        <w:rPr>
          <w:i/>
          <w:color w:val="231F20"/>
          <w:spacing w:val="-2"/>
          <w:sz w:val="24"/>
        </w:rPr>
        <w:t>et</w:t>
      </w:r>
      <w:r>
        <w:rPr>
          <w:i/>
          <w:color w:val="231F20"/>
          <w:spacing w:val="-13"/>
          <w:sz w:val="24"/>
        </w:rPr>
        <w:t> </w:t>
      </w:r>
      <w:r>
        <w:rPr>
          <w:i/>
          <w:color w:val="231F20"/>
          <w:spacing w:val="-2"/>
          <w:sz w:val="24"/>
        </w:rPr>
        <w:t>de</w:t>
      </w:r>
      <w:r>
        <w:rPr>
          <w:i/>
          <w:color w:val="231F20"/>
          <w:spacing w:val="-2"/>
          <w:sz w:val="24"/>
        </w:rPr>
        <w:t> </w:t>
      </w:r>
      <w:r>
        <w:rPr>
          <w:i/>
          <w:color w:val="231F20"/>
          <w:sz w:val="24"/>
        </w:rPr>
        <w:t>gouvernement</w:t>
      </w:r>
      <w:r>
        <w:rPr>
          <w:i/>
          <w:color w:val="231F20"/>
          <w:spacing w:val="-11"/>
          <w:sz w:val="24"/>
        </w:rPr>
        <w:t> </w:t>
      </w:r>
      <w:r>
        <w:rPr>
          <w:i/>
          <w:color w:val="231F20"/>
          <w:sz w:val="24"/>
        </w:rPr>
        <w:t>de</w:t>
      </w:r>
      <w:r>
        <w:rPr>
          <w:i/>
          <w:color w:val="231F20"/>
          <w:spacing w:val="-10"/>
          <w:sz w:val="24"/>
        </w:rPr>
        <w:t> </w:t>
      </w:r>
      <w:r>
        <w:rPr>
          <w:i/>
          <w:color w:val="231F20"/>
          <w:sz w:val="24"/>
        </w:rPr>
        <w:t>la</w:t>
      </w:r>
      <w:r>
        <w:rPr>
          <w:i/>
          <w:color w:val="231F20"/>
          <w:spacing w:val="-10"/>
          <w:sz w:val="24"/>
        </w:rPr>
        <w:t> </w:t>
      </w:r>
      <w:r>
        <w:rPr>
          <w:i/>
          <w:color w:val="231F20"/>
          <w:sz w:val="24"/>
        </w:rPr>
        <w:t>zone</w:t>
      </w:r>
      <w:r>
        <w:rPr>
          <w:i/>
          <w:color w:val="231F20"/>
          <w:spacing w:val="-12"/>
          <w:sz w:val="24"/>
        </w:rPr>
        <w:t> </w:t>
      </w:r>
      <w:r>
        <w:rPr>
          <w:i/>
          <w:color w:val="231F20"/>
          <w:sz w:val="24"/>
        </w:rPr>
        <w:t>UMOA</w:t>
      </w:r>
      <w:r>
        <w:rPr>
          <w:i/>
          <w:color w:val="231F20"/>
          <w:spacing w:val="-10"/>
          <w:sz w:val="24"/>
        </w:rPr>
        <w:t> </w:t>
      </w:r>
      <w:r>
        <w:rPr>
          <w:i/>
          <w:color w:val="231F20"/>
          <w:sz w:val="24"/>
        </w:rPr>
        <w:t>et</w:t>
      </w:r>
      <w:r>
        <w:rPr>
          <w:i/>
          <w:color w:val="231F20"/>
          <w:spacing w:val="-11"/>
          <w:sz w:val="24"/>
        </w:rPr>
        <w:t> </w:t>
      </w:r>
      <w:r>
        <w:rPr>
          <w:i/>
          <w:color w:val="231F20"/>
          <w:sz w:val="24"/>
        </w:rPr>
        <w:t>BEAC</w:t>
      </w:r>
      <w:r>
        <w:rPr>
          <w:i/>
          <w:color w:val="231F20"/>
          <w:spacing w:val="-10"/>
          <w:sz w:val="24"/>
        </w:rPr>
        <w:t> </w:t>
      </w:r>
      <w:r>
        <w:rPr>
          <w:i/>
          <w:color w:val="231F20"/>
          <w:sz w:val="24"/>
        </w:rPr>
        <w:t>ont</w:t>
      </w:r>
      <w:r>
        <w:rPr>
          <w:i/>
          <w:color w:val="231F20"/>
          <w:spacing w:val="-10"/>
          <w:sz w:val="24"/>
        </w:rPr>
        <w:t> </w:t>
      </w:r>
      <w:r>
        <w:rPr>
          <w:i/>
          <w:color w:val="231F20"/>
          <w:sz w:val="24"/>
        </w:rPr>
        <w:t>marqué</w:t>
      </w:r>
      <w:r>
        <w:rPr>
          <w:i/>
          <w:color w:val="231F20"/>
          <w:spacing w:val="-10"/>
          <w:sz w:val="24"/>
        </w:rPr>
        <w:t> </w:t>
      </w:r>
      <w:r>
        <w:rPr>
          <w:i/>
          <w:color w:val="231F20"/>
          <w:sz w:val="24"/>
        </w:rPr>
        <w:t>leur</w:t>
      </w:r>
      <w:r>
        <w:rPr>
          <w:i/>
          <w:color w:val="231F20"/>
          <w:spacing w:val="-11"/>
          <w:sz w:val="24"/>
        </w:rPr>
        <w:t> </w:t>
      </w:r>
      <w:r>
        <w:rPr>
          <w:i/>
          <w:color w:val="231F20"/>
          <w:sz w:val="24"/>
        </w:rPr>
        <w:t>accord</w:t>
      </w:r>
      <w:r>
        <w:rPr>
          <w:i/>
          <w:color w:val="231F20"/>
          <w:spacing w:val="-11"/>
          <w:sz w:val="24"/>
        </w:rPr>
        <w:t> </w:t>
      </w:r>
      <w:r>
        <w:rPr>
          <w:i/>
          <w:color w:val="231F20"/>
          <w:sz w:val="24"/>
        </w:rPr>
        <w:t>pour modifier la parité du franc CFA, qui s’établit désormais à 100 F CFA pour</w:t>
      </w:r>
      <w:r>
        <w:rPr>
          <w:i/>
          <w:color w:val="231F20"/>
          <w:spacing w:val="-15"/>
          <w:sz w:val="24"/>
        </w:rPr>
        <w:t> </w:t>
      </w:r>
      <w:r>
        <w:rPr>
          <w:i/>
          <w:color w:val="231F20"/>
          <w:sz w:val="24"/>
        </w:rPr>
        <w:t>1</w:t>
      </w:r>
      <w:r>
        <w:rPr>
          <w:i/>
          <w:color w:val="231F20"/>
          <w:spacing w:val="-15"/>
          <w:sz w:val="24"/>
        </w:rPr>
        <w:t> </w:t>
      </w:r>
      <w:r>
        <w:rPr>
          <w:i/>
          <w:color w:val="231F20"/>
          <w:sz w:val="24"/>
        </w:rPr>
        <w:t>FF,</w:t>
      </w:r>
      <w:r>
        <w:rPr>
          <w:i/>
          <w:color w:val="231F20"/>
          <w:spacing w:val="-15"/>
          <w:sz w:val="24"/>
        </w:rPr>
        <w:t> </w:t>
      </w:r>
      <w:r>
        <w:rPr>
          <w:i/>
          <w:color w:val="231F20"/>
          <w:sz w:val="24"/>
        </w:rPr>
        <w:t>à</w:t>
      </w:r>
      <w:r>
        <w:rPr>
          <w:i/>
          <w:color w:val="231F20"/>
          <w:spacing w:val="-15"/>
          <w:sz w:val="24"/>
        </w:rPr>
        <w:t> </w:t>
      </w:r>
      <w:r>
        <w:rPr>
          <w:i/>
          <w:color w:val="231F20"/>
          <w:sz w:val="24"/>
        </w:rPr>
        <w:t>compter</w:t>
      </w:r>
      <w:r>
        <w:rPr>
          <w:i/>
          <w:color w:val="231F20"/>
          <w:spacing w:val="-15"/>
          <w:sz w:val="24"/>
        </w:rPr>
        <w:t> </w:t>
      </w:r>
      <w:r>
        <w:rPr>
          <w:i/>
          <w:color w:val="231F20"/>
          <w:sz w:val="24"/>
        </w:rPr>
        <w:t>du</w:t>
      </w:r>
      <w:r>
        <w:rPr>
          <w:i/>
          <w:color w:val="231F20"/>
          <w:spacing w:val="-15"/>
          <w:sz w:val="24"/>
        </w:rPr>
        <w:t> </w:t>
      </w:r>
      <w:r>
        <w:rPr>
          <w:i/>
          <w:color w:val="231F20"/>
          <w:sz w:val="24"/>
        </w:rPr>
        <w:t>12</w:t>
      </w:r>
      <w:r>
        <w:rPr>
          <w:i/>
          <w:color w:val="231F20"/>
          <w:spacing w:val="-15"/>
          <w:sz w:val="24"/>
        </w:rPr>
        <w:t> </w:t>
      </w:r>
      <w:r>
        <w:rPr>
          <w:i/>
          <w:color w:val="231F20"/>
          <w:sz w:val="24"/>
        </w:rPr>
        <w:t>janvier</w:t>
      </w:r>
      <w:r>
        <w:rPr>
          <w:i/>
          <w:color w:val="231F20"/>
          <w:spacing w:val="-15"/>
          <w:sz w:val="24"/>
        </w:rPr>
        <w:t> </w:t>
      </w:r>
      <w:r>
        <w:rPr>
          <w:i/>
          <w:color w:val="231F20"/>
          <w:sz w:val="24"/>
        </w:rPr>
        <w:t>1994</w:t>
      </w:r>
      <w:r>
        <w:rPr>
          <w:i/>
          <w:color w:val="231F20"/>
          <w:spacing w:val="-15"/>
          <w:sz w:val="24"/>
        </w:rPr>
        <w:t> </w:t>
      </w:r>
      <w:r>
        <w:rPr>
          <w:i/>
          <w:color w:val="231F20"/>
          <w:sz w:val="24"/>
        </w:rPr>
        <w:t>à</w:t>
      </w:r>
      <w:r>
        <w:rPr>
          <w:i/>
          <w:color w:val="231F20"/>
          <w:spacing w:val="-15"/>
          <w:sz w:val="24"/>
        </w:rPr>
        <w:t> </w:t>
      </w:r>
      <w:r>
        <w:rPr>
          <w:i/>
          <w:color w:val="231F20"/>
          <w:sz w:val="24"/>
        </w:rPr>
        <w:t>0</w:t>
      </w:r>
      <w:r>
        <w:rPr>
          <w:i/>
          <w:color w:val="231F20"/>
          <w:spacing w:val="-15"/>
          <w:sz w:val="24"/>
        </w:rPr>
        <w:t> </w:t>
      </w:r>
      <w:r>
        <w:rPr>
          <w:i/>
          <w:color w:val="231F20"/>
          <w:sz w:val="24"/>
        </w:rPr>
        <w:t>heure.</w:t>
      </w:r>
      <w:r>
        <w:rPr>
          <w:i/>
          <w:color w:val="231F20"/>
          <w:spacing w:val="-15"/>
          <w:sz w:val="24"/>
        </w:rPr>
        <w:t> </w:t>
      </w:r>
      <w:r>
        <w:rPr>
          <w:i/>
          <w:color w:val="231F20"/>
          <w:sz w:val="24"/>
        </w:rPr>
        <w:t>»</w:t>
      </w:r>
      <w:r>
        <w:rPr>
          <w:i/>
          <w:color w:val="231F20"/>
          <w:spacing w:val="-15"/>
          <w:sz w:val="24"/>
        </w:rPr>
        <w:t> </w:t>
      </w:r>
      <w:r>
        <w:rPr>
          <w:i/>
          <w:color w:val="231F20"/>
          <w:sz w:val="24"/>
        </w:rPr>
        <w:t>Il</w:t>
      </w:r>
      <w:r>
        <w:rPr>
          <w:i/>
          <w:color w:val="231F20"/>
          <w:spacing w:val="-15"/>
          <w:sz w:val="24"/>
        </w:rPr>
        <w:t> </w:t>
      </w:r>
      <w:r>
        <w:rPr>
          <w:i/>
          <w:color w:val="231F20"/>
          <w:sz w:val="24"/>
        </w:rPr>
        <w:t>est</w:t>
      </w:r>
      <w:r>
        <w:rPr>
          <w:i/>
          <w:color w:val="231F20"/>
          <w:spacing w:val="-15"/>
          <w:sz w:val="24"/>
        </w:rPr>
        <w:t> </w:t>
      </w:r>
      <w:r>
        <w:rPr>
          <w:i/>
          <w:color w:val="231F20"/>
          <w:sz w:val="24"/>
        </w:rPr>
        <w:t>20</w:t>
      </w:r>
      <w:r>
        <w:rPr>
          <w:i/>
          <w:color w:val="231F20"/>
          <w:spacing w:val="-15"/>
          <w:sz w:val="24"/>
        </w:rPr>
        <w:t> </w:t>
      </w:r>
      <w:r>
        <w:rPr>
          <w:i/>
          <w:color w:val="231F20"/>
          <w:sz w:val="24"/>
        </w:rPr>
        <w:t>heures</w:t>
      </w:r>
      <w:r>
        <w:rPr>
          <w:i/>
          <w:color w:val="231F20"/>
          <w:spacing w:val="-15"/>
          <w:sz w:val="24"/>
        </w:rPr>
        <w:t> </w:t>
      </w:r>
      <w:r>
        <w:rPr>
          <w:i/>
          <w:color w:val="231F20"/>
          <w:sz w:val="24"/>
        </w:rPr>
        <w:t>50, à l’hôtel Méridien-Président de Dakar</w:t>
      </w:r>
      <w:r>
        <w:rPr>
          <w:color w:val="231F20"/>
          <w:sz w:val="24"/>
          <w:vertAlign w:val="superscript"/>
        </w:rPr>
        <w:t>154</w:t>
      </w:r>
      <w:r>
        <w:rPr>
          <w:i/>
          <w:color w:val="231F20"/>
          <w:sz w:val="24"/>
          <w:vertAlign w:val="baseline"/>
        </w:rPr>
        <w:t>.</w:t>
      </w:r>
    </w:p>
    <w:p>
      <w:pPr>
        <w:pStyle w:val="BodyText"/>
        <w:spacing w:before="120"/>
        <w:ind w:right="104" w:firstLine="283"/>
      </w:pPr>
      <w:r>
        <w:rPr>
          <w:color w:val="231F20"/>
          <w:spacing w:val="-4"/>
        </w:rPr>
        <w:t>La</w:t>
      </w:r>
      <w:r>
        <w:rPr>
          <w:color w:val="231F20"/>
          <w:spacing w:val="-5"/>
        </w:rPr>
        <w:t> </w:t>
      </w:r>
      <w:r>
        <w:rPr>
          <w:color w:val="231F20"/>
          <w:spacing w:val="-4"/>
        </w:rPr>
        <w:t>nouvelle</w:t>
      </w:r>
      <w:r>
        <w:rPr>
          <w:color w:val="231F20"/>
          <w:spacing w:val="-5"/>
        </w:rPr>
        <w:t> </w:t>
      </w:r>
      <w:r>
        <w:rPr>
          <w:color w:val="231F20"/>
          <w:spacing w:val="-4"/>
        </w:rPr>
        <w:t>surprend.</w:t>
      </w:r>
      <w:r>
        <w:rPr>
          <w:color w:val="231F20"/>
          <w:spacing w:val="-5"/>
        </w:rPr>
        <w:t> </w:t>
      </w:r>
      <w:r>
        <w:rPr>
          <w:color w:val="231F20"/>
          <w:spacing w:val="-4"/>
        </w:rPr>
        <w:t>Elle</w:t>
      </w:r>
      <w:r>
        <w:rPr>
          <w:color w:val="231F20"/>
          <w:spacing w:val="-9"/>
        </w:rPr>
        <w:t> </w:t>
      </w:r>
      <w:r>
        <w:rPr>
          <w:color w:val="231F20"/>
          <w:spacing w:val="-4"/>
        </w:rPr>
        <w:t>choque</w:t>
      </w:r>
      <w:r>
        <w:rPr>
          <w:color w:val="231F20"/>
          <w:spacing w:val="-5"/>
        </w:rPr>
        <w:t> </w:t>
      </w:r>
      <w:r>
        <w:rPr>
          <w:color w:val="231F20"/>
          <w:spacing w:val="-4"/>
        </w:rPr>
        <w:t>les</w:t>
      </w:r>
      <w:r>
        <w:rPr>
          <w:color w:val="231F20"/>
          <w:spacing w:val="-5"/>
        </w:rPr>
        <w:t> </w:t>
      </w:r>
      <w:r>
        <w:rPr>
          <w:color w:val="231F20"/>
          <w:spacing w:val="-4"/>
        </w:rPr>
        <w:t>consommateurs</w:t>
      </w:r>
      <w:r>
        <w:rPr>
          <w:color w:val="231F20"/>
          <w:spacing w:val="-5"/>
        </w:rPr>
        <w:t> </w:t>
      </w:r>
      <w:r>
        <w:rPr>
          <w:color w:val="231F20"/>
          <w:spacing w:val="-4"/>
        </w:rPr>
        <w:t>et</w:t>
      </w:r>
      <w:r>
        <w:rPr>
          <w:color w:val="231F20"/>
          <w:spacing w:val="-5"/>
        </w:rPr>
        <w:t> </w:t>
      </w:r>
      <w:r>
        <w:rPr>
          <w:color w:val="231F20"/>
          <w:spacing w:val="-4"/>
        </w:rPr>
        <w:t>commerçants </w:t>
      </w:r>
      <w:r>
        <w:rPr>
          <w:color w:val="231F20"/>
        </w:rPr>
        <w:t>africains</w:t>
      </w:r>
      <w:r>
        <w:rPr>
          <w:color w:val="231F20"/>
          <w:spacing w:val="-14"/>
        </w:rPr>
        <w:t> </w:t>
      </w:r>
      <w:r>
        <w:rPr>
          <w:color w:val="231F20"/>
        </w:rPr>
        <w:t>:</w:t>
      </w:r>
      <w:r>
        <w:rPr>
          <w:color w:val="231F20"/>
          <w:spacing w:val="71"/>
        </w:rPr>
        <w:t> </w:t>
      </w:r>
      <w:r>
        <w:rPr>
          <w:color w:val="231F20"/>
        </w:rPr>
        <w:t>100</w:t>
      </w:r>
      <w:r>
        <w:rPr>
          <w:color w:val="231F20"/>
          <w:spacing w:val="72"/>
        </w:rPr>
        <w:t> </w:t>
      </w:r>
      <w:r>
        <w:rPr>
          <w:color w:val="231F20"/>
        </w:rPr>
        <w:t>F</w:t>
      </w:r>
      <w:r>
        <w:rPr>
          <w:color w:val="231F20"/>
          <w:spacing w:val="-13"/>
        </w:rPr>
        <w:t> </w:t>
      </w:r>
      <w:r>
        <w:rPr>
          <w:color w:val="231F20"/>
        </w:rPr>
        <w:t>CFA</w:t>
      </w:r>
      <w:r>
        <w:rPr>
          <w:color w:val="231F20"/>
          <w:spacing w:val="68"/>
        </w:rPr>
        <w:t> </w:t>
      </w:r>
      <w:r>
        <w:rPr>
          <w:color w:val="231F20"/>
        </w:rPr>
        <w:t>ne</w:t>
      </w:r>
      <w:r>
        <w:rPr>
          <w:color w:val="231F20"/>
          <w:spacing w:val="73"/>
        </w:rPr>
        <w:t> </w:t>
      </w:r>
      <w:r>
        <w:rPr>
          <w:color w:val="231F20"/>
        </w:rPr>
        <w:t>valent</w:t>
      </w:r>
      <w:r>
        <w:rPr>
          <w:color w:val="231F20"/>
          <w:spacing w:val="71"/>
        </w:rPr>
        <w:t> </w:t>
      </w:r>
      <w:r>
        <w:rPr>
          <w:color w:val="231F20"/>
        </w:rPr>
        <w:t>plus</w:t>
      </w:r>
      <w:r>
        <w:rPr>
          <w:color w:val="231F20"/>
          <w:spacing w:val="71"/>
        </w:rPr>
        <w:t> </w:t>
      </w:r>
      <w:r>
        <w:rPr>
          <w:color w:val="231F20"/>
        </w:rPr>
        <w:t>que</w:t>
      </w:r>
      <w:r>
        <w:rPr>
          <w:color w:val="231F20"/>
          <w:spacing w:val="70"/>
        </w:rPr>
        <w:t> </w:t>
      </w:r>
      <w:r>
        <w:rPr>
          <w:color w:val="231F20"/>
        </w:rPr>
        <w:t>1</w:t>
      </w:r>
      <w:r>
        <w:rPr>
          <w:color w:val="231F20"/>
          <w:spacing w:val="-10"/>
        </w:rPr>
        <w:t> </w:t>
      </w:r>
      <w:r>
        <w:rPr>
          <w:color w:val="231F20"/>
        </w:rPr>
        <w:t>franc</w:t>
      </w:r>
      <w:r>
        <w:rPr>
          <w:color w:val="231F20"/>
          <w:spacing w:val="73"/>
        </w:rPr>
        <w:t> </w:t>
      </w:r>
      <w:r>
        <w:rPr>
          <w:color w:val="231F20"/>
        </w:rPr>
        <w:t>français,</w:t>
      </w:r>
      <w:r>
        <w:rPr>
          <w:color w:val="231F20"/>
          <w:spacing w:val="71"/>
        </w:rPr>
        <w:t> </w:t>
      </w:r>
      <w:r>
        <w:rPr>
          <w:color w:val="231F20"/>
        </w:rPr>
        <w:t>contre 2</w:t>
      </w:r>
      <w:r>
        <w:rPr>
          <w:color w:val="231F20"/>
          <w:spacing w:val="-15"/>
        </w:rPr>
        <w:t> </w:t>
      </w:r>
      <w:r>
        <w:rPr>
          <w:color w:val="231F20"/>
        </w:rPr>
        <w:t>quelques</w:t>
      </w:r>
      <w:r>
        <w:rPr>
          <w:color w:val="231F20"/>
          <w:spacing w:val="-15"/>
        </w:rPr>
        <w:t> </w:t>
      </w:r>
      <w:r>
        <w:rPr>
          <w:color w:val="231F20"/>
        </w:rPr>
        <w:t>heures</w:t>
      </w:r>
      <w:r>
        <w:rPr>
          <w:color w:val="231F20"/>
          <w:spacing w:val="-14"/>
        </w:rPr>
        <w:t> </w:t>
      </w:r>
      <w:r>
        <w:rPr>
          <w:color w:val="231F20"/>
        </w:rPr>
        <w:t>plus</w:t>
      </w:r>
      <w:r>
        <w:rPr>
          <w:color w:val="231F20"/>
          <w:spacing w:val="-12"/>
        </w:rPr>
        <w:t> </w:t>
      </w:r>
      <w:r>
        <w:rPr>
          <w:color w:val="231F20"/>
        </w:rPr>
        <w:t>tôt.</w:t>
      </w:r>
      <w:r>
        <w:rPr>
          <w:color w:val="231F20"/>
          <w:spacing w:val="-12"/>
        </w:rPr>
        <w:t> </w:t>
      </w:r>
      <w:r>
        <w:rPr>
          <w:color w:val="231F20"/>
        </w:rPr>
        <w:t>Du</w:t>
      </w:r>
      <w:r>
        <w:rPr>
          <w:color w:val="231F20"/>
          <w:spacing w:val="-12"/>
        </w:rPr>
        <w:t> </w:t>
      </w:r>
      <w:r>
        <w:rPr>
          <w:color w:val="231F20"/>
        </w:rPr>
        <w:t>jour</w:t>
      </w:r>
      <w:r>
        <w:rPr>
          <w:color w:val="231F20"/>
          <w:spacing w:val="-12"/>
        </w:rPr>
        <w:t> </w:t>
      </w:r>
      <w:r>
        <w:rPr>
          <w:color w:val="231F20"/>
        </w:rPr>
        <w:t>au</w:t>
      </w:r>
      <w:r>
        <w:rPr>
          <w:color w:val="231F20"/>
          <w:spacing w:val="-12"/>
        </w:rPr>
        <w:t> </w:t>
      </w:r>
      <w:r>
        <w:rPr>
          <w:color w:val="231F20"/>
        </w:rPr>
        <w:t>lendemain,</w:t>
      </w:r>
      <w:r>
        <w:rPr>
          <w:color w:val="231F20"/>
          <w:spacing w:val="-15"/>
        </w:rPr>
        <w:t> </w:t>
      </w:r>
      <w:r>
        <w:rPr>
          <w:color w:val="231F20"/>
        </w:rPr>
        <w:t>des</w:t>
      </w:r>
      <w:r>
        <w:rPr>
          <w:color w:val="231F20"/>
          <w:spacing w:val="-12"/>
        </w:rPr>
        <w:t> </w:t>
      </w:r>
      <w:r>
        <w:rPr>
          <w:color w:val="231F20"/>
        </w:rPr>
        <w:t>millions</w:t>
      </w:r>
      <w:r>
        <w:rPr>
          <w:color w:val="231F20"/>
          <w:spacing w:val="-15"/>
        </w:rPr>
        <w:t> </w:t>
      </w:r>
      <w:r>
        <w:rPr>
          <w:color w:val="231F20"/>
        </w:rPr>
        <w:t>de</w:t>
      </w:r>
      <w:r>
        <w:rPr>
          <w:color w:val="231F20"/>
          <w:spacing w:val="-13"/>
        </w:rPr>
        <w:t> </w:t>
      </w:r>
      <w:r>
        <w:rPr>
          <w:color w:val="231F20"/>
        </w:rPr>
        <w:t>foyers </w:t>
      </w:r>
      <w:r>
        <w:rPr>
          <w:color w:val="231F20"/>
          <w:spacing w:val="-4"/>
        </w:rPr>
        <w:t>voient leur pouvoir d’achat baisser considérablement. Les premiers effets </w:t>
      </w:r>
      <w:r>
        <w:rPr>
          <w:color w:val="231F20"/>
        </w:rPr>
        <w:t>visibles de la dévaluation sont les changements des prix à la </w:t>
      </w:r>
      <w:r>
        <w:rPr>
          <w:color w:val="231F20"/>
          <w:spacing w:val="-2"/>
        </w:rPr>
        <w:t>consommation</w:t>
      </w:r>
      <w:r>
        <w:rPr>
          <w:color w:val="231F20"/>
          <w:spacing w:val="-11"/>
        </w:rPr>
        <w:t> </w:t>
      </w:r>
      <w:r>
        <w:rPr>
          <w:color w:val="231F20"/>
          <w:spacing w:val="-2"/>
        </w:rPr>
        <w:t>qui</w:t>
      </w:r>
      <w:r>
        <w:rPr>
          <w:color w:val="231F20"/>
          <w:spacing w:val="-11"/>
        </w:rPr>
        <w:t> </w:t>
      </w:r>
      <w:r>
        <w:rPr>
          <w:color w:val="231F20"/>
          <w:spacing w:val="-2"/>
        </w:rPr>
        <w:t>passent</w:t>
      </w:r>
      <w:r>
        <w:rPr>
          <w:color w:val="231F20"/>
          <w:spacing w:val="-11"/>
        </w:rPr>
        <w:t> </w:t>
      </w:r>
      <w:r>
        <w:rPr>
          <w:color w:val="231F20"/>
          <w:spacing w:val="-2"/>
        </w:rPr>
        <w:t>du</w:t>
      </w:r>
      <w:r>
        <w:rPr>
          <w:color w:val="231F20"/>
          <w:spacing w:val="-11"/>
        </w:rPr>
        <w:t> </w:t>
      </w:r>
      <w:r>
        <w:rPr>
          <w:color w:val="231F20"/>
          <w:spacing w:val="-2"/>
        </w:rPr>
        <w:t>simple</w:t>
      </w:r>
      <w:r>
        <w:rPr>
          <w:color w:val="231F20"/>
          <w:spacing w:val="-12"/>
        </w:rPr>
        <w:t> </w:t>
      </w:r>
      <w:r>
        <w:rPr>
          <w:color w:val="231F20"/>
          <w:spacing w:val="-2"/>
        </w:rPr>
        <w:t>au</w:t>
      </w:r>
      <w:r>
        <w:rPr>
          <w:color w:val="231F20"/>
          <w:spacing w:val="-12"/>
        </w:rPr>
        <w:t> </w:t>
      </w:r>
      <w:r>
        <w:rPr>
          <w:color w:val="231F20"/>
          <w:spacing w:val="-2"/>
        </w:rPr>
        <w:t>double.</w:t>
      </w:r>
      <w:r>
        <w:rPr>
          <w:color w:val="231F20"/>
          <w:spacing w:val="-12"/>
        </w:rPr>
        <w:t> </w:t>
      </w:r>
      <w:r>
        <w:rPr>
          <w:color w:val="231F20"/>
          <w:spacing w:val="-2"/>
        </w:rPr>
        <w:t>Le</w:t>
      </w:r>
      <w:r>
        <w:rPr>
          <w:color w:val="231F20"/>
          <w:spacing w:val="-13"/>
        </w:rPr>
        <w:t> </w:t>
      </w:r>
      <w:r>
        <w:rPr>
          <w:color w:val="231F20"/>
          <w:spacing w:val="-2"/>
        </w:rPr>
        <w:t>marché</w:t>
      </w:r>
      <w:r>
        <w:rPr>
          <w:color w:val="231F20"/>
          <w:spacing w:val="-12"/>
        </w:rPr>
        <w:t> </w:t>
      </w:r>
      <w:r>
        <w:rPr>
          <w:color w:val="231F20"/>
          <w:spacing w:val="-2"/>
        </w:rPr>
        <w:t>africain</w:t>
      </w:r>
      <w:r>
        <w:rPr>
          <w:color w:val="231F20"/>
          <w:spacing w:val="-12"/>
        </w:rPr>
        <w:t> </w:t>
      </w:r>
      <w:r>
        <w:rPr>
          <w:color w:val="231F20"/>
          <w:spacing w:val="-2"/>
        </w:rPr>
        <w:t>étant </w:t>
      </w:r>
      <w:r>
        <w:rPr>
          <w:color w:val="231F20"/>
        </w:rPr>
        <w:t>en grande partie alimenté par l’importation des produits manufacturés </w:t>
      </w:r>
      <w:r>
        <w:rPr>
          <w:color w:val="231F20"/>
          <w:spacing w:val="-2"/>
        </w:rPr>
        <w:t>européens,</w:t>
      </w:r>
      <w:r>
        <w:rPr>
          <w:color w:val="231F20"/>
          <w:spacing w:val="-11"/>
        </w:rPr>
        <w:t> </w:t>
      </w:r>
      <w:r>
        <w:rPr>
          <w:color w:val="231F20"/>
          <w:spacing w:val="-2"/>
        </w:rPr>
        <w:t>pour</w:t>
      </w:r>
      <w:r>
        <w:rPr>
          <w:color w:val="231F20"/>
          <w:spacing w:val="-12"/>
        </w:rPr>
        <w:t> </w:t>
      </w:r>
      <w:r>
        <w:rPr>
          <w:color w:val="231F20"/>
          <w:spacing w:val="-2"/>
        </w:rPr>
        <w:t>une</w:t>
      </w:r>
      <w:r>
        <w:rPr>
          <w:color w:val="231F20"/>
          <w:spacing w:val="-12"/>
        </w:rPr>
        <w:t> </w:t>
      </w:r>
      <w:r>
        <w:rPr>
          <w:color w:val="231F20"/>
          <w:spacing w:val="-2"/>
        </w:rPr>
        <w:t>valeur</w:t>
      </w:r>
      <w:r>
        <w:rPr>
          <w:color w:val="231F20"/>
          <w:spacing w:val="-10"/>
        </w:rPr>
        <w:t> </w:t>
      </w:r>
      <w:r>
        <w:rPr>
          <w:color w:val="231F20"/>
          <w:spacing w:val="-2"/>
        </w:rPr>
        <w:t>monétaire</w:t>
      </w:r>
      <w:r>
        <w:rPr>
          <w:color w:val="231F20"/>
          <w:spacing w:val="-10"/>
        </w:rPr>
        <w:t> </w:t>
      </w:r>
      <w:r>
        <w:rPr>
          <w:color w:val="231F20"/>
          <w:spacing w:val="-2"/>
        </w:rPr>
        <w:t>réduite</w:t>
      </w:r>
      <w:r>
        <w:rPr>
          <w:color w:val="231F20"/>
          <w:spacing w:val="-10"/>
        </w:rPr>
        <w:t> </w:t>
      </w:r>
      <w:r>
        <w:rPr>
          <w:color w:val="231F20"/>
          <w:spacing w:val="-2"/>
        </w:rPr>
        <w:t>de</w:t>
      </w:r>
      <w:r>
        <w:rPr>
          <w:color w:val="231F20"/>
          <w:spacing w:val="-12"/>
        </w:rPr>
        <w:t> </w:t>
      </w:r>
      <w:r>
        <w:rPr>
          <w:color w:val="231F20"/>
          <w:spacing w:val="-2"/>
        </w:rPr>
        <w:t>moitié,</w:t>
      </w:r>
      <w:r>
        <w:rPr>
          <w:color w:val="231F20"/>
          <w:spacing w:val="-9"/>
        </w:rPr>
        <w:t> </w:t>
      </w:r>
      <w:r>
        <w:rPr>
          <w:color w:val="231F20"/>
          <w:spacing w:val="-2"/>
        </w:rPr>
        <w:t>le</w:t>
      </w:r>
      <w:r>
        <w:rPr>
          <w:color w:val="231F20"/>
          <w:spacing w:val="-12"/>
        </w:rPr>
        <w:t> </w:t>
      </w:r>
      <w:r>
        <w:rPr>
          <w:color w:val="231F20"/>
          <w:spacing w:val="-2"/>
        </w:rPr>
        <w:t>même</w:t>
      </w:r>
      <w:r>
        <w:rPr>
          <w:color w:val="231F20"/>
          <w:spacing w:val="-11"/>
        </w:rPr>
        <w:t> </w:t>
      </w:r>
      <w:r>
        <w:rPr>
          <w:color w:val="231F20"/>
          <w:spacing w:val="-2"/>
        </w:rPr>
        <w:t>produit au</w:t>
      </w:r>
      <w:r>
        <w:rPr>
          <w:color w:val="231F20"/>
          <w:spacing w:val="-9"/>
        </w:rPr>
        <w:t> </w:t>
      </w:r>
      <w:r>
        <w:rPr>
          <w:color w:val="231F20"/>
          <w:spacing w:val="-2"/>
        </w:rPr>
        <w:t>même</w:t>
      </w:r>
      <w:r>
        <w:rPr>
          <w:color w:val="231F20"/>
          <w:spacing w:val="-9"/>
        </w:rPr>
        <w:t> </w:t>
      </w:r>
      <w:r>
        <w:rPr>
          <w:color w:val="231F20"/>
          <w:spacing w:val="-2"/>
        </w:rPr>
        <w:t>prix</w:t>
      </w:r>
      <w:r>
        <w:rPr>
          <w:color w:val="231F20"/>
          <w:spacing w:val="-12"/>
        </w:rPr>
        <w:t> </w:t>
      </w:r>
      <w:r>
        <w:rPr>
          <w:color w:val="231F20"/>
          <w:spacing w:val="-2"/>
        </w:rPr>
        <w:t>devient</w:t>
      </w:r>
      <w:r>
        <w:rPr>
          <w:color w:val="231F20"/>
          <w:spacing w:val="-9"/>
        </w:rPr>
        <w:t> </w:t>
      </w:r>
      <w:r>
        <w:rPr>
          <w:color w:val="231F20"/>
          <w:spacing w:val="-2"/>
        </w:rPr>
        <w:t>subitement</w:t>
      </w:r>
      <w:r>
        <w:rPr>
          <w:color w:val="231F20"/>
          <w:spacing w:val="-11"/>
        </w:rPr>
        <w:t> </w:t>
      </w:r>
      <w:r>
        <w:rPr>
          <w:color w:val="231F20"/>
          <w:spacing w:val="-2"/>
        </w:rPr>
        <w:t>inaccessible.</w:t>
      </w:r>
      <w:r>
        <w:rPr>
          <w:color w:val="231F20"/>
          <w:spacing w:val="-11"/>
        </w:rPr>
        <w:t> </w:t>
      </w:r>
      <w:r>
        <w:rPr>
          <w:color w:val="231F20"/>
          <w:spacing w:val="-2"/>
        </w:rPr>
        <w:t>La</w:t>
      </w:r>
      <w:r>
        <w:rPr>
          <w:color w:val="231F20"/>
          <w:spacing w:val="-9"/>
        </w:rPr>
        <w:t> </w:t>
      </w:r>
      <w:r>
        <w:rPr>
          <w:color w:val="231F20"/>
          <w:spacing w:val="-2"/>
        </w:rPr>
        <w:t>corruption</w:t>
      </w:r>
      <w:r>
        <w:rPr>
          <w:color w:val="231F20"/>
          <w:spacing w:val="-12"/>
        </w:rPr>
        <w:t> </w:t>
      </w:r>
      <w:r>
        <w:rPr>
          <w:color w:val="231F20"/>
          <w:spacing w:val="-2"/>
        </w:rPr>
        <w:t>se</w:t>
      </w:r>
      <w:r>
        <w:rPr>
          <w:color w:val="231F20"/>
          <w:spacing w:val="-9"/>
        </w:rPr>
        <w:t> </w:t>
      </w:r>
      <w:r>
        <w:rPr>
          <w:color w:val="231F20"/>
          <w:spacing w:val="-2"/>
        </w:rPr>
        <w:t>répand</w:t>
      </w:r>
      <w:r>
        <w:rPr>
          <w:color w:val="231F20"/>
          <w:spacing w:val="-9"/>
        </w:rPr>
        <w:t> </w:t>
      </w:r>
      <w:r>
        <w:rPr>
          <w:color w:val="231F20"/>
          <w:spacing w:val="-2"/>
        </w:rPr>
        <w:t>à </w:t>
      </w:r>
      <w:r>
        <w:rPr>
          <w:color w:val="231F20"/>
        </w:rPr>
        <w:t>tous les niveaux de l’administration, parce que les salaires n’ont pas augmenté alors</w:t>
      </w:r>
      <w:r>
        <w:rPr>
          <w:color w:val="231F20"/>
          <w:spacing w:val="-2"/>
        </w:rPr>
        <w:t> </w:t>
      </w:r>
      <w:r>
        <w:rPr>
          <w:color w:val="231F20"/>
        </w:rPr>
        <w:t>que</w:t>
      </w:r>
      <w:r>
        <w:rPr>
          <w:color w:val="231F20"/>
          <w:spacing w:val="-2"/>
        </w:rPr>
        <w:t> </w:t>
      </w:r>
      <w:r>
        <w:rPr>
          <w:color w:val="231F20"/>
        </w:rPr>
        <w:t>le marché a été « réévalué ».</w:t>
      </w:r>
    </w:p>
    <w:p>
      <w:pPr>
        <w:pStyle w:val="BodyText"/>
        <w:spacing w:before="121"/>
        <w:ind w:right="101" w:firstLine="283"/>
      </w:pPr>
      <w:r>
        <w:rPr>
          <w:color w:val="231F20"/>
        </w:rPr>
        <w:t>À</w:t>
      </w:r>
      <w:r>
        <w:rPr>
          <w:color w:val="231F20"/>
          <w:spacing w:val="-8"/>
        </w:rPr>
        <w:t> </w:t>
      </w:r>
      <w:r>
        <w:rPr>
          <w:color w:val="231F20"/>
        </w:rPr>
        <w:t>une</w:t>
      </w:r>
      <w:r>
        <w:rPr>
          <w:color w:val="231F20"/>
          <w:spacing w:val="-8"/>
        </w:rPr>
        <w:t> </w:t>
      </w:r>
      <w:r>
        <w:rPr>
          <w:color w:val="231F20"/>
        </w:rPr>
        <w:t>année</w:t>
      </w:r>
      <w:r>
        <w:rPr>
          <w:color w:val="231F20"/>
          <w:spacing w:val="-8"/>
        </w:rPr>
        <w:t> </w:t>
      </w:r>
      <w:r>
        <w:rPr>
          <w:color w:val="231F20"/>
        </w:rPr>
        <w:t>de</w:t>
      </w:r>
      <w:r>
        <w:rPr>
          <w:color w:val="231F20"/>
          <w:spacing w:val="-8"/>
        </w:rPr>
        <w:t> </w:t>
      </w:r>
      <w:r>
        <w:rPr>
          <w:color w:val="231F20"/>
        </w:rPr>
        <w:t>l’élection</w:t>
      </w:r>
      <w:r>
        <w:rPr>
          <w:color w:val="231F20"/>
          <w:spacing w:val="-8"/>
        </w:rPr>
        <w:t> </w:t>
      </w:r>
      <w:r>
        <w:rPr>
          <w:color w:val="231F20"/>
        </w:rPr>
        <w:t>présidentielle</w:t>
      </w:r>
      <w:r>
        <w:rPr>
          <w:color w:val="231F20"/>
          <w:spacing w:val="-8"/>
        </w:rPr>
        <w:t> </w:t>
      </w:r>
      <w:r>
        <w:rPr>
          <w:color w:val="231F20"/>
        </w:rPr>
        <w:t>prévue</w:t>
      </w:r>
      <w:r>
        <w:rPr>
          <w:color w:val="231F20"/>
          <w:spacing w:val="-9"/>
        </w:rPr>
        <w:t> </w:t>
      </w:r>
      <w:r>
        <w:rPr>
          <w:color w:val="231F20"/>
        </w:rPr>
        <w:t>en</w:t>
      </w:r>
      <w:r>
        <w:rPr>
          <w:color w:val="231F20"/>
          <w:spacing w:val="-10"/>
        </w:rPr>
        <w:t> </w:t>
      </w:r>
      <w:r>
        <w:rPr>
          <w:color w:val="231F20"/>
        </w:rPr>
        <w:t>1995,</w:t>
      </w:r>
      <w:r>
        <w:rPr>
          <w:color w:val="231F20"/>
          <w:spacing w:val="-10"/>
        </w:rPr>
        <w:t> </w:t>
      </w:r>
      <w:r>
        <w:rPr>
          <w:color w:val="231F20"/>
        </w:rPr>
        <w:t>Bédié</w:t>
      </w:r>
      <w:r>
        <w:rPr>
          <w:color w:val="231F20"/>
          <w:spacing w:val="-7"/>
        </w:rPr>
        <w:t> </w:t>
      </w:r>
      <w:r>
        <w:rPr>
          <w:color w:val="231F20"/>
        </w:rPr>
        <w:t>et</w:t>
      </w:r>
      <w:r>
        <w:rPr>
          <w:color w:val="231F20"/>
          <w:spacing w:val="-10"/>
        </w:rPr>
        <w:t> </w:t>
      </w:r>
      <w:r>
        <w:rPr>
          <w:color w:val="231F20"/>
        </w:rPr>
        <w:t>les </w:t>
      </w:r>
      <w:r>
        <w:rPr>
          <w:color w:val="231F20"/>
          <w:spacing w:val="-2"/>
        </w:rPr>
        <w:t>caciques</w:t>
      </w:r>
      <w:r>
        <w:rPr>
          <w:color w:val="231F20"/>
          <w:spacing w:val="-13"/>
        </w:rPr>
        <w:t> </w:t>
      </w:r>
      <w:r>
        <w:rPr>
          <w:color w:val="231F20"/>
          <w:spacing w:val="-2"/>
        </w:rPr>
        <w:t>du</w:t>
      </w:r>
      <w:r>
        <w:rPr>
          <w:color w:val="231F20"/>
          <w:spacing w:val="-13"/>
        </w:rPr>
        <w:t> </w:t>
      </w:r>
      <w:r>
        <w:rPr>
          <w:color w:val="231F20"/>
          <w:spacing w:val="-2"/>
        </w:rPr>
        <w:t>PDCI-RDA</w:t>
      </w:r>
      <w:r>
        <w:rPr>
          <w:color w:val="231F20"/>
          <w:spacing w:val="-13"/>
        </w:rPr>
        <w:t> </w:t>
      </w:r>
      <w:r>
        <w:rPr>
          <w:color w:val="231F20"/>
          <w:spacing w:val="-2"/>
        </w:rPr>
        <w:t>ont</w:t>
      </w:r>
      <w:r>
        <w:rPr>
          <w:color w:val="231F20"/>
          <w:spacing w:val="-13"/>
        </w:rPr>
        <w:t> </w:t>
      </w:r>
      <w:r>
        <w:rPr>
          <w:color w:val="231F20"/>
          <w:spacing w:val="-2"/>
        </w:rPr>
        <w:t>du</w:t>
      </w:r>
      <w:r>
        <w:rPr>
          <w:color w:val="231F20"/>
          <w:spacing w:val="-13"/>
        </w:rPr>
        <w:t> </w:t>
      </w:r>
      <w:r>
        <w:rPr>
          <w:color w:val="231F20"/>
          <w:spacing w:val="-2"/>
        </w:rPr>
        <w:t>mal</w:t>
      </w:r>
      <w:r>
        <w:rPr>
          <w:color w:val="231F20"/>
          <w:spacing w:val="-13"/>
        </w:rPr>
        <w:t> </w:t>
      </w:r>
      <w:r>
        <w:rPr>
          <w:color w:val="231F20"/>
          <w:spacing w:val="-2"/>
        </w:rPr>
        <w:t>à</w:t>
      </w:r>
      <w:r>
        <w:rPr>
          <w:color w:val="231F20"/>
          <w:spacing w:val="-13"/>
        </w:rPr>
        <w:t> </w:t>
      </w:r>
      <w:r>
        <w:rPr>
          <w:color w:val="231F20"/>
          <w:spacing w:val="-2"/>
        </w:rPr>
        <w:t>«</w:t>
      </w:r>
      <w:r>
        <w:rPr>
          <w:color w:val="231F20"/>
          <w:spacing w:val="-13"/>
        </w:rPr>
        <w:t> </w:t>
      </w:r>
      <w:r>
        <w:rPr>
          <w:color w:val="231F20"/>
          <w:spacing w:val="-2"/>
        </w:rPr>
        <w:t>garder</w:t>
      </w:r>
      <w:r>
        <w:rPr>
          <w:color w:val="231F20"/>
          <w:spacing w:val="-10"/>
        </w:rPr>
        <w:t> </w:t>
      </w:r>
      <w:r>
        <w:rPr>
          <w:color w:val="231F20"/>
          <w:spacing w:val="-2"/>
        </w:rPr>
        <w:t>en</w:t>
      </w:r>
      <w:r>
        <w:rPr>
          <w:color w:val="231F20"/>
          <w:spacing w:val="-12"/>
        </w:rPr>
        <w:t> </w:t>
      </w:r>
      <w:r>
        <w:rPr>
          <w:color w:val="231F20"/>
          <w:spacing w:val="-2"/>
        </w:rPr>
        <w:t>laisse</w:t>
      </w:r>
      <w:r>
        <w:rPr>
          <w:color w:val="231F20"/>
          <w:spacing w:val="-12"/>
        </w:rPr>
        <w:t> </w:t>
      </w:r>
      <w:r>
        <w:rPr>
          <w:color w:val="231F20"/>
          <w:spacing w:val="-2"/>
        </w:rPr>
        <w:t>les</w:t>
      </w:r>
      <w:r>
        <w:rPr>
          <w:color w:val="231F20"/>
          <w:spacing w:val="-13"/>
        </w:rPr>
        <w:t> </w:t>
      </w:r>
      <w:r>
        <w:rPr>
          <w:color w:val="231F20"/>
          <w:spacing w:val="-2"/>
        </w:rPr>
        <w:t>jeunes</w:t>
      </w:r>
      <w:r>
        <w:rPr>
          <w:color w:val="231F20"/>
          <w:spacing w:val="-13"/>
        </w:rPr>
        <w:t> </w:t>
      </w:r>
      <w:r>
        <w:rPr>
          <w:color w:val="231F20"/>
          <w:spacing w:val="-2"/>
        </w:rPr>
        <w:t>loups</w:t>
      </w:r>
      <w:r>
        <w:rPr>
          <w:color w:val="231F20"/>
          <w:spacing w:val="-10"/>
        </w:rPr>
        <w:t> </w:t>
      </w:r>
      <w:r>
        <w:rPr>
          <w:color w:val="231F20"/>
          <w:spacing w:val="-2"/>
        </w:rPr>
        <w:t>» </w:t>
      </w:r>
      <w:r>
        <w:rPr>
          <w:color w:val="231F20"/>
        </w:rPr>
        <w:t>du</w:t>
      </w:r>
      <w:r>
        <w:rPr>
          <w:color w:val="231F20"/>
          <w:spacing w:val="-2"/>
        </w:rPr>
        <w:t> </w:t>
      </w:r>
      <w:r>
        <w:rPr>
          <w:color w:val="231F20"/>
        </w:rPr>
        <w:t>parti</w:t>
      </w:r>
      <w:r>
        <w:rPr>
          <w:color w:val="231F20"/>
          <w:spacing w:val="-2"/>
        </w:rPr>
        <w:t> </w:t>
      </w:r>
      <w:r>
        <w:rPr>
          <w:color w:val="231F20"/>
        </w:rPr>
        <w:t>qui</w:t>
      </w:r>
      <w:r>
        <w:rPr>
          <w:color w:val="231F20"/>
          <w:spacing w:val="-2"/>
        </w:rPr>
        <w:t> </w:t>
      </w:r>
      <w:r>
        <w:rPr>
          <w:color w:val="231F20"/>
        </w:rPr>
        <w:t>réclament</w:t>
      </w:r>
      <w:r>
        <w:rPr>
          <w:color w:val="231F20"/>
          <w:spacing w:val="-5"/>
        </w:rPr>
        <w:t> </w:t>
      </w:r>
      <w:r>
        <w:rPr>
          <w:color w:val="231F20"/>
        </w:rPr>
        <w:t>la</w:t>
      </w:r>
      <w:r>
        <w:rPr>
          <w:color w:val="231F20"/>
          <w:spacing w:val="-4"/>
        </w:rPr>
        <w:t> </w:t>
      </w:r>
      <w:r>
        <w:rPr>
          <w:color w:val="231F20"/>
        </w:rPr>
        <w:t>tenue</w:t>
      </w:r>
      <w:r>
        <w:rPr>
          <w:color w:val="231F20"/>
          <w:spacing w:val="-2"/>
        </w:rPr>
        <w:t> </w:t>
      </w:r>
      <w:r>
        <w:rPr>
          <w:color w:val="231F20"/>
        </w:rPr>
        <w:t>d’un</w:t>
      </w:r>
      <w:r>
        <w:rPr>
          <w:color w:val="231F20"/>
          <w:spacing w:val="-2"/>
        </w:rPr>
        <w:t> </w:t>
      </w:r>
      <w:r>
        <w:rPr>
          <w:color w:val="231F20"/>
        </w:rPr>
        <w:t>Congrès</w:t>
      </w:r>
      <w:r>
        <w:rPr>
          <w:color w:val="231F20"/>
          <w:spacing w:val="-4"/>
        </w:rPr>
        <w:t> </w:t>
      </w:r>
      <w:r>
        <w:rPr>
          <w:color w:val="231F20"/>
        </w:rPr>
        <w:t>Extraordinaire</w:t>
      </w:r>
      <w:r>
        <w:rPr>
          <w:color w:val="231F20"/>
          <w:spacing w:val="-5"/>
        </w:rPr>
        <w:t> </w:t>
      </w:r>
      <w:r>
        <w:rPr>
          <w:color w:val="231F20"/>
        </w:rPr>
        <w:t>afin</w:t>
      </w:r>
      <w:r>
        <w:rPr>
          <w:color w:val="231F20"/>
          <w:spacing w:val="-2"/>
        </w:rPr>
        <w:t> </w:t>
      </w:r>
      <w:r>
        <w:rPr>
          <w:color w:val="231F20"/>
        </w:rPr>
        <w:t>que</w:t>
      </w:r>
      <w:r>
        <w:rPr>
          <w:color w:val="231F20"/>
          <w:spacing w:val="-2"/>
        </w:rPr>
        <w:t> </w:t>
      </w:r>
      <w:r>
        <w:rPr>
          <w:color w:val="231F20"/>
        </w:rPr>
        <w:t>le parti</w:t>
      </w:r>
      <w:r>
        <w:rPr>
          <w:color w:val="231F20"/>
          <w:spacing w:val="-4"/>
        </w:rPr>
        <w:t> </w:t>
      </w:r>
      <w:r>
        <w:rPr>
          <w:color w:val="231F20"/>
        </w:rPr>
        <w:t>se</w:t>
      </w:r>
      <w:r>
        <w:rPr>
          <w:color w:val="231F20"/>
          <w:spacing w:val="-5"/>
        </w:rPr>
        <w:t> </w:t>
      </w:r>
      <w:r>
        <w:rPr>
          <w:color w:val="231F20"/>
        </w:rPr>
        <w:t>modernise</w:t>
      </w:r>
      <w:r>
        <w:rPr>
          <w:color w:val="231F20"/>
          <w:spacing w:val="-6"/>
        </w:rPr>
        <w:t> </w:t>
      </w:r>
      <w:r>
        <w:rPr>
          <w:color w:val="231F20"/>
        </w:rPr>
        <w:t>dans</w:t>
      </w:r>
      <w:r>
        <w:rPr>
          <w:color w:val="231F20"/>
          <w:spacing w:val="-5"/>
        </w:rPr>
        <w:t> </w:t>
      </w:r>
      <w:r>
        <w:rPr>
          <w:color w:val="231F20"/>
        </w:rPr>
        <w:t>ses</w:t>
      </w:r>
      <w:r>
        <w:rPr>
          <w:color w:val="231F20"/>
          <w:spacing w:val="-3"/>
        </w:rPr>
        <w:t> </w:t>
      </w:r>
      <w:r>
        <w:rPr>
          <w:color w:val="231F20"/>
        </w:rPr>
        <w:t>structures,</w:t>
      </w:r>
      <w:r>
        <w:rPr>
          <w:color w:val="231F20"/>
          <w:spacing w:val="-5"/>
        </w:rPr>
        <w:t> </w:t>
      </w:r>
      <w:r>
        <w:rPr>
          <w:color w:val="231F20"/>
        </w:rPr>
        <w:t>son</w:t>
      </w:r>
      <w:r>
        <w:rPr>
          <w:color w:val="231F20"/>
          <w:spacing w:val="-5"/>
        </w:rPr>
        <w:t> </w:t>
      </w:r>
      <w:r>
        <w:rPr>
          <w:color w:val="231F20"/>
        </w:rPr>
        <w:t>discours</w:t>
      </w:r>
      <w:r>
        <w:rPr>
          <w:color w:val="231F20"/>
          <w:spacing w:val="-3"/>
        </w:rPr>
        <w:t> </w:t>
      </w:r>
      <w:r>
        <w:rPr>
          <w:color w:val="231F20"/>
        </w:rPr>
        <w:t>et</w:t>
      </w:r>
      <w:r>
        <w:rPr>
          <w:color w:val="231F20"/>
          <w:spacing w:val="-4"/>
        </w:rPr>
        <w:t> </w:t>
      </w:r>
      <w:r>
        <w:rPr>
          <w:color w:val="231F20"/>
        </w:rPr>
        <w:t>ses</w:t>
      </w:r>
      <w:r>
        <w:rPr>
          <w:color w:val="231F20"/>
          <w:spacing w:val="-5"/>
        </w:rPr>
        <w:t> </w:t>
      </w:r>
      <w:r>
        <w:rPr>
          <w:color w:val="231F20"/>
        </w:rPr>
        <w:t>pratiques.</w:t>
      </w:r>
      <w:r>
        <w:rPr>
          <w:color w:val="231F20"/>
          <w:spacing w:val="-2"/>
        </w:rPr>
        <w:t> </w:t>
      </w:r>
      <w:r>
        <w:rPr>
          <w:color w:val="231F20"/>
        </w:rPr>
        <w:t>Le Congrès</w:t>
      </w:r>
      <w:r>
        <w:rPr>
          <w:color w:val="231F20"/>
          <w:spacing w:val="-7"/>
        </w:rPr>
        <w:t> </w:t>
      </w:r>
      <w:r>
        <w:rPr>
          <w:color w:val="231F20"/>
        </w:rPr>
        <w:t>a</w:t>
      </w:r>
      <w:r>
        <w:rPr>
          <w:color w:val="231F20"/>
          <w:spacing w:val="-10"/>
        </w:rPr>
        <w:t> </w:t>
      </w:r>
      <w:r>
        <w:rPr>
          <w:color w:val="231F20"/>
        </w:rPr>
        <w:t>lieu</w:t>
      </w:r>
      <w:r>
        <w:rPr>
          <w:color w:val="231F20"/>
          <w:spacing w:val="-7"/>
        </w:rPr>
        <w:t> </w:t>
      </w:r>
      <w:r>
        <w:rPr>
          <w:color w:val="231F20"/>
        </w:rPr>
        <w:t>mais</w:t>
      </w:r>
      <w:r>
        <w:rPr>
          <w:color w:val="231F20"/>
          <w:spacing w:val="-9"/>
        </w:rPr>
        <w:t> </w:t>
      </w:r>
      <w:r>
        <w:rPr>
          <w:color w:val="231F20"/>
        </w:rPr>
        <w:t>la</w:t>
      </w:r>
      <w:r>
        <w:rPr>
          <w:color w:val="231F20"/>
          <w:spacing w:val="-7"/>
        </w:rPr>
        <w:t> </w:t>
      </w:r>
      <w:r>
        <w:rPr>
          <w:color w:val="231F20"/>
        </w:rPr>
        <w:t>parole</w:t>
      </w:r>
      <w:r>
        <w:rPr>
          <w:color w:val="231F20"/>
          <w:spacing w:val="-7"/>
        </w:rPr>
        <w:t> </w:t>
      </w:r>
      <w:r>
        <w:rPr>
          <w:color w:val="231F20"/>
        </w:rPr>
        <w:t>est</w:t>
      </w:r>
      <w:r>
        <w:rPr>
          <w:color w:val="231F20"/>
          <w:spacing w:val="-7"/>
        </w:rPr>
        <w:t> </w:t>
      </w:r>
      <w:r>
        <w:rPr>
          <w:color w:val="231F20"/>
        </w:rPr>
        <w:t>refusée</w:t>
      </w:r>
      <w:r>
        <w:rPr>
          <w:color w:val="231F20"/>
          <w:spacing w:val="-7"/>
        </w:rPr>
        <w:t> </w:t>
      </w:r>
      <w:r>
        <w:rPr>
          <w:color w:val="231F20"/>
        </w:rPr>
        <w:t>à</w:t>
      </w:r>
      <w:r>
        <w:rPr>
          <w:color w:val="231F20"/>
          <w:spacing w:val="-7"/>
        </w:rPr>
        <w:t> </w:t>
      </w:r>
      <w:r>
        <w:rPr>
          <w:color w:val="231F20"/>
        </w:rPr>
        <w:t>Djéni</w:t>
      </w:r>
      <w:r>
        <w:rPr>
          <w:color w:val="231F20"/>
          <w:spacing w:val="-7"/>
        </w:rPr>
        <w:t> </w:t>
      </w:r>
      <w:r>
        <w:rPr>
          <w:color w:val="231F20"/>
        </w:rPr>
        <w:t>Kobina</w:t>
      </w:r>
      <w:r>
        <w:rPr>
          <w:color w:val="231F20"/>
          <w:spacing w:val="-7"/>
        </w:rPr>
        <w:t> </w:t>
      </w:r>
      <w:r>
        <w:rPr>
          <w:color w:val="231F20"/>
        </w:rPr>
        <w:t>le</w:t>
      </w:r>
      <w:r>
        <w:rPr>
          <w:color w:val="231F20"/>
          <w:spacing w:val="-7"/>
        </w:rPr>
        <w:t> </w:t>
      </w:r>
      <w:r>
        <w:rPr>
          <w:color w:val="231F20"/>
        </w:rPr>
        <w:t>porte-parole </w:t>
      </w:r>
      <w:r>
        <w:rPr>
          <w:color w:val="231F20"/>
          <w:spacing w:val="-2"/>
        </w:rPr>
        <w:t>des</w:t>
      </w:r>
      <w:r>
        <w:rPr>
          <w:color w:val="231F20"/>
          <w:spacing w:val="-10"/>
        </w:rPr>
        <w:t> </w:t>
      </w:r>
      <w:r>
        <w:rPr>
          <w:color w:val="231F20"/>
          <w:spacing w:val="-2"/>
        </w:rPr>
        <w:t>«</w:t>
      </w:r>
      <w:r>
        <w:rPr>
          <w:color w:val="231F20"/>
          <w:spacing w:val="-12"/>
        </w:rPr>
        <w:t> </w:t>
      </w:r>
      <w:r>
        <w:rPr>
          <w:color w:val="231F20"/>
          <w:spacing w:val="-2"/>
        </w:rPr>
        <w:t>Rénovateurs</w:t>
      </w:r>
      <w:r>
        <w:rPr>
          <w:color w:val="231F20"/>
          <w:spacing w:val="-12"/>
        </w:rPr>
        <w:t> </w:t>
      </w:r>
      <w:r>
        <w:rPr>
          <w:color w:val="231F20"/>
          <w:spacing w:val="-2"/>
        </w:rPr>
        <w:t>».</w:t>
      </w:r>
      <w:r>
        <w:rPr>
          <w:color w:val="231F20"/>
          <w:spacing w:val="-10"/>
        </w:rPr>
        <w:t> </w:t>
      </w:r>
      <w:r>
        <w:rPr>
          <w:color w:val="231F20"/>
          <w:spacing w:val="-2"/>
        </w:rPr>
        <w:t>Frustré,</w:t>
      </w:r>
      <w:r>
        <w:rPr>
          <w:color w:val="231F20"/>
          <w:spacing w:val="-10"/>
        </w:rPr>
        <w:t> </w:t>
      </w:r>
      <w:r>
        <w:rPr>
          <w:color w:val="231F20"/>
          <w:spacing w:val="-2"/>
        </w:rPr>
        <w:t>Djéni</w:t>
      </w:r>
      <w:r>
        <w:rPr>
          <w:color w:val="231F20"/>
          <w:spacing w:val="-10"/>
        </w:rPr>
        <w:t> </w:t>
      </w:r>
      <w:r>
        <w:rPr>
          <w:color w:val="231F20"/>
          <w:spacing w:val="-2"/>
        </w:rPr>
        <w:t>Kobena</w:t>
      </w:r>
      <w:r>
        <w:rPr>
          <w:color w:val="231F20"/>
          <w:spacing w:val="-10"/>
        </w:rPr>
        <w:t> </w:t>
      </w:r>
      <w:r>
        <w:rPr>
          <w:color w:val="231F20"/>
          <w:spacing w:val="-2"/>
        </w:rPr>
        <w:t>claque</w:t>
      </w:r>
      <w:r>
        <w:rPr>
          <w:color w:val="231F20"/>
          <w:spacing w:val="-13"/>
        </w:rPr>
        <w:t> </w:t>
      </w:r>
      <w:r>
        <w:rPr>
          <w:color w:val="231F20"/>
          <w:spacing w:val="-2"/>
        </w:rPr>
        <w:t>la</w:t>
      </w:r>
      <w:r>
        <w:rPr>
          <w:color w:val="231F20"/>
          <w:spacing w:val="-10"/>
        </w:rPr>
        <w:t> </w:t>
      </w:r>
      <w:r>
        <w:rPr>
          <w:color w:val="231F20"/>
          <w:spacing w:val="-2"/>
        </w:rPr>
        <w:t>porte</w:t>
      </w:r>
      <w:r>
        <w:rPr>
          <w:color w:val="231F20"/>
          <w:spacing w:val="-10"/>
        </w:rPr>
        <w:t> </w:t>
      </w:r>
      <w:r>
        <w:rPr>
          <w:color w:val="231F20"/>
          <w:spacing w:val="-2"/>
        </w:rPr>
        <w:t>au</w:t>
      </w:r>
      <w:r>
        <w:rPr>
          <w:color w:val="231F20"/>
          <w:spacing w:val="-12"/>
        </w:rPr>
        <w:t> </w:t>
      </w:r>
      <w:r>
        <w:rPr>
          <w:color w:val="231F20"/>
          <w:spacing w:val="-2"/>
        </w:rPr>
        <w:t>PDCI.</w:t>
      </w:r>
      <w:r>
        <w:rPr>
          <w:color w:val="231F20"/>
          <w:spacing w:val="-10"/>
        </w:rPr>
        <w:t> </w:t>
      </w:r>
      <w:r>
        <w:rPr>
          <w:color w:val="231F20"/>
          <w:spacing w:val="-2"/>
        </w:rPr>
        <w:t>Ses </w:t>
      </w:r>
      <w:r>
        <w:rPr>
          <w:color w:val="231F20"/>
        </w:rPr>
        <w:t>amis</w:t>
      </w:r>
      <w:r>
        <w:rPr>
          <w:color w:val="231F20"/>
          <w:spacing w:val="62"/>
        </w:rPr>
        <w:t> </w:t>
      </w:r>
      <w:r>
        <w:rPr>
          <w:color w:val="231F20"/>
        </w:rPr>
        <w:t>et</w:t>
      </w:r>
      <w:r>
        <w:rPr>
          <w:color w:val="231F20"/>
          <w:spacing w:val="63"/>
        </w:rPr>
        <w:t> </w:t>
      </w:r>
      <w:r>
        <w:rPr>
          <w:color w:val="231F20"/>
        </w:rPr>
        <w:t>lui,</w:t>
      </w:r>
      <w:r>
        <w:rPr>
          <w:color w:val="231F20"/>
          <w:spacing w:val="61"/>
        </w:rPr>
        <w:t> </w:t>
      </w:r>
      <w:r>
        <w:rPr>
          <w:color w:val="231F20"/>
        </w:rPr>
        <w:t>créent</w:t>
      </w:r>
      <w:r>
        <w:rPr>
          <w:color w:val="231F20"/>
          <w:spacing w:val="61"/>
        </w:rPr>
        <w:t> </w:t>
      </w:r>
      <w:r>
        <w:rPr>
          <w:color w:val="231F20"/>
        </w:rPr>
        <w:t>le</w:t>
      </w:r>
      <w:r>
        <w:rPr>
          <w:color w:val="231F20"/>
          <w:spacing w:val="63"/>
        </w:rPr>
        <w:t> </w:t>
      </w:r>
      <w:r>
        <w:rPr>
          <w:color w:val="231F20"/>
        </w:rPr>
        <w:t>27</w:t>
      </w:r>
      <w:r>
        <w:rPr>
          <w:color w:val="231F20"/>
          <w:spacing w:val="62"/>
        </w:rPr>
        <w:t> </w:t>
      </w:r>
      <w:r>
        <w:rPr>
          <w:color w:val="231F20"/>
        </w:rPr>
        <w:t>Septembre</w:t>
      </w:r>
      <w:r>
        <w:rPr>
          <w:color w:val="231F20"/>
          <w:spacing w:val="60"/>
        </w:rPr>
        <w:t> </w:t>
      </w:r>
      <w:r>
        <w:rPr>
          <w:color w:val="231F20"/>
        </w:rPr>
        <w:t>1994,</w:t>
      </w:r>
      <w:r>
        <w:rPr>
          <w:color w:val="231F20"/>
          <w:spacing w:val="63"/>
        </w:rPr>
        <w:t> </w:t>
      </w:r>
      <w:r>
        <w:rPr>
          <w:color w:val="231F20"/>
        </w:rPr>
        <w:t>le</w:t>
      </w:r>
      <w:r>
        <w:rPr>
          <w:color w:val="231F20"/>
          <w:spacing w:val="60"/>
        </w:rPr>
        <w:t> </w:t>
      </w:r>
      <w:r>
        <w:rPr>
          <w:color w:val="231F20"/>
        </w:rPr>
        <w:t>Rassemblement</w:t>
      </w:r>
      <w:r>
        <w:rPr>
          <w:color w:val="231F20"/>
          <w:spacing w:val="63"/>
        </w:rPr>
        <w:t> </w:t>
      </w:r>
      <w:r>
        <w:rPr>
          <w:color w:val="231F20"/>
          <w:spacing w:val="-5"/>
        </w:rPr>
        <w:t>Des</w:t>
      </w:r>
    </w:p>
    <w:p>
      <w:pPr>
        <w:pStyle w:val="BodyText"/>
        <w:spacing w:before="1"/>
        <w:ind w:left="0"/>
        <w:jc w:val="left"/>
        <w:rPr>
          <w:sz w:val="14"/>
        </w:rPr>
      </w:pPr>
      <w:r>
        <w:rPr/>
        <mc:AlternateContent>
          <mc:Choice Requires="wps">
            <w:drawing>
              <wp:anchor distT="0" distB="0" distL="0" distR="0" allowOverlap="1" layoutInCell="1" locked="0" behindDoc="1" simplePos="0" relativeHeight="487635968">
                <wp:simplePos x="0" y="0"/>
                <wp:positionH relativeFrom="page">
                  <wp:posOffset>629907</wp:posOffset>
                </wp:positionH>
                <wp:positionV relativeFrom="paragraph">
                  <wp:posOffset>118328</wp:posOffset>
                </wp:positionV>
                <wp:extent cx="1829435" cy="9525"/>
                <wp:effectExtent l="0" t="0" r="0" b="0"/>
                <wp:wrapTopAndBottom/>
                <wp:docPr id="123" name="Graphic 123"/>
                <wp:cNvGraphicFramePr>
                  <a:graphicFrameLocks/>
                </wp:cNvGraphicFramePr>
                <a:graphic>
                  <a:graphicData uri="http://schemas.microsoft.com/office/word/2010/wordprocessingShape">
                    <wps:wsp>
                      <wps:cNvPr id="123" name="Graphic 12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9.317187pt;width:144.020pt;height:.72pt;mso-position-horizontal-relative:page;mso-position-vertical-relative:paragraph;z-index:-15680512;mso-wrap-distance-left:0;mso-wrap-distance-right:0" id="docshape121" filled="true" fillcolor="#231f20" stroked="false">
                <v:fill type="solid"/>
                <w10:wrap type="topAndBottom"/>
              </v:rect>
            </w:pict>
          </mc:Fallback>
        </mc:AlternateContent>
      </w:r>
    </w:p>
    <w:p>
      <w:pPr>
        <w:spacing w:before="94"/>
        <w:ind w:left="111" w:right="100" w:firstLine="0"/>
        <w:jc w:val="left"/>
        <w:rPr>
          <w:sz w:val="20"/>
        </w:rPr>
      </w:pPr>
      <w:r>
        <w:rPr>
          <w:color w:val="636466"/>
          <w:spacing w:val="-2"/>
          <w:sz w:val="20"/>
          <w:vertAlign w:val="superscript"/>
        </w:rPr>
        <w:t>154</w:t>
      </w:r>
      <w:r>
        <w:rPr>
          <w:color w:val="636466"/>
          <w:spacing w:val="-11"/>
          <w:sz w:val="20"/>
          <w:vertAlign w:val="baseline"/>
        </w:rPr>
        <w:t> </w:t>
      </w:r>
      <w:r>
        <w:rPr>
          <w:color w:val="636466"/>
          <w:spacing w:val="-2"/>
          <w:sz w:val="20"/>
          <w:vertAlign w:val="baseline"/>
        </w:rPr>
        <w:t>Géraldine</w:t>
      </w:r>
      <w:r>
        <w:rPr>
          <w:color w:val="636466"/>
          <w:spacing w:val="-10"/>
          <w:sz w:val="20"/>
          <w:vertAlign w:val="baseline"/>
        </w:rPr>
        <w:t> </w:t>
      </w:r>
      <w:r>
        <w:rPr>
          <w:color w:val="636466"/>
          <w:spacing w:val="-2"/>
          <w:sz w:val="20"/>
          <w:vertAlign w:val="baseline"/>
        </w:rPr>
        <w:t>Faes,</w:t>
      </w:r>
      <w:r>
        <w:rPr>
          <w:color w:val="636466"/>
          <w:spacing w:val="-11"/>
          <w:sz w:val="20"/>
          <w:vertAlign w:val="baseline"/>
        </w:rPr>
        <w:t> </w:t>
      </w:r>
      <w:r>
        <w:rPr>
          <w:color w:val="636466"/>
          <w:spacing w:val="-2"/>
          <w:sz w:val="20"/>
          <w:vertAlign w:val="baseline"/>
        </w:rPr>
        <w:t>Rémi</w:t>
      </w:r>
      <w:r>
        <w:rPr>
          <w:color w:val="636466"/>
          <w:spacing w:val="-10"/>
          <w:sz w:val="20"/>
          <w:vertAlign w:val="baseline"/>
        </w:rPr>
        <w:t> </w:t>
      </w:r>
      <w:r>
        <w:rPr>
          <w:color w:val="636466"/>
          <w:spacing w:val="-2"/>
          <w:sz w:val="20"/>
          <w:vertAlign w:val="baseline"/>
        </w:rPr>
        <w:t>Godeau,</w:t>
      </w:r>
      <w:r>
        <w:rPr>
          <w:color w:val="636466"/>
          <w:spacing w:val="-11"/>
          <w:sz w:val="20"/>
          <w:vertAlign w:val="baseline"/>
        </w:rPr>
        <w:t> </w:t>
      </w:r>
      <w:r>
        <w:rPr>
          <w:color w:val="636466"/>
          <w:spacing w:val="-2"/>
          <w:sz w:val="20"/>
          <w:vertAlign w:val="baseline"/>
        </w:rPr>
        <w:t>Jeune</w:t>
      </w:r>
      <w:r>
        <w:rPr>
          <w:color w:val="636466"/>
          <w:spacing w:val="-10"/>
          <w:sz w:val="20"/>
          <w:vertAlign w:val="baseline"/>
        </w:rPr>
        <w:t> </w:t>
      </w:r>
      <w:r>
        <w:rPr>
          <w:color w:val="636466"/>
          <w:spacing w:val="-2"/>
          <w:sz w:val="20"/>
          <w:vertAlign w:val="baseline"/>
        </w:rPr>
        <w:t>Afrique</w:t>
      </w:r>
      <w:r>
        <w:rPr>
          <w:color w:val="636466"/>
          <w:spacing w:val="-11"/>
          <w:sz w:val="20"/>
          <w:vertAlign w:val="baseline"/>
        </w:rPr>
        <w:t> </w:t>
      </w:r>
      <w:r>
        <w:rPr>
          <w:color w:val="636466"/>
          <w:spacing w:val="-2"/>
          <w:sz w:val="20"/>
          <w:vertAlign w:val="baseline"/>
        </w:rPr>
        <w:t>,</w:t>
      </w:r>
      <w:r>
        <w:rPr>
          <w:color w:val="636466"/>
          <w:spacing w:val="-10"/>
          <w:sz w:val="20"/>
          <w:vertAlign w:val="baseline"/>
        </w:rPr>
        <w:t> </w:t>
      </w:r>
      <w:r>
        <w:rPr>
          <w:color w:val="636466"/>
          <w:spacing w:val="-2"/>
          <w:sz w:val="20"/>
          <w:vertAlign w:val="baseline"/>
        </w:rPr>
        <w:t>Extrait</w:t>
      </w:r>
      <w:r>
        <w:rPr>
          <w:color w:val="636466"/>
          <w:spacing w:val="-11"/>
          <w:sz w:val="20"/>
          <w:vertAlign w:val="baseline"/>
        </w:rPr>
        <w:t> </w:t>
      </w:r>
      <w:r>
        <w:rPr>
          <w:color w:val="636466"/>
          <w:spacing w:val="-2"/>
          <w:sz w:val="20"/>
          <w:vertAlign w:val="baseline"/>
        </w:rPr>
        <w:t>communiqué</w:t>
      </w:r>
      <w:r>
        <w:rPr>
          <w:color w:val="636466"/>
          <w:spacing w:val="-10"/>
          <w:sz w:val="20"/>
          <w:vertAlign w:val="baseline"/>
        </w:rPr>
        <w:t> </w:t>
      </w:r>
      <w:r>
        <w:rPr>
          <w:color w:val="636466"/>
          <w:spacing w:val="-2"/>
          <w:sz w:val="20"/>
          <w:vertAlign w:val="baseline"/>
        </w:rPr>
        <w:t>lu</w:t>
      </w:r>
      <w:r>
        <w:rPr>
          <w:color w:val="636466"/>
          <w:spacing w:val="-11"/>
          <w:sz w:val="20"/>
          <w:vertAlign w:val="baseline"/>
        </w:rPr>
        <w:t> </w:t>
      </w:r>
      <w:r>
        <w:rPr>
          <w:color w:val="636466"/>
          <w:spacing w:val="-2"/>
          <w:sz w:val="20"/>
          <w:vertAlign w:val="baseline"/>
        </w:rPr>
        <w:t>par</w:t>
      </w:r>
      <w:r>
        <w:rPr>
          <w:color w:val="636466"/>
          <w:spacing w:val="-10"/>
          <w:sz w:val="20"/>
          <w:vertAlign w:val="baseline"/>
        </w:rPr>
        <w:t> </w:t>
      </w:r>
      <w:r>
        <w:rPr>
          <w:color w:val="636466"/>
          <w:spacing w:val="-2"/>
          <w:sz w:val="20"/>
          <w:vertAlign w:val="baseline"/>
        </w:rPr>
        <w:t>le</w:t>
      </w:r>
      <w:r>
        <w:rPr>
          <w:color w:val="636466"/>
          <w:spacing w:val="-11"/>
          <w:sz w:val="20"/>
          <w:vertAlign w:val="baseline"/>
        </w:rPr>
        <w:t> </w:t>
      </w:r>
      <w:r>
        <w:rPr>
          <w:color w:val="636466"/>
          <w:spacing w:val="-2"/>
          <w:sz w:val="20"/>
          <w:vertAlign w:val="baseline"/>
        </w:rPr>
        <w:t>ministre </w:t>
      </w:r>
      <w:r>
        <w:rPr>
          <w:color w:val="636466"/>
          <w:sz w:val="20"/>
          <w:vertAlign w:val="baseline"/>
        </w:rPr>
        <w:t>camerounais des Finances, Antoine Ntsimi.</w:t>
      </w:r>
    </w:p>
    <w:p>
      <w:pPr>
        <w:spacing w:after="0"/>
        <w:jc w:val="left"/>
        <w:rPr>
          <w:sz w:val="20"/>
        </w:rPr>
        <w:sectPr>
          <w:pgSz w:w="8790" w:h="13610"/>
          <w:pgMar w:header="0" w:footer="802" w:top="1060" w:bottom="1000" w:left="880" w:right="880"/>
        </w:sectPr>
      </w:pPr>
    </w:p>
    <w:p>
      <w:pPr>
        <w:pStyle w:val="BodyText"/>
        <w:spacing w:before="66"/>
        <w:ind w:right="103"/>
      </w:pPr>
      <w:r>
        <w:rPr>
          <w:color w:val="231F20"/>
        </w:rPr>
        <w:t>Républicains (RDR) dont il devient l’année suivante, le Secrétaire </w:t>
      </w:r>
      <w:r>
        <w:rPr>
          <w:color w:val="231F20"/>
          <w:spacing w:val="-2"/>
        </w:rPr>
        <w:t>général.</w:t>
      </w:r>
      <w:r>
        <w:rPr>
          <w:color w:val="231F20"/>
          <w:spacing w:val="-13"/>
        </w:rPr>
        <w:t> </w:t>
      </w:r>
      <w:r>
        <w:rPr>
          <w:color w:val="231F20"/>
          <w:spacing w:val="-2"/>
        </w:rPr>
        <w:t>Son</w:t>
      </w:r>
      <w:r>
        <w:rPr>
          <w:color w:val="231F20"/>
          <w:spacing w:val="-13"/>
        </w:rPr>
        <w:t> </w:t>
      </w:r>
      <w:r>
        <w:rPr>
          <w:color w:val="231F20"/>
          <w:spacing w:val="-2"/>
        </w:rPr>
        <w:t>parti</w:t>
      </w:r>
      <w:r>
        <w:rPr>
          <w:color w:val="231F20"/>
          <w:spacing w:val="-10"/>
        </w:rPr>
        <w:t> </w:t>
      </w:r>
      <w:r>
        <w:rPr>
          <w:color w:val="231F20"/>
          <w:spacing w:val="-2"/>
        </w:rPr>
        <w:t>et</w:t>
      </w:r>
      <w:r>
        <w:rPr>
          <w:color w:val="231F20"/>
          <w:spacing w:val="-12"/>
        </w:rPr>
        <w:t> </w:t>
      </w:r>
      <w:r>
        <w:rPr>
          <w:color w:val="231F20"/>
          <w:spacing w:val="-2"/>
        </w:rPr>
        <w:t>le</w:t>
      </w:r>
      <w:r>
        <w:rPr>
          <w:color w:val="231F20"/>
          <w:spacing w:val="-11"/>
        </w:rPr>
        <w:t> </w:t>
      </w:r>
      <w:r>
        <w:rPr>
          <w:color w:val="231F20"/>
          <w:spacing w:val="-2"/>
        </w:rPr>
        <w:t>Front</w:t>
      </w:r>
      <w:r>
        <w:rPr>
          <w:color w:val="231F20"/>
          <w:spacing w:val="-13"/>
        </w:rPr>
        <w:t> </w:t>
      </w:r>
      <w:r>
        <w:rPr>
          <w:color w:val="231F20"/>
          <w:spacing w:val="-2"/>
        </w:rPr>
        <w:t>Populaire</w:t>
      </w:r>
      <w:r>
        <w:rPr>
          <w:color w:val="231F20"/>
          <w:spacing w:val="-11"/>
        </w:rPr>
        <w:t> </w:t>
      </w:r>
      <w:r>
        <w:rPr>
          <w:color w:val="231F20"/>
          <w:spacing w:val="-2"/>
        </w:rPr>
        <w:t>Ivoirien</w:t>
      </w:r>
      <w:r>
        <w:rPr>
          <w:color w:val="231F20"/>
          <w:spacing w:val="-12"/>
        </w:rPr>
        <w:t> </w:t>
      </w:r>
      <w:r>
        <w:rPr>
          <w:color w:val="231F20"/>
          <w:spacing w:val="-2"/>
        </w:rPr>
        <w:t>de</w:t>
      </w:r>
      <w:r>
        <w:rPr>
          <w:color w:val="231F20"/>
          <w:spacing w:val="-13"/>
        </w:rPr>
        <w:t> </w:t>
      </w:r>
      <w:r>
        <w:rPr>
          <w:color w:val="231F20"/>
          <w:spacing w:val="-2"/>
        </w:rPr>
        <w:t>Laurent</w:t>
      </w:r>
      <w:r>
        <w:rPr>
          <w:color w:val="231F20"/>
          <w:spacing w:val="-11"/>
        </w:rPr>
        <w:t> </w:t>
      </w:r>
      <w:r>
        <w:rPr>
          <w:color w:val="231F20"/>
          <w:spacing w:val="-2"/>
        </w:rPr>
        <w:t>Gbagbo</w:t>
      </w:r>
      <w:r>
        <w:rPr>
          <w:color w:val="231F20"/>
          <w:spacing w:val="-10"/>
        </w:rPr>
        <w:t> </w:t>
      </w:r>
      <w:r>
        <w:rPr>
          <w:color w:val="231F20"/>
          <w:spacing w:val="-2"/>
        </w:rPr>
        <w:t>(FPI) </w:t>
      </w:r>
      <w:r>
        <w:rPr>
          <w:color w:val="231F20"/>
        </w:rPr>
        <w:t>se mettent ensemble dans une alliance, le Front Républicain pour faire barrage à Bédié lors de cette première élection de l’après Houphouët- </w:t>
      </w:r>
      <w:r>
        <w:rPr>
          <w:color w:val="231F20"/>
          <w:spacing w:val="-2"/>
        </w:rPr>
        <w:t>Boigny.</w:t>
      </w:r>
    </w:p>
    <w:p>
      <w:pPr>
        <w:pStyle w:val="BodyText"/>
        <w:spacing w:before="120"/>
        <w:ind w:right="104" w:firstLine="283"/>
      </w:pPr>
      <w:r>
        <w:rPr>
          <w:color w:val="231F20"/>
        </w:rPr>
        <w:t>Le</w:t>
      </w:r>
      <w:r>
        <w:rPr>
          <w:color w:val="231F20"/>
          <w:spacing w:val="-2"/>
        </w:rPr>
        <w:t> </w:t>
      </w:r>
      <w:r>
        <w:rPr>
          <w:color w:val="231F20"/>
        </w:rPr>
        <w:t>PDCI</w:t>
      </w:r>
      <w:r>
        <w:rPr>
          <w:color w:val="231F20"/>
          <w:spacing w:val="-5"/>
        </w:rPr>
        <w:t> </w:t>
      </w:r>
      <w:r>
        <w:rPr>
          <w:color w:val="231F20"/>
        </w:rPr>
        <w:t>est</w:t>
      </w:r>
      <w:r>
        <w:rPr>
          <w:color w:val="231F20"/>
          <w:spacing w:val="-2"/>
        </w:rPr>
        <w:t> </w:t>
      </w:r>
      <w:r>
        <w:rPr>
          <w:color w:val="231F20"/>
        </w:rPr>
        <w:t>conscient</w:t>
      </w:r>
      <w:r>
        <w:rPr>
          <w:color w:val="231F20"/>
          <w:spacing w:val="-4"/>
        </w:rPr>
        <w:t> </w:t>
      </w:r>
      <w:r>
        <w:rPr>
          <w:color w:val="231F20"/>
        </w:rPr>
        <w:t>que</w:t>
      </w:r>
      <w:r>
        <w:rPr>
          <w:color w:val="231F20"/>
          <w:spacing w:val="-2"/>
        </w:rPr>
        <w:t> </w:t>
      </w:r>
      <w:r>
        <w:rPr>
          <w:color w:val="231F20"/>
        </w:rPr>
        <w:t>l’élection</w:t>
      </w:r>
      <w:r>
        <w:rPr>
          <w:color w:val="231F20"/>
          <w:spacing w:val="-4"/>
        </w:rPr>
        <w:t> </w:t>
      </w:r>
      <w:r>
        <w:rPr>
          <w:color w:val="231F20"/>
        </w:rPr>
        <w:t>de</w:t>
      </w:r>
      <w:r>
        <w:rPr>
          <w:color w:val="231F20"/>
          <w:spacing w:val="-5"/>
        </w:rPr>
        <w:t> </w:t>
      </w:r>
      <w:r>
        <w:rPr>
          <w:color w:val="231F20"/>
        </w:rPr>
        <w:t>1995</w:t>
      </w:r>
      <w:r>
        <w:rPr>
          <w:color w:val="231F20"/>
          <w:spacing w:val="-4"/>
        </w:rPr>
        <w:t> </w:t>
      </w:r>
      <w:r>
        <w:rPr>
          <w:color w:val="231F20"/>
        </w:rPr>
        <w:t>n’est</w:t>
      </w:r>
      <w:r>
        <w:rPr>
          <w:color w:val="231F20"/>
          <w:spacing w:val="-4"/>
        </w:rPr>
        <w:t> </w:t>
      </w:r>
      <w:r>
        <w:rPr>
          <w:color w:val="231F20"/>
        </w:rPr>
        <w:t>pas</w:t>
      </w:r>
      <w:r>
        <w:rPr>
          <w:color w:val="231F20"/>
          <w:spacing w:val="-4"/>
        </w:rPr>
        <w:t> </w:t>
      </w:r>
      <w:r>
        <w:rPr>
          <w:color w:val="231F20"/>
        </w:rPr>
        <w:t>une</w:t>
      </w:r>
      <w:r>
        <w:rPr>
          <w:color w:val="231F20"/>
          <w:spacing w:val="-5"/>
        </w:rPr>
        <w:t> </w:t>
      </w:r>
      <w:r>
        <w:rPr>
          <w:color w:val="231F20"/>
        </w:rPr>
        <w:t>copie</w:t>
      </w:r>
      <w:r>
        <w:rPr>
          <w:color w:val="231F20"/>
          <w:spacing w:val="-5"/>
        </w:rPr>
        <w:t> </w:t>
      </w:r>
      <w:r>
        <w:rPr>
          <w:color w:val="231F20"/>
        </w:rPr>
        <w:t>de </w:t>
      </w:r>
      <w:r>
        <w:rPr>
          <w:color w:val="231F20"/>
          <w:spacing w:val="-4"/>
        </w:rPr>
        <w:t>1990</w:t>
      </w:r>
      <w:r>
        <w:rPr>
          <w:color w:val="231F20"/>
          <w:spacing w:val="-1"/>
        </w:rPr>
        <w:t> </w:t>
      </w:r>
      <w:r>
        <w:rPr>
          <w:color w:val="231F20"/>
          <w:spacing w:val="-4"/>
        </w:rPr>
        <w:t>:</w:t>
      </w:r>
      <w:r>
        <w:rPr>
          <w:color w:val="231F20"/>
          <w:spacing w:val="-9"/>
        </w:rPr>
        <w:t> </w:t>
      </w:r>
      <w:r>
        <w:rPr>
          <w:color w:val="231F20"/>
          <w:spacing w:val="-4"/>
        </w:rPr>
        <w:t>l’élection</w:t>
      </w:r>
      <w:r>
        <w:rPr>
          <w:color w:val="231F20"/>
          <w:spacing w:val="-9"/>
        </w:rPr>
        <w:t> </w:t>
      </w:r>
      <w:r>
        <w:rPr>
          <w:color w:val="231F20"/>
          <w:spacing w:val="-4"/>
        </w:rPr>
        <w:t>présidentielle</w:t>
      </w:r>
      <w:r>
        <w:rPr>
          <w:color w:val="231F20"/>
          <w:spacing w:val="-11"/>
        </w:rPr>
        <w:t> </w:t>
      </w:r>
      <w:r>
        <w:rPr>
          <w:color w:val="231F20"/>
          <w:spacing w:val="-4"/>
        </w:rPr>
        <w:t>du</w:t>
      </w:r>
      <w:r>
        <w:rPr>
          <w:color w:val="231F20"/>
          <w:spacing w:val="-9"/>
        </w:rPr>
        <w:t> </w:t>
      </w:r>
      <w:r>
        <w:rPr>
          <w:color w:val="231F20"/>
          <w:spacing w:val="-4"/>
        </w:rPr>
        <w:t>28</w:t>
      </w:r>
      <w:r>
        <w:rPr>
          <w:color w:val="231F20"/>
          <w:spacing w:val="-11"/>
        </w:rPr>
        <w:t> </w:t>
      </w:r>
      <w:r>
        <w:rPr>
          <w:color w:val="231F20"/>
          <w:spacing w:val="-4"/>
        </w:rPr>
        <w:t>octobre</w:t>
      </w:r>
      <w:r>
        <w:rPr>
          <w:color w:val="231F20"/>
          <w:spacing w:val="-9"/>
        </w:rPr>
        <w:t> </w:t>
      </w:r>
      <w:r>
        <w:rPr>
          <w:color w:val="231F20"/>
          <w:spacing w:val="-4"/>
        </w:rPr>
        <w:t>1990</w:t>
      </w:r>
      <w:r>
        <w:rPr>
          <w:color w:val="231F20"/>
          <w:spacing w:val="-9"/>
        </w:rPr>
        <w:t> </w:t>
      </w:r>
      <w:r>
        <w:rPr>
          <w:color w:val="231F20"/>
          <w:spacing w:val="-4"/>
        </w:rPr>
        <w:t>qui</w:t>
      </w:r>
      <w:r>
        <w:rPr>
          <w:color w:val="231F20"/>
          <w:spacing w:val="-9"/>
        </w:rPr>
        <w:t> </w:t>
      </w:r>
      <w:r>
        <w:rPr>
          <w:color w:val="231F20"/>
          <w:spacing w:val="-4"/>
        </w:rPr>
        <w:t>inaugurait</w:t>
      </w:r>
      <w:r>
        <w:rPr>
          <w:color w:val="231F20"/>
          <w:spacing w:val="-11"/>
        </w:rPr>
        <w:t> </w:t>
      </w:r>
      <w:r>
        <w:rPr>
          <w:color w:val="231F20"/>
          <w:spacing w:val="-4"/>
        </w:rPr>
        <w:t>l’ère</w:t>
      </w:r>
      <w:r>
        <w:rPr>
          <w:color w:val="231F20"/>
          <w:spacing w:val="-10"/>
        </w:rPr>
        <w:t> </w:t>
      </w:r>
      <w:r>
        <w:rPr>
          <w:color w:val="231F20"/>
          <w:spacing w:val="-4"/>
        </w:rPr>
        <w:t>des élections multipartites et avait opposé</w:t>
      </w:r>
      <w:r>
        <w:rPr>
          <w:color w:val="231F20"/>
          <w:spacing w:val="-6"/>
        </w:rPr>
        <w:t> </w:t>
      </w:r>
      <w:r>
        <w:rPr>
          <w:color w:val="231F20"/>
          <w:spacing w:val="-4"/>
        </w:rPr>
        <w:t>Félix Houphouët-Boigny à</w:t>
      </w:r>
      <w:r>
        <w:rPr>
          <w:color w:val="231F20"/>
          <w:spacing w:val="-6"/>
        </w:rPr>
        <w:t> </w:t>
      </w:r>
      <w:r>
        <w:rPr>
          <w:color w:val="231F20"/>
          <w:spacing w:val="-4"/>
        </w:rPr>
        <w:t>Laurent </w:t>
      </w:r>
      <w:r>
        <w:rPr>
          <w:color w:val="231F20"/>
        </w:rPr>
        <w:t>Gbagbo</w:t>
      </w:r>
      <w:r>
        <w:rPr>
          <w:color w:val="231F20"/>
          <w:spacing w:val="-12"/>
        </w:rPr>
        <w:t> </w:t>
      </w:r>
      <w:r>
        <w:rPr>
          <w:color w:val="231F20"/>
        </w:rPr>
        <w:t>était</w:t>
      </w:r>
      <w:r>
        <w:rPr>
          <w:color w:val="231F20"/>
          <w:spacing w:val="-14"/>
        </w:rPr>
        <w:t> </w:t>
      </w:r>
      <w:r>
        <w:rPr>
          <w:color w:val="231F20"/>
        </w:rPr>
        <w:t>intervenue</w:t>
      </w:r>
      <w:r>
        <w:rPr>
          <w:color w:val="231F20"/>
          <w:spacing w:val="-12"/>
        </w:rPr>
        <w:t> </w:t>
      </w:r>
      <w:r>
        <w:rPr>
          <w:color w:val="231F20"/>
        </w:rPr>
        <w:t>dans</w:t>
      </w:r>
      <w:r>
        <w:rPr>
          <w:color w:val="231F20"/>
          <w:spacing w:val="-12"/>
        </w:rPr>
        <w:t> </w:t>
      </w:r>
      <w:r>
        <w:rPr>
          <w:color w:val="231F20"/>
        </w:rPr>
        <w:t>un</w:t>
      </w:r>
      <w:r>
        <w:rPr>
          <w:color w:val="231F20"/>
          <w:spacing w:val="-12"/>
        </w:rPr>
        <w:t> </w:t>
      </w:r>
      <w:r>
        <w:rPr>
          <w:color w:val="231F20"/>
        </w:rPr>
        <w:t>contexte</w:t>
      </w:r>
      <w:r>
        <w:rPr>
          <w:color w:val="231F20"/>
          <w:spacing w:val="-14"/>
        </w:rPr>
        <w:t> </w:t>
      </w:r>
      <w:r>
        <w:rPr>
          <w:color w:val="231F20"/>
        </w:rPr>
        <w:t>où</w:t>
      </w:r>
      <w:r>
        <w:rPr>
          <w:color w:val="231F20"/>
          <w:spacing w:val="-12"/>
        </w:rPr>
        <w:t> </w:t>
      </w:r>
      <w:r>
        <w:rPr>
          <w:color w:val="231F20"/>
        </w:rPr>
        <w:t>le</w:t>
      </w:r>
      <w:r>
        <w:rPr>
          <w:color w:val="231F20"/>
          <w:spacing w:val="-12"/>
        </w:rPr>
        <w:t> </w:t>
      </w:r>
      <w:r>
        <w:rPr>
          <w:color w:val="231F20"/>
        </w:rPr>
        <w:t>résultat</w:t>
      </w:r>
      <w:r>
        <w:rPr>
          <w:color w:val="231F20"/>
          <w:spacing w:val="-14"/>
        </w:rPr>
        <w:t> </w:t>
      </w:r>
      <w:r>
        <w:rPr>
          <w:color w:val="231F20"/>
        </w:rPr>
        <w:t>des</w:t>
      </w:r>
      <w:r>
        <w:rPr>
          <w:color w:val="231F20"/>
          <w:spacing w:val="-12"/>
        </w:rPr>
        <w:t> </w:t>
      </w:r>
      <w:r>
        <w:rPr>
          <w:color w:val="231F20"/>
        </w:rPr>
        <w:t>urnes</w:t>
      </w:r>
      <w:r>
        <w:rPr>
          <w:color w:val="231F20"/>
          <w:spacing w:val="-12"/>
        </w:rPr>
        <w:t> </w:t>
      </w:r>
      <w:r>
        <w:rPr>
          <w:color w:val="231F20"/>
        </w:rPr>
        <w:t>n’était </w:t>
      </w:r>
      <w:r>
        <w:rPr>
          <w:color w:val="231F20"/>
          <w:spacing w:val="-2"/>
        </w:rPr>
        <w:t>qu’une</w:t>
      </w:r>
      <w:r>
        <w:rPr>
          <w:color w:val="231F20"/>
          <w:spacing w:val="-11"/>
        </w:rPr>
        <w:t> </w:t>
      </w:r>
      <w:r>
        <w:rPr>
          <w:color w:val="231F20"/>
          <w:spacing w:val="-2"/>
        </w:rPr>
        <w:t>simple</w:t>
      </w:r>
      <w:r>
        <w:rPr>
          <w:color w:val="231F20"/>
          <w:spacing w:val="-12"/>
        </w:rPr>
        <w:t> </w:t>
      </w:r>
      <w:r>
        <w:rPr>
          <w:color w:val="231F20"/>
          <w:spacing w:val="-2"/>
        </w:rPr>
        <w:t>formalité</w:t>
      </w:r>
      <w:r>
        <w:rPr>
          <w:color w:val="231F20"/>
          <w:spacing w:val="-11"/>
        </w:rPr>
        <w:t> </w:t>
      </w:r>
      <w:r>
        <w:rPr>
          <w:color w:val="231F20"/>
          <w:spacing w:val="-2"/>
        </w:rPr>
        <w:t>pour</w:t>
      </w:r>
      <w:r>
        <w:rPr>
          <w:color w:val="231F20"/>
          <w:spacing w:val="-11"/>
        </w:rPr>
        <w:t> </w:t>
      </w:r>
      <w:r>
        <w:rPr>
          <w:color w:val="231F20"/>
          <w:spacing w:val="-2"/>
        </w:rPr>
        <w:t>le</w:t>
      </w:r>
      <w:r>
        <w:rPr>
          <w:color w:val="231F20"/>
          <w:spacing w:val="-9"/>
        </w:rPr>
        <w:t> </w:t>
      </w:r>
      <w:r>
        <w:rPr>
          <w:color w:val="231F20"/>
          <w:spacing w:val="-2"/>
        </w:rPr>
        <w:t>«</w:t>
      </w:r>
      <w:r>
        <w:rPr>
          <w:color w:val="231F20"/>
          <w:spacing w:val="-11"/>
        </w:rPr>
        <w:t> </w:t>
      </w:r>
      <w:r>
        <w:rPr>
          <w:color w:val="231F20"/>
          <w:spacing w:val="-2"/>
        </w:rPr>
        <w:t>père</w:t>
      </w:r>
      <w:r>
        <w:rPr>
          <w:color w:val="231F20"/>
          <w:spacing w:val="-9"/>
        </w:rPr>
        <w:t> </w:t>
      </w:r>
      <w:r>
        <w:rPr>
          <w:color w:val="231F20"/>
          <w:spacing w:val="-2"/>
        </w:rPr>
        <w:t>de</w:t>
      </w:r>
      <w:r>
        <w:rPr>
          <w:color w:val="231F20"/>
          <w:spacing w:val="-12"/>
        </w:rPr>
        <w:t> </w:t>
      </w:r>
      <w:r>
        <w:rPr>
          <w:color w:val="231F20"/>
          <w:spacing w:val="-2"/>
        </w:rPr>
        <w:t>la</w:t>
      </w:r>
      <w:r>
        <w:rPr>
          <w:color w:val="231F20"/>
          <w:spacing w:val="-12"/>
        </w:rPr>
        <w:t> </w:t>
      </w:r>
      <w:r>
        <w:rPr>
          <w:color w:val="231F20"/>
          <w:spacing w:val="-2"/>
        </w:rPr>
        <w:t>nation</w:t>
      </w:r>
      <w:r>
        <w:rPr>
          <w:color w:val="231F20"/>
          <w:spacing w:val="-13"/>
        </w:rPr>
        <w:t> </w:t>
      </w:r>
      <w:r>
        <w:rPr>
          <w:color w:val="231F20"/>
          <w:spacing w:val="-2"/>
        </w:rPr>
        <w:t>».</w:t>
      </w:r>
      <w:r>
        <w:rPr>
          <w:color w:val="231F20"/>
          <w:spacing w:val="-11"/>
        </w:rPr>
        <w:t> </w:t>
      </w:r>
      <w:r>
        <w:rPr>
          <w:color w:val="231F20"/>
          <w:spacing w:val="-2"/>
        </w:rPr>
        <w:t>Pour</w:t>
      </w:r>
      <w:r>
        <w:rPr>
          <w:color w:val="231F20"/>
          <w:spacing w:val="-12"/>
        </w:rPr>
        <w:t> </w:t>
      </w:r>
      <w:r>
        <w:rPr>
          <w:color w:val="231F20"/>
          <w:spacing w:val="-2"/>
        </w:rPr>
        <w:t>1995,</w:t>
      </w:r>
      <w:r>
        <w:rPr>
          <w:color w:val="231F20"/>
          <w:spacing w:val="-11"/>
        </w:rPr>
        <w:t> </w:t>
      </w:r>
      <w:r>
        <w:rPr>
          <w:color w:val="231F20"/>
          <w:spacing w:val="-2"/>
        </w:rPr>
        <w:t>Laurent </w:t>
      </w:r>
      <w:r>
        <w:rPr>
          <w:color w:val="231F20"/>
          <w:spacing w:val="-4"/>
        </w:rPr>
        <w:t>Gbagbo</w:t>
      </w:r>
      <w:r>
        <w:rPr>
          <w:color w:val="231F20"/>
          <w:spacing w:val="-8"/>
        </w:rPr>
        <w:t> </w:t>
      </w:r>
      <w:r>
        <w:rPr>
          <w:color w:val="231F20"/>
          <w:spacing w:val="-4"/>
        </w:rPr>
        <w:t>et</w:t>
      </w:r>
      <w:r>
        <w:rPr>
          <w:color w:val="231F20"/>
          <w:spacing w:val="-8"/>
        </w:rPr>
        <w:t> </w:t>
      </w:r>
      <w:r>
        <w:rPr>
          <w:color w:val="231F20"/>
          <w:spacing w:val="-4"/>
        </w:rPr>
        <w:t>Alassane</w:t>
      </w:r>
      <w:r>
        <w:rPr>
          <w:color w:val="231F20"/>
          <w:spacing w:val="-8"/>
        </w:rPr>
        <w:t> </w:t>
      </w:r>
      <w:r>
        <w:rPr>
          <w:color w:val="231F20"/>
          <w:spacing w:val="-4"/>
        </w:rPr>
        <w:t>Dramane</w:t>
      </w:r>
      <w:r>
        <w:rPr>
          <w:color w:val="231F20"/>
          <w:spacing w:val="-8"/>
        </w:rPr>
        <w:t> </w:t>
      </w:r>
      <w:r>
        <w:rPr>
          <w:color w:val="231F20"/>
          <w:spacing w:val="-4"/>
        </w:rPr>
        <w:t>Ouattara</w:t>
      </w:r>
      <w:r>
        <w:rPr>
          <w:color w:val="231F20"/>
          <w:spacing w:val="-8"/>
        </w:rPr>
        <w:t> </w:t>
      </w:r>
      <w:r>
        <w:rPr>
          <w:color w:val="231F20"/>
          <w:spacing w:val="-4"/>
        </w:rPr>
        <w:t>exigent</w:t>
      </w:r>
      <w:r>
        <w:rPr>
          <w:color w:val="231F20"/>
          <w:spacing w:val="-7"/>
        </w:rPr>
        <w:t> </w:t>
      </w:r>
      <w:r>
        <w:rPr>
          <w:color w:val="231F20"/>
          <w:spacing w:val="-4"/>
        </w:rPr>
        <w:t>des</w:t>
      </w:r>
      <w:r>
        <w:rPr>
          <w:color w:val="231F20"/>
          <w:spacing w:val="-8"/>
        </w:rPr>
        <w:t> </w:t>
      </w:r>
      <w:r>
        <w:rPr>
          <w:color w:val="231F20"/>
          <w:spacing w:val="-4"/>
        </w:rPr>
        <w:t>urnes</w:t>
      </w:r>
      <w:r>
        <w:rPr>
          <w:color w:val="231F20"/>
          <w:spacing w:val="-8"/>
        </w:rPr>
        <w:t> </w:t>
      </w:r>
      <w:r>
        <w:rPr>
          <w:color w:val="231F20"/>
          <w:spacing w:val="-4"/>
        </w:rPr>
        <w:t>transparentes,</w:t>
      </w:r>
      <w:r>
        <w:rPr>
          <w:color w:val="231F20"/>
          <w:spacing w:val="-8"/>
        </w:rPr>
        <w:t> </w:t>
      </w:r>
      <w:r>
        <w:rPr>
          <w:color w:val="231F20"/>
          <w:spacing w:val="-4"/>
        </w:rPr>
        <w:t>le bulletin</w:t>
      </w:r>
      <w:r>
        <w:rPr>
          <w:color w:val="231F20"/>
          <w:spacing w:val="-10"/>
        </w:rPr>
        <w:t> </w:t>
      </w:r>
      <w:r>
        <w:rPr>
          <w:color w:val="231F20"/>
          <w:spacing w:val="-4"/>
        </w:rPr>
        <w:t>unique,</w:t>
      </w:r>
      <w:r>
        <w:rPr>
          <w:color w:val="231F20"/>
          <w:spacing w:val="-10"/>
        </w:rPr>
        <w:t> </w:t>
      </w:r>
      <w:r>
        <w:rPr>
          <w:color w:val="231F20"/>
          <w:spacing w:val="-4"/>
        </w:rPr>
        <w:t>des</w:t>
      </w:r>
      <w:r>
        <w:rPr>
          <w:color w:val="231F20"/>
          <w:spacing w:val="-7"/>
        </w:rPr>
        <w:t> </w:t>
      </w:r>
      <w:r>
        <w:rPr>
          <w:color w:val="231F20"/>
          <w:spacing w:val="-4"/>
        </w:rPr>
        <w:t>procès-verbaux</w:t>
      </w:r>
      <w:r>
        <w:rPr>
          <w:color w:val="231F20"/>
          <w:spacing w:val="-10"/>
        </w:rPr>
        <w:t> </w:t>
      </w:r>
      <w:r>
        <w:rPr>
          <w:color w:val="231F20"/>
          <w:spacing w:val="-4"/>
        </w:rPr>
        <w:t>multiples</w:t>
      </w:r>
      <w:r>
        <w:rPr>
          <w:color w:val="231F20"/>
          <w:spacing w:val="-10"/>
        </w:rPr>
        <w:t> </w:t>
      </w:r>
      <w:r>
        <w:rPr>
          <w:color w:val="231F20"/>
          <w:spacing w:val="-4"/>
        </w:rPr>
        <w:t>des</w:t>
      </w:r>
      <w:r>
        <w:rPr>
          <w:color w:val="231F20"/>
          <w:spacing w:val="-8"/>
        </w:rPr>
        <w:t> </w:t>
      </w:r>
      <w:r>
        <w:rPr>
          <w:color w:val="231F20"/>
          <w:spacing w:val="-4"/>
        </w:rPr>
        <w:t>bureaux</w:t>
      </w:r>
      <w:r>
        <w:rPr>
          <w:color w:val="231F20"/>
          <w:spacing w:val="-8"/>
        </w:rPr>
        <w:t> </w:t>
      </w:r>
      <w:r>
        <w:rPr>
          <w:color w:val="231F20"/>
          <w:spacing w:val="-4"/>
        </w:rPr>
        <w:t>de</w:t>
      </w:r>
      <w:r>
        <w:rPr>
          <w:color w:val="231F20"/>
          <w:spacing w:val="-8"/>
        </w:rPr>
        <w:t> </w:t>
      </w:r>
      <w:r>
        <w:rPr>
          <w:color w:val="231F20"/>
          <w:spacing w:val="-4"/>
        </w:rPr>
        <w:t>vote,</w:t>
      </w:r>
      <w:r>
        <w:rPr>
          <w:color w:val="231F20"/>
          <w:spacing w:val="-10"/>
        </w:rPr>
        <w:t> </w:t>
      </w:r>
      <w:r>
        <w:rPr>
          <w:color w:val="231F20"/>
          <w:spacing w:val="-4"/>
        </w:rPr>
        <w:t>le</w:t>
      </w:r>
      <w:r>
        <w:rPr>
          <w:color w:val="231F20"/>
          <w:spacing w:val="-9"/>
        </w:rPr>
        <w:t> </w:t>
      </w:r>
      <w:r>
        <w:rPr>
          <w:color w:val="231F20"/>
          <w:spacing w:val="-4"/>
        </w:rPr>
        <w:t>vote </w:t>
      </w:r>
      <w:r>
        <w:rPr>
          <w:color w:val="231F20"/>
        </w:rPr>
        <w:t>à</w:t>
      </w:r>
      <w:r>
        <w:rPr>
          <w:color w:val="231F20"/>
          <w:spacing w:val="-6"/>
        </w:rPr>
        <w:t> </w:t>
      </w:r>
      <w:r>
        <w:rPr>
          <w:color w:val="231F20"/>
        </w:rPr>
        <w:t>l’âge</w:t>
      </w:r>
      <w:r>
        <w:rPr>
          <w:color w:val="231F20"/>
          <w:spacing w:val="-2"/>
        </w:rPr>
        <w:t> </w:t>
      </w:r>
      <w:r>
        <w:rPr>
          <w:color w:val="231F20"/>
        </w:rPr>
        <w:t>de</w:t>
      </w:r>
      <w:r>
        <w:rPr>
          <w:color w:val="231F20"/>
          <w:spacing w:val="-5"/>
        </w:rPr>
        <w:t> </w:t>
      </w:r>
      <w:r>
        <w:rPr>
          <w:color w:val="231F20"/>
        </w:rPr>
        <w:t>18</w:t>
      </w:r>
      <w:r>
        <w:rPr>
          <w:color w:val="231F20"/>
          <w:spacing w:val="-2"/>
        </w:rPr>
        <w:t> </w:t>
      </w:r>
      <w:r>
        <w:rPr>
          <w:color w:val="231F20"/>
        </w:rPr>
        <w:t>ans,</w:t>
      </w:r>
      <w:r>
        <w:rPr>
          <w:color w:val="231F20"/>
          <w:spacing w:val="-5"/>
        </w:rPr>
        <w:t> </w:t>
      </w:r>
      <w:r>
        <w:rPr>
          <w:color w:val="231F20"/>
        </w:rPr>
        <w:t>une</w:t>
      </w:r>
      <w:r>
        <w:rPr>
          <w:color w:val="231F20"/>
          <w:spacing w:val="-5"/>
        </w:rPr>
        <w:t> </w:t>
      </w:r>
      <w:r>
        <w:rPr>
          <w:color w:val="231F20"/>
        </w:rPr>
        <w:t>Commission</w:t>
      </w:r>
      <w:r>
        <w:rPr>
          <w:color w:val="231F20"/>
          <w:spacing w:val="-4"/>
        </w:rPr>
        <w:t> </w:t>
      </w:r>
      <w:r>
        <w:rPr>
          <w:color w:val="231F20"/>
        </w:rPr>
        <w:t>électorale</w:t>
      </w:r>
      <w:r>
        <w:rPr>
          <w:color w:val="231F20"/>
          <w:spacing w:val="-2"/>
        </w:rPr>
        <w:t> </w:t>
      </w:r>
      <w:r>
        <w:rPr>
          <w:color w:val="231F20"/>
        </w:rPr>
        <w:t>indépendante</w:t>
      </w:r>
      <w:r>
        <w:rPr>
          <w:color w:val="231F20"/>
          <w:spacing w:val="-15"/>
        </w:rPr>
        <w:t> </w:t>
      </w:r>
      <w:r>
        <w:rPr>
          <w:color w:val="231F20"/>
        </w:rPr>
        <w:t>:</w:t>
      </w:r>
      <w:r>
        <w:rPr>
          <w:color w:val="231F20"/>
          <w:spacing w:val="-2"/>
        </w:rPr>
        <w:t> </w:t>
      </w:r>
      <w:r>
        <w:rPr>
          <w:color w:val="231F20"/>
        </w:rPr>
        <w:t>exigences déjà formulées par Laurent Gbagbo en 1990. Et, comme en 1990, le pouvoir</w:t>
      </w:r>
      <w:r>
        <w:rPr>
          <w:color w:val="231F20"/>
          <w:spacing w:val="-4"/>
        </w:rPr>
        <w:t> </w:t>
      </w:r>
      <w:r>
        <w:rPr>
          <w:color w:val="231F20"/>
        </w:rPr>
        <w:t>PDCI</w:t>
      </w:r>
      <w:r>
        <w:rPr>
          <w:color w:val="231F20"/>
          <w:spacing w:val="-4"/>
        </w:rPr>
        <w:t> </w:t>
      </w:r>
      <w:r>
        <w:rPr>
          <w:color w:val="231F20"/>
        </w:rPr>
        <w:t>ex</w:t>
      </w:r>
      <w:r>
        <w:rPr>
          <w:color w:val="231F20"/>
          <w:spacing w:val="-1"/>
        </w:rPr>
        <w:t> </w:t>
      </w:r>
      <w:r>
        <w:rPr>
          <w:color w:val="231F20"/>
        </w:rPr>
        <w:t>parti</w:t>
      </w:r>
      <w:r>
        <w:rPr>
          <w:color w:val="231F20"/>
          <w:spacing w:val="-1"/>
        </w:rPr>
        <w:t> </w:t>
      </w:r>
      <w:r>
        <w:rPr>
          <w:color w:val="231F20"/>
        </w:rPr>
        <w:t>unique</w:t>
      </w:r>
      <w:r>
        <w:rPr>
          <w:color w:val="231F20"/>
          <w:spacing w:val="-1"/>
        </w:rPr>
        <w:t> </w:t>
      </w:r>
      <w:r>
        <w:rPr>
          <w:color w:val="231F20"/>
        </w:rPr>
        <w:t>fait</w:t>
      </w:r>
      <w:r>
        <w:rPr>
          <w:color w:val="231F20"/>
          <w:spacing w:val="-3"/>
        </w:rPr>
        <w:t> </w:t>
      </w:r>
      <w:r>
        <w:rPr>
          <w:color w:val="231F20"/>
        </w:rPr>
        <w:t>la</w:t>
      </w:r>
      <w:r>
        <w:rPr>
          <w:color w:val="231F20"/>
          <w:spacing w:val="-1"/>
        </w:rPr>
        <w:t> </w:t>
      </w:r>
      <w:r>
        <w:rPr>
          <w:color w:val="231F20"/>
        </w:rPr>
        <w:t>sourde</w:t>
      </w:r>
      <w:r>
        <w:rPr>
          <w:color w:val="231F20"/>
          <w:spacing w:val="-4"/>
        </w:rPr>
        <w:t> </w:t>
      </w:r>
      <w:r>
        <w:rPr>
          <w:color w:val="231F20"/>
        </w:rPr>
        <w:t>oreille.</w:t>
      </w:r>
    </w:p>
    <w:p>
      <w:pPr>
        <w:pStyle w:val="BodyText"/>
        <w:spacing w:before="121"/>
        <w:ind w:right="105" w:firstLine="283"/>
      </w:pPr>
      <w:r>
        <w:rPr>
          <w:color w:val="231F20"/>
          <w:spacing w:val="-2"/>
        </w:rPr>
        <w:t>Le</w:t>
      </w:r>
      <w:r>
        <w:rPr>
          <w:color w:val="231F20"/>
          <w:spacing w:val="-13"/>
        </w:rPr>
        <w:t> </w:t>
      </w:r>
      <w:r>
        <w:rPr>
          <w:color w:val="231F20"/>
          <w:spacing w:val="-2"/>
        </w:rPr>
        <w:t>8</w:t>
      </w:r>
      <w:r>
        <w:rPr>
          <w:color w:val="231F20"/>
          <w:spacing w:val="-11"/>
        </w:rPr>
        <w:t> </w:t>
      </w:r>
      <w:r>
        <w:rPr>
          <w:color w:val="231F20"/>
          <w:spacing w:val="-2"/>
        </w:rPr>
        <w:t>décembre</w:t>
      </w:r>
      <w:r>
        <w:rPr>
          <w:color w:val="231F20"/>
          <w:spacing w:val="-12"/>
        </w:rPr>
        <w:t> </w:t>
      </w:r>
      <w:r>
        <w:rPr>
          <w:color w:val="231F20"/>
          <w:spacing w:val="-2"/>
        </w:rPr>
        <w:t>1994,</w:t>
      </w:r>
      <w:r>
        <w:rPr>
          <w:color w:val="231F20"/>
          <w:spacing w:val="-12"/>
        </w:rPr>
        <w:t> </w:t>
      </w:r>
      <w:r>
        <w:rPr>
          <w:color w:val="231F20"/>
          <w:spacing w:val="-2"/>
        </w:rPr>
        <w:t>le</w:t>
      </w:r>
      <w:r>
        <w:rPr>
          <w:color w:val="231F20"/>
          <w:spacing w:val="-13"/>
        </w:rPr>
        <w:t> </w:t>
      </w:r>
      <w:r>
        <w:rPr>
          <w:color w:val="231F20"/>
          <w:spacing w:val="-2"/>
        </w:rPr>
        <w:t>Parlement</w:t>
      </w:r>
      <w:r>
        <w:rPr>
          <w:color w:val="231F20"/>
          <w:spacing w:val="-12"/>
        </w:rPr>
        <w:t> </w:t>
      </w:r>
      <w:r>
        <w:rPr>
          <w:color w:val="231F20"/>
          <w:spacing w:val="-2"/>
        </w:rPr>
        <w:t>acquis</w:t>
      </w:r>
      <w:r>
        <w:rPr>
          <w:color w:val="231F20"/>
          <w:spacing w:val="-12"/>
        </w:rPr>
        <w:t> </w:t>
      </w:r>
      <w:r>
        <w:rPr>
          <w:color w:val="231F20"/>
          <w:spacing w:val="-2"/>
        </w:rPr>
        <w:t>au</w:t>
      </w:r>
      <w:r>
        <w:rPr>
          <w:color w:val="231F20"/>
          <w:spacing w:val="-13"/>
        </w:rPr>
        <w:t> </w:t>
      </w:r>
      <w:r>
        <w:rPr>
          <w:color w:val="231F20"/>
          <w:spacing w:val="-2"/>
        </w:rPr>
        <w:t>PDCI</w:t>
      </w:r>
      <w:r>
        <w:rPr>
          <w:color w:val="231F20"/>
          <w:spacing w:val="-13"/>
        </w:rPr>
        <w:t> </w:t>
      </w:r>
      <w:r>
        <w:rPr>
          <w:color w:val="231F20"/>
          <w:spacing w:val="-2"/>
        </w:rPr>
        <w:t>adopte</w:t>
      </w:r>
      <w:r>
        <w:rPr>
          <w:color w:val="231F20"/>
          <w:spacing w:val="-12"/>
        </w:rPr>
        <w:t> </w:t>
      </w:r>
      <w:r>
        <w:rPr>
          <w:color w:val="231F20"/>
          <w:spacing w:val="-2"/>
        </w:rPr>
        <w:t>un</w:t>
      </w:r>
      <w:r>
        <w:rPr>
          <w:color w:val="231F20"/>
          <w:spacing w:val="-13"/>
        </w:rPr>
        <w:t> </w:t>
      </w:r>
      <w:r>
        <w:rPr>
          <w:color w:val="231F20"/>
          <w:spacing w:val="-2"/>
        </w:rPr>
        <w:t>nouveau </w:t>
      </w:r>
      <w:r>
        <w:rPr>
          <w:color w:val="231F20"/>
        </w:rPr>
        <w:t>code électoral qui impose aux candidats de prouver leur ascendance et leur</w:t>
      </w:r>
      <w:r>
        <w:rPr>
          <w:color w:val="231F20"/>
          <w:spacing w:val="-4"/>
        </w:rPr>
        <w:t> </w:t>
      </w:r>
      <w:r>
        <w:rPr>
          <w:color w:val="231F20"/>
        </w:rPr>
        <w:t>nationalité</w:t>
      </w:r>
      <w:r>
        <w:rPr>
          <w:color w:val="231F20"/>
          <w:spacing w:val="-5"/>
        </w:rPr>
        <w:t> </w:t>
      </w:r>
      <w:r>
        <w:rPr>
          <w:color w:val="231F20"/>
        </w:rPr>
        <w:t>ivoirienne.</w:t>
      </w:r>
      <w:r>
        <w:rPr>
          <w:color w:val="231F20"/>
          <w:spacing w:val="-2"/>
        </w:rPr>
        <w:t> </w:t>
      </w:r>
      <w:r>
        <w:rPr>
          <w:color w:val="231F20"/>
        </w:rPr>
        <w:t>La</w:t>
      </w:r>
      <w:r>
        <w:rPr>
          <w:color w:val="231F20"/>
          <w:spacing w:val="-4"/>
        </w:rPr>
        <w:t> </w:t>
      </w:r>
      <w:r>
        <w:rPr>
          <w:color w:val="231F20"/>
        </w:rPr>
        <w:t>liste</w:t>
      </w:r>
      <w:r>
        <w:rPr>
          <w:color w:val="231F20"/>
          <w:spacing w:val="-3"/>
        </w:rPr>
        <w:t> </w:t>
      </w:r>
      <w:r>
        <w:rPr>
          <w:color w:val="231F20"/>
        </w:rPr>
        <w:t>des</w:t>
      </w:r>
      <w:r>
        <w:rPr>
          <w:color w:val="231F20"/>
          <w:spacing w:val="-3"/>
        </w:rPr>
        <w:t> </w:t>
      </w:r>
      <w:r>
        <w:rPr>
          <w:color w:val="231F20"/>
        </w:rPr>
        <w:t>candidats</w:t>
      </w:r>
      <w:r>
        <w:rPr>
          <w:color w:val="231F20"/>
          <w:spacing w:val="-3"/>
        </w:rPr>
        <w:t> </w:t>
      </w:r>
      <w:r>
        <w:rPr>
          <w:color w:val="231F20"/>
        </w:rPr>
        <w:t>retenus</w:t>
      </w:r>
      <w:r>
        <w:rPr>
          <w:color w:val="231F20"/>
          <w:spacing w:val="-3"/>
        </w:rPr>
        <w:t> </w:t>
      </w:r>
      <w:r>
        <w:rPr>
          <w:color w:val="231F20"/>
        </w:rPr>
        <w:t>par</w:t>
      </w:r>
      <w:r>
        <w:rPr>
          <w:color w:val="231F20"/>
          <w:spacing w:val="-5"/>
        </w:rPr>
        <w:t> </w:t>
      </w:r>
      <w:r>
        <w:rPr>
          <w:color w:val="231F20"/>
        </w:rPr>
        <w:t>le</w:t>
      </w:r>
      <w:r>
        <w:rPr>
          <w:color w:val="231F20"/>
          <w:spacing w:val="-3"/>
        </w:rPr>
        <w:t> </w:t>
      </w:r>
      <w:r>
        <w:rPr>
          <w:color w:val="231F20"/>
        </w:rPr>
        <w:t>Conseil </w:t>
      </w:r>
      <w:r>
        <w:rPr>
          <w:color w:val="231F20"/>
          <w:spacing w:val="-4"/>
        </w:rPr>
        <w:t>Constitutionnel</w:t>
      </w:r>
      <w:r>
        <w:rPr>
          <w:color w:val="231F20"/>
          <w:spacing w:val="-7"/>
        </w:rPr>
        <w:t> </w:t>
      </w:r>
      <w:r>
        <w:rPr>
          <w:color w:val="231F20"/>
          <w:spacing w:val="-4"/>
        </w:rPr>
        <w:t>est</w:t>
      </w:r>
      <w:r>
        <w:rPr>
          <w:color w:val="231F20"/>
          <w:spacing w:val="-8"/>
        </w:rPr>
        <w:t> </w:t>
      </w:r>
      <w:r>
        <w:rPr>
          <w:color w:val="231F20"/>
          <w:spacing w:val="-4"/>
        </w:rPr>
        <w:t>dévoilée</w:t>
      </w:r>
      <w:r>
        <w:rPr>
          <w:color w:val="231F20"/>
          <w:spacing w:val="-7"/>
        </w:rPr>
        <w:t> </w:t>
      </w:r>
      <w:r>
        <w:rPr>
          <w:color w:val="231F20"/>
          <w:spacing w:val="-4"/>
        </w:rPr>
        <w:t>le</w:t>
      </w:r>
      <w:r>
        <w:rPr>
          <w:color w:val="231F20"/>
          <w:spacing w:val="-7"/>
        </w:rPr>
        <w:t> </w:t>
      </w:r>
      <w:r>
        <w:rPr>
          <w:color w:val="231F20"/>
          <w:spacing w:val="-4"/>
        </w:rPr>
        <w:t>6</w:t>
      </w:r>
      <w:r>
        <w:rPr>
          <w:color w:val="231F20"/>
          <w:spacing w:val="-9"/>
        </w:rPr>
        <w:t> </w:t>
      </w:r>
      <w:r>
        <w:rPr>
          <w:color w:val="231F20"/>
          <w:spacing w:val="-4"/>
        </w:rPr>
        <w:t>octobre</w:t>
      </w:r>
      <w:r>
        <w:rPr>
          <w:color w:val="231F20"/>
          <w:spacing w:val="-7"/>
        </w:rPr>
        <w:t> </w:t>
      </w:r>
      <w:r>
        <w:rPr>
          <w:color w:val="231F20"/>
          <w:spacing w:val="-4"/>
        </w:rPr>
        <w:t>1995.</w:t>
      </w:r>
      <w:r>
        <w:rPr>
          <w:color w:val="231F20"/>
          <w:spacing w:val="-9"/>
        </w:rPr>
        <w:t> </w:t>
      </w:r>
      <w:r>
        <w:rPr>
          <w:color w:val="231F20"/>
          <w:spacing w:val="-4"/>
        </w:rPr>
        <w:t>La</w:t>
      </w:r>
      <w:r>
        <w:rPr>
          <w:color w:val="231F20"/>
          <w:spacing w:val="-7"/>
        </w:rPr>
        <w:t> </w:t>
      </w:r>
      <w:r>
        <w:rPr>
          <w:color w:val="231F20"/>
          <w:spacing w:val="-4"/>
        </w:rPr>
        <w:t>candidature</w:t>
      </w:r>
      <w:r>
        <w:rPr>
          <w:color w:val="231F20"/>
          <w:spacing w:val="-7"/>
        </w:rPr>
        <w:t> </w:t>
      </w:r>
      <w:r>
        <w:rPr>
          <w:color w:val="231F20"/>
          <w:spacing w:val="-4"/>
        </w:rPr>
        <w:t>d’Alassane </w:t>
      </w:r>
      <w:r>
        <w:rPr>
          <w:color w:val="231F20"/>
        </w:rPr>
        <w:t>Dramane Ouattara est écartée pour cause de nationalité ivoirienne douteuse selon</w:t>
      </w:r>
      <w:r>
        <w:rPr>
          <w:color w:val="231F20"/>
          <w:spacing w:val="-1"/>
        </w:rPr>
        <w:t> </w:t>
      </w:r>
      <w:r>
        <w:rPr>
          <w:color w:val="231F20"/>
        </w:rPr>
        <w:t>l’article 35</w:t>
      </w:r>
      <w:r>
        <w:rPr>
          <w:color w:val="231F20"/>
          <w:spacing w:val="-1"/>
        </w:rPr>
        <w:t> </w:t>
      </w:r>
      <w:r>
        <w:rPr>
          <w:color w:val="231F20"/>
        </w:rPr>
        <w:t>de la</w:t>
      </w:r>
      <w:r>
        <w:rPr>
          <w:color w:val="231F20"/>
          <w:spacing w:val="-1"/>
        </w:rPr>
        <w:t> </w:t>
      </w:r>
      <w:r>
        <w:rPr>
          <w:color w:val="231F20"/>
        </w:rPr>
        <w:t>Constitution</w:t>
      </w:r>
      <w:r>
        <w:rPr>
          <w:color w:val="231F20"/>
          <w:vertAlign w:val="superscript"/>
        </w:rPr>
        <w:t>155.</w:t>
      </w:r>
    </w:p>
    <w:p>
      <w:pPr>
        <w:pStyle w:val="BodyText"/>
        <w:spacing w:before="120"/>
        <w:ind w:right="104" w:firstLine="283"/>
      </w:pPr>
      <w:r>
        <w:rPr>
          <w:color w:val="231F20"/>
        </w:rPr>
        <w:t>L’opposition appelle ses partisans au «</w:t>
      </w:r>
      <w:r>
        <w:rPr>
          <w:color w:val="231F20"/>
          <w:spacing w:val="-12"/>
        </w:rPr>
        <w:t> </w:t>
      </w:r>
      <w:r>
        <w:rPr>
          <w:color w:val="231F20"/>
        </w:rPr>
        <w:t>boycott actif</w:t>
      </w:r>
      <w:r>
        <w:rPr>
          <w:color w:val="231F20"/>
          <w:spacing w:val="-13"/>
        </w:rPr>
        <w:t> </w:t>
      </w:r>
      <w:r>
        <w:rPr>
          <w:color w:val="231F20"/>
        </w:rPr>
        <w:t>» de la </w:t>
      </w:r>
      <w:r>
        <w:rPr>
          <w:color w:val="231F20"/>
          <w:spacing w:val="-4"/>
        </w:rPr>
        <w:t>présidentielle.</w:t>
      </w:r>
      <w:r>
        <w:rPr>
          <w:color w:val="231F20"/>
          <w:spacing w:val="-11"/>
        </w:rPr>
        <w:t> </w:t>
      </w:r>
      <w:r>
        <w:rPr>
          <w:color w:val="231F20"/>
          <w:spacing w:val="-4"/>
        </w:rPr>
        <w:t>Le</w:t>
      </w:r>
      <w:r>
        <w:rPr>
          <w:color w:val="231F20"/>
          <w:spacing w:val="-10"/>
        </w:rPr>
        <w:t> </w:t>
      </w:r>
      <w:r>
        <w:rPr>
          <w:color w:val="231F20"/>
          <w:spacing w:val="-4"/>
        </w:rPr>
        <w:t>Front</w:t>
      </w:r>
      <w:r>
        <w:rPr>
          <w:color w:val="231F20"/>
          <w:spacing w:val="-7"/>
        </w:rPr>
        <w:t> </w:t>
      </w:r>
      <w:r>
        <w:rPr>
          <w:color w:val="231F20"/>
          <w:spacing w:val="-4"/>
        </w:rPr>
        <w:t>républicain</w:t>
      </w:r>
      <w:r>
        <w:rPr>
          <w:color w:val="231F20"/>
          <w:spacing w:val="-10"/>
        </w:rPr>
        <w:t> </w:t>
      </w:r>
      <w:r>
        <w:rPr>
          <w:color w:val="231F20"/>
          <w:spacing w:val="-4"/>
        </w:rPr>
        <w:t>s'organise</w:t>
      </w:r>
      <w:r>
        <w:rPr>
          <w:color w:val="231F20"/>
          <w:spacing w:val="-8"/>
        </w:rPr>
        <w:t> </w:t>
      </w:r>
      <w:r>
        <w:rPr>
          <w:color w:val="231F20"/>
          <w:spacing w:val="-4"/>
        </w:rPr>
        <w:t>et</w:t>
      </w:r>
      <w:r>
        <w:rPr>
          <w:color w:val="231F20"/>
          <w:spacing w:val="-10"/>
        </w:rPr>
        <w:t> </w:t>
      </w:r>
      <w:r>
        <w:rPr>
          <w:color w:val="231F20"/>
          <w:spacing w:val="-4"/>
        </w:rPr>
        <w:t>se</w:t>
      </w:r>
      <w:r>
        <w:rPr>
          <w:color w:val="231F20"/>
          <w:spacing w:val="-11"/>
        </w:rPr>
        <w:t> </w:t>
      </w:r>
      <w:r>
        <w:rPr>
          <w:color w:val="231F20"/>
          <w:spacing w:val="-4"/>
        </w:rPr>
        <w:t>mobilise</w:t>
      </w:r>
      <w:r>
        <w:rPr>
          <w:color w:val="231F20"/>
          <w:spacing w:val="-10"/>
        </w:rPr>
        <w:t> </w:t>
      </w:r>
      <w:r>
        <w:rPr>
          <w:color w:val="231F20"/>
          <w:spacing w:val="-4"/>
        </w:rPr>
        <w:t>pour</w:t>
      </w:r>
      <w:r>
        <w:rPr>
          <w:color w:val="231F20"/>
          <w:spacing w:val="-11"/>
        </w:rPr>
        <w:t> </w:t>
      </w:r>
      <w:r>
        <w:rPr>
          <w:color w:val="231F20"/>
          <w:spacing w:val="-4"/>
        </w:rPr>
        <w:t>le</w:t>
      </w:r>
      <w:r>
        <w:rPr>
          <w:color w:val="231F20"/>
          <w:spacing w:val="-9"/>
        </w:rPr>
        <w:t> </w:t>
      </w:r>
      <w:r>
        <w:rPr>
          <w:color w:val="231F20"/>
          <w:spacing w:val="-4"/>
        </w:rPr>
        <w:t>retrait du</w:t>
      </w:r>
      <w:r>
        <w:rPr>
          <w:color w:val="231F20"/>
          <w:spacing w:val="-8"/>
        </w:rPr>
        <w:t> </w:t>
      </w:r>
      <w:r>
        <w:rPr>
          <w:color w:val="231F20"/>
          <w:spacing w:val="-4"/>
        </w:rPr>
        <w:t>code</w:t>
      </w:r>
      <w:r>
        <w:rPr>
          <w:color w:val="231F20"/>
          <w:spacing w:val="-11"/>
        </w:rPr>
        <w:t> </w:t>
      </w:r>
      <w:r>
        <w:rPr>
          <w:color w:val="231F20"/>
          <w:spacing w:val="-4"/>
        </w:rPr>
        <w:t>électoral</w:t>
      </w:r>
      <w:r>
        <w:rPr>
          <w:color w:val="231F20"/>
        </w:rPr>
        <w:t> </w:t>
      </w:r>
      <w:r>
        <w:rPr>
          <w:color w:val="231F20"/>
          <w:spacing w:val="-4"/>
        </w:rPr>
        <w:t>:</w:t>
      </w:r>
      <w:r>
        <w:rPr>
          <w:color w:val="231F20"/>
          <w:spacing w:val="-8"/>
        </w:rPr>
        <w:t> </w:t>
      </w:r>
      <w:r>
        <w:rPr>
          <w:color w:val="231F20"/>
          <w:spacing w:val="-4"/>
        </w:rPr>
        <w:t>des</w:t>
      </w:r>
      <w:r>
        <w:rPr>
          <w:color w:val="231F20"/>
          <w:spacing w:val="-10"/>
        </w:rPr>
        <w:t> </w:t>
      </w:r>
      <w:r>
        <w:rPr>
          <w:color w:val="231F20"/>
          <w:spacing w:val="-4"/>
        </w:rPr>
        <w:t>marches</w:t>
      </w:r>
      <w:r>
        <w:rPr>
          <w:color w:val="231F20"/>
          <w:spacing w:val="-8"/>
        </w:rPr>
        <w:t> </w:t>
      </w:r>
      <w:r>
        <w:rPr>
          <w:color w:val="231F20"/>
          <w:spacing w:val="-4"/>
        </w:rPr>
        <w:t>et</w:t>
      </w:r>
      <w:r>
        <w:rPr>
          <w:color w:val="231F20"/>
          <w:spacing w:val="-8"/>
        </w:rPr>
        <w:t> </w:t>
      </w:r>
      <w:r>
        <w:rPr>
          <w:color w:val="231F20"/>
          <w:spacing w:val="-4"/>
        </w:rPr>
        <w:t>sit-in.</w:t>
      </w:r>
      <w:r>
        <w:rPr>
          <w:color w:val="231F20"/>
          <w:spacing w:val="-8"/>
        </w:rPr>
        <w:t> </w:t>
      </w:r>
      <w:r>
        <w:rPr>
          <w:color w:val="231F20"/>
          <w:spacing w:val="-4"/>
        </w:rPr>
        <w:t>Un</w:t>
      </w:r>
      <w:r>
        <w:rPr>
          <w:color w:val="231F20"/>
          <w:spacing w:val="-9"/>
        </w:rPr>
        <w:t> </w:t>
      </w:r>
      <w:r>
        <w:rPr>
          <w:color w:val="231F20"/>
          <w:spacing w:val="-4"/>
        </w:rPr>
        <w:t>décret</w:t>
      </w:r>
      <w:r>
        <w:rPr>
          <w:color w:val="231F20"/>
          <w:spacing w:val="-8"/>
        </w:rPr>
        <w:t> </w:t>
      </w:r>
      <w:r>
        <w:rPr>
          <w:color w:val="231F20"/>
          <w:spacing w:val="-4"/>
        </w:rPr>
        <w:t>est</w:t>
      </w:r>
      <w:r>
        <w:rPr>
          <w:color w:val="231F20"/>
          <w:spacing w:val="-9"/>
        </w:rPr>
        <w:t> </w:t>
      </w:r>
      <w:r>
        <w:rPr>
          <w:color w:val="231F20"/>
          <w:spacing w:val="-4"/>
        </w:rPr>
        <w:t>pris</w:t>
      </w:r>
      <w:r>
        <w:rPr>
          <w:color w:val="231F20"/>
          <w:spacing w:val="-10"/>
        </w:rPr>
        <w:t> </w:t>
      </w:r>
      <w:r>
        <w:rPr>
          <w:color w:val="231F20"/>
          <w:spacing w:val="-4"/>
        </w:rPr>
        <w:t>par</w:t>
      </w:r>
      <w:r>
        <w:rPr>
          <w:color w:val="231F20"/>
          <w:spacing w:val="-11"/>
        </w:rPr>
        <w:t> </w:t>
      </w:r>
      <w:r>
        <w:rPr>
          <w:color w:val="231F20"/>
          <w:spacing w:val="-4"/>
        </w:rPr>
        <w:t>le</w:t>
      </w:r>
      <w:r>
        <w:rPr>
          <w:color w:val="231F20"/>
          <w:spacing w:val="-8"/>
        </w:rPr>
        <w:t> </w:t>
      </w:r>
      <w:r>
        <w:rPr>
          <w:color w:val="231F20"/>
          <w:spacing w:val="-4"/>
        </w:rPr>
        <w:t>président </w:t>
      </w:r>
      <w:r>
        <w:rPr>
          <w:color w:val="231F20"/>
          <w:spacing w:val="-2"/>
        </w:rPr>
        <w:t>de</w:t>
      </w:r>
      <w:r>
        <w:rPr>
          <w:color w:val="231F20"/>
          <w:spacing w:val="-8"/>
        </w:rPr>
        <w:t> </w:t>
      </w:r>
      <w:r>
        <w:rPr>
          <w:color w:val="231F20"/>
          <w:spacing w:val="-2"/>
        </w:rPr>
        <w:t>la</w:t>
      </w:r>
      <w:r>
        <w:rPr>
          <w:color w:val="231F20"/>
          <w:spacing w:val="-8"/>
        </w:rPr>
        <w:t> </w:t>
      </w:r>
      <w:r>
        <w:rPr>
          <w:color w:val="231F20"/>
          <w:spacing w:val="-2"/>
        </w:rPr>
        <w:t>République</w:t>
      </w:r>
      <w:r>
        <w:rPr>
          <w:color w:val="231F20"/>
          <w:spacing w:val="-8"/>
        </w:rPr>
        <w:t> </w:t>
      </w:r>
      <w:r>
        <w:rPr>
          <w:color w:val="231F20"/>
          <w:spacing w:val="-2"/>
        </w:rPr>
        <w:t>pour</w:t>
      </w:r>
      <w:r>
        <w:rPr>
          <w:color w:val="231F20"/>
          <w:spacing w:val="-8"/>
        </w:rPr>
        <w:t> </w:t>
      </w:r>
      <w:r>
        <w:rPr>
          <w:color w:val="231F20"/>
          <w:spacing w:val="-2"/>
        </w:rPr>
        <w:t>interdire</w:t>
      </w:r>
      <w:r>
        <w:rPr>
          <w:color w:val="231F20"/>
          <w:spacing w:val="-8"/>
        </w:rPr>
        <w:t> </w:t>
      </w:r>
      <w:r>
        <w:rPr>
          <w:color w:val="231F20"/>
          <w:spacing w:val="-2"/>
        </w:rPr>
        <w:t>pendant</w:t>
      </w:r>
      <w:r>
        <w:rPr>
          <w:color w:val="231F20"/>
          <w:spacing w:val="-10"/>
        </w:rPr>
        <w:t> </w:t>
      </w:r>
      <w:r>
        <w:rPr>
          <w:color w:val="231F20"/>
          <w:spacing w:val="-2"/>
        </w:rPr>
        <w:t>trois</w:t>
      </w:r>
      <w:r>
        <w:rPr>
          <w:color w:val="231F20"/>
          <w:spacing w:val="-8"/>
        </w:rPr>
        <w:t> </w:t>
      </w:r>
      <w:r>
        <w:rPr>
          <w:color w:val="231F20"/>
          <w:spacing w:val="-2"/>
        </w:rPr>
        <w:t>mois</w:t>
      </w:r>
      <w:r>
        <w:rPr>
          <w:color w:val="231F20"/>
          <w:spacing w:val="-8"/>
        </w:rPr>
        <w:t> </w:t>
      </w:r>
      <w:r>
        <w:rPr>
          <w:color w:val="231F20"/>
          <w:spacing w:val="-2"/>
        </w:rPr>
        <w:t>les</w:t>
      </w:r>
      <w:r>
        <w:rPr>
          <w:color w:val="231F20"/>
          <w:spacing w:val="-8"/>
        </w:rPr>
        <w:t> </w:t>
      </w:r>
      <w:r>
        <w:rPr>
          <w:color w:val="231F20"/>
          <w:spacing w:val="-2"/>
        </w:rPr>
        <w:t>marches</w:t>
      </w:r>
      <w:r>
        <w:rPr>
          <w:color w:val="231F20"/>
          <w:spacing w:val="-9"/>
        </w:rPr>
        <w:t> </w:t>
      </w:r>
      <w:r>
        <w:rPr>
          <w:color w:val="231F20"/>
          <w:spacing w:val="-2"/>
        </w:rPr>
        <w:t>et</w:t>
      </w:r>
      <w:r>
        <w:rPr>
          <w:color w:val="231F20"/>
          <w:spacing w:val="-7"/>
        </w:rPr>
        <w:t> </w:t>
      </w:r>
      <w:r>
        <w:rPr>
          <w:color w:val="231F20"/>
          <w:spacing w:val="-2"/>
        </w:rPr>
        <w:t>''sit-in" </w:t>
      </w:r>
      <w:r>
        <w:rPr>
          <w:color w:val="231F20"/>
        </w:rPr>
        <w:t>dans</w:t>
      </w:r>
      <w:r>
        <w:rPr>
          <w:color w:val="231F20"/>
          <w:spacing w:val="-15"/>
        </w:rPr>
        <w:t> </w:t>
      </w:r>
      <w:r>
        <w:rPr>
          <w:color w:val="231F20"/>
        </w:rPr>
        <w:t>les</w:t>
      </w:r>
      <w:r>
        <w:rPr>
          <w:color w:val="231F20"/>
          <w:spacing w:val="-15"/>
        </w:rPr>
        <w:t> </w:t>
      </w:r>
      <w:r>
        <w:rPr>
          <w:color w:val="231F20"/>
        </w:rPr>
        <w:t>lieux</w:t>
      </w:r>
      <w:r>
        <w:rPr>
          <w:color w:val="231F20"/>
          <w:spacing w:val="-15"/>
        </w:rPr>
        <w:t> </w:t>
      </w:r>
      <w:r>
        <w:rPr>
          <w:color w:val="231F20"/>
        </w:rPr>
        <w:t>publics.</w:t>
      </w:r>
      <w:r>
        <w:rPr>
          <w:color w:val="231F20"/>
          <w:spacing w:val="-15"/>
        </w:rPr>
        <w:t> </w:t>
      </w:r>
      <w:r>
        <w:rPr>
          <w:color w:val="231F20"/>
        </w:rPr>
        <w:t>Le</w:t>
      </w:r>
      <w:r>
        <w:rPr>
          <w:color w:val="231F20"/>
          <w:spacing w:val="-15"/>
        </w:rPr>
        <w:t> </w:t>
      </w:r>
      <w:r>
        <w:rPr>
          <w:color w:val="231F20"/>
        </w:rPr>
        <w:t>Front</w:t>
      </w:r>
      <w:r>
        <w:rPr>
          <w:color w:val="231F20"/>
          <w:spacing w:val="-15"/>
        </w:rPr>
        <w:t> </w:t>
      </w:r>
      <w:r>
        <w:rPr>
          <w:color w:val="231F20"/>
        </w:rPr>
        <w:t>républicain</w:t>
      </w:r>
      <w:r>
        <w:rPr>
          <w:color w:val="231F20"/>
          <w:spacing w:val="-15"/>
        </w:rPr>
        <w:t> </w:t>
      </w:r>
      <w:r>
        <w:rPr>
          <w:color w:val="231F20"/>
        </w:rPr>
        <w:t>brave</w:t>
      </w:r>
      <w:r>
        <w:rPr>
          <w:color w:val="231F20"/>
          <w:spacing w:val="-15"/>
        </w:rPr>
        <w:t> </w:t>
      </w:r>
      <w:r>
        <w:rPr>
          <w:color w:val="231F20"/>
        </w:rPr>
        <w:t>le</w:t>
      </w:r>
      <w:r>
        <w:rPr>
          <w:color w:val="231F20"/>
          <w:spacing w:val="-15"/>
        </w:rPr>
        <w:t> </w:t>
      </w:r>
      <w:r>
        <w:rPr>
          <w:color w:val="231F20"/>
        </w:rPr>
        <w:t>décret</w:t>
      </w:r>
      <w:r>
        <w:rPr>
          <w:color w:val="231F20"/>
          <w:spacing w:val="-15"/>
        </w:rPr>
        <w:t> </w:t>
      </w:r>
      <w:r>
        <w:rPr>
          <w:color w:val="231F20"/>
        </w:rPr>
        <w:t>et</w:t>
      </w:r>
      <w:r>
        <w:rPr>
          <w:color w:val="231F20"/>
          <w:spacing w:val="-15"/>
        </w:rPr>
        <w:t> </w:t>
      </w:r>
      <w:r>
        <w:rPr>
          <w:color w:val="231F20"/>
        </w:rPr>
        <w:t>fait</w:t>
      </w:r>
      <w:r>
        <w:rPr>
          <w:color w:val="231F20"/>
          <w:spacing w:val="-15"/>
        </w:rPr>
        <w:t> </w:t>
      </w:r>
      <w:r>
        <w:rPr>
          <w:color w:val="231F20"/>
        </w:rPr>
        <w:t>appel</w:t>
      </w:r>
      <w:r>
        <w:rPr>
          <w:color w:val="231F20"/>
          <w:spacing w:val="-15"/>
        </w:rPr>
        <w:t> </w:t>
      </w:r>
      <w:r>
        <w:rPr>
          <w:color w:val="231F20"/>
        </w:rPr>
        <w:t>à </w:t>
      </w:r>
      <w:r>
        <w:rPr>
          <w:color w:val="231F20"/>
          <w:spacing w:val="-2"/>
        </w:rPr>
        <w:t>une</w:t>
      </w:r>
      <w:r>
        <w:rPr>
          <w:color w:val="231F20"/>
          <w:spacing w:val="-13"/>
        </w:rPr>
        <w:t> </w:t>
      </w:r>
      <w:r>
        <w:rPr>
          <w:color w:val="231F20"/>
          <w:spacing w:val="-2"/>
        </w:rPr>
        <w:t>marche</w:t>
      </w:r>
      <w:r>
        <w:rPr>
          <w:color w:val="231F20"/>
          <w:spacing w:val="-13"/>
        </w:rPr>
        <w:t> </w:t>
      </w:r>
      <w:r>
        <w:rPr>
          <w:color w:val="231F20"/>
          <w:spacing w:val="-2"/>
        </w:rPr>
        <w:t>de</w:t>
      </w:r>
      <w:r>
        <w:rPr>
          <w:color w:val="231F20"/>
          <w:spacing w:val="-13"/>
        </w:rPr>
        <w:t> </w:t>
      </w:r>
      <w:r>
        <w:rPr>
          <w:color w:val="231F20"/>
          <w:spacing w:val="-2"/>
        </w:rPr>
        <w:t>protestation</w:t>
      </w:r>
      <w:r>
        <w:rPr>
          <w:color w:val="231F20"/>
          <w:spacing w:val="-13"/>
        </w:rPr>
        <w:t> </w:t>
      </w:r>
      <w:r>
        <w:rPr>
          <w:color w:val="231F20"/>
          <w:spacing w:val="-2"/>
        </w:rPr>
        <w:t>contre</w:t>
      </w:r>
      <w:r>
        <w:rPr>
          <w:color w:val="231F20"/>
          <w:spacing w:val="-13"/>
        </w:rPr>
        <w:t> </w:t>
      </w:r>
      <w:r>
        <w:rPr>
          <w:color w:val="231F20"/>
          <w:spacing w:val="-2"/>
        </w:rPr>
        <w:t>le</w:t>
      </w:r>
      <w:r>
        <w:rPr>
          <w:color w:val="231F20"/>
          <w:spacing w:val="-13"/>
        </w:rPr>
        <w:t> </w:t>
      </w:r>
      <w:r>
        <w:rPr>
          <w:color w:val="231F20"/>
          <w:spacing w:val="-2"/>
        </w:rPr>
        <w:t>code</w:t>
      </w:r>
      <w:r>
        <w:rPr>
          <w:color w:val="231F20"/>
          <w:spacing w:val="-12"/>
        </w:rPr>
        <w:t> </w:t>
      </w:r>
      <w:r>
        <w:rPr>
          <w:color w:val="231F20"/>
          <w:spacing w:val="-2"/>
        </w:rPr>
        <w:t>électoral,</w:t>
      </w:r>
      <w:r>
        <w:rPr>
          <w:color w:val="231F20"/>
          <w:spacing w:val="-13"/>
        </w:rPr>
        <w:t> </w:t>
      </w:r>
      <w:r>
        <w:rPr>
          <w:color w:val="231F20"/>
          <w:spacing w:val="-2"/>
        </w:rPr>
        <w:t>le</w:t>
      </w:r>
      <w:r>
        <w:rPr>
          <w:color w:val="231F20"/>
          <w:spacing w:val="-12"/>
        </w:rPr>
        <w:t> </w:t>
      </w:r>
      <w:r>
        <w:rPr>
          <w:color w:val="231F20"/>
          <w:spacing w:val="-2"/>
        </w:rPr>
        <w:t>2</w:t>
      </w:r>
      <w:r>
        <w:rPr>
          <w:color w:val="231F20"/>
          <w:spacing w:val="-13"/>
        </w:rPr>
        <w:t> </w:t>
      </w:r>
      <w:r>
        <w:rPr>
          <w:color w:val="231F20"/>
          <w:spacing w:val="-2"/>
        </w:rPr>
        <w:t>octobre</w:t>
      </w:r>
      <w:r>
        <w:rPr>
          <w:color w:val="231F20"/>
          <w:spacing w:val="-12"/>
        </w:rPr>
        <w:t> </w:t>
      </w:r>
      <w:r>
        <w:rPr>
          <w:color w:val="231F20"/>
          <w:spacing w:val="-2"/>
        </w:rPr>
        <w:t>1995.</w:t>
      </w:r>
      <w:r>
        <w:rPr>
          <w:color w:val="231F20"/>
          <w:spacing w:val="-13"/>
        </w:rPr>
        <w:t> </w:t>
      </w:r>
      <w:r>
        <w:rPr>
          <w:color w:val="231F20"/>
          <w:spacing w:val="-2"/>
        </w:rPr>
        <w:t>La </w:t>
      </w:r>
      <w:r>
        <w:rPr>
          <w:color w:val="231F20"/>
        </w:rPr>
        <w:t>marche se termine par de violents affrontements entre manifestants et forces</w:t>
      </w:r>
      <w:r>
        <w:rPr>
          <w:color w:val="231F20"/>
          <w:spacing w:val="29"/>
        </w:rPr>
        <w:t> </w:t>
      </w:r>
      <w:r>
        <w:rPr>
          <w:color w:val="231F20"/>
        </w:rPr>
        <w:t>de</w:t>
      </w:r>
      <w:r>
        <w:rPr>
          <w:color w:val="231F20"/>
          <w:spacing w:val="30"/>
        </w:rPr>
        <w:t> </w:t>
      </w:r>
      <w:r>
        <w:rPr>
          <w:color w:val="231F20"/>
        </w:rPr>
        <w:t>l'ordre</w:t>
      </w:r>
      <w:r>
        <w:rPr>
          <w:color w:val="231F20"/>
          <w:spacing w:val="29"/>
        </w:rPr>
        <w:t> </w:t>
      </w:r>
      <w:r>
        <w:rPr>
          <w:color w:val="231F20"/>
        </w:rPr>
        <w:t>dans</w:t>
      </w:r>
      <w:r>
        <w:rPr>
          <w:color w:val="231F20"/>
          <w:spacing w:val="31"/>
        </w:rPr>
        <w:t> </w:t>
      </w:r>
      <w:r>
        <w:rPr>
          <w:color w:val="231F20"/>
        </w:rPr>
        <w:t>les</w:t>
      </w:r>
      <w:r>
        <w:rPr>
          <w:color w:val="231F20"/>
          <w:spacing w:val="31"/>
        </w:rPr>
        <w:t> </w:t>
      </w:r>
      <w:r>
        <w:rPr>
          <w:color w:val="231F20"/>
        </w:rPr>
        <w:t>principales</w:t>
      </w:r>
      <w:r>
        <w:rPr>
          <w:color w:val="231F20"/>
          <w:spacing w:val="30"/>
        </w:rPr>
        <w:t> </w:t>
      </w:r>
      <w:r>
        <w:rPr>
          <w:color w:val="231F20"/>
        </w:rPr>
        <w:t>villes</w:t>
      </w:r>
      <w:r>
        <w:rPr>
          <w:color w:val="231F20"/>
          <w:spacing w:val="30"/>
        </w:rPr>
        <w:t> </w:t>
      </w:r>
      <w:r>
        <w:rPr>
          <w:color w:val="231F20"/>
        </w:rPr>
        <w:t>du</w:t>
      </w:r>
      <w:r>
        <w:rPr>
          <w:color w:val="231F20"/>
          <w:spacing w:val="28"/>
        </w:rPr>
        <w:t> </w:t>
      </w:r>
      <w:r>
        <w:rPr>
          <w:color w:val="231F20"/>
        </w:rPr>
        <w:t>pays.</w:t>
      </w:r>
      <w:r>
        <w:rPr>
          <w:color w:val="231F20"/>
          <w:spacing w:val="29"/>
        </w:rPr>
        <w:t> </w:t>
      </w:r>
      <w:r>
        <w:rPr>
          <w:color w:val="231F20"/>
        </w:rPr>
        <w:t>Le</w:t>
      </w:r>
      <w:r>
        <w:rPr>
          <w:color w:val="231F20"/>
          <w:spacing w:val="30"/>
        </w:rPr>
        <w:t> </w:t>
      </w:r>
      <w:r>
        <w:rPr>
          <w:color w:val="231F20"/>
        </w:rPr>
        <w:t>bilan</w:t>
      </w:r>
      <w:r>
        <w:rPr>
          <w:color w:val="231F20"/>
          <w:spacing w:val="27"/>
        </w:rPr>
        <w:t> </w:t>
      </w:r>
      <w:r>
        <w:rPr>
          <w:color w:val="231F20"/>
        </w:rPr>
        <w:t>de</w:t>
      </w:r>
      <w:r>
        <w:rPr>
          <w:color w:val="231F20"/>
          <w:spacing w:val="30"/>
        </w:rPr>
        <w:t> </w:t>
      </w:r>
      <w:r>
        <w:rPr>
          <w:color w:val="231F20"/>
          <w:spacing w:val="-5"/>
        </w:rPr>
        <w:t>ces</w:t>
      </w:r>
    </w:p>
    <w:p>
      <w:pPr>
        <w:pStyle w:val="BodyText"/>
        <w:ind w:left="0"/>
        <w:jc w:val="left"/>
        <w:rPr>
          <w:sz w:val="20"/>
        </w:rPr>
      </w:pPr>
    </w:p>
    <w:p>
      <w:pPr>
        <w:pStyle w:val="BodyText"/>
        <w:spacing w:before="146"/>
        <w:ind w:left="0"/>
        <w:jc w:val="left"/>
        <w:rPr>
          <w:sz w:val="20"/>
        </w:rPr>
      </w:pPr>
      <w:r>
        <w:rPr/>
        <mc:AlternateContent>
          <mc:Choice Requires="wps">
            <w:drawing>
              <wp:anchor distT="0" distB="0" distL="0" distR="0" allowOverlap="1" layoutInCell="1" locked="0" behindDoc="1" simplePos="0" relativeHeight="487636480">
                <wp:simplePos x="0" y="0"/>
                <wp:positionH relativeFrom="page">
                  <wp:posOffset>629907</wp:posOffset>
                </wp:positionH>
                <wp:positionV relativeFrom="paragraph">
                  <wp:posOffset>254380</wp:posOffset>
                </wp:positionV>
                <wp:extent cx="1829435" cy="9525"/>
                <wp:effectExtent l="0" t="0" r="0" b="0"/>
                <wp:wrapTopAndBottom/>
                <wp:docPr id="124" name="Graphic 124"/>
                <wp:cNvGraphicFramePr>
                  <a:graphicFrameLocks/>
                </wp:cNvGraphicFramePr>
                <a:graphic>
                  <a:graphicData uri="http://schemas.microsoft.com/office/word/2010/wordprocessingShape">
                    <wps:wsp>
                      <wps:cNvPr id="124" name="Graphic 124"/>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029961pt;width:144.020pt;height:.72pt;mso-position-horizontal-relative:page;mso-position-vertical-relative:paragraph;z-index:-15680000;mso-wrap-distance-left:0;mso-wrap-distance-right:0" id="docshape122" filled="true" fillcolor="#231f20" stroked="false">
                <v:fill type="solid"/>
                <w10:wrap type="topAndBottom"/>
              </v:rect>
            </w:pict>
          </mc:Fallback>
        </mc:AlternateContent>
      </w:r>
    </w:p>
    <w:p>
      <w:pPr>
        <w:spacing w:before="91"/>
        <w:ind w:left="111" w:right="105" w:firstLine="0"/>
        <w:jc w:val="both"/>
        <w:rPr>
          <w:sz w:val="20"/>
        </w:rPr>
      </w:pPr>
      <w:r>
        <w:rPr>
          <w:color w:val="76787A"/>
          <w:spacing w:val="-2"/>
          <w:sz w:val="20"/>
          <w:vertAlign w:val="superscript"/>
        </w:rPr>
        <w:t>155</w:t>
      </w:r>
      <w:r>
        <w:rPr>
          <w:color w:val="231F20"/>
          <w:spacing w:val="-2"/>
          <w:sz w:val="20"/>
          <w:vertAlign w:val="baseline"/>
        </w:rPr>
        <w:t>Article</w:t>
      </w:r>
      <w:r>
        <w:rPr>
          <w:color w:val="231F20"/>
          <w:spacing w:val="-11"/>
          <w:sz w:val="20"/>
          <w:vertAlign w:val="baseline"/>
        </w:rPr>
        <w:t> </w:t>
      </w:r>
      <w:r>
        <w:rPr>
          <w:color w:val="231F20"/>
          <w:spacing w:val="-2"/>
          <w:sz w:val="20"/>
          <w:vertAlign w:val="baseline"/>
        </w:rPr>
        <w:t>35</w:t>
      </w:r>
      <w:r>
        <w:rPr>
          <w:color w:val="231F20"/>
          <w:spacing w:val="-10"/>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candidat</w:t>
      </w:r>
      <w:r>
        <w:rPr>
          <w:color w:val="231F20"/>
          <w:spacing w:val="-10"/>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l’élection</w:t>
      </w:r>
      <w:r>
        <w:rPr>
          <w:color w:val="231F20"/>
          <w:spacing w:val="-9"/>
          <w:sz w:val="20"/>
          <w:vertAlign w:val="baseline"/>
        </w:rPr>
        <w:t> </w:t>
      </w:r>
      <w:r>
        <w:rPr>
          <w:color w:val="231F20"/>
          <w:spacing w:val="-2"/>
          <w:sz w:val="20"/>
          <w:vertAlign w:val="baseline"/>
        </w:rPr>
        <w:t>présidentielle</w:t>
      </w:r>
      <w:r>
        <w:rPr>
          <w:color w:val="231F20"/>
          <w:spacing w:val="-10"/>
          <w:sz w:val="20"/>
          <w:vertAlign w:val="baseline"/>
        </w:rPr>
        <w:t> </w:t>
      </w:r>
      <w:r>
        <w:rPr>
          <w:color w:val="231F20"/>
          <w:spacing w:val="-2"/>
          <w:sz w:val="20"/>
          <w:vertAlign w:val="baseline"/>
        </w:rPr>
        <w:t>(…)</w:t>
      </w:r>
      <w:r>
        <w:rPr>
          <w:color w:val="231F20"/>
          <w:spacing w:val="-9"/>
          <w:sz w:val="20"/>
          <w:vertAlign w:val="baseline"/>
        </w:rPr>
        <w:t> </w:t>
      </w:r>
      <w:r>
        <w:rPr>
          <w:color w:val="231F20"/>
          <w:spacing w:val="-2"/>
          <w:sz w:val="20"/>
          <w:vertAlign w:val="baseline"/>
        </w:rPr>
        <w:t>doit</w:t>
      </w:r>
      <w:r>
        <w:rPr>
          <w:color w:val="231F20"/>
          <w:spacing w:val="-10"/>
          <w:sz w:val="20"/>
          <w:vertAlign w:val="baseline"/>
        </w:rPr>
        <w:t> </w:t>
      </w:r>
      <w:r>
        <w:rPr>
          <w:color w:val="231F20"/>
          <w:spacing w:val="-2"/>
          <w:sz w:val="20"/>
          <w:vertAlign w:val="baseline"/>
        </w:rPr>
        <w:t>être</w:t>
      </w:r>
      <w:r>
        <w:rPr>
          <w:color w:val="231F20"/>
          <w:spacing w:val="-7"/>
          <w:sz w:val="20"/>
          <w:vertAlign w:val="baseline"/>
        </w:rPr>
        <w:t> </w:t>
      </w:r>
      <w:r>
        <w:rPr>
          <w:color w:val="231F20"/>
          <w:spacing w:val="-2"/>
          <w:sz w:val="20"/>
          <w:vertAlign w:val="baseline"/>
        </w:rPr>
        <w:t>ivoirien</w:t>
      </w:r>
      <w:r>
        <w:rPr>
          <w:color w:val="231F20"/>
          <w:spacing w:val="-9"/>
          <w:sz w:val="20"/>
          <w:vertAlign w:val="baseline"/>
        </w:rPr>
        <w:t> </w:t>
      </w:r>
      <w:r>
        <w:rPr>
          <w:color w:val="231F20"/>
          <w:spacing w:val="-2"/>
          <w:sz w:val="20"/>
          <w:vertAlign w:val="baseline"/>
        </w:rPr>
        <w:t>d’origine, né</w:t>
      </w:r>
      <w:r>
        <w:rPr>
          <w:color w:val="231F20"/>
          <w:spacing w:val="-6"/>
          <w:sz w:val="20"/>
          <w:vertAlign w:val="baseline"/>
        </w:rPr>
        <w:t> </w:t>
      </w:r>
      <w:r>
        <w:rPr>
          <w:color w:val="231F20"/>
          <w:spacing w:val="-2"/>
          <w:sz w:val="20"/>
          <w:vertAlign w:val="baseline"/>
        </w:rPr>
        <w:t>de</w:t>
      </w:r>
      <w:r>
        <w:rPr>
          <w:color w:val="231F20"/>
          <w:spacing w:val="-9"/>
          <w:sz w:val="20"/>
          <w:vertAlign w:val="baseline"/>
        </w:rPr>
        <w:t> </w:t>
      </w:r>
      <w:r>
        <w:rPr>
          <w:color w:val="231F20"/>
          <w:spacing w:val="-2"/>
          <w:sz w:val="20"/>
          <w:vertAlign w:val="baseline"/>
        </w:rPr>
        <w:t>père</w:t>
      </w:r>
      <w:r>
        <w:rPr>
          <w:color w:val="231F20"/>
          <w:spacing w:val="-6"/>
          <w:sz w:val="20"/>
          <w:vertAlign w:val="baseline"/>
        </w:rPr>
        <w:t> </w:t>
      </w:r>
      <w:r>
        <w:rPr>
          <w:color w:val="231F20"/>
          <w:spacing w:val="-2"/>
          <w:sz w:val="20"/>
          <w:vertAlign w:val="baseline"/>
        </w:rPr>
        <w:t>et</w:t>
      </w:r>
      <w:r>
        <w:rPr>
          <w:color w:val="231F20"/>
          <w:spacing w:val="-6"/>
          <w:sz w:val="20"/>
          <w:vertAlign w:val="baseline"/>
        </w:rPr>
        <w:t> </w:t>
      </w:r>
      <w:r>
        <w:rPr>
          <w:color w:val="231F20"/>
          <w:spacing w:val="-2"/>
          <w:sz w:val="20"/>
          <w:vertAlign w:val="baseline"/>
        </w:rPr>
        <w:t>de</w:t>
      </w:r>
      <w:r>
        <w:rPr>
          <w:color w:val="231F20"/>
          <w:spacing w:val="-6"/>
          <w:sz w:val="20"/>
          <w:vertAlign w:val="baseline"/>
        </w:rPr>
        <w:t> </w:t>
      </w:r>
      <w:r>
        <w:rPr>
          <w:color w:val="231F20"/>
          <w:spacing w:val="-2"/>
          <w:sz w:val="20"/>
          <w:vertAlign w:val="baseline"/>
        </w:rPr>
        <w:t>mère</w:t>
      </w:r>
      <w:r>
        <w:rPr>
          <w:color w:val="231F20"/>
          <w:spacing w:val="-6"/>
          <w:sz w:val="20"/>
          <w:vertAlign w:val="baseline"/>
        </w:rPr>
        <w:t> </w:t>
      </w:r>
      <w:r>
        <w:rPr>
          <w:color w:val="231F20"/>
          <w:spacing w:val="-2"/>
          <w:sz w:val="20"/>
          <w:vertAlign w:val="baseline"/>
        </w:rPr>
        <w:t>eux-mêmes</w:t>
      </w:r>
      <w:r>
        <w:rPr>
          <w:color w:val="231F20"/>
          <w:spacing w:val="-5"/>
          <w:sz w:val="20"/>
          <w:vertAlign w:val="baseline"/>
        </w:rPr>
        <w:t> </w:t>
      </w:r>
      <w:r>
        <w:rPr>
          <w:color w:val="231F20"/>
          <w:spacing w:val="-2"/>
          <w:sz w:val="20"/>
          <w:vertAlign w:val="baseline"/>
        </w:rPr>
        <w:t>ivoiriens</w:t>
      </w:r>
      <w:r>
        <w:rPr>
          <w:color w:val="231F20"/>
          <w:spacing w:val="-8"/>
          <w:sz w:val="20"/>
          <w:vertAlign w:val="baseline"/>
        </w:rPr>
        <w:t> </w:t>
      </w:r>
      <w:r>
        <w:rPr>
          <w:color w:val="231F20"/>
          <w:spacing w:val="-2"/>
          <w:sz w:val="20"/>
          <w:vertAlign w:val="baseline"/>
        </w:rPr>
        <w:t>d’origine.</w:t>
      </w:r>
      <w:r>
        <w:rPr>
          <w:color w:val="231F20"/>
          <w:spacing w:val="-8"/>
          <w:sz w:val="20"/>
          <w:vertAlign w:val="baseline"/>
        </w:rPr>
        <w:t> </w:t>
      </w:r>
      <w:r>
        <w:rPr>
          <w:color w:val="231F20"/>
          <w:spacing w:val="-2"/>
          <w:sz w:val="20"/>
          <w:vertAlign w:val="baseline"/>
        </w:rPr>
        <w:t>Il</w:t>
      </w:r>
      <w:r>
        <w:rPr>
          <w:color w:val="231F20"/>
          <w:spacing w:val="-7"/>
          <w:sz w:val="20"/>
          <w:vertAlign w:val="baseline"/>
        </w:rPr>
        <w:t> </w:t>
      </w:r>
      <w:r>
        <w:rPr>
          <w:color w:val="231F20"/>
          <w:spacing w:val="-2"/>
          <w:sz w:val="20"/>
          <w:vertAlign w:val="baseline"/>
        </w:rPr>
        <w:t>doit</w:t>
      </w:r>
      <w:r>
        <w:rPr>
          <w:color w:val="231F20"/>
          <w:spacing w:val="-7"/>
          <w:sz w:val="20"/>
          <w:vertAlign w:val="baseline"/>
        </w:rPr>
        <w:t> </w:t>
      </w:r>
      <w:r>
        <w:rPr>
          <w:color w:val="231F20"/>
          <w:spacing w:val="-2"/>
          <w:sz w:val="20"/>
          <w:vertAlign w:val="baseline"/>
        </w:rPr>
        <w:t>n’avoir</w:t>
      </w:r>
      <w:r>
        <w:rPr>
          <w:color w:val="231F20"/>
          <w:spacing w:val="-6"/>
          <w:sz w:val="20"/>
          <w:vertAlign w:val="baseline"/>
        </w:rPr>
        <w:t> </w:t>
      </w:r>
      <w:r>
        <w:rPr>
          <w:color w:val="231F20"/>
          <w:spacing w:val="-2"/>
          <w:sz w:val="20"/>
          <w:vertAlign w:val="baseline"/>
        </w:rPr>
        <w:t>jamais</w:t>
      </w:r>
      <w:r>
        <w:rPr>
          <w:color w:val="231F20"/>
          <w:spacing w:val="-8"/>
          <w:sz w:val="20"/>
          <w:vertAlign w:val="baseline"/>
        </w:rPr>
        <w:t> </w:t>
      </w:r>
      <w:r>
        <w:rPr>
          <w:color w:val="231F20"/>
          <w:spacing w:val="-2"/>
          <w:sz w:val="20"/>
          <w:vertAlign w:val="baseline"/>
        </w:rPr>
        <w:t>renoncé</w:t>
      </w:r>
      <w:r>
        <w:rPr>
          <w:color w:val="231F20"/>
          <w:spacing w:val="-6"/>
          <w:sz w:val="20"/>
          <w:vertAlign w:val="baseline"/>
        </w:rPr>
        <w:t> </w:t>
      </w:r>
      <w:r>
        <w:rPr>
          <w:color w:val="231F20"/>
          <w:spacing w:val="-2"/>
          <w:sz w:val="20"/>
          <w:vertAlign w:val="baseline"/>
        </w:rPr>
        <w:t>à</w:t>
      </w:r>
      <w:r>
        <w:rPr>
          <w:color w:val="231F20"/>
          <w:spacing w:val="-6"/>
          <w:sz w:val="20"/>
          <w:vertAlign w:val="baseline"/>
        </w:rPr>
        <w:t> </w:t>
      </w:r>
      <w:r>
        <w:rPr>
          <w:color w:val="231F20"/>
          <w:spacing w:val="-2"/>
          <w:sz w:val="20"/>
          <w:vertAlign w:val="baseline"/>
        </w:rPr>
        <w:t>la </w:t>
      </w:r>
      <w:r>
        <w:rPr>
          <w:color w:val="231F20"/>
          <w:spacing w:val="-4"/>
          <w:sz w:val="20"/>
          <w:vertAlign w:val="baseline"/>
        </w:rPr>
        <w:t>nationalité ivoirienne.</w:t>
      </w:r>
      <w:r>
        <w:rPr>
          <w:color w:val="231F20"/>
          <w:spacing w:val="-5"/>
          <w:sz w:val="20"/>
          <w:vertAlign w:val="baseline"/>
        </w:rPr>
        <w:t> </w:t>
      </w:r>
      <w:r>
        <w:rPr>
          <w:color w:val="231F20"/>
          <w:spacing w:val="-4"/>
          <w:sz w:val="20"/>
          <w:vertAlign w:val="baseline"/>
        </w:rPr>
        <w:t>Il ne</w:t>
      </w:r>
      <w:r>
        <w:rPr>
          <w:color w:val="231F20"/>
          <w:spacing w:val="-5"/>
          <w:sz w:val="20"/>
          <w:vertAlign w:val="baseline"/>
        </w:rPr>
        <w:t> </w:t>
      </w:r>
      <w:r>
        <w:rPr>
          <w:color w:val="231F20"/>
          <w:spacing w:val="-4"/>
          <w:sz w:val="20"/>
          <w:vertAlign w:val="baseline"/>
        </w:rPr>
        <w:t>doit</w:t>
      </w:r>
      <w:r>
        <w:rPr>
          <w:color w:val="231F20"/>
          <w:spacing w:val="-5"/>
          <w:sz w:val="20"/>
          <w:vertAlign w:val="baseline"/>
        </w:rPr>
        <w:t> </w:t>
      </w:r>
      <w:r>
        <w:rPr>
          <w:color w:val="231F20"/>
          <w:spacing w:val="-4"/>
          <w:sz w:val="20"/>
          <w:vertAlign w:val="baseline"/>
        </w:rPr>
        <w:t>s’être</w:t>
      </w:r>
      <w:r>
        <w:rPr>
          <w:color w:val="231F20"/>
          <w:spacing w:val="-5"/>
          <w:sz w:val="20"/>
          <w:vertAlign w:val="baseline"/>
        </w:rPr>
        <w:t> </w:t>
      </w:r>
      <w:r>
        <w:rPr>
          <w:color w:val="231F20"/>
          <w:spacing w:val="-4"/>
          <w:sz w:val="20"/>
          <w:vertAlign w:val="baseline"/>
        </w:rPr>
        <w:t>jamais prévalu d’une autre nationalité. Il</w:t>
      </w:r>
      <w:r>
        <w:rPr>
          <w:color w:val="231F20"/>
          <w:spacing w:val="-5"/>
          <w:sz w:val="20"/>
          <w:vertAlign w:val="baseline"/>
        </w:rPr>
        <w:t> </w:t>
      </w:r>
      <w:r>
        <w:rPr>
          <w:color w:val="231F20"/>
          <w:spacing w:val="-4"/>
          <w:sz w:val="20"/>
          <w:vertAlign w:val="baseline"/>
        </w:rPr>
        <w:t>doit avoir </w:t>
      </w:r>
      <w:r>
        <w:rPr>
          <w:color w:val="231F20"/>
          <w:sz w:val="20"/>
          <w:vertAlign w:val="baseline"/>
        </w:rPr>
        <w:t>résidé en Côte d’Ivoire de façon continue pendant cinq années précédant la date des élections et avoir totalisé dix ans de présence effective. L’obligation de résidence indiquée au présent article ne s’applique pas aux membres des représentations </w:t>
      </w:r>
      <w:r>
        <w:rPr>
          <w:color w:val="231F20"/>
          <w:spacing w:val="-2"/>
          <w:sz w:val="20"/>
          <w:vertAlign w:val="baseline"/>
        </w:rPr>
        <w:t>diplomatiques</w:t>
      </w:r>
      <w:r>
        <w:rPr>
          <w:color w:val="231F20"/>
          <w:spacing w:val="-5"/>
          <w:sz w:val="20"/>
          <w:vertAlign w:val="baseline"/>
        </w:rPr>
        <w:t> </w:t>
      </w:r>
      <w:r>
        <w:rPr>
          <w:color w:val="231F20"/>
          <w:spacing w:val="-2"/>
          <w:sz w:val="20"/>
          <w:vertAlign w:val="baseline"/>
        </w:rPr>
        <w:t>et</w:t>
      </w:r>
      <w:r>
        <w:rPr>
          <w:color w:val="231F20"/>
          <w:spacing w:val="-4"/>
          <w:sz w:val="20"/>
          <w:vertAlign w:val="baseline"/>
        </w:rPr>
        <w:t> </w:t>
      </w:r>
      <w:r>
        <w:rPr>
          <w:color w:val="231F20"/>
          <w:spacing w:val="-2"/>
          <w:sz w:val="20"/>
          <w:vertAlign w:val="baseline"/>
        </w:rPr>
        <w:t>consulaires,</w:t>
      </w:r>
      <w:r>
        <w:rPr>
          <w:color w:val="231F20"/>
          <w:spacing w:val="-3"/>
          <w:sz w:val="20"/>
          <w:vertAlign w:val="baseline"/>
        </w:rPr>
        <w:t> </w:t>
      </w:r>
      <w:r>
        <w:rPr>
          <w:color w:val="231F20"/>
          <w:spacing w:val="-2"/>
          <w:sz w:val="20"/>
          <w:vertAlign w:val="baseline"/>
        </w:rPr>
        <w:t>aux</w:t>
      </w:r>
      <w:r>
        <w:rPr>
          <w:color w:val="231F20"/>
          <w:spacing w:val="-5"/>
          <w:sz w:val="20"/>
          <w:vertAlign w:val="baseline"/>
        </w:rPr>
        <w:t> </w:t>
      </w:r>
      <w:r>
        <w:rPr>
          <w:color w:val="231F20"/>
          <w:spacing w:val="-2"/>
          <w:sz w:val="20"/>
          <w:vertAlign w:val="baseline"/>
        </w:rPr>
        <w:t>personnes</w:t>
      </w:r>
      <w:r>
        <w:rPr>
          <w:color w:val="231F20"/>
          <w:spacing w:val="-5"/>
          <w:sz w:val="20"/>
          <w:vertAlign w:val="baseline"/>
        </w:rPr>
        <w:t> </w:t>
      </w:r>
      <w:r>
        <w:rPr>
          <w:color w:val="231F20"/>
          <w:spacing w:val="-2"/>
          <w:sz w:val="20"/>
          <w:vertAlign w:val="baseline"/>
        </w:rPr>
        <w:t>désignées</w:t>
      </w:r>
      <w:r>
        <w:rPr>
          <w:color w:val="231F20"/>
          <w:spacing w:val="-5"/>
          <w:sz w:val="20"/>
          <w:vertAlign w:val="baseline"/>
        </w:rPr>
        <w:t> </w:t>
      </w:r>
      <w:r>
        <w:rPr>
          <w:color w:val="231F20"/>
          <w:spacing w:val="-2"/>
          <w:sz w:val="20"/>
          <w:vertAlign w:val="baseline"/>
        </w:rPr>
        <w:t>par</w:t>
      </w:r>
      <w:r>
        <w:rPr>
          <w:color w:val="231F20"/>
          <w:spacing w:val="-3"/>
          <w:sz w:val="20"/>
          <w:vertAlign w:val="baseline"/>
        </w:rPr>
        <w:t> </w:t>
      </w:r>
      <w:r>
        <w:rPr>
          <w:color w:val="231F20"/>
          <w:spacing w:val="-2"/>
          <w:sz w:val="20"/>
          <w:vertAlign w:val="baseline"/>
        </w:rPr>
        <w:t>l’État</w:t>
      </w:r>
      <w:r>
        <w:rPr>
          <w:color w:val="231F20"/>
          <w:spacing w:val="-4"/>
          <w:sz w:val="20"/>
          <w:vertAlign w:val="baseline"/>
        </w:rPr>
        <w:t> </w:t>
      </w:r>
      <w:r>
        <w:rPr>
          <w:color w:val="231F20"/>
          <w:spacing w:val="-2"/>
          <w:sz w:val="20"/>
          <w:vertAlign w:val="baseline"/>
        </w:rPr>
        <w:t>pour</w:t>
      </w:r>
      <w:r>
        <w:rPr>
          <w:color w:val="231F20"/>
          <w:spacing w:val="-5"/>
          <w:sz w:val="20"/>
          <w:vertAlign w:val="baseline"/>
        </w:rPr>
        <w:t> </w:t>
      </w:r>
      <w:r>
        <w:rPr>
          <w:color w:val="231F20"/>
          <w:spacing w:val="-2"/>
          <w:sz w:val="20"/>
          <w:vertAlign w:val="baseline"/>
        </w:rPr>
        <w:t>occuper</w:t>
      </w:r>
      <w:r>
        <w:rPr>
          <w:color w:val="231F20"/>
          <w:spacing w:val="-5"/>
          <w:sz w:val="20"/>
          <w:vertAlign w:val="baseline"/>
        </w:rPr>
        <w:t> </w:t>
      </w:r>
      <w:r>
        <w:rPr>
          <w:color w:val="231F20"/>
          <w:spacing w:val="-2"/>
          <w:sz w:val="20"/>
          <w:vertAlign w:val="baseline"/>
        </w:rPr>
        <w:t>un</w:t>
      </w:r>
      <w:r>
        <w:rPr>
          <w:color w:val="231F20"/>
          <w:spacing w:val="-5"/>
          <w:sz w:val="20"/>
          <w:vertAlign w:val="baseline"/>
        </w:rPr>
        <w:t> </w:t>
      </w:r>
      <w:r>
        <w:rPr>
          <w:color w:val="231F20"/>
          <w:spacing w:val="-2"/>
          <w:sz w:val="20"/>
          <w:vertAlign w:val="baseline"/>
        </w:rPr>
        <w:t>poste </w:t>
      </w:r>
      <w:r>
        <w:rPr>
          <w:color w:val="231F20"/>
          <w:sz w:val="20"/>
          <w:vertAlign w:val="baseline"/>
        </w:rPr>
        <w:t>ou</w:t>
      </w:r>
      <w:r>
        <w:rPr>
          <w:color w:val="231F20"/>
          <w:spacing w:val="-8"/>
          <w:sz w:val="20"/>
          <w:vertAlign w:val="baseline"/>
        </w:rPr>
        <w:t> </w:t>
      </w:r>
      <w:r>
        <w:rPr>
          <w:color w:val="231F20"/>
          <w:sz w:val="20"/>
          <w:vertAlign w:val="baseline"/>
        </w:rPr>
        <w:t>accomplir</w:t>
      </w:r>
      <w:r>
        <w:rPr>
          <w:color w:val="231F20"/>
          <w:spacing w:val="-10"/>
          <w:sz w:val="20"/>
          <w:vertAlign w:val="baseline"/>
        </w:rPr>
        <w:t> </w:t>
      </w:r>
      <w:r>
        <w:rPr>
          <w:color w:val="231F20"/>
          <w:sz w:val="20"/>
          <w:vertAlign w:val="baseline"/>
        </w:rPr>
        <w:t>une</w:t>
      </w:r>
      <w:r>
        <w:rPr>
          <w:color w:val="231F20"/>
          <w:spacing w:val="-8"/>
          <w:sz w:val="20"/>
          <w:vertAlign w:val="baseline"/>
        </w:rPr>
        <w:t> </w:t>
      </w:r>
      <w:r>
        <w:rPr>
          <w:color w:val="231F20"/>
          <w:sz w:val="20"/>
          <w:vertAlign w:val="baseline"/>
        </w:rPr>
        <w:t>mission</w:t>
      </w:r>
      <w:r>
        <w:rPr>
          <w:color w:val="231F20"/>
          <w:spacing w:val="-8"/>
          <w:sz w:val="20"/>
          <w:vertAlign w:val="baseline"/>
        </w:rPr>
        <w:t> </w:t>
      </w:r>
      <w:r>
        <w:rPr>
          <w:color w:val="231F20"/>
          <w:sz w:val="20"/>
          <w:vertAlign w:val="baseline"/>
        </w:rPr>
        <w:t>à</w:t>
      </w:r>
      <w:r>
        <w:rPr>
          <w:color w:val="231F20"/>
          <w:spacing w:val="-8"/>
          <w:sz w:val="20"/>
          <w:vertAlign w:val="baseline"/>
        </w:rPr>
        <w:t> </w:t>
      </w:r>
      <w:r>
        <w:rPr>
          <w:color w:val="231F20"/>
          <w:sz w:val="20"/>
          <w:vertAlign w:val="baseline"/>
        </w:rPr>
        <w:t>l’étranger,</w:t>
      </w:r>
      <w:r>
        <w:rPr>
          <w:color w:val="231F20"/>
          <w:spacing w:val="-10"/>
          <w:sz w:val="20"/>
          <w:vertAlign w:val="baseline"/>
        </w:rPr>
        <w:t> </w:t>
      </w:r>
      <w:r>
        <w:rPr>
          <w:color w:val="231F20"/>
          <w:sz w:val="20"/>
          <w:vertAlign w:val="baseline"/>
        </w:rPr>
        <w:t>aux</w:t>
      </w:r>
      <w:r>
        <w:rPr>
          <w:color w:val="231F20"/>
          <w:spacing w:val="-8"/>
          <w:sz w:val="20"/>
          <w:vertAlign w:val="baseline"/>
        </w:rPr>
        <w:t> </w:t>
      </w:r>
      <w:r>
        <w:rPr>
          <w:color w:val="231F20"/>
          <w:sz w:val="20"/>
          <w:vertAlign w:val="baseline"/>
        </w:rPr>
        <w:t>fonctionnaires</w:t>
      </w:r>
      <w:r>
        <w:rPr>
          <w:color w:val="231F20"/>
          <w:spacing w:val="-10"/>
          <w:sz w:val="20"/>
          <w:vertAlign w:val="baseline"/>
        </w:rPr>
        <w:t> </w:t>
      </w:r>
      <w:r>
        <w:rPr>
          <w:color w:val="231F20"/>
          <w:sz w:val="20"/>
          <w:vertAlign w:val="baseline"/>
        </w:rPr>
        <w:t>internationaux</w:t>
      </w:r>
      <w:r>
        <w:rPr>
          <w:color w:val="231F20"/>
          <w:spacing w:val="-10"/>
          <w:sz w:val="20"/>
          <w:vertAlign w:val="baseline"/>
        </w:rPr>
        <w:t> </w:t>
      </w:r>
      <w:r>
        <w:rPr>
          <w:color w:val="231F20"/>
          <w:sz w:val="20"/>
          <w:vertAlign w:val="baseline"/>
        </w:rPr>
        <w:t>et</w:t>
      </w:r>
      <w:r>
        <w:rPr>
          <w:color w:val="231F20"/>
          <w:spacing w:val="-8"/>
          <w:sz w:val="20"/>
          <w:vertAlign w:val="baseline"/>
        </w:rPr>
        <w:t> </w:t>
      </w:r>
      <w:r>
        <w:rPr>
          <w:color w:val="231F20"/>
          <w:sz w:val="20"/>
          <w:vertAlign w:val="baseline"/>
        </w:rPr>
        <w:t>aux</w:t>
      </w:r>
      <w:r>
        <w:rPr>
          <w:color w:val="231F20"/>
          <w:spacing w:val="-10"/>
          <w:sz w:val="20"/>
          <w:vertAlign w:val="baseline"/>
        </w:rPr>
        <w:t> </w:t>
      </w:r>
      <w:r>
        <w:rPr>
          <w:color w:val="231F20"/>
          <w:sz w:val="20"/>
          <w:vertAlign w:val="baseline"/>
        </w:rPr>
        <w:t>exilés politiques</w:t>
      </w:r>
      <w:r>
        <w:rPr>
          <w:color w:val="231F20"/>
          <w:spacing w:val="-5"/>
          <w:sz w:val="20"/>
          <w:vertAlign w:val="baseline"/>
        </w:rPr>
        <w:t> </w:t>
      </w:r>
      <w:r>
        <w:rPr>
          <w:color w:val="231F20"/>
          <w:sz w:val="20"/>
          <w:vertAlign w:val="baseline"/>
        </w:rPr>
        <w:t>(…).</w:t>
      </w:r>
    </w:p>
    <w:p>
      <w:pPr>
        <w:spacing w:after="0"/>
        <w:jc w:val="both"/>
        <w:rPr>
          <w:sz w:val="20"/>
        </w:rPr>
        <w:sectPr>
          <w:pgSz w:w="8790" w:h="13610"/>
          <w:pgMar w:header="0" w:footer="802" w:top="1060" w:bottom="1000" w:left="880" w:right="880"/>
        </w:sectPr>
      </w:pPr>
    </w:p>
    <w:p>
      <w:pPr>
        <w:pStyle w:val="BodyText"/>
        <w:spacing w:before="66"/>
        <w:ind w:right="106"/>
      </w:pPr>
      <w:r>
        <w:rPr>
          <w:color w:val="231F20"/>
        </w:rPr>
        <w:t>manifestations est officiellement de 5 morts, de nombreux blessés et d'importants dégâts matériels.</w:t>
      </w:r>
    </w:p>
    <w:p>
      <w:pPr>
        <w:spacing w:before="120"/>
        <w:ind w:left="111" w:right="103" w:firstLine="283"/>
        <w:jc w:val="both"/>
        <w:rPr>
          <w:i/>
          <w:sz w:val="24"/>
        </w:rPr>
      </w:pPr>
      <w:r>
        <w:rPr>
          <w:color w:val="231F20"/>
          <w:sz w:val="24"/>
        </w:rPr>
        <w:t>Mais ces manifestations violentes ne font pas reculer Henri Konan Bédié qui affirme lors d'une rencontre qualifiée de "dialogue avec les partis d'opposition” : </w:t>
      </w:r>
      <w:r>
        <w:rPr>
          <w:i/>
          <w:color w:val="231F20"/>
          <w:sz w:val="24"/>
        </w:rPr>
        <w:t>« je ne reviendrai pas sur le code électoral. Les</w:t>
      </w:r>
      <w:r>
        <w:rPr>
          <w:i/>
          <w:color w:val="231F20"/>
          <w:sz w:val="24"/>
        </w:rPr>
        <w:t> échéances</w:t>
      </w:r>
      <w:r>
        <w:rPr>
          <w:i/>
          <w:color w:val="231F20"/>
          <w:spacing w:val="-15"/>
          <w:sz w:val="24"/>
        </w:rPr>
        <w:t> </w:t>
      </w:r>
      <w:r>
        <w:rPr>
          <w:i/>
          <w:color w:val="231F20"/>
          <w:sz w:val="24"/>
        </w:rPr>
        <w:t>électorales</w:t>
      </w:r>
      <w:r>
        <w:rPr>
          <w:i/>
          <w:color w:val="231F20"/>
          <w:spacing w:val="-15"/>
          <w:sz w:val="24"/>
        </w:rPr>
        <w:t> </w:t>
      </w:r>
      <w:r>
        <w:rPr>
          <w:i/>
          <w:color w:val="231F20"/>
          <w:sz w:val="24"/>
        </w:rPr>
        <w:t>sont</w:t>
      </w:r>
      <w:r>
        <w:rPr>
          <w:i/>
          <w:color w:val="231F20"/>
          <w:spacing w:val="-15"/>
          <w:sz w:val="24"/>
        </w:rPr>
        <w:t> </w:t>
      </w:r>
      <w:r>
        <w:rPr>
          <w:i/>
          <w:color w:val="231F20"/>
          <w:sz w:val="24"/>
        </w:rPr>
        <w:t>fixées</w:t>
      </w:r>
      <w:r>
        <w:rPr>
          <w:i/>
          <w:color w:val="231F20"/>
          <w:spacing w:val="-15"/>
          <w:sz w:val="24"/>
        </w:rPr>
        <w:t> </w:t>
      </w:r>
      <w:r>
        <w:rPr>
          <w:i/>
          <w:color w:val="231F20"/>
          <w:sz w:val="24"/>
        </w:rPr>
        <w:t>constitutionnellement.</w:t>
      </w:r>
      <w:r>
        <w:rPr>
          <w:i/>
          <w:color w:val="231F20"/>
          <w:spacing w:val="-15"/>
          <w:sz w:val="24"/>
        </w:rPr>
        <w:t> </w:t>
      </w:r>
      <w:r>
        <w:rPr>
          <w:i/>
          <w:color w:val="231F20"/>
          <w:sz w:val="24"/>
        </w:rPr>
        <w:t>II</w:t>
      </w:r>
      <w:r>
        <w:rPr>
          <w:i/>
          <w:color w:val="231F20"/>
          <w:spacing w:val="-15"/>
          <w:sz w:val="24"/>
        </w:rPr>
        <w:t> </w:t>
      </w:r>
      <w:r>
        <w:rPr>
          <w:i/>
          <w:color w:val="231F20"/>
          <w:sz w:val="24"/>
        </w:rPr>
        <w:t>n’y</w:t>
      </w:r>
      <w:r>
        <w:rPr>
          <w:i/>
          <w:color w:val="231F20"/>
          <w:spacing w:val="-15"/>
          <w:sz w:val="24"/>
        </w:rPr>
        <w:t> </w:t>
      </w:r>
      <w:r>
        <w:rPr>
          <w:i/>
          <w:color w:val="231F20"/>
          <w:sz w:val="24"/>
        </w:rPr>
        <w:t>a</w:t>
      </w:r>
      <w:r>
        <w:rPr>
          <w:i/>
          <w:color w:val="231F20"/>
          <w:spacing w:val="-15"/>
          <w:sz w:val="24"/>
        </w:rPr>
        <w:t> </w:t>
      </w:r>
      <w:r>
        <w:rPr>
          <w:i/>
          <w:color w:val="231F20"/>
          <w:sz w:val="24"/>
        </w:rPr>
        <w:t>pas</w:t>
      </w:r>
      <w:r>
        <w:rPr>
          <w:i/>
          <w:color w:val="231F20"/>
          <w:spacing w:val="-15"/>
          <w:sz w:val="24"/>
        </w:rPr>
        <w:t> </w:t>
      </w:r>
      <w:r>
        <w:rPr>
          <w:i/>
          <w:color w:val="231F20"/>
          <w:sz w:val="24"/>
        </w:rPr>
        <w:t>lieu </w:t>
      </w:r>
      <w:r>
        <w:rPr>
          <w:i/>
          <w:color w:val="231F20"/>
          <w:spacing w:val="-4"/>
          <w:sz w:val="24"/>
        </w:rPr>
        <w:t>de</w:t>
      </w:r>
      <w:r>
        <w:rPr>
          <w:i/>
          <w:color w:val="231F20"/>
          <w:spacing w:val="-6"/>
          <w:sz w:val="24"/>
        </w:rPr>
        <w:t> </w:t>
      </w:r>
      <w:r>
        <w:rPr>
          <w:i/>
          <w:color w:val="231F20"/>
          <w:spacing w:val="-4"/>
          <w:sz w:val="24"/>
        </w:rPr>
        <w:t>le</w:t>
      </w:r>
      <w:r>
        <w:rPr>
          <w:i/>
          <w:color w:val="231F20"/>
          <w:spacing w:val="-9"/>
          <w:sz w:val="24"/>
        </w:rPr>
        <w:t> </w:t>
      </w:r>
      <w:r>
        <w:rPr>
          <w:i/>
          <w:color w:val="231F20"/>
          <w:spacing w:val="-4"/>
          <w:sz w:val="24"/>
        </w:rPr>
        <w:t>retirer.</w:t>
      </w:r>
      <w:r>
        <w:rPr>
          <w:i/>
          <w:color w:val="231F20"/>
          <w:spacing w:val="-8"/>
          <w:sz w:val="24"/>
        </w:rPr>
        <w:t> </w:t>
      </w:r>
      <w:r>
        <w:rPr>
          <w:i/>
          <w:color w:val="231F20"/>
          <w:spacing w:val="-4"/>
          <w:sz w:val="24"/>
        </w:rPr>
        <w:t>»</w:t>
      </w:r>
      <w:r>
        <w:rPr>
          <w:i/>
          <w:color w:val="231F20"/>
          <w:spacing w:val="-9"/>
          <w:sz w:val="24"/>
        </w:rPr>
        <w:t> </w:t>
      </w:r>
      <w:r>
        <w:rPr>
          <w:color w:val="231F20"/>
          <w:spacing w:val="-4"/>
          <w:sz w:val="24"/>
        </w:rPr>
        <w:t>Laurent</w:t>
      </w:r>
      <w:r>
        <w:rPr>
          <w:color w:val="231F20"/>
          <w:spacing w:val="-6"/>
          <w:sz w:val="24"/>
        </w:rPr>
        <w:t> </w:t>
      </w:r>
      <w:r>
        <w:rPr>
          <w:color w:val="231F20"/>
          <w:spacing w:val="-4"/>
          <w:sz w:val="24"/>
        </w:rPr>
        <w:t>Gbagbo</w:t>
      </w:r>
      <w:r>
        <w:rPr>
          <w:color w:val="231F20"/>
          <w:spacing w:val="-6"/>
          <w:sz w:val="24"/>
        </w:rPr>
        <w:t> </w:t>
      </w:r>
      <w:r>
        <w:rPr>
          <w:color w:val="231F20"/>
          <w:spacing w:val="-4"/>
          <w:sz w:val="24"/>
        </w:rPr>
        <w:t>à</w:t>
      </w:r>
      <w:r>
        <w:rPr>
          <w:color w:val="231F20"/>
          <w:spacing w:val="-9"/>
          <w:sz w:val="24"/>
        </w:rPr>
        <w:t> </w:t>
      </w:r>
      <w:r>
        <w:rPr>
          <w:color w:val="231F20"/>
          <w:spacing w:val="-4"/>
          <w:sz w:val="24"/>
        </w:rPr>
        <w:t>la</w:t>
      </w:r>
      <w:r>
        <w:rPr>
          <w:color w:val="231F20"/>
          <w:spacing w:val="-8"/>
          <w:sz w:val="24"/>
        </w:rPr>
        <w:t> </w:t>
      </w:r>
      <w:r>
        <w:rPr>
          <w:color w:val="231F20"/>
          <w:spacing w:val="-4"/>
          <w:sz w:val="24"/>
        </w:rPr>
        <w:t>Convention</w:t>
      </w:r>
      <w:r>
        <w:rPr>
          <w:color w:val="231F20"/>
          <w:spacing w:val="-8"/>
          <w:sz w:val="24"/>
        </w:rPr>
        <w:t> </w:t>
      </w:r>
      <w:r>
        <w:rPr>
          <w:color w:val="231F20"/>
          <w:spacing w:val="-4"/>
          <w:sz w:val="24"/>
        </w:rPr>
        <w:t>extraordinaire</w:t>
      </w:r>
      <w:r>
        <w:rPr>
          <w:color w:val="231F20"/>
          <w:spacing w:val="-9"/>
          <w:sz w:val="24"/>
        </w:rPr>
        <w:t> </w:t>
      </w:r>
      <w:r>
        <w:rPr>
          <w:color w:val="231F20"/>
          <w:spacing w:val="-4"/>
          <w:sz w:val="24"/>
        </w:rPr>
        <w:t>convoquée </w:t>
      </w:r>
      <w:r>
        <w:rPr>
          <w:color w:val="231F20"/>
          <w:sz w:val="24"/>
        </w:rPr>
        <w:t>par le FPI, le 9 octobre, réplique : </w:t>
      </w:r>
      <w:r>
        <w:rPr>
          <w:i/>
          <w:color w:val="231F20"/>
          <w:sz w:val="24"/>
        </w:rPr>
        <w:t>« ils ont produit un code électoral</w:t>
      </w:r>
      <w:r>
        <w:rPr>
          <w:i/>
          <w:color w:val="231F20"/>
          <w:sz w:val="24"/>
        </w:rPr>
        <w:t> xénophobe. Partout où une loi est mauvaise, les citoyens ont le devoir sacré de lutter contre elle. »</w:t>
      </w:r>
    </w:p>
    <w:p>
      <w:pPr>
        <w:pStyle w:val="BodyText"/>
        <w:spacing w:before="121"/>
        <w:ind w:right="105" w:firstLine="283"/>
      </w:pPr>
      <w:r>
        <w:rPr>
          <w:color w:val="231F20"/>
        </w:rPr>
        <w:t>Les</w:t>
      </w:r>
      <w:r>
        <w:rPr>
          <w:color w:val="231F20"/>
          <w:spacing w:val="-15"/>
        </w:rPr>
        <w:t> </w:t>
      </w:r>
      <w:r>
        <w:rPr>
          <w:color w:val="231F20"/>
        </w:rPr>
        <w:t>16</w:t>
      </w:r>
      <w:r>
        <w:rPr>
          <w:color w:val="231F20"/>
          <w:spacing w:val="-15"/>
        </w:rPr>
        <w:t> </w:t>
      </w:r>
      <w:r>
        <w:rPr>
          <w:color w:val="231F20"/>
        </w:rPr>
        <w:t>et</w:t>
      </w:r>
      <w:r>
        <w:rPr>
          <w:color w:val="231F20"/>
          <w:spacing w:val="-15"/>
        </w:rPr>
        <w:t> </w:t>
      </w:r>
      <w:r>
        <w:rPr>
          <w:color w:val="231F20"/>
        </w:rPr>
        <w:t>17</w:t>
      </w:r>
      <w:r>
        <w:rPr>
          <w:color w:val="231F20"/>
          <w:spacing w:val="-15"/>
        </w:rPr>
        <w:t> </w:t>
      </w:r>
      <w:r>
        <w:rPr>
          <w:color w:val="231F20"/>
        </w:rPr>
        <w:t>octobre</w:t>
      </w:r>
      <w:r>
        <w:rPr>
          <w:color w:val="231F20"/>
          <w:spacing w:val="-15"/>
        </w:rPr>
        <w:t> </w:t>
      </w:r>
      <w:r>
        <w:rPr>
          <w:color w:val="231F20"/>
        </w:rPr>
        <w:t>de</w:t>
      </w:r>
      <w:r>
        <w:rPr>
          <w:color w:val="231F20"/>
          <w:spacing w:val="-15"/>
        </w:rPr>
        <w:t> </w:t>
      </w:r>
      <w:r>
        <w:rPr>
          <w:color w:val="231F20"/>
        </w:rPr>
        <w:t>nouvelles</w:t>
      </w:r>
      <w:r>
        <w:rPr>
          <w:color w:val="231F20"/>
          <w:spacing w:val="-15"/>
        </w:rPr>
        <w:t> </w:t>
      </w:r>
      <w:r>
        <w:rPr>
          <w:color w:val="231F20"/>
        </w:rPr>
        <w:t>manifestations</w:t>
      </w:r>
      <w:r>
        <w:rPr>
          <w:color w:val="231F20"/>
          <w:spacing w:val="-15"/>
        </w:rPr>
        <w:t> </w:t>
      </w:r>
      <w:r>
        <w:rPr>
          <w:color w:val="231F20"/>
        </w:rPr>
        <w:t>ont</w:t>
      </w:r>
      <w:r>
        <w:rPr>
          <w:color w:val="231F20"/>
          <w:spacing w:val="-15"/>
        </w:rPr>
        <w:t> </w:t>
      </w:r>
      <w:r>
        <w:rPr>
          <w:color w:val="231F20"/>
        </w:rPr>
        <w:t>lieu.</w:t>
      </w:r>
      <w:r>
        <w:rPr>
          <w:color w:val="231F20"/>
          <w:spacing w:val="-15"/>
        </w:rPr>
        <w:t> </w:t>
      </w:r>
      <w:r>
        <w:rPr>
          <w:color w:val="231F20"/>
        </w:rPr>
        <w:t>Encore</w:t>
      </w:r>
      <w:r>
        <w:rPr>
          <w:color w:val="231F20"/>
          <w:spacing w:val="-15"/>
        </w:rPr>
        <w:t> </w:t>
      </w:r>
      <w:r>
        <w:rPr>
          <w:color w:val="231F20"/>
        </w:rPr>
        <w:t>une fois,</w:t>
      </w:r>
      <w:r>
        <w:rPr>
          <w:color w:val="231F20"/>
          <w:spacing w:val="-10"/>
        </w:rPr>
        <w:t> </w:t>
      </w:r>
      <w:r>
        <w:rPr>
          <w:color w:val="231F20"/>
        </w:rPr>
        <w:t>les</w:t>
      </w:r>
      <w:r>
        <w:rPr>
          <w:color w:val="231F20"/>
          <w:spacing w:val="-9"/>
        </w:rPr>
        <w:t> </w:t>
      </w:r>
      <w:r>
        <w:rPr>
          <w:color w:val="231F20"/>
        </w:rPr>
        <w:t>manifestants</w:t>
      </w:r>
      <w:r>
        <w:rPr>
          <w:color w:val="231F20"/>
          <w:spacing w:val="-7"/>
        </w:rPr>
        <w:t> </w:t>
      </w:r>
      <w:r>
        <w:rPr>
          <w:color w:val="231F20"/>
        </w:rPr>
        <w:t>se</w:t>
      </w:r>
      <w:r>
        <w:rPr>
          <w:color w:val="231F20"/>
          <w:spacing w:val="-8"/>
        </w:rPr>
        <w:t> </w:t>
      </w:r>
      <w:r>
        <w:rPr>
          <w:color w:val="231F20"/>
        </w:rPr>
        <w:t>heurtent</w:t>
      </w:r>
      <w:r>
        <w:rPr>
          <w:color w:val="231F20"/>
          <w:spacing w:val="-8"/>
        </w:rPr>
        <w:t> </w:t>
      </w:r>
      <w:r>
        <w:rPr>
          <w:color w:val="231F20"/>
        </w:rPr>
        <w:t>aux</w:t>
      </w:r>
      <w:r>
        <w:rPr>
          <w:color w:val="231F20"/>
          <w:spacing w:val="-8"/>
        </w:rPr>
        <w:t> </w:t>
      </w:r>
      <w:r>
        <w:rPr>
          <w:color w:val="231F20"/>
        </w:rPr>
        <w:t>forces</w:t>
      </w:r>
      <w:r>
        <w:rPr>
          <w:color w:val="231F20"/>
          <w:spacing w:val="-8"/>
        </w:rPr>
        <w:t> </w:t>
      </w:r>
      <w:r>
        <w:rPr>
          <w:color w:val="231F20"/>
        </w:rPr>
        <w:t>de</w:t>
      </w:r>
      <w:r>
        <w:rPr>
          <w:color w:val="231F20"/>
          <w:spacing w:val="-9"/>
        </w:rPr>
        <w:t> </w:t>
      </w:r>
      <w:r>
        <w:rPr>
          <w:color w:val="231F20"/>
        </w:rPr>
        <w:t>l'ordre</w:t>
      </w:r>
      <w:r>
        <w:rPr>
          <w:color w:val="231F20"/>
          <w:spacing w:val="-15"/>
        </w:rPr>
        <w:t> </w:t>
      </w:r>
      <w:r>
        <w:rPr>
          <w:color w:val="231F20"/>
        </w:rPr>
        <w:t>:</w:t>
      </w:r>
      <w:r>
        <w:rPr>
          <w:color w:val="231F20"/>
          <w:spacing w:val="-8"/>
        </w:rPr>
        <w:t> </w:t>
      </w:r>
      <w:r>
        <w:rPr>
          <w:color w:val="231F20"/>
        </w:rPr>
        <w:t>trois</w:t>
      </w:r>
      <w:r>
        <w:rPr>
          <w:color w:val="231F20"/>
          <w:spacing w:val="-9"/>
        </w:rPr>
        <w:t> </w:t>
      </w:r>
      <w:r>
        <w:rPr>
          <w:color w:val="231F20"/>
        </w:rPr>
        <w:t>morts</w:t>
      </w:r>
      <w:r>
        <w:rPr>
          <w:color w:val="231F20"/>
          <w:spacing w:val="-7"/>
        </w:rPr>
        <w:t> </w:t>
      </w:r>
      <w:r>
        <w:rPr>
          <w:color w:val="231F20"/>
        </w:rPr>
        <w:t>et</w:t>
      </w:r>
      <w:r>
        <w:rPr>
          <w:color w:val="231F20"/>
          <w:spacing w:val="-9"/>
        </w:rPr>
        <w:t> </w:t>
      </w:r>
      <w:r>
        <w:rPr>
          <w:color w:val="231F20"/>
        </w:rPr>
        <w:t>de nombreux dégâts matériels.</w:t>
      </w:r>
    </w:p>
    <w:p>
      <w:pPr>
        <w:pStyle w:val="BodyText"/>
        <w:spacing w:before="120"/>
        <w:ind w:right="112" w:firstLine="283"/>
      </w:pPr>
      <w:r>
        <w:rPr>
          <w:color w:val="231F20"/>
        </w:rPr>
        <w:t>La campagne électorale enregistre une vingtaine de morts dans les rangs</w:t>
      </w:r>
      <w:r>
        <w:rPr>
          <w:color w:val="231F20"/>
          <w:spacing w:val="-6"/>
        </w:rPr>
        <w:t> </w:t>
      </w:r>
      <w:r>
        <w:rPr>
          <w:color w:val="231F20"/>
        </w:rPr>
        <w:t>des</w:t>
      </w:r>
      <w:r>
        <w:rPr>
          <w:color w:val="231F20"/>
          <w:spacing w:val="-8"/>
        </w:rPr>
        <w:t> </w:t>
      </w:r>
      <w:r>
        <w:rPr>
          <w:color w:val="231F20"/>
        </w:rPr>
        <w:t>partisans</w:t>
      </w:r>
      <w:r>
        <w:rPr>
          <w:color w:val="231F20"/>
          <w:spacing w:val="-8"/>
        </w:rPr>
        <w:t> </w:t>
      </w:r>
      <w:r>
        <w:rPr>
          <w:color w:val="231F20"/>
        </w:rPr>
        <w:t>PDCI,</w:t>
      </w:r>
      <w:r>
        <w:rPr>
          <w:color w:val="231F20"/>
          <w:spacing w:val="-6"/>
        </w:rPr>
        <w:t> </w:t>
      </w:r>
      <w:r>
        <w:rPr>
          <w:color w:val="231F20"/>
        </w:rPr>
        <w:t>principalement</w:t>
      </w:r>
      <w:r>
        <w:rPr>
          <w:color w:val="231F20"/>
          <w:spacing w:val="-5"/>
        </w:rPr>
        <w:t> </w:t>
      </w:r>
      <w:r>
        <w:rPr>
          <w:color w:val="231F20"/>
        </w:rPr>
        <w:t>à</w:t>
      </w:r>
      <w:r>
        <w:rPr>
          <w:color w:val="231F20"/>
          <w:spacing w:val="-6"/>
        </w:rPr>
        <w:t> </w:t>
      </w:r>
      <w:r>
        <w:rPr>
          <w:color w:val="231F20"/>
        </w:rPr>
        <w:t>Gagnoa,</w:t>
      </w:r>
      <w:r>
        <w:rPr>
          <w:color w:val="231F20"/>
          <w:spacing w:val="-5"/>
        </w:rPr>
        <w:t> </w:t>
      </w:r>
      <w:r>
        <w:rPr>
          <w:color w:val="231F20"/>
        </w:rPr>
        <w:t>fief</w:t>
      </w:r>
      <w:r>
        <w:rPr>
          <w:color w:val="231F20"/>
          <w:spacing w:val="-5"/>
        </w:rPr>
        <w:t> </w:t>
      </w:r>
      <w:r>
        <w:rPr>
          <w:color w:val="231F20"/>
        </w:rPr>
        <w:t>du</w:t>
      </w:r>
      <w:r>
        <w:rPr>
          <w:color w:val="231F20"/>
          <w:spacing w:val="-8"/>
        </w:rPr>
        <w:t> </w:t>
      </w:r>
      <w:r>
        <w:rPr>
          <w:color w:val="231F20"/>
        </w:rPr>
        <w:t>FPI.</w:t>
      </w:r>
    </w:p>
    <w:p>
      <w:pPr>
        <w:pStyle w:val="BodyText"/>
        <w:spacing w:before="120"/>
        <w:ind w:right="103" w:firstLine="283"/>
      </w:pPr>
      <w:r>
        <w:rPr>
          <w:color w:val="231F20"/>
        </w:rPr>
        <w:t>Le</w:t>
      </w:r>
      <w:r>
        <w:rPr>
          <w:color w:val="231F20"/>
          <w:spacing w:val="-9"/>
        </w:rPr>
        <w:t> </w:t>
      </w:r>
      <w:r>
        <w:rPr>
          <w:color w:val="231F20"/>
        </w:rPr>
        <w:t>jour</w:t>
      </w:r>
      <w:r>
        <w:rPr>
          <w:color w:val="231F20"/>
          <w:spacing w:val="-9"/>
        </w:rPr>
        <w:t> </w:t>
      </w:r>
      <w:r>
        <w:rPr>
          <w:color w:val="231F20"/>
        </w:rPr>
        <w:t>du</w:t>
      </w:r>
      <w:r>
        <w:rPr>
          <w:color w:val="231F20"/>
          <w:spacing w:val="-10"/>
        </w:rPr>
        <w:t> </w:t>
      </w:r>
      <w:r>
        <w:rPr>
          <w:color w:val="231F20"/>
        </w:rPr>
        <w:t>vote,</w:t>
      </w:r>
      <w:r>
        <w:rPr>
          <w:color w:val="231F20"/>
          <w:spacing w:val="-10"/>
        </w:rPr>
        <w:t> </w:t>
      </w:r>
      <w:r>
        <w:rPr>
          <w:color w:val="231F20"/>
        </w:rPr>
        <w:t>suivant</w:t>
      </w:r>
      <w:r>
        <w:rPr>
          <w:color w:val="231F20"/>
          <w:spacing w:val="-9"/>
        </w:rPr>
        <w:t> </w:t>
      </w:r>
      <w:r>
        <w:rPr>
          <w:color w:val="231F20"/>
        </w:rPr>
        <w:t>à</w:t>
      </w:r>
      <w:r>
        <w:rPr>
          <w:color w:val="231F20"/>
          <w:spacing w:val="-11"/>
        </w:rPr>
        <w:t> </w:t>
      </w:r>
      <w:r>
        <w:rPr>
          <w:color w:val="231F20"/>
        </w:rPr>
        <w:t>la</w:t>
      </w:r>
      <w:r>
        <w:rPr>
          <w:color w:val="231F20"/>
          <w:spacing w:val="-11"/>
        </w:rPr>
        <w:t> </w:t>
      </w:r>
      <w:r>
        <w:rPr>
          <w:color w:val="231F20"/>
        </w:rPr>
        <w:t>lettre</w:t>
      </w:r>
      <w:r>
        <w:rPr>
          <w:color w:val="231F20"/>
          <w:spacing w:val="-9"/>
        </w:rPr>
        <w:t> </w:t>
      </w:r>
      <w:r>
        <w:rPr>
          <w:color w:val="231F20"/>
        </w:rPr>
        <w:t>le</w:t>
      </w:r>
      <w:r>
        <w:rPr>
          <w:color w:val="231F20"/>
          <w:spacing w:val="-11"/>
        </w:rPr>
        <w:t> </w:t>
      </w:r>
      <w:r>
        <w:rPr>
          <w:color w:val="231F20"/>
        </w:rPr>
        <w:t>mot</w:t>
      </w:r>
      <w:r>
        <w:rPr>
          <w:color w:val="231F20"/>
          <w:spacing w:val="-10"/>
        </w:rPr>
        <w:t> </w:t>
      </w:r>
      <w:r>
        <w:rPr>
          <w:color w:val="231F20"/>
        </w:rPr>
        <w:t>d’ordre</w:t>
      </w:r>
      <w:r>
        <w:rPr>
          <w:color w:val="231F20"/>
          <w:spacing w:val="-11"/>
        </w:rPr>
        <w:t> </w:t>
      </w:r>
      <w:r>
        <w:rPr>
          <w:color w:val="231F20"/>
        </w:rPr>
        <w:t>de</w:t>
      </w:r>
      <w:r>
        <w:rPr>
          <w:color w:val="231F20"/>
          <w:spacing w:val="-9"/>
        </w:rPr>
        <w:t> </w:t>
      </w:r>
      <w:r>
        <w:rPr>
          <w:color w:val="231F20"/>
        </w:rPr>
        <w:t>l’opposition,</w:t>
      </w:r>
      <w:r>
        <w:rPr>
          <w:color w:val="231F20"/>
          <w:spacing w:val="-10"/>
        </w:rPr>
        <w:t> </w:t>
      </w:r>
      <w:r>
        <w:rPr>
          <w:color w:val="231F20"/>
        </w:rPr>
        <w:t>des </w:t>
      </w:r>
      <w:r>
        <w:rPr>
          <w:color w:val="231F20"/>
          <w:spacing w:val="-4"/>
        </w:rPr>
        <w:t>manifestants</w:t>
      </w:r>
      <w:r>
        <w:rPr>
          <w:color w:val="231F20"/>
          <w:spacing w:val="-8"/>
        </w:rPr>
        <w:t> </w:t>
      </w:r>
      <w:r>
        <w:rPr>
          <w:color w:val="231F20"/>
          <w:spacing w:val="-4"/>
        </w:rPr>
        <w:t>dans</w:t>
      </w:r>
      <w:r>
        <w:rPr>
          <w:color w:val="231F20"/>
          <w:spacing w:val="-8"/>
        </w:rPr>
        <w:t> </w:t>
      </w:r>
      <w:r>
        <w:rPr>
          <w:color w:val="231F20"/>
          <w:spacing w:val="-4"/>
        </w:rPr>
        <w:t>la</w:t>
      </w:r>
      <w:r>
        <w:rPr>
          <w:color w:val="231F20"/>
          <w:spacing w:val="-8"/>
        </w:rPr>
        <w:t> </w:t>
      </w:r>
      <w:r>
        <w:rPr>
          <w:color w:val="231F20"/>
          <w:spacing w:val="-4"/>
        </w:rPr>
        <w:t>région</w:t>
      </w:r>
      <w:r>
        <w:rPr>
          <w:color w:val="231F20"/>
          <w:spacing w:val="-8"/>
        </w:rPr>
        <w:t> </w:t>
      </w:r>
      <w:r>
        <w:rPr>
          <w:color w:val="231F20"/>
          <w:spacing w:val="-4"/>
        </w:rPr>
        <w:t>de</w:t>
      </w:r>
      <w:r>
        <w:rPr>
          <w:color w:val="231F20"/>
          <w:spacing w:val="-8"/>
        </w:rPr>
        <w:t> </w:t>
      </w:r>
      <w:r>
        <w:rPr>
          <w:color w:val="231F20"/>
          <w:spacing w:val="-4"/>
        </w:rPr>
        <w:t>Gagnoa</w:t>
      </w:r>
      <w:r>
        <w:rPr>
          <w:color w:val="231F20"/>
          <w:spacing w:val="-8"/>
        </w:rPr>
        <w:t> </w:t>
      </w:r>
      <w:r>
        <w:rPr>
          <w:color w:val="231F20"/>
          <w:spacing w:val="-4"/>
        </w:rPr>
        <w:t>abattent</w:t>
      </w:r>
      <w:r>
        <w:rPr>
          <w:color w:val="231F20"/>
          <w:spacing w:val="-7"/>
        </w:rPr>
        <w:t> </w:t>
      </w:r>
      <w:r>
        <w:rPr>
          <w:color w:val="231F20"/>
          <w:spacing w:val="-4"/>
        </w:rPr>
        <w:t>des</w:t>
      </w:r>
      <w:r>
        <w:rPr>
          <w:color w:val="231F20"/>
          <w:spacing w:val="-11"/>
        </w:rPr>
        <w:t> </w:t>
      </w:r>
      <w:r>
        <w:rPr>
          <w:color w:val="231F20"/>
          <w:spacing w:val="-4"/>
        </w:rPr>
        <w:t>arbres,</w:t>
      </w:r>
      <w:r>
        <w:rPr>
          <w:color w:val="231F20"/>
          <w:spacing w:val="-8"/>
        </w:rPr>
        <w:t> </w:t>
      </w:r>
      <w:r>
        <w:rPr>
          <w:color w:val="231F20"/>
          <w:spacing w:val="-4"/>
        </w:rPr>
        <w:t>multiplient</w:t>
      </w:r>
      <w:r>
        <w:rPr>
          <w:color w:val="231F20"/>
          <w:spacing w:val="-7"/>
        </w:rPr>
        <w:t> </w:t>
      </w:r>
      <w:r>
        <w:rPr>
          <w:color w:val="231F20"/>
          <w:spacing w:val="-4"/>
        </w:rPr>
        <w:t>des barrages</w:t>
      </w:r>
      <w:r>
        <w:rPr>
          <w:color w:val="231F20"/>
          <w:spacing w:val="-11"/>
        </w:rPr>
        <w:t> </w:t>
      </w:r>
      <w:r>
        <w:rPr>
          <w:color w:val="231F20"/>
          <w:spacing w:val="-4"/>
        </w:rPr>
        <w:t>et</w:t>
      </w:r>
      <w:r>
        <w:rPr>
          <w:color w:val="231F20"/>
          <w:spacing w:val="-9"/>
        </w:rPr>
        <w:t> </w:t>
      </w:r>
      <w:r>
        <w:rPr>
          <w:color w:val="231F20"/>
          <w:spacing w:val="-4"/>
        </w:rPr>
        <w:t>empêchent</w:t>
      </w:r>
      <w:r>
        <w:rPr>
          <w:color w:val="231F20"/>
          <w:spacing w:val="-10"/>
        </w:rPr>
        <w:t> </w:t>
      </w:r>
      <w:r>
        <w:rPr>
          <w:color w:val="231F20"/>
          <w:spacing w:val="-4"/>
        </w:rPr>
        <w:t>toute</w:t>
      </w:r>
      <w:r>
        <w:rPr>
          <w:color w:val="231F20"/>
          <w:spacing w:val="-10"/>
        </w:rPr>
        <w:t> </w:t>
      </w:r>
      <w:r>
        <w:rPr>
          <w:color w:val="231F20"/>
          <w:spacing w:val="-4"/>
        </w:rPr>
        <w:t>circulation,</w:t>
      </w:r>
      <w:r>
        <w:rPr>
          <w:color w:val="231F20"/>
          <w:spacing w:val="-10"/>
        </w:rPr>
        <w:t> </w:t>
      </w:r>
      <w:r>
        <w:rPr>
          <w:color w:val="231F20"/>
          <w:spacing w:val="-4"/>
        </w:rPr>
        <w:t>et,</w:t>
      </w:r>
      <w:r>
        <w:rPr>
          <w:color w:val="231F20"/>
          <w:spacing w:val="-10"/>
        </w:rPr>
        <w:t> </w:t>
      </w:r>
      <w:r>
        <w:rPr>
          <w:color w:val="231F20"/>
          <w:spacing w:val="-4"/>
        </w:rPr>
        <w:t>en</w:t>
      </w:r>
      <w:r>
        <w:rPr>
          <w:color w:val="231F20"/>
          <w:spacing w:val="-11"/>
        </w:rPr>
        <w:t> </w:t>
      </w:r>
      <w:r>
        <w:rPr>
          <w:color w:val="231F20"/>
          <w:spacing w:val="-4"/>
        </w:rPr>
        <w:t>particulier,</w:t>
      </w:r>
      <w:r>
        <w:rPr>
          <w:color w:val="231F20"/>
          <w:spacing w:val="-11"/>
        </w:rPr>
        <w:t> </w:t>
      </w:r>
      <w:r>
        <w:rPr>
          <w:color w:val="231F20"/>
          <w:spacing w:val="-4"/>
        </w:rPr>
        <w:t>l’acheminement du matériel électoral. Les</w:t>
      </w:r>
      <w:r>
        <w:rPr>
          <w:color w:val="231F20"/>
          <w:spacing w:val="-8"/>
        </w:rPr>
        <w:t> </w:t>
      </w:r>
      <w:r>
        <w:rPr>
          <w:color w:val="231F20"/>
          <w:spacing w:val="-4"/>
        </w:rPr>
        <w:t>sympathisants du</w:t>
      </w:r>
      <w:r>
        <w:rPr>
          <w:color w:val="231F20"/>
          <w:spacing w:val="-5"/>
        </w:rPr>
        <w:t> </w:t>
      </w:r>
      <w:r>
        <w:rPr>
          <w:color w:val="231F20"/>
          <w:spacing w:val="-4"/>
        </w:rPr>
        <w:t>Front</w:t>
      </w:r>
      <w:r>
        <w:rPr>
          <w:color w:val="231F20"/>
          <w:spacing w:val="-6"/>
        </w:rPr>
        <w:t> </w:t>
      </w:r>
      <w:r>
        <w:rPr>
          <w:color w:val="231F20"/>
          <w:spacing w:val="-4"/>
        </w:rPr>
        <w:t>Républicain réduisent à </w:t>
      </w:r>
      <w:r>
        <w:rPr>
          <w:color w:val="231F20"/>
        </w:rPr>
        <w:t>un périmètre autour de la préfecture, sécurisée par l’armée, l’unique espace</w:t>
      </w:r>
      <w:r>
        <w:rPr>
          <w:color w:val="231F20"/>
          <w:spacing w:val="-15"/>
        </w:rPr>
        <w:t> </w:t>
      </w:r>
      <w:r>
        <w:rPr>
          <w:color w:val="231F20"/>
        </w:rPr>
        <w:t>où</w:t>
      </w:r>
      <w:r>
        <w:rPr>
          <w:color w:val="231F20"/>
          <w:spacing w:val="-15"/>
        </w:rPr>
        <w:t> </w:t>
      </w:r>
      <w:r>
        <w:rPr>
          <w:color w:val="231F20"/>
        </w:rPr>
        <w:t>le</w:t>
      </w:r>
      <w:r>
        <w:rPr>
          <w:color w:val="231F20"/>
          <w:spacing w:val="-15"/>
        </w:rPr>
        <w:t> </w:t>
      </w:r>
      <w:r>
        <w:rPr>
          <w:color w:val="231F20"/>
        </w:rPr>
        <w:t>vote</w:t>
      </w:r>
      <w:r>
        <w:rPr>
          <w:color w:val="231F20"/>
          <w:spacing w:val="-15"/>
        </w:rPr>
        <w:t> </w:t>
      </w:r>
      <w:r>
        <w:rPr>
          <w:color w:val="231F20"/>
        </w:rPr>
        <w:t>pouvait</w:t>
      </w:r>
      <w:r>
        <w:rPr>
          <w:color w:val="231F20"/>
          <w:spacing w:val="-15"/>
        </w:rPr>
        <w:t> </w:t>
      </w:r>
      <w:r>
        <w:rPr>
          <w:color w:val="231F20"/>
        </w:rPr>
        <w:t>s’exercer</w:t>
      </w:r>
      <w:r>
        <w:rPr>
          <w:color w:val="231F20"/>
          <w:spacing w:val="-15"/>
        </w:rPr>
        <w:t> </w:t>
      </w:r>
      <w:r>
        <w:rPr>
          <w:color w:val="231F20"/>
        </w:rPr>
        <w:t>sur</w:t>
      </w:r>
      <w:r>
        <w:rPr>
          <w:color w:val="231F20"/>
          <w:spacing w:val="-15"/>
        </w:rPr>
        <w:t> </w:t>
      </w:r>
      <w:r>
        <w:rPr>
          <w:color w:val="231F20"/>
        </w:rPr>
        <w:t>la</w:t>
      </w:r>
      <w:r>
        <w:rPr>
          <w:color w:val="231F20"/>
          <w:spacing w:val="-15"/>
        </w:rPr>
        <w:t> </w:t>
      </w:r>
      <w:r>
        <w:rPr>
          <w:color w:val="231F20"/>
        </w:rPr>
        <w:t>soixantaine</w:t>
      </w:r>
      <w:r>
        <w:rPr>
          <w:color w:val="231F20"/>
          <w:spacing w:val="-15"/>
        </w:rPr>
        <w:t> </w:t>
      </w:r>
      <w:r>
        <w:rPr>
          <w:color w:val="231F20"/>
        </w:rPr>
        <w:t>de</w:t>
      </w:r>
      <w:r>
        <w:rPr>
          <w:color w:val="231F20"/>
          <w:spacing w:val="-15"/>
        </w:rPr>
        <w:t> </w:t>
      </w:r>
      <w:r>
        <w:rPr>
          <w:color w:val="231F20"/>
        </w:rPr>
        <w:t>bureaux</w:t>
      </w:r>
      <w:r>
        <w:rPr>
          <w:color w:val="231F20"/>
          <w:spacing w:val="-15"/>
        </w:rPr>
        <w:t> </w:t>
      </w:r>
      <w:r>
        <w:rPr>
          <w:color w:val="231F20"/>
        </w:rPr>
        <w:t>de</w:t>
      </w:r>
      <w:r>
        <w:rPr>
          <w:color w:val="231F20"/>
          <w:spacing w:val="-15"/>
        </w:rPr>
        <w:t> </w:t>
      </w:r>
      <w:r>
        <w:rPr>
          <w:color w:val="231F20"/>
        </w:rPr>
        <w:t>vote prévus.</w:t>
      </w:r>
      <w:r>
        <w:rPr>
          <w:color w:val="231F20"/>
          <w:spacing w:val="-11"/>
        </w:rPr>
        <w:t> </w:t>
      </w:r>
      <w:r>
        <w:rPr>
          <w:color w:val="231F20"/>
        </w:rPr>
        <w:t>Jusque</w:t>
      </w:r>
      <w:r>
        <w:rPr>
          <w:color w:val="231F20"/>
          <w:spacing w:val="-9"/>
        </w:rPr>
        <w:t> </w:t>
      </w:r>
      <w:r>
        <w:rPr>
          <w:color w:val="231F20"/>
        </w:rPr>
        <w:t>dans</w:t>
      </w:r>
      <w:r>
        <w:rPr>
          <w:color w:val="231F20"/>
          <w:spacing w:val="-10"/>
        </w:rPr>
        <w:t> </w:t>
      </w:r>
      <w:r>
        <w:rPr>
          <w:color w:val="231F20"/>
        </w:rPr>
        <w:t>les</w:t>
      </w:r>
      <w:r>
        <w:rPr>
          <w:color w:val="231F20"/>
          <w:spacing w:val="-10"/>
        </w:rPr>
        <w:t> </w:t>
      </w:r>
      <w:r>
        <w:rPr>
          <w:color w:val="231F20"/>
        </w:rPr>
        <w:t>villages,</w:t>
      </w:r>
      <w:r>
        <w:rPr>
          <w:color w:val="231F20"/>
          <w:spacing w:val="-10"/>
        </w:rPr>
        <w:t> </w:t>
      </w:r>
      <w:r>
        <w:rPr>
          <w:color w:val="231F20"/>
        </w:rPr>
        <w:t>l’agitation</w:t>
      </w:r>
      <w:r>
        <w:rPr>
          <w:color w:val="231F20"/>
          <w:spacing w:val="-9"/>
        </w:rPr>
        <w:t> </w:t>
      </w:r>
      <w:r>
        <w:rPr>
          <w:color w:val="231F20"/>
        </w:rPr>
        <w:t>est</w:t>
      </w:r>
      <w:r>
        <w:rPr>
          <w:color w:val="231F20"/>
          <w:spacing w:val="-10"/>
        </w:rPr>
        <w:t> </w:t>
      </w:r>
      <w:r>
        <w:rPr>
          <w:color w:val="231F20"/>
        </w:rPr>
        <w:t>très</w:t>
      </w:r>
      <w:r>
        <w:rPr>
          <w:color w:val="231F20"/>
          <w:spacing w:val="-10"/>
        </w:rPr>
        <w:t> </w:t>
      </w:r>
      <w:r>
        <w:rPr>
          <w:color w:val="231F20"/>
        </w:rPr>
        <w:t>forte,</w:t>
      </w:r>
      <w:r>
        <w:rPr>
          <w:color w:val="231F20"/>
          <w:spacing w:val="-9"/>
        </w:rPr>
        <w:t> </w:t>
      </w:r>
      <w:r>
        <w:rPr>
          <w:color w:val="231F20"/>
        </w:rPr>
        <w:t>attisée</w:t>
      </w:r>
      <w:r>
        <w:rPr>
          <w:color w:val="231F20"/>
          <w:spacing w:val="-9"/>
        </w:rPr>
        <w:t> </w:t>
      </w:r>
      <w:r>
        <w:rPr>
          <w:color w:val="231F20"/>
        </w:rPr>
        <w:t>par</w:t>
      </w:r>
      <w:r>
        <w:rPr>
          <w:color w:val="231F20"/>
          <w:spacing w:val="-11"/>
        </w:rPr>
        <w:t> </w:t>
      </w:r>
      <w:r>
        <w:rPr>
          <w:color w:val="231F20"/>
        </w:rPr>
        <w:t>des problèmes fonciers opposant les autochtones bétés </w:t>
      </w:r>
      <w:r>
        <w:rPr>
          <w:color w:val="231F20"/>
          <w:vertAlign w:val="superscript"/>
        </w:rPr>
        <w:t>156</w:t>
      </w:r>
      <w:r>
        <w:rPr>
          <w:color w:val="231F20"/>
          <w:vertAlign w:val="baseline"/>
        </w:rPr>
        <w:t> aux allogènes </w:t>
      </w:r>
      <w:r>
        <w:rPr>
          <w:color w:val="231F20"/>
          <w:spacing w:val="-2"/>
          <w:vertAlign w:val="baseline"/>
        </w:rPr>
        <w:t>baoulés</w:t>
      </w:r>
      <w:r>
        <w:rPr>
          <w:color w:val="231F20"/>
          <w:spacing w:val="-2"/>
          <w:vertAlign w:val="superscript"/>
        </w:rPr>
        <w:t>157</w:t>
      </w:r>
      <w:r>
        <w:rPr>
          <w:color w:val="231F20"/>
          <w:spacing w:val="-2"/>
          <w:vertAlign w:val="baseline"/>
        </w:rPr>
        <w:t>,</w:t>
      </w:r>
      <w:r>
        <w:rPr>
          <w:color w:val="231F20"/>
          <w:spacing w:val="-13"/>
          <w:vertAlign w:val="baseline"/>
        </w:rPr>
        <w:t> </w:t>
      </w:r>
      <w:r>
        <w:rPr>
          <w:color w:val="231F20"/>
          <w:spacing w:val="-2"/>
          <w:vertAlign w:val="baseline"/>
        </w:rPr>
        <w:t>l’ethnie</w:t>
      </w:r>
      <w:r>
        <w:rPr>
          <w:color w:val="231F20"/>
          <w:spacing w:val="-13"/>
          <w:vertAlign w:val="baseline"/>
        </w:rPr>
        <w:t> </w:t>
      </w:r>
      <w:r>
        <w:rPr>
          <w:color w:val="231F20"/>
          <w:spacing w:val="-2"/>
          <w:vertAlign w:val="baseline"/>
        </w:rPr>
        <w:t>du</w:t>
      </w:r>
      <w:r>
        <w:rPr>
          <w:color w:val="231F20"/>
          <w:spacing w:val="-13"/>
          <w:vertAlign w:val="baseline"/>
        </w:rPr>
        <w:t> </w:t>
      </w:r>
      <w:r>
        <w:rPr>
          <w:color w:val="231F20"/>
          <w:spacing w:val="-2"/>
          <w:vertAlign w:val="baseline"/>
        </w:rPr>
        <w:t>président</w:t>
      </w:r>
      <w:r>
        <w:rPr>
          <w:color w:val="231F20"/>
          <w:spacing w:val="-13"/>
          <w:vertAlign w:val="baseline"/>
        </w:rPr>
        <w:t> </w:t>
      </w:r>
      <w:r>
        <w:rPr>
          <w:color w:val="231F20"/>
          <w:spacing w:val="-2"/>
          <w:vertAlign w:val="baseline"/>
        </w:rPr>
        <w:t>Henri</w:t>
      </w:r>
      <w:r>
        <w:rPr>
          <w:color w:val="231F20"/>
          <w:spacing w:val="-13"/>
          <w:vertAlign w:val="baseline"/>
        </w:rPr>
        <w:t> </w:t>
      </w:r>
      <w:r>
        <w:rPr>
          <w:color w:val="231F20"/>
          <w:spacing w:val="-2"/>
          <w:vertAlign w:val="baseline"/>
        </w:rPr>
        <w:t>Konan</w:t>
      </w:r>
      <w:r>
        <w:rPr>
          <w:color w:val="231F20"/>
          <w:spacing w:val="-12"/>
          <w:vertAlign w:val="baseline"/>
        </w:rPr>
        <w:t> </w:t>
      </w:r>
      <w:r>
        <w:rPr>
          <w:color w:val="231F20"/>
          <w:spacing w:val="-2"/>
          <w:vertAlign w:val="baseline"/>
        </w:rPr>
        <w:t>Bédié.</w:t>
      </w:r>
      <w:r>
        <w:rPr>
          <w:color w:val="231F20"/>
          <w:spacing w:val="-13"/>
          <w:vertAlign w:val="baseline"/>
        </w:rPr>
        <w:t> </w:t>
      </w:r>
      <w:r>
        <w:rPr>
          <w:color w:val="231F20"/>
          <w:spacing w:val="-2"/>
          <w:vertAlign w:val="baseline"/>
        </w:rPr>
        <w:t>Plus</w:t>
      </w:r>
      <w:r>
        <w:rPr>
          <w:color w:val="231F20"/>
          <w:spacing w:val="-13"/>
          <w:vertAlign w:val="baseline"/>
        </w:rPr>
        <w:t> </w:t>
      </w:r>
      <w:r>
        <w:rPr>
          <w:color w:val="231F20"/>
          <w:spacing w:val="-2"/>
          <w:vertAlign w:val="baseline"/>
        </w:rPr>
        <w:t>de</w:t>
      </w:r>
      <w:r>
        <w:rPr>
          <w:color w:val="231F20"/>
          <w:spacing w:val="-12"/>
          <w:vertAlign w:val="baseline"/>
        </w:rPr>
        <w:t> </w:t>
      </w:r>
      <w:r>
        <w:rPr>
          <w:color w:val="231F20"/>
          <w:spacing w:val="-2"/>
          <w:vertAlign w:val="baseline"/>
        </w:rPr>
        <w:t>200</w:t>
      </w:r>
      <w:r>
        <w:rPr>
          <w:color w:val="231F20"/>
          <w:spacing w:val="-13"/>
          <w:vertAlign w:val="baseline"/>
        </w:rPr>
        <w:t> </w:t>
      </w:r>
      <w:r>
        <w:rPr>
          <w:color w:val="231F20"/>
          <w:spacing w:val="-2"/>
          <w:vertAlign w:val="baseline"/>
        </w:rPr>
        <w:t>baoulés </w:t>
      </w:r>
      <w:r>
        <w:rPr>
          <w:color w:val="231F20"/>
          <w:spacing w:val="-4"/>
          <w:vertAlign w:val="baseline"/>
        </w:rPr>
        <w:t>fuient</w:t>
      </w:r>
      <w:r>
        <w:rPr>
          <w:color w:val="231F20"/>
          <w:spacing w:val="-9"/>
          <w:vertAlign w:val="baseline"/>
        </w:rPr>
        <w:t> </w:t>
      </w:r>
      <w:r>
        <w:rPr>
          <w:color w:val="231F20"/>
          <w:spacing w:val="-4"/>
          <w:vertAlign w:val="baseline"/>
        </w:rPr>
        <w:t>les</w:t>
      </w:r>
      <w:r>
        <w:rPr>
          <w:color w:val="231F20"/>
          <w:spacing w:val="-7"/>
          <w:vertAlign w:val="baseline"/>
        </w:rPr>
        <w:t> </w:t>
      </w:r>
      <w:r>
        <w:rPr>
          <w:color w:val="231F20"/>
          <w:spacing w:val="-4"/>
          <w:vertAlign w:val="baseline"/>
        </w:rPr>
        <w:t>campements</w:t>
      </w:r>
      <w:r>
        <w:rPr>
          <w:color w:val="231F20"/>
          <w:spacing w:val="-7"/>
          <w:vertAlign w:val="baseline"/>
        </w:rPr>
        <w:t> </w:t>
      </w:r>
      <w:r>
        <w:rPr>
          <w:color w:val="231F20"/>
          <w:spacing w:val="-4"/>
          <w:vertAlign w:val="baseline"/>
        </w:rPr>
        <w:t>pour</w:t>
      </w:r>
      <w:r>
        <w:rPr>
          <w:color w:val="231F20"/>
          <w:spacing w:val="-7"/>
          <w:vertAlign w:val="baseline"/>
        </w:rPr>
        <w:t> </w:t>
      </w:r>
      <w:r>
        <w:rPr>
          <w:color w:val="231F20"/>
          <w:spacing w:val="-4"/>
          <w:vertAlign w:val="baseline"/>
        </w:rPr>
        <w:t>se</w:t>
      </w:r>
      <w:r>
        <w:rPr>
          <w:color w:val="231F20"/>
          <w:spacing w:val="-7"/>
          <w:vertAlign w:val="baseline"/>
        </w:rPr>
        <w:t> </w:t>
      </w:r>
      <w:r>
        <w:rPr>
          <w:color w:val="231F20"/>
          <w:spacing w:val="-4"/>
          <w:vertAlign w:val="baseline"/>
        </w:rPr>
        <w:t>réfugier</w:t>
      </w:r>
      <w:r>
        <w:rPr>
          <w:color w:val="231F20"/>
          <w:spacing w:val="-7"/>
          <w:vertAlign w:val="baseline"/>
        </w:rPr>
        <w:t> </w:t>
      </w:r>
      <w:r>
        <w:rPr>
          <w:color w:val="231F20"/>
          <w:spacing w:val="-4"/>
          <w:vertAlign w:val="baseline"/>
        </w:rPr>
        <w:t>à</w:t>
      </w:r>
      <w:r>
        <w:rPr>
          <w:color w:val="231F20"/>
          <w:spacing w:val="-10"/>
          <w:vertAlign w:val="baseline"/>
        </w:rPr>
        <w:t> </w:t>
      </w:r>
      <w:r>
        <w:rPr>
          <w:color w:val="231F20"/>
          <w:spacing w:val="-4"/>
          <w:vertAlign w:val="baseline"/>
        </w:rPr>
        <w:t>la</w:t>
      </w:r>
      <w:r>
        <w:rPr>
          <w:color w:val="231F20"/>
          <w:spacing w:val="-7"/>
          <w:vertAlign w:val="baseline"/>
        </w:rPr>
        <w:t> </w:t>
      </w:r>
      <w:r>
        <w:rPr>
          <w:color w:val="231F20"/>
          <w:spacing w:val="-4"/>
          <w:vertAlign w:val="baseline"/>
        </w:rPr>
        <w:t>gendarmerie</w:t>
      </w:r>
      <w:r>
        <w:rPr>
          <w:color w:val="231F20"/>
          <w:spacing w:val="-7"/>
          <w:vertAlign w:val="baseline"/>
        </w:rPr>
        <w:t> </w:t>
      </w:r>
      <w:r>
        <w:rPr>
          <w:color w:val="231F20"/>
          <w:spacing w:val="-4"/>
          <w:vertAlign w:val="baseline"/>
        </w:rPr>
        <w:t>de</w:t>
      </w:r>
      <w:r>
        <w:rPr>
          <w:color w:val="231F20"/>
          <w:spacing w:val="-7"/>
          <w:vertAlign w:val="baseline"/>
        </w:rPr>
        <w:t> </w:t>
      </w:r>
      <w:r>
        <w:rPr>
          <w:color w:val="231F20"/>
          <w:spacing w:val="-4"/>
          <w:vertAlign w:val="baseline"/>
        </w:rPr>
        <w:t>Gagnoa.</w:t>
      </w:r>
      <w:r>
        <w:rPr>
          <w:color w:val="231F20"/>
          <w:spacing w:val="-7"/>
          <w:vertAlign w:val="baseline"/>
        </w:rPr>
        <w:t> </w:t>
      </w:r>
      <w:r>
        <w:rPr>
          <w:color w:val="231F20"/>
          <w:spacing w:val="-4"/>
          <w:vertAlign w:val="baseline"/>
        </w:rPr>
        <w:t>Dans </w:t>
      </w:r>
      <w:r>
        <w:rPr>
          <w:color w:val="231F20"/>
          <w:spacing w:val="-2"/>
          <w:vertAlign w:val="baseline"/>
        </w:rPr>
        <w:t>le</w:t>
      </w:r>
      <w:r>
        <w:rPr>
          <w:color w:val="231F20"/>
          <w:spacing w:val="-8"/>
          <w:vertAlign w:val="baseline"/>
        </w:rPr>
        <w:t> </w:t>
      </w:r>
      <w:r>
        <w:rPr>
          <w:color w:val="231F20"/>
          <w:spacing w:val="-2"/>
          <w:vertAlign w:val="baseline"/>
        </w:rPr>
        <w:t>Nord,</w:t>
      </w:r>
      <w:r>
        <w:rPr>
          <w:color w:val="231F20"/>
          <w:spacing w:val="-5"/>
          <w:vertAlign w:val="baseline"/>
        </w:rPr>
        <w:t> </w:t>
      </w:r>
      <w:r>
        <w:rPr>
          <w:color w:val="231F20"/>
          <w:spacing w:val="-2"/>
          <w:vertAlign w:val="baseline"/>
        </w:rPr>
        <w:t>fief</w:t>
      </w:r>
      <w:r>
        <w:rPr>
          <w:color w:val="231F20"/>
          <w:spacing w:val="-5"/>
          <w:vertAlign w:val="baseline"/>
        </w:rPr>
        <w:t> </w:t>
      </w:r>
      <w:r>
        <w:rPr>
          <w:color w:val="231F20"/>
          <w:spacing w:val="-2"/>
          <w:vertAlign w:val="baseline"/>
        </w:rPr>
        <w:t>du</w:t>
      </w:r>
      <w:r>
        <w:rPr>
          <w:color w:val="231F20"/>
          <w:spacing w:val="-7"/>
          <w:vertAlign w:val="baseline"/>
        </w:rPr>
        <w:t> </w:t>
      </w:r>
      <w:r>
        <w:rPr>
          <w:color w:val="231F20"/>
          <w:spacing w:val="-2"/>
          <w:vertAlign w:val="baseline"/>
        </w:rPr>
        <w:t>Rassemblement</w:t>
      </w:r>
      <w:r>
        <w:rPr>
          <w:color w:val="231F20"/>
          <w:spacing w:val="-4"/>
          <w:vertAlign w:val="baseline"/>
        </w:rPr>
        <w:t> </w:t>
      </w:r>
      <w:r>
        <w:rPr>
          <w:color w:val="231F20"/>
          <w:spacing w:val="-2"/>
          <w:vertAlign w:val="baseline"/>
        </w:rPr>
        <w:t>des</w:t>
      </w:r>
      <w:r>
        <w:rPr>
          <w:color w:val="231F20"/>
          <w:spacing w:val="-5"/>
          <w:vertAlign w:val="baseline"/>
        </w:rPr>
        <w:t> </w:t>
      </w:r>
      <w:r>
        <w:rPr>
          <w:color w:val="231F20"/>
          <w:spacing w:val="-2"/>
          <w:vertAlign w:val="baseline"/>
        </w:rPr>
        <w:t>Républicains</w:t>
      </w:r>
      <w:r>
        <w:rPr>
          <w:color w:val="231F20"/>
          <w:spacing w:val="-5"/>
          <w:vertAlign w:val="baseline"/>
        </w:rPr>
        <w:t> </w:t>
      </w:r>
      <w:r>
        <w:rPr>
          <w:color w:val="231F20"/>
          <w:spacing w:val="-2"/>
          <w:vertAlign w:val="baseline"/>
        </w:rPr>
        <w:t>(RDR),</w:t>
      </w:r>
      <w:r>
        <w:rPr>
          <w:color w:val="231F20"/>
          <w:spacing w:val="-7"/>
          <w:vertAlign w:val="baseline"/>
        </w:rPr>
        <w:t> </w:t>
      </w:r>
      <w:r>
        <w:rPr>
          <w:color w:val="231F20"/>
          <w:spacing w:val="-2"/>
          <w:vertAlign w:val="baseline"/>
        </w:rPr>
        <w:t>des</w:t>
      </w:r>
      <w:r>
        <w:rPr>
          <w:color w:val="231F20"/>
          <w:spacing w:val="-4"/>
          <w:vertAlign w:val="baseline"/>
        </w:rPr>
        <w:t> </w:t>
      </w:r>
      <w:r>
        <w:rPr>
          <w:color w:val="231F20"/>
          <w:spacing w:val="-2"/>
          <w:vertAlign w:val="baseline"/>
        </w:rPr>
        <w:t>opérations</w:t>
      </w:r>
    </w:p>
    <w:p>
      <w:pPr>
        <w:pStyle w:val="BodyText"/>
        <w:spacing w:before="1"/>
        <w:ind w:right="104"/>
      </w:pPr>
      <w:r>
        <w:rPr>
          <w:color w:val="231F20"/>
          <w:spacing w:val="-2"/>
        </w:rPr>
        <w:t>«</w:t>
      </w:r>
      <w:r>
        <w:rPr>
          <w:color w:val="231F20"/>
          <w:spacing w:val="-12"/>
        </w:rPr>
        <w:t> </w:t>
      </w:r>
      <w:r>
        <w:rPr>
          <w:color w:val="231F20"/>
          <w:spacing w:val="-2"/>
        </w:rPr>
        <w:t>ville</w:t>
      </w:r>
      <w:r>
        <w:rPr>
          <w:color w:val="231F20"/>
          <w:spacing w:val="-12"/>
        </w:rPr>
        <w:t> </w:t>
      </w:r>
      <w:r>
        <w:rPr>
          <w:color w:val="231F20"/>
          <w:spacing w:val="-2"/>
        </w:rPr>
        <w:t>morte</w:t>
      </w:r>
      <w:r>
        <w:rPr>
          <w:color w:val="231F20"/>
          <w:spacing w:val="-12"/>
        </w:rPr>
        <w:t> </w:t>
      </w:r>
      <w:r>
        <w:rPr>
          <w:color w:val="231F20"/>
          <w:spacing w:val="-2"/>
        </w:rPr>
        <w:t>»</w:t>
      </w:r>
      <w:r>
        <w:rPr>
          <w:color w:val="231F20"/>
          <w:spacing w:val="-12"/>
        </w:rPr>
        <w:t> </w:t>
      </w:r>
      <w:r>
        <w:rPr>
          <w:color w:val="231F20"/>
          <w:spacing w:val="-2"/>
        </w:rPr>
        <w:t>paralysent</w:t>
      </w:r>
      <w:r>
        <w:rPr>
          <w:color w:val="231F20"/>
          <w:spacing w:val="-11"/>
        </w:rPr>
        <w:t> </w:t>
      </w:r>
      <w:r>
        <w:rPr>
          <w:color w:val="231F20"/>
          <w:spacing w:val="-2"/>
        </w:rPr>
        <w:t>le</w:t>
      </w:r>
      <w:r>
        <w:rPr>
          <w:color w:val="231F20"/>
          <w:spacing w:val="-12"/>
        </w:rPr>
        <w:t> </w:t>
      </w:r>
      <w:r>
        <w:rPr>
          <w:color w:val="231F20"/>
          <w:spacing w:val="-2"/>
        </w:rPr>
        <w:t>scrutin</w:t>
      </w:r>
      <w:r>
        <w:rPr>
          <w:color w:val="231F20"/>
          <w:spacing w:val="-9"/>
        </w:rPr>
        <w:t> </w:t>
      </w:r>
      <w:r>
        <w:rPr>
          <w:color w:val="231F20"/>
          <w:spacing w:val="-2"/>
        </w:rPr>
        <w:t>:</w:t>
      </w:r>
      <w:r>
        <w:rPr>
          <w:color w:val="231F20"/>
          <w:spacing w:val="-11"/>
        </w:rPr>
        <w:t> </w:t>
      </w:r>
      <w:r>
        <w:rPr>
          <w:color w:val="231F20"/>
          <w:spacing w:val="-2"/>
        </w:rPr>
        <w:t>à</w:t>
      </w:r>
      <w:r>
        <w:rPr>
          <w:color w:val="231F20"/>
          <w:spacing w:val="-13"/>
        </w:rPr>
        <w:t> </w:t>
      </w:r>
      <w:r>
        <w:rPr>
          <w:color w:val="231F20"/>
          <w:spacing w:val="-2"/>
        </w:rPr>
        <w:t>Odienné,</w:t>
      </w:r>
      <w:r>
        <w:rPr>
          <w:color w:val="231F20"/>
          <w:spacing w:val="-11"/>
        </w:rPr>
        <w:t> </w:t>
      </w:r>
      <w:r>
        <w:rPr>
          <w:color w:val="231F20"/>
          <w:spacing w:val="-2"/>
        </w:rPr>
        <w:t>les</w:t>
      </w:r>
      <w:r>
        <w:rPr>
          <w:color w:val="231F20"/>
          <w:spacing w:val="-13"/>
        </w:rPr>
        <w:t> </w:t>
      </w:r>
      <w:r>
        <w:rPr>
          <w:color w:val="231F20"/>
          <w:spacing w:val="-2"/>
        </w:rPr>
        <w:t>listes</w:t>
      </w:r>
      <w:r>
        <w:rPr>
          <w:color w:val="231F20"/>
          <w:spacing w:val="-11"/>
        </w:rPr>
        <w:t> </w:t>
      </w:r>
      <w:r>
        <w:rPr>
          <w:color w:val="231F20"/>
          <w:spacing w:val="-2"/>
        </w:rPr>
        <w:t>électorales</w:t>
      </w:r>
      <w:r>
        <w:rPr>
          <w:color w:val="231F20"/>
          <w:spacing w:val="-12"/>
        </w:rPr>
        <w:t> </w:t>
      </w:r>
      <w:r>
        <w:rPr>
          <w:color w:val="231F20"/>
          <w:spacing w:val="-2"/>
        </w:rPr>
        <w:t>sont </w:t>
      </w:r>
      <w:r>
        <w:rPr>
          <w:color w:val="231F20"/>
          <w:spacing w:val="-4"/>
        </w:rPr>
        <w:t>brûlées.</w:t>
      </w:r>
      <w:r>
        <w:rPr>
          <w:color w:val="231F20"/>
          <w:spacing w:val="-11"/>
        </w:rPr>
        <w:t> </w:t>
      </w:r>
      <w:r>
        <w:rPr>
          <w:color w:val="231F20"/>
          <w:spacing w:val="-4"/>
        </w:rPr>
        <w:t>Dans</w:t>
      </w:r>
      <w:r>
        <w:rPr>
          <w:color w:val="231F20"/>
          <w:spacing w:val="-11"/>
        </w:rPr>
        <w:t> </w:t>
      </w:r>
      <w:r>
        <w:rPr>
          <w:color w:val="231F20"/>
          <w:spacing w:val="-4"/>
        </w:rPr>
        <w:t>plusieurs</w:t>
      </w:r>
      <w:r>
        <w:rPr>
          <w:color w:val="231F20"/>
          <w:spacing w:val="-11"/>
        </w:rPr>
        <w:t> </w:t>
      </w:r>
      <w:r>
        <w:rPr>
          <w:color w:val="231F20"/>
          <w:spacing w:val="-4"/>
        </w:rPr>
        <w:t>autres</w:t>
      </w:r>
      <w:r>
        <w:rPr>
          <w:color w:val="231F20"/>
          <w:spacing w:val="-11"/>
        </w:rPr>
        <w:t> </w:t>
      </w:r>
      <w:r>
        <w:rPr>
          <w:color w:val="231F20"/>
          <w:spacing w:val="-4"/>
        </w:rPr>
        <w:t>villes</w:t>
      </w:r>
      <w:r>
        <w:rPr>
          <w:color w:val="231F20"/>
          <w:spacing w:val="-11"/>
        </w:rPr>
        <w:t> </w:t>
      </w:r>
      <w:r>
        <w:rPr>
          <w:color w:val="231F20"/>
          <w:spacing w:val="-4"/>
        </w:rPr>
        <w:t>du</w:t>
      </w:r>
      <w:r>
        <w:rPr>
          <w:color w:val="231F20"/>
          <w:spacing w:val="-11"/>
        </w:rPr>
        <w:t> </w:t>
      </w:r>
      <w:r>
        <w:rPr>
          <w:color w:val="231F20"/>
          <w:spacing w:val="-4"/>
        </w:rPr>
        <w:t>Nord,</w:t>
      </w:r>
      <w:r>
        <w:rPr>
          <w:color w:val="231F20"/>
          <w:spacing w:val="-11"/>
        </w:rPr>
        <w:t> </w:t>
      </w:r>
      <w:r>
        <w:rPr>
          <w:color w:val="231F20"/>
          <w:spacing w:val="-4"/>
        </w:rPr>
        <w:t>des</w:t>
      </w:r>
      <w:r>
        <w:rPr>
          <w:color w:val="231F20"/>
          <w:spacing w:val="-11"/>
        </w:rPr>
        <w:t> </w:t>
      </w:r>
      <w:r>
        <w:rPr>
          <w:color w:val="231F20"/>
          <w:spacing w:val="-4"/>
        </w:rPr>
        <w:t>voitures</w:t>
      </w:r>
      <w:r>
        <w:rPr>
          <w:color w:val="231F20"/>
          <w:spacing w:val="-11"/>
        </w:rPr>
        <w:t> </w:t>
      </w:r>
      <w:r>
        <w:rPr>
          <w:color w:val="231F20"/>
          <w:spacing w:val="-4"/>
        </w:rPr>
        <w:t>et</w:t>
      </w:r>
      <w:r>
        <w:rPr>
          <w:color w:val="231F20"/>
          <w:spacing w:val="-11"/>
        </w:rPr>
        <w:t> </w:t>
      </w:r>
      <w:r>
        <w:rPr>
          <w:color w:val="231F20"/>
          <w:spacing w:val="-4"/>
        </w:rPr>
        <w:t>des</w:t>
      </w:r>
      <w:r>
        <w:rPr>
          <w:color w:val="231F20"/>
          <w:spacing w:val="-11"/>
        </w:rPr>
        <w:t> </w:t>
      </w:r>
      <w:r>
        <w:rPr>
          <w:color w:val="231F20"/>
          <w:spacing w:val="-4"/>
        </w:rPr>
        <w:t>bâtiments </w:t>
      </w:r>
      <w:r>
        <w:rPr>
          <w:color w:val="231F20"/>
        </w:rPr>
        <w:t>officiels sont attaqués et, parfois, incendiés mais aucune perte en vie humaine n’est signalée.</w:t>
      </w:r>
    </w:p>
    <w:p>
      <w:pPr>
        <w:pStyle w:val="BodyText"/>
        <w:spacing w:before="120"/>
        <w:ind w:right="101" w:firstLine="283"/>
      </w:pPr>
      <w:r>
        <w:rPr>
          <w:color w:val="231F20"/>
        </w:rPr>
        <w:t>À Abidjan, l’Armée est en alerte maximale et selon le régime, des </w:t>
      </w:r>
      <w:r>
        <w:rPr>
          <w:color w:val="231F20"/>
          <w:spacing w:val="-2"/>
        </w:rPr>
        <w:t>velléités</w:t>
      </w:r>
      <w:r>
        <w:rPr>
          <w:color w:val="231F20"/>
          <w:spacing w:val="-13"/>
        </w:rPr>
        <w:t> </w:t>
      </w:r>
      <w:r>
        <w:rPr>
          <w:color w:val="231F20"/>
          <w:spacing w:val="-2"/>
        </w:rPr>
        <w:t>putschistes</w:t>
      </w:r>
      <w:r>
        <w:rPr>
          <w:color w:val="231F20"/>
          <w:spacing w:val="-13"/>
        </w:rPr>
        <w:t> </w:t>
      </w:r>
      <w:r>
        <w:rPr>
          <w:color w:val="231F20"/>
          <w:spacing w:val="-2"/>
        </w:rPr>
        <w:t>ont</w:t>
      </w:r>
      <w:r>
        <w:rPr>
          <w:color w:val="231F20"/>
          <w:spacing w:val="-10"/>
        </w:rPr>
        <w:t> </w:t>
      </w:r>
      <w:r>
        <w:rPr>
          <w:color w:val="231F20"/>
          <w:spacing w:val="-2"/>
        </w:rPr>
        <w:t>été</w:t>
      </w:r>
      <w:r>
        <w:rPr>
          <w:color w:val="231F20"/>
          <w:spacing w:val="-13"/>
        </w:rPr>
        <w:t> </w:t>
      </w:r>
      <w:r>
        <w:rPr>
          <w:color w:val="231F20"/>
          <w:spacing w:val="-2"/>
        </w:rPr>
        <w:t>déjouées</w:t>
      </w:r>
      <w:r>
        <w:rPr>
          <w:color w:val="231F20"/>
          <w:spacing w:val="-12"/>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veille</w:t>
      </w:r>
      <w:r>
        <w:rPr>
          <w:color w:val="231F20"/>
          <w:spacing w:val="-13"/>
        </w:rPr>
        <w:t> </w:t>
      </w:r>
      <w:r>
        <w:rPr>
          <w:color w:val="231F20"/>
          <w:spacing w:val="-2"/>
        </w:rPr>
        <w:t>du</w:t>
      </w:r>
      <w:r>
        <w:rPr>
          <w:color w:val="231F20"/>
          <w:spacing w:val="-13"/>
        </w:rPr>
        <w:t> </w:t>
      </w:r>
      <w:r>
        <w:rPr>
          <w:color w:val="231F20"/>
          <w:spacing w:val="-2"/>
        </w:rPr>
        <w:t>scrutin.</w:t>
      </w:r>
      <w:r>
        <w:rPr>
          <w:color w:val="231F20"/>
          <w:spacing w:val="-13"/>
        </w:rPr>
        <w:t> </w:t>
      </w:r>
      <w:r>
        <w:rPr>
          <w:color w:val="231F20"/>
          <w:spacing w:val="-2"/>
        </w:rPr>
        <w:t>Le</w:t>
      </w:r>
      <w:r>
        <w:rPr>
          <w:color w:val="231F20"/>
          <w:spacing w:val="-13"/>
        </w:rPr>
        <w:t> </w:t>
      </w:r>
      <w:r>
        <w:rPr>
          <w:color w:val="231F20"/>
          <w:spacing w:val="-2"/>
        </w:rPr>
        <w:t>chef</w:t>
      </w:r>
      <w:r>
        <w:rPr>
          <w:color w:val="231F20"/>
          <w:spacing w:val="-13"/>
        </w:rPr>
        <w:t> </w:t>
      </w:r>
      <w:r>
        <w:rPr>
          <w:color w:val="231F20"/>
          <w:spacing w:val="-2"/>
        </w:rPr>
        <w:t>d’état- major</w:t>
      </w:r>
      <w:r>
        <w:rPr>
          <w:color w:val="231F20"/>
          <w:spacing w:val="-13"/>
        </w:rPr>
        <w:t> </w:t>
      </w:r>
      <w:r>
        <w:rPr>
          <w:color w:val="231F20"/>
          <w:spacing w:val="-2"/>
        </w:rPr>
        <w:t>de</w:t>
      </w:r>
      <w:r>
        <w:rPr>
          <w:color w:val="231F20"/>
          <w:spacing w:val="-13"/>
        </w:rPr>
        <w:t> </w:t>
      </w:r>
      <w:r>
        <w:rPr>
          <w:color w:val="231F20"/>
          <w:spacing w:val="-2"/>
        </w:rPr>
        <w:t>l’Armée,</w:t>
      </w:r>
      <w:r>
        <w:rPr>
          <w:color w:val="231F20"/>
          <w:spacing w:val="-13"/>
        </w:rPr>
        <w:t> </w:t>
      </w:r>
      <w:r>
        <w:rPr>
          <w:color w:val="231F20"/>
          <w:spacing w:val="-2"/>
        </w:rPr>
        <w:t>le</w:t>
      </w:r>
      <w:r>
        <w:rPr>
          <w:color w:val="231F20"/>
          <w:spacing w:val="-13"/>
        </w:rPr>
        <w:t> </w:t>
      </w:r>
      <w:r>
        <w:rPr>
          <w:color w:val="231F20"/>
          <w:spacing w:val="-2"/>
        </w:rPr>
        <w:t>général</w:t>
      </w:r>
      <w:r>
        <w:rPr>
          <w:color w:val="231F20"/>
          <w:spacing w:val="-13"/>
        </w:rPr>
        <w:t> </w:t>
      </w:r>
      <w:r>
        <w:rPr>
          <w:color w:val="231F20"/>
          <w:spacing w:val="-2"/>
        </w:rPr>
        <w:t>Robert</w:t>
      </w:r>
      <w:r>
        <w:rPr>
          <w:color w:val="231F20"/>
          <w:spacing w:val="-13"/>
        </w:rPr>
        <w:t> </w:t>
      </w:r>
      <w:r>
        <w:rPr>
          <w:color w:val="231F20"/>
          <w:spacing w:val="-2"/>
        </w:rPr>
        <w:t>Gueï</w:t>
      </w:r>
      <w:r>
        <w:rPr>
          <w:color w:val="231F20"/>
          <w:spacing w:val="-13"/>
        </w:rPr>
        <w:t> </w:t>
      </w:r>
      <w:r>
        <w:rPr>
          <w:color w:val="231F20"/>
          <w:spacing w:val="-2"/>
        </w:rPr>
        <w:t>est</w:t>
      </w:r>
      <w:r>
        <w:rPr>
          <w:color w:val="231F20"/>
          <w:spacing w:val="-11"/>
        </w:rPr>
        <w:t> </w:t>
      </w:r>
      <w:r>
        <w:rPr>
          <w:color w:val="231F20"/>
          <w:spacing w:val="-2"/>
        </w:rPr>
        <w:t>remplacé</w:t>
      </w:r>
      <w:r>
        <w:rPr>
          <w:color w:val="231F20"/>
          <w:spacing w:val="-13"/>
        </w:rPr>
        <w:t> </w:t>
      </w:r>
      <w:r>
        <w:rPr>
          <w:color w:val="231F20"/>
          <w:spacing w:val="-2"/>
        </w:rPr>
        <w:t>par</w:t>
      </w:r>
      <w:r>
        <w:rPr>
          <w:color w:val="231F20"/>
          <w:spacing w:val="-12"/>
        </w:rPr>
        <w:t> </w:t>
      </w:r>
      <w:r>
        <w:rPr>
          <w:color w:val="231F20"/>
          <w:spacing w:val="-2"/>
        </w:rPr>
        <w:t>son</w:t>
      </w:r>
      <w:r>
        <w:rPr>
          <w:color w:val="231F20"/>
          <w:spacing w:val="-13"/>
        </w:rPr>
        <w:t> </w:t>
      </w:r>
      <w:r>
        <w:rPr>
          <w:color w:val="231F20"/>
          <w:spacing w:val="-2"/>
        </w:rPr>
        <w:t>adjoint,</w:t>
      </w:r>
      <w:r>
        <w:rPr>
          <w:color w:val="231F20"/>
          <w:spacing w:val="-12"/>
        </w:rPr>
        <w:t> </w:t>
      </w:r>
      <w:r>
        <w:rPr>
          <w:color w:val="231F20"/>
          <w:spacing w:val="-2"/>
        </w:rPr>
        <w:t>le </w:t>
      </w:r>
      <w:r>
        <w:rPr>
          <w:color w:val="231F20"/>
        </w:rPr>
        <w:t>capitaine Lansana Timité.</w:t>
      </w:r>
    </w:p>
    <w:p>
      <w:pPr>
        <w:pStyle w:val="BodyText"/>
        <w:spacing w:before="136"/>
        <w:ind w:left="0"/>
        <w:jc w:val="left"/>
        <w:rPr>
          <w:sz w:val="20"/>
        </w:rPr>
      </w:pPr>
      <w:r>
        <w:rPr/>
        <mc:AlternateContent>
          <mc:Choice Requires="wps">
            <w:drawing>
              <wp:anchor distT="0" distB="0" distL="0" distR="0" allowOverlap="1" layoutInCell="1" locked="0" behindDoc="1" simplePos="0" relativeHeight="487636992">
                <wp:simplePos x="0" y="0"/>
                <wp:positionH relativeFrom="page">
                  <wp:posOffset>629907</wp:posOffset>
                </wp:positionH>
                <wp:positionV relativeFrom="paragraph">
                  <wp:posOffset>247839</wp:posOffset>
                </wp:positionV>
                <wp:extent cx="1829435" cy="9525"/>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514904pt;width:144.020pt;height:.71994pt;mso-position-horizontal-relative:page;mso-position-vertical-relative:paragraph;z-index:-15679488;mso-wrap-distance-left:0;mso-wrap-distance-right:0" id="docshape123" filled="true" fillcolor="#231f20" stroked="false">
                <v:fill type="solid"/>
                <w10:wrap type="topAndBottom"/>
              </v:rect>
            </w:pict>
          </mc:Fallback>
        </mc:AlternateContent>
      </w:r>
    </w:p>
    <w:p>
      <w:pPr>
        <w:spacing w:before="91"/>
        <w:ind w:left="111" w:right="0" w:firstLine="0"/>
        <w:jc w:val="left"/>
        <w:rPr>
          <w:sz w:val="20"/>
        </w:rPr>
      </w:pPr>
      <w:r>
        <w:rPr>
          <w:color w:val="76787A"/>
          <w:spacing w:val="-4"/>
          <w:sz w:val="20"/>
          <w:vertAlign w:val="superscript"/>
        </w:rPr>
        <w:t>156</w:t>
      </w:r>
      <w:r>
        <w:rPr>
          <w:color w:val="76787A"/>
          <w:spacing w:val="1"/>
          <w:sz w:val="20"/>
          <w:vertAlign w:val="baseline"/>
        </w:rPr>
        <w:t> </w:t>
      </w:r>
      <w:r>
        <w:rPr>
          <w:color w:val="231F20"/>
          <w:spacing w:val="-4"/>
          <w:sz w:val="20"/>
          <w:vertAlign w:val="baseline"/>
        </w:rPr>
        <w:t>Les</w:t>
      </w:r>
      <w:r>
        <w:rPr>
          <w:color w:val="231F20"/>
          <w:spacing w:val="-2"/>
          <w:sz w:val="20"/>
          <w:vertAlign w:val="baseline"/>
        </w:rPr>
        <w:t> </w:t>
      </w:r>
      <w:r>
        <w:rPr>
          <w:color w:val="231F20"/>
          <w:spacing w:val="-4"/>
          <w:sz w:val="20"/>
          <w:vertAlign w:val="baseline"/>
        </w:rPr>
        <w:t>Bétés</w:t>
      </w:r>
      <w:r>
        <w:rPr>
          <w:color w:val="231F20"/>
          <w:spacing w:val="-1"/>
          <w:sz w:val="20"/>
          <w:vertAlign w:val="baseline"/>
        </w:rPr>
        <w:t> </w:t>
      </w:r>
      <w:r>
        <w:rPr>
          <w:color w:val="231F20"/>
          <w:spacing w:val="-4"/>
          <w:sz w:val="20"/>
          <w:vertAlign w:val="baseline"/>
        </w:rPr>
        <w:t>représenteraient</w:t>
      </w:r>
      <w:r>
        <w:rPr>
          <w:color w:val="231F20"/>
          <w:sz w:val="20"/>
          <w:vertAlign w:val="baseline"/>
        </w:rPr>
        <w:t> </w:t>
      </w:r>
      <w:r>
        <w:rPr>
          <w:color w:val="231F20"/>
          <w:spacing w:val="-4"/>
          <w:sz w:val="20"/>
          <w:vertAlign w:val="baseline"/>
        </w:rPr>
        <w:t>environ</w:t>
      </w:r>
      <w:r>
        <w:rPr>
          <w:color w:val="231F20"/>
          <w:spacing w:val="-3"/>
          <w:sz w:val="20"/>
          <w:vertAlign w:val="baseline"/>
        </w:rPr>
        <w:t> </w:t>
      </w:r>
      <w:r>
        <w:rPr>
          <w:color w:val="231F20"/>
          <w:spacing w:val="-4"/>
          <w:sz w:val="20"/>
          <w:vertAlign w:val="baseline"/>
        </w:rPr>
        <w:t>18</w:t>
      </w:r>
      <w:r>
        <w:rPr>
          <w:color w:val="231F20"/>
          <w:spacing w:val="-1"/>
          <w:sz w:val="20"/>
          <w:vertAlign w:val="baseline"/>
        </w:rPr>
        <w:t> </w:t>
      </w:r>
      <w:r>
        <w:rPr>
          <w:color w:val="231F20"/>
          <w:spacing w:val="-4"/>
          <w:sz w:val="20"/>
          <w:vertAlign w:val="baseline"/>
        </w:rPr>
        <w:t>%</w:t>
      </w:r>
      <w:r>
        <w:rPr>
          <w:color w:val="231F20"/>
          <w:spacing w:val="-3"/>
          <w:sz w:val="20"/>
          <w:vertAlign w:val="baseline"/>
        </w:rPr>
        <w:t> </w:t>
      </w:r>
      <w:r>
        <w:rPr>
          <w:color w:val="231F20"/>
          <w:spacing w:val="-4"/>
          <w:sz w:val="20"/>
          <w:vertAlign w:val="baseline"/>
        </w:rPr>
        <w:t>de</w:t>
      </w:r>
      <w:r>
        <w:rPr>
          <w:color w:val="231F20"/>
          <w:sz w:val="20"/>
          <w:vertAlign w:val="baseline"/>
        </w:rPr>
        <w:t> </w:t>
      </w:r>
      <w:r>
        <w:rPr>
          <w:color w:val="231F20"/>
          <w:spacing w:val="-4"/>
          <w:sz w:val="20"/>
          <w:vertAlign w:val="baseline"/>
        </w:rPr>
        <w:t>la</w:t>
      </w:r>
      <w:r>
        <w:rPr>
          <w:color w:val="231F20"/>
          <w:spacing w:val="-3"/>
          <w:sz w:val="20"/>
          <w:vertAlign w:val="baseline"/>
        </w:rPr>
        <w:t> </w:t>
      </w:r>
      <w:r>
        <w:rPr>
          <w:color w:val="231F20"/>
          <w:spacing w:val="-4"/>
          <w:sz w:val="20"/>
          <w:vertAlign w:val="baseline"/>
        </w:rPr>
        <w:t>population</w:t>
      </w:r>
      <w:r>
        <w:rPr>
          <w:color w:val="231F20"/>
          <w:spacing w:val="-2"/>
          <w:sz w:val="20"/>
          <w:vertAlign w:val="baseline"/>
        </w:rPr>
        <w:t> </w:t>
      </w:r>
      <w:r>
        <w:rPr>
          <w:color w:val="231F20"/>
          <w:spacing w:val="-4"/>
          <w:sz w:val="20"/>
          <w:vertAlign w:val="baseline"/>
        </w:rPr>
        <w:t>du</w:t>
      </w:r>
      <w:r>
        <w:rPr>
          <w:color w:val="231F20"/>
          <w:spacing w:val="-2"/>
          <w:sz w:val="20"/>
          <w:vertAlign w:val="baseline"/>
        </w:rPr>
        <w:t> </w:t>
      </w:r>
      <w:r>
        <w:rPr>
          <w:color w:val="231F20"/>
          <w:spacing w:val="-4"/>
          <w:sz w:val="20"/>
          <w:vertAlign w:val="baseline"/>
        </w:rPr>
        <w:t>pays.</w:t>
      </w:r>
    </w:p>
    <w:p>
      <w:pPr>
        <w:spacing w:before="1"/>
        <w:ind w:left="111" w:right="0" w:firstLine="0"/>
        <w:jc w:val="left"/>
        <w:rPr>
          <w:sz w:val="20"/>
        </w:rPr>
      </w:pPr>
      <w:r>
        <w:rPr>
          <w:color w:val="76787A"/>
          <w:sz w:val="20"/>
          <w:vertAlign w:val="superscript"/>
        </w:rPr>
        <w:t>157</w:t>
      </w:r>
      <w:r>
        <w:rPr>
          <w:color w:val="76787A"/>
          <w:spacing w:val="-14"/>
          <w:sz w:val="20"/>
          <w:vertAlign w:val="baseline"/>
        </w:rPr>
        <w:t> </w:t>
      </w:r>
      <w:r>
        <w:rPr>
          <w:color w:val="231F20"/>
          <w:sz w:val="20"/>
          <w:vertAlign w:val="baseline"/>
        </w:rPr>
        <w:t>Les</w:t>
      </w:r>
      <w:r>
        <w:rPr>
          <w:color w:val="231F20"/>
          <w:spacing w:val="-13"/>
          <w:sz w:val="20"/>
          <w:vertAlign w:val="baseline"/>
        </w:rPr>
        <w:t> </w:t>
      </w:r>
      <w:r>
        <w:rPr>
          <w:color w:val="231F20"/>
          <w:sz w:val="20"/>
          <w:vertAlign w:val="baseline"/>
        </w:rPr>
        <w:t>Baoulés</w:t>
      </w:r>
      <w:r>
        <w:rPr>
          <w:color w:val="231F20"/>
          <w:spacing w:val="-5"/>
          <w:sz w:val="20"/>
          <w:vertAlign w:val="baseline"/>
        </w:rPr>
        <w:t> </w:t>
      </w:r>
      <w:r>
        <w:rPr>
          <w:color w:val="231F20"/>
          <w:sz w:val="20"/>
          <w:vertAlign w:val="baseline"/>
        </w:rPr>
        <w:t>vivent</w:t>
      </w:r>
      <w:r>
        <w:rPr>
          <w:color w:val="231F20"/>
          <w:spacing w:val="-3"/>
          <w:sz w:val="20"/>
          <w:vertAlign w:val="baseline"/>
        </w:rPr>
        <w:t> </w:t>
      </w:r>
      <w:r>
        <w:rPr>
          <w:color w:val="231F20"/>
          <w:sz w:val="20"/>
          <w:vertAlign w:val="baseline"/>
        </w:rPr>
        <w:t>dans la grande majorité au centre du pays. Ils représenteraient environ 23 % de la population du pays.</w:t>
      </w:r>
    </w:p>
    <w:p>
      <w:pPr>
        <w:spacing w:after="0"/>
        <w:jc w:val="left"/>
        <w:rPr>
          <w:sz w:val="20"/>
        </w:rPr>
        <w:sectPr>
          <w:pgSz w:w="8790" w:h="13610"/>
          <w:pgMar w:header="0" w:footer="802" w:top="1060" w:bottom="1000" w:left="880" w:right="880"/>
        </w:sectPr>
      </w:pPr>
    </w:p>
    <w:p>
      <w:pPr>
        <w:pStyle w:val="BodyText"/>
        <w:spacing w:before="66"/>
        <w:ind w:right="103" w:firstLine="283"/>
      </w:pPr>
      <w:r>
        <w:rPr>
          <w:color w:val="231F20"/>
        </w:rPr>
        <w:t>Le</w:t>
      </w:r>
      <w:r>
        <w:rPr>
          <w:color w:val="231F20"/>
          <w:spacing w:val="-9"/>
        </w:rPr>
        <w:t> </w:t>
      </w:r>
      <w:r>
        <w:rPr>
          <w:color w:val="231F20"/>
        </w:rPr>
        <w:t>22</w:t>
      </w:r>
      <w:r>
        <w:rPr>
          <w:color w:val="231F20"/>
          <w:spacing w:val="-9"/>
        </w:rPr>
        <w:t> </w:t>
      </w:r>
      <w:r>
        <w:rPr>
          <w:color w:val="231F20"/>
        </w:rPr>
        <w:t>octobre</w:t>
      </w:r>
      <w:r>
        <w:rPr>
          <w:color w:val="231F20"/>
          <w:spacing w:val="-9"/>
        </w:rPr>
        <w:t> </w:t>
      </w:r>
      <w:r>
        <w:rPr>
          <w:color w:val="231F20"/>
        </w:rPr>
        <w:t>1995</w:t>
      </w:r>
      <w:r>
        <w:rPr>
          <w:color w:val="231F20"/>
          <w:spacing w:val="-9"/>
        </w:rPr>
        <w:t> </w:t>
      </w:r>
      <w:r>
        <w:rPr>
          <w:color w:val="231F20"/>
        </w:rPr>
        <w:t>avec</w:t>
      </w:r>
      <w:r>
        <w:rPr>
          <w:color w:val="231F20"/>
          <w:spacing w:val="-9"/>
        </w:rPr>
        <w:t> </w:t>
      </w:r>
      <w:r>
        <w:rPr>
          <w:color w:val="231F20"/>
        </w:rPr>
        <w:t>plus</w:t>
      </w:r>
      <w:r>
        <w:rPr>
          <w:color w:val="231F20"/>
          <w:spacing w:val="-12"/>
        </w:rPr>
        <w:t> </w:t>
      </w:r>
      <w:r>
        <w:rPr>
          <w:color w:val="231F20"/>
        </w:rPr>
        <w:t>de</w:t>
      </w:r>
      <w:r>
        <w:rPr>
          <w:color w:val="231F20"/>
          <w:spacing w:val="-9"/>
        </w:rPr>
        <w:t> </w:t>
      </w:r>
      <w:r>
        <w:rPr>
          <w:color w:val="231F20"/>
        </w:rPr>
        <w:t>96</w:t>
      </w:r>
      <w:r>
        <w:rPr>
          <w:color w:val="231F20"/>
          <w:spacing w:val="-15"/>
        </w:rPr>
        <w:t> </w:t>
      </w:r>
      <w:r>
        <w:rPr>
          <w:color w:val="231F20"/>
        </w:rPr>
        <w:t>%</w:t>
      </w:r>
      <w:r>
        <w:rPr>
          <w:color w:val="231F20"/>
          <w:spacing w:val="-9"/>
        </w:rPr>
        <w:t> </w:t>
      </w:r>
      <w:r>
        <w:rPr>
          <w:color w:val="231F20"/>
        </w:rPr>
        <w:t>des</w:t>
      </w:r>
      <w:r>
        <w:rPr>
          <w:color w:val="231F20"/>
          <w:spacing w:val="-9"/>
        </w:rPr>
        <w:t> </w:t>
      </w:r>
      <w:r>
        <w:rPr>
          <w:color w:val="231F20"/>
        </w:rPr>
        <w:t>suffrages</w:t>
      </w:r>
      <w:r>
        <w:rPr>
          <w:color w:val="231F20"/>
          <w:spacing w:val="-9"/>
        </w:rPr>
        <w:t> </w:t>
      </w:r>
      <w:r>
        <w:rPr>
          <w:color w:val="231F20"/>
        </w:rPr>
        <w:t>exprimés,</w:t>
      </w:r>
      <w:r>
        <w:rPr>
          <w:color w:val="231F20"/>
          <w:spacing w:val="-9"/>
        </w:rPr>
        <w:t> </w:t>
      </w:r>
      <w:r>
        <w:rPr>
          <w:color w:val="231F20"/>
        </w:rPr>
        <w:t>Henri Konan</w:t>
      </w:r>
      <w:r>
        <w:rPr>
          <w:color w:val="231F20"/>
          <w:spacing w:val="-2"/>
        </w:rPr>
        <w:t> </w:t>
      </w:r>
      <w:r>
        <w:rPr>
          <w:color w:val="231F20"/>
        </w:rPr>
        <w:t>Bédié</w:t>
      </w:r>
      <w:r>
        <w:rPr>
          <w:color w:val="231F20"/>
          <w:spacing w:val="-1"/>
        </w:rPr>
        <w:t> </w:t>
      </w:r>
      <w:r>
        <w:rPr>
          <w:color w:val="231F20"/>
        </w:rPr>
        <w:t>est élu</w:t>
      </w:r>
      <w:r>
        <w:rPr>
          <w:color w:val="231F20"/>
          <w:spacing w:val="-2"/>
        </w:rPr>
        <w:t> </w:t>
      </w:r>
      <w:r>
        <w:rPr>
          <w:color w:val="231F20"/>
        </w:rPr>
        <w:t>Président</w:t>
      </w:r>
      <w:r>
        <w:rPr>
          <w:color w:val="231F20"/>
          <w:spacing w:val="-1"/>
        </w:rPr>
        <w:t> </w:t>
      </w:r>
      <w:r>
        <w:rPr>
          <w:color w:val="231F20"/>
        </w:rPr>
        <w:t>de</w:t>
      </w:r>
      <w:r>
        <w:rPr>
          <w:color w:val="231F20"/>
          <w:spacing w:val="-2"/>
        </w:rPr>
        <w:t> </w:t>
      </w:r>
      <w:r>
        <w:rPr>
          <w:color w:val="231F20"/>
        </w:rPr>
        <w:t>la République</w:t>
      </w:r>
      <w:r>
        <w:rPr>
          <w:color w:val="231F20"/>
          <w:spacing w:val="-3"/>
        </w:rPr>
        <w:t> </w:t>
      </w:r>
      <w:r>
        <w:rPr>
          <w:color w:val="231F20"/>
        </w:rPr>
        <w:t>face</w:t>
      </w:r>
      <w:r>
        <w:rPr>
          <w:color w:val="231F20"/>
          <w:spacing w:val="-1"/>
        </w:rPr>
        <w:t> </w:t>
      </w:r>
      <w:r>
        <w:rPr>
          <w:color w:val="231F20"/>
        </w:rPr>
        <w:t>au</w:t>
      </w:r>
      <w:r>
        <w:rPr>
          <w:color w:val="231F20"/>
          <w:spacing w:val="-1"/>
        </w:rPr>
        <w:t> </w:t>
      </w:r>
      <w:r>
        <w:rPr>
          <w:color w:val="231F20"/>
        </w:rPr>
        <w:t>leader</w:t>
      </w:r>
      <w:r>
        <w:rPr>
          <w:color w:val="231F20"/>
          <w:spacing w:val="-1"/>
        </w:rPr>
        <w:t> </w:t>
      </w:r>
      <w:r>
        <w:rPr>
          <w:color w:val="231F20"/>
        </w:rPr>
        <w:t>du</w:t>
      </w:r>
      <w:r>
        <w:rPr>
          <w:color w:val="231F20"/>
          <w:spacing w:val="-2"/>
        </w:rPr>
        <w:t> </w:t>
      </w:r>
      <w:r>
        <w:rPr>
          <w:color w:val="231F20"/>
        </w:rPr>
        <w:t>Parti </w:t>
      </w:r>
      <w:r>
        <w:rPr>
          <w:color w:val="231F20"/>
          <w:spacing w:val="-2"/>
        </w:rPr>
        <w:t>Ivoirien</w:t>
      </w:r>
      <w:r>
        <w:rPr>
          <w:color w:val="231F20"/>
          <w:spacing w:val="-10"/>
        </w:rPr>
        <w:t> </w:t>
      </w:r>
      <w:r>
        <w:rPr>
          <w:color w:val="231F20"/>
          <w:spacing w:val="-2"/>
        </w:rPr>
        <w:t>des</w:t>
      </w:r>
      <w:r>
        <w:rPr>
          <w:color w:val="231F20"/>
          <w:spacing w:val="-11"/>
        </w:rPr>
        <w:t> </w:t>
      </w:r>
      <w:r>
        <w:rPr>
          <w:color w:val="231F20"/>
          <w:spacing w:val="-2"/>
        </w:rPr>
        <w:t>Travailleurs</w:t>
      </w:r>
      <w:r>
        <w:rPr>
          <w:color w:val="231F20"/>
          <w:spacing w:val="-9"/>
        </w:rPr>
        <w:t> </w:t>
      </w:r>
      <w:r>
        <w:rPr>
          <w:color w:val="231F20"/>
          <w:spacing w:val="-2"/>
        </w:rPr>
        <w:t>(PIT)</w:t>
      </w:r>
      <w:r>
        <w:rPr>
          <w:color w:val="231F20"/>
          <w:spacing w:val="-11"/>
        </w:rPr>
        <w:t> </w:t>
      </w:r>
      <w:r>
        <w:rPr>
          <w:color w:val="231F20"/>
          <w:spacing w:val="-2"/>
        </w:rPr>
        <w:t>Francis</w:t>
      </w:r>
      <w:r>
        <w:rPr>
          <w:color w:val="231F20"/>
          <w:spacing w:val="-10"/>
        </w:rPr>
        <w:t> </w:t>
      </w:r>
      <w:r>
        <w:rPr>
          <w:color w:val="231F20"/>
          <w:spacing w:val="-2"/>
        </w:rPr>
        <w:t>Wodié.</w:t>
      </w:r>
      <w:r>
        <w:rPr>
          <w:color w:val="231F20"/>
          <w:spacing w:val="-11"/>
        </w:rPr>
        <w:t> </w:t>
      </w:r>
      <w:r>
        <w:rPr>
          <w:color w:val="231F20"/>
          <w:spacing w:val="-2"/>
        </w:rPr>
        <w:t>Mais</w:t>
      </w:r>
      <w:r>
        <w:rPr>
          <w:color w:val="231F20"/>
          <w:spacing w:val="-11"/>
        </w:rPr>
        <w:t> </w:t>
      </w:r>
      <w:r>
        <w:rPr>
          <w:color w:val="231F20"/>
          <w:spacing w:val="-2"/>
        </w:rPr>
        <w:t>il</w:t>
      </w:r>
      <w:r>
        <w:rPr>
          <w:color w:val="231F20"/>
          <w:spacing w:val="-13"/>
        </w:rPr>
        <w:t> </w:t>
      </w:r>
      <w:r>
        <w:rPr>
          <w:color w:val="231F20"/>
          <w:spacing w:val="-2"/>
        </w:rPr>
        <w:t>est</w:t>
      </w:r>
      <w:r>
        <w:rPr>
          <w:color w:val="231F20"/>
          <w:spacing w:val="-11"/>
        </w:rPr>
        <w:t> </w:t>
      </w:r>
      <w:r>
        <w:rPr>
          <w:color w:val="231F20"/>
          <w:spacing w:val="-2"/>
        </w:rPr>
        <w:t>conscient</w:t>
      </w:r>
      <w:r>
        <w:rPr>
          <w:color w:val="231F20"/>
          <w:spacing w:val="-9"/>
        </w:rPr>
        <w:t> </w:t>
      </w:r>
      <w:r>
        <w:rPr>
          <w:color w:val="231F20"/>
          <w:spacing w:val="-2"/>
        </w:rPr>
        <w:t>qu’il </w:t>
      </w:r>
      <w:r>
        <w:rPr>
          <w:color w:val="231F20"/>
        </w:rPr>
        <w:t>a</w:t>
      </w:r>
      <w:r>
        <w:rPr>
          <w:color w:val="231F20"/>
          <w:spacing w:val="-2"/>
        </w:rPr>
        <w:t> </w:t>
      </w:r>
      <w:r>
        <w:rPr>
          <w:color w:val="231F20"/>
        </w:rPr>
        <w:t>toujours</w:t>
      </w:r>
      <w:r>
        <w:rPr>
          <w:color w:val="231F20"/>
          <w:spacing w:val="-2"/>
        </w:rPr>
        <w:t> </w:t>
      </w:r>
      <w:r>
        <w:rPr>
          <w:color w:val="231F20"/>
        </w:rPr>
        <w:t>du</w:t>
      </w:r>
      <w:r>
        <w:rPr>
          <w:color w:val="231F20"/>
          <w:spacing w:val="-3"/>
        </w:rPr>
        <w:t> </w:t>
      </w:r>
      <w:r>
        <w:rPr>
          <w:color w:val="231F20"/>
        </w:rPr>
        <w:t>mal</w:t>
      </w:r>
      <w:r>
        <w:rPr>
          <w:color w:val="231F20"/>
          <w:spacing w:val="-1"/>
        </w:rPr>
        <w:t> </w:t>
      </w:r>
      <w:r>
        <w:rPr>
          <w:color w:val="231F20"/>
        </w:rPr>
        <w:t>à</w:t>
      </w:r>
      <w:r>
        <w:rPr>
          <w:color w:val="231F20"/>
          <w:spacing w:val="-2"/>
        </w:rPr>
        <w:t> </w:t>
      </w:r>
      <w:r>
        <w:rPr>
          <w:color w:val="231F20"/>
        </w:rPr>
        <w:t>s’imposer</w:t>
      </w:r>
      <w:r>
        <w:rPr>
          <w:color w:val="231F20"/>
          <w:spacing w:val="-2"/>
        </w:rPr>
        <w:t> </w:t>
      </w:r>
      <w:r>
        <w:rPr>
          <w:color w:val="231F20"/>
        </w:rPr>
        <w:t>politiquement</w:t>
      </w:r>
      <w:r>
        <w:rPr>
          <w:color w:val="231F20"/>
          <w:spacing w:val="-2"/>
        </w:rPr>
        <w:t> </w:t>
      </w:r>
      <w:r>
        <w:rPr>
          <w:color w:val="231F20"/>
        </w:rPr>
        <w:t>après</w:t>
      </w:r>
      <w:r>
        <w:rPr>
          <w:color w:val="231F20"/>
          <w:spacing w:val="-4"/>
        </w:rPr>
        <w:t> </w:t>
      </w:r>
      <w:r>
        <w:rPr>
          <w:color w:val="231F20"/>
        </w:rPr>
        <w:t>le</w:t>
      </w:r>
      <w:r>
        <w:rPr>
          <w:color w:val="231F20"/>
          <w:spacing w:val="-2"/>
        </w:rPr>
        <w:t> </w:t>
      </w:r>
      <w:r>
        <w:rPr>
          <w:color w:val="231F20"/>
        </w:rPr>
        <w:t>long</w:t>
      </w:r>
      <w:r>
        <w:rPr>
          <w:color w:val="231F20"/>
          <w:spacing w:val="-2"/>
        </w:rPr>
        <w:t> </w:t>
      </w:r>
      <w:r>
        <w:rPr>
          <w:color w:val="231F20"/>
        </w:rPr>
        <w:t>règne</w:t>
      </w:r>
      <w:r>
        <w:rPr>
          <w:color w:val="231F20"/>
          <w:spacing w:val="-2"/>
        </w:rPr>
        <w:t> </w:t>
      </w:r>
      <w:r>
        <w:rPr>
          <w:color w:val="231F20"/>
        </w:rPr>
        <w:t>de</w:t>
      </w:r>
      <w:r>
        <w:rPr>
          <w:color w:val="231F20"/>
          <w:spacing w:val="-2"/>
        </w:rPr>
        <w:t> </w:t>
      </w:r>
      <w:r>
        <w:rPr>
          <w:color w:val="231F20"/>
        </w:rPr>
        <w:t>son </w:t>
      </w:r>
      <w:r>
        <w:rPr>
          <w:color w:val="231F20"/>
          <w:spacing w:val="-2"/>
        </w:rPr>
        <w:t>prédécesseur</w:t>
      </w:r>
      <w:r>
        <w:rPr>
          <w:color w:val="231F20"/>
          <w:spacing w:val="-7"/>
        </w:rPr>
        <w:t> </w:t>
      </w:r>
      <w:r>
        <w:rPr>
          <w:color w:val="231F20"/>
          <w:spacing w:val="-2"/>
        </w:rPr>
        <w:t>:</w:t>
      </w:r>
      <w:r>
        <w:rPr>
          <w:color w:val="231F20"/>
          <w:spacing w:val="-13"/>
        </w:rPr>
        <w:t> </w:t>
      </w:r>
      <w:r>
        <w:rPr>
          <w:color w:val="231F20"/>
          <w:spacing w:val="-2"/>
        </w:rPr>
        <w:t>il</w:t>
      </w:r>
      <w:r>
        <w:rPr>
          <w:color w:val="231F20"/>
          <w:spacing w:val="-12"/>
        </w:rPr>
        <w:t> </w:t>
      </w:r>
      <w:r>
        <w:rPr>
          <w:color w:val="231F20"/>
          <w:spacing w:val="-2"/>
        </w:rPr>
        <w:t>a</w:t>
      </w:r>
      <w:r>
        <w:rPr>
          <w:color w:val="231F20"/>
          <w:spacing w:val="-11"/>
        </w:rPr>
        <w:t> </w:t>
      </w:r>
      <w:r>
        <w:rPr>
          <w:color w:val="231F20"/>
          <w:spacing w:val="-2"/>
        </w:rPr>
        <w:t>besoin</w:t>
      </w:r>
      <w:r>
        <w:rPr>
          <w:color w:val="231F20"/>
          <w:spacing w:val="-13"/>
        </w:rPr>
        <w:t> </w:t>
      </w:r>
      <w:r>
        <w:rPr>
          <w:color w:val="231F20"/>
          <w:spacing w:val="-2"/>
        </w:rPr>
        <w:t>d’un</w:t>
      </w:r>
      <w:r>
        <w:rPr>
          <w:color w:val="231F20"/>
          <w:spacing w:val="-11"/>
        </w:rPr>
        <w:t> </w:t>
      </w:r>
      <w:r>
        <w:rPr>
          <w:color w:val="231F20"/>
          <w:spacing w:val="-2"/>
        </w:rPr>
        <w:t>«</w:t>
      </w:r>
      <w:r>
        <w:rPr>
          <w:color w:val="231F20"/>
          <w:spacing w:val="-6"/>
        </w:rPr>
        <w:t> </w:t>
      </w:r>
      <w:r>
        <w:rPr>
          <w:color w:val="231F20"/>
          <w:spacing w:val="-2"/>
        </w:rPr>
        <w:t>levain</w:t>
      </w:r>
      <w:r>
        <w:rPr>
          <w:color w:val="231F20"/>
          <w:spacing w:val="-10"/>
        </w:rPr>
        <w:t> </w:t>
      </w:r>
      <w:r>
        <w:rPr>
          <w:color w:val="231F20"/>
          <w:spacing w:val="-2"/>
        </w:rPr>
        <w:t>»</w:t>
      </w:r>
      <w:r>
        <w:rPr>
          <w:color w:val="231F20"/>
          <w:spacing w:val="-11"/>
        </w:rPr>
        <w:t> </w:t>
      </w:r>
      <w:r>
        <w:rPr>
          <w:color w:val="231F20"/>
          <w:spacing w:val="-2"/>
        </w:rPr>
        <w:t>pour</w:t>
      </w:r>
      <w:r>
        <w:rPr>
          <w:color w:val="231F20"/>
          <w:spacing w:val="-11"/>
        </w:rPr>
        <w:t> </w:t>
      </w:r>
      <w:r>
        <w:rPr>
          <w:color w:val="231F20"/>
          <w:spacing w:val="-2"/>
        </w:rPr>
        <w:t>«</w:t>
      </w:r>
      <w:r>
        <w:rPr>
          <w:color w:val="231F20"/>
          <w:spacing w:val="-9"/>
        </w:rPr>
        <w:t> </w:t>
      </w:r>
      <w:r>
        <w:rPr>
          <w:color w:val="231F20"/>
          <w:spacing w:val="-2"/>
        </w:rPr>
        <w:t>faire</w:t>
      </w:r>
      <w:r>
        <w:rPr>
          <w:color w:val="231F20"/>
          <w:spacing w:val="-11"/>
        </w:rPr>
        <w:t> </w:t>
      </w:r>
      <w:r>
        <w:rPr>
          <w:color w:val="231F20"/>
          <w:spacing w:val="-2"/>
        </w:rPr>
        <w:t>prendre</w:t>
      </w:r>
      <w:r>
        <w:rPr>
          <w:color w:val="231F20"/>
          <w:spacing w:val="-12"/>
        </w:rPr>
        <w:t> </w:t>
      </w:r>
      <w:r>
        <w:rPr>
          <w:color w:val="231F20"/>
          <w:spacing w:val="-2"/>
        </w:rPr>
        <w:t>sa</w:t>
      </w:r>
      <w:r>
        <w:rPr>
          <w:color w:val="231F20"/>
          <w:spacing w:val="-7"/>
        </w:rPr>
        <w:t> </w:t>
      </w:r>
      <w:r>
        <w:rPr>
          <w:color w:val="231F20"/>
          <w:spacing w:val="-2"/>
        </w:rPr>
        <w:t>politique</w:t>
      </w:r>
    </w:p>
    <w:p>
      <w:pPr>
        <w:spacing w:before="0"/>
        <w:ind w:left="111" w:right="102" w:firstLine="0"/>
        <w:jc w:val="both"/>
        <w:rPr>
          <w:i/>
          <w:sz w:val="24"/>
        </w:rPr>
      </w:pPr>
      <w:r>
        <w:rPr>
          <w:color w:val="231F20"/>
          <w:sz w:val="24"/>
        </w:rPr>
        <w:t>» et se faire accepter par l’ensemble de la population. Il lance alors le concept</w:t>
      </w:r>
      <w:r>
        <w:rPr>
          <w:color w:val="231F20"/>
          <w:spacing w:val="-15"/>
          <w:sz w:val="24"/>
        </w:rPr>
        <w:t> </w:t>
      </w:r>
      <w:r>
        <w:rPr>
          <w:color w:val="231F20"/>
          <w:sz w:val="24"/>
        </w:rPr>
        <w:t>d’ivoirité</w:t>
      </w:r>
      <w:r>
        <w:rPr>
          <w:color w:val="231F20"/>
          <w:spacing w:val="-15"/>
          <w:sz w:val="24"/>
        </w:rPr>
        <w:t> </w:t>
      </w:r>
      <w:r>
        <w:rPr>
          <w:color w:val="231F20"/>
          <w:sz w:val="24"/>
        </w:rPr>
        <w:t>:</w:t>
      </w:r>
      <w:r>
        <w:rPr>
          <w:color w:val="231F20"/>
          <w:spacing w:val="-15"/>
          <w:sz w:val="24"/>
        </w:rPr>
        <w:t> </w:t>
      </w:r>
      <w:r>
        <w:rPr>
          <w:color w:val="231F20"/>
          <w:sz w:val="24"/>
        </w:rPr>
        <w:t>«</w:t>
      </w:r>
      <w:r>
        <w:rPr>
          <w:color w:val="231F20"/>
          <w:spacing w:val="-15"/>
          <w:sz w:val="24"/>
        </w:rPr>
        <w:t> </w:t>
      </w:r>
      <w:r>
        <w:rPr>
          <w:color w:val="231F20"/>
          <w:sz w:val="24"/>
        </w:rPr>
        <w:t>ce</w:t>
      </w:r>
      <w:r>
        <w:rPr>
          <w:color w:val="231F20"/>
          <w:spacing w:val="-15"/>
          <w:sz w:val="24"/>
        </w:rPr>
        <w:t> </w:t>
      </w:r>
      <w:r>
        <w:rPr>
          <w:i/>
          <w:color w:val="231F20"/>
          <w:sz w:val="24"/>
        </w:rPr>
        <w:t>néologisme</w:t>
      </w:r>
      <w:r>
        <w:rPr>
          <w:i/>
          <w:color w:val="231F20"/>
          <w:spacing w:val="-15"/>
          <w:sz w:val="24"/>
        </w:rPr>
        <w:t> </w:t>
      </w:r>
      <w:r>
        <w:rPr>
          <w:i/>
          <w:color w:val="231F20"/>
          <w:sz w:val="24"/>
        </w:rPr>
        <w:t>se</w:t>
      </w:r>
      <w:r>
        <w:rPr>
          <w:i/>
          <w:color w:val="231F20"/>
          <w:spacing w:val="-15"/>
          <w:sz w:val="24"/>
        </w:rPr>
        <w:t> </w:t>
      </w:r>
      <w:r>
        <w:rPr>
          <w:i/>
          <w:color w:val="231F20"/>
          <w:sz w:val="24"/>
        </w:rPr>
        <w:t>définit</w:t>
      </w:r>
      <w:r>
        <w:rPr>
          <w:i/>
          <w:color w:val="231F20"/>
          <w:spacing w:val="-15"/>
          <w:sz w:val="24"/>
        </w:rPr>
        <w:t> </w:t>
      </w:r>
      <w:r>
        <w:rPr>
          <w:i/>
          <w:color w:val="231F20"/>
          <w:sz w:val="24"/>
        </w:rPr>
        <w:t>comme</w:t>
      </w:r>
      <w:r>
        <w:rPr>
          <w:i/>
          <w:color w:val="231F20"/>
          <w:spacing w:val="-15"/>
          <w:sz w:val="24"/>
        </w:rPr>
        <w:t> </w:t>
      </w:r>
      <w:r>
        <w:rPr>
          <w:i/>
          <w:color w:val="231F20"/>
          <w:sz w:val="24"/>
        </w:rPr>
        <w:t>étant</w:t>
      </w:r>
      <w:r>
        <w:rPr>
          <w:i/>
          <w:color w:val="231F20"/>
          <w:spacing w:val="-15"/>
          <w:sz w:val="24"/>
        </w:rPr>
        <w:t> </w:t>
      </w:r>
      <w:r>
        <w:rPr>
          <w:i/>
          <w:color w:val="231F20"/>
          <w:sz w:val="24"/>
        </w:rPr>
        <w:t>l’affirmation</w:t>
      </w:r>
      <w:r>
        <w:rPr>
          <w:i/>
          <w:color w:val="231F20"/>
          <w:sz w:val="24"/>
        </w:rPr>
        <w:t> d’une personnalité culturelle, et le moyen de l’épanouissement de </w:t>
      </w:r>
      <w:r>
        <w:rPr>
          <w:i/>
          <w:color w:val="231F20"/>
          <w:spacing w:val="-2"/>
          <w:sz w:val="24"/>
        </w:rPr>
        <w:t>l’Homme</w:t>
      </w:r>
      <w:r>
        <w:rPr>
          <w:i/>
          <w:color w:val="231F20"/>
          <w:spacing w:val="-13"/>
          <w:sz w:val="24"/>
        </w:rPr>
        <w:t> </w:t>
      </w:r>
      <w:r>
        <w:rPr>
          <w:i/>
          <w:color w:val="231F20"/>
          <w:spacing w:val="-2"/>
          <w:sz w:val="24"/>
        </w:rPr>
        <w:t>ivoirien</w:t>
      </w:r>
      <w:r>
        <w:rPr>
          <w:i/>
          <w:color w:val="231F20"/>
          <w:spacing w:val="-13"/>
          <w:sz w:val="24"/>
        </w:rPr>
        <w:t> </w:t>
      </w:r>
      <w:r>
        <w:rPr>
          <w:i/>
          <w:color w:val="231F20"/>
          <w:spacing w:val="-2"/>
          <w:sz w:val="24"/>
        </w:rPr>
        <w:t>dans</w:t>
      </w:r>
      <w:r>
        <w:rPr>
          <w:i/>
          <w:color w:val="231F20"/>
          <w:spacing w:val="-12"/>
          <w:sz w:val="24"/>
        </w:rPr>
        <w:t> </w:t>
      </w:r>
      <w:r>
        <w:rPr>
          <w:i/>
          <w:color w:val="231F20"/>
          <w:spacing w:val="-2"/>
          <w:sz w:val="24"/>
        </w:rPr>
        <w:t>ce</w:t>
      </w:r>
      <w:r>
        <w:rPr>
          <w:i/>
          <w:color w:val="231F20"/>
          <w:spacing w:val="-13"/>
          <w:sz w:val="24"/>
        </w:rPr>
        <w:t> </w:t>
      </w:r>
      <w:r>
        <w:rPr>
          <w:i/>
          <w:color w:val="231F20"/>
          <w:spacing w:val="-2"/>
          <w:sz w:val="24"/>
        </w:rPr>
        <w:t>qui</w:t>
      </w:r>
      <w:r>
        <w:rPr>
          <w:i/>
          <w:color w:val="231F20"/>
          <w:spacing w:val="-11"/>
          <w:sz w:val="24"/>
        </w:rPr>
        <w:t> </w:t>
      </w:r>
      <w:r>
        <w:rPr>
          <w:i/>
          <w:color w:val="231F20"/>
          <w:spacing w:val="-2"/>
          <w:sz w:val="24"/>
        </w:rPr>
        <w:t>fait</w:t>
      </w:r>
      <w:r>
        <w:rPr>
          <w:i/>
          <w:color w:val="231F20"/>
          <w:spacing w:val="-11"/>
          <w:sz w:val="24"/>
        </w:rPr>
        <w:t> </w:t>
      </w:r>
      <w:r>
        <w:rPr>
          <w:i/>
          <w:color w:val="231F20"/>
          <w:spacing w:val="-2"/>
          <w:sz w:val="24"/>
        </w:rPr>
        <w:t>sa</w:t>
      </w:r>
      <w:r>
        <w:rPr>
          <w:i/>
          <w:color w:val="231F20"/>
          <w:spacing w:val="-13"/>
          <w:sz w:val="24"/>
        </w:rPr>
        <w:t> </w:t>
      </w:r>
      <w:r>
        <w:rPr>
          <w:i/>
          <w:color w:val="231F20"/>
          <w:spacing w:val="-2"/>
          <w:sz w:val="24"/>
        </w:rPr>
        <w:t>spécificité.</w:t>
      </w:r>
      <w:r>
        <w:rPr>
          <w:i/>
          <w:color w:val="231F20"/>
          <w:spacing w:val="-12"/>
          <w:sz w:val="24"/>
        </w:rPr>
        <w:t> </w:t>
      </w:r>
      <w:r>
        <w:rPr>
          <w:i/>
          <w:color w:val="231F20"/>
          <w:spacing w:val="-2"/>
          <w:sz w:val="24"/>
        </w:rPr>
        <w:t>Il</w:t>
      </w:r>
      <w:r>
        <w:rPr>
          <w:i/>
          <w:color w:val="231F20"/>
          <w:spacing w:val="-11"/>
          <w:sz w:val="24"/>
        </w:rPr>
        <w:t> </w:t>
      </w:r>
      <w:r>
        <w:rPr>
          <w:i/>
          <w:color w:val="231F20"/>
          <w:spacing w:val="-2"/>
          <w:sz w:val="24"/>
        </w:rPr>
        <w:t>s’agit</w:t>
      </w:r>
      <w:r>
        <w:rPr>
          <w:i/>
          <w:color w:val="231F20"/>
          <w:spacing w:val="-11"/>
          <w:sz w:val="24"/>
        </w:rPr>
        <w:t> </w:t>
      </w:r>
      <w:r>
        <w:rPr>
          <w:i/>
          <w:color w:val="231F20"/>
          <w:spacing w:val="-2"/>
          <w:sz w:val="24"/>
        </w:rPr>
        <w:t>de</w:t>
      </w:r>
      <w:r>
        <w:rPr>
          <w:i/>
          <w:color w:val="231F20"/>
          <w:spacing w:val="-12"/>
          <w:sz w:val="24"/>
        </w:rPr>
        <w:t> </w:t>
      </w:r>
      <w:r>
        <w:rPr>
          <w:i/>
          <w:color w:val="231F20"/>
          <w:spacing w:val="-2"/>
          <w:sz w:val="24"/>
        </w:rPr>
        <w:t>rechercher</w:t>
      </w:r>
      <w:r>
        <w:rPr>
          <w:i/>
          <w:color w:val="231F20"/>
          <w:spacing w:val="-12"/>
          <w:sz w:val="24"/>
        </w:rPr>
        <w:t> </w:t>
      </w:r>
      <w:r>
        <w:rPr>
          <w:i/>
          <w:color w:val="231F20"/>
          <w:spacing w:val="-2"/>
          <w:sz w:val="24"/>
        </w:rPr>
        <w:t>et </w:t>
      </w:r>
      <w:r>
        <w:rPr>
          <w:i/>
          <w:color w:val="231F20"/>
          <w:sz w:val="24"/>
        </w:rPr>
        <w:t>de réunir les conditions les plus favorables à la réalisation de cette particularité, qui constitue une synthèse originale et féconde entre nos traditions et la modernité. Et cette œuvre doit être accomplie par</w:t>
      </w:r>
      <w:r>
        <w:rPr>
          <w:i/>
          <w:color w:val="231F20"/>
          <w:spacing w:val="-1"/>
          <w:sz w:val="24"/>
        </w:rPr>
        <w:t> </w:t>
      </w:r>
      <w:r>
        <w:rPr>
          <w:i/>
          <w:color w:val="231F20"/>
          <w:sz w:val="24"/>
        </w:rPr>
        <w:t>tous, aussi bien par le pouvoir politique que par l’ensemble des citoyens (…)</w:t>
      </w:r>
      <w:r>
        <w:rPr>
          <w:color w:val="76787A"/>
          <w:sz w:val="24"/>
          <w:vertAlign w:val="superscript"/>
        </w:rPr>
        <w:t>158</w:t>
      </w:r>
      <w:r>
        <w:rPr>
          <w:color w:val="76787A"/>
          <w:sz w:val="24"/>
          <w:vertAlign w:val="baseline"/>
        </w:rPr>
        <w:t> </w:t>
      </w:r>
      <w:r>
        <w:rPr>
          <w:i/>
          <w:color w:val="231F20"/>
          <w:sz w:val="24"/>
          <w:vertAlign w:val="baseline"/>
        </w:rPr>
        <w:t>»</w:t>
      </w:r>
    </w:p>
    <w:p>
      <w:pPr>
        <w:pStyle w:val="BodyText"/>
        <w:spacing w:before="121"/>
        <w:ind w:right="103" w:firstLine="283"/>
      </w:pPr>
      <w:r>
        <w:rPr>
          <w:color w:val="231F20"/>
        </w:rPr>
        <w:t>Le</w:t>
      </w:r>
      <w:r>
        <w:rPr>
          <w:color w:val="231F20"/>
          <w:spacing w:val="-15"/>
        </w:rPr>
        <w:t> </w:t>
      </w:r>
      <w:r>
        <w:rPr>
          <w:color w:val="231F20"/>
        </w:rPr>
        <w:t>concept</w:t>
      </w:r>
      <w:r>
        <w:rPr>
          <w:color w:val="231F20"/>
          <w:spacing w:val="-13"/>
        </w:rPr>
        <w:t> </w:t>
      </w:r>
      <w:r>
        <w:rPr>
          <w:color w:val="231F20"/>
        </w:rPr>
        <w:t>«</w:t>
      </w:r>
      <w:r>
        <w:rPr>
          <w:color w:val="231F20"/>
          <w:spacing w:val="-15"/>
        </w:rPr>
        <w:t> </w:t>
      </w:r>
      <w:r>
        <w:rPr>
          <w:color w:val="231F20"/>
        </w:rPr>
        <w:t>ivoirité</w:t>
      </w:r>
      <w:r>
        <w:rPr>
          <w:color w:val="231F20"/>
          <w:spacing w:val="-14"/>
        </w:rPr>
        <w:t> </w:t>
      </w:r>
      <w:r>
        <w:rPr>
          <w:color w:val="231F20"/>
        </w:rPr>
        <w:t>»</w:t>
      </w:r>
      <w:r>
        <w:rPr>
          <w:color w:val="231F20"/>
          <w:spacing w:val="-13"/>
        </w:rPr>
        <w:t> </w:t>
      </w:r>
      <w:r>
        <w:rPr>
          <w:color w:val="231F20"/>
        </w:rPr>
        <w:t>n’est</w:t>
      </w:r>
      <w:r>
        <w:rPr>
          <w:color w:val="231F20"/>
          <w:spacing w:val="-13"/>
        </w:rPr>
        <w:t> </w:t>
      </w:r>
      <w:r>
        <w:rPr>
          <w:color w:val="231F20"/>
        </w:rPr>
        <w:t>pas</w:t>
      </w:r>
      <w:r>
        <w:rPr>
          <w:color w:val="231F20"/>
          <w:spacing w:val="-13"/>
        </w:rPr>
        <w:t> </w:t>
      </w:r>
      <w:r>
        <w:rPr>
          <w:color w:val="231F20"/>
        </w:rPr>
        <w:t>né</w:t>
      </w:r>
      <w:r>
        <w:rPr>
          <w:color w:val="231F20"/>
          <w:spacing w:val="-13"/>
        </w:rPr>
        <w:t> </w:t>
      </w:r>
      <w:r>
        <w:rPr>
          <w:color w:val="231F20"/>
        </w:rPr>
        <w:t>avec</w:t>
      </w:r>
      <w:r>
        <w:rPr>
          <w:color w:val="231F20"/>
          <w:spacing w:val="-13"/>
        </w:rPr>
        <w:t> </w:t>
      </w:r>
      <w:r>
        <w:rPr>
          <w:color w:val="231F20"/>
        </w:rPr>
        <w:t>Bédié.</w:t>
      </w:r>
      <w:r>
        <w:rPr>
          <w:color w:val="231F20"/>
          <w:spacing w:val="-13"/>
        </w:rPr>
        <w:t> </w:t>
      </w:r>
      <w:r>
        <w:rPr>
          <w:color w:val="231F20"/>
        </w:rPr>
        <w:t>Il</w:t>
      </w:r>
      <w:r>
        <w:rPr>
          <w:color w:val="231F20"/>
          <w:spacing w:val="-13"/>
        </w:rPr>
        <w:t> </w:t>
      </w:r>
      <w:r>
        <w:rPr>
          <w:color w:val="231F20"/>
        </w:rPr>
        <w:t>a</w:t>
      </w:r>
      <w:r>
        <w:rPr>
          <w:color w:val="231F20"/>
          <w:spacing w:val="-14"/>
        </w:rPr>
        <w:t> </w:t>
      </w:r>
      <w:r>
        <w:rPr>
          <w:color w:val="231F20"/>
        </w:rPr>
        <w:t>été</w:t>
      </w:r>
      <w:r>
        <w:rPr>
          <w:color w:val="231F20"/>
          <w:spacing w:val="-13"/>
        </w:rPr>
        <w:t> </w:t>
      </w:r>
      <w:r>
        <w:rPr>
          <w:color w:val="231F20"/>
        </w:rPr>
        <w:t>inventé</w:t>
      </w:r>
      <w:r>
        <w:rPr>
          <w:color w:val="231F20"/>
          <w:spacing w:val="-13"/>
        </w:rPr>
        <w:t> </w:t>
      </w:r>
      <w:r>
        <w:rPr>
          <w:color w:val="231F20"/>
        </w:rPr>
        <w:t>par</w:t>
      </w:r>
      <w:r>
        <w:rPr>
          <w:color w:val="231F20"/>
          <w:spacing w:val="-13"/>
        </w:rPr>
        <w:t> </w:t>
      </w:r>
      <w:r>
        <w:rPr>
          <w:color w:val="231F20"/>
        </w:rPr>
        <w:t>un </w:t>
      </w:r>
      <w:r>
        <w:rPr>
          <w:color w:val="231F20"/>
          <w:spacing w:val="-4"/>
        </w:rPr>
        <w:t>universitaire, Dieudonné</w:t>
      </w:r>
      <w:r>
        <w:rPr>
          <w:color w:val="231F20"/>
          <w:spacing w:val="-7"/>
        </w:rPr>
        <w:t> </w:t>
      </w:r>
      <w:r>
        <w:rPr>
          <w:color w:val="231F20"/>
          <w:spacing w:val="-4"/>
        </w:rPr>
        <w:t>Niangoran-Porquet,</w:t>
      </w:r>
      <w:r>
        <w:rPr>
          <w:color w:val="231F20"/>
          <w:spacing w:val="-7"/>
        </w:rPr>
        <w:t> </w:t>
      </w:r>
      <w:r>
        <w:rPr>
          <w:color w:val="231F20"/>
          <w:spacing w:val="-4"/>
        </w:rPr>
        <w:t>dans</w:t>
      </w:r>
      <w:r>
        <w:rPr>
          <w:color w:val="231F20"/>
          <w:spacing w:val="-7"/>
        </w:rPr>
        <w:t> </w:t>
      </w:r>
      <w:r>
        <w:rPr>
          <w:color w:val="231F20"/>
          <w:spacing w:val="-4"/>
        </w:rPr>
        <w:t>les années</w:t>
      </w:r>
      <w:r>
        <w:rPr>
          <w:color w:val="231F20"/>
          <w:spacing w:val="-7"/>
        </w:rPr>
        <w:t> </w:t>
      </w:r>
      <w:r>
        <w:rPr>
          <w:color w:val="231F20"/>
          <w:spacing w:val="-4"/>
        </w:rPr>
        <w:t>70.</w:t>
      </w:r>
      <w:r>
        <w:rPr>
          <w:color w:val="231F20"/>
          <w:spacing w:val="-8"/>
        </w:rPr>
        <w:t> </w:t>
      </w:r>
      <w:r>
        <w:rPr>
          <w:color w:val="231F20"/>
          <w:spacing w:val="-4"/>
        </w:rPr>
        <w:t>Homme </w:t>
      </w:r>
      <w:r>
        <w:rPr>
          <w:color w:val="231F20"/>
        </w:rPr>
        <w:t>de culture, Niangoran-Porquet, prônait une authenticité africaine dans tous les domaines</w:t>
      </w:r>
      <w:r>
        <w:rPr>
          <w:color w:val="231F20"/>
          <w:spacing w:val="-12"/>
        </w:rPr>
        <w:t> </w:t>
      </w:r>
      <w:r>
        <w:rPr>
          <w:color w:val="231F20"/>
        </w:rPr>
        <w:t>: il parlait alors «</w:t>
      </w:r>
      <w:r>
        <w:rPr>
          <w:color w:val="231F20"/>
          <w:spacing w:val="-14"/>
        </w:rPr>
        <w:t> </w:t>
      </w:r>
      <w:r>
        <w:rPr>
          <w:color w:val="231F20"/>
        </w:rPr>
        <w:t>d’africanité.</w:t>
      </w:r>
      <w:r>
        <w:rPr>
          <w:color w:val="231F20"/>
          <w:spacing w:val="-13"/>
        </w:rPr>
        <w:t> </w:t>
      </w:r>
      <w:r>
        <w:rPr>
          <w:color w:val="231F20"/>
        </w:rPr>
        <w:t>» Bédié reprend le </w:t>
      </w:r>
      <w:r>
        <w:rPr>
          <w:color w:val="231F20"/>
          <w:spacing w:val="-2"/>
        </w:rPr>
        <w:t>concept</w:t>
      </w:r>
      <w:r>
        <w:rPr>
          <w:color w:val="231F20"/>
          <w:spacing w:val="-3"/>
        </w:rPr>
        <w:t> </w:t>
      </w:r>
      <w:r>
        <w:rPr>
          <w:color w:val="231F20"/>
          <w:spacing w:val="-2"/>
        </w:rPr>
        <w:t>pour</w:t>
      </w:r>
      <w:r>
        <w:rPr>
          <w:color w:val="231F20"/>
          <w:spacing w:val="-6"/>
        </w:rPr>
        <w:t> </w:t>
      </w:r>
      <w:r>
        <w:rPr>
          <w:color w:val="231F20"/>
          <w:spacing w:val="-2"/>
        </w:rPr>
        <w:t>dit-il,</w:t>
      </w:r>
      <w:r>
        <w:rPr>
          <w:color w:val="231F20"/>
          <w:spacing w:val="-4"/>
        </w:rPr>
        <w:t> </w:t>
      </w:r>
      <w:r>
        <w:rPr>
          <w:color w:val="231F20"/>
          <w:spacing w:val="-2"/>
        </w:rPr>
        <w:t>exalter</w:t>
      </w:r>
      <w:r>
        <w:rPr>
          <w:color w:val="231F20"/>
          <w:spacing w:val="-4"/>
        </w:rPr>
        <w:t> </w:t>
      </w:r>
      <w:r>
        <w:rPr>
          <w:color w:val="231F20"/>
          <w:spacing w:val="-2"/>
        </w:rPr>
        <w:t>les</w:t>
      </w:r>
      <w:r>
        <w:rPr>
          <w:color w:val="231F20"/>
          <w:spacing w:val="-6"/>
        </w:rPr>
        <w:t> </w:t>
      </w:r>
      <w:r>
        <w:rPr>
          <w:color w:val="231F20"/>
          <w:spacing w:val="-2"/>
        </w:rPr>
        <w:t>valeurs</w:t>
      </w:r>
      <w:r>
        <w:rPr>
          <w:color w:val="231F20"/>
          <w:spacing w:val="-6"/>
        </w:rPr>
        <w:t> </w:t>
      </w:r>
      <w:r>
        <w:rPr>
          <w:color w:val="231F20"/>
          <w:spacing w:val="-2"/>
        </w:rPr>
        <w:t>ivoiriennes,</w:t>
      </w:r>
      <w:r>
        <w:rPr>
          <w:color w:val="231F20"/>
          <w:spacing w:val="-4"/>
        </w:rPr>
        <w:t> </w:t>
      </w:r>
      <w:r>
        <w:rPr>
          <w:color w:val="231F20"/>
          <w:spacing w:val="-2"/>
        </w:rPr>
        <w:t>inciter</w:t>
      </w:r>
      <w:r>
        <w:rPr>
          <w:color w:val="231F20"/>
          <w:spacing w:val="-7"/>
        </w:rPr>
        <w:t> </w:t>
      </w:r>
      <w:r>
        <w:rPr>
          <w:color w:val="231F20"/>
          <w:spacing w:val="-2"/>
        </w:rPr>
        <w:t>l’ivoirien</w:t>
      </w:r>
      <w:r>
        <w:rPr>
          <w:color w:val="231F20"/>
          <w:spacing w:val="-6"/>
        </w:rPr>
        <w:t> </w:t>
      </w:r>
      <w:r>
        <w:rPr>
          <w:color w:val="231F20"/>
          <w:spacing w:val="-2"/>
        </w:rPr>
        <w:t>mais </w:t>
      </w:r>
      <w:r>
        <w:rPr>
          <w:color w:val="231F20"/>
        </w:rPr>
        <w:t>également tous les habitants du pays, en cette période de recession économique, à consommer «</w:t>
      </w:r>
      <w:r>
        <w:rPr>
          <w:color w:val="231F20"/>
          <w:spacing w:val="-14"/>
        </w:rPr>
        <w:t> </w:t>
      </w:r>
      <w:r>
        <w:rPr>
          <w:color w:val="231F20"/>
        </w:rPr>
        <w:t>made in Côte d’Ivoire.</w:t>
      </w:r>
      <w:r>
        <w:rPr>
          <w:color w:val="231F20"/>
          <w:spacing w:val="-14"/>
        </w:rPr>
        <w:t> </w:t>
      </w:r>
      <w:r>
        <w:rPr>
          <w:color w:val="231F20"/>
        </w:rPr>
        <w:t>» La production nationale connaît un très fort ralentissement, le prix des matières nationales Café, Cacao poursuivent leur chute, et tandis qu’une dévaluation vient opérée, les importations de biens et matières de productions de même que les consommations importées continuent d’augmenter. Il fallait à tout prix que la Côte d’Ivoire développe une industrie pérenne tournée vers l’exportation et réussisse à diminuer le montant</w:t>
      </w:r>
      <w:r>
        <w:rPr>
          <w:color w:val="231F20"/>
          <w:spacing w:val="-12"/>
        </w:rPr>
        <w:t> </w:t>
      </w:r>
      <w:r>
        <w:rPr>
          <w:color w:val="231F20"/>
        </w:rPr>
        <w:t>de</w:t>
      </w:r>
      <w:r>
        <w:rPr>
          <w:color w:val="231F20"/>
          <w:spacing w:val="-12"/>
        </w:rPr>
        <w:t> </w:t>
      </w:r>
      <w:r>
        <w:rPr>
          <w:color w:val="231F20"/>
        </w:rPr>
        <w:t>ses</w:t>
      </w:r>
      <w:r>
        <w:rPr>
          <w:color w:val="231F20"/>
          <w:spacing w:val="-12"/>
        </w:rPr>
        <w:t> </w:t>
      </w:r>
      <w:r>
        <w:rPr>
          <w:color w:val="231F20"/>
        </w:rPr>
        <w:t>importations.</w:t>
      </w:r>
      <w:r>
        <w:rPr>
          <w:color w:val="231F20"/>
          <w:spacing w:val="-12"/>
        </w:rPr>
        <w:t> </w:t>
      </w:r>
      <w:r>
        <w:rPr>
          <w:color w:val="231F20"/>
        </w:rPr>
        <w:t>L’ivoirité</w:t>
      </w:r>
      <w:r>
        <w:rPr>
          <w:color w:val="231F20"/>
          <w:spacing w:val="-12"/>
        </w:rPr>
        <w:t> </w:t>
      </w:r>
      <w:r>
        <w:rPr>
          <w:color w:val="231F20"/>
        </w:rPr>
        <w:t>appelait</w:t>
      </w:r>
      <w:r>
        <w:rPr>
          <w:color w:val="231F20"/>
          <w:spacing w:val="-12"/>
        </w:rPr>
        <w:t> </w:t>
      </w:r>
      <w:r>
        <w:rPr>
          <w:color w:val="231F20"/>
        </w:rPr>
        <w:t>à</w:t>
      </w:r>
      <w:r>
        <w:rPr>
          <w:color w:val="231F20"/>
          <w:spacing w:val="-13"/>
        </w:rPr>
        <w:t> </w:t>
      </w:r>
      <w:r>
        <w:rPr>
          <w:color w:val="231F20"/>
        </w:rPr>
        <w:t>l’élan</w:t>
      </w:r>
      <w:r>
        <w:rPr>
          <w:color w:val="231F20"/>
          <w:spacing w:val="-13"/>
        </w:rPr>
        <w:t> </w:t>
      </w:r>
      <w:r>
        <w:rPr>
          <w:color w:val="231F20"/>
        </w:rPr>
        <w:t>national</w:t>
      </w:r>
      <w:r>
        <w:rPr>
          <w:color w:val="231F20"/>
          <w:spacing w:val="-14"/>
        </w:rPr>
        <w:t> </w:t>
      </w:r>
      <w:r>
        <w:rPr>
          <w:color w:val="231F20"/>
        </w:rPr>
        <w:t>via</w:t>
      </w:r>
      <w:r>
        <w:rPr>
          <w:color w:val="231F20"/>
          <w:spacing w:val="-13"/>
        </w:rPr>
        <w:t> </w:t>
      </w:r>
      <w:r>
        <w:rPr>
          <w:color w:val="231F20"/>
        </w:rPr>
        <w:t>des spots publicitaires (radio, affichage public, télévision et journaux de presse)</w:t>
      </w:r>
      <w:r>
        <w:rPr>
          <w:color w:val="231F20"/>
          <w:spacing w:val="-15"/>
        </w:rPr>
        <w:t> </w:t>
      </w:r>
      <w:r>
        <w:rPr>
          <w:color w:val="231F20"/>
        </w:rPr>
        <w:t>avec</w:t>
      </w:r>
      <w:r>
        <w:rPr>
          <w:color w:val="231F20"/>
          <w:spacing w:val="-15"/>
        </w:rPr>
        <w:t> </w:t>
      </w:r>
      <w:r>
        <w:rPr>
          <w:color w:val="231F20"/>
        </w:rPr>
        <w:t>un</w:t>
      </w:r>
      <w:r>
        <w:rPr>
          <w:color w:val="231F20"/>
          <w:spacing w:val="-13"/>
        </w:rPr>
        <w:t> </w:t>
      </w:r>
      <w:r>
        <w:rPr>
          <w:color w:val="231F20"/>
        </w:rPr>
        <w:t>slogan</w:t>
      </w:r>
      <w:r>
        <w:rPr>
          <w:color w:val="231F20"/>
          <w:spacing w:val="-13"/>
        </w:rPr>
        <w:t> </w:t>
      </w:r>
      <w:r>
        <w:rPr>
          <w:color w:val="231F20"/>
        </w:rPr>
        <w:t>simple</w:t>
      </w:r>
      <w:r>
        <w:rPr>
          <w:color w:val="231F20"/>
          <w:spacing w:val="-15"/>
        </w:rPr>
        <w:t> </w:t>
      </w:r>
      <w:r>
        <w:rPr>
          <w:color w:val="231F20"/>
        </w:rPr>
        <w:t>:</w:t>
      </w:r>
      <w:r>
        <w:rPr>
          <w:color w:val="231F20"/>
          <w:spacing w:val="-12"/>
        </w:rPr>
        <w:t> </w:t>
      </w:r>
      <w:r>
        <w:rPr>
          <w:color w:val="231F20"/>
        </w:rPr>
        <w:t>‘’</w:t>
      </w:r>
      <w:r>
        <w:rPr>
          <w:color w:val="231F20"/>
          <w:spacing w:val="-14"/>
        </w:rPr>
        <w:t> </w:t>
      </w:r>
      <w:r>
        <w:rPr>
          <w:color w:val="231F20"/>
        </w:rPr>
        <w:t>Consommons</w:t>
      </w:r>
      <w:r>
        <w:rPr>
          <w:color w:val="231F20"/>
          <w:spacing w:val="-13"/>
        </w:rPr>
        <w:t> </w:t>
      </w:r>
      <w:r>
        <w:rPr>
          <w:color w:val="231F20"/>
        </w:rPr>
        <w:t>ivoirien’’</w:t>
      </w:r>
      <w:r>
        <w:rPr>
          <w:color w:val="231F20"/>
          <w:spacing w:val="-14"/>
        </w:rPr>
        <w:t> </w:t>
      </w:r>
      <w:r>
        <w:rPr>
          <w:color w:val="231F20"/>
        </w:rPr>
        <w:t>le</w:t>
      </w:r>
      <w:r>
        <w:rPr>
          <w:color w:val="231F20"/>
          <w:spacing w:val="-14"/>
        </w:rPr>
        <w:t> </w:t>
      </w:r>
      <w:r>
        <w:rPr>
          <w:color w:val="231F20"/>
        </w:rPr>
        <w:t>message</w:t>
      </w:r>
      <w:r>
        <w:rPr>
          <w:color w:val="231F20"/>
          <w:spacing w:val="-13"/>
        </w:rPr>
        <w:t> </w:t>
      </w:r>
      <w:r>
        <w:rPr>
          <w:color w:val="231F20"/>
        </w:rPr>
        <w:t>se voulait clair et simple, vantant les consommations alimentaires des différentes</w:t>
      </w:r>
      <w:r>
        <w:rPr>
          <w:color w:val="231F20"/>
          <w:spacing w:val="-5"/>
        </w:rPr>
        <w:t> </w:t>
      </w:r>
      <w:r>
        <w:rPr>
          <w:color w:val="231F20"/>
        </w:rPr>
        <w:t>régions</w:t>
      </w:r>
      <w:r>
        <w:rPr>
          <w:color w:val="231F20"/>
          <w:spacing w:val="-4"/>
        </w:rPr>
        <w:t> </w:t>
      </w:r>
      <w:r>
        <w:rPr>
          <w:color w:val="231F20"/>
        </w:rPr>
        <w:t>du</w:t>
      </w:r>
      <w:r>
        <w:rPr>
          <w:color w:val="231F20"/>
          <w:spacing w:val="-7"/>
        </w:rPr>
        <w:t> </w:t>
      </w:r>
      <w:r>
        <w:rPr>
          <w:color w:val="231F20"/>
        </w:rPr>
        <w:t>pays</w:t>
      </w:r>
      <w:r>
        <w:rPr>
          <w:color w:val="231F20"/>
          <w:spacing w:val="-4"/>
        </w:rPr>
        <w:t> </w:t>
      </w:r>
      <w:r>
        <w:rPr>
          <w:color w:val="231F20"/>
        </w:rPr>
        <w:t>du</w:t>
      </w:r>
      <w:r>
        <w:rPr>
          <w:color w:val="231F20"/>
          <w:spacing w:val="-5"/>
        </w:rPr>
        <w:t> </w:t>
      </w:r>
      <w:r>
        <w:rPr>
          <w:color w:val="231F20"/>
        </w:rPr>
        <w:t>Nord</w:t>
      </w:r>
      <w:r>
        <w:rPr>
          <w:color w:val="231F20"/>
          <w:spacing w:val="-5"/>
        </w:rPr>
        <w:t> </w:t>
      </w:r>
      <w:r>
        <w:rPr>
          <w:color w:val="231F20"/>
        </w:rPr>
        <w:t>au</w:t>
      </w:r>
      <w:r>
        <w:rPr>
          <w:color w:val="231F20"/>
          <w:spacing w:val="-7"/>
        </w:rPr>
        <w:t> </w:t>
      </w:r>
      <w:r>
        <w:rPr>
          <w:color w:val="231F20"/>
        </w:rPr>
        <w:t>Sud</w:t>
      </w:r>
      <w:r>
        <w:rPr>
          <w:color w:val="231F20"/>
          <w:spacing w:val="-4"/>
        </w:rPr>
        <w:t> </w:t>
      </w:r>
      <w:r>
        <w:rPr>
          <w:color w:val="231F20"/>
        </w:rPr>
        <w:t>et</w:t>
      </w:r>
      <w:r>
        <w:rPr>
          <w:color w:val="231F20"/>
          <w:spacing w:val="-7"/>
        </w:rPr>
        <w:t> </w:t>
      </w:r>
      <w:r>
        <w:rPr>
          <w:color w:val="231F20"/>
        </w:rPr>
        <w:t>de</w:t>
      </w:r>
      <w:r>
        <w:rPr>
          <w:color w:val="231F20"/>
          <w:spacing w:val="-4"/>
        </w:rPr>
        <w:t> </w:t>
      </w:r>
      <w:r>
        <w:rPr>
          <w:color w:val="231F20"/>
        </w:rPr>
        <w:t>l’Est</w:t>
      </w:r>
      <w:r>
        <w:rPr>
          <w:color w:val="231F20"/>
          <w:spacing w:val="-4"/>
        </w:rPr>
        <w:t> </w:t>
      </w:r>
      <w:r>
        <w:rPr>
          <w:color w:val="231F20"/>
        </w:rPr>
        <w:t>à</w:t>
      </w:r>
      <w:r>
        <w:rPr>
          <w:color w:val="231F20"/>
          <w:spacing w:val="-7"/>
        </w:rPr>
        <w:t> </w:t>
      </w:r>
      <w:r>
        <w:rPr>
          <w:color w:val="231F20"/>
        </w:rPr>
        <w:t>l’Ouest.</w:t>
      </w:r>
    </w:p>
    <w:p>
      <w:pPr>
        <w:pStyle w:val="BodyText"/>
        <w:spacing w:before="121"/>
        <w:ind w:left="112" w:right="105" w:firstLine="283"/>
      </w:pPr>
      <w:r>
        <w:rPr>
          <w:color w:val="231F20"/>
          <w:spacing w:val="-2"/>
        </w:rPr>
        <w:t>Le</w:t>
      </w:r>
      <w:r>
        <w:rPr>
          <w:color w:val="231F20"/>
          <w:spacing w:val="-10"/>
        </w:rPr>
        <w:t> </w:t>
      </w:r>
      <w:r>
        <w:rPr>
          <w:color w:val="231F20"/>
          <w:spacing w:val="-2"/>
        </w:rPr>
        <w:t>concept</w:t>
      </w:r>
      <w:r>
        <w:rPr>
          <w:color w:val="231F20"/>
          <w:spacing w:val="-10"/>
        </w:rPr>
        <w:t> </w:t>
      </w:r>
      <w:r>
        <w:rPr>
          <w:color w:val="231F20"/>
          <w:spacing w:val="-2"/>
        </w:rPr>
        <w:t>devait</w:t>
      </w:r>
      <w:r>
        <w:rPr>
          <w:color w:val="231F20"/>
          <w:spacing w:val="-10"/>
        </w:rPr>
        <w:t> </w:t>
      </w:r>
      <w:r>
        <w:rPr>
          <w:color w:val="231F20"/>
          <w:spacing w:val="-2"/>
        </w:rPr>
        <w:t>être</w:t>
      </w:r>
      <w:r>
        <w:rPr>
          <w:color w:val="231F20"/>
          <w:spacing w:val="-11"/>
        </w:rPr>
        <w:t> </w:t>
      </w:r>
      <w:r>
        <w:rPr>
          <w:color w:val="231F20"/>
          <w:spacing w:val="-2"/>
        </w:rPr>
        <w:t>un</w:t>
      </w:r>
      <w:r>
        <w:rPr>
          <w:color w:val="231F20"/>
          <w:spacing w:val="-13"/>
        </w:rPr>
        <w:t> </w:t>
      </w:r>
      <w:r>
        <w:rPr>
          <w:color w:val="231F20"/>
          <w:spacing w:val="-2"/>
        </w:rPr>
        <w:t>facteur</w:t>
      </w:r>
      <w:r>
        <w:rPr>
          <w:color w:val="231F20"/>
          <w:spacing w:val="-9"/>
        </w:rPr>
        <w:t> </w:t>
      </w:r>
      <w:r>
        <w:rPr>
          <w:color w:val="231F20"/>
          <w:spacing w:val="-2"/>
        </w:rPr>
        <w:t>de</w:t>
      </w:r>
      <w:r>
        <w:rPr>
          <w:color w:val="231F20"/>
          <w:spacing w:val="-11"/>
        </w:rPr>
        <w:t> </w:t>
      </w:r>
      <w:r>
        <w:rPr>
          <w:color w:val="231F20"/>
          <w:spacing w:val="-2"/>
        </w:rPr>
        <w:t>rassemblement</w:t>
      </w:r>
      <w:r>
        <w:rPr>
          <w:color w:val="231F20"/>
          <w:spacing w:val="-12"/>
        </w:rPr>
        <w:t> </w:t>
      </w:r>
      <w:r>
        <w:rPr>
          <w:color w:val="231F20"/>
          <w:spacing w:val="-2"/>
        </w:rPr>
        <w:t>permettant</w:t>
      </w:r>
      <w:r>
        <w:rPr>
          <w:color w:val="231F20"/>
          <w:spacing w:val="-11"/>
        </w:rPr>
        <w:t> </w:t>
      </w:r>
      <w:r>
        <w:rPr>
          <w:color w:val="231F20"/>
          <w:spacing w:val="-2"/>
        </w:rPr>
        <w:t>à</w:t>
      </w:r>
      <w:r>
        <w:rPr>
          <w:color w:val="231F20"/>
          <w:spacing w:val="-11"/>
        </w:rPr>
        <w:t> </w:t>
      </w:r>
      <w:r>
        <w:rPr>
          <w:color w:val="231F20"/>
          <w:spacing w:val="-2"/>
        </w:rPr>
        <w:t>tous, </w:t>
      </w:r>
      <w:r>
        <w:rPr>
          <w:color w:val="231F20"/>
        </w:rPr>
        <w:t>Ivoiriens de naissance ou d’adoption, vivant dans le pays ou vivant à l’extérieur mais se réclamant de la Côte d’Ivoire, de pouvoir défendre </w:t>
      </w:r>
      <w:r>
        <w:rPr>
          <w:color w:val="231F20"/>
          <w:spacing w:val="-4"/>
        </w:rPr>
        <w:t>l’identité</w:t>
      </w:r>
      <w:r>
        <w:rPr>
          <w:color w:val="231F20"/>
          <w:spacing w:val="-12"/>
        </w:rPr>
        <w:t> </w:t>
      </w:r>
      <w:r>
        <w:rPr>
          <w:color w:val="231F20"/>
          <w:spacing w:val="-4"/>
        </w:rPr>
        <w:t>culturelle</w:t>
      </w:r>
      <w:r>
        <w:rPr>
          <w:color w:val="231F20"/>
          <w:spacing w:val="-12"/>
        </w:rPr>
        <w:t> </w:t>
      </w:r>
      <w:r>
        <w:rPr>
          <w:color w:val="231F20"/>
          <w:spacing w:val="-4"/>
        </w:rPr>
        <w:t>ivoirienne</w:t>
      </w:r>
      <w:r>
        <w:rPr>
          <w:color w:val="231F20"/>
          <w:spacing w:val="-9"/>
        </w:rPr>
        <w:t> </w:t>
      </w:r>
      <w:r>
        <w:rPr>
          <w:color w:val="231F20"/>
          <w:spacing w:val="-4"/>
        </w:rPr>
        <w:t>à</w:t>
      </w:r>
      <w:r>
        <w:rPr>
          <w:color w:val="231F20"/>
          <w:spacing w:val="-12"/>
        </w:rPr>
        <w:t> </w:t>
      </w:r>
      <w:r>
        <w:rPr>
          <w:color w:val="231F20"/>
          <w:spacing w:val="-4"/>
        </w:rPr>
        <w:t>travers</w:t>
      </w:r>
      <w:r>
        <w:rPr>
          <w:color w:val="231F20"/>
          <w:spacing w:val="-12"/>
        </w:rPr>
        <w:t> </w:t>
      </w:r>
      <w:r>
        <w:rPr>
          <w:color w:val="231F20"/>
          <w:spacing w:val="-4"/>
        </w:rPr>
        <w:t>laquelle</w:t>
      </w:r>
      <w:r>
        <w:rPr>
          <w:color w:val="231F20"/>
          <w:spacing w:val="-10"/>
        </w:rPr>
        <w:t> </w:t>
      </w:r>
      <w:r>
        <w:rPr>
          <w:color w:val="231F20"/>
          <w:spacing w:val="-4"/>
        </w:rPr>
        <w:t>ils</w:t>
      </w:r>
      <w:r>
        <w:rPr>
          <w:color w:val="231F20"/>
          <w:spacing w:val="-9"/>
        </w:rPr>
        <w:t> </w:t>
      </w:r>
      <w:r>
        <w:rPr>
          <w:color w:val="231F20"/>
          <w:spacing w:val="-4"/>
        </w:rPr>
        <w:t>peuvent</w:t>
      </w:r>
      <w:r>
        <w:rPr>
          <w:color w:val="231F20"/>
          <w:spacing w:val="-10"/>
        </w:rPr>
        <w:t> </w:t>
      </w:r>
      <w:r>
        <w:rPr>
          <w:color w:val="231F20"/>
          <w:spacing w:val="-4"/>
        </w:rPr>
        <w:t>se</w:t>
      </w:r>
      <w:r>
        <w:rPr>
          <w:color w:val="231F20"/>
          <w:spacing w:val="-8"/>
        </w:rPr>
        <w:t> </w:t>
      </w:r>
      <w:r>
        <w:rPr>
          <w:color w:val="231F20"/>
          <w:spacing w:val="-4"/>
        </w:rPr>
        <w:t>reconnaître.</w:t>
      </w:r>
    </w:p>
    <w:p>
      <w:pPr>
        <w:pStyle w:val="BodyText"/>
        <w:spacing w:before="172"/>
        <w:ind w:left="0"/>
        <w:jc w:val="left"/>
        <w:rPr>
          <w:sz w:val="20"/>
        </w:rPr>
      </w:pPr>
      <w:r>
        <w:rPr/>
        <mc:AlternateContent>
          <mc:Choice Requires="wps">
            <w:drawing>
              <wp:anchor distT="0" distB="0" distL="0" distR="0" allowOverlap="1" layoutInCell="1" locked="0" behindDoc="1" simplePos="0" relativeHeight="487637504">
                <wp:simplePos x="0" y="0"/>
                <wp:positionH relativeFrom="page">
                  <wp:posOffset>629907</wp:posOffset>
                </wp:positionH>
                <wp:positionV relativeFrom="paragraph">
                  <wp:posOffset>270728</wp:posOffset>
                </wp:positionV>
                <wp:extent cx="1829435" cy="9525"/>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1.317188pt;width:144.020pt;height:.72pt;mso-position-horizontal-relative:page;mso-position-vertical-relative:paragraph;z-index:-15678976;mso-wrap-distance-left:0;mso-wrap-distance-right:0" id="docshape124" filled="true" fillcolor="#231f20" stroked="false">
                <v:fill type="solid"/>
                <w10:wrap type="topAndBottom"/>
              </v:rect>
            </w:pict>
          </mc:Fallback>
        </mc:AlternateContent>
      </w:r>
    </w:p>
    <w:p>
      <w:pPr>
        <w:spacing w:before="94"/>
        <w:ind w:left="111" w:right="0" w:firstLine="0"/>
        <w:jc w:val="left"/>
        <w:rPr>
          <w:sz w:val="20"/>
        </w:rPr>
      </w:pPr>
      <w:r>
        <w:rPr>
          <w:color w:val="76787A"/>
          <w:sz w:val="20"/>
          <w:vertAlign w:val="superscript"/>
        </w:rPr>
        <w:t>158</w:t>
      </w:r>
      <w:r>
        <w:rPr>
          <w:color w:val="76787A"/>
          <w:spacing w:val="31"/>
          <w:sz w:val="20"/>
          <w:vertAlign w:val="baseline"/>
        </w:rPr>
        <w:t> </w:t>
      </w:r>
      <w:r>
        <w:rPr>
          <w:color w:val="231F20"/>
          <w:sz w:val="20"/>
          <w:vertAlign w:val="baseline"/>
        </w:rPr>
        <w:t>Discours</w:t>
      </w:r>
      <w:r>
        <w:rPr>
          <w:color w:val="231F20"/>
          <w:spacing w:val="40"/>
          <w:sz w:val="20"/>
          <w:vertAlign w:val="baseline"/>
        </w:rPr>
        <w:t> </w:t>
      </w:r>
      <w:r>
        <w:rPr>
          <w:color w:val="231F20"/>
          <w:sz w:val="20"/>
          <w:vertAlign w:val="baseline"/>
        </w:rPr>
        <w:t>prononcé</w:t>
      </w:r>
      <w:r>
        <w:rPr>
          <w:color w:val="231F20"/>
          <w:spacing w:val="64"/>
          <w:sz w:val="20"/>
          <w:vertAlign w:val="baseline"/>
        </w:rPr>
        <w:t> </w:t>
      </w:r>
      <w:r>
        <w:rPr>
          <w:color w:val="231F20"/>
          <w:sz w:val="20"/>
          <w:vertAlign w:val="baseline"/>
        </w:rPr>
        <w:t>le</w:t>
      </w:r>
      <w:r>
        <w:rPr>
          <w:color w:val="231F20"/>
          <w:spacing w:val="40"/>
          <w:sz w:val="20"/>
          <w:vertAlign w:val="baseline"/>
        </w:rPr>
        <w:t> </w:t>
      </w:r>
      <w:r>
        <w:rPr>
          <w:color w:val="231F20"/>
          <w:sz w:val="20"/>
          <w:vertAlign w:val="baseline"/>
        </w:rPr>
        <w:t>26</w:t>
      </w:r>
      <w:r>
        <w:rPr>
          <w:color w:val="231F20"/>
          <w:spacing w:val="64"/>
          <w:sz w:val="20"/>
          <w:vertAlign w:val="baseline"/>
        </w:rPr>
        <w:t> </w:t>
      </w:r>
      <w:r>
        <w:rPr>
          <w:color w:val="231F20"/>
          <w:sz w:val="20"/>
          <w:vertAlign w:val="baseline"/>
        </w:rPr>
        <w:t>août</w:t>
      </w:r>
      <w:r>
        <w:rPr>
          <w:color w:val="231F20"/>
          <w:spacing w:val="40"/>
          <w:sz w:val="20"/>
          <w:vertAlign w:val="baseline"/>
        </w:rPr>
        <w:t> </w:t>
      </w:r>
      <w:r>
        <w:rPr>
          <w:color w:val="231F20"/>
          <w:sz w:val="20"/>
          <w:vertAlign w:val="baseline"/>
        </w:rPr>
        <w:t>1995</w:t>
      </w:r>
      <w:r>
        <w:rPr>
          <w:color w:val="231F20"/>
          <w:spacing w:val="64"/>
          <w:sz w:val="20"/>
          <w:vertAlign w:val="baseline"/>
        </w:rPr>
        <w:t> </w:t>
      </w:r>
      <w:r>
        <w:rPr>
          <w:color w:val="231F20"/>
          <w:sz w:val="20"/>
          <w:vertAlign w:val="baseline"/>
        </w:rPr>
        <w:t>à</w:t>
      </w:r>
      <w:r>
        <w:rPr>
          <w:color w:val="231F20"/>
          <w:spacing w:val="40"/>
          <w:sz w:val="20"/>
          <w:vertAlign w:val="baseline"/>
        </w:rPr>
        <w:t> </w:t>
      </w:r>
      <w:r>
        <w:rPr>
          <w:color w:val="231F20"/>
          <w:sz w:val="20"/>
          <w:vertAlign w:val="baseline"/>
        </w:rPr>
        <w:t>la</w:t>
      </w:r>
      <w:r>
        <w:rPr>
          <w:color w:val="231F20"/>
          <w:spacing w:val="40"/>
          <w:sz w:val="20"/>
          <w:vertAlign w:val="baseline"/>
        </w:rPr>
        <w:t> </w:t>
      </w:r>
      <w:r>
        <w:rPr>
          <w:color w:val="231F20"/>
          <w:sz w:val="20"/>
          <w:vertAlign w:val="baseline"/>
        </w:rPr>
        <w:t>convention</w:t>
      </w:r>
      <w:r>
        <w:rPr>
          <w:color w:val="231F20"/>
          <w:spacing w:val="40"/>
          <w:sz w:val="20"/>
          <w:vertAlign w:val="baseline"/>
        </w:rPr>
        <w:t> </w:t>
      </w:r>
      <w:r>
        <w:rPr>
          <w:color w:val="231F20"/>
          <w:sz w:val="20"/>
          <w:vertAlign w:val="baseline"/>
        </w:rPr>
        <w:t>nationale</w:t>
      </w:r>
      <w:r>
        <w:rPr>
          <w:color w:val="231F20"/>
          <w:spacing w:val="40"/>
          <w:sz w:val="20"/>
          <w:vertAlign w:val="baseline"/>
        </w:rPr>
        <w:t> </w:t>
      </w:r>
      <w:r>
        <w:rPr>
          <w:color w:val="231F20"/>
          <w:sz w:val="20"/>
          <w:vertAlign w:val="baseline"/>
        </w:rPr>
        <w:t>du</w:t>
      </w:r>
      <w:r>
        <w:rPr>
          <w:color w:val="231F20"/>
          <w:spacing w:val="40"/>
          <w:sz w:val="20"/>
          <w:vertAlign w:val="baseline"/>
        </w:rPr>
        <w:t> </w:t>
      </w:r>
      <w:r>
        <w:rPr>
          <w:color w:val="231F20"/>
          <w:sz w:val="20"/>
          <w:vertAlign w:val="baseline"/>
        </w:rPr>
        <w:t>PDCI</w:t>
      </w:r>
      <w:r>
        <w:rPr>
          <w:color w:val="231F20"/>
          <w:spacing w:val="63"/>
          <w:sz w:val="20"/>
          <w:vertAlign w:val="baseline"/>
        </w:rPr>
        <w:t> </w:t>
      </w:r>
      <w:r>
        <w:rPr>
          <w:color w:val="231F20"/>
          <w:sz w:val="20"/>
          <w:vertAlign w:val="baseline"/>
        </w:rPr>
        <w:t>à </w:t>
      </w:r>
      <w:r>
        <w:rPr>
          <w:color w:val="231F20"/>
          <w:spacing w:val="-2"/>
          <w:sz w:val="20"/>
          <w:vertAlign w:val="baseline"/>
        </w:rPr>
        <w:t>Yamoussoukro.</w:t>
      </w:r>
    </w:p>
    <w:p>
      <w:pPr>
        <w:spacing w:after="0"/>
        <w:jc w:val="left"/>
        <w:rPr>
          <w:sz w:val="20"/>
        </w:rPr>
        <w:sectPr>
          <w:pgSz w:w="8790" w:h="13610"/>
          <w:pgMar w:header="0" w:footer="802" w:top="1060" w:bottom="1000" w:left="880" w:right="880"/>
        </w:sectPr>
      </w:pPr>
    </w:p>
    <w:p>
      <w:pPr>
        <w:pStyle w:val="BodyText"/>
        <w:spacing w:before="66"/>
        <w:jc w:val="left"/>
      </w:pPr>
      <w:r>
        <w:rPr>
          <w:color w:val="231F20"/>
          <w:spacing w:val="-2"/>
        </w:rPr>
        <w:t>Malheureusement,</w:t>
      </w:r>
      <w:r>
        <w:rPr>
          <w:color w:val="231F20"/>
          <w:spacing w:val="-13"/>
        </w:rPr>
        <w:t> </w:t>
      </w:r>
      <w:r>
        <w:rPr>
          <w:color w:val="231F20"/>
          <w:spacing w:val="-2"/>
        </w:rPr>
        <w:t>la</w:t>
      </w:r>
      <w:r>
        <w:rPr>
          <w:color w:val="231F20"/>
          <w:spacing w:val="-11"/>
        </w:rPr>
        <w:t> </w:t>
      </w:r>
      <w:r>
        <w:rPr>
          <w:color w:val="231F20"/>
          <w:spacing w:val="-2"/>
        </w:rPr>
        <w:t>naissance</w:t>
      </w:r>
      <w:r>
        <w:rPr>
          <w:color w:val="231F20"/>
          <w:spacing w:val="-10"/>
        </w:rPr>
        <w:t> </w:t>
      </w:r>
      <w:r>
        <w:rPr>
          <w:color w:val="231F20"/>
          <w:spacing w:val="-2"/>
        </w:rPr>
        <w:t>de</w:t>
      </w:r>
      <w:r>
        <w:rPr>
          <w:color w:val="231F20"/>
          <w:spacing w:val="-13"/>
        </w:rPr>
        <w:t> </w:t>
      </w:r>
      <w:r>
        <w:rPr>
          <w:color w:val="231F20"/>
          <w:spacing w:val="-2"/>
        </w:rPr>
        <w:t>ce</w:t>
      </w:r>
      <w:r>
        <w:rPr>
          <w:color w:val="231F20"/>
          <w:spacing w:val="-11"/>
        </w:rPr>
        <w:t> </w:t>
      </w:r>
      <w:r>
        <w:rPr>
          <w:color w:val="231F20"/>
          <w:spacing w:val="-2"/>
        </w:rPr>
        <w:t>concept</w:t>
      </w:r>
      <w:r>
        <w:rPr>
          <w:color w:val="231F20"/>
          <w:spacing w:val="-10"/>
        </w:rPr>
        <w:t> </w:t>
      </w:r>
      <w:r>
        <w:rPr>
          <w:color w:val="231F20"/>
          <w:spacing w:val="-2"/>
        </w:rPr>
        <w:t>coïncide</w:t>
      </w:r>
      <w:r>
        <w:rPr>
          <w:color w:val="231F20"/>
          <w:spacing w:val="-11"/>
        </w:rPr>
        <w:t> </w:t>
      </w:r>
      <w:r>
        <w:rPr>
          <w:color w:val="231F20"/>
          <w:spacing w:val="-2"/>
        </w:rPr>
        <w:t>avec</w:t>
      </w:r>
      <w:r>
        <w:rPr>
          <w:color w:val="231F20"/>
          <w:spacing w:val="-10"/>
        </w:rPr>
        <w:t> </w:t>
      </w:r>
      <w:r>
        <w:rPr>
          <w:color w:val="231F20"/>
          <w:spacing w:val="-2"/>
        </w:rPr>
        <w:t>la</w:t>
      </w:r>
      <w:r>
        <w:rPr>
          <w:color w:val="231F20"/>
          <w:spacing w:val="-13"/>
        </w:rPr>
        <w:t> </w:t>
      </w:r>
      <w:r>
        <w:rPr>
          <w:color w:val="231F20"/>
          <w:spacing w:val="-2"/>
        </w:rPr>
        <w:t>bataille</w:t>
      </w:r>
      <w:r>
        <w:rPr>
          <w:color w:val="231F20"/>
          <w:spacing w:val="-10"/>
        </w:rPr>
        <w:t> </w:t>
      </w:r>
      <w:r>
        <w:rPr>
          <w:color w:val="231F20"/>
          <w:spacing w:val="-5"/>
        </w:rPr>
        <w:t>de</w:t>
      </w:r>
    </w:p>
    <w:p>
      <w:pPr>
        <w:pStyle w:val="BodyText"/>
        <w:jc w:val="left"/>
      </w:pPr>
      <w:r>
        <w:rPr>
          <w:color w:val="231F20"/>
          <w:spacing w:val="-2"/>
        </w:rPr>
        <w:t>succession</w:t>
      </w:r>
      <w:r>
        <w:rPr>
          <w:color w:val="231F20"/>
          <w:spacing w:val="-14"/>
        </w:rPr>
        <w:t> </w:t>
      </w:r>
      <w:r>
        <w:rPr>
          <w:color w:val="231F20"/>
          <w:spacing w:val="-2"/>
        </w:rPr>
        <w:t>d’Houphouët</w:t>
      </w:r>
      <w:r>
        <w:rPr>
          <w:color w:val="231F20"/>
          <w:spacing w:val="-13"/>
        </w:rPr>
        <w:t> </w:t>
      </w:r>
      <w:r>
        <w:rPr>
          <w:color w:val="231F20"/>
          <w:spacing w:val="-2"/>
        </w:rPr>
        <w:t>Boigny.</w:t>
      </w:r>
      <w:r>
        <w:rPr>
          <w:color w:val="231F20"/>
          <w:spacing w:val="-13"/>
        </w:rPr>
        <w:t> </w:t>
      </w:r>
      <w:r>
        <w:rPr>
          <w:color w:val="231F20"/>
          <w:spacing w:val="-2"/>
        </w:rPr>
        <w:t>Le</w:t>
      </w:r>
      <w:r>
        <w:rPr>
          <w:color w:val="231F20"/>
          <w:spacing w:val="-11"/>
        </w:rPr>
        <w:t> </w:t>
      </w:r>
      <w:r>
        <w:rPr>
          <w:color w:val="231F20"/>
          <w:spacing w:val="-2"/>
        </w:rPr>
        <w:t>concept</w:t>
      </w:r>
      <w:r>
        <w:rPr>
          <w:color w:val="231F20"/>
          <w:spacing w:val="-12"/>
        </w:rPr>
        <w:t> </w:t>
      </w:r>
      <w:r>
        <w:rPr>
          <w:color w:val="231F20"/>
          <w:spacing w:val="-2"/>
        </w:rPr>
        <w:t>est</w:t>
      </w:r>
      <w:r>
        <w:rPr>
          <w:color w:val="231F20"/>
          <w:spacing w:val="-12"/>
        </w:rPr>
        <w:t> </w:t>
      </w:r>
      <w:r>
        <w:rPr>
          <w:color w:val="231F20"/>
          <w:spacing w:val="-2"/>
        </w:rPr>
        <w:t>dévoyé</w:t>
      </w:r>
      <w:r>
        <w:rPr>
          <w:color w:val="231F20"/>
          <w:spacing w:val="-11"/>
        </w:rPr>
        <w:t> </w:t>
      </w:r>
      <w:r>
        <w:rPr>
          <w:color w:val="231F20"/>
          <w:spacing w:val="-2"/>
        </w:rPr>
        <w:t>politiquement.</w:t>
      </w:r>
    </w:p>
    <w:p>
      <w:pPr>
        <w:pStyle w:val="Heading3"/>
        <w:spacing w:before="121"/>
        <w:jc w:val="left"/>
      </w:pPr>
      <w:r>
        <w:rPr>
          <w:i/>
          <w:color w:val="231F20"/>
          <w:spacing w:val="-2"/>
        </w:rPr>
        <w:t>Le</w:t>
      </w:r>
      <w:r>
        <w:rPr>
          <w:i/>
          <w:color w:val="231F20"/>
          <w:spacing w:val="-12"/>
        </w:rPr>
        <w:t> </w:t>
      </w:r>
      <w:r>
        <w:rPr>
          <w:i/>
          <w:color w:val="231F20"/>
          <w:spacing w:val="-2"/>
        </w:rPr>
        <w:t>chef</w:t>
      </w:r>
      <w:r>
        <w:rPr>
          <w:i/>
          <w:color w:val="231F20"/>
          <w:spacing w:val="-10"/>
        </w:rPr>
        <w:t> </w:t>
      </w:r>
      <w:r>
        <w:rPr>
          <w:i/>
          <w:color w:val="231F20"/>
          <w:spacing w:val="-2"/>
        </w:rPr>
        <w:t>de</w:t>
      </w:r>
      <w:r>
        <w:rPr>
          <w:i/>
          <w:color w:val="231F20"/>
          <w:spacing w:val="-10"/>
        </w:rPr>
        <w:t> </w:t>
      </w:r>
      <w:r>
        <w:rPr>
          <w:i/>
          <w:color w:val="231F20"/>
          <w:spacing w:val="-2"/>
        </w:rPr>
        <w:t>l’État</w:t>
      </w:r>
      <w:r>
        <w:rPr>
          <w:i/>
          <w:color w:val="231F20"/>
          <w:spacing w:val="-10"/>
        </w:rPr>
        <w:t> </w:t>
      </w:r>
      <w:r>
        <w:rPr>
          <w:i/>
          <w:color w:val="231F20"/>
          <w:spacing w:val="-2"/>
        </w:rPr>
        <w:t>se</w:t>
      </w:r>
      <w:r>
        <w:rPr>
          <w:i/>
          <w:color w:val="231F20"/>
          <w:spacing w:val="-12"/>
        </w:rPr>
        <w:t> </w:t>
      </w:r>
      <w:r>
        <w:rPr>
          <w:i/>
          <w:color w:val="231F20"/>
          <w:spacing w:val="-2"/>
        </w:rPr>
        <w:t>mue</w:t>
      </w:r>
      <w:r>
        <w:rPr>
          <w:i/>
          <w:color w:val="231F20"/>
          <w:spacing w:val="-11"/>
        </w:rPr>
        <w:t> </w:t>
      </w:r>
      <w:r>
        <w:rPr>
          <w:i/>
          <w:color w:val="231F20"/>
          <w:spacing w:val="-2"/>
        </w:rPr>
        <w:t>dans</w:t>
      </w:r>
      <w:r>
        <w:rPr>
          <w:i/>
          <w:color w:val="231F20"/>
          <w:spacing w:val="-10"/>
        </w:rPr>
        <w:t> </w:t>
      </w:r>
      <w:r>
        <w:rPr>
          <w:i/>
          <w:color w:val="231F20"/>
          <w:spacing w:val="-2"/>
        </w:rPr>
        <w:t>un</w:t>
      </w:r>
      <w:r>
        <w:rPr>
          <w:i/>
          <w:color w:val="231F20"/>
          <w:spacing w:val="-9"/>
        </w:rPr>
        <w:t> </w:t>
      </w:r>
      <w:r>
        <w:rPr>
          <w:i/>
          <w:color w:val="231F20"/>
          <w:spacing w:val="-2"/>
        </w:rPr>
        <w:t>silence</w:t>
      </w:r>
      <w:r>
        <w:rPr>
          <w:i/>
          <w:color w:val="231F20"/>
          <w:spacing w:val="-12"/>
        </w:rPr>
        <w:t> </w:t>
      </w:r>
      <w:r>
        <w:rPr>
          <w:i/>
          <w:color w:val="231F20"/>
          <w:spacing w:val="-2"/>
        </w:rPr>
        <w:t>complice</w:t>
      </w:r>
      <w:r>
        <w:rPr>
          <w:i/>
          <w:color w:val="231F20"/>
          <w:spacing w:val="-9"/>
        </w:rPr>
        <w:t> </w:t>
      </w:r>
      <w:r>
        <w:rPr>
          <w:i/>
          <w:color w:val="231F20"/>
          <w:spacing w:val="-2"/>
        </w:rPr>
        <w:t>propice</w:t>
      </w:r>
      <w:r>
        <w:rPr>
          <w:i/>
          <w:color w:val="231F20"/>
          <w:spacing w:val="-12"/>
        </w:rPr>
        <w:t> </w:t>
      </w:r>
      <w:r>
        <w:rPr>
          <w:i/>
          <w:color w:val="231F20"/>
          <w:spacing w:val="-2"/>
        </w:rPr>
        <w:t>aux</w:t>
      </w:r>
      <w:r>
        <w:rPr>
          <w:color w:val="231F20"/>
          <w:spacing w:val="-2"/>
        </w:rPr>
        <w:t> interprétations.</w:t>
      </w:r>
    </w:p>
    <w:p>
      <w:pPr>
        <w:spacing w:before="187"/>
        <w:ind w:left="111" w:right="104" w:firstLine="283"/>
        <w:jc w:val="both"/>
        <w:rPr>
          <w:i/>
          <w:sz w:val="24"/>
        </w:rPr>
      </w:pPr>
      <w:r>
        <w:rPr>
          <w:color w:val="231F20"/>
          <w:spacing w:val="-4"/>
          <w:sz w:val="24"/>
        </w:rPr>
        <w:t>Mal</w:t>
      </w:r>
      <w:r>
        <w:rPr>
          <w:color w:val="231F20"/>
          <w:spacing w:val="-11"/>
          <w:sz w:val="24"/>
        </w:rPr>
        <w:t> </w:t>
      </w:r>
      <w:r>
        <w:rPr>
          <w:color w:val="231F20"/>
          <w:spacing w:val="-4"/>
          <w:sz w:val="24"/>
        </w:rPr>
        <w:t>ou</w:t>
      </w:r>
      <w:r>
        <w:rPr>
          <w:color w:val="231F20"/>
          <w:spacing w:val="-11"/>
          <w:sz w:val="24"/>
        </w:rPr>
        <w:t> </w:t>
      </w:r>
      <w:r>
        <w:rPr>
          <w:color w:val="231F20"/>
          <w:spacing w:val="-4"/>
          <w:sz w:val="24"/>
        </w:rPr>
        <w:t>peu</w:t>
      </w:r>
      <w:r>
        <w:rPr>
          <w:color w:val="231F20"/>
          <w:spacing w:val="-11"/>
          <w:sz w:val="24"/>
        </w:rPr>
        <w:t> </w:t>
      </w:r>
      <w:r>
        <w:rPr>
          <w:color w:val="231F20"/>
          <w:spacing w:val="-4"/>
          <w:sz w:val="24"/>
        </w:rPr>
        <w:t>expliqué</w:t>
      </w:r>
      <w:r>
        <w:rPr>
          <w:color w:val="231F20"/>
          <w:spacing w:val="-11"/>
          <w:sz w:val="24"/>
        </w:rPr>
        <w:t> </w:t>
      </w:r>
      <w:r>
        <w:rPr>
          <w:color w:val="231F20"/>
          <w:spacing w:val="-4"/>
          <w:sz w:val="24"/>
        </w:rPr>
        <w:t>à</w:t>
      </w:r>
      <w:r>
        <w:rPr>
          <w:color w:val="231F20"/>
          <w:spacing w:val="-11"/>
          <w:sz w:val="24"/>
        </w:rPr>
        <w:t> </w:t>
      </w:r>
      <w:r>
        <w:rPr>
          <w:color w:val="231F20"/>
          <w:spacing w:val="-4"/>
          <w:sz w:val="24"/>
        </w:rPr>
        <w:t>la</w:t>
      </w:r>
      <w:r>
        <w:rPr>
          <w:color w:val="231F20"/>
          <w:spacing w:val="-11"/>
          <w:sz w:val="24"/>
        </w:rPr>
        <w:t> </w:t>
      </w:r>
      <w:r>
        <w:rPr>
          <w:color w:val="231F20"/>
          <w:spacing w:val="-4"/>
          <w:sz w:val="24"/>
        </w:rPr>
        <w:t>population,</w:t>
      </w:r>
      <w:r>
        <w:rPr>
          <w:color w:val="231F20"/>
          <w:spacing w:val="-11"/>
          <w:sz w:val="24"/>
        </w:rPr>
        <w:t> </w:t>
      </w:r>
      <w:r>
        <w:rPr>
          <w:color w:val="231F20"/>
          <w:spacing w:val="-4"/>
          <w:sz w:val="24"/>
        </w:rPr>
        <w:t>le</w:t>
      </w:r>
      <w:r>
        <w:rPr>
          <w:color w:val="231F20"/>
          <w:spacing w:val="-11"/>
          <w:sz w:val="24"/>
        </w:rPr>
        <w:t> </w:t>
      </w:r>
      <w:r>
        <w:rPr>
          <w:color w:val="231F20"/>
          <w:spacing w:val="-4"/>
          <w:sz w:val="24"/>
        </w:rPr>
        <w:t>concept</w:t>
      </w:r>
      <w:r>
        <w:rPr>
          <w:color w:val="231F20"/>
          <w:spacing w:val="-11"/>
          <w:sz w:val="24"/>
        </w:rPr>
        <w:t> </w:t>
      </w:r>
      <w:r>
        <w:rPr>
          <w:color w:val="231F20"/>
          <w:spacing w:val="-4"/>
          <w:sz w:val="24"/>
        </w:rPr>
        <w:t>« </w:t>
      </w:r>
      <w:r>
        <w:rPr>
          <w:i/>
          <w:color w:val="231F20"/>
          <w:spacing w:val="-4"/>
          <w:sz w:val="24"/>
        </w:rPr>
        <w:t>ivoirité</w:t>
      </w:r>
      <w:r>
        <w:rPr>
          <w:i/>
          <w:color w:val="231F20"/>
          <w:sz w:val="24"/>
        </w:rPr>
        <w:t> </w:t>
      </w:r>
      <w:r>
        <w:rPr>
          <w:i/>
          <w:color w:val="231F20"/>
          <w:spacing w:val="-4"/>
          <w:sz w:val="24"/>
        </w:rPr>
        <w:t>»</w:t>
      </w:r>
      <w:r>
        <w:rPr>
          <w:i/>
          <w:color w:val="231F20"/>
          <w:spacing w:val="-11"/>
          <w:sz w:val="24"/>
        </w:rPr>
        <w:t> </w:t>
      </w:r>
      <w:r>
        <w:rPr>
          <w:color w:val="231F20"/>
          <w:spacing w:val="-4"/>
          <w:sz w:val="24"/>
        </w:rPr>
        <w:t>devient</w:t>
      </w:r>
      <w:r>
        <w:rPr>
          <w:color w:val="231F20"/>
          <w:spacing w:val="-11"/>
          <w:sz w:val="24"/>
        </w:rPr>
        <w:t> </w:t>
      </w:r>
      <w:r>
        <w:rPr>
          <w:color w:val="231F20"/>
          <w:spacing w:val="-4"/>
          <w:sz w:val="24"/>
        </w:rPr>
        <w:t>une </w:t>
      </w:r>
      <w:r>
        <w:rPr>
          <w:color w:val="231F20"/>
          <w:sz w:val="24"/>
        </w:rPr>
        <w:t>arme</w:t>
      </w:r>
      <w:r>
        <w:rPr>
          <w:color w:val="231F20"/>
          <w:spacing w:val="-15"/>
          <w:sz w:val="24"/>
        </w:rPr>
        <w:t> </w:t>
      </w:r>
      <w:r>
        <w:rPr>
          <w:color w:val="231F20"/>
          <w:sz w:val="24"/>
        </w:rPr>
        <w:t>de</w:t>
      </w:r>
      <w:r>
        <w:rPr>
          <w:color w:val="231F20"/>
          <w:spacing w:val="-15"/>
          <w:sz w:val="24"/>
        </w:rPr>
        <w:t> </w:t>
      </w:r>
      <w:r>
        <w:rPr>
          <w:color w:val="231F20"/>
          <w:sz w:val="24"/>
        </w:rPr>
        <w:t>combat</w:t>
      </w:r>
      <w:r>
        <w:rPr>
          <w:color w:val="231F20"/>
          <w:spacing w:val="-15"/>
          <w:sz w:val="24"/>
        </w:rPr>
        <w:t> </w:t>
      </w:r>
      <w:r>
        <w:rPr>
          <w:color w:val="231F20"/>
          <w:sz w:val="24"/>
        </w:rPr>
        <w:t>et</w:t>
      </w:r>
      <w:r>
        <w:rPr>
          <w:color w:val="231F20"/>
          <w:spacing w:val="-15"/>
          <w:sz w:val="24"/>
        </w:rPr>
        <w:t> </w:t>
      </w:r>
      <w:r>
        <w:rPr>
          <w:color w:val="231F20"/>
          <w:sz w:val="24"/>
        </w:rPr>
        <w:t>de</w:t>
      </w:r>
      <w:r>
        <w:rPr>
          <w:color w:val="231F20"/>
          <w:spacing w:val="-15"/>
          <w:sz w:val="24"/>
        </w:rPr>
        <w:t> </w:t>
      </w:r>
      <w:r>
        <w:rPr>
          <w:color w:val="231F20"/>
          <w:sz w:val="24"/>
        </w:rPr>
        <w:t>propagande</w:t>
      </w:r>
      <w:r>
        <w:rPr>
          <w:color w:val="231F20"/>
          <w:spacing w:val="-15"/>
          <w:sz w:val="24"/>
        </w:rPr>
        <w:t> </w:t>
      </w:r>
      <w:r>
        <w:rPr>
          <w:color w:val="231F20"/>
          <w:sz w:val="24"/>
        </w:rPr>
        <w:t>pour</w:t>
      </w:r>
      <w:r>
        <w:rPr>
          <w:color w:val="231F20"/>
          <w:spacing w:val="-15"/>
          <w:sz w:val="24"/>
        </w:rPr>
        <w:t> </w:t>
      </w:r>
      <w:r>
        <w:rPr>
          <w:color w:val="231F20"/>
          <w:sz w:val="24"/>
        </w:rPr>
        <w:t>Alassane</w:t>
      </w:r>
      <w:r>
        <w:rPr>
          <w:color w:val="231F20"/>
          <w:spacing w:val="-15"/>
          <w:sz w:val="24"/>
        </w:rPr>
        <w:t> </w:t>
      </w:r>
      <w:r>
        <w:rPr>
          <w:color w:val="231F20"/>
          <w:sz w:val="24"/>
        </w:rPr>
        <w:t>Dramane</w:t>
      </w:r>
      <w:r>
        <w:rPr>
          <w:color w:val="231F20"/>
          <w:spacing w:val="-15"/>
          <w:sz w:val="24"/>
        </w:rPr>
        <w:t> </w:t>
      </w:r>
      <w:r>
        <w:rPr>
          <w:color w:val="231F20"/>
          <w:sz w:val="24"/>
        </w:rPr>
        <w:t>Ouattara</w:t>
      </w:r>
      <w:r>
        <w:rPr>
          <w:color w:val="231F20"/>
          <w:spacing w:val="-15"/>
          <w:sz w:val="24"/>
        </w:rPr>
        <w:t> </w:t>
      </w:r>
      <w:r>
        <w:rPr>
          <w:color w:val="231F20"/>
          <w:sz w:val="24"/>
        </w:rPr>
        <w:t>et</w:t>
      </w:r>
      <w:r>
        <w:rPr>
          <w:color w:val="231F20"/>
          <w:spacing w:val="-15"/>
          <w:sz w:val="24"/>
        </w:rPr>
        <w:t> </w:t>
      </w:r>
      <w:r>
        <w:rPr>
          <w:color w:val="231F20"/>
          <w:sz w:val="24"/>
        </w:rPr>
        <w:t>le RDR.</w:t>
      </w:r>
      <w:r>
        <w:rPr>
          <w:color w:val="231F20"/>
          <w:spacing w:val="-15"/>
          <w:sz w:val="24"/>
        </w:rPr>
        <w:t> </w:t>
      </w:r>
      <w:r>
        <w:rPr>
          <w:color w:val="231F20"/>
          <w:sz w:val="24"/>
        </w:rPr>
        <w:t>Pour</w:t>
      </w:r>
      <w:r>
        <w:rPr>
          <w:color w:val="231F20"/>
          <w:spacing w:val="-15"/>
          <w:sz w:val="24"/>
        </w:rPr>
        <w:t> </w:t>
      </w:r>
      <w:r>
        <w:rPr>
          <w:color w:val="231F20"/>
          <w:sz w:val="24"/>
        </w:rPr>
        <w:t>eux,</w:t>
      </w:r>
      <w:r>
        <w:rPr>
          <w:color w:val="231F20"/>
          <w:spacing w:val="-15"/>
          <w:sz w:val="24"/>
        </w:rPr>
        <w:t> </w:t>
      </w:r>
      <w:r>
        <w:rPr>
          <w:color w:val="231F20"/>
          <w:sz w:val="24"/>
        </w:rPr>
        <w:t>il</w:t>
      </w:r>
      <w:r>
        <w:rPr>
          <w:color w:val="231F20"/>
          <w:spacing w:val="-13"/>
          <w:sz w:val="24"/>
        </w:rPr>
        <w:t> </w:t>
      </w:r>
      <w:r>
        <w:rPr>
          <w:color w:val="231F20"/>
          <w:sz w:val="24"/>
        </w:rPr>
        <w:t>n’y</w:t>
      </w:r>
      <w:r>
        <w:rPr>
          <w:color w:val="231F20"/>
          <w:spacing w:val="-15"/>
          <w:sz w:val="24"/>
        </w:rPr>
        <w:t> </w:t>
      </w:r>
      <w:r>
        <w:rPr>
          <w:color w:val="231F20"/>
          <w:sz w:val="24"/>
        </w:rPr>
        <w:t>a</w:t>
      </w:r>
      <w:r>
        <w:rPr>
          <w:color w:val="231F20"/>
          <w:spacing w:val="-13"/>
          <w:sz w:val="24"/>
        </w:rPr>
        <w:t> </w:t>
      </w:r>
      <w:r>
        <w:rPr>
          <w:color w:val="231F20"/>
          <w:sz w:val="24"/>
        </w:rPr>
        <w:t>pas</w:t>
      </w:r>
      <w:r>
        <w:rPr>
          <w:color w:val="231F20"/>
          <w:spacing w:val="-13"/>
          <w:sz w:val="24"/>
        </w:rPr>
        <w:t> </w:t>
      </w:r>
      <w:r>
        <w:rPr>
          <w:color w:val="231F20"/>
          <w:sz w:val="24"/>
        </w:rPr>
        <w:t>de</w:t>
      </w:r>
      <w:r>
        <w:rPr>
          <w:color w:val="231F20"/>
          <w:spacing w:val="-13"/>
          <w:sz w:val="24"/>
        </w:rPr>
        <w:t> </w:t>
      </w:r>
      <w:r>
        <w:rPr>
          <w:color w:val="231F20"/>
          <w:sz w:val="24"/>
        </w:rPr>
        <w:t>doute</w:t>
      </w:r>
      <w:r>
        <w:rPr>
          <w:color w:val="231F20"/>
          <w:spacing w:val="-15"/>
          <w:sz w:val="24"/>
        </w:rPr>
        <w:t> </w:t>
      </w:r>
      <w:r>
        <w:rPr>
          <w:color w:val="231F20"/>
          <w:sz w:val="24"/>
        </w:rPr>
        <w:t>:</w:t>
      </w:r>
      <w:r>
        <w:rPr>
          <w:color w:val="231F20"/>
          <w:spacing w:val="-15"/>
          <w:sz w:val="24"/>
        </w:rPr>
        <w:t> </w:t>
      </w:r>
      <w:r>
        <w:rPr>
          <w:color w:val="231F20"/>
          <w:sz w:val="24"/>
        </w:rPr>
        <w:t>la</w:t>
      </w:r>
      <w:r>
        <w:rPr>
          <w:color w:val="231F20"/>
          <w:spacing w:val="-13"/>
          <w:sz w:val="24"/>
        </w:rPr>
        <w:t> </w:t>
      </w:r>
      <w:r>
        <w:rPr>
          <w:color w:val="231F20"/>
          <w:sz w:val="24"/>
        </w:rPr>
        <w:t>clause</w:t>
      </w:r>
      <w:r>
        <w:rPr>
          <w:color w:val="231F20"/>
          <w:spacing w:val="-13"/>
          <w:sz w:val="24"/>
        </w:rPr>
        <w:t> </w:t>
      </w:r>
      <w:r>
        <w:rPr>
          <w:color w:val="231F20"/>
          <w:sz w:val="24"/>
        </w:rPr>
        <w:t>dite</w:t>
      </w:r>
      <w:r>
        <w:rPr>
          <w:color w:val="231F20"/>
          <w:spacing w:val="-15"/>
          <w:sz w:val="24"/>
        </w:rPr>
        <w:t> </w:t>
      </w:r>
      <w:r>
        <w:rPr>
          <w:color w:val="231F20"/>
          <w:sz w:val="24"/>
        </w:rPr>
        <w:t>de</w:t>
      </w:r>
      <w:r>
        <w:rPr>
          <w:color w:val="231F20"/>
          <w:spacing w:val="-15"/>
          <w:sz w:val="24"/>
        </w:rPr>
        <w:t> </w:t>
      </w:r>
      <w:r>
        <w:rPr>
          <w:color w:val="231F20"/>
          <w:sz w:val="24"/>
        </w:rPr>
        <w:t>l’«</w:t>
      </w:r>
      <w:r>
        <w:rPr>
          <w:color w:val="231F20"/>
          <w:spacing w:val="-15"/>
          <w:sz w:val="24"/>
        </w:rPr>
        <w:t> </w:t>
      </w:r>
      <w:r>
        <w:rPr>
          <w:color w:val="231F20"/>
          <w:sz w:val="24"/>
        </w:rPr>
        <w:t>ivoirité</w:t>
      </w:r>
      <w:r>
        <w:rPr>
          <w:color w:val="231F20"/>
          <w:spacing w:val="-15"/>
          <w:sz w:val="24"/>
        </w:rPr>
        <w:t> </w:t>
      </w:r>
      <w:r>
        <w:rPr>
          <w:color w:val="231F20"/>
          <w:sz w:val="24"/>
        </w:rPr>
        <w:t>»</w:t>
      </w:r>
      <w:r>
        <w:rPr>
          <w:color w:val="231F20"/>
          <w:spacing w:val="-13"/>
          <w:sz w:val="24"/>
        </w:rPr>
        <w:t> </w:t>
      </w:r>
      <w:r>
        <w:rPr>
          <w:color w:val="231F20"/>
          <w:sz w:val="24"/>
        </w:rPr>
        <w:t>a</w:t>
      </w:r>
      <w:r>
        <w:rPr>
          <w:color w:val="231F20"/>
          <w:spacing w:val="-13"/>
          <w:sz w:val="24"/>
        </w:rPr>
        <w:t> </w:t>
      </w:r>
      <w:r>
        <w:rPr>
          <w:color w:val="231F20"/>
          <w:sz w:val="24"/>
        </w:rPr>
        <w:t>été introduite dans la Constitution. Jusqu’alors, tout électeur ayant la nationalité</w:t>
      </w:r>
      <w:r>
        <w:rPr>
          <w:color w:val="231F20"/>
          <w:spacing w:val="-15"/>
          <w:sz w:val="24"/>
        </w:rPr>
        <w:t> </w:t>
      </w:r>
      <w:r>
        <w:rPr>
          <w:color w:val="231F20"/>
          <w:sz w:val="24"/>
        </w:rPr>
        <w:t>ivoirienne</w:t>
      </w:r>
      <w:r>
        <w:rPr>
          <w:color w:val="231F20"/>
          <w:spacing w:val="-15"/>
          <w:sz w:val="24"/>
        </w:rPr>
        <w:t> </w:t>
      </w:r>
      <w:r>
        <w:rPr>
          <w:color w:val="231F20"/>
          <w:sz w:val="24"/>
        </w:rPr>
        <w:t>était</w:t>
      </w:r>
      <w:r>
        <w:rPr>
          <w:color w:val="231F20"/>
          <w:spacing w:val="-15"/>
          <w:sz w:val="24"/>
        </w:rPr>
        <w:t> </w:t>
      </w:r>
      <w:r>
        <w:rPr>
          <w:color w:val="231F20"/>
          <w:sz w:val="24"/>
        </w:rPr>
        <w:t>susceptible</w:t>
      </w:r>
      <w:r>
        <w:rPr>
          <w:color w:val="231F20"/>
          <w:spacing w:val="-15"/>
          <w:sz w:val="24"/>
        </w:rPr>
        <w:t> </w:t>
      </w:r>
      <w:r>
        <w:rPr>
          <w:color w:val="231F20"/>
          <w:sz w:val="24"/>
        </w:rPr>
        <w:t>de</w:t>
      </w:r>
      <w:r>
        <w:rPr>
          <w:color w:val="231F20"/>
          <w:spacing w:val="-14"/>
          <w:sz w:val="24"/>
        </w:rPr>
        <w:t> </w:t>
      </w:r>
      <w:r>
        <w:rPr>
          <w:color w:val="231F20"/>
          <w:sz w:val="24"/>
        </w:rPr>
        <w:t>se</w:t>
      </w:r>
      <w:r>
        <w:rPr>
          <w:color w:val="231F20"/>
          <w:spacing w:val="-14"/>
          <w:sz w:val="24"/>
        </w:rPr>
        <w:t> </w:t>
      </w:r>
      <w:r>
        <w:rPr>
          <w:color w:val="231F20"/>
          <w:sz w:val="24"/>
        </w:rPr>
        <w:t>présenter.</w:t>
      </w:r>
      <w:r>
        <w:rPr>
          <w:color w:val="231F20"/>
          <w:spacing w:val="-15"/>
          <w:sz w:val="24"/>
        </w:rPr>
        <w:t> </w:t>
      </w:r>
      <w:r>
        <w:rPr>
          <w:color w:val="231F20"/>
          <w:sz w:val="24"/>
        </w:rPr>
        <w:t>Le</w:t>
      </w:r>
      <w:r>
        <w:rPr>
          <w:color w:val="231F20"/>
          <w:spacing w:val="-14"/>
          <w:sz w:val="24"/>
        </w:rPr>
        <w:t> </w:t>
      </w:r>
      <w:r>
        <w:rPr>
          <w:color w:val="231F20"/>
          <w:sz w:val="24"/>
        </w:rPr>
        <w:t>code</w:t>
      </w:r>
      <w:r>
        <w:rPr>
          <w:color w:val="231F20"/>
          <w:spacing w:val="-13"/>
          <w:sz w:val="24"/>
        </w:rPr>
        <w:t> </w:t>
      </w:r>
      <w:r>
        <w:rPr>
          <w:color w:val="231F20"/>
          <w:sz w:val="24"/>
        </w:rPr>
        <w:t>électoral </w:t>
      </w:r>
      <w:r>
        <w:rPr>
          <w:color w:val="231F20"/>
          <w:spacing w:val="-2"/>
          <w:sz w:val="24"/>
        </w:rPr>
        <w:t>revu</w:t>
      </w:r>
      <w:r>
        <w:rPr>
          <w:color w:val="231F20"/>
          <w:spacing w:val="-15"/>
          <w:sz w:val="24"/>
        </w:rPr>
        <w:t> </w:t>
      </w:r>
      <w:r>
        <w:rPr>
          <w:color w:val="231F20"/>
          <w:spacing w:val="-2"/>
          <w:sz w:val="24"/>
        </w:rPr>
        <w:t>en</w:t>
      </w:r>
      <w:r>
        <w:rPr>
          <w:color w:val="231F20"/>
          <w:spacing w:val="-13"/>
          <w:sz w:val="24"/>
        </w:rPr>
        <w:t> </w:t>
      </w:r>
      <w:r>
        <w:rPr>
          <w:color w:val="231F20"/>
          <w:spacing w:val="-2"/>
          <w:sz w:val="24"/>
        </w:rPr>
        <w:t>1994</w:t>
      </w:r>
      <w:r>
        <w:rPr>
          <w:color w:val="231F20"/>
          <w:spacing w:val="-13"/>
          <w:sz w:val="24"/>
        </w:rPr>
        <w:t> </w:t>
      </w:r>
      <w:r>
        <w:rPr>
          <w:color w:val="231F20"/>
          <w:spacing w:val="-2"/>
          <w:sz w:val="24"/>
        </w:rPr>
        <w:t>indique</w:t>
      </w:r>
      <w:r>
        <w:rPr>
          <w:color w:val="231F20"/>
          <w:spacing w:val="-13"/>
          <w:sz w:val="24"/>
        </w:rPr>
        <w:t> </w:t>
      </w:r>
      <w:r>
        <w:rPr>
          <w:color w:val="231F20"/>
          <w:spacing w:val="-2"/>
          <w:sz w:val="24"/>
        </w:rPr>
        <w:t>que</w:t>
      </w:r>
      <w:r>
        <w:rPr>
          <w:color w:val="231F20"/>
          <w:spacing w:val="-13"/>
          <w:sz w:val="24"/>
        </w:rPr>
        <w:t> </w:t>
      </w:r>
      <w:r>
        <w:rPr>
          <w:color w:val="231F20"/>
          <w:spacing w:val="-2"/>
          <w:sz w:val="24"/>
        </w:rPr>
        <w:t>tout</w:t>
      </w:r>
      <w:r>
        <w:rPr>
          <w:color w:val="231F20"/>
          <w:spacing w:val="-13"/>
          <w:sz w:val="24"/>
        </w:rPr>
        <w:t> </w:t>
      </w:r>
      <w:r>
        <w:rPr>
          <w:color w:val="231F20"/>
          <w:spacing w:val="-2"/>
          <w:sz w:val="24"/>
        </w:rPr>
        <w:t>candidat</w:t>
      </w:r>
      <w:r>
        <w:rPr>
          <w:color w:val="231F20"/>
          <w:spacing w:val="-13"/>
          <w:sz w:val="24"/>
        </w:rPr>
        <w:t> </w:t>
      </w:r>
      <w:r>
        <w:rPr>
          <w:color w:val="231F20"/>
          <w:spacing w:val="-2"/>
          <w:sz w:val="24"/>
        </w:rPr>
        <w:t>à</w:t>
      </w:r>
      <w:r>
        <w:rPr>
          <w:color w:val="231F20"/>
          <w:spacing w:val="-13"/>
          <w:sz w:val="24"/>
        </w:rPr>
        <w:t> </w:t>
      </w:r>
      <w:r>
        <w:rPr>
          <w:color w:val="231F20"/>
          <w:spacing w:val="-2"/>
          <w:sz w:val="24"/>
        </w:rPr>
        <w:t>la</w:t>
      </w:r>
      <w:r>
        <w:rPr>
          <w:color w:val="231F20"/>
          <w:spacing w:val="-13"/>
          <w:sz w:val="24"/>
        </w:rPr>
        <w:t> </w:t>
      </w:r>
      <w:r>
        <w:rPr>
          <w:color w:val="231F20"/>
          <w:spacing w:val="-2"/>
          <w:sz w:val="24"/>
        </w:rPr>
        <w:t>présidence</w:t>
      </w:r>
      <w:r>
        <w:rPr>
          <w:color w:val="231F20"/>
          <w:spacing w:val="-13"/>
          <w:sz w:val="24"/>
        </w:rPr>
        <w:t> </w:t>
      </w:r>
      <w:r>
        <w:rPr>
          <w:color w:val="231F20"/>
          <w:spacing w:val="-2"/>
          <w:sz w:val="24"/>
        </w:rPr>
        <w:t>en</w:t>
      </w:r>
      <w:r>
        <w:rPr>
          <w:color w:val="231F20"/>
          <w:spacing w:val="-13"/>
          <w:sz w:val="24"/>
        </w:rPr>
        <w:t> </w:t>
      </w:r>
      <w:r>
        <w:rPr>
          <w:color w:val="231F20"/>
          <w:spacing w:val="-2"/>
          <w:sz w:val="24"/>
        </w:rPr>
        <w:t>1995</w:t>
      </w:r>
      <w:r>
        <w:rPr>
          <w:color w:val="231F20"/>
          <w:spacing w:val="-13"/>
          <w:sz w:val="24"/>
        </w:rPr>
        <w:t> </w:t>
      </w:r>
      <w:r>
        <w:rPr>
          <w:color w:val="231F20"/>
          <w:spacing w:val="-2"/>
          <w:sz w:val="24"/>
        </w:rPr>
        <w:t>doit</w:t>
      </w:r>
      <w:r>
        <w:rPr>
          <w:color w:val="231F20"/>
          <w:spacing w:val="-13"/>
          <w:sz w:val="24"/>
        </w:rPr>
        <w:t> </w:t>
      </w:r>
      <w:r>
        <w:rPr>
          <w:color w:val="231F20"/>
          <w:spacing w:val="-2"/>
          <w:sz w:val="24"/>
        </w:rPr>
        <w:t>«</w:t>
      </w:r>
      <w:r>
        <w:rPr>
          <w:color w:val="231F20"/>
          <w:spacing w:val="-13"/>
          <w:sz w:val="24"/>
        </w:rPr>
        <w:t> </w:t>
      </w:r>
      <w:r>
        <w:rPr>
          <w:color w:val="231F20"/>
          <w:spacing w:val="-2"/>
          <w:sz w:val="24"/>
        </w:rPr>
        <w:t>être </w:t>
      </w:r>
      <w:r>
        <w:rPr>
          <w:color w:val="231F20"/>
          <w:sz w:val="24"/>
        </w:rPr>
        <w:t>ivoirien de naissance et de père et de mère eux-mêmes ivoiriens de naissance</w:t>
      </w:r>
      <w:r>
        <w:rPr>
          <w:color w:val="231F20"/>
          <w:spacing w:val="-15"/>
          <w:sz w:val="24"/>
        </w:rPr>
        <w:t> </w:t>
      </w:r>
      <w:r>
        <w:rPr>
          <w:color w:val="231F20"/>
          <w:sz w:val="24"/>
        </w:rPr>
        <w:t>».</w:t>
      </w:r>
      <w:r>
        <w:rPr>
          <w:color w:val="231F20"/>
          <w:spacing w:val="-2"/>
          <w:sz w:val="24"/>
        </w:rPr>
        <w:t> </w:t>
      </w:r>
      <w:r>
        <w:rPr>
          <w:color w:val="231F20"/>
          <w:sz w:val="24"/>
        </w:rPr>
        <w:t>Cette disposition a écarté Alassane Ouattara qui, selon les </w:t>
      </w:r>
      <w:r>
        <w:rPr>
          <w:color w:val="231F20"/>
          <w:spacing w:val="-2"/>
          <w:sz w:val="24"/>
        </w:rPr>
        <w:t>cadres</w:t>
      </w:r>
      <w:r>
        <w:rPr>
          <w:color w:val="231F20"/>
          <w:spacing w:val="-10"/>
          <w:sz w:val="24"/>
        </w:rPr>
        <w:t> </w:t>
      </w:r>
      <w:r>
        <w:rPr>
          <w:color w:val="231F20"/>
          <w:spacing w:val="-2"/>
          <w:sz w:val="24"/>
        </w:rPr>
        <w:t>du</w:t>
      </w:r>
      <w:r>
        <w:rPr>
          <w:color w:val="231F20"/>
          <w:spacing w:val="-13"/>
          <w:sz w:val="24"/>
        </w:rPr>
        <w:t> </w:t>
      </w:r>
      <w:r>
        <w:rPr>
          <w:color w:val="231F20"/>
          <w:spacing w:val="-2"/>
          <w:sz w:val="24"/>
        </w:rPr>
        <w:t>PDCI,</w:t>
      </w:r>
      <w:r>
        <w:rPr>
          <w:color w:val="231F20"/>
          <w:spacing w:val="-10"/>
          <w:sz w:val="24"/>
        </w:rPr>
        <w:t> </w:t>
      </w:r>
      <w:r>
        <w:rPr>
          <w:color w:val="231F20"/>
          <w:spacing w:val="-2"/>
          <w:sz w:val="24"/>
        </w:rPr>
        <w:t>ne</w:t>
      </w:r>
      <w:r>
        <w:rPr>
          <w:color w:val="231F20"/>
          <w:spacing w:val="-13"/>
          <w:sz w:val="24"/>
        </w:rPr>
        <w:t> </w:t>
      </w:r>
      <w:r>
        <w:rPr>
          <w:color w:val="231F20"/>
          <w:spacing w:val="-2"/>
          <w:sz w:val="24"/>
        </w:rPr>
        <w:t>satisfait</w:t>
      </w:r>
      <w:r>
        <w:rPr>
          <w:color w:val="231F20"/>
          <w:spacing w:val="-10"/>
          <w:sz w:val="24"/>
        </w:rPr>
        <w:t> </w:t>
      </w:r>
      <w:r>
        <w:rPr>
          <w:color w:val="231F20"/>
          <w:spacing w:val="-2"/>
          <w:sz w:val="24"/>
        </w:rPr>
        <w:t>pas</w:t>
      </w:r>
      <w:r>
        <w:rPr>
          <w:color w:val="231F20"/>
          <w:spacing w:val="-10"/>
          <w:sz w:val="24"/>
        </w:rPr>
        <w:t> </w:t>
      </w:r>
      <w:r>
        <w:rPr>
          <w:color w:val="231F20"/>
          <w:spacing w:val="-2"/>
          <w:sz w:val="24"/>
        </w:rPr>
        <w:t>à</w:t>
      </w:r>
      <w:r>
        <w:rPr>
          <w:color w:val="231F20"/>
          <w:spacing w:val="-10"/>
          <w:sz w:val="24"/>
        </w:rPr>
        <w:t> </w:t>
      </w:r>
      <w:r>
        <w:rPr>
          <w:color w:val="231F20"/>
          <w:spacing w:val="-2"/>
          <w:sz w:val="24"/>
        </w:rPr>
        <w:t>toutes</w:t>
      </w:r>
      <w:r>
        <w:rPr>
          <w:color w:val="231F20"/>
          <w:spacing w:val="-10"/>
          <w:sz w:val="24"/>
        </w:rPr>
        <w:t> </w:t>
      </w:r>
      <w:r>
        <w:rPr>
          <w:color w:val="231F20"/>
          <w:spacing w:val="-2"/>
          <w:sz w:val="24"/>
        </w:rPr>
        <w:t>les</w:t>
      </w:r>
      <w:r>
        <w:rPr>
          <w:color w:val="231F20"/>
          <w:spacing w:val="-10"/>
          <w:sz w:val="24"/>
        </w:rPr>
        <w:t> </w:t>
      </w:r>
      <w:r>
        <w:rPr>
          <w:color w:val="231F20"/>
          <w:spacing w:val="-2"/>
          <w:sz w:val="24"/>
        </w:rPr>
        <w:t>conditions.</w:t>
      </w:r>
      <w:r>
        <w:rPr>
          <w:color w:val="231F20"/>
          <w:spacing w:val="-13"/>
          <w:sz w:val="24"/>
        </w:rPr>
        <w:t> </w:t>
      </w:r>
      <w:r>
        <w:rPr>
          <w:color w:val="231F20"/>
          <w:spacing w:val="-2"/>
          <w:sz w:val="24"/>
        </w:rPr>
        <w:t>Le</w:t>
      </w:r>
      <w:r>
        <w:rPr>
          <w:color w:val="231F20"/>
          <w:spacing w:val="-10"/>
          <w:sz w:val="24"/>
        </w:rPr>
        <w:t> </w:t>
      </w:r>
      <w:r>
        <w:rPr>
          <w:color w:val="231F20"/>
          <w:spacing w:val="-2"/>
          <w:sz w:val="24"/>
        </w:rPr>
        <w:t>débat</w:t>
      </w:r>
      <w:r>
        <w:rPr>
          <w:color w:val="231F20"/>
          <w:spacing w:val="-12"/>
          <w:sz w:val="24"/>
        </w:rPr>
        <w:t> </w:t>
      </w:r>
      <w:r>
        <w:rPr>
          <w:color w:val="231F20"/>
          <w:spacing w:val="-2"/>
          <w:sz w:val="24"/>
        </w:rPr>
        <w:t>quitte</w:t>
      </w:r>
      <w:r>
        <w:rPr>
          <w:color w:val="231F20"/>
          <w:spacing w:val="-10"/>
          <w:sz w:val="24"/>
        </w:rPr>
        <w:t> </w:t>
      </w:r>
      <w:r>
        <w:rPr>
          <w:color w:val="231F20"/>
          <w:spacing w:val="-2"/>
          <w:sz w:val="24"/>
        </w:rPr>
        <w:t>le </w:t>
      </w:r>
      <w:r>
        <w:rPr>
          <w:color w:val="231F20"/>
          <w:sz w:val="24"/>
        </w:rPr>
        <w:t>champ juridicopolitique pour la crise identitaire : «</w:t>
      </w:r>
      <w:r>
        <w:rPr>
          <w:color w:val="231F20"/>
          <w:spacing w:val="-14"/>
          <w:sz w:val="24"/>
        </w:rPr>
        <w:t> </w:t>
      </w:r>
      <w:r>
        <w:rPr>
          <w:i/>
          <w:color w:val="231F20"/>
          <w:sz w:val="24"/>
        </w:rPr>
        <w:t>ils ont injurié</w:t>
      </w:r>
      <w:r>
        <w:rPr>
          <w:i/>
          <w:color w:val="231F20"/>
          <w:sz w:val="24"/>
        </w:rPr>
        <w:t> Alassane,</w:t>
      </w:r>
      <w:r>
        <w:rPr>
          <w:i/>
          <w:color w:val="231F20"/>
          <w:spacing w:val="-15"/>
          <w:sz w:val="24"/>
        </w:rPr>
        <w:t> </w:t>
      </w:r>
      <w:r>
        <w:rPr>
          <w:i/>
          <w:color w:val="231F20"/>
          <w:sz w:val="24"/>
        </w:rPr>
        <w:t>son</w:t>
      </w:r>
      <w:r>
        <w:rPr>
          <w:i/>
          <w:color w:val="231F20"/>
          <w:spacing w:val="-15"/>
          <w:sz w:val="24"/>
        </w:rPr>
        <w:t> </w:t>
      </w:r>
      <w:r>
        <w:rPr>
          <w:i/>
          <w:color w:val="231F20"/>
          <w:sz w:val="24"/>
        </w:rPr>
        <w:t>père,</w:t>
      </w:r>
      <w:r>
        <w:rPr>
          <w:i/>
          <w:color w:val="231F20"/>
          <w:spacing w:val="-15"/>
          <w:sz w:val="24"/>
        </w:rPr>
        <w:t> </w:t>
      </w:r>
      <w:r>
        <w:rPr>
          <w:i/>
          <w:color w:val="231F20"/>
          <w:sz w:val="24"/>
        </w:rPr>
        <w:t>sa</w:t>
      </w:r>
      <w:r>
        <w:rPr>
          <w:i/>
          <w:color w:val="231F20"/>
          <w:spacing w:val="-15"/>
          <w:sz w:val="24"/>
        </w:rPr>
        <w:t> </w:t>
      </w:r>
      <w:r>
        <w:rPr>
          <w:i/>
          <w:color w:val="231F20"/>
          <w:sz w:val="24"/>
        </w:rPr>
        <w:t>mère</w:t>
      </w:r>
      <w:r>
        <w:rPr>
          <w:i/>
          <w:color w:val="231F20"/>
          <w:spacing w:val="-15"/>
          <w:sz w:val="24"/>
        </w:rPr>
        <w:t> </w:t>
      </w:r>
      <w:r>
        <w:rPr>
          <w:i/>
          <w:color w:val="231F20"/>
          <w:sz w:val="24"/>
        </w:rPr>
        <w:t>et</w:t>
      </w:r>
      <w:r>
        <w:rPr>
          <w:i/>
          <w:color w:val="231F20"/>
          <w:spacing w:val="-15"/>
          <w:sz w:val="24"/>
        </w:rPr>
        <w:t> </w:t>
      </w:r>
      <w:r>
        <w:rPr>
          <w:i/>
          <w:color w:val="231F20"/>
          <w:sz w:val="24"/>
        </w:rPr>
        <w:t>nous.</w:t>
      </w:r>
      <w:r>
        <w:rPr>
          <w:i/>
          <w:color w:val="231F20"/>
          <w:spacing w:val="-15"/>
          <w:sz w:val="24"/>
        </w:rPr>
        <w:t> </w:t>
      </w:r>
      <w:r>
        <w:rPr>
          <w:i/>
          <w:color w:val="231F20"/>
          <w:sz w:val="24"/>
        </w:rPr>
        <w:t>Mais</w:t>
      </w:r>
      <w:r>
        <w:rPr>
          <w:i/>
          <w:color w:val="231F20"/>
          <w:spacing w:val="-15"/>
          <w:sz w:val="24"/>
        </w:rPr>
        <w:t> </w:t>
      </w:r>
      <w:r>
        <w:rPr>
          <w:i/>
          <w:color w:val="231F20"/>
          <w:sz w:val="24"/>
        </w:rPr>
        <w:t>ils</w:t>
      </w:r>
      <w:r>
        <w:rPr>
          <w:i/>
          <w:color w:val="231F20"/>
          <w:spacing w:val="-15"/>
          <w:sz w:val="24"/>
        </w:rPr>
        <w:t> </w:t>
      </w:r>
      <w:r>
        <w:rPr>
          <w:i/>
          <w:color w:val="231F20"/>
          <w:sz w:val="24"/>
        </w:rPr>
        <w:t>ne</w:t>
      </w:r>
      <w:r>
        <w:rPr>
          <w:i/>
          <w:color w:val="231F20"/>
          <w:spacing w:val="-15"/>
          <w:sz w:val="24"/>
        </w:rPr>
        <w:t> </w:t>
      </w:r>
      <w:r>
        <w:rPr>
          <w:i/>
          <w:color w:val="231F20"/>
          <w:sz w:val="24"/>
        </w:rPr>
        <w:t>nous</w:t>
      </w:r>
      <w:r>
        <w:rPr>
          <w:i/>
          <w:color w:val="231F20"/>
          <w:spacing w:val="-15"/>
          <w:sz w:val="24"/>
        </w:rPr>
        <w:t> </w:t>
      </w:r>
      <w:r>
        <w:rPr>
          <w:i/>
          <w:color w:val="231F20"/>
          <w:sz w:val="24"/>
        </w:rPr>
        <w:t>connaissent</w:t>
      </w:r>
      <w:r>
        <w:rPr>
          <w:i/>
          <w:color w:val="231F20"/>
          <w:spacing w:val="-15"/>
          <w:sz w:val="24"/>
        </w:rPr>
        <w:t> </w:t>
      </w:r>
      <w:r>
        <w:rPr>
          <w:i/>
          <w:color w:val="231F20"/>
          <w:sz w:val="24"/>
        </w:rPr>
        <w:t>pas</w:t>
      </w:r>
      <w:r>
        <w:rPr>
          <w:i/>
          <w:color w:val="231F20"/>
          <w:spacing w:val="-15"/>
          <w:sz w:val="24"/>
        </w:rPr>
        <w:t> </w:t>
      </w:r>
      <w:r>
        <w:rPr>
          <w:i/>
          <w:color w:val="231F20"/>
          <w:sz w:val="24"/>
        </w:rPr>
        <w:t>… Ils</w:t>
      </w:r>
      <w:r>
        <w:rPr>
          <w:i/>
          <w:color w:val="231F20"/>
          <w:spacing w:val="-15"/>
          <w:sz w:val="24"/>
        </w:rPr>
        <w:t> </w:t>
      </w:r>
      <w:r>
        <w:rPr>
          <w:i/>
          <w:color w:val="231F20"/>
          <w:sz w:val="24"/>
        </w:rPr>
        <w:t>ne</w:t>
      </w:r>
      <w:r>
        <w:rPr>
          <w:i/>
          <w:color w:val="231F20"/>
          <w:spacing w:val="-15"/>
          <w:sz w:val="24"/>
        </w:rPr>
        <w:t> </w:t>
      </w:r>
      <w:r>
        <w:rPr>
          <w:i/>
          <w:color w:val="231F20"/>
          <w:sz w:val="24"/>
        </w:rPr>
        <w:t>veulent</w:t>
      </w:r>
      <w:r>
        <w:rPr>
          <w:i/>
          <w:color w:val="231F20"/>
          <w:spacing w:val="-15"/>
          <w:sz w:val="24"/>
        </w:rPr>
        <w:t> </w:t>
      </w:r>
      <w:r>
        <w:rPr>
          <w:i/>
          <w:color w:val="231F20"/>
          <w:sz w:val="24"/>
        </w:rPr>
        <w:t>pas</w:t>
      </w:r>
      <w:r>
        <w:rPr>
          <w:i/>
          <w:color w:val="231F20"/>
          <w:spacing w:val="-15"/>
          <w:sz w:val="24"/>
        </w:rPr>
        <w:t> </w:t>
      </w:r>
      <w:r>
        <w:rPr>
          <w:i/>
          <w:color w:val="231F20"/>
          <w:sz w:val="24"/>
        </w:rPr>
        <w:t>de</w:t>
      </w:r>
      <w:r>
        <w:rPr>
          <w:i/>
          <w:color w:val="231F20"/>
          <w:spacing w:val="-15"/>
          <w:sz w:val="24"/>
        </w:rPr>
        <w:t> </w:t>
      </w:r>
      <w:r>
        <w:rPr>
          <w:i/>
          <w:color w:val="231F20"/>
          <w:sz w:val="24"/>
        </w:rPr>
        <w:t>l'Islam</w:t>
      </w:r>
      <w:r>
        <w:rPr>
          <w:i/>
          <w:color w:val="231F20"/>
          <w:spacing w:val="-15"/>
          <w:sz w:val="24"/>
        </w:rPr>
        <w:t> </w:t>
      </w:r>
      <w:r>
        <w:rPr>
          <w:i/>
          <w:color w:val="231F20"/>
          <w:sz w:val="24"/>
        </w:rPr>
        <w:t>et</w:t>
      </w:r>
      <w:r>
        <w:rPr>
          <w:i/>
          <w:color w:val="231F20"/>
          <w:spacing w:val="-15"/>
          <w:sz w:val="24"/>
        </w:rPr>
        <w:t> </w:t>
      </w:r>
      <w:r>
        <w:rPr>
          <w:i/>
          <w:color w:val="231F20"/>
          <w:sz w:val="24"/>
        </w:rPr>
        <w:t>des</w:t>
      </w:r>
      <w:r>
        <w:rPr>
          <w:i/>
          <w:color w:val="231F20"/>
          <w:spacing w:val="-15"/>
          <w:sz w:val="24"/>
        </w:rPr>
        <w:t> </w:t>
      </w:r>
      <w:r>
        <w:rPr>
          <w:i/>
          <w:color w:val="231F20"/>
          <w:sz w:val="24"/>
        </w:rPr>
        <w:t>musulmans.</w:t>
      </w:r>
      <w:r>
        <w:rPr>
          <w:i/>
          <w:color w:val="231F20"/>
          <w:spacing w:val="-15"/>
          <w:sz w:val="24"/>
        </w:rPr>
        <w:t> </w:t>
      </w:r>
      <w:r>
        <w:rPr>
          <w:i/>
          <w:color w:val="231F20"/>
          <w:sz w:val="24"/>
        </w:rPr>
        <w:t>Ils</w:t>
      </w:r>
      <w:r>
        <w:rPr>
          <w:i/>
          <w:color w:val="231F20"/>
          <w:spacing w:val="-15"/>
          <w:sz w:val="24"/>
        </w:rPr>
        <w:t> </w:t>
      </w:r>
      <w:r>
        <w:rPr>
          <w:i/>
          <w:color w:val="231F20"/>
          <w:sz w:val="24"/>
        </w:rPr>
        <w:t>envoient</w:t>
      </w:r>
      <w:r>
        <w:rPr>
          <w:i/>
          <w:color w:val="231F20"/>
          <w:spacing w:val="-15"/>
          <w:sz w:val="24"/>
        </w:rPr>
        <w:t> </w:t>
      </w:r>
      <w:r>
        <w:rPr>
          <w:i/>
          <w:color w:val="231F20"/>
          <w:sz w:val="24"/>
        </w:rPr>
        <w:t>les</w:t>
      </w:r>
      <w:r>
        <w:rPr>
          <w:i/>
          <w:color w:val="231F20"/>
          <w:spacing w:val="-15"/>
          <w:sz w:val="24"/>
        </w:rPr>
        <w:t> </w:t>
      </w:r>
      <w:r>
        <w:rPr>
          <w:i/>
          <w:color w:val="231F20"/>
          <w:sz w:val="24"/>
        </w:rPr>
        <w:t>militaires les</w:t>
      </w:r>
      <w:r>
        <w:rPr>
          <w:i/>
          <w:color w:val="231F20"/>
          <w:spacing w:val="-13"/>
          <w:sz w:val="24"/>
        </w:rPr>
        <w:t> </w:t>
      </w:r>
      <w:r>
        <w:rPr>
          <w:i/>
          <w:color w:val="231F20"/>
          <w:sz w:val="24"/>
        </w:rPr>
        <w:t>frapper</w:t>
      </w:r>
      <w:r>
        <w:rPr>
          <w:i/>
          <w:color w:val="231F20"/>
          <w:spacing w:val="-13"/>
          <w:sz w:val="24"/>
        </w:rPr>
        <w:t> </w:t>
      </w:r>
      <w:r>
        <w:rPr>
          <w:i/>
          <w:color w:val="231F20"/>
          <w:sz w:val="24"/>
        </w:rPr>
        <w:t>dans</w:t>
      </w:r>
      <w:r>
        <w:rPr>
          <w:i/>
          <w:color w:val="231F20"/>
          <w:spacing w:val="-15"/>
          <w:sz w:val="24"/>
        </w:rPr>
        <w:t> </w:t>
      </w:r>
      <w:r>
        <w:rPr>
          <w:i/>
          <w:color w:val="231F20"/>
          <w:sz w:val="24"/>
        </w:rPr>
        <w:t>les</w:t>
      </w:r>
      <w:r>
        <w:rPr>
          <w:i/>
          <w:color w:val="231F20"/>
          <w:spacing w:val="-13"/>
          <w:sz w:val="24"/>
        </w:rPr>
        <w:t> </w:t>
      </w:r>
      <w:r>
        <w:rPr>
          <w:i/>
          <w:color w:val="231F20"/>
          <w:sz w:val="24"/>
        </w:rPr>
        <w:t>mosquées.</w:t>
      </w:r>
      <w:r>
        <w:rPr>
          <w:i/>
          <w:color w:val="231F20"/>
          <w:spacing w:val="-13"/>
          <w:sz w:val="24"/>
        </w:rPr>
        <w:t> </w:t>
      </w:r>
      <w:r>
        <w:rPr>
          <w:i/>
          <w:color w:val="231F20"/>
          <w:sz w:val="24"/>
        </w:rPr>
        <w:t>Si</w:t>
      </w:r>
      <w:r>
        <w:rPr>
          <w:i/>
          <w:color w:val="231F20"/>
          <w:spacing w:val="-14"/>
          <w:sz w:val="24"/>
        </w:rPr>
        <w:t> </w:t>
      </w:r>
      <w:r>
        <w:rPr>
          <w:i/>
          <w:color w:val="231F20"/>
          <w:sz w:val="24"/>
        </w:rPr>
        <w:t>nous</w:t>
      </w:r>
      <w:r>
        <w:rPr>
          <w:i/>
          <w:color w:val="231F20"/>
          <w:spacing w:val="-13"/>
          <w:sz w:val="24"/>
        </w:rPr>
        <w:t> </w:t>
      </w:r>
      <w:r>
        <w:rPr>
          <w:i/>
          <w:color w:val="231F20"/>
          <w:sz w:val="24"/>
        </w:rPr>
        <w:t>acceptons</w:t>
      </w:r>
      <w:r>
        <w:rPr>
          <w:i/>
          <w:color w:val="231F20"/>
          <w:spacing w:val="-13"/>
          <w:sz w:val="24"/>
        </w:rPr>
        <w:t> </w:t>
      </w:r>
      <w:r>
        <w:rPr>
          <w:i/>
          <w:color w:val="231F20"/>
          <w:sz w:val="24"/>
        </w:rPr>
        <w:t>cela,</w:t>
      </w:r>
      <w:r>
        <w:rPr>
          <w:i/>
          <w:color w:val="231F20"/>
          <w:spacing w:val="-13"/>
          <w:sz w:val="24"/>
        </w:rPr>
        <w:t> </w:t>
      </w:r>
      <w:r>
        <w:rPr>
          <w:i/>
          <w:color w:val="231F20"/>
          <w:sz w:val="24"/>
        </w:rPr>
        <w:t>c'est</w:t>
      </w:r>
      <w:r>
        <w:rPr>
          <w:i/>
          <w:color w:val="231F20"/>
          <w:spacing w:val="-14"/>
          <w:sz w:val="24"/>
        </w:rPr>
        <w:t> </w:t>
      </w:r>
      <w:r>
        <w:rPr>
          <w:i/>
          <w:color w:val="231F20"/>
          <w:sz w:val="24"/>
        </w:rPr>
        <w:t>que</w:t>
      </w:r>
      <w:r>
        <w:rPr>
          <w:i/>
          <w:color w:val="231F20"/>
          <w:spacing w:val="-13"/>
          <w:sz w:val="24"/>
        </w:rPr>
        <w:t> </w:t>
      </w:r>
      <w:r>
        <w:rPr>
          <w:i/>
          <w:color w:val="231F20"/>
          <w:sz w:val="24"/>
        </w:rPr>
        <w:t>nous</w:t>
      </w:r>
      <w:r>
        <w:rPr>
          <w:i/>
          <w:color w:val="231F20"/>
          <w:spacing w:val="-15"/>
          <w:sz w:val="24"/>
        </w:rPr>
        <w:t> </w:t>
      </w:r>
      <w:r>
        <w:rPr>
          <w:i/>
          <w:color w:val="231F20"/>
          <w:sz w:val="24"/>
        </w:rPr>
        <w:t>ne sommes</w:t>
      </w:r>
      <w:r>
        <w:rPr>
          <w:i/>
          <w:color w:val="231F20"/>
          <w:spacing w:val="-11"/>
          <w:sz w:val="24"/>
        </w:rPr>
        <w:t> </w:t>
      </w:r>
      <w:r>
        <w:rPr>
          <w:i/>
          <w:color w:val="231F20"/>
          <w:sz w:val="24"/>
        </w:rPr>
        <w:t>pas</w:t>
      </w:r>
      <w:r>
        <w:rPr>
          <w:i/>
          <w:color w:val="231F20"/>
          <w:spacing w:val="-11"/>
          <w:sz w:val="24"/>
        </w:rPr>
        <w:t> </w:t>
      </w:r>
      <w:r>
        <w:rPr>
          <w:i/>
          <w:color w:val="231F20"/>
          <w:sz w:val="24"/>
        </w:rPr>
        <w:t>des</w:t>
      </w:r>
      <w:r>
        <w:rPr>
          <w:i/>
          <w:color w:val="231F20"/>
          <w:spacing w:val="-9"/>
          <w:sz w:val="24"/>
        </w:rPr>
        <w:t> </w:t>
      </w:r>
      <w:r>
        <w:rPr>
          <w:i/>
          <w:color w:val="231F20"/>
          <w:sz w:val="24"/>
        </w:rPr>
        <w:t>musulmans,</w:t>
      </w:r>
      <w:r>
        <w:rPr>
          <w:i/>
          <w:color w:val="231F20"/>
          <w:spacing w:val="-11"/>
          <w:sz w:val="24"/>
        </w:rPr>
        <w:t> </w:t>
      </w:r>
      <w:r>
        <w:rPr>
          <w:i/>
          <w:color w:val="231F20"/>
          <w:sz w:val="24"/>
        </w:rPr>
        <w:t>si</w:t>
      </w:r>
      <w:r>
        <w:rPr>
          <w:i/>
          <w:color w:val="231F20"/>
          <w:spacing w:val="-10"/>
          <w:sz w:val="24"/>
        </w:rPr>
        <w:t> </w:t>
      </w:r>
      <w:r>
        <w:rPr>
          <w:i/>
          <w:color w:val="231F20"/>
          <w:sz w:val="24"/>
        </w:rPr>
        <w:t>nous</w:t>
      </w:r>
      <w:r>
        <w:rPr>
          <w:i/>
          <w:color w:val="231F20"/>
          <w:spacing w:val="-11"/>
          <w:sz w:val="24"/>
        </w:rPr>
        <w:t> </w:t>
      </w:r>
      <w:r>
        <w:rPr>
          <w:i/>
          <w:color w:val="231F20"/>
          <w:sz w:val="24"/>
        </w:rPr>
        <w:t>les</w:t>
      </w:r>
      <w:r>
        <w:rPr>
          <w:i/>
          <w:color w:val="231F20"/>
          <w:spacing w:val="-11"/>
          <w:sz w:val="24"/>
        </w:rPr>
        <w:t> </w:t>
      </w:r>
      <w:r>
        <w:rPr>
          <w:i/>
          <w:color w:val="231F20"/>
          <w:sz w:val="24"/>
        </w:rPr>
        <w:t>suivons,</w:t>
      </w:r>
      <w:r>
        <w:rPr>
          <w:i/>
          <w:color w:val="231F20"/>
          <w:spacing w:val="-11"/>
          <w:sz w:val="24"/>
        </w:rPr>
        <w:t> </w:t>
      </w:r>
      <w:r>
        <w:rPr>
          <w:i/>
          <w:color w:val="231F20"/>
          <w:sz w:val="24"/>
        </w:rPr>
        <w:t>c’est</w:t>
      </w:r>
      <w:r>
        <w:rPr>
          <w:i/>
          <w:color w:val="231F20"/>
          <w:spacing w:val="-11"/>
          <w:sz w:val="24"/>
        </w:rPr>
        <w:t> </w:t>
      </w:r>
      <w:r>
        <w:rPr>
          <w:i/>
          <w:color w:val="231F20"/>
          <w:sz w:val="24"/>
        </w:rPr>
        <w:t>que</w:t>
      </w:r>
      <w:r>
        <w:rPr>
          <w:i/>
          <w:color w:val="231F20"/>
          <w:spacing w:val="-11"/>
          <w:sz w:val="24"/>
        </w:rPr>
        <w:t> </w:t>
      </w:r>
      <w:r>
        <w:rPr>
          <w:i/>
          <w:color w:val="231F20"/>
          <w:sz w:val="24"/>
        </w:rPr>
        <w:t>nous</w:t>
      </w:r>
      <w:r>
        <w:rPr>
          <w:i/>
          <w:color w:val="231F20"/>
          <w:spacing w:val="-11"/>
          <w:sz w:val="24"/>
        </w:rPr>
        <w:t> </w:t>
      </w:r>
      <w:r>
        <w:rPr>
          <w:i/>
          <w:color w:val="231F20"/>
          <w:sz w:val="24"/>
        </w:rPr>
        <w:t>sommes des</w:t>
      </w:r>
      <w:r>
        <w:rPr>
          <w:i/>
          <w:color w:val="231F20"/>
          <w:spacing w:val="-11"/>
          <w:sz w:val="24"/>
        </w:rPr>
        <w:t> </w:t>
      </w:r>
      <w:r>
        <w:rPr>
          <w:i/>
          <w:color w:val="231F20"/>
          <w:sz w:val="24"/>
        </w:rPr>
        <w:t>bâtards…</w:t>
      </w:r>
      <w:r>
        <w:rPr>
          <w:i/>
          <w:color w:val="231F20"/>
          <w:spacing w:val="-10"/>
          <w:sz w:val="24"/>
        </w:rPr>
        <w:t> </w:t>
      </w:r>
      <w:r>
        <w:rPr>
          <w:i/>
          <w:color w:val="231F20"/>
          <w:sz w:val="24"/>
        </w:rPr>
        <w:t>Ici</w:t>
      </w:r>
      <w:r>
        <w:rPr>
          <w:i/>
          <w:color w:val="231F20"/>
          <w:spacing w:val="-11"/>
          <w:sz w:val="24"/>
        </w:rPr>
        <w:t> </w:t>
      </w:r>
      <w:r>
        <w:rPr>
          <w:i/>
          <w:color w:val="231F20"/>
          <w:sz w:val="24"/>
        </w:rPr>
        <w:t>chez</w:t>
      </w:r>
      <w:r>
        <w:rPr>
          <w:i/>
          <w:color w:val="231F20"/>
          <w:spacing w:val="-11"/>
          <w:sz w:val="24"/>
        </w:rPr>
        <w:t> </w:t>
      </w:r>
      <w:r>
        <w:rPr>
          <w:i/>
          <w:color w:val="231F20"/>
          <w:sz w:val="24"/>
        </w:rPr>
        <w:t>nous,</w:t>
      </w:r>
      <w:r>
        <w:rPr>
          <w:i/>
          <w:color w:val="231F20"/>
          <w:spacing w:val="-11"/>
          <w:sz w:val="24"/>
        </w:rPr>
        <w:t> </w:t>
      </w:r>
      <w:r>
        <w:rPr>
          <w:i/>
          <w:color w:val="231F20"/>
          <w:sz w:val="24"/>
        </w:rPr>
        <w:t>nous</w:t>
      </w:r>
      <w:r>
        <w:rPr>
          <w:i/>
          <w:color w:val="231F20"/>
          <w:spacing w:val="-11"/>
          <w:sz w:val="24"/>
        </w:rPr>
        <w:t> </w:t>
      </w:r>
      <w:r>
        <w:rPr>
          <w:i/>
          <w:color w:val="231F20"/>
          <w:sz w:val="24"/>
        </w:rPr>
        <w:t>disons</w:t>
      </w:r>
      <w:r>
        <w:rPr>
          <w:i/>
          <w:color w:val="231F20"/>
          <w:spacing w:val="-11"/>
          <w:sz w:val="24"/>
        </w:rPr>
        <w:t> </w:t>
      </w:r>
      <w:r>
        <w:rPr>
          <w:i/>
          <w:color w:val="231F20"/>
          <w:sz w:val="24"/>
        </w:rPr>
        <w:t>Mieux</w:t>
      </w:r>
      <w:r>
        <w:rPr>
          <w:i/>
          <w:color w:val="231F20"/>
          <w:spacing w:val="-11"/>
          <w:sz w:val="24"/>
        </w:rPr>
        <w:t> </w:t>
      </w:r>
      <w:r>
        <w:rPr>
          <w:i/>
          <w:color w:val="231F20"/>
          <w:sz w:val="24"/>
        </w:rPr>
        <w:t>vaut</w:t>
      </w:r>
      <w:r>
        <w:rPr>
          <w:i/>
          <w:color w:val="231F20"/>
          <w:spacing w:val="-11"/>
          <w:sz w:val="24"/>
        </w:rPr>
        <w:t> </w:t>
      </w:r>
      <w:r>
        <w:rPr>
          <w:i/>
          <w:color w:val="231F20"/>
          <w:sz w:val="24"/>
        </w:rPr>
        <w:t>mourir</w:t>
      </w:r>
      <w:r>
        <w:rPr>
          <w:i/>
          <w:color w:val="231F20"/>
          <w:spacing w:val="-11"/>
          <w:sz w:val="24"/>
        </w:rPr>
        <w:t> </w:t>
      </w:r>
      <w:r>
        <w:rPr>
          <w:i/>
          <w:color w:val="231F20"/>
          <w:sz w:val="24"/>
        </w:rPr>
        <w:t>que</w:t>
      </w:r>
      <w:r>
        <w:rPr>
          <w:i/>
          <w:color w:val="231F20"/>
          <w:spacing w:val="-11"/>
          <w:sz w:val="24"/>
        </w:rPr>
        <w:t> </w:t>
      </w:r>
      <w:r>
        <w:rPr>
          <w:i/>
          <w:color w:val="231F20"/>
          <w:sz w:val="24"/>
        </w:rPr>
        <w:t>d'avoir honte… Nous avons les mêmes armes qu’eux. Nous avons aussi nos hommes dans l'armée. Nous ne voulons d'eux ni aujourd'hui, ni </w:t>
      </w:r>
      <w:r>
        <w:rPr>
          <w:i/>
          <w:color w:val="231F20"/>
          <w:spacing w:val="-2"/>
          <w:sz w:val="24"/>
        </w:rPr>
        <w:t>demain(…)</w:t>
      </w:r>
      <w:r>
        <w:rPr>
          <w:color w:val="231F20"/>
          <w:spacing w:val="-2"/>
          <w:sz w:val="24"/>
          <w:vertAlign w:val="superscript"/>
        </w:rPr>
        <w:t>159</w:t>
      </w:r>
      <w:r>
        <w:rPr>
          <w:i/>
          <w:color w:val="231F20"/>
          <w:spacing w:val="-2"/>
          <w:sz w:val="24"/>
          <w:vertAlign w:val="baseline"/>
        </w:rPr>
        <w:t>»</w:t>
      </w:r>
    </w:p>
    <w:p>
      <w:pPr>
        <w:pStyle w:val="BodyText"/>
        <w:spacing w:before="122"/>
        <w:ind w:right="102" w:firstLine="340"/>
      </w:pPr>
      <w:r>
        <w:rPr>
          <w:color w:val="231F20"/>
        </w:rPr>
        <w:t>Lorsque</w:t>
      </w:r>
      <w:r>
        <w:rPr>
          <w:color w:val="231F20"/>
          <w:spacing w:val="-15"/>
        </w:rPr>
        <w:t> </w:t>
      </w:r>
      <w:r>
        <w:rPr>
          <w:color w:val="231F20"/>
        </w:rPr>
        <w:t>Alassane</w:t>
      </w:r>
      <w:r>
        <w:rPr>
          <w:color w:val="231F20"/>
          <w:spacing w:val="-15"/>
        </w:rPr>
        <w:t> </w:t>
      </w:r>
      <w:r>
        <w:rPr>
          <w:color w:val="231F20"/>
        </w:rPr>
        <w:t>Dramane</w:t>
      </w:r>
      <w:r>
        <w:rPr>
          <w:color w:val="231F20"/>
          <w:spacing w:val="-15"/>
        </w:rPr>
        <w:t> </w:t>
      </w:r>
      <w:r>
        <w:rPr>
          <w:color w:val="231F20"/>
        </w:rPr>
        <w:t>Ouattara</w:t>
      </w:r>
      <w:r>
        <w:rPr>
          <w:color w:val="231F20"/>
          <w:spacing w:val="-15"/>
        </w:rPr>
        <w:t> </w:t>
      </w:r>
      <w:r>
        <w:rPr>
          <w:color w:val="231F20"/>
        </w:rPr>
        <w:t>en</w:t>
      </w:r>
      <w:r>
        <w:rPr>
          <w:color w:val="231F20"/>
          <w:spacing w:val="-15"/>
        </w:rPr>
        <w:t> </w:t>
      </w:r>
      <w:r>
        <w:rPr>
          <w:color w:val="231F20"/>
        </w:rPr>
        <w:t>personne</w:t>
      </w:r>
      <w:r>
        <w:rPr>
          <w:color w:val="231F20"/>
          <w:spacing w:val="-15"/>
        </w:rPr>
        <w:t> </w:t>
      </w:r>
      <w:r>
        <w:rPr>
          <w:color w:val="231F20"/>
        </w:rPr>
        <w:t>proclame</w:t>
      </w:r>
      <w:r>
        <w:rPr>
          <w:color w:val="231F20"/>
          <w:spacing w:val="-15"/>
        </w:rPr>
        <w:t> </w:t>
      </w:r>
      <w:r>
        <w:rPr>
          <w:color w:val="231F20"/>
        </w:rPr>
        <w:t>sur</w:t>
      </w:r>
      <w:r>
        <w:rPr>
          <w:color w:val="231F20"/>
          <w:spacing w:val="-15"/>
        </w:rPr>
        <w:t> </w:t>
      </w:r>
      <w:r>
        <w:rPr>
          <w:color w:val="231F20"/>
        </w:rPr>
        <w:t>TV5 en cette année 1995 </w:t>
      </w:r>
      <w:r>
        <w:rPr>
          <w:i/>
          <w:color w:val="231F20"/>
        </w:rPr>
        <w:t>« On a écarté ma candidature parce que je suis</w:t>
      </w:r>
      <w:r>
        <w:rPr>
          <w:i/>
          <w:color w:val="231F20"/>
        </w:rPr>
        <w:t> </w:t>
      </w:r>
      <w:r>
        <w:rPr>
          <w:i/>
          <w:color w:val="231F20"/>
          <w:spacing w:val="-6"/>
        </w:rPr>
        <w:t>musulman et du</w:t>
      </w:r>
      <w:r>
        <w:rPr>
          <w:i/>
          <w:color w:val="231F20"/>
          <w:spacing w:val="-7"/>
        </w:rPr>
        <w:t> </w:t>
      </w:r>
      <w:r>
        <w:rPr>
          <w:i/>
          <w:color w:val="231F20"/>
          <w:spacing w:val="-6"/>
        </w:rPr>
        <w:t>Nord …</w:t>
      </w:r>
      <w:r>
        <w:rPr>
          <w:i/>
          <w:color w:val="231F20"/>
          <w:spacing w:val="-7"/>
        </w:rPr>
        <w:t> </w:t>
      </w:r>
      <w:r>
        <w:rPr>
          <w:i/>
          <w:color w:val="231F20"/>
          <w:spacing w:val="-6"/>
        </w:rPr>
        <w:t>»</w:t>
      </w:r>
      <w:r>
        <w:rPr>
          <w:color w:val="231F20"/>
          <w:spacing w:val="-6"/>
        </w:rPr>
        <w:t>,</w:t>
      </w:r>
      <w:r>
        <w:rPr>
          <w:color w:val="231F20"/>
          <w:spacing w:val="-7"/>
        </w:rPr>
        <w:t> </w:t>
      </w:r>
      <w:r>
        <w:rPr>
          <w:color w:val="231F20"/>
          <w:spacing w:val="-6"/>
        </w:rPr>
        <w:t>il est perçu</w:t>
      </w:r>
      <w:r>
        <w:rPr>
          <w:color w:val="231F20"/>
          <w:spacing w:val="-7"/>
        </w:rPr>
        <w:t> </w:t>
      </w:r>
      <w:r>
        <w:rPr>
          <w:color w:val="231F20"/>
          <w:spacing w:val="-6"/>
        </w:rPr>
        <w:t>par</w:t>
      </w:r>
      <w:r>
        <w:rPr>
          <w:color w:val="231F20"/>
          <w:spacing w:val="-7"/>
        </w:rPr>
        <w:t> </w:t>
      </w:r>
      <w:r>
        <w:rPr>
          <w:color w:val="231F20"/>
          <w:spacing w:val="-6"/>
        </w:rPr>
        <w:t>les</w:t>
      </w:r>
      <w:r>
        <w:rPr>
          <w:color w:val="231F20"/>
          <w:spacing w:val="-7"/>
        </w:rPr>
        <w:t> </w:t>
      </w:r>
      <w:r>
        <w:rPr>
          <w:color w:val="231F20"/>
          <w:spacing w:val="-6"/>
        </w:rPr>
        <w:t>populations</w:t>
      </w:r>
      <w:r>
        <w:rPr>
          <w:color w:val="231F20"/>
          <w:spacing w:val="-7"/>
        </w:rPr>
        <w:t> </w:t>
      </w:r>
      <w:r>
        <w:rPr>
          <w:color w:val="231F20"/>
          <w:spacing w:val="-6"/>
        </w:rPr>
        <w:t>du</w:t>
      </w:r>
      <w:r>
        <w:rPr>
          <w:color w:val="231F20"/>
          <w:spacing w:val="-7"/>
        </w:rPr>
        <w:t> </w:t>
      </w:r>
      <w:r>
        <w:rPr>
          <w:color w:val="231F20"/>
          <w:spacing w:val="-6"/>
        </w:rPr>
        <w:t>Nord</w:t>
      </w:r>
      <w:r>
        <w:rPr>
          <w:color w:val="231F20"/>
          <w:spacing w:val="-7"/>
        </w:rPr>
        <w:t> </w:t>
      </w:r>
      <w:r>
        <w:rPr>
          <w:color w:val="231F20"/>
          <w:spacing w:val="-6"/>
        </w:rPr>
        <w:t>comme </w:t>
      </w:r>
      <w:r>
        <w:rPr>
          <w:color w:val="231F20"/>
        </w:rPr>
        <w:t>une</w:t>
      </w:r>
      <w:r>
        <w:rPr>
          <w:color w:val="231F20"/>
          <w:spacing w:val="-15"/>
        </w:rPr>
        <w:t> </w:t>
      </w:r>
      <w:r>
        <w:rPr>
          <w:color w:val="231F20"/>
        </w:rPr>
        <w:t>victime</w:t>
      </w:r>
      <w:r>
        <w:rPr>
          <w:color w:val="231F20"/>
          <w:spacing w:val="-15"/>
        </w:rPr>
        <w:t> </w:t>
      </w:r>
      <w:r>
        <w:rPr>
          <w:color w:val="231F20"/>
        </w:rPr>
        <w:t>de</w:t>
      </w:r>
      <w:r>
        <w:rPr>
          <w:color w:val="231F20"/>
          <w:spacing w:val="-15"/>
        </w:rPr>
        <w:t> </w:t>
      </w:r>
      <w:r>
        <w:rPr>
          <w:color w:val="231F20"/>
        </w:rPr>
        <w:t>«</w:t>
      </w:r>
      <w:r>
        <w:rPr>
          <w:color w:val="231F20"/>
          <w:spacing w:val="-15"/>
        </w:rPr>
        <w:t> </w:t>
      </w:r>
      <w:r>
        <w:rPr>
          <w:color w:val="231F20"/>
        </w:rPr>
        <w:t>l’ivoirité</w:t>
      </w:r>
      <w:r>
        <w:rPr>
          <w:color w:val="231F20"/>
          <w:spacing w:val="-15"/>
        </w:rPr>
        <w:t> </w:t>
      </w:r>
      <w:r>
        <w:rPr>
          <w:color w:val="231F20"/>
        </w:rPr>
        <w:t>»,</w:t>
      </w:r>
      <w:r>
        <w:rPr>
          <w:color w:val="231F20"/>
          <w:spacing w:val="-15"/>
        </w:rPr>
        <w:t> </w:t>
      </w:r>
      <w:r>
        <w:rPr>
          <w:color w:val="231F20"/>
        </w:rPr>
        <w:t>il</w:t>
      </w:r>
      <w:r>
        <w:rPr>
          <w:color w:val="231F20"/>
          <w:spacing w:val="-15"/>
        </w:rPr>
        <w:t> </w:t>
      </w:r>
      <w:r>
        <w:rPr>
          <w:color w:val="231F20"/>
        </w:rPr>
        <w:t>devient</w:t>
      </w:r>
      <w:r>
        <w:rPr>
          <w:color w:val="231F20"/>
          <w:spacing w:val="-15"/>
        </w:rPr>
        <w:t> </w:t>
      </w:r>
      <w:r>
        <w:rPr>
          <w:color w:val="231F20"/>
        </w:rPr>
        <w:t>leur</w:t>
      </w:r>
      <w:r>
        <w:rPr>
          <w:color w:val="231F20"/>
          <w:spacing w:val="-15"/>
        </w:rPr>
        <w:t> </w:t>
      </w:r>
      <w:r>
        <w:rPr>
          <w:color w:val="231F20"/>
        </w:rPr>
        <w:t>champion.</w:t>
      </w:r>
      <w:r>
        <w:rPr>
          <w:color w:val="231F20"/>
          <w:spacing w:val="-15"/>
        </w:rPr>
        <w:t> </w:t>
      </w:r>
      <w:r>
        <w:rPr>
          <w:color w:val="231F20"/>
        </w:rPr>
        <w:t>Les</w:t>
      </w:r>
      <w:r>
        <w:rPr>
          <w:color w:val="231F20"/>
          <w:spacing w:val="-15"/>
        </w:rPr>
        <w:t> </w:t>
      </w:r>
      <w:r>
        <w:rPr>
          <w:color w:val="231F20"/>
        </w:rPr>
        <w:t>musulmans</w:t>
      </w:r>
      <w:r>
        <w:rPr>
          <w:color w:val="231F20"/>
          <w:spacing w:val="-15"/>
        </w:rPr>
        <w:t> </w:t>
      </w:r>
      <w:r>
        <w:rPr>
          <w:color w:val="231F20"/>
        </w:rPr>
        <w:t>et tous les ressortissants burkinabés ou guinéens nés ou vivant en Côte </w:t>
      </w:r>
      <w:r>
        <w:rPr>
          <w:color w:val="231F20"/>
          <w:spacing w:val="-4"/>
        </w:rPr>
        <w:t>d’Ivoire</w:t>
      </w:r>
      <w:r>
        <w:rPr>
          <w:color w:val="231F20"/>
          <w:spacing w:val="-11"/>
        </w:rPr>
        <w:t> </w:t>
      </w:r>
      <w:r>
        <w:rPr>
          <w:color w:val="231F20"/>
          <w:spacing w:val="-4"/>
        </w:rPr>
        <w:t>se</w:t>
      </w:r>
      <w:r>
        <w:rPr>
          <w:color w:val="231F20"/>
          <w:spacing w:val="-11"/>
        </w:rPr>
        <w:t> </w:t>
      </w:r>
      <w:r>
        <w:rPr>
          <w:color w:val="231F20"/>
          <w:spacing w:val="-4"/>
        </w:rPr>
        <w:t>reconnaissent</w:t>
      </w:r>
      <w:r>
        <w:rPr>
          <w:color w:val="231F20"/>
          <w:spacing w:val="-10"/>
        </w:rPr>
        <w:t> </w:t>
      </w:r>
      <w:r>
        <w:rPr>
          <w:color w:val="231F20"/>
          <w:spacing w:val="-4"/>
        </w:rPr>
        <w:t>en</w:t>
      </w:r>
      <w:r>
        <w:rPr>
          <w:color w:val="231F20"/>
          <w:spacing w:val="-9"/>
        </w:rPr>
        <w:t> </w:t>
      </w:r>
      <w:r>
        <w:rPr>
          <w:color w:val="231F20"/>
          <w:spacing w:val="-4"/>
        </w:rPr>
        <w:t>lui.</w:t>
      </w:r>
      <w:r>
        <w:rPr>
          <w:color w:val="231F20"/>
          <w:spacing w:val="-11"/>
        </w:rPr>
        <w:t> </w:t>
      </w:r>
      <w:r>
        <w:rPr>
          <w:color w:val="231F20"/>
          <w:spacing w:val="-4"/>
        </w:rPr>
        <w:t>Bédié</w:t>
      </w:r>
      <w:r>
        <w:rPr>
          <w:color w:val="231F20"/>
          <w:spacing w:val="-9"/>
        </w:rPr>
        <w:t> </w:t>
      </w:r>
      <w:r>
        <w:rPr>
          <w:color w:val="231F20"/>
          <w:spacing w:val="-4"/>
        </w:rPr>
        <w:t>est</w:t>
      </w:r>
      <w:r>
        <w:rPr>
          <w:color w:val="231F20"/>
          <w:spacing w:val="-9"/>
        </w:rPr>
        <w:t> </w:t>
      </w:r>
      <w:r>
        <w:rPr>
          <w:color w:val="231F20"/>
          <w:spacing w:val="-4"/>
        </w:rPr>
        <w:t>traité</w:t>
      </w:r>
      <w:r>
        <w:rPr>
          <w:color w:val="231F20"/>
          <w:spacing w:val="-10"/>
        </w:rPr>
        <w:t> </w:t>
      </w:r>
      <w:r>
        <w:rPr>
          <w:color w:val="231F20"/>
          <w:spacing w:val="-4"/>
        </w:rPr>
        <w:t>dans</w:t>
      </w:r>
      <w:r>
        <w:rPr>
          <w:color w:val="231F20"/>
          <w:spacing w:val="-11"/>
        </w:rPr>
        <w:t> </w:t>
      </w:r>
      <w:r>
        <w:rPr>
          <w:color w:val="231F20"/>
          <w:spacing w:val="-4"/>
        </w:rPr>
        <w:t>les</w:t>
      </w:r>
      <w:r>
        <w:rPr>
          <w:color w:val="231F20"/>
          <w:spacing w:val="-11"/>
        </w:rPr>
        <w:t> </w:t>
      </w:r>
      <w:r>
        <w:rPr>
          <w:color w:val="231F20"/>
          <w:spacing w:val="-4"/>
        </w:rPr>
        <w:t>journaux</w:t>
      </w:r>
      <w:r>
        <w:rPr>
          <w:color w:val="231F20"/>
          <w:spacing w:val="-11"/>
        </w:rPr>
        <w:t> </w:t>
      </w:r>
      <w:r>
        <w:rPr>
          <w:color w:val="231F20"/>
          <w:spacing w:val="-4"/>
        </w:rPr>
        <w:t>du</w:t>
      </w:r>
      <w:r>
        <w:rPr>
          <w:color w:val="231F20"/>
          <w:spacing w:val="-11"/>
        </w:rPr>
        <w:t> </w:t>
      </w:r>
      <w:r>
        <w:rPr>
          <w:color w:val="231F20"/>
          <w:spacing w:val="-4"/>
        </w:rPr>
        <w:t>RDR </w:t>
      </w:r>
      <w:r>
        <w:rPr>
          <w:color w:val="231F20"/>
          <w:spacing w:val="-2"/>
        </w:rPr>
        <w:t>d’ivoiritaire.</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67"/>
        <w:ind w:left="0"/>
        <w:jc w:val="left"/>
        <w:rPr>
          <w:sz w:val="20"/>
        </w:rPr>
      </w:pPr>
      <w:r>
        <w:rPr/>
        <mc:AlternateContent>
          <mc:Choice Requires="wps">
            <w:drawing>
              <wp:anchor distT="0" distB="0" distL="0" distR="0" allowOverlap="1" layoutInCell="1" locked="0" behindDoc="1" simplePos="0" relativeHeight="487638016">
                <wp:simplePos x="0" y="0"/>
                <wp:positionH relativeFrom="page">
                  <wp:posOffset>629907</wp:posOffset>
                </wp:positionH>
                <wp:positionV relativeFrom="paragraph">
                  <wp:posOffset>203908</wp:posOffset>
                </wp:positionV>
                <wp:extent cx="1829435" cy="9525"/>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055780pt;width:144.020pt;height:.72pt;mso-position-horizontal-relative:page;mso-position-vertical-relative:paragraph;z-index:-15678464;mso-wrap-distance-left:0;mso-wrap-distance-right:0" id="docshape125" filled="true" fillcolor="#231f20" stroked="false">
                <v:fill type="solid"/>
                <w10:wrap type="topAndBottom"/>
              </v:rect>
            </w:pict>
          </mc:Fallback>
        </mc:AlternateContent>
      </w:r>
    </w:p>
    <w:p>
      <w:pPr>
        <w:spacing w:before="91"/>
        <w:ind w:left="111" w:right="104" w:firstLine="0"/>
        <w:jc w:val="both"/>
        <w:rPr>
          <w:sz w:val="20"/>
        </w:rPr>
      </w:pPr>
      <w:r>
        <w:rPr>
          <w:color w:val="76787A"/>
          <w:sz w:val="20"/>
          <w:vertAlign w:val="superscript"/>
        </w:rPr>
        <w:t>159</w:t>
      </w:r>
      <w:r>
        <w:rPr>
          <w:i/>
          <w:color w:val="231F20"/>
          <w:sz w:val="20"/>
          <w:vertAlign w:val="baseline"/>
        </w:rPr>
        <w:t>Odiennè</w:t>
      </w:r>
      <w:r>
        <w:rPr>
          <w:i/>
          <w:color w:val="231F20"/>
          <w:spacing w:val="-13"/>
          <w:sz w:val="20"/>
          <w:vertAlign w:val="baseline"/>
        </w:rPr>
        <w:t> </w:t>
      </w:r>
      <w:r>
        <w:rPr>
          <w:i/>
          <w:color w:val="231F20"/>
          <w:sz w:val="20"/>
          <w:vertAlign w:val="baseline"/>
        </w:rPr>
        <w:t>1995,</w:t>
      </w:r>
      <w:r>
        <w:rPr>
          <w:i/>
          <w:color w:val="231F20"/>
          <w:spacing w:val="-10"/>
          <w:sz w:val="20"/>
          <w:vertAlign w:val="baseline"/>
        </w:rPr>
        <w:t> </w:t>
      </w:r>
      <w:r>
        <w:rPr>
          <w:color w:val="231F20"/>
          <w:sz w:val="20"/>
          <w:vertAlign w:val="baseline"/>
        </w:rPr>
        <w:t>Lamine</w:t>
      </w:r>
      <w:r>
        <w:rPr>
          <w:color w:val="231F20"/>
          <w:spacing w:val="-11"/>
          <w:sz w:val="20"/>
          <w:vertAlign w:val="baseline"/>
        </w:rPr>
        <w:t> </w:t>
      </w:r>
      <w:r>
        <w:rPr>
          <w:color w:val="231F20"/>
          <w:sz w:val="20"/>
          <w:vertAlign w:val="baseline"/>
        </w:rPr>
        <w:t>Diabaté,</w:t>
      </w:r>
      <w:r>
        <w:rPr>
          <w:color w:val="231F20"/>
          <w:spacing w:val="-11"/>
          <w:sz w:val="20"/>
          <w:vertAlign w:val="baseline"/>
        </w:rPr>
        <w:t> </w:t>
      </w:r>
      <w:r>
        <w:rPr>
          <w:color w:val="1F2021"/>
          <w:sz w:val="20"/>
          <w:vertAlign w:val="baseline"/>
        </w:rPr>
        <w:t>économiste,</w:t>
      </w:r>
      <w:r>
        <w:rPr>
          <w:color w:val="1F2021"/>
          <w:spacing w:val="-11"/>
          <w:sz w:val="20"/>
          <w:vertAlign w:val="baseline"/>
        </w:rPr>
        <w:t> </w:t>
      </w:r>
      <w:r>
        <w:rPr>
          <w:color w:val="58595B"/>
          <w:sz w:val="20"/>
          <w:vertAlign w:val="baseline"/>
        </w:rPr>
        <w:t>ancien</w:t>
      </w:r>
      <w:r>
        <w:rPr>
          <w:color w:val="58595B"/>
          <w:spacing w:val="-12"/>
          <w:sz w:val="20"/>
          <w:vertAlign w:val="baseline"/>
        </w:rPr>
        <w:t> </w:t>
      </w:r>
      <w:r>
        <w:rPr>
          <w:color w:val="58595B"/>
          <w:sz w:val="20"/>
          <w:vertAlign w:val="baseline"/>
        </w:rPr>
        <w:t>directeur</w:t>
      </w:r>
      <w:r>
        <w:rPr>
          <w:color w:val="58595B"/>
          <w:spacing w:val="-12"/>
          <w:sz w:val="20"/>
          <w:vertAlign w:val="baseline"/>
        </w:rPr>
        <w:t> </w:t>
      </w:r>
      <w:r>
        <w:rPr>
          <w:color w:val="58595B"/>
          <w:sz w:val="20"/>
          <w:vertAlign w:val="baseline"/>
        </w:rPr>
        <w:t>national</w:t>
      </w:r>
      <w:r>
        <w:rPr>
          <w:color w:val="58595B"/>
          <w:spacing w:val="-13"/>
          <w:sz w:val="20"/>
          <w:vertAlign w:val="baseline"/>
        </w:rPr>
        <w:t> </w:t>
      </w:r>
      <w:r>
        <w:rPr>
          <w:color w:val="58595B"/>
          <w:sz w:val="20"/>
          <w:vertAlign w:val="baseline"/>
        </w:rPr>
        <w:t>de</w:t>
      </w:r>
      <w:r>
        <w:rPr>
          <w:color w:val="58595B"/>
          <w:spacing w:val="-11"/>
          <w:sz w:val="20"/>
          <w:vertAlign w:val="baseline"/>
        </w:rPr>
        <w:t> </w:t>
      </w:r>
      <w:r>
        <w:rPr>
          <w:color w:val="58595B"/>
          <w:sz w:val="20"/>
          <w:vertAlign w:val="baseline"/>
        </w:rPr>
        <w:t>la</w:t>
      </w:r>
      <w:r>
        <w:rPr>
          <w:color w:val="58595B"/>
          <w:spacing w:val="-11"/>
          <w:sz w:val="20"/>
          <w:vertAlign w:val="baseline"/>
        </w:rPr>
        <w:t> </w:t>
      </w:r>
      <w:r>
        <w:rPr>
          <w:color w:val="58595B"/>
          <w:sz w:val="20"/>
          <w:vertAlign w:val="baseline"/>
        </w:rPr>
        <w:t>Banque centrale de l’Afrique de l’ouest (Bceao), ancien ministre d`État, ancien ministre </w:t>
      </w:r>
      <w:r>
        <w:rPr>
          <w:color w:val="1F2021"/>
          <w:sz w:val="20"/>
          <w:vertAlign w:val="baseline"/>
        </w:rPr>
        <w:t>de l’économie et des Finances sous</w:t>
      </w:r>
      <w:r>
        <w:rPr>
          <w:color w:val="1F2021"/>
          <w:spacing w:val="-13"/>
          <w:sz w:val="20"/>
          <w:vertAlign w:val="baseline"/>
        </w:rPr>
        <w:t> </w:t>
      </w:r>
      <w:r>
        <w:rPr>
          <w:color w:val="1F2021"/>
          <w:sz w:val="20"/>
          <w:vertAlign w:val="baseline"/>
        </w:rPr>
        <w:t>Houphouët-Boigny.</w:t>
      </w:r>
      <w:r>
        <w:rPr>
          <w:color w:val="58595B"/>
          <w:sz w:val="20"/>
          <w:vertAlign w:val="baseline"/>
        </w:rPr>
        <w:t>Marié au professeure Henriette Dagri</w:t>
      </w:r>
      <w:r>
        <w:rPr>
          <w:color w:val="58595B"/>
          <w:spacing w:val="-13"/>
          <w:sz w:val="20"/>
          <w:vertAlign w:val="baseline"/>
        </w:rPr>
        <w:t> </w:t>
      </w:r>
      <w:r>
        <w:rPr>
          <w:color w:val="58595B"/>
          <w:sz w:val="20"/>
          <w:vertAlign w:val="baseline"/>
        </w:rPr>
        <w:t>Diabaté,</w:t>
      </w:r>
      <w:r>
        <w:rPr>
          <w:color w:val="58595B"/>
          <w:spacing w:val="-12"/>
          <w:sz w:val="20"/>
          <w:vertAlign w:val="baseline"/>
        </w:rPr>
        <w:t> </w:t>
      </w:r>
      <w:r>
        <w:rPr>
          <w:color w:val="58595B"/>
          <w:sz w:val="20"/>
          <w:vertAlign w:val="baseline"/>
        </w:rPr>
        <w:t>secrétaire</w:t>
      </w:r>
      <w:r>
        <w:rPr>
          <w:color w:val="58595B"/>
          <w:spacing w:val="-13"/>
          <w:sz w:val="20"/>
          <w:vertAlign w:val="baseline"/>
        </w:rPr>
        <w:t> </w:t>
      </w:r>
      <w:r>
        <w:rPr>
          <w:color w:val="58595B"/>
          <w:sz w:val="20"/>
          <w:vertAlign w:val="baseline"/>
        </w:rPr>
        <w:t>générale</w:t>
      </w:r>
      <w:r>
        <w:rPr>
          <w:color w:val="58595B"/>
          <w:spacing w:val="-12"/>
          <w:sz w:val="20"/>
          <w:vertAlign w:val="baseline"/>
        </w:rPr>
        <w:t> </w:t>
      </w:r>
      <w:r>
        <w:rPr>
          <w:color w:val="58595B"/>
          <w:sz w:val="20"/>
          <w:vertAlign w:val="baseline"/>
        </w:rPr>
        <w:t>du</w:t>
      </w:r>
      <w:r>
        <w:rPr>
          <w:color w:val="58595B"/>
          <w:spacing w:val="-13"/>
          <w:sz w:val="20"/>
          <w:vertAlign w:val="baseline"/>
        </w:rPr>
        <w:t> </w:t>
      </w:r>
      <w:r>
        <w:rPr>
          <w:color w:val="58595B"/>
          <w:sz w:val="20"/>
          <w:vertAlign w:val="baseline"/>
        </w:rPr>
        <w:t>Rassemblement</w:t>
      </w:r>
      <w:r>
        <w:rPr>
          <w:color w:val="58595B"/>
          <w:spacing w:val="-12"/>
          <w:sz w:val="20"/>
          <w:vertAlign w:val="baseline"/>
        </w:rPr>
        <w:t> </w:t>
      </w:r>
      <w:r>
        <w:rPr>
          <w:color w:val="58595B"/>
          <w:sz w:val="20"/>
          <w:vertAlign w:val="baseline"/>
        </w:rPr>
        <w:t>des</w:t>
      </w:r>
      <w:r>
        <w:rPr>
          <w:color w:val="58595B"/>
          <w:spacing w:val="-13"/>
          <w:sz w:val="20"/>
          <w:vertAlign w:val="baseline"/>
        </w:rPr>
        <w:t> </w:t>
      </w:r>
      <w:r>
        <w:rPr>
          <w:color w:val="58595B"/>
          <w:sz w:val="20"/>
          <w:vertAlign w:val="baseline"/>
        </w:rPr>
        <w:t>républicains(RDR).</w:t>
      </w:r>
    </w:p>
    <w:p>
      <w:pPr>
        <w:spacing w:after="0"/>
        <w:jc w:val="both"/>
        <w:rPr>
          <w:sz w:val="20"/>
        </w:rPr>
        <w:sectPr>
          <w:pgSz w:w="8790" w:h="13610"/>
          <w:pgMar w:header="0" w:footer="802" w:top="1060" w:bottom="1000" w:left="880" w:right="880"/>
        </w:sectPr>
      </w:pPr>
    </w:p>
    <w:p>
      <w:pPr>
        <w:pStyle w:val="Heading3"/>
        <w:spacing w:before="87"/>
        <w:jc w:val="left"/>
      </w:pPr>
      <w:bookmarkStart w:name="_TOC_250019" w:id="24"/>
      <w:r>
        <w:rPr>
          <w:i/>
          <w:color w:val="231F20"/>
          <w:spacing w:val="-2"/>
        </w:rPr>
        <w:t>La</w:t>
      </w:r>
      <w:r>
        <w:rPr>
          <w:i/>
          <w:color w:val="231F20"/>
          <w:spacing w:val="-9"/>
        </w:rPr>
        <w:t> </w:t>
      </w:r>
      <w:r>
        <w:rPr>
          <w:i/>
          <w:color w:val="231F20"/>
          <w:spacing w:val="-2"/>
        </w:rPr>
        <w:t>partition</w:t>
      </w:r>
      <w:r>
        <w:rPr>
          <w:i/>
          <w:color w:val="231F20"/>
          <w:spacing w:val="-10"/>
        </w:rPr>
        <w:t> </w:t>
      </w:r>
      <w:r>
        <w:rPr>
          <w:i/>
          <w:color w:val="231F20"/>
          <w:spacing w:val="-2"/>
        </w:rPr>
        <w:t>en</w:t>
      </w:r>
      <w:r>
        <w:rPr>
          <w:i/>
          <w:color w:val="231F20"/>
          <w:spacing w:val="-7"/>
        </w:rPr>
        <w:t> </w:t>
      </w:r>
      <w:r>
        <w:rPr>
          <w:i/>
          <w:color w:val="231F20"/>
          <w:spacing w:val="-2"/>
        </w:rPr>
        <w:t>deux</w:t>
      </w:r>
      <w:r>
        <w:rPr>
          <w:i/>
          <w:color w:val="231F20"/>
          <w:spacing w:val="-9"/>
        </w:rPr>
        <w:t> </w:t>
      </w:r>
      <w:r>
        <w:rPr>
          <w:i/>
          <w:color w:val="231F20"/>
          <w:spacing w:val="-2"/>
        </w:rPr>
        <w:t>du</w:t>
      </w:r>
      <w:r>
        <w:rPr>
          <w:i/>
          <w:color w:val="231F20"/>
          <w:spacing w:val="-12"/>
        </w:rPr>
        <w:t> </w:t>
      </w:r>
      <w:r>
        <w:rPr>
          <w:i/>
          <w:color w:val="231F20"/>
          <w:spacing w:val="-2"/>
        </w:rPr>
        <w:t>pays</w:t>
      </w:r>
      <w:r>
        <w:rPr>
          <w:i/>
          <w:color w:val="231F20"/>
          <w:spacing w:val="-8"/>
        </w:rPr>
        <w:t> </w:t>
      </w:r>
      <w:r>
        <w:rPr>
          <w:i/>
          <w:color w:val="231F20"/>
          <w:spacing w:val="-2"/>
        </w:rPr>
        <w:t>se</w:t>
      </w:r>
      <w:r>
        <w:rPr>
          <w:i/>
          <w:color w:val="231F20"/>
          <w:spacing w:val="-10"/>
        </w:rPr>
        <w:t> </w:t>
      </w:r>
      <w:r>
        <w:rPr>
          <w:i/>
          <w:color w:val="231F20"/>
          <w:spacing w:val="-2"/>
        </w:rPr>
        <w:t>met</w:t>
      </w:r>
      <w:r>
        <w:rPr>
          <w:i/>
          <w:color w:val="231F20"/>
          <w:spacing w:val="-9"/>
        </w:rPr>
        <w:t> </w:t>
      </w:r>
      <w:r>
        <w:rPr>
          <w:i/>
          <w:color w:val="231F20"/>
          <w:spacing w:val="-2"/>
        </w:rPr>
        <w:t>en</w:t>
      </w:r>
      <w:r>
        <w:rPr>
          <w:i/>
          <w:color w:val="231F20"/>
          <w:spacing w:val="-10"/>
        </w:rPr>
        <w:t> </w:t>
      </w:r>
      <w:r>
        <w:rPr>
          <w:i/>
          <w:color w:val="231F20"/>
          <w:spacing w:val="-2"/>
        </w:rPr>
        <w:t>route</w:t>
      </w:r>
      <w:r>
        <w:rPr>
          <w:i/>
          <w:color w:val="231F20"/>
          <w:spacing w:val="-11"/>
        </w:rPr>
        <w:t> </w:t>
      </w:r>
      <w:r>
        <w:rPr>
          <w:i/>
          <w:color w:val="231F20"/>
          <w:spacing w:val="-2"/>
        </w:rPr>
        <w:t>dans</w:t>
      </w:r>
      <w:r>
        <w:rPr>
          <w:i/>
          <w:color w:val="231F20"/>
          <w:spacing w:val="-11"/>
        </w:rPr>
        <w:t> </w:t>
      </w:r>
      <w:r>
        <w:rPr>
          <w:i/>
          <w:color w:val="231F20"/>
          <w:spacing w:val="-2"/>
        </w:rPr>
        <w:t>les</w:t>
      </w:r>
      <w:r>
        <w:rPr>
          <w:i/>
          <w:color w:val="231F20"/>
          <w:spacing w:val="-11"/>
        </w:rPr>
        <w:t> </w:t>
      </w:r>
      <w:r>
        <w:rPr>
          <w:i/>
          <w:color w:val="231F20"/>
          <w:spacing w:val="-2"/>
        </w:rPr>
        <w:t>esprits</w:t>
      </w:r>
      <w:r>
        <w:rPr>
          <w:i/>
          <w:color w:val="231F20"/>
          <w:spacing w:val="-9"/>
        </w:rPr>
        <w:t> </w:t>
      </w:r>
      <w:r>
        <w:rPr>
          <w:i/>
          <w:color w:val="231F20"/>
          <w:spacing w:val="-2"/>
        </w:rPr>
        <w:t>de</w:t>
      </w:r>
      <w:r>
        <w:rPr>
          <w:color w:val="231F20"/>
          <w:spacing w:val="-2"/>
        </w:rPr>
        <w:t> </w:t>
      </w:r>
      <w:bookmarkEnd w:id="24"/>
      <w:r>
        <w:rPr>
          <w:color w:val="231F20"/>
        </w:rPr>
        <w:t>ceux qui sont sensibles au message véhiculé.</w:t>
      </w:r>
    </w:p>
    <w:p>
      <w:pPr>
        <w:pStyle w:val="BodyText"/>
        <w:spacing w:before="139"/>
        <w:ind w:right="102" w:firstLine="283"/>
      </w:pPr>
      <w:r>
        <w:rPr>
          <w:color w:val="231F20"/>
        </w:rPr>
        <w:t>En 1996, Henri Konan Bédié, initie «</w:t>
      </w:r>
      <w:r>
        <w:rPr>
          <w:color w:val="231F20"/>
          <w:spacing w:val="-13"/>
        </w:rPr>
        <w:t> </w:t>
      </w:r>
      <w:r>
        <w:rPr>
          <w:color w:val="231F20"/>
        </w:rPr>
        <w:t>les douze (12) Travaux de l’éléphant</w:t>
      </w:r>
      <w:r>
        <w:rPr>
          <w:color w:val="231F20"/>
          <w:spacing w:val="-9"/>
        </w:rPr>
        <w:t> </w:t>
      </w:r>
      <w:r>
        <w:rPr>
          <w:color w:val="231F20"/>
        </w:rPr>
        <w:t>d’Afrique</w:t>
      </w:r>
      <w:r>
        <w:rPr>
          <w:color w:val="231F20"/>
          <w:spacing w:val="-15"/>
        </w:rPr>
        <w:t> </w:t>
      </w:r>
      <w:r>
        <w:rPr>
          <w:color w:val="231F20"/>
        </w:rPr>
        <w:t>»</w:t>
      </w:r>
      <w:r>
        <w:rPr>
          <w:color w:val="231F20"/>
          <w:vertAlign w:val="superscript"/>
        </w:rPr>
        <w:t>160</w:t>
      </w:r>
      <w:r>
        <w:rPr>
          <w:color w:val="231F20"/>
          <w:vertAlign w:val="baseline"/>
        </w:rPr>
        <w:t>,</w:t>
      </w:r>
      <w:r>
        <w:rPr>
          <w:color w:val="231F20"/>
          <w:spacing w:val="-6"/>
          <w:vertAlign w:val="baseline"/>
        </w:rPr>
        <w:t> </w:t>
      </w:r>
      <w:r>
        <w:rPr>
          <w:color w:val="231F20"/>
          <w:vertAlign w:val="baseline"/>
        </w:rPr>
        <w:t>un</w:t>
      </w:r>
      <w:r>
        <w:rPr>
          <w:color w:val="231F20"/>
          <w:spacing w:val="-6"/>
          <w:vertAlign w:val="baseline"/>
        </w:rPr>
        <w:t> </w:t>
      </w:r>
      <w:r>
        <w:rPr>
          <w:color w:val="231F20"/>
          <w:vertAlign w:val="baseline"/>
        </w:rPr>
        <w:t>projet</w:t>
      </w:r>
      <w:r>
        <w:rPr>
          <w:color w:val="231F20"/>
          <w:spacing w:val="-6"/>
          <w:vertAlign w:val="baseline"/>
        </w:rPr>
        <w:t> </w:t>
      </w:r>
      <w:r>
        <w:rPr>
          <w:color w:val="231F20"/>
          <w:vertAlign w:val="baseline"/>
        </w:rPr>
        <w:t>de</w:t>
      </w:r>
      <w:r>
        <w:rPr>
          <w:color w:val="231F20"/>
          <w:spacing w:val="-9"/>
          <w:vertAlign w:val="baseline"/>
        </w:rPr>
        <w:t> </w:t>
      </w:r>
      <w:r>
        <w:rPr>
          <w:color w:val="231F20"/>
          <w:vertAlign w:val="baseline"/>
        </w:rPr>
        <w:t>grands</w:t>
      </w:r>
      <w:r>
        <w:rPr>
          <w:color w:val="231F20"/>
          <w:spacing w:val="-9"/>
          <w:vertAlign w:val="baseline"/>
        </w:rPr>
        <w:t> </w:t>
      </w:r>
      <w:r>
        <w:rPr>
          <w:color w:val="231F20"/>
          <w:vertAlign w:val="baseline"/>
        </w:rPr>
        <w:t>travaux</w:t>
      </w:r>
      <w:r>
        <w:rPr>
          <w:color w:val="231F20"/>
          <w:spacing w:val="-6"/>
          <w:vertAlign w:val="baseline"/>
        </w:rPr>
        <w:t> </w:t>
      </w:r>
      <w:r>
        <w:rPr>
          <w:color w:val="231F20"/>
          <w:vertAlign w:val="baseline"/>
        </w:rPr>
        <w:t>ayant</w:t>
      </w:r>
      <w:r>
        <w:rPr>
          <w:color w:val="231F20"/>
          <w:spacing w:val="-7"/>
          <w:vertAlign w:val="baseline"/>
        </w:rPr>
        <w:t> </w:t>
      </w:r>
      <w:r>
        <w:rPr>
          <w:color w:val="231F20"/>
          <w:vertAlign w:val="baseline"/>
        </w:rPr>
        <w:t>pour</w:t>
      </w:r>
      <w:r>
        <w:rPr>
          <w:color w:val="231F20"/>
          <w:spacing w:val="-8"/>
          <w:vertAlign w:val="baseline"/>
        </w:rPr>
        <w:t> </w:t>
      </w:r>
      <w:r>
        <w:rPr>
          <w:color w:val="231F20"/>
          <w:vertAlign w:val="baseline"/>
        </w:rPr>
        <w:t>but</w:t>
      </w:r>
      <w:r>
        <w:rPr>
          <w:color w:val="231F20"/>
          <w:spacing w:val="-10"/>
          <w:vertAlign w:val="baseline"/>
        </w:rPr>
        <w:t> </w:t>
      </w:r>
      <w:r>
        <w:rPr>
          <w:color w:val="231F20"/>
          <w:vertAlign w:val="baseline"/>
        </w:rPr>
        <w:t>de </w:t>
      </w:r>
      <w:r>
        <w:rPr>
          <w:color w:val="231F20"/>
          <w:spacing w:val="-4"/>
          <w:vertAlign w:val="baseline"/>
        </w:rPr>
        <w:t>renforcer</w:t>
      </w:r>
      <w:r>
        <w:rPr>
          <w:color w:val="231F20"/>
          <w:spacing w:val="-11"/>
          <w:vertAlign w:val="baseline"/>
        </w:rPr>
        <w:t> </w:t>
      </w:r>
      <w:r>
        <w:rPr>
          <w:color w:val="231F20"/>
          <w:spacing w:val="-4"/>
          <w:vertAlign w:val="baseline"/>
        </w:rPr>
        <w:t>le</w:t>
      </w:r>
      <w:r>
        <w:rPr>
          <w:color w:val="231F20"/>
          <w:spacing w:val="-11"/>
          <w:vertAlign w:val="baseline"/>
        </w:rPr>
        <w:t> </w:t>
      </w:r>
      <w:r>
        <w:rPr>
          <w:color w:val="231F20"/>
          <w:spacing w:val="-4"/>
          <w:vertAlign w:val="baseline"/>
        </w:rPr>
        <w:t>poids</w:t>
      </w:r>
      <w:r>
        <w:rPr>
          <w:color w:val="231F20"/>
          <w:spacing w:val="-11"/>
          <w:vertAlign w:val="baseline"/>
        </w:rPr>
        <w:t> </w:t>
      </w:r>
      <w:r>
        <w:rPr>
          <w:color w:val="231F20"/>
          <w:spacing w:val="-4"/>
          <w:vertAlign w:val="baseline"/>
        </w:rPr>
        <w:t>régional</w:t>
      </w:r>
      <w:r>
        <w:rPr>
          <w:color w:val="231F20"/>
          <w:spacing w:val="-11"/>
          <w:vertAlign w:val="baseline"/>
        </w:rPr>
        <w:t> </w:t>
      </w:r>
      <w:r>
        <w:rPr>
          <w:color w:val="231F20"/>
          <w:spacing w:val="-4"/>
          <w:vertAlign w:val="baseline"/>
        </w:rPr>
        <w:t>d’Abidjan</w:t>
      </w:r>
      <w:r>
        <w:rPr>
          <w:color w:val="231F20"/>
          <w:spacing w:val="-11"/>
          <w:vertAlign w:val="baseline"/>
        </w:rPr>
        <w:t> </w:t>
      </w:r>
      <w:r>
        <w:rPr>
          <w:color w:val="231F20"/>
          <w:spacing w:val="-4"/>
          <w:vertAlign w:val="baseline"/>
        </w:rPr>
        <w:t>en</w:t>
      </w:r>
      <w:r>
        <w:rPr>
          <w:color w:val="231F20"/>
          <w:spacing w:val="-11"/>
          <w:vertAlign w:val="baseline"/>
        </w:rPr>
        <w:t> </w:t>
      </w:r>
      <w:r>
        <w:rPr>
          <w:color w:val="231F20"/>
          <w:spacing w:val="-4"/>
          <w:vertAlign w:val="baseline"/>
        </w:rPr>
        <w:t>accordant</w:t>
      </w:r>
      <w:r>
        <w:rPr>
          <w:color w:val="231F20"/>
          <w:spacing w:val="-11"/>
          <w:vertAlign w:val="baseline"/>
        </w:rPr>
        <w:t> </w:t>
      </w:r>
      <w:r>
        <w:rPr>
          <w:color w:val="231F20"/>
          <w:spacing w:val="-4"/>
          <w:vertAlign w:val="baseline"/>
        </w:rPr>
        <w:t>la</w:t>
      </w:r>
      <w:r>
        <w:rPr>
          <w:color w:val="231F20"/>
          <w:spacing w:val="-11"/>
          <w:vertAlign w:val="baseline"/>
        </w:rPr>
        <w:t> </w:t>
      </w:r>
      <w:r>
        <w:rPr>
          <w:color w:val="231F20"/>
          <w:spacing w:val="-4"/>
          <w:vertAlign w:val="baseline"/>
        </w:rPr>
        <w:t>priorité</w:t>
      </w:r>
      <w:r>
        <w:rPr>
          <w:color w:val="231F20"/>
          <w:spacing w:val="-11"/>
          <w:vertAlign w:val="baseline"/>
        </w:rPr>
        <w:t> </w:t>
      </w:r>
      <w:r>
        <w:rPr>
          <w:color w:val="231F20"/>
          <w:spacing w:val="-4"/>
          <w:vertAlign w:val="baseline"/>
        </w:rPr>
        <w:t>à</w:t>
      </w:r>
      <w:r>
        <w:rPr>
          <w:color w:val="231F20"/>
          <w:spacing w:val="-11"/>
          <w:vertAlign w:val="baseline"/>
        </w:rPr>
        <w:t> </w:t>
      </w:r>
      <w:r>
        <w:rPr>
          <w:color w:val="231F20"/>
          <w:spacing w:val="-4"/>
          <w:vertAlign w:val="baseline"/>
        </w:rPr>
        <w:t>l’économie </w:t>
      </w:r>
      <w:r>
        <w:rPr>
          <w:color w:val="231F20"/>
          <w:vertAlign w:val="baseline"/>
        </w:rPr>
        <w:t>et faire de la capitale économique du pays, un hub, une mégapole </w:t>
      </w:r>
      <w:r>
        <w:rPr>
          <w:color w:val="231F20"/>
          <w:spacing w:val="-2"/>
          <w:vertAlign w:val="baseline"/>
        </w:rPr>
        <w:t>régionale.</w:t>
      </w:r>
      <w:r>
        <w:rPr>
          <w:color w:val="231F20"/>
          <w:spacing w:val="-8"/>
          <w:vertAlign w:val="baseline"/>
        </w:rPr>
        <w:t> </w:t>
      </w:r>
      <w:r>
        <w:rPr>
          <w:color w:val="231F20"/>
          <w:spacing w:val="-2"/>
          <w:vertAlign w:val="baseline"/>
        </w:rPr>
        <w:t>Sur</w:t>
      </w:r>
      <w:r>
        <w:rPr>
          <w:color w:val="231F20"/>
          <w:spacing w:val="-6"/>
          <w:vertAlign w:val="baseline"/>
        </w:rPr>
        <w:t> </w:t>
      </w:r>
      <w:r>
        <w:rPr>
          <w:color w:val="231F20"/>
          <w:spacing w:val="-2"/>
          <w:vertAlign w:val="baseline"/>
        </w:rPr>
        <w:t>les</w:t>
      </w:r>
      <w:r>
        <w:rPr>
          <w:color w:val="231F20"/>
          <w:spacing w:val="-11"/>
          <w:vertAlign w:val="baseline"/>
        </w:rPr>
        <w:t> </w:t>
      </w:r>
      <w:r>
        <w:rPr>
          <w:color w:val="231F20"/>
          <w:spacing w:val="-2"/>
          <w:vertAlign w:val="baseline"/>
        </w:rPr>
        <w:t>“12</w:t>
      </w:r>
      <w:r>
        <w:rPr>
          <w:color w:val="231F20"/>
          <w:spacing w:val="-6"/>
          <w:vertAlign w:val="baseline"/>
        </w:rPr>
        <w:t> </w:t>
      </w:r>
      <w:r>
        <w:rPr>
          <w:color w:val="231F20"/>
          <w:spacing w:val="-2"/>
          <w:vertAlign w:val="baseline"/>
        </w:rPr>
        <w:t>travaux</w:t>
      </w:r>
      <w:r>
        <w:rPr>
          <w:color w:val="231F20"/>
          <w:spacing w:val="-4"/>
          <w:vertAlign w:val="baseline"/>
        </w:rPr>
        <w:t> </w:t>
      </w:r>
      <w:r>
        <w:rPr>
          <w:color w:val="231F20"/>
          <w:spacing w:val="-2"/>
          <w:vertAlign w:val="baseline"/>
        </w:rPr>
        <w:t>de</w:t>
      </w:r>
      <w:r>
        <w:rPr>
          <w:color w:val="231F20"/>
          <w:spacing w:val="-6"/>
          <w:vertAlign w:val="baseline"/>
        </w:rPr>
        <w:t> </w:t>
      </w:r>
      <w:r>
        <w:rPr>
          <w:color w:val="231F20"/>
          <w:spacing w:val="-2"/>
          <w:vertAlign w:val="baseline"/>
        </w:rPr>
        <w:t>l’Éléphant</w:t>
      </w:r>
      <w:r>
        <w:rPr>
          <w:color w:val="231F20"/>
          <w:spacing w:val="-4"/>
          <w:vertAlign w:val="baseline"/>
        </w:rPr>
        <w:t> </w:t>
      </w:r>
      <w:r>
        <w:rPr>
          <w:color w:val="231F20"/>
          <w:spacing w:val="-2"/>
          <w:vertAlign w:val="baseline"/>
        </w:rPr>
        <w:t>d’Afrique”,</w:t>
      </w:r>
      <w:r>
        <w:rPr>
          <w:color w:val="231F20"/>
          <w:spacing w:val="-4"/>
          <w:vertAlign w:val="baseline"/>
        </w:rPr>
        <w:t> </w:t>
      </w:r>
      <w:r>
        <w:rPr>
          <w:color w:val="231F20"/>
          <w:spacing w:val="-2"/>
          <w:vertAlign w:val="baseline"/>
        </w:rPr>
        <w:t>le</w:t>
      </w:r>
      <w:r>
        <w:rPr>
          <w:color w:val="231F20"/>
          <w:spacing w:val="-4"/>
          <w:vertAlign w:val="baseline"/>
        </w:rPr>
        <w:t> </w:t>
      </w:r>
      <w:r>
        <w:rPr>
          <w:color w:val="231F20"/>
          <w:spacing w:val="-2"/>
          <w:vertAlign w:val="baseline"/>
        </w:rPr>
        <w:t>régime</w:t>
      </w:r>
      <w:r>
        <w:rPr>
          <w:color w:val="231F20"/>
          <w:spacing w:val="-7"/>
          <w:vertAlign w:val="baseline"/>
        </w:rPr>
        <w:t> </w:t>
      </w:r>
      <w:r>
        <w:rPr>
          <w:color w:val="231F20"/>
          <w:spacing w:val="-2"/>
          <w:vertAlign w:val="baseline"/>
        </w:rPr>
        <w:t>Bédié réalise</w:t>
      </w:r>
      <w:r>
        <w:rPr>
          <w:color w:val="231F20"/>
          <w:spacing w:val="-8"/>
          <w:vertAlign w:val="baseline"/>
        </w:rPr>
        <w:t> </w:t>
      </w:r>
      <w:r>
        <w:rPr>
          <w:color w:val="231F20"/>
          <w:spacing w:val="-2"/>
          <w:vertAlign w:val="baseline"/>
        </w:rPr>
        <w:t>la</w:t>
      </w:r>
      <w:r>
        <w:rPr>
          <w:color w:val="231F20"/>
          <w:spacing w:val="-8"/>
          <w:vertAlign w:val="baseline"/>
        </w:rPr>
        <w:t> </w:t>
      </w:r>
      <w:r>
        <w:rPr>
          <w:color w:val="231F20"/>
          <w:spacing w:val="-2"/>
          <w:vertAlign w:val="baseline"/>
        </w:rPr>
        <w:t>modernisation</w:t>
      </w:r>
      <w:r>
        <w:rPr>
          <w:color w:val="231F20"/>
          <w:spacing w:val="-8"/>
          <w:vertAlign w:val="baseline"/>
        </w:rPr>
        <w:t> </w:t>
      </w:r>
      <w:r>
        <w:rPr>
          <w:color w:val="231F20"/>
          <w:spacing w:val="-2"/>
          <w:vertAlign w:val="baseline"/>
        </w:rPr>
        <w:t>de</w:t>
      </w:r>
      <w:r>
        <w:rPr>
          <w:color w:val="231F20"/>
          <w:spacing w:val="-9"/>
          <w:vertAlign w:val="baseline"/>
        </w:rPr>
        <w:t> </w:t>
      </w:r>
      <w:r>
        <w:rPr>
          <w:color w:val="231F20"/>
          <w:spacing w:val="-2"/>
          <w:vertAlign w:val="baseline"/>
        </w:rPr>
        <w:t>l’aéroport</w:t>
      </w:r>
      <w:r>
        <w:rPr>
          <w:color w:val="231F20"/>
          <w:spacing w:val="-8"/>
          <w:vertAlign w:val="baseline"/>
        </w:rPr>
        <w:t> </w:t>
      </w:r>
      <w:r>
        <w:rPr>
          <w:color w:val="231F20"/>
          <w:spacing w:val="-2"/>
          <w:vertAlign w:val="baseline"/>
        </w:rPr>
        <w:t>FHB,</w:t>
      </w:r>
      <w:r>
        <w:rPr>
          <w:color w:val="231F20"/>
          <w:spacing w:val="-11"/>
          <w:vertAlign w:val="baseline"/>
        </w:rPr>
        <w:t> </w:t>
      </w:r>
      <w:r>
        <w:rPr>
          <w:color w:val="231F20"/>
          <w:spacing w:val="-2"/>
          <w:vertAlign w:val="baseline"/>
        </w:rPr>
        <w:t>la</w:t>
      </w:r>
      <w:r>
        <w:rPr>
          <w:color w:val="231F20"/>
          <w:spacing w:val="-8"/>
          <w:vertAlign w:val="baseline"/>
        </w:rPr>
        <w:t> </w:t>
      </w:r>
      <w:r>
        <w:rPr>
          <w:color w:val="231F20"/>
          <w:spacing w:val="-2"/>
          <w:vertAlign w:val="baseline"/>
        </w:rPr>
        <w:t>construction</w:t>
      </w:r>
      <w:r>
        <w:rPr>
          <w:color w:val="231F20"/>
          <w:spacing w:val="-11"/>
          <w:vertAlign w:val="baseline"/>
        </w:rPr>
        <w:t> </w:t>
      </w:r>
      <w:r>
        <w:rPr>
          <w:color w:val="231F20"/>
          <w:spacing w:val="-2"/>
          <w:vertAlign w:val="baseline"/>
        </w:rPr>
        <w:t>de</w:t>
      </w:r>
      <w:r>
        <w:rPr>
          <w:color w:val="231F20"/>
          <w:spacing w:val="-8"/>
          <w:vertAlign w:val="baseline"/>
        </w:rPr>
        <w:t> </w:t>
      </w:r>
      <w:r>
        <w:rPr>
          <w:color w:val="231F20"/>
          <w:spacing w:val="-2"/>
          <w:vertAlign w:val="baseline"/>
        </w:rPr>
        <w:t>la</w:t>
      </w:r>
      <w:r>
        <w:rPr>
          <w:color w:val="231F20"/>
          <w:spacing w:val="-9"/>
          <w:vertAlign w:val="baseline"/>
        </w:rPr>
        <w:t> </w:t>
      </w:r>
      <w:r>
        <w:rPr>
          <w:color w:val="231F20"/>
          <w:spacing w:val="-2"/>
          <w:vertAlign w:val="baseline"/>
        </w:rPr>
        <w:t>centrale thermique</w:t>
      </w:r>
      <w:r>
        <w:rPr>
          <w:color w:val="231F20"/>
          <w:spacing w:val="-7"/>
          <w:vertAlign w:val="baseline"/>
        </w:rPr>
        <w:t> </w:t>
      </w:r>
      <w:r>
        <w:rPr>
          <w:color w:val="231F20"/>
          <w:spacing w:val="-2"/>
          <w:vertAlign w:val="baseline"/>
        </w:rPr>
        <w:t>d’AZITO.</w:t>
      </w:r>
      <w:r>
        <w:rPr>
          <w:color w:val="231F20"/>
          <w:spacing w:val="-7"/>
          <w:vertAlign w:val="baseline"/>
        </w:rPr>
        <w:t> </w:t>
      </w:r>
      <w:r>
        <w:rPr>
          <w:color w:val="231F20"/>
          <w:spacing w:val="-2"/>
          <w:vertAlign w:val="baseline"/>
        </w:rPr>
        <w:t>Les</w:t>
      </w:r>
      <w:r>
        <w:rPr>
          <w:color w:val="231F20"/>
          <w:spacing w:val="-9"/>
          <w:vertAlign w:val="baseline"/>
        </w:rPr>
        <w:t> </w:t>
      </w:r>
      <w:r>
        <w:rPr>
          <w:color w:val="231F20"/>
          <w:spacing w:val="-2"/>
          <w:vertAlign w:val="baseline"/>
        </w:rPr>
        <w:t>travaux</w:t>
      </w:r>
      <w:r>
        <w:rPr>
          <w:color w:val="231F20"/>
          <w:spacing w:val="-7"/>
          <w:vertAlign w:val="baseline"/>
        </w:rPr>
        <w:t> </w:t>
      </w:r>
      <w:r>
        <w:rPr>
          <w:color w:val="231F20"/>
          <w:spacing w:val="-2"/>
          <w:vertAlign w:val="baseline"/>
        </w:rPr>
        <w:t>pour</w:t>
      </w:r>
      <w:r>
        <w:rPr>
          <w:color w:val="231F20"/>
          <w:spacing w:val="-7"/>
          <w:vertAlign w:val="baseline"/>
        </w:rPr>
        <w:t> </w:t>
      </w:r>
      <w:r>
        <w:rPr>
          <w:color w:val="231F20"/>
          <w:spacing w:val="-2"/>
          <w:vertAlign w:val="baseline"/>
        </w:rPr>
        <w:t>le</w:t>
      </w:r>
      <w:r>
        <w:rPr>
          <w:color w:val="231F20"/>
          <w:spacing w:val="-7"/>
          <w:vertAlign w:val="baseline"/>
        </w:rPr>
        <w:t> </w:t>
      </w:r>
      <w:r>
        <w:rPr>
          <w:color w:val="231F20"/>
          <w:spacing w:val="-2"/>
          <w:vertAlign w:val="baseline"/>
        </w:rPr>
        <w:t>3ème</w:t>
      </w:r>
      <w:r>
        <w:rPr>
          <w:color w:val="231F20"/>
          <w:spacing w:val="-7"/>
          <w:vertAlign w:val="baseline"/>
        </w:rPr>
        <w:t> </w:t>
      </w:r>
      <w:r>
        <w:rPr>
          <w:color w:val="231F20"/>
          <w:spacing w:val="-2"/>
          <w:vertAlign w:val="baseline"/>
        </w:rPr>
        <w:t>pont</w:t>
      </w:r>
      <w:r>
        <w:rPr>
          <w:color w:val="231F20"/>
          <w:spacing w:val="-7"/>
          <w:vertAlign w:val="baseline"/>
        </w:rPr>
        <w:t> </w:t>
      </w:r>
      <w:r>
        <w:rPr>
          <w:color w:val="231F20"/>
          <w:spacing w:val="-2"/>
          <w:vertAlign w:val="baseline"/>
        </w:rPr>
        <w:t>d’Abidjan</w:t>
      </w:r>
      <w:r>
        <w:rPr>
          <w:color w:val="231F20"/>
          <w:spacing w:val="-7"/>
          <w:vertAlign w:val="baseline"/>
        </w:rPr>
        <w:t> </w:t>
      </w:r>
      <w:r>
        <w:rPr>
          <w:color w:val="231F20"/>
          <w:spacing w:val="-2"/>
          <w:vertAlign w:val="baseline"/>
        </w:rPr>
        <w:t>(Riviera- </w:t>
      </w:r>
      <w:r>
        <w:rPr>
          <w:color w:val="231F20"/>
          <w:vertAlign w:val="baseline"/>
        </w:rPr>
        <w:t>Marcory) sont en cours avec l’indemnisation des personnes dont les habitats</w:t>
      </w:r>
      <w:r>
        <w:rPr>
          <w:color w:val="231F20"/>
          <w:spacing w:val="-4"/>
          <w:vertAlign w:val="baseline"/>
        </w:rPr>
        <w:t> </w:t>
      </w:r>
      <w:r>
        <w:rPr>
          <w:color w:val="231F20"/>
          <w:vertAlign w:val="baseline"/>
        </w:rPr>
        <w:t>ou</w:t>
      </w:r>
      <w:r>
        <w:rPr>
          <w:color w:val="231F20"/>
          <w:spacing w:val="-4"/>
          <w:vertAlign w:val="baseline"/>
        </w:rPr>
        <w:t> </w:t>
      </w:r>
      <w:r>
        <w:rPr>
          <w:color w:val="231F20"/>
          <w:vertAlign w:val="baseline"/>
        </w:rPr>
        <w:t>commerces</w:t>
      </w:r>
      <w:r>
        <w:rPr>
          <w:color w:val="231F20"/>
          <w:spacing w:val="-4"/>
          <w:vertAlign w:val="baseline"/>
        </w:rPr>
        <w:t> </w:t>
      </w:r>
      <w:r>
        <w:rPr>
          <w:color w:val="231F20"/>
          <w:vertAlign w:val="baseline"/>
        </w:rPr>
        <w:t>se</w:t>
      </w:r>
      <w:r>
        <w:rPr>
          <w:color w:val="231F20"/>
          <w:spacing w:val="-6"/>
          <w:vertAlign w:val="baseline"/>
        </w:rPr>
        <w:t> </w:t>
      </w:r>
      <w:r>
        <w:rPr>
          <w:color w:val="231F20"/>
          <w:vertAlign w:val="baseline"/>
        </w:rPr>
        <w:t>trouvent</w:t>
      </w:r>
      <w:r>
        <w:rPr>
          <w:color w:val="231F20"/>
          <w:spacing w:val="-3"/>
          <w:vertAlign w:val="baseline"/>
        </w:rPr>
        <w:t> </w:t>
      </w:r>
      <w:r>
        <w:rPr>
          <w:color w:val="231F20"/>
          <w:vertAlign w:val="baseline"/>
        </w:rPr>
        <w:t>sur</w:t>
      </w:r>
      <w:r>
        <w:rPr>
          <w:color w:val="231F20"/>
          <w:spacing w:val="-3"/>
          <w:vertAlign w:val="baseline"/>
        </w:rPr>
        <w:t> </w:t>
      </w:r>
      <w:r>
        <w:rPr>
          <w:color w:val="231F20"/>
          <w:vertAlign w:val="baseline"/>
        </w:rPr>
        <w:t>le</w:t>
      </w:r>
      <w:r>
        <w:rPr>
          <w:color w:val="231F20"/>
          <w:spacing w:val="-3"/>
          <w:vertAlign w:val="baseline"/>
        </w:rPr>
        <w:t> </w:t>
      </w:r>
      <w:r>
        <w:rPr>
          <w:color w:val="231F20"/>
          <w:vertAlign w:val="baseline"/>
        </w:rPr>
        <w:t>chemin</w:t>
      </w:r>
      <w:r>
        <w:rPr>
          <w:color w:val="231F20"/>
          <w:spacing w:val="-6"/>
          <w:vertAlign w:val="baseline"/>
        </w:rPr>
        <w:t> </w:t>
      </w:r>
      <w:r>
        <w:rPr>
          <w:color w:val="231F20"/>
          <w:vertAlign w:val="baseline"/>
        </w:rPr>
        <w:t>du</w:t>
      </w:r>
      <w:r>
        <w:rPr>
          <w:color w:val="231F20"/>
          <w:spacing w:val="-6"/>
          <w:vertAlign w:val="baseline"/>
        </w:rPr>
        <w:t> </w:t>
      </w:r>
      <w:r>
        <w:rPr>
          <w:color w:val="231F20"/>
          <w:vertAlign w:val="baseline"/>
        </w:rPr>
        <w:t>projet.</w:t>
      </w:r>
    </w:p>
    <w:p>
      <w:pPr>
        <w:pStyle w:val="BodyText"/>
        <w:spacing w:before="121"/>
        <w:ind w:right="103" w:firstLine="283"/>
      </w:pPr>
      <w:r>
        <w:rPr>
          <w:color w:val="231F20"/>
        </w:rPr>
        <w:t>Les</w:t>
      </w:r>
      <w:r>
        <w:rPr>
          <w:color w:val="231F20"/>
          <w:spacing w:val="-15"/>
        </w:rPr>
        <w:t> </w:t>
      </w:r>
      <w:r>
        <w:rPr>
          <w:color w:val="231F20"/>
        </w:rPr>
        <w:t>travaux</w:t>
      </w:r>
      <w:r>
        <w:rPr>
          <w:color w:val="231F20"/>
          <w:spacing w:val="-15"/>
        </w:rPr>
        <w:t> </w:t>
      </w:r>
      <w:r>
        <w:rPr>
          <w:color w:val="231F20"/>
        </w:rPr>
        <w:t>d’extension</w:t>
      </w:r>
      <w:r>
        <w:rPr>
          <w:color w:val="231F20"/>
          <w:spacing w:val="-15"/>
        </w:rPr>
        <w:t> </w:t>
      </w:r>
      <w:r>
        <w:rPr>
          <w:color w:val="231F20"/>
        </w:rPr>
        <w:t>du</w:t>
      </w:r>
      <w:r>
        <w:rPr>
          <w:color w:val="231F20"/>
          <w:spacing w:val="-14"/>
        </w:rPr>
        <w:t> </w:t>
      </w:r>
      <w:r>
        <w:rPr>
          <w:color w:val="231F20"/>
        </w:rPr>
        <w:t>port</w:t>
      </w:r>
      <w:r>
        <w:rPr>
          <w:color w:val="231F20"/>
          <w:spacing w:val="-15"/>
        </w:rPr>
        <w:t> </w:t>
      </w:r>
      <w:r>
        <w:rPr>
          <w:color w:val="231F20"/>
        </w:rPr>
        <w:t>d’Abidjan</w:t>
      </w:r>
      <w:r>
        <w:rPr>
          <w:color w:val="231F20"/>
          <w:spacing w:val="-15"/>
        </w:rPr>
        <w:t> </w:t>
      </w:r>
      <w:r>
        <w:rPr>
          <w:color w:val="231F20"/>
        </w:rPr>
        <w:t>sont</w:t>
      </w:r>
      <w:r>
        <w:rPr>
          <w:color w:val="231F20"/>
          <w:spacing w:val="-15"/>
        </w:rPr>
        <w:t> </w:t>
      </w:r>
      <w:r>
        <w:rPr>
          <w:color w:val="231F20"/>
        </w:rPr>
        <w:t>adjugés</w:t>
      </w:r>
      <w:r>
        <w:rPr>
          <w:color w:val="231F20"/>
          <w:spacing w:val="-15"/>
        </w:rPr>
        <w:t> </w:t>
      </w:r>
      <w:r>
        <w:rPr>
          <w:color w:val="231F20"/>
        </w:rPr>
        <w:t>à</w:t>
      </w:r>
      <w:r>
        <w:rPr>
          <w:color w:val="231F20"/>
          <w:spacing w:val="-15"/>
        </w:rPr>
        <w:t> </w:t>
      </w:r>
      <w:r>
        <w:rPr>
          <w:color w:val="231F20"/>
        </w:rPr>
        <w:t>une</w:t>
      </w:r>
      <w:r>
        <w:rPr>
          <w:color w:val="231F20"/>
          <w:spacing w:val="-15"/>
        </w:rPr>
        <w:t> </w:t>
      </w:r>
      <w:r>
        <w:rPr>
          <w:color w:val="231F20"/>
        </w:rPr>
        <w:t>société anglo-néerlandaise. Les chantiers du prolongement de l’autoroute du Nord, de l’autoroute Abidjan-Bassam, sont en voie de démarrage. Le </w:t>
      </w:r>
      <w:r>
        <w:rPr>
          <w:color w:val="231F20"/>
          <w:spacing w:val="-2"/>
        </w:rPr>
        <w:t>démarrage</w:t>
      </w:r>
      <w:r>
        <w:rPr>
          <w:color w:val="231F20"/>
          <w:spacing w:val="-9"/>
        </w:rPr>
        <w:t> </w:t>
      </w:r>
      <w:r>
        <w:rPr>
          <w:color w:val="231F20"/>
          <w:spacing w:val="-2"/>
        </w:rPr>
        <w:t>du</w:t>
      </w:r>
      <w:r>
        <w:rPr>
          <w:color w:val="231F20"/>
          <w:spacing w:val="-10"/>
        </w:rPr>
        <w:t> </w:t>
      </w:r>
      <w:r>
        <w:rPr>
          <w:color w:val="231F20"/>
          <w:spacing w:val="-2"/>
        </w:rPr>
        <w:t>chantier</w:t>
      </w:r>
      <w:r>
        <w:rPr>
          <w:color w:val="231F20"/>
          <w:spacing w:val="-8"/>
        </w:rPr>
        <w:t> </w:t>
      </w:r>
      <w:r>
        <w:rPr>
          <w:color w:val="231F20"/>
          <w:spacing w:val="-2"/>
        </w:rPr>
        <w:t>du</w:t>
      </w:r>
      <w:r>
        <w:rPr>
          <w:color w:val="231F20"/>
          <w:spacing w:val="-12"/>
        </w:rPr>
        <w:t> </w:t>
      </w:r>
      <w:r>
        <w:rPr>
          <w:color w:val="231F20"/>
          <w:spacing w:val="-2"/>
        </w:rPr>
        <w:t>4ème</w:t>
      </w:r>
      <w:r>
        <w:rPr>
          <w:color w:val="231F20"/>
          <w:spacing w:val="-9"/>
        </w:rPr>
        <w:t> </w:t>
      </w:r>
      <w:r>
        <w:rPr>
          <w:color w:val="231F20"/>
          <w:spacing w:val="-2"/>
        </w:rPr>
        <w:t>pont</w:t>
      </w:r>
      <w:r>
        <w:rPr>
          <w:color w:val="231F20"/>
          <w:spacing w:val="-9"/>
        </w:rPr>
        <w:t> </w:t>
      </w:r>
      <w:r>
        <w:rPr>
          <w:color w:val="231F20"/>
          <w:spacing w:val="-2"/>
        </w:rPr>
        <w:t>d’Abidjan</w:t>
      </w:r>
      <w:r>
        <w:rPr>
          <w:color w:val="231F20"/>
          <w:spacing w:val="-10"/>
        </w:rPr>
        <w:t> </w:t>
      </w:r>
      <w:r>
        <w:rPr>
          <w:color w:val="231F20"/>
          <w:spacing w:val="-2"/>
        </w:rPr>
        <w:t>(Sud-Banco,</w:t>
      </w:r>
      <w:r>
        <w:rPr>
          <w:color w:val="231F20"/>
          <w:spacing w:val="-10"/>
        </w:rPr>
        <w:t> </w:t>
      </w:r>
      <w:r>
        <w:rPr>
          <w:color w:val="231F20"/>
          <w:spacing w:val="-2"/>
        </w:rPr>
        <w:t>Yopougon- </w:t>
      </w:r>
      <w:r>
        <w:rPr>
          <w:color w:val="231F20"/>
        </w:rPr>
        <w:t>Plateau) ne saurait lui aussi tarder. Le marché de l’abattoir d’Anyama </w:t>
      </w:r>
      <w:r>
        <w:rPr>
          <w:color w:val="231F20"/>
          <w:spacing w:val="-4"/>
        </w:rPr>
        <w:t>attribué.</w:t>
      </w:r>
      <w:r>
        <w:rPr>
          <w:color w:val="231F20"/>
          <w:spacing w:val="-7"/>
        </w:rPr>
        <w:t> </w:t>
      </w:r>
      <w:r>
        <w:rPr>
          <w:color w:val="231F20"/>
          <w:spacing w:val="-4"/>
        </w:rPr>
        <w:t>Une</w:t>
      </w:r>
      <w:r>
        <w:rPr>
          <w:color w:val="231F20"/>
          <w:spacing w:val="-7"/>
        </w:rPr>
        <w:t> </w:t>
      </w:r>
      <w:r>
        <w:rPr>
          <w:color w:val="231F20"/>
          <w:spacing w:val="-4"/>
        </w:rPr>
        <w:t>salle</w:t>
      </w:r>
      <w:r>
        <w:rPr>
          <w:color w:val="231F20"/>
          <w:spacing w:val="-9"/>
        </w:rPr>
        <w:t> </w:t>
      </w:r>
      <w:r>
        <w:rPr>
          <w:color w:val="231F20"/>
          <w:spacing w:val="-4"/>
        </w:rPr>
        <w:t>de</w:t>
      </w:r>
      <w:r>
        <w:rPr>
          <w:color w:val="231F20"/>
          <w:spacing w:val="-7"/>
        </w:rPr>
        <w:t> </w:t>
      </w:r>
      <w:r>
        <w:rPr>
          <w:color w:val="231F20"/>
          <w:spacing w:val="-4"/>
        </w:rPr>
        <w:t>conférences</w:t>
      </w:r>
      <w:r>
        <w:rPr>
          <w:color w:val="231F20"/>
          <w:spacing w:val="-7"/>
        </w:rPr>
        <w:t> </w:t>
      </w:r>
      <w:r>
        <w:rPr>
          <w:color w:val="231F20"/>
          <w:spacing w:val="-4"/>
        </w:rPr>
        <w:t>de</w:t>
      </w:r>
      <w:r>
        <w:rPr>
          <w:color w:val="231F20"/>
          <w:spacing w:val="-7"/>
        </w:rPr>
        <w:t> </w:t>
      </w:r>
      <w:r>
        <w:rPr>
          <w:color w:val="231F20"/>
          <w:spacing w:val="-4"/>
        </w:rPr>
        <w:t>4.800</w:t>
      </w:r>
      <w:r>
        <w:rPr>
          <w:color w:val="231F20"/>
          <w:spacing w:val="-9"/>
        </w:rPr>
        <w:t> </w:t>
      </w:r>
      <w:r>
        <w:rPr>
          <w:color w:val="231F20"/>
          <w:spacing w:val="-4"/>
        </w:rPr>
        <w:t>places,</w:t>
      </w:r>
      <w:r>
        <w:rPr>
          <w:color w:val="231F20"/>
          <w:spacing w:val="-7"/>
        </w:rPr>
        <w:t> </w:t>
      </w:r>
      <w:r>
        <w:rPr>
          <w:color w:val="231F20"/>
          <w:spacing w:val="-4"/>
        </w:rPr>
        <w:t>et</w:t>
      </w:r>
      <w:r>
        <w:rPr>
          <w:color w:val="231F20"/>
          <w:spacing w:val="-8"/>
        </w:rPr>
        <w:t> </w:t>
      </w:r>
      <w:r>
        <w:rPr>
          <w:color w:val="231F20"/>
          <w:spacing w:val="-4"/>
        </w:rPr>
        <w:t>des</w:t>
      </w:r>
      <w:r>
        <w:rPr>
          <w:color w:val="231F20"/>
          <w:spacing w:val="-9"/>
        </w:rPr>
        <w:t> </w:t>
      </w:r>
      <w:r>
        <w:rPr>
          <w:color w:val="231F20"/>
          <w:spacing w:val="-4"/>
        </w:rPr>
        <w:t>hôtels</w:t>
      </w:r>
      <w:r>
        <w:rPr>
          <w:color w:val="231F20"/>
          <w:spacing w:val="-9"/>
        </w:rPr>
        <w:t> </w:t>
      </w:r>
      <w:r>
        <w:rPr>
          <w:color w:val="231F20"/>
          <w:spacing w:val="-4"/>
        </w:rPr>
        <w:t>hors</w:t>
      </w:r>
      <w:r>
        <w:rPr>
          <w:color w:val="231F20"/>
          <w:spacing w:val="-9"/>
        </w:rPr>
        <w:t> </w:t>
      </w:r>
      <w:r>
        <w:rPr>
          <w:color w:val="231F20"/>
          <w:spacing w:val="-4"/>
        </w:rPr>
        <w:t>taxes </w:t>
      </w:r>
      <w:r>
        <w:rPr>
          <w:color w:val="231F20"/>
        </w:rPr>
        <w:t>sont prévus dans le périmètre aéroportuaire ainsi que le ” Parc des expositions de Port-Bouët ” et sa marina, qui doivent permettre </w:t>
      </w:r>
      <w:r>
        <w:rPr>
          <w:color w:val="231F20"/>
          <w:spacing w:val="-2"/>
        </w:rPr>
        <w:t>d’accueillir</w:t>
      </w:r>
      <w:r>
        <w:rPr>
          <w:color w:val="231F20"/>
          <w:spacing w:val="-13"/>
        </w:rPr>
        <w:t> </w:t>
      </w:r>
      <w:r>
        <w:rPr>
          <w:color w:val="231F20"/>
          <w:spacing w:val="-2"/>
        </w:rPr>
        <w:t>à</w:t>
      </w:r>
      <w:r>
        <w:rPr>
          <w:color w:val="231F20"/>
          <w:spacing w:val="-13"/>
        </w:rPr>
        <w:t> </w:t>
      </w:r>
      <w:r>
        <w:rPr>
          <w:color w:val="231F20"/>
          <w:spacing w:val="-2"/>
        </w:rPr>
        <w:t>Abidjan</w:t>
      </w:r>
      <w:r>
        <w:rPr>
          <w:color w:val="231F20"/>
          <w:spacing w:val="-13"/>
        </w:rPr>
        <w:t> </w:t>
      </w:r>
      <w:r>
        <w:rPr>
          <w:color w:val="231F20"/>
          <w:spacing w:val="-2"/>
        </w:rPr>
        <w:t>les</w:t>
      </w:r>
      <w:r>
        <w:rPr>
          <w:color w:val="231F20"/>
          <w:spacing w:val="-13"/>
        </w:rPr>
        <w:t> </w:t>
      </w:r>
      <w:r>
        <w:rPr>
          <w:color w:val="231F20"/>
          <w:spacing w:val="-2"/>
        </w:rPr>
        <w:t>plus</w:t>
      </w:r>
      <w:r>
        <w:rPr>
          <w:color w:val="231F20"/>
          <w:spacing w:val="-13"/>
        </w:rPr>
        <w:t> </w:t>
      </w:r>
      <w:r>
        <w:rPr>
          <w:color w:val="231F20"/>
          <w:spacing w:val="-2"/>
        </w:rPr>
        <w:t>grands</w:t>
      </w:r>
      <w:r>
        <w:rPr>
          <w:color w:val="231F20"/>
          <w:spacing w:val="-13"/>
        </w:rPr>
        <w:t> </w:t>
      </w:r>
      <w:r>
        <w:rPr>
          <w:color w:val="231F20"/>
          <w:spacing w:val="-2"/>
        </w:rPr>
        <w:t>forums</w:t>
      </w:r>
      <w:r>
        <w:rPr>
          <w:color w:val="231F20"/>
          <w:spacing w:val="-13"/>
        </w:rPr>
        <w:t> </w:t>
      </w:r>
      <w:r>
        <w:rPr>
          <w:color w:val="231F20"/>
          <w:spacing w:val="-2"/>
        </w:rPr>
        <w:t>et</w:t>
      </w:r>
      <w:r>
        <w:rPr>
          <w:color w:val="231F20"/>
          <w:spacing w:val="-13"/>
        </w:rPr>
        <w:t> </w:t>
      </w:r>
      <w:r>
        <w:rPr>
          <w:color w:val="231F20"/>
          <w:spacing w:val="-2"/>
        </w:rPr>
        <w:t>assemblées</w:t>
      </w:r>
      <w:r>
        <w:rPr>
          <w:color w:val="231F20"/>
          <w:spacing w:val="-13"/>
        </w:rPr>
        <w:t> </w:t>
      </w:r>
      <w:r>
        <w:rPr>
          <w:color w:val="231F20"/>
          <w:spacing w:val="-2"/>
        </w:rPr>
        <w:t>générales.</w:t>
      </w:r>
      <w:r>
        <w:rPr>
          <w:color w:val="231F20"/>
          <w:spacing w:val="-13"/>
        </w:rPr>
        <w:t> </w:t>
      </w:r>
      <w:r>
        <w:rPr>
          <w:color w:val="231F20"/>
          <w:spacing w:val="-2"/>
        </w:rPr>
        <w:t>Le </w:t>
      </w:r>
      <w:r>
        <w:rPr>
          <w:color w:val="231F20"/>
        </w:rPr>
        <w:t>programme</w:t>
      </w:r>
      <w:r>
        <w:rPr>
          <w:color w:val="231F20"/>
          <w:spacing w:val="-15"/>
        </w:rPr>
        <w:t> </w:t>
      </w:r>
      <w:r>
        <w:rPr>
          <w:color w:val="231F20"/>
        </w:rPr>
        <w:t>d’urbanisme</w:t>
      </w:r>
      <w:r>
        <w:rPr>
          <w:color w:val="231F20"/>
          <w:spacing w:val="-15"/>
        </w:rPr>
        <w:t> </w:t>
      </w:r>
      <w:r>
        <w:rPr>
          <w:color w:val="231F20"/>
        </w:rPr>
        <w:t>du</w:t>
      </w:r>
      <w:r>
        <w:rPr>
          <w:color w:val="231F20"/>
          <w:spacing w:val="-14"/>
        </w:rPr>
        <w:t> </w:t>
      </w:r>
      <w:r>
        <w:rPr>
          <w:color w:val="231F20"/>
        </w:rPr>
        <w:t>”</w:t>
      </w:r>
      <w:r>
        <w:rPr>
          <w:color w:val="231F20"/>
          <w:spacing w:val="-14"/>
        </w:rPr>
        <w:t> </w:t>
      </w:r>
      <w:r>
        <w:rPr>
          <w:color w:val="231F20"/>
        </w:rPr>
        <w:t>Grand</w:t>
      </w:r>
      <w:r>
        <w:rPr>
          <w:color w:val="231F20"/>
          <w:spacing w:val="-13"/>
        </w:rPr>
        <w:t> </w:t>
      </w:r>
      <w:r>
        <w:rPr>
          <w:color w:val="231F20"/>
        </w:rPr>
        <w:t>Abidjan</w:t>
      </w:r>
      <w:r>
        <w:rPr>
          <w:color w:val="231F20"/>
          <w:spacing w:val="-14"/>
        </w:rPr>
        <w:t> </w:t>
      </w:r>
      <w:r>
        <w:rPr>
          <w:color w:val="231F20"/>
        </w:rPr>
        <w:t>”</w:t>
      </w:r>
      <w:r>
        <w:rPr>
          <w:color w:val="231F20"/>
          <w:spacing w:val="-14"/>
        </w:rPr>
        <w:t> </w:t>
      </w:r>
      <w:r>
        <w:rPr>
          <w:color w:val="231F20"/>
        </w:rPr>
        <w:t>est</w:t>
      </w:r>
      <w:r>
        <w:rPr>
          <w:color w:val="231F20"/>
          <w:spacing w:val="-15"/>
        </w:rPr>
        <w:t> </w:t>
      </w:r>
      <w:r>
        <w:rPr>
          <w:color w:val="231F20"/>
        </w:rPr>
        <w:t>adopté</w:t>
      </w:r>
      <w:r>
        <w:rPr>
          <w:color w:val="231F20"/>
          <w:spacing w:val="-14"/>
        </w:rPr>
        <w:t> </w:t>
      </w:r>
      <w:r>
        <w:rPr>
          <w:color w:val="231F20"/>
        </w:rPr>
        <w:t>en</w:t>
      </w:r>
      <w:r>
        <w:rPr>
          <w:color w:val="231F20"/>
          <w:spacing w:val="-14"/>
        </w:rPr>
        <w:t> </w:t>
      </w:r>
      <w:r>
        <w:rPr>
          <w:color w:val="231F20"/>
        </w:rPr>
        <w:t>conseil</w:t>
      </w:r>
      <w:r>
        <w:rPr>
          <w:color w:val="231F20"/>
          <w:spacing w:val="-13"/>
        </w:rPr>
        <w:t> </w:t>
      </w:r>
      <w:r>
        <w:rPr>
          <w:color w:val="231F20"/>
        </w:rPr>
        <w:t>des ministres en 1999. Des efforts sont projetés en direction de </w:t>
      </w:r>
      <w:r>
        <w:rPr>
          <w:color w:val="231F20"/>
          <w:spacing w:val="-2"/>
        </w:rPr>
        <w:t>Yamoussoukro,</w:t>
      </w:r>
      <w:r>
        <w:rPr>
          <w:color w:val="231F20"/>
          <w:spacing w:val="-15"/>
        </w:rPr>
        <w:t> </w:t>
      </w:r>
      <w:r>
        <w:rPr>
          <w:color w:val="231F20"/>
          <w:spacing w:val="-2"/>
        </w:rPr>
        <w:t>la</w:t>
      </w:r>
      <w:r>
        <w:rPr>
          <w:color w:val="231F20"/>
          <w:spacing w:val="-13"/>
        </w:rPr>
        <w:t> </w:t>
      </w:r>
      <w:r>
        <w:rPr>
          <w:color w:val="231F20"/>
          <w:spacing w:val="-2"/>
        </w:rPr>
        <w:t>capitale</w:t>
      </w:r>
      <w:r>
        <w:rPr>
          <w:color w:val="231F20"/>
          <w:spacing w:val="-13"/>
        </w:rPr>
        <w:t> </w:t>
      </w:r>
      <w:r>
        <w:rPr>
          <w:color w:val="231F20"/>
          <w:spacing w:val="-2"/>
        </w:rPr>
        <w:t>politique.</w:t>
      </w:r>
      <w:r>
        <w:rPr>
          <w:color w:val="231F20"/>
          <w:spacing w:val="-13"/>
        </w:rPr>
        <w:t> </w:t>
      </w:r>
      <w:r>
        <w:rPr>
          <w:color w:val="231F20"/>
          <w:spacing w:val="-2"/>
        </w:rPr>
        <w:t>Les</w:t>
      </w:r>
      <w:r>
        <w:rPr>
          <w:color w:val="231F20"/>
          <w:spacing w:val="-13"/>
        </w:rPr>
        <w:t> </w:t>
      </w:r>
      <w:r>
        <w:rPr>
          <w:color w:val="231F20"/>
          <w:spacing w:val="-2"/>
        </w:rPr>
        <w:t>décisions</w:t>
      </w:r>
      <w:r>
        <w:rPr>
          <w:color w:val="231F20"/>
          <w:spacing w:val="-13"/>
        </w:rPr>
        <w:t> </w:t>
      </w:r>
      <w:r>
        <w:rPr>
          <w:color w:val="231F20"/>
          <w:spacing w:val="-2"/>
        </w:rPr>
        <w:t>de</w:t>
      </w:r>
      <w:r>
        <w:rPr>
          <w:color w:val="231F20"/>
          <w:spacing w:val="-13"/>
        </w:rPr>
        <w:t> </w:t>
      </w:r>
      <w:r>
        <w:rPr>
          <w:color w:val="231F20"/>
          <w:spacing w:val="-2"/>
        </w:rPr>
        <w:t>réaliser</w:t>
      </w:r>
      <w:r>
        <w:rPr>
          <w:color w:val="231F20"/>
          <w:spacing w:val="-13"/>
        </w:rPr>
        <w:t> </w:t>
      </w:r>
      <w:r>
        <w:rPr>
          <w:color w:val="231F20"/>
          <w:spacing w:val="-2"/>
        </w:rPr>
        <w:t>le</w:t>
      </w:r>
      <w:r>
        <w:rPr>
          <w:color w:val="231F20"/>
          <w:spacing w:val="-13"/>
        </w:rPr>
        <w:t> </w:t>
      </w:r>
      <w:r>
        <w:rPr>
          <w:color w:val="231F20"/>
          <w:spacing w:val="-2"/>
        </w:rPr>
        <w:t>transfert </w:t>
      </w:r>
      <w:r>
        <w:rPr>
          <w:color w:val="231F20"/>
        </w:rPr>
        <w:t>progressif de la capitale à partir de 2001 en commençant par les institutions,</w:t>
      </w:r>
      <w:r>
        <w:rPr>
          <w:color w:val="231F20"/>
          <w:spacing w:val="-10"/>
        </w:rPr>
        <w:t> </w:t>
      </w:r>
      <w:r>
        <w:rPr>
          <w:color w:val="231F20"/>
        </w:rPr>
        <w:t>les</w:t>
      </w:r>
      <w:r>
        <w:rPr>
          <w:color w:val="231F20"/>
          <w:spacing w:val="-10"/>
        </w:rPr>
        <w:t> </w:t>
      </w:r>
      <w:r>
        <w:rPr>
          <w:color w:val="231F20"/>
        </w:rPr>
        <w:t>ministères</w:t>
      </w:r>
      <w:r>
        <w:rPr>
          <w:color w:val="231F20"/>
          <w:spacing w:val="-12"/>
        </w:rPr>
        <w:t> </w:t>
      </w:r>
      <w:r>
        <w:rPr>
          <w:color w:val="231F20"/>
        </w:rPr>
        <w:t>de</w:t>
      </w:r>
      <w:r>
        <w:rPr>
          <w:color w:val="231F20"/>
          <w:spacing w:val="-11"/>
        </w:rPr>
        <w:t> </w:t>
      </w:r>
      <w:r>
        <w:rPr>
          <w:color w:val="231F20"/>
        </w:rPr>
        <w:t>l’Intérieur</w:t>
      </w:r>
      <w:r>
        <w:rPr>
          <w:color w:val="231F20"/>
          <w:spacing w:val="-11"/>
        </w:rPr>
        <w:t> </w:t>
      </w:r>
      <w:r>
        <w:rPr>
          <w:color w:val="231F20"/>
        </w:rPr>
        <w:t>et</w:t>
      </w:r>
      <w:r>
        <w:rPr>
          <w:color w:val="231F20"/>
          <w:spacing w:val="-10"/>
        </w:rPr>
        <w:t> </w:t>
      </w:r>
      <w:r>
        <w:rPr>
          <w:color w:val="231F20"/>
        </w:rPr>
        <w:t>de</w:t>
      </w:r>
      <w:r>
        <w:rPr>
          <w:color w:val="231F20"/>
          <w:spacing w:val="-11"/>
        </w:rPr>
        <w:t> </w:t>
      </w:r>
      <w:r>
        <w:rPr>
          <w:color w:val="231F20"/>
        </w:rPr>
        <w:t>l’Agriculture,</w:t>
      </w:r>
      <w:r>
        <w:rPr>
          <w:color w:val="231F20"/>
          <w:spacing w:val="-11"/>
        </w:rPr>
        <w:t> </w:t>
      </w:r>
      <w:r>
        <w:rPr>
          <w:color w:val="231F20"/>
        </w:rPr>
        <w:t>de</w:t>
      </w:r>
      <w:r>
        <w:rPr>
          <w:color w:val="231F20"/>
          <w:spacing w:val="-11"/>
        </w:rPr>
        <w:t> </w:t>
      </w:r>
      <w:r>
        <w:rPr>
          <w:color w:val="231F20"/>
        </w:rPr>
        <w:t>tenir</w:t>
      </w:r>
      <w:r>
        <w:rPr>
          <w:color w:val="231F20"/>
          <w:spacing w:val="-11"/>
        </w:rPr>
        <w:t> </w:t>
      </w:r>
      <w:r>
        <w:rPr>
          <w:color w:val="231F20"/>
        </w:rPr>
        <w:t>des conseils</w:t>
      </w:r>
      <w:r>
        <w:rPr>
          <w:color w:val="231F20"/>
          <w:spacing w:val="-11"/>
        </w:rPr>
        <w:t> </w:t>
      </w:r>
      <w:r>
        <w:rPr>
          <w:color w:val="231F20"/>
        </w:rPr>
        <w:t>de</w:t>
      </w:r>
      <w:r>
        <w:rPr>
          <w:color w:val="231F20"/>
          <w:spacing w:val="-12"/>
        </w:rPr>
        <w:t> </w:t>
      </w:r>
      <w:r>
        <w:rPr>
          <w:color w:val="231F20"/>
        </w:rPr>
        <w:t>ministres</w:t>
      </w:r>
      <w:r>
        <w:rPr>
          <w:color w:val="231F20"/>
          <w:spacing w:val="-12"/>
        </w:rPr>
        <w:t> </w:t>
      </w:r>
      <w:r>
        <w:rPr>
          <w:color w:val="231F20"/>
        </w:rPr>
        <w:t>à</w:t>
      </w:r>
      <w:r>
        <w:rPr>
          <w:color w:val="231F20"/>
          <w:spacing w:val="-12"/>
        </w:rPr>
        <w:t> </w:t>
      </w:r>
      <w:r>
        <w:rPr>
          <w:color w:val="231F20"/>
        </w:rPr>
        <w:t>Yamoussoukro</w:t>
      </w:r>
      <w:r>
        <w:rPr>
          <w:color w:val="231F20"/>
          <w:spacing w:val="-12"/>
        </w:rPr>
        <w:t> </w:t>
      </w:r>
      <w:r>
        <w:rPr>
          <w:color w:val="231F20"/>
        </w:rPr>
        <w:t>et</w:t>
      </w:r>
      <w:r>
        <w:rPr>
          <w:color w:val="231F20"/>
          <w:spacing w:val="-11"/>
        </w:rPr>
        <w:t> </w:t>
      </w:r>
      <w:r>
        <w:rPr>
          <w:color w:val="231F20"/>
        </w:rPr>
        <w:t>d’y</w:t>
      </w:r>
      <w:r>
        <w:rPr>
          <w:color w:val="231F20"/>
          <w:spacing w:val="-12"/>
        </w:rPr>
        <w:t> </w:t>
      </w:r>
      <w:r>
        <w:rPr>
          <w:color w:val="231F20"/>
        </w:rPr>
        <w:t>bâtir</w:t>
      </w:r>
      <w:r>
        <w:rPr>
          <w:color w:val="231F20"/>
          <w:spacing w:val="-14"/>
        </w:rPr>
        <w:t> </w:t>
      </w:r>
      <w:r>
        <w:rPr>
          <w:color w:val="231F20"/>
        </w:rPr>
        <w:t>un</w:t>
      </w:r>
      <w:r>
        <w:rPr>
          <w:color w:val="231F20"/>
          <w:spacing w:val="-12"/>
        </w:rPr>
        <w:t> </w:t>
      </w:r>
      <w:r>
        <w:rPr>
          <w:color w:val="231F20"/>
        </w:rPr>
        <w:t>palais</w:t>
      </w:r>
      <w:r>
        <w:rPr>
          <w:color w:val="231F20"/>
          <w:spacing w:val="-11"/>
        </w:rPr>
        <w:t> </w:t>
      </w:r>
      <w:r>
        <w:rPr>
          <w:color w:val="231F20"/>
        </w:rPr>
        <w:t>présidentiel sont</w:t>
      </w:r>
      <w:r>
        <w:rPr>
          <w:color w:val="231F20"/>
          <w:spacing w:val="-10"/>
        </w:rPr>
        <w:t> </w:t>
      </w:r>
      <w:r>
        <w:rPr>
          <w:color w:val="231F20"/>
        </w:rPr>
        <w:t>validées.</w:t>
      </w:r>
      <w:r>
        <w:rPr>
          <w:color w:val="231F20"/>
          <w:spacing w:val="-11"/>
        </w:rPr>
        <w:t> </w:t>
      </w:r>
      <w:r>
        <w:rPr>
          <w:color w:val="231F20"/>
        </w:rPr>
        <w:t>Mais,</w:t>
      </w:r>
      <w:r>
        <w:rPr>
          <w:color w:val="231F20"/>
          <w:spacing w:val="-8"/>
        </w:rPr>
        <w:t> </w:t>
      </w:r>
      <w:r>
        <w:rPr>
          <w:color w:val="231F20"/>
        </w:rPr>
        <w:t>à</w:t>
      </w:r>
      <w:r>
        <w:rPr>
          <w:color w:val="231F20"/>
          <w:spacing w:val="-11"/>
        </w:rPr>
        <w:t> </w:t>
      </w:r>
      <w:r>
        <w:rPr>
          <w:color w:val="231F20"/>
        </w:rPr>
        <w:t>l’instar</w:t>
      </w:r>
      <w:r>
        <w:rPr>
          <w:color w:val="231F20"/>
          <w:spacing w:val="-9"/>
        </w:rPr>
        <w:t> </w:t>
      </w:r>
      <w:r>
        <w:rPr>
          <w:color w:val="231F20"/>
        </w:rPr>
        <w:t>de</w:t>
      </w:r>
      <w:r>
        <w:rPr>
          <w:color w:val="231F20"/>
          <w:spacing w:val="-11"/>
        </w:rPr>
        <w:t> </w:t>
      </w:r>
      <w:r>
        <w:rPr>
          <w:color w:val="231F20"/>
        </w:rPr>
        <w:t>tous</w:t>
      </w:r>
      <w:r>
        <w:rPr>
          <w:color w:val="231F20"/>
          <w:spacing w:val="-8"/>
        </w:rPr>
        <w:t> </w:t>
      </w:r>
      <w:r>
        <w:rPr>
          <w:color w:val="231F20"/>
        </w:rPr>
        <w:t>les</w:t>
      </w:r>
      <w:r>
        <w:rPr>
          <w:color w:val="231F20"/>
          <w:spacing w:val="-8"/>
        </w:rPr>
        <w:t> </w:t>
      </w:r>
      <w:r>
        <w:rPr>
          <w:color w:val="231F20"/>
        </w:rPr>
        <w:t>Etats</w:t>
      </w:r>
      <w:r>
        <w:rPr>
          <w:color w:val="231F20"/>
          <w:spacing w:val="-11"/>
        </w:rPr>
        <w:t> </w:t>
      </w:r>
      <w:r>
        <w:rPr>
          <w:color w:val="231F20"/>
        </w:rPr>
        <w:t>Africains,</w:t>
      </w:r>
      <w:r>
        <w:rPr>
          <w:color w:val="231F20"/>
          <w:spacing w:val="-9"/>
        </w:rPr>
        <w:t> </w:t>
      </w:r>
      <w:r>
        <w:rPr>
          <w:color w:val="231F20"/>
        </w:rPr>
        <w:t>son</w:t>
      </w:r>
      <w:r>
        <w:rPr>
          <w:color w:val="231F20"/>
          <w:spacing w:val="-8"/>
        </w:rPr>
        <w:t> </w:t>
      </w:r>
      <w:r>
        <w:rPr>
          <w:color w:val="231F20"/>
        </w:rPr>
        <w:t>régime</w:t>
      </w:r>
      <w:r>
        <w:rPr>
          <w:color w:val="231F20"/>
          <w:spacing w:val="-11"/>
        </w:rPr>
        <w:t> </w:t>
      </w:r>
      <w:r>
        <w:rPr>
          <w:color w:val="231F20"/>
        </w:rPr>
        <w:t>est </w:t>
      </w:r>
      <w:r>
        <w:rPr>
          <w:color w:val="231F20"/>
          <w:spacing w:val="-2"/>
        </w:rPr>
        <w:t>gangrené</w:t>
      </w:r>
      <w:r>
        <w:rPr>
          <w:color w:val="231F20"/>
          <w:spacing w:val="-13"/>
        </w:rPr>
        <w:t> </w:t>
      </w:r>
      <w:r>
        <w:rPr>
          <w:color w:val="231F20"/>
          <w:spacing w:val="-2"/>
        </w:rPr>
        <w:t>par</w:t>
      </w:r>
      <w:r>
        <w:rPr>
          <w:color w:val="231F20"/>
          <w:spacing w:val="-13"/>
        </w:rPr>
        <w:t> </w:t>
      </w:r>
      <w:r>
        <w:rPr>
          <w:color w:val="231F20"/>
          <w:spacing w:val="-2"/>
        </w:rPr>
        <w:t>des</w:t>
      </w:r>
      <w:r>
        <w:rPr>
          <w:color w:val="231F20"/>
          <w:spacing w:val="-13"/>
        </w:rPr>
        <w:t> </w:t>
      </w:r>
      <w:r>
        <w:rPr>
          <w:color w:val="231F20"/>
          <w:spacing w:val="-2"/>
        </w:rPr>
        <w:t>scandales</w:t>
      </w:r>
      <w:r>
        <w:rPr>
          <w:color w:val="231F20"/>
          <w:spacing w:val="-13"/>
        </w:rPr>
        <w:t> </w:t>
      </w:r>
      <w:r>
        <w:rPr>
          <w:color w:val="231F20"/>
          <w:spacing w:val="-2"/>
        </w:rPr>
        <w:t>financiers.</w:t>
      </w:r>
      <w:r>
        <w:rPr>
          <w:color w:val="231F20"/>
          <w:spacing w:val="-13"/>
        </w:rPr>
        <w:t> </w:t>
      </w:r>
      <w:r>
        <w:rPr>
          <w:color w:val="231F20"/>
          <w:spacing w:val="-2"/>
        </w:rPr>
        <w:t>L’embellie</w:t>
      </w:r>
      <w:r>
        <w:rPr>
          <w:color w:val="231F20"/>
          <w:spacing w:val="-13"/>
        </w:rPr>
        <w:t> </w:t>
      </w:r>
      <w:r>
        <w:rPr>
          <w:color w:val="231F20"/>
          <w:spacing w:val="-2"/>
        </w:rPr>
        <w:t>économique</w:t>
      </w:r>
      <w:r>
        <w:rPr>
          <w:color w:val="231F20"/>
          <w:spacing w:val="-13"/>
        </w:rPr>
        <w:t> </w:t>
      </w:r>
      <w:r>
        <w:rPr>
          <w:color w:val="231F20"/>
          <w:spacing w:val="-2"/>
        </w:rPr>
        <w:t>obtenue</w:t>
      </w:r>
      <w:r>
        <w:rPr>
          <w:color w:val="231F20"/>
          <w:spacing w:val="-13"/>
        </w:rPr>
        <w:t> </w:t>
      </w:r>
      <w:r>
        <w:rPr>
          <w:color w:val="231F20"/>
          <w:spacing w:val="-2"/>
        </w:rPr>
        <w:t>à </w:t>
      </w:r>
      <w:r>
        <w:rPr>
          <w:color w:val="231F20"/>
        </w:rPr>
        <w:t>la faveur des prêts des bailleurs de fonds - plus de 1368 milliards de dollars – ainsi que les gains engrangés grâce aux rééchelonnements obtenus devant le Club de Paris - 1 063 milliards de F CFA -, aiguise l’appétit</w:t>
      </w:r>
      <w:r>
        <w:rPr>
          <w:color w:val="231F20"/>
          <w:spacing w:val="-6"/>
        </w:rPr>
        <w:t> </w:t>
      </w:r>
      <w:r>
        <w:rPr>
          <w:color w:val="231F20"/>
        </w:rPr>
        <w:t>vorace</w:t>
      </w:r>
      <w:r>
        <w:rPr>
          <w:color w:val="231F20"/>
          <w:spacing w:val="-6"/>
        </w:rPr>
        <w:t> </w:t>
      </w:r>
      <w:r>
        <w:rPr>
          <w:color w:val="231F20"/>
        </w:rPr>
        <w:t>des</w:t>
      </w:r>
      <w:r>
        <w:rPr>
          <w:color w:val="231F20"/>
          <w:spacing w:val="-6"/>
        </w:rPr>
        <w:t> </w:t>
      </w:r>
      <w:r>
        <w:rPr>
          <w:color w:val="231F20"/>
        </w:rPr>
        <w:t>hommes</w:t>
      </w:r>
      <w:r>
        <w:rPr>
          <w:color w:val="231F20"/>
          <w:spacing w:val="-6"/>
        </w:rPr>
        <w:t> </w:t>
      </w:r>
      <w:r>
        <w:rPr>
          <w:color w:val="231F20"/>
        </w:rPr>
        <w:t>du</w:t>
      </w:r>
      <w:r>
        <w:rPr>
          <w:color w:val="231F20"/>
          <w:spacing w:val="-6"/>
        </w:rPr>
        <w:t> </w:t>
      </w:r>
      <w:r>
        <w:rPr>
          <w:color w:val="231F20"/>
        </w:rPr>
        <w:t>pouvoir.</w:t>
      </w:r>
      <w:r>
        <w:rPr>
          <w:color w:val="231F20"/>
          <w:spacing w:val="-5"/>
        </w:rPr>
        <w:t> </w:t>
      </w:r>
      <w:r>
        <w:rPr>
          <w:color w:val="231F20"/>
        </w:rPr>
        <w:t>Les</w:t>
      </w:r>
      <w:r>
        <w:rPr>
          <w:color w:val="231F20"/>
          <w:spacing w:val="-6"/>
        </w:rPr>
        <w:t> </w:t>
      </w:r>
      <w:r>
        <w:rPr>
          <w:color w:val="231F20"/>
        </w:rPr>
        <w:t>bailleurs</w:t>
      </w:r>
      <w:r>
        <w:rPr>
          <w:color w:val="231F20"/>
          <w:spacing w:val="-5"/>
        </w:rPr>
        <w:t> </w:t>
      </w:r>
      <w:r>
        <w:rPr>
          <w:color w:val="231F20"/>
        </w:rPr>
        <w:t>de</w:t>
      </w:r>
      <w:r>
        <w:rPr>
          <w:color w:val="231F20"/>
          <w:spacing w:val="-7"/>
        </w:rPr>
        <w:t> </w:t>
      </w:r>
      <w:r>
        <w:rPr>
          <w:color w:val="231F20"/>
        </w:rPr>
        <w:t>fonds</w:t>
      </w:r>
      <w:r>
        <w:rPr>
          <w:color w:val="231F20"/>
          <w:spacing w:val="-6"/>
        </w:rPr>
        <w:t> </w:t>
      </w:r>
      <w:r>
        <w:rPr>
          <w:color w:val="231F20"/>
        </w:rPr>
        <w:t>ne</w:t>
      </w:r>
      <w:r>
        <w:rPr>
          <w:color w:val="231F20"/>
          <w:spacing w:val="-6"/>
        </w:rPr>
        <w:t> </w:t>
      </w:r>
      <w:r>
        <w:rPr>
          <w:color w:val="231F20"/>
        </w:rPr>
        <w:t>sont pas</w:t>
      </w:r>
      <w:r>
        <w:rPr>
          <w:color w:val="231F20"/>
          <w:spacing w:val="-5"/>
        </w:rPr>
        <w:t> </w:t>
      </w:r>
      <w:r>
        <w:rPr>
          <w:color w:val="231F20"/>
        </w:rPr>
        <w:t>satisfaits</w:t>
      </w:r>
      <w:r>
        <w:rPr>
          <w:color w:val="231F20"/>
          <w:spacing w:val="-7"/>
        </w:rPr>
        <w:t> </w:t>
      </w:r>
      <w:r>
        <w:rPr>
          <w:color w:val="231F20"/>
        </w:rPr>
        <w:t>de</w:t>
      </w:r>
      <w:r>
        <w:rPr>
          <w:color w:val="231F20"/>
          <w:spacing w:val="-5"/>
        </w:rPr>
        <w:t> </w:t>
      </w:r>
      <w:r>
        <w:rPr>
          <w:color w:val="231F20"/>
        </w:rPr>
        <w:t>la</w:t>
      </w:r>
      <w:r>
        <w:rPr>
          <w:color w:val="231F20"/>
          <w:spacing w:val="-7"/>
        </w:rPr>
        <w:t> </w:t>
      </w:r>
      <w:r>
        <w:rPr>
          <w:color w:val="231F20"/>
        </w:rPr>
        <w:t>gestion</w:t>
      </w:r>
      <w:r>
        <w:rPr>
          <w:color w:val="231F20"/>
          <w:spacing w:val="-7"/>
        </w:rPr>
        <w:t> </w:t>
      </w:r>
      <w:r>
        <w:rPr>
          <w:color w:val="231F20"/>
        </w:rPr>
        <w:t>économique</w:t>
      </w:r>
      <w:r>
        <w:rPr>
          <w:color w:val="231F20"/>
          <w:spacing w:val="-4"/>
        </w:rPr>
        <w:t> </w:t>
      </w:r>
      <w:r>
        <w:rPr>
          <w:color w:val="231F20"/>
        </w:rPr>
        <w:t>du</w:t>
      </w:r>
      <w:r>
        <w:rPr>
          <w:color w:val="231F20"/>
          <w:spacing w:val="-5"/>
        </w:rPr>
        <w:t> </w:t>
      </w:r>
      <w:r>
        <w:rPr>
          <w:color w:val="231F20"/>
        </w:rPr>
        <w:t>régime</w:t>
      </w:r>
      <w:r>
        <w:rPr>
          <w:color w:val="231F20"/>
          <w:spacing w:val="-4"/>
        </w:rPr>
        <w:t> </w:t>
      </w:r>
      <w:r>
        <w:rPr>
          <w:color w:val="231F20"/>
        </w:rPr>
        <w:t>d’Abidjan.</w:t>
      </w:r>
    </w:p>
    <w:p>
      <w:pPr>
        <w:pStyle w:val="BodyText"/>
        <w:ind w:left="0"/>
        <w:jc w:val="left"/>
        <w:rPr>
          <w:sz w:val="20"/>
        </w:rPr>
      </w:pPr>
    </w:p>
    <w:p>
      <w:pPr>
        <w:pStyle w:val="BodyText"/>
        <w:spacing w:before="51"/>
        <w:ind w:left="0"/>
        <w:jc w:val="left"/>
        <w:rPr>
          <w:sz w:val="20"/>
        </w:rPr>
      </w:pPr>
      <w:r>
        <w:rPr/>
        <mc:AlternateContent>
          <mc:Choice Requires="wps">
            <w:drawing>
              <wp:anchor distT="0" distB="0" distL="0" distR="0" allowOverlap="1" layoutInCell="1" locked="0" behindDoc="1" simplePos="0" relativeHeight="487638528">
                <wp:simplePos x="0" y="0"/>
                <wp:positionH relativeFrom="page">
                  <wp:posOffset>629907</wp:posOffset>
                </wp:positionH>
                <wp:positionV relativeFrom="paragraph">
                  <wp:posOffset>194126</wp:posOffset>
                </wp:positionV>
                <wp:extent cx="1829435" cy="9525"/>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285586pt;width:144.020pt;height:.72pt;mso-position-horizontal-relative:page;mso-position-vertical-relative:paragraph;z-index:-15677952;mso-wrap-distance-left:0;mso-wrap-distance-right:0" id="docshape126" filled="true" fillcolor="#231f20" stroked="false">
                <v:fill type="solid"/>
                <w10:wrap type="topAndBottom"/>
              </v:rect>
            </w:pict>
          </mc:Fallback>
        </mc:AlternateContent>
      </w:r>
    </w:p>
    <w:p>
      <w:pPr>
        <w:spacing w:before="91"/>
        <w:ind w:left="111" w:right="103" w:firstLine="0"/>
        <w:jc w:val="both"/>
        <w:rPr>
          <w:sz w:val="20"/>
        </w:rPr>
      </w:pPr>
      <w:r>
        <w:rPr>
          <w:color w:val="76787A"/>
          <w:spacing w:val="-4"/>
          <w:sz w:val="20"/>
          <w:vertAlign w:val="superscript"/>
        </w:rPr>
        <w:t>160</w:t>
      </w:r>
      <w:r>
        <w:rPr>
          <w:color w:val="373537"/>
          <w:spacing w:val="-4"/>
          <w:sz w:val="20"/>
          <w:vertAlign w:val="baseline"/>
        </w:rPr>
        <w:t>1-Autoroute péage Abidjan-Yakro ,2 Troisème pont d'Abidjan, </w:t>
      </w:r>
      <w:r>
        <w:rPr>
          <w:color w:val="737577"/>
          <w:spacing w:val="-4"/>
          <w:sz w:val="20"/>
          <w:vertAlign w:val="baseline"/>
        </w:rPr>
        <w:t>3 </w:t>
      </w:r>
      <w:r>
        <w:rPr>
          <w:color w:val="373537"/>
          <w:spacing w:val="-4"/>
          <w:sz w:val="20"/>
          <w:vertAlign w:val="baseline"/>
        </w:rPr>
        <w:t>Autoroute Abidjan - </w:t>
      </w:r>
      <w:r>
        <w:rPr>
          <w:color w:val="373537"/>
          <w:sz w:val="20"/>
          <w:vertAlign w:val="baseline"/>
        </w:rPr>
        <w:t>Bassam, </w:t>
      </w:r>
      <w:r>
        <w:rPr>
          <w:color w:val="737577"/>
          <w:sz w:val="20"/>
          <w:vertAlign w:val="baseline"/>
        </w:rPr>
        <w:t>4 </w:t>
      </w:r>
      <w:r>
        <w:rPr>
          <w:color w:val="373537"/>
          <w:sz w:val="20"/>
          <w:vertAlign w:val="baseline"/>
        </w:rPr>
        <w:t>-Pont de Jacqueville , </w:t>
      </w:r>
      <w:r>
        <w:rPr>
          <w:color w:val="737577"/>
          <w:sz w:val="20"/>
          <w:vertAlign w:val="baseline"/>
        </w:rPr>
        <w:t>5 </w:t>
      </w:r>
      <w:r>
        <w:rPr>
          <w:color w:val="373537"/>
          <w:sz w:val="20"/>
          <w:vertAlign w:val="baseline"/>
        </w:rPr>
        <w:t>Modernisation Aéroport , 6 Stade Olympique dé </w:t>
      </w:r>
      <w:r>
        <w:rPr>
          <w:color w:val="373537"/>
          <w:spacing w:val="-2"/>
          <w:sz w:val="20"/>
          <w:vertAlign w:val="baseline"/>
        </w:rPr>
        <w:t>Yopougon,</w:t>
      </w:r>
      <w:r>
        <w:rPr>
          <w:color w:val="373537"/>
          <w:spacing w:val="-11"/>
          <w:sz w:val="20"/>
          <w:vertAlign w:val="baseline"/>
        </w:rPr>
        <w:t> </w:t>
      </w:r>
      <w:r>
        <w:rPr>
          <w:color w:val="373537"/>
          <w:spacing w:val="-2"/>
          <w:sz w:val="20"/>
          <w:vertAlign w:val="baseline"/>
        </w:rPr>
        <w:t>,</w:t>
      </w:r>
      <w:r>
        <w:rPr>
          <w:color w:val="373537"/>
          <w:spacing w:val="-10"/>
          <w:sz w:val="20"/>
          <w:vertAlign w:val="baseline"/>
        </w:rPr>
        <w:t> </w:t>
      </w:r>
      <w:r>
        <w:rPr>
          <w:color w:val="373537"/>
          <w:spacing w:val="-2"/>
          <w:sz w:val="20"/>
          <w:vertAlign w:val="baseline"/>
        </w:rPr>
        <w:t>7.Abattoir</w:t>
      </w:r>
      <w:r>
        <w:rPr>
          <w:color w:val="373537"/>
          <w:spacing w:val="-11"/>
          <w:sz w:val="20"/>
          <w:vertAlign w:val="baseline"/>
        </w:rPr>
        <w:t> </w:t>
      </w:r>
      <w:r>
        <w:rPr>
          <w:color w:val="373537"/>
          <w:spacing w:val="-2"/>
          <w:sz w:val="20"/>
          <w:vertAlign w:val="baseline"/>
        </w:rPr>
        <w:t>Ayama</w:t>
      </w:r>
      <w:r>
        <w:rPr>
          <w:color w:val="373537"/>
          <w:spacing w:val="-10"/>
          <w:sz w:val="20"/>
          <w:vertAlign w:val="baseline"/>
        </w:rPr>
        <w:t> </w:t>
      </w:r>
      <w:r>
        <w:rPr>
          <w:color w:val="373537"/>
          <w:spacing w:val="-2"/>
          <w:sz w:val="20"/>
          <w:vertAlign w:val="baseline"/>
        </w:rPr>
        <w:t>,8</w:t>
      </w:r>
      <w:r>
        <w:rPr>
          <w:color w:val="373537"/>
          <w:spacing w:val="-11"/>
          <w:sz w:val="20"/>
          <w:vertAlign w:val="baseline"/>
        </w:rPr>
        <w:t> </w:t>
      </w:r>
      <w:r>
        <w:rPr>
          <w:color w:val="373537"/>
          <w:spacing w:val="-2"/>
          <w:sz w:val="20"/>
          <w:vertAlign w:val="baseline"/>
        </w:rPr>
        <w:t>Central</w:t>
      </w:r>
      <w:r>
        <w:rPr>
          <w:color w:val="373537"/>
          <w:spacing w:val="-10"/>
          <w:sz w:val="20"/>
          <w:vertAlign w:val="baseline"/>
        </w:rPr>
        <w:t> </w:t>
      </w:r>
      <w:r>
        <w:rPr>
          <w:color w:val="373537"/>
          <w:spacing w:val="-2"/>
          <w:sz w:val="20"/>
          <w:vertAlign w:val="baseline"/>
        </w:rPr>
        <w:t>énergétiques</w:t>
      </w:r>
      <w:r>
        <w:rPr>
          <w:color w:val="373537"/>
          <w:spacing w:val="-11"/>
          <w:sz w:val="20"/>
          <w:vertAlign w:val="baseline"/>
        </w:rPr>
        <w:t> </w:t>
      </w:r>
      <w:r>
        <w:rPr>
          <w:color w:val="373537"/>
          <w:spacing w:val="-2"/>
          <w:sz w:val="20"/>
          <w:vertAlign w:val="baseline"/>
        </w:rPr>
        <w:t>Azito</w:t>
      </w:r>
      <w:r>
        <w:rPr>
          <w:color w:val="373537"/>
          <w:spacing w:val="-10"/>
          <w:sz w:val="20"/>
          <w:vertAlign w:val="baseline"/>
        </w:rPr>
        <w:t> </w:t>
      </w:r>
      <w:r>
        <w:rPr>
          <w:color w:val="373537"/>
          <w:spacing w:val="-2"/>
          <w:sz w:val="20"/>
          <w:vertAlign w:val="baseline"/>
        </w:rPr>
        <w:t>,</w:t>
      </w:r>
      <w:r>
        <w:rPr>
          <w:color w:val="373537"/>
          <w:spacing w:val="-11"/>
          <w:sz w:val="20"/>
          <w:vertAlign w:val="baseline"/>
        </w:rPr>
        <w:t> </w:t>
      </w:r>
      <w:r>
        <w:rPr>
          <w:color w:val="373537"/>
          <w:spacing w:val="-2"/>
          <w:sz w:val="20"/>
          <w:vertAlign w:val="baseline"/>
        </w:rPr>
        <w:t>9</w:t>
      </w:r>
      <w:r>
        <w:rPr>
          <w:color w:val="373537"/>
          <w:spacing w:val="-10"/>
          <w:sz w:val="20"/>
          <w:vertAlign w:val="baseline"/>
        </w:rPr>
        <w:t> </w:t>
      </w:r>
      <w:r>
        <w:rPr>
          <w:color w:val="373537"/>
          <w:spacing w:val="-2"/>
          <w:sz w:val="20"/>
          <w:vertAlign w:val="baseline"/>
        </w:rPr>
        <w:t>4ème</w:t>
      </w:r>
      <w:r>
        <w:rPr>
          <w:color w:val="373537"/>
          <w:spacing w:val="-11"/>
          <w:sz w:val="20"/>
          <w:vertAlign w:val="baseline"/>
        </w:rPr>
        <w:t> </w:t>
      </w:r>
      <w:r>
        <w:rPr>
          <w:color w:val="373537"/>
          <w:spacing w:val="-2"/>
          <w:sz w:val="20"/>
          <w:vertAlign w:val="baseline"/>
        </w:rPr>
        <w:t>pont</w:t>
      </w:r>
      <w:r>
        <w:rPr>
          <w:color w:val="373537"/>
          <w:spacing w:val="-10"/>
          <w:sz w:val="20"/>
          <w:vertAlign w:val="baseline"/>
        </w:rPr>
        <w:t> </w:t>
      </w:r>
      <w:r>
        <w:rPr>
          <w:color w:val="373537"/>
          <w:spacing w:val="-2"/>
          <w:sz w:val="20"/>
          <w:vertAlign w:val="baseline"/>
        </w:rPr>
        <w:t>Yopougon</w:t>
      </w:r>
      <w:r>
        <w:rPr>
          <w:color w:val="373537"/>
          <w:spacing w:val="-11"/>
          <w:sz w:val="20"/>
          <w:vertAlign w:val="baseline"/>
        </w:rPr>
        <w:t> </w:t>
      </w:r>
      <w:r>
        <w:rPr>
          <w:color w:val="373537"/>
          <w:spacing w:val="-2"/>
          <w:sz w:val="20"/>
          <w:vertAlign w:val="baseline"/>
        </w:rPr>
        <w:t>– </w:t>
      </w:r>
      <w:r>
        <w:rPr>
          <w:color w:val="373537"/>
          <w:sz w:val="20"/>
          <w:vertAlign w:val="baseline"/>
        </w:rPr>
        <w:t>Plateau, 10 Parc des expositions de Bort Bouet, 11 Extension du port d'Abidjan ,12 . Deuxième Centre météorologique d'Abidjan.</w:t>
      </w:r>
    </w:p>
    <w:p>
      <w:pPr>
        <w:spacing w:after="0"/>
        <w:jc w:val="both"/>
        <w:rPr>
          <w:sz w:val="20"/>
        </w:rPr>
        <w:sectPr>
          <w:pgSz w:w="8790" w:h="13610"/>
          <w:pgMar w:header="0" w:footer="802" w:top="1040" w:bottom="1000" w:left="880" w:right="880"/>
        </w:sectPr>
      </w:pPr>
    </w:p>
    <w:p>
      <w:pPr>
        <w:pStyle w:val="Heading3"/>
        <w:spacing w:before="87"/>
        <w:jc w:val="left"/>
        <w:rPr>
          <w:i/>
        </w:rPr>
      </w:pPr>
      <w:bookmarkStart w:name="_TOC_250018" w:id="25"/>
      <w:r>
        <w:rPr>
          <w:i/>
          <w:color w:val="231F20"/>
          <w:spacing w:val="-2"/>
        </w:rPr>
        <w:t>Début</w:t>
      </w:r>
      <w:r>
        <w:rPr>
          <w:i/>
          <w:color w:val="231F20"/>
          <w:spacing w:val="-11"/>
        </w:rPr>
        <w:t> </w:t>
      </w:r>
      <w:r>
        <w:rPr>
          <w:i/>
          <w:color w:val="231F20"/>
          <w:spacing w:val="-2"/>
        </w:rPr>
        <w:t>1997,</w:t>
      </w:r>
      <w:r>
        <w:rPr>
          <w:i/>
          <w:color w:val="231F20"/>
          <w:spacing w:val="-10"/>
        </w:rPr>
        <w:t> </w:t>
      </w:r>
      <w:r>
        <w:rPr>
          <w:i/>
          <w:color w:val="231F20"/>
          <w:spacing w:val="-2"/>
        </w:rPr>
        <w:t>les</w:t>
      </w:r>
      <w:r>
        <w:rPr>
          <w:i/>
          <w:color w:val="231F20"/>
          <w:spacing w:val="-11"/>
        </w:rPr>
        <w:t> </w:t>
      </w:r>
      <w:r>
        <w:rPr>
          <w:i/>
          <w:color w:val="231F20"/>
          <w:spacing w:val="-2"/>
        </w:rPr>
        <w:t>relations</w:t>
      </w:r>
      <w:r>
        <w:rPr>
          <w:i/>
          <w:color w:val="231F20"/>
          <w:spacing w:val="-9"/>
        </w:rPr>
        <w:t> </w:t>
      </w:r>
      <w:r>
        <w:rPr>
          <w:i/>
          <w:color w:val="231F20"/>
          <w:spacing w:val="-2"/>
        </w:rPr>
        <w:t>commencent</w:t>
      </w:r>
      <w:r>
        <w:rPr>
          <w:i/>
          <w:color w:val="231F20"/>
          <w:spacing w:val="-9"/>
        </w:rPr>
        <w:t> </w:t>
      </w:r>
      <w:r>
        <w:rPr>
          <w:i/>
          <w:color w:val="231F20"/>
          <w:spacing w:val="-2"/>
        </w:rPr>
        <w:t>à</w:t>
      </w:r>
      <w:r>
        <w:rPr>
          <w:i/>
          <w:color w:val="231F20"/>
          <w:spacing w:val="-9"/>
        </w:rPr>
        <w:t> </w:t>
      </w:r>
      <w:r>
        <w:rPr>
          <w:i/>
          <w:color w:val="231F20"/>
          <w:spacing w:val="-2"/>
        </w:rPr>
        <w:t>se</w:t>
      </w:r>
      <w:r>
        <w:rPr>
          <w:i/>
          <w:color w:val="231F20"/>
          <w:spacing w:val="-8"/>
        </w:rPr>
        <w:t> </w:t>
      </w:r>
      <w:r>
        <w:rPr>
          <w:i/>
          <w:color w:val="231F20"/>
          <w:spacing w:val="-2"/>
        </w:rPr>
        <w:t>tendre</w:t>
      </w:r>
      <w:r>
        <w:rPr>
          <w:i/>
          <w:color w:val="231F20"/>
          <w:spacing w:val="-8"/>
        </w:rPr>
        <w:t> </w:t>
      </w:r>
      <w:r>
        <w:rPr>
          <w:i/>
          <w:color w:val="231F20"/>
          <w:spacing w:val="-2"/>
        </w:rPr>
        <w:t>avec</w:t>
      </w:r>
      <w:r>
        <w:rPr>
          <w:i/>
          <w:color w:val="231F20"/>
          <w:spacing w:val="-11"/>
        </w:rPr>
        <w:t> </w:t>
      </w:r>
      <w:r>
        <w:rPr>
          <w:i/>
          <w:color w:val="231F20"/>
          <w:spacing w:val="-2"/>
        </w:rPr>
        <w:t>le</w:t>
      </w:r>
      <w:r>
        <w:rPr>
          <w:i/>
          <w:color w:val="231F20"/>
          <w:spacing w:val="-9"/>
        </w:rPr>
        <w:t> </w:t>
      </w:r>
      <w:bookmarkEnd w:id="25"/>
      <w:r>
        <w:rPr>
          <w:i/>
          <w:color w:val="231F20"/>
          <w:spacing w:val="-4"/>
        </w:rPr>
        <w:t>FMI.</w:t>
      </w:r>
    </w:p>
    <w:p>
      <w:pPr>
        <w:pStyle w:val="BodyText"/>
        <w:spacing w:before="255"/>
        <w:ind w:right="104" w:firstLine="283"/>
      </w:pPr>
      <w:r>
        <w:rPr>
          <w:color w:val="231F20"/>
        </w:rPr>
        <w:t>Le renouvellement de l’accord d’ajustement, venu à expiration en mars, est bloqué. Abidjan appelle en vain Paris à l’aide. Le pays se retrouve sous les fourches caudines du FMI. Un nouveau PAS (Programme d’ajustement structurel) est conclu le 17 mars 1998. Il </w:t>
      </w:r>
      <w:r>
        <w:rPr>
          <w:color w:val="231F20"/>
          <w:spacing w:val="-4"/>
        </w:rPr>
        <w:t>marque</w:t>
      </w:r>
      <w:r>
        <w:rPr>
          <w:color w:val="231F20"/>
          <w:spacing w:val="-11"/>
        </w:rPr>
        <w:t> </w:t>
      </w:r>
      <w:r>
        <w:rPr>
          <w:color w:val="231F20"/>
          <w:spacing w:val="-4"/>
        </w:rPr>
        <w:t>le</w:t>
      </w:r>
      <w:r>
        <w:rPr>
          <w:color w:val="231F20"/>
          <w:spacing w:val="-11"/>
        </w:rPr>
        <w:t> </w:t>
      </w:r>
      <w:r>
        <w:rPr>
          <w:color w:val="231F20"/>
          <w:spacing w:val="-4"/>
        </w:rPr>
        <w:t>début</w:t>
      </w:r>
      <w:r>
        <w:rPr>
          <w:color w:val="231F20"/>
          <w:spacing w:val="-11"/>
        </w:rPr>
        <w:t> </w:t>
      </w:r>
      <w:r>
        <w:rPr>
          <w:color w:val="231F20"/>
          <w:spacing w:val="-4"/>
        </w:rPr>
        <w:t>d’une</w:t>
      </w:r>
      <w:r>
        <w:rPr>
          <w:color w:val="231F20"/>
          <w:spacing w:val="-11"/>
        </w:rPr>
        <w:t> </w:t>
      </w:r>
      <w:r>
        <w:rPr>
          <w:color w:val="231F20"/>
          <w:spacing w:val="-4"/>
        </w:rPr>
        <w:t>nouvelle</w:t>
      </w:r>
      <w:r>
        <w:rPr>
          <w:color w:val="231F20"/>
          <w:spacing w:val="-11"/>
        </w:rPr>
        <w:t> </w:t>
      </w:r>
      <w:r>
        <w:rPr>
          <w:color w:val="231F20"/>
          <w:spacing w:val="-4"/>
        </w:rPr>
        <w:t>période</w:t>
      </w:r>
      <w:r>
        <w:rPr>
          <w:color w:val="231F20"/>
          <w:spacing w:val="-11"/>
        </w:rPr>
        <w:t> </w:t>
      </w:r>
      <w:r>
        <w:rPr>
          <w:color w:val="231F20"/>
          <w:spacing w:val="-4"/>
        </w:rPr>
        <w:t>d’austérité</w:t>
      </w:r>
      <w:r>
        <w:rPr>
          <w:color w:val="231F20"/>
          <w:spacing w:val="-11"/>
        </w:rPr>
        <w:t> </w:t>
      </w:r>
      <w:r>
        <w:rPr>
          <w:color w:val="231F20"/>
          <w:spacing w:val="-4"/>
        </w:rPr>
        <w:t>pour</w:t>
      </w:r>
      <w:r>
        <w:rPr>
          <w:color w:val="231F20"/>
          <w:spacing w:val="-11"/>
        </w:rPr>
        <w:t> </w:t>
      </w:r>
      <w:r>
        <w:rPr>
          <w:color w:val="231F20"/>
          <w:spacing w:val="-4"/>
        </w:rPr>
        <w:t>des</w:t>
      </w:r>
      <w:r>
        <w:rPr>
          <w:color w:val="231F20"/>
          <w:spacing w:val="-11"/>
        </w:rPr>
        <w:t> </w:t>
      </w:r>
      <w:r>
        <w:rPr>
          <w:color w:val="231F20"/>
          <w:spacing w:val="-4"/>
        </w:rPr>
        <w:t>Ivoiriens</w:t>
      </w:r>
      <w:r>
        <w:rPr>
          <w:color w:val="231F20"/>
          <w:spacing w:val="-11"/>
        </w:rPr>
        <w:t> </w:t>
      </w:r>
      <w:r>
        <w:rPr>
          <w:color w:val="231F20"/>
          <w:spacing w:val="-4"/>
        </w:rPr>
        <w:t>déjà </w:t>
      </w:r>
      <w:r>
        <w:rPr>
          <w:color w:val="231F20"/>
        </w:rPr>
        <w:t>soumis à une lourde fiscalité. Trois objectifs sont fixés par le Fonds monétaire: une croissance de 6 %, la réduction des déficits public et courants, l’ apurement des arriérés.</w:t>
      </w:r>
    </w:p>
    <w:p>
      <w:pPr>
        <w:pStyle w:val="BodyText"/>
        <w:spacing w:before="121"/>
        <w:ind w:right="102" w:firstLine="283"/>
      </w:pPr>
      <w:r>
        <w:rPr>
          <w:color w:val="231F20"/>
        </w:rPr>
        <w:t>Le</w:t>
      </w:r>
      <w:r>
        <w:rPr>
          <w:color w:val="231F20"/>
          <w:spacing w:val="-15"/>
        </w:rPr>
        <w:t> </w:t>
      </w:r>
      <w:r>
        <w:rPr>
          <w:color w:val="231F20"/>
        </w:rPr>
        <w:t>31</w:t>
      </w:r>
      <w:r>
        <w:rPr>
          <w:color w:val="231F20"/>
          <w:spacing w:val="-15"/>
        </w:rPr>
        <w:t> </w:t>
      </w:r>
      <w:r>
        <w:rPr>
          <w:color w:val="231F20"/>
        </w:rPr>
        <w:t>mars</w:t>
      </w:r>
      <w:r>
        <w:rPr>
          <w:color w:val="231F20"/>
          <w:spacing w:val="-15"/>
        </w:rPr>
        <w:t> </w:t>
      </w:r>
      <w:r>
        <w:rPr>
          <w:color w:val="231F20"/>
        </w:rPr>
        <w:t>1998,</w:t>
      </w:r>
      <w:r>
        <w:rPr>
          <w:color w:val="231F20"/>
          <w:spacing w:val="-15"/>
        </w:rPr>
        <w:t> </w:t>
      </w:r>
      <w:r>
        <w:rPr>
          <w:color w:val="231F20"/>
        </w:rPr>
        <w:t>Abidjan</w:t>
      </w:r>
      <w:r>
        <w:rPr>
          <w:color w:val="231F20"/>
          <w:spacing w:val="-15"/>
        </w:rPr>
        <w:t> </w:t>
      </w:r>
      <w:r>
        <w:rPr>
          <w:color w:val="231F20"/>
        </w:rPr>
        <w:t>obtient</w:t>
      </w:r>
      <w:r>
        <w:rPr>
          <w:color w:val="231F20"/>
          <w:spacing w:val="-15"/>
        </w:rPr>
        <w:t> </w:t>
      </w:r>
      <w:r>
        <w:rPr>
          <w:color w:val="231F20"/>
        </w:rPr>
        <w:t>un</w:t>
      </w:r>
      <w:r>
        <w:rPr>
          <w:color w:val="231F20"/>
          <w:spacing w:val="-15"/>
        </w:rPr>
        <w:t> </w:t>
      </w:r>
      <w:r>
        <w:rPr>
          <w:color w:val="231F20"/>
        </w:rPr>
        <w:t>accord</w:t>
      </w:r>
      <w:r>
        <w:rPr>
          <w:color w:val="231F20"/>
          <w:spacing w:val="-15"/>
        </w:rPr>
        <w:t> </w:t>
      </w:r>
      <w:r>
        <w:rPr>
          <w:color w:val="231F20"/>
        </w:rPr>
        <w:t>sur</w:t>
      </w:r>
      <w:r>
        <w:rPr>
          <w:color w:val="231F20"/>
          <w:spacing w:val="-15"/>
        </w:rPr>
        <w:t> </w:t>
      </w:r>
      <w:r>
        <w:rPr>
          <w:color w:val="231F20"/>
        </w:rPr>
        <w:t>sa</w:t>
      </w:r>
      <w:r>
        <w:rPr>
          <w:color w:val="231F20"/>
          <w:spacing w:val="-15"/>
        </w:rPr>
        <w:t> </w:t>
      </w:r>
      <w:r>
        <w:rPr>
          <w:color w:val="231F20"/>
        </w:rPr>
        <w:t>dette</w:t>
      </w:r>
      <w:r>
        <w:rPr>
          <w:color w:val="231F20"/>
          <w:spacing w:val="-15"/>
        </w:rPr>
        <w:t> </w:t>
      </w:r>
      <w:r>
        <w:rPr>
          <w:color w:val="231F20"/>
        </w:rPr>
        <w:t>commerciale et un second sur sa dette publique le 24 avril qui débouchent sur des annulations substantielles mais conditionnelles d’une partie de son </w:t>
      </w:r>
      <w:r>
        <w:rPr>
          <w:color w:val="231F20"/>
          <w:spacing w:val="-2"/>
        </w:rPr>
        <w:t>endettement.</w:t>
      </w:r>
      <w:r>
        <w:rPr>
          <w:color w:val="231F20"/>
          <w:spacing w:val="-11"/>
        </w:rPr>
        <w:t> </w:t>
      </w:r>
      <w:r>
        <w:rPr>
          <w:color w:val="231F20"/>
          <w:spacing w:val="-2"/>
        </w:rPr>
        <w:t>D’autres</w:t>
      </w:r>
      <w:r>
        <w:rPr>
          <w:color w:val="231F20"/>
          <w:spacing w:val="-11"/>
        </w:rPr>
        <w:t> </w:t>
      </w:r>
      <w:r>
        <w:rPr>
          <w:color w:val="231F20"/>
          <w:spacing w:val="-2"/>
        </w:rPr>
        <w:t>promesses</w:t>
      </w:r>
      <w:r>
        <w:rPr>
          <w:color w:val="231F20"/>
          <w:spacing w:val="-11"/>
        </w:rPr>
        <w:t> </w:t>
      </w:r>
      <w:r>
        <w:rPr>
          <w:color w:val="231F20"/>
          <w:spacing w:val="-2"/>
        </w:rPr>
        <w:t>pour</w:t>
      </w:r>
      <w:r>
        <w:rPr>
          <w:color w:val="231F20"/>
          <w:spacing w:val="-11"/>
        </w:rPr>
        <w:t> </w:t>
      </w:r>
      <w:r>
        <w:rPr>
          <w:color w:val="231F20"/>
          <w:spacing w:val="-2"/>
        </w:rPr>
        <w:t>un</w:t>
      </w:r>
      <w:r>
        <w:rPr>
          <w:color w:val="231F20"/>
          <w:spacing w:val="-11"/>
        </w:rPr>
        <w:t> </w:t>
      </w:r>
      <w:r>
        <w:rPr>
          <w:color w:val="231F20"/>
          <w:spacing w:val="-2"/>
        </w:rPr>
        <w:t>allègement</w:t>
      </w:r>
      <w:r>
        <w:rPr>
          <w:color w:val="231F20"/>
          <w:spacing w:val="-10"/>
        </w:rPr>
        <w:t> </w:t>
      </w:r>
      <w:r>
        <w:rPr>
          <w:color w:val="231F20"/>
          <w:spacing w:val="-2"/>
        </w:rPr>
        <w:t>du</w:t>
      </w:r>
      <w:r>
        <w:rPr>
          <w:color w:val="231F20"/>
          <w:spacing w:val="-11"/>
        </w:rPr>
        <w:t> </w:t>
      </w:r>
      <w:r>
        <w:rPr>
          <w:color w:val="231F20"/>
          <w:spacing w:val="-2"/>
        </w:rPr>
        <w:t>stock</w:t>
      </w:r>
      <w:r>
        <w:rPr>
          <w:color w:val="231F20"/>
          <w:spacing w:val="-11"/>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dette </w:t>
      </w:r>
      <w:r>
        <w:rPr>
          <w:color w:val="231F20"/>
        </w:rPr>
        <w:t>à l’horizon 2001 sont envisagées par les pays créanciers. Mais les institutions de Bretton Woods, se rendent compte que la gabegie et la </w:t>
      </w:r>
      <w:r>
        <w:rPr>
          <w:color w:val="231F20"/>
          <w:spacing w:val="-4"/>
        </w:rPr>
        <w:t>mauvaise</w:t>
      </w:r>
      <w:r>
        <w:rPr>
          <w:color w:val="231F20"/>
          <w:spacing w:val="-7"/>
        </w:rPr>
        <w:t> </w:t>
      </w:r>
      <w:r>
        <w:rPr>
          <w:color w:val="231F20"/>
          <w:spacing w:val="-4"/>
        </w:rPr>
        <w:t>gouvernance continuent</w:t>
      </w:r>
      <w:r>
        <w:rPr>
          <w:color w:val="231F20"/>
          <w:spacing w:val="-7"/>
        </w:rPr>
        <w:t> </w:t>
      </w:r>
      <w:r>
        <w:rPr>
          <w:color w:val="231F20"/>
          <w:spacing w:val="-4"/>
        </w:rPr>
        <w:t>dans</w:t>
      </w:r>
      <w:r>
        <w:rPr>
          <w:color w:val="231F20"/>
          <w:spacing w:val="-7"/>
        </w:rPr>
        <w:t> </w:t>
      </w:r>
      <w:r>
        <w:rPr>
          <w:color w:val="231F20"/>
          <w:spacing w:val="-4"/>
        </w:rPr>
        <w:t>le rang des</w:t>
      </w:r>
      <w:r>
        <w:rPr>
          <w:color w:val="231F20"/>
          <w:spacing w:val="-7"/>
        </w:rPr>
        <w:t> </w:t>
      </w:r>
      <w:r>
        <w:rPr>
          <w:color w:val="231F20"/>
          <w:spacing w:val="-4"/>
        </w:rPr>
        <w:t>barons du régime. Les grandes</w:t>
      </w:r>
      <w:r>
        <w:rPr>
          <w:color w:val="231F20"/>
          <w:spacing w:val="-11"/>
        </w:rPr>
        <w:t> </w:t>
      </w:r>
      <w:r>
        <w:rPr>
          <w:color w:val="231F20"/>
          <w:spacing w:val="-4"/>
        </w:rPr>
        <w:t>banques</w:t>
      </w:r>
      <w:r>
        <w:rPr>
          <w:color w:val="231F20"/>
          <w:spacing w:val="-11"/>
        </w:rPr>
        <w:t> </w:t>
      </w:r>
      <w:r>
        <w:rPr>
          <w:color w:val="231F20"/>
          <w:spacing w:val="-4"/>
        </w:rPr>
        <w:t>sont</w:t>
      </w:r>
      <w:r>
        <w:rPr>
          <w:color w:val="231F20"/>
          <w:spacing w:val="-11"/>
        </w:rPr>
        <w:t> </w:t>
      </w:r>
      <w:r>
        <w:rPr>
          <w:color w:val="231F20"/>
          <w:spacing w:val="-4"/>
        </w:rPr>
        <w:t>au</w:t>
      </w:r>
      <w:r>
        <w:rPr>
          <w:color w:val="231F20"/>
          <w:spacing w:val="-11"/>
        </w:rPr>
        <w:t> </w:t>
      </w:r>
      <w:r>
        <w:rPr>
          <w:color w:val="231F20"/>
          <w:spacing w:val="-4"/>
        </w:rPr>
        <w:t>bord</w:t>
      </w:r>
      <w:r>
        <w:rPr>
          <w:color w:val="231F20"/>
          <w:spacing w:val="-9"/>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crise</w:t>
      </w:r>
      <w:r>
        <w:rPr>
          <w:color w:val="231F20"/>
          <w:spacing w:val="-7"/>
        </w:rPr>
        <w:t> </w:t>
      </w:r>
      <w:r>
        <w:rPr>
          <w:color w:val="231F20"/>
          <w:spacing w:val="-4"/>
        </w:rPr>
        <w:t>avec</w:t>
      </w:r>
      <w:r>
        <w:rPr>
          <w:color w:val="231F20"/>
          <w:spacing w:val="-11"/>
        </w:rPr>
        <w:t> </w:t>
      </w:r>
      <w:r>
        <w:rPr>
          <w:color w:val="231F20"/>
          <w:spacing w:val="-4"/>
        </w:rPr>
        <w:t>des</w:t>
      </w:r>
      <w:r>
        <w:rPr>
          <w:color w:val="231F20"/>
          <w:spacing w:val="-10"/>
        </w:rPr>
        <w:t> </w:t>
      </w:r>
      <w:r>
        <w:rPr>
          <w:color w:val="231F20"/>
          <w:spacing w:val="-4"/>
        </w:rPr>
        <w:t>provisions</w:t>
      </w:r>
      <w:r>
        <w:rPr>
          <w:color w:val="231F20"/>
          <w:spacing w:val="-10"/>
        </w:rPr>
        <w:t> </w:t>
      </w:r>
      <w:r>
        <w:rPr>
          <w:color w:val="231F20"/>
          <w:spacing w:val="-4"/>
        </w:rPr>
        <w:t>insuffisantes. En février,</w:t>
      </w:r>
      <w:r>
        <w:rPr>
          <w:color w:val="231F20"/>
          <w:spacing w:val="-7"/>
        </w:rPr>
        <w:t> </w:t>
      </w:r>
      <w:r>
        <w:rPr>
          <w:color w:val="231F20"/>
          <w:spacing w:val="-4"/>
        </w:rPr>
        <w:t>mars</w:t>
      </w:r>
      <w:r>
        <w:rPr>
          <w:color w:val="231F20"/>
          <w:spacing w:val="-6"/>
        </w:rPr>
        <w:t> </w:t>
      </w:r>
      <w:r>
        <w:rPr>
          <w:color w:val="231F20"/>
          <w:spacing w:val="-4"/>
        </w:rPr>
        <w:t>1998,</w:t>
      </w:r>
      <w:r>
        <w:rPr>
          <w:color w:val="231F20"/>
          <w:spacing w:val="-6"/>
        </w:rPr>
        <w:t> </w:t>
      </w:r>
      <w:r>
        <w:rPr>
          <w:color w:val="231F20"/>
          <w:spacing w:val="-4"/>
        </w:rPr>
        <w:t>les</w:t>
      </w:r>
      <w:r>
        <w:rPr>
          <w:color w:val="231F20"/>
          <w:spacing w:val="-9"/>
        </w:rPr>
        <w:t> </w:t>
      </w:r>
      <w:r>
        <w:rPr>
          <w:color w:val="231F20"/>
          <w:spacing w:val="-4"/>
        </w:rPr>
        <w:t>experts</w:t>
      </w:r>
      <w:r>
        <w:rPr>
          <w:color w:val="231F20"/>
          <w:spacing w:val="-6"/>
        </w:rPr>
        <w:t> </w:t>
      </w:r>
      <w:r>
        <w:rPr>
          <w:color w:val="231F20"/>
          <w:spacing w:val="-4"/>
        </w:rPr>
        <w:t>du</w:t>
      </w:r>
      <w:r>
        <w:rPr>
          <w:color w:val="231F20"/>
          <w:spacing w:val="-6"/>
        </w:rPr>
        <w:t> </w:t>
      </w:r>
      <w:r>
        <w:rPr>
          <w:color w:val="231F20"/>
          <w:spacing w:val="-4"/>
        </w:rPr>
        <w:t>FMI</w:t>
      </w:r>
      <w:r>
        <w:rPr>
          <w:color w:val="231F20"/>
          <w:spacing w:val="-7"/>
        </w:rPr>
        <w:t> </w:t>
      </w:r>
      <w:r>
        <w:rPr>
          <w:color w:val="231F20"/>
          <w:spacing w:val="-4"/>
        </w:rPr>
        <w:t>concluent</w:t>
      </w:r>
      <w:r>
        <w:rPr>
          <w:color w:val="231F20"/>
          <w:spacing w:val="-8"/>
        </w:rPr>
        <w:t> </w:t>
      </w:r>
      <w:r>
        <w:rPr>
          <w:color w:val="231F20"/>
          <w:spacing w:val="-4"/>
        </w:rPr>
        <w:t>que</w:t>
      </w:r>
      <w:r>
        <w:rPr>
          <w:color w:val="231F20"/>
          <w:spacing w:val="-7"/>
        </w:rPr>
        <w:t> </w:t>
      </w:r>
      <w:r>
        <w:rPr>
          <w:color w:val="231F20"/>
          <w:spacing w:val="-4"/>
        </w:rPr>
        <w:t>les conditions</w:t>
      </w:r>
      <w:r>
        <w:rPr>
          <w:color w:val="231F20"/>
          <w:spacing w:val="-6"/>
        </w:rPr>
        <w:t> </w:t>
      </w:r>
      <w:r>
        <w:rPr>
          <w:color w:val="231F20"/>
          <w:spacing w:val="-4"/>
        </w:rPr>
        <w:t>ne </w:t>
      </w:r>
      <w:r>
        <w:rPr>
          <w:color w:val="231F20"/>
        </w:rPr>
        <w:t>sont plus réunies en Côte d’Ivoire pour engager les négociations sur la deuxième</w:t>
      </w:r>
      <w:r>
        <w:rPr>
          <w:color w:val="231F20"/>
          <w:spacing w:val="-15"/>
        </w:rPr>
        <w:t> </w:t>
      </w:r>
      <w:r>
        <w:rPr>
          <w:color w:val="231F20"/>
        </w:rPr>
        <w:t>année</w:t>
      </w:r>
      <w:r>
        <w:rPr>
          <w:color w:val="231F20"/>
          <w:spacing w:val="-15"/>
        </w:rPr>
        <w:t> </w:t>
      </w:r>
      <w:r>
        <w:rPr>
          <w:color w:val="231F20"/>
        </w:rPr>
        <w:t>du</w:t>
      </w:r>
      <w:r>
        <w:rPr>
          <w:color w:val="231F20"/>
          <w:spacing w:val="-14"/>
        </w:rPr>
        <w:t> </w:t>
      </w:r>
      <w:r>
        <w:rPr>
          <w:color w:val="231F20"/>
        </w:rPr>
        <w:t>programme</w:t>
      </w:r>
      <w:r>
        <w:rPr>
          <w:color w:val="231F20"/>
          <w:spacing w:val="-14"/>
        </w:rPr>
        <w:t> </w:t>
      </w:r>
      <w:r>
        <w:rPr>
          <w:color w:val="231F20"/>
        </w:rPr>
        <w:t>d’ajustement</w:t>
      </w:r>
      <w:r>
        <w:rPr>
          <w:color w:val="231F20"/>
          <w:spacing w:val="-14"/>
        </w:rPr>
        <w:t> </w:t>
      </w:r>
      <w:r>
        <w:rPr>
          <w:color w:val="231F20"/>
        </w:rPr>
        <w:t>en</w:t>
      </w:r>
      <w:r>
        <w:rPr>
          <w:color w:val="231F20"/>
          <w:spacing w:val="-14"/>
        </w:rPr>
        <w:t> </w:t>
      </w:r>
      <w:r>
        <w:rPr>
          <w:color w:val="231F20"/>
        </w:rPr>
        <w:t>cours.</w:t>
      </w:r>
      <w:r>
        <w:rPr>
          <w:color w:val="231F20"/>
          <w:spacing w:val="-14"/>
        </w:rPr>
        <w:t> </w:t>
      </w:r>
      <w:r>
        <w:rPr>
          <w:color w:val="231F20"/>
        </w:rPr>
        <w:t>Le</w:t>
      </w:r>
      <w:r>
        <w:rPr>
          <w:color w:val="231F20"/>
          <w:spacing w:val="-14"/>
        </w:rPr>
        <w:t> </w:t>
      </w:r>
      <w:r>
        <w:rPr>
          <w:color w:val="231F20"/>
        </w:rPr>
        <w:t>FMI</w:t>
      </w:r>
      <w:r>
        <w:rPr>
          <w:color w:val="231F20"/>
          <w:spacing w:val="-15"/>
        </w:rPr>
        <w:t> </w:t>
      </w:r>
      <w:r>
        <w:rPr>
          <w:color w:val="231F20"/>
        </w:rPr>
        <w:t>dénonce de</w:t>
      </w:r>
      <w:r>
        <w:rPr>
          <w:color w:val="231F20"/>
          <w:spacing w:val="-14"/>
        </w:rPr>
        <w:t> </w:t>
      </w:r>
      <w:r>
        <w:rPr>
          <w:color w:val="231F20"/>
        </w:rPr>
        <w:t>nouveaux</w:t>
      </w:r>
      <w:r>
        <w:rPr>
          <w:color w:val="231F20"/>
          <w:spacing w:val="-10"/>
        </w:rPr>
        <w:t> </w:t>
      </w:r>
      <w:r>
        <w:rPr>
          <w:color w:val="231F20"/>
        </w:rPr>
        <w:t>dérapages</w:t>
      </w:r>
      <w:r>
        <w:rPr>
          <w:color w:val="231F20"/>
          <w:spacing w:val="-11"/>
        </w:rPr>
        <w:t> </w:t>
      </w:r>
      <w:r>
        <w:rPr>
          <w:color w:val="231F20"/>
        </w:rPr>
        <w:t>dans</w:t>
      </w:r>
      <w:r>
        <w:rPr>
          <w:color w:val="231F20"/>
          <w:spacing w:val="-12"/>
        </w:rPr>
        <w:t> </w:t>
      </w:r>
      <w:r>
        <w:rPr>
          <w:color w:val="231F20"/>
        </w:rPr>
        <w:t>les</w:t>
      </w:r>
      <w:r>
        <w:rPr>
          <w:color w:val="231F20"/>
          <w:spacing w:val="-11"/>
        </w:rPr>
        <w:t> </w:t>
      </w:r>
      <w:r>
        <w:rPr>
          <w:color w:val="231F20"/>
        </w:rPr>
        <w:t>finances</w:t>
      </w:r>
      <w:r>
        <w:rPr>
          <w:color w:val="231F20"/>
          <w:spacing w:val="-11"/>
        </w:rPr>
        <w:t> </w:t>
      </w:r>
      <w:r>
        <w:rPr>
          <w:color w:val="231F20"/>
        </w:rPr>
        <w:t>publiques</w:t>
      </w:r>
      <w:r>
        <w:rPr>
          <w:color w:val="231F20"/>
          <w:spacing w:val="-15"/>
        </w:rPr>
        <w:t> </w:t>
      </w:r>
      <w:r>
        <w:rPr>
          <w:color w:val="231F20"/>
        </w:rPr>
        <w:t>à</w:t>
      </w:r>
      <w:r>
        <w:rPr>
          <w:color w:val="231F20"/>
          <w:spacing w:val="-9"/>
        </w:rPr>
        <w:t> </w:t>
      </w:r>
      <w:r>
        <w:rPr>
          <w:color w:val="231F20"/>
        </w:rPr>
        <w:t>la</w:t>
      </w:r>
      <w:r>
        <w:rPr>
          <w:color w:val="231F20"/>
          <w:spacing w:val="-12"/>
        </w:rPr>
        <w:t> </w:t>
      </w:r>
      <w:r>
        <w:rPr>
          <w:color w:val="231F20"/>
        </w:rPr>
        <w:t>fin</w:t>
      </w:r>
      <w:r>
        <w:rPr>
          <w:color w:val="231F20"/>
          <w:spacing w:val="-9"/>
        </w:rPr>
        <w:t> </w:t>
      </w:r>
      <w:r>
        <w:rPr>
          <w:color w:val="231F20"/>
        </w:rPr>
        <w:t>de</w:t>
      </w:r>
      <w:r>
        <w:rPr>
          <w:color w:val="231F20"/>
          <w:spacing w:val="-12"/>
        </w:rPr>
        <w:t> </w:t>
      </w:r>
      <w:r>
        <w:rPr>
          <w:color w:val="231F20"/>
        </w:rPr>
        <w:t>1998</w:t>
      </w:r>
      <w:r>
        <w:rPr>
          <w:color w:val="231F20"/>
          <w:spacing w:val="-15"/>
        </w:rPr>
        <w:t> </w:t>
      </w:r>
      <w:r>
        <w:rPr>
          <w:color w:val="231F20"/>
        </w:rPr>
        <w:t>:</w:t>
      </w:r>
      <w:r>
        <w:rPr>
          <w:color w:val="231F20"/>
          <w:spacing w:val="-11"/>
        </w:rPr>
        <w:t> </w:t>
      </w:r>
      <w:r>
        <w:rPr>
          <w:color w:val="231F20"/>
        </w:rPr>
        <w:t>les dépenses</w:t>
      </w:r>
      <w:r>
        <w:rPr>
          <w:color w:val="231F20"/>
          <w:spacing w:val="-3"/>
        </w:rPr>
        <w:t> </w:t>
      </w:r>
      <w:r>
        <w:rPr>
          <w:color w:val="231F20"/>
        </w:rPr>
        <w:t>hors</w:t>
      </w:r>
      <w:r>
        <w:rPr>
          <w:color w:val="231F20"/>
          <w:spacing w:val="-3"/>
        </w:rPr>
        <w:t> </w:t>
      </w:r>
      <w:r>
        <w:rPr>
          <w:color w:val="231F20"/>
        </w:rPr>
        <w:t>budget</w:t>
      </w:r>
      <w:r>
        <w:rPr>
          <w:color w:val="231F20"/>
          <w:spacing w:val="-3"/>
        </w:rPr>
        <w:t> </w:t>
      </w:r>
      <w:r>
        <w:rPr>
          <w:color w:val="231F20"/>
        </w:rPr>
        <w:t>atteignent</w:t>
      </w:r>
      <w:r>
        <w:rPr>
          <w:color w:val="231F20"/>
          <w:spacing w:val="-5"/>
        </w:rPr>
        <w:t> </w:t>
      </w:r>
      <w:r>
        <w:rPr>
          <w:color w:val="231F20"/>
        </w:rPr>
        <w:t>120</w:t>
      </w:r>
      <w:r>
        <w:rPr>
          <w:color w:val="231F20"/>
          <w:spacing w:val="-5"/>
        </w:rPr>
        <w:t> </w:t>
      </w:r>
      <w:r>
        <w:rPr>
          <w:color w:val="231F20"/>
        </w:rPr>
        <w:t>milliards</w:t>
      </w:r>
      <w:r>
        <w:rPr>
          <w:color w:val="231F20"/>
          <w:spacing w:val="-2"/>
        </w:rPr>
        <w:t> </w:t>
      </w:r>
      <w:r>
        <w:rPr>
          <w:color w:val="231F20"/>
        </w:rPr>
        <w:t>de</w:t>
      </w:r>
      <w:r>
        <w:rPr>
          <w:color w:val="231F20"/>
          <w:spacing w:val="-5"/>
        </w:rPr>
        <w:t> </w:t>
      </w:r>
      <w:r>
        <w:rPr>
          <w:color w:val="231F20"/>
        </w:rPr>
        <w:t>F</w:t>
      </w:r>
      <w:r>
        <w:rPr>
          <w:color w:val="231F20"/>
          <w:spacing w:val="-4"/>
        </w:rPr>
        <w:t> </w:t>
      </w:r>
      <w:r>
        <w:rPr>
          <w:color w:val="231F20"/>
        </w:rPr>
        <w:t>CFA.</w:t>
      </w:r>
    </w:p>
    <w:p>
      <w:pPr>
        <w:pStyle w:val="BodyText"/>
        <w:spacing w:before="121"/>
        <w:ind w:right="105" w:firstLine="283"/>
      </w:pPr>
      <w:r>
        <w:rPr>
          <w:color w:val="231F20"/>
          <w:spacing w:val="-4"/>
        </w:rPr>
        <w:t>La</w:t>
      </w:r>
      <w:r>
        <w:rPr>
          <w:color w:val="231F20"/>
          <w:spacing w:val="-11"/>
        </w:rPr>
        <w:t> </w:t>
      </w:r>
      <w:r>
        <w:rPr>
          <w:color w:val="231F20"/>
          <w:spacing w:val="-4"/>
        </w:rPr>
        <w:t>crédibilité</w:t>
      </w:r>
      <w:r>
        <w:rPr>
          <w:color w:val="231F20"/>
          <w:spacing w:val="-11"/>
        </w:rPr>
        <w:t> </w:t>
      </w:r>
      <w:r>
        <w:rPr>
          <w:color w:val="231F20"/>
          <w:spacing w:val="-4"/>
        </w:rPr>
        <w:t>du</w:t>
      </w:r>
      <w:r>
        <w:rPr>
          <w:color w:val="231F20"/>
          <w:spacing w:val="-11"/>
        </w:rPr>
        <w:t> </w:t>
      </w:r>
      <w:r>
        <w:rPr>
          <w:color w:val="231F20"/>
          <w:spacing w:val="-4"/>
        </w:rPr>
        <w:t>président</w:t>
      </w:r>
      <w:r>
        <w:rPr>
          <w:color w:val="231F20"/>
          <w:spacing w:val="-11"/>
        </w:rPr>
        <w:t> </w:t>
      </w:r>
      <w:r>
        <w:rPr>
          <w:color w:val="231F20"/>
          <w:spacing w:val="-4"/>
        </w:rPr>
        <w:t>et</w:t>
      </w:r>
      <w:r>
        <w:rPr>
          <w:color w:val="231F20"/>
          <w:spacing w:val="-11"/>
        </w:rPr>
        <w:t> </w:t>
      </w:r>
      <w:r>
        <w:rPr>
          <w:color w:val="231F20"/>
          <w:spacing w:val="-4"/>
        </w:rPr>
        <w:t>de</w:t>
      </w:r>
      <w:r>
        <w:rPr>
          <w:color w:val="231F20"/>
          <w:spacing w:val="-11"/>
        </w:rPr>
        <w:t> </w:t>
      </w:r>
      <w:r>
        <w:rPr>
          <w:color w:val="231F20"/>
          <w:spacing w:val="-4"/>
        </w:rPr>
        <w:t>l’ensemble</w:t>
      </w:r>
      <w:r>
        <w:rPr>
          <w:color w:val="231F20"/>
          <w:spacing w:val="-11"/>
        </w:rPr>
        <w:t> </w:t>
      </w:r>
      <w:r>
        <w:rPr>
          <w:color w:val="231F20"/>
          <w:spacing w:val="-4"/>
        </w:rPr>
        <w:t>de</w:t>
      </w:r>
      <w:r>
        <w:rPr>
          <w:color w:val="231F20"/>
          <w:spacing w:val="-11"/>
        </w:rPr>
        <w:t> </w:t>
      </w:r>
      <w:r>
        <w:rPr>
          <w:color w:val="231F20"/>
          <w:spacing w:val="-4"/>
        </w:rPr>
        <w:t>son</w:t>
      </w:r>
      <w:r>
        <w:rPr>
          <w:color w:val="231F20"/>
          <w:spacing w:val="-11"/>
        </w:rPr>
        <w:t> </w:t>
      </w:r>
      <w:r>
        <w:rPr>
          <w:color w:val="231F20"/>
          <w:spacing w:val="-4"/>
        </w:rPr>
        <w:t>Administration,</w:t>
      </w:r>
      <w:r>
        <w:rPr>
          <w:color w:val="231F20"/>
          <w:spacing w:val="-11"/>
        </w:rPr>
        <w:t> </w:t>
      </w:r>
      <w:r>
        <w:rPr>
          <w:color w:val="231F20"/>
          <w:spacing w:val="-4"/>
        </w:rPr>
        <w:t>déjà </w:t>
      </w:r>
      <w:r>
        <w:rPr>
          <w:color w:val="231F20"/>
        </w:rPr>
        <w:t>perçue comme corrompue, est mise à mal lorsqu’ en 1999, éclate le détournement avéré et reconnu de 18 milliards de F CFA d’aide européenne, destinés au secteur de la santé. Cette affaire entraîne le </w:t>
      </w:r>
      <w:r>
        <w:rPr>
          <w:color w:val="231F20"/>
          <w:spacing w:val="-2"/>
        </w:rPr>
        <w:t>désengagement</w:t>
      </w:r>
      <w:r>
        <w:rPr>
          <w:color w:val="231F20"/>
          <w:spacing w:val="-4"/>
        </w:rPr>
        <w:t> </w:t>
      </w:r>
      <w:r>
        <w:rPr>
          <w:color w:val="231F20"/>
          <w:spacing w:val="-2"/>
        </w:rPr>
        <w:t>de</w:t>
      </w:r>
      <w:r>
        <w:rPr>
          <w:color w:val="231F20"/>
          <w:spacing w:val="-4"/>
        </w:rPr>
        <w:t> </w:t>
      </w:r>
      <w:r>
        <w:rPr>
          <w:color w:val="231F20"/>
          <w:spacing w:val="-2"/>
        </w:rPr>
        <w:t>nombreux</w:t>
      </w:r>
      <w:r>
        <w:rPr>
          <w:color w:val="231F20"/>
          <w:spacing w:val="-4"/>
        </w:rPr>
        <w:t> </w:t>
      </w:r>
      <w:r>
        <w:rPr>
          <w:color w:val="231F20"/>
          <w:spacing w:val="-2"/>
        </w:rPr>
        <w:t>investisseurs</w:t>
      </w:r>
      <w:r>
        <w:rPr>
          <w:color w:val="231F20"/>
          <w:spacing w:val="-4"/>
        </w:rPr>
        <w:t> </w:t>
      </w:r>
      <w:r>
        <w:rPr>
          <w:color w:val="231F20"/>
          <w:spacing w:val="-2"/>
        </w:rPr>
        <w:t>et</w:t>
      </w:r>
      <w:r>
        <w:rPr>
          <w:color w:val="231F20"/>
          <w:spacing w:val="-4"/>
        </w:rPr>
        <w:t> </w:t>
      </w:r>
      <w:r>
        <w:rPr>
          <w:color w:val="231F20"/>
          <w:spacing w:val="-2"/>
        </w:rPr>
        <w:t>partenaires</w:t>
      </w:r>
      <w:r>
        <w:rPr>
          <w:color w:val="231F20"/>
          <w:spacing w:val="-4"/>
        </w:rPr>
        <w:t> </w:t>
      </w:r>
      <w:r>
        <w:rPr>
          <w:color w:val="231F20"/>
          <w:spacing w:val="-2"/>
        </w:rPr>
        <w:t>financiers</w:t>
      </w:r>
      <w:r>
        <w:rPr>
          <w:color w:val="231F20"/>
          <w:spacing w:val="-4"/>
        </w:rPr>
        <w:t> </w:t>
      </w:r>
      <w:r>
        <w:rPr>
          <w:color w:val="231F20"/>
          <w:spacing w:val="-2"/>
        </w:rPr>
        <w:t>dont </w:t>
      </w:r>
      <w:r>
        <w:rPr>
          <w:color w:val="231F20"/>
        </w:rPr>
        <w:t>la</w:t>
      </w:r>
      <w:r>
        <w:rPr>
          <w:color w:val="231F20"/>
          <w:spacing w:val="-2"/>
        </w:rPr>
        <w:t> </w:t>
      </w:r>
      <w:r>
        <w:rPr>
          <w:color w:val="231F20"/>
        </w:rPr>
        <w:t>Banque</w:t>
      </w:r>
      <w:r>
        <w:rPr>
          <w:color w:val="231F20"/>
          <w:spacing w:val="-2"/>
        </w:rPr>
        <w:t> </w:t>
      </w:r>
      <w:r>
        <w:rPr>
          <w:color w:val="231F20"/>
        </w:rPr>
        <w:t>Mondiale</w:t>
      </w:r>
      <w:r>
        <w:rPr>
          <w:color w:val="231F20"/>
          <w:spacing w:val="-2"/>
        </w:rPr>
        <w:t> </w:t>
      </w:r>
      <w:r>
        <w:rPr>
          <w:color w:val="231F20"/>
        </w:rPr>
        <w:t>et</w:t>
      </w:r>
      <w:r>
        <w:rPr>
          <w:color w:val="231F20"/>
          <w:spacing w:val="-5"/>
        </w:rPr>
        <w:t> </w:t>
      </w:r>
      <w:r>
        <w:rPr>
          <w:color w:val="231F20"/>
        </w:rPr>
        <w:t>le</w:t>
      </w:r>
      <w:r>
        <w:rPr>
          <w:color w:val="231F20"/>
          <w:spacing w:val="-5"/>
        </w:rPr>
        <w:t> </w:t>
      </w:r>
      <w:r>
        <w:rPr>
          <w:color w:val="231F20"/>
        </w:rPr>
        <w:t>Fonds</w:t>
      </w:r>
      <w:r>
        <w:rPr>
          <w:color w:val="231F20"/>
          <w:spacing w:val="-3"/>
        </w:rPr>
        <w:t> </w:t>
      </w:r>
      <w:r>
        <w:rPr>
          <w:color w:val="231F20"/>
        </w:rPr>
        <w:t>Monétaire</w:t>
      </w:r>
      <w:r>
        <w:rPr>
          <w:color w:val="231F20"/>
          <w:spacing w:val="-3"/>
        </w:rPr>
        <w:t> </w:t>
      </w:r>
      <w:r>
        <w:rPr>
          <w:color w:val="231F20"/>
        </w:rPr>
        <w:t>International.</w:t>
      </w:r>
    </w:p>
    <w:p>
      <w:pPr>
        <w:pStyle w:val="BodyText"/>
        <w:spacing w:before="120"/>
        <w:ind w:right="104" w:firstLine="283"/>
      </w:pPr>
      <w:r>
        <w:rPr>
          <w:color w:val="231F20"/>
          <w:spacing w:val="-4"/>
        </w:rPr>
        <w:t>Depuis</w:t>
      </w:r>
      <w:r>
        <w:rPr>
          <w:color w:val="231F20"/>
          <w:spacing w:val="-9"/>
        </w:rPr>
        <w:t> </w:t>
      </w:r>
      <w:r>
        <w:rPr>
          <w:color w:val="231F20"/>
          <w:spacing w:val="-4"/>
        </w:rPr>
        <w:t>fin</w:t>
      </w:r>
      <w:r>
        <w:rPr>
          <w:color w:val="231F20"/>
          <w:spacing w:val="-9"/>
        </w:rPr>
        <w:t> </w:t>
      </w:r>
      <w:r>
        <w:rPr>
          <w:color w:val="231F20"/>
          <w:spacing w:val="-4"/>
        </w:rPr>
        <w:t>juin</w:t>
      </w:r>
      <w:r>
        <w:rPr>
          <w:color w:val="231F20"/>
          <w:spacing w:val="-9"/>
        </w:rPr>
        <w:t> </w:t>
      </w:r>
      <w:r>
        <w:rPr>
          <w:color w:val="231F20"/>
          <w:spacing w:val="-4"/>
        </w:rPr>
        <w:t>1999,</w:t>
      </w:r>
      <w:r>
        <w:rPr>
          <w:color w:val="231F20"/>
          <w:spacing w:val="-7"/>
        </w:rPr>
        <w:t> </w:t>
      </w:r>
      <w:r>
        <w:rPr>
          <w:color w:val="231F20"/>
          <w:spacing w:val="-4"/>
        </w:rPr>
        <w:t>Alassane</w:t>
      </w:r>
      <w:r>
        <w:rPr>
          <w:color w:val="231F20"/>
          <w:spacing w:val="-7"/>
        </w:rPr>
        <w:t> </w:t>
      </w:r>
      <w:r>
        <w:rPr>
          <w:color w:val="231F20"/>
          <w:spacing w:val="-4"/>
        </w:rPr>
        <w:t>Ouattara</w:t>
      </w:r>
      <w:r>
        <w:rPr>
          <w:color w:val="231F20"/>
          <w:spacing w:val="-7"/>
        </w:rPr>
        <w:t> </w:t>
      </w:r>
      <w:r>
        <w:rPr>
          <w:color w:val="231F20"/>
          <w:spacing w:val="-4"/>
        </w:rPr>
        <w:t>est</w:t>
      </w:r>
      <w:r>
        <w:rPr>
          <w:color w:val="231F20"/>
          <w:spacing w:val="-8"/>
        </w:rPr>
        <w:t> </w:t>
      </w:r>
      <w:r>
        <w:rPr>
          <w:color w:val="231F20"/>
          <w:spacing w:val="-4"/>
        </w:rPr>
        <w:t>revenu</w:t>
      </w:r>
      <w:r>
        <w:rPr>
          <w:color w:val="231F20"/>
          <w:spacing w:val="-9"/>
        </w:rPr>
        <w:t> </w:t>
      </w:r>
      <w:r>
        <w:rPr>
          <w:color w:val="231F20"/>
          <w:spacing w:val="-4"/>
        </w:rPr>
        <w:t>en</w:t>
      </w:r>
      <w:r>
        <w:rPr>
          <w:color w:val="231F20"/>
          <w:spacing w:val="-7"/>
        </w:rPr>
        <w:t> </w:t>
      </w:r>
      <w:r>
        <w:rPr>
          <w:color w:val="231F20"/>
          <w:spacing w:val="-4"/>
        </w:rPr>
        <w:t>Côte</w:t>
      </w:r>
      <w:r>
        <w:rPr>
          <w:color w:val="231F20"/>
          <w:spacing w:val="-7"/>
        </w:rPr>
        <w:t> </w:t>
      </w:r>
      <w:r>
        <w:rPr>
          <w:color w:val="231F20"/>
          <w:spacing w:val="-4"/>
        </w:rPr>
        <w:t>d’Ivoire</w:t>
      </w:r>
      <w:r>
        <w:rPr>
          <w:color w:val="231F20"/>
          <w:spacing w:val="-7"/>
        </w:rPr>
        <w:t> </w:t>
      </w:r>
      <w:r>
        <w:rPr>
          <w:color w:val="231F20"/>
          <w:spacing w:val="-4"/>
        </w:rPr>
        <w:t>au </w:t>
      </w:r>
      <w:r>
        <w:rPr>
          <w:color w:val="231F20"/>
        </w:rPr>
        <w:t>terme</w:t>
      </w:r>
      <w:r>
        <w:rPr>
          <w:color w:val="231F20"/>
          <w:spacing w:val="-3"/>
        </w:rPr>
        <w:t> </w:t>
      </w:r>
      <w:r>
        <w:rPr>
          <w:color w:val="231F20"/>
        </w:rPr>
        <w:t>de</w:t>
      </w:r>
      <w:r>
        <w:rPr>
          <w:color w:val="231F20"/>
          <w:spacing w:val="-3"/>
        </w:rPr>
        <w:t> </w:t>
      </w:r>
      <w:r>
        <w:rPr>
          <w:color w:val="231F20"/>
        </w:rPr>
        <w:t>son</w:t>
      </w:r>
      <w:r>
        <w:rPr>
          <w:color w:val="231F20"/>
          <w:spacing w:val="-5"/>
        </w:rPr>
        <w:t> </w:t>
      </w:r>
      <w:r>
        <w:rPr>
          <w:color w:val="231F20"/>
        </w:rPr>
        <w:t>mandat</w:t>
      </w:r>
      <w:r>
        <w:rPr>
          <w:color w:val="231F20"/>
          <w:spacing w:val="-4"/>
        </w:rPr>
        <w:t> </w:t>
      </w:r>
      <w:r>
        <w:rPr>
          <w:color w:val="231F20"/>
        </w:rPr>
        <w:t>au</w:t>
      </w:r>
      <w:r>
        <w:rPr>
          <w:color w:val="231F20"/>
          <w:spacing w:val="-5"/>
        </w:rPr>
        <w:t> </w:t>
      </w:r>
      <w:r>
        <w:rPr>
          <w:color w:val="231F20"/>
        </w:rPr>
        <w:t>FMI. Il</w:t>
      </w:r>
      <w:r>
        <w:rPr>
          <w:color w:val="231F20"/>
          <w:spacing w:val="-2"/>
        </w:rPr>
        <w:t> </w:t>
      </w:r>
      <w:r>
        <w:rPr>
          <w:color w:val="231F20"/>
        </w:rPr>
        <w:t>est</w:t>
      </w:r>
      <w:r>
        <w:rPr>
          <w:color w:val="231F20"/>
          <w:spacing w:val="-2"/>
        </w:rPr>
        <w:t> </w:t>
      </w:r>
      <w:r>
        <w:rPr>
          <w:color w:val="231F20"/>
        </w:rPr>
        <w:t>élu</w:t>
      </w:r>
      <w:r>
        <w:rPr>
          <w:color w:val="231F20"/>
          <w:spacing w:val="-4"/>
        </w:rPr>
        <w:t> </w:t>
      </w:r>
      <w:r>
        <w:rPr>
          <w:color w:val="231F20"/>
        </w:rPr>
        <w:t>deux</w:t>
      </w:r>
      <w:r>
        <w:rPr>
          <w:color w:val="231F20"/>
          <w:spacing w:val="-5"/>
        </w:rPr>
        <w:t> </w:t>
      </w:r>
      <w:r>
        <w:rPr>
          <w:color w:val="231F20"/>
        </w:rPr>
        <w:t>mois</w:t>
      </w:r>
      <w:r>
        <w:rPr>
          <w:color w:val="231F20"/>
          <w:spacing w:val="-5"/>
        </w:rPr>
        <w:t> </w:t>
      </w:r>
      <w:r>
        <w:rPr>
          <w:color w:val="231F20"/>
        </w:rPr>
        <w:t>plus</w:t>
      </w:r>
      <w:r>
        <w:rPr>
          <w:color w:val="231F20"/>
          <w:spacing w:val="-2"/>
        </w:rPr>
        <w:t> </w:t>
      </w:r>
      <w:r>
        <w:rPr>
          <w:color w:val="231F20"/>
        </w:rPr>
        <w:t>tard,</w:t>
      </w:r>
      <w:r>
        <w:rPr>
          <w:color w:val="231F20"/>
          <w:spacing w:val="-5"/>
        </w:rPr>
        <w:t> </w:t>
      </w:r>
      <w:r>
        <w:rPr>
          <w:color w:val="231F20"/>
        </w:rPr>
        <w:t>à</w:t>
      </w:r>
      <w:r>
        <w:rPr>
          <w:color w:val="231F20"/>
          <w:spacing w:val="-3"/>
        </w:rPr>
        <w:t> </w:t>
      </w:r>
      <w:r>
        <w:rPr>
          <w:color w:val="231F20"/>
        </w:rPr>
        <w:t>la</w:t>
      </w:r>
      <w:r>
        <w:rPr>
          <w:color w:val="231F20"/>
          <w:spacing w:val="-6"/>
        </w:rPr>
        <w:t> </w:t>
      </w:r>
      <w:r>
        <w:rPr>
          <w:color w:val="231F20"/>
        </w:rPr>
        <w:t>tête</w:t>
      </w:r>
      <w:r>
        <w:rPr>
          <w:color w:val="231F20"/>
          <w:spacing w:val="-3"/>
        </w:rPr>
        <w:t> </w:t>
      </w:r>
      <w:r>
        <w:rPr>
          <w:color w:val="231F20"/>
        </w:rPr>
        <w:t>du </w:t>
      </w:r>
      <w:r>
        <w:rPr>
          <w:color w:val="231F20"/>
          <w:spacing w:val="-4"/>
        </w:rPr>
        <w:t>Rassemblement</w:t>
      </w:r>
      <w:r>
        <w:rPr>
          <w:color w:val="231F20"/>
          <w:spacing w:val="-11"/>
        </w:rPr>
        <w:t> </w:t>
      </w:r>
      <w:r>
        <w:rPr>
          <w:color w:val="231F20"/>
          <w:spacing w:val="-4"/>
        </w:rPr>
        <w:t>des</w:t>
      </w:r>
      <w:r>
        <w:rPr>
          <w:color w:val="231F20"/>
          <w:spacing w:val="-11"/>
        </w:rPr>
        <w:t> </w:t>
      </w:r>
      <w:r>
        <w:rPr>
          <w:color w:val="231F20"/>
          <w:spacing w:val="-4"/>
        </w:rPr>
        <w:t>Républicains</w:t>
      </w:r>
      <w:r>
        <w:rPr>
          <w:color w:val="231F20"/>
          <w:spacing w:val="-8"/>
        </w:rPr>
        <w:t> </w:t>
      </w:r>
      <w:r>
        <w:rPr>
          <w:color w:val="231F20"/>
          <w:spacing w:val="-4"/>
        </w:rPr>
        <w:t>(RDR).</w:t>
      </w:r>
      <w:r>
        <w:rPr>
          <w:color w:val="231F20"/>
          <w:spacing w:val="-8"/>
        </w:rPr>
        <w:t> </w:t>
      </w:r>
      <w:r>
        <w:rPr>
          <w:color w:val="231F20"/>
          <w:spacing w:val="-4"/>
        </w:rPr>
        <w:t>Il</w:t>
      </w:r>
      <w:r>
        <w:rPr>
          <w:color w:val="231F20"/>
          <w:spacing w:val="-7"/>
        </w:rPr>
        <w:t> </w:t>
      </w:r>
      <w:r>
        <w:rPr>
          <w:color w:val="231F20"/>
          <w:spacing w:val="-4"/>
        </w:rPr>
        <w:t>a</w:t>
      </w:r>
      <w:r>
        <w:rPr>
          <w:color w:val="231F20"/>
          <w:spacing w:val="-10"/>
        </w:rPr>
        <w:t> </w:t>
      </w:r>
      <w:r>
        <w:rPr>
          <w:color w:val="231F20"/>
          <w:spacing w:val="-4"/>
        </w:rPr>
        <w:t>désormais</w:t>
      </w:r>
      <w:r>
        <w:rPr>
          <w:color w:val="231F20"/>
          <w:spacing w:val="-11"/>
        </w:rPr>
        <w:t> </w:t>
      </w:r>
      <w:r>
        <w:rPr>
          <w:color w:val="231F20"/>
          <w:spacing w:val="-4"/>
        </w:rPr>
        <w:t>un</w:t>
      </w:r>
      <w:r>
        <w:rPr>
          <w:color w:val="231F20"/>
          <w:spacing w:val="-11"/>
        </w:rPr>
        <w:t> </w:t>
      </w:r>
      <w:r>
        <w:rPr>
          <w:color w:val="231F20"/>
          <w:spacing w:val="-4"/>
        </w:rPr>
        <w:t>parti</w:t>
      </w:r>
      <w:r>
        <w:rPr>
          <w:color w:val="231F20"/>
          <w:spacing w:val="-11"/>
        </w:rPr>
        <w:t> </w:t>
      </w:r>
      <w:r>
        <w:rPr>
          <w:color w:val="231F20"/>
          <w:spacing w:val="-4"/>
        </w:rPr>
        <w:t>politique </w:t>
      </w:r>
      <w:r>
        <w:rPr>
          <w:color w:val="231F20"/>
        </w:rPr>
        <w:t>pour mener son combat et dans la foulée, annonce sa candidature à la </w:t>
      </w:r>
      <w:r>
        <w:rPr>
          <w:color w:val="231F20"/>
          <w:spacing w:val="-2"/>
        </w:rPr>
        <w:t>présidentielle.</w:t>
      </w:r>
      <w:r>
        <w:rPr>
          <w:color w:val="231F20"/>
          <w:spacing w:val="-15"/>
        </w:rPr>
        <w:t> </w:t>
      </w:r>
      <w:r>
        <w:rPr>
          <w:color w:val="231F20"/>
          <w:spacing w:val="-2"/>
        </w:rPr>
        <w:t>Aussitôt,</w:t>
      </w:r>
      <w:r>
        <w:rPr>
          <w:color w:val="231F20"/>
          <w:spacing w:val="-13"/>
        </w:rPr>
        <w:t> </w:t>
      </w:r>
      <w:r>
        <w:rPr>
          <w:color w:val="231F20"/>
          <w:spacing w:val="-2"/>
        </w:rPr>
        <w:t>la</w:t>
      </w:r>
      <w:r>
        <w:rPr>
          <w:color w:val="231F20"/>
          <w:spacing w:val="-13"/>
        </w:rPr>
        <w:t> </w:t>
      </w:r>
      <w:r>
        <w:rPr>
          <w:color w:val="231F20"/>
          <w:spacing w:val="-2"/>
        </w:rPr>
        <w:t>vie</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nation</w:t>
      </w:r>
      <w:r>
        <w:rPr>
          <w:color w:val="231F20"/>
          <w:spacing w:val="-13"/>
        </w:rPr>
        <w:t> </w:t>
      </w:r>
      <w:r>
        <w:rPr>
          <w:color w:val="231F20"/>
          <w:spacing w:val="-2"/>
        </w:rPr>
        <w:t>s’arrête</w:t>
      </w:r>
      <w:r>
        <w:rPr>
          <w:color w:val="231F20"/>
          <w:spacing w:val="-13"/>
        </w:rPr>
        <w:t> </w:t>
      </w:r>
      <w:r>
        <w:rPr>
          <w:color w:val="231F20"/>
          <w:spacing w:val="-2"/>
        </w:rPr>
        <w:t>pour</w:t>
      </w:r>
      <w:r>
        <w:rPr>
          <w:color w:val="231F20"/>
          <w:spacing w:val="-13"/>
        </w:rPr>
        <w:t> </w:t>
      </w:r>
      <w:r>
        <w:rPr>
          <w:color w:val="231F20"/>
          <w:spacing w:val="-2"/>
        </w:rPr>
        <w:t>se</w:t>
      </w:r>
      <w:r>
        <w:rPr>
          <w:color w:val="231F20"/>
          <w:spacing w:val="-13"/>
        </w:rPr>
        <w:t> </w:t>
      </w:r>
      <w:r>
        <w:rPr>
          <w:color w:val="231F20"/>
          <w:spacing w:val="-2"/>
        </w:rPr>
        <w:t>focaliser</w:t>
      </w:r>
      <w:r>
        <w:rPr>
          <w:color w:val="231F20"/>
          <w:spacing w:val="-13"/>
        </w:rPr>
        <w:t> </w:t>
      </w:r>
      <w:r>
        <w:rPr>
          <w:color w:val="231F20"/>
          <w:spacing w:val="-2"/>
        </w:rPr>
        <w:t>sur</w:t>
      </w:r>
      <w:r>
        <w:rPr>
          <w:color w:val="231F20"/>
          <w:spacing w:val="-13"/>
        </w:rPr>
        <w:t> </w:t>
      </w:r>
      <w:r>
        <w:rPr>
          <w:color w:val="231F20"/>
          <w:spacing w:val="-2"/>
        </w:rPr>
        <w:t>sa </w:t>
      </w:r>
      <w:r>
        <w:rPr>
          <w:color w:val="231F20"/>
        </w:rPr>
        <w:t>nationalité.</w:t>
      </w:r>
      <w:r>
        <w:rPr>
          <w:color w:val="231F20"/>
          <w:spacing w:val="-4"/>
        </w:rPr>
        <w:t> </w:t>
      </w:r>
      <w:r>
        <w:rPr>
          <w:color w:val="231F20"/>
        </w:rPr>
        <w:t>Les</w:t>
      </w:r>
      <w:r>
        <w:rPr>
          <w:color w:val="231F20"/>
          <w:spacing w:val="-4"/>
        </w:rPr>
        <w:t> </w:t>
      </w:r>
      <w:r>
        <w:rPr>
          <w:color w:val="231F20"/>
        </w:rPr>
        <w:t>camps</w:t>
      </w:r>
      <w:r>
        <w:rPr>
          <w:color w:val="231F20"/>
          <w:spacing w:val="-4"/>
        </w:rPr>
        <w:t> </w:t>
      </w:r>
      <w:r>
        <w:rPr>
          <w:color w:val="231F20"/>
        </w:rPr>
        <w:t>sont</w:t>
      </w:r>
      <w:r>
        <w:rPr>
          <w:color w:val="231F20"/>
          <w:spacing w:val="-3"/>
        </w:rPr>
        <w:t> </w:t>
      </w:r>
      <w:r>
        <w:rPr>
          <w:color w:val="231F20"/>
        </w:rPr>
        <w:t>tranchés.</w:t>
      </w:r>
      <w:r>
        <w:rPr>
          <w:color w:val="231F20"/>
          <w:spacing w:val="-4"/>
        </w:rPr>
        <w:t> </w:t>
      </w:r>
      <w:r>
        <w:rPr>
          <w:color w:val="231F20"/>
        </w:rPr>
        <w:t>Le</w:t>
      </w:r>
      <w:r>
        <w:rPr>
          <w:color w:val="231F20"/>
          <w:spacing w:val="-5"/>
        </w:rPr>
        <w:t> </w:t>
      </w:r>
      <w:r>
        <w:rPr>
          <w:color w:val="231F20"/>
        </w:rPr>
        <w:t>pouvoir</w:t>
      </w:r>
      <w:r>
        <w:rPr>
          <w:color w:val="231F20"/>
          <w:spacing w:val="-5"/>
        </w:rPr>
        <w:t> </w:t>
      </w:r>
      <w:r>
        <w:rPr>
          <w:color w:val="231F20"/>
        </w:rPr>
        <w:t>s’évertue</w:t>
      </w:r>
      <w:r>
        <w:rPr>
          <w:color w:val="231F20"/>
          <w:spacing w:val="-2"/>
        </w:rPr>
        <w:t> </w:t>
      </w:r>
      <w:r>
        <w:rPr>
          <w:color w:val="231F20"/>
        </w:rPr>
        <w:t>à</w:t>
      </w:r>
      <w:r>
        <w:rPr>
          <w:color w:val="231F20"/>
          <w:spacing w:val="-5"/>
        </w:rPr>
        <w:t> </w:t>
      </w:r>
      <w:r>
        <w:rPr>
          <w:color w:val="231F20"/>
        </w:rPr>
        <w:t>démontrer documents administratifs à l’appui, que Ouattara n’a pas la nationalité </w:t>
      </w:r>
      <w:r>
        <w:rPr>
          <w:color w:val="231F20"/>
          <w:spacing w:val="-4"/>
        </w:rPr>
        <w:t>ivoirienne</w:t>
      </w:r>
      <w:r>
        <w:rPr>
          <w:color w:val="231F20"/>
          <w:spacing w:val="-11"/>
        </w:rPr>
        <w:t> </w:t>
      </w:r>
      <w:r>
        <w:rPr>
          <w:color w:val="231F20"/>
          <w:spacing w:val="-4"/>
        </w:rPr>
        <w:t>mais</w:t>
      </w:r>
      <w:r>
        <w:rPr>
          <w:color w:val="231F20"/>
          <w:spacing w:val="-11"/>
        </w:rPr>
        <w:t> </w:t>
      </w:r>
      <w:r>
        <w:rPr>
          <w:color w:val="231F20"/>
          <w:spacing w:val="-4"/>
        </w:rPr>
        <w:t>burkinabé.</w:t>
      </w:r>
      <w:r>
        <w:rPr>
          <w:color w:val="231F20"/>
          <w:spacing w:val="-11"/>
        </w:rPr>
        <w:t> </w:t>
      </w:r>
      <w:r>
        <w:rPr>
          <w:color w:val="231F20"/>
          <w:spacing w:val="-4"/>
        </w:rPr>
        <w:t>Et</w:t>
      </w:r>
      <w:r>
        <w:rPr>
          <w:color w:val="231F20"/>
          <w:spacing w:val="-11"/>
        </w:rPr>
        <w:t> </w:t>
      </w:r>
      <w:r>
        <w:rPr>
          <w:color w:val="231F20"/>
          <w:spacing w:val="-4"/>
        </w:rPr>
        <w:t>qu’il</w:t>
      </w:r>
      <w:r>
        <w:rPr>
          <w:color w:val="231F20"/>
          <w:spacing w:val="-11"/>
        </w:rPr>
        <w:t> </w:t>
      </w:r>
      <w:r>
        <w:rPr>
          <w:color w:val="231F20"/>
          <w:spacing w:val="-4"/>
        </w:rPr>
        <w:t>ne</w:t>
      </w:r>
      <w:r>
        <w:rPr>
          <w:color w:val="231F20"/>
          <w:spacing w:val="-11"/>
        </w:rPr>
        <w:t> </w:t>
      </w:r>
      <w:r>
        <w:rPr>
          <w:color w:val="231F20"/>
          <w:spacing w:val="-4"/>
        </w:rPr>
        <w:t>peut</w:t>
      </w:r>
      <w:r>
        <w:rPr>
          <w:color w:val="231F20"/>
          <w:spacing w:val="-11"/>
        </w:rPr>
        <w:t> </w:t>
      </w:r>
      <w:r>
        <w:rPr>
          <w:color w:val="231F20"/>
          <w:spacing w:val="-4"/>
        </w:rPr>
        <w:t>donc</w:t>
      </w:r>
      <w:r>
        <w:rPr>
          <w:color w:val="231F20"/>
          <w:spacing w:val="-11"/>
        </w:rPr>
        <w:t> </w:t>
      </w:r>
      <w:r>
        <w:rPr>
          <w:color w:val="231F20"/>
          <w:spacing w:val="-4"/>
        </w:rPr>
        <w:t>pas</w:t>
      </w:r>
      <w:r>
        <w:rPr>
          <w:color w:val="231F20"/>
          <w:spacing w:val="-11"/>
        </w:rPr>
        <w:t> </w:t>
      </w:r>
      <w:r>
        <w:rPr>
          <w:color w:val="231F20"/>
          <w:spacing w:val="-4"/>
        </w:rPr>
        <w:t>briguer</w:t>
      </w:r>
      <w:r>
        <w:rPr>
          <w:color w:val="231F20"/>
          <w:spacing w:val="-11"/>
        </w:rPr>
        <w:t> </w:t>
      </w:r>
      <w:r>
        <w:rPr>
          <w:color w:val="231F20"/>
          <w:spacing w:val="-4"/>
        </w:rPr>
        <w:t>la</w:t>
      </w:r>
      <w:r>
        <w:rPr>
          <w:color w:val="231F20"/>
          <w:spacing w:val="-11"/>
        </w:rPr>
        <w:t> </w:t>
      </w:r>
      <w:r>
        <w:rPr>
          <w:color w:val="231F20"/>
          <w:spacing w:val="-4"/>
        </w:rPr>
        <w:t>présidence. Le 6 octobre</w:t>
      </w:r>
      <w:r>
        <w:rPr>
          <w:color w:val="231F20"/>
          <w:spacing w:val="-7"/>
        </w:rPr>
        <w:t> </w:t>
      </w:r>
      <w:r>
        <w:rPr>
          <w:color w:val="231F20"/>
          <w:spacing w:val="-4"/>
        </w:rPr>
        <w:t>de l’année,</w:t>
      </w:r>
      <w:r>
        <w:rPr>
          <w:color w:val="231F20"/>
          <w:spacing w:val="-7"/>
        </w:rPr>
        <w:t> </w:t>
      </w:r>
      <w:r>
        <w:rPr>
          <w:color w:val="231F20"/>
          <w:spacing w:val="-4"/>
        </w:rPr>
        <w:t>le certificat de</w:t>
      </w:r>
      <w:r>
        <w:rPr>
          <w:color w:val="231F20"/>
          <w:spacing w:val="-7"/>
        </w:rPr>
        <w:t> </w:t>
      </w:r>
      <w:r>
        <w:rPr>
          <w:color w:val="231F20"/>
          <w:spacing w:val="-4"/>
        </w:rPr>
        <w:t>nationalité</w:t>
      </w:r>
      <w:r>
        <w:rPr>
          <w:color w:val="231F20"/>
          <w:spacing w:val="-7"/>
        </w:rPr>
        <w:t> </w:t>
      </w:r>
      <w:r>
        <w:rPr>
          <w:color w:val="231F20"/>
          <w:spacing w:val="-4"/>
        </w:rPr>
        <w:t>ivoirienne</w:t>
      </w:r>
      <w:r>
        <w:rPr>
          <w:color w:val="231F20"/>
          <w:spacing w:val="-7"/>
        </w:rPr>
        <w:t> </w:t>
      </w:r>
      <w:r>
        <w:rPr>
          <w:color w:val="231F20"/>
          <w:spacing w:val="-4"/>
        </w:rPr>
        <w:t>délivré pour </w:t>
      </w:r>
      <w:r>
        <w:rPr>
          <w:color w:val="231F20"/>
        </w:rPr>
        <w:t>valider</w:t>
      </w:r>
      <w:r>
        <w:rPr>
          <w:color w:val="231F20"/>
          <w:spacing w:val="-6"/>
        </w:rPr>
        <w:t> </w:t>
      </w:r>
      <w:r>
        <w:rPr>
          <w:color w:val="231F20"/>
        </w:rPr>
        <w:t>son</w:t>
      </w:r>
      <w:r>
        <w:rPr>
          <w:color w:val="231F20"/>
          <w:spacing w:val="-4"/>
        </w:rPr>
        <w:t> </w:t>
      </w:r>
      <w:r>
        <w:rPr>
          <w:color w:val="231F20"/>
        </w:rPr>
        <w:t>élection</w:t>
      </w:r>
      <w:r>
        <w:rPr>
          <w:color w:val="231F20"/>
          <w:spacing w:val="-4"/>
        </w:rPr>
        <w:t> </w:t>
      </w:r>
      <w:r>
        <w:rPr>
          <w:color w:val="231F20"/>
        </w:rPr>
        <w:t>à</w:t>
      </w:r>
      <w:r>
        <w:rPr>
          <w:color w:val="231F20"/>
          <w:spacing w:val="-6"/>
        </w:rPr>
        <w:t> </w:t>
      </w:r>
      <w:r>
        <w:rPr>
          <w:color w:val="231F20"/>
        </w:rPr>
        <w:t>la</w:t>
      </w:r>
      <w:r>
        <w:rPr>
          <w:color w:val="231F20"/>
          <w:spacing w:val="-3"/>
        </w:rPr>
        <w:t> </w:t>
      </w:r>
      <w:r>
        <w:rPr>
          <w:color w:val="231F20"/>
        </w:rPr>
        <w:t>tête</w:t>
      </w:r>
      <w:r>
        <w:rPr>
          <w:color w:val="231F20"/>
          <w:spacing w:val="-3"/>
        </w:rPr>
        <w:t> </w:t>
      </w:r>
      <w:r>
        <w:rPr>
          <w:color w:val="231F20"/>
        </w:rPr>
        <w:t>du</w:t>
      </w:r>
      <w:r>
        <w:rPr>
          <w:color w:val="231F20"/>
          <w:spacing w:val="-7"/>
        </w:rPr>
        <w:t> </w:t>
      </w:r>
      <w:r>
        <w:rPr>
          <w:color w:val="231F20"/>
        </w:rPr>
        <w:t>RDR</w:t>
      </w:r>
      <w:r>
        <w:rPr>
          <w:color w:val="231F20"/>
          <w:spacing w:val="-5"/>
        </w:rPr>
        <w:t> </w:t>
      </w:r>
      <w:r>
        <w:rPr>
          <w:color w:val="231F20"/>
        </w:rPr>
        <w:t>est</w:t>
      </w:r>
      <w:r>
        <w:rPr>
          <w:color w:val="231F20"/>
          <w:spacing w:val="-5"/>
        </w:rPr>
        <w:t> </w:t>
      </w:r>
      <w:r>
        <w:rPr>
          <w:color w:val="231F20"/>
        </w:rPr>
        <w:t>annulé</w:t>
      </w:r>
      <w:r>
        <w:rPr>
          <w:color w:val="231F20"/>
          <w:spacing w:val="-4"/>
        </w:rPr>
        <w:t> </w:t>
      </w:r>
      <w:r>
        <w:rPr>
          <w:color w:val="231F20"/>
        </w:rPr>
        <w:t>par</w:t>
      </w:r>
      <w:r>
        <w:rPr>
          <w:color w:val="231F20"/>
          <w:spacing w:val="-6"/>
        </w:rPr>
        <w:t> </w:t>
      </w:r>
      <w:r>
        <w:rPr>
          <w:color w:val="231F20"/>
        </w:rPr>
        <w:t>la</w:t>
      </w:r>
      <w:r>
        <w:rPr>
          <w:color w:val="231F20"/>
          <w:spacing w:val="-4"/>
        </w:rPr>
        <w:t> </w:t>
      </w:r>
      <w:r>
        <w:rPr>
          <w:color w:val="231F20"/>
        </w:rPr>
        <w:t>justice.</w:t>
      </w:r>
    </w:p>
    <w:p>
      <w:pPr>
        <w:spacing w:after="0"/>
        <w:sectPr>
          <w:pgSz w:w="8790" w:h="13610"/>
          <w:pgMar w:header="0" w:footer="802" w:top="1040" w:bottom="1000" w:left="880" w:right="880"/>
        </w:sectPr>
      </w:pPr>
    </w:p>
    <w:p>
      <w:pPr>
        <w:pStyle w:val="BodyText"/>
        <w:spacing w:before="66"/>
        <w:ind w:right="102" w:firstLine="283"/>
        <w:rPr>
          <w:i/>
        </w:rPr>
      </w:pPr>
      <w:r>
        <w:rPr>
          <w:color w:val="231F20"/>
        </w:rPr>
        <w:t>Les partisans de l’ancien Premier Ministre organisent un sit-in qui </w:t>
      </w:r>
      <w:r>
        <w:rPr>
          <w:color w:val="231F20"/>
          <w:spacing w:val="-4"/>
        </w:rPr>
        <w:t>dégénère</w:t>
      </w:r>
      <w:r>
        <w:rPr>
          <w:color w:val="231F20"/>
          <w:spacing w:val="-8"/>
        </w:rPr>
        <w:t> </w:t>
      </w:r>
      <w:r>
        <w:rPr>
          <w:color w:val="231F20"/>
          <w:spacing w:val="-4"/>
        </w:rPr>
        <w:t>en</w:t>
      </w:r>
      <w:r>
        <w:rPr>
          <w:color w:val="231F20"/>
          <w:spacing w:val="-8"/>
        </w:rPr>
        <w:t> </w:t>
      </w:r>
      <w:r>
        <w:rPr>
          <w:color w:val="231F20"/>
          <w:spacing w:val="-4"/>
        </w:rPr>
        <w:t>casse.</w:t>
      </w:r>
      <w:r>
        <w:rPr>
          <w:color w:val="231F20"/>
          <w:spacing w:val="-10"/>
        </w:rPr>
        <w:t> </w:t>
      </w:r>
      <w:r>
        <w:rPr>
          <w:color w:val="231F20"/>
          <w:spacing w:val="-4"/>
        </w:rPr>
        <w:t>Le</w:t>
      </w:r>
      <w:r>
        <w:rPr>
          <w:color w:val="231F20"/>
          <w:spacing w:val="-8"/>
        </w:rPr>
        <w:t> </w:t>
      </w:r>
      <w:r>
        <w:rPr>
          <w:color w:val="231F20"/>
          <w:spacing w:val="-4"/>
        </w:rPr>
        <w:t>pouvoir</w:t>
      </w:r>
      <w:r>
        <w:rPr>
          <w:color w:val="231F20"/>
          <w:spacing w:val="-10"/>
        </w:rPr>
        <w:t> </w:t>
      </w:r>
      <w:r>
        <w:rPr>
          <w:color w:val="231F20"/>
          <w:spacing w:val="-4"/>
        </w:rPr>
        <w:t>se</w:t>
      </w:r>
      <w:r>
        <w:rPr>
          <w:color w:val="231F20"/>
          <w:spacing w:val="-10"/>
        </w:rPr>
        <w:t> </w:t>
      </w:r>
      <w:r>
        <w:rPr>
          <w:color w:val="231F20"/>
          <w:spacing w:val="-4"/>
        </w:rPr>
        <w:t>sert</w:t>
      </w:r>
      <w:r>
        <w:rPr>
          <w:color w:val="231F20"/>
          <w:spacing w:val="-9"/>
        </w:rPr>
        <w:t> </w:t>
      </w:r>
      <w:r>
        <w:rPr>
          <w:color w:val="231F20"/>
          <w:spacing w:val="-4"/>
        </w:rPr>
        <w:t>de</w:t>
      </w:r>
      <w:r>
        <w:rPr>
          <w:color w:val="231F20"/>
          <w:spacing w:val="-11"/>
        </w:rPr>
        <w:t> </w:t>
      </w:r>
      <w:r>
        <w:rPr>
          <w:color w:val="231F20"/>
          <w:spacing w:val="-4"/>
        </w:rPr>
        <w:t>la</w:t>
      </w:r>
      <w:r>
        <w:rPr>
          <w:color w:val="231F20"/>
          <w:spacing w:val="-9"/>
        </w:rPr>
        <w:t> </w:t>
      </w:r>
      <w:r>
        <w:rPr>
          <w:color w:val="231F20"/>
          <w:spacing w:val="-4"/>
        </w:rPr>
        <w:t>loi</w:t>
      </w:r>
      <w:r>
        <w:rPr>
          <w:color w:val="231F20"/>
          <w:spacing w:val="-9"/>
        </w:rPr>
        <w:t> </w:t>
      </w:r>
      <w:r>
        <w:rPr>
          <w:color w:val="231F20"/>
          <w:spacing w:val="-4"/>
        </w:rPr>
        <w:t>«</w:t>
      </w:r>
      <w:r>
        <w:rPr>
          <w:color w:val="231F20"/>
        </w:rPr>
        <w:t> </w:t>
      </w:r>
      <w:r>
        <w:rPr>
          <w:color w:val="231F20"/>
          <w:spacing w:val="-4"/>
        </w:rPr>
        <w:t>anti</w:t>
      </w:r>
      <w:r>
        <w:rPr>
          <w:color w:val="231F20"/>
          <w:spacing w:val="-9"/>
        </w:rPr>
        <w:t> </w:t>
      </w:r>
      <w:r>
        <w:rPr>
          <w:color w:val="231F20"/>
          <w:spacing w:val="-4"/>
        </w:rPr>
        <w:t>casseurs</w:t>
      </w:r>
      <w:r>
        <w:rPr>
          <w:color w:val="231F20"/>
        </w:rPr>
        <w:t> </w:t>
      </w:r>
      <w:r>
        <w:rPr>
          <w:color w:val="231F20"/>
          <w:spacing w:val="-4"/>
        </w:rPr>
        <w:t>»</w:t>
      </w:r>
      <w:r>
        <w:rPr>
          <w:color w:val="231F20"/>
          <w:spacing w:val="-9"/>
        </w:rPr>
        <w:t> </w:t>
      </w:r>
      <w:r>
        <w:rPr>
          <w:color w:val="231F20"/>
          <w:spacing w:val="-4"/>
        </w:rPr>
        <w:t>sucitée</w:t>
      </w:r>
      <w:r>
        <w:rPr>
          <w:color w:val="231F20"/>
          <w:spacing w:val="-8"/>
        </w:rPr>
        <w:t> </w:t>
      </w:r>
      <w:r>
        <w:rPr>
          <w:color w:val="231F20"/>
          <w:spacing w:val="-4"/>
        </w:rPr>
        <w:t>par </w:t>
      </w:r>
      <w:r>
        <w:rPr>
          <w:color w:val="231F20"/>
          <w:spacing w:val="-2"/>
        </w:rPr>
        <w:t>Alassane</w:t>
      </w:r>
      <w:r>
        <w:rPr>
          <w:color w:val="231F20"/>
          <w:spacing w:val="-15"/>
        </w:rPr>
        <w:t> </w:t>
      </w:r>
      <w:r>
        <w:rPr>
          <w:color w:val="231F20"/>
          <w:spacing w:val="-2"/>
        </w:rPr>
        <w:t>Ouattara</w:t>
      </w:r>
      <w:r>
        <w:rPr>
          <w:color w:val="231F20"/>
          <w:spacing w:val="-13"/>
        </w:rPr>
        <w:t> </w:t>
      </w:r>
      <w:r>
        <w:rPr>
          <w:color w:val="231F20"/>
          <w:spacing w:val="-2"/>
        </w:rPr>
        <w:t>en</w:t>
      </w:r>
      <w:r>
        <w:rPr>
          <w:color w:val="231F20"/>
          <w:spacing w:val="-13"/>
        </w:rPr>
        <w:t> </w:t>
      </w:r>
      <w:r>
        <w:rPr>
          <w:color w:val="231F20"/>
          <w:spacing w:val="-2"/>
        </w:rPr>
        <w:t>1992</w:t>
      </w:r>
      <w:r>
        <w:rPr>
          <w:color w:val="231F20"/>
          <w:spacing w:val="-13"/>
        </w:rPr>
        <w:t> </w:t>
      </w:r>
      <w:r>
        <w:rPr>
          <w:color w:val="231F20"/>
          <w:spacing w:val="-2"/>
        </w:rPr>
        <w:t>et</w:t>
      </w:r>
      <w:r>
        <w:rPr>
          <w:color w:val="231F20"/>
          <w:spacing w:val="-13"/>
        </w:rPr>
        <w:t> </w:t>
      </w:r>
      <w:r>
        <w:rPr>
          <w:color w:val="231F20"/>
          <w:spacing w:val="-2"/>
        </w:rPr>
        <w:t>qui</w:t>
      </w:r>
      <w:r>
        <w:rPr>
          <w:color w:val="231F20"/>
          <w:spacing w:val="-13"/>
        </w:rPr>
        <w:t> </w:t>
      </w:r>
      <w:r>
        <w:rPr>
          <w:color w:val="231F20"/>
          <w:spacing w:val="-2"/>
        </w:rPr>
        <w:t>a</w:t>
      </w:r>
      <w:r>
        <w:rPr>
          <w:color w:val="231F20"/>
          <w:spacing w:val="-13"/>
        </w:rPr>
        <w:t> </w:t>
      </w:r>
      <w:r>
        <w:rPr>
          <w:color w:val="231F20"/>
          <w:spacing w:val="-2"/>
        </w:rPr>
        <w:t>servi</w:t>
      </w:r>
      <w:r>
        <w:rPr>
          <w:color w:val="231F20"/>
          <w:spacing w:val="-13"/>
        </w:rPr>
        <w:t> </w:t>
      </w:r>
      <w:r>
        <w:rPr>
          <w:color w:val="231F20"/>
          <w:spacing w:val="-2"/>
        </w:rPr>
        <w:t>à</w:t>
      </w:r>
      <w:r>
        <w:rPr>
          <w:color w:val="231F20"/>
          <w:spacing w:val="-13"/>
        </w:rPr>
        <w:t> </w:t>
      </w:r>
      <w:r>
        <w:rPr>
          <w:color w:val="231F20"/>
          <w:spacing w:val="-2"/>
        </w:rPr>
        <w:t>jeter</w:t>
      </w:r>
      <w:r>
        <w:rPr>
          <w:color w:val="231F20"/>
          <w:spacing w:val="-13"/>
        </w:rPr>
        <w:t> </w:t>
      </w:r>
      <w:r>
        <w:rPr>
          <w:color w:val="231F20"/>
          <w:spacing w:val="-2"/>
        </w:rPr>
        <w:t>en</w:t>
      </w:r>
      <w:r>
        <w:rPr>
          <w:color w:val="231F20"/>
          <w:spacing w:val="-13"/>
        </w:rPr>
        <w:t> </w:t>
      </w:r>
      <w:r>
        <w:rPr>
          <w:color w:val="231F20"/>
          <w:spacing w:val="-2"/>
        </w:rPr>
        <w:t>prison</w:t>
      </w:r>
      <w:r>
        <w:rPr>
          <w:color w:val="231F20"/>
          <w:spacing w:val="-13"/>
        </w:rPr>
        <w:t> </w:t>
      </w:r>
      <w:r>
        <w:rPr>
          <w:color w:val="231F20"/>
          <w:spacing w:val="-2"/>
        </w:rPr>
        <w:t>les</w:t>
      </w:r>
      <w:r>
        <w:rPr>
          <w:color w:val="231F20"/>
          <w:spacing w:val="-13"/>
        </w:rPr>
        <w:t> </w:t>
      </w:r>
      <w:r>
        <w:rPr>
          <w:color w:val="231F20"/>
          <w:spacing w:val="-2"/>
        </w:rPr>
        <w:t>dirigeants</w:t>
      </w:r>
      <w:r>
        <w:rPr>
          <w:color w:val="231F20"/>
          <w:spacing w:val="-13"/>
        </w:rPr>
        <w:t> </w:t>
      </w:r>
      <w:r>
        <w:rPr>
          <w:color w:val="231F20"/>
          <w:spacing w:val="-2"/>
        </w:rPr>
        <w:t>du FPI</w:t>
      </w:r>
      <w:r>
        <w:rPr>
          <w:color w:val="231F20"/>
          <w:spacing w:val="-13"/>
        </w:rPr>
        <w:t> </w:t>
      </w:r>
      <w:r>
        <w:rPr>
          <w:color w:val="231F20"/>
          <w:spacing w:val="-2"/>
        </w:rPr>
        <w:t>:</w:t>
      </w:r>
      <w:r>
        <w:rPr>
          <w:color w:val="231F20"/>
          <w:spacing w:val="-10"/>
        </w:rPr>
        <w:t> </w:t>
      </w:r>
      <w:r>
        <w:rPr>
          <w:color w:val="231F20"/>
          <w:spacing w:val="-2"/>
        </w:rPr>
        <w:t>plusieurs</w:t>
      </w:r>
      <w:r>
        <w:rPr>
          <w:color w:val="231F20"/>
          <w:spacing w:val="-10"/>
        </w:rPr>
        <w:t> </w:t>
      </w:r>
      <w:r>
        <w:rPr>
          <w:color w:val="231F20"/>
          <w:spacing w:val="-2"/>
        </w:rPr>
        <w:t>responsables</w:t>
      </w:r>
      <w:r>
        <w:rPr>
          <w:color w:val="231F20"/>
          <w:spacing w:val="-10"/>
        </w:rPr>
        <w:t> </w:t>
      </w:r>
      <w:r>
        <w:rPr>
          <w:color w:val="231F20"/>
          <w:spacing w:val="-2"/>
        </w:rPr>
        <w:t>du</w:t>
      </w:r>
      <w:r>
        <w:rPr>
          <w:color w:val="231F20"/>
          <w:spacing w:val="-13"/>
        </w:rPr>
        <w:t> </w:t>
      </w:r>
      <w:r>
        <w:rPr>
          <w:color w:val="231F20"/>
          <w:spacing w:val="-2"/>
        </w:rPr>
        <w:t>RDR</w:t>
      </w:r>
      <w:r>
        <w:rPr>
          <w:color w:val="231F20"/>
          <w:spacing w:val="-13"/>
        </w:rPr>
        <w:t> </w:t>
      </w:r>
      <w:r>
        <w:rPr>
          <w:color w:val="231F20"/>
          <w:spacing w:val="-2"/>
        </w:rPr>
        <w:t>sont</w:t>
      </w:r>
      <w:r>
        <w:rPr>
          <w:color w:val="231F20"/>
          <w:spacing w:val="-10"/>
        </w:rPr>
        <w:t> </w:t>
      </w:r>
      <w:r>
        <w:rPr>
          <w:color w:val="231F20"/>
          <w:spacing w:val="-2"/>
        </w:rPr>
        <w:t>condamnés</w:t>
      </w:r>
      <w:r>
        <w:rPr>
          <w:color w:val="231F20"/>
          <w:spacing w:val="-10"/>
        </w:rPr>
        <w:t> </w:t>
      </w:r>
      <w:r>
        <w:rPr>
          <w:color w:val="231F20"/>
          <w:spacing w:val="-2"/>
        </w:rPr>
        <w:t>et</w:t>
      </w:r>
      <w:r>
        <w:rPr>
          <w:color w:val="231F20"/>
          <w:spacing w:val="-12"/>
        </w:rPr>
        <w:t> </w:t>
      </w:r>
      <w:r>
        <w:rPr>
          <w:color w:val="231F20"/>
          <w:spacing w:val="-2"/>
        </w:rPr>
        <w:t>mis</w:t>
      </w:r>
      <w:r>
        <w:rPr>
          <w:color w:val="231F20"/>
          <w:spacing w:val="-10"/>
        </w:rPr>
        <w:t> </w:t>
      </w:r>
      <w:r>
        <w:rPr>
          <w:color w:val="231F20"/>
          <w:spacing w:val="-2"/>
        </w:rPr>
        <w:t>en</w:t>
      </w:r>
      <w:r>
        <w:rPr>
          <w:color w:val="231F20"/>
          <w:spacing w:val="-13"/>
        </w:rPr>
        <w:t> </w:t>
      </w:r>
      <w:r>
        <w:rPr>
          <w:color w:val="231F20"/>
          <w:spacing w:val="-2"/>
        </w:rPr>
        <w:t>prison.</w:t>
      </w:r>
      <w:r>
        <w:rPr>
          <w:color w:val="231F20"/>
          <w:spacing w:val="-9"/>
        </w:rPr>
        <w:t> </w:t>
      </w:r>
      <w:r>
        <w:rPr>
          <w:color w:val="231F20"/>
          <w:spacing w:val="-2"/>
        </w:rPr>
        <w:t>À </w:t>
      </w:r>
      <w:r>
        <w:rPr>
          <w:color w:val="231F20"/>
        </w:rPr>
        <w:t>Paris où Ouattara s’est retranché, il réaffirme qu’il est de nationalité ivoirienne et qu’il se présentera à la présidentielle de 2000. Le 22 septembre</w:t>
      </w:r>
      <w:r>
        <w:rPr>
          <w:color w:val="231F20"/>
          <w:spacing w:val="-15"/>
        </w:rPr>
        <w:t> </w:t>
      </w:r>
      <w:r>
        <w:rPr>
          <w:color w:val="231F20"/>
        </w:rPr>
        <w:t>1999,</w:t>
      </w:r>
      <w:r>
        <w:rPr>
          <w:color w:val="231F20"/>
          <w:spacing w:val="-15"/>
        </w:rPr>
        <w:t> </w:t>
      </w:r>
      <w:r>
        <w:rPr>
          <w:color w:val="231F20"/>
        </w:rPr>
        <w:t>il</w:t>
      </w:r>
      <w:r>
        <w:rPr>
          <w:color w:val="231F20"/>
          <w:spacing w:val="-15"/>
        </w:rPr>
        <w:t> </w:t>
      </w:r>
      <w:r>
        <w:rPr>
          <w:color w:val="231F20"/>
        </w:rPr>
        <w:t>déclare</w:t>
      </w:r>
      <w:r>
        <w:rPr>
          <w:color w:val="231F20"/>
          <w:spacing w:val="-15"/>
        </w:rPr>
        <w:t> </w:t>
      </w:r>
      <w:r>
        <w:rPr>
          <w:i/>
          <w:color w:val="231F20"/>
        </w:rPr>
        <w:t>:</w:t>
      </w:r>
      <w:r>
        <w:rPr>
          <w:i/>
          <w:color w:val="231F20"/>
          <w:spacing w:val="-15"/>
        </w:rPr>
        <w:t> </w:t>
      </w:r>
      <w:r>
        <w:rPr>
          <w:i/>
          <w:color w:val="231F20"/>
        </w:rPr>
        <w:t>«</w:t>
      </w:r>
      <w:r>
        <w:rPr>
          <w:i/>
          <w:color w:val="231F20"/>
          <w:spacing w:val="-12"/>
        </w:rPr>
        <w:t> </w:t>
      </w:r>
      <w:r>
        <w:rPr>
          <w:i/>
          <w:color w:val="231F20"/>
        </w:rPr>
        <w:t>je</w:t>
      </w:r>
      <w:r>
        <w:rPr>
          <w:i/>
          <w:color w:val="231F20"/>
          <w:spacing w:val="-15"/>
        </w:rPr>
        <w:t> </w:t>
      </w:r>
      <w:r>
        <w:rPr>
          <w:i/>
          <w:color w:val="231F20"/>
        </w:rPr>
        <w:t>frapperai</w:t>
      </w:r>
      <w:r>
        <w:rPr>
          <w:i/>
          <w:color w:val="231F20"/>
          <w:spacing w:val="-12"/>
        </w:rPr>
        <w:t> </w:t>
      </w:r>
      <w:r>
        <w:rPr>
          <w:i/>
          <w:color w:val="231F20"/>
        </w:rPr>
        <w:t>ce</w:t>
      </w:r>
      <w:r>
        <w:rPr>
          <w:i/>
          <w:color w:val="231F20"/>
          <w:spacing w:val="-15"/>
        </w:rPr>
        <w:t> </w:t>
      </w:r>
      <w:r>
        <w:rPr>
          <w:i/>
          <w:color w:val="231F20"/>
        </w:rPr>
        <w:t>pouvoir</w:t>
      </w:r>
      <w:r>
        <w:rPr>
          <w:i/>
          <w:color w:val="231F20"/>
          <w:spacing w:val="-11"/>
        </w:rPr>
        <w:t> </w:t>
      </w:r>
      <w:r>
        <w:rPr>
          <w:i/>
          <w:color w:val="231F20"/>
        </w:rPr>
        <w:t>moribond</w:t>
      </w:r>
      <w:r>
        <w:rPr>
          <w:i/>
          <w:color w:val="231F20"/>
          <w:spacing w:val="-14"/>
        </w:rPr>
        <w:t> </w:t>
      </w:r>
      <w:r>
        <w:rPr>
          <w:i/>
          <w:color w:val="231F20"/>
        </w:rPr>
        <w:t>(...)</w:t>
      </w:r>
      <w:r>
        <w:rPr>
          <w:i/>
          <w:color w:val="231F20"/>
          <w:spacing w:val="-12"/>
        </w:rPr>
        <w:t> </w:t>
      </w:r>
      <w:r>
        <w:rPr>
          <w:i/>
          <w:color w:val="231F20"/>
        </w:rPr>
        <w:t>et</w:t>
      </w:r>
      <w:r>
        <w:rPr>
          <w:i/>
          <w:color w:val="231F20"/>
          <w:spacing w:val="-13"/>
        </w:rPr>
        <w:t> </w:t>
      </w:r>
      <w:r>
        <w:rPr>
          <w:i/>
          <w:color w:val="231F20"/>
        </w:rPr>
        <w:t>il</w:t>
      </w:r>
      <w:r>
        <w:rPr>
          <w:i/>
          <w:color w:val="231F20"/>
        </w:rPr>
        <w:t> tombera. »</w:t>
      </w:r>
    </w:p>
    <w:p>
      <w:pPr>
        <w:pStyle w:val="BodyText"/>
        <w:spacing w:before="121"/>
        <w:ind w:right="102" w:firstLine="283"/>
      </w:pPr>
      <w:r>
        <w:rPr>
          <w:color w:val="231F20"/>
        </w:rPr>
        <w:t>Entre Bédié et Alassane, la ligne rouge venait d’être franchie. La justice ivoirienne lance un mandat d’arrêt international contre lui pour faux</w:t>
      </w:r>
      <w:r>
        <w:rPr>
          <w:color w:val="231F20"/>
          <w:spacing w:val="-6"/>
        </w:rPr>
        <w:t> </w:t>
      </w:r>
      <w:r>
        <w:rPr>
          <w:color w:val="231F20"/>
        </w:rPr>
        <w:t>sur</w:t>
      </w:r>
      <w:r>
        <w:rPr>
          <w:color w:val="231F20"/>
          <w:spacing w:val="-8"/>
        </w:rPr>
        <w:t> </w:t>
      </w:r>
      <w:r>
        <w:rPr>
          <w:color w:val="231F20"/>
        </w:rPr>
        <w:t>l’identité</w:t>
      </w:r>
      <w:r>
        <w:rPr>
          <w:color w:val="231F20"/>
          <w:spacing w:val="-6"/>
        </w:rPr>
        <w:t> </w:t>
      </w:r>
      <w:r>
        <w:rPr>
          <w:color w:val="231F20"/>
        </w:rPr>
        <w:t>et</w:t>
      </w:r>
      <w:r>
        <w:rPr>
          <w:color w:val="231F20"/>
          <w:spacing w:val="-7"/>
        </w:rPr>
        <w:t> </w:t>
      </w:r>
      <w:r>
        <w:rPr>
          <w:color w:val="231F20"/>
        </w:rPr>
        <w:t>usage</w:t>
      </w:r>
      <w:r>
        <w:rPr>
          <w:color w:val="231F20"/>
          <w:spacing w:val="-6"/>
        </w:rPr>
        <w:t> </w:t>
      </w:r>
      <w:r>
        <w:rPr>
          <w:color w:val="231F20"/>
        </w:rPr>
        <w:t>de</w:t>
      </w:r>
      <w:r>
        <w:rPr>
          <w:color w:val="231F20"/>
          <w:spacing w:val="-6"/>
        </w:rPr>
        <w:t> </w:t>
      </w:r>
      <w:r>
        <w:rPr>
          <w:color w:val="231F20"/>
        </w:rPr>
        <w:t>faux</w:t>
      </w:r>
      <w:r>
        <w:rPr>
          <w:color w:val="231F20"/>
          <w:spacing w:val="-4"/>
        </w:rPr>
        <w:t> </w:t>
      </w:r>
      <w:r>
        <w:rPr>
          <w:color w:val="231F20"/>
        </w:rPr>
        <w:t>documents</w:t>
      </w:r>
      <w:r>
        <w:rPr>
          <w:color w:val="231F20"/>
          <w:spacing w:val="-4"/>
        </w:rPr>
        <w:t> </w:t>
      </w:r>
      <w:r>
        <w:rPr>
          <w:color w:val="231F20"/>
        </w:rPr>
        <w:t>administratifs.</w:t>
      </w:r>
    </w:p>
    <w:p>
      <w:pPr>
        <w:spacing w:before="120"/>
        <w:ind w:left="111" w:right="104" w:firstLine="283"/>
        <w:jc w:val="both"/>
        <w:rPr>
          <w:sz w:val="24"/>
        </w:rPr>
      </w:pPr>
      <w:r>
        <w:rPr>
          <w:color w:val="231F20"/>
          <w:sz w:val="24"/>
        </w:rPr>
        <w:t>Dans son livre, </w:t>
      </w:r>
      <w:r>
        <w:rPr>
          <w:i/>
          <w:color w:val="231F20"/>
          <w:sz w:val="24"/>
        </w:rPr>
        <w:t>«</w:t>
      </w:r>
      <w:r>
        <w:rPr>
          <w:i/>
          <w:color w:val="231F20"/>
          <w:spacing w:val="-14"/>
          <w:sz w:val="24"/>
        </w:rPr>
        <w:t> </w:t>
      </w:r>
      <w:r>
        <w:rPr>
          <w:i/>
          <w:color w:val="231F20"/>
          <w:sz w:val="24"/>
        </w:rPr>
        <w:t>Les Chemins de ma vie</w:t>
      </w:r>
      <w:r>
        <w:rPr>
          <w:color w:val="231F20"/>
          <w:sz w:val="24"/>
          <w:vertAlign w:val="superscript"/>
        </w:rPr>
        <w:t>161</w:t>
      </w:r>
      <w:r>
        <w:rPr>
          <w:color w:val="231F20"/>
          <w:spacing w:val="-9"/>
          <w:sz w:val="24"/>
          <w:vertAlign w:val="baseline"/>
        </w:rPr>
        <w:t> </w:t>
      </w:r>
      <w:r>
        <w:rPr>
          <w:color w:val="231F20"/>
          <w:sz w:val="24"/>
          <w:vertAlign w:val="baseline"/>
        </w:rPr>
        <w:t>», Bédié maintient sa </w:t>
      </w:r>
      <w:r>
        <w:rPr>
          <w:color w:val="231F20"/>
          <w:spacing w:val="-4"/>
          <w:sz w:val="24"/>
          <w:vertAlign w:val="baseline"/>
        </w:rPr>
        <w:t>position</w:t>
      </w:r>
      <w:r>
        <w:rPr>
          <w:color w:val="231F20"/>
          <w:spacing w:val="-5"/>
          <w:sz w:val="24"/>
          <w:vertAlign w:val="baseline"/>
        </w:rPr>
        <w:t> </w:t>
      </w:r>
      <w:r>
        <w:rPr>
          <w:color w:val="231F20"/>
          <w:spacing w:val="-4"/>
          <w:sz w:val="24"/>
          <w:vertAlign w:val="baseline"/>
        </w:rPr>
        <w:t>vis-à-vis</w:t>
      </w:r>
      <w:r>
        <w:rPr>
          <w:color w:val="231F20"/>
          <w:spacing w:val="-5"/>
          <w:sz w:val="24"/>
          <w:vertAlign w:val="baseline"/>
        </w:rPr>
        <w:t> </w:t>
      </w:r>
      <w:r>
        <w:rPr>
          <w:color w:val="231F20"/>
          <w:spacing w:val="-4"/>
          <w:sz w:val="24"/>
          <w:vertAlign w:val="baseline"/>
        </w:rPr>
        <w:t>de</w:t>
      </w:r>
      <w:r>
        <w:rPr>
          <w:color w:val="231F20"/>
          <w:spacing w:val="-8"/>
          <w:sz w:val="24"/>
          <w:vertAlign w:val="baseline"/>
        </w:rPr>
        <w:t> </w:t>
      </w:r>
      <w:r>
        <w:rPr>
          <w:color w:val="231F20"/>
          <w:spacing w:val="-4"/>
          <w:sz w:val="24"/>
          <w:vertAlign w:val="baseline"/>
        </w:rPr>
        <w:t>la</w:t>
      </w:r>
      <w:r>
        <w:rPr>
          <w:color w:val="231F20"/>
          <w:spacing w:val="-5"/>
          <w:sz w:val="24"/>
          <w:vertAlign w:val="baseline"/>
        </w:rPr>
        <w:t> </w:t>
      </w:r>
      <w:r>
        <w:rPr>
          <w:color w:val="231F20"/>
          <w:spacing w:val="-4"/>
          <w:sz w:val="24"/>
          <w:vertAlign w:val="baseline"/>
        </w:rPr>
        <w:t>nationalité</w:t>
      </w:r>
      <w:r>
        <w:rPr>
          <w:color w:val="231F20"/>
          <w:spacing w:val="-9"/>
          <w:sz w:val="24"/>
          <w:vertAlign w:val="baseline"/>
        </w:rPr>
        <w:t> </w:t>
      </w:r>
      <w:r>
        <w:rPr>
          <w:color w:val="231F20"/>
          <w:spacing w:val="-4"/>
          <w:sz w:val="24"/>
          <w:vertAlign w:val="baseline"/>
        </w:rPr>
        <w:t>du</w:t>
      </w:r>
      <w:r>
        <w:rPr>
          <w:color w:val="231F20"/>
          <w:spacing w:val="-7"/>
          <w:sz w:val="24"/>
          <w:vertAlign w:val="baseline"/>
        </w:rPr>
        <w:t> </w:t>
      </w:r>
      <w:r>
        <w:rPr>
          <w:color w:val="231F20"/>
          <w:spacing w:val="-4"/>
          <w:sz w:val="24"/>
          <w:vertAlign w:val="baseline"/>
        </w:rPr>
        <w:t>Premier</w:t>
      </w:r>
      <w:r>
        <w:rPr>
          <w:color w:val="231F20"/>
          <w:spacing w:val="-8"/>
          <w:sz w:val="24"/>
          <w:vertAlign w:val="baseline"/>
        </w:rPr>
        <w:t> </w:t>
      </w:r>
      <w:r>
        <w:rPr>
          <w:color w:val="231F20"/>
          <w:spacing w:val="-4"/>
          <w:sz w:val="24"/>
          <w:vertAlign w:val="baseline"/>
        </w:rPr>
        <w:t>ministre</w:t>
      </w:r>
      <w:r>
        <w:rPr>
          <w:color w:val="231F20"/>
          <w:spacing w:val="-5"/>
          <w:sz w:val="24"/>
          <w:vertAlign w:val="baseline"/>
        </w:rPr>
        <w:t> </w:t>
      </w:r>
      <w:r>
        <w:rPr>
          <w:color w:val="231F20"/>
          <w:spacing w:val="-4"/>
          <w:sz w:val="24"/>
          <w:vertAlign w:val="baseline"/>
        </w:rPr>
        <w:t>Alassane</w:t>
      </w:r>
      <w:r>
        <w:rPr>
          <w:color w:val="231F20"/>
          <w:spacing w:val="-5"/>
          <w:sz w:val="24"/>
          <w:vertAlign w:val="baseline"/>
        </w:rPr>
        <w:t> </w:t>
      </w:r>
      <w:r>
        <w:rPr>
          <w:color w:val="231F20"/>
          <w:spacing w:val="-4"/>
          <w:sz w:val="24"/>
          <w:vertAlign w:val="baseline"/>
        </w:rPr>
        <w:t>Dramane </w:t>
      </w:r>
      <w:r>
        <w:rPr>
          <w:color w:val="231F20"/>
          <w:spacing w:val="-2"/>
          <w:sz w:val="24"/>
          <w:vertAlign w:val="baseline"/>
        </w:rPr>
        <w:t>Ouattara</w:t>
      </w:r>
      <w:r>
        <w:rPr>
          <w:color w:val="231F20"/>
          <w:spacing w:val="-15"/>
          <w:sz w:val="24"/>
          <w:vertAlign w:val="baseline"/>
        </w:rPr>
        <w:t> </w:t>
      </w:r>
      <w:r>
        <w:rPr>
          <w:i/>
          <w:color w:val="231F20"/>
          <w:spacing w:val="-2"/>
          <w:sz w:val="24"/>
          <w:vertAlign w:val="baseline"/>
        </w:rPr>
        <w:t>:</w:t>
      </w:r>
      <w:r>
        <w:rPr>
          <w:i/>
          <w:color w:val="231F20"/>
          <w:spacing w:val="-13"/>
          <w:sz w:val="24"/>
          <w:vertAlign w:val="baseline"/>
        </w:rPr>
        <w:t> </w:t>
      </w:r>
      <w:r>
        <w:rPr>
          <w:i/>
          <w:color w:val="231F20"/>
          <w:spacing w:val="-2"/>
          <w:sz w:val="24"/>
          <w:vertAlign w:val="baseline"/>
        </w:rPr>
        <w:t>(…)</w:t>
      </w:r>
      <w:r>
        <w:rPr>
          <w:i/>
          <w:color w:val="231F20"/>
          <w:spacing w:val="-13"/>
          <w:sz w:val="24"/>
          <w:vertAlign w:val="baseline"/>
        </w:rPr>
        <w:t> </w:t>
      </w:r>
      <w:r>
        <w:rPr>
          <w:i/>
          <w:color w:val="231F20"/>
          <w:spacing w:val="-2"/>
          <w:sz w:val="24"/>
          <w:vertAlign w:val="baseline"/>
        </w:rPr>
        <w:t>Car</w:t>
      </w:r>
      <w:r>
        <w:rPr>
          <w:i/>
          <w:color w:val="231F20"/>
          <w:spacing w:val="-13"/>
          <w:sz w:val="24"/>
          <w:vertAlign w:val="baseline"/>
        </w:rPr>
        <w:t> </w:t>
      </w:r>
      <w:r>
        <w:rPr>
          <w:i/>
          <w:color w:val="231F20"/>
          <w:spacing w:val="-2"/>
          <w:sz w:val="24"/>
          <w:vertAlign w:val="baseline"/>
        </w:rPr>
        <w:t>la</w:t>
      </w:r>
      <w:r>
        <w:rPr>
          <w:i/>
          <w:color w:val="231F20"/>
          <w:spacing w:val="-13"/>
          <w:sz w:val="24"/>
          <w:vertAlign w:val="baseline"/>
        </w:rPr>
        <w:t> </w:t>
      </w:r>
      <w:r>
        <w:rPr>
          <w:i/>
          <w:color w:val="231F20"/>
          <w:spacing w:val="-2"/>
          <w:sz w:val="24"/>
          <w:vertAlign w:val="baseline"/>
        </w:rPr>
        <w:t>preuve</w:t>
      </w:r>
      <w:r>
        <w:rPr>
          <w:i/>
          <w:color w:val="231F20"/>
          <w:spacing w:val="-13"/>
          <w:sz w:val="24"/>
          <w:vertAlign w:val="baseline"/>
        </w:rPr>
        <w:t> </w:t>
      </w:r>
      <w:r>
        <w:rPr>
          <w:i/>
          <w:color w:val="231F20"/>
          <w:spacing w:val="-2"/>
          <w:sz w:val="24"/>
          <w:vertAlign w:val="baseline"/>
        </w:rPr>
        <w:t>de</w:t>
      </w:r>
      <w:r>
        <w:rPr>
          <w:i/>
          <w:color w:val="231F20"/>
          <w:spacing w:val="-13"/>
          <w:sz w:val="24"/>
          <w:vertAlign w:val="baseline"/>
        </w:rPr>
        <w:t> </w:t>
      </w:r>
      <w:r>
        <w:rPr>
          <w:i/>
          <w:color w:val="231F20"/>
          <w:spacing w:val="-2"/>
          <w:sz w:val="24"/>
          <w:vertAlign w:val="baseline"/>
        </w:rPr>
        <w:t>sa</w:t>
      </w:r>
      <w:r>
        <w:rPr>
          <w:i/>
          <w:color w:val="231F20"/>
          <w:spacing w:val="-13"/>
          <w:sz w:val="24"/>
          <w:vertAlign w:val="baseline"/>
        </w:rPr>
        <w:t> </w:t>
      </w:r>
      <w:r>
        <w:rPr>
          <w:i/>
          <w:color w:val="231F20"/>
          <w:spacing w:val="-2"/>
          <w:sz w:val="24"/>
          <w:vertAlign w:val="baseline"/>
        </w:rPr>
        <w:t>naturalisation</w:t>
      </w:r>
      <w:r>
        <w:rPr>
          <w:i/>
          <w:color w:val="231F20"/>
          <w:spacing w:val="-13"/>
          <w:sz w:val="24"/>
          <w:vertAlign w:val="baseline"/>
        </w:rPr>
        <w:t> </w:t>
      </w:r>
      <w:r>
        <w:rPr>
          <w:i/>
          <w:color w:val="231F20"/>
          <w:spacing w:val="-2"/>
          <w:sz w:val="24"/>
          <w:vertAlign w:val="baseline"/>
        </w:rPr>
        <w:t>n’existe</w:t>
      </w:r>
      <w:r>
        <w:rPr>
          <w:i/>
          <w:color w:val="231F20"/>
          <w:spacing w:val="-13"/>
          <w:sz w:val="24"/>
          <w:vertAlign w:val="baseline"/>
        </w:rPr>
        <w:t> </w:t>
      </w:r>
      <w:r>
        <w:rPr>
          <w:i/>
          <w:color w:val="231F20"/>
          <w:spacing w:val="-2"/>
          <w:sz w:val="24"/>
          <w:vertAlign w:val="baseline"/>
        </w:rPr>
        <w:t>pas</w:t>
      </w:r>
      <w:r>
        <w:rPr>
          <w:i/>
          <w:color w:val="231F20"/>
          <w:spacing w:val="-13"/>
          <w:sz w:val="24"/>
          <w:vertAlign w:val="baseline"/>
        </w:rPr>
        <w:t> </w:t>
      </w:r>
      <w:r>
        <w:rPr>
          <w:i/>
          <w:color w:val="231F20"/>
          <w:spacing w:val="-2"/>
          <w:sz w:val="24"/>
          <w:vertAlign w:val="baseline"/>
        </w:rPr>
        <w:t>au</w:t>
      </w:r>
      <w:r>
        <w:rPr>
          <w:i/>
          <w:color w:val="231F20"/>
          <w:spacing w:val="-13"/>
          <w:sz w:val="24"/>
          <w:vertAlign w:val="baseline"/>
        </w:rPr>
        <w:t> </w:t>
      </w:r>
      <w:r>
        <w:rPr>
          <w:i/>
          <w:color w:val="231F20"/>
          <w:spacing w:val="-2"/>
          <w:sz w:val="24"/>
          <w:vertAlign w:val="baseline"/>
        </w:rPr>
        <w:t>Journal</w:t>
      </w:r>
      <w:r>
        <w:rPr>
          <w:i/>
          <w:color w:val="231F20"/>
          <w:spacing w:val="-2"/>
          <w:sz w:val="24"/>
          <w:vertAlign w:val="baseline"/>
        </w:rPr>
        <w:t> </w:t>
      </w:r>
      <w:r>
        <w:rPr>
          <w:i/>
          <w:color w:val="231F20"/>
          <w:sz w:val="24"/>
          <w:vertAlign w:val="baseline"/>
        </w:rPr>
        <w:t>Officiel</w:t>
      </w:r>
      <w:r>
        <w:rPr>
          <w:i/>
          <w:color w:val="231F20"/>
          <w:spacing w:val="-13"/>
          <w:sz w:val="24"/>
          <w:vertAlign w:val="baseline"/>
        </w:rPr>
        <w:t> </w:t>
      </w:r>
      <w:r>
        <w:rPr>
          <w:i/>
          <w:color w:val="231F20"/>
          <w:sz w:val="24"/>
          <w:vertAlign w:val="baseline"/>
        </w:rPr>
        <w:t>de</w:t>
      </w:r>
      <w:r>
        <w:rPr>
          <w:i/>
          <w:color w:val="231F20"/>
          <w:spacing w:val="-12"/>
          <w:sz w:val="24"/>
          <w:vertAlign w:val="baseline"/>
        </w:rPr>
        <w:t> </w:t>
      </w:r>
      <w:r>
        <w:rPr>
          <w:i/>
          <w:color w:val="231F20"/>
          <w:sz w:val="24"/>
          <w:vertAlign w:val="baseline"/>
        </w:rPr>
        <w:t>la</w:t>
      </w:r>
      <w:r>
        <w:rPr>
          <w:i/>
          <w:color w:val="231F20"/>
          <w:spacing w:val="-11"/>
          <w:sz w:val="24"/>
          <w:vertAlign w:val="baseline"/>
        </w:rPr>
        <w:t> </w:t>
      </w:r>
      <w:r>
        <w:rPr>
          <w:i/>
          <w:color w:val="231F20"/>
          <w:sz w:val="24"/>
          <w:vertAlign w:val="baseline"/>
        </w:rPr>
        <w:t>République</w:t>
      </w:r>
      <w:r>
        <w:rPr>
          <w:i/>
          <w:color w:val="231F20"/>
          <w:spacing w:val="-13"/>
          <w:sz w:val="24"/>
          <w:vertAlign w:val="baseline"/>
        </w:rPr>
        <w:t> </w:t>
      </w:r>
      <w:r>
        <w:rPr>
          <w:i/>
          <w:color w:val="231F20"/>
          <w:sz w:val="24"/>
          <w:vertAlign w:val="baseline"/>
        </w:rPr>
        <w:t>de</w:t>
      </w:r>
      <w:r>
        <w:rPr>
          <w:i/>
          <w:color w:val="231F20"/>
          <w:spacing w:val="-12"/>
          <w:sz w:val="24"/>
          <w:vertAlign w:val="baseline"/>
        </w:rPr>
        <w:t> </w:t>
      </w:r>
      <w:r>
        <w:rPr>
          <w:i/>
          <w:color w:val="231F20"/>
          <w:sz w:val="24"/>
          <w:vertAlign w:val="baseline"/>
        </w:rPr>
        <w:t>Côte</w:t>
      </w:r>
      <w:r>
        <w:rPr>
          <w:i/>
          <w:color w:val="231F20"/>
          <w:spacing w:val="-12"/>
          <w:sz w:val="24"/>
          <w:vertAlign w:val="baseline"/>
        </w:rPr>
        <w:t> </w:t>
      </w:r>
      <w:r>
        <w:rPr>
          <w:i/>
          <w:color w:val="231F20"/>
          <w:sz w:val="24"/>
          <w:vertAlign w:val="baseline"/>
        </w:rPr>
        <w:t>d’Ivoire.</w:t>
      </w:r>
      <w:r>
        <w:rPr>
          <w:i/>
          <w:color w:val="231F20"/>
          <w:spacing w:val="-11"/>
          <w:sz w:val="24"/>
          <w:vertAlign w:val="baseline"/>
        </w:rPr>
        <w:t> </w:t>
      </w:r>
      <w:r>
        <w:rPr>
          <w:i/>
          <w:color w:val="231F20"/>
          <w:sz w:val="24"/>
          <w:vertAlign w:val="baseline"/>
        </w:rPr>
        <w:t>(…)</w:t>
      </w:r>
      <w:r>
        <w:rPr>
          <w:i/>
          <w:color w:val="231F20"/>
          <w:spacing w:val="-12"/>
          <w:sz w:val="24"/>
          <w:vertAlign w:val="baseline"/>
        </w:rPr>
        <w:t> </w:t>
      </w:r>
      <w:r>
        <w:rPr>
          <w:i/>
          <w:color w:val="231F20"/>
          <w:sz w:val="24"/>
          <w:vertAlign w:val="baseline"/>
        </w:rPr>
        <w:t>l’on</w:t>
      </w:r>
      <w:r>
        <w:rPr>
          <w:i/>
          <w:color w:val="231F20"/>
          <w:spacing w:val="-11"/>
          <w:sz w:val="24"/>
          <w:vertAlign w:val="baseline"/>
        </w:rPr>
        <w:t> </w:t>
      </w:r>
      <w:r>
        <w:rPr>
          <w:i/>
          <w:color w:val="231F20"/>
          <w:sz w:val="24"/>
          <w:vertAlign w:val="baseline"/>
        </w:rPr>
        <w:t>doit</w:t>
      </w:r>
      <w:r>
        <w:rPr>
          <w:i/>
          <w:color w:val="231F20"/>
          <w:spacing w:val="-13"/>
          <w:sz w:val="24"/>
          <w:vertAlign w:val="baseline"/>
        </w:rPr>
        <w:t> </w:t>
      </w:r>
      <w:r>
        <w:rPr>
          <w:i/>
          <w:color w:val="231F20"/>
          <w:sz w:val="24"/>
          <w:vertAlign w:val="baseline"/>
        </w:rPr>
        <w:t>avoir</w:t>
      </w:r>
      <w:r>
        <w:rPr>
          <w:i/>
          <w:color w:val="231F20"/>
          <w:spacing w:val="-11"/>
          <w:sz w:val="24"/>
          <w:vertAlign w:val="baseline"/>
        </w:rPr>
        <w:t> </w:t>
      </w:r>
      <w:r>
        <w:rPr>
          <w:i/>
          <w:color w:val="231F20"/>
          <w:sz w:val="24"/>
          <w:vertAlign w:val="baseline"/>
        </w:rPr>
        <w:t>à</w:t>
      </w:r>
      <w:r>
        <w:rPr>
          <w:i/>
          <w:color w:val="231F20"/>
          <w:spacing w:val="-13"/>
          <w:sz w:val="24"/>
          <w:vertAlign w:val="baseline"/>
        </w:rPr>
        <w:t> </w:t>
      </w:r>
      <w:r>
        <w:rPr>
          <w:i/>
          <w:color w:val="231F20"/>
          <w:sz w:val="24"/>
          <w:vertAlign w:val="baseline"/>
        </w:rPr>
        <w:t>l’esprit </w:t>
      </w:r>
      <w:r>
        <w:rPr>
          <w:i/>
          <w:color w:val="231F20"/>
          <w:spacing w:val="-2"/>
          <w:sz w:val="24"/>
          <w:vertAlign w:val="baseline"/>
        </w:rPr>
        <w:t>que</w:t>
      </w:r>
      <w:r>
        <w:rPr>
          <w:i/>
          <w:color w:val="231F20"/>
          <w:spacing w:val="-8"/>
          <w:sz w:val="24"/>
          <w:vertAlign w:val="baseline"/>
        </w:rPr>
        <w:t> </w:t>
      </w:r>
      <w:r>
        <w:rPr>
          <w:i/>
          <w:color w:val="231F20"/>
          <w:spacing w:val="-2"/>
          <w:sz w:val="24"/>
          <w:vertAlign w:val="baseline"/>
        </w:rPr>
        <w:t>la</w:t>
      </w:r>
      <w:r>
        <w:rPr>
          <w:i/>
          <w:color w:val="231F20"/>
          <w:spacing w:val="-9"/>
          <w:sz w:val="24"/>
          <w:vertAlign w:val="baseline"/>
        </w:rPr>
        <w:t> </w:t>
      </w:r>
      <w:r>
        <w:rPr>
          <w:i/>
          <w:color w:val="231F20"/>
          <w:spacing w:val="-2"/>
          <w:sz w:val="24"/>
          <w:vertAlign w:val="baseline"/>
        </w:rPr>
        <w:t>particularité</w:t>
      </w:r>
      <w:r>
        <w:rPr>
          <w:i/>
          <w:color w:val="231F20"/>
          <w:spacing w:val="-9"/>
          <w:sz w:val="24"/>
          <w:vertAlign w:val="baseline"/>
        </w:rPr>
        <w:t> </w:t>
      </w:r>
      <w:r>
        <w:rPr>
          <w:i/>
          <w:color w:val="231F20"/>
          <w:spacing w:val="-2"/>
          <w:sz w:val="24"/>
          <w:vertAlign w:val="baseline"/>
        </w:rPr>
        <w:t>du</w:t>
      </w:r>
      <w:r>
        <w:rPr>
          <w:i/>
          <w:color w:val="231F20"/>
          <w:spacing w:val="-9"/>
          <w:sz w:val="24"/>
          <w:vertAlign w:val="baseline"/>
        </w:rPr>
        <w:t> </w:t>
      </w:r>
      <w:r>
        <w:rPr>
          <w:i/>
          <w:color w:val="231F20"/>
          <w:spacing w:val="-2"/>
          <w:sz w:val="24"/>
          <w:vertAlign w:val="baseline"/>
        </w:rPr>
        <w:t>régime</w:t>
      </w:r>
      <w:r>
        <w:rPr>
          <w:i/>
          <w:color w:val="231F20"/>
          <w:spacing w:val="-8"/>
          <w:sz w:val="24"/>
          <w:vertAlign w:val="baseline"/>
        </w:rPr>
        <w:t> </w:t>
      </w:r>
      <w:r>
        <w:rPr>
          <w:i/>
          <w:color w:val="231F20"/>
          <w:spacing w:val="-2"/>
          <w:sz w:val="24"/>
          <w:vertAlign w:val="baseline"/>
        </w:rPr>
        <w:t>présidentiel</w:t>
      </w:r>
      <w:r>
        <w:rPr>
          <w:i/>
          <w:color w:val="231F20"/>
          <w:spacing w:val="-6"/>
          <w:sz w:val="24"/>
          <w:vertAlign w:val="baseline"/>
        </w:rPr>
        <w:t> </w:t>
      </w:r>
      <w:r>
        <w:rPr>
          <w:i/>
          <w:color w:val="231F20"/>
          <w:spacing w:val="-2"/>
          <w:sz w:val="24"/>
          <w:vertAlign w:val="baseline"/>
        </w:rPr>
        <w:t>ivoirien,</w:t>
      </w:r>
      <w:r>
        <w:rPr>
          <w:i/>
          <w:color w:val="231F20"/>
          <w:spacing w:val="-9"/>
          <w:sz w:val="24"/>
          <w:vertAlign w:val="baseline"/>
        </w:rPr>
        <w:t> </w:t>
      </w:r>
      <w:r>
        <w:rPr>
          <w:i/>
          <w:color w:val="231F20"/>
          <w:spacing w:val="-2"/>
          <w:sz w:val="24"/>
          <w:vertAlign w:val="baseline"/>
        </w:rPr>
        <w:t>qui</w:t>
      </w:r>
      <w:r>
        <w:rPr>
          <w:i/>
          <w:color w:val="231F20"/>
          <w:spacing w:val="-9"/>
          <w:sz w:val="24"/>
          <w:vertAlign w:val="baseline"/>
        </w:rPr>
        <w:t> </w:t>
      </w:r>
      <w:r>
        <w:rPr>
          <w:i/>
          <w:color w:val="231F20"/>
          <w:spacing w:val="-2"/>
          <w:sz w:val="24"/>
          <w:vertAlign w:val="baseline"/>
        </w:rPr>
        <w:t>fait</w:t>
      </w:r>
      <w:r>
        <w:rPr>
          <w:i/>
          <w:color w:val="231F20"/>
          <w:spacing w:val="-9"/>
          <w:sz w:val="24"/>
          <w:vertAlign w:val="baseline"/>
        </w:rPr>
        <w:t> </w:t>
      </w:r>
      <w:r>
        <w:rPr>
          <w:i/>
          <w:color w:val="231F20"/>
          <w:spacing w:val="-2"/>
          <w:sz w:val="24"/>
          <w:vertAlign w:val="baseline"/>
        </w:rPr>
        <w:t>du</w:t>
      </w:r>
      <w:r>
        <w:rPr>
          <w:i/>
          <w:color w:val="231F20"/>
          <w:spacing w:val="-6"/>
          <w:sz w:val="24"/>
          <w:vertAlign w:val="baseline"/>
        </w:rPr>
        <w:t> </w:t>
      </w:r>
      <w:r>
        <w:rPr>
          <w:i/>
          <w:color w:val="231F20"/>
          <w:spacing w:val="-2"/>
          <w:sz w:val="24"/>
          <w:vertAlign w:val="baseline"/>
        </w:rPr>
        <w:t>Président </w:t>
      </w:r>
      <w:r>
        <w:rPr>
          <w:i/>
          <w:color w:val="231F20"/>
          <w:sz w:val="24"/>
          <w:vertAlign w:val="baseline"/>
        </w:rPr>
        <w:t>de la République le seul détenteur du pouvoir exécutif, lui permet de </w:t>
      </w:r>
      <w:r>
        <w:rPr>
          <w:i/>
          <w:color w:val="231F20"/>
          <w:spacing w:val="-2"/>
          <w:sz w:val="24"/>
          <w:vertAlign w:val="baseline"/>
        </w:rPr>
        <w:t>choisir</w:t>
      </w:r>
      <w:r>
        <w:rPr>
          <w:i/>
          <w:color w:val="231F20"/>
          <w:spacing w:val="-8"/>
          <w:sz w:val="24"/>
          <w:vertAlign w:val="baseline"/>
        </w:rPr>
        <w:t> </w:t>
      </w:r>
      <w:r>
        <w:rPr>
          <w:i/>
          <w:color w:val="231F20"/>
          <w:spacing w:val="-2"/>
          <w:sz w:val="24"/>
          <w:vertAlign w:val="baseline"/>
        </w:rPr>
        <w:t>ses</w:t>
      </w:r>
      <w:r>
        <w:rPr>
          <w:i/>
          <w:color w:val="231F20"/>
          <w:spacing w:val="-8"/>
          <w:sz w:val="24"/>
          <w:vertAlign w:val="baseline"/>
        </w:rPr>
        <w:t> </w:t>
      </w:r>
      <w:r>
        <w:rPr>
          <w:i/>
          <w:color w:val="231F20"/>
          <w:spacing w:val="-2"/>
          <w:sz w:val="24"/>
          <w:vertAlign w:val="baseline"/>
        </w:rPr>
        <w:t>collaborateurs</w:t>
      </w:r>
      <w:r>
        <w:rPr>
          <w:i/>
          <w:color w:val="231F20"/>
          <w:spacing w:val="-11"/>
          <w:sz w:val="24"/>
          <w:vertAlign w:val="baseline"/>
        </w:rPr>
        <w:t> </w:t>
      </w:r>
      <w:r>
        <w:rPr>
          <w:i/>
          <w:color w:val="231F20"/>
          <w:spacing w:val="-2"/>
          <w:sz w:val="24"/>
          <w:vertAlign w:val="baseline"/>
        </w:rPr>
        <w:t>librement,</w:t>
      </w:r>
      <w:r>
        <w:rPr>
          <w:i/>
          <w:color w:val="231F20"/>
          <w:spacing w:val="-11"/>
          <w:sz w:val="24"/>
          <w:vertAlign w:val="baseline"/>
        </w:rPr>
        <w:t> </w:t>
      </w:r>
      <w:r>
        <w:rPr>
          <w:i/>
          <w:color w:val="231F20"/>
          <w:spacing w:val="-2"/>
          <w:sz w:val="24"/>
          <w:vertAlign w:val="baseline"/>
        </w:rPr>
        <w:t>sans</w:t>
      </w:r>
      <w:r>
        <w:rPr>
          <w:i/>
          <w:color w:val="231F20"/>
          <w:spacing w:val="-8"/>
          <w:sz w:val="24"/>
          <w:vertAlign w:val="baseline"/>
        </w:rPr>
        <w:t> </w:t>
      </w:r>
      <w:r>
        <w:rPr>
          <w:i/>
          <w:color w:val="231F20"/>
          <w:spacing w:val="-2"/>
          <w:sz w:val="24"/>
          <w:vertAlign w:val="baseline"/>
        </w:rPr>
        <w:t>considération</w:t>
      </w:r>
      <w:r>
        <w:rPr>
          <w:i/>
          <w:color w:val="231F20"/>
          <w:spacing w:val="-8"/>
          <w:sz w:val="24"/>
          <w:vertAlign w:val="baseline"/>
        </w:rPr>
        <w:t> </w:t>
      </w:r>
      <w:r>
        <w:rPr>
          <w:i/>
          <w:color w:val="231F20"/>
          <w:spacing w:val="-2"/>
          <w:sz w:val="24"/>
          <w:vertAlign w:val="baseline"/>
        </w:rPr>
        <w:t>d’origine,</w:t>
      </w:r>
      <w:r>
        <w:rPr>
          <w:i/>
          <w:color w:val="231F20"/>
          <w:spacing w:val="-8"/>
          <w:sz w:val="24"/>
          <w:vertAlign w:val="baseline"/>
        </w:rPr>
        <w:t> </w:t>
      </w:r>
      <w:r>
        <w:rPr>
          <w:i/>
          <w:color w:val="231F20"/>
          <w:spacing w:val="-2"/>
          <w:sz w:val="24"/>
          <w:vertAlign w:val="baseline"/>
        </w:rPr>
        <w:t>voire </w:t>
      </w:r>
      <w:r>
        <w:rPr>
          <w:i/>
          <w:color w:val="231F20"/>
          <w:sz w:val="24"/>
          <w:vertAlign w:val="baseline"/>
        </w:rPr>
        <w:t>de</w:t>
      </w:r>
      <w:r>
        <w:rPr>
          <w:i/>
          <w:color w:val="231F20"/>
          <w:spacing w:val="-13"/>
          <w:sz w:val="24"/>
          <w:vertAlign w:val="baseline"/>
        </w:rPr>
        <w:t> </w:t>
      </w:r>
      <w:r>
        <w:rPr>
          <w:i/>
          <w:color w:val="231F20"/>
          <w:sz w:val="24"/>
          <w:vertAlign w:val="baseline"/>
        </w:rPr>
        <w:t>nationalité</w:t>
      </w:r>
      <w:r>
        <w:rPr>
          <w:i/>
          <w:color w:val="231F20"/>
          <w:spacing w:val="-13"/>
          <w:sz w:val="24"/>
          <w:vertAlign w:val="baseline"/>
        </w:rPr>
        <w:t> </w:t>
      </w:r>
      <w:r>
        <w:rPr>
          <w:i/>
          <w:color w:val="231F20"/>
          <w:sz w:val="24"/>
          <w:vertAlign w:val="baseline"/>
        </w:rPr>
        <w:t>(…)</w:t>
      </w:r>
      <w:r>
        <w:rPr>
          <w:i/>
          <w:color w:val="231F20"/>
          <w:spacing w:val="-13"/>
          <w:sz w:val="24"/>
          <w:vertAlign w:val="baseline"/>
        </w:rPr>
        <w:t> </w:t>
      </w:r>
      <w:r>
        <w:rPr>
          <w:i/>
          <w:color w:val="231F20"/>
          <w:sz w:val="24"/>
          <w:vertAlign w:val="baseline"/>
        </w:rPr>
        <w:t>On</w:t>
      </w:r>
      <w:r>
        <w:rPr>
          <w:i/>
          <w:color w:val="231F20"/>
          <w:spacing w:val="-15"/>
          <w:sz w:val="24"/>
          <w:vertAlign w:val="baseline"/>
        </w:rPr>
        <w:t> </w:t>
      </w:r>
      <w:r>
        <w:rPr>
          <w:i/>
          <w:color w:val="231F20"/>
          <w:sz w:val="24"/>
          <w:vertAlign w:val="baseline"/>
        </w:rPr>
        <w:t>relèvera</w:t>
      </w:r>
      <w:r>
        <w:rPr>
          <w:i/>
          <w:color w:val="231F20"/>
          <w:spacing w:val="-13"/>
          <w:sz w:val="24"/>
          <w:vertAlign w:val="baseline"/>
        </w:rPr>
        <w:t> </w:t>
      </w:r>
      <w:r>
        <w:rPr>
          <w:i/>
          <w:color w:val="231F20"/>
          <w:sz w:val="24"/>
          <w:vertAlign w:val="baseline"/>
        </w:rPr>
        <w:t>notamment</w:t>
      </w:r>
      <w:r>
        <w:rPr>
          <w:i/>
          <w:color w:val="231F20"/>
          <w:spacing w:val="-12"/>
          <w:sz w:val="24"/>
          <w:vertAlign w:val="baseline"/>
        </w:rPr>
        <w:t> </w:t>
      </w:r>
      <w:r>
        <w:rPr>
          <w:i/>
          <w:color w:val="231F20"/>
          <w:sz w:val="24"/>
          <w:vertAlign w:val="baseline"/>
        </w:rPr>
        <w:t>un</w:t>
      </w:r>
      <w:r>
        <w:rPr>
          <w:i/>
          <w:color w:val="231F20"/>
          <w:spacing w:val="-13"/>
          <w:sz w:val="24"/>
          <w:vertAlign w:val="baseline"/>
        </w:rPr>
        <w:t> </w:t>
      </w:r>
      <w:r>
        <w:rPr>
          <w:i/>
          <w:color w:val="231F20"/>
          <w:sz w:val="24"/>
          <w:vertAlign w:val="baseline"/>
        </w:rPr>
        <w:t>Français</w:t>
      </w:r>
      <w:r>
        <w:rPr>
          <w:i/>
          <w:color w:val="231F20"/>
          <w:spacing w:val="-13"/>
          <w:sz w:val="24"/>
          <w:vertAlign w:val="baseline"/>
        </w:rPr>
        <w:t> </w:t>
      </w:r>
      <w:r>
        <w:rPr>
          <w:i/>
          <w:color w:val="231F20"/>
          <w:sz w:val="24"/>
          <w:vertAlign w:val="baseline"/>
        </w:rPr>
        <w:t>à</w:t>
      </w:r>
      <w:r>
        <w:rPr>
          <w:i/>
          <w:color w:val="231F20"/>
          <w:spacing w:val="-15"/>
          <w:sz w:val="24"/>
          <w:vertAlign w:val="baseline"/>
        </w:rPr>
        <w:t> </w:t>
      </w:r>
      <w:r>
        <w:rPr>
          <w:i/>
          <w:color w:val="231F20"/>
          <w:sz w:val="24"/>
          <w:vertAlign w:val="baseline"/>
        </w:rPr>
        <w:t>l’Economie</w:t>
      </w:r>
      <w:r>
        <w:rPr>
          <w:i/>
          <w:color w:val="231F20"/>
          <w:spacing w:val="-14"/>
          <w:sz w:val="24"/>
          <w:vertAlign w:val="baseline"/>
        </w:rPr>
        <w:t> </w:t>
      </w:r>
      <w:r>
        <w:rPr>
          <w:i/>
          <w:color w:val="231F20"/>
          <w:sz w:val="24"/>
          <w:vertAlign w:val="baseline"/>
        </w:rPr>
        <w:t>et aux</w:t>
      </w:r>
      <w:r>
        <w:rPr>
          <w:i/>
          <w:color w:val="231F20"/>
          <w:spacing w:val="-15"/>
          <w:sz w:val="24"/>
          <w:vertAlign w:val="baseline"/>
        </w:rPr>
        <w:t> </w:t>
      </w:r>
      <w:r>
        <w:rPr>
          <w:i/>
          <w:color w:val="231F20"/>
          <w:sz w:val="24"/>
          <w:vertAlign w:val="baseline"/>
        </w:rPr>
        <w:t>Finances,</w:t>
      </w:r>
      <w:r>
        <w:rPr>
          <w:i/>
          <w:color w:val="231F20"/>
          <w:spacing w:val="-15"/>
          <w:sz w:val="24"/>
          <w:vertAlign w:val="baseline"/>
        </w:rPr>
        <w:t> </w:t>
      </w:r>
      <w:r>
        <w:rPr>
          <w:i/>
          <w:color w:val="231F20"/>
          <w:sz w:val="24"/>
          <w:vertAlign w:val="baseline"/>
        </w:rPr>
        <w:t>M.</w:t>
      </w:r>
      <w:r>
        <w:rPr>
          <w:i/>
          <w:color w:val="231F20"/>
          <w:spacing w:val="-15"/>
          <w:sz w:val="24"/>
          <w:vertAlign w:val="baseline"/>
        </w:rPr>
        <w:t> </w:t>
      </w:r>
      <w:r>
        <w:rPr>
          <w:i/>
          <w:color w:val="231F20"/>
          <w:sz w:val="24"/>
          <w:vertAlign w:val="baseline"/>
        </w:rPr>
        <w:t>Raphaël</w:t>
      </w:r>
      <w:r>
        <w:rPr>
          <w:i/>
          <w:color w:val="231F20"/>
          <w:spacing w:val="-15"/>
          <w:sz w:val="24"/>
          <w:vertAlign w:val="baseline"/>
        </w:rPr>
        <w:t> </w:t>
      </w:r>
      <w:r>
        <w:rPr>
          <w:i/>
          <w:color w:val="231F20"/>
          <w:sz w:val="24"/>
          <w:vertAlign w:val="baseline"/>
        </w:rPr>
        <w:t>Saller,</w:t>
      </w:r>
      <w:r>
        <w:rPr>
          <w:i/>
          <w:color w:val="231F20"/>
          <w:spacing w:val="-15"/>
          <w:sz w:val="24"/>
          <w:vertAlign w:val="baseline"/>
        </w:rPr>
        <w:t> </w:t>
      </w:r>
      <w:r>
        <w:rPr>
          <w:i/>
          <w:color w:val="231F20"/>
          <w:sz w:val="24"/>
          <w:vertAlign w:val="baseline"/>
        </w:rPr>
        <w:t>un</w:t>
      </w:r>
      <w:r>
        <w:rPr>
          <w:i/>
          <w:color w:val="231F20"/>
          <w:spacing w:val="-15"/>
          <w:sz w:val="24"/>
          <w:vertAlign w:val="baseline"/>
        </w:rPr>
        <w:t> </w:t>
      </w:r>
      <w:r>
        <w:rPr>
          <w:i/>
          <w:color w:val="231F20"/>
          <w:sz w:val="24"/>
          <w:vertAlign w:val="baseline"/>
        </w:rPr>
        <w:t>Malien</w:t>
      </w:r>
      <w:r>
        <w:rPr>
          <w:i/>
          <w:color w:val="231F20"/>
          <w:spacing w:val="-15"/>
          <w:sz w:val="24"/>
          <w:vertAlign w:val="baseline"/>
        </w:rPr>
        <w:t> </w:t>
      </w:r>
      <w:r>
        <w:rPr>
          <w:i/>
          <w:color w:val="231F20"/>
          <w:sz w:val="24"/>
          <w:vertAlign w:val="baseline"/>
        </w:rPr>
        <w:t>au</w:t>
      </w:r>
      <w:r>
        <w:rPr>
          <w:i/>
          <w:color w:val="231F20"/>
          <w:spacing w:val="-15"/>
          <w:sz w:val="24"/>
          <w:vertAlign w:val="baseline"/>
        </w:rPr>
        <w:t> </w:t>
      </w:r>
      <w:r>
        <w:rPr>
          <w:i/>
          <w:color w:val="231F20"/>
          <w:sz w:val="24"/>
          <w:vertAlign w:val="baseline"/>
        </w:rPr>
        <w:t>Plan,</w:t>
      </w:r>
      <w:r>
        <w:rPr>
          <w:i/>
          <w:color w:val="231F20"/>
          <w:spacing w:val="-15"/>
          <w:sz w:val="24"/>
          <w:vertAlign w:val="baseline"/>
        </w:rPr>
        <w:t> </w:t>
      </w:r>
      <w:r>
        <w:rPr>
          <w:i/>
          <w:color w:val="231F20"/>
          <w:sz w:val="24"/>
          <w:vertAlign w:val="baseline"/>
        </w:rPr>
        <w:t>M.</w:t>
      </w:r>
      <w:r>
        <w:rPr>
          <w:i/>
          <w:color w:val="231F20"/>
          <w:spacing w:val="-15"/>
          <w:sz w:val="24"/>
          <w:vertAlign w:val="baseline"/>
        </w:rPr>
        <w:t> </w:t>
      </w:r>
      <w:r>
        <w:rPr>
          <w:i/>
          <w:color w:val="231F20"/>
          <w:sz w:val="24"/>
          <w:vertAlign w:val="baseline"/>
        </w:rPr>
        <w:t>T.</w:t>
      </w:r>
      <w:r>
        <w:rPr>
          <w:i/>
          <w:color w:val="231F20"/>
          <w:spacing w:val="-15"/>
          <w:sz w:val="24"/>
          <w:vertAlign w:val="baseline"/>
        </w:rPr>
        <w:t> </w:t>
      </w:r>
      <w:r>
        <w:rPr>
          <w:i/>
          <w:color w:val="231F20"/>
          <w:sz w:val="24"/>
          <w:vertAlign w:val="baseline"/>
        </w:rPr>
        <w:t>Diawara,</w:t>
      </w:r>
      <w:r>
        <w:rPr>
          <w:i/>
          <w:color w:val="231F20"/>
          <w:spacing w:val="-15"/>
          <w:sz w:val="24"/>
          <w:vertAlign w:val="baseline"/>
        </w:rPr>
        <w:t> </w:t>
      </w:r>
      <w:r>
        <w:rPr>
          <w:i/>
          <w:color w:val="231F20"/>
          <w:sz w:val="24"/>
          <w:vertAlign w:val="baseline"/>
        </w:rPr>
        <w:t>un Voltaïque à l’Agriculture, M. Abdoulaye Sawadogo, un Sénégalais à l’Information, M. Amadou Thiam </w:t>
      </w:r>
      <w:r>
        <w:rPr>
          <w:color w:val="231F20"/>
          <w:sz w:val="24"/>
          <w:vertAlign w:val="baseline"/>
        </w:rPr>
        <w:t>(…)</w:t>
      </w:r>
    </w:p>
    <w:p>
      <w:pPr>
        <w:pStyle w:val="BodyText"/>
        <w:spacing w:before="120"/>
        <w:ind w:right="107" w:firstLine="283"/>
      </w:pPr>
      <w:r>
        <w:rPr>
          <w:color w:val="231F20"/>
        </w:rPr>
        <w:t>A force de médiatiser «</w:t>
      </w:r>
      <w:r>
        <w:rPr>
          <w:color w:val="231F20"/>
          <w:spacing w:val="-14"/>
        </w:rPr>
        <w:t> </w:t>
      </w:r>
      <w:r>
        <w:rPr>
          <w:color w:val="231F20"/>
        </w:rPr>
        <w:t>l’affaire Ouattara</w:t>
      </w:r>
      <w:r>
        <w:rPr>
          <w:color w:val="231F20"/>
          <w:spacing w:val="-15"/>
        </w:rPr>
        <w:t> </w:t>
      </w:r>
      <w:r>
        <w:rPr>
          <w:color w:val="231F20"/>
        </w:rPr>
        <w:t>», Bédié finit par faire de l’homme, le «</w:t>
      </w:r>
      <w:r>
        <w:rPr>
          <w:color w:val="231F20"/>
          <w:spacing w:val="-14"/>
        </w:rPr>
        <w:t> </w:t>
      </w:r>
      <w:r>
        <w:rPr>
          <w:color w:val="231F20"/>
        </w:rPr>
        <w:t>héros</w:t>
      </w:r>
      <w:r>
        <w:rPr>
          <w:color w:val="231F20"/>
          <w:spacing w:val="-14"/>
        </w:rPr>
        <w:t> </w:t>
      </w:r>
      <w:r>
        <w:rPr>
          <w:color w:val="231F20"/>
        </w:rPr>
        <w:t>» d’une partie de la population. Il lui donne ses habits</w:t>
      </w:r>
      <w:r>
        <w:rPr>
          <w:color w:val="231F20"/>
          <w:spacing w:val="-4"/>
        </w:rPr>
        <w:t> </w:t>
      </w:r>
      <w:r>
        <w:rPr>
          <w:color w:val="231F20"/>
        </w:rPr>
        <w:t>du</w:t>
      </w:r>
      <w:r>
        <w:rPr>
          <w:color w:val="231F20"/>
          <w:spacing w:val="-7"/>
        </w:rPr>
        <w:t> </w:t>
      </w:r>
      <w:r>
        <w:rPr>
          <w:color w:val="231F20"/>
        </w:rPr>
        <w:t>candidat</w:t>
      </w:r>
      <w:r>
        <w:rPr>
          <w:color w:val="231F20"/>
          <w:spacing w:val="-4"/>
        </w:rPr>
        <w:t> </w:t>
      </w:r>
      <w:r>
        <w:rPr>
          <w:color w:val="231F20"/>
        </w:rPr>
        <w:t>dont</w:t>
      </w:r>
      <w:r>
        <w:rPr>
          <w:color w:val="231F20"/>
          <w:spacing w:val="-6"/>
        </w:rPr>
        <w:t> </w:t>
      </w:r>
      <w:r>
        <w:rPr>
          <w:color w:val="231F20"/>
        </w:rPr>
        <w:t>il</w:t>
      </w:r>
      <w:r>
        <w:rPr>
          <w:color w:val="231F20"/>
          <w:spacing w:val="-8"/>
        </w:rPr>
        <w:t> </w:t>
      </w:r>
      <w:r>
        <w:rPr>
          <w:color w:val="231F20"/>
        </w:rPr>
        <w:t>aurait</w:t>
      </w:r>
      <w:r>
        <w:rPr>
          <w:color w:val="231F20"/>
          <w:spacing w:val="-4"/>
        </w:rPr>
        <w:t> </w:t>
      </w:r>
      <w:r>
        <w:rPr>
          <w:color w:val="231F20"/>
        </w:rPr>
        <w:t>peur</w:t>
      </w:r>
      <w:r>
        <w:rPr>
          <w:color w:val="231F20"/>
          <w:spacing w:val="-8"/>
        </w:rPr>
        <w:t> </w:t>
      </w:r>
      <w:r>
        <w:rPr>
          <w:color w:val="231F20"/>
        </w:rPr>
        <w:t>d’affronter</w:t>
      </w:r>
      <w:r>
        <w:rPr>
          <w:color w:val="231F20"/>
          <w:spacing w:val="-8"/>
        </w:rPr>
        <w:t> </w:t>
      </w:r>
      <w:r>
        <w:rPr>
          <w:color w:val="231F20"/>
        </w:rPr>
        <w:t>dans</w:t>
      </w:r>
      <w:r>
        <w:rPr>
          <w:color w:val="231F20"/>
          <w:spacing w:val="-5"/>
        </w:rPr>
        <w:t> </w:t>
      </w:r>
      <w:r>
        <w:rPr>
          <w:color w:val="231F20"/>
        </w:rPr>
        <w:t>les</w:t>
      </w:r>
      <w:r>
        <w:rPr>
          <w:color w:val="231F20"/>
          <w:spacing w:val="-7"/>
        </w:rPr>
        <w:t> </w:t>
      </w:r>
      <w:r>
        <w:rPr>
          <w:color w:val="231F20"/>
        </w:rPr>
        <w:t>urnes.</w:t>
      </w:r>
    </w:p>
    <w:p>
      <w:pPr>
        <w:spacing w:before="121"/>
        <w:ind w:left="111" w:right="107" w:firstLine="283"/>
        <w:jc w:val="both"/>
        <w:rPr>
          <w:sz w:val="24"/>
        </w:rPr>
      </w:pPr>
      <w:r>
        <w:rPr>
          <w:color w:val="231F20"/>
          <w:sz w:val="24"/>
        </w:rPr>
        <w:t>Malgré</w:t>
      </w:r>
      <w:r>
        <w:rPr>
          <w:color w:val="231F20"/>
          <w:spacing w:val="-15"/>
          <w:sz w:val="24"/>
        </w:rPr>
        <w:t> </w:t>
      </w:r>
      <w:r>
        <w:rPr>
          <w:color w:val="231F20"/>
          <w:sz w:val="24"/>
        </w:rPr>
        <w:t>le</w:t>
      </w:r>
      <w:r>
        <w:rPr>
          <w:color w:val="231F20"/>
          <w:spacing w:val="-14"/>
          <w:sz w:val="24"/>
        </w:rPr>
        <w:t> </w:t>
      </w:r>
      <w:r>
        <w:rPr>
          <w:color w:val="231F20"/>
          <w:sz w:val="24"/>
        </w:rPr>
        <w:t>climat</w:t>
      </w:r>
      <w:r>
        <w:rPr>
          <w:color w:val="231F20"/>
          <w:spacing w:val="-9"/>
          <w:sz w:val="24"/>
        </w:rPr>
        <w:t> </w:t>
      </w:r>
      <w:r>
        <w:rPr>
          <w:color w:val="231F20"/>
          <w:sz w:val="24"/>
        </w:rPr>
        <w:t>politique</w:t>
      </w:r>
      <w:r>
        <w:rPr>
          <w:color w:val="231F20"/>
          <w:spacing w:val="-9"/>
          <w:sz w:val="24"/>
        </w:rPr>
        <w:t> </w:t>
      </w:r>
      <w:r>
        <w:rPr>
          <w:color w:val="231F20"/>
          <w:sz w:val="24"/>
        </w:rPr>
        <w:t>malsain</w:t>
      </w:r>
      <w:r>
        <w:rPr>
          <w:color w:val="231F20"/>
          <w:spacing w:val="-11"/>
          <w:sz w:val="24"/>
        </w:rPr>
        <w:t> </w:t>
      </w:r>
      <w:r>
        <w:rPr>
          <w:color w:val="231F20"/>
          <w:sz w:val="24"/>
        </w:rPr>
        <w:t>instauré</w:t>
      </w:r>
      <w:r>
        <w:rPr>
          <w:color w:val="231F20"/>
          <w:spacing w:val="-9"/>
          <w:sz w:val="24"/>
        </w:rPr>
        <w:t> </w:t>
      </w:r>
      <w:r>
        <w:rPr>
          <w:color w:val="231F20"/>
          <w:sz w:val="24"/>
        </w:rPr>
        <w:t>par</w:t>
      </w:r>
      <w:r>
        <w:rPr>
          <w:color w:val="231F20"/>
          <w:spacing w:val="-9"/>
          <w:sz w:val="24"/>
        </w:rPr>
        <w:t> </w:t>
      </w:r>
      <w:r>
        <w:rPr>
          <w:color w:val="231F20"/>
          <w:sz w:val="24"/>
        </w:rPr>
        <w:t>les</w:t>
      </w:r>
      <w:r>
        <w:rPr>
          <w:color w:val="231F20"/>
          <w:spacing w:val="-10"/>
          <w:sz w:val="24"/>
        </w:rPr>
        <w:t> </w:t>
      </w:r>
      <w:r>
        <w:rPr>
          <w:color w:val="231F20"/>
          <w:sz w:val="24"/>
        </w:rPr>
        <w:t>deux</w:t>
      </w:r>
      <w:r>
        <w:rPr>
          <w:color w:val="231F20"/>
          <w:spacing w:val="-11"/>
          <w:sz w:val="24"/>
        </w:rPr>
        <w:t> </w:t>
      </w:r>
      <w:r>
        <w:rPr>
          <w:color w:val="231F20"/>
          <w:sz w:val="24"/>
        </w:rPr>
        <w:t>«</w:t>
      </w:r>
      <w:r>
        <w:rPr>
          <w:color w:val="231F20"/>
          <w:spacing w:val="-15"/>
          <w:sz w:val="24"/>
        </w:rPr>
        <w:t> </w:t>
      </w:r>
      <w:r>
        <w:rPr>
          <w:color w:val="231F20"/>
          <w:sz w:val="24"/>
        </w:rPr>
        <w:t>héritiers</w:t>
      </w:r>
      <w:r>
        <w:rPr>
          <w:color w:val="231F20"/>
          <w:spacing w:val="-15"/>
          <w:sz w:val="24"/>
        </w:rPr>
        <w:t> </w:t>
      </w:r>
      <w:r>
        <w:rPr>
          <w:color w:val="231F20"/>
          <w:sz w:val="24"/>
        </w:rPr>
        <w:t>», malgré la distribution d’un tract connu sous le titre de « la charte du Nord</w:t>
      </w:r>
      <w:r>
        <w:rPr>
          <w:color w:val="231F20"/>
          <w:spacing w:val="-14"/>
          <w:sz w:val="24"/>
        </w:rPr>
        <w:t> </w:t>
      </w:r>
      <w:r>
        <w:rPr>
          <w:color w:val="231F20"/>
          <w:sz w:val="24"/>
        </w:rPr>
        <w:t>» qui divise le pays en deux, Nord et Sud, les Ivoiriens habitués, depuis la période du père de la nation à vivre en paix ne sont pas </w:t>
      </w:r>
      <w:r>
        <w:rPr>
          <w:color w:val="231F20"/>
          <w:spacing w:val="-2"/>
          <w:sz w:val="24"/>
        </w:rPr>
        <w:t>inquiets:</w:t>
      </w:r>
      <w:r>
        <w:rPr>
          <w:i/>
          <w:color w:val="231F20"/>
          <w:spacing w:val="-2"/>
          <w:sz w:val="24"/>
        </w:rPr>
        <w:t>«</w:t>
      </w:r>
      <w:r>
        <w:rPr>
          <w:i/>
          <w:color w:val="231F20"/>
          <w:spacing w:val="-12"/>
          <w:sz w:val="24"/>
        </w:rPr>
        <w:t> </w:t>
      </w:r>
      <w:r>
        <w:rPr>
          <w:i/>
          <w:color w:val="231F20"/>
          <w:spacing w:val="-2"/>
          <w:sz w:val="24"/>
        </w:rPr>
        <w:t>le</w:t>
      </w:r>
      <w:r>
        <w:rPr>
          <w:i/>
          <w:color w:val="231F20"/>
          <w:spacing w:val="-7"/>
          <w:sz w:val="24"/>
        </w:rPr>
        <w:t> </w:t>
      </w:r>
      <w:r>
        <w:rPr>
          <w:i/>
          <w:color w:val="231F20"/>
          <w:spacing w:val="-2"/>
          <w:sz w:val="24"/>
        </w:rPr>
        <w:t>dialogue</w:t>
      </w:r>
      <w:r>
        <w:rPr>
          <w:i/>
          <w:color w:val="231F20"/>
          <w:spacing w:val="-7"/>
          <w:sz w:val="24"/>
        </w:rPr>
        <w:t> </w:t>
      </w:r>
      <w:r>
        <w:rPr>
          <w:i/>
          <w:color w:val="231F20"/>
          <w:spacing w:val="-2"/>
          <w:sz w:val="24"/>
        </w:rPr>
        <w:t>est</w:t>
      </w:r>
      <w:r>
        <w:rPr>
          <w:i/>
          <w:color w:val="231F20"/>
          <w:spacing w:val="-9"/>
          <w:sz w:val="24"/>
        </w:rPr>
        <w:t> </w:t>
      </w:r>
      <w:r>
        <w:rPr>
          <w:i/>
          <w:color w:val="231F20"/>
          <w:spacing w:val="-2"/>
          <w:sz w:val="24"/>
        </w:rPr>
        <w:t>l’arme</w:t>
      </w:r>
      <w:r>
        <w:rPr>
          <w:i/>
          <w:color w:val="231F20"/>
          <w:spacing w:val="-7"/>
          <w:sz w:val="24"/>
        </w:rPr>
        <w:t> </w:t>
      </w:r>
      <w:r>
        <w:rPr>
          <w:i/>
          <w:color w:val="231F20"/>
          <w:spacing w:val="-2"/>
          <w:sz w:val="24"/>
        </w:rPr>
        <w:t>des</w:t>
      </w:r>
      <w:r>
        <w:rPr>
          <w:i/>
          <w:color w:val="231F20"/>
          <w:spacing w:val="-7"/>
          <w:sz w:val="24"/>
        </w:rPr>
        <w:t> </w:t>
      </w:r>
      <w:r>
        <w:rPr>
          <w:i/>
          <w:color w:val="231F20"/>
          <w:spacing w:val="-2"/>
          <w:sz w:val="24"/>
        </w:rPr>
        <w:t>forts</w:t>
      </w:r>
      <w:r>
        <w:rPr>
          <w:i/>
          <w:color w:val="231F20"/>
          <w:spacing w:val="-7"/>
          <w:sz w:val="24"/>
        </w:rPr>
        <w:t> </w:t>
      </w:r>
      <w:r>
        <w:rPr>
          <w:i/>
          <w:color w:val="231F20"/>
          <w:spacing w:val="-2"/>
          <w:sz w:val="24"/>
        </w:rPr>
        <w:t>et</w:t>
      </w:r>
      <w:r>
        <w:rPr>
          <w:i/>
          <w:color w:val="231F20"/>
          <w:spacing w:val="-9"/>
          <w:sz w:val="24"/>
        </w:rPr>
        <w:t> </w:t>
      </w:r>
      <w:r>
        <w:rPr>
          <w:i/>
          <w:color w:val="231F20"/>
          <w:spacing w:val="-2"/>
          <w:sz w:val="24"/>
        </w:rPr>
        <w:t>non</w:t>
      </w:r>
      <w:r>
        <w:rPr>
          <w:i/>
          <w:color w:val="231F20"/>
          <w:spacing w:val="-9"/>
          <w:sz w:val="24"/>
        </w:rPr>
        <w:t> </w:t>
      </w:r>
      <w:r>
        <w:rPr>
          <w:i/>
          <w:color w:val="231F20"/>
          <w:spacing w:val="-2"/>
          <w:sz w:val="24"/>
        </w:rPr>
        <w:t>des</w:t>
      </w:r>
      <w:r>
        <w:rPr>
          <w:i/>
          <w:color w:val="231F20"/>
          <w:spacing w:val="-7"/>
          <w:sz w:val="24"/>
        </w:rPr>
        <w:t> </w:t>
      </w:r>
      <w:r>
        <w:rPr>
          <w:i/>
          <w:color w:val="231F20"/>
          <w:spacing w:val="-2"/>
          <w:sz w:val="24"/>
        </w:rPr>
        <w:t>faibles,</w:t>
      </w:r>
      <w:r>
        <w:rPr>
          <w:i/>
          <w:color w:val="231F20"/>
          <w:spacing w:val="-7"/>
          <w:sz w:val="24"/>
        </w:rPr>
        <w:t> </w:t>
      </w:r>
      <w:r>
        <w:rPr>
          <w:i/>
          <w:color w:val="231F20"/>
          <w:spacing w:val="-2"/>
          <w:sz w:val="24"/>
        </w:rPr>
        <w:t>c’est</w:t>
      </w:r>
      <w:r>
        <w:rPr>
          <w:i/>
          <w:color w:val="231F20"/>
          <w:spacing w:val="-7"/>
          <w:sz w:val="24"/>
        </w:rPr>
        <w:t> </w:t>
      </w:r>
      <w:r>
        <w:rPr>
          <w:i/>
          <w:color w:val="231F20"/>
          <w:spacing w:val="-2"/>
          <w:sz w:val="24"/>
        </w:rPr>
        <w:t>l’arme</w:t>
      </w:r>
      <w:r>
        <w:rPr>
          <w:i/>
          <w:color w:val="231F20"/>
          <w:spacing w:val="-2"/>
          <w:sz w:val="24"/>
        </w:rPr>
        <w:t> </w:t>
      </w:r>
      <w:r>
        <w:rPr>
          <w:i/>
          <w:color w:val="231F20"/>
          <w:sz w:val="24"/>
        </w:rPr>
        <w:t>de ceux qui font passer leurs problèmes généraux avant les problèmes </w:t>
      </w:r>
      <w:r>
        <w:rPr>
          <w:i/>
          <w:color w:val="231F20"/>
          <w:spacing w:val="-2"/>
          <w:sz w:val="24"/>
        </w:rPr>
        <w:t>particuliers,</w:t>
      </w:r>
      <w:r>
        <w:rPr>
          <w:i/>
          <w:color w:val="231F20"/>
          <w:spacing w:val="-15"/>
          <w:sz w:val="24"/>
        </w:rPr>
        <w:t> </w:t>
      </w:r>
      <w:r>
        <w:rPr>
          <w:i/>
          <w:color w:val="231F20"/>
          <w:spacing w:val="-2"/>
          <w:sz w:val="24"/>
        </w:rPr>
        <w:t>avant</w:t>
      </w:r>
      <w:r>
        <w:rPr>
          <w:i/>
          <w:color w:val="231F20"/>
          <w:spacing w:val="-13"/>
          <w:sz w:val="24"/>
        </w:rPr>
        <w:t> </w:t>
      </w:r>
      <w:r>
        <w:rPr>
          <w:i/>
          <w:color w:val="231F20"/>
          <w:spacing w:val="-2"/>
          <w:sz w:val="24"/>
        </w:rPr>
        <w:t>les</w:t>
      </w:r>
      <w:r>
        <w:rPr>
          <w:i/>
          <w:color w:val="231F20"/>
          <w:spacing w:val="-13"/>
          <w:sz w:val="24"/>
        </w:rPr>
        <w:t> </w:t>
      </w:r>
      <w:r>
        <w:rPr>
          <w:i/>
          <w:color w:val="231F20"/>
          <w:spacing w:val="-2"/>
          <w:sz w:val="24"/>
        </w:rPr>
        <w:t>questions</w:t>
      </w:r>
      <w:r>
        <w:rPr>
          <w:i/>
          <w:color w:val="231F20"/>
          <w:spacing w:val="-13"/>
          <w:sz w:val="24"/>
        </w:rPr>
        <w:t> </w:t>
      </w:r>
      <w:r>
        <w:rPr>
          <w:i/>
          <w:color w:val="231F20"/>
          <w:spacing w:val="-2"/>
          <w:sz w:val="24"/>
        </w:rPr>
        <w:t>d’amour</w:t>
      </w:r>
      <w:r>
        <w:rPr>
          <w:i/>
          <w:color w:val="231F20"/>
          <w:spacing w:val="-13"/>
          <w:sz w:val="24"/>
        </w:rPr>
        <w:t> </w:t>
      </w:r>
      <w:r>
        <w:rPr>
          <w:i/>
          <w:color w:val="231F20"/>
          <w:spacing w:val="-2"/>
          <w:sz w:val="24"/>
        </w:rPr>
        <w:t>propre</w:t>
      </w:r>
      <w:r>
        <w:rPr>
          <w:i/>
          <w:color w:val="231F20"/>
          <w:spacing w:val="-13"/>
          <w:sz w:val="24"/>
        </w:rPr>
        <w:t> </w:t>
      </w:r>
      <w:r>
        <w:rPr>
          <w:i/>
          <w:color w:val="231F20"/>
          <w:spacing w:val="-2"/>
          <w:sz w:val="24"/>
        </w:rPr>
        <w:t>»</w:t>
      </w:r>
      <w:r>
        <w:rPr>
          <w:i/>
          <w:color w:val="231F20"/>
          <w:spacing w:val="-13"/>
          <w:sz w:val="24"/>
        </w:rPr>
        <w:t> </w:t>
      </w:r>
      <w:r>
        <w:rPr>
          <w:color w:val="231F20"/>
          <w:spacing w:val="-2"/>
          <w:sz w:val="24"/>
        </w:rPr>
        <w:t>ne</w:t>
      </w:r>
      <w:r>
        <w:rPr>
          <w:color w:val="231F20"/>
          <w:spacing w:val="-13"/>
          <w:sz w:val="24"/>
        </w:rPr>
        <w:t> </w:t>
      </w:r>
      <w:r>
        <w:rPr>
          <w:color w:val="231F20"/>
          <w:spacing w:val="-2"/>
          <w:sz w:val="24"/>
        </w:rPr>
        <w:t>cessait-il</w:t>
      </w:r>
      <w:r>
        <w:rPr>
          <w:color w:val="231F20"/>
          <w:spacing w:val="-13"/>
          <w:sz w:val="24"/>
        </w:rPr>
        <w:t> </w:t>
      </w:r>
      <w:r>
        <w:rPr>
          <w:color w:val="231F20"/>
          <w:spacing w:val="-2"/>
          <w:sz w:val="24"/>
        </w:rPr>
        <w:t>de</w:t>
      </w:r>
      <w:r>
        <w:rPr>
          <w:color w:val="231F20"/>
          <w:spacing w:val="-13"/>
          <w:sz w:val="24"/>
        </w:rPr>
        <w:t> </w:t>
      </w:r>
      <w:r>
        <w:rPr>
          <w:color w:val="231F20"/>
          <w:spacing w:val="-2"/>
          <w:sz w:val="24"/>
        </w:rPr>
        <w:t>répéter </w:t>
      </w:r>
      <w:r>
        <w:rPr>
          <w:color w:val="231F20"/>
          <w:sz w:val="24"/>
        </w:rPr>
        <w:t>à son peuple.</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70"/>
        <w:ind w:left="0"/>
        <w:jc w:val="left"/>
        <w:rPr>
          <w:sz w:val="20"/>
        </w:rPr>
      </w:pPr>
      <w:r>
        <w:rPr/>
        <mc:AlternateContent>
          <mc:Choice Requires="wps">
            <w:drawing>
              <wp:anchor distT="0" distB="0" distL="0" distR="0" allowOverlap="1" layoutInCell="1" locked="0" behindDoc="1" simplePos="0" relativeHeight="487639040">
                <wp:simplePos x="0" y="0"/>
                <wp:positionH relativeFrom="page">
                  <wp:posOffset>629907</wp:posOffset>
                </wp:positionH>
                <wp:positionV relativeFrom="paragraph">
                  <wp:posOffset>205950</wp:posOffset>
                </wp:positionV>
                <wp:extent cx="1829435" cy="9525"/>
                <wp:effectExtent l="0" t="0" r="0" b="0"/>
                <wp:wrapTopAndBottom/>
                <wp:docPr id="129" name="Graphic 129"/>
                <wp:cNvGraphicFramePr>
                  <a:graphicFrameLocks/>
                </wp:cNvGraphicFramePr>
                <a:graphic>
                  <a:graphicData uri="http://schemas.microsoft.com/office/word/2010/wordprocessingShape">
                    <wps:wsp>
                      <wps:cNvPr id="129" name="Graphic 12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216602pt;width:144.020pt;height:.72pt;mso-position-horizontal-relative:page;mso-position-vertical-relative:paragraph;z-index:-15677440;mso-wrap-distance-left:0;mso-wrap-distance-right:0" id="docshape127" filled="true" fillcolor="#231f20" stroked="false">
                <v:fill type="solid"/>
                <w10:wrap type="topAndBottom"/>
              </v:rect>
            </w:pict>
          </mc:Fallback>
        </mc:AlternateContent>
      </w:r>
    </w:p>
    <w:p>
      <w:pPr>
        <w:spacing w:before="94"/>
        <w:ind w:left="111" w:right="0" w:firstLine="0"/>
        <w:jc w:val="left"/>
        <w:rPr>
          <w:sz w:val="20"/>
        </w:rPr>
      </w:pPr>
      <w:r>
        <w:rPr>
          <w:color w:val="76787A"/>
          <w:sz w:val="20"/>
          <w:vertAlign w:val="superscript"/>
        </w:rPr>
        <w:t>161</w:t>
      </w:r>
      <w:r>
        <w:rPr>
          <w:color w:val="76787A"/>
          <w:sz w:val="20"/>
          <w:vertAlign w:val="baseline"/>
        </w:rPr>
        <w:t> </w:t>
      </w:r>
      <w:r>
        <w:rPr>
          <w:color w:val="231F20"/>
          <w:sz w:val="20"/>
          <w:vertAlign w:val="baseline"/>
        </w:rPr>
        <w:t>Plon,</w:t>
      </w:r>
      <w:r>
        <w:rPr>
          <w:color w:val="231F20"/>
          <w:spacing w:val="19"/>
          <w:sz w:val="20"/>
          <w:vertAlign w:val="baseline"/>
        </w:rPr>
        <w:t> </w:t>
      </w:r>
      <w:r>
        <w:rPr>
          <w:color w:val="231F20"/>
          <w:sz w:val="20"/>
          <w:vertAlign w:val="baseline"/>
        </w:rPr>
        <w:t>1999,</w:t>
      </w:r>
      <w:r>
        <w:rPr>
          <w:color w:val="231F20"/>
          <w:spacing w:val="21"/>
          <w:sz w:val="20"/>
          <w:vertAlign w:val="baseline"/>
        </w:rPr>
        <w:t> </w:t>
      </w:r>
      <w:r>
        <w:rPr>
          <w:color w:val="231F20"/>
          <w:sz w:val="20"/>
          <w:vertAlign w:val="baseline"/>
        </w:rPr>
        <w:t>Entretiens</w:t>
      </w:r>
      <w:r>
        <w:rPr>
          <w:color w:val="231F20"/>
          <w:spacing w:val="19"/>
          <w:sz w:val="20"/>
          <w:vertAlign w:val="baseline"/>
        </w:rPr>
        <w:t> </w:t>
      </w:r>
      <w:r>
        <w:rPr>
          <w:color w:val="231F20"/>
          <w:sz w:val="20"/>
          <w:vertAlign w:val="baseline"/>
        </w:rPr>
        <w:t>Éric</w:t>
      </w:r>
      <w:r>
        <w:rPr>
          <w:color w:val="231F20"/>
          <w:spacing w:val="19"/>
          <w:sz w:val="20"/>
          <w:vertAlign w:val="baseline"/>
        </w:rPr>
        <w:t> </w:t>
      </w:r>
      <w:r>
        <w:rPr>
          <w:color w:val="231F20"/>
          <w:sz w:val="20"/>
          <w:vertAlign w:val="baseline"/>
        </w:rPr>
        <w:t>Laurent,</w:t>
      </w:r>
      <w:r>
        <w:rPr>
          <w:color w:val="231F20"/>
          <w:spacing w:val="22"/>
          <w:sz w:val="20"/>
          <w:vertAlign w:val="baseline"/>
        </w:rPr>
        <w:t> </w:t>
      </w:r>
      <w:r>
        <w:rPr>
          <w:color w:val="231F20"/>
          <w:sz w:val="20"/>
          <w:vertAlign w:val="baseline"/>
        </w:rPr>
        <w:t>journaliste</w:t>
      </w:r>
      <w:r>
        <w:rPr>
          <w:color w:val="231F20"/>
          <w:spacing w:val="20"/>
          <w:sz w:val="20"/>
          <w:vertAlign w:val="baseline"/>
        </w:rPr>
        <w:t> </w:t>
      </w:r>
      <w:r>
        <w:rPr>
          <w:color w:val="231F20"/>
          <w:sz w:val="20"/>
          <w:vertAlign w:val="baseline"/>
        </w:rPr>
        <w:t>français,</w:t>
      </w:r>
      <w:r>
        <w:rPr>
          <w:color w:val="231F20"/>
          <w:spacing w:val="19"/>
          <w:sz w:val="20"/>
          <w:vertAlign w:val="baseline"/>
        </w:rPr>
        <w:t> </w:t>
      </w:r>
      <w:r>
        <w:rPr>
          <w:color w:val="231F20"/>
          <w:sz w:val="20"/>
          <w:vertAlign w:val="baseline"/>
        </w:rPr>
        <w:t>spécialisé</w:t>
      </w:r>
      <w:r>
        <w:rPr>
          <w:color w:val="231F20"/>
          <w:spacing w:val="20"/>
          <w:sz w:val="20"/>
          <w:vertAlign w:val="baseline"/>
        </w:rPr>
        <w:t> </w:t>
      </w:r>
      <w:r>
        <w:rPr>
          <w:color w:val="231F20"/>
          <w:sz w:val="20"/>
          <w:vertAlign w:val="baseline"/>
        </w:rPr>
        <w:t>en</w:t>
      </w:r>
      <w:r>
        <w:rPr>
          <w:color w:val="231F20"/>
          <w:spacing w:val="19"/>
          <w:sz w:val="20"/>
          <w:vertAlign w:val="baseline"/>
        </w:rPr>
        <w:t> </w:t>
      </w:r>
      <w:r>
        <w:rPr>
          <w:color w:val="231F20"/>
          <w:sz w:val="20"/>
          <w:vertAlign w:val="baseline"/>
        </w:rPr>
        <w:t>politique </w:t>
      </w:r>
      <w:r>
        <w:rPr>
          <w:color w:val="231F20"/>
          <w:spacing w:val="-2"/>
          <w:sz w:val="20"/>
          <w:vertAlign w:val="baseline"/>
        </w:rPr>
        <w:t>internationale.</w:t>
      </w:r>
    </w:p>
    <w:p>
      <w:pPr>
        <w:spacing w:after="0"/>
        <w:jc w:val="left"/>
        <w:rPr>
          <w:sz w:val="20"/>
        </w:rPr>
        <w:sectPr>
          <w:pgSz w:w="8790" w:h="13610"/>
          <w:pgMar w:header="0" w:footer="802" w:top="1060" w:bottom="1000" w:left="880" w:right="880"/>
        </w:sectPr>
      </w:pPr>
    </w:p>
    <w:p>
      <w:pPr>
        <w:pStyle w:val="BodyText"/>
        <w:spacing w:before="66"/>
        <w:ind w:right="107" w:firstLine="283"/>
      </w:pPr>
      <w:r>
        <w:rPr>
          <w:color w:val="231F20"/>
        </w:rPr>
        <w:t>Apparemment,</w:t>
      </w:r>
      <w:r>
        <w:rPr>
          <w:color w:val="231F20"/>
          <w:spacing w:val="-1"/>
        </w:rPr>
        <w:t> </w:t>
      </w:r>
      <w:r>
        <w:rPr>
          <w:color w:val="231F20"/>
        </w:rPr>
        <w:t>l’enseignement</w:t>
      </w:r>
      <w:r>
        <w:rPr>
          <w:color w:val="231F20"/>
          <w:spacing w:val="-1"/>
        </w:rPr>
        <w:t> </w:t>
      </w:r>
      <w:r>
        <w:rPr>
          <w:color w:val="231F20"/>
        </w:rPr>
        <w:t>du</w:t>
      </w:r>
      <w:r>
        <w:rPr>
          <w:color w:val="231F20"/>
          <w:spacing w:val="-2"/>
        </w:rPr>
        <w:t> </w:t>
      </w:r>
      <w:r>
        <w:rPr>
          <w:color w:val="231F20"/>
        </w:rPr>
        <w:t>Président</w:t>
      </w:r>
      <w:r>
        <w:rPr>
          <w:color w:val="231F20"/>
          <w:spacing w:val="-1"/>
        </w:rPr>
        <w:t> </w:t>
      </w:r>
      <w:r>
        <w:rPr>
          <w:color w:val="231F20"/>
        </w:rPr>
        <w:t>Houphouët-Boigny</w:t>
      </w:r>
      <w:r>
        <w:rPr>
          <w:color w:val="231F20"/>
          <w:spacing w:val="-1"/>
        </w:rPr>
        <w:t> </w:t>
      </w:r>
      <w:r>
        <w:rPr>
          <w:color w:val="231F20"/>
        </w:rPr>
        <w:t>n’a pas été entendu par tous ceux qui disent avoir appris auprès de lui, à commencer</w:t>
      </w:r>
      <w:r>
        <w:rPr>
          <w:color w:val="231F20"/>
          <w:spacing w:val="-6"/>
        </w:rPr>
        <w:t> </w:t>
      </w:r>
      <w:r>
        <w:rPr>
          <w:color w:val="231F20"/>
        </w:rPr>
        <w:t>par</w:t>
      </w:r>
      <w:r>
        <w:rPr>
          <w:color w:val="231F20"/>
          <w:spacing w:val="-6"/>
        </w:rPr>
        <w:t> </w:t>
      </w:r>
      <w:r>
        <w:rPr>
          <w:color w:val="231F20"/>
        </w:rPr>
        <w:t>Henri</w:t>
      </w:r>
      <w:r>
        <w:rPr>
          <w:color w:val="231F20"/>
          <w:spacing w:val="-6"/>
        </w:rPr>
        <w:t> </w:t>
      </w:r>
      <w:r>
        <w:rPr>
          <w:color w:val="231F20"/>
        </w:rPr>
        <w:t>Konan</w:t>
      </w:r>
      <w:r>
        <w:rPr>
          <w:color w:val="231F20"/>
          <w:spacing w:val="-6"/>
        </w:rPr>
        <w:t> </w:t>
      </w:r>
      <w:r>
        <w:rPr>
          <w:color w:val="231F20"/>
        </w:rPr>
        <w:t>Bédié</w:t>
      </w:r>
      <w:r>
        <w:rPr>
          <w:color w:val="231F20"/>
          <w:spacing w:val="-6"/>
        </w:rPr>
        <w:t> </w:t>
      </w:r>
      <w:r>
        <w:rPr>
          <w:color w:val="231F20"/>
        </w:rPr>
        <w:t>et</w:t>
      </w:r>
      <w:r>
        <w:rPr>
          <w:color w:val="231F20"/>
          <w:spacing w:val="-6"/>
        </w:rPr>
        <w:t> </w:t>
      </w:r>
      <w:r>
        <w:rPr>
          <w:color w:val="231F20"/>
        </w:rPr>
        <w:t>Alassane</w:t>
      </w:r>
      <w:r>
        <w:rPr>
          <w:color w:val="231F20"/>
          <w:spacing w:val="-6"/>
        </w:rPr>
        <w:t> </w:t>
      </w:r>
      <w:r>
        <w:rPr>
          <w:color w:val="231F20"/>
        </w:rPr>
        <w:t>Dramane</w:t>
      </w:r>
      <w:r>
        <w:rPr>
          <w:color w:val="231F20"/>
          <w:spacing w:val="-6"/>
        </w:rPr>
        <w:t> </w:t>
      </w:r>
      <w:r>
        <w:rPr>
          <w:color w:val="231F20"/>
        </w:rPr>
        <w:t>Ouattara.</w:t>
      </w:r>
    </w:p>
    <w:p>
      <w:pPr>
        <w:spacing w:before="120"/>
        <w:ind w:left="111" w:right="104" w:firstLine="283"/>
        <w:jc w:val="both"/>
        <w:rPr>
          <w:i/>
          <w:sz w:val="24"/>
        </w:rPr>
      </w:pPr>
      <w:r>
        <w:rPr>
          <w:color w:val="231F20"/>
          <w:sz w:val="24"/>
        </w:rPr>
        <w:t>Le mercredi 22 décembre 1999, dans la rotonde de l’Assemblée nationale,</w:t>
      </w:r>
      <w:r>
        <w:rPr>
          <w:color w:val="231F20"/>
          <w:spacing w:val="-15"/>
          <w:sz w:val="24"/>
        </w:rPr>
        <w:t> </w:t>
      </w:r>
      <w:r>
        <w:rPr>
          <w:color w:val="231F20"/>
          <w:sz w:val="24"/>
        </w:rPr>
        <w:t>Bédié</w:t>
      </w:r>
      <w:r>
        <w:rPr>
          <w:color w:val="231F20"/>
          <w:spacing w:val="-15"/>
          <w:sz w:val="24"/>
        </w:rPr>
        <w:t> </w:t>
      </w:r>
      <w:r>
        <w:rPr>
          <w:color w:val="231F20"/>
          <w:sz w:val="24"/>
        </w:rPr>
        <w:t>poursuit</w:t>
      </w:r>
      <w:r>
        <w:rPr>
          <w:color w:val="231F20"/>
          <w:spacing w:val="-15"/>
          <w:sz w:val="24"/>
        </w:rPr>
        <w:t> </w:t>
      </w:r>
      <w:r>
        <w:rPr>
          <w:color w:val="231F20"/>
          <w:sz w:val="24"/>
        </w:rPr>
        <w:t>sa</w:t>
      </w:r>
      <w:r>
        <w:rPr>
          <w:color w:val="231F20"/>
          <w:spacing w:val="-15"/>
          <w:sz w:val="24"/>
        </w:rPr>
        <w:t> </w:t>
      </w:r>
      <w:r>
        <w:rPr>
          <w:color w:val="231F20"/>
          <w:sz w:val="24"/>
        </w:rPr>
        <w:t>diatribe</w:t>
      </w:r>
      <w:r>
        <w:rPr>
          <w:color w:val="231F20"/>
          <w:spacing w:val="-15"/>
          <w:sz w:val="24"/>
        </w:rPr>
        <w:t> </w:t>
      </w:r>
      <w:r>
        <w:rPr>
          <w:color w:val="231F20"/>
          <w:sz w:val="24"/>
        </w:rPr>
        <w:t>contre</w:t>
      </w:r>
      <w:r>
        <w:rPr>
          <w:color w:val="231F20"/>
          <w:spacing w:val="-15"/>
          <w:sz w:val="24"/>
        </w:rPr>
        <w:t> </w:t>
      </w:r>
      <w:r>
        <w:rPr>
          <w:color w:val="231F20"/>
          <w:sz w:val="24"/>
        </w:rPr>
        <w:t>Ouattara</w:t>
      </w:r>
      <w:r>
        <w:rPr>
          <w:color w:val="231F20"/>
          <w:spacing w:val="-15"/>
          <w:sz w:val="24"/>
        </w:rPr>
        <w:t> </w:t>
      </w:r>
      <w:r>
        <w:rPr>
          <w:color w:val="231F20"/>
          <w:sz w:val="24"/>
        </w:rPr>
        <w:t>:</w:t>
      </w:r>
      <w:r>
        <w:rPr>
          <w:i/>
          <w:color w:val="231F20"/>
          <w:sz w:val="24"/>
        </w:rPr>
        <w:t>«</w:t>
      </w:r>
      <w:r>
        <w:rPr>
          <w:i/>
          <w:color w:val="231F20"/>
          <w:spacing w:val="-15"/>
          <w:sz w:val="24"/>
        </w:rPr>
        <w:t> </w:t>
      </w:r>
      <w:r>
        <w:rPr>
          <w:i/>
          <w:color w:val="231F20"/>
          <w:sz w:val="24"/>
        </w:rPr>
        <w:t>(…)</w:t>
      </w:r>
      <w:r>
        <w:rPr>
          <w:i/>
          <w:color w:val="231F20"/>
          <w:spacing w:val="-15"/>
          <w:sz w:val="24"/>
        </w:rPr>
        <w:t> </w:t>
      </w:r>
      <w:r>
        <w:rPr>
          <w:i/>
          <w:color w:val="231F20"/>
          <w:sz w:val="24"/>
        </w:rPr>
        <w:t>Quelles</w:t>
      </w:r>
      <w:r>
        <w:rPr>
          <w:i/>
          <w:color w:val="231F20"/>
          <w:spacing w:val="-15"/>
          <w:sz w:val="24"/>
        </w:rPr>
        <w:t> </w:t>
      </w:r>
      <w:r>
        <w:rPr>
          <w:i/>
          <w:color w:val="231F20"/>
          <w:sz w:val="24"/>
        </w:rPr>
        <w:t>sont</w:t>
      </w:r>
      <w:r>
        <w:rPr>
          <w:i/>
          <w:color w:val="231F20"/>
          <w:sz w:val="24"/>
        </w:rPr>
        <w:t> ces</w:t>
      </w:r>
      <w:r>
        <w:rPr>
          <w:i/>
          <w:color w:val="231F20"/>
          <w:spacing w:val="-15"/>
          <w:sz w:val="24"/>
        </w:rPr>
        <w:t> </w:t>
      </w:r>
      <w:r>
        <w:rPr>
          <w:i/>
          <w:color w:val="231F20"/>
          <w:sz w:val="24"/>
        </w:rPr>
        <w:t>personnes</w:t>
      </w:r>
      <w:r>
        <w:rPr>
          <w:i/>
          <w:color w:val="231F20"/>
          <w:spacing w:val="-15"/>
          <w:sz w:val="24"/>
        </w:rPr>
        <w:t> </w:t>
      </w:r>
      <w:r>
        <w:rPr>
          <w:i/>
          <w:color w:val="231F20"/>
          <w:sz w:val="24"/>
        </w:rPr>
        <w:t>qui</w:t>
      </w:r>
      <w:r>
        <w:rPr>
          <w:i/>
          <w:color w:val="231F20"/>
          <w:spacing w:val="-15"/>
          <w:sz w:val="24"/>
        </w:rPr>
        <w:t> </w:t>
      </w:r>
      <w:r>
        <w:rPr>
          <w:i/>
          <w:color w:val="231F20"/>
          <w:sz w:val="24"/>
        </w:rPr>
        <w:t>se</w:t>
      </w:r>
      <w:r>
        <w:rPr>
          <w:i/>
          <w:color w:val="231F20"/>
          <w:spacing w:val="-15"/>
          <w:sz w:val="24"/>
        </w:rPr>
        <w:t> </w:t>
      </w:r>
      <w:r>
        <w:rPr>
          <w:i/>
          <w:color w:val="231F20"/>
          <w:sz w:val="24"/>
        </w:rPr>
        <w:t>disent</w:t>
      </w:r>
      <w:r>
        <w:rPr>
          <w:i/>
          <w:color w:val="231F20"/>
          <w:spacing w:val="-15"/>
          <w:sz w:val="24"/>
        </w:rPr>
        <w:t> </w:t>
      </w:r>
      <w:r>
        <w:rPr>
          <w:i/>
          <w:color w:val="231F20"/>
          <w:sz w:val="24"/>
        </w:rPr>
        <w:t>Ivoiriennes</w:t>
      </w:r>
      <w:r>
        <w:rPr>
          <w:i/>
          <w:color w:val="231F20"/>
          <w:spacing w:val="-15"/>
          <w:sz w:val="24"/>
        </w:rPr>
        <w:t> </w:t>
      </w:r>
      <w:r>
        <w:rPr>
          <w:i/>
          <w:color w:val="231F20"/>
          <w:sz w:val="24"/>
        </w:rPr>
        <w:t>les</w:t>
      </w:r>
      <w:r>
        <w:rPr>
          <w:i/>
          <w:color w:val="231F20"/>
          <w:spacing w:val="-15"/>
          <w:sz w:val="24"/>
        </w:rPr>
        <w:t> </w:t>
      </w:r>
      <w:r>
        <w:rPr>
          <w:i/>
          <w:color w:val="231F20"/>
          <w:sz w:val="24"/>
        </w:rPr>
        <w:t>jours</w:t>
      </w:r>
      <w:r>
        <w:rPr>
          <w:i/>
          <w:color w:val="231F20"/>
          <w:spacing w:val="-15"/>
          <w:sz w:val="24"/>
        </w:rPr>
        <w:t> </w:t>
      </w:r>
      <w:r>
        <w:rPr>
          <w:i/>
          <w:color w:val="231F20"/>
          <w:sz w:val="24"/>
        </w:rPr>
        <w:t>pairs</w:t>
      </w:r>
      <w:r>
        <w:rPr>
          <w:i/>
          <w:color w:val="231F20"/>
          <w:spacing w:val="-15"/>
          <w:sz w:val="24"/>
        </w:rPr>
        <w:t> </w:t>
      </w:r>
      <w:r>
        <w:rPr>
          <w:i/>
          <w:color w:val="231F20"/>
          <w:sz w:val="24"/>
        </w:rPr>
        <w:t>et</w:t>
      </w:r>
      <w:r>
        <w:rPr>
          <w:i/>
          <w:color w:val="231F20"/>
          <w:spacing w:val="-15"/>
          <w:sz w:val="24"/>
        </w:rPr>
        <w:t> </w:t>
      </w:r>
      <w:r>
        <w:rPr>
          <w:i/>
          <w:color w:val="231F20"/>
          <w:sz w:val="24"/>
        </w:rPr>
        <w:t>non</w:t>
      </w:r>
      <w:r>
        <w:rPr>
          <w:i/>
          <w:color w:val="231F20"/>
          <w:spacing w:val="-15"/>
          <w:sz w:val="24"/>
        </w:rPr>
        <w:t> </w:t>
      </w:r>
      <w:r>
        <w:rPr>
          <w:i/>
          <w:color w:val="231F20"/>
          <w:sz w:val="24"/>
        </w:rPr>
        <w:t>Ivoiriennes les</w:t>
      </w:r>
      <w:r>
        <w:rPr>
          <w:i/>
          <w:color w:val="231F20"/>
          <w:spacing w:val="-2"/>
          <w:sz w:val="24"/>
        </w:rPr>
        <w:t> </w:t>
      </w:r>
      <w:r>
        <w:rPr>
          <w:i/>
          <w:color w:val="231F20"/>
          <w:sz w:val="24"/>
        </w:rPr>
        <w:t>jours</w:t>
      </w:r>
      <w:r>
        <w:rPr>
          <w:i/>
          <w:color w:val="231F20"/>
          <w:spacing w:val="-2"/>
          <w:sz w:val="24"/>
        </w:rPr>
        <w:t> </w:t>
      </w:r>
      <w:r>
        <w:rPr>
          <w:i/>
          <w:color w:val="231F20"/>
          <w:sz w:val="24"/>
        </w:rPr>
        <w:t>impairs</w:t>
      </w:r>
      <w:r>
        <w:rPr>
          <w:i/>
          <w:color w:val="231F20"/>
          <w:spacing w:val="-2"/>
          <w:sz w:val="24"/>
        </w:rPr>
        <w:t> </w:t>
      </w:r>
      <w:r>
        <w:rPr>
          <w:i/>
          <w:color w:val="231F20"/>
          <w:sz w:val="24"/>
        </w:rPr>
        <w:t>?</w:t>
      </w:r>
      <w:r>
        <w:rPr>
          <w:i/>
          <w:color w:val="231F20"/>
          <w:spacing w:val="-2"/>
          <w:sz w:val="24"/>
        </w:rPr>
        <w:t> </w:t>
      </w:r>
      <w:r>
        <w:rPr>
          <w:i/>
          <w:color w:val="231F20"/>
          <w:sz w:val="24"/>
        </w:rPr>
        <w:t>N’y</w:t>
      </w:r>
      <w:r>
        <w:rPr>
          <w:i/>
          <w:color w:val="231F20"/>
          <w:spacing w:val="-3"/>
          <w:sz w:val="24"/>
        </w:rPr>
        <w:t> </w:t>
      </w:r>
      <w:r>
        <w:rPr>
          <w:i/>
          <w:color w:val="231F20"/>
          <w:sz w:val="24"/>
        </w:rPr>
        <w:t>a-t-il</w:t>
      </w:r>
      <w:r>
        <w:rPr>
          <w:i/>
          <w:color w:val="231F20"/>
          <w:spacing w:val="-2"/>
          <w:sz w:val="24"/>
        </w:rPr>
        <w:t> </w:t>
      </w:r>
      <w:r>
        <w:rPr>
          <w:i/>
          <w:color w:val="231F20"/>
          <w:sz w:val="24"/>
        </w:rPr>
        <w:t>donc</w:t>
      </w:r>
      <w:r>
        <w:rPr>
          <w:i/>
          <w:color w:val="231F20"/>
          <w:spacing w:val="-2"/>
          <w:sz w:val="24"/>
        </w:rPr>
        <w:t> </w:t>
      </w:r>
      <w:r>
        <w:rPr>
          <w:i/>
          <w:color w:val="231F20"/>
          <w:sz w:val="24"/>
        </w:rPr>
        <w:t>pas,</w:t>
      </w:r>
      <w:r>
        <w:rPr>
          <w:i/>
          <w:color w:val="231F20"/>
          <w:spacing w:val="-2"/>
          <w:sz w:val="24"/>
        </w:rPr>
        <w:t> </w:t>
      </w:r>
      <w:r>
        <w:rPr>
          <w:i/>
          <w:color w:val="231F20"/>
          <w:sz w:val="24"/>
        </w:rPr>
        <w:t>dans</w:t>
      </w:r>
      <w:r>
        <w:rPr>
          <w:i/>
          <w:color w:val="231F20"/>
          <w:spacing w:val="-2"/>
          <w:sz w:val="24"/>
        </w:rPr>
        <w:t> </w:t>
      </w:r>
      <w:r>
        <w:rPr>
          <w:i/>
          <w:color w:val="231F20"/>
          <w:sz w:val="24"/>
        </w:rPr>
        <w:t>nos</w:t>
      </w:r>
      <w:r>
        <w:rPr>
          <w:i/>
          <w:color w:val="231F20"/>
          <w:spacing w:val="-2"/>
          <w:sz w:val="24"/>
        </w:rPr>
        <w:t> </w:t>
      </w:r>
      <w:r>
        <w:rPr>
          <w:i/>
          <w:color w:val="231F20"/>
          <w:sz w:val="24"/>
        </w:rPr>
        <w:t>formations</w:t>
      </w:r>
      <w:r>
        <w:rPr>
          <w:i/>
          <w:color w:val="231F20"/>
          <w:spacing w:val="-2"/>
          <w:sz w:val="24"/>
        </w:rPr>
        <w:t> </w:t>
      </w:r>
      <w:r>
        <w:rPr>
          <w:i/>
          <w:color w:val="231F20"/>
          <w:sz w:val="24"/>
        </w:rPr>
        <w:t>politiques, assez</w:t>
      </w:r>
      <w:r>
        <w:rPr>
          <w:i/>
          <w:color w:val="231F20"/>
          <w:spacing w:val="-13"/>
          <w:sz w:val="24"/>
        </w:rPr>
        <w:t> </w:t>
      </w:r>
      <w:r>
        <w:rPr>
          <w:i/>
          <w:color w:val="231F20"/>
          <w:sz w:val="24"/>
        </w:rPr>
        <w:t>de</w:t>
      </w:r>
      <w:r>
        <w:rPr>
          <w:i/>
          <w:color w:val="231F20"/>
          <w:spacing w:val="-11"/>
          <w:sz w:val="24"/>
        </w:rPr>
        <w:t> </w:t>
      </w:r>
      <w:r>
        <w:rPr>
          <w:i/>
          <w:color w:val="231F20"/>
          <w:sz w:val="24"/>
        </w:rPr>
        <w:t>personnalités</w:t>
      </w:r>
      <w:r>
        <w:rPr>
          <w:i/>
          <w:color w:val="231F20"/>
          <w:spacing w:val="-12"/>
          <w:sz w:val="24"/>
        </w:rPr>
        <w:t> </w:t>
      </w:r>
      <w:r>
        <w:rPr>
          <w:i/>
          <w:color w:val="231F20"/>
          <w:sz w:val="24"/>
        </w:rPr>
        <w:t>ivoiriennes</w:t>
      </w:r>
      <w:r>
        <w:rPr>
          <w:i/>
          <w:color w:val="231F20"/>
          <w:spacing w:val="-13"/>
          <w:sz w:val="24"/>
        </w:rPr>
        <w:t> </w:t>
      </w:r>
      <w:r>
        <w:rPr>
          <w:i/>
          <w:color w:val="231F20"/>
          <w:sz w:val="24"/>
        </w:rPr>
        <w:t>présentant</w:t>
      </w:r>
      <w:r>
        <w:rPr>
          <w:i/>
          <w:color w:val="231F20"/>
          <w:spacing w:val="-10"/>
          <w:sz w:val="24"/>
        </w:rPr>
        <w:t> </w:t>
      </w:r>
      <w:r>
        <w:rPr>
          <w:i/>
          <w:color w:val="231F20"/>
          <w:sz w:val="24"/>
        </w:rPr>
        <w:t>les</w:t>
      </w:r>
      <w:r>
        <w:rPr>
          <w:i/>
          <w:color w:val="231F20"/>
          <w:spacing w:val="-11"/>
          <w:sz w:val="24"/>
        </w:rPr>
        <w:t> </w:t>
      </w:r>
      <w:r>
        <w:rPr>
          <w:i/>
          <w:color w:val="231F20"/>
          <w:sz w:val="24"/>
        </w:rPr>
        <w:t>qualités</w:t>
      </w:r>
      <w:r>
        <w:rPr>
          <w:i/>
          <w:color w:val="231F20"/>
          <w:spacing w:val="-13"/>
          <w:sz w:val="24"/>
        </w:rPr>
        <w:t> </w:t>
      </w:r>
      <w:r>
        <w:rPr>
          <w:i/>
          <w:color w:val="231F20"/>
          <w:sz w:val="24"/>
        </w:rPr>
        <w:t>requises</w:t>
      </w:r>
      <w:r>
        <w:rPr>
          <w:i/>
          <w:color w:val="231F20"/>
          <w:spacing w:val="-13"/>
          <w:sz w:val="24"/>
        </w:rPr>
        <w:t> </w:t>
      </w:r>
      <w:r>
        <w:rPr>
          <w:i/>
          <w:color w:val="231F20"/>
          <w:sz w:val="24"/>
        </w:rPr>
        <w:t>pour </w:t>
      </w:r>
      <w:r>
        <w:rPr>
          <w:i/>
          <w:color w:val="231F20"/>
          <w:spacing w:val="-4"/>
          <w:sz w:val="24"/>
        </w:rPr>
        <w:t>être</w:t>
      </w:r>
      <w:r>
        <w:rPr>
          <w:i/>
          <w:color w:val="231F20"/>
          <w:spacing w:val="-11"/>
          <w:sz w:val="24"/>
        </w:rPr>
        <w:t> </w:t>
      </w:r>
      <w:r>
        <w:rPr>
          <w:i/>
          <w:color w:val="231F20"/>
          <w:spacing w:val="-4"/>
          <w:sz w:val="24"/>
        </w:rPr>
        <w:t>candidats</w:t>
      </w:r>
      <w:r>
        <w:rPr>
          <w:i/>
          <w:color w:val="231F20"/>
          <w:spacing w:val="-11"/>
          <w:sz w:val="24"/>
        </w:rPr>
        <w:t> </w:t>
      </w:r>
      <w:r>
        <w:rPr>
          <w:i/>
          <w:color w:val="231F20"/>
          <w:spacing w:val="-4"/>
          <w:sz w:val="24"/>
        </w:rPr>
        <w:t>valables</w:t>
      </w:r>
      <w:r>
        <w:rPr>
          <w:i/>
          <w:color w:val="231F20"/>
          <w:spacing w:val="-11"/>
          <w:sz w:val="24"/>
        </w:rPr>
        <w:t> </w:t>
      </w:r>
      <w:r>
        <w:rPr>
          <w:i/>
          <w:color w:val="231F20"/>
          <w:spacing w:val="-4"/>
          <w:sz w:val="24"/>
        </w:rPr>
        <w:t>à</w:t>
      </w:r>
      <w:r>
        <w:rPr>
          <w:i/>
          <w:color w:val="231F20"/>
          <w:spacing w:val="-11"/>
          <w:sz w:val="24"/>
        </w:rPr>
        <w:t> </w:t>
      </w:r>
      <w:r>
        <w:rPr>
          <w:i/>
          <w:color w:val="231F20"/>
          <w:spacing w:val="-4"/>
          <w:sz w:val="24"/>
        </w:rPr>
        <w:t>l’élection</w:t>
      </w:r>
      <w:r>
        <w:rPr>
          <w:i/>
          <w:color w:val="231F20"/>
          <w:spacing w:val="-11"/>
          <w:sz w:val="24"/>
        </w:rPr>
        <w:t> </w:t>
      </w:r>
      <w:r>
        <w:rPr>
          <w:i/>
          <w:color w:val="231F20"/>
          <w:spacing w:val="-4"/>
          <w:sz w:val="24"/>
        </w:rPr>
        <w:t>présidentielle</w:t>
      </w:r>
      <w:r>
        <w:rPr>
          <w:i/>
          <w:color w:val="231F20"/>
          <w:spacing w:val="-9"/>
          <w:sz w:val="24"/>
        </w:rPr>
        <w:t> </w:t>
      </w:r>
      <w:r>
        <w:rPr>
          <w:i/>
          <w:color w:val="231F20"/>
          <w:spacing w:val="-4"/>
          <w:sz w:val="24"/>
        </w:rPr>
        <w:t>?</w:t>
      </w:r>
      <w:r>
        <w:rPr>
          <w:i/>
          <w:color w:val="231F20"/>
          <w:spacing w:val="-11"/>
          <w:sz w:val="24"/>
        </w:rPr>
        <w:t> </w:t>
      </w:r>
      <w:r>
        <w:rPr>
          <w:i/>
          <w:color w:val="231F20"/>
          <w:spacing w:val="-4"/>
          <w:sz w:val="24"/>
        </w:rPr>
        <w:t>Oserais-je</w:t>
      </w:r>
      <w:r>
        <w:rPr>
          <w:i/>
          <w:color w:val="231F20"/>
          <w:spacing w:val="-10"/>
          <w:sz w:val="24"/>
        </w:rPr>
        <w:t> </w:t>
      </w:r>
      <w:r>
        <w:rPr>
          <w:i/>
          <w:color w:val="231F20"/>
          <w:spacing w:val="-4"/>
          <w:sz w:val="24"/>
        </w:rPr>
        <w:t>ajouter</w:t>
      </w:r>
      <w:r>
        <w:rPr>
          <w:i/>
          <w:color w:val="231F20"/>
          <w:spacing w:val="-11"/>
          <w:sz w:val="24"/>
        </w:rPr>
        <w:t> </w:t>
      </w:r>
      <w:r>
        <w:rPr>
          <w:i/>
          <w:color w:val="231F20"/>
          <w:spacing w:val="-4"/>
          <w:sz w:val="24"/>
        </w:rPr>
        <w:t>que </w:t>
      </w:r>
      <w:r>
        <w:rPr>
          <w:i/>
          <w:color w:val="231F20"/>
          <w:sz w:val="24"/>
        </w:rPr>
        <w:t>dans</w:t>
      </w:r>
      <w:r>
        <w:rPr>
          <w:i/>
          <w:color w:val="231F20"/>
          <w:spacing w:val="-15"/>
          <w:sz w:val="24"/>
        </w:rPr>
        <w:t> </w:t>
      </w:r>
      <w:r>
        <w:rPr>
          <w:i/>
          <w:color w:val="231F20"/>
          <w:sz w:val="24"/>
        </w:rPr>
        <w:t>les</w:t>
      </w:r>
      <w:r>
        <w:rPr>
          <w:i/>
          <w:color w:val="231F20"/>
          <w:spacing w:val="-15"/>
          <w:sz w:val="24"/>
        </w:rPr>
        <w:t> </w:t>
      </w:r>
      <w:r>
        <w:rPr>
          <w:i/>
          <w:color w:val="231F20"/>
          <w:sz w:val="24"/>
        </w:rPr>
        <w:t>pays</w:t>
      </w:r>
      <w:r>
        <w:rPr>
          <w:i/>
          <w:color w:val="231F20"/>
          <w:spacing w:val="-15"/>
          <w:sz w:val="24"/>
        </w:rPr>
        <w:t> </w:t>
      </w:r>
      <w:r>
        <w:rPr>
          <w:i/>
          <w:color w:val="231F20"/>
          <w:sz w:val="24"/>
        </w:rPr>
        <w:t>qui</w:t>
      </w:r>
      <w:r>
        <w:rPr>
          <w:i/>
          <w:color w:val="231F20"/>
          <w:spacing w:val="-15"/>
          <w:sz w:val="24"/>
        </w:rPr>
        <w:t> </w:t>
      </w:r>
      <w:r>
        <w:rPr>
          <w:i/>
          <w:color w:val="231F20"/>
          <w:sz w:val="24"/>
        </w:rPr>
        <w:t>se</w:t>
      </w:r>
      <w:r>
        <w:rPr>
          <w:i/>
          <w:color w:val="231F20"/>
          <w:spacing w:val="-15"/>
          <w:sz w:val="24"/>
        </w:rPr>
        <w:t> </w:t>
      </w:r>
      <w:r>
        <w:rPr>
          <w:i/>
          <w:color w:val="231F20"/>
          <w:sz w:val="24"/>
        </w:rPr>
        <w:t>donnent</w:t>
      </w:r>
      <w:r>
        <w:rPr>
          <w:i/>
          <w:color w:val="231F20"/>
          <w:spacing w:val="-13"/>
          <w:sz w:val="24"/>
        </w:rPr>
        <w:t> </w:t>
      </w:r>
      <w:r>
        <w:rPr>
          <w:i/>
          <w:color w:val="231F20"/>
          <w:sz w:val="24"/>
        </w:rPr>
        <w:t>volontiers</w:t>
      </w:r>
      <w:r>
        <w:rPr>
          <w:i/>
          <w:color w:val="231F20"/>
          <w:spacing w:val="-13"/>
          <w:sz w:val="24"/>
        </w:rPr>
        <w:t> </w:t>
      </w:r>
      <w:r>
        <w:rPr>
          <w:i/>
          <w:color w:val="231F20"/>
          <w:sz w:val="24"/>
        </w:rPr>
        <w:t>en</w:t>
      </w:r>
      <w:r>
        <w:rPr>
          <w:i/>
          <w:color w:val="231F20"/>
          <w:spacing w:val="-15"/>
          <w:sz w:val="24"/>
        </w:rPr>
        <w:t> </w:t>
      </w:r>
      <w:r>
        <w:rPr>
          <w:i/>
          <w:color w:val="231F20"/>
          <w:sz w:val="24"/>
        </w:rPr>
        <w:t>modèles,</w:t>
      </w:r>
      <w:r>
        <w:rPr>
          <w:i/>
          <w:color w:val="231F20"/>
          <w:spacing w:val="-15"/>
          <w:sz w:val="24"/>
        </w:rPr>
        <w:t> </w:t>
      </w:r>
      <w:r>
        <w:rPr>
          <w:i/>
          <w:color w:val="231F20"/>
          <w:sz w:val="24"/>
        </w:rPr>
        <w:t>voire</w:t>
      </w:r>
      <w:r>
        <w:rPr>
          <w:i/>
          <w:color w:val="231F20"/>
          <w:spacing w:val="-13"/>
          <w:sz w:val="24"/>
        </w:rPr>
        <w:t> </w:t>
      </w:r>
      <w:r>
        <w:rPr>
          <w:i/>
          <w:color w:val="231F20"/>
          <w:sz w:val="24"/>
        </w:rPr>
        <w:t>en</w:t>
      </w:r>
      <w:r>
        <w:rPr>
          <w:i/>
          <w:color w:val="231F20"/>
          <w:spacing w:val="-15"/>
          <w:sz w:val="24"/>
        </w:rPr>
        <w:t> </w:t>
      </w:r>
      <w:r>
        <w:rPr>
          <w:i/>
          <w:color w:val="231F20"/>
          <w:sz w:val="24"/>
        </w:rPr>
        <w:t>censeurs,</w:t>
      </w:r>
      <w:r>
        <w:rPr>
          <w:i/>
          <w:color w:val="231F20"/>
          <w:spacing w:val="-15"/>
          <w:sz w:val="24"/>
        </w:rPr>
        <w:t> </w:t>
      </w:r>
      <w:r>
        <w:rPr>
          <w:i/>
          <w:color w:val="231F20"/>
          <w:sz w:val="24"/>
        </w:rPr>
        <w:t>il existe</w:t>
      </w:r>
      <w:r>
        <w:rPr>
          <w:i/>
          <w:color w:val="231F20"/>
          <w:spacing w:val="-15"/>
          <w:sz w:val="24"/>
        </w:rPr>
        <w:t> </w:t>
      </w:r>
      <w:r>
        <w:rPr>
          <w:i/>
          <w:color w:val="231F20"/>
          <w:sz w:val="24"/>
        </w:rPr>
        <w:t>des</w:t>
      </w:r>
      <w:r>
        <w:rPr>
          <w:i/>
          <w:color w:val="231F20"/>
          <w:spacing w:val="-15"/>
          <w:sz w:val="24"/>
        </w:rPr>
        <w:t> </w:t>
      </w:r>
      <w:r>
        <w:rPr>
          <w:i/>
          <w:color w:val="231F20"/>
          <w:sz w:val="24"/>
        </w:rPr>
        <w:t>dispositions</w:t>
      </w:r>
      <w:r>
        <w:rPr>
          <w:i/>
          <w:color w:val="231F20"/>
          <w:spacing w:val="-15"/>
          <w:sz w:val="24"/>
        </w:rPr>
        <w:t> </w:t>
      </w:r>
      <w:r>
        <w:rPr>
          <w:i/>
          <w:color w:val="231F20"/>
          <w:sz w:val="24"/>
        </w:rPr>
        <w:t>légales</w:t>
      </w:r>
      <w:r>
        <w:rPr>
          <w:i/>
          <w:color w:val="231F20"/>
          <w:spacing w:val="-15"/>
          <w:sz w:val="24"/>
        </w:rPr>
        <w:t> </w:t>
      </w:r>
      <w:r>
        <w:rPr>
          <w:i/>
          <w:color w:val="231F20"/>
          <w:sz w:val="24"/>
        </w:rPr>
        <w:t>semblables</w:t>
      </w:r>
      <w:r>
        <w:rPr>
          <w:i/>
          <w:color w:val="231F20"/>
          <w:spacing w:val="-15"/>
          <w:sz w:val="24"/>
        </w:rPr>
        <w:t> </w:t>
      </w:r>
      <w:r>
        <w:rPr>
          <w:i/>
          <w:color w:val="231F20"/>
          <w:sz w:val="24"/>
        </w:rPr>
        <w:t>aux</w:t>
      </w:r>
      <w:r>
        <w:rPr>
          <w:i/>
          <w:color w:val="231F20"/>
          <w:spacing w:val="-15"/>
          <w:sz w:val="24"/>
        </w:rPr>
        <w:t> </w:t>
      </w:r>
      <w:r>
        <w:rPr>
          <w:i/>
          <w:color w:val="231F20"/>
          <w:sz w:val="24"/>
        </w:rPr>
        <w:t>nôtres</w:t>
      </w:r>
      <w:r>
        <w:rPr>
          <w:i/>
          <w:color w:val="231F20"/>
          <w:spacing w:val="-15"/>
          <w:sz w:val="24"/>
        </w:rPr>
        <w:t> </w:t>
      </w:r>
      <w:r>
        <w:rPr>
          <w:i/>
          <w:color w:val="231F20"/>
          <w:sz w:val="24"/>
        </w:rPr>
        <w:t>et</w:t>
      </w:r>
      <w:r>
        <w:rPr>
          <w:i/>
          <w:color w:val="231F20"/>
          <w:spacing w:val="-15"/>
          <w:sz w:val="24"/>
        </w:rPr>
        <w:t> </w:t>
      </w:r>
      <w:r>
        <w:rPr>
          <w:i/>
          <w:color w:val="231F20"/>
          <w:sz w:val="24"/>
        </w:rPr>
        <w:t>qui</w:t>
      </w:r>
      <w:r>
        <w:rPr>
          <w:i/>
          <w:color w:val="231F20"/>
          <w:spacing w:val="-15"/>
          <w:sz w:val="24"/>
        </w:rPr>
        <w:t> </w:t>
      </w:r>
      <w:r>
        <w:rPr>
          <w:i/>
          <w:color w:val="231F20"/>
          <w:sz w:val="24"/>
        </w:rPr>
        <w:t>s’appliquent aux</w:t>
      </w:r>
      <w:r>
        <w:rPr>
          <w:i/>
          <w:color w:val="231F20"/>
          <w:spacing w:val="-5"/>
          <w:sz w:val="24"/>
        </w:rPr>
        <w:t> </w:t>
      </w:r>
      <w:r>
        <w:rPr>
          <w:i/>
          <w:color w:val="231F20"/>
          <w:sz w:val="24"/>
        </w:rPr>
        <w:t>conditions</w:t>
      </w:r>
      <w:r>
        <w:rPr>
          <w:i/>
          <w:color w:val="231F20"/>
          <w:spacing w:val="-7"/>
          <w:sz w:val="24"/>
        </w:rPr>
        <w:t> </w:t>
      </w:r>
      <w:r>
        <w:rPr>
          <w:i/>
          <w:color w:val="231F20"/>
          <w:sz w:val="24"/>
        </w:rPr>
        <w:t>de</w:t>
      </w:r>
      <w:r>
        <w:rPr>
          <w:i/>
          <w:color w:val="231F20"/>
          <w:spacing w:val="-6"/>
          <w:sz w:val="24"/>
        </w:rPr>
        <w:t> </w:t>
      </w:r>
      <w:r>
        <w:rPr>
          <w:i/>
          <w:color w:val="231F20"/>
          <w:sz w:val="24"/>
        </w:rPr>
        <w:t>l’éligibilité</w:t>
      </w:r>
      <w:r>
        <w:rPr>
          <w:i/>
          <w:color w:val="231F20"/>
          <w:spacing w:val="-8"/>
          <w:sz w:val="24"/>
        </w:rPr>
        <w:t> </w:t>
      </w:r>
      <w:r>
        <w:rPr>
          <w:i/>
          <w:color w:val="231F20"/>
          <w:sz w:val="24"/>
        </w:rPr>
        <w:t>à</w:t>
      </w:r>
      <w:r>
        <w:rPr>
          <w:i/>
          <w:color w:val="231F20"/>
          <w:spacing w:val="-5"/>
          <w:sz w:val="24"/>
        </w:rPr>
        <w:t> </w:t>
      </w:r>
      <w:r>
        <w:rPr>
          <w:i/>
          <w:color w:val="231F20"/>
          <w:sz w:val="24"/>
        </w:rPr>
        <w:t>la</w:t>
      </w:r>
      <w:r>
        <w:rPr>
          <w:i/>
          <w:color w:val="231F20"/>
          <w:spacing w:val="-5"/>
          <w:sz w:val="24"/>
        </w:rPr>
        <w:t> </w:t>
      </w:r>
      <w:r>
        <w:rPr>
          <w:i/>
          <w:color w:val="231F20"/>
          <w:sz w:val="24"/>
        </w:rPr>
        <w:t>magistrature</w:t>
      </w:r>
      <w:r>
        <w:rPr>
          <w:i/>
          <w:color w:val="231F20"/>
          <w:spacing w:val="-8"/>
          <w:sz w:val="24"/>
        </w:rPr>
        <w:t> </w:t>
      </w:r>
      <w:r>
        <w:rPr>
          <w:i/>
          <w:color w:val="231F20"/>
          <w:sz w:val="24"/>
        </w:rPr>
        <w:t>suprême.</w:t>
      </w:r>
      <w:r>
        <w:rPr>
          <w:i/>
          <w:color w:val="231F20"/>
          <w:spacing w:val="-5"/>
          <w:sz w:val="24"/>
        </w:rPr>
        <w:t> </w:t>
      </w:r>
      <w:r>
        <w:rPr>
          <w:i/>
          <w:color w:val="231F20"/>
          <w:sz w:val="24"/>
        </w:rPr>
        <w:t>(…)</w:t>
      </w:r>
      <w:r>
        <w:rPr>
          <w:i/>
          <w:color w:val="231F20"/>
          <w:spacing w:val="-6"/>
          <w:sz w:val="24"/>
        </w:rPr>
        <w:t> </w:t>
      </w:r>
      <w:r>
        <w:rPr>
          <w:i/>
          <w:color w:val="231F20"/>
          <w:sz w:val="24"/>
        </w:rPr>
        <w:t>»</w:t>
      </w:r>
    </w:p>
    <w:p>
      <w:pPr>
        <w:pStyle w:val="BodyText"/>
        <w:spacing w:before="121"/>
        <w:ind w:right="105" w:firstLine="340"/>
      </w:pPr>
      <w:r>
        <w:rPr>
          <w:color w:val="231F20"/>
          <w:spacing w:val="-4"/>
        </w:rPr>
        <w:t>Le</w:t>
      </w:r>
      <w:r>
        <w:rPr>
          <w:color w:val="231F20"/>
          <w:spacing w:val="-7"/>
        </w:rPr>
        <w:t> </w:t>
      </w:r>
      <w:r>
        <w:rPr>
          <w:color w:val="231F20"/>
          <w:spacing w:val="-4"/>
        </w:rPr>
        <w:t>discours</w:t>
      </w:r>
      <w:r>
        <w:rPr>
          <w:color w:val="231F20"/>
          <w:spacing w:val="-7"/>
        </w:rPr>
        <w:t> </w:t>
      </w:r>
      <w:r>
        <w:rPr>
          <w:color w:val="231F20"/>
          <w:spacing w:val="-4"/>
        </w:rPr>
        <w:t>radiotélévisé</w:t>
      </w:r>
      <w:r>
        <w:rPr>
          <w:color w:val="231F20"/>
          <w:spacing w:val="-9"/>
        </w:rPr>
        <w:t> </w:t>
      </w:r>
      <w:r>
        <w:rPr>
          <w:color w:val="231F20"/>
          <w:spacing w:val="-4"/>
        </w:rPr>
        <w:t>de</w:t>
      </w:r>
      <w:r>
        <w:rPr>
          <w:color w:val="231F20"/>
          <w:spacing w:val="-7"/>
        </w:rPr>
        <w:t> </w:t>
      </w:r>
      <w:r>
        <w:rPr>
          <w:color w:val="231F20"/>
          <w:spacing w:val="-4"/>
        </w:rPr>
        <w:t>Bédié</w:t>
      </w:r>
      <w:r>
        <w:rPr>
          <w:color w:val="231F20"/>
          <w:spacing w:val="-7"/>
        </w:rPr>
        <w:t> </w:t>
      </w:r>
      <w:r>
        <w:rPr>
          <w:color w:val="231F20"/>
          <w:spacing w:val="-4"/>
        </w:rPr>
        <w:t>à</w:t>
      </w:r>
      <w:r>
        <w:rPr>
          <w:color w:val="231F20"/>
          <w:spacing w:val="-7"/>
        </w:rPr>
        <w:t> </w:t>
      </w:r>
      <w:r>
        <w:rPr>
          <w:color w:val="231F20"/>
          <w:spacing w:val="-4"/>
        </w:rPr>
        <w:t>la</w:t>
      </w:r>
      <w:r>
        <w:rPr>
          <w:color w:val="231F20"/>
          <w:spacing w:val="-7"/>
        </w:rPr>
        <w:t> </w:t>
      </w:r>
      <w:r>
        <w:rPr>
          <w:color w:val="231F20"/>
          <w:spacing w:val="-4"/>
        </w:rPr>
        <w:t>fin</w:t>
      </w:r>
      <w:r>
        <w:rPr>
          <w:color w:val="231F20"/>
          <w:spacing w:val="-7"/>
        </w:rPr>
        <w:t> </w:t>
      </w:r>
      <w:r>
        <w:rPr>
          <w:color w:val="231F20"/>
          <w:spacing w:val="-4"/>
        </w:rPr>
        <w:t>de</w:t>
      </w:r>
      <w:r>
        <w:rPr>
          <w:color w:val="231F20"/>
          <w:spacing w:val="-7"/>
        </w:rPr>
        <w:t> </w:t>
      </w:r>
      <w:r>
        <w:rPr>
          <w:color w:val="231F20"/>
          <w:spacing w:val="-4"/>
        </w:rPr>
        <w:t>cette</w:t>
      </w:r>
      <w:r>
        <w:rPr>
          <w:color w:val="231F20"/>
          <w:spacing w:val="-7"/>
        </w:rPr>
        <w:t> </w:t>
      </w:r>
      <w:r>
        <w:rPr>
          <w:color w:val="231F20"/>
          <w:spacing w:val="-4"/>
        </w:rPr>
        <w:t>année</w:t>
      </w:r>
      <w:r>
        <w:rPr>
          <w:color w:val="231F20"/>
          <w:spacing w:val="-7"/>
        </w:rPr>
        <w:t> </w:t>
      </w:r>
      <w:r>
        <w:rPr>
          <w:color w:val="231F20"/>
          <w:spacing w:val="-4"/>
        </w:rPr>
        <w:t>1999,</w:t>
      </w:r>
      <w:r>
        <w:rPr>
          <w:color w:val="231F20"/>
          <w:spacing w:val="-7"/>
        </w:rPr>
        <w:t> </w:t>
      </w:r>
      <w:r>
        <w:rPr>
          <w:color w:val="231F20"/>
          <w:spacing w:val="-4"/>
        </w:rPr>
        <w:t>sera</w:t>
      </w:r>
      <w:r>
        <w:rPr>
          <w:color w:val="231F20"/>
          <w:spacing w:val="-7"/>
        </w:rPr>
        <w:t> </w:t>
      </w:r>
      <w:r>
        <w:rPr>
          <w:color w:val="231F20"/>
          <w:spacing w:val="-4"/>
        </w:rPr>
        <w:t>sa </w:t>
      </w:r>
      <w:r>
        <w:rPr>
          <w:color w:val="231F20"/>
        </w:rPr>
        <w:t>dernière adresse à ses compatriotes en tant que chef de l’État de Côte </w:t>
      </w:r>
      <w:r>
        <w:rPr>
          <w:color w:val="231F20"/>
          <w:spacing w:val="-2"/>
        </w:rPr>
        <w:t>d’Ivoire.</w:t>
      </w:r>
    </w:p>
    <w:p>
      <w:pPr>
        <w:pStyle w:val="BodyText"/>
        <w:spacing w:before="120"/>
        <w:ind w:right="103" w:firstLine="283"/>
      </w:pPr>
      <w:r>
        <w:rPr>
          <w:color w:val="231F20"/>
        </w:rPr>
        <w:t>Dans</w:t>
      </w:r>
      <w:r>
        <w:rPr>
          <w:color w:val="231F20"/>
          <w:spacing w:val="-10"/>
        </w:rPr>
        <w:t> </w:t>
      </w:r>
      <w:r>
        <w:rPr>
          <w:color w:val="231F20"/>
        </w:rPr>
        <w:t>la</w:t>
      </w:r>
      <w:r>
        <w:rPr>
          <w:color w:val="231F20"/>
          <w:spacing w:val="-10"/>
        </w:rPr>
        <w:t> </w:t>
      </w:r>
      <w:r>
        <w:rPr>
          <w:color w:val="231F20"/>
        </w:rPr>
        <w:t>nuit</w:t>
      </w:r>
      <w:r>
        <w:rPr>
          <w:color w:val="231F20"/>
          <w:spacing w:val="-10"/>
        </w:rPr>
        <w:t> </w:t>
      </w:r>
      <w:r>
        <w:rPr>
          <w:color w:val="231F20"/>
        </w:rPr>
        <w:t>du</w:t>
      </w:r>
      <w:r>
        <w:rPr>
          <w:color w:val="231F20"/>
          <w:spacing w:val="-10"/>
        </w:rPr>
        <w:t> </w:t>
      </w:r>
      <w:r>
        <w:rPr>
          <w:color w:val="231F20"/>
        </w:rPr>
        <w:t>22</w:t>
      </w:r>
      <w:r>
        <w:rPr>
          <w:color w:val="231F20"/>
          <w:spacing w:val="-10"/>
        </w:rPr>
        <w:t> </w:t>
      </w:r>
      <w:r>
        <w:rPr>
          <w:color w:val="231F20"/>
        </w:rPr>
        <w:t>au</w:t>
      </w:r>
      <w:r>
        <w:rPr>
          <w:color w:val="231F20"/>
          <w:spacing w:val="-12"/>
        </w:rPr>
        <w:t> </w:t>
      </w:r>
      <w:r>
        <w:rPr>
          <w:color w:val="231F20"/>
        </w:rPr>
        <w:t>23</w:t>
      </w:r>
      <w:r>
        <w:rPr>
          <w:color w:val="231F20"/>
          <w:spacing w:val="-12"/>
        </w:rPr>
        <w:t> </w:t>
      </w:r>
      <w:r>
        <w:rPr>
          <w:color w:val="231F20"/>
        </w:rPr>
        <w:t>décembre,</w:t>
      </w:r>
      <w:r>
        <w:rPr>
          <w:color w:val="231F20"/>
          <w:spacing w:val="-10"/>
        </w:rPr>
        <w:t> </w:t>
      </w:r>
      <w:r>
        <w:rPr>
          <w:color w:val="231F20"/>
        </w:rPr>
        <w:t>les</w:t>
      </w:r>
      <w:r>
        <w:rPr>
          <w:color w:val="231F20"/>
          <w:spacing w:val="-10"/>
        </w:rPr>
        <w:t> </w:t>
      </w:r>
      <w:r>
        <w:rPr>
          <w:color w:val="231F20"/>
        </w:rPr>
        <w:t>habitants</w:t>
      </w:r>
      <w:r>
        <w:rPr>
          <w:color w:val="231F20"/>
          <w:spacing w:val="-10"/>
        </w:rPr>
        <w:t> </w:t>
      </w:r>
      <w:r>
        <w:rPr>
          <w:color w:val="231F20"/>
        </w:rPr>
        <w:t>de</w:t>
      </w:r>
      <w:r>
        <w:rPr>
          <w:color w:val="231F20"/>
          <w:spacing w:val="-10"/>
        </w:rPr>
        <w:t> </w:t>
      </w:r>
      <w:r>
        <w:rPr>
          <w:color w:val="231F20"/>
        </w:rPr>
        <w:t>la</w:t>
      </w:r>
      <w:r>
        <w:rPr>
          <w:color w:val="231F20"/>
          <w:spacing w:val="-10"/>
        </w:rPr>
        <w:t> </w:t>
      </w:r>
      <w:r>
        <w:rPr>
          <w:color w:val="231F20"/>
        </w:rPr>
        <w:t>Riviera3,</w:t>
      </w:r>
      <w:r>
        <w:rPr>
          <w:color w:val="231F20"/>
          <w:spacing w:val="-10"/>
        </w:rPr>
        <w:t> </w:t>
      </w:r>
      <w:r>
        <w:rPr>
          <w:color w:val="231F20"/>
        </w:rPr>
        <w:t>dans </w:t>
      </w:r>
      <w:r>
        <w:rPr>
          <w:color w:val="231F20"/>
          <w:spacing w:val="-2"/>
        </w:rPr>
        <w:t>la</w:t>
      </w:r>
      <w:r>
        <w:rPr>
          <w:color w:val="231F20"/>
          <w:spacing w:val="-15"/>
        </w:rPr>
        <w:t> </w:t>
      </w:r>
      <w:r>
        <w:rPr>
          <w:color w:val="231F20"/>
          <w:spacing w:val="-2"/>
        </w:rPr>
        <w:t>commune</w:t>
      </w:r>
      <w:r>
        <w:rPr>
          <w:color w:val="231F20"/>
          <w:spacing w:val="-13"/>
        </w:rPr>
        <w:t> </w:t>
      </w:r>
      <w:r>
        <w:rPr>
          <w:color w:val="231F20"/>
          <w:spacing w:val="-2"/>
        </w:rPr>
        <w:t>de</w:t>
      </w:r>
      <w:r>
        <w:rPr>
          <w:color w:val="231F20"/>
          <w:spacing w:val="-13"/>
        </w:rPr>
        <w:t> </w:t>
      </w:r>
      <w:r>
        <w:rPr>
          <w:color w:val="231F20"/>
          <w:spacing w:val="-2"/>
        </w:rPr>
        <w:t>Cocody,</w:t>
      </w:r>
      <w:r>
        <w:rPr>
          <w:color w:val="231F20"/>
          <w:spacing w:val="-13"/>
        </w:rPr>
        <w:t> </w:t>
      </w:r>
      <w:r>
        <w:rPr>
          <w:color w:val="231F20"/>
          <w:spacing w:val="-2"/>
        </w:rPr>
        <w:t>un</w:t>
      </w:r>
      <w:r>
        <w:rPr>
          <w:color w:val="231F20"/>
          <w:spacing w:val="-13"/>
        </w:rPr>
        <w:t> </w:t>
      </w:r>
      <w:r>
        <w:rPr>
          <w:color w:val="231F20"/>
          <w:spacing w:val="-2"/>
        </w:rPr>
        <w:t>quartier</w:t>
      </w:r>
      <w:r>
        <w:rPr>
          <w:color w:val="231F20"/>
          <w:spacing w:val="-13"/>
        </w:rPr>
        <w:t> </w:t>
      </w:r>
      <w:r>
        <w:rPr>
          <w:color w:val="231F20"/>
          <w:spacing w:val="-2"/>
        </w:rPr>
        <w:t>résidentiel</w:t>
      </w:r>
      <w:r>
        <w:rPr>
          <w:color w:val="231F20"/>
          <w:spacing w:val="-13"/>
        </w:rPr>
        <w:t> </w:t>
      </w:r>
      <w:r>
        <w:rPr>
          <w:color w:val="231F20"/>
          <w:spacing w:val="-2"/>
        </w:rPr>
        <w:t>d’Abidjan,</w:t>
      </w:r>
      <w:r>
        <w:rPr>
          <w:color w:val="231F20"/>
          <w:spacing w:val="-13"/>
        </w:rPr>
        <w:t> </w:t>
      </w:r>
      <w:r>
        <w:rPr>
          <w:color w:val="231F20"/>
          <w:spacing w:val="-2"/>
        </w:rPr>
        <w:t>épuisés</w:t>
      </w:r>
      <w:r>
        <w:rPr>
          <w:color w:val="231F20"/>
          <w:spacing w:val="-13"/>
        </w:rPr>
        <w:t> </w:t>
      </w:r>
      <w:r>
        <w:rPr>
          <w:color w:val="231F20"/>
          <w:spacing w:val="-2"/>
        </w:rPr>
        <w:t>par</w:t>
      </w:r>
      <w:r>
        <w:rPr>
          <w:color w:val="231F20"/>
          <w:spacing w:val="-13"/>
        </w:rPr>
        <w:t> </w:t>
      </w:r>
      <w:r>
        <w:rPr>
          <w:color w:val="231F20"/>
          <w:spacing w:val="-2"/>
        </w:rPr>
        <w:t>les </w:t>
      </w:r>
      <w:r>
        <w:rPr>
          <w:color w:val="231F20"/>
          <w:spacing w:val="-4"/>
        </w:rPr>
        <w:t>courses</w:t>
      </w:r>
      <w:r>
        <w:rPr>
          <w:color w:val="231F20"/>
          <w:spacing w:val="-6"/>
        </w:rPr>
        <w:t> </w:t>
      </w:r>
      <w:r>
        <w:rPr>
          <w:color w:val="231F20"/>
          <w:spacing w:val="-4"/>
        </w:rPr>
        <w:t>de</w:t>
      </w:r>
      <w:r>
        <w:rPr>
          <w:color w:val="231F20"/>
          <w:spacing w:val="-7"/>
        </w:rPr>
        <w:t> </w:t>
      </w:r>
      <w:r>
        <w:rPr>
          <w:color w:val="231F20"/>
          <w:spacing w:val="-4"/>
        </w:rPr>
        <w:t>Noël</w:t>
      </w:r>
      <w:r>
        <w:rPr>
          <w:color w:val="231F20"/>
          <w:spacing w:val="-6"/>
        </w:rPr>
        <w:t> </w:t>
      </w:r>
      <w:r>
        <w:rPr>
          <w:color w:val="231F20"/>
          <w:spacing w:val="-4"/>
        </w:rPr>
        <w:t>et</w:t>
      </w:r>
      <w:r>
        <w:rPr>
          <w:color w:val="231F20"/>
          <w:spacing w:val="-6"/>
        </w:rPr>
        <w:t> </w:t>
      </w:r>
      <w:r>
        <w:rPr>
          <w:color w:val="231F20"/>
          <w:spacing w:val="-4"/>
        </w:rPr>
        <w:t>les</w:t>
      </w:r>
      <w:r>
        <w:rPr>
          <w:color w:val="231F20"/>
          <w:spacing w:val="-6"/>
        </w:rPr>
        <w:t> </w:t>
      </w:r>
      <w:r>
        <w:rPr>
          <w:color w:val="231F20"/>
          <w:spacing w:val="-4"/>
        </w:rPr>
        <w:t>embouteillages</w:t>
      </w:r>
      <w:r>
        <w:rPr>
          <w:color w:val="231F20"/>
          <w:spacing w:val="-6"/>
        </w:rPr>
        <w:t> </w:t>
      </w:r>
      <w:r>
        <w:rPr>
          <w:color w:val="231F20"/>
          <w:spacing w:val="-4"/>
        </w:rPr>
        <w:t>interminables</w:t>
      </w:r>
      <w:r>
        <w:rPr>
          <w:color w:val="231F20"/>
          <w:spacing w:val="-9"/>
        </w:rPr>
        <w:t> </w:t>
      </w:r>
      <w:r>
        <w:rPr>
          <w:color w:val="231F20"/>
          <w:spacing w:val="-4"/>
        </w:rPr>
        <w:t>sur</w:t>
      </w:r>
      <w:r>
        <w:rPr>
          <w:color w:val="231F20"/>
          <w:spacing w:val="-7"/>
        </w:rPr>
        <w:t> </w:t>
      </w:r>
      <w:r>
        <w:rPr>
          <w:color w:val="231F20"/>
          <w:spacing w:val="-4"/>
        </w:rPr>
        <w:t>les</w:t>
      </w:r>
      <w:r>
        <w:rPr>
          <w:color w:val="231F20"/>
          <w:spacing w:val="-6"/>
        </w:rPr>
        <w:t> </w:t>
      </w:r>
      <w:r>
        <w:rPr>
          <w:color w:val="231F20"/>
          <w:spacing w:val="-4"/>
        </w:rPr>
        <w:t>routes</w:t>
      </w:r>
      <w:r>
        <w:rPr>
          <w:color w:val="231F20"/>
          <w:spacing w:val="-7"/>
        </w:rPr>
        <w:t> </w:t>
      </w:r>
      <w:r>
        <w:rPr>
          <w:color w:val="231F20"/>
          <w:spacing w:val="-4"/>
        </w:rPr>
        <w:t>en</w:t>
      </w:r>
      <w:r>
        <w:rPr>
          <w:color w:val="231F20"/>
          <w:spacing w:val="-7"/>
        </w:rPr>
        <w:t> </w:t>
      </w:r>
      <w:r>
        <w:rPr>
          <w:color w:val="231F20"/>
          <w:spacing w:val="-4"/>
        </w:rPr>
        <w:t>cette période</w:t>
      </w:r>
      <w:r>
        <w:rPr>
          <w:color w:val="231F20"/>
          <w:spacing w:val="-11"/>
        </w:rPr>
        <w:t> </w:t>
      </w:r>
      <w:r>
        <w:rPr>
          <w:color w:val="231F20"/>
          <w:spacing w:val="-4"/>
        </w:rPr>
        <w:t>de</w:t>
      </w:r>
      <w:r>
        <w:rPr>
          <w:color w:val="231F20"/>
          <w:spacing w:val="-11"/>
        </w:rPr>
        <w:t> </w:t>
      </w:r>
      <w:r>
        <w:rPr>
          <w:color w:val="231F20"/>
          <w:spacing w:val="-4"/>
        </w:rPr>
        <w:t>préparation</w:t>
      </w:r>
      <w:r>
        <w:rPr>
          <w:color w:val="231F20"/>
          <w:spacing w:val="-11"/>
        </w:rPr>
        <w:t> </w:t>
      </w:r>
      <w:r>
        <w:rPr>
          <w:color w:val="231F20"/>
          <w:spacing w:val="-4"/>
        </w:rPr>
        <w:t>fiévreuse</w:t>
      </w:r>
      <w:r>
        <w:rPr>
          <w:color w:val="231F20"/>
          <w:spacing w:val="-11"/>
        </w:rPr>
        <w:t> </w:t>
      </w:r>
      <w:r>
        <w:rPr>
          <w:color w:val="231F20"/>
          <w:spacing w:val="-4"/>
        </w:rPr>
        <w:t>des</w:t>
      </w:r>
      <w:r>
        <w:rPr>
          <w:color w:val="231F20"/>
          <w:spacing w:val="-11"/>
        </w:rPr>
        <w:t> </w:t>
      </w:r>
      <w:r>
        <w:rPr>
          <w:color w:val="231F20"/>
          <w:spacing w:val="-4"/>
        </w:rPr>
        <w:t>fêtes</w:t>
      </w:r>
      <w:r>
        <w:rPr>
          <w:color w:val="231F20"/>
          <w:spacing w:val="-11"/>
        </w:rPr>
        <w:t> </w:t>
      </w:r>
      <w:r>
        <w:rPr>
          <w:color w:val="231F20"/>
          <w:spacing w:val="-4"/>
        </w:rPr>
        <w:t>de</w:t>
      </w:r>
      <w:r>
        <w:rPr>
          <w:color w:val="231F20"/>
          <w:spacing w:val="-11"/>
        </w:rPr>
        <w:t> </w:t>
      </w:r>
      <w:r>
        <w:rPr>
          <w:color w:val="231F20"/>
          <w:spacing w:val="-4"/>
        </w:rPr>
        <w:t>fin</w:t>
      </w:r>
      <w:r>
        <w:rPr>
          <w:color w:val="231F20"/>
          <w:spacing w:val="-11"/>
        </w:rPr>
        <w:t> </w:t>
      </w:r>
      <w:r>
        <w:rPr>
          <w:color w:val="231F20"/>
          <w:spacing w:val="-4"/>
        </w:rPr>
        <w:t>d’année,</w:t>
      </w:r>
      <w:r>
        <w:rPr>
          <w:color w:val="231F20"/>
          <w:spacing w:val="-11"/>
        </w:rPr>
        <w:t> </w:t>
      </w:r>
      <w:r>
        <w:rPr>
          <w:color w:val="231F20"/>
          <w:spacing w:val="-4"/>
        </w:rPr>
        <w:t>sont</w:t>
      </w:r>
      <w:r>
        <w:rPr>
          <w:color w:val="231F20"/>
          <w:spacing w:val="-11"/>
        </w:rPr>
        <w:t> </w:t>
      </w:r>
      <w:r>
        <w:rPr>
          <w:color w:val="231F20"/>
          <w:spacing w:val="-4"/>
        </w:rPr>
        <w:t>brutalement </w:t>
      </w:r>
      <w:r>
        <w:rPr>
          <w:color w:val="231F20"/>
          <w:spacing w:val="-2"/>
        </w:rPr>
        <w:t>tirés</w:t>
      </w:r>
      <w:r>
        <w:rPr>
          <w:color w:val="231F20"/>
          <w:spacing w:val="-10"/>
        </w:rPr>
        <w:t> </w:t>
      </w:r>
      <w:r>
        <w:rPr>
          <w:color w:val="231F20"/>
          <w:spacing w:val="-2"/>
        </w:rPr>
        <w:t>du</w:t>
      </w:r>
      <w:r>
        <w:rPr>
          <w:color w:val="231F20"/>
          <w:spacing w:val="-7"/>
        </w:rPr>
        <w:t> </w:t>
      </w:r>
      <w:r>
        <w:rPr>
          <w:color w:val="231F20"/>
          <w:spacing w:val="-2"/>
        </w:rPr>
        <w:t>lit</w:t>
      </w:r>
      <w:r>
        <w:rPr>
          <w:color w:val="231F20"/>
          <w:spacing w:val="-9"/>
        </w:rPr>
        <w:t> </w:t>
      </w:r>
      <w:r>
        <w:rPr>
          <w:color w:val="231F20"/>
          <w:spacing w:val="-2"/>
        </w:rPr>
        <w:t>par</w:t>
      </w:r>
      <w:r>
        <w:rPr>
          <w:color w:val="231F20"/>
          <w:spacing w:val="-7"/>
        </w:rPr>
        <w:t> </w:t>
      </w:r>
      <w:r>
        <w:rPr>
          <w:color w:val="231F20"/>
          <w:spacing w:val="-2"/>
        </w:rPr>
        <w:t>des</w:t>
      </w:r>
      <w:r>
        <w:rPr>
          <w:color w:val="231F20"/>
          <w:spacing w:val="-9"/>
        </w:rPr>
        <w:t> </w:t>
      </w:r>
      <w:r>
        <w:rPr>
          <w:color w:val="231F20"/>
          <w:spacing w:val="-2"/>
        </w:rPr>
        <w:t>tirs</w:t>
      </w:r>
      <w:r>
        <w:rPr>
          <w:color w:val="231F20"/>
          <w:spacing w:val="-7"/>
        </w:rPr>
        <w:t> </w:t>
      </w:r>
      <w:r>
        <w:rPr>
          <w:color w:val="231F20"/>
          <w:spacing w:val="-2"/>
        </w:rPr>
        <w:t>d’armes</w:t>
      </w:r>
      <w:r>
        <w:rPr>
          <w:color w:val="231F20"/>
          <w:spacing w:val="-6"/>
        </w:rPr>
        <w:t> </w:t>
      </w:r>
      <w:r>
        <w:rPr>
          <w:color w:val="231F20"/>
          <w:spacing w:val="-2"/>
        </w:rPr>
        <w:t>venant</w:t>
      </w:r>
      <w:r>
        <w:rPr>
          <w:color w:val="231F20"/>
          <w:spacing w:val="-7"/>
        </w:rPr>
        <w:t> </w:t>
      </w:r>
      <w:r>
        <w:rPr>
          <w:color w:val="231F20"/>
          <w:spacing w:val="-2"/>
        </w:rPr>
        <w:t>du</w:t>
      </w:r>
      <w:r>
        <w:rPr>
          <w:color w:val="231F20"/>
          <w:spacing w:val="-9"/>
        </w:rPr>
        <w:t> </w:t>
      </w:r>
      <w:r>
        <w:rPr>
          <w:color w:val="231F20"/>
          <w:spacing w:val="-2"/>
        </w:rPr>
        <w:t>camp</w:t>
      </w:r>
      <w:r>
        <w:rPr>
          <w:color w:val="231F20"/>
          <w:spacing w:val="-10"/>
        </w:rPr>
        <w:t> </w:t>
      </w:r>
      <w:r>
        <w:rPr>
          <w:color w:val="231F20"/>
          <w:spacing w:val="-2"/>
        </w:rPr>
        <w:t>militaire</w:t>
      </w:r>
      <w:r>
        <w:rPr>
          <w:color w:val="231F20"/>
          <w:spacing w:val="-7"/>
        </w:rPr>
        <w:t> </w:t>
      </w:r>
      <w:r>
        <w:rPr>
          <w:color w:val="231F20"/>
          <w:spacing w:val="-2"/>
        </w:rPr>
        <w:t>d’Akouédo,</w:t>
      </w:r>
      <w:r>
        <w:rPr>
          <w:color w:val="231F20"/>
          <w:spacing w:val="-9"/>
        </w:rPr>
        <w:t> </w:t>
      </w:r>
      <w:r>
        <w:rPr>
          <w:color w:val="231F20"/>
          <w:spacing w:val="-2"/>
        </w:rPr>
        <w:t>non </w:t>
      </w:r>
      <w:r>
        <w:rPr>
          <w:color w:val="231F20"/>
        </w:rPr>
        <w:t>loin</w:t>
      </w:r>
      <w:r>
        <w:rPr>
          <w:color w:val="231F20"/>
          <w:spacing w:val="-1"/>
        </w:rPr>
        <w:t> </w:t>
      </w:r>
      <w:r>
        <w:rPr>
          <w:color w:val="231F20"/>
        </w:rPr>
        <w:t>du</w:t>
      </w:r>
      <w:r>
        <w:rPr>
          <w:color w:val="231F20"/>
          <w:spacing w:val="-1"/>
        </w:rPr>
        <w:t> </w:t>
      </w:r>
      <w:r>
        <w:rPr>
          <w:color w:val="231F20"/>
        </w:rPr>
        <w:t>quartier, sur</w:t>
      </w:r>
      <w:r>
        <w:rPr>
          <w:color w:val="231F20"/>
          <w:spacing w:val="-2"/>
        </w:rPr>
        <w:t> </w:t>
      </w:r>
      <w:r>
        <w:rPr>
          <w:color w:val="231F20"/>
        </w:rPr>
        <w:t>la</w:t>
      </w:r>
      <w:r>
        <w:rPr>
          <w:color w:val="231F20"/>
          <w:spacing w:val="-2"/>
        </w:rPr>
        <w:t> </w:t>
      </w:r>
      <w:r>
        <w:rPr>
          <w:color w:val="231F20"/>
        </w:rPr>
        <w:t>route</w:t>
      </w:r>
      <w:r>
        <w:rPr>
          <w:color w:val="231F20"/>
          <w:spacing w:val="-2"/>
        </w:rPr>
        <w:t> </w:t>
      </w:r>
      <w:r>
        <w:rPr>
          <w:color w:val="231F20"/>
        </w:rPr>
        <w:t>de</w:t>
      </w:r>
      <w:r>
        <w:rPr>
          <w:color w:val="231F20"/>
          <w:spacing w:val="-2"/>
        </w:rPr>
        <w:t> </w:t>
      </w:r>
      <w:r>
        <w:rPr>
          <w:color w:val="231F20"/>
        </w:rPr>
        <w:t>Bingerville,</w:t>
      </w:r>
      <w:r>
        <w:rPr>
          <w:color w:val="231F20"/>
          <w:spacing w:val="-1"/>
        </w:rPr>
        <w:t> </w:t>
      </w:r>
      <w:r>
        <w:rPr>
          <w:color w:val="231F20"/>
        </w:rPr>
        <w:t>à</w:t>
      </w:r>
      <w:r>
        <w:rPr>
          <w:color w:val="231F20"/>
          <w:spacing w:val="-2"/>
        </w:rPr>
        <w:t> </w:t>
      </w:r>
      <w:r>
        <w:rPr>
          <w:color w:val="231F20"/>
        </w:rPr>
        <w:t>l’Est d’Abidjan. Au</w:t>
      </w:r>
      <w:r>
        <w:rPr>
          <w:color w:val="231F20"/>
          <w:spacing w:val="-1"/>
        </w:rPr>
        <w:t> </w:t>
      </w:r>
      <w:r>
        <w:rPr>
          <w:color w:val="231F20"/>
        </w:rPr>
        <w:t>petit matin, tout Abidjan apprend que des soldats se sont emparés de la poudrière du camp.</w:t>
      </w:r>
    </w:p>
    <w:p>
      <w:pPr>
        <w:pStyle w:val="BodyText"/>
        <w:spacing w:before="120"/>
        <w:ind w:right="105" w:firstLine="283"/>
      </w:pPr>
      <w:r>
        <w:rPr>
          <w:color w:val="231F20"/>
        </w:rPr>
        <w:t>Informé</w:t>
      </w:r>
      <w:r>
        <w:rPr>
          <w:color w:val="231F20"/>
          <w:spacing w:val="-15"/>
        </w:rPr>
        <w:t> </w:t>
      </w:r>
      <w:r>
        <w:rPr>
          <w:color w:val="231F20"/>
        </w:rPr>
        <w:t>dès</w:t>
      </w:r>
      <w:r>
        <w:rPr>
          <w:color w:val="231F20"/>
          <w:spacing w:val="-15"/>
        </w:rPr>
        <w:t> </w:t>
      </w:r>
      <w:r>
        <w:rPr>
          <w:color w:val="231F20"/>
        </w:rPr>
        <w:t>6</w:t>
      </w:r>
      <w:r>
        <w:rPr>
          <w:color w:val="231F20"/>
          <w:spacing w:val="-15"/>
        </w:rPr>
        <w:t> </w:t>
      </w:r>
      <w:r>
        <w:rPr>
          <w:color w:val="231F20"/>
        </w:rPr>
        <w:t>heures,</w:t>
      </w:r>
      <w:r>
        <w:rPr>
          <w:color w:val="231F20"/>
          <w:spacing w:val="-15"/>
        </w:rPr>
        <w:t> </w:t>
      </w:r>
      <w:r>
        <w:rPr>
          <w:color w:val="231F20"/>
        </w:rPr>
        <w:t>le</w:t>
      </w:r>
      <w:r>
        <w:rPr>
          <w:color w:val="231F20"/>
          <w:spacing w:val="-15"/>
        </w:rPr>
        <w:t> </w:t>
      </w:r>
      <w:r>
        <w:rPr>
          <w:color w:val="231F20"/>
        </w:rPr>
        <w:t>matin,</w:t>
      </w:r>
      <w:r>
        <w:rPr>
          <w:color w:val="231F20"/>
          <w:spacing w:val="-14"/>
        </w:rPr>
        <w:t> </w:t>
      </w:r>
      <w:r>
        <w:rPr>
          <w:color w:val="231F20"/>
        </w:rPr>
        <w:t>des</w:t>
      </w:r>
      <w:r>
        <w:rPr>
          <w:color w:val="231F20"/>
          <w:spacing w:val="-14"/>
        </w:rPr>
        <w:t> </w:t>
      </w:r>
      <w:r>
        <w:rPr>
          <w:color w:val="231F20"/>
        </w:rPr>
        <w:t>événements</w:t>
      </w:r>
      <w:r>
        <w:rPr>
          <w:color w:val="231F20"/>
          <w:spacing w:val="-13"/>
        </w:rPr>
        <w:t> </w:t>
      </w:r>
      <w:r>
        <w:rPr>
          <w:color w:val="231F20"/>
        </w:rPr>
        <w:t>qui</w:t>
      </w:r>
      <w:r>
        <w:rPr>
          <w:color w:val="231F20"/>
          <w:spacing w:val="-13"/>
        </w:rPr>
        <w:t> </w:t>
      </w:r>
      <w:r>
        <w:rPr>
          <w:color w:val="231F20"/>
        </w:rPr>
        <w:t>se</w:t>
      </w:r>
      <w:r>
        <w:rPr>
          <w:color w:val="231F20"/>
          <w:spacing w:val="-14"/>
        </w:rPr>
        <w:t> </w:t>
      </w:r>
      <w:r>
        <w:rPr>
          <w:color w:val="231F20"/>
        </w:rPr>
        <w:t>déroulent</w:t>
      </w:r>
      <w:r>
        <w:rPr>
          <w:color w:val="231F20"/>
          <w:spacing w:val="-14"/>
        </w:rPr>
        <w:t> </w:t>
      </w:r>
      <w:r>
        <w:rPr>
          <w:color w:val="231F20"/>
        </w:rPr>
        <w:t>dans le plus grand camp militaire d’Abidjan, le Chef de l’État Henri Konan </w:t>
      </w:r>
      <w:r>
        <w:rPr>
          <w:color w:val="231F20"/>
          <w:spacing w:val="-2"/>
        </w:rPr>
        <w:t>Bédié</w:t>
      </w:r>
      <w:r>
        <w:rPr>
          <w:color w:val="231F20"/>
          <w:spacing w:val="-10"/>
        </w:rPr>
        <w:t> </w:t>
      </w:r>
      <w:r>
        <w:rPr>
          <w:color w:val="231F20"/>
          <w:spacing w:val="-2"/>
        </w:rPr>
        <w:t>n’entend</w:t>
      </w:r>
      <w:r>
        <w:rPr>
          <w:color w:val="231F20"/>
          <w:spacing w:val="-9"/>
        </w:rPr>
        <w:t> </w:t>
      </w:r>
      <w:r>
        <w:rPr>
          <w:color w:val="231F20"/>
          <w:spacing w:val="-2"/>
        </w:rPr>
        <w:t>pas</w:t>
      </w:r>
      <w:r>
        <w:rPr>
          <w:color w:val="231F20"/>
          <w:spacing w:val="-9"/>
        </w:rPr>
        <w:t> </w:t>
      </w:r>
      <w:r>
        <w:rPr>
          <w:color w:val="231F20"/>
          <w:spacing w:val="-2"/>
        </w:rPr>
        <w:t>pour</w:t>
      </w:r>
      <w:r>
        <w:rPr>
          <w:color w:val="231F20"/>
          <w:spacing w:val="-10"/>
        </w:rPr>
        <w:t> </w:t>
      </w:r>
      <w:r>
        <w:rPr>
          <w:color w:val="231F20"/>
          <w:spacing w:val="-2"/>
        </w:rPr>
        <w:t>autant,</w:t>
      </w:r>
      <w:r>
        <w:rPr>
          <w:color w:val="231F20"/>
          <w:spacing w:val="-9"/>
        </w:rPr>
        <w:t> </w:t>
      </w:r>
      <w:r>
        <w:rPr>
          <w:color w:val="231F20"/>
          <w:spacing w:val="-2"/>
        </w:rPr>
        <w:t>modifier</w:t>
      </w:r>
      <w:r>
        <w:rPr>
          <w:color w:val="231F20"/>
          <w:spacing w:val="-10"/>
        </w:rPr>
        <w:t> </w:t>
      </w:r>
      <w:r>
        <w:rPr>
          <w:color w:val="231F20"/>
          <w:spacing w:val="-2"/>
        </w:rPr>
        <w:t>son</w:t>
      </w:r>
      <w:r>
        <w:rPr>
          <w:color w:val="231F20"/>
          <w:spacing w:val="-9"/>
        </w:rPr>
        <w:t> </w:t>
      </w:r>
      <w:r>
        <w:rPr>
          <w:color w:val="231F20"/>
          <w:spacing w:val="-2"/>
        </w:rPr>
        <w:t>programme</w:t>
      </w:r>
      <w:r>
        <w:rPr>
          <w:color w:val="231F20"/>
          <w:spacing w:val="-10"/>
        </w:rPr>
        <w:t> </w:t>
      </w:r>
      <w:r>
        <w:rPr>
          <w:color w:val="231F20"/>
          <w:spacing w:val="-2"/>
        </w:rPr>
        <w:t>:</w:t>
      </w:r>
      <w:r>
        <w:rPr>
          <w:color w:val="231F20"/>
          <w:spacing w:val="-11"/>
        </w:rPr>
        <w:t> </w:t>
      </w:r>
      <w:r>
        <w:rPr>
          <w:color w:val="231F20"/>
          <w:spacing w:val="-2"/>
        </w:rPr>
        <w:t>il</w:t>
      </w:r>
      <w:r>
        <w:rPr>
          <w:color w:val="231F20"/>
          <w:spacing w:val="-9"/>
        </w:rPr>
        <w:t> </w:t>
      </w:r>
      <w:r>
        <w:rPr>
          <w:color w:val="231F20"/>
          <w:spacing w:val="-2"/>
        </w:rPr>
        <w:t>a</w:t>
      </w:r>
      <w:r>
        <w:rPr>
          <w:color w:val="231F20"/>
          <w:spacing w:val="-10"/>
        </w:rPr>
        <w:t> </w:t>
      </w:r>
      <w:r>
        <w:rPr>
          <w:color w:val="231F20"/>
          <w:spacing w:val="-2"/>
        </w:rPr>
        <w:t>prévu</w:t>
      </w:r>
      <w:r>
        <w:rPr>
          <w:color w:val="231F20"/>
          <w:spacing w:val="-9"/>
        </w:rPr>
        <w:t> </w:t>
      </w:r>
      <w:r>
        <w:rPr>
          <w:color w:val="231F20"/>
          <w:spacing w:val="-2"/>
        </w:rPr>
        <w:t>être </w:t>
      </w:r>
      <w:r>
        <w:rPr>
          <w:color w:val="231F20"/>
        </w:rPr>
        <w:t>dans</w:t>
      </w:r>
      <w:r>
        <w:rPr>
          <w:color w:val="231F20"/>
          <w:spacing w:val="-3"/>
        </w:rPr>
        <w:t> </w:t>
      </w:r>
      <w:r>
        <w:rPr>
          <w:color w:val="231F20"/>
        </w:rPr>
        <w:t>son</w:t>
      </w:r>
      <w:r>
        <w:rPr>
          <w:color w:val="231F20"/>
          <w:spacing w:val="-3"/>
        </w:rPr>
        <w:t> </w:t>
      </w:r>
      <w:r>
        <w:rPr>
          <w:color w:val="231F20"/>
        </w:rPr>
        <w:t>village</w:t>
      </w:r>
      <w:r>
        <w:rPr>
          <w:color w:val="231F20"/>
          <w:spacing w:val="-3"/>
        </w:rPr>
        <w:t> </w:t>
      </w:r>
      <w:r>
        <w:rPr>
          <w:color w:val="231F20"/>
        </w:rPr>
        <w:t>à</w:t>
      </w:r>
      <w:r>
        <w:rPr>
          <w:color w:val="231F20"/>
          <w:spacing w:val="-3"/>
        </w:rPr>
        <w:t> </w:t>
      </w:r>
      <w:r>
        <w:rPr>
          <w:color w:val="231F20"/>
        </w:rPr>
        <w:t>235</w:t>
      </w:r>
      <w:r>
        <w:rPr>
          <w:color w:val="231F20"/>
          <w:spacing w:val="-3"/>
        </w:rPr>
        <w:t> </w:t>
      </w:r>
      <w:r>
        <w:rPr>
          <w:color w:val="231F20"/>
        </w:rPr>
        <w:t>km</w:t>
      </w:r>
      <w:r>
        <w:rPr>
          <w:color w:val="231F20"/>
          <w:spacing w:val="-3"/>
        </w:rPr>
        <w:t> </w:t>
      </w:r>
      <w:r>
        <w:rPr>
          <w:color w:val="231F20"/>
        </w:rPr>
        <w:t>d’Abidjan</w:t>
      </w:r>
      <w:r>
        <w:rPr>
          <w:color w:val="231F20"/>
          <w:spacing w:val="-2"/>
        </w:rPr>
        <w:t> </w:t>
      </w:r>
      <w:r>
        <w:rPr>
          <w:color w:val="231F20"/>
        </w:rPr>
        <w:t>dans</w:t>
      </w:r>
      <w:r>
        <w:rPr>
          <w:color w:val="231F20"/>
          <w:spacing w:val="-3"/>
        </w:rPr>
        <w:t> </w:t>
      </w:r>
      <w:r>
        <w:rPr>
          <w:color w:val="231F20"/>
        </w:rPr>
        <w:t>la</w:t>
      </w:r>
      <w:r>
        <w:rPr>
          <w:color w:val="231F20"/>
          <w:spacing w:val="-3"/>
        </w:rPr>
        <w:t> </w:t>
      </w:r>
      <w:r>
        <w:rPr>
          <w:color w:val="231F20"/>
        </w:rPr>
        <w:t>journée</w:t>
      </w:r>
      <w:r>
        <w:rPr>
          <w:color w:val="231F20"/>
          <w:spacing w:val="-3"/>
        </w:rPr>
        <w:t> </w:t>
      </w:r>
      <w:r>
        <w:rPr>
          <w:color w:val="231F20"/>
        </w:rPr>
        <w:t>pour</w:t>
      </w:r>
      <w:r>
        <w:rPr>
          <w:color w:val="231F20"/>
          <w:spacing w:val="-4"/>
        </w:rPr>
        <w:t> </w:t>
      </w:r>
      <w:r>
        <w:rPr>
          <w:color w:val="231F20"/>
        </w:rPr>
        <w:t>y</w:t>
      </w:r>
      <w:r>
        <w:rPr>
          <w:color w:val="231F20"/>
          <w:spacing w:val="-3"/>
        </w:rPr>
        <w:t> </w:t>
      </w:r>
      <w:r>
        <w:rPr>
          <w:color w:val="231F20"/>
        </w:rPr>
        <w:t>fêter</w:t>
      </w:r>
      <w:r>
        <w:rPr>
          <w:color w:val="231F20"/>
          <w:spacing w:val="-4"/>
        </w:rPr>
        <w:t> </w:t>
      </w:r>
      <w:r>
        <w:rPr>
          <w:color w:val="231F20"/>
        </w:rPr>
        <w:t>Noël. Vers midi, comme si de rien n’était, il prend la route de Daoukro, son village à bord d’un hélicoptère.</w:t>
      </w:r>
    </w:p>
    <w:p>
      <w:pPr>
        <w:pStyle w:val="BodyText"/>
        <w:spacing w:before="121"/>
        <w:ind w:right="104" w:firstLine="283"/>
      </w:pPr>
      <w:r>
        <w:rPr>
          <w:color w:val="231F20"/>
        </w:rPr>
        <w:t>Toute</w:t>
      </w:r>
      <w:r>
        <w:rPr>
          <w:color w:val="231F20"/>
          <w:spacing w:val="-15"/>
        </w:rPr>
        <w:t> </w:t>
      </w:r>
      <w:r>
        <w:rPr>
          <w:color w:val="231F20"/>
        </w:rPr>
        <w:t>la</w:t>
      </w:r>
      <w:r>
        <w:rPr>
          <w:color w:val="231F20"/>
          <w:spacing w:val="-15"/>
        </w:rPr>
        <w:t> </w:t>
      </w:r>
      <w:r>
        <w:rPr>
          <w:color w:val="231F20"/>
        </w:rPr>
        <w:t>journée,</w:t>
      </w:r>
      <w:r>
        <w:rPr>
          <w:color w:val="231F20"/>
          <w:spacing w:val="-15"/>
        </w:rPr>
        <w:t> </w:t>
      </w:r>
      <w:r>
        <w:rPr>
          <w:color w:val="231F20"/>
        </w:rPr>
        <w:t>les</w:t>
      </w:r>
      <w:r>
        <w:rPr>
          <w:color w:val="231F20"/>
          <w:spacing w:val="-15"/>
        </w:rPr>
        <w:t> </w:t>
      </w:r>
      <w:r>
        <w:rPr>
          <w:color w:val="231F20"/>
        </w:rPr>
        <w:t>soldats</w:t>
      </w:r>
      <w:r>
        <w:rPr>
          <w:color w:val="231F20"/>
          <w:spacing w:val="-15"/>
        </w:rPr>
        <w:t> </w:t>
      </w:r>
      <w:r>
        <w:rPr>
          <w:color w:val="231F20"/>
        </w:rPr>
        <w:t>se</w:t>
      </w:r>
      <w:r>
        <w:rPr>
          <w:color w:val="231F20"/>
          <w:spacing w:val="-15"/>
        </w:rPr>
        <w:t> </w:t>
      </w:r>
      <w:r>
        <w:rPr>
          <w:color w:val="231F20"/>
        </w:rPr>
        <w:t>livrent</w:t>
      </w:r>
      <w:r>
        <w:rPr>
          <w:color w:val="231F20"/>
          <w:spacing w:val="-15"/>
        </w:rPr>
        <w:t> </w:t>
      </w:r>
      <w:r>
        <w:rPr>
          <w:color w:val="231F20"/>
        </w:rPr>
        <w:t>à</w:t>
      </w:r>
      <w:r>
        <w:rPr>
          <w:color w:val="231F20"/>
          <w:spacing w:val="-14"/>
        </w:rPr>
        <w:t> </w:t>
      </w:r>
      <w:r>
        <w:rPr>
          <w:color w:val="231F20"/>
        </w:rPr>
        <w:t>un</w:t>
      </w:r>
      <w:r>
        <w:rPr>
          <w:color w:val="231F20"/>
          <w:spacing w:val="-15"/>
        </w:rPr>
        <w:t> </w:t>
      </w:r>
      <w:r>
        <w:rPr>
          <w:color w:val="231F20"/>
        </w:rPr>
        <w:t>véritable</w:t>
      </w:r>
      <w:r>
        <w:rPr>
          <w:color w:val="231F20"/>
          <w:spacing w:val="-15"/>
        </w:rPr>
        <w:t> </w:t>
      </w:r>
      <w:r>
        <w:rPr>
          <w:color w:val="231F20"/>
        </w:rPr>
        <w:t>«</w:t>
      </w:r>
      <w:r>
        <w:rPr>
          <w:color w:val="231F20"/>
          <w:spacing w:val="-15"/>
        </w:rPr>
        <w:t> </w:t>
      </w:r>
      <w:r>
        <w:rPr>
          <w:color w:val="231F20"/>
        </w:rPr>
        <w:t>rodéo</w:t>
      </w:r>
      <w:r>
        <w:rPr>
          <w:color w:val="231F20"/>
          <w:spacing w:val="-15"/>
        </w:rPr>
        <w:t> </w:t>
      </w:r>
      <w:r>
        <w:rPr>
          <w:color w:val="231F20"/>
        </w:rPr>
        <w:t>»</w:t>
      </w:r>
      <w:r>
        <w:rPr>
          <w:color w:val="231F20"/>
          <w:spacing w:val="-14"/>
        </w:rPr>
        <w:t> </w:t>
      </w:r>
      <w:r>
        <w:rPr>
          <w:color w:val="231F20"/>
        </w:rPr>
        <w:t>dans</w:t>
      </w:r>
      <w:r>
        <w:rPr>
          <w:color w:val="231F20"/>
          <w:spacing w:val="-14"/>
        </w:rPr>
        <w:t> </w:t>
      </w:r>
      <w:r>
        <w:rPr>
          <w:color w:val="231F20"/>
        </w:rPr>
        <w:t>la ville d’Abidjan. À bord de véhicules arrachés à leur propriétaire, ils </w:t>
      </w:r>
      <w:r>
        <w:rPr>
          <w:color w:val="231F20"/>
          <w:spacing w:val="-4"/>
        </w:rPr>
        <w:t>sillonnent</w:t>
      </w:r>
      <w:r>
        <w:rPr>
          <w:color w:val="231F20"/>
          <w:spacing w:val="-7"/>
        </w:rPr>
        <w:t> </w:t>
      </w:r>
      <w:r>
        <w:rPr>
          <w:color w:val="231F20"/>
          <w:spacing w:val="-4"/>
        </w:rPr>
        <w:t>les</w:t>
      </w:r>
      <w:r>
        <w:rPr>
          <w:color w:val="231F20"/>
          <w:spacing w:val="-9"/>
        </w:rPr>
        <w:t> </w:t>
      </w:r>
      <w:r>
        <w:rPr>
          <w:color w:val="231F20"/>
          <w:spacing w:val="-4"/>
        </w:rPr>
        <w:t>rues,</w:t>
      </w:r>
      <w:r>
        <w:rPr>
          <w:color w:val="231F20"/>
          <w:spacing w:val="-9"/>
        </w:rPr>
        <w:t> </w:t>
      </w:r>
      <w:r>
        <w:rPr>
          <w:color w:val="231F20"/>
          <w:spacing w:val="-4"/>
        </w:rPr>
        <w:t>tirant</w:t>
      </w:r>
      <w:r>
        <w:rPr>
          <w:color w:val="231F20"/>
          <w:spacing w:val="-7"/>
        </w:rPr>
        <w:t> </w:t>
      </w:r>
      <w:r>
        <w:rPr>
          <w:color w:val="231F20"/>
          <w:spacing w:val="-4"/>
        </w:rPr>
        <w:t>des</w:t>
      </w:r>
      <w:r>
        <w:rPr>
          <w:color w:val="231F20"/>
          <w:spacing w:val="-6"/>
        </w:rPr>
        <w:t> </w:t>
      </w:r>
      <w:r>
        <w:rPr>
          <w:color w:val="231F20"/>
          <w:spacing w:val="-4"/>
        </w:rPr>
        <w:t>rafales</w:t>
      </w:r>
      <w:r>
        <w:rPr>
          <w:color w:val="231F20"/>
          <w:spacing w:val="-9"/>
        </w:rPr>
        <w:t> </w:t>
      </w:r>
      <w:r>
        <w:rPr>
          <w:color w:val="231F20"/>
          <w:spacing w:val="-4"/>
        </w:rPr>
        <w:t>en</w:t>
      </w:r>
      <w:r>
        <w:rPr>
          <w:color w:val="231F20"/>
          <w:spacing w:val="-9"/>
        </w:rPr>
        <w:t> </w:t>
      </w:r>
      <w:r>
        <w:rPr>
          <w:color w:val="231F20"/>
          <w:spacing w:val="-4"/>
        </w:rPr>
        <w:t>l’air.</w:t>
      </w:r>
      <w:r>
        <w:rPr>
          <w:color w:val="231F20"/>
          <w:spacing w:val="-9"/>
        </w:rPr>
        <w:t> </w:t>
      </w:r>
      <w:r>
        <w:rPr>
          <w:color w:val="231F20"/>
          <w:spacing w:val="-4"/>
        </w:rPr>
        <w:t>Les</w:t>
      </w:r>
      <w:r>
        <w:rPr>
          <w:color w:val="231F20"/>
          <w:spacing w:val="-9"/>
        </w:rPr>
        <w:t> </w:t>
      </w:r>
      <w:r>
        <w:rPr>
          <w:color w:val="231F20"/>
          <w:spacing w:val="-4"/>
        </w:rPr>
        <w:t>habitants</w:t>
      </w:r>
      <w:r>
        <w:rPr>
          <w:color w:val="231F20"/>
          <w:spacing w:val="-9"/>
        </w:rPr>
        <w:t> </w:t>
      </w:r>
      <w:r>
        <w:rPr>
          <w:color w:val="231F20"/>
          <w:spacing w:val="-4"/>
        </w:rPr>
        <w:t>de</w:t>
      </w:r>
      <w:r>
        <w:rPr>
          <w:color w:val="231F20"/>
          <w:spacing w:val="-9"/>
        </w:rPr>
        <w:t> </w:t>
      </w:r>
      <w:r>
        <w:rPr>
          <w:color w:val="231F20"/>
          <w:spacing w:val="-4"/>
        </w:rPr>
        <w:t>Cocody</w:t>
      </w:r>
      <w:r>
        <w:rPr>
          <w:color w:val="231F20"/>
          <w:spacing w:val="-9"/>
        </w:rPr>
        <w:t> </w:t>
      </w:r>
      <w:r>
        <w:rPr>
          <w:color w:val="231F20"/>
          <w:spacing w:val="-4"/>
        </w:rPr>
        <w:t>sont </w:t>
      </w:r>
      <w:r>
        <w:rPr>
          <w:color w:val="231F20"/>
        </w:rPr>
        <w:t>les premiers à les rencontrer. Sur leur passage, ils pillent quelques </w:t>
      </w:r>
      <w:r>
        <w:rPr>
          <w:color w:val="231F20"/>
          <w:spacing w:val="-2"/>
        </w:rPr>
        <w:t>magasins</w:t>
      </w:r>
      <w:r>
        <w:rPr>
          <w:color w:val="231F20"/>
          <w:spacing w:val="-11"/>
        </w:rPr>
        <w:t> </w:t>
      </w:r>
      <w:r>
        <w:rPr>
          <w:color w:val="231F20"/>
          <w:spacing w:val="-2"/>
        </w:rPr>
        <w:t>et</w:t>
      </w:r>
      <w:r>
        <w:rPr>
          <w:color w:val="231F20"/>
          <w:spacing w:val="-11"/>
        </w:rPr>
        <w:t> </w:t>
      </w:r>
      <w:r>
        <w:rPr>
          <w:color w:val="231F20"/>
          <w:spacing w:val="-2"/>
        </w:rPr>
        <w:t>stations</w:t>
      </w:r>
      <w:r>
        <w:rPr>
          <w:color w:val="231F20"/>
          <w:spacing w:val="-13"/>
        </w:rPr>
        <w:t> </w:t>
      </w:r>
      <w:r>
        <w:rPr>
          <w:color w:val="231F20"/>
          <w:spacing w:val="-2"/>
        </w:rPr>
        <w:t>d’essence,</w:t>
      </w:r>
      <w:r>
        <w:rPr>
          <w:color w:val="231F20"/>
          <w:spacing w:val="-11"/>
        </w:rPr>
        <w:t> </w:t>
      </w:r>
      <w:r>
        <w:rPr>
          <w:color w:val="231F20"/>
          <w:spacing w:val="-2"/>
        </w:rPr>
        <w:t>sèment</w:t>
      </w:r>
      <w:r>
        <w:rPr>
          <w:color w:val="231F20"/>
          <w:spacing w:val="-13"/>
        </w:rPr>
        <w:t> </w:t>
      </w:r>
      <w:r>
        <w:rPr>
          <w:color w:val="231F20"/>
          <w:spacing w:val="-2"/>
        </w:rPr>
        <w:t>la</w:t>
      </w:r>
      <w:r>
        <w:rPr>
          <w:color w:val="231F20"/>
          <w:spacing w:val="-11"/>
        </w:rPr>
        <w:t> </w:t>
      </w:r>
      <w:r>
        <w:rPr>
          <w:color w:val="231F20"/>
          <w:spacing w:val="-2"/>
        </w:rPr>
        <w:t>panique.</w:t>
      </w:r>
      <w:r>
        <w:rPr>
          <w:color w:val="231F20"/>
          <w:spacing w:val="-12"/>
        </w:rPr>
        <w:t> </w:t>
      </w:r>
      <w:r>
        <w:rPr>
          <w:color w:val="231F20"/>
          <w:spacing w:val="-2"/>
        </w:rPr>
        <w:t>Les</w:t>
      </w:r>
      <w:r>
        <w:rPr>
          <w:color w:val="231F20"/>
          <w:spacing w:val="-11"/>
        </w:rPr>
        <w:t> </w:t>
      </w:r>
      <w:r>
        <w:rPr>
          <w:color w:val="231F20"/>
          <w:spacing w:val="-2"/>
        </w:rPr>
        <w:t>marchés</w:t>
      </w:r>
      <w:r>
        <w:rPr>
          <w:color w:val="231F20"/>
          <w:spacing w:val="-11"/>
        </w:rPr>
        <w:t> </w:t>
      </w:r>
      <w:r>
        <w:rPr>
          <w:color w:val="231F20"/>
          <w:spacing w:val="-2"/>
        </w:rPr>
        <w:t>se</w:t>
      </w:r>
      <w:r>
        <w:rPr>
          <w:color w:val="231F20"/>
          <w:spacing w:val="-11"/>
        </w:rPr>
        <w:t> </w:t>
      </w:r>
      <w:r>
        <w:rPr>
          <w:color w:val="231F20"/>
          <w:spacing w:val="-2"/>
        </w:rPr>
        <w:t>vident </w:t>
      </w:r>
      <w:r>
        <w:rPr>
          <w:color w:val="231F20"/>
        </w:rPr>
        <w:t>et les salariés abandonnent les bureaux. En début d’après-midi, ils prennent</w:t>
      </w:r>
      <w:r>
        <w:rPr>
          <w:color w:val="231F20"/>
          <w:spacing w:val="-15"/>
        </w:rPr>
        <w:t> </w:t>
      </w:r>
      <w:r>
        <w:rPr>
          <w:color w:val="231F20"/>
        </w:rPr>
        <w:t>le</w:t>
      </w:r>
      <w:r>
        <w:rPr>
          <w:color w:val="231F20"/>
          <w:spacing w:val="-15"/>
        </w:rPr>
        <w:t> </w:t>
      </w:r>
      <w:r>
        <w:rPr>
          <w:color w:val="231F20"/>
        </w:rPr>
        <w:t>contrôle</w:t>
      </w:r>
      <w:r>
        <w:rPr>
          <w:color w:val="231F20"/>
          <w:spacing w:val="-15"/>
        </w:rPr>
        <w:t> </w:t>
      </w:r>
      <w:r>
        <w:rPr>
          <w:color w:val="231F20"/>
        </w:rPr>
        <w:t>de</w:t>
      </w:r>
      <w:r>
        <w:rPr>
          <w:color w:val="231F20"/>
          <w:spacing w:val="-13"/>
        </w:rPr>
        <w:t> </w:t>
      </w:r>
      <w:r>
        <w:rPr>
          <w:color w:val="231F20"/>
        </w:rPr>
        <w:t>la</w:t>
      </w:r>
      <w:r>
        <w:rPr>
          <w:color w:val="231F20"/>
          <w:spacing w:val="-15"/>
        </w:rPr>
        <w:t> </w:t>
      </w:r>
      <w:r>
        <w:rPr>
          <w:color w:val="231F20"/>
        </w:rPr>
        <w:t>Radio-Télévision</w:t>
      </w:r>
      <w:r>
        <w:rPr>
          <w:color w:val="231F20"/>
          <w:spacing w:val="-13"/>
        </w:rPr>
        <w:t> </w:t>
      </w:r>
      <w:r>
        <w:rPr>
          <w:color w:val="231F20"/>
        </w:rPr>
        <w:t>ivoirienne</w:t>
      </w:r>
      <w:r>
        <w:rPr>
          <w:color w:val="231F20"/>
          <w:spacing w:val="-13"/>
        </w:rPr>
        <w:t> </w:t>
      </w:r>
      <w:r>
        <w:rPr>
          <w:color w:val="231F20"/>
        </w:rPr>
        <w:t>(RTI),</w:t>
      </w:r>
      <w:r>
        <w:rPr>
          <w:color w:val="231F20"/>
          <w:spacing w:val="-13"/>
        </w:rPr>
        <w:t> </w:t>
      </w:r>
      <w:r>
        <w:rPr>
          <w:color w:val="231F20"/>
        </w:rPr>
        <w:t>à</w:t>
      </w:r>
      <w:r>
        <w:rPr>
          <w:color w:val="231F20"/>
          <w:spacing w:val="-14"/>
        </w:rPr>
        <w:t> </w:t>
      </w:r>
      <w:r>
        <w:rPr>
          <w:color w:val="231F20"/>
        </w:rPr>
        <w:t>Cocody.</w:t>
      </w:r>
    </w:p>
    <w:p>
      <w:pPr>
        <w:spacing w:after="0"/>
        <w:sectPr>
          <w:pgSz w:w="8790" w:h="13610"/>
          <w:pgMar w:header="0" w:footer="802" w:top="1060" w:bottom="1000" w:left="880" w:right="880"/>
        </w:sectPr>
      </w:pPr>
    </w:p>
    <w:p>
      <w:pPr>
        <w:pStyle w:val="BodyText"/>
        <w:spacing w:before="66"/>
        <w:ind w:right="105" w:firstLine="283"/>
      </w:pPr>
      <w:r>
        <w:rPr>
          <w:color w:val="231F20"/>
        </w:rPr>
        <w:t>À</w:t>
      </w:r>
      <w:r>
        <w:rPr>
          <w:color w:val="231F20"/>
          <w:spacing w:val="-2"/>
        </w:rPr>
        <w:t> </w:t>
      </w:r>
      <w:r>
        <w:rPr>
          <w:color w:val="231F20"/>
        </w:rPr>
        <w:t>Daoukro,</w:t>
      </w:r>
      <w:r>
        <w:rPr>
          <w:color w:val="231F20"/>
          <w:spacing w:val="-4"/>
        </w:rPr>
        <w:t> </w:t>
      </w:r>
      <w:r>
        <w:rPr>
          <w:color w:val="231F20"/>
        </w:rPr>
        <w:t>les</w:t>
      </w:r>
      <w:r>
        <w:rPr>
          <w:color w:val="231F20"/>
          <w:spacing w:val="-2"/>
        </w:rPr>
        <w:t> </w:t>
      </w:r>
      <w:r>
        <w:rPr>
          <w:color w:val="231F20"/>
        </w:rPr>
        <w:t>conseillers</w:t>
      </w:r>
      <w:r>
        <w:rPr>
          <w:color w:val="231F20"/>
          <w:spacing w:val="-1"/>
        </w:rPr>
        <w:t> </w:t>
      </w:r>
      <w:r>
        <w:rPr>
          <w:color w:val="231F20"/>
        </w:rPr>
        <w:t>de</w:t>
      </w:r>
      <w:r>
        <w:rPr>
          <w:color w:val="231F20"/>
          <w:spacing w:val="-4"/>
        </w:rPr>
        <w:t> </w:t>
      </w:r>
      <w:r>
        <w:rPr>
          <w:color w:val="231F20"/>
        </w:rPr>
        <w:t>Bédié</w:t>
      </w:r>
      <w:r>
        <w:rPr>
          <w:color w:val="231F20"/>
          <w:spacing w:val="-2"/>
        </w:rPr>
        <w:t> </w:t>
      </w:r>
      <w:r>
        <w:rPr>
          <w:color w:val="231F20"/>
        </w:rPr>
        <w:t>le</w:t>
      </w:r>
      <w:r>
        <w:rPr>
          <w:color w:val="231F20"/>
          <w:spacing w:val="-4"/>
        </w:rPr>
        <w:t> </w:t>
      </w:r>
      <w:r>
        <w:rPr>
          <w:color w:val="231F20"/>
        </w:rPr>
        <w:t>pressent</w:t>
      </w:r>
      <w:r>
        <w:rPr>
          <w:color w:val="231F20"/>
          <w:spacing w:val="-3"/>
        </w:rPr>
        <w:t> </w:t>
      </w:r>
      <w:r>
        <w:rPr>
          <w:color w:val="231F20"/>
        </w:rPr>
        <w:t>de</w:t>
      </w:r>
      <w:r>
        <w:rPr>
          <w:color w:val="231F20"/>
          <w:spacing w:val="-4"/>
        </w:rPr>
        <w:t> </w:t>
      </w:r>
      <w:r>
        <w:rPr>
          <w:color w:val="231F20"/>
        </w:rPr>
        <w:t>rentrer</w:t>
      </w:r>
      <w:r>
        <w:rPr>
          <w:color w:val="231F20"/>
          <w:spacing w:val="-2"/>
        </w:rPr>
        <w:t> </w:t>
      </w:r>
      <w:r>
        <w:rPr>
          <w:color w:val="231F20"/>
        </w:rPr>
        <w:t>à</w:t>
      </w:r>
      <w:r>
        <w:rPr>
          <w:color w:val="231F20"/>
          <w:spacing w:val="-4"/>
        </w:rPr>
        <w:t> </w:t>
      </w:r>
      <w:r>
        <w:rPr>
          <w:color w:val="231F20"/>
        </w:rPr>
        <w:t>Abidjan afin</w:t>
      </w:r>
      <w:r>
        <w:rPr>
          <w:color w:val="231F20"/>
          <w:spacing w:val="-7"/>
        </w:rPr>
        <w:t> </w:t>
      </w:r>
      <w:r>
        <w:rPr>
          <w:color w:val="231F20"/>
        </w:rPr>
        <w:t>de</w:t>
      </w:r>
      <w:r>
        <w:rPr>
          <w:color w:val="231F20"/>
          <w:spacing w:val="-8"/>
        </w:rPr>
        <w:t> </w:t>
      </w:r>
      <w:r>
        <w:rPr>
          <w:color w:val="231F20"/>
        </w:rPr>
        <w:t>reprendre</w:t>
      </w:r>
      <w:r>
        <w:rPr>
          <w:color w:val="231F20"/>
          <w:spacing w:val="-8"/>
        </w:rPr>
        <w:t> </w:t>
      </w:r>
      <w:r>
        <w:rPr>
          <w:color w:val="231F20"/>
        </w:rPr>
        <w:t>en</w:t>
      </w:r>
      <w:r>
        <w:rPr>
          <w:color w:val="231F20"/>
          <w:spacing w:val="-10"/>
        </w:rPr>
        <w:t> </w:t>
      </w:r>
      <w:r>
        <w:rPr>
          <w:color w:val="231F20"/>
        </w:rPr>
        <w:t>main</w:t>
      </w:r>
      <w:r>
        <w:rPr>
          <w:color w:val="231F20"/>
          <w:spacing w:val="-10"/>
        </w:rPr>
        <w:t> </w:t>
      </w:r>
      <w:r>
        <w:rPr>
          <w:color w:val="231F20"/>
        </w:rPr>
        <w:t>une</w:t>
      </w:r>
      <w:r>
        <w:rPr>
          <w:color w:val="231F20"/>
          <w:spacing w:val="-8"/>
        </w:rPr>
        <w:t> </w:t>
      </w:r>
      <w:r>
        <w:rPr>
          <w:color w:val="231F20"/>
        </w:rPr>
        <w:t>situation</w:t>
      </w:r>
      <w:r>
        <w:rPr>
          <w:color w:val="231F20"/>
          <w:spacing w:val="-10"/>
        </w:rPr>
        <w:t> </w:t>
      </w:r>
      <w:r>
        <w:rPr>
          <w:color w:val="231F20"/>
        </w:rPr>
        <w:t>sur</w:t>
      </w:r>
      <w:r>
        <w:rPr>
          <w:color w:val="231F20"/>
          <w:spacing w:val="-10"/>
        </w:rPr>
        <w:t> </w:t>
      </w:r>
      <w:r>
        <w:rPr>
          <w:color w:val="231F20"/>
        </w:rPr>
        <w:t>le</w:t>
      </w:r>
      <w:r>
        <w:rPr>
          <w:color w:val="231F20"/>
          <w:spacing w:val="-8"/>
        </w:rPr>
        <w:t> </w:t>
      </w:r>
      <w:r>
        <w:rPr>
          <w:color w:val="231F20"/>
        </w:rPr>
        <w:t>point</w:t>
      </w:r>
      <w:r>
        <w:rPr>
          <w:color w:val="231F20"/>
          <w:spacing w:val="-9"/>
        </w:rPr>
        <w:t> </w:t>
      </w:r>
      <w:r>
        <w:rPr>
          <w:color w:val="231F20"/>
        </w:rPr>
        <w:t>de</w:t>
      </w:r>
      <w:r>
        <w:rPr>
          <w:color w:val="231F20"/>
          <w:spacing w:val="-5"/>
        </w:rPr>
        <w:t> </w:t>
      </w:r>
      <w:r>
        <w:rPr>
          <w:color w:val="231F20"/>
        </w:rPr>
        <w:t>dégénérer.</w:t>
      </w:r>
      <w:r>
        <w:rPr>
          <w:color w:val="231F20"/>
          <w:spacing w:val="-9"/>
        </w:rPr>
        <w:t> </w:t>
      </w:r>
      <w:r>
        <w:rPr>
          <w:color w:val="231F20"/>
        </w:rPr>
        <w:t>Bédié préfère donner des instructions à son Premier Ministre resté à Abidjan pour régler un problème qu’il estime</w:t>
      </w:r>
      <w:r>
        <w:rPr>
          <w:color w:val="231F20"/>
          <w:spacing w:val="-1"/>
        </w:rPr>
        <w:t> </w:t>
      </w:r>
      <w:r>
        <w:rPr>
          <w:color w:val="231F20"/>
        </w:rPr>
        <w:t>mineur.</w:t>
      </w:r>
    </w:p>
    <w:p>
      <w:pPr>
        <w:pStyle w:val="BodyText"/>
        <w:spacing w:before="120"/>
        <w:ind w:right="104" w:firstLine="283"/>
      </w:pPr>
      <w:r>
        <w:rPr>
          <w:color w:val="231F20"/>
        </w:rPr>
        <w:t>Daniel</w:t>
      </w:r>
      <w:r>
        <w:rPr>
          <w:color w:val="231F20"/>
          <w:spacing w:val="-9"/>
        </w:rPr>
        <w:t> </w:t>
      </w:r>
      <w:r>
        <w:rPr>
          <w:color w:val="231F20"/>
        </w:rPr>
        <w:t>Kablan</w:t>
      </w:r>
      <w:r>
        <w:rPr>
          <w:color w:val="231F20"/>
          <w:spacing w:val="-10"/>
        </w:rPr>
        <w:t> </w:t>
      </w:r>
      <w:r>
        <w:rPr>
          <w:color w:val="231F20"/>
        </w:rPr>
        <w:t>Duncan,</w:t>
      </w:r>
      <w:r>
        <w:rPr>
          <w:color w:val="231F20"/>
          <w:spacing w:val="-12"/>
        </w:rPr>
        <w:t> </w:t>
      </w:r>
      <w:r>
        <w:rPr>
          <w:color w:val="231F20"/>
        </w:rPr>
        <w:t>le</w:t>
      </w:r>
      <w:r>
        <w:rPr>
          <w:color w:val="231F20"/>
          <w:spacing w:val="-10"/>
        </w:rPr>
        <w:t> </w:t>
      </w:r>
      <w:r>
        <w:rPr>
          <w:color w:val="231F20"/>
        </w:rPr>
        <w:t>Premier</w:t>
      </w:r>
      <w:r>
        <w:rPr>
          <w:color w:val="231F20"/>
          <w:spacing w:val="-10"/>
        </w:rPr>
        <w:t> </w:t>
      </w:r>
      <w:r>
        <w:rPr>
          <w:color w:val="231F20"/>
        </w:rPr>
        <w:t>Ministre</w:t>
      </w:r>
      <w:r>
        <w:rPr>
          <w:color w:val="231F20"/>
          <w:spacing w:val="-9"/>
        </w:rPr>
        <w:t> </w:t>
      </w:r>
      <w:r>
        <w:rPr>
          <w:color w:val="231F20"/>
        </w:rPr>
        <w:t>reçoit</w:t>
      </w:r>
      <w:r>
        <w:rPr>
          <w:color w:val="231F20"/>
          <w:spacing w:val="-11"/>
        </w:rPr>
        <w:t> </w:t>
      </w:r>
      <w:r>
        <w:rPr>
          <w:color w:val="231F20"/>
        </w:rPr>
        <w:t>à</w:t>
      </w:r>
      <w:r>
        <w:rPr>
          <w:color w:val="231F20"/>
          <w:spacing w:val="-10"/>
        </w:rPr>
        <w:t> </w:t>
      </w:r>
      <w:r>
        <w:rPr>
          <w:color w:val="231F20"/>
        </w:rPr>
        <w:t>la</w:t>
      </w:r>
      <w:r>
        <w:rPr>
          <w:color w:val="231F20"/>
          <w:spacing w:val="-10"/>
        </w:rPr>
        <w:t> </w:t>
      </w:r>
      <w:r>
        <w:rPr>
          <w:color w:val="231F20"/>
        </w:rPr>
        <w:t>primature</w:t>
      </w:r>
      <w:r>
        <w:rPr>
          <w:color w:val="231F20"/>
          <w:spacing w:val="-11"/>
        </w:rPr>
        <w:t> </w:t>
      </w:r>
      <w:r>
        <w:rPr>
          <w:color w:val="231F20"/>
        </w:rPr>
        <w:t>une délégation</w:t>
      </w:r>
      <w:r>
        <w:rPr>
          <w:color w:val="231F20"/>
          <w:spacing w:val="-4"/>
        </w:rPr>
        <w:t> </w:t>
      </w:r>
      <w:r>
        <w:rPr>
          <w:color w:val="231F20"/>
        </w:rPr>
        <w:t>d’insurgés.</w:t>
      </w:r>
      <w:r>
        <w:rPr>
          <w:color w:val="231F20"/>
          <w:spacing w:val="-6"/>
        </w:rPr>
        <w:t> </w:t>
      </w:r>
      <w:r>
        <w:rPr>
          <w:color w:val="231F20"/>
        </w:rPr>
        <w:t>Ce</w:t>
      </w:r>
      <w:r>
        <w:rPr>
          <w:color w:val="231F20"/>
          <w:spacing w:val="-7"/>
        </w:rPr>
        <w:t> </w:t>
      </w:r>
      <w:r>
        <w:rPr>
          <w:color w:val="231F20"/>
        </w:rPr>
        <w:t>sont</w:t>
      </w:r>
      <w:r>
        <w:rPr>
          <w:color w:val="231F20"/>
          <w:spacing w:val="-6"/>
        </w:rPr>
        <w:t> </w:t>
      </w:r>
      <w:r>
        <w:rPr>
          <w:color w:val="231F20"/>
        </w:rPr>
        <w:t>des</w:t>
      </w:r>
      <w:r>
        <w:rPr>
          <w:color w:val="231F20"/>
          <w:spacing w:val="-4"/>
        </w:rPr>
        <w:t> </w:t>
      </w:r>
      <w:r>
        <w:rPr>
          <w:color w:val="231F20"/>
        </w:rPr>
        <w:t>soldats</w:t>
      </w:r>
      <w:r>
        <w:rPr>
          <w:color w:val="231F20"/>
          <w:spacing w:val="-4"/>
        </w:rPr>
        <w:t> </w:t>
      </w:r>
      <w:r>
        <w:rPr>
          <w:color w:val="231F20"/>
        </w:rPr>
        <w:t>qui</w:t>
      </w:r>
      <w:r>
        <w:rPr>
          <w:color w:val="231F20"/>
          <w:spacing w:val="-4"/>
        </w:rPr>
        <w:t> </w:t>
      </w:r>
      <w:r>
        <w:rPr>
          <w:color w:val="231F20"/>
        </w:rPr>
        <w:t>ont</w:t>
      </w:r>
      <w:r>
        <w:rPr>
          <w:color w:val="231F20"/>
          <w:spacing w:val="-6"/>
        </w:rPr>
        <w:t> </w:t>
      </w:r>
      <w:r>
        <w:rPr>
          <w:color w:val="231F20"/>
        </w:rPr>
        <w:t>séjourné</w:t>
      </w:r>
      <w:r>
        <w:rPr>
          <w:color w:val="231F20"/>
          <w:spacing w:val="-6"/>
        </w:rPr>
        <w:t> </w:t>
      </w:r>
      <w:r>
        <w:rPr>
          <w:color w:val="231F20"/>
        </w:rPr>
        <w:t>onze</w:t>
      </w:r>
      <w:r>
        <w:rPr>
          <w:color w:val="231F20"/>
          <w:spacing w:val="-4"/>
        </w:rPr>
        <w:t> </w:t>
      </w:r>
      <w:r>
        <w:rPr>
          <w:color w:val="231F20"/>
        </w:rPr>
        <w:t>mois</w:t>
      </w:r>
      <w:r>
        <w:rPr>
          <w:color w:val="231F20"/>
          <w:spacing w:val="-4"/>
        </w:rPr>
        <w:t> </w:t>
      </w:r>
      <w:r>
        <w:rPr>
          <w:color w:val="231F20"/>
        </w:rPr>
        <w:t>à Bangui</w:t>
      </w:r>
      <w:r>
        <w:rPr>
          <w:color w:val="231F20"/>
          <w:spacing w:val="-15"/>
        </w:rPr>
        <w:t> </w:t>
      </w:r>
      <w:r>
        <w:rPr>
          <w:color w:val="231F20"/>
        </w:rPr>
        <w:t>dans</w:t>
      </w:r>
      <w:r>
        <w:rPr>
          <w:color w:val="231F20"/>
          <w:spacing w:val="-15"/>
        </w:rPr>
        <w:t> </w:t>
      </w:r>
      <w:r>
        <w:rPr>
          <w:color w:val="231F20"/>
        </w:rPr>
        <w:t>le</w:t>
      </w:r>
      <w:r>
        <w:rPr>
          <w:color w:val="231F20"/>
          <w:spacing w:val="-15"/>
        </w:rPr>
        <w:t> </w:t>
      </w:r>
      <w:r>
        <w:rPr>
          <w:color w:val="231F20"/>
        </w:rPr>
        <w:t>cadre</w:t>
      </w:r>
      <w:r>
        <w:rPr>
          <w:color w:val="231F20"/>
          <w:spacing w:val="-15"/>
        </w:rPr>
        <w:t> </w:t>
      </w:r>
      <w:r>
        <w:rPr>
          <w:color w:val="231F20"/>
        </w:rPr>
        <w:t>du</w:t>
      </w:r>
      <w:r>
        <w:rPr>
          <w:color w:val="231F20"/>
          <w:spacing w:val="-15"/>
        </w:rPr>
        <w:t> </w:t>
      </w:r>
      <w:r>
        <w:rPr>
          <w:color w:val="231F20"/>
        </w:rPr>
        <w:t>maintien</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paix</w:t>
      </w:r>
      <w:r>
        <w:rPr>
          <w:color w:val="231F20"/>
          <w:vertAlign w:val="superscript"/>
        </w:rPr>
        <w:t>162</w:t>
      </w:r>
      <w:r>
        <w:rPr>
          <w:color w:val="231F20"/>
          <w:vertAlign w:val="baseline"/>
        </w:rPr>
        <w:t>.</w:t>
      </w:r>
      <w:r>
        <w:rPr>
          <w:color w:val="231F20"/>
          <w:spacing w:val="-15"/>
          <w:vertAlign w:val="baseline"/>
        </w:rPr>
        <w:t> </w:t>
      </w:r>
      <w:r>
        <w:rPr>
          <w:color w:val="231F20"/>
          <w:vertAlign w:val="baseline"/>
        </w:rPr>
        <w:t>Ils</w:t>
      </w:r>
      <w:r>
        <w:rPr>
          <w:color w:val="231F20"/>
          <w:spacing w:val="-15"/>
          <w:vertAlign w:val="baseline"/>
        </w:rPr>
        <w:t> </w:t>
      </w:r>
      <w:r>
        <w:rPr>
          <w:color w:val="231F20"/>
          <w:vertAlign w:val="baseline"/>
        </w:rPr>
        <w:t>réclament</w:t>
      </w:r>
      <w:r>
        <w:rPr>
          <w:color w:val="231F20"/>
          <w:spacing w:val="-15"/>
          <w:vertAlign w:val="baseline"/>
        </w:rPr>
        <w:t> </w:t>
      </w:r>
      <w:r>
        <w:rPr>
          <w:color w:val="231F20"/>
          <w:vertAlign w:val="baseline"/>
        </w:rPr>
        <w:t>le</w:t>
      </w:r>
      <w:r>
        <w:rPr>
          <w:color w:val="231F20"/>
          <w:spacing w:val="-15"/>
          <w:vertAlign w:val="baseline"/>
        </w:rPr>
        <w:t> </w:t>
      </w:r>
      <w:r>
        <w:rPr>
          <w:color w:val="231F20"/>
          <w:vertAlign w:val="baseline"/>
        </w:rPr>
        <w:t>paiement d’arriérés de</w:t>
      </w:r>
      <w:r>
        <w:rPr>
          <w:color w:val="231F20"/>
          <w:spacing w:val="-1"/>
          <w:vertAlign w:val="baseline"/>
        </w:rPr>
        <w:t> </w:t>
      </w:r>
      <w:r>
        <w:rPr>
          <w:color w:val="231F20"/>
          <w:vertAlign w:val="baseline"/>
        </w:rPr>
        <w:t>soldes et de</w:t>
      </w:r>
      <w:r>
        <w:rPr>
          <w:color w:val="231F20"/>
          <w:spacing w:val="-1"/>
          <w:vertAlign w:val="baseline"/>
        </w:rPr>
        <w:t> </w:t>
      </w:r>
      <w:r>
        <w:rPr>
          <w:color w:val="231F20"/>
          <w:vertAlign w:val="baseline"/>
        </w:rPr>
        <w:t>primes, accusant au passage certains de leurs supérieurs</w:t>
      </w:r>
      <w:r>
        <w:rPr>
          <w:color w:val="231F20"/>
          <w:spacing w:val="-4"/>
          <w:vertAlign w:val="baseline"/>
        </w:rPr>
        <w:t> </w:t>
      </w:r>
      <w:r>
        <w:rPr>
          <w:color w:val="231F20"/>
          <w:vertAlign w:val="baseline"/>
        </w:rPr>
        <w:t>d’avoir</w:t>
      </w:r>
      <w:r>
        <w:rPr>
          <w:color w:val="231F20"/>
          <w:spacing w:val="-3"/>
          <w:vertAlign w:val="baseline"/>
        </w:rPr>
        <w:t> </w:t>
      </w:r>
      <w:r>
        <w:rPr>
          <w:color w:val="231F20"/>
          <w:vertAlign w:val="baseline"/>
        </w:rPr>
        <w:t>indûment prélevé</w:t>
      </w:r>
      <w:r>
        <w:rPr>
          <w:color w:val="231F20"/>
          <w:spacing w:val="-1"/>
          <w:vertAlign w:val="baseline"/>
        </w:rPr>
        <w:t> </w:t>
      </w:r>
      <w:r>
        <w:rPr>
          <w:color w:val="231F20"/>
          <w:vertAlign w:val="baseline"/>
        </w:rPr>
        <w:t>une dîme sur les</w:t>
      </w:r>
      <w:r>
        <w:rPr>
          <w:color w:val="231F20"/>
          <w:spacing w:val="-1"/>
          <w:vertAlign w:val="baseline"/>
        </w:rPr>
        <w:t> </w:t>
      </w:r>
      <w:r>
        <w:rPr>
          <w:color w:val="231F20"/>
          <w:vertAlign w:val="baseline"/>
        </w:rPr>
        <w:t>5</w:t>
      </w:r>
      <w:r>
        <w:rPr>
          <w:color w:val="231F20"/>
          <w:spacing w:val="-15"/>
          <w:vertAlign w:val="baseline"/>
        </w:rPr>
        <w:t> </w:t>
      </w:r>
      <w:r>
        <w:rPr>
          <w:color w:val="231F20"/>
          <w:vertAlign w:val="baseline"/>
        </w:rPr>
        <w:t>000</w:t>
      </w:r>
      <w:r>
        <w:rPr>
          <w:color w:val="231F20"/>
          <w:spacing w:val="-15"/>
          <w:vertAlign w:val="baseline"/>
        </w:rPr>
        <w:t> </w:t>
      </w:r>
      <w:r>
        <w:rPr>
          <w:color w:val="231F20"/>
          <w:vertAlign w:val="baseline"/>
        </w:rPr>
        <w:t>F</w:t>
      </w:r>
      <w:r>
        <w:rPr>
          <w:color w:val="231F20"/>
          <w:spacing w:val="-15"/>
          <w:vertAlign w:val="baseline"/>
        </w:rPr>
        <w:t> </w:t>
      </w:r>
      <w:r>
        <w:rPr>
          <w:color w:val="231F20"/>
          <w:vertAlign w:val="baseline"/>
        </w:rPr>
        <w:t>CFA</w:t>
      </w:r>
      <w:r>
        <w:rPr>
          <w:color w:val="231F20"/>
          <w:spacing w:val="-1"/>
          <w:vertAlign w:val="baseline"/>
        </w:rPr>
        <w:t> </w:t>
      </w:r>
      <w:r>
        <w:rPr>
          <w:color w:val="231F20"/>
          <w:vertAlign w:val="baseline"/>
        </w:rPr>
        <w:t>que l’ONU</w:t>
      </w:r>
      <w:r>
        <w:rPr>
          <w:color w:val="231F20"/>
          <w:spacing w:val="-4"/>
          <w:vertAlign w:val="baseline"/>
        </w:rPr>
        <w:t> </w:t>
      </w:r>
      <w:r>
        <w:rPr>
          <w:color w:val="231F20"/>
          <w:vertAlign w:val="baseline"/>
        </w:rPr>
        <w:t>leur</w:t>
      </w:r>
      <w:r>
        <w:rPr>
          <w:color w:val="231F20"/>
          <w:spacing w:val="-6"/>
          <w:vertAlign w:val="baseline"/>
        </w:rPr>
        <w:t> </w:t>
      </w:r>
      <w:r>
        <w:rPr>
          <w:color w:val="231F20"/>
          <w:vertAlign w:val="baseline"/>
        </w:rPr>
        <w:t>versait</w:t>
      </w:r>
      <w:r>
        <w:rPr>
          <w:color w:val="231F20"/>
          <w:spacing w:val="-5"/>
          <w:vertAlign w:val="baseline"/>
        </w:rPr>
        <w:t> </w:t>
      </w:r>
      <w:r>
        <w:rPr>
          <w:color w:val="231F20"/>
          <w:vertAlign w:val="baseline"/>
        </w:rPr>
        <w:t>quotidiennement</w:t>
      </w:r>
      <w:r>
        <w:rPr>
          <w:color w:val="231F20"/>
          <w:spacing w:val="-3"/>
          <w:vertAlign w:val="baseline"/>
        </w:rPr>
        <w:t> </w:t>
      </w:r>
      <w:r>
        <w:rPr>
          <w:color w:val="231F20"/>
          <w:vertAlign w:val="baseline"/>
        </w:rPr>
        <w:t>pendant</w:t>
      </w:r>
      <w:r>
        <w:rPr>
          <w:color w:val="231F20"/>
          <w:spacing w:val="-5"/>
          <w:vertAlign w:val="baseline"/>
        </w:rPr>
        <w:t> </w:t>
      </w:r>
      <w:r>
        <w:rPr>
          <w:color w:val="231F20"/>
          <w:vertAlign w:val="baseline"/>
        </w:rPr>
        <w:t>leur</w:t>
      </w:r>
      <w:r>
        <w:rPr>
          <w:color w:val="231F20"/>
          <w:spacing w:val="-5"/>
          <w:vertAlign w:val="baseline"/>
        </w:rPr>
        <w:t> </w:t>
      </w:r>
      <w:r>
        <w:rPr>
          <w:color w:val="231F20"/>
          <w:vertAlign w:val="baseline"/>
        </w:rPr>
        <w:t>mission</w:t>
      </w:r>
      <w:r>
        <w:rPr>
          <w:color w:val="231F20"/>
          <w:spacing w:val="-4"/>
          <w:vertAlign w:val="baseline"/>
        </w:rPr>
        <w:t> </w:t>
      </w:r>
      <w:r>
        <w:rPr>
          <w:color w:val="231F20"/>
          <w:vertAlign w:val="baseline"/>
        </w:rPr>
        <w:t>à</w:t>
      </w:r>
      <w:r>
        <w:rPr>
          <w:color w:val="231F20"/>
          <w:spacing w:val="-5"/>
          <w:vertAlign w:val="baseline"/>
        </w:rPr>
        <w:t> </w:t>
      </w:r>
      <w:r>
        <w:rPr>
          <w:color w:val="231F20"/>
          <w:vertAlign w:val="baseline"/>
        </w:rPr>
        <w:t>Bangui.</w:t>
      </w:r>
      <w:r>
        <w:rPr>
          <w:color w:val="231F20"/>
          <w:spacing w:val="-4"/>
          <w:vertAlign w:val="baseline"/>
        </w:rPr>
        <w:t> </w:t>
      </w:r>
      <w:r>
        <w:rPr>
          <w:color w:val="231F20"/>
          <w:vertAlign w:val="baseline"/>
        </w:rPr>
        <w:t>Ils </w:t>
      </w:r>
      <w:r>
        <w:rPr>
          <w:color w:val="231F20"/>
          <w:spacing w:val="-4"/>
          <w:vertAlign w:val="baseline"/>
        </w:rPr>
        <w:t>protestent</w:t>
      </w:r>
      <w:r>
        <w:rPr>
          <w:color w:val="231F20"/>
          <w:spacing w:val="-11"/>
          <w:vertAlign w:val="baseline"/>
        </w:rPr>
        <w:t> </w:t>
      </w:r>
      <w:r>
        <w:rPr>
          <w:color w:val="231F20"/>
          <w:spacing w:val="-4"/>
          <w:vertAlign w:val="baseline"/>
        </w:rPr>
        <w:t>également</w:t>
      </w:r>
      <w:r>
        <w:rPr>
          <w:color w:val="231F20"/>
          <w:spacing w:val="-11"/>
          <w:vertAlign w:val="baseline"/>
        </w:rPr>
        <w:t> </w:t>
      </w:r>
      <w:r>
        <w:rPr>
          <w:color w:val="231F20"/>
          <w:spacing w:val="-4"/>
          <w:vertAlign w:val="baseline"/>
        </w:rPr>
        <w:t>contre</w:t>
      </w:r>
      <w:r>
        <w:rPr>
          <w:color w:val="231F20"/>
          <w:spacing w:val="-9"/>
          <w:vertAlign w:val="baseline"/>
        </w:rPr>
        <w:t> </w:t>
      </w:r>
      <w:r>
        <w:rPr>
          <w:color w:val="231F20"/>
          <w:spacing w:val="-4"/>
          <w:vertAlign w:val="baseline"/>
        </w:rPr>
        <w:t>les</w:t>
      </w:r>
      <w:r>
        <w:rPr>
          <w:color w:val="231F20"/>
          <w:spacing w:val="-11"/>
          <w:vertAlign w:val="baseline"/>
        </w:rPr>
        <w:t> </w:t>
      </w:r>
      <w:r>
        <w:rPr>
          <w:color w:val="231F20"/>
          <w:spacing w:val="-4"/>
          <w:vertAlign w:val="baseline"/>
        </w:rPr>
        <w:t>brimades</w:t>
      </w:r>
      <w:r>
        <w:rPr>
          <w:color w:val="231F20"/>
          <w:spacing w:val="-11"/>
          <w:vertAlign w:val="baseline"/>
        </w:rPr>
        <w:t> </w:t>
      </w:r>
      <w:r>
        <w:rPr>
          <w:color w:val="231F20"/>
          <w:spacing w:val="-4"/>
          <w:vertAlign w:val="baseline"/>
        </w:rPr>
        <w:t>et</w:t>
      </w:r>
      <w:r>
        <w:rPr>
          <w:color w:val="231F20"/>
          <w:spacing w:val="-11"/>
          <w:vertAlign w:val="baseline"/>
        </w:rPr>
        <w:t> </w:t>
      </w:r>
      <w:r>
        <w:rPr>
          <w:color w:val="231F20"/>
          <w:spacing w:val="-4"/>
          <w:vertAlign w:val="baseline"/>
        </w:rPr>
        <w:t>les</w:t>
      </w:r>
      <w:r>
        <w:rPr>
          <w:color w:val="231F20"/>
          <w:spacing w:val="-11"/>
          <w:vertAlign w:val="baseline"/>
        </w:rPr>
        <w:t> </w:t>
      </w:r>
      <w:r>
        <w:rPr>
          <w:color w:val="231F20"/>
          <w:spacing w:val="-4"/>
          <w:vertAlign w:val="baseline"/>
        </w:rPr>
        <w:t>injustices</w:t>
      </w:r>
      <w:r>
        <w:rPr>
          <w:color w:val="231F20"/>
          <w:spacing w:val="-8"/>
          <w:vertAlign w:val="baseline"/>
        </w:rPr>
        <w:t> </w:t>
      </w:r>
      <w:r>
        <w:rPr>
          <w:color w:val="231F20"/>
          <w:spacing w:val="-4"/>
          <w:vertAlign w:val="baseline"/>
        </w:rPr>
        <w:t>dont</w:t>
      </w:r>
      <w:r>
        <w:rPr>
          <w:color w:val="231F20"/>
          <w:spacing w:val="-11"/>
          <w:vertAlign w:val="baseline"/>
        </w:rPr>
        <w:t> </w:t>
      </w:r>
      <w:r>
        <w:rPr>
          <w:color w:val="231F20"/>
          <w:spacing w:val="-4"/>
          <w:vertAlign w:val="baseline"/>
        </w:rPr>
        <w:t>les</w:t>
      </w:r>
      <w:r>
        <w:rPr>
          <w:color w:val="231F20"/>
          <w:spacing w:val="-11"/>
          <w:vertAlign w:val="baseline"/>
        </w:rPr>
        <w:t> </w:t>
      </w:r>
      <w:r>
        <w:rPr>
          <w:color w:val="231F20"/>
          <w:spacing w:val="-4"/>
          <w:vertAlign w:val="baseline"/>
        </w:rPr>
        <w:t>hommes </w:t>
      </w:r>
      <w:r>
        <w:rPr>
          <w:color w:val="231F20"/>
          <w:vertAlign w:val="baseline"/>
        </w:rPr>
        <w:t>du</w:t>
      </w:r>
      <w:r>
        <w:rPr>
          <w:color w:val="231F20"/>
          <w:spacing w:val="-13"/>
          <w:vertAlign w:val="baseline"/>
        </w:rPr>
        <w:t> </w:t>
      </w:r>
      <w:r>
        <w:rPr>
          <w:color w:val="231F20"/>
          <w:vertAlign w:val="baseline"/>
        </w:rPr>
        <w:t>rang</w:t>
      </w:r>
      <w:r>
        <w:rPr>
          <w:color w:val="231F20"/>
          <w:spacing w:val="-13"/>
          <w:vertAlign w:val="baseline"/>
        </w:rPr>
        <w:t> </w:t>
      </w:r>
      <w:r>
        <w:rPr>
          <w:color w:val="231F20"/>
          <w:vertAlign w:val="baseline"/>
        </w:rPr>
        <w:t>sont</w:t>
      </w:r>
      <w:r>
        <w:rPr>
          <w:color w:val="231F20"/>
          <w:spacing w:val="-13"/>
          <w:vertAlign w:val="baseline"/>
        </w:rPr>
        <w:t> </w:t>
      </w:r>
      <w:r>
        <w:rPr>
          <w:color w:val="231F20"/>
          <w:vertAlign w:val="baseline"/>
        </w:rPr>
        <w:t>victimes,</w:t>
      </w:r>
      <w:r>
        <w:rPr>
          <w:color w:val="231F20"/>
          <w:spacing w:val="-13"/>
          <w:vertAlign w:val="baseline"/>
        </w:rPr>
        <w:t> </w:t>
      </w:r>
      <w:r>
        <w:rPr>
          <w:color w:val="231F20"/>
          <w:vertAlign w:val="baseline"/>
        </w:rPr>
        <w:t>depuis</w:t>
      </w:r>
      <w:r>
        <w:rPr>
          <w:color w:val="231F20"/>
          <w:spacing w:val="-15"/>
          <w:vertAlign w:val="baseline"/>
        </w:rPr>
        <w:t> </w:t>
      </w:r>
      <w:r>
        <w:rPr>
          <w:color w:val="231F20"/>
          <w:vertAlign w:val="baseline"/>
        </w:rPr>
        <w:t>plusieurs</w:t>
      </w:r>
      <w:r>
        <w:rPr>
          <w:color w:val="231F20"/>
          <w:spacing w:val="-14"/>
          <w:vertAlign w:val="baseline"/>
        </w:rPr>
        <w:t> </w:t>
      </w:r>
      <w:r>
        <w:rPr>
          <w:color w:val="231F20"/>
          <w:vertAlign w:val="baseline"/>
        </w:rPr>
        <w:t>années,</w:t>
      </w:r>
      <w:r>
        <w:rPr>
          <w:color w:val="231F20"/>
          <w:spacing w:val="-14"/>
          <w:vertAlign w:val="baseline"/>
        </w:rPr>
        <w:t> </w:t>
      </w:r>
      <w:r>
        <w:rPr>
          <w:color w:val="231F20"/>
          <w:vertAlign w:val="baseline"/>
        </w:rPr>
        <w:t>de</w:t>
      </w:r>
      <w:r>
        <w:rPr>
          <w:color w:val="231F20"/>
          <w:spacing w:val="-15"/>
          <w:vertAlign w:val="baseline"/>
        </w:rPr>
        <w:t> </w:t>
      </w:r>
      <w:r>
        <w:rPr>
          <w:color w:val="231F20"/>
          <w:vertAlign w:val="baseline"/>
        </w:rPr>
        <w:t>la</w:t>
      </w:r>
      <w:r>
        <w:rPr>
          <w:color w:val="231F20"/>
          <w:spacing w:val="-14"/>
          <w:vertAlign w:val="baseline"/>
        </w:rPr>
        <w:t> </w:t>
      </w:r>
      <w:r>
        <w:rPr>
          <w:color w:val="231F20"/>
          <w:vertAlign w:val="baseline"/>
        </w:rPr>
        <w:t>part</w:t>
      </w:r>
      <w:r>
        <w:rPr>
          <w:color w:val="231F20"/>
          <w:spacing w:val="-14"/>
          <w:vertAlign w:val="baseline"/>
        </w:rPr>
        <w:t> </w:t>
      </w:r>
      <w:r>
        <w:rPr>
          <w:color w:val="231F20"/>
          <w:vertAlign w:val="baseline"/>
        </w:rPr>
        <w:t>de</w:t>
      </w:r>
      <w:r>
        <w:rPr>
          <w:color w:val="231F20"/>
          <w:spacing w:val="-14"/>
          <w:vertAlign w:val="baseline"/>
        </w:rPr>
        <w:t> </w:t>
      </w:r>
      <w:r>
        <w:rPr>
          <w:color w:val="231F20"/>
          <w:vertAlign w:val="baseline"/>
        </w:rPr>
        <w:t>certains</w:t>
      </w:r>
      <w:r>
        <w:rPr>
          <w:color w:val="231F20"/>
          <w:spacing w:val="-13"/>
          <w:vertAlign w:val="baseline"/>
        </w:rPr>
        <w:t> </w:t>
      </w:r>
      <w:r>
        <w:rPr>
          <w:color w:val="231F20"/>
          <w:vertAlign w:val="baseline"/>
        </w:rPr>
        <w:t>des chefs. Le chef</w:t>
      </w:r>
      <w:r>
        <w:rPr>
          <w:color w:val="231F20"/>
          <w:spacing w:val="-2"/>
          <w:vertAlign w:val="baseline"/>
        </w:rPr>
        <w:t> </w:t>
      </w:r>
      <w:r>
        <w:rPr>
          <w:color w:val="231F20"/>
          <w:vertAlign w:val="baseline"/>
        </w:rPr>
        <w:t>du gouvernement</w:t>
      </w:r>
      <w:r>
        <w:rPr>
          <w:color w:val="231F20"/>
          <w:spacing w:val="-2"/>
          <w:vertAlign w:val="baseline"/>
        </w:rPr>
        <w:t> </w:t>
      </w:r>
      <w:r>
        <w:rPr>
          <w:color w:val="231F20"/>
          <w:vertAlign w:val="baseline"/>
        </w:rPr>
        <w:t>promet de faire de son</w:t>
      </w:r>
      <w:r>
        <w:rPr>
          <w:color w:val="231F20"/>
          <w:spacing w:val="-2"/>
          <w:vertAlign w:val="baseline"/>
        </w:rPr>
        <w:t> </w:t>
      </w:r>
      <w:r>
        <w:rPr>
          <w:color w:val="231F20"/>
          <w:vertAlign w:val="baseline"/>
        </w:rPr>
        <w:t>mieux pour les </w:t>
      </w:r>
      <w:r>
        <w:rPr>
          <w:color w:val="231F20"/>
          <w:spacing w:val="-2"/>
          <w:vertAlign w:val="baseline"/>
        </w:rPr>
        <w:t>satisfaire,</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condition</w:t>
      </w:r>
      <w:r>
        <w:rPr>
          <w:color w:val="231F20"/>
          <w:spacing w:val="-13"/>
          <w:vertAlign w:val="baseline"/>
        </w:rPr>
        <w:t> </w:t>
      </w:r>
      <w:r>
        <w:rPr>
          <w:color w:val="231F20"/>
          <w:spacing w:val="-2"/>
          <w:vertAlign w:val="baseline"/>
        </w:rPr>
        <w:t>qu’ils</w:t>
      </w:r>
      <w:r>
        <w:rPr>
          <w:color w:val="231F20"/>
          <w:spacing w:val="-13"/>
          <w:vertAlign w:val="baseline"/>
        </w:rPr>
        <w:t> </w:t>
      </w:r>
      <w:r>
        <w:rPr>
          <w:color w:val="231F20"/>
          <w:spacing w:val="-2"/>
          <w:vertAlign w:val="baseline"/>
        </w:rPr>
        <w:t>regagnent,</w:t>
      </w:r>
      <w:r>
        <w:rPr>
          <w:color w:val="231F20"/>
          <w:spacing w:val="-13"/>
          <w:vertAlign w:val="baseline"/>
        </w:rPr>
        <w:t> </w:t>
      </w:r>
      <w:r>
        <w:rPr>
          <w:color w:val="231F20"/>
          <w:spacing w:val="-2"/>
          <w:vertAlign w:val="baseline"/>
        </w:rPr>
        <w:t>au</w:t>
      </w:r>
      <w:r>
        <w:rPr>
          <w:color w:val="231F20"/>
          <w:spacing w:val="-13"/>
          <w:vertAlign w:val="baseline"/>
        </w:rPr>
        <w:t> </w:t>
      </w:r>
      <w:r>
        <w:rPr>
          <w:color w:val="231F20"/>
          <w:spacing w:val="-2"/>
          <w:vertAlign w:val="baseline"/>
        </w:rPr>
        <w:t>plus</w:t>
      </w:r>
      <w:r>
        <w:rPr>
          <w:color w:val="231F20"/>
          <w:spacing w:val="-13"/>
          <w:vertAlign w:val="baseline"/>
        </w:rPr>
        <w:t> </w:t>
      </w:r>
      <w:r>
        <w:rPr>
          <w:color w:val="231F20"/>
          <w:spacing w:val="-2"/>
          <w:vertAlign w:val="baseline"/>
        </w:rPr>
        <w:t>vite,</w:t>
      </w:r>
      <w:r>
        <w:rPr>
          <w:color w:val="231F20"/>
          <w:spacing w:val="-13"/>
          <w:vertAlign w:val="baseline"/>
        </w:rPr>
        <w:t> </w:t>
      </w:r>
      <w:r>
        <w:rPr>
          <w:color w:val="231F20"/>
          <w:spacing w:val="-2"/>
          <w:vertAlign w:val="baseline"/>
        </w:rPr>
        <w:t>leurs</w:t>
      </w:r>
      <w:r>
        <w:rPr>
          <w:color w:val="231F20"/>
          <w:spacing w:val="-13"/>
          <w:vertAlign w:val="baseline"/>
        </w:rPr>
        <w:t> </w:t>
      </w:r>
      <w:r>
        <w:rPr>
          <w:color w:val="231F20"/>
          <w:spacing w:val="-2"/>
          <w:vertAlign w:val="baseline"/>
        </w:rPr>
        <w:t>casernes.</w:t>
      </w:r>
      <w:r>
        <w:rPr>
          <w:color w:val="231F20"/>
          <w:spacing w:val="-13"/>
          <w:vertAlign w:val="baseline"/>
        </w:rPr>
        <w:t> </w:t>
      </w:r>
      <w:r>
        <w:rPr>
          <w:color w:val="231F20"/>
          <w:spacing w:val="-2"/>
          <w:vertAlign w:val="baseline"/>
        </w:rPr>
        <w:t>Les militaires</w:t>
      </w:r>
      <w:r>
        <w:rPr>
          <w:color w:val="231F20"/>
          <w:spacing w:val="-7"/>
          <w:vertAlign w:val="baseline"/>
        </w:rPr>
        <w:t> </w:t>
      </w:r>
      <w:r>
        <w:rPr>
          <w:color w:val="231F20"/>
          <w:spacing w:val="-2"/>
          <w:vertAlign w:val="baseline"/>
        </w:rPr>
        <w:t>ne</w:t>
      </w:r>
      <w:r>
        <w:rPr>
          <w:color w:val="231F20"/>
          <w:spacing w:val="-10"/>
          <w:vertAlign w:val="baseline"/>
        </w:rPr>
        <w:t> </w:t>
      </w:r>
      <w:r>
        <w:rPr>
          <w:color w:val="231F20"/>
          <w:spacing w:val="-2"/>
          <w:vertAlign w:val="baseline"/>
        </w:rPr>
        <w:t>veulent</w:t>
      </w:r>
      <w:r>
        <w:rPr>
          <w:color w:val="231F20"/>
          <w:spacing w:val="-7"/>
          <w:vertAlign w:val="baseline"/>
        </w:rPr>
        <w:t> </w:t>
      </w:r>
      <w:r>
        <w:rPr>
          <w:color w:val="231F20"/>
          <w:spacing w:val="-2"/>
          <w:vertAlign w:val="baseline"/>
        </w:rPr>
        <w:t>pas</w:t>
      </w:r>
      <w:r>
        <w:rPr>
          <w:color w:val="231F20"/>
          <w:spacing w:val="-7"/>
          <w:vertAlign w:val="baseline"/>
        </w:rPr>
        <w:t> </w:t>
      </w:r>
      <w:r>
        <w:rPr>
          <w:color w:val="231F20"/>
          <w:spacing w:val="-2"/>
          <w:vertAlign w:val="baseline"/>
        </w:rPr>
        <w:t>se</w:t>
      </w:r>
      <w:r>
        <w:rPr>
          <w:color w:val="231F20"/>
          <w:spacing w:val="-7"/>
          <w:vertAlign w:val="baseline"/>
        </w:rPr>
        <w:t> </w:t>
      </w:r>
      <w:r>
        <w:rPr>
          <w:color w:val="231F20"/>
          <w:spacing w:val="-2"/>
          <w:vertAlign w:val="baseline"/>
        </w:rPr>
        <w:t>contenter</w:t>
      </w:r>
      <w:r>
        <w:rPr>
          <w:color w:val="231F20"/>
          <w:spacing w:val="-7"/>
          <w:vertAlign w:val="baseline"/>
        </w:rPr>
        <w:t> </w:t>
      </w:r>
      <w:r>
        <w:rPr>
          <w:color w:val="231F20"/>
          <w:spacing w:val="-2"/>
          <w:vertAlign w:val="baseline"/>
        </w:rPr>
        <w:t>de</w:t>
      </w:r>
      <w:r>
        <w:rPr>
          <w:color w:val="231F20"/>
          <w:spacing w:val="-9"/>
          <w:vertAlign w:val="baseline"/>
        </w:rPr>
        <w:t> </w:t>
      </w:r>
      <w:r>
        <w:rPr>
          <w:color w:val="231F20"/>
          <w:spacing w:val="-2"/>
          <w:vertAlign w:val="baseline"/>
        </w:rPr>
        <w:t>vagues</w:t>
      </w:r>
      <w:r>
        <w:rPr>
          <w:color w:val="231F20"/>
          <w:spacing w:val="-9"/>
          <w:vertAlign w:val="baseline"/>
        </w:rPr>
        <w:t> </w:t>
      </w:r>
      <w:r>
        <w:rPr>
          <w:color w:val="231F20"/>
          <w:spacing w:val="-2"/>
          <w:vertAlign w:val="baseline"/>
        </w:rPr>
        <w:t>promesses</w:t>
      </w:r>
      <w:r>
        <w:rPr>
          <w:color w:val="231F20"/>
          <w:spacing w:val="-9"/>
          <w:vertAlign w:val="baseline"/>
        </w:rPr>
        <w:t> </w:t>
      </w:r>
      <w:r>
        <w:rPr>
          <w:color w:val="231F20"/>
          <w:spacing w:val="-2"/>
          <w:vertAlign w:val="baseline"/>
        </w:rPr>
        <w:t>et</w:t>
      </w:r>
      <w:r>
        <w:rPr>
          <w:color w:val="231F20"/>
          <w:spacing w:val="-9"/>
          <w:vertAlign w:val="baseline"/>
        </w:rPr>
        <w:t> </w:t>
      </w:r>
      <w:r>
        <w:rPr>
          <w:color w:val="231F20"/>
          <w:spacing w:val="-2"/>
          <w:vertAlign w:val="baseline"/>
        </w:rPr>
        <w:t>demandent </w:t>
      </w:r>
      <w:r>
        <w:rPr>
          <w:color w:val="231F20"/>
          <w:vertAlign w:val="baseline"/>
        </w:rPr>
        <w:t>à négocier directement avec le président.</w:t>
      </w:r>
    </w:p>
    <w:p>
      <w:pPr>
        <w:pStyle w:val="BodyText"/>
        <w:spacing w:before="121"/>
        <w:ind w:right="106" w:firstLine="283"/>
      </w:pPr>
      <w:r>
        <w:rPr>
          <w:color w:val="231F20"/>
        </w:rPr>
        <w:t>Vers</w:t>
      </w:r>
      <w:r>
        <w:rPr>
          <w:color w:val="231F20"/>
          <w:spacing w:val="-11"/>
        </w:rPr>
        <w:t> </w:t>
      </w:r>
      <w:r>
        <w:rPr>
          <w:color w:val="231F20"/>
        </w:rPr>
        <w:t>2</w:t>
      </w:r>
      <w:r>
        <w:rPr>
          <w:color w:val="231F20"/>
          <w:spacing w:val="-15"/>
        </w:rPr>
        <w:t> </w:t>
      </w:r>
      <w:r>
        <w:rPr>
          <w:color w:val="231F20"/>
        </w:rPr>
        <w:t>heures</w:t>
      </w:r>
      <w:r>
        <w:rPr>
          <w:color w:val="231F20"/>
          <w:spacing w:val="-9"/>
        </w:rPr>
        <w:t> </w:t>
      </w:r>
      <w:r>
        <w:rPr>
          <w:color w:val="231F20"/>
        </w:rPr>
        <w:t>du</w:t>
      </w:r>
      <w:r>
        <w:rPr>
          <w:color w:val="231F20"/>
          <w:spacing w:val="-9"/>
        </w:rPr>
        <w:t> </w:t>
      </w:r>
      <w:r>
        <w:rPr>
          <w:color w:val="231F20"/>
        </w:rPr>
        <w:t>matin,</w:t>
      </w:r>
      <w:r>
        <w:rPr>
          <w:color w:val="231F20"/>
          <w:spacing w:val="-11"/>
        </w:rPr>
        <w:t> </w:t>
      </w:r>
      <w:r>
        <w:rPr>
          <w:color w:val="231F20"/>
        </w:rPr>
        <w:t>les</w:t>
      </w:r>
      <w:r>
        <w:rPr>
          <w:color w:val="231F20"/>
          <w:spacing w:val="-9"/>
        </w:rPr>
        <w:t> </w:t>
      </w:r>
      <w:r>
        <w:rPr>
          <w:color w:val="231F20"/>
        </w:rPr>
        <w:t>mutins</w:t>
      </w:r>
      <w:r>
        <w:rPr>
          <w:color w:val="231F20"/>
          <w:spacing w:val="-11"/>
        </w:rPr>
        <w:t> </w:t>
      </w:r>
      <w:r>
        <w:rPr>
          <w:color w:val="231F20"/>
        </w:rPr>
        <w:t>prennent</w:t>
      </w:r>
      <w:r>
        <w:rPr>
          <w:color w:val="231F20"/>
          <w:spacing w:val="-10"/>
        </w:rPr>
        <w:t> </w:t>
      </w:r>
      <w:r>
        <w:rPr>
          <w:color w:val="231F20"/>
        </w:rPr>
        <w:t>le</w:t>
      </w:r>
      <w:r>
        <w:rPr>
          <w:color w:val="231F20"/>
          <w:spacing w:val="-9"/>
        </w:rPr>
        <w:t> </w:t>
      </w:r>
      <w:r>
        <w:rPr>
          <w:color w:val="231F20"/>
        </w:rPr>
        <w:t>contrôle</w:t>
      </w:r>
      <w:r>
        <w:rPr>
          <w:color w:val="231F20"/>
          <w:spacing w:val="-9"/>
        </w:rPr>
        <w:t> </w:t>
      </w:r>
      <w:r>
        <w:rPr>
          <w:color w:val="231F20"/>
        </w:rPr>
        <w:t>de</w:t>
      </w:r>
      <w:r>
        <w:rPr>
          <w:color w:val="231F20"/>
          <w:spacing w:val="-9"/>
        </w:rPr>
        <w:t> </w:t>
      </w:r>
      <w:r>
        <w:rPr>
          <w:color w:val="231F20"/>
        </w:rPr>
        <w:t>l’aéroport international Félix-Houphouët-Boigny. Un peu plus tard, ils bloquent </w:t>
      </w:r>
      <w:r>
        <w:rPr>
          <w:color w:val="231F20"/>
          <w:spacing w:val="-2"/>
        </w:rPr>
        <w:t>l’accès</w:t>
      </w:r>
      <w:r>
        <w:rPr>
          <w:color w:val="231F20"/>
          <w:spacing w:val="-13"/>
        </w:rPr>
        <w:t> </w:t>
      </w:r>
      <w:r>
        <w:rPr>
          <w:color w:val="231F20"/>
          <w:spacing w:val="-2"/>
        </w:rPr>
        <w:t>des</w:t>
      </w:r>
      <w:r>
        <w:rPr>
          <w:color w:val="231F20"/>
          <w:spacing w:val="-13"/>
        </w:rPr>
        <w:t> </w:t>
      </w:r>
      <w:r>
        <w:rPr>
          <w:color w:val="231F20"/>
          <w:spacing w:val="-2"/>
        </w:rPr>
        <w:t>ponts</w:t>
      </w:r>
      <w:r>
        <w:rPr>
          <w:color w:val="231F20"/>
          <w:spacing w:val="-13"/>
        </w:rPr>
        <w:t> </w:t>
      </w:r>
      <w:r>
        <w:rPr>
          <w:color w:val="231F20"/>
          <w:spacing w:val="-2"/>
        </w:rPr>
        <w:t>«</w:t>
      </w:r>
      <w:r>
        <w:rPr>
          <w:color w:val="231F20"/>
          <w:spacing w:val="-13"/>
        </w:rPr>
        <w:t> </w:t>
      </w:r>
      <w:r>
        <w:rPr>
          <w:color w:val="231F20"/>
          <w:spacing w:val="-2"/>
        </w:rPr>
        <w:t>de</w:t>
      </w:r>
      <w:r>
        <w:rPr>
          <w:color w:val="231F20"/>
          <w:spacing w:val="-13"/>
        </w:rPr>
        <w:t> </w:t>
      </w:r>
      <w:r>
        <w:rPr>
          <w:color w:val="231F20"/>
          <w:spacing w:val="-2"/>
        </w:rPr>
        <w:t>Gaulle</w:t>
      </w:r>
      <w:r>
        <w:rPr>
          <w:color w:val="231F20"/>
          <w:spacing w:val="-13"/>
        </w:rPr>
        <w:t> </w:t>
      </w:r>
      <w:r>
        <w:rPr>
          <w:color w:val="231F20"/>
          <w:spacing w:val="-2"/>
        </w:rPr>
        <w:t>et</w:t>
      </w:r>
      <w:r>
        <w:rPr>
          <w:color w:val="231F20"/>
          <w:spacing w:val="-13"/>
        </w:rPr>
        <w:t> </w:t>
      </w:r>
      <w:r>
        <w:rPr>
          <w:color w:val="231F20"/>
          <w:spacing w:val="-2"/>
        </w:rPr>
        <w:t>Houphouët-Boigny</w:t>
      </w:r>
      <w:r>
        <w:rPr>
          <w:color w:val="231F20"/>
          <w:spacing w:val="-11"/>
        </w:rPr>
        <w:t> </w:t>
      </w:r>
      <w:r>
        <w:rPr>
          <w:color w:val="231F20"/>
          <w:spacing w:val="-2"/>
        </w:rPr>
        <w:t>»</w:t>
      </w:r>
      <w:r>
        <w:rPr>
          <w:color w:val="231F20"/>
          <w:spacing w:val="-12"/>
        </w:rPr>
        <w:t> </w:t>
      </w:r>
      <w:r>
        <w:rPr>
          <w:color w:val="231F20"/>
          <w:spacing w:val="-2"/>
        </w:rPr>
        <w:t>qui</w:t>
      </w:r>
      <w:r>
        <w:rPr>
          <w:color w:val="231F20"/>
          <w:spacing w:val="-13"/>
        </w:rPr>
        <w:t> </w:t>
      </w:r>
      <w:r>
        <w:rPr>
          <w:color w:val="231F20"/>
          <w:spacing w:val="-2"/>
        </w:rPr>
        <w:t>relient</w:t>
      </w:r>
      <w:r>
        <w:rPr>
          <w:color w:val="231F20"/>
          <w:spacing w:val="-13"/>
        </w:rPr>
        <w:t> </w:t>
      </w:r>
      <w:r>
        <w:rPr>
          <w:color w:val="231F20"/>
          <w:spacing w:val="-2"/>
        </w:rPr>
        <w:t>le</w:t>
      </w:r>
      <w:r>
        <w:rPr>
          <w:color w:val="231F20"/>
          <w:spacing w:val="-13"/>
        </w:rPr>
        <w:t> </w:t>
      </w:r>
      <w:r>
        <w:rPr>
          <w:color w:val="231F20"/>
          <w:spacing w:val="-2"/>
        </w:rPr>
        <w:t>Sud</w:t>
      </w:r>
      <w:r>
        <w:rPr>
          <w:color w:val="231F20"/>
          <w:spacing w:val="-13"/>
        </w:rPr>
        <w:t> </w:t>
      </w:r>
      <w:r>
        <w:rPr>
          <w:color w:val="231F20"/>
          <w:spacing w:val="-2"/>
        </w:rPr>
        <w:t>et </w:t>
      </w:r>
      <w:r>
        <w:rPr>
          <w:color w:val="231F20"/>
        </w:rPr>
        <w:t>le Nord d’Abidjan.</w:t>
      </w:r>
    </w:p>
    <w:p>
      <w:pPr>
        <w:pStyle w:val="BodyText"/>
        <w:spacing w:before="120"/>
        <w:ind w:right="103" w:firstLine="283"/>
      </w:pPr>
      <w:r>
        <w:rPr>
          <w:color w:val="231F20"/>
        </w:rPr>
        <w:t>À contre cœur, le chef de</w:t>
      </w:r>
      <w:r>
        <w:rPr>
          <w:color w:val="231F20"/>
          <w:spacing w:val="-1"/>
        </w:rPr>
        <w:t> </w:t>
      </w:r>
      <w:r>
        <w:rPr>
          <w:color w:val="231F20"/>
        </w:rPr>
        <w:t>l’État rentre à Abidjan mais n’ accepte</w:t>
      </w:r>
      <w:r>
        <w:rPr>
          <w:color w:val="231F20"/>
          <w:spacing w:val="-1"/>
        </w:rPr>
        <w:t> </w:t>
      </w:r>
      <w:r>
        <w:rPr>
          <w:color w:val="231F20"/>
        </w:rPr>
        <w:t>de </w:t>
      </w:r>
      <w:r>
        <w:rPr>
          <w:color w:val="231F20"/>
          <w:spacing w:val="-2"/>
        </w:rPr>
        <w:t>recevoir</w:t>
      </w:r>
      <w:r>
        <w:rPr>
          <w:color w:val="231F20"/>
          <w:spacing w:val="-9"/>
        </w:rPr>
        <w:t> </w:t>
      </w:r>
      <w:r>
        <w:rPr>
          <w:color w:val="231F20"/>
          <w:spacing w:val="-2"/>
        </w:rPr>
        <w:t>les</w:t>
      </w:r>
      <w:r>
        <w:rPr>
          <w:color w:val="231F20"/>
          <w:spacing w:val="-9"/>
        </w:rPr>
        <w:t> </w:t>
      </w:r>
      <w:r>
        <w:rPr>
          <w:color w:val="231F20"/>
          <w:spacing w:val="-2"/>
        </w:rPr>
        <w:t>mutins</w:t>
      </w:r>
      <w:r>
        <w:rPr>
          <w:color w:val="231F20"/>
          <w:spacing w:val="-9"/>
        </w:rPr>
        <w:t> </w:t>
      </w:r>
      <w:r>
        <w:rPr>
          <w:color w:val="231F20"/>
          <w:spacing w:val="-2"/>
        </w:rPr>
        <w:t>que</w:t>
      </w:r>
      <w:r>
        <w:rPr>
          <w:color w:val="231F20"/>
          <w:spacing w:val="-11"/>
        </w:rPr>
        <w:t> </w:t>
      </w:r>
      <w:r>
        <w:rPr>
          <w:color w:val="231F20"/>
          <w:spacing w:val="-2"/>
        </w:rPr>
        <w:t>le</w:t>
      </w:r>
      <w:r>
        <w:rPr>
          <w:color w:val="231F20"/>
          <w:spacing w:val="-10"/>
        </w:rPr>
        <w:t> </w:t>
      </w:r>
      <w:r>
        <w:rPr>
          <w:color w:val="231F20"/>
          <w:spacing w:val="-2"/>
        </w:rPr>
        <w:t>lendemain</w:t>
      </w:r>
      <w:r>
        <w:rPr>
          <w:color w:val="231F20"/>
          <w:spacing w:val="-10"/>
        </w:rPr>
        <w:t> </w:t>
      </w:r>
      <w:r>
        <w:rPr>
          <w:color w:val="231F20"/>
          <w:spacing w:val="-2"/>
        </w:rPr>
        <w:t>matin.</w:t>
      </w:r>
      <w:r>
        <w:rPr>
          <w:color w:val="231F20"/>
          <w:spacing w:val="-9"/>
        </w:rPr>
        <w:t> </w:t>
      </w:r>
      <w:r>
        <w:rPr>
          <w:color w:val="231F20"/>
          <w:spacing w:val="-2"/>
        </w:rPr>
        <w:t>Toute</w:t>
      </w:r>
      <w:r>
        <w:rPr>
          <w:color w:val="231F20"/>
          <w:spacing w:val="-10"/>
        </w:rPr>
        <w:t> </w:t>
      </w:r>
      <w:r>
        <w:rPr>
          <w:color w:val="231F20"/>
          <w:spacing w:val="-2"/>
        </w:rPr>
        <w:t>la</w:t>
      </w:r>
      <w:r>
        <w:rPr>
          <w:color w:val="231F20"/>
          <w:spacing w:val="-10"/>
        </w:rPr>
        <w:t> </w:t>
      </w:r>
      <w:r>
        <w:rPr>
          <w:color w:val="231F20"/>
          <w:spacing w:val="-2"/>
        </w:rPr>
        <w:t>nuit</w:t>
      </w:r>
      <w:r>
        <w:rPr>
          <w:color w:val="231F20"/>
          <w:spacing w:val="-9"/>
        </w:rPr>
        <w:t> </w:t>
      </w:r>
      <w:r>
        <w:rPr>
          <w:color w:val="231F20"/>
          <w:spacing w:val="-2"/>
        </w:rPr>
        <w:t>et</w:t>
      </w:r>
      <w:r>
        <w:rPr>
          <w:color w:val="231F20"/>
          <w:spacing w:val="-9"/>
        </w:rPr>
        <w:t> </w:t>
      </w:r>
      <w:r>
        <w:rPr>
          <w:color w:val="231F20"/>
          <w:spacing w:val="-2"/>
        </w:rPr>
        <w:t>le</w:t>
      </w:r>
      <w:r>
        <w:rPr>
          <w:color w:val="231F20"/>
          <w:spacing w:val="-10"/>
        </w:rPr>
        <w:t> </w:t>
      </w:r>
      <w:r>
        <w:rPr>
          <w:color w:val="231F20"/>
          <w:spacing w:val="-2"/>
        </w:rPr>
        <w:t>lendemain </w:t>
      </w:r>
      <w:r>
        <w:rPr>
          <w:color w:val="231F20"/>
        </w:rPr>
        <w:t>vendredi</w:t>
      </w:r>
      <w:r>
        <w:rPr>
          <w:color w:val="231F20"/>
          <w:spacing w:val="-5"/>
        </w:rPr>
        <w:t> </w:t>
      </w:r>
      <w:r>
        <w:rPr>
          <w:color w:val="231F20"/>
        </w:rPr>
        <w:t>24</w:t>
      </w:r>
      <w:r>
        <w:rPr>
          <w:color w:val="231F20"/>
          <w:spacing w:val="-5"/>
        </w:rPr>
        <w:t> </w:t>
      </w:r>
      <w:r>
        <w:rPr>
          <w:color w:val="231F20"/>
        </w:rPr>
        <w:t>décembre,</w:t>
      </w:r>
      <w:r>
        <w:rPr>
          <w:color w:val="231F20"/>
          <w:spacing w:val="-5"/>
        </w:rPr>
        <w:t> </w:t>
      </w:r>
      <w:r>
        <w:rPr>
          <w:color w:val="231F20"/>
        </w:rPr>
        <w:t>veille</w:t>
      </w:r>
      <w:r>
        <w:rPr>
          <w:color w:val="231F20"/>
          <w:spacing w:val="-5"/>
        </w:rPr>
        <w:t> </w:t>
      </w:r>
      <w:r>
        <w:rPr>
          <w:color w:val="231F20"/>
        </w:rPr>
        <w:t>de</w:t>
      </w:r>
      <w:r>
        <w:rPr>
          <w:color w:val="231F20"/>
          <w:spacing w:val="-5"/>
        </w:rPr>
        <w:t> </w:t>
      </w:r>
      <w:r>
        <w:rPr>
          <w:color w:val="231F20"/>
        </w:rPr>
        <w:t>Noël,</w:t>
      </w:r>
      <w:r>
        <w:rPr>
          <w:color w:val="231F20"/>
          <w:spacing w:val="-3"/>
        </w:rPr>
        <w:t> </w:t>
      </w:r>
      <w:r>
        <w:rPr>
          <w:color w:val="231F20"/>
        </w:rPr>
        <w:t>Abidjan</w:t>
      </w:r>
      <w:r>
        <w:rPr>
          <w:color w:val="231F20"/>
          <w:spacing w:val="-5"/>
        </w:rPr>
        <w:t> </w:t>
      </w:r>
      <w:r>
        <w:rPr>
          <w:color w:val="231F20"/>
        </w:rPr>
        <w:t>est</w:t>
      </w:r>
      <w:r>
        <w:rPr>
          <w:color w:val="231F20"/>
          <w:spacing w:val="-7"/>
        </w:rPr>
        <w:t> </w:t>
      </w:r>
      <w:r>
        <w:rPr>
          <w:color w:val="231F20"/>
        </w:rPr>
        <w:t>la</w:t>
      </w:r>
      <w:r>
        <w:rPr>
          <w:color w:val="231F20"/>
          <w:spacing w:val="-5"/>
        </w:rPr>
        <w:t> </w:t>
      </w:r>
      <w:r>
        <w:rPr>
          <w:color w:val="231F20"/>
        </w:rPr>
        <w:t>proie</w:t>
      </w:r>
      <w:r>
        <w:rPr>
          <w:color w:val="231F20"/>
          <w:spacing w:val="-5"/>
        </w:rPr>
        <w:t> </w:t>
      </w:r>
      <w:r>
        <w:rPr>
          <w:color w:val="231F20"/>
        </w:rPr>
        <w:t>des</w:t>
      </w:r>
      <w:r>
        <w:rPr>
          <w:color w:val="231F20"/>
          <w:spacing w:val="-5"/>
        </w:rPr>
        <w:t> </w:t>
      </w:r>
      <w:r>
        <w:rPr>
          <w:color w:val="231F20"/>
        </w:rPr>
        <w:t>pillards. </w:t>
      </w:r>
      <w:r>
        <w:rPr>
          <w:color w:val="231F20"/>
          <w:spacing w:val="-2"/>
        </w:rPr>
        <w:t>Militaires</w:t>
      </w:r>
      <w:r>
        <w:rPr>
          <w:color w:val="231F20"/>
          <w:spacing w:val="-15"/>
        </w:rPr>
        <w:t> </w:t>
      </w:r>
      <w:r>
        <w:rPr>
          <w:color w:val="231F20"/>
          <w:spacing w:val="-2"/>
        </w:rPr>
        <w:t>et</w:t>
      </w:r>
      <w:r>
        <w:rPr>
          <w:color w:val="231F20"/>
          <w:spacing w:val="-13"/>
        </w:rPr>
        <w:t> </w:t>
      </w:r>
      <w:r>
        <w:rPr>
          <w:color w:val="231F20"/>
          <w:spacing w:val="-2"/>
        </w:rPr>
        <w:t>voyous</w:t>
      </w:r>
      <w:r>
        <w:rPr>
          <w:color w:val="231F20"/>
          <w:spacing w:val="-13"/>
        </w:rPr>
        <w:t> </w:t>
      </w:r>
      <w:r>
        <w:rPr>
          <w:color w:val="231F20"/>
          <w:spacing w:val="-2"/>
        </w:rPr>
        <w:t>réquisitionnent</w:t>
      </w:r>
      <w:r>
        <w:rPr>
          <w:color w:val="231F20"/>
          <w:spacing w:val="-13"/>
        </w:rPr>
        <w:t> </w:t>
      </w:r>
      <w:r>
        <w:rPr>
          <w:color w:val="231F20"/>
          <w:spacing w:val="-2"/>
        </w:rPr>
        <w:t>des</w:t>
      </w:r>
      <w:r>
        <w:rPr>
          <w:color w:val="231F20"/>
          <w:spacing w:val="-13"/>
        </w:rPr>
        <w:t> </w:t>
      </w:r>
      <w:r>
        <w:rPr>
          <w:color w:val="231F20"/>
          <w:spacing w:val="-2"/>
        </w:rPr>
        <w:t>véhicules</w:t>
      </w:r>
      <w:r>
        <w:rPr>
          <w:color w:val="231F20"/>
          <w:spacing w:val="-13"/>
        </w:rPr>
        <w:t> </w:t>
      </w:r>
      <w:r>
        <w:rPr>
          <w:color w:val="231F20"/>
          <w:spacing w:val="-2"/>
        </w:rPr>
        <w:t>et</w:t>
      </w:r>
      <w:r>
        <w:rPr>
          <w:color w:val="231F20"/>
          <w:spacing w:val="-13"/>
        </w:rPr>
        <w:t> </w:t>
      </w:r>
      <w:r>
        <w:rPr>
          <w:color w:val="231F20"/>
          <w:spacing w:val="-2"/>
        </w:rPr>
        <w:t>disparaissent</w:t>
      </w:r>
      <w:r>
        <w:rPr>
          <w:color w:val="231F20"/>
          <w:spacing w:val="-13"/>
        </w:rPr>
        <w:t> </w:t>
      </w:r>
      <w:r>
        <w:rPr>
          <w:color w:val="231F20"/>
          <w:spacing w:val="-2"/>
        </w:rPr>
        <w:t>dans</w:t>
      </w:r>
      <w:r>
        <w:rPr>
          <w:color w:val="231F20"/>
          <w:spacing w:val="-13"/>
        </w:rPr>
        <w:t> </w:t>
      </w:r>
      <w:r>
        <w:rPr>
          <w:color w:val="231F20"/>
          <w:spacing w:val="-2"/>
        </w:rPr>
        <w:t>la nature.</w:t>
      </w:r>
    </w:p>
    <w:p>
      <w:pPr>
        <w:pStyle w:val="BodyText"/>
        <w:spacing w:before="121"/>
        <w:ind w:right="104" w:firstLine="283"/>
      </w:pPr>
      <w:r>
        <w:rPr>
          <w:color w:val="231F20"/>
        </w:rPr>
        <w:t>Dans la mi-journée, Bédié reçoit une délégation de mutins. Ils renouvellent</w:t>
      </w:r>
      <w:r>
        <w:rPr>
          <w:color w:val="231F20"/>
          <w:spacing w:val="-2"/>
        </w:rPr>
        <w:t> </w:t>
      </w:r>
      <w:r>
        <w:rPr>
          <w:color w:val="231F20"/>
        </w:rPr>
        <w:t>leurs revendications</w:t>
      </w:r>
      <w:r>
        <w:rPr>
          <w:color w:val="231F20"/>
          <w:spacing w:val="-15"/>
        </w:rPr>
        <w:t> </w:t>
      </w:r>
      <w:r>
        <w:rPr>
          <w:color w:val="231F20"/>
        </w:rPr>
        <w:t>: salaires impayés et dégradation des </w:t>
      </w:r>
      <w:r>
        <w:rPr>
          <w:color w:val="231F20"/>
          <w:spacing w:val="-4"/>
        </w:rPr>
        <w:t>conditions</w:t>
      </w:r>
      <w:r>
        <w:rPr>
          <w:color w:val="231F20"/>
          <w:spacing w:val="-9"/>
        </w:rPr>
        <w:t> </w:t>
      </w:r>
      <w:r>
        <w:rPr>
          <w:color w:val="231F20"/>
          <w:spacing w:val="-4"/>
        </w:rPr>
        <w:t>de</w:t>
      </w:r>
      <w:r>
        <w:rPr>
          <w:color w:val="231F20"/>
          <w:spacing w:val="-11"/>
        </w:rPr>
        <w:t> </w:t>
      </w:r>
      <w:r>
        <w:rPr>
          <w:color w:val="231F20"/>
          <w:spacing w:val="-4"/>
        </w:rPr>
        <w:t>vie</w:t>
      </w:r>
      <w:r>
        <w:rPr>
          <w:color w:val="231F20"/>
          <w:spacing w:val="-11"/>
        </w:rPr>
        <w:t> </w:t>
      </w:r>
      <w:r>
        <w:rPr>
          <w:color w:val="231F20"/>
          <w:spacing w:val="-4"/>
        </w:rPr>
        <w:t>des</w:t>
      </w:r>
      <w:r>
        <w:rPr>
          <w:color w:val="231F20"/>
          <w:spacing w:val="-9"/>
        </w:rPr>
        <w:t> </w:t>
      </w:r>
      <w:r>
        <w:rPr>
          <w:color w:val="231F20"/>
          <w:spacing w:val="-4"/>
        </w:rPr>
        <w:t>soldats.</w:t>
      </w:r>
      <w:r>
        <w:rPr>
          <w:color w:val="231F20"/>
          <w:spacing w:val="-9"/>
        </w:rPr>
        <w:t> </w:t>
      </w:r>
      <w:r>
        <w:rPr>
          <w:color w:val="231F20"/>
          <w:spacing w:val="-4"/>
        </w:rPr>
        <w:t>Mais</w:t>
      </w:r>
      <w:r>
        <w:rPr>
          <w:color w:val="231F20"/>
          <w:spacing w:val="-11"/>
        </w:rPr>
        <w:t> </w:t>
      </w:r>
      <w:r>
        <w:rPr>
          <w:color w:val="231F20"/>
          <w:spacing w:val="-4"/>
        </w:rPr>
        <w:t>ils</w:t>
      </w:r>
      <w:r>
        <w:rPr>
          <w:color w:val="231F20"/>
          <w:spacing w:val="-9"/>
        </w:rPr>
        <w:t> </w:t>
      </w:r>
      <w:r>
        <w:rPr>
          <w:color w:val="231F20"/>
          <w:spacing w:val="-4"/>
        </w:rPr>
        <w:t>demandent</w:t>
      </w:r>
      <w:r>
        <w:rPr>
          <w:color w:val="231F20"/>
          <w:spacing w:val="-11"/>
        </w:rPr>
        <w:t> </w:t>
      </w:r>
      <w:r>
        <w:rPr>
          <w:color w:val="231F20"/>
          <w:spacing w:val="-4"/>
        </w:rPr>
        <w:t>en</w:t>
      </w:r>
      <w:r>
        <w:rPr>
          <w:color w:val="231F20"/>
          <w:spacing w:val="-11"/>
        </w:rPr>
        <w:t> </w:t>
      </w:r>
      <w:r>
        <w:rPr>
          <w:color w:val="231F20"/>
          <w:spacing w:val="-4"/>
        </w:rPr>
        <w:t>plus,</w:t>
      </w:r>
      <w:r>
        <w:rPr>
          <w:color w:val="231F20"/>
          <w:spacing w:val="-11"/>
        </w:rPr>
        <w:t> </w:t>
      </w:r>
      <w:r>
        <w:rPr>
          <w:color w:val="231F20"/>
          <w:spacing w:val="-4"/>
        </w:rPr>
        <w:t>la</w:t>
      </w:r>
      <w:r>
        <w:rPr>
          <w:color w:val="231F20"/>
          <w:spacing w:val="-9"/>
        </w:rPr>
        <w:t> </w:t>
      </w:r>
      <w:r>
        <w:rPr>
          <w:color w:val="231F20"/>
          <w:spacing w:val="-4"/>
        </w:rPr>
        <w:t>libération</w:t>
      </w:r>
      <w:r>
        <w:rPr>
          <w:color w:val="231F20"/>
          <w:spacing w:val="-9"/>
        </w:rPr>
        <w:t> </w:t>
      </w:r>
      <w:r>
        <w:rPr>
          <w:color w:val="231F20"/>
          <w:spacing w:val="-4"/>
        </w:rPr>
        <w:t>des </w:t>
      </w:r>
      <w:r>
        <w:rPr>
          <w:color w:val="231F20"/>
          <w:spacing w:val="-2"/>
        </w:rPr>
        <w:t>dirigeants</w:t>
      </w:r>
      <w:r>
        <w:rPr>
          <w:color w:val="231F20"/>
          <w:spacing w:val="-5"/>
        </w:rPr>
        <w:t> </w:t>
      </w:r>
      <w:r>
        <w:rPr>
          <w:color w:val="231F20"/>
          <w:spacing w:val="-2"/>
        </w:rPr>
        <w:t>du</w:t>
      </w:r>
      <w:r>
        <w:rPr>
          <w:color w:val="231F20"/>
          <w:spacing w:val="-7"/>
        </w:rPr>
        <w:t> </w:t>
      </w:r>
      <w:r>
        <w:rPr>
          <w:color w:val="231F20"/>
          <w:spacing w:val="-2"/>
        </w:rPr>
        <w:t>Rassemblement</w:t>
      </w:r>
      <w:r>
        <w:rPr>
          <w:color w:val="231F20"/>
          <w:spacing w:val="-4"/>
        </w:rPr>
        <w:t> </w:t>
      </w:r>
      <w:r>
        <w:rPr>
          <w:color w:val="231F20"/>
          <w:spacing w:val="-2"/>
        </w:rPr>
        <w:t>Des</w:t>
      </w:r>
      <w:r>
        <w:rPr>
          <w:color w:val="231F20"/>
          <w:spacing w:val="-5"/>
        </w:rPr>
        <w:t> </w:t>
      </w:r>
      <w:r>
        <w:rPr>
          <w:color w:val="231F20"/>
          <w:spacing w:val="-2"/>
        </w:rPr>
        <w:t>Républicains</w:t>
      </w:r>
      <w:r>
        <w:rPr>
          <w:color w:val="231F20"/>
          <w:spacing w:val="-4"/>
        </w:rPr>
        <w:t> </w:t>
      </w:r>
      <w:r>
        <w:rPr>
          <w:color w:val="231F20"/>
          <w:spacing w:val="-2"/>
        </w:rPr>
        <w:t>(RDR)</w:t>
      </w:r>
      <w:r>
        <w:rPr>
          <w:color w:val="231F20"/>
          <w:spacing w:val="-5"/>
        </w:rPr>
        <w:t> </w:t>
      </w:r>
      <w:r>
        <w:rPr>
          <w:color w:val="231F20"/>
          <w:spacing w:val="-2"/>
        </w:rPr>
        <w:t>emprisonnés</w:t>
      </w:r>
      <w:r>
        <w:rPr>
          <w:color w:val="231F20"/>
          <w:spacing w:val="-6"/>
        </w:rPr>
        <w:t> </w:t>
      </w:r>
      <w:r>
        <w:rPr>
          <w:color w:val="231F20"/>
          <w:spacing w:val="-2"/>
        </w:rPr>
        <w:t>par </w:t>
      </w:r>
      <w:r>
        <w:rPr>
          <w:color w:val="231F20"/>
        </w:rPr>
        <w:t>le gouvernement. Bédié répond aux mutins qu’ils ne seront pas sanctionnés s’ils acceptent de regagner immédiatement les casernes. Il s’engage à examiner essentiellement leurs revendications matérielles, avec</w:t>
      </w:r>
      <w:r>
        <w:rPr>
          <w:color w:val="231F20"/>
          <w:spacing w:val="-15"/>
        </w:rPr>
        <w:t> </w:t>
      </w:r>
      <w:r>
        <w:rPr>
          <w:color w:val="231F20"/>
        </w:rPr>
        <w:t>bienveillance.</w:t>
      </w:r>
      <w:r>
        <w:rPr>
          <w:color w:val="231F20"/>
          <w:spacing w:val="-8"/>
        </w:rPr>
        <w:t> </w:t>
      </w:r>
      <w:r>
        <w:rPr>
          <w:color w:val="231F20"/>
        </w:rPr>
        <w:t>Un</w:t>
      </w:r>
      <w:r>
        <w:rPr>
          <w:color w:val="231F20"/>
          <w:spacing w:val="-3"/>
        </w:rPr>
        <w:t> </w:t>
      </w:r>
      <w:r>
        <w:rPr>
          <w:color w:val="231F20"/>
        </w:rPr>
        <w:t>nouveau</w:t>
      </w:r>
      <w:r>
        <w:rPr>
          <w:color w:val="231F20"/>
          <w:spacing w:val="-3"/>
        </w:rPr>
        <w:t> </w:t>
      </w:r>
      <w:r>
        <w:rPr>
          <w:color w:val="231F20"/>
        </w:rPr>
        <w:t>rendez-vous</w:t>
      </w:r>
      <w:r>
        <w:rPr>
          <w:color w:val="231F20"/>
          <w:spacing w:val="-3"/>
        </w:rPr>
        <w:t> </w:t>
      </w:r>
      <w:r>
        <w:rPr>
          <w:color w:val="231F20"/>
        </w:rPr>
        <w:t>est</w:t>
      </w:r>
      <w:r>
        <w:rPr>
          <w:color w:val="231F20"/>
          <w:spacing w:val="-2"/>
        </w:rPr>
        <w:t> </w:t>
      </w:r>
      <w:r>
        <w:rPr>
          <w:color w:val="231F20"/>
        </w:rPr>
        <w:t>fixé.</w:t>
      </w:r>
      <w:r>
        <w:rPr>
          <w:color w:val="231F20"/>
          <w:spacing w:val="-2"/>
        </w:rPr>
        <w:t> </w:t>
      </w:r>
      <w:r>
        <w:rPr>
          <w:color w:val="231F20"/>
        </w:rPr>
        <w:t>Dans</w:t>
      </w:r>
      <w:r>
        <w:rPr>
          <w:color w:val="231F20"/>
          <w:spacing w:val="-3"/>
        </w:rPr>
        <w:t> </w:t>
      </w:r>
      <w:r>
        <w:rPr>
          <w:color w:val="231F20"/>
        </w:rPr>
        <w:t>la</w:t>
      </w:r>
      <w:r>
        <w:rPr>
          <w:color w:val="231F20"/>
          <w:spacing w:val="-3"/>
        </w:rPr>
        <w:t> </w:t>
      </w:r>
      <w:r>
        <w:rPr>
          <w:color w:val="231F20"/>
        </w:rPr>
        <w:t>foulée,</w:t>
      </w:r>
      <w:r>
        <w:rPr>
          <w:color w:val="231F20"/>
          <w:spacing w:val="-5"/>
        </w:rPr>
        <w:t> </w:t>
      </w:r>
      <w:r>
        <w:rPr>
          <w:color w:val="231F20"/>
        </w:rPr>
        <w:t>il décide</w:t>
      </w:r>
      <w:r>
        <w:rPr>
          <w:color w:val="231F20"/>
          <w:spacing w:val="-5"/>
        </w:rPr>
        <w:t> </w:t>
      </w:r>
      <w:r>
        <w:rPr>
          <w:color w:val="231F20"/>
        </w:rPr>
        <w:t>de</w:t>
      </w:r>
      <w:r>
        <w:rPr>
          <w:color w:val="231F20"/>
          <w:spacing w:val="-5"/>
        </w:rPr>
        <w:t> </w:t>
      </w:r>
      <w:r>
        <w:rPr>
          <w:color w:val="231F20"/>
        </w:rPr>
        <w:t>nommer</w:t>
      </w:r>
      <w:r>
        <w:rPr>
          <w:color w:val="231F20"/>
          <w:spacing w:val="-4"/>
        </w:rPr>
        <w:t> </w:t>
      </w:r>
      <w:r>
        <w:rPr>
          <w:color w:val="231F20"/>
        </w:rPr>
        <w:t>le</w:t>
      </w:r>
      <w:r>
        <w:rPr>
          <w:color w:val="231F20"/>
          <w:spacing w:val="-5"/>
        </w:rPr>
        <w:t> </w:t>
      </w:r>
      <w:r>
        <w:rPr>
          <w:color w:val="231F20"/>
        </w:rPr>
        <w:t>colonel-major</w:t>
      </w:r>
      <w:r>
        <w:rPr>
          <w:color w:val="231F20"/>
          <w:spacing w:val="-4"/>
        </w:rPr>
        <w:t> </w:t>
      </w:r>
      <w:r>
        <w:rPr>
          <w:color w:val="231F20"/>
        </w:rPr>
        <w:t>Doué</w:t>
      </w:r>
      <w:r>
        <w:rPr>
          <w:color w:val="231F20"/>
          <w:spacing w:val="-5"/>
        </w:rPr>
        <w:t> </w:t>
      </w:r>
      <w:r>
        <w:rPr>
          <w:color w:val="231F20"/>
        </w:rPr>
        <w:t>à</w:t>
      </w:r>
      <w:r>
        <w:rPr>
          <w:color w:val="231F20"/>
          <w:spacing w:val="-5"/>
        </w:rPr>
        <w:t> </w:t>
      </w:r>
      <w:r>
        <w:rPr>
          <w:color w:val="231F20"/>
        </w:rPr>
        <w:t>la</w:t>
      </w:r>
      <w:r>
        <w:rPr>
          <w:color w:val="231F20"/>
          <w:spacing w:val="-7"/>
        </w:rPr>
        <w:t> </w:t>
      </w:r>
      <w:r>
        <w:rPr>
          <w:color w:val="231F20"/>
        </w:rPr>
        <w:t>tête</w:t>
      </w:r>
      <w:r>
        <w:rPr>
          <w:color w:val="231F20"/>
          <w:spacing w:val="-7"/>
        </w:rPr>
        <w:t> </w:t>
      </w:r>
      <w:r>
        <w:rPr>
          <w:color w:val="231F20"/>
        </w:rPr>
        <w:t>des</w:t>
      </w:r>
      <w:r>
        <w:rPr>
          <w:color w:val="231F20"/>
          <w:spacing w:val="-4"/>
        </w:rPr>
        <w:t> </w:t>
      </w:r>
      <w:r>
        <w:rPr>
          <w:color w:val="231F20"/>
        </w:rPr>
        <w:t>forces</w:t>
      </w:r>
      <w:r>
        <w:rPr>
          <w:color w:val="231F20"/>
          <w:spacing w:val="-4"/>
        </w:rPr>
        <w:t> </w:t>
      </w:r>
      <w:r>
        <w:rPr>
          <w:color w:val="231F20"/>
        </w:rPr>
        <w:t>terrestres, mais</w:t>
      </w:r>
      <w:r>
        <w:rPr>
          <w:color w:val="231F20"/>
          <w:spacing w:val="-3"/>
        </w:rPr>
        <w:t> </w:t>
      </w:r>
      <w:r>
        <w:rPr>
          <w:color w:val="231F20"/>
        </w:rPr>
        <w:t>il</w:t>
      </w:r>
      <w:r>
        <w:rPr>
          <w:color w:val="231F20"/>
          <w:spacing w:val="-2"/>
        </w:rPr>
        <w:t> </w:t>
      </w:r>
      <w:r>
        <w:rPr>
          <w:color w:val="231F20"/>
        </w:rPr>
        <w:t>n’aura</w:t>
      </w:r>
      <w:r>
        <w:rPr>
          <w:color w:val="231F20"/>
          <w:spacing w:val="-1"/>
        </w:rPr>
        <w:t> </w:t>
      </w:r>
      <w:r>
        <w:rPr>
          <w:color w:val="231F20"/>
        </w:rPr>
        <w:t>pas</w:t>
      </w:r>
      <w:r>
        <w:rPr>
          <w:color w:val="231F20"/>
          <w:spacing w:val="-3"/>
        </w:rPr>
        <w:t> </w:t>
      </w:r>
      <w:r>
        <w:rPr>
          <w:color w:val="231F20"/>
        </w:rPr>
        <w:t>le</w:t>
      </w:r>
      <w:r>
        <w:rPr>
          <w:color w:val="231F20"/>
          <w:spacing w:val="-3"/>
        </w:rPr>
        <w:t> </w:t>
      </w:r>
      <w:r>
        <w:rPr>
          <w:color w:val="231F20"/>
        </w:rPr>
        <w:t>temps d’officialiser</w:t>
      </w:r>
      <w:r>
        <w:rPr>
          <w:color w:val="231F20"/>
          <w:spacing w:val="-1"/>
        </w:rPr>
        <w:t> </w:t>
      </w:r>
      <w:r>
        <w:rPr>
          <w:color w:val="231F20"/>
        </w:rPr>
        <w:t>sa</w:t>
      </w:r>
      <w:r>
        <w:rPr>
          <w:color w:val="231F20"/>
          <w:spacing w:val="-3"/>
        </w:rPr>
        <w:t> </w:t>
      </w:r>
      <w:r>
        <w:rPr>
          <w:color w:val="231F20"/>
        </w:rPr>
        <w:t>décision.</w:t>
      </w:r>
    </w:p>
    <w:p>
      <w:pPr>
        <w:pStyle w:val="BodyText"/>
        <w:spacing w:before="208"/>
        <w:ind w:left="0"/>
        <w:jc w:val="left"/>
        <w:rPr>
          <w:sz w:val="20"/>
        </w:rPr>
      </w:pPr>
      <w:r>
        <w:rPr/>
        <mc:AlternateContent>
          <mc:Choice Requires="wps">
            <w:drawing>
              <wp:anchor distT="0" distB="0" distL="0" distR="0" allowOverlap="1" layoutInCell="1" locked="0" behindDoc="1" simplePos="0" relativeHeight="487639552">
                <wp:simplePos x="0" y="0"/>
                <wp:positionH relativeFrom="page">
                  <wp:posOffset>629907</wp:posOffset>
                </wp:positionH>
                <wp:positionV relativeFrom="paragraph">
                  <wp:posOffset>293573</wp:posOffset>
                </wp:positionV>
                <wp:extent cx="1829435" cy="9525"/>
                <wp:effectExtent l="0" t="0" r="0" b="0"/>
                <wp:wrapTopAndBottom/>
                <wp:docPr id="130" name="Graphic 130"/>
                <wp:cNvGraphicFramePr>
                  <a:graphicFrameLocks/>
                </wp:cNvGraphicFramePr>
                <a:graphic>
                  <a:graphicData uri="http://schemas.microsoft.com/office/word/2010/wordprocessingShape">
                    <wps:wsp>
                      <wps:cNvPr id="130" name="Graphic 13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3.116016pt;width:144.020pt;height:.72pt;mso-position-horizontal-relative:page;mso-position-vertical-relative:paragraph;z-index:-15676928;mso-wrap-distance-left:0;mso-wrap-distance-right:0" id="docshape128" filled="true" fillcolor="#231f20" stroked="false">
                <v:fill type="solid"/>
                <w10:wrap type="topAndBottom"/>
              </v:rect>
            </w:pict>
          </mc:Fallback>
        </mc:AlternateContent>
      </w:r>
    </w:p>
    <w:p>
      <w:pPr>
        <w:spacing w:before="94"/>
        <w:ind w:left="111" w:right="0" w:firstLine="0"/>
        <w:jc w:val="left"/>
        <w:rPr>
          <w:sz w:val="20"/>
        </w:rPr>
      </w:pPr>
      <w:r>
        <w:rPr>
          <w:color w:val="76787A"/>
          <w:sz w:val="20"/>
          <w:vertAlign w:val="superscript"/>
        </w:rPr>
        <w:t>162</w:t>
      </w:r>
      <w:r>
        <w:rPr>
          <w:color w:val="231F20"/>
          <w:sz w:val="20"/>
          <w:vertAlign w:val="baseline"/>
        </w:rPr>
        <w:t>vétérans</w:t>
      </w:r>
      <w:r>
        <w:rPr>
          <w:color w:val="231F20"/>
          <w:spacing w:val="-6"/>
          <w:sz w:val="20"/>
          <w:vertAlign w:val="baseline"/>
        </w:rPr>
        <w:t> </w:t>
      </w:r>
      <w:r>
        <w:rPr>
          <w:color w:val="231F20"/>
          <w:sz w:val="20"/>
          <w:vertAlign w:val="baseline"/>
        </w:rPr>
        <w:t>de</w:t>
      </w:r>
      <w:r>
        <w:rPr>
          <w:color w:val="231F20"/>
          <w:spacing w:val="-7"/>
          <w:sz w:val="20"/>
          <w:vertAlign w:val="baseline"/>
        </w:rPr>
        <w:t> </w:t>
      </w:r>
      <w:r>
        <w:rPr>
          <w:color w:val="231F20"/>
          <w:sz w:val="20"/>
          <w:vertAlign w:val="baseline"/>
        </w:rPr>
        <w:t>la</w:t>
      </w:r>
      <w:r>
        <w:rPr>
          <w:color w:val="231F20"/>
          <w:spacing w:val="-5"/>
          <w:sz w:val="20"/>
          <w:vertAlign w:val="baseline"/>
        </w:rPr>
        <w:t> </w:t>
      </w:r>
      <w:r>
        <w:rPr>
          <w:color w:val="231F20"/>
          <w:sz w:val="20"/>
          <w:vertAlign w:val="baseline"/>
        </w:rPr>
        <w:t>Minurca,</w:t>
      </w:r>
      <w:r>
        <w:rPr>
          <w:color w:val="231F20"/>
          <w:spacing w:val="-5"/>
          <w:sz w:val="20"/>
          <w:vertAlign w:val="baseline"/>
        </w:rPr>
        <w:t> </w:t>
      </w:r>
      <w:r>
        <w:rPr>
          <w:color w:val="231F20"/>
          <w:sz w:val="20"/>
          <w:vertAlign w:val="baseline"/>
        </w:rPr>
        <w:t>la</w:t>
      </w:r>
      <w:r>
        <w:rPr>
          <w:color w:val="231F20"/>
          <w:spacing w:val="-5"/>
          <w:sz w:val="20"/>
          <w:vertAlign w:val="baseline"/>
        </w:rPr>
        <w:t> </w:t>
      </w:r>
      <w:r>
        <w:rPr>
          <w:color w:val="231F20"/>
          <w:sz w:val="20"/>
          <w:vertAlign w:val="baseline"/>
        </w:rPr>
        <w:t>Mission</w:t>
      </w:r>
      <w:r>
        <w:rPr>
          <w:color w:val="231F20"/>
          <w:spacing w:val="-6"/>
          <w:sz w:val="20"/>
          <w:vertAlign w:val="baseline"/>
        </w:rPr>
        <w:t> </w:t>
      </w:r>
      <w:r>
        <w:rPr>
          <w:color w:val="231F20"/>
          <w:sz w:val="20"/>
          <w:vertAlign w:val="baseline"/>
        </w:rPr>
        <w:t>des</w:t>
      </w:r>
      <w:r>
        <w:rPr>
          <w:color w:val="231F20"/>
          <w:spacing w:val="-6"/>
          <w:sz w:val="20"/>
          <w:vertAlign w:val="baseline"/>
        </w:rPr>
        <w:t> </w:t>
      </w:r>
      <w:r>
        <w:rPr>
          <w:color w:val="231F20"/>
          <w:sz w:val="20"/>
          <w:vertAlign w:val="baseline"/>
        </w:rPr>
        <w:t>Nations</w:t>
      </w:r>
      <w:r>
        <w:rPr>
          <w:color w:val="231F20"/>
          <w:spacing w:val="-6"/>
          <w:sz w:val="20"/>
          <w:vertAlign w:val="baseline"/>
        </w:rPr>
        <w:t> </w:t>
      </w:r>
      <w:r>
        <w:rPr>
          <w:color w:val="231F20"/>
          <w:sz w:val="20"/>
          <w:vertAlign w:val="baseline"/>
        </w:rPr>
        <w:t>unies</w:t>
      </w:r>
      <w:r>
        <w:rPr>
          <w:color w:val="231F20"/>
          <w:spacing w:val="-8"/>
          <w:sz w:val="20"/>
          <w:vertAlign w:val="baseline"/>
        </w:rPr>
        <w:t> </w:t>
      </w:r>
      <w:r>
        <w:rPr>
          <w:color w:val="231F20"/>
          <w:sz w:val="20"/>
          <w:vertAlign w:val="baseline"/>
        </w:rPr>
        <w:t>en</w:t>
      </w:r>
      <w:r>
        <w:rPr>
          <w:color w:val="231F20"/>
          <w:spacing w:val="-6"/>
          <w:sz w:val="20"/>
          <w:vertAlign w:val="baseline"/>
        </w:rPr>
        <w:t> </w:t>
      </w:r>
      <w:r>
        <w:rPr>
          <w:color w:val="231F20"/>
          <w:sz w:val="20"/>
          <w:vertAlign w:val="baseline"/>
        </w:rPr>
        <w:t>République</w:t>
      </w:r>
      <w:r>
        <w:rPr>
          <w:color w:val="231F20"/>
          <w:spacing w:val="-5"/>
          <w:sz w:val="20"/>
          <w:vertAlign w:val="baseline"/>
        </w:rPr>
        <w:t> </w:t>
      </w:r>
      <w:r>
        <w:rPr>
          <w:color w:val="231F20"/>
          <w:sz w:val="20"/>
          <w:vertAlign w:val="baseline"/>
        </w:rPr>
        <w:t>centrafricaine, créée</w:t>
      </w:r>
      <w:r>
        <w:rPr>
          <w:color w:val="231F20"/>
          <w:spacing w:val="-7"/>
          <w:sz w:val="20"/>
          <w:vertAlign w:val="baseline"/>
        </w:rPr>
        <w:t> </w:t>
      </w:r>
      <w:r>
        <w:rPr>
          <w:color w:val="231F20"/>
          <w:sz w:val="20"/>
          <w:vertAlign w:val="baseline"/>
        </w:rPr>
        <w:t>en</w:t>
      </w:r>
      <w:r>
        <w:rPr>
          <w:color w:val="231F20"/>
          <w:spacing w:val="-9"/>
          <w:sz w:val="20"/>
          <w:vertAlign w:val="baseline"/>
        </w:rPr>
        <w:t> </w:t>
      </w:r>
      <w:r>
        <w:rPr>
          <w:color w:val="231F20"/>
          <w:sz w:val="20"/>
          <w:vertAlign w:val="baseline"/>
        </w:rPr>
        <w:t>mars</w:t>
      </w:r>
      <w:r>
        <w:rPr>
          <w:color w:val="231F20"/>
          <w:spacing w:val="-11"/>
          <w:sz w:val="20"/>
          <w:vertAlign w:val="baseline"/>
        </w:rPr>
        <w:t> </w:t>
      </w:r>
      <w:r>
        <w:rPr>
          <w:color w:val="231F20"/>
          <w:sz w:val="20"/>
          <w:vertAlign w:val="baseline"/>
        </w:rPr>
        <w:t>1998</w:t>
      </w:r>
      <w:r>
        <w:rPr>
          <w:color w:val="231F20"/>
          <w:spacing w:val="-9"/>
          <w:sz w:val="20"/>
          <w:vertAlign w:val="baseline"/>
        </w:rPr>
        <w:t> </w:t>
      </w:r>
      <w:r>
        <w:rPr>
          <w:color w:val="231F20"/>
          <w:sz w:val="20"/>
          <w:vertAlign w:val="baseline"/>
        </w:rPr>
        <w:t>par</w:t>
      </w:r>
      <w:r>
        <w:rPr>
          <w:color w:val="231F20"/>
          <w:spacing w:val="-7"/>
          <w:sz w:val="20"/>
          <w:vertAlign w:val="baseline"/>
        </w:rPr>
        <w:t> </w:t>
      </w:r>
      <w:r>
        <w:rPr>
          <w:color w:val="231F20"/>
          <w:sz w:val="20"/>
          <w:vertAlign w:val="baseline"/>
        </w:rPr>
        <w:t>le</w:t>
      </w:r>
      <w:r>
        <w:rPr>
          <w:color w:val="231F20"/>
          <w:spacing w:val="-10"/>
          <w:sz w:val="20"/>
          <w:vertAlign w:val="baseline"/>
        </w:rPr>
        <w:t> </w:t>
      </w:r>
      <w:r>
        <w:rPr>
          <w:color w:val="231F20"/>
          <w:sz w:val="20"/>
          <w:vertAlign w:val="baseline"/>
        </w:rPr>
        <w:t>Conseil</w:t>
      </w:r>
      <w:r>
        <w:rPr>
          <w:color w:val="231F20"/>
          <w:spacing w:val="-7"/>
          <w:sz w:val="20"/>
          <w:vertAlign w:val="baseline"/>
        </w:rPr>
        <w:t> </w:t>
      </w:r>
      <w:r>
        <w:rPr>
          <w:color w:val="231F20"/>
          <w:sz w:val="20"/>
          <w:vertAlign w:val="baseline"/>
        </w:rPr>
        <w:t>de</w:t>
      </w:r>
      <w:r>
        <w:rPr>
          <w:color w:val="231F20"/>
          <w:spacing w:val="-7"/>
          <w:sz w:val="20"/>
          <w:vertAlign w:val="baseline"/>
        </w:rPr>
        <w:t> </w:t>
      </w:r>
      <w:r>
        <w:rPr>
          <w:color w:val="231F20"/>
          <w:sz w:val="20"/>
          <w:vertAlign w:val="baseline"/>
        </w:rPr>
        <w:t>sécurité</w:t>
      </w:r>
      <w:r>
        <w:rPr>
          <w:color w:val="231F20"/>
          <w:spacing w:val="-10"/>
          <w:sz w:val="20"/>
          <w:vertAlign w:val="baseline"/>
        </w:rPr>
        <w:t> </w:t>
      </w:r>
      <w:r>
        <w:rPr>
          <w:color w:val="231F20"/>
          <w:sz w:val="20"/>
          <w:vertAlign w:val="baseline"/>
        </w:rPr>
        <w:t>pour</w:t>
      </w:r>
      <w:r>
        <w:rPr>
          <w:color w:val="231F20"/>
          <w:spacing w:val="-10"/>
          <w:sz w:val="20"/>
          <w:vertAlign w:val="baseline"/>
        </w:rPr>
        <w:t> </w:t>
      </w:r>
      <w:r>
        <w:rPr>
          <w:color w:val="231F20"/>
          <w:sz w:val="20"/>
          <w:vertAlign w:val="baseline"/>
        </w:rPr>
        <w:t>ramener</w:t>
      </w:r>
      <w:r>
        <w:rPr>
          <w:color w:val="231F20"/>
          <w:spacing w:val="-7"/>
          <w:sz w:val="20"/>
          <w:vertAlign w:val="baseline"/>
        </w:rPr>
        <w:t> </w:t>
      </w:r>
      <w:r>
        <w:rPr>
          <w:color w:val="231F20"/>
          <w:sz w:val="20"/>
          <w:vertAlign w:val="baseline"/>
        </w:rPr>
        <w:t>la</w:t>
      </w:r>
      <w:r>
        <w:rPr>
          <w:color w:val="231F20"/>
          <w:spacing w:val="-10"/>
          <w:sz w:val="20"/>
          <w:vertAlign w:val="baseline"/>
        </w:rPr>
        <w:t> </w:t>
      </w:r>
      <w:r>
        <w:rPr>
          <w:color w:val="231F20"/>
          <w:sz w:val="20"/>
          <w:vertAlign w:val="baseline"/>
        </w:rPr>
        <w:t>paix</w:t>
      </w:r>
      <w:r>
        <w:rPr>
          <w:color w:val="231F20"/>
          <w:spacing w:val="-7"/>
          <w:sz w:val="20"/>
          <w:vertAlign w:val="baseline"/>
        </w:rPr>
        <w:t> </w:t>
      </w:r>
      <w:r>
        <w:rPr>
          <w:color w:val="231F20"/>
          <w:sz w:val="20"/>
          <w:vertAlign w:val="baseline"/>
        </w:rPr>
        <w:t>en</w:t>
      </w:r>
      <w:r>
        <w:rPr>
          <w:color w:val="231F20"/>
          <w:spacing w:val="-7"/>
          <w:sz w:val="20"/>
          <w:vertAlign w:val="baseline"/>
        </w:rPr>
        <w:t> </w:t>
      </w:r>
      <w:r>
        <w:rPr>
          <w:color w:val="231F20"/>
          <w:sz w:val="20"/>
          <w:vertAlign w:val="baseline"/>
        </w:rPr>
        <w:t>Centrafrique.</w:t>
      </w:r>
    </w:p>
    <w:p>
      <w:pPr>
        <w:spacing w:after="0"/>
        <w:jc w:val="left"/>
        <w:rPr>
          <w:sz w:val="20"/>
        </w:rPr>
        <w:sectPr>
          <w:pgSz w:w="8790" w:h="13610"/>
          <w:pgMar w:header="0" w:footer="802" w:top="1060" w:bottom="1000" w:left="880" w:right="880"/>
        </w:sectPr>
      </w:pPr>
    </w:p>
    <w:p>
      <w:pPr>
        <w:pStyle w:val="BodyText"/>
        <w:spacing w:before="66"/>
        <w:ind w:right="105" w:firstLine="283"/>
      </w:pPr>
      <w:r>
        <w:rPr>
          <w:color w:val="231F20"/>
          <w:spacing w:val="-4"/>
        </w:rPr>
        <w:t>Les</w:t>
      </w:r>
      <w:r>
        <w:rPr>
          <w:color w:val="231F20"/>
          <w:spacing w:val="-5"/>
        </w:rPr>
        <w:t> </w:t>
      </w:r>
      <w:r>
        <w:rPr>
          <w:color w:val="231F20"/>
          <w:spacing w:val="-4"/>
        </w:rPr>
        <w:t>événements</w:t>
      </w:r>
      <w:r>
        <w:rPr>
          <w:color w:val="231F20"/>
          <w:spacing w:val="-8"/>
        </w:rPr>
        <w:t> </w:t>
      </w:r>
      <w:r>
        <w:rPr>
          <w:color w:val="231F20"/>
          <w:spacing w:val="-4"/>
        </w:rPr>
        <w:t>se</w:t>
      </w:r>
      <w:r>
        <w:rPr>
          <w:color w:val="231F20"/>
          <w:spacing w:val="-5"/>
        </w:rPr>
        <w:t> </w:t>
      </w:r>
      <w:r>
        <w:rPr>
          <w:color w:val="231F20"/>
          <w:spacing w:val="-4"/>
        </w:rPr>
        <w:t>précipitent.</w:t>
      </w:r>
      <w:r>
        <w:rPr>
          <w:color w:val="231F20"/>
          <w:spacing w:val="-7"/>
        </w:rPr>
        <w:t> </w:t>
      </w:r>
      <w:r>
        <w:rPr>
          <w:color w:val="231F20"/>
          <w:spacing w:val="-4"/>
        </w:rPr>
        <w:t>Les</w:t>
      </w:r>
      <w:r>
        <w:rPr>
          <w:color w:val="231F20"/>
          <w:spacing w:val="-8"/>
        </w:rPr>
        <w:t> </w:t>
      </w:r>
      <w:r>
        <w:rPr>
          <w:color w:val="231F20"/>
          <w:spacing w:val="-4"/>
        </w:rPr>
        <w:t>prisonniers</w:t>
      </w:r>
      <w:r>
        <w:rPr>
          <w:color w:val="231F20"/>
          <w:spacing w:val="-5"/>
        </w:rPr>
        <w:t> </w:t>
      </w:r>
      <w:r>
        <w:rPr>
          <w:color w:val="231F20"/>
          <w:spacing w:val="-4"/>
        </w:rPr>
        <w:t>politiques,</w:t>
      </w:r>
      <w:r>
        <w:rPr>
          <w:color w:val="231F20"/>
          <w:spacing w:val="-8"/>
        </w:rPr>
        <w:t> </w:t>
      </w:r>
      <w:r>
        <w:rPr>
          <w:color w:val="231F20"/>
          <w:spacing w:val="-4"/>
        </w:rPr>
        <w:t>membres</w:t>
      </w:r>
      <w:r>
        <w:rPr>
          <w:color w:val="231F20"/>
          <w:spacing w:val="-8"/>
        </w:rPr>
        <w:t> </w:t>
      </w:r>
      <w:r>
        <w:rPr>
          <w:color w:val="231F20"/>
          <w:spacing w:val="-4"/>
        </w:rPr>
        <w:t>du </w:t>
      </w:r>
      <w:r>
        <w:rPr>
          <w:color w:val="231F20"/>
        </w:rPr>
        <w:t>RDR, sont libérés par les soldats. L’ensemble des quelque 6.500 prisonniers de la Maison d’Arrêt et de Correction d’Abidjan, la plus </w:t>
      </w:r>
      <w:r>
        <w:rPr>
          <w:color w:val="231F20"/>
          <w:spacing w:val="-4"/>
        </w:rPr>
        <w:t>grande</w:t>
      </w:r>
      <w:r>
        <w:rPr>
          <w:color w:val="231F20"/>
          <w:spacing w:val="-7"/>
        </w:rPr>
        <w:t> </w:t>
      </w:r>
      <w:r>
        <w:rPr>
          <w:color w:val="231F20"/>
          <w:spacing w:val="-4"/>
        </w:rPr>
        <w:t>prison</w:t>
      </w:r>
      <w:r>
        <w:rPr>
          <w:color w:val="231F20"/>
          <w:spacing w:val="-7"/>
        </w:rPr>
        <w:t> </w:t>
      </w:r>
      <w:r>
        <w:rPr>
          <w:color w:val="231F20"/>
          <w:spacing w:val="-4"/>
        </w:rPr>
        <w:t>du</w:t>
      </w:r>
      <w:r>
        <w:rPr>
          <w:color w:val="231F20"/>
          <w:spacing w:val="-9"/>
        </w:rPr>
        <w:t> </w:t>
      </w:r>
      <w:r>
        <w:rPr>
          <w:color w:val="231F20"/>
          <w:spacing w:val="-4"/>
        </w:rPr>
        <w:t>pays,</w:t>
      </w:r>
      <w:r>
        <w:rPr>
          <w:color w:val="231F20"/>
          <w:spacing w:val="-8"/>
        </w:rPr>
        <w:t> </w:t>
      </w:r>
      <w:r>
        <w:rPr>
          <w:color w:val="231F20"/>
          <w:spacing w:val="-4"/>
        </w:rPr>
        <w:t>en</w:t>
      </w:r>
      <w:r>
        <w:rPr>
          <w:color w:val="231F20"/>
          <w:spacing w:val="-9"/>
        </w:rPr>
        <w:t> </w:t>
      </w:r>
      <w:r>
        <w:rPr>
          <w:color w:val="231F20"/>
          <w:spacing w:val="-4"/>
        </w:rPr>
        <w:t>profite</w:t>
      </w:r>
      <w:r>
        <w:rPr>
          <w:color w:val="231F20"/>
          <w:spacing w:val="-9"/>
        </w:rPr>
        <w:t> </w:t>
      </w:r>
      <w:r>
        <w:rPr>
          <w:color w:val="231F20"/>
          <w:spacing w:val="-4"/>
        </w:rPr>
        <w:t>pour</w:t>
      </w:r>
      <w:r>
        <w:rPr>
          <w:color w:val="231F20"/>
          <w:spacing w:val="-7"/>
        </w:rPr>
        <w:t> </w:t>
      </w:r>
      <w:r>
        <w:rPr>
          <w:color w:val="231F20"/>
          <w:spacing w:val="-4"/>
        </w:rPr>
        <w:t>disparaître</w:t>
      </w:r>
      <w:r>
        <w:rPr>
          <w:color w:val="231F20"/>
          <w:spacing w:val="-7"/>
        </w:rPr>
        <w:t> </w:t>
      </w:r>
      <w:r>
        <w:rPr>
          <w:color w:val="231F20"/>
          <w:spacing w:val="-4"/>
        </w:rPr>
        <w:t>dans</w:t>
      </w:r>
      <w:r>
        <w:rPr>
          <w:color w:val="231F20"/>
          <w:spacing w:val="-6"/>
        </w:rPr>
        <w:t> </w:t>
      </w:r>
      <w:r>
        <w:rPr>
          <w:color w:val="231F20"/>
          <w:spacing w:val="-4"/>
        </w:rPr>
        <w:t>la</w:t>
      </w:r>
      <w:r>
        <w:rPr>
          <w:color w:val="231F20"/>
          <w:spacing w:val="-7"/>
        </w:rPr>
        <w:t> </w:t>
      </w:r>
      <w:r>
        <w:rPr>
          <w:color w:val="231F20"/>
          <w:spacing w:val="-4"/>
        </w:rPr>
        <w:t>nature</w:t>
      </w:r>
      <w:r>
        <w:rPr>
          <w:color w:val="231F20"/>
          <w:spacing w:val="-7"/>
        </w:rPr>
        <w:t> </w:t>
      </w:r>
      <w:r>
        <w:rPr>
          <w:color w:val="231F20"/>
          <w:spacing w:val="-4"/>
        </w:rPr>
        <w:t>en</w:t>
      </w:r>
      <w:r>
        <w:rPr>
          <w:color w:val="231F20"/>
          <w:spacing w:val="-7"/>
        </w:rPr>
        <w:t> </w:t>
      </w:r>
      <w:r>
        <w:rPr>
          <w:color w:val="231F20"/>
          <w:spacing w:val="-4"/>
        </w:rPr>
        <w:t>faisant </w:t>
      </w:r>
      <w:r>
        <w:rPr>
          <w:color w:val="231F20"/>
        </w:rPr>
        <w:t>des victimes dans leur évasion.</w:t>
      </w:r>
    </w:p>
    <w:p>
      <w:pPr>
        <w:pStyle w:val="BodyText"/>
        <w:spacing w:before="120"/>
        <w:ind w:right="105" w:firstLine="283"/>
      </w:pPr>
      <w:r>
        <w:rPr>
          <w:color w:val="231F20"/>
          <w:spacing w:val="-4"/>
        </w:rPr>
        <w:t>Au</w:t>
      </w:r>
      <w:r>
        <w:rPr>
          <w:color w:val="231F20"/>
          <w:spacing w:val="-9"/>
        </w:rPr>
        <w:t> </w:t>
      </w:r>
      <w:r>
        <w:rPr>
          <w:color w:val="231F20"/>
          <w:spacing w:val="-4"/>
        </w:rPr>
        <w:t>journal</w:t>
      </w:r>
      <w:r>
        <w:rPr>
          <w:color w:val="231F20"/>
          <w:spacing w:val="-9"/>
        </w:rPr>
        <w:t> </w:t>
      </w:r>
      <w:r>
        <w:rPr>
          <w:color w:val="231F20"/>
          <w:spacing w:val="-4"/>
        </w:rPr>
        <w:t>télévisé</w:t>
      </w:r>
      <w:r>
        <w:rPr>
          <w:color w:val="231F20"/>
          <w:spacing w:val="-9"/>
        </w:rPr>
        <w:t> </w:t>
      </w:r>
      <w:r>
        <w:rPr>
          <w:color w:val="231F20"/>
          <w:spacing w:val="-4"/>
        </w:rPr>
        <w:t>de</w:t>
      </w:r>
      <w:r>
        <w:rPr>
          <w:color w:val="231F20"/>
          <w:spacing w:val="-9"/>
        </w:rPr>
        <w:t> </w:t>
      </w:r>
      <w:r>
        <w:rPr>
          <w:color w:val="231F20"/>
          <w:spacing w:val="-4"/>
        </w:rPr>
        <w:t>20</w:t>
      </w:r>
      <w:r>
        <w:rPr>
          <w:color w:val="231F20"/>
          <w:spacing w:val="-11"/>
        </w:rPr>
        <w:t> </w:t>
      </w:r>
      <w:r>
        <w:rPr>
          <w:color w:val="231F20"/>
          <w:spacing w:val="-4"/>
        </w:rPr>
        <w:t>heures,</w:t>
      </w:r>
      <w:r>
        <w:rPr>
          <w:color w:val="231F20"/>
          <w:spacing w:val="-10"/>
        </w:rPr>
        <w:t> </w:t>
      </w:r>
      <w:r>
        <w:rPr>
          <w:color w:val="231F20"/>
          <w:spacing w:val="-4"/>
        </w:rPr>
        <w:t>les</w:t>
      </w:r>
      <w:r>
        <w:rPr>
          <w:color w:val="231F20"/>
          <w:spacing w:val="-9"/>
        </w:rPr>
        <w:t> </w:t>
      </w:r>
      <w:r>
        <w:rPr>
          <w:color w:val="231F20"/>
          <w:spacing w:val="-4"/>
        </w:rPr>
        <w:t>ivoiriens</w:t>
      </w:r>
      <w:r>
        <w:rPr>
          <w:color w:val="231F20"/>
          <w:spacing w:val="-9"/>
        </w:rPr>
        <w:t> </w:t>
      </w:r>
      <w:r>
        <w:rPr>
          <w:color w:val="231F20"/>
          <w:spacing w:val="-4"/>
        </w:rPr>
        <w:t>découvrent</w:t>
      </w:r>
      <w:r>
        <w:rPr>
          <w:color w:val="231F20"/>
          <w:spacing w:val="-9"/>
        </w:rPr>
        <w:t> </w:t>
      </w:r>
      <w:r>
        <w:rPr>
          <w:color w:val="231F20"/>
          <w:spacing w:val="-4"/>
        </w:rPr>
        <w:t>un</w:t>
      </w:r>
      <w:r>
        <w:rPr>
          <w:color w:val="231F20"/>
          <w:spacing w:val="-9"/>
        </w:rPr>
        <w:t> </w:t>
      </w:r>
      <w:r>
        <w:rPr>
          <w:color w:val="231F20"/>
          <w:spacing w:val="-4"/>
        </w:rPr>
        <w:t>groupe</w:t>
      </w:r>
      <w:r>
        <w:rPr>
          <w:color w:val="231F20"/>
          <w:spacing w:val="-9"/>
        </w:rPr>
        <w:t> </w:t>
      </w:r>
      <w:r>
        <w:rPr>
          <w:color w:val="231F20"/>
          <w:spacing w:val="-4"/>
        </w:rPr>
        <w:t>de militaires, hirsutes,</w:t>
      </w:r>
      <w:r>
        <w:rPr>
          <w:color w:val="231F20"/>
          <w:spacing w:val="-6"/>
        </w:rPr>
        <w:t> </w:t>
      </w:r>
      <w:r>
        <w:rPr>
          <w:color w:val="231F20"/>
          <w:spacing w:val="-4"/>
        </w:rPr>
        <w:t>en tenue de combat. Ils</w:t>
      </w:r>
      <w:r>
        <w:rPr>
          <w:color w:val="231F20"/>
          <w:spacing w:val="-5"/>
        </w:rPr>
        <w:t> </w:t>
      </w:r>
      <w:r>
        <w:rPr>
          <w:color w:val="231F20"/>
          <w:spacing w:val="-4"/>
        </w:rPr>
        <w:t>entourent un</w:t>
      </w:r>
      <w:r>
        <w:rPr>
          <w:color w:val="231F20"/>
          <w:spacing w:val="-7"/>
        </w:rPr>
        <w:t> </w:t>
      </w:r>
      <w:r>
        <w:rPr>
          <w:color w:val="231F20"/>
          <w:spacing w:val="-4"/>
        </w:rPr>
        <w:t>officier connu,</w:t>
      </w:r>
      <w:r>
        <w:rPr>
          <w:color w:val="231F20"/>
          <w:spacing w:val="-6"/>
        </w:rPr>
        <w:t> </w:t>
      </w:r>
      <w:r>
        <w:rPr>
          <w:color w:val="231F20"/>
          <w:spacing w:val="-4"/>
        </w:rPr>
        <w:t>le </w:t>
      </w:r>
      <w:r>
        <w:rPr>
          <w:color w:val="231F20"/>
        </w:rPr>
        <w:t>général Robert Guéï, ancien chef d’État-major de l’Armée et ancien </w:t>
      </w:r>
      <w:r>
        <w:rPr>
          <w:color w:val="231F20"/>
          <w:spacing w:val="-4"/>
        </w:rPr>
        <w:t>ministre.</w:t>
      </w:r>
      <w:r>
        <w:rPr>
          <w:color w:val="231F20"/>
          <w:spacing w:val="-11"/>
        </w:rPr>
        <w:t> </w:t>
      </w:r>
      <w:r>
        <w:rPr>
          <w:color w:val="231F20"/>
          <w:spacing w:val="-4"/>
        </w:rPr>
        <w:t>Ce</w:t>
      </w:r>
      <w:r>
        <w:rPr>
          <w:color w:val="231F20"/>
          <w:spacing w:val="-11"/>
        </w:rPr>
        <w:t> </w:t>
      </w:r>
      <w:r>
        <w:rPr>
          <w:color w:val="231F20"/>
          <w:spacing w:val="-4"/>
        </w:rPr>
        <w:t>dernier</w:t>
      </w:r>
      <w:r>
        <w:rPr>
          <w:color w:val="231F20"/>
          <w:spacing w:val="-10"/>
        </w:rPr>
        <w:t> </w:t>
      </w:r>
      <w:r>
        <w:rPr>
          <w:color w:val="231F20"/>
          <w:spacing w:val="-4"/>
        </w:rPr>
        <w:t>annonce</w:t>
      </w:r>
      <w:r>
        <w:rPr>
          <w:color w:val="231F20"/>
          <w:spacing w:val="-8"/>
        </w:rPr>
        <w:t> </w:t>
      </w:r>
      <w:r>
        <w:rPr>
          <w:color w:val="231F20"/>
          <w:spacing w:val="-4"/>
        </w:rPr>
        <w:t>la</w:t>
      </w:r>
      <w:r>
        <w:rPr>
          <w:color w:val="231F20"/>
          <w:spacing w:val="-8"/>
        </w:rPr>
        <w:t> </w:t>
      </w:r>
      <w:r>
        <w:rPr>
          <w:color w:val="231F20"/>
          <w:spacing w:val="-4"/>
        </w:rPr>
        <w:t>destitution</w:t>
      </w:r>
      <w:r>
        <w:rPr>
          <w:color w:val="231F20"/>
          <w:spacing w:val="-8"/>
        </w:rPr>
        <w:t> </w:t>
      </w:r>
      <w:r>
        <w:rPr>
          <w:color w:val="231F20"/>
          <w:spacing w:val="-4"/>
        </w:rPr>
        <w:t>du</w:t>
      </w:r>
      <w:r>
        <w:rPr>
          <w:color w:val="231F20"/>
          <w:spacing w:val="-8"/>
        </w:rPr>
        <w:t> </w:t>
      </w:r>
      <w:r>
        <w:rPr>
          <w:color w:val="231F20"/>
          <w:spacing w:val="-4"/>
        </w:rPr>
        <w:t>chef</w:t>
      </w:r>
      <w:r>
        <w:rPr>
          <w:color w:val="231F20"/>
          <w:spacing w:val="-8"/>
        </w:rPr>
        <w:t> </w:t>
      </w:r>
      <w:r>
        <w:rPr>
          <w:color w:val="231F20"/>
          <w:spacing w:val="-4"/>
        </w:rPr>
        <w:t>de</w:t>
      </w:r>
      <w:r>
        <w:rPr>
          <w:color w:val="231F20"/>
          <w:spacing w:val="-11"/>
        </w:rPr>
        <w:t> </w:t>
      </w:r>
      <w:r>
        <w:rPr>
          <w:color w:val="231F20"/>
          <w:spacing w:val="-4"/>
        </w:rPr>
        <w:t>l’État,</w:t>
      </w:r>
      <w:r>
        <w:rPr>
          <w:color w:val="231F20"/>
          <w:spacing w:val="-11"/>
        </w:rPr>
        <w:t> </w:t>
      </w:r>
      <w:r>
        <w:rPr>
          <w:color w:val="231F20"/>
          <w:spacing w:val="-4"/>
        </w:rPr>
        <w:t>la</w:t>
      </w:r>
      <w:r>
        <w:rPr>
          <w:color w:val="231F20"/>
          <w:spacing w:val="-8"/>
        </w:rPr>
        <w:t> </w:t>
      </w:r>
      <w:r>
        <w:rPr>
          <w:color w:val="231F20"/>
          <w:spacing w:val="-4"/>
        </w:rPr>
        <w:t>dissolution de</w:t>
      </w:r>
      <w:r>
        <w:rPr>
          <w:color w:val="231F20"/>
          <w:spacing w:val="-8"/>
        </w:rPr>
        <w:t> </w:t>
      </w:r>
      <w:r>
        <w:rPr>
          <w:color w:val="231F20"/>
          <w:spacing w:val="-4"/>
        </w:rPr>
        <w:t>l’Assemblée</w:t>
      </w:r>
      <w:r>
        <w:rPr>
          <w:color w:val="231F20"/>
          <w:spacing w:val="-8"/>
        </w:rPr>
        <w:t> </w:t>
      </w:r>
      <w:r>
        <w:rPr>
          <w:color w:val="231F20"/>
          <w:spacing w:val="-4"/>
        </w:rPr>
        <w:t>nationale,</w:t>
      </w:r>
      <w:r>
        <w:rPr>
          <w:color w:val="231F20"/>
          <w:spacing w:val="-10"/>
        </w:rPr>
        <w:t> </w:t>
      </w:r>
      <w:r>
        <w:rPr>
          <w:color w:val="231F20"/>
          <w:spacing w:val="-4"/>
        </w:rPr>
        <w:t>du</w:t>
      </w:r>
      <w:r>
        <w:rPr>
          <w:color w:val="231F20"/>
          <w:spacing w:val="-8"/>
        </w:rPr>
        <w:t> </w:t>
      </w:r>
      <w:r>
        <w:rPr>
          <w:color w:val="231F20"/>
          <w:spacing w:val="-4"/>
        </w:rPr>
        <w:t>gouvernement,</w:t>
      </w:r>
      <w:r>
        <w:rPr>
          <w:color w:val="231F20"/>
          <w:spacing w:val="-8"/>
        </w:rPr>
        <w:t> </w:t>
      </w:r>
      <w:r>
        <w:rPr>
          <w:color w:val="231F20"/>
          <w:spacing w:val="-4"/>
        </w:rPr>
        <w:t>du</w:t>
      </w:r>
      <w:r>
        <w:rPr>
          <w:color w:val="231F20"/>
          <w:spacing w:val="-10"/>
        </w:rPr>
        <w:t> </w:t>
      </w:r>
      <w:r>
        <w:rPr>
          <w:color w:val="231F20"/>
          <w:spacing w:val="-4"/>
        </w:rPr>
        <w:t>Conseil</w:t>
      </w:r>
      <w:r>
        <w:rPr>
          <w:color w:val="231F20"/>
          <w:spacing w:val="-8"/>
        </w:rPr>
        <w:t> </w:t>
      </w:r>
      <w:r>
        <w:rPr>
          <w:color w:val="231F20"/>
          <w:spacing w:val="-4"/>
        </w:rPr>
        <w:t>constitutionnel</w:t>
      </w:r>
      <w:r>
        <w:rPr>
          <w:color w:val="231F20"/>
          <w:spacing w:val="-8"/>
        </w:rPr>
        <w:t> </w:t>
      </w:r>
      <w:r>
        <w:rPr>
          <w:color w:val="231F20"/>
          <w:spacing w:val="-4"/>
        </w:rPr>
        <w:t>et </w:t>
      </w:r>
      <w:r>
        <w:rPr>
          <w:color w:val="231F20"/>
        </w:rPr>
        <w:t>de la</w:t>
      </w:r>
      <w:r>
        <w:rPr>
          <w:color w:val="231F20"/>
          <w:spacing w:val="-1"/>
        </w:rPr>
        <w:t> </w:t>
      </w:r>
      <w:r>
        <w:rPr>
          <w:color w:val="231F20"/>
        </w:rPr>
        <w:t>Cour</w:t>
      </w:r>
      <w:r>
        <w:rPr>
          <w:color w:val="231F20"/>
          <w:spacing w:val="-1"/>
        </w:rPr>
        <w:t> </w:t>
      </w:r>
      <w:r>
        <w:rPr>
          <w:color w:val="231F20"/>
        </w:rPr>
        <w:t>suprême.</w:t>
      </w:r>
      <w:r>
        <w:rPr>
          <w:color w:val="231F20"/>
          <w:spacing w:val="-1"/>
        </w:rPr>
        <w:t> </w:t>
      </w:r>
      <w:r>
        <w:rPr>
          <w:color w:val="231F20"/>
        </w:rPr>
        <w:t>C’est l’étonnement dans les foyers</w:t>
      </w:r>
      <w:r>
        <w:rPr>
          <w:color w:val="231F20"/>
          <w:spacing w:val="-13"/>
        </w:rPr>
        <w:t> </w:t>
      </w:r>
      <w:r>
        <w:rPr>
          <w:color w:val="231F20"/>
        </w:rPr>
        <w:t>: c’est donc</w:t>
      </w:r>
      <w:r>
        <w:rPr>
          <w:color w:val="231F20"/>
          <w:spacing w:val="-1"/>
        </w:rPr>
        <w:t> </w:t>
      </w:r>
      <w:r>
        <w:rPr>
          <w:color w:val="231F20"/>
        </w:rPr>
        <w:t>un coup d’état !</w:t>
      </w:r>
    </w:p>
    <w:p>
      <w:pPr>
        <w:spacing w:before="121"/>
        <w:ind w:left="111" w:right="100" w:firstLine="283"/>
        <w:jc w:val="both"/>
        <w:rPr>
          <w:i/>
          <w:sz w:val="24"/>
        </w:rPr>
      </w:pPr>
      <w:r>
        <w:rPr>
          <w:color w:val="231F20"/>
          <w:sz w:val="24"/>
        </w:rPr>
        <w:t>Le</w:t>
      </w:r>
      <w:r>
        <w:rPr>
          <w:color w:val="231F20"/>
          <w:spacing w:val="-15"/>
          <w:sz w:val="24"/>
        </w:rPr>
        <w:t> </w:t>
      </w:r>
      <w:r>
        <w:rPr>
          <w:color w:val="231F20"/>
          <w:sz w:val="24"/>
        </w:rPr>
        <w:t>journal</w:t>
      </w:r>
      <w:r>
        <w:rPr>
          <w:color w:val="231F20"/>
          <w:spacing w:val="-14"/>
          <w:sz w:val="24"/>
        </w:rPr>
        <w:t> </w:t>
      </w:r>
      <w:r>
        <w:rPr>
          <w:color w:val="231F20"/>
          <w:sz w:val="24"/>
        </w:rPr>
        <w:t>panafricain</w:t>
      </w:r>
      <w:r>
        <w:rPr>
          <w:color w:val="231F20"/>
          <w:spacing w:val="-15"/>
          <w:sz w:val="24"/>
        </w:rPr>
        <w:t> </w:t>
      </w:r>
      <w:r>
        <w:rPr>
          <w:color w:val="231F20"/>
          <w:sz w:val="24"/>
        </w:rPr>
        <w:t>Jeune</w:t>
      </w:r>
      <w:r>
        <w:rPr>
          <w:color w:val="231F20"/>
          <w:spacing w:val="-13"/>
          <w:sz w:val="24"/>
        </w:rPr>
        <w:t> </w:t>
      </w:r>
      <w:r>
        <w:rPr>
          <w:color w:val="231F20"/>
          <w:sz w:val="24"/>
        </w:rPr>
        <w:t>Afrique,</w:t>
      </w:r>
      <w:r>
        <w:rPr>
          <w:color w:val="231F20"/>
          <w:spacing w:val="-15"/>
          <w:sz w:val="24"/>
        </w:rPr>
        <w:t> </w:t>
      </w:r>
      <w:r>
        <w:rPr>
          <w:color w:val="231F20"/>
          <w:sz w:val="24"/>
        </w:rPr>
        <w:t>dans</w:t>
      </w:r>
      <w:r>
        <w:rPr>
          <w:color w:val="231F20"/>
          <w:spacing w:val="-15"/>
          <w:sz w:val="24"/>
        </w:rPr>
        <w:t> </w:t>
      </w:r>
      <w:r>
        <w:rPr>
          <w:color w:val="231F20"/>
          <w:sz w:val="24"/>
        </w:rPr>
        <w:t>sa</w:t>
      </w:r>
      <w:r>
        <w:rPr>
          <w:color w:val="231F20"/>
          <w:spacing w:val="-15"/>
          <w:sz w:val="24"/>
        </w:rPr>
        <w:t> </w:t>
      </w:r>
      <w:r>
        <w:rPr>
          <w:color w:val="231F20"/>
          <w:sz w:val="24"/>
        </w:rPr>
        <w:t>parution</w:t>
      </w:r>
      <w:r>
        <w:rPr>
          <w:color w:val="231F20"/>
          <w:spacing w:val="-15"/>
          <w:sz w:val="24"/>
        </w:rPr>
        <w:t> </w:t>
      </w:r>
      <w:r>
        <w:rPr>
          <w:color w:val="231F20"/>
          <w:sz w:val="24"/>
        </w:rPr>
        <w:t>hors-série</w:t>
      </w:r>
      <w:r>
        <w:rPr>
          <w:color w:val="231F20"/>
          <w:spacing w:val="-15"/>
          <w:sz w:val="24"/>
        </w:rPr>
        <w:t> </w:t>
      </w:r>
      <w:r>
        <w:rPr>
          <w:color w:val="231F20"/>
          <w:sz w:val="24"/>
        </w:rPr>
        <w:t>n°2 en Janvier 2000, décrit les premières heures de Bédié sur le chemin de l’exil</w:t>
      </w:r>
      <w:r>
        <w:rPr>
          <w:i/>
          <w:color w:val="231F20"/>
          <w:sz w:val="24"/>
        </w:rPr>
        <w:t>. «</w:t>
      </w:r>
      <w:r>
        <w:rPr>
          <w:i/>
          <w:color w:val="231F20"/>
          <w:spacing w:val="-15"/>
          <w:sz w:val="24"/>
        </w:rPr>
        <w:t> </w:t>
      </w:r>
      <w:r>
        <w:rPr>
          <w:color w:val="231F20"/>
          <w:sz w:val="24"/>
        </w:rPr>
        <w:t>(...) </w:t>
      </w:r>
      <w:r>
        <w:rPr>
          <w:i/>
          <w:color w:val="231F20"/>
          <w:sz w:val="24"/>
        </w:rPr>
        <w:t>Vers midi, </w:t>
      </w:r>
      <w:r>
        <w:rPr>
          <w:color w:val="231F20"/>
          <w:sz w:val="24"/>
        </w:rPr>
        <w:t>relate l’article de jeune afrique</w:t>
      </w:r>
      <w:r>
        <w:rPr>
          <w:i/>
          <w:color w:val="231F20"/>
          <w:sz w:val="24"/>
        </w:rPr>
        <w:t>, il </w:t>
      </w:r>
      <w:r>
        <w:rPr>
          <w:color w:val="231F20"/>
          <w:sz w:val="24"/>
        </w:rPr>
        <w:t>(le Président </w:t>
      </w:r>
      <w:r>
        <w:rPr>
          <w:color w:val="231F20"/>
          <w:spacing w:val="-2"/>
          <w:sz w:val="24"/>
        </w:rPr>
        <w:t>Bédié)</w:t>
      </w:r>
      <w:r>
        <w:rPr>
          <w:color w:val="231F20"/>
          <w:spacing w:val="-13"/>
          <w:sz w:val="24"/>
        </w:rPr>
        <w:t> </w:t>
      </w:r>
      <w:r>
        <w:rPr>
          <w:i/>
          <w:color w:val="231F20"/>
          <w:spacing w:val="-2"/>
          <w:sz w:val="24"/>
        </w:rPr>
        <w:t>quitte</w:t>
      </w:r>
      <w:r>
        <w:rPr>
          <w:i/>
          <w:color w:val="231F20"/>
          <w:spacing w:val="-12"/>
          <w:sz w:val="24"/>
        </w:rPr>
        <w:t> </w:t>
      </w:r>
      <w:r>
        <w:rPr>
          <w:i/>
          <w:color w:val="231F20"/>
          <w:spacing w:val="-2"/>
          <w:sz w:val="24"/>
        </w:rPr>
        <w:t>subrepticement</w:t>
      </w:r>
      <w:r>
        <w:rPr>
          <w:i/>
          <w:color w:val="231F20"/>
          <w:spacing w:val="-9"/>
          <w:sz w:val="24"/>
        </w:rPr>
        <w:t> </w:t>
      </w:r>
      <w:r>
        <w:rPr>
          <w:i/>
          <w:color w:val="231F20"/>
          <w:spacing w:val="-2"/>
          <w:sz w:val="24"/>
        </w:rPr>
        <w:t>le</w:t>
      </w:r>
      <w:r>
        <w:rPr>
          <w:i/>
          <w:color w:val="231F20"/>
          <w:spacing w:val="-13"/>
          <w:sz w:val="24"/>
        </w:rPr>
        <w:t> </w:t>
      </w:r>
      <w:r>
        <w:rPr>
          <w:i/>
          <w:color w:val="231F20"/>
          <w:spacing w:val="-2"/>
          <w:sz w:val="24"/>
        </w:rPr>
        <w:t>palais</w:t>
      </w:r>
      <w:r>
        <w:rPr>
          <w:i/>
          <w:color w:val="231F20"/>
          <w:spacing w:val="-9"/>
          <w:sz w:val="24"/>
        </w:rPr>
        <w:t> </w:t>
      </w:r>
      <w:r>
        <w:rPr>
          <w:i/>
          <w:color w:val="231F20"/>
          <w:spacing w:val="-2"/>
          <w:sz w:val="24"/>
        </w:rPr>
        <w:t>du</w:t>
      </w:r>
      <w:r>
        <w:rPr>
          <w:i/>
          <w:color w:val="231F20"/>
          <w:spacing w:val="-9"/>
          <w:sz w:val="24"/>
        </w:rPr>
        <w:t> </w:t>
      </w:r>
      <w:r>
        <w:rPr>
          <w:i/>
          <w:color w:val="231F20"/>
          <w:spacing w:val="-2"/>
          <w:sz w:val="24"/>
        </w:rPr>
        <w:t>«</w:t>
      </w:r>
      <w:r>
        <w:rPr>
          <w:i/>
          <w:color w:val="231F20"/>
          <w:spacing w:val="-11"/>
          <w:sz w:val="24"/>
        </w:rPr>
        <w:t> </w:t>
      </w:r>
      <w:r>
        <w:rPr>
          <w:i/>
          <w:color w:val="231F20"/>
          <w:spacing w:val="-2"/>
          <w:sz w:val="24"/>
        </w:rPr>
        <w:t>Vieux</w:t>
      </w:r>
      <w:r>
        <w:rPr>
          <w:i/>
          <w:color w:val="231F20"/>
          <w:spacing w:val="-12"/>
          <w:sz w:val="24"/>
        </w:rPr>
        <w:t> </w:t>
      </w:r>
      <w:r>
        <w:rPr>
          <w:i/>
          <w:color w:val="231F20"/>
          <w:spacing w:val="-2"/>
          <w:sz w:val="24"/>
        </w:rPr>
        <w:t>»</w:t>
      </w:r>
      <w:r>
        <w:rPr>
          <w:i/>
          <w:color w:val="231F20"/>
          <w:spacing w:val="-12"/>
          <w:sz w:val="24"/>
        </w:rPr>
        <w:t> </w:t>
      </w:r>
      <w:r>
        <w:rPr>
          <w:i/>
          <w:color w:val="231F20"/>
          <w:spacing w:val="-2"/>
          <w:sz w:val="24"/>
        </w:rPr>
        <w:t>et</w:t>
      </w:r>
      <w:r>
        <w:rPr>
          <w:i/>
          <w:color w:val="231F20"/>
          <w:spacing w:val="-9"/>
          <w:sz w:val="24"/>
        </w:rPr>
        <w:t> </w:t>
      </w:r>
      <w:r>
        <w:rPr>
          <w:i/>
          <w:color w:val="231F20"/>
          <w:spacing w:val="-2"/>
          <w:sz w:val="24"/>
        </w:rPr>
        <w:t>gagne</w:t>
      </w:r>
      <w:r>
        <w:rPr>
          <w:i/>
          <w:color w:val="231F20"/>
          <w:spacing w:val="-9"/>
          <w:sz w:val="24"/>
        </w:rPr>
        <w:t> </w:t>
      </w:r>
      <w:r>
        <w:rPr>
          <w:i/>
          <w:color w:val="231F20"/>
          <w:spacing w:val="-2"/>
          <w:sz w:val="24"/>
        </w:rPr>
        <w:t>la</w:t>
      </w:r>
      <w:r>
        <w:rPr>
          <w:i/>
          <w:color w:val="231F20"/>
          <w:spacing w:val="-9"/>
          <w:sz w:val="24"/>
        </w:rPr>
        <w:t> </w:t>
      </w:r>
      <w:r>
        <w:rPr>
          <w:i/>
          <w:color w:val="231F20"/>
          <w:spacing w:val="-2"/>
          <w:sz w:val="24"/>
        </w:rPr>
        <w:t>résidence</w:t>
      </w:r>
      <w:r>
        <w:rPr>
          <w:i/>
          <w:color w:val="231F20"/>
          <w:spacing w:val="-2"/>
          <w:sz w:val="24"/>
        </w:rPr>
        <w:t> </w:t>
      </w:r>
      <w:r>
        <w:rPr>
          <w:i/>
          <w:color w:val="231F20"/>
          <w:sz w:val="24"/>
        </w:rPr>
        <w:t>de</w:t>
      </w:r>
      <w:r>
        <w:rPr>
          <w:i/>
          <w:color w:val="231F20"/>
          <w:spacing w:val="-7"/>
          <w:sz w:val="24"/>
        </w:rPr>
        <w:t> </w:t>
      </w:r>
      <w:r>
        <w:rPr>
          <w:i/>
          <w:color w:val="231F20"/>
          <w:sz w:val="24"/>
        </w:rPr>
        <w:t>l’ambassadeur</w:t>
      </w:r>
      <w:r>
        <w:rPr>
          <w:i/>
          <w:color w:val="231F20"/>
          <w:spacing w:val="-8"/>
          <w:sz w:val="24"/>
        </w:rPr>
        <w:t> </w:t>
      </w:r>
      <w:r>
        <w:rPr>
          <w:i/>
          <w:color w:val="231F20"/>
          <w:sz w:val="24"/>
        </w:rPr>
        <w:t>de</w:t>
      </w:r>
      <w:r>
        <w:rPr>
          <w:i/>
          <w:color w:val="231F20"/>
          <w:spacing w:val="-7"/>
          <w:sz w:val="24"/>
        </w:rPr>
        <w:t> </w:t>
      </w:r>
      <w:r>
        <w:rPr>
          <w:i/>
          <w:color w:val="231F20"/>
          <w:sz w:val="24"/>
        </w:rPr>
        <w:t>France,</w:t>
      </w:r>
      <w:r>
        <w:rPr>
          <w:i/>
          <w:color w:val="231F20"/>
          <w:spacing w:val="-7"/>
          <w:sz w:val="24"/>
        </w:rPr>
        <w:t> </w:t>
      </w:r>
      <w:r>
        <w:rPr>
          <w:i/>
          <w:color w:val="231F20"/>
          <w:sz w:val="24"/>
        </w:rPr>
        <w:t>toute</w:t>
      </w:r>
      <w:r>
        <w:rPr>
          <w:i/>
          <w:color w:val="231F20"/>
          <w:spacing w:val="-9"/>
          <w:sz w:val="24"/>
        </w:rPr>
        <w:t> </w:t>
      </w:r>
      <w:r>
        <w:rPr>
          <w:i/>
          <w:color w:val="231F20"/>
          <w:sz w:val="24"/>
        </w:rPr>
        <w:t>proche,</w:t>
      </w:r>
      <w:r>
        <w:rPr>
          <w:i/>
          <w:color w:val="231F20"/>
          <w:spacing w:val="-8"/>
          <w:sz w:val="24"/>
        </w:rPr>
        <w:t> </w:t>
      </w:r>
      <w:r>
        <w:rPr>
          <w:i/>
          <w:color w:val="231F20"/>
          <w:sz w:val="24"/>
        </w:rPr>
        <w:t>en</w:t>
      </w:r>
      <w:r>
        <w:rPr>
          <w:i/>
          <w:color w:val="231F20"/>
          <w:spacing w:val="-7"/>
          <w:sz w:val="24"/>
        </w:rPr>
        <w:t> </w:t>
      </w:r>
      <w:r>
        <w:rPr>
          <w:i/>
          <w:color w:val="231F20"/>
          <w:sz w:val="24"/>
        </w:rPr>
        <w:t>empruntant</w:t>
      </w:r>
      <w:r>
        <w:rPr>
          <w:i/>
          <w:color w:val="231F20"/>
          <w:spacing w:val="-8"/>
          <w:sz w:val="24"/>
        </w:rPr>
        <w:t> </w:t>
      </w:r>
      <w:r>
        <w:rPr>
          <w:i/>
          <w:color w:val="231F20"/>
          <w:sz w:val="24"/>
        </w:rPr>
        <w:t>le</w:t>
      </w:r>
      <w:r>
        <w:rPr>
          <w:i/>
          <w:color w:val="231F20"/>
          <w:spacing w:val="-9"/>
          <w:sz w:val="24"/>
        </w:rPr>
        <w:t> </w:t>
      </w:r>
      <w:r>
        <w:rPr>
          <w:i/>
          <w:color w:val="231F20"/>
          <w:sz w:val="24"/>
        </w:rPr>
        <w:t>tunnel</w:t>
      </w:r>
      <w:r>
        <w:rPr>
          <w:i/>
          <w:color w:val="231F20"/>
          <w:spacing w:val="-7"/>
          <w:sz w:val="24"/>
        </w:rPr>
        <w:t> </w:t>
      </w:r>
      <w:r>
        <w:rPr>
          <w:i/>
          <w:color w:val="231F20"/>
          <w:sz w:val="24"/>
        </w:rPr>
        <w:t>qui relie</w:t>
      </w:r>
      <w:r>
        <w:rPr>
          <w:i/>
          <w:color w:val="231F20"/>
          <w:spacing w:val="-7"/>
          <w:sz w:val="24"/>
        </w:rPr>
        <w:t> </w:t>
      </w:r>
      <w:r>
        <w:rPr>
          <w:i/>
          <w:color w:val="231F20"/>
          <w:sz w:val="24"/>
        </w:rPr>
        <w:t>les</w:t>
      </w:r>
      <w:r>
        <w:rPr>
          <w:i/>
          <w:color w:val="231F20"/>
          <w:spacing w:val="-6"/>
          <w:sz w:val="24"/>
        </w:rPr>
        <w:t> </w:t>
      </w:r>
      <w:r>
        <w:rPr>
          <w:i/>
          <w:color w:val="231F20"/>
          <w:sz w:val="24"/>
        </w:rPr>
        <w:t>deux</w:t>
      </w:r>
      <w:r>
        <w:rPr>
          <w:i/>
          <w:color w:val="231F20"/>
          <w:spacing w:val="-5"/>
          <w:sz w:val="24"/>
        </w:rPr>
        <w:t> </w:t>
      </w:r>
      <w:r>
        <w:rPr>
          <w:i/>
          <w:color w:val="231F20"/>
          <w:sz w:val="24"/>
        </w:rPr>
        <w:t>édifices.</w:t>
      </w:r>
      <w:r>
        <w:rPr>
          <w:i/>
          <w:color w:val="231F20"/>
          <w:spacing w:val="-6"/>
          <w:sz w:val="24"/>
        </w:rPr>
        <w:t> </w:t>
      </w:r>
      <w:r>
        <w:rPr>
          <w:i/>
          <w:color w:val="231F20"/>
          <w:sz w:val="24"/>
        </w:rPr>
        <w:t>La</w:t>
      </w:r>
      <w:r>
        <w:rPr>
          <w:i/>
          <w:color w:val="231F20"/>
          <w:spacing w:val="-6"/>
          <w:sz w:val="24"/>
        </w:rPr>
        <w:t> </w:t>
      </w:r>
      <w:r>
        <w:rPr>
          <w:i/>
          <w:color w:val="231F20"/>
          <w:sz w:val="24"/>
        </w:rPr>
        <w:t>construction</w:t>
      </w:r>
      <w:r>
        <w:rPr>
          <w:i/>
          <w:color w:val="231F20"/>
          <w:spacing w:val="-6"/>
          <w:sz w:val="24"/>
        </w:rPr>
        <w:t> </w:t>
      </w:r>
      <w:r>
        <w:rPr>
          <w:i/>
          <w:color w:val="231F20"/>
          <w:sz w:val="24"/>
        </w:rPr>
        <w:t>de</w:t>
      </w:r>
      <w:r>
        <w:rPr>
          <w:i/>
          <w:color w:val="231F20"/>
          <w:spacing w:val="-5"/>
          <w:sz w:val="24"/>
        </w:rPr>
        <w:t> </w:t>
      </w:r>
      <w:r>
        <w:rPr>
          <w:i/>
          <w:color w:val="231F20"/>
          <w:sz w:val="24"/>
        </w:rPr>
        <w:t>ce</w:t>
      </w:r>
      <w:r>
        <w:rPr>
          <w:i/>
          <w:color w:val="231F20"/>
          <w:spacing w:val="-7"/>
          <w:sz w:val="24"/>
        </w:rPr>
        <w:t> </w:t>
      </w:r>
      <w:r>
        <w:rPr>
          <w:i/>
          <w:color w:val="231F20"/>
          <w:sz w:val="24"/>
        </w:rPr>
        <w:t>discret</w:t>
      </w:r>
      <w:r>
        <w:rPr>
          <w:i/>
          <w:color w:val="231F20"/>
          <w:spacing w:val="-5"/>
          <w:sz w:val="24"/>
        </w:rPr>
        <w:t> </w:t>
      </w:r>
      <w:r>
        <w:rPr>
          <w:i/>
          <w:color w:val="231F20"/>
          <w:sz w:val="24"/>
        </w:rPr>
        <w:t>passage</w:t>
      </w:r>
      <w:r>
        <w:rPr>
          <w:i/>
          <w:color w:val="231F20"/>
          <w:spacing w:val="-5"/>
          <w:sz w:val="24"/>
        </w:rPr>
        <w:t> </w:t>
      </w:r>
      <w:r>
        <w:rPr>
          <w:i/>
          <w:color w:val="231F20"/>
          <w:sz w:val="24"/>
        </w:rPr>
        <w:t>remonte</w:t>
      </w:r>
      <w:r>
        <w:rPr>
          <w:i/>
          <w:color w:val="231F20"/>
          <w:spacing w:val="-6"/>
          <w:sz w:val="24"/>
        </w:rPr>
        <w:t> </w:t>
      </w:r>
      <w:r>
        <w:rPr>
          <w:i/>
          <w:color w:val="231F20"/>
          <w:sz w:val="24"/>
        </w:rPr>
        <w:t>à </w:t>
      </w:r>
      <w:r>
        <w:rPr>
          <w:i/>
          <w:color w:val="231F20"/>
          <w:spacing w:val="-4"/>
          <w:sz w:val="24"/>
        </w:rPr>
        <w:t>l’époque de Félix Houphouët-Boigny.</w:t>
      </w:r>
      <w:r>
        <w:rPr>
          <w:i/>
          <w:color w:val="231F20"/>
          <w:spacing w:val="-5"/>
          <w:sz w:val="24"/>
        </w:rPr>
        <w:t> </w:t>
      </w:r>
      <w:r>
        <w:rPr>
          <w:i/>
          <w:color w:val="231F20"/>
          <w:spacing w:val="-4"/>
          <w:sz w:val="24"/>
        </w:rPr>
        <w:t>Lors</w:t>
      </w:r>
      <w:r>
        <w:rPr>
          <w:i/>
          <w:color w:val="231F20"/>
          <w:spacing w:val="-5"/>
          <w:sz w:val="24"/>
        </w:rPr>
        <w:t> </w:t>
      </w:r>
      <w:r>
        <w:rPr>
          <w:i/>
          <w:color w:val="231F20"/>
          <w:spacing w:val="-4"/>
          <w:sz w:val="24"/>
        </w:rPr>
        <w:t>des travaux de reconstruction </w:t>
      </w:r>
      <w:r>
        <w:rPr>
          <w:i/>
          <w:color w:val="231F20"/>
          <w:sz w:val="24"/>
        </w:rPr>
        <w:t>de</w:t>
      </w:r>
      <w:r>
        <w:rPr>
          <w:i/>
          <w:color w:val="231F20"/>
          <w:spacing w:val="-5"/>
          <w:sz w:val="24"/>
        </w:rPr>
        <w:t> </w:t>
      </w:r>
      <w:r>
        <w:rPr>
          <w:i/>
          <w:color w:val="231F20"/>
          <w:sz w:val="24"/>
        </w:rPr>
        <w:t>la</w:t>
      </w:r>
      <w:r>
        <w:rPr>
          <w:i/>
          <w:color w:val="231F20"/>
          <w:spacing w:val="-7"/>
          <w:sz w:val="24"/>
        </w:rPr>
        <w:t> </w:t>
      </w:r>
      <w:r>
        <w:rPr>
          <w:i/>
          <w:color w:val="231F20"/>
          <w:sz w:val="24"/>
        </w:rPr>
        <w:t>résidence,</w:t>
      </w:r>
      <w:r>
        <w:rPr>
          <w:i/>
          <w:color w:val="231F20"/>
          <w:spacing w:val="-4"/>
          <w:sz w:val="24"/>
        </w:rPr>
        <w:t> </w:t>
      </w:r>
      <w:r>
        <w:rPr>
          <w:i/>
          <w:color w:val="231F20"/>
          <w:sz w:val="24"/>
        </w:rPr>
        <w:t>Bédié</w:t>
      </w:r>
      <w:r>
        <w:rPr>
          <w:i/>
          <w:color w:val="231F20"/>
          <w:spacing w:val="-5"/>
          <w:sz w:val="24"/>
        </w:rPr>
        <w:t> </w:t>
      </w:r>
      <w:r>
        <w:rPr>
          <w:i/>
          <w:color w:val="231F20"/>
          <w:sz w:val="24"/>
        </w:rPr>
        <w:t>a</w:t>
      </w:r>
      <w:r>
        <w:rPr>
          <w:i/>
          <w:color w:val="231F20"/>
          <w:spacing w:val="-4"/>
          <w:sz w:val="24"/>
        </w:rPr>
        <w:t> </w:t>
      </w:r>
      <w:r>
        <w:rPr>
          <w:i/>
          <w:color w:val="231F20"/>
          <w:sz w:val="24"/>
        </w:rPr>
        <w:t>veillé</w:t>
      </w:r>
      <w:r>
        <w:rPr>
          <w:i/>
          <w:color w:val="231F20"/>
          <w:spacing w:val="-8"/>
          <w:sz w:val="24"/>
        </w:rPr>
        <w:t> </w:t>
      </w:r>
      <w:r>
        <w:rPr>
          <w:i/>
          <w:color w:val="231F20"/>
          <w:sz w:val="24"/>
        </w:rPr>
        <w:t>à</w:t>
      </w:r>
      <w:r>
        <w:rPr>
          <w:i/>
          <w:color w:val="231F20"/>
          <w:spacing w:val="-4"/>
          <w:sz w:val="24"/>
        </w:rPr>
        <w:t> </w:t>
      </w:r>
      <w:r>
        <w:rPr>
          <w:i/>
          <w:color w:val="231F20"/>
          <w:sz w:val="24"/>
        </w:rPr>
        <w:t>ce</w:t>
      </w:r>
      <w:r>
        <w:rPr>
          <w:i/>
          <w:color w:val="231F20"/>
          <w:spacing w:val="-5"/>
          <w:sz w:val="24"/>
        </w:rPr>
        <w:t> </w:t>
      </w:r>
      <w:r>
        <w:rPr>
          <w:i/>
          <w:color w:val="231F20"/>
          <w:sz w:val="24"/>
        </w:rPr>
        <w:t>qu’il</w:t>
      </w:r>
      <w:r>
        <w:rPr>
          <w:i/>
          <w:color w:val="231F20"/>
          <w:spacing w:val="-7"/>
          <w:sz w:val="24"/>
        </w:rPr>
        <w:t> </w:t>
      </w:r>
      <w:r>
        <w:rPr>
          <w:i/>
          <w:color w:val="231F20"/>
          <w:sz w:val="24"/>
        </w:rPr>
        <w:t>ne</w:t>
      </w:r>
      <w:r>
        <w:rPr>
          <w:i/>
          <w:color w:val="231F20"/>
          <w:spacing w:val="-4"/>
          <w:sz w:val="24"/>
        </w:rPr>
        <w:t> </w:t>
      </w:r>
      <w:r>
        <w:rPr>
          <w:i/>
          <w:color w:val="231F20"/>
          <w:sz w:val="24"/>
        </w:rPr>
        <w:t>soit</w:t>
      </w:r>
      <w:r>
        <w:rPr>
          <w:i/>
          <w:color w:val="231F20"/>
          <w:spacing w:val="-6"/>
          <w:sz w:val="24"/>
        </w:rPr>
        <w:t> </w:t>
      </w:r>
      <w:r>
        <w:rPr>
          <w:i/>
          <w:color w:val="231F20"/>
          <w:sz w:val="24"/>
        </w:rPr>
        <w:t>pas</w:t>
      </w:r>
      <w:r>
        <w:rPr>
          <w:i/>
          <w:color w:val="231F20"/>
          <w:spacing w:val="-9"/>
          <w:sz w:val="24"/>
        </w:rPr>
        <w:t> </w:t>
      </w:r>
      <w:r>
        <w:rPr>
          <w:i/>
          <w:color w:val="231F20"/>
          <w:sz w:val="24"/>
        </w:rPr>
        <w:t>obstrué</w:t>
      </w:r>
      <w:r>
        <w:rPr>
          <w:i/>
          <w:color w:val="231F20"/>
          <w:spacing w:val="-4"/>
          <w:sz w:val="24"/>
        </w:rPr>
        <w:t> </w:t>
      </w:r>
      <w:r>
        <w:rPr>
          <w:i/>
          <w:color w:val="231F20"/>
          <w:sz w:val="24"/>
        </w:rPr>
        <w:t>(…)</w:t>
      </w:r>
      <w:r>
        <w:rPr>
          <w:i/>
          <w:color w:val="231F20"/>
          <w:spacing w:val="-7"/>
          <w:sz w:val="24"/>
        </w:rPr>
        <w:t> </w:t>
      </w:r>
      <w:r>
        <w:rPr>
          <w:i/>
          <w:color w:val="231F20"/>
          <w:sz w:val="24"/>
        </w:rPr>
        <w:t>»</w:t>
      </w:r>
    </w:p>
    <w:p>
      <w:pPr>
        <w:pStyle w:val="BodyText"/>
        <w:spacing w:before="120"/>
        <w:ind w:right="105" w:firstLine="283"/>
      </w:pPr>
      <w:r>
        <w:rPr>
          <w:color w:val="231F20"/>
          <w:spacing w:val="-2"/>
        </w:rPr>
        <w:t>Le</w:t>
      </w:r>
      <w:r>
        <w:rPr>
          <w:color w:val="231F20"/>
          <w:spacing w:val="-10"/>
        </w:rPr>
        <w:t> </w:t>
      </w:r>
      <w:r>
        <w:rPr>
          <w:color w:val="231F20"/>
          <w:spacing w:val="-2"/>
        </w:rPr>
        <w:t>samedi</w:t>
      </w:r>
      <w:r>
        <w:rPr>
          <w:color w:val="231F20"/>
          <w:spacing w:val="-11"/>
        </w:rPr>
        <w:t> </w:t>
      </w:r>
      <w:r>
        <w:rPr>
          <w:color w:val="231F20"/>
          <w:spacing w:val="-2"/>
        </w:rPr>
        <w:t>matin,</w:t>
      </w:r>
      <w:r>
        <w:rPr>
          <w:color w:val="231F20"/>
          <w:spacing w:val="-12"/>
        </w:rPr>
        <w:t> </w:t>
      </w:r>
      <w:r>
        <w:rPr>
          <w:color w:val="231F20"/>
          <w:spacing w:val="-2"/>
        </w:rPr>
        <w:t>25</w:t>
      </w:r>
      <w:r>
        <w:rPr>
          <w:color w:val="231F20"/>
          <w:spacing w:val="-10"/>
        </w:rPr>
        <w:t> </w:t>
      </w:r>
      <w:r>
        <w:rPr>
          <w:color w:val="231F20"/>
          <w:spacing w:val="-2"/>
        </w:rPr>
        <w:t>décembre,</w:t>
      </w:r>
      <w:r>
        <w:rPr>
          <w:color w:val="231F20"/>
          <w:spacing w:val="-10"/>
        </w:rPr>
        <w:t> </w:t>
      </w:r>
      <w:r>
        <w:rPr>
          <w:color w:val="231F20"/>
          <w:spacing w:val="-2"/>
        </w:rPr>
        <w:t>jour</w:t>
      </w:r>
      <w:r>
        <w:rPr>
          <w:color w:val="231F20"/>
          <w:spacing w:val="-11"/>
        </w:rPr>
        <w:t> </w:t>
      </w:r>
      <w:r>
        <w:rPr>
          <w:color w:val="231F20"/>
          <w:spacing w:val="-2"/>
        </w:rPr>
        <w:t>de</w:t>
      </w:r>
      <w:r>
        <w:rPr>
          <w:color w:val="231F20"/>
          <w:spacing w:val="-10"/>
        </w:rPr>
        <w:t> </w:t>
      </w:r>
      <w:r>
        <w:rPr>
          <w:color w:val="231F20"/>
          <w:spacing w:val="-2"/>
        </w:rPr>
        <w:t>Noel,</w:t>
      </w:r>
      <w:r>
        <w:rPr>
          <w:color w:val="231F20"/>
          <w:spacing w:val="-12"/>
        </w:rPr>
        <w:t> </w:t>
      </w:r>
      <w:r>
        <w:rPr>
          <w:color w:val="231F20"/>
          <w:spacing w:val="-2"/>
        </w:rPr>
        <w:t>le</w:t>
      </w:r>
      <w:r>
        <w:rPr>
          <w:color w:val="231F20"/>
          <w:spacing w:val="-10"/>
        </w:rPr>
        <w:t> </w:t>
      </w:r>
      <w:r>
        <w:rPr>
          <w:color w:val="231F20"/>
          <w:spacing w:val="-2"/>
        </w:rPr>
        <w:t>général</w:t>
      </w:r>
      <w:r>
        <w:rPr>
          <w:color w:val="231F20"/>
          <w:spacing w:val="-10"/>
        </w:rPr>
        <w:t> </w:t>
      </w:r>
      <w:r>
        <w:rPr>
          <w:color w:val="231F20"/>
          <w:spacing w:val="-2"/>
        </w:rPr>
        <w:t>Gueï</w:t>
      </w:r>
      <w:r>
        <w:rPr>
          <w:color w:val="231F20"/>
          <w:spacing w:val="-10"/>
        </w:rPr>
        <w:t> </w:t>
      </w:r>
      <w:r>
        <w:rPr>
          <w:color w:val="231F20"/>
          <w:spacing w:val="-2"/>
        </w:rPr>
        <w:t>annonce </w:t>
      </w:r>
      <w:r>
        <w:rPr>
          <w:color w:val="231F20"/>
        </w:rPr>
        <w:t>la</w:t>
      </w:r>
      <w:r>
        <w:rPr>
          <w:color w:val="231F20"/>
          <w:spacing w:val="-15"/>
        </w:rPr>
        <w:t> </w:t>
      </w:r>
      <w:r>
        <w:rPr>
          <w:color w:val="231F20"/>
        </w:rPr>
        <w:t>formation</w:t>
      </w:r>
      <w:r>
        <w:rPr>
          <w:color w:val="231F20"/>
          <w:spacing w:val="-15"/>
        </w:rPr>
        <w:t> </w:t>
      </w:r>
      <w:r>
        <w:rPr>
          <w:color w:val="231F20"/>
        </w:rPr>
        <w:t>d’un</w:t>
      </w:r>
      <w:r>
        <w:rPr>
          <w:color w:val="231F20"/>
          <w:spacing w:val="-15"/>
        </w:rPr>
        <w:t> </w:t>
      </w:r>
      <w:r>
        <w:rPr>
          <w:color w:val="231F20"/>
        </w:rPr>
        <w:t>Comité</w:t>
      </w:r>
      <w:r>
        <w:rPr>
          <w:color w:val="231F20"/>
          <w:spacing w:val="-15"/>
        </w:rPr>
        <w:t> </w:t>
      </w:r>
      <w:r>
        <w:rPr>
          <w:color w:val="231F20"/>
        </w:rPr>
        <w:t>National</w:t>
      </w:r>
      <w:r>
        <w:rPr>
          <w:color w:val="231F20"/>
          <w:spacing w:val="-15"/>
        </w:rPr>
        <w:t> </w:t>
      </w:r>
      <w:r>
        <w:rPr>
          <w:color w:val="231F20"/>
        </w:rPr>
        <w:t>de</w:t>
      </w:r>
      <w:r>
        <w:rPr>
          <w:color w:val="231F20"/>
          <w:spacing w:val="-15"/>
        </w:rPr>
        <w:t> </w:t>
      </w:r>
      <w:r>
        <w:rPr>
          <w:color w:val="231F20"/>
        </w:rPr>
        <w:t>Salut</w:t>
      </w:r>
      <w:r>
        <w:rPr>
          <w:color w:val="231F20"/>
          <w:spacing w:val="-15"/>
        </w:rPr>
        <w:t> </w:t>
      </w:r>
      <w:r>
        <w:rPr>
          <w:color w:val="231F20"/>
        </w:rPr>
        <w:t>Public</w:t>
      </w:r>
      <w:r>
        <w:rPr>
          <w:color w:val="231F20"/>
          <w:spacing w:val="-15"/>
        </w:rPr>
        <w:t> </w:t>
      </w:r>
      <w:r>
        <w:rPr>
          <w:color w:val="231F20"/>
        </w:rPr>
        <w:t>(CNSP),</w:t>
      </w:r>
      <w:r>
        <w:rPr>
          <w:color w:val="231F20"/>
          <w:spacing w:val="-15"/>
        </w:rPr>
        <w:t> </w:t>
      </w:r>
      <w:r>
        <w:rPr>
          <w:color w:val="231F20"/>
        </w:rPr>
        <w:t>composé</w:t>
      </w:r>
      <w:r>
        <w:rPr>
          <w:color w:val="231F20"/>
          <w:spacing w:val="-15"/>
        </w:rPr>
        <w:t> </w:t>
      </w:r>
      <w:r>
        <w:rPr>
          <w:color w:val="231F20"/>
        </w:rPr>
        <w:t>de dix</w:t>
      </w:r>
      <w:r>
        <w:rPr>
          <w:color w:val="231F20"/>
          <w:spacing w:val="-14"/>
        </w:rPr>
        <w:t> </w:t>
      </w:r>
      <w:r>
        <w:rPr>
          <w:color w:val="231F20"/>
        </w:rPr>
        <w:t>officiers</w:t>
      </w:r>
      <w:r>
        <w:rPr>
          <w:color w:val="231F20"/>
          <w:spacing w:val="-7"/>
        </w:rPr>
        <w:t> </w:t>
      </w:r>
      <w:r>
        <w:rPr>
          <w:color w:val="231F20"/>
        </w:rPr>
        <w:t>et</w:t>
      </w:r>
      <w:r>
        <w:rPr>
          <w:color w:val="231F20"/>
          <w:spacing w:val="-9"/>
        </w:rPr>
        <w:t> </w:t>
      </w:r>
      <w:r>
        <w:rPr>
          <w:color w:val="231F20"/>
        </w:rPr>
        <w:t>sous-officiers</w:t>
      </w:r>
      <w:r>
        <w:rPr>
          <w:color w:val="231F20"/>
          <w:spacing w:val="-7"/>
        </w:rPr>
        <w:t> </w:t>
      </w:r>
      <w:r>
        <w:rPr>
          <w:color w:val="231F20"/>
        </w:rPr>
        <w:t>dont</w:t>
      </w:r>
      <w:r>
        <w:rPr>
          <w:color w:val="231F20"/>
          <w:spacing w:val="-7"/>
        </w:rPr>
        <w:t> </w:t>
      </w:r>
      <w:r>
        <w:rPr>
          <w:color w:val="231F20"/>
        </w:rPr>
        <w:t>la</w:t>
      </w:r>
      <w:r>
        <w:rPr>
          <w:color w:val="231F20"/>
          <w:spacing w:val="-9"/>
        </w:rPr>
        <w:t> </w:t>
      </w:r>
      <w:r>
        <w:rPr>
          <w:color w:val="231F20"/>
        </w:rPr>
        <w:t>principale</w:t>
      </w:r>
      <w:r>
        <w:rPr>
          <w:color w:val="231F20"/>
          <w:spacing w:val="-9"/>
        </w:rPr>
        <w:t> </w:t>
      </w:r>
      <w:r>
        <w:rPr>
          <w:color w:val="231F20"/>
        </w:rPr>
        <w:t>tâche</w:t>
      </w:r>
      <w:r>
        <w:rPr>
          <w:color w:val="231F20"/>
          <w:spacing w:val="-7"/>
        </w:rPr>
        <w:t> </w:t>
      </w:r>
      <w:r>
        <w:rPr>
          <w:color w:val="231F20"/>
        </w:rPr>
        <w:t>sera</w:t>
      </w:r>
      <w:r>
        <w:rPr>
          <w:color w:val="231F20"/>
          <w:spacing w:val="-8"/>
        </w:rPr>
        <w:t> </w:t>
      </w:r>
      <w:r>
        <w:rPr>
          <w:color w:val="231F20"/>
        </w:rPr>
        <w:t>«</w:t>
      </w:r>
      <w:r>
        <w:rPr>
          <w:color w:val="231F20"/>
          <w:spacing w:val="-15"/>
        </w:rPr>
        <w:t> </w:t>
      </w:r>
      <w:r>
        <w:rPr>
          <w:color w:val="231F20"/>
        </w:rPr>
        <w:t>d’assurer</w:t>
      </w:r>
      <w:r>
        <w:rPr>
          <w:color w:val="231F20"/>
          <w:spacing w:val="-9"/>
        </w:rPr>
        <w:t> </w:t>
      </w:r>
      <w:r>
        <w:rPr>
          <w:color w:val="231F20"/>
        </w:rPr>
        <w:t>la sécurité</w:t>
      </w:r>
      <w:r>
        <w:rPr>
          <w:color w:val="231F20"/>
          <w:spacing w:val="-6"/>
        </w:rPr>
        <w:t> </w:t>
      </w:r>
      <w:r>
        <w:rPr>
          <w:color w:val="231F20"/>
        </w:rPr>
        <w:t>des</w:t>
      </w:r>
      <w:r>
        <w:rPr>
          <w:color w:val="231F20"/>
          <w:spacing w:val="-6"/>
        </w:rPr>
        <w:t> </w:t>
      </w:r>
      <w:r>
        <w:rPr>
          <w:color w:val="231F20"/>
        </w:rPr>
        <w:t>biens</w:t>
      </w:r>
      <w:r>
        <w:rPr>
          <w:color w:val="231F20"/>
          <w:spacing w:val="-6"/>
        </w:rPr>
        <w:t> </w:t>
      </w:r>
      <w:r>
        <w:rPr>
          <w:color w:val="231F20"/>
        </w:rPr>
        <w:t>et</w:t>
      </w:r>
      <w:r>
        <w:rPr>
          <w:color w:val="231F20"/>
          <w:spacing w:val="-8"/>
        </w:rPr>
        <w:t> </w:t>
      </w:r>
      <w:r>
        <w:rPr>
          <w:color w:val="231F20"/>
        </w:rPr>
        <w:t>des</w:t>
      </w:r>
      <w:r>
        <w:rPr>
          <w:color w:val="231F20"/>
          <w:spacing w:val="-8"/>
        </w:rPr>
        <w:t> </w:t>
      </w:r>
      <w:r>
        <w:rPr>
          <w:color w:val="231F20"/>
        </w:rPr>
        <w:t>personnes</w:t>
      </w:r>
      <w:r>
        <w:rPr>
          <w:color w:val="231F20"/>
          <w:spacing w:val="-7"/>
        </w:rPr>
        <w:t> </w:t>
      </w:r>
      <w:r>
        <w:rPr>
          <w:color w:val="231F20"/>
        </w:rPr>
        <w:t>et</w:t>
      </w:r>
      <w:r>
        <w:rPr>
          <w:color w:val="231F20"/>
          <w:spacing w:val="-6"/>
        </w:rPr>
        <w:t> </w:t>
      </w:r>
      <w:r>
        <w:rPr>
          <w:color w:val="231F20"/>
        </w:rPr>
        <w:t>de</w:t>
      </w:r>
      <w:r>
        <w:rPr>
          <w:color w:val="231F20"/>
          <w:spacing w:val="-6"/>
        </w:rPr>
        <w:t> </w:t>
      </w:r>
      <w:r>
        <w:rPr>
          <w:color w:val="231F20"/>
        </w:rPr>
        <w:t>restaurer</w:t>
      </w:r>
      <w:r>
        <w:rPr>
          <w:color w:val="231F20"/>
          <w:spacing w:val="-8"/>
        </w:rPr>
        <w:t> </w:t>
      </w:r>
      <w:r>
        <w:rPr>
          <w:color w:val="231F20"/>
        </w:rPr>
        <w:t>l’autorité</w:t>
      </w:r>
      <w:r>
        <w:rPr>
          <w:color w:val="231F20"/>
          <w:spacing w:val="-6"/>
        </w:rPr>
        <w:t> </w:t>
      </w:r>
      <w:r>
        <w:rPr>
          <w:color w:val="231F20"/>
        </w:rPr>
        <w:t>de</w:t>
      </w:r>
      <w:r>
        <w:rPr>
          <w:color w:val="231F20"/>
          <w:spacing w:val="-8"/>
        </w:rPr>
        <w:t> </w:t>
      </w:r>
      <w:r>
        <w:rPr>
          <w:color w:val="231F20"/>
        </w:rPr>
        <w:t>l’État</w:t>
      </w:r>
      <w:r>
        <w:rPr>
          <w:color w:val="231F20"/>
          <w:spacing w:val="-6"/>
        </w:rPr>
        <w:t> </w:t>
      </w:r>
      <w:r>
        <w:rPr>
          <w:color w:val="231F20"/>
        </w:rPr>
        <w:t>en vue de créer les conditions de l’organisation d’élections libres et transparentes » explique le putschiste.</w:t>
      </w:r>
    </w:p>
    <w:p>
      <w:pPr>
        <w:spacing w:before="121"/>
        <w:ind w:left="111" w:right="105" w:firstLine="0"/>
        <w:jc w:val="both"/>
        <w:rPr>
          <w:i/>
          <w:sz w:val="24"/>
        </w:rPr>
      </w:pPr>
      <w:r>
        <w:rPr>
          <w:i/>
          <w:color w:val="231F20"/>
          <w:sz w:val="24"/>
        </w:rPr>
        <w:t>«</w:t>
      </w:r>
      <w:r>
        <w:rPr>
          <w:i/>
          <w:color w:val="231F20"/>
          <w:spacing w:val="-14"/>
          <w:sz w:val="24"/>
        </w:rPr>
        <w:t> </w:t>
      </w:r>
      <w:r>
        <w:rPr>
          <w:i/>
          <w:color w:val="231F20"/>
          <w:sz w:val="24"/>
        </w:rPr>
        <w:t>En ville, l’ambassadeur de France, Francis Lott, négocie avec le</w:t>
      </w:r>
      <w:r>
        <w:rPr>
          <w:i/>
          <w:color w:val="231F20"/>
          <w:sz w:val="24"/>
        </w:rPr>
        <w:t> nouveau maître de la Côte d’Ivoire les modalités du départ en exil de Bédié. En dépit des protestations des éléments les plus radicaux du Comité National de Salut Public,</w:t>
      </w:r>
      <w:r>
        <w:rPr>
          <w:i/>
          <w:color w:val="231F20"/>
          <w:spacing w:val="-1"/>
          <w:sz w:val="24"/>
        </w:rPr>
        <w:t> </w:t>
      </w:r>
      <w:r>
        <w:rPr>
          <w:i/>
          <w:color w:val="231F20"/>
          <w:sz w:val="24"/>
        </w:rPr>
        <w:t>le général Robert Gueï en accepte le principe, mais s’oppose au départ du chef du gouvernement et des ministres de la Défense et de la Sécurité.</w:t>
      </w:r>
      <w:r>
        <w:rPr>
          <w:color w:val="76787A"/>
          <w:sz w:val="24"/>
          <w:vertAlign w:val="superscript"/>
        </w:rPr>
        <w:t>163</w:t>
      </w:r>
      <w:r>
        <w:rPr>
          <w:color w:val="76787A"/>
          <w:sz w:val="24"/>
          <w:vertAlign w:val="baseline"/>
        </w:rPr>
        <w:t> </w:t>
      </w:r>
      <w:r>
        <w:rPr>
          <w:i/>
          <w:color w:val="231F20"/>
          <w:sz w:val="24"/>
          <w:vertAlign w:val="baseline"/>
        </w:rPr>
        <w:t>»</w:t>
      </w:r>
    </w:p>
    <w:p>
      <w:pPr>
        <w:pStyle w:val="BodyText"/>
        <w:spacing w:before="120"/>
        <w:ind w:left="0"/>
        <w:jc w:val="left"/>
        <w:rPr>
          <w:i/>
        </w:rPr>
      </w:pPr>
    </w:p>
    <w:p>
      <w:pPr>
        <w:spacing w:before="0"/>
        <w:ind w:left="111" w:right="103" w:firstLine="283"/>
        <w:jc w:val="both"/>
        <w:rPr>
          <w:i/>
          <w:sz w:val="24"/>
        </w:rPr>
      </w:pPr>
      <w:r>
        <w:rPr>
          <w:color w:val="231F20"/>
          <w:spacing w:val="-4"/>
          <w:sz w:val="24"/>
        </w:rPr>
        <w:t>L’exil</w:t>
      </w:r>
      <w:r>
        <w:rPr>
          <w:color w:val="231F20"/>
          <w:spacing w:val="-11"/>
          <w:sz w:val="24"/>
        </w:rPr>
        <w:t> </w:t>
      </w:r>
      <w:r>
        <w:rPr>
          <w:color w:val="231F20"/>
          <w:spacing w:val="-4"/>
          <w:sz w:val="24"/>
        </w:rPr>
        <w:t>de</w:t>
      </w:r>
      <w:r>
        <w:rPr>
          <w:color w:val="231F20"/>
          <w:spacing w:val="-11"/>
          <w:sz w:val="24"/>
        </w:rPr>
        <w:t> </w:t>
      </w:r>
      <w:r>
        <w:rPr>
          <w:color w:val="231F20"/>
          <w:spacing w:val="-4"/>
          <w:sz w:val="24"/>
        </w:rPr>
        <w:t>l’homme</w:t>
      </w:r>
      <w:r>
        <w:rPr>
          <w:color w:val="231F20"/>
          <w:spacing w:val="-11"/>
          <w:sz w:val="24"/>
        </w:rPr>
        <w:t> </w:t>
      </w:r>
      <w:r>
        <w:rPr>
          <w:color w:val="231F20"/>
          <w:spacing w:val="-4"/>
          <w:sz w:val="24"/>
        </w:rPr>
        <w:t>qui</w:t>
      </w:r>
      <w:r>
        <w:rPr>
          <w:color w:val="231F20"/>
          <w:spacing w:val="-10"/>
          <w:sz w:val="24"/>
        </w:rPr>
        <w:t> </w:t>
      </w:r>
      <w:r>
        <w:rPr>
          <w:color w:val="231F20"/>
          <w:spacing w:val="-4"/>
          <w:sz w:val="24"/>
        </w:rPr>
        <w:t>a</w:t>
      </w:r>
      <w:r>
        <w:rPr>
          <w:color w:val="231F20"/>
          <w:spacing w:val="-11"/>
          <w:sz w:val="24"/>
        </w:rPr>
        <w:t> </w:t>
      </w:r>
      <w:r>
        <w:rPr>
          <w:color w:val="231F20"/>
          <w:spacing w:val="-4"/>
          <w:sz w:val="24"/>
        </w:rPr>
        <w:t>présidé</w:t>
      </w:r>
      <w:r>
        <w:rPr>
          <w:color w:val="231F20"/>
          <w:spacing w:val="-11"/>
          <w:sz w:val="24"/>
        </w:rPr>
        <w:t> </w:t>
      </w:r>
      <w:r>
        <w:rPr>
          <w:color w:val="231F20"/>
          <w:spacing w:val="-4"/>
          <w:sz w:val="24"/>
        </w:rPr>
        <w:t>la</w:t>
      </w:r>
      <w:r>
        <w:rPr>
          <w:color w:val="231F20"/>
          <w:spacing w:val="-11"/>
          <w:sz w:val="24"/>
        </w:rPr>
        <w:t> </w:t>
      </w:r>
      <w:r>
        <w:rPr>
          <w:color w:val="231F20"/>
          <w:spacing w:val="-4"/>
          <w:sz w:val="24"/>
        </w:rPr>
        <w:t>Côte</w:t>
      </w:r>
      <w:r>
        <w:rPr>
          <w:color w:val="231F20"/>
          <w:spacing w:val="-11"/>
          <w:sz w:val="24"/>
        </w:rPr>
        <w:t> </w:t>
      </w:r>
      <w:r>
        <w:rPr>
          <w:color w:val="231F20"/>
          <w:spacing w:val="-4"/>
          <w:sz w:val="24"/>
        </w:rPr>
        <w:t>d’ivoire</w:t>
      </w:r>
      <w:r>
        <w:rPr>
          <w:color w:val="231F20"/>
          <w:spacing w:val="-11"/>
          <w:sz w:val="24"/>
        </w:rPr>
        <w:t> </w:t>
      </w:r>
      <w:r>
        <w:rPr>
          <w:color w:val="231F20"/>
          <w:spacing w:val="-4"/>
          <w:sz w:val="24"/>
        </w:rPr>
        <w:t>durant</w:t>
      </w:r>
      <w:r>
        <w:rPr>
          <w:color w:val="231F20"/>
          <w:spacing w:val="-7"/>
          <w:sz w:val="24"/>
        </w:rPr>
        <w:t> </w:t>
      </w:r>
      <w:r>
        <w:rPr>
          <w:color w:val="231F20"/>
          <w:spacing w:val="-4"/>
          <w:sz w:val="24"/>
        </w:rPr>
        <w:t>sept</w:t>
      </w:r>
      <w:r>
        <w:rPr>
          <w:color w:val="231F20"/>
          <w:spacing w:val="-11"/>
          <w:sz w:val="24"/>
        </w:rPr>
        <w:t> </w:t>
      </w:r>
      <w:r>
        <w:rPr>
          <w:color w:val="231F20"/>
          <w:spacing w:val="-4"/>
          <w:sz w:val="24"/>
        </w:rPr>
        <w:t>ans,</w:t>
      </w:r>
      <w:r>
        <w:rPr>
          <w:color w:val="231F20"/>
          <w:spacing w:val="-11"/>
          <w:sz w:val="24"/>
        </w:rPr>
        <w:t> </w:t>
      </w:r>
      <w:r>
        <w:rPr>
          <w:color w:val="231F20"/>
          <w:spacing w:val="-4"/>
          <w:sz w:val="24"/>
        </w:rPr>
        <w:t>venait </w:t>
      </w:r>
      <w:r>
        <w:rPr>
          <w:color w:val="231F20"/>
          <w:sz w:val="24"/>
        </w:rPr>
        <w:t>de</w:t>
      </w:r>
      <w:r>
        <w:rPr>
          <w:color w:val="231F20"/>
          <w:spacing w:val="-15"/>
          <w:sz w:val="24"/>
        </w:rPr>
        <w:t> </w:t>
      </w:r>
      <w:r>
        <w:rPr>
          <w:color w:val="231F20"/>
          <w:sz w:val="24"/>
        </w:rPr>
        <w:t>commencer</w:t>
      </w:r>
      <w:r>
        <w:rPr>
          <w:color w:val="231F20"/>
          <w:spacing w:val="-14"/>
          <w:sz w:val="24"/>
        </w:rPr>
        <w:t> </w:t>
      </w:r>
      <w:r>
        <w:rPr>
          <w:color w:val="231F20"/>
          <w:sz w:val="24"/>
        </w:rPr>
        <w:t>:</w:t>
      </w:r>
      <w:r>
        <w:rPr>
          <w:color w:val="231F20"/>
          <w:spacing w:val="-11"/>
          <w:sz w:val="24"/>
        </w:rPr>
        <w:t> </w:t>
      </w:r>
      <w:r>
        <w:rPr>
          <w:i/>
          <w:color w:val="231F20"/>
          <w:sz w:val="24"/>
        </w:rPr>
        <w:t>«</w:t>
      </w:r>
      <w:r>
        <w:rPr>
          <w:i/>
          <w:color w:val="231F20"/>
          <w:spacing w:val="-15"/>
          <w:sz w:val="24"/>
        </w:rPr>
        <w:t> </w:t>
      </w:r>
      <w:r>
        <w:rPr>
          <w:i/>
          <w:color w:val="231F20"/>
          <w:sz w:val="24"/>
        </w:rPr>
        <w:t>(…)</w:t>
      </w:r>
      <w:r>
        <w:rPr>
          <w:i/>
          <w:color w:val="231F20"/>
          <w:spacing w:val="-13"/>
          <w:sz w:val="24"/>
        </w:rPr>
        <w:t> </w:t>
      </w:r>
      <w:r>
        <w:rPr>
          <w:i/>
          <w:color w:val="231F20"/>
          <w:sz w:val="24"/>
        </w:rPr>
        <w:t>Peu</w:t>
      </w:r>
      <w:r>
        <w:rPr>
          <w:i/>
          <w:color w:val="231F20"/>
          <w:spacing w:val="-12"/>
          <w:sz w:val="24"/>
        </w:rPr>
        <w:t> </w:t>
      </w:r>
      <w:r>
        <w:rPr>
          <w:i/>
          <w:color w:val="231F20"/>
          <w:sz w:val="24"/>
        </w:rPr>
        <w:t>après</w:t>
      </w:r>
      <w:r>
        <w:rPr>
          <w:i/>
          <w:color w:val="231F20"/>
          <w:spacing w:val="-13"/>
          <w:sz w:val="24"/>
        </w:rPr>
        <w:t> </w:t>
      </w:r>
      <w:r>
        <w:rPr>
          <w:i/>
          <w:color w:val="231F20"/>
          <w:sz w:val="24"/>
        </w:rPr>
        <w:t>16</w:t>
      </w:r>
      <w:r>
        <w:rPr>
          <w:i/>
          <w:color w:val="231F20"/>
          <w:spacing w:val="-15"/>
          <w:sz w:val="24"/>
        </w:rPr>
        <w:t> </w:t>
      </w:r>
      <w:r>
        <w:rPr>
          <w:i/>
          <w:color w:val="231F20"/>
          <w:sz w:val="24"/>
        </w:rPr>
        <w:t>heures,</w:t>
      </w:r>
      <w:r>
        <w:rPr>
          <w:i/>
          <w:color w:val="231F20"/>
          <w:spacing w:val="-13"/>
          <w:sz w:val="24"/>
        </w:rPr>
        <w:t> </w:t>
      </w:r>
      <w:r>
        <w:rPr>
          <w:i/>
          <w:color w:val="231F20"/>
          <w:sz w:val="24"/>
        </w:rPr>
        <w:t>deux</w:t>
      </w:r>
      <w:r>
        <w:rPr>
          <w:i/>
          <w:color w:val="231F20"/>
          <w:spacing w:val="-13"/>
          <w:sz w:val="24"/>
        </w:rPr>
        <w:t> </w:t>
      </w:r>
      <w:r>
        <w:rPr>
          <w:i/>
          <w:color w:val="231F20"/>
          <w:sz w:val="24"/>
        </w:rPr>
        <w:t>Zodiacs</w:t>
      </w:r>
      <w:r>
        <w:rPr>
          <w:i/>
          <w:color w:val="231F20"/>
          <w:spacing w:val="-13"/>
          <w:sz w:val="24"/>
        </w:rPr>
        <w:t> </w:t>
      </w:r>
      <w:r>
        <w:rPr>
          <w:i/>
          <w:color w:val="231F20"/>
          <w:sz w:val="24"/>
        </w:rPr>
        <w:t>et</w:t>
      </w:r>
      <w:r>
        <w:rPr>
          <w:i/>
          <w:color w:val="231F20"/>
          <w:spacing w:val="-12"/>
          <w:sz w:val="24"/>
        </w:rPr>
        <w:t> </w:t>
      </w:r>
      <w:r>
        <w:rPr>
          <w:i/>
          <w:color w:val="231F20"/>
          <w:sz w:val="24"/>
        </w:rPr>
        <w:t>une</w:t>
      </w:r>
      <w:r>
        <w:rPr>
          <w:i/>
          <w:color w:val="231F20"/>
          <w:spacing w:val="-13"/>
          <w:sz w:val="24"/>
        </w:rPr>
        <w:t> </w:t>
      </w:r>
      <w:r>
        <w:rPr>
          <w:i/>
          <w:color w:val="231F20"/>
          <w:sz w:val="24"/>
        </w:rPr>
        <w:t>vedette</w:t>
      </w:r>
      <w:r>
        <w:rPr>
          <w:i/>
          <w:color w:val="231F20"/>
          <w:sz w:val="24"/>
        </w:rPr>
        <w:t> accostent sur</w:t>
      </w:r>
      <w:r>
        <w:rPr>
          <w:i/>
          <w:color w:val="231F20"/>
          <w:spacing w:val="3"/>
          <w:sz w:val="24"/>
        </w:rPr>
        <w:t> </w:t>
      </w:r>
      <w:r>
        <w:rPr>
          <w:i/>
          <w:color w:val="231F20"/>
          <w:sz w:val="24"/>
        </w:rPr>
        <w:t>le</w:t>
      </w:r>
      <w:r>
        <w:rPr>
          <w:i/>
          <w:color w:val="231F20"/>
          <w:spacing w:val="2"/>
          <w:sz w:val="24"/>
        </w:rPr>
        <w:t> </w:t>
      </w:r>
      <w:r>
        <w:rPr>
          <w:i/>
          <w:color w:val="231F20"/>
          <w:sz w:val="24"/>
        </w:rPr>
        <w:t>ponton</w:t>
      </w:r>
      <w:r>
        <w:rPr>
          <w:i/>
          <w:color w:val="231F20"/>
          <w:spacing w:val="5"/>
          <w:sz w:val="24"/>
        </w:rPr>
        <w:t> </w:t>
      </w:r>
      <w:r>
        <w:rPr>
          <w:i/>
          <w:color w:val="231F20"/>
          <w:sz w:val="24"/>
        </w:rPr>
        <w:t>de</w:t>
      </w:r>
      <w:r>
        <w:rPr>
          <w:i/>
          <w:color w:val="231F20"/>
          <w:spacing w:val="4"/>
          <w:sz w:val="24"/>
        </w:rPr>
        <w:t> </w:t>
      </w:r>
      <w:r>
        <w:rPr>
          <w:i/>
          <w:color w:val="231F20"/>
          <w:sz w:val="24"/>
        </w:rPr>
        <w:t>la</w:t>
      </w:r>
      <w:r>
        <w:rPr>
          <w:i/>
          <w:color w:val="231F20"/>
          <w:spacing w:val="3"/>
          <w:sz w:val="24"/>
        </w:rPr>
        <w:t> </w:t>
      </w:r>
      <w:r>
        <w:rPr>
          <w:i/>
          <w:color w:val="231F20"/>
          <w:sz w:val="24"/>
        </w:rPr>
        <w:t>résidence</w:t>
      </w:r>
      <w:r>
        <w:rPr>
          <w:i/>
          <w:color w:val="231F20"/>
          <w:spacing w:val="2"/>
          <w:sz w:val="24"/>
        </w:rPr>
        <w:t> </w:t>
      </w:r>
      <w:r>
        <w:rPr>
          <w:i/>
          <w:color w:val="231F20"/>
          <w:sz w:val="24"/>
        </w:rPr>
        <w:t>de</w:t>
      </w:r>
      <w:r>
        <w:rPr>
          <w:i/>
          <w:color w:val="231F20"/>
          <w:spacing w:val="3"/>
          <w:sz w:val="24"/>
        </w:rPr>
        <w:t> </w:t>
      </w:r>
      <w:r>
        <w:rPr>
          <w:i/>
          <w:color w:val="231F20"/>
          <w:sz w:val="24"/>
        </w:rPr>
        <w:t>France,</w:t>
      </w:r>
      <w:r>
        <w:rPr>
          <w:i/>
          <w:color w:val="231F20"/>
          <w:spacing w:val="3"/>
          <w:sz w:val="24"/>
        </w:rPr>
        <w:t> </w:t>
      </w:r>
      <w:r>
        <w:rPr>
          <w:i/>
          <w:color w:val="231F20"/>
          <w:sz w:val="24"/>
        </w:rPr>
        <w:t>sur</w:t>
      </w:r>
      <w:r>
        <w:rPr>
          <w:i/>
          <w:color w:val="231F20"/>
          <w:spacing w:val="3"/>
          <w:sz w:val="24"/>
        </w:rPr>
        <w:t> </w:t>
      </w:r>
      <w:r>
        <w:rPr>
          <w:i/>
          <w:color w:val="231F20"/>
          <w:sz w:val="24"/>
        </w:rPr>
        <w:t>la</w:t>
      </w:r>
      <w:r>
        <w:rPr>
          <w:i/>
          <w:color w:val="231F20"/>
          <w:spacing w:val="2"/>
          <w:sz w:val="24"/>
        </w:rPr>
        <w:t> </w:t>
      </w:r>
      <w:r>
        <w:rPr>
          <w:i/>
          <w:color w:val="231F20"/>
          <w:sz w:val="24"/>
        </w:rPr>
        <w:t>lagune</w:t>
      </w:r>
      <w:r>
        <w:rPr>
          <w:i/>
          <w:color w:val="231F20"/>
          <w:spacing w:val="3"/>
          <w:sz w:val="24"/>
        </w:rPr>
        <w:t> </w:t>
      </w:r>
      <w:r>
        <w:rPr>
          <w:i/>
          <w:color w:val="231F20"/>
          <w:spacing w:val="-2"/>
          <w:sz w:val="24"/>
        </w:rPr>
        <w:t>Ébrié</w:t>
      </w:r>
    </w:p>
    <w:p>
      <w:pPr>
        <w:pStyle w:val="BodyText"/>
        <w:spacing w:before="42"/>
        <w:ind w:left="0"/>
        <w:jc w:val="left"/>
        <w:rPr>
          <w:i/>
          <w:sz w:val="20"/>
        </w:rPr>
      </w:pPr>
      <w:r>
        <w:rPr/>
        <mc:AlternateContent>
          <mc:Choice Requires="wps">
            <w:drawing>
              <wp:anchor distT="0" distB="0" distL="0" distR="0" allowOverlap="1" layoutInCell="1" locked="0" behindDoc="1" simplePos="0" relativeHeight="487640064">
                <wp:simplePos x="0" y="0"/>
                <wp:positionH relativeFrom="page">
                  <wp:posOffset>629907</wp:posOffset>
                </wp:positionH>
                <wp:positionV relativeFrom="paragraph">
                  <wp:posOffset>188432</wp:posOffset>
                </wp:positionV>
                <wp:extent cx="1829435" cy="9525"/>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837188pt;width:144.020pt;height:.72pt;mso-position-horizontal-relative:page;mso-position-vertical-relative:paragraph;z-index:-15676416;mso-wrap-distance-left:0;mso-wrap-distance-right:0" id="docshape129"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163</w:t>
      </w:r>
      <w:r>
        <w:rPr>
          <w:color w:val="76787A"/>
          <w:spacing w:val="-16"/>
          <w:sz w:val="20"/>
          <w:vertAlign w:val="baseline"/>
        </w:rPr>
        <w:t> </w:t>
      </w:r>
      <w:r>
        <w:rPr>
          <w:color w:val="231F20"/>
          <w:spacing w:val="-4"/>
          <w:sz w:val="20"/>
          <w:vertAlign w:val="baseline"/>
        </w:rPr>
        <w:t>Jeune</w:t>
      </w:r>
      <w:r>
        <w:rPr>
          <w:color w:val="231F20"/>
          <w:spacing w:val="-1"/>
          <w:sz w:val="20"/>
          <w:vertAlign w:val="baseline"/>
        </w:rPr>
        <w:t> </w:t>
      </w:r>
      <w:r>
        <w:rPr>
          <w:color w:val="231F20"/>
          <w:spacing w:val="-4"/>
          <w:sz w:val="20"/>
          <w:vertAlign w:val="baseline"/>
        </w:rPr>
        <w:t>Afrique</w:t>
      </w:r>
      <w:r>
        <w:rPr>
          <w:color w:val="231F20"/>
          <w:spacing w:val="-1"/>
          <w:sz w:val="20"/>
          <w:vertAlign w:val="baseline"/>
        </w:rPr>
        <w:t> </w:t>
      </w:r>
      <w:r>
        <w:rPr>
          <w:color w:val="231F20"/>
          <w:spacing w:val="-4"/>
          <w:sz w:val="20"/>
          <w:vertAlign w:val="baseline"/>
        </w:rPr>
        <w:t>,</w:t>
      </w:r>
      <w:r>
        <w:rPr>
          <w:color w:val="231F20"/>
          <w:spacing w:val="-2"/>
          <w:sz w:val="20"/>
          <w:vertAlign w:val="baseline"/>
        </w:rPr>
        <w:t> </w:t>
      </w:r>
      <w:r>
        <w:rPr>
          <w:color w:val="231F20"/>
          <w:spacing w:val="-4"/>
          <w:sz w:val="20"/>
          <w:vertAlign w:val="baseline"/>
        </w:rPr>
        <w:t>hors-série</w:t>
      </w:r>
      <w:r>
        <w:rPr>
          <w:color w:val="231F20"/>
          <w:spacing w:val="-2"/>
          <w:sz w:val="20"/>
          <w:vertAlign w:val="baseline"/>
        </w:rPr>
        <w:t> </w:t>
      </w:r>
      <w:r>
        <w:rPr>
          <w:color w:val="231F20"/>
          <w:spacing w:val="-4"/>
          <w:sz w:val="20"/>
          <w:vertAlign w:val="baseline"/>
        </w:rPr>
        <w:t>n°2,</w:t>
      </w:r>
      <w:r>
        <w:rPr>
          <w:color w:val="231F20"/>
          <w:spacing w:val="-3"/>
          <w:sz w:val="20"/>
          <w:vertAlign w:val="baseline"/>
        </w:rPr>
        <w:t> </w:t>
      </w:r>
      <w:r>
        <w:rPr>
          <w:color w:val="231F20"/>
          <w:spacing w:val="-4"/>
          <w:sz w:val="20"/>
          <w:vertAlign w:val="baseline"/>
        </w:rPr>
        <w:t>Janvier</w:t>
      </w:r>
      <w:r>
        <w:rPr>
          <w:color w:val="231F20"/>
          <w:spacing w:val="-1"/>
          <w:sz w:val="20"/>
          <w:vertAlign w:val="baseline"/>
        </w:rPr>
        <w:t> </w:t>
      </w:r>
      <w:r>
        <w:rPr>
          <w:color w:val="231F20"/>
          <w:spacing w:val="-4"/>
          <w:sz w:val="20"/>
          <w:vertAlign w:val="baseline"/>
        </w:rPr>
        <w:t>2000,</w:t>
      </w:r>
      <w:r>
        <w:rPr>
          <w:color w:val="231F20"/>
          <w:spacing w:val="-2"/>
          <w:sz w:val="20"/>
          <w:vertAlign w:val="baseline"/>
        </w:rPr>
        <w:t> </w:t>
      </w:r>
      <w:r>
        <w:rPr>
          <w:color w:val="231F20"/>
          <w:spacing w:val="-4"/>
          <w:sz w:val="20"/>
          <w:vertAlign w:val="baseline"/>
        </w:rPr>
        <w:t>extrait.</w:t>
      </w:r>
    </w:p>
    <w:p>
      <w:pPr>
        <w:spacing w:after="0"/>
        <w:jc w:val="left"/>
        <w:rPr>
          <w:sz w:val="20"/>
        </w:rPr>
        <w:sectPr>
          <w:pgSz w:w="8790" w:h="13610"/>
          <w:pgMar w:header="0" w:footer="802" w:top="1060" w:bottom="1000" w:left="880" w:right="880"/>
        </w:sectPr>
      </w:pPr>
    </w:p>
    <w:p>
      <w:pPr>
        <w:spacing w:before="66"/>
        <w:ind w:left="111" w:right="102" w:firstLine="0"/>
        <w:jc w:val="both"/>
        <w:rPr>
          <w:sz w:val="24"/>
        </w:rPr>
      </w:pPr>
      <w:r>
        <w:rPr>
          <w:i/>
          <w:color w:val="231F20"/>
          <w:sz w:val="24"/>
        </w:rPr>
        <w:t>(..).</w:t>
      </w:r>
      <w:r>
        <w:rPr>
          <w:i/>
          <w:color w:val="231F20"/>
          <w:spacing w:val="-1"/>
          <w:sz w:val="24"/>
        </w:rPr>
        <w:t> </w:t>
      </w:r>
      <w:r>
        <w:rPr>
          <w:i/>
          <w:color w:val="231F20"/>
          <w:sz w:val="24"/>
        </w:rPr>
        <w:t>Bédié</w:t>
      </w:r>
      <w:r>
        <w:rPr>
          <w:i/>
          <w:color w:val="231F20"/>
          <w:spacing w:val="-5"/>
          <w:sz w:val="24"/>
        </w:rPr>
        <w:t> </w:t>
      </w:r>
      <w:r>
        <w:rPr>
          <w:i/>
          <w:color w:val="231F20"/>
          <w:sz w:val="24"/>
        </w:rPr>
        <w:t>et</w:t>
      </w:r>
      <w:r>
        <w:rPr>
          <w:i/>
          <w:color w:val="231F20"/>
          <w:spacing w:val="-4"/>
          <w:sz w:val="24"/>
        </w:rPr>
        <w:t> </w:t>
      </w:r>
      <w:r>
        <w:rPr>
          <w:i/>
          <w:color w:val="231F20"/>
          <w:sz w:val="24"/>
        </w:rPr>
        <w:t>sa</w:t>
      </w:r>
      <w:r>
        <w:rPr>
          <w:i/>
          <w:color w:val="231F20"/>
          <w:spacing w:val="-4"/>
          <w:sz w:val="24"/>
        </w:rPr>
        <w:t> </w:t>
      </w:r>
      <w:r>
        <w:rPr>
          <w:i/>
          <w:color w:val="231F20"/>
          <w:sz w:val="24"/>
        </w:rPr>
        <w:t>suite</w:t>
      </w:r>
      <w:r>
        <w:rPr>
          <w:i/>
          <w:color w:val="231F20"/>
          <w:spacing w:val="-5"/>
          <w:sz w:val="24"/>
        </w:rPr>
        <w:t> </w:t>
      </w:r>
      <w:r>
        <w:rPr>
          <w:i/>
          <w:color w:val="231F20"/>
          <w:sz w:val="24"/>
        </w:rPr>
        <w:t>embarquent</w:t>
      </w:r>
      <w:r>
        <w:rPr>
          <w:i/>
          <w:color w:val="231F20"/>
          <w:spacing w:val="-1"/>
          <w:sz w:val="24"/>
        </w:rPr>
        <w:t> </w:t>
      </w:r>
      <w:r>
        <w:rPr>
          <w:i/>
          <w:color w:val="231F20"/>
          <w:sz w:val="24"/>
        </w:rPr>
        <w:t>et</w:t>
      </w:r>
      <w:r>
        <w:rPr>
          <w:i/>
          <w:color w:val="231F20"/>
          <w:spacing w:val="-2"/>
          <w:sz w:val="24"/>
        </w:rPr>
        <w:t> </w:t>
      </w:r>
      <w:r>
        <w:rPr>
          <w:i/>
          <w:color w:val="231F20"/>
          <w:sz w:val="24"/>
        </w:rPr>
        <w:t>enfilent</w:t>
      </w:r>
      <w:r>
        <w:rPr>
          <w:i/>
          <w:color w:val="231F20"/>
          <w:spacing w:val="-3"/>
          <w:sz w:val="24"/>
        </w:rPr>
        <w:t> </w:t>
      </w:r>
      <w:r>
        <w:rPr>
          <w:i/>
          <w:color w:val="231F20"/>
          <w:sz w:val="24"/>
        </w:rPr>
        <w:t>les</w:t>
      </w:r>
      <w:r>
        <w:rPr>
          <w:i/>
          <w:color w:val="231F20"/>
          <w:spacing w:val="-1"/>
          <w:sz w:val="24"/>
        </w:rPr>
        <w:t> </w:t>
      </w:r>
      <w:r>
        <w:rPr>
          <w:i/>
          <w:color w:val="231F20"/>
          <w:sz w:val="24"/>
        </w:rPr>
        <w:t>gilets</w:t>
      </w:r>
      <w:r>
        <w:rPr>
          <w:i/>
          <w:color w:val="231F20"/>
          <w:spacing w:val="-4"/>
          <w:sz w:val="24"/>
        </w:rPr>
        <w:t> </w:t>
      </w:r>
      <w:r>
        <w:rPr>
          <w:i/>
          <w:color w:val="231F20"/>
          <w:sz w:val="24"/>
        </w:rPr>
        <w:t>de</w:t>
      </w:r>
      <w:r>
        <w:rPr>
          <w:i/>
          <w:color w:val="231F20"/>
          <w:spacing w:val="-2"/>
          <w:sz w:val="24"/>
        </w:rPr>
        <w:t> </w:t>
      </w:r>
      <w:r>
        <w:rPr>
          <w:i/>
          <w:color w:val="231F20"/>
          <w:sz w:val="24"/>
        </w:rPr>
        <w:t>sauvetage</w:t>
      </w:r>
      <w:r>
        <w:rPr>
          <w:i/>
          <w:color w:val="231F20"/>
          <w:spacing w:val="-2"/>
          <w:sz w:val="24"/>
        </w:rPr>
        <w:t> </w:t>
      </w:r>
      <w:r>
        <w:rPr>
          <w:i/>
          <w:color w:val="231F20"/>
          <w:sz w:val="24"/>
        </w:rPr>
        <w:t>que</w:t>
      </w:r>
      <w:r>
        <w:rPr>
          <w:i/>
          <w:color w:val="231F20"/>
          <w:sz w:val="24"/>
        </w:rPr>
        <w:t> leur tendent les militaires français. À 17</w:t>
      </w:r>
      <w:r>
        <w:rPr>
          <w:i/>
          <w:color w:val="231F20"/>
          <w:spacing w:val="-14"/>
          <w:sz w:val="24"/>
        </w:rPr>
        <w:t> </w:t>
      </w:r>
      <w:r>
        <w:rPr>
          <w:i/>
          <w:color w:val="231F20"/>
          <w:sz w:val="24"/>
        </w:rPr>
        <w:t>heures, les embarcations prennent le large, virent à bâbord, se faufilent entre l’île Désirée et la </w:t>
      </w:r>
      <w:r>
        <w:rPr>
          <w:i/>
          <w:color w:val="231F20"/>
          <w:spacing w:val="-4"/>
          <w:sz w:val="24"/>
        </w:rPr>
        <w:t>pointe du</w:t>
      </w:r>
      <w:r>
        <w:rPr>
          <w:i/>
          <w:color w:val="231F20"/>
          <w:spacing w:val="-5"/>
          <w:sz w:val="24"/>
        </w:rPr>
        <w:t> </w:t>
      </w:r>
      <w:r>
        <w:rPr>
          <w:i/>
          <w:color w:val="231F20"/>
          <w:spacing w:val="-4"/>
          <w:sz w:val="24"/>
        </w:rPr>
        <w:t>quartier de</w:t>
      </w:r>
      <w:r>
        <w:rPr>
          <w:i/>
          <w:color w:val="231F20"/>
          <w:spacing w:val="-5"/>
          <w:sz w:val="24"/>
        </w:rPr>
        <w:t> </w:t>
      </w:r>
      <w:r>
        <w:rPr>
          <w:i/>
          <w:color w:val="231F20"/>
          <w:spacing w:val="-4"/>
          <w:sz w:val="24"/>
        </w:rPr>
        <w:t>Koumassi, avant de</w:t>
      </w:r>
      <w:r>
        <w:rPr>
          <w:i/>
          <w:color w:val="231F20"/>
          <w:spacing w:val="-7"/>
          <w:sz w:val="24"/>
        </w:rPr>
        <w:t> </w:t>
      </w:r>
      <w:r>
        <w:rPr>
          <w:i/>
          <w:color w:val="231F20"/>
          <w:spacing w:val="-4"/>
          <w:sz w:val="24"/>
        </w:rPr>
        <w:t>s’immobiliser,</w:t>
      </w:r>
      <w:r>
        <w:rPr>
          <w:i/>
          <w:color w:val="231F20"/>
          <w:spacing w:val="-7"/>
          <w:sz w:val="24"/>
        </w:rPr>
        <w:t> </w:t>
      </w:r>
      <w:r>
        <w:rPr>
          <w:i/>
          <w:color w:val="231F20"/>
          <w:spacing w:val="-4"/>
          <w:sz w:val="24"/>
        </w:rPr>
        <w:t>une vingtaine</w:t>
      </w:r>
      <w:r>
        <w:rPr>
          <w:i/>
          <w:color w:val="231F20"/>
          <w:spacing w:val="-7"/>
          <w:sz w:val="24"/>
        </w:rPr>
        <w:t> </w:t>
      </w:r>
      <w:r>
        <w:rPr>
          <w:i/>
          <w:color w:val="231F20"/>
          <w:spacing w:val="-4"/>
          <w:sz w:val="24"/>
        </w:rPr>
        <w:t>de </w:t>
      </w:r>
      <w:r>
        <w:rPr>
          <w:i/>
          <w:color w:val="231F20"/>
          <w:sz w:val="24"/>
        </w:rPr>
        <w:t>minutes</w:t>
      </w:r>
      <w:r>
        <w:rPr>
          <w:i/>
          <w:color w:val="231F20"/>
          <w:spacing w:val="-1"/>
          <w:sz w:val="24"/>
        </w:rPr>
        <w:t> </w:t>
      </w:r>
      <w:r>
        <w:rPr>
          <w:i/>
          <w:color w:val="231F20"/>
          <w:sz w:val="24"/>
        </w:rPr>
        <w:t>plus</w:t>
      </w:r>
      <w:r>
        <w:rPr>
          <w:i/>
          <w:color w:val="231F20"/>
          <w:spacing w:val="-1"/>
          <w:sz w:val="24"/>
        </w:rPr>
        <w:t> </w:t>
      </w:r>
      <w:r>
        <w:rPr>
          <w:i/>
          <w:color w:val="231F20"/>
          <w:sz w:val="24"/>
        </w:rPr>
        <w:t>tard.</w:t>
      </w:r>
      <w:r>
        <w:rPr>
          <w:i/>
          <w:color w:val="231F20"/>
          <w:spacing w:val="-1"/>
          <w:sz w:val="24"/>
        </w:rPr>
        <w:t> </w:t>
      </w:r>
      <w:r>
        <w:rPr>
          <w:i/>
          <w:color w:val="231F20"/>
          <w:sz w:val="24"/>
        </w:rPr>
        <w:t>Tout</w:t>
      </w:r>
      <w:r>
        <w:rPr>
          <w:i/>
          <w:color w:val="231F20"/>
          <w:spacing w:val="-3"/>
          <w:sz w:val="24"/>
        </w:rPr>
        <w:t> </w:t>
      </w:r>
      <w:r>
        <w:rPr>
          <w:i/>
          <w:color w:val="231F20"/>
          <w:sz w:val="24"/>
        </w:rPr>
        <w:t>le</w:t>
      </w:r>
      <w:r>
        <w:rPr>
          <w:i/>
          <w:color w:val="231F20"/>
          <w:spacing w:val="-2"/>
          <w:sz w:val="24"/>
        </w:rPr>
        <w:t> </w:t>
      </w:r>
      <w:r>
        <w:rPr>
          <w:i/>
          <w:color w:val="231F20"/>
          <w:sz w:val="24"/>
        </w:rPr>
        <w:t>monde</w:t>
      </w:r>
      <w:r>
        <w:rPr>
          <w:i/>
          <w:color w:val="231F20"/>
          <w:spacing w:val="-1"/>
          <w:sz w:val="24"/>
        </w:rPr>
        <w:t> </w:t>
      </w:r>
      <w:r>
        <w:rPr>
          <w:i/>
          <w:color w:val="231F20"/>
          <w:sz w:val="24"/>
        </w:rPr>
        <w:t>prend</w:t>
      </w:r>
      <w:r>
        <w:rPr>
          <w:i/>
          <w:color w:val="231F20"/>
          <w:spacing w:val="-1"/>
          <w:sz w:val="24"/>
        </w:rPr>
        <w:t> </w:t>
      </w:r>
      <w:r>
        <w:rPr>
          <w:i/>
          <w:color w:val="231F20"/>
          <w:sz w:val="24"/>
        </w:rPr>
        <w:t>alors</w:t>
      </w:r>
      <w:r>
        <w:rPr>
          <w:i/>
          <w:color w:val="231F20"/>
          <w:spacing w:val="-1"/>
          <w:sz w:val="24"/>
        </w:rPr>
        <w:t> </w:t>
      </w:r>
      <w:r>
        <w:rPr>
          <w:i/>
          <w:color w:val="231F20"/>
          <w:sz w:val="24"/>
        </w:rPr>
        <w:t>place</w:t>
      </w:r>
      <w:r>
        <w:rPr>
          <w:i/>
          <w:color w:val="231F20"/>
          <w:spacing w:val="-1"/>
          <w:sz w:val="24"/>
        </w:rPr>
        <w:t> </w:t>
      </w:r>
      <w:r>
        <w:rPr>
          <w:i/>
          <w:color w:val="231F20"/>
          <w:sz w:val="24"/>
        </w:rPr>
        <w:t>dans</w:t>
      </w:r>
      <w:r>
        <w:rPr>
          <w:i/>
          <w:color w:val="231F20"/>
          <w:spacing w:val="-1"/>
          <w:sz w:val="24"/>
        </w:rPr>
        <w:t> </w:t>
      </w:r>
      <w:r>
        <w:rPr>
          <w:i/>
          <w:color w:val="231F20"/>
          <w:sz w:val="24"/>
        </w:rPr>
        <w:t>deux</w:t>
      </w:r>
      <w:r>
        <w:rPr>
          <w:i/>
          <w:color w:val="231F20"/>
          <w:spacing w:val="-1"/>
          <w:sz w:val="24"/>
        </w:rPr>
        <w:t> </w:t>
      </w:r>
      <w:r>
        <w:rPr>
          <w:i/>
          <w:color w:val="231F20"/>
          <w:sz w:val="24"/>
        </w:rPr>
        <w:t>hélicop- tères. Direction</w:t>
      </w:r>
      <w:r>
        <w:rPr>
          <w:i/>
          <w:color w:val="231F20"/>
          <w:spacing w:val="-12"/>
          <w:sz w:val="24"/>
        </w:rPr>
        <w:t> </w:t>
      </w:r>
      <w:r>
        <w:rPr>
          <w:i/>
          <w:color w:val="231F20"/>
          <w:sz w:val="24"/>
        </w:rPr>
        <w:t>: la base du 43e</w:t>
      </w:r>
      <w:r>
        <w:rPr>
          <w:i/>
          <w:color w:val="231F20"/>
          <w:spacing w:val="-12"/>
          <w:sz w:val="24"/>
        </w:rPr>
        <w:t> </w:t>
      </w:r>
      <w:r>
        <w:rPr>
          <w:i/>
          <w:color w:val="231F20"/>
          <w:sz w:val="24"/>
        </w:rPr>
        <w:t>Bima, à quelques encablures de là (…)</w:t>
      </w:r>
      <w:r>
        <w:rPr>
          <w:color w:val="76787A"/>
          <w:sz w:val="24"/>
          <w:vertAlign w:val="superscript"/>
        </w:rPr>
        <w:t>164</w:t>
      </w:r>
      <w:r>
        <w:rPr>
          <w:color w:val="76787A"/>
          <w:spacing w:val="-21"/>
          <w:sz w:val="24"/>
          <w:vertAlign w:val="baseline"/>
        </w:rPr>
        <w:t> </w:t>
      </w:r>
      <w:r>
        <w:rPr>
          <w:color w:val="231F20"/>
          <w:sz w:val="24"/>
          <w:vertAlign w:val="baseline"/>
        </w:rPr>
        <w:t>»</w:t>
      </w:r>
    </w:p>
    <w:p>
      <w:pPr>
        <w:pStyle w:val="BodyText"/>
        <w:spacing w:before="120"/>
        <w:ind w:right="103" w:firstLine="283"/>
      </w:pPr>
      <w:r>
        <w:rPr>
          <w:color w:val="231F20"/>
          <w:spacing w:val="-4"/>
        </w:rPr>
        <w:t>Les</w:t>
      </w:r>
      <w:r>
        <w:rPr>
          <w:color w:val="231F20"/>
          <w:spacing w:val="-10"/>
        </w:rPr>
        <w:t> </w:t>
      </w:r>
      <w:r>
        <w:rPr>
          <w:color w:val="231F20"/>
          <w:spacing w:val="-4"/>
        </w:rPr>
        <w:t>réactions</w:t>
      </w:r>
      <w:r>
        <w:rPr>
          <w:color w:val="231F20"/>
          <w:spacing w:val="-10"/>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part</w:t>
      </w:r>
      <w:r>
        <w:rPr>
          <w:color w:val="231F20"/>
          <w:spacing w:val="-11"/>
        </w:rPr>
        <w:t> </w:t>
      </w:r>
      <w:r>
        <w:rPr>
          <w:color w:val="231F20"/>
          <w:spacing w:val="-4"/>
        </w:rPr>
        <w:t>des</w:t>
      </w:r>
      <w:r>
        <w:rPr>
          <w:color w:val="231F20"/>
          <w:spacing w:val="-9"/>
        </w:rPr>
        <w:t> </w:t>
      </w:r>
      <w:r>
        <w:rPr>
          <w:color w:val="231F20"/>
          <w:spacing w:val="-4"/>
        </w:rPr>
        <w:t>gouvernements</w:t>
      </w:r>
      <w:r>
        <w:rPr>
          <w:color w:val="231F20"/>
          <w:spacing w:val="-10"/>
        </w:rPr>
        <w:t> </w:t>
      </w:r>
      <w:r>
        <w:rPr>
          <w:color w:val="231F20"/>
          <w:spacing w:val="-4"/>
        </w:rPr>
        <w:t>occidentaux</w:t>
      </w:r>
      <w:r>
        <w:rPr>
          <w:color w:val="231F20"/>
          <w:spacing w:val="-9"/>
        </w:rPr>
        <w:t> </w:t>
      </w:r>
      <w:r>
        <w:rPr>
          <w:color w:val="231F20"/>
          <w:spacing w:val="-4"/>
        </w:rPr>
        <w:t>sont</w:t>
      </w:r>
      <w:r>
        <w:rPr>
          <w:color w:val="231F20"/>
          <w:spacing w:val="-11"/>
        </w:rPr>
        <w:t> </w:t>
      </w:r>
      <w:r>
        <w:rPr>
          <w:color w:val="231F20"/>
          <w:spacing w:val="-4"/>
        </w:rPr>
        <w:t>réservées. Le</w:t>
      </w:r>
      <w:r>
        <w:rPr>
          <w:color w:val="231F20"/>
          <w:spacing w:val="-9"/>
        </w:rPr>
        <w:t> </w:t>
      </w:r>
      <w:r>
        <w:rPr>
          <w:color w:val="231F20"/>
          <w:spacing w:val="-4"/>
        </w:rPr>
        <w:t>porte-parole</w:t>
      </w:r>
      <w:r>
        <w:rPr>
          <w:color w:val="231F20"/>
          <w:spacing w:val="-7"/>
        </w:rPr>
        <w:t> </w:t>
      </w:r>
      <w:r>
        <w:rPr>
          <w:color w:val="231F20"/>
          <w:spacing w:val="-4"/>
        </w:rPr>
        <w:t>d’État</w:t>
      </w:r>
      <w:r>
        <w:rPr>
          <w:color w:val="231F20"/>
          <w:spacing w:val="-5"/>
        </w:rPr>
        <w:t> </w:t>
      </w:r>
      <w:r>
        <w:rPr>
          <w:color w:val="231F20"/>
          <w:spacing w:val="-4"/>
        </w:rPr>
        <w:t>américain</w:t>
      </w:r>
      <w:r>
        <w:rPr>
          <w:color w:val="231F20"/>
          <w:spacing w:val="-8"/>
        </w:rPr>
        <w:t> </w:t>
      </w:r>
      <w:r>
        <w:rPr>
          <w:color w:val="231F20"/>
          <w:spacing w:val="-4"/>
        </w:rPr>
        <w:t>Philip</w:t>
      </w:r>
      <w:r>
        <w:rPr>
          <w:color w:val="231F20"/>
          <w:spacing w:val="-9"/>
        </w:rPr>
        <w:t> </w:t>
      </w:r>
      <w:r>
        <w:rPr>
          <w:color w:val="231F20"/>
          <w:spacing w:val="-4"/>
        </w:rPr>
        <w:t>Reeker</w:t>
      </w:r>
      <w:r>
        <w:rPr>
          <w:color w:val="231F20"/>
          <w:spacing w:val="-7"/>
        </w:rPr>
        <w:t> </w:t>
      </w:r>
      <w:r>
        <w:rPr>
          <w:color w:val="231F20"/>
          <w:spacing w:val="-4"/>
        </w:rPr>
        <w:t>demande</w:t>
      </w:r>
      <w:r>
        <w:rPr>
          <w:color w:val="231F20"/>
          <w:spacing w:val="-7"/>
        </w:rPr>
        <w:t> </w:t>
      </w:r>
      <w:r>
        <w:rPr>
          <w:color w:val="231F20"/>
          <w:spacing w:val="-4"/>
        </w:rPr>
        <w:t>aux</w:t>
      </w:r>
      <w:r>
        <w:rPr>
          <w:color w:val="231F20"/>
          <w:spacing w:val="-8"/>
        </w:rPr>
        <w:t> </w:t>
      </w:r>
      <w:r>
        <w:rPr>
          <w:color w:val="231F20"/>
          <w:spacing w:val="-4"/>
        </w:rPr>
        <w:t>militaires</w:t>
      </w:r>
      <w:r>
        <w:rPr>
          <w:color w:val="231F20"/>
          <w:spacing w:val="-7"/>
        </w:rPr>
        <w:t> </w:t>
      </w:r>
      <w:r>
        <w:rPr>
          <w:color w:val="231F20"/>
          <w:spacing w:val="-5"/>
        </w:rPr>
        <w:t>de</w:t>
      </w:r>
    </w:p>
    <w:p>
      <w:pPr>
        <w:pStyle w:val="BodyText"/>
        <w:spacing w:before="1"/>
        <w:ind w:right="104"/>
      </w:pPr>
      <w:r>
        <w:rPr>
          <w:color w:val="231F20"/>
        </w:rPr>
        <w:t>«</w:t>
      </w:r>
      <w:r>
        <w:rPr>
          <w:color w:val="231F20"/>
          <w:spacing w:val="-15"/>
        </w:rPr>
        <w:t> </w:t>
      </w:r>
      <w:r>
        <w:rPr>
          <w:color w:val="231F20"/>
        </w:rPr>
        <w:t>commencer</w:t>
      </w:r>
      <w:r>
        <w:rPr>
          <w:color w:val="231F20"/>
          <w:spacing w:val="-14"/>
        </w:rPr>
        <w:t> </w:t>
      </w:r>
      <w:r>
        <w:rPr>
          <w:color w:val="231F20"/>
        </w:rPr>
        <w:t>immédiatement</w:t>
      </w:r>
      <w:r>
        <w:rPr>
          <w:color w:val="231F20"/>
          <w:spacing w:val="-9"/>
        </w:rPr>
        <w:t> </w:t>
      </w:r>
      <w:r>
        <w:rPr>
          <w:color w:val="231F20"/>
        </w:rPr>
        <w:t>les</w:t>
      </w:r>
      <w:r>
        <w:rPr>
          <w:color w:val="231F20"/>
          <w:spacing w:val="-8"/>
        </w:rPr>
        <w:t> </w:t>
      </w:r>
      <w:r>
        <w:rPr>
          <w:color w:val="231F20"/>
        </w:rPr>
        <w:t>préparations</w:t>
      </w:r>
      <w:r>
        <w:rPr>
          <w:color w:val="231F20"/>
          <w:spacing w:val="-9"/>
        </w:rPr>
        <w:t> </w:t>
      </w:r>
      <w:r>
        <w:rPr>
          <w:color w:val="231F20"/>
        </w:rPr>
        <w:t>pour</w:t>
      </w:r>
      <w:r>
        <w:rPr>
          <w:color w:val="231F20"/>
          <w:spacing w:val="-8"/>
        </w:rPr>
        <w:t> </w:t>
      </w:r>
      <w:r>
        <w:rPr>
          <w:color w:val="231F20"/>
        </w:rPr>
        <w:t>la</w:t>
      </w:r>
      <w:r>
        <w:rPr>
          <w:color w:val="231F20"/>
          <w:spacing w:val="-8"/>
        </w:rPr>
        <w:t> </w:t>
      </w:r>
      <w:r>
        <w:rPr>
          <w:color w:val="231F20"/>
        </w:rPr>
        <w:t>restauration</w:t>
      </w:r>
      <w:r>
        <w:rPr>
          <w:color w:val="231F20"/>
          <w:spacing w:val="-9"/>
        </w:rPr>
        <w:t> </w:t>
      </w:r>
      <w:r>
        <w:rPr>
          <w:color w:val="231F20"/>
        </w:rPr>
        <w:t>d’un gouvernement démocratique</w:t>
      </w:r>
      <w:r>
        <w:rPr>
          <w:color w:val="231F20"/>
          <w:spacing w:val="-15"/>
        </w:rPr>
        <w:t> </w:t>
      </w:r>
      <w:r>
        <w:rPr>
          <w:color w:val="231F20"/>
        </w:rPr>
        <w:t>». Des appels semblables au retour à la démocratie viennent de Grande-Bretagne et de France. Paris souhaite envoyer des renforts militaires à Abidjan et dans la région.</w:t>
      </w:r>
      <w:r>
        <w:rPr>
          <w:color w:val="231F20"/>
          <w:spacing w:val="-15"/>
        </w:rPr>
        <w:t> </w:t>
      </w:r>
      <w:r>
        <w:rPr>
          <w:color w:val="231F20"/>
        </w:rPr>
        <w:t>Le général </w:t>
      </w:r>
      <w:r>
        <w:rPr>
          <w:color w:val="231F20"/>
          <w:spacing w:val="-2"/>
        </w:rPr>
        <w:t>Gueï</w:t>
      </w:r>
      <w:r>
        <w:rPr>
          <w:color w:val="231F20"/>
          <w:spacing w:val="-9"/>
        </w:rPr>
        <w:t> </w:t>
      </w:r>
      <w:r>
        <w:rPr>
          <w:color w:val="231F20"/>
          <w:spacing w:val="-2"/>
        </w:rPr>
        <w:t>refuse</w:t>
      </w:r>
      <w:r>
        <w:rPr>
          <w:color w:val="231F20"/>
          <w:spacing w:val="-9"/>
        </w:rPr>
        <w:t> </w:t>
      </w:r>
      <w:r>
        <w:rPr>
          <w:color w:val="231F20"/>
          <w:spacing w:val="-2"/>
        </w:rPr>
        <w:t>et</w:t>
      </w:r>
      <w:r>
        <w:rPr>
          <w:color w:val="231F20"/>
          <w:spacing w:val="-9"/>
        </w:rPr>
        <w:t> </w:t>
      </w:r>
      <w:r>
        <w:rPr>
          <w:color w:val="231F20"/>
          <w:spacing w:val="-2"/>
        </w:rPr>
        <w:t>exprime</w:t>
      </w:r>
      <w:r>
        <w:rPr>
          <w:color w:val="231F20"/>
          <w:spacing w:val="-9"/>
        </w:rPr>
        <w:t> </w:t>
      </w:r>
      <w:r>
        <w:rPr>
          <w:color w:val="231F20"/>
          <w:spacing w:val="-2"/>
        </w:rPr>
        <w:t>plutôt</w:t>
      </w:r>
      <w:r>
        <w:rPr>
          <w:color w:val="231F20"/>
          <w:spacing w:val="-12"/>
        </w:rPr>
        <w:t> </w:t>
      </w:r>
      <w:r>
        <w:rPr>
          <w:color w:val="231F20"/>
          <w:spacing w:val="-2"/>
        </w:rPr>
        <w:t>son</w:t>
      </w:r>
      <w:r>
        <w:rPr>
          <w:color w:val="231F20"/>
          <w:spacing w:val="-9"/>
        </w:rPr>
        <w:t> </w:t>
      </w:r>
      <w:r>
        <w:rPr>
          <w:color w:val="231F20"/>
          <w:spacing w:val="-2"/>
        </w:rPr>
        <w:t>désir</w:t>
      </w:r>
      <w:r>
        <w:rPr>
          <w:color w:val="231F20"/>
          <w:spacing w:val="-9"/>
        </w:rPr>
        <w:t> </w:t>
      </w:r>
      <w:r>
        <w:rPr>
          <w:color w:val="231F20"/>
          <w:spacing w:val="-2"/>
        </w:rPr>
        <w:t>de</w:t>
      </w:r>
      <w:r>
        <w:rPr>
          <w:color w:val="231F20"/>
          <w:spacing w:val="-9"/>
        </w:rPr>
        <w:t> </w:t>
      </w:r>
      <w:r>
        <w:rPr>
          <w:color w:val="231F20"/>
          <w:spacing w:val="-2"/>
        </w:rPr>
        <w:t>voir</w:t>
      </w:r>
      <w:r>
        <w:rPr>
          <w:color w:val="231F20"/>
          <w:spacing w:val="-11"/>
        </w:rPr>
        <w:t> </w:t>
      </w:r>
      <w:r>
        <w:rPr>
          <w:color w:val="231F20"/>
          <w:spacing w:val="-2"/>
        </w:rPr>
        <w:t>le</w:t>
      </w:r>
      <w:r>
        <w:rPr>
          <w:color w:val="231F20"/>
          <w:spacing w:val="-9"/>
        </w:rPr>
        <w:t> </w:t>
      </w:r>
      <w:r>
        <w:rPr>
          <w:color w:val="231F20"/>
          <w:spacing w:val="-2"/>
        </w:rPr>
        <w:t>président</w:t>
      </w:r>
      <w:r>
        <w:rPr>
          <w:color w:val="231F20"/>
          <w:spacing w:val="-11"/>
        </w:rPr>
        <w:t> </w:t>
      </w:r>
      <w:r>
        <w:rPr>
          <w:color w:val="231F20"/>
          <w:spacing w:val="-2"/>
        </w:rPr>
        <w:t>déchu</w:t>
      </w:r>
      <w:r>
        <w:rPr>
          <w:color w:val="231F20"/>
          <w:spacing w:val="-9"/>
        </w:rPr>
        <w:t> </w:t>
      </w:r>
      <w:r>
        <w:rPr>
          <w:color w:val="231F20"/>
          <w:spacing w:val="-2"/>
        </w:rPr>
        <w:t>réfugié </w:t>
      </w:r>
      <w:r>
        <w:rPr>
          <w:color w:val="231F20"/>
        </w:rPr>
        <w:t>au</w:t>
      </w:r>
      <w:r>
        <w:rPr>
          <w:color w:val="231F20"/>
          <w:spacing w:val="-6"/>
        </w:rPr>
        <w:t> </w:t>
      </w:r>
      <w:r>
        <w:rPr>
          <w:color w:val="231F20"/>
        </w:rPr>
        <w:t>43ème</w:t>
      </w:r>
      <w:r>
        <w:rPr>
          <w:color w:val="231F20"/>
          <w:spacing w:val="-8"/>
        </w:rPr>
        <w:t> </w:t>
      </w:r>
      <w:r>
        <w:rPr>
          <w:color w:val="231F20"/>
        </w:rPr>
        <w:t>BIMA,</w:t>
      </w:r>
      <w:r>
        <w:rPr>
          <w:color w:val="231F20"/>
          <w:spacing w:val="-8"/>
        </w:rPr>
        <w:t> </w:t>
      </w:r>
      <w:r>
        <w:rPr>
          <w:color w:val="231F20"/>
        </w:rPr>
        <w:t>la</w:t>
      </w:r>
      <w:r>
        <w:rPr>
          <w:color w:val="231F20"/>
          <w:spacing w:val="-7"/>
        </w:rPr>
        <w:t> </w:t>
      </w:r>
      <w:r>
        <w:rPr>
          <w:color w:val="231F20"/>
        </w:rPr>
        <w:t>base</w:t>
      </w:r>
      <w:r>
        <w:rPr>
          <w:color w:val="231F20"/>
          <w:spacing w:val="-8"/>
        </w:rPr>
        <w:t> </w:t>
      </w:r>
      <w:r>
        <w:rPr>
          <w:color w:val="231F20"/>
        </w:rPr>
        <w:t>militaire</w:t>
      </w:r>
      <w:r>
        <w:rPr>
          <w:color w:val="231F20"/>
          <w:spacing w:val="-7"/>
        </w:rPr>
        <w:t> </w:t>
      </w:r>
      <w:r>
        <w:rPr>
          <w:color w:val="231F20"/>
        </w:rPr>
        <w:t>française</w:t>
      </w:r>
      <w:r>
        <w:rPr>
          <w:color w:val="231F20"/>
          <w:spacing w:val="-8"/>
        </w:rPr>
        <w:t> </w:t>
      </w:r>
      <w:r>
        <w:rPr>
          <w:color w:val="231F20"/>
        </w:rPr>
        <w:t>qui</w:t>
      </w:r>
      <w:r>
        <w:rPr>
          <w:color w:val="231F20"/>
          <w:spacing w:val="-6"/>
        </w:rPr>
        <w:t> </w:t>
      </w:r>
      <w:r>
        <w:rPr>
          <w:color w:val="231F20"/>
        </w:rPr>
        <w:t>compte</w:t>
      </w:r>
      <w:r>
        <w:rPr>
          <w:color w:val="231F20"/>
          <w:spacing w:val="-8"/>
        </w:rPr>
        <w:t> </w:t>
      </w:r>
      <w:r>
        <w:rPr>
          <w:color w:val="231F20"/>
        </w:rPr>
        <w:t>550</w:t>
      </w:r>
      <w:r>
        <w:rPr>
          <w:color w:val="231F20"/>
          <w:spacing w:val="-8"/>
        </w:rPr>
        <w:t> </w:t>
      </w:r>
      <w:r>
        <w:rPr>
          <w:color w:val="231F20"/>
        </w:rPr>
        <w:t>hommes</w:t>
      </w:r>
      <w:r>
        <w:rPr>
          <w:color w:val="231F20"/>
          <w:spacing w:val="-8"/>
        </w:rPr>
        <w:t> </w:t>
      </w:r>
      <w:r>
        <w:rPr>
          <w:color w:val="231F20"/>
        </w:rPr>
        <w:t>et jouxte</w:t>
      </w:r>
      <w:r>
        <w:rPr>
          <w:color w:val="231F20"/>
          <w:spacing w:val="-9"/>
        </w:rPr>
        <w:t> </w:t>
      </w:r>
      <w:r>
        <w:rPr>
          <w:color w:val="231F20"/>
        </w:rPr>
        <w:t>l’aéroport</w:t>
      </w:r>
      <w:r>
        <w:rPr>
          <w:color w:val="231F20"/>
          <w:spacing w:val="-9"/>
        </w:rPr>
        <w:t> </w:t>
      </w:r>
      <w:r>
        <w:rPr>
          <w:color w:val="231F20"/>
        </w:rPr>
        <w:t>d’Abidjan,</w:t>
      </w:r>
      <w:r>
        <w:rPr>
          <w:color w:val="231F20"/>
          <w:spacing w:val="-9"/>
        </w:rPr>
        <w:t> </w:t>
      </w:r>
      <w:r>
        <w:rPr>
          <w:color w:val="231F20"/>
        </w:rPr>
        <w:t>quitter</w:t>
      </w:r>
      <w:r>
        <w:rPr>
          <w:color w:val="231F20"/>
          <w:spacing w:val="-9"/>
        </w:rPr>
        <w:t> </w:t>
      </w:r>
      <w:r>
        <w:rPr>
          <w:color w:val="231F20"/>
        </w:rPr>
        <w:t>au</w:t>
      </w:r>
      <w:r>
        <w:rPr>
          <w:color w:val="231F20"/>
          <w:spacing w:val="-9"/>
        </w:rPr>
        <w:t> </w:t>
      </w:r>
      <w:r>
        <w:rPr>
          <w:color w:val="231F20"/>
        </w:rPr>
        <w:t>plus</w:t>
      </w:r>
      <w:r>
        <w:rPr>
          <w:color w:val="231F20"/>
          <w:spacing w:val="-12"/>
        </w:rPr>
        <w:t> </w:t>
      </w:r>
      <w:r>
        <w:rPr>
          <w:color w:val="231F20"/>
        </w:rPr>
        <w:t>vite</w:t>
      </w:r>
      <w:r>
        <w:rPr>
          <w:color w:val="231F20"/>
          <w:spacing w:val="-9"/>
        </w:rPr>
        <w:t> </w:t>
      </w:r>
      <w:r>
        <w:rPr>
          <w:color w:val="231F20"/>
        </w:rPr>
        <w:t>le</w:t>
      </w:r>
      <w:r>
        <w:rPr>
          <w:color w:val="231F20"/>
          <w:spacing w:val="-12"/>
        </w:rPr>
        <w:t> </w:t>
      </w:r>
      <w:r>
        <w:rPr>
          <w:color w:val="231F20"/>
        </w:rPr>
        <w:t>territoire</w:t>
      </w:r>
      <w:r>
        <w:rPr>
          <w:color w:val="231F20"/>
          <w:spacing w:val="-9"/>
        </w:rPr>
        <w:t> </w:t>
      </w:r>
      <w:r>
        <w:rPr>
          <w:color w:val="231F20"/>
        </w:rPr>
        <w:t>ivoirien.</w:t>
      </w:r>
    </w:p>
    <w:p>
      <w:pPr>
        <w:spacing w:before="120"/>
        <w:ind w:left="111" w:right="104" w:firstLine="283"/>
        <w:jc w:val="both"/>
        <w:rPr>
          <w:i/>
          <w:sz w:val="24"/>
        </w:rPr>
      </w:pPr>
      <w:r>
        <w:rPr>
          <w:color w:val="231F20"/>
          <w:sz w:val="24"/>
        </w:rPr>
        <w:t>«</w:t>
      </w:r>
      <w:r>
        <w:rPr>
          <w:color w:val="231F20"/>
          <w:spacing w:val="-15"/>
          <w:sz w:val="24"/>
        </w:rPr>
        <w:t> </w:t>
      </w:r>
      <w:r>
        <w:rPr>
          <w:i/>
          <w:color w:val="231F20"/>
          <w:sz w:val="24"/>
        </w:rPr>
        <w:t>Dimanche</w:t>
      </w:r>
      <w:r>
        <w:rPr>
          <w:i/>
          <w:color w:val="231F20"/>
          <w:spacing w:val="-15"/>
          <w:sz w:val="24"/>
        </w:rPr>
        <w:t> </w:t>
      </w:r>
      <w:r>
        <w:rPr>
          <w:i/>
          <w:color w:val="231F20"/>
          <w:sz w:val="24"/>
        </w:rPr>
        <w:t>26</w:t>
      </w:r>
      <w:r>
        <w:rPr>
          <w:i/>
          <w:color w:val="231F20"/>
          <w:spacing w:val="-15"/>
          <w:sz w:val="24"/>
        </w:rPr>
        <w:t> </w:t>
      </w:r>
      <w:r>
        <w:rPr>
          <w:i/>
          <w:color w:val="231F20"/>
          <w:sz w:val="24"/>
        </w:rPr>
        <w:t>décembre.</w:t>
      </w:r>
      <w:r>
        <w:rPr>
          <w:i/>
          <w:color w:val="231F20"/>
          <w:spacing w:val="-15"/>
          <w:sz w:val="24"/>
        </w:rPr>
        <w:t> </w:t>
      </w:r>
      <w:r>
        <w:rPr>
          <w:i/>
          <w:color w:val="231F20"/>
          <w:sz w:val="24"/>
        </w:rPr>
        <w:t>Deux</w:t>
      </w:r>
      <w:r>
        <w:rPr>
          <w:i/>
          <w:color w:val="231F20"/>
          <w:spacing w:val="-15"/>
          <w:sz w:val="24"/>
        </w:rPr>
        <w:t> </w:t>
      </w:r>
      <w:r>
        <w:rPr>
          <w:i/>
          <w:color w:val="231F20"/>
          <w:sz w:val="24"/>
        </w:rPr>
        <w:t>hélicoptères</w:t>
      </w:r>
      <w:r>
        <w:rPr>
          <w:i/>
          <w:color w:val="231F20"/>
          <w:spacing w:val="-15"/>
          <w:sz w:val="24"/>
        </w:rPr>
        <w:t> </w:t>
      </w:r>
      <w:r>
        <w:rPr>
          <w:i/>
          <w:color w:val="231F20"/>
          <w:sz w:val="24"/>
        </w:rPr>
        <w:t>de</w:t>
      </w:r>
      <w:r>
        <w:rPr>
          <w:i/>
          <w:color w:val="231F20"/>
          <w:spacing w:val="-15"/>
          <w:sz w:val="24"/>
        </w:rPr>
        <w:t> </w:t>
      </w:r>
      <w:r>
        <w:rPr>
          <w:i/>
          <w:color w:val="231F20"/>
          <w:sz w:val="24"/>
        </w:rPr>
        <w:t>transport</w:t>
      </w:r>
      <w:r>
        <w:rPr>
          <w:i/>
          <w:color w:val="231F20"/>
          <w:spacing w:val="-15"/>
          <w:sz w:val="24"/>
        </w:rPr>
        <w:t> </w:t>
      </w:r>
      <w:r>
        <w:rPr>
          <w:i/>
          <w:color w:val="231F20"/>
          <w:sz w:val="24"/>
        </w:rPr>
        <w:t>de</w:t>
      </w:r>
      <w:r>
        <w:rPr>
          <w:i/>
          <w:color w:val="231F20"/>
          <w:spacing w:val="-14"/>
          <w:sz w:val="24"/>
        </w:rPr>
        <w:t> </w:t>
      </w:r>
      <w:r>
        <w:rPr>
          <w:i/>
          <w:color w:val="231F20"/>
          <w:sz w:val="24"/>
        </w:rPr>
        <w:t>troupes</w:t>
      </w:r>
      <w:r>
        <w:rPr>
          <w:i/>
          <w:color w:val="231F20"/>
          <w:sz w:val="24"/>
        </w:rPr>
        <w:t> </w:t>
      </w:r>
      <w:r>
        <w:rPr>
          <w:i/>
          <w:color w:val="231F20"/>
          <w:spacing w:val="-2"/>
          <w:sz w:val="24"/>
        </w:rPr>
        <w:t>se</w:t>
      </w:r>
      <w:r>
        <w:rPr>
          <w:i/>
          <w:color w:val="231F20"/>
          <w:spacing w:val="-10"/>
          <w:sz w:val="24"/>
        </w:rPr>
        <w:t> </w:t>
      </w:r>
      <w:r>
        <w:rPr>
          <w:i/>
          <w:color w:val="231F20"/>
          <w:spacing w:val="-2"/>
          <w:sz w:val="24"/>
        </w:rPr>
        <w:t>posent</w:t>
      </w:r>
      <w:r>
        <w:rPr>
          <w:i/>
          <w:color w:val="231F20"/>
          <w:spacing w:val="-12"/>
          <w:sz w:val="24"/>
        </w:rPr>
        <w:t> </w:t>
      </w:r>
      <w:r>
        <w:rPr>
          <w:i/>
          <w:color w:val="231F20"/>
          <w:spacing w:val="-2"/>
          <w:sz w:val="24"/>
        </w:rPr>
        <w:t>sur</w:t>
      </w:r>
      <w:r>
        <w:rPr>
          <w:i/>
          <w:color w:val="231F20"/>
          <w:spacing w:val="-12"/>
          <w:sz w:val="24"/>
        </w:rPr>
        <w:t> </w:t>
      </w:r>
      <w:r>
        <w:rPr>
          <w:i/>
          <w:color w:val="231F20"/>
          <w:spacing w:val="-2"/>
          <w:sz w:val="24"/>
        </w:rPr>
        <w:t>la</w:t>
      </w:r>
      <w:r>
        <w:rPr>
          <w:i/>
          <w:color w:val="231F20"/>
          <w:spacing w:val="-10"/>
          <w:sz w:val="24"/>
        </w:rPr>
        <w:t> </w:t>
      </w:r>
      <w:r>
        <w:rPr>
          <w:i/>
          <w:color w:val="231F20"/>
          <w:spacing w:val="-2"/>
          <w:sz w:val="24"/>
        </w:rPr>
        <w:t>base</w:t>
      </w:r>
      <w:r>
        <w:rPr>
          <w:i/>
          <w:color w:val="231F20"/>
          <w:spacing w:val="-10"/>
          <w:sz w:val="24"/>
        </w:rPr>
        <w:t> </w:t>
      </w:r>
      <w:r>
        <w:rPr>
          <w:i/>
          <w:color w:val="231F20"/>
          <w:spacing w:val="-2"/>
          <w:sz w:val="24"/>
        </w:rPr>
        <w:t>(...)</w:t>
      </w:r>
      <w:r>
        <w:rPr>
          <w:i/>
          <w:color w:val="231F20"/>
          <w:spacing w:val="-12"/>
          <w:sz w:val="24"/>
        </w:rPr>
        <w:t> </w:t>
      </w:r>
      <w:r>
        <w:rPr>
          <w:i/>
          <w:color w:val="231F20"/>
          <w:spacing w:val="-2"/>
          <w:sz w:val="24"/>
        </w:rPr>
        <w:t>À</w:t>
      </w:r>
      <w:r>
        <w:rPr>
          <w:i/>
          <w:color w:val="231F20"/>
          <w:spacing w:val="-10"/>
          <w:sz w:val="24"/>
        </w:rPr>
        <w:t> </w:t>
      </w:r>
      <w:r>
        <w:rPr>
          <w:i/>
          <w:color w:val="231F20"/>
          <w:spacing w:val="-2"/>
          <w:sz w:val="24"/>
        </w:rPr>
        <w:t>13</w:t>
      </w:r>
      <w:r>
        <w:rPr>
          <w:i/>
          <w:color w:val="231F20"/>
          <w:spacing w:val="-7"/>
          <w:sz w:val="24"/>
        </w:rPr>
        <w:t> </w:t>
      </w:r>
      <w:r>
        <w:rPr>
          <w:i/>
          <w:color w:val="231F20"/>
          <w:spacing w:val="-2"/>
          <w:sz w:val="24"/>
        </w:rPr>
        <w:t>h</w:t>
      </w:r>
      <w:r>
        <w:rPr>
          <w:i/>
          <w:color w:val="231F20"/>
          <w:spacing w:val="-10"/>
          <w:sz w:val="24"/>
        </w:rPr>
        <w:t> </w:t>
      </w:r>
      <w:r>
        <w:rPr>
          <w:i/>
          <w:color w:val="231F20"/>
          <w:spacing w:val="-2"/>
          <w:sz w:val="24"/>
        </w:rPr>
        <w:t>10,</w:t>
      </w:r>
      <w:r>
        <w:rPr>
          <w:i/>
          <w:color w:val="231F20"/>
          <w:spacing w:val="-11"/>
          <w:sz w:val="24"/>
        </w:rPr>
        <w:t> </w:t>
      </w:r>
      <w:r>
        <w:rPr>
          <w:i/>
          <w:color w:val="231F20"/>
          <w:spacing w:val="-2"/>
          <w:sz w:val="24"/>
        </w:rPr>
        <w:t>le</w:t>
      </w:r>
      <w:r>
        <w:rPr>
          <w:i/>
          <w:color w:val="231F20"/>
          <w:spacing w:val="-10"/>
          <w:sz w:val="24"/>
        </w:rPr>
        <w:t> </w:t>
      </w:r>
      <w:r>
        <w:rPr>
          <w:i/>
          <w:color w:val="231F20"/>
          <w:spacing w:val="-2"/>
          <w:sz w:val="24"/>
        </w:rPr>
        <w:t>premier</w:t>
      </w:r>
      <w:r>
        <w:rPr>
          <w:i/>
          <w:color w:val="231F20"/>
          <w:spacing w:val="-10"/>
          <w:sz w:val="24"/>
        </w:rPr>
        <w:t> </w:t>
      </w:r>
      <w:r>
        <w:rPr>
          <w:i/>
          <w:color w:val="231F20"/>
          <w:spacing w:val="-2"/>
          <w:sz w:val="24"/>
        </w:rPr>
        <w:t>hélicoptère</w:t>
      </w:r>
      <w:r>
        <w:rPr>
          <w:i/>
          <w:color w:val="231F20"/>
          <w:spacing w:val="-10"/>
          <w:sz w:val="24"/>
        </w:rPr>
        <w:t> </w:t>
      </w:r>
      <w:r>
        <w:rPr>
          <w:i/>
          <w:color w:val="231F20"/>
          <w:spacing w:val="-2"/>
          <w:sz w:val="24"/>
        </w:rPr>
        <w:t>met</w:t>
      </w:r>
      <w:r>
        <w:rPr>
          <w:i/>
          <w:color w:val="231F20"/>
          <w:spacing w:val="-10"/>
          <w:sz w:val="24"/>
        </w:rPr>
        <w:t> </w:t>
      </w:r>
      <w:r>
        <w:rPr>
          <w:i/>
          <w:color w:val="231F20"/>
          <w:spacing w:val="-2"/>
          <w:sz w:val="24"/>
        </w:rPr>
        <w:t>le</w:t>
      </w:r>
      <w:r>
        <w:rPr>
          <w:i/>
          <w:color w:val="231F20"/>
          <w:spacing w:val="-10"/>
          <w:sz w:val="24"/>
        </w:rPr>
        <w:t> </w:t>
      </w:r>
      <w:r>
        <w:rPr>
          <w:i/>
          <w:color w:val="231F20"/>
          <w:spacing w:val="-2"/>
          <w:sz w:val="24"/>
        </w:rPr>
        <w:t>cap</w:t>
      </w:r>
      <w:r>
        <w:rPr>
          <w:i/>
          <w:color w:val="231F20"/>
          <w:spacing w:val="-10"/>
          <w:sz w:val="24"/>
        </w:rPr>
        <w:t> </w:t>
      </w:r>
      <w:r>
        <w:rPr>
          <w:i/>
          <w:color w:val="231F20"/>
          <w:spacing w:val="-2"/>
          <w:sz w:val="24"/>
        </w:rPr>
        <w:t>sur </w:t>
      </w:r>
      <w:r>
        <w:rPr>
          <w:i/>
          <w:color w:val="231F20"/>
          <w:sz w:val="24"/>
        </w:rPr>
        <w:t>l’Océan, aussitôt imité par le second, où ont pris place des militaires </w:t>
      </w:r>
      <w:r>
        <w:rPr>
          <w:i/>
          <w:color w:val="231F20"/>
          <w:spacing w:val="-4"/>
          <w:sz w:val="24"/>
        </w:rPr>
        <w:t>français.</w:t>
      </w:r>
      <w:r>
        <w:rPr>
          <w:i/>
          <w:color w:val="231F20"/>
          <w:spacing w:val="-11"/>
          <w:sz w:val="24"/>
        </w:rPr>
        <w:t> </w:t>
      </w:r>
      <w:r>
        <w:rPr>
          <w:i/>
          <w:color w:val="231F20"/>
          <w:spacing w:val="-4"/>
          <w:sz w:val="24"/>
        </w:rPr>
        <w:t>Direction</w:t>
      </w:r>
      <w:r>
        <w:rPr>
          <w:i/>
          <w:color w:val="231F20"/>
          <w:spacing w:val="-11"/>
          <w:sz w:val="24"/>
        </w:rPr>
        <w:t> </w:t>
      </w:r>
      <w:r>
        <w:rPr>
          <w:i/>
          <w:color w:val="231F20"/>
          <w:spacing w:val="-4"/>
          <w:sz w:val="24"/>
        </w:rPr>
        <w:t>:</w:t>
      </w:r>
      <w:r>
        <w:rPr>
          <w:i/>
          <w:color w:val="231F20"/>
          <w:spacing w:val="-11"/>
          <w:sz w:val="24"/>
        </w:rPr>
        <w:t> </w:t>
      </w:r>
      <w:r>
        <w:rPr>
          <w:i/>
          <w:color w:val="231F20"/>
          <w:spacing w:val="-4"/>
          <w:sz w:val="24"/>
        </w:rPr>
        <w:t>le</w:t>
      </w:r>
      <w:r>
        <w:rPr>
          <w:i/>
          <w:color w:val="231F20"/>
          <w:spacing w:val="-11"/>
          <w:sz w:val="24"/>
        </w:rPr>
        <w:t> </w:t>
      </w:r>
      <w:r>
        <w:rPr>
          <w:i/>
          <w:color w:val="231F20"/>
          <w:spacing w:val="-4"/>
          <w:sz w:val="24"/>
        </w:rPr>
        <w:t>Togo,</w:t>
      </w:r>
      <w:r>
        <w:rPr>
          <w:i/>
          <w:color w:val="231F20"/>
          <w:spacing w:val="-11"/>
          <w:sz w:val="24"/>
        </w:rPr>
        <w:t> </w:t>
      </w:r>
      <w:r>
        <w:rPr>
          <w:i/>
          <w:color w:val="231F20"/>
          <w:spacing w:val="-4"/>
          <w:sz w:val="24"/>
        </w:rPr>
        <w:t>qui</w:t>
      </w:r>
      <w:r>
        <w:rPr>
          <w:i/>
          <w:color w:val="231F20"/>
          <w:spacing w:val="-11"/>
          <w:sz w:val="24"/>
        </w:rPr>
        <w:t> </w:t>
      </w:r>
      <w:r>
        <w:rPr>
          <w:i/>
          <w:color w:val="231F20"/>
          <w:spacing w:val="-4"/>
          <w:sz w:val="24"/>
        </w:rPr>
        <w:t>a</w:t>
      </w:r>
      <w:r>
        <w:rPr>
          <w:i/>
          <w:color w:val="231F20"/>
          <w:spacing w:val="-11"/>
          <w:sz w:val="24"/>
        </w:rPr>
        <w:t> </w:t>
      </w:r>
      <w:r>
        <w:rPr>
          <w:i/>
          <w:color w:val="231F20"/>
          <w:spacing w:val="-4"/>
          <w:sz w:val="24"/>
        </w:rPr>
        <w:t>accepté</w:t>
      </w:r>
      <w:r>
        <w:rPr>
          <w:i/>
          <w:color w:val="231F20"/>
          <w:spacing w:val="-11"/>
          <w:sz w:val="24"/>
        </w:rPr>
        <w:t> </w:t>
      </w:r>
      <w:r>
        <w:rPr>
          <w:i/>
          <w:color w:val="231F20"/>
          <w:spacing w:val="-4"/>
          <w:sz w:val="24"/>
        </w:rPr>
        <w:t>de</w:t>
      </w:r>
      <w:r>
        <w:rPr>
          <w:i/>
          <w:color w:val="231F20"/>
          <w:spacing w:val="-11"/>
          <w:sz w:val="24"/>
        </w:rPr>
        <w:t> </w:t>
      </w:r>
      <w:r>
        <w:rPr>
          <w:i/>
          <w:color w:val="231F20"/>
          <w:spacing w:val="-4"/>
          <w:sz w:val="24"/>
        </w:rPr>
        <w:t>recevoir</w:t>
      </w:r>
      <w:r>
        <w:rPr>
          <w:i/>
          <w:color w:val="231F20"/>
          <w:spacing w:val="-11"/>
          <w:sz w:val="24"/>
        </w:rPr>
        <w:t> </w:t>
      </w:r>
      <w:r>
        <w:rPr>
          <w:i/>
          <w:color w:val="231F20"/>
          <w:spacing w:val="-4"/>
          <w:sz w:val="24"/>
        </w:rPr>
        <w:t>le</w:t>
      </w:r>
      <w:r>
        <w:rPr>
          <w:i/>
          <w:color w:val="231F20"/>
          <w:spacing w:val="-11"/>
          <w:sz w:val="24"/>
        </w:rPr>
        <w:t> </w:t>
      </w:r>
      <w:r>
        <w:rPr>
          <w:i/>
          <w:color w:val="231F20"/>
          <w:spacing w:val="-4"/>
          <w:sz w:val="24"/>
        </w:rPr>
        <w:t>président</w:t>
      </w:r>
      <w:r>
        <w:rPr>
          <w:i/>
          <w:color w:val="231F20"/>
          <w:spacing w:val="-11"/>
          <w:sz w:val="24"/>
        </w:rPr>
        <w:t> </w:t>
      </w:r>
      <w:r>
        <w:rPr>
          <w:i/>
          <w:color w:val="231F20"/>
          <w:spacing w:val="-4"/>
          <w:sz w:val="24"/>
        </w:rPr>
        <w:t>déchu. </w:t>
      </w:r>
      <w:r>
        <w:rPr>
          <w:i/>
          <w:color w:val="231F20"/>
          <w:sz w:val="24"/>
        </w:rPr>
        <w:t>La</w:t>
      </w:r>
      <w:r>
        <w:rPr>
          <w:i/>
          <w:color w:val="231F20"/>
          <w:spacing w:val="-6"/>
          <w:sz w:val="24"/>
        </w:rPr>
        <w:t> </w:t>
      </w:r>
      <w:r>
        <w:rPr>
          <w:i/>
          <w:color w:val="231F20"/>
          <w:sz w:val="24"/>
        </w:rPr>
        <w:t>Côte</w:t>
      </w:r>
      <w:r>
        <w:rPr>
          <w:i/>
          <w:color w:val="231F20"/>
          <w:spacing w:val="-6"/>
          <w:sz w:val="24"/>
        </w:rPr>
        <w:t> </w:t>
      </w:r>
      <w:r>
        <w:rPr>
          <w:i/>
          <w:color w:val="231F20"/>
          <w:sz w:val="24"/>
        </w:rPr>
        <w:t>d’Ivoire</w:t>
      </w:r>
      <w:r>
        <w:rPr>
          <w:i/>
          <w:color w:val="231F20"/>
          <w:spacing w:val="-2"/>
          <w:sz w:val="24"/>
        </w:rPr>
        <w:t> </w:t>
      </w:r>
      <w:r>
        <w:rPr>
          <w:i/>
          <w:color w:val="231F20"/>
          <w:sz w:val="24"/>
        </w:rPr>
        <w:t>vient</w:t>
      </w:r>
      <w:r>
        <w:rPr>
          <w:i/>
          <w:color w:val="231F20"/>
          <w:spacing w:val="-2"/>
          <w:sz w:val="24"/>
        </w:rPr>
        <w:t> </w:t>
      </w:r>
      <w:r>
        <w:rPr>
          <w:i/>
          <w:color w:val="231F20"/>
          <w:sz w:val="24"/>
        </w:rPr>
        <w:t>de</w:t>
      </w:r>
      <w:r>
        <w:rPr>
          <w:i/>
          <w:color w:val="231F20"/>
          <w:spacing w:val="-6"/>
          <w:sz w:val="24"/>
        </w:rPr>
        <w:t> </w:t>
      </w:r>
      <w:r>
        <w:rPr>
          <w:i/>
          <w:color w:val="231F20"/>
          <w:sz w:val="24"/>
        </w:rPr>
        <w:t>tourner</w:t>
      </w:r>
      <w:r>
        <w:rPr>
          <w:i/>
          <w:color w:val="231F20"/>
          <w:spacing w:val="-2"/>
          <w:sz w:val="24"/>
        </w:rPr>
        <w:t> </w:t>
      </w:r>
      <w:r>
        <w:rPr>
          <w:i/>
          <w:color w:val="231F20"/>
          <w:sz w:val="24"/>
        </w:rPr>
        <w:t>une</w:t>
      </w:r>
      <w:r>
        <w:rPr>
          <w:i/>
          <w:color w:val="231F20"/>
          <w:spacing w:val="-7"/>
          <w:sz w:val="24"/>
        </w:rPr>
        <w:t> </w:t>
      </w:r>
      <w:r>
        <w:rPr>
          <w:i/>
          <w:color w:val="231F20"/>
          <w:sz w:val="24"/>
        </w:rPr>
        <w:t>page</w:t>
      </w:r>
      <w:r>
        <w:rPr>
          <w:i/>
          <w:color w:val="231F20"/>
          <w:spacing w:val="-6"/>
          <w:sz w:val="24"/>
        </w:rPr>
        <w:t> </w:t>
      </w:r>
      <w:r>
        <w:rPr>
          <w:i/>
          <w:color w:val="231F20"/>
          <w:sz w:val="24"/>
        </w:rPr>
        <w:t>de</w:t>
      </w:r>
      <w:r>
        <w:rPr>
          <w:i/>
          <w:color w:val="231F20"/>
          <w:spacing w:val="-2"/>
          <w:sz w:val="24"/>
        </w:rPr>
        <w:t> </w:t>
      </w:r>
      <w:r>
        <w:rPr>
          <w:i/>
          <w:color w:val="231F20"/>
          <w:sz w:val="24"/>
        </w:rPr>
        <w:t>son</w:t>
      </w:r>
      <w:r>
        <w:rPr>
          <w:i/>
          <w:color w:val="231F20"/>
          <w:spacing w:val="-2"/>
          <w:sz w:val="24"/>
        </w:rPr>
        <w:t> </w:t>
      </w:r>
      <w:r>
        <w:rPr>
          <w:i/>
          <w:color w:val="231F20"/>
          <w:sz w:val="24"/>
        </w:rPr>
        <w:t>histoire.</w:t>
      </w:r>
      <w:r>
        <w:rPr>
          <w:color w:val="76787A"/>
          <w:sz w:val="24"/>
          <w:vertAlign w:val="superscript"/>
        </w:rPr>
        <w:t>165</w:t>
      </w:r>
      <w:r>
        <w:rPr>
          <w:color w:val="76787A"/>
          <w:sz w:val="24"/>
          <w:vertAlign w:val="baseline"/>
        </w:rPr>
        <w:t> </w:t>
      </w:r>
      <w:r>
        <w:rPr>
          <w:i/>
          <w:color w:val="231F20"/>
          <w:sz w:val="24"/>
          <w:vertAlign w:val="baseline"/>
        </w:rPr>
        <w:t>»</w:t>
      </w:r>
    </w:p>
    <w:p>
      <w:pPr>
        <w:pStyle w:val="BodyText"/>
        <w:spacing w:before="120"/>
        <w:ind w:right="104" w:firstLine="340"/>
      </w:pPr>
      <w:r>
        <w:rPr>
          <w:color w:val="231F20"/>
          <w:spacing w:val="-2"/>
        </w:rPr>
        <w:t>Le</w:t>
      </w:r>
      <w:r>
        <w:rPr>
          <w:color w:val="231F20"/>
          <w:spacing w:val="-9"/>
        </w:rPr>
        <w:t> </w:t>
      </w:r>
      <w:r>
        <w:rPr>
          <w:color w:val="231F20"/>
          <w:spacing w:val="-2"/>
        </w:rPr>
        <w:t>coup</w:t>
      </w:r>
      <w:r>
        <w:rPr>
          <w:color w:val="231F20"/>
          <w:spacing w:val="-10"/>
        </w:rPr>
        <w:t> </w:t>
      </w:r>
      <w:r>
        <w:rPr>
          <w:color w:val="231F20"/>
          <w:spacing w:val="-2"/>
        </w:rPr>
        <w:t>d’État</w:t>
      </w:r>
      <w:r>
        <w:rPr>
          <w:color w:val="231F20"/>
          <w:spacing w:val="-9"/>
        </w:rPr>
        <w:t> </w:t>
      </w:r>
      <w:r>
        <w:rPr>
          <w:color w:val="231F20"/>
          <w:spacing w:val="-2"/>
        </w:rPr>
        <w:t>du</w:t>
      </w:r>
      <w:r>
        <w:rPr>
          <w:color w:val="231F20"/>
          <w:spacing w:val="-10"/>
        </w:rPr>
        <w:t> </w:t>
      </w:r>
      <w:r>
        <w:rPr>
          <w:color w:val="231F20"/>
          <w:spacing w:val="-2"/>
        </w:rPr>
        <w:t>Général</w:t>
      </w:r>
      <w:r>
        <w:rPr>
          <w:color w:val="231F20"/>
          <w:spacing w:val="-10"/>
        </w:rPr>
        <w:t> </w:t>
      </w:r>
      <w:r>
        <w:rPr>
          <w:color w:val="231F20"/>
          <w:spacing w:val="-2"/>
        </w:rPr>
        <w:t>Guéï</w:t>
      </w:r>
      <w:r>
        <w:rPr>
          <w:color w:val="231F20"/>
          <w:spacing w:val="-10"/>
        </w:rPr>
        <w:t> </w:t>
      </w:r>
      <w:r>
        <w:rPr>
          <w:color w:val="231F20"/>
          <w:spacing w:val="-2"/>
        </w:rPr>
        <w:t>inaugure</w:t>
      </w:r>
      <w:r>
        <w:rPr>
          <w:color w:val="231F20"/>
          <w:spacing w:val="-9"/>
        </w:rPr>
        <w:t> </w:t>
      </w:r>
      <w:r>
        <w:rPr>
          <w:color w:val="231F20"/>
          <w:spacing w:val="-2"/>
        </w:rPr>
        <w:t>une</w:t>
      </w:r>
      <w:r>
        <w:rPr>
          <w:color w:val="231F20"/>
          <w:spacing w:val="-10"/>
        </w:rPr>
        <w:t> </w:t>
      </w:r>
      <w:r>
        <w:rPr>
          <w:color w:val="231F20"/>
          <w:spacing w:val="-2"/>
        </w:rPr>
        <w:t>nouvelle</w:t>
      </w:r>
      <w:r>
        <w:rPr>
          <w:color w:val="231F20"/>
          <w:spacing w:val="-10"/>
        </w:rPr>
        <w:t> </w:t>
      </w:r>
      <w:r>
        <w:rPr>
          <w:color w:val="231F20"/>
          <w:spacing w:val="-2"/>
        </w:rPr>
        <w:t>page</w:t>
      </w:r>
      <w:r>
        <w:rPr>
          <w:color w:val="231F20"/>
          <w:spacing w:val="-10"/>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vie </w:t>
      </w:r>
      <w:r>
        <w:rPr>
          <w:color w:val="231F20"/>
        </w:rPr>
        <w:t>politique</w:t>
      </w:r>
      <w:r>
        <w:rPr>
          <w:color w:val="231F20"/>
          <w:spacing w:val="-14"/>
        </w:rPr>
        <w:t> </w:t>
      </w:r>
      <w:r>
        <w:rPr>
          <w:color w:val="231F20"/>
        </w:rPr>
        <w:t>en</w:t>
      </w:r>
      <w:r>
        <w:rPr>
          <w:color w:val="231F20"/>
          <w:spacing w:val="-14"/>
        </w:rPr>
        <w:t> </w:t>
      </w:r>
      <w:r>
        <w:rPr>
          <w:color w:val="231F20"/>
        </w:rPr>
        <w:t>Côte</w:t>
      </w:r>
      <w:r>
        <w:rPr>
          <w:color w:val="231F20"/>
          <w:spacing w:val="-14"/>
        </w:rPr>
        <w:t> </w:t>
      </w:r>
      <w:r>
        <w:rPr>
          <w:color w:val="231F20"/>
        </w:rPr>
        <w:t>d’Ivoire</w:t>
      </w:r>
      <w:r>
        <w:rPr>
          <w:color w:val="231F20"/>
          <w:spacing w:val="-15"/>
        </w:rPr>
        <w:t> </w:t>
      </w:r>
      <w:r>
        <w:rPr>
          <w:color w:val="231F20"/>
        </w:rPr>
        <w:t>:</w:t>
      </w:r>
      <w:r>
        <w:rPr>
          <w:color w:val="231F20"/>
          <w:spacing w:val="-13"/>
        </w:rPr>
        <w:t> </w:t>
      </w:r>
      <w:r>
        <w:rPr>
          <w:color w:val="231F20"/>
        </w:rPr>
        <w:t>la</w:t>
      </w:r>
      <w:r>
        <w:rPr>
          <w:color w:val="231F20"/>
          <w:spacing w:val="-13"/>
        </w:rPr>
        <w:t> </w:t>
      </w:r>
      <w:r>
        <w:rPr>
          <w:color w:val="231F20"/>
        </w:rPr>
        <w:t>prise</w:t>
      </w:r>
      <w:r>
        <w:rPr>
          <w:color w:val="231F20"/>
          <w:spacing w:val="-14"/>
        </w:rPr>
        <w:t> </w:t>
      </w:r>
      <w:r>
        <w:rPr>
          <w:color w:val="231F20"/>
        </w:rPr>
        <w:t>de</w:t>
      </w:r>
      <w:r>
        <w:rPr>
          <w:color w:val="231F20"/>
          <w:spacing w:val="-13"/>
        </w:rPr>
        <w:t> </w:t>
      </w:r>
      <w:r>
        <w:rPr>
          <w:color w:val="231F20"/>
        </w:rPr>
        <w:t>pouvoir</w:t>
      </w:r>
      <w:r>
        <w:rPr>
          <w:color w:val="231F20"/>
          <w:spacing w:val="-13"/>
        </w:rPr>
        <w:t> </w:t>
      </w:r>
      <w:r>
        <w:rPr>
          <w:color w:val="231F20"/>
        </w:rPr>
        <w:t>par</w:t>
      </w:r>
      <w:r>
        <w:rPr>
          <w:color w:val="231F20"/>
          <w:spacing w:val="-13"/>
        </w:rPr>
        <w:t> </w:t>
      </w:r>
      <w:r>
        <w:rPr>
          <w:color w:val="231F20"/>
        </w:rPr>
        <w:t>la</w:t>
      </w:r>
      <w:r>
        <w:rPr>
          <w:color w:val="231F20"/>
          <w:spacing w:val="-10"/>
        </w:rPr>
        <w:t> </w:t>
      </w:r>
      <w:r>
        <w:rPr>
          <w:color w:val="231F20"/>
        </w:rPr>
        <w:t>force.</w:t>
      </w:r>
      <w:r>
        <w:rPr>
          <w:color w:val="231F20"/>
          <w:spacing w:val="-11"/>
        </w:rPr>
        <w:t> </w:t>
      </w:r>
      <w:r>
        <w:rPr>
          <w:color w:val="231F20"/>
        </w:rPr>
        <w:t>Il</w:t>
      </w:r>
      <w:r>
        <w:rPr>
          <w:color w:val="231F20"/>
          <w:spacing w:val="-13"/>
        </w:rPr>
        <w:t> </w:t>
      </w:r>
      <w:r>
        <w:rPr>
          <w:color w:val="231F20"/>
        </w:rPr>
        <w:t>libère</w:t>
      </w:r>
      <w:r>
        <w:rPr>
          <w:color w:val="231F20"/>
          <w:spacing w:val="-14"/>
        </w:rPr>
        <w:t> </w:t>
      </w:r>
      <w:r>
        <w:rPr>
          <w:color w:val="231F20"/>
        </w:rPr>
        <w:t>tous les</w:t>
      </w:r>
      <w:r>
        <w:rPr>
          <w:color w:val="231F20"/>
          <w:spacing w:val="-15"/>
        </w:rPr>
        <w:t> </w:t>
      </w:r>
      <w:r>
        <w:rPr>
          <w:color w:val="231F20"/>
        </w:rPr>
        <w:t>vilains</w:t>
      </w:r>
      <w:r>
        <w:rPr>
          <w:color w:val="231F20"/>
          <w:spacing w:val="-15"/>
        </w:rPr>
        <w:t> </w:t>
      </w:r>
      <w:r>
        <w:rPr>
          <w:color w:val="231F20"/>
        </w:rPr>
        <w:t>sentiments</w:t>
      </w:r>
      <w:r>
        <w:rPr>
          <w:color w:val="231F20"/>
          <w:spacing w:val="-15"/>
        </w:rPr>
        <w:t> </w:t>
      </w:r>
      <w:r>
        <w:rPr>
          <w:color w:val="231F20"/>
        </w:rPr>
        <w:t>tapis</w:t>
      </w:r>
      <w:r>
        <w:rPr>
          <w:color w:val="231F20"/>
          <w:spacing w:val="-15"/>
        </w:rPr>
        <w:t> </w:t>
      </w:r>
      <w:r>
        <w:rPr>
          <w:color w:val="231F20"/>
        </w:rPr>
        <w:t>dans</w:t>
      </w:r>
      <w:r>
        <w:rPr>
          <w:color w:val="231F20"/>
          <w:spacing w:val="-15"/>
        </w:rPr>
        <w:t> </w:t>
      </w:r>
      <w:r>
        <w:rPr>
          <w:color w:val="231F20"/>
        </w:rPr>
        <w:t>le</w:t>
      </w:r>
      <w:r>
        <w:rPr>
          <w:color w:val="231F20"/>
          <w:spacing w:val="-15"/>
        </w:rPr>
        <w:t> </w:t>
      </w:r>
      <w:r>
        <w:rPr>
          <w:color w:val="231F20"/>
        </w:rPr>
        <w:t>cœur</w:t>
      </w:r>
      <w:r>
        <w:rPr>
          <w:color w:val="231F20"/>
          <w:spacing w:val="-15"/>
        </w:rPr>
        <w:t> </w:t>
      </w:r>
      <w:r>
        <w:rPr>
          <w:color w:val="231F20"/>
        </w:rPr>
        <w:t>des</w:t>
      </w:r>
      <w:r>
        <w:rPr>
          <w:color w:val="231F20"/>
          <w:spacing w:val="-15"/>
        </w:rPr>
        <w:t> </w:t>
      </w:r>
      <w:r>
        <w:rPr>
          <w:color w:val="231F20"/>
        </w:rPr>
        <w:t>hommes</w:t>
      </w:r>
      <w:r>
        <w:rPr>
          <w:color w:val="231F20"/>
          <w:spacing w:val="-15"/>
        </w:rPr>
        <w:t> </w:t>
      </w:r>
      <w:r>
        <w:rPr>
          <w:color w:val="231F20"/>
        </w:rPr>
        <w:t>politiques</w:t>
      </w:r>
      <w:r>
        <w:rPr>
          <w:color w:val="231F20"/>
          <w:spacing w:val="-15"/>
        </w:rPr>
        <w:t> </w:t>
      </w:r>
      <w:r>
        <w:rPr>
          <w:color w:val="231F20"/>
        </w:rPr>
        <w:t>du</w:t>
      </w:r>
      <w:r>
        <w:rPr>
          <w:color w:val="231F20"/>
          <w:spacing w:val="-15"/>
        </w:rPr>
        <w:t> </w:t>
      </w:r>
      <w:r>
        <w:rPr>
          <w:color w:val="231F20"/>
        </w:rPr>
        <w:t>pays. Le</w:t>
      </w:r>
      <w:r>
        <w:rPr>
          <w:color w:val="231F20"/>
          <w:spacing w:val="-15"/>
        </w:rPr>
        <w:t> </w:t>
      </w:r>
      <w:r>
        <w:rPr>
          <w:color w:val="231F20"/>
        </w:rPr>
        <w:t>fauteuil</w:t>
      </w:r>
      <w:r>
        <w:rPr>
          <w:color w:val="231F20"/>
          <w:spacing w:val="-15"/>
        </w:rPr>
        <w:t> </w:t>
      </w:r>
      <w:r>
        <w:rPr>
          <w:color w:val="231F20"/>
        </w:rPr>
        <w:t>présidentiel</w:t>
      </w:r>
      <w:r>
        <w:rPr>
          <w:color w:val="231F20"/>
          <w:spacing w:val="-14"/>
        </w:rPr>
        <w:t> </w:t>
      </w:r>
      <w:r>
        <w:rPr>
          <w:color w:val="231F20"/>
        </w:rPr>
        <w:t>attise</w:t>
      </w:r>
      <w:r>
        <w:rPr>
          <w:color w:val="231F20"/>
          <w:spacing w:val="-14"/>
        </w:rPr>
        <w:t> </w:t>
      </w:r>
      <w:r>
        <w:rPr>
          <w:color w:val="231F20"/>
        </w:rPr>
        <w:t>toutes</w:t>
      </w:r>
      <w:r>
        <w:rPr>
          <w:color w:val="231F20"/>
          <w:spacing w:val="-13"/>
        </w:rPr>
        <w:t> </w:t>
      </w:r>
      <w:r>
        <w:rPr>
          <w:color w:val="231F20"/>
        </w:rPr>
        <w:t>les</w:t>
      </w:r>
      <w:r>
        <w:rPr>
          <w:color w:val="231F20"/>
          <w:spacing w:val="-13"/>
        </w:rPr>
        <w:t> </w:t>
      </w:r>
      <w:r>
        <w:rPr>
          <w:color w:val="231F20"/>
        </w:rPr>
        <w:t>convoitises</w:t>
      </w:r>
      <w:r>
        <w:rPr>
          <w:color w:val="231F20"/>
          <w:spacing w:val="-15"/>
        </w:rPr>
        <w:t> </w:t>
      </w:r>
      <w:r>
        <w:rPr>
          <w:color w:val="231F20"/>
        </w:rPr>
        <w:t>:</w:t>
      </w:r>
      <w:r>
        <w:rPr>
          <w:color w:val="231F20"/>
          <w:spacing w:val="-12"/>
        </w:rPr>
        <w:t> </w:t>
      </w:r>
      <w:r>
        <w:rPr>
          <w:color w:val="231F20"/>
        </w:rPr>
        <w:t>pourquoi</w:t>
      </w:r>
      <w:r>
        <w:rPr>
          <w:color w:val="231F20"/>
          <w:spacing w:val="-13"/>
        </w:rPr>
        <w:t> </w:t>
      </w:r>
      <w:r>
        <w:rPr>
          <w:color w:val="231F20"/>
        </w:rPr>
        <w:t>pas</w:t>
      </w:r>
      <w:r>
        <w:rPr>
          <w:color w:val="231F20"/>
          <w:spacing w:val="-13"/>
        </w:rPr>
        <w:t> </w:t>
      </w:r>
      <w:r>
        <w:rPr>
          <w:color w:val="231F20"/>
        </w:rPr>
        <w:t>moi</w:t>
      </w:r>
      <w:r>
        <w:rPr>
          <w:color w:val="231F20"/>
          <w:spacing w:val="-15"/>
        </w:rPr>
        <w:t> </w:t>
      </w:r>
      <w:r>
        <w:rPr>
          <w:color w:val="231F20"/>
        </w:rPr>
        <w:t>? Alassane Dramane Ouattara quitte la France pour rejoindre la Côte </w:t>
      </w:r>
      <w:r>
        <w:rPr>
          <w:color w:val="231F20"/>
          <w:spacing w:val="-4"/>
        </w:rPr>
        <w:t>d’Ivoire. Plusieurs journalistes français l’accompagnent. Laurent Gbagbo </w:t>
      </w:r>
      <w:r>
        <w:rPr>
          <w:color w:val="231F20"/>
        </w:rPr>
        <w:t>qui</w:t>
      </w:r>
      <w:r>
        <w:rPr>
          <w:color w:val="231F20"/>
          <w:spacing w:val="-11"/>
        </w:rPr>
        <w:t> </w:t>
      </w:r>
      <w:r>
        <w:rPr>
          <w:color w:val="231F20"/>
        </w:rPr>
        <w:t>se</w:t>
      </w:r>
      <w:r>
        <w:rPr>
          <w:color w:val="231F20"/>
          <w:spacing w:val="-11"/>
        </w:rPr>
        <w:t> </w:t>
      </w:r>
      <w:r>
        <w:rPr>
          <w:color w:val="231F20"/>
        </w:rPr>
        <w:t>trouvait</w:t>
      </w:r>
      <w:r>
        <w:rPr>
          <w:color w:val="231F20"/>
          <w:spacing w:val="-10"/>
        </w:rPr>
        <w:t> </w:t>
      </w:r>
      <w:r>
        <w:rPr>
          <w:color w:val="231F20"/>
        </w:rPr>
        <w:t>au</w:t>
      </w:r>
      <w:r>
        <w:rPr>
          <w:color w:val="231F20"/>
          <w:spacing w:val="-11"/>
        </w:rPr>
        <w:t> </w:t>
      </w:r>
      <w:r>
        <w:rPr>
          <w:color w:val="231F20"/>
        </w:rPr>
        <w:t>Gabon,</w:t>
      </w:r>
      <w:r>
        <w:rPr>
          <w:color w:val="231F20"/>
          <w:spacing w:val="-13"/>
        </w:rPr>
        <w:t> </w:t>
      </w:r>
      <w:r>
        <w:rPr>
          <w:color w:val="231F20"/>
        </w:rPr>
        <w:t>hôte</w:t>
      </w:r>
      <w:r>
        <w:rPr>
          <w:color w:val="231F20"/>
          <w:spacing w:val="-11"/>
        </w:rPr>
        <w:t> </w:t>
      </w:r>
      <w:r>
        <w:rPr>
          <w:color w:val="231F20"/>
        </w:rPr>
        <w:t>du</w:t>
      </w:r>
      <w:r>
        <w:rPr>
          <w:color w:val="231F20"/>
          <w:spacing w:val="-11"/>
        </w:rPr>
        <w:t> </w:t>
      </w:r>
      <w:r>
        <w:rPr>
          <w:color w:val="231F20"/>
        </w:rPr>
        <w:t>président</w:t>
      </w:r>
      <w:r>
        <w:rPr>
          <w:color w:val="231F20"/>
          <w:spacing w:val="-11"/>
        </w:rPr>
        <w:t> </w:t>
      </w:r>
      <w:r>
        <w:rPr>
          <w:color w:val="231F20"/>
        </w:rPr>
        <w:t>Omar</w:t>
      </w:r>
      <w:r>
        <w:rPr>
          <w:color w:val="231F20"/>
          <w:spacing w:val="-11"/>
        </w:rPr>
        <w:t> </w:t>
      </w:r>
      <w:r>
        <w:rPr>
          <w:color w:val="231F20"/>
        </w:rPr>
        <w:t>Bongo</w:t>
      </w:r>
      <w:r>
        <w:rPr>
          <w:color w:val="231F20"/>
          <w:spacing w:val="-11"/>
        </w:rPr>
        <w:t> </w:t>
      </w:r>
      <w:r>
        <w:rPr>
          <w:color w:val="231F20"/>
        </w:rPr>
        <w:t>Odimba</w:t>
      </w:r>
      <w:r>
        <w:rPr>
          <w:color w:val="231F20"/>
          <w:spacing w:val="-11"/>
        </w:rPr>
        <w:t> </w:t>
      </w:r>
      <w:r>
        <w:rPr>
          <w:color w:val="231F20"/>
        </w:rPr>
        <w:t>rentre aussi.</w:t>
      </w:r>
      <w:r>
        <w:rPr>
          <w:color w:val="231F20"/>
          <w:spacing w:val="-5"/>
        </w:rPr>
        <w:t> </w:t>
      </w:r>
      <w:r>
        <w:rPr>
          <w:color w:val="231F20"/>
        </w:rPr>
        <w:t>Le</w:t>
      </w:r>
      <w:r>
        <w:rPr>
          <w:color w:val="231F20"/>
          <w:spacing w:val="-5"/>
        </w:rPr>
        <w:t> </w:t>
      </w:r>
      <w:r>
        <w:rPr>
          <w:color w:val="231F20"/>
        </w:rPr>
        <w:t>président</w:t>
      </w:r>
      <w:r>
        <w:rPr>
          <w:color w:val="231F20"/>
          <w:spacing w:val="-4"/>
        </w:rPr>
        <w:t> </w:t>
      </w:r>
      <w:r>
        <w:rPr>
          <w:color w:val="231F20"/>
        </w:rPr>
        <w:t>Félix</w:t>
      </w:r>
      <w:r>
        <w:rPr>
          <w:color w:val="231F20"/>
          <w:spacing w:val="-8"/>
        </w:rPr>
        <w:t> </w:t>
      </w:r>
      <w:r>
        <w:rPr>
          <w:color w:val="231F20"/>
        </w:rPr>
        <w:t>Houphouët-Boigny,</w:t>
      </w:r>
      <w:r>
        <w:rPr>
          <w:color w:val="231F20"/>
          <w:spacing w:val="-5"/>
        </w:rPr>
        <w:t> </w:t>
      </w:r>
      <w:r>
        <w:rPr>
          <w:color w:val="231F20"/>
        </w:rPr>
        <w:t>le</w:t>
      </w:r>
      <w:r>
        <w:rPr>
          <w:color w:val="231F20"/>
          <w:spacing w:val="-5"/>
        </w:rPr>
        <w:t> </w:t>
      </w:r>
      <w:r>
        <w:rPr>
          <w:color w:val="231F20"/>
        </w:rPr>
        <w:t>Père</w:t>
      </w:r>
      <w:r>
        <w:rPr>
          <w:color w:val="231F20"/>
          <w:spacing w:val="-4"/>
        </w:rPr>
        <w:t> </w:t>
      </w:r>
      <w:r>
        <w:rPr>
          <w:color w:val="231F20"/>
        </w:rPr>
        <w:t>fondateur</w:t>
      </w:r>
      <w:r>
        <w:rPr>
          <w:color w:val="231F20"/>
          <w:spacing w:val="-6"/>
        </w:rPr>
        <w:t> </w:t>
      </w:r>
      <w:r>
        <w:rPr>
          <w:color w:val="231F20"/>
        </w:rPr>
        <w:t>du</w:t>
      </w:r>
      <w:r>
        <w:rPr>
          <w:color w:val="231F20"/>
          <w:spacing w:val="-5"/>
        </w:rPr>
        <w:t> </w:t>
      </w:r>
      <w:r>
        <w:rPr>
          <w:color w:val="231F20"/>
        </w:rPr>
        <w:t>pays peut</w:t>
      </w:r>
      <w:r>
        <w:rPr>
          <w:color w:val="231F20"/>
          <w:spacing w:val="-1"/>
        </w:rPr>
        <w:t> </w:t>
      </w:r>
      <w:r>
        <w:rPr>
          <w:color w:val="231F20"/>
        </w:rPr>
        <w:t>se retourner dans sa</w:t>
      </w:r>
      <w:r>
        <w:rPr>
          <w:color w:val="231F20"/>
          <w:spacing w:val="-3"/>
        </w:rPr>
        <w:t> </w:t>
      </w:r>
      <w:r>
        <w:rPr>
          <w:color w:val="231F20"/>
        </w:rPr>
        <w:t>tombe, lui</w:t>
      </w:r>
      <w:r>
        <w:rPr>
          <w:color w:val="231F20"/>
          <w:spacing w:val="-1"/>
        </w:rPr>
        <w:t> </w:t>
      </w:r>
      <w:r>
        <w:rPr>
          <w:color w:val="231F20"/>
        </w:rPr>
        <w:t>qui</w:t>
      </w:r>
      <w:r>
        <w:rPr>
          <w:color w:val="231F20"/>
          <w:spacing w:val="-1"/>
        </w:rPr>
        <w:t> </w:t>
      </w:r>
      <w:r>
        <w:rPr>
          <w:color w:val="231F20"/>
        </w:rPr>
        <w:t>disait au</w:t>
      </w:r>
      <w:r>
        <w:rPr>
          <w:color w:val="231F20"/>
          <w:spacing w:val="-1"/>
        </w:rPr>
        <w:t> </w:t>
      </w:r>
      <w:r>
        <w:rPr>
          <w:color w:val="231F20"/>
        </w:rPr>
        <w:t>soir de</w:t>
      </w:r>
      <w:r>
        <w:rPr>
          <w:color w:val="231F20"/>
          <w:spacing w:val="-2"/>
        </w:rPr>
        <w:t> </w:t>
      </w:r>
      <w:r>
        <w:rPr>
          <w:color w:val="231F20"/>
        </w:rPr>
        <w:t>sa vie que «</w:t>
      </w:r>
      <w:r>
        <w:rPr>
          <w:color w:val="231F20"/>
          <w:spacing w:val="-10"/>
        </w:rPr>
        <w:t> </w:t>
      </w:r>
      <w:r>
        <w:rPr>
          <w:color w:val="231F20"/>
        </w:rPr>
        <w:t>la paix est la</w:t>
      </w:r>
      <w:r>
        <w:rPr>
          <w:color w:val="231F20"/>
          <w:spacing w:val="-4"/>
        </w:rPr>
        <w:t> </w:t>
      </w:r>
      <w:r>
        <w:rPr>
          <w:color w:val="231F20"/>
        </w:rPr>
        <w:t>seconde religion</w:t>
      </w:r>
      <w:r>
        <w:rPr>
          <w:color w:val="231F20"/>
          <w:spacing w:val="-3"/>
        </w:rPr>
        <w:t> </w:t>
      </w:r>
      <w:r>
        <w:rPr>
          <w:color w:val="231F20"/>
        </w:rPr>
        <w:t>»</w:t>
      </w:r>
      <w:r>
        <w:rPr>
          <w:color w:val="231F20"/>
          <w:spacing w:val="-1"/>
        </w:rPr>
        <w:t> </w:t>
      </w:r>
      <w:r>
        <w:rPr>
          <w:color w:val="231F20"/>
        </w:rPr>
        <w:t>de</w:t>
      </w:r>
      <w:r>
        <w:rPr>
          <w:color w:val="231F20"/>
          <w:spacing w:val="-3"/>
        </w:rPr>
        <w:t> </w:t>
      </w:r>
      <w:r>
        <w:rPr>
          <w:color w:val="231F20"/>
        </w:rPr>
        <w:t>la</w:t>
      </w:r>
      <w:r>
        <w:rPr>
          <w:color w:val="231F20"/>
          <w:spacing w:val="-1"/>
        </w:rPr>
        <w:t> </w:t>
      </w:r>
      <w:r>
        <w:rPr>
          <w:color w:val="231F20"/>
        </w:rPr>
        <w:t>Côte</w:t>
      </w:r>
      <w:r>
        <w:rPr>
          <w:color w:val="231F20"/>
          <w:spacing w:val="-3"/>
        </w:rPr>
        <w:t> </w:t>
      </w:r>
      <w:r>
        <w:rPr>
          <w:color w:val="231F20"/>
        </w:rPr>
        <w:t>d’Ivoire.</w:t>
      </w:r>
    </w:p>
    <w:p>
      <w:pPr>
        <w:pStyle w:val="BodyText"/>
        <w:spacing w:before="121"/>
        <w:ind w:right="104" w:firstLine="283"/>
      </w:pPr>
      <w:r>
        <w:rPr>
          <w:color w:val="231F20"/>
        </w:rPr>
        <w:t>Robert Guéï est né à Kabakouma, dans la région Ouest. Enfant de </w:t>
      </w:r>
      <w:r>
        <w:rPr>
          <w:color w:val="231F20"/>
          <w:spacing w:val="-4"/>
        </w:rPr>
        <w:t>troupe,</w:t>
      </w:r>
      <w:r>
        <w:rPr>
          <w:color w:val="231F20"/>
          <w:spacing w:val="-9"/>
        </w:rPr>
        <w:t> </w:t>
      </w:r>
      <w:r>
        <w:rPr>
          <w:color w:val="231F20"/>
          <w:spacing w:val="-4"/>
        </w:rPr>
        <w:t>il</w:t>
      </w:r>
      <w:r>
        <w:rPr>
          <w:color w:val="231F20"/>
          <w:spacing w:val="-6"/>
        </w:rPr>
        <w:t> </w:t>
      </w:r>
      <w:r>
        <w:rPr>
          <w:color w:val="231F20"/>
          <w:spacing w:val="-4"/>
        </w:rPr>
        <w:t>est</w:t>
      </w:r>
      <w:r>
        <w:rPr>
          <w:color w:val="231F20"/>
          <w:spacing w:val="-6"/>
        </w:rPr>
        <w:t> </w:t>
      </w:r>
      <w:r>
        <w:rPr>
          <w:color w:val="231F20"/>
          <w:spacing w:val="-4"/>
        </w:rPr>
        <w:t>formé</w:t>
      </w:r>
      <w:r>
        <w:rPr>
          <w:color w:val="231F20"/>
          <w:spacing w:val="-6"/>
        </w:rPr>
        <w:t> </w:t>
      </w:r>
      <w:r>
        <w:rPr>
          <w:color w:val="231F20"/>
          <w:spacing w:val="-4"/>
        </w:rPr>
        <w:t>à</w:t>
      </w:r>
      <w:r>
        <w:rPr>
          <w:color w:val="231F20"/>
          <w:spacing w:val="-6"/>
        </w:rPr>
        <w:t> </w:t>
      </w:r>
      <w:r>
        <w:rPr>
          <w:color w:val="231F20"/>
          <w:spacing w:val="-4"/>
        </w:rPr>
        <w:t>l’Ecole</w:t>
      </w:r>
      <w:r>
        <w:rPr>
          <w:color w:val="231F20"/>
          <w:spacing w:val="-6"/>
        </w:rPr>
        <w:t> </w:t>
      </w:r>
      <w:r>
        <w:rPr>
          <w:color w:val="231F20"/>
          <w:spacing w:val="-4"/>
        </w:rPr>
        <w:t>Militaire</w:t>
      </w:r>
      <w:r>
        <w:rPr>
          <w:color w:val="231F20"/>
          <w:spacing w:val="-6"/>
        </w:rPr>
        <w:t> </w:t>
      </w:r>
      <w:r>
        <w:rPr>
          <w:color w:val="231F20"/>
          <w:spacing w:val="-4"/>
        </w:rPr>
        <w:t>Préparatoire</w:t>
      </w:r>
      <w:r>
        <w:rPr>
          <w:color w:val="231F20"/>
          <w:spacing w:val="-6"/>
        </w:rPr>
        <w:t> </w:t>
      </w:r>
      <w:r>
        <w:rPr>
          <w:color w:val="231F20"/>
          <w:spacing w:val="-4"/>
        </w:rPr>
        <w:t>de</w:t>
      </w:r>
      <w:r>
        <w:rPr>
          <w:color w:val="231F20"/>
          <w:spacing w:val="-7"/>
        </w:rPr>
        <w:t> </w:t>
      </w:r>
      <w:r>
        <w:rPr>
          <w:color w:val="231F20"/>
          <w:spacing w:val="-4"/>
        </w:rPr>
        <w:t>Bingerville</w:t>
      </w:r>
      <w:r>
        <w:rPr>
          <w:color w:val="231F20"/>
          <w:spacing w:val="-6"/>
        </w:rPr>
        <w:t> </w:t>
      </w:r>
      <w:r>
        <w:rPr>
          <w:color w:val="231F20"/>
          <w:spacing w:val="-4"/>
        </w:rPr>
        <w:t>en</w:t>
      </w:r>
      <w:r>
        <w:rPr>
          <w:color w:val="231F20"/>
          <w:spacing w:val="-9"/>
        </w:rPr>
        <w:t> </w:t>
      </w:r>
      <w:r>
        <w:rPr>
          <w:color w:val="231F20"/>
          <w:spacing w:val="-4"/>
        </w:rPr>
        <w:t>Côte </w:t>
      </w:r>
      <w:r>
        <w:rPr>
          <w:color w:val="231F20"/>
        </w:rPr>
        <w:t>d’Ivoire</w:t>
      </w:r>
      <w:r>
        <w:rPr>
          <w:color w:val="231F20"/>
          <w:spacing w:val="53"/>
        </w:rPr>
        <w:t> </w:t>
      </w:r>
      <w:r>
        <w:rPr>
          <w:color w:val="231F20"/>
        </w:rPr>
        <w:t>puis</w:t>
      </w:r>
      <w:r>
        <w:rPr>
          <w:color w:val="231F20"/>
          <w:spacing w:val="54"/>
        </w:rPr>
        <w:t> </w:t>
      </w:r>
      <w:r>
        <w:rPr>
          <w:color w:val="231F20"/>
        </w:rPr>
        <w:t>à</w:t>
      </w:r>
      <w:r>
        <w:rPr>
          <w:color w:val="231F20"/>
          <w:spacing w:val="56"/>
        </w:rPr>
        <w:t> </w:t>
      </w:r>
      <w:r>
        <w:rPr>
          <w:color w:val="231F20"/>
        </w:rPr>
        <w:t>Ouagadougou</w:t>
      </w:r>
      <w:r>
        <w:rPr>
          <w:color w:val="231F20"/>
          <w:spacing w:val="53"/>
        </w:rPr>
        <w:t> </w:t>
      </w:r>
      <w:r>
        <w:rPr>
          <w:color w:val="231F20"/>
        </w:rPr>
        <w:t>en</w:t>
      </w:r>
      <w:r>
        <w:rPr>
          <w:color w:val="231F20"/>
          <w:spacing w:val="55"/>
        </w:rPr>
        <w:t> </w:t>
      </w:r>
      <w:r>
        <w:rPr>
          <w:color w:val="231F20"/>
        </w:rPr>
        <w:t>Haute</w:t>
      </w:r>
      <w:r>
        <w:rPr>
          <w:color w:val="231F20"/>
          <w:spacing w:val="56"/>
        </w:rPr>
        <w:t> </w:t>
      </w:r>
      <w:r>
        <w:rPr>
          <w:color w:val="231F20"/>
        </w:rPr>
        <w:t>Volta.</w:t>
      </w:r>
      <w:r>
        <w:rPr>
          <w:color w:val="231F20"/>
          <w:spacing w:val="53"/>
        </w:rPr>
        <w:t> </w:t>
      </w:r>
      <w:r>
        <w:rPr>
          <w:color w:val="231F20"/>
        </w:rPr>
        <w:t>Après</w:t>
      </w:r>
      <w:r>
        <w:rPr>
          <w:color w:val="231F20"/>
          <w:spacing w:val="55"/>
        </w:rPr>
        <w:t> </w:t>
      </w:r>
      <w:r>
        <w:rPr>
          <w:color w:val="231F20"/>
        </w:rPr>
        <w:t>son</w:t>
      </w:r>
      <w:r>
        <w:rPr>
          <w:color w:val="231F20"/>
          <w:spacing w:val="55"/>
        </w:rPr>
        <w:t> </w:t>
      </w:r>
      <w:r>
        <w:rPr>
          <w:color w:val="231F20"/>
        </w:rPr>
        <w:t>stage</w:t>
      </w:r>
      <w:r>
        <w:rPr>
          <w:color w:val="231F20"/>
          <w:spacing w:val="56"/>
        </w:rPr>
        <w:t> </w:t>
      </w:r>
      <w:r>
        <w:rPr>
          <w:color w:val="231F20"/>
          <w:spacing w:val="-5"/>
        </w:rPr>
        <w:t>de</w:t>
      </w:r>
    </w:p>
    <w:p>
      <w:pPr>
        <w:pStyle w:val="BodyText"/>
        <w:ind w:left="0"/>
        <w:jc w:val="left"/>
        <w:rPr>
          <w:sz w:val="20"/>
        </w:rPr>
      </w:pPr>
    </w:p>
    <w:p>
      <w:pPr>
        <w:pStyle w:val="BodyText"/>
        <w:ind w:left="0"/>
        <w:jc w:val="left"/>
        <w:rPr>
          <w:sz w:val="20"/>
        </w:rPr>
      </w:pPr>
    </w:p>
    <w:p>
      <w:pPr>
        <w:pStyle w:val="BodyText"/>
        <w:spacing w:before="24"/>
        <w:ind w:left="0"/>
        <w:jc w:val="left"/>
        <w:rPr>
          <w:sz w:val="20"/>
        </w:rPr>
      </w:pPr>
      <w:r>
        <w:rPr/>
        <mc:AlternateContent>
          <mc:Choice Requires="wps">
            <w:drawing>
              <wp:anchor distT="0" distB="0" distL="0" distR="0" allowOverlap="1" layoutInCell="1" locked="0" behindDoc="1" simplePos="0" relativeHeight="487640576">
                <wp:simplePos x="0" y="0"/>
                <wp:positionH relativeFrom="page">
                  <wp:posOffset>629907</wp:posOffset>
                </wp:positionH>
                <wp:positionV relativeFrom="paragraph">
                  <wp:posOffset>176743</wp:posOffset>
                </wp:positionV>
                <wp:extent cx="1829435" cy="9525"/>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916797pt;width:144.020pt;height:.72pt;mso-position-horizontal-relative:page;mso-position-vertical-relative:paragraph;z-index:-15675904;mso-wrap-distance-left:0;mso-wrap-distance-right:0" id="docshape130"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164</w:t>
      </w:r>
      <w:r>
        <w:rPr>
          <w:color w:val="76787A"/>
          <w:spacing w:val="2"/>
          <w:sz w:val="20"/>
          <w:vertAlign w:val="baseline"/>
        </w:rPr>
        <w:t> </w:t>
      </w:r>
      <w:r>
        <w:rPr>
          <w:color w:val="231F20"/>
          <w:spacing w:val="-4"/>
          <w:sz w:val="20"/>
          <w:vertAlign w:val="baseline"/>
        </w:rPr>
        <w:t>Jeune</w:t>
      </w:r>
      <w:r>
        <w:rPr>
          <w:color w:val="231F20"/>
          <w:spacing w:val="1"/>
          <w:sz w:val="20"/>
          <w:vertAlign w:val="baseline"/>
        </w:rPr>
        <w:t> </w:t>
      </w:r>
      <w:r>
        <w:rPr>
          <w:color w:val="231F20"/>
          <w:spacing w:val="-4"/>
          <w:sz w:val="20"/>
          <w:vertAlign w:val="baseline"/>
        </w:rPr>
        <w:t>Afrique</w:t>
      </w:r>
      <w:r>
        <w:rPr>
          <w:color w:val="231F20"/>
          <w:spacing w:val="-2"/>
          <w:sz w:val="20"/>
          <w:vertAlign w:val="baseline"/>
        </w:rPr>
        <w:t> </w:t>
      </w:r>
      <w:r>
        <w:rPr>
          <w:color w:val="231F20"/>
          <w:spacing w:val="-4"/>
          <w:sz w:val="20"/>
          <w:vertAlign w:val="baseline"/>
        </w:rPr>
        <w:t>,</w:t>
      </w:r>
      <w:r>
        <w:rPr>
          <w:color w:val="231F20"/>
          <w:spacing w:val="-2"/>
          <w:sz w:val="20"/>
          <w:vertAlign w:val="baseline"/>
        </w:rPr>
        <w:t> </w:t>
      </w:r>
      <w:r>
        <w:rPr>
          <w:color w:val="231F20"/>
          <w:spacing w:val="-4"/>
          <w:sz w:val="20"/>
          <w:vertAlign w:val="baseline"/>
        </w:rPr>
        <w:t>hors-série</w:t>
      </w:r>
      <w:r>
        <w:rPr>
          <w:color w:val="231F20"/>
          <w:spacing w:val="-3"/>
          <w:sz w:val="20"/>
          <w:vertAlign w:val="baseline"/>
        </w:rPr>
        <w:t> </w:t>
      </w:r>
      <w:r>
        <w:rPr>
          <w:color w:val="231F20"/>
          <w:spacing w:val="-4"/>
          <w:sz w:val="20"/>
          <w:vertAlign w:val="baseline"/>
        </w:rPr>
        <w:t>n°2,</w:t>
      </w:r>
      <w:r>
        <w:rPr>
          <w:color w:val="231F20"/>
          <w:spacing w:val="-2"/>
          <w:sz w:val="20"/>
          <w:vertAlign w:val="baseline"/>
        </w:rPr>
        <w:t> </w:t>
      </w:r>
      <w:r>
        <w:rPr>
          <w:color w:val="231F20"/>
          <w:spacing w:val="-4"/>
          <w:sz w:val="20"/>
          <w:vertAlign w:val="baseline"/>
        </w:rPr>
        <w:t>Janvier</w:t>
      </w:r>
      <w:r>
        <w:rPr>
          <w:color w:val="231F20"/>
          <w:spacing w:val="-1"/>
          <w:sz w:val="20"/>
          <w:vertAlign w:val="baseline"/>
        </w:rPr>
        <w:t> </w:t>
      </w:r>
      <w:r>
        <w:rPr>
          <w:color w:val="231F20"/>
          <w:spacing w:val="-4"/>
          <w:sz w:val="20"/>
          <w:vertAlign w:val="baseline"/>
        </w:rPr>
        <w:t>2000,</w:t>
      </w:r>
      <w:r>
        <w:rPr>
          <w:color w:val="231F20"/>
          <w:spacing w:val="-2"/>
          <w:sz w:val="20"/>
          <w:vertAlign w:val="baseline"/>
        </w:rPr>
        <w:t> </w:t>
      </w:r>
      <w:r>
        <w:rPr>
          <w:color w:val="231F20"/>
          <w:spacing w:val="-4"/>
          <w:sz w:val="20"/>
          <w:vertAlign w:val="baseline"/>
        </w:rPr>
        <w:t>extrait.</w:t>
      </w:r>
    </w:p>
    <w:p>
      <w:pPr>
        <w:spacing w:before="0"/>
        <w:ind w:left="111" w:right="0" w:firstLine="0"/>
        <w:jc w:val="left"/>
        <w:rPr>
          <w:sz w:val="20"/>
        </w:rPr>
      </w:pPr>
      <w:r>
        <w:rPr>
          <w:color w:val="76787A"/>
          <w:spacing w:val="-4"/>
          <w:sz w:val="20"/>
          <w:vertAlign w:val="superscript"/>
        </w:rPr>
        <w:t>165</w:t>
      </w:r>
      <w:r>
        <w:rPr>
          <w:color w:val="76787A"/>
          <w:spacing w:val="2"/>
          <w:sz w:val="20"/>
          <w:vertAlign w:val="baseline"/>
        </w:rPr>
        <w:t> </w:t>
      </w:r>
      <w:r>
        <w:rPr>
          <w:color w:val="231F20"/>
          <w:spacing w:val="-4"/>
          <w:sz w:val="20"/>
          <w:vertAlign w:val="baseline"/>
        </w:rPr>
        <w:t>Jeune</w:t>
      </w:r>
      <w:r>
        <w:rPr>
          <w:color w:val="231F20"/>
          <w:spacing w:val="1"/>
          <w:sz w:val="20"/>
          <w:vertAlign w:val="baseline"/>
        </w:rPr>
        <w:t> </w:t>
      </w:r>
      <w:r>
        <w:rPr>
          <w:color w:val="231F20"/>
          <w:spacing w:val="-4"/>
          <w:sz w:val="20"/>
          <w:vertAlign w:val="baseline"/>
        </w:rPr>
        <w:t>Afrique</w:t>
      </w:r>
      <w:r>
        <w:rPr>
          <w:color w:val="231F20"/>
          <w:spacing w:val="-2"/>
          <w:sz w:val="20"/>
          <w:vertAlign w:val="baseline"/>
        </w:rPr>
        <w:t> </w:t>
      </w:r>
      <w:r>
        <w:rPr>
          <w:color w:val="231F20"/>
          <w:spacing w:val="-4"/>
          <w:sz w:val="20"/>
          <w:vertAlign w:val="baseline"/>
        </w:rPr>
        <w:t>,</w:t>
      </w:r>
      <w:r>
        <w:rPr>
          <w:color w:val="231F20"/>
          <w:spacing w:val="-1"/>
          <w:sz w:val="20"/>
          <w:vertAlign w:val="baseline"/>
        </w:rPr>
        <w:t> </w:t>
      </w:r>
      <w:r>
        <w:rPr>
          <w:color w:val="231F20"/>
          <w:spacing w:val="-4"/>
          <w:sz w:val="20"/>
          <w:vertAlign w:val="baseline"/>
        </w:rPr>
        <w:t>hors-série</w:t>
      </w:r>
      <w:r>
        <w:rPr>
          <w:color w:val="231F20"/>
          <w:spacing w:val="-3"/>
          <w:sz w:val="20"/>
          <w:vertAlign w:val="baseline"/>
        </w:rPr>
        <w:t> </w:t>
      </w:r>
      <w:r>
        <w:rPr>
          <w:color w:val="231F20"/>
          <w:spacing w:val="-4"/>
          <w:sz w:val="20"/>
          <w:vertAlign w:val="baseline"/>
        </w:rPr>
        <w:t>n°2,</w:t>
      </w:r>
      <w:r>
        <w:rPr>
          <w:color w:val="231F20"/>
          <w:spacing w:val="-2"/>
          <w:sz w:val="20"/>
          <w:vertAlign w:val="baseline"/>
        </w:rPr>
        <w:t> </w:t>
      </w:r>
      <w:r>
        <w:rPr>
          <w:color w:val="231F20"/>
          <w:spacing w:val="-4"/>
          <w:sz w:val="20"/>
          <w:vertAlign w:val="baseline"/>
        </w:rPr>
        <w:t>Janvier</w:t>
      </w:r>
      <w:r>
        <w:rPr>
          <w:color w:val="231F20"/>
          <w:spacing w:val="-2"/>
          <w:sz w:val="20"/>
          <w:vertAlign w:val="baseline"/>
        </w:rPr>
        <w:t> </w:t>
      </w:r>
      <w:r>
        <w:rPr>
          <w:color w:val="231F20"/>
          <w:spacing w:val="-4"/>
          <w:sz w:val="20"/>
          <w:vertAlign w:val="baseline"/>
        </w:rPr>
        <w:t>2000,</w:t>
      </w:r>
      <w:r>
        <w:rPr>
          <w:color w:val="231F20"/>
          <w:spacing w:val="-1"/>
          <w:sz w:val="20"/>
          <w:vertAlign w:val="baseline"/>
        </w:rPr>
        <w:t> </w:t>
      </w:r>
      <w:r>
        <w:rPr>
          <w:color w:val="231F20"/>
          <w:spacing w:val="-4"/>
          <w:sz w:val="20"/>
          <w:vertAlign w:val="baseline"/>
        </w:rPr>
        <w:t>extrait.</w:t>
      </w:r>
    </w:p>
    <w:p>
      <w:pPr>
        <w:spacing w:after="0"/>
        <w:jc w:val="left"/>
        <w:rPr>
          <w:sz w:val="20"/>
        </w:rPr>
        <w:sectPr>
          <w:pgSz w:w="8790" w:h="13610"/>
          <w:pgMar w:header="0" w:footer="802" w:top="1060" w:bottom="1000" w:left="880" w:right="880"/>
        </w:sectPr>
      </w:pPr>
    </w:p>
    <w:p>
      <w:pPr>
        <w:pStyle w:val="BodyText"/>
        <w:spacing w:before="66"/>
        <w:ind w:right="101"/>
      </w:pPr>
      <w:r>
        <w:rPr>
          <w:color w:val="231F20"/>
        </w:rPr>
        <w:t>professionnalisation</w:t>
      </w:r>
      <w:r>
        <w:rPr>
          <w:color w:val="231F20"/>
          <w:spacing w:val="-15"/>
        </w:rPr>
        <w:t> </w:t>
      </w:r>
      <w:r>
        <w:rPr>
          <w:color w:val="231F20"/>
        </w:rPr>
        <w:t>à</w:t>
      </w:r>
      <w:r>
        <w:rPr>
          <w:color w:val="231F20"/>
          <w:spacing w:val="-15"/>
        </w:rPr>
        <w:t> </w:t>
      </w:r>
      <w:r>
        <w:rPr>
          <w:color w:val="231F20"/>
        </w:rPr>
        <w:t>l’École</w:t>
      </w:r>
      <w:r>
        <w:rPr>
          <w:color w:val="231F20"/>
          <w:spacing w:val="-15"/>
        </w:rPr>
        <w:t> </w:t>
      </w:r>
      <w:r>
        <w:rPr>
          <w:color w:val="231F20"/>
        </w:rPr>
        <w:t>William</w:t>
      </w:r>
      <w:r>
        <w:rPr>
          <w:color w:val="231F20"/>
          <w:spacing w:val="-15"/>
        </w:rPr>
        <w:t> </w:t>
      </w:r>
      <w:r>
        <w:rPr>
          <w:color w:val="231F20"/>
        </w:rPr>
        <w:t>Ponty</w:t>
      </w:r>
      <w:r>
        <w:rPr>
          <w:color w:val="231F20"/>
          <w:spacing w:val="-15"/>
        </w:rPr>
        <w:t> </w:t>
      </w:r>
      <w:r>
        <w:rPr>
          <w:color w:val="231F20"/>
        </w:rPr>
        <w:t>au</w:t>
      </w:r>
      <w:r>
        <w:rPr>
          <w:color w:val="231F20"/>
          <w:spacing w:val="-15"/>
        </w:rPr>
        <w:t> </w:t>
      </w:r>
      <w:r>
        <w:rPr>
          <w:color w:val="231F20"/>
        </w:rPr>
        <w:t>Sénégal,</w:t>
      </w:r>
      <w:r>
        <w:rPr>
          <w:color w:val="231F20"/>
          <w:spacing w:val="-15"/>
        </w:rPr>
        <w:t> </w:t>
      </w:r>
      <w:r>
        <w:rPr>
          <w:color w:val="231F20"/>
        </w:rPr>
        <w:t>il</w:t>
      </w:r>
      <w:r>
        <w:rPr>
          <w:color w:val="231F20"/>
          <w:spacing w:val="-15"/>
        </w:rPr>
        <w:t> </w:t>
      </w:r>
      <w:r>
        <w:rPr>
          <w:color w:val="231F20"/>
        </w:rPr>
        <w:t>est</w:t>
      </w:r>
      <w:r>
        <w:rPr>
          <w:color w:val="231F20"/>
          <w:spacing w:val="-15"/>
        </w:rPr>
        <w:t> </w:t>
      </w:r>
      <w:r>
        <w:rPr>
          <w:color w:val="231F20"/>
        </w:rPr>
        <w:t>admis</w:t>
      </w:r>
      <w:r>
        <w:rPr>
          <w:color w:val="231F20"/>
          <w:spacing w:val="-14"/>
        </w:rPr>
        <w:t> </w:t>
      </w:r>
      <w:r>
        <w:rPr>
          <w:color w:val="231F20"/>
        </w:rPr>
        <w:t>en 1963 à</w:t>
      </w:r>
      <w:r>
        <w:rPr>
          <w:color w:val="231F20"/>
          <w:spacing w:val="-1"/>
        </w:rPr>
        <w:t> </w:t>
      </w:r>
      <w:r>
        <w:rPr>
          <w:color w:val="231F20"/>
        </w:rPr>
        <w:t>l’École</w:t>
      </w:r>
      <w:r>
        <w:rPr>
          <w:color w:val="231F20"/>
          <w:spacing w:val="-1"/>
        </w:rPr>
        <w:t> </w:t>
      </w:r>
      <w:r>
        <w:rPr>
          <w:color w:val="231F20"/>
        </w:rPr>
        <w:t>Spéciale</w:t>
      </w:r>
      <w:r>
        <w:rPr>
          <w:color w:val="231F20"/>
          <w:spacing w:val="-1"/>
        </w:rPr>
        <w:t> </w:t>
      </w:r>
      <w:r>
        <w:rPr>
          <w:color w:val="231F20"/>
        </w:rPr>
        <w:t>militaire de Saint-Cyr.</w:t>
      </w:r>
    </w:p>
    <w:p>
      <w:pPr>
        <w:pStyle w:val="BodyText"/>
        <w:spacing w:before="120"/>
        <w:ind w:right="105" w:firstLine="283"/>
      </w:pPr>
      <w:r>
        <w:rPr>
          <w:color w:val="231F20"/>
        </w:rPr>
        <w:t>Chef d’état-major des Forces Armées Nationales en 1990, il crée la FIRPAC,</w:t>
      </w:r>
      <w:r>
        <w:rPr>
          <w:color w:val="231F20"/>
          <w:spacing w:val="-12"/>
        </w:rPr>
        <w:t> </w:t>
      </w:r>
      <w:r>
        <w:rPr>
          <w:color w:val="231F20"/>
        </w:rPr>
        <w:t>Force</w:t>
      </w:r>
      <w:r>
        <w:rPr>
          <w:color w:val="231F20"/>
          <w:spacing w:val="-13"/>
        </w:rPr>
        <w:t> </w:t>
      </w:r>
      <w:r>
        <w:rPr>
          <w:color w:val="231F20"/>
        </w:rPr>
        <w:t>d’Intervention</w:t>
      </w:r>
      <w:r>
        <w:rPr>
          <w:color w:val="231F20"/>
          <w:spacing w:val="-13"/>
        </w:rPr>
        <w:t> </w:t>
      </w:r>
      <w:r>
        <w:rPr>
          <w:color w:val="231F20"/>
        </w:rPr>
        <w:t>Rapide</w:t>
      </w:r>
      <w:r>
        <w:rPr>
          <w:color w:val="231F20"/>
          <w:spacing w:val="-13"/>
        </w:rPr>
        <w:t> </w:t>
      </w:r>
      <w:r>
        <w:rPr>
          <w:color w:val="231F20"/>
        </w:rPr>
        <w:t>Para-Commando.</w:t>
      </w:r>
      <w:r>
        <w:rPr>
          <w:color w:val="231F20"/>
          <w:spacing w:val="-13"/>
        </w:rPr>
        <w:t> </w:t>
      </w:r>
      <w:r>
        <w:rPr>
          <w:color w:val="231F20"/>
        </w:rPr>
        <w:t>En</w:t>
      </w:r>
      <w:r>
        <w:rPr>
          <w:color w:val="231F20"/>
          <w:spacing w:val="-13"/>
        </w:rPr>
        <w:t> </w:t>
      </w:r>
      <w:r>
        <w:rPr>
          <w:color w:val="231F20"/>
        </w:rPr>
        <w:t>1991,</w:t>
      </w:r>
      <w:r>
        <w:rPr>
          <w:color w:val="231F20"/>
          <w:spacing w:val="-13"/>
        </w:rPr>
        <w:t> </w:t>
      </w:r>
      <w:r>
        <w:rPr>
          <w:color w:val="231F20"/>
        </w:rPr>
        <w:t>il</w:t>
      </w:r>
      <w:r>
        <w:rPr>
          <w:color w:val="231F20"/>
          <w:spacing w:val="-13"/>
        </w:rPr>
        <w:t> </w:t>
      </w:r>
      <w:r>
        <w:rPr>
          <w:color w:val="231F20"/>
        </w:rPr>
        <w:t>est </w:t>
      </w:r>
      <w:r>
        <w:rPr>
          <w:color w:val="231F20"/>
          <w:spacing w:val="-2"/>
        </w:rPr>
        <w:t>promu</w:t>
      </w:r>
      <w:r>
        <w:rPr>
          <w:color w:val="231F20"/>
          <w:spacing w:val="-9"/>
        </w:rPr>
        <w:t> </w:t>
      </w:r>
      <w:r>
        <w:rPr>
          <w:color w:val="231F20"/>
          <w:spacing w:val="-2"/>
        </w:rPr>
        <w:t>au</w:t>
      </w:r>
      <w:r>
        <w:rPr>
          <w:color w:val="231F20"/>
          <w:spacing w:val="-10"/>
        </w:rPr>
        <w:t> </w:t>
      </w:r>
      <w:r>
        <w:rPr>
          <w:color w:val="231F20"/>
          <w:spacing w:val="-2"/>
        </w:rPr>
        <w:t>grade</w:t>
      </w:r>
      <w:r>
        <w:rPr>
          <w:color w:val="231F20"/>
          <w:spacing w:val="-9"/>
        </w:rPr>
        <w:t> </w:t>
      </w:r>
      <w:r>
        <w:rPr>
          <w:color w:val="231F20"/>
          <w:spacing w:val="-2"/>
        </w:rPr>
        <w:t>de</w:t>
      </w:r>
      <w:r>
        <w:rPr>
          <w:color w:val="231F20"/>
          <w:spacing w:val="-10"/>
        </w:rPr>
        <w:t> </w:t>
      </w:r>
      <w:r>
        <w:rPr>
          <w:color w:val="231F20"/>
          <w:spacing w:val="-2"/>
        </w:rPr>
        <w:t>général</w:t>
      </w:r>
      <w:r>
        <w:rPr>
          <w:color w:val="231F20"/>
          <w:spacing w:val="-9"/>
        </w:rPr>
        <w:t> </w:t>
      </w:r>
      <w:r>
        <w:rPr>
          <w:color w:val="231F20"/>
          <w:spacing w:val="-2"/>
        </w:rPr>
        <w:t>de</w:t>
      </w:r>
      <w:r>
        <w:rPr>
          <w:color w:val="231F20"/>
          <w:spacing w:val="-9"/>
        </w:rPr>
        <w:t> </w:t>
      </w:r>
      <w:r>
        <w:rPr>
          <w:color w:val="231F20"/>
          <w:spacing w:val="-2"/>
        </w:rPr>
        <w:t>brigade.</w:t>
      </w:r>
      <w:r>
        <w:rPr>
          <w:color w:val="231F20"/>
          <w:spacing w:val="-9"/>
        </w:rPr>
        <w:t> </w:t>
      </w:r>
      <w:r>
        <w:rPr>
          <w:color w:val="231F20"/>
          <w:spacing w:val="-2"/>
        </w:rPr>
        <w:t>En</w:t>
      </w:r>
      <w:r>
        <w:rPr>
          <w:color w:val="231F20"/>
          <w:spacing w:val="-9"/>
        </w:rPr>
        <w:t> </w:t>
      </w:r>
      <w:r>
        <w:rPr>
          <w:color w:val="231F20"/>
          <w:spacing w:val="-2"/>
        </w:rPr>
        <w:t>octobre</w:t>
      </w:r>
      <w:r>
        <w:rPr>
          <w:color w:val="231F20"/>
          <w:spacing w:val="-11"/>
        </w:rPr>
        <w:t> </w:t>
      </w:r>
      <w:r>
        <w:rPr>
          <w:color w:val="231F20"/>
          <w:spacing w:val="-2"/>
        </w:rPr>
        <w:t>1995,</w:t>
      </w:r>
      <w:r>
        <w:rPr>
          <w:color w:val="231F20"/>
          <w:spacing w:val="-9"/>
        </w:rPr>
        <w:t> </w:t>
      </w:r>
      <w:r>
        <w:rPr>
          <w:color w:val="231F20"/>
          <w:spacing w:val="-2"/>
        </w:rPr>
        <w:t>il</w:t>
      </w:r>
      <w:r>
        <w:rPr>
          <w:color w:val="231F20"/>
          <w:spacing w:val="-9"/>
        </w:rPr>
        <w:t> </w:t>
      </w:r>
      <w:r>
        <w:rPr>
          <w:color w:val="231F20"/>
          <w:spacing w:val="-2"/>
        </w:rPr>
        <w:t>est</w:t>
      </w:r>
      <w:r>
        <w:rPr>
          <w:color w:val="231F20"/>
          <w:spacing w:val="-9"/>
        </w:rPr>
        <w:t> </w:t>
      </w:r>
      <w:r>
        <w:rPr>
          <w:color w:val="231F20"/>
          <w:spacing w:val="-2"/>
        </w:rPr>
        <w:t>limogé</w:t>
      </w:r>
      <w:r>
        <w:rPr>
          <w:color w:val="231F20"/>
          <w:spacing w:val="-9"/>
        </w:rPr>
        <w:t> </w:t>
      </w:r>
      <w:r>
        <w:rPr>
          <w:color w:val="231F20"/>
          <w:spacing w:val="-2"/>
        </w:rPr>
        <w:t>par </w:t>
      </w:r>
      <w:r>
        <w:rPr>
          <w:color w:val="231F20"/>
        </w:rPr>
        <w:t>Henri</w:t>
      </w:r>
      <w:r>
        <w:rPr>
          <w:color w:val="231F20"/>
          <w:spacing w:val="-10"/>
        </w:rPr>
        <w:t> </w:t>
      </w:r>
      <w:r>
        <w:rPr>
          <w:color w:val="231F20"/>
        </w:rPr>
        <w:t>Konan</w:t>
      </w:r>
      <w:r>
        <w:rPr>
          <w:color w:val="231F20"/>
          <w:spacing w:val="-11"/>
        </w:rPr>
        <w:t> </w:t>
      </w:r>
      <w:r>
        <w:rPr>
          <w:color w:val="231F20"/>
        </w:rPr>
        <w:t>Bédié</w:t>
      </w:r>
      <w:r>
        <w:rPr>
          <w:color w:val="231F20"/>
          <w:spacing w:val="-9"/>
        </w:rPr>
        <w:t> </w:t>
      </w:r>
      <w:r>
        <w:rPr>
          <w:color w:val="231F20"/>
        </w:rPr>
        <w:t>pour</w:t>
      </w:r>
      <w:r>
        <w:rPr>
          <w:color w:val="231F20"/>
          <w:spacing w:val="-14"/>
        </w:rPr>
        <w:t> </w:t>
      </w:r>
      <w:r>
        <w:rPr>
          <w:color w:val="231F20"/>
        </w:rPr>
        <w:t>avoir</w:t>
      </w:r>
      <w:r>
        <w:rPr>
          <w:color w:val="231F20"/>
          <w:spacing w:val="-10"/>
        </w:rPr>
        <w:t> </w:t>
      </w:r>
      <w:r>
        <w:rPr>
          <w:color w:val="231F20"/>
        </w:rPr>
        <w:t>refusé</w:t>
      </w:r>
      <w:r>
        <w:rPr>
          <w:color w:val="231F20"/>
          <w:spacing w:val="-11"/>
        </w:rPr>
        <w:t> </w:t>
      </w:r>
      <w:r>
        <w:rPr>
          <w:color w:val="231F20"/>
        </w:rPr>
        <w:t>de</w:t>
      </w:r>
      <w:r>
        <w:rPr>
          <w:color w:val="231F20"/>
          <w:spacing w:val="-10"/>
        </w:rPr>
        <w:t> </w:t>
      </w:r>
      <w:r>
        <w:rPr>
          <w:color w:val="231F20"/>
        </w:rPr>
        <w:t>faire</w:t>
      </w:r>
      <w:r>
        <w:rPr>
          <w:color w:val="231F20"/>
          <w:spacing w:val="-10"/>
        </w:rPr>
        <w:t> </w:t>
      </w:r>
      <w:r>
        <w:rPr>
          <w:color w:val="231F20"/>
        </w:rPr>
        <w:t>intervenir</w:t>
      </w:r>
      <w:r>
        <w:rPr>
          <w:color w:val="231F20"/>
          <w:spacing w:val="-10"/>
        </w:rPr>
        <w:t> </w:t>
      </w:r>
      <w:r>
        <w:rPr>
          <w:color w:val="231F20"/>
        </w:rPr>
        <w:t>ses</w:t>
      </w:r>
      <w:r>
        <w:rPr>
          <w:color w:val="231F20"/>
          <w:spacing w:val="-11"/>
        </w:rPr>
        <w:t> </w:t>
      </w:r>
      <w:r>
        <w:rPr>
          <w:color w:val="231F20"/>
        </w:rPr>
        <w:t>troupes</w:t>
      </w:r>
      <w:r>
        <w:rPr>
          <w:color w:val="231F20"/>
          <w:spacing w:val="-11"/>
        </w:rPr>
        <w:t> </w:t>
      </w:r>
      <w:r>
        <w:rPr>
          <w:color w:val="231F20"/>
        </w:rPr>
        <w:t>lors </w:t>
      </w:r>
      <w:r>
        <w:rPr>
          <w:color w:val="231F20"/>
          <w:spacing w:val="-2"/>
        </w:rPr>
        <w:t>de</w:t>
      </w:r>
      <w:r>
        <w:rPr>
          <w:color w:val="231F20"/>
          <w:spacing w:val="-15"/>
        </w:rPr>
        <w:t> </w:t>
      </w:r>
      <w:r>
        <w:rPr>
          <w:color w:val="231F20"/>
          <w:spacing w:val="-2"/>
        </w:rPr>
        <w:t>la</w:t>
      </w:r>
      <w:r>
        <w:rPr>
          <w:color w:val="231F20"/>
          <w:spacing w:val="-13"/>
        </w:rPr>
        <w:t> </w:t>
      </w:r>
      <w:r>
        <w:rPr>
          <w:color w:val="231F20"/>
          <w:spacing w:val="-2"/>
        </w:rPr>
        <w:t>marche</w:t>
      </w:r>
      <w:r>
        <w:rPr>
          <w:color w:val="231F20"/>
          <w:spacing w:val="-13"/>
        </w:rPr>
        <w:t> </w:t>
      </w:r>
      <w:r>
        <w:rPr>
          <w:color w:val="231F20"/>
          <w:spacing w:val="-2"/>
        </w:rPr>
        <w:t>de</w:t>
      </w:r>
      <w:r>
        <w:rPr>
          <w:color w:val="231F20"/>
          <w:spacing w:val="-13"/>
        </w:rPr>
        <w:t> </w:t>
      </w:r>
      <w:r>
        <w:rPr>
          <w:color w:val="231F20"/>
          <w:spacing w:val="-2"/>
        </w:rPr>
        <w:t>protestation</w:t>
      </w:r>
      <w:r>
        <w:rPr>
          <w:color w:val="231F20"/>
          <w:spacing w:val="-13"/>
        </w:rPr>
        <w:t> </w:t>
      </w:r>
      <w:r>
        <w:rPr>
          <w:color w:val="231F20"/>
          <w:spacing w:val="-2"/>
        </w:rPr>
        <w:t>des</w:t>
      </w:r>
      <w:r>
        <w:rPr>
          <w:color w:val="231F20"/>
          <w:spacing w:val="-13"/>
        </w:rPr>
        <w:t> </w:t>
      </w:r>
      <w:r>
        <w:rPr>
          <w:color w:val="231F20"/>
          <w:spacing w:val="-2"/>
        </w:rPr>
        <w:t>partisans</w:t>
      </w:r>
      <w:r>
        <w:rPr>
          <w:color w:val="231F20"/>
          <w:spacing w:val="-13"/>
        </w:rPr>
        <w:t> </w:t>
      </w:r>
      <w:r>
        <w:rPr>
          <w:color w:val="231F20"/>
          <w:spacing w:val="-2"/>
        </w:rPr>
        <w:t>d’Alassane</w:t>
      </w:r>
      <w:r>
        <w:rPr>
          <w:color w:val="231F20"/>
          <w:spacing w:val="-13"/>
        </w:rPr>
        <w:t> </w:t>
      </w:r>
      <w:r>
        <w:rPr>
          <w:color w:val="231F20"/>
          <w:spacing w:val="-2"/>
        </w:rPr>
        <w:t>Ouattara</w:t>
      </w:r>
      <w:r>
        <w:rPr>
          <w:color w:val="231F20"/>
          <w:spacing w:val="-13"/>
        </w:rPr>
        <w:t> </w:t>
      </w:r>
      <w:r>
        <w:rPr>
          <w:color w:val="231F20"/>
          <w:spacing w:val="-2"/>
        </w:rPr>
        <w:t>et</w:t>
      </w:r>
      <w:r>
        <w:rPr>
          <w:color w:val="231F20"/>
          <w:spacing w:val="-13"/>
        </w:rPr>
        <w:t> </w:t>
      </w:r>
      <w:r>
        <w:rPr>
          <w:color w:val="231F20"/>
          <w:spacing w:val="-2"/>
        </w:rPr>
        <w:t>ceux</w:t>
      </w:r>
      <w:r>
        <w:rPr>
          <w:color w:val="231F20"/>
          <w:spacing w:val="-13"/>
        </w:rPr>
        <w:t> </w:t>
      </w:r>
      <w:r>
        <w:rPr>
          <w:color w:val="231F20"/>
          <w:spacing w:val="-2"/>
        </w:rPr>
        <w:t>du </w:t>
      </w:r>
      <w:r>
        <w:rPr>
          <w:color w:val="231F20"/>
        </w:rPr>
        <w:t>Front</w:t>
      </w:r>
      <w:r>
        <w:rPr>
          <w:color w:val="231F20"/>
          <w:spacing w:val="-3"/>
        </w:rPr>
        <w:t> </w:t>
      </w:r>
      <w:r>
        <w:rPr>
          <w:color w:val="231F20"/>
        </w:rPr>
        <w:t>populaire ivoirien</w:t>
      </w:r>
      <w:r>
        <w:rPr>
          <w:color w:val="231F20"/>
          <w:spacing w:val="-15"/>
        </w:rPr>
        <w:t> </w:t>
      </w:r>
      <w:r>
        <w:rPr>
          <w:color w:val="231F20"/>
        </w:rPr>
        <w:t>de</w:t>
      </w:r>
      <w:r>
        <w:rPr>
          <w:color w:val="231F20"/>
          <w:spacing w:val="-15"/>
        </w:rPr>
        <w:t> </w:t>
      </w:r>
      <w:r>
        <w:rPr>
          <w:color w:val="231F20"/>
        </w:rPr>
        <w:t>Laurent Gbagbo qui réclamaient le boycott </w:t>
      </w:r>
      <w:r>
        <w:rPr>
          <w:color w:val="231F20"/>
          <w:spacing w:val="-4"/>
        </w:rPr>
        <w:t>actif</w:t>
      </w:r>
      <w:r>
        <w:rPr>
          <w:color w:val="231F20"/>
          <w:spacing w:val="-11"/>
        </w:rPr>
        <w:t> </w:t>
      </w:r>
      <w:r>
        <w:rPr>
          <w:color w:val="231F20"/>
          <w:spacing w:val="-4"/>
        </w:rPr>
        <w:t>des</w:t>
      </w:r>
      <w:r>
        <w:rPr>
          <w:color w:val="231F20"/>
          <w:spacing w:val="-11"/>
        </w:rPr>
        <w:t> </w:t>
      </w:r>
      <w:r>
        <w:rPr>
          <w:color w:val="231F20"/>
          <w:spacing w:val="-4"/>
        </w:rPr>
        <w:t>élections</w:t>
      </w:r>
      <w:r>
        <w:rPr>
          <w:color w:val="231F20"/>
          <w:spacing w:val="-11"/>
        </w:rPr>
        <w:t> </w:t>
      </w:r>
      <w:r>
        <w:rPr>
          <w:color w:val="231F20"/>
          <w:spacing w:val="-4"/>
        </w:rPr>
        <w:t>:</w:t>
      </w:r>
      <w:r>
        <w:rPr>
          <w:color w:val="231F20"/>
          <w:spacing w:val="-11"/>
        </w:rPr>
        <w:t> </w:t>
      </w:r>
      <w:r>
        <w:rPr>
          <w:color w:val="231F20"/>
          <w:spacing w:val="-4"/>
        </w:rPr>
        <w:t>«</w:t>
      </w:r>
      <w:r>
        <w:rPr>
          <w:color w:val="231F20"/>
          <w:spacing w:val="-11"/>
        </w:rPr>
        <w:t> </w:t>
      </w:r>
      <w:r>
        <w:rPr>
          <w:color w:val="231F20"/>
          <w:spacing w:val="-4"/>
        </w:rPr>
        <w:t>l’Armée</w:t>
      </w:r>
      <w:r>
        <w:rPr>
          <w:color w:val="231F20"/>
          <w:spacing w:val="-11"/>
        </w:rPr>
        <w:t> </w:t>
      </w:r>
      <w:r>
        <w:rPr>
          <w:color w:val="231F20"/>
          <w:spacing w:val="-4"/>
        </w:rPr>
        <w:t>ne</w:t>
      </w:r>
      <w:r>
        <w:rPr>
          <w:color w:val="231F20"/>
          <w:spacing w:val="-11"/>
        </w:rPr>
        <w:t> </w:t>
      </w:r>
      <w:r>
        <w:rPr>
          <w:color w:val="231F20"/>
          <w:spacing w:val="-4"/>
        </w:rPr>
        <w:t>doit</w:t>
      </w:r>
      <w:r>
        <w:rPr>
          <w:color w:val="231F20"/>
          <w:spacing w:val="-11"/>
        </w:rPr>
        <w:t> </w:t>
      </w:r>
      <w:r>
        <w:rPr>
          <w:color w:val="231F20"/>
          <w:spacing w:val="-4"/>
        </w:rPr>
        <w:t>intervenir</w:t>
      </w:r>
      <w:r>
        <w:rPr>
          <w:color w:val="231F20"/>
          <w:spacing w:val="-11"/>
        </w:rPr>
        <w:t> </w:t>
      </w:r>
      <w:r>
        <w:rPr>
          <w:color w:val="231F20"/>
          <w:spacing w:val="-4"/>
        </w:rPr>
        <w:t>que</w:t>
      </w:r>
      <w:r>
        <w:rPr>
          <w:color w:val="231F20"/>
          <w:spacing w:val="-11"/>
        </w:rPr>
        <w:t> </w:t>
      </w:r>
      <w:r>
        <w:rPr>
          <w:color w:val="231F20"/>
          <w:spacing w:val="-4"/>
        </w:rPr>
        <w:t>lorsque</w:t>
      </w:r>
      <w:r>
        <w:rPr>
          <w:color w:val="231F20"/>
          <w:spacing w:val="-11"/>
        </w:rPr>
        <w:t> </w:t>
      </w:r>
      <w:r>
        <w:rPr>
          <w:color w:val="231F20"/>
          <w:spacing w:val="-4"/>
        </w:rPr>
        <w:t>la</w:t>
      </w:r>
      <w:r>
        <w:rPr>
          <w:color w:val="231F20"/>
          <w:spacing w:val="-11"/>
        </w:rPr>
        <w:t> </w:t>
      </w:r>
      <w:r>
        <w:rPr>
          <w:color w:val="231F20"/>
          <w:spacing w:val="-4"/>
        </w:rPr>
        <w:t>République </w:t>
      </w:r>
      <w:r>
        <w:rPr>
          <w:color w:val="231F20"/>
        </w:rPr>
        <w:t>est en danger…</w:t>
      </w:r>
      <w:r>
        <w:rPr>
          <w:color w:val="231F20"/>
          <w:spacing w:val="-12"/>
        </w:rPr>
        <w:t> </w:t>
      </w:r>
      <w:r>
        <w:rPr>
          <w:color w:val="231F20"/>
        </w:rPr>
        <w:t>»</w:t>
      </w:r>
      <w:r>
        <w:rPr>
          <w:color w:val="231F20"/>
          <w:spacing w:val="-15"/>
        </w:rPr>
        <w:t> </w:t>
      </w:r>
      <w:r>
        <w:rPr>
          <w:color w:val="231F20"/>
        </w:rPr>
        <w:t>Renvoyé de son poste de Chef d’état-major, il est nommé</w:t>
      </w:r>
      <w:r>
        <w:rPr>
          <w:color w:val="231F20"/>
          <w:spacing w:val="-14"/>
        </w:rPr>
        <w:t> </w:t>
      </w:r>
      <w:r>
        <w:rPr>
          <w:color w:val="231F20"/>
        </w:rPr>
        <w:t>ministre</w:t>
      </w:r>
      <w:r>
        <w:rPr>
          <w:color w:val="231F20"/>
          <w:spacing w:val="-12"/>
        </w:rPr>
        <w:t> </w:t>
      </w:r>
      <w:r>
        <w:rPr>
          <w:color w:val="231F20"/>
        </w:rPr>
        <w:t>du</w:t>
      </w:r>
      <w:r>
        <w:rPr>
          <w:color w:val="231F20"/>
          <w:spacing w:val="-14"/>
        </w:rPr>
        <w:t> </w:t>
      </w:r>
      <w:r>
        <w:rPr>
          <w:color w:val="231F20"/>
        </w:rPr>
        <w:t>Service</w:t>
      </w:r>
      <w:r>
        <w:rPr>
          <w:color w:val="231F20"/>
          <w:spacing w:val="-12"/>
        </w:rPr>
        <w:t> </w:t>
      </w:r>
      <w:r>
        <w:rPr>
          <w:color w:val="231F20"/>
        </w:rPr>
        <w:t>civique</w:t>
      </w:r>
      <w:r>
        <w:rPr>
          <w:color w:val="231F20"/>
          <w:spacing w:val="-15"/>
        </w:rPr>
        <w:t> </w:t>
      </w:r>
      <w:r>
        <w:rPr>
          <w:color w:val="231F20"/>
        </w:rPr>
        <w:t>puis</w:t>
      </w:r>
      <w:r>
        <w:rPr>
          <w:color w:val="231F20"/>
          <w:spacing w:val="-13"/>
        </w:rPr>
        <w:t> </w:t>
      </w:r>
      <w:r>
        <w:rPr>
          <w:color w:val="231F20"/>
        </w:rPr>
        <w:t>de</w:t>
      </w:r>
      <w:r>
        <w:rPr>
          <w:color w:val="231F20"/>
          <w:spacing w:val="-12"/>
        </w:rPr>
        <w:t> </w:t>
      </w:r>
      <w:r>
        <w:rPr>
          <w:color w:val="231F20"/>
        </w:rPr>
        <w:t>la</w:t>
      </w:r>
      <w:r>
        <w:rPr>
          <w:color w:val="231F20"/>
          <w:spacing w:val="-14"/>
        </w:rPr>
        <w:t> </w:t>
      </w:r>
      <w:r>
        <w:rPr>
          <w:color w:val="231F20"/>
        </w:rPr>
        <w:t>Jeunesse</w:t>
      </w:r>
      <w:r>
        <w:rPr>
          <w:color w:val="231F20"/>
          <w:spacing w:val="-12"/>
        </w:rPr>
        <w:t> </w:t>
      </w:r>
      <w:r>
        <w:rPr>
          <w:color w:val="231F20"/>
        </w:rPr>
        <w:t>et</w:t>
      </w:r>
      <w:r>
        <w:rPr>
          <w:color w:val="231F20"/>
          <w:spacing w:val="-12"/>
        </w:rPr>
        <w:t> </w:t>
      </w:r>
      <w:r>
        <w:rPr>
          <w:color w:val="231F20"/>
        </w:rPr>
        <w:t>des</w:t>
      </w:r>
      <w:r>
        <w:rPr>
          <w:color w:val="231F20"/>
          <w:spacing w:val="-14"/>
        </w:rPr>
        <w:t> </w:t>
      </w:r>
      <w:r>
        <w:rPr>
          <w:color w:val="231F20"/>
        </w:rPr>
        <w:t>sports.</w:t>
      </w:r>
      <w:r>
        <w:rPr>
          <w:color w:val="231F20"/>
          <w:spacing w:val="-14"/>
        </w:rPr>
        <w:t> </w:t>
      </w:r>
      <w:r>
        <w:rPr>
          <w:color w:val="231F20"/>
        </w:rPr>
        <w:t>En 1996,</w:t>
      </w:r>
      <w:r>
        <w:rPr>
          <w:color w:val="231F20"/>
          <w:spacing w:val="-4"/>
        </w:rPr>
        <w:t> </w:t>
      </w:r>
      <w:r>
        <w:rPr>
          <w:color w:val="231F20"/>
        </w:rPr>
        <w:t>il</w:t>
      </w:r>
      <w:r>
        <w:rPr>
          <w:color w:val="231F20"/>
          <w:spacing w:val="-2"/>
        </w:rPr>
        <w:t> </w:t>
      </w:r>
      <w:r>
        <w:rPr>
          <w:color w:val="231F20"/>
        </w:rPr>
        <w:t>est</w:t>
      </w:r>
      <w:r>
        <w:rPr>
          <w:color w:val="231F20"/>
          <w:spacing w:val="-2"/>
        </w:rPr>
        <w:t> </w:t>
      </w:r>
      <w:r>
        <w:rPr>
          <w:color w:val="231F20"/>
        </w:rPr>
        <w:t>accusé</w:t>
      </w:r>
      <w:r>
        <w:rPr>
          <w:color w:val="231F20"/>
          <w:spacing w:val="-4"/>
        </w:rPr>
        <w:t> </w:t>
      </w:r>
      <w:r>
        <w:rPr>
          <w:color w:val="231F20"/>
        </w:rPr>
        <w:t>de</w:t>
      </w:r>
      <w:r>
        <w:rPr>
          <w:color w:val="231F20"/>
          <w:spacing w:val="-2"/>
        </w:rPr>
        <w:t> </w:t>
      </w:r>
      <w:r>
        <w:rPr>
          <w:color w:val="231F20"/>
        </w:rPr>
        <w:t>tentative</w:t>
      </w:r>
      <w:r>
        <w:rPr>
          <w:color w:val="231F20"/>
          <w:spacing w:val="-4"/>
        </w:rPr>
        <w:t> </w:t>
      </w:r>
      <w:r>
        <w:rPr>
          <w:color w:val="231F20"/>
        </w:rPr>
        <w:t>de</w:t>
      </w:r>
      <w:r>
        <w:rPr>
          <w:color w:val="231F20"/>
          <w:spacing w:val="-4"/>
        </w:rPr>
        <w:t> </w:t>
      </w:r>
      <w:r>
        <w:rPr>
          <w:color w:val="231F20"/>
        </w:rPr>
        <w:t>putsch.</w:t>
      </w:r>
      <w:r>
        <w:rPr>
          <w:color w:val="231F20"/>
          <w:spacing w:val="-4"/>
        </w:rPr>
        <w:t> </w:t>
      </w:r>
      <w:r>
        <w:rPr>
          <w:color w:val="231F20"/>
        </w:rPr>
        <w:t>Radié</w:t>
      </w:r>
      <w:r>
        <w:rPr>
          <w:color w:val="231F20"/>
          <w:spacing w:val="-4"/>
        </w:rPr>
        <w:t> </w:t>
      </w:r>
      <w:r>
        <w:rPr>
          <w:color w:val="231F20"/>
        </w:rPr>
        <w:t>de</w:t>
      </w:r>
      <w:r>
        <w:rPr>
          <w:color w:val="231F20"/>
          <w:spacing w:val="-3"/>
        </w:rPr>
        <w:t> </w:t>
      </w:r>
      <w:r>
        <w:rPr>
          <w:color w:val="231F20"/>
        </w:rPr>
        <w:t>l’Armée,</w:t>
      </w:r>
      <w:r>
        <w:rPr>
          <w:color w:val="231F20"/>
          <w:spacing w:val="-4"/>
        </w:rPr>
        <w:t> </w:t>
      </w:r>
      <w:r>
        <w:rPr>
          <w:color w:val="231F20"/>
        </w:rPr>
        <w:t>il</w:t>
      </w:r>
      <w:r>
        <w:rPr>
          <w:color w:val="231F20"/>
          <w:spacing w:val="-4"/>
        </w:rPr>
        <w:t> </w:t>
      </w:r>
      <w:r>
        <w:rPr>
          <w:color w:val="231F20"/>
        </w:rPr>
        <w:t>se</w:t>
      </w:r>
      <w:r>
        <w:rPr>
          <w:color w:val="231F20"/>
          <w:spacing w:val="-3"/>
        </w:rPr>
        <w:t> </w:t>
      </w:r>
      <w:r>
        <w:rPr>
          <w:color w:val="231F20"/>
        </w:rPr>
        <w:t>retire dans</w:t>
      </w:r>
      <w:r>
        <w:rPr>
          <w:color w:val="231F20"/>
          <w:spacing w:val="-4"/>
        </w:rPr>
        <w:t> </w:t>
      </w:r>
      <w:r>
        <w:rPr>
          <w:color w:val="231F20"/>
        </w:rPr>
        <w:t>sa</w:t>
      </w:r>
      <w:r>
        <w:rPr>
          <w:color w:val="231F20"/>
          <w:spacing w:val="-4"/>
        </w:rPr>
        <w:t> </w:t>
      </w:r>
      <w:r>
        <w:rPr>
          <w:color w:val="231F20"/>
        </w:rPr>
        <w:t>région</w:t>
      </w:r>
      <w:r>
        <w:rPr>
          <w:color w:val="231F20"/>
          <w:spacing w:val="-6"/>
        </w:rPr>
        <w:t> </w:t>
      </w:r>
      <w:r>
        <w:rPr>
          <w:color w:val="231F20"/>
        </w:rPr>
        <w:t>natale.</w:t>
      </w:r>
      <w:r>
        <w:rPr>
          <w:color w:val="231F20"/>
          <w:spacing w:val="-4"/>
        </w:rPr>
        <w:t> </w:t>
      </w:r>
      <w:r>
        <w:rPr>
          <w:color w:val="231F20"/>
        </w:rPr>
        <w:t>En</w:t>
      </w:r>
      <w:r>
        <w:rPr>
          <w:color w:val="231F20"/>
          <w:spacing w:val="-6"/>
        </w:rPr>
        <w:t> </w:t>
      </w:r>
      <w:r>
        <w:rPr>
          <w:color w:val="231F20"/>
        </w:rPr>
        <w:t>janvier</w:t>
      </w:r>
      <w:r>
        <w:rPr>
          <w:color w:val="231F20"/>
          <w:spacing w:val="-4"/>
        </w:rPr>
        <w:t> </w:t>
      </w:r>
      <w:r>
        <w:rPr>
          <w:color w:val="231F20"/>
        </w:rPr>
        <w:t>1997,</w:t>
      </w:r>
      <w:r>
        <w:rPr>
          <w:color w:val="231F20"/>
          <w:spacing w:val="-6"/>
        </w:rPr>
        <w:t> </w:t>
      </w:r>
      <w:r>
        <w:rPr>
          <w:color w:val="231F20"/>
        </w:rPr>
        <w:t>il</w:t>
      </w:r>
      <w:r>
        <w:rPr>
          <w:color w:val="231F20"/>
          <w:spacing w:val="-5"/>
        </w:rPr>
        <w:t> </w:t>
      </w:r>
      <w:r>
        <w:rPr>
          <w:color w:val="231F20"/>
        </w:rPr>
        <w:t>est</w:t>
      </w:r>
      <w:r>
        <w:rPr>
          <w:color w:val="231F20"/>
          <w:spacing w:val="-6"/>
        </w:rPr>
        <w:t> </w:t>
      </w:r>
      <w:r>
        <w:rPr>
          <w:color w:val="231F20"/>
        </w:rPr>
        <w:t>mis</w:t>
      </w:r>
      <w:r>
        <w:rPr>
          <w:color w:val="231F20"/>
          <w:spacing w:val="-3"/>
        </w:rPr>
        <w:t> </w:t>
      </w:r>
      <w:r>
        <w:rPr>
          <w:color w:val="231F20"/>
        </w:rPr>
        <w:t>à</w:t>
      </w:r>
      <w:r>
        <w:rPr>
          <w:color w:val="231F20"/>
          <w:spacing w:val="-4"/>
        </w:rPr>
        <w:t> </w:t>
      </w:r>
      <w:r>
        <w:rPr>
          <w:color w:val="231F20"/>
        </w:rPr>
        <w:t>la</w:t>
      </w:r>
      <w:r>
        <w:rPr>
          <w:color w:val="231F20"/>
          <w:spacing w:val="-7"/>
        </w:rPr>
        <w:t> </w:t>
      </w:r>
      <w:r>
        <w:rPr>
          <w:color w:val="231F20"/>
        </w:rPr>
        <w:t>retraite.</w:t>
      </w:r>
    </w:p>
    <w:p>
      <w:pPr>
        <w:pStyle w:val="BodyText"/>
        <w:spacing w:before="208"/>
        <w:ind w:left="0"/>
        <w:jc w:val="left"/>
      </w:pPr>
    </w:p>
    <w:p>
      <w:pPr>
        <w:pStyle w:val="Heading3"/>
        <w:rPr>
          <w:i/>
        </w:rPr>
      </w:pPr>
      <w:bookmarkStart w:name="_TOC_250017" w:id="26"/>
      <w:r>
        <w:rPr>
          <w:i/>
          <w:color w:val="231F20"/>
          <w:spacing w:val="-2"/>
        </w:rPr>
        <w:t>Des</w:t>
      </w:r>
      <w:r>
        <w:rPr>
          <w:i/>
          <w:color w:val="231F20"/>
          <w:spacing w:val="-9"/>
        </w:rPr>
        <w:t> </w:t>
      </w:r>
      <w:r>
        <w:rPr>
          <w:i/>
          <w:color w:val="231F20"/>
          <w:spacing w:val="-2"/>
        </w:rPr>
        <w:t>soudards</w:t>
      </w:r>
      <w:r>
        <w:rPr>
          <w:i/>
          <w:color w:val="231F20"/>
          <w:spacing w:val="-10"/>
        </w:rPr>
        <w:t> </w:t>
      </w:r>
      <w:r>
        <w:rPr>
          <w:i/>
          <w:color w:val="231F20"/>
          <w:spacing w:val="-2"/>
        </w:rPr>
        <w:t>maîtres</w:t>
      </w:r>
      <w:r>
        <w:rPr>
          <w:i/>
          <w:color w:val="231F20"/>
          <w:spacing w:val="-10"/>
        </w:rPr>
        <w:t> </w:t>
      </w:r>
      <w:r>
        <w:rPr>
          <w:i/>
          <w:color w:val="231F20"/>
          <w:spacing w:val="-2"/>
        </w:rPr>
        <w:t>du</w:t>
      </w:r>
      <w:r>
        <w:rPr>
          <w:i/>
          <w:color w:val="231F20"/>
          <w:spacing w:val="-8"/>
        </w:rPr>
        <w:t> </w:t>
      </w:r>
      <w:bookmarkEnd w:id="26"/>
      <w:r>
        <w:rPr>
          <w:i/>
          <w:color w:val="231F20"/>
          <w:spacing w:val="-2"/>
        </w:rPr>
        <w:t>palais</w:t>
      </w:r>
    </w:p>
    <w:p>
      <w:pPr>
        <w:pStyle w:val="BodyText"/>
        <w:spacing w:before="255"/>
        <w:ind w:right="104" w:firstLine="283"/>
      </w:pPr>
      <w:r>
        <w:rPr>
          <w:color w:val="231F20"/>
        </w:rPr>
        <w:t>Le général Robert Guéï s’autoproclame chef de l’État. Face aux </w:t>
      </w:r>
      <w:r>
        <w:rPr>
          <w:color w:val="231F20"/>
          <w:spacing w:val="-2"/>
        </w:rPr>
        <w:t>journalistes,</w:t>
      </w:r>
      <w:r>
        <w:rPr>
          <w:color w:val="231F20"/>
          <w:spacing w:val="-13"/>
        </w:rPr>
        <w:t> </w:t>
      </w:r>
      <w:r>
        <w:rPr>
          <w:color w:val="231F20"/>
          <w:spacing w:val="-2"/>
        </w:rPr>
        <w:t>il</w:t>
      </w:r>
      <w:r>
        <w:rPr>
          <w:color w:val="231F20"/>
          <w:spacing w:val="-13"/>
        </w:rPr>
        <w:t> </w:t>
      </w:r>
      <w:r>
        <w:rPr>
          <w:color w:val="231F20"/>
          <w:spacing w:val="-2"/>
        </w:rPr>
        <w:t>fait</w:t>
      </w:r>
      <w:r>
        <w:rPr>
          <w:color w:val="231F20"/>
          <w:spacing w:val="-13"/>
        </w:rPr>
        <w:t> </w:t>
      </w:r>
      <w:r>
        <w:rPr>
          <w:color w:val="231F20"/>
          <w:spacing w:val="-2"/>
        </w:rPr>
        <w:t>le</w:t>
      </w:r>
      <w:r>
        <w:rPr>
          <w:color w:val="231F20"/>
          <w:spacing w:val="-13"/>
        </w:rPr>
        <w:t> </w:t>
      </w:r>
      <w:r>
        <w:rPr>
          <w:color w:val="231F20"/>
          <w:spacing w:val="-2"/>
        </w:rPr>
        <w:t>procès</w:t>
      </w:r>
      <w:r>
        <w:rPr>
          <w:color w:val="231F20"/>
          <w:spacing w:val="-13"/>
        </w:rPr>
        <w:t> </w:t>
      </w:r>
      <w:r>
        <w:rPr>
          <w:color w:val="231F20"/>
          <w:spacing w:val="-2"/>
        </w:rPr>
        <w:t>du</w:t>
      </w:r>
      <w:r>
        <w:rPr>
          <w:color w:val="231F20"/>
          <w:spacing w:val="-13"/>
        </w:rPr>
        <w:t> </w:t>
      </w:r>
      <w:r>
        <w:rPr>
          <w:color w:val="231F20"/>
          <w:spacing w:val="-2"/>
        </w:rPr>
        <w:t>président</w:t>
      </w:r>
      <w:r>
        <w:rPr>
          <w:color w:val="231F20"/>
          <w:spacing w:val="-13"/>
        </w:rPr>
        <w:t> </w:t>
      </w:r>
      <w:r>
        <w:rPr>
          <w:color w:val="231F20"/>
          <w:spacing w:val="-2"/>
        </w:rPr>
        <w:t>renversé</w:t>
      </w:r>
      <w:r>
        <w:rPr>
          <w:color w:val="231F20"/>
          <w:spacing w:val="-11"/>
        </w:rPr>
        <w:t> </w:t>
      </w:r>
      <w:r>
        <w:rPr>
          <w:color w:val="231F20"/>
          <w:spacing w:val="-2"/>
        </w:rPr>
        <w:t>:</w:t>
      </w:r>
      <w:r>
        <w:rPr>
          <w:color w:val="231F20"/>
          <w:spacing w:val="-13"/>
        </w:rPr>
        <w:t> </w:t>
      </w:r>
      <w:r>
        <w:rPr>
          <w:color w:val="231F20"/>
          <w:spacing w:val="-2"/>
        </w:rPr>
        <w:t>«</w:t>
      </w:r>
      <w:r>
        <w:rPr>
          <w:color w:val="231F20"/>
          <w:spacing w:val="-10"/>
        </w:rPr>
        <w:t> </w:t>
      </w:r>
      <w:r>
        <w:rPr>
          <w:color w:val="231F20"/>
          <w:spacing w:val="-2"/>
        </w:rPr>
        <w:t>Il</w:t>
      </w:r>
      <w:r>
        <w:rPr>
          <w:color w:val="231F20"/>
          <w:spacing w:val="-13"/>
        </w:rPr>
        <w:t> </w:t>
      </w:r>
      <w:r>
        <w:rPr>
          <w:color w:val="231F20"/>
          <w:spacing w:val="-2"/>
        </w:rPr>
        <w:t>n’y</w:t>
      </w:r>
      <w:r>
        <w:rPr>
          <w:color w:val="231F20"/>
          <w:spacing w:val="-13"/>
        </w:rPr>
        <w:t> </w:t>
      </w:r>
      <w:r>
        <w:rPr>
          <w:color w:val="231F20"/>
          <w:spacing w:val="-2"/>
        </w:rPr>
        <w:t>a</w:t>
      </w:r>
      <w:r>
        <w:rPr>
          <w:color w:val="231F20"/>
          <w:spacing w:val="-13"/>
        </w:rPr>
        <w:t> </w:t>
      </w:r>
      <w:r>
        <w:rPr>
          <w:color w:val="231F20"/>
          <w:spacing w:val="-2"/>
        </w:rPr>
        <w:t>rien</w:t>
      </w:r>
      <w:r>
        <w:rPr>
          <w:color w:val="231F20"/>
          <w:spacing w:val="-13"/>
        </w:rPr>
        <w:t> </w:t>
      </w:r>
      <w:r>
        <w:rPr>
          <w:color w:val="231F20"/>
          <w:spacing w:val="-2"/>
        </w:rPr>
        <w:t>dans</w:t>
      </w:r>
      <w:r>
        <w:rPr>
          <w:color w:val="231F20"/>
          <w:spacing w:val="-12"/>
        </w:rPr>
        <w:t> </w:t>
      </w:r>
      <w:r>
        <w:rPr>
          <w:color w:val="231F20"/>
          <w:spacing w:val="-2"/>
        </w:rPr>
        <w:t>les caisses</w:t>
      </w:r>
      <w:r>
        <w:rPr>
          <w:color w:val="231F20"/>
          <w:spacing w:val="-12"/>
        </w:rPr>
        <w:t> </w:t>
      </w:r>
      <w:r>
        <w:rPr>
          <w:color w:val="231F20"/>
          <w:spacing w:val="-2"/>
        </w:rPr>
        <w:t>de</w:t>
      </w:r>
      <w:r>
        <w:rPr>
          <w:color w:val="231F20"/>
          <w:spacing w:val="-12"/>
        </w:rPr>
        <w:t> </w:t>
      </w:r>
      <w:r>
        <w:rPr>
          <w:color w:val="231F20"/>
          <w:spacing w:val="-2"/>
        </w:rPr>
        <w:t>l’État</w:t>
      </w:r>
      <w:r>
        <w:rPr>
          <w:color w:val="231F20"/>
          <w:spacing w:val="-9"/>
        </w:rPr>
        <w:t> </w:t>
      </w:r>
      <w:r>
        <w:rPr>
          <w:color w:val="231F20"/>
          <w:spacing w:val="-2"/>
        </w:rPr>
        <w:t>;</w:t>
      </w:r>
      <w:r>
        <w:rPr>
          <w:color w:val="231F20"/>
          <w:spacing w:val="-11"/>
        </w:rPr>
        <w:t> </w:t>
      </w:r>
      <w:r>
        <w:rPr>
          <w:color w:val="231F20"/>
          <w:spacing w:val="-2"/>
        </w:rPr>
        <w:t>Konan</w:t>
      </w:r>
      <w:r>
        <w:rPr>
          <w:color w:val="231F20"/>
          <w:spacing w:val="-13"/>
        </w:rPr>
        <w:t> </w:t>
      </w:r>
      <w:r>
        <w:rPr>
          <w:color w:val="231F20"/>
          <w:spacing w:val="-2"/>
        </w:rPr>
        <w:t>Bédié</w:t>
      </w:r>
      <w:r>
        <w:rPr>
          <w:color w:val="231F20"/>
          <w:spacing w:val="-9"/>
        </w:rPr>
        <w:t> </w:t>
      </w:r>
      <w:r>
        <w:rPr>
          <w:color w:val="231F20"/>
          <w:spacing w:val="-2"/>
        </w:rPr>
        <w:t>et</w:t>
      </w:r>
      <w:r>
        <w:rPr>
          <w:color w:val="231F20"/>
          <w:spacing w:val="-12"/>
        </w:rPr>
        <w:t> </w:t>
      </w:r>
      <w:r>
        <w:rPr>
          <w:color w:val="231F20"/>
          <w:spacing w:val="-2"/>
        </w:rPr>
        <w:t>son</w:t>
      </w:r>
      <w:r>
        <w:rPr>
          <w:color w:val="231F20"/>
          <w:spacing w:val="-12"/>
        </w:rPr>
        <w:t> </w:t>
      </w:r>
      <w:r>
        <w:rPr>
          <w:color w:val="231F20"/>
          <w:spacing w:val="-2"/>
        </w:rPr>
        <w:t>gouvernement</w:t>
      </w:r>
      <w:r>
        <w:rPr>
          <w:color w:val="231F20"/>
          <w:spacing w:val="-12"/>
        </w:rPr>
        <w:t> </w:t>
      </w:r>
      <w:r>
        <w:rPr>
          <w:color w:val="231F20"/>
          <w:spacing w:val="-2"/>
        </w:rPr>
        <w:t>sont</w:t>
      </w:r>
      <w:r>
        <w:rPr>
          <w:color w:val="231F20"/>
          <w:spacing w:val="-9"/>
        </w:rPr>
        <w:t> </w:t>
      </w:r>
      <w:r>
        <w:rPr>
          <w:color w:val="231F20"/>
          <w:spacing w:val="-2"/>
        </w:rPr>
        <w:t>des</w:t>
      </w:r>
      <w:r>
        <w:rPr>
          <w:color w:val="231F20"/>
          <w:spacing w:val="-12"/>
        </w:rPr>
        <w:t> </w:t>
      </w:r>
      <w:r>
        <w:rPr>
          <w:color w:val="231F20"/>
          <w:spacing w:val="-2"/>
        </w:rPr>
        <w:t>voleurs</w:t>
      </w:r>
      <w:r>
        <w:rPr>
          <w:color w:val="231F20"/>
          <w:spacing w:val="-12"/>
        </w:rPr>
        <w:t> </w:t>
      </w:r>
      <w:r>
        <w:rPr>
          <w:color w:val="231F20"/>
          <w:spacing w:val="-2"/>
        </w:rPr>
        <w:t>qui </w:t>
      </w:r>
      <w:r>
        <w:rPr>
          <w:color w:val="231F20"/>
        </w:rPr>
        <w:t>ont trahi la mémoire du père fondateur et divisé les ivoiriens avec le concept</w:t>
      </w:r>
      <w:r>
        <w:rPr>
          <w:color w:val="231F20"/>
          <w:spacing w:val="-15"/>
        </w:rPr>
        <w:t> </w:t>
      </w:r>
      <w:r>
        <w:rPr>
          <w:color w:val="231F20"/>
        </w:rPr>
        <w:t>de</w:t>
      </w:r>
      <w:r>
        <w:rPr>
          <w:color w:val="231F20"/>
          <w:spacing w:val="-15"/>
        </w:rPr>
        <w:t> </w:t>
      </w:r>
      <w:r>
        <w:rPr>
          <w:color w:val="231F20"/>
        </w:rPr>
        <w:t>l’ivoirité.</w:t>
      </w:r>
      <w:r>
        <w:rPr>
          <w:color w:val="231F20"/>
          <w:spacing w:val="-15"/>
        </w:rPr>
        <w:t> </w:t>
      </w:r>
      <w:r>
        <w:rPr>
          <w:color w:val="231F20"/>
        </w:rPr>
        <w:t>»</w:t>
      </w:r>
      <w:r>
        <w:rPr>
          <w:color w:val="231F20"/>
          <w:spacing w:val="-12"/>
        </w:rPr>
        <w:t> </w:t>
      </w:r>
      <w:r>
        <w:rPr>
          <w:color w:val="231F20"/>
        </w:rPr>
        <w:t>Il</w:t>
      </w:r>
      <w:r>
        <w:rPr>
          <w:color w:val="231F20"/>
          <w:spacing w:val="-14"/>
        </w:rPr>
        <w:t> </w:t>
      </w:r>
      <w:r>
        <w:rPr>
          <w:color w:val="231F20"/>
        </w:rPr>
        <w:t>explique</w:t>
      </w:r>
      <w:r>
        <w:rPr>
          <w:color w:val="231F20"/>
          <w:spacing w:val="-13"/>
        </w:rPr>
        <w:t> </w:t>
      </w:r>
      <w:r>
        <w:rPr>
          <w:color w:val="231F20"/>
        </w:rPr>
        <w:t>la</w:t>
      </w:r>
      <w:r>
        <w:rPr>
          <w:color w:val="231F20"/>
          <w:spacing w:val="-15"/>
        </w:rPr>
        <w:t> </w:t>
      </w:r>
      <w:r>
        <w:rPr>
          <w:color w:val="231F20"/>
        </w:rPr>
        <w:t>main</w:t>
      </w:r>
      <w:r>
        <w:rPr>
          <w:color w:val="231F20"/>
          <w:spacing w:val="-13"/>
        </w:rPr>
        <w:t> </w:t>
      </w:r>
      <w:r>
        <w:rPr>
          <w:color w:val="231F20"/>
        </w:rPr>
        <w:t>sur</w:t>
      </w:r>
      <w:r>
        <w:rPr>
          <w:color w:val="231F20"/>
          <w:spacing w:val="-15"/>
        </w:rPr>
        <w:t> </w:t>
      </w:r>
      <w:r>
        <w:rPr>
          <w:color w:val="231F20"/>
        </w:rPr>
        <w:t>le</w:t>
      </w:r>
      <w:r>
        <w:rPr>
          <w:color w:val="231F20"/>
          <w:spacing w:val="-13"/>
        </w:rPr>
        <w:t> </w:t>
      </w:r>
      <w:r>
        <w:rPr>
          <w:color w:val="231F20"/>
        </w:rPr>
        <w:t>cœur</w:t>
      </w:r>
      <w:r>
        <w:rPr>
          <w:color w:val="231F20"/>
          <w:spacing w:val="-13"/>
        </w:rPr>
        <w:t> </w:t>
      </w:r>
      <w:r>
        <w:rPr>
          <w:color w:val="231F20"/>
        </w:rPr>
        <w:t>que</w:t>
      </w:r>
      <w:r>
        <w:rPr>
          <w:color w:val="231F20"/>
          <w:spacing w:val="-13"/>
        </w:rPr>
        <w:t> </w:t>
      </w:r>
      <w:r>
        <w:rPr>
          <w:color w:val="231F20"/>
        </w:rPr>
        <w:t>sa</w:t>
      </w:r>
      <w:r>
        <w:rPr>
          <w:color w:val="231F20"/>
          <w:spacing w:val="-15"/>
        </w:rPr>
        <w:t> </w:t>
      </w:r>
      <w:r>
        <w:rPr>
          <w:color w:val="231F20"/>
        </w:rPr>
        <w:t>mission</w:t>
      </w:r>
      <w:r>
        <w:rPr>
          <w:color w:val="231F20"/>
          <w:spacing w:val="-13"/>
        </w:rPr>
        <w:t> </w:t>
      </w:r>
      <w:r>
        <w:rPr>
          <w:color w:val="231F20"/>
        </w:rPr>
        <w:t>est de «</w:t>
      </w:r>
      <w:r>
        <w:rPr>
          <w:color w:val="231F20"/>
          <w:spacing w:val="-13"/>
        </w:rPr>
        <w:t> </w:t>
      </w:r>
      <w:r>
        <w:rPr>
          <w:color w:val="231F20"/>
        </w:rPr>
        <w:t>balayer la maison</w:t>
      </w:r>
      <w:r>
        <w:rPr>
          <w:color w:val="231F20"/>
          <w:spacing w:val="-13"/>
        </w:rPr>
        <w:t> </w:t>
      </w:r>
      <w:r>
        <w:rPr>
          <w:color w:val="231F20"/>
        </w:rPr>
        <w:t>», le pouvoir ne l’intéresse pas</w:t>
      </w:r>
      <w:r>
        <w:rPr>
          <w:color w:val="231F20"/>
          <w:spacing w:val="-12"/>
        </w:rPr>
        <w:t> </w:t>
      </w:r>
      <w:r>
        <w:rPr>
          <w:color w:val="231F20"/>
        </w:rPr>
        <w:t>; il veut juste </w:t>
      </w:r>
      <w:r>
        <w:rPr>
          <w:color w:val="231F20"/>
          <w:spacing w:val="-4"/>
        </w:rPr>
        <w:t>nettoyer</w:t>
      </w:r>
      <w:r>
        <w:rPr>
          <w:color w:val="231F20"/>
          <w:spacing w:val="-7"/>
        </w:rPr>
        <w:t> </w:t>
      </w:r>
      <w:r>
        <w:rPr>
          <w:color w:val="231F20"/>
          <w:spacing w:val="-4"/>
        </w:rPr>
        <w:t>la</w:t>
      </w:r>
      <w:r>
        <w:rPr>
          <w:color w:val="231F20"/>
          <w:spacing w:val="-10"/>
        </w:rPr>
        <w:t> </w:t>
      </w:r>
      <w:r>
        <w:rPr>
          <w:color w:val="231F20"/>
          <w:spacing w:val="-4"/>
        </w:rPr>
        <w:t>maison</w:t>
      </w:r>
      <w:r>
        <w:rPr>
          <w:color w:val="231F20"/>
          <w:spacing w:val="-9"/>
        </w:rPr>
        <w:t> </w:t>
      </w:r>
      <w:r>
        <w:rPr>
          <w:color w:val="231F20"/>
          <w:spacing w:val="-4"/>
        </w:rPr>
        <w:t>et</w:t>
      </w:r>
      <w:r>
        <w:rPr>
          <w:color w:val="231F20"/>
          <w:spacing w:val="-8"/>
        </w:rPr>
        <w:t> </w:t>
      </w:r>
      <w:r>
        <w:rPr>
          <w:color w:val="231F20"/>
          <w:spacing w:val="-4"/>
        </w:rPr>
        <w:t>y</w:t>
      </w:r>
      <w:r>
        <w:rPr>
          <w:color w:val="231F20"/>
          <w:spacing w:val="-9"/>
        </w:rPr>
        <w:t> </w:t>
      </w:r>
      <w:r>
        <w:rPr>
          <w:color w:val="231F20"/>
          <w:spacing w:val="-4"/>
        </w:rPr>
        <w:t>installer</w:t>
      </w:r>
      <w:r>
        <w:rPr>
          <w:color w:val="231F20"/>
          <w:spacing w:val="-10"/>
        </w:rPr>
        <w:t> </w:t>
      </w:r>
      <w:r>
        <w:rPr>
          <w:color w:val="231F20"/>
          <w:spacing w:val="-4"/>
        </w:rPr>
        <w:t>un</w:t>
      </w:r>
      <w:r>
        <w:rPr>
          <w:color w:val="231F20"/>
          <w:spacing w:val="-9"/>
        </w:rPr>
        <w:t> </w:t>
      </w:r>
      <w:r>
        <w:rPr>
          <w:color w:val="231F20"/>
          <w:spacing w:val="-4"/>
        </w:rPr>
        <w:t>nouveau</w:t>
      </w:r>
      <w:r>
        <w:rPr>
          <w:color w:val="231F20"/>
          <w:spacing w:val="-9"/>
        </w:rPr>
        <w:t> </w:t>
      </w:r>
      <w:r>
        <w:rPr>
          <w:color w:val="231F20"/>
          <w:spacing w:val="-4"/>
        </w:rPr>
        <w:t>locataire :</w:t>
      </w:r>
      <w:r>
        <w:rPr>
          <w:color w:val="231F20"/>
          <w:spacing w:val="-6"/>
        </w:rPr>
        <w:t> </w:t>
      </w:r>
      <w:r>
        <w:rPr>
          <w:color w:val="231F20"/>
          <w:spacing w:val="-4"/>
        </w:rPr>
        <w:t>c’est</w:t>
      </w:r>
      <w:r>
        <w:rPr>
          <w:color w:val="231F20"/>
          <w:spacing w:val="-8"/>
        </w:rPr>
        <w:t> </w:t>
      </w:r>
      <w:r>
        <w:rPr>
          <w:color w:val="231F20"/>
          <w:spacing w:val="-4"/>
        </w:rPr>
        <w:t>son</w:t>
      </w:r>
      <w:r>
        <w:rPr>
          <w:color w:val="231F20"/>
          <w:spacing w:val="-9"/>
        </w:rPr>
        <w:t> </w:t>
      </w:r>
      <w:r>
        <w:rPr>
          <w:color w:val="231F20"/>
          <w:spacing w:val="-4"/>
        </w:rPr>
        <w:t>cadeau</w:t>
      </w:r>
      <w:r>
        <w:rPr>
          <w:color w:val="231F20"/>
          <w:spacing w:val="-6"/>
        </w:rPr>
        <w:t> </w:t>
      </w:r>
      <w:r>
        <w:rPr>
          <w:color w:val="231F20"/>
          <w:spacing w:val="-4"/>
        </w:rPr>
        <w:t>de </w:t>
      </w:r>
      <w:r>
        <w:rPr>
          <w:color w:val="231F20"/>
        </w:rPr>
        <w:t>Noël aux ivoiriens. A tous ses interlocuteurs, Ambassadeurs, Préfets, Responsables</w:t>
      </w:r>
      <w:r>
        <w:rPr>
          <w:color w:val="231F20"/>
          <w:spacing w:val="-7"/>
        </w:rPr>
        <w:t> </w:t>
      </w:r>
      <w:r>
        <w:rPr>
          <w:color w:val="231F20"/>
        </w:rPr>
        <w:t>des</w:t>
      </w:r>
      <w:r>
        <w:rPr>
          <w:color w:val="231F20"/>
          <w:spacing w:val="-7"/>
        </w:rPr>
        <w:t> </w:t>
      </w:r>
      <w:r>
        <w:rPr>
          <w:color w:val="231F20"/>
        </w:rPr>
        <w:t>Partis,</w:t>
      </w:r>
      <w:r>
        <w:rPr>
          <w:color w:val="231F20"/>
          <w:spacing w:val="-9"/>
        </w:rPr>
        <w:t> </w:t>
      </w:r>
      <w:r>
        <w:rPr>
          <w:color w:val="231F20"/>
        </w:rPr>
        <w:t>Syndicalistes,</w:t>
      </w:r>
      <w:r>
        <w:rPr>
          <w:color w:val="231F20"/>
          <w:spacing w:val="-7"/>
        </w:rPr>
        <w:t> </w:t>
      </w:r>
      <w:r>
        <w:rPr>
          <w:color w:val="231F20"/>
        </w:rPr>
        <w:t>Chefs</w:t>
      </w:r>
      <w:r>
        <w:rPr>
          <w:color w:val="231F20"/>
          <w:spacing w:val="-9"/>
        </w:rPr>
        <w:t> </w:t>
      </w:r>
      <w:r>
        <w:rPr>
          <w:color w:val="231F20"/>
        </w:rPr>
        <w:t>Religieux,</w:t>
      </w:r>
      <w:r>
        <w:rPr>
          <w:color w:val="231F20"/>
          <w:spacing w:val="-9"/>
        </w:rPr>
        <w:t> </w:t>
      </w:r>
      <w:r>
        <w:rPr>
          <w:color w:val="231F20"/>
        </w:rPr>
        <w:t>Représentants </w:t>
      </w:r>
      <w:r>
        <w:rPr>
          <w:color w:val="231F20"/>
          <w:spacing w:val="-2"/>
        </w:rPr>
        <w:t>des</w:t>
      </w:r>
      <w:r>
        <w:rPr>
          <w:color w:val="231F20"/>
          <w:spacing w:val="-10"/>
        </w:rPr>
        <w:t> </w:t>
      </w:r>
      <w:r>
        <w:rPr>
          <w:color w:val="231F20"/>
          <w:spacing w:val="-2"/>
        </w:rPr>
        <w:t>Étudiants</w:t>
      </w:r>
      <w:r>
        <w:rPr>
          <w:color w:val="231F20"/>
          <w:spacing w:val="-10"/>
        </w:rPr>
        <w:t> </w:t>
      </w:r>
      <w:r>
        <w:rPr>
          <w:color w:val="231F20"/>
          <w:spacing w:val="-2"/>
        </w:rPr>
        <w:t>et</w:t>
      </w:r>
      <w:r>
        <w:rPr>
          <w:color w:val="231F20"/>
          <w:spacing w:val="-12"/>
        </w:rPr>
        <w:t> </w:t>
      </w:r>
      <w:r>
        <w:rPr>
          <w:color w:val="231F20"/>
          <w:spacing w:val="-2"/>
        </w:rPr>
        <w:t>Chefs</w:t>
      </w:r>
      <w:r>
        <w:rPr>
          <w:color w:val="231F20"/>
          <w:spacing w:val="-13"/>
        </w:rPr>
        <w:t> </w:t>
      </w:r>
      <w:r>
        <w:rPr>
          <w:color w:val="231F20"/>
          <w:spacing w:val="-2"/>
        </w:rPr>
        <w:t>militaires,</w:t>
      </w:r>
      <w:r>
        <w:rPr>
          <w:color w:val="231F20"/>
          <w:spacing w:val="-13"/>
        </w:rPr>
        <w:t> </w:t>
      </w:r>
      <w:r>
        <w:rPr>
          <w:color w:val="231F20"/>
          <w:spacing w:val="-2"/>
        </w:rPr>
        <w:t>il</w:t>
      </w:r>
      <w:r>
        <w:rPr>
          <w:color w:val="231F20"/>
          <w:spacing w:val="-12"/>
        </w:rPr>
        <w:t> </w:t>
      </w:r>
      <w:r>
        <w:rPr>
          <w:color w:val="231F20"/>
          <w:spacing w:val="-2"/>
        </w:rPr>
        <w:t>sert</w:t>
      </w:r>
      <w:r>
        <w:rPr>
          <w:color w:val="231F20"/>
          <w:spacing w:val="-13"/>
        </w:rPr>
        <w:t> </w:t>
      </w:r>
      <w:r>
        <w:rPr>
          <w:color w:val="231F20"/>
          <w:spacing w:val="-2"/>
        </w:rPr>
        <w:t>le</w:t>
      </w:r>
      <w:r>
        <w:rPr>
          <w:color w:val="231F20"/>
          <w:spacing w:val="-13"/>
        </w:rPr>
        <w:t> </w:t>
      </w:r>
      <w:r>
        <w:rPr>
          <w:color w:val="231F20"/>
          <w:spacing w:val="-2"/>
        </w:rPr>
        <w:t>même</w:t>
      </w:r>
      <w:r>
        <w:rPr>
          <w:color w:val="231F20"/>
          <w:spacing w:val="-13"/>
        </w:rPr>
        <w:t> </w:t>
      </w:r>
      <w:r>
        <w:rPr>
          <w:color w:val="231F20"/>
          <w:spacing w:val="-2"/>
        </w:rPr>
        <w:t>discours</w:t>
      </w:r>
      <w:r>
        <w:rPr>
          <w:color w:val="231F20"/>
          <w:spacing w:val="-13"/>
        </w:rPr>
        <w:t> </w:t>
      </w:r>
      <w:r>
        <w:rPr>
          <w:color w:val="231F20"/>
          <w:spacing w:val="-2"/>
        </w:rPr>
        <w:t>pour</w:t>
      </w:r>
      <w:r>
        <w:rPr>
          <w:color w:val="231F20"/>
          <w:spacing w:val="-13"/>
        </w:rPr>
        <w:t> </w:t>
      </w:r>
      <w:r>
        <w:rPr>
          <w:color w:val="231F20"/>
          <w:spacing w:val="-2"/>
        </w:rPr>
        <w:t>justifier</w:t>
      </w:r>
      <w:r>
        <w:rPr>
          <w:color w:val="231F20"/>
          <w:spacing w:val="-13"/>
        </w:rPr>
        <w:t> </w:t>
      </w:r>
      <w:r>
        <w:rPr>
          <w:color w:val="231F20"/>
          <w:spacing w:val="-2"/>
        </w:rPr>
        <w:t>le </w:t>
      </w:r>
      <w:r>
        <w:rPr>
          <w:color w:val="231F20"/>
        </w:rPr>
        <w:t>coup de</w:t>
      </w:r>
      <w:r>
        <w:rPr>
          <w:color w:val="231F20"/>
          <w:spacing w:val="-2"/>
        </w:rPr>
        <w:t> </w:t>
      </w:r>
      <w:r>
        <w:rPr>
          <w:color w:val="231F20"/>
        </w:rPr>
        <w:t>force</w:t>
      </w:r>
      <w:r>
        <w:rPr>
          <w:color w:val="231F20"/>
          <w:spacing w:val="-15"/>
        </w:rPr>
        <w:t> </w:t>
      </w:r>
      <w:r>
        <w:rPr>
          <w:color w:val="231F20"/>
        </w:rPr>
        <w:t>:</w:t>
      </w:r>
      <w:r>
        <w:rPr>
          <w:color w:val="231F20"/>
          <w:spacing w:val="-1"/>
        </w:rPr>
        <w:t> </w:t>
      </w:r>
      <w:r>
        <w:rPr>
          <w:color w:val="231F20"/>
        </w:rPr>
        <w:t>Henri</w:t>
      </w:r>
      <w:r>
        <w:rPr>
          <w:color w:val="231F20"/>
          <w:spacing w:val="-1"/>
        </w:rPr>
        <w:t> </w:t>
      </w:r>
      <w:r>
        <w:rPr>
          <w:color w:val="231F20"/>
        </w:rPr>
        <w:t>Konan Bédié est accusé à</w:t>
      </w:r>
      <w:r>
        <w:rPr>
          <w:color w:val="231F20"/>
          <w:spacing w:val="-2"/>
        </w:rPr>
        <w:t> </w:t>
      </w:r>
      <w:r>
        <w:rPr>
          <w:color w:val="231F20"/>
        </w:rPr>
        <w:t>la fois</w:t>
      </w:r>
      <w:r>
        <w:rPr>
          <w:color w:val="231F20"/>
          <w:spacing w:val="-1"/>
        </w:rPr>
        <w:t> </w:t>
      </w:r>
      <w:r>
        <w:rPr>
          <w:color w:val="231F20"/>
        </w:rPr>
        <w:t>d’entretenir</w:t>
      </w:r>
      <w:r>
        <w:rPr>
          <w:color w:val="231F20"/>
          <w:spacing w:val="-1"/>
        </w:rPr>
        <w:t> </w:t>
      </w:r>
      <w:r>
        <w:rPr>
          <w:color w:val="231F20"/>
        </w:rPr>
        <w:t>une </w:t>
      </w:r>
      <w:r>
        <w:rPr>
          <w:color w:val="231F20"/>
          <w:spacing w:val="-2"/>
        </w:rPr>
        <w:t>corruption</w:t>
      </w:r>
      <w:r>
        <w:rPr>
          <w:color w:val="231F20"/>
          <w:spacing w:val="-12"/>
        </w:rPr>
        <w:t> </w:t>
      </w:r>
      <w:r>
        <w:rPr>
          <w:color w:val="231F20"/>
          <w:spacing w:val="-2"/>
        </w:rPr>
        <w:t>galopante</w:t>
      </w:r>
      <w:r>
        <w:rPr>
          <w:color w:val="231F20"/>
          <w:spacing w:val="-11"/>
        </w:rPr>
        <w:t> </w:t>
      </w:r>
      <w:r>
        <w:rPr>
          <w:color w:val="231F20"/>
          <w:spacing w:val="-2"/>
        </w:rPr>
        <w:t>et</w:t>
      </w:r>
      <w:r>
        <w:rPr>
          <w:color w:val="231F20"/>
          <w:spacing w:val="-11"/>
        </w:rPr>
        <w:t> </w:t>
      </w:r>
      <w:r>
        <w:rPr>
          <w:color w:val="231F20"/>
          <w:spacing w:val="-2"/>
        </w:rPr>
        <w:t>d’allumer</w:t>
      </w:r>
      <w:r>
        <w:rPr>
          <w:color w:val="231F20"/>
          <w:spacing w:val="-13"/>
        </w:rPr>
        <w:t> </w:t>
      </w:r>
      <w:r>
        <w:rPr>
          <w:color w:val="231F20"/>
          <w:spacing w:val="-2"/>
        </w:rPr>
        <w:t>dans</w:t>
      </w:r>
      <w:r>
        <w:rPr>
          <w:color w:val="231F20"/>
          <w:spacing w:val="-12"/>
        </w:rPr>
        <w:t> </w:t>
      </w:r>
      <w:r>
        <w:rPr>
          <w:color w:val="231F20"/>
          <w:spacing w:val="-2"/>
        </w:rPr>
        <w:t>le</w:t>
      </w:r>
      <w:r>
        <w:rPr>
          <w:color w:val="231F20"/>
          <w:spacing w:val="-12"/>
        </w:rPr>
        <w:t> </w:t>
      </w:r>
      <w:r>
        <w:rPr>
          <w:color w:val="231F20"/>
          <w:spacing w:val="-2"/>
        </w:rPr>
        <w:t>pays</w:t>
      </w:r>
      <w:r>
        <w:rPr>
          <w:color w:val="231F20"/>
          <w:spacing w:val="-12"/>
        </w:rPr>
        <w:t> </w:t>
      </w:r>
      <w:r>
        <w:rPr>
          <w:color w:val="231F20"/>
          <w:spacing w:val="-2"/>
        </w:rPr>
        <w:t>les</w:t>
      </w:r>
      <w:r>
        <w:rPr>
          <w:color w:val="231F20"/>
          <w:spacing w:val="-12"/>
        </w:rPr>
        <w:t> </w:t>
      </w:r>
      <w:r>
        <w:rPr>
          <w:color w:val="231F20"/>
          <w:spacing w:val="-2"/>
        </w:rPr>
        <w:t>feux</w:t>
      </w:r>
      <w:r>
        <w:rPr>
          <w:color w:val="231F20"/>
          <w:spacing w:val="-11"/>
        </w:rPr>
        <w:t> </w:t>
      </w:r>
      <w:r>
        <w:rPr>
          <w:color w:val="231F20"/>
          <w:spacing w:val="-2"/>
        </w:rPr>
        <w:t>de</w:t>
      </w:r>
      <w:r>
        <w:rPr>
          <w:color w:val="231F20"/>
          <w:spacing w:val="-12"/>
        </w:rPr>
        <w:t> </w:t>
      </w:r>
      <w:r>
        <w:rPr>
          <w:color w:val="231F20"/>
          <w:spacing w:val="-2"/>
        </w:rPr>
        <w:t>la</w:t>
      </w:r>
      <w:r>
        <w:rPr>
          <w:color w:val="231F20"/>
          <w:spacing w:val="-11"/>
        </w:rPr>
        <w:t> </w:t>
      </w:r>
      <w:r>
        <w:rPr>
          <w:color w:val="231F20"/>
          <w:spacing w:val="-2"/>
        </w:rPr>
        <w:t>xénophobie. </w:t>
      </w:r>
      <w:r>
        <w:rPr>
          <w:color w:val="231F20"/>
        </w:rPr>
        <w:t>Il se veut rassurant au niveau des</w:t>
      </w:r>
      <w:r>
        <w:rPr>
          <w:color w:val="231F20"/>
          <w:spacing w:val="-1"/>
        </w:rPr>
        <w:t> </w:t>
      </w:r>
      <w:r>
        <w:rPr>
          <w:color w:val="231F20"/>
        </w:rPr>
        <w:t>Chefs d’État de la sous-région et des communautés</w:t>
      </w:r>
      <w:r>
        <w:rPr>
          <w:color w:val="231F20"/>
          <w:spacing w:val="-6"/>
        </w:rPr>
        <w:t> </w:t>
      </w:r>
      <w:r>
        <w:rPr>
          <w:color w:val="231F20"/>
        </w:rPr>
        <w:t>étrangères</w:t>
      </w:r>
      <w:r>
        <w:rPr>
          <w:color w:val="231F20"/>
          <w:spacing w:val="-6"/>
        </w:rPr>
        <w:t> </w:t>
      </w:r>
      <w:r>
        <w:rPr>
          <w:color w:val="231F20"/>
        </w:rPr>
        <w:t>installées</w:t>
      </w:r>
      <w:r>
        <w:rPr>
          <w:color w:val="231F20"/>
          <w:spacing w:val="-6"/>
        </w:rPr>
        <w:t> </w:t>
      </w:r>
      <w:r>
        <w:rPr>
          <w:color w:val="231F20"/>
        </w:rPr>
        <w:t>en</w:t>
      </w:r>
      <w:r>
        <w:rPr>
          <w:color w:val="231F20"/>
          <w:spacing w:val="-4"/>
        </w:rPr>
        <w:t> </w:t>
      </w:r>
      <w:r>
        <w:rPr>
          <w:color w:val="231F20"/>
        </w:rPr>
        <w:t>Côte</w:t>
      </w:r>
      <w:r>
        <w:rPr>
          <w:color w:val="231F20"/>
          <w:spacing w:val="-6"/>
        </w:rPr>
        <w:t> </w:t>
      </w:r>
      <w:r>
        <w:rPr>
          <w:color w:val="231F20"/>
        </w:rPr>
        <w:t>d’Ivoire</w:t>
      </w:r>
      <w:r>
        <w:rPr>
          <w:color w:val="231F20"/>
          <w:spacing w:val="-4"/>
        </w:rPr>
        <w:t> </w:t>
      </w:r>
      <w:r>
        <w:rPr>
          <w:color w:val="231F20"/>
        </w:rPr>
        <w:t>en</w:t>
      </w:r>
      <w:r>
        <w:rPr>
          <w:color w:val="231F20"/>
          <w:spacing w:val="-2"/>
        </w:rPr>
        <w:t> </w:t>
      </w:r>
      <w:r>
        <w:rPr>
          <w:color w:val="231F20"/>
        </w:rPr>
        <w:t>répétant</w:t>
      </w:r>
      <w:r>
        <w:rPr>
          <w:color w:val="231F20"/>
          <w:spacing w:val="-6"/>
        </w:rPr>
        <w:t> </w:t>
      </w:r>
      <w:r>
        <w:rPr>
          <w:color w:val="231F20"/>
        </w:rPr>
        <w:t>que</w:t>
      </w:r>
      <w:r>
        <w:rPr>
          <w:color w:val="231F20"/>
          <w:spacing w:val="-6"/>
        </w:rPr>
        <w:t> </w:t>
      </w:r>
      <w:r>
        <w:rPr>
          <w:color w:val="231F20"/>
        </w:rPr>
        <w:t>les militaires</w:t>
      </w:r>
      <w:r>
        <w:rPr>
          <w:color w:val="231F20"/>
          <w:spacing w:val="-6"/>
        </w:rPr>
        <w:t> </w:t>
      </w:r>
      <w:r>
        <w:rPr>
          <w:color w:val="231F20"/>
        </w:rPr>
        <w:t>rentreront</w:t>
      </w:r>
      <w:r>
        <w:rPr>
          <w:color w:val="231F20"/>
          <w:spacing w:val="-8"/>
        </w:rPr>
        <w:t> </w:t>
      </w:r>
      <w:r>
        <w:rPr>
          <w:color w:val="231F20"/>
        </w:rPr>
        <w:t>le</w:t>
      </w:r>
      <w:r>
        <w:rPr>
          <w:color w:val="231F20"/>
          <w:spacing w:val="-7"/>
        </w:rPr>
        <w:t> </w:t>
      </w:r>
      <w:r>
        <w:rPr>
          <w:color w:val="231F20"/>
        </w:rPr>
        <w:t>plus</w:t>
      </w:r>
      <w:r>
        <w:rPr>
          <w:color w:val="231F20"/>
          <w:spacing w:val="-6"/>
        </w:rPr>
        <w:t> </w:t>
      </w:r>
      <w:r>
        <w:rPr>
          <w:color w:val="231F20"/>
        </w:rPr>
        <w:t>vite</w:t>
      </w:r>
      <w:r>
        <w:rPr>
          <w:color w:val="231F20"/>
          <w:spacing w:val="-8"/>
        </w:rPr>
        <w:t> </w:t>
      </w:r>
      <w:r>
        <w:rPr>
          <w:color w:val="231F20"/>
        </w:rPr>
        <w:t>possible</w:t>
      </w:r>
      <w:r>
        <w:rPr>
          <w:color w:val="231F20"/>
          <w:spacing w:val="-9"/>
        </w:rPr>
        <w:t> </w:t>
      </w:r>
      <w:r>
        <w:rPr>
          <w:color w:val="231F20"/>
        </w:rPr>
        <w:t>dans</w:t>
      </w:r>
      <w:r>
        <w:rPr>
          <w:color w:val="231F20"/>
          <w:spacing w:val="-9"/>
        </w:rPr>
        <w:t> </w:t>
      </w:r>
      <w:r>
        <w:rPr>
          <w:color w:val="231F20"/>
        </w:rPr>
        <w:t>leurs</w:t>
      </w:r>
      <w:r>
        <w:rPr>
          <w:color w:val="231F20"/>
          <w:spacing w:val="-9"/>
        </w:rPr>
        <w:t> </w:t>
      </w:r>
      <w:r>
        <w:rPr>
          <w:color w:val="231F20"/>
        </w:rPr>
        <w:t>casernes.</w:t>
      </w:r>
    </w:p>
    <w:p>
      <w:pPr>
        <w:pStyle w:val="BodyText"/>
        <w:spacing w:before="119"/>
        <w:ind w:right="104" w:firstLine="283"/>
      </w:pPr>
      <w:r>
        <w:rPr>
          <w:color w:val="231F20"/>
        </w:rPr>
        <w:t>L’opinion publique croit en son discours d’autant plus qu’il est le moins</w:t>
      </w:r>
      <w:r>
        <w:rPr>
          <w:color w:val="231F20"/>
          <w:spacing w:val="-13"/>
        </w:rPr>
        <w:t> </w:t>
      </w:r>
      <w:r>
        <w:rPr>
          <w:color w:val="231F20"/>
        </w:rPr>
        <w:t>marqué</w:t>
      </w:r>
      <w:r>
        <w:rPr>
          <w:color w:val="231F20"/>
          <w:spacing w:val="-10"/>
        </w:rPr>
        <w:t> </w:t>
      </w:r>
      <w:r>
        <w:rPr>
          <w:color w:val="231F20"/>
        </w:rPr>
        <w:t>politiquement</w:t>
      </w:r>
      <w:r>
        <w:rPr>
          <w:color w:val="231F20"/>
          <w:spacing w:val="-10"/>
        </w:rPr>
        <w:t> </w:t>
      </w:r>
      <w:r>
        <w:rPr>
          <w:color w:val="231F20"/>
        </w:rPr>
        <w:t>des</w:t>
      </w:r>
      <w:r>
        <w:rPr>
          <w:color w:val="231F20"/>
          <w:spacing w:val="-12"/>
        </w:rPr>
        <w:t> </w:t>
      </w:r>
      <w:r>
        <w:rPr>
          <w:color w:val="231F20"/>
        </w:rPr>
        <w:t>membres</w:t>
      </w:r>
      <w:r>
        <w:rPr>
          <w:color w:val="231F20"/>
          <w:spacing w:val="-10"/>
        </w:rPr>
        <w:t> </w:t>
      </w:r>
      <w:r>
        <w:rPr>
          <w:color w:val="231F20"/>
        </w:rPr>
        <w:t>du</w:t>
      </w:r>
      <w:r>
        <w:rPr>
          <w:color w:val="231F20"/>
          <w:spacing w:val="-13"/>
        </w:rPr>
        <w:t> </w:t>
      </w:r>
      <w:r>
        <w:rPr>
          <w:color w:val="231F20"/>
        </w:rPr>
        <w:t>Comité</w:t>
      </w:r>
      <w:r>
        <w:rPr>
          <w:color w:val="231F20"/>
          <w:spacing w:val="-10"/>
        </w:rPr>
        <w:t> </w:t>
      </w:r>
      <w:r>
        <w:rPr>
          <w:color w:val="231F20"/>
        </w:rPr>
        <w:t>National</w:t>
      </w:r>
      <w:r>
        <w:rPr>
          <w:color w:val="231F20"/>
          <w:spacing w:val="-10"/>
        </w:rPr>
        <w:t> </w:t>
      </w:r>
      <w:r>
        <w:rPr>
          <w:color w:val="231F20"/>
        </w:rPr>
        <w:t>de</w:t>
      </w:r>
      <w:r>
        <w:rPr>
          <w:color w:val="231F20"/>
          <w:spacing w:val="-13"/>
        </w:rPr>
        <w:t> </w:t>
      </w:r>
      <w:r>
        <w:rPr>
          <w:color w:val="231F20"/>
        </w:rPr>
        <w:t>Salut </w:t>
      </w:r>
      <w:r>
        <w:rPr>
          <w:color w:val="231F20"/>
          <w:spacing w:val="-2"/>
        </w:rPr>
        <w:t>Public</w:t>
      </w:r>
      <w:r>
        <w:rPr>
          <w:color w:val="231F20"/>
          <w:spacing w:val="-11"/>
        </w:rPr>
        <w:t> </w:t>
      </w:r>
      <w:r>
        <w:rPr>
          <w:color w:val="231F20"/>
          <w:spacing w:val="-2"/>
        </w:rPr>
        <w:t>(CNSP)</w:t>
      </w:r>
      <w:r>
        <w:rPr>
          <w:color w:val="231F20"/>
          <w:spacing w:val="-11"/>
        </w:rPr>
        <w:t> </w:t>
      </w:r>
      <w:r>
        <w:rPr>
          <w:color w:val="231F20"/>
          <w:spacing w:val="-2"/>
        </w:rPr>
        <w:t>mis</w:t>
      </w:r>
      <w:r>
        <w:rPr>
          <w:color w:val="231F20"/>
          <w:spacing w:val="-10"/>
        </w:rPr>
        <w:t> </w:t>
      </w:r>
      <w:r>
        <w:rPr>
          <w:color w:val="231F20"/>
          <w:spacing w:val="-2"/>
        </w:rPr>
        <w:t>en</w:t>
      </w:r>
      <w:r>
        <w:rPr>
          <w:color w:val="231F20"/>
          <w:spacing w:val="-10"/>
        </w:rPr>
        <w:t> </w:t>
      </w:r>
      <w:r>
        <w:rPr>
          <w:color w:val="231F20"/>
          <w:spacing w:val="-2"/>
        </w:rPr>
        <w:t>place</w:t>
      </w:r>
      <w:r>
        <w:rPr>
          <w:color w:val="231F20"/>
          <w:spacing w:val="-8"/>
        </w:rPr>
        <w:t> </w:t>
      </w:r>
      <w:r>
        <w:rPr>
          <w:color w:val="231F20"/>
          <w:spacing w:val="-2"/>
        </w:rPr>
        <w:t>après</w:t>
      </w:r>
      <w:r>
        <w:rPr>
          <w:color w:val="231F20"/>
          <w:spacing w:val="-11"/>
        </w:rPr>
        <w:t> </w:t>
      </w:r>
      <w:r>
        <w:rPr>
          <w:color w:val="231F20"/>
          <w:spacing w:val="-2"/>
        </w:rPr>
        <w:t>le</w:t>
      </w:r>
      <w:r>
        <w:rPr>
          <w:color w:val="231F20"/>
          <w:spacing w:val="-10"/>
        </w:rPr>
        <w:t> </w:t>
      </w:r>
      <w:r>
        <w:rPr>
          <w:color w:val="231F20"/>
          <w:spacing w:val="-2"/>
        </w:rPr>
        <w:t>putsch</w:t>
      </w:r>
      <w:r>
        <w:rPr>
          <w:color w:val="231F20"/>
          <w:spacing w:val="-11"/>
        </w:rPr>
        <w:t> </w:t>
      </w:r>
      <w:r>
        <w:rPr>
          <w:color w:val="231F20"/>
          <w:spacing w:val="-2"/>
        </w:rPr>
        <w:t>:</w:t>
      </w:r>
      <w:r>
        <w:rPr>
          <w:color w:val="231F20"/>
          <w:spacing w:val="-12"/>
        </w:rPr>
        <w:t> </w:t>
      </w:r>
      <w:r>
        <w:rPr>
          <w:color w:val="231F20"/>
          <w:spacing w:val="-2"/>
        </w:rPr>
        <w:t>l’intendant</w:t>
      </w:r>
      <w:r>
        <w:rPr>
          <w:color w:val="231F20"/>
          <w:spacing w:val="-10"/>
        </w:rPr>
        <w:t> </w:t>
      </w:r>
      <w:r>
        <w:rPr>
          <w:color w:val="231F20"/>
          <w:spacing w:val="-2"/>
        </w:rPr>
        <w:t>général</w:t>
      </w:r>
      <w:r>
        <w:rPr>
          <w:color w:val="231F20"/>
          <w:spacing w:val="-10"/>
        </w:rPr>
        <w:t> </w:t>
      </w:r>
      <w:r>
        <w:rPr>
          <w:color w:val="231F20"/>
          <w:spacing w:val="-2"/>
        </w:rPr>
        <w:t>Lassana </w:t>
      </w:r>
      <w:r>
        <w:rPr>
          <w:color w:val="231F20"/>
        </w:rPr>
        <w:t>Palenfo</w:t>
      </w:r>
      <w:r>
        <w:rPr>
          <w:color w:val="231F20"/>
          <w:spacing w:val="-15"/>
        </w:rPr>
        <w:t> </w:t>
      </w:r>
      <w:r>
        <w:rPr>
          <w:color w:val="231F20"/>
        </w:rPr>
        <w:t>et</w:t>
      </w:r>
      <w:r>
        <w:rPr>
          <w:color w:val="231F20"/>
          <w:spacing w:val="-15"/>
        </w:rPr>
        <w:t> </w:t>
      </w:r>
      <w:r>
        <w:rPr>
          <w:color w:val="231F20"/>
        </w:rPr>
        <w:t>le</w:t>
      </w:r>
      <w:r>
        <w:rPr>
          <w:color w:val="231F20"/>
          <w:spacing w:val="-15"/>
        </w:rPr>
        <w:t> </w:t>
      </w:r>
      <w:r>
        <w:rPr>
          <w:color w:val="231F20"/>
        </w:rPr>
        <w:t>général</w:t>
      </w:r>
      <w:r>
        <w:rPr>
          <w:color w:val="231F20"/>
          <w:spacing w:val="-15"/>
        </w:rPr>
        <w:t> </w:t>
      </w:r>
      <w:r>
        <w:rPr>
          <w:color w:val="231F20"/>
        </w:rPr>
        <w:t>de</w:t>
      </w:r>
      <w:r>
        <w:rPr>
          <w:color w:val="231F20"/>
          <w:spacing w:val="-15"/>
        </w:rPr>
        <w:t> </w:t>
      </w:r>
      <w:r>
        <w:rPr>
          <w:color w:val="231F20"/>
        </w:rPr>
        <w:t>brigade</w:t>
      </w:r>
      <w:r>
        <w:rPr>
          <w:color w:val="231F20"/>
          <w:spacing w:val="-15"/>
        </w:rPr>
        <w:t> </w:t>
      </w:r>
      <w:r>
        <w:rPr>
          <w:color w:val="231F20"/>
        </w:rPr>
        <w:t>Abdoulaye</w:t>
      </w:r>
      <w:r>
        <w:rPr>
          <w:color w:val="231F20"/>
          <w:spacing w:val="-15"/>
        </w:rPr>
        <w:t> </w:t>
      </w:r>
      <w:r>
        <w:rPr>
          <w:color w:val="231F20"/>
        </w:rPr>
        <w:t>Coulibaly,</w:t>
      </w:r>
      <w:r>
        <w:rPr>
          <w:color w:val="231F20"/>
          <w:spacing w:val="-15"/>
        </w:rPr>
        <w:t> </w:t>
      </w:r>
      <w:r>
        <w:rPr>
          <w:color w:val="231F20"/>
        </w:rPr>
        <w:t>présentés</w:t>
      </w:r>
      <w:r>
        <w:rPr>
          <w:color w:val="231F20"/>
          <w:spacing w:val="-15"/>
        </w:rPr>
        <w:t> </w:t>
      </w:r>
      <w:r>
        <w:rPr>
          <w:color w:val="231F20"/>
        </w:rPr>
        <w:t>comme les</w:t>
      </w:r>
      <w:r>
        <w:rPr>
          <w:color w:val="231F20"/>
          <w:spacing w:val="-6"/>
        </w:rPr>
        <w:t> </w:t>
      </w:r>
      <w:r>
        <w:rPr>
          <w:color w:val="231F20"/>
        </w:rPr>
        <w:t>numéros</w:t>
      </w:r>
      <w:r>
        <w:rPr>
          <w:color w:val="231F20"/>
          <w:spacing w:val="-9"/>
        </w:rPr>
        <w:t> </w:t>
      </w:r>
      <w:r>
        <w:rPr>
          <w:color w:val="231F20"/>
        </w:rPr>
        <w:t>deux</w:t>
      </w:r>
      <w:r>
        <w:rPr>
          <w:color w:val="231F20"/>
          <w:spacing w:val="-6"/>
        </w:rPr>
        <w:t> </w:t>
      </w:r>
      <w:r>
        <w:rPr>
          <w:color w:val="231F20"/>
        </w:rPr>
        <w:t>et</w:t>
      </w:r>
      <w:r>
        <w:rPr>
          <w:color w:val="231F20"/>
          <w:spacing w:val="-6"/>
        </w:rPr>
        <w:t> </w:t>
      </w:r>
      <w:r>
        <w:rPr>
          <w:color w:val="231F20"/>
        </w:rPr>
        <w:t>trois</w:t>
      </w:r>
      <w:r>
        <w:rPr>
          <w:color w:val="231F20"/>
          <w:spacing w:val="-11"/>
        </w:rPr>
        <w:t> </w:t>
      </w:r>
      <w:r>
        <w:rPr>
          <w:color w:val="231F20"/>
        </w:rPr>
        <w:t>de</w:t>
      </w:r>
      <w:r>
        <w:rPr>
          <w:color w:val="231F20"/>
          <w:spacing w:val="-6"/>
        </w:rPr>
        <w:t> </w:t>
      </w:r>
      <w:r>
        <w:rPr>
          <w:color w:val="231F20"/>
        </w:rPr>
        <w:t>la</w:t>
      </w:r>
      <w:r>
        <w:rPr>
          <w:color w:val="231F20"/>
          <w:spacing w:val="-6"/>
        </w:rPr>
        <w:t> </w:t>
      </w:r>
      <w:r>
        <w:rPr>
          <w:color w:val="231F20"/>
        </w:rPr>
        <w:t>junte,</w:t>
      </w:r>
      <w:r>
        <w:rPr>
          <w:color w:val="231F20"/>
          <w:spacing w:val="-8"/>
        </w:rPr>
        <w:t> </w:t>
      </w:r>
      <w:r>
        <w:rPr>
          <w:color w:val="231F20"/>
        </w:rPr>
        <w:t>passent</w:t>
      </w:r>
      <w:r>
        <w:rPr>
          <w:color w:val="231F20"/>
          <w:spacing w:val="-9"/>
        </w:rPr>
        <w:t> </w:t>
      </w:r>
      <w:r>
        <w:rPr>
          <w:color w:val="231F20"/>
        </w:rPr>
        <w:t>pour</w:t>
      </w:r>
      <w:r>
        <w:rPr>
          <w:color w:val="231F20"/>
          <w:spacing w:val="-7"/>
        </w:rPr>
        <w:t> </w:t>
      </w:r>
      <w:r>
        <w:rPr>
          <w:color w:val="231F20"/>
        </w:rPr>
        <w:t>proches</w:t>
      </w:r>
      <w:r>
        <w:rPr>
          <w:color w:val="231F20"/>
          <w:spacing w:val="-7"/>
        </w:rPr>
        <w:t> </w:t>
      </w:r>
      <w:r>
        <w:rPr>
          <w:color w:val="231F20"/>
        </w:rPr>
        <w:t>de</w:t>
      </w:r>
      <w:r>
        <w:rPr>
          <w:color w:val="231F20"/>
          <w:spacing w:val="-6"/>
        </w:rPr>
        <w:t> </w:t>
      </w:r>
      <w:r>
        <w:rPr>
          <w:color w:val="231F20"/>
        </w:rPr>
        <w:t>Ouattara.</w:t>
      </w:r>
    </w:p>
    <w:p>
      <w:pPr>
        <w:pStyle w:val="BodyText"/>
        <w:spacing w:before="121"/>
        <w:ind w:left="395"/>
      </w:pPr>
      <w:r>
        <w:rPr>
          <w:color w:val="231F20"/>
        </w:rPr>
        <w:t>Dans</w:t>
      </w:r>
      <w:r>
        <w:rPr>
          <w:color w:val="231F20"/>
          <w:spacing w:val="21"/>
        </w:rPr>
        <w:t> </w:t>
      </w:r>
      <w:r>
        <w:rPr>
          <w:color w:val="231F20"/>
        </w:rPr>
        <w:t>les</w:t>
      </w:r>
      <w:r>
        <w:rPr>
          <w:color w:val="231F20"/>
          <w:spacing w:val="20"/>
        </w:rPr>
        <w:t> </w:t>
      </w:r>
      <w:r>
        <w:rPr>
          <w:color w:val="231F20"/>
        </w:rPr>
        <w:t>heures</w:t>
      </w:r>
      <w:r>
        <w:rPr>
          <w:color w:val="231F20"/>
          <w:spacing w:val="22"/>
        </w:rPr>
        <w:t> </w:t>
      </w:r>
      <w:r>
        <w:rPr>
          <w:color w:val="231F20"/>
        </w:rPr>
        <w:t>et</w:t>
      </w:r>
      <w:r>
        <w:rPr>
          <w:color w:val="231F20"/>
          <w:spacing w:val="22"/>
        </w:rPr>
        <w:t> </w:t>
      </w:r>
      <w:r>
        <w:rPr>
          <w:color w:val="231F20"/>
        </w:rPr>
        <w:t>les</w:t>
      </w:r>
      <w:r>
        <w:rPr>
          <w:color w:val="231F20"/>
          <w:spacing w:val="21"/>
        </w:rPr>
        <w:t> </w:t>
      </w:r>
      <w:r>
        <w:rPr>
          <w:color w:val="231F20"/>
        </w:rPr>
        <w:t>jours</w:t>
      </w:r>
      <w:r>
        <w:rPr>
          <w:color w:val="231F20"/>
          <w:spacing w:val="22"/>
        </w:rPr>
        <w:t> </w:t>
      </w:r>
      <w:r>
        <w:rPr>
          <w:color w:val="231F20"/>
        </w:rPr>
        <w:t>qui</w:t>
      </w:r>
      <w:r>
        <w:rPr>
          <w:color w:val="231F20"/>
          <w:spacing w:val="22"/>
        </w:rPr>
        <w:t> </w:t>
      </w:r>
      <w:r>
        <w:rPr>
          <w:color w:val="231F20"/>
        </w:rPr>
        <w:t>suivent</w:t>
      </w:r>
      <w:r>
        <w:rPr>
          <w:color w:val="231F20"/>
          <w:spacing w:val="20"/>
        </w:rPr>
        <w:t> </w:t>
      </w:r>
      <w:r>
        <w:rPr>
          <w:color w:val="231F20"/>
        </w:rPr>
        <w:t>le</w:t>
      </w:r>
      <w:r>
        <w:rPr>
          <w:color w:val="231F20"/>
          <w:spacing w:val="20"/>
        </w:rPr>
        <w:t> </w:t>
      </w:r>
      <w:r>
        <w:rPr>
          <w:color w:val="231F20"/>
        </w:rPr>
        <w:t>coup</w:t>
      </w:r>
      <w:r>
        <w:rPr>
          <w:color w:val="231F20"/>
          <w:spacing w:val="18"/>
        </w:rPr>
        <w:t> </w:t>
      </w:r>
      <w:r>
        <w:rPr>
          <w:color w:val="231F20"/>
        </w:rPr>
        <w:t>d’État,</w:t>
      </w:r>
      <w:r>
        <w:rPr>
          <w:color w:val="231F20"/>
          <w:spacing w:val="19"/>
        </w:rPr>
        <w:t> </w:t>
      </w:r>
      <w:r>
        <w:rPr>
          <w:color w:val="231F20"/>
        </w:rPr>
        <w:t>plus</w:t>
      </w:r>
      <w:r>
        <w:rPr>
          <w:color w:val="231F20"/>
          <w:spacing w:val="22"/>
        </w:rPr>
        <w:t> </w:t>
      </w:r>
      <w:r>
        <w:rPr>
          <w:color w:val="231F20"/>
          <w:spacing w:val="-2"/>
        </w:rPr>
        <w:t>d’une</w:t>
      </w:r>
    </w:p>
    <w:p>
      <w:pPr>
        <w:pStyle w:val="BodyText"/>
      </w:pPr>
      <w:r>
        <w:rPr>
          <w:color w:val="231F20"/>
        </w:rPr>
        <w:t>dizaine</w:t>
      </w:r>
      <w:r>
        <w:rPr>
          <w:color w:val="231F20"/>
          <w:spacing w:val="30"/>
        </w:rPr>
        <w:t> </w:t>
      </w:r>
      <w:r>
        <w:rPr>
          <w:color w:val="231F20"/>
        </w:rPr>
        <w:t>de</w:t>
      </w:r>
      <w:r>
        <w:rPr>
          <w:color w:val="231F20"/>
          <w:spacing w:val="30"/>
        </w:rPr>
        <w:t> </w:t>
      </w:r>
      <w:r>
        <w:rPr>
          <w:color w:val="231F20"/>
        </w:rPr>
        <w:t>dignitaires</w:t>
      </w:r>
      <w:r>
        <w:rPr>
          <w:color w:val="231F20"/>
          <w:spacing w:val="30"/>
        </w:rPr>
        <w:t> </w:t>
      </w:r>
      <w:r>
        <w:rPr>
          <w:color w:val="231F20"/>
        </w:rPr>
        <w:t>de</w:t>
      </w:r>
      <w:r>
        <w:rPr>
          <w:color w:val="231F20"/>
          <w:spacing w:val="27"/>
        </w:rPr>
        <w:t> </w:t>
      </w:r>
      <w:r>
        <w:rPr>
          <w:color w:val="231F20"/>
        </w:rPr>
        <w:t>l’ancien</w:t>
      </w:r>
      <w:r>
        <w:rPr>
          <w:color w:val="231F20"/>
          <w:spacing w:val="30"/>
        </w:rPr>
        <w:t> </w:t>
      </w:r>
      <w:r>
        <w:rPr>
          <w:color w:val="231F20"/>
        </w:rPr>
        <w:t>régime</w:t>
      </w:r>
      <w:r>
        <w:rPr>
          <w:color w:val="231F20"/>
          <w:spacing w:val="30"/>
        </w:rPr>
        <w:t> </w:t>
      </w:r>
      <w:r>
        <w:rPr>
          <w:color w:val="231F20"/>
        </w:rPr>
        <w:t>renversé</w:t>
      </w:r>
      <w:r>
        <w:rPr>
          <w:color w:val="231F20"/>
          <w:spacing w:val="31"/>
        </w:rPr>
        <w:t> </w:t>
      </w:r>
      <w:r>
        <w:rPr>
          <w:color w:val="231F20"/>
        </w:rPr>
        <w:t>sont</w:t>
      </w:r>
      <w:r>
        <w:rPr>
          <w:color w:val="231F20"/>
          <w:spacing w:val="30"/>
        </w:rPr>
        <w:t> </w:t>
      </w:r>
      <w:r>
        <w:rPr>
          <w:color w:val="231F20"/>
        </w:rPr>
        <w:t>arrêtés</w:t>
      </w:r>
      <w:r>
        <w:rPr>
          <w:color w:val="231F20"/>
          <w:spacing w:val="31"/>
        </w:rPr>
        <w:t> </w:t>
      </w:r>
      <w:r>
        <w:rPr>
          <w:color w:val="231F20"/>
          <w:spacing w:val="-4"/>
        </w:rPr>
        <w:t>manu</w:t>
      </w:r>
    </w:p>
    <w:p>
      <w:pPr>
        <w:spacing w:after="0"/>
        <w:sectPr>
          <w:pgSz w:w="8790" w:h="13610"/>
          <w:pgMar w:header="0" w:footer="802" w:top="1060" w:bottom="1000" w:left="880" w:right="880"/>
        </w:sectPr>
      </w:pPr>
    </w:p>
    <w:p>
      <w:pPr>
        <w:pStyle w:val="BodyText"/>
        <w:spacing w:before="66"/>
        <w:ind w:right="102"/>
      </w:pPr>
      <w:r>
        <w:rPr>
          <w:color w:val="231F20"/>
        </w:rPr>
        <w:t>militari, la plupart du temps chez eux et brutalisés au moment de leur arrestation. Parmi eux, Laurent Dona Fologo, ministre chargé de la solidarité</w:t>
      </w:r>
      <w:r>
        <w:rPr>
          <w:color w:val="231F20"/>
          <w:spacing w:val="-15"/>
        </w:rPr>
        <w:t> </w:t>
      </w:r>
      <w:r>
        <w:rPr>
          <w:color w:val="231F20"/>
        </w:rPr>
        <w:t>nationale</w:t>
      </w:r>
      <w:r>
        <w:rPr>
          <w:color w:val="231F20"/>
          <w:spacing w:val="-13"/>
        </w:rPr>
        <w:t> </w:t>
      </w:r>
      <w:r>
        <w:rPr>
          <w:color w:val="231F20"/>
        </w:rPr>
        <w:t>et</w:t>
      </w:r>
      <w:r>
        <w:rPr>
          <w:color w:val="231F20"/>
          <w:spacing w:val="-13"/>
        </w:rPr>
        <w:t> </w:t>
      </w:r>
      <w:r>
        <w:rPr>
          <w:color w:val="231F20"/>
        </w:rPr>
        <w:t>Secrétaire</w:t>
      </w:r>
      <w:r>
        <w:rPr>
          <w:color w:val="231F20"/>
          <w:spacing w:val="-13"/>
        </w:rPr>
        <w:t> </w:t>
      </w:r>
      <w:r>
        <w:rPr>
          <w:color w:val="231F20"/>
        </w:rPr>
        <w:t>Général</w:t>
      </w:r>
      <w:r>
        <w:rPr>
          <w:color w:val="231F20"/>
          <w:spacing w:val="-14"/>
        </w:rPr>
        <w:t> </w:t>
      </w:r>
      <w:r>
        <w:rPr>
          <w:color w:val="231F20"/>
        </w:rPr>
        <w:t>de</w:t>
      </w:r>
      <w:r>
        <w:rPr>
          <w:color w:val="231F20"/>
          <w:spacing w:val="-13"/>
        </w:rPr>
        <w:t> </w:t>
      </w:r>
      <w:r>
        <w:rPr>
          <w:color w:val="231F20"/>
        </w:rPr>
        <w:t>l’ancien</w:t>
      </w:r>
      <w:r>
        <w:rPr>
          <w:color w:val="231F20"/>
          <w:spacing w:val="-13"/>
        </w:rPr>
        <w:t> </w:t>
      </w:r>
      <w:r>
        <w:rPr>
          <w:color w:val="231F20"/>
        </w:rPr>
        <w:t>parti</w:t>
      </w:r>
      <w:r>
        <w:rPr>
          <w:color w:val="231F20"/>
          <w:spacing w:val="-13"/>
        </w:rPr>
        <w:t> </w:t>
      </w:r>
      <w:r>
        <w:rPr>
          <w:color w:val="231F20"/>
        </w:rPr>
        <w:t>au</w:t>
      </w:r>
      <w:r>
        <w:rPr>
          <w:color w:val="231F20"/>
          <w:spacing w:val="-15"/>
        </w:rPr>
        <w:t> </w:t>
      </w:r>
      <w:r>
        <w:rPr>
          <w:color w:val="231F20"/>
        </w:rPr>
        <w:t>pouvoir,</w:t>
      </w:r>
      <w:r>
        <w:rPr>
          <w:color w:val="231F20"/>
          <w:spacing w:val="-15"/>
        </w:rPr>
        <w:t> </w:t>
      </w:r>
      <w:r>
        <w:rPr>
          <w:color w:val="231F20"/>
        </w:rPr>
        <w:t>le </w:t>
      </w:r>
      <w:r>
        <w:rPr>
          <w:color w:val="231F20"/>
          <w:spacing w:val="-4"/>
        </w:rPr>
        <w:t>Parti</w:t>
      </w:r>
      <w:r>
        <w:rPr>
          <w:color w:val="231F20"/>
          <w:spacing w:val="-8"/>
        </w:rPr>
        <w:t> </w:t>
      </w:r>
      <w:r>
        <w:rPr>
          <w:color w:val="231F20"/>
          <w:spacing w:val="-4"/>
        </w:rPr>
        <w:t>démocratique</w:t>
      </w:r>
      <w:r>
        <w:rPr>
          <w:color w:val="231F20"/>
          <w:spacing w:val="-7"/>
        </w:rPr>
        <w:t> </w:t>
      </w:r>
      <w:r>
        <w:rPr>
          <w:color w:val="231F20"/>
          <w:spacing w:val="-4"/>
        </w:rPr>
        <w:t>de</w:t>
      </w:r>
      <w:r>
        <w:rPr>
          <w:color w:val="231F20"/>
          <w:spacing w:val="-10"/>
        </w:rPr>
        <w:t> </w:t>
      </w:r>
      <w:r>
        <w:rPr>
          <w:color w:val="231F20"/>
          <w:spacing w:val="-4"/>
        </w:rPr>
        <w:t>la</w:t>
      </w:r>
      <w:r>
        <w:rPr>
          <w:color w:val="231F20"/>
          <w:spacing w:val="-8"/>
        </w:rPr>
        <w:t> </w:t>
      </w:r>
      <w:r>
        <w:rPr>
          <w:color w:val="231F20"/>
          <w:spacing w:val="-4"/>
        </w:rPr>
        <w:t>Côte</w:t>
      </w:r>
      <w:r>
        <w:rPr>
          <w:color w:val="231F20"/>
          <w:spacing w:val="-7"/>
        </w:rPr>
        <w:t> </w:t>
      </w:r>
      <w:r>
        <w:rPr>
          <w:color w:val="231F20"/>
          <w:spacing w:val="-4"/>
        </w:rPr>
        <w:t>d’Ivoire</w:t>
      </w:r>
      <w:r>
        <w:rPr>
          <w:color w:val="231F20"/>
          <w:spacing w:val="-7"/>
        </w:rPr>
        <w:t> </w:t>
      </w:r>
      <w:r>
        <w:rPr>
          <w:color w:val="231F20"/>
          <w:spacing w:val="-4"/>
        </w:rPr>
        <w:t>(PDCI)</w:t>
      </w:r>
      <w:r>
        <w:rPr>
          <w:color w:val="231F20"/>
        </w:rPr>
        <w:t> </w:t>
      </w:r>
      <w:r>
        <w:rPr>
          <w:color w:val="231F20"/>
          <w:spacing w:val="-4"/>
        </w:rPr>
        <w:t>;</w:t>
      </w:r>
      <w:r>
        <w:rPr>
          <w:color w:val="231F20"/>
          <w:spacing w:val="-6"/>
        </w:rPr>
        <w:t> </w:t>
      </w:r>
      <w:r>
        <w:rPr>
          <w:color w:val="231F20"/>
          <w:spacing w:val="-4"/>
        </w:rPr>
        <w:t>Essy</w:t>
      </w:r>
      <w:r>
        <w:rPr>
          <w:color w:val="231F20"/>
          <w:spacing w:val="-9"/>
        </w:rPr>
        <w:t> </w:t>
      </w:r>
      <w:r>
        <w:rPr>
          <w:color w:val="231F20"/>
          <w:spacing w:val="-4"/>
        </w:rPr>
        <w:t>Amara,</w:t>
      </w:r>
      <w:r>
        <w:rPr>
          <w:color w:val="231F20"/>
          <w:spacing w:val="-6"/>
        </w:rPr>
        <w:t> </w:t>
      </w:r>
      <w:r>
        <w:rPr>
          <w:color w:val="231F20"/>
          <w:spacing w:val="-4"/>
        </w:rPr>
        <w:t>ministre</w:t>
      </w:r>
      <w:r>
        <w:rPr>
          <w:color w:val="231F20"/>
          <w:spacing w:val="-10"/>
        </w:rPr>
        <w:t> </w:t>
      </w:r>
      <w:r>
        <w:rPr>
          <w:color w:val="231F20"/>
          <w:spacing w:val="-4"/>
        </w:rPr>
        <w:t>des </w:t>
      </w:r>
      <w:r>
        <w:rPr>
          <w:color w:val="231F20"/>
        </w:rPr>
        <w:t>Affaires</w:t>
      </w:r>
      <w:r>
        <w:rPr>
          <w:color w:val="231F20"/>
          <w:spacing w:val="-15"/>
        </w:rPr>
        <w:t> </w:t>
      </w:r>
      <w:r>
        <w:rPr>
          <w:color w:val="231F20"/>
        </w:rPr>
        <w:t>Etrangères</w:t>
      </w:r>
      <w:r>
        <w:rPr>
          <w:color w:val="231F20"/>
          <w:spacing w:val="-15"/>
        </w:rPr>
        <w:t> </w:t>
      </w:r>
      <w:r>
        <w:rPr>
          <w:color w:val="231F20"/>
        </w:rPr>
        <w:t>et</w:t>
      </w:r>
      <w:r>
        <w:rPr>
          <w:color w:val="231F20"/>
          <w:spacing w:val="-15"/>
        </w:rPr>
        <w:t> </w:t>
      </w:r>
      <w:r>
        <w:rPr>
          <w:color w:val="231F20"/>
        </w:rPr>
        <w:t>Émile</w:t>
      </w:r>
      <w:r>
        <w:rPr>
          <w:color w:val="231F20"/>
          <w:spacing w:val="-15"/>
        </w:rPr>
        <w:t> </w:t>
      </w:r>
      <w:r>
        <w:rPr>
          <w:color w:val="231F20"/>
        </w:rPr>
        <w:t>Constant</w:t>
      </w:r>
      <w:r>
        <w:rPr>
          <w:color w:val="231F20"/>
          <w:spacing w:val="-15"/>
        </w:rPr>
        <w:t> </w:t>
      </w:r>
      <w:r>
        <w:rPr>
          <w:color w:val="231F20"/>
        </w:rPr>
        <w:t>Bombet,</w:t>
      </w:r>
      <w:r>
        <w:rPr>
          <w:color w:val="231F20"/>
          <w:spacing w:val="-15"/>
        </w:rPr>
        <w:t> </w:t>
      </w:r>
      <w:r>
        <w:rPr>
          <w:color w:val="231F20"/>
        </w:rPr>
        <w:t>ministre</w:t>
      </w:r>
      <w:r>
        <w:rPr>
          <w:color w:val="231F20"/>
          <w:spacing w:val="-15"/>
        </w:rPr>
        <w:t> </w:t>
      </w:r>
      <w:r>
        <w:rPr>
          <w:color w:val="231F20"/>
        </w:rPr>
        <w:t>de</w:t>
      </w:r>
      <w:r>
        <w:rPr>
          <w:color w:val="231F20"/>
          <w:spacing w:val="-15"/>
        </w:rPr>
        <w:t> </w:t>
      </w:r>
      <w:r>
        <w:rPr>
          <w:color w:val="231F20"/>
        </w:rPr>
        <w:t>l’Intérieur</w:t>
      </w:r>
      <w:r>
        <w:rPr>
          <w:color w:val="231F20"/>
          <w:spacing w:val="-15"/>
        </w:rPr>
        <w:t> </w:t>
      </w:r>
      <w:r>
        <w:rPr>
          <w:color w:val="231F20"/>
        </w:rPr>
        <w:t>et de la Décentralisation. Sont également placés en détention, des responsables des forces de sécurité comme le Général Attoh Nangui, Directeur général de la police et le Général Séverin Konan Kouamé, Commandant supérieur de la gendarmerie. Certains des détenus sont conduits</w:t>
      </w:r>
      <w:r>
        <w:rPr>
          <w:color w:val="231F20"/>
          <w:spacing w:val="-4"/>
        </w:rPr>
        <w:t> </w:t>
      </w:r>
      <w:r>
        <w:rPr>
          <w:color w:val="231F20"/>
        </w:rPr>
        <w:t>au</w:t>
      </w:r>
      <w:r>
        <w:rPr>
          <w:color w:val="231F20"/>
          <w:spacing w:val="-3"/>
        </w:rPr>
        <w:t> </w:t>
      </w:r>
      <w:r>
        <w:rPr>
          <w:color w:val="231F20"/>
        </w:rPr>
        <w:t>camp</w:t>
      </w:r>
      <w:r>
        <w:rPr>
          <w:color w:val="231F20"/>
          <w:spacing w:val="-5"/>
        </w:rPr>
        <w:t> </w:t>
      </w:r>
      <w:r>
        <w:rPr>
          <w:color w:val="231F20"/>
        </w:rPr>
        <w:t>militaire</w:t>
      </w:r>
      <w:r>
        <w:rPr>
          <w:color w:val="231F20"/>
          <w:spacing w:val="-3"/>
        </w:rPr>
        <w:t> </w:t>
      </w:r>
      <w:r>
        <w:rPr>
          <w:color w:val="231F20"/>
        </w:rPr>
        <w:t>d’Akouédo,</w:t>
      </w:r>
      <w:r>
        <w:rPr>
          <w:color w:val="231F20"/>
          <w:spacing w:val="-5"/>
        </w:rPr>
        <w:t> </w:t>
      </w:r>
      <w:r>
        <w:rPr>
          <w:color w:val="231F20"/>
        </w:rPr>
        <w:t>d’autres</w:t>
      </w:r>
      <w:r>
        <w:rPr>
          <w:color w:val="231F20"/>
          <w:spacing w:val="-4"/>
        </w:rPr>
        <w:t> </w:t>
      </w:r>
      <w:r>
        <w:rPr>
          <w:color w:val="231F20"/>
        </w:rPr>
        <w:t>placés</w:t>
      </w:r>
      <w:r>
        <w:rPr>
          <w:color w:val="231F20"/>
          <w:spacing w:val="-3"/>
        </w:rPr>
        <w:t> </w:t>
      </w:r>
      <w:r>
        <w:rPr>
          <w:color w:val="231F20"/>
        </w:rPr>
        <w:t>dans</w:t>
      </w:r>
      <w:r>
        <w:rPr>
          <w:color w:val="231F20"/>
          <w:spacing w:val="-4"/>
        </w:rPr>
        <w:t> </w:t>
      </w:r>
      <w:r>
        <w:rPr>
          <w:color w:val="231F20"/>
        </w:rPr>
        <w:t>l’ancienne villa</w:t>
      </w:r>
      <w:r>
        <w:rPr>
          <w:color w:val="231F20"/>
          <w:spacing w:val="-4"/>
        </w:rPr>
        <w:t> </w:t>
      </w:r>
      <w:r>
        <w:rPr>
          <w:color w:val="231F20"/>
        </w:rPr>
        <w:t>de</w:t>
      </w:r>
      <w:r>
        <w:rPr>
          <w:color w:val="231F20"/>
          <w:spacing w:val="-4"/>
        </w:rPr>
        <w:t> </w:t>
      </w:r>
      <w:r>
        <w:rPr>
          <w:color w:val="231F20"/>
        </w:rPr>
        <w:t>fonction</w:t>
      </w:r>
      <w:r>
        <w:rPr>
          <w:color w:val="231F20"/>
          <w:spacing w:val="-4"/>
        </w:rPr>
        <w:t> </w:t>
      </w:r>
      <w:r>
        <w:rPr>
          <w:color w:val="231F20"/>
        </w:rPr>
        <w:t>d’Émile</w:t>
      </w:r>
      <w:r>
        <w:rPr>
          <w:color w:val="231F20"/>
          <w:spacing w:val="-6"/>
        </w:rPr>
        <w:t> </w:t>
      </w:r>
      <w:r>
        <w:rPr>
          <w:color w:val="231F20"/>
        </w:rPr>
        <w:t>Constant</w:t>
      </w:r>
      <w:r>
        <w:rPr>
          <w:color w:val="231F20"/>
          <w:spacing w:val="-3"/>
        </w:rPr>
        <w:t> </w:t>
      </w:r>
      <w:r>
        <w:rPr>
          <w:color w:val="231F20"/>
        </w:rPr>
        <w:t>Bombet,</w:t>
      </w:r>
      <w:r>
        <w:rPr>
          <w:color w:val="231F20"/>
          <w:spacing w:val="-4"/>
        </w:rPr>
        <w:t> </w:t>
      </w:r>
      <w:r>
        <w:rPr>
          <w:color w:val="231F20"/>
        </w:rPr>
        <w:t>d’autres</w:t>
      </w:r>
      <w:r>
        <w:rPr>
          <w:color w:val="231F20"/>
          <w:spacing w:val="-4"/>
        </w:rPr>
        <w:t> </w:t>
      </w:r>
      <w:r>
        <w:rPr>
          <w:color w:val="231F20"/>
        </w:rPr>
        <w:t>encore</w:t>
      </w:r>
      <w:r>
        <w:rPr>
          <w:color w:val="231F20"/>
          <w:spacing w:val="-5"/>
        </w:rPr>
        <w:t> </w:t>
      </w:r>
      <w:r>
        <w:rPr>
          <w:color w:val="231F20"/>
        </w:rPr>
        <w:t>détenus</w:t>
      </w:r>
      <w:r>
        <w:rPr>
          <w:color w:val="231F20"/>
          <w:spacing w:val="-4"/>
        </w:rPr>
        <w:t> </w:t>
      </w:r>
      <w:r>
        <w:rPr>
          <w:color w:val="231F20"/>
        </w:rPr>
        <w:t>au </w:t>
      </w:r>
      <w:r>
        <w:rPr>
          <w:color w:val="231F20"/>
          <w:spacing w:val="-4"/>
        </w:rPr>
        <w:t>secret</w:t>
      </w:r>
      <w:r>
        <w:rPr>
          <w:color w:val="231F20"/>
          <w:spacing w:val="-6"/>
        </w:rPr>
        <w:t> </w:t>
      </w:r>
      <w:r>
        <w:rPr>
          <w:color w:val="231F20"/>
          <w:spacing w:val="-4"/>
        </w:rPr>
        <w:t>dans</w:t>
      </w:r>
      <w:r>
        <w:rPr>
          <w:color w:val="231F20"/>
          <w:spacing w:val="-6"/>
        </w:rPr>
        <w:t> </w:t>
      </w:r>
      <w:r>
        <w:rPr>
          <w:color w:val="231F20"/>
          <w:spacing w:val="-4"/>
        </w:rPr>
        <w:t>des</w:t>
      </w:r>
      <w:r>
        <w:rPr>
          <w:color w:val="231F20"/>
          <w:spacing w:val="-6"/>
        </w:rPr>
        <w:t> </w:t>
      </w:r>
      <w:r>
        <w:rPr>
          <w:color w:val="231F20"/>
          <w:spacing w:val="-4"/>
        </w:rPr>
        <w:t>lieux</w:t>
      </w:r>
      <w:r>
        <w:rPr>
          <w:color w:val="231F20"/>
          <w:spacing w:val="-6"/>
        </w:rPr>
        <w:t> </w:t>
      </w:r>
      <w:r>
        <w:rPr>
          <w:color w:val="231F20"/>
          <w:spacing w:val="-4"/>
        </w:rPr>
        <w:t>inconnus.</w:t>
      </w:r>
      <w:r>
        <w:rPr>
          <w:color w:val="231F20"/>
          <w:spacing w:val="-6"/>
        </w:rPr>
        <w:t> </w:t>
      </w:r>
      <w:r>
        <w:rPr>
          <w:color w:val="231F20"/>
          <w:spacing w:val="-4"/>
        </w:rPr>
        <w:t>Durant</w:t>
      </w:r>
      <w:r>
        <w:rPr>
          <w:color w:val="231F20"/>
          <w:spacing w:val="-6"/>
        </w:rPr>
        <w:t> </w:t>
      </w:r>
      <w:r>
        <w:rPr>
          <w:color w:val="231F20"/>
          <w:spacing w:val="-4"/>
        </w:rPr>
        <w:t>plusieurs</w:t>
      </w:r>
      <w:r>
        <w:rPr>
          <w:color w:val="231F20"/>
          <w:spacing w:val="-9"/>
        </w:rPr>
        <w:t> </w:t>
      </w:r>
      <w:r>
        <w:rPr>
          <w:color w:val="231F20"/>
          <w:spacing w:val="-4"/>
        </w:rPr>
        <w:t>jours</w:t>
      </w:r>
      <w:r>
        <w:rPr>
          <w:color w:val="231F20"/>
          <w:spacing w:val="-5"/>
        </w:rPr>
        <w:t> </w:t>
      </w:r>
      <w:r>
        <w:rPr>
          <w:color w:val="231F20"/>
          <w:spacing w:val="-4"/>
        </w:rPr>
        <w:t>voire</w:t>
      </w:r>
      <w:r>
        <w:rPr>
          <w:color w:val="231F20"/>
          <w:spacing w:val="-6"/>
        </w:rPr>
        <w:t> </w:t>
      </w:r>
      <w:r>
        <w:rPr>
          <w:color w:val="231F20"/>
          <w:spacing w:val="-4"/>
        </w:rPr>
        <w:t>des</w:t>
      </w:r>
      <w:r>
        <w:rPr>
          <w:color w:val="231F20"/>
          <w:spacing w:val="-5"/>
        </w:rPr>
        <w:t> </w:t>
      </w:r>
      <w:r>
        <w:rPr>
          <w:color w:val="231F20"/>
          <w:spacing w:val="-4"/>
        </w:rPr>
        <w:t>semaines, </w:t>
      </w:r>
      <w:r>
        <w:rPr>
          <w:color w:val="231F20"/>
        </w:rPr>
        <w:t>ni leur famille,</w:t>
      </w:r>
      <w:r>
        <w:rPr>
          <w:color w:val="231F20"/>
          <w:spacing w:val="-4"/>
        </w:rPr>
        <w:t> </w:t>
      </w:r>
      <w:r>
        <w:rPr>
          <w:color w:val="231F20"/>
        </w:rPr>
        <w:t>ni</w:t>
      </w:r>
      <w:r>
        <w:rPr>
          <w:color w:val="231F20"/>
          <w:spacing w:val="-3"/>
        </w:rPr>
        <w:t> </w:t>
      </w:r>
      <w:r>
        <w:rPr>
          <w:color w:val="231F20"/>
        </w:rPr>
        <w:t>leurs avocats</w:t>
      </w:r>
      <w:r>
        <w:rPr>
          <w:color w:val="231F20"/>
          <w:spacing w:val="-1"/>
        </w:rPr>
        <w:t> </w:t>
      </w:r>
      <w:r>
        <w:rPr>
          <w:color w:val="231F20"/>
        </w:rPr>
        <w:t>n’ont</w:t>
      </w:r>
      <w:r>
        <w:rPr>
          <w:color w:val="231F20"/>
          <w:spacing w:val="-1"/>
        </w:rPr>
        <w:t> </w:t>
      </w:r>
      <w:r>
        <w:rPr>
          <w:color w:val="231F20"/>
        </w:rPr>
        <w:t>accès</w:t>
      </w:r>
      <w:r>
        <w:rPr>
          <w:color w:val="231F20"/>
          <w:spacing w:val="-1"/>
        </w:rPr>
        <w:t> </w:t>
      </w:r>
      <w:r>
        <w:rPr>
          <w:color w:val="231F20"/>
        </w:rPr>
        <w:t>à</w:t>
      </w:r>
      <w:r>
        <w:rPr>
          <w:color w:val="231F20"/>
          <w:spacing w:val="-5"/>
        </w:rPr>
        <w:t> </w:t>
      </w:r>
      <w:r>
        <w:rPr>
          <w:color w:val="231F20"/>
        </w:rPr>
        <w:t>eux.</w:t>
      </w:r>
    </w:p>
    <w:p>
      <w:pPr>
        <w:pStyle w:val="BodyText"/>
        <w:spacing w:before="121"/>
        <w:ind w:right="104" w:firstLine="283"/>
      </w:pPr>
      <w:r>
        <w:rPr>
          <w:color w:val="231F20"/>
          <w:spacing w:val="-4"/>
        </w:rPr>
        <w:t>La</w:t>
      </w:r>
      <w:r>
        <w:rPr>
          <w:color w:val="231F20"/>
          <w:spacing w:val="-9"/>
        </w:rPr>
        <w:t> </w:t>
      </w:r>
      <w:r>
        <w:rPr>
          <w:color w:val="231F20"/>
          <w:spacing w:val="-4"/>
        </w:rPr>
        <w:t>Ligue</w:t>
      </w:r>
      <w:r>
        <w:rPr>
          <w:color w:val="231F20"/>
          <w:spacing w:val="-11"/>
        </w:rPr>
        <w:t> </w:t>
      </w:r>
      <w:r>
        <w:rPr>
          <w:color w:val="231F20"/>
          <w:spacing w:val="-4"/>
        </w:rPr>
        <w:t>ivoirienne</w:t>
      </w:r>
      <w:r>
        <w:rPr>
          <w:color w:val="231F20"/>
          <w:spacing w:val="-11"/>
        </w:rPr>
        <w:t> </w:t>
      </w:r>
      <w:r>
        <w:rPr>
          <w:color w:val="231F20"/>
          <w:spacing w:val="-4"/>
        </w:rPr>
        <w:t>des</w:t>
      </w:r>
      <w:r>
        <w:rPr>
          <w:color w:val="231F20"/>
          <w:spacing w:val="-9"/>
        </w:rPr>
        <w:t> </w:t>
      </w:r>
      <w:r>
        <w:rPr>
          <w:color w:val="231F20"/>
          <w:spacing w:val="-4"/>
        </w:rPr>
        <w:t>droits</w:t>
      </w:r>
      <w:r>
        <w:rPr>
          <w:color w:val="231F20"/>
          <w:spacing w:val="-10"/>
        </w:rPr>
        <w:t> </w:t>
      </w:r>
      <w:r>
        <w:rPr>
          <w:color w:val="231F20"/>
          <w:spacing w:val="-4"/>
        </w:rPr>
        <w:t>de</w:t>
      </w:r>
      <w:r>
        <w:rPr>
          <w:color w:val="231F20"/>
          <w:spacing w:val="-9"/>
        </w:rPr>
        <w:t> </w:t>
      </w:r>
      <w:r>
        <w:rPr>
          <w:color w:val="231F20"/>
          <w:spacing w:val="-4"/>
        </w:rPr>
        <w:t>l’homme</w:t>
      </w:r>
      <w:r>
        <w:rPr>
          <w:color w:val="231F20"/>
          <w:spacing w:val="-9"/>
        </w:rPr>
        <w:t> </w:t>
      </w:r>
      <w:r>
        <w:rPr>
          <w:color w:val="231F20"/>
          <w:spacing w:val="-4"/>
        </w:rPr>
        <w:t>(LIDHO)</w:t>
      </w:r>
      <w:r>
        <w:rPr>
          <w:color w:val="231F20"/>
          <w:spacing w:val="-9"/>
        </w:rPr>
        <w:t> </w:t>
      </w:r>
      <w:r>
        <w:rPr>
          <w:color w:val="231F20"/>
          <w:spacing w:val="-4"/>
        </w:rPr>
        <w:t>se</w:t>
      </w:r>
      <w:r>
        <w:rPr>
          <w:color w:val="231F20"/>
          <w:spacing w:val="-9"/>
        </w:rPr>
        <w:t> </w:t>
      </w:r>
      <w:r>
        <w:rPr>
          <w:color w:val="231F20"/>
          <w:spacing w:val="-4"/>
        </w:rPr>
        <w:t>voit</w:t>
      </w:r>
      <w:r>
        <w:rPr>
          <w:color w:val="231F20"/>
          <w:spacing w:val="-9"/>
        </w:rPr>
        <w:t> </w:t>
      </w:r>
      <w:r>
        <w:rPr>
          <w:color w:val="231F20"/>
          <w:spacing w:val="-4"/>
        </w:rPr>
        <w:t>également </w:t>
      </w:r>
      <w:r>
        <w:rPr>
          <w:color w:val="231F20"/>
        </w:rPr>
        <w:t>refuser le droit de rendre visite aux détenus en dépit de démarches </w:t>
      </w:r>
      <w:r>
        <w:rPr>
          <w:color w:val="231F20"/>
          <w:spacing w:val="-2"/>
        </w:rPr>
        <w:t>répétées.</w:t>
      </w:r>
      <w:r>
        <w:rPr>
          <w:color w:val="231F20"/>
          <w:spacing w:val="-8"/>
        </w:rPr>
        <w:t> </w:t>
      </w:r>
      <w:r>
        <w:rPr>
          <w:color w:val="231F20"/>
          <w:spacing w:val="-2"/>
        </w:rPr>
        <w:t>Le</w:t>
      </w:r>
      <w:r>
        <w:rPr>
          <w:color w:val="231F20"/>
          <w:spacing w:val="-10"/>
        </w:rPr>
        <w:t> </w:t>
      </w:r>
      <w:r>
        <w:rPr>
          <w:color w:val="231F20"/>
          <w:spacing w:val="-2"/>
        </w:rPr>
        <w:t>8</w:t>
      </w:r>
      <w:r>
        <w:rPr>
          <w:color w:val="231F20"/>
          <w:spacing w:val="-9"/>
        </w:rPr>
        <w:t> </w:t>
      </w:r>
      <w:r>
        <w:rPr>
          <w:color w:val="231F20"/>
          <w:spacing w:val="-2"/>
        </w:rPr>
        <w:t>janvier</w:t>
      </w:r>
      <w:r>
        <w:rPr>
          <w:color w:val="231F20"/>
          <w:spacing w:val="-10"/>
        </w:rPr>
        <w:t> </w:t>
      </w:r>
      <w:r>
        <w:rPr>
          <w:color w:val="231F20"/>
          <w:spacing w:val="-2"/>
        </w:rPr>
        <w:t>2000,</w:t>
      </w:r>
      <w:r>
        <w:rPr>
          <w:color w:val="231F20"/>
          <w:spacing w:val="-8"/>
        </w:rPr>
        <w:t> </w:t>
      </w:r>
      <w:r>
        <w:rPr>
          <w:color w:val="231F20"/>
          <w:spacing w:val="-2"/>
        </w:rPr>
        <w:t>Mamadou</w:t>
      </w:r>
      <w:r>
        <w:rPr>
          <w:color w:val="231F20"/>
          <w:spacing w:val="-11"/>
        </w:rPr>
        <w:t> </w:t>
      </w:r>
      <w:r>
        <w:rPr>
          <w:color w:val="231F20"/>
          <w:spacing w:val="-2"/>
        </w:rPr>
        <w:t>Ben</w:t>
      </w:r>
      <w:r>
        <w:rPr>
          <w:color w:val="231F20"/>
          <w:spacing w:val="-9"/>
        </w:rPr>
        <w:t> </w:t>
      </w:r>
      <w:r>
        <w:rPr>
          <w:color w:val="231F20"/>
          <w:spacing w:val="-2"/>
        </w:rPr>
        <w:t>Soumahoro,</w:t>
      </w:r>
      <w:r>
        <w:rPr>
          <w:color w:val="231F20"/>
          <w:spacing w:val="-8"/>
        </w:rPr>
        <w:t> </w:t>
      </w:r>
      <w:r>
        <w:rPr>
          <w:color w:val="231F20"/>
          <w:spacing w:val="-2"/>
        </w:rPr>
        <w:t>ancien</w:t>
      </w:r>
      <w:r>
        <w:rPr>
          <w:color w:val="231F20"/>
          <w:spacing w:val="-9"/>
        </w:rPr>
        <w:t> </w:t>
      </w:r>
      <w:r>
        <w:rPr>
          <w:color w:val="231F20"/>
          <w:spacing w:val="-2"/>
        </w:rPr>
        <w:t>directeur </w:t>
      </w:r>
      <w:r>
        <w:rPr>
          <w:color w:val="231F20"/>
        </w:rPr>
        <w:t>de la Radiodiffusion Télévision Ivoirienne (RTI) et ancien député est arrêté à son domicile, soupçonné d’être l’auteur d’un tract envoyé au Général Gueï qui dénonçait le noyautage du gouvernement par des proches de M. Ouattara. Le 21 janvier 2000, dans une lettre ouverte </w:t>
      </w:r>
      <w:r>
        <w:rPr>
          <w:color w:val="231F20"/>
          <w:spacing w:val="-4"/>
        </w:rPr>
        <w:t>adressée</w:t>
      </w:r>
      <w:r>
        <w:rPr>
          <w:color w:val="231F20"/>
          <w:spacing w:val="-5"/>
        </w:rPr>
        <w:t> </w:t>
      </w:r>
      <w:r>
        <w:rPr>
          <w:color w:val="231F20"/>
          <w:spacing w:val="-4"/>
        </w:rPr>
        <w:t>au nouvel homme</w:t>
      </w:r>
      <w:r>
        <w:rPr>
          <w:color w:val="231F20"/>
          <w:spacing w:val="-5"/>
        </w:rPr>
        <w:t> </w:t>
      </w:r>
      <w:r>
        <w:rPr>
          <w:color w:val="231F20"/>
          <w:spacing w:val="-4"/>
        </w:rPr>
        <w:t>fort du</w:t>
      </w:r>
      <w:r>
        <w:rPr>
          <w:color w:val="231F20"/>
          <w:spacing w:val="-6"/>
        </w:rPr>
        <w:t> </w:t>
      </w:r>
      <w:r>
        <w:rPr>
          <w:color w:val="231F20"/>
          <w:spacing w:val="-4"/>
        </w:rPr>
        <w:t>pays,</w:t>
      </w:r>
      <w:r>
        <w:rPr>
          <w:color w:val="231F20"/>
          <w:spacing w:val="-7"/>
        </w:rPr>
        <w:t> </w:t>
      </w:r>
      <w:r>
        <w:rPr>
          <w:color w:val="231F20"/>
          <w:spacing w:val="-4"/>
        </w:rPr>
        <w:t>le</w:t>
      </w:r>
      <w:r>
        <w:rPr>
          <w:color w:val="231F20"/>
          <w:spacing w:val="-7"/>
        </w:rPr>
        <w:t> </w:t>
      </w:r>
      <w:r>
        <w:rPr>
          <w:color w:val="231F20"/>
          <w:spacing w:val="-4"/>
        </w:rPr>
        <w:t>Secrétaire</w:t>
      </w:r>
      <w:r>
        <w:rPr>
          <w:color w:val="231F20"/>
          <w:spacing w:val="-5"/>
        </w:rPr>
        <w:t> </w:t>
      </w:r>
      <w:r>
        <w:rPr>
          <w:color w:val="231F20"/>
          <w:spacing w:val="-4"/>
        </w:rPr>
        <w:t>Général d’Amnesty International</w:t>
      </w:r>
      <w:r>
        <w:rPr>
          <w:color w:val="231F20"/>
          <w:spacing w:val="-5"/>
        </w:rPr>
        <w:t> </w:t>
      </w:r>
      <w:r>
        <w:rPr>
          <w:color w:val="231F20"/>
          <w:spacing w:val="-4"/>
        </w:rPr>
        <w:t>exprime</w:t>
      </w:r>
      <w:r>
        <w:rPr>
          <w:color w:val="231F20"/>
          <w:spacing w:val="-10"/>
        </w:rPr>
        <w:t> </w:t>
      </w:r>
      <w:r>
        <w:rPr>
          <w:color w:val="231F20"/>
          <w:spacing w:val="-4"/>
        </w:rPr>
        <w:t>sa</w:t>
      </w:r>
      <w:r>
        <w:rPr>
          <w:color w:val="231F20"/>
          <w:spacing w:val="-6"/>
        </w:rPr>
        <w:t> </w:t>
      </w:r>
      <w:r>
        <w:rPr>
          <w:color w:val="231F20"/>
          <w:spacing w:val="-4"/>
        </w:rPr>
        <w:t>préoccupation</w:t>
      </w:r>
      <w:r>
        <w:rPr>
          <w:color w:val="231F20"/>
          <w:spacing w:val="-6"/>
        </w:rPr>
        <w:t> </w:t>
      </w:r>
      <w:r>
        <w:rPr>
          <w:color w:val="231F20"/>
          <w:spacing w:val="-4"/>
        </w:rPr>
        <w:t>du</w:t>
      </w:r>
      <w:r>
        <w:rPr>
          <w:color w:val="231F20"/>
          <w:spacing w:val="-6"/>
        </w:rPr>
        <w:t> </w:t>
      </w:r>
      <w:r>
        <w:rPr>
          <w:color w:val="231F20"/>
          <w:spacing w:val="-4"/>
        </w:rPr>
        <w:t>fait</w:t>
      </w:r>
      <w:r>
        <w:rPr>
          <w:color w:val="231F20"/>
          <w:spacing w:val="-5"/>
        </w:rPr>
        <w:t> </w:t>
      </w:r>
      <w:r>
        <w:rPr>
          <w:color w:val="231F20"/>
          <w:spacing w:val="-4"/>
        </w:rPr>
        <w:t>de</w:t>
      </w:r>
      <w:r>
        <w:rPr>
          <w:color w:val="231F20"/>
          <w:spacing w:val="-6"/>
        </w:rPr>
        <w:t> </w:t>
      </w:r>
      <w:r>
        <w:rPr>
          <w:color w:val="231F20"/>
          <w:spacing w:val="-4"/>
        </w:rPr>
        <w:t>la</w:t>
      </w:r>
      <w:r>
        <w:rPr>
          <w:color w:val="231F20"/>
          <w:spacing w:val="-9"/>
        </w:rPr>
        <w:t> </w:t>
      </w:r>
      <w:r>
        <w:rPr>
          <w:color w:val="231F20"/>
          <w:spacing w:val="-4"/>
        </w:rPr>
        <w:t>détention</w:t>
      </w:r>
      <w:r>
        <w:rPr>
          <w:color w:val="231F20"/>
          <w:spacing w:val="-7"/>
        </w:rPr>
        <w:t> </w:t>
      </w:r>
      <w:r>
        <w:rPr>
          <w:color w:val="231F20"/>
          <w:spacing w:val="-4"/>
        </w:rPr>
        <w:t>hors</w:t>
      </w:r>
      <w:r>
        <w:rPr>
          <w:color w:val="231F20"/>
          <w:spacing w:val="-5"/>
        </w:rPr>
        <w:t> </w:t>
      </w:r>
      <w:r>
        <w:rPr>
          <w:color w:val="231F20"/>
          <w:spacing w:val="-4"/>
        </w:rPr>
        <w:t>de</w:t>
      </w:r>
      <w:r>
        <w:rPr>
          <w:color w:val="231F20"/>
          <w:spacing w:val="-6"/>
        </w:rPr>
        <w:t> </w:t>
      </w:r>
      <w:r>
        <w:rPr>
          <w:color w:val="231F20"/>
          <w:spacing w:val="-4"/>
        </w:rPr>
        <w:t>tout </w:t>
      </w:r>
      <w:r>
        <w:rPr>
          <w:color w:val="231F20"/>
        </w:rPr>
        <w:t>cadre</w:t>
      </w:r>
      <w:r>
        <w:rPr>
          <w:color w:val="231F20"/>
          <w:spacing w:val="-15"/>
        </w:rPr>
        <w:t> </w:t>
      </w:r>
      <w:r>
        <w:rPr>
          <w:color w:val="231F20"/>
        </w:rPr>
        <w:t>légal</w:t>
      </w:r>
      <w:r>
        <w:rPr>
          <w:color w:val="231F20"/>
          <w:spacing w:val="-15"/>
        </w:rPr>
        <w:t> </w:t>
      </w:r>
      <w:r>
        <w:rPr>
          <w:color w:val="231F20"/>
        </w:rPr>
        <w:t>de</w:t>
      </w:r>
      <w:r>
        <w:rPr>
          <w:color w:val="231F20"/>
          <w:spacing w:val="-15"/>
        </w:rPr>
        <w:t> </w:t>
      </w:r>
      <w:r>
        <w:rPr>
          <w:color w:val="231F20"/>
        </w:rPr>
        <w:t>ces</w:t>
      </w:r>
      <w:r>
        <w:rPr>
          <w:color w:val="231F20"/>
          <w:spacing w:val="-15"/>
        </w:rPr>
        <w:t> </w:t>
      </w:r>
      <w:r>
        <w:rPr>
          <w:color w:val="231F20"/>
        </w:rPr>
        <w:t>personnes,</w:t>
      </w:r>
      <w:r>
        <w:rPr>
          <w:color w:val="231F20"/>
          <w:spacing w:val="-15"/>
        </w:rPr>
        <w:t> </w:t>
      </w:r>
      <w:r>
        <w:rPr>
          <w:color w:val="231F20"/>
        </w:rPr>
        <w:t>civiles</w:t>
      </w:r>
      <w:r>
        <w:rPr>
          <w:color w:val="231F20"/>
          <w:spacing w:val="-14"/>
        </w:rPr>
        <w:t> </w:t>
      </w:r>
      <w:r>
        <w:rPr>
          <w:color w:val="231F20"/>
        </w:rPr>
        <w:t>et</w:t>
      </w:r>
      <w:r>
        <w:rPr>
          <w:color w:val="231F20"/>
          <w:spacing w:val="-14"/>
        </w:rPr>
        <w:t> </w:t>
      </w:r>
      <w:r>
        <w:rPr>
          <w:color w:val="231F20"/>
        </w:rPr>
        <w:t>militaires.</w:t>
      </w:r>
      <w:r>
        <w:rPr>
          <w:color w:val="231F20"/>
          <w:spacing w:val="-14"/>
        </w:rPr>
        <w:t> </w:t>
      </w:r>
      <w:r>
        <w:rPr>
          <w:color w:val="231F20"/>
        </w:rPr>
        <w:t>C’est</w:t>
      </w:r>
      <w:r>
        <w:rPr>
          <w:color w:val="231F20"/>
          <w:spacing w:val="-13"/>
        </w:rPr>
        <w:t> </w:t>
      </w:r>
      <w:r>
        <w:rPr>
          <w:color w:val="231F20"/>
        </w:rPr>
        <w:t>peiné</w:t>
      </w:r>
      <w:r>
        <w:rPr>
          <w:color w:val="231F20"/>
          <w:spacing w:val="-14"/>
        </w:rPr>
        <w:t> </w:t>
      </w:r>
      <w:r>
        <w:rPr>
          <w:color w:val="231F20"/>
        </w:rPr>
        <w:t>perdue</w:t>
      </w:r>
      <w:r>
        <w:rPr>
          <w:color w:val="231F20"/>
          <w:spacing w:val="-15"/>
        </w:rPr>
        <w:t> </w:t>
      </w:r>
      <w:r>
        <w:rPr>
          <w:color w:val="231F20"/>
        </w:rPr>
        <w:t>:</w:t>
      </w:r>
      <w:r>
        <w:rPr>
          <w:color w:val="231F20"/>
          <w:spacing w:val="-14"/>
        </w:rPr>
        <w:t> </w:t>
      </w:r>
      <w:r>
        <w:rPr>
          <w:color w:val="231F20"/>
        </w:rPr>
        <w:t>le </w:t>
      </w:r>
      <w:r>
        <w:rPr>
          <w:color w:val="231F20"/>
          <w:spacing w:val="-2"/>
        </w:rPr>
        <w:t>31</w:t>
      </w:r>
      <w:r>
        <w:rPr>
          <w:color w:val="231F20"/>
          <w:spacing w:val="-9"/>
        </w:rPr>
        <w:t> </w:t>
      </w:r>
      <w:r>
        <w:rPr>
          <w:color w:val="231F20"/>
          <w:spacing w:val="-2"/>
        </w:rPr>
        <w:t>mars</w:t>
      </w:r>
      <w:r>
        <w:rPr>
          <w:color w:val="231F20"/>
          <w:spacing w:val="-9"/>
        </w:rPr>
        <w:t> </w:t>
      </w:r>
      <w:r>
        <w:rPr>
          <w:color w:val="231F20"/>
          <w:spacing w:val="-2"/>
        </w:rPr>
        <w:t>2000,</w:t>
      </w:r>
      <w:r>
        <w:rPr>
          <w:color w:val="231F20"/>
          <w:spacing w:val="-12"/>
        </w:rPr>
        <w:t> </w:t>
      </w:r>
      <w:r>
        <w:rPr>
          <w:color w:val="231F20"/>
          <w:spacing w:val="-2"/>
        </w:rPr>
        <w:t>soit</w:t>
      </w:r>
      <w:r>
        <w:rPr>
          <w:color w:val="231F20"/>
          <w:spacing w:val="-9"/>
        </w:rPr>
        <w:t> </w:t>
      </w:r>
      <w:r>
        <w:rPr>
          <w:color w:val="231F20"/>
          <w:spacing w:val="-2"/>
        </w:rPr>
        <w:t>trois</w:t>
      </w:r>
      <w:r>
        <w:rPr>
          <w:color w:val="231F20"/>
          <w:spacing w:val="-12"/>
        </w:rPr>
        <w:t> </w:t>
      </w:r>
      <w:r>
        <w:rPr>
          <w:color w:val="231F20"/>
          <w:spacing w:val="-2"/>
        </w:rPr>
        <w:t>mois</w:t>
      </w:r>
      <w:r>
        <w:rPr>
          <w:color w:val="231F20"/>
          <w:spacing w:val="-9"/>
        </w:rPr>
        <w:t> </w:t>
      </w:r>
      <w:r>
        <w:rPr>
          <w:color w:val="231F20"/>
          <w:spacing w:val="-2"/>
        </w:rPr>
        <w:t>après</w:t>
      </w:r>
      <w:r>
        <w:rPr>
          <w:color w:val="231F20"/>
          <w:spacing w:val="-12"/>
        </w:rPr>
        <w:t> </w:t>
      </w:r>
      <w:r>
        <w:rPr>
          <w:color w:val="231F20"/>
          <w:spacing w:val="-2"/>
        </w:rPr>
        <w:t>le</w:t>
      </w:r>
      <w:r>
        <w:rPr>
          <w:color w:val="231F20"/>
          <w:spacing w:val="-9"/>
        </w:rPr>
        <w:t> </w:t>
      </w:r>
      <w:r>
        <w:rPr>
          <w:color w:val="231F20"/>
          <w:spacing w:val="-2"/>
        </w:rPr>
        <w:t>coup</w:t>
      </w:r>
      <w:r>
        <w:rPr>
          <w:color w:val="231F20"/>
          <w:spacing w:val="-9"/>
        </w:rPr>
        <w:t> </w:t>
      </w:r>
      <w:r>
        <w:rPr>
          <w:color w:val="231F20"/>
          <w:spacing w:val="-2"/>
        </w:rPr>
        <w:t>d’État,</w:t>
      </w:r>
      <w:r>
        <w:rPr>
          <w:color w:val="231F20"/>
          <w:spacing w:val="-11"/>
        </w:rPr>
        <w:t> </w:t>
      </w:r>
      <w:r>
        <w:rPr>
          <w:color w:val="231F20"/>
          <w:spacing w:val="-2"/>
        </w:rPr>
        <w:t>l’ancien</w:t>
      </w:r>
      <w:r>
        <w:rPr>
          <w:color w:val="231F20"/>
          <w:spacing w:val="-9"/>
        </w:rPr>
        <w:t> </w:t>
      </w:r>
      <w:r>
        <w:rPr>
          <w:color w:val="231F20"/>
          <w:spacing w:val="-2"/>
        </w:rPr>
        <w:t>ministre</w:t>
      </w:r>
      <w:r>
        <w:rPr>
          <w:color w:val="231F20"/>
          <w:spacing w:val="-10"/>
        </w:rPr>
        <w:t> </w:t>
      </w:r>
      <w:r>
        <w:rPr>
          <w:color w:val="231F20"/>
          <w:spacing w:val="-2"/>
        </w:rPr>
        <w:t>de</w:t>
      </w:r>
      <w:r>
        <w:rPr>
          <w:color w:val="231F20"/>
          <w:spacing w:val="-10"/>
        </w:rPr>
        <w:t> </w:t>
      </w:r>
      <w:r>
        <w:rPr>
          <w:color w:val="231F20"/>
          <w:spacing w:val="-2"/>
        </w:rPr>
        <w:t>la </w:t>
      </w:r>
      <w:r>
        <w:rPr>
          <w:color w:val="231F20"/>
        </w:rPr>
        <w:t>Défense</w:t>
      </w:r>
      <w:r>
        <w:rPr>
          <w:color w:val="231F20"/>
          <w:spacing w:val="-12"/>
        </w:rPr>
        <w:t> </w:t>
      </w:r>
      <w:r>
        <w:rPr>
          <w:color w:val="231F20"/>
        </w:rPr>
        <w:t>d’Henri</w:t>
      </w:r>
      <w:r>
        <w:rPr>
          <w:color w:val="231F20"/>
          <w:spacing w:val="-12"/>
        </w:rPr>
        <w:t> </w:t>
      </w:r>
      <w:r>
        <w:rPr>
          <w:color w:val="231F20"/>
        </w:rPr>
        <w:t>Konan</w:t>
      </w:r>
      <w:r>
        <w:rPr>
          <w:color w:val="231F20"/>
          <w:spacing w:val="-15"/>
        </w:rPr>
        <w:t> </w:t>
      </w:r>
      <w:r>
        <w:rPr>
          <w:color w:val="231F20"/>
        </w:rPr>
        <w:t>Bédié,</w:t>
      </w:r>
      <w:r>
        <w:rPr>
          <w:color w:val="231F20"/>
          <w:spacing w:val="-13"/>
        </w:rPr>
        <w:t> </w:t>
      </w:r>
      <w:r>
        <w:rPr>
          <w:color w:val="231F20"/>
        </w:rPr>
        <w:t>Bandama</w:t>
      </w:r>
      <w:r>
        <w:rPr>
          <w:color w:val="231F20"/>
          <w:spacing w:val="-14"/>
        </w:rPr>
        <w:t> </w:t>
      </w:r>
      <w:r>
        <w:rPr>
          <w:color w:val="231F20"/>
        </w:rPr>
        <w:t>N’Gatta</w:t>
      </w:r>
      <w:r>
        <w:rPr>
          <w:color w:val="231F20"/>
          <w:spacing w:val="-13"/>
        </w:rPr>
        <w:t> </w:t>
      </w:r>
      <w:r>
        <w:rPr>
          <w:color w:val="231F20"/>
        </w:rPr>
        <w:t>est</w:t>
      </w:r>
      <w:r>
        <w:rPr>
          <w:color w:val="231F20"/>
          <w:spacing w:val="-9"/>
        </w:rPr>
        <w:t> </w:t>
      </w:r>
      <w:r>
        <w:rPr>
          <w:color w:val="231F20"/>
        </w:rPr>
        <w:t>arrêté</w:t>
      </w:r>
      <w:r>
        <w:rPr>
          <w:color w:val="231F20"/>
          <w:spacing w:val="-14"/>
        </w:rPr>
        <w:t> </w:t>
      </w:r>
      <w:r>
        <w:rPr>
          <w:color w:val="231F20"/>
        </w:rPr>
        <w:t>à</w:t>
      </w:r>
      <w:r>
        <w:rPr>
          <w:color w:val="231F20"/>
          <w:spacing w:val="-14"/>
        </w:rPr>
        <w:t> </w:t>
      </w:r>
      <w:r>
        <w:rPr>
          <w:color w:val="231F20"/>
        </w:rPr>
        <w:t>son</w:t>
      </w:r>
      <w:r>
        <w:rPr>
          <w:color w:val="231F20"/>
          <w:spacing w:val="-13"/>
        </w:rPr>
        <w:t> </w:t>
      </w:r>
      <w:r>
        <w:rPr>
          <w:color w:val="231F20"/>
        </w:rPr>
        <w:t>retour au pays en compagnie de l’ancien directeur général du journal pro- gouvernemental</w:t>
      </w:r>
      <w:r>
        <w:rPr>
          <w:color w:val="231F20"/>
          <w:spacing w:val="-6"/>
        </w:rPr>
        <w:t> </w:t>
      </w:r>
      <w:r>
        <w:rPr>
          <w:color w:val="231F20"/>
        </w:rPr>
        <w:t>Fraternité</w:t>
      </w:r>
      <w:r>
        <w:rPr>
          <w:color w:val="231F20"/>
          <w:spacing w:val="-7"/>
        </w:rPr>
        <w:t> </w:t>
      </w:r>
      <w:r>
        <w:rPr>
          <w:color w:val="231F20"/>
        </w:rPr>
        <w:t>Matin,</w:t>
      </w:r>
      <w:r>
        <w:rPr>
          <w:color w:val="231F20"/>
          <w:spacing w:val="-7"/>
        </w:rPr>
        <w:t> </w:t>
      </w:r>
      <w:r>
        <w:rPr>
          <w:color w:val="231F20"/>
        </w:rPr>
        <w:t>Michel</w:t>
      </w:r>
      <w:r>
        <w:rPr>
          <w:color w:val="231F20"/>
          <w:spacing w:val="-6"/>
        </w:rPr>
        <w:t> </w:t>
      </w:r>
      <w:r>
        <w:rPr>
          <w:color w:val="231F20"/>
        </w:rPr>
        <w:t>Kouamé.</w:t>
      </w:r>
      <w:r>
        <w:rPr>
          <w:color w:val="231F20"/>
          <w:spacing w:val="-6"/>
        </w:rPr>
        <w:t> </w:t>
      </w:r>
      <w:r>
        <w:rPr>
          <w:color w:val="231F20"/>
        </w:rPr>
        <w:t>Parallèlement</w:t>
      </w:r>
      <w:r>
        <w:rPr>
          <w:color w:val="231F20"/>
          <w:spacing w:val="-6"/>
        </w:rPr>
        <w:t> </w:t>
      </w:r>
      <w:r>
        <w:rPr>
          <w:color w:val="231F20"/>
        </w:rPr>
        <w:t>à</w:t>
      </w:r>
      <w:r>
        <w:rPr>
          <w:color w:val="231F20"/>
          <w:spacing w:val="-8"/>
        </w:rPr>
        <w:t> </w:t>
      </w:r>
      <w:r>
        <w:rPr>
          <w:color w:val="231F20"/>
        </w:rPr>
        <w:t>ces </w:t>
      </w:r>
      <w:r>
        <w:rPr>
          <w:color w:val="231F20"/>
          <w:spacing w:val="-4"/>
        </w:rPr>
        <w:t>arrestations</w:t>
      </w:r>
      <w:r>
        <w:rPr>
          <w:color w:val="231F20"/>
          <w:spacing w:val="-5"/>
        </w:rPr>
        <w:t> </w:t>
      </w:r>
      <w:r>
        <w:rPr>
          <w:color w:val="231F20"/>
          <w:spacing w:val="-4"/>
        </w:rPr>
        <w:t>de</w:t>
      </w:r>
      <w:r>
        <w:rPr>
          <w:color w:val="231F20"/>
          <w:spacing w:val="-5"/>
        </w:rPr>
        <w:t> </w:t>
      </w:r>
      <w:r>
        <w:rPr>
          <w:color w:val="231F20"/>
          <w:spacing w:val="-4"/>
        </w:rPr>
        <w:t>dignitaires</w:t>
      </w:r>
      <w:r>
        <w:rPr>
          <w:color w:val="231F20"/>
          <w:spacing w:val="-8"/>
        </w:rPr>
        <w:t> </w:t>
      </w:r>
      <w:r>
        <w:rPr>
          <w:color w:val="231F20"/>
          <w:spacing w:val="-4"/>
        </w:rPr>
        <w:t>de</w:t>
      </w:r>
      <w:r>
        <w:rPr>
          <w:color w:val="231F20"/>
          <w:spacing w:val="-5"/>
        </w:rPr>
        <w:t> </w:t>
      </w:r>
      <w:r>
        <w:rPr>
          <w:color w:val="231F20"/>
          <w:spacing w:val="-4"/>
        </w:rPr>
        <w:t>l’ancien régime, des</w:t>
      </w:r>
      <w:r>
        <w:rPr>
          <w:color w:val="231F20"/>
          <w:spacing w:val="-8"/>
        </w:rPr>
        <w:t> </w:t>
      </w:r>
      <w:r>
        <w:rPr>
          <w:color w:val="231F20"/>
          <w:spacing w:val="-4"/>
        </w:rPr>
        <w:t>militaires font plusieurs </w:t>
      </w:r>
      <w:r>
        <w:rPr>
          <w:color w:val="231F20"/>
        </w:rPr>
        <w:t>descentes</w:t>
      </w:r>
      <w:r>
        <w:rPr>
          <w:color w:val="231F20"/>
          <w:spacing w:val="-15"/>
        </w:rPr>
        <w:t> </w:t>
      </w:r>
      <w:r>
        <w:rPr>
          <w:color w:val="231F20"/>
        </w:rPr>
        <w:t>à</w:t>
      </w:r>
      <w:r>
        <w:rPr>
          <w:color w:val="231F20"/>
          <w:spacing w:val="-15"/>
        </w:rPr>
        <w:t> </w:t>
      </w:r>
      <w:r>
        <w:rPr>
          <w:color w:val="231F20"/>
        </w:rPr>
        <w:t>Daoukro,</w:t>
      </w:r>
      <w:r>
        <w:rPr>
          <w:color w:val="231F20"/>
          <w:spacing w:val="-15"/>
        </w:rPr>
        <w:t> </w:t>
      </w:r>
      <w:r>
        <w:rPr>
          <w:color w:val="231F20"/>
        </w:rPr>
        <w:t>le</w:t>
      </w:r>
      <w:r>
        <w:rPr>
          <w:color w:val="231F20"/>
          <w:spacing w:val="-15"/>
        </w:rPr>
        <w:t> </w:t>
      </w:r>
      <w:r>
        <w:rPr>
          <w:color w:val="231F20"/>
        </w:rPr>
        <w:t>village</w:t>
      </w:r>
      <w:r>
        <w:rPr>
          <w:color w:val="231F20"/>
          <w:spacing w:val="-15"/>
        </w:rPr>
        <w:t> </w:t>
      </w:r>
      <w:r>
        <w:rPr>
          <w:color w:val="231F20"/>
        </w:rPr>
        <w:t>natal</w:t>
      </w:r>
      <w:r>
        <w:rPr>
          <w:color w:val="231F20"/>
          <w:spacing w:val="-15"/>
        </w:rPr>
        <w:t> </w:t>
      </w:r>
      <w:r>
        <w:rPr>
          <w:color w:val="231F20"/>
        </w:rPr>
        <w:t>de</w:t>
      </w:r>
      <w:r>
        <w:rPr>
          <w:color w:val="231F20"/>
          <w:spacing w:val="-15"/>
        </w:rPr>
        <w:t> </w:t>
      </w:r>
      <w:r>
        <w:rPr>
          <w:color w:val="231F20"/>
        </w:rPr>
        <w:t>Henri</w:t>
      </w:r>
      <w:r>
        <w:rPr>
          <w:color w:val="231F20"/>
          <w:spacing w:val="-15"/>
        </w:rPr>
        <w:t> </w:t>
      </w:r>
      <w:r>
        <w:rPr>
          <w:color w:val="231F20"/>
        </w:rPr>
        <w:t>Konan</w:t>
      </w:r>
      <w:r>
        <w:rPr>
          <w:color w:val="231F20"/>
          <w:spacing w:val="-15"/>
        </w:rPr>
        <w:t> </w:t>
      </w:r>
      <w:r>
        <w:rPr>
          <w:color w:val="231F20"/>
        </w:rPr>
        <w:t>Bédié</w:t>
      </w:r>
      <w:r>
        <w:rPr>
          <w:color w:val="231F20"/>
          <w:spacing w:val="-15"/>
        </w:rPr>
        <w:t> </w:t>
      </w:r>
      <w:r>
        <w:rPr>
          <w:color w:val="231F20"/>
        </w:rPr>
        <w:t>à</w:t>
      </w:r>
      <w:r>
        <w:rPr>
          <w:color w:val="231F20"/>
          <w:spacing w:val="-15"/>
        </w:rPr>
        <w:t> </w:t>
      </w:r>
      <w:r>
        <w:rPr>
          <w:color w:val="231F20"/>
        </w:rPr>
        <w:t>250</w:t>
      </w:r>
      <w:r>
        <w:rPr>
          <w:color w:val="231F20"/>
          <w:spacing w:val="-15"/>
        </w:rPr>
        <w:t> </w:t>
      </w:r>
      <w:r>
        <w:rPr>
          <w:color w:val="231F20"/>
        </w:rPr>
        <w:t>km</w:t>
      </w:r>
      <w:r>
        <w:rPr>
          <w:color w:val="231F20"/>
          <w:spacing w:val="-15"/>
        </w:rPr>
        <w:t> </w:t>
      </w:r>
      <w:r>
        <w:rPr>
          <w:color w:val="231F20"/>
        </w:rPr>
        <w:t>au </w:t>
      </w:r>
      <w:r>
        <w:rPr>
          <w:color w:val="231F20"/>
          <w:spacing w:val="-2"/>
        </w:rPr>
        <w:t>nord</w:t>
      </w:r>
      <w:r>
        <w:rPr>
          <w:color w:val="231F20"/>
          <w:spacing w:val="-8"/>
        </w:rPr>
        <w:t> </w:t>
      </w:r>
      <w:r>
        <w:rPr>
          <w:color w:val="231F20"/>
          <w:spacing w:val="-2"/>
        </w:rPr>
        <w:t>d’Abidjan</w:t>
      </w:r>
      <w:r>
        <w:rPr>
          <w:color w:val="231F20"/>
          <w:spacing w:val="-8"/>
        </w:rPr>
        <w:t> </w:t>
      </w:r>
      <w:r>
        <w:rPr>
          <w:color w:val="231F20"/>
          <w:spacing w:val="-2"/>
        </w:rPr>
        <w:t>où</w:t>
      </w:r>
      <w:r>
        <w:rPr>
          <w:color w:val="231F20"/>
          <w:spacing w:val="-9"/>
        </w:rPr>
        <w:t> </w:t>
      </w:r>
      <w:r>
        <w:rPr>
          <w:color w:val="231F20"/>
          <w:spacing w:val="-2"/>
        </w:rPr>
        <w:t>ils</w:t>
      </w:r>
      <w:r>
        <w:rPr>
          <w:color w:val="231F20"/>
          <w:spacing w:val="-9"/>
        </w:rPr>
        <w:t> </w:t>
      </w:r>
      <w:r>
        <w:rPr>
          <w:color w:val="231F20"/>
          <w:spacing w:val="-2"/>
        </w:rPr>
        <w:t>pillent</w:t>
      </w:r>
      <w:r>
        <w:rPr>
          <w:color w:val="231F20"/>
          <w:spacing w:val="-8"/>
        </w:rPr>
        <w:t> </w:t>
      </w:r>
      <w:r>
        <w:rPr>
          <w:color w:val="231F20"/>
          <w:spacing w:val="-2"/>
        </w:rPr>
        <w:t>les</w:t>
      </w:r>
      <w:r>
        <w:rPr>
          <w:color w:val="231F20"/>
          <w:spacing w:val="-8"/>
        </w:rPr>
        <w:t> </w:t>
      </w:r>
      <w:r>
        <w:rPr>
          <w:color w:val="231F20"/>
          <w:spacing w:val="-2"/>
        </w:rPr>
        <w:t>biens</w:t>
      </w:r>
      <w:r>
        <w:rPr>
          <w:color w:val="231F20"/>
          <w:spacing w:val="-10"/>
        </w:rPr>
        <w:t> </w:t>
      </w:r>
      <w:r>
        <w:rPr>
          <w:color w:val="231F20"/>
          <w:spacing w:val="-2"/>
        </w:rPr>
        <w:t>de</w:t>
      </w:r>
      <w:r>
        <w:rPr>
          <w:color w:val="231F20"/>
          <w:spacing w:val="-8"/>
        </w:rPr>
        <w:t> </w:t>
      </w:r>
      <w:r>
        <w:rPr>
          <w:color w:val="231F20"/>
          <w:spacing w:val="-2"/>
        </w:rPr>
        <w:t>la</w:t>
      </w:r>
      <w:r>
        <w:rPr>
          <w:color w:val="231F20"/>
          <w:spacing w:val="-10"/>
        </w:rPr>
        <w:t> </w:t>
      </w:r>
      <w:r>
        <w:rPr>
          <w:color w:val="231F20"/>
          <w:spacing w:val="-2"/>
        </w:rPr>
        <w:t>famille</w:t>
      </w:r>
      <w:r>
        <w:rPr>
          <w:color w:val="231F20"/>
          <w:spacing w:val="-13"/>
        </w:rPr>
        <w:t> </w:t>
      </w:r>
      <w:r>
        <w:rPr>
          <w:color w:val="231F20"/>
          <w:spacing w:val="-2"/>
        </w:rPr>
        <w:t>de</w:t>
      </w:r>
      <w:r>
        <w:rPr>
          <w:color w:val="231F20"/>
          <w:spacing w:val="-8"/>
        </w:rPr>
        <w:t> </w:t>
      </w:r>
      <w:r>
        <w:rPr>
          <w:color w:val="231F20"/>
          <w:spacing w:val="-2"/>
        </w:rPr>
        <w:t>l’ancien</w:t>
      </w:r>
      <w:r>
        <w:rPr>
          <w:color w:val="231F20"/>
          <w:spacing w:val="-9"/>
        </w:rPr>
        <w:t> </w:t>
      </w:r>
      <w:r>
        <w:rPr>
          <w:color w:val="231F20"/>
          <w:spacing w:val="-2"/>
        </w:rPr>
        <w:t>président, maltraitent</w:t>
      </w:r>
      <w:r>
        <w:rPr>
          <w:color w:val="231F20"/>
          <w:spacing w:val="-13"/>
        </w:rPr>
        <w:t> </w:t>
      </w:r>
      <w:r>
        <w:rPr>
          <w:color w:val="231F20"/>
          <w:spacing w:val="-2"/>
        </w:rPr>
        <w:t>et</w:t>
      </w:r>
      <w:r>
        <w:rPr>
          <w:color w:val="231F20"/>
          <w:spacing w:val="-13"/>
        </w:rPr>
        <w:t> </w:t>
      </w:r>
      <w:r>
        <w:rPr>
          <w:color w:val="231F20"/>
          <w:spacing w:val="-2"/>
        </w:rPr>
        <w:t>torturent</w:t>
      </w:r>
      <w:r>
        <w:rPr>
          <w:color w:val="231F20"/>
          <w:spacing w:val="-13"/>
        </w:rPr>
        <w:t> </w:t>
      </w:r>
      <w:r>
        <w:rPr>
          <w:color w:val="231F20"/>
          <w:spacing w:val="-2"/>
        </w:rPr>
        <w:t>des</w:t>
      </w:r>
      <w:r>
        <w:rPr>
          <w:color w:val="231F20"/>
          <w:spacing w:val="-13"/>
        </w:rPr>
        <w:t> </w:t>
      </w:r>
      <w:r>
        <w:rPr>
          <w:color w:val="231F20"/>
          <w:spacing w:val="-2"/>
        </w:rPr>
        <w:t>membres</w:t>
      </w:r>
      <w:r>
        <w:rPr>
          <w:color w:val="231F20"/>
          <w:spacing w:val="-13"/>
        </w:rPr>
        <w:t> </w:t>
      </w:r>
      <w:r>
        <w:rPr>
          <w:color w:val="231F20"/>
          <w:spacing w:val="-2"/>
        </w:rPr>
        <w:t>de</w:t>
      </w:r>
      <w:r>
        <w:rPr>
          <w:color w:val="231F20"/>
          <w:spacing w:val="-13"/>
        </w:rPr>
        <w:t> </w:t>
      </w:r>
      <w:r>
        <w:rPr>
          <w:color w:val="231F20"/>
          <w:spacing w:val="-2"/>
        </w:rPr>
        <w:t>son</w:t>
      </w:r>
      <w:r>
        <w:rPr>
          <w:color w:val="231F20"/>
          <w:spacing w:val="-13"/>
        </w:rPr>
        <w:t> </w:t>
      </w:r>
      <w:r>
        <w:rPr>
          <w:color w:val="231F20"/>
          <w:spacing w:val="-2"/>
        </w:rPr>
        <w:t>entourage</w:t>
      </w:r>
      <w:r>
        <w:rPr>
          <w:color w:val="231F20"/>
          <w:spacing w:val="-13"/>
        </w:rPr>
        <w:t> </w:t>
      </w:r>
      <w:r>
        <w:rPr>
          <w:color w:val="231F20"/>
          <w:spacing w:val="-2"/>
        </w:rPr>
        <w:t>afin</w:t>
      </w:r>
      <w:r>
        <w:rPr>
          <w:color w:val="231F20"/>
          <w:spacing w:val="-13"/>
        </w:rPr>
        <w:t> </w:t>
      </w:r>
      <w:r>
        <w:rPr>
          <w:color w:val="231F20"/>
          <w:spacing w:val="-2"/>
        </w:rPr>
        <w:t>qu’ils</w:t>
      </w:r>
      <w:r>
        <w:rPr>
          <w:color w:val="231F20"/>
          <w:spacing w:val="-13"/>
        </w:rPr>
        <w:t> </w:t>
      </w:r>
      <w:r>
        <w:rPr>
          <w:color w:val="231F20"/>
          <w:spacing w:val="-2"/>
        </w:rPr>
        <w:t>révèlent </w:t>
      </w:r>
      <w:r>
        <w:rPr>
          <w:color w:val="231F20"/>
        </w:rPr>
        <w:t>où se trouvent de supposés trésors cachés.</w:t>
      </w:r>
    </w:p>
    <w:p>
      <w:pPr>
        <w:pStyle w:val="BodyText"/>
        <w:spacing w:before="121"/>
        <w:ind w:right="103" w:firstLine="283"/>
      </w:pPr>
      <w:r>
        <w:rPr>
          <w:color w:val="231F20"/>
        </w:rPr>
        <w:t>Les «</w:t>
      </w:r>
      <w:r>
        <w:rPr>
          <w:color w:val="231F20"/>
          <w:spacing w:val="-15"/>
        </w:rPr>
        <w:t> </w:t>
      </w:r>
      <w:r>
        <w:rPr>
          <w:color w:val="231F20"/>
        </w:rPr>
        <w:t>hommes forts</w:t>
      </w:r>
      <w:r>
        <w:rPr>
          <w:color w:val="231F20"/>
          <w:spacing w:val="-12"/>
        </w:rPr>
        <w:t> </w:t>
      </w:r>
      <w:r>
        <w:rPr>
          <w:color w:val="231F20"/>
        </w:rPr>
        <w:t>» du</w:t>
      </w:r>
      <w:r>
        <w:rPr>
          <w:color w:val="231F20"/>
          <w:spacing w:val="-1"/>
        </w:rPr>
        <w:t> </w:t>
      </w:r>
      <w:r>
        <w:rPr>
          <w:color w:val="231F20"/>
        </w:rPr>
        <w:t>Général font la loi. Ils agissent à la fois au </w:t>
      </w:r>
      <w:r>
        <w:rPr>
          <w:color w:val="231F20"/>
          <w:spacing w:val="-2"/>
        </w:rPr>
        <w:t>sein</w:t>
      </w:r>
      <w:r>
        <w:rPr>
          <w:color w:val="231F20"/>
          <w:spacing w:val="-11"/>
        </w:rPr>
        <w:t> </w:t>
      </w:r>
      <w:r>
        <w:rPr>
          <w:color w:val="231F20"/>
          <w:spacing w:val="-2"/>
        </w:rPr>
        <w:t>d’une</w:t>
      </w:r>
      <w:r>
        <w:rPr>
          <w:color w:val="231F20"/>
          <w:spacing w:val="-11"/>
        </w:rPr>
        <w:t> </w:t>
      </w:r>
      <w:r>
        <w:rPr>
          <w:color w:val="231F20"/>
          <w:spacing w:val="-2"/>
        </w:rPr>
        <w:t>unité,</w:t>
      </w:r>
      <w:r>
        <w:rPr>
          <w:color w:val="231F20"/>
          <w:spacing w:val="-13"/>
        </w:rPr>
        <w:t> </w:t>
      </w:r>
      <w:r>
        <w:rPr>
          <w:color w:val="231F20"/>
          <w:spacing w:val="-2"/>
        </w:rPr>
        <w:t>le</w:t>
      </w:r>
      <w:r>
        <w:rPr>
          <w:color w:val="231F20"/>
          <w:spacing w:val="-13"/>
        </w:rPr>
        <w:t> </w:t>
      </w:r>
      <w:r>
        <w:rPr>
          <w:color w:val="231F20"/>
          <w:spacing w:val="-2"/>
        </w:rPr>
        <w:t>Poste</w:t>
      </w:r>
      <w:r>
        <w:rPr>
          <w:color w:val="231F20"/>
          <w:spacing w:val="-13"/>
        </w:rPr>
        <w:t> </w:t>
      </w:r>
      <w:r>
        <w:rPr>
          <w:color w:val="231F20"/>
          <w:spacing w:val="-2"/>
        </w:rPr>
        <w:t>de</w:t>
      </w:r>
      <w:r>
        <w:rPr>
          <w:color w:val="231F20"/>
          <w:spacing w:val="-10"/>
        </w:rPr>
        <w:t> </w:t>
      </w:r>
      <w:r>
        <w:rPr>
          <w:color w:val="231F20"/>
          <w:spacing w:val="-2"/>
        </w:rPr>
        <w:t>commandement</w:t>
      </w:r>
      <w:r>
        <w:rPr>
          <w:color w:val="231F20"/>
          <w:spacing w:val="-11"/>
        </w:rPr>
        <w:t> </w:t>
      </w:r>
      <w:r>
        <w:rPr>
          <w:color w:val="231F20"/>
          <w:spacing w:val="-2"/>
        </w:rPr>
        <w:t>de</w:t>
      </w:r>
      <w:r>
        <w:rPr>
          <w:color w:val="231F20"/>
          <w:spacing w:val="-11"/>
        </w:rPr>
        <w:t> </w:t>
      </w:r>
      <w:r>
        <w:rPr>
          <w:color w:val="231F20"/>
          <w:spacing w:val="-2"/>
        </w:rPr>
        <w:t>crise</w:t>
      </w:r>
      <w:r>
        <w:rPr>
          <w:color w:val="231F20"/>
          <w:spacing w:val="-11"/>
        </w:rPr>
        <w:t> </w:t>
      </w:r>
      <w:r>
        <w:rPr>
          <w:color w:val="231F20"/>
          <w:spacing w:val="-2"/>
        </w:rPr>
        <w:t>(PC-crise),</w:t>
      </w:r>
      <w:r>
        <w:rPr>
          <w:color w:val="231F20"/>
          <w:spacing w:val="-12"/>
        </w:rPr>
        <w:t> </w:t>
      </w:r>
      <w:r>
        <w:rPr>
          <w:color w:val="231F20"/>
          <w:spacing w:val="-2"/>
        </w:rPr>
        <w:t>créé</w:t>
      </w:r>
      <w:r>
        <w:rPr>
          <w:color w:val="231F20"/>
          <w:spacing w:val="-12"/>
        </w:rPr>
        <w:t> </w:t>
      </w:r>
      <w:r>
        <w:rPr>
          <w:color w:val="231F20"/>
          <w:spacing w:val="-2"/>
        </w:rPr>
        <w:t>par </w:t>
      </w:r>
      <w:r>
        <w:rPr>
          <w:color w:val="231F20"/>
        </w:rPr>
        <w:t>le</w:t>
      </w:r>
      <w:r>
        <w:rPr>
          <w:color w:val="231F20"/>
          <w:spacing w:val="-8"/>
        </w:rPr>
        <w:t> </w:t>
      </w:r>
      <w:r>
        <w:rPr>
          <w:color w:val="231F20"/>
        </w:rPr>
        <w:t>nouveau</w:t>
      </w:r>
      <w:r>
        <w:rPr>
          <w:color w:val="231F20"/>
          <w:spacing w:val="-8"/>
        </w:rPr>
        <w:t> </w:t>
      </w:r>
      <w:r>
        <w:rPr>
          <w:color w:val="231F20"/>
        </w:rPr>
        <w:t>pouvoir</w:t>
      </w:r>
      <w:r>
        <w:rPr>
          <w:color w:val="231F20"/>
          <w:spacing w:val="-8"/>
        </w:rPr>
        <w:t> </w:t>
      </w:r>
      <w:r>
        <w:rPr>
          <w:color w:val="231F20"/>
        </w:rPr>
        <w:t>pour</w:t>
      </w:r>
      <w:r>
        <w:rPr>
          <w:color w:val="231F20"/>
          <w:spacing w:val="-9"/>
        </w:rPr>
        <w:t> </w:t>
      </w:r>
      <w:r>
        <w:rPr>
          <w:color w:val="231F20"/>
        </w:rPr>
        <w:t>lutter</w:t>
      </w:r>
      <w:r>
        <w:rPr>
          <w:color w:val="231F20"/>
          <w:spacing w:val="-8"/>
        </w:rPr>
        <w:t> </w:t>
      </w:r>
      <w:r>
        <w:rPr>
          <w:color w:val="231F20"/>
        </w:rPr>
        <w:t>officiellement</w:t>
      </w:r>
      <w:r>
        <w:rPr>
          <w:color w:val="231F20"/>
          <w:spacing w:val="-9"/>
        </w:rPr>
        <w:t> </w:t>
      </w:r>
      <w:r>
        <w:rPr>
          <w:color w:val="231F20"/>
        </w:rPr>
        <w:t>contre</w:t>
      </w:r>
      <w:r>
        <w:rPr>
          <w:color w:val="231F20"/>
          <w:spacing w:val="-8"/>
        </w:rPr>
        <w:t> </w:t>
      </w:r>
      <w:r>
        <w:rPr>
          <w:color w:val="231F20"/>
        </w:rPr>
        <w:t>le</w:t>
      </w:r>
      <w:r>
        <w:rPr>
          <w:color w:val="231F20"/>
          <w:spacing w:val="-8"/>
        </w:rPr>
        <w:t> </w:t>
      </w:r>
      <w:r>
        <w:rPr>
          <w:color w:val="231F20"/>
        </w:rPr>
        <w:t>banditisme</w:t>
      </w:r>
      <w:r>
        <w:rPr>
          <w:color w:val="231F20"/>
          <w:spacing w:val="-8"/>
        </w:rPr>
        <w:t> </w:t>
      </w:r>
      <w:r>
        <w:rPr>
          <w:color w:val="231F20"/>
        </w:rPr>
        <w:t>mais également dans le cadre de bandes de soldats qui se font appelés</w:t>
      </w:r>
      <w:r>
        <w:rPr>
          <w:color w:val="231F20"/>
          <w:spacing w:val="-12"/>
        </w:rPr>
        <w:t> </w:t>
      </w:r>
      <w:r>
        <w:rPr>
          <w:color w:val="231F20"/>
        </w:rPr>
        <w:t>: “La </w:t>
      </w:r>
      <w:r>
        <w:rPr>
          <w:color w:val="231F20"/>
          <w:spacing w:val="-4"/>
        </w:rPr>
        <w:t>Camorra”</w:t>
      </w:r>
      <w:r>
        <w:rPr>
          <w:color w:val="231F20"/>
          <w:spacing w:val="-11"/>
        </w:rPr>
        <w:t> </w:t>
      </w:r>
      <w:r>
        <w:rPr>
          <w:color w:val="231F20"/>
          <w:spacing w:val="-4"/>
        </w:rPr>
        <w:t>ou</w:t>
      </w:r>
      <w:r>
        <w:rPr>
          <w:color w:val="231F20"/>
          <w:spacing w:val="-11"/>
        </w:rPr>
        <w:t> </w:t>
      </w:r>
      <w:r>
        <w:rPr>
          <w:color w:val="231F20"/>
          <w:spacing w:val="-4"/>
        </w:rPr>
        <w:t>“Brigades</w:t>
      </w:r>
      <w:r>
        <w:rPr>
          <w:color w:val="231F20"/>
          <w:spacing w:val="-11"/>
        </w:rPr>
        <w:t> </w:t>
      </w:r>
      <w:r>
        <w:rPr>
          <w:color w:val="231F20"/>
          <w:spacing w:val="-4"/>
        </w:rPr>
        <w:t>rouges”.</w:t>
      </w:r>
      <w:r>
        <w:rPr>
          <w:color w:val="231F20"/>
          <w:spacing w:val="-11"/>
        </w:rPr>
        <w:t> </w:t>
      </w:r>
      <w:r>
        <w:rPr>
          <w:color w:val="231F20"/>
          <w:spacing w:val="-4"/>
        </w:rPr>
        <w:t>Leur</w:t>
      </w:r>
      <w:r>
        <w:rPr>
          <w:color w:val="231F20"/>
          <w:spacing w:val="-11"/>
        </w:rPr>
        <w:t> </w:t>
      </w:r>
      <w:r>
        <w:rPr>
          <w:color w:val="231F20"/>
          <w:spacing w:val="-4"/>
        </w:rPr>
        <w:t>siège</w:t>
      </w:r>
      <w:r>
        <w:rPr>
          <w:color w:val="231F20"/>
          <w:spacing w:val="-11"/>
        </w:rPr>
        <w:t> </w:t>
      </w:r>
      <w:r>
        <w:rPr>
          <w:color w:val="231F20"/>
          <w:spacing w:val="-4"/>
        </w:rPr>
        <w:t>est</w:t>
      </w:r>
      <w:r>
        <w:rPr>
          <w:color w:val="231F20"/>
          <w:spacing w:val="-11"/>
        </w:rPr>
        <w:t> </w:t>
      </w:r>
      <w:r>
        <w:rPr>
          <w:color w:val="231F20"/>
          <w:spacing w:val="-4"/>
        </w:rPr>
        <w:t>à</w:t>
      </w:r>
      <w:r>
        <w:rPr>
          <w:color w:val="231F20"/>
          <w:spacing w:val="-11"/>
        </w:rPr>
        <w:t> </w:t>
      </w:r>
      <w:r>
        <w:rPr>
          <w:color w:val="231F20"/>
          <w:spacing w:val="-4"/>
        </w:rPr>
        <w:t>la</w:t>
      </w:r>
      <w:r>
        <w:rPr>
          <w:color w:val="231F20"/>
          <w:spacing w:val="-11"/>
        </w:rPr>
        <w:t> </w:t>
      </w:r>
      <w:r>
        <w:rPr>
          <w:color w:val="231F20"/>
          <w:spacing w:val="-4"/>
        </w:rPr>
        <w:t>Primature</w:t>
      </w:r>
      <w:r>
        <w:rPr>
          <w:color w:val="231F20"/>
          <w:spacing w:val="-11"/>
        </w:rPr>
        <w:t> </w:t>
      </w:r>
      <w:r>
        <w:rPr>
          <w:color w:val="231F20"/>
          <w:spacing w:val="-4"/>
        </w:rPr>
        <w:t>où</w:t>
      </w:r>
      <w:r>
        <w:rPr>
          <w:color w:val="231F20"/>
          <w:spacing w:val="-11"/>
        </w:rPr>
        <w:t> </w:t>
      </w:r>
      <w:r>
        <w:rPr>
          <w:color w:val="231F20"/>
          <w:spacing w:val="-4"/>
        </w:rPr>
        <w:t>se</w:t>
      </w:r>
      <w:r>
        <w:rPr>
          <w:color w:val="231F20"/>
          <w:spacing w:val="-11"/>
        </w:rPr>
        <w:t> </w:t>
      </w:r>
      <w:r>
        <w:rPr>
          <w:color w:val="231F20"/>
          <w:spacing w:val="-4"/>
        </w:rPr>
        <w:t>trouve </w:t>
      </w:r>
      <w:r>
        <w:rPr>
          <w:color w:val="231F20"/>
        </w:rPr>
        <w:t>également, le nouveau Chef de l’État, le général Robert Gueï. Officiellement</w:t>
      </w:r>
      <w:r>
        <w:rPr>
          <w:color w:val="231F20"/>
          <w:spacing w:val="60"/>
        </w:rPr>
        <w:t> </w:t>
      </w:r>
      <w:r>
        <w:rPr>
          <w:color w:val="231F20"/>
        </w:rPr>
        <w:t>la</w:t>
      </w:r>
      <w:r>
        <w:rPr>
          <w:color w:val="231F20"/>
          <w:spacing w:val="61"/>
        </w:rPr>
        <w:t> </w:t>
      </w:r>
      <w:r>
        <w:rPr>
          <w:color w:val="231F20"/>
        </w:rPr>
        <w:t>tâche</w:t>
      </w:r>
      <w:r>
        <w:rPr>
          <w:color w:val="231F20"/>
          <w:spacing w:val="61"/>
        </w:rPr>
        <w:t> </w:t>
      </w:r>
      <w:r>
        <w:rPr>
          <w:color w:val="231F20"/>
        </w:rPr>
        <w:t>unique</w:t>
      </w:r>
      <w:r>
        <w:rPr>
          <w:color w:val="231F20"/>
          <w:spacing w:val="60"/>
        </w:rPr>
        <w:t> </w:t>
      </w:r>
      <w:r>
        <w:rPr>
          <w:color w:val="231F20"/>
        </w:rPr>
        <w:t>du</w:t>
      </w:r>
      <w:r>
        <w:rPr>
          <w:color w:val="231F20"/>
          <w:spacing w:val="60"/>
        </w:rPr>
        <w:t> </w:t>
      </w:r>
      <w:r>
        <w:rPr>
          <w:color w:val="231F20"/>
        </w:rPr>
        <w:t>PC-crise</w:t>
      </w:r>
      <w:r>
        <w:rPr>
          <w:color w:val="231F20"/>
          <w:spacing w:val="60"/>
        </w:rPr>
        <w:t> </w:t>
      </w:r>
      <w:r>
        <w:rPr>
          <w:color w:val="231F20"/>
        </w:rPr>
        <w:t>est</w:t>
      </w:r>
      <w:r>
        <w:rPr>
          <w:color w:val="231F20"/>
          <w:spacing w:val="63"/>
        </w:rPr>
        <w:t> </w:t>
      </w:r>
      <w:r>
        <w:rPr>
          <w:color w:val="231F20"/>
        </w:rPr>
        <w:t>de</w:t>
      </w:r>
      <w:r>
        <w:rPr>
          <w:color w:val="231F20"/>
          <w:spacing w:val="63"/>
        </w:rPr>
        <w:t> </w:t>
      </w:r>
      <w:r>
        <w:rPr>
          <w:color w:val="231F20"/>
        </w:rPr>
        <w:t>pourchasser</w:t>
      </w:r>
      <w:r>
        <w:rPr>
          <w:color w:val="231F20"/>
          <w:spacing w:val="61"/>
        </w:rPr>
        <w:t> </w:t>
      </w:r>
      <w:r>
        <w:rPr>
          <w:color w:val="231F20"/>
          <w:spacing w:val="-5"/>
        </w:rPr>
        <w:t>les</w:t>
      </w:r>
    </w:p>
    <w:p>
      <w:pPr>
        <w:spacing w:after="0"/>
        <w:sectPr>
          <w:pgSz w:w="8790" w:h="13610"/>
          <w:pgMar w:header="0" w:footer="802" w:top="1060" w:bottom="1000" w:left="880" w:right="880"/>
        </w:sectPr>
      </w:pPr>
    </w:p>
    <w:p>
      <w:pPr>
        <w:pStyle w:val="BodyText"/>
        <w:spacing w:before="86"/>
        <w:ind w:right="104"/>
      </w:pPr>
      <w:r>
        <w:rPr>
          <w:color w:val="231F20"/>
        </w:rPr>
        <w:t>criminels et notamment ceux qui avaient fui la MACA</w:t>
      </w:r>
      <w:r>
        <w:rPr>
          <w:color w:val="231F20"/>
          <w:vertAlign w:val="superscript"/>
        </w:rPr>
        <w:t>166</w:t>
      </w:r>
      <w:r>
        <w:rPr>
          <w:color w:val="231F20"/>
          <w:spacing w:val="-14"/>
          <w:vertAlign w:val="baseline"/>
        </w:rPr>
        <w:t> </w:t>
      </w:r>
      <w:r>
        <w:rPr>
          <w:color w:val="231F20"/>
          <w:vertAlign w:val="baseline"/>
        </w:rPr>
        <w:t>en décembre 1999 et de les remettre à la justice et à la police. Dans les faits, les supposés criminels sont, sur simple dénonciation, purement et </w:t>
      </w:r>
      <w:r>
        <w:rPr>
          <w:color w:val="231F20"/>
          <w:spacing w:val="-4"/>
          <w:vertAlign w:val="baseline"/>
        </w:rPr>
        <w:t>simplement</w:t>
      </w:r>
      <w:r>
        <w:rPr>
          <w:color w:val="231F20"/>
          <w:spacing w:val="-11"/>
          <w:vertAlign w:val="baseline"/>
        </w:rPr>
        <w:t> </w:t>
      </w:r>
      <w:r>
        <w:rPr>
          <w:color w:val="231F20"/>
          <w:spacing w:val="-4"/>
          <w:vertAlign w:val="baseline"/>
        </w:rPr>
        <w:t>abattus</w:t>
      </w:r>
      <w:r>
        <w:rPr>
          <w:color w:val="231F20"/>
          <w:spacing w:val="-11"/>
          <w:vertAlign w:val="baseline"/>
        </w:rPr>
        <w:t> </w:t>
      </w:r>
      <w:r>
        <w:rPr>
          <w:color w:val="231F20"/>
          <w:spacing w:val="-4"/>
          <w:vertAlign w:val="baseline"/>
        </w:rPr>
        <w:t>sur</w:t>
      </w:r>
      <w:r>
        <w:rPr>
          <w:color w:val="231F20"/>
          <w:spacing w:val="-11"/>
          <w:vertAlign w:val="baseline"/>
        </w:rPr>
        <w:t> </w:t>
      </w:r>
      <w:r>
        <w:rPr>
          <w:color w:val="231F20"/>
          <w:spacing w:val="-4"/>
          <w:vertAlign w:val="baseline"/>
        </w:rPr>
        <w:t>les</w:t>
      </w:r>
      <w:r>
        <w:rPr>
          <w:color w:val="231F20"/>
          <w:spacing w:val="-11"/>
          <w:vertAlign w:val="baseline"/>
        </w:rPr>
        <w:t> </w:t>
      </w:r>
      <w:r>
        <w:rPr>
          <w:color w:val="231F20"/>
          <w:spacing w:val="-4"/>
          <w:vertAlign w:val="baseline"/>
        </w:rPr>
        <w:t>lieux</w:t>
      </w:r>
      <w:r>
        <w:rPr>
          <w:color w:val="231F20"/>
          <w:spacing w:val="-11"/>
          <w:vertAlign w:val="baseline"/>
        </w:rPr>
        <w:t> </w:t>
      </w:r>
      <w:r>
        <w:rPr>
          <w:color w:val="231F20"/>
          <w:spacing w:val="-4"/>
          <w:vertAlign w:val="baseline"/>
        </w:rPr>
        <w:t>mêmes</w:t>
      </w:r>
      <w:r>
        <w:rPr>
          <w:color w:val="231F20"/>
          <w:spacing w:val="-11"/>
          <w:vertAlign w:val="baseline"/>
        </w:rPr>
        <w:t> </w:t>
      </w:r>
      <w:r>
        <w:rPr>
          <w:color w:val="231F20"/>
          <w:spacing w:val="-4"/>
          <w:vertAlign w:val="baseline"/>
        </w:rPr>
        <w:t>de</w:t>
      </w:r>
      <w:r>
        <w:rPr>
          <w:color w:val="231F20"/>
          <w:spacing w:val="-11"/>
          <w:vertAlign w:val="baseline"/>
        </w:rPr>
        <w:t> </w:t>
      </w:r>
      <w:r>
        <w:rPr>
          <w:color w:val="231F20"/>
          <w:spacing w:val="-4"/>
          <w:vertAlign w:val="baseline"/>
        </w:rPr>
        <w:t>leur</w:t>
      </w:r>
      <w:r>
        <w:rPr>
          <w:color w:val="231F20"/>
          <w:spacing w:val="-11"/>
          <w:vertAlign w:val="baseline"/>
        </w:rPr>
        <w:t> </w:t>
      </w:r>
      <w:r>
        <w:rPr>
          <w:color w:val="231F20"/>
          <w:spacing w:val="-4"/>
          <w:vertAlign w:val="baseline"/>
        </w:rPr>
        <w:t>arrestation,</w:t>
      </w:r>
      <w:r>
        <w:rPr>
          <w:color w:val="231F20"/>
          <w:spacing w:val="-11"/>
          <w:vertAlign w:val="baseline"/>
        </w:rPr>
        <w:t> </w:t>
      </w:r>
      <w:r>
        <w:rPr>
          <w:color w:val="231F20"/>
          <w:spacing w:val="-4"/>
          <w:vertAlign w:val="baseline"/>
        </w:rPr>
        <w:t>en</w:t>
      </w:r>
      <w:r>
        <w:rPr>
          <w:color w:val="231F20"/>
          <w:spacing w:val="-11"/>
          <w:vertAlign w:val="baseline"/>
        </w:rPr>
        <w:t> </w:t>
      </w:r>
      <w:r>
        <w:rPr>
          <w:color w:val="231F20"/>
          <w:spacing w:val="-4"/>
          <w:vertAlign w:val="baseline"/>
        </w:rPr>
        <w:t>public,</w:t>
      </w:r>
      <w:r>
        <w:rPr>
          <w:color w:val="231F20"/>
          <w:spacing w:val="-11"/>
          <w:vertAlign w:val="baseline"/>
        </w:rPr>
        <w:t> </w:t>
      </w:r>
      <w:r>
        <w:rPr>
          <w:color w:val="231F20"/>
          <w:spacing w:val="-4"/>
          <w:vertAlign w:val="baseline"/>
        </w:rPr>
        <w:t>sous </w:t>
      </w:r>
      <w:r>
        <w:rPr>
          <w:color w:val="231F20"/>
          <w:vertAlign w:val="baseline"/>
        </w:rPr>
        <w:t>les yeux de jeunes enfants</w:t>
      </w:r>
      <w:r>
        <w:rPr>
          <w:color w:val="231F20"/>
          <w:spacing w:val="-11"/>
          <w:vertAlign w:val="baseline"/>
        </w:rPr>
        <w:t> </w:t>
      </w:r>
      <w:r>
        <w:rPr>
          <w:color w:val="231F20"/>
          <w:vertAlign w:val="baseline"/>
        </w:rPr>
        <w:t>: le général Guei s’est même vanté </w:t>
      </w:r>
      <w:r>
        <w:rPr>
          <w:color w:val="231F20"/>
          <w:spacing w:val="-4"/>
          <w:vertAlign w:val="baseline"/>
        </w:rPr>
        <w:t>publiquement,</w:t>
      </w:r>
      <w:r>
        <w:rPr>
          <w:color w:val="231F20"/>
          <w:spacing w:val="-5"/>
          <w:vertAlign w:val="baseline"/>
        </w:rPr>
        <w:t> </w:t>
      </w:r>
      <w:r>
        <w:rPr>
          <w:color w:val="231F20"/>
          <w:spacing w:val="-4"/>
          <w:vertAlign w:val="baseline"/>
        </w:rPr>
        <w:t>en</w:t>
      </w:r>
      <w:r>
        <w:rPr>
          <w:color w:val="231F20"/>
          <w:spacing w:val="-5"/>
          <w:vertAlign w:val="baseline"/>
        </w:rPr>
        <w:t> </w:t>
      </w:r>
      <w:r>
        <w:rPr>
          <w:color w:val="231F20"/>
          <w:spacing w:val="-4"/>
          <w:vertAlign w:val="baseline"/>
        </w:rPr>
        <w:t>avril</w:t>
      </w:r>
      <w:r>
        <w:rPr>
          <w:color w:val="231F20"/>
          <w:spacing w:val="-5"/>
          <w:vertAlign w:val="baseline"/>
        </w:rPr>
        <w:t> </w:t>
      </w:r>
      <w:r>
        <w:rPr>
          <w:color w:val="231F20"/>
          <w:spacing w:val="-4"/>
          <w:vertAlign w:val="baseline"/>
        </w:rPr>
        <w:t>2000,</w:t>
      </w:r>
      <w:r>
        <w:rPr>
          <w:color w:val="231F20"/>
          <w:spacing w:val="-6"/>
          <w:vertAlign w:val="baseline"/>
        </w:rPr>
        <w:t> </w:t>
      </w:r>
      <w:r>
        <w:rPr>
          <w:color w:val="231F20"/>
          <w:spacing w:val="-4"/>
          <w:vertAlign w:val="baseline"/>
        </w:rPr>
        <w:t>devant</w:t>
      </w:r>
      <w:r>
        <w:rPr>
          <w:color w:val="231F20"/>
          <w:spacing w:val="-7"/>
          <w:vertAlign w:val="baseline"/>
        </w:rPr>
        <w:t> </w:t>
      </w:r>
      <w:r>
        <w:rPr>
          <w:color w:val="231F20"/>
          <w:spacing w:val="-4"/>
          <w:vertAlign w:val="baseline"/>
        </w:rPr>
        <w:t>les</w:t>
      </w:r>
      <w:r>
        <w:rPr>
          <w:color w:val="231F20"/>
          <w:spacing w:val="-6"/>
          <w:vertAlign w:val="baseline"/>
        </w:rPr>
        <w:t> </w:t>
      </w:r>
      <w:r>
        <w:rPr>
          <w:color w:val="231F20"/>
          <w:spacing w:val="-4"/>
          <w:vertAlign w:val="baseline"/>
        </w:rPr>
        <w:t>députés</w:t>
      </w:r>
      <w:r>
        <w:rPr>
          <w:color w:val="231F20"/>
          <w:spacing w:val="-6"/>
          <w:vertAlign w:val="baseline"/>
        </w:rPr>
        <w:t> </w:t>
      </w:r>
      <w:r>
        <w:rPr>
          <w:color w:val="231F20"/>
          <w:spacing w:val="-4"/>
          <w:vertAlign w:val="baseline"/>
        </w:rPr>
        <w:t>de</w:t>
      </w:r>
      <w:r>
        <w:rPr>
          <w:color w:val="231F20"/>
          <w:spacing w:val="-6"/>
          <w:vertAlign w:val="baseline"/>
        </w:rPr>
        <w:t> </w:t>
      </w:r>
      <w:r>
        <w:rPr>
          <w:color w:val="231F20"/>
          <w:spacing w:val="-4"/>
          <w:vertAlign w:val="baseline"/>
        </w:rPr>
        <w:t>l’Assemblée nationale </w:t>
      </w:r>
      <w:r>
        <w:rPr>
          <w:color w:val="231F20"/>
          <w:vertAlign w:val="baseline"/>
        </w:rPr>
        <w:t>dissoute, des résultats du nouveau régime en matière de lutte contre le </w:t>
      </w:r>
      <w:r>
        <w:rPr>
          <w:color w:val="231F20"/>
          <w:spacing w:val="-4"/>
          <w:vertAlign w:val="baseline"/>
        </w:rPr>
        <w:t>banditisme,</w:t>
      </w:r>
      <w:r>
        <w:rPr>
          <w:color w:val="231F20"/>
          <w:spacing w:val="-7"/>
          <w:vertAlign w:val="baseline"/>
        </w:rPr>
        <w:t> </w:t>
      </w:r>
      <w:r>
        <w:rPr>
          <w:color w:val="231F20"/>
          <w:spacing w:val="-4"/>
          <w:vertAlign w:val="baseline"/>
        </w:rPr>
        <w:t>arguant</w:t>
      </w:r>
      <w:r>
        <w:rPr>
          <w:color w:val="231F20"/>
          <w:spacing w:val="-5"/>
          <w:vertAlign w:val="baseline"/>
        </w:rPr>
        <w:t> </w:t>
      </w:r>
      <w:r>
        <w:rPr>
          <w:color w:val="231F20"/>
          <w:spacing w:val="-4"/>
          <w:vertAlign w:val="baseline"/>
        </w:rPr>
        <w:t>que</w:t>
      </w:r>
      <w:r>
        <w:rPr>
          <w:color w:val="231F20"/>
          <w:spacing w:val="-7"/>
          <w:vertAlign w:val="baseline"/>
        </w:rPr>
        <w:t> </w:t>
      </w:r>
      <w:r>
        <w:rPr>
          <w:color w:val="231F20"/>
          <w:spacing w:val="-4"/>
          <w:vertAlign w:val="baseline"/>
        </w:rPr>
        <w:t>66</w:t>
      </w:r>
      <w:r>
        <w:rPr>
          <w:color w:val="231F20"/>
          <w:spacing w:val="-7"/>
          <w:vertAlign w:val="baseline"/>
        </w:rPr>
        <w:t> </w:t>
      </w:r>
      <w:r>
        <w:rPr>
          <w:color w:val="231F20"/>
          <w:spacing w:val="-4"/>
          <w:vertAlign w:val="baseline"/>
        </w:rPr>
        <w:t>délinquants</w:t>
      </w:r>
      <w:r>
        <w:rPr>
          <w:color w:val="231F20"/>
          <w:spacing w:val="-7"/>
          <w:vertAlign w:val="baseline"/>
        </w:rPr>
        <w:t> </w:t>
      </w:r>
      <w:r>
        <w:rPr>
          <w:color w:val="231F20"/>
          <w:spacing w:val="-4"/>
          <w:vertAlign w:val="baseline"/>
        </w:rPr>
        <w:t>avaient</w:t>
      </w:r>
      <w:r>
        <w:rPr>
          <w:color w:val="231F20"/>
          <w:spacing w:val="-5"/>
          <w:vertAlign w:val="baseline"/>
        </w:rPr>
        <w:t> </w:t>
      </w:r>
      <w:r>
        <w:rPr>
          <w:color w:val="231F20"/>
          <w:spacing w:val="-4"/>
          <w:vertAlign w:val="baseline"/>
        </w:rPr>
        <w:t>été</w:t>
      </w:r>
      <w:r>
        <w:rPr>
          <w:color w:val="231F20"/>
          <w:spacing w:val="-7"/>
          <w:vertAlign w:val="baseline"/>
        </w:rPr>
        <w:t> </w:t>
      </w:r>
      <w:r>
        <w:rPr>
          <w:color w:val="231F20"/>
          <w:spacing w:val="-4"/>
          <w:vertAlign w:val="baseline"/>
        </w:rPr>
        <w:t>abattus</w:t>
      </w:r>
      <w:r>
        <w:rPr>
          <w:color w:val="231F20"/>
          <w:spacing w:val="-7"/>
          <w:vertAlign w:val="baseline"/>
        </w:rPr>
        <w:t> </w:t>
      </w:r>
      <w:r>
        <w:rPr>
          <w:color w:val="231F20"/>
          <w:spacing w:val="-4"/>
          <w:vertAlign w:val="baseline"/>
        </w:rPr>
        <w:t>entre</w:t>
      </w:r>
      <w:r>
        <w:rPr>
          <w:color w:val="231F20"/>
          <w:spacing w:val="-10"/>
          <w:vertAlign w:val="baseline"/>
        </w:rPr>
        <w:t> </w:t>
      </w:r>
      <w:r>
        <w:rPr>
          <w:color w:val="231F20"/>
          <w:spacing w:val="-4"/>
          <w:vertAlign w:val="baseline"/>
        </w:rPr>
        <w:t>janvier</w:t>
      </w:r>
      <w:r>
        <w:rPr>
          <w:color w:val="231F20"/>
          <w:spacing w:val="-7"/>
          <w:vertAlign w:val="baseline"/>
        </w:rPr>
        <w:t> </w:t>
      </w:r>
      <w:r>
        <w:rPr>
          <w:color w:val="231F20"/>
          <w:spacing w:val="-4"/>
          <w:vertAlign w:val="baseline"/>
        </w:rPr>
        <w:t>et </w:t>
      </w:r>
      <w:r>
        <w:rPr>
          <w:color w:val="231F20"/>
          <w:vertAlign w:val="baseline"/>
        </w:rPr>
        <w:t>mars 2000.</w:t>
      </w:r>
    </w:p>
    <w:p>
      <w:pPr>
        <w:spacing w:before="121"/>
        <w:ind w:left="111" w:right="104" w:firstLine="283"/>
        <w:jc w:val="both"/>
        <w:rPr>
          <w:sz w:val="24"/>
        </w:rPr>
      </w:pPr>
      <w:r>
        <w:rPr>
          <w:color w:val="231F20"/>
          <w:sz w:val="24"/>
        </w:rPr>
        <w:t>Dans</w:t>
      </w:r>
      <w:r>
        <w:rPr>
          <w:color w:val="231F20"/>
          <w:spacing w:val="-6"/>
          <w:sz w:val="24"/>
        </w:rPr>
        <w:t> </w:t>
      </w:r>
      <w:r>
        <w:rPr>
          <w:color w:val="231F20"/>
          <w:sz w:val="24"/>
        </w:rPr>
        <w:t>une</w:t>
      </w:r>
      <w:r>
        <w:rPr>
          <w:color w:val="231F20"/>
          <w:spacing w:val="-6"/>
          <w:sz w:val="24"/>
        </w:rPr>
        <w:t> </w:t>
      </w:r>
      <w:r>
        <w:rPr>
          <w:color w:val="231F20"/>
          <w:sz w:val="24"/>
        </w:rPr>
        <w:t>interview</w:t>
      </w:r>
      <w:r>
        <w:rPr>
          <w:color w:val="231F20"/>
          <w:spacing w:val="-6"/>
          <w:sz w:val="24"/>
        </w:rPr>
        <w:t> </w:t>
      </w:r>
      <w:r>
        <w:rPr>
          <w:color w:val="231F20"/>
          <w:sz w:val="24"/>
        </w:rPr>
        <w:t>au</w:t>
      </w:r>
      <w:r>
        <w:rPr>
          <w:color w:val="231F20"/>
          <w:spacing w:val="-6"/>
          <w:sz w:val="24"/>
        </w:rPr>
        <w:t> </w:t>
      </w:r>
      <w:r>
        <w:rPr>
          <w:color w:val="231F20"/>
          <w:sz w:val="24"/>
        </w:rPr>
        <w:t>quotidien</w:t>
      </w:r>
      <w:r>
        <w:rPr>
          <w:color w:val="231F20"/>
          <w:spacing w:val="-6"/>
          <w:sz w:val="24"/>
        </w:rPr>
        <w:t> </w:t>
      </w:r>
      <w:r>
        <w:rPr>
          <w:color w:val="231F20"/>
          <w:sz w:val="24"/>
        </w:rPr>
        <w:t>“Le</w:t>
      </w:r>
      <w:r>
        <w:rPr>
          <w:color w:val="231F20"/>
          <w:spacing w:val="-6"/>
          <w:sz w:val="24"/>
        </w:rPr>
        <w:t> </w:t>
      </w:r>
      <w:r>
        <w:rPr>
          <w:color w:val="231F20"/>
          <w:sz w:val="24"/>
        </w:rPr>
        <w:t>Jour”</w:t>
      </w:r>
      <w:r>
        <w:rPr>
          <w:color w:val="231F20"/>
          <w:spacing w:val="-6"/>
          <w:sz w:val="24"/>
        </w:rPr>
        <w:t> </w:t>
      </w:r>
      <w:r>
        <w:rPr>
          <w:color w:val="231F20"/>
          <w:sz w:val="24"/>
        </w:rPr>
        <w:t>du</w:t>
      </w:r>
      <w:r>
        <w:rPr>
          <w:color w:val="231F20"/>
          <w:spacing w:val="-6"/>
          <w:sz w:val="24"/>
        </w:rPr>
        <w:t> </w:t>
      </w:r>
      <w:r>
        <w:rPr>
          <w:color w:val="231F20"/>
          <w:sz w:val="24"/>
        </w:rPr>
        <w:t>23</w:t>
      </w:r>
      <w:r>
        <w:rPr>
          <w:color w:val="231F20"/>
          <w:spacing w:val="-8"/>
          <w:sz w:val="24"/>
        </w:rPr>
        <w:t> </w:t>
      </w:r>
      <w:r>
        <w:rPr>
          <w:color w:val="231F20"/>
          <w:sz w:val="24"/>
        </w:rPr>
        <w:t>mai</w:t>
      </w:r>
      <w:r>
        <w:rPr>
          <w:color w:val="231F20"/>
          <w:spacing w:val="-6"/>
          <w:sz w:val="24"/>
        </w:rPr>
        <w:t> </w:t>
      </w:r>
      <w:r>
        <w:rPr>
          <w:color w:val="231F20"/>
          <w:sz w:val="24"/>
        </w:rPr>
        <w:t>2000,</w:t>
      </w:r>
      <w:r>
        <w:rPr>
          <w:color w:val="231F20"/>
          <w:spacing w:val="-6"/>
          <w:sz w:val="24"/>
        </w:rPr>
        <w:t> </w:t>
      </w:r>
      <w:r>
        <w:rPr>
          <w:color w:val="231F20"/>
          <w:sz w:val="24"/>
        </w:rPr>
        <w:t>l’un</w:t>
      </w:r>
      <w:r>
        <w:rPr>
          <w:color w:val="231F20"/>
          <w:spacing w:val="-7"/>
          <w:sz w:val="24"/>
        </w:rPr>
        <w:t> </w:t>
      </w:r>
      <w:r>
        <w:rPr>
          <w:color w:val="231F20"/>
          <w:sz w:val="24"/>
        </w:rPr>
        <w:t>des responsables du PC-crise affirme : </w:t>
      </w:r>
      <w:r>
        <w:rPr>
          <w:i/>
          <w:color w:val="231F20"/>
          <w:sz w:val="24"/>
        </w:rPr>
        <w:t>«</w:t>
      </w:r>
      <w:r>
        <w:rPr>
          <w:i/>
          <w:color w:val="231F20"/>
          <w:spacing w:val="-13"/>
          <w:sz w:val="24"/>
        </w:rPr>
        <w:t> </w:t>
      </w:r>
      <w:r>
        <w:rPr>
          <w:i/>
          <w:color w:val="231F20"/>
          <w:sz w:val="24"/>
        </w:rPr>
        <w:t>Tout le monde ne passe pas à la</w:t>
      </w:r>
      <w:r>
        <w:rPr>
          <w:i/>
          <w:color w:val="231F20"/>
          <w:sz w:val="24"/>
        </w:rPr>
        <w:t> casserole. Il y a des gens que nous arrêtons et que nous envoyons à la </w:t>
      </w:r>
      <w:r>
        <w:rPr>
          <w:i/>
          <w:color w:val="231F20"/>
          <w:spacing w:val="-2"/>
          <w:sz w:val="24"/>
        </w:rPr>
        <w:t>brigade</w:t>
      </w:r>
      <w:r>
        <w:rPr>
          <w:i/>
          <w:color w:val="231F20"/>
          <w:spacing w:val="-11"/>
          <w:sz w:val="24"/>
        </w:rPr>
        <w:t> </w:t>
      </w:r>
      <w:r>
        <w:rPr>
          <w:i/>
          <w:color w:val="231F20"/>
          <w:spacing w:val="-2"/>
          <w:sz w:val="24"/>
        </w:rPr>
        <w:t>de</w:t>
      </w:r>
      <w:r>
        <w:rPr>
          <w:i/>
          <w:color w:val="231F20"/>
          <w:spacing w:val="-11"/>
          <w:sz w:val="24"/>
        </w:rPr>
        <w:t> </w:t>
      </w:r>
      <w:r>
        <w:rPr>
          <w:i/>
          <w:color w:val="231F20"/>
          <w:spacing w:val="-2"/>
          <w:sz w:val="24"/>
        </w:rPr>
        <w:t>recherche.</w:t>
      </w:r>
      <w:r>
        <w:rPr>
          <w:i/>
          <w:color w:val="231F20"/>
          <w:spacing w:val="-11"/>
          <w:sz w:val="24"/>
        </w:rPr>
        <w:t> </w:t>
      </w:r>
      <w:r>
        <w:rPr>
          <w:i/>
          <w:color w:val="231F20"/>
          <w:spacing w:val="-2"/>
          <w:sz w:val="24"/>
        </w:rPr>
        <w:t>Mais</w:t>
      </w:r>
      <w:r>
        <w:rPr>
          <w:i/>
          <w:color w:val="231F20"/>
          <w:spacing w:val="-11"/>
          <w:sz w:val="24"/>
        </w:rPr>
        <w:t> </w:t>
      </w:r>
      <w:r>
        <w:rPr>
          <w:i/>
          <w:color w:val="231F20"/>
          <w:spacing w:val="-2"/>
          <w:sz w:val="24"/>
        </w:rPr>
        <w:t>les</w:t>
      </w:r>
      <w:r>
        <w:rPr>
          <w:i/>
          <w:color w:val="231F20"/>
          <w:spacing w:val="-11"/>
          <w:sz w:val="24"/>
        </w:rPr>
        <w:t> </w:t>
      </w:r>
      <w:r>
        <w:rPr>
          <w:i/>
          <w:color w:val="231F20"/>
          <w:spacing w:val="-2"/>
          <w:sz w:val="24"/>
        </w:rPr>
        <w:t>gangsters</w:t>
      </w:r>
      <w:r>
        <w:rPr>
          <w:i/>
          <w:color w:val="231F20"/>
          <w:spacing w:val="-11"/>
          <w:sz w:val="24"/>
        </w:rPr>
        <w:t> </w:t>
      </w:r>
      <w:r>
        <w:rPr>
          <w:i/>
          <w:color w:val="231F20"/>
          <w:spacing w:val="-2"/>
          <w:sz w:val="24"/>
        </w:rPr>
        <w:t>-</w:t>
      </w:r>
      <w:r>
        <w:rPr>
          <w:i/>
          <w:color w:val="231F20"/>
          <w:spacing w:val="-11"/>
          <w:sz w:val="24"/>
        </w:rPr>
        <w:t> </w:t>
      </w:r>
      <w:r>
        <w:rPr>
          <w:i/>
          <w:color w:val="231F20"/>
          <w:spacing w:val="-2"/>
          <w:sz w:val="24"/>
        </w:rPr>
        <w:t>et</w:t>
      </w:r>
      <w:r>
        <w:rPr>
          <w:i/>
          <w:color w:val="231F20"/>
          <w:spacing w:val="-11"/>
          <w:sz w:val="24"/>
        </w:rPr>
        <w:t> </w:t>
      </w:r>
      <w:r>
        <w:rPr>
          <w:i/>
          <w:color w:val="231F20"/>
          <w:spacing w:val="-2"/>
          <w:sz w:val="24"/>
        </w:rPr>
        <w:t>je</w:t>
      </w:r>
      <w:r>
        <w:rPr>
          <w:i/>
          <w:color w:val="231F20"/>
          <w:spacing w:val="-13"/>
          <w:sz w:val="24"/>
        </w:rPr>
        <w:t> </w:t>
      </w:r>
      <w:r>
        <w:rPr>
          <w:i/>
          <w:color w:val="231F20"/>
          <w:spacing w:val="-2"/>
          <w:sz w:val="24"/>
        </w:rPr>
        <w:t>l’ai</w:t>
      </w:r>
      <w:r>
        <w:rPr>
          <w:i/>
          <w:color w:val="231F20"/>
          <w:spacing w:val="-13"/>
          <w:sz w:val="24"/>
        </w:rPr>
        <w:t> </w:t>
      </w:r>
      <w:r>
        <w:rPr>
          <w:i/>
          <w:color w:val="231F20"/>
          <w:spacing w:val="-2"/>
          <w:sz w:val="24"/>
        </w:rPr>
        <w:t>dit</w:t>
      </w:r>
      <w:r>
        <w:rPr>
          <w:i/>
          <w:color w:val="231F20"/>
          <w:spacing w:val="-11"/>
          <w:sz w:val="24"/>
        </w:rPr>
        <w:t> </w:t>
      </w:r>
      <w:r>
        <w:rPr>
          <w:i/>
          <w:color w:val="231F20"/>
          <w:spacing w:val="-2"/>
          <w:sz w:val="24"/>
        </w:rPr>
        <w:t>au</w:t>
      </w:r>
      <w:r>
        <w:rPr>
          <w:i/>
          <w:color w:val="231F20"/>
          <w:spacing w:val="-11"/>
          <w:sz w:val="24"/>
        </w:rPr>
        <w:t> </w:t>
      </w:r>
      <w:r>
        <w:rPr>
          <w:i/>
          <w:color w:val="231F20"/>
          <w:spacing w:val="-2"/>
          <w:sz w:val="24"/>
        </w:rPr>
        <w:t>général</w:t>
      </w:r>
      <w:r>
        <w:rPr>
          <w:i/>
          <w:color w:val="231F20"/>
          <w:spacing w:val="-11"/>
          <w:sz w:val="24"/>
        </w:rPr>
        <w:t> </w:t>
      </w:r>
      <w:r>
        <w:rPr>
          <w:i/>
          <w:color w:val="231F20"/>
          <w:spacing w:val="-2"/>
          <w:sz w:val="24"/>
        </w:rPr>
        <w:t>Gueï</w:t>
      </w:r>
      <w:r>
        <w:rPr>
          <w:i/>
          <w:color w:val="231F20"/>
          <w:spacing w:val="-12"/>
          <w:sz w:val="24"/>
        </w:rPr>
        <w:t> </w:t>
      </w:r>
      <w:r>
        <w:rPr>
          <w:i/>
          <w:color w:val="231F20"/>
          <w:spacing w:val="-2"/>
          <w:sz w:val="24"/>
        </w:rPr>
        <w:t>- nous</w:t>
      </w:r>
      <w:r>
        <w:rPr>
          <w:i/>
          <w:color w:val="231F20"/>
          <w:spacing w:val="-8"/>
          <w:sz w:val="24"/>
        </w:rPr>
        <w:t> </w:t>
      </w:r>
      <w:r>
        <w:rPr>
          <w:i/>
          <w:color w:val="231F20"/>
          <w:spacing w:val="-2"/>
          <w:sz w:val="24"/>
        </w:rPr>
        <w:t>les</w:t>
      </w:r>
      <w:r>
        <w:rPr>
          <w:i/>
          <w:color w:val="231F20"/>
          <w:spacing w:val="-8"/>
          <w:sz w:val="24"/>
        </w:rPr>
        <w:t> </w:t>
      </w:r>
      <w:r>
        <w:rPr>
          <w:i/>
          <w:color w:val="231F20"/>
          <w:spacing w:val="-2"/>
          <w:sz w:val="24"/>
        </w:rPr>
        <w:t>terminons.</w:t>
      </w:r>
      <w:r>
        <w:rPr>
          <w:i/>
          <w:color w:val="231F20"/>
          <w:spacing w:val="-10"/>
          <w:sz w:val="24"/>
        </w:rPr>
        <w:t> </w:t>
      </w:r>
      <w:r>
        <w:rPr>
          <w:i/>
          <w:color w:val="231F20"/>
          <w:spacing w:val="-2"/>
          <w:sz w:val="24"/>
        </w:rPr>
        <w:t>»</w:t>
      </w:r>
      <w:r>
        <w:rPr>
          <w:i/>
          <w:color w:val="231F20"/>
          <w:spacing w:val="-7"/>
          <w:sz w:val="24"/>
        </w:rPr>
        <w:t> </w:t>
      </w:r>
      <w:r>
        <w:rPr>
          <w:color w:val="231F20"/>
          <w:spacing w:val="-2"/>
          <w:sz w:val="24"/>
        </w:rPr>
        <w:t>Certains</w:t>
      </w:r>
      <w:r>
        <w:rPr>
          <w:color w:val="231F20"/>
          <w:spacing w:val="-8"/>
          <w:sz w:val="24"/>
        </w:rPr>
        <w:t> </w:t>
      </w:r>
      <w:r>
        <w:rPr>
          <w:color w:val="231F20"/>
          <w:spacing w:val="-2"/>
          <w:sz w:val="24"/>
        </w:rPr>
        <w:t>militaires</w:t>
      </w:r>
      <w:r>
        <w:rPr>
          <w:color w:val="231F20"/>
          <w:spacing w:val="-8"/>
          <w:sz w:val="24"/>
        </w:rPr>
        <w:t> </w:t>
      </w:r>
      <w:r>
        <w:rPr>
          <w:color w:val="231F20"/>
          <w:spacing w:val="-2"/>
          <w:sz w:val="24"/>
        </w:rPr>
        <w:t>sont</w:t>
      </w:r>
      <w:r>
        <w:rPr>
          <w:color w:val="231F20"/>
          <w:spacing w:val="-6"/>
          <w:sz w:val="24"/>
        </w:rPr>
        <w:t> </w:t>
      </w:r>
      <w:r>
        <w:rPr>
          <w:color w:val="231F20"/>
          <w:spacing w:val="-2"/>
          <w:sz w:val="24"/>
        </w:rPr>
        <w:t>contactés</w:t>
      </w:r>
      <w:r>
        <w:rPr>
          <w:color w:val="231F20"/>
          <w:spacing w:val="-6"/>
          <w:sz w:val="24"/>
        </w:rPr>
        <w:t> </w:t>
      </w:r>
      <w:r>
        <w:rPr>
          <w:color w:val="231F20"/>
          <w:spacing w:val="-2"/>
          <w:sz w:val="24"/>
        </w:rPr>
        <w:t>par</w:t>
      </w:r>
      <w:r>
        <w:rPr>
          <w:color w:val="231F20"/>
          <w:spacing w:val="-9"/>
          <w:sz w:val="24"/>
        </w:rPr>
        <w:t> </w:t>
      </w:r>
      <w:r>
        <w:rPr>
          <w:color w:val="231F20"/>
          <w:spacing w:val="-2"/>
          <w:sz w:val="24"/>
        </w:rPr>
        <w:t>des</w:t>
      </w:r>
      <w:r>
        <w:rPr>
          <w:color w:val="231F20"/>
          <w:spacing w:val="-6"/>
          <w:sz w:val="24"/>
        </w:rPr>
        <w:t> </w:t>
      </w:r>
      <w:r>
        <w:rPr>
          <w:color w:val="231F20"/>
          <w:spacing w:val="-2"/>
          <w:sz w:val="24"/>
        </w:rPr>
        <w:t>amis,</w:t>
      </w:r>
      <w:r>
        <w:rPr>
          <w:color w:val="231F20"/>
          <w:spacing w:val="-6"/>
          <w:sz w:val="24"/>
        </w:rPr>
        <w:t> </w:t>
      </w:r>
      <w:r>
        <w:rPr>
          <w:color w:val="231F20"/>
          <w:spacing w:val="-2"/>
          <w:sz w:val="24"/>
        </w:rPr>
        <w:t>des </w:t>
      </w:r>
      <w:r>
        <w:rPr>
          <w:color w:val="231F20"/>
          <w:sz w:val="24"/>
        </w:rPr>
        <w:t>parents</w:t>
      </w:r>
      <w:r>
        <w:rPr>
          <w:color w:val="231F20"/>
          <w:spacing w:val="-9"/>
          <w:sz w:val="24"/>
        </w:rPr>
        <w:t> </w:t>
      </w:r>
      <w:r>
        <w:rPr>
          <w:color w:val="231F20"/>
          <w:sz w:val="24"/>
        </w:rPr>
        <w:t>ou</w:t>
      </w:r>
      <w:r>
        <w:rPr>
          <w:color w:val="231F20"/>
          <w:spacing w:val="-10"/>
          <w:sz w:val="24"/>
        </w:rPr>
        <w:t> </w:t>
      </w:r>
      <w:r>
        <w:rPr>
          <w:color w:val="231F20"/>
          <w:sz w:val="24"/>
        </w:rPr>
        <w:t>simplement</w:t>
      </w:r>
      <w:r>
        <w:rPr>
          <w:color w:val="231F20"/>
          <w:spacing w:val="-9"/>
          <w:sz w:val="24"/>
        </w:rPr>
        <w:t> </w:t>
      </w:r>
      <w:r>
        <w:rPr>
          <w:color w:val="231F20"/>
          <w:sz w:val="24"/>
        </w:rPr>
        <w:t>des</w:t>
      </w:r>
      <w:r>
        <w:rPr>
          <w:color w:val="231F20"/>
          <w:spacing w:val="-10"/>
          <w:sz w:val="24"/>
        </w:rPr>
        <w:t> </w:t>
      </w:r>
      <w:r>
        <w:rPr>
          <w:color w:val="231F20"/>
          <w:sz w:val="24"/>
        </w:rPr>
        <w:t>personnes</w:t>
      </w:r>
      <w:r>
        <w:rPr>
          <w:color w:val="231F20"/>
          <w:spacing w:val="-10"/>
          <w:sz w:val="24"/>
        </w:rPr>
        <w:t> </w:t>
      </w:r>
      <w:r>
        <w:rPr>
          <w:color w:val="231F20"/>
          <w:sz w:val="24"/>
        </w:rPr>
        <w:t>qui</w:t>
      </w:r>
      <w:r>
        <w:rPr>
          <w:color w:val="231F20"/>
          <w:spacing w:val="-9"/>
          <w:sz w:val="24"/>
        </w:rPr>
        <w:t> </w:t>
      </w:r>
      <w:r>
        <w:rPr>
          <w:color w:val="231F20"/>
          <w:sz w:val="24"/>
        </w:rPr>
        <w:t>moyennent</w:t>
      </w:r>
      <w:r>
        <w:rPr>
          <w:color w:val="231F20"/>
          <w:spacing w:val="-9"/>
          <w:sz w:val="24"/>
        </w:rPr>
        <w:t> </w:t>
      </w:r>
      <w:r>
        <w:rPr>
          <w:color w:val="231F20"/>
          <w:sz w:val="24"/>
        </w:rPr>
        <w:t>leurs</w:t>
      </w:r>
      <w:r>
        <w:rPr>
          <w:color w:val="231F20"/>
          <w:spacing w:val="-9"/>
          <w:sz w:val="24"/>
        </w:rPr>
        <w:t> </w:t>
      </w:r>
      <w:r>
        <w:rPr>
          <w:color w:val="231F20"/>
          <w:sz w:val="24"/>
        </w:rPr>
        <w:t>services</w:t>
      </w:r>
      <w:r>
        <w:rPr>
          <w:color w:val="231F20"/>
          <w:spacing w:val="-10"/>
          <w:sz w:val="24"/>
        </w:rPr>
        <w:t> </w:t>
      </w:r>
      <w:r>
        <w:rPr>
          <w:color w:val="231F20"/>
          <w:sz w:val="24"/>
        </w:rPr>
        <w:t>afin de</w:t>
      </w:r>
      <w:r>
        <w:rPr>
          <w:color w:val="231F20"/>
          <w:spacing w:val="-12"/>
          <w:sz w:val="24"/>
        </w:rPr>
        <w:t> </w:t>
      </w:r>
      <w:r>
        <w:rPr>
          <w:color w:val="231F20"/>
          <w:sz w:val="24"/>
        </w:rPr>
        <w:t>régler</w:t>
      </w:r>
      <w:r>
        <w:rPr>
          <w:color w:val="231F20"/>
          <w:spacing w:val="-9"/>
          <w:sz w:val="24"/>
        </w:rPr>
        <w:t> </w:t>
      </w:r>
      <w:r>
        <w:rPr>
          <w:color w:val="231F20"/>
          <w:sz w:val="24"/>
        </w:rPr>
        <w:t>des</w:t>
      </w:r>
      <w:r>
        <w:rPr>
          <w:color w:val="231F20"/>
          <w:spacing w:val="-9"/>
          <w:sz w:val="24"/>
        </w:rPr>
        <w:t> </w:t>
      </w:r>
      <w:r>
        <w:rPr>
          <w:color w:val="231F20"/>
          <w:sz w:val="24"/>
        </w:rPr>
        <w:t>problèmes</w:t>
      </w:r>
      <w:r>
        <w:rPr>
          <w:color w:val="231F20"/>
          <w:spacing w:val="-9"/>
          <w:sz w:val="24"/>
        </w:rPr>
        <w:t> </w:t>
      </w:r>
      <w:r>
        <w:rPr>
          <w:color w:val="231F20"/>
          <w:sz w:val="24"/>
        </w:rPr>
        <w:t>privés</w:t>
      </w:r>
      <w:r>
        <w:rPr>
          <w:color w:val="231F20"/>
          <w:spacing w:val="-15"/>
          <w:sz w:val="24"/>
        </w:rPr>
        <w:t> </w:t>
      </w:r>
      <w:r>
        <w:rPr>
          <w:color w:val="231F20"/>
          <w:sz w:val="24"/>
        </w:rPr>
        <w:t>:</w:t>
      </w:r>
      <w:r>
        <w:rPr>
          <w:color w:val="231F20"/>
          <w:spacing w:val="-8"/>
          <w:sz w:val="24"/>
        </w:rPr>
        <w:t> </w:t>
      </w:r>
      <w:r>
        <w:rPr>
          <w:color w:val="231F20"/>
          <w:sz w:val="24"/>
        </w:rPr>
        <w:t>conflits</w:t>
      </w:r>
      <w:r>
        <w:rPr>
          <w:color w:val="231F20"/>
          <w:spacing w:val="-8"/>
          <w:sz w:val="24"/>
        </w:rPr>
        <w:t> </w:t>
      </w:r>
      <w:r>
        <w:rPr>
          <w:color w:val="231F20"/>
          <w:sz w:val="24"/>
        </w:rPr>
        <w:t>avec</w:t>
      </w:r>
      <w:r>
        <w:rPr>
          <w:color w:val="231F20"/>
          <w:spacing w:val="-10"/>
          <w:sz w:val="24"/>
        </w:rPr>
        <w:t> </w:t>
      </w:r>
      <w:r>
        <w:rPr>
          <w:color w:val="231F20"/>
          <w:sz w:val="24"/>
        </w:rPr>
        <w:t>leur</w:t>
      </w:r>
      <w:r>
        <w:rPr>
          <w:color w:val="231F20"/>
          <w:spacing w:val="-9"/>
          <w:sz w:val="24"/>
        </w:rPr>
        <w:t> </w:t>
      </w:r>
      <w:r>
        <w:rPr>
          <w:color w:val="231F20"/>
          <w:sz w:val="24"/>
        </w:rPr>
        <w:t>employeur</w:t>
      </w:r>
      <w:r>
        <w:rPr>
          <w:color w:val="231F20"/>
          <w:spacing w:val="-9"/>
          <w:sz w:val="24"/>
        </w:rPr>
        <w:t> </w:t>
      </w:r>
      <w:r>
        <w:rPr>
          <w:color w:val="231F20"/>
          <w:sz w:val="24"/>
        </w:rPr>
        <w:t>au</w:t>
      </w:r>
      <w:r>
        <w:rPr>
          <w:color w:val="231F20"/>
          <w:spacing w:val="-10"/>
          <w:sz w:val="24"/>
        </w:rPr>
        <w:t> </w:t>
      </w:r>
      <w:r>
        <w:rPr>
          <w:color w:val="231F20"/>
          <w:sz w:val="24"/>
        </w:rPr>
        <w:t>travail, recouvrement</w:t>
      </w:r>
      <w:r>
        <w:rPr>
          <w:color w:val="231F20"/>
          <w:spacing w:val="-12"/>
          <w:sz w:val="24"/>
        </w:rPr>
        <w:t> </w:t>
      </w:r>
      <w:r>
        <w:rPr>
          <w:color w:val="231F20"/>
          <w:sz w:val="24"/>
        </w:rPr>
        <w:t>de</w:t>
      </w:r>
      <w:r>
        <w:rPr>
          <w:color w:val="231F20"/>
          <w:spacing w:val="-10"/>
          <w:sz w:val="24"/>
        </w:rPr>
        <w:t> </w:t>
      </w:r>
      <w:r>
        <w:rPr>
          <w:color w:val="231F20"/>
          <w:sz w:val="24"/>
        </w:rPr>
        <w:t>dette,</w:t>
      </w:r>
      <w:r>
        <w:rPr>
          <w:color w:val="231F20"/>
          <w:spacing w:val="-12"/>
          <w:sz w:val="24"/>
        </w:rPr>
        <w:t> </w:t>
      </w:r>
      <w:r>
        <w:rPr>
          <w:color w:val="231F20"/>
          <w:sz w:val="24"/>
        </w:rPr>
        <w:t>disputes</w:t>
      </w:r>
      <w:r>
        <w:rPr>
          <w:color w:val="231F20"/>
          <w:spacing w:val="-12"/>
          <w:sz w:val="24"/>
        </w:rPr>
        <w:t> </w:t>
      </w:r>
      <w:r>
        <w:rPr>
          <w:color w:val="231F20"/>
          <w:sz w:val="24"/>
        </w:rPr>
        <w:t>conjugales...</w:t>
      </w:r>
      <w:r>
        <w:rPr>
          <w:color w:val="231F20"/>
          <w:spacing w:val="-12"/>
          <w:sz w:val="24"/>
        </w:rPr>
        <w:t> </w:t>
      </w:r>
      <w:r>
        <w:rPr>
          <w:color w:val="231F20"/>
          <w:sz w:val="24"/>
        </w:rPr>
        <w:t>Les</w:t>
      </w:r>
      <w:r>
        <w:rPr>
          <w:color w:val="231F20"/>
          <w:spacing w:val="-12"/>
          <w:sz w:val="24"/>
        </w:rPr>
        <w:t> </w:t>
      </w:r>
      <w:r>
        <w:rPr>
          <w:color w:val="231F20"/>
          <w:sz w:val="24"/>
        </w:rPr>
        <w:t>militaires</w:t>
      </w:r>
      <w:r>
        <w:rPr>
          <w:color w:val="231F20"/>
          <w:spacing w:val="-10"/>
          <w:sz w:val="24"/>
        </w:rPr>
        <w:t> </w:t>
      </w:r>
      <w:r>
        <w:rPr>
          <w:color w:val="231F20"/>
          <w:sz w:val="24"/>
        </w:rPr>
        <w:t>du</w:t>
      </w:r>
      <w:r>
        <w:rPr>
          <w:color w:val="231F20"/>
          <w:spacing w:val="-12"/>
          <w:sz w:val="24"/>
        </w:rPr>
        <w:t> </w:t>
      </w:r>
      <w:r>
        <w:rPr>
          <w:color w:val="231F20"/>
          <w:sz w:val="24"/>
        </w:rPr>
        <w:t>PC-crise convoquent des civils au camp militaire d’Akouedo, procèdent à des confrontations</w:t>
      </w:r>
      <w:r>
        <w:rPr>
          <w:color w:val="231F20"/>
          <w:spacing w:val="-6"/>
          <w:sz w:val="24"/>
        </w:rPr>
        <w:t> </w:t>
      </w:r>
      <w:r>
        <w:rPr>
          <w:color w:val="231F20"/>
          <w:sz w:val="24"/>
        </w:rPr>
        <w:t>et</w:t>
      </w:r>
      <w:r>
        <w:rPr>
          <w:color w:val="231F20"/>
          <w:spacing w:val="-8"/>
          <w:sz w:val="24"/>
        </w:rPr>
        <w:t> </w:t>
      </w:r>
      <w:r>
        <w:rPr>
          <w:color w:val="231F20"/>
          <w:sz w:val="24"/>
        </w:rPr>
        <w:t>statuent</w:t>
      </w:r>
      <w:r>
        <w:rPr>
          <w:color w:val="231F20"/>
          <w:spacing w:val="-8"/>
          <w:sz w:val="24"/>
        </w:rPr>
        <w:t> </w:t>
      </w:r>
      <w:r>
        <w:rPr>
          <w:color w:val="231F20"/>
          <w:sz w:val="24"/>
        </w:rPr>
        <w:t>:</w:t>
      </w:r>
      <w:r>
        <w:rPr>
          <w:color w:val="231F20"/>
          <w:spacing w:val="-6"/>
          <w:sz w:val="24"/>
        </w:rPr>
        <w:t> </w:t>
      </w:r>
      <w:r>
        <w:rPr>
          <w:color w:val="231F20"/>
          <w:sz w:val="24"/>
        </w:rPr>
        <w:t>aucun</w:t>
      </w:r>
      <w:r>
        <w:rPr>
          <w:color w:val="231F20"/>
          <w:spacing w:val="-9"/>
          <w:sz w:val="24"/>
        </w:rPr>
        <w:t> </w:t>
      </w:r>
      <w:r>
        <w:rPr>
          <w:color w:val="231F20"/>
          <w:sz w:val="24"/>
        </w:rPr>
        <w:t>droit</w:t>
      </w:r>
      <w:r>
        <w:rPr>
          <w:color w:val="231F20"/>
          <w:spacing w:val="-6"/>
          <w:sz w:val="24"/>
        </w:rPr>
        <w:t> </w:t>
      </w:r>
      <w:r>
        <w:rPr>
          <w:color w:val="231F20"/>
          <w:sz w:val="24"/>
        </w:rPr>
        <w:t>d’appel</w:t>
      </w:r>
      <w:r>
        <w:rPr>
          <w:color w:val="231F20"/>
          <w:spacing w:val="-6"/>
          <w:sz w:val="24"/>
        </w:rPr>
        <w:t> </w:t>
      </w:r>
      <w:r>
        <w:rPr>
          <w:color w:val="231F20"/>
          <w:sz w:val="24"/>
        </w:rPr>
        <w:t>face</w:t>
      </w:r>
      <w:r>
        <w:rPr>
          <w:color w:val="231F20"/>
          <w:spacing w:val="-9"/>
          <w:sz w:val="24"/>
        </w:rPr>
        <w:t> </w:t>
      </w:r>
      <w:r>
        <w:rPr>
          <w:color w:val="231F20"/>
          <w:sz w:val="24"/>
        </w:rPr>
        <w:t>à</w:t>
      </w:r>
      <w:r>
        <w:rPr>
          <w:color w:val="231F20"/>
          <w:spacing w:val="-7"/>
          <w:sz w:val="24"/>
        </w:rPr>
        <w:t> </w:t>
      </w:r>
      <w:r>
        <w:rPr>
          <w:color w:val="231F20"/>
          <w:sz w:val="24"/>
        </w:rPr>
        <w:t>la</w:t>
      </w:r>
      <w:r>
        <w:rPr>
          <w:color w:val="231F20"/>
          <w:spacing w:val="-8"/>
          <w:sz w:val="24"/>
        </w:rPr>
        <w:t> </w:t>
      </w:r>
      <w:r>
        <w:rPr>
          <w:color w:val="231F20"/>
          <w:sz w:val="24"/>
        </w:rPr>
        <w:t>décision</w:t>
      </w:r>
      <w:r>
        <w:rPr>
          <w:color w:val="231F20"/>
          <w:spacing w:val="-9"/>
          <w:sz w:val="24"/>
        </w:rPr>
        <w:t> </w:t>
      </w:r>
      <w:r>
        <w:rPr>
          <w:color w:val="231F20"/>
          <w:sz w:val="24"/>
        </w:rPr>
        <w:t>prise.</w:t>
      </w:r>
    </w:p>
    <w:p>
      <w:pPr>
        <w:pStyle w:val="BodyText"/>
        <w:spacing w:before="120"/>
        <w:ind w:right="104" w:firstLine="283"/>
      </w:pPr>
      <w:r>
        <w:rPr>
          <w:color w:val="231F20"/>
        </w:rPr>
        <w:t>Les avocats et les journalistes subissent souvent, la colère des </w:t>
      </w:r>
      <w:r>
        <w:rPr>
          <w:color w:val="231F20"/>
          <w:spacing w:val="-2"/>
        </w:rPr>
        <w:t>militaires</w:t>
      </w:r>
      <w:r>
        <w:rPr>
          <w:color w:val="231F20"/>
          <w:spacing w:val="-11"/>
        </w:rPr>
        <w:t> </w:t>
      </w:r>
      <w:r>
        <w:rPr>
          <w:color w:val="231F20"/>
          <w:spacing w:val="-2"/>
        </w:rPr>
        <w:t>:</w:t>
      </w:r>
      <w:r>
        <w:rPr>
          <w:color w:val="231F20"/>
          <w:spacing w:val="-8"/>
        </w:rPr>
        <w:t> </w:t>
      </w:r>
      <w:r>
        <w:rPr>
          <w:color w:val="231F20"/>
          <w:spacing w:val="-2"/>
        </w:rPr>
        <w:t>intimidations</w:t>
      </w:r>
      <w:r>
        <w:rPr>
          <w:color w:val="231F20"/>
          <w:spacing w:val="-8"/>
        </w:rPr>
        <w:t> </w:t>
      </w:r>
      <w:r>
        <w:rPr>
          <w:color w:val="231F20"/>
          <w:spacing w:val="-2"/>
        </w:rPr>
        <w:t>et</w:t>
      </w:r>
      <w:r>
        <w:rPr>
          <w:color w:val="231F20"/>
          <w:spacing w:val="-5"/>
        </w:rPr>
        <w:t> </w:t>
      </w:r>
      <w:r>
        <w:rPr>
          <w:color w:val="231F20"/>
          <w:spacing w:val="-2"/>
        </w:rPr>
        <w:t>brutalités</w:t>
      </w:r>
      <w:r>
        <w:rPr>
          <w:color w:val="231F20"/>
          <w:spacing w:val="-5"/>
        </w:rPr>
        <w:t> </w:t>
      </w:r>
      <w:r>
        <w:rPr>
          <w:color w:val="231F20"/>
          <w:spacing w:val="-2"/>
        </w:rPr>
        <w:t>physiques.</w:t>
      </w:r>
      <w:r>
        <w:rPr>
          <w:color w:val="231F20"/>
          <w:spacing w:val="-5"/>
        </w:rPr>
        <w:t> </w:t>
      </w:r>
      <w:r>
        <w:rPr>
          <w:color w:val="231F20"/>
          <w:spacing w:val="-2"/>
        </w:rPr>
        <w:t>Au</w:t>
      </w:r>
      <w:r>
        <w:rPr>
          <w:color w:val="231F20"/>
          <w:spacing w:val="-5"/>
        </w:rPr>
        <w:t> </w:t>
      </w:r>
      <w:r>
        <w:rPr>
          <w:color w:val="231F20"/>
          <w:spacing w:val="-2"/>
        </w:rPr>
        <w:t>cours</w:t>
      </w:r>
      <w:r>
        <w:rPr>
          <w:color w:val="231F20"/>
          <w:spacing w:val="-5"/>
        </w:rPr>
        <w:t> </w:t>
      </w:r>
      <w:r>
        <w:rPr>
          <w:color w:val="231F20"/>
          <w:spacing w:val="-2"/>
        </w:rPr>
        <w:t>d’une</w:t>
      </w:r>
      <w:r>
        <w:rPr>
          <w:color w:val="231F20"/>
          <w:spacing w:val="-5"/>
        </w:rPr>
        <w:t> </w:t>
      </w:r>
      <w:r>
        <w:rPr>
          <w:color w:val="231F20"/>
          <w:spacing w:val="-2"/>
        </w:rPr>
        <w:t>réunion </w:t>
      </w:r>
      <w:r>
        <w:rPr>
          <w:color w:val="231F20"/>
        </w:rPr>
        <w:t>publique le 8 juin 2000, le Caporal-chef Issa Touré qui au nom de “La Camorra” a opéré plusieurs descentes dans les rédactions de journaux indépendants</w:t>
      </w:r>
      <w:r>
        <w:rPr>
          <w:color w:val="231F20"/>
          <w:spacing w:val="-14"/>
        </w:rPr>
        <w:t> </w:t>
      </w:r>
      <w:r>
        <w:rPr>
          <w:color w:val="231F20"/>
        </w:rPr>
        <w:t>et</w:t>
      </w:r>
      <w:r>
        <w:rPr>
          <w:color w:val="231F20"/>
          <w:spacing w:val="-3"/>
        </w:rPr>
        <w:t> </w:t>
      </w:r>
      <w:r>
        <w:rPr>
          <w:color w:val="231F20"/>
        </w:rPr>
        <w:t>fait</w:t>
      </w:r>
      <w:r>
        <w:rPr>
          <w:color w:val="231F20"/>
          <w:spacing w:val="-4"/>
        </w:rPr>
        <w:t> </w:t>
      </w:r>
      <w:r>
        <w:rPr>
          <w:color w:val="231F20"/>
        </w:rPr>
        <w:t>tabasser</w:t>
      </w:r>
      <w:r>
        <w:rPr>
          <w:color w:val="231F20"/>
          <w:spacing w:val="-5"/>
        </w:rPr>
        <w:t> </w:t>
      </w:r>
      <w:r>
        <w:rPr>
          <w:color w:val="231F20"/>
        </w:rPr>
        <w:t>les</w:t>
      </w:r>
      <w:r>
        <w:rPr>
          <w:color w:val="231F20"/>
          <w:spacing w:val="-4"/>
        </w:rPr>
        <w:t> </w:t>
      </w:r>
      <w:r>
        <w:rPr>
          <w:color w:val="231F20"/>
        </w:rPr>
        <w:t>journalistes,</w:t>
      </w:r>
      <w:r>
        <w:rPr>
          <w:color w:val="231F20"/>
          <w:spacing w:val="-4"/>
        </w:rPr>
        <w:t> </w:t>
      </w:r>
      <w:r>
        <w:rPr>
          <w:color w:val="231F20"/>
        </w:rPr>
        <w:t>déclare</w:t>
      </w:r>
      <w:r>
        <w:rPr>
          <w:color w:val="231F20"/>
          <w:spacing w:val="-15"/>
        </w:rPr>
        <w:t> </w:t>
      </w:r>
      <w:r>
        <w:rPr>
          <w:color w:val="231F20"/>
        </w:rPr>
        <w:t>:</w:t>
      </w:r>
      <w:r>
        <w:rPr>
          <w:i/>
          <w:color w:val="231F20"/>
        </w:rPr>
        <w:t>«</w:t>
      </w:r>
      <w:r>
        <w:rPr>
          <w:i/>
          <w:color w:val="231F20"/>
          <w:spacing w:val="-15"/>
        </w:rPr>
        <w:t> </w:t>
      </w:r>
      <w:r>
        <w:rPr>
          <w:i/>
          <w:color w:val="231F20"/>
        </w:rPr>
        <w:t>La</w:t>
      </w:r>
      <w:r>
        <w:rPr>
          <w:i/>
          <w:color w:val="231F20"/>
          <w:spacing w:val="-6"/>
        </w:rPr>
        <w:t> </w:t>
      </w:r>
      <w:r>
        <w:rPr>
          <w:i/>
          <w:color w:val="231F20"/>
        </w:rPr>
        <w:t>Camorra</w:t>
      </w:r>
      <w:r>
        <w:rPr>
          <w:i/>
          <w:color w:val="231F20"/>
          <w:spacing w:val="-4"/>
        </w:rPr>
        <w:t> </w:t>
      </w:r>
      <w:r>
        <w:rPr>
          <w:i/>
          <w:color w:val="231F20"/>
        </w:rPr>
        <w:t>est</w:t>
      </w:r>
      <w:r>
        <w:rPr>
          <w:i/>
          <w:color w:val="231F20"/>
        </w:rPr>
        <w:t> une</w:t>
      </w:r>
      <w:r>
        <w:rPr>
          <w:i/>
          <w:color w:val="231F20"/>
          <w:spacing w:val="-12"/>
        </w:rPr>
        <w:t> </w:t>
      </w:r>
      <w:r>
        <w:rPr>
          <w:i/>
          <w:color w:val="231F20"/>
        </w:rPr>
        <w:t>garde</w:t>
      </w:r>
      <w:r>
        <w:rPr>
          <w:i/>
          <w:color w:val="231F20"/>
          <w:spacing w:val="-12"/>
        </w:rPr>
        <w:t> </w:t>
      </w:r>
      <w:r>
        <w:rPr>
          <w:i/>
          <w:color w:val="231F20"/>
        </w:rPr>
        <w:t>rapprochée</w:t>
      </w:r>
      <w:r>
        <w:rPr>
          <w:i/>
          <w:color w:val="231F20"/>
          <w:spacing w:val="-12"/>
        </w:rPr>
        <w:t> </w:t>
      </w:r>
      <w:r>
        <w:rPr>
          <w:i/>
          <w:color w:val="231F20"/>
        </w:rPr>
        <w:t>du</w:t>
      </w:r>
      <w:r>
        <w:rPr>
          <w:i/>
          <w:color w:val="231F20"/>
          <w:spacing w:val="-13"/>
        </w:rPr>
        <w:t> </w:t>
      </w:r>
      <w:r>
        <w:rPr>
          <w:i/>
          <w:color w:val="231F20"/>
        </w:rPr>
        <w:t>président</w:t>
      </w:r>
      <w:r>
        <w:rPr>
          <w:i/>
          <w:color w:val="231F20"/>
          <w:spacing w:val="-11"/>
        </w:rPr>
        <w:t> </w:t>
      </w:r>
      <w:r>
        <w:rPr>
          <w:i/>
          <w:color w:val="231F20"/>
        </w:rPr>
        <w:t>Gueï</w:t>
      </w:r>
      <w:r>
        <w:rPr>
          <w:i/>
          <w:color w:val="231F20"/>
          <w:spacing w:val="-11"/>
        </w:rPr>
        <w:t> </w:t>
      </w:r>
      <w:r>
        <w:rPr>
          <w:i/>
          <w:color w:val="231F20"/>
        </w:rPr>
        <w:t>(...)</w:t>
      </w:r>
      <w:r>
        <w:rPr>
          <w:i/>
          <w:color w:val="231F20"/>
          <w:spacing w:val="-12"/>
        </w:rPr>
        <w:t> </w:t>
      </w:r>
      <w:r>
        <w:rPr>
          <w:i/>
          <w:color w:val="231F20"/>
        </w:rPr>
        <w:t>La</w:t>
      </w:r>
      <w:r>
        <w:rPr>
          <w:i/>
          <w:color w:val="231F20"/>
          <w:spacing w:val="-9"/>
        </w:rPr>
        <w:t> </w:t>
      </w:r>
      <w:r>
        <w:rPr>
          <w:i/>
          <w:color w:val="231F20"/>
        </w:rPr>
        <w:t>Camorra</w:t>
      </w:r>
      <w:r>
        <w:rPr>
          <w:i/>
          <w:color w:val="231F20"/>
          <w:spacing w:val="-13"/>
        </w:rPr>
        <w:t> </w:t>
      </w:r>
      <w:r>
        <w:rPr>
          <w:i/>
          <w:color w:val="231F20"/>
        </w:rPr>
        <w:t>existe</w:t>
      </w:r>
      <w:r>
        <w:rPr>
          <w:i/>
          <w:color w:val="231F20"/>
          <w:spacing w:val="-12"/>
        </w:rPr>
        <w:t> </w:t>
      </w:r>
      <w:r>
        <w:rPr>
          <w:i/>
          <w:color w:val="231F20"/>
        </w:rPr>
        <w:t>encore et elle sera là jusqu’à la fin de la transition</w:t>
      </w:r>
      <w:r>
        <w:rPr>
          <w:i/>
          <w:color w:val="231F20"/>
          <w:spacing w:val="-9"/>
        </w:rPr>
        <w:t> </w:t>
      </w:r>
      <w:r>
        <w:rPr>
          <w:i/>
          <w:color w:val="231F20"/>
        </w:rPr>
        <w:t>»</w:t>
      </w:r>
      <w:r>
        <w:rPr>
          <w:color w:val="231F20"/>
        </w:rPr>
        <w:t>. La junte interdit les </w:t>
      </w:r>
      <w:r>
        <w:rPr>
          <w:color w:val="231F20"/>
          <w:spacing w:val="-2"/>
        </w:rPr>
        <w:t>manifestations</w:t>
      </w:r>
      <w:r>
        <w:rPr>
          <w:color w:val="231F20"/>
          <w:spacing w:val="-13"/>
        </w:rPr>
        <w:t> </w:t>
      </w:r>
      <w:r>
        <w:rPr>
          <w:color w:val="231F20"/>
          <w:spacing w:val="-2"/>
        </w:rPr>
        <w:t>politiques</w:t>
      </w:r>
      <w:r>
        <w:rPr>
          <w:color w:val="231F20"/>
          <w:spacing w:val="-13"/>
        </w:rPr>
        <w:t> </w:t>
      </w:r>
      <w:r>
        <w:rPr>
          <w:color w:val="231F20"/>
          <w:spacing w:val="-2"/>
        </w:rPr>
        <w:t>et</w:t>
      </w:r>
      <w:r>
        <w:rPr>
          <w:color w:val="231F20"/>
          <w:spacing w:val="-11"/>
        </w:rPr>
        <w:t> </w:t>
      </w:r>
      <w:r>
        <w:rPr>
          <w:color w:val="231F20"/>
          <w:spacing w:val="-2"/>
        </w:rPr>
        <w:t>oblige</w:t>
      </w:r>
      <w:r>
        <w:rPr>
          <w:color w:val="231F20"/>
          <w:spacing w:val="-10"/>
        </w:rPr>
        <w:t> </w:t>
      </w:r>
      <w:r>
        <w:rPr>
          <w:color w:val="231F20"/>
          <w:spacing w:val="-2"/>
        </w:rPr>
        <w:t>les</w:t>
      </w:r>
      <w:r>
        <w:rPr>
          <w:color w:val="231F20"/>
          <w:spacing w:val="-11"/>
        </w:rPr>
        <w:t> </w:t>
      </w:r>
      <w:r>
        <w:rPr>
          <w:color w:val="231F20"/>
          <w:spacing w:val="-2"/>
        </w:rPr>
        <w:t>responsables</w:t>
      </w:r>
      <w:r>
        <w:rPr>
          <w:color w:val="231F20"/>
          <w:spacing w:val="-13"/>
        </w:rPr>
        <w:t> </w:t>
      </w:r>
      <w:r>
        <w:rPr>
          <w:color w:val="231F20"/>
          <w:spacing w:val="-2"/>
        </w:rPr>
        <w:t>politique</w:t>
      </w:r>
      <w:r>
        <w:rPr>
          <w:color w:val="231F20"/>
          <w:spacing w:val="-13"/>
        </w:rPr>
        <w:t> </w:t>
      </w:r>
      <w:r>
        <w:rPr>
          <w:color w:val="231F20"/>
          <w:spacing w:val="-2"/>
        </w:rPr>
        <w:t>à</w:t>
      </w:r>
      <w:r>
        <w:rPr>
          <w:color w:val="231F20"/>
          <w:spacing w:val="-12"/>
        </w:rPr>
        <w:t> </w:t>
      </w:r>
      <w:r>
        <w:rPr>
          <w:color w:val="231F20"/>
          <w:spacing w:val="-2"/>
        </w:rPr>
        <w:t>demander </w:t>
      </w:r>
      <w:r>
        <w:rPr>
          <w:color w:val="231F20"/>
        </w:rPr>
        <w:t>une autorisation de sortie du territoire avant tout déplacement à l’extérieur.</w:t>
      </w:r>
      <w:r>
        <w:rPr>
          <w:color w:val="231F20"/>
          <w:spacing w:val="-15"/>
        </w:rPr>
        <w:t> </w:t>
      </w:r>
      <w:r>
        <w:rPr>
          <w:color w:val="231F20"/>
        </w:rPr>
        <w:t>Le</w:t>
      </w:r>
      <w:r>
        <w:rPr>
          <w:color w:val="231F20"/>
          <w:spacing w:val="-15"/>
        </w:rPr>
        <w:t> </w:t>
      </w:r>
      <w:r>
        <w:rPr>
          <w:color w:val="231F20"/>
        </w:rPr>
        <w:t>général</w:t>
      </w:r>
      <w:r>
        <w:rPr>
          <w:color w:val="231F20"/>
          <w:spacing w:val="-15"/>
        </w:rPr>
        <w:t> </w:t>
      </w:r>
      <w:r>
        <w:rPr>
          <w:color w:val="231F20"/>
        </w:rPr>
        <w:t>Robert</w:t>
      </w:r>
      <w:r>
        <w:rPr>
          <w:color w:val="231F20"/>
          <w:spacing w:val="-15"/>
        </w:rPr>
        <w:t> </w:t>
      </w:r>
      <w:r>
        <w:rPr>
          <w:color w:val="231F20"/>
        </w:rPr>
        <w:t>Gueï</w:t>
      </w:r>
      <w:r>
        <w:rPr>
          <w:color w:val="231F20"/>
          <w:spacing w:val="-15"/>
        </w:rPr>
        <w:t> </w:t>
      </w:r>
      <w:r>
        <w:rPr>
          <w:color w:val="231F20"/>
        </w:rPr>
        <w:t>et</w:t>
      </w:r>
      <w:r>
        <w:rPr>
          <w:color w:val="231F20"/>
          <w:spacing w:val="-15"/>
        </w:rPr>
        <w:t> </w:t>
      </w:r>
      <w:r>
        <w:rPr>
          <w:color w:val="231F20"/>
        </w:rPr>
        <w:t>son</w:t>
      </w:r>
      <w:r>
        <w:rPr>
          <w:color w:val="231F20"/>
          <w:spacing w:val="-15"/>
        </w:rPr>
        <w:t> </w:t>
      </w:r>
      <w:r>
        <w:rPr>
          <w:color w:val="231F20"/>
        </w:rPr>
        <w:t>gouvernement</w:t>
      </w:r>
      <w:r>
        <w:rPr>
          <w:color w:val="231F20"/>
          <w:spacing w:val="-15"/>
        </w:rPr>
        <w:t> </w:t>
      </w:r>
      <w:r>
        <w:rPr>
          <w:color w:val="231F20"/>
        </w:rPr>
        <w:t>pour</w:t>
      </w:r>
      <w:r>
        <w:rPr>
          <w:color w:val="231F20"/>
          <w:spacing w:val="-15"/>
        </w:rPr>
        <w:t> </w:t>
      </w:r>
      <w:r>
        <w:rPr>
          <w:color w:val="231F20"/>
        </w:rPr>
        <w:t>“</w:t>
      </w:r>
      <w:r>
        <w:rPr>
          <w:color w:val="231F20"/>
          <w:spacing w:val="-15"/>
        </w:rPr>
        <w:t> </w:t>
      </w:r>
      <w:r>
        <w:rPr>
          <w:color w:val="231F20"/>
        </w:rPr>
        <w:t>montrer le</w:t>
      </w:r>
      <w:r>
        <w:rPr>
          <w:color w:val="231F20"/>
          <w:spacing w:val="-14"/>
        </w:rPr>
        <w:t> </w:t>
      </w:r>
      <w:r>
        <w:rPr>
          <w:color w:val="231F20"/>
        </w:rPr>
        <w:t>sens</w:t>
      </w:r>
      <w:r>
        <w:rPr>
          <w:color w:val="231F20"/>
          <w:spacing w:val="-13"/>
        </w:rPr>
        <w:t> </w:t>
      </w:r>
      <w:r>
        <w:rPr>
          <w:color w:val="231F20"/>
        </w:rPr>
        <w:t>du</w:t>
      </w:r>
      <w:r>
        <w:rPr>
          <w:color w:val="231F20"/>
          <w:spacing w:val="-11"/>
        </w:rPr>
        <w:t> </w:t>
      </w:r>
      <w:r>
        <w:rPr>
          <w:color w:val="231F20"/>
        </w:rPr>
        <w:t>civisme</w:t>
      </w:r>
      <w:r>
        <w:rPr>
          <w:color w:val="231F20"/>
          <w:spacing w:val="-15"/>
        </w:rPr>
        <w:t> </w:t>
      </w:r>
      <w:r>
        <w:rPr>
          <w:color w:val="231F20"/>
        </w:rPr>
        <w:t>”</w:t>
      </w:r>
      <w:r>
        <w:rPr>
          <w:color w:val="231F20"/>
          <w:spacing w:val="-11"/>
        </w:rPr>
        <w:t> </w:t>
      </w:r>
      <w:r>
        <w:rPr>
          <w:color w:val="231F20"/>
        </w:rPr>
        <w:t>aux</w:t>
      </w:r>
      <w:r>
        <w:rPr>
          <w:color w:val="231F20"/>
          <w:spacing w:val="-13"/>
        </w:rPr>
        <w:t> </w:t>
      </w:r>
      <w:r>
        <w:rPr>
          <w:color w:val="231F20"/>
        </w:rPr>
        <w:t>sportifs,</w:t>
      </w:r>
      <w:r>
        <w:rPr>
          <w:color w:val="231F20"/>
          <w:spacing w:val="-11"/>
        </w:rPr>
        <w:t> </w:t>
      </w:r>
      <w:r>
        <w:rPr>
          <w:color w:val="231F20"/>
        </w:rPr>
        <w:t>retiennent</w:t>
      </w:r>
      <w:r>
        <w:rPr>
          <w:color w:val="231F20"/>
          <w:spacing w:val="-9"/>
        </w:rPr>
        <w:t> </w:t>
      </w:r>
      <w:r>
        <w:rPr>
          <w:color w:val="231F20"/>
        </w:rPr>
        <w:t>en</w:t>
      </w:r>
      <w:r>
        <w:rPr>
          <w:color w:val="231F20"/>
          <w:spacing w:val="-11"/>
        </w:rPr>
        <w:t> </w:t>
      </w:r>
      <w:r>
        <w:rPr>
          <w:color w:val="231F20"/>
        </w:rPr>
        <w:t>février</w:t>
      </w:r>
      <w:r>
        <w:rPr>
          <w:color w:val="231F20"/>
          <w:spacing w:val="-11"/>
        </w:rPr>
        <w:t> </w:t>
      </w:r>
      <w:r>
        <w:rPr>
          <w:color w:val="231F20"/>
        </w:rPr>
        <w:t>2000</w:t>
      </w:r>
      <w:r>
        <w:rPr>
          <w:color w:val="231F20"/>
          <w:spacing w:val="-11"/>
        </w:rPr>
        <w:t> </w:t>
      </w:r>
      <w:r>
        <w:rPr>
          <w:color w:val="231F20"/>
        </w:rPr>
        <w:t>durant</w:t>
      </w:r>
      <w:r>
        <w:rPr>
          <w:color w:val="231F20"/>
          <w:spacing w:val="-11"/>
        </w:rPr>
        <w:t> </w:t>
      </w:r>
      <w:r>
        <w:rPr>
          <w:color w:val="231F20"/>
        </w:rPr>
        <w:t>deux </w:t>
      </w:r>
      <w:r>
        <w:rPr>
          <w:color w:val="231F20"/>
          <w:spacing w:val="-2"/>
        </w:rPr>
        <w:t>jours,</w:t>
      </w:r>
      <w:r>
        <w:rPr>
          <w:color w:val="231F20"/>
          <w:spacing w:val="-13"/>
        </w:rPr>
        <w:t> </w:t>
      </w:r>
      <w:r>
        <w:rPr>
          <w:color w:val="231F20"/>
          <w:spacing w:val="-2"/>
        </w:rPr>
        <w:t>dans</w:t>
      </w:r>
      <w:r>
        <w:rPr>
          <w:color w:val="231F20"/>
          <w:spacing w:val="-13"/>
        </w:rPr>
        <w:t> </w:t>
      </w:r>
      <w:r>
        <w:rPr>
          <w:color w:val="231F20"/>
          <w:spacing w:val="-2"/>
        </w:rPr>
        <w:t>un</w:t>
      </w:r>
      <w:r>
        <w:rPr>
          <w:color w:val="231F20"/>
          <w:spacing w:val="-13"/>
        </w:rPr>
        <w:t> </w:t>
      </w:r>
      <w:r>
        <w:rPr>
          <w:color w:val="231F20"/>
          <w:spacing w:val="-2"/>
        </w:rPr>
        <w:t>camp</w:t>
      </w:r>
      <w:r>
        <w:rPr>
          <w:color w:val="231F20"/>
          <w:spacing w:val="-13"/>
        </w:rPr>
        <w:t> </w:t>
      </w:r>
      <w:r>
        <w:rPr>
          <w:color w:val="231F20"/>
          <w:spacing w:val="-2"/>
        </w:rPr>
        <w:t>militaire,</w:t>
      </w:r>
      <w:r>
        <w:rPr>
          <w:color w:val="231F20"/>
          <w:spacing w:val="-13"/>
        </w:rPr>
        <w:t> </w:t>
      </w:r>
      <w:r>
        <w:rPr>
          <w:color w:val="231F20"/>
          <w:spacing w:val="-2"/>
        </w:rPr>
        <w:t>l’équipe</w:t>
      </w:r>
      <w:r>
        <w:rPr>
          <w:color w:val="231F20"/>
          <w:spacing w:val="-13"/>
        </w:rPr>
        <w:t> </w:t>
      </w:r>
      <w:r>
        <w:rPr>
          <w:color w:val="231F20"/>
          <w:spacing w:val="-2"/>
        </w:rPr>
        <w:t>nationale</w:t>
      </w:r>
      <w:r>
        <w:rPr>
          <w:color w:val="231F20"/>
          <w:spacing w:val="-13"/>
        </w:rPr>
        <w:t> </w:t>
      </w:r>
      <w:r>
        <w:rPr>
          <w:color w:val="231F20"/>
          <w:spacing w:val="-2"/>
        </w:rPr>
        <w:t>de</w:t>
      </w:r>
      <w:r>
        <w:rPr>
          <w:color w:val="231F20"/>
          <w:spacing w:val="-13"/>
        </w:rPr>
        <w:t> </w:t>
      </w:r>
      <w:r>
        <w:rPr>
          <w:color w:val="231F20"/>
          <w:spacing w:val="-2"/>
        </w:rPr>
        <w:t>football</w:t>
      </w:r>
      <w:r>
        <w:rPr>
          <w:color w:val="231F20"/>
          <w:spacing w:val="-13"/>
        </w:rPr>
        <w:t> </w:t>
      </w:r>
      <w:r>
        <w:rPr>
          <w:color w:val="231F20"/>
          <w:spacing w:val="-2"/>
        </w:rPr>
        <w:t>parce</w:t>
      </w:r>
      <w:r>
        <w:rPr>
          <w:color w:val="231F20"/>
          <w:spacing w:val="-13"/>
        </w:rPr>
        <w:t> </w:t>
      </w:r>
      <w:r>
        <w:rPr>
          <w:color w:val="231F20"/>
          <w:spacing w:val="-2"/>
        </w:rPr>
        <w:t>qu’elle </w:t>
      </w:r>
      <w:r>
        <w:rPr>
          <w:color w:val="231F20"/>
        </w:rPr>
        <w:t>ne</w:t>
      </w:r>
      <w:r>
        <w:rPr>
          <w:color w:val="231F20"/>
          <w:spacing w:val="-12"/>
        </w:rPr>
        <w:t> </w:t>
      </w:r>
      <w:r>
        <w:rPr>
          <w:color w:val="231F20"/>
        </w:rPr>
        <w:t>s’était</w:t>
      </w:r>
      <w:r>
        <w:rPr>
          <w:color w:val="231F20"/>
          <w:spacing w:val="-12"/>
        </w:rPr>
        <w:t> </w:t>
      </w:r>
      <w:r>
        <w:rPr>
          <w:color w:val="231F20"/>
        </w:rPr>
        <w:t>pas</w:t>
      </w:r>
      <w:r>
        <w:rPr>
          <w:color w:val="231F20"/>
          <w:spacing w:val="-11"/>
        </w:rPr>
        <w:t> </w:t>
      </w:r>
      <w:r>
        <w:rPr>
          <w:color w:val="231F20"/>
        </w:rPr>
        <w:t>qualifiée</w:t>
      </w:r>
      <w:r>
        <w:rPr>
          <w:color w:val="231F20"/>
          <w:spacing w:val="-12"/>
        </w:rPr>
        <w:t> </w:t>
      </w:r>
      <w:r>
        <w:rPr>
          <w:color w:val="231F20"/>
        </w:rPr>
        <w:t>pour</w:t>
      </w:r>
      <w:r>
        <w:rPr>
          <w:color w:val="231F20"/>
          <w:spacing w:val="-12"/>
        </w:rPr>
        <w:t> </w:t>
      </w:r>
      <w:r>
        <w:rPr>
          <w:color w:val="231F20"/>
        </w:rPr>
        <w:t>le</w:t>
      </w:r>
      <w:r>
        <w:rPr>
          <w:color w:val="231F20"/>
          <w:spacing w:val="-12"/>
        </w:rPr>
        <w:t> </w:t>
      </w:r>
      <w:r>
        <w:rPr>
          <w:color w:val="231F20"/>
        </w:rPr>
        <w:t>deuxième</w:t>
      </w:r>
      <w:r>
        <w:rPr>
          <w:color w:val="231F20"/>
          <w:spacing w:val="-14"/>
        </w:rPr>
        <w:t> </w:t>
      </w:r>
      <w:r>
        <w:rPr>
          <w:color w:val="231F20"/>
        </w:rPr>
        <w:t>tour</w:t>
      </w:r>
      <w:r>
        <w:rPr>
          <w:color w:val="231F20"/>
          <w:spacing w:val="-12"/>
        </w:rPr>
        <w:t> </w:t>
      </w:r>
      <w:r>
        <w:rPr>
          <w:color w:val="231F20"/>
        </w:rPr>
        <w:t>de</w:t>
      </w:r>
      <w:r>
        <w:rPr>
          <w:color w:val="231F20"/>
          <w:spacing w:val="-12"/>
        </w:rPr>
        <w:t> </w:t>
      </w:r>
      <w:r>
        <w:rPr>
          <w:color w:val="231F20"/>
        </w:rPr>
        <w:t>la</w:t>
      </w:r>
      <w:r>
        <w:rPr>
          <w:color w:val="231F20"/>
          <w:spacing w:val="-14"/>
        </w:rPr>
        <w:t> </w:t>
      </w:r>
      <w:r>
        <w:rPr>
          <w:color w:val="231F20"/>
        </w:rPr>
        <w:t>Coupe</w:t>
      </w:r>
      <w:r>
        <w:rPr>
          <w:color w:val="231F20"/>
          <w:spacing w:val="-12"/>
        </w:rPr>
        <w:t> </w:t>
      </w:r>
      <w:r>
        <w:rPr>
          <w:color w:val="231F20"/>
        </w:rPr>
        <w:t>d’Afrique</w:t>
      </w:r>
      <w:r>
        <w:rPr>
          <w:color w:val="231F20"/>
          <w:spacing w:val="-12"/>
        </w:rPr>
        <w:t> </w:t>
      </w:r>
      <w:r>
        <w:rPr>
          <w:color w:val="231F20"/>
        </w:rPr>
        <w:t>des </w:t>
      </w:r>
      <w:r>
        <w:rPr>
          <w:color w:val="231F20"/>
          <w:spacing w:val="-2"/>
        </w:rPr>
        <w:t>nations.</w:t>
      </w:r>
    </w:p>
    <w:p>
      <w:pPr>
        <w:pStyle w:val="BodyText"/>
        <w:spacing w:before="121"/>
        <w:ind w:right="104" w:firstLine="283"/>
      </w:pPr>
      <w:r>
        <w:rPr>
          <w:color w:val="231F20"/>
        </w:rPr>
        <w:t>Dans</w:t>
      </w:r>
      <w:r>
        <w:rPr>
          <w:color w:val="231F20"/>
          <w:spacing w:val="-9"/>
        </w:rPr>
        <w:t> </w:t>
      </w:r>
      <w:r>
        <w:rPr>
          <w:color w:val="231F20"/>
        </w:rPr>
        <w:t>les</w:t>
      </w:r>
      <w:r>
        <w:rPr>
          <w:color w:val="231F20"/>
          <w:spacing w:val="-11"/>
        </w:rPr>
        <w:t> </w:t>
      </w:r>
      <w:r>
        <w:rPr>
          <w:color w:val="231F20"/>
        </w:rPr>
        <w:t>camps</w:t>
      </w:r>
      <w:r>
        <w:rPr>
          <w:color w:val="231F20"/>
          <w:spacing w:val="-11"/>
        </w:rPr>
        <w:t> </w:t>
      </w:r>
      <w:r>
        <w:rPr>
          <w:color w:val="231F20"/>
        </w:rPr>
        <w:t>militaires,</w:t>
      </w:r>
      <w:r>
        <w:rPr>
          <w:color w:val="231F20"/>
          <w:spacing w:val="-9"/>
        </w:rPr>
        <w:t> </w:t>
      </w:r>
      <w:r>
        <w:rPr>
          <w:color w:val="231F20"/>
        </w:rPr>
        <w:t>les</w:t>
      </w:r>
      <w:r>
        <w:rPr>
          <w:color w:val="231F20"/>
          <w:spacing w:val="-12"/>
        </w:rPr>
        <w:t> </w:t>
      </w:r>
      <w:r>
        <w:rPr>
          <w:color w:val="231F20"/>
        </w:rPr>
        <w:t>militaires</w:t>
      </w:r>
      <w:r>
        <w:rPr>
          <w:color w:val="231F20"/>
          <w:spacing w:val="-10"/>
        </w:rPr>
        <w:t> </w:t>
      </w:r>
      <w:r>
        <w:rPr>
          <w:color w:val="231F20"/>
        </w:rPr>
        <w:t>du</w:t>
      </w:r>
      <w:r>
        <w:rPr>
          <w:color w:val="231F20"/>
          <w:spacing w:val="-9"/>
        </w:rPr>
        <w:t> </w:t>
      </w:r>
      <w:r>
        <w:rPr>
          <w:color w:val="231F20"/>
        </w:rPr>
        <w:t>rang</w:t>
      </w:r>
      <w:r>
        <w:rPr>
          <w:color w:val="231F20"/>
          <w:spacing w:val="-11"/>
        </w:rPr>
        <w:t> </w:t>
      </w:r>
      <w:r>
        <w:rPr>
          <w:color w:val="231F20"/>
        </w:rPr>
        <w:t>n’ont</w:t>
      </w:r>
      <w:r>
        <w:rPr>
          <w:color w:val="231F20"/>
          <w:spacing w:val="-9"/>
        </w:rPr>
        <w:t> </w:t>
      </w:r>
      <w:r>
        <w:rPr>
          <w:color w:val="231F20"/>
        </w:rPr>
        <w:t>plus</w:t>
      </w:r>
      <w:r>
        <w:rPr>
          <w:color w:val="231F20"/>
          <w:spacing w:val="-11"/>
        </w:rPr>
        <w:t> </w:t>
      </w:r>
      <w:r>
        <w:rPr>
          <w:color w:val="231F20"/>
        </w:rPr>
        <w:t>le</w:t>
      </w:r>
      <w:r>
        <w:rPr>
          <w:color w:val="231F20"/>
          <w:spacing w:val="-9"/>
        </w:rPr>
        <w:t> </w:t>
      </w:r>
      <w:r>
        <w:rPr>
          <w:color w:val="231F20"/>
        </w:rPr>
        <w:t>respect dû au chef. Un sous-officier, membre des “hommes” du général peut donner des ordres à un officier… La «</w:t>
      </w:r>
      <w:r>
        <w:rPr>
          <w:color w:val="231F20"/>
          <w:spacing w:val="-12"/>
        </w:rPr>
        <w:t> </w:t>
      </w:r>
      <w:r>
        <w:rPr>
          <w:color w:val="231F20"/>
        </w:rPr>
        <w:t>grande muette</w:t>
      </w:r>
      <w:r>
        <w:rPr>
          <w:color w:val="231F20"/>
          <w:spacing w:val="-15"/>
        </w:rPr>
        <w:t> </w:t>
      </w:r>
      <w:r>
        <w:rPr>
          <w:color w:val="231F20"/>
        </w:rPr>
        <w:t>» devient très bavarde.</w:t>
      </w:r>
      <w:r>
        <w:rPr>
          <w:color w:val="231F20"/>
          <w:spacing w:val="11"/>
        </w:rPr>
        <w:t> </w:t>
      </w:r>
      <w:r>
        <w:rPr>
          <w:color w:val="231F20"/>
        </w:rPr>
        <w:t>Réclamant</w:t>
      </w:r>
      <w:r>
        <w:rPr>
          <w:color w:val="231F20"/>
          <w:spacing w:val="14"/>
        </w:rPr>
        <w:t> </w:t>
      </w:r>
      <w:r>
        <w:rPr>
          <w:color w:val="231F20"/>
        </w:rPr>
        <w:t>des</w:t>
      </w:r>
      <w:r>
        <w:rPr>
          <w:color w:val="231F20"/>
          <w:spacing w:val="14"/>
        </w:rPr>
        <w:t> </w:t>
      </w:r>
      <w:r>
        <w:rPr>
          <w:color w:val="231F20"/>
        </w:rPr>
        <w:t>augmentations</w:t>
      </w:r>
      <w:r>
        <w:rPr>
          <w:color w:val="231F20"/>
          <w:spacing w:val="14"/>
        </w:rPr>
        <w:t> </w:t>
      </w:r>
      <w:r>
        <w:rPr>
          <w:color w:val="231F20"/>
        </w:rPr>
        <w:t>de</w:t>
      </w:r>
      <w:r>
        <w:rPr>
          <w:color w:val="231F20"/>
          <w:spacing w:val="14"/>
        </w:rPr>
        <w:t> </w:t>
      </w:r>
      <w:r>
        <w:rPr>
          <w:color w:val="231F20"/>
        </w:rPr>
        <w:t>soldes,</w:t>
      </w:r>
      <w:r>
        <w:rPr>
          <w:color w:val="231F20"/>
          <w:spacing w:val="13"/>
        </w:rPr>
        <w:t> </w:t>
      </w:r>
      <w:r>
        <w:rPr>
          <w:color w:val="231F20"/>
        </w:rPr>
        <w:t>les</w:t>
      </w:r>
      <w:r>
        <w:rPr>
          <w:color w:val="231F20"/>
          <w:spacing w:val="16"/>
        </w:rPr>
        <w:t> </w:t>
      </w:r>
      <w:r>
        <w:rPr>
          <w:color w:val="231F20"/>
        </w:rPr>
        <w:t>soldats</w:t>
      </w:r>
      <w:r>
        <w:rPr>
          <w:color w:val="231F20"/>
          <w:spacing w:val="14"/>
        </w:rPr>
        <w:t> </w:t>
      </w:r>
      <w:r>
        <w:rPr>
          <w:color w:val="231F20"/>
          <w:spacing w:val="-2"/>
        </w:rPr>
        <w:t>prennent</w:t>
      </w:r>
    </w:p>
    <w:p>
      <w:pPr>
        <w:pStyle w:val="BodyText"/>
        <w:spacing w:before="6"/>
        <w:ind w:left="0"/>
        <w:jc w:val="left"/>
        <w:rPr>
          <w:sz w:val="20"/>
        </w:rPr>
      </w:pPr>
      <w:r>
        <w:rPr/>
        <mc:AlternateContent>
          <mc:Choice Requires="wps">
            <w:drawing>
              <wp:anchor distT="0" distB="0" distL="0" distR="0" allowOverlap="1" layoutInCell="1" locked="0" behindDoc="1" simplePos="0" relativeHeight="487641088">
                <wp:simplePos x="0" y="0"/>
                <wp:positionH relativeFrom="page">
                  <wp:posOffset>629907</wp:posOffset>
                </wp:positionH>
                <wp:positionV relativeFrom="paragraph">
                  <wp:posOffset>165587</wp:posOffset>
                </wp:positionV>
                <wp:extent cx="1829435" cy="9525"/>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03836pt;width:144.020pt;height:.72pt;mso-position-horizontal-relative:page;mso-position-vertical-relative:paragraph;z-index:-15675392;mso-wrap-distance-left:0;mso-wrap-distance-right:0" id="docshape131"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166</w:t>
      </w:r>
      <w:r>
        <w:rPr>
          <w:color w:val="231F20"/>
          <w:spacing w:val="-4"/>
          <w:sz w:val="20"/>
          <w:vertAlign w:val="baseline"/>
        </w:rPr>
        <w:t>Maison</w:t>
      </w:r>
      <w:r>
        <w:rPr>
          <w:color w:val="231F20"/>
          <w:spacing w:val="1"/>
          <w:sz w:val="20"/>
          <w:vertAlign w:val="baseline"/>
        </w:rPr>
        <w:t> </w:t>
      </w:r>
      <w:r>
        <w:rPr>
          <w:color w:val="231F20"/>
          <w:spacing w:val="-4"/>
          <w:sz w:val="20"/>
          <w:vertAlign w:val="baseline"/>
        </w:rPr>
        <w:t>d'arrêt</w:t>
      </w:r>
      <w:r>
        <w:rPr>
          <w:color w:val="231F20"/>
          <w:sz w:val="20"/>
          <w:vertAlign w:val="baseline"/>
        </w:rPr>
        <w:t> </w:t>
      </w:r>
      <w:r>
        <w:rPr>
          <w:color w:val="231F20"/>
          <w:spacing w:val="-4"/>
          <w:sz w:val="20"/>
          <w:vertAlign w:val="baseline"/>
        </w:rPr>
        <w:t>et</w:t>
      </w:r>
      <w:r>
        <w:rPr>
          <w:color w:val="231F20"/>
          <w:spacing w:val="-1"/>
          <w:sz w:val="20"/>
          <w:vertAlign w:val="baseline"/>
        </w:rPr>
        <w:t> </w:t>
      </w:r>
      <w:r>
        <w:rPr>
          <w:color w:val="231F20"/>
          <w:spacing w:val="-4"/>
          <w:sz w:val="20"/>
          <w:vertAlign w:val="baseline"/>
        </w:rPr>
        <w:t>de</w:t>
      </w:r>
      <w:r>
        <w:rPr>
          <w:color w:val="231F20"/>
          <w:sz w:val="20"/>
          <w:vertAlign w:val="baseline"/>
        </w:rPr>
        <w:t> </w:t>
      </w:r>
      <w:r>
        <w:rPr>
          <w:color w:val="231F20"/>
          <w:spacing w:val="-4"/>
          <w:sz w:val="20"/>
          <w:vertAlign w:val="baseline"/>
        </w:rPr>
        <w:t>correction</w:t>
      </w:r>
      <w:r>
        <w:rPr>
          <w:color w:val="231F20"/>
          <w:spacing w:val="-1"/>
          <w:sz w:val="20"/>
          <w:vertAlign w:val="baseline"/>
        </w:rPr>
        <w:t> </w:t>
      </w:r>
      <w:r>
        <w:rPr>
          <w:color w:val="231F20"/>
          <w:spacing w:val="-4"/>
          <w:sz w:val="20"/>
          <w:vertAlign w:val="baseline"/>
        </w:rPr>
        <w:t>d'Abidjan.</w:t>
      </w:r>
    </w:p>
    <w:p>
      <w:pPr>
        <w:spacing w:after="0"/>
        <w:jc w:val="left"/>
        <w:rPr>
          <w:sz w:val="20"/>
        </w:rPr>
        <w:sectPr>
          <w:pgSz w:w="8790" w:h="13610"/>
          <w:pgMar w:header="0" w:footer="802" w:top="1040" w:bottom="1000" w:left="880" w:right="880"/>
        </w:sectPr>
      </w:pPr>
    </w:p>
    <w:p>
      <w:pPr>
        <w:pStyle w:val="BodyText"/>
        <w:spacing w:before="66"/>
        <w:ind w:right="104"/>
      </w:pPr>
      <w:r>
        <w:rPr>
          <w:color w:val="231F20"/>
        </w:rPr>
        <w:t>l’habitude de descendre dans les rues, tirent des rafales en l’air tout en </w:t>
      </w:r>
      <w:r>
        <w:rPr>
          <w:color w:val="231F20"/>
          <w:spacing w:val="-2"/>
        </w:rPr>
        <w:t>réquisitionnant</w:t>
      </w:r>
      <w:r>
        <w:rPr>
          <w:color w:val="231F20"/>
          <w:spacing w:val="-8"/>
        </w:rPr>
        <w:t> </w:t>
      </w:r>
      <w:r>
        <w:rPr>
          <w:color w:val="231F20"/>
          <w:spacing w:val="-2"/>
        </w:rPr>
        <w:t>des</w:t>
      </w:r>
      <w:r>
        <w:rPr>
          <w:color w:val="231F20"/>
          <w:spacing w:val="-9"/>
        </w:rPr>
        <w:t> </w:t>
      </w:r>
      <w:r>
        <w:rPr>
          <w:color w:val="231F20"/>
          <w:spacing w:val="-2"/>
        </w:rPr>
        <w:t>voitures</w:t>
      </w:r>
      <w:r>
        <w:rPr>
          <w:color w:val="231F20"/>
          <w:spacing w:val="-7"/>
        </w:rPr>
        <w:t> </w:t>
      </w:r>
      <w:r>
        <w:rPr>
          <w:color w:val="231F20"/>
          <w:spacing w:val="-2"/>
        </w:rPr>
        <w:t>de</w:t>
      </w:r>
      <w:r>
        <w:rPr>
          <w:color w:val="231F20"/>
          <w:spacing w:val="-10"/>
        </w:rPr>
        <w:t> </w:t>
      </w:r>
      <w:r>
        <w:rPr>
          <w:color w:val="231F20"/>
          <w:spacing w:val="-2"/>
        </w:rPr>
        <w:t>particuliers.</w:t>
      </w:r>
      <w:r>
        <w:rPr>
          <w:color w:val="231F20"/>
          <w:spacing w:val="-9"/>
        </w:rPr>
        <w:t> </w:t>
      </w:r>
      <w:r>
        <w:rPr>
          <w:color w:val="231F20"/>
          <w:spacing w:val="-2"/>
        </w:rPr>
        <w:t>La</w:t>
      </w:r>
      <w:r>
        <w:rPr>
          <w:color w:val="231F20"/>
          <w:spacing w:val="-9"/>
        </w:rPr>
        <w:t> </w:t>
      </w:r>
      <w:r>
        <w:rPr>
          <w:color w:val="231F20"/>
          <w:spacing w:val="-2"/>
        </w:rPr>
        <w:t>population</w:t>
      </w:r>
      <w:r>
        <w:rPr>
          <w:color w:val="231F20"/>
          <w:spacing w:val="-9"/>
        </w:rPr>
        <w:t> </w:t>
      </w:r>
      <w:r>
        <w:rPr>
          <w:color w:val="231F20"/>
          <w:spacing w:val="-2"/>
        </w:rPr>
        <w:t>civile</w:t>
      </w:r>
      <w:r>
        <w:rPr>
          <w:color w:val="231F20"/>
          <w:spacing w:val="-10"/>
        </w:rPr>
        <w:t> </w:t>
      </w:r>
      <w:r>
        <w:rPr>
          <w:color w:val="231F20"/>
          <w:spacing w:val="-2"/>
        </w:rPr>
        <w:t>effrayée </w:t>
      </w:r>
      <w:r>
        <w:rPr>
          <w:color w:val="231F20"/>
        </w:rPr>
        <w:t>en</w:t>
      </w:r>
      <w:r>
        <w:rPr>
          <w:color w:val="231F20"/>
          <w:spacing w:val="-15"/>
        </w:rPr>
        <w:t> </w:t>
      </w:r>
      <w:r>
        <w:rPr>
          <w:color w:val="231F20"/>
        </w:rPr>
        <w:t>paie</w:t>
      </w:r>
      <w:r>
        <w:rPr>
          <w:color w:val="231F20"/>
          <w:spacing w:val="-15"/>
        </w:rPr>
        <w:t> </w:t>
      </w:r>
      <w:r>
        <w:rPr>
          <w:color w:val="231F20"/>
        </w:rPr>
        <w:t>chaque</w:t>
      </w:r>
      <w:r>
        <w:rPr>
          <w:color w:val="231F20"/>
          <w:spacing w:val="-15"/>
        </w:rPr>
        <w:t> </w:t>
      </w:r>
      <w:r>
        <w:rPr>
          <w:color w:val="231F20"/>
        </w:rPr>
        <w:t>fois,</w:t>
      </w:r>
      <w:r>
        <w:rPr>
          <w:color w:val="231F20"/>
          <w:spacing w:val="-15"/>
        </w:rPr>
        <w:t> </w:t>
      </w:r>
      <w:r>
        <w:rPr>
          <w:color w:val="231F20"/>
        </w:rPr>
        <w:t>les</w:t>
      </w:r>
      <w:r>
        <w:rPr>
          <w:color w:val="231F20"/>
          <w:spacing w:val="-15"/>
        </w:rPr>
        <w:t> </w:t>
      </w:r>
      <w:r>
        <w:rPr>
          <w:color w:val="231F20"/>
        </w:rPr>
        <w:t>frais.</w:t>
      </w:r>
      <w:r>
        <w:rPr>
          <w:color w:val="231F20"/>
          <w:spacing w:val="-15"/>
        </w:rPr>
        <w:t> </w:t>
      </w:r>
      <w:r>
        <w:rPr>
          <w:color w:val="231F20"/>
        </w:rPr>
        <w:t>La</w:t>
      </w:r>
      <w:r>
        <w:rPr>
          <w:color w:val="231F20"/>
          <w:spacing w:val="-15"/>
        </w:rPr>
        <w:t> </w:t>
      </w:r>
      <w:r>
        <w:rPr>
          <w:color w:val="231F20"/>
        </w:rPr>
        <w:t>plus</w:t>
      </w:r>
      <w:r>
        <w:rPr>
          <w:color w:val="231F20"/>
          <w:spacing w:val="-15"/>
        </w:rPr>
        <w:t> </w:t>
      </w:r>
      <w:r>
        <w:rPr>
          <w:color w:val="231F20"/>
        </w:rPr>
        <w:t>grave</w:t>
      </w:r>
      <w:r>
        <w:rPr>
          <w:color w:val="231F20"/>
          <w:spacing w:val="-15"/>
        </w:rPr>
        <w:t> </w:t>
      </w:r>
      <w:r>
        <w:rPr>
          <w:color w:val="231F20"/>
        </w:rPr>
        <w:t>de</w:t>
      </w:r>
      <w:r>
        <w:rPr>
          <w:color w:val="231F20"/>
          <w:spacing w:val="-15"/>
        </w:rPr>
        <w:t> </w:t>
      </w:r>
      <w:r>
        <w:rPr>
          <w:color w:val="231F20"/>
        </w:rPr>
        <w:t>ces</w:t>
      </w:r>
      <w:r>
        <w:rPr>
          <w:color w:val="231F20"/>
          <w:spacing w:val="-15"/>
        </w:rPr>
        <w:t> </w:t>
      </w:r>
      <w:r>
        <w:rPr>
          <w:color w:val="231F20"/>
        </w:rPr>
        <w:t>mutineries</w:t>
      </w:r>
      <w:r>
        <w:rPr>
          <w:color w:val="231F20"/>
          <w:spacing w:val="-15"/>
        </w:rPr>
        <w:t> </w:t>
      </w:r>
      <w:r>
        <w:rPr>
          <w:color w:val="231F20"/>
        </w:rPr>
        <w:t>a</w:t>
      </w:r>
      <w:r>
        <w:rPr>
          <w:color w:val="231F20"/>
          <w:spacing w:val="-15"/>
        </w:rPr>
        <w:t> </w:t>
      </w:r>
      <w:r>
        <w:rPr>
          <w:color w:val="231F20"/>
        </w:rPr>
        <w:t>lieu,</w:t>
      </w:r>
      <w:r>
        <w:rPr>
          <w:color w:val="231F20"/>
          <w:spacing w:val="-15"/>
        </w:rPr>
        <w:t> </w:t>
      </w:r>
      <w:r>
        <w:rPr>
          <w:color w:val="231F20"/>
        </w:rPr>
        <w:t>les</w:t>
      </w:r>
      <w:r>
        <w:rPr>
          <w:color w:val="231F20"/>
          <w:spacing w:val="-15"/>
        </w:rPr>
        <w:t> </w:t>
      </w:r>
      <w:r>
        <w:rPr>
          <w:color w:val="231F20"/>
        </w:rPr>
        <w:t>4 et 5 juillet 2000. Ces jours- là, les militaires en révolte demandent un “butin</w:t>
      </w:r>
      <w:r>
        <w:rPr>
          <w:color w:val="231F20"/>
          <w:spacing w:val="-15"/>
        </w:rPr>
        <w:t> </w:t>
      </w:r>
      <w:r>
        <w:rPr>
          <w:color w:val="231F20"/>
        </w:rPr>
        <w:t>de</w:t>
      </w:r>
      <w:r>
        <w:rPr>
          <w:color w:val="231F20"/>
          <w:spacing w:val="-15"/>
        </w:rPr>
        <w:t> </w:t>
      </w:r>
      <w:r>
        <w:rPr>
          <w:color w:val="231F20"/>
        </w:rPr>
        <w:t>guerre”</w:t>
      </w:r>
      <w:r>
        <w:rPr>
          <w:color w:val="231F20"/>
          <w:spacing w:val="-15"/>
        </w:rPr>
        <w:t> </w:t>
      </w:r>
      <w:r>
        <w:rPr>
          <w:color w:val="231F20"/>
        </w:rPr>
        <w:t>de</w:t>
      </w:r>
      <w:r>
        <w:rPr>
          <w:color w:val="231F20"/>
          <w:spacing w:val="-15"/>
        </w:rPr>
        <w:t> </w:t>
      </w:r>
      <w:r>
        <w:rPr>
          <w:color w:val="231F20"/>
        </w:rPr>
        <w:t>6</w:t>
      </w:r>
      <w:r>
        <w:rPr>
          <w:color w:val="231F20"/>
          <w:spacing w:val="-15"/>
        </w:rPr>
        <w:t> </w:t>
      </w:r>
      <w:r>
        <w:rPr>
          <w:color w:val="231F20"/>
        </w:rPr>
        <w:t>millions</w:t>
      </w:r>
      <w:r>
        <w:rPr>
          <w:color w:val="231F20"/>
          <w:spacing w:val="-15"/>
        </w:rPr>
        <w:t> </w:t>
      </w:r>
      <w:r>
        <w:rPr>
          <w:color w:val="231F20"/>
        </w:rPr>
        <w:t>de</w:t>
      </w:r>
      <w:r>
        <w:rPr>
          <w:color w:val="231F20"/>
          <w:spacing w:val="-15"/>
        </w:rPr>
        <w:t> </w:t>
      </w:r>
      <w:r>
        <w:rPr>
          <w:color w:val="231F20"/>
        </w:rPr>
        <w:t>francs</w:t>
      </w:r>
      <w:r>
        <w:rPr>
          <w:color w:val="231F20"/>
          <w:spacing w:val="-15"/>
        </w:rPr>
        <w:t> </w:t>
      </w:r>
      <w:r>
        <w:rPr>
          <w:color w:val="231F20"/>
        </w:rPr>
        <w:t>CFA,</w:t>
      </w:r>
      <w:r>
        <w:rPr>
          <w:color w:val="231F20"/>
          <w:spacing w:val="-15"/>
        </w:rPr>
        <w:t> </w:t>
      </w:r>
      <w:r>
        <w:rPr>
          <w:color w:val="231F20"/>
        </w:rPr>
        <w:t>une</w:t>
      </w:r>
      <w:r>
        <w:rPr>
          <w:color w:val="231F20"/>
          <w:spacing w:val="-15"/>
        </w:rPr>
        <w:t> </w:t>
      </w:r>
      <w:r>
        <w:rPr>
          <w:color w:val="231F20"/>
        </w:rPr>
        <w:t>somme</w:t>
      </w:r>
      <w:r>
        <w:rPr>
          <w:color w:val="231F20"/>
          <w:spacing w:val="-15"/>
        </w:rPr>
        <w:t> </w:t>
      </w:r>
      <w:r>
        <w:rPr>
          <w:color w:val="231F20"/>
        </w:rPr>
        <w:t>qui</w:t>
      </w:r>
      <w:r>
        <w:rPr>
          <w:color w:val="231F20"/>
          <w:spacing w:val="-15"/>
        </w:rPr>
        <w:t> </w:t>
      </w:r>
      <w:r>
        <w:rPr>
          <w:color w:val="231F20"/>
        </w:rPr>
        <w:t>aurait</w:t>
      </w:r>
      <w:r>
        <w:rPr>
          <w:color w:val="231F20"/>
          <w:spacing w:val="-15"/>
        </w:rPr>
        <w:t> </w:t>
      </w:r>
      <w:r>
        <w:rPr>
          <w:color w:val="231F20"/>
        </w:rPr>
        <w:t>été promise à chaque soldat par le général Gueï.</w:t>
      </w:r>
    </w:p>
    <w:p>
      <w:pPr>
        <w:pStyle w:val="BodyText"/>
        <w:spacing w:before="120"/>
        <w:ind w:right="102" w:firstLine="283"/>
        <w:rPr>
          <w:i/>
        </w:rPr>
      </w:pPr>
      <w:r>
        <w:rPr>
          <w:color w:val="231F20"/>
        </w:rPr>
        <w:t>Avant</w:t>
      </w:r>
      <w:r>
        <w:rPr>
          <w:color w:val="231F20"/>
          <w:spacing w:val="-13"/>
        </w:rPr>
        <w:t> </w:t>
      </w:r>
      <w:r>
        <w:rPr>
          <w:color w:val="231F20"/>
        </w:rPr>
        <w:t>les</w:t>
      </w:r>
      <w:r>
        <w:rPr>
          <w:color w:val="231F20"/>
          <w:spacing w:val="-13"/>
        </w:rPr>
        <w:t> </w:t>
      </w:r>
      <w:r>
        <w:rPr>
          <w:color w:val="231F20"/>
        </w:rPr>
        <w:t>élections</w:t>
      </w:r>
      <w:r>
        <w:rPr>
          <w:color w:val="231F20"/>
          <w:spacing w:val="-15"/>
        </w:rPr>
        <w:t> </w:t>
      </w:r>
      <w:r>
        <w:rPr>
          <w:color w:val="231F20"/>
        </w:rPr>
        <w:t>de</w:t>
      </w:r>
      <w:r>
        <w:rPr>
          <w:color w:val="231F20"/>
          <w:spacing w:val="-13"/>
        </w:rPr>
        <w:t> </w:t>
      </w:r>
      <w:r>
        <w:rPr>
          <w:color w:val="231F20"/>
        </w:rPr>
        <w:t>2000,</w:t>
      </w:r>
      <w:r>
        <w:rPr>
          <w:color w:val="231F20"/>
          <w:spacing w:val="-13"/>
        </w:rPr>
        <w:t> </w:t>
      </w:r>
      <w:r>
        <w:rPr>
          <w:color w:val="231F20"/>
        </w:rPr>
        <w:t>le</w:t>
      </w:r>
      <w:r>
        <w:rPr>
          <w:color w:val="231F20"/>
          <w:spacing w:val="-13"/>
        </w:rPr>
        <w:t> </w:t>
      </w:r>
      <w:r>
        <w:rPr>
          <w:color w:val="231F20"/>
        </w:rPr>
        <w:t>général</w:t>
      </w:r>
      <w:r>
        <w:rPr>
          <w:color w:val="231F20"/>
          <w:spacing w:val="-13"/>
        </w:rPr>
        <w:t> </w:t>
      </w:r>
      <w:r>
        <w:rPr>
          <w:color w:val="231F20"/>
        </w:rPr>
        <w:t>et</w:t>
      </w:r>
      <w:r>
        <w:rPr>
          <w:color w:val="231F20"/>
          <w:spacing w:val="-15"/>
        </w:rPr>
        <w:t> </w:t>
      </w:r>
      <w:r>
        <w:rPr>
          <w:color w:val="231F20"/>
        </w:rPr>
        <w:t>la</w:t>
      </w:r>
      <w:r>
        <w:rPr>
          <w:color w:val="231F20"/>
          <w:spacing w:val="-13"/>
        </w:rPr>
        <w:t> </w:t>
      </w:r>
      <w:r>
        <w:rPr>
          <w:color w:val="231F20"/>
        </w:rPr>
        <w:t>junte</w:t>
      </w:r>
      <w:r>
        <w:rPr>
          <w:color w:val="231F20"/>
          <w:spacing w:val="-13"/>
        </w:rPr>
        <w:t> </w:t>
      </w:r>
      <w:r>
        <w:rPr>
          <w:color w:val="231F20"/>
        </w:rPr>
        <w:t>qu’il</w:t>
      </w:r>
      <w:r>
        <w:rPr>
          <w:color w:val="231F20"/>
          <w:spacing w:val="-13"/>
        </w:rPr>
        <w:t> </w:t>
      </w:r>
      <w:r>
        <w:rPr>
          <w:color w:val="231F20"/>
        </w:rPr>
        <w:t>dirige</w:t>
      </w:r>
      <w:r>
        <w:rPr>
          <w:color w:val="231F20"/>
          <w:spacing w:val="-13"/>
        </w:rPr>
        <w:t> </w:t>
      </w:r>
      <w:r>
        <w:rPr>
          <w:color w:val="231F20"/>
        </w:rPr>
        <w:t>invitent les ivoiriens à se prononcer sur une nouvelle Constitution qui serait </w:t>
      </w:r>
      <w:r>
        <w:rPr>
          <w:color w:val="231F20"/>
          <w:spacing w:val="-4"/>
        </w:rPr>
        <w:t>admise</w:t>
      </w:r>
      <w:r>
        <w:rPr>
          <w:color w:val="231F20"/>
          <w:spacing w:val="-11"/>
        </w:rPr>
        <w:t> </w:t>
      </w:r>
      <w:r>
        <w:rPr>
          <w:color w:val="231F20"/>
          <w:spacing w:val="-4"/>
        </w:rPr>
        <w:t>par</w:t>
      </w:r>
      <w:r>
        <w:rPr>
          <w:color w:val="231F20"/>
          <w:spacing w:val="-11"/>
        </w:rPr>
        <w:t> </w:t>
      </w:r>
      <w:r>
        <w:rPr>
          <w:color w:val="231F20"/>
          <w:spacing w:val="-4"/>
        </w:rPr>
        <w:t>tous,</w:t>
      </w:r>
      <w:r>
        <w:rPr>
          <w:color w:val="231F20"/>
          <w:spacing w:val="-11"/>
        </w:rPr>
        <w:t> </w:t>
      </w:r>
      <w:r>
        <w:rPr>
          <w:color w:val="231F20"/>
          <w:spacing w:val="-4"/>
        </w:rPr>
        <w:t>étant</w:t>
      </w:r>
      <w:r>
        <w:rPr>
          <w:color w:val="231F20"/>
          <w:spacing w:val="-11"/>
        </w:rPr>
        <w:t> </w:t>
      </w:r>
      <w:r>
        <w:rPr>
          <w:color w:val="231F20"/>
          <w:spacing w:val="-4"/>
        </w:rPr>
        <w:t>donné</w:t>
      </w:r>
      <w:r>
        <w:rPr>
          <w:color w:val="231F20"/>
          <w:spacing w:val="-11"/>
        </w:rPr>
        <w:t> </w:t>
      </w:r>
      <w:r>
        <w:rPr>
          <w:color w:val="231F20"/>
          <w:spacing w:val="-4"/>
        </w:rPr>
        <w:t>que</w:t>
      </w:r>
      <w:r>
        <w:rPr>
          <w:color w:val="231F20"/>
          <w:spacing w:val="-11"/>
        </w:rPr>
        <w:t> </w:t>
      </w:r>
      <w:r>
        <w:rPr>
          <w:color w:val="231F20"/>
          <w:spacing w:val="-4"/>
        </w:rPr>
        <w:t>l’opposition</w:t>
      </w:r>
      <w:r>
        <w:rPr>
          <w:color w:val="231F20"/>
          <w:spacing w:val="-11"/>
        </w:rPr>
        <w:t> </w:t>
      </w:r>
      <w:r>
        <w:rPr>
          <w:color w:val="231F20"/>
          <w:spacing w:val="-4"/>
        </w:rPr>
        <w:t>ainsi</w:t>
      </w:r>
      <w:r>
        <w:rPr>
          <w:color w:val="231F20"/>
          <w:spacing w:val="-11"/>
        </w:rPr>
        <w:t> </w:t>
      </w:r>
      <w:r>
        <w:rPr>
          <w:color w:val="231F20"/>
          <w:spacing w:val="-4"/>
        </w:rPr>
        <w:t>que</w:t>
      </w:r>
      <w:r>
        <w:rPr>
          <w:color w:val="231F20"/>
          <w:spacing w:val="-11"/>
        </w:rPr>
        <w:t> </w:t>
      </w:r>
      <w:r>
        <w:rPr>
          <w:color w:val="231F20"/>
          <w:spacing w:val="-4"/>
        </w:rPr>
        <w:t>lui-même</w:t>
      </w:r>
      <w:r>
        <w:rPr>
          <w:color w:val="231F20"/>
          <w:spacing w:val="-11"/>
        </w:rPr>
        <w:t> </w:t>
      </w:r>
      <w:r>
        <w:rPr>
          <w:color w:val="231F20"/>
          <w:spacing w:val="-4"/>
        </w:rPr>
        <w:t>estiment </w:t>
      </w:r>
      <w:r>
        <w:rPr>
          <w:color w:val="231F20"/>
          <w:spacing w:val="-2"/>
        </w:rPr>
        <w:t>la</w:t>
      </w:r>
      <w:r>
        <w:rPr>
          <w:color w:val="231F20"/>
          <w:spacing w:val="-13"/>
        </w:rPr>
        <w:t> </w:t>
      </w:r>
      <w:r>
        <w:rPr>
          <w:color w:val="231F20"/>
          <w:spacing w:val="-2"/>
        </w:rPr>
        <w:t>celle</w:t>
      </w:r>
      <w:r>
        <w:rPr>
          <w:color w:val="231F20"/>
          <w:spacing w:val="-13"/>
        </w:rPr>
        <w:t> </w:t>
      </w:r>
      <w:r>
        <w:rPr>
          <w:color w:val="231F20"/>
          <w:spacing w:val="-2"/>
        </w:rPr>
        <w:t>de</w:t>
      </w:r>
      <w:r>
        <w:rPr>
          <w:color w:val="231F20"/>
          <w:spacing w:val="-13"/>
        </w:rPr>
        <w:t> </w:t>
      </w:r>
      <w:r>
        <w:rPr>
          <w:color w:val="231F20"/>
          <w:spacing w:val="-2"/>
        </w:rPr>
        <w:t>1994,</w:t>
      </w:r>
      <w:r>
        <w:rPr>
          <w:color w:val="231F20"/>
          <w:spacing w:val="-13"/>
        </w:rPr>
        <w:t> </w:t>
      </w:r>
      <w:r>
        <w:rPr>
          <w:color w:val="231F20"/>
          <w:spacing w:val="-2"/>
        </w:rPr>
        <w:t>“ivoiritaire”.</w:t>
      </w:r>
      <w:r>
        <w:rPr>
          <w:color w:val="231F20"/>
          <w:spacing w:val="-13"/>
        </w:rPr>
        <w:t> </w:t>
      </w:r>
      <w:r>
        <w:rPr>
          <w:color w:val="231F20"/>
          <w:spacing w:val="-2"/>
        </w:rPr>
        <w:t>Le</w:t>
      </w:r>
      <w:r>
        <w:rPr>
          <w:color w:val="231F20"/>
          <w:spacing w:val="-13"/>
        </w:rPr>
        <w:t> </w:t>
      </w:r>
      <w:r>
        <w:rPr>
          <w:color w:val="231F20"/>
          <w:spacing w:val="-2"/>
        </w:rPr>
        <w:t>23</w:t>
      </w:r>
      <w:r>
        <w:rPr>
          <w:color w:val="231F20"/>
          <w:spacing w:val="-13"/>
        </w:rPr>
        <w:t> </w:t>
      </w:r>
      <w:r>
        <w:rPr>
          <w:color w:val="231F20"/>
          <w:spacing w:val="-2"/>
        </w:rPr>
        <w:t>juillet</w:t>
      </w:r>
      <w:r>
        <w:rPr>
          <w:color w:val="231F20"/>
          <w:spacing w:val="-13"/>
        </w:rPr>
        <w:t> </w:t>
      </w:r>
      <w:r>
        <w:rPr>
          <w:color w:val="231F20"/>
          <w:spacing w:val="-2"/>
        </w:rPr>
        <w:t>2000,</w:t>
      </w:r>
      <w:r>
        <w:rPr>
          <w:color w:val="231F20"/>
          <w:spacing w:val="-13"/>
        </w:rPr>
        <w:t> </w:t>
      </w:r>
      <w:r>
        <w:rPr>
          <w:color w:val="231F20"/>
          <w:spacing w:val="-2"/>
        </w:rPr>
        <w:t>la</w:t>
      </w:r>
      <w:r>
        <w:rPr>
          <w:color w:val="231F20"/>
          <w:spacing w:val="-13"/>
        </w:rPr>
        <w:t> </w:t>
      </w:r>
      <w:r>
        <w:rPr>
          <w:color w:val="231F20"/>
          <w:spacing w:val="-2"/>
        </w:rPr>
        <w:t>nouvelle</w:t>
      </w:r>
      <w:r>
        <w:rPr>
          <w:color w:val="231F20"/>
          <w:spacing w:val="-13"/>
        </w:rPr>
        <w:t> </w:t>
      </w:r>
      <w:r>
        <w:rPr>
          <w:color w:val="231F20"/>
          <w:spacing w:val="-2"/>
        </w:rPr>
        <w:t>Constitution </w:t>
      </w:r>
      <w:r>
        <w:rPr>
          <w:color w:val="231F20"/>
        </w:rPr>
        <w:t>est adoptée par référendum. Elle scelle la 2ème République. Dès sa </w:t>
      </w:r>
      <w:r>
        <w:rPr>
          <w:color w:val="231F20"/>
          <w:spacing w:val="-2"/>
        </w:rPr>
        <w:t>promulgation,</w:t>
      </w:r>
      <w:r>
        <w:rPr>
          <w:color w:val="231F20"/>
          <w:spacing w:val="-15"/>
        </w:rPr>
        <w:t> </w:t>
      </w:r>
      <w:r>
        <w:rPr>
          <w:color w:val="231F20"/>
          <w:spacing w:val="-2"/>
        </w:rPr>
        <w:t>elle</w:t>
      </w:r>
      <w:r>
        <w:rPr>
          <w:color w:val="231F20"/>
          <w:spacing w:val="-13"/>
        </w:rPr>
        <w:t> </w:t>
      </w:r>
      <w:r>
        <w:rPr>
          <w:color w:val="231F20"/>
          <w:spacing w:val="-2"/>
        </w:rPr>
        <w:t>est</w:t>
      </w:r>
      <w:r>
        <w:rPr>
          <w:color w:val="231F20"/>
          <w:spacing w:val="-13"/>
        </w:rPr>
        <w:t> </w:t>
      </w:r>
      <w:r>
        <w:rPr>
          <w:color w:val="231F20"/>
          <w:spacing w:val="-2"/>
        </w:rPr>
        <w:t>décriée</w:t>
      </w:r>
      <w:r>
        <w:rPr>
          <w:color w:val="231F20"/>
          <w:spacing w:val="-13"/>
        </w:rPr>
        <w:t> </w:t>
      </w:r>
      <w:r>
        <w:rPr>
          <w:color w:val="231F20"/>
          <w:spacing w:val="-2"/>
        </w:rPr>
        <w:t>par</w:t>
      </w:r>
      <w:r>
        <w:rPr>
          <w:color w:val="231F20"/>
          <w:spacing w:val="-13"/>
        </w:rPr>
        <w:t> </w:t>
      </w:r>
      <w:r>
        <w:rPr>
          <w:color w:val="231F20"/>
          <w:spacing w:val="-2"/>
        </w:rPr>
        <w:t>l’opposition</w:t>
      </w:r>
      <w:r>
        <w:rPr>
          <w:color w:val="231F20"/>
          <w:spacing w:val="-13"/>
        </w:rPr>
        <w:t> </w:t>
      </w:r>
      <w:r>
        <w:rPr>
          <w:color w:val="231F20"/>
          <w:spacing w:val="-2"/>
        </w:rPr>
        <w:t>qui</w:t>
      </w:r>
      <w:r>
        <w:rPr>
          <w:color w:val="231F20"/>
          <w:spacing w:val="-13"/>
        </w:rPr>
        <w:t> </w:t>
      </w:r>
      <w:r>
        <w:rPr>
          <w:color w:val="231F20"/>
          <w:spacing w:val="-2"/>
        </w:rPr>
        <w:t>dénonce</w:t>
      </w:r>
      <w:r>
        <w:rPr>
          <w:color w:val="231F20"/>
          <w:spacing w:val="-13"/>
        </w:rPr>
        <w:t> </w:t>
      </w:r>
      <w:r>
        <w:rPr>
          <w:color w:val="231F20"/>
          <w:spacing w:val="-2"/>
        </w:rPr>
        <w:t>les</w:t>
      </w:r>
      <w:r>
        <w:rPr>
          <w:color w:val="231F20"/>
          <w:spacing w:val="-13"/>
        </w:rPr>
        <w:t> </w:t>
      </w:r>
      <w:r>
        <w:rPr>
          <w:color w:val="231F20"/>
          <w:spacing w:val="-2"/>
        </w:rPr>
        <w:t>conditions </w:t>
      </w:r>
      <w:r>
        <w:rPr>
          <w:color w:val="231F20"/>
        </w:rPr>
        <w:t>d’éligibilité</w:t>
      </w:r>
      <w:r>
        <w:rPr>
          <w:color w:val="231F20"/>
          <w:spacing w:val="-14"/>
        </w:rPr>
        <w:t> </w:t>
      </w:r>
      <w:r>
        <w:rPr>
          <w:color w:val="231F20"/>
        </w:rPr>
        <w:t>: un remake de 1995. L’article 35 énonce que</w:t>
      </w:r>
      <w:r>
        <w:rPr>
          <w:color w:val="231F20"/>
          <w:spacing w:val="-15"/>
        </w:rPr>
        <w:t> </w:t>
      </w:r>
      <w:r>
        <w:rPr>
          <w:i/>
          <w:color w:val="231F20"/>
        </w:rPr>
        <w:t>“</w:t>
      </w:r>
      <w:r>
        <w:rPr>
          <w:i/>
          <w:color w:val="231F20"/>
          <w:spacing w:val="-11"/>
        </w:rPr>
        <w:t> </w:t>
      </w:r>
      <w:r>
        <w:rPr>
          <w:i/>
          <w:color w:val="231F20"/>
        </w:rPr>
        <w:t>(...) le</w:t>
      </w:r>
      <w:r>
        <w:rPr>
          <w:i/>
          <w:color w:val="231F20"/>
        </w:rPr>
        <w:t> </w:t>
      </w:r>
      <w:r>
        <w:rPr>
          <w:i/>
          <w:color w:val="231F20"/>
          <w:spacing w:val="-4"/>
        </w:rPr>
        <w:t>candidat à</w:t>
      </w:r>
      <w:r>
        <w:rPr>
          <w:i/>
          <w:color w:val="231F20"/>
          <w:spacing w:val="-8"/>
        </w:rPr>
        <w:t> </w:t>
      </w:r>
      <w:r>
        <w:rPr>
          <w:i/>
          <w:color w:val="231F20"/>
          <w:spacing w:val="-4"/>
        </w:rPr>
        <w:t>l’élection présidentielle</w:t>
      </w:r>
      <w:r>
        <w:rPr>
          <w:i/>
          <w:color w:val="231F20"/>
          <w:spacing w:val="-6"/>
        </w:rPr>
        <w:t> </w:t>
      </w:r>
      <w:r>
        <w:rPr>
          <w:i/>
          <w:color w:val="231F20"/>
          <w:spacing w:val="-4"/>
        </w:rPr>
        <w:t>doit</w:t>
      </w:r>
      <w:r>
        <w:rPr>
          <w:i/>
          <w:color w:val="231F20"/>
          <w:spacing w:val="-5"/>
        </w:rPr>
        <w:t> </w:t>
      </w:r>
      <w:r>
        <w:rPr>
          <w:i/>
          <w:color w:val="231F20"/>
          <w:spacing w:val="-4"/>
        </w:rPr>
        <w:t>être</w:t>
      </w:r>
      <w:r>
        <w:rPr>
          <w:i/>
          <w:color w:val="231F20"/>
          <w:spacing w:val="-5"/>
        </w:rPr>
        <w:t> </w:t>
      </w:r>
      <w:r>
        <w:rPr>
          <w:i/>
          <w:color w:val="231F20"/>
          <w:spacing w:val="-4"/>
        </w:rPr>
        <w:t>ivoirien</w:t>
      </w:r>
      <w:r>
        <w:rPr>
          <w:i/>
          <w:color w:val="231F20"/>
          <w:spacing w:val="-8"/>
        </w:rPr>
        <w:t> </w:t>
      </w:r>
      <w:r>
        <w:rPr>
          <w:i/>
          <w:color w:val="231F20"/>
          <w:spacing w:val="-4"/>
        </w:rPr>
        <w:t>d’origine,</w:t>
      </w:r>
      <w:r>
        <w:rPr>
          <w:i/>
          <w:color w:val="231F20"/>
          <w:spacing w:val="-8"/>
        </w:rPr>
        <w:t> </w:t>
      </w:r>
      <w:r>
        <w:rPr>
          <w:i/>
          <w:color w:val="231F20"/>
          <w:spacing w:val="-4"/>
        </w:rPr>
        <w:t>né</w:t>
      </w:r>
      <w:r>
        <w:rPr>
          <w:i/>
          <w:color w:val="231F20"/>
          <w:spacing w:val="-5"/>
        </w:rPr>
        <w:t> </w:t>
      </w:r>
      <w:r>
        <w:rPr>
          <w:i/>
          <w:color w:val="231F20"/>
          <w:spacing w:val="-4"/>
        </w:rPr>
        <w:t>de</w:t>
      </w:r>
      <w:r>
        <w:rPr>
          <w:i/>
          <w:color w:val="231F20"/>
          <w:spacing w:val="-5"/>
        </w:rPr>
        <w:t> </w:t>
      </w:r>
      <w:r>
        <w:rPr>
          <w:i/>
          <w:color w:val="231F20"/>
          <w:spacing w:val="-4"/>
        </w:rPr>
        <w:t>père </w:t>
      </w:r>
      <w:r>
        <w:rPr>
          <w:i/>
          <w:color w:val="231F20"/>
          <w:spacing w:val="-2"/>
        </w:rPr>
        <w:t>et</w:t>
      </w:r>
      <w:r>
        <w:rPr>
          <w:i/>
          <w:color w:val="231F20"/>
          <w:spacing w:val="-7"/>
        </w:rPr>
        <w:t> </w:t>
      </w:r>
      <w:r>
        <w:rPr>
          <w:i/>
          <w:color w:val="231F20"/>
          <w:spacing w:val="-2"/>
        </w:rPr>
        <w:t>de</w:t>
      </w:r>
      <w:r>
        <w:rPr>
          <w:i/>
          <w:color w:val="231F20"/>
          <w:spacing w:val="-10"/>
        </w:rPr>
        <w:t> </w:t>
      </w:r>
      <w:r>
        <w:rPr>
          <w:i/>
          <w:color w:val="231F20"/>
          <w:spacing w:val="-2"/>
        </w:rPr>
        <w:t>mère</w:t>
      </w:r>
      <w:r>
        <w:rPr>
          <w:i/>
          <w:color w:val="231F20"/>
          <w:spacing w:val="-8"/>
        </w:rPr>
        <w:t> </w:t>
      </w:r>
      <w:r>
        <w:rPr>
          <w:i/>
          <w:color w:val="231F20"/>
          <w:spacing w:val="-2"/>
        </w:rPr>
        <w:t>eux-mêmes</w:t>
      </w:r>
      <w:r>
        <w:rPr>
          <w:i/>
          <w:color w:val="231F20"/>
          <w:spacing w:val="-9"/>
        </w:rPr>
        <w:t> </w:t>
      </w:r>
      <w:r>
        <w:rPr>
          <w:i/>
          <w:color w:val="231F20"/>
          <w:spacing w:val="-2"/>
        </w:rPr>
        <w:t>ivoiriens</w:t>
      </w:r>
      <w:r>
        <w:rPr>
          <w:i/>
          <w:color w:val="231F20"/>
          <w:spacing w:val="-9"/>
        </w:rPr>
        <w:t> </w:t>
      </w:r>
      <w:r>
        <w:rPr>
          <w:i/>
          <w:color w:val="231F20"/>
          <w:spacing w:val="-2"/>
        </w:rPr>
        <w:t>d’origine.</w:t>
      </w:r>
      <w:r>
        <w:rPr>
          <w:i/>
          <w:color w:val="231F20"/>
          <w:spacing w:val="-8"/>
        </w:rPr>
        <w:t> </w:t>
      </w:r>
      <w:r>
        <w:rPr>
          <w:i/>
          <w:color w:val="231F20"/>
          <w:spacing w:val="-2"/>
        </w:rPr>
        <w:t>Il</w:t>
      </w:r>
      <w:r>
        <w:rPr>
          <w:i/>
          <w:color w:val="231F20"/>
          <w:spacing w:val="-7"/>
        </w:rPr>
        <w:t> </w:t>
      </w:r>
      <w:r>
        <w:rPr>
          <w:i/>
          <w:color w:val="231F20"/>
          <w:spacing w:val="-2"/>
        </w:rPr>
        <w:t>doit</w:t>
      </w:r>
      <w:r>
        <w:rPr>
          <w:i/>
          <w:color w:val="231F20"/>
          <w:spacing w:val="-7"/>
        </w:rPr>
        <w:t> </w:t>
      </w:r>
      <w:r>
        <w:rPr>
          <w:i/>
          <w:color w:val="231F20"/>
          <w:spacing w:val="-2"/>
        </w:rPr>
        <w:t>n’avoir</w:t>
      </w:r>
      <w:r>
        <w:rPr>
          <w:i/>
          <w:color w:val="231F20"/>
          <w:spacing w:val="-9"/>
        </w:rPr>
        <w:t> </w:t>
      </w:r>
      <w:r>
        <w:rPr>
          <w:i/>
          <w:color w:val="231F20"/>
          <w:spacing w:val="-2"/>
        </w:rPr>
        <w:t>jamais</w:t>
      </w:r>
      <w:r>
        <w:rPr>
          <w:i/>
          <w:color w:val="231F20"/>
          <w:spacing w:val="-8"/>
        </w:rPr>
        <w:t> </w:t>
      </w:r>
      <w:r>
        <w:rPr>
          <w:i/>
          <w:color w:val="231F20"/>
          <w:spacing w:val="-2"/>
        </w:rPr>
        <w:t>renoncé </w:t>
      </w:r>
      <w:r>
        <w:rPr>
          <w:i/>
          <w:color w:val="231F20"/>
        </w:rPr>
        <w:t>à la nationalité ivoirienne. Il ne doit s’être jamais prévalu d’une autre nationalité (...) ”</w:t>
      </w:r>
      <w:r>
        <w:rPr>
          <w:color w:val="231F20"/>
        </w:rPr>
        <w:t>. Le RDR soutient que ces dispositions excluent la candidature</w:t>
      </w:r>
      <w:r>
        <w:rPr>
          <w:color w:val="231F20"/>
          <w:spacing w:val="-5"/>
        </w:rPr>
        <w:t> </w:t>
      </w:r>
      <w:r>
        <w:rPr>
          <w:color w:val="231F20"/>
        </w:rPr>
        <w:t>d’Alassane</w:t>
      </w:r>
      <w:r>
        <w:rPr>
          <w:color w:val="231F20"/>
          <w:spacing w:val="-5"/>
        </w:rPr>
        <w:t> </w:t>
      </w:r>
      <w:r>
        <w:rPr>
          <w:color w:val="231F20"/>
        </w:rPr>
        <w:t>Ouattara</w:t>
      </w:r>
      <w:r>
        <w:rPr>
          <w:color w:val="231F20"/>
          <w:spacing w:val="-5"/>
        </w:rPr>
        <w:t> </w:t>
      </w:r>
      <w:r>
        <w:rPr>
          <w:color w:val="231F20"/>
        </w:rPr>
        <w:t>car</w:t>
      </w:r>
      <w:r>
        <w:rPr>
          <w:color w:val="231F20"/>
          <w:spacing w:val="-5"/>
        </w:rPr>
        <w:t> </w:t>
      </w:r>
      <w:r>
        <w:rPr>
          <w:color w:val="231F20"/>
        </w:rPr>
        <w:t>il</w:t>
      </w:r>
      <w:r>
        <w:rPr>
          <w:color w:val="231F20"/>
          <w:spacing w:val="-4"/>
        </w:rPr>
        <w:t> </w:t>
      </w:r>
      <w:r>
        <w:rPr>
          <w:color w:val="231F20"/>
        </w:rPr>
        <w:t>aurait</w:t>
      </w:r>
      <w:r>
        <w:rPr>
          <w:color w:val="231F20"/>
          <w:spacing w:val="-4"/>
        </w:rPr>
        <w:t> </w:t>
      </w:r>
      <w:r>
        <w:rPr>
          <w:color w:val="231F20"/>
        </w:rPr>
        <w:t>bénéficié</w:t>
      </w:r>
      <w:r>
        <w:rPr>
          <w:color w:val="231F20"/>
          <w:spacing w:val="-5"/>
        </w:rPr>
        <w:t> </w:t>
      </w:r>
      <w:r>
        <w:rPr>
          <w:color w:val="231F20"/>
        </w:rPr>
        <w:t>de</w:t>
      </w:r>
      <w:r>
        <w:rPr>
          <w:color w:val="231F20"/>
          <w:spacing w:val="-5"/>
        </w:rPr>
        <w:t> </w:t>
      </w:r>
      <w:r>
        <w:rPr>
          <w:color w:val="231F20"/>
        </w:rPr>
        <w:t>la</w:t>
      </w:r>
      <w:r>
        <w:rPr>
          <w:color w:val="231F20"/>
          <w:spacing w:val="-5"/>
        </w:rPr>
        <w:t> </w:t>
      </w:r>
      <w:r>
        <w:rPr>
          <w:color w:val="231F20"/>
        </w:rPr>
        <w:t>nationalité voltaïque(burkinabé). L’article indique également</w:t>
      </w:r>
      <w:r>
        <w:rPr>
          <w:color w:val="231F20"/>
          <w:spacing w:val="-15"/>
        </w:rPr>
        <w:t> </w:t>
      </w:r>
      <w:r>
        <w:rPr>
          <w:color w:val="231F20"/>
        </w:rPr>
        <w:t>que le candidat à la Présidence</w:t>
      </w:r>
      <w:r>
        <w:rPr>
          <w:color w:val="231F20"/>
          <w:spacing w:val="-6"/>
        </w:rPr>
        <w:t> </w:t>
      </w:r>
      <w:r>
        <w:rPr>
          <w:color w:val="231F20"/>
        </w:rPr>
        <w:t>de</w:t>
      </w:r>
      <w:r>
        <w:rPr>
          <w:color w:val="231F20"/>
          <w:spacing w:val="-6"/>
        </w:rPr>
        <w:t> </w:t>
      </w:r>
      <w:r>
        <w:rPr>
          <w:color w:val="231F20"/>
        </w:rPr>
        <w:t>la</w:t>
      </w:r>
      <w:r>
        <w:rPr>
          <w:color w:val="231F20"/>
          <w:spacing w:val="-6"/>
        </w:rPr>
        <w:t> </w:t>
      </w:r>
      <w:r>
        <w:rPr>
          <w:color w:val="231F20"/>
        </w:rPr>
        <w:t>République</w:t>
      </w:r>
      <w:r>
        <w:rPr>
          <w:color w:val="231F20"/>
          <w:spacing w:val="-6"/>
        </w:rPr>
        <w:t> </w:t>
      </w:r>
      <w:r>
        <w:rPr>
          <w:color w:val="231F20"/>
        </w:rPr>
        <w:t>doit</w:t>
      </w:r>
      <w:r>
        <w:rPr>
          <w:color w:val="231F20"/>
          <w:spacing w:val="-7"/>
        </w:rPr>
        <w:t> </w:t>
      </w:r>
      <w:r>
        <w:rPr>
          <w:color w:val="231F20"/>
        </w:rPr>
        <w:t>présenter</w:t>
      </w:r>
      <w:r>
        <w:rPr>
          <w:color w:val="231F20"/>
          <w:spacing w:val="-6"/>
        </w:rPr>
        <w:t> </w:t>
      </w:r>
      <w:r>
        <w:rPr>
          <w:color w:val="231F20"/>
        </w:rPr>
        <w:t>un</w:t>
      </w:r>
      <w:r>
        <w:rPr>
          <w:color w:val="231F20"/>
          <w:spacing w:val="-6"/>
        </w:rPr>
        <w:t> </w:t>
      </w:r>
      <w:r>
        <w:rPr>
          <w:color w:val="231F20"/>
        </w:rPr>
        <w:t>état</w:t>
      </w:r>
      <w:r>
        <w:rPr>
          <w:color w:val="231F20"/>
          <w:spacing w:val="-8"/>
        </w:rPr>
        <w:t> </w:t>
      </w:r>
      <w:r>
        <w:rPr>
          <w:color w:val="231F20"/>
        </w:rPr>
        <w:t>complet</w:t>
      </w:r>
      <w:r>
        <w:rPr>
          <w:color w:val="231F20"/>
          <w:spacing w:val="-8"/>
        </w:rPr>
        <w:t> </w:t>
      </w:r>
      <w:r>
        <w:rPr>
          <w:color w:val="231F20"/>
        </w:rPr>
        <w:t>de</w:t>
      </w:r>
      <w:r>
        <w:rPr>
          <w:color w:val="231F20"/>
          <w:spacing w:val="-4"/>
        </w:rPr>
        <w:t> </w:t>
      </w:r>
      <w:r>
        <w:rPr>
          <w:color w:val="231F20"/>
        </w:rPr>
        <w:t>bien-être physique et mental dûment constaté par un collège de trois médecins désignés par le Conseil constitutionnel sur une liste proposée par le Conseil de l’Ordre des Médecins. Ces trois médecins doivent prêter serment devant le Conseil constitutionnel. Les partisans de Bédié font remarquer que leur candidat, en l’occurrence Bédié, en exil en France, </w:t>
      </w:r>
      <w:r>
        <w:rPr>
          <w:color w:val="231F20"/>
          <w:spacing w:val="-4"/>
        </w:rPr>
        <w:t>n’est</w:t>
      </w:r>
      <w:r>
        <w:rPr>
          <w:color w:val="231F20"/>
          <w:spacing w:val="-11"/>
        </w:rPr>
        <w:t> </w:t>
      </w:r>
      <w:r>
        <w:rPr>
          <w:color w:val="231F20"/>
          <w:spacing w:val="-4"/>
        </w:rPr>
        <w:t>pas</w:t>
      </w:r>
      <w:r>
        <w:rPr>
          <w:color w:val="231F20"/>
          <w:spacing w:val="-11"/>
        </w:rPr>
        <w:t> </w:t>
      </w:r>
      <w:r>
        <w:rPr>
          <w:color w:val="231F20"/>
          <w:spacing w:val="-4"/>
        </w:rPr>
        <w:t>en</w:t>
      </w:r>
      <w:r>
        <w:rPr>
          <w:color w:val="231F20"/>
          <w:spacing w:val="-11"/>
        </w:rPr>
        <w:t> </w:t>
      </w:r>
      <w:r>
        <w:rPr>
          <w:color w:val="231F20"/>
          <w:spacing w:val="-4"/>
        </w:rPr>
        <w:t>mesure</w:t>
      </w:r>
      <w:r>
        <w:rPr>
          <w:color w:val="231F20"/>
          <w:spacing w:val="-11"/>
        </w:rPr>
        <w:t> </w:t>
      </w:r>
      <w:r>
        <w:rPr>
          <w:color w:val="231F20"/>
          <w:spacing w:val="-4"/>
        </w:rPr>
        <w:t>d’être</w:t>
      </w:r>
      <w:r>
        <w:rPr>
          <w:color w:val="231F20"/>
          <w:spacing w:val="-11"/>
        </w:rPr>
        <w:t> </w:t>
      </w:r>
      <w:r>
        <w:rPr>
          <w:color w:val="231F20"/>
          <w:spacing w:val="-4"/>
        </w:rPr>
        <w:t>examiné</w:t>
      </w:r>
      <w:r>
        <w:rPr>
          <w:color w:val="231F20"/>
          <w:spacing w:val="-11"/>
        </w:rPr>
        <w:t> </w:t>
      </w:r>
      <w:r>
        <w:rPr>
          <w:color w:val="231F20"/>
          <w:spacing w:val="-4"/>
        </w:rPr>
        <w:t>par</w:t>
      </w:r>
      <w:r>
        <w:rPr>
          <w:color w:val="231F20"/>
          <w:spacing w:val="-11"/>
        </w:rPr>
        <w:t> </w:t>
      </w:r>
      <w:r>
        <w:rPr>
          <w:color w:val="231F20"/>
          <w:spacing w:val="-4"/>
        </w:rPr>
        <w:t>un</w:t>
      </w:r>
      <w:r>
        <w:rPr>
          <w:color w:val="231F20"/>
          <w:spacing w:val="-11"/>
        </w:rPr>
        <w:t> </w:t>
      </w:r>
      <w:r>
        <w:rPr>
          <w:color w:val="231F20"/>
          <w:spacing w:val="-4"/>
        </w:rPr>
        <w:t>collège</w:t>
      </w:r>
      <w:r>
        <w:rPr>
          <w:color w:val="231F20"/>
          <w:spacing w:val="-11"/>
        </w:rPr>
        <w:t> </w:t>
      </w:r>
      <w:r>
        <w:rPr>
          <w:color w:val="231F20"/>
          <w:spacing w:val="-4"/>
        </w:rPr>
        <w:t>de</w:t>
      </w:r>
      <w:r>
        <w:rPr>
          <w:color w:val="231F20"/>
          <w:spacing w:val="-11"/>
        </w:rPr>
        <w:t> </w:t>
      </w:r>
      <w:r>
        <w:rPr>
          <w:color w:val="231F20"/>
          <w:spacing w:val="-4"/>
        </w:rPr>
        <w:t>médecins</w:t>
      </w:r>
      <w:r>
        <w:rPr>
          <w:color w:val="231F20"/>
          <w:spacing w:val="-11"/>
        </w:rPr>
        <w:t> </w:t>
      </w:r>
      <w:r>
        <w:rPr>
          <w:color w:val="231F20"/>
          <w:spacing w:val="-4"/>
        </w:rPr>
        <w:t>se</w:t>
      </w:r>
      <w:r>
        <w:rPr>
          <w:color w:val="231F20"/>
          <w:spacing w:val="-11"/>
        </w:rPr>
        <w:t> </w:t>
      </w:r>
      <w:r>
        <w:rPr>
          <w:color w:val="231F20"/>
          <w:spacing w:val="-4"/>
        </w:rPr>
        <w:t>trouvant </w:t>
      </w:r>
      <w:r>
        <w:rPr>
          <w:color w:val="231F20"/>
        </w:rPr>
        <w:t>en</w:t>
      </w:r>
      <w:r>
        <w:rPr>
          <w:color w:val="231F20"/>
          <w:spacing w:val="-6"/>
        </w:rPr>
        <w:t> </w:t>
      </w:r>
      <w:r>
        <w:rPr>
          <w:color w:val="231F20"/>
        </w:rPr>
        <w:t>Côte</w:t>
      </w:r>
      <w:r>
        <w:rPr>
          <w:color w:val="231F20"/>
          <w:spacing w:val="-6"/>
        </w:rPr>
        <w:t> </w:t>
      </w:r>
      <w:r>
        <w:rPr>
          <w:color w:val="231F20"/>
        </w:rPr>
        <w:t>d’Ivoire.</w:t>
      </w:r>
      <w:r>
        <w:rPr>
          <w:color w:val="231F20"/>
          <w:spacing w:val="-8"/>
        </w:rPr>
        <w:t> </w:t>
      </w:r>
      <w:r>
        <w:rPr>
          <w:color w:val="231F20"/>
        </w:rPr>
        <w:t>En</w:t>
      </w:r>
      <w:r>
        <w:rPr>
          <w:color w:val="231F20"/>
          <w:spacing w:val="-6"/>
        </w:rPr>
        <w:t> </w:t>
      </w:r>
      <w:r>
        <w:rPr>
          <w:color w:val="231F20"/>
        </w:rPr>
        <w:t>fait,</w:t>
      </w:r>
      <w:r>
        <w:rPr>
          <w:color w:val="231F20"/>
          <w:spacing w:val="-8"/>
        </w:rPr>
        <w:t> </w:t>
      </w:r>
      <w:r>
        <w:rPr>
          <w:color w:val="231F20"/>
        </w:rPr>
        <w:t>l’article</w:t>
      </w:r>
      <w:r>
        <w:rPr>
          <w:color w:val="231F20"/>
          <w:spacing w:val="-6"/>
        </w:rPr>
        <w:t> </w:t>
      </w:r>
      <w:r>
        <w:rPr>
          <w:color w:val="231F20"/>
        </w:rPr>
        <w:t>35</w:t>
      </w:r>
      <w:r>
        <w:rPr>
          <w:color w:val="231F20"/>
          <w:spacing w:val="-6"/>
        </w:rPr>
        <w:t> </w:t>
      </w:r>
      <w:r>
        <w:rPr>
          <w:color w:val="231F20"/>
        </w:rPr>
        <w:t>de</w:t>
      </w:r>
      <w:r>
        <w:rPr>
          <w:color w:val="231F20"/>
          <w:spacing w:val="-8"/>
        </w:rPr>
        <w:t> </w:t>
      </w:r>
      <w:r>
        <w:rPr>
          <w:color w:val="231F20"/>
        </w:rPr>
        <w:t>la</w:t>
      </w:r>
      <w:r>
        <w:rPr>
          <w:color w:val="231F20"/>
          <w:spacing w:val="-6"/>
        </w:rPr>
        <w:t> </w:t>
      </w:r>
      <w:r>
        <w:rPr>
          <w:color w:val="231F20"/>
        </w:rPr>
        <w:t>nouvelle</w:t>
      </w:r>
      <w:r>
        <w:rPr>
          <w:color w:val="231F20"/>
          <w:spacing w:val="-5"/>
        </w:rPr>
        <w:t> </w:t>
      </w:r>
      <w:r>
        <w:rPr>
          <w:color w:val="231F20"/>
        </w:rPr>
        <w:t>Constitution</w:t>
      </w:r>
      <w:r>
        <w:rPr>
          <w:color w:val="231F20"/>
          <w:spacing w:val="-6"/>
        </w:rPr>
        <w:t> </w:t>
      </w:r>
      <w:r>
        <w:rPr>
          <w:color w:val="231F20"/>
        </w:rPr>
        <w:t>rejoint l’article 9 voté sous Bédié.</w:t>
      </w:r>
      <w:r>
        <w:rPr>
          <w:color w:val="231F20"/>
          <w:vertAlign w:val="superscript"/>
        </w:rPr>
        <w:t>167</w:t>
      </w:r>
      <w:r>
        <w:rPr>
          <w:i/>
          <w:color w:val="231F20"/>
          <w:vertAlign w:val="baseline"/>
        </w:rPr>
        <w:t>“</w:t>
      </w:r>
    </w:p>
    <w:p>
      <w:pPr>
        <w:pStyle w:val="BodyText"/>
        <w:spacing w:before="122"/>
        <w:ind w:right="106" w:firstLine="283"/>
      </w:pPr>
      <w:r>
        <w:rPr>
          <w:color w:val="231F20"/>
        </w:rPr>
        <w:t>Octobre 2000, voici venu le temps des élections générales dont la </w:t>
      </w:r>
      <w:r>
        <w:rPr>
          <w:color w:val="231F20"/>
          <w:spacing w:val="-4"/>
        </w:rPr>
        <w:t>présidentielle.</w:t>
      </w:r>
      <w:r>
        <w:rPr>
          <w:color w:val="231F20"/>
          <w:spacing w:val="-9"/>
        </w:rPr>
        <w:t> </w:t>
      </w:r>
      <w:r>
        <w:rPr>
          <w:color w:val="231F20"/>
          <w:spacing w:val="-4"/>
        </w:rPr>
        <w:t>Ce</w:t>
      </w:r>
      <w:r>
        <w:rPr>
          <w:color w:val="231F20"/>
          <w:spacing w:val="-7"/>
        </w:rPr>
        <w:t> </w:t>
      </w:r>
      <w:r>
        <w:rPr>
          <w:color w:val="231F20"/>
          <w:spacing w:val="-4"/>
        </w:rPr>
        <w:t>sera</w:t>
      </w:r>
      <w:r>
        <w:rPr>
          <w:color w:val="231F20"/>
          <w:spacing w:val="-7"/>
        </w:rPr>
        <w:t> </w:t>
      </w:r>
      <w:r>
        <w:rPr>
          <w:color w:val="231F20"/>
          <w:spacing w:val="-4"/>
        </w:rPr>
        <w:t>le</w:t>
      </w:r>
      <w:r>
        <w:rPr>
          <w:color w:val="231F20"/>
          <w:spacing w:val="-7"/>
        </w:rPr>
        <w:t> </w:t>
      </w:r>
      <w:r>
        <w:rPr>
          <w:color w:val="231F20"/>
          <w:spacing w:val="-4"/>
        </w:rPr>
        <w:t>retour</w:t>
      </w:r>
      <w:r>
        <w:rPr>
          <w:color w:val="231F20"/>
          <w:spacing w:val="-7"/>
        </w:rPr>
        <w:t> </w:t>
      </w:r>
      <w:r>
        <w:rPr>
          <w:color w:val="231F20"/>
          <w:spacing w:val="-4"/>
        </w:rPr>
        <w:t>des</w:t>
      </w:r>
      <w:r>
        <w:rPr>
          <w:color w:val="231F20"/>
          <w:spacing w:val="-7"/>
        </w:rPr>
        <w:t> </w:t>
      </w:r>
      <w:r>
        <w:rPr>
          <w:color w:val="231F20"/>
          <w:spacing w:val="-4"/>
        </w:rPr>
        <w:t>civils</w:t>
      </w:r>
      <w:r>
        <w:rPr>
          <w:color w:val="231F20"/>
          <w:spacing w:val="-7"/>
        </w:rPr>
        <w:t> </w:t>
      </w:r>
      <w:r>
        <w:rPr>
          <w:color w:val="231F20"/>
          <w:spacing w:val="-4"/>
        </w:rPr>
        <w:t>au</w:t>
      </w:r>
      <w:r>
        <w:rPr>
          <w:color w:val="231F20"/>
          <w:spacing w:val="-9"/>
        </w:rPr>
        <w:t> </w:t>
      </w:r>
      <w:r>
        <w:rPr>
          <w:color w:val="231F20"/>
          <w:spacing w:val="-4"/>
        </w:rPr>
        <w:t>pouvoir</w:t>
      </w:r>
      <w:r>
        <w:rPr>
          <w:color w:val="231F20"/>
          <w:spacing w:val="-10"/>
        </w:rPr>
        <w:t> </w:t>
      </w:r>
      <w:r>
        <w:rPr>
          <w:color w:val="231F20"/>
          <w:spacing w:val="-4"/>
        </w:rPr>
        <w:t>selon</w:t>
      </w:r>
      <w:r>
        <w:rPr>
          <w:color w:val="231F20"/>
          <w:spacing w:val="-9"/>
        </w:rPr>
        <w:t> </w:t>
      </w:r>
      <w:r>
        <w:rPr>
          <w:color w:val="231F20"/>
          <w:spacing w:val="-4"/>
        </w:rPr>
        <w:t>la</w:t>
      </w:r>
      <w:r>
        <w:rPr>
          <w:color w:val="231F20"/>
          <w:spacing w:val="-7"/>
        </w:rPr>
        <w:t> </w:t>
      </w:r>
      <w:r>
        <w:rPr>
          <w:color w:val="231F20"/>
          <w:spacing w:val="-4"/>
        </w:rPr>
        <w:t>promesse</w:t>
      </w:r>
      <w:r>
        <w:rPr>
          <w:color w:val="231F20"/>
          <w:spacing w:val="-7"/>
        </w:rPr>
        <w:t> </w:t>
      </w:r>
      <w:r>
        <w:rPr>
          <w:color w:val="231F20"/>
          <w:spacing w:val="-4"/>
        </w:rPr>
        <w:t>du </w:t>
      </w:r>
      <w:r>
        <w:rPr>
          <w:color w:val="231F20"/>
        </w:rPr>
        <w:t>général.</w:t>
      </w:r>
      <w:r>
        <w:rPr>
          <w:color w:val="231F20"/>
          <w:spacing w:val="-12"/>
        </w:rPr>
        <w:t> </w:t>
      </w:r>
      <w:r>
        <w:rPr>
          <w:color w:val="231F20"/>
        </w:rPr>
        <w:t>Surprise</w:t>
      </w:r>
      <w:r>
        <w:rPr>
          <w:color w:val="231F20"/>
          <w:spacing w:val="-15"/>
        </w:rPr>
        <w:t> </w:t>
      </w:r>
      <w:r>
        <w:rPr>
          <w:color w:val="231F20"/>
        </w:rPr>
        <w:t>!</w:t>
      </w:r>
      <w:r>
        <w:rPr>
          <w:color w:val="231F20"/>
          <w:spacing w:val="-11"/>
        </w:rPr>
        <w:t> </w:t>
      </w:r>
      <w:r>
        <w:rPr>
          <w:color w:val="231F20"/>
        </w:rPr>
        <w:t>En</w:t>
      </w:r>
      <w:r>
        <w:rPr>
          <w:color w:val="231F20"/>
          <w:spacing w:val="-12"/>
        </w:rPr>
        <w:t> </w:t>
      </w:r>
      <w:r>
        <w:rPr>
          <w:color w:val="231F20"/>
        </w:rPr>
        <w:t>moins</w:t>
      </w:r>
      <w:r>
        <w:rPr>
          <w:color w:val="231F20"/>
          <w:spacing w:val="-10"/>
        </w:rPr>
        <w:t> </w:t>
      </w:r>
      <w:r>
        <w:rPr>
          <w:color w:val="231F20"/>
        </w:rPr>
        <w:t>d’un</w:t>
      </w:r>
      <w:r>
        <w:rPr>
          <w:color w:val="231F20"/>
          <w:spacing w:val="-10"/>
        </w:rPr>
        <w:t> </w:t>
      </w:r>
      <w:r>
        <w:rPr>
          <w:color w:val="231F20"/>
        </w:rPr>
        <w:t>an</w:t>
      </w:r>
      <w:r>
        <w:rPr>
          <w:color w:val="231F20"/>
          <w:spacing w:val="-10"/>
        </w:rPr>
        <w:t> </w:t>
      </w:r>
      <w:r>
        <w:rPr>
          <w:color w:val="231F20"/>
        </w:rPr>
        <w:t>de</w:t>
      </w:r>
      <w:r>
        <w:rPr>
          <w:color w:val="231F20"/>
          <w:spacing w:val="-12"/>
        </w:rPr>
        <w:t> </w:t>
      </w:r>
      <w:r>
        <w:rPr>
          <w:color w:val="231F20"/>
        </w:rPr>
        <w:t>pouvoir,</w:t>
      </w:r>
      <w:r>
        <w:rPr>
          <w:color w:val="231F20"/>
          <w:spacing w:val="-12"/>
        </w:rPr>
        <w:t> </w:t>
      </w:r>
      <w:r>
        <w:rPr>
          <w:color w:val="231F20"/>
        </w:rPr>
        <w:t>le</w:t>
      </w:r>
      <w:r>
        <w:rPr>
          <w:color w:val="231F20"/>
          <w:spacing w:val="-11"/>
        </w:rPr>
        <w:t> </w:t>
      </w:r>
      <w:r>
        <w:rPr>
          <w:color w:val="231F20"/>
        </w:rPr>
        <w:t>président</w:t>
      </w:r>
      <w:r>
        <w:rPr>
          <w:color w:val="231F20"/>
          <w:spacing w:val="-10"/>
        </w:rPr>
        <w:t> </w:t>
      </w:r>
      <w:r>
        <w:rPr>
          <w:color w:val="231F20"/>
        </w:rPr>
        <w:t>du</w:t>
      </w:r>
      <w:r>
        <w:rPr>
          <w:color w:val="231F20"/>
          <w:spacing w:val="-12"/>
        </w:rPr>
        <w:t> </w:t>
      </w:r>
      <w:r>
        <w:rPr>
          <w:i/>
          <w:color w:val="231F20"/>
        </w:rPr>
        <w:t>Comité</w:t>
      </w:r>
      <w:r>
        <w:rPr>
          <w:i/>
          <w:color w:val="231F20"/>
        </w:rPr>
        <w:t> National</w:t>
      </w:r>
      <w:r>
        <w:rPr>
          <w:i/>
          <w:color w:val="231F20"/>
          <w:spacing w:val="36"/>
        </w:rPr>
        <w:t> </w:t>
      </w:r>
      <w:r>
        <w:rPr>
          <w:i/>
          <w:color w:val="231F20"/>
        </w:rPr>
        <w:t>de</w:t>
      </w:r>
      <w:r>
        <w:rPr>
          <w:i/>
          <w:color w:val="231F20"/>
          <w:spacing w:val="40"/>
        </w:rPr>
        <w:t> </w:t>
      </w:r>
      <w:r>
        <w:rPr>
          <w:i/>
          <w:color w:val="231F20"/>
        </w:rPr>
        <w:t>Salut</w:t>
      </w:r>
      <w:r>
        <w:rPr>
          <w:i/>
          <w:color w:val="231F20"/>
          <w:spacing w:val="39"/>
        </w:rPr>
        <w:t> </w:t>
      </w:r>
      <w:r>
        <w:rPr>
          <w:i/>
          <w:color w:val="231F20"/>
        </w:rPr>
        <w:t>Public</w:t>
      </w:r>
      <w:r>
        <w:rPr>
          <w:i/>
          <w:color w:val="231F20"/>
          <w:spacing w:val="40"/>
        </w:rPr>
        <w:t> </w:t>
      </w:r>
      <w:r>
        <w:rPr>
          <w:color w:val="231F20"/>
        </w:rPr>
        <w:t>a</w:t>
      </w:r>
      <w:r>
        <w:rPr>
          <w:color w:val="231F20"/>
          <w:spacing w:val="41"/>
        </w:rPr>
        <w:t> </w:t>
      </w:r>
      <w:r>
        <w:rPr>
          <w:color w:val="231F20"/>
        </w:rPr>
        <w:t>pris</w:t>
      </w:r>
      <w:r>
        <w:rPr>
          <w:color w:val="231F20"/>
          <w:spacing w:val="38"/>
        </w:rPr>
        <w:t> </w:t>
      </w:r>
      <w:r>
        <w:rPr>
          <w:color w:val="231F20"/>
        </w:rPr>
        <w:t>goût</w:t>
      </w:r>
      <w:r>
        <w:rPr>
          <w:color w:val="231F20"/>
          <w:spacing w:val="40"/>
        </w:rPr>
        <w:t> </w:t>
      </w:r>
      <w:r>
        <w:rPr>
          <w:color w:val="231F20"/>
        </w:rPr>
        <w:t>pour</w:t>
      </w:r>
      <w:r>
        <w:rPr>
          <w:color w:val="231F20"/>
          <w:spacing w:val="38"/>
        </w:rPr>
        <w:t> </w:t>
      </w:r>
      <w:r>
        <w:rPr>
          <w:color w:val="231F20"/>
        </w:rPr>
        <w:t>le</w:t>
      </w:r>
      <w:r>
        <w:rPr>
          <w:color w:val="231F20"/>
          <w:spacing w:val="37"/>
        </w:rPr>
        <w:t> </w:t>
      </w:r>
      <w:r>
        <w:rPr>
          <w:color w:val="231F20"/>
        </w:rPr>
        <w:t>pouvoir</w:t>
      </w:r>
      <w:r>
        <w:rPr>
          <w:color w:val="231F20"/>
          <w:spacing w:val="38"/>
        </w:rPr>
        <w:t> </w:t>
      </w:r>
      <w:r>
        <w:rPr>
          <w:color w:val="231F20"/>
        </w:rPr>
        <w:t>suprême</w:t>
      </w:r>
      <w:r>
        <w:rPr>
          <w:color w:val="231F20"/>
          <w:spacing w:val="38"/>
        </w:rPr>
        <w:t> </w:t>
      </w:r>
      <w:r>
        <w:rPr>
          <w:color w:val="231F20"/>
        </w:rPr>
        <w:t>et</w:t>
      </w:r>
      <w:r>
        <w:rPr>
          <w:color w:val="231F20"/>
          <w:spacing w:val="41"/>
        </w:rPr>
        <w:t> </w:t>
      </w:r>
      <w:r>
        <w:rPr>
          <w:color w:val="231F20"/>
          <w:spacing w:val="-5"/>
        </w:rPr>
        <w:t>le</w:t>
      </w:r>
    </w:p>
    <w:p>
      <w:pPr>
        <w:pStyle w:val="BodyText"/>
        <w:spacing w:before="1"/>
        <w:ind w:left="0"/>
        <w:jc w:val="left"/>
        <w:rPr>
          <w:sz w:val="11"/>
        </w:rPr>
      </w:pPr>
      <w:r>
        <w:rPr/>
        <mc:AlternateContent>
          <mc:Choice Requires="wps">
            <w:drawing>
              <wp:anchor distT="0" distB="0" distL="0" distR="0" allowOverlap="1" layoutInCell="1" locked="0" behindDoc="1" simplePos="0" relativeHeight="487641600">
                <wp:simplePos x="0" y="0"/>
                <wp:positionH relativeFrom="page">
                  <wp:posOffset>629907</wp:posOffset>
                </wp:positionH>
                <wp:positionV relativeFrom="paragraph">
                  <wp:posOffset>96551</wp:posOffset>
                </wp:positionV>
                <wp:extent cx="1829435" cy="9525"/>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7.6025pt;width:144.020pt;height:.72pt;mso-position-horizontal-relative:page;mso-position-vertical-relative:paragraph;z-index:-15674880;mso-wrap-distance-left:0;mso-wrap-distance-right:0" id="docshape132" filled="true" fillcolor="#231f20" stroked="false">
                <v:fill type="solid"/>
                <w10:wrap type="topAndBottom"/>
              </v:rect>
            </w:pict>
          </mc:Fallback>
        </mc:AlternateContent>
      </w:r>
    </w:p>
    <w:p>
      <w:pPr>
        <w:spacing w:before="91"/>
        <w:ind w:left="111" w:right="0" w:firstLine="0"/>
        <w:jc w:val="both"/>
        <w:rPr>
          <w:sz w:val="20"/>
        </w:rPr>
      </w:pPr>
      <w:r>
        <w:rPr>
          <w:color w:val="76787A"/>
          <w:sz w:val="20"/>
          <w:vertAlign w:val="superscript"/>
        </w:rPr>
        <w:t>167</w:t>
      </w:r>
      <w:r>
        <w:rPr>
          <w:color w:val="76787A"/>
          <w:spacing w:val="-19"/>
          <w:sz w:val="20"/>
          <w:vertAlign w:val="baseline"/>
        </w:rPr>
        <w:t> </w:t>
      </w:r>
      <w:r>
        <w:rPr>
          <w:color w:val="231F20"/>
          <w:sz w:val="20"/>
          <w:vertAlign w:val="baseline"/>
        </w:rPr>
        <w:t>(</w:t>
      </w:r>
      <w:r>
        <w:rPr>
          <w:color w:val="231F20"/>
          <w:spacing w:val="55"/>
          <w:w w:val="150"/>
          <w:sz w:val="20"/>
          <w:vertAlign w:val="baseline"/>
        </w:rPr>
        <w:t> </w:t>
      </w:r>
      <w:r>
        <w:rPr>
          <w:color w:val="231F20"/>
          <w:sz w:val="20"/>
          <w:vertAlign w:val="baseline"/>
        </w:rPr>
        <w:t>)</w:t>
      </w:r>
      <w:r>
        <w:rPr>
          <w:color w:val="231F20"/>
          <w:spacing w:val="-11"/>
          <w:sz w:val="20"/>
          <w:vertAlign w:val="baseline"/>
        </w:rPr>
        <w:t> </w:t>
      </w:r>
      <w:r>
        <w:rPr>
          <w:color w:val="231F20"/>
          <w:sz w:val="20"/>
          <w:vertAlign w:val="baseline"/>
        </w:rPr>
        <w:t>Le</w:t>
      </w:r>
      <w:r>
        <w:rPr>
          <w:color w:val="231F20"/>
          <w:spacing w:val="-13"/>
          <w:sz w:val="20"/>
          <w:vertAlign w:val="baseline"/>
        </w:rPr>
        <w:t> </w:t>
      </w:r>
      <w:r>
        <w:rPr>
          <w:color w:val="231F20"/>
          <w:sz w:val="20"/>
          <w:vertAlign w:val="baseline"/>
        </w:rPr>
        <w:t>candidat</w:t>
      </w:r>
      <w:r>
        <w:rPr>
          <w:color w:val="231F20"/>
          <w:spacing w:val="-12"/>
          <w:sz w:val="20"/>
          <w:vertAlign w:val="baseline"/>
        </w:rPr>
        <w:t> </w:t>
      </w:r>
      <w:r>
        <w:rPr>
          <w:color w:val="231F20"/>
          <w:sz w:val="20"/>
          <w:vertAlign w:val="baseline"/>
        </w:rPr>
        <w:t>à</w:t>
      </w:r>
      <w:r>
        <w:rPr>
          <w:color w:val="231F20"/>
          <w:spacing w:val="-13"/>
          <w:sz w:val="20"/>
          <w:vertAlign w:val="baseline"/>
        </w:rPr>
        <w:t> </w:t>
      </w:r>
      <w:r>
        <w:rPr>
          <w:color w:val="231F20"/>
          <w:sz w:val="20"/>
          <w:vertAlign w:val="baseline"/>
        </w:rPr>
        <w:t>l’élection</w:t>
      </w:r>
      <w:r>
        <w:rPr>
          <w:color w:val="231F20"/>
          <w:spacing w:val="-11"/>
          <w:sz w:val="20"/>
          <w:vertAlign w:val="baseline"/>
        </w:rPr>
        <w:t> </w:t>
      </w:r>
      <w:r>
        <w:rPr>
          <w:color w:val="231F20"/>
          <w:sz w:val="20"/>
          <w:vertAlign w:val="baseline"/>
        </w:rPr>
        <w:t>présidentielle</w:t>
      </w:r>
      <w:r>
        <w:rPr>
          <w:color w:val="231F20"/>
          <w:spacing w:val="-13"/>
          <w:sz w:val="20"/>
          <w:vertAlign w:val="baseline"/>
        </w:rPr>
        <w:t> </w:t>
      </w:r>
      <w:r>
        <w:rPr>
          <w:color w:val="231F20"/>
          <w:sz w:val="20"/>
          <w:vertAlign w:val="baseline"/>
        </w:rPr>
        <w:t>doit</w:t>
      </w:r>
      <w:r>
        <w:rPr>
          <w:color w:val="231F20"/>
          <w:spacing w:val="-12"/>
          <w:sz w:val="20"/>
          <w:vertAlign w:val="baseline"/>
        </w:rPr>
        <w:t> </w:t>
      </w:r>
      <w:r>
        <w:rPr>
          <w:color w:val="231F20"/>
          <w:sz w:val="20"/>
          <w:vertAlign w:val="baseline"/>
        </w:rPr>
        <w:t>être</w:t>
      </w:r>
      <w:r>
        <w:rPr>
          <w:color w:val="231F20"/>
          <w:spacing w:val="-10"/>
          <w:sz w:val="20"/>
          <w:vertAlign w:val="baseline"/>
        </w:rPr>
        <w:t> </w:t>
      </w:r>
      <w:r>
        <w:rPr>
          <w:color w:val="231F20"/>
          <w:sz w:val="20"/>
          <w:vertAlign w:val="baseline"/>
        </w:rPr>
        <w:t>ivoirien</w:t>
      </w:r>
      <w:r>
        <w:rPr>
          <w:color w:val="231F20"/>
          <w:spacing w:val="-12"/>
          <w:sz w:val="20"/>
          <w:vertAlign w:val="baseline"/>
        </w:rPr>
        <w:t> </w:t>
      </w:r>
      <w:r>
        <w:rPr>
          <w:color w:val="231F20"/>
          <w:sz w:val="20"/>
          <w:vertAlign w:val="baseline"/>
        </w:rPr>
        <w:t>de</w:t>
      </w:r>
      <w:r>
        <w:rPr>
          <w:color w:val="231F20"/>
          <w:spacing w:val="-10"/>
          <w:sz w:val="20"/>
          <w:vertAlign w:val="baseline"/>
        </w:rPr>
        <w:t> </w:t>
      </w:r>
      <w:r>
        <w:rPr>
          <w:color w:val="231F20"/>
          <w:sz w:val="20"/>
          <w:vertAlign w:val="baseline"/>
        </w:rPr>
        <w:t>naissance,</w:t>
      </w:r>
      <w:r>
        <w:rPr>
          <w:color w:val="231F20"/>
          <w:spacing w:val="-12"/>
          <w:sz w:val="20"/>
          <w:vertAlign w:val="baseline"/>
        </w:rPr>
        <w:t> </w:t>
      </w:r>
      <w:r>
        <w:rPr>
          <w:color w:val="231F20"/>
          <w:sz w:val="20"/>
          <w:vertAlign w:val="baseline"/>
        </w:rPr>
        <w:t>né</w:t>
      </w:r>
      <w:r>
        <w:rPr>
          <w:color w:val="231F20"/>
          <w:spacing w:val="-13"/>
          <w:sz w:val="20"/>
          <w:vertAlign w:val="baseline"/>
        </w:rPr>
        <w:t> </w:t>
      </w:r>
      <w:r>
        <w:rPr>
          <w:color w:val="231F20"/>
          <w:sz w:val="20"/>
          <w:vertAlign w:val="baseline"/>
        </w:rPr>
        <w:t>de</w:t>
      </w:r>
      <w:r>
        <w:rPr>
          <w:color w:val="231F20"/>
          <w:spacing w:val="-12"/>
          <w:sz w:val="20"/>
          <w:vertAlign w:val="baseline"/>
        </w:rPr>
        <w:t> </w:t>
      </w:r>
      <w:r>
        <w:rPr>
          <w:color w:val="231F20"/>
          <w:spacing w:val="-4"/>
          <w:sz w:val="20"/>
          <w:vertAlign w:val="baseline"/>
        </w:rPr>
        <w:t>père</w:t>
      </w:r>
    </w:p>
    <w:p>
      <w:pPr>
        <w:spacing w:before="1"/>
        <w:ind w:left="111" w:right="104" w:firstLine="0"/>
        <w:jc w:val="both"/>
        <w:rPr>
          <w:sz w:val="20"/>
        </w:rPr>
      </w:pPr>
      <w:r>
        <w:rPr>
          <w:color w:val="231F20"/>
          <w:spacing w:val="-4"/>
          <w:sz w:val="20"/>
        </w:rPr>
        <w:t>et</w:t>
      </w:r>
      <w:r>
        <w:rPr>
          <w:color w:val="231F20"/>
          <w:spacing w:val="-9"/>
          <w:sz w:val="20"/>
        </w:rPr>
        <w:t> </w:t>
      </w:r>
      <w:r>
        <w:rPr>
          <w:color w:val="231F20"/>
          <w:spacing w:val="-4"/>
          <w:sz w:val="20"/>
        </w:rPr>
        <w:t>de</w:t>
      </w:r>
      <w:r>
        <w:rPr>
          <w:color w:val="231F20"/>
          <w:spacing w:val="-8"/>
          <w:sz w:val="20"/>
        </w:rPr>
        <w:t> </w:t>
      </w:r>
      <w:r>
        <w:rPr>
          <w:color w:val="231F20"/>
          <w:spacing w:val="-4"/>
          <w:sz w:val="20"/>
        </w:rPr>
        <w:t>mère</w:t>
      </w:r>
      <w:r>
        <w:rPr>
          <w:color w:val="231F20"/>
          <w:spacing w:val="-9"/>
          <w:sz w:val="20"/>
        </w:rPr>
        <w:t> </w:t>
      </w:r>
      <w:r>
        <w:rPr>
          <w:color w:val="231F20"/>
          <w:spacing w:val="-4"/>
          <w:sz w:val="20"/>
        </w:rPr>
        <w:t>eux-mêmes</w:t>
      </w:r>
      <w:r>
        <w:rPr>
          <w:color w:val="231F20"/>
          <w:spacing w:val="-8"/>
          <w:sz w:val="20"/>
        </w:rPr>
        <w:t> </w:t>
      </w:r>
      <w:r>
        <w:rPr>
          <w:color w:val="231F20"/>
          <w:spacing w:val="-4"/>
          <w:sz w:val="20"/>
        </w:rPr>
        <w:t>ivoiriens</w:t>
      </w:r>
      <w:r>
        <w:rPr>
          <w:color w:val="231F20"/>
          <w:spacing w:val="-9"/>
          <w:sz w:val="20"/>
        </w:rPr>
        <w:t> </w:t>
      </w:r>
      <w:r>
        <w:rPr>
          <w:color w:val="231F20"/>
          <w:spacing w:val="-4"/>
          <w:sz w:val="20"/>
        </w:rPr>
        <w:t>de</w:t>
      </w:r>
      <w:r>
        <w:rPr>
          <w:color w:val="231F20"/>
          <w:spacing w:val="-8"/>
          <w:sz w:val="20"/>
        </w:rPr>
        <w:t> </w:t>
      </w:r>
      <w:r>
        <w:rPr>
          <w:color w:val="231F20"/>
          <w:spacing w:val="-4"/>
          <w:sz w:val="20"/>
        </w:rPr>
        <w:t>naissance.Il</w:t>
      </w:r>
      <w:r>
        <w:rPr>
          <w:color w:val="231F20"/>
          <w:spacing w:val="-9"/>
          <w:sz w:val="20"/>
        </w:rPr>
        <w:t> </w:t>
      </w:r>
      <w:r>
        <w:rPr>
          <w:color w:val="231F20"/>
          <w:spacing w:val="-4"/>
          <w:sz w:val="20"/>
        </w:rPr>
        <w:t>doit</w:t>
      </w:r>
      <w:r>
        <w:rPr>
          <w:color w:val="231F20"/>
          <w:spacing w:val="-8"/>
          <w:sz w:val="20"/>
        </w:rPr>
        <w:t> </w:t>
      </w:r>
      <w:r>
        <w:rPr>
          <w:color w:val="231F20"/>
          <w:spacing w:val="-4"/>
          <w:sz w:val="20"/>
        </w:rPr>
        <w:t>avoir</w:t>
      </w:r>
      <w:r>
        <w:rPr>
          <w:color w:val="231F20"/>
          <w:spacing w:val="-9"/>
          <w:sz w:val="20"/>
        </w:rPr>
        <w:t> </w:t>
      </w:r>
      <w:r>
        <w:rPr>
          <w:color w:val="231F20"/>
          <w:spacing w:val="-4"/>
          <w:sz w:val="20"/>
        </w:rPr>
        <w:t>résidé</w:t>
      </w:r>
      <w:r>
        <w:rPr>
          <w:color w:val="231F20"/>
          <w:spacing w:val="-8"/>
          <w:sz w:val="20"/>
        </w:rPr>
        <w:t> </w:t>
      </w:r>
      <w:r>
        <w:rPr>
          <w:color w:val="231F20"/>
          <w:spacing w:val="-4"/>
          <w:sz w:val="20"/>
        </w:rPr>
        <w:t>en</w:t>
      </w:r>
      <w:r>
        <w:rPr>
          <w:color w:val="231F20"/>
          <w:spacing w:val="-9"/>
          <w:sz w:val="20"/>
        </w:rPr>
        <w:t> </w:t>
      </w:r>
      <w:r>
        <w:rPr>
          <w:color w:val="231F20"/>
          <w:spacing w:val="-4"/>
          <w:sz w:val="20"/>
        </w:rPr>
        <w:t>Côte</w:t>
      </w:r>
      <w:r>
        <w:rPr>
          <w:color w:val="231F20"/>
          <w:spacing w:val="-8"/>
          <w:sz w:val="20"/>
        </w:rPr>
        <w:t> </w:t>
      </w:r>
      <w:r>
        <w:rPr>
          <w:color w:val="231F20"/>
          <w:spacing w:val="-4"/>
          <w:sz w:val="20"/>
        </w:rPr>
        <w:t>d’Ivoire</w:t>
      </w:r>
      <w:r>
        <w:rPr>
          <w:color w:val="231F20"/>
          <w:spacing w:val="-9"/>
          <w:sz w:val="20"/>
        </w:rPr>
        <w:t> </w:t>
      </w:r>
      <w:r>
        <w:rPr>
          <w:color w:val="231F20"/>
          <w:spacing w:val="-4"/>
          <w:sz w:val="20"/>
        </w:rPr>
        <w:t>de</w:t>
      </w:r>
      <w:r>
        <w:rPr>
          <w:color w:val="231F20"/>
          <w:spacing w:val="-8"/>
          <w:sz w:val="20"/>
        </w:rPr>
        <w:t> </w:t>
      </w:r>
      <w:r>
        <w:rPr>
          <w:color w:val="231F20"/>
          <w:spacing w:val="-4"/>
          <w:sz w:val="20"/>
        </w:rPr>
        <w:t>façon </w:t>
      </w:r>
      <w:r>
        <w:rPr>
          <w:color w:val="231F20"/>
          <w:sz w:val="20"/>
        </w:rPr>
        <w:t>continue pendant les</w:t>
      </w:r>
      <w:r>
        <w:rPr>
          <w:color w:val="231F20"/>
          <w:spacing w:val="-1"/>
          <w:sz w:val="20"/>
        </w:rPr>
        <w:t> </w:t>
      </w:r>
      <w:r>
        <w:rPr>
          <w:color w:val="231F20"/>
          <w:sz w:val="20"/>
        </w:rPr>
        <w:t>dix années précédant la date des élections.Il doit n’avoir jamais </w:t>
      </w:r>
      <w:r>
        <w:rPr>
          <w:color w:val="231F20"/>
          <w:spacing w:val="-4"/>
          <w:sz w:val="20"/>
        </w:rPr>
        <w:t>renoncé</w:t>
      </w:r>
      <w:r>
        <w:rPr>
          <w:color w:val="231F20"/>
          <w:spacing w:val="-9"/>
          <w:sz w:val="20"/>
        </w:rPr>
        <w:t> </w:t>
      </w:r>
      <w:r>
        <w:rPr>
          <w:color w:val="231F20"/>
          <w:spacing w:val="-4"/>
          <w:sz w:val="20"/>
        </w:rPr>
        <w:t>à</w:t>
      </w:r>
      <w:r>
        <w:rPr>
          <w:color w:val="231F20"/>
          <w:spacing w:val="-8"/>
          <w:sz w:val="20"/>
        </w:rPr>
        <w:t> </w:t>
      </w:r>
      <w:r>
        <w:rPr>
          <w:color w:val="231F20"/>
          <w:spacing w:val="-4"/>
          <w:sz w:val="20"/>
        </w:rPr>
        <w:t>la</w:t>
      </w:r>
      <w:r>
        <w:rPr>
          <w:color w:val="231F20"/>
          <w:spacing w:val="-9"/>
          <w:sz w:val="20"/>
        </w:rPr>
        <w:t> </w:t>
      </w:r>
      <w:r>
        <w:rPr>
          <w:color w:val="231F20"/>
          <w:spacing w:val="-4"/>
          <w:sz w:val="20"/>
        </w:rPr>
        <w:t>nationalité</w:t>
      </w:r>
      <w:r>
        <w:rPr>
          <w:color w:val="231F20"/>
          <w:spacing w:val="-8"/>
          <w:sz w:val="20"/>
        </w:rPr>
        <w:t> </w:t>
      </w:r>
      <w:r>
        <w:rPr>
          <w:color w:val="231F20"/>
          <w:spacing w:val="-4"/>
          <w:sz w:val="20"/>
        </w:rPr>
        <w:t>ivoirienne.Le</w:t>
      </w:r>
      <w:r>
        <w:rPr>
          <w:color w:val="231F20"/>
          <w:spacing w:val="-7"/>
          <w:sz w:val="20"/>
        </w:rPr>
        <w:t> </w:t>
      </w:r>
      <w:r>
        <w:rPr>
          <w:color w:val="231F20"/>
          <w:spacing w:val="-4"/>
          <w:sz w:val="20"/>
        </w:rPr>
        <w:t>candidat</w:t>
      </w:r>
      <w:r>
        <w:rPr>
          <w:color w:val="231F20"/>
          <w:spacing w:val="-9"/>
          <w:sz w:val="20"/>
        </w:rPr>
        <w:t> </w:t>
      </w:r>
      <w:r>
        <w:rPr>
          <w:color w:val="231F20"/>
          <w:spacing w:val="-4"/>
          <w:sz w:val="20"/>
        </w:rPr>
        <w:t>à</w:t>
      </w:r>
      <w:r>
        <w:rPr>
          <w:color w:val="231F20"/>
          <w:spacing w:val="-7"/>
          <w:sz w:val="20"/>
        </w:rPr>
        <w:t> </w:t>
      </w:r>
      <w:r>
        <w:rPr>
          <w:color w:val="231F20"/>
          <w:spacing w:val="-4"/>
          <w:sz w:val="20"/>
        </w:rPr>
        <w:t>la</w:t>
      </w:r>
      <w:r>
        <w:rPr>
          <w:color w:val="231F20"/>
          <w:spacing w:val="-7"/>
          <w:sz w:val="20"/>
        </w:rPr>
        <w:t> </w:t>
      </w:r>
      <w:r>
        <w:rPr>
          <w:color w:val="231F20"/>
          <w:spacing w:val="-4"/>
          <w:sz w:val="20"/>
        </w:rPr>
        <w:t>Présidence</w:t>
      </w:r>
      <w:r>
        <w:rPr>
          <w:color w:val="231F20"/>
          <w:spacing w:val="-9"/>
          <w:sz w:val="20"/>
        </w:rPr>
        <w:t> </w:t>
      </w:r>
      <w:r>
        <w:rPr>
          <w:color w:val="231F20"/>
          <w:spacing w:val="-4"/>
          <w:sz w:val="20"/>
        </w:rPr>
        <w:t>de la</w:t>
      </w:r>
      <w:r>
        <w:rPr>
          <w:color w:val="231F20"/>
          <w:spacing w:val="-5"/>
          <w:sz w:val="20"/>
        </w:rPr>
        <w:t> </w:t>
      </w:r>
      <w:r>
        <w:rPr>
          <w:color w:val="231F20"/>
          <w:spacing w:val="-4"/>
          <w:sz w:val="20"/>
        </w:rPr>
        <w:t>République,</w:t>
      </w:r>
      <w:r>
        <w:rPr>
          <w:color w:val="231F20"/>
          <w:spacing w:val="-7"/>
          <w:sz w:val="20"/>
        </w:rPr>
        <w:t> </w:t>
      </w:r>
      <w:r>
        <w:rPr>
          <w:color w:val="231F20"/>
          <w:spacing w:val="-4"/>
          <w:sz w:val="20"/>
        </w:rPr>
        <w:t>jouissant </w:t>
      </w:r>
      <w:r>
        <w:rPr>
          <w:color w:val="231F20"/>
          <w:sz w:val="20"/>
        </w:rPr>
        <w:t>d’une autre nationalité, n’est éligible que s’il renonce expressément et formellement </w:t>
      </w:r>
      <w:r>
        <w:rPr>
          <w:color w:val="231F20"/>
          <w:spacing w:val="-4"/>
          <w:sz w:val="20"/>
        </w:rPr>
        <w:t>douze</w:t>
      </w:r>
      <w:r>
        <w:rPr>
          <w:color w:val="231F20"/>
          <w:spacing w:val="-9"/>
          <w:sz w:val="20"/>
        </w:rPr>
        <w:t> </w:t>
      </w:r>
      <w:r>
        <w:rPr>
          <w:color w:val="231F20"/>
          <w:spacing w:val="-4"/>
          <w:sz w:val="20"/>
        </w:rPr>
        <w:t>mois</w:t>
      </w:r>
      <w:r>
        <w:rPr>
          <w:color w:val="231F20"/>
          <w:spacing w:val="-8"/>
          <w:sz w:val="20"/>
        </w:rPr>
        <w:t> </w:t>
      </w:r>
      <w:r>
        <w:rPr>
          <w:color w:val="231F20"/>
          <w:spacing w:val="-4"/>
          <w:sz w:val="20"/>
        </w:rPr>
        <w:t>au</w:t>
      </w:r>
      <w:r>
        <w:rPr>
          <w:color w:val="231F20"/>
          <w:spacing w:val="-9"/>
          <w:sz w:val="20"/>
        </w:rPr>
        <w:t> </w:t>
      </w:r>
      <w:r>
        <w:rPr>
          <w:color w:val="231F20"/>
          <w:spacing w:val="-4"/>
          <w:sz w:val="20"/>
        </w:rPr>
        <w:t>moins</w:t>
      </w:r>
      <w:r>
        <w:rPr>
          <w:color w:val="231F20"/>
          <w:spacing w:val="-8"/>
          <w:sz w:val="20"/>
        </w:rPr>
        <w:t> </w:t>
      </w:r>
      <w:r>
        <w:rPr>
          <w:color w:val="231F20"/>
          <w:spacing w:val="-4"/>
          <w:sz w:val="20"/>
        </w:rPr>
        <w:t>avant</w:t>
      </w:r>
      <w:r>
        <w:rPr>
          <w:color w:val="231F20"/>
          <w:spacing w:val="-9"/>
          <w:sz w:val="20"/>
        </w:rPr>
        <w:t> </w:t>
      </w:r>
      <w:r>
        <w:rPr>
          <w:color w:val="231F20"/>
          <w:spacing w:val="-4"/>
          <w:sz w:val="20"/>
        </w:rPr>
        <w:t>la</w:t>
      </w:r>
      <w:r>
        <w:rPr>
          <w:color w:val="231F20"/>
          <w:spacing w:val="-8"/>
          <w:sz w:val="20"/>
        </w:rPr>
        <w:t> </w:t>
      </w:r>
      <w:r>
        <w:rPr>
          <w:color w:val="231F20"/>
          <w:spacing w:val="-4"/>
          <w:sz w:val="20"/>
        </w:rPr>
        <w:t>date</w:t>
      </w:r>
      <w:r>
        <w:rPr>
          <w:color w:val="231F20"/>
          <w:spacing w:val="-9"/>
          <w:sz w:val="20"/>
        </w:rPr>
        <w:t> </w:t>
      </w:r>
      <w:r>
        <w:rPr>
          <w:color w:val="231F20"/>
          <w:spacing w:val="-4"/>
          <w:sz w:val="20"/>
        </w:rPr>
        <w:t>de</w:t>
      </w:r>
      <w:r>
        <w:rPr>
          <w:color w:val="231F20"/>
          <w:spacing w:val="-8"/>
          <w:sz w:val="20"/>
        </w:rPr>
        <w:t> </w:t>
      </w:r>
      <w:r>
        <w:rPr>
          <w:color w:val="231F20"/>
          <w:spacing w:val="-4"/>
          <w:sz w:val="20"/>
        </w:rPr>
        <w:t>dépôt</w:t>
      </w:r>
      <w:r>
        <w:rPr>
          <w:color w:val="231F20"/>
          <w:spacing w:val="-9"/>
          <w:sz w:val="20"/>
        </w:rPr>
        <w:t> </w:t>
      </w:r>
      <w:r>
        <w:rPr>
          <w:color w:val="231F20"/>
          <w:spacing w:val="-4"/>
          <w:sz w:val="20"/>
        </w:rPr>
        <w:t>de</w:t>
      </w:r>
      <w:r>
        <w:rPr>
          <w:color w:val="231F20"/>
          <w:spacing w:val="-8"/>
          <w:sz w:val="20"/>
        </w:rPr>
        <w:t> </w:t>
      </w:r>
      <w:r>
        <w:rPr>
          <w:color w:val="231F20"/>
          <w:spacing w:val="-4"/>
          <w:sz w:val="20"/>
        </w:rPr>
        <w:t>sa</w:t>
      </w:r>
      <w:r>
        <w:rPr>
          <w:color w:val="231F20"/>
          <w:spacing w:val="-9"/>
          <w:sz w:val="20"/>
        </w:rPr>
        <w:t> </w:t>
      </w:r>
      <w:r>
        <w:rPr>
          <w:color w:val="231F20"/>
          <w:spacing w:val="-4"/>
          <w:sz w:val="20"/>
        </w:rPr>
        <w:t>candidature,</w:t>
      </w:r>
      <w:r>
        <w:rPr>
          <w:color w:val="231F20"/>
          <w:spacing w:val="-8"/>
          <w:sz w:val="20"/>
        </w:rPr>
        <w:t> </w:t>
      </w:r>
      <w:r>
        <w:rPr>
          <w:color w:val="231F20"/>
          <w:spacing w:val="-4"/>
          <w:sz w:val="20"/>
        </w:rPr>
        <w:t>à</w:t>
      </w:r>
      <w:r>
        <w:rPr>
          <w:color w:val="231F20"/>
          <w:spacing w:val="-9"/>
          <w:sz w:val="20"/>
        </w:rPr>
        <w:t> </w:t>
      </w:r>
      <w:r>
        <w:rPr>
          <w:color w:val="231F20"/>
          <w:spacing w:val="-4"/>
          <w:sz w:val="20"/>
        </w:rPr>
        <w:t>cette</w:t>
      </w:r>
      <w:r>
        <w:rPr>
          <w:color w:val="231F20"/>
          <w:spacing w:val="-8"/>
          <w:sz w:val="20"/>
        </w:rPr>
        <w:t> </w:t>
      </w:r>
      <w:r>
        <w:rPr>
          <w:color w:val="231F20"/>
          <w:spacing w:val="-4"/>
          <w:sz w:val="20"/>
        </w:rPr>
        <w:t>nationalité</w:t>
      </w:r>
      <w:r>
        <w:rPr>
          <w:color w:val="231F20"/>
          <w:spacing w:val="-9"/>
          <w:sz w:val="20"/>
        </w:rPr>
        <w:t> </w:t>
      </w:r>
      <w:r>
        <w:rPr>
          <w:color w:val="231F20"/>
          <w:spacing w:val="-4"/>
          <w:sz w:val="20"/>
        </w:rPr>
        <w:t>étrangère </w:t>
      </w:r>
      <w:r>
        <w:rPr>
          <w:color w:val="231F20"/>
          <w:sz w:val="20"/>
        </w:rPr>
        <w:t>et si cette renonciation est formellement acceptée par le Gouvernement de cet État </w:t>
      </w:r>
      <w:r>
        <w:rPr>
          <w:color w:val="231F20"/>
          <w:spacing w:val="-2"/>
          <w:sz w:val="20"/>
        </w:rPr>
        <w:t>étranger.”</w:t>
      </w:r>
    </w:p>
    <w:p>
      <w:pPr>
        <w:spacing w:after="0"/>
        <w:jc w:val="both"/>
        <w:rPr>
          <w:sz w:val="20"/>
        </w:rPr>
        <w:sectPr>
          <w:pgSz w:w="8790" w:h="13610"/>
          <w:pgMar w:header="0" w:footer="802" w:top="1060" w:bottom="1000" w:left="880" w:right="880"/>
        </w:sectPr>
      </w:pPr>
    </w:p>
    <w:p>
      <w:pPr>
        <w:pStyle w:val="BodyText"/>
        <w:spacing w:before="66"/>
        <w:ind w:right="101"/>
      </w:pPr>
      <w:r>
        <w:rPr>
          <w:color w:val="231F20"/>
        </w:rPr>
        <w:t>costume-cravate. Il est omniprésent dans les médias, notamment la télévision</w:t>
      </w:r>
      <w:r>
        <w:rPr>
          <w:color w:val="231F20"/>
          <w:spacing w:val="-7"/>
        </w:rPr>
        <w:t> </w:t>
      </w:r>
      <w:r>
        <w:rPr>
          <w:color w:val="231F20"/>
        </w:rPr>
        <w:t>qui</w:t>
      </w:r>
      <w:r>
        <w:rPr>
          <w:color w:val="231F20"/>
          <w:spacing w:val="-7"/>
        </w:rPr>
        <w:t> </w:t>
      </w:r>
      <w:r>
        <w:rPr>
          <w:color w:val="231F20"/>
        </w:rPr>
        <w:t>couvre</w:t>
      </w:r>
      <w:r>
        <w:rPr>
          <w:color w:val="231F20"/>
          <w:spacing w:val="-7"/>
        </w:rPr>
        <w:t> </w:t>
      </w:r>
      <w:r>
        <w:rPr>
          <w:color w:val="231F20"/>
        </w:rPr>
        <w:t>abondamment</w:t>
      </w:r>
      <w:r>
        <w:rPr>
          <w:color w:val="231F20"/>
          <w:spacing w:val="-9"/>
        </w:rPr>
        <w:t> </w:t>
      </w:r>
      <w:r>
        <w:rPr>
          <w:color w:val="231F20"/>
        </w:rPr>
        <w:t>le</w:t>
      </w:r>
      <w:r>
        <w:rPr>
          <w:color w:val="231F20"/>
          <w:spacing w:val="-7"/>
        </w:rPr>
        <w:t> </w:t>
      </w:r>
      <w:r>
        <w:rPr>
          <w:color w:val="231F20"/>
        </w:rPr>
        <w:t>moindre</w:t>
      </w:r>
      <w:r>
        <w:rPr>
          <w:color w:val="231F20"/>
          <w:spacing w:val="-9"/>
        </w:rPr>
        <w:t> </w:t>
      </w:r>
      <w:r>
        <w:rPr>
          <w:color w:val="231F20"/>
        </w:rPr>
        <w:t>de</w:t>
      </w:r>
      <w:r>
        <w:rPr>
          <w:color w:val="231F20"/>
          <w:spacing w:val="-9"/>
        </w:rPr>
        <w:t> </w:t>
      </w:r>
      <w:r>
        <w:rPr>
          <w:color w:val="231F20"/>
        </w:rPr>
        <w:t>ses</w:t>
      </w:r>
      <w:r>
        <w:rPr>
          <w:color w:val="231F20"/>
          <w:spacing w:val="-7"/>
        </w:rPr>
        <w:t> </w:t>
      </w:r>
      <w:r>
        <w:rPr>
          <w:color w:val="231F20"/>
        </w:rPr>
        <w:t>déplacements.</w:t>
      </w:r>
    </w:p>
    <w:p>
      <w:pPr>
        <w:spacing w:before="120"/>
        <w:ind w:left="111" w:right="102" w:firstLine="283"/>
        <w:jc w:val="both"/>
        <w:rPr>
          <w:sz w:val="24"/>
        </w:rPr>
      </w:pPr>
      <w:r>
        <w:rPr>
          <w:color w:val="231F20"/>
          <w:sz w:val="24"/>
        </w:rPr>
        <w:t>Les sujets de tension qui ont provoqué le « putsch de Noël », ressurgissent. La polémique autour du leader du Rassemblement des </w:t>
      </w:r>
      <w:r>
        <w:rPr>
          <w:color w:val="231F20"/>
          <w:spacing w:val="-4"/>
          <w:sz w:val="24"/>
        </w:rPr>
        <w:t>Républicains</w:t>
      </w:r>
      <w:r>
        <w:rPr>
          <w:color w:val="231F20"/>
          <w:spacing w:val="-11"/>
          <w:sz w:val="24"/>
        </w:rPr>
        <w:t> </w:t>
      </w:r>
      <w:r>
        <w:rPr>
          <w:color w:val="231F20"/>
          <w:spacing w:val="-4"/>
          <w:sz w:val="24"/>
        </w:rPr>
        <w:t>(RDR)</w:t>
      </w:r>
      <w:r>
        <w:rPr>
          <w:color w:val="231F20"/>
          <w:spacing w:val="-11"/>
          <w:sz w:val="24"/>
        </w:rPr>
        <w:t> </w:t>
      </w:r>
      <w:r>
        <w:rPr>
          <w:color w:val="231F20"/>
          <w:spacing w:val="-4"/>
          <w:sz w:val="24"/>
        </w:rPr>
        <w:t>Alassane</w:t>
      </w:r>
      <w:r>
        <w:rPr>
          <w:color w:val="231F20"/>
          <w:spacing w:val="-11"/>
          <w:sz w:val="24"/>
        </w:rPr>
        <w:t> </w:t>
      </w:r>
      <w:r>
        <w:rPr>
          <w:color w:val="231F20"/>
          <w:spacing w:val="-4"/>
          <w:sz w:val="24"/>
        </w:rPr>
        <w:t>Ouattara</w:t>
      </w:r>
      <w:r>
        <w:rPr>
          <w:color w:val="231F20"/>
          <w:spacing w:val="-11"/>
          <w:sz w:val="24"/>
        </w:rPr>
        <w:t> </w:t>
      </w:r>
      <w:r>
        <w:rPr>
          <w:color w:val="231F20"/>
          <w:spacing w:val="-4"/>
          <w:sz w:val="24"/>
        </w:rPr>
        <w:t>reprend</w:t>
      </w:r>
      <w:r>
        <w:rPr>
          <w:color w:val="231F20"/>
          <w:spacing w:val="-11"/>
          <w:sz w:val="24"/>
        </w:rPr>
        <w:t> </w:t>
      </w:r>
      <w:r>
        <w:rPr>
          <w:color w:val="231F20"/>
          <w:spacing w:val="-4"/>
          <w:sz w:val="24"/>
        </w:rPr>
        <w:t>de</w:t>
      </w:r>
      <w:r>
        <w:rPr>
          <w:color w:val="231F20"/>
          <w:spacing w:val="-11"/>
          <w:sz w:val="24"/>
        </w:rPr>
        <w:t> </w:t>
      </w:r>
      <w:r>
        <w:rPr>
          <w:color w:val="231F20"/>
          <w:spacing w:val="-4"/>
          <w:sz w:val="24"/>
        </w:rPr>
        <w:t>plus</w:t>
      </w:r>
      <w:r>
        <w:rPr>
          <w:color w:val="231F20"/>
          <w:spacing w:val="-11"/>
          <w:sz w:val="24"/>
        </w:rPr>
        <w:t> </w:t>
      </w:r>
      <w:r>
        <w:rPr>
          <w:color w:val="231F20"/>
          <w:spacing w:val="-4"/>
          <w:sz w:val="24"/>
        </w:rPr>
        <w:t>belle</w:t>
      </w:r>
      <w:r>
        <w:rPr>
          <w:color w:val="231F20"/>
          <w:spacing w:val="-11"/>
          <w:sz w:val="24"/>
        </w:rPr>
        <w:t> </w:t>
      </w:r>
      <w:r>
        <w:rPr>
          <w:color w:val="231F20"/>
          <w:spacing w:val="-4"/>
          <w:sz w:val="24"/>
        </w:rPr>
        <w:t>avec</w:t>
      </w:r>
      <w:r>
        <w:rPr>
          <w:color w:val="231F20"/>
          <w:spacing w:val="-11"/>
          <w:sz w:val="24"/>
        </w:rPr>
        <w:t> </w:t>
      </w:r>
      <w:r>
        <w:rPr>
          <w:color w:val="231F20"/>
          <w:spacing w:val="-4"/>
          <w:sz w:val="24"/>
        </w:rPr>
        <w:t>le</w:t>
      </w:r>
      <w:r>
        <w:rPr>
          <w:color w:val="231F20"/>
          <w:spacing w:val="-11"/>
          <w:sz w:val="24"/>
        </w:rPr>
        <w:t> </w:t>
      </w:r>
      <w:r>
        <w:rPr>
          <w:color w:val="231F20"/>
          <w:spacing w:val="-4"/>
          <w:sz w:val="24"/>
        </w:rPr>
        <w:t>débat </w:t>
      </w:r>
      <w:r>
        <w:rPr>
          <w:color w:val="231F20"/>
          <w:sz w:val="24"/>
        </w:rPr>
        <w:t>sur la nouvelle Constitution. Robert Guei se porte candidat à la présidentielle. Le PDCI refuse de lui apporter sa caution. Il se déclare alors, candidat du peuple et «</w:t>
      </w:r>
      <w:r>
        <w:rPr>
          <w:color w:val="231F20"/>
          <w:spacing w:val="-13"/>
          <w:sz w:val="24"/>
        </w:rPr>
        <w:t> </w:t>
      </w:r>
      <w:r>
        <w:rPr>
          <w:color w:val="231F20"/>
          <w:sz w:val="24"/>
        </w:rPr>
        <w:t>réussit</w:t>
      </w:r>
      <w:r>
        <w:rPr>
          <w:color w:val="231F20"/>
          <w:spacing w:val="-15"/>
          <w:sz w:val="24"/>
        </w:rPr>
        <w:t> </w:t>
      </w:r>
      <w:r>
        <w:rPr>
          <w:color w:val="231F20"/>
          <w:sz w:val="24"/>
        </w:rPr>
        <w:t>» à réunir les 5000 parrainages nécessaires pour competir. Les Ivoiriens ont du mal à comprendre le volte-face</w:t>
      </w:r>
      <w:r>
        <w:rPr>
          <w:color w:val="231F20"/>
          <w:spacing w:val="-15"/>
          <w:sz w:val="24"/>
        </w:rPr>
        <w:t> </w:t>
      </w:r>
      <w:r>
        <w:rPr>
          <w:color w:val="231F20"/>
          <w:sz w:val="24"/>
        </w:rPr>
        <w:t>de</w:t>
      </w:r>
      <w:r>
        <w:rPr>
          <w:color w:val="231F20"/>
          <w:spacing w:val="-15"/>
          <w:sz w:val="24"/>
        </w:rPr>
        <w:t> </w:t>
      </w:r>
      <w:r>
        <w:rPr>
          <w:color w:val="231F20"/>
          <w:sz w:val="24"/>
        </w:rPr>
        <w:t>ce</w:t>
      </w:r>
      <w:r>
        <w:rPr>
          <w:color w:val="231F20"/>
          <w:spacing w:val="-15"/>
          <w:sz w:val="24"/>
        </w:rPr>
        <w:t> </w:t>
      </w:r>
      <w:r>
        <w:rPr>
          <w:color w:val="231F20"/>
          <w:sz w:val="24"/>
        </w:rPr>
        <w:t>général</w:t>
      </w:r>
      <w:r>
        <w:rPr>
          <w:color w:val="231F20"/>
          <w:spacing w:val="-15"/>
          <w:sz w:val="24"/>
        </w:rPr>
        <w:t> </w:t>
      </w:r>
      <w:r>
        <w:rPr>
          <w:color w:val="231F20"/>
          <w:sz w:val="24"/>
        </w:rPr>
        <w:t>qui</w:t>
      </w:r>
      <w:r>
        <w:rPr>
          <w:color w:val="231F20"/>
          <w:spacing w:val="-15"/>
          <w:sz w:val="24"/>
        </w:rPr>
        <w:t> </w:t>
      </w:r>
      <w:r>
        <w:rPr>
          <w:color w:val="231F20"/>
          <w:sz w:val="24"/>
        </w:rPr>
        <w:t>prétendait</w:t>
      </w:r>
      <w:r>
        <w:rPr>
          <w:color w:val="231F20"/>
          <w:spacing w:val="-15"/>
          <w:sz w:val="24"/>
        </w:rPr>
        <w:t> </w:t>
      </w:r>
      <w:r>
        <w:rPr>
          <w:color w:val="231F20"/>
          <w:sz w:val="24"/>
        </w:rPr>
        <w:t>n’avoir</w:t>
      </w:r>
      <w:r>
        <w:rPr>
          <w:color w:val="231F20"/>
          <w:spacing w:val="-15"/>
          <w:sz w:val="24"/>
        </w:rPr>
        <w:t> </w:t>
      </w:r>
      <w:r>
        <w:rPr>
          <w:color w:val="231F20"/>
          <w:sz w:val="24"/>
        </w:rPr>
        <w:t>pris</w:t>
      </w:r>
      <w:r>
        <w:rPr>
          <w:color w:val="231F20"/>
          <w:spacing w:val="-15"/>
          <w:sz w:val="24"/>
        </w:rPr>
        <w:t> </w:t>
      </w:r>
      <w:r>
        <w:rPr>
          <w:color w:val="231F20"/>
          <w:sz w:val="24"/>
        </w:rPr>
        <w:t>le</w:t>
      </w:r>
      <w:r>
        <w:rPr>
          <w:color w:val="231F20"/>
          <w:spacing w:val="-15"/>
          <w:sz w:val="24"/>
        </w:rPr>
        <w:t> </w:t>
      </w:r>
      <w:r>
        <w:rPr>
          <w:color w:val="231F20"/>
          <w:sz w:val="24"/>
        </w:rPr>
        <w:t>pouvoir</w:t>
      </w:r>
      <w:r>
        <w:rPr>
          <w:color w:val="231F20"/>
          <w:spacing w:val="-15"/>
          <w:sz w:val="24"/>
        </w:rPr>
        <w:t> </w:t>
      </w:r>
      <w:r>
        <w:rPr>
          <w:color w:val="231F20"/>
          <w:sz w:val="24"/>
        </w:rPr>
        <w:t>que</w:t>
      </w:r>
      <w:r>
        <w:rPr>
          <w:color w:val="231F20"/>
          <w:spacing w:val="-15"/>
          <w:sz w:val="24"/>
        </w:rPr>
        <w:t> </w:t>
      </w:r>
      <w:r>
        <w:rPr>
          <w:color w:val="231F20"/>
          <w:sz w:val="24"/>
        </w:rPr>
        <w:t>pour</w:t>
      </w:r>
      <w:r>
        <w:rPr>
          <w:color w:val="231F20"/>
          <w:spacing w:val="-15"/>
          <w:sz w:val="24"/>
        </w:rPr>
        <w:t> </w:t>
      </w:r>
      <w:r>
        <w:rPr>
          <w:color w:val="231F20"/>
          <w:sz w:val="24"/>
        </w:rPr>
        <w:t>« </w:t>
      </w:r>
      <w:r>
        <w:rPr>
          <w:color w:val="231F20"/>
          <w:spacing w:val="-2"/>
          <w:sz w:val="24"/>
        </w:rPr>
        <w:t>balayer</w:t>
      </w:r>
      <w:r>
        <w:rPr>
          <w:color w:val="231F20"/>
          <w:spacing w:val="-11"/>
          <w:sz w:val="24"/>
        </w:rPr>
        <w:t> </w:t>
      </w:r>
      <w:r>
        <w:rPr>
          <w:color w:val="231F20"/>
          <w:spacing w:val="-2"/>
          <w:sz w:val="24"/>
        </w:rPr>
        <w:t>la</w:t>
      </w:r>
      <w:r>
        <w:rPr>
          <w:color w:val="231F20"/>
          <w:spacing w:val="-11"/>
          <w:sz w:val="24"/>
        </w:rPr>
        <w:t> </w:t>
      </w:r>
      <w:r>
        <w:rPr>
          <w:color w:val="231F20"/>
          <w:spacing w:val="-2"/>
          <w:sz w:val="24"/>
        </w:rPr>
        <w:t>maison</w:t>
      </w:r>
      <w:r>
        <w:rPr>
          <w:color w:val="231F20"/>
          <w:spacing w:val="-13"/>
          <w:sz w:val="24"/>
        </w:rPr>
        <w:t> </w:t>
      </w:r>
      <w:r>
        <w:rPr>
          <w:color w:val="231F20"/>
          <w:spacing w:val="-2"/>
          <w:sz w:val="24"/>
        </w:rPr>
        <w:t>»</w:t>
      </w:r>
      <w:r>
        <w:rPr>
          <w:color w:val="231F20"/>
          <w:spacing w:val="-8"/>
          <w:sz w:val="24"/>
        </w:rPr>
        <w:t> </w:t>
      </w:r>
      <w:r>
        <w:rPr>
          <w:color w:val="231F20"/>
          <w:spacing w:val="-2"/>
          <w:sz w:val="24"/>
        </w:rPr>
        <w:t>:</w:t>
      </w:r>
      <w:r>
        <w:rPr>
          <w:color w:val="231F20"/>
          <w:spacing w:val="-13"/>
          <w:sz w:val="24"/>
        </w:rPr>
        <w:t> </w:t>
      </w:r>
      <w:r>
        <w:rPr>
          <w:color w:val="231F20"/>
          <w:spacing w:val="-2"/>
          <w:sz w:val="24"/>
        </w:rPr>
        <w:t>«</w:t>
      </w:r>
      <w:r>
        <w:rPr>
          <w:color w:val="231F20"/>
          <w:spacing w:val="-11"/>
          <w:sz w:val="24"/>
        </w:rPr>
        <w:t> </w:t>
      </w:r>
      <w:r>
        <w:rPr>
          <w:color w:val="231F20"/>
          <w:spacing w:val="-2"/>
          <w:sz w:val="24"/>
        </w:rPr>
        <w:t>(…)</w:t>
      </w:r>
      <w:r>
        <w:rPr>
          <w:color w:val="231F20"/>
          <w:spacing w:val="-11"/>
          <w:sz w:val="24"/>
        </w:rPr>
        <w:t> </w:t>
      </w:r>
      <w:r>
        <w:rPr>
          <w:i/>
          <w:color w:val="231F20"/>
          <w:spacing w:val="-2"/>
          <w:sz w:val="24"/>
        </w:rPr>
        <w:t>voyez,</w:t>
      </w:r>
      <w:r>
        <w:rPr>
          <w:i/>
          <w:color w:val="231F20"/>
          <w:spacing w:val="-11"/>
          <w:sz w:val="24"/>
        </w:rPr>
        <w:t> </w:t>
      </w:r>
      <w:r>
        <w:rPr>
          <w:i/>
          <w:color w:val="231F20"/>
          <w:spacing w:val="-2"/>
          <w:sz w:val="24"/>
        </w:rPr>
        <w:t>il</w:t>
      </w:r>
      <w:r>
        <w:rPr>
          <w:i/>
          <w:color w:val="231F20"/>
          <w:spacing w:val="-10"/>
          <w:sz w:val="24"/>
        </w:rPr>
        <w:t> </w:t>
      </w:r>
      <w:r>
        <w:rPr>
          <w:i/>
          <w:color w:val="231F20"/>
          <w:spacing w:val="-2"/>
          <w:sz w:val="24"/>
        </w:rPr>
        <w:t>reste</w:t>
      </w:r>
      <w:r>
        <w:rPr>
          <w:i/>
          <w:color w:val="231F20"/>
          <w:spacing w:val="-11"/>
          <w:sz w:val="24"/>
        </w:rPr>
        <w:t> </w:t>
      </w:r>
      <w:r>
        <w:rPr>
          <w:i/>
          <w:color w:val="231F20"/>
          <w:spacing w:val="-2"/>
          <w:sz w:val="24"/>
        </w:rPr>
        <w:t>beaucoup</w:t>
      </w:r>
      <w:r>
        <w:rPr>
          <w:i/>
          <w:color w:val="231F20"/>
          <w:spacing w:val="-11"/>
          <w:sz w:val="24"/>
        </w:rPr>
        <w:t> </w:t>
      </w:r>
      <w:r>
        <w:rPr>
          <w:i/>
          <w:color w:val="231F20"/>
          <w:spacing w:val="-2"/>
          <w:sz w:val="24"/>
        </w:rPr>
        <w:t>à</w:t>
      </w:r>
      <w:r>
        <w:rPr>
          <w:i/>
          <w:color w:val="231F20"/>
          <w:spacing w:val="-11"/>
          <w:sz w:val="24"/>
        </w:rPr>
        <w:t> </w:t>
      </w:r>
      <w:r>
        <w:rPr>
          <w:i/>
          <w:color w:val="231F20"/>
          <w:spacing w:val="-2"/>
          <w:sz w:val="24"/>
        </w:rPr>
        <w:t>balayer</w:t>
      </w:r>
      <w:r>
        <w:rPr>
          <w:i/>
          <w:color w:val="231F20"/>
          <w:spacing w:val="-10"/>
          <w:sz w:val="24"/>
        </w:rPr>
        <w:t> </w:t>
      </w:r>
      <w:r>
        <w:rPr>
          <w:color w:val="231F20"/>
          <w:spacing w:val="-2"/>
          <w:sz w:val="24"/>
        </w:rPr>
        <w:t>!»</w:t>
      </w:r>
      <w:r>
        <w:rPr>
          <w:color w:val="231F20"/>
          <w:spacing w:val="-11"/>
          <w:sz w:val="24"/>
        </w:rPr>
        <w:t> </w:t>
      </w:r>
      <w:r>
        <w:rPr>
          <w:color w:val="231F20"/>
          <w:spacing w:val="-2"/>
          <w:sz w:val="24"/>
        </w:rPr>
        <w:t>répond- il.</w:t>
      </w:r>
      <w:r>
        <w:rPr>
          <w:color w:val="231F20"/>
          <w:spacing w:val="-9"/>
          <w:sz w:val="24"/>
        </w:rPr>
        <w:t> </w:t>
      </w:r>
      <w:r>
        <w:rPr>
          <w:color w:val="231F20"/>
          <w:spacing w:val="-2"/>
          <w:sz w:val="24"/>
        </w:rPr>
        <w:t>Il</w:t>
      </w:r>
      <w:r>
        <w:rPr>
          <w:color w:val="231F20"/>
          <w:spacing w:val="-9"/>
          <w:sz w:val="24"/>
        </w:rPr>
        <w:t> </w:t>
      </w:r>
      <w:r>
        <w:rPr>
          <w:color w:val="231F20"/>
          <w:spacing w:val="-2"/>
          <w:sz w:val="24"/>
        </w:rPr>
        <w:t>n’a</w:t>
      </w:r>
      <w:r>
        <w:rPr>
          <w:color w:val="231F20"/>
          <w:spacing w:val="-9"/>
          <w:sz w:val="24"/>
        </w:rPr>
        <w:t> </w:t>
      </w:r>
      <w:r>
        <w:rPr>
          <w:color w:val="231F20"/>
          <w:spacing w:val="-2"/>
          <w:sz w:val="24"/>
        </w:rPr>
        <w:t>cure</w:t>
      </w:r>
      <w:r>
        <w:rPr>
          <w:color w:val="231F20"/>
          <w:spacing w:val="-9"/>
          <w:sz w:val="24"/>
        </w:rPr>
        <w:t> </w:t>
      </w:r>
      <w:r>
        <w:rPr>
          <w:color w:val="231F20"/>
          <w:spacing w:val="-2"/>
          <w:sz w:val="24"/>
        </w:rPr>
        <w:t>de</w:t>
      </w:r>
      <w:r>
        <w:rPr>
          <w:color w:val="231F20"/>
          <w:spacing w:val="-9"/>
          <w:sz w:val="24"/>
        </w:rPr>
        <w:t> </w:t>
      </w:r>
      <w:r>
        <w:rPr>
          <w:color w:val="231F20"/>
          <w:spacing w:val="-2"/>
          <w:sz w:val="24"/>
        </w:rPr>
        <w:t>la</w:t>
      </w:r>
      <w:r>
        <w:rPr>
          <w:color w:val="231F20"/>
          <w:spacing w:val="-12"/>
          <w:sz w:val="24"/>
        </w:rPr>
        <w:t> </w:t>
      </w:r>
      <w:r>
        <w:rPr>
          <w:color w:val="231F20"/>
          <w:spacing w:val="-2"/>
          <w:sz w:val="24"/>
        </w:rPr>
        <w:t>réprobation</w:t>
      </w:r>
      <w:r>
        <w:rPr>
          <w:color w:val="231F20"/>
          <w:spacing w:val="-11"/>
          <w:sz w:val="24"/>
        </w:rPr>
        <w:t> </w:t>
      </w:r>
      <w:r>
        <w:rPr>
          <w:color w:val="231F20"/>
          <w:spacing w:val="-2"/>
          <w:sz w:val="24"/>
        </w:rPr>
        <w:t>de</w:t>
      </w:r>
      <w:r>
        <w:rPr>
          <w:color w:val="231F20"/>
          <w:spacing w:val="-8"/>
          <w:sz w:val="24"/>
        </w:rPr>
        <w:t> </w:t>
      </w:r>
      <w:r>
        <w:rPr>
          <w:color w:val="231F20"/>
          <w:spacing w:val="-2"/>
          <w:sz w:val="24"/>
        </w:rPr>
        <w:t>la</w:t>
      </w:r>
      <w:r>
        <w:rPr>
          <w:color w:val="231F20"/>
          <w:spacing w:val="-12"/>
          <w:sz w:val="24"/>
        </w:rPr>
        <w:t> </w:t>
      </w:r>
      <w:r>
        <w:rPr>
          <w:color w:val="231F20"/>
          <w:spacing w:val="-2"/>
          <w:sz w:val="24"/>
        </w:rPr>
        <w:t>Communauté</w:t>
      </w:r>
      <w:r>
        <w:rPr>
          <w:color w:val="231F20"/>
          <w:spacing w:val="-10"/>
          <w:sz w:val="24"/>
        </w:rPr>
        <w:t> </w:t>
      </w:r>
      <w:r>
        <w:rPr>
          <w:color w:val="231F20"/>
          <w:spacing w:val="-2"/>
          <w:sz w:val="24"/>
        </w:rPr>
        <w:t>internationale</w:t>
      </w:r>
      <w:r>
        <w:rPr>
          <w:color w:val="231F20"/>
          <w:spacing w:val="-12"/>
          <w:sz w:val="24"/>
        </w:rPr>
        <w:t> </w:t>
      </w:r>
      <w:r>
        <w:rPr>
          <w:color w:val="231F20"/>
          <w:spacing w:val="-2"/>
          <w:sz w:val="24"/>
        </w:rPr>
        <w:t>:</w:t>
      </w:r>
      <w:r>
        <w:rPr>
          <w:color w:val="231F20"/>
          <w:spacing w:val="-8"/>
          <w:sz w:val="24"/>
        </w:rPr>
        <w:t> </w:t>
      </w:r>
      <w:r>
        <w:rPr>
          <w:color w:val="231F20"/>
          <w:spacing w:val="-2"/>
          <w:sz w:val="24"/>
        </w:rPr>
        <w:t>«</w:t>
      </w:r>
      <w:r>
        <w:rPr>
          <w:color w:val="231F20"/>
          <w:spacing w:val="-11"/>
          <w:sz w:val="24"/>
        </w:rPr>
        <w:t> </w:t>
      </w:r>
      <w:r>
        <w:rPr>
          <w:i/>
          <w:color w:val="231F20"/>
          <w:spacing w:val="-2"/>
          <w:sz w:val="24"/>
        </w:rPr>
        <w:t>Pour</w:t>
      </w:r>
      <w:r>
        <w:rPr>
          <w:i/>
          <w:color w:val="231F20"/>
          <w:spacing w:val="-2"/>
          <w:sz w:val="24"/>
        </w:rPr>
        <w:t> le</w:t>
      </w:r>
      <w:r>
        <w:rPr>
          <w:i/>
          <w:color w:val="231F20"/>
          <w:spacing w:val="-13"/>
          <w:sz w:val="24"/>
        </w:rPr>
        <w:t> </w:t>
      </w:r>
      <w:r>
        <w:rPr>
          <w:i/>
          <w:color w:val="231F20"/>
          <w:spacing w:val="-2"/>
          <w:sz w:val="24"/>
        </w:rPr>
        <w:t>moment,</w:t>
      </w:r>
      <w:r>
        <w:rPr>
          <w:i/>
          <w:color w:val="231F20"/>
          <w:spacing w:val="-13"/>
          <w:sz w:val="24"/>
        </w:rPr>
        <w:t> </w:t>
      </w:r>
      <w:r>
        <w:rPr>
          <w:i/>
          <w:color w:val="231F20"/>
          <w:spacing w:val="-2"/>
          <w:sz w:val="24"/>
        </w:rPr>
        <w:t>la</w:t>
      </w:r>
      <w:r>
        <w:rPr>
          <w:i/>
          <w:color w:val="231F20"/>
          <w:spacing w:val="-13"/>
          <w:sz w:val="24"/>
        </w:rPr>
        <w:t> </w:t>
      </w:r>
      <w:r>
        <w:rPr>
          <w:i/>
          <w:color w:val="231F20"/>
          <w:spacing w:val="-2"/>
          <w:sz w:val="24"/>
        </w:rPr>
        <w:t>politique</w:t>
      </w:r>
      <w:r>
        <w:rPr>
          <w:i/>
          <w:color w:val="231F20"/>
          <w:spacing w:val="-13"/>
          <w:sz w:val="24"/>
        </w:rPr>
        <w:t> </w:t>
      </w:r>
      <w:r>
        <w:rPr>
          <w:i/>
          <w:color w:val="231F20"/>
          <w:spacing w:val="-2"/>
          <w:sz w:val="24"/>
        </w:rPr>
        <w:t>étrangère</w:t>
      </w:r>
      <w:r>
        <w:rPr>
          <w:i/>
          <w:color w:val="231F20"/>
          <w:spacing w:val="-13"/>
          <w:sz w:val="24"/>
        </w:rPr>
        <w:t> </w:t>
      </w:r>
      <w:r>
        <w:rPr>
          <w:i/>
          <w:color w:val="231F20"/>
          <w:spacing w:val="-2"/>
          <w:sz w:val="24"/>
        </w:rPr>
        <w:t>n’est</w:t>
      </w:r>
      <w:r>
        <w:rPr>
          <w:i/>
          <w:color w:val="231F20"/>
          <w:spacing w:val="-13"/>
          <w:sz w:val="24"/>
        </w:rPr>
        <w:t> </w:t>
      </w:r>
      <w:r>
        <w:rPr>
          <w:i/>
          <w:color w:val="231F20"/>
          <w:spacing w:val="-2"/>
          <w:sz w:val="24"/>
        </w:rPr>
        <w:t>pas</w:t>
      </w:r>
      <w:r>
        <w:rPr>
          <w:i/>
          <w:color w:val="231F20"/>
          <w:spacing w:val="-13"/>
          <w:sz w:val="24"/>
        </w:rPr>
        <w:t> </w:t>
      </w:r>
      <w:r>
        <w:rPr>
          <w:i/>
          <w:color w:val="231F20"/>
          <w:spacing w:val="-2"/>
          <w:sz w:val="24"/>
        </w:rPr>
        <w:t>mon</w:t>
      </w:r>
      <w:r>
        <w:rPr>
          <w:i/>
          <w:color w:val="231F20"/>
          <w:spacing w:val="-13"/>
          <w:sz w:val="24"/>
        </w:rPr>
        <w:t> </w:t>
      </w:r>
      <w:r>
        <w:rPr>
          <w:i/>
          <w:color w:val="231F20"/>
          <w:spacing w:val="-2"/>
          <w:sz w:val="24"/>
        </w:rPr>
        <w:t>souci</w:t>
      </w:r>
      <w:r>
        <w:rPr>
          <w:i/>
          <w:color w:val="231F20"/>
          <w:spacing w:val="-13"/>
          <w:sz w:val="24"/>
        </w:rPr>
        <w:t> </w:t>
      </w:r>
      <w:r>
        <w:rPr>
          <w:i/>
          <w:color w:val="231F20"/>
          <w:spacing w:val="-2"/>
          <w:sz w:val="24"/>
        </w:rPr>
        <w:t>numéro</w:t>
      </w:r>
      <w:r>
        <w:rPr>
          <w:i/>
          <w:color w:val="231F20"/>
          <w:spacing w:val="-13"/>
          <w:sz w:val="24"/>
        </w:rPr>
        <w:t> </w:t>
      </w:r>
      <w:r>
        <w:rPr>
          <w:i/>
          <w:color w:val="231F20"/>
          <w:spacing w:val="-2"/>
          <w:sz w:val="24"/>
        </w:rPr>
        <w:t>un.</w:t>
      </w:r>
      <w:r>
        <w:rPr>
          <w:i/>
          <w:color w:val="231F20"/>
          <w:spacing w:val="-13"/>
          <w:sz w:val="24"/>
        </w:rPr>
        <w:t> </w:t>
      </w:r>
      <w:r>
        <w:rPr>
          <w:i/>
          <w:color w:val="231F20"/>
          <w:spacing w:val="-2"/>
          <w:sz w:val="24"/>
        </w:rPr>
        <w:t>Je</w:t>
      </w:r>
      <w:r>
        <w:rPr>
          <w:i/>
          <w:color w:val="231F20"/>
          <w:spacing w:val="-13"/>
          <w:sz w:val="24"/>
        </w:rPr>
        <w:t> </w:t>
      </w:r>
      <w:r>
        <w:rPr>
          <w:i/>
          <w:color w:val="231F20"/>
          <w:spacing w:val="-2"/>
          <w:sz w:val="24"/>
        </w:rPr>
        <w:t>dois </w:t>
      </w:r>
      <w:r>
        <w:rPr>
          <w:i/>
          <w:color w:val="231F20"/>
          <w:sz w:val="24"/>
        </w:rPr>
        <w:t>d’abord mettre le pied à terre dans mon propre pays. Ensuite, je vais </w:t>
      </w:r>
      <w:r>
        <w:rPr>
          <w:i/>
          <w:color w:val="231F20"/>
          <w:spacing w:val="-2"/>
          <w:sz w:val="24"/>
        </w:rPr>
        <w:t>dissiper</w:t>
      </w:r>
      <w:r>
        <w:rPr>
          <w:i/>
          <w:color w:val="231F20"/>
          <w:spacing w:val="-15"/>
          <w:sz w:val="24"/>
        </w:rPr>
        <w:t> </w:t>
      </w:r>
      <w:r>
        <w:rPr>
          <w:i/>
          <w:color w:val="231F20"/>
          <w:spacing w:val="-2"/>
          <w:sz w:val="24"/>
        </w:rPr>
        <w:t>les</w:t>
      </w:r>
      <w:r>
        <w:rPr>
          <w:i/>
          <w:color w:val="231F20"/>
          <w:spacing w:val="-13"/>
          <w:sz w:val="24"/>
        </w:rPr>
        <w:t> </w:t>
      </w:r>
      <w:r>
        <w:rPr>
          <w:i/>
          <w:color w:val="231F20"/>
          <w:spacing w:val="-2"/>
          <w:sz w:val="24"/>
        </w:rPr>
        <w:t>malentendus.</w:t>
      </w:r>
      <w:r>
        <w:rPr>
          <w:i/>
          <w:color w:val="231F20"/>
          <w:spacing w:val="-13"/>
          <w:sz w:val="24"/>
        </w:rPr>
        <w:t> </w:t>
      </w:r>
      <w:r>
        <w:rPr>
          <w:color w:val="231F20"/>
          <w:spacing w:val="-2"/>
          <w:sz w:val="24"/>
        </w:rPr>
        <w:t>»</w:t>
      </w:r>
      <w:r>
        <w:rPr>
          <w:color w:val="231F20"/>
          <w:spacing w:val="-13"/>
          <w:sz w:val="24"/>
        </w:rPr>
        <w:t> </w:t>
      </w:r>
      <w:r>
        <w:rPr>
          <w:color w:val="231F20"/>
          <w:spacing w:val="-2"/>
          <w:sz w:val="24"/>
        </w:rPr>
        <w:t>Paris</w:t>
      </w:r>
      <w:r>
        <w:rPr>
          <w:color w:val="231F20"/>
          <w:spacing w:val="-13"/>
          <w:sz w:val="24"/>
        </w:rPr>
        <w:t> </w:t>
      </w:r>
      <w:r>
        <w:rPr>
          <w:color w:val="231F20"/>
          <w:spacing w:val="-2"/>
          <w:sz w:val="24"/>
        </w:rPr>
        <w:t>et</w:t>
      </w:r>
      <w:r>
        <w:rPr>
          <w:color w:val="231F20"/>
          <w:spacing w:val="-13"/>
          <w:sz w:val="24"/>
        </w:rPr>
        <w:t> </w:t>
      </w:r>
      <w:r>
        <w:rPr>
          <w:color w:val="231F20"/>
          <w:spacing w:val="-2"/>
          <w:sz w:val="24"/>
        </w:rPr>
        <w:t>Washington</w:t>
      </w:r>
      <w:r>
        <w:rPr>
          <w:color w:val="231F20"/>
          <w:spacing w:val="-13"/>
          <w:sz w:val="24"/>
        </w:rPr>
        <w:t> </w:t>
      </w:r>
      <w:r>
        <w:rPr>
          <w:color w:val="231F20"/>
          <w:spacing w:val="-2"/>
          <w:sz w:val="24"/>
        </w:rPr>
        <w:t>le</w:t>
      </w:r>
      <w:r>
        <w:rPr>
          <w:color w:val="231F20"/>
          <w:spacing w:val="-13"/>
          <w:sz w:val="24"/>
        </w:rPr>
        <w:t> </w:t>
      </w:r>
      <w:r>
        <w:rPr>
          <w:color w:val="231F20"/>
          <w:spacing w:val="-2"/>
          <w:sz w:val="24"/>
        </w:rPr>
        <w:t>boycottent</w:t>
      </w:r>
      <w:r>
        <w:rPr>
          <w:color w:val="231F20"/>
          <w:spacing w:val="-13"/>
          <w:sz w:val="24"/>
        </w:rPr>
        <w:t> </w:t>
      </w:r>
      <w:r>
        <w:rPr>
          <w:color w:val="231F20"/>
          <w:spacing w:val="-2"/>
          <w:sz w:val="24"/>
        </w:rPr>
        <w:t>;</w:t>
      </w:r>
      <w:r>
        <w:rPr>
          <w:color w:val="231F20"/>
          <w:spacing w:val="-13"/>
          <w:sz w:val="24"/>
        </w:rPr>
        <w:t> </w:t>
      </w:r>
      <w:r>
        <w:rPr>
          <w:color w:val="231F20"/>
          <w:spacing w:val="-2"/>
          <w:sz w:val="24"/>
        </w:rPr>
        <w:t>la</w:t>
      </w:r>
      <w:r>
        <w:rPr>
          <w:color w:val="231F20"/>
          <w:spacing w:val="-13"/>
          <w:sz w:val="24"/>
        </w:rPr>
        <w:t> </w:t>
      </w:r>
      <w:r>
        <w:rPr>
          <w:color w:val="231F20"/>
          <w:spacing w:val="-2"/>
          <w:sz w:val="24"/>
        </w:rPr>
        <w:t>Banque </w:t>
      </w:r>
      <w:r>
        <w:rPr>
          <w:color w:val="231F20"/>
          <w:sz w:val="24"/>
        </w:rPr>
        <w:t>mondiale suspend ses crédits</w:t>
      </w:r>
      <w:r>
        <w:rPr>
          <w:color w:val="231F20"/>
          <w:spacing w:val="-15"/>
          <w:sz w:val="24"/>
        </w:rPr>
        <w:t> </w:t>
      </w:r>
      <w:r>
        <w:rPr>
          <w:color w:val="231F20"/>
          <w:sz w:val="24"/>
        </w:rPr>
        <w:t>:</w:t>
      </w:r>
      <w:r>
        <w:rPr>
          <w:i/>
          <w:color w:val="231F20"/>
          <w:sz w:val="24"/>
        </w:rPr>
        <w:t>« s’il le faut, on mangera des feuilles de</w:t>
      </w:r>
      <w:r>
        <w:rPr>
          <w:i/>
          <w:color w:val="231F20"/>
          <w:sz w:val="24"/>
        </w:rPr>
        <w:t> manioc.</w:t>
      </w:r>
      <w:r>
        <w:rPr>
          <w:i/>
          <w:color w:val="231F20"/>
          <w:spacing w:val="-15"/>
          <w:sz w:val="24"/>
        </w:rPr>
        <w:t> </w:t>
      </w:r>
      <w:r>
        <w:rPr>
          <w:i/>
          <w:color w:val="231F20"/>
          <w:sz w:val="24"/>
        </w:rPr>
        <w:t>C’est</w:t>
      </w:r>
      <w:r>
        <w:rPr>
          <w:i/>
          <w:color w:val="231F20"/>
          <w:spacing w:val="-4"/>
          <w:sz w:val="24"/>
        </w:rPr>
        <w:t> </w:t>
      </w:r>
      <w:r>
        <w:rPr>
          <w:i/>
          <w:color w:val="231F20"/>
          <w:sz w:val="24"/>
        </w:rPr>
        <w:t>une question de dignité»</w:t>
      </w:r>
      <w:r>
        <w:rPr>
          <w:color w:val="231F20"/>
          <w:sz w:val="24"/>
        </w:rPr>
        <w:t>, s’entête le général soutenu par certains</w:t>
      </w:r>
      <w:r>
        <w:rPr>
          <w:color w:val="231F20"/>
          <w:spacing w:val="22"/>
          <w:sz w:val="24"/>
        </w:rPr>
        <w:t> </w:t>
      </w:r>
      <w:r>
        <w:rPr>
          <w:color w:val="231F20"/>
          <w:sz w:val="24"/>
        </w:rPr>
        <w:t>hommes</w:t>
      </w:r>
      <w:r>
        <w:rPr>
          <w:color w:val="231F20"/>
          <w:spacing w:val="22"/>
          <w:sz w:val="24"/>
        </w:rPr>
        <w:t> </w:t>
      </w:r>
      <w:r>
        <w:rPr>
          <w:color w:val="231F20"/>
          <w:sz w:val="24"/>
        </w:rPr>
        <w:t>politiques</w:t>
      </w:r>
      <w:r>
        <w:rPr>
          <w:color w:val="231F20"/>
          <w:spacing w:val="23"/>
          <w:sz w:val="24"/>
        </w:rPr>
        <w:t> </w:t>
      </w:r>
      <w:r>
        <w:rPr>
          <w:color w:val="231F20"/>
          <w:sz w:val="24"/>
        </w:rPr>
        <w:t>«</w:t>
      </w:r>
      <w:r>
        <w:rPr>
          <w:color w:val="231F20"/>
          <w:spacing w:val="-12"/>
          <w:sz w:val="24"/>
        </w:rPr>
        <w:t> </w:t>
      </w:r>
      <w:r>
        <w:rPr>
          <w:color w:val="231F20"/>
          <w:sz w:val="24"/>
        </w:rPr>
        <w:t>mangecrates</w:t>
      </w:r>
      <w:r>
        <w:rPr>
          <w:color w:val="231F20"/>
          <w:spacing w:val="-2"/>
          <w:sz w:val="24"/>
        </w:rPr>
        <w:t> </w:t>
      </w:r>
      <w:r>
        <w:rPr>
          <w:color w:val="231F20"/>
          <w:sz w:val="24"/>
          <w:vertAlign w:val="superscript"/>
        </w:rPr>
        <w:t>168</w:t>
      </w:r>
      <w:r>
        <w:rPr>
          <w:color w:val="231F20"/>
          <w:sz w:val="24"/>
          <w:vertAlign w:val="baseline"/>
        </w:rPr>
        <w:t>».</w:t>
      </w:r>
      <w:r>
        <w:rPr>
          <w:color w:val="231F20"/>
          <w:spacing w:val="24"/>
          <w:sz w:val="24"/>
          <w:vertAlign w:val="baseline"/>
        </w:rPr>
        <w:t> </w:t>
      </w:r>
      <w:r>
        <w:rPr>
          <w:color w:val="231F20"/>
          <w:sz w:val="24"/>
          <w:vertAlign w:val="baseline"/>
        </w:rPr>
        <w:t>Il</w:t>
      </w:r>
      <w:r>
        <w:rPr>
          <w:color w:val="231F20"/>
          <w:spacing w:val="23"/>
          <w:sz w:val="24"/>
          <w:vertAlign w:val="baseline"/>
        </w:rPr>
        <w:t> </w:t>
      </w:r>
      <w:r>
        <w:rPr>
          <w:color w:val="231F20"/>
          <w:sz w:val="24"/>
          <w:vertAlign w:val="baseline"/>
        </w:rPr>
        <w:t>rejoint</w:t>
      </w:r>
      <w:r>
        <w:rPr>
          <w:color w:val="231F20"/>
          <w:spacing w:val="23"/>
          <w:sz w:val="24"/>
          <w:vertAlign w:val="baseline"/>
        </w:rPr>
        <w:t> </w:t>
      </w:r>
      <w:r>
        <w:rPr>
          <w:color w:val="231F20"/>
          <w:sz w:val="24"/>
          <w:vertAlign w:val="baseline"/>
        </w:rPr>
        <w:t>le</w:t>
      </w:r>
      <w:r>
        <w:rPr>
          <w:color w:val="231F20"/>
          <w:spacing w:val="22"/>
          <w:sz w:val="24"/>
          <w:vertAlign w:val="baseline"/>
        </w:rPr>
        <w:t> </w:t>
      </w:r>
      <w:r>
        <w:rPr>
          <w:color w:val="231F20"/>
          <w:sz w:val="24"/>
          <w:vertAlign w:val="baseline"/>
        </w:rPr>
        <w:t>camp</w:t>
      </w:r>
      <w:r>
        <w:rPr>
          <w:color w:val="231F20"/>
          <w:spacing w:val="23"/>
          <w:sz w:val="24"/>
          <w:vertAlign w:val="baseline"/>
        </w:rPr>
        <w:t> </w:t>
      </w:r>
      <w:r>
        <w:rPr>
          <w:color w:val="231F20"/>
          <w:spacing w:val="-5"/>
          <w:sz w:val="24"/>
          <w:vertAlign w:val="baseline"/>
        </w:rPr>
        <w:t>des</w:t>
      </w:r>
    </w:p>
    <w:p>
      <w:pPr>
        <w:pStyle w:val="BodyText"/>
        <w:spacing w:before="1"/>
        <w:ind w:right="102"/>
      </w:pPr>
      <w:r>
        <w:rPr>
          <w:color w:val="231F20"/>
        </w:rPr>
        <w:t>«</w:t>
      </w:r>
      <w:r>
        <w:rPr>
          <w:color w:val="231F20"/>
          <w:spacing w:val="-15"/>
        </w:rPr>
        <w:t> </w:t>
      </w:r>
      <w:r>
        <w:rPr>
          <w:color w:val="231F20"/>
        </w:rPr>
        <w:t>tout</w:t>
      </w:r>
      <w:r>
        <w:rPr>
          <w:color w:val="231F20"/>
          <w:spacing w:val="-8"/>
        </w:rPr>
        <w:t> </w:t>
      </w:r>
      <w:r>
        <w:rPr>
          <w:color w:val="231F20"/>
        </w:rPr>
        <w:t>sauf</w:t>
      </w:r>
      <w:r>
        <w:rPr>
          <w:color w:val="231F20"/>
          <w:spacing w:val="-4"/>
        </w:rPr>
        <w:t> </w:t>
      </w:r>
      <w:r>
        <w:rPr>
          <w:color w:val="231F20"/>
        </w:rPr>
        <w:t>Ouattara</w:t>
      </w:r>
      <w:r>
        <w:rPr>
          <w:color w:val="231F20"/>
          <w:spacing w:val="-15"/>
        </w:rPr>
        <w:t> </w:t>
      </w:r>
      <w:r>
        <w:rPr>
          <w:color w:val="231F20"/>
        </w:rPr>
        <w:t>».</w:t>
      </w:r>
      <w:r>
        <w:rPr>
          <w:color w:val="231F20"/>
          <w:spacing w:val="-6"/>
        </w:rPr>
        <w:t> </w:t>
      </w:r>
      <w:r>
        <w:rPr>
          <w:color w:val="231F20"/>
        </w:rPr>
        <w:t>C’est</w:t>
      </w:r>
      <w:r>
        <w:rPr>
          <w:color w:val="231F20"/>
          <w:spacing w:val="-3"/>
        </w:rPr>
        <w:t> </w:t>
      </w:r>
      <w:r>
        <w:rPr>
          <w:color w:val="231F20"/>
        </w:rPr>
        <w:t>la</w:t>
      </w:r>
      <w:r>
        <w:rPr>
          <w:color w:val="231F20"/>
          <w:spacing w:val="-5"/>
        </w:rPr>
        <w:t> </w:t>
      </w:r>
      <w:r>
        <w:rPr>
          <w:color w:val="231F20"/>
        </w:rPr>
        <w:t>rupture</w:t>
      </w:r>
      <w:r>
        <w:rPr>
          <w:color w:val="231F20"/>
          <w:spacing w:val="-3"/>
        </w:rPr>
        <w:t> </w:t>
      </w:r>
      <w:r>
        <w:rPr>
          <w:color w:val="231F20"/>
        </w:rPr>
        <w:t>avec</w:t>
      </w:r>
      <w:r>
        <w:rPr>
          <w:color w:val="231F20"/>
          <w:spacing w:val="-4"/>
        </w:rPr>
        <w:t> </w:t>
      </w:r>
      <w:r>
        <w:rPr>
          <w:color w:val="231F20"/>
        </w:rPr>
        <w:t>ses</w:t>
      </w:r>
      <w:r>
        <w:rPr>
          <w:color w:val="231F20"/>
          <w:spacing w:val="-4"/>
        </w:rPr>
        <w:t> </w:t>
      </w:r>
      <w:r>
        <w:rPr>
          <w:color w:val="231F20"/>
        </w:rPr>
        <w:t>frères</w:t>
      </w:r>
      <w:r>
        <w:rPr>
          <w:color w:val="231F20"/>
          <w:spacing w:val="-4"/>
        </w:rPr>
        <w:t> </w:t>
      </w:r>
      <w:r>
        <w:rPr>
          <w:color w:val="231F20"/>
        </w:rPr>
        <w:t>d’armes,</w:t>
      </w:r>
      <w:r>
        <w:rPr>
          <w:color w:val="231F20"/>
          <w:spacing w:val="-6"/>
        </w:rPr>
        <w:t> </w:t>
      </w:r>
      <w:r>
        <w:rPr>
          <w:color w:val="231F20"/>
        </w:rPr>
        <w:t>proches de Ouattara, qui avaient fait de lui, «</w:t>
      </w:r>
      <w:r>
        <w:rPr>
          <w:color w:val="231F20"/>
          <w:spacing w:val="-12"/>
        </w:rPr>
        <w:t> </w:t>
      </w:r>
      <w:r>
        <w:rPr>
          <w:color w:val="231F20"/>
        </w:rPr>
        <w:t>un roi. » Parmi eux, des sous- officiers qui avaient été décisifs dans «</w:t>
      </w:r>
      <w:r>
        <w:rPr>
          <w:color w:val="231F20"/>
          <w:spacing w:val="-10"/>
        </w:rPr>
        <w:t> </w:t>
      </w:r>
      <w:r>
        <w:rPr>
          <w:color w:val="231F20"/>
        </w:rPr>
        <w:t>le coup d’État de Noël» et récompensés en intégrant le Groupe de Sécurité Présidentielle, ou le bataillon blindé ou encore, une autre unité d’élite. Ils jouissent d’une </w:t>
      </w:r>
      <w:r>
        <w:rPr>
          <w:color w:val="231F20"/>
          <w:spacing w:val="-4"/>
        </w:rPr>
        <w:t>impunité</w:t>
      </w:r>
      <w:r>
        <w:rPr>
          <w:color w:val="231F20"/>
          <w:spacing w:val="-6"/>
        </w:rPr>
        <w:t> </w:t>
      </w:r>
      <w:r>
        <w:rPr>
          <w:color w:val="231F20"/>
          <w:spacing w:val="-4"/>
        </w:rPr>
        <w:t>totale et</w:t>
      </w:r>
      <w:r>
        <w:rPr>
          <w:color w:val="231F20"/>
          <w:spacing w:val="-5"/>
        </w:rPr>
        <w:t> </w:t>
      </w:r>
      <w:r>
        <w:rPr>
          <w:color w:val="231F20"/>
          <w:spacing w:val="-4"/>
        </w:rPr>
        <w:t>se</w:t>
      </w:r>
      <w:r>
        <w:rPr>
          <w:color w:val="231F20"/>
          <w:spacing w:val="-6"/>
        </w:rPr>
        <w:t> </w:t>
      </w:r>
      <w:r>
        <w:rPr>
          <w:color w:val="231F20"/>
          <w:spacing w:val="-4"/>
        </w:rPr>
        <w:t>sont</w:t>
      </w:r>
      <w:r>
        <w:rPr>
          <w:color w:val="231F20"/>
          <w:spacing w:val="-8"/>
        </w:rPr>
        <w:t> </w:t>
      </w:r>
      <w:r>
        <w:rPr>
          <w:color w:val="231F20"/>
          <w:spacing w:val="-4"/>
        </w:rPr>
        <w:t>parallèlement</w:t>
      </w:r>
      <w:r>
        <w:rPr>
          <w:color w:val="231F20"/>
          <w:spacing w:val="-5"/>
        </w:rPr>
        <w:t> </w:t>
      </w:r>
      <w:r>
        <w:rPr>
          <w:color w:val="231F20"/>
          <w:spacing w:val="-4"/>
        </w:rPr>
        <w:t>organisés</w:t>
      </w:r>
      <w:r>
        <w:rPr>
          <w:color w:val="231F20"/>
          <w:spacing w:val="-5"/>
        </w:rPr>
        <w:t> </w:t>
      </w:r>
      <w:r>
        <w:rPr>
          <w:color w:val="231F20"/>
          <w:spacing w:val="-4"/>
        </w:rPr>
        <w:t>dans des</w:t>
      </w:r>
      <w:r>
        <w:rPr>
          <w:color w:val="231F20"/>
          <w:spacing w:val="-5"/>
        </w:rPr>
        <w:t> </w:t>
      </w:r>
      <w:r>
        <w:rPr>
          <w:color w:val="231F20"/>
          <w:spacing w:val="-4"/>
        </w:rPr>
        <w:t>bandes</w:t>
      </w:r>
      <w:r>
        <w:rPr>
          <w:color w:val="231F20"/>
          <w:spacing w:val="-5"/>
        </w:rPr>
        <w:t> </w:t>
      </w:r>
      <w:r>
        <w:rPr>
          <w:color w:val="231F20"/>
          <w:spacing w:val="-4"/>
        </w:rPr>
        <w:t>armées </w:t>
      </w:r>
      <w:r>
        <w:rPr>
          <w:color w:val="231F20"/>
        </w:rPr>
        <w:t>informelles</w:t>
      </w:r>
      <w:r>
        <w:rPr>
          <w:color w:val="231F20"/>
          <w:spacing w:val="-4"/>
        </w:rPr>
        <w:t> </w:t>
      </w:r>
      <w:r>
        <w:rPr>
          <w:color w:val="231F20"/>
        </w:rPr>
        <w:t>rackettant</w:t>
      </w:r>
      <w:r>
        <w:rPr>
          <w:color w:val="231F20"/>
          <w:spacing w:val="-1"/>
        </w:rPr>
        <w:t> </w:t>
      </w:r>
      <w:r>
        <w:rPr>
          <w:color w:val="231F20"/>
        </w:rPr>
        <w:t>et</w:t>
      </w:r>
      <w:r>
        <w:rPr>
          <w:color w:val="231F20"/>
          <w:spacing w:val="-3"/>
        </w:rPr>
        <w:t> </w:t>
      </w:r>
      <w:r>
        <w:rPr>
          <w:color w:val="231F20"/>
        </w:rPr>
        <w:t>terrorisant</w:t>
      </w:r>
      <w:r>
        <w:rPr>
          <w:color w:val="231F20"/>
          <w:spacing w:val="-3"/>
        </w:rPr>
        <w:t> </w:t>
      </w:r>
      <w:r>
        <w:rPr>
          <w:color w:val="231F20"/>
        </w:rPr>
        <w:t>la</w:t>
      </w:r>
      <w:r>
        <w:rPr>
          <w:color w:val="231F20"/>
          <w:spacing w:val="-2"/>
        </w:rPr>
        <w:t> </w:t>
      </w:r>
      <w:r>
        <w:rPr>
          <w:color w:val="231F20"/>
        </w:rPr>
        <w:t>population.</w:t>
      </w:r>
    </w:p>
    <w:p>
      <w:pPr>
        <w:pStyle w:val="BodyText"/>
        <w:spacing w:before="121"/>
        <w:ind w:right="104" w:firstLine="283"/>
      </w:pPr>
      <w:r>
        <w:rPr>
          <w:color w:val="231F20"/>
        </w:rPr>
        <w:t>Dix-neuf candidats déposent leur dossier pour l’élection à la présidence. Quatorze sont refusés. Parmi les rejetés figurent Alassane Ouattara</w:t>
      </w:r>
      <w:r>
        <w:rPr>
          <w:color w:val="231F20"/>
          <w:spacing w:val="-2"/>
        </w:rPr>
        <w:t> </w:t>
      </w:r>
      <w:r>
        <w:rPr>
          <w:color w:val="231F20"/>
        </w:rPr>
        <w:t>et</w:t>
      </w:r>
      <w:r>
        <w:rPr>
          <w:color w:val="231F20"/>
          <w:spacing w:val="-2"/>
        </w:rPr>
        <w:t> </w:t>
      </w:r>
      <w:r>
        <w:rPr>
          <w:color w:val="231F20"/>
        </w:rPr>
        <w:t>Henri</w:t>
      </w:r>
      <w:r>
        <w:rPr>
          <w:color w:val="231F20"/>
          <w:spacing w:val="-2"/>
        </w:rPr>
        <w:t> </w:t>
      </w:r>
      <w:r>
        <w:rPr>
          <w:color w:val="231F20"/>
        </w:rPr>
        <w:t>Konan</w:t>
      </w:r>
      <w:r>
        <w:rPr>
          <w:color w:val="231F20"/>
          <w:spacing w:val="-3"/>
        </w:rPr>
        <w:t> </w:t>
      </w:r>
      <w:r>
        <w:rPr>
          <w:color w:val="231F20"/>
        </w:rPr>
        <w:t>Bédié.</w:t>
      </w:r>
      <w:r>
        <w:rPr>
          <w:color w:val="231F20"/>
          <w:spacing w:val="-2"/>
        </w:rPr>
        <w:t> </w:t>
      </w:r>
      <w:r>
        <w:rPr>
          <w:color w:val="231F20"/>
        </w:rPr>
        <w:t>Le premier</w:t>
      </w:r>
      <w:r>
        <w:rPr>
          <w:color w:val="231F20"/>
          <w:spacing w:val="-3"/>
        </w:rPr>
        <w:t> </w:t>
      </w:r>
      <w:r>
        <w:rPr>
          <w:color w:val="231F20"/>
        </w:rPr>
        <w:t>pour cause de «</w:t>
      </w:r>
      <w:r>
        <w:rPr>
          <w:color w:val="231F20"/>
          <w:spacing w:val="-15"/>
        </w:rPr>
        <w:t> </w:t>
      </w:r>
      <w:r>
        <w:rPr>
          <w:color w:val="231F20"/>
        </w:rPr>
        <w:t>nationalité douteuse</w:t>
      </w:r>
      <w:r>
        <w:rPr>
          <w:color w:val="231F20"/>
          <w:spacing w:val="-15"/>
        </w:rPr>
        <w:t> </w:t>
      </w:r>
      <w:r>
        <w:rPr>
          <w:color w:val="231F20"/>
        </w:rPr>
        <w:t>»</w:t>
      </w:r>
      <w:r>
        <w:rPr>
          <w:color w:val="231F20"/>
          <w:spacing w:val="-12"/>
        </w:rPr>
        <w:t> </w:t>
      </w:r>
      <w:r>
        <w:rPr>
          <w:color w:val="231F20"/>
        </w:rPr>
        <w:t>et</w:t>
      </w:r>
      <w:r>
        <w:rPr>
          <w:color w:val="231F20"/>
          <w:spacing w:val="-9"/>
        </w:rPr>
        <w:t> </w:t>
      </w:r>
      <w:r>
        <w:rPr>
          <w:color w:val="231F20"/>
        </w:rPr>
        <w:t>le</w:t>
      </w:r>
      <w:r>
        <w:rPr>
          <w:color w:val="231F20"/>
          <w:spacing w:val="-9"/>
        </w:rPr>
        <w:t> </w:t>
      </w:r>
      <w:r>
        <w:rPr>
          <w:color w:val="231F20"/>
        </w:rPr>
        <w:t>second</w:t>
      </w:r>
      <w:r>
        <w:rPr>
          <w:color w:val="231F20"/>
          <w:spacing w:val="-9"/>
        </w:rPr>
        <w:t> </w:t>
      </w:r>
      <w:r>
        <w:rPr>
          <w:color w:val="231F20"/>
        </w:rPr>
        <w:t>pour</w:t>
      </w:r>
      <w:r>
        <w:rPr>
          <w:color w:val="231F20"/>
          <w:spacing w:val="-8"/>
        </w:rPr>
        <w:t> </w:t>
      </w:r>
      <w:r>
        <w:rPr>
          <w:color w:val="231F20"/>
        </w:rPr>
        <w:t>«</w:t>
      </w:r>
      <w:r>
        <w:rPr>
          <w:color w:val="231F20"/>
          <w:spacing w:val="-15"/>
        </w:rPr>
        <w:t> </w:t>
      </w:r>
      <w:r>
        <w:rPr>
          <w:color w:val="231F20"/>
        </w:rPr>
        <w:t>dossier</w:t>
      </w:r>
      <w:r>
        <w:rPr>
          <w:color w:val="231F20"/>
          <w:spacing w:val="-9"/>
        </w:rPr>
        <w:t> </w:t>
      </w:r>
      <w:r>
        <w:rPr>
          <w:color w:val="231F20"/>
        </w:rPr>
        <w:t>incomplet</w:t>
      </w:r>
      <w:r>
        <w:rPr>
          <w:color w:val="231F20"/>
          <w:spacing w:val="-15"/>
        </w:rPr>
        <w:t> </w:t>
      </w:r>
      <w:r>
        <w:rPr>
          <w:color w:val="231F20"/>
        </w:rPr>
        <w:t>».</w:t>
      </w:r>
      <w:r>
        <w:rPr>
          <w:color w:val="231F20"/>
          <w:spacing w:val="-10"/>
        </w:rPr>
        <w:t> </w:t>
      </w:r>
      <w:r>
        <w:rPr>
          <w:color w:val="231F20"/>
        </w:rPr>
        <w:t>Au</w:t>
      </w:r>
      <w:r>
        <w:rPr>
          <w:color w:val="231F20"/>
          <w:spacing w:val="-9"/>
        </w:rPr>
        <w:t> </w:t>
      </w:r>
      <w:r>
        <w:rPr>
          <w:color w:val="231F20"/>
        </w:rPr>
        <w:t>nombre</w:t>
      </w:r>
      <w:r>
        <w:rPr>
          <w:color w:val="231F20"/>
          <w:spacing w:val="-9"/>
        </w:rPr>
        <w:t> </w:t>
      </w:r>
      <w:r>
        <w:rPr>
          <w:color w:val="231F20"/>
        </w:rPr>
        <w:t>des</w:t>
      </w:r>
      <w:r>
        <w:rPr>
          <w:color w:val="231F20"/>
          <w:spacing w:val="-9"/>
        </w:rPr>
        <w:t> </w:t>
      </w:r>
      <w:r>
        <w:rPr>
          <w:color w:val="231F20"/>
        </w:rPr>
        <w:t>cinq </w:t>
      </w:r>
      <w:r>
        <w:rPr>
          <w:color w:val="231F20"/>
          <w:spacing w:val="-2"/>
        </w:rPr>
        <w:t>candidats</w:t>
      </w:r>
      <w:r>
        <w:rPr>
          <w:color w:val="231F20"/>
          <w:spacing w:val="-8"/>
        </w:rPr>
        <w:t> </w:t>
      </w:r>
      <w:r>
        <w:rPr>
          <w:color w:val="231F20"/>
          <w:spacing w:val="-2"/>
        </w:rPr>
        <w:t>retenus,</w:t>
      </w:r>
      <w:r>
        <w:rPr>
          <w:color w:val="231F20"/>
          <w:spacing w:val="-10"/>
        </w:rPr>
        <w:t> </w:t>
      </w:r>
      <w:r>
        <w:rPr>
          <w:color w:val="231F20"/>
          <w:spacing w:val="-2"/>
        </w:rPr>
        <w:t>seul</w:t>
      </w:r>
      <w:r>
        <w:rPr>
          <w:color w:val="231F20"/>
          <w:spacing w:val="-10"/>
        </w:rPr>
        <w:t> </w:t>
      </w:r>
      <w:r>
        <w:rPr>
          <w:color w:val="231F20"/>
          <w:spacing w:val="-2"/>
        </w:rPr>
        <w:t>Laurent</w:t>
      </w:r>
      <w:r>
        <w:rPr>
          <w:color w:val="231F20"/>
          <w:spacing w:val="-8"/>
        </w:rPr>
        <w:t> </w:t>
      </w:r>
      <w:r>
        <w:rPr>
          <w:color w:val="231F20"/>
          <w:spacing w:val="-2"/>
        </w:rPr>
        <w:t>Gbagbo,</w:t>
      </w:r>
      <w:r>
        <w:rPr>
          <w:color w:val="231F20"/>
          <w:spacing w:val="-10"/>
        </w:rPr>
        <w:t> </w:t>
      </w:r>
      <w:r>
        <w:rPr>
          <w:color w:val="231F20"/>
          <w:spacing w:val="-2"/>
        </w:rPr>
        <w:t>chef</w:t>
      </w:r>
      <w:r>
        <w:rPr>
          <w:color w:val="231F20"/>
          <w:spacing w:val="-8"/>
        </w:rPr>
        <w:t> </w:t>
      </w:r>
      <w:r>
        <w:rPr>
          <w:color w:val="231F20"/>
          <w:spacing w:val="-2"/>
        </w:rPr>
        <w:t>du</w:t>
      </w:r>
      <w:r>
        <w:rPr>
          <w:color w:val="231F20"/>
          <w:spacing w:val="-10"/>
        </w:rPr>
        <w:t> </w:t>
      </w:r>
      <w:r>
        <w:rPr>
          <w:color w:val="231F20"/>
          <w:spacing w:val="-2"/>
        </w:rPr>
        <w:t>Front</w:t>
      </w:r>
      <w:r>
        <w:rPr>
          <w:color w:val="231F20"/>
          <w:spacing w:val="-10"/>
        </w:rPr>
        <w:t> </w:t>
      </w:r>
      <w:r>
        <w:rPr>
          <w:color w:val="231F20"/>
          <w:spacing w:val="-2"/>
        </w:rPr>
        <w:t>populaire</w:t>
      </w:r>
      <w:r>
        <w:rPr>
          <w:color w:val="231F20"/>
          <w:spacing w:val="-10"/>
        </w:rPr>
        <w:t> </w:t>
      </w:r>
      <w:r>
        <w:rPr>
          <w:color w:val="231F20"/>
          <w:spacing w:val="-2"/>
        </w:rPr>
        <w:t>ivoirien pèse</w:t>
      </w:r>
      <w:r>
        <w:rPr>
          <w:color w:val="231F20"/>
          <w:spacing w:val="-13"/>
        </w:rPr>
        <w:t> </w:t>
      </w:r>
      <w:r>
        <w:rPr>
          <w:color w:val="231F20"/>
          <w:spacing w:val="-2"/>
        </w:rPr>
        <w:t>sur</w:t>
      </w:r>
      <w:r>
        <w:rPr>
          <w:color w:val="231F20"/>
          <w:spacing w:val="-13"/>
        </w:rPr>
        <w:t> </w:t>
      </w:r>
      <w:r>
        <w:rPr>
          <w:color w:val="231F20"/>
          <w:spacing w:val="-2"/>
        </w:rPr>
        <w:t>l’échiquier</w:t>
      </w:r>
      <w:r>
        <w:rPr>
          <w:color w:val="231F20"/>
          <w:spacing w:val="-13"/>
        </w:rPr>
        <w:t> </w:t>
      </w:r>
      <w:r>
        <w:rPr>
          <w:color w:val="231F20"/>
          <w:spacing w:val="-2"/>
        </w:rPr>
        <w:t>politique.</w:t>
      </w:r>
      <w:r>
        <w:rPr>
          <w:color w:val="231F20"/>
          <w:spacing w:val="-13"/>
        </w:rPr>
        <w:t> </w:t>
      </w:r>
      <w:r>
        <w:rPr>
          <w:color w:val="231F20"/>
          <w:spacing w:val="-2"/>
        </w:rPr>
        <w:t>Ainsi,</w:t>
      </w:r>
      <w:r>
        <w:rPr>
          <w:color w:val="231F20"/>
          <w:spacing w:val="-13"/>
        </w:rPr>
        <w:t> </w:t>
      </w:r>
      <w:r>
        <w:rPr>
          <w:color w:val="231F20"/>
          <w:spacing w:val="-2"/>
        </w:rPr>
        <w:t>des</w:t>
      </w:r>
      <w:r>
        <w:rPr>
          <w:color w:val="231F20"/>
          <w:spacing w:val="-13"/>
        </w:rPr>
        <w:t> </w:t>
      </w:r>
      <w:r>
        <w:rPr>
          <w:color w:val="231F20"/>
          <w:spacing w:val="-2"/>
        </w:rPr>
        <w:t>trois</w:t>
      </w:r>
      <w:r>
        <w:rPr>
          <w:color w:val="231F20"/>
          <w:spacing w:val="-13"/>
        </w:rPr>
        <w:t> </w:t>
      </w:r>
      <w:r>
        <w:rPr>
          <w:color w:val="231F20"/>
          <w:spacing w:val="-2"/>
        </w:rPr>
        <w:t>principaux</w:t>
      </w:r>
      <w:r>
        <w:rPr>
          <w:color w:val="231F20"/>
          <w:spacing w:val="-13"/>
        </w:rPr>
        <w:t> </w:t>
      </w:r>
      <w:r>
        <w:rPr>
          <w:color w:val="231F20"/>
          <w:spacing w:val="-2"/>
        </w:rPr>
        <w:t>partis</w:t>
      </w:r>
      <w:r>
        <w:rPr>
          <w:color w:val="231F20"/>
          <w:spacing w:val="-13"/>
        </w:rPr>
        <w:t> </w:t>
      </w:r>
      <w:r>
        <w:rPr>
          <w:color w:val="231F20"/>
          <w:spacing w:val="-2"/>
        </w:rPr>
        <w:t>politiques </w:t>
      </w:r>
      <w:r>
        <w:rPr>
          <w:color w:val="231F20"/>
        </w:rPr>
        <w:t>de Côte d’Ivoire,</w:t>
      </w:r>
      <w:r>
        <w:rPr>
          <w:color w:val="231F20"/>
          <w:spacing w:val="-14"/>
        </w:rPr>
        <w:t> </w:t>
      </w:r>
      <w:r>
        <w:rPr>
          <w:color w:val="231F20"/>
        </w:rPr>
        <w:t>PDCI, RDR et FPI, seul le dernier est présent au top départ de la campagne présidentielle. Les deux autres appellent leurs membres au boycott de l’élection. Aux journaux en provenance de la sous-région</w:t>
      </w:r>
      <w:r>
        <w:rPr>
          <w:color w:val="231F20"/>
          <w:spacing w:val="-3"/>
        </w:rPr>
        <w:t> </w:t>
      </w:r>
      <w:r>
        <w:rPr>
          <w:color w:val="231F20"/>
        </w:rPr>
        <w:t>qui</w:t>
      </w:r>
      <w:r>
        <w:rPr>
          <w:color w:val="231F20"/>
          <w:spacing w:val="-3"/>
        </w:rPr>
        <w:t> </w:t>
      </w:r>
      <w:r>
        <w:rPr>
          <w:color w:val="231F20"/>
        </w:rPr>
        <w:t>crient</w:t>
      </w:r>
      <w:r>
        <w:rPr>
          <w:color w:val="231F20"/>
          <w:spacing w:val="-2"/>
        </w:rPr>
        <w:t> </w:t>
      </w:r>
      <w:r>
        <w:rPr>
          <w:color w:val="231F20"/>
        </w:rPr>
        <w:t>à</w:t>
      </w:r>
      <w:r>
        <w:rPr>
          <w:color w:val="231F20"/>
          <w:spacing w:val="-2"/>
        </w:rPr>
        <w:t> </w:t>
      </w:r>
      <w:r>
        <w:rPr>
          <w:color w:val="231F20"/>
        </w:rPr>
        <w:t>la</w:t>
      </w:r>
      <w:r>
        <w:rPr>
          <w:color w:val="231F20"/>
          <w:spacing w:val="-2"/>
        </w:rPr>
        <w:t> </w:t>
      </w:r>
      <w:r>
        <w:rPr>
          <w:color w:val="231F20"/>
        </w:rPr>
        <w:t>xénophobie,</w:t>
      </w:r>
      <w:r>
        <w:rPr>
          <w:color w:val="231F20"/>
          <w:spacing w:val="-1"/>
        </w:rPr>
        <w:t> </w:t>
      </w:r>
      <w:r>
        <w:rPr>
          <w:color w:val="231F20"/>
        </w:rPr>
        <w:t>embouchant</w:t>
      </w:r>
      <w:r>
        <w:rPr>
          <w:color w:val="231F20"/>
          <w:spacing w:val="-1"/>
        </w:rPr>
        <w:t> </w:t>
      </w:r>
      <w:r>
        <w:rPr>
          <w:color w:val="231F20"/>
        </w:rPr>
        <w:t>la</w:t>
      </w:r>
      <w:r>
        <w:rPr>
          <w:color w:val="231F20"/>
          <w:spacing w:val="-3"/>
        </w:rPr>
        <w:t> </w:t>
      </w:r>
      <w:r>
        <w:rPr>
          <w:color w:val="231F20"/>
        </w:rPr>
        <w:t>même</w:t>
      </w:r>
      <w:r>
        <w:rPr>
          <w:color w:val="231F20"/>
          <w:spacing w:val="-1"/>
        </w:rPr>
        <w:t> </w:t>
      </w:r>
      <w:r>
        <w:rPr>
          <w:color w:val="231F20"/>
          <w:spacing w:val="-2"/>
        </w:rPr>
        <w:t>trompette</w:t>
      </w:r>
    </w:p>
    <w:p>
      <w:pPr>
        <w:pStyle w:val="BodyText"/>
        <w:spacing w:before="1"/>
        <w:ind w:left="0"/>
        <w:jc w:val="left"/>
        <w:rPr>
          <w:sz w:val="19"/>
        </w:rPr>
      </w:pPr>
      <w:r>
        <w:rPr/>
        <mc:AlternateContent>
          <mc:Choice Requires="wps">
            <w:drawing>
              <wp:anchor distT="0" distB="0" distL="0" distR="0" allowOverlap="1" layoutInCell="1" locked="0" behindDoc="1" simplePos="0" relativeHeight="487642112">
                <wp:simplePos x="0" y="0"/>
                <wp:positionH relativeFrom="page">
                  <wp:posOffset>629907</wp:posOffset>
                </wp:positionH>
                <wp:positionV relativeFrom="paragraph">
                  <wp:posOffset>154889</wp:posOffset>
                </wp:positionV>
                <wp:extent cx="1829435" cy="9525"/>
                <wp:effectExtent l="0" t="0" r="0" b="0"/>
                <wp:wrapTopAndBottom/>
                <wp:docPr id="135" name="Graphic 135"/>
                <wp:cNvGraphicFramePr>
                  <a:graphicFrameLocks/>
                </wp:cNvGraphicFramePr>
                <a:graphic>
                  <a:graphicData uri="http://schemas.microsoft.com/office/word/2010/wordprocessingShape">
                    <wps:wsp>
                      <wps:cNvPr id="135" name="Graphic 13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2.196015pt;width:144.020pt;height:.72pt;mso-position-horizontal-relative:page;mso-position-vertical-relative:paragraph;z-index:-15674368;mso-wrap-distance-left:0;mso-wrap-distance-right:0" id="docshape133" filled="true" fillcolor="#231f20" stroked="false">
                <v:fill type="solid"/>
                <w10:wrap type="topAndBottom"/>
              </v:rect>
            </w:pict>
          </mc:Fallback>
        </mc:AlternateContent>
      </w:r>
    </w:p>
    <w:p>
      <w:pPr>
        <w:spacing w:before="91"/>
        <w:ind w:left="111" w:right="106" w:firstLine="0"/>
        <w:jc w:val="both"/>
        <w:rPr>
          <w:sz w:val="20"/>
        </w:rPr>
      </w:pPr>
      <w:r>
        <w:rPr>
          <w:color w:val="76787A"/>
          <w:sz w:val="20"/>
          <w:vertAlign w:val="superscript"/>
        </w:rPr>
        <w:t>168</w:t>
      </w:r>
      <w:r>
        <w:rPr>
          <w:color w:val="231F20"/>
          <w:sz w:val="20"/>
          <w:vertAlign w:val="baseline"/>
        </w:rPr>
        <w:t>La «</w:t>
      </w:r>
      <w:r>
        <w:rPr>
          <w:color w:val="231F20"/>
          <w:spacing w:val="-1"/>
          <w:sz w:val="20"/>
          <w:vertAlign w:val="baseline"/>
        </w:rPr>
        <w:t> </w:t>
      </w:r>
      <w:r>
        <w:rPr>
          <w:color w:val="231F20"/>
          <w:sz w:val="20"/>
          <w:vertAlign w:val="baseline"/>
        </w:rPr>
        <w:t>mangecratie</w:t>
      </w:r>
      <w:r>
        <w:rPr>
          <w:color w:val="231F20"/>
          <w:spacing w:val="-1"/>
          <w:sz w:val="20"/>
          <w:vertAlign w:val="baseline"/>
        </w:rPr>
        <w:t> </w:t>
      </w:r>
      <w:r>
        <w:rPr>
          <w:color w:val="231F20"/>
          <w:sz w:val="20"/>
          <w:vertAlign w:val="baseline"/>
        </w:rPr>
        <w:t>»,</w:t>
      </w:r>
      <w:r>
        <w:rPr>
          <w:color w:val="231F20"/>
          <w:spacing w:val="-1"/>
          <w:sz w:val="20"/>
          <w:vertAlign w:val="baseline"/>
        </w:rPr>
        <w:t> </w:t>
      </w:r>
      <w:r>
        <w:rPr>
          <w:color w:val="231F20"/>
          <w:sz w:val="20"/>
          <w:vertAlign w:val="baseline"/>
        </w:rPr>
        <w:t>terme ivoirien utilisé</w:t>
      </w:r>
      <w:r>
        <w:rPr>
          <w:color w:val="231F20"/>
          <w:spacing w:val="-1"/>
          <w:sz w:val="20"/>
          <w:vertAlign w:val="baseline"/>
        </w:rPr>
        <w:t> </w:t>
      </w:r>
      <w:r>
        <w:rPr>
          <w:color w:val="231F20"/>
          <w:sz w:val="20"/>
          <w:vertAlign w:val="baseline"/>
        </w:rPr>
        <w:t>pour</w:t>
      </w:r>
      <w:r>
        <w:rPr>
          <w:color w:val="231F20"/>
          <w:spacing w:val="-1"/>
          <w:sz w:val="20"/>
          <w:vertAlign w:val="baseline"/>
        </w:rPr>
        <w:t> </w:t>
      </w:r>
      <w:r>
        <w:rPr>
          <w:color w:val="231F20"/>
          <w:sz w:val="20"/>
          <w:vertAlign w:val="baseline"/>
        </w:rPr>
        <w:t>la</w:t>
      </w:r>
      <w:r>
        <w:rPr>
          <w:color w:val="231F20"/>
          <w:spacing w:val="-1"/>
          <w:sz w:val="20"/>
          <w:vertAlign w:val="baseline"/>
        </w:rPr>
        <w:t> </w:t>
      </w:r>
      <w:r>
        <w:rPr>
          <w:color w:val="231F20"/>
          <w:sz w:val="20"/>
          <w:vertAlign w:val="baseline"/>
        </w:rPr>
        <w:t>première</w:t>
      </w:r>
      <w:r>
        <w:rPr>
          <w:color w:val="231F20"/>
          <w:spacing w:val="-1"/>
          <w:sz w:val="20"/>
          <w:vertAlign w:val="baseline"/>
        </w:rPr>
        <w:t> </w:t>
      </w:r>
      <w:r>
        <w:rPr>
          <w:color w:val="231F20"/>
          <w:sz w:val="20"/>
          <w:vertAlign w:val="baseline"/>
        </w:rPr>
        <w:t>fois par l’artiste</w:t>
      </w:r>
      <w:r>
        <w:rPr>
          <w:color w:val="231F20"/>
          <w:spacing w:val="-1"/>
          <w:sz w:val="20"/>
          <w:vertAlign w:val="baseline"/>
        </w:rPr>
        <w:t> </w:t>
      </w:r>
      <w:r>
        <w:rPr>
          <w:color w:val="231F20"/>
          <w:sz w:val="20"/>
          <w:vertAlign w:val="baseline"/>
        </w:rPr>
        <w:t>reggae ivoirien</w:t>
      </w:r>
      <w:r>
        <w:rPr>
          <w:color w:val="231F20"/>
          <w:spacing w:val="-9"/>
          <w:sz w:val="20"/>
          <w:vertAlign w:val="baseline"/>
        </w:rPr>
        <w:t> </w:t>
      </w:r>
      <w:r>
        <w:rPr>
          <w:color w:val="231F20"/>
          <w:sz w:val="20"/>
          <w:vertAlign w:val="baseline"/>
        </w:rPr>
        <w:t>Tiken</w:t>
      </w:r>
      <w:r>
        <w:rPr>
          <w:color w:val="231F20"/>
          <w:spacing w:val="-9"/>
          <w:sz w:val="20"/>
          <w:vertAlign w:val="baseline"/>
        </w:rPr>
        <w:t> </w:t>
      </w:r>
      <w:r>
        <w:rPr>
          <w:color w:val="231F20"/>
          <w:sz w:val="20"/>
          <w:vertAlign w:val="baseline"/>
        </w:rPr>
        <w:t>Jah</w:t>
      </w:r>
      <w:r>
        <w:rPr>
          <w:color w:val="231F20"/>
          <w:spacing w:val="-9"/>
          <w:sz w:val="20"/>
          <w:vertAlign w:val="baseline"/>
        </w:rPr>
        <w:t> </w:t>
      </w:r>
      <w:r>
        <w:rPr>
          <w:color w:val="231F20"/>
          <w:sz w:val="20"/>
          <w:vertAlign w:val="baseline"/>
        </w:rPr>
        <w:t>Fakoly</w:t>
      </w:r>
      <w:r>
        <w:rPr>
          <w:color w:val="231F20"/>
          <w:spacing w:val="-8"/>
          <w:sz w:val="20"/>
          <w:vertAlign w:val="baseline"/>
        </w:rPr>
        <w:t> </w:t>
      </w:r>
      <w:r>
        <w:rPr>
          <w:color w:val="231F20"/>
          <w:sz w:val="20"/>
          <w:vertAlign w:val="baseline"/>
        </w:rPr>
        <w:t>en</w:t>
      </w:r>
      <w:r>
        <w:rPr>
          <w:color w:val="231F20"/>
          <w:spacing w:val="-9"/>
          <w:sz w:val="20"/>
          <w:vertAlign w:val="baseline"/>
        </w:rPr>
        <w:t> </w:t>
      </w:r>
      <w:r>
        <w:rPr>
          <w:color w:val="231F20"/>
          <w:sz w:val="20"/>
          <w:vertAlign w:val="baseline"/>
        </w:rPr>
        <w:t>1999</w:t>
      </w:r>
      <w:r>
        <w:rPr>
          <w:color w:val="231F20"/>
          <w:spacing w:val="-9"/>
          <w:sz w:val="20"/>
          <w:vertAlign w:val="baseline"/>
        </w:rPr>
        <w:t> </w:t>
      </w:r>
      <w:r>
        <w:rPr>
          <w:color w:val="231F20"/>
          <w:sz w:val="20"/>
          <w:vertAlign w:val="baseline"/>
        </w:rPr>
        <w:t>dans</w:t>
      </w:r>
      <w:r>
        <w:rPr>
          <w:color w:val="231F20"/>
          <w:spacing w:val="-9"/>
          <w:sz w:val="20"/>
          <w:vertAlign w:val="baseline"/>
        </w:rPr>
        <w:t> </w:t>
      </w:r>
      <w:r>
        <w:rPr>
          <w:color w:val="231F20"/>
          <w:sz w:val="20"/>
          <w:vertAlign w:val="baseline"/>
        </w:rPr>
        <w:t>son</w:t>
      </w:r>
      <w:r>
        <w:rPr>
          <w:color w:val="231F20"/>
          <w:spacing w:val="-9"/>
          <w:sz w:val="20"/>
          <w:vertAlign w:val="baseline"/>
        </w:rPr>
        <w:t> </w:t>
      </w:r>
      <w:r>
        <w:rPr>
          <w:color w:val="231F20"/>
          <w:sz w:val="20"/>
          <w:vertAlign w:val="baseline"/>
        </w:rPr>
        <w:t>premier</w:t>
      </w:r>
      <w:r>
        <w:rPr>
          <w:color w:val="231F20"/>
          <w:spacing w:val="-9"/>
          <w:sz w:val="20"/>
          <w:vertAlign w:val="baseline"/>
        </w:rPr>
        <w:t> </w:t>
      </w:r>
      <w:r>
        <w:rPr>
          <w:color w:val="231F20"/>
          <w:sz w:val="20"/>
          <w:vertAlign w:val="baseline"/>
        </w:rPr>
        <w:t>album,.</w:t>
      </w:r>
      <w:r>
        <w:rPr>
          <w:color w:val="231F20"/>
          <w:spacing w:val="-11"/>
          <w:sz w:val="20"/>
          <w:vertAlign w:val="baseline"/>
        </w:rPr>
        <w:t> </w:t>
      </w:r>
      <w:r>
        <w:rPr>
          <w:color w:val="231F20"/>
          <w:sz w:val="20"/>
          <w:vertAlign w:val="baseline"/>
        </w:rPr>
        <w:t>désigne</w:t>
      </w:r>
      <w:r>
        <w:rPr>
          <w:color w:val="231F20"/>
          <w:spacing w:val="-9"/>
          <w:sz w:val="20"/>
          <w:vertAlign w:val="baseline"/>
        </w:rPr>
        <w:t> </w:t>
      </w:r>
      <w:r>
        <w:rPr>
          <w:color w:val="231F20"/>
          <w:sz w:val="20"/>
          <w:vertAlign w:val="baseline"/>
        </w:rPr>
        <w:t>le</w:t>
      </w:r>
      <w:r>
        <w:rPr>
          <w:color w:val="231F20"/>
          <w:spacing w:val="-10"/>
          <w:sz w:val="20"/>
          <w:vertAlign w:val="baseline"/>
        </w:rPr>
        <w:t> </w:t>
      </w:r>
      <w:r>
        <w:rPr>
          <w:color w:val="231F20"/>
          <w:sz w:val="20"/>
          <w:vertAlign w:val="baseline"/>
        </w:rPr>
        <w:t>comportement </w:t>
      </w:r>
      <w:r>
        <w:rPr>
          <w:color w:val="231F20"/>
          <w:spacing w:val="-4"/>
          <w:sz w:val="20"/>
          <w:vertAlign w:val="baseline"/>
        </w:rPr>
        <w:t>des</w:t>
      </w:r>
      <w:r>
        <w:rPr>
          <w:color w:val="231F20"/>
          <w:spacing w:val="-9"/>
          <w:sz w:val="20"/>
          <w:vertAlign w:val="baseline"/>
        </w:rPr>
        <w:t> </w:t>
      </w:r>
      <w:r>
        <w:rPr>
          <w:color w:val="231F20"/>
          <w:spacing w:val="-4"/>
          <w:sz w:val="20"/>
          <w:vertAlign w:val="baseline"/>
        </w:rPr>
        <w:t>nouveaux</w:t>
      </w:r>
      <w:r>
        <w:rPr>
          <w:color w:val="231F20"/>
          <w:spacing w:val="-8"/>
          <w:sz w:val="20"/>
          <w:vertAlign w:val="baseline"/>
        </w:rPr>
        <w:t> </w:t>
      </w:r>
      <w:r>
        <w:rPr>
          <w:color w:val="231F20"/>
          <w:spacing w:val="-4"/>
          <w:sz w:val="20"/>
          <w:vertAlign w:val="baseline"/>
        </w:rPr>
        <w:t>politiciens</w:t>
      </w:r>
      <w:r>
        <w:rPr>
          <w:color w:val="231F20"/>
          <w:spacing w:val="-9"/>
          <w:sz w:val="20"/>
          <w:vertAlign w:val="baseline"/>
        </w:rPr>
        <w:t> </w:t>
      </w:r>
      <w:r>
        <w:rPr>
          <w:color w:val="231F20"/>
          <w:spacing w:val="-4"/>
          <w:sz w:val="20"/>
          <w:vertAlign w:val="baseline"/>
        </w:rPr>
        <w:t>africains</w:t>
      </w:r>
      <w:r>
        <w:rPr>
          <w:color w:val="231F20"/>
          <w:spacing w:val="-8"/>
          <w:sz w:val="20"/>
          <w:vertAlign w:val="baseline"/>
        </w:rPr>
        <w:t> </w:t>
      </w:r>
      <w:r>
        <w:rPr>
          <w:color w:val="231F20"/>
          <w:spacing w:val="-4"/>
          <w:sz w:val="20"/>
          <w:vertAlign w:val="baseline"/>
        </w:rPr>
        <w:t>dont</w:t>
      </w:r>
      <w:r>
        <w:rPr>
          <w:color w:val="231F20"/>
          <w:spacing w:val="-9"/>
          <w:sz w:val="20"/>
          <w:vertAlign w:val="baseline"/>
        </w:rPr>
        <w:t> </w:t>
      </w:r>
      <w:r>
        <w:rPr>
          <w:color w:val="231F20"/>
          <w:spacing w:val="-4"/>
          <w:sz w:val="20"/>
          <w:vertAlign w:val="baseline"/>
        </w:rPr>
        <w:t>le</w:t>
      </w:r>
      <w:r>
        <w:rPr>
          <w:color w:val="231F20"/>
          <w:spacing w:val="-7"/>
          <w:sz w:val="20"/>
          <w:vertAlign w:val="baseline"/>
        </w:rPr>
        <w:t> </w:t>
      </w:r>
      <w:r>
        <w:rPr>
          <w:color w:val="231F20"/>
          <w:spacing w:val="-4"/>
          <w:sz w:val="20"/>
          <w:vertAlign w:val="baseline"/>
        </w:rPr>
        <w:t>seul</w:t>
      </w:r>
      <w:r>
        <w:rPr>
          <w:color w:val="231F20"/>
          <w:spacing w:val="-9"/>
          <w:sz w:val="20"/>
          <w:vertAlign w:val="baseline"/>
        </w:rPr>
        <w:t> </w:t>
      </w:r>
      <w:r>
        <w:rPr>
          <w:color w:val="231F20"/>
          <w:spacing w:val="-4"/>
          <w:sz w:val="20"/>
          <w:vertAlign w:val="baseline"/>
        </w:rPr>
        <w:t>but</w:t>
      </w:r>
      <w:r>
        <w:rPr>
          <w:color w:val="231F20"/>
          <w:spacing w:val="-8"/>
          <w:sz w:val="20"/>
          <w:vertAlign w:val="baseline"/>
        </w:rPr>
        <w:t> </w:t>
      </w:r>
      <w:r>
        <w:rPr>
          <w:color w:val="231F20"/>
          <w:spacing w:val="-4"/>
          <w:sz w:val="20"/>
          <w:vertAlign w:val="baseline"/>
        </w:rPr>
        <w:t>est</w:t>
      </w:r>
      <w:r>
        <w:rPr>
          <w:color w:val="231F20"/>
          <w:spacing w:val="-9"/>
          <w:sz w:val="20"/>
          <w:vertAlign w:val="baseline"/>
        </w:rPr>
        <w:t> </w:t>
      </w:r>
      <w:r>
        <w:rPr>
          <w:color w:val="231F20"/>
          <w:spacing w:val="-4"/>
          <w:sz w:val="20"/>
          <w:vertAlign w:val="baseline"/>
        </w:rPr>
        <w:t>de</w:t>
      </w:r>
      <w:r>
        <w:rPr>
          <w:color w:val="231F20"/>
          <w:spacing w:val="-7"/>
          <w:sz w:val="20"/>
          <w:vertAlign w:val="baseline"/>
        </w:rPr>
        <w:t> </w:t>
      </w:r>
      <w:r>
        <w:rPr>
          <w:color w:val="231F20"/>
          <w:spacing w:val="-4"/>
          <w:sz w:val="20"/>
          <w:vertAlign w:val="baseline"/>
        </w:rPr>
        <w:t>conquérir</w:t>
      </w:r>
      <w:r>
        <w:rPr>
          <w:color w:val="231F20"/>
          <w:spacing w:val="-6"/>
          <w:sz w:val="20"/>
          <w:vertAlign w:val="baseline"/>
        </w:rPr>
        <w:t> </w:t>
      </w:r>
      <w:r>
        <w:rPr>
          <w:color w:val="231F20"/>
          <w:spacing w:val="-4"/>
          <w:sz w:val="20"/>
          <w:vertAlign w:val="baseline"/>
        </w:rPr>
        <w:t>le</w:t>
      </w:r>
      <w:r>
        <w:rPr>
          <w:color w:val="231F20"/>
          <w:spacing w:val="-9"/>
          <w:sz w:val="20"/>
          <w:vertAlign w:val="baseline"/>
        </w:rPr>
        <w:t> </w:t>
      </w:r>
      <w:r>
        <w:rPr>
          <w:color w:val="231F20"/>
          <w:spacing w:val="-4"/>
          <w:sz w:val="20"/>
          <w:vertAlign w:val="baseline"/>
        </w:rPr>
        <w:t>pouvoir</w:t>
      </w:r>
      <w:r>
        <w:rPr>
          <w:color w:val="231F20"/>
          <w:spacing w:val="-6"/>
          <w:sz w:val="20"/>
          <w:vertAlign w:val="baseline"/>
        </w:rPr>
        <w:t> </w:t>
      </w:r>
      <w:r>
        <w:rPr>
          <w:color w:val="231F20"/>
          <w:spacing w:val="-4"/>
          <w:sz w:val="20"/>
          <w:vertAlign w:val="baseline"/>
        </w:rPr>
        <w:t>et</w:t>
      </w:r>
      <w:r>
        <w:rPr>
          <w:color w:val="231F20"/>
          <w:spacing w:val="-8"/>
          <w:sz w:val="20"/>
          <w:vertAlign w:val="baseline"/>
        </w:rPr>
        <w:t> </w:t>
      </w:r>
      <w:r>
        <w:rPr>
          <w:color w:val="231F20"/>
          <w:spacing w:val="-4"/>
          <w:sz w:val="20"/>
          <w:vertAlign w:val="baseline"/>
        </w:rPr>
        <w:t>s’enrichir </w:t>
      </w:r>
      <w:r>
        <w:rPr>
          <w:color w:val="231F20"/>
          <w:sz w:val="20"/>
          <w:vertAlign w:val="baseline"/>
        </w:rPr>
        <w:t>avec ses amis, alliés, son clan, sa famille.</w:t>
      </w:r>
    </w:p>
    <w:p>
      <w:pPr>
        <w:spacing w:after="0"/>
        <w:jc w:val="both"/>
        <w:rPr>
          <w:sz w:val="20"/>
        </w:rPr>
        <w:sectPr>
          <w:pgSz w:w="8790" w:h="13610"/>
          <w:pgMar w:header="0" w:footer="802" w:top="1060" w:bottom="1000" w:left="880" w:right="880"/>
        </w:sectPr>
      </w:pPr>
    </w:p>
    <w:p>
      <w:pPr>
        <w:spacing w:before="66"/>
        <w:ind w:left="111" w:right="103" w:firstLine="0"/>
        <w:jc w:val="both"/>
        <w:rPr>
          <w:sz w:val="24"/>
        </w:rPr>
      </w:pPr>
      <w:r>
        <w:rPr>
          <w:color w:val="231F20"/>
          <w:sz w:val="24"/>
        </w:rPr>
        <w:t>que le RDR, le Général–Président réplique</w:t>
      </w:r>
      <w:r>
        <w:rPr>
          <w:color w:val="231F20"/>
          <w:spacing w:val="-15"/>
          <w:sz w:val="24"/>
        </w:rPr>
        <w:t> </w:t>
      </w:r>
      <w:r>
        <w:rPr>
          <w:color w:val="231F20"/>
          <w:sz w:val="24"/>
        </w:rPr>
        <w:t>: « </w:t>
      </w:r>
      <w:r>
        <w:rPr>
          <w:i/>
          <w:color w:val="231F20"/>
          <w:sz w:val="24"/>
        </w:rPr>
        <w:t>Les étrangers parlent</w:t>
      </w:r>
      <w:r>
        <w:rPr>
          <w:i/>
          <w:color w:val="231F20"/>
          <w:sz w:val="24"/>
        </w:rPr>
        <w:t> d’exclusion. Mais quelle exclusion ? Ils vont jusqu’à proférer des </w:t>
      </w:r>
      <w:r>
        <w:rPr>
          <w:i/>
          <w:color w:val="231F20"/>
          <w:spacing w:val="-4"/>
          <w:sz w:val="24"/>
        </w:rPr>
        <w:t>menaces</w:t>
      </w:r>
      <w:r>
        <w:rPr>
          <w:i/>
          <w:color w:val="231F20"/>
          <w:spacing w:val="-11"/>
          <w:sz w:val="24"/>
        </w:rPr>
        <w:t> </w:t>
      </w:r>
      <w:r>
        <w:rPr>
          <w:i/>
          <w:color w:val="231F20"/>
          <w:spacing w:val="-4"/>
          <w:sz w:val="24"/>
        </w:rPr>
        <w:t>contre</w:t>
      </w:r>
      <w:r>
        <w:rPr>
          <w:i/>
          <w:color w:val="231F20"/>
          <w:spacing w:val="-11"/>
          <w:sz w:val="24"/>
        </w:rPr>
        <w:t> </w:t>
      </w:r>
      <w:r>
        <w:rPr>
          <w:i/>
          <w:color w:val="231F20"/>
          <w:spacing w:val="-4"/>
          <w:sz w:val="24"/>
        </w:rPr>
        <w:t>la</w:t>
      </w:r>
      <w:r>
        <w:rPr>
          <w:i/>
          <w:color w:val="231F20"/>
          <w:spacing w:val="-11"/>
          <w:sz w:val="24"/>
        </w:rPr>
        <w:t> </w:t>
      </w:r>
      <w:r>
        <w:rPr>
          <w:i/>
          <w:color w:val="231F20"/>
          <w:spacing w:val="-4"/>
          <w:sz w:val="24"/>
        </w:rPr>
        <w:t>Côte</w:t>
      </w:r>
      <w:r>
        <w:rPr>
          <w:i/>
          <w:color w:val="231F20"/>
          <w:spacing w:val="-11"/>
          <w:sz w:val="24"/>
        </w:rPr>
        <w:t> </w:t>
      </w:r>
      <w:r>
        <w:rPr>
          <w:i/>
          <w:color w:val="231F20"/>
          <w:spacing w:val="-4"/>
          <w:sz w:val="24"/>
        </w:rPr>
        <w:t>d’Ivoire</w:t>
      </w:r>
      <w:r>
        <w:rPr>
          <w:i/>
          <w:color w:val="231F20"/>
          <w:spacing w:val="-11"/>
          <w:sz w:val="24"/>
        </w:rPr>
        <w:t> </w:t>
      </w:r>
      <w:r>
        <w:rPr>
          <w:i/>
          <w:color w:val="231F20"/>
          <w:spacing w:val="-4"/>
          <w:sz w:val="24"/>
        </w:rPr>
        <w:t>et</w:t>
      </w:r>
      <w:r>
        <w:rPr>
          <w:i/>
          <w:color w:val="231F20"/>
          <w:spacing w:val="-11"/>
          <w:sz w:val="24"/>
        </w:rPr>
        <w:t> </w:t>
      </w:r>
      <w:r>
        <w:rPr>
          <w:i/>
          <w:color w:val="231F20"/>
          <w:spacing w:val="-4"/>
          <w:sz w:val="24"/>
        </w:rPr>
        <w:t>les</w:t>
      </w:r>
      <w:r>
        <w:rPr>
          <w:i/>
          <w:color w:val="231F20"/>
          <w:spacing w:val="-11"/>
          <w:sz w:val="24"/>
        </w:rPr>
        <w:t> </w:t>
      </w:r>
      <w:r>
        <w:rPr>
          <w:i/>
          <w:color w:val="231F20"/>
          <w:spacing w:val="-4"/>
          <w:sz w:val="24"/>
        </w:rPr>
        <w:t>Ivoiriens,</w:t>
      </w:r>
      <w:r>
        <w:rPr>
          <w:i/>
          <w:color w:val="231F20"/>
          <w:spacing w:val="-11"/>
          <w:sz w:val="24"/>
        </w:rPr>
        <w:t> </w:t>
      </w:r>
      <w:r>
        <w:rPr>
          <w:i/>
          <w:color w:val="231F20"/>
          <w:spacing w:val="-4"/>
          <w:sz w:val="24"/>
        </w:rPr>
        <w:t>oubliant</w:t>
      </w:r>
      <w:r>
        <w:rPr>
          <w:i/>
          <w:color w:val="231F20"/>
          <w:spacing w:val="-11"/>
          <w:sz w:val="24"/>
        </w:rPr>
        <w:t> </w:t>
      </w:r>
      <w:r>
        <w:rPr>
          <w:i/>
          <w:color w:val="231F20"/>
          <w:spacing w:val="-4"/>
          <w:sz w:val="24"/>
        </w:rPr>
        <w:t>qu’ils</w:t>
      </w:r>
      <w:r>
        <w:rPr>
          <w:i/>
          <w:color w:val="231F20"/>
          <w:spacing w:val="-11"/>
          <w:sz w:val="24"/>
        </w:rPr>
        <w:t> </w:t>
      </w:r>
      <w:r>
        <w:rPr>
          <w:i/>
          <w:color w:val="231F20"/>
          <w:spacing w:val="-4"/>
          <w:sz w:val="24"/>
        </w:rPr>
        <w:t>ont</w:t>
      </w:r>
      <w:r>
        <w:rPr>
          <w:i/>
          <w:color w:val="231F20"/>
          <w:spacing w:val="-11"/>
          <w:sz w:val="24"/>
        </w:rPr>
        <w:t> </w:t>
      </w:r>
      <w:r>
        <w:rPr>
          <w:i/>
          <w:color w:val="231F20"/>
          <w:spacing w:val="-4"/>
          <w:sz w:val="24"/>
        </w:rPr>
        <w:t>encore des</w:t>
      </w:r>
      <w:r>
        <w:rPr>
          <w:i/>
          <w:color w:val="231F20"/>
          <w:spacing w:val="-8"/>
          <w:sz w:val="24"/>
        </w:rPr>
        <w:t> </w:t>
      </w:r>
      <w:r>
        <w:rPr>
          <w:i/>
          <w:color w:val="231F20"/>
          <w:spacing w:val="-4"/>
          <w:sz w:val="24"/>
        </w:rPr>
        <w:t>parents</w:t>
      </w:r>
      <w:r>
        <w:rPr>
          <w:i/>
          <w:color w:val="231F20"/>
          <w:spacing w:val="-10"/>
          <w:sz w:val="24"/>
        </w:rPr>
        <w:t> </w:t>
      </w:r>
      <w:r>
        <w:rPr>
          <w:i/>
          <w:color w:val="231F20"/>
          <w:spacing w:val="-4"/>
          <w:sz w:val="24"/>
        </w:rPr>
        <w:t>et</w:t>
      </w:r>
      <w:r>
        <w:rPr>
          <w:i/>
          <w:color w:val="231F20"/>
          <w:spacing w:val="-8"/>
          <w:sz w:val="24"/>
        </w:rPr>
        <w:t> </w:t>
      </w:r>
      <w:r>
        <w:rPr>
          <w:i/>
          <w:color w:val="231F20"/>
          <w:spacing w:val="-4"/>
          <w:sz w:val="24"/>
        </w:rPr>
        <w:t>des</w:t>
      </w:r>
      <w:r>
        <w:rPr>
          <w:i/>
          <w:color w:val="231F20"/>
          <w:spacing w:val="-10"/>
          <w:sz w:val="24"/>
        </w:rPr>
        <w:t> </w:t>
      </w:r>
      <w:r>
        <w:rPr>
          <w:i/>
          <w:color w:val="231F20"/>
          <w:spacing w:val="-4"/>
          <w:sz w:val="24"/>
        </w:rPr>
        <w:t>amis</w:t>
      </w:r>
      <w:r>
        <w:rPr>
          <w:i/>
          <w:color w:val="231F20"/>
          <w:spacing w:val="-10"/>
          <w:sz w:val="24"/>
        </w:rPr>
        <w:t> </w:t>
      </w:r>
      <w:r>
        <w:rPr>
          <w:i/>
          <w:color w:val="231F20"/>
          <w:spacing w:val="-4"/>
          <w:sz w:val="24"/>
        </w:rPr>
        <w:t>ici</w:t>
      </w:r>
      <w:r>
        <w:rPr>
          <w:i/>
          <w:color w:val="231F20"/>
          <w:spacing w:val="-11"/>
          <w:sz w:val="24"/>
        </w:rPr>
        <w:t> </w:t>
      </w:r>
      <w:r>
        <w:rPr>
          <w:i/>
          <w:color w:val="231F20"/>
          <w:spacing w:val="-4"/>
          <w:sz w:val="24"/>
        </w:rPr>
        <w:t>et</w:t>
      </w:r>
      <w:r>
        <w:rPr>
          <w:i/>
          <w:color w:val="231F20"/>
          <w:spacing w:val="-7"/>
          <w:sz w:val="24"/>
        </w:rPr>
        <w:t> </w:t>
      </w:r>
      <w:r>
        <w:rPr>
          <w:i/>
          <w:color w:val="231F20"/>
          <w:spacing w:val="-4"/>
          <w:sz w:val="24"/>
        </w:rPr>
        <w:t>qu’en</w:t>
      </w:r>
      <w:r>
        <w:rPr>
          <w:i/>
          <w:color w:val="231F20"/>
          <w:spacing w:val="-7"/>
          <w:sz w:val="24"/>
        </w:rPr>
        <w:t> </w:t>
      </w:r>
      <w:r>
        <w:rPr>
          <w:i/>
          <w:color w:val="231F20"/>
          <w:spacing w:val="-4"/>
          <w:sz w:val="24"/>
        </w:rPr>
        <w:t>cas</w:t>
      </w:r>
      <w:r>
        <w:rPr>
          <w:i/>
          <w:color w:val="231F20"/>
          <w:spacing w:val="-10"/>
          <w:sz w:val="24"/>
        </w:rPr>
        <w:t> </w:t>
      </w:r>
      <w:r>
        <w:rPr>
          <w:i/>
          <w:color w:val="231F20"/>
          <w:spacing w:val="-4"/>
          <w:sz w:val="24"/>
        </w:rPr>
        <w:t>de</w:t>
      </w:r>
      <w:r>
        <w:rPr>
          <w:i/>
          <w:color w:val="231F20"/>
          <w:spacing w:val="-10"/>
          <w:sz w:val="24"/>
        </w:rPr>
        <w:t> </w:t>
      </w:r>
      <w:r>
        <w:rPr>
          <w:i/>
          <w:color w:val="231F20"/>
          <w:spacing w:val="-4"/>
          <w:sz w:val="24"/>
        </w:rPr>
        <w:t>troubles,</w:t>
      </w:r>
      <w:r>
        <w:rPr>
          <w:i/>
          <w:color w:val="231F20"/>
          <w:spacing w:val="-10"/>
          <w:sz w:val="24"/>
        </w:rPr>
        <w:t> </w:t>
      </w:r>
      <w:r>
        <w:rPr>
          <w:i/>
          <w:color w:val="231F20"/>
          <w:spacing w:val="-4"/>
          <w:sz w:val="24"/>
        </w:rPr>
        <w:t>nous</w:t>
      </w:r>
      <w:r>
        <w:rPr>
          <w:i/>
          <w:color w:val="231F20"/>
          <w:spacing w:val="-10"/>
          <w:sz w:val="24"/>
        </w:rPr>
        <w:t> </w:t>
      </w:r>
      <w:r>
        <w:rPr>
          <w:i/>
          <w:color w:val="231F20"/>
          <w:spacing w:val="-4"/>
          <w:sz w:val="24"/>
        </w:rPr>
        <w:t>nous</w:t>
      </w:r>
      <w:r>
        <w:rPr>
          <w:i/>
          <w:color w:val="231F20"/>
          <w:spacing w:val="-10"/>
          <w:sz w:val="24"/>
        </w:rPr>
        <w:t> </w:t>
      </w:r>
      <w:r>
        <w:rPr>
          <w:i/>
          <w:color w:val="231F20"/>
          <w:spacing w:val="-4"/>
          <w:sz w:val="24"/>
        </w:rPr>
        <w:t>occuperons </w:t>
      </w:r>
      <w:r>
        <w:rPr>
          <w:i/>
          <w:color w:val="231F20"/>
          <w:sz w:val="24"/>
        </w:rPr>
        <w:t>d’eux</w:t>
      </w:r>
      <w:r>
        <w:rPr>
          <w:i/>
          <w:color w:val="231F20"/>
          <w:spacing w:val="-4"/>
          <w:sz w:val="24"/>
        </w:rPr>
        <w:t> </w:t>
      </w:r>
      <w:r>
        <w:rPr>
          <w:i/>
          <w:color w:val="231F20"/>
          <w:sz w:val="24"/>
        </w:rPr>
        <w:t>(...)</w:t>
      </w:r>
      <w:r>
        <w:rPr>
          <w:i/>
          <w:color w:val="231F20"/>
          <w:spacing w:val="-4"/>
          <w:sz w:val="24"/>
        </w:rPr>
        <w:t> </w:t>
      </w:r>
      <w:r>
        <w:rPr>
          <w:i/>
          <w:color w:val="231F20"/>
          <w:sz w:val="24"/>
        </w:rPr>
        <w:t>Un</w:t>
      </w:r>
      <w:r>
        <w:rPr>
          <w:i/>
          <w:color w:val="231F20"/>
          <w:spacing w:val="-4"/>
          <w:sz w:val="24"/>
        </w:rPr>
        <w:t> </w:t>
      </w:r>
      <w:r>
        <w:rPr>
          <w:i/>
          <w:color w:val="231F20"/>
          <w:sz w:val="24"/>
        </w:rPr>
        <w:t>peuple</w:t>
      </w:r>
      <w:r>
        <w:rPr>
          <w:i/>
          <w:color w:val="231F20"/>
          <w:spacing w:val="-4"/>
          <w:sz w:val="24"/>
        </w:rPr>
        <w:t> </w:t>
      </w:r>
      <w:r>
        <w:rPr>
          <w:i/>
          <w:color w:val="231F20"/>
          <w:sz w:val="24"/>
        </w:rPr>
        <w:t>ne</w:t>
      </w:r>
      <w:r>
        <w:rPr>
          <w:i/>
          <w:color w:val="231F20"/>
          <w:spacing w:val="-7"/>
          <w:sz w:val="24"/>
        </w:rPr>
        <w:t> </w:t>
      </w:r>
      <w:r>
        <w:rPr>
          <w:i/>
          <w:color w:val="231F20"/>
          <w:sz w:val="24"/>
        </w:rPr>
        <w:t>peut</w:t>
      </w:r>
      <w:r>
        <w:rPr>
          <w:i/>
          <w:color w:val="231F20"/>
          <w:spacing w:val="-4"/>
          <w:sz w:val="24"/>
        </w:rPr>
        <w:t> </w:t>
      </w:r>
      <w:r>
        <w:rPr>
          <w:i/>
          <w:color w:val="231F20"/>
          <w:sz w:val="24"/>
        </w:rPr>
        <w:t>pas</w:t>
      </w:r>
      <w:r>
        <w:rPr>
          <w:i/>
          <w:color w:val="231F20"/>
          <w:spacing w:val="-4"/>
          <w:sz w:val="24"/>
        </w:rPr>
        <w:t> </w:t>
      </w:r>
      <w:r>
        <w:rPr>
          <w:i/>
          <w:color w:val="231F20"/>
          <w:sz w:val="24"/>
        </w:rPr>
        <w:t>assister</w:t>
      </w:r>
      <w:r>
        <w:rPr>
          <w:i/>
          <w:color w:val="231F20"/>
          <w:spacing w:val="-6"/>
          <w:sz w:val="24"/>
        </w:rPr>
        <w:t> </w:t>
      </w:r>
      <w:r>
        <w:rPr>
          <w:i/>
          <w:color w:val="231F20"/>
          <w:sz w:val="24"/>
        </w:rPr>
        <w:t>passif</w:t>
      </w:r>
      <w:r>
        <w:rPr>
          <w:i/>
          <w:color w:val="231F20"/>
          <w:spacing w:val="-4"/>
          <w:sz w:val="24"/>
        </w:rPr>
        <w:t> </w:t>
      </w:r>
      <w:r>
        <w:rPr>
          <w:i/>
          <w:color w:val="231F20"/>
          <w:sz w:val="24"/>
        </w:rPr>
        <w:t>et</w:t>
      </w:r>
      <w:r>
        <w:rPr>
          <w:i/>
          <w:color w:val="231F20"/>
          <w:spacing w:val="-8"/>
          <w:sz w:val="24"/>
        </w:rPr>
        <w:t> </w:t>
      </w:r>
      <w:r>
        <w:rPr>
          <w:i/>
          <w:color w:val="231F20"/>
          <w:sz w:val="24"/>
        </w:rPr>
        <w:t>résigné</w:t>
      </w:r>
      <w:r>
        <w:rPr>
          <w:i/>
          <w:color w:val="231F20"/>
          <w:spacing w:val="-7"/>
          <w:sz w:val="24"/>
        </w:rPr>
        <w:t> </w:t>
      </w:r>
      <w:r>
        <w:rPr>
          <w:i/>
          <w:color w:val="231F20"/>
          <w:sz w:val="24"/>
        </w:rPr>
        <w:t>à</w:t>
      </w:r>
      <w:r>
        <w:rPr>
          <w:i/>
          <w:color w:val="231F20"/>
          <w:spacing w:val="-7"/>
          <w:sz w:val="24"/>
        </w:rPr>
        <w:t> </w:t>
      </w:r>
      <w:r>
        <w:rPr>
          <w:i/>
          <w:color w:val="231F20"/>
          <w:sz w:val="24"/>
        </w:rPr>
        <w:t>la</w:t>
      </w:r>
      <w:r>
        <w:rPr>
          <w:i/>
          <w:color w:val="231F20"/>
          <w:spacing w:val="-4"/>
          <w:sz w:val="24"/>
        </w:rPr>
        <w:t> </w:t>
      </w:r>
      <w:r>
        <w:rPr>
          <w:i/>
          <w:color w:val="231F20"/>
          <w:sz w:val="24"/>
        </w:rPr>
        <w:t>création des</w:t>
      </w:r>
      <w:r>
        <w:rPr>
          <w:i/>
          <w:color w:val="231F20"/>
          <w:spacing w:val="-1"/>
          <w:sz w:val="24"/>
        </w:rPr>
        <w:t> </w:t>
      </w:r>
      <w:r>
        <w:rPr>
          <w:i/>
          <w:color w:val="231F20"/>
          <w:sz w:val="24"/>
        </w:rPr>
        <w:t>richesses</w:t>
      </w:r>
      <w:r>
        <w:rPr>
          <w:i/>
          <w:color w:val="231F20"/>
          <w:spacing w:val="-5"/>
          <w:sz w:val="24"/>
        </w:rPr>
        <w:t> </w:t>
      </w:r>
      <w:r>
        <w:rPr>
          <w:i/>
          <w:color w:val="231F20"/>
          <w:sz w:val="24"/>
        </w:rPr>
        <w:t>de</w:t>
      </w:r>
      <w:r>
        <w:rPr>
          <w:i/>
          <w:color w:val="231F20"/>
          <w:spacing w:val="-1"/>
          <w:sz w:val="24"/>
        </w:rPr>
        <w:t> </w:t>
      </w:r>
      <w:r>
        <w:rPr>
          <w:i/>
          <w:color w:val="231F20"/>
          <w:sz w:val="24"/>
        </w:rPr>
        <w:t>son</w:t>
      </w:r>
      <w:r>
        <w:rPr>
          <w:i/>
          <w:color w:val="231F20"/>
          <w:spacing w:val="-1"/>
          <w:sz w:val="24"/>
        </w:rPr>
        <w:t> </w:t>
      </w:r>
      <w:r>
        <w:rPr>
          <w:i/>
          <w:color w:val="231F20"/>
          <w:sz w:val="24"/>
        </w:rPr>
        <w:t>pays</w:t>
      </w:r>
      <w:r>
        <w:rPr>
          <w:i/>
          <w:color w:val="231F20"/>
          <w:spacing w:val="-5"/>
          <w:sz w:val="24"/>
        </w:rPr>
        <w:t> </w:t>
      </w:r>
      <w:r>
        <w:rPr>
          <w:i/>
          <w:color w:val="231F20"/>
          <w:sz w:val="24"/>
        </w:rPr>
        <w:t>par</w:t>
      </w:r>
      <w:r>
        <w:rPr>
          <w:i/>
          <w:color w:val="231F20"/>
          <w:spacing w:val="-5"/>
          <w:sz w:val="24"/>
        </w:rPr>
        <w:t> </w:t>
      </w:r>
      <w:r>
        <w:rPr>
          <w:i/>
          <w:color w:val="231F20"/>
          <w:sz w:val="24"/>
        </w:rPr>
        <w:t>les</w:t>
      </w:r>
      <w:r>
        <w:rPr>
          <w:i/>
          <w:color w:val="231F20"/>
          <w:spacing w:val="-1"/>
          <w:sz w:val="24"/>
        </w:rPr>
        <w:t> </w:t>
      </w:r>
      <w:r>
        <w:rPr>
          <w:i/>
          <w:color w:val="231F20"/>
          <w:sz w:val="24"/>
        </w:rPr>
        <w:t>seuls</w:t>
      </w:r>
      <w:r>
        <w:rPr>
          <w:i/>
          <w:color w:val="231F20"/>
          <w:spacing w:val="-1"/>
          <w:sz w:val="24"/>
        </w:rPr>
        <w:t> </w:t>
      </w:r>
      <w:r>
        <w:rPr>
          <w:i/>
          <w:color w:val="231F20"/>
          <w:sz w:val="24"/>
        </w:rPr>
        <w:t>étrangers</w:t>
      </w:r>
      <w:r>
        <w:rPr>
          <w:color w:val="231F20"/>
          <w:sz w:val="24"/>
          <w:vertAlign w:val="superscript"/>
        </w:rPr>
        <w:t>169</w:t>
      </w:r>
      <w:r>
        <w:rPr>
          <w:color w:val="231F20"/>
          <w:sz w:val="24"/>
          <w:vertAlign w:val="baseline"/>
        </w:rPr>
        <w:t>(...)»</w:t>
      </w:r>
    </w:p>
    <w:p>
      <w:pPr>
        <w:pStyle w:val="BodyText"/>
        <w:spacing w:before="120"/>
        <w:ind w:right="107" w:firstLine="283"/>
      </w:pPr>
      <w:r>
        <w:rPr>
          <w:color w:val="231F20"/>
          <w:spacing w:val="-2"/>
        </w:rPr>
        <w:t>A</w:t>
      </w:r>
      <w:r>
        <w:rPr>
          <w:color w:val="231F20"/>
          <w:spacing w:val="-9"/>
        </w:rPr>
        <w:t> </w:t>
      </w:r>
      <w:r>
        <w:rPr>
          <w:color w:val="231F20"/>
          <w:spacing w:val="-2"/>
        </w:rPr>
        <w:t>l’approche</w:t>
      </w:r>
      <w:r>
        <w:rPr>
          <w:color w:val="231F20"/>
          <w:spacing w:val="-9"/>
        </w:rPr>
        <w:t> </w:t>
      </w:r>
      <w:r>
        <w:rPr>
          <w:color w:val="231F20"/>
          <w:spacing w:val="-2"/>
        </w:rPr>
        <w:t>des</w:t>
      </w:r>
      <w:r>
        <w:rPr>
          <w:color w:val="231F20"/>
          <w:spacing w:val="-9"/>
        </w:rPr>
        <w:t> </w:t>
      </w:r>
      <w:r>
        <w:rPr>
          <w:color w:val="231F20"/>
          <w:spacing w:val="-2"/>
        </w:rPr>
        <w:t>élections,</w:t>
      </w:r>
      <w:r>
        <w:rPr>
          <w:color w:val="231F20"/>
          <w:spacing w:val="-9"/>
        </w:rPr>
        <w:t> </w:t>
      </w:r>
      <w:r>
        <w:rPr>
          <w:color w:val="231F20"/>
          <w:spacing w:val="-2"/>
        </w:rPr>
        <w:t>Gbagbo</w:t>
      </w:r>
      <w:r>
        <w:rPr>
          <w:color w:val="231F20"/>
          <w:spacing w:val="-11"/>
        </w:rPr>
        <w:t> </w:t>
      </w:r>
      <w:r>
        <w:rPr>
          <w:color w:val="231F20"/>
          <w:spacing w:val="-2"/>
        </w:rPr>
        <w:t>qui</w:t>
      </w:r>
      <w:r>
        <w:rPr>
          <w:color w:val="231F20"/>
          <w:spacing w:val="-6"/>
        </w:rPr>
        <w:t> </w:t>
      </w:r>
      <w:r>
        <w:rPr>
          <w:color w:val="231F20"/>
          <w:spacing w:val="-2"/>
        </w:rPr>
        <w:t>a</w:t>
      </w:r>
      <w:r>
        <w:rPr>
          <w:color w:val="231F20"/>
          <w:spacing w:val="-9"/>
        </w:rPr>
        <w:t> </w:t>
      </w:r>
      <w:r>
        <w:rPr>
          <w:color w:val="231F20"/>
          <w:spacing w:val="-2"/>
        </w:rPr>
        <w:t>compris</w:t>
      </w:r>
      <w:r>
        <w:rPr>
          <w:color w:val="231F20"/>
          <w:spacing w:val="-10"/>
        </w:rPr>
        <w:t> </w:t>
      </w:r>
      <w:r>
        <w:rPr>
          <w:color w:val="231F20"/>
          <w:spacing w:val="-2"/>
        </w:rPr>
        <w:t>que</w:t>
      </w:r>
      <w:r>
        <w:rPr>
          <w:color w:val="231F20"/>
          <w:spacing w:val="-9"/>
        </w:rPr>
        <w:t> </w:t>
      </w:r>
      <w:r>
        <w:rPr>
          <w:color w:val="231F20"/>
          <w:spacing w:val="-2"/>
        </w:rPr>
        <w:t>le</w:t>
      </w:r>
      <w:r>
        <w:rPr>
          <w:color w:val="231F20"/>
          <w:spacing w:val="-9"/>
        </w:rPr>
        <w:t> </w:t>
      </w:r>
      <w:r>
        <w:rPr>
          <w:color w:val="231F20"/>
          <w:spacing w:val="-2"/>
        </w:rPr>
        <w:t>rôle</w:t>
      </w:r>
      <w:r>
        <w:rPr>
          <w:color w:val="231F20"/>
          <w:spacing w:val="-9"/>
        </w:rPr>
        <w:t> </w:t>
      </w:r>
      <w:r>
        <w:rPr>
          <w:color w:val="231F20"/>
          <w:spacing w:val="-2"/>
        </w:rPr>
        <w:t>qu’il</w:t>
      </w:r>
      <w:r>
        <w:rPr>
          <w:color w:val="231F20"/>
          <w:spacing w:val="-9"/>
        </w:rPr>
        <w:t> </w:t>
      </w:r>
      <w:r>
        <w:rPr>
          <w:color w:val="231F20"/>
          <w:spacing w:val="-2"/>
        </w:rPr>
        <w:t>a</w:t>
      </w:r>
      <w:r>
        <w:rPr>
          <w:color w:val="231F20"/>
          <w:spacing w:val="-9"/>
        </w:rPr>
        <w:t> </w:t>
      </w:r>
      <w:r>
        <w:rPr>
          <w:color w:val="231F20"/>
          <w:spacing w:val="-2"/>
        </w:rPr>
        <w:t>à jouer</w:t>
      </w:r>
      <w:r>
        <w:rPr>
          <w:color w:val="231F20"/>
          <w:spacing w:val="-13"/>
        </w:rPr>
        <w:t> </w:t>
      </w:r>
      <w:r>
        <w:rPr>
          <w:color w:val="231F20"/>
          <w:spacing w:val="-2"/>
        </w:rPr>
        <w:t>dans</w:t>
      </w:r>
      <w:r>
        <w:rPr>
          <w:color w:val="231F20"/>
          <w:spacing w:val="-13"/>
        </w:rPr>
        <w:t> </w:t>
      </w:r>
      <w:r>
        <w:rPr>
          <w:color w:val="231F20"/>
          <w:spacing w:val="-2"/>
        </w:rPr>
        <w:t>ce</w:t>
      </w:r>
      <w:r>
        <w:rPr>
          <w:color w:val="231F20"/>
          <w:spacing w:val="-13"/>
        </w:rPr>
        <w:t> </w:t>
      </w:r>
      <w:r>
        <w:rPr>
          <w:color w:val="231F20"/>
          <w:spacing w:val="-2"/>
        </w:rPr>
        <w:t>scrutin</w:t>
      </w:r>
      <w:r>
        <w:rPr>
          <w:color w:val="231F20"/>
          <w:spacing w:val="-11"/>
        </w:rPr>
        <w:t> </w:t>
      </w:r>
      <w:r>
        <w:rPr>
          <w:color w:val="231F20"/>
          <w:spacing w:val="-2"/>
        </w:rPr>
        <w:t>est</w:t>
      </w:r>
      <w:r>
        <w:rPr>
          <w:color w:val="231F20"/>
          <w:spacing w:val="-11"/>
        </w:rPr>
        <w:t> </w:t>
      </w:r>
      <w:r>
        <w:rPr>
          <w:color w:val="231F20"/>
          <w:spacing w:val="-2"/>
        </w:rPr>
        <w:t>celui</w:t>
      </w:r>
      <w:r>
        <w:rPr>
          <w:color w:val="231F20"/>
          <w:spacing w:val="-13"/>
        </w:rPr>
        <w:t> </w:t>
      </w:r>
      <w:r>
        <w:rPr>
          <w:color w:val="231F20"/>
          <w:spacing w:val="-2"/>
        </w:rPr>
        <w:t>d’un</w:t>
      </w:r>
      <w:r>
        <w:rPr>
          <w:color w:val="231F20"/>
          <w:spacing w:val="-13"/>
        </w:rPr>
        <w:t> </w:t>
      </w:r>
      <w:r>
        <w:rPr>
          <w:color w:val="231F20"/>
          <w:spacing w:val="-2"/>
        </w:rPr>
        <w:t>faire-valoir,</w:t>
      </w:r>
      <w:r>
        <w:rPr>
          <w:color w:val="231F20"/>
          <w:spacing w:val="-13"/>
        </w:rPr>
        <w:t> </w:t>
      </w:r>
      <w:r>
        <w:rPr>
          <w:color w:val="231F20"/>
          <w:spacing w:val="-2"/>
        </w:rPr>
        <w:t>prend</w:t>
      </w:r>
      <w:r>
        <w:rPr>
          <w:color w:val="231F20"/>
          <w:spacing w:val="-12"/>
        </w:rPr>
        <w:t> </w:t>
      </w:r>
      <w:r>
        <w:rPr>
          <w:color w:val="231F20"/>
          <w:spacing w:val="-2"/>
        </w:rPr>
        <w:t>ses</w:t>
      </w:r>
      <w:r>
        <w:rPr>
          <w:color w:val="231F20"/>
          <w:spacing w:val="-13"/>
        </w:rPr>
        <w:t> </w:t>
      </w:r>
      <w:r>
        <w:rPr>
          <w:color w:val="231F20"/>
          <w:spacing w:val="-2"/>
        </w:rPr>
        <w:t>distances</w:t>
      </w:r>
      <w:r>
        <w:rPr>
          <w:color w:val="231F20"/>
          <w:spacing w:val="-11"/>
        </w:rPr>
        <w:t> </w:t>
      </w:r>
      <w:r>
        <w:rPr>
          <w:color w:val="231F20"/>
          <w:spacing w:val="-2"/>
        </w:rPr>
        <w:t>vis-à- </w:t>
      </w:r>
      <w:r>
        <w:rPr>
          <w:color w:val="231F20"/>
        </w:rPr>
        <w:t>vis du Général.</w:t>
      </w:r>
    </w:p>
    <w:p>
      <w:pPr>
        <w:pStyle w:val="BodyText"/>
        <w:spacing w:before="121"/>
        <w:ind w:right="101" w:firstLine="283"/>
      </w:pPr>
      <w:r>
        <w:rPr>
          <w:color w:val="231F20"/>
        </w:rPr>
        <w:t>Les premiers résultats annoncent largement le candidat Laurent </w:t>
      </w:r>
      <w:r>
        <w:rPr>
          <w:color w:val="231F20"/>
          <w:spacing w:val="-4"/>
        </w:rPr>
        <w:t>Gbagbo</w:t>
      </w:r>
      <w:r>
        <w:rPr>
          <w:color w:val="231F20"/>
          <w:spacing w:val="-10"/>
        </w:rPr>
        <w:t> </w:t>
      </w:r>
      <w:r>
        <w:rPr>
          <w:color w:val="231F20"/>
          <w:spacing w:val="-4"/>
        </w:rPr>
        <w:t>en</w:t>
      </w:r>
      <w:r>
        <w:rPr>
          <w:color w:val="231F20"/>
          <w:spacing w:val="-10"/>
        </w:rPr>
        <w:t> </w:t>
      </w:r>
      <w:r>
        <w:rPr>
          <w:color w:val="231F20"/>
          <w:spacing w:val="-4"/>
        </w:rPr>
        <w:t>tête.</w:t>
      </w:r>
      <w:r>
        <w:rPr>
          <w:color w:val="231F20"/>
          <w:spacing w:val="-11"/>
        </w:rPr>
        <w:t> </w:t>
      </w:r>
      <w:r>
        <w:rPr>
          <w:color w:val="231F20"/>
          <w:spacing w:val="-4"/>
        </w:rPr>
        <w:t>Le</w:t>
      </w:r>
      <w:r>
        <w:rPr>
          <w:color w:val="231F20"/>
          <w:spacing w:val="-11"/>
        </w:rPr>
        <w:t> </w:t>
      </w:r>
      <w:r>
        <w:rPr>
          <w:color w:val="231F20"/>
          <w:spacing w:val="-4"/>
        </w:rPr>
        <w:t>Patron</w:t>
      </w:r>
      <w:r>
        <w:rPr>
          <w:color w:val="231F20"/>
          <w:spacing w:val="-11"/>
        </w:rPr>
        <w:t> </w:t>
      </w:r>
      <w:r>
        <w:rPr>
          <w:color w:val="231F20"/>
          <w:spacing w:val="-4"/>
        </w:rPr>
        <w:t>de</w:t>
      </w:r>
      <w:r>
        <w:rPr>
          <w:color w:val="231F20"/>
          <w:spacing w:val="-8"/>
        </w:rPr>
        <w:t> </w:t>
      </w:r>
      <w:r>
        <w:rPr>
          <w:color w:val="231F20"/>
          <w:spacing w:val="-4"/>
        </w:rPr>
        <w:t>la</w:t>
      </w:r>
      <w:r>
        <w:rPr>
          <w:color w:val="231F20"/>
          <w:spacing w:val="-11"/>
        </w:rPr>
        <w:t> </w:t>
      </w:r>
      <w:r>
        <w:rPr>
          <w:color w:val="231F20"/>
          <w:spacing w:val="-4"/>
        </w:rPr>
        <w:t>junte</w:t>
      </w:r>
      <w:r>
        <w:rPr>
          <w:color w:val="231F20"/>
          <w:spacing w:val="-11"/>
        </w:rPr>
        <w:t> </w:t>
      </w:r>
      <w:r>
        <w:rPr>
          <w:color w:val="231F20"/>
          <w:spacing w:val="-4"/>
        </w:rPr>
        <w:t>militaire</w:t>
      </w:r>
      <w:r>
        <w:rPr>
          <w:color w:val="231F20"/>
          <w:spacing w:val="-8"/>
        </w:rPr>
        <w:t> </w:t>
      </w:r>
      <w:r>
        <w:rPr>
          <w:color w:val="231F20"/>
          <w:spacing w:val="-4"/>
        </w:rPr>
        <w:t>envoie</w:t>
      </w:r>
      <w:r>
        <w:rPr>
          <w:color w:val="231F20"/>
          <w:spacing w:val="-11"/>
        </w:rPr>
        <w:t> </w:t>
      </w:r>
      <w:r>
        <w:rPr>
          <w:color w:val="231F20"/>
          <w:spacing w:val="-4"/>
        </w:rPr>
        <w:t>ses</w:t>
      </w:r>
      <w:r>
        <w:rPr>
          <w:color w:val="231F20"/>
          <w:spacing w:val="-8"/>
        </w:rPr>
        <w:t> </w:t>
      </w:r>
      <w:r>
        <w:rPr>
          <w:color w:val="231F20"/>
          <w:spacing w:val="-4"/>
        </w:rPr>
        <w:t>hommes</w:t>
      </w:r>
      <w:r>
        <w:rPr>
          <w:color w:val="231F20"/>
          <w:spacing w:val="-9"/>
        </w:rPr>
        <w:t> </w:t>
      </w:r>
      <w:r>
        <w:rPr>
          <w:color w:val="231F20"/>
          <w:spacing w:val="-4"/>
        </w:rPr>
        <w:t>chasser </w:t>
      </w:r>
      <w:r>
        <w:rPr>
          <w:color w:val="231F20"/>
        </w:rPr>
        <w:t>les</w:t>
      </w:r>
      <w:r>
        <w:rPr>
          <w:color w:val="231F20"/>
          <w:spacing w:val="-11"/>
        </w:rPr>
        <w:t> </w:t>
      </w:r>
      <w:r>
        <w:rPr>
          <w:color w:val="231F20"/>
        </w:rPr>
        <w:t>membres</w:t>
      </w:r>
      <w:r>
        <w:rPr>
          <w:color w:val="231F20"/>
          <w:spacing w:val="-9"/>
        </w:rPr>
        <w:t> </w:t>
      </w:r>
      <w:r>
        <w:rPr>
          <w:color w:val="231F20"/>
        </w:rPr>
        <w:t>de</w:t>
      </w:r>
      <w:r>
        <w:rPr>
          <w:color w:val="231F20"/>
          <w:spacing w:val="-11"/>
        </w:rPr>
        <w:t> </w:t>
      </w:r>
      <w:r>
        <w:rPr>
          <w:color w:val="231F20"/>
        </w:rPr>
        <w:t>la</w:t>
      </w:r>
      <w:r>
        <w:rPr>
          <w:color w:val="231F20"/>
          <w:spacing w:val="-11"/>
        </w:rPr>
        <w:t> </w:t>
      </w:r>
      <w:r>
        <w:rPr>
          <w:color w:val="231F20"/>
        </w:rPr>
        <w:t>Commission</w:t>
      </w:r>
      <w:r>
        <w:rPr>
          <w:color w:val="231F20"/>
          <w:spacing w:val="-10"/>
        </w:rPr>
        <w:t> </w:t>
      </w:r>
      <w:r>
        <w:rPr>
          <w:color w:val="231F20"/>
        </w:rPr>
        <w:t>Électorale</w:t>
      </w:r>
      <w:r>
        <w:rPr>
          <w:color w:val="231F20"/>
          <w:spacing w:val="-11"/>
        </w:rPr>
        <w:t> </w:t>
      </w:r>
      <w:r>
        <w:rPr>
          <w:color w:val="231F20"/>
        </w:rPr>
        <w:t>et</w:t>
      </w:r>
      <w:r>
        <w:rPr>
          <w:color w:val="231F20"/>
          <w:spacing w:val="-10"/>
        </w:rPr>
        <w:t> </w:t>
      </w:r>
      <w:r>
        <w:rPr>
          <w:color w:val="231F20"/>
        </w:rPr>
        <w:t>fait</w:t>
      </w:r>
      <w:r>
        <w:rPr>
          <w:color w:val="231F20"/>
          <w:spacing w:val="-10"/>
        </w:rPr>
        <w:t> </w:t>
      </w:r>
      <w:r>
        <w:rPr>
          <w:color w:val="231F20"/>
        </w:rPr>
        <w:t>conduire</w:t>
      </w:r>
      <w:r>
        <w:rPr>
          <w:color w:val="231F20"/>
          <w:spacing w:val="-11"/>
        </w:rPr>
        <w:t> </w:t>
      </w:r>
      <w:r>
        <w:rPr>
          <w:color w:val="231F20"/>
        </w:rPr>
        <w:t>son</w:t>
      </w:r>
      <w:r>
        <w:rPr>
          <w:color w:val="231F20"/>
          <w:spacing w:val="-11"/>
        </w:rPr>
        <w:t> </w:t>
      </w:r>
      <w:r>
        <w:rPr>
          <w:color w:val="231F20"/>
        </w:rPr>
        <w:t>président Honoré Guié</w:t>
      </w:r>
      <w:r>
        <w:rPr>
          <w:color w:val="231F20"/>
          <w:vertAlign w:val="superscript"/>
        </w:rPr>
        <w:t>170</w:t>
      </w:r>
      <w:r>
        <w:rPr>
          <w:color w:val="231F20"/>
          <w:vertAlign w:val="baseline"/>
        </w:rPr>
        <w:t> sous escorte jusqu’au palais présidentiel.</w:t>
      </w:r>
      <w:r>
        <w:rPr>
          <w:color w:val="231F20"/>
          <w:spacing w:val="-15"/>
          <w:vertAlign w:val="baseline"/>
        </w:rPr>
        <w:t> </w:t>
      </w:r>
      <w:r>
        <w:rPr>
          <w:color w:val="231F20"/>
          <w:vertAlign w:val="baseline"/>
        </w:rPr>
        <w:t>Il dissout la Commission</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remplace</w:t>
      </w:r>
      <w:r>
        <w:rPr>
          <w:color w:val="231F20"/>
          <w:spacing w:val="-15"/>
          <w:vertAlign w:val="baseline"/>
        </w:rPr>
        <w:t> </w:t>
      </w:r>
      <w:r>
        <w:rPr>
          <w:color w:val="231F20"/>
          <w:vertAlign w:val="baseline"/>
        </w:rPr>
        <w:t>par</w:t>
      </w:r>
      <w:r>
        <w:rPr>
          <w:color w:val="231F20"/>
          <w:spacing w:val="-15"/>
          <w:vertAlign w:val="baseline"/>
        </w:rPr>
        <w:t> </w:t>
      </w:r>
      <w:r>
        <w:rPr>
          <w:color w:val="231F20"/>
          <w:vertAlign w:val="baseline"/>
        </w:rPr>
        <w:t>le</w:t>
      </w:r>
      <w:r>
        <w:rPr>
          <w:color w:val="231F20"/>
          <w:spacing w:val="-15"/>
          <w:vertAlign w:val="baseline"/>
        </w:rPr>
        <w:t> </w:t>
      </w:r>
      <w:r>
        <w:rPr>
          <w:color w:val="231F20"/>
          <w:vertAlign w:val="baseline"/>
        </w:rPr>
        <w:t>ministère</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l’intérieur</w:t>
      </w:r>
      <w:r>
        <w:rPr>
          <w:color w:val="231F20"/>
          <w:spacing w:val="-15"/>
          <w:vertAlign w:val="baseline"/>
        </w:rPr>
        <w:t> </w:t>
      </w:r>
      <w:r>
        <w:rPr>
          <w:color w:val="231F20"/>
          <w:vertAlign w:val="baseline"/>
        </w:rPr>
        <w:t>qui</w:t>
      </w:r>
      <w:r>
        <w:rPr>
          <w:color w:val="231F20"/>
          <w:spacing w:val="-14"/>
          <w:vertAlign w:val="baseline"/>
        </w:rPr>
        <w:t> </w:t>
      </w:r>
      <w:r>
        <w:rPr>
          <w:color w:val="231F20"/>
          <w:vertAlign w:val="baseline"/>
        </w:rPr>
        <w:t>annonce</w:t>
      </w:r>
      <w:r>
        <w:rPr>
          <w:color w:val="231F20"/>
          <w:spacing w:val="-15"/>
          <w:vertAlign w:val="baseline"/>
        </w:rPr>
        <w:t> </w:t>
      </w:r>
      <w:r>
        <w:rPr>
          <w:color w:val="231F20"/>
          <w:vertAlign w:val="baseline"/>
        </w:rPr>
        <w:t>le </w:t>
      </w:r>
      <w:r>
        <w:rPr>
          <w:color w:val="231F20"/>
          <w:spacing w:val="-2"/>
          <w:vertAlign w:val="baseline"/>
        </w:rPr>
        <w:t>24</w:t>
      </w:r>
      <w:r>
        <w:rPr>
          <w:color w:val="231F20"/>
          <w:spacing w:val="-13"/>
          <w:vertAlign w:val="baseline"/>
        </w:rPr>
        <w:t> </w:t>
      </w:r>
      <w:r>
        <w:rPr>
          <w:color w:val="231F20"/>
          <w:spacing w:val="-2"/>
          <w:vertAlign w:val="baseline"/>
        </w:rPr>
        <w:t>octobre,</w:t>
      </w:r>
      <w:r>
        <w:rPr>
          <w:color w:val="231F20"/>
          <w:spacing w:val="-13"/>
          <w:vertAlign w:val="baseline"/>
        </w:rPr>
        <w:t> </w:t>
      </w:r>
      <w:r>
        <w:rPr>
          <w:color w:val="231F20"/>
          <w:spacing w:val="-2"/>
          <w:vertAlign w:val="baseline"/>
        </w:rPr>
        <w:t>l’élection</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Robert</w:t>
      </w:r>
      <w:r>
        <w:rPr>
          <w:color w:val="231F20"/>
          <w:spacing w:val="-13"/>
          <w:vertAlign w:val="baseline"/>
        </w:rPr>
        <w:t> </w:t>
      </w:r>
      <w:r>
        <w:rPr>
          <w:color w:val="231F20"/>
          <w:spacing w:val="-2"/>
          <w:vertAlign w:val="baseline"/>
        </w:rPr>
        <w:t>Gueï</w:t>
      </w:r>
      <w:r>
        <w:rPr>
          <w:color w:val="231F20"/>
          <w:spacing w:val="-13"/>
          <w:vertAlign w:val="baseline"/>
        </w:rPr>
        <w:t> </w:t>
      </w:r>
      <w:r>
        <w:rPr>
          <w:color w:val="231F20"/>
          <w:spacing w:val="-2"/>
          <w:vertAlign w:val="baseline"/>
        </w:rPr>
        <w:t>avec</w:t>
      </w:r>
      <w:r>
        <w:rPr>
          <w:color w:val="231F20"/>
          <w:spacing w:val="-13"/>
          <w:vertAlign w:val="baseline"/>
        </w:rPr>
        <w:t> </w:t>
      </w:r>
      <w:r>
        <w:rPr>
          <w:color w:val="231F20"/>
          <w:spacing w:val="-2"/>
          <w:vertAlign w:val="baseline"/>
        </w:rPr>
        <w:t>52,72</w:t>
      </w:r>
      <w:r>
        <w:rPr>
          <w:color w:val="231F20"/>
          <w:spacing w:val="-11"/>
          <w:vertAlign w:val="baseline"/>
        </w:rPr>
        <w:t> </w:t>
      </w:r>
      <w:r>
        <w:rPr>
          <w:color w:val="231F20"/>
          <w:spacing w:val="-2"/>
          <w:vertAlign w:val="baseline"/>
        </w:rPr>
        <w:t>%</w:t>
      </w:r>
      <w:r>
        <w:rPr>
          <w:color w:val="231F20"/>
          <w:spacing w:val="-12"/>
          <w:vertAlign w:val="baseline"/>
        </w:rPr>
        <w:t> </w:t>
      </w:r>
      <w:r>
        <w:rPr>
          <w:color w:val="231F20"/>
          <w:spacing w:val="-2"/>
          <w:vertAlign w:val="baseline"/>
        </w:rPr>
        <w:t>des</w:t>
      </w:r>
      <w:r>
        <w:rPr>
          <w:color w:val="231F20"/>
          <w:spacing w:val="-13"/>
          <w:vertAlign w:val="baseline"/>
        </w:rPr>
        <w:t> </w:t>
      </w:r>
      <w:r>
        <w:rPr>
          <w:color w:val="231F20"/>
          <w:spacing w:val="-2"/>
          <w:vertAlign w:val="baseline"/>
        </w:rPr>
        <w:t>voix.</w:t>
      </w:r>
      <w:r>
        <w:rPr>
          <w:color w:val="231F20"/>
          <w:spacing w:val="-13"/>
          <w:vertAlign w:val="baseline"/>
        </w:rPr>
        <w:t> </w:t>
      </w:r>
      <w:r>
        <w:rPr>
          <w:color w:val="231F20"/>
          <w:spacing w:val="-2"/>
          <w:vertAlign w:val="baseline"/>
        </w:rPr>
        <w:t>Aussitôt,</w:t>
      </w:r>
      <w:r>
        <w:rPr>
          <w:color w:val="231F20"/>
          <w:spacing w:val="-12"/>
          <w:vertAlign w:val="baseline"/>
        </w:rPr>
        <w:t> </w:t>
      </w:r>
      <w:r>
        <w:rPr>
          <w:color w:val="231F20"/>
          <w:spacing w:val="-2"/>
          <w:vertAlign w:val="baseline"/>
        </w:rPr>
        <w:t>ce dernier</w:t>
      </w:r>
      <w:r>
        <w:rPr>
          <w:color w:val="231F20"/>
          <w:spacing w:val="-15"/>
          <w:vertAlign w:val="baseline"/>
        </w:rPr>
        <w:t> </w:t>
      </w:r>
      <w:r>
        <w:rPr>
          <w:color w:val="231F20"/>
          <w:spacing w:val="-2"/>
          <w:vertAlign w:val="baseline"/>
        </w:rPr>
        <w:t>se</w:t>
      </w:r>
      <w:r>
        <w:rPr>
          <w:color w:val="231F20"/>
          <w:spacing w:val="-13"/>
          <w:vertAlign w:val="baseline"/>
        </w:rPr>
        <w:t> </w:t>
      </w:r>
      <w:r>
        <w:rPr>
          <w:color w:val="231F20"/>
          <w:spacing w:val="-2"/>
          <w:vertAlign w:val="baseline"/>
        </w:rPr>
        <w:t>proclame</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1</w:t>
      </w:r>
      <w:r>
        <w:rPr>
          <w:color w:val="231F20"/>
          <w:spacing w:val="-2"/>
          <w:vertAlign w:val="superscript"/>
        </w:rPr>
        <w:t>er</w:t>
      </w:r>
      <w:r>
        <w:rPr>
          <w:color w:val="231F20"/>
          <w:spacing w:val="-2"/>
          <w:vertAlign w:val="baseline"/>
        </w:rPr>
        <w:t>Président</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2</w:t>
      </w:r>
      <w:r>
        <w:rPr>
          <w:color w:val="231F20"/>
          <w:spacing w:val="-2"/>
          <w:vertAlign w:val="superscript"/>
        </w:rPr>
        <w:t>ème</w:t>
      </w:r>
      <w:r>
        <w:rPr>
          <w:color w:val="231F20"/>
          <w:spacing w:val="-2"/>
          <w:vertAlign w:val="baseline"/>
        </w:rPr>
        <w:t>République</w:t>
      </w:r>
      <w:r>
        <w:rPr>
          <w:color w:val="231F20"/>
          <w:spacing w:val="-13"/>
          <w:vertAlign w:val="baseline"/>
        </w:rPr>
        <w:t> </w:t>
      </w:r>
      <w:r>
        <w:rPr>
          <w:color w:val="231F20"/>
          <w:spacing w:val="-2"/>
          <w:vertAlign w:val="baseline"/>
        </w:rPr>
        <w:t>ivoirienne</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Son </w:t>
      </w:r>
      <w:r>
        <w:rPr>
          <w:color w:val="231F20"/>
          <w:vertAlign w:val="baseline"/>
        </w:rPr>
        <w:t>gouvernement</w:t>
      </w:r>
      <w:r>
        <w:rPr>
          <w:color w:val="231F20"/>
          <w:spacing w:val="-4"/>
          <w:vertAlign w:val="baseline"/>
        </w:rPr>
        <w:t> </w:t>
      </w:r>
      <w:r>
        <w:rPr>
          <w:color w:val="231F20"/>
          <w:vertAlign w:val="baseline"/>
        </w:rPr>
        <w:t>décrète</w:t>
      </w:r>
      <w:r>
        <w:rPr>
          <w:color w:val="231F20"/>
          <w:spacing w:val="-7"/>
          <w:vertAlign w:val="baseline"/>
        </w:rPr>
        <w:t> </w:t>
      </w:r>
      <w:r>
        <w:rPr>
          <w:color w:val="231F20"/>
          <w:vertAlign w:val="baseline"/>
        </w:rPr>
        <w:t>l’état</w:t>
      </w:r>
      <w:r>
        <w:rPr>
          <w:color w:val="231F20"/>
          <w:spacing w:val="-4"/>
          <w:vertAlign w:val="baseline"/>
        </w:rPr>
        <w:t> </w:t>
      </w:r>
      <w:r>
        <w:rPr>
          <w:color w:val="231F20"/>
          <w:vertAlign w:val="baseline"/>
        </w:rPr>
        <w:t>d’urgence</w:t>
      </w:r>
      <w:r>
        <w:rPr>
          <w:color w:val="231F20"/>
          <w:spacing w:val="-4"/>
          <w:vertAlign w:val="baseline"/>
        </w:rPr>
        <w:t> </w:t>
      </w:r>
      <w:r>
        <w:rPr>
          <w:color w:val="231F20"/>
          <w:vertAlign w:val="baseline"/>
        </w:rPr>
        <w:t>et</w:t>
      </w:r>
      <w:r>
        <w:rPr>
          <w:color w:val="231F20"/>
          <w:spacing w:val="-3"/>
          <w:vertAlign w:val="baseline"/>
        </w:rPr>
        <w:t> </w:t>
      </w:r>
      <w:r>
        <w:rPr>
          <w:color w:val="231F20"/>
          <w:vertAlign w:val="baseline"/>
        </w:rPr>
        <w:t>le</w:t>
      </w:r>
      <w:r>
        <w:rPr>
          <w:color w:val="231F20"/>
          <w:spacing w:val="-4"/>
          <w:vertAlign w:val="baseline"/>
        </w:rPr>
        <w:t> </w:t>
      </w:r>
      <w:r>
        <w:rPr>
          <w:color w:val="231F20"/>
          <w:vertAlign w:val="baseline"/>
        </w:rPr>
        <w:t>couvre-feu.</w:t>
      </w:r>
    </w:p>
    <w:p>
      <w:pPr>
        <w:spacing w:before="120"/>
        <w:ind w:left="111" w:right="104" w:firstLine="283"/>
        <w:jc w:val="both"/>
        <w:rPr>
          <w:sz w:val="24"/>
        </w:rPr>
      </w:pPr>
      <w:r>
        <w:rPr>
          <w:color w:val="231F20"/>
          <w:spacing w:val="-4"/>
          <w:sz w:val="24"/>
        </w:rPr>
        <w:t>C’est</w:t>
      </w:r>
      <w:r>
        <w:rPr>
          <w:color w:val="231F20"/>
          <w:spacing w:val="-11"/>
          <w:sz w:val="24"/>
        </w:rPr>
        <w:t> </w:t>
      </w:r>
      <w:r>
        <w:rPr>
          <w:color w:val="231F20"/>
          <w:spacing w:val="-4"/>
          <w:sz w:val="24"/>
        </w:rPr>
        <w:t>un</w:t>
      </w:r>
      <w:r>
        <w:rPr>
          <w:color w:val="231F20"/>
          <w:spacing w:val="-11"/>
          <w:sz w:val="24"/>
        </w:rPr>
        <w:t> </w:t>
      </w:r>
      <w:r>
        <w:rPr>
          <w:color w:val="231F20"/>
          <w:spacing w:val="-4"/>
          <w:sz w:val="24"/>
        </w:rPr>
        <w:t>coup</w:t>
      </w:r>
      <w:r>
        <w:rPr>
          <w:color w:val="231F20"/>
          <w:spacing w:val="-11"/>
          <w:sz w:val="24"/>
        </w:rPr>
        <w:t> </w:t>
      </w:r>
      <w:r>
        <w:rPr>
          <w:color w:val="231F20"/>
          <w:spacing w:val="-4"/>
          <w:sz w:val="24"/>
        </w:rPr>
        <w:t>d’état-bis</w:t>
      </w:r>
      <w:r>
        <w:rPr>
          <w:color w:val="231F20"/>
          <w:spacing w:val="-11"/>
          <w:sz w:val="24"/>
        </w:rPr>
        <w:t> </w:t>
      </w:r>
      <w:r>
        <w:rPr>
          <w:color w:val="231F20"/>
          <w:spacing w:val="-4"/>
          <w:sz w:val="24"/>
        </w:rPr>
        <w:t>selon</w:t>
      </w:r>
      <w:r>
        <w:rPr>
          <w:color w:val="231F20"/>
          <w:spacing w:val="-11"/>
          <w:sz w:val="24"/>
        </w:rPr>
        <w:t> </w:t>
      </w:r>
      <w:r>
        <w:rPr>
          <w:color w:val="231F20"/>
          <w:spacing w:val="-4"/>
          <w:sz w:val="24"/>
        </w:rPr>
        <w:t>Laurent</w:t>
      </w:r>
      <w:r>
        <w:rPr>
          <w:color w:val="231F20"/>
          <w:spacing w:val="-11"/>
          <w:sz w:val="24"/>
        </w:rPr>
        <w:t> </w:t>
      </w:r>
      <w:r>
        <w:rPr>
          <w:color w:val="231F20"/>
          <w:spacing w:val="-4"/>
          <w:sz w:val="24"/>
        </w:rPr>
        <w:t>Gbagbo</w:t>
      </w:r>
      <w:r>
        <w:rPr>
          <w:color w:val="231F20"/>
          <w:spacing w:val="-11"/>
          <w:sz w:val="24"/>
        </w:rPr>
        <w:t> </w:t>
      </w:r>
      <w:r>
        <w:rPr>
          <w:color w:val="231F20"/>
          <w:spacing w:val="-4"/>
          <w:sz w:val="24"/>
        </w:rPr>
        <w:t>qui</w:t>
      </w:r>
      <w:r>
        <w:rPr>
          <w:color w:val="231F20"/>
          <w:spacing w:val="-11"/>
          <w:sz w:val="24"/>
        </w:rPr>
        <w:t> </w:t>
      </w:r>
      <w:r>
        <w:rPr>
          <w:color w:val="231F20"/>
          <w:spacing w:val="-4"/>
          <w:sz w:val="24"/>
        </w:rPr>
        <w:t>dit</w:t>
      </w:r>
      <w:r>
        <w:rPr>
          <w:color w:val="231F20"/>
          <w:spacing w:val="-7"/>
          <w:sz w:val="24"/>
        </w:rPr>
        <w:t> </w:t>
      </w:r>
      <w:r>
        <w:rPr>
          <w:color w:val="231F20"/>
          <w:spacing w:val="-4"/>
          <w:sz w:val="24"/>
        </w:rPr>
        <w:t>être</w:t>
      </w:r>
      <w:r>
        <w:rPr>
          <w:color w:val="231F20"/>
          <w:spacing w:val="-11"/>
          <w:sz w:val="24"/>
        </w:rPr>
        <w:t> </w:t>
      </w:r>
      <w:r>
        <w:rPr>
          <w:color w:val="231F20"/>
          <w:spacing w:val="-4"/>
          <w:sz w:val="24"/>
        </w:rPr>
        <w:t>le</w:t>
      </w:r>
      <w:r>
        <w:rPr>
          <w:color w:val="231F20"/>
          <w:spacing w:val="-11"/>
          <w:sz w:val="24"/>
        </w:rPr>
        <w:t> </w:t>
      </w:r>
      <w:r>
        <w:rPr>
          <w:color w:val="231F20"/>
          <w:spacing w:val="-4"/>
          <w:sz w:val="24"/>
        </w:rPr>
        <w:t>vainqueur </w:t>
      </w:r>
      <w:r>
        <w:rPr>
          <w:color w:val="231F20"/>
          <w:sz w:val="24"/>
        </w:rPr>
        <w:t>sorti des urnes : </w:t>
      </w:r>
      <w:r>
        <w:rPr>
          <w:i/>
          <w:color w:val="231F20"/>
          <w:sz w:val="24"/>
        </w:rPr>
        <w:t>« dès à présent, c’est moi le chef de l’État de Côte</w:t>
      </w:r>
      <w:r>
        <w:rPr>
          <w:i/>
          <w:color w:val="231F20"/>
          <w:sz w:val="24"/>
        </w:rPr>
        <w:t> </w:t>
      </w:r>
      <w:r>
        <w:rPr>
          <w:i/>
          <w:color w:val="231F20"/>
          <w:spacing w:val="-2"/>
          <w:sz w:val="24"/>
        </w:rPr>
        <w:t>d’Ivoire.</w:t>
      </w:r>
      <w:r>
        <w:rPr>
          <w:i/>
          <w:color w:val="231F20"/>
          <w:spacing w:val="-11"/>
          <w:sz w:val="24"/>
        </w:rPr>
        <w:t> </w:t>
      </w:r>
      <w:r>
        <w:rPr>
          <w:i/>
          <w:color w:val="231F20"/>
          <w:spacing w:val="-2"/>
          <w:sz w:val="24"/>
        </w:rPr>
        <w:t>Je</w:t>
      </w:r>
      <w:r>
        <w:rPr>
          <w:i/>
          <w:color w:val="231F20"/>
          <w:spacing w:val="-9"/>
          <w:sz w:val="24"/>
        </w:rPr>
        <w:t> </w:t>
      </w:r>
      <w:r>
        <w:rPr>
          <w:i/>
          <w:color w:val="231F20"/>
          <w:spacing w:val="-2"/>
          <w:sz w:val="24"/>
        </w:rPr>
        <w:t>déclare</w:t>
      </w:r>
      <w:r>
        <w:rPr>
          <w:i/>
          <w:color w:val="231F20"/>
          <w:spacing w:val="-9"/>
          <w:sz w:val="24"/>
        </w:rPr>
        <w:t> </w:t>
      </w:r>
      <w:r>
        <w:rPr>
          <w:i/>
          <w:color w:val="231F20"/>
          <w:spacing w:val="-2"/>
          <w:sz w:val="24"/>
        </w:rPr>
        <w:t>dissout</w:t>
      </w:r>
      <w:r>
        <w:rPr>
          <w:i/>
          <w:color w:val="231F20"/>
          <w:spacing w:val="-11"/>
          <w:sz w:val="24"/>
        </w:rPr>
        <w:t> </w:t>
      </w:r>
      <w:r>
        <w:rPr>
          <w:i/>
          <w:color w:val="231F20"/>
          <w:spacing w:val="-2"/>
          <w:sz w:val="24"/>
        </w:rPr>
        <w:t>le</w:t>
      </w:r>
      <w:r>
        <w:rPr>
          <w:i/>
          <w:color w:val="231F20"/>
          <w:spacing w:val="-9"/>
          <w:sz w:val="24"/>
        </w:rPr>
        <w:t> </w:t>
      </w:r>
      <w:r>
        <w:rPr>
          <w:i/>
          <w:color w:val="231F20"/>
          <w:spacing w:val="-2"/>
          <w:sz w:val="24"/>
        </w:rPr>
        <w:t>gouvernement</w:t>
      </w:r>
      <w:r>
        <w:rPr>
          <w:i/>
          <w:color w:val="231F20"/>
          <w:spacing w:val="-11"/>
          <w:sz w:val="24"/>
        </w:rPr>
        <w:t> </w:t>
      </w:r>
      <w:r>
        <w:rPr>
          <w:i/>
          <w:color w:val="231F20"/>
          <w:spacing w:val="-2"/>
          <w:sz w:val="24"/>
        </w:rPr>
        <w:t>de</w:t>
      </w:r>
      <w:r>
        <w:rPr>
          <w:i/>
          <w:color w:val="231F20"/>
          <w:spacing w:val="-12"/>
          <w:sz w:val="24"/>
        </w:rPr>
        <w:t> </w:t>
      </w:r>
      <w:r>
        <w:rPr>
          <w:i/>
          <w:color w:val="231F20"/>
          <w:spacing w:val="-2"/>
          <w:sz w:val="24"/>
        </w:rPr>
        <w:t>transition.</w:t>
      </w:r>
      <w:r>
        <w:rPr>
          <w:i/>
          <w:color w:val="231F20"/>
          <w:spacing w:val="-9"/>
          <w:sz w:val="24"/>
        </w:rPr>
        <w:t> </w:t>
      </w:r>
      <w:r>
        <w:rPr>
          <w:i/>
          <w:color w:val="231F20"/>
          <w:spacing w:val="-2"/>
          <w:sz w:val="24"/>
        </w:rPr>
        <w:t>Je</w:t>
      </w:r>
      <w:r>
        <w:rPr>
          <w:i/>
          <w:color w:val="231F20"/>
          <w:spacing w:val="-12"/>
          <w:sz w:val="24"/>
        </w:rPr>
        <w:t> </w:t>
      </w:r>
      <w:r>
        <w:rPr>
          <w:i/>
          <w:color w:val="231F20"/>
          <w:spacing w:val="-2"/>
          <w:sz w:val="24"/>
        </w:rPr>
        <w:t>demande</w:t>
      </w:r>
      <w:r>
        <w:rPr>
          <w:i/>
          <w:color w:val="231F20"/>
          <w:spacing w:val="-12"/>
          <w:sz w:val="24"/>
        </w:rPr>
        <w:t> </w:t>
      </w:r>
      <w:r>
        <w:rPr>
          <w:i/>
          <w:color w:val="231F20"/>
          <w:spacing w:val="-2"/>
          <w:sz w:val="24"/>
        </w:rPr>
        <w:t>à </w:t>
      </w:r>
      <w:r>
        <w:rPr>
          <w:i/>
          <w:color w:val="231F20"/>
          <w:sz w:val="24"/>
        </w:rPr>
        <w:t>tous</w:t>
      </w:r>
      <w:r>
        <w:rPr>
          <w:i/>
          <w:color w:val="231F20"/>
          <w:spacing w:val="-9"/>
          <w:sz w:val="24"/>
        </w:rPr>
        <w:t> </w:t>
      </w:r>
      <w:r>
        <w:rPr>
          <w:i/>
          <w:color w:val="231F20"/>
          <w:sz w:val="24"/>
        </w:rPr>
        <w:t>les</w:t>
      </w:r>
      <w:r>
        <w:rPr>
          <w:i/>
          <w:color w:val="231F20"/>
          <w:spacing w:val="-8"/>
          <w:sz w:val="24"/>
        </w:rPr>
        <w:t> </w:t>
      </w:r>
      <w:r>
        <w:rPr>
          <w:i/>
          <w:color w:val="231F20"/>
          <w:sz w:val="24"/>
        </w:rPr>
        <w:t>patriotes</w:t>
      </w:r>
      <w:r>
        <w:rPr>
          <w:i/>
          <w:color w:val="231F20"/>
          <w:spacing w:val="-8"/>
          <w:sz w:val="24"/>
        </w:rPr>
        <w:t> </w:t>
      </w:r>
      <w:r>
        <w:rPr>
          <w:i/>
          <w:color w:val="231F20"/>
          <w:sz w:val="24"/>
        </w:rPr>
        <w:t>ivoiriens</w:t>
      </w:r>
      <w:r>
        <w:rPr>
          <w:i/>
          <w:color w:val="231F20"/>
          <w:spacing w:val="-8"/>
          <w:sz w:val="24"/>
        </w:rPr>
        <w:t> </w:t>
      </w:r>
      <w:r>
        <w:rPr>
          <w:i/>
          <w:color w:val="231F20"/>
          <w:sz w:val="24"/>
        </w:rPr>
        <w:t>de</w:t>
      </w:r>
      <w:r>
        <w:rPr>
          <w:i/>
          <w:color w:val="231F20"/>
          <w:spacing w:val="-9"/>
          <w:sz w:val="24"/>
        </w:rPr>
        <w:t> </w:t>
      </w:r>
      <w:r>
        <w:rPr>
          <w:i/>
          <w:color w:val="231F20"/>
          <w:sz w:val="24"/>
        </w:rPr>
        <w:t>descendre</w:t>
      </w:r>
      <w:r>
        <w:rPr>
          <w:i/>
          <w:color w:val="231F20"/>
          <w:spacing w:val="-8"/>
          <w:sz w:val="24"/>
        </w:rPr>
        <w:t> </w:t>
      </w:r>
      <w:r>
        <w:rPr>
          <w:i/>
          <w:color w:val="231F20"/>
          <w:sz w:val="24"/>
        </w:rPr>
        <w:t>en</w:t>
      </w:r>
      <w:r>
        <w:rPr>
          <w:i/>
          <w:color w:val="231F20"/>
          <w:spacing w:val="-8"/>
          <w:sz w:val="24"/>
        </w:rPr>
        <w:t> </w:t>
      </w:r>
      <w:r>
        <w:rPr>
          <w:i/>
          <w:color w:val="231F20"/>
          <w:sz w:val="24"/>
        </w:rPr>
        <w:t>ville</w:t>
      </w:r>
      <w:r>
        <w:rPr>
          <w:i/>
          <w:color w:val="231F20"/>
          <w:spacing w:val="-8"/>
          <w:sz w:val="24"/>
        </w:rPr>
        <w:t> </w:t>
      </w:r>
      <w:r>
        <w:rPr>
          <w:i/>
          <w:color w:val="231F20"/>
          <w:sz w:val="24"/>
        </w:rPr>
        <w:t>dans</w:t>
      </w:r>
      <w:r>
        <w:rPr>
          <w:i/>
          <w:color w:val="231F20"/>
          <w:spacing w:val="-8"/>
          <w:sz w:val="24"/>
        </w:rPr>
        <w:t> </w:t>
      </w:r>
      <w:r>
        <w:rPr>
          <w:i/>
          <w:color w:val="231F20"/>
          <w:sz w:val="24"/>
        </w:rPr>
        <w:t>tous</w:t>
      </w:r>
      <w:r>
        <w:rPr>
          <w:i/>
          <w:color w:val="231F20"/>
          <w:spacing w:val="-10"/>
          <w:sz w:val="24"/>
        </w:rPr>
        <w:t> </w:t>
      </w:r>
      <w:r>
        <w:rPr>
          <w:i/>
          <w:color w:val="231F20"/>
          <w:sz w:val="24"/>
        </w:rPr>
        <w:t>les</w:t>
      </w:r>
      <w:r>
        <w:rPr>
          <w:i/>
          <w:color w:val="231F20"/>
          <w:spacing w:val="-8"/>
          <w:sz w:val="24"/>
        </w:rPr>
        <w:t> </w:t>
      </w:r>
      <w:r>
        <w:rPr>
          <w:i/>
          <w:color w:val="231F20"/>
          <w:sz w:val="24"/>
        </w:rPr>
        <w:t>quartiers jusqu’à</w:t>
      </w:r>
      <w:r>
        <w:rPr>
          <w:i/>
          <w:color w:val="231F20"/>
          <w:spacing w:val="-15"/>
          <w:sz w:val="24"/>
        </w:rPr>
        <w:t> </w:t>
      </w:r>
      <w:r>
        <w:rPr>
          <w:i/>
          <w:color w:val="231F20"/>
          <w:sz w:val="24"/>
        </w:rPr>
        <w:t>ce</w:t>
      </w:r>
      <w:r>
        <w:rPr>
          <w:i/>
          <w:color w:val="231F20"/>
          <w:spacing w:val="-12"/>
          <w:sz w:val="24"/>
        </w:rPr>
        <w:t> </w:t>
      </w:r>
      <w:r>
        <w:rPr>
          <w:i/>
          <w:color w:val="231F20"/>
          <w:sz w:val="24"/>
        </w:rPr>
        <w:t>que</w:t>
      </w:r>
      <w:r>
        <w:rPr>
          <w:i/>
          <w:color w:val="231F20"/>
          <w:spacing w:val="-11"/>
          <w:sz w:val="24"/>
        </w:rPr>
        <w:t> </w:t>
      </w:r>
      <w:r>
        <w:rPr>
          <w:i/>
          <w:color w:val="231F20"/>
          <w:sz w:val="24"/>
        </w:rPr>
        <w:t>Gueï</w:t>
      </w:r>
      <w:r>
        <w:rPr>
          <w:i/>
          <w:color w:val="231F20"/>
          <w:spacing w:val="-9"/>
          <w:sz w:val="24"/>
        </w:rPr>
        <w:t> </w:t>
      </w:r>
      <w:r>
        <w:rPr>
          <w:i/>
          <w:color w:val="231F20"/>
          <w:sz w:val="24"/>
        </w:rPr>
        <w:t>recule</w:t>
      </w:r>
      <w:r>
        <w:rPr>
          <w:i/>
          <w:color w:val="231F20"/>
          <w:spacing w:val="-11"/>
          <w:sz w:val="24"/>
        </w:rPr>
        <w:t> </w:t>
      </w:r>
      <w:r>
        <w:rPr>
          <w:i/>
          <w:color w:val="231F20"/>
          <w:sz w:val="24"/>
        </w:rPr>
        <w:t>»</w:t>
      </w:r>
      <w:r>
        <w:rPr>
          <w:color w:val="231F20"/>
          <w:sz w:val="24"/>
        </w:rPr>
        <w:t>.</w:t>
      </w:r>
      <w:r>
        <w:rPr>
          <w:color w:val="231F20"/>
          <w:spacing w:val="-15"/>
          <w:sz w:val="24"/>
        </w:rPr>
        <w:t> </w:t>
      </w:r>
      <w:r>
        <w:rPr>
          <w:color w:val="231F20"/>
          <w:sz w:val="24"/>
        </w:rPr>
        <w:t>Aussitôt,</w:t>
      </w:r>
      <w:r>
        <w:rPr>
          <w:color w:val="231F20"/>
          <w:spacing w:val="-12"/>
          <w:sz w:val="24"/>
        </w:rPr>
        <w:t> </w:t>
      </w:r>
      <w:r>
        <w:rPr>
          <w:color w:val="231F20"/>
          <w:sz w:val="24"/>
        </w:rPr>
        <w:t>des</w:t>
      </w:r>
      <w:r>
        <w:rPr>
          <w:color w:val="231F20"/>
          <w:spacing w:val="-12"/>
          <w:sz w:val="24"/>
        </w:rPr>
        <w:t> </w:t>
      </w:r>
      <w:r>
        <w:rPr>
          <w:color w:val="231F20"/>
          <w:sz w:val="24"/>
        </w:rPr>
        <w:t>manifestations</w:t>
      </w:r>
      <w:r>
        <w:rPr>
          <w:color w:val="231F20"/>
          <w:spacing w:val="-12"/>
          <w:sz w:val="24"/>
        </w:rPr>
        <w:t> </w:t>
      </w:r>
      <w:r>
        <w:rPr>
          <w:color w:val="231F20"/>
          <w:sz w:val="24"/>
        </w:rPr>
        <w:t>éclatent</w:t>
      </w:r>
      <w:r>
        <w:rPr>
          <w:color w:val="231F20"/>
          <w:spacing w:val="-12"/>
          <w:sz w:val="24"/>
        </w:rPr>
        <w:t> </w:t>
      </w:r>
      <w:r>
        <w:rPr>
          <w:color w:val="231F20"/>
          <w:sz w:val="24"/>
        </w:rPr>
        <w:t>dans plusieurs</w:t>
      </w:r>
      <w:r>
        <w:rPr>
          <w:color w:val="231F20"/>
          <w:spacing w:val="-15"/>
          <w:sz w:val="24"/>
        </w:rPr>
        <w:t> </w:t>
      </w:r>
      <w:r>
        <w:rPr>
          <w:color w:val="231F20"/>
          <w:sz w:val="24"/>
        </w:rPr>
        <w:t>quartiers</w:t>
      </w:r>
      <w:r>
        <w:rPr>
          <w:color w:val="231F20"/>
          <w:spacing w:val="-15"/>
          <w:sz w:val="24"/>
        </w:rPr>
        <w:t> </w:t>
      </w:r>
      <w:r>
        <w:rPr>
          <w:color w:val="231F20"/>
          <w:sz w:val="24"/>
        </w:rPr>
        <w:t>d’Abidjan</w:t>
      </w:r>
      <w:r>
        <w:rPr>
          <w:color w:val="231F20"/>
          <w:spacing w:val="-15"/>
          <w:sz w:val="24"/>
        </w:rPr>
        <w:t> </w:t>
      </w:r>
      <w:r>
        <w:rPr>
          <w:color w:val="231F20"/>
          <w:sz w:val="24"/>
        </w:rPr>
        <w:t>;</w:t>
      </w:r>
      <w:r>
        <w:rPr>
          <w:color w:val="231F20"/>
          <w:spacing w:val="-15"/>
          <w:sz w:val="24"/>
        </w:rPr>
        <w:t> </w:t>
      </w:r>
      <w:r>
        <w:rPr>
          <w:color w:val="231F20"/>
          <w:sz w:val="24"/>
        </w:rPr>
        <w:t>des</w:t>
      </w:r>
      <w:r>
        <w:rPr>
          <w:color w:val="231F20"/>
          <w:spacing w:val="-15"/>
          <w:sz w:val="24"/>
        </w:rPr>
        <w:t> </w:t>
      </w:r>
      <w:r>
        <w:rPr>
          <w:color w:val="231F20"/>
          <w:sz w:val="24"/>
        </w:rPr>
        <w:t>milliers</w:t>
      </w:r>
      <w:r>
        <w:rPr>
          <w:color w:val="231F20"/>
          <w:spacing w:val="-15"/>
          <w:sz w:val="24"/>
        </w:rPr>
        <w:t> </w:t>
      </w:r>
      <w:r>
        <w:rPr>
          <w:color w:val="231F20"/>
          <w:sz w:val="24"/>
        </w:rPr>
        <w:t>de</w:t>
      </w:r>
      <w:r>
        <w:rPr>
          <w:color w:val="231F20"/>
          <w:spacing w:val="-15"/>
          <w:sz w:val="24"/>
        </w:rPr>
        <w:t> </w:t>
      </w:r>
      <w:r>
        <w:rPr>
          <w:color w:val="231F20"/>
          <w:sz w:val="24"/>
        </w:rPr>
        <w:t>personnes</w:t>
      </w:r>
      <w:r>
        <w:rPr>
          <w:color w:val="231F20"/>
          <w:spacing w:val="-15"/>
          <w:sz w:val="24"/>
        </w:rPr>
        <w:t> </w:t>
      </w:r>
      <w:r>
        <w:rPr>
          <w:color w:val="231F20"/>
          <w:sz w:val="24"/>
        </w:rPr>
        <w:t>envahissent</w:t>
      </w:r>
      <w:r>
        <w:rPr>
          <w:color w:val="231F20"/>
          <w:spacing w:val="-15"/>
          <w:sz w:val="24"/>
        </w:rPr>
        <w:t> </w:t>
      </w:r>
      <w:r>
        <w:rPr>
          <w:color w:val="231F20"/>
          <w:sz w:val="24"/>
        </w:rPr>
        <w:t>les rues du quartier populaire de Yopougon, puis le Plateau, le centre administratif</w:t>
      </w:r>
      <w:r>
        <w:rPr>
          <w:color w:val="231F20"/>
          <w:spacing w:val="-9"/>
          <w:sz w:val="24"/>
        </w:rPr>
        <w:t> </w:t>
      </w:r>
      <w:r>
        <w:rPr>
          <w:color w:val="231F20"/>
          <w:sz w:val="24"/>
        </w:rPr>
        <w:t>et</w:t>
      </w:r>
      <w:r>
        <w:rPr>
          <w:color w:val="231F20"/>
          <w:spacing w:val="-8"/>
          <w:sz w:val="24"/>
        </w:rPr>
        <w:t> </w:t>
      </w:r>
      <w:r>
        <w:rPr>
          <w:color w:val="231F20"/>
          <w:sz w:val="24"/>
        </w:rPr>
        <w:t>des</w:t>
      </w:r>
      <w:r>
        <w:rPr>
          <w:color w:val="231F20"/>
          <w:spacing w:val="-7"/>
          <w:sz w:val="24"/>
        </w:rPr>
        <w:t> </w:t>
      </w:r>
      <w:r>
        <w:rPr>
          <w:color w:val="231F20"/>
          <w:sz w:val="24"/>
        </w:rPr>
        <w:t>affaires</w:t>
      </w:r>
      <w:r>
        <w:rPr>
          <w:color w:val="231F20"/>
          <w:spacing w:val="-7"/>
          <w:sz w:val="24"/>
        </w:rPr>
        <w:t> </w:t>
      </w:r>
      <w:r>
        <w:rPr>
          <w:color w:val="231F20"/>
          <w:sz w:val="24"/>
        </w:rPr>
        <w:t>qui</w:t>
      </w:r>
      <w:r>
        <w:rPr>
          <w:color w:val="231F20"/>
          <w:spacing w:val="-7"/>
          <w:sz w:val="24"/>
        </w:rPr>
        <w:t> </w:t>
      </w:r>
      <w:r>
        <w:rPr>
          <w:color w:val="231F20"/>
          <w:sz w:val="24"/>
        </w:rPr>
        <w:t>abrite</w:t>
      </w:r>
      <w:r>
        <w:rPr>
          <w:color w:val="231F20"/>
          <w:spacing w:val="-9"/>
          <w:sz w:val="24"/>
        </w:rPr>
        <w:t> </w:t>
      </w:r>
      <w:r>
        <w:rPr>
          <w:color w:val="231F20"/>
          <w:sz w:val="24"/>
        </w:rPr>
        <w:t>le</w:t>
      </w:r>
      <w:r>
        <w:rPr>
          <w:color w:val="231F20"/>
          <w:spacing w:val="-7"/>
          <w:sz w:val="24"/>
        </w:rPr>
        <w:t> </w:t>
      </w:r>
      <w:r>
        <w:rPr>
          <w:color w:val="231F20"/>
          <w:sz w:val="24"/>
        </w:rPr>
        <w:t>palais</w:t>
      </w:r>
      <w:r>
        <w:rPr>
          <w:color w:val="231F20"/>
          <w:spacing w:val="-8"/>
          <w:sz w:val="24"/>
        </w:rPr>
        <w:t> </w:t>
      </w:r>
      <w:r>
        <w:rPr>
          <w:color w:val="231F20"/>
          <w:sz w:val="24"/>
        </w:rPr>
        <w:t>de</w:t>
      </w:r>
      <w:r>
        <w:rPr>
          <w:color w:val="231F20"/>
          <w:spacing w:val="-9"/>
          <w:sz w:val="24"/>
        </w:rPr>
        <w:t> </w:t>
      </w:r>
      <w:r>
        <w:rPr>
          <w:color w:val="231F20"/>
          <w:sz w:val="24"/>
        </w:rPr>
        <w:t>la</w:t>
      </w:r>
      <w:r>
        <w:rPr>
          <w:color w:val="231F20"/>
          <w:spacing w:val="-7"/>
          <w:sz w:val="24"/>
        </w:rPr>
        <w:t> </w:t>
      </w:r>
      <w:r>
        <w:rPr>
          <w:color w:val="231F20"/>
          <w:sz w:val="24"/>
        </w:rPr>
        <w:t>présidence</w:t>
      </w:r>
      <w:r>
        <w:rPr>
          <w:color w:val="231F20"/>
          <w:spacing w:val="-7"/>
          <w:sz w:val="24"/>
        </w:rPr>
        <w:t> </w:t>
      </w:r>
      <w:r>
        <w:rPr>
          <w:color w:val="231F20"/>
          <w:sz w:val="24"/>
        </w:rPr>
        <w:t>aux</w:t>
      </w:r>
      <w:r>
        <w:rPr>
          <w:color w:val="231F20"/>
          <w:spacing w:val="-9"/>
          <w:sz w:val="24"/>
        </w:rPr>
        <w:t> </w:t>
      </w:r>
      <w:r>
        <w:rPr>
          <w:color w:val="231F20"/>
          <w:sz w:val="24"/>
        </w:rPr>
        <w:t>cris de « </w:t>
      </w:r>
      <w:r>
        <w:rPr>
          <w:i/>
          <w:color w:val="231F20"/>
          <w:sz w:val="24"/>
        </w:rPr>
        <w:t>Gueï</w:t>
      </w:r>
      <w:r>
        <w:rPr>
          <w:i/>
          <w:color w:val="231F20"/>
          <w:spacing w:val="-1"/>
          <w:sz w:val="24"/>
        </w:rPr>
        <w:t> </w:t>
      </w:r>
      <w:r>
        <w:rPr>
          <w:i/>
          <w:color w:val="231F20"/>
          <w:sz w:val="24"/>
        </w:rPr>
        <w:t>voleur »</w:t>
      </w:r>
      <w:r>
        <w:rPr>
          <w:color w:val="231F20"/>
          <w:sz w:val="24"/>
        </w:rPr>
        <w:t>,</w:t>
      </w:r>
      <w:r>
        <w:rPr>
          <w:color w:val="231F20"/>
          <w:spacing w:val="-2"/>
          <w:sz w:val="24"/>
        </w:rPr>
        <w:t> </w:t>
      </w:r>
      <w:r>
        <w:rPr>
          <w:i/>
          <w:color w:val="231F20"/>
          <w:sz w:val="24"/>
        </w:rPr>
        <w:t>« Gueï quitte le</w:t>
      </w:r>
      <w:r>
        <w:rPr>
          <w:i/>
          <w:color w:val="231F20"/>
          <w:spacing w:val="-2"/>
          <w:sz w:val="24"/>
        </w:rPr>
        <w:t> </w:t>
      </w:r>
      <w:r>
        <w:rPr>
          <w:i/>
          <w:color w:val="231F20"/>
          <w:sz w:val="24"/>
        </w:rPr>
        <w:t>pouvoir »</w:t>
      </w:r>
      <w:r>
        <w:rPr>
          <w:color w:val="231F20"/>
          <w:sz w:val="24"/>
        </w:rPr>
        <w:t>.</w:t>
      </w:r>
    </w:p>
    <w:p>
      <w:pPr>
        <w:pStyle w:val="BodyText"/>
        <w:spacing w:before="121"/>
        <w:ind w:right="104" w:firstLine="283"/>
      </w:pPr>
      <w:r>
        <w:rPr>
          <w:color w:val="231F20"/>
        </w:rPr>
        <w:t>Le lendemain 25 octobre, des dizaines de milliers de manifestants rejoignent ceux de la nuit précédente. C’est une nouvelle matinée explosive qui se prépare. Vers onze heures, près de la présidence, des jeunes</w:t>
      </w:r>
      <w:r>
        <w:rPr>
          <w:color w:val="231F20"/>
          <w:spacing w:val="-15"/>
        </w:rPr>
        <w:t> </w:t>
      </w:r>
      <w:r>
        <w:rPr>
          <w:color w:val="231F20"/>
        </w:rPr>
        <w:t>tentent</w:t>
      </w:r>
      <w:r>
        <w:rPr>
          <w:color w:val="231F20"/>
          <w:spacing w:val="-15"/>
        </w:rPr>
        <w:t> </w:t>
      </w:r>
      <w:r>
        <w:rPr>
          <w:color w:val="231F20"/>
        </w:rPr>
        <w:t>à</w:t>
      </w:r>
      <w:r>
        <w:rPr>
          <w:color w:val="231F20"/>
          <w:spacing w:val="-15"/>
        </w:rPr>
        <w:t> </w:t>
      </w:r>
      <w:r>
        <w:rPr>
          <w:color w:val="231F20"/>
        </w:rPr>
        <w:t>mains</w:t>
      </w:r>
      <w:r>
        <w:rPr>
          <w:color w:val="231F20"/>
          <w:spacing w:val="-15"/>
        </w:rPr>
        <w:t> </w:t>
      </w:r>
      <w:r>
        <w:rPr>
          <w:color w:val="231F20"/>
        </w:rPr>
        <w:t>nues</w:t>
      </w:r>
      <w:r>
        <w:rPr>
          <w:color w:val="231F20"/>
          <w:spacing w:val="-15"/>
        </w:rPr>
        <w:t> </w:t>
      </w:r>
      <w:r>
        <w:rPr>
          <w:color w:val="231F20"/>
        </w:rPr>
        <w:t>de</w:t>
      </w:r>
      <w:r>
        <w:rPr>
          <w:color w:val="231F20"/>
          <w:spacing w:val="-15"/>
        </w:rPr>
        <w:t> </w:t>
      </w:r>
      <w:r>
        <w:rPr>
          <w:color w:val="231F20"/>
        </w:rPr>
        <w:t>s’approcher</w:t>
      </w:r>
      <w:r>
        <w:rPr>
          <w:color w:val="231F20"/>
          <w:spacing w:val="-15"/>
        </w:rPr>
        <w:t> </w:t>
      </w:r>
      <w:r>
        <w:rPr>
          <w:color w:val="231F20"/>
        </w:rPr>
        <w:t>des</w:t>
      </w:r>
      <w:r>
        <w:rPr>
          <w:color w:val="231F20"/>
          <w:spacing w:val="-15"/>
        </w:rPr>
        <w:t> </w:t>
      </w:r>
      <w:r>
        <w:rPr>
          <w:color w:val="231F20"/>
        </w:rPr>
        <w:t>soldats</w:t>
      </w:r>
      <w:r>
        <w:rPr>
          <w:color w:val="231F20"/>
          <w:spacing w:val="-15"/>
        </w:rPr>
        <w:t> </w:t>
      </w:r>
      <w:r>
        <w:rPr>
          <w:color w:val="231F20"/>
        </w:rPr>
        <w:t>qui</w:t>
      </w:r>
      <w:r>
        <w:rPr>
          <w:color w:val="231F20"/>
          <w:spacing w:val="-15"/>
        </w:rPr>
        <w:t> </w:t>
      </w:r>
      <w:r>
        <w:rPr>
          <w:color w:val="231F20"/>
        </w:rPr>
        <w:t>n’hésitent</w:t>
      </w:r>
      <w:r>
        <w:rPr>
          <w:color w:val="231F20"/>
          <w:spacing w:val="-15"/>
        </w:rPr>
        <w:t> </w:t>
      </w:r>
      <w:r>
        <w:rPr>
          <w:color w:val="231F20"/>
        </w:rPr>
        <w:t>pas </w:t>
      </w:r>
      <w:r>
        <w:rPr>
          <w:color w:val="231F20"/>
          <w:spacing w:val="-2"/>
        </w:rPr>
        <w:t>à</w:t>
      </w:r>
      <w:r>
        <w:rPr>
          <w:color w:val="231F20"/>
          <w:spacing w:val="-13"/>
        </w:rPr>
        <w:t> </w:t>
      </w:r>
      <w:r>
        <w:rPr>
          <w:color w:val="231F20"/>
          <w:spacing w:val="-2"/>
        </w:rPr>
        <w:t>tirer.</w:t>
      </w:r>
      <w:r>
        <w:rPr>
          <w:color w:val="231F20"/>
          <w:spacing w:val="-13"/>
        </w:rPr>
        <w:t> </w:t>
      </w:r>
      <w:r>
        <w:rPr>
          <w:color w:val="231F20"/>
          <w:spacing w:val="-2"/>
        </w:rPr>
        <w:t>On</w:t>
      </w:r>
      <w:r>
        <w:rPr>
          <w:color w:val="231F20"/>
          <w:spacing w:val="-13"/>
        </w:rPr>
        <w:t> </w:t>
      </w:r>
      <w:r>
        <w:rPr>
          <w:color w:val="231F20"/>
          <w:spacing w:val="-2"/>
        </w:rPr>
        <w:t>compte</w:t>
      </w:r>
      <w:r>
        <w:rPr>
          <w:color w:val="231F20"/>
          <w:spacing w:val="-13"/>
        </w:rPr>
        <w:t> </w:t>
      </w:r>
      <w:r>
        <w:rPr>
          <w:color w:val="231F20"/>
          <w:spacing w:val="-2"/>
        </w:rPr>
        <w:t>déjà</w:t>
      </w:r>
      <w:r>
        <w:rPr>
          <w:color w:val="231F20"/>
          <w:spacing w:val="-13"/>
        </w:rPr>
        <w:t> </w:t>
      </w:r>
      <w:r>
        <w:rPr>
          <w:color w:val="231F20"/>
          <w:spacing w:val="-2"/>
        </w:rPr>
        <w:t>plusieurs</w:t>
      </w:r>
      <w:r>
        <w:rPr>
          <w:color w:val="231F20"/>
          <w:spacing w:val="-13"/>
        </w:rPr>
        <w:t> </w:t>
      </w:r>
      <w:r>
        <w:rPr>
          <w:color w:val="231F20"/>
          <w:spacing w:val="-2"/>
        </w:rPr>
        <w:t>blessés</w:t>
      </w:r>
      <w:r>
        <w:rPr>
          <w:color w:val="231F20"/>
          <w:spacing w:val="-12"/>
        </w:rPr>
        <w:t> </w:t>
      </w:r>
      <w:r>
        <w:rPr>
          <w:color w:val="231F20"/>
          <w:spacing w:val="-2"/>
        </w:rPr>
        <w:t>et</w:t>
      </w:r>
      <w:r>
        <w:rPr>
          <w:color w:val="231F20"/>
          <w:spacing w:val="-13"/>
        </w:rPr>
        <w:t> </w:t>
      </w:r>
      <w:r>
        <w:rPr>
          <w:color w:val="231F20"/>
          <w:spacing w:val="-2"/>
        </w:rPr>
        <w:t>des</w:t>
      </w:r>
      <w:r>
        <w:rPr>
          <w:color w:val="231F20"/>
          <w:spacing w:val="-13"/>
        </w:rPr>
        <w:t> </w:t>
      </w:r>
      <w:r>
        <w:rPr>
          <w:color w:val="231F20"/>
          <w:spacing w:val="-2"/>
        </w:rPr>
        <w:t>morts.</w:t>
      </w:r>
      <w:r>
        <w:rPr>
          <w:color w:val="231F20"/>
          <w:spacing w:val="-13"/>
        </w:rPr>
        <w:t> </w:t>
      </w:r>
      <w:r>
        <w:rPr>
          <w:color w:val="231F20"/>
          <w:spacing w:val="-2"/>
        </w:rPr>
        <w:t>Certains</w:t>
      </w:r>
      <w:r>
        <w:rPr>
          <w:color w:val="231F20"/>
          <w:spacing w:val="-12"/>
        </w:rPr>
        <w:t> </w:t>
      </w:r>
      <w:r>
        <w:rPr>
          <w:color w:val="231F20"/>
          <w:spacing w:val="-2"/>
        </w:rPr>
        <w:t>jeunes</w:t>
      </w:r>
      <w:r>
        <w:rPr>
          <w:color w:val="231F20"/>
          <w:spacing w:val="-12"/>
        </w:rPr>
        <w:t> </w:t>
      </w:r>
      <w:r>
        <w:rPr>
          <w:color w:val="231F20"/>
          <w:spacing w:val="-2"/>
        </w:rPr>
        <w:t>ont </w:t>
      </w:r>
      <w:r>
        <w:rPr>
          <w:color w:val="231F20"/>
        </w:rPr>
        <w:t>déjà pénétré dans les locaux de la radio nationale, non loin de là. Les programmes</w:t>
      </w:r>
      <w:r>
        <w:rPr>
          <w:color w:val="231F20"/>
          <w:spacing w:val="-9"/>
        </w:rPr>
        <w:t> </w:t>
      </w:r>
      <w:r>
        <w:rPr>
          <w:color w:val="231F20"/>
        </w:rPr>
        <w:t>sont</w:t>
      </w:r>
      <w:r>
        <w:rPr>
          <w:color w:val="231F20"/>
          <w:spacing w:val="-10"/>
        </w:rPr>
        <w:t> </w:t>
      </w:r>
      <w:r>
        <w:rPr>
          <w:color w:val="231F20"/>
        </w:rPr>
        <w:t>interrompus.</w:t>
      </w:r>
      <w:r>
        <w:rPr>
          <w:color w:val="231F20"/>
          <w:spacing w:val="-9"/>
        </w:rPr>
        <w:t> </w:t>
      </w:r>
      <w:r>
        <w:rPr>
          <w:color w:val="231F20"/>
        </w:rPr>
        <w:t>D’autres</w:t>
      </w:r>
      <w:r>
        <w:rPr>
          <w:color w:val="231F20"/>
          <w:spacing w:val="-9"/>
        </w:rPr>
        <w:t> </w:t>
      </w:r>
      <w:r>
        <w:rPr>
          <w:color w:val="231F20"/>
        </w:rPr>
        <w:t>groupes</w:t>
      </w:r>
      <w:r>
        <w:rPr>
          <w:color w:val="231F20"/>
          <w:spacing w:val="-10"/>
        </w:rPr>
        <w:t> </w:t>
      </w:r>
      <w:r>
        <w:rPr>
          <w:color w:val="231F20"/>
        </w:rPr>
        <w:t>envahissent</w:t>
      </w:r>
      <w:r>
        <w:rPr>
          <w:color w:val="231F20"/>
          <w:spacing w:val="-10"/>
        </w:rPr>
        <w:t> </w:t>
      </w:r>
      <w:r>
        <w:rPr>
          <w:color w:val="231F20"/>
        </w:rPr>
        <w:t>la</w:t>
      </w:r>
      <w:r>
        <w:rPr>
          <w:color w:val="231F20"/>
          <w:spacing w:val="-11"/>
        </w:rPr>
        <w:t> </w:t>
      </w:r>
      <w:r>
        <w:rPr>
          <w:color w:val="231F20"/>
        </w:rPr>
        <w:t>Maison </w:t>
      </w:r>
      <w:r>
        <w:rPr>
          <w:color w:val="231F20"/>
          <w:spacing w:val="-4"/>
        </w:rPr>
        <w:t>de</w:t>
      </w:r>
      <w:r>
        <w:rPr>
          <w:color w:val="231F20"/>
          <w:spacing w:val="-6"/>
        </w:rPr>
        <w:t> </w:t>
      </w:r>
      <w:r>
        <w:rPr>
          <w:color w:val="231F20"/>
          <w:spacing w:val="-4"/>
        </w:rPr>
        <w:t>la télévision</w:t>
      </w:r>
      <w:r>
        <w:rPr>
          <w:color w:val="231F20"/>
          <w:spacing w:val="-2"/>
        </w:rPr>
        <w:t> </w:t>
      </w:r>
      <w:r>
        <w:rPr>
          <w:color w:val="231F20"/>
          <w:spacing w:val="-4"/>
        </w:rPr>
        <w:t>à</w:t>
      </w:r>
      <w:r>
        <w:rPr>
          <w:color w:val="231F20"/>
          <w:spacing w:val="-7"/>
        </w:rPr>
        <w:t> </w:t>
      </w:r>
      <w:r>
        <w:rPr>
          <w:color w:val="231F20"/>
          <w:spacing w:val="-4"/>
        </w:rPr>
        <w:t>Cocody.</w:t>
      </w:r>
      <w:r>
        <w:rPr>
          <w:color w:val="231F20"/>
          <w:spacing w:val="-7"/>
        </w:rPr>
        <w:t> </w:t>
      </w:r>
      <w:r>
        <w:rPr>
          <w:color w:val="231F20"/>
          <w:spacing w:val="-4"/>
        </w:rPr>
        <w:t>Les soldats</w:t>
      </w:r>
      <w:r>
        <w:rPr>
          <w:color w:val="231F20"/>
          <w:spacing w:val="-7"/>
        </w:rPr>
        <w:t> </w:t>
      </w:r>
      <w:r>
        <w:rPr>
          <w:color w:val="231F20"/>
          <w:spacing w:val="-4"/>
        </w:rPr>
        <w:t>de</w:t>
      </w:r>
      <w:r>
        <w:rPr>
          <w:color w:val="231F20"/>
          <w:spacing w:val="-3"/>
        </w:rPr>
        <w:t> </w:t>
      </w:r>
      <w:r>
        <w:rPr>
          <w:color w:val="231F20"/>
          <w:spacing w:val="-4"/>
        </w:rPr>
        <w:t>Guei</w:t>
      </w:r>
      <w:r>
        <w:rPr>
          <w:color w:val="231F20"/>
          <w:spacing w:val="-7"/>
        </w:rPr>
        <w:t> </w:t>
      </w:r>
      <w:r>
        <w:rPr>
          <w:color w:val="231F20"/>
          <w:spacing w:val="-4"/>
        </w:rPr>
        <w:t>leur tirent</w:t>
      </w:r>
      <w:r>
        <w:rPr>
          <w:color w:val="231F20"/>
          <w:spacing w:val="-3"/>
        </w:rPr>
        <w:t> </w:t>
      </w:r>
      <w:r>
        <w:rPr>
          <w:color w:val="231F20"/>
          <w:spacing w:val="-4"/>
        </w:rPr>
        <w:t>dessus. Face</w:t>
      </w:r>
      <w:r>
        <w:rPr>
          <w:color w:val="231F20"/>
          <w:spacing w:val="-5"/>
        </w:rPr>
        <w:t> </w:t>
      </w:r>
      <w:r>
        <w:rPr>
          <w:color w:val="231F20"/>
          <w:spacing w:val="-4"/>
        </w:rPr>
        <w:t>à </w:t>
      </w:r>
      <w:r>
        <w:rPr>
          <w:color w:val="231F20"/>
          <w:spacing w:val="-5"/>
        </w:rPr>
        <w:t>la</w:t>
      </w:r>
    </w:p>
    <w:p>
      <w:pPr>
        <w:pStyle w:val="BodyText"/>
        <w:spacing w:before="25"/>
        <w:ind w:left="0"/>
        <w:jc w:val="left"/>
        <w:rPr>
          <w:sz w:val="20"/>
        </w:rPr>
      </w:pPr>
      <w:r>
        <w:rPr/>
        <mc:AlternateContent>
          <mc:Choice Requires="wps">
            <w:drawing>
              <wp:anchor distT="0" distB="0" distL="0" distR="0" allowOverlap="1" layoutInCell="1" locked="0" behindDoc="1" simplePos="0" relativeHeight="487642624">
                <wp:simplePos x="0" y="0"/>
                <wp:positionH relativeFrom="page">
                  <wp:posOffset>629907</wp:posOffset>
                </wp:positionH>
                <wp:positionV relativeFrom="paragraph">
                  <wp:posOffset>177734</wp:posOffset>
                </wp:positionV>
                <wp:extent cx="1829435" cy="9525"/>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994843pt;width:144.020pt;height:.72pt;mso-position-horizontal-relative:page;mso-position-vertical-relative:paragraph;z-index:-15673856;mso-wrap-distance-left:0;mso-wrap-distance-right:0" id="docshape134" filled="true" fillcolor="#231f20" stroked="false">
                <v:fill type="solid"/>
                <w10:wrap type="topAndBottom"/>
              </v:rect>
            </w:pict>
          </mc:Fallback>
        </mc:AlternateContent>
      </w:r>
    </w:p>
    <w:p>
      <w:pPr>
        <w:spacing w:before="91"/>
        <w:ind w:left="111" w:right="0" w:firstLine="0"/>
        <w:jc w:val="left"/>
        <w:rPr>
          <w:sz w:val="20"/>
        </w:rPr>
      </w:pPr>
      <w:r>
        <w:rPr>
          <w:color w:val="231F20"/>
          <w:sz w:val="20"/>
          <w:vertAlign w:val="superscript"/>
        </w:rPr>
        <w:t>169</w:t>
      </w:r>
      <w:r>
        <w:rPr>
          <w:color w:val="231F20"/>
          <w:sz w:val="20"/>
          <w:vertAlign w:val="baseline"/>
        </w:rPr>
        <w:t>Le</w:t>
      </w:r>
      <w:r>
        <w:rPr>
          <w:color w:val="231F20"/>
          <w:spacing w:val="-11"/>
          <w:sz w:val="20"/>
          <w:vertAlign w:val="baseline"/>
        </w:rPr>
        <w:t> </w:t>
      </w:r>
      <w:r>
        <w:rPr>
          <w:color w:val="231F20"/>
          <w:sz w:val="20"/>
          <w:vertAlign w:val="baseline"/>
        </w:rPr>
        <w:t>général</w:t>
      </w:r>
      <w:r>
        <w:rPr>
          <w:color w:val="231F20"/>
          <w:spacing w:val="-9"/>
          <w:sz w:val="20"/>
          <w:vertAlign w:val="baseline"/>
        </w:rPr>
        <w:t> </w:t>
      </w:r>
      <w:r>
        <w:rPr>
          <w:color w:val="231F20"/>
          <w:sz w:val="20"/>
          <w:vertAlign w:val="baseline"/>
        </w:rPr>
        <w:t>Gueï,</w:t>
      </w:r>
      <w:r>
        <w:rPr>
          <w:color w:val="231F20"/>
          <w:spacing w:val="-11"/>
          <w:sz w:val="20"/>
          <w:vertAlign w:val="baseline"/>
        </w:rPr>
        <w:t> </w:t>
      </w:r>
      <w:r>
        <w:rPr>
          <w:color w:val="231F20"/>
          <w:sz w:val="20"/>
          <w:vertAlign w:val="baseline"/>
        </w:rPr>
        <w:t>maître</w:t>
      </w:r>
      <w:r>
        <w:rPr>
          <w:color w:val="231F20"/>
          <w:spacing w:val="-11"/>
          <w:sz w:val="20"/>
          <w:vertAlign w:val="baseline"/>
        </w:rPr>
        <w:t> </w:t>
      </w:r>
      <w:r>
        <w:rPr>
          <w:color w:val="231F20"/>
          <w:sz w:val="20"/>
          <w:vertAlign w:val="baseline"/>
        </w:rPr>
        <w:t>de</w:t>
      </w:r>
      <w:r>
        <w:rPr>
          <w:color w:val="231F20"/>
          <w:spacing w:val="-11"/>
          <w:sz w:val="20"/>
          <w:vertAlign w:val="baseline"/>
        </w:rPr>
        <w:t> </w:t>
      </w:r>
      <w:r>
        <w:rPr>
          <w:color w:val="231F20"/>
          <w:sz w:val="20"/>
          <w:vertAlign w:val="baseline"/>
        </w:rPr>
        <w:t>balai,</w:t>
      </w:r>
      <w:r>
        <w:rPr>
          <w:color w:val="231F20"/>
          <w:spacing w:val="-9"/>
          <w:sz w:val="20"/>
          <w:vertAlign w:val="baseline"/>
        </w:rPr>
        <w:t> </w:t>
      </w:r>
      <w:r>
        <w:rPr>
          <w:color w:val="231F20"/>
          <w:sz w:val="20"/>
          <w:vertAlign w:val="baseline"/>
        </w:rPr>
        <w:t>Judith</w:t>
      </w:r>
      <w:r>
        <w:rPr>
          <w:color w:val="231F20"/>
          <w:spacing w:val="-8"/>
          <w:sz w:val="20"/>
          <w:vertAlign w:val="baseline"/>
        </w:rPr>
        <w:t> </w:t>
      </w:r>
      <w:r>
        <w:rPr>
          <w:color w:val="231F20"/>
          <w:sz w:val="20"/>
          <w:vertAlign w:val="baseline"/>
        </w:rPr>
        <w:t>RUEFF</w:t>
      </w:r>
      <w:r>
        <w:rPr>
          <w:color w:val="231F20"/>
          <w:spacing w:val="-11"/>
          <w:sz w:val="20"/>
          <w:vertAlign w:val="baseline"/>
        </w:rPr>
        <w:t> </w:t>
      </w:r>
      <w:r>
        <w:rPr>
          <w:color w:val="231F20"/>
          <w:sz w:val="20"/>
          <w:vertAlign w:val="baseline"/>
        </w:rPr>
        <w:t>et</w:t>
      </w:r>
      <w:r>
        <w:rPr>
          <w:color w:val="231F20"/>
          <w:spacing w:val="-9"/>
          <w:sz w:val="20"/>
          <w:vertAlign w:val="baseline"/>
        </w:rPr>
        <w:t> </w:t>
      </w:r>
      <w:r>
        <w:rPr>
          <w:color w:val="231F20"/>
          <w:sz w:val="20"/>
          <w:vertAlign w:val="baseline"/>
        </w:rPr>
        <w:t>Stephen</w:t>
      </w:r>
      <w:r>
        <w:rPr>
          <w:color w:val="231F20"/>
          <w:spacing w:val="-10"/>
          <w:sz w:val="20"/>
          <w:vertAlign w:val="baseline"/>
        </w:rPr>
        <w:t> </w:t>
      </w:r>
      <w:r>
        <w:rPr>
          <w:color w:val="231F20"/>
          <w:sz w:val="20"/>
          <w:vertAlign w:val="baseline"/>
        </w:rPr>
        <w:t>Smith,</w:t>
      </w:r>
      <w:r>
        <w:rPr>
          <w:color w:val="231F20"/>
          <w:spacing w:val="-11"/>
          <w:sz w:val="20"/>
          <w:vertAlign w:val="baseline"/>
        </w:rPr>
        <w:t> </w:t>
      </w:r>
      <w:r>
        <w:rPr>
          <w:color w:val="231F20"/>
          <w:sz w:val="20"/>
          <w:vertAlign w:val="baseline"/>
        </w:rPr>
        <w:t>21</w:t>
      </w:r>
      <w:r>
        <w:rPr>
          <w:color w:val="231F20"/>
          <w:spacing w:val="-10"/>
          <w:sz w:val="20"/>
          <w:vertAlign w:val="baseline"/>
        </w:rPr>
        <w:t> </w:t>
      </w:r>
      <w:r>
        <w:rPr>
          <w:color w:val="231F20"/>
          <w:sz w:val="20"/>
          <w:vertAlign w:val="baseline"/>
        </w:rPr>
        <w:t>octobre</w:t>
      </w:r>
      <w:r>
        <w:rPr>
          <w:color w:val="231F20"/>
          <w:spacing w:val="-10"/>
          <w:sz w:val="20"/>
          <w:vertAlign w:val="baseline"/>
        </w:rPr>
        <w:t> </w:t>
      </w:r>
      <w:r>
        <w:rPr>
          <w:color w:val="231F20"/>
          <w:sz w:val="20"/>
          <w:vertAlign w:val="baseline"/>
        </w:rPr>
        <w:t>2000. </w:t>
      </w:r>
      <w:r>
        <w:rPr>
          <w:color w:val="76787A"/>
          <w:sz w:val="20"/>
          <w:vertAlign w:val="superscript"/>
        </w:rPr>
        <w:t>170</w:t>
      </w:r>
      <w:r>
        <w:rPr>
          <w:color w:val="76787A"/>
          <w:spacing w:val="-2"/>
          <w:sz w:val="20"/>
          <w:vertAlign w:val="baseline"/>
        </w:rPr>
        <w:t> </w:t>
      </w:r>
      <w:r>
        <w:rPr>
          <w:color w:val="231F20"/>
          <w:sz w:val="20"/>
          <w:vertAlign w:val="baseline"/>
        </w:rPr>
        <w:t>Honoré</w:t>
      </w:r>
      <w:r>
        <w:rPr>
          <w:color w:val="231F20"/>
          <w:spacing w:val="12"/>
          <w:sz w:val="20"/>
          <w:vertAlign w:val="baseline"/>
        </w:rPr>
        <w:t> </w:t>
      </w:r>
      <w:r>
        <w:rPr>
          <w:color w:val="231F20"/>
          <w:sz w:val="20"/>
          <w:vertAlign w:val="baseline"/>
        </w:rPr>
        <w:t>Guié</w:t>
      </w:r>
      <w:r>
        <w:rPr>
          <w:color w:val="231F20"/>
          <w:spacing w:val="12"/>
          <w:sz w:val="20"/>
          <w:vertAlign w:val="baseline"/>
        </w:rPr>
        <w:t> </w:t>
      </w:r>
      <w:r>
        <w:rPr>
          <w:color w:val="231F20"/>
          <w:sz w:val="20"/>
          <w:vertAlign w:val="baseline"/>
        </w:rPr>
        <w:t>président de</w:t>
      </w:r>
      <w:r>
        <w:rPr>
          <w:color w:val="231F20"/>
          <w:spacing w:val="12"/>
          <w:sz w:val="20"/>
          <w:vertAlign w:val="baseline"/>
        </w:rPr>
        <w:t> </w:t>
      </w:r>
      <w:r>
        <w:rPr>
          <w:color w:val="231F20"/>
          <w:sz w:val="20"/>
          <w:vertAlign w:val="baseline"/>
        </w:rPr>
        <w:t>la Commission</w:t>
      </w:r>
      <w:r>
        <w:rPr>
          <w:color w:val="231F20"/>
          <w:spacing w:val="12"/>
          <w:sz w:val="20"/>
          <w:vertAlign w:val="baseline"/>
        </w:rPr>
        <w:t> </w:t>
      </w:r>
      <w:r>
        <w:rPr>
          <w:color w:val="231F20"/>
          <w:sz w:val="20"/>
          <w:vertAlign w:val="baseline"/>
        </w:rPr>
        <w:t>Nationale</w:t>
      </w:r>
      <w:r>
        <w:rPr>
          <w:color w:val="231F20"/>
          <w:spacing w:val="13"/>
          <w:sz w:val="20"/>
          <w:vertAlign w:val="baseline"/>
        </w:rPr>
        <w:t> </w:t>
      </w:r>
      <w:r>
        <w:rPr>
          <w:color w:val="231F20"/>
          <w:sz w:val="20"/>
          <w:vertAlign w:val="baseline"/>
        </w:rPr>
        <w:t>Électorale</w:t>
      </w:r>
      <w:r>
        <w:rPr>
          <w:color w:val="231F20"/>
          <w:spacing w:val="12"/>
          <w:sz w:val="20"/>
          <w:vertAlign w:val="baseline"/>
        </w:rPr>
        <w:t> </w:t>
      </w:r>
      <w:r>
        <w:rPr>
          <w:color w:val="231F20"/>
          <w:sz w:val="20"/>
          <w:vertAlign w:val="baseline"/>
        </w:rPr>
        <w:t>(CNE),</w:t>
      </w:r>
      <w:r>
        <w:rPr>
          <w:color w:val="231F20"/>
          <w:spacing w:val="12"/>
          <w:sz w:val="20"/>
          <w:vertAlign w:val="baseline"/>
        </w:rPr>
        <w:t> </w:t>
      </w:r>
      <w:r>
        <w:rPr>
          <w:color w:val="231F20"/>
          <w:sz w:val="20"/>
          <w:vertAlign w:val="baseline"/>
        </w:rPr>
        <w:t>Il a</w:t>
      </w:r>
      <w:r>
        <w:rPr>
          <w:color w:val="231F20"/>
          <w:spacing w:val="12"/>
          <w:sz w:val="20"/>
          <w:vertAlign w:val="baseline"/>
        </w:rPr>
        <w:t> </w:t>
      </w:r>
      <w:r>
        <w:rPr>
          <w:color w:val="231F20"/>
          <w:sz w:val="20"/>
          <w:vertAlign w:val="baseline"/>
        </w:rPr>
        <w:t>eu</w:t>
      </w:r>
      <w:r>
        <w:rPr>
          <w:color w:val="231F20"/>
          <w:spacing w:val="12"/>
          <w:sz w:val="20"/>
          <w:vertAlign w:val="baseline"/>
        </w:rPr>
        <w:t> </w:t>
      </w:r>
      <w:r>
        <w:rPr>
          <w:color w:val="231F20"/>
          <w:sz w:val="20"/>
          <w:vertAlign w:val="baseline"/>
        </w:rPr>
        <w:t>le courage</w:t>
      </w:r>
      <w:r>
        <w:rPr>
          <w:color w:val="231F20"/>
          <w:spacing w:val="-2"/>
          <w:sz w:val="20"/>
          <w:vertAlign w:val="baseline"/>
        </w:rPr>
        <w:t> </w:t>
      </w:r>
      <w:r>
        <w:rPr>
          <w:color w:val="231F20"/>
          <w:sz w:val="20"/>
          <w:vertAlign w:val="baseline"/>
        </w:rPr>
        <w:t>de proclamer Laurent</w:t>
      </w:r>
      <w:r>
        <w:rPr>
          <w:color w:val="231F20"/>
          <w:spacing w:val="-3"/>
          <w:sz w:val="20"/>
          <w:vertAlign w:val="baseline"/>
        </w:rPr>
        <w:t> </w:t>
      </w:r>
      <w:r>
        <w:rPr>
          <w:color w:val="231F20"/>
          <w:sz w:val="20"/>
          <w:vertAlign w:val="baseline"/>
        </w:rPr>
        <w:t>Gbagbo vainqueur alors</w:t>
      </w:r>
      <w:r>
        <w:rPr>
          <w:color w:val="231F20"/>
          <w:spacing w:val="-1"/>
          <w:sz w:val="20"/>
          <w:vertAlign w:val="baseline"/>
        </w:rPr>
        <w:t> </w:t>
      </w:r>
      <w:r>
        <w:rPr>
          <w:color w:val="231F20"/>
          <w:sz w:val="20"/>
          <w:vertAlign w:val="baseline"/>
        </w:rPr>
        <w:t>qu’il</w:t>
      </w:r>
      <w:r>
        <w:rPr>
          <w:color w:val="231F20"/>
          <w:spacing w:val="-3"/>
          <w:sz w:val="20"/>
          <w:vertAlign w:val="baseline"/>
        </w:rPr>
        <w:t> </w:t>
      </w:r>
      <w:r>
        <w:rPr>
          <w:color w:val="231F20"/>
          <w:sz w:val="20"/>
          <w:vertAlign w:val="baseline"/>
        </w:rPr>
        <w:t>était</w:t>
      </w:r>
      <w:r>
        <w:rPr>
          <w:color w:val="231F20"/>
          <w:spacing w:val="-1"/>
          <w:sz w:val="20"/>
          <w:vertAlign w:val="baseline"/>
        </w:rPr>
        <w:t> </w:t>
      </w:r>
      <w:r>
        <w:rPr>
          <w:color w:val="231F20"/>
          <w:sz w:val="20"/>
          <w:vertAlign w:val="baseline"/>
        </w:rPr>
        <w:t>sous</w:t>
      </w:r>
      <w:r>
        <w:rPr>
          <w:color w:val="231F20"/>
          <w:spacing w:val="-1"/>
          <w:sz w:val="20"/>
          <w:vertAlign w:val="baseline"/>
        </w:rPr>
        <w:t> </w:t>
      </w:r>
      <w:r>
        <w:rPr>
          <w:color w:val="231F20"/>
          <w:sz w:val="20"/>
          <w:vertAlign w:val="baseline"/>
        </w:rPr>
        <w:t>la menace des armes des hommes de Guei Robert.</w:t>
      </w:r>
    </w:p>
    <w:p>
      <w:pPr>
        <w:spacing w:after="0"/>
        <w:jc w:val="left"/>
        <w:rPr>
          <w:sz w:val="20"/>
        </w:rPr>
        <w:sectPr>
          <w:pgSz w:w="8790" w:h="13610"/>
          <w:pgMar w:header="0" w:footer="802" w:top="1060" w:bottom="1000" w:left="880" w:right="880"/>
        </w:sectPr>
      </w:pPr>
    </w:p>
    <w:p>
      <w:pPr>
        <w:pStyle w:val="BodyText"/>
        <w:spacing w:before="66"/>
        <w:ind w:right="104"/>
      </w:pPr>
      <w:r>
        <w:rPr>
          <w:color w:val="231F20"/>
          <w:spacing w:val="-2"/>
        </w:rPr>
        <w:t>situation,</w:t>
      </w:r>
      <w:r>
        <w:rPr>
          <w:color w:val="231F20"/>
          <w:spacing w:val="-10"/>
        </w:rPr>
        <w:t> </w:t>
      </w:r>
      <w:r>
        <w:rPr>
          <w:color w:val="231F20"/>
          <w:spacing w:val="-2"/>
        </w:rPr>
        <w:t>Laurent</w:t>
      </w:r>
      <w:r>
        <w:rPr>
          <w:color w:val="231F20"/>
          <w:spacing w:val="-10"/>
        </w:rPr>
        <w:t> </w:t>
      </w:r>
      <w:r>
        <w:rPr>
          <w:color w:val="231F20"/>
          <w:spacing w:val="-2"/>
        </w:rPr>
        <w:t>Gbagbo</w:t>
      </w:r>
      <w:r>
        <w:rPr>
          <w:color w:val="231F20"/>
          <w:spacing w:val="-12"/>
        </w:rPr>
        <w:t> </w:t>
      </w:r>
      <w:r>
        <w:rPr>
          <w:color w:val="231F20"/>
          <w:spacing w:val="-2"/>
        </w:rPr>
        <w:t>finit</w:t>
      </w:r>
      <w:r>
        <w:rPr>
          <w:color w:val="231F20"/>
          <w:spacing w:val="-10"/>
        </w:rPr>
        <w:t> </w:t>
      </w:r>
      <w:r>
        <w:rPr>
          <w:color w:val="231F20"/>
          <w:spacing w:val="-2"/>
        </w:rPr>
        <w:t>par</w:t>
      </w:r>
      <w:r>
        <w:rPr>
          <w:color w:val="231F20"/>
          <w:spacing w:val="-10"/>
        </w:rPr>
        <w:t> </w:t>
      </w:r>
      <w:r>
        <w:rPr>
          <w:color w:val="231F20"/>
          <w:spacing w:val="-2"/>
        </w:rPr>
        <w:t>obtenir</w:t>
      </w:r>
      <w:r>
        <w:rPr>
          <w:color w:val="231F20"/>
          <w:spacing w:val="-12"/>
        </w:rPr>
        <w:t> </w:t>
      </w:r>
      <w:r>
        <w:rPr>
          <w:color w:val="231F20"/>
          <w:spacing w:val="-2"/>
        </w:rPr>
        <w:t>le</w:t>
      </w:r>
      <w:r>
        <w:rPr>
          <w:color w:val="231F20"/>
          <w:spacing w:val="-10"/>
        </w:rPr>
        <w:t> </w:t>
      </w:r>
      <w:r>
        <w:rPr>
          <w:color w:val="231F20"/>
          <w:spacing w:val="-2"/>
        </w:rPr>
        <w:t>ralliement</w:t>
      </w:r>
      <w:r>
        <w:rPr>
          <w:color w:val="231F20"/>
          <w:spacing w:val="-10"/>
        </w:rPr>
        <w:t> </w:t>
      </w:r>
      <w:r>
        <w:rPr>
          <w:color w:val="231F20"/>
          <w:spacing w:val="-2"/>
        </w:rPr>
        <w:t>de</w:t>
      </w:r>
      <w:r>
        <w:rPr>
          <w:color w:val="231F20"/>
          <w:spacing w:val="-10"/>
        </w:rPr>
        <w:t> </w:t>
      </w:r>
      <w:r>
        <w:rPr>
          <w:color w:val="231F20"/>
          <w:spacing w:val="-2"/>
        </w:rPr>
        <w:t>l’Armée</w:t>
      </w:r>
      <w:r>
        <w:rPr>
          <w:color w:val="231F20"/>
          <w:spacing w:val="-11"/>
        </w:rPr>
        <w:t> </w:t>
      </w:r>
      <w:r>
        <w:rPr>
          <w:color w:val="231F20"/>
          <w:spacing w:val="-2"/>
        </w:rPr>
        <w:t>et</w:t>
      </w:r>
      <w:r>
        <w:rPr>
          <w:color w:val="231F20"/>
          <w:spacing w:val="-10"/>
        </w:rPr>
        <w:t> </w:t>
      </w:r>
      <w:r>
        <w:rPr>
          <w:color w:val="231F20"/>
          <w:spacing w:val="-2"/>
        </w:rPr>
        <w:t>de </w:t>
      </w:r>
      <w:r>
        <w:rPr>
          <w:color w:val="231F20"/>
        </w:rPr>
        <w:t>la gendarmerie. Seuls les quatre à cinq cents hommes de la garde rapprochée</w:t>
      </w:r>
      <w:r>
        <w:rPr>
          <w:color w:val="231F20"/>
          <w:spacing w:val="-9"/>
        </w:rPr>
        <w:t> </w:t>
      </w:r>
      <w:r>
        <w:rPr>
          <w:color w:val="231F20"/>
        </w:rPr>
        <w:t>du</w:t>
      </w:r>
      <w:r>
        <w:rPr>
          <w:color w:val="231F20"/>
          <w:spacing w:val="-11"/>
        </w:rPr>
        <w:t> </w:t>
      </w:r>
      <w:r>
        <w:rPr>
          <w:color w:val="231F20"/>
        </w:rPr>
        <w:t>général</w:t>
      </w:r>
      <w:r>
        <w:rPr>
          <w:color w:val="231F20"/>
          <w:spacing w:val="-9"/>
        </w:rPr>
        <w:t> </w:t>
      </w:r>
      <w:r>
        <w:rPr>
          <w:color w:val="231F20"/>
        </w:rPr>
        <w:t>Gueï</w:t>
      </w:r>
      <w:r>
        <w:rPr>
          <w:color w:val="231F20"/>
          <w:spacing w:val="-9"/>
        </w:rPr>
        <w:t> </w:t>
      </w:r>
      <w:r>
        <w:rPr>
          <w:color w:val="231F20"/>
        </w:rPr>
        <w:t>sont</w:t>
      </w:r>
      <w:r>
        <w:rPr>
          <w:color w:val="231F20"/>
          <w:spacing w:val="-11"/>
        </w:rPr>
        <w:t> </w:t>
      </w:r>
      <w:r>
        <w:rPr>
          <w:color w:val="231F20"/>
        </w:rPr>
        <w:t>réellement</w:t>
      </w:r>
      <w:r>
        <w:rPr>
          <w:color w:val="231F20"/>
          <w:spacing w:val="-9"/>
        </w:rPr>
        <w:t> </w:t>
      </w:r>
      <w:r>
        <w:rPr>
          <w:color w:val="231F20"/>
        </w:rPr>
        <w:t>décidés</w:t>
      </w:r>
      <w:r>
        <w:rPr>
          <w:color w:val="231F20"/>
          <w:spacing w:val="-10"/>
        </w:rPr>
        <w:t> </w:t>
      </w:r>
      <w:r>
        <w:rPr>
          <w:color w:val="231F20"/>
        </w:rPr>
        <w:t>à</w:t>
      </w:r>
      <w:r>
        <w:rPr>
          <w:color w:val="231F20"/>
          <w:spacing w:val="-10"/>
        </w:rPr>
        <w:t> </w:t>
      </w:r>
      <w:r>
        <w:rPr>
          <w:color w:val="231F20"/>
        </w:rPr>
        <w:t>résister.</w:t>
      </w:r>
      <w:r>
        <w:rPr>
          <w:color w:val="231F20"/>
          <w:spacing w:val="-12"/>
        </w:rPr>
        <w:t> </w:t>
      </w:r>
      <w:r>
        <w:rPr>
          <w:color w:val="231F20"/>
        </w:rPr>
        <w:t>En</w:t>
      </w:r>
      <w:r>
        <w:rPr>
          <w:color w:val="231F20"/>
          <w:spacing w:val="-9"/>
        </w:rPr>
        <w:t> </w:t>
      </w:r>
      <w:r>
        <w:rPr>
          <w:color w:val="231F20"/>
        </w:rPr>
        <w:t>début </w:t>
      </w:r>
      <w:r>
        <w:rPr>
          <w:color w:val="231F20"/>
          <w:spacing w:val="-2"/>
        </w:rPr>
        <w:t>d’après-midi,</w:t>
      </w:r>
      <w:r>
        <w:rPr>
          <w:color w:val="231F20"/>
          <w:spacing w:val="-15"/>
        </w:rPr>
        <w:t> </w:t>
      </w:r>
      <w:r>
        <w:rPr>
          <w:color w:val="231F20"/>
          <w:spacing w:val="-2"/>
        </w:rPr>
        <w:t>des</w:t>
      </w:r>
      <w:r>
        <w:rPr>
          <w:color w:val="231F20"/>
          <w:spacing w:val="-13"/>
        </w:rPr>
        <w:t> </w:t>
      </w:r>
      <w:r>
        <w:rPr>
          <w:color w:val="231F20"/>
          <w:spacing w:val="-2"/>
        </w:rPr>
        <w:t>blindés</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gendarmerie</w:t>
      </w:r>
      <w:r>
        <w:rPr>
          <w:color w:val="231F20"/>
          <w:spacing w:val="-13"/>
        </w:rPr>
        <w:t> </w:t>
      </w:r>
      <w:r>
        <w:rPr>
          <w:color w:val="231F20"/>
          <w:spacing w:val="-2"/>
        </w:rPr>
        <w:t>pénètrent</w:t>
      </w:r>
      <w:r>
        <w:rPr>
          <w:color w:val="231F20"/>
          <w:spacing w:val="-13"/>
        </w:rPr>
        <w:t> </w:t>
      </w:r>
      <w:r>
        <w:rPr>
          <w:color w:val="231F20"/>
          <w:spacing w:val="-2"/>
        </w:rPr>
        <w:t>dans</w:t>
      </w:r>
      <w:r>
        <w:rPr>
          <w:color w:val="231F20"/>
          <w:spacing w:val="-13"/>
        </w:rPr>
        <w:t> </w:t>
      </w:r>
      <w:r>
        <w:rPr>
          <w:color w:val="231F20"/>
          <w:spacing w:val="-2"/>
        </w:rPr>
        <w:t>le</w:t>
      </w:r>
      <w:r>
        <w:rPr>
          <w:color w:val="231F20"/>
          <w:spacing w:val="-13"/>
        </w:rPr>
        <w:t> </w:t>
      </w:r>
      <w:r>
        <w:rPr>
          <w:color w:val="231F20"/>
          <w:spacing w:val="-2"/>
        </w:rPr>
        <w:t>centre-ville </w:t>
      </w:r>
      <w:r>
        <w:rPr>
          <w:color w:val="231F20"/>
        </w:rPr>
        <w:t>sous les acclamations. Les combats avec le dernier carré de fidèles se </w:t>
      </w:r>
      <w:r>
        <w:rPr>
          <w:color w:val="231F20"/>
          <w:spacing w:val="-2"/>
        </w:rPr>
        <w:t>poursuivent</w:t>
      </w:r>
      <w:r>
        <w:rPr>
          <w:color w:val="231F20"/>
          <w:spacing w:val="-15"/>
        </w:rPr>
        <w:t> </w:t>
      </w:r>
      <w:r>
        <w:rPr>
          <w:color w:val="231F20"/>
          <w:spacing w:val="-2"/>
        </w:rPr>
        <w:t>jusqu’aux</w:t>
      </w:r>
      <w:r>
        <w:rPr>
          <w:color w:val="231F20"/>
          <w:spacing w:val="-13"/>
        </w:rPr>
        <w:t> </w:t>
      </w:r>
      <w:r>
        <w:rPr>
          <w:color w:val="231F20"/>
          <w:spacing w:val="-2"/>
        </w:rPr>
        <w:t>environs</w:t>
      </w:r>
      <w:r>
        <w:rPr>
          <w:color w:val="231F20"/>
          <w:spacing w:val="-13"/>
        </w:rPr>
        <w:t> </w:t>
      </w:r>
      <w:r>
        <w:rPr>
          <w:color w:val="231F20"/>
          <w:spacing w:val="-2"/>
        </w:rPr>
        <w:t>de</w:t>
      </w:r>
      <w:r>
        <w:rPr>
          <w:color w:val="231F20"/>
          <w:spacing w:val="-13"/>
        </w:rPr>
        <w:t> </w:t>
      </w:r>
      <w:r>
        <w:rPr>
          <w:color w:val="231F20"/>
          <w:spacing w:val="-2"/>
        </w:rPr>
        <w:t>seize</w:t>
      </w:r>
      <w:r>
        <w:rPr>
          <w:color w:val="231F20"/>
          <w:spacing w:val="-13"/>
        </w:rPr>
        <w:t> </w:t>
      </w:r>
      <w:r>
        <w:rPr>
          <w:color w:val="231F20"/>
          <w:spacing w:val="-2"/>
        </w:rPr>
        <w:t>heures.</w:t>
      </w:r>
      <w:r>
        <w:rPr>
          <w:color w:val="231F20"/>
          <w:spacing w:val="-13"/>
        </w:rPr>
        <w:t> </w:t>
      </w:r>
      <w:r>
        <w:rPr>
          <w:color w:val="231F20"/>
          <w:spacing w:val="-2"/>
        </w:rPr>
        <w:t>Du</w:t>
      </w:r>
      <w:r>
        <w:rPr>
          <w:color w:val="231F20"/>
          <w:spacing w:val="-13"/>
        </w:rPr>
        <w:t> </w:t>
      </w:r>
      <w:r>
        <w:rPr>
          <w:color w:val="231F20"/>
          <w:spacing w:val="-2"/>
        </w:rPr>
        <w:t>général</w:t>
      </w:r>
      <w:r>
        <w:rPr>
          <w:color w:val="231F20"/>
          <w:spacing w:val="-13"/>
        </w:rPr>
        <w:t> </w:t>
      </w:r>
      <w:r>
        <w:rPr>
          <w:color w:val="231F20"/>
          <w:spacing w:val="-2"/>
        </w:rPr>
        <w:t>Guéi,</w:t>
      </w:r>
      <w:r>
        <w:rPr>
          <w:color w:val="231F20"/>
          <w:spacing w:val="-13"/>
        </w:rPr>
        <w:t> </w:t>
      </w:r>
      <w:r>
        <w:rPr>
          <w:color w:val="231F20"/>
          <w:spacing w:val="-2"/>
        </w:rPr>
        <w:t>aucune </w:t>
      </w:r>
      <w:r>
        <w:rPr>
          <w:color w:val="231F20"/>
        </w:rPr>
        <w:t>nouvelle. Il aurait fui... La Commission électorale rend le verdict des </w:t>
      </w:r>
      <w:r>
        <w:rPr>
          <w:color w:val="231F20"/>
          <w:spacing w:val="-4"/>
        </w:rPr>
        <w:t>urnes</w:t>
      </w:r>
      <w:r>
        <w:rPr>
          <w:color w:val="231F20"/>
          <w:spacing w:val="-2"/>
        </w:rPr>
        <w:t> </w:t>
      </w:r>
      <w:r>
        <w:rPr>
          <w:color w:val="231F20"/>
          <w:spacing w:val="-4"/>
        </w:rPr>
        <w:t>:</w:t>
      </w:r>
      <w:r>
        <w:rPr>
          <w:color w:val="231F20"/>
          <w:spacing w:val="-11"/>
        </w:rPr>
        <w:t> </w:t>
      </w:r>
      <w:r>
        <w:rPr>
          <w:color w:val="231F20"/>
          <w:spacing w:val="-4"/>
        </w:rPr>
        <w:t>Laurent</w:t>
      </w:r>
      <w:r>
        <w:rPr>
          <w:color w:val="231F20"/>
          <w:spacing w:val="-8"/>
        </w:rPr>
        <w:t> </w:t>
      </w:r>
      <w:r>
        <w:rPr>
          <w:color w:val="231F20"/>
          <w:spacing w:val="-4"/>
        </w:rPr>
        <w:t>Gbagbo</w:t>
      </w:r>
      <w:r>
        <w:rPr>
          <w:color w:val="231F20"/>
          <w:spacing w:val="-9"/>
        </w:rPr>
        <w:t> </w:t>
      </w:r>
      <w:r>
        <w:rPr>
          <w:color w:val="231F20"/>
          <w:spacing w:val="-4"/>
        </w:rPr>
        <w:t>est</w:t>
      </w:r>
      <w:r>
        <w:rPr>
          <w:color w:val="231F20"/>
          <w:spacing w:val="-8"/>
        </w:rPr>
        <w:t> </w:t>
      </w:r>
      <w:r>
        <w:rPr>
          <w:color w:val="231F20"/>
          <w:spacing w:val="-4"/>
        </w:rPr>
        <w:t>déclaré</w:t>
      </w:r>
      <w:r>
        <w:rPr>
          <w:color w:val="231F20"/>
          <w:spacing w:val="-11"/>
        </w:rPr>
        <w:t> </w:t>
      </w:r>
      <w:r>
        <w:rPr>
          <w:color w:val="231F20"/>
          <w:spacing w:val="-4"/>
        </w:rPr>
        <w:t>vainqueur.</w:t>
      </w:r>
      <w:r>
        <w:rPr>
          <w:color w:val="231F20"/>
          <w:spacing w:val="-11"/>
        </w:rPr>
        <w:t> </w:t>
      </w:r>
      <w:r>
        <w:rPr>
          <w:color w:val="231F20"/>
          <w:spacing w:val="-4"/>
        </w:rPr>
        <w:t>Mais</w:t>
      </w:r>
      <w:r>
        <w:rPr>
          <w:color w:val="231F20"/>
          <w:spacing w:val="-11"/>
        </w:rPr>
        <w:t> </w:t>
      </w:r>
      <w:r>
        <w:rPr>
          <w:color w:val="231F20"/>
          <w:spacing w:val="-4"/>
        </w:rPr>
        <w:t>à</w:t>
      </w:r>
      <w:r>
        <w:rPr>
          <w:color w:val="231F20"/>
          <w:spacing w:val="-9"/>
        </w:rPr>
        <w:t> </w:t>
      </w:r>
      <w:r>
        <w:rPr>
          <w:color w:val="231F20"/>
          <w:spacing w:val="-4"/>
        </w:rPr>
        <w:t>la</w:t>
      </w:r>
      <w:r>
        <w:rPr>
          <w:color w:val="231F20"/>
          <w:spacing w:val="-10"/>
        </w:rPr>
        <w:t> </w:t>
      </w:r>
      <w:r>
        <w:rPr>
          <w:color w:val="231F20"/>
          <w:spacing w:val="-4"/>
        </w:rPr>
        <w:t>surprise</w:t>
      </w:r>
      <w:r>
        <w:rPr>
          <w:color w:val="231F20"/>
          <w:spacing w:val="-9"/>
        </w:rPr>
        <w:t> </w:t>
      </w:r>
      <w:r>
        <w:rPr>
          <w:color w:val="231F20"/>
          <w:spacing w:val="-4"/>
        </w:rPr>
        <w:t>générale, </w:t>
      </w:r>
      <w:r>
        <w:rPr>
          <w:color w:val="231F20"/>
          <w:spacing w:val="-2"/>
        </w:rPr>
        <w:t>le</w:t>
      </w:r>
      <w:r>
        <w:rPr>
          <w:color w:val="231F20"/>
          <w:spacing w:val="-10"/>
        </w:rPr>
        <w:t> </w:t>
      </w:r>
      <w:r>
        <w:rPr>
          <w:color w:val="231F20"/>
          <w:spacing w:val="-2"/>
        </w:rPr>
        <w:t>Rassemblement</w:t>
      </w:r>
      <w:r>
        <w:rPr>
          <w:color w:val="231F20"/>
          <w:spacing w:val="-12"/>
        </w:rPr>
        <w:t> </w:t>
      </w:r>
      <w:r>
        <w:rPr>
          <w:color w:val="231F20"/>
          <w:spacing w:val="-2"/>
        </w:rPr>
        <w:t>des</w:t>
      </w:r>
      <w:r>
        <w:rPr>
          <w:color w:val="231F20"/>
          <w:spacing w:val="-12"/>
        </w:rPr>
        <w:t> </w:t>
      </w:r>
      <w:r>
        <w:rPr>
          <w:color w:val="231F20"/>
          <w:spacing w:val="-2"/>
        </w:rPr>
        <w:t>Républicains</w:t>
      </w:r>
      <w:r>
        <w:rPr>
          <w:color w:val="231F20"/>
          <w:spacing w:val="-13"/>
        </w:rPr>
        <w:t> </w:t>
      </w:r>
      <w:r>
        <w:rPr>
          <w:color w:val="231F20"/>
          <w:spacing w:val="-2"/>
        </w:rPr>
        <w:t>(RDR),</w:t>
      </w:r>
      <w:r>
        <w:rPr>
          <w:color w:val="231F20"/>
          <w:spacing w:val="-12"/>
        </w:rPr>
        <w:t> </w:t>
      </w:r>
      <w:r>
        <w:rPr>
          <w:color w:val="231F20"/>
          <w:spacing w:val="-2"/>
        </w:rPr>
        <w:t>fait</w:t>
      </w:r>
      <w:r>
        <w:rPr>
          <w:color w:val="231F20"/>
          <w:spacing w:val="-12"/>
        </w:rPr>
        <w:t> </w:t>
      </w:r>
      <w:r>
        <w:rPr>
          <w:color w:val="231F20"/>
          <w:spacing w:val="-2"/>
        </w:rPr>
        <w:t>savoir</w:t>
      </w:r>
      <w:r>
        <w:rPr>
          <w:color w:val="231F20"/>
          <w:spacing w:val="-10"/>
        </w:rPr>
        <w:t> </w:t>
      </w:r>
      <w:r>
        <w:rPr>
          <w:color w:val="231F20"/>
          <w:spacing w:val="-2"/>
        </w:rPr>
        <w:t>qu’il</w:t>
      </w:r>
      <w:r>
        <w:rPr>
          <w:color w:val="231F20"/>
          <w:spacing w:val="-12"/>
        </w:rPr>
        <w:t> </w:t>
      </w:r>
      <w:r>
        <w:rPr>
          <w:color w:val="231F20"/>
          <w:spacing w:val="-2"/>
        </w:rPr>
        <w:t>ne</w:t>
      </w:r>
      <w:r>
        <w:rPr>
          <w:color w:val="231F20"/>
          <w:spacing w:val="-13"/>
        </w:rPr>
        <w:t> </w:t>
      </w:r>
      <w:r>
        <w:rPr>
          <w:color w:val="231F20"/>
          <w:spacing w:val="-2"/>
        </w:rPr>
        <w:t>reconnaît </w:t>
      </w:r>
      <w:r>
        <w:rPr>
          <w:color w:val="231F20"/>
        </w:rPr>
        <w:t>pas la victoire de Laurent Gbagbo. Le 26 octobre, Alassane Ouattara réclame</w:t>
      </w:r>
      <w:r>
        <w:rPr>
          <w:color w:val="231F20"/>
          <w:spacing w:val="-12"/>
        </w:rPr>
        <w:t> </w:t>
      </w:r>
      <w:r>
        <w:rPr>
          <w:color w:val="231F20"/>
        </w:rPr>
        <w:t>la</w:t>
      </w:r>
      <w:r>
        <w:rPr>
          <w:color w:val="231F20"/>
          <w:spacing w:val="-12"/>
        </w:rPr>
        <w:t> </w:t>
      </w:r>
      <w:r>
        <w:rPr>
          <w:color w:val="231F20"/>
        </w:rPr>
        <w:t>tenue</w:t>
      </w:r>
      <w:r>
        <w:rPr>
          <w:color w:val="231F20"/>
          <w:spacing w:val="-12"/>
        </w:rPr>
        <w:t> </w:t>
      </w:r>
      <w:r>
        <w:rPr>
          <w:color w:val="231F20"/>
        </w:rPr>
        <w:t>d’un</w:t>
      </w:r>
      <w:r>
        <w:rPr>
          <w:color w:val="231F20"/>
          <w:spacing w:val="-12"/>
        </w:rPr>
        <w:t> </w:t>
      </w:r>
      <w:r>
        <w:rPr>
          <w:color w:val="231F20"/>
        </w:rPr>
        <w:t>nouveau</w:t>
      </w:r>
      <w:r>
        <w:rPr>
          <w:color w:val="231F20"/>
          <w:spacing w:val="-12"/>
        </w:rPr>
        <w:t> </w:t>
      </w:r>
      <w:r>
        <w:rPr>
          <w:color w:val="231F20"/>
        </w:rPr>
        <w:t>scrutin</w:t>
      </w:r>
      <w:r>
        <w:rPr>
          <w:color w:val="231F20"/>
          <w:spacing w:val="-12"/>
        </w:rPr>
        <w:t> </w:t>
      </w:r>
      <w:r>
        <w:rPr>
          <w:color w:val="231F20"/>
        </w:rPr>
        <w:t>et</w:t>
      </w:r>
      <w:r>
        <w:rPr>
          <w:color w:val="231F20"/>
          <w:spacing w:val="-12"/>
        </w:rPr>
        <w:t> </w:t>
      </w:r>
      <w:r>
        <w:rPr>
          <w:color w:val="231F20"/>
        </w:rPr>
        <w:t>déclare</w:t>
      </w:r>
      <w:r>
        <w:rPr>
          <w:color w:val="231F20"/>
          <w:spacing w:val="-12"/>
        </w:rPr>
        <w:t> </w:t>
      </w:r>
      <w:r>
        <w:rPr>
          <w:color w:val="231F20"/>
        </w:rPr>
        <w:t>que</w:t>
      </w:r>
      <w:r>
        <w:rPr>
          <w:color w:val="231F20"/>
          <w:spacing w:val="-12"/>
        </w:rPr>
        <w:t> </w:t>
      </w:r>
      <w:r>
        <w:rPr>
          <w:color w:val="231F20"/>
        </w:rPr>
        <w:t>le</w:t>
      </w:r>
      <w:r>
        <w:rPr>
          <w:color w:val="231F20"/>
          <w:spacing w:val="-12"/>
        </w:rPr>
        <w:t> </w:t>
      </w:r>
      <w:r>
        <w:rPr>
          <w:color w:val="231F20"/>
        </w:rPr>
        <w:t>pouvoir</w:t>
      </w:r>
      <w:r>
        <w:rPr>
          <w:color w:val="231F20"/>
          <w:spacing w:val="-12"/>
        </w:rPr>
        <w:t> </w:t>
      </w:r>
      <w:r>
        <w:rPr>
          <w:color w:val="231F20"/>
        </w:rPr>
        <w:t>est</w:t>
      </w:r>
      <w:r>
        <w:rPr>
          <w:color w:val="231F20"/>
          <w:spacing w:val="-12"/>
        </w:rPr>
        <w:t> </w:t>
      </w:r>
      <w:r>
        <w:rPr>
          <w:color w:val="231F20"/>
        </w:rPr>
        <w:t>dans la rue. Plusieurs centaines de ses partisans cherchent à</w:t>
      </w:r>
      <w:r>
        <w:rPr>
          <w:color w:val="231F20"/>
          <w:spacing w:val="-1"/>
        </w:rPr>
        <w:t> </w:t>
      </w:r>
      <w:r>
        <w:rPr>
          <w:color w:val="231F20"/>
        </w:rPr>
        <w:t>envahir</w:t>
      </w:r>
      <w:r>
        <w:rPr>
          <w:color w:val="231F20"/>
          <w:spacing w:val="-1"/>
        </w:rPr>
        <w:t> </w:t>
      </w:r>
      <w:r>
        <w:rPr>
          <w:color w:val="231F20"/>
        </w:rPr>
        <w:t>la</w:t>
      </w:r>
      <w:r>
        <w:rPr>
          <w:color w:val="231F20"/>
          <w:spacing w:val="-1"/>
        </w:rPr>
        <w:t> </w:t>
      </w:r>
      <w:r>
        <w:rPr>
          <w:color w:val="231F20"/>
        </w:rPr>
        <w:t>radio nationale et la télévision.</w:t>
      </w:r>
    </w:p>
    <w:p>
      <w:pPr>
        <w:pStyle w:val="BodyText"/>
        <w:spacing w:before="121"/>
        <w:ind w:right="105" w:firstLine="283"/>
      </w:pPr>
      <w:r>
        <w:rPr>
          <w:color w:val="231F20"/>
        </w:rPr>
        <w:t>Leurs manifestations se transforment en bataille rangée avec les partisans du FPI et les forces de sécurité dans plusieurs villes de Côte d’Ivoire. Une grande tension règne jusqu’en fin d’après-midi dans plusieurs quartiers d’Abidjan. À Abobo des témoignages font état de militants</w:t>
      </w:r>
      <w:r>
        <w:rPr>
          <w:color w:val="231F20"/>
          <w:spacing w:val="-15"/>
        </w:rPr>
        <w:t> </w:t>
      </w:r>
      <w:r>
        <w:rPr>
          <w:color w:val="231F20"/>
        </w:rPr>
        <w:t>du</w:t>
      </w:r>
      <w:r>
        <w:rPr>
          <w:color w:val="231F20"/>
          <w:spacing w:val="-15"/>
        </w:rPr>
        <w:t> </w:t>
      </w:r>
      <w:r>
        <w:rPr>
          <w:color w:val="231F20"/>
        </w:rPr>
        <w:t>RDR</w:t>
      </w:r>
      <w:r>
        <w:rPr>
          <w:color w:val="231F20"/>
          <w:spacing w:val="-15"/>
        </w:rPr>
        <w:t> </w:t>
      </w:r>
      <w:r>
        <w:rPr>
          <w:color w:val="231F20"/>
        </w:rPr>
        <w:t>armés</w:t>
      </w:r>
      <w:r>
        <w:rPr>
          <w:color w:val="231F20"/>
          <w:spacing w:val="-15"/>
        </w:rPr>
        <w:t> </w:t>
      </w:r>
      <w:r>
        <w:rPr>
          <w:color w:val="231F20"/>
        </w:rPr>
        <w:t>de</w:t>
      </w:r>
      <w:r>
        <w:rPr>
          <w:color w:val="231F20"/>
          <w:spacing w:val="-15"/>
        </w:rPr>
        <w:t> </w:t>
      </w:r>
      <w:r>
        <w:rPr>
          <w:color w:val="231F20"/>
        </w:rPr>
        <w:t>machettes,</w:t>
      </w:r>
      <w:r>
        <w:rPr>
          <w:color w:val="231F20"/>
          <w:spacing w:val="-15"/>
        </w:rPr>
        <w:t> </w:t>
      </w:r>
      <w:r>
        <w:rPr>
          <w:color w:val="231F20"/>
        </w:rPr>
        <w:t>de</w:t>
      </w:r>
      <w:r>
        <w:rPr>
          <w:color w:val="231F20"/>
          <w:spacing w:val="-15"/>
        </w:rPr>
        <w:t> </w:t>
      </w:r>
      <w:r>
        <w:rPr>
          <w:color w:val="231F20"/>
        </w:rPr>
        <w:t>couteaux</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gourdin</w:t>
      </w:r>
      <w:r>
        <w:rPr>
          <w:color w:val="231F20"/>
          <w:spacing w:val="-15"/>
        </w:rPr>
        <w:t> </w:t>
      </w:r>
      <w:r>
        <w:rPr>
          <w:color w:val="231F20"/>
        </w:rPr>
        <w:t>qui</w:t>
      </w:r>
      <w:r>
        <w:rPr>
          <w:color w:val="231F20"/>
          <w:spacing w:val="-15"/>
        </w:rPr>
        <w:t> </w:t>
      </w:r>
      <w:r>
        <w:rPr>
          <w:color w:val="231F20"/>
        </w:rPr>
        <w:t>ont </w:t>
      </w:r>
      <w:r>
        <w:rPr>
          <w:color w:val="231F20"/>
          <w:spacing w:val="-2"/>
        </w:rPr>
        <w:t>engagé</w:t>
      </w:r>
      <w:r>
        <w:rPr>
          <w:color w:val="231F20"/>
          <w:spacing w:val="-13"/>
        </w:rPr>
        <w:t> </w:t>
      </w:r>
      <w:r>
        <w:rPr>
          <w:color w:val="231F20"/>
          <w:spacing w:val="-2"/>
        </w:rPr>
        <w:t>une</w:t>
      </w:r>
      <w:r>
        <w:rPr>
          <w:color w:val="231F20"/>
          <w:spacing w:val="-13"/>
        </w:rPr>
        <w:t> </w:t>
      </w:r>
      <w:r>
        <w:rPr>
          <w:color w:val="231F20"/>
          <w:spacing w:val="-2"/>
        </w:rPr>
        <w:t>confrontation</w:t>
      </w:r>
      <w:r>
        <w:rPr>
          <w:color w:val="231F20"/>
          <w:spacing w:val="-13"/>
        </w:rPr>
        <w:t> </w:t>
      </w:r>
      <w:r>
        <w:rPr>
          <w:color w:val="231F20"/>
          <w:spacing w:val="-2"/>
        </w:rPr>
        <w:t>avec</w:t>
      </w:r>
      <w:r>
        <w:rPr>
          <w:color w:val="231F20"/>
          <w:spacing w:val="-13"/>
        </w:rPr>
        <w:t> </w:t>
      </w:r>
      <w:r>
        <w:rPr>
          <w:color w:val="231F20"/>
          <w:spacing w:val="-2"/>
        </w:rPr>
        <w:t>ceux</w:t>
      </w:r>
      <w:r>
        <w:rPr>
          <w:color w:val="231F20"/>
          <w:spacing w:val="-12"/>
        </w:rPr>
        <w:t> </w:t>
      </w:r>
      <w:r>
        <w:rPr>
          <w:color w:val="231F20"/>
          <w:spacing w:val="-2"/>
        </w:rPr>
        <w:t>du</w:t>
      </w:r>
      <w:r>
        <w:rPr>
          <w:color w:val="231F20"/>
          <w:spacing w:val="-12"/>
        </w:rPr>
        <w:t> </w:t>
      </w:r>
      <w:r>
        <w:rPr>
          <w:color w:val="231F20"/>
          <w:spacing w:val="-2"/>
        </w:rPr>
        <w:t>Front</w:t>
      </w:r>
      <w:r>
        <w:rPr>
          <w:color w:val="231F20"/>
          <w:spacing w:val="-12"/>
        </w:rPr>
        <w:t> </w:t>
      </w:r>
      <w:r>
        <w:rPr>
          <w:color w:val="231F20"/>
          <w:spacing w:val="-2"/>
        </w:rPr>
        <w:t>populaire</w:t>
      </w:r>
      <w:r>
        <w:rPr>
          <w:color w:val="231F20"/>
          <w:spacing w:val="-12"/>
        </w:rPr>
        <w:t> </w:t>
      </w:r>
      <w:r>
        <w:rPr>
          <w:color w:val="231F20"/>
          <w:spacing w:val="-2"/>
        </w:rPr>
        <w:t>ivoirien</w:t>
      </w:r>
      <w:r>
        <w:rPr>
          <w:color w:val="231F20"/>
          <w:spacing w:val="-13"/>
        </w:rPr>
        <w:t> </w:t>
      </w:r>
      <w:r>
        <w:rPr>
          <w:color w:val="231F20"/>
          <w:spacing w:val="-2"/>
        </w:rPr>
        <w:t>soutenus </w:t>
      </w:r>
      <w:r>
        <w:rPr>
          <w:color w:val="231F20"/>
        </w:rPr>
        <w:t>par les forces</w:t>
      </w:r>
      <w:r>
        <w:rPr>
          <w:color w:val="231F20"/>
          <w:spacing w:val="-3"/>
        </w:rPr>
        <w:t> </w:t>
      </w:r>
      <w:r>
        <w:rPr>
          <w:color w:val="231F20"/>
        </w:rPr>
        <w:t>de l’ordre.</w:t>
      </w:r>
      <w:r>
        <w:rPr>
          <w:color w:val="231F20"/>
          <w:spacing w:val="-3"/>
        </w:rPr>
        <w:t> </w:t>
      </w:r>
      <w:r>
        <w:rPr>
          <w:color w:val="231F20"/>
        </w:rPr>
        <w:t>Dans la journée, Alassane</w:t>
      </w:r>
      <w:r>
        <w:rPr>
          <w:color w:val="231F20"/>
          <w:spacing w:val="-1"/>
        </w:rPr>
        <w:t> </w:t>
      </w:r>
      <w:r>
        <w:rPr>
          <w:color w:val="231F20"/>
        </w:rPr>
        <w:t>Ouattara se</w:t>
      </w:r>
      <w:r>
        <w:rPr>
          <w:color w:val="231F20"/>
          <w:spacing w:val="-1"/>
        </w:rPr>
        <w:t> </w:t>
      </w:r>
      <w:r>
        <w:rPr>
          <w:color w:val="231F20"/>
        </w:rPr>
        <w:t>réfugie </w:t>
      </w:r>
      <w:r>
        <w:rPr>
          <w:color w:val="231F20"/>
          <w:spacing w:val="-4"/>
        </w:rPr>
        <w:t>dans</w:t>
      </w:r>
      <w:r>
        <w:rPr>
          <w:color w:val="231F20"/>
          <w:spacing w:val="-11"/>
        </w:rPr>
        <w:t> </w:t>
      </w:r>
      <w:r>
        <w:rPr>
          <w:color w:val="231F20"/>
          <w:spacing w:val="-4"/>
        </w:rPr>
        <w:t>la</w:t>
      </w:r>
      <w:r>
        <w:rPr>
          <w:color w:val="231F20"/>
          <w:spacing w:val="-11"/>
        </w:rPr>
        <w:t> </w:t>
      </w:r>
      <w:r>
        <w:rPr>
          <w:color w:val="231F20"/>
          <w:spacing w:val="-4"/>
        </w:rPr>
        <w:t>résidence</w:t>
      </w:r>
      <w:r>
        <w:rPr>
          <w:color w:val="231F20"/>
          <w:spacing w:val="-11"/>
        </w:rPr>
        <w:t> </w:t>
      </w:r>
      <w:r>
        <w:rPr>
          <w:color w:val="231F20"/>
          <w:spacing w:val="-4"/>
        </w:rPr>
        <w:t>de</w:t>
      </w:r>
      <w:r>
        <w:rPr>
          <w:color w:val="231F20"/>
          <w:spacing w:val="-11"/>
        </w:rPr>
        <w:t> </w:t>
      </w:r>
      <w:r>
        <w:rPr>
          <w:color w:val="231F20"/>
          <w:spacing w:val="-4"/>
        </w:rPr>
        <w:t>l’ambassadeur</w:t>
      </w:r>
      <w:r>
        <w:rPr>
          <w:color w:val="231F20"/>
          <w:spacing w:val="-11"/>
        </w:rPr>
        <w:t> </w:t>
      </w:r>
      <w:r>
        <w:rPr>
          <w:color w:val="231F20"/>
          <w:spacing w:val="-4"/>
        </w:rPr>
        <w:t>d’Allemagne.</w:t>
      </w:r>
      <w:r>
        <w:rPr>
          <w:color w:val="231F20"/>
          <w:spacing w:val="-11"/>
        </w:rPr>
        <w:t> </w:t>
      </w:r>
      <w:r>
        <w:rPr>
          <w:color w:val="231F20"/>
          <w:spacing w:val="-4"/>
        </w:rPr>
        <w:t>Vers</w:t>
      </w:r>
      <w:r>
        <w:rPr>
          <w:color w:val="231F20"/>
          <w:spacing w:val="-11"/>
        </w:rPr>
        <w:t> </w:t>
      </w:r>
      <w:r>
        <w:rPr>
          <w:color w:val="231F20"/>
          <w:spacing w:val="-4"/>
        </w:rPr>
        <w:t>15</w:t>
      </w:r>
      <w:r>
        <w:rPr>
          <w:color w:val="231F20"/>
          <w:spacing w:val="-11"/>
        </w:rPr>
        <w:t> </w:t>
      </w:r>
      <w:r>
        <w:rPr>
          <w:color w:val="231F20"/>
          <w:spacing w:val="-4"/>
        </w:rPr>
        <w:t>heures,</w:t>
      </w:r>
      <w:r>
        <w:rPr>
          <w:color w:val="231F20"/>
          <w:spacing w:val="-11"/>
        </w:rPr>
        <w:t> </w:t>
      </w:r>
      <w:r>
        <w:rPr>
          <w:color w:val="231F20"/>
          <w:spacing w:val="-4"/>
        </w:rPr>
        <w:t>le</w:t>
      </w:r>
      <w:r>
        <w:rPr>
          <w:color w:val="231F20"/>
          <w:spacing w:val="-11"/>
        </w:rPr>
        <w:t> </w:t>
      </w:r>
      <w:r>
        <w:rPr>
          <w:color w:val="231F20"/>
          <w:spacing w:val="-4"/>
        </w:rPr>
        <w:t>PDCI </w:t>
      </w:r>
      <w:r>
        <w:rPr>
          <w:color w:val="231F20"/>
        </w:rPr>
        <w:t>annonce reconnaitre la victoire de Laurent Gbagbo et condamne les violences.</w:t>
      </w:r>
      <w:r>
        <w:rPr>
          <w:color w:val="231F20"/>
          <w:spacing w:val="-8"/>
        </w:rPr>
        <w:t> </w:t>
      </w:r>
      <w:r>
        <w:rPr>
          <w:color w:val="231F20"/>
        </w:rPr>
        <w:t>Un</w:t>
      </w:r>
      <w:r>
        <w:rPr>
          <w:color w:val="231F20"/>
          <w:spacing w:val="-10"/>
        </w:rPr>
        <w:t> </w:t>
      </w:r>
      <w:r>
        <w:rPr>
          <w:color w:val="231F20"/>
        </w:rPr>
        <w:t>peu</w:t>
      </w:r>
      <w:r>
        <w:rPr>
          <w:color w:val="231F20"/>
          <w:spacing w:val="-8"/>
        </w:rPr>
        <w:t> </w:t>
      </w:r>
      <w:r>
        <w:rPr>
          <w:color w:val="231F20"/>
        </w:rPr>
        <w:t>plus</w:t>
      </w:r>
      <w:r>
        <w:rPr>
          <w:color w:val="231F20"/>
          <w:spacing w:val="-8"/>
        </w:rPr>
        <w:t> </w:t>
      </w:r>
      <w:r>
        <w:rPr>
          <w:color w:val="231F20"/>
        </w:rPr>
        <w:t>d’une</w:t>
      </w:r>
      <w:r>
        <w:rPr>
          <w:color w:val="231F20"/>
          <w:spacing w:val="-8"/>
        </w:rPr>
        <w:t> </w:t>
      </w:r>
      <w:r>
        <w:rPr>
          <w:color w:val="231F20"/>
        </w:rPr>
        <w:t>heure</w:t>
      </w:r>
      <w:r>
        <w:rPr>
          <w:color w:val="231F20"/>
          <w:spacing w:val="-8"/>
        </w:rPr>
        <w:t> </w:t>
      </w:r>
      <w:r>
        <w:rPr>
          <w:color w:val="231F20"/>
        </w:rPr>
        <w:t>plus</w:t>
      </w:r>
      <w:r>
        <w:rPr>
          <w:color w:val="231F20"/>
          <w:spacing w:val="-8"/>
        </w:rPr>
        <w:t> </w:t>
      </w:r>
      <w:r>
        <w:rPr>
          <w:color w:val="231F20"/>
        </w:rPr>
        <w:t>tard,</w:t>
      </w:r>
      <w:r>
        <w:rPr>
          <w:color w:val="231F20"/>
          <w:spacing w:val="-8"/>
        </w:rPr>
        <w:t> </w:t>
      </w:r>
      <w:r>
        <w:rPr>
          <w:color w:val="231F20"/>
        </w:rPr>
        <w:t>un</w:t>
      </w:r>
      <w:r>
        <w:rPr>
          <w:color w:val="231F20"/>
          <w:spacing w:val="-8"/>
        </w:rPr>
        <w:t> </w:t>
      </w:r>
      <w:r>
        <w:rPr>
          <w:color w:val="231F20"/>
        </w:rPr>
        <w:t>communiqué</w:t>
      </w:r>
      <w:r>
        <w:rPr>
          <w:color w:val="231F20"/>
          <w:spacing w:val="-8"/>
        </w:rPr>
        <w:t> </w:t>
      </w:r>
      <w:r>
        <w:rPr>
          <w:color w:val="231F20"/>
        </w:rPr>
        <w:t>commun </w:t>
      </w:r>
      <w:r>
        <w:rPr>
          <w:color w:val="231F20"/>
          <w:spacing w:val="-2"/>
        </w:rPr>
        <w:t>du</w:t>
      </w:r>
      <w:r>
        <w:rPr>
          <w:color w:val="231F20"/>
          <w:spacing w:val="-10"/>
        </w:rPr>
        <w:t> </w:t>
      </w:r>
      <w:r>
        <w:rPr>
          <w:color w:val="231F20"/>
          <w:spacing w:val="-2"/>
        </w:rPr>
        <w:t>FPI</w:t>
      </w:r>
      <w:r>
        <w:rPr>
          <w:color w:val="231F20"/>
          <w:spacing w:val="-13"/>
        </w:rPr>
        <w:t> </w:t>
      </w:r>
      <w:r>
        <w:rPr>
          <w:color w:val="231F20"/>
          <w:spacing w:val="-2"/>
        </w:rPr>
        <w:t>et</w:t>
      </w:r>
      <w:r>
        <w:rPr>
          <w:color w:val="231F20"/>
          <w:spacing w:val="-10"/>
        </w:rPr>
        <w:t> </w:t>
      </w:r>
      <w:r>
        <w:rPr>
          <w:color w:val="231F20"/>
          <w:spacing w:val="-2"/>
        </w:rPr>
        <w:t>du</w:t>
      </w:r>
      <w:r>
        <w:rPr>
          <w:color w:val="231F20"/>
          <w:spacing w:val="-12"/>
        </w:rPr>
        <w:t> </w:t>
      </w:r>
      <w:r>
        <w:rPr>
          <w:color w:val="231F20"/>
          <w:spacing w:val="-2"/>
        </w:rPr>
        <w:t>RDR,</w:t>
      </w:r>
      <w:r>
        <w:rPr>
          <w:color w:val="231F20"/>
          <w:spacing w:val="-12"/>
        </w:rPr>
        <w:t> </w:t>
      </w:r>
      <w:r>
        <w:rPr>
          <w:color w:val="231F20"/>
          <w:spacing w:val="-2"/>
        </w:rPr>
        <w:t>lu</w:t>
      </w:r>
      <w:r>
        <w:rPr>
          <w:color w:val="231F20"/>
          <w:spacing w:val="-12"/>
        </w:rPr>
        <w:t> </w:t>
      </w:r>
      <w:r>
        <w:rPr>
          <w:color w:val="231F20"/>
          <w:spacing w:val="-2"/>
        </w:rPr>
        <w:t>à</w:t>
      </w:r>
      <w:r>
        <w:rPr>
          <w:color w:val="231F20"/>
          <w:spacing w:val="-11"/>
        </w:rPr>
        <w:t> </w:t>
      </w:r>
      <w:r>
        <w:rPr>
          <w:color w:val="231F20"/>
          <w:spacing w:val="-2"/>
        </w:rPr>
        <w:t>la</w:t>
      </w:r>
      <w:r>
        <w:rPr>
          <w:color w:val="231F20"/>
          <w:spacing w:val="-12"/>
        </w:rPr>
        <w:t> </w:t>
      </w:r>
      <w:r>
        <w:rPr>
          <w:color w:val="231F20"/>
          <w:spacing w:val="-2"/>
        </w:rPr>
        <w:t>télévision</w:t>
      </w:r>
      <w:r>
        <w:rPr>
          <w:color w:val="231F20"/>
          <w:spacing w:val="-10"/>
        </w:rPr>
        <w:t> </w:t>
      </w:r>
      <w:r>
        <w:rPr>
          <w:color w:val="231F20"/>
          <w:spacing w:val="-2"/>
        </w:rPr>
        <w:t>nationale,</w:t>
      </w:r>
      <w:r>
        <w:rPr>
          <w:color w:val="231F20"/>
          <w:spacing w:val="-10"/>
        </w:rPr>
        <w:t> </w:t>
      </w:r>
      <w:r>
        <w:rPr>
          <w:color w:val="231F20"/>
          <w:spacing w:val="-2"/>
        </w:rPr>
        <w:t>appelle</w:t>
      </w:r>
      <w:r>
        <w:rPr>
          <w:color w:val="231F20"/>
          <w:spacing w:val="-11"/>
        </w:rPr>
        <w:t> </w:t>
      </w:r>
      <w:r>
        <w:rPr>
          <w:color w:val="231F20"/>
          <w:spacing w:val="-2"/>
        </w:rPr>
        <w:t>au</w:t>
      </w:r>
      <w:r>
        <w:rPr>
          <w:color w:val="231F20"/>
          <w:spacing w:val="-10"/>
        </w:rPr>
        <w:t> </w:t>
      </w:r>
      <w:r>
        <w:rPr>
          <w:color w:val="231F20"/>
          <w:spacing w:val="-2"/>
        </w:rPr>
        <w:t>calme</w:t>
      </w:r>
      <w:r>
        <w:rPr>
          <w:color w:val="231F20"/>
          <w:spacing w:val="-12"/>
        </w:rPr>
        <w:t> </w:t>
      </w:r>
      <w:r>
        <w:rPr>
          <w:color w:val="231F20"/>
          <w:spacing w:val="-2"/>
        </w:rPr>
        <w:t>et</w:t>
      </w:r>
      <w:r>
        <w:rPr>
          <w:color w:val="231F20"/>
          <w:spacing w:val="-9"/>
        </w:rPr>
        <w:t> </w:t>
      </w:r>
      <w:r>
        <w:rPr>
          <w:color w:val="231F20"/>
          <w:spacing w:val="-2"/>
        </w:rPr>
        <w:t>à</w:t>
      </w:r>
      <w:r>
        <w:rPr>
          <w:color w:val="231F20"/>
          <w:spacing w:val="-11"/>
        </w:rPr>
        <w:t> </w:t>
      </w:r>
      <w:r>
        <w:rPr>
          <w:color w:val="231F20"/>
          <w:spacing w:val="-2"/>
        </w:rPr>
        <w:t>la</w:t>
      </w:r>
      <w:r>
        <w:rPr>
          <w:color w:val="231F20"/>
          <w:spacing w:val="-11"/>
        </w:rPr>
        <w:t> </w:t>
      </w:r>
      <w:r>
        <w:rPr>
          <w:color w:val="231F20"/>
          <w:spacing w:val="-2"/>
        </w:rPr>
        <w:t>fin </w:t>
      </w:r>
      <w:r>
        <w:rPr>
          <w:color w:val="231F20"/>
        </w:rPr>
        <w:t>des affrontements.</w:t>
      </w:r>
    </w:p>
    <w:p>
      <w:pPr>
        <w:pStyle w:val="BodyText"/>
        <w:spacing w:before="121"/>
        <w:ind w:right="104" w:firstLine="283"/>
      </w:pPr>
      <w:r>
        <w:rPr>
          <w:color w:val="231F20"/>
          <w:spacing w:val="-2"/>
        </w:rPr>
        <w:t>En</w:t>
      </w:r>
      <w:r>
        <w:rPr>
          <w:color w:val="231F20"/>
          <w:spacing w:val="-12"/>
        </w:rPr>
        <w:t> </w:t>
      </w:r>
      <w:r>
        <w:rPr>
          <w:color w:val="231F20"/>
          <w:spacing w:val="-2"/>
        </w:rPr>
        <w:t>fin</w:t>
      </w:r>
      <w:r>
        <w:rPr>
          <w:color w:val="231F20"/>
          <w:spacing w:val="-12"/>
        </w:rPr>
        <w:t> </w:t>
      </w:r>
      <w:r>
        <w:rPr>
          <w:color w:val="231F20"/>
          <w:spacing w:val="-2"/>
        </w:rPr>
        <w:t>d’après-midi,</w:t>
      </w:r>
      <w:r>
        <w:rPr>
          <w:color w:val="231F20"/>
          <w:spacing w:val="-13"/>
        </w:rPr>
        <w:t> </w:t>
      </w:r>
      <w:r>
        <w:rPr>
          <w:color w:val="231F20"/>
          <w:spacing w:val="-2"/>
        </w:rPr>
        <w:t>ce</w:t>
      </w:r>
      <w:r>
        <w:rPr>
          <w:color w:val="231F20"/>
          <w:spacing w:val="-12"/>
        </w:rPr>
        <w:t> </w:t>
      </w:r>
      <w:r>
        <w:rPr>
          <w:color w:val="231F20"/>
          <w:spacing w:val="-2"/>
        </w:rPr>
        <w:t>26</w:t>
      </w:r>
      <w:r>
        <w:rPr>
          <w:color w:val="231F20"/>
          <w:spacing w:val="-13"/>
        </w:rPr>
        <w:t> </w:t>
      </w:r>
      <w:r>
        <w:rPr>
          <w:color w:val="231F20"/>
          <w:spacing w:val="-2"/>
        </w:rPr>
        <w:t>octobre</w:t>
      </w:r>
      <w:r>
        <w:rPr>
          <w:color w:val="231F20"/>
          <w:spacing w:val="-13"/>
        </w:rPr>
        <w:t> </w:t>
      </w:r>
      <w:r>
        <w:rPr>
          <w:color w:val="231F20"/>
          <w:spacing w:val="-2"/>
        </w:rPr>
        <w:t>2000,</w:t>
      </w:r>
      <w:r>
        <w:rPr>
          <w:color w:val="231F20"/>
          <w:spacing w:val="-12"/>
        </w:rPr>
        <w:t> </w:t>
      </w:r>
      <w:r>
        <w:rPr>
          <w:color w:val="231F20"/>
          <w:spacing w:val="-2"/>
        </w:rPr>
        <w:t>aux</w:t>
      </w:r>
      <w:r>
        <w:rPr>
          <w:color w:val="231F20"/>
          <w:spacing w:val="-12"/>
        </w:rPr>
        <w:t> </w:t>
      </w:r>
      <w:r>
        <w:rPr>
          <w:color w:val="231F20"/>
          <w:spacing w:val="-2"/>
        </w:rPr>
        <w:t>environs</w:t>
      </w:r>
      <w:r>
        <w:rPr>
          <w:color w:val="231F20"/>
          <w:spacing w:val="-12"/>
        </w:rPr>
        <w:t> </w:t>
      </w:r>
      <w:r>
        <w:rPr>
          <w:color w:val="231F20"/>
          <w:spacing w:val="-2"/>
        </w:rPr>
        <w:t>de</w:t>
      </w:r>
      <w:r>
        <w:rPr>
          <w:color w:val="231F20"/>
          <w:spacing w:val="-12"/>
        </w:rPr>
        <w:t> </w:t>
      </w:r>
      <w:r>
        <w:rPr>
          <w:color w:val="231F20"/>
          <w:spacing w:val="-2"/>
        </w:rPr>
        <w:t>18</w:t>
      </w:r>
      <w:r>
        <w:rPr>
          <w:color w:val="231F20"/>
          <w:spacing w:val="-13"/>
        </w:rPr>
        <w:t> </w:t>
      </w:r>
      <w:r>
        <w:rPr>
          <w:color w:val="231F20"/>
          <w:spacing w:val="-2"/>
        </w:rPr>
        <w:t>heures,</w:t>
      </w:r>
      <w:r>
        <w:rPr>
          <w:color w:val="231F20"/>
          <w:spacing w:val="-13"/>
        </w:rPr>
        <w:t> </w:t>
      </w:r>
      <w:r>
        <w:rPr>
          <w:color w:val="231F20"/>
          <w:spacing w:val="-2"/>
        </w:rPr>
        <w:t>la Cour</w:t>
      </w:r>
      <w:r>
        <w:rPr>
          <w:color w:val="231F20"/>
          <w:spacing w:val="-13"/>
        </w:rPr>
        <w:t> </w:t>
      </w:r>
      <w:r>
        <w:rPr>
          <w:color w:val="231F20"/>
          <w:spacing w:val="-2"/>
        </w:rPr>
        <w:t>suprême</w:t>
      </w:r>
      <w:r>
        <w:rPr>
          <w:color w:val="231F20"/>
          <w:spacing w:val="-13"/>
        </w:rPr>
        <w:t> </w:t>
      </w:r>
      <w:r>
        <w:rPr>
          <w:color w:val="231F20"/>
          <w:spacing w:val="-2"/>
        </w:rPr>
        <w:t>proclame</w:t>
      </w:r>
      <w:r>
        <w:rPr>
          <w:color w:val="231F20"/>
          <w:spacing w:val="-13"/>
        </w:rPr>
        <w:t> </w:t>
      </w:r>
      <w:r>
        <w:rPr>
          <w:color w:val="231F20"/>
          <w:spacing w:val="-2"/>
        </w:rPr>
        <w:t>officiellement,</w:t>
      </w:r>
      <w:r>
        <w:rPr>
          <w:color w:val="231F20"/>
          <w:spacing w:val="-13"/>
        </w:rPr>
        <w:t> </w:t>
      </w:r>
      <w:r>
        <w:rPr>
          <w:color w:val="231F20"/>
          <w:spacing w:val="-2"/>
        </w:rPr>
        <w:t>les</w:t>
      </w:r>
      <w:r>
        <w:rPr>
          <w:color w:val="231F20"/>
          <w:spacing w:val="-13"/>
        </w:rPr>
        <w:t> </w:t>
      </w:r>
      <w:r>
        <w:rPr>
          <w:color w:val="231F20"/>
          <w:spacing w:val="-2"/>
        </w:rPr>
        <w:t>résultats</w:t>
      </w:r>
      <w:r>
        <w:rPr>
          <w:color w:val="231F20"/>
          <w:spacing w:val="-13"/>
        </w:rPr>
        <w:t> </w:t>
      </w:r>
      <w:r>
        <w:rPr>
          <w:color w:val="231F20"/>
          <w:spacing w:val="-2"/>
        </w:rPr>
        <w:t>de</w:t>
      </w:r>
      <w:r>
        <w:rPr>
          <w:color w:val="231F20"/>
          <w:spacing w:val="-13"/>
        </w:rPr>
        <w:t> </w:t>
      </w:r>
      <w:r>
        <w:rPr>
          <w:color w:val="231F20"/>
          <w:spacing w:val="-2"/>
        </w:rPr>
        <w:t>l’élection.</w:t>
      </w:r>
      <w:r>
        <w:rPr>
          <w:color w:val="231F20"/>
          <w:spacing w:val="-13"/>
        </w:rPr>
        <w:t> </w:t>
      </w:r>
      <w:r>
        <w:rPr>
          <w:color w:val="231F20"/>
          <w:spacing w:val="-2"/>
        </w:rPr>
        <w:t>Près</w:t>
      </w:r>
      <w:r>
        <w:rPr>
          <w:color w:val="231F20"/>
          <w:spacing w:val="-13"/>
        </w:rPr>
        <w:t> </w:t>
      </w:r>
      <w:r>
        <w:rPr>
          <w:color w:val="231F20"/>
          <w:spacing w:val="-2"/>
        </w:rPr>
        <w:t>de </w:t>
      </w:r>
      <w:r>
        <w:rPr>
          <w:color w:val="231F20"/>
        </w:rPr>
        <w:t>60%</w:t>
      </w:r>
      <w:r>
        <w:rPr>
          <w:color w:val="231F20"/>
          <w:spacing w:val="-15"/>
        </w:rPr>
        <w:t> </w:t>
      </w:r>
      <w:r>
        <w:rPr>
          <w:color w:val="231F20"/>
        </w:rPr>
        <w:t>des</w:t>
      </w:r>
      <w:r>
        <w:rPr>
          <w:color w:val="231F20"/>
          <w:spacing w:val="-15"/>
        </w:rPr>
        <w:t> </w:t>
      </w:r>
      <w:r>
        <w:rPr>
          <w:color w:val="231F20"/>
        </w:rPr>
        <w:t>suffrages</w:t>
      </w:r>
      <w:r>
        <w:rPr>
          <w:color w:val="231F20"/>
          <w:spacing w:val="-15"/>
        </w:rPr>
        <w:t> </w:t>
      </w:r>
      <w:r>
        <w:rPr>
          <w:color w:val="231F20"/>
        </w:rPr>
        <w:t>exprimés</w:t>
      </w:r>
      <w:r>
        <w:rPr>
          <w:color w:val="231F20"/>
          <w:spacing w:val="-15"/>
        </w:rPr>
        <w:t> </w:t>
      </w:r>
      <w:r>
        <w:rPr>
          <w:color w:val="231F20"/>
        </w:rPr>
        <w:t>pour</w:t>
      </w:r>
      <w:r>
        <w:rPr>
          <w:color w:val="231F20"/>
          <w:spacing w:val="-15"/>
        </w:rPr>
        <w:t> </w:t>
      </w:r>
      <w:r>
        <w:rPr>
          <w:color w:val="231F20"/>
        </w:rPr>
        <w:t>Laurent</w:t>
      </w:r>
      <w:r>
        <w:rPr>
          <w:color w:val="231F20"/>
          <w:spacing w:val="-15"/>
        </w:rPr>
        <w:t> </w:t>
      </w:r>
      <w:r>
        <w:rPr>
          <w:color w:val="231F20"/>
        </w:rPr>
        <w:t>Gbagbo</w:t>
      </w:r>
      <w:r>
        <w:rPr>
          <w:color w:val="231F20"/>
          <w:spacing w:val="-15"/>
        </w:rPr>
        <w:t> </w:t>
      </w:r>
      <w:r>
        <w:rPr>
          <w:color w:val="231F20"/>
        </w:rPr>
        <w:t>contre</w:t>
      </w:r>
      <w:r>
        <w:rPr>
          <w:color w:val="231F20"/>
          <w:spacing w:val="-15"/>
        </w:rPr>
        <w:t> </w:t>
      </w:r>
      <w:r>
        <w:rPr>
          <w:color w:val="231F20"/>
        </w:rPr>
        <w:t>environ</w:t>
      </w:r>
      <w:r>
        <w:rPr>
          <w:color w:val="231F20"/>
          <w:spacing w:val="-15"/>
        </w:rPr>
        <w:t> </w:t>
      </w:r>
      <w:r>
        <w:rPr>
          <w:color w:val="231F20"/>
        </w:rPr>
        <w:t>33%</w:t>
      </w:r>
      <w:r>
        <w:rPr>
          <w:color w:val="231F20"/>
          <w:spacing w:val="-15"/>
        </w:rPr>
        <w:t> </w:t>
      </w:r>
      <w:r>
        <w:rPr>
          <w:color w:val="231F20"/>
        </w:rPr>
        <w:t>à </w:t>
      </w:r>
      <w:r>
        <w:rPr>
          <w:color w:val="231F20"/>
          <w:spacing w:val="-4"/>
        </w:rPr>
        <w:t>Robert</w:t>
      </w:r>
      <w:r>
        <w:rPr>
          <w:color w:val="231F20"/>
          <w:spacing w:val="-11"/>
        </w:rPr>
        <w:t> </w:t>
      </w:r>
      <w:r>
        <w:rPr>
          <w:color w:val="231F20"/>
          <w:spacing w:val="-4"/>
        </w:rPr>
        <w:t>Gueï,</w:t>
      </w:r>
      <w:r>
        <w:rPr>
          <w:color w:val="231F20"/>
          <w:spacing w:val="-11"/>
        </w:rPr>
        <w:t> </w:t>
      </w:r>
      <w:r>
        <w:rPr>
          <w:color w:val="231F20"/>
          <w:spacing w:val="-4"/>
        </w:rPr>
        <w:t>avec</w:t>
      </w:r>
      <w:r>
        <w:rPr>
          <w:color w:val="231F20"/>
          <w:spacing w:val="-11"/>
        </w:rPr>
        <w:t> </w:t>
      </w:r>
      <w:r>
        <w:rPr>
          <w:color w:val="231F20"/>
          <w:spacing w:val="-4"/>
        </w:rPr>
        <w:t>un</w:t>
      </w:r>
      <w:r>
        <w:rPr>
          <w:color w:val="231F20"/>
          <w:spacing w:val="-11"/>
        </w:rPr>
        <w:t> </w:t>
      </w:r>
      <w:r>
        <w:rPr>
          <w:color w:val="231F20"/>
          <w:spacing w:val="-4"/>
        </w:rPr>
        <w:t>taux</w:t>
      </w:r>
      <w:r>
        <w:rPr>
          <w:color w:val="231F20"/>
          <w:spacing w:val="-11"/>
        </w:rPr>
        <w:t> </w:t>
      </w:r>
      <w:r>
        <w:rPr>
          <w:color w:val="231F20"/>
          <w:spacing w:val="-4"/>
        </w:rPr>
        <w:t>de</w:t>
      </w:r>
      <w:r>
        <w:rPr>
          <w:color w:val="231F20"/>
          <w:spacing w:val="-9"/>
        </w:rPr>
        <w:t> </w:t>
      </w:r>
      <w:r>
        <w:rPr>
          <w:color w:val="231F20"/>
          <w:spacing w:val="-4"/>
        </w:rPr>
        <w:t>participation</w:t>
      </w:r>
      <w:r>
        <w:rPr>
          <w:color w:val="231F20"/>
          <w:spacing w:val="-11"/>
        </w:rPr>
        <w:t> </w:t>
      </w:r>
      <w:r>
        <w:rPr>
          <w:color w:val="231F20"/>
          <w:spacing w:val="-4"/>
        </w:rPr>
        <w:t>de</w:t>
      </w:r>
      <w:r>
        <w:rPr>
          <w:color w:val="231F20"/>
          <w:spacing w:val="-11"/>
        </w:rPr>
        <w:t> </w:t>
      </w:r>
      <w:r>
        <w:rPr>
          <w:color w:val="231F20"/>
          <w:spacing w:val="-4"/>
        </w:rPr>
        <w:t>37%.</w:t>
      </w:r>
      <w:r>
        <w:rPr>
          <w:color w:val="231F20"/>
          <w:spacing w:val="2"/>
        </w:rPr>
        <w:t> </w:t>
      </w:r>
      <w:r>
        <w:rPr>
          <w:color w:val="231F20"/>
          <w:spacing w:val="-4"/>
        </w:rPr>
        <w:t>C’est</w:t>
      </w:r>
      <w:r>
        <w:rPr>
          <w:color w:val="231F20"/>
          <w:spacing w:val="-11"/>
        </w:rPr>
        <w:t> </w:t>
      </w:r>
      <w:r>
        <w:rPr>
          <w:color w:val="231F20"/>
          <w:spacing w:val="-4"/>
        </w:rPr>
        <w:t>sous</w:t>
      </w:r>
      <w:r>
        <w:rPr>
          <w:color w:val="231F20"/>
          <w:spacing w:val="-9"/>
        </w:rPr>
        <w:t> </w:t>
      </w:r>
      <w:r>
        <w:rPr>
          <w:color w:val="231F20"/>
          <w:spacing w:val="-4"/>
        </w:rPr>
        <w:t>un</w:t>
      </w:r>
      <w:r>
        <w:rPr>
          <w:color w:val="231F20"/>
          <w:spacing w:val="-11"/>
        </w:rPr>
        <w:t> </w:t>
      </w:r>
      <w:r>
        <w:rPr>
          <w:color w:val="231F20"/>
          <w:spacing w:val="-4"/>
        </w:rPr>
        <w:t>tonnerre </w:t>
      </w:r>
      <w:r>
        <w:rPr>
          <w:color w:val="231F20"/>
        </w:rPr>
        <w:t>d’applaudissement</w:t>
      </w:r>
      <w:r>
        <w:rPr>
          <w:color w:val="231F20"/>
          <w:spacing w:val="-5"/>
        </w:rPr>
        <w:t> </w:t>
      </w:r>
      <w:r>
        <w:rPr>
          <w:color w:val="231F20"/>
        </w:rPr>
        <w:t>que</w:t>
      </w:r>
      <w:r>
        <w:rPr>
          <w:color w:val="231F20"/>
          <w:spacing w:val="-6"/>
        </w:rPr>
        <w:t> </w:t>
      </w:r>
      <w:r>
        <w:rPr>
          <w:color w:val="231F20"/>
        </w:rPr>
        <w:t>le</w:t>
      </w:r>
      <w:r>
        <w:rPr>
          <w:color w:val="231F20"/>
          <w:spacing w:val="-6"/>
        </w:rPr>
        <w:t> </w:t>
      </w:r>
      <w:r>
        <w:rPr>
          <w:color w:val="231F20"/>
        </w:rPr>
        <w:t>troisième</w:t>
      </w:r>
      <w:r>
        <w:rPr>
          <w:color w:val="231F20"/>
          <w:spacing w:val="-5"/>
        </w:rPr>
        <w:t> </w:t>
      </w:r>
      <w:r>
        <w:rPr>
          <w:color w:val="231F20"/>
        </w:rPr>
        <w:t>président</w:t>
      </w:r>
      <w:r>
        <w:rPr>
          <w:color w:val="231F20"/>
          <w:spacing w:val="-3"/>
        </w:rPr>
        <w:t> </w:t>
      </w:r>
      <w:r>
        <w:rPr>
          <w:color w:val="231F20"/>
        </w:rPr>
        <w:t>de</w:t>
      </w:r>
      <w:r>
        <w:rPr>
          <w:color w:val="231F20"/>
          <w:spacing w:val="-6"/>
        </w:rPr>
        <w:t> </w:t>
      </w:r>
      <w:r>
        <w:rPr>
          <w:color w:val="231F20"/>
        </w:rPr>
        <w:t>la</w:t>
      </w:r>
      <w:r>
        <w:rPr>
          <w:color w:val="231F20"/>
          <w:spacing w:val="-6"/>
        </w:rPr>
        <w:t> </w:t>
      </w:r>
      <w:r>
        <w:rPr>
          <w:color w:val="231F20"/>
        </w:rPr>
        <w:t>République</w:t>
      </w:r>
      <w:r>
        <w:rPr>
          <w:color w:val="231F20"/>
          <w:spacing w:val="-5"/>
        </w:rPr>
        <w:t> </w:t>
      </w:r>
      <w:r>
        <w:rPr>
          <w:color w:val="231F20"/>
        </w:rPr>
        <w:t>de</w:t>
      </w:r>
      <w:r>
        <w:rPr>
          <w:color w:val="231F20"/>
          <w:spacing w:val="-6"/>
        </w:rPr>
        <w:t> </w:t>
      </w:r>
      <w:r>
        <w:rPr>
          <w:color w:val="231F20"/>
        </w:rPr>
        <w:t>Côte d’Ivoire</w:t>
      </w:r>
      <w:r>
        <w:rPr>
          <w:color w:val="231F20"/>
          <w:spacing w:val="-10"/>
        </w:rPr>
        <w:t> </w:t>
      </w:r>
      <w:r>
        <w:rPr>
          <w:color w:val="231F20"/>
        </w:rPr>
        <w:t>et</w:t>
      </w:r>
      <w:r>
        <w:rPr>
          <w:color w:val="231F20"/>
          <w:spacing w:val="-10"/>
        </w:rPr>
        <w:t> </w:t>
      </w:r>
      <w:r>
        <w:rPr>
          <w:color w:val="231F20"/>
        </w:rPr>
        <w:t>premier</w:t>
      </w:r>
      <w:r>
        <w:rPr>
          <w:color w:val="231F20"/>
          <w:spacing w:val="-11"/>
        </w:rPr>
        <w:t> </w:t>
      </w:r>
      <w:r>
        <w:rPr>
          <w:color w:val="231F20"/>
        </w:rPr>
        <w:t>Président</w:t>
      </w:r>
      <w:r>
        <w:rPr>
          <w:color w:val="231F20"/>
          <w:spacing w:val="-9"/>
        </w:rPr>
        <w:t> </w:t>
      </w:r>
      <w:r>
        <w:rPr>
          <w:color w:val="231F20"/>
        </w:rPr>
        <w:t>de</w:t>
      </w:r>
      <w:r>
        <w:rPr>
          <w:color w:val="231F20"/>
          <w:spacing w:val="-12"/>
        </w:rPr>
        <w:t> </w:t>
      </w:r>
      <w:r>
        <w:rPr>
          <w:color w:val="231F20"/>
        </w:rPr>
        <w:t>la</w:t>
      </w:r>
      <w:r>
        <w:rPr>
          <w:color w:val="231F20"/>
          <w:spacing w:val="-10"/>
        </w:rPr>
        <w:t> </w:t>
      </w:r>
      <w:r>
        <w:rPr>
          <w:color w:val="231F20"/>
        </w:rPr>
        <w:t>deuxième</w:t>
      </w:r>
      <w:r>
        <w:rPr>
          <w:color w:val="231F20"/>
          <w:spacing w:val="-10"/>
        </w:rPr>
        <w:t> </w:t>
      </w:r>
      <w:r>
        <w:rPr>
          <w:color w:val="231F20"/>
        </w:rPr>
        <w:t>République</w:t>
      </w:r>
      <w:r>
        <w:rPr>
          <w:color w:val="231F20"/>
          <w:spacing w:val="-10"/>
        </w:rPr>
        <w:t> </w:t>
      </w:r>
      <w:r>
        <w:rPr>
          <w:color w:val="231F20"/>
        </w:rPr>
        <w:t>prête</w:t>
      </w:r>
      <w:r>
        <w:rPr>
          <w:color w:val="231F20"/>
          <w:spacing w:val="-12"/>
        </w:rPr>
        <w:t> </w:t>
      </w:r>
      <w:r>
        <w:rPr>
          <w:color w:val="231F20"/>
        </w:rPr>
        <w:t>serment. </w:t>
      </w:r>
      <w:r>
        <w:rPr>
          <w:color w:val="231F20"/>
          <w:spacing w:val="-4"/>
        </w:rPr>
        <w:t>Dans</w:t>
      </w:r>
      <w:r>
        <w:rPr>
          <w:color w:val="231F20"/>
          <w:spacing w:val="-11"/>
        </w:rPr>
        <w:t> </w:t>
      </w:r>
      <w:r>
        <w:rPr>
          <w:color w:val="231F20"/>
          <w:spacing w:val="-4"/>
        </w:rPr>
        <w:t>son</w:t>
      </w:r>
      <w:r>
        <w:rPr>
          <w:color w:val="231F20"/>
          <w:spacing w:val="-11"/>
        </w:rPr>
        <w:t> </w:t>
      </w:r>
      <w:r>
        <w:rPr>
          <w:color w:val="231F20"/>
          <w:spacing w:val="-4"/>
        </w:rPr>
        <w:t>camp,</w:t>
      </w:r>
      <w:r>
        <w:rPr>
          <w:color w:val="231F20"/>
          <w:spacing w:val="-11"/>
        </w:rPr>
        <w:t> </w:t>
      </w:r>
      <w:r>
        <w:rPr>
          <w:color w:val="231F20"/>
          <w:spacing w:val="-4"/>
        </w:rPr>
        <w:t>c’est</w:t>
      </w:r>
      <w:r>
        <w:rPr>
          <w:color w:val="231F20"/>
          <w:spacing w:val="-11"/>
        </w:rPr>
        <w:t> </w:t>
      </w:r>
      <w:r>
        <w:rPr>
          <w:color w:val="231F20"/>
          <w:spacing w:val="-4"/>
        </w:rPr>
        <w:t>l’euphorie</w:t>
      </w:r>
      <w:r>
        <w:rPr>
          <w:color w:val="231F20"/>
          <w:spacing w:val="-1"/>
        </w:rPr>
        <w:t> </w:t>
      </w:r>
      <w:r>
        <w:rPr>
          <w:color w:val="231F20"/>
          <w:spacing w:val="-4"/>
        </w:rPr>
        <w:t>:</w:t>
      </w:r>
      <w:r>
        <w:rPr>
          <w:color w:val="231F20"/>
          <w:spacing w:val="-11"/>
        </w:rPr>
        <w:t> </w:t>
      </w:r>
      <w:r>
        <w:rPr>
          <w:color w:val="231F20"/>
          <w:spacing w:val="-4"/>
        </w:rPr>
        <w:t>ce</w:t>
      </w:r>
      <w:r>
        <w:rPr>
          <w:color w:val="231F20"/>
          <w:spacing w:val="-11"/>
        </w:rPr>
        <w:t> </w:t>
      </w:r>
      <w:r>
        <w:rPr>
          <w:color w:val="231F20"/>
          <w:spacing w:val="-4"/>
        </w:rPr>
        <w:t>moment</w:t>
      </w:r>
      <w:r>
        <w:rPr>
          <w:color w:val="231F20"/>
          <w:spacing w:val="-11"/>
        </w:rPr>
        <w:t> </w:t>
      </w:r>
      <w:r>
        <w:rPr>
          <w:color w:val="231F20"/>
          <w:spacing w:val="-4"/>
        </w:rPr>
        <w:t>est</w:t>
      </w:r>
      <w:r>
        <w:rPr>
          <w:color w:val="231F20"/>
          <w:spacing w:val="-11"/>
        </w:rPr>
        <w:t> </w:t>
      </w:r>
      <w:r>
        <w:rPr>
          <w:color w:val="231F20"/>
          <w:spacing w:val="-4"/>
        </w:rPr>
        <w:t>l’aboutissement</w:t>
      </w:r>
      <w:r>
        <w:rPr>
          <w:color w:val="231F20"/>
          <w:spacing w:val="-11"/>
        </w:rPr>
        <w:t> </w:t>
      </w:r>
      <w:r>
        <w:rPr>
          <w:color w:val="231F20"/>
          <w:spacing w:val="-4"/>
        </w:rPr>
        <w:t>de</w:t>
      </w:r>
      <w:r>
        <w:rPr>
          <w:color w:val="231F20"/>
          <w:spacing w:val="-11"/>
        </w:rPr>
        <w:t> </w:t>
      </w:r>
      <w:r>
        <w:rPr>
          <w:color w:val="231F20"/>
          <w:spacing w:val="-4"/>
        </w:rPr>
        <w:t>trente </w:t>
      </w:r>
      <w:r>
        <w:rPr>
          <w:color w:val="231F20"/>
        </w:rPr>
        <w:t>ans de lutte. Trente ans pendant</w:t>
      </w:r>
      <w:r>
        <w:rPr>
          <w:color w:val="231F20"/>
          <w:spacing w:val="-1"/>
        </w:rPr>
        <w:t> </w:t>
      </w:r>
      <w:r>
        <w:rPr>
          <w:color w:val="231F20"/>
        </w:rPr>
        <w:t>lesquels il a connu les persécutions,</w:t>
      </w:r>
      <w:r>
        <w:rPr>
          <w:color w:val="231F20"/>
          <w:spacing w:val="-1"/>
        </w:rPr>
        <w:t> </w:t>
      </w:r>
      <w:r>
        <w:rPr>
          <w:color w:val="231F20"/>
        </w:rPr>
        <w:t>la prison, l’exil. À cinquante-cinq ans, il vient d’ obtenir ce pourquoi il a toujours lutté : le pouvoir d’Etat. Dans son discours d’investiture, le nouveau</w:t>
      </w:r>
      <w:r>
        <w:rPr>
          <w:color w:val="231F20"/>
          <w:spacing w:val="-4"/>
        </w:rPr>
        <w:t> </w:t>
      </w:r>
      <w:r>
        <w:rPr>
          <w:color w:val="231F20"/>
        </w:rPr>
        <w:t>chef</w:t>
      </w:r>
      <w:r>
        <w:rPr>
          <w:color w:val="231F20"/>
          <w:spacing w:val="-6"/>
        </w:rPr>
        <w:t> </w:t>
      </w:r>
      <w:r>
        <w:rPr>
          <w:color w:val="231F20"/>
        </w:rPr>
        <w:t>de</w:t>
      </w:r>
      <w:r>
        <w:rPr>
          <w:color w:val="231F20"/>
          <w:spacing w:val="-4"/>
        </w:rPr>
        <w:t> </w:t>
      </w:r>
      <w:r>
        <w:rPr>
          <w:color w:val="231F20"/>
        </w:rPr>
        <w:t>l’État</w:t>
      </w:r>
      <w:r>
        <w:rPr>
          <w:color w:val="231F20"/>
          <w:spacing w:val="-6"/>
        </w:rPr>
        <w:t> </w:t>
      </w:r>
      <w:r>
        <w:rPr>
          <w:color w:val="231F20"/>
        </w:rPr>
        <w:t>s’engage</w:t>
      </w:r>
      <w:r>
        <w:rPr>
          <w:color w:val="231F20"/>
          <w:spacing w:val="-4"/>
        </w:rPr>
        <w:t> </w:t>
      </w:r>
      <w:r>
        <w:rPr>
          <w:color w:val="231F20"/>
        </w:rPr>
        <w:t>à</w:t>
      </w:r>
      <w:r>
        <w:rPr>
          <w:color w:val="231F20"/>
          <w:spacing w:val="-5"/>
        </w:rPr>
        <w:t> </w:t>
      </w:r>
      <w:r>
        <w:rPr>
          <w:color w:val="231F20"/>
        </w:rPr>
        <w:t>«</w:t>
      </w:r>
      <w:r>
        <w:rPr>
          <w:color w:val="231F20"/>
          <w:spacing w:val="-4"/>
        </w:rPr>
        <w:t> </w:t>
      </w:r>
      <w:r>
        <w:rPr>
          <w:color w:val="231F20"/>
        </w:rPr>
        <w:t>refonder</w:t>
      </w:r>
      <w:r>
        <w:rPr>
          <w:color w:val="231F20"/>
          <w:spacing w:val="-4"/>
        </w:rPr>
        <w:t> </w:t>
      </w:r>
      <w:r>
        <w:rPr>
          <w:color w:val="231F20"/>
        </w:rPr>
        <w:t>la</w:t>
      </w:r>
      <w:r>
        <w:rPr>
          <w:color w:val="231F20"/>
          <w:spacing w:val="-6"/>
        </w:rPr>
        <w:t> </w:t>
      </w:r>
      <w:r>
        <w:rPr>
          <w:color w:val="231F20"/>
        </w:rPr>
        <w:t>Côte</w:t>
      </w:r>
      <w:r>
        <w:rPr>
          <w:color w:val="231F20"/>
          <w:spacing w:val="-5"/>
        </w:rPr>
        <w:t> </w:t>
      </w:r>
      <w:r>
        <w:rPr>
          <w:color w:val="231F20"/>
        </w:rPr>
        <w:t>d’Ivoire</w:t>
      </w:r>
      <w:r>
        <w:rPr>
          <w:color w:val="231F20"/>
          <w:spacing w:val="-4"/>
        </w:rPr>
        <w:t> </w:t>
      </w:r>
      <w:r>
        <w:rPr>
          <w:color w:val="231F20"/>
        </w:rPr>
        <w:t>».</w:t>
      </w:r>
    </w:p>
    <w:p>
      <w:pPr>
        <w:pStyle w:val="BodyText"/>
        <w:spacing w:before="120"/>
        <w:ind w:right="105" w:firstLine="283"/>
      </w:pPr>
      <w:r>
        <w:rPr>
          <w:color w:val="231F20"/>
          <w:spacing w:val="-2"/>
        </w:rPr>
        <w:t>Le</w:t>
      </w:r>
      <w:r>
        <w:rPr>
          <w:color w:val="231F20"/>
          <w:spacing w:val="-13"/>
        </w:rPr>
        <w:t> </w:t>
      </w:r>
      <w:r>
        <w:rPr>
          <w:color w:val="231F20"/>
          <w:spacing w:val="-2"/>
        </w:rPr>
        <w:t>bilan</w:t>
      </w:r>
      <w:r>
        <w:rPr>
          <w:color w:val="231F20"/>
          <w:spacing w:val="-13"/>
        </w:rPr>
        <w:t> </w:t>
      </w:r>
      <w:r>
        <w:rPr>
          <w:color w:val="231F20"/>
          <w:spacing w:val="-2"/>
        </w:rPr>
        <w:t>des</w:t>
      </w:r>
      <w:r>
        <w:rPr>
          <w:color w:val="231F20"/>
          <w:spacing w:val="-13"/>
        </w:rPr>
        <w:t> </w:t>
      </w:r>
      <w:r>
        <w:rPr>
          <w:color w:val="231F20"/>
          <w:spacing w:val="-2"/>
        </w:rPr>
        <w:t>3</w:t>
      </w:r>
      <w:r>
        <w:rPr>
          <w:color w:val="231F20"/>
          <w:spacing w:val="-13"/>
        </w:rPr>
        <w:t> </w:t>
      </w:r>
      <w:r>
        <w:rPr>
          <w:color w:val="231F20"/>
          <w:spacing w:val="-2"/>
        </w:rPr>
        <w:t>jours</w:t>
      </w:r>
      <w:r>
        <w:rPr>
          <w:color w:val="231F20"/>
          <w:spacing w:val="-13"/>
        </w:rPr>
        <w:t> </w:t>
      </w:r>
      <w:r>
        <w:rPr>
          <w:color w:val="231F20"/>
          <w:spacing w:val="-2"/>
        </w:rPr>
        <w:t>d’affrontements</w:t>
      </w:r>
      <w:r>
        <w:rPr>
          <w:color w:val="231F20"/>
          <w:spacing w:val="-13"/>
        </w:rPr>
        <w:t> </w:t>
      </w:r>
      <w:r>
        <w:rPr>
          <w:color w:val="231F20"/>
          <w:spacing w:val="-2"/>
        </w:rPr>
        <w:t>sanglants</w:t>
      </w:r>
      <w:r>
        <w:rPr>
          <w:color w:val="231F20"/>
          <w:spacing w:val="-13"/>
        </w:rPr>
        <w:t> </w:t>
      </w:r>
      <w:r>
        <w:rPr>
          <w:color w:val="231F20"/>
          <w:spacing w:val="-2"/>
        </w:rPr>
        <w:t>s’élève</w:t>
      </w:r>
      <w:r>
        <w:rPr>
          <w:color w:val="231F20"/>
          <w:spacing w:val="-13"/>
        </w:rPr>
        <w:t> </w:t>
      </w:r>
      <w:r>
        <w:rPr>
          <w:color w:val="231F20"/>
          <w:spacing w:val="-2"/>
        </w:rPr>
        <w:t>officiellement</w:t>
      </w:r>
      <w:r>
        <w:rPr>
          <w:color w:val="231F20"/>
          <w:spacing w:val="-13"/>
        </w:rPr>
        <w:t> </w:t>
      </w:r>
      <w:r>
        <w:rPr>
          <w:color w:val="231F20"/>
          <w:spacing w:val="-2"/>
        </w:rPr>
        <w:t>à </w:t>
      </w:r>
      <w:r>
        <w:rPr>
          <w:color w:val="231F20"/>
        </w:rPr>
        <w:t>70</w:t>
      </w:r>
      <w:r>
        <w:rPr>
          <w:color w:val="231F20"/>
          <w:spacing w:val="-15"/>
        </w:rPr>
        <w:t> </w:t>
      </w:r>
      <w:r>
        <w:rPr>
          <w:color w:val="231F20"/>
        </w:rPr>
        <w:t>morts.</w:t>
      </w:r>
      <w:r>
        <w:rPr>
          <w:color w:val="231F20"/>
          <w:spacing w:val="-15"/>
        </w:rPr>
        <w:t> </w:t>
      </w:r>
      <w:r>
        <w:rPr>
          <w:color w:val="231F20"/>
        </w:rPr>
        <w:t>Le</w:t>
      </w:r>
      <w:r>
        <w:rPr>
          <w:color w:val="231F20"/>
          <w:spacing w:val="-15"/>
        </w:rPr>
        <w:t> </w:t>
      </w:r>
      <w:r>
        <w:rPr>
          <w:color w:val="231F20"/>
        </w:rPr>
        <w:t>27</w:t>
      </w:r>
      <w:r>
        <w:rPr>
          <w:color w:val="231F20"/>
          <w:spacing w:val="-15"/>
        </w:rPr>
        <w:t> </w:t>
      </w:r>
      <w:r>
        <w:rPr>
          <w:color w:val="231F20"/>
        </w:rPr>
        <w:t>octobre,</w:t>
      </w:r>
      <w:r>
        <w:rPr>
          <w:color w:val="231F20"/>
          <w:spacing w:val="-15"/>
        </w:rPr>
        <w:t> </w:t>
      </w:r>
      <w:r>
        <w:rPr>
          <w:color w:val="231F20"/>
        </w:rPr>
        <w:t>un</w:t>
      </w:r>
      <w:r>
        <w:rPr>
          <w:color w:val="231F20"/>
          <w:spacing w:val="-15"/>
        </w:rPr>
        <w:t> </w:t>
      </w:r>
      <w:r>
        <w:rPr>
          <w:color w:val="231F20"/>
        </w:rPr>
        <w:t>«</w:t>
      </w:r>
      <w:r>
        <w:rPr>
          <w:color w:val="231F20"/>
          <w:spacing w:val="-15"/>
        </w:rPr>
        <w:t> </w:t>
      </w:r>
      <w:r>
        <w:rPr>
          <w:color w:val="231F20"/>
        </w:rPr>
        <w:t>charnier</w:t>
      </w:r>
      <w:r>
        <w:rPr>
          <w:color w:val="231F20"/>
          <w:spacing w:val="-15"/>
        </w:rPr>
        <w:t> </w:t>
      </w:r>
      <w:r>
        <w:rPr>
          <w:color w:val="231F20"/>
        </w:rPr>
        <w:t>»</w:t>
      </w:r>
      <w:r>
        <w:rPr>
          <w:color w:val="231F20"/>
          <w:spacing w:val="-15"/>
        </w:rPr>
        <w:t> </w:t>
      </w:r>
      <w:r>
        <w:rPr>
          <w:color w:val="231F20"/>
        </w:rPr>
        <w:t>est</w:t>
      </w:r>
      <w:r>
        <w:rPr>
          <w:color w:val="231F20"/>
          <w:spacing w:val="-15"/>
        </w:rPr>
        <w:t> </w:t>
      </w:r>
      <w:r>
        <w:rPr>
          <w:color w:val="231F20"/>
        </w:rPr>
        <w:t>découvert</w:t>
      </w:r>
      <w:r>
        <w:rPr>
          <w:color w:val="231F20"/>
          <w:spacing w:val="-15"/>
        </w:rPr>
        <w:t> </w:t>
      </w:r>
      <w:r>
        <w:rPr>
          <w:color w:val="231F20"/>
        </w:rPr>
        <w:t>à</w:t>
      </w:r>
      <w:r>
        <w:rPr>
          <w:color w:val="231F20"/>
          <w:spacing w:val="-15"/>
        </w:rPr>
        <w:t> </w:t>
      </w:r>
      <w:r>
        <w:rPr>
          <w:color w:val="231F20"/>
        </w:rPr>
        <w:t>Yopougon,</w:t>
      </w:r>
      <w:r>
        <w:rPr>
          <w:color w:val="231F20"/>
          <w:spacing w:val="-15"/>
        </w:rPr>
        <w:t> </w:t>
      </w:r>
      <w:r>
        <w:rPr>
          <w:color w:val="231F20"/>
        </w:rPr>
        <w:t>dans lequel sont entassés 57 cadavres.</w:t>
      </w:r>
    </w:p>
    <w:p>
      <w:pPr>
        <w:spacing w:after="0"/>
        <w:sectPr>
          <w:pgSz w:w="8790" w:h="13610"/>
          <w:pgMar w:header="0" w:footer="802" w:top="1060" w:bottom="1000" w:left="880" w:right="880"/>
        </w:sectPr>
      </w:pPr>
    </w:p>
    <w:p>
      <w:pPr>
        <w:spacing w:line="375" w:lineRule="exact" w:before="84"/>
        <w:ind w:left="69" w:right="67" w:firstLine="0"/>
        <w:jc w:val="center"/>
        <w:rPr>
          <w:rFonts w:ascii="Cambria"/>
          <w:b/>
          <w:sz w:val="32"/>
        </w:rPr>
      </w:pPr>
      <w:r>
        <w:rPr>
          <w:rFonts w:ascii="Cambria"/>
          <w:b/>
          <w:color w:val="231F20"/>
          <w:spacing w:val="-4"/>
          <w:sz w:val="32"/>
        </w:rPr>
        <w:t>Chapitre</w:t>
      </w:r>
      <w:r>
        <w:rPr>
          <w:rFonts w:ascii="Cambria"/>
          <w:b/>
          <w:color w:val="231F20"/>
          <w:spacing w:val="-6"/>
          <w:sz w:val="32"/>
        </w:rPr>
        <w:t> </w:t>
      </w:r>
      <w:r>
        <w:rPr>
          <w:rFonts w:ascii="Cambria"/>
          <w:b/>
          <w:color w:val="231F20"/>
          <w:spacing w:val="-10"/>
          <w:sz w:val="32"/>
        </w:rPr>
        <w:t>2</w:t>
      </w:r>
    </w:p>
    <w:p>
      <w:pPr>
        <w:pStyle w:val="Heading1"/>
        <w:spacing w:line="375" w:lineRule="exact"/>
        <w:ind w:left="66"/>
      </w:pPr>
      <w:r>
        <w:rPr>
          <w:color w:val="231F20"/>
          <w:spacing w:val="-4"/>
        </w:rPr>
        <w:t>RENTRER</w:t>
      </w:r>
      <w:r>
        <w:rPr>
          <w:color w:val="231F20"/>
          <w:spacing w:val="-8"/>
        </w:rPr>
        <w:t> </w:t>
      </w:r>
      <w:r>
        <w:rPr>
          <w:color w:val="231F20"/>
          <w:spacing w:val="-4"/>
        </w:rPr>
        <w:t>DANS</w:t>
      </w:r>
      <w:r>
        <w:rPr>
          <w:color w:val="231F20"/>
          <w:spacing w:val="-8"/>
        </w:rPr>
        <w:t> </w:t>
      </w:r>
      <w:r>
        <w:rPr>
          <w:color w:val="231F20"/>
          <w:spacing w:val="-4"/>
        </w:rPr>
        <w:t>LE</w:t>
      </w:r>
      <w:r>
        <w:rPr>
          <w:color w:val="231F20"/>
          <w:spacing w:val="-8"/>
        </w:rPr>
        <w:t> </w:t>
      </w:r>
      <w:r>
        <w:rPr>
          <w:color w:val="231F20"/>
          <w:spacing w:val="-4"/>
        </w:rPr>
        <w:t>RANG,</w:t>
      </w:r>
      <w:r>
        <w:rPr>
          <w:color w:val="231F20"/>
          <w:spacing w:val="-8"/>
        </w:rPr>
        <w:t> </w:t>
      </w:r>
      <w:r>
        <w:rPr>
          <w:color w:val="231F20"/>
          <w:spacing w:val="-4"/>
        </w:rPr>
        <w:t>SINON…</w:t>
      </w:r>
      <w:r>
        <w:rPr>
          <w:color w:val="231F20"/>
          <w:spacing w:val="-8"/>
        </w:rPr>
        <w:t> </w:t>
      </w:r>
      <w:r>
        <w:rPr>
          <w:color w:val="231F20"/>
          <w:spacing w:val="-4"/>
        </w:rPr>
        <w:t>DEHORS</w:t>
      </w:r>
    </w:p>
    <w:p>
      <w:pPr>
        <w:pStyle w:val="BodyText"/>
        <w:spacing w:before="234"/>
        <w:ind w:left="0"/>
        <w:jc w:val="left"/>
        <w:rPr>
          <w:rFonts w:ascii="Cambria"/>
          <w:b/>
          <w:sz w:val="32"/>
        </w:rPr>
      </w:pPr>
    </w:p>
    <w:p>
      <w:pPr>
        <w:pStyle w:val="Heading2"/>
        <w:rPr>
          <w:sz w:val="16"/>
        </w:rPr>
      </w:pPr>
      <w:r>
        <w:rPr>
          <w:color w:val="231F20"/>
          <w:spacing w:val="-2"/>
        </w:rPr>
        <w:t>L’intrus</w:t>
      </w:r>
      <w:r>
        <w:rPr>
          <w:color w:val="231F20"/>
          <w:spacing w:val="-12"/>
        </w:rPr>
        <w:t> </w:t>
      </w:r>
      <w:r>
        <w:rPr>
          <w:color w:val="231F20"/>
          <w:spacing w:val="-2"/>
        </w:rPr>
        <w:t>du</w:t>
      </w:r>
      <w:r>
        <w:rPr>
          <w:color w:val="231F20"/>
          <w:spacing w:val="-9"/>
        </w:rPr>
        <w:t> </w:t>
      </w:r>
      <w:r>
        <w:rPr>
          <w:color w:val="231F20"/>
          <w:spacing w:val="-2"/>
        </w:rPr>
        <w:t>village</w:t>
      </w:r>
      <w:r>
        <w:rPr>
          <w:color w:val="231F20"/>
          <w:spacing w:val="-9"/>
        </w:rPr>
        <w:t> </w:t>
      </w:r>
      <w:r>
        <w:rPr>
          <w:color w:val="231F20"/>
          <w:spacing w:val="-2"/>
        </w:rPr>
        <w:t>françafric</w:t>
      </w:r>
      <w:r>
        <w:rPr>
          <w:color w:val="76787A"/>
          <w:spacing w:val="-2"/>
          <w:position w:val="8"/>
          <w:sz w:val="16"/>
        </w:rPr>
        <w:t>171</w:t>
      </w:r>
    </w:p>
    <w:p>
      <w:pPr>
        <w:pStyle w:val="BodyText"/>
        <w:spacing w:before="121"/>
        <w:ind w:left="0"/>
        <w:jc w:val="left"/>
        <w:rPr>
          <w:b/>
        </w:rPr>
      </w:pPr>
    </w:p>
    <w:p>
      <w:pPr>
        <w:pStyle w:val="BodyText"/>
        <w:ind w:right="105" w:firstLine="283"/>
      </w:pPr>
      <w:r>
        <w:rPr>
          <w:color w:val="231F20"/>
        </w:rPr>
        <w:t>Laurent</w:t>
      </w:r>
      <w:r>
        <w:rPr>
          <w:color w:val="231F20"/>
          <w:spacing w:val="-9"/>
        </w:rPr>
        <w:t> </w:t>
      </w:r>
      <w:r>
        <w:rPr>
          <w:color w:val="231F20"/>
        </w:rPr>
        <w:t>Gbagbo</w:t>
      </w:r>
      <w:r>
        <w:rPr>
          <w:color w:val="231F20"/>
          <w:spacing w:val="-11"/>
        </w:rPr>
        <w:t> </w:t>
      </w:r>
      <w:r>
        <w:rPr>
          <w:color w:val="231F20"/>
        </w:rPr>
        <w:t>est</w:t>
      </w:r>
      <w:r>
        <w:rPr>
          <w:color w:val="231F20"/>
          <w:spacing w:val="-9"/>
        </w:rPr>
        <w:t> </w:t>
      </w:r>
      <w:r>
        <w:rPr>
          <w:color w:val="231F20"/>
        </w:rPr>
        <w:t>devenu</w:t>
      </w:r>
      <w:r>
        <w:rPr>
          <w:color w:val="231F20"/>
          <w:spacing w:val="-9"/>
        </w:rPr>
        <w:t> </w:t>
      </w:r>
      <w:r>
        <w:rPr>
          <w:color w:val="231F20"/>
        </w:rPr>
        <w:t>le</w:t>
      </w:r>
      <w:r>
        <w:rPr>
          <w:color w:val="231F20"/>
          <w:spacing w:val="-9"/>
        </w:rPr>
        <w:t> </w:t>
      </w:r>
      <w:r>
        <w:rPr>
          <w:color w:val="231F20"/>
        </w:rPr>
        <w:t>4</w:t>
      </w:r>
      <w:r>
        <w:rPr>
          <w:color w:val="231F20"/>
          <w:vertAlign w:val="superscript"/>
        </w:rPr>
        <w:t>ème</w:t>
      </w:r>
      <w:r>
        <w:rPr>
          <w:color w:val="231F20"/>
          <w:vertAlign w:val="baseline"/>
        </w:rPr>
        <w:t>président</w:t>
      </w:r>
      <w:r>
        <w:rPr>
          <w:color w:val="231F20"/>
          <w:spacing w:val="-9"/>
          <w:vertAlign w:val="baseline"/>
        </w:rPr>
        <w:t> </w:t>
      </w:r>
      <w:r>
        <w:rPr>
          <w:color w:val="231F20"/>
          <w:vertAlign w:val="baseline"/>
        </w:rPr>
        <w:t>de</w:t>
      </w:r>
      <w:r>
        <w:rPr>
          <w:color w:val="231F20"/>
          <w:spacing w:val="-11"/>
          <w:vertAlign w:val="baseline"/>
        </w:rPr>
        <w:t> </w:t>
      </w:r>
      <w:r>
        <w:rPr>
          <w:color w:val="231F20"/>
          <w:vertAlign w:val="baseline"/>
        </w:rPr>
        <w:t>la</w:t>
      </w:r>
      <w:r>
        <w:rPr>
          <w:color w:val="231F20"/>
          <w:spacing w:val="-11"/>
          <w:vertAlign w:val="baseline"/>
        </w:rPr>
        <w:t> </w:t>
      </w:r>
      <w:r>
        <w:rPr>
          <w:color w:val="231F20"/>
          <w:vertAlign w:val="baseline"/>
        </w:rPr>
        <w:t>Côte</w:t>
      </w:r>
      <w:r>
        <w:rPr>
          <w:color w:val="231F20"/>
          <w:spacing w:val="-11"/>
          <w:vertAlign w:val="baseline"/>
        </w:rPr>
        <w:t> </w:t>
      </w:r>
      <w:r>
        <w:rPr>
          <w:color w:val="231F20"/>
          <w:vertAlign w:val="baseline"/>
        </w:rPr>
        <w:t>d’Ivoire</w:t>
      </w:r>
      <w:r>
        <w:rPr>
          <w:color w:val="231F20"/>
          <w:spacing w:val="-10"/>
          <w:vertAlign w:val="baseline"/>
        </w:rPr>
        <w:t> </w:t>
      </w:r>
      <w:r>
        <w:rPr>
          <w:color w:val="231F20"/>
          <w:vertAlign w:val="baseline"/>
        </w:rPr>
        <w:t>mais sa</w:t>
      </w:r>
      <w:r>
        <w:rPr>
          <w:color w:val="231F20"/>
          <w:spacing w:val="-15"/>
          <w:vertAlign w:val="baseline"/>
        </w:rPr>
        <w:t> </w:t>
      </w:r>
      <w:r>
        <w:rPr>
          <w:color w:val="231F20"/>
          <w:vertAlign w:val="baseline"/>
        </w:rPr>
        <w:t>tâche</w:t>
      </w:r>
      <w:r>
        <w:rPr>
          <w:color w:val="231F20"/>
          <w:spacing w:val="-15"/>
          <w:vertAlign w:val="baseline"/>
        </w:rPr>
        <w:t> </w:t>
      </w:r>
      <w:r>
        <w:rPr>
          <w:color w:val="231F20"/>
          <w:vertAlign w:val="baseline"/>
        </w:rPr>
        <w:t>ne</w:t>
      </w:r>
      <w:r>
        <w:rPr>
          <w:color w:val="231F20"/>
          <w:spacing w:val="-15"/>
          <w:vertAlign w:val="baseline"/>
        </w:rPr>
        <w:t> </w:t>
      </w:r>
      <w:r>
        <w:rPr>
          <w:color w:val="231F20"/>
          <w:vertAlign w:val="baseline"/>
        </w:rPr>
        <w:t>s’annonce</w:t>
      </w:r>
      <w:r>
        <w:rPr>
          <w:color w:val="231F20"/>
          <w:spacing w:val="-13"/>
          <w:vertAlign w:val="baseline"/>
        </w:rPr>
        <w:t> </w:t>
      </w:r>
      <w:r>
        <w:rPr>
          <w:color w:val="231F20"/>
          <w:vertAlign w:val="baseline"/>
        </w:rPr>
        <w:t>pas</w:t>
      </w:r>
      <w:r>
        <w:rPr>
          <w:color w:val="231F20"/>
          <w:spacing w:val="-15"/>
          <w:vertAlign w:val="baseline"/>
        </w:rPr>
        <w:t> </w:t>
      </w:r>
      <w:r>
        <w:rPr>
          <w:color w:val="231F20"/>
          <w:vertAlign w:val="baseline"/>
        </w:rPr>
        <w:t>aisée</w:t>
      </w:r>
      <w:r>
        <w:rPr>
          <w:color w:val="231F20"/>
          <w:spacing w:val="-15"/>
          <w:vertAlign w:val="baseline"/>
        </w:rPr>
        <w:t> </w:t>
      </w:r>
      <w:r>
        <w:rPr>
          <w:color w:val="231F20"/>
          <w:vertAlign w:val="baseline"/>
        </w:rPr>
        <w:t>dans</w:t>
      </w:r>
      <w:r>
        <w:rPr>
          <w:color w:val="231F20"/>
          <w:spacing w:val="-15"/>
          <w:vertAlign w:val="baseline"/>
        </w:rPr>
        <w:t> </w:t>
      </w:r>
      <w:r>
        <w:rPr>
          <w:color w:val="231F20"/>
          <w:vertAlign w:val="baseline"/>
        </w:rPr>
        <w:t>un</w:t>
      </w:r>
      <w:r>
        <w:rPr>
          <w:color w:val="231F20"/>
          <w:spacing w:val="-15"/>
          <w:vertAlign w:val="baseline"/>
        </w:rPr>
        <w:t> </w:t>
      </w:r>
      <w:r>
        <w:rPr>
          <w:color w:val="231F20"/>
          <w:vertAlign w:val="baseline"/>
        </w:rPr>
        <w:t>pays</w:t>
      </w:r>
      <w:r>
        <w:rPr>
          <w:color w:val="231F20"/>
          <w:spacing w:val="-15"/>
          <w:vertAlign w:val="baseline"/>
        </w:rPr>
        <w:t> </w:t>
      </w:r>
      <w:r>
        <w:rPr>
          <w:color w:val="231F20"/>
          <w:vertAlign w:val="baseline"/>
        </w:rPr>
        <w:t>qui</w:t>
      </w:r>
      <w:r>
        <w:rPr>
          <w:color w:val="231F20"/>
          <w:spacing w:val="-15"/>
          <w:vertAlign w:val="baseline"/>
        </w:rPr>
        <w:t> </w:t>
      </w:r>
      <w:r>
        <w:rPr>
          <w:color w:val="231F20"/>
          <w:vertAlign w:val="baseline"/>
        </w:rPr>
        <w:t>depuis</w:t>
      </w:r>
      <w:r>
        <w:rPr>
          <w:color w:val="231F20"/>
          <w:spacing w:val="-13"/>
          <w:vertAlign w:val="baseline"/>
        </w:rPr>
        <w:t> </w:t>
      </w:r>
      <w:r>
        <w:rPr>
          <w:color w:val="231F20"/>
          <w:vertAlign w:val="baseline"/>
        </w:rPr>
        <w:t>la</w:t>
      </w:r>
      <w:r>
        <w:rPr>
          <w:color w:val="231F20"/>
          <w:spacing w:val="-15"/>
          <w:vertAlign w:val="baseline"/>
        </w:rPr>
        <w:t> </w:t>
      </w:r>
      <w:r>
        <w:rPr>
          <w:color w:val="231F20"/>
          <w:vertAlign w:val="baseline"/>
        </w:rPr>
        <w:t>disparition</w:t>
      </w:r>
      <w:r>
        <w:rPr>
          <w:color w:val="231F20"/>
          <w:spacing w:val="-15"/>
          <w:vertAlign w:val="baseline"/>
        </w:rPr>
        <w:t> </w:t>
      </w:r>
      <w:r>
        <w:rPr>
          <w:color w:val="231F20"/>
          <w:vertAlign w:val="baseline"/>
        </w:rPr>
        <w:t>de Félix</w:t>
      </w:r>
      <w:r>
        <w:rPr>
          <w:color w:val="231F20"/>
          <w:spacing w:val="-1"/>
          <w:vertAlign w:val="baseline"/>
        </w:rPr>
        <w:t> </w:t>
      </w:r>
      <w:r>
        <w:rPr>
          <w:color w:val="231F20"/>
          <w:vertAlign w:val="baseline"/>
        </w:rPr>
        <w:t>Houphouet</w:t>
      </w:r>
      <w:r>
        <w:rPr>
          <w:color w:val="231F20"/>
          <w:spacing w:val="-4"/>
          <w:vertAlign w:val="baseline"/>
        </w:rPr>
        <w:t> </w:t>
      </w:r>
      <w:r>
        <w:rPr>
          <w:color w:val="231F20"/>
          <w:vertAlign w:val="baseline"/>
        </w:rPr>
        <w:t>Boigny</w:t>
      </w:r>
      <w:r>
        <w:rPr>
          <w:color w:val="231F20"/>
          <w:spacing w:val="-4"/>
          <w:vertAlign w:val="baseline"/>
        </w:rPr>
        <w:t> </w:t>
      </w:r>
      <w:r>
        <w:rPr>
          <w:color w:val="231F20"/>
          <w:vertAlign w:val="baseline"/>
        </w:rPr>
        <w:t>n’est</w:t>
      </w:r>
      <w:r>
        <w:rPr>
          <w:color w:val="231F20"/>
          <w:spacing w:val="-1"/>
          <w:vertAlign w:val="baseline"/>
        </w:rPr>
        <w:t> </w:t>
      </w:r>
      <w:r>
        <w:rPr>
          <w:color w:val="231F20"/>
          <w:vertAlign w:val="baseline"/>
        </w:rPr>
        <w:t>plus</w:t>
      </w:r>
      <w:r>
        <w:rPr>
          <w:color w:val="231F20"/>
          <w:spacing w:val="-4"/>
          <w:vertAlign w:val="baseline"/>
        </w:rPr>
        <w:t> </w:t>
      </w:r>
      <w:r>
        <w:rPr>
          <w:color w:val="231F20"/>
          <w:vertAlign w:val="baseline"/>
        </w:rPr>
        <w:t>une</w:t>
      </w:r>
      <w:r>
        <w:rPr>
          <w:color w:val="231F20"/>
          <w:spacing w:val="-1"/>
          <w:vertAlign w:val="baseline"/>
        </w:rPr>
        <w:t> </w:t>
      </w:r>
      <w:r>
        <w:rPr>
          <w:color w:val="231F20"/>
          <w:vertAlign w:val="baseline"/>
        </w:rPr>
        <w:t>oasis</w:t>
      </w:r>
      <w:r>
        <w:rPr>
          <w:color w:val="231F20"/>
          <w:spacing w:val="-3"/>
          <w:vertAlign w:val="baseline"/>
        </w:rPr>
        <w:t> </w:t>
      </w:r>
      <w:r>
        <w:rPr>
          <w:color w:val="231F20"/>
          <w:vertAlign w:val="baseline"/>
        </w:rPr>
        <w:t>de</w:t>
      </w:r>
      <w:r>
        <w:rPr>
          <w:color w:val="231F20"/>
          <w:spacing w:val="-1"/>
          <w:vertAlign w:val="baseline"/>
        </w:rPr>
        <w:t> </w:t>
      </w:r>
      <w:r>
        <w:rPr>
          <w:color w:val="231F20"/>
          <w:vertAlign w:val="baseline"/>
        </w:rPr>
        <w:t>paix.</w:t>
      </w:r>
    </w:p>
    <w:p>
      <w:pPr>
        <w:pStyle w:val="BodyText"/>
        <w:spacing w:before="120"/>
        <w:ind w:right="104" w:firstLine="283"/>
      </w:pPr>
      <w:r>
        <w:rPr>
          <w:color w:val="231F20"/>
          <w:spacing w:val="-2"/>
        </w:rPr>
        <w:t>De</w:t>
      </w:r>
      <w:r>
        <w:rPr>
          <w:color w:val="231F20"/>
          <w:spacing w:val="-10"/>
        </w:rPr>
        <w:t> </w:t>
      </w:r>
      <w:r>
        <w:rPr>
          <w:color w:val="231F20"/>
          <w:spacing w:val="-2"/>
        </w:rPr>
        <w:t>nombreux</w:t>
      </w:r>
      <w:r>
        <w:rPr>
          <w:color w:val="231F20"/>
          <w:spacing w:val="-12"/>
        </w:rPr>
        <w:t> </w:t>
      </w:r>
      <w:r>
        <w:rPr>
          <w:color w:val="231F20"/>
          <w:spacing w:val="-2"/>
        </w:rPr>
        <w:t>défis</w:t>
      </w:r>
      <w:r>
        <w:rPr>
          <w:color w:val="231F20"/>
          <w:spacing w:val="-12"/>
        </w:rPr>
        <w:t> </w:t>
      </w:r>
      <w:r>
        <w:rPr>
          <w:color w:val="231F20"/>
          <w:spacing w:val="-2"/>
        </w:rPr>
        <w:t>et</w:t>
      </w:r>
      <w:r>
        <w:rPr>
          <w:color w:val="231F20"/>
          <w:spacing w:val="-12"/>
        </w:rPr>
        <w:t> </w:t>
      </w:r>
      <w:r>
        <w:rPr>
          <w:color w:val="231F20"/>
          <w:spacing w:val="-2"/>
        </w:rPr>
        <w:t>handicaps</w:t>
      </w:r>
      <w:r>
        <w:rPr>
          <w:color w:val="231F20"/>
          <w:spacing w:val="-12"/>
        </w:rPr>
        <w:t> </w:t>
      </w:r>
      <w:r>
        <w:rPr>
          <w:color w:val="231F20"/>
          <w:spacing w:val="-2"/>
        </w:rPr>
        <w:t>se</w:t>
      </w:r>
      <w:r>
        <w:rPr>
          <w:color w:val="231F20"/>
          <w:spacing w:val="-11"/>
        </w:rPr>
        <w:t> </w:t>
      </w:r>
      <w:r>
        <w:rPr>
          <w:color w:val="231F20"/>
          <w:spacing w:val="-2"/>
        </w:rPr>
        <w:t>dressent</w:t>
      </w:r>
      <w:r>
        <w:rPr>
          <w:color w:val="231F20"/>
          <w:spacing w:val="-11"/>
        </w:rPr>
        <w:t> </w:t>
      </w:r>
      <w:r>
        <w:rPr>
          <w:color w:val="231F20"/>
          <w:spacing w:val="-2"/>
        </w:rPr>
        <w:t>sur</w:t>
      </w:r>
      <w:r>
        <w:rPr>
          <w:color w:val="231F20"/>
          <w:spacing w:val="-12"/>
        </w:rPr>
        <w:t> </w:t>
      </w:r>
      <w:r>
        <w:rPr>
          <w:color w:val="231F20"/>
          <w:spacing w:val="-2"/>
        </w:rPr>
        <w:t>le</w:t>
      </w:r>
      <w:r>
        <w:rPr>
          <w:color w:val="231F20"/>
          <w:spacing w:val="-13"/>
        </w:rPr>
        <w:t> </w:t>
      </w:r>
      <w:r>
        <w:rPr>
          <w:color w:val="231F20"/>
          <w:spacing w:val="-2"/>
        </w:rPr>
        <w:t>chemin</w:t>
      </w:r>
      <w:r>
        <w:rPr>
          <w:color w:val="231F20"/>
          <w:spacing w:val="-11"/>
        </w:rPr>
        <w:t> </w:t>
      </w:r>
      <w:r>
        <w:rPr>
          <w:color w:val="231F20"/>
          <w:spacing w:val="-2"/>
        </w:rPr>
        <w:t>du</w:t>
      </w:r>
      <w:r>
        <w:rPr>
          <w:color w:val="231F20"/>
          <w:spacing w:val="-12"/>
        </w:rPr>
        <w:t> </w:t>
      </w:r>
      <w:r>
        <w:rPr>
          <w:color w:val="231F20"/>
          <w:spacing w:val="-2"/>
        </w:rPr>
        <w:t>nouveau </w:t>
      </w:r>
      <w:r>
        <w:rPr>
          <w:color w:val="231F20"/>
        </w:rPr>
        <w:t>président qui doit asseoir sa légitimité contestée, polir son image </w:t>
      </w:r>
      <w:r>
        <w:rPr>
          <w:color w:val="231F20"/>
          <w:spacing w:val="-2"/>
        </w:rPr>
        <w:t>d’opposant</w:t>
      </w:r>
      <w:r>
        <w:rPr>
          <w:color w:val="231F20"/>
          <w:spacing w:val="-13"/>
        </w:rPr>
        <w:t> </w:t>
      </w:r>
      <w:r>
        <w:rPr>
          <w:color w:val="231F20"/>
          <w:spacing w:val="-2"/>
        </w:rPr>
        <w:t>arrogant,</w:t>
      </w:r>
      <w:r>
        <w:rPr>
          <w:color w:val="231F20"/>
          <w:spacing w:val="-13"/>
        </w:rPr>
        <w:t> </w:t>
      </w:r>
      <w:r>
        <w:rPr>
          <w:color w:val="231F20"/>
          <w:spacing w:val="-2"/>
        </w:rPr>
        <w:t>ramener</w:t>
      </w:r>
      <w:r>
        <w:rPr>
          <w:color w:val="231F20"/>
          <w:spacing w:val="-13"/>
        </w:rPr>
        <w:t> </w:t>
      </w:r>
      <w:r>
        <w:rPr>
          <w:color w:val="231F20"/>
          <w:spacing w:val="-2"/>
        </w:rPr>
        <w:t>les</w:t>
      </w:r>
      <w:r>
        <w:rPr>
          <w:color w:val="231F20"/>
          <w:spacing w:val="-13"/>
        </w:rPr>
        <w:t> </w:t>
      </w:r>
      <w:r>
        <w:rPr>
          <w:color w:val="231F20"/>
          <w:spacing w:val="-2"/>
        </w:rPr>
        <w:t>militaires</w:t>
      </w:r>
      <w:r>
        <w:rPr>
          <w:color w:val="231F20"/>
          <w:spacing w:val="-13"/>
        </w:rPr>
        <w:t> </w:t>
      </w:r>
      <w:r>
        <w:rPr>
          <w:color w:val="231F20"/>
          <w:spacing w:val="-2"/>
        </w:rPr>
        <w:t>dans</w:t>
      </w:r>
      <w:r>
        <w:rPr>
          <w:color w:val="231F20"/>
          <w:spacing w:val="-13"/>
        </w:rPr>
        <w:t> </w:t>
      </w:r>
      <w:r>
        <w:rPr>
          <w:color w:val="231F20"/>
          <w:spacing w:val="-2"/>
        </w:rPr>
        <w:t>les</w:t>
      </w:r>
      <w:r>
        <w:rPr>
          <w:color w:val="231F20"/>
          <w:spacing w:val="-13"/>
        </w:rPr>
        <w:t> </w:t>
      </w:r>
      <w:r>
        <w:rPr>
          <w:color w:val="231F20"/>
          <w:spacing w:val="-2"/>
        </w:rPr>
        <w:t>casernes,</w:t>
      </w:r>
      <w:r>
        <w:rPr>
          <w:color w:val="231F20"/>
          <w:spacing w:val="-13"/>
        </w:rPr>
        <w:t> </w:t>
      </w:r>
      <w:r>
        <w:rPr>
          <w:color w:val="231F20"/>
          <w:spacing w:val="-2"/>
        </w:rPr>
        <w:t>trouver</w:t>
      </w:r>
      <w:r>
        <w:rPr>
          <w:color w:val="231F20"/>
          <w:spacing w:val="-13"/>
        </w:rPr>
        <w:t> </w:t>
      </w:r>
      <w:r>
        <w:rPr>
          <w:color w:val="231F20"/>
          <w:spacing w:val="-2"/>
        </w:rPr>
        <w:t>une </w:t>
      </w:r>
      <w:r>
        <w:rPr>
          <w:color w:val="231F20"/>
        </w:rPr>
        <w:t>solution au Foncier Rural, réorganiser l’Ecole ivoirienne, gérer ses relations difficiles avec Alassane Ouattara, le «</w:t>
      </w:r>
      <w:r>
        <w:rPr>
          <w:color w:val="231F20"/>
          <w:spacing w:val="-11"/>
        </w:rPr>
        <w:t> </w:t>
      </w:r>
      <w:r>
        <w:rPr>
          <w:color w:val="231F20"/>
        </w:rPr>
        <w:t>cheval</w:t>
      </w:r>
      <w:r>
        <w:rPr>
          <w:color w:val="231F20"/>
          <w:spacing w:val="-11"/>
        </w:rPr>
        <w:t> </w:t>
      </w:r>
      <w:r>
        <w:rPr>
          <w:color w:val="231F20"/>
        </w:rPr>
        <w:t>» de la Communauté financière internationale et Henri Konan Bédié exilé en France</w:t>
      </w:r>
      <w:r>
        <w:rPr>
          <w:color w:val="231F20"/>
          <w:spacing w:val="-15"/>
        </w:rPr>
        <w:t> </w:t>
      </w:r>
      <w:r>
        <w:rPr>
          <w:color w:val="231F20"/>
        </w:rPr>
        <w:t>après</w:t>
      </w:r>
      <w:r>
        <w:rPr>
          <w:color w:val="231F20"/>
          <w:spacing w:val="-15"/>
        </w:rPr>
        <w:t> </w:t>
      </w:r>
      <w:r>
        <w:rPr>
          <w:color w:val="231F20"/>
        </w:rPr>
        <w:t>son</w:t>
      </w:r>
      <w:r>
        <w:rPr>
          <w:color w:val="231F20"/>
          <w:spacing w:val="-15"/>
        </w:rPr>
        <w:t> </w:t>
      </w:r>
      <w:r>
        <w:rPr>
          <w:color w:val="231F20"/>
        </w:rPr>
        <w:t>renversement</w:t>
      </w:r>
      <w:r>
        <w:rPr>
          <w:color w:val="231F20"/>
          <w:spacing w:val="-15"/>
        </w:rPr>
        <w:t> </w:t>
      </w:r>
      <w:r>
        <w:rPr>
          <w:color w:val="231F20"/>
        </w:rPr>
        <w:t>par</w:t>
      </w:r>
      <w:r>
        <w:rPr>
          <w:color w:val="231F20"/>
          <w:spacing w:val="-15"/>
        </w:rPr>
        <w:t> </w:t>
      </w:r>
      <w:r>
        <w:rPr>
          <w:color w:val="231F20"/>
        </w:rPr>
        <w:t>le</w:t>
      </w:r>
      <w:r>
        <w:rPr>
          <w:color w:val="231F20"/>
          <w:spacing w:val="-15"/>
        </w:rPr>
        <w:t> </w:t>
      </w:r>
      <w:r>
        <w:rPr>
          <w:color w:val="231F20"/>
        </w:rPr>
        <w:t>coup</w:t>
      </w:r>
      <w:r>
        <w:rPr>
          <w:color w:val="231F20"/>
          <w:spacing w:val="-15"/>
        </w:rPr>
        <w:t> </w:t>
      </w:r>
      <w:r>
        <w:rPr>
          <w:color w:val="231F20"/>
        </w:rPr>
        <w:t>d’Etat</w:t>
      </w:r>
      <w:r>
        <w:rPr>
          <w:color w:val="231F20"/>
          <w:spacing w:val="-15"/>
        </w:rPr>
        <w:t> </w:t>
      </w:r>
      <w:r>
        <w:rPr>
          <w:color w:val="231F20"/>
        </w:rPr>
        <w:t>sans</w:t>
      </w:r>
      <w:r>
        <w:rPr>
          <w:color w:val="231F20"/>
          <w:spacing w:val="-15"/>
        </w:rPr>
        <w:t> </w:t>
      </w:r>
      <w:r>
        <w:rPr>
          <w:color w:val="231F20"/>
        </w:rPr>
        <w:t>oublier</w:t>
      </w:r>
      <w:r>
        <w:rPr>
          <w:color w:val="231F20"/>
          <w:spacing w:val="-15"/>
        </w:rPr>
        <w:t> </w:t>
      </w:r>
      <w:r>
        <w:rPr>
          <w:color w:val="231F20"/>
        </w:rPr>
        <w:t>le</w:t>
      </w:r>
      <w:r>
        <w:rPr>
          <w:color w:val="231F20"/>
          <w:spacing w:val="-15"/>
        </w:rPr>
        <w:t> </w:t>
      </w:r>
      <w:r>
        <w:rPr>
          <w:color w:val="231F20"/>
        </w:rPr>
        <w:t>général </w:t>
      </w:r>
      <w:r>
        <w:rPr>
          <w:color w:val="231F20"/>
          <w:spacing w:val="-4"/>
        </w:rPr>
        <w:t>Guéi</w:t>
      </w:r>
      <w:r>
        <w:rPr>
          <w:color w:val="231F20"/>
          <w:spacing w:val="-10"/>
        </w:rPr>
        <w:t> </w:t>
      </w:r>
      <w:r>
        <w:rPr>
          <w:color w:val="231F20"/>
          <w:spacing w:val="-4"/>
        </w:rPr>
        <w:t>retranché</w:t>
      </w:r>
      <w:r>
        <w:rPr>
          <w:color w:val="231F20"/>
          <w:spacing w:val="-11"/>
        </w:rPr>
        <w:t> </w:t>
      </w:r>
      <w:r>
        <w:rPr>
          <w:color w:val="231F20"/>
          <w:spacing w:val="-4"/>
        </w:rPr>
        <w:t>dans</w:t>
      </w:r>
      <w:r>
        <w:rPr>
          <w:color w:val="231F20"/>
          <w:spacing w:val="-11"/>
        </w:rPr>
        <w:t> </w:t>
      </w:r>
      <w:r>
        <w:rPr>
          <w:color w:val="231F20"/>
          <w:spacing w:val="-4"/>
        </w:rPr>
        <w:t>son</w:t>
      </w:r>
      <w:r>
        <w:rPr>
          <w:color w:val="231F20"/>
          <w:spacing w:val="-9"/>
        </w:rPr>
        <w:t> </w:t>
      </w:r>
      <w:r>
        <w:rPr>
          <w:color w:val="231F20"/>
          <w:spacing w:val="-4"/>
        </w:rPr>
        <w:t>village</w:t>
      </w:r>
      <w:r>
        <w:rPr>
          <w:color w:val="231F20"/>
          <w:spacing w:val="-9"/>
        </w:rPr>
        <w:t> </w:t>
      </w:r>
      <w:r>
        <w:rPr>
          <w:color w:val="231F20"/>
          <w:spacing w:val="-4"/>
        </w:rPr>
        <w:t>près</w:t>
      </w:r>
      <w:r>
        <w:rPr>
          <w:color w:val="231F20"/>
          <w:spacing w:val="-11"/>
        </w:rPr>
        <w:t> </w:t>
      </w:r>
      <w:r>
        <w:rPr>
          <w:color w:val="231F20"/>
          <w:spacing w:val="-4"/>
        </w:rPr>
        <w:t>de</w:t>
      </w:r>
      <w:r>
        <w:rPr>
          <w:color w:val="231F20"/>
          <w:spacing w:val="-9"/>
        </w:rPr>
        <w:t> </w:t>
      </w:r>
      <w:r>
        <w:rPr>
          <w:color w:val="231F20"/>
          <w:spacing w:val="-4"/>
        </w:rPr>
        <w:t>la</w:t>
      </w:r>
      <w:r>
        <w:rPr>
          <w:color w:val="231F20"/>
          <w:spacing w:val="-11"/>
        </w:rPr>
        <w:t> </w:t>
      </w:r>
      <w:r>
        <w:rPr>
          <w:color w:val="231F20"/>
          <w:spacing w:val="-4"/>
        </w:rPr>
        <w:t>frontière</w:t>
      </w:r>
      <w:r>
        <w:rPr>
          <w:color w:val="231F20"/>
          <w:spacing w:val="-9"/>
        </w:rPr>
        <w:t> </w:t>
      </w:r>
      <w:r>
        <w:rPr>
          <w:color w:val="231F20"/>
          <w:spacing w:val="-4"/>
        </w:rPr>
        <w:t>du</w:t>
      </w:r>
      <w:r>
        <w:rPr>
          <w:color w:val="231F20"/>
          <w:spacing w:val="-9"/>
        </w:rPr>
        <w:t> </w:t>
      </w:r>
      <w:r>
        <w:rPr>
          <w:color w:val="231F20"/>
          <w:spacing w:val="-4"/>
        </w:rPr>
        <w:t>Libéria</w:t>
      </w:r>
      <w:r>
        <w:rPr>
          <w:color w:val="231F20"/>
          <w:spacing w:val="-11"/>
        </w:rPr>
        <w:t> </w:t>
      </w:r>
      <w:r>
        <w:rPr>
          <w:color w:val="231F20"/>
          <w:spacing w:val="-4"/>
        </w:rPr>
        <w:t>faisant</w:t>
      </w:r>
      <w:r>
        <w:rPr>
          <w:color w:val="231F20"/>
          <w:spacing w:val="-8"/>
        </w:rPr>
        <w:t> </w:t>
      </w:r>
      <w:r>
        <w:rPr>
          <w:color w:val="231F20"/>
          <w:spacing w:val="-4"/>
        </w:rPr>
        <w:t>ami- ami avec</w:t>
      </w:r>
      <w:r>
        <w:rPr>
          <w:color w:val="231F20"/>
          <w:spacing w:val="-7"/>
        </w:rPr>
        <w:t> </w:t>
      </w:r>
      <w:r>
        <w:rPr>
          <w:color w:val="231F20"/>
          <w:spacing w:val="-4"/>
        </w:rPr>
        <w:t>Charles Taylor</w:t>
      </w:r>
      <w:r>
        <w:rPr>
          <w:color w:val="231F20"/>
          <w:spacing w:val="-7"/>
        </w:rPr>
        <w:t> </w:t>
      </w:r>
      <w:r>
        <w:rPr>
          <w:color w:val="231F20"/>
          <w:spacing w:val="-4"/>
        </w:rPr>
        <w:t>du Libéria. Gbagbo</w:t>
      </w:r>
      <w:r>
        <w:rPr>
          <w:color w:val="231F20"/>
          <w:spacing w:val="-6"/>
        </w:rPr>
        <w:t> </w:t>
      </w:r>
      <w:r>
        <w:rPr>
          <w:color w:val="231F20"/>
          <w:spacing w:val="-4"/>
        </w:rPr>
        <w:t>est</w:t>
      </w:r>
      <w:r>
        <w:rPr>
          <w:color w:val="231F20"/>
          <w:spacing w:val="-6"/>
        </w:rPr>
        <w:t> </w:t>
      </w:r>
      <w:r>
        <w:rPr>
          <w:color w:val="231F20"/>
          <w:spacing w:val="-4"/>
        </w:rPr>
        <w:t>attendu par</w:t>
      </w:r>
      <w:r>
        <w:rPr>
          <w:color w:val="231F20"/>
          <w:spacing w:val="-7"/>
        </w:rPr>
        <w:t> </w:t>
      </w:r>
      <w:r>
        <w:rPr>
          <w:color w:val="231F20"/>
          <w:spacing w:val="-4"/>
        </w:rPr>
        <w:t>les</w:t>
      </w:r>
      <w:r>
        <w:rPr>
          <w:color w:val="231F20"/>
          <w:spacing w:val="-6"/>
        </w:rPr>
        <w:t> </w:t>
      </w:r>
      <w:r>
        <w:rPr>
          <w:color w:val="231F20"/>
          <w:spacing w:val="-4"/>
        </w:rPr>
        <w:t>dirigeants </w:t>
      </w:r>
      <w:r>
        <w:rPr>
          <w:color w:val="231F20"/>
          <w:spacing w:val="-2"/>
        </w:rPr>
        <w:t>des</w:t>
      </w:r>
      <w:r>
        <w:rPr>
          <w:color w:val="231F20"/>
          <w:spacing w:val="-13"/>
        </w:rPr>
        <w:t> </w:t>
      </w:r>
      <w:r>
        <w:rPr>
          <w:color w:val="231F20"/>
          <w:spacing w:val="-2"/>
        </w:rPr>
        <w:t>États</w:t>
      </w:r>
      <w:r>
        <w:rPr>
          <w:color w:val="231F20"/>
          <w:spacing w:val="-13"/>
        </w:rPr>
        <w:t> </w:t>
      </w:r>
      <w:r>
        <w:rPr>
          <w:color w:val="231F20"/>
          <w:spacing w:val="-2"/>
        </w:rPr>
        <w:t>voisins</w:t>
      </w:r>
      <w:r>
        <w:rPr>
          <w:color w:val="231F20"/>
          <w:spacing w:val="-13"/>
        </w:rPr>
        <w:t> </w:t>
      </w:r>
      <w:r>
        <w:rPr>
          <w:color w:val="231F20"/>
          <w:spacing w:val="-2"/>
        </w:rPr>
        <w:t>qui</w:t>
      </w:r>
      <w:r>
        <w:rPr>
          <w:color w:val="231F20"/>
          <w:spacing w:val="-13"/>
        </w:rPr>
        <w:t> </w:t>
      </w:r>
      <w:r>
        <w:rPr>
          <w:color w:val="231F20"/>
          <w:spacing w:val="-2"/>
        </w:rPr>
        <w:t>le</w:t>
      </w:r>
      <w:r>
        <w:rPr>
          <w:color w:val="231F20"/>
          <w:spacing w:val="-13"/>
        </w:rPr>
        <w:t> </w:t>
      </w:r>
      <w:r>
        <w:rPr>
          <w:color w:val="231F20"/>
          <w:spacing w:val="-2"/>
        </w:rPr>
        <w:t>suspectent</w:t>
      </w:r>
      <w:r>
        <w:rPr>
          <w:color w:val="231F20"/>
          <w:spacing w:val="-13"/>
        </w:rPr>
        <w:t> </w:t>
      </w:r>
      <w:r>
        <w:rPr>
          <w:color w:val="231F20"/>
          <w:spacing w:val="-2"/>
        </w:rPr>
        <w:t>de</w:t>
      </w:r>
      <w:r>
        <w:rPr>
          <w:color w:val="231F20"/>
          <w:spacing w:val="-13"/>
        </w:rPr>
        <w:t> </w:t>
      </w:r>
      <w:r>
        <w:rPr>
          <w:color w:val="231F20"/>
          <w:spacing w:val="-2"/>
        </w:rPr>
        <w:t>n’être</w:t>
      </w:r>
      <w:r>
        <w:rPr>
          <w:color w:val="231F20"/>
          <w:spacing w:val="-13"/>
        </w:rPr>
        <w:t> </w:t>
      </w:r>
      <w:r>
        <w:rPr>
          <w:color w:val="231F20"/>
          <w:spacing w:val="-2"/>
        </w:rPr>
        <w:t>pas</w:t>
      </w:r>
      <w:r>
        <w:rPr>
          <w:color w:val="231F20"/>
          <w:spacing w:val="-13"/>
        </w:rPr>
        <w:t> </w:t>
      </w:r>
      <w:r>
        <w:rPr>
          <w:color w:val="231F20"/>
          <w:spacing w:val="-2"/>
        </w:rPr>
        <w:t>aussi</w:t>
      </w:r>
      <w:r>
        <w:rPr>
          <w:color w:val="231F20"/>
          <w:spacing w:val="-13"/>
        </w:rPr>
        <w:t> </w:t>
      </w:r>
      <w:r>
        <w:rPr>
          <w:color w:val="231F20"/>
          <w:spacing w:val="-2"/>
        </w:rPr>
        <w:t>«</w:t>
      </w:r>
      <w:r>
        <w:rPr>
          <w:color w:val="231F20"/>
          <w:spacing w:val="-13"/>
        </w:rPr>
        <w:t> </w:t>
      </w:r>
      <w:r>
        <w:rPr>
          <w:color w:val="231F20"/>
          <w:spacing w:val="-2"/>
        </w:rPr>
        <w:t>généreux</w:t>
      </w:r>
      <w:r>
        <w:rPr>
          <w:color w:val="231F20"/>
          <w:spacing w:val="-13"/>
        </w:rPr>
        <w:t> </w:t>
      </w:r>
      <w:r>
        <w:rPr>
          <w:color w:val="231F20"/>
          <w:spacing w:val="-2"/>
        </w:rPr>
        <w:t>»</w:t>
      </w:r>
      <w:r>
        <w:rPr>
          <w:color w:val="231F20"/>
          <w:spacing w:val="-13"/>
        </w:rPr>
        <w:t> </w:t>
      </w:r>
      <w:r>
        <w:rPr>
          <w:color w:val="231F20"/>
          <w:spacing w:val="-2"/>
        </w:rPr>
        <w:t>envers </w:t>
      </w:r>
      <w:r>
        <w:rPr>
          <w:color w:val="231F20"/>
        </w:rPr>
        <w:t>eux</w:t>
      </w:r>
      <w:r>
        <w:rPr>
          <w:color w:val="231F20"/>
          <w:spacing w:val="-15"/>
        </w:rPr>
        <w:t> </w:t>
      </w:r>
      <w:r>
        <w:rPr>
          <w:color w:val="231F20"/>
        </w:rPr>
        <w:t>comme</w:t>
      </w:r>
      <w:r>
        <w:rPr>
          <w:color w:val="231F20"/>
          <w:spacing w:val="-15"/>
        </w:rPr>
        <w:t> </w:t>
      </w:r>
      <w:r>
        <w:rPr>
          <w:color w:val="231F20"/>
        </w:rPr>
        <w:t>le</w:t>
      </w:r>
      <w:r>
        <w:rPr>
          <w:color w:val="231F20"/>
          <w:spacing w:val="-15"/>
        </w:rPr>
        <w:t> </w:t>
      </w:r>
      <w:r>
        <w:rPr>
          <w:color w:val="231F20"/>
        </w:rPr>
        <w:t>fût</w:t>
      </w:r>
      <w:r>
        <w:rPr>
          <w:color w:val="231F20"/>
          <w:spacing w:val="-15"/>
        </w:rPr>
        <w:t> </w:t>
      </w:r>
      <w:r>
        <w:rPr>
          <w:color w:val="231F20"/>
        </w:rPr>
        <w:t>Houphouët-Boigny</w:t>
      </w:r>
      <w:r>
        <w:rPr>
          <w:color w:val="231F20"/>
          <w:spacing w:val="-15"/>
        </w:rPr>
        <w:t> </w:t>
      </w:r>
      <w:r>
        <w:rPr>
          <w:color w:val="231F20"/>
        </w:rPr>
        <w:t>;</w:t>
      </w:r>
      <w:r>
        <w:rPr>
          <w:color w:val="231F20"/>
          <w:spacing w:val="-15"/>
        </w:rPr>
        <w:t> </w:t>
      </w:r>
      <w:r>
        <w:rPr>
          <w:color w:val="231F20"/>
        </w:rPr>
        <w:t>la</w:t>
      </w:r>
      <w:r>
        <w:rPr>
          <w:color w:val="231F20"/>
          <w:spacing w:val="-15"/>
        </w:rPr>
        <w:t> </w:t>
      </w:r>
      <w:r>
        <w:rPr>
          <w:color w:val="231F20"/>
        </w:rPr>
        <w:t>France</w:t>
      </w:r>
      <w:r>
        <w:rPr>
          <w:color w:val="231F20"/>
          <w:spacing w:val="-15"/>
        </w:rPr>
        <w:t> </w:t>
      </w:r>
      <w:r>
        <w:rPr>
          <w:color w:val="231F20"/>
        </w:rPr>
        <w:t>s’inquiète</w:t>
      </w:r>
      <w:r>
        <w:rPr>
          <w:color w:val="231F20"/>
          <w:spacing w:val="-15"/>
        </w:rPr>
        <w:t> </w:t>
      </w:r>
      <w:r>
        <w:rPr>
          <w:color w:val="231F20"/>
        </w:rPr>
        <w:t>des</w:t>
      </w:r>
      <w:r>
        <w:rPr>
          <w:color w:val="231F20"/>
          <w:spacing w:val="-15"/>
        </w:rPr>
        <w:t> </w:t>
      </w:r>
      <w:r>
        <w:rPr>
          <w:color w:val="231F20"/>
        </w:rPr>
        <w:t>critiques </w:t>
      </w:r>
      <w:r>
        <w:rPr>
          <w:color w:val="231F20"/>
          <w:spacing w:val="-4"/>
        </w:rPr>
        <w:t>du</w:t>
      </w:r>
      <w:r>
        <w:rPr>
          <w:color w:val="231F20"/>
          <w:spacing w:val="-6"/>
        </w:rPr>
        <w:t> </w:t>
      </w:r>
      <w:r>
        <w:rPr>
          <w:color w:val="231F20"/>
          <w:spacing w:val="-4"/>
        </w:rPr>
        <w:t>nouvel</w:t>
      </w:r>
      <w:r>
        <w:rPr>
          <w:color w:val="231F20"/>
          <w:spacing w:val="-6"/>
        </w:rPr>
        <w:t> </w:t>
      </w:r>
      <w:r>
        <w:rPr>
          <w:color w:val="231F20"/>
          <w:spacing w:val="-4"/>
        </w:rPr>
        <w:t>homme</w:t>
      </w:r>
      <w:r>
        <w:rPr>
          <w:color w:val="231F20"/>
          <w:spacing w:val="-6"/>
        </w:rPr>
        <w:t> </w:t>
      </w:r>
      <w:r>
        <w:rPr>
          <w:color w:val="231F20"/>
          <w:spacing w:val="-4"/>
        </w:rPr>
        <w:t>fort</w:t>
      </w:r>
      <w:r>
        <w:rPr>
          <w:color w:val="231F20"/>
          <w:spacing w:val="-6"/>
        </w:rPr>
        <w:t> </w:t>
      </w:r>
      <w:r>
        <w:rPr>
          <w:color w:val="231F20"/>
          <w:spacing w:val="-4"/>
        </w:rPr>
        <w:t>d’Abidjan</w:t>
      </w:r>
      <w:r>
        <w:rPr>
          <w:color w:val="231F20"/>
          <w:spacing w:val="-6"/>
        </w:rPr>
        <w:t> </w:t>
      </w:r>
      <w:r>
        <w:rPr>
          <w:color w:val="231F20"/>
          <w:spacing w:val="-4"/>
        </w:rPr>
        <w:t>sur</w:t>
      </w:r>
      <w:r>
        <w:rPr>
          <w:color w:val="231F20"/>
          <w:spacing w:val="-6"/>
        </w:rPr>
        <w:t> </w:t>
      </w:r>
      <w:r>
        <w:rPr>
          <w:color w:val="231F20"/>
          <w:spacing w:val="-4"/>
        </w:rPr>
        <w:t>le</w:t>
      </w:r>
      <w:r>
        <w:rPr>
          <w:color w:val="231F20"/>
          <w:spacing w:val="-7"/>
        </w:rPr>
        <w:t> </w:t>
      </w:r>
      <w:r>
        <w:rPr>
          <w:color w:val="231F20"/>
          <w:spacing w:val="-4"/>
        </w:rPr>
        <w:t>néocolonialisme</w:t>
      </w:r>
      <w:r>
        <w:rPr>
          <w:color w:val="231F20"/>
          <w:spacing w:val="-7"/>
        </w:rPr>
        <w:t> </w:t>
      </w:r>
      <w:r>
        <w:rPr>
          <w:color w:val="231F20"/>
          <w:spacing w:val="-4"/>
        </w:rPr>
        <w:t>et</w:t>
      </w:r>
      <w:r>
        <w:rPr>
          <w:color w:val="231F20"/>
          <w:spacing w:val="-7"/>
        </w:rPr>
        <w:t> </w:t>
      </w:r>
      <w:r>
        <w:rPr>
          <w:color w:val="231F20"/>
          <w:spacing w:val="-4"/>
        </w:rPr>
        <w:t>craint</w:t>
      </w:r>
      <w:r>
        <w:rPr>
          <w:color w:val="231F20"/>
          <w:spacing w:val="-7"/>
        </w:rPr>
        <w:t> </w:t>
      </w:r>
      <w:r>
        <w:rPr>
          <w:color w:val="231F20"/>
          <w:spacing w:val="-4"/>
        </w:rPr>
        <w:t>pour</w:t>
      </w:r>
      <w:r>
        <w:rPr>
          <w:color w:val="231F20"/>
          <w:spacing w:val="-7"/>
        </w:rPr>
        <w:t> </w:t>
      </w:r>
      <w:r>
        <w:rPr>
          <w:color w:val="231F20"/>
          <w:spacing w:val="-4"/>
        </w:rPr>
        <w:t>ses </w:t>
      </w:r>
      <w:r>
        <w:rPr>
          <w:color w:val="231F20"/>
        </w:rPr>
        <w:t>intérêts. Et, elle en a.</w:t>
      </w:r>
    </w:p>
    <w:p>
      <w:pPr>
        <w:pStyle w:val="BodyText"/>
        <w:spacing w:before="121"/>
        <w:ind w:right="101" w:firstLine="283"/>
      </w:pPr>
      <w:r>
        <w:rPr>
          <w:color w:val="231F20"/>
          <w:spacing w:val="-4"/>
        </w:rPr>
        <w:t>Tous</w:t>
      </w:r>
      <w:r>
        <w:rPr>
          <w:color w:val="231F20"/>
          <w:spacing w:val="-11"/>
        </w:rPr>
        <w:t> </w:t>
      </w:r>
      <w:r>
        <w:rPr>
          <w:color w:val="231F20"/>
          <w:spacing w:val="-4"/>
        </w:rPr>
        <w:t>les</w:t>
      </w:r>
      <w:r>
        <w:rPr>
          <w:color w:val="231F20"/>
          <w:spacing w:val="-11"/>
        </w:rPr>
        <w:t> </w:t>
      </w:r>
      <w:r>
        <w:rPr>
          <w:color w:val="231F20"/>
          <w:spacing w:val="-4"/>
        </w:rPr>
        <w:t>grands</w:t>
      </w:r>
      <w:r>
        <w:rPr>
          <w:color w:val="231F20"/>
          <w:spacing w:val="-11"/>
        </w:rPr>
        <w:t> </w:t>
      </w:r>
      <w:r>
        <w:rPr>
          <w:color w:val="231F20"/>
          <w:spacing w:val="-4"/>
        </w:rPr>
        <w:t>groupes</w:t>
      </w:r>
      <w:r>
        <w:rPr>
          <w:color w:val="231F20"/>
          <w:spacing w:val="-11"/>
        </w:rPr>
        <w:t> </w:t>
      </w:r>
      <w:r>
        <w:rPr>
          <w:color w:val="231F20"/>
          <w:spacing w:val="-4"/>
        </w:rPr>
        <w:t>français</w:t>
      </w:r>
      <w:r>
        <w:rPr>
          <w:color w:val="231F20"/>
          <w:spacing w:val="-11"/>
        </w:rPr>
        <w:t> </w:t>
      </w:r>
      <w:r>
        <w:rPr>
          <w:color w:val="231F20"/>
          <w:spacing w:val="-4"/>
        </w:rPr>
        <w:t>se</w:t>
      </w:r>
      <w:r>
        <w:rPr>
          <w:color w:val="231F20"/>
          <w:spacing w:val="-11"/>
        </w:rPr>
        <w:t> </w:t>
      </w:r>
      <w:r>
        <w:rPr>
          <w:color w:val="231F20"/>
          <w:spacing w:val="-4"/>
        </w:rPr>
        <w:t>partagent</w:t>
      </w:r>
      <w:r>
        <w:rPr>
          <w:color w:val="231F20"/>
          <w:spacing w:val="-10"/>
        </w:rPr>
        <w:t> </w:t>
      </w:r>
      <w:r>
        <w:rPr>
          <w:color w:val="231F20"/>
          <w:spacing w:val="-4"/>
        </w:rPr>
        <w:t>le</w:t>
      </w:r>
      <w:r>
        <w:rPr>
          <w:color w:val="231F20"/>
          <w:spacing w:val="-11"/>
        </w:rPr>
        <w:t> </w:t>
      </w:r>
      <w:r>
        <w:rPr>
          <w:color w:val="231F20"/>
          <w:spacing w:val="-4"/>
        </w:rPr>
        <w:t>pays.</w:t>
      </w:r>
      <w:r>
        <w:rPr>
          <w:color w:val="231F20"/>
          <w:spacing w:val="-8"/>
        </w:rPr>
        <w:t> </w:t>
      </w:r>
      <w:r>
        <w:rPr>
          <w:color w:val="231F20"/>
          <w:spacing w:val="-4"/>
        </w:rPr>
        <w:t>Bolloré</w:t>
      </w:r>
      <w:r>
        <w:rPr>
          <w:color w:val="231F20"/>
          <w:spacing w:val="-11"/>
        </w:rPr>
        <w:t> </w:t>
      </w:r>
      <w:r>
        <w:rPr>
          <w:color w:val="231F20"/>
          <w:spacing w:val="-4"/>
        </w:rPr>
        <w:t>principal </w:t>
      </w:r>
      <w:r>
        <w:rPr>
          <w:color w:val="231F20"/>
        </w:rPr>
        <w:t>opérateur</w:t>
      </w:r>
      <w:r>
        <w:rPr>
          <w:color w:val="231F20"/>
          <w:spacing w:val="-3"/>
        </w:rPr>
        <w:t> </w:t>
      </w:r>
      <w:r>
        <w:rPr>
          <w:color w:val="231F20"/>
        </w:rPr>
        <w:t>du</w:t>
      </w:r>
      <w:r>
        <w:rPr>
          <w:color w:val="231F20"/>
          <w:spacing w:val="-4"/>
        </w:rPr>
        <w:t> </w:t>
      </w:r>
      <w:r>
        <w:rPr>
          <w:color w:val="231F20"/>
        </w:rPr>
        <w:t>transport</w:t>
      </w:r>
      <w:r>
        <w:rPr>
          <w:color w:val="231F20"/>
          <w:spacing w:val="-4"/>
        </w:rPr>
        <w:t> </w:t>
      </w:r>
      <w:r>
        <w:rPr>
          <w:color w:val="231F20"/>
        </w:rPr>
        <w:t>maritime</w:t>
      </w:r>
      <w:r>
        <w:rPr>
          <w:color w:val="231F20"/>
          <w:spacing w:val="-3"/>
        </w:rPr>
        <w:t> </w:t>
      </w:r>
      <w:r>
        <w:rPr>
          <w:color w:val="231F20"/>
        </w:rPr>
        <w:t>avec</w:t>
      </w:r>
      <w:r>
        <w:rPr>
          <w:color w:val="231F20"/>
          <w:spacing w:val="-2"/>
        </w:rPr>
        <w:t> </w:t>
      </w:r>
      <w:r>
        <w:rPr>
          <w:color w:val="231F20"/>
        </w:rPr>
        <w:t>Saga,</w:t>
      </w:r>
      <w:r>
        <w:rPr>
          <w:color w:val="231F20"/>
          <w:spacing w:val="-5"/>
        </w:rPr>
        <w:t> </w:t>
      </w:r>
      <w:r>
        <w:rPr>
          <w:color w:val="231F20"/>
        </w:rPr>
        <w:t>SDV</w:t>
      </w:r>
      <w:r>
        <w:rPr>
          <w:color w:val="231F20"/>
          <w:spacing w:val="-5"/>
        </w:rPr>
        <w:t> </w:t>
      </w:r>
      <w:r>
        <w:rPr>
          <w:color w:val="231F20"/>
        </w:rPr>
        <w:t>et</w:t>
      </w:r>
      <w:r>
        <w:rPr>
          <w:color w:val="231F20"/>
          <w:spacing w:val="-2"/>
        </w:rPr>
        <w:t> </w:t>
      </w:r>
      <w:r>
        <w:rPr>
          <w:color w:val="231F20"/>
        </w:rPr>
        <w:t>Delmas,</w:t>
      </w:r>
      <w:r>
        <w:rPr>
          <w:color w:val="231F20"/>
          <w:spacing w:val="-2"/>
        </w:rPr>
        <w:t> </w:t>
      </w:r>
      <w:r>
        <w:rPr>
          <w:color w:val="231F20"/>
        </w:rPr>
        <w:t>quasiment maître</w:t>
      </w:r>
      <w:r>
        <w:rPr>
          <w:color w:val="231F20"/>
          <w:spacing w:val="-15"/>
        </w:rPr>
        <w:t> </w:t>
      </w:r>
      <w:r>
        <w:rPr>
          <w:color w:val="231F20"/>
        </w:rPr>
        <w:t>du</w:t>
      </w:r>
      <w:r>
        <w:rPr>
          <w:color w:val="231F20"/>
          <w:spacing w:val="-13"/>
        </w:rPr>
        <w:t> </w:t>
      </w:r>
      <w:r>
        <w:rPr>
          <w:color w:val="231F20"/>
        </w:rPr>
        <w:t>port</w:t>
      </w:r>
      <w:r>
        <w:rPr>
          <w:color w:val="231F20"/>
          <w:spacing w:val="-13"/>
        </w:rPr>
        <w:t> </w:t>
      </w:r>
      <w:r>
        <w:rPr>
          <w:color w:val="231F20"/>
        </w:rPr>
        <w:t>d’Abidjan,</w:t>
      </w:r>
      <w:r>
        <w:rPr>
          <w:color w:val="231F20"/>
          <w:spacing w:val="-15"/>
        </w:rPr>
        <w:t> </w:t>
      </w:r>
      <w:r>
        <w:rPr>
          <w:color w:val="231F20"/>
        </w:rPr>
        <w:t>le</w:t>
      </w:r>
      <w:r>
        <w:rPr>
          <w:color w:val="231F20"/>
          <w:spacing w:val="-13"/>
        </w:rPr>
        <w:t> </w:t>
      </w:r>
      <w:r>
        <w:rPr>
          <w:color w:val="231F20"/>
        </w:rPr>
        <w:t>premier</w:t>
      </w:r>
      <w:r>
        <w:rPr>
          <w:color w:val="231F20"/>
          <w:spacing w:val="-13"/>
        </w:rPr>
        <w:t> </w:t>
      </w:r>
      <w:r>
        <w:rPr>
          <w:color w:val="231F20"/>
        </w:rPr>
        <w:t>port</w:t>
      </w:r>
      <w:r>
        <w:rPr>
          <w:color w:val="231F20"/>
          <w:spacing w:val="-13"/>
        </w:rPr>
        <w:t> </w:t>
      </w:r>
      <w:r>
        <w:rPr>
          <w:color w:val="231F20"/>
        </w:rPr>
        <w:t>de</w:t>
      </w:r>
      <w:r>
        <w:rPr>
          <w:color w:val="231F20"/>
          <w:spacing w:val="-13"/>
        </w:rPr>
        <w:t> </w:t>
      </w:r>
      <w:r>
        <w:rPr>
          <w:color w:val="231F20"/>
        </w:rPr>
        <w:t>transit</w:t>
      </w:r>
      <w:r>
        <w:rPr>
          <w:color w:val="231F20"/>
          <w:spacing w:val="-15"/>
        </w:rPr>
        <w:t> </w:t>
      </w:r>
      <w:r>
        <w:rPr>
          <w:color w:val="231F20"/>
        </w:rPr>
        <w:t>dans</w:t>
      </w:r>
      <w:r>
        <w:rPr>
          <w:color w:val="231F20"/>
          <w:spacing w:val="-13"/>
        </w:rPr>
        <w:t> </w:t>
      </w:r>
      <w:r>
        <w:rPr>
          <w:color w:val="231F20"/>
        </w:rPr>
        <w:t>la</w:t>
      </w:r>
      <w:r>
        <w:rPr>
          <w:color w:val="231F20"/>
          <w:spacing w:val="-15"/>
        </w:rPr>
        <w:t> </w:t>
      </w:r>
      <w:r>
        <w:rPr>
          <w:color w:val="231F20"/>
        </w:rPr>
        <w:t>région</w:t>
      </w:r>
      <w:r>
        <w:rPr>
          <w:color w:val="231F20"/>
          <w:spacing w:val="-13"/>
        </w:rPr>
        <w:t> </w:t>
      </w:r>
      <w:r>
        <w:rPr>
          <w:color w:val="231F20"/>
        </w:rPr>
        <w:t>ouest- africaine</w:t>
      </w:r>
      <w:r>
        <w:rPr>
          <w:color w:val="231F20"/>
          <w:spacing w:val="-7"/>
        </w:rPr>
        <w:t> </w:t>
      </w:r>
      <w:r>
        <w:rPr>
          <w:color w:val="231F20"/>
        </w:rPr>
        <w:t>et</w:t>
      </w:r>
      <w:r>
        <w:rPr>
          <w:color w:val="231F20"/>
          <w:spacing w:val="-7"/>
        </w:rPr>
        <w:t> </w:t>
      </w:r>
      <w:r>
        <w:rPr>
          <w:color w:val="231F20"/>
        </w:rPr>
        <w:t>le</w:t>
      </w:r>
      <w:r>
        <w:rPr>
          <w:color w:val="231F20"/>
          <w:spacing w:val="-8"/>
        </w:rPr>
        <w:t> </w:t>
      </w:r>
      <w:r>
        <w:rPr>
          <w:color w:val="231F20"/>
        </w:rPr>
        <w:t>second</w:t>
      </w:r>
      <w:r>
        <w:rPr>
          <w:color w:val="231F20"/>
          <w:spacing w:val="-8"/>
        </w:rPr>
        <w:t> </w:t>
      </w:r>
      <w:r>
        <w:rPr>
          <w:color w:val="231F20"/>
        </w:rPr>
        <w:t>port</w:t>
      </w:r>
      <w:r>
        <w:rPr>
          <w:color w:val="231F20"/>
          <w:spacing w:val="-7"/>
        </w:rPr>
        <w:t> </w:t>
      </w:r>
      <w:r>
        <w:rPr>
          <w:color w:val="231F20"/>
        </w:rPr>
        <w:t>à</w:t>
      </w:r>
      <w:r>
        <w:rPr>
          <w:color w:val="231F20"/>
          <w:spacing w:val="-7"/>
        </w:rPr>
        <w:t> </w:t>
      </w:r>
      <w:r>
        <w:rPr>
          <w:color w:val="231F20"/>
        </w:rPr>
        <w:t>conteneurs</w:t>
      </w:r>
      <w:r>
        <w:rPr>
          <w:color w:val="231F20"/>
          <w:spacing w:val="-8"/>
        </w:rPr>
        <w:t> </w:t>
      </w:r>
      <w:r>
        <w:rPr>
          <w:color w:val="231F20"/>
        </w:rPr>
        <w:t>d’Afrique.</w:t>
      </w:r>
      <w:r>
        <w:rPr>
          <w:color w:val="231F20"/>
          <w:spacing w:val="-7"/>
        </w:rPr>
        <w:t> </w:t>
      </w:r>
      <w:r>
        <w:rPr>
          <w:color w:val="231F20"/>
        </w:rPr>
        <w:t>Il</w:t>
      </w:r>
      <w:r>
        <w:rPr>
          <w:color w:val="231F20"/>
          <w:spacing w:val="-6"/>
        </w:rPr>
        <w:t> </w:t>
      </w:r>
      <w:r>
        <w:rPr>
          <w:color w:val="231F20"/>
        </w:rPr>
        <w:t>est</w:t>
      </w:r>
      <w:r>
        <w:rPr>
          <w:color w:val="231F20"/>
          <w:spacing w:val="-6"/>
        </w:rPr>
        <w:t> </w:t>
      </w:r>
      <w:r>
        <w:rPr>
          <w:color w:val="231F20"/>
        </w:rPr>
        <w:t>aussi</w:t>
      </w:r>
      <w:r>
        <w:rPr>
          <w:color w:val="231F20"/>
          <w:spacing w:val="-8"/>
        </w:rPr>
        <w:t> </w:t>
      </w:r>
      <w:r>
        <w:rPr>
          <w:color w:val="231F20"/>
        </w:rPr>
        <w:t>maître</w:t>
      </w:r>
      <w:r>
        <w:rPr>
          <w:color w:val="231F20"/>
          <w:spacing w:val="-8"/>
        </w:rPr>
        <w:t> </w:t>
      </w:r>
      <w:r>
        <w:rPr>
          <w:color w:val="231F20"/>
        </w:rPr>
        <w:t>du chemin</w:t>
      </w:r>
      <w:r>
        <w:rPr>
          <w:color w:val="231F20"/>
          <w:spacing w:val="-12"/>
        </w:rPr>
        <w:t> </w:t>
      </w:r>
      <w:r>
        <w:rPr>
          <w:color w:val="231F20"/>
        </w:rPr>
        <w:t>de</w:t>
      </w:r>
      <w:r>
        <w:rPr>
          <w:color w:val="231F20"/>
          <w:spacing w:val="-10"/>
        </w:rPr>
        <w:t> </w:t>
      </w:r>
      <w:r>
        <w:rPr>
          <w:color w:val="231F20"/>
        </w:rPr>
        <w:t>fer</w:t>
      </w:r>
      <w:r>
        <w:rPr>
          <w:color w:val="231F20"/>
          <w:spacing w:val="-12"/>
        </w:rPr>
        <w:t> </w:t>
      </w:r>
      <w:r>
        <w:rPr>
          <w:color w:val="231F20"/>
        </w:rPr>
        <w:t>Sitarail.</w:t>
      </w:r>
      <w:r>
        <w:rPr>
          <w:color w:val="231F20"/>
          <w:spacing w:val="-10"/>
        </w:rPr>
        <w:t> </w:t>
      </w:r>
      <w:r>
        <w:rPr>
          <w:color w:val="231F20"/>
        </w:rPr>
        <w:t>Il</w:t>
      </w:r>
      <w:r>
        <w:rPr>
          <w:color w:val="231F20"/>
          <w:spacing w:val="-9"/>
        </w:rPr>
        <w:t> </w:t>
      </w:r>
      <w:r>
        <w:rPr>
          <w:color w:val="231F20"/>
        </w:rPr>
        <w:t>est</w:t>
      </w:r>
      <w:r>
        <w:rPr>
          <w:color w:val="231F20"/>
          <w:spacing w:val="-9"/>
        </w:rPr>
        <w:t> </w:t>
      </w:r>
      <w:r>
        <w:rPr>
          <w:color w:val="231F20"/>
        </w:rPr>
        <w:t>présent</w:t>
      </w:r>
      <w:r>
        <w:rPr>
          <w:color w:val="231F20"/>
          <w:spacing w:val="-10"/>
        </w:rPr>
        <w:t> </w:t>
      </w:r>
      <w:r>
        <w:rPr>
          <w:color w:val="231F20"/>
        </w:rPr>
        <w:t>dans</w:t>
      </w:r>
      <w:r>
        <w:rPr>
          <w:color w:val="231F20"/>
          <w:spacing w:val="-12"/>
        </w:rPr>
        <w:t> </w:t>
      </w:r>
      <w:r>
        <w:rPr>
          <w:color w:val="231F20"/>
        </w:rPr>
        <w:t>le</w:t>
      </w:r>
      <w:r>
        <w:rPr>
          <w:color w:val="231F20"/>
          <w:spacing w:val="-10"/>
        </w:rPr>
        <w:t> </w:t>
      </w:r>
      <w:r>
        <w:rPr>
          <w:color w:val="231F20"/>
        </w:rPr>
        <w:t>cacao</w:t>
      </w:r>
      <w:r>
        <w:rPr>
          <w:color w:val="231F20"/>
          <w:spacing w:val="-10"/>
        </w:rPr>
        <w:t> </w:t>
      </w:r>
      <w:r>
        <w:rPr>
          <w:color w:val="231F20"/>
        </w:rPr>
        <w:t>et</w:t>
      </w:r>
      <w:r>
        <w:rPr>
          <w:color w:val="231F20"/>
          <w:spacing w:val="-11"/>
        </w:rPr>
        <w:t> </w:t>
      </w:r>
      <w:r>
        <w:rPr>
          <w:color w:val="231F20"/>
        </w:rPr>
        <w:t>est</w:t>
      </w:r>
      <w:r>
        <w:rPr>
          <w:color w:val="231F20"/>
          <w:spacing w:val="-11"/>
        </w:rPr>
        <w:t> </w:t>
      </w:r>
      <w:r>
        <w:rPr>
          <w:color w:val="231F20"/>
        </w:rPr>
        <w:t>le</w:t>
      </w:r>
      <w:r>
        <w:rPr>
          <w:color w:val="231F20"/>
          <w:spacing w:val="-14"/>
        </w:rPr>
        <w:t> </w:t>
      </w:r>
      <w:r>
        <w:rPr>
          <w:color w:val="231F20"/>
        </w:rPr>
        <w:t>leader</w:t>
      </w:r>
      <w:r>
        <w:rPr>
          <w:color w:val="231F20"/>
          <w:spacing w:val="-10"/>
        </w:rPr>
        <w:t> </w:t>
      </w:r>
      <w:r>
        <w:rPr>
          <w:color w:val="231F20"/>
        </w:rPr>
        <w:t>dans</w:t>
      </w:r>
      <w:r>
        <w:rPr>
          <w:color w:val="231F20"/>
          <w:spacing w:val="-12"/>
        </w:rPr>
        <w:t> </w:t>
      </w:r>
      <w:r>
        <w:rPr>
          <w:color w:val="231F20"/>
        </w:rPr>
        <w:t>le tabac et le caoutchouc.</w:t>
      </w:r>
    </w:p>
    <w:p>
      <w:pPr>
        <w:pStyle w:val="BodyText"/>
        <w:spacing w:before="120"/>
        <w:ind w:right="108" w:firstLine="283"/>
      </w:pPr>
      <w:r>
        <w:rPr>
          <w:color w:val="231F20"/>
        </w:rPr>
        <w:t>Bouygues, est en Côte d’Ivoire depuis l’indépendance où il est le traditionnel</w:t>
      </w:r>
      <w:r>
        <w:rPr>
          <w:color w:val="231F20"/>
          <w:spacing w:val="-15"/>
        </w:rPr>
        <w:t> </w:t>
      </w:r>
      <w:r>
        <w:rPr>
          <w:color w:val="231F20"/>
        </w:rPr>
        <w:t>numéro</w:t>
      </w:r>
      <w:r>
        <w:rPr>
          <w:color w:val="231F20"/>
          <w:spacing w:val="-15"/>
        </w:rPr>
        <w:t> </w:t>
      </w:r>
      <w:r>
        <w:rPr>
          <w:color w:val="231F20"/>
        </w:rPr>
        <w:t>un</w:t>
      </w:r>
      <w:r>
        <w:rPr>
          <w:color w:val="231F20"/>
          <w:spacing w:val="-15"/>
        </w:rPr>
        <w:t> </w:t>
      </w:r>
      <w:r>
        <w:rPr>
          <w:color w:val="231F20"/>
        </w:rPr>
        <w:t>du</w:t>
      </w:r>
      <w:r>
        <w:rPr>
          <w:color w:val="231F20"/>
          <w:spacing w:val="-15"/>
        </w:rPr>
        <w:t> </w:t>
      </w:r>
      <w:r>
        <w:rPr>
          <w:color w:val="231F20"/>
        </w:rPr>
        <w:t>bâtiment</w:t>
      </w:r>
      <w:r>
        <w:rPr>
          <w:color w:val="231F20"/>
          <w:spacing w:val="-15"/>
        </w:rPr>
        <w:t> </w:t>
      </w:r>
      <w:r>
        <w:rPr>
          <w:color w:val="231F20"/>
        </w:rPr>
        <w:t>et</w:t>
      </w:r>
      <w:r>
        <w:rPr>
          <w:color w:val="231F20"/>
          <w:spacing w:val="-15"/>
        </w:rPr>
        <w:t> </w:t>
      </w:r>
      <w:r>
        <w:rPr>
          <w:color w:val="231F20"/>
        </w:rPr>
        <w:t>des</w:t>
      </w:r>
      <w:r>
        <w:rPr>
          <w:color w:val="231F20"/>
          <w:spacing w:val="-15"/>
        </w:rPr>
        <w:t> </w:t>
      </w:r>
      <w:r>
        <w:rPr>
          <w:color w:val="231F20"/>
        </w:rPr>
        <w:t>travaux</w:t>
      </w:r>
      <w:r>
        <w:rPr>
          <w:color w:val="231F20"/>
          <w:spacing w:val="-14"/>
        </w:rPr>
        <w:t> </w:t>
      </w:r>
      <w:r>
        <w:rPr>
          <w:color w:val="231F20"/>
        </w:rPr>
        <w:t>publics.</w:t>
      </w:r>
      <w:r>
        <w:rPr>
          <w:color w:val="231F20"/>
          <w:spacing w:val="-13"/>
        </w:rPr>
        <w:t> </w:t>
      </w:r>
      <w:r>
        <w:rPr>
          <w:color w:val="231F20"/>
        </w:rPr>
        <w:t>Il</w:t>
      </w:r>
      <w:r>
        <w:rPr>
          <w:color w:val="231F20"/>
          <w:spacing w:val="-13"/>
        </w:rPr>
        <w:t> </w:t>
      </w:r>
      <w:r>
        <w:rPr>
          <w:color w:val="231F20"/>
        </w:rPr>
        <w:t>a</w:t>
      </w:r>
      <w:r>
        <w:rPr>
          <w:color w:val="231F20"/>
          <w:spacing w:val="-15"/>
        </w:rPr>
        <w:t> </w:t>
      </w:r>
      <w:r>
        <w:rPr>
          <w:color w:val="231F20"/>
        </w:rPr>
        <w:t>aussi,</w:t>
      </w:r>
      <w:r>
        <w:rPr>
          <w:color w:val="231F20"/>
          <w:spacing w:val="-15"/>
        </w:rPr>
        <w:t> </w:t>
      </w:r>
      <w:r>
        <w:rPr>
          <w:color w:val="231F20"/>
        </w:rPr>
        <w:t>par </w:t>
      </w:r>
      <w:r>
        <w:rPr>
          <w:color w:val="231F20"/>
          <w:spacing w:val="-2"/>
        </w:rPr>
        <w:t>la</w:t>
      </w:r>
      <w:r>
        <w:rPr>
          <w:color w:val="231F20"/>
          <w:spacing w:val="-12"/>
        </w:rPr>
        <w:t> </w:t>
      </w:r>
      <w:r>
        <w:rPr>
          <w:color w:val="231F20"/>
          <w:spacing w:val="-2"/>
        </w:rPr>
        <w:t>privatisation-mise</w:t>
      </w:r>
      <w:r>
        <w:rPr>
          <w:color w:val="231F20"/>
          <w:spacing w:val="-12"/>
        </w:rPr>
        <w:t> </w:t>
      </w:r>
      <w:r>
        <w:rPr>
          <w:color w:val="231F20"/>
          <w:spacing w:val="-2"/>
        </w:rPr>
        <w:t>en</w:t>
      </w:r>
      <w:r>
        <w:rPr>
          <w:color w:val="231F20"/>
          <w:spacing w:val="-12"/>
        </w:rPr>
        <w:t> </w:t>
      </w:r>
      <w:r>
        <w:rPr>
          <w:color w:val="231F20"/>
          <w:spacing w:val="-2"/>
        </w:rPr>
        <w:t>concession,</w:t>
      </w:r>
      <w:r>
        <w:rPr>
          <w:color w:val="231F20"/>
          <w:spacing w:val="-12"/>
        </w:rPr>
        <w:t> </w:t>
      </w:r>
      <w:r>
        <w:rPr>
          <w:color w:val="231F20"/>
          <w:spacing w:val="-2"/>
        </w:rPr>
        <w:t>le</w:t>
      </w:r>
      <w:r>
        <w:rPr>
          <w:color w:val="231F20"/>
          <w:spacing w:val="-12"/>
        </w:rPr>
        <w:t> </w:t>
      </w:r>
      <w:r>
        <w:rPr>
          <w:color w:val="231F20"/>
          <w:spacing w:val="-2"/>
        </w:rPr>
        <w:t>contrôle</w:t>
      </w:r>
      <w:r>
        <w:rPr>
          <w:color w:val="231F20"/>
          <w:spacing w:val="-13"/>
        </w:rPr>
        <w:t> </w:t>
      </w:r>
      <w:r>
        <w:rPr>
          <w:color w:val="231F20"/>
          <w:spacing w:val="-2"/>
        </w:rPr>
        <w:t>de</w:t>
      </w:r>
      <w:r>
        <w:rPr>
          <w:color w:val="231F20"/>
          <w:spacing w:val="-12"/>
        </w:rPr>
        <w:t> </w:t>
      </w:r>
      <w:r>
        <w:rPr>
          <w:color w:val="231F20"/>
          <w:spacing w:val="-2"/>
        </w:rPr>
        <w:t>la</w:t>
      </w:r>
      <w:r>
        <w:rPr>
          <w:color w:val="231F20"/>
          <w:spacing w:val="-12"/>
        </w:rPr>
        <w:t> </w:t>
      </w:r>
      <w:r>
        <w:rPr>
          <w:color w:val="231F20"/>
          <w:spacing w:val="-2"/>
        </w:rPr>
        <w:t>distribution</w:t>
      </w:r>
      <w:r>
        <w:rPr>
          <w:color w:val="231F20"/>
          <w:spacing w:val="-12"/>
        </w:rPr>
        <w:t> </w:t>
      </w:r>
      <w:r>
        <w:rPr>
          <w:color w:val="231F20"/>
          <w:spacing w:val="-2"/>
        </w:rPr>
        <w:t>de</w:t>
      </w:r>
      <w:r>
        <w:rPr>
          <w:color w:val="231F20"/>
          <w:spacing w:val="-13"/>
        </w:rPr>
        <w:t> </w:t>
      </w:r>
      <w:r>
        <w:rPr>
          <w:color w:val="231F20"/>
          <w:spacing w:val="-2"/>
        </w:rPr>
        <w:t>l’eau</w:t>
      </w:r>
    </w:p>
    <w:p>
      <w:pPr>
        <w:pStyle w:val="BodyText"/>
        <w:spacing w:before="8"/>
        <w:ind w:left="0"/>
        <w:jc w:val="left"/>
        <w:rPr>
          <w:sz w:val="18"/>
        </w:rPr>
      </w:pPr>
      <w:r>
        <w:rPr/>
        <mc:AlternateContent>
          <mc:Choice Requires="wps">
            <w:drawing>
              <wp:anchor distT="0" distB="0" distL="0" distR="0" allowOverlap="1" layoutInCell="1" locked="0" behindDoc="1" simplePos="0" relativeHeight="487643136">
                <wp:simplePos x="0" y="0"/>
                <wp:positionH relativeFrom="page">
                  <wp:posOffset>629907</wp:posOffset>
                </wp:positionH>
                <wp:positionV relativeFrom="paragraph">
                  <wp:posOffset>151967</wp:posOffset>
                </wp:positionV>
                <wp:extent cx="1829435" cy="9525"/>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1.965908pt;width:144.020pt;height:.72pt;mso-position-horizontal-relative:page;mso-position-vertical-relative:paragraph;z-index:-15673344;mso-wrap-distance-left:0;mso-wrap-distance-right:0" id="docshape135" filled="true" fillcolor="#231f20" stroked="false">
                <v:fill type="solid"/>
                <w10:wrap type="topAndBottom"/>
              </v:rect>
            </w:pict>
          </mc:Fallback>
        </mc:AlternateContent>
      </w:r>
    </w:p>
    <w:p>
      <w:pPr>
        <w:spacing w:before="91"/>
        <w:ind w:left="111" w:right="105" w:firstLine="0"/>
        <w:jc w:val="both"/>
        <w:rPr>
          <w:sz w:val="20"/>
        </w:rPr>
      </w:pPr>
      <w:r>
        <w:rPr>
          <w:color w:val="636466"/>
          <w:sz w:val="20"/>
          <w:vertAlign w:val="superscript"/>
        </w:rPr>
        <w:t>171</w:t>
      </w:r>
      <w:r>
        <w:rPr>
          <w:color w:val="636466"/>
          <w:sz w:val="20"/>
          <w:vertAlign w:val="baseline"/>
        </w:rPr>
        <w:t> France-à-fric,</w:t>
      </w:r>
      <w:r>
        <w:rPr>
          <w:color w:val="636466"/>
          <w:spacing w:val="-13"/>
          <w:sz w:val="20"/>
          <w:vertAlign w:val="baseline"/>
        </w:rPr>
        <w:t> </w:t>
      </w:r>
      <w:r>
        <w:rPr>
          <w:color w:val="636466"/>
          <w:sz w:val="20"/>
          <w:vertAlign w:val="baseline"/>
        </w:rPr>
        <w:t>homophonie de France-Afrique utilsée par Verschave</w:t>
      </w:r>
      <w:r>
        <w:rPr>
          <w:color w:val="636466"/>
          <w:spacing w:val="-13"/>
          <w:sz w:val="20"/>
          <w:vertAlign w:val="baseline"/>
        </w:rPr>
        <w:t> </w:t>
      </w:r>
      <w:r>
        <w:rPr>
          <w:color w:val="636466"/>
          <w:sz w:val="20"/>
          <w:vertAlign w:val="baseline"/>
        </w:rPr>
        <w:t>auteur de nombreux autres ouvrages sur les relations franco-africaines et ancien président de </w:t>
      </w:r>
      <w:r>
        <w:rPr>
          <w:color w:val="636466"/>
          <w:spacing w:val="-4"/>
          <w:sz w:val="20"/>
          <w:vertAlign w:val="baseline"/>
        </w:rPr>
        <w:t>l'association</w:t>
      </w:r>
      <w:r>
        <w:rPr>
          <w:color w:val="636466"/>
          <w:sz w:val="20"/>
          <w:vertAlign w:val="baseline"/>
        </w:rPr>
        <w:t> </w:t>
      </w:r>
      <w:r>
        <w:rPr>
          <w:color w:val="636466"/>
          <w:spacing w:val="-4"/>
          <w:sz w:val="20"/>
          <w:vertAlign w:val="baseline"/>
        </w:rPr>
        <w:t>Survie</w:t>
      </w:r>
      <w:r>
        <w:rPr>
          <w:color w:val="636466"/>
          <w:spacing w:val="-7"/>
          <w:sz w:val="20"/>
          <w:vertAlign w:val="baseline"/>
        </w:rPr>
        <w:t> </w:t>
      </w:r>
      <w:r>
        <w:rPr>
          <w:color w:val="636466"/>
          <w:spacing w:val="-4"/>
          <w:sz w:val="20"/>
          <w:vertAlign w:val="baseline"/>
        </w:rPr>
        <w:t>pour</w:t>
      </w:r>
      <w:r>
        <w:rPr>
          <w:color w:val="636466"/>
          <w:spacing w:val="-7"/>
          <w:sz w:val="20"/>
          <w:vertAlign w:val="baseline"/>
        </w:rPr>
        <w:t> </w:t>
      </w:r>
      <w:r>
        <w:rPr>
          <w:color w:val="636466"/>
          <w:spacing w:val="-4"/>
          <w:sz w:val="20"/>
          <w:vertAlign w:val="baseline"/>
        </w:rPr>
        <w:t>dénoncer</w:t>
      </w:r>
      <w:r>
        <w:rPr>
          <w:color w:val="636466"/>
          <w:spacing w:val="-5"/>
          <w:sz w:val="20"/>
          <w:vertAlign w:val="baseline"/>
        </w:rPr>
        <w:t> </w:t>
      </w:r>
      <w:r>
        <w:rPr>
          <w:color w:val="636466"/>
          <w:spacing w:val="-4"/>
          <w:sz w:val="20"/>
          <w:vertAlign w:val="baseline"/>
        </w:rPr>
        <w:t>les</w:t>
      </w:r>
      <w:r>
        <w:rPr>
          <w:color w:val="636466"/>
          <w:spacing w:val="-8"/>
          <w:sz w:val="20"/>
          <w:vertAlign w:val="baseline"/>
        </w:rPr>
        <w:t> </w:t>
      </w:r>
      <w:r>
        <w:rPr>
          <w:color w:val="636466"/>
          <w:spacing w:val="-4"/>
          <w:sz w:val="20"/>
          <w:vertAlign w:val="baseline"/>
        </w:rPr>
        <w:t>réseaux d'influence</w:t>
      </w:r>
      <w:r>
        <w:rPr>
          <w:color w:val="636466"/>
          <w:sz w:val="20"/>
          <w:vertAlign w:val="baseline"/>
        </w:rPr>
        <w:t> </w:t>
      </w:r>
      <w:r>
        <w:rPr>
          <w:color w:val="636466"/>
          <w:spacing w:val="-4"/>
          <w:sz w:val="20"/>
          <w:vertAlign w:val="baseline"/>
        </w:rPr>
        <w:t>et</w:t>
      </w:r>
      <w:r>
        <w:rPr>
          <w:color w:val="636466"/>
          <w:spacing w:val="-7"/>
          <w:sz w:val="20"/>
          <w:vertAlign w:val="baseline"/>
        </w:rPr>
        <w:t> </w:t>
      </w:r>
      <w:r>
        <w:rPr>
          <w:color w:val="636466"/>
          <w:spacing w:val="-4"/>
          <w:sz w:val="20"/>
          <w:vertAlign w:val="baseline"/>
        </w:rPr>
        <w:t>de lobbies d'acteurs</w:t>
      </w:r>
      <w:r>
        <w:rPr>
          <w:color w:val="636466"/>
          <w:spacing w:val="-6"/>
          <w:sz w:val="20"/>
          <w:vertAlign w:val="baseline"/>
        </w:rPr>
        <w:t> </w:t>
      </w:r>
      <w:r>
        <w:rPr>
          <w:color w:val="636466"/>
          <w:spacing w:val="-4"/>
          <w:sz w:val="20"/>
          <w:vertAlign w:val="baseline"/>
        </w:rPr>
        <w:t>français </w:t>
      </w:r>
      <w:r>
        <w:rPr>
          <w:color w:val="636466"/>
          <w:sz w:val="20"/>
          <w:vertAlign w:val="baseline"/>
        </w:rPr>
        <w:t>et</w:t>
      </w:r>
      <w:r>
        <w:rPr>
          <w:color w:val="636466"/>
          <w:spacing w:val="-13"/>
          <w:sz w:val="20"/>
          <w:vertAlign w:val="baseline"/>
        </w:rPr>
        <w:t> </w:t>
      </w:r>
      <w:r>
        <w:rPr>
          <w:color w:val="636466"/>
          <w:sz w:val="20"/>
          <w:vertAlign w:val="baseline"/>
        </w:rPr>
        <w:t>africains</w:t>
      </w:r>
      <w:r>
        <w:rPr>
          <w:color w:val="636466"/>
          <w:spacing w:val="-12"/>
          <w:sz w:val="20"/>
          <w:vertAlign w:val="baseline"/>
        </w:rPr>
        <w:t> </w:t>
      </w:r>
      <w:r>
        <w:rPr>
          <w:color w:val="636466"/>
          <w:sz w:val="20"/>
          <w:vertAlign w:val="baseline"/>
        </w:rPr>
        <w:t>qui</w:t>
      </w:r>
      <w:r>
        <w:rPr>
          <w:color w:val="636466"/>
          <w:spacing w:val="-8"/>
          <w:sz w:val="20"/>
          <w:vertAlign w:val="baseline"/>
        </w:rPr>
        <w:t> </w:t>
      </w:r>
      <w:r>
        <w:rPr>
          <w:color w:val="636466"/>
          <w:sz w:val="20"/>
          <w:vertAlign w:val="baseline"/>
        </w:rPr>
        <w:t>détournent</w:t>
      </w:r>
      <w:r>
        <w:rPr>
          <w:color w:val="636466"/>
          <w:spacing w:val="-6"/>
          <w:sz w:val="20"/>
          <w:vertAlign w:val="baseline"/>
        </w:rPr>
        <w:t> </w:t>
      </w:r>
      <w:r>
        <w:rPr>
          <w:color w:val="636466"/>
          <w:sz w:val="20"/>
          <w:vertAlign w:val="baseline"/>
        </w:rPr>
        <w:t>à</w:t>
      </w:r>
      <w:r>
        <w:rPr>
          <w:color w:val="636466"/>
          <w:spacing w:val="-6"/>
          <w:sz w:val="20"/>
          <w:vertAlign w:val="baseline"/>
        </w:rPr>
        <w:t> </w:t>
      </w:r>
      <w:r>
        <w:rPr>
          <w:color w:val="636466"/>
          <w:sz w:val="20"/>
          <w:vertAlign w:val="baseline"/>
        </w:rPr>
        <w:t>leur</w:t>
      </w:r>
      <w:r>
        <w:rPr>
          <w:color w:val="636466"/>
          <w:spacing w:val="-7"/>
          <w:sz w:val="20"/>
          <w:vertAlign w:val="baseline"/>
        </w:rPr>
        <w:t> </w:t>
      </w:r>
      <w:r>
        <w:rPr>
          <w:color w:val="636466"/>
          <w:sz w:val="20"/>
          <w:vertAlign w:val="baseline"/>
        </w:rPr>
        <w:t>profit</w:t>
      </w:r>
      <w:r>
        <w:rPr>
          <w:color w:val="636466"/>
          <w:spacing w:val="-6"/>
          <w:sz w:val="20"/>
          <w:vertAlign w:val="baseline"/>
        </w:rPr>
        <w:t> </w:t>
      </w:r>
      <w:r>
        <w:rPr>
          <w:color w:val="636466"/>
          <w:sz w:val="20"/>
          <w:vertAlign w:val="baseline"/>
        </w:rPr>
        <w:t>les</w:t>
      </w:r>
      <w:r>
        <w:rPr>
          <w:color w:val="636466"/>
          <w:spacing w:val="-13"/>
          <w:sz w:val="20"/>
          <w:vertAlign w:val="baseline"/>
        </w:rPr>
        <w:t> </w:t>
      </w:r>
      <w:r>
        <w:rPr>
          <w:color w:val="636466"/>
          <w:sz w:val="20"/>
          <w:vertAlign w:val="baseline"/>
        </w:rPr>
        <w:t>richesses</w:t>
      </w:r>
      <w:r>
        <w:rPr>
          <w:color w:val="636466"/>
          <w:spacing w:val="-12"/>
          <w:sz w:val="20"/>
          <w:vertAlign w:val="baseline"/>
        </w:rPr>
        <w:t> </w:t>
      </w:r>
      <w:r>
        <w:rPr>
          <w:color w:val="636466"/>
          <w:sz w:val="20"/>
          <w:vertAlign w:val="baseline"/>
        </w:rPr>
        <w:t>liées</w:t>
      </w:r>
      <w:r>
        <w:rPr>
          <w:color w:val="636466"/>
          <w:spacing w:val="-7"/>
          <w:sz w:val="20"/>
          <w:vertAlign w:val="baseline"/>
        </w:rPr>
        <w:t> </w:t>
      </w:r>
      <w:r>
        <w:rPr>
          <w:color w:val="636466"/>
          <w:sz w:val="20"/>
          <w:vertAlign w:val="baseline"/>
        </w:rPr>
        <w:t>aux</w:t>
      </w:r>
      <w:r>
        <w:rPr>
          <w:color w:val="636466"/>
          <w:spacing w:val="-7"/>
          <w:sz w:val="20"/>
          <w:vertAlign w:val="baseline"/>
        </w:rPr>
        <w:t> </w:t>
      </w:r>
      <w:r>
        <w:rPr>
          <w:color w:val="636466"/>
          <w:sz w:val="20"/>
          <w:vertAlign w:val="baseline"/>
        </w:rPr>
        <w:t>matières</w:t>
      </w:r>
      <w:r>
        <w:rPr>
          <w:color w:val="636466"/>
          <w:spacing w:val="-8"/>
          <w:sz w:val="20"/>
          <w:vertAlign w:val="baseline"/>
        </w:rPr>
        <w:t> </w:t>
      </w:r>
      <w:r>
        <w:rPr>
          <w:color w:val="636466"/>
          <w:sz w:val="20"/>
          <w:vertAlign w:val="baseline"/>
        </w:rPr>
        <w:t>premières</w:t>
      </w:r>
      <w:r>
        <w:rPr>
          <w:color w:val="636466"/>
          <w:spacing w:val="-6"/>
          <w:sz w:val="20"/>
          <w:vertAlign w:val="baseline"/>
        </w:rPr>
        <w:t> </w:t>
      </w:r>
      <w:r>
        <w:rPr>
          <w:color w:val="636466"/>
          <w:sz w:val="20"/>
          <w:vertAlign w:val="baseline"/>
        </w:rPr>
        <w:t>ainsi que l'aide publique au développement.</w:t>
      </w:r>
    </w:p>
    <w:p>
      <w:pPr>
        <w:spacing w:after="0"/>
        <w:jc w:val="both"/>
        <w:rPr>
          <w:sz w:val="20"/>
        </w:rPr>
        <w:sectPr>
          <w:pgSz w:w="8790" w:h="13610"/>
          <w:pgMar w:header="0" w:footer="802" w:top="1420" w:bottom="1000" w:left="880" w:right="880"/>
        </w:sectPr>
      </w:pPr>
    </w:p>
    <w:p>
      <w:pPr>
        <w:pStyle w:val="BodyText"/>
        <w:spacing w:before="66"/>
        <w:ind w:right="104"/>
      </w:pPr>
      <w:r>
        <w:rPr>
          <w:color w:val="231F20"/>
        </w:rPr>
        <w:t>courante (Société des Eaux de Côte d’Ivoire), de la production et la </w:t>
      </w:r>
      <w:r>
        <w:rPr>
          <w:color w:val="231F20"/>
          <w:spacing w:val="-4"/>
        </w:rPr>
        <w:t>distribution</w:t>
      </w:r>
      <w:r>
        <w:rPr>
          <w:color w:val="231F20"/>
          <w:spacing w:val="-9"/>
        </w:rPr>
        <w:t> </w:t>
      </w:r>
      <w:r>
        <w:rPr>
          <w:color w:val="231F20"/>
          <w:spacing w:val="-4"/>
        </w:rPr>
        <w:t>de</w:t>
      </w:r>
      <w:r>
        <w:rPr>
          <w:color w:val="231F20"/>
          <w:spacing w:val="-8"/>
        </w:rPr>
        <w:t> </w:t>
      </w:r>
      <w:r>
        <w:rPr>
          <w:color w:val="231F20"/>
          <w:spacing w:val="-4"/>
        </w:rPr>
        <w:t>l’électricité</w:t>
      </w:r>
      <w:r>
        <w:rPr>
          <w:color w:val="231F20"/>
          <w:spacing w:val="-10"/>
        </w:rPr>
        <w:t> </w:t>
      </w:r>
      <w:r>
        <w:rPr>
          <w:color w:val="231F20"/>
          <w:spacing w:val="-4"/>
        </w:rPr>
        <w:t>à</w:t>
      </w:r>
      <w:r>
        <w:rPr>
          <w:color w:val="231F20"/>
          <w:spacing w:val="-10"/>
        </w:rPr>
        <w:t> </w:t>
      </w:r>
      <w:r>
        <w:rPr>
          <w:color w:val="231F20"/>
          <w:spacing w:val="-4"/>
        </w:rPr>
        <w:t>travers</w:t>
      </w:r>
      <w:r>
        <w:rPr>
          <w:color w:val="231F20"/>
          <w:spacing w:val="-8"/>
        </w:rPr>
        <w:t> </w:t>
      </w:r>
      <w:r>
        <w:rPr>
          <w:color w:val="231F20"/>
          <w:spacing w:val="-4"/>
        </w:rPr>
        <w:t>la</w:t>
      </w:r>
      <w:r>
        <w:rPr>
          <w:color w:val="231F20"/>
          <w:spacing w:val="-8"/>
        </w:rPr>
        <w:t> </w:t>
      </w:r>
      <w:r>
        <w:rPr>
          <w:color w:val="231F20"/>
          <w:spacing w:val="-4"/>
        </w:rPr>
        <w:t>Compagnie</w:t>
      </w:r>
      <w:r>
        <w:rPr>
          <w:color w:val="231F20"/>
          <w:spacing w:val="-6"/>
        </w:rPr>
        <w:t> </w:t>
      </w:r>
      <w:r>
        <w:rPr>
          <w:color w:val="231F20"/>
          <w:spacing w:val="-4"/>
        </w:rPr>
        <w:t>Ivoirienne</w:t>
      </w:r>
      <w:r>
        <w:rPr>
          <w:color w:val="231F20"/>
          <w:spacing w:val="-11"/>
        </w:rPr>
        <w:t> </w:t>
      </w:r>
      <w:r>
        <w:rPr>
          <w:color w:val="231F20"/>
          <w:spacing w:val="-4"/>
        </w:rPr>
        <w:t>d’Électricité </w:t>
      </w:r>
      <w:r>
        <w:rPr>
          <w:color w:val="231F20"/>
        </w:rPr>
        <w:t>et la Compagnie Ivoirienne de production de l’Électricité. Il est aussi </w:t>
      </w:r>
      <w:r>
        <w:rPr>
          <w:color w:val="231F20"/>
          <w:spacing w:val="-4"/>
        </w:rPr>
        <w:t>présent</w:t>
      </w:r>
      <w:r>
        <w:rPr>
          <w:color w:val="231F20"/>
          <w:spacing w:val="-6"/>
        </w:rPr>
        <w:t> </w:t>
      </w:r>
      <w:r>
        <w:rPr>
          <w:color w:val="231F20"/>
          <w:spacing w:val="-4"/>
        </w:rPr>
        <w:t>dans</w:t>
      </w:r>
      <w:r>
        <w:rPr>
          <w:color w:val="231F20"/>
          <w:spacing w:val="-7"/>
        </w:rPr>
        <w:t> </w:t>
      </w:r>
      <w:r>
        <w:rPr>
          <w:color w:val="231F20"/>
          <w:spacing w:val="-4"/>
        </w:rPr>
        <w:t>l’exploitation</w:t>
      </w:r>
      <w:r>
        <w:rPr>
          <w:color w:val="231F20"/>
          <w:spacing w:val="-7"/>
        </w:rPr>
        <w:t> </w:t>
      </w:r>
      <w:r>
        <w:rPr>
          <w:color w:val="231F20"/>
          <w:spacing w:val="-4"/>
        </w:rPr>
        <w:t>du</w:t>
      </w:r>
      <w:r>
        <w:rPr>
          <w:color w:val="231F20"/>
          <w:spacing w:val="-7"/>
        </w:rPr>
        <w:t> </w:t>
      </w:r>
      <w:r>
        <w:rPr>
          <w:color w:val="231F20"/>
          <w:spacing w:val="-4"/>
        </w:rPr>
        <w:t>pétrole</w:t>
      </w:r>
      <w:r>
        <w:rPr>
          <w:color w:val="231F20"/>
          <w:spacing w:val="-7"/>
        </w:rPr>
        <w:t> </w:t>
      </w:r>
      <w:r>
        <w:rPr>
          <w:color w:val="231F20"/>
          <w:spacing w:val="-4"/>
        </w:rPr>
        <w:t>ivoirien.</w:t>
      </w:r>
      <w:r>
        <w:rPr>
          <w:color w:val="231F20"/>
          <w:spacing w:val="-7"/>
        </w:rPr>
        <w:t> </w:t>
      </w:r>
      <w:r>
        <w:rPr>
          <w:color w:val="231F20"/>
          <w:spacing w:val="-4"/>
        </w:rPr>
        <w:t>Vinci,</w:t>
      </w:r>
      <w:r>
        <w:rPr>
          <w:color w:val="231F20"/>
          <w:spacing w:val="-7"/>
        </w:rPr>
        <w:t> </w:t>
      </w:r>
      <w:r>
        <w:rPr>
          <w:color w:val="231F20"/>
          <w:spacing w:val="-4"/>
        </w:rPr>
        <w:t>des</w:t>
      </w:r>
      <w:r>
        <w:rPr>
          <w:color w:val="231F20"/>
          <w:spacing w:val="-7"/>
        </w:rPr>
        <w:t> </w:t>
      </w:r>
      <w:r>
        <w:rPr>
          <w:color w:val="231F20"/>
          <w:spacing w:val="-4"/>
        </w:rPr>
        <w:t>Travaux</w:t>
      </w:r>
      <w:r>
        <w:rPr>
          <w:color w:val="231F20"/>
          <w:spacing w:val="-7"/>
        </w:rPr>
        <w:t> </w:t>
      </w:r>
      <w:r>
        <w:rPr>
          <w:color w:val="231F20"/>
          <w:spacing w:val="-4"/>
        </w:rPr>
        <w:t>Publics </w:t>
      </w:r>
      <w:r>
        <w:rPr>
          <w:color w:val="231F20"/>
        </w:rPr>
        <w:t>est aussi présent en Côte d’Ivoire, tout comme Colas pour les travaux routiers.</w:t>
      </w:r>
      <w:r>
        <w:rPr>
          <w:color w:val="231F20"/>
          <w:spacing w:val="-12"/>
        </w:rPr>
        <w:t> </w:t>
      </w:r>
      <w:r>
        <w:rPr>
          <w:color w:val="231F20"/>
        </w:rPr>
        <w:t>Total</w:t>
      </w:r>
      <w:r>
        <w:rPr>
          <w:color w:val="231F20"/>
          <w:spacing w:val="-12"/>
        </w:rPr>
        <w:t> </w:t>
      </w:r>
      <w:r>
        <w:rPr>
          <w:color w:val="231F20"/>
        </w:rPr>
        <w:t>détenteur</w:t>
      </w:r>
      <w:r>
        <w:rPr>
          <w:color w:val="231F20"/>
          <w:spacing w:val="-13"/>
        </w:rPr>
        <w:t> </w:t>
      </w:r>
      <w:r>
        <w:rPr>
          <w:color w:val="231F20"/>
        </w:rPr>
        <w:t>du</w:t>
      </w:r>
      <w:r>
        <w:rPr>
          <w:color w:val="231F20"/>
          <w:spacing w:val="-11"/>
        </w:rPr>
        <w:t> </w:t>
      </w:r>
      <w:r>
        <w:rPr>
          <w:color w:val="231F20"/>
        </w:rPr>
        <w:t>quart</w:t>
      </w:r>
      <w:r>
        <w:rPr>
          <w:color w:val="231F20"/>
          <w:spacing w:val="-12"/>
        </w:rPr>
        <w:t> </w:t>
      </w:r>
      <w:r>
        <w:rPr>
          <w:color w:val="231F20"/>
        </w:rPr>
        <w:t>des</w:t>
      </w:r>
      <w:r>
        <w:rPr>
          <w:color w:val="231F20"/>
          <w:spacing w:val="-12"/>
        </w:rPr>
        <w:t> </w:t>
      </w:r>
      <w:r>
        <w:rPr>
          <w:color w:val="231F20"/>
        </w:rPr>
        <w:t>actions</w:t>
      </w:r>
      <w:r>
        <w:rPr>
          <w:color w:val="231F20"/>
          <w:spacing w:val="-12"/>
        </w:rPr>
        <w:t> </w:t>
      </w:r>
      <w:r>
        <w:rPr>
          <w:color w:val="231F20"/>
        </w:rPr>
        <w:t>de</w:t>
      </w:r>
      <w:r>
        <w:rPr>
          <w:color w:val="231F20"/>
          <w:spacing w:val="-13"/>
        </w:rPr>
        <w:t> </w:t>
      </w:r>
      <w:r>
        <w:rPr>
          <w:color w:val="231F20"/>
        </w:rPr>
        <w:t>la</w:t>
      </w:r>
      <w:r>
        <w:rPr>
          <w:color w:val="231F20"/>
          <w:spacing w:val="-15"/>
        </w:rPr>
        <w:t> </w:t>
      </w:r>
      <w:r>
        <w:rPr>
          <w:color w:val="231F20"/>
        </w:rPr>
        <w:t>Société</w:t>
      </w:r>
      <w:r>
        <w:rPr>
          <w:color w:val="231F20"/>
          <w:spacing w:val="-11"/>
        </w:rPr>
        <w:t> </w:t>
      </w:r>
      <w:r>
        <w:rPr>
          <w:color w:val="231F20"/>
        </w:rPr>
        <w:t>Ivoirienne</w:t>
      </w:r>
      <w:r>
        <w:rPr>
          <w:color w:val="231F20"/>
          <w:spacing w:val="-12"/>
        </w:rPr>
        <w:t> </w:t>
      </w:r>
      <w:r>
        <w:rPr>
          <w:color w:val="231F20"/>
        </w:rPr>
        <w:t>de Raffinage</w:t>
      </w:r>
      <w:r>
        <w:rPr>
          <w:color w:val="231F20"/>
          <w:spacing w:val="-5"/>
        </w:rPr>
        <w:t> </w:t>
      </w:r>
      <w:r>
        <w:rPr>
          <w:color w:val="231F20"/>
        </w:rPr>
        <w:t>(SIR)</w:t>
      </w:r>
      <w:r>
        <w:rPr>
          <w:color w:val="231F20"/>
          <w:spacing w:val="-5"/>
        </w:rPr>
        <w:t> </w:t>
      </w:r>
      <w:r>
        <w:rPr>
          <w:color w:val="231F20"/>
        </w:rPr>
        <w:t>et</w:t>
      </w:r>
      <w:r>
        <w:rPr>
          <w:color w:val="231F20"/>
          <w:spacing w:val="-5"/>
        </w:rPr>
        <w:t> </w:t>
      </w:r>
      <w:r>
        <w:rPr>
          <w:color w:val="231F20"/>
        </w:rPr>
        <w:t>propriétaire</w:t>
      </w:r>
      <w:r>
        <w:rPr>
          <w:color w:val="231F20"/>
          <w:spacing w:val="-5"/>
        </w:rPr>
        <w:t> </w:t>
      </w:r>
      <w:r>
        <w:rPr>
          <w:color w:val="231F20"/>
        </w:rPr>
        <w:t>d’un</w:t>
      </w:r>
      <w:r>
        <w:rPr>
          <w:color w:val="231F20"/>
          <w:spacing w:val="-7"/>
        </w:rPr>
        <w:t> </w:t>
      </w:r>
      <w:r>
        <w:rPr>
          <w:color w:val="231F20"/>
        </w:rPr>
        <w:t>parc</w:t>
      </w:r>
      <w:r>
        <w:rPr>
          <w:color w:val="231F20"/>
          <w:spacing w:val="-5"/>
        </w:rPr>
        <w:t> </w:t>
      </w:r>
      <w:r>
        <w:rPr>
          <w:color w:val="231F20"/>
        </w:rPr>
        <w:t>impressionnant</w:t>
      </w:r>
      <w:r>
        <w:rPr>
          <w:color w:val="231F20"/>
          <w:spacing w:val="-6"/>
        </w:rPr>
        <w:t> </w:t>
      </w:r>
      <w:r>
        <w:rPr>
          <w:color w:val="231F20"/>
        </w:rPr>
        <w:t>de</w:t>
      </w:r>
      <w:r>
        <w:rPr>
          <w:color w:val="231F20"/>
          <w:spacing w:val="-5"/>
        </w:rPr>
        <w:t> </w:t>
      </w:r>
      <w:r>
        <w:rPr>
          <w:color w:val="231F20"/>
        </w:rPr>
        <w:t>stations</w:t>
      </w:r>
      <w:r>
        <w:rPr>
          <w:color w:val="231F20"/>
          <w:spacing w:val="-5"/>
        </w:rPr>
        <w:t> </w:t>
      </w:r>
      <w:r>
        <w:rPr>
          <w:color w:val="231F20"/>
        </w:rPr>
        <w:t>de distribution des hydrocarbures. France Telecom est le principal actionnaire de Côte d’Ivoire Telecom et de la Société Ivoirienne des </w:t>
      </w:r>
      <w:r>
        <w:rPr>
          <w:color w:val="231F20"/>
          <w:spacing w:val="-2"/>
        </w:rPr>
        <w:t>Mobiles</w:t>
      </w:r>
      <w:r>
        <w:rPr>
          <w:color w:val="231F20"/>
          <w:spacing w:val="-8"/>
        </w:rPr>
        <w:t> </w:t>
      </w:r>
      <w:r>
        <w:rPr>
          <w:color w:val="231F20"/>
          <w:spacing w:val="-2"/>
        </w:rPr>
        <w:t>depuis</w:t>
      </w:r>
      <w:r>
        <w:rPr>
          <w:color w:val="231F20"/>
          <w:spacing w:val="-8"/>
        </w:rPr>
        <w:t> </w:t>
      </w:r>
      <w:r>
        <w:rPr>
          <w:color w:val="231F20"/>
          <w:spacing w:val="-2"/>
        </w:rPr>
        <w:t>leur</w:t>
      </w:r>
      <w:r>
        <w:rPr>
          <w:color w:val="231F20"/>
          <w:spacing w:val="-6"/>
        </w:rPr>
        <w:t> </w:t>
      </w:r>
      <w:r>
        <w:rPr>
          <w:color w:val="231F20"/>
          <w:spacing w:val="-2"/>
        </w:rPr>
        <w:t>mise</w:t>
      </w:r>
      <w:r>
        <w:rPr>
          <w:color w:val="231F20"/>
          <w:spacing w:val="-8"/>
        </w:rPr>
        <w:t> </w:t>
      </w:r>
      <w:r>
        <w:rPr>
          <w:color w:val="231F20"/>
          <w:spacing w:val="-2"/>
        </w:rPr>
        <w:t>en</w:t>
      </w:r>
      <w:r>
        <w:rPr>
          <w:color w:val="231F20"/>
          <w:spacing w:val="-6"/>
        </w:rPr>
        <w:t> </w:t>
      </w:r>
      <w:r>
        <w:rPr>
          <w:color w:val="231F20"/>
          <w:spacing w:val="-2"/>
        </w:rPr>
        <w:t>concession,</w:t>
      </w:r>
      <w:r>
        <w:rPr>
          <w:color w:val="231F20"/>
          <w:spacing w:val="-8"/>
        </w:rPr>
        <w:t> </w:t>
      </w:r>
      <w:r>
        <w:rPr>
          <w:color w:val="231F20"/>
          <w:spacing w:val="-2"/>
        </w:rPr>
        <w:t>dans</w:t>
      </w:r>
      <w:r>
        <w:rPr>
          <w:color w:val="231F20"/>
          <w:spacing w:val="-8"/>
        </w:rPr>
        <w:t> </w:t>
      </w:r>
      <w:r>
        <w:rPr>
          <w:color w:val="231F20"/>
          <w:spacing w:val="-2"/>
        </w:rPr>
        <w:t>le</w:t>
      </w:r>
      <w:r>
        <w:rPr>
          <w:color w:val="231F20"/>
          <w:spacing w:val="-9"/>
        </w:rPr>
        <w:t> </w:t>
      </w:r>
      <w:r>
        <w:rPr>
          <w:color w:val="231F20"/>
          <w:spacing w:val="-2"/>
        </w:rPr>
        <w:t>cadre</w:t>
      </w:r>
      <w:r>
        <w:rPr>
          <w:color w:val="231F20"/>
          <w:spacing w:val="-6"/>
        </w:rPr>
        <w:t> </w:t>
      </w:r>
      <w:r>
        <w:rPr>
          <w:color w:val="231F20"/>
          <w:spacing w:val="-2"/>
        </w:rPr>
        <w:t>de</w:t>
      </w:r>
      <w:r>
        <w:rPr>
          <w:color w:val="231F20"/>
          <w:spacing w:val="-6"/>
        </w:rPr>
        <w:t> </w:t>
      </w:r>
      <w:r>
        <w:rPr>
          <w:color w:val="231F20"/>
          <w:spacing w:val="-2"/>
        </w:rPr>
        <w:t>la</w:t>
      </w:r>
      <w:r>
        <w:rPr>
          <w:color w:val="231F20"/>
          <w:spacing w:val="-9"/>
        </w:rPr>
        <w:t> </w:t>
      </w:r>
      <w:r>
        <w:rPr>
          <w:color w:val="231F20"/>
          <w:spacing w:val="-2"/>
        </w:rPr>
        <w:t>privatisation </w:t>
      </w:r>
      <w:r>
        <w:rPr>
          <w:color w:val="231F20"/>
        </w:rPr>
        <w:t>des entreprises publiques.</w:t>
      </w:r>
    </w:p>
    <w:p>
      <w:pPr>
        <w:pStyle w:val="BodyText"/>
        <w:spacing w:before="121"/>
        <w:ind w:right="112" w:firstLine="283"/>
      </w:pPr>
      <w:r>
        <w:rPr>
          <w:color w:val="231F20"/>
          <w:spacing w:val="-2"/>
        </w:rPr>
        <w:t>Dans</w:t>
      </w:r>
      <w:r>
        <w:rPr>
          <w:color w:val="231F20"/>
          <w:spacing w:val="-11"/>
        </w:rPr>
        <w:t> </w:t>
      </w:r>
      <w:r>
        <w:rPr>
          <w:color w:val="231F20"/>
          <w:spacing w:val="-2"/>
        </w:rPr>
        <w:t>le</w:t>
      </w:r>
      <w:r>
        <w:rPr>
          <w:color w:val="231F20"/>
          <w:spacing w:val="-13"/>
        </w:rPr>
        <w:t> </w:t>
      </w:r>
      <w:r>
        <w:rPr>
          <w:color w:val="231F20"/>
          <w:spacing w:val="-2"/>
        </w:rPr>
        <w:t>secteur</w:t>
      </w:r>
      <w:r>
        <w:rPr>
          <w:color w:val="231F20"/>
          <w:spacing w:val="-13"/>
        </w:rPr>
        <w:t> </w:t>
      </w:r>
      <w:r>
        <w:rPr>
          <w:color w:val="231F20"/>
          <w:spacing w:val="-2"/>
        </w:rPr>
        <w:t>des</w:t>
      </w:r>
      <w:r>
        <w:rPr>
          <w:color w:val="231F20"/>
          <w:spacing w:val="-13"/>
        </w:rPr>
        <w:t> </w:t>
      </w:r>
      <w:r>
        <w:rPr>
          <w:color w:val="231F20"/>
          <w:spacing w:val="-2"/>
        </w:rPr>
        <w:t>banques</w:t>
      </w:r>
      <w:r>
        <w:rPr>
          <w:color w:val="231F20"/>
          <w:spacing w:val="-11"/>
        </w:rPr>
        <w:t> </w:t>
      </w:r>
      <w:r>
        <w:rPr>
          <w:color w:val="231F20"/>
          <w:spacing w:val="-2"/>
        </w:rPr>
        <w:t>et</w:t>
      </w:r>
      <w:r>
        <w:rPr>
          <w:color w:val="231F20"/>
          <w:spacing w:val="-13"/>
        </w:rPr>
        <w:t> </w:t>
      </w:r>
      <w:r>
        <w:rPr>
          <w:color w:val="231F20"/>
          <w:spacing w:val="-2"/>
        </w:rPr>
        <w:t>des</w:t>
      </w:r>
      <w:r>
        <w:rPr>
          <w:color w:val="231F20"/>
          <w:spacing w:val="-10"/>
        </w:rPr>
        <w:t> </w:t>
      </w:r>
      <w:r>
        <w:rPr>
          <w:color w:val="231F20"/>
          <w:spacing w:val="-2"/>
        </w:rPr>
        <w:t>assurances,</w:t>
      </w:r>
      <w:r>
        <w:rPr>
          <w:color w:val="231F20"/>
          <w:spacing w:val="-13"/>
        </w:rPr>
        <w:t> </w:t>
      </w:r>
      <w:r>
        <w:rPr>
          <w:color w:val="231F20"/>
          <w:spacing w:val="-2"/>
        </w:rPr>
        <w:t>sont</w:t>
      </w:r>
      <w:r>
        <w:rPr>
          <w:color w:val="231F20"/>
          <w:spacing w:val="-12"/>
        </w:rPr>
        <w:t> </w:t>
      </w:r>
      <w:r>
        <w:rPr>
          <w:color w:val="231F20"/>
          <w:spacing w:val="-2"/>
        </w:rPr>
        <w:t>présents</w:t>
      </w:r>
      <w:r>
        <w:rPr>
          <w:color w:val="231F20"/>
          <w:spacing w:val="-13"/>
        </w:rPr>
        <w:t> </w:t>
      </w:r>
      <w:r>
        <w:rPr>
          <w:color w:val="231F20"/>
          <w:spacing w:val="-2"/>
        </w:rPr>
        <w:t>Le</w:t>
      </w:r>
      <w:r>
        <w:rPr>
          <w:color w:val="231F20"/>
          <w:spacing w:val="-13"/>
        </w:rPr>
        <w:t> </w:t>
      </w:r>
      <w:r>
        <w:rPr>
          <w:color w:val="231F20"/>
          <w:spacing w:val="-2"/>
        </w:rPr>
        <w:t>Crédit </w:t>
      </w:r>
      <w:r>
        <w:rPr>
          <w:color w:val="231F20"/>
        </w:rPr>
        <w:t>Lyonnais, BNP-Paribas, la Société Générale.</w:t>
      </w:r>
    </w:p>
    <w:p>
      <w:pPr>
        <w:pStyle w:val="BodyText"/>
        <w:spacing w:before="120"/>
        <w:ind w:right="106" w:firstLine="283"/>
      </w:pPr>
      <w:r>
        <w:rPr>
          <w:color w:val="231F20"/>
        </w:rPr>
        <w:t>AXA du secteur des assurances, présente depuis la phase coloniale, Technip,</w:t>
      </w:r>
      <w:r>
        <w:rPr>
          <w:color w:val="231F20"/>
          <w:spacing w:val="-15"/>
        </w:rPr>
        <w:t> </w:t>
      </w:r>
      <w:r>
        <w:rPr>
          <w:color w:val="231F20"/>
        </w:rPr>
        <w:t>Bivac</w:t>
      </w:r>
      <w:r>
        <w:rPr>
          <w:color w:val="231F20"/>
          <w:spacing w:val="-15"/>
        </w:rPr>
        <w:t> </w:t>
      </w:r>
      <w:r>
        <w:rPr>
          <w:color w:val="231F20"/>
        </w:rPr>
        <w:t>et</w:t>
      </w:r>
      <w:r>
        <w:rPr>
          <w:color w:val="231F20"/>
          <w:spacing w:val="-15"/>
        </w:rPr>
        <w:t> </w:t>
      </w:r>
      <w:r>
        <w:rPr>
          <w:color w:val="231F20"/>
        </w:rPr>
        <w:t>bien</w:t>
      </w:r>
      <w:r>
        <w:rPr>
          <w:color w:val="231F20"/>
          <w:spacing w:val="-15"/>
        </w:rPr>
        <w:t> </w:t>
      </w:r>
      <w:r>
        <w:rPr>
          <w:color w:val="231F20"/>
        </w:rPr>
        <w:t>d’autres</w:t>
      </w:r>
      <w:r>
        <w:rPr>
          <w:color w:val="231F20"/>
          <w:spacing w:val="-15"/>
        </w:rPr>
        <w:t> </w:t>
      </w:r>
      <w:r>
        <w:rPr>
          <w:color w:val="231F20"/>
        </w:rPr>
        <w:t>entreprises</w:t>
      </w:r>
      <w:r>
        <w:rPr>
          <w:color w:val="231F20"/>
          <w:spacing w:val="-15"/>
        </w:rPr>
        <w:t> </w:t>
      </w:r>
      <w:r>
        <w:rPr>
          <w:color w:val="231F20"/>
        </w:rPr>
        <w:t>françaises</w:t>
      </w:r>
      <w:r>
        <w:rPr>
          <w:color w:val="231F20"/>
          <w:spacing w:val="-15"/>
        </w:rPr>
        <w:t> </w:t>
      </w:r>
      <w:r>
        <w:rPr>
          <w:color w:val="231F20"/>
        </w:rPr>
        <w:t>ont</w:t>
      </w:r>
      <w:r>
        <w:rPr>
          <w:color w:val="231F20"/>
          <w:spacing w:val="-15"/>
        </w:rPr>
        <w:t> </w:t>
      </w:r>
      <w:r>
        <w:rPr>
          <w:color w:val="231F20"/>
        </w:rPr>
        <w:t>pignon</w:t>
      </w:r>
      <w:r>
        <w:rPr>
          <w:color w:val="231F20"/>
          <w:spacing w:val="-15"/>
        </w:rPr>
        <w:t> </w:t>
      </w:r>
      <w:r>
        <w:rPr>
          <w:color w:val="231F20"/>
        </w:rPr>
        <w:t>sur</w:t>
      </w:r>
      <w:r>
        <w:rPr>
          <w:color w:val="231F20"/>
          <w:spacing w:val="-15"/>
        </w:rPr>
        <w:t> </w:t>
      </w:r>
      <w:r>
        <w:rPr>
          <w:color w:val="231F20"/>
        </w:rPr>
        <w:t>rue en Côte d’ivoire.</w:t>
      </w:r>
    </w:p>
    <w:p>
      <w:pPr>
        <w:pStyle w:val="BodyText"/>
        <w:spacing w:before="120"/>
        <w:ind w:right="104" w:firstLine="283"/>
      </w:pPr>
      <w:r>
        <w:rPr>
          <w:color w:val="231F20"/>
          <w:spacing w:val="-4"/>
        </w:rPr>
        <w:t>Gbagbo</w:t>
      </w:r>
      <w:r>
        <w:rPr>
          <w:color w:val="231F20"/>
          <w:spacing w:val="-7"/>
        </w:rPr>
        <w:t> </w:t>
      </w:r>
      <w:r>
        <w:rPr>
          <w:color w:val="231F20"/>
          <w:spacing w:val="-4"/>
        </w:rPr>
        <w:t>et</w:t>
      </w:r>
      <w:r>
        <w:rPr>
          <w:color w:val="231F20"/>
          <w:spacing w:val="-7"/>
        </w:rPr>
        <w:t> </w:t>
      </w:r>
      <w:r>
        <w:rPr>
          <w:color w:val="231F20"/>
          <w:spacing w:val="-4"/>
        </w:rPr>
        <w:t>les</w:t>
      </w:r>
      <w:r>
        <w:rPr>
          <w:color w:val="231F20"/>
          <w:spacing w:val="-9"/>
        </w:rPr>
        <w:t> </w:t>
      </w:r>
      <w:r>
        <w:rPr>
          <w:color w:val="231F20"/>
          <w:spacing w:val="-4"/>
        </w:rPr>
        <w:t>siens</w:t>
      </w:r>
      <w:r>
        <w:rPr>
          <w:color w:val="231F20"/>
          <w:spacing w:val="-6"/>
        </w:rPr>
        <w:t> </w:t>
      </w:r>
      <w:r>
        <w:rPr>
          <w:color w:val="231F20"/>
          <w:spacing w:val="-4"/>
        </w:rPr>
        <w:t>n’ont</w:t>
      </w:r>
      <w:r>
        <w:rPr>
          <w:color w:val="231F20"/>
          <w:spacing w:val="-6"/>
        </w:rPr>
        <w:t> </w:t>
      </w:r>
      <w:r>
        <w:rPr>
          <w:color w:val="231F20"/>
          <w:spacing w:val="-4"/>
        </w:rPr>
        <w:t>pas</w:t>
      </w:r>
      <w:r>
        <w:rPr>
          <w:color w:val="231F20"/>
          <w:spacing w:val="-7"/>
        </w:rPr>
        <w:t> </w:t>
      </w:r>
      <w:r>
        <w:rPr>
          <w:color w:val="231F20"/>
          <w:spacing w:val="-4"/>
        </w:rPr>
        <w:t>le</w:t>
      </w:r>
      <w:r>
        <w:rPr>
          <w:color w:val="231F20"/>
          <w:spacing w:val="-7"/>
        </w:rPr>
        <w:t> </w:t>
      </w:r>
      <w:r>
        <w:rPr>
          <w:color w:val="231F20"/>
          <w:spacing w:val="-4"/>
        </w:rPr>
        <w:t>temps</w:t>
      </w:r>
      <w:r>
        <w:rPr>
          <w:color w:val="231F20"/>
          <w:spacing w:val="-7"/>
        </w:rPr>
        <w:t> </w:t>
      </w:r>
      <w:r>
        <w:rPr>
          <w:color w:val="231F20"/>
          <w:spacing w:val="-4"/>
        </w:rPr>
        <w:t>de</w:t>
      </w:r>
      <w:r>
        <w:rPr>
          <w:color w:val="231F20"/>
          <w:spacing w:val="-7"/>
        </w:rPr>
        <w:t> </w:t>
      </w:r>
      <w:r>
        <w:rPr>
          <w:color w:val="231F20"/>
          <w:spacing w:val="-4"/>
        </w:rPr>
        <w:t>savourer</w:t>
      </w:r>
      <w:r>
        <w:rPr>
          <w:color w:val="231F20"/>
          <w:spacing w:val="-7"/>
        </w:rPr>
        <w:t> </w:t>
      </w:r>
      <w:r>
        <w:rPr>
          <w:color w:val="231F20"/>
          <w:spacing w:val="-4"/>
        </w:rPr>
        <w:t>leur</w:t>
      </w:r>
      <w:r>
        <w:rPr>
          <w:color w:val="231F20"/>
          <w:spacing w:val="-7"/>
        </w:rPr>
        <w:t> </w:t>
      </w:r>
      <w:r>
        <w:rPr>
          <w:color w:val="231F20"/>
          <w:spacing w:val="-4"/>
        </w:rPr>
        <w:t>victoire.</w:t>
      </w:r>
      <w:r>
        <w:rPr>
          <w:color w:val="231F20"/>
          <w:spacing w:val="-6"/>
        </w:rPr>
        <w:t> </w:t>
      </w:r>
      <w:r>
        <w:rPr>
          <w:color w:val="231F20"/>
          <w:spacing w:val="-4"/>
        </w:rPr>
        <w:t>Moins </w:t>
      </w:r>
      <w:r>
        <w:rPr>
          <w:color w:val="231F20"/>
        </w:rPr>
        <w:t>de trois mois après son arrivée au pouvoir, le régime fait face à une tentative</w:t>
      </w:r>
      <w:r>
        <w:rPr>
          <w:color w:val="231F20"/>
          <w:spacing w:val="-5"/>
        </w:rPr>
        <w:t> </w:t>
      </w:r>
      <w:r>
        <w:rPr>
          <w:color w:val="231F20"/>
        </w:rPr>
        <w:t>de</w:t>
      </w:r>
      <w:r>
        <w:rPr>
          <w:color w:val="231F20"/>
          <w:spacing w:val="-7"/>
        </w:rPr>
        <w:t> </w:t>
      </w:r>
      <w:r>
        <w:rPr>
          <w:color w:val="231F20"/>
        </w:rPr>
        <w:t>coup</w:t>
      </w:r>
      <w:r>
        <w:rPr>
          <w:color w:val="231F20"/>
          <w:spacing w:val="-7"/>
        </w:rPr>
        <w:t> </w:t>
      </w:r>
      <w:r>
        <w:rPr>
          <w:color w:val="231F20"/>
        </w:rPr>
        <w:t>de</w:t>
      </w:r>
      <w:r>
        <w:rPr>
          <w:color w:val="231F20"/>
          <w:spacing w:val="-5"/>
        </w:rPr>
        <w:t> </w:t>
      </w:r>
      <w:r>
        <w:rPr>
          <w:color w:val="231F20"/>
        </w:rPr>
        <w:t>force</w:t>
      </w:r>
      <w:r>
        <w:rPr>
          <w:color w:val="231F20"/>
          <w:spacing w:val="-7"/>
        </w:rPr>
        <w:t> </w:t>
      </w:r>
      <w:r>
        <w:rPr>
          <w:color w:val="231F20"/>
        </w:rPr>
        <w:t>dans</w:t>
      </w:r>
      <w:r>
        <w:rPr>
          <w:color w:val="231F20"/>
          <w:spacing w:val="-7"/>
        </w:rPr>
        <w:t> </w:t>
      </w:r>
      <w:r>
        <w:rPr>
          <w:color w:val="231F20"/>
        </w:rPr>
        <w:t>la</w:t>
      </w:r>
      <w:r>
        <w:rPr>
          <w:color w:val="231F20"/>
          <w:spacing w:val="-5"/>
        </w:rPr>
        <w:t> </w:t>
      </w:r>
      <w:r>
        <w:rPr>
          <w:color w:val="231F20"/>
        </w:rPr>
        <w:t>nuit</w:t>
      </w:r>
      <w:r>
        <w:rPr>
          <w:color w:val="231F20"/>
          <w:spacing w:val="-6"/>
        </w:rPr>
        <w:t> </w:t>
      </w:r>
      <w:r>
        <w:rPr>
          <w:color w:val="231F20"/>
        </w:rPr>
        <w:t>de</w:t>
      </w:r>
      <w:r>
        <w:rPr>
          <w:color w:val="231F20"/>
          <w:spacing w:val="-5"/>
        </w:rPr>
        <w:t> </w:t>
      </w:r>
      <w:r>
        <w:rPr>
          <w:color w:val="231F20"/>
        </w:rPr>
        <w:t>dimanche</w:t>
      </w:r>
      <w:r>
        <w:rPr>
          <w:color w:val="231F20"/>
          <w:spacing w:val="-7"/>
        </w:rPr>
        <w:t> </w:t>
      </w:r>
      <w:r>
        <w:rPr>
          <w:color w:val="231F20"/>
        </w:rPr>
        <w:t>7</w:t>
      </w:r>
      <w:r>
        <w:rPr>
          <w:color w:val="231F20"/>
          <w:spacing w:val="-5"/>
        </w:rPr>
        <w:t> </w:t>
      </w:r>
      <w:r>
        <w:rPr>
          <w:color w:val="231F20"/>
        </w:rPr>
        <w:t>au</w:t>
      </w:r>
      <w:r>
        <w:rPr>
          <w:color w:val="231F20"/>
          <w:spacing w:val="-7"/>
        </w:rPr>
        <w:t> </w:t>
      </w:r>
      <w:r>
        <w:rPr>
          <w:color w:val="231F20"/>
        </w:rPr>
        <w:t>lundi</w:t>
      </w:r>
      <w:r>
        <w:rPr>
          <w:color w:val="231F20"/>
          <w:spacing w:val="-6"/>
        </w:rPr>
        <w:t> </w:t>
      </w:r>
      <w:r>
        <w:rPr>
          <w:color w:val="231F20"/>
        </w:rPr>
        <w:t>8</w:t>
      </w:r>
      <w:r>
        <w:rPr>
          <w:color w:val="231F20"/>
          <w:spacing w:val="-4"/>
        </w:rPr>
        <w:t> </w:t>
      </w:r>
      <w:r>
        <w:rPr>
          <w:color w:val="231F20"/>
        </w:rPr>
        <w:t>janvier </w:t>
      </w:r>
      <w:r>
        <w:rPr>
          <w:color w:val="231F20"/>
          <w:spacing w:val="-4"/>
        </w:rPr>
        <w:t>2001.</w:t>
      </w:r>
      <w:r>
        <w:rPr>
          <w:color w:val="231F20"/>
          <w:spacing w:val="-9"/>
        </w:rPr>
        <w:t> </w:t>
      </w:r>
      <w:r>
        <w:rPr>
          <w:color w:val="231F20"/>
          <w:spacing w:val="-4"/>
        </w:rPr>
        <w:t>Peu</w:t>
      </w:r>
      <w:r>
        <w:rPr>
          <w:color w:val="231F20"/>
          <w:spacing w:val="-9"/>
        </w:rPr>
        <w:t> </w:t>
      </w:r>
      <w:r>
        <w:rPr>
          <w:color w:val="231F20"/>
          <w:spacing w:val="-4"/>
        </w:rPr>
        <w:t>après</w:t>
      </w:r>
      <w:r>
        <w:rPr>
          <w:color w:val="231F20"/>
          <w:spacing w:val="-9"/>
        </w:rPr>
        <w:t> </w:t>
      </w:r>
      <w:r>
        <w:rPr>
          <w:color w:val="231F20"/>
          <w:spacing w:val="-4"/>
        </w:rPr>
        <w:t>trois</w:t>
      </w:r>
      <w:r>
        <w:rPr>
          <w:color w:val="231F20"/>
          <w:spacing w:val="-6"/>
        </w:rPr>
        <w:t> </w:t>
      </w:r>
      <w:r>
        <w:rPr>
          <w:color w:val="231F20"/>
          <w:spacing w:val="-4"/>
        </w:rPr>
        <w:t>heures</w:t>
      </w:r>
      <w:r>
        <w:rPr>
          <w:color w:val="231F20"/>
          <w:spacing w:val="-6"/>
        </w:rPr>
        <w:t> </w:t>
      </w:r>
      <w:r>
        <w:rPr>
          <w:color w:val="231F20"/>
          <w:spacing w:val="-4"/>
        </w:rPr>
        <w:t>du</w:t>
      </w:r>
      <w:r>
        <w:rPr>
          <w:color w:val="231F20"/>
          <w:spacing w:val="-9"/>
        </w:rPr>
        <w:t> </w:t>
      </w:r>
      <w:r>
        <w:rPr>
          <w:color w:val="231F20"/>
          <w:spacing w:val="-4"/>
        </w:rPr>
        <w:t>matin,</w:t>
      </w:r>
      <w:r>
        <w:rPr>
          <w:color w:val="231F20"/>
          <w:spacing w:val="-10"/>
        </w:rPr>
        <w:t> </w:t>
      </w:r>
      <w:r>
        <w:rPr>
          <w:color w:val="231F20"/>
          <w:spacing w:val="-4"/>
        </w:rPr>
        <w:t>sur</w:t>
      </w:r>
      <w:r>
        <w:rPr>
          <w:color w:val="231F20"/>
          <w:spacing w:val="-9"/>
        </w:rPr>
        <w:t> </w:t>
      </w:r>
      <w:r>
        <w:rPr>
          <w:color w:val="231F20"/>
          <w:spacing w:val="-4"/>
        </w:rPr>
        <w:t>l’une</w:t>
      </w:r>
      <w:r>
        <w:rPr>
          <w:color w:val="231F20"/>
          <w:spacing w:val="-10"/>
        </w:rPr>
        <w:t> </w:t>
      </w:r>
      <w:r>
        <w:rPr>
          <w:color w:val="231F20"/>
          <w:spacing w:val="-4"/>
        </w:rPr>
        <w:t>des</w:t>
      </w:r>
      <w:r>
        <w:rPr>
          <w:color w:val="231F20"/>
          <w:spacing w:val="-9"/>
        </w:rPr>
        <w:t> </w:t>
      </w:r>
      <w:r>
        <w:rPr>
          <w:color w:val="231F20"/>
          <w:spacing w:val="-4"/>
        </w:rPr>
        <w:t>fréquences</w:t>
      </w:r>
      <w:r>
        <w:rPr>
          <w:color w:val="231F20"/>
          <w:spacing w:val="-6"/>
        </w:rPr>
        <w:t> </w:t>
      </w:r>
      <w:r>
        <w:rPr>
          <w:color w:val="231F20"/>
          <w:spacing w:val="-4"/>
        </w:rPr>
        <w:t>de</w:t>
      </w:r>
      <w:r>
        <w:rPr>
          <w:color w:val="231F20"/>
          <w:spacing w:val="-9"/>
        </w:rPr>
        <w:t> </w:t>
      </w:r>
      <w:r>
        <w:rPr>
          <w:color w:val="231F20"/>
          <w:spacing w:val="-4"/>
        </w:rPr>
        <w:t>la</w:t>
      </w:r>
      <w:r>
        <w:rPr>
          <w:color w:val="231F20"/>
          <w:spacing w:val="-8"/>
        </w:rPr>
        <w:t> </w:t>
      </w:r>
      <w:r>
        <w:rPr>
          <w:color w:val="231F20"/>
          <w:spacing w:val="-4"/>
        </w:rPr>
        <w:t>radio nationale,</w:t>
      </w:r>
      <w:r>
        <w:rPr>
          <w:color w:val="231F20"/>
          <w:spacing w:val="-10"/>
        </w:rPr>
        <w:t> </w:t>
      </w:r>
      <w:r>
        <w:rPr>
          <w:color w:val="231F20"/>
          <w:spacing w:val="-4"/>
        </w:rPr>
        <w:t>un</w:t>
      </w:r>
      <w:r>
        <w:rPr>
          <w:color w:val="231F20"/>
          <w:spacing w:val="-8"/>
        </w:rPr>
        <w:t> </w:t>
      </w:r>
      <w:r>
        <w:rPr>
          <w:color w:val="231F20"/>
          <w:spacing w:val="-4"/>
        </w:rPr>
        <w:t>porte-parole</w:t>
      </w:r>
      <w:r>
        <w:rPr>
          <w:color w:val="231F20"/>
          <w:spacing w:val="-10"/>
        </w:rPr>
        <w:t> </w:t>
      </w:r>
      <w:r>
        <w:rPr>
          <w:color w:val="231F20"/>
          <w:spacing w:val="-4"/>
        </w:rPr>
        <w:t>non</w:t>
      </w:r>
      <w:r>
        <w:rPr>
          <w:color w:val="231F20"/>
          <w:spacing w:val="-10"/>
        </w:rPr>
        <w:t> </w:t>
      </w:r>
      <w:r>
        <w:rPr>
          <w:color w:val="231F20"/>
          <w:spacing w:val="-4"/>
        </w:rPr>
        <w:t>identifié,</w:t>
      </w:r>
      <w:r>
        <w:rPr>
          <w:color w:val="231F20"/>
          <w:spacing w:val="-10"/>
        </w:rPr>
        <w:t> </w:t>
      </w:r>
      <w:r>
        <w:rPr>
          <w:color w:val="231F20"/>
          <w:spacing w:val="-4"/>
        </w:rPr>
        <w:t>affirme</w:t>
      </w:r>
      <w:r>
        <w:rPr>
          <w:color w:val="231F20"/>
          <w:spacing w:val="-11"/>
        </w:rPr>
        <w:t> </w:t>
      </w:r>
      <w:r>
        <w:rPr>
          <w:color w:val="231F20"/>
          <w:spacing w:val="-4"/>
        </w:rPr>
        <w:t>parler</w:t>
      </w:r>
      <w:r>
        <w:rPr>
          <w:color w:val="231F20"/>
          <w:spacing w:val="-8"/>
        </w:rPr>
        <w:t> </w:t>
      </w:r>
      <w:r>
        <w:rPr>
          <w:color w:val="231F20"/>
          <w:spacing w:val="-4"/>
        </w:rPr>
        <w:t>au</w:t>
      </w:r>
      <w:r>
        <w:rPr>
          <w:color w:val="231F20"/>
          <w:spacing w:val="-8"/>
        </w:rPr>
        <w:t> </w:t>
      </w:r>
      <w:r>
        <w:rPr>
          <w:color w:val="231F20"/>
          <w:spacing w:val="-4"/>
        </w:rPr>
        <w:t>nom</w:t>
      </w:r>
      <w:r>
        <w:rPr>
          <w:color w:val="231F20"/>
          <w:spacing w:val="-10"/>
        </w:rPr>
        <w:t> </w:t>
      </w:r>
      <w:r>
        <w:rPr>
          <w:color w:val="231F20"/>
          <w:spacing w:val="-4"/>
        </w:rPr>
        <w:t>des</w:t>
      </w:r>
      <w:r>
        <w:rPr>
          <w:color w:val="231F20"/>
          <w:spacing w:val="-10"/>
        </w:rPr>
        <w:t> </w:t>
      </w:r>
      <w:r>
        <w:rPr>
          <w:color w:val="231F20"/>
          <w:spacing w:val="-4"/>
        </w:rPr>
        <w:t>mutins, </w:t>
      </w:r>
      <w:r>
        <w:rPr>
          <w:color w:val="231F20"/>
        </w:rPr>
        <w:t>et</w:t>
      </w:r>
      <w:r>
        <w:rPr>
          <w:color w:val="231F20"/>
          <w:spacing w:val="-15"/>
        </w:rPr>
        <w:t> </w:t>
      </w:r>
      <w:r>
        <w:rPr>
          <w:color w:val="231F20"/>
        </w:rPr>
        <w:t>appelle</w:t>
      </w:r>
      <w:r>
        <w:rPr>
          <w:color w:val="231F20"/>
          <w:spacing w:val="-15"/>
        </w:rPr>
        <w:t> </w:t>
      </w:r>
      <w:r>
        <w:rPr>
          <w:color w:val="231F20"/>
        </w:rPr>
        <w:t>leurs</w:t>
      </w:r>
      <w:r>
        <w:rPr>
          <w:color w:val="231F20"/>
          <w:spacing w:val="-15"/>
        </w:rPr>
        <w:t> </w:t>
      </w:r>
      <w:r>
        <w:rPr>
          <w:color w:val="231F20"/>
        </w:rPr>
        <w:t>frères</w:t>
      </w:r>
      <w:r>
        <w:rPr>
          <w:color w:val="231F20"/>
          <w:spacing w:val="-15"/>
        </w:rPr>
        <w:t> </w:t>
      </w:r>
      <w:r>
        <w:rPr>
          <w:color w:val="231F20"/>
        </w:rPr>
        <w:t>d’armes</w:t>
      </w:r>
      <w:r>
        <w:rPr>
          <w:color w:val="231F20"/>
          <w:spacing w:val="-15"/>
        </w:rPr>
        <w:t> </w:t>
      </w:r>
      <w:r>
        <w:rPr>
          <w:color w:val="231F20"/>
        </w:rPr>
        <w:t>à</w:t>
      </w:r>
      <w:r>
        <w:rPr>
          <w:color w:val="231F20"/>
          <w:spacing w:val="-15"/>
        </w:rPr>
        <w:t> </w:t>
      </w:r>
      <w:r>
        <w:rPr>
          <w:color w:val="231F20"/>
        </w:rPr>
        <w:t>les</w:t>
      </w:r>
      <w:r>
        <w:rPr>
          <w:color w:val="231F20"/>
          <w:spacing w:val="-15"/>
        </w:rPr>
        <w:t> </w:t>
      </w:r>
      <w:r>
        <w:rPr>
          <w:color w:val="231F20"/>
        </w:rPr>
        <w:t>rejoindre.</w:t>
      </w:r>
      <w:r>
        <w:rPr>
          <w:color w:val="231F20"/>
          <w:spacing w:val="-15"/>
        </w:rPr>
        <w:t> </w:t>
      </w:r>
      <w:r>
        <w:rPr>
          <w:color w:val="231F20"/>
        </w:rPr>
        <w:t>La</w:t>
      </w:r>
      <w:r>
        <w:rPr>
          <w:color w:val="231F20"/>
          <w:spacing w:val="-15"/>
        </w:rPr>
        <w:t> </w:t>
      </w:r>
      <w:r>
        <w:rPr>
          <w:color w:val="231F20"/>
        </w:rPr>
        <w:t>reprise</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télévision, puis de la radio, plus tard dans la matinée, se fait au prix de violents </w:t>
      </w:r>
      <w:r>
        <w:rPr>
          <w:color w:val="231F20"/>
          <w:spacing w:val="-2"/>
        </w:rPr>
        <w:t>combats</w:t>
      </w:r>
      <w:r>
        <w:rPr>
          <w:color w:val="231F20"/>
          <w:spacing w:val="-10"/>
        </w:rPr>
        <w:t> </w:t>
      </w:r>
      <w:r>
        <w:rPr>
          <w:color w:val="231F20"/>
          <w:spacing w:val="-2"/>
        </w:rPr>
        <w:t>entre</w:t>
      </w:r>
      <w:r>
        <w:rPr>
          <w:color w:val="231F20"/>
          <w:spacing w:val="-8"/>
        </w:rPr>
        <w:t> </w:t>
      </w:r>
      <w:r>
        <w:rPr>
          <w:color w:val="231F20"/>
          <w:spacing w:val="-2"/>
        </w:rPr>
        <w:t>forces</w:t>
      </w:r>
      <w:r>
        <w:rPr>
          <w:color w:val="231F20"/>
          <w:spacing w:val="-8"/>
        </w:rPr>
        <w:t> </w:t>
      </w:r>
      <w:r>
        <w:rPr>
          <w:color w:val="231F20"/>
          <w:spacing w:val="-2"/>
        </w:rPr>
        <w:t>loyalistes</w:t>
      </w:r>
      <w:r>
        <w:rPr>
          <w:color w:val="231F20"/>
          <w:spacing w:val="-8"/>
        </w:rPr>
        <w:t> </w:t>
      </w:r>
      <w:r>
        <w:rPr>
          <w:color w:val="231F20"/>
          <w:spacing w:val="-2"/>
        </w:rPr>
        <w:t>et</w:t>
      </w:r>
      <w:r>
        <w:rPr>
          <w:color w:val="231F20"/>
          <w:spacing w:val="-8"/>
        </w:rPr>
        <w:t> </w:t>
      </w:r>
      <w:r>
        <w:rPr>
          <w:color w:val="231F20"/>
          <w:spacing w:val="-2"/>
        </w:rPr>
        <w:t>putschistes.</w:t>
      </w:r>
      <w:r>
        <w:rPr>
          <w:color w:val="231F20"/>
          <w:spacing w:val="-8"/>
        </w:rPr>
        <w:t> </w:t>
      </w:r>
      <w:r>
        <w:rPr>
          <w:color w:val="231F20"/>
          <w:spacing w:val="-2"/>
        </w:rPr>
        <w:t>Deux</w:t>
      </w:r>
      <w:r>
        <w:rPr>
          <w:color w:val="231F20"/>
          <w:spacing w:val="-10"/>
        </w:rPr>
        <w:t> </w:t>
      </w:r>
      <w:r>
        <w:rPr>
          <w:color w:val="231F20"/>
          <w:spacing w:val="-2"/>
        </w:rPr>
        <w:t>gendarmes</w:t>
      </w:r>
      <w:r>
        <w:rPr>
          <w:color w:val="231F20"/>
          <w:spacing w:val="-11"/>
        </w:rPr>
        <w:t> </w:t>
      </w:r>
      <w:r>
        <w:rPr>
          <w:color w:val="231F20"/>
          <w:spacing w:val="-2"/>
        </w:rPr>
        <w:t>au</w:t>
      </w:r>
      <w:r>
        <w:rPr>
          <w:color w:val="231F20"/>
          <w:spacing w:val="-8"/>
        </w:rPr>
        <w:t> </w:t>
      </w:r>
      <w:r>
        <w:rPr>
          <w:color w:val="231F20"/>
          <w:spacing w:val="-2"/>
        </w:rPr>
        <w:t>moins </w:t>
      </w:r>
      <w:r>
        <w:rPr>
          <w:color w:val="231F20"/>
        </w:rPr>
        <w:t>sont tués ainsi que plusieurs assaillants.</w:t>
      </w:r>
    </w:p>
    <w:p>
      <w:pPr>
        <w:pStyle w:val="BodyText"/>
        <w:spacing w:before="121"/>
        <w:ind w:right="105" w:firstLine="283"/>
      </w:pPr>
      <w:r>
        <w:rPr>
          <w:color w:val="231F20"/>
        </w:rPr>
        <w:t>Début</w:t>
      </w:r>
      <w:r>
        <w:rPr>
          <w:color w:val="231F20"/>
          <w:spacing w:val="-9"/>
        </w:rPr>
        <w:t> </w:t>
      </w:r>
      <w:r>
        <w:rPr>
          <w:color w:val="231F20"/>
        </w:rPr>
        <w:t>octobre</w:t>
      </w:r>
      <w:r>
        <w:rPr>
          <w:color w:val="231F20"/>
          <w:spacing w:val="-10"/>
        </w:rPr>
        <w:t> </w:t>
      </w:r>
      <w:r>
        <w:rPr>
          <w:color w:val="231F20"/>
        </w:rPr>
        <w:t>2001,</w:t>
      </w:r>
      <w:r>
        <w:rPr>
          <w:color w:val="231F20"/>
          <w:spacing w:val="-9"/>
        </w:rPr>
        <w:t> </w:t>
      </w:r>
      <w:r>
        <w:rPr>
          <w:color w:val="231F20"/>
        </w:rPr>
        <w:t>acculé</w:t>
      </w:r>
      <w:r>
        <w:rPr>
          <w:color w:val="231F20"/>
          <w:spacing w:val="-8"/>
        </w:rPr>
        <w:t> </w:t>
      </w:r>
      <w:r>
        <w:rPr>
          <w:color w:val="231F20"/>
        </w:rPr>
        <w:t>par</w:t>
      </w:r>
      <w:r>
        <w:rPr>
          <w:color w:val="231F20"/>
          <w:spacing w:val="-10"/>
        </w:rPr>
        <w:t> </w:t>
      </w:r>
      <w:r>
        <w:rPr>
          <w:color w:val="231F20"/>
        </w:rPr>
        <w:t>la</w:t>
      </w:r>
      <w:r>
        <w:rPr>
          <w:color w:val="231F20"/>
          <w:spacing w:val="-10"/>
        </w:rPr>
        <w:t> </w:t>
      </w:r>
      <w:r>
        <w:rPr>
          <w:color w:val="231F20"/>
        </w:rPr>
        <w:t>Communauté</w:t>
      </w:r>
      <w:r>
        <w:rPr>
          <w:color w:val="231F20"/>
          <w:spacing w:val="-10"/>
        </w:rPr>
        <w:t> </w:t>
      </w:r>
      <w:r>
        <w:rPr>
          <w:color w:val="231F20"/>
        </w:rPr>
        <w:t>internationale</w:t>
      </w:r>
      <w:r>
        <w:rPr>
          <w:color w:val="231F20"/>
          <w:spacing w:val="-8"/>
        </w:rPr>
        <w:t> </w:t>
      </w:r>
      <w:r>
        <w:rPr>
          <w:color w:val="231F20"/>
        </w:rPr>
        <w:t>et</w:t>
      </w:r>
      <w:r>
        <w:rPr>
          <w:color w:val="231F20"/>
          <w:spacing w:val="-9"/>
        </w:rPr>
        <w:t> </w:t>
      </w:r>
      <w:r>
        <w:rPr>
          <w:color w:val="231F20"/>
        </w:rPr>
        <w:t>par </w:t>
      </w:r>
      <w:r>
        <w:rPr>
          <w:color w:val="231F20"/>
          <w:spacing w:val="-4"/>
        </w:rPr>
        <w:t>ses</w:t>
      </w:r>
      <w:r>
        <w:rPr>
          <w:color w:val="231F20"/>
          <w:spacing w:val="-11"/>
        </w:rPr>
        <w:t> </w:t>
      </w:r>
      <w:r>
        <w:rPr>
          <w:color w:val="231F20"/>
          <w:spacing w:val="-4"/>
        </w:rPr>
        <w:t>pairs</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sous-région</w:t>
      </w:r>
      <w:r>
        <w:rPr>
          <w:color w:val="231F20"/>
          <w:spacing w:val="-11"/>
        </w:rPr>
        <w:t> </w:t>
      </w:r>
      <w:r>
        <w:rPr>
          <w:color w:val="231F20"/>
          <w:spacing w:val="-4"/>
        </w:rPr>
        <w:t>pour</w:t>
      </w:r>
      <w:r>
        <w:rPr>
          <w:color w:val="231F20"/>
          <w:spacing w:val="-11"/>
        </w:rPr>
        <w:t> </w:t>
      </w:r>
      <w:r>
        <w:rPr>
          <w:color w:val="231F20"/>
          <w:spacing w:val="-4"/>
        </w:rPr>
        <w:t>trouver</w:t>
      </w:r>
      <w:r>
        <w:rPr>
          <w:color w:val="231F20"/>
          <w:spacing w:val="-11"/>
        </w:rPr>
        <w:t> </w:t>
      </w:r>
      <w:r>
        <w:rPr>
          <w:color w:val="231F20"/>
          <w:spacing w:val="-4"/>
        </w:rPr>
        <w:t>les</w:t>
      </w:r>
      <w:r>
        <w:rPr>
          <w:color w:val="231F20"/>
          <w:spacing w:val="-11"/>
        </w:rPr>
        <w:t> </w:t>
      </w:r>
      <w:r>
        <w:rPr>
          <w:color w:val="231F20"/>
          <w:spacing w:val="-4"/>
        </w:rPr>
        <w:t>clés</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paix</w:t>
      </w:r>
      <w:r>
        <w:rPr>
          <w:color w:val="231F20"/>
          <w:spacing w:val="-11"/>
        </w:rPr>
        <w:t> </w:t>
      </w:r>
      <w:r>
        <w:rPr>
          <w:color w:val="231F20"/>
          <w:spacing w:val="-4"/>
        </w:rPr>
        <w:t>en</w:t>
      </w:r>
      <w:r>
        <w:rPr>
          <w:color w:val="231F20"/>
          <w:spacing w:val="-11"/>
        </w:rPr>
        <w:t> </w:t>
      </w:r>
      <w:r>
        <w:rPr>
          <w:color w:val="231F20"/>
          <w:spacing w:val="-4"/>
        </w:rPr>
        <w:t>Côte</w:t>
      </w:r>
      <w:r>
        <w:rPr>
          <w:color w:val="231F20"/>
          <w:spacing w:val="-11"/>
        </w:rPr>
        <w:t> </w:t>
      </w:r>
      <w:r>
        <w:rPr>
          <w:color w:val="231F20"/>
          <w:spacing w:val="-4"/>
        </w:rPr>
        <w:t>d’ivoire, </w:t>
      </w:r>
      <w:r>
        <w:rPr>
          <w:color w:val="231F20"/>
        </w:rPr>
        <w:t>un</w:t>
      </w:r>
      <w:r>
        <w:rPr>
          <w:color w:val="231F20"/>
          <w:spacing w:val="-15"/>
        </w:rPr>
        <w:t> </w:t>
      </w:r>
      <w:r>
        <w:rPr>
          <w:color w:val="231F20"/>
        </w:rPr>
        <w:t>pays</w:t>
      </w:r>
      <w:r>
        <w:rPr>
          <w:color w:val="231F20"/>
          <w:spacing w:val="-15"/>
        </w:rPr>
        <w:t> </w:t>
      </w:r>
      <w:r>
        <w:rPr>
          <w:color w:val="231F20"/>
        </w:rPr>
        <w:t>«</w:t>
      </w:r>
      <w:r>
        <w:rPr>
          <w:color w:val="231F20"/>
          <w:spacing w:val="-15"/>
        </w:rPr>
        <w:t> </w:t>
      </w:r>
      <w:r>
        <w:rPr>
          <w:color w:val="231F20"/>
        </w:rPr>
        <w:t>essentiel</w:t>
      </w:r>
      <w:r>
        <w:rPr>
          <w:color w:val="231F20"/>
          <w:spacing w:val="-15"/>
        </w:rPr>
        <w:t> </w:t>
      </w:r>
      <w:r>
        <w:rPr>
          <w:color w:val="231F20"/>
        </w:rPr>
        <w:t>»</w:t>
      </w:r>
      <w:r>
        <w:rPr>
          <w:color w:val="231F20"/>
          <w:spacing w:val="-15"/>
        </w:rPr>
        <w:t> </w:t>
      </w:r>
      <w:r>
        <w:rPr>
          <w:color w:val="231F20"/>
        </w:rPr>
        <w:t>pour</w:t>
      </w:r>
      <w:r>
        <w:rPr>
          <w:color w:val="231F20"/>
          <w:spacing w:val="-15"/>
        </w:rPr>
        <w:t> </w:t>
      </w:r>
      <w:r>
        <w:rPr>
          <w:color w:val="231F20"/>
        </w:rPr>
        <w:t>les</w:t>
      </w:r>
      <w:r>
        <w:rPr>
          <w:color w:val="231F20"/>
          <w:spacing w:val="-15"/>
        </w:rPr>
        <w:t> </w:t>
      </w:r>
      <w:r>
        <w:rPr>
          <w:color w:val="231F20"/>
        </w:rPr>
        <w:t>uns</w:t>
      </w:r>
      <w:r>
        <w:rPr>
          <w:color w:val="231F20"/>
          <w:spacing w:val="-13"/>
        </w:rPr>
        <w:t> </w:t>
      </w:r>
      <w:r>
        <w:rPr>
          <w:color w:val="231F20"/>
        </w:rPr>
        <w:t>et</w:t>
      </w:r>
      <w:r>
        <w:rPr>
          <w:color w:val="231F20"/>
          <w:spacing w:val="-15"/>
        </w:rPr>
        <w:t> </w:t>
      </w:r>
      <w:r>
        <w:rPr>
          <w:color w:val="231F20"/>
        </w:rPr>
        <w:t>les</w:t>
      </w:r>
      <w:r>
        <w:rPr>
          <w:color w:val="231F20"/>
          <w:spacing w:val="-14"/>
        </w:rPr>
        <w:t> </w:t>
      </w:r>
      <w:r>
        <w:rPr>
          <w:color w:val="231F20"/>
        </w:rPr>
        <w:t>autres,</w:t>
      </w:r>
      <w:r>
        <w:rPr>
          <w:color w:val="231F20"/>
          <w:spacing w:val="-12"/>
        </w:rPr>
        <w:t> </w:t>
      </w:r>
      <w:r>
        <w:rPr>
          <w:color w:val="231F20"/>
        </w:rPr>
        <w:t>Laurent</w:t>
      </w:r>
      <w:r>
        <w:rPr>
          <w:color w:val="231F20"/>
          <w:spacing w:val="-14"/>
        </w:rPr>
        <w:t> </w:t>
      </w:r>
      <w:r>
        <w:rPr>
          <w:color w:val="231F20"/>
        </w:rPr>
        <w:t>Gbagbo</w:t>
      </w:r>
      <w:r>
        <w:rPr>
          <w:color w:val="231F20"/>
          <w:spacing w:val="-14"/>
        </w:rPr>
        <w:t> </w:t>
      </w:r>
      <w:r>
        <w:rPr>
          <w:color w:val="231F20"/>
        </w:rPr>
        <w:t>organise le «</w:t>
      </w:r>
      <w:r>
        <w:rPr>
          <w:color w:val="231F20"/>
          <w:spacing w:val="-15"/>
        </w:rPr>
        <w:t> </w:t>
      </w:r>
      <w:r>
        <w:rPr>
          <w:color w:val="231F20"/>
        </w:rPr>
        <w:t>Forum pour la réconciliation nationale</w:t>
      </w:r>
      <w:r>
        <w:rPr>
          <w:color w:val="231F20"/>
          <w:spacing w:val="-15"/>
        </w:rPr>
        <w:t> </w:t>
      </w:r>
      <w:r>
        <w:rPr>
          <w:color w:val="231F20"/>
        </w:rPr>
        <w:t>», journées d’écoutes et de dialogues</w:t>
      </w:r>
      <w:r>
        <w:rPr>
          <w:color w:val="231F20"/>
          <w:spacing w:val="-9"/>
        </w:rPr>
        <w:t> </w:t>
      </w:r>
      <w:r>
        <w:rPr>
          <w:color w:val="231F20"/>
        </w:rPr>
        <w:t>censées</w:t>
      </w:r>
      <w:r>
        <w:rPr>
          <w:color w:val="231F20"/>
          <w:spacing w:val="-9"/>
        </w:rPr>
        <w:t> </w:t>
      </w:r>
      <w:r>
        <w:rPr>
          <w:color w:val="231F20"/>
        </w:rPr>
        <w:t>mettre</w:t>
      </w:r>
      <w:r>
        <w:rPr>
          <w:color w:val="231F20"/>
          <w:spacing w:val="-9"/>
        </w:rPr>
        <w:t> </w:t>
      </w:r>
      <w:r>
        <w:rPr>
          <w:color w:val="231F20"/>
        </w:rPr>
        <w:t>fin</w:t>
      </w:r>
      <w:r>
        <w:rPr>
          <w:color w:val="231F20"/>
          <w:spacing w:val="-7"/>
        </w:rPr>
        <w:t> </w:t>
      </w:r>
      <w:r>
        <w:rPr>
          <w:color w:val="231F20"/>
        </w:rPr>
        <w:t>aux</w:t>
      </w:r>
      <w:r>
        <w:rPr>
          <w:color w:val="231F20"/>
          <w:spacing w:val="-9"/>
        </w:rPr>
        <w:t> </w:t>
      </w:r>
      <w:r>
        <w:rPr>
          <w:color w:val="231F20"/>
        </w:rPr>
        <w:t>tensions</w:t>
      </w:r>
      <w:r>
        <w:rPr>
          <w:color w:val="231F20"/>
          <w:spacing w:val="-9"/>
        </w:rPr>
        <w:t> </w:t>
      </w:r>
      <w:r>
        <w:rPr>
          <w:color w:val="231F20"/>
        </w:rPr>
        <w:t>socio-politiques</w:t>
      </w:r>
      <w:r>
        <w:rPr>
          <w:color w:val="231F20"/>
          <w:spacing w:val="-9"/>
        </w:rPr>
        <w:t> </w:t>
      </w:r>
      <w:r>
        <w:rPr>
          <w:color w:val="231F20"/>
        </w:rPr>
        <w:t>dans</w:t>
      </w:r>
      <w:r>
        <w:rPr>
          <w:color w:val="231F20"/>
          <w:spacing w:val="-9"/>
        </w:rPr>
        <w:t> </w:t>
      </w:r>
      <w:r>
        <w:rPr>
          <w:color w:val="231F20"/>
        </w:rPr>
        <w:t>le</w:t>
      </w:r>
      <w:r>
        <w:rPr>
          <w:color w:val="231F20"/>
          <w:spacing w:val="-10"/>
        </w:rPr>
        <w:t> </w:t>
      </w:r>
      <w:r>
        <w:rPr>
          <w:color w:val="231F20"/>
        </w:rPr>
        <w:t>pays. Alassane Ouattara, Henri Konan Bédié et le général Gueï reviennent à Abidjan pour y participer.</w:t>
      </w:r>
    </w:p>
    <w:p>
      <w:pPr>
        <w:pStyle w:val="BodyText"/>
        <w:spacing w:before="120"/>
        <w:ind w:right="106" w:firstLine="283"/>
      </w:pPr>
      <w:r>
        <w:rPr>
          <w:color w:val="231F20"/>
          <w:spacing w:val="-2"/>
        </w:rPr>
        <w:t>Le</w:t>
      </w:r>
      <w:r>
        <w:rPr>
          <w:color w:val="231F20"/>
          <w:spacing w:val="-13"/>
        </w:rPr>
        <w:t> </w:t>
      </w:r>
      <w:r>
        <w:rPr>
          <w:color w:val="231F20"/>
          <w:spacing w:val="-2"/>
        </w:rPr>
        <w:t>mardi</w:t>
      </w:r>
      <w:r>
        <w:rPr>
          <w:color w:val="231F20"/>
          <w:spacing w:val="-13"/>
        </w:rPr>
        <w:t> </w:t>
      </w:r>
      <w:r>
        <w:rPr>
          <w:color w:val="231F20"/>
          <w:spacing w:val="-2"/>
        </w:rPr>
        <w:t>9</w:t>
      </w:r>
      <w:r>
        <w:rPr>
          <w:color w:val="231F20"/>
          <w:spacing w:val="-13"/>
        </w:rPr>
        <w:t> </w:t>
      </w:r>
      <w:r>
        <w:rPr>
          <w:color w:val="231F20"/>
          <w:spacing w:val="-2"/>
        </w:rPr>
        <w:t>octobre</w:t>
      </w:r>
      <w:r>
        <w:rPr>
          <w:color w:val="231F20"/>
          <w:spacing w:val="-13"/>
        </w:rPr>
        <w:t> </w:t>
      </w:r>
      <w:r>
        <w:rPr>
          <w:color w:val="231F20"/>
          <w:spacing w:val="-2"/>
        </w:rPr>
        <w:t>2001,</w:t>
      </w:r>
      <w:r>
        <w:rPr>
          <w:color w:val="231F20"/>
          <w:spacing w:val="-13"/>
        </w:rPr>
        <w:t> </w:t>
      </w:r>
      <w:r>
        <w:rPr>
          <w:color w:val="231F20"/>
          <w:spacing w:val="-2"/>
        </w:rPr>
        <w:t>le</w:t>
      </w:r>
      <w:r>
        <w:rPr>
          <w:color w:val="231F20"/>
          <w:spacing w:val="-13"/>
        </w:rPr>
        <w:t> </w:t>
      </w:r>
      <w:r>
        <w:rPr>
          <w:color w:val="231F20"/>
          <w:spacing w:val="-2"/>
        </w:rPr>
        <w:t>Forum</w:t>
      </w:r>
      <w:r>
        <w:rPr>
          <w:color w:val="231F20"/>
          <w:spacing w:val="-13"/>
        </w:rPr>
        <w:t> </w:t>
      </w:r>
      <w:r>
        <w:rPr>
          <w:color w:val="231F20"/>
          <w:spacing w:val="-2"/>
        </w:rPr>
        <w:t>s’ouvre</w:t>
      </w:r>
      <w:r>
        <w:rPr>
          <w:color w:val="231F20"/>
          <w:spacing w:val="-13"/>
        </w:rPr>
        <w:t> </w:t>
      </w:r>
      <w:r>
        <w:rPr>
          <w:color w:val="231F20"/>
          <w:spacing w:val="-2"/>
        </w:rPr>
        <w:t>en</w:t>
      </w:r>
      <w:r>
        <w:rPr>
          <w:color w:val="231F20"/>
          <w:spacing w:val="-13"/>
        </w:rPr>
        <w:t> </w:t>
      </w:r>
      <w:r>
        <w:rPr>
          <w:color w:val="231F20"/>
          <w:spacing w:val="-2"/>
        </w:rPr>
        <w:t>présence</w:t>
      </w:r>
      <w:r>
        <w:rPr>
          <w:color w:val="231F20"/>
          <w:spacing w:val="-12"/>
        </w:rPr>
        <w:t> </w:t>
      </w:r>
      <w:r>
        <w:rPr>
          <w:color w:val="231F20"/>
          <w:spacing w:val="-2"/>
        </w:rPr>
        <w:t>des</w:t>
      </w:r>
      <w:r>
        <w:rPr>
          <w:color w:val="231F20"/>
          <w:spacing w:val="-13"/>
        </w:rPr>
        <w:t> </w:t>
      </w:r>
      <w:r>
        <w:rPr>
          <w:color w:val="231F20"/>
          <w:spacing w:val="-2"/>
        </w:rPr>
        <w:t>présidents </w:t>
      </w:r>
      <w:r>
        <w:rPr>
          <w:color w:val="231F20"/>
        </w:rPr>
        <w:t>Ghanéen John Kufuor et Malien Alpha Oumar Konaré et du ministre français délégué à la</w:t>
      </w:r>
      <w:r>
        <w:rPr>
          <w:color w:val="231F20"/>
          <w:spacing w:val="-3"/>
        </w:rPr>
        <w:t> </w:t>
      </w:r>
      <w:r>
        <w:rPr>
          <w:color w:val="231F20"/>
        </w:rPr>
        <w:t>Coopération</w:t>
      </w:r>
      <w:r>
        <w:rPr>
          <w:color w:val="231F20"/>
          <w:spacing w:val="-2"/>
        </w:rPr>
        <w:t> </w:t>
      </w:r>
      <w:r>
        <w:rPr>
          <w:color w:val="231F20"/>
        </w:rPr>
        <w:t>Charles Josselin.</w:t>
      </w:r>
    </w:p>
    <w:p>
      <w:pPr>
        <w:pStyle w:val="BodyText"/>
        <w:spacing w:before="120"/>
        <w:ind w:left="395"/>
      </w:pPr>
      <w:r>
        <w:rPr>
          <w:color w:val="231F20"/>
          <w:spacing w:val="-4"/>
        </w:rPr>
        <w:t>Les</w:t>
      </w:r>
      <w:r>
        <w:rPr>
          <w:color w:val="231F20"/>
          <w:spacing w:val="-10"/>
        </w:rPr>
        <w:t> </w:t>
      </w:r>
      <w:r>
        <w:rPr>
          <w:color w:val="231F20"/>
          <w:spacing w:val="-4"/>
        </w:rPr>
        <w:t>travaux</w:t>
      </w:r>
      <w:r>
        <w:rPr>
          <w:color w:val="231F20"/>
          <w:spacing w:val="-10"/>
        </w:rPr>
        <w:t> </w:t>
      </w:r>
      <w:r>
        <w:rPr>
          <w:color w:val="231F20"/>
          <w:spacing w:val="-4"/>
        </w:rPr>
        <w:t>du</w:t>
      </w:r>
      <w:r>
        <w:rPr>
          <w:color w:val="231F20"/>
          <w:spacing w:val="-9"/>
        </w:rPr>
        <w:t> </w:t>
      </w:r>
      <w:r>
        <w:rPr>
          <w:color w:val="231F20"/>
          <w:spacing w:val="-4"/>
        </w:rPr>
        <w:t>Forum</w:t>
      </w:r>
      <w:r>
        <w:rPr>
          <w:color w:val="231F20"/>
          <w:spacing w:val="-10"/>
        </w:rPr>
        <w:t> </w:t>
      </w:r>
      <w:r>
        <w:rPr>
          <w:color w:val="231F20"/>
          <w:spacing w:val="-4"/>
        </w:rPr>
        <w:t>durent</w:t>
      </w:r>
      <w:r>
        <w:rPr>
          <w:color w:val="231F20"/>
          <w:spacing w:val="-8"/>
        </w:rPr>
        <w:t> </w:t>
      </w:r>
      <w:r>
        <w:rPr>
          <w:color w:val="231F20"/>
          <w:spacing w:val="-4"/>
        </w:rPr>
        <w:t>deux</w:t>
      </w:r>
      <w:r>
        <w:rPr>
          <w:color w:val="231F20"/>
          <w:spacing w:val="-9"/>
        </w:rPr>
        <w:t> </w:t>
      </w:r>
      <w:r>
        <w:rPr>
          <w:color w:val="231F20"/>
          <w:spacing w:val="-4"/>
        </w:rPr>
        <w:t>mois.</w:t>
      </w:r>
      <w:r>
        <w:rPr>
          <w:color w:val="231F20"/>
          <w:spacing w:val="-10"/>
        </w:rPr>
        <w:t> </w:t>
      </w:r>
      <w:r>
        <w:rPr>
          <w:color w:val="231F20"/>
          <w:spacing w:val="-4"/>
        </w:rPr>
        <w:t>A</w:t>
      </w:r>
      <w:r>
        <w:rPr>
          <w:color w:val="231F20"/>
          <w:spacing w:val="-10"/>
        </w:rPr>
        <w:t> </w:t>
      </w:r>
      <w:r>
        <w:rPr>
          <w:color w:val="231F20"/>
          <w:spacing w:val="-4"/>
        </w:rPr>
        <w:t>la</w:t>
      </w:r>
      <w:r>
        <w:rPr>
          <w:color w:val="231F20"/>
          <w:spacing w:val="-10"/>
        </w:rPr>
        <w:t> </w:t>
      </w:r>
      <w:r>
        <w:rPr>
          <w:color w:val="231F20"/>
          <w:spacing w:val="-4"/>
        </w:rPr>
        <w:t>fin</w:t>
      </w:r>
      <w:r>
        <w:rPr>
          <w:color w:val="231F20"/>
          <w:spacing w:val="-7"/>
        </w:rPr>
        <w:t> </w:t>
      </w:r>
      <w:r>
        <w:rPr>
          <w:color w:val="231F20"/>
          <w:spacing w:val="-4"/>
        </w:rPr>
        <w:t>des</w:t>
      </w:r>
      <w:r>
        <w:rPr>
          <w:color w:val="231F20"/>
          <w:spacing w:val="-10"/>
        </w:rPr>
        <w:t> </w:t>
      </w:r>
      <w:r>
        <w:rPr>
          <w:color w:val="231F20"/>
          <w:spacing w:val="-4"/>
        </w:rPr>
        <w:t>séances</w:t>
      </w:r>
      <w:r>
        <w:rPr>
          <w:color w:val="231F20"/>
          <w:spacing w:val="-9"/>
        </w:rPr>
        <w:t> </w:t>
      </w:r>
      <w:r>
        <w:rPr>
          <w:color w:val="231F20"/>
          <w:spacing w:val="-4"/>
        </w:rPr>
        <w:t>d’écoute,</w:t>
      </w:r>
    </w:p>
    <w:p>
      <w:pPr>
        <w:pStyle w:val="BodyText"/>
      </w:pPr>
      <w:r>
        <w:rPr>
          <w:color w:val="231F20"/>
        </w:rPr>
        <w:t>le</w:t>
      </w:r>
      <w:r>
        <w:rPr>
          <w:color w:val="231F20"/>
          <w:spacing w:val="-4"/>
        </w:rPr>
        <w:t> </w:t>
      </w:r>
      <w:r>
        <w:rPr>
          <w:color w:val="231F20"/>
        </w:rPr>
        <w:t>Directoire</w:t>
      </w:r>
      <w:r>
        <w:rPr>
          <w:color w:val="231F20"/>
          <w:spacing w:val="-1"/>
        </w:rPr>
        <w:t> </w:t>
      </w:r>
      <w:r>
        <w:rPr>
          <w:color w:val="231F20"/>
        </w:rPr>
        <w:t>du</w:t>
      </w:r>
      <w:r>
        <w:rPr>
          <w:color w:val="231F20"/>
          <w:spacing w:val="-1"/>
        </w:rPr>
        <w:t> </w:t>
      </w:r>
      <w:r>
        <w:rPr>
          <w:color w:val="231F20"/>
        </w:rPr>
        <w:t>Forum</w:t>
      </w:r>
      <w:r>
        <w:rPr>
          <w:color w:val="231F20"/>
          <w:spacing w:val="-4"/>
        </w:rPr>
        <w:t> </w:t>
      </w:r>
      <w:r>
        <w:rPr>
          <w:color w:val="231F20"/>
        </w:rPr>
        <w:t>propose</w:t>
      </w:r>
      <w:r>
        <w:rPr>
          <w:color w:val="231F20"/>
          <w:spacing w:val="1"/>
        </w:rPr>
        <w:t> </w:t>
      </w:r>
      <w:r>
        <w:rPr>
          <w:color w:val="231F20"/>
        </w:rPr>
        <w:t>la</w:t>
      </w:r>
      <w:r>
        <w:rPr>
          <w:color w:val="231F20"/>
          <w:spacing w:val="-2"/>
        </w:rPr>
        <w:t> </w:t>
      </w:r>
      <w:r>
        <w:rPr>
          <w:color w:val="231F20"/>
        </w:rPr>
        <w:t>fin</w:t>
      </w:r>
      <w:r>
        <w:rPr>
          <w:color w:val="231F20"/>
          <w:spacing w:val="-1"/>
        </w:rPr>
        <w:t> </w:t>
      </w:r>
      <w:r>
        <w:rPr>
          <w:color w:val="231F20"/>
        </w:rPr>
        <w:t>de</w:t>
      </w:r>
      <w:r>
        <w:rPr>
          <w:color w:val="231F20"/>
          <w:spacing w:val="-1"/>
        </w:rPr>
        <w:t> </w:t>
      </w:r>
      <w:r>
        <w:rPr>
          <w:color w:val="231F20"/>
        </w:rPr>
        <w:t>la</w:t>
      </w:r>
      <w:r>
        <w:rPr>
          <w:color w:val="231F20"/>
          <w:spacing w:val="-4"/>
        </w:rPr>
        <w:t> </w:t>
      </w:r>
      <w:r>
        <w:rPr>
          <w:color w:val="231F20"/>
        </w:rPr>
        <w:t>polémique</w:t>
      </w:r>
      <w:r>
        <w:rPr>
          <w:color w:val="231F20"/>
          <w:spacing w:val="-1"/>
        </w:rPr>
        <w:t> </w:t>
      </w:r>
      <w:r>
        <w:rPr>
          <w:color w:val="231F20"/>
        </w:rPr>
        <w:t>sur</w:t>
      </w:r>
      <w:r>
        <w:rPr>
          <w:color w:val="231F20"/>
          <w:spacing w:val="-1"/>
        </w:rPr>
        <w:t> </w:t>
      </w:r>
      <w:r>
        <w:rPr>
          <w:color w:val="231F20"/>
        </w:rPr>
        <w:t>la</w:t>
      </w:r>
      <w:r>
        <w:rPr>
          <w:color w:val="231F20"/>
          <w:spacing w:val="-1"/>
        </w:rPr>
        <w:t> </w:t>
      </w:r>
      <w:r>
        <w:rPr>
          <w:color w:val="231F20"/>
          <w:spacing w:val="-2"/>
        </w:rPr>
        <w:t>nationalité</w:t>
      </w:r>
    </w:p>
    <w:p>
      <w:pPr>
        <w:spacing w:after="0"/>
        <w:sectPr>
          <w:pgSz w:w="8790" w:h="13610"/>
          <w:pgMar w:header="0" w:footer="802" w:top="1060" w:bottom="1000" w:left="880" w:right="880"/>
        </w:sectPr>
      </w:pPr>
    </w:p>
    <w:p>
      <w:pPr>
        <w:pStyle w:val="BodyText"/>
        <w:spacing w:before="66"/>
        <w:ind w:right="103"/>
      </w:pPr>
      <w:r>
        <w:rPr>
          <w:color w:val="231F20"/>
          <w:spacing w:val="-4"/>
        </w:rPr>
        <w:t>d’Alassane Ouattara: «</w:t>
      </w:r>
      <w:r>
        <w:rPr>
          <w:color w:val="231F20"/>
          <w:spacing w:val="-6"/>
        </w:rPr>
        <w:t> </w:t>
      </w:r>
      <w:r>
        <w:rPr>
          <w:color w:val="231F20"/>
          <w:spacing w:val="-4"/>
        </w:rPr>
        <w:t>la</w:t>
      </w:r>
      <w:r>
        <w:rPr>
          <w:color w:val="231F20"/>
          <w:spacing w:val="-7"/>
        </w:rPr>
        <w:t> </w:t>
      </w:r>
      <w:r>
        <w:rPr>
          <w:color w:val="231F20"/>
          <w:spacing w:val="-4"/>
        </w:rPr>
        <w:t>fracture politique et sociale dont</w:t>
      </w:r>
      <w:r>
        <w:rPr>
          <w:color w:val="231F20"/>
          <w:spacing w:val="-6"/>
        </w:rPr>
        <w:t> </w:t>
      </w:r>
      <w:r>
        <w:rPr>
          <w:color w:val="231F20"/>
          <w:spacing w:val="-4"/>
        </w:rPr>
        <w:t>souffre</w:t>
      </w:r>
      <w:r>
        <w:rPr>
          <w:color w:val="231F20"/>
          <w:spacing w:val="-7"/>
        </w:rPr>
        <w:t> </w:t>
      </w:r>
      <w:r>
        <w:rPr>
          <w:color w:val="231F20"/>
          <w:spacing w:val="-4"/>
        </w:rPr>
        <w:t>la</w:t>
      </w:r>
      <w:r>
        <w:rPr>
          <w:color w:val="231F20"/>
          <w:spacing w:val="-7"/>
        </w:rPr>
        <w:t> </w:t>
      </w:r>
      <w:r>
        <w:rPr>
          <w:color w:val="231F20"/>
          <w:spacing w:val="-4"/>
        </w:rPr>
        <w:t>Côte </w:t>
      </w:r>
      <w:r>
        <w:rPr>
          <w:color w:val="231F20"/>
        </w:rPr>
        <w:t>d’Ivoire</w:t>
      </w:r>
      <w:r>
        <w:rPr>
          <w:color w:val="231F20"/>
          <w:spacing w:val="-7"/>
        </w:rPr>
        <w:t> </w:t>
      </w:r>
      <w:r>
        <w:rPr>
          <w:color w:val="231F20"/>
        </w:rPr>
        <w:t>trouve</w:t>
      </w:r>
      <w:r>
        <w:rPr>
          <w:color w:val="231F20"/>
          <w:spacing w:val="-7"/>
        </w:rPr>
        <w:t> </w:t>
      </w:r>
      <w:r>
        <w:rPr>
          <w:color w:val="231F20"/>
        </w:rPr>
        <w:t>fondamentalement</w:t>
      </w:r>
      <w:r>
        <w:rPr>
          <w:color w:val="231F20"/>
          <w:spacing w:val="-6"/>
        </w:rPr>
        <w:t> </w:t>
      </w:r>
      <w:r>
        <w:rPr>
          <w:color w:val="231F20"/>
        </w:rPr>
        <w:t>sa</w:t>
      </w:r>
      <w:r>
        <w:rPr>
          <w:color w:val="231F20"/>
          <w:spacing w:val="-6"/>
        </w:rPr>
        <w:t> </w:t>
      </w:r>
      <w:r>
        <w:rPr>
          <w:color w:val="231F20"/>
        </w:rPr>
        <w:t>cause</w:t>
      </w:r>
      <w:r>
        <w:rPr>
          <w:color w:val="231F20"/>
          <w:spacing w:val="-6"/>
        </w:rPr>
        <w:t> </w:t>
      </w:r>
      <w:r>
        <w:rPr>
          <w:color w:val="231F20"/>
        </w:rPr>
        <w:t>dans</w:t>
      </w:r>
      <w:r>
        <w:rPr>
          <w:color w:val="231F20"/>
          <w:spacing w:val="-8"/>
        </w:rPr>
        <w:t> </w:t>
      </w:r>
      <w:r>
        <w:rPr>
          <w:color w:val="231F20"/>
        </w:rPr>
        <w:t>les</w:t>
      </w:r>
      <w:r>
        <w:rPr>
          <w:color w:val="231F20"/>
          <w:spacing w:val="-7"/>
        </w:rPr>
        <w:t> </w:t>
      </w:r>
      <w:r>
        <w:rPr>
          <w:color w:val="231F20"/>
        </w:rPr>
        <w:t>controverses</w:t>
      </w:r>
      <w:r>
        <w:rPr>
          <w:color w:val="231F20"/>
          <w:spacing w:val="-7"/>
        </w:rPr>
        <w:t> </w:t>
      </w:r>
      <w:r>
        <w:rPr>
          <w:color w:val="231F20"/>
        </w:rPr>
        <w:t>sur</w:t>
      </w:r>
      <w:r>
        <w:rPr>
          <w:color w:val="231F20"/>
          <w:spacing w:val="-7"/>
        </w:rPr>
        <w:t> </w:t>
      </w:r>
      <w:r>
        <w:rPr>
          <w:color w:val="231F20"/>
        </w:rPr>
        <w:t>la nationalité d’Alassane Ouattara (…)» Le RDR d’Alassane Ouattara souhaite</w:t>
      </w:r>
      <w:r>
        <w:rPr>
          <w:color w:val="231F20"/>
          <w:spacing w:val="-15"/>
        </w:rPr>
        <w:t> </w:t>
      </w:r>
      <w:r>
        <w:rPr>
          <w:color w:val="231F20"/>
        </w:rPr>
        <w:t>la</w:t>
      </w:r>
      <w:r>
        <w:rPr>
          <w:color w:val="231F20"/>
          <w:spacing w:val="-13"/>
        </w:rPr>
        <w:t> </w:t>
      </w:r>
      <w:r>
        <w:rPr>
          <w:color w:val="231F20"/>
        </w:rPr>
        <w:t>modification</w:t>
      </w:r>
      <w:r>
        <w:rPr>
          <w:color w:val="231F20"/>
          <w:spacing w:val="-12"/>
        </w:rPr>
        <w:t> </w:t>
      </w:r>
      <w:r>
        <w:rPr>
          <w:color w:val="231F20"/>
        </w:rPr>
        <w:t>de</w:t>
      </w:r>
      <w:r>
        <w:rPr>
          <w:color w:val="231F20"/>
          <w:spacing w:val="-10"/>
        </w:rPr>
        <w:t> </w:t>
      </w:r>
      <w:r>
        <w:rPr>
          <w:color w:val="231F20"/>
        </w:rPr>
        <w:t>l’article</w:t>
      </w:r>
      <w:r>
        <w:rPr>
          <w:color w:val="231F20"/>
          <w:spacing w:val="-10"/>
        </w:rPr>
        <w:t> </w:t>
      </w:r>
      <w:r>
        <w:rPr>
          <w:color w:val="231F20"/>
        </w:rPr>
        <w:t>35</w:t>
      </w:r>
      <w:r>
        <w:rPr>
          <w:color w:val="231F20"/>
          <w:spacing w:val="-10"/>
        </w:rPr>
        <w:t> </w:t>
      </w:r>
      <w:r>
        <w:rPr>
          <w:color w:val="231F20"/>
        </w:rPr>
        <w:t>de</w:t>
      </w:r>
      <w:r>
        <w:rPr>
          <w:color w:val="231F20"/>
          <w:spacing w:val="-12"/>
        </w:rPr>
        <w:t> </w:t>
      </w:r>
      <w:r>
        <w:rPr>
          <w:color w:val="231F20"/>
        </w:rPr>
        <w:t>ladite</w:t>
      </w:r>
      <w:r>
        <w:rPr>
          <w:color w:val="231F20"/>
          <w:spacing w:val="-9"/>
        </w:rPr>
        <w:t> </w:t>
      </w:r>
      <w:r>
        <w:rPr>
          <w:color w:val="231F20"/>
        </w:rPr>
        <w:t>Constitution</w:t>
      </w:r>
      <w:r>
        <w:rPr>
          <w:color w:val="231F20"/>
          <w:spacing w:val="-15"/>
        </w:rPr>
        <w:t> </w:t>
      </w:r>
      <w:r>
        <w:rPr>
          <w:color w:val="231F20"/>
        </w:rPr>
        <w:t>;</w:t>
      </w:r>
      <w:r>
        <w:rPr>
          <w:color w:val="231F20"/>
          <w:spacing w:val="-10"/>
        </w:rPr>
        <w:t> </w:t>
      </w:r>
      <w:r>
        <w:rPr>
          <w:color w:val="231F20"/>
        </w:rPr>
        <w:t>le</w:t>
      </w:r>
      <w:r>
        <w:rPr>
          <w:color w:val="231F20"/>
          <w:spacing w:val="-10"/>
        </w:rPr>
        <w:t> </w:t>
      </w:r>
      <w:r>
        <w:rPr>
          <w:color w:val="231F20"/>
        </w:rPr>
        <w:t>Forum propose une révision du code de la nationalité pour une cohabitation </w:t>
      </w:r>
      <w:r>
        <w:rPr>
          <w:color w:val="231F20"/>
          <w:spacing w:val="-4"/>
        </w:rPr>
        <w:t>harmonieuse entre</w:t>
      </w:r>
      <w:r>
        <w:rPr>
          <w:color w:val="231F20"/>
          <w:spacing w:val="-6"/>
        </w:rPr>
        <w:t> </w:t>
      </w:r>
      <w:r>
        <w:rPr>
          <w:color w:val="231F20"/>
          <w:spacing w:val="-4"/>
        </w:rPr>
        <w:t>les</w:t>
      </w:r>
      <w:r>
        <w:rPr>
          <w:color w:val="231F20"/>
          <w:spacing w:val="-5"/>
        </w:rPr>
        <w:t> </w:t>
      </w:r>
      <w:r>
        <w:rPr>
          <w:color w:val="231F20"/>
          <w:spacing w:val="-4"/>
        </w:rPr>
        <w:t>Communautés</w:t>
      </w:r>
      <w:r>
        <w:rPr>
          <w:color w:val="231F20"/>
          <w:spacing w:val="-5"/>
        </w:rPr>
        <w:t> </w:t>
      </w:r>
      <w:r>
        <w:rPr>
          <w:color w:val="231F20"/>
          <w:spacing w:val="-4"/>
        </w:rPr>
        <w:t>ivoiriennes</w:t>
      </w:r>
      <w:r>
        <w:rPr>
          <w:color w:val="231F20"/>
          <w:spacing w:val="-5"/>
        </w:rPr>
        <w:t> </w:t>
      </w:r>
      <w:r>
        <w:rPr>
          <w:color w:val="231F20"/>
          <w:spacing w:val="-4"/>
        </w:rPr>
        <w:t>et</w:t>
      </w:r>
      <w:r>
        <w:rPr>
          <w:color w:val="231F20"/>
          <w:spacing w:val="-7"/>
        </w:rPr>
        <w:t> </w:t>
      </w:r>
      <w:r>
        <w:rPr>
          <w:color w:val="231F20"/>
          <w:spacing w:val="-4"/>
        </w:rPr>
        <w:t>immigrées. Le Forum </w:t>
      </w:r>
      <w:r>
        <w:rPr>
          <w:color w:val="231F20"/>
          <w:spacing w:val="-2"/>
        </w:rPr>
        <w:t>reconnait</w:t>
      </w:r>
      <w:r>
        <w:rPr>
          <w:color w:val="231F20"/>
          <w:spacing w:val="-8"/>
        </w:rPr>
        <w:t> </w:t>
      </w:r>
      <w:r>
        <w:rPr>
          <w:color w:val="231F20"/>
          <w:spacing w:val="-2"/>
        </w:rPr>
        <w:t>la</w:t>
      </w:r>
      <w:r>
        <w:rPr>
          <w:color w:val="231F20"/>
          <w:spacing w:val="-8"/>
        </w:rPr>
        <w:t> </w:t>
      </w:r>
      <w:r>
        <w:rPr>
          <w:color w:val="231F20"/>
          <w:spacing w:val="-2"/>
        </w:rPr>
        <w:t>légitimité</w:t>
      </w:r>
      <w:r>
        <w:rPr>
          <w:color w:val="231F20"/>
          <w:spacing w:val="-9"/>
        </w:rPr>
        <w:t> </w:t>
      </w:r>
      <w:r>
        <w:rPr>
          <w:color w:val="231F20"/>
          <w:spacing w:val="-2"/>
        </w:rPr>
        <w:t>du</w:t>
      </w:r>
      <w:r>
        <w:rPr>
          <w:color w:val="231F20"/>
          <w:spacing w:val="-8"/>
        </w:rPr>
        <w:t> </w:t>
      </w:r>
      <w:r>
        <w:rPr>
          <w:color w:val="231F20"/>
          <w:spacing w:val="-2"/>
        </w:rPr>
        <w:t>pouvoir</w:t>
      </w:r>
      <w:r>
        <w:rPr>
          <w:color w:val="231F20"/>
          <w:spacing w:val="-6"/>
        </w:rPr>
        <w:t> </w:t>
      </w:r>
      <w:r>
        <w:rPr>
          <w:color w:val="231F20"/>
          <w:spacing w:val="-2"/>
        </w:rPr>
        <w:t>de</w:t>
      </w:r>
      <w:r>
        <w:rPr>
          <w:color w:val="231F20"/>
          <w:spacing w:val="-6"/>
        </w:rPr>
        <w:t> </w:t>
      </w:r>
      <w:r>
        <w:rPr>
          <w:color w:val="231F20"/>
          <w:spacing w:val="-2"/>
        </w:rPr>
        <w:t>Laurent</w:t>
      </w:r>
      <w:r>
        <w:rPr>
          <w:color w:val="231F20"/>
          <w:spacing w:val="-6"/>
        </w:rPr>
        <w:t> </w:t>
      </w:r>
      <w:r>
        <w:rPr>
          <w:color w:val="231F20"/>
          <w:spacing w:val="-2"/>
        </w:rPr>
        <w:t>Gbagbo,</w:t>
      </w:r>
      <w:r>
        <w:rPr>
          <w:color w:val="231F20"/>
          <w:spacing w:val="-4"/>
        </w:rPr>
        <w:t> </w:t>
      </w:r>
      <w:r>
        <w:rPr>
          <w:color w:val="231F20"/>
          <w:spacing w:val="-2"/>
        </w:rPr>
        <w:t>condamne</w:t>
      </w:r>
      <w:r>
        <w:rPr>
          <w:color w:val="231F20"/>
          <w:spacing w:val="-11"/>
        </w:rPr>
        <w:t> </w:t>
      </w:r>
      <w:r>
        <w:rPr>
          <w:color w:val="231F20"/>
          <w:spacing w:val="-2"/>
        </w:rPr>
        <w:t>dans</w:t>
      </w:r>
      <w:r>
        <w:rPr>
          <w:color w:val="231F20"/>
          <w:spacing w:val="-8"/>
        </w:rPr>
        <w:t> </w:t>
      </w:r>
      <w:r>
        <w:rPr>
          <w:color w:val="231F20"/>
          <w:spacing w:val="-2"/>
        </w:rPr>
        <w:t>le </w:t>
      </w:r>
      <w:r>
        <w:rPr>
          <w:color w:val="231F20"/>
        </w:rPr>
        <w:t>principe comme dans la forme, le coup d’État du 24 décembre 1999, </w:t>
      </w:r>
      <w:r>
        <w:rPr>
          <w:color w:val="231F20"/>
          <w:spacing w:val="-2"/>
        </w:rPr>
        <w:t>admet</w:t>
      </w:r>
      <w:r>
        <w:rPr>
          <w:color w:val="231F20"/>
          <w:spacing w:val="-11"/>
        </w:rPr>
        <w:t> </w:t>
      </w:r>
      <w:r>
        <w:rPr>
          <w:color w:val="231F20"/>
          <w:spacing w:val="-2"/>
        </w:rPr>
        <w:t>que</w:t>
      </w:r>
      <w:r>
        <w:rPr>
          <w:color w:val="231F20"/>
          <w:spacing w:val="-13"/>
        </w:rPr>
        <w:t> </w:t>
      </w:r>
      <w:r>
        <w:rPr>
          <w:color w:val="231F20"/>
          <w:spacing w:val="-2"/>
        </w:rPr>
        <w:t>les</w:t>
      </w:r>
      <w:r>
        <w:rPr>
          <w:color w:val="231F20"/>
          <w:spacing w:val="-12"/>
        </w:rPr>
        <w:t> </w:t>
      </w:r>
      <w:r>
        <w:rPr>
          <w:color w:val="231F20"/>
          <w:spacing w:val="-2"/>
        </w:rPr>
        <w:t>dix</w:t>
      </w:r>
      <w:r>
        <w:rPr>
          <w:color w:val="231F20"/>
          <w:spacing w:val="-11"/>
        </w:rPr>
        <w:t> </w:t>
      </w:r>
      <w:r>
        <w:rPr>
          <w:color w:val="231F20"/>
          <w:spacing w:val="-2"/>
        </w:rPr>
        <w:t>mois</w:t>
      </w:r>
      <w:r>
        <w:rPr>
          <w:color w:val="231F20"/>
          <w:spacing w:val="-13"/>
        </w:rPr>
        <w:t> </w:t>
      </w:r>
      <w:r>
        <w:rPr>
          <w:color w:val="231F20"/>
          <w:spacing w:val="-2"/>
        </w:rPr>
        <w:t>de</w:t>
      </w:r>
      <w:r>
        <w:rPr>
          <w:color w:val="231F20"/>
          <w:spacing w:val="-13"/>
        </w:rPr>
        <w:t> </w:t>
      </w:r>
      <w:r>
        <w:rPr>
          <w:color w:val="231F20"/>
          <w:spacing w:val="-2"/>
        </w:rPr>
        <w:t>transition</w:t>
      </w:r>
      <w:r>
        <w:rPr>
          <w:color w:val="231F20"/>
          <w:spacing w:val="-11"/>
        </w:rPr>
        <w:t> </w:t>
      </w:r>
      <w:r>
        <w:rPr>
          <w:color w:val="231F20"/>
          <w:spacing w:val="-2"/>
        </w:rPr>
        <w:t>militaire</w:t>
      </w:r>
      <w:r>
        <w:rPr>
          <w:color w:val="231F20"/>
          <w:spacing w:val="-13"/>
        </w:rPr>
        <w:t> </w:t>
      </w:r>
      <w:r>
        <w:rPr>
          <w:color w:val="231F20"/>
          <w:spacing w:val="-2"/>
        </w:rPr>
        <w:t>ont</w:t>
      </w:r>
      <w:r>
        <w:rPr>
          <w:color w:val="231F20"/>
          <w:spacing w:val="-11"/>
        </w:rPr>
        <w:t> </w:t>
      </w:r>
      <w:r>
        <w:rPr>
          <w:color w:val="231F20"/>
          <w:spacing w:val="-2"/>
        </w:rPr>
        <w:t>causé</w:t>
      </w:r>
      <w:r>
        <w:rPr>
          <w:color w:val="231F20"/>
          <w:spacing w:val="-13"/>
        </w:rPr>
        <w:t> </w:t>
      </w:r>
      <w:r>
        <w:rPr>
          <w:color w:val="231F20"/>
          <w:spacing w:val="-2"/>
        </w:rPr>
        <w:t>«</w:t>
      </w:r>
      <w:r>
        <w:rPr>
          <w:color w:val="231F20"/>
          <w:spacing w:val="-9"/>
        </w:rPr>
        <w:t> </w:t>
      </w:r>
      <w:r>
        <w:rPr>
          <w:color w:val="231F20"/>
          <w:spacing w:val="-2"/>
        </w:rPr>
        <w:t>une</w:t>
      </w:r>
      <w:r>
        <w:rPr>
          <w:color w:val="231F20"/>
          <w:spacing w:val="-13"/>
        </w:rPr>
        <w:t> </w:t>
      </w:r>
      <w:r>
        <w:rPr>
          <w:color w:val="231F20"/>
          <w:spacing w:val="-2"/>
        </w:rPr>
        <w:t>catastrophe </w:t>
      </w:r>
      <w:r>
        <w:rPr>
          <w:color w:val="231F20"/>
        </w:rPr>
        <w:t>politique, économique et sociale</w:t>
      </w:r>
      <w:r>
        <w:rPr>
          <w:color w:val="231F20"/>
          <w:spacing w:val="-15"/>
        </w:rPr>
        <w:t> </w:t>
      </w:r>
      <w:r>
        <w:rPr>
          <w:color w:val="231F20"/>
        </w:rPr>
        <w:t>». Le directoire du forum demande qu’une</w:t>
      </w:r>
      <w:r>
        <w:rPr>
          <w:color w:val="231F20"/>
          <w:spacing w:val="-7"/>
        </w:rPr>
        <w:t> </w:t>
      </w:r>
      <w:r>
        <w:rPr>
          <w:color w:val="231F20"/>
        </w:rPr>
        <w:t>enquête</w:t>
      </w:r>
      <w:r>
        <w:rPr>
          <w:color w:val="231F20"/>
          <w:spacing w:val="-9"/>
        </w:rPr>
        <w:t> </w:t>
      </w:r>
      <w:r>
        <w:rPr>
          <w:color w:val="231F20"/>
        </w:rPr>
        <w:t>soit</w:t>
      </w:r>
      <w:r>
        <w:rPr>
          <w:color w:val="231F20"/>
          <w:spacing w:val="-9"/>
        </w:rPr>
        <w:t> </w:t>
      </w:r>
      <w:r>
        <w:rPr>
          <w:color w:val="231F20"/>
        </w:rPr>
        <w:t>diligentée</w:t>
      </w:r>
      <w:r>
        <w:rPr>
          <w:color w:val="231F20"/>
          <w:spacing w:val="-8"/>
        </w:rPr>
        <w:t> </w:t>
      </w:r>
      <w:r>
        <w:rPr>
          <w:color w:val="231F20"/>
        </w:rPr>
        <w:t>sur</w:t>
      </w:r>
      <w:r>
        <w:rPr>
          <w:color w:val="231F20"/>
          <w:spacing w:val="-9"/>
        </w:rPr>
        <w:t> </w:t>
      </w:r>
      <w:r>
        <w:rPr>
          <w:color w:val="231F20"/>
        </w:rPr>
        <w:t>le</w:t>
      </w:r>
      <w:r>
        <w:rPr>
          <w:color w:val="231F20"/>
          <w:spacing w:val="-9"/>
        </w:rPr>
        <w:t> </w:t>
      </w:r>
      <w:r>
        <w:rPr>
          <w:color w:val="231F20"/>
        </w:rPr>
        <w:t>charnier</w:t>
      </w:r>
      <w:r>
        <w:rPr>
          <w:color w:val="231F20"/>
          <w:spacing w:val="-9"/>
        </w:rPr>
        <w:t> </w:t>
      </w:r>
      <w:r>
        <w:rPr>
          <w:color w:val="231F20"/>
        </w:rPr>
        <w:t>de</w:t>
      </w:r>
      <w:r>
        <w:rPr>
          <w:color w:val="231F20"/>
          <w:spacing w:val="-7"/>
        </w:rPr>
        <w:t> </w:t>
      </w:r>
      <w:r>
        <w:rPr>
          <w:color w:val="231F20"/>
        </w:rPr>
        <w:t>Yopougon</w:t>
      </w:r>
      <w:r>
        <w:rPr>
          <w:color w:val="231F20"/>
          <w:spacing w:val="-7"/>
        </w:rPr>
        <w:t> </w:t>
      </w:r>
      <w:r>
        <w:rPr>
          <w:color w:val="231F20"/>
        </w:rPr>
        <w:t>où</w:t>
      </w:r>
      <w:r>
        <w:rPr>
          <w:color w:val="231F20"/>
          <w:spacing w:val="-7"/>
        </w:rPr>
        <w:t> </w:t>
      </w:r>
      <w:r>
        <w:rPr>
          <w:color w:val="231F20"/>
        </w:rPr>
        <w:t>57</w:t>
      </w:r>
      <w:r>
        <w:rPr>
          <w:color w:val="231F20"/>
          <w:spacing w:val="-7"/>
        </w:rPr>
        <w:t> </w:t>
      </w:r>
      <w:r>
        <w:rPr>
          <w:color w:val="231F20"/>
        </w:rPr>
        <w:t>corps avaient été retrouvés à la suite des affrontements des 25 et 26 octobre 2000, consécutifs</w:t>
      </w:r>
      <w:r>
        <w:rPr>
          <w:color w:val="231F20"/>
          <w:spacing w:val="-1"/>
        </w:rPr>
        <w:t> </w:t>
      </w:r>
      <w:r>
        <w:rPr>
          <w:color w:val="231F20"/>
        </w:rPr>
        <w:t>à l’élection présidentielle.</w:t>
      </w:r>
    </w:p>
    <w:p>
      <w:pPr>
        <w:pStyle w:val="BodyText"/>
        <w:spacing w:before="121"/>
        <w:ind w:right="103" w:firstLine="283"/>
      </w:pPr>
      <w:r>
        <w:rPr>
          <w:color w:val="231F20"/>
          <w:spacing w:val="-2"/>
        </w:rPr>
        <w:t>Le</w:t>
      </w:r>
      <w:r>
        <w:rPr>
          <w:color w:val="231F20"/>
          <w:spacing w:val="-13"/>
        </w:rPr>
        <w:t> </w:t>
      </w:r>
      <w:r>
        <w:rPr>
          <w:color w:val="231F20"/>
          <w:spacing w:val="-2"/>
        </w:rPr>
        <w:t>18</w:t>
      </w:r>
      <w:r>
        <w:rPr>
          <w:color w:val="231F20"/>
          <w:spacing w:val="-13"/>
        </w:rPr>
        <w:t> </w:t>
      </w:r>
      <w:r>
        <w:rPr>
          <w:color w:val="231F20"/>
          <w:spacing w:val="-2"/>
        </w:rPr>
        <w:t>décembre</w:t>
      </w:r>
      <w:r>
        <w:rPr>
          <w:color w:val="231F20"/>
          <w:spacing w:val="-13"/>
        </w:rPr>
        <w:t> </w:t>
      </w:r>
      <w:r>
        <w:rPr>
          <w:color w:val="231F20"/>
          <w:spacing w:val="-2"/>
        </w:rPr>
        <w:t>2001,</w:t>
      </w:r>
      <w:r>
        <w:rPr>
          <w:color w:val="231F20"/>
          <w:spacing w:val="-13"/>
        </w:rPr>
        <w:t> </w:t>
      </w:r>
      <w:r>
        <w:rPr>
          <w:color w:val="231F20"/>
          <w:spacing w:val="-2"/>
        </w:rPr>
        <w:t>Laurent</w:t>
      </w:r>
      <w:r>
        <w:rPr>
          <w:color w:val="231F20"/>
          <w:spacing w:val="-13"/>
        </w:rPr>
        <w:t> </w:t>
      </w:r>
      <w:r>
        <w:rPr>
          <w:color w:val="231F20"/>
          <w:spacing w:val="-2"/>
        </w:rPr>
        <w:t>Gbagbo</w:t>
      </w:r>
      <w:r>
        <w:rPr>
          <w:color w:val="231F20"/>
          <w:spacing w:val="-13"/>
        </w:rPr>
        <w:t> </w:t>
      </w:r>
      <w:r>
        <w:rPr>
          <w:color w:val="231F20"/>
          <w:spacing w:val="-2"/>
        </w:rPr>
        <w:t>invite</w:t>
      </w:r>
      <w:r>
        <w:rPr>
          <w:color w:val="231F20"/>
          <w:spacing w:val="-13"/>
        </w:rPr>
        <w:t> </w:t>
      </w:r>
      <w:r>
        <w:rPr>
          <w:color w:val="231F20"/>
          <w:spacing w:val="-2"/>
        </w:rPr>
        <w:t>à</w:t>
      </w:r>
      <w:r>
        <w:rPr>
          <w:color w:val="231F20"/>
          <w:spacing w:val="-13"/>
        </w:rPr>
        <w:t> </w:t>
      </w:r>
      <w:r>
        <w:rPr>
          <w:color w:val="231F20"/>
          <w:spacing w:val="-2"/>
        </w:rPr>
        <w:t>déjeuner</w:t>
      </w:r>
      <w:r>
        <w:rPr>
          <w:color w:val="231F20"/>
          <w:spacing w:val="-13"/>
        </w:rPr>
        <w:t> </w:t>
      </w:r>
      <w:r>
        <w:rPr>
          <w:color w:val="231F20"/>
          <w:spacing w:val="-2"/>
        </w:rPr>
        <w:t>Henri</w:t>
      </w:r>
      <w:r>
        <w:rPr>
          <w:color w:val="231F20"/>
          <w:spacing w:val="-13"/>
        </w:rPr>
        <w:t> </w:t>
      </w:r>
      <w:r>
        <w:rPr>
          <w:color w:val="231F20"/>
          <w:spacing w:val="-2"/>
        </w:rPr>
        <w:t>Konan </w:t>
      </w:r>
      <w:r>
        <w:rPr>
          <w:color w:val="231F20"/>
        </w:rPr>
        <w:t>Bédié(PDCI), ancien chef de l’État, Alassane Ouattara (RDR), ancien Premier</w:t>
      </w:r>
      <w:r>
        <w:rPr>
          <w:color w:val="231F20"/>
          <w:spacing w:val="-15"/>
        </w:rPr>
        <w:t> </w:t>
      </w:r>
      <w:r>
        <w:rPr>
          <w:color w:val="231F20"/>
        </w:rPr>
        <w:t>Ministre,</w:t>
      </w:r>
      <w:r>
        <w:rPr>
          <w:color w:val="231F20"/>
          <w:spacing w:val="-15"/>
        </w:rPr>
        <w:t> </w:t>
      </w:r>
      <w:r>
        <w:rPr>
          <w:color w:val="231F20"/>
        </w:rPr>
        <w:t>leader</w:t>
      </w:r>
      <w:r>
        <w:rPr>
          <w:color w:val="231F20"/>
          <w:spacing w:val="-15"/>
        </w:rPr>
        <w:t> </w:t>
      </w:r>
      <w:r>
        <w:rPr>
          <w:color w:val="231F20"/>
        </w:rPr>
        <w:t>du</w:t>
      </w:r>
      <w:r>
        <w:rPr>
          <w:color w:val="231F20"/>
          <w:spacing w:val="-15"/>
        </w:rPr>
        <w:t> </w:t>
      </w:r>
      <w:r>
        <w:rPr>
          <w:color w:val="231F20"/>
        </w:rPr>
        <w:t>RDR</w:t>
      </w:r>
      <w:r>
        <w:rPr>
          <w:color w:val="231F20"/>
          <w:spacing w:val="-15"/>
        </w:rPr>
        <w:t> </w:t>
      </w:r>
      <w:r>
        <w:rPr>
          <w:color w:val="231F20"/>
        </w:rPr>
        <w:t>et</w:t>
      </w:r>
      <w:r>
        <w:rPr>
          <w:color w:val="231F20"/>
          <w:spacing w:val="-15"/>
        </w:rPr>
        <w:t> </w:t>
      </w:r>
      <w:r>
        <w:rPr>
          <w:color w:val="231F20"/>
        </w:rPr>
        <w:t>Robert</w:t>
      </w:r>
      <w:r>
        <w:rPr>
          <w:color w:val="231F20"/>
          <w:spacing w:val="-15"/>
        </w:rPr>
        <w:t> </w:t>
      </w:r>
      <w:r>
        <w:rPr>
          <w:color w:val="231F20"/>
        </w:rPr>
        <w:t>Gueï</w:t>
      </w:r>
      <w:r>
        <w:rPr>
          <w:color w:val="231F20"/>
          <w:spacing w:val="-15"/>
        </w:rPr>
        <w:t> </w:t>
      </w:r>
      <w:r>
        <w:rPr>
          <w:color w:val="231F20"/>
        </w:rPr>
        <w:t>(UDPCI),</w:t>
      </w:r>
      <w:r>
        <w:rPr>
          <w:color w:val="231F20"/>
          <w:spacing w:val="-15"/>
        </w:rPr>
        <w:t> </w:t>
      </w:r>
      <w:r>
        <w:rPr>
          <w:color w:val="231F20"/>
        </w:rPr>
        <w:t>ex-chef</w:t>
      </w:r>
      <w:r>
        <w:rPr>
          <w:color w:val="231F20"/>
          <w:spacing w:val="-15"/>
        </w:rPr>
        <w:t> </w:t>
      </w:r>
      <w:r>
        <w:rPr>
          <w:color w:val="231F20"/>
        </w:rPr>
        <w:t>de</w:t>
      </w:r>
      <w:r>
        <w:rPr>
          <w:color w:val="231F20"/>
          <w:spacing w:val="-15"/>
        </w:rPr>
        <w:t> </w:t>
      </w:r>
      <w:r>
        <w:rPr>
          <w:color w:val="231F20"/>
        </w:rPr>
        <w:t>la junte pour sceller la fin de longs mois d’incompréhension politique. </w:t>
      </w:r>
      <w:r>
        <w:rPr>
          <w:color w:val="231F20"/>
          <w:spacing w:val="-2"/>
        </w:rPr>
        <w:t>Nonobstant</w:t>
      </w:r>
      <w:r>
        <w:rPr>
          <w:color w:val="231F20"/>
          <w:spacing w:val="-11"/>
        </w:rPr>
        <w:t> </w:t>
      </w:r>
      <w:r>
        <w:rPr>
          <w:color w:val="231F20"/>
          <w:spacing w:val="-2"/>
        </w:rPr>
        <w:t>le</w:t>
      </w:r>
      <w:r>
        <w:rPr>
          <w:color w:val="231F20"/>
          <w:spacing w:val="-10"/>
        </w:rPr>
        <w:t> </w:t>
      </w:r>
      <w:r>
        <w:rPr>
          <w:color w:val="231F20"/>
          <w:spacing w:val="-2"/>
        </w:rPr>
        <w:t>refus</w:t>
      </w:r>
      <w:r>
        <w:rPr>
          <w:color w:val="231F20"/>
          <w:spacing w:val="-10"/>
        </w:rPr>
        <w:t> </w:t>
      </w:r>
      <w:r>
        <w:rPr>
          <w:color w:val="231F20"/>
          <w:spacing w:val="-2"/>
        </w:rPr>
        <w:t>de</w:t>
      </w:r>
      <w:r>
        <w:rPr>
          <w:color w:val="231F20"/>
          <w:spacing w:val="-13"/>
        </w:rPr>
        <w:t> </w:t>
      </w:r>
      <w:r>
        <w:rPr>
          <w:color w:val="231F20"/>
          <w:spacing w:val="-2"/>
        </w:rPr>
        <w:t>Henri</w:t>
      </w:r>
      <w:r>
        <w:rPr>
          <w:color w:val="231F20"/>
          <w:spacing w:val="-10"/>
        </w:rPr>
        <w:t> </w:t>
      </w:r>
      <w:r>
        <w:rPr>
          <w:color w:val="231F20"/>
          <w:spacing w:val="-2"/>
        </w:rPr>
        <w:t>Konan</w:t>
      </w:r>
      <w:r>
        <w:rPr>
          <w:color w:val="231F20"/>
          <w:spacing w:val="-12"/>
        </w:rPr>
        <w:t> </w:t>
      </w:r>
      <w:r>
        <w:rPr>
          <w:color w:val="231F20"/>
          <w:spacing w:val="-2"/>
        </w:rPr>
        <w:t>Bédié,</w:t>
      </w:r>
      <w:r>
        <w:rPr>
          <w:color w:val="231F20"/>
          <w:spacing w:val="-12"/>
        </w:rPr>
        <w:t> </w:t>
      </w:r>
      <w:r>
        <w:rPr>
          <w:color w:val="231F20"/>
          <w:spacing w:val="-2"/>
        </w:rPr>
        <w:t>président</w:t>
      </w:r>
      <w:r>
        <w:rPr>
          <w:color w:val="231F20"/>
          <w:spacing w:val="-10"/>
        </w:rPr>
        <w:t> </w:t>
      </w:r>
      <w:r>
        <w:rPr>
          <w:color w:val="231F20"/>
          <w:spacing w:val="-2"/>
        </w:rPr>
        <w:t>du</w:t>
      </w:r>
      <w:r>
        <w:rPr>
          <w:color w:val="231F20"/>
          <w:spacing w:val="-12"/>
        </w:rPr>
        <w:t> </w:t>
      </w:r>
      <w:r>
        <w:rPr>
          <w:color w:val="231F20"/>
          <w:spacing w:val="-2"/>
        </w:rPr>
        <w:t>PDCI</w:t>
      </w:r>
      <w:r>
        <w:rPr>
          <w:color w:val="231F20"/>
          <w:spacing w:val="-12"/>
        </w:rPr>
        <w:t> </w:t>
      </w:r>
      <w:r>
        <w:rPr>
          <w:color w:val="231F20"/>
          <w:spacing w:val="-2"/>
        </w:rPr>
        <w:t>d’être</w:t>
      </w:r>
      <w:r>
        <w:rPr>
          <w:color w:val="231F20"/>
          <w:spacing w:val="-10"/>
        </w:rPr>
        <w:t> </w:t>
      </w:r>
      <w:r>
        <w:rPr>
          <w:color w:val="231F20"/>
          <w:spacing w:val="-2"/>
        </w:rPr>
        <w:t>à</w:t>
      </w:r>
      <w:r>
        <w:rPr>
          <w:color w:val="231F20"/>
          <w:spacing w:val="-12"/>
        </w:rPr>
        <w:t> </w:t>
      </w:r>
      <w:r>
        <w:rPr>
          <w:color w:val="231F20"/>
          <w:spacing w:val="-2"/>
        </w:rPr>
        <w:t>la </w:t>
      </w:r>
      <w:r>
        <w:rPr>
          <w:color w:val="231F20"/>
        </w:rPr>
        <w:t>rencontre parce qu’il ne veut pas s’asseoir à la même table que Robert Gueï, l’homme qui l’a renversé, les Ivoiriens poussent un «</w:t>
      </w:r>
      <w:r>
        <w:rPr>
          <w:color w:val="231F20"/>
          <w:spacing w:val="-14"/>
        </w:rPr>
        <w:t> </w:t>
      </w:r>
      <w:r>
        <w:rPr>
          <w:color w:val="231F20"/>
        </w:rPr>
        <w:t>ouf</w:t>
      </w:r>
      <w:r>
        <w:rPr>
          <w:color w:val="231F20"/>
          <w:spacing w:val="-13"/>
        </w:rPr>
        <w:t> </w:t>
      </w:r>
      <w:r>
        <w:rPr>
          <w:color w:val="231F20"/>
        </w:rPr>
        <w:t>» de soulagement</w:t>
      </w:r>
      <w:r>
        <w:rPr>
          <w:color w:val="231F20"/>
          <w:spacing w:val="-15"/>
        </w:rPr>
        <w:t> </w:t>
      </w:r>
      <w:r>
        <w:rPr>
          <w:color w:val="231F20"/>
        </w:rPr>
        <w:t>:</w:t>
      </w:r>
      <w:r>
        <w:rPr>
          <w:color w:val="231F20"/>
          <w:spacing w:val="-5"/>
        </w:rPr>
        <w:t> </w:t>
      </w:r>
      <w:r>
        <w:rPr>
          <w:color w:val="231F20"/>
        </w:rPr>
        <w:t>les «</w:t>
      </w:r>
      <w:r>
        <w:rPr>
          <w:color w:val="231F20"/>
          <w:spacing w:val="-15"/>
        </w:rPr>
        <w:t> </w:t>
      </w:r>
      <w:r>
        <w:rPr>
          <w:color w:val="231F20"/>
        </w:rPr>
        <w:t>ennemis</w:t>
      </w:r>
      <w:r>
        <w:rPr>
          <w:color w:val="231F20"/>
          <w:spacing w:val="-15"/>
        </w:rPr>
        <w:t> </w:t>
      </w:r>
      <w:r>
        <w:rPr>
          <w:color w:val="231F20"/>
        </w:rPr>
        <w:t>» ont accepté enfin de boire le champagne </w:t>
      </w:r>
      <w:r>
        <w:rPr>
          <w:color w:val="231F20"/>
          <w:spacing w:val="-2"/>
        </w:rPr>
        <w:t>ensemble,</w:t>
      </w:r>
      <w:r>
        <w:rPr>
          <w:color w:val="231F20"/>
          <w:spacing w:val="-8"/>
        </w:rPr>
        <w:t> </w:t>
      </w:r>
      <w:r>
        <w:rPr>
          <w:color w:val="231F20"/>
          <w:spacing w:val="-2"/>
        </w:rPr>
        <w:t>autour</w:t>
      </w:r>
      <w:r>
        <w:rPr>
          <w:color w:val="231F20"/>
          <w:spacing w:val="-11"/>
        </w:rPr>
        <w:t> </w:t>
      </w:r>
      <w:r>
        <w:rPr>
          <w:color w:val="231F20"/>
          <w:spacing w:val="-2"/>
        </w:rPr>
        <w:t>d’une</w:t>
      </w:r>
      <w:r>
        <w:rPr>
          <w:color w:val="231F20"/>
          <w:spacing w:val="-11"/>
        </w:rPr>
        <w:t> </w:t>
      </w:r>
      <w:r>
        <w:rPr>
          <w:color w:val="231F20"/>
          <w:spacing w:val="-2"/>
        </w:rPr>
        <w:t>même</w:t>
      </w:r>
      <w:r>
        <w:rPr>
          <w:color w:val="231F20"/>
          <w:spacing w:val="-8"/>
        </w:rPr>
        <w:t> </w:t>
      </w:r>
      <w:r>
        <w:rPr>
          <w:color w:val="231F20"/>
          <w:spacing w:val="-2"/>
        </w:rPr>
        <w:t>table.</w:t>
      </w:r>
      <w:r>
        <w:rPr>
          <w:color w:val="231F20"/>
          <w:spacing w:val="-10"/>
        </w:rPr>
        <w:t> </w:t>
      </w:r>
      <w:r>
        <w:rPr>
          <w:color w:val="231F20"/>
          <w:spacing w:val="-2"/>
        </w:rPr>
        <w:t>Mais</w:t>
      </w:r>
      <w:r>
        <w:rPr>
          <w:color w:val="231F20"/>
          <w:spacing w:val="-10"/>
        </w:rPr>
        <w:t> </w:t>
      </w:r>
      <w:r>
        <w:rPr>
          <w:color w:val="231F20"/>
          <w:spacing w:val="-2"/>
        </w:rPr>
        <w:t>les</w:t>
      </w:r>
      <w:r>
        <w:rPr>
          <w:color w:val="231F20"/>
          <w:spacing w:val="-10"/>
        </w:rPr>
        <w:t> </w:t>
      </w:r>
      <w:r>
        <w:rPr>
          <w:color w:val="231F20"/>
          <w:spacing w:val="-2"/>
        </w:rPr>
        <w:t>réalités</w:t>
      </w:r>
      <w:r>
        <w:rPr>
          <w:color w:val="231F20"/>
          <w:spacing w:val="-8"/>
        </w:rPr>
        <w:t> </w:t>
      </w:r>
      <w:r>
        <w:rPr>
          <w:color w:val="231F20"/>
          <w:spacing w:val="-2"/>
        </w:rPr>
        <w:t>ont</w:t>
      </w:r>
      <w:r>
        <w:rPr>
          <w:color w:val="231F20"/>
          <w:spacing w:val="-10"/>
        </w:rPr>
        <w:t> </w:t>
      </w:r>
      <w:r>
        <w:rPr>
          <w:color w:val="231F20"/>
          <w:spacing w:val="-2"/>
        </w:rPr>
        <w:t>la</w:t>
      </w:r>
      <w:r>
        <w:rPr>
          <w:color w:val="231F20"/>
          <w:spacing w:val="-11"/>
        </w:rPr>
        <w:t> </w:t>
      </w:r>
      <w:r>
        <w:rPr>
          <w:color w:val="231F20"/>
          <w:spacing w:val="-2"/>
        </w:rPr>
        <w:t>vie</w:t>
      </w:r>
      <w:r>
        <w:rPr>
          <w:color w:val="231F20"/>
          <w:spacing w:val="-11"/>
        </w:rPr>
        <w:t> </w:t>
      </w:r>
      <w:r>
        <w:rPr>
          <w:color w:val="231F20"/>
          <w:spacing w:val="-2"/>
        </w:rPr>
        <w:t>dure.</w:t>
      </w:r>
      <w:r>
        <w:rPr>
          <w:color w:val="231F20"/>
          <w:spacing w:val="-9"/>
        </w:rPr>
        <w:t> </w:t>
      </w:r>
      <w:r>
        <w:rPr>
          <w:color w:val="231F20"/>
          <w:spacing w:val="-2"/>
        </w:rPr>
        <w:t>Les </w:t>
      </w:r>
      <w:r>
        <w:rPr>
          <w:color w:val="231F20"/>
        </w:rPr>
        <w:t>déclarations apaisantes des trois leaders à la télévision, ne sont qu’un </w:t>
      </w:r>
      <w:r>
        <w:rPr>
          <w:color w:val="231F20"/>
          <w:spacing w:val="-4"/>
        </w:rPr>
        <w:t>écran</w:t>
      </w:r>
      <w:r>
        <w:rPr>
          <w:color w:val="231F20"/>
          <w:spacing w:val="-7"/>
        </w:rPr>
        <w:t> </w:t>
      </w:r>
      <w:r>
        <w:rPr>
          <w:color w:val="231F20"/>
          <w:spacing w:val="-4"/>
        </w:rPr>
        <w:t>de</w:t>
      </w:r>
      <w:r>
        <w:rPr>
          <w:color w:val="231F20"/>
          <w:spacing w:val="-7"/>
        </w:rPr>
        <w:t> </w:t>
      </w:r>
      <w:r>
        <w:rPr>
          <w:color w:val="231F20"/>
          <w:spacing w:val="-4"/>
        </w:rPr>
        <w:t>fumée.</w:t>
      </w:r>
      <w:r>
        <w:rPr>
          <w:color w:val="231F20"/>
          <w:spacing w:val="-7"/>
        </w:rPr>
        <w:t> </w:t>
      </w:r>
      <w:r>
        <w:rPr>
          <w:color w:val="231F20"/>
          <w:spacing w:val="-4"/>
        </w:rPr>
        <w:t>L’Armée</w:t>
      </w:r>
      <w:r>
        <w:rPr>
          <w:color w:val="231F20"/>
          <w:spacing w:val="-9"/>
        </w:rPr>
        <w:t> </w:t>
      </w:r>
      <w:r>
        <w:rPr>
          <w:color w:val="231F20"/>
          <w:spacing w:val="-4"/>
        </w:rPr>
        <w:t>est</w:t>
      </w:r>
      <w:r>
        <w:rPr>
          <w:color w:val="231F20"/>
          <w:spacing w:val="-7"/>
        </w:rPr>
        <w:t> </w:t>
      </w:r>
      <w:r>
        <w:rPr>
          <w:color w:val="231F20"/>
          <w:spacing w:val="-4"/>
        </w:rPr>
        <w:t>toujours</w:t>
      </w:r>
      <w:r>
        <w:rPr>
          <w:color w:val="231F20"/>
          <w:spacing w:val="-7"/>
        </w:rPr>
        <w:t> </w:t>
      </w:r>
      <w:r>
        <w:rPr>
          <w:color w:val="231F20"/>
          <w:spacing w:val="-4"/>
        </w:rPr>
        <w:t>en</w:t>
      </w:r>
      <w:r>
        <w:rPr>
          <w:color w:val="231F20"/>
          <w:spacing w:val="-7"/>
        </w:rPr>
        <w:t> </w:t>
      </w:r>
      <w:r>
        <w:rPr>
          <w:color w:val="231F20"/>
          <w:spacing w:val="-4"/>
        </w:rPr>
        <w:t>proie</w:t>
      </w:r>
      <w:r>
        <w:rPr>
          <w:color w:val="231F20"/>
          <w:spacing w:val="-7"/>
        </w:rPr>
        <w:t> </w:t>
      </w:r>
      <w:r>
        <w:rPr>
          <w:color w:val="231F20"/>
          <w:spacing w:val="-4"/>
        </w:rPr>
        <w:t>à</w:t>
      </w:r>
      <w:r>
        <w:rPr>
          <w:color w:val="231F20"/>
          <w:spacing w:val="-7"/>
        </w:rPr>
        <w:t> </w:t>
      </w:r>
      <w:r>
        <w:rPr>
          <w:color w:val="231F20"/>
          <w:spacing w:val="-4"/>
        </w:rPr>
        <w:t>des</w:t>
      </w:r>
      <w:r>
        <w:rPr>
          <w:color w:val="231F20"/>
          <w:spacing w:val="-9"/>
        </w:rPr>
        <w:t> </w:t>
      </w:r>
      <w:r>
        <w:rPr>
          <w:color w:val="231F20"/>
          <w:spacing w:val="-4"/>
        </w:rPr>
        <w:t>divisions</w:t>
      </w:r>
      <w:r>
        <w:rPr>
          <w:color w:val="231F20"/>
          <w:spacing w:val="-7"/>
        </w:rPr>
        <w:t> </w:t>
      </w:r>
      <w:r>
        <w:rPr>
          <w:color w:val="231F20"/>
          <w:spacing w:val="-4"/>
        </w:rPr>
        <w:t>partisanes</w:t>
      </w:r>
      <w:r>
        <w:rPr>
          <w:color w:val="231F20"/>
        </w:rPr>
        <w:t> </w:t>
      </w:r>
      <w:r>
        <w:rPr>
          <w:color w:val="231F20"/>
          <w:spacing w:val="-4"/>
        </w:rPr>
        <w:t>: pro-Bédié, pro-Guei,</w:t>
      </w:r>
      <w:r>
        <w:rPr>
          <w:color w:val="231F20"/>
          <w:spacing w:val="-8"/>
        </w:rPr>
        <w:t> </w:t>
      </w:r>
      <w:r>
        <w:rPr>
          <w:color w:val="231F20"/>
          <w:spacing w:val="-4"/>
        </w:rPr>
        <w:t>pro-Alassane,</w:t>
      </w:r>
      <w:r>
        <w:rPr>
          <w:color w:val="231F20"/>
          <w:spacing w:val="-8"/>
        </w:rPr>
        <w:t> </w:t>
      </w:r>
      <w:r>
        <w:rPr>
          <w:color w:val="231F20"/>
          <w:spacing w:val="-4"/>
        </w:rPr>
        <w:t>pro</w:t>
      </w:r>
      <w:r>
        <w:rPr>
          <w:color w:val="231F20"/>
          <w:spacing w:val="-8"/>
        </w:rPr>
        <w:t> </w:t>
      </w:r>
      <w:r>
        <w:rPr>
          <w:color w:val="231F20"/>
          <w:spacing w:val="-4"/>
        </w:rPr>
        <w:t>Gbagbo</w:t>
      </w:r>
      <w:r>
        <w:rPr>
          <w:color w:val="231F20"/>
          <w:spacing w:val="-7"/>
        </w:rPr>
        <w:t> </w:t>
      </w:r>
      <w:r>
        <w:rPr>
          <w:color w:val="231F20"/>
          <w:spacing w:val="-4"/>
        </w:rPr>
        <w:t>et</w:t>
      </w:r>
      <w:r>
        <w:rPr>
          <w:color w:val="231F20"/>
          <w:spacing w:val="-7"/>
        </w:rPr>
        <w:t> </w:t>
      </w:r>
      <w:r>
        <w:rPr>
          <w:color w:val="231F20"/>
          <w:spacing w:val="-4"/>
        </w:rPr>
        <w:t>demeure</w:t>
      </w:r>
      <w:r>
        <w:rPr>
          <w:color w:val="231F20"/>
          <w:spacing w:val="-6"/>
        </w:rPr>
        <w:t> </w:t>
      </w:r>
      <w:r>
        <w:rPr>
          <w:color w:val="231F20"/>
          <w:spacing w:val="-4"/>
        </w:rPr>
        <w:t>un</w:t>
      </w:r>
      <w:r>
        <w:rPr>
          <w:color w:val="231F20"/>
          <w:spacing w:val="-8"/>
        </w:rPr>
        <w:t> </w:t>
      </w:r>
      <w:r>
        <w:rPr>
          <w:color w:val="231F20"/>
          <w:spacing w:val="-4"/>
        </w:rPr>
        <w:t>dangereux </w:t>
      </w:r>
      <w:r>
        <w:rPr>
          <w:color w:val="231F20"/>
          <w:spacing w:val="-2"/>
        </w:rPr>
        <w:t>facteur</w:t>
      </w:r>
      <w:r>
        <w:rPr>
          <w:color w:val="231F20"/>
          <w:spacing w:val="-7"/>
        </w:rPr>
        <w:t> </w:t>
      </w:r>
      <w:r>
        <w:rPr>
          <w:color w:val="231F20"/>
          <w:spacing w:val="-2"/>
        </w:rPr>
        <w:t>d’instabilité.</w:t>
      </w:r>
      <w:r>
        <w:rPr>
          <w:color w:val="231F20"/>
          <w:spacing w:val="-8"/>
        </w:rPr>
        <w:t> </w:t>
      </w:r>
      <w:r>
        <w:rPr>
          <w:color w:val="231F20"/>
          <w:spacing w:val="-2"/>
        </w:rPr>
        <w:t>Bien</w:t>
      </w:r>
      <w:r>
        <w:rPr>
          <w:color w:val="231F20"/>
          <w:spacing w:val="-10"/>
        </w:rPr>
        <w:t> </w:t>
      </w:r>
      <w:r>
        <w:rPr>
          <w:color w:val="231F20"/>
          <w:spacing w:val="-2"/>
        </w:rPr>
        <w:t>qu’officiellement</w:t>
      </w:r>
      <w:r>
        <w:rPr>
          <w:color w:val="231F20"/>
          <w:spacing w:val="-6"/>
        </w:rPr>
        <w:t> </w:t>
      </w:r>
      <w:r>
        <w:rPr>
          <w:color w:val="231F20"/>
          <w:spacing w:val="-2"/>
        </w:rPr>
        <w:t>rentrés</w:t>
      </w:r>
      <w:r>
        <w:rPr>
          <w:color w:val="231F20"/>
          <w:spacing w:val="-9"/>
        </w:rPr>
        <w:t> </w:t>
      </w:r>
      <w:r>
        <w:rPr>
          <w:color w:val="231F20"/>
          <w:spacing w:val="-2"/>
        </w:rPr>
        <w:t>dans</w:t>
      </w:r>
      <w:r>
        <w:rPr>
          <w:color w:val="231F20"/>
          <w:spacing w:val="-7"/>
        </w:rPr>
        <w:t> </w:t>
      </w:r>
      <w:r>
        <w:rPr>
          <w:color w:val="231F20"/>
          <w:spacing w:val="-2"/>
        </w:rPr>
        <w:t>les</w:t>
      </w:r>
      <w:r>
        <w:rPr>
          <w:color w:val="231F20"/>
          <w:spacing w:val="-8"/>
        </w:rPr>
        <w:t> </w:t>
      </w:r>
      <w:r>
        <w:rPr>
          <w:color w:val="231F20"/>
          <w:spacing w:val="-2"/>
        </w:rPr>
        <w:t>casernes,</w:t>
      </w:r>
      <w:r>
        <w:rPr>
          <w:color w:val="231F20"/>
          <w:spacing w:val="-9"/>
        </w:rPr>
        <w:t> </w:t>
      </w:r>
      <w:r>
        <w:rPr>
          <w:color w:val="231F20"/>
          <w:spacing w:val="-2"/>
        </w:rPr>
        <w:t>les </w:t>
      </w:r>
      <w:r>
        <w:rPr>
          <w:color w:val="231F20"/>
        </w:rPr>
        <w:t>hommes</w:t>
      </w:r>
      <w:r>
        <w:rPr>
          <w:color w:val="231F20"/>
          <w:spacing w:val="-15"/>
        </w:rPr>
        <w:t> </w:t>
      </w:r>
      <w:r>
        <w:rPr>
          <w:color w:val="231F20"/>
        </w:rPr>
        <w:t>en</w:t>
      </w:r>
      <w:r>
        <w:rPr>
          <w:color w:val="231F20"/>
          <w:spacing w:val="-15"/>
        </w:rPr>
        <w:t> </w:t>
      </w:r>
      <w:r>
        <w:rPr>
          <w:color w:val="231F20"/>
        </w:rPr>
        <w:t>armes</w:t>
      </w:r>
      <w:r>
        <w:rPr>
          <w:color w:val="231F20"/>
          <w:spacing w:val="-15"/>
        </w:rPr>
        <w:t> </w:t>
      </w:r>
      <w:r>
        <w:rPr>
          <w:color w:val="231F20"/>
        </w:rPr>
        <w:t>restent</w:t>
      </w:r>
      <w:r>
        <w:rPr>
          <w:color w:val="231F20"/>
          <w:spacing w:val="-15"/>
        </w:rPr>
        <w:t> </w:t>
      </w:r>
      <w:r>
        <w:rPr>
          <w:color w:val="231F20"/>
        </w:rPr>
        <w:t>présents</w:t>
      </w:r>
      <w:r>
        <w:rPr>
          <w:color w:val="231F20"/>
          <w:spacing w:val="-15"/>
        </w:rPr>
        <w:t> </w:t>
      </w:r>
      <w:r>
        <w:rPr>
          <w:color w:val="231F20"/>
        </w:rPr>
        <w:t>dans</w:t>
      </w:r>
      <w:r>
        <w:rPr>
          <w:color w:val="231F20"/>
          <w:spacing w:val="-15"/>
        </w:rPr>
        <w:t> </w:t>
      </w:r>
      <w:r>
        <w:rPr>
          <w:color w:val="231F20"/>
        </w:rPr>
        <w:t>la</w:t>
      </w:r>
      <w:r>
        <w:rPr>
          <w:color w:val="231F20"/>
          <w:spacing w:val="-15"/>
        </w:rPr>
        <w:t> </w:t>
      </w:r>
      <w:r>
        <w:rPr>
          <w:color w:val="231F20"/>
        </w:rPr>
        <w:t>vie</w:t>
      </w:r>
      <w:r>
        <w:rPr>
          <w:color w:val="231F20"/>
          <w:spacing w:val="-15"/>
        </w:rPr>
        <w:t> </w:t>
      </w:r>
      <w:r>
        <w:rPr>
          <w:color w:val="231F20"/>
        </w:rPr>
        <w:t>politique</w:t>
      </w:r>
      <w:r>
        <w:rPr>
          <w:color w:val="231F20"/>
          <w:spacing w:val="-15"/>
        </w:rPr>
        <w:t> </w:t>
      </w:r>
      <w:r>
        <w:rPr>
          <w:color w:val="231F20"/>
        </w:rPr>
        <w:t>ivoirienne.</w:t>
      </w:r>
      <w:r>
        <w:rPr>
          <w:color w:val="231F20"/>
          <w:spacing w:val="-15"/>
        </w:rPr>
        <w:t> </w:t>
      </w:r>
      <w:r>
        <w:rPr>
          <w:color w:val="231F20"/>
        </w:rPr>
        <w:t>Ils</w:t>
      </w:r>
      <w:r>
        <w:rPr>
          <w:color w:val="231F20"/>
          <w:spacing w:val="-15"/>
        </w:rPr>
        <w:t> </w:t>
      </w:r>
      <w:r>
        <w:rPr>
          <w:color w:val="231F20"/>
        </w:rPr>
        <w:t>ne tardent pas à se faire entendre.</w:t>
      </w:r>
    </w:p>
    <w:p>
      <w:pPr>
        <w:pStyle w:val="BodyText"/>
        <w:spacing w:before="121"/>
        <w:ind w:right="106" w:firstLine="283"/>
      </w:pPr>
      <w:r>
        <w:rPr>
          <w:color w:val="231F20"/>
        </w:rPr>
        <w:t>19 septembre 2002. 03h du matin. Des hommes en armes attaquent plusieurs</w:t>
      </w:r>
      <w:r>
        <w:rPr>
          <w:color w:val="231F20"/>
          <w:spacing w:val="-9"/>
        </w:rPr>
        <w:t> </w:t>
      </w:r>
      <w:r>
        <w:rPr>
          <w:color w:val="231F20"/>
        </w:rPr>
        <w:t>casernes</w:t>
      </w:r>
      <w:r>
        <w:rPr>
          <w:color w:val="231F20"/>
          <w:spacing w:val="-10"/>
        </w:rPr>
        <w:t> </w:t>
      </w:r>
      <w:r>
        <w:rPr>
          <w:color w:val="231F20"/>
        </w:rPr>
        <w:t>et</w:t>
      </w:r>
      <w:r>
        <w:rPr>
          <w:color w:val="231F20"/>
          <w:spacing w:val="-11"/>
        </w:rPr>
        <w:t> </w:t>
      </w:r>
      <w:r>
        <w:rPr>
          <w:color w:val="231F20"/>
        </w:rPr>
        <w:t>gendarmeries</w:t>
      </w:r>
      <w:r>
        <w:rPr>
          <w:color w:val="231F20"/>
          <w:spacing w:val="-10"/>
        </w:rPr>
        <w:t> </w:t>
      </w:r>
      <w:r>
        <w:rPr>
          <w:color w:val="231F20"/>
        </w:rPr>
        <w:t>d’Abidjan,</w:t>
      </w:r>
      <w:r>
        <w:rPr>
          <w:color w:val="231F20"/>
          <w:spacing w:val="-11"/>
        </w:rPr>
        <w:t> </w:t>
      </w:r>
      <w:r>
        <w:rPr>
          <w:color w:val="231F20"/>
        </w:rPr>
        <w:t>la</w:t>
      </w:r>
      <w:r>
        <w:rPr>
          <w:color w:val="231F20"/>
          <w:spacing w:val="-10"/>
        </w:rPr>
        <w:t> </w:t>
      </w:r>
      <w:r>
        <w:rPr>
          <w:color w:val="231F20"/>
        </w:rPr>
        <w:t>capitale</w:t>
      </w:r>
      <w:r>
        <w:rPr>
          <w:color w:val="231F20"/>
          <w:spacing w:val="-12"/>
        </w:rPr>
        <w:t> </w:t>
      </w:r>
      <w:r>
        <w:rPr>
          <w:color w:val="231F20"/>
        </w:rPr>
        <w:t>économique.</w:t>
      </w:r>
    </w:p>
    <w:p>
      <w:pPr>
        <w:pStyle w:val="BodyText"/>
        <w:spacing w:before="120"/>
        <w:ind w:right="104" w:firstLine="283"/>
      </w:pPr>
      <w:r>
        <w:rPr>
          <w:color w:val="231F20"/>
        </w:rPr>
        <w:t>C’est</w:t>
      </w:r>
      <w:r>
        <w:rPr>
          <w:color w:val="231F20"/>
          <w:spacing w:val="-15"/>
        </w:rPr>
        <w:t> </w:t>
      </w:r>
      <w:r>
        <w:rPr>
          <w:color w:val="231F20"/>
        </w:rPr>
        <w:t>la</w:t>
      </w:r>
      <w:r>
        <w:rPr>
          <w:color w:val="231F20"/>
          <w:spacing w:val="-15"/>
        </w:rPr>
        <w:t> </w:t>
      </w:r>
      <w:r>
        <w:rPr>
          <w:color w:val="231F20"/>
        </w:rPr>
        <w:t>confusion</w:t>
      </w:r>
      <w:r>
        <w:rPr>
          <w:color w:val="231F20"/>
          <w:spacing w:val="-15"/>
        </w:rPr>
        <w:t> </w:t>
      </w:r>
      <w:r>
        <w:rPr>
          <w:color w:val="231F20"/>
        </w:rPr>
        <w:t>dans</w:t>
      </w:r>
      <w:r>
        <w:rPr>
          <w:color w:val="231F20"/>
          <w:spacing w:val="-15"/>
        </w:rPr>
        <w:t> </w:t>
      </w:r>
      <w:r>
        <w:rPr>
          <w:color w:val="231F20"/>
        </w:rPr>
        <w:t>les</w:t>
      </w:r>
      <w:r>
        <w:rPr>
          <w:color w:val="231F20"/>
          <w:spacing w:val="-15"/>
        </w:rPr>
        <w:t> </w:t>
      </w:r>
      <w:r>
        <w:rPr>
          <w:color w:val="231F20"/>
        </w:rPr>
        <w:t>rangs</w:t>
      </w:r>
      <w:r>
        <w:rPr>
          <w:color w:val="231F20"/>
          <w:spacing w:val="-15"/>
        </w:rPr>
        <w:t> </w:t>
      </w:r>
      <w:r>
        <w:rPr>
          <w:color w:val="231F20"/>
        </w:rPr>
        <w:t>de</w:t>
      </w:r>
      <w:r>
        <w:rPr>
          <w:color w:val="231F20"/>
          <w:spacing w:val="-15"/>
        </w:rPr>
        <w:t> </w:t>
      </w:r>
      <w:r>
        <w:rPr>
          <w:color w:val="231F20"/>
        </w:rPr>
        <w:t>l’Armée</w:t>
      </w:r>
      <w:r>
        <w:rPr>
          <w:color w:val="231F20"/>
          <w:spacing w:val="-15"/>
        </w:rPr>
        <w:t> </w:t>
      </w:r>
      <w:r>
        <w:rPr>
          <w:color w:val="231F20"/>
        </w:rPr>
        <w:t>régulière.</w:t>
      </w:r>
      <w:r>
        <w:rPr>
          <w:color w:val="231F20"/>
          <w:spacing w:val="-15"/>
        </w:rPr>
        <w:t> </w:t>
      </w:r>
      <w:r>
        <w:rPr>
          <w:color w:val="231F20"/>
        </w:rPr>
        <w:t>Cependant,</w:t>
      </w:r>
      <w:r>
        <w:rPr>
          <w:color w:val="231F20"/>
          <w:spacing w:val="-15"/>
        </w:rPr>
        <w:t> </w:t>
      </w:r>
      <w:r>
        <w:rPr>
          <w:color w:val="231F20"/>
        </w:rPr>
        <w:t>la résistance</w:t>
      </w:r>
      <w:r>
        <w:rPr>
          <w:color w:val="231F20"/>
          <w:spacing w:val="-15"/>
        </w:rPr>
        <w:t> </w:t>
      </w:r>
      <w:r>
        <w:rPr>
          <w:color w:val="231F20"/>
        </w:rPr>
        <w:t>s’organise.</w:t>
      </w:r>
      <w:r>
        <w:rPr>
          <w:color w:val="231F20"/>
          <w:spacing w:val="-15"/>
        </w:rPr>
        <w:t> </w:t>
      </w:r>
      <w:r>
        <w:rPr>
          <w:color w:val="231F20"/>
        </w:rPr>
        <w:t>Les</w:t>
      </w:r>
      <w:r>
        <w:rPr>
          <w:color w:val="231F20"/>
          <w:spacing w:val="-15"/>
        </w:rPr>
        <w:t> </w:t>
      </w:r>
      <w:r>
        <w:rPr>
          <w:color w:val="231F20"/>
        </w:rPr>
        <w:t>combats</w:t>
      </w:r>
      <w:r>
        <w:rPr>
          <w:color w:val="231F20"/>
          <w:spacing w:val="-15"/>
        </w:rPr>
        <w:t> </w:t>
      </w:r>
      <w:r>
        <w:rPr>
          <w:color w:val="231F20"/>
        </w:rPr>
        <w:t>de</w:t>
      </w:r>
      <w:r>
        <w:rPr>
          <w:color w:val="231F20"/>
          <w:spacing w:val="-15"/>
        </w:rPr>
        <w:t> </w:t>
      </w:r>
      <w:r>
        <w:rPr>
          <w:color w:val="231F20"/>
        </w:rPr>
        <w:t>rue</w:t>
      </w:r>
      <w:r>
        <w:rPr>
          <w:color w:val="231F20"/>
          <w:spacing w:val="-15"/>
        </w:rPr>
        <w:t> </w:t>
      </w:r>
      <w:r>
        <w:rPr>
          <w:color w:val="231F20"/>
        </w:rPr>
        <w:t>tournent</w:t>
      </w:r>
      <w:r>
        <w:rPr>
          <w:color w:val="231F20"/>
          <w:spacing w:val="-15"/>
        </w:rPr>
        <w:t> </w:t>
      </w:r>
      <w:r>
        <w:rPr>
          <w:color w:val="231F20"/>
        </w:rPr>
        <w:t>rapidement</w:t>
      </w:r>
      <w:r>
        <w:rPr>
          <w:color w:val="231F20"/>
          <w:spacing w:val="-15"/>
        </w:rPr>
        <w:t> </w:t>
      </w:r>
      <w:r>
        <w:rPr>
          <w:color w:val="231F20"/>
        </w:rPr>
        <w:t>en</w:t>
      </w:r>
      <w:r>
        <w:rPr>
          <w:color w:val="231F20"/>
          <w:spacing w:val="-15"/>
        </w:rPr>
        <w:t> </w:t>
      </w:r>
      <w:r>
        <w:rPr>
          <w:color w:val="231F20"/>
        </w:rPr>
        <w:t>faveur des</w:t>
      </w:r>
      <w:r>
        <w:rPr>
          <w:color w:val="231F20"/>
          <w:spacing w:val="-14"/>
        </w:rPr>
        <w:t> </w:t>
      </w:r>
      <w:r>
        <w:rPr>
          <w:color w:val="231F20"/>
        </w:rPr>
        <w:t>Forces</w:t>
      </w:r>
      <w:r>
        <w:rPr>
          <w:color w:val="231F20"/>
          <w:spacing w:val="-14"/>
        </w:rPr>
        <w:t> </w:t>
      </w:r>
      <w:r>
        <w:rPr>
          <w:color w:val="231F20"/>
        </w:rPr>
        <w:t>Armées</w:t>
      </w:r>
      <w:r>
        <w:rPr>
          <w:color w:val="231F20"/>
          <w:spacing w:val="-13"/>
        </w:rPr>
        <w:t> </w:t>
      </w:r>
      <w:r>
        <w:rPr>
          <w:color w:val="231F20"/>
        </w:rPr>
        <w:t>Nationales.</w:t>
      </w:r>
      <w:r>
        <w:rPr>
          <w:color w:val="231F20"/>
          <w:spacing w:val="-14"/>
        </w:rPr>
        <w:t> </w:t>
      </w:r>
      <w:r>
        <w:rPr>
          <w:color w:val="231F20"/>
        </w:rPr>
        <w:t>Dans</w:t>
      </w:r>
      <w:r>
        <w:rPr>
          <w:color w:val="231F20"/>
          <w:spacing w:val="-15"/>
        </w:rPr>
        <w:t> </w:t>
      </w:r>
      <w:r>
        <w:rPr>
          <w:color w:val="231F20"/>
        </w:rPr>
        <w:t>les</w:t>
      </w:r>
      <w:r>
        <w:rPr>
          <w:color w:val="231F20"/>
          <w:spacing w:val="-14"/>
        </w:rPr>
        <w:t> </w:t>
      </w:r>
      <w:r>
        <w:rPr>
          <w:color w:val="231F20"/>
        </w:rPr>
        <w:t>rangs</w:t>
      </w:r>
      <w:r>
        <w:rPr>
          <w:color w:val="231F20"/>
          <w:spacing w:val="-14"/>
        </w:rPr>
        <w:t> </w:t>
      </w:r>
      <w:r>
        <w:rPr>
          <w:color w:val="231F20"/>
        </w:rPr>
        <w:t>des</w:t>
      </w:r>
      <w:r>
        <w:rPr>
          <w:color w:val="231F20"/>
          <w:spacing w:val="-15"/>
        </w:rPr>
        <w:t> </w:t>
      </w:r>
      <w:r>
        <w:rPr>
          <w:color w:val="231F20"/>
        </w:rPr>
        <w:t>assaillants,</w:t>
      </w:r>
      <w:r>
        <w:rPr>
          <w:color w:val="231F20"/>
          <w:spacing w:val="-14"/>
        </w:rPr>
        <w:t> </w:t>
      </w:r>
      <w:r>
        <w:rPr>
          <w:color w:val="231F20"/>
        </w:rPr>
        <w:t>beaucoup ne</w:t>
      </w:r>
      <w:r>
        <w:rPr>
          <w:color w:val="231F20"/>
          <w:spacing w:val="-1"/>
        </w:rPr>
        <w:t> </w:t>
      </w:r>
      <w:r>
        <w:rPr>
          <w:color w:val="231F20"/>
        </w:rPr>
        <w:t>connaissent pas</w:t>
      </w:r>
      <w:r>
        <w:rPr>
          <w:color w:val="231F20"/>
          <w:spacing w:val="-3"/>
        </w:rPr>
        <w:t> </w:t>
      </w:r>
      <w:r>
        <w:rPr>
          <w:color w:val="231F20"/>
        </w:rPr>
        <w:t>Abidjan</w:t>
      </w:r>
      <w:r>
        <w:rPr>
          <w:color w:val="231F20"/>
          <w:spacing w:val="-1"/>
        </w:rPr>
        <w:t> </w:t>
      </w:r>
      <w:r>
        <w:rPr>
          <w:color w:val="231F20"/>
        </w:rPr>
        <w:t>et</w:t>
      </w:r>
      <w:r>
        <w:rPr>
          <w:color w:val="231F20"/>
          <w:spacing w:val="-1"/>
        </w:rPr>
        <w:t> </w:t>
      </w:r>
      <w:r>
        <w:rPr>
          <w:color w:val="231F20"/>
        </w:rPr>
        <w:t>s’égarent</w:t>
      </w:r>
      <w:r>
        <w:rPr>
          <w:color w:val="231F20"/>
          <w:spacing w:val="-1"/>
        </w:rPr>
        <w:t> </w:t>
      </w:r>
      <w:r>
        <w:rPr>
          <w:color w:val="231F20"/>
        </w:rPr>
        <w:t>en</w:t>
      </w:r>
      <w:r>
        <w:rPr>
          <w:color w:val="231F20"/>
          <w:spacing w:val="-1"/>
        </w:rPr>
        <w:t> </w:t>
      </w:r>
      <w:r>
        <w:rPr>
          <w:color w:val="231F20"/>
        </w:rPr>
        <w:t>chemin.</w:t>
      </w:r>
      <w:r>
        <w:rPr>
          <w:color w:val="231F20"/>
          <w:spacing w:val="-1"/>
        </w:rPr>
        <w:t> </w:t>
      </w:r>
      <w:r>
        <w:rPr>
          <w:color w:val="231F20"/>
        </w:rPr>
        <w:t>Ils</w:t>
      </w:r>
      <w:r>
        <w:rPr>
          <w:color w:val="231F20"/>
          <w:spacing w:val="-1"/>
        </w:rPr>
        <w:t> </w:t>
      </w:r>
      <w:r>
        <w:rPr>
          <w:color w:val="231F20"/>
        </w:rPr>
        <w:t>sont</w:t>
      </w:r>
      <w:r>
        <w:rPr>
          <w:color w:val="231F20"/>
          <w:spacing w:val="-1"/>
        </w:rPr>
        <w:t> </w:t>
      </w:r>
      <w:r>
        <w:rPr>
          <w:color w:val="231F20"/>
        </w:rPr>
        <w:t>abattus. Le bilan des combats se chiffre à plus de 300 morts selon les sources du </w:t>
      </w:r>
      <w:r>
        <w:rPr>
          <w:color w:val="231F20"/>
          <w:spacing w:val="-2"/>
        </w:rPr>
        <w:t>gouvernement.</w:t>
      </w:r>
      <w:r>
        <w:rPr>
          <w:color w:val="231F20"/>
          <w:spacing w:val="-4"/>
        </w:rPr>
        <w:t> </w:t>
      </w:r>
      <w:r>
        <w:rPr>
          <w:color w:val="231F20"/>
          <w:spacing w:val="-2"/>
        </w:rPr>
        <w:t>L’ancien</w:t>
      </w:r>
      <w:r>
        <w:rPr>
          <w:color w:val="231F20"/>
          <w:spacing w:val="-7"/>
        </w:rPr>
        <w:t> </w:t>
      </w:r>
      <w:r>
        <w:rPr>
          <w:color w:val="231F20"/>
          <w:spacing w:val="-2"/>
        </w:rPr>
        <w:t>président</w:t>
      </w:r>
      <w:r>
        <w:rPr>
          <w:color w:val="231F20"/>
          <w:spacing w:val="-4"/>
        </w:rPr>
        <w:t> </w:t>
      </w:r>
      <w:r>
        <w:rPr>
          <w:color w:val="231F20"/>
          <w:spacing w:val="-2"/>
        </w:rPr>
        <w:t>putschiste,</w:t>
      </w:r>
      <w:r>
        <w:rPr>
          <w:color w:val="231F20"/>
          <w:spacing w:val="-7"/>
        </w:rPr>
        <w:t> </w:t>
      </w:r>
      <w:r>
        <w:rPr>
          <w:color w:val="231F20"/>
          <w:spacing w:val="-2"/>
        </w:rPr>
        <w:t>le</w:t>
      </w:r>
      <w:r>
        <w:rPr>
          <w:color w:val="231F20"/>
          <w:spacing w:val="-4"/>
        </w:rPr>
        <w:t> </w:t>
      </w:r>
      <w:r>
        <w:rPr>
          <w:color w:val="231F20"/>
          <w:spacing w:val="-2"/>
        </w:rPr>
        <w:t>général</w:t>
      </w:r>
      <w:r>
        <w:rPr>
          <w:color w:val="231F20"/>
          <w:spacing w:val="-4"/>
        </w:rPr>
        <w:t> </w:t>
      </w:r>
      <w:r>
        <w:rPr>
          <w:color w:val="231F20"/>
          <w:spacing w:val="-2"/>
        </w:rPr>
        <w:t>Robert Gueï</w:t>
      </w:r>
      <w:r>
        <w:rPr>
          <w:color w:val="231F20"/>
          <w:spacing w:val="-3"/>
        </w:rPr>
        <w:t> </w:t>
      </w:r>
      <w:r>
        <w:rPr>
          <w:color w:val="231F20"/>
          <w:spacing w:val="-2"/>
        </w:rPr>
        <w:t>est </w:t>
      </w:r>
      <w:r>
        <w:rPr>
          <w:color w:val="231F20"/>
        </w:rPr>
        <w:t>retrouvé</w:t>
      </w:r>
      <w:r>
        <w:rPr>
          <w:color w:val="231F20"/>
          <w:spacing w:val="-13"/>
        </w:rPr>
        <w:t> </w:t>
      </w:r>
      <w:r>
        <w:rPr>
          <w:color w:val="231F20"/>
        </w:rPr>
        <w:t>mort,</w:t>
      </w:r>
      <w:r>
        <w:rPr>
          <w:color w:val="231F20"/>
          <w:spacing w:val="-10"/>
        </w:rPr>
        <w:t> </w:t>
      </w:r>
      <w:r>
        <w:rPr>
          <w:color w:val="231F20"/>
        </w:rPr>
        <w:t>une</w:t>
      </w:r>
      <w:r>
        <w:rPr>
          <w:color w:val="231F20"/>
          <w:spacing w:val="-10"/>
        </w:rPr>
        <w:t> </w:t>
      </w:r>
      <w:r>
        <w:rPr>
          <w:color w:val="231F20"/>
        </w:rPr>
        <w:t>balle</w:t>
      </w:r>
      <w:r>
        <w:rPr>
          <w:color w:val="231F20"/>
          <w:spacing w:val="-10"/>
        </w:rPr>
        <w:t> </w:t>
      </w:r>
      <w:r>
        <w:rPr>
          <w:color w:val="231F20"/>
        </w:rPr>
        <w:t>en</w:t>
      </w:r>
      <w:r>
        <w:rPr>
          <w:color w:val="231F20"/>
          <w:spacing w:val="-10"/>
        </w:rPr>
        <w:t> </w:t>
      </w:r>
      <w:r>
        <w:rPr>
          <w:color w:val="231F20"/>
        </w:rPr>
        <w:t>pleine</w:t>
      </w:r>
      <w:r>
        <w:rPr>
          <w:color w:val="231F20"/>
          <w:spacing w:val="-14"/>
        </w:rPr>
        <w:t> </w:t>
      </w:r>
      <w:r>
        <w:rPr>
          <w:color w:val="231F20"/>
        </w:rPr>
        <w:t>tête</w:t>
      </w:r>
      <w:r>
        <w:rPr>
          <w:color w:val="231F20"/>
          <w:spacing w:val="-13"/>
        </w:rPr>
        <w:t> </w:t>
      </w:r>
      <w:r>
        <w:rPr>
          <w:color w:val="231F20"/>
        </w:rPr>
        <w:t>dans</w:t>
      </w:r>
      <w:r>
        <w:rPr>
          <w:color w:val="231F20"/>
          <w:spacing w:val="-13"/>
        </w:rPr>
        <w:t> </w:t>
      </w:r>
      <w:r>
        <w:rPr>
          <w:color w:val="231F20"/>
        </w:rPr>
        <w:t>une</w:t>
      </w:r>
      <w:r>
        <w:rPr>
          <w:color w:val="231F20"/>
          <w:spacing w:val="-11"/>
        </w:rPr>
        <w:t> </w:t>
      </w:r>
      <w:r>
        <w:rPr>
          <w:color w:val="231F20"/>
        </w:rPr>
        <w:t>rue</w:t>
      </w:r>
      <w:r>
        <w:rPr>
          <w:color w:val="231F20"/>
          <w:spacing w:val="-11"/>
        </w:rPr>
        <w:t> </w:t>
      </w:r>
      <w:r>
        <w:rPr>
          <w:color w:val="231F20"/>
        </w:rPr>
        <w:t>de</w:t>
      </w:r>
      <w:r>
        <w:rPr>
          <w:color w:val="231F20"/>
          <w:spacing w:val="-13"/>
        </w:rPr>
        <w:t> </w:t>
      </w:r>
      <w:r>
        <w:rPr>
          <w:color w:val="231F20"/>
        </w:rPr>
        <w:t>la</w:t>
      </w:r>
      <w:r>
        <w:rPr>
          <w:color w:val="231F20"/>
          <w:spacing w:val="-11"/>
        </w:rPr>
        <w:t> </w:t>
      </w:r>
      <w:r>
        <w:rPr>
          <w:color w:val="231F20"/>
        </w:rPr>
        <w:t>capitale.</w:t>
      </w:r>
      <w:r>
        <w:rPr>
          <w:color w:val="231F20"/>
          <w:spacing w:val="-13"/>
        </w:rPr>
        <w:t> </w:t>
      </w:r>
      <w:r>
        <w:rPr>
          <w:color w:val="231F20"/>
        </w:rPr>
        <w:t>A</w:t>
      </w:r>
      <w:r>
        <w:rPr>
          <w:color w:val="231F20"/>
          <w:spacing w:val="-11"/>
        </w:rPr>
        <w:t> </w:t>
      </w:r>
      <w:r>
        <w:rPr>
          <w:color w:val="231F20"/>
        </w:rPr>
        <w:t>son </w:t>
      </w:r>
      <w:r>
        <w:rPr>
          <w:color w:val="231F20"/>
          <w:spacing w:val="-2"/>
        </w:rPr>
        <w:t>domicile,</w:t>
      </w:r>
      <w:r>
        <w:rPr>
          <w:color w:val="231F20"/>
          <w:spacing w:val="-15"/>
        </w:rPr>
        <w:t> </w:t>
      </w:r>
      <w:r>
        <w:rPr>
          <w:color w:val="231F20"/>
          <w:spacing w:val="-2"/>
        </w:rPr>
        <w:t>sa</w:t>
      </w:r>
      <w:r>
        <w:rPr>
          <w:color w:val="231F20"/>
          <w:spacing w:val="-13"/>
        </w:rPr>
        <w:t> </w:t>
      </w:r>
      <w:r>
        <w:rPr>
          <w:color w:val="231F20"/>
          <w:spacing w:val="-2"/>
        </w:rPr>
        <w:t>famille</w:t>
      </w:r>
      <w:r>
        <w:rPr>
          <w:color w:val="231F20"/>
          <w:spacing w:val="-13"/>
        </w:rPr>
        <w:t> </w:t>
      </w:r>
      <w:r>
        <w:rPr>
          <w:color w:val="231F20"/>
          <w:spacing w:val="-2"/>
        </w:rPr>
        <w:t>est</w:t>
      </w:r>
      <w:r>
        <w:rPr>
          <w:color w:val="231F20"/>
          <w:spacing w:val="-13"/>
        </w:rPr>
        <w:t> </w:t>
      </w:r>
      <w:r>
        <w:rPr>
          <w:color w:val="231F20"/>
          <w:spacing w:val="-2"/>
        </w:rPr>
        <w:t>massacrée.</w:t>
      </w:r>
      <w:r>
        <w:rPr>
          <w:color w:val="231F20"/>
          <w:spacing w:val="-13"/>
        </w:rPr>
        <w:t> </w:t>
      </w:r>
      <w:r>
        <w:rPr>
          <w:color w:val="231F20"/>
          <w:spacing w:val="-2"/>
        </w:rPr>
        <w:t>Attaqués</w:t>
      </w:r>
      <w:r>
        <w:rPr>
          <w:color w:val="231F20"/>
          <w:spacing w:val="-13"/>
        </w:rPr>
        <w:t> </w:t>
      </w:r>
      <w:r>
        <w:rPr>
          <w:color w:val="231F20"/>
          <w:spacing w:val="-2"/>
        </w:rPr>
        <w:t>à</w:t>
      </w:r>
      <w:r>
        <w:rPr>
          <w:color w:val="231F20"/>
          <w:spacing w:val="-13"/>
        </w:rPr>
        <w:t> </w:t>
      </w:r>
      <w:r>
        <w:rPr>
          <w:color w:val="231F20"/>
          <w:spacing w:val="-2"/>
        </w:rPr>
        <w:t>l’arme</w:t>
      </w:r>
      <w:r>
        <w:rPr>
          <w:color w:val="231F20"/>
          <w:spacing w:val="-13"/>
        </w:rPr>
        <w:t> </w:t>
      </w:r>
      <w:r>
        <w:rPr>
          <w:color w:val="231F20"/>
          <w:spacing w:val="-2"/>
        </w:rPr>
        <w:t>lourde,</w:t>
      </w:r>
      <w:r>
        <w:rPr>
          <w:color w:val="231F20"/>
          <w:spacing w:val="-13"/>
        </w:rPr>
        <w:t> </w:t>
      </w:r>
      <w:r>
        <w:rPr>
          <w:color w:val="231F20"/>
          <w:spacing w:val="-2"/>
        </w:rPr>
        <w:t>les</w:t>
      </w:r>
      <w:r>
        <w:rPr>
          <w:color w:val="231F20"/>
          <w:spacing w:val="-13"/>
        </w:rPr>
        <w:t> </w:t>
      </w:r>
      <w:r>
        <w:rPr>
          <w:color w:val="231F20"/>
          <w:spacing w:val="-2"/>
        </w:rPr>
        <w:t>policiers </w:t>
      </w:r>
      <w:r>
        <w:rPr>
          <w:color w:val="231F20"/>
        </w:rPr>
        <w:t>qui</w:t>
      </w:r>
      <w:r>
        <w:rPr>
          <w:color w:val="231F20"/>
          <w:spacing w:val="-8"/>
        </w:rPr>
        <w:t> </w:t>
      </w:r>
      <w:r>
        <w:rPr>
          <w:color w:val="231F20"/>
        </w:rPr>
        <w:t>gardent</w:t>
      </w:r>
      <w:r>
        <w:rPr>
          <w:color w:val="231F20"/>
          <w:spacing w:val="-7"/>
        </w:rPr>
        <w:t> </w:t>
      </w:r>
      <w:r>
        <w:rPr>
          <w:color w:val="231F20"/>
        </w:rPr>
        <w:t>le</w:t>
      </w:r>
      <w:r>
        <w:rPr>
          <w:color w:val="231F20"/>
          <w:spacing w:val="-8"/>
        </w:rPr>
        <w:t> </w:t>
      </w:r>
      <w:r>
        <w:rPr>
          <w:color w:val="231F20"/>
        </w:rPr>
        <w:t>domicile</w:t>
      </w:r>
      <w:r>
        <w:rPr>
          <w:color w:val="231F20"/>
          <w:spacing w:val="-8"/>
        </w:rPr>
        <w:t> </w:t>
      </w:r>
      <w:r>
        <w:rPr>
          <w:color w:val="231F20"/>
        </w:rPr>
        <w:t>du</w:t>
      </w:r>
      <w:r>
        <w:rPr>
          <w:color w:val="231F20"/>
          <w:spacing w:val="-8"/>
        </w:rPr>
        <w:t> </w:t>
      </w:r>
      <w:r>
        <w:rPr>
          <w:color w:val="231F20"/>
        </w:rPr>
        <w:t>ministre</w:t>
      </w:r>
      <w:r>
        <w:rPr>
          <w:color w:val="231F20"/>
          <w:spacing w:val="-8"/>
        </w:rPr>
        <w:t> </w:t>
      </w:r>
      <w:r>
        <w:rPr>
          <w:color w:val="231F20"/>
        </w:rPr>
        <w:t>de</w:t>
      </w:r>
      <w:r>
        <w:rPr>
          <w:color w:val="231F20"/>
          <w:spacing w:val="-9"/>
        </w:rPr>
        <w:t> </w:t>
      </w:r>
      <w:r>
        <w:rPr>
          <w:color w:val="231F20"/>
        </w:rPr>
        <w:t>l’intérieur,</w:t>
      </w:r>
      <w:r>
        <w:rPr>
          <w:color w:val="231F20"/>
          <w:spacing w:val="-10"/>
        </w:rPr>
        <w:t> </w:t>
      </w:r>
      <w:r>
        <w:rPr>
          <w:color w:val="231F20"/>
        </w:rPr>
        <w:t>Boga</w:t>
      </w:r>
      <w:r>
        <w:rPr>
          <w:color w:val="231F20"/>
          <w:spacing w:val="-8"/>
        </w:rPr>
        <w:t> </w:t>
      </w:r>
      <w:r>
        <w:rPr>
          <w:color w:val="231F20"/>
        </w:rPr>
        <w:t>Doudou,</w:t>
      </w:r>
      <w:r>
        <w:rPr>
          <w:color w:val="231F20"/>
          <w:spacing w:val="-5"/>
        </w:rPr>
        <w:t> </w:t>
      </w:r>
      <w:r>
        <w:rPr>
          <w:color w:val="231F20"/>
        </w:rPr>
        <w:t>un</w:t>
      </w:r>
      <w:r>
        <w:rPr>
          <w:color w:val="231F20"/>
          <w:spacing w:val="-7"/>
        </w:rPr>
        <w:t> </w:t>
      </w:r>
      <w:r>
        <w:rPr>
          <w:color w:val="231F20"/>
          <w:spacing w:val="-5"/>
        </w:rPr>
        <w:t>des</w:t>
      </w:r>
    </w:p>
    <w:p>
      <w:pPr>
        <w:spacing w:after="0"/>
        <w:sectPr>
          <w:pgSz w:w="8790" w:h="13610"/>
          <w:pgMar w:header="0" w:footer="802" w:top="1060" w:bottom="1000" w:left="880" w:right="880"/>
        </w:sectPr>
      </w:pPr>
    </w:p>
    <w:p>
      <w:pPr>
        <w:pStyle w:val="BodyText"/>
        <w:spacing w:before="66"/>
        <w:ind w:right="104"/>
      </w:pPr>
      <w:r>
        <w:rPr>
          <w:color w:val="231F20"/>
        </w:rPr>
        <w:t>piliers du pouvoir, sont tués dans un déluge de feu. Le ministre est abattu</w:t>
      </w:r>
      <w:r>
        <w:rPr>
          <w:color w:val="231F20"/>
          <w:spacing w:val="-15"/>
        </w:rPr>
        <w:t> </w:t>
      </w:r>
      <w:r>
        <w:rPr>
          <w:color w:val="231F20"/>
          <w:vertAlign w:val="superscript"/>
        </w:rPr>
        <w:t>172</w:t>
      </w:r>
      <w:r>
        <w:rPr>
          <w:color w:val="231F20"/>
          <w:spacing w:val="-15"/>
          <w:vertAlign w:val="baseline"/>
        </w:rPr>
        <w:t> </w:t>
      </w:r>
      <w:r>
        <w:rPr>
          <w:color w:val="231F20"/>
          <w:vertAlign w:val="baseline"/>
        </w:rPr>
        <w:t>.</w:t>
      </w:r>
      <w:r>
        <w:rPr>
          <w:color w:val="231F20"/>
          <w:spacing w:val="-10"/>
          <w:vertAlign w:val="baseline"/>
        </w:rPr>
        <w:t> </w:t>
      </w:r>
      <w:r>
        <w:rPr>
          <w:color w:val="231F20"/>
          <w:vertAlign w:val="baseline"/>
        </w:rPr>
        <w:t>Au domicile du ministre de la défense Lida Kouassi, une roquette</w:t>
      </w:r>
      <w:r>
        <w:rPr>
          <w:color w:val="231F20"/>
          <w:spacing w:val="-7"/>
          <w:vertAlign w:val="baseline"/>
        </w:rPr>
        <w:t> </w:t>
      </w:r>
      <w:r>
        <w:rPr>
          <w:color w:val="231F20"/>
          <w:vertAlign w:val="baseline"/>
        </w:rPr>
        <w:t>détruit</w:t>
      </w:r>
      <w:r>
        <w:rPr>
          <w:color w:val="231F20"/>
          <w:spacing w:val="-7"/>
          <w:vertAlign w:val="baseline"/>
        </w:rPr>
        <w:t> </w:t>
      </w:r>
      <w:r>
        <w:rPr>
          <w:color w:val="231F20"/>
          <w:vertAlign w:val="baseline"/>
        </w:rPr>
        <w:t>le</w:t>
      </w:r>
      <w:r>
        <w:rPr>
          <w:color w:val="231F20"/>
          <w:spacing w:val="-5"/>
          <w:vertAlign w:val="baseline"/>
        </w:rPr>
        <w:t> </w:t>
      </w:r>
      <w:r>
        <w:rPr>
          <w:color w:val="231F20"/>
          <w:vertAlign w:val="baseline"/>
        </w:rPr>
        <w:t>portail</w:t>
      </w:r>
      <w:r>
        <w:rPr>
          <w:color w:val="231F20"/>
          <w:spacing w:val="-7"/>
          <w:vertAlign w:val="baseline"/>
        </w:rPr>
        <w:t> </w:t>
      </w:r>
      <w:r>
        <w:rPr>
          <w:color w:val="231F20"/>
          <w:vertAlign w:val="baseline"/>
        </w:rPr>
        <w:t>blindé</w:t>
      </w:r>
      <w:r>
        <w:rPr>
          <w:color w:val="231F20"/>
          <w:spacing w:val="-5"/>
          <w:vertAlign w:val="baseline"/>
        </w:rPr>
        <w:t> </w:t>
      </w:r>
      <w:r>
        <w:rPr>
          <w:color w:val="231F20"/>
          <w:vertAlign w:val="baseline"/>
        </w:rPr>
        <w:t>mais</w:t>
      </w:r>
      <w:r>
        <w:rPr>
          <w:color w:val="231F20"/>
          <w:spacing w:val="-5"/>
          <w:vertAlign w:val="baseline"/>
        </w:rPr>
        <w:t> </w:t>
      </w:r>
      <w:r>
        <w:rPr>
          <w:color w:val="231F20"/>
          <w:vertAlign w:val="baseline"/>
        </w:rPr>
        <w:t>le</w:t>
      </w:r>
      <w:r>
        <w:rPr>
          <w:color w:val="231F20"/>
          <w:spacing w:val="-8"/>
          <w:vertAlign w:val="baseline"/>
        </w:rPr>
        <w:t> </w:t>
      </w:r>
      <w:r>
        <w:rPr>
          <w:color w:val="231F20"/>
          <w:vertAlign w:val="baseline"/>
        </w:rPr>
        <w:t>ministre</w:t>
      </w:r>
      <w:r>
        <w:rPr>
          <w:color w:val="231F20"/>
          <w:spacing w:val="-6"/>
          <w:vertAlign w:val="baseline"/>
        </w:rPr>
        <w:t> </w:t>
      </w:r>
      <w:r>
        <w:rPr>
          <w:color w:val="231F20"/>
          <w:vertAlign w:val="baseline"/>
        </w:rPr>
        <w:t>parvient</w:t>
      </w:r>
      <w:r>
        <w:rPr>
          <w:color w:val="231F20"/>
          <w:spacing w:val="-5"/>
          <w:vertAlign w:val="baseline"/>
        </w:rPr>
        <w:t> </w:t>
      </w:r>
      <w:r>
        <w:rPr>
          <w:color w:val="231F20"/>
          <w:vertAlign w:val="baseline"/>
        </w:rPr>
        <w:t>à</w:t>
      </w:r>
      <w:r>
        <w:rPr>
          <w:color w:val="231F20"/>
          <w:spacing w:val="-6"/>
          <w:vertAlign w:val="baseline"/>
        </w:rPr>
        <w:t> </w:t>
      </w:r>
      <w:r>
        <w:rPr>
          <w:color w:val="231F20"/>
          <w:vertAlign w:val="baseline"/>
        </w:rPr>
        <w:t>s’enfuir.</w:t>
      </w:r>
      <w:r>
        <w:rPr>
          <w:color w:val="231F20"/>
          <w:spacing w:val="-7"/>
          <w:vertAlign w:val="baseline"/>
        </w:rPr>
        <w:t> </w:t>
      </w:r>
      <w:r>
        <w:rPr>
          <w:color w:val="231F20"/>
          <w:vertAlign w:val="baseline"/>
        </w:rPr>
        <w:t>Le </w:t>
      </w:r>
      <w:r>
        <w:rPr>
          <w:color w:val="231F20"/>
          <w:spacing w:val="-4"/>
          <w:vertAlign w:val="baseline"/>
        </w:rPr>
        <w:t>Chef</w:t>
      </w:r>
      <w:r>
        <w:rPr>
          <w:color w:val="231F20"/>
          <w:spacing w:val="-11"/>
          <w:vertAlign w:val="baseline"/>
        </w:rPr>
        <w:t> </w:t>
      </w:r>
      <w:r>
        <w:rPr>
          <w:color w:val="231F20"/>
          <w:spacing w:val="-4"/>
          <w:vertAlign w:val="baseline"/>
        </w:rPr>
        <w:t>d’État-Major</w:t>
      </w:r>
      <w:r>
        <w:rPr>
          <w:color w:val="231F20"/>
          <w:spacing w:val="-11"/>
          <w:vertAlign w:val="baseline"/>
        </w:rPr>
        <w:t> </w:t>
      </w:r>
      <w:r>
        <w:rPr>
          <w:color w:val="231F20"/>
          <w:spacing w:val="-4"/>
          <w:vertAlign w:val="baseline"/>
        </w:rPr>
        <w:t>Mathias</w:t>
      </w:r>
      <w:r>
        <w:rPr>
          <w:color w:val="231F20"/>
          <w:spacing w:val="-11"/>
          <w:vertAlign w:val="baseline"/>
        </w:rPr>
        <w:t> </w:t>
      </w:r>
      <w:r>
        <w:rPr>
          <w:color w:val="231F20"/>
          <w:spacing w:val="-4"/>
          <w:vertAlign w:val="baseline"/>
        </w:rPr>
        <w:t>Doué</w:t>
      </w:r>
      <w:r>
        <w:rPr>
          <w:color w:val="231F20"/>
          <w:spacing w:val="-11"/>
          <w:vertAlign w:val="baseline"/>
        </w:rPr>
        <w:t> </w:t>
      </w:r>
      <w:r>
        <w:rPr>
          <w:color w:val="231F20"/>
          <w:spacing w:val="-4"/>
          <w:vertAlign w:val="baseline"/>
        </w:rPr>
        <w:t>se</w:t>
      </w:r>
      <w:r>
        <w:rPr>
          <w:color w:val="231F20"/>
          <w:spacing w:val="-11"/>
          <w:vertAlign w:val="baseline"/>
        </w:rPr>
        <w:t> </w:t>
      </w:r>
      <w:r>
        <w:rPr>
          <w:color w:val="231F20"/>
          <w:spacing w:val="-4"/>
          <w:vertAlign w:val="baseline"/>
        </w:rPr>
        <w:t>serait</w:t>
      </w:r>
      <w:r>
        <w:rPr>
          <w:color w:val="231F20"/>
          <w:spacing w:val="-11"/>
          <w:vertAlign w:val="baseline"/>
        </w:rPr>
        <w:t> </w:t>
      </w:r>
      <w:r>
        <w:rPr>
          <w:color w:val="231F20"/>
          <w:spacing w:val="-4"/>
          <w:vertAlign w:val="baseline"/>
        </w:rPr>
        <w:t>mis</w:t>
      </w:r>
      <w:r>
        <w:rPr>
          <w:color w:val="231F20"/>
          <w:spacing w:val="-11"/>
          <w:vertAlign w:val="baseline"/>
        </w:rPr>
        <w:t> </w:t>
      </w:r>
      <w:r>
        <w:rPr>
          <w:color w:val="231F20"/>
          <w:spacing w:val="-4"/>
          <w:vertAlign w:val="baseline"/>
        </w:rPr>
        <w:t>à</w:t>
      </w:r>
      <w:r>
        <w:rPr>
          <w:color w:val="231F20"/>
          <w:spacing w:val="-11"/>
          <w:vertAlign w:val="baseline"/>
        </w:rPr>
        <w:t> </w:t>
      </w:r>
      <w:r>
        <w:rPr>
          <w:color w:val="231F20"/>
          <w:spacing w:val="-4"/>
          <w:vertAlign w:val="baseline"/>
        </w:rPr>
        <w:t>l’abri</w:t>
      </w:r>
      <w:r>
        <w:rPr>
          <w:color w:val="231F20"/>
          <w:spacing w:val="-11"/>
          <w:vertAlign w:val="baseline"/>
        </w:rPr>
        <w:t> </w:t>
      </w:r>
      <w:r>
        <w:rPr>
          <w:color w:val="231F20"/>
          <w:spacing w:val="-4"/>
          <w:vertAlign w:val="baseline"/>
        </w:rPr>
        <w:t>dans</w:t>
      </w:r>
      <w:r>
        <w:rPr>
          <w:color w:val="231F20"/>
          <w:spacing w:val="-11"/>
          <w:vertAlign w:val="baseline"/>
        </w:rPr>
        <w:t> </w:t>
      </w:r>
      <w:r>
        <w:rPr>
          <w:color w:val="231F20"/>
          <w:spacing w:val="-4"/>
          <w:vertAlign w:val="baseline"/>
        </w:rPr>
        <w:t>un</w:t>
      </w:r>
      <w:r>
        <w:rPr>
          <w:color w:val="231F20"/>
          <w:spacing w:val="-11"/>
          <w:vertAlign w:val="baseline"/>
        </w:rPr>
        <w:t> </w:t>
      </w:r>
      <w:r>
        <w:rPr>
          <w:color w:val="231F20"/>
          <w:spacing w:val="-4"/>
          <w:vertAlign w:val="baseline"/>
        </w:rPr>
        <w:t>«</w:t>
      </w:r>
      <w:r>
        <w:rPr>
          <w:color w:val="231F20"/>
          <w:spacing w:val="-11"/>
          <w:vertAlign w:val="baseline"/>
        </w:rPr>
        <w:t> </w:t>
      </w:r>
      <w:r>
        <w:rPr>
          <w:color w:val="231F20"/>
          <w:spacing w:val="-4"/>
          <w:vertAlign w:val="baseline"/>
        </w:rPr>
        <w:t>lieu</w:t>
      </w:r>
      <w:r>
        <w:rPr>
          <w:color w:val="231F20"/>
          <w:spacing w:val="-11"/>
          <w:vertAlign w:val="baseline"/>
        </w:rPr>
        <w:t> </w:t>
      </w:r>
      <w:r>
        <w:rPr>
          <w:color w:val="231F20"/>
          <w:spacing w:val="-4"/>
          <w:vertAlign w:val="baseline"/>
        </w:rPr>
        <w:t>sûr</w:t>
      </w:r>
      <w:r>
        <w:rPr>
          <w:color w:val="231F20"/>
          <w:spacing w:val="-11"/>
          <w:vertAlign w:val="baseline"/>
        </w:rPr>
        <w:t> </w:t>
      </w:r>
      <w:r>
        <w:rPr>
          <w:color w:val="231F20"/>
          <w:spacing w:val="-4"/>
          <w:vertAlign w:val="baseline"/>
        </w:rPr>
        <w:t>». </w:t>
      </w:r>
      <w:r>
        <w:rPr>
          <w:color w:val="231F20"/>
          <w:vertAlign w:val="baseline"/>
        </w:rPr>
        <w:t>Affi N’Guessan, le Premier Ministre se trouve hors d’Abidjan. Il est </w:t>
      </w:r>
      <w:r>
        <w:rPr>
          <w:color w:val="231F20"/>
          <w:spacing w:val="-2"/>
          <w:vertAlign w:val="baseline"/>
        </w:rPr>
        <w:t>localisé</w:t>
      </w:r>
      <w:r>
        <w:rPr>
          <w:color w:val="231F20"/>
          <w:spacing w:val="-9"/>
          <w:vertAlign w:val="baseline"/>
        </w:rPr>
        <w:t> </w:t>
      </w:r>
      <w:r>
        <w:rPr>
          <w:color w:val="231F20"/>
          <w:spacing w:val="-2"/>
          <w:vertAlign w:val="baseline"/>
        </w:rPr>
        <w:t>à</w:t>
      </w:r>
      <w:r>
        <w:rPr>
          <w:color w:val="231F20"/>
          <w:spacing w:val="-9"/>
          <w:vertAlign w:val="baseline"/>
        </w:rPr>
        <w:t> </w:t>
      </w:r>
      <w:r>
        <w:rPr>
          <w:color w:val="231F20"/>
          <w:spacing w:val="-2"/>
          <w:vertAlign w:val="baseline"/>
        </w:rPr>
        <w:t>Yamoussoukro.</w:t>
      </w:r>
      <w:r>
        <w:rPr>
          <w:color w:val="231F20"/>
          <w:spacing w:val="-11"/>
          <w:vertAlign w:val="baseline"/>
        </w:rPr>
        <w:t> </w:t>
      </w:r>
      <w:r>
        <w:rPr>
          <w:color w:val="231F20"/>
          <w:spacing w:val="-2"/>
          <w:vertAlign w:val="baseline"/>
        </w:rPr>
        <w:t>Alassane</w:t>
      </w:r>
      <w:r>
        <w:rPr>
          <w:color w:val="231F20"/>
          <w:spacing w:val="-9"/>
          <w:vertAlign w:val="baseline"/>
        </w:rPr>
        <w:t> </w:t>
      </w:r>
      <w:r>
        <w:rPr>
          <w:color w:val="231F20"/>
          <w:spacing w:val="-2"/>
          <w:vertAlign w:val="baseline"/>
        </w:rPr>
        <w:t>Ouattara</w:t>
      </w:r>
      <w:r>
        <w:rPr>
          <w:color w:val="231F20"/>
          <w:spacing w:val="-9"/>
          <w:vertAlign w:val="baseline"/>
        </w:rPr>
        <w:t> </w:t>
      </w:r>
      <w:r>
        <w:rPr>
          <w:color w:val="231F20"/>
          <w:spacing w:val="-2"/>
          <w:vertAlign w:val="baseline"/>
        </w:rPr>
        <w:t>et</w:t>
      </w:r>
      <w:r>
        <w:rPr>
          <w:color w:val="231F20"/>
          <w:spacing w:val="-11"/>
          <w:vertAlign w:val="baseline"/>
        </w:rPr>
        <w:t> </w:t>
      </w:r>
      <w:r>
        <w:rPr>
          <w:color w:val="231F20"/>
          <w:spacing w:val="-2"/>
          <w:vertAlign w:val="baseline"/>
        </w:rPr>
        <w:t>son</w:t>
      </w:r>
      <w:r>
        <w:rPr>
          <w:color w:val="231F20"/>
          <w:spacing w:val="-13"/>
          <w:vertAlign w:val="baseline"/>
        </w:rPr>
        <w:t> </w:t>
      </w:r>
      <w:r>
        <w:rPr>
          <w:color w:val="231F20"/>
          <w:spacing w:val="-2"/>
          <w:vertAlign w:val="baseline"/>
        </w:rPr>
        <w:t>épouse</w:t>
      </w:r>
      <w:r>
        <w:rPr>
          <w:color w:val="231F20"/>
          <w:spacing w:val="-9"/>
          <w:vertAlign w:val="baseline"/>
        </w:rPr>
        <w:t> </w:t>
      </w:r>
      <w:r>
        <w:rPr>
          <w:color w:val="231F20"/>
          <w:spacing w:val="-2"/>
          <w:vertAlign w:val="baseline"/>
        </w:rPr>
        <w:t>se</w:t>
      </w:r>
      <w:r>
        <w:rPr>
          <w:color w:val="231F20"/>
          <w:spacing w:val="-9"/>
          <w:vertAlign w:val="baseline"/>
        </w:rPr>
        <w:t> </w:t>
      </w:r>
      <w:r>
        <w:rPr>
          <w:color w:val="231F20"/>
          <w:spacing w:val="-2"/>
          <w:vertAlign w:val="baseline"/>
        </w:rPr>
        <w:t>réfugient</w:t>
      </w:r>
      <w:r>
        <w:rPr>
          <w:color w:val="231F20"/>
          <w:spacing w:val="-9"/>
          <w:vertAlign w:val="baseline"/>
        </w:rPr>
        <w:t> </w:t>
      </w:r>
      <w:r>
        <w:rPr>
          <w:color w:val="231F20"/>
          <w:spacing w:val="-2"/>
          <w:vertAlign w:val="baseline"/>
        </w:rPr>
        <w:t>à </w:t>
      </w:r>
      <w:r>
        <w:rPr>
          <w:color w:val="231F20"/>
          <w:vertAlign w:val="baseline"/>
        </w:rPr>
        <w:t>l’ambassade d’Allemagne.</w:t>
      </w:r>
    </w:p>
    <w:p>
      <w:pPr>
        <w:spacing w:before="120"/>
        <w:ind w:left="111" w:right="103" w:firstLine="283"/>
        <w:jc w:val="both"/>
        <w:rPr>
          <w:i/>
          <w:sz w:val="24"/>
        </w:rPr>
      </w:pPr>
      <w:r>
        <w:rPr>
          <w:color w:val="231F20"/>
          <w:sz w:val="24"/>
        </w:rPr>
        <w:t>Ce 19 septembre, jusqu’au soir, les Ivoiriens ne sont pas situés sur </w:t>
      </w:r>
      <w:r>
        <w:rPr>
          <w:color w:val="231F20"/>
          <w:spacing w:val="-4"/>
          <w:sz w:val="24"/>
        </w:rPr>
        <w:t>l’origine,</w:t>
      </w:r>
      <w:r>
        <w:rPr>
          <w:color w:val="231F20"/>
          <w:spacing w:val="-11"/>
          <w:sz w:val="24"/>
        </w:rPr>
        <w:t> </w:t>
      </w:r>
      <w:r>
        <w:rPr>
          <w:color w:val="231F20"/>
          <w:spacing w:val="-4"/>
          <w:sz w:val="24"/>
        </w:rPr>
        <w:t>les</w:t>
      </w:r>
      <w:r>
        <w:rPr>
          <w:color w:val="231F20"/>
          <w:spacing w:val="-11"/>
          <w:sz w:val="24"/>
        </w:rPr>
        <w:t> </w:t>
      </w:r>
      <w:r>
        <w:rPr>
          <w:color w:val="231F20"/>
          <w:spacing w:val="-4"/>
          <w:sz w:val="24"/>
        </w:rPr>
        <w:t>motivations,</w:t>
      </w:r>
      <w:r>
        <w:rPr>
          <w:color w:val="231F20"/>
          <w:spacing w:val="-11"/>
          <w:sz w:val="24"/>
        </w:rPr>
        <w:t> </w:t>
      </w:r>
      <w:r>
        <w:rPr>
          <w:color w:val="231F20"/>
          <w:spacing w:val="-4"/>
          <w:sz w:val="24"/>
        </w:rPr>
        <w:t>le</w:t>
      </w:r>
      <w:r>
        <w:rPr>
          <w:color w:val="231F20"/>
          <w:spacing w:val="-11"/>
          <w:sz w:val="24"/>
        </w:rPr>
        <w:t> </w:t>
      </w:r>
      <w:r>
        <w:rPr>
          <w:color w:val="231F20"/>
          <w:spacing w:val="-4"/>
          <w:sz w:val="24"/>
        </w:rPr>
        <w:t>financement</w:t>
      </w:r>
      <w:r>
        <w:rPr>
          <w:color w:val="231F20"/>
          <w:spacing w:val="-8"/>
          <w:sz w:val="24"/>
        </w:rPr>
        <w:t> </w:t>
      </w:r>
      <w:r>
        <w:rPr>
          <w:color w:val="231F20"/>
          <w:spacing w:val="-4"/>
          <w:sz w:val="24"/>
        </w:rPr>
        <w:t>et</w:t>
      </w:r>
      <w:r>
        <w:rPr>
          <w:color w:val="231F20"/>
          <w:spacing w:val="-11"/>
          <w:sz w:val="24"/>
        </w:rPr>
        <w:t> </w:t>
      </w:r>
      <w:r>
        <w:rPr>
          <w:color w:val="231F20"/>
          <w:spacing w:val="-4"/>
          <w:sz w:val="24"/>
        </w:rPr>
        <w:t>l’armement</w:t>
      </w:r>
      <w:r>
        <w:rPr>
          <w:color w:val="231F20"/>
          <w:spacing w:val="-9"/>
          <w:sz w:val="24"/>
        </w:rPr>
        <w:t> </w:t>
      </w:r>
      <w:r>
        <w:rPr>
          <w:color w:val="231F20"/>
          <w:spacing w:val="-4"/>
          <w:sz w:val="24"/>
        </w:rPr>
        <w:t>des</w:t>
      </w:r>
      <w:r>
        <w:rPr>
          <w:color w:val="231F20"/>
          <w:spacing w:val="-10"/>
          <w:sz w:val="24"/>
        </w:rPr>
        <w:t> </w:t>
      </w:r>
      <w:r>
        <w:rPr>
          <w:color w:val="231F20"/>
          <w:spacing w:val="-4"/>
          <w:sz w:val="24"/>
        </w:rPr>
        <w:t>rebelles.</w:t>
      </w:r>
      <w:r>
        <w:rPr>
          <w:color w:val="231F20"/>
          <w:spacing w:val="-11"/>
          <w:sz w:val="24"/>
        </w:rPr>
        <w:t> </w:t>
      </w:r>
      <w:r>
        <w:rPr>
          <w:color w:val="231F20"/>
          <w:spacing w:val="-4"/>
          <w:sz w:val="24"/>
        </w:rPr>
        <w:t>Mais au</w:t>
      </w:r>
      <w:r>
        <w:rPr>
          <w:color w:val="231F20"/>
          <w:spacing w:val="-6"/>
          <w:sz w:val="24"/>
        </w:rPr>
        <w:t> </w:t>
      </w:r>
      <w:r>
        <w:rPr>
          <w:color w:val="231F20"/>
          <w:spacing w:val="-4"/>
          <w:sz w:val="24"/>
        </w:rPr>
        <w:t>vu</w:t>
      </w:r>
      <w:r>
        <w:rPr>
          <w:color w:val="231F20"/>
          <w:spacing w:val="-9"/>
          <w:sz w:val="24"/>
        </w:rPr>
        <w:t> </w:t>
      </w:r>
      <w:r>
        <w:rPr>
          <w:color w:val="231F20"/>
          <w:spacing w:val="-4"/>
          <w:sz w:val="24"/>
        </w:rPr>
        <w:t>des</w:t>
      </w:r>
      <w:r>
        <w:rPr>
          <w:color w:val="231F20"/>
          <w:spacing w:val="-5"/>
          <w:sz w:val="24"/>
        </w:rPr>
        <w:t> </w:t>
      </w:r>
      <w:r>
        <w:rPr>
          <w:color w:val="231F20"/>
          <w:spacing w:val="-4"/>
          <w:sz w:val="24"/>
        </w:rPr>
        <w:t>assaillants</w:t>
      </w:r>
      <w:r>
        <w:rPr>
          <w:color w:val="231F20"/>
          <w:spacing w:val="-5"/>
          <w:sz w:val="24"/>
        </w:rPr>
        <w:t> </w:t>
      </w:r>
      <w:r>
        <w:rPr>
          <w:color w:val="231F20"/>
          <w:spacing w:val="-4"/>
          <w:sz w:val="24"/>
        </w:rPr>
        <w:t>abattus,</w:t>
      </w:r>
      <w:r>
        <w:rPr>
          <w:color w:val="231F20"/>
          <w:spacing w:val="-5"/>
          <w:sz w:val="24"/>
        </w:rPr>
        <w:t> </w:t>
      </w:r>
      <w:r>
        <w:rPr>
          <w:color w:val="231F20"/>
          <w:spacing w:val="-4"/>
          <w:sz w:val="24"/>
        </w:rPr>
        <w:t>de</w:t>
      </w:r>
      <w:r>
        <w:rPr>
          <w:color w:val="231F20"/>
          <w:spacing w:val="-10"/>
          <w:sz w:val="24"/>
        </w:rPr>
        <w:t> </w:t>
      </w:r>
      <w:r>
        <w:rPr>
          <w:color w:val="231F20"/>
          <w:spacing w:val="-4"/>
          <w:sz w:val="24"/>
        </w:rPr>
        <w:t>leurs</w:t>
      </w:r>
      <w:r>
        <w:rPr>
          <w:color w:val="231F20"/>
          <w:spacing w:val="-6"/>
          <w:sz w:val="24"/>
        </w:rPr>
        <w:t> </w:t>
      </w:r>
      <w:r>
        <w:rPr>
          <w:color w:val="231F20"/>
          <w:spacing w:val="-4"/>
          <w:sz w:val="24"/>
        </w:rPr>
        <w:t>tenues</w:t>
      </w:r>
      <w:r>
        <w:rPr>
          <w:color w:val="231F20"/>
          <w:spacing w:val="-6"/>
          <w:sz w:val="24"/>
        </w:rPr>
        <w:t> </w:t>
      </w:r>
      <w:r>
        <w:rPr>
          <w:color w:val="231F20"/>
          <w:spacing w:val="-4"/>
          <w:sz w:val="24"/>
        </w:rPr>
        <w:t>vestimentaires,</w:t>
      </w:r>
      <w:r>
        <w:rPr>
          <w:color w:val="231F20"/>
          <w:spacing w:val="-9"/>
          <w:sz w:val="24"/>
        </w:rPr>
        <w:t> </w:t>
      </w:r>
      <w:r>
        <w:rPr>
          <w:color w:val="231F20"/>
          <w:spacing w:val="-4"/>
          <w:sz w:val="24"/>
        </w:rPr>
        <w:t>des</w:t>
      </w:r>
      <w:r>
        <w:rPr>
          <w:color w:val="231F20"/>
          <w:spacing w:val="-9"/>
          <w:sz w:val="24"/>
        </w:rPr>
        <w:t> </w:t>
      </w:r>
      <w:r>
        <w:rPr>
          <w:color w:val="231F20"/>
          <w:spacing w:val="-4"/>
          <w:sz w:val="24"/>
        </w:rPr>
        <w:t>amulettes </w:t>
      </w:r>
      <w:r>
        <w:rPr>
          <w:color w:val="231F20"/>
          <w:spacing w:val="-2"/>
          <w:sz w:val="24"/>
        </w:rPr>
        <w:t>et</w:t>
      </w:r>
      <w:r>
        <w:rPr>
          <w:color w:val="231F20"/>
          <w:spacing w:val="-11"/>
          <w:sz w:val="24"/>
        </w:rPr>
        <w:t> </w:t>
      </w:r>
      <w:r>
        <w:rPr>
          <w:color w:val="231F20"/>
          <w:spacing w:val="-2"/>
          <w:sz w:val="24"/>
        </w:rPr>
        <w:t>autres</w:t>
      </w:r>
      <w:r>
        <w:rPr>
          <w:color w:val="231F20"/>
          <w:spacing w:val="-11"/>
          <w:sz w:val="24"/>
        </w:rPr>
        <w:t> </w:t>
      </w:r>
      <w:r>
        <w:rPr>
          <w:color w:val="231F20"/>
          <w:spacing w:val="-2"/>
          <w:sz w:val="24"/>
        </w:rPr>
        <w:t>gris-gris</w:t>
      </w:r>
      <w:r>
        <w:rPr>
          <w:color w:val="231F20"/>
          <w:spacing w:val="-13"/>
          <w:sz w:val="24"/>
        </w:rPr>
        <w:t> </w:t>
      </w:r>
      <w:r>
        <w:rPr>
          <w:color w:val="231F20"/>
          <w:spacing w:val="-2"/>
          <w:sz w:val="24"/>
        </w:rPr>
        <w:t>dont</w:t>
      </w:r>
      <w:r>
        <w:rPr>
          <w:color w:val="231F20"/>
          <w:spacing w:val="-13"/>
          <w:sz w:val="24"/>
        </w:rPr>
        <w:t> </w:t>
      </w:r>
      <w:r>
        <w:rPr>
          <w:color w:val="231F20"/>
          <w:spacing w:val="-2"/>
          <w:sz w:val="24"/>
        </w:rPr>
        <w:t>ils</w:t>
      </w:r>
      <w:r>
        <w:rPr>
          <w:color w:val="231F20"/>
          <w:spacing w:val="-13"/>
          <w:sz w:val="24"/>
        </w:rPr>
        <w:t> </w:t>
      </w:r>
      <w:r>
        <w:rPr>
          <w:color w:val="231F20"/>
          <w:spacing w:val="-2"/>
          <w:sz w:val="24"/>
        </w:rPr>
        <w:t>sont</w:t>
      </w:r>
      <w:r>
        <w:rPr>
          <w:color w:val="231F20"/>
          <w:spacing w:val="-12"/>
          <w:sz w:val="24"/>
        </w:rPr>
        <w:t> </w:t>
      </w:r>
      <w:r>
        <w:rPr>
          <w:color w:val="231F20"/>
          <w:spacing w:val="-2"/>
          <w:sz w:val="24"/>
        </w:rPr>
        <w:t>bardés,</w:t>
      </w:r>
      <w:r>
        <w:rPr>
          <w:color w:val="231F20"/>
          <w:spacing w:val="-13"/>
          <w:sz w:val="24"/>
        </w:rPr>
        <w:t> </w:t>
      </w:r>
      <w:r>
        <w:rPr>
          <w:color w:val="231F20"/>
          <w:spacing w:val="-2"/>
          <w:sz w:val="24"/>
        </w:rPr>
        <w:t>l’opinion</w:t>
      </w:r>
      <w:r>
        <w:rPr>
          <w:color w:val="231F20"/>
          <w:spacing w:val="-13"/>
          <w:sz w:val="24"/>
        </w:rPr>
        <w:t> </w:t>
      </w:r>
      <w:r>
        <w:rPr>
          <w:color w:val="231F20"/>
          <w:spacing w:val="-2"/>
          <w:sz w:val="24"/>
        </w:rPr>
        <w:t>nationale</w:t>
      </w:r>
      <w:r>
        <w:rPr>
          <w:color w:val="231F20"/>
          <w:spacing w:val="-13"/>
          <w:sz w:val="24"/>
        </w:rPr>
        <w:t> </w:t>
      </w:r>
      <w:r>
        <w:rPr>
          <w:color w:val="231F20"/>
          <w:spacing w:val="-2"/>
          <w:sz w:val="24"/>
        </w:rPr>
        <w:t>se</w:t>
      </w:r>
      <w:r>
        <w:rPr>
          <w:color w:val="231F20"/>
          <w:spacing w:val="-11"/>
          <w:sz w:val="24"/>
        </w:rPr>
        <w:t> </w:t>
      </w:r>
      <w:r>
        <w:rPr>
          <w:color w:val="231F20"/>
          <w:spacing w:val="-2"/>
          <w:sz w:val="24"/>
        </w:rPr>
        <w:t>rend</w:t>
      </w:r>
      <w:r>
        <w:rPr>
          <w:color w:val="231F20"/>
          <w:spacing w:val="-13"/>
          <w:sz w:val="24"/>
        </w:rPr>
        <w:t> </w:t>
      </w:r>
      <w:r>
        <w:rPr>
          <w:color w:val="231F20"/>
          <w:spacing w:val="-2"/>
          <w:sz w:val="24"/>
        </w:rPr>
        <w:t>compte </w:t>
      </w:r>
      <w:r>
        <w:rPr>
          <w:color w:val="231F20"/>
          <w:spacing w:val="-4"/>
          <w:sz w:val="24"/>
        </w:rPr>
        <w:t>que</w:t>
      </w:r>
      <w:r>
        <w:rPr>
          <w:color w:val="231F20"/>
          <w:spacing w:val="-5"/>
          <w:sz w:val="24"/>
        </w:rPr>
        <w:t> </w:t>
      </w:r>
      <w:r>
        <w:rPr>
          <w:color w:val="231F20"/>
          <w:spacing w:val="-4"/>
          <w:sz w:val="24"/>
        </w:rPr>
        <w:t>ce</w:t>
      </w:r>
      <w:r>
        <w:rPr>
          <w:color w:val="231F20"/>
          <w:spacing w:val="-5"/>
          <w:sz w:val="24"/>
        </w:rPr>
        <w:t> </w:t>
      </w:r>
      <w:r>
        <w:rPr>
          <w:color w:val="231F20"/>
          <w:spacing w:val="-4"/>
          <w:sz w:val="24"/>
        </w:rPr>
        <w:t>sont</w:t>
      </w:r>
      <w:r>
        <w:rPr>
          <w:color w:val="231F20"/>
          <w:spacing w:val="-5"/>
          <w:sz w:val="24"/>
        </w:rPr>
        <w:t> </w:t>
      </w:r>
      <w:r>
        <w:rPr>
          <w:color w:val="231F20"/>
          <w:spacing w:val="-4"/>
          <w:sz w:val="24"/>
        </w:rPr>
        <w:t>des</w:t>
      </w:r>
      <w:r>
        <w:rPr>
          <w:color w:val="231F20"/>
          <w:spacing w:val="-5"/>
          <w:sz w:val="24"/>
        </w:rPr>
        <w:t> </w:t>
      </w:r>
      <w:r>
        <w:rPr>
          <w:color w:val="231F20"/>
          <w:spacing w:val="-4"/>
          <w:sz w:val="24"/>
        </w:rPr>
        <w:t>étrangers</w:t>
      </w:r>
      <w:r>
        <w:rPr>
          <w:color w:val="231F20"/>
          <w:spacing w:val="-6"/>
          <w:sz w:val="24"/>
        </w:rPr>
        <w:t> </w:t>
      </w:r>
      <w:r>
        <w:rPr>
          <w:color w:val="231F20"/>
          <w:spacing w:val="-4"/>
          <w:sz w:val="24"/>
        </w:rPr>
        <w:t>et déjà,</w:t>
      </w:r>
      <w:r>
        <w:rPr>
          <w:color w:val="231F20"/>
          <w:spacing w:val="-7"/>
          <w:sz w:val="24"/>
        </w:rPr>
        <w:t> </w:t>
      </w:r>
      <w:r>
        <w:rPr>
          <w:color w:val="231F20"/>
          <w:spacing w:val="-4"/>
          <w:sz w:val="24"/>
        </w:rPr>
        <w:t>circule</w:t>
      </w:r>
      <w:r>
        <w:rPr>
          <w:color w:val="231F20"/>
          <w:spacing w:val="-5"/>
          <w:sz w:val="24"/>
        </w:rPr>
        <w:t> </w:t>
      </w:r>
      <w:r>
        <w:rPr>
          <w:color w:val="231F20"/>
          <w:spacing w:val="-4"/>
          <w:sz w:val="24"/>
        </w:rPr>
        <w:t>l’information d’assaillants venus </w:t>
      </w:r>
      <w:r>
        <w:rPr>
          <w:color w:val="231F20"/>
          <w:sz w:val="24"/>
        </w:rPr>
        <w:t>du Burkina Faso. Le président Laurent Gbagbo, en visite officielle en Italie, donne les premières explications à propos de l’armement des mutins</w:t>
      </w:r>
      <w:r>
        <w:rPr>
          <w:color w:val="231F20"/>
          <w:spacing w:val="-15"/>
          <w:sz w:val="24"/>
        </w:rPr>
        <w:t> </w:t>
      </w:r>
      <w:r>
        <w:rPr>
          <w:color w:val="231F20"/>
          <w:sz w:val="24"/>
        </w:rPr>
        <w:t>:</w:t>
      </w:r>
      <w:r>
        <w:rPr>
          <w:color w:val="231F20"/>
          <w:spacing w:val="-14"/>
          <w:sz w:val="24"/>
        </w:rPr>
        <w:t> </w:t>
      </w:r>
      <w:r>
        <w:rPr>
          <w:i/>
          <w:color w:val="231F20"/>
          <w:sz w:val="24"/>
        </w:rPr>
        <w:t>«</w:t>
      </w:r>
      <w:r>
        <w:rPr>
          <w:i/>
          <w:color w:val="231F20"/>
          <w:spacing w:val="-15"/>
          <w:sz w:val="24"/>
        </w:rPr>
        <w:t> </w:t>
      </w:r>
      <w:r>
        <w:rPr>
          <w:i/>
          <w:color w:val="231F20"/>
          <w:sz w:val="24"/>
        </w:rPr>
        <w:t>des</w:t>
      </w:r>
      <w:r>
        <w:rPr>
          <w:i/>
          <w:color w:val="231F20"/>
          <w:spacing w:val="-8"/>
          <w:sz w:val="24"/>
        </w:rPr>
        <w:t> </w:t>
      </w:r>
      <w:r>
        <w:rPr>
          <w:i/>
          <w:color w:val="231F20"/>
          <w:sz w:val="24"/>
        </w:rPr>
        <w:t>armes</w:t>
      </w:r>
      <w:r>
        <w:rPr>
          <w:i/>
          <w:color w:val="231F20"/>
          <w:spacing w:val="-10"/>
          <w:sz w:val="24"/>
        </w:rPr>
        <w:t> </w:t>
      </w:r>
      <w:r>
        <w:rPr>
          <w:i/>
          <w:color w:val="231F20"/>
          <w:sz w:val="24"/>
        </w:rPr>
        <w:t>lourdes,</w:t>
      </w:r>
      <w:r>
        <w:rPr>
          <w:i/>
          <w:color w:val="231F20"/>
          <w:spacing w:val="-8"/>
          <w:sz w:val="24"/>
        </w:rPr>
        <w:t> </w:t>
      </w:r>
      <w:r>
        <w:rPr>
          <w:i/>
          <w:color w:val="231F20"/>
          <w:sz w:val="24"/>
        </w:rPr>
        <w:t>nouvelles</w:t>
      </w:r>
      <w:r>
        <w:rPr>
          <w:i/>
          <w:color w:val="231F20"/>
          <w:spacing w:val="-10"/>
          <w:sz w:val="24"/>
        </w:rPr>
        <w:t> </w:t>
      </w:r>
      <w:r>
        <w:rPr>
          <w:i/>
          <w:color w:val="231F20"/>
          <w:sz w:val="24"/>
        </w:rPr>
        <w:t>pour</w:t>
      </w:r>
      <w:r>
        <w:rPr>
          <w:i/>
          <w:color w:val="231F20"/>
          <w:spacing w:val="-8"/>
          <w:sz w:val="24"/>
        </w:rPr>
        <w:t> </w:t>
      </w:r>
      <w:r>
        <w:rPr>
          <w:i/>
          <w:color w:val="231F20"/>
          <w:sz w:val="24"/>
        </w:rPr>
        <w:t>la</w:t>
      </w:r>
      <w:r>
        <w:rPr>
          <w:i/>
          <w:color w:val="231F20"/>
          <w:spacing w:val="-8"/>
          <w:sz w:val="24"/>
        </w:rPr>
        <w:t> </w:t>
      </w:r>
      <w:r>
        <w:rPr>
          <w:i/>
          <w:color w:val="231F20"/>
          <w:sz w:val="24"/>
        </w:rPr>
        <w:t>plupart,</w:t>
      </w:r>
      <w:r>
        <w:rPr>
          <w:i/>
          <w:color w:val="231F20"/>
          <w:spacing w:val="-8"/>
          <w:sz w:val="24"/>
        </w:rPr>
        <w:t> </w:t>
      </w:r>
      <w:r>
        <w:rPr>
          <w:i/>
          <w:color w:val="231F20"/>
          <w:sz w:val="24"/>
        </w:rPr>
        <w:t>des</w:t>
      </w:r>
      <w:r>
        <w:rPr>
          <w:i/>
          <w:color w:val="231F20"/>
          <w:spacing w:val="-10"/>
          <w:sz w:val="24"/>
        </w:rPr>
        <w:t> </w:t>
      </w:r>
      <w:r>
        <w:rPr>
          <w:i/>
          <w:color w:val="231F20"/>
          <w:sz w:val="24"/>
        </w:rPr>
        <w:t>armes</w:t>
      </w:r>
      <w:r>
        <w:rPr>
          <w:i/>
          <w:color w:val="231F20"/>
          <w:spacing w:val="-10"/>
          <w:sz w:val="24"/>
        </w:rPr>
        <w:t> </w:t>
      </w:r>
      <w:r>
        <w:rPr>
          <w:i/>
          <w:color w:val="231F20"/>
          <w:sz w:val="24"/>
        </w:rPr>
        <w:t>dont</w:t>
      </w:r>
      <w:r>
        <w:rPr>
          <w:i/>
          <w:color w:val="231F20"/>
          <w:sz w:val="24"/>
        </w:rPr>
        <w:t> ne</w:t>
      </w:r>
      <w:r>
        <w:rPr>
          <w:i/>
          <w:color w:val="231F20"/>
          <w:spacing w:val="-15"/>
          <w:sz w:val="24"/>
        </w:rPr>
        <w:t> </w:t>
      </w:r>
      <w:r>
        <w:rPr>
          <w:i/>
          <w:color w:val="231F20"/>
          <w:sz w:val="24"/>
        </w:rPr>
        <w:t>dispose</w:t>
      </w:r>
      <w:r>
        <w:rPr>
          <w:i/>
          <w:color w:val="231F20"/>
          <w:spacing w:val="-15"/>
          <w:sz w:val="24"/>
        </w:rPr>
        <w:t> </w:t>
      </w:r>
      <w:r>
        <w:rPr>
          <w:i/>
          <w:color w:val="231F20"/>
          <w:sz w:val="24"/>
        </w:rPr>
        <w:t>pas</w:t>
      </w:r>
      <w:r>
        <w:rPr>
          <w:i/>
          <w:color w:val="231F20"/>
          <w:spacing w:val="-15"/>
          <w:sz w:val="24"/>
        </w:rPr>
        <w:t> </w:t>
      </w:r>
      <w:r>
        <w:rPr>
          <w:i/>
          <w:color w:val="231F20"/>
          <w:sz w:val="24"/>
        </w:rPr>
        <w:t>notre</w:t>
      </w:r>
      <w:r>
        <w:rPr>
          <w:i/>
          <w:color w:val="231F20"/>
          <w:spacing w:val="-15"/>
          <w:sz w:val="24"/>
        </w:rPr>
        <w:t> </w:t>
      </w:r>
      <w:r>
        <w:rPr>
          <w:i/>
          <w:color w:val="231F20"/>
          <w:sz w:val="24"/>
        </w:rPr>
        <w:t>armée</w:t>
      </w:r>
      <w:r>
        <w:rPr>
          <w:i/>
          <w:color w:val="231F20"/>
          <w:spacing w:val="-15"/>
          <w:sz w:val="24"/>
        </w:rPr>
        <w:t> </w:t>
      </w:r>
      <w:r>
        <w:rPr>
          <w:i/>
          <w:color w:val="231F20"/>
          <w:sz w:val="24"/>
        </w:rPr>
        <w:t>–</w:t>
      </w:r>
      <w:r>
        <w:rPr>
          <w:i/>
          <w:color w:val="231F20"/>
          <w:spacing w:val="-15"/>
          <w:sz w:val="24"/>
        </w:rPr>
        <w:t> </w:t>
      </w:r>
      <w:r>
        <w:rPr>
          <w:i/>
          <w:color w:val="231F20"/>
          <w:sz w:val="24"/>
        </w:rPr>
        <w:t>donc</w:t>
      </w:r>
      <w:r>
        <w:rPr>
          <w:i/>
          <w:color w:val="231F20"/>
          <w:spacing w:val="-15"/>
          <w:sz w:val="24"/>
        </w:rPr>
        <w:t> </w:t>
      </w:r>
      <w:r>
        <w:rPr>
          <w:i/>
          <w:color w:val="231F20"/>
          <w:sz w:val="24"/>
        </w:rPr>
        <w:t>on</w:t>
      </w:r>
      <w:r>
        <w:rPr>
          <w:i/>
          <w:color w:val="231F20"/>
          <w:spacing w:val="-15"/>
          <w:sz w:val="24"/>
        </w:rPr>
        <w:t> </w:t>
      </w:r>
      <w:r>
        <w:rPr>
          <w:i/>
          <w:color w:val="231F20"/>
          <w:sz w:val="24"/>
        </w:rPr>
        <w:t>ne</w:t>
      </w:r>
      <w:r>
        <w:rPr>
          <w:i/>
          <w:color w:val="231F20"/>
          <w:spacing w:val="-15"/>
          <w:sz w:val="24"/>
        </w:rPr>
        <w:t> </w:t>
      </w:r>
      <w:r>
        <w:rPr>
          <w:i/>
          <w:color w:val="231F20"/>
          <w:sz w:val="24"/>
        </w:rPr>
        <w:t>peut</w:t>
      </w:r>
      <w:r>
        <w:rPr>
          <w:i/>
          <w:color w:val="231F20"/>
          <w:spacing w:val="-15"/>
          <w:sz w:val="24"/>
        </w:rPr>
        <w:t> </w:t>
      </w:r>
      <w:r>
        <w:rPr>
          <w:i/>
          <w:color w:val="231F20"/>
          <w:sz w:val="24"/>
        </w:rPr>
        <w:t>pas</w:t>
      </w:r>
      <w:r>
        <w:rPr>
          <w:i/>
          <w:color w:val="231F20"/>
          <w:spacing w:val="-15"/>
          <w:sz w:val="24"/>
        </w:rPr>
        <w:t> </w:t>
      </w:r>
      <w:r>
        <w:rPr>
          <w:i/>
          <w:color w:val="231F20"/>
          <w:sz w:val="24"/>
        </w:rPr>
        <w:t>dire</w:t>
      </w:r>
      <w:r>
        <w:rPr>
          <w:i/>
          <w:color w:val="231F20"/>
          <w:spacing w:val="-15"/>
          <w:sz w:val="24"/>
        </w:rPr>
        <w:t> </w:t>
      </w:r>
      <w:r>
        <w:rPr>
          <w:i/>
          <w:color w:val="231F20"/>
          <w:sz w:val="24"/>
        </w:rPr>
        <w:t>que</w:t>
      </w:r>
      <w:r>
        <w:rPr>
          <w:i/>
          <w:color w:val="231F20"/>
          <w:spacing w:val="-15"/>
          <w:sz w:val="24"/>
        </w:rPr>
        <w:t> </w:t>
      </w:r>
      <w:r>
        <w:rPr>
          <w:i/>
          <w:color w:val="231F20"/>
          <w:sz w:val="24"/>
        </w:rPr>
        <w:t>c’est</w:t>
      </w:r>
      <w:r>
        <w:rPr>
          <w:i/>
          <w:color w:val="231F20"/>
          <w:spacing w:val="-15"/>
          <w:sz w:val="24"/>
        </w:rPr>
        <w:t> </w:t>
      </w:r>
      <w:r>
        <w:rPr>
          <w:i/>
          <w:color w:val="231F20"/>
          <w:sz w:val="24"/>
        </w:rPr>
        <w:t>l’Armée de la Côte d’Ivoire qui se</w:t>
      </w:r>
      <w:r>
        <w:rPr>
          <w:i/>
          <w:color w:val="231F20"/>
          <w:spacing w:val="-1"/>
          <w:sz w:val="24"/>
        </w:rPr>
        <w:t> </w:t>
      </w:r>
      <w:r>
        <w:rPr>
          <w:i/>
          <w:color w:val="231F20"/>
          <w:sz w:val="24"/>
        </w:rPr>
        <w:t>rebelle (…) ».</w:t>
      </w:r>
    </w:p>
    <w:p>
      <w:pPr>
        <w:pStyle w:val="BodyText"/>
        <w:spacing w:before="242"/>
        <w:ind w:left="0"/>
        <w:jc w:val="left"/>
        <w:rPr>
          <w:i/>
        </w:rPr>
      </w:pPr>
    </w:p>
    <w:p>
      <w:pPr>
        <w:pStyle w:val="Heading3"/>
        <w:rPr>
          <w:i/>
        </w:rPr>
      </w:pPr>
      <w:bookmarkStart w:name="_TOC_250016" w:id="27"/>
      <w:r>
        <w:rPr>
          <w:i/>
          <w:color w:val="231F20"/>
          <w:spacing w:val="-2"/>
        </w:rPr>
        <w:t>La</w:t>
      </w:r>
      <w:r>
        <w:rPr>
          <w:i/>
          <w:color w:val="231F20"/>
          <w:spacing w:val="-9"/>
        </w:rPr>
        <w:t> </w:t>
      </w:r>
      <w:r>
        <w:rPr>
          <w:i/>
          <w:color w:val="231F20"/>
          <w:spacing w:val="-2"/>
        </w:rPr>
        <w:t>prise</w:t>
      </w:r>
      <w:r>
        <w:rPr>
          <w:i/>
          <w:color w:val="231F20"/>
          <w:spacing w:val="-8"/>
        </w:rPr>
        <w:t> </w:t>
      </w:r>
      <w:r>
        <w:rPr>
          <w:i/>
          <w:color w:val="231F20"/>
          <w:spacing w:val="-2"/>
        </w:rPr>
        <w:t>du</w:t>
      </w:r>
      <w:r>
        <w:rPr>
          <w:i/>
          <w:color w:val="231F20"/>
          <w:spacing w:val="-9"/>
        </w:rPr>
        <w:t> </w:t>
      </w:r>
      <w:r>
        <w:rPr>
          <w:i/>
          <w:color w:val="231F20"/>
          <w:spacing w:val="-2"/>
        </w:rPr>
        <w:t>pouvoir</w:t>
      </w:r>
      <w:r>
        <w:rPr>
          <w:i/>
          <w:color w:val="231F20"/>
          <w:spacing w:val="-8"/>
        </w:rPr>
        <w:t> </w:t>
      </w:r>
      <w:r>
        <w:rPr>
          <w:i/>
          <w:color w:val="231F20"/>
          <w:spacing w:val="-2"/>
        </w:rPr>
        <w:t>à</w:t>
      </w:r>
      <w:r>
        <w:rPr>
          <w:i/>
          <w:color w:val="231F20"/>
          <w:spacing w:val="-8"/>
        </w:rPr>
        <w:t> </w:t>
      </w:r>
      <w:r>
        <w:rPr>
          <w:i/>
          <w:color w:val="231F20"/>
          <w:spacing w:val="-2"/>
        </w:rPr>
        <w:t>Abidjan</w:t>
      </w:r>
      <w:r>
        <w:rPr>
          <w:i/>
          <w:color w:val="231F20"/>
          <w:spacing w:val="-10"/>
        </w:rPr>
        <w:t> </w:t>
      </w:r>
      <w:bookmarkEnd w:id="27"/>
      <w:r>
        <w:rPr>
          <w:i/>
          <w:color w:val="231F20"/>
          <w:spacing w:val="-2"/>
        </w:rPr>
        <w:t>échoue.</w:t>
      </w:r>
    </w:p>
    <w:p>
      <w:pPr>
        <w:pStyle w:val="BodyText"/>
        <w:spacing w:before="256"/>
        <w:ind w:right="101" w:firstLine="283"/>
      </w:pPr>
      <w:r>
        <w:rPr>
          <w:color w:val="231F20"/>
        </w:rPr>
        <w:t>Les assaillants se replient sur les camps militaires de Bouaké la deuxième ville du pays, au Centre et Korhogo, au Nord du pays qu’ils occupent.</w:t>
      </w:r>
      <w:r>
        <w:rPr>
          <w:color w:val="231F20"/>
          <w:spacing w:val="-3"/>
        </w:rPr>
        <w:t> </w:t>
      </w:r>
      <w:r>
        <w:rPr>
          <w:color w:val="231F20"/>
        </w:rPr>
        <w:t>Ils</w:t>
      </w:r>
      <w:r>
        <w:rPr>
          <w:color w:val="231F20"/>
          <w:spacing w:val="-2"/>
        </w:rPr>
        <w:t> </w:t>
      </w:r>
      <w:r>
        <w:rPr>
          <w:color w:val="231F20"/>
        </w:rPr>
        <w:t>font de</w:t>
      </w:r>
      <w:r>
        <w:rPr>
          <w:color w:val="231F20"/>
          <w:spacing w:val="-4"/>
        </w:rPr>
        <w:t> </w:t>
      </w:r>
      <w:r>
        <w:rPr>
          <w:color w:val="231F20"/>
        </w:rPr>
        <w:t>Bouaké</w:t>
      </w:r>
      <w:r>
        <w:rPr>
          <w:color w:val="231F20"/>
          <w:spacing w:val="-1"/>
        </w:rPr>
        <w:t> </w:t>
      </w:r>
      <w:r>
        <w:rPr>
          <w:color w:val="231F20"/>
        </w:rPr>
        <w:t>leur</w:t>
      </w:r>
      <w:r>
        <w:rPr>
          <w:color w:val="231F20"/>
          <w:spacing w:val="-3"/>
        </w:rPr>
        <w:t> </w:t>
      </w:r>
      <w:r>
        <w:rPr>
          <w:color w:val="231F20"/>
        </w:rPr>
        <w:t>siège.</w:t>
      </w:r>
      <w:r>
        <w:rPr>
          <w:color w:val="231F20"/>
          <w:spacing w:val="-3"/>
        </w:rPr>
        <w:t> </w:t>
      </w:r>
      <w:r>
        <w:rPr>
          <w:color w:val="231F20"/>
        </w:rPr>
        <w:t>Mais</w:t>
      </w:r>
      <w:r>
        <w:rPr>
          <w:color w:val="231F20"/>
          <w:spacing w:val="-2"/>
        </w:rPr>
        <w:t> </w:t>
      </w:r>
      <w:r>
        <w:rPr>
          <w:color w:val="231F20"/>
        </w:rPr>
        <w:t>au</w:t>
      </w:r>
      <w:r>
        <w:rPr>
          <w:color w:val="231F20"/>
          <w:spacing w:val="-3"/>
        </w:rPr>
        <w:t> </w:t>
      </w:r>
      <w:r>
        <w:rPr>
          <w:color w:val="231F20"/>
        </w:rPr>
        <w:t>sein</w:t>
      </w:r>
      <w:r>
        <w:rPr>
          <w:color w:val="231F20"/>
          <w:spacing w:val="-2"/>
        </w:rPr>
        <w:t> </w:t>
      </w:r>
      <w:r>
        <w:rPr>
          <w:color w:val="231F20"/>
        </w:rPr>
        <w:t>de</w:t>
      </w:r>
      <w:r>
        <w:rPr>
          <w:color w:val="231F20"/>
          <w:spacing w:val="-4"/>
        </w:rPr>
        <w:t> </w:t>
      </w:r>
      <w:r>
        <w:rPr>
          <w:color w:val="231F20"/>
        </w:rPr>
        <w:t>la</w:t>
      </w:r>
      <w:r>
        <w:rPr>
          <w:color w:val="231F20"/>
          <w:spacing w:val="-2"/>
        </w:rPr>
        <w:t> </w:t>
      </w:r>
      <w:r>
        <w:rPr>
          <w:color w:val="231F20"/>
        </w:rPr>
        <w:t>rébellion</w:t>
      </w:r>
      <w:r>
        <w:rPr>
          <w:color w:val="231F20"/>
          <w:spacing w:val="-3"/>
        </w:rPr>
        <w:t> </w:t>
      </w:r>
      <w:r>
        <w:rPr>
          <w:color w:val="231F20"/>
        </w:rPr>
        <w:t>un </w:t>
      </w:r>
      <w:r>
        <w:rPr>
          <w:color w:val="231F20"/>
          <w:spacing w:val="-4"/>
        </w:rPr>
        <w:t>sérieux</w:t>
      </w:r>
      <w:r>
        <w:rPr>
          <w:color w:val="231F20"/>
          <w:spacing w:val="-8"/>
        </w:rPr>
        <w:t> </w:t>
      </w:r>
      <w:r>
        <w:rPr>
          <w:color w:val="231F20"/>
          <w:spacing w:val="-4"/>
        </w:rPr>
        <w:t>problème</w:t>
      </w:r>
      <w:r>
        <w:rPr>
          <w:color w:val="231F20"/>
          <w:spacing w:val="-10"/>
        </w:rPr>
        <w:t> </w:t>
      </w:r>
      <w:r>
        <w:rPr>
          <w:color w:val="231F20"/>
          <w:spacing w:val="-4"/>
        </w:rPr>
        <w:t>se</w:t>
      </w:r>
      <w:r>
        <w:rPr>
          <w:color w:val="231F20"/>
          <w:spacing w:val="-8"/>
        </w:rPr>
        <w:t> </w:t>
      </w:r>
      <w:r>
        <w:rPr>
          <w:color w:val="231F20"/>
          <w:spacing w:val="-4"/>
        </w:rPr>
        <w:t>pose.</w:t>
      </w:r>
      <w:r>
        <w:rPr>
          <w:color w:val="231F20"/>
          <w:spacing w:val="-10"/>
        </w:rPr>
        <w:t> </w:t>
      </w:r>
      <w:r>
        <w:rPr>
          <w:color w:val="231F20"/>
          <w:spacing w:val="-4"/>
        </w:rPr>
        <w:t>Il</w:t>
      </w:r>
      <w:r>
        <w:rPr>
          <w:color w:val="231F20"/>
          <w:spacing w:val="-8"/>
        </w:rPr>
        <w:t> </w:t>
      </w:r>
      <w:r>
        <w:rPr>
          <w:color w:val="231F20"/>
          <w:spacing w:val="-4"/>
        </w:rPr>
        <w:t>n’y</w:t>
      </w:r>
      <w:r>
        <w:rPr>
          <w:color w:val="231F20"/>
          <w:spacing w:val="-8"/>
        </w:rPr>
        <w:t> </w:t>
      </w:r>
      <w:r>
        <w:rPr>
          <w:color w:val="231F20"/>
          <w:spacing w:val="-4"/>
        </w:rPr>
        <w:t>pas</w:t>
      </w:r>
      <w:r>
        <w:rPr>
          <w:color w:val="231F20"/>
          <w:spacing w:val="-8"/>
        </w:rPr>
        <w:t> </w:t>
      </w:r>
      <w:r>
        <w:rPr>
          <w:color w:val="231F20"/>
          <w:spacing w:val="-4"/>
        </w:rPr>
        <w:t>de</w:t>
      </w:r>
      <w:r>
        <w:rPr>
          <w:color w:val="231F20"/>
          <w:spacing w:val="-9"/>
        </w:rPr>
        <w:t> </w:t>
      </w:r>
      <w:r>
        <w:rPr>
          <w:color w:val="231F20"/>
          <w:spacing w:val="-4"/>
        </w:rPr>
        <w:t>porte-parole</w:t>
      </w:r>
      <w:r>
        <w:rPr>
          <w:color w:val="231F20"/>
          <w:spacing w:val="-8"/>
        </w:rPr>
        <w:t> </w:t>
      </w:r>
      <w:r>
        <w:rPr>
          <w:color w:val="231F20"/>
          <w:spacing w:val="-4"/>
        </w:rPr>
        <w:t>officiel.</w:t>
      </w:r>
      <w:r>
        <w:rPr>
          <w:color w:val="231F20"/>
          <w:spacing w:val="-11"/>
        </w:rPr>
        <w:t> </w:t>
      </w:r>
      <w:r>
        <w:rPr>
          <w:color w:val="231F20"/>
          <w:spacing w:val="-4"/>
        </w:rPr>
        <w:t>Leur</w:t>
      </w:r>
      <w:r>
        <w:rPr>
          <w:color w:val="231F20"/>
          <w:spacing w:val="-8"/>
        </w:rPr>
        <w:t> </w:t>
      </w:r>
      <w:r>
        <w:rPr>
          <w:color w:val="231F20"/>
          <w:spacing w:val="-4"/>
        </w:rPr>
        <w:t>identité, </w:t>
      </w:r>
      <w:r>
        <w:rPr>
          <w:color w:val="231F20"/>
        </w:rPr>
        <w:t>leurs motivations demeurent inconnues les premiers jours. Dans les médias français notamment RFI et France 24, cachés sous des </w:t>
      </w:r>
      <w:r>
        <w:rPr>
          <w:color w:val="231F20"/>
          <w:spacing w:val="-2"/>
        </w:rPr>
        <w:t>pseudonymes</w:t>
      </w:r>
      <w:r>
        <w:rPr>
          <w:color w:val="231F20"/>
          <w:spacing w:val="-13"/>
        </w:rPr>
        <w:t> </w:t>
      </w:r>
      <w:r>
        <w:rPr>
          <w:color w:val="231F20"/>
          <w:spacing w:val="-2"/>
        </w:rPr>
        <w:t>de</w:t>
      </w:r>
      <w:r>
        <w:rPr>
          <w:color w:val="231F20"/>
          <w:spacing w:val="-13"/>
        </w:rPr>
        <w:t> </w:t>
      </w:r>
      <w:r>
        <w:rPr>
          <w:color w:val="231F20"/>
          <w:spacing w:val="-2"/>
        </w:rPr>
        <w:t>«</w:t>
      </w:r>
      <w:r>
        <w:rPr>
          <w:color w:val="231F20"/>
          <w:spacing w:val="-13"/>
        </w:rPr>
        <w:t> </w:t>
      </w:r>
      <w:r>
        <w:rPr>
          <w:color w:val="231F20"/>
          <w:spacing w:val="-2"/>
        </w:rPr>
        <w:t>zinzins</w:t>
      </w:r>
      <w:r>
        <w:rPr>
          <w:color w:val="231F20"/>
          <w:spacing w:val="-13"/>
        </w:rPr>
        <w:t> </w:t>
      </w:r>
      <w:r>
        <w:rPr>
          <w:color w:val="231F20"/>
          <w:spacing w:val="-2"/>
        </w:rPr>
        <w:t>»</w:t>
      </w:r>
      <w:r>
        <w:rPr>
          <w:color w:val="231F20"/>
          <w:spacing w:val="-13"/>
        </w:rPr>
        <w:t> </w:t>
      </w:r>
      <w:r>
        <w:rPr>
          <w:color w:val="231F20"/>
          <w:spacing w:val="-2"/>
        </w:rPr>
        <w:t>et</w:t>
      </w:r>
      <w:r>
        <w:rPr>
          <w:color w:val="231F20"/>
          <w:spacing w:val="-13"/>
        </w:rPr>
        <w:t> </w:t>
      </w:r>
      <w:r>
        <w:rPr>
          <w:color w:val="231F20"/>
          <w:spacing w:val="-2"/>
        </w:rPr>
        <w:t>«</w:t>
      </w:r>
      <w:r>
        <w:rPr>
          <w:color w:val="231F20"/>
          <w:spacing w:val="-13"/>
        </w:rPr>
        <w:t> </w:t>
      </w:r>
      <w:r>
        <w:rPr>
          <w:color w:val="231F20"/>
          <w:spacing w:val="-2"/>
        </w:rPr>
        <w:t>bahéfouès</w:t>
      </w:r>
      <w:r>
        <w:rPr>
          <w:color w:val="231F20"/>
          <w:spacing w:val="-2"/>
          <w:vertAlign w:val="superscript"/>
        </w:rPr>
        <w:t>173</w:t>
      </w:r>
      <w:r>
        <w:rPr>
          <w:color w:val="231F20"/>
          <w:spacing w:val="-12"/>
          <w:vertAlign w:val="baseline"/>
        </w:rPr>
        <w:t> </w:t>
      </w:r>
      <w:r>
        <w:rPr>
          <w:color w:val="231F20"/>
          <w:spacing w:val="-2"/>
          <w:vertAlign w:val="baseline"/>
        </w:rPr>
        <w:t>»,</w:t>
      </w:r>
      <w:r>
        <w:rPr>
          <w:color w:val="231F20"/>
          <w:spacing w:val="-13"/>
          <w:vertAlign w:val="baseline"/>
        </w:rPr>
        <w:t> </w:t>
      </w:r>
      <w:r>
        <w:rPr>
          <w:color w:val="231F20"/>
          <w:spacing w:val="-2"/>
          <w:vertAlign w:val="baseline"/>
        </w:rPr>
        <w:t>ils</w:t>
      </w:r>
      <w:r>
        <w:rPr>
          <w:color w:val="231F20"/>
          <w:spacing w:val="-13"/>
          <w:vertAlign w:val="baseline"/>
        </w:rPr>
        <w:t> </w:t>
      </w:r>
      <w:r>
        <w:rPr>
          <w:color w:val="231F20"/>
          <w:spacing w:val="-2"/>
          <w:vertAlign w:val="baseline"/>
        </w:rPr>
        <w:t>déclarent</w:t>
      </w:r>
      <w:r>
        <w:rPr>
          <w:color w:val="231F20"/>
          <w:spacing w:val="-13"/>
          <w:vertAlign w:val="baseline"/>
        </w:rPr>
        <w:t> </w:t>
      </w:r>
      <w:r>
        <w:rPr>
          <w:color w:val="231F20"/>
          <w:spacing w:val="-2"/>
          <w:vertAlign w:val="baseline"/>
        </w:rPr>
        <w:t>«</w:t>
      </w:r>
      <w:r>
        <w:rPr>
          <w:color w:val="231F20"/>
          <w:spacing w:val="-11"/>
          <w:vertAlign w:val="baseline"/>
        </w:rPr>
        <w:t> </w:t>
      </w:r>
      <w:r>
        <w:rPr>
          <w:color w:val="231F20"/>
          <w:spacing w:val="-2"/>
          <w:vertAlign w:val="baseline"/>
        </w:rPr>
        <w:t>vouloir</w:t>
      </w:r>
      <w:r>
        <w:rPr>
          <w:color w:val="231F20"/>
          <w:spacing w:val="-13"/>
          <w:vertAlign w:val="baseline"/>
        </w:rPr>
        <w:t> </w:t>
      </w:r>
      <w:r>
        <w:rPr>
          <w:color w:val="231F20"/>
          <w:spacing w:val="-2"/>
          <w:vertAlign w:val="baseline"/>
        </w:rPr>
        <w:t>en </w:t>
      </w:r>
      <w:r>
        <w:rPr>
          <w:color w:val="231F20"/>
          <w:vertAlign w:val="baseline"/>
        </w:rPr>
        <w:t>finir » avec le pouvoir de Gbagbo.</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204"/>
        <w:ind w:left="0"/>
        <w:jc w:val="left"/>
        <w:rPr>
          <w:sz w:val="20"/>
        </w:rPr>
      </w:pPr>
      <w:r>
        <w:rPr/>
        <mc:AlternateContent>
          <mc:Choice Requires="wps">
            <w:drawing>
              <wp:anchor distT="0" distB="0" distL="0" distR="0" allowOverlap="1" layoutInCell="1" locked="0" behindDoc="1" simplePos="0" relativeHeight="487643648">
                <wp:simplePos x="0" y="0"/>
                <wp:positionH relativeFrom="page">
                  <wp:posOffset>629907</wp:posOffset>
                </wp:positionH>
                <wp:positionV relativeFrom="paragraph">
                  <wp:posOffset>291223</wp:posOffset>
                </wp:positionV>
                <wp:extent cx="1829435" cy="9525"/>
                <wp:effectExtent l="0" t="0" r="0" b="0"/>
                <wp:wrapTopAndBottom/>
                <wp:docPr id="138" name="Graphic 138"/>
                <wp:cNvGraphicFramePr>
                  <a:graphicFrameLocks/>
                </wp:cNvGraphicFramePr>
                <a:graphic>
                  <a:graphicData uri="http://schemas.microsoft.com/office/word/2010/wordprocessingShape">
                    <wps:wsp>
                      <wps:cNvPr id="138" name="Graphic 13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2.931015pt;width:144.020pt;height:.72pt;mso-position-horizontal-relative:page;mso-position-vertical-relative:paragraph;z-index:-15672832;mso-wrap-distance-left:0;mso-wrap-distance-right:0" id="docshape136" filled="true" fillcolor="#231f20" stroked="false">
                <v:fill type="solid"/>
                <w10:wrap type="topAndBottom"/>
              </v:rect>
            </w:pict>
          </mc:Fallback>
        </mc:AlternateContent>
      </w:r>
    </w:p>
    <w:p>
      <w:pPr>
        <w:spacing w:before="94"/>
        <w:ind w:left="111" w:right="101" w:firstLine="0"/>
        <w:jc w:val="both"/>
        <w:rPr>
          <w:sz w:val="20"/>
        </w:rPr>
      </w:pPr>
      <w:r>
        <w:rPr>
          <w:color w:val="231F20"/>
          <w:sz w:val="20"/>
          <w:vertAlign w:val="superscript"/>
        </w:rPr>
        <w:t>172</w:t>
      </w:r>
      <w:r>
        <w:rPr>
          <w:color w:val="231F20"/>
          <w:spacing w:val="-3"/>
          <w:sz w:val="20"/>
          <w:vertAlign w:val="baseline"/>
        </w:rPr>
        <w:t> </w:t>
      </w:r>
      <w:r>
        <w:rPr>
          <w:color w:val="231F20"/>
          <w:sz w:val="20"/>
          <w:vertAlign w:val="baseline"/>
        </w:rPr>
        <w:t>ministre de l’Intérieur, le stratège, Émile Boga Doudou est rentré le mercredi 18 </w:t>
      </w:r>
      <w:r>
        <w:rPr>
          <w:color w:val="231F20"/>
          <w:spacing w:val="-4"/>
          <w:sz w:val="20"/>
          <w:vertAlign w:val="baseline"/>
        </w:rPr>
        <w:t>septembre</w:t>
      </w:r>
      <w:r>
        <w:rPr>
          <w:color w:val="231F20"/>
          <w:spacing w:val="-6"/>
          <w:sz w:val="20"/>
          <w:vertAlign w:val="baseline"/>
        </w:rPr>
        <w:t> </w:t>
      </w:r>
      <w:r>
        <w:rPr>
          <w:color w:val="231F20"/>
          <w:spacing w:val="-4"/>
          <w:sz w:val="20"/>
          <w:vertAlign w:val="baseline"/>
        </w:rPr>
        <w:t>2002,</w:t>
      </w:r>
      <w:r>
        <w:rPr>
          <w:color w:val="231F20"/>
          <w:spacing w:val="-5"/>
          <w:sz w:val="20"/>
          <w:vertAlign w:val="baseline"/>
        </w:rPr>
        <w:t> </w:t>
      </w:r>
      <w:r>
        <w:rPr>
          <w:color w:val="231F20"/>
          <w:spacing w:val="-4"/>
          <w:sz w:val="20"/>
          <w:vertAlign w:val="baseline"/>
        </w:rPr>
        <w:t>de Paris</w:t>
      </w:r>
      <w:r>
        <w:rPr>
          <w:color w:val="231F20"/>
          <w:spacing w:val="-7"/>
          <w:sz w:val="20"/>
          <w:vertAlign w:val="baseline"/>
        </w:rPr>
        <w:t> </w:t>
      </w:r>
      <w:r>
        <w:rPr>
          <w:color w:val="231F20"/>
          <w:spacing w:val="-4"/>
          <w:sz w:val="20"/>
          <w:vertAlign w:val="baseline"/>
        </w:rPr>
        <w:t>à</w:t>
      </w:r>
      <w:r>
        <w:rPr>
          <w:color w:val="231F20"/>
          <w:spacing w:val="-6"/>
          <w:sz w:val="20"/>
          <w:vertAlign w:val="baseline"/>
        </w:rPr>
        <w:t> </w:t>
      </w:r>
      <w:r>
        <w:rPr>
          <w:color w:val="231F20"/>
          <w:spacing w:val="-4"/>
          <w:sz w:val="20"/>
          <w:vertAlign w:val="baseline"/>
        </w:rPr>
        <w:t>19</w:t>
      </w:r>
      <w:r>
        <w:rPr>
          <w:color w:val="231F20"/>
          <w:spacing w:val="-5"/>
          <w:sz w:val="20"/>
          <w:vertAlign w:val="baseline"/>
        </w:rPr>
        <w:t> </w:t>
      </w:r>
      <w:r>
        <w:rPr>
          <w:color w:val="231F20"/>
          <w:spacing w:val="-4"/>
          <w:sz w:val="20"/>
          <w:vertAlign w:val="baseline"/>
        </w:rPr>
        <w:t>heure.</w:t>
      </w:r>
      <w:r>
        <w:rPr>
          <w:color w:val="231F20"/>
          <w:spacing w:val="-5"/>
          <w:sz w:val="20"/>
          <w:vertAlign w:val="baseline"/>
        </w:rPr>
        <w:t> </w:t>
      </w:r>
      <w:r>
        <w:rPr>
          <w:color w:val="231F20"/>
          <w:spacing w:val="-4"/>
          <w:sz w:val="20"/>
          <w:vertAlign w:val="baseline"/>
        </w:rPr>
        <w:t>Depuis</w:t>
      </w:r>
      <w:r>
        <w:rPr>
          <w:color w:val="231F20"/>
          <w:spacing w:val="-7"/>
          <w:sz w:val="20"/>
          <w:vertAlign w:val="baseline"/>
        </w:rPr>
        <w:t> </w:t>
      </w:r>
      <w:r>
        <w:rPr>
          <w:color w:val="231F20"/>
          <w:spacing w:val="-4"/>
          <w:sz w:val="20"/>
          <w:vertAlign w:val="baseline"/>
        </w:rPr>
        <w:t>Paris,</w:t>
      </w:r>
      <w:r>
        <w:rPr>
          <w:color w:val="231F20"/>
          <w:spacing w:val="-5"/>
          <w:sz w:val="20"/>
          <w:vertAlign w:val="baseline"/>
        </w:rPr>
        <w:t> </w:t>
      </w:r>
      <w:r>
        <w:rPr>
          <w:color w:val="231F20"/>
          <w:spacing w:val="-4"/>
          <w:sz w:val="20"/>
          <w:vertAlign w:val="baseline"/>
        </w:rPr>
        <w:t>des</w:t>
      </w:r>
      <w:r>
        <w:rPr>
          <w:color w:val="231F20"/>
          <w:spacing w:val="-7"/>
          <w:sz w:val="20"/>
          <w:vertAlign w:val="baseline"/>
        </w:rPr>
        <w:t> </w:t>
      </w:r>
      <w:r>
        <w:rPr>
          <w:color w:val="231F20"/>
          <w:spacing w:val="-4"/>
          <w:sz w:val="20"/>
          <w:vertAlign w:val="baseline"/>
        </w:rPr>
        <w:t>renseignements</w:t>
      </w:r>
      <w:r>
        <w:rPr>
          <w:color w:val="231F20"/>
          <w:spacing w:val="-5"/>
          <w:sz w:val="20"/>
          <w:vertAlign w:val="baseline"/>
        </w:rPr>
        <w:t> </w:t>
      </w:r>
      <w:r>
        <w:rPr>
          <w:color w:val="231F20"/>
          <w:spacing w:val="-4"/>
          <w:sz w:val="20"/>
          <w:vertAlign w:val="baseline"/>
        </w:rPr>
        <w:t>en</w:t>
      </w:r>
      <w:r>
        <w:rPr>
          <w:color w:val="231F20"/>
          <w:spacing w:val="-5"/>
          <w:sz w:val="20"/>
          <w:vertAlign w:val="baseline"/>
        </w:rPr>
        <w:t> </w:t>
      </w:r>
      <w:r>
        <w:rPr>
          <w:color w:val="231F20"/>
          <w:spacing w:val="-4"/>
          <w:sz w:val="20"/>
          <w:vertAlign w:val="baseline"/>
        </w:rPr>
        <w:t>provenance</w:t>
      </w:r>
      <w:r>
        <w:rPr>
          <w:color w:val="231F20"/>
          <w:spacing w:val="-6"/>
          <w:sz w:val="20"/>
          <w:vertAlign w:val="baseline"/>
        </w:rPr>
        <w:t> </w:t>
      </w:r>
      <w:r>
        <w:rPr>
          <w:color w:val="231F20"/>
          <w:spacing w:val="-4"/>
          <w:sz w:val="20"/>
          <w:vertAlign w:val="baseline"/>
        </w:rPr>
        <w:t>du Burkina</w:t>
      </w:r>
      <w:r>
        <w:rPr>
          <w:color w:val="231F20"/>
          <w:spacing w:val="-9"/>
          <w:sz w:val="20"/>
          <w:vertAlign w:val="baseline"/>
        </w:rPr>
        <w:t> </w:t>
      </w:r>
      <w:r>
        <w:rPr>
          <w:color w:val="231F20"/>
          <w:spacing w:val="-4"/>
          <w:sz w:val="20"/>
          <w:vertAlign w:val="baseline"/>
        </w:rPr>
        <w:t>Faso,</w:t>
      </w:r>
      <w:r>
        <w:rPr>
          <w:color w:val="231F20"/>
          <w:spacing w:val="-8"/>
          <w:sz w:val="20"/>
          <w:vertAlign w:val="baseline"/>
        </w:rPr>
        <w:t> </w:t>
      </w:r>
      <w:r>
        <w:rPr>
          <w:color w:val="231F20"/>
          <w:spacing w:val="-4"/>
          <w:sz w:val="20"/>
          <w:vertAlign w:val="baseline"/>
        </w:rPr>
        <w:t>selon</w:t>
      </w:r>
      <w:r>
        <w:rPr>
          <w:color w:val="231F20"/>
          <w:spacing w:val="-9"/>
          <w:sz w:val="20"/>
          <w:vertAlign w:val="baseline"/>
        </w:rPr>
        <w:t> </w:t>
      </w:r>
      <w:r>
        <w:rPr>
          <w:color w:val="231F20"/>
          <w:spacing w:val="-4"/>
          <w:sz w:val="20"/>
          <w:vertAlign w:val="baseline"/>
        </w:rPr>
        <w:t>lesquels</w:t>
      </w:r>
      <w:r>
        <w:rPr>
          <w:color w:val="231F20"/>
          <w:spacing w:val="-8"/>
          <w:sz w:val="20"/>
          <w:vertAlign w:val="baseline"/>
        </w:rPr>
        <w:t> </w:t>
      </w:r>
      <w:r>
        <w:rPr>
          <w:color w:val="231F20"/>
          <w:spacing w:val="-4"/>
          <w:sz w:val="20"/>
          <w:vertAlign w:val="baseline"/>
        </w:rPr>
        <w:t>un</w:t>
      </w:r>
      <w:r>
        <w:rPr>
          <w:color w:val="231F20"/>
          <w:spacing w:val="-9"/>
          <w:sz w:val="20"/>
          <w:vertAlign w:val="baseline"/>
        </w:rPr>
        <w:t> </w:t>
      </w:r>
      <w:r>
        <w:rPr>
          <w:color w:val="231F20"/>
          <w:spacing w:val="-4"/>
          <w:sz w:val="20"/>
          <w:vertAlign w:val="baseline"/>
        </w:rPr>
        <w:t>coup</w:t>
      </w:r>
      <w:r>
        <w:rPr>
          <w:color w:val="231F20"/>
          <w:spacing w:val="-8"/>
          <w:sz w:val="20"/>
          <w:vertAlign w:val="baseline"/>
        </w:rPr>
        <w:t> </w:t>
      </w:r>
      <w:r>
        <w:rPr>
          <w:color w:val="231F20"/>
          <w:spacing w:val="-4"/>
          <w:sz w:val="20"/>
          <w:vertAlign w:val="baseline"/>
        </w:rPr>
        <w:t>de</w:t>
      </w:r>
      <w:r>
        <w:rPr>
          <w:color w:val="231F20"/>
          <w:spacing w:val="-9"/>
          <w:sz w:val="20"/>
          <w:vertAlign w:val="baseline"/>
        </w:rPr>
        <w:t> </w:t>
      </w:r>
      <w:r>
        <w:rPr>
          <w:color w:val="231F20"/>
          <w:spacing w:val="-4"/>
          <w:sz w:val="20"/>
          <w:vertAlign w:val="baseline"/>
        </w:rPr>
        <w:t>force</w:t>
      </w:r>
      <w:r>
        <w:rPr>
          <w:color w:val="231F20"/>
          <w:spacing w:val="-8"/>
          <w:sz w:val="20"/>
          <w:vertAlign w:val="baseline"/>
        </w:rPr>
        <w:t> </w:t>
      </w:r>
      <w:r>
        <w:rPr>
          <w:color w:val="231F20"/>
          <w:spacing w:val="-4"/>
          <w:sz w:val="20"/>
          <w:vertAlign w:val="baseline"/>
        </w:rPr>
        <w:t>contre</w:t>
      </w:r>
      <w:r>
        <w:rPr>
          <w:color w:val="231F20"/>
          <w:spacing w:val="-9"/>
          <w:sz w:val="20"/>
          <w:vertAlign w:val="baseline"/>
        </w:rPr>
        <w:t> </w:t>
      </w:r>
      <w:r>
        <w:rPr>
          <w:color w:val="231F20"/>
          <w:spacing w:val="-4"/>
          <w:sz w:val="20"/>
          <w:vertAlign w:val="baseline"/>
        </w:rPr>
        <w:t>le</w:t>
      </w:r>
      <w:r>
        <w:rPr>
          <w:color w:val="231F20"/>
          <w:spacing w:val="-7"/>
          <w:sz w:val="20"/>
          <w:vertAlign w:val="baseline"/>
        </w:rPr>
        <w:t> </w:t>
      </w:r>
      <w:r>
        <w:rPr>
          <w:color w:val="231F20"/>
          <w:spacing w:val="-4"/>
          <w:sz w:val="20"/>
          <w:vertAlign w:val="baseline"/>
        </w:rPr>
        <w:t>régime</w:t>
      </w:r>
      <w:r>
        <w:rPr>
          <w:color w:val="231F20"/>
          <w:spacing w:val="-7"/>
          <w:sz w:val="20"/>
          <w:vertAlign w:val="baseline"/>
        </w:rPr>
        <w:t> </w:t>
      </w:r>
      <w:r>
        <w:rPr>
          <w:color w:val="231F20"/>
          <w:spacing w:val="-4"/>
          <w:sz w:val="20"/>
          <w:vertAlign w:val="baseline"/>
        </w:rPr>
        <w:t>FPI</w:t>
      </w:r>
      <w:r>
        <w:rPr>
          <w:color w:val="231F20"/>
          <w:spacing w:val="-8"/>
          <w:sz w:val="20"/>
          <w:vertAlign w:val="baseline"/>
        </w:rPr>
        <w:t> </w:t>
      </w:r>
      <w:r>
        <w:rPr>
          <w:color w:val="231F20"/>
          <w:spacing w:val="-4"/>
          <w:sz w:val="20"/>
          <w:vertAlign w:val="baseline"/>
        </w:rPr>
        <w:t>serait</w:t>
      </w:r>
      <w:r>
        <w:rPr>
          <w:color w:val="231F20"/>
          <w:spacing w:val="-9"/>
          <w:sz w:val="20"/>
          <w:vertAlign w:val="baseline"/>
        </w:rPr>
        <w:t> </w:t>
      </w:r>
      <w:r>
        <w:rPr>
          <w:color w:val="231F20"/>
          <w:spacing w:val="-4"/>
          <w:sz w:val="20"/>
          <w:vertAlign w:val="baseline"/>
        </w:rPr>
        <w:t>imminent.</w:t>
      </w:r>
      <w:r>
        <w:rPr>
          <w:color w:val="231F20"/>
          <w:spacing w:val="-7"/>
          <w:sz w:val="20"/>
          <w:vertAlign w:val="baseline"/>
        </w:rPr>
        <w:t> </w:t>
      </w:r>
      <w:r>
        <w:rPr>
          <w:color w:val="231F20"/>
          <w:spacing w:val="-4"/>
          <w:sz w:val="20"/>
          <w:vertAlign w:val="baseline"/>
        </w:rPr>
        <w:t>Boga </w:t>
      </w:r>
      <w:r>
        <w:rPr>
          <w:color w:val="231F20"/>
          <w:spacing w:val="-2"/>
          <w:sz w:val="20"/>
          <w:vertAlign w:val="baseline"/>
        </w:rPr>
        <w:t>Doudou</w:t>
      </w:r>
      <w:r>
        <w:rPr>
          <w:color w:val="231F20"/>
          <w:spacing w:val="-11"/>
          <w:sz w:val="20"/>
          <w:vertAlign w:val="baseline"/>
        </w:rPr>
        <w:t> </w:t>
      </w:r>
      <w:r>
        <w:rPr>
          <w:color w:val="231F20"/>
          <w:spacing w:val="-2"/>
          <w:sz w:val="20"/>
          <w:vertAlign w:val="baseline"/>
        </w:rPr>
        <w:t>informé</w:t>
      </w:r>
      <w:r>
        <w:rPr>
          <w:color w:val="231F20"/>
          <w:spacing w:val="-10"/>
          <w:sz w:val="20"/>
          <w:vertAlign w:val="baseline"/>
        </w:rPr>
        <w:t> </w:t>
      </w:r>
      <w:r>
        <w:rPr>
          <w:color w:val="231F20"/>
          <w:spacing w:val="-2"/>
          <w:sz w:val="20"/>
          <w:vertAlign w:val="baseline"/>
        </w:rPr>
        <w:t>serait</w:t>
      </w:r>
      <w:r>
        <w:rPr>
          <w:color w:val="231F20"/>
          <w:spacing w:val="-11"/>
          <w:sz w:val="20"/>
          <w:vertAlign w:val="baseline"/>
        </w:rPr>
        <w:t> </w:t>
      </w:r>
      <w:r>
        <w:rPr>
          <w:color w:val="231F20"/>
          <w:spacing w:val="-2"/>
          <w:sz w:val="20"/>
          <w:vertAlign w:val="baseline"/>
        </w:rPr>
        <w:t>rentré</w:t>
      </w:r>
      <w:r>
        <w:rPr>
          <w:color w:val="231F20"/>
          <w:spacing w:val="-10"/>
          <w:sz w:val="20"/>
          <w:vertAlign w:val="baseline"/>
        </w:rPr>
        <w:t> </w:t>
      </w:r>
      <w:r>
        <w:rPr>
          <w:color w:val="231F20"/>
          <w:spacing w:val="-2"/>
          <w:sz w:val="20"/>
          <w:vertAlign w:val="baseline"/>
        </w:rPr>
        <w:t>cette</w:t>
      </w:r>
      <w:r>
        <w:rPr>
          <w:color w:val="231F20"/>
          <w:spacing w:val="-11"/>
          <w:sz w:val="20"/>
          <w:vertAlign w:val="baseline"/>
        </w:rPr>
        <w:t> </w:t>
      </w:r>
      <w:r>
        <w:rPr>
          <w:color w:val="231F20"/>
          <w:spacing w:val="-2"/>
          <w:sz w:val="20"/>
          <w:vertAlign w:val="baseline"/>
        </w:rPr>
        <w:t>nuit</w:t>
      </w:r>
      <w:r>
        <w:rPr>
          <w:color w:val="231F20"/>
          <w:spacing w:val="-10"/>
          <w:sz w:val="20"/>
          <w:vertAlign w:val="baseline"/>
        </w:rPr>
        <w:t> </w:t>
      </w:r>
      <w:r>
        <w:rPr>
          <w:color w:val="231F20"/>
          <w:spacing w:val="-2"/>
          <w:sz w:val="20"/>
          <w:vertAlign w:val="baseline"/>
        </w:rPr>
        <w:t>pour</w:t>
      </w:r>
      <w:r>
        <w:rPr>
          <w:color w:val="231F20"/>
          <w:spacing w:val="-11"/>
          <w:sz w:val="20"/>
          <w:vertAlign w:val="baseline"/>
        </w:rPr>
        <w:t> </w:t>
      </w:r>
      <w:r>
        <w:rPr>
          <w:color w:val="231F20"/>
          <w:spacing w:val="-2"/>
          <w:sz w:val="20"/>
          <w:vertAlign w:val="baseline"/>
        </w:rPr>
        <w:t>prendre</w:t>
      </w:r>
      <w:r>
        <w:rPr>
          <w:color w:val="231F20"/>
          <w:spacing w:val="-10"/>
          <w:sz w:val="20"/>
          <w:vertAlign w:val="baseline"/>
        </w:rPr>
        <w:t> </w:t>
      </w:r>
      <w:r>
        <w:rPr>
          <w:color w:val="231F20"/>
          <w:spacing w:val="-2"/>
          <w:sz w:val="20"/>
          <w:vertAlign w:val="baseline"/>
        </w:rPr>
        <w:t>les</w:t>
      </w:r>
      <w:r>
        <w:rPr>
          <w:color w:val="231F20"/>
          <w:spacing w:val="-11"/>
          <w:sz w:val="20"/>
          <w:vertAlign w:val="baseline"/>
        </w:rPr>
        <w:t> </w:t>
      </w:r>
      <w:r>
        <w:rPr>
          <w:color w:val="231F20"/>
          <w:spacing w:val="-2"/>
          <w:sz w:val="20"/>
          <w:vertAlign w:val="baseline"/>
        </w:rPr>
        <w:t>mesures</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sécurité</w:t>
      </w:r>
      <w:r>
        <w:rPr>
          <w:color w:val="231F20"/>
          <w:spacing w:val="-10"/>
          <w:sz w:val="20"/>
          <w:vertAlign w:val="baseline"/>
        </w:rPr>
        <w:t> </w:t>
      </w:r>
      <w:r>
        <w:rPr>
          <w:color w:val="231F20"/>
          <w:spacing w:val="-2"/>
          <w:sz w:val="20"/>
          <w:vertAlign w:val="baseline"/>
        </w:rPr>
        <w:t>nécessaires. </w:t>
      </w:r>
      <w:r>
        <w:rPr>
          <w:color w:val="231F20"/>
          <w:spacing w:val="-4"/>
          <w:sz w:val="20"/>
          <w:vertAlign w:val="superscript"/>
        </w:rPr>
        <w:t>173</w:t>
      </w:r>
      <w:r>
        <w:rPr>
          <w:color w:val="231F20"/>
          <w:spacing w:val="-9"/>
          <w:sz w:val="20"/>
          <w:vertAlign w:val="baseline"/>
        </w:rPr>
        <w:t> </w:t>
      </w:r>
      <w:r>
        <w:rPr>
          <w:color w:val="231F20"/>
          <w:spacing w:val="-4"/>
          <w:sz w:val="20"/>
          <w:vertAlign w:val="baseline"/>
        </w:rPr>
        <w:t>«</w:t>
      </w:r>
      <w:r>
        <w:rPr>
          <w:color w:val="231F20"/>
          <w:spacing w:val="-8"/>
          <w:sz w:val="20"/>
          <w:vertAlign w:val="baseline"/>
        </w:rPr>
        <w:t> </w:t>
      </w:r>
      <w:r>
        <w:rPr>
          <w:color w:val="231F20"/>
          <w:spacing w:val="-4"/>
          <w:sz w:val="20"/>
          <w:vertAlign w:val="baseline"/>
        </w:rPr>
        <w:t>Zinzins : Homme</w:t>
      </w:r>
      <w:r>
        <w:rPr>
          <w:color w:val="231F20"/>
          <w:spacing w:val="-6"/>
          <w:sz w:val="20"/>
          <w:vertAlign w:val="baseline"/>
        </w:rPr>
        <w:t> </w:t>
      </w:r>
      <w:r>
        <w:rPr>
          <w:color w:val="231F20"/>
          <w:spacing w:val="-4"/>
          <w:sz w:val="20"/>
          <w:vertAlign w:val="baseline"/>
        </w:rPr>
        <w:t>bizarre,</w:t>
      </w:r>
      <w:r>
        <w:rPr>
          <w:color w:val="231F20"/>
          <w:spacing w:val="-5"/>
          <w:sz w:val="20"/>
          <w:vertAlign w:val="baseline"/>
        </w:rPr>
        <w:t> </w:t>
      </w:r>
      <w:r>
        <w:rPr>
          <w:color w:val="231F20"/>
          <w:spacing w:val="-4"/>
          <w:sz w:val="20"/>
          <w:vertAlign w:val="baseline"/>
        </w:rPr>
        <w:t>fou,cinglé» et</w:t>
      </w:r>
      <w:r>
        <w:rPr>
          <w:color w:val="231F20"/>
          <w:spacing w:val="-5"/>
          <w:sz w:val="20"/>
          <w:vertAlign w:val="baseline"/>
        </w:rPr>
        <w:t> </w:t>
      </w:r>
      <w:r>
        <w:rPr>
          <w:color w:val="231F20"/>
          <w:spacing w:val="-4"/>
          <w:sz w:val="20"/>
          <w:vertAlign w:val="baseline"/>
        </w:rPr>
        <w:t>« Bahefouê</w:t>
      </w:r>
      <w:r>
        <w:rPr>
          <w:color w:val="231F20"/>
          <w:sz w:val="20"/>
          <w:vertAlign w:val="baseline"/>
        </w:rPr>
        <w:t> </w:t>
      </w:r>
      <w:r>
        <w:rPr>
          <w:color w:val="231F20"/>
          <w:spacing w:val="-4"/>
          <w:sz w:val="20"/>
          <w:vertAlign w:val="baseline"/>
        </w:rPr>
        <w:t>:</w:t>
      </w:r>
      <w:r>
        <w:rPr>
          <w:color w:val="231F20"/>
          <w:spacing w:val="-6"/>
          <w:sz w:val="20"/>
          <w:vertAlign w:val="baseline"/>
        </w:rPr>
        <w:t> </w:t>
      </w:r>
      <w:r>
        <w:rPr>
          <w:color w:val="231F20"/>
          <w:spacing w:val="-4"/>
          <w:sz w:val="20"/>
          <w:vertAlign w:val="baseline"/>
        </w:rPr>
        <w:t>féticheur</w:t>
      </w:r>
      <w:r>
        <w:rPr>
          <w:color w:val="231F20"/>
          <w:spacing w:val="-7"/>
          <w:sz w:val="20"/>
          <w:vertAlign w:val="baseline"/>
        </w:rPr>
        <w:t> </w:t>
      </w:r>
      <w:r>
        <w:rPr>
          <w:color w:val="231F20"/>
          <w:spacing w:val="-4"/>
          <w:sz w:val="20"/>
          <w:vertAlign w:val="baseline"/>
        </w:rPr>
        <w:t>» faisaient partie des </w:t>
      </w:r>
      <w:r>
        <w:rPr>
          <w:color w:val="231F20"/>
          <w:spacing w:val="-2"/>
          <w:sz w:val="20"/>
          <w:vertAlign w:val="baseline"/>
        </w:rPr>
        <w:t>800</w:t>
      </w:r>
      <w:r>
        <w:rPr>
          <w:color w:val="231F20"/>
          <w:spacing w:val="-11"/>
          <w:sz w:val="20"/>
          <w:vertAlign w:val="baseline"/>
        </w:rPr>
        <w:t> </w:t>
      </w:r>
      <w:r>
        <w:rPr>
          <w:color w:val="231F20"/>
          <w:spacing w:val="-2"/>
          <w:sz w:val="20"/>
          <w:vertAlign w:val="baseline"/>
        </w:rPr>
        <w:t>réservistes</w:t>
      </w:r>
      <w:r>
        <w:rPr>
          <w:color w:val="231F20"/>
          <w:spacing w:val="-10"/>
          <w:sz w:val="20"/>
          <w:vertAlign w:val="baseline"/>
        </w:rPr>
        <w:t> </w:t>
      </w:r>
      <w:r>
        <w:rPr>
          <w:color w:val="231F20"/>
          <w:spacing w:val="-2"/>
          <w:sz w:val="20"/>
          <w:vertAlign w:val="baseline"/>
        </w:rPr>
        <w:t>des</w:t>
      </w:r>
      <w:r>
        <w:rPr>
          <w:color w:val="231F20"/>
          <w:spacing w:val="-11"/>
          <w:sz w:val="20"/>
          <w:vertAlign w:val="baseline"/>
        </w:rPr>
        <w:t> </w:t>
      </w:r>
      <w:r>
        <w:rPr>
          <w:color w:val="231F20"/>
          <w:spacing w:val="-2"/>
          <w:sz w:val="20"/>
          <w:vertAlign w:val="baseline"/>
        </w:rPr>
        <w:t>contingents</w:t>
      </w:r>
      <w:r>
        <w:rPr>
          <w:color w:val="231F20"/>
          <w:spacing w:val="-10"/>
          <w:sz w:val="20"/>
          <w:vertAlign w:val="baseline"/>
        </w:rPr>
        <w:t> </w:t>
      </w:r>
      <w:r>
        <w:rPr>
          <w:color w:val="231F20"/>
          <w:spacing w:val="-2"/>
          <w:sz w:val="20"/>
          <w:vertAlign w:val="baseline"/>
        </w:rPr>
        <w:t>de</w:t>
      </w:r>
      <w:r>
        <w:rPr>
          <w:color w:val="231F20"/>
          <w:spacing w:val="-8"/>
          <w:sz w:val="20"/>
          <w:vertAlign w:val="baseline"/>
        </w:rPr>
        <w:t> </w:t>
      </w:r>
      <w:r>
        <w:rPr>
          <w:color w:val="231F20"/>
          <w:spacing w:val="-2"/>
          <w:sz w:val="20"/>
          <w:vertAlign w:val="baseline"/>
        </w:rPr>
        <w:t>l'armée</w:t>
      </w:r>
      <w:r>
        <w:rPr>
          <w:color w:val="231F20"/>
          <w:spacing w:val="-10"/>
          <w:sz w:val="20"/>
          <w:vertAlign w:val="baseline"/>
        </w:rPr>
        <w:t> </w:t>
      </w:r>
      <w:r>
        <w:rPr>
          <w:color w:val="231F20"/>
          <w:spacing w:val="-2"/>
          <w:sz w:val="20"/>
          <w:vertAlign w:val="baseline"/>
        </w:rPr>
        <w:t>ivoirienne</w:t>
      </w:r>
      <w:r>
        <w:rPr>
          <w:color w:val="231F20"/>
          <w:spacing w:val="-10"/>
          <w:sz w:val="20"/>
          <w:vertAlign w:val="baseline"/>
        </w:rPr>
        <w:t> </w:t>
      </w:r>
      <w:r>
        <w:rPr>
          <w:color w:val="231F20"/>
          <w:spacing w:val="-2"/>
          <w:sz w:val="20"/>
          <w:vertAlign w:val="baseline"/>
        </w:rPr>
        <w:t>dont</w:t>
      </w:r>
      <w:r>
        <w:rPr>
          <w:color w:val="231F20"/>
          <w:spacing w:val="-11"/>
          <w:sz w:val="20"/>
          <w:vertAlign w:val="baseline"/>
        </w:rPr>
        <w:t> </w:t>
      </w:r>
      <w:r>
        <w:rPr>
          <w:color w:val="231F20"/>
          <w:spacing w:val="-2"/>
          <w:sz w:val="20"/>
          <w:vertAlign w:val="baseline"/>
        </w:rPr>
        <w:t>la</w:t>
      </w:r>
      <w:r>
        <w:rPr>
          <w:color w:val="231F20"/>
          <w:spacing w:val="-9"/>
          <w:sz w:val="20"/>
          <w:vertAlign w:val="baseline"/>
        </w:rPr>
        <w:t> </w:t>
      </w:r>
      <w:r>
        <w:rPr>
          <w:color w:val="231F20"/>
          <w:spacing w:val="-2"/>
          <w:sz w:val="20"/>
          <w:vertAlign w:val="baseline"/>
        </w:rPr>
        <w:t>démobilisation</w:t>
      </w:r>
      <w:r>
        <w:rPr>
          <w:color w:val="231F20"/>
          <w:spacing w:val="-10"/>
          <w:sz w:val="20"/>
          <w:vertAlign w:val="baseline"/>
        </w:rPr>
        <w:t> </w:t>
      </w:r>
      <w:r>
        <w:rPr>
          <w:color w:val="231F20"/>
          <w:spacing w:val="-2"/>
          <w:sz w:val="20"/>
          <w:vertAlign w:val="baseline"/>
        </w:rPr>
        <w:t>était</w:t>
      </w:r>
      <w:r>
        <w:rPr>
          <w:color w:val="231F20"/>
          <w:spacing w:val="-9"/>
          <w:sz w:val="20"/>
          <w:vertAlign w:val="baseline"/>
        </w:rPr>
        <w:t> </w:t>
      </w:r>
      <w:r>
        <w:rPr>
          <w:color w:val="231F20"/>
          <w:spacing w:val="-2"/>
          <w:sz w:val="20"/>
          <w:vertAlign w:val="baseline"/>
        </w:rPr>
        <w:t>prévue </w:t>
      </w:r>
      <w:r>
        <w:rPr>
          <w:color w:val="231F20"/>
          <w:sz w:val="20"/>
          <w:vertAlign w:val="baseline"/>
        </w:rPr>
        <w:t>au début de l'année 2003.</w:t>
      </w:r>
    </w:p>
    <w:p>
      <w:pPr>
        <w:spacing w:after="0"/>
        <w:jc w:val="both"/>
        <w:rPr>
          <w:sz w:val="20"/>
        </w:rPr>
        <w:sectPr>
          <w:pgSz w:w="8790" w:h="13610"/>
          <w:pgMar w:header="0" w:footer="802" w:top="1060" w:bottom="1000" w:left="880" w:right="880"/>
        </w:sectPr>
      </w:pPr>
    </w:p>
    <w:p>
      <w:pPr>
        <w:pStyle w:val="Heading2"/>
        <w:spacing w:before="66"/>
      </w:pPr>
      <w:r>
        <w:rPr>
          <w:color w:val="231F20"/>
        </w:rPr>
        <w:t>Bouaké</w:t>
      </w:r>
      <w:r>
        <w:rPr>
          <w:color w:val="231F20"/>
          <w:spacing w:val="-12"/>
        </w:rPr>
        <w:t> </w:t>
      </w:r>
      <w:r>
        <w:rPr>
          <w:color w:val="231F20"/>
        </w:rPr>
        <w:t>:</w:t>
      </w:r>
      <w:r>
        <w:rPr>
          <w:color w:val="231F20"/>
          <w:spacing w:val="-13"/>
        </w:rPr>
        <w:t> </w:t>
      </w:r>
      <w:r>
        <w:rPr>
          <w:color w:val="231F20"/>
        </w:rPr>
        <w:t>le</w:t>
      </w:r>
      <w:r>
        <w:rPr>
          <w:color w:val="231F20"/>
          <w:spacing w:val="-13"/>
        </w:rPr>
        <w:t> </w:t>
      </w:r>
      <w:r>
        <w:rPr>
          <w:color w:val="231F20"/>
          <w:spacing w:val="-4"/>
        </w:rPr>
        <w:t>kyste</w:t>
      </w:r>
    </w:p>
    <w:p>
      <w:pPr>
        <w:pStyle w:val="BodyText"/>
        <w:spacing w:before="240"/>
        <w:ind w:left="0"/>
        <w:jc w:val="left"/>
        <w:rPr>
          <w:b/>
        </w:rPr>
      </w:pPr>
    </w:p>
    <w:p>
      <w:pPr>
        <w:pStyle w:val="BodyText"/>
        <w:ind w:right="102" w:firstLine="283"/>
      </w:pPr>
      <w:r>
        <w:rPr>
          <w:color w:val="231F20"/>
        </w:rPr>
        <w:t>Du 25 au 27 septembre, les militaires Français, Américains et </w:t>
      </w:r>
      <w:r>
        <w:rPr>
          <w:color w:val="231F20"/>
          <w:spacing w:val="-4"/>
        </w:rPr>
        <w:t>Britanniques évacuent</w:t>
      </w:r>
      <w:r>
        <w:rPr>
          <w:color w:val="231F20"/>
          <w:spacing w:val="-7"/>
        </w:rPr>
        <w:t> </w:t>
      </w:r>
      <w:r>
        <w:rPr>
          <w:color w:val="231F20"/>
          <w:spacing w:val="-4"/>
        </w:rPr>
        <w:t>les</w:t>
      </w:r>
      <w:r>
        <w:rPr>
          <w:color w:val="231F20"/>
          <w:spacing w:val="-8"/>
        </w:rPr>
        <w:t> </w:t>
      </w:r>
      <w:r>
        <w:rPr>
          <w:color w:val="231F20"/>
          <w:spacing w:val="-4"/>
        </w:rPr>
        <w:t>étrangers</w:t>
      </w:r>
      <w:r>
        <w:rPr>
          <w:color w:val="231F20"/>
          <w:spacing w:val="-4"/>
          <w:vertAlign w:val="superscript"/>
        </w:rPr>
        <w:t>174</w:t>
      </w:r>
      <w:r>
        <w:rPr>
          <w:color w:val="231F20"/>
          <w:spacing w:val="-4"/>
          <w:vertAlign w:val="baseline"/>
        </w:rPr>
        <w:t>(Français,</w:t>
      </w:r>
      <w:r>
        <w:rPr>
          <w:color w:val="231F20"/>
          <w:spacing w:val="-5"/>
          <w:vertAlign w:val="baseline"/>
        </w:rPr>
        <w:t> </w:t>
      </w:r>
      <w:r>
        <w:rPr>
          <w:color w:val="231F20"/>
          <w:spacing w:val="-4"/>
          <w:vertAlign w:val="baseline"/>
        </w:rPr>
        <w:t>Américains,</w:t>
      </w:r>
      <w:r>
        <w:rPr>
          <w:color w:val="231F20"/>
          <w:spacing w:val="-5"/>
          <w:vertAlign w:val="baseline"/>
        </w:rPr>
        <w:t> </w:t>
      </w:r>
      <w:r>
        <w:rPr>
          <w:color w:val="231F20"/>
          <w:spacing w:val="-4"/>
          <w:vertAlign w:val="baseline"/>
        </w:rPr>
        <w:t>Libanais)</w:t>
      </w:r>
      <w:r>
        <w:rPr>
          <w:color w:val="231F20"/>
          <w:spacing w:val="-5"/>
          <w:vertAlign w:val="baseline"/>
        </w:rPr>
        <w:t> </w:t>
      </w:r>
      <w:r>
        <w:rPr>
          <w:color w:val="231F20"/>
          <w:spacing w:val="-4"/>
          <w:vertAlign w:val="baseline"/>
        </w:rPr>
        <w:t>de </w:t>
      </w:r>
      <w:r>
        <w:rPr>
          <w:color w:val="231F20"/>
          <w:vertAlign w:val="baseline"/>
        </w:rPr>
        <w:t>Bouaké et Korhogo.</w:t>
      </w:r>
    </w:p>
    <w:p>
      <w:pPr>
        <w:pStyle w:val="BodyText"/>
        <w:spacing w:before="120"/>
        <w:ind w:right="105" w:firstLine="283"/>
      </w:pPr>
      <w:r>
        <w:rPr>
          <w:color w:val="231F20"/>
        </w:rPr>
        <w:t>Enfin,</w:t>
      </w:r>
      <w:r>
        <w:rPr>
          <w:color w:val="231F20"/>
          <w:spacing w:val="-15"/>
        </w:rPr>
        <w:t> </w:t>
      </w:r>
      <w:r>
        <w:rPr>
          <w:color w:val="231F20"/>
        </w:rPr>
        <w:t>le</w:t>
      </w:r>
      <w:r>
        <w:rPr>
          <w:color w:val="231F20"/>
          <w:spacing w:val="-15"/>
        </w:rPr>
        <w:t> </w:t>
      </w:r>
      <w:r>
        <w:rPr>
          <w:color w:val="231F20"/>
        </w:rPr>
        <w:t>26</w:t>
      </w:r>
      <w:r>
        <w:rPr>
          <w:color w:val="231F20"/>
          <w:spacing w:val="-15"/>
        </w:rPr>
        <w:t> </w:t>
      </w:r>
      <w:r>
        <w:rPr>
          <w:color w:val="231F20"/>
        </w:rPr>
        <w:t>septembre,</w:t>
      </w:r>
      <w:r>
        <w:rPr>
          <w:color w:val="231F20"/>
          <w:spacing w:val="-13"/>
        </w:rPr>
        <w:t> </w:t>
      </w:r>
      <w:r>
        <w:rPr>
          <w:color w:val="231F20"/>
        </w:rPr>
        <w:t>pour</w:t>
      </w:r>
      <w:r>
        <w:rPr>
          <w:color w:val="231F20"/>
          <w:spacing w:val="-13"/>
        </w:rPr>
        <w:t> </w:t>
      </w:r>
      <w:r>
        <w:rPr>
          <w:color w:val="231F20"/>
        </w:rPr>
        <w:t>la</w:t>
      </w:r>
      <w:r>
        <w:rPr>
          <w:color w:val="231F20"/>
          <w:spacing w:val="-15"/>
        </w:rPr>
        <w:t> </w:t>
      </w:r>
      <w:r>
        <w:rPr>
          <w:color w:val="231F20"/>
        </w:rPr>
        <w:t>première</w:t>
      </w:r>
      <w:r>
        <w:rPr>
          <w:color w:val="231F20"/>
          <w:spacing w:val="-13"/>
        </w:rPr>
        <w:t> </w:t>
      </w:r>
      <w:r>
        <w:rPr>
          <w:color w:val="231F20"/>
        </w:rPr>
        <w:t>fois,</w:t>
      </w:r>
      <w:r>
        <w:rPr>
          <w:color w:val="231F20"/>
          <w:spacing w:val="-12"/>
        </w:rPr>
        <w:t> </w:t>
      </w:r>
      <w:r>
        <w:rPr>
          <w:color w:val="231F20"/>
        </w:rPr>
        <w:t>le</w:t>
      </w:r>
      <w:r>
        <w:rPr>
          <w:color w:val="231F20"/>
          <w:spacing w:val="-15"/>
        </w:rPr>
        <w:t> </w:t>
      </w:r>
      <w:r>
        <w:rPr>
          <w:color w:val="231F20"/>
        </w:rPr>
        <w:t>visage</w:t>
      </w:r>
      <w:r>
        <w:rPr>
          <w:color w:val="231F20"/>
          <w:spacing w:val="-13"/>
        </w:rPr>
        <w:t> </w:t>
      </w:r>
      <w:r>
        <w:rPr>
          <w:color w:val="231F20"/>
        </w:rPr>
        <w:t>de</w:t>
      </w:r>
      <w:r>
        <w:rPr>
          <w:color w:val="231F20"/>
          <w:spacing w:val="-13"/>
        </w:rPr>
        <w:t> </w:t>
      </w:r>
      <w:r>
        <w:rPr>
          <w:color w:val="231F20"/>
        </w:rPr>
        <w:t>Tuo</w:t>
      </w:r>
      <w:r>
        <w:rPr>
          <w:color w:val="231F20"/>
          <w:spacing w:val="-12"/>
        </w:rPr>
        <w:t> </w:t>
      </w:r>
      <w:r>
        <w:rPr>
          <w:color w:val="231F20"/>
        </w:rPr>
        <w:t>Fozié, sous-officier des Forces Armées Nationales de Côte d’Ivoire ayant le grade</w:t>
      </w:r>
      <w:r>
        <w:rPr>
          <w:color w:val="231F20"/>
          <w:spacing w:val="-8"/>
        </w:rPr>
        <w:t> </w:t>
      </w:r>
      <w:r>
        <w:rPr>
          <w:color w:val="231F20"/>
        </w:rPr>
        <w:t>d’Adjudant</w:t>
      </w:r>
      <w:r>
        <w:rPr>
          <w:color w:val="231F20"/>
          <w:spacing w:val="-9"/>
        </w:rPr>
        <w:t> </w:t>
      </w:r>
      <w:r>
        <w:rPr>
          <w:color w:val="231F20"/>
        </w:rPr>
        <w:t>apparaît</w:t>
      </w:r>
      <w:r>
        <w:rPr>
          <w:color w:val="231F20"/>
          <w:spacing w:val="-9"/>
        </w:rPr>
        <w:t> </w:t>
      </w:r>
      <w:r>
        <w:rPr>
          <w:color w:val="231F20"/>
        </w:rPr>
        <w:t>publiquement</w:t>
      </w:r>
      <w:r>
        <w:rPr>
          <w:color w:val="231F20"/>
          <w:spacing w:val="-9"/>
        </w:rPr>
        <w:t> </w:t>
      </w:r>
      <w:r>
        <w:rPr>
          <w:color w:val="231F20"/>
        </w:rPr>
        <w:t>sur</w:t>
      </w:r>
      <w:r>
        <w:rPr>
          <w:color w:val="231F20"/>
          <w:spacing w:val="-10"/>
        </w:rPr>
        <w:t> </w:t>
      </w:r>
      <w:r>
        <w:rPr>
          <w:color w:val="231F20"/>
        </w:rPr>
        <w:t>les</w:t>
      </w:r>
      <w:r>
        <w:rPr>
          <w:color w:val="231F20"/>
          <w:spacing w:val="-8"/>
        </w:rPr>
        <w:t> </w:t>
      </w:r>
      <w:r>
        <w:rPr>
          <w:color w:val="231F20"/>
        </w:rPr>
        <w:t>écrans</w:t>
      </w:r>
      <w:r>
        <w:rPr>
          <w:color w:val="231F20"/>
          <w:spacing w:val="-8"/>
        </w:rPr>
        <w:t> </w:t>
      </w:r>
      <w:r>
        <w:rPr>
          <w:color w:val="231F20"/>
        </w:rPr>
        <w:t>de</w:t>
      </w:r>
      <w:r>
        <w:rPr>
          <w:color w:val="231F20"/>
          <w:spacing w:val="-10"/>
        </w:rPr>
        <w:t> </w:t>
      </w:r>
      <w:r>
        <w:rPr>
          <w:color w:val="231F20"/>
        </w:rPr>
        <w:t>télévision.</w:t>
      </w:r>
    </w:p>
    <w:p>
      <w:pPr>
        <w:pStyle w:val="BodyText"/>
        <w:spacing w:before="121"/>
        <w:ind w:right="104" w:firstLine="283"/>
      </w:pPr>
      <w:r>
        <w:rPr>
          <w:color w:val="231F20"/>
        </w:rPr>
        <w:t>Tuo</w:t>
      </w:r>
      <w:r>
        <w:rPr>
          <w:color w:val="231F20"/>
          <w:spacing w:val="-1"/>
        </w:rPr>
        <w:t> </w:t>
      </w:r>
      <w:r>
        <w:rPr>
          <w:color w:val="231F20"/>
        </w:rPr>
        <w:t>Fozié, d’abord</w:t>
      </w:r>
      <w:r>
        <w:rPr>
          <w:color w:val="231F20"/>
          <w:spacing w:val="-1"/>
        </w:rPr>
        <w:t> </w:t>
      </w:r>
      <w:r>
        <w:rPr>
          <w:color w:val="231F20"/>
        </w:rPr>
        <w:t>en</w:t>
      </w:r>
      <w:r>
        <w:rPr>
          <w:color w:val="231F20"/>
          <w:spacing w:val="-1"/>
        </w:rPr>
        <w:t> </w:t>
      </w:r>
      <w:r>
        <w:rPr>
          <w:color w:val="231F20"/>
        </w:rPr>
        <w:t>service</w:t>
      </w:r>
      <w:r>
        <w:rPr>
          <w:color w:val="231F20"/>
          <w:spacing w:val="-1"/>
        </w:rPr>
        <w:t> </w:t>
      </w:r>
      <w:r>
        <w:rPr>
          <w:color w:val="231F20"/>
        </w:rPr>
        <w:t>au</w:t>
      </w:r>
      <w:r>
        <w:rPr>
          <w:color w:val="231F20"/>
          <w:spacing w:val="-1"/>
        </w:rPr>
        <w:t> </w:t>
      </w:r>
      <w:r>
        <w:rPr>
          <w:color w:val="231F20"/>
        </w:rPr>
        <w:t>bataillon</w:t>
      </w:r>
      <w:r>
        <w:rPr>
          <w:color w:val="231F20"/>
          <w:spacing w:val="-1"/>
        </w:rPr>
        <w:t> </w:t>
      </w:r>
      <w:r>
        <w:rPr>
          <w:color w:val="231F20"/>
        </w:rPr>
        <w:t>blindé</w:t>
      </w:r>
      <w:r>
        <w:rPr>
          <w:color w:val="231F20"/>
          <w:spacing w:val="-3"/>
        </w:rPr>
        <w:t> </w:t>
      </w:r>
      <w:r>
        <w:rPr>
          <w:color w:val="231F20"/>
        </w:rPr>
        <w:t>d’Abidjan</w:t>
      </w:r>
      <w:r>
        <w:rPr>
          <w:color w:val="231F20"/>
          <w:spacing w:val="-1"/>
        </w:rPr>
        <w:t> </w:t>
      </w:r>
      <w:r>
        <w:rPr>
          <w:color w:val="231F20"/>
        </w:rPr>
        <w:t>puis</w:t>
      </w:r>
      <w:r>
        <w:rPr>
          <w:color w:val="231F20"/>
          <w:spacing w:val="-1"/>
        </w:rPr>
        <w:t> </w:t>
      </w:r>
      <w:r>
        <w:rPr>
          <w:color w:val="231F20"/>
        </w:rPr>
        <w:t>au Groupement</w:t>
      </w:r>
      <w:r>
        <w:rPr>
          <w:color w:val="231F20"/>
          <w:spacing w:val="-4"/>
        </w:rPr>
        <w:t> </w:t>
      </w:r>
      <w:r>
        <w:rPr>
          <w:color w:val="231F20"/>
        </w:rPr>
        <w:t>des</w:t>
      </w:r>
      <w:r>
        <w:rPr>
          <w:color w:val="231F20"/>
          <w:spacing w:val="-6"/>
        </w:rPr>
        <w:t> </w:t>
      </w:r>
      <w:r>
        <w:rPr>
          <w:color w:val="231F20"/>
        </w:rPr>
        <w:t>sapeurs</w:t>
      </w:r>
      <w:r>
        <w:rPr>
          <w:color w:val="231F20"/>
          <w:spacing w:val="-6"/>
        </w:rPr>
        <w:t> </w:t>
      </w:r>
      <w:r>
        <w:rPr>
          <w:color w:val="231F20"/>
        </w:rPr>
        <w:t>pompiers</w:t>
      </w:r>
      <w:r>
        <w:rPr>
          <w:color w:val="231F20"/>
          <w:spacing w:val="-7"/>
        </w:rPr>
        <w:t> </w:t>
      </w:r>
      <w:r>
        <w:rPr>
          <w:color w:val="231F20"/>
        </w:rPr>
        <w:t>militaires</w:t>
      </w:r>
      <w:r>
        <w:rPr>
          <w:color w:val="231F20"/>
          <w:spacing w:val="-6"/>
        </w:rPr>
        <w:t> </w:t>
      </w:r>
      <w:r>
        <w:rPr>
          <w:color w:val="231F20"/>
        </w:rPr>
        <w:t>sous</w:t>
      </w:r>
      <w:r>
        <w:rPr>
          <w:color w:val="231F20"/>
          <w:spacing w:val="-6"/>
        </w:rPr>
        <w:t> </w:t>
      </w:r>
      <w:r>
        <w:rPr>
          <w:color w:val="231F20"/>
        </w:rPr>
        <w:t>les</w:t>
      </w:r>
      <w:r>
        <w:rPr>
          <w:color w:val="231F20"/>
          <w:spacing w:val="-5"/>
        </w:rPr>
        <w:t> </w:t>
      </w:r>
      <w:r>
        <w:rPr>
          <w:color w:val="231F20"/>
        </w:rPr>
        <w:t>ordres</w:t>
      </w:r>
      <w:r>
        <w:rPr>
          <w:color w:val="231F20"/>
          <w:spacing w:val="-5"/>
        </w:rPr>
        <w:t> </w:t>
      </w:r>
      <w:r>
        <w:rPr>
          <w:color w:val="231F20"/>
        </w:rPr>
        <w:t>du</w:t>
      </w:r>
      <w:r>
        <w:rPr>
          <w:color w:val="231F20"/>
          <w:spacing w:val="-5"/>
        </w:rPr>
        <w:t> </w:t>
      </w:r>
      <w:r>
        <w:rPr>
          <w:color w:val="231F20"/>
        </w:rPr>
        <w:t>général Robert Gueï, affecté à la</w:t>
      </w:r>
      <w:r>
        <w:rPr>
          <w:color w:val="231F20"/>
          <w:spacing w:val="-1"/>
        </w:rPr>
        <w:t> </w:t>
      </w:r>
      <w:r>
        <w:rPr>
          <w:color w:val="231F20"/>
        </w:rPr>
        <w:t>section sports de l’Armée</w:t>
      </w:r>
      <w:r>
        <w:rPr>
          <w:color w:val="231F20"/>
          <w:spacing w:val="-1"/>
        </w:rPr>
        <w:t> </w:t>
      </w:r>
      <w:r>
        <w:rPr>
          <w:color w:val="231F20"/>
        </w:rPr>
        <w:t>ivoirienne puis à la garde</w:t>
      </w:r>
      <w:r>
        <w:rPr>
          <w:color w:val="231F20"/>
          <w:spacing w:val="-5"/>
        </w:rPr>
        <w:t> </w:t>
      </w:r>
      <w:r>
        <w:rPr>
          <w:color w:val="231F20"/>
        </w:rPr>
        <w:t>de</w:t>
      </w:r>
      <w:r>
        <w:rPr>
          <w:color w:val="231F20"/>
          <w:spacing w:val="-7"/>
        </w:rPr>
        <w:t> </w:t>
      </w:r>
      <w:r>
        <w:rPr>
          <w:color w:val="231F20"/>
        </w:rPr>
        <w:t>Robert</w:t>
      </w:r>
      <w:r>
        <w:rPr>
          <w:color w:val="231F20"/>
          <w:spacing w:val="-5"/>
        </w:rPr>
        <w:t> </w:t>
      </w:r>
      <w:r>
        <w:rPr>
          <w:color w:val="231F20"/>
        </w:rPr>
        <w:t>Gueï</w:t>
      </w:r>
      <w:r>
        <w:rPr>
          <w:color w:val="231F20"/>
          <w:spacing w:val="-6"/>
        </w:rPr>
        <w:t> </w:t>
      </w:r>
      <w:r>
        <w:rPr>
          <w:color w:val="231F20"/>
        </w:rPr>
        <w:t>après</w:t>
      </w:r>
      <w:r>
        <w:rPr>
          <w:color w:val="231F20"/>
          <w:spacing w:val="-5"/>
        </w:rPr>
        <w:t> </w:t>
      </w:r>
      <w:r>
        <w:rPr>
          <w:color w:val="231F20"/>
        </w:rPr>
        <w:t>le</w:t>
      </w:r>
      <w:r>
        <w:rPr>
          <w:color w:val="231F20"/>
          <w:spacing w:val="-7"/>
        </w:rPr>
        <w:t> </w:t>
      </w:r>
      <w:r>
        <w:rPr>
          <w:color w:val="231F20"/>
        </w:rPr>
        <w:t>putsch</w:t>
      </w:r>
      <w:r>
        <w:rPr>
          <w:color w:val="231F20"/>
          <w:spacing w:val="-7"/>
        </w:rPr>
        <w:t> </w:t>
      </w:r>
      <w:r>
        <w:rPr>
          <w:color w:val="231F20"/>
        </w:rPr>
        <w:t>militaire</w:t>
      </w:r>
      <w:r>
        <w:rPr>
          <w:color w:val="231F20"/>
          <w:spacing w:val="-5"/>
        </w:rPr>
        <w:t> </w:t>
      </w:r>
      <w:r>
        <w:rPr>
          <w:color w:val="231F20"/>
        </w:rPr>
        <w:t>avait</w:t>
      </w:r>
      <w:r>
        <w:rPr>
          <w:color w:val="231F20"/>
          <w:spacing w:val="-4"/>
        </w:rPr>
        <w:t> </w:t>
      </w:r>
      <w:r>
        <w:rPr>
          <w:color w:val="231F20"/>
        </w:rPr>
        <w:t>été</w:t>
      </w:r>
      <w:r>
        <w:rPr>
          <w:color w:val="231F20"/>
          <w:spacing w:val="-5"/>
        </w:rPr>
        <w:t> </w:t>
      </w:r>
      <w:r>
        <w:rPr>
          <w:color w:val="231F20"/>
        </w:rPr>
        <w:t>condamné</w:t>
      </w:r>
      <w:r>
        <w:rPr>
          <w:color w:val="231F20"/>
          <w:spacing w:val="-5"/>
        </w:rPr>
        <w:t> </w:t>
      </w:r>
      <w:r>
        <w:rPr>
          <w:color w:val="231F20"/>
        </w:rPr>
        <w:t>pour atteinte</w:t>
      </w:r>
      <w:r>
        <w:rPr>
          <w:color w:val="231F20"/>
          <w:spacing w:val="-8"/>
        </w:rPr>
        <w:t> </w:t>
      </w:r>
      <w:r>
        <w:rPr>
          <w:color w:val="231F20"/>
        </w:rPr>
        <w:t>à</w:t>
      </w:r>
      <w:r>
        <w:rPr>
          <w:color w:val="231F20"/>
          <w:spacing w:val="-9"/>
        </w:rPr>
        <w:t> </w:t>
      </w:r>
      <w:r>
        <w:rPr>
          <w:color w:val="231F20"/>
        </w:rPr>
        <w:t>la</w:t>
      </w:r>
      <w:r>
        <w:rPr>
          <w:color w:val="231F20"/>
          <w:spacing w:val="-9"/>
        </w:rPr>
        <w:t> </w:t>
      </w:r>
      <w:r>
        <w:rPr>
          <w:color w:val="231F20"/>
        </w:rPr>
        <w:t>sûreté</w:t>
      </w:r>
      <w:r>
        <w:rPr>
          <w:color w:val="231F20"/>
          <w:spacing w:val="-9"/>
        </w:rPr>
        <w:t> </w:t>
      </w:r>
      <w:r>
        <w:rPr>
          <w:color w:val="231F20"/>
        </w:rPr>
        <w:t>de</w:t>
      </w:r>
      <w:r>
        <w:rPr>
          <w:color w:val="231F20"/>
          <w:spacing w:val="-9"/>
        </w:rPr>
        <w:t> </w:t>
      </w:r>
      <w:r>
        <w:rPr>
          <w:color w:val="231F20"/>
        </w:rPr>
        <w:t>l’État</w:t>
      </w:r>
      <w:r>
        <w:rPr>
          <w:color w:val="231F20"/>
          <w:spacing w:val="-6"/>
        </w:rPr>
        <w:t> </w:t>
      </w:r>
      <w:r>
        <w:rPr>
          <w:color w:val="231F20"/>
        </w:rPr>
        <w:t>en</w:t>
      </w:r>
      <w:r>
        <w:rPr>
          <w:color w:val="231F20"/>
          <w:spacing w:val="-9"/>
        </w:rPr>
        <w:t> </w:t>
      </w:r>
      <w:r>
        <w:rPr>
          <w:color w:val="231F20"/>
        </w:rPr>
        <w:t>septembre</w:t>
      </w:r>
      <w:r>
        <w:rPr>
          <w:color w:val="231F20"/>
          <w:spacing w:val="-9"/>
        </w:rPr>
        <w:t> </w:t>
      </w:r>
      <w:r>
        <w:rPr>
          <w:color w:val="231F20"/>
        </w:rPr>
        <w:t>2000</w:t>
      </w:r>
      <w:r>
        <w:rPr>
          <w:color w:val="231F20"/>
          <w:spacing w:val="-8"/>
        </w:rPr>
        <w:t> </w:t>
      </w:r>
      <w:r>
        <w:rPr>
          <w:color w:val="231F20"/>
        </w:rPr>
        <w:t>par</w:t>
      </w:r>
      <w:r>
        <w:rPr>
          <w:color w:val="231F20"/>
          <w:spacing w:val="-9"/>
        </w:rPr>
        <w:t> </w:t>
      </w:r>
      <w:r>
        <w:rPr>
          <w:color w:val="231F20"/>
        </w:rPr>
        <w:t>le</w:t>
      </w:r>
      <w:r>
        <w:rPr>
          <w:color w:val="231F20"/>
          <w:spacing w:val="-15"/>
        </w:rPr>
        <w:t> </w:t>
      </w:r>
      <w:r>
        <w:rPr>
          <w:color w:val="231F20"/>
        </w:rPr>
        <w:t>Tribunal</w:t>
      </w:r>
      <w:r>
        <w:rPr>
          <w:color w:val="231F20"/>
          <w:spacing w:val="-8"/>
        </w:rPr>
        <w:t> </w:t>
      </w:r>
      <w:r>
        <w:rPr>
          <w:color w:val="231F20"/>
        </w:rPr>
        <w:t>Militaire d’Abidjan</w:t>
      </w:r>
      <w:r>
        <w:rPr>
          <w:color w:val="231F20"/>
          <w:spacing w:val="-15"/>
        </w:rPr>
        <w:t> </w:t>
      </w:r>
      <w:r>
        <w:rPr>
          <w:color w:val="231F20"/>
        </w:rPr>
        <w:t>dans</w:t>
      </w:r>
      <w:r>
        <w:rPr>
          <w:color w:val="231F20"/>
          <w:spacing w:val="-15"/>
        </w:rPr>
        <w:t> </w:t>
      </w:r>
      <w:r>
        <w:rPr>
          <w:color w:val="231F20"/>
        </w:rPr>
        <w:t>l’affaire</w:t>
      </w:r>
      <w:r>
        <w:rPr>
          <w:color w:val="231F20"/>
          <w:spacing w:val="-15"/>
        </w:rPr>
        <w:t> </w:t>
      </w:r>
      <w:r>
        <w:rPr>
          <w:color w:val="231F20"/>
        </w:rPr>
        <w:t>du</w:t>
      </w:r>
      <w:r>
        <w:rPr>
          <w:color w:val="231F20"/>
          <w:spacing w:val="-15"/>
        </w:rPr>
        <w:t> </w:t>
      </w:r>
      <w:r>
        <w:rPr>
          <w:color w:val="231F20"/>
        </w:rPr>
        <w:t>complot</w:t>
      </w:r>
      <w:r>
        <w:rPr>
          <w:color w:val="231F20"/>
          <w:spacing w:val="-15"/>
        </w:rPr>
        <w:t> </w:t>
      </w:r>
      <w:r>
        <w:rPr>
          <w:color w:val="231F20"/>
        </w:rPr>
        <w:t>du</w:t>
      </w:r>
      <w:r>
        <w:rPr>
          <w:color w:val="231F20"/>
          <w:spacing w:val="-15"/>
        </w:rPr>
        <w:t> </w:t>
      </w:r>
      <w:r>
        <w:rPr>
          <w:color w:val="231F20"/>
        </w:rPr>
        <w:t>cheval</w:t>
      </w:r>
      <w:r>
        <w:rPr>
          <w:color w:val="231F20"/>
          <w:spacing w:val="-15"/>
        </w:rPr>
        <w:t> </w:t>
      </w:r>
      <w:r>
        <w:rPr>
          <w:color w:val="231F20"/>
        </w:rPr>
        <w:t>blanc</w:t>
      </w:r>
      <w:r>
        <w:rPr>
          <w:color w:val="231F20"/>
          <w:vertAlign w:val="superscript"/>
        </w:rPr>
        <w:t>175</w:t>
      </w:r>
      <w:r>
        <w:rPr>
          <w:color w:val="231F20"/>
          <w:vertAlign w:val="baseline"/>
        </w:rPr>
        <w:t>.Il</w:t>
      </w:r>
      <w:r>
        <w:rPr>
          <w:color w:val="231F20"/>
          <w:spacing w:val="-15"/>
          <w:vertAlign w:val="baseline"/>
        </w:rPr>
        <w:t> </w:t>
      </w:r>
      <w:r>
        <w:rPr>
          <w:color w:val="231F20"/>
          <w:vertAlign w:val="baseline"/>
        </w:rPr>
        <w:t>s’était</w:t>
      </w:r>
      <w:r>
        <w:rPr>
          <w:color w:val="231F20"/>
          <w:spacing w:val="-15"/>
          <w:vertAlign w:val="baseline"/>
        </w:rPr>
        <w:t> </w:t>
      </w:r>
      <w:r>
        <w:rPr>
          <w:color w:val="231F20"/>
          <w:vertAlign w:val="baseline"/>
        </w:rPr>
        <w:t>exilé</w:t>
      </w:r>
      <w:r>
        <w:rPr>
          <w:color w:val="231F20"/>
          <w:spacing w:val="-15"/>
          <w:vertAlign w:val="baseline"/>
        </w:rPr>
        <w:t> </w:t>
      </w:r>
      <w:r>
        <w:rPr>
          <w:color w:val="231F20"/>
          <w:vertAlign w:val="baseline"/>
        </w:rPr>
        <w:t>au </w:t>
      </w:r>
      <w:r>
        <w:rPr>
          <w:color w:val="231F20"/>
          <w:spacing w:val="-2"/>
          <w:vertAlign w:val="baseline"/>
        </w:rPr>
        <w:t>Burkina</w:t>
      </w:r>
      <w:r>
        <w:rPr>
          <w:color w:val="231F20"/>
          <w:spacing w:val="-13"/>
          <w:vertAlign w:val="baseline"/>
        </w:rPr>
        <w:t> </w:t>
      </w:r>
      <w:r>
        <w:rPr>
          <w:color w:val="231F20"/>
          <w:spacing w:val="-2"/>
          <w:vertAlign w:val="baseline"/>
        </w:rPr>
        <w:t>Faso.</w:t>
      </w:r>
      <w:r>
        <w:rPr>
          <w:color w:val="231F20"/>
          <w:spacing w:val="-13"/>
          <w:vertAlign w:val="baseline"/>
        </w:rPr>
        <w:t> </w:t>
      </w:r>
      <w:r>
        <w:rPr>
          <w:color w:val="231F20"/>
          <w:spacing w:val="-2"/>
          <w:vertAlign w:val="baseline"/>
        </w:rPr>
        <w:t>Interviewé</w:t>
      </w:r>
      <w:r>
        <w:rPr>
          <w:color w:val="231F20"/>
          <w:spacing w:val="-13"/>
          <w:vertAlign w:val="baseline"/>
        </w:rPr>
        <w:t> </w:t>
      </w:r>
      <w:r>
        <w:rPr>
          <w:color w:val="231F20"/>
          <w:spacing w:val="-2"/>
          <w:vertAlign w:val="baseline"/>
        </w:rPr>
        <w:t>par</w:t>
      </w:r>
      <w:r>
        <w:rPr>
          <w:color w:val="231F20"/>
          <w:spacing w:val="-13"/>
          <w:vertAlign w:val="baseline"/>
        </w:rPr>
        <w:t> </w:t>
      </w:r>
      <w:r>
        <w:rPr>
          <w:color w:val="231F20"/>
          <w:spacing w:val="-2"/>
          <w:vertAlign w:val="baseline"/>
        </w:rPr>
        <w:t>des</w:t>
      </w:r>
      <w:r>
        <w:rPr>
          <w:color w:val="231F20"/>
          <w:spacing w:val="-13"/>
          <w:vertAlign w:val="baseline"/>
        </w:rPr>
        <w:t> </w:t>
      </w:r>
      <w:r>
        <w:rPr>
          <w:color w:val="231F20"/>
          <w:spacing w:val="-2"/>
          <w:vertAlign w:val="baseline"/>
        </w:rPr>
        <w:t>journalistes</w:t>
      </w:r>
      <w:r>
        <w:rPr>
          <w:color w:val="231F20"/>
          <w:spacing w:val="-13"/>
          <w:vertAlign w:val="baseline"/>
        </w:rPr>
        <w:t> </w:t>
      </w:r>
      <w:r>
        <w:rPr>
          <w:color w:val="231F20"/>
          <w:spacing w:val="-2"/>
          <w:vertAlign w:val="baseline"/>
        </w:rPr>
        <w:t>Français,</w:t>
      </w:r>
      <w:r>
        <w:rPr>
          <w:color w:val="231F20"/>
          <w:spacing w:val="-13"/>
          <w:vertAlign w:val="baseline"/>
        </w:rPr>
        <w:t> </w:t>
      </w:r>
      <w:r>
        <w:rPr>
          <w:color w:val="231F20"/>
          <w:spacing w:val="-2"/>
          <w:vertAlign w:val="baseline"/>
        </w:rPr>
        <w:t>il</w:t>
      </w:r>
      <w:r>
        <w:rPr>
          <w:color w:val="231F20"/>
          <w:spacing w:val="-13"/>
          <w:vertAlign w:val="baseline"/>
        </w:rPr>
        <w:t> </w:t>
      </w:r>
      <w:r>
        <w:rPr>
          <w:color w:val="231F20"/>
          <w:spacing w:val="-2"/>
          <w:vertAlign w:val="baseline"/>
        </w:rPr>
        <w:t>affirme</w:t>
      </w:r>
      <w:r>
        <w:rPr>
          <w:color w:val="231F20"/>
          <w:spacing w:val="-13"/>
          <w:vertAlign w:val="baseline"/>
        </w:rPr>
        <w:t> </w:t>
      </w:r>
      <w:r>
        <w:rPr>
          <w:color w:val="231F20"/>
          <w:spacing w:val="-2"/>
          <w:vertAlign w:val="baseline"/>
        </w:rPr>
        <w:t>que</w:t>
      </w:r>
      <w:r>
        <w:rPr>
          <w:color w:val="231F20"/>
          <w:spacing w:val="-13"/>
          <w:vertAlign w:val="baseline"/>
        </w:rPr>
        <w:t> </w:t>
      </w:r>
      <w:r>
        <w:rPr>
          <w:color w:val="231F20"/>
          <w:spacing w:val="-2"/>
          <w:vertAlign w:val="baseline"/>
        </w:rPr>
        <w:t>son </w:t>
      </w:r>
      <w:r>
        <w:rPr>
          <w:color w:val="231F20"/>
          <w:vertAlign w:val="baseline"/>
        </w:rPr>
        <w:t>mouvement n’a aucun chef politique, pas plus le général Robert Gueï qu’un</w:t>
      </w:r>
      <w:r>
        <w:rPr>
          <w:color w:val="231F20"/>
          <w:spacing w:val="-9"/>
          <w:vertAlign w:val="baseline"/>
        </w:rPr>
        <w:t> </w:t>
      </w:r>
      <w:r>
        <w:rPr>
          <w:color w:val="231F20"/>
          <w:vertAlign w:val="baseline"/>
        </w:rPr>
        <w:t>autre,</w:t>
      </w:r>
      <w:r>
        <w:rPr>
          <w:color w:val="231F20"/>
          <w:spacing w:val="-9"/>
          <w:vertAlign w:val="baseline"/>
        </w:rPr>
        <w:t> </w:t>
      </w:r>
      <w:r>
        <w:rPr>
          <w:color w:val="231F20"/>
          <w:vertAlign w:val="baseline"/>
        </w:rPr>
        <w:t>et</w:t>
      </w:r>
      <w:r>
        <w:rPr>
          <w:color w:val="231F20"/>
          <w:spacing w:val="-9"/>
          <w:vertAlign w:val="baseline"/>
        </w:rPr>
        <w:t> </w:t>
      </w:r>
      <w:r>
        <w:rPr>
          <w:color w:val="231F20"/>
          <w:vertAlign w:val="baseline"/>
        </w:rPr>
        <w:t>ne</w:t>
      </w:r>
      <w:r>
        <w:rPr>
          <w:color w:val="231F20"/>
          <w:spacing w:val="-10"/>
          <w:vertAlign w:val="baseline"/>
        </w:rPr>
        <w:t> </w:t>
      </w:r>
      <w:r>
        <w:rPr>
          <w:color w:val="231F20"/>
          <w:vertAlign w:val="baseline"/>
        </w:rPr>
        <w:t>jouit</w:t>
      </w:r>
      <w:r>
        <w:rPr>
          <w:color w:val="231F20"/>
          <w:spacing w:val="-9"/>
          <w:vertAlign w:val="baseline"/>
        </w:rPr>
        <w:t> </w:t>
      </w:r>
      <w:r>
        <w:rPr>
          <w:color w:val="231F20"/>
          <w:vertAlign w:val="baseline"/>
        </w:rPr>
        <w:t>d’aucun</w:t>
      </w:r>
      <w:r>
        <w:rPr>
          <w:color w:val="231F20"/>
          <w:spacing w:val="-9"/>
          <w:vertAlign w:val="baseline"/>
        </w:rPr>
        <w:t> </w:t>
      </w:r>
      <w:r>
        <w:rPr>
          <w:color w:val="231F20"/>
          <w:vertAlign w:val="baseline"/>
        </w:rPr>
        <w:t>appui</w:t>
      </w:r>
      <w:r>
        <w:rPr>
          <w:color w:val="231F20"/>
          <w:spacing w:val="-9"/>
          <w:vertAlign w:val="baseline"/>
        </w:rPr>
        <w:t> </w:t>
      </w:r>
      <w:r>
        <w:rPr>
          <w:color w:val="231F20"/>
          <w:vertAlign w:val="baseline"/>
        </w:rPr>
        <w:t>étranger.</w:t>
      </w:r>
      <w:r>
        <w:rPr>
          <w:color w:val="231F20"/>
          <w:spacing w:val="-9"/>
          <w:vertAlign w:val="baseline"/>
        </w:rPr>
        <w:t> </w:t>
      </w:r>
      <w:r>
        <w:rPr>
          <w:color w:val="231F20"/>
          <w:vertAlign w:val="baseline"/>
        </w:rPr>
        <w:t>Mais</w:t>
      </w:r>
      <w:r>
        <w:rPr>
          <w:color w:val="231F20"/>
          <w:spacing w:val="-9"/>
          <w:vertAlign w:val="baseline"/>
        </w:rPr>
        <w:t> </w:t>
      </w:r>
      <w:r>
        <w:rPr>
          <w:color w:val="231F20"/>
          <w:vertAlign w:val="baseline"/>
        </w:rPr>
        <w:t>il</w:t>
      </w:r>
      <w:r>
        <w:rPr>
          <w:color w:val="231F20"/>
          <w:spacing w:val="-9"/>
          <w:vertAlign w:val="baseline"/>
        </w:rPr>
        <w:t> </w:t>
      </w:r>
      <w:r>
        <w:rPr>
          <w:color w:val="231F20"/>
          <w:vertAlign w:val="baseline"/>
        </w:rPr>
        <w:t>reste</w:t>
      </w:r>
      <w:r>
        <w:rPr>
          <w:color w:val="231F20"/>
          <w:spacing w:val="-10"/>
          <w:vertAlign w:val="baseline"/>
        </w:rPr>
        <w:t> </w:t>
      </w:r>
      <w:r>
        <w:rPr>
          <w:color w:val="231F20"/>
          <w:vertAlign w:val="baseline"/>
        </w:rPr>
        <w:t>muet</w:t>
      </w:r>
      <w:r>
        <w:rPr>
          <w:color w:val="231F20"/>
          <w:spacing w:val="-8"/>
          <w:vertAlign w:val="baseline"/>
        </w:rPr>
        <w:t> </w:t>
      </w:r>
      <w:r>
        <w:rPr>
          <w:color w:val="231F20"/>
          <w:vertAlign w:val="baseline"/>
        </w:rPr>
        <w:t>sur</w:t>
      </w:r>
      <w:r>
        <w:rPr>
          <w:color w:val="231F20"/>
          <w:spacing w:val="-10"/>
          <w:vertAlign w:val="baseline"/>
        </w:rPr>
        <w:t> </w:t>
      </w:r>
      <w:r>
        <w:rPr>
          <w:color w:val="231F20"/>
          <w:vertAlign w:val="baseline"/>
        </w:rPr>
        <w:t>la provenance</w:t>
      </w:r>
      <w:r>
        <w:rPr>
          <w:color w:val="231F20"/>
          <w:spacing w:val="-14"/>
          <w:vertAlign w:val="baseline"/>
        </w:rPr>
        <w:t> </w:t>
      </w:r>
      <w:r>
        <w:rPr>
          <w:color w:val="231F20"/>
          <w:vertAlign w:val="baseline"/>
        </w:rPr>
        <w:t>de</w:t>
      </w:r>
      <w:r>
        <w:rPr>
          <w:color w:val="231F20"/>
          <w:spacing w:val="-15"/>
          <w:vertAlign w:val="baseline"/>
        </w:rPr>
        <w:t> </w:t>
      </w:r>
      <w:r>
        <w:rPr>
          <w:color w:val="231F20"/>
          <w:vertAlign w:val="baseline"/>
        </w:rPr>
        <w:t>leur</w:t>
      </w:r>
      <w:r>
        <w:rPr>
          <w:color w:val="231F20"/>
          <w:spacing w:val="-15"/>
          <w:vertAlign w:val="baseline"/>
        </w:rPr>
        <w:t> </w:t>
      </w:r>
      <w:r>
        <w:rPr>
          <w:color w:val="231F20"/>
          <w:vertAlign w:val="baseline"/>
        </w:rPr>
        <w:t>armement</w:t>
      </w:r>
      <w:r>
        <w:rPr>
          <w:color w:val="231F20"/>
          <w:spacing w:val="-14"/>
          <w:vertAlign w:val="baseline"/>
        </w:rPr>
        <w:t> </w:t>
      </w:r>
      <w:r>
        <w:rPr>
          <w:color w:val="231F20"/>
          <w:vertAlign w:val="baseline"/>
        </w:rPr>
        <w:t>et</w:t>
      </w:r>
      <w:r>
        <w:rPr>
          <w:color w:val="231F20"/>
          <w:spacing w:val="-15"/>
          <w:vertAlign w:val="baseline"/>
        </w:rPr>
        <w:t> </w:t>
      </w:r>
      <w:r>
        <w:rPr>
          <w:color w:val="231F20"/>
          <w:vertAlign w:val="baseline"/>
        </w:rPr>
        <w:t>matériel</w:t>
      </w:r>
      <w:r>
        <w:rPr>
          <w:color w:val="231F20"/>
          <w:spacing w:val="-14"/>
          <w:vertAlign w:val="baseline"/>
        </w:rPr>
        <w:t> </w:t>
      </w:r>
      <w:r>
        <w:rPr>
          <w:color w:val="231F20"/>
          <w:vertAlign w:val="baseline"/>
        </w:rPr>
        <w:t>de</w:t>
      </w:r>
      <w:r>
        <w:rPr>
          <w:color w:val="231F20"/>
          <w:spacing w:val="-14"/>
          <w:vertAlign w:val="baseline"/>
        </w:rPr>
        <w:t> </w:t>
      </w:r>
      <w:r>
        <w:rPr>
          <w:color w:val="231F20"/>
          <w:vertAlign w:val="baseline"/>
        </w:rPr>
        <w:t>communication</w:t>
      </w:r>
      <w:r>
        <w:rPr>
          <w:color w:val="231F20"/>
          <w:spacing w:val="-12"/>
          <w:vertAlign w:val="baseline"/>
        </w:rPr>
        <w:t> </w:t>
      </w:r>
      <w:r>
        <w:rPr>
          <w:color w:val="231F20"/>
          <w:vertAlign w:val="baseline"/>
        </w:rPr>
        <w:t>satellitaire. Selon des témoignages en provenance de Bouaké, les mutins disposeraient d’assez d’argent.</w:t>
      </w:r>
    </w:p>
    <w:p>
      <w:pPr>
        <w:pStyle w:val="BodyText"/>
        <w:spacing w:before="120"/>
        <w:ind w:right="104" w:firstLine="283"/>
      </w:pPr>
      <w:r>
        <w:rPr>
          <w:color w:val="231F20"/>
          <w:spacing w:val="-2"/>
        </w:rPr>
        <w:t>Le</w:t>
      </w:r>
      <w:r>
        <w:rPr>
          <w:color w:val="231F20"/>
          <w:spacing w:val="-13"/>
        </w:rPr>
        <w:t> </w:t>
      </w:r>
      <w:r>
        <w:rPr>
          <w:color w:val="231F20"/>
          <w:spacing w:val="-2"/>
        </w:rPr>
        <w:t>28</w:t>
      </w:r>
      <w:r>
        <w:rPr>
          <w:color w:val="231F20"/>
          <w:spacing w:val="-13"/>
        </w:rPr>
        <w:t> </w:t>
      </w:r>
      <w:r>
        <w:rPr>
          <w:color w:val="231F20"/>
          <w:spacing w:val="-2"/>
        </w:rPr>
        <w:t>septembre,</w:t>
      </w:r>
      <w:r>
        <w:rPr>
          <w:color w:val="231F20"/>
          <w:spacing w:val="-13"/>
        </w:rPr>
        <w:t> </w:t>
      </w:r>
      <w:r>
        <w:rPr>
          <w:color w:val="231F20"/>
          <w:spacing w:val="-2"/>
        </w:rPr>
        <w:t>le</w:t>
      </w:r>
      <w:r>
        <w:rPr>
          <w:color w:val="231F20"/>
          <w:spacing w:val="-13"/>
        </w:rPr>
        <w:t> </w:t>
      </w:r>
      <w:r>
        <w:rPr>
          <w:color w:val="231F20"/>
          <w:spacing w:val="-2"/>
        </w:rPr>
        <w:t>régime</w:t>
      </w:r>
      <w:r>
        <w:rPr>
          <w:color w:val="231F20"/>
          <w:spacing w:val="-13"/>
        </w:rPr>
        <w:t> </w:t>
      </w:r>
      <w:r>
        <w:rPr>
          <w:color w:val="231F20"/>
          <w:spacing w:val="-2"/>
        </w:rPr>
        <w:t>de</w:t>
      </w:r>
      <w:r>
        <w:rPr>
          <w:color w:val="231F20"/>
          <w:spacing w:val="-13"/>
        </w:rPr>
        <w:t> </w:t>
      </w:r>
      <w:r>
        <w:rPr>
          <w:color w:val="231F20"/>
          <w:spacing w:val="-2"/>
        </w:rPr>
        <w:t>Laurent</w:t>
      </w:r>
      <w:r>
        <w:rPr>
          <w:color w:val="231F20"/>
          <w:spacing w:val="-13"/>
        </w:rPr>
        <w:t> </w:t>
      </w:r>
      <w:r>
        <w:rPr>
          <w:color w:val="231F20"/>
          <w:spacing w:val="-2"/>
        </w:rPr>
        <w:t>Gbagbo</w:t>
      </w:r>
      <w:r>
        <w:rPr>
          <w:color w:val="231F20"/>
          <w:spacing w:val="-13"/>
        </w:rPr>
        <w:t> </w:t>
      </w:r>
      <w:r>
        <w:rPr>
          <w:color w:val="231F20"/>
          <w:spacing w:val="-2"/>
        </w:rPr>
        <w:t>demande</w:t>
      </w:r>
      <w:r>
        <w:rPr>
          <w:color w:val="231F20"/>
          <w:spacing w:val="-13"/>
        </w:rPr>
        <w:t> </w:t>
      </w:r>
      <w:r>
        <w:rPr>
          <w:color w:val="231F20"/>
          <w:spacing w:val="-2"/>
        </w:rPr>
        <w:t>l’application </w:t>
      </w:r>
      <w:r>
        <w:rPr>
          <w:color w:val="231F20"/>
        </w:rPr>
        <w:t>des</w:t>
      </w:r>
      <w:r>
        <w:rPr>
          <w:color w:val="231F20"/>
          <w:spacing w:val="-13"/>
        </w:rPr>
        <w:t> </w:t>
      </w:r>
      <w:r>
        <w:rPr>
          <w:color w:val="231F20"/>
        </w:rPr>
        <w:t>accords</w:t>
      </w:r>
      <w:r>
        <w:rPr>
          <w:color w:val="231F20"/>
          <w:spacing w:val="-14"/>
        </w:rPr>
        <w:t> </w:t>
      </w:r>
      <w:r>
        <w:rPr>
          <w:color w:val="231F20"/>
        </w:rPr>
        <w:t>de</w:t>
      </w:r>
      <w:r>
        <w:rPr>
          <w:color w:val="231F20"/>
          <w:spacing w:val="-13"/>
        </w:rPr>
        <w:t> </w:t>
      </w:r>
      <w:r>
        <w:rPr>
          <w:color w:val="231F20"/>
        </w:rPr>
        <w:t>défense</w:t>
      </w:r>
      <w:r>
        <w:rPr>
          <w:color w:val="231F20"/>
          <w:spacing w:val="-14"/>
        </w:rPr>
        <w:t> </w:t>
      </w:r>
      <w:r>
        <w:rPr>
          <w:color w:val="231F20"/>
        </w:rPr>
        <w:t>de</w:t>
      </w:r>
      <w:r>
        <w:rPr>
          <w:color w:val="231F20"/>
          <w:spacing w:val="-15"/>
        </w:rPr>
        <w:t> </w:t>
      </w:r>
      <w:r>
        <w:rPr>
          <w:color w:val="231F20"/>
        </w:rPr>
        <w:t>1961,</w:t>
      </w:r>
      <w:r>
        <w:rPr>
          <w:color w:val="231F20"/>
          <w:spacing w:val="-13"/>
        </w:rPr>
        <w:t> </w:t>
      </w:r>
      <w:r>
        <w:rPr>
          <w:color w:val="231F20"/>
        </w:rPr>
        <w:t>passés</w:t>
      </w:r>
      <w:r>
        <w:rPr>
          <w:color w:val="231F20"/>
          <w:spacing w:val="-13"/>
        </w:rPr>
        <w:t> </w:t>
      </w:r>
      <w:r>
        <w:rPr>
          <w:color w:val="231F20"/>
        </w:rPr>
        <w:t>avec</w:t>
      </w:r>
      <w:r>
        <w:rPr>
          <w:color w:val="231F20"/>
          <w:spacing w:val="-14"/>
        </w:rPr>
        <w:t> </w:t>
      </w:r>
      <w:r>
        <w:rPr>
          <w:color w:val="231F20"/>
        </w:rPr>
        <w:t>la</w:t>
      </w:r>
      <w:r>
        <w:rPr>
          <w:color w:val="231F20"/>
          <w:spacing w:val="-13"/>
        </w:rPr>
        <w:t> </w:t>
      </w:r>
      <w:r>
        <w:rPr>
          <w:color w:val="231F20"/>
        </w:rPr>
        <w:t>France.</w:t>
      </w:r>
      <w:r>
        <w:rPr>
          <w:color w:val="231F20"/>
          <w:spacing w:val="-13"/>
        </w:rPr>
        <w:t> </w:t>
      </w:r>
      <w:r>
        <w:rPr>
          <w:color w:val="231F20"/>
        </w:rPr>
        <w:t>La</w:t>
      </w:r>
      <w:r>
        <w:rPr>
          <w:color w:val="231F20"/>
          <w:spacing w:val="-13"/>
        </w:rPr>
        <w:t> </w:t>
      </w:r>
      <w:r>
        <w:rPr>
          <w:color w:val="231F20"/>
        </w:rPr>
        <w:t>France</w:t>
      </w:r>
      <w:r>
        <w:rPr>
          <w:color w:val="231F20"/>
          <w:spacing w:val="-13"/>
        </w:rPr>
        <w:t> </w:t>
      </w:r>
      <w:r>
        <w:rPr>
          <w:color w:val="231F20"/>
        </w:rPr>
        <w:t>refuse </w:t>
      </w:r>
      <w:r>
        <w:rPr>
          <w:color w:val="231F20"/>
          <w:spacing w:val="-2"/>
        </w:rPr>
        <w:t>d’activer</w:t>
      </w:r>
      <w:r>
        <w:rPr>
          <w:color w:val="231F20"/>
          <w:spacing w:val="-7"/>
        </w:rPr>
        <w:t> </w:t>
      </w:r>
      <w:r>
        <w:rPr>
          <w:color w:val="231F20"/>
          <w:spacing w:val="-2"/>
        </w:rPr>
        <w:t>ces</w:t>
      </w:r>
      <w:r>
        <w:rPr>
          <w:color w:val="231F20"/>
          <w:spacing w:val="-7"/>
        </w:rPr>
        <w:t> </w:t>
      </w:r>
      <w:r>
        <w:rPr>
          <w:color w:val="231F20"/>
          <w:spacing w:val="-2"/>
        </w:rPr>
        <w:t>accords</w:t>
      </w:r>
      <w:r>
        <w:rPr>
          <w:color w:val="231F20"/>
          <w:spacing w:val="-7"/>
        </w:rPr>
        <w:t> </w:t>
      </w:r>
      <w:r>
        <w:rPr>
          <w:color w:val="231F20"/>
          <w:spacing w:val="-2"/>
        </w:rPr>
        <w:t>estimant</w:t>
      </w:r>
      <w:r>
        <w:rPr>
          <w:color w:val="231F20"/>
          <w:spacing w:val="-6"/>
        </w:rPr>
        <w:t> </w:t>
      </w:r>
      <w:r>
        <w:rPr>
          <w:color w:val="231F20"/>
          <w:spacing w:val="-2"/>
        </w:rPr>
        <w:t>qu’il</w:t>
      </w:r>
      <w:r>
        <w:rPr>
          <w:color w:val="231F20"/>
          <w:spacing w:val="-8"/>
        </w:rPr>
        <w:t> </w:t>
      </w:r>
      <w:r>
        <w:rPr>
          <w:color w:val="231F20"/>
          <w:spacing w:val="-2"/>
        </w:rPr>
        <w:t>s’agit</w:t>
      </w:r>
      <w:r>
        <w:rPr>
          <w:color w:val="231F20"/>
          <w:spacing w:val="-8"/>
        </w:rPr>
        <w:t> </w:t>
      </w:r>
      <w:r>
        <w:rPr>
          <w:color w:val="231F20"/>
          <w:spacing w:val="-2"/>
        </w:rPr>
        <w:t>d’une</w:t>
      </w:r>
      <w:r>
        <w:rPr>
          <w:color w:val="231F20"/>
          <w:spacing w:val="-7"/>
        </w:rPr>
        <w:t> </w:t>
      </w:r>
      <w:r>
        <w:rPr>
          <w:color w:val="231F20"/>
          <w:spacing w:val="-2"/>
        </w:rPr>
        <w:t>affaire</w:t>
      </w:r>
      <w:r>
        <w:rPr>
          <w:color w:val="231F20"/>
          <w:spacing w:val="-13"/>
        </w:rPr>
        <w:t> </w:t>
      </w:r>
      <w:r>
        <w:rPr>
          <w:color w:val="231F20"/>
          <w:spacing w:val="-2"/>
        </w:rPr>
        <w:t>ivoiro-ivoirienne </w:t>
      </w:r>
      <w:r>
        <w:rPr>
          <w:color w:val="231F20"/>
        </w:rPr>
        <w:t>et qu’il n’y a pas d’implication étrangère. Le lendemain, un groupe de </w:t>
      </w:r>
      <w:r>
        <w:rPr>
          <w:color w:val="231F20"/>
          <w:spacing w:val="-4"/>
        </w:rPr>
        <w:t>contact</w:t>
      </w:r>
      <w:r>
        <w:rPr>
          <w:color w:val="231F20"/>
          <w:spacing w:val="-4"/>
          <w:vertAlign w:val="superscript"/>
        </w:rPr>
        <w:t>176</w:t>
      </w:r>
      <w:r>
        <w:rPr>
          <w:color w:val="231F20"/>
          <w:vertAlign w:val="baseline"/>
        </w:rPr>
        <w:t> </w:t>
      </w:r>
      <w:r>
        <w:rPr>
          <w:color w:val="231F20"/>
          <w:spacing w:val="-4"/>
          <w:vertAlign w:val="baseline"/>
        </w:rPr>
        <w:t>créé</w:t>
      </w:r>
      <w:r>
        <w:rPr>
          <w:color w:val="231F20"/>
          <w:spacing w:val="-6"/>
          <w:vertAlign w:val="baseline"/>
        </w:rPr>
        <w:t> </w:t>
      </w:r>
      <w:r>
        <w:rPr>
          <w:color w:val="231F20"/>
          <w:spacing w:val="-4"/>
          <w:vertAlign w:val="baseline"/>
        </w:rPr>
        <w:t>par</w:t>
      </w:r>
      <w:r>
        <w:rPr>
          <w:color w:val="231F20"/>
          <w:spacing w:val="-6"/>
          <w:vertAlign w:val="baseline"/>
        </w:rPr>
        <w:t> </w:t>
      </w:r>
      <w:r>
        <w:rPr>
          <w:color w:val="231F20"/>
          <w:spacing w:val="-4"/>
          <w:vertAlign w:val="baseline"/>
        </w:rPr>
        <w:t>la</w:t>
      </w:r>
      <w:r>
        <w:rPr>
          <w:color w:val="231F20"/>
          <w:spacing w:val="-6"/>
          <w:vertAlign w:val="baseline"/>
        </w:rPr>
        <w:t> </w:t>
      </w:r>
      <w:r>
        <w:rPr>
          <w:color w:val="231F20"/>
          <w:spacing w:val="-4"/>
          <w:vertAlign w:val="baseline"/>
        </w:rPr>
        <w:t>Communauté</w:t>
      </w:r>
      <w:r>
        <w:rPr>
          <w:color w:val="231F20"/>
          <w:spacing w:val="-6"/>
          <w:vertAlign w:val="baseline"/>
        </w:rPr>
        <w:t> </w:t>
      </w:r>
      <w:r>
        <w:rPr>
          <w:color w:val="231F20"/>
          <w:spacing w:val="-4"/>
          <w:vertAlign w:val="baseline"/>
        </w:rPr>
        <w:t>Économique</w:t>
      </w:r>
      <w:r>
        <w:rPr>
          <w:color w:val="231F20"/>
          <w:spacing w:val="-6"/>
          <w:vertAlign w:val="baseline"/>
        </w:rPr>
        <w:t> </w:t>
      </w:r>
      <w:r>
        <w:rPr>
          <w:color w:val="231F20"/>
          <w:spacing w:val="-4"/>
          <w:vertAlign w:val="baseline"/>
        </w:rPr>
        <w:t>des</w:t>
      </w:r>
      <w:r>
        <w:rPr>
          <w:color w:val="231F20"/>
          <w:spacing w:val="-5"/>
          <w:vertAlign w:val="baseline"/>
        </w:rPr>
        <w:t> </w:t>
      </w:r>
      <w:r>
        <w:rPr>
          <w:color w:val="231F20"/>
          <w:spacing w:val="-4"/>
          <w:vertAlign w:val="baseline"/>
        </w:rPr>
        <w:t>États</w:t>
      </w:r>
      <w:r>
        <w:rPr>
          <w:color w:val="231F20"/>
          <w:spacing w:val="-5"/>
          <w:vertAlign w:val="baseline"/>
        </w:rPr>
        <w:t> </w:t>
      </w:r>
      <w:r>
        <w:rPr>
          <w:color w:val="231F20"/>
          <w:spacing w:val="-4"/>
          <w:vertAlign w:val="baseline"/>
        </w:rPr>
        <w:t>de</w:t>
      </w:r>
      <w:r>
        <w:rPr>
          <w:color w:val="231F20"/>
          <w:spacing w:val="-10"/>
          <w:vertAlign w:val="baseline"/>
        </w:rPr>
        <w:t> </w:t>
      </w:r>
      <w:r>
        <w:rPr>
          <w:color w:val="231F20"/>
          <w:spacing w:val="-4"/>
          <w:vertAlign w:val="baseline"/>
        </w:rPr>
        <w:t>l’Afrique</w:t>
      </w:r>
      <w:r>
        <w:rPr>
          <w:color w:val="231F20"/>
          <w:spacing w:val="-10"/>
          <w:vertAlign w:val="baseline"/>
        </w:rPr>
        <w:t> </w:t>
      </w:r>
      <w:r>
        <w:rPr>
          <w:color w:val="231F20"/>
          <w:spacing w:val="-4"/>
          <w:vertAlign w:val="baseline"/>
        </w:rPr>
        <w:t>de </w:t>
      </w:r>
      <w:r>
        <w:rPr>
          <w:color w:val="231F20"/>
          <w:spacing w:val="-2"/>
          <w:vertAlign w:val="baseline"/>
        </w:rPr>
        <w:t>l’Ouest</w:t>
      </w:r>
      <w:r>
        <w:rPr>
          <w:color w:val="231F20"/>
          <w:spacing w:val="-13"/>
          <w:vertAlign w:val="baseline"/>
        </w:rPr>
        <w:t> </w:t>
      </w:r>
      <w:r>
        <w:rPr>
          <w:color w:val="231F20"/>
          <w:spacing w:val="-2"/>
          <w:vertAlign w:val="baseline"/>
        </w:rPr>
        <w:t>(CEDEAO)</w:t>
      </w:r>
      <w:r>
        <w:rPr>
          <w:color w:val="231F20"/>
          <w:spacing w:val="-13"/>
          <w:vertAlign w:val="baseline"/>
        </w:rPr>
        <w:t> </w:t>
      </w:r>
      <w:r>
        <w:rPr>
          <w:color w:val="231F20"/>
          <w:spacing w:val="-2"/>
          <w:vertAlign w:val="baseline"/>
        </w:rPr>
        <w:t>pour</w:t>
      </w:r>
      <w:r>
        <w:rPr>
          <w:color w:val="231F20"/>
          <w:spacing w:val="-13"/>
          <w:vertAlign w:val="baseline"/>
        </w:rPr>
        <w:t> </w:t>
      </w:r>
      <w:r>
        <w:rPr>
          <w:color w:val="231F20"/>
          <w:spacing w:val="-2"/>
          <w:vertAlign w:val="baseline"/>
        </w:rPr>
        <w:t>régler</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crise,</w:t>
      </w:r>
      <w:r>
        <w:rPr>
          <w:color w:val="231F20"/>
          <w:spacing w:val="-13"/>
          <w:vertAlign w:val="baseline"/>
        </w:rPr>
        <w:t> </w:t>
      </w:r>
      <w:r>
        <w:rPr>
          <w:color w:val="231F20"/>
          <w:spacing w:val="-2"/>
          <w:vertAlign w:val="baseline"/>
        </w:rPr>
        <w:t>convoque</w:t>
      </w:r>
      <w:r>
        <w:rPr>
          <w:color w:val="231F20"/>
          <w:spacing w:val="-13"/>
          <w:vertAlign w:val="baseline"/>
        </w:rPr>
        <w:t> </w:t>
      </w:r>
      <w:r>
        <w:rPr>
          <w:color w:val="231F20"/>
          <w:spacing w:val="-2"/>
          <w:vertAlign w:val="baseline"/>
        </w:rPr>
        <w:t>d’urgence</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Accra</w:t>
      </w:r>
      <w:r>
        <w:rPr>
          <w:color w:val="231F20"/>
          <w:spacing w:val="-13"/>
          <w:vertAlign w:val="baseline"/>
        </w:rPr>
        <w:t> </w:t>
      </w:r>
      <w:r>
        <w:rPr>
          <w:color w:val="231F20"/>
          <w:spacing w:val="-2"/>
          <w:vertAlign w:val="baseline"/>
        </w:rPr>
        <w:t>une </w:t>
      </w:r>
      <w:r>
        <w:rPr>
          <w:color w:val="231F20"/>
          <w:vertAlign w:val="baseline"/>
        </w:rPr>
        <w:t>réunion</w:t>
      </w:r>
      <w:r>
        <w:rPr>
          <w:color w:val="231F20"/>
          <w:spacing w:val="-15"/>
          <w:vertAlign w:val="baseline"/>
        </w:rPr>
        <w:t> </w:t>
      </w:r>
      <w:r>
        <w:rPr>
          <w:color w:val="231F20"/>
          <w:vertAlign w:val="baseline"/>
        </w:rPr>
        <w:t>au</w:t>
      </w:r>
      <w:r>
        <w:rPr>
          <w:color w:val="231F20"/>
          <w:spacing w:val="-15"/>
          <w:vertAlign w:val="baseline"/>
        </w:rPr>
        <w:t> </w:t>
      </w:r>
      <w:r>
        <w:rPr>
          <w:color w:val="231F20"/>
          <w:vertAlign w:val="baseline"/>
        </w:rPr>
        <w:t>sommet,</w:t>
      </w:r>
      <w:r>
        <w:rPr>
          <w:color w:val="231F20"/>
          <w:spacing w:val="-15"/>
          <w:vertAlign w:val="baseline"/>
        </w:rPr>
        <w:t> </w:t>
      </w:r>
      <w:r>
        <w:rPr>
          <w:color w:val="231F20"/>
          <w:vertAlign w:val="baseline"/>
        </w:rPr>
        <w:t>suivi</w:t>
      </w:r>
      <w:r>
        <w:rPr>
          <w:color w:val="231F20"/>
          <w:spacing w:val="-15"/>
          <w:vertAlign w:val="baseline"/>
        </w:rPr>
        <w:t> </w:t>
      </w:r>
      <w:r>
        <w:rPr>
          <w:color w:val="231F20"/>
          <w:vertAlign w:val="baseline"/>
        </w:rPr>
        <w:t>d’une</w:t>
      </w:r>
      <w:r>
        <w:rPr>
          <w:color w:val="231F20"/>
          <w:spacing w:val="-14"/>
          <w:vertAlign w:val="baseline"/>
        </w:rPr>
        <w:t> </w:t>
      </w:r>
      <w:r>
        <w:rPr>
          <w:color w:val="231F20"/>
          <w:vertAlign w:val="baseline"/>
        </w:rPr>
        <w:t>réunion</w:t>
      </w:r>
      <w:r>
        <w:rPr>
          <w:color w:val="231F20"/>
          <w:spacing w:val="-15"/>
          <w:vertAlign w:val="baseline"/>
        </w:rPr>
        <w:t> </w:t>
      </w:r>
      <w:r>
        <w:rPr>
          <w:color w:val="231F20"/>
          <w:vertAlign w:val="baseline"/>
        </w:rPr>
        <w:t>de</w:t>
      </w:r>
      <w:r>
        <w:rPr>
          <w:color w:val="231F20"/>
          <w:spacing w:val="-13"/>
          <w:vertAlign w:val="baseline"/>
        </w:rPr>
        <w:t> </w:t>
      </w:r>
      <w:r>
        <w:rPr>
          <w:color w:val="231F20"/>
          <w:vertAlign w:val="baseline"/>
        </w:rPr>
        <w:t>la</w:t>
      </w:r>
      <w:r>
        <w:rPr>
          <w:color w:val="231F20"/>
          <w:spacing w:val="-15"/>
          <w:vertAlign w:val="baseline"/>
        </w:rPr>
        <w:t> </w:t>
      </w:r>
      <w:r>
        <w:rPr>
          <w:color w:val="231F20"/>
          <w:vertAlign w:val="baseline"/>
        </w:rPr>
        <w:t>Commission</w:t>
      </w:r>
      <w:r>
        <w:rPr>
          <w:color w:val="231F20"/>
          <w:spacing w:val="-13"/>
          <w:vertAlign w:val="baseline"/>
        </w:rPr>
        <w:t> </w:t>
      </w:r>
      <w:r>
        <w:rPr>
          <w:color w:val="231F20"/>
          <w:vertAlign w:val="baseline"/>
        </w:rPr>
        <w:t>de</w:t>
      </w:r>
      <w:r>
        <w:rPr>
          <w:color w:val="231F20"/>
          <w:spacing w:val="-15"/>
          <w:vertAlign w:val="baseline"/>
        </w:rPr>
        <w:t> </w:t>
      </w:r>
      <w:r>
        <w:rPr>
          <w:color w:val="231F20"/>
          <w:vertAlign w:val="baseline"/>
        </w:rPr>
        <w:t>la</w:t>
      </w:r>
      <w:r>
        <w:rPr>
          <w:color w:val="231F20"/>
          <w:spacing w:val="-13"/>
          <w:vertAlign w:val="baseline"/>
        </w:rPr>
        <w:t> </w:t>
      </w:r>
      <w:r>
        <w:rPr>
          <w:color w:val="231F20"/>
          <w:vertAlign w:val="baseline"/>
        </w:rPr>
        <w:t>défense et</w:t>
      </w:r>
      <w:r>
        <w:rPr>
          <w:color w:val="231F20"/>
          <w:spacing w:val="-7"/>
          <w:vertAlign w:val="baseline"/>
        </w:rPr>
        <w:t> </w:t>
      </w:r>
      <w:r>
        <w:rPr>
          <w:color w:val="231F20"/>
          <w:vertAlign w:val="baseline"/>
        </w:rPr>
        <w:t>de</w:t>
      </w:r>
      <w:r>
        <w:rPr>
          <w:color w:val="231F20"/>
          <w:spacing w:val="-8"/>
          <w:vertAlign w:val="baseline"/>
        </w:rPr>
        <w:t> </w:t>
      </w:r>
      <w:r>
        <w:rPr>
          <w:color w:val="231F20"/>
          <w:vertAlign w:val="baseline"/>
        </w:rPr>
        <w:t>la</w:t>
      </w:r>
      <w:r>
        <w:rPr>
          <w:color w:val="231F20"/>
          <w:spacing w:val="-8"/>
          <w:vertAlign w:val="baseline"/>
        </w:rPr>
        <w:t> </w:t>
      </w:r>
      <w:r>
        <w:rPr>
          <w:color w:val="231F20"/>
          <w:vertAlign w:val="baseline"/>
        </w:rPr>
        <w:t>sécurité</w:t>
      </w:r>
      <w:r>
        <w:rPr>
          <w:color w:val="231F20"/>
          <w:spacing w:val="-8"/>
          <w:vertAlign w:val="baseline"/>
        </w:rPr>
        <w:t> </w:t>
      </w:r>
      <w:r>
        <w:rPr>
          <w:color w:val="231F20"/>
          <w:vertAlign w:val="baseline"/>
        </w:rPr>
        <w:t>de</w:t>
      </w:r>
      <w:r>
        <w:rPr>
          <w:color w:val="231F20"/>
          <w:spacing w:val="-10"/>
          <w:vertAlign w:val="baseline"/>
        </w:rPr>
        <w:t> </w:t>
      </w:r>
      <w:r>
        <w:rPr>
          <w:color w:val="231F20"/>
          <w:vertAlign w:val="baseline"/>
        </w:rPr>
        <w:t>l’</w:t>
      </w:r>
      <w:r>
        <w:rPr>
          <w:color w:val="231F20"/>
          <w:spacing w:val="-8"/>
          <w:vertAlign w:val="baseline"/>
        </w:rPr>
        <w:t> </w:t>
      </w:r>
      <w:r>
        <w:rPr>
          <w:color w:val="231F20"/>
          <w:vertAlign w:val="baseline"/>
        </w:rPr>
        <w:t>organisation</w:t>
      </w:r>
      <w:r>
        <w:rPr>
          <w:color w:val="231F20"/>
          <w:spacing w:val="-10"/>
          <w:vertAlign w:val="baseline"/>
        </w:rPr>
        <w:t> </w:t>
      </w:r>
      <w:r>
        <w:rPr>
          <w:color w:val="231F20"/>
          <w:vertAlign w:val="baseline"/>
        </w:rPr>
        <w:t>sous</w:t>
      </w:r>
      <w:r>
        <w:rPr>
          <w:color w:val="231F20"/>
          <w:spacing w:val="-8"/>
          <w:vertAlign w:val="baseline"/>
        </w:rPr>
        <w:t> </w:t>
      </w:r>
      <w:r>
        <w:rPr>
          <w:color w:val="231F20"/>
          <w:vertAlign w:val="baseline"/>
        </w:rPr>
        <w:t>régionale.</w:t>
      </w:r>
      <w:r>
        <w:rPr>
          <w:color w:val="231F20"/>
          <w:spacing w:val="-10"/>
          <w:vertAlign w:val="baseline"/>
        </w:rPr>
        <w:t> </w:t>
      </w:r>
      <w:r>
        <w:rPr>
          <w:color w:val="231F20"/>
          <w:vertAlign w:val="baseline"/>
        </w:rPr>
        <w:t>Le</w:t>
      </w:r>
      <w:r>
        <w:rPr>
          <w:color w:val="231F20"/>
          <w:spacing w:val="-8"/>
          <w:vertAlign w:val="baseline"/>
        </w:rPr>
        <w:t> </w:t>
      </w:r>
      <w:r>
        <w:rPr>
          <w:color w:val="231F20"/>
          <w:vertAlign w:val="baseline"/>
        </w:rPr>
        <w:t>Groupe</w:t>
      </w:r>
      <w:r>
        <w:rPr>
          <w:color w:val="231F20"/>
          <w:spacing w:val="-8"/>
          <w:vertAlign w:val="baseline"/>
        </w:rPr>
        <w:t> </w:t>
      </w:r>
      <w:r>
        <w:rPr>
          <w:color w:val="231F20"/>
          <w:vertAlign w:val="baseline"/>
        </w:rPr>
        <w:t>de</w:t>
      </w:r>
      <w:r>
        <w:rPr>
          <w:color w:val="231F20"/>
          <w:spacing w:val="-8"/>
          <w:vertAlign w:val="baseline"/>
        </w:rPr>
        <w:t> </w:t>
      </w:r>
      <w:r>
        <w:rPr>
          <w:color w:val="231F20"/>
          <w:vertAlign w:val="baseline"/>
        </w:rPr>
        <w:t>contact recommande</w:t>
      </w:r>
      <w:r>
        <w:rPr>
          <w:color w:val="231F20"/>
          <w:spacing w:val="-10"/>
          <w:vertAlign w:val="baseline"/>
        </w:rPr>
        <w:t> </w:t>
      </w:r>
      <w:r>
        <w:rPr>
          <w:color w:val="231F20"/>
          <w:vertAlign w:val="baseline"/>
        </w:rPr>
        <w:t>la</w:t>
      </w:r>
      <w:r>
        <w:rPr>
          <w:color w:val="231F20"/>
          <w:spacing w:val="-9"/>
          <w:vertAlign w:val="baseline"/>
        </w:rPr>
        <w:t> </w:t>
      </w:r>
      <w:r>
        <w:rPr>
          <w:color w:val="231F20"/>
          <w:vertAlign w:val="baseline"/>
        </w:rPr>
        <w:t>prise</w:t>
      </w:r>
      <w:r>
        <w:rPr>
          <w:color w:val="231F20"/>
          <w:spacing w:val="-10"/>
          <w:vertAlign w:val="baseline"/>
        </w:rPr>
        <w:t> </w:t>
      </w:r>
      <w:r>
        <w:rPr>
          <w:color w:val="231F20"/>
          <w:vertAlign w:val="baseline"/>
        </w:rPr>
        <w:t>de</w:t>
      </w:r>
      <w:r>
        <w:rPr>
          <w:color w:val="231F20"/>
          <w:spacing w:val="-10"/>
          <w:vertAlign w:val="baseline"/>
        </w:rPr>
        <w:t> </w:t>
      </w:r>
      <w:r>
        <w:rPr>
          <w:color w:val="231F20"/>
          <w:vertAlign w:val="baseline"/>
        </w:rPr>
        <w:t>dispositions</w:t>
      </w:r>
      <w:r>
        <w:rPr>
          <w:color w:val="231F20"/>
          <w:spacing w:val="-11"/>
          <w:vertAlign w:val="baseline"/>
        </w:rPr>
        <w:t> </w:t>
      </w:r>
      <w:r>
        <w:rPr>
          <w:color w:val="231F20"/>
          <w:vertAlign w:val="baseline"/>
        </w:rPr>
        <w:t>immédiates</w:t>
      </w:r>
      <w:r>
        <w:rPr>
          <w:color w:val="231F20"/>
          <w:spacing w:val="-10"/>
          <w:vertAlign w:val="baseline"/>
        </w:rPr>
        <w:t> </w:t>
      </w:r>
      <w:r>
        <w:rPr>
          <w:color w:val="231F20"/>
          <w:vertAlign w:val="baseline"/>
        </w:rPr>
        <w:t>pour</w:t>
      </w:r>
      <w:r>
        <w:rPr>
          <w:color w:val="231F20"/>
          <w:spacing w:val="-9"/>
          <w:vertAlign w:val="baseline"/>
        </w:rPr>
        <w:t> </w:t>
      </w:r>
      <w:r>
        <w:rPr>
          <w:color w:val="231F20"/>
          <w:vertAlign w:val="baseline"/>
        </w:rPr>
        <w:t>déployer</w:t>
      </w:r>
      <w:r>
        <w:rPr>
          <w:color w:val="231F20"/>
          <w:spacing w:val="-9"/>
          <w:vertAlign w:val="baseline"/>
        </w:rPr>
        <w:t> </w:t>
      </w:r>
      <w:r>
        <w:rPr>
          <w:color w:val="231F20"/>
          <w:vertAlign w:val="baseline"/>
        </w:rPr>
        <w:t>en</w:t>
      </w:r>
      <w:r>
        <w:rPr>
          <w:color w:val="231F20"/>
          <w:spacing w:val="-10"/>
          <w:vertAlign w:val="baseline"/>
        </w:rPr>
        <w:t> </w:t>
      </w:r>
      <w:r>
        <w:rPr>
          <w:color w:val="231F20"/>
          <w:vertAlign w:val="baseline"/>
        </w:rPr>
        <w:t>Côte d’Ivoire des troupes de la CEDEAO. Le mandat confié à la force de la CEDEAO</w:t>
      </w:r>
      <w:r>
        <w:rPr>
          <w:color w:val="231F20"/>
          <w:spacing w:val="45"/>
          <w:vertAlign w:val="baseline"/>
        </w:rPr>
        <w:t> </w:t>
      </w:r>
      <w:r>
        <w:rPr>
          <w:color w:val="231F20"/>
          <w:vertAlign w:val="baseline"/>
        </w:rPr>
        <w:t>comprendrait</w:t>
      </w:r>
      <w:r>
        <w:rPr>
          <w:color w:val="231F20"/>
          <w:spacing w:val="47"/>
          <w:vertAlign w:val="baseline"/>
        </w:rPr>
        <w:t> </w:t>
      </w:r>
      <w:r>
        <w:rPr>
          <w:color w:val="231F20"/>
          <w:vertAlign w:val="baseline"/>
        </w:rPr>
        <w:t>notamment</w:t>
      </w:r>
      <w:r>
        <w:rPr>
          <w:color w:val="231F20"/>
          <w:spacing w:val="47"/>
          <w:vertAlign w:val="baseline"/>
        </w:rPr>
        <w:t> </w:t>
      </w:r>
      <w:r>
        <w:rPr>
          <w:color w:val="231F20"/>
          <w:vertAlign w:val="baseline"/>
        </w:rPr>
        <w:t>la</w:t>
      </w:r>
      <w:r>
        <w:rPr>
          <w:color w:val="231F20"/>
          <w:spacing w:val="45"/>
          <w:vertAlign w:val="baseline"/>
        </w:rPr>
        <w:t> </w:t>
      </w:r>
      <w:r>
        <w:rPr>
          <w:color w:val="231F20"/>
          <w:vertAlign w:val="baseline"/>
        </w:rPr>
        <w:t>surveillance</w:t>
      </w:r>
      <w:r>
        <w:rPr>
          <w:color w:val="231F20"/>
          <w:spacing w:val="48"/>
          <w:vertAlign w:val="baseline"/>
        </w:rPr>
        <w:t> </w:t>
      </w:r>
      <w:r>
        <w:rPr>
          <w:color w:val="231F20"/>
          <w:vertAlign w:val="baseline"/>
        </w:rPr>
        <w:t>du</w:t>
      </w:r>
      <w:r>
        <w:rPr>
          <w:color w:val="231F20"/>
          <w:spacing w:val="46"/>
          <w:vertAlign w:val="baseline"/>
        </w:rPr>
        <w:t> </w:t>
      </w:r>
      <w:r>
        <w:rPr>
          <w:color w:val="231F20"/>
          <w:vertAlign w:val="baseline"/>
        </w:rPr>
        <w:t>cessez-le-</w:t>
      </w:r>
      <w:r>
        <w:rPr>
          <w:color w:val="231F20"/>
          <w:spacing w:val="-5"/>
          <w:vertAlign w:val="baseline"/>
        </w:rPr>
        <w:t>feu</w:t>
      </w:r>
    </w:p>
    <w:p>
      <w:pPr>
        <w:pStyle w:val="BodyText"/>
        <w:spacing w:before="43"/>
        <w:ind w:left="0"/>
        <w:jc w:val="left"/>
        <w:rPr>
          <w:sz w:val="20"/>
        </w:rPr>
      </w:pPr>
      <w:r>
        <w:rPr/>
        <mc:AlternateContent>
          <mc:Choice Requires="wps">
            <w:drawing>
              <wp:anchor distT="0" distB="0" distL="0" distR="0" allowOverlap="1" layoutInCell="1" locked="0" behindDoc="1" simplePos="0" relativeHeight="487644160">
                <wp:simplePos x="0" y="0"/>
                <wp:positionH relativeFrom="page">
                  <wp:posOffset>629907</wp:posOffset>
                </wp:positionH>
                <wp:positionV relativeFrom="paragraph">
                  <wp:posOffset>188611</wp:posOffset>
                </wp:positionV>
                <wp:extent cx="1829435" cy="9525"/>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851328pt;width:144.020pt;height:.72pt;mso-position-horizontal-relative:page;mso-position-vertical-relative:paragraph;z-index:-15672320;mso-wrap-distance-left:0;mso-wrap-distance-right:0" id="docshape137" filled="true" fillcolor="#231f20" stroked="false">
                <v:fill type="solid"/>
                <w10:wrap type="topAndBottom"/>
              </v:rect>
            </w:pict>
          </mc:Fallback>
        </mc:AlternateContent>
      </w:r>
    </w:p>
    <w:p>
      <w:pPr>
        <w:spacing w:before="94"/>
        <w:ind w:left="111" w:right="105" w:firstLine="0"/>
        <w:jc w:val="both"/>
        <w:rPr>
          <w:sz w:val="20"/>
        </w:rPr>
      </w:pPr>
      <w:r>
        <w:rPr>
          <w:color w:val="76787A"/>
          <w:spacing w:val="-2"/>
          <w:sz w:val="20"/>
          <w:vertAlign w:val="superscript"/>
        </w:rPr>
        <w:t>174</w:t>
      </w:r>
      <w:r>
        <w:rPr>
          <w:color w:val="76787A"/>
          <w:spacing w:val="-13"/>
          <w:sz w:val="20"/>
          <w:vertAlign w:val="baseline"/>
        </w:rPr>
        <w:t> </w:t>
      </w:r>
      <w:r>
        <w:rPr>
          <w:color w:val="231F20"/>
          <w:spacing w:val="-2"/>
          <w:sz w:val="20"/>
          <w:vertAlign w:val="baseline"/>
        </w:rPr>
        <w:t>En</w:t>
      </w:r>
      <w:r>
        <w:rPr>
          <w:color w:val="231F20"/>
          <w:spacing w:val="-10"/>
          <w:sz w:val="20"/>
          <w:vertAlign w:val="baseline"/>
        </w:rPr>
        <w:t> </w:t>
      </w:r>
      <w:r>
        <w:rPr>
          <w:color w:val="231F20"/>
          <w:spacing w:val="-2"/>
          <w:sz w:val="20"/>
          <w:vertAlign w:val="baseline"/>
        </w:rPr>
        <w:t>mission</w:t>
      </w:r>
      <w:r>
        <w:rPr>
          <w:color w:val="231F20"/>
          <w:spacing w:val="-11"/>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Bouaké</w:t>
      </w:r>
      <w:r>
        <w:rPr>
          <w:color w:val="231F20"/>
          <w:spacing w:val="-11"/>
          <w:sz w:val="20"/>
          <w:vertAlign w:val="baseline"/>
        </w:rPr>
        <w:t> </w:t>
      </w:r>
      <w:r>
        <w:rPr>
          <w:color w:val="231F20"/>
          <w:spacing w:val="-2"/>
          <w:sz w:val="20"/>
          <w:vertAlign w:val="baseline"/>
        </w:rPr>
        <w:t>en</w:t>
      </w:r>
      <w:r>
        <w:rPr>
          <w:color w:val="231F20"/>
          <w:spacing w:val="-10"/>
          <w:sz w:val="20"/>
          <w:vertAlign w:val="baseline"/>
        </w:rPr>
        <w:t> </w:t>
      </w:r>
      <w:r>
        <w:rPr>
          <w:color w:val="231F20"/>
          <w:spacing w:val="-2"/>
          <w:sz w:val="20"/>
          <w:vertAlign w:val="baseline"/>
        </w:rPr>
        <w:t>compagnie</w:t>
      </w:r>
      <w:r>
        <w:rPr>
          <w:color w:val="231F20"/>
          <w:spacing w:val="-11"/>
          <w:sz w:val="20"/>
          <w:vertAlign w:val="baseline"/>
        </w:rPr>
        <w:t> </w:t>
      </w:r>
      <w:r>
        <w:rPr>
          <w:color w:val="231F20"/>
          <w:spacing w:val="-2"/>
          <w:sz w:val="20"/>
          <w:vertAlign w:val="baseline"/>
        </w:rPr>
        <w:t>du</w:t>
      </w:r>
      <w:r>
        <w:rPr>
          <w:color w:val="231F20"/>
          <w:spacing w:val="-10"/>
          <w:sz w:val="20"/>
          <w:vertAlign w:val="baseline"/>
        </w:rPr>
        <w:t> </w:t>
      </w:r>
      <w:r>
        <w:rPr>
          <w:color w:val="231F20"/>
          <w:spacing w:val="-2"/>
          <w:sz w:val="20"/>
          <w:vertAlign w:val="baseline"/>
        </w:rPr>
        <w:t>directeur</w:t>
      </w:r>
      <w:r>
        <w:rPr>
          <w:color w:val="231F20"/>
          <w:spacing w:val="-11"/>
          <w:sz w:val="20"/>
          <w:vertAlign w:val="baseline"/>
        </w:rPr>
        <w:t> </w:t>
      </w:r>
      <w:r>
        <w:rPr>
          <w:color w:val="231F20"/>
          <w:spacing w:val="-2"/>
          <w:sz w:val="20"/>
          <w:vertAlign w:val="baseline"/>
        </w:rPr>
        <w:t>général</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sucre</w:t>
      </w:r>
      <w:r>
        <w:rPr>
          <w:color w:val="231F20"/>
          <w:spacing w:val="-11"/>
          <w:sz w:val="20"/>
          <w:vertAlign w:val="baseline"/>
        </w:rPr>
        <w:t> </w:t>
      </w:r>
      <w:r>
        <w:rPr>
          <w:color w:val="231F20"/>
          <w:spacing w:val="-2"/>
          <w:sz w:val="20"/>
          <w:vertAlign w:val="baseline"/>
        </w:rPr>
        <w:t>ivoire</w:t>
      </w:r>
      <w:r>
        <w:rPr>
          <w:color w:val="231F20"/>
          <w:spacing w:val="-10"/>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un</w:t>
      </w:r>
      <w:r>
        <w:rPr>
          <w:color w:val="231F20"/>
          <w:spacing w:val="-10"/>
          <w:sz w:val="20"/>
          <w:vertAlign w:val="baseline"/>
        </w:rPr>
        <w:t> </w:t>
      </w:r>
      <w:r>
        <w:rPr>
          <w:color w:val="231F20"/>
          <w:spacing w:val="-2"/>
          <w:sz w:val="20"/>
          <w:vertAlign w:val="baseline"/>
        </w:rPr>
        <w:t>Belge </w:t>
      </w:r>
      <w:r>
        <w:rPr>
          <w:color w:val="231F20"/>
          <w:sz w:val="20"/>
          <w:vertAlign w:val="baseline"/>
        </w:rPr>
        <w:t>et du directeur général de l’office nationale d’identification,</w:t>
      </w:r>
      <w:r>
        <w:rPr>
          <w:color w:val="231F20"/>
          <w:spacing w:val="-1"/>
          <w:sz w:val="20"/>
          <w:vertAlign w:val="baseline"/>
        </w:rPr>
        <w:t> </w:t>
      </w:r>
      <w:r>
        <w:rPr>
          <w:color w:val="231F20"/>
          <w:sz w:val="20"/>
          <w:vertAlign w:val="baseline"/>
        </w:rPr>
        <w:t>nous y avons été bloqué pendant une dizaine de jours. Grâce à l’appui du Belge, nous avons profité de l’évacuation</w:t>
      </w:r>
      <w:r>
        <w:rPr>
          <w:color w:val="231F20"/>
          <w:spacing w:val="-11"/>
          <w:sz w:val="20"/>
          <w:vertAlign w:val="baseline"/>
        </w:rPr>
        <w:t> </w:t>
      </w:r>
      <w:r>
        <w:rPr>
          <w:color w:val="231F20"/>
          <w:sz w:val="20"/>
          <w:vertAlign w:val="baseline"/>
        </w:rPr>
        <w:t>:</w:t>
      </w:r>
      <w:r>
        <w:rPr>
          <w:color w:val="231F20"/>
          <w:spacing w:val="-10"/>
          <w:sz w:val="20"/>
          <w:vertAlign w:val="baseline"/>
        </w:rPr>
        <w:t> </w:t>
      </w:r>
      <w:r>
        <w:rPr>
          <w:color w:val="231F20"/>
          <w:sz w:val="20"/>
          <w:vertAlign w:val="baseline"/>
        </w:rPr>
        <w:t>les</w:t>
      </w:r>
      <w:r>
        <w:rPr>
          <w:color w:val="231F20"/>
          <w:spacing w:val="-13"/>
          <w:sz w:val="20"/>
          <w:vertAlign w:val="baseline"/>
        </w:rPr>
        <w:t> </w:t>
      </w:r>
      <w:r>
        <w:rPr>
          <w:color w:val="231F20"/>
          <w:sz w:val="20"/>
          <w:vertAlign w:val="baseline"/>
        </w:rPr>
        <w:t>rebelles</w:t>
      </w:r>
      <w:r>
        <w:rPr>
          <w:color w:val="231F20"/>
          <w:spacing w:val="-9"/>
          <w:sz w:val="20"/>
          <w:vertAlign w:val="baseline"/>
        </w:rPr>
        <w:t> </w:t>
      </w:r>
      <w:r>
        <w:rPr>
          <w:color w:val="231F20"/>
          <w:sz w:val="20"/>
          <w:vertAlign w:val="baseline"/>
        </w:rPr>
        <w:t>interdisaient</w:t>
      </w:r>
      <w:r>
        <w:rPr>
          <w:color w:val="231F20"/>
          <w:spacing w:val="-12"/>
          <w:sz w:val="20"/>
          <w:vertAlign w:val="baseline"/>
        </w:rPr>
        <w:t> </w:t>
      </w:r>
      <w:r>
        <w:rPr>
          <w:color w:val="231F20"/>
          <w:sz w:val="20"/>
          <w:vertAlign w:val="baseline"/>
        </w:rPr>
        <w:t>aux</w:t>
      </w:r>
      <w:r>
        <w:rPr>
          <w:color w:val="231F20"/>
          <w:spacing w:val="-11"/>
          <w:sz w:val="20"/>
          <w:vertAlign w:val="baseline"/>
        </w:rPr>
        <w:t> </w:t>
      </w:r>
      <w:r>
        <w:rPr>
          <w:color w:val="231F20"/>
          <w:sz w:val="20"/>
          <w:vertAlign w:val="baseline"/>
        </w:rPr>
        <w:t>ivoiriens</w:t>
      </w:r>
      <w:r>
        <w:rPr>
          <w:color w:val="231F20"/>
          <w:spacing w:val="-12"/>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quitter</w:t>
      </w:r>
      <w:r>
        <w:rPr>
          <w:color w:val="231F20"/>
          <w:spacing w:val="-10"/>
          <w:sz w:val="20"/>
          <w:vertAlign w:val="baseline"/>
        </w:rPr>
        <w:t> </w:t>
      </w:r>
      <w:r>
        <w:rPr>
          <w:color w:val="231F20"/>
          <w:sz w:val="20"/>
          <w:vertAlign w:val="baseline"/>
        </w:rPr>
        <w:t>la</w:t>
      </w:r>
      <w:r>
        <w:rPr>
          <w:color w:val="231F20"/>
          <w:spacing w:val="-11"/>
          <w:sz w:val="20"/>
          <w:vertAlign w:val="baseline"/>
        </w:rPr>
        <w:t> </w:t>
      </w:r>
      <w:r>
        <w:rPr>
          <w:color w:val="231F20"/>
          <w:sz w:val="20"/>
          <w:vertAlign w:val="baseline"/>
        </w:rPr>
        <w:t>ville.</w:t>
      </w:r>
    </w:p>
    <w:p>
      <w:pPr>
        <w:spacing w:line="229" w:lineRule="exact" w:before="0"/>
        <w:ind w:left="111" w:right="0" w:firstLine="0"/>
        <w:jc w:val="both"/>
        <w:rPr>
          <w:sz w:val="20"/>
        </w:rPr>
      </w:pPr>
      <w:r>
        <w:rPr>
          <w:color w:val="76787A"/>
          <w:spacing w:val="-2"/>
          <w:sz w:val="20"/>
          <w:vertAlign w:val="superscript"/>
        </w:rPr>
        <w:t>175</w:t>
      </w:r>
      <w:r>
        <w:rPr>
          <w:color w:val="76787A"/>
          <w:spacing w:val="-19"/>
          <w:sz w:val="20"/>
          <w:vertAlign w:val="baseline"/>
        </w:rPr>
        <w:t> </w:t>
      </w:r>
      <w:r>
        <w:rPr>
          <w:color w:val="231F20"/>
          <w:spacing w:val="-2"/>
          <w:sz w:val="20"/>
          <w:vertAlign w:val="baseline"/>
        </w:rPr>
        <w:t>Le</w:t>
      </w:r>
      <w:r>
        <w:rPr>
          <w:color w:val="231F20"/>
          <w:spacing w:val="-11"/>
          <w:sz w:val="20"/>
          <w:vertAlign w:val="baseline"/>
        </w:rPr>
        <w:t> </w:t>
      </w:r>
      <w:r>
        <w:rPr>
          <w:color w:val="231F20"/>
          <w:spacing w:val="-2"/>
          <w:sz w:val="20"/>
          <w:vertAlign w:val="baseline"/>
        </w:rPr>
        <w:t>cheval</w:t>
      </w:r>
      <w:r>
        <w:rPr>
          <w:color w:val="231F20"/>
          <w:spacing w:val="-10"/>
          <w:sz w:val="20"/>
          <w:vertAlign w:val="baseline"/>
        </w:rPr>
        <w:t> </w:t>
      </w:r>
      <w:r>
        <w:rPr>
          <w:color w:val="231F20"/>
          <w:spacing w:val="-2"/>
          <w:sz w:val="20"/>
          <w:vertAlign w:val="baseline"/>
        </w:rPr>
        <w:t>du</w:t>
      </w:r>
      <w:r>
        <w:rPr>
          <w:color w:val="231F20"/>
          <w:spacing w:val="-10"/>
          <w:sz w:val="20"/>
          <w:vertAlign w:val="baseline"/>
        </w:rPr>
        <w:t> </w:t>
      </w:r>
      <w:r>
        <w:rPr>
          <w:color w:val="231F20"/>
          <w:spacing w:val="-2"/>
          <w:sz w:val="20"/>
          <w:vertAlign w:val="baseline"/>
        </w:rPr>
        <w:t>général</w:t>
      </w:r>
      <w:r>
        <w:rPr>
          <w:color w:val="231F20"/>
          <w:spacing w:val="-10"/>
          <w:sz w:val="20"/>
          <w:vertAlign w:val="baseline"/>
        </w:rPr>
        <w:t> </w:t>
      </w:r>
      <w:r>
        <w:rPr>
          <w:color w:val="231F20"/>
          <w:spacing w:val="-4"/>
          <w:sz w:val="20"/>
          <w:vertAlign w:val="baseline"/>
        </w:rPr>
        <w:t>Guei.</w:t>
      </w:r>
    </w:p>
    <w:p>
      <w:pPr>
        <w:spacing w:before="1"/>
        <w:ind w:left="111" w:right="0" w:firstLine="0"/>
        <w:jc w:val="both"/>
        <w:rPr>
          <w:sz w:val="20"/>
        </w:rPr>
      </w:pPr>
      <w:r>
        <w:rPr>
          <w:color w:val="76787A"/>
          <w:sz w:val="20"/>
          <w:vertAlign w:val="superscript"/>
        </w:rPr>
        <w:t>176</w:t>
      </w:r>
      <w:r>
        <w:rPr>
          <w:color w:val="76787A"/>
          <w:spacing w:val="-19"/>
          <w:sz w:val="20"/>
          <w:vertAlign w:val="baseline"/>
        </w:rPr>
        <w:t> </w:t>
      </w:r>
      <w:r>
        <w:rPr>
          <w:color w:val="231F20"/>
          <w:sz w:val="20"/>
          <w:vertAlign w:val="baseline"/>
        </w:rPr>
        <w:t>composé</w:t>
      </w:r>
      <w:r>
        <w:rPr>
          <w:color w:val="231F20"/>
          <w:spacing w:val="-13"/>
          <w:sz w:val="20"/>
          <w:vertAlign w:val="baseline"/>
        </w:rPr>
        <w:t> </w:t>
      </w:r>
      <w:r>
        <w:rPr>
          <w:color w:val="231F20"/>
          <w:sz w:val="20"/>
          <w:vertAlign w:val="baseline"/>
        </w:rPr>
        <w:t>du</w:t>
      </w:r>
      <w:r>
        <w:rPr>
          <w:color w:val="231F20"/>
          <w:spacing w:val="-12"/>
          <w:sz w:val="20"/>
          <w:vertAlign w:val="baseline"/>
        </w:rPr>
        <w:t> </w:t>
      </w:r>
      <w:r>
        <w:rPr>
          <w:color w:val="231F20"/>
          <w:sz w:val="20"/>
          <w:vertAlign w:val="baseline"/>
        </w:rPr>
        <w:t>Ghana,</w:t>
      </w:r>
      <w:r>
        <w:rPr>
          <w:color w:val="231F20"/>
          <w:spacing w:val="-13"/>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la</w:t>
      </w:r>
      <w:r>
        <w:rPr>
          <w:color w:val="231F20"/>
          <w:spacing w:val="-13"/>
          <w:sz w:val="20"/>
          <w:vertAlign w:val="baseline"/>
        </w:rPr>
        <w:t> </w:t>
      </w:r>
      <w:r>
        <w:rPr>
          <w:color w:val="231F20"/>
          <w:sz w:val="20"/>
          <w:vertAlign w:val="baseline"/>
        </w:rPr>
        <w:t>Guinée-Bissau,</w:t>
      </w:r>
      <w:r>
        <w:rPr>
          <w:color w:val="231F20"/>
          <w:spacing w:val="-11"/>
          <w:sz w:val="20"/>
          <w:vertAlign w:val="baseline"/>
        </w:rPr>
        <w:t> </w:t>
      </w:r>
      <w:r>
        <w:rPr>
          <w:color w:val="231F20"/>
          <w:sz w:val="20"/>
          <w:vertAlign w:val="baseline"/>
        </w:rPr>
        <w:t>du</w:t>
      </w:r>
      <w:r>
        <w:rPr>
          <w:color w:val="231F20"/>
          <w:spacing w:val="-9"/>
          <w:sz w:val="20"/>
          <w:vertAlign w:val="baseline"/>
        </w:rPr>
        <w:t> </w:t>
      </w:r>
      <w:r>
        <w:rPr>
          <w:color w:val="231F20"/>
          <w:sz w:val="20"/>
          <w:vertAlign w:val="baseline"/>
        </w:rPr>
        <w:t>Mali,</w:t>
      </w:r>
      <w:r>
        <w:rPr>
          <w:color w:val="231F20"/>
          <w:spacing w:val="-13"/>
          <w:sz w:val="20"/>
          <w:vertAlign w:val="baseline"/>
        </w:rPr>
        <w:t> </w:t>
      </w:r>
      <w:r>
        <w:rPr>
          <w:color w:val="231F20"/>
          <w:sz w:val="20"/>
          <w:vertAlign w:val="baseline"/>
        </w:rPr>
        <w:t>du</w:t>
      </w:r>
      <w:r>
        <w:rPr>
          <w:color w:val="231F20"/>
          <w:spacing w:val="-11"/>
          <w:sz w:val="20"/>
          <w:vertAlign w:val="baseline"/>
        </w:rPr>
        <w:t> </w:t>
      </w:r>
      <w:r>
        <w:rPr>
          <w:color w:val="231F20"/>
          <w:sz w:val="20"/>
          <w:vertAlign w:val="baseline"/>
        </w:rPr>
        <w:t>Niger,</w:t>
      </w:r>
      <w:r>
        <w:rPr>
          <w:color w:val="231F20"/>
          <w:spacing w:val="-11"/>
          <w:sz w:val="20"/>
          <w:vertAlign w:val="baseline"/>
        </w:rPr>
        <w:t> </w:t>
      </w:r>
      <w:r>
        <w:rPr>
          <w:color w:val="231F20"/>
          <w:sz w:val="20"/>
          <w:vertAlign w:val="baseline"/>
        </w:rPr>
        <w:t>du</w:t>
      </w:r>
      <w:r>
        <w:rPr>
          <w:color w:val="231F20"/>
          <w:spacing w:val="-11"/>
          <w:sz w:val="20"/>
          <w:vertAlign w:val="baseline"/>
        </w:rPr>
        <w:t> </w:t>
      </w:r>
      <w:r>
        <w:rPr>
          <w:color w:val="231F20"/>
          <w:sz w:val="20"/>
          <w:vertAlign w:val="baseline"/>
        </w:rPr>
        <w:t>Nigéria</w:t>
      </w:r>
      <w:r>
        <w:rPr>
          <w:color w:val="231F20"/>
          <w:spacing w:val="-11"/>
          <w:sz w:val="20"/>
          <w:vertAlign w:val="baseline"/>
        </w:rPr>
        <w:t> </w:t>
      </w:r>
      <w:r>
        <w:rPr>
          <w:color w:val="231F20"/>
          <w:sz w:val="20"/>
          <w:vertAlign w:val="baseline"/>
        </w:rPr>
        <w:t>et</w:t>
      </w:r>
      <w:r>
        <w:rPr>
          <w:color w:val="231F20"/>
          <w:spacing w:val="-12"/>
          <w:sz w:val="20"/>
          <w:vertAlign w:val="baseline"/>
        </w:rPr>
        <w:t> </w:t>
      </w:r>
      <w:r>
        <w:rPr>
          <w:color w:val="231F20"/>
          <w:sz w:val="20"/>
          <w:vertAlign w:val="baseline"/>
        </w:rPr>
        <w:t>du</w:t>
      </w:r>
      <w:r>
        <w:rPr>
          <w:color w:val="231F20"/>
          <w:spacing w:val="-11"/>
          <w:sz w:val="20"/>
          <w:vertAlign w:val="baseline"/>
        </w:rPr>
        <w:t> </w:t>
      </w:r>
      <w:r>
        <w:rPr>
          <w:color w:val="231F20"/>
          <w:spacing w:val="-2"/>
          <w:sz w:val="20"/>
          <w:vertAlign w:val="baseline"/>
        </w:rPr>
        <w:t>Togo,</w:t>
      </w:r>
    </w:p>
    <w:p>
      <w:pPr>
        <w:spacing w:before="0"/>
        <w:ind w:left="111" w:right="0" w:firstLine="0"/>
        <w:jc w:val="both"/>
        <w:rPr>
          <w:sz w:val="20"/>
        </w:rPr>
      </w:pPr>
      <w:r>
        <w:rPr>
          <w:color w:val="231F20"/>
          <w:spacing w:val="-4"/>
          <w:sz w:val="20"/>
        </w:rPr>
        <w:t>de</w:t>
      </w:r>
      <w:r>
        <w:rPr>
          <w:color w:val="231F20"/>
          <w:spacing w:val="-2"/>
          <w:sz w:val="20"/>
        </w:rPr>
        <w:t> </w:t>
      </w:r>
      <w:r>
        <w:rPr>
          <w:color w:val="231F20"/>
          <w:spacing w:val="-4"/>
          <w:sz w:val="20"/>
        </w:rPr>
        <w:t>l’Union</w:t>
      </w:r>
      <w:r>
        <w:rPr>
          <w:color w:val="231F20"/>
          <w:spacing w:val="-2"/>
          <w:sz w:val="20"/>
        </w:rPr>
        <w:t> </w:t>
      </w:r>
      <w:r>
        <w:rPr>
          <w:color w:val="231F20"/>
          <w:spacing w:val="-4"/>
          <w:sz w:val="20"/>
        </w:rPr>
        <w:t>Africaine.</w:t>
      </w:r>
    </w:p>
    <w:p>
      <w:pPr>
        <w:spacing w:after="0"/>
        <w:jc w:val="both"/>
        <w:rPr>
          <w:sz w:val="20"/>
        </w:rPr>
        <w:sectPr>
          <w:pgSz w:w="8790" w:h="13610"/>
          <w:pgMar w:header="0" w:footer="802" w:top="1060" w:bottom="1000" w:left="880" w:right="880"/>
        </w:sectPr>
      </w:pPr>
    </w:p>
    <w:p>
      <w:pPr>
        <w:pStyle w:val="BodyText"/>
        <w:spacing w:before="66"/>
        <w:ind w:right="107"/>
      </w:pPr>
      <w:r>
        <w:rPr>
          <w:color w:val="231F20"/>
        </w:rPr>
        <w:t>proposé, l’obtention d’un désengagement des insurgés des régions tombées</w:t>
      </w:r>
      <w:r>
        <w:rPr>
          <w:color w:val="231F20"/>
          <w:spacing w:val="-9"/>
        </w:rPr>
        <w:t> </w:t>
      </w:r>
      <w:r>
        <w:rPr>
          <w:color w:val="231F20"/>
        </w:rPr>
        <w:t>sous</w:t>
      </w:r>
      <w:r>
        <w:rPr>
          <w:color w:val="231F20"/>
          <w:spacing w:val="-9"/>
        </w:rPr>
        <w:t> </w:t>
      </w:r>
      <w:r>
        <w:rPr>
          <w:color w:val="231F20"/>
        </w:rPr>
        <w:t>leur</w:t>
      </w:r>
      <w:r>
        <w:rPr>
          <w:color w:val="231F20"/>
          <w:spacing w:val="-7"/>
        </w:rPr>
        <w:t> </w:t>
      </w:r>
      <w:r>
        <w:rPr>
          <w:color w:val="231F20"/>
        </w:rPr>
        <w:t>contrôle</w:t>
      </w:r>
      <w:r>
        <w:rPr>
          <w:color w:val="231F20"/>
          <w:spacing w:val="-7"/>
        </w:rPr>
        <w:t> </w:t>
      </w:r>
      <w:r>
        <w:rPr>
          <w:color w:val="231F20"/>
        </w:rPr>
        <w:t>et</w:t>
      </w:r>
      <w:r>
        <w:rPr>
          <w:color w:val="231F20"/>
          <w:spacing w:val="-7"/>
        </w:rPr>
        <w:t> </w:t>
      </w:r>
      <w:r>
        <w:rPr>
          <w:color w:val="231F20"/>
        </w:rPr>
        <w:t>le</w:t>
      </w:r>
      <w:r>
        <w:rPr>
          <w:color w:val="231F20"/>
          <w:spacing w:val="-7"/>
        </w:rPr>
        <w:t> </w:t>
      </w:r>
      <w:r>
        <w:rPr>
          <w:color w:val="231F20"/>
        </w:rPr>
        <w:t>désarmement</w:t>
      </w:r>
      <w:r>
        <w:rPr>
          <w:color w:val="231F20"/>
          <w:spacing w:val="-7"/>
        </w:rPr>
        <w:t> </w:t>
      </w:r>
      <w:r>
        <w:rPr>
          <w:color w:val="231F20"/>
        </w:rPr>
        <w:t>des</w:t>
      </w:r>
      <w:r>
        <w:rPr>
          <w:color w:val="231F20"/>
          <w:spacing w:val="-7"/>
        </w:rPr>
        <w:t> </w:t>
      </w:r>
      <w:r>
        <w:rPr>
          <w:color w:val="231F20"/>
        </w:rPr>
        <w:t>groupes</w:t>
      </w:r>
      <w:r>
        <w:rPr>
          <w:color w:val="231F20"/>
          <w:spacing w:val="-7"/>
        </w:rPr>
        <w:t> </w:t>
      </w:r>
      <w:r>
        <w:rPr>
          <w:color w:val="231F20"/>
        </w:rPr>
        <w:t>rebelles.</w:t>
      </w:r>
    </w:p>
    <w:p>
      <w:pPr>
        <w:pStyle w:val="BodyText"/>
        <w:spacing w:before="120"/>
        <w:ind w:right="103" w:firstLine="283"/>
      </w:pPr>
      <w:r>
        <w:rPr>
          <w:color w:val="231F20"/>
        </w:rPr>
        <w:t>Le 3 octobre, des membres du Groupe, accompagnés du Secrétaire exécutif de la CEDEAO, Mohamed ibn Chambas, et du Président intérimaire de la Commission de l’Union africaine, Essy Amara, </w:t>
      </w:r>
      <w:r>
        <w:rPr>
          <w:color w:val="231F20"/>
          <w:spacing w:val="-2"/>
        </w:rPr>
        <w:t>rencontrent</w:t>
      </w:r>
      <w:r>
        <w:rPr>
          <w:color w:val="231F20"/>
          <w:spacing w:val="-12"/>
        </w:rPr>
        <w:t> </w:t>
      </w:r>
      <w:r>
        <w:rPr>
          <w:color w:val="231F20"/>
          <w:spacing w:val="-2"/>
        </w:rPr>
        <w:t>les</w:t>
      </w:r>
      <w:r>
        <w:rPr>
          <w:color w:val="231F20"/>
          <w:spacing w:val="-9"/>
        </w:rPr>
        <w:t> </w:t>
      </w:r>
      <w:r>
        <w:rPr>
          <w:color w:val="231F20"/>
          <w:spacing w:val="-2"/>
        </w:rPr>
        <w:t>rebelles</w:t>
      </w:r>
      <w:r>
        <w:rPr>
          <w:color w:val="231F20"/>
          <w:spacing w:val="-9"/>
        </w:rPr>
        <w:t> </w:t>
      </w:r>
      <w:r>
        <w:rPr>
          <w:color w:val="231F20"/>
          <w:spacing w:val="-2"/>
        </w:rPr>
        <w:t>à</w:t>
      </w:r>
      <w:r>
        <w:rPr>
          <w:color w:val="231F20"/>
          <w:spacing w:val="-12"/>
        </w:rPr>
        <w:t> </w:t>
      </w:r>
      <w:r>
        <w:rPr>
          <w:color w:val="231F20"/>
          <w:spacing w:val="-2"/>
        </w:rPr>
        <w:t>Bouaké.</w:t>
      </w:r>
      <w:r>
        <w:rPr>
          <w:color w:val="231F20"/>
          <w:spacing w:val="-11"/>
        </w:rPr>
        <w:t> </w:t>
      </w:r>
      <w:r>
        <w:rPr>
          <w:color w:val="231F20"/>
          <w:spacing w:val="-2"/>
        </w:rPr>
        <w:t>Pour</w:t>
      </w:r>
      <w:r>
        <w:rPr>
          <w:color w:val="231F20"/>
          <w:spacing w:val="-11"/>
        </w:rPr>
        <w:t> </w:t>
      </w:r>
      <w:r>
        <w:rPr>
          <w:color w:val="231F20"/>
          <w:spacing w:val="-2"/>
        </w:rPr>
        <w:t>le</w:t>
      </w:r>
      <w:r>
        <w:rPr>
          <w:color w:val="231F20"/>
          <w:spacing w:val="-9"/>
        </w:rPr>
        <w:t> </w:t>
      </w:r>
      <w:r>
        <w:rPr>
          <w:color w:val="231F20"/>
          <w:spacing w:val="-2"/>
        </w:rPr>
        <w:t>Gouvernement</w:t>
      </w:r>
      <w:r>
        <w:rPr>
          <w:color w:val="231F20"/>
          <w:spacing w:val="-9"/>
        </w:rPr>
        <w:t> </w:t>
      </w:r>
      <w:r>
        <w:rPr>
          <w:color w:val="231F20"/>
          <w:spacing w:val="-2"/>
        </w:rPr>
        <w:t>ivoirien,</w:t>
      </w:r>
      <w:r>
        <w:rPr>
          <w:color w:val="231F20"/>
          <w:spacing w:val="-9"/>
        </w:rPr>
        <w:t> </w:t>
      </w:r>
      <w:r>
        <w:rPr>
          <w:color w:val="231F20"/>
          <w:spacing w:val="-2"/>
        </w:rPr>
        <w:t>signer </w:t>
      </w:r>
      <w:r>
        <w:rPr>
          <w:color w:val="231F20"/>
        </w:rPr>
        <w:t>un accord de cessez-le-feu avec les mutins, reviendrait à légitimer le </w:t>
      </w:r>
      <w:r>
        <w:rPr>
          <w:color w:val="231F20"/>
          <w:spacing w:val="-2"/>
        </w:rPr>
        <w:t>mouvement</w:t>
      </w:r>
      <w:r>
        <w:rPr>
          <w:color w:val="231F20"/>
          <w:spacing w:val="-11"/>
        </w:rPr>
        <w:t> </w:t>
      </w:r>
      <w:r>
        <w:rPr>
          <w:color w:val="231F20"/>
          <w:spacing w:val="-2"/>
        </w:rPr>
        <w:t>rebelle</w:t>
      </w:r>
      <w:r>
        <w:rPr>
          <w:color w:val="231F20"/>
          <w:spacing w:val="-11"/>
        </w:rPr>
        <w:t> </w:t>
      </w:r>
      <w:r>
        <w:rPr>
          <w:color w:val="231F20"/>
          <w:spacing w:val="-2"/>
        </w:rPr>
        <w:t>et</w:t>
      </w:r>
      <w:r>
        <w:rPr>
          <w:color w:val="231F20"/>
          <w:spacing w:val="-11"/>
        </w:rPr>
        <w:t> </w:t>
      </w:r>
      <w:r>
        <w:rPr>
          <w:color w:val="231F20"/>
          <w:spacing w:val="-2"/>
        </w:rPr>
        <w:t>la</w:t>
      </w:r>
      <w:r>
        <w:rPr>
          <w:color w:val="231F20"/>
          <w:spacing w:val="-13"/>
        </w:rPr>
        <w:t> </w:t>
      </w:r>
      <w:r>
        <w:rPr>
          <w:color w:val="231F20"/>
          <w:spacing w:val="-2"/>
        </w:rPr>
        <w:t>partition</w:t>
      </w:r>
      <w:r>
        <w:rPr>
          <w:color w:val="231F20"/>
          <w:spacing w:val="-13"/>
        </w:rPr>
        <w:t> </w:t>
      </w:r>
      <w:r>
        <w:rPr>
          <w:color w:val="231F20"/>
          <w:spacing w:val="-2"/>
        </w:rPr>
        <w:t>du</w:t>
      </w:r>
      <w:r>
        <w:rPr>
          <w:color w:val="231F20"/>
          <w:spacing w:val="-12"/>
        </w:rPr>
        <w:t> </w:t>
      </w:r>
      <w:r>
        <w:rPr>
          <w:color w:val="231F20"/>
          <w:spacing w:val="-2"/>
        </w:rPr>
        <w:t>pays.</w:t>
      </w:r>
      <w:r>
        <w:rPr>
          <w:color w:val="231F20"/>
          <w:spacing w:val="-12"/>
        </w:rPr>
        <w:t> </w:t>
      </w:r>
      <w:r>
        <w:rPr>
          <w:color w:val="231F20"/>
          <w:spacing w:val="-2"/>
        </w:rPr>
        <w:t>Il</w:t>
      </w:r>
      <w:r>
        <w:rPr>
          <w:color w:val="231F20"/>
          <w:spacing w:val="-11"/>
        </w:rPr>
        <w:t> </w:t>
      </w:r>
      <w:r>
        <w:rPr>
          <w:color w:val="231F20"/>
          <w:spacing w:val="-2"/>
        </w:rPr>
        <w:t>lance</w:t>
      </w:r>
      <w:r>
        <w:rPr>
          <w:color w:val="231F20"/>
          <w:spacing w:val="-11"/>
        </w:rPr>
        <w:t> </w:t>
      </w:r>
      <w:r>
        <w:rPr>
          <w:color w:val="231F20"/>
          <w:spacing w:val="-2"/>
        </w:rPr>
        <w:t>une</w:t>
      </w:r>
      <w:r>
        <w:rPr>
          <w:color w:val="231F20"/>
          <w:spacing w:val="-11"/>
        </w:rPr>
        <w:t> </w:t>
      </w:r>
      <w:r>
        <w:rPr>
          <w:color w:val="231F20"/>
          <w:spacing w:val="-2"/>
        </w:rPr>
        <w:t>contre-offensive</w:t>
      </w:r>
      <w:r>
        <w:rPr>
          <w:color w:val="231F20"/>
          <w:spacing w:val="-12"/>
        </w:rPr>
        <w:t> </w:t>
      </w:r>
      <w:r>
        <w:rPr>
          <w:color w:val="231F20"/>
          <w:spacing w:val="-2"/>
        </w:rPr>
        <w:t>à </w:t>
      </w:r>
      <w:r>
        <w:rPr>
          <w:color w:val="231F20"/>
        </w:rPr>
        <w:t>Daloa,</w:t>
      </w:r>
      <w:r>
        <w:rPr>
          <w:color w:val="231F20"/>
          <w:spacing w:val="-13"/>
        </w:rPr>
        <w:t> </w:t>
      </w:r>
      <w:r>
        <w:rPr>
          <w:color w:val="231F20"/>
        </w:rPr>
        <w:t>une</w:t>
      </w:r>
      <w:r>
        <w:rPr>
          <w:color w:val="231F20"/>
          <w:spacing w:val="-13"/>
        </w:rPr>
        <w:t> </w:t>
      </w:r>
      <w:r>
        <w:rPr>
          <w:color w:val="231F20"/>
        </w:rPr>
        <w:t>des</w:t>
      </w:r>
      <w:r>
        <w:rPr>
          <w:color w:val="231F20"/>
          <w:spacing w:val="-13"/>
        </w:rPr>
        <w:t> </w:t>
      </w:r>
      <w:r>
        <w:rPr>
          <w:color w:val="231F20"/>
        </w:rPr>
        <w:t>capitales</w:t>
      </w:r>
      <w:r>
        <w:rPr>
          <w:color w:val="231F20"/>
          <w:spacing w:val="-15"/>
        </w:rPr>
        <w:t> </w:t>
      </w:r>
      <w:r>
        <w:rPr>
          <w:color w:val="231F20"/>
        </w:rPr>
        <w:t>du</w:t>
      </w:r>
      <w:r>
        <w:rPr>
          <w:color w:val="231F20"/>
          <w:spacing w:val="-13"/>
        </w:rPr>
        <w:t> </w:t>
      </w:r>
      <w:r>
        <w:rPr>
          <w:color w:val="231F20"/>
        </w:rPr>
        <w:t>cacao,</w:t>
      </w:r>
      <w:r>
        <w:rPr>
          <w:color w:val="231F20"/>
          <w:spacing w:val="-11"/>
        </w:rPr>
        <w:t> </w:t>
      </w:r>
      <w:r>
        <w:rPr>
          <w:color w:val="231F20"/>
        </w:rPr>
        <w:t>dans</w:t>
      </w:r>
      <w:r>
        <w:rPr>
          <w:color w:val="231F20"/>
          <w:spacing w:val="-15"/>
        </w:rPr>
        <w:t> </w:t>
      </w:r>
      <w:r>
        <w:rPr>
          <w:color w:val="231F20"/>
        </w:rPr>
        <w:t>le</w:t>
      </w:r>
      <w:r>
        <w:rPr>
          <w:color w:val="231F20"/>
          <w:spacing w:val="-13"/>
        </w:rPr>
        <w:t> </w:t>
      </w:r>
      <w:r>
        <w:rPr>
          <w:color w:val="231F20"/>
        </w:rPr>
        <w:t>centre-ouest,</w:t>
      </w:r>
      <w:r>
        <w:rPr>
          <w:color w:val="231F20"/>
          <w:spacing w:val="-14"/>
        </w:rPr>
        <w:t> </w:t>
      </w:r>
      <w:r>
        <w:rPr>
          <w:color w:val="231F20"/>
        </w:rPr>
        <w:t>qui</w:t>
      </w:r>
      <w:r>
        <w:rPr>
          <w:color w:val="231F20"/>
          <w:spacing w:val="-13"/>
        </w:rPr>
        <w:t> </w:t>
      </w:r>
      <w:r>
        <w:rPr>
          <w:color w:val="231F20"/>
        </w:rPr>
        <w:t>était</w:t>
      </w:r>
      <w:r>
        <w:rPr>
          <w:color w:val="231F20"/>
          <w:spacing w:val="-14"/>
        </w:rPr>
        <w:t> </w:t>
      </w:r>
      <w:r>
        <w:rPr>
          <w:color w:val="231F20"/>
        </w:rPr>
        <w:t>tombée aux mains des rebelles deux jours auparavant.</w:t>
      </w:r>
    </w:p>
    <w:p>
      <w:pPr>
        <w:pStyle w:val="BodyText"/>
        <w:spacing w:before="121"/>
        <w:ind w:right="103" w:firstLine="283"/>
      </w:pPr>
      <w:r>
        <w:rPr>
          <w:color w:val="231F20"/>
          <w:spacing w:val="-4"/>
        </w:rPr>
        <w:t>Les</w:t>
      </w:r>
      <w:r>
        <w:rPr>
          <w:color w:val="231F20"/>
          <w:spacing w:val="-8"/>
        </w:rPr>
        <w:t> </w:t>
      </w:r>
      <w:r>
        <w:rPr>
          <w:color w:val="231F20"/>
          <w:spacing w:val="-4"/>
        </w:rPr>
        <w:t>négociations</w:t>
      </w:r>
      <w:r>
        <w:rPr>
          <w:color w:val="231F20"/>
          <w:spacing w:val="-8"/>
        </w:rPr>
        <w:t> </w:t>
      </w:r>
      <w:r>
        <w:rPr>
          <w:color w:val="231F20"/>
          <w:spacing w:val="-4"/>
        </w:rPr>
        <w:t>en</w:t>
      </w:r>
      <w:r>
        <w:rPr>
          <w:color w:val="231F20"/>
          <w:spacing w:val="-11"/>
        </w:rPr>
        <w:t> </w:t>
      </w:r>
      <w:r>
        <w:rPr>
          <w:color w:val="231F20"/>
          <w:spacing w:val="-4"/>
        </w:rPr>
        <w:t>cours</w:t>
      </w:r>
      <w:r>
        <w:rPr>
          <w:color w:val="231F20"/>
          <w:spacing w:val="-11"/>
        </w:rPr>
        <w:t> </w:t>
      </w:r>
      <w:r>
        <w:rPr>
          <w:color w:val="231F20"/>
          <w:spacing w:val="-4"/>
        </w:rPr>
        <w:t>sont</w:t>
      </w:r>
      <w:r>
        <w:rPr>
          <w:color w:val="231F20"/>
          <w:spacing w:val="-11"/>
        </w:rPr>
        <w:t> </w:t>
      </w:r>
      <w:r>
        <w:rPr>
          <w:color w:val="231F20"/>
          <w:spacing w:val="-4"/>
        </w:rPr>
        <w:t>dans</w:t>
      </w:r>
      <w:r>
        <w:rPr>
          <w:color w:val="231F20"/>
          <w:spacing w:val="-11"/>
        </w:rPr>
        <w:t> </w:t>
      </w:r>
      <w:r>
        <w:rPr>
          <w:color w:val="231F20"/>
          <w:spacing w:val="-4"/>
        </w:rPr>
        <w:t>l’impasse.</w:t>
      </w:r>
      <w:r>
        <w:rPr>
          <w:color w:val="231F20"/>
          <w:spacing w:val="-8"/>
        </w:rPr>
        <w:t> </w:t>
      </w:r>
      <w:r>
        <w:rPr>
          <w:color w:val="231F20"/>
          <w:spacing w:val="-4"/>
        </w:rPr>
        <w:t>Le</w:t>
      </w:r>
      <w:r>
        <w:rPr>
          <w:color w:val="231F20"/>
          <w:spacing w:val="-8"/>
        </w:rPr>
        <w:t> </w:t>
      </w:r>
      <w:r>
        <w:rPr>
          <w:color w:val="231F20"/>
          <w:spacing w:val="-4"/>
        </w:rPr>
        <w:t>6</w:t>
      </w:r>
      <w:r>
        <w:rPr>
          <w:color w:val="231F20"/>
          <w:spacing w:val="-11"/>
        </w:rPr>
        <w:t> </w:t>
      </w:r>
      <w:r>
        <w:rPr>
          <w:color w:val="231F20"/>
          <w:spacing w:val="-4"/>
        </w:rPr>
        <w:t>octobre,</w:t>
      </w:r>
      <w:r>
        <w:rPr>
          <w:color w:val="231F20"/>
          <w:spacing w:val="-11"/>
        </w:rPr>
        <w:t> </w:t>
      </w:r>
      <w:r>
        <w:rPr>
          <w:color w:val="231F20"/>
          <w:spacing w:val="-4"/>
        </w:rPr>
        <w:t>le</w:t>
      </w:r>
      <w:r>
        <w:rPr>
          <w:color w:val="231F20"/>
          <w:spacing w:val="-11"/>
        </w:rPr>
        <w:t> </w:t>
      </w:r>
      <w:r>
        <w:rPr>
          <w:color w:val="231F20"/>
          <w:spacing w:val="-4"/>
        </w:rPr>
        <w:t>Groupe </w:t>
      </w:r>
      <w:r>
        <w:rPr>
          <w:color w:val="231F20"/>
          <w:spacing w:val="-2"/>
        </w:rPr>
        <w:t>de</w:t>
      </w:r>
      <w:r>
        <w:rPr>
          <w:color w:val="231F20"/>
          <w:spacing w:val="-9"/>
        </w:rPr>
        <w:t> </w:t>
      </w:r>
      <w:r>
        <w:rPr>
          <w:color w:val="231F20"/>
          <w:spacing w:val="-2"/>
        </w:rPr>
        <w:t>contact</w:t>
      </w:r>
      <w:r>
        <w:rPr>
          <w:color w:val="231F20"/>
          <w:spacing w:val="-10"/>
        </w:rPr>
        <w:t> </w:t>
      </w:r>
      <w:r>
        <w:rPr>
          <w:color w:val="231F20"/>
          <w:spacing w:val="-2"/>
        </w:rPr>
        <w:t>de</w:t>
      </w:r>
      <w:r>
        <w:rPr>
          <w:color w:val="231F20"/>
          <w:spacing w:val="-11"/>
        </w:rPr>
        <w:t> </w:t>
      </w:r>
      <w:r>
        <w:rPr>
          <w:color w:val="231F20"/>
          <w:spacing w:val="-2"/>
        </w:rPr>
        <w:t>la</w:t>
      </w:r>
      <w:r>
        <w:rPr>
          <w:color w:val="231F20"/>
          <w:spacing w:val="-11"/>
        </w:rPr>
        <w:t> </w:t>
      </w:r>
      <w:r>
        <w:rPr>
          <w:color w:val="231F20"/>
          <w:spacing w:val="-2"/>
        </w:rPr>
        <w:t>CEDEAO</w:t>
      </w:r>
      <w:r>
        <w:rPr>
          <w:color w:val="231F20"/>
          <w:spacing w:val="-9"/>
        </w:rPr>
        <w:t> </w:t>
      </w:r>
      <w:r>
        <w:rPr>
          <w:color w:val="231F20"/>
          <w:spacing w:val="-2"/>
        </w:rPr>
        <w:t>quitte</w:t>
      </w:r>
      <w:r>
        <w:rPr>
          <w:color w:val="231F20"/>
          <w:spacing w:val="-12"/>
        </w:rPr>
        <w:t> </w:t>
      </w:r>
      <w:r>
        <w:rPr>
          <w:color w:val="231F20"/>
          <w:spacing w:val="-2"/>
        </w:rPr>
        <w:t>le</w:t>
      </w:r>
      <w:r>
        <w:rPr>
          <w:color w:val="231F20"/>
          <w:spacing w:val="-9"/>
        </w:rPr>
        <w:t> </w:t>
      </w:r>
      <w:r>
        <w:rPr>
          <w:color w:val="231F20"/>
          <w:spacing w:val="-2"/>
        </w:rPr>
        <w:t>pays</w:t>
      </w:r>
      <w:r>
        <w:rPr>
          <w:color w:val="231F20"/>
          <w:spacing w:val="-11"/>
        </w:rPr>
        <w:t> </w:t>
      </w:r>
      <w:r>
        <w:rPr>
          <w:color w:val="231F20"/>
          <w:spacing w:val="-2"/>
        </w:rPr>
        <w:t>sans</w:t>
      </w:r>
      <w:r>
        <w:rPr>
          <w:color w:val="231F20"/>
          <w:spacing w:val="-9"/>
        </w:rPr>
        <w:t> </w:t>
      </w:r>
      <w:r>
        <w:rPr>
          <w:color w:val="231F20"/>
          <w:spacing w:val="-2"/>
        </w:rPr>
        <w:t>avoir</w:t>
      </w:r>
      <w:r>
        <w:rPr>
          <w:color w:val="231F20"/>
          <w:spacing w:val="-9"/>
        </w:rPr>
        <w:t> </w:t>
      </w:r>
      <w:r>
        <w:rPr>
          <w:color w:val="231F20"/>
          <w:spacing w:val="-2"/>
        </w:rPr>
        <w:t>obtenu</w:t>
      </w:r>
      <w:r>
        <w:rPr>
          <w:color w:val="231F20"/>
          <w:spacing w:val="-9"/>
        </w:rPr>
        <w:t> </w:t>
      </w:r>
      <w:r>
        <w:rPr>
          <w:color w:val="231F20"/>
          <w:spacing w:val="-2"/>
        </w:rPr>
        <w:t>de</w:t>
      </w:r>
      <w:r>
        <w:rPr>
          <w:color w:val="231F20"/>
          <w:spacing w:val="-9"/>
        </w:rPr>
        <w:t> </w:t>
      </w:r>
      <w:r>
        <w:rPr>
          <w:color w:val="231F20"/>
          <w:spacing w:val="-2"/>
        </w:rPr>
        <w:t>résultat</w:t>
      </w:r>
      <w:r>
        <w:rPr>
          <w:color w:val="231F20"/>
          <w:spacing w:val="-9"/>
        </w:rPr>
        <w:t> </w:t>
      </w:r>
      <w:r>
        <w:rPr>
          <w:color w:val="231F20"/>
          <w:spacing w:val="-2"/>
        </w:rPr>
        <w:t>:</w:t>
      </w:r>
      <w:r>
        <w:rPr>
          <w:color w:val="231F20"/>
          <w:spacing w:val="-10"/>
        </w:rPr>
        <w:t> </w:t>
      </w:r>
      <w:r>
        <w:rPr>
          <w:color w:val="231F20"/>
          <w:spacing w:val="-2"/>
        </w:rPr>
        <w:t>le gouvernement</w:t>
      </w:r>
      <w:r>
        <w:rPr>
          <w:color w:val="231F20"/>
          <w:spacing w:val="-4"/>
        </w:rPr>
        <w:t> </w:t>
      </w:r>
      <w:r>
        <w:rPr>
          <w:color w:val="231F20"/>
          <w:spacing w:val="-2"/>
        </w:rPr>
        <w:t>ivoirien</w:t>
      </w:r>
      <w:r>
        <w:rPr>
          <w:color w:val="231F20"/>
          <w:spacing w:val="-4"/>
        </w:rPr>
        <w:t> </w:t>
      </w:r>
      <w:r>
        <w:rPr>
          <w:color w:val="231F20"/>
          <w:spacing w:val="-2"/>
        </w:rPr>
        <w:t>insistait</w:t>
      </w:r>
      <w:r>
        <w:rPr>
          <w:color w:val="231F20"/>
          <w:spacing w:val="-6"/>
        </w:rPr>
        <w:t> </w:t>
      </w:r>
      <w:r>
        <w:rPr>
          <w:color w:val="231F20"/>
          <w:spacing w:val="-2"/>
        </w:rPr>
        <w:t>pour</w:t>
      </w:r>
      <w:r>
        <w:rPr>
          <w:color w:val="231F20"/>
          <w:spacing w:val="-4"/>
        </w:rPr>
        <w:t> </w:t>
      </w:r>
      <w:r>
        <w:rPr>
          <w:color w:val="231F20"/>
          <w:spacing w:val="-2"/>
        </w:rPr>
        <w:t>que</w:t>
      </w:r>
      <w:r>
        <w:rPr>
          <w:color w:val="231F20"/>
          <w:spacing w:val="-4"/>
        </w:rPr>
        <w:t> </w:t>
      </w:r>
      <w:r>
        <w:rPr>
          <w:color w:val="231F20"/>
          <w:spacing w:val="-2"/>
        </w:rPr>
        <w:t>les</w:t>
      </w:r>
      <w:r>
        <w:rPr>
          <w:color w:val="231F20"/>
          <w:spacing w:val="-4"/>
        </w:rPr>
        <w:t> </w:t>
      </w:r>
      <w:r>
        <w:rPr>
          <w:color w:val="231F20"/>
          <w:spacing w:val="-2"/>
        </w:rPr>
        <w:t>rebelles</w:t>
      </w:r>
      <w:r>
        <w:rPr>
          <w:color w:val="231F20"/>
          <w:spacing w:val="-4"/>
        </w:rPr>
        <w:t> </w:t>
      </w:r>
      <w:r>
        <w:rPr>
          <w:color w:val="231F20"/>
          <w:spacing w:val="-2"/>
        </w:rPr>
        <w:t>désarment</w:t>
      </w:r>
      <w:r>
        <w:rPr>
          <w:color w:val="231F20"/>
          <w:spacing w:val="-6"/>
        </w:rPr>
        <w:t> </w:t>
      </w:r>
      <w:r>
        <w:rPr>
          <w:color w:val="231F20"/>
          <w:spacing w:val="-2"/>
        </w:rPr>
        <w:t>d’abord, </w:t>
      </w:r>
      <w:r>
        <w:rPr>
          <w:color w:val="231F20"/>
          <w:spacing w:val="-4"/>
        </w:rPr>
        <w:t>comme</w:t>
      </w:r>
      <w:r>
        <w:rPr>
          <w:color w:val="231F20"/>
          <w:spacing w:val="-11"/>
        </w:rPr>
        <w:t> </w:t>
      </w:r>
      <w:r>
        <w:rPr>
          <w:color w:val="231F20"/>
          <w:spacing w:val="-4"/>
        </w:rPr>
        <w:t>cela</w:t>
      </w:r>
      <w:r>
        <w:rPr>
          <w:color w:val="231F20"/>
          <w:spacing w:val="-9"/>
        </w:rPr>
        <w:t> </w:t>
      </w:r>
      <w:r>
        <w:rPr>
          <w:color w:val="231F20"/>
          <w:spacing w:val="-4"/>
        </w:rPr>
        <w:t>était</w:t>
      </w:r>
      <w:r>
        <w:rPr>
          <w:color w:val="231F20"/>
          <w:spacing w:val="-8"/>
        </w:rPr>
        <w:t> </w:t>
      </w:r>
      <w:r>
        <w:rPr>
          <w:color w:val="231F20"/>
          <w:spacing w:val="-4"/>
        </w:rPr>
        <w:t>prévu</w:t>
      </w:r>
      <w:r>
        <w:rPr>
          <w:color w:val="231F20"/>
          <w:spacing w:val="-9"/>
        </w:rPr>
        <w:t> </w:t>
      </w:r>
      <w:r>
        <w:rPr>
          <w:color w:val="231F20"/>
          <w:spacing w:val="-4"/>
        </w:rPr>
        <w:t>à</w:t>
      </w:r>
      <w:r>
        <w:rPr>
          <w:color w:val="231F20"/>
          <w:spacing w:val="-11"/>
        </w:rPr>
        <w:t> </w:t>
      </w:r>
      <w:r>
        <w:rPr>
          <w:color w:val="231F20"/>
          <w:spacing w:val="-4"/>
        </w:rPr>
        <w:t>Accra.</w:t>
      </w:r>
      <w:r>
        <w:rPr>
          <w:color w:val="231F20"/>
          <w:spacing w:val="-9"/>
        </w:rPr>
        <w:t> </w:t>
      </w:r>
      <w:r>
        <w:rPr>
          <w:color w:val="231F20"/>
          <w:spacing w:val="-4"/>
        </w:rPr>
        <w:t>Du</w:t>
      </w:r>
      <w:r>
        <w:rPr>
          <w:color w:val="231F20"/>
          <w:spacing w:val="-9"/>
        </w:rPr>
        <w:t> </w:t>
      </w:r>
      <w:r>
        <w:rPr>
          <w:color w:val="231F20"/>
          <w:spacing w:val="-4"/>
        </w:rPr>
        <w:t>côté</w:t>
      </w:r>
      <w:r>
        <w:rPr>
          <w:color w:val="231F20"/>
          <w:spacing w:val="-10"/>
        </w:rPr>
        <w:t> </w:t>
      </w:r>
      <w:r>
        <w:rPr>
          <w:color w:val="231F20"/>
          <w:spacing w:val="-4"/>
        </w:rPr>
        <w:t>des</w:t>
      </w:r>
      <w:r>
        <w:rPr>
          <w:color w:val="231F20"/>
          <w:spacing w:val="-10"/>
        </w:rPr>
        <w:t> </w:t>
      </w:r>
      <w:r>
        <w:rPr>
          <w:color w:val="231F20"/>
          <w:spacing w:val="-4"/>
        </w:rPr>
        <w:t>rebelles,</w:t>
      </w:r>
      <w:r>
        <w:rPr>
          <w:color w:val="231F20"/>
          <w:spacing w:val="-8"/>
        </w:rPr>
        <w:t> </w:t>
      </w:r>
      <w:r>
        <w:rPr>
          <w:color w:val="231F20"/>
          <w:spacing w:val="-4"/>
        </w:rPr>
        <w:t>le</w:t>
      </w:r>
      <w:r>
        <w:rPr>
          <w:color w:val="231F20"/>
          <w:spacing w:val="-10"/>
        </w:rPr>
        <w:t> </w:t>
      </w:r>
      <w:r>
        <w:rPr>
          <w:color w:val="231F20"/>
          <w:spacing w:val="-4"/>
        </w:rPr>
        <w:t>départ</w:t>
      </w:r>
      <w:r>
        <w:rPr>
          <w:color w:val="231F20"/>
          <w:spacing w:val="-10"/>
        </w:rPr>
        <w:t> </w:t>
      </w:r>
      <w:r>
        <w:rPr>
          <w:color w:val="231F20"/>
          <w:spacing w:val="-4"/>
        </w:rPr>
        <w:t>de</w:t>
      </w:r>
      <w:r>
        <w:rPr>
          <w:color w:val="231F20"/>
          <w:spacing w:val="-9"/>
        </w:rPr>
        <w:t> </w:t>
      </w:r>
      <w:r>
        <w:rPr>
          <w:color w:val="231F20"/>
          <w:spacing w:val="-4"/>
        </w:rPr>
        <w:t>Laurent Gbagbo</w:t>
      </w:r>
      <w:r>
        <w:rPr>
          <w:color w:val="231F20"/>
          <w:spacing w:val="-11"/>
        </w:rPr>
        <w:t> </w:t>
      </w:r>
      <w:r>
        <w:rPr>
          <w:color w:val="231F20"/>
          <w:spacing w:val="-4"/>
        </w:rPr>
        <w:t>est</w:t>
      </w:r>
      <w:r>
        <w:rPr>
          <w:color w:val="231F20"/>
          <w:spacing w:val="-11"/>
        </w:rPr>
        <w:t> </w:t>
      </w:r>
      <w:r>
        <w:rPr>
          <w:color w:val="231F20"/>
          <w:spacing w:val="-4"/>
        </w:rPr>
        <w:t>plus</w:t>
      </w:r>
      <w:r>
        <w:rPr>
          <w:color w:val="231F20"/>
          <w:spacing w:val="-11"/>
        </w:rPr>
        <w:t> </w:t>
      </w:r>
      <w:r>
        <w:rPr>
          <w:color w:val="231F20"/>
          <w:spacing w:val="-4"/>
        </w:rPr>
        <w:t>que</w:t>
      </w:r>
      <w:r>
        <w:rPr>
          <w:color w:val="231F20"/>
          <w:spacing w:val="-11"/>
        </w:rPr>
        <w:t> </w:t>
      </w:r>
      <w:r>
        <w:rPr>
          <w:color w:val="231F20"/>
          <w:spacing w:val="-4"/>
        </w:rPr>
        <w:t>jamais</w:t>
      </w:r>
      <w:r>
        <w:rPr>
          <w:color w:val="231F20"/>
          <w:spacing w:val="-11"/>
        </w:rPr>
        <w:t> </w:t>
      </w:r>
      <w:r>
        <w:rPr>
          <w:color w:val="231F20"/>
          <w:spacing w:val="-4"/>
        </w:rPr>
        <w:t>réclamé</w:t>
      </w:r>
      <w:r>
        <w:rPr>
          <w:color w:val="231F20"/>
          <w:spacing w:val="-11"/>
        </w:rPr>
        <w:t> </w:t>
      </w:r>
      <w:r>
        <w:rPr>
          <w:color w:val="231F20"/>
          <w:spacing w:val="-4"/>
        </w:rPr>
        <w:t>et</w:t>
      </w:r>
      <w:r>
        <w:rPr>
          <w:color w:val="231F20"/>
          <w:spacing w:val="-11"/>
        </w:rPr>
        <w:t> </w:t>
      </w:r>
      <w:r>
        <w:rPr>
          <w:color w:val="231F20"/>
          <w:spacing w:val="-4"/>
        </w:rPr>
        <w:t>refusent</w:t>
      </w:r>
      <w:r>
        <w:rPr>
          <w:color w:val="231F20"/>
          <w:spacing w:val="-11"/>
        </w:rPr>
        <w:t> </w:t>
      </w:r>
      <w:r>
        <w:rPr>
          <w:color w:val="231F20"/>
          <w:spacing w:val="-4"/>
        </w:rPr>
        <w:t>de</w:t>
      </w:r>
      <w:r>
        <w:rPr>
          <w:color w:val="231F20"/>
          <w:spacing w:val="-11"/>
        </w:rPr>
        <w:t> </w:t>
      </w:r>
      <w:r>
        <w:rPr>
          <w:color w:val="231F20"/>
          <w:spacing w:val="-4"/>
        </w:rPr>
        <w:t>déposer</w:t>
      </w:r>
      <w:r>
        <w:rPr>
          <w:color w:val="231F20"/>
          <w:spacing w:val="-11"/>
        </w:rPr>
        <w:t> </w:t>
      </w:r>
      <w:r>
        <w:rPr>
          <w:color w:val="231F20"/>
          <w:spacing w:val="-4"/>
        </w:rPr>
        <w:t>les</w:t>
      </w:r>
      <w:r>
        <w:rPr>
          <w:color w:val="231F20"/>
          <w:spacing w:val="-11"/>
        </w:rPr>
        <w:t> </w:t>
      </w:r>
      <w:r>
        <w:rPr>
          <w:color w:val="231F20"/>
          <w:spacing w:val="-4"/>
        </w:rPr>
        <w:t>armes</w:t>
      </w:r>
      <w:r>
        <w:rPr>
          <w:color w:val="231F20"/>
          <w:spacing w:val="-11"/>
        </w:rPr>
        <w:t> </w:t>
      </w:r>
      <w:r>
        <w:rPr>
          <w:color w:val="231F20"/>
          <w:spacing w:val="-4"/>
        </w:rPr>
        <w:t>avant </w:t>
      </w:r>
      <w:r>
        <w:rPr>
          <w:color w:val="231F20"/>
        </w:rPr>
        <w:t>la signature d’un éventuel cessez-le-feu.</w:t>
      </w:r>
    </w:p>
    <w:p>
      <w:pPr>
        <w:pStyle w:val="BodyText"/>
        <w:spacing w:before="120"/>
        <w:ind w:right="107" w:firstLine="283"/>
      </w:pPr>
      <w:r>
        <w:rPr>
          <w:color w:val="231F20"/>
        </w:rPr>
        <w:t>Ce jour même, les troupes gouvernementales lancent une offensive pour</w:t>
      </w:r>
      <w:r>
        <w:rPr>
          <w:color w:val="231F20"/>
          <w:spacing w:val="-2"/>
        </w:rPr>
        <w:t> </w:t>
      </w:r>
      <w:r>
        <w:rPr>
          <w:color w:val="231F20"/>
        </w:rPr>
        <w:t>reprendre</w:t>
      </w:r>
      <w:r>
        <w:rPr>
          <w:color w:val="231F20"/>
          <w:spacing w:val="-4"/>
        </w:rPr>
        <w:t> </w:t>
      </w:r>
      <w:r>
        <w:rPr>
          <w:color w:val="231F20"/>
        </w:rPr>
        <w:t>la</w:t>
      </w:r>
      <w:r>
        <w:rPr>
          <w:color w:val="231F20"/>
          <w:spacing w:val="-2"/>
        </w:rPr>
        <w:t> </w:t>
      </w:r>
      <w:r>
        <w:rPr>
          <w:color w:val="231F20"/>
        </w:rPr>
        <w:t>ville</w:t>
      </w:r>
      <w:r>
        <w:rPr>
          <w:color w:val="231F20"/>
          <w:spacing w:val="-2"/>
        </w:rPr>
        <w:t> </w:t>
      </w:r>
      <w:r>
        <w:rPr>
          <w:color w:val="231F20"/>
        </w:rPr>
        <w:t>de</w:t>
      </w:r>
      <w:r>
        <w:rPr>
          <w:color w:val="231F20"/>
          <w:spacing w:val="-4"/>
        </w:rPr>
        <w:t> </w:t>
      </w:r>
      <w:r>
        <w:rPr>
          <w:color w:val="231F20"/>
        </w:rPr>
        <w:t>Bouaké.</w:t>
      </w:r>
      <w:r>
        <w:rPr>
          <w:color w:val="231F20"/>
          <w:spacing w:val="-4"/>
        </w:rPr>
        <w:t> </w:t>
      </w:r>
      <w:r>
        <w:rPr>
          <w:color w:val="231F20"/>
        </w:rPr>
        <w:t>La</w:t>
      </w:r>
      <w:r>
        <w:rPr>
          <w:color w:val="231F20"/>
          <w:spacing w:val="-2"/>
        </w:rPr>
        <w:t> </w:t>
      </w:r>
      <w:r>
        <w:rPr>
          <w:color w:val="231F20"/>
        </w:rPr>
        <w:t>tentative</w:t>
      </w:r>
      <w:r>
        <w:rPr>
          <w:color w:val="231F20"/>
          <w:spacing w:val="-2"/>
        </w:rPr>
        <w:t> </w:t>
      </w:r>
      <w:r>
        <w:rPr>
          <w:color w:val="231F20"/>
        </w:rPr>
        <w:t>échoue.</w:t>
      </w:r>
    </w:p>
    <w:p>
      <w:pPr>
        <w:pStyle w:val="BodyText"/>
        <w:spacing w:before="120"/>
        <w:ind w:right="104" w:firstLine="283"/>
      </w:pPr>
      <w:r>
        <w:rPr>
          <w:color w:val="231F20"/>
          <w:spacing w:val="-2"/>
        </w:rPr>
        <w:t>Pour</w:t>
      </w:r>
      <w:r>
        <w:rPr>
          <w:color w:val="231F20"/>
          <w:spacing w:val="-13"/>
        </w:rPr>
        <w:t> </w:t>
      </w:r>
      <w:r>
        <w:rPr>
          <w:color w:val="231F20"/>
          <w:spacing w:val="-2"/>
        </w:rPr>
        <w:t>les</w:t>
      </w:r>
      <w:r>
        <w:rPr>
          <w:color w:val="231F20"/>
          <w:spacing w:val="-13"/>
        </w:rPr>
        <w:t> </w:t>
      </w:r>
      <w:r>
        <w:rPr>
          <w:color w:val="231F20"/>
          <w:spacing w:val="-2"/>
        </w:rPr>
        <w:t>rebelles,</w:t>
      </w:r>
      <w:r>
        <w:rPr>
          <w:color w:val="231F20"/>
          <w:spacing w:val="-13"/>
        </w:rPr>
        <w:t> </w:t>
      </w:r>
      <w:r>
        <w:rPr>
          <w:color w:val="231F20"/>
          <w:spacing w:val="-2"/>
        </w:rPr>
        <w:t>cette</w:t>
      </w:r>
      <w:r>
        <w:rPr>
          <w:color w:val="231F20"/>
          <w:spacing w:val="-13"/>
        </w:rPr>
        <w:t> </w:t>
      </w:r>
      <w:r>
        <w:rPr>
          <w:color w:val="231F20"/>
          <w:spacing w:val="-2"/>
        </w:rPr>
        <w:t>opération</w:t>
      </w:r>
      <w:r>
        <w:rPr>
          <w:color w:val="231F20"/>
          <w:spacing w:val="-13"/>
        </w:rPr>
        <w:t> </w:t>
      </w:r>
      <w:r>
        <w:rPr>
          <w:color w:val="231F20"/>
          <w:spacing w:val="-2"/>
        </w:rPr>
        <w:t>n’a</w:t>
      </w:r>
      <w:r>
        <w:rPr>
          <w:color w:val="231F20"/>
          <w:spacing w:val="-13"/>
        </w:rPr>
        <w:t> </w:t>
      </w:r>
      <w:r>
        <w:rPr>
          <w:color w:val="231F20"/>
          <w:spacing w:val="-2"/>
        </w:rPr>
        <w:t>été</w:t>
      </w:r>
      <w:r>
        <w:rPr>
          <w:color w:val="231F20"/>
          <w:spacing w:val="-13"/>
        </w:rPr>
        <w:t> </w:t>
      </w:r>
      <w:r>
        <w:rPr>
          <w:color w:val="231F20"/>
          <w:spacing w:val="-2"/>
        </w:rPr>
        <w:t>rendue</w:t>
      </w:r>
      <w:r>
        <w:rPr>
          <w:color w:val="231F20"/>
          <w:spacing w:val="-13"/>
        </w:rPr>
        <w:t> </w:t>
      </w:r>
      <w:r>
        <w:rPr>
          <w:color w:val="231F20"/>
          <w:spacing w:val="-2"/>
        </w:rPr>
        <w:t>possible</w:t>
      </w:r>
      <w:r>
        <w:rPr>
          <w:color w:val="231F20"/>
          <w:spacing w:val="-13"/>
        </w:rPr>
        <w:t> </w:t>
      </w:r>
      <w:r>
        <w:rPr>
          <w:color w:val="231F20"/>
          <w:spacing w:val="-2"/>
        </w:rPr>
        <w:t>que</w:t>
      </w:r>
      <w:r>
        <w:rPr>
          <w:color w:val="231F20"/>
          <w:spacing w:val="-13"/>
        </w:rPr>
        <w:t> </w:t>
      </w:r>
      <w:r>
        <w:rPr>
          <w:color w:val="231F20"/>
          <w:spacing w:val="-2"/>
        </w:rPr>
        <w:t>grâce</w:t>
      </w:r>
      <w:r>
        <w:rPr>
          <w:color w:val="231F20"/>
          <w:spacing w:val="-13"/>
        </w:rPr>
        <w:t> </w:t>
      </w:r>
      <w:r>
        <w:rPr>
          <w:color w:val="231F20"/>
          <w:spacing w:val="-2"/>
        </w:rPr>
        <w:t>à</w:t>
      </w:r>
      <w:r>
        <w:rPr>
          <w:color w:val="231F20"/>
          <w:spacing w:val="-13"/>
        </w:rPr>
        <w:t> </w:t>
      </w:r>
      <w:r>
        <w:rPr>
          <w:color w:val="231F20"/>
          <w:spacing w:val="-2"/>
        </w:rPr>
        <w:t>la </w:t>
      </w:r>
      <w:r>
        <w:rPr>
          <w:color w:val="231F20"/>
          <w:spacing w:val="-4"/>
        </w:rPr>
        <w:t>complicité</w:t>
      </w:r>
      <w:r>
        <w:rPr>
          <w:color w:val="231F20"/>
          <w:spacing w:val="-5"/>
        </w:rPr>
        <w:t> </w:t>
      </w:r>
      <w:r>
        <w:rPr>
          <w:color w:val="231F20"/>
          <w:spacing w:val="-4"/>
        </w:rPr>
        <w:t>des</w:t>
      </w:r>
      <w:r>
        <w:rPr>
          <w:color w:val="231F20"/>
          <w:spacing w:val="-6"/>
        </w:rPr>
        <w:t> </w:t>
      </w:r>
      <w:r>
        <w:rPr>
          <w:color w:val="231F20"/>
          <w:spacing w:val="-4"/>
        </w:rPr>
        <w:t>gendarmes</w:t>
      </w:r>
      <w:r>
        <w:rPr>
          <w:color w:val="231F20"/>
          <w:spacing w:val="-6"/>
        </w:rPr>
        <w:t> </w:t>
      </w:r>
      <w:r>
        <w:rPr>
          <w:color w:val="231F20"/>
          <w:spacing w:val="-4"/>
        </w:rPr>
        <w:t>qu’ils</w:t>
      </w:r>
      <w:r>
        <w:rPr>
          <w:color w:val="231F20"/>
          <w:spacing w:val="-6"/>
        </w:rPr>
        <w:t> </w:t>
      </w:r>
      <w:r>
        <w:rPr>
          <w:color w:val="231F20"/>
          <w:spacing w:val="-4"/>
        </w:rPr>
        <w:t>ont</w:t>
      </w:r>
      <w:r>
        <w:rPr>
          <w:color w:val="231F20"/>
          <w:spacing w:val="-6"/>
        </w:rPr>
        <w:t> </w:t>
      </w:r>
      <w:r>
        <w:rPr>
          <w:color w:val="231F20"/>
          <w:spacing w:val="-4"/>
        </w:rPr>
        <w:t>trouvé à</w:t>
      </w:r>
      <w:r>
        <w:rPr>
          <w:color w:val="231F20"/>
          <w:spacing w:val="-8"/>
        </w:rPr>
        <w:t> </w:t>
      </w:r>
      <w:r>
        <w:rPr>
          <w:color w:val="231F20"/>
          <w:spacing w:val="-4"/>
        </w:rPr>
        <w:t>Bouaké</w:t>
      </w:r>
      <w:r>
        <w:rPr>
          <w:color w:val="231F20"/>
          <w:spacing w:val="-5"/>
        </w:rPr>
        <w:t> </w:t>
      </w:r>
      <w:r>
        <w:rPr>
          <w:color w:val="231F20"/>
          <w:spacing w:val="-4"/>
        </w:rPr>
        <w:t>et</w:t>
      </w:r>
      <w:r>
        <w:rPr>
          <w:color w:val="231F20"/>
          <w:spacing w:val="-6"/>
        </w:rPr>
        <w:t> </w:t>
      </w:r>
      <w:r>
        <w:rPr>
          <w:color w:val="231F20"/>
          <w:spacing w:val="-4"/>
        </w:rPr>
        <w:t>qu’ils</w:t>
      </w:r>
      <w:r>
        <w:rPr>
          <w:color w:val="231F20"/>
          <w:spacing w:val="-6"/>
        </w:rPr>
        <w:t> </w:t>
      </w:r>
      <w:r>
        <w:rPr>
          <w:color w:val="231F20"/>
          <w:spacing w:val="-4"/>
        </w:rPr>
        <w:t>ont</w:t>
      </w:r>
      <w:r>
        <w:rPr>
          <w:color w:val="231F20"/>
          <w:spacing w:val="-6"/>
        </w:rPr>
        <w:t> </w:t>
      </w:r>
      <w:r>
        <w:rPr>
          <w:color w:val="231F20"/>
          <w:spacing w:val="-4"/>
        </w:rPr>
        <w:t>confiné </w:t>
      </w:r>
      <w:r>
        <w:rPr>
          <w:color w:val="231F20"/>
        </w:rPr>
        <w:t>dans leur caserne. Ils font sortir tous les occupants de la caserne, une soixantaine</w:t>
      </w:r>
      <w:r>
        <w:rPr>
          <w:color w:val="231F20"/>
          <w:spacing w:val="-15"/>
        </w:rPr>
        <w:t> </w:t>
      </w:r>
      <w:r>
        <w:rPr>
          <w:color w:val="231F20"/>
        </w:rPr>
        <w:t>de</w:t>
      </w:r>
      <w:r>
        <w:rPr>
          <w:color w:val="231F20"/>
          <w:spacing w:val="-15"/>
        </w:rPr>
        <w:t> </w:t>
      </w:r>
      <w:r>
        <w:rPr>
          <w:color w:val="231F20"/>
        </w:rPr>
        <w:t>gendarmes</w:t>
      </w:r>
      <w:r>
        <w:rPr>
          <w:color w:val="231F20"/>
          <w:spacing w:val="-15"/>
        </w:rPr>
        <w:t> </w:t>
      </w:r>
      <w:r>
        <w:rPr>
          <w:color w:val="231F20"/>
        </w:rPr>
        <w:t>accompagnés</w:t>
      </w:r>
      <w:r>
        <w:rPr>
          <w:color w:val="231F20"/>
          <w:spacing w:val="-15"/>
        </w:rPr>
        <w:t> </w:t>
      </w:r>
      <w:r>
        <w:rPr>
          <w:color w:val="231F20"/>
        </w:rPr>
        <w:t>de</w:t>
      </w:r>
      <w:r>
        <w:rPr>
          <w:color w:val="231F20"/>
          <w:spacing w:val="-15"/>
        </w:rPr>
        <w:t> </w:t>
      </w:r>
      <w:r>
        <w:rPr>
          <w:color w:val="231F20"/>
        </w:rPr>
        <w:t>leurs</w:t>
      </w:r>
      <w:r>
        <w:rPr>
          <w:color w:val="231F20"/>
          <w:spacing w:val="-15"/>
        </w:rPr>
        <w:t> </w:t>
      </w:r>
      <w:r>
        <w:rPr>
          <w:color w:val="231F20"/>
        </w:rPr>
        <w:t>enfants</w:t>
      </w:r>
      <w:r>
        <w:rPr>
          <w:color w:val="231F20"/>
          <w:spacing w:val="-15"/>
        </w:rPr>
        <w:t> </w:t>
      </w:r>
      <w:r>
        <w:rPr>
          <w:color w:val="231F20"/>
        </w:rPr>
        <w:t>dont</w:t>
      </w:r>
      <w:r>
        <w:rPr>
          <w:color w:val="231F20"/>
          <w:spacing w:val="-15"/>
        </w:rPr>
        <w:t> </w:t>
      </w:r>
      <w:r>
        <w:rPr>
          <w:color w:val="231F20"/>
        </w:rPr>
        <w:t>le</w:t>
      </w:r>
      <w:r>
        <w:rPr>
          <w:color w:val="231F20"/>
          <w:spacing w:val="-15"/>
        </w:rPr>
        <w:t> </w:t>
      </w:r>
      <w:r>
        <w:rPr>
          <w:color w:val="231F20"/>
        </w:rPr>
        <w:t>nombre </w:t>
      </w:r>
      <w:r>
        <w:rPr>
          <w:color w:val="231F20"/>
          <w:spacing w:val="-2"/>
        </w:rPr>
        <w:t>serait</w:t>
      </w:r>
      <w:r>
        <w:rPr>
          <w:color w:val="231F20"/>
          <w:spacing w:val="-8"/>
        </w:rPr>
        <w:t> </w:t>
      </w:r>
      <w:r>
        <w:rPr>
          <w:color w:val="231F20"/>
          <w:spacing w:val="-2"/>
        </w:rPr>
        <w:t>compris</w:t>
      </w:r>
      <w:r>
        <w:rPr>
          <w:color w:val="231F20"/>
          <w:spacing w:val="-9"/>
        </w:rPr>
        <w:t> </w:t>
      </w:r>
      <w:r>
        <w:rPr>
          <w:color w:val="231F20"/>
          <w:spacing w:val="-2"/>
        </w:rPr>
        <w:t>entre</w:t>
      </w:r>
      <w:r>
        <w:rPr>
          <w:color w:val="231F20"/>
          <w:spacing w:val="-10"/>
        </w:rPr>
        <w:t> </w:t>
      </w:r>
      <w:r>
        <w:rPr>
          <w:color w:val="231F20"/>
          <w:spacing w:val="-2"/>
        </w:rPr>
        <w:t>une</w:t>
      </w:r>
      <w:r>
        <w:rPr>
          <w:color w:val="231F20"/>
          <w:spacing w:val="-9"/>
        </w:rPr>
        <w:t> </w:t>
      </w:r>
      <w:r>
        <w:rPr>
          <w:color w:val="231F20"/>
          <w:spacing w:val="-2"/>
        </w:rPr>
        <w:t>trentaine</w:t>
      </w:r>
      <w:r>
        <w:rPr>
          <w:color w:val="231F20"/>
          <w:spacing w:val="-10"/>
        </w:rPr>
        <w:t> </w:t>
      </w:r>
      <w:r>
        <w:rPr>
          <w:color w:val="231F20"/>
          <w:spacing w:val="-2"/>
        </w:rPr>
        <w:t>et</w:t>
      </w:r>
      <w:r>
        <w:rPr>
          <w:color w:val="231F20"/>
          <w:spacing w:val="-9"/>
        </w:rPr>
        <w:t> </w:t>
      </w:r>
      <w:r>
        <w:rPr>
          <w:color w:val="231F20"/>
          <w:spacing w:val="-2"/>
        </w:rPr>
        <w:t>une</w:t>
      </w:r>
      <w:r>
        <w:rPr>
          <w:color w:val="231F20"/>
          <w:spacing w:val="-8"/>
        </w:rPr>
        <w:t> </w:t>
      </w:r>
      <w:r>
        <w:rPr>
          <w:color w:val="231F20"/>
          <w:spacing w:val="-2"/>
        </w:rPr>
        <w:t>cinquantaine,</w:t>
      </w:r>
      <w:r>
        <w:rPr>
          <w:color w:val="231F20"/>
          <w:spacing w:val="-8"/>
        </w:rPr>
        <w:t> </w:t>
      </w:r>
      <w:r>
        <w:rPr>
          <w:color w:val="231F20"/>
          <w:spacing w:val="-2"/>
        </w:rPr>
        <w:t>âgés</w:t>
      </w:r>
      <w:r>
        <w:rPr>
          <w:color w:val="231F20"/>
          <w:spacing w:val="-9"/>
        </w:rPr>
        <w:t> </w:t>
      </w:r>
      <w:r>
        <w:rPr>
          <w:color w:val="231F20"/>
          <w:spacing w:val="-2"/>
        </w:rPr>
        <w:t>de</w:t>
      </w:r>
      <w:r>
        <w:rPr>
          <w:color w:val="231F20"/>
          <w:spacing w:val="-9"/>
        </w:rPr>
        <w:t> </w:t>
      </w:r>
      <w:r>
        <w:rPr>
          <w:color w:val="231F20"/>
          <w:spacing w:val="-2"/>
        </w:rPr>
        <w:t>plus</w:t>
      </w:r>
      <w:r>
        <w:rPr>
          <w:color w:val="231F20"/>
          <w:spacing w:val="-10"/>
        </w:rPr>
        <w:t> </w:t>
      </w:r>
      <w:r>
        <w:rPr>
          <w:color w:val="231F20"/>
          <w:spacing w:val="-2"/>
        </w:rPr>
        <w:t>de</w:t>
      </w:r>
      <w:r>
        <w:rPr>
          <w:color w:val="231F20"/>
          <w:spacing w:val="-10"/>
        </w:rPr>
        <w:t> </w:t>
      </w:r>
      <w:r>
        <w:rPr>
          <w:color w:val="231F20"/>
          <w:spacing w:val="-2"/>
        </w:rPr>
        <w:t>12 </w:t>
      </w:r>
      <w:r>
        <w:rPr>
          <w:color w:val="231F20"/>
        </w:rPr>
        <w:t>ans et quelques civils. Ils les conduisent au camp militaire du III</w:t>
      </w:r>
      <w:r>
        <w:rPr>
          <w:color w:val="231F20"/>
          <w:vertAlign w:val="superscript"/>
        </w:rPr>
        <w:t>ème</w:t>
      </w:r>
      <w:r>
        <w:rPr>
          <w:color w:val="231F20"/>
          <w:vertAlign w:val="baseline"/>
        </w:rPr>
        <w:t> bataillon</w:t>
      </w:r>
      <w:r>
        <w:rPr>
          <w:color w:val="231F20"/>
          <w:spacing w:val="-10"/>
          <w:vertAlign w:val="baseline"/>
        </w:rPr>
        <w:t> </w:t>
      </w:r>
      <w:r>
        <w:rPr>
          <w:color w:val="231F20"/>
          <w:vertAlign w:val="baseline"/>
        </w:rPr>
        <w:t>d’infanterie,</w:t>
      </w:r>
      <w:r>
        <w:rPr>
          <w:color w:val="231F20"/>
          <w:spacing w:val="-11"/>
          <w:vertAlign w:val="baseline"/>
        </w:rPr>
        <w:t> </w:t>
      </w:r>
      <w:r>
        <w:rPr>
          <w:color w:val="231F20"/>
          <w:vertAlign w:val="baseline"/>
        </w:rPr>
        <w:t>situé</w:t>
      </w:r>
      <w:r>
        <w:rPr>
          <w:color w:val="231F20"/>
          <w:spacing w:val="-10"/>
          <w:vertAlign w:val="baseline"/>
        </w:rPr>
        <w:t> </w:t>
      </w:r>
      <w:r>
        <w:rPr>
          <w:color w:val="231F20"/>
          <w:vertAlign w:val="baseline"/>
        </w:rPr>
        <w:t>à</w:t>
      </w:r>
      <w:r>
        <w:rPr>
          <w:color w:val="231F20"/>
          <w:spacing w:val="-10"/>
          <w:vertAlign w:val="baseline"/>
        </w:rPr>
        <w:t> </w:t>
      </w:r>
      <w:r>
        <w:rPr>
          <w:color w:val="231F20"/>
          <w:vertAlign w:val="baseline"/>
        </w:rPr>
        <w:t>sept</w:t>
      </w:r>
      <w:r>
        <w:rPr>
          <w:color w:val="231F20"/>
          <w:spacing w:val="-10"/>
          <w:vertAlign w:val="baseline"/>
        </w:rPr>
        <w:t> </w:t>
      </w:r>
      <w:r>
        <w:rPr>
          <w:color w:val="231F20"/>
          <w:vertAlign w:val="baseline"/>
        </w:rPr>
        <w:t>kilomètres</w:t>
      </w:r>
      <w:r>
        <w:rPr>
          <w:color w:val="231F20"/>
          <w:spacing w:val="-9"/>
          <w:vertAlign w:val="baseline"/>
        </w:rPr>
        <w:t> </w:t>
      </w:r>
      <w:r>
        <w:rPr>
          <w:color w:val="231F20"/>
          <w:vertAlign w:val="baseline"/>
        </w:rPr>
        <w:t>de</w:t>
      </w:r>
      <w:r>
        <w:rPr>
          <w:color w:val="231F20"/>
          <w:spacing w:val="-12"/>
          <w:vertAlign w:val="baseline"/>
        </w:rPr>
        <w:t> </w:t>
      </w:r>
      <w:r>
        <w:rPr>
          <w:color w:val="231F20"/>
          <w:vertAlign w:val="baseline"/>
        </w:rPr>
        <w:t>la</w:t>
      </w:r>
      <w:r>
        <w:rPr>
          <w:color w:val="231F20"/>
          <w:spacing w:val="-10"/>
          <w:vertAlign w:val="baseline"/>
        </w:rPr>
        <w:t> </w:t>
      </w:r>
      <w:r>
        <w:rPr>
          <w:color w:val="231F20"/>
          <w:vertAlign w:val="baseline"/>
        </w:rPr>
        <w:t>ville</w:t>
      </w:r>
      <w:r>
        <w:rPr>
          <w:color w:val="231F20"/>
          <w:spacing w:val="-11"/>
          <w:vertAlign w:val="baseline"/>
        </w:rPr>
        <w:t> </w:t>
      </w:r>
      <w:r>
        <w:rPr>
          <w:color w:val="231F20"/>
          <w:vertAlign w:val="baseline"/>
        </w:rPr>
        <w:t>et</w:t>
      </w:r>
      <w:r>
        <w:rPr>
          <w:color w:val="231F20"/>
          <w:spacing w:val="-10"/>
          <w:vertAlign w:val="baseline"/>
        </w:rPr>
        <w:t> </w:t>
      </w:r>
      <w:r>
        <w:rPr>
          <w:color w:val="231F20"/>
          <w:vertAlign w:val="baseline"/>
        </w:rPr>
        <w:t>les</w:t>
      </w:r>
      <w:r>
        <w:rPr>
          <w:color w:val="231F20"/>
          <w:spacing w:val="-9"/>
          <w:vertAlign w:val="baseline"/>
        </w:rPr>
        <w:t> </w:t>
      </w:r>
      <w:r>
        <w:rPr>
          <w:color w:val="231F20"/>
          <w:vertAlign w:val="baseline"/>
        </w:rPr>
        <w:t>abattent.</w:t>
      </w:r>
    </w:p>
    <w:p>
      <w:pPr>
        <w:pStyle w:val="BodyText"/>
        <w:spacing w:before="121"/>
        <w:ind w:right="104" w:firstLine="283"/>
        <w:rPr>
          <w:i/>
        </w:rPr>
      </w:pPr>
      <w:r>
        <w:rPr>
          <w:color w:val="231F20"/>
          <w:spacing w:val="-2"/>
        </w:rPr>
        <w:t>Le</w:t>
      </w:r>
      <w:r>
        <w:rPr>
          <w:color w:val="231F20"/>
          <w:spacing w:val="-9"/>
        </w:rPr>
        <w:t> </w:t>
      </w:r>
      <w:r>
        <w:rPr>
          <w:color w:val="231F20"/>
          <w:spacing w:val="-2"/>
        </w:rPr>
        <w:t>11</w:t>
      </w:r>
      <w:r>
        <w:rPr>
          <w:color w:val="231F20"/>
          <w:spacing w:val="-9"/>
        </w:rPr>
        <w:t> </w:t>
      </w:r>
      <w:r>
        <w:rPr>
          <w:color w:val="231F20"/>
          <w:spacing w:val="-2"/>
        </w:rPr>
        <w:t>octobre,</w:t>
      </w:r>
      <w:r>
        <w:rPr>
          <w:color w:val="231F20"/>
          <w:spacing w:val="-9"/>
        </w:rPr>
        <w:t> </w:t>
      </w:r>
      <w:r>
        <w:rPr>
          <w:color w:val="231F20"/>
          <w:spacing w:val="-2"/>
        </w:rPr>
        <w:t>à</w:t>
      </w:r>
      <w:r>
        <w:rPr>
          <w:color w:val="231F20"/>
          <w:spacing w:val="-9"/>
        </w:rPr>
        <w:t> </w:t>
      </w:r>
      <w:r>
        <w:rPr>
          <w:color w:val="231F20"/>
          <w:spacing w:val="-2"/>
        </w:rPr>
        <w:t>travers</w:t>
      </w:r>
      <w:r>
        <w:rPr>
          <w:color w:val="231F20"/>
          <w:spacing w:val="-11"/>
        </w:rPr>
        <w:t> </w:t>
      </w:r>
      <w:r>
        <w:rPr>
          <w:color w:val="231F20"/>
          <w:spacing w:val="-2"/>
        </w:rPr>
        <w:t>l’article</w:t>
      </w:r>
      <w:r>
        <w:rPr>
          <w:color w:val="231F20"/>
          <w:spacing w:val="-9"/>
        </w:rPr>
        <w:t> </w:t>
      </w:r>
      <w:r>
        <w:rPr>
          <w:color w:val="231F20"/>
          <w:spacing w:val="-2"/>
        </w:rPr>
        <w:t>de</w:t>
      </w:r>
      <w:r>
        <w:rPr>
          <w:color w:val="231F20"/>
          <w:spacing w:val="-11"/>
        </w:rPr>
        <w:t> </w:t>
      </w:r>
      <w:r>
        <w:rPr>
          <w:color w:val="231F20"/>
          <w:spacing w:val="-2"/>
        </w:rPr>
        <w:t>Stephen</w:t>
      </w:r>
      <w:r>
        <w:rPr>
          <w:color w:val="231F20"/>
          <w:spacing w:val="-9"/>
        </w:rPr>
        <w:t> </w:t>
      </w:r>
      <w:r>
        <w:rPr>
          <w:color w:val="231F20"/>
          <w:spacing w:val="-2"/>
        </w:rPr>
        <w:t>Smith</w:t>
      </w:r>
      <w:r>
        <w:rPr>
          <w:color w:val="231F20"/>
          <w:spacing w:val="-2"/>
          <w:vertAlign w:val="superscript"/>
        </w:rPr>
        <w:t>177</w:t>
      </w:r>
      <w:r>
        <w:rPr>
          <w:color w:val="231F20"/>
          <w:spacing w:val="-2"/>
          <w:vertAlign w:val="baseline"/>
        </w:rPr>
        <w:t>,</w:t>
      </w:r>
      <w:r>
        <w:rPr>
          <w:color w:val="231F20"/>
          <w:spacing w:val="-9"/>
          <w:vertAlign w:val="baseline"/>
        </w:rPr>
        <w:t> </w:t>
      </w:r>
      <w:r>
        <w:rPr>
          <w:color w:val="231F20"/>
          <w:spacing w:val="-2"/>
          <w:vertAlign w:val="baseline"/>
        </w:rPr>
        <w:t>Damien</w:t>
      </w:r>
      <w:r>
        <w:rPr>
          <w:color w:val="231F20"/>
          <w:spacing w:val="-9"/>
          <w:vertAlign w:val="baseline"/>
        </w:rPr>
        <w:t> </w:t>
      </w:r>
      <w:r>
        <w:rPr>
          <w:color w:val="231F20"/>
          <w:spacing w:val="-2"/>
          <w:vertAlign w:val="baseline"/>
        </w:rPr>
        <w:t>Glez</w:t>
      </w:r>
      <w:r>
        <w:rPr>
          <w:color w:val="231F20"/>
          <w:spacing w:val="-2"/>
          <w:vertAlign w:val="superscript"/>
        </w:rPr>
        <w:t>178</w:t>
      </w:r>
      <w:r>
        <w:rPr>
          <w:color w:val="231F20"/>
          <w:spacing w:val="-2"/>
          <w:vertAlign w:val="baseline"/>
        </w:rPr>
        <w:t> et</w:t>
      </w:r>
      <w:r>
        <w:rPr>
          <w:color w:val="231F20"/>
          <w:spacing w:val="-7"/>
          <w:vertAlign w:val="baseline"/>
        </w:rPr>
        <w:t> </w:t>
      </w:r>
      <w:r>
        <w:rPr>
          <w:color w:val="231F20"/>
          <w:spacing w:val="-2"/>
          <w:vertAlign w:val="baseline"/>
        </w:rPr>
        <w:t>Vincent</w:t>
      </w:r>
      <w:r>
        <w:rPr>
          <w:color w:val="231F20"/>
          <w:spacing w:val="-9"/>
          <w:vertAlign w:val="baseline"/>
        </w:rPr>
        <w:t> </w:t>
      </w:r>
      <w:r>
        <w:rPr>
          <w:color w:val="231F20"/>
          <w:spacing w:val="-2"/>
          <w:vertAlign w:val="baseline"/>
        </w:rPr>
        <w:t>Rigoulet</w:t>
      </w:r>
      <w:r>
        <w:rPr>
          <w:color w:val="231F20"/>
          <w:spacing w:val="-2"/>
          <w:vertAlign w:val="superscript"/>
        </w:rPr>
        <w:t>179</w:t>
      </w:r>
      <w:r>
        <w:rPr>
          <w:color w:val="231F20"/>
          <w:spacing w:val="-6"/>
          <w:vertAlign w:val="baseline"/>
        </w:rPr>
        <w:t> </w:t>
      </w:r>
      <w:r>
        <w:rPr>
          <w:color w:val="231F20"/>
          <w:spacing w:val="-2"/>
          <w:vertAlign w:val="baseline"/>
        </w:rPr>
        <w:t>paru</w:t>
      </w:r>
      <w:r>
        <w:rPr>
          <w:color w:val="231F20"/>
          <w:spacing w:val="-7"/>
          <w:vertAlign w:val="baseline"/>
        </w:rPr>
        <w:t> </w:t>
      </w:r>
      <w:r>
        <w:rPr>
          <w:color w:val="231F20"/>
          <w:spacing w:val="-2"/>
          <w:vertAlign w:val="baseline"/>
        </w:rPr>
        <w:t>dans</w:t>
      </w:r>
      <w:r>
        <w:rPr>
          <w:color w:val="231F20"/>
          <w:spacing w:val="-7"/>
          <w:vertAlign w:val="baseline"/>
        </w:rPr>
        <w:t> </w:t>
      </w:r>
      <w:r>
        <w:rPr>
          <w:color w:val="231F20"/>
          <w:spacing w:val="-2"/>
          <w:vertAlign w:val="baseline"/>
        </w:rPr>
        <w:t>le</w:t>
      </w:r>
      <w:r>
        <w:rPr>
          <w:color w:val="231F20"/>
          <w:spacing w:val="-10"/>
          <w:vertAlign w:val="baseline"/>
        </w:rPr>
        <w:t> </w:t>
      </w:r>
      <w:r>
        <w:rPr>
          <w:color w:val="231F20"/>
          <w:spacing w:val="-2"/>
          <w:vertAlign w:val="baseline"/>
        </w:rPr>
        <w:t>journal</w:t>
      </w:r>
      <w:r>
        <w:rPr>
          <w:color w:val="231F20"/>
          <w:spacing w:val="-8"/>
          <w:vertAlign w:val="baseline"/>
        </w:rPr>
        <w:t> </w:t>
      </w:r>
      <w:r>
        <w:rPr>
          <w:color w:val="231F20"/>
          <w:spacing w:val="-2"/>
          <w:vertAlign w:val="baseline"/>
        </w:rPr>
        <w:t>“Le</w:t>
      </w:r>
      <w:r>
        <w:rPr>
          <w:color w:val="231F20"/>
          <w:spacing w:val="-13"/>
          <w:vertAlign w:val="baseline"/>
        </w:rPr>
        <w:t> </w:t>
      </w:r>
      <w:r>
        <w:rPr>
          <w:color w:val="231F20"/>
          <w:spacing w:val="-2"/>
          <w:vertAlign w:val="baseline"/>
        </w:rPr>
        <w:t>Monde”,</w:t>
      </w:r>
      <w:r>
        <w:rPr>
          <w:color w:val="231F20"/>
          <w:spacing w:val="-7"/>
          <w:vertAlign w:val="baseline"/>
        </w:rPr>
        <w:t> </w:t>
      </w:r>
      <w:r>
        <w:rPr>
          <w:color w:val="231F20"/>
          <w:spacing w:val="-2"/>
          <w:vertAlign w:val="baseline"/>
        </w:rPr>
        <w:t>l’on</w:t>
      </w:r>
      <w:r>
        <w:rPr>
          <w:color w:val="231F20"/>
          <w:spacing w:val="-7"/>
          <w:vertAlign w:val="baseline"/>
        </w:rPr>
        <w:t> </w:t>
      </w:r>
      <w:r>
        <w:rPr>
          <w:color w:val="231F20"/>
          <w:spacing w:val="-2"/>
          <w:vertAlign w:val="baseline"/>
        </w:rPr>
        <w:t>apprend</w:t>
      </w:r>
      <w:r>
        <w:rPr>
          <w:color w:val="231F20"/>
          <w:spacing w:val="-13"/>
          <w:vertAlign w:val="baseline"/>
        </w:rPr>
        <w:t> </w:t>
      </w:r>
      <w:r>
        <w:rPr>
          <w:color w:val="231F20"/>
          <w:spacing w:val="-2"/>
          <w:vertAlign w:val="baseline"/>
        </w:rPr>
        <w:t>un peu</w:t>
      </w:r>
      <w:r>
        <w:rPr>
          <w:color w:val="231F20"/>
          <w:spacing w:val="-6"/>
          <w:vertAlign w:val="baseline"/>
        </w:rPr>
        <w:t> </w:t>
      </w:r>
      <w:r>
        <w:rPr>
          <w:color w:val="231F20"/>
          <w:spacing w:val="-2"/>
          <w:vertAlign w:val="baseline"/>
        </w:rPr>
        <w:t>plus</w:t>
      </w:r>
      <w:r>
        <w:rPr>
          <w:color w:val="231F20"/>
          <w:spacing w:val="-9"/>
          <w:vertAlign w:val="baseline"/>
        </w:rPr>
        <w:t> </w:t>
      </w:r>
      <w:r>
        <w:rPr>
          <w:color w:val="231F20"/>
          <w:spacing w:val="-2"/>
          <w:vertAlign w:val="baseline"/>
        </w:rPr>
        <w:t>sur</w:t>
      </w:r>
      <w:r>
        <w:rPr>
          <w:color w:val="231F20"/>
          <w:spacing w:val="-6"/>
          <w:vertAlign w:val="baseline"/>
        </w:rPr>
        <w:t> </w:t>
      </w:r>
      <w:r>
        <w:rPr>
          <w:color w:val="231F20"/>
          <w:spacing w:val="-2"/>
          <w:vertAlign w:val="baseline"/>
        </w:rPr>
        <w:t>les</w:t>
      </w:r>
      <w:r>
        <w:rPr>
          <w:color w:val="231F20"/>
          <w:spacing w:val="-6"/>
          <w:vertAlign w:val="baseline"/>
        </w:rPr>
        <w:t> </w:t>
      </w:r>
      <w:r>
        <w:rPr>
          <w:color w:val="231F20"/>
          <w:spacing w:val="-2"/>
          <w:vertAlign w:val="baseline"/>
        </w:rPr>
        <w:t>assaillants</w:t>
      </w:r>
      <w:r>
        <w:rPr>
          <w:color w:val="231F20"/>
          <w:spacing w:val="-8"/>
          <w:vertAlign w:val="baseline"/>
        </w:rPr>
        <w:t> </w:t>
      </w:r>
      <w:r>
        <w:rPr>
          <w:color w:val="231F20"/>
          <w:spacing w:val="-2"/>
          <w:vertAlign w:val="baseline"/>
        </w:rPr>
        <w:t>:</w:t>
      </w:r>
      <w:r>
        <w:rPr>
          <w:color w:val="231F20"/>
          <w:spacing w:val="-5"/>
          <w:vertAlign w:val="baseline"/>
        </w:rPr>
        <w:t> </w:t>
      </w:r>
      <w:r>
        <w:rPr>
          <w:color w:val="231F20"/>
          <w:spacing w:val="-2"/>
          <w:vertAlign w:val="baseline"/>
        </w:rPr>
        <w:t>(…)</w:t>
      </w:r>
      <w:r>
        <w:rPr>
          <w:color w:val="231F20"/>
          <w:spacing w:val="-6"/>
          <w:vertAlign w:val="baseline"/>
        </w:rPr>
        <w:t> </w:t>
      </w:r>
      <w:r>
        <w:rPr>
          <w:i/>
          <w:color w:val="231F20"/>
          <w:spacing w:val="-2"/>
          <w:vertAlign w:val="baseline"/>
        </w:rPr>
        <w:t>«</w:t>
      </w:r>
      <w:r>
        <w:rPr>
          <w:i/>
          <w:color w:val="231F20"/>
          <w:spacing w:val="-11"/>
          <w:vertAlign w:val="baseline"/>
        </w:rPr>
        <w:t> </w:t>
      </w:r>
      <w:r>
        <w:rPr>
          <w:i/>
          <w:color w:val="231F20"/>
          <w:spacing w:val="-2"/>
          <w:vertAlign w:val="baseline"/>
        </w:rPr>
        <w:t>le</w:t>
      </w:r>
      <w:r>
        <w:rPr>
          <w:i/>
          <w:color w:val="231F20"/>
          <w:spacing w:val="-6"/>
          <w:vertAlign w:val="baseline"/>
        </w:rPr>
        <w:t> </w:t>
      </w:r>
      <w:r>
        <w:rPr>
          <w:i/>
          <w:color w:val="231F20"/>
          <w:spacing w:val="-2"/>
          <w:vertAlign w:val="baseline"/>
        </w:rPr>
        <w:t>sergent-chef</w:t>
      </w:r>
      <w:r>
        <w:rPr>
          <w:i/>
          <w:color w:val="231F20"/>
          <w:spacing w:val="-5"/>
          <w:vertAlign w:val="baseline"/>
        </w:rPr>
        <w:t> </w:t>
      </w:r>
      <w:r>
        <w:rPr>
          <w:i/>
          <w:color w:val="231F20"/>
          <w:spacing w:val="-2"/>
          <w:vertAlign w:val="baseline"/>
        </w:rPr>
        <w:t>Ibrahim</w:t>
      </w:r>
      <w:r>
        <w:rPr>
          <w:i/>
          <w:color w:val="231F20"/>
          <w:spacing w:val="-6"/>
          <w:vertAlign w:val="baseline"/>
        </w:rPr>
        <w:t> </w:t>
      </w:r>
      <w:r>
        <w:rPr>
          <w:i/>
          <w:color w:val="231F20"/>
          <w:spacing w:val="-2"/>
          <w:vertAlign w:val="baseline"/>
        </w:rPr>
        <w:t>Coulibaly,</w:t>
      </w:r>
      <w:r>
        <w:rPr>
          <w:i/>
          <w:color w:val="231F20"/>
          <w:spacing w:val="-5"/>
          <w:vertAlign w:val="baseline"/>
        </w:rPr>
        <w:t> dit</w:t>
      </w:r>
    </w:p>
    <w:p>
      <w:pPr>
        <w:spacing w:before="0"/>
        <w:ind w:left="111" w:right="104" w:firstLine="0"/>
        <w:jc w:val="both"/>
        <w:rPr>
          <w:i/>
          <w:sz w:val="24"/>
        </w:rPr>
      </w:pPr>
      <w:r>
        <w:rPr>
          <w:i/>
          <w:color w:val="231F20"/>
          <w:sz w:val="24"/>
        </w:rPr>
        <w:t>«</w:t>
      </w:r>
      <w:r>
        <w:rPr>
          <w:i/>
          <w:color w:val="231F20"/>
          <w:spacing w:val="-15"/>
          <w:sz w:val="24"/>
        </w:rPr>
        <w:t> </w:t>
      </w:r>
      <w:r>
        <w:rPr>
          <w:i/>
          <w:color w:val="231F20"/>
          <w:sz w:val="24"/>
        </w:rPr>
        <w:t>IB</w:t>
      </w:r>
      <w:r>
        <w:rPr>
          <w:i/>
          <w:color w:val="231F20"/>
          <w:spacing w:val="-15"/>
          <w:sz w:val="24"/>
        </w:rPr>
        <w:t> </w:t>
      </w:r>
      <w:r>
        <w:rPr>
          <w:i/>
          <w:color w:val="231F20"/>
          <w:sz w:val="24"/>
        </w:rPr>
        <w:t>»,</w:t>
      </w:r>
      <w:r>
        <w:rPr>
          <w:i/>
          <w:color w:val="231F20"/>
          <w:spacing w:val="-8"/>
          <w:sz w:val="24"/>
        </w:rPr>
        <w:t> </w:t>
      </w:r>
      <w:r>
        <w:rPr>
          <w:i/>
          <w:color w:val="231F20"/>
          <w:sz w:val="24"/>
        </w:rPr>
        <w:t>tente</w:t>
      </w:r>
      <w:r>
        <w:rPr>
          <w:i/>
          <w:color w:val="231F20"/>
          <w:spacing w:val="-6"/>
          <w:sz w:val="24"/>
        </w:rPr>
        <w:t> </w:t>
      </w:r>
      <w:r>
        <w:rPr>
          <w:i/>
          <w:color w:val="231F20"/>
          <w:sz w:val="24"/>
        </w:rPr>
        <w:t>depuis</w:t>
      </w:r>
      <w:r>
        <w:rPr>
          <w:i/>
          <w:color w:val="231F20"/>
          <w:spacing w:val="-8"/>
          <w:sz w:val="24"/>
        </w:rPr>
        <w:t> </w:t>
      </w:r>
      <w:r>
        <w:rPr>
          <w:i/>
          <w:color w:val="231F20"/>
          <w:sz w:val="24"/>
        </w:rPr>
        <w:t>deux</w:t>
      </w:r>
      <w:r>
        <w:rPr>
          <w:i/>
          <w:color w:val="231F20"/>
          <w:spacing w:val="-8"/>
          <w:sz w:val="24"/>
        </w:rPr>
        <w:t> </w:t>
      </w:r>
      <w:r>
        <w:rPr>
          <w:i/>
          <w:color w:val="231F20"/>
          <w:sz w:val="24"/>
        </w:rPr>
        <w:t>ans</w:t>
      </w:r>
      <w:r>
        <w:rPr>
          <w:i/>
          <w:color w:val="231F20"/>
          <w:spacing w:val="-6"/>
          <w:sz w:val="24"/>
        </w:rPr>
        <w:t> </w:t>
      </w:r>
      <w:r>
        <w:rPr>
          <w:i/>
          <w:color w:val="231F20"/>
          <w:sz w:val="24"/>
        </w:rPr>
        <w:t>de</w:t>
      </w:r>
      <w:r>
        <w:rPr>
          <w:i/>
          <w:color w:val="231F20"/>
          <w:spacing w:val="-7"/>
          <w:sz w:val="24"/>
        </w:rPr>
        <w:t> </w:t>
      </w:r>
      <w:r>
        <w:rPr>
          <w:i/>
          <w:color w:val="231F20"/>
          <w:sz w:val="24"/>
        </w:rPr>
        <w:t>rectifier</w:t>
      </w:r>
      <w:r>
        <w:rPr>
          <w:i/>
          <w:color w:val="231F20"/>
          <w:spacing w:val="-6"/>
          <w:sz w:val="24"/>
        </w:rPr>
        <w:t> </w:t>
      </w:r>
      <w:r>
        <w:rPr>
          <w:i/>
          <w:color w:val="231F20"/>
          <w:sz w:val="24"/>
        </w:rPr>
        <w:t>l’histoire</w:t>
      </w:r>
      <w:r>
        <w:rPr>
          <w:i/>
          <w:color w:val="231F20"/>
          <w:spacing w:val="-9"/>
          <w:sz w:val="24"/>
        </w:rPr>
        <w:t> </w:t>
      </w:r>
      <w:r>
        <w:rPr>
          <w:i/>
          <w:color w:val="231F20"/>
          <w:sz w:val="24"/>
        </w:rPr>
        <w:t>de</w:t>
      </w:r>
      <w:r>
        <w:rPr>
          <w:i/>
          <w:color w:val="231F20"/>
          <w:spacing w:val="-6"/>
          <w:sz w:val="24"/>
        </w:rPr>
        <w:t> </w:t>
      </w:r>
      <w:r>
        <w:rPr>
          <w:i/>
          <w:color w:val="231F20"/>
          <w:sz w:val="24"/>
        </w:rPr>
        <w:t>la</w:t>
      </w:r>
      <w:r>
        <w:rPr>
          <w:i/>
          <w:color w:val="231F20"/>
          <w:spacing w:val="-8"/>
          <w:sz w:val="24"/>
        </w:rPr>
        <w:t> </w:t>
      </w:r>
      <w:r>
        <w:rPr>
          <w:i/>
          <w:color w:val="231F20"/>
          <w:sz w:val="24"/>
        </w:rPr>
        <w:t>Côte</w:t>
      </w:r>
      <w:r>
        <w:rPr>
          <w:i/>
          <w:color w:val="231F20"/>
          <w:spacing w:val="-6"/>
          <w:sz w:val="24"/>
        </w:rPr>
        <w:t> </w:t>
      </w:r>
      <w:r>
        <w:rPr>
          <w:i/>
          <w:color w:val="231F20"/>
          <w:sz w:val="24"/>
        </w:rPr>
        <w:t>d’Ivoire</w:t>
      </w:r>
      <w:r>
        <w:rPr>
          <w:i/>
          <w:color w:val="231F20"/>
          <w:spacing w:val="-6"/>
          <w:sz w:val="24"/>
        </w:rPr>
        <w:t> </w:t>
      </w:r>
      <w:r>
        <w:rPr>
          <w:i/>
          <w:color w:val="231F20"/>
          <w:sz w:val="24"/>
        </w:rPr>
        <w:t>à</w:t>
      </w:r>
      <w:r>
        <w:rPr>
          <w:i/>
          <w:color w:val="231F20"/>
          <w:sz w:val="24"/>
        </w:rPr>
        <w:t> la pointe du fusil(..)Le 1er octobre, onze jours après le début du soulèvement, c’est lui qui</w:t>
      </w:r>
      <w:r>
        <w:rPr>
          <w:i/>
          <w:color w:val="231F20"/>
          <w:spacing w:val="-2"/>
          <w:sz w:val="24"/>
        </w:rPr>
        <w:t> </w:t>
      </w:r>
      <w:r>
        <w:rPr>
          <w:i/>
          <w:color w:val="231F20"/>
          <w:sz w:val="24"/>
        </w:rPr>
        <w:t>révèle le nom que</w:t>
      </w:r>
      <w:r>
        <w:rPr>
          <w:i/>
          <w:color w:val="231F20"/>
          <w:spacing w:val="-3"/>
          <w:sz w:val="24"/>
        </w:rPr>
        <w:t> </w:t>
      </w:r>
      <w:r>
        <w:rPr>
          <w:i/>
          <w:color w:val="231F20"/>
          <w:sz w:val="24"/>
        </w:rPr>
        <w:t>finissent par</w:t>
      </w:r>
      <w:r>
        <w:rPr>
          <w:i/>
          <w:color w:val="231F20"/>
          <w:spacing w:val="-3"/>
          <w:sz w:val="24"/>
        </w:rPr>
        <w:t> </w:t>
      </w:r>
      <w:r>
        <w:rPr>
          <w:i/>
          <w:color w:val="231F20"/>
          <w:sz w:val="24"/>
        </w:rPr>
        <w:t>se donner les rebelles</w:t>
      </w:r>
      <w:r>
        <w:rPr>
          <w:i/>
          <w:color w:val="231F20"/>
          <w:spacing w:val="-3"/>
          <w:sz w:val="24"/>
        </w:rPr>
        <w:t> </w:t>
      </w:r>
      <w:r>
        <w:rPr>
          <w:i/>
          <w:color w:val="231F20"/>
          <w:sz w:val="24"/>
        </w:rPr>
        <w:t>:</w:t>
      </w:r>
      <w:r>
        <w:rPr>
          <w:i/>
          <w:color w:val="231F20"/>
          <w:spacing w:val="-1"/>
          <w:sz w:val="24"/>
        </w:rPr>
        <w:t> </w:t>
      </w:r>
      <w:r>
        <w:rPr>
          <w:i/>
          <w:color w:val="231F20"/>
          <w:sz w:val="24"/>
        </w:rPr>
        <w:t>Mouvement patriotique</w:t>
      </w:r>
      <w:r>
        <w:rPr>
          <w:i/>
          <w:color w:val="231F20"/>
          <w:spacing w:val="-4"/>
          <w:sz w:val="24"/>
        </w:rPr>
        <w:t> </w:t>
      </w:r>
      <w:r>
        <w:rPr>
          <w:i/>
          <w:color w:val="231F20"/>
          <w:sz w:val="24"/>
        </w:rPr>
        <w:t>de Côte</w:t>
      </w:r>
      <w:r>
        <w:rPr>
          <w:i/>
          <w:color w:val="231F20"/>
          <w:spacing w:val="-3"/>
          <w:sz w:val="24"/>
        </w:rPr>
        <w:t> </w:t>
      </w:r>
      <w:r>
        <w:rPr>
          <w:i/>
          <w:color w:val="231F20"/>
          <w:sz w:val="24"/>
        </w:rPr>
        <w:t>d’Ivoire.</w:t>
      </w:r>
    </w:p>
    <w:p>
      <w:pPr>
        <w:pStyle w:val="BodyText"/>
        <w:ind w:left="0"/>
        <w:jc w:val="left"/>
        <w:rPr>
          <w:i/>
          <w:sz w:val="20"/>
        </w:rPr>
      </w:pPr>
    </w:p>
    <w:p>
      <w:pPr>
        <w:pStyle w:val="BodyText"/>
        <w:spacing w:before="227"/>
        <w:ind w:left="0"/>
        <w:jc w:val="left"/>
        <w:rPr>
          <w:i/>
          <w:sz w:val="20"/>
        </w:rPr>
      </w:pPr>
      <w:r>
        <w:rPr/>
        <mc:AlternateContent>
          <mc:Choice Requires="wps">
            <w:drawing>
              <wp:anchor distT="0" distB="0" distL="0" distR="0" allowOverlap="1" layoutInCell="1" locked="0" behindDoc="1" simplePos="0" relativeHeight="487644672">
                <wp:simplePos x="0" y="0"/>
                <wp:positionH relativeFrom="page">
                  <wp:posOffset>629907</wp:posOffset>
                </wp:positionH>
                <wp:positionV relativeFrom="paragraph">
                  <wp:posOffset>305987</wp:posOffset>
                </wp:positionV>
                <wp:extent cx="1829435" cy="9525"/>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4.093477pt;width:144.020pt;height:.72pt;mso-position-horizontal-relative:page;mso-position-vertical-relative:paragraph;z-index:-15671808;mso-wrap-distance-left:0;mso-wrap-distance-right:0" id="docshape138" filled="true" fillcolor="#231f20" stroked="false">
                <v:fill type="solid"/>
                <w10:wrap type="topAndBottom"/>
              </v:rect>
            </w:pict>
          </mc:Fallback>
        </mc:AlternateContent>
      </w:r>
    </w:p>
    <w:p>
      <w:pPr>
        <w:spacing w:before="91"/>
        <w:ind w:left="111" w:right="0" w:firstLine="0"/>
        <w:jc w:val="left"/>
        <w:rPr>
          <w:sz w:val="20"/>
        </w:rPr>
      </w:pPr>
      <w:r>
        <w:rPr>
          <w:color w:val="76787A"/>
          <w:spacing w:val="-2"/>
          <w:sz w:val="20"/>
          <w:vertAlign w:val="superscript"/>
        </w:rPr>
        <w:t>177</w:t>
      </w:r>
      <w:r>
        <w:rPr>
          <w:color w:val="76787A"/>
          <w:spacing w:val="-19"/>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nationalité</w:t>
      </w:r>
      <w:r>
        <w:rPr>
          <w:color w:val="231F20"/>
          <w:spacing w:val="-10"/>
          <w:sz w:val="20"/>
          <w:vertAlign w:val="baseline"/>
        </w:rPr>
        <w:t> </w:t>
      </w:r>
      <w:r>
        <w:rPr>
          <w:color w:val="231F20"/>
          <w:spacing w:val="-2"/>
          <w:sz w:val="20"/>
          <w:vertAlign w:val="baseline"/>
        </w:rPr>
        <w:t>américaine,</w:t>
      </w:r>
      <w:r>
        <w:rPr>
          <w:color w:val="231F20"/>
          <w:spacing w:val="-9"/>
          <w:sz w:val="20"/>
          <w:vertAlign w:val="baseline"/>
        </w:rPr>
        <w:t> </w:t>
      </w:r>
      <w:r>
        <w:rPr>
          <w:color w:val="231F20"/>
          <w:spacing w:val="-2"/>
          <w:sz w:val="20"/>
          <w:vertAlign w:val="baseline"/>
        </w:rPr>
        <w:t>journaliste</w:t>
      </w:r>
      <w:r>
        <w:rPr>
          <w:color w:val="231F20"/>
          <w:spacing w:val="-8"/>
          <w:sz w:val="20"/>
          <w:vertAlign w:val="baseline"/>
        </w:rPr>
        <w:t> </w:t>
      </w:r>
      <w:r>
        <w:rPr>
          <w:color w:val="231F20"/>
          <w:spacing w:val="-2"/>
          <w:sz w:val="20"/>
          <w:vertAlign w:val="baseline"/>
        </w:rPr>
        <w:t>spécialiste</w:t>
      </w:r>
      <w:r>
        <w:rPr>
          <w:color w:val="231F20"/>
          <w:spacing w:val="-9"/>
          <w:sz w:val="20"/>
          <w:vertAlign w:val="baseline"/>
        </w:rPr>
        <w:t> </w:t>
      </w:r>
      <w:r>
        <w:rPr>
          <w:color w:val="231F20"/>
          <w:spacing w:val="-2"/>
          <w:sz w:val="20"/>
          <w:vertAlign w:val="baseline"/>
        </w:rPr>
        <w:t>de</w:t>
      </w:r>
      <w:r>
        <w:rPr>
          <w:color w:val="231F20"/>
          <w:spacing w:val="-8"/>
          <w:sz w:val="20"/>
          <w:vertAlign w:val="baseline"/>
        </w:rPr>
        <w:t> </w:t>
      </w:r>
      <w:r>
        <w:rPr>
          <w:color w:val="231F20"/>
          <w:spacing w:val="-2"/>
          <w:sz w:val="20"/>
          <w:vertAlign w:val="baseline"/>
        </w:rPr>
        <w:t>l'Afrique</w:t>
      </w:r>
      <w:r>
        <w:rPr>
          <w:color w:val="231F20"/>
          <w:spacing w:val="-11"/>
          <w:sz w:val="20"/>
          <w:vertAlign w:val="baseline"/>
        </w:rPr>
        <w:t> </w:t>
      </w:r>
      <w:r>
        <w:rPr>
          <w:color w:val="231F20"/>
          <w:spacing w:val="-2"/>
          <w:sz w:val="20"/>
          <w:vertAlign w:val="baseline"/>
        </w:rPr>
        <w:t>pour</w:t>
      </w:r>
      <w:r>
        <w:rPr>
          <w:color w:val="231F20"/>
          <w:spacing w:val="-9"/>
          <w:sz w:val="20"/>
          <w:vertAlign w:val="baseline"/>
        </w:rPr>
        <w:t> </w:t>
      </w:r>
      <w:r>
        <w:rPr>
          <w:color w:val="231F20"/>
          <w:spacing w:val="-2"/>
          <w:sz w:val="20"/>
          <w:vertAlign w:val="baseline"/>
        </w:rPr>
        <w:t>différents</w:t>
      </w:r>
      <w:r>
        <w:rPr>
          <w:color w:val="231F20"/>
          <w:spacing w:val="-9"/>
          <w:sz w:val="20"/>
          <w:vertAlign w:val="baseline"/>
        </w:rPr>
        <w:t> </w:t>
      </w:r>
      <w:r>
        <w:rPr>
          <w:color w:val="231F20"/>
          <w:spacing w:val="-2"/>
          <w:sz w:val="20"/>
          <w:vertAlign w:val="baseline"/>
        </w:rPr>
        <w:t>organes </w:t>
      </w:r>
      <w:r>
        <w:rPr>
          <w:color w:val="231F20"/>
          <w:sz w:val="20"/>
          <w:vertAlign w:val="baseline"/>
        </w:rPr>
        <w:t>de presse français.</w:t>
      </w:r>
    </w:p>
    <w:p>
      <w:pPr>
        <w:spacing w:before="1"/>
        <w:ind w:left="111" w:right="0" w:firstLine="0"/>
        <w:jc w:val="left"/>
        <w:rPr>
          <w:sz w:val="20"/>
        </w:rPr>
      </w:pPr>
      <w:r>
        <w:rPr>
          <w:color w:val="76787A"/>
          <w:spacing w:val="-4"/>
          <w:sz w:val="20"/>
          <w:vertAlign w:val="superscript"/>
        </w:rPr>
        <w:t>178</w:t>
      </w:r>
      <w:r>
        <w:rPr>
          <w:color w:val="76787A"/>
          <w:spacing w:val="-15"/>
          <w:sz w:val="20"/>
          <w:vertAlign w:val="baseline"/>
        </w:rPr>
        <w:t> </w:t>
      </w:r>
      <w:r>
        <w:rPr>
          <w:color w:val="231F20"/>
          <w:spacing w:val="-4"/>
          <w:sz w:val="20"/>
          <w:vertAlign w:val="baseline"/>
        </w:rPr>
        <w:t>Dessinateur</w:t>
      </w:r>
      <w:r>
        <w:rPr>
          <w:color w:val="231F20"/>
          <w:sz w:val="20"/>
          <w:vertAlign w:val="baseline"/>
        </w:rPr>
        <w:t> </w:t>
      </w:r>
      <w:r>
        <w:rPr>
          <w:color w:val="231F20"/>
          <w:spacing w:val="-4"/>
          <w:sz w:val="20"/>
          <w:vertAlign w:val="baseline"/>
        </w:rPr>
        <w:t>de</w:t>
      </w:r>
      <w:r>
        <w:rPr>
          <w:color w:val="231F20"/>
          <w:spacing w:val="-2"/>
          <w:sz w:val="20"/>
          <w:vertAlign w:val="baseline"/>
        </w:rPr>
        <w:t> </w:t>
      </w:r>
      <w:r>
        <w:rPr>
          <w:color w:val="231F20"/>
          <w:spacing w:val="-4"/>
          <w:sz w:val="20"/>
          <w:vertAlign w:val="baseline"/>
        </w:rPr>
        <w:t>presse</w:t>
      </w:r>
      <w:r>
        <w:rPr>
          <w:color w:val="231F20"/>
          <w:sz w:val="20"/>
          <w:vertAlign w:val="baseline"/>
        </w:rPr>
        <w:t> </w:t>
      </w:r>
      <w:r>
        <w:rPr>
          <w:color w:val="231F20"/>
          <w:spacing w:val="-4"/>
          <w:sz w:val="20"/>
          <w:vertAlign w:val="baseline"/>
        </w:rPr>
        <w:t>franco-burkinabè.</w:t>
      </w:r>
    </w:p>
    <w:p>
      <w:pPr>
        <w:spacing w:before="1"/>
        <w:ind w:left="111" w:right="0" w:firstLine="0"/>
        <w:jc w:val="left"/>
        <w:rPr>
          <w:sz w:val="20"/>
        </w:rPr>
      </w:pPr>
      <w:r>
        <w:rPr>
          <w:color w:val="76787A"/>
          <w:spacing w:val="-4"/>
          <w:sz w:val="20"/>
          <w:vertAlign w:val="superscript"/>
        </w:rPr>
        <w:t>179</w:t>
      </w:r>
      <w:r>
        <w:rPr>
          <w:color w:val="76787A"/>
          <w:spacing w:val="3"/>
          <w:sz w:val="20"/>
          <w:vertAlign w:val="baseline"/>
        </w:rPr>
        <w:t> </w:t>
      </w:r>
      <w:r>
        <w:rPr>
          <w:color w:val="231F20"/>
          <w:spacing w:val="-4"/>
          <w:sz w:val="20"/>
          <w:vertAlign w:val="baseline"/>
        </w:rPr>
        <w:t>Français,</w:t>
      </w:r>
      <w:r>
        <w:rPr>
          <w:color w:val="231F20"/>
          <w:spacing w:val="-2"/>
          <w:sz w:val="20"/>
          <w:vertAlign w:val="baseline"/>
        </w:rPr>
        <w:t> </w:t>
      </w:r>
      <w:r>
        <w:rPr>
          <w:color w:val="231F20"/>
          <w:spacing w:val="-4"/>
          <w:sz w:val="20"/>
          <w:vertAlign w:val="baseline"/>
        </w:rPr>
        <w:t>longtemps</w:t>
      </w:r>
      <w:r>
        <w:rPr>
          <w:color w:val="231F20"/>
          <w:spacing w:val="-2"/>
          <w:sz w:val="20"/>
          <w:vertAlign w:val="baseline"/>
        </w:rPr>
        <w:t> </w:t>
      </w:r>
      <w:r>
        <w:rPr>
          <w:color w:val="231F20"/>
          <w:spacing w:val="-4"/>
          <w:sz w:val="20"/>
          <w:vertAlign w:val="baseline"/>
        </w:rPr>
        <w:t>porte-parole</w:t>
      </w:r>
      <w:r>
        <w:rPr>
          <w:color w:val="231F20"/>
          <w:spacing w:val="1"/>
          <w:sz w:val="20"/>
          <w:vertAlign w:val="baseline"/>
        </w:rPr>
        <w:t> </w:t>
      </w:r>
      <w:r>
        <w:rPr>
          <w:color w:val="231F20"/>
          <w:spacing w:val="-4"/>
          <w:sz w:val="20"/>
          <w:vertAlign w:val="baseline"/>
        </w:rPr>
        <w:t>de</w:t>
      </w:r>
      <w:r>
        <w:rPr>
          <w:color w:val="231F20"/>
          <w:spacing w:val="-2"/>
          <w:sz w:val="20"/>
          <w:vertAlign w:val="baseline"/>
        </w:rPr>
        <w:t> </w:t>
      </w:r>
      <w:r>
        <w:rPr>
          <w:color w:val="231F20"/>
          <w:spacing w:val="-4"/>
          <w:sz w:val="20"/>
          <w:vertAlign w:val="baseline"/>
        </w:rPr>
        <w:t>IB</w:t>
      </w:r>
      <w:r>
        <w:rPr>
          <w:color w:val="231F20"/>
          <w:spacing w:val="-1"/>
          <w:sz w:val="20"/>
          <w:vertAlign w:val="baseline"/>
        </w:rPr>
        <w:t> </w:t>
      </w:r>
      <w:r>
        <w:rPr>
          <w:color w:val="231F20"/>
          <w:spacing w:val="-4"/>
          <w:sz w:val="20"/>
          <w:vertAlign w:val="baseline"/>
        </w:rPr>
        <w:t>en</w:t>
      </w:r>
      <w:r>
        <w:rPr>
          <w:color w:val="231F20"/>
          <w:spacing w:val="-1"/>
          <w:sz w:val="20"/>
          <w:vertAlign w:val="baseline"/>
        </w:rPr>
        <w:t> </w:t>
      </w:r>
      <w:r>
        <w:rPr>
          <w:color w:val="231F20"/>
          <w:spacing w:val="-4"/>
          <w:sz w:val="20"/>
          <w:vertAlign w:val="baseline"/>
        </w:rPr>
        <w:t>France.</w:t>
      </w:r>
    </w:p>
    <w:p>
      <w:pPr>
        <w:spacing w:after="0"/>
        <w:jc w:val="left"/>
        <w:rPr>
          <w:sz w:val="20"/>
        </w:rPr>
        <w:sectPr>
          <w:pgSz w:w="8790" w:h="13610"/>
          <w:pgMar w:header="0" w:footer="802" w:top="1060" w:bottom="1000" w:left="880" w:right="880"/>
        </w:sectPr>
      </w:pPr>
    </w:p>
    <w:p>
      <w:pPr>
        <w:spacing w:before="66"/>
        <w:ind w:left="111" w:right="105" w:firstLine="283"/>
        <w:jc w:val="both"/>
        <w:rPr>
          <w:i/>
          <w:sz w:val="24"/>
        </w:rPr>
      </w:pPr>
      <w:r>
        <w:rPr>
          <w:i/>
          <w:color w:val="231F20"/>
          <w:sz w:val="24"/>
        </w:rPr>
        <w:t>(…)une organisation clandestine, la Cosa nostra, basée à</w:t>
      </w:r>
      <w:r>
        <w:rPr>
          <w:i/>
          <w:color w:val="231F20"/>
          <w:sz w:val="24"/>
        </w:rPr>
        <w:t> </w:t>
      </w:r>
      <w:r>
        <w:rPr>
          <w:i/>
          <w:color w:val="231F20"/>
          <w:spacing w:val="-4"/>
          <w:sz w:val="24"/>
        </w:rPr>
        <w:t>Ouagadougou, fournit le</w:t>
      </w:r>
      <w:r>
        <w:rPr>
          <w:i/>
          <w:color w:val="231F20"/>
          <w:spacing w:val="-8"/>
          <w:sz w:val="24"/>
        </w:rPr>
        <w:t> </w:t>
      </w:r>
      <w:r>
        <w:rPr>
          <w:i/>
          <w:color w:val="231F20"/>
          <w:spacing w:val="-4"/>
          <w:sz w:val="24"/>
        </w:rPr>
        <w:t>noyau organisationnel à</w:t>
      </w:r>
      <w:r>
        <w:rPr>
          <w:i/>
          <w:color w:val="231F20"/>
          <w:spacing w:val="-8"/>
          <w:sz w:val="24"/>
        </w:rPr>
        <w:t> </w:t>
      </w:r>
      <w:r>
        <w:rPr>
          <w:i/>
          <w:color w:val="231F20"/>
          <w:spacing w:val="-4"/>
          <w:sz w:val="24"/>
        </w:rPr>
        <w:t>l’insurrection.</w:t>
      </w:r>
      <w:r>
        <w:rPr>
          <w:i/>
          <w:color w:val="231F20"/>
          <w:spacing w:val="-6"/>
          <w:sz w:val="24"/>
        </w:rPr>
        <w:t> </w:t>
      </w:r>
      <w:r>
        <w:rPr>
          <w:i/>
          <w:color w:val="231F20"/>
          <w:spacing w:val="-4"/>
          <w:sz w:val="24"/>
        </w:rPr>
        <w:t>Grâce</w:t>
      </w:r>
      <w:r>
        <w:rPr>
          <w:i/>
          <w:color w:val="231F20"/>
          <w:spacing w:val="-6"/>
          <w:sz w:val="24"/>
        </w:rPr>
        <w:t> </w:t>
      </w:r>
      <w:r>
        <w:rPr>
          <w:i/>
          <w:color w:val="231F20"/>
          <w:spacing w:val="-4"/>
          <w:sz w:val="24"/>
        </w:rPr>
        <w:t>à </w:t>
      </w:r>
      <w:r>
        <w:rPr>
          <w:i/>
          <w:color w:val="231F20"/>
          <w:spacing w:val="-2"/>
          <w:sz w:val="24"/>
        </w:rPr>
        <w:t>un</w:t>
      </w:r>
      <w:r>
        <w:rPr>
          <w:i/>
          <w:color w:val="231F20"/>
          <w:spacing w:val="-13"/>
          <w:sz w:val="24"/>
        </w:rPr>
        <w:t> </w:t>
      </w:r>
      <w:r>
        <w:rPr>
          <w:i/>
          <w:color w:val="231F20"/>
          <w:spacing w:val="-2"/>
          <w:sz w:val="24"/>
        </w:rPr>
        <w:t>généreux</w:t>
      </w:r>
      <w:r>
        <w:rPr>
          <w:i/>
          <w:color w:val="231F20"/>
          <w:spacing w:val="-13"/>
          <w:sz w:val="24"/>
        </w:rPr>
        <w:t> </w:t>
      </w:r>
      <w:r>
        <w:rPr>
          <w:i/>
          <w:color w:val="231F20"/>
          <w:spacing w:val="-2"/>
          <w:sz w:val="24"/>
        </w:rPr>
        <w:t>bailleur</w:t>
      </w:r>
      <w:r>
        <w:rPr>
          <w:i/>
          <w:color w:val="231F20"/>
          <w:spacing w:val="-13"/>
          <w:sz w:val="24"/>
        </w:rPr>
        <w:t> </w:t>
      </w:r>
      <w:r>
        <w:rPr>
          <w:i/>
          <w:color w:val="231F20"/>
          <w:spacing w:val="-2"/>
          <w:sz w:val="24"/>
        </w:rPr>
        <w:t>de</w:t>
      </w:r>
      <w:r>
        <w:rPr>
          <w:i/>
          <w:color w:val="231F20"/>
          <w:spacing w:val="-13"/>
          <w:sz w:val="24"/>
        </w:rPr>
        <w:t> </w:t>
      </w:r>
      <w:r>
        <w:rPr>
          <w:i/>
          <w:color w:val="231F20"/>
          <w:spacing w:val="-2"/>
          <w:sz w:val="24"/>
        </w:rPr>
        <w:t>fonds,</w:t>
      </w:r>
      <w:r>
        <w:rPr>
          <w:i/>
          <w:color w:val="231F20"/>
          <w:spacing w:val="-13"/>
          <w:sz w:val="24"/>
        </w:rPr>
        <w:t> </w:t>
      </w:r>
      <w:r>
        <w:rPr>
          <w:i/>
          <w:color w:val="231F20"/>
          <w:spacing w:val="-2"/>
          <w:sz w:val="24"/>
        </w:rPr>
        <w:t>elle</w:t>
      </w:r>
      <w:r>
        <w:rPr>
          <w:i/>
          <w:color w:val="231F20"/>
          <w:spacing w:val="-13"/>
          <w:sz w:val="24"/>
        </w:rPr>
        <w:t> </w:t>
      </w:r>
      <w:r>
        <w:rPr>
          <w:i/>
          <w:color w:val="231F20"/>
          <w:spacing w:val="-2"/>
          <w:sz w:val="24"/>
        </w:rPr>
        <w:t>a</w:t>
      </w:r>
      <w:r>
        <w:rPr>
          <w:i/>
          <w:color w:val="231F20"/>
          <w:spacing w:val="-13"/>
          <w:sz w:val="24"/>
        </w:rPr>
        <w:t> </w:t>
      </w:r>
      <w:r>
        <w:rPr>
          <w:i/>
          <w:color w:val="231F20"/>
          <w:spacing w:val="-2"/>
          <w:sz w:val="24"/>
        </w:rPr>
        <w:t>recruté</w:t>
      </w:r>
      <w:r>
        <w:rPr>
          <w:i/>
          <w:color w:val="231F20"/>
          <w:spacing w:val="-13"/>
          <w:sz w:val="24"/>
        </w:rPr>
        <w:t> </w:t>
      </w:r>
      <w:r>
        <w:rPr>
          <w:i/>
          <w:color w:val="231F20"/>
          <w:spacing w:val="-2"/>
          <w:sz w:val="24"/>
        </w:rPr>
        <w:t>à</w:t>
      </w:r>
      <w:r>
        <w:rPr>
          <w:i/>
          <w:color w:val="231F20"/>
          <w:spacing w:val="-13"/>
          <w:sz w:val="24"/>
        </w:rPr>
        <w:t> </w:t>
      </w:r>
      <w:r>
        <w:rPr>
          <w:i/>
          <w:color w:val="231F20"/>
          <w:spacing w:val="-2"/>
          <w:sz w:val="24"/>
        </w:rPr>
        <w:t>tour</w:t>
      </w:r>
      <w:r>
        <w:rPr>
          <w:i/>
          <w:color w:val="231F20"/>
          <w:spacing w:val="-13"/>
          <w:sz w:val="24"/>
        </w:rPr>
        <w:t> </w:t>
      </w:r>
      <w:r>
        <w:rPr>
          <w:i/>
          <w:color w:val="231F20"/>
          <w:spacing w:val="-2"/>
          <w:sz w:val="24"/>
        </w:rPr>
        <w:t>de</w:t>
      </w:r>
      <w:r>
        <w:rPr>
          <w:i/>
          <w:color w:val="231F20"/>
          <w:spacing w:val="-13"/>
          <w:sz w:val="24"/>
        </w:rPr>
        <w:t> </w:t>
      </w:r>
      <w:r>
        <w:rPr>
          <w:i/>
          <w:color w:val="231F20"/>
          <w:spacing w:val="-2"/>
          <w:sz w:val="24"/>
        </w:rPr>
        <w:t>bras,</w:t>
      </w:r>
      <w:r>
        <w:rPr>
          <w:i/>
          <w:color w:val="231F20"/>
          <w:spacing w:val="-13"/>
          <w:sz w:val="24"/>
        </w:rPr>
        <w:t> </w:t>
      </w:r>
      <w:r>
        <w:rPr>
          <w:i/>
          <w:color w:val="231F20"/>
          <w:spacing w:val="-2"/>
          <w:sz w:val="24"/>
        </w:rPr>
        <w:t>d’abord</w:t>
      </w:r>
      <w:r>
        <w:rPr>
          <w:i/>
          <w:color w:val="231F20"/>
          <w:spacing w:val="-13"/>
          <w:sz w:val="24"/>
        </w:rPr>
        <w:t> </w:t>
      </w:r>
      <w:r>
        <w:rPr>
          <w:i/>
          <w:color w:val="231F20"/>
          <w:spacing w:val="-2"/>
          <w:sz w:val="24"/>
        </w:rPr>
        <w:t>dans </w:t>
      </w:r>
      <w:r>
        <w:rPr>
          <w:i/>
          <w:color w:val="231F20"/>
          <w:sz w:val="24"/>
        </w:rPr>
        <w:t>les</w:t>
      </w:r>
      <w:r>
        <w:rPr>
          <w:i/>
          <w:color w:val="231F20"/>
          <w:spacing w:val="-13"/>
          <w:sz w:val="24"/>
        </w:rPr>
        <w:t> </w:t>
      </w:r>
      <w:r>
        <w:rPr>
          <w:i/>
          <w:color w:val="231F20"/>
          <w:sz w:val="24"/>
        </w:rPr>
        <w:t>pays</w:t>
      </w:r>
      <w:r>
        <w:rPr>
          <w:i/>
          <w:color w:val="231F20"/>
          <w:spacing w:val="-13"/>
          <w:sz w:val="24"/>
        </w:rPr>
        <w:t> </w:t>
      </w:r>
      <w:r>
        <w:rPr>
          <w:i/>
          <w:color w:val="231F20"/>
          <w:sz w:val="24"/>
        </w:rPr>
        <w:t>voisins,</w:t>
      </w:r>
      <w:r>
        <w:rPr>
          <w:i/>
          <w:color w:val="231F20"/>
          <w:spacing w:val="-13"/>
          <w:sz w:val="24"/>
        </w:rPr>
        <w:t> </w:t>
      </w:r>
      <w:r>
        <w:rPr>
          <w:i/>
          <w:color w:val="231F20"/>
          <w:sz w:val="24"/>
        </w:rPr>
        <w:t>ensuite</w:t>
      </w:r>
      <w:r>
        <w:rPr>
          <w:i/>
          <w:color w:val="231F20"/>
          <w:spacing w:val="-14"/>
          <w:sz w:val="24"/>
        </w:rPr>
        <w:t> </w:t>
      </w:r>
      <w:r>
        <w:rPr>
          <w:i/>
          <w:color w:val="231F20"/>
          <w:sz w:val="24"/>
        </w:rPr>
        <w:t>en</w:t>
      </w:r>
      <w:r>
        <w:rPr>
          <w:i/>
          <w:color w:val="231F20"/>
          <w:spacing w:val="-13"/>
          <w:sz w:val="24"/>
        </w:rPr>
        <w:t> </w:t>
      </w:r>
      <w:r>
        <w:rPr>
          <w:i/>
          <w:color w:val="231F20"/>
          <w:sz w:val="24"/>
        </w:rPr>
        <w:t>Côte</w:t>
      </w:r>
      <w:r>
        <w:rPr>
          <w:i/>
          <w:color w:val="231F20"/>
          <w:spacing w:val="-14"/>
          <w:sz w:val="24"/>
        </w:rPr>
        <w:t> </w:t>
      </w:r>
      <w:r>
        <w:rPr>
          <w:i/>
          <w:color w:val="231F20"/>
          <w:sz w:val="24"/>
        </w:rPr>
        <w:t>d’Ivoire.</w:t>
      </w:r>
      <w:r>
        <w:rPr>
          <w:i/>
          <w:color w:val="231F20"/>
          <w:spacing w:val="-13"/>
          <w:sz w:val="24"/>
        </w:rPr>
        <w:t> </w:t>
      </w:r>
      <w:r>
        <w:rPr>
          <w:i/>
          <w:color w:val="231F20"/>
          <w:sz w:val="24"/>
        </w:rPr>
        <w:t>Elle</w:t>
      </w:r>
      <w:r>
        <w:rPr>
          <w:i/>
          <w:color w:val="231F20"/>
          <w:spacing w:val="-15"/>
          <w:sz w:val="24"/>
        </w:rPr>
        <w:t> </w:t>
      </w:r>
      <w:r>
        <w:rPr>
          <w:i/>
          <w:color w:val="231F20"/>
          <w:sz w:val="24"/>
        </w:rPr>
        <w:t>a</w:t>
      </w:r>
      <w:r>
        <w:rPr>
          <w:i/>
          <w:color w:val="231F20"/>
          <w:spacing w:val="-13"/>
          <w:sz w:val="24"/>
        </w:rPr>
        <w:t> </w:t>
      </w:r>
      <w:r>
        <w:rPr>
          <w:i/>
          <w:color w:val="231F20"/>
          <w:sz w:val="24"/>
        </w:rPr>
        <w:t>acheté</w:t>
      </w:r>
      <w:r>
        <w:rPr>
          <w:i/>
          <w:color w:val="231F20"/>
          <w:spacing w:val="-13"/>
          <w:sz w:val="24"/>
        </w:rPr>
        <w:t> </w:t>
      </w:r>
      <w:r>
        <w:rPr>
          <w:i/>
          <w:color w:val="231F20"/>
          <w:sz w:val="24"/>
        </w:rPr>
        <w:t>des</w:t>
      </w:r>
      <w:r>
        <w:rPr>
          <w:i/>
          <w:color w:val="231F20"/>
          <w:spacing w:val="-13"/>
          <w:sz w:val="24"/>
        </w:rPr>
        <w:t> </w:t>
      </w:r>
      <w:r>
        <w:rPr>
          <w:i/>
          <w:color w:val="231F20"/>
          <w:sz w:val="24"/>
        </w:rPr>
        <w:t>uniformes</w:t>
      </w:r>
      <w:r>
        <w:rPr>
          <w:i/>
          <w:color w:val="231F20"/>
          <w:spacing w:val="-13"/>
          <w:sz w:val="24"/>
        </w:rPr>
        <w:t> </w:t>
      </w:r>
      <w:r>
        <w:rPr>
          <w:i/>
          <w:color w:val="231F20"/>
          <w:sz w:val="24"/>
        </w:rPr>
        <w:t>et des pataugas neufs, des armes en grande quantité. Elle a pourvu en numéraire des combattants payant cash, et s’abstenant de piller, pour gagner la bataille des cœurs et des esprits. Leur opération, d’une si </w:t>
      </w:r>
      <w:r>
        <w:rPr>
          <w:i/>
          <w:color w:val="231F20"/>
          <w:spacing w:val="-2"/>
          <w:sz w:val="24"/>
        </w:rPr>
        <w:t>grande</w:t>
      </w:r>
      <w:r>
        <w:rPr>
          <w:i/>
          <w:color w:val="231F20"/>
          <w:spacing w:val="-13"/>
          <w:sz w:val="24"/>
        </w:rPr>
        <w:t> </w:t>
      </w:r>
      <w:r>
        <w:rPr>
          <w:i/>
          <w:color w:val="231F20"/>
          <w:spacing w:val="-2"/>
          <w:sz w:val="24"/>
        </w:rPr>
        <w:t>envergure,</w:t>
      </w:r>
      <w:r>
        <w:rPr>
          <w:i/>
          <w:color w:val="231F20"/>
          <w:spacing w:val="-13"/>
          <w:sz w:val="24"/>
        </w:rPr>
        <w:t> </w:t>
      </w:r>
      <w:r>
        <w:rPr>
          <w:i/>
          <w:color w:val="231F20"/>
          <w:spacing w:val="-2"/>
          <w:sz w:val="24"/>
        </w:rPr>
        <w:t>a-t-elle</w:t>
      </w:r>
      <w:r>
        <w:rPr>
          <w:i/>
          <w:color w:val="231F20"/>
          <w:spacing w:val="-13"/>
          <w:sz w:val="24"/>
        </w:rPr>
        <w:t> </w:t>
      </w:r>
      <w:r>
        <w:rPr>
          <w:i/>
          <w:color w:val="231F20"/>
          <w:spacing w:val="-2"/>
          <w:sz w:val="24"/>
        </w:rPr>
        <w:t>pu</w:t>
      </w:r>
      <w:r>
        <w:rPr>
          <w:i/>
          <w:color w:val="231F20"/>
          <w:spacing w:val="-13"/>
          <w:sz w:val="24"/>
        </w:rPr>
        <w:t> </w:t>
      </w:r>
      <w:r>
        <w:rPr>
          <w:i/>
          <w:color w:val="231F20"/>
          <w:spacing w:val="-2"/>
          <w:sz w:val="24"/>
        </w:rPr>
        <w:t>se</w:t>
      </w:r>
      <w:r>
        <w:rPr>
          <w:i/>
          <w:color w:val="231F20"/>
          <w:spacing w:val="-13"/>
          <w:sz w:val="24"/>
        </w:rPr>
        <w:t> </w:t>
      </w:r>
      <w:r>
        <w:rPr>
          <w:i/>
          <w:color w:val="231F20"/>
          <w:spacing w:val="-2"/>
          <w:sz w:val="24"/>
        </w:rPr>
        <w:t>monter</w:t>
      </w:r>
      <w:r>
        <w:rPr>
          <w:i/>
          <w:color w:val="231F20"/>
          <w:spacing w:val="-13"/>
          <w:sz w:val="24"/>
        </w:rPr>
        <w:t> </w:t>
      </w:r>
      <w:r>
        <w:rPr>
          <w:i/>
          <w:color w:val="231F20"/>
          <w:spacing w:val="-2"/>
          <w:sz w:val="24"/>
        </w:rPr>
        <w:t>à</w:t>
      </w:r>
      <w:r>
        <w:rPr>
          <w:i/>
          <w:color w:val="231F20"/>
          <w:spacing w:val="-13"/>
          <w:sz w:val="24"/>
        </w:rPr>
        <w:t> </w:t>
      </w:r>
      <w:r>
        <w:rPr>
          <w:i/>
          <w:color w:val="231F20"/>
          <w:spacing w:val="-2"/>
          <w:sz w:val="24"/>
        </w:rPr>
        <w:t>l’insu</w:t>
      </w:r>
      <w:r>
        <w:rPr>
          <w:i/>
          <w:color w:val="231F20"/>
          <w:spacing w:val="-13"/>
          <w:sz w:val="24"/>
        </w:rPr>
        <w:t> </w:t>
      </w:r>
      <w:r>
        <w:rPr>
          <w:i/>
          <w:color w:val="231F20"/>
          <w:spacing w:val="-2"/>
          <w:sz w:val="24"/>
        </w:rPr>
        <w:t>des</w:t>
      </w:r>
      <w:r>
        <w:rPr>
          <w:i/>
          <w:color w:val="231F20"/>
          <w:spacing w:val="-13"/>
          <w:sz w:val="24"/>
        </w:rPr>
        <w:t> </w:t>
      </w:r>
      <w:r>
        <w:rPr>
          <w:i/>
          <w:color w:val="231F20"/>
          <w:spacing w:val="-2"/>
          <w:sz w:val="24"/>
        </w:rPr>
        <w:t>autorités</w:t>
      </w:r>
      <w:r>
        <w:rPr>
          <w:i/>
          <w:color w:val="231F20"/>
          <w:spacing w:val="-13"/>
          <w:sz w:val="24"/>
        </w:rPr>
        <w:t> </w:t>
      </w:r>
      <w:r>
        <w:rPr>
          <w:i/>
          <w:color w:val="231F20"/>
          <w:spacing w:val="-2"/>
          <w:sz w:val="24"/>
        </w:rPr>
        <w:t>burkinabés</w:t>
      </w:r>
    </w:p>
    <w:p>
      <w:pPr>
        <w:spacing w:before="1"/>
        <w:ind w:left="111" w:right="0" w:firstLine="0"/>
        <w:jc w:val="both"/>
        <w:rPr>
          <w:i/>
          <w:sz w:val="24"/>
        </w:rPr>
      </w:pPr>
      <w:r>
        <w:rPr>
          <w:i/>
          <w:color w:val="231F20"/>
          <w:sz w:val="24"/>
        </w:rPr>
        <w:t>?(…)</w:t>
      </w:r>
      <w:r>
        <w:rPr>
          <w:i/>
          <w:color w:val="231F20"/>
          <w:spacing w:val="-15"/>
          <w:sz w:val="24"/>
        </w:rPr>
        <w:t> </w:t>
      </w:r>
      <w:r>
        <w:rPr>
          <w:i/>
          <w:color w:val="231F20"/>
          <w:spacing w:val="-10"/>
          <w:sz w:val="24"/>
        </w:rPr>
        <w:t>»</w:t>
      </w:r>
    </w:p>
    <w:p>
      <w:pPr>
        <w:pStyle w:val="BodyText"/>
        <w:spacing w:before="120"/>
        <w:ind w:right="104" w:firstLine="283"/>
      </w:pPr>
      <w:r>
        <w:rPr>
          <w:color w:val="231F20"/>
        </w:rPr>
        <w:t>Le</w:t>
      </w:r>
      <w:r>
        <w:rPr>
          <w:color w:val="231F20"/>
          <w:spacing w:val="-10"/>
        </w:rPr>
        <w:t> </w:t>
      </w:r>
      <w:r>
        <w:rPr>
          <w:color w:val="231F20"/>
        </w:rPr>
        <w:t>17</w:t>
      </w:r>
      <w:r>
        <w:rPr>
          <w:color w:val="231F20"/>
          <w:spacing w:val="-11"/>
        </w:rPr>
        <w:t> </w:t>
      </w:r>
      <w:r>
        <w:rPr>
          <w:color w:val="231F20"/>
        </w:rPr>
        <w:t>octobre,</w:t>
      </w:r>
      <w:r>
        <w:rPr>
          <w:color w:val="231F20"/>
          <w:spacing w:val="-11"/>
        </w:rPr>
        <w:t> </w:t>
      </w:r>
      <w:r>
        <w:rPr>
          <w:color w:val="231F20"/>
        </w:rPr>
        <w:t>un</w:t>
      </w:r>
      <w:r>
        <w:rPr>
          <w:color w:val="231F20"/>
          <w:spacing w:val="-11"/>
        </w:rPr>
        <w:t> </w:t>
      </w:r>
      <w:r>
        <w:rPr>
          <w:color w:val="231F20"/>
        </w:rPr>
        <w:t>accord</w:t>
      </w:r>
      <w:r>
        <w:rPr>
          <w:color w:val="231F20"/>
          <w:spacing w:val="-14"/>
        </w:rPr>
        <w:t> </w:t>
      </w:r>
      <w:r>
        <w:rPr>
          <w:color w:val="231F20"/>
        </w:rPr>
        <w:t>de</w:t>
      </w:r>
      <w:r>
        <w:rPr>
          <w:color w:val="231F20"/>
          <w:spacing w:val="-10"/>
        </w:rPr>
        <w:t> </w:t>
      </w:r>
      <w:r>
        <w:rPr>
          <w:color w:val="231F20"/>
        </w:rPr>
        <w:t>cessez-le-feu</w:t>
      </w:r>
      <w:r>
        <w:rPr>
          <w:color w:val="231F20"/>
          <w:spacing w:val="-10"/>
        </w:rPr>
        <w:t> </w:t>
      </w:r>
      <w:r>
        <w:rPr>
          <w:color w:val="231F20"/>
        </w:rPr>
        <w:t>est</w:t>
      </w:r>
      <w:r>
        <w:rPr>
          <w:color w:val="231F20"/>
          <w:spacing w:val="-11"/>
        </w:rPr>
        <w:t> </w:t>
      </w:r>
      <w:r>
        <w:rPr>
          <w:color w:val="231F20"/>
        </w:rPr>
        <w:t>signé</w:t>
      </w:r>
      <w:r>
        <w:rPr>
          <w:color w:val="231F20"/>
          <w:spacing w:val="-11"/>
        </w:rPr>
        <w:t> </w:t>
      </w:r>
      <w:r>
        <w:rPr>
          <w:color w:val="231F20"/>
        </w:rPr>
        <w:t>à</w:t>
      </w:r>
      <w:r>
        <w:rPr>
          <w:color w:val="231F20"/>
          <w:spacing w:val="-11"/>
        </w:rPr>
        <w:t> </w:t>
      </w:r>
      <w:r>
        <w:rPr>
          <w:color w:val="231F20"/>
        </w:rPr>
        <w:t>Bouaké</w:t>
      </w:r>
      <w:r>
        <w:rPr>
          <w:color w:val="231F20"/>
          <w:spacing w:val="-10"/>
        </w:rPr>
        <w:t> </w:t>
      </w:r>
      <w:r>
        <w:rPr>
          <w:color w:val="231F20"/>
        </w:rPr>
        <w:t>entre</w:t>
      </w:r>
      <w:r>
        <w:rPr>
          <w:color w:val="231F20"/>
          <w:spacing w:val="-12"/>
        </w:rPr>
        <w:t> </w:t>
      </w:r>
      <w:r>
        <w:rPr>
          <w:color w:val="231F20"/>
        </w:rPr>
        <w:t>le MPCI</w:t>
      </w:r>
      <w:r>
        <w:rPr>
          <w:color w:val="231F20"/>
          <w:spacing w:val="-11"/>
        </w:rPr>
        <w:t> </w:t>
      </w:r>
      <w:r>
        <w:rPr>
          <w:color w:val="231F20"/>
        </w:rPr>
        <w:t>représenté</w:t>
      </w:r>
      <w:r>
        <w:rPr>
          <w:color w:val="231F20"/>
          <w:spacing w:val="-9"/>
        </w:rPr>
        <w:t> </w:t>
      </w:r>
      <w:r>
        <w:rPr>
          <w:color w:val="231F20"/>
        </w:rPr>
        <w:t>par</w:t>
      </w:r>
      <w:r>
        <w:rPr>
          <w:color w:val="231F20"/>
          <w:spacing w:val="-9"/>
        </w:rPr>
        <w:t> </w:t>
      </w:r>
      <w:r>
        <w:rPr>
          <w:color w:val="231F20"/>
        </w:rPr>
        <w:t>Tuo</w:t>
      </w:r>
      <w:r>
        <w:rPr>
          <w:color w:val="231F20"/>
          <w:spacing w:val="-11"/>
        </w:rPr>
        <w:t> </w:t>
      </w:r>
      <w:r>
        <w:rPr>
          <w:color w:val="231F20"/>
        </w:rPr>
        <w:t>Fozié</w:t>
      </w:r>
      <w:r>
        <w:rPr>
          <w:color w:val="231F20"/>
          <w:spacing w:val="-9"/>
        </w:rPr>
        <w:t> </w:t>
      </w:r>
      <w:r>
        <w:rPr>
          <w:color w:val="231F20"/>
        </w:rPr>
        <w:t>et</w:t>
      </w:r>
      <w:r>
        <w:rPr>
          <w:color w:val="231F20"/>
          <w:spacing w:val="-10"/>
        </w:rPr>
        <w:t> </w:t>
      </w:r>
      <w:r>
        <w:rPr>
          <w:color w:val="231F20"/>
        </w:rPr>
        <w:t>le</w:t>
      </w:r>
      <w:r>
        <w:rPr>
          <w:color w:val="231F20"/>
          <w:spacing w:val="-11"/>
        </w:rPr>
        <w:t> </w:t>
      </w:r>
      <w:r>
        <w:rPr>
          <w:color w:val="231F20"/>
        </w:rPr>
        <w:t>groupe</w:t>
      </w:r>
      <w:r>
        <w:rPr>
          <w:color w:val="231F20"/>
          <w:spacing w:val="-11"/>
        </w:rPr>
        <w:t> </w:t>
      </w:r>
      <w:r>
        <w:rPr>
          <w:color w:val="231F20"/>
        </w:rPr>
        <w:t>de</w:t>
      </w:r>
      <w:r>
        <w:rPr>
          <w:color w:val="231F20"/>
          <w:spacing w:val="-9"/>
        </w:rPr>
        <w:t> </w:t>
      </w:r>
      <w:r>
        <w:rPr>
          <w:color w:val="231F20"/>
        </w:rPr>
        <w:t>contact</w:t>
      </w:r>
      <w:r>
        <w:rPr>
          <w:color w:val="231F20"/>
          <w:spacing w:val="-9"/>
        </w:rPr>
        <w:t> </w:t>
      </w:r>
      <w:r>
        <w:rPr>
          <w:color w:val="231F20"/>
        </w:rPr>
        <w:t>de</w:t>
      </w:r>
      <w:r>
        <w:rPr>
          <w:color w:val="231F20"/>
          <w:spacing w:val="-9"/>
        </w:rPr>
        <w:t> </w:t>
      </w:r>
      <w:r>
        <w:rPr>
          <w:color w:val="231F20"/>
        </w:rPr>
        <w:t>la</w:t>
      </w:r>
      <w:r>
        <w:rPr>
          <w:color w:val="231F20"/>
          <w:spacing w:val="-11"/>
        </w:rPr>
        <w:t> </w:t>
      </w:r>
      <w:r>
        <w:rPr>
          <w:color w:val="231F20"/>
        </w:rPr>
        <w:t>CEDEAO.</w:t>
      </w:r>
    </w:p>
    <w:p>
      <w:pPr>
        <w:pStyle w:val="BodyText"/>
        <w:spacing w:before="120"/>
        <w:ind w:right="102" w:firstLine="283"/>
      </w:pPr>
      <w:r>
        <w:rPr>
          <w:color w:val="231F20"/>
        </w:rPr>
        <w:t>Le</w:t>
      </w:r>
      <w:r>
        <w:rPr>
          <w:color w:val="231F20"/>
          <w:spacing w:val="-13"/>
        </w:rPr>
        <w:t> </w:t>
      </w:r>
      <w:r>
        <w:rPr>
          <w:color w:val="231F20"/>
        </w:rPr>
        <w:t>23</w:t>
      </w:r>
      <w:r>
        <w:rPr>
          <w:color w:val="231F20"/>
          <w:spacing w:val="-14"/>
        </w:rPr>
        <w:t> </w:t>
      </w:r>
      <w:r>
        <w:rPr>
          <w:color w:val="231F20"/>
        </w:rPr>
        <w:t>octobre,</w:t>
      </w:r>
      <w:r>
        <w:rPr>
          <w:color w:val="231F20"/>
          <w:spacing w:val="-14"/>
        </w:rPr>
        <w:t> </w:t>
      </w:r>
      <w:r>
        <w:rPr>
          <w:color w:val="231F20"/>
        </w:rPr>
        <w:t>le</w:t>
      </w:r>
      <w:r>
        <w:rPr>
          <w:color w:val="231F20"/>
          <w:spacing w:val="-14"/>
        </w:rPr>
        <w:t> </w:t>
      </w:r>
      <w:r>
        <w:rPr>
          <w:color w:val="231F20"/>
        </w:rPr>
        <w:t>président</w:t>
      </w:r>
      <w:r>
        <w:rPr>
          <w:color w:val="231F20"/>
          <w:spacing w:val="-13"/>
        </w:rPr>
        <w:t> </w:t>
      </w:r>
      <w:r>
        <w:rPr>
          <w:color w:val="231F20"/>
        </w:rPr>
        <w:t>du</w:t>
      </w:r>
      <w:r>
        <w:rPr>
          <w:color w:val="231F20"/>
          <w:spacing w:val="-13"/>
        </w:rPr>
        <w:t> </w:t>
      </w:r>
      <w:r>
        <w:rPr>
          <w:color w:val="231F20"/>
        </w:rPr>
        <w:t>Togo,</w:t>
      </w:r>
      <w:r>
        <w:rPr>
          <w:color w:val="231F20"/>
          <w:spacing w:val="-14"/>
        </w:rPr>
        <w:t> </w:t>
      </w:r>
      <w:r>
        <w:rPr>
          <w:color w:val="231F20"/>
        </w:rPr>
        <w:t>le</w:t>
      </w:r>
      <w:r>
        <w:rPr>
          <w:color w:val="231F20"/>
          <w:spacing w:val="-15"/>
        </w:rPr>
        <w:t> </w:t>
      </w:r>
      <w:r>
        <w:rPr>
          <w:color w:val="231F20"/>
        </w:rPr>
        <w:t>général</w:t>
      </w:r>
      <w:r>
        <w:rPr>
          <w:color w:val="231F20"/>
          <w:spacing w:val="-13"/>
        </w:rPr>
        <w:t> </w:t>
      </w:r>
      <w:r>
        <w:rPr>
          <w:color w:val="231F20"/>
        </w:rPr>
        <w:t>Gnassingbé</w:t>
      </w:r>
      <w:r>
        <w:rPr>
          <w:color w:val="231F20"/>
          <w:spacing w:val="-13"/>
        </w:rPr>
        <w:t> </w:t>
      </w:r>
      <w:r>
        <w:rPr>
          <w:color w:val="231F20"/>
        </w:rPr>
        <w:t>Eyadéma </w:t>
      </w:r>
      <w:r>
        <w:rPr>
          <w:color w:val="231F20"/>
          <w:spacing w:val="-2"/>
        </w:rPr>
        <w:t>est</w:t>
      </w:r>
      <w:r>
        <w:rPr>
          <w:color w:val="231F20"/>
          <w:spacing w:val="-13"/>
        </w:rPr>
        <w:t> </w:t>
      </w:r>
      <w:r>
        <w:rPr>
          <w:color w:val="231F20"/>
          <w:spacing w:val="-2"/>
        </w:rPr>
        <w:t>désigné</w:t>
      </w:r>
      <w:r>
        <w:rPr>
          <w:color w:val="231F20"/>
          <w:spacing w:val="-11"/>
        </w:rPr>
        <w:t> </w:t>
      </w:r>
      <w:r>
        <w:rPr>
          <w:color w:val="231F20"/>
          <w:spacing w:val="-2"/>
        </w:rPr>
        <w:t>pour</w:t>
      </w:r>
      <w:r>
        <w:rPr>
          <w:color w:val="231F20"/>
          <w:spacing w:val="-11"/>
        </w:rPr>
        <w:t> </w:t>
      </w:r>
      <w:r>
        <w:rPr>
          <w:color w:val="231F20"/>
          <w:spacing w:val="-2"/>
        </w:rPr>
        <w:t>conduire</w:t>
      </w:r>
      <w:r>
        <w:rPr>
          <w:color w:val="231F20"/>
          <w:spacing w:val="-13"/>
        </w:rPr>
        <w:t> </w:t>
      </w:r>
      <w:r>
        <w:rPr>
          <w:color w:val="231F20"/>
          <w:spacing w:val="-2"/>
        </w:rPr>
        <w:t>à</w:t>
      </w:r>
      <w:r>
        <w:rPr>
          <w:color w:val="231F20"/>
          <w:spacing w:val="-11"/>
        </w:rPr>
        <w:t> </w:t>
      </w:r>
      <w:r>
        <w:rPr>
          <w:color w:val="231F20"/>
          <w:spacing w:val="-2"/>
        </w:rPr>
        <w:t>Lomé,</w:t>
      </w:r>
      <w:r>
        <w:rPr>
          <w:color w:val="231F20"/>
          <w:spacing w:val="-13"/>
        </w:rPr>
        <w:t> </w:t>
      </w:r>
      <w:r>
        <w:rPr>
          <w:color w:val="231F20"/>
          <w:spacing w:val="-2"/>
        </w:rPr>
        <w:t>les</w:t>
      </w:r>
      <w:r>
        <w:rPr>
          <w:color w:val="231F20"/>
          <w:spacing w:val="-13"/>
        </w:rPr>
        <w:t> </w:t>
      </w:r>
      <w:r>
        <w:rPr>
          <w:color w:val="231F20"/>
          <w:spacing w:val="-2"/>
        </w:rPr>
        <w:t>négociations</w:t>
      </w:r>
      <w:r>
        <w:rPr>
          <w:color w:val="231F20"/>
          <w:spacing w:val="-12"/>
        </w:rPr>
        <w:t> </w:t>
      </w:r>
      <w:r>
        <w:rPr>
          <w:color w:val="231F20"/>
          <w:spacing w:val="-2"/>
        </w:rPr>
        <w:t>du</w:t>
      </w:r>
      <w:r>
        <w:rPr>
          <w:color w:val="231F20"/>
          <w:spacing w:val="-11"/>
        </w:rPr>
        <w:t> </w:t>
      </w:r>
      <w:r>
        <w:rPr>
          <w:color w:val="231F20"/>
          <w:spacing w:val="-2"/>
        </w:rPr>
        <w:t>Groupe</w:t>
      </w:r>
      <w:r>
        <w:rPr>
          <w:color w:val="231F20"/>
          <w:spacing w:val="-13"/>
        </w:rPr>
        <w:t> </w:t>
      </w:r>
      <w:r>
        <w:rPr>
          <w:color w:val="231F20"/>
          <w:spacing w:val="-2"/>
        </w:rPr>
        <w:t>de</w:t>
      </w:r>
      <w:r>
        <w:rPr>
          <w:color w:val="231F20"/>
          <w:spacing w:val="-11"/>
        </w:rPr>
        <w:t> </w:t>
      </w:r>
      <w:r>
        <w:rPr>
          <w:color w:val="231F20"/>
          <w:spacing w:val="-2"/>
        </w:rPr>
        <w:t>contact </w:t>
      </w:r>
      <w:r>
        <w:rPr>
          <w:color w:val="231F20"/>
        </w:rPr>
        <w:t>avec les belligérants. La délégation gouvernementale est dirigée par Laurent Dona Fologo, un cacique du PDCI, président du Conseil économique et social. Il est entouré de représentants de l’Armée, de la </w:t>
      </w:r>
      <w:r>
        <w:rPr>
          <w:color w:val="231F20"/>
          <w:spacing w:val="-2"/>
        </w:rPr>
        <w:t>gendarmerie</w:t>
      </w:r>
      <w:r>
        <w:rPr>
          <w:color w:val="231F20"/>
          <w:spacing w:val="-13"/>
        </w:rPr>
        <w:t> </w:t>
      </w:r>
      <w:r>
        <w:rPr>
          <w:color w:val="231F20"/>
          <w:spacing w:val="-2"/>
        </w:rPr>
        <w:t>et</w:t>
      </w:r>
      <w:r>
        <w:rPr>
          <w:color w:val="231F20"/>
          <w:spacing w:val="-12"/>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société</w:t>
      </w:r>
      <w:r>
        <w:rPr>
          <w:color w:val="231F20"/>
          <w:spacing w:val="-13"/>
        </w:rPr>
        <w:t> </w:t>
      </w:r>
      <w:r>
        <w:rPr>
          <w:color w:val="231F20"/>
          <w:spacing w:val="-2"/>
        </w:rPr>
        <w:t>civile,</w:t>
      </w:r>
      <w:r>
        <w:rPr>
          <w:color w:val="231F20"/>
          <w:spacing w:val="-13"/>
        </w:rPr>
        <w:t> </w:t>
      </w:r>
      <w:r>
        <w:rPr>
          <w:color w:val="231F20"/>
          <w:spacing w:val="-2"/>
        </w:rPr>
        <w:t>ainsi</w:t>
      </w:r>
      <w:r>
        <w:rPr>
          <w:color w:val="231F20"/>
          <w:spacing w:val="-13"/>
        </w:rPr>
        <w:t> </w:t>
      </w:r>
      <w:r>
        <w:rPr>
          <w:color w:val="231F20"/>
          <w:spacing w:val="-2"/>
        </w:rPr>
        <w:t>que</w:t>
      </w:r>
      <w:r>
        <w:rPr>
          <w:color w:val="231F20"/>
          <w:spacing w:val="-13"/>
        </w:rPr>
        <w:t> </w:t>
      </w:r>
      <w:r>
        <w:rPr>
          <w:color w:val="231F20"/>
          <w:spacing w:val="-2"/>
        </w:rPr>
        <w:t>de</w:t>
      </w:r>
      <w:r>
        <w:rPr>
          <w:color w:val="231F20"/>
          <w:spacing w:val="-13"/>
        </w:rPr>
        <w:t> </w:t>
      </w:r>
      <w:r>
        <w:rPr>
          <w:color w:val="231F20"/>
          <w:spacing w:val="-2"/>
        </w:rPr>
        <w:t>nombreux</w:t>
      </w:r>
      <w:r>
        <w:rPr>
          <w:color w:val="231F20"/>
          <w:spacing w:val="-13"/>
        </w:rPr>
        <w:t> </w:t>
      </w:r>
      <w:r>
        <w:rPr>
          <w:color w:val="231F20"/>
          <w:spacing w:val="-2"/>
        </w:rPr>
        <w:t>ministres</w:t>
      </w:r>
      <w:r>
        <w:rPr>
          <w:color w:val="231F20"/>
          <w:spacing w:val="-11"/>
        </w:rPr>
        <w:t> </w:t>
      </w:r>
      <w:r>
        <w:rPr>
          <w:color w:val="231F20"/>
          <w:spacing w:val="-2"/>
        </w:rPr>
        <w:t>issus </w:t>
      </w:r>
      <w:r>
        <w:rPr>
          <w:color w:val="231F20"/>
        </w:rPr>
        <w:t>de tous les partis politiques : le FPI de Laurent Gbagbo et le PDCI de </w:t>
      </w:r>
      <w:r>
        <w:rPr>
          <w:color w:val="231F20"/>
          <w:spacing w:val="-2"/>
        </w:rPr>
        <w:t>Henri</w:t>
      </w:r>
      <w:r>
        <w:rPr>
          <w:color w:val="231F20"/>
          <w:spacing w:val="-10"/>
        </w:rPr>
        <w:t> </w:t>
      </w:r>
      <w:r>
        <w:rPr>
          <w:color w:val="231F20"/>
          <w:spacing w:val="-2"/>
        </w:rPr>
        <w:t>Konan</w:t>
      </w:r>
      <w:r>
        <w:rPr>
          <w:color w:val="231F20"/>
          <w:spacing w:val="-10"/>
        </w:rPr>
        <w:t> </w:t>
      </w:r>
      <w:r>
        <w:rPr>
          <w:color w:val="231F20"/>
          <w:spacing w:val="-2"/>
        </w:rPr>
        <w:t>Bédié,</w:t>
      </w:r>
      <w:r>
        <w:rPr>
          <w:color w:val="231F20"/>
          <w:spacing w:val="-13"/>
        </w:rPr>
        <w:t> </w:t>
      </w:r>
      <w:r>
        <w:rPr>
          <w:color w:val="231F20"/>
          <w:spacing w:val="-2"/>
        </w:rPr>
        <w:t>mais</w:t>
      </w:r>
      <w:r>
        <w:rPr>
          <w:color w:val="231F20"/>
          <w:spacing w:val="-13"/>
        </w:rPr>
        <w:t> </w:t>
      </w:r>
      <w:r>
        <w:rPr>
          <w:color w:val="231F20"/>
          <w:spacing w:val="-2"/>
        </w:rPr>
        <w:t>aussi</w:t>
      </w:r>
      <w:r>
        <w:rPr>
          <w:color w:val="231F20"/>
          <w:spacing w:val="-12"/>
        </w:rPr>
        <w:t> </w:t>
      </w:r>
      <w:r>
        <w:rPr>
          <w:color w:val="231F20"/>
          <w:spacing w:val="-2"/>
        </w:rPr>
        <w:t>du</w:t>
      </w:r>
      <w:r>
        <w:rPr>
          <w:color w:val="231F20"/>
          <w:spacing w:val="-13"/>
        </w:rPr>
        <w:t> </w:t>
      </w:r>
      <w:r>
        <w:rPr>
          <w:color w:val="231F20"/>
          <w:spacing w:val="-2"/>
        </w:rPr>
        <w:t>RDR</w:t>
      </w:r>
      <w:r>
        <w:rPr>
          <w:color w:val="231F20"/>
          <w:spacing w:val="-10"/>
        </w:rPr>
        <w:t> </w:t>
      </w:r>
      <w:r>
        <w:rPr>
          <w:color w:val="231F20"/>
          <w:spacing w:val="-2"/>
        </w:rPr>
        <w:t>d’Alassane</w:t>
      </w:r>
      <w:r>
        <w:rPr>
          <w:color w:val="231F20"/>
          <w:spacing w:val="-13"/>
        </w:rPr>
        <w:t> </w:t>
      </w:r>
      <w:r>
        <w:rPr>
          <w:color w:val="231F20"/>
          <w:spacing w:val="-2"/>
        </w:rPr>
        <w:t>Ouattara</w:t>
      </w:r>
      <w:r>
        <w:rPr>
          <w:color w:val="231F20"/>
          <w:spacing w:val="-11"/>
        </w:rPr>
        <w:t> </w:t>
      </w:r>
      <w:r>
        <w:rPr>
          <w:color w:val="231F20"/>
          <w:spacing w:val="-2"/>
        </w:rPr>
        <w:t>et</w:t>
      </w:r>
      <w:r>
        <w:rPr>
          <w:color w:val="231F20"/>
          <w:spacing w:val="-12"/>
        </w:rPr>
        <w:t> </w:t>
      </w:r>
      <w:r>
        <w:rPr>
          <w:color w:val="231F20"/>
          <w:spacing w:val="-2"/>
        </w:rPr>
        <w:t>l’UDPCI </w:t>
      </w:r>
      <w:r>
        <w:rPr>
          <w:color w:val="231F20"/>
        </w:rPr>
        <w:t>de feu Robert Gueï soupçonnés, dans les milieux officiels Abidjanais, d’être impliqués dans la rébellion en cours. Du côté des rebelles, la présence du colonel Michel Gueu</w:t>
      </w:r>
      <w:r>
        <w:rPr>
          <w:color w:val="231F20"/>
          <w:vertAlign w:val="superscript"/>
        </w:rPr>
        <w:t>180</w:t>
      </w:r>
      <w:r>
        <w:rPr>
          <w:color w:val="231F20"/>
          <w:spacing w:val="-14"/>
          <w:vertAlign w:val="baseline"/>
        </w:rPr>
        <w:t> </w:t>
      </w:r>
      <w:r>
        <w:rPr>
          <w:color w:val="231F20"/>
          <w:vertAlign w:val="baseline"/>
        </w:rPr>
        <w:t>est une première surprise pour les </w:t>
      </w:r>
      <w:r>
        <w:rPr>
          <w:color w:val="231F20"/>
          <w:spacing w:val="-2"/>
          <w:vertAlign w:val="baseline"/>
        </w:rPr>
        <w:t>représentants</w:t>
      </w:r>
      <w:r>
        <w:rPr>
          <w:color w:val="231F20"/>
          <w:spacing w:val="-7"/>
          <w:vertAlign w:val="baseline"/>
        </w:rPr>
        <w:t> </w:t>
      </w:r>
      <w:r>
        <w:rPr>
          <w:color w:val="231F20"/>
          <w:spacing w:val="-2"/>
          <w:vertAlign w:val="baseline"/>
        </w:rPr>
        <w:t>d’Abidjan.</w:t>
      </w:r>
      <w:r>
        <w:rPr>
          <w:color w:val="231F20"/>
          <w:spacing w:val="-7"/>
          <w:vertAlign w:val="baseline"/>
        </w:rPr>
        <w:t> </w:t>
      </w:r>
      <w:r>
        <w:rPr>
          <w:color w:val="231F20"/>
          <w:spacing w:val="-2"/>
          <w:vertAlign w:val="baseline"/>
        </w:rPr>
        <w:t>La</w:t>
      </w:r>
      <w:r>
        <w:rPr>
          <w:color w:val="231F20"/>
          <w:spacing w:val="-7"/>
          <w:vertAlign w:val="baseline"/>
        </w:rPr>
        <w:t> </w:t>
      </w:r>
      <w:r>
        <w:rPr>
          <w:color w:val="231F20"/>
          <w:spacing w:val="-2"/>
          <w:vertAlign w:val="baseline"/>
        </w:rPr>
        <w:t>présence</w:t>
      </w:r>
      <w:r>
        <w:rPr>
          <w:color w:val="231F20"/>
          <w:spacing w:val="-7"/>
          <w:vertAlign w:val="baseline"/>
        </w:rPr>
        <w:t> </w:t>
      </w:r>
      <w:r>
        <w:rPr>
          <w:color w:val="231F20"/>
          <w:spacing w:val="-2"/>
          <w:vertAlign w:val="baseline"/>
        </w:rPr>
        <w:t>de</w:t>
      </w:r>
      <w:r>
        <w:rPr>
          <w:color w:val="231F20"/>
          <w:spacing w:val="-7"/>
          <w:vertAlign w:val="baseline"/>
        </w:rPr>
        <w:t> </w:t>
      </w:r>
      <w:r>
        <w:rPr>
          <w:color w:val="231F20"/>
          <w:spacing w:val="-2"/>
          <w:vertAlign w:val="baseline"/>
        </w:rPr>
        <w:t>Michel</w:t>
      </w:r>
      <w:r>
        <w:rPr>
          <w:color w:val="231F20"/>
          <w:spacing w:val="-7"/>
          <w:vertAlign w:val="baseline"/>
        </w:rPr>
        <w:t> </w:t>
      </w:r>
      <w:r>
        <w:rPr>
          <w:color w:val="231F20"/>
          <w:spacing w:val="-2"/>
          <w:vertAlign w:val="baseline"/>
        </w:rPr>
        <w:t>Gueu</w:t>
      </w:r>
      <w:r>
        <w:rPr>
          <w:color w:val="231F20"/>
          <w:spacing w:val="-7"/>
          <w:vertAlign w:val="baseline"/>
        </w:rPr>
        <w:t> </w:t>
      </w:r>
      <w:r>
        <w:rPr>
          <w:color w:val="231F20"/>
          <w:spacing w:val="-2"/>
          <w:vertAlign w:val="baseline"/>
        </w:rPr>
        <w:t>explique</w:t>
      </w:r>
      <w:r>
        <w:rPr>
          <w:color w:val="231F20"/>
          <w:spacing w:val="-7"/>
          <w:vertAlign w:val="baseline"/>
        </w:rPr>
        <w:t> </w:t>
      </w:r>
      <w:r>
        <w:rPr>
          <w:color w:val="231F20"/>
          <w:spacing w:val="-2"/>
          <w:vertAlign w:val="baseline"/>
        </w:rPr>
        <w:t>mieux</w:t>
      </w:r>
      <w:r>
        <w:rPr>
          <w:color w:val="231F20"/>
          <w:spacing w:val="-7"/>
          <w:vertAlign w:val="baseline"/>
        </w:rPr>
        <w:t> </w:t>
      </w:r>
      <w:r>
        <w:rPr>
          <w:color w:val="231F20"/>
          <w:spacing w:val="-2"/>
          <w:vertAlign w:val="baseline"/>
        </w:rPr>
        <w:t>la </w:t>
      </w:r>
      <w:r>
        <w:rPr>
          <w:color w:val="231F20"/>
          <w:vertAlign w:val="baseline"/>
        </w:rPr>
        <w:t>chute</w:t>
      </w:r>
      <w:r>
        <w:rPr>
          <w:color w:val="231F20"/>
          <w:spacing w:val="-5"/>
          <w:vertAlign w:val="baseline"/>
        </w:rPr>
        <w:t> </w:t>
      </w:r>
      <w:r>
        <w:rPr>
          <w:color w:val="231F20"/>
          <w:vertAlign w:val="baseline"/>
        </w:rPr>
        <w:t>rapide</w:t>
      </w:r>
      <w:r>
        <w:rPr>
          <w:color w:val="231F20"/>
          <w:spacing w:val="-5"/>
          <w:vertAlign w:val="baseline"/>
        </w:rPr>
        <w:t> </w:t>
      </w:r>
      <w:r>
        <w:rPr>
          <w:color w:val="231F20"/>
          <w:vertAlign w:val="baseline"/>
        </w:rPr>
        <w:t>de</w:t>
      </w:r>
      <w:r>
        <w:rPr>
          <w:color w:val="231F20"/>
          <w:spacing w:val="-7"/>
          <w:vertAlign w:val="baseline"/>
        </w:rPr>
        <w:t> </w:t>
      </w:r>
      <w:r>
        <w:rPr>
          <w:color w:val="231F20"/>
          <w:vertAlign w:val="baseline"/>
        </w:rPr>
        <w:t>la</w:t>
      </w:r>
      <w:r>
        <w:rPr>
          <w:color w:val="231F20"/>
          <w:spacing w:val="-7"/>
          <w:vertAlign w:val="baseline"/>
        </w:rPr>
        <w:t> </w:t>
      </w:r>
      <w:r>
        <w:rPr>
          <w:color w:val="231F20"/>
          <w:vertAlign w:val="baseline"/>
        </w:rPr>
        <w:t>deuxième</w:t>
      </w:r>
      <w:r>
        <w:rPr>
          <w:color w:val="231F20"/>
          <w:spacing w:val="-5"/>
          <w:vertAlign w:val="baseline"/>
        </w:rPr>
        <w:t> </w:t>
      </w:r>
      <w:r>
        <w:rPr>
          <w:color w:val="231F20"/>
          <w:vertAlign w:val="baseline"/>
        </w:rPr>
        <w:t>ville</w:t>
      </w:r>
      <w:r>
        <w:rPr>
          <w:color w:val="231F20"/>
          <w:spacing w:val="-7"/>
          <w:vertAlign w:val="baseline"/>
        </w:rPr>
        <w:t> </w:t>
      </w:r>
      <w:r>
        <w:rPr>
          <w:color w:val="231F20"/>
          <w:vertAlign w:val="baseline"/>
        </w:rPr>
        <w:t>ivoirienne.</w:t>
      </w:r>
      <w:r>
        <w:rPr>
          <w:color w:val="231F20"/>
          <w:spacing w:val="-7"/>
          <w:vertAlign w:val="baseline"/>
        </w:rPr>
        <w:t> </w:t>
      </w:r>
      <w:r>
        <w:rPr>
          <w:color w:val="231F20"/>
          <w:vertAlign w:val="baseline"/>
        </w:rPr>
        <w:t>La</w:t>
      </w:r>
      <w:r>
        <w:rPr>
          <w:color w:val="231F20"/>
          <w:spacing w:val="-4"/>
          <w:vertAlign w:val="baseline"/>
        </w:rPr>
        <w:t> </w:t>
      </w:r>
      <w:r>
        <w:rPr>
          <w:color w:val="231F20"/>
          <w:vertAlign w:val="baseline"/>
        </w:rPr>
        <w:t>délégation</w:t>
      </w:r>
      <w:r>
        <w:rPr>
          <w:color w:val="231F20"/>
          <w:spacing w:val="-4"/>
          <w:vertAlign w:val="baseline"/>
        </w:rPr>
        <w:t> </w:t>
      </w:r>
      <w:r>
        <w:rPr>
          <w:color w:val="231F20"/>
          <w:vertAlign w:val="baseline"/>
        </w:rPr>
        <w:t>des</w:t>
      </w:r>
      <w:r>
        <w:rPr>
          <w:color w:val="231F20"/>
          <w:spacing w:val="-6"/>
          <w:vertAlign w:val="baseline"/>
        </w:rPr>
        <w:t> </w:t>
      </w:r>
      <w:r>
        <w:rPr>
          <w:color w:val="231F20"/>
          <w:vertAlign w:val="baseline"/>
        </w:rPr>
        <w:t>rebelles comprend également les deux principaux porte-parole des mutins, l’adjudant</w:t>
      </w:r>
      <w:r>
        <w:rPr>
          <w:color w:val="231F20"/>
          <w:spacing w:val="-8"/>
          <w:vertAlign w:val="baseline"/>
        </w:rPr>
        <w:t> </w:t>
      </w:r>
      <w:r>
        <w:rPr>
          <w:color w:val="231F20"/>
          <w:vertAlign w:val="baseline"/>
        </w:rPr>
        <w:t>Tuho</w:t>
      </w:r>
      <w:r>
        <w:rPr>
          <w:color w:val="231F20"/>
          <w:spacing w:val="-8"/>
          <w:vertAlign w:val="baseline"/>
        </w:rPr>
        <w:t> </w:t>
      </w:r>
      <w:r>
        <w:rPr>
          <w:color w:val="231F20"/>
          <w:vertAlign w:val="baseline"/>
        </w:rPr>
        <w:t>Fozié</w:t>
      </w:r>
      <w:r>
        <w:rPr>
          <w:color w:val="231F20"/>
          <w:spacing w:val="-6"/>
          <w:vertAlign w:val="baseline"/>
        </w:rPr>
        <w:t> </w:t>
      </w:r>
      <w:r>
        <w:rPr>
          <w:color w:val="231F20"/>
          <w:vertAlign w:val="baseline"/>
        </w:rPr>
        <w:t>et</w:t>
      </w:r>
      <w:r>
        <w:rPr>
          <w:color w:val="231F20"/>
          <w:spacing w:val="-8"/>
          <w:vertAlign w:val="baseline"/>
        </w:rPr>
        <w:t> </w:t>
      </w:r>
      <w:r>
        <w:rPr>
          <w:color w:val="231F20"/>
          <w:vertAlign w:val="baseline"/>
        </w:rPr>
        <w:t>le</w:t>
      </w:r>
      <w:r>
        <w:rPr>
          <w:color w:val="231F20"/>
          <w:spacing w:val="-6"/>
          <w:vertAlign w:val="baseline"/>
        </w:rPr>
        <w:t> </w:t>
      </w:r>
      <w:r>
        <w:rPr>
          <w:color w:val="231F20"/>
          <w:vertAlign w:val="baseline"/>
        </w:rPr>
        <w:t>sergent</w:t>
      </w:r>
      <w:r>
        <w:rPr>
          <w:color w:val="231F20"/>
          <w:spacing w:val="-8"/>
          <w:vertAlign w:val="baseline"/>
        </w:rPr>
        <w:t> </w:t>
      </w:r>
      <w:r>
        <w:rPr>
          <w:color w:val="231F20"/>
          <w:vertAlign w:val="baseline"/>
        </w:rPr>
        <w:t>Chérif</w:t>
      </w:r>
      <w:r>
        <w:rPr>
          <w:color w:val="231F20"/>
          <w:spacing w:val="-9"/>
          <w:vertAlign w:val="baseline"/>
        </w:rPr>
        <w:t> </w:t>
      </w:r>
      <w:r>
        <w:rPr>
          <w:color w:val="231F20"/>
          <w:vertAlign w:val="baseline"/>
        </w:rPr>
        <w:t>Ousmane,</w:t>
      </w:r>
      <w:r>
        <w:rPr>
          <w:color w:val="231F20"/>
          <w:spacing w:val="-6"/>
          <w:vertAlign w:val="baseline"/>
        </w:rPr>
        <w:t> </w:t>
      </w:r>
      <w:r>
        <w:rPr>
          <w:color w:val="231F20"/>
          <w:vertAlign w:val="baseline"/>
        </w:rPr>
        <w:t>tous</w:t>
      </w:r>
      <w:r>
        <w:rPr>
          <w:color w:val="231F20"/>
          <w:spacing w:val="-6"/>
          <w:vertAlign w:val="baseline"/>
        </w:rPr>
        <w:t> </w:t>
      </w:r>
      <w:r>
        <w:rPr>
          <w:color w:val="231F20"/>
          <w:vertAlign w:val="baseline"/>
        </w:rPr>
        <w:t>deux</w:t>
      </w:r>
      <w:r>
        <w:rPr>
          <w:color w:val="231F20"/>
          <w:spacing w:val="-6"/>
          <w:vertAlign w:val="baseline"/>
        </w:rPr>
        <w:t> </w:t>
      </w:r>
      <w:r>
        <w:rPr>
          <w:color w:val="231F20"/>
          <w:vertAlign w:val="baseline"/>
        </w:rPr>
        <w:t>proches du colonel Ibrahima Coulibaly dit IB qui demeure toujours à Ouagadougou. L’aile politique est représentée par Guillaume Soro, un </w:t>
      </w:r>
      <w:r>
        <w:rPr>
          <w:color w:val="231F20"/>
          <w:spacing w:val="-2"/>
          <w:vertAlign w:val="baseline"/>
        </w:rPr>
        <w:t>ancien</w:t>
      </w:r>
      <w:r>
        <w:rPr>
          <w:color w:val="231F20"/>
          <w:spacing w:val="-13"/>
          <w:vertAlign w:val="baseline"/>
        </w:rPr>
        <w:t> </w:t>
      </w:r>
      <w:r>
        <w:rPr>
          <w:color w:val="231F20"/>
          <w:spacing w:val="-2"/>
          <w:vertAlign w:val="baseline"/>
        </w:rPr>
        <w:t>leader</w:t>
      </w:r>
      <w:r>
        <w:rPr>
          <w:color w:val="231F20"/>
          <w:spacing w:val="-11"/>
          <w:vertAlign w:val="baseline"/>
        </w:rPr>
        <w:t> </w:t>
      </w:r>
      <w:r>
        <w:rPr>
          <w:color w:val="231F20"/>
          <w:spacing w:val="-2"/>
          <w:vertAlign w:val="baseline"/>
        </w:rPr>
        <w:t>de</w:t>
      </w:r>
      <w:r>
        <w:rPr>
          <w:color w:val="231F20"/>
          <w:spacing w:val="-13"/>
          <w:vertAlign w:val="baseline"/>
        </w:rPr>
        <w:t> </w:t>
      </w:r>
      <w:r>
        <w:rPr>
          <w:color w:val="231F20"/>
          <w:spacing w:val="-2"/>
          <w:vertAlign w:val="baseline"/>
        </w:rPr>
        <w:t>la</w:t>
      </w:r>
      <w:r>
        <w:rPr>
          <w:color w:val="231F20"/>
          <w:spacing w:val="-11"/>
          <w:vertAlign w:val="baseline"/>
        </w:rPr>
        <w:t> </w:t>
      </w:r>
      <w:r>
        <w:rPr>
          <w:color w:val="231F20"/>
          <w:spacing w:val="-2"/>
          <w:vertAlign w:val="baseline"/>
        </w:rPr>
        <w:t>FESCI</w:t>
      </w:r>
      <w:r>
        <w:rPr>
          <w:color w:val="231F20"/>
          <w:spacing w:val="-12"/>
          <w:vertAlign w:val="baseline"/>
        </w:rPr>
        <w:t> </w:t>
      </w:r>
      <w:r>
        <w:rPr>
          <w:color w:val="231F20"/>
          <w:spacing w:val="-2"/>
          <w:vertAlign w:val="baseline"/>
        </w:rPr>
        <w:t>devenu</w:t>
      </w:r>
      <w:r>
        <w:rPr>
          <w:color w:val="231F20"/>
          <w:spacing w:val="-13"/>
          <w:vertAlign w:val="baseline"/>
        </w:rPr>
        <w:t> </w:t>
      </w:r>
      <w:r>
        <w:rPr>
          <w:color w:val="231F20"/>
          <w:spacing w:val="-2"/>
          <w:vertAlign w:val="baseline"/>
        </w:rPr>
        <w:t>le</w:t>
      </w:r>
      <w:r>
        <w:rPr>
          <w:color w:val="231F20"/>
          <w:spacing w:val="-13"/>
          <w:vertAlign w:val="baseline"/>
        </w:rPr>
        <w:t> </w:t>
      </w:r>
      <w:r>
        <w:rPr>
          <w:color w:val="231F20"/>
          <w:spacing w:val="-2"/>
          <w:vertAlign w:val="baseline"/>
        </w:rPr>
        <w:t>Secrétaire</w:t>
      </w:r>
      <w:r>
        <w:rPr>
          <w:color w:val="231F20"/>
          <w:spacing w:val="-13"/>
          <w:vertAlign w:val="baseline"/>
        </w:rPr>
        <w:t> </w:t>
      </w:r>
      <w:r>
        <w:rPr>
          <w:color w:val="231F20"/>
          <w:spacing w:val="-2"/>
          <w:vertAlign w:val="baseline"/>
        </w:rPr>
        <w:t>général</w:t>
      </w:r>
      <w:r>
        <w:rPr>
          <w:color w:val="231F20"/>
          <w:spacing w:val="-9"/>
          <w:vertAlign w:val="baseline"/>
        </w:rPr>
        <w:t> </w:t>
      </w:r>
      <w:r>
        <w:rPr>
          <w:color w:val="231F20"/>
          <w:spacing w:val="-2"/>
          <w:vertAlign w:val="baseline"/>
        </w:rPr>
        <w:t>du</w:t>
      </w:r>
      <w:r>
        <w:rPr>
          <w:color w:val="231F20"/>
          <w:spacing w:val="-13"/>
          <w:vertAlign w:val="baseline"/>
        </w:rPr>
        <w:t> </w:t>
      </w:r>
      <w:r>
        <w:rPr>
          <w:color w:val="231F20"/>
          <w:spacing w:val="-2"/>
          <w:vertAlign w:val="baseline"/>
        </w:rPr>
        <w:t>MPCI.</w:t>
      </w:r>
      <w:r>
        <w:rPr>
          <w:color w:val="231F20"/>
          <w:spacing w:val="-10"/>
          <w:vertAlign w:val="baseline"/>
        </w:rPr>
        <w:t> </w:t>
      </w:r>
      <w:r>
        <w:rPr>
          <w:color w:val="231F20"/>
          <w:spacing w:val="-2"/>
          <w:vertAlign w:val="baseline"/>
        </w:rPr>
        <w:t>Fologo manque</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s’étrangler</w:t>
      </w:r>
      <w:r>
        <w:rPr>
          <w:color w:val="231F20"/>
          <w:spacing w:val="-9"/>
          <w:vertAlign w:val="baseline"/>
        </w:rPr>
        <w:t> </w:t>
      </w:r>
      <w:r>
        <w:rPr>
          <w:color w:val="231F20"/>
          <w:spacing w:val="-2"/>
          <w:vertAlign w:val="baseline"/>
        </w:rPr>
        <w:t>:</w:t>
      </w:r>
      <w:r>
        <w:rPr>
          <w:color w:val="231F20"/>
          <w:spacing w:val="-13"/>
          <w:vertAlign w:val="baseline"/>
        </w:rPr>
        <w:t> </w:t>
      </w:r>
      <w:r>
        <w:rPr>
          <w:color w:val="231F20"/>
          <w:spacing w:val="-2"/>
          <w:vertAlign w:val="baseline"/>
        </w:rPr>
        <w:t>il</w:t>
      </w:r>
      <w:r>
        <w:rPr>
          <w:color w:val="231F20"/>
          <w:spacing w:val="-13"/>
          <w:vertAlign w:val="baseline"/>
        </w:rPr>
        <w:t> </w:t>
      </w:r>
      <w:r>
        <w:rPr>
          <w:color w:val="231F20"/>
          <w:spacing w:val="-2"/>
          <w:vertAlign w:val="baseline"/>
        </w:rPr>
        <w:t>lui</w:t>
      </w:r>
      <w:r>
        <w:rPr>
          <w:color w:val="231F20"/>
          <w:spacing w:val="-12"/>
          <w:vertAlign w:val="baseline"/>
        </w:rPr>
        <w:t> </w:t>
      </w:r>
      <w:r>
        <w:rPr>
          <w:color w:val="231F20"/>
          <w:spacing w:val="-2"/>
          <w:vertAlign w:val="baseline"/>
        </w:rPr>
        <w:t>est</w:t>
      </w:r>
      <w:r>
        <w:rPr>
          <w:color w:val="231F20"/>
          <w:spacing w:val="-13"/>
          <w:vertAlign w:val="baseline"/>
        </w:rPr>
        <w:t> </w:t>
      </w:r>
      <w:r>
        <w:rPr>
          <w:color w:val="231F20"/>
          <w:spacing w:val="-2"/>
          <w:vertAlign w:val="baseline"/>
        </w:rPr>
        <w:t>déjà</w:t>
      </w:r>
      <w:r>
        <w:rPr>
          <w:color w:val="231F20"/>
          <w:spacing w:val="-13"/>
          <w:vertAlign w:val="baseline"/>
        </w:rPr>
        <w:t> </w:t>
      </w:r>
      <w:r>
        <w:rPr>
          <w:color w:val="231F20"/>
          <w:spacing w:val="-2"/>
          <w:vertAlign w:val="baseline"/>
        </w:rPr>
        <w:t>pénible</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s’asseoir</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même</w:t>
      </w:r>
      <w:r>
        <w:rPr>
          <w:color w:val="231F20"/>
          <w:spacing w:val="-13"/>
          <w:vertAlign w:val="baseline"/>
        </w:rPr>
        <w:t> </w:t>
      </w:r>
      <w:r>
        <w:rPr>
          <w:color w:val="231F20"/>
          <w:spacing w:val="-2"/>
          <w:vertAlign w:val="baseline"/>
        </w:rPr>
        <w:t>table de</w:t>
      </w:r>
      <w:r>
        <w:rPr>
          <w:color w:val="231F20"/>
          <w:spacing w:val="-9"/>
          <w:vertAlign w:val="baseline"/>
        </w:rPr>
        <w:t> </w:t>
      </w:r>
      <w:r>
        <w:rPr>
          <w:color w:val="231F20"/>
          <w:spacing w:val="-2"/>
          <w:vertAlign w:val="baseline"/>
        </w:rPr>
        <w:t>discussion</w:t>
      </w:r>
      <w:r>
        <w:rPr>
          <w:color w:val="231F20"/>
          <w:spacing w:val="-9"/>
          <w:vertAlign w:val="baseline"/>
        </w:rPr>
        <w:t> </w:t>
      </w:r>
      <w:r>
        <w:rPr>
          <w:color w:val="231F20"/>
          <w:spacing w:val="-2"/>
          <w:vertAlign w:val="baseline"/>
        </w:rPr>
        <w:t>avec</w:t>
      </w:r>
      <w:r>
        <w:rPr>
          <w:color w:val="231F20"/>
          <w:spacing w:val="-9"/>
          <w:vertAlign w:val="baseline"/>
        </w:rPr>
        <w:t> </w:t>
      </w:r>
      <w:r>
        <w:rPr>
          <w:color w:val="231F20"/>
          <w:spacing w:val="-2"/>
          <w:vertAlign w:val="baseline"/>
        </w:rPr>
        <w:t>des</w:t>
      </w:r>
      <w:r>
        <w:rPr>
          <w:color w:val="231F20"/>
          <w:spacing w:val="-10"/>
          <w:vertAlign w:val="baseline"/>
        </w:rPr>
        <w:t> </w:t>
      </w:r>
      <w:r>
        <w:rPr>
          <w:color w:val="231F20"/>
          <w:spacing w:val="-2"/>
          <w:vertAlign w:val="baseline"/>
        </w:rPr>
        <w:t>rebelles</w:t>
      </w:r>
      <w:r>
        <w:rPr>
          <w:color w:val="231F20"/>
          <w:spacing w:val="-11"/>
          <w:vertAlign w:val="baseline"/>
        </w:rPr>
        <w:t> </w:t>
      </w:r>
      <w:r>
        <w:rPr>
          <w:color w:val="231F20"/>
          <w:spacing w:val="-2"/>
          <w:vertAlign w:val="baseline"/>
        </w:rPr>
        <w:t>mais</w:t>
      </w:r>
      <w:r>
        <w:rPr>
          <w:color w:val="231F20"/>
          <w:spacing w:val="-8"/>
          <w:vertAlign w:val="baseline"/>
        </w:rPr>
        <w:t> </w:t>
      </w:r>
      <w:r>
        <w:rPr>
          <w:color w:val="231F20"/>
          <w:spacing w:val="-2"/>
          <w:vertAlign w:val="baseline"/>
        </w:rPr>
        <w:t>en</w:t>
      </w:r>
      <w:r>
        <w:rPr>
          <w:color w:val="231F20"/>
          <w:spacing w:val="-8"/>
          <w:vertAlign w:val="baseline"/>
        </w:rPr>
        <w:t> </w:t>
      </w:r>
      <w:r>
        <w:rPr>
          <w:color w:val="231F20"/>
          <w:spacing w:val="-2"/>
          <w:vertAlign w:val="baseline"/>
        </w:rPr>
        <w:t>plus,</w:t>
      </w:r>
      <w:r>
        <w:rPr>
          <w:color w:val="231F20"/>
          <w:spacing w:val="-11"/>
          <w:vertAlign w:val="baseline"/>
        </w:rPr>
        <w:t> </w:t>
      </w:r>
      <w:r>
        <w:rPr>
          <w:color w:val="231F20"/>
          <w:spacing w:val="-2"/>
          <w:vertAlign w:val="baseline"/>
        </w:rPr>
        <w:t>il</w:t>
      </w:r>
      <w:r>
        <w:rPr>
          <w:color w:val="231F20"/>
          <w:spacing w:val="-11"/>
          <w:vertAlign w:val="baseline"/>
        </w:rPr>
        <w:t> </w:t>
      </w:r>
      <w:r>
        <w:rPr>
          <w:color w:val="231F20"/>
          <w:spacing w:val="-2"/>
          <w:vertAlign w:val="baseline"/>
        </w:rPr>
        <w:t>doit</w:t>
      </w:r>
      <w:r>
        <w:rPr>
          <w:color w:val="231F20"/>
          <w:spacing w:val="-10"/>
          <w:vertAlign w:val="baseline"/>
        </w:rPr>
        <w:t> </w:t>
      </w:r>
      <w:r>
        <w:rPr>
          <w:color w:val="231F20"/>
          <w:spacing w:val="-2"/>
          <w:vertAlign w:val="baseline"/>
        </w:rPr>
        <w:t>discuter</w:t>
      </w:r>
      <w:r>
        <w:rPr>
          <w:color w:val="231F20"/>
          <w:spacing w:val="-9"/>
          <w:vertAlign w:val="baseline"/>
        </w:rPr>
        <w:t> </w:t>
      </w:r>
      <w:r>
        <w:rPr>
          <w:color w:val="231F20"/>
          <w:spacing w:val="-2"/>
          <w:vertAlign w:val="baseline"/>
        </w:rPr>
        <w:t>d’égal</w:t>
      </w:r>
      <w:r>
        <w:rPr>
          <w:color w:val="231F20"/>
          <w:spacing w:val="-9"/>
          <w:vertAlign w:val="baseline"/>
        </w:rPr>
        <w:t> </w:t>
      </w:r>
      <w:r>
        <w:rPr>
          <w:color w:val="231F20"/>
          <w:spacing w:val="-2"/>
          <w:vertAlign w:val="baseline"/>
        </w:rPr>
        <w:t>à</w:t>
      </w:r>
      <w:r>
        <w:rPr>
          <w:color w:val="231F20"/>
          <w:spacing w:val="-9"/>
          <w:vertAlign w:val="baseline"/>
        </w:rPr>
        <w:t> </w:t>
      </w:r>
      <w:r>
        <w:rPr>
          <w:color w:val="231F20"/>
          <w:spacing w:val="-2"/>
          <w:vertAlign w:val="baseline"/>
        </w:rPr>
        <w:t>égal </w:t>
      </w:r>
      <w:r>
        <w:rPr>
          <w:color w:val="231F20"/>
          <w:vertAlign w:val="baseline"/>
        </w:rPr>
        <w:t>avec Soro qui pourrait avoir l’âge de son fils. En effet, force est de constater</w:t>
      </w:r>
      <w:r>
        <w:rPr>
          <w:color w:val="231F20"/>
          <w:spacing w:val="23"/>
          <w:vertAlign w:val="baseline"/>
        </w:rPr>
        <w:t> </w:t>
      </w:r>
      <w:r>
        <w:rPr>
          <w:color w:val="231F20"/>
          <w:vertAlign w:val="baseline"/>
        </w:rPr>
        <w:t>que</w:t>
      </w:r>
      <w:r>
        <w:rPr>
          <w:color w:val="231F20"/>
          <w:spacing w:val="25"/>
          <w:vertAlign w:val="baseline"/>
        </w:rPr>
        <w:t> </w:t>
      </w:r>
      <w:r>
        <w:rPr>
          <w:color w:val="231F20"/>
          <w:vertAlign w:val="baseline"/>
        </w:rPr>
        <w:t>les</w:t>
      </w:r>
      <w:r>
        <w:rPr>
          <w:color w:val="231F20"/>
          <w:spacing w:val="26"/>
          <w:vertAlign w:val="baseline"/>
        </w:rPr>
        <w:t> </w:t>
      </w:r>
      <w:r>
        <w:rPr>
          <w:color w:val="231F20"/>
          <w:vertAlign w:val="baseline"/>
        </w:rPr>
        <w:t>rebelles</w:t>
      </w:r>
      <w:r>
        <w:rPr>
          <w:color w:val="231F20"/>
          <w:spacing w:val="25"/>
          <w:vertAlign w:val="baseline"/>
        </w:rPr>
        <w:t> </w:t>
      </w:r>
      <w:r>
        <w:rPr>
          <w:color w:val="231F20"/>
          <w:vertAlign w:val="baseline"/>
        </w:rPr>
        <w:t>ont</w:t>
      </w:r>
      <w:r>
        <w:rPr>
          <w:color w:val="231F20"/>
          <w:spacing w:val="29"/>
          <w:vertAlign w:val="baseline"/>
        </w:rPr>
        <w:t> </w:t>
      </w:r>
      <w:r>
        <w:rPr>
          <w:color w:val="231F20"/>
          <w:vertAlign w:val="baseline"/>
        </w:rPr>
        <w:t>marqué</w:t>
      </w:r>
      <w:r>
        <w:rPr>
          <w:color w:val="231F20"/>
          <w:spacing w:val="25"/>
          <w:vertAlign w:val="baseline"/>
        </w:rPr>
        <w:t> </w:t>
      </w:r>
      <w:r>
        <w:rPr>
          <w:color w:val="231F20"/>
          <w:vertAlign w:val="baseline"/>
        </w:rPr>
        <w:t>des</w:t>
      </w:r>
      <w:r>
        <w:rPr>
          <w:color w:val="231F20"/>
          <w:spacing w:val="26"/>
          <w:vertAlign w:val="baseline"/>
        </w:rPr>
        <w:t> </w:t>
      </w:r>
      <w:r>
        <w:rPr>
          <w:color w:val="231F20"/>
          <w:vertAlign w:val="baseline"/>
        </w:rPr>
        <w:t>points</w:t>
      </w:r>
      <w:r>
        <w:rPr>
          <w:color w:val="231F20"/>
          <w:spacing w:val="24"/>
          <w:vertAlign w:val="baseline"/>
        </w:rPr>
        <w:t> </w:t>
      </w:r>
      <w:r>
        <w:rPr>
          <w:color w:val="231F20"/>
          <w:vertAlign w:val="baseline"/>
        </w:rPr>
        <w:t>:</w:t>
      </w:r>
      <w:r>
        <w:rPr>
          <w:color w:val="231F20"/>
          <w:spacing w:val="26"/>
          <w:vertAlign w:val="baseline"/>
        </w:rPr>
        <w:t> </w:t>
      </w:r>
      <w:r>
        <w:rPr>
          <w:color w:val="231F20"/>
          <w:vertAlign w:val="baseline"/>
        </w:rPr>
        <w:t>ils</w:t>
      </w:r>
      <w:r>
        <w:rPr>
          <w:color w:val="231F20"/>
          <w:spacing w:val="27"/>
          <w:vertAlign w:val="baseline"/>
        </w:rPr>
        <w:t> </w:t>
      </w:r>
      <w:r>
        <w:rPr>
          <w:color w:val="231F20"/>
          <w:vertAlign w:val="baseline"/>
        </w:rPr>
        <w:t>ont</w:t>
      </w:r>
      <w:r>
        <w:rPr>
          <w:color w:val="231F20"/>
          <w:spacing w:val="26"/>
          <w:vertAlign w:val="baseline"/>
        </w:rPr>
        <w:t> </w:t>
      </w:r>
      <w:r>
        <w:rPr>
          <w:color w:val="231F20"/>
          <w:vertAlign w:val="baseline"/>
        </w:rPr>
        <w:t>obtenu</w:t>
      </w:r>
      <w:r>
        <w:rPr>
          <w:color w:val="231F20"/>
          <w:spacing w:val="27"/>
          <w:vertAlign w:val="baseline"/>
        </w:rPr>
        <w:t> </w:t>
      </w:r>
      <w:r>
        <w:rPr>
          <w:color w:val="231F20"/>
          <w:spacing w:val="-5"/>
          <w:vertAlign w:val="baseline"/>
        </w:rPr>
        <w:t>une</w:t>
      </w:r>
    </w:p>
    <w:p>
      <w:pPr>
        <w:pStyle w:val="BodyText"/>
        <w:spacing w:before="82"/>
        <w:ind w:left="0"/>
        <w:jc w:val="left"/>
        <w:rPr>
          <w:sz w:val="20"/>
        </w:rPr>
      </w:pPr>
      <w:r>
        <w:rPr/>
        <mc:AlternateContent>
          <mc:Choice Requires="wps">
            <w:drawing>
              <wp:anchor distT="0" distB="0" distL="0" distR="0" allowOverlap="1" layoutInCell="1" locked="0" behindDoc="1" simplePos="0" relativeHeight="487645184">
                <wp:simplePos x="0" y="0"/>
                <wp:positionH relativeFrom="page">
                  <wp:posOffset>629907</wp:posOffset>
                </wp:positionH>
                <wp:positionV relativeFrom="paragraph">
                  <wp:posOffset>213406</wp:posOffset>
                </wp:positionV>
                <wp:extent cx="1829435" cy="9525"/>
                <wp:effectExtent l="0" t="0" r="0" b="0"/>
                <wp:wrapTopAndBottom/>
                <wp:docPr id="141" name="Graphic 141"/>
                <wp:cNvGraphicFramePr>
                  <a:graphicFrameLocks/>
                </wp:cNvGraphicFramePr>
                <a:graphic>
                  <a:graphicData uri="http://schemas.microsoft.com/office/word/2010/wordprocessingShape">
                    <wps:wsp>
                      <wps:cNvPr id="141" name="Graphic 141"/>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803673pt;width:144.020pt;height:.72pt;mso-position-horizontal-relative:page;mso-position-vertical-relative:paragraph;z-index:-15671296;mso-wrap-distance-left:0;mso-wrap-distance-right:0" id="docshape139" filled="true" fillcolor="#231f20" stroked="false">
                <v:fill type="solid"/>
                <w10:wrap type="topAndBottom"/>
              </v:rect>
            </w:pict>
          </mc:Fallback>
        </mc:AlternateContent>
      </w:r>
    </w:p>
    <w:p>
      <w:pPr>
        <w:spacing w:before="91"/>
        <w:ind w:left="111" w:right="102" w:firstLine="0"/>
        <w:jc w:val="both"/>
        <w:rPr>
          <w:sz w:val="20"/>
        </w:rPr>
      </w:pPr>
      <w:r>
        <w:rPr>
          <w:color w:val="76787A"/>
          <w:sz w:val="20"/>
          <w:vertAlign w:val="superscript"/>
        </w:rPr>
        <w:t>180</w:t>
      </w:r>
      <w:r>
        <w:rPr>
          <w:color w:val="76787A"/>
          <w:spacing w:val="-13"/>
          <w:sz w:val="20"/>
          <w:vertAlign w:val="baseline"/>
        </w:rPr>
        <w:t> </w:t>
      </w:r>
      <w:r>
        <w:rPr>
          <w:color w:val="231F20"/>
          <w:sz w:val="20"/>
          <w:vertAlign w:val="baseline"/>
        </w:rPr>
        <w:t>Commandant</w:t>
      </w:r>
      <w:r>
        <w:rPr>
          <w:color w:val="231F20"/>
          <w:spacing w:val="-1"/>
          <w:sz w:val="20"/>
          <w:vertAlign w:val="baseline"/>
        </w:rPr>
        <w:t> </w:t>
      </w:r>
      <w:r>
        <w:rPr>
          <w:color w:val="231F20"/>
          <w:sz w:val="20"/>
          <w:vertAlign w:val="baseline"/>
        </w:rPr>
        <w:t>militaire</w:t>
      </w:r>
      <w:r>
        <w:rPr>
          <w:color w:val="231F20"/>
          <w:spacing w:val="-1"/>
          <w:sz w:val="20"/>
          <w:vertAlign w:val="baseline"/>
        </w:rPr>
        <w:t> </w:t>
      </w:r>
      <w:r>
        <w:rPr>
          <w:color w:val="231F20"/>
          <w:sz w:val="20"/>
          <w:vertAlign w:val="baseline"/>
        </w:rPr>
        <w:t>en second de la</w:t>
      </w:r>
      <w:r>
        <w:rPr>
          <w:color w:val="231F20"/>
          <w:spacing w:val="-3"/>
          <w:sz w:val="20"/>
          <w:vertAlign w:val="baseline"/>
        </w:rPr>
        <w:t> </w:t>
      </w:r>
      <w:r>
        <w:rPr>
          <w:color w:val="231F20"/>
          <w:sz w:val="20"/>
          <w:vertAlign w:val="baseline"/>
        </w:rPr>
        <w:t>ville</w:t>
      </w:r>
      <w:r>
        <w:rPr>
          <w:color w:val="231F20"/>
          <w:spacing w:val="-3"/>
          <w:sz w:val="20"/>
          <w:vertAlign w:val="baseline"/>
        </w:rPr>
        <w:t> </w:t>
      </w:r>
      <w:r>
        <w:rPr>
          <w:color w:val="231F20"/>
          <w:sz w:val="20"/>
          <w:vertAlign w:val="baseline"/>
        </w:rPr>
        <w:t>de</w:t>
      </w:r>
      <w:r>
        <w:rPr>
          <w:color w:val="231F20"/>
          <w:spacing w:val="-1"/>
          <w:sz w:val="20"/>
          <w:vertAlign w:val="baseline"/>
        </w:rPr>
        <w:t> </w:t>
      </w:r>
      <w:r>
        <w:rPr>
          <w:color w:val="231F20"/>
          <w:sz w:val="20"/>
          <w:vertAlign w:val="baseline"/>
        </w:rPr>
        <w:t>Bouaké lors</w:t>
      </w:r>
      <w:r>
        <w:rPr>
          <w:color w:val="231F20"/>
          <w:spacing w:val="-3"/>
          <w:sz w:val="20"/>
          <w:vertAlign w:val="baseline"/>
        </w:rPr>
        <w:t> </w:t>
      </w:r>
      <w:r>
        <w:rPr>
          <w:color w:val="231F20"/>
          <w:sz w:val="20"/>
          <w:vertAlign w:val="baseline"/>
        </w:rPr>
        <w:t>du</w:t>
      </w:r>
      <w:r>
        <w:rPr>
          <w:color w:val="231F20"/>
          <w:spacing w:val="-2"/>
          <w:sz w:val="20"/>
          <w:vertAlign w:val="baseline"/>
        </w:rPr>
        <w:t> </w:t>
      </w:r>
      <w:r>
        <w:rPr>
          <w:color w:val="231F20"/>
          <w:sz w:val="20"/>
          <w:vertAlign w:val="baseline"/>
        </w:rPr>
        <w:t>déclenchement</w:t>
      </w:r>
      <w:r>
        <w:rPr>
          <w:color w:val="231F20"/>
          <w:spacing w:val="-1"/>
          <w:sz w:val="20"/>
          <w:vertAlign w:val="baseline"/>
        </w:rPr>
        <w:t> </w:t>
      </w:r>
      <w:r>
        <w:rPr>
          <w:color w:val="231F20"/>
          <w:sz w:val="20"/>
          <w:vertAlign w:val="baseline"/>
        </w:rPr>
        <w:t>des hostilités.</w:t>
      </w:r>
      <w:r>
        <w:rPr>
          <w:color w:val="231F20"/>
          <w:spacing w:val="-9"/>
          <w:sz w:val="20"/>
          <w:vertAlign w:val="baseline"/>
        </w:rPr>
        <w:t> </w:t>
      </w:r>
      <w:r>
        <w:rPr>
          <w:color w:val="231F20"/>
          <w:sz w:val="20"/>
          <w:vertAlign w:val="baseline"/>
        </w:rPr>
        <w:t>Originaire</w:t>
      </w:r>
      <w:r>
        <w:rPr>
          <w:color w:val="231F20"/>
          <w:spacing w:val="-12"/>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l’ouest</w:t>
      </w:r>
      <w:r>
        <w:rPr>
          <w:color w:val="231F20"/>
          <w:spacing w:val="-11"/>
          <w:sz w:val="20"/>
          <w:vertAlign w:val="baseline"/>
        </w:rPr>
        <w:t> </w:t>
      </w:r>
      <w:r>
        <w:rPr>
          <w:color w:val="231F20"/>
          <w:sz w:val="20"/>
          <w:vertAlign w:val="baseline"/>
        </w:rPr>
        <w:t>du</w:t>
      </w:r>
      <w:r>
        <w:rPr>
          <w:color w:val="231F20"/>
          <w:spacing w:val="-11"/>
          <w:sz w:val="20"/>
          <w:vertAlign w:val="baseline"/>
        </w:rPr>
        <w:t> </w:t>
      </w:r>
      <w:r>
        <w:rPr>
          <w:color w:val="231F20"/>
          <w:sz w:val="20"/>
          <w:vertAlign w:val="baseline"/>
        </w:rPr>
        <w:t>pays,</w:t>
      </w:r>
      <w:r>
        <w:rPr>
          <w:color w:val="231F20"/>
          <w:spacing w:val="-11"/>
          <w:sz w:val="20"/>
          <w:vertAlign w:val="baseline"/>
        </w:rPr>
        <w:t> </w:t>
      </w:r>
      <w:r>
        <w:rPr>
          <w:color w:val="231F20"/>
          <w:sz w:val="20"/>
          <w:vertAlign w:val="baseline"/>
        </w:rPr>
        <w:t>comme</w:t>
      </w:r>
      <w:r>
        <w:rPr>
          <w:color w:val="231F20"/>
          <w:spacing w:val="-11"/>
          <w:sz w:val="20"/>
          <w:vertAlign w:val="baseline"/>
        </w:rPr>
        <w:t> </w:t>
      </w:r>
      <w:r>
        <w:rPr>
          <w:color w:val="231F20"/>
          <w:sz w:val="20"/>
          <w:vertAlign w:val="baseline"/>
        </w:rPr>
        <w:t>le</w:t>
      </w:r>
      <w:r>
        <w:rPr>
          <w:color w:val="231F20"/>
          <w:spacing w:val="-11"/>
          <w:sz w:val="20"/>
          <w:vertAlign w:val="baseline"/>
        </w:rPr>
        <w:t> </w:t>
      </w:r>
      <w:r>
        <w:rPr>
          <w:color w:val="231F20"/>
          <w:sz w:val="20"/>
          <w:vertAlign w:val="baseline"/>
        </w:rPr>
        <w:t>général</w:t>
      </w:r>
      <w:r>
        <w:rPr>
          <w:color w:val="231F20"/>
          <w:spacing w:val="-11"/>
          <w:sz w:val="20"/>
          <w:vertAlign w:val="baseline"/>
        </w:rPr>
        <w:t> </w:t>
      </w:r>
      <w:r>
        <w:rPr>
          <w:color w:val="231F20"/>
          <w:sz w:val="20"/>
          <w:vertAlign w:val="baseline"/>
        </w:rPr>
        <w:t>Gueï,</w:t>
      </w:r>
      <w:r>
        <w:rPr>
          <w:color w:val="231F20"/>
          <w:spacing w:val="-11"/>
          <w:sz w:val="20"/>
          <w:vertAlign w:val="baseline"/>
        </w:rPr>
        <w:t> </w:t>
      </w:r>
      <w:r>
        <w:rPr>
          <w:color w:val="231F20"/>
          <w:sz w:val="20"/>
          <w:vertAlign w:val="baseline"/>
        </w:rPr>
        <w:t>le</w:t>
      </w:r>
      <w:r>
        <w:rPr>
          <w:color w:val="231F20"/>
          <w:spacing w:val="-11"/>
          <w:sz w:val="20"/>
          <w:vertAlign w:val="baseline"/>
        </w:rPr>
        <w:t> </w:t>
      </w:r>
      <w:r>
        <w:rPr>
          <w:color w:val="231F20"/>
          <w:sz w:val="20"/>
          <w:vertAlign w:val="baseline"/>
        </w:rPr>
        <w:t>colonel</w:t>
      </w:r>
      <w:r>
        <w:rPr>
          <w:color w:val="231F20"/>
          <w:spacing w:val="-11"/>
          <w:sz w:val="20"/>
          <w:vertAlign w:val="baseline"/>
        </w:rPr>
        <w:t> </w:t>
      </w:r>
      <w:r>
        <w:rPr>
          <w:color w:val="231F20"/>
          <w:sz w:val="20"/>
          <w:vertAlign w:val="baseline"/>
        </w:rPr>
        <w:t>Gueu</w:t>
      </w:r>
      <w:r>
        <w:rPr>
          <w:color w:val="231F20"/>
          <w:spacing w:val="-10"/>
          <w:sz w:val="20"/>
          <w:vertAlign w:val="baseline"/>
        </w:rPr>
        <w:t> </w:t>
      </w:r>
      <w:r>
        <w:rPr>
          <w:color w:val="231F20"/>
          <w:sz w:val="20"/>
          <w:vertAlign w:val="baseline"/>
        </w:rPr>
        <w:t>avait </w:t>
      </w:r>
      <w:r>
        <w:rPr>
          <w:color w:val="231F20"/>
          <w:spacing w:val="-6"/>
          <w:sz w:val="20"/>
          <w:vertAlign w:val="baseline"/>
        </w:rPr>
        <w:t>dirigé</w:t>
      </w:r>
      <w:r>
        <w:rPr>
          <w:color w:val="231F20"/>
          <w:sz w:val="20"/>
          <w:vertAlign w:val="baseline"/>
        </w:rPr>
        <w:t> </w:t>
      </w:r>
      <w:r>
        <w:rPr>
          <w:color w:val="231F20"/>
          <w:spacing w:val="-6"/>
          <w:sz w:val="20"/>
          <w:vertAlign w:val="baseline"/>
        </w:rPr>
        <w:t>la</w:t>
      </w:r>
      <w:r>
        <w:rPr>
          <w:color w:val="231F20"/>
          <w:sz w:val="20"/>
          <w:vertAlign w:val="baseline"/>
        </w:rPr>
        <w:t> </w:t>
      </w:r>
      <w:r>
        <w:rPr>
          <w:color w:val="231F20"/>
          <w:spacing w:val="-6"/>
          <w:sz w:val="20"/>
          <w:vertAlign w:val="baseline"/>
        </w:rPr>
        <w:t>Garde</w:t>
      </w:r>
      <w:r>
        <w:rPr>
          <w:color w:val="231F20"/>
          <w:sz w:val="20"/>
          <w:vertAlign w:val="baseline"/>
        </w:rPr>
        <w:t> </w:t>
      </w:r>
      <w:r>
        <w:rPr>
          <w:color w:val="231F20"/>
          <w:spacing w:val="-6"/>
          <w:sz w:val="20"/>
          <w:vertAlign w:val="baseline"/>
        </w:rPr>
        <w:t>Républicaine aussitôt</w:t>
      </w:r>
      <w:r>
        <w:rPr>
          <w:color w:val="231F20"/>
          <w:sz w:val="20"/>
          <w:vertAlign w:val="baseline"/>
        </w:rPr>
        <w:t> </w:t>
      </w:r>
      <w:r>
        <w:rPr>
          <w:color w:val="231F20"/>
          <w:spacing w:val="-6"/>
          <w:sz w:val="20"/>
          <w:vertAlign w:val="baseline"/>
        </w:rPr>
        <w:t>après le putsch de Noël 1999.</w:t>
      </w:r>
      <w:r>
        <w:rPr>
          <w:color w:val="231F20"/>
          <w:sz w:val="20"/>
          <w:vertAlign w:val="baseline"/>
        </w:rPr>
        <w:t> </w:t>
      </w:r>
      <w:r>
        <w:rPr>
          <w:color w:val="231F20"/>
          <w:spacing w:val="-6"/>
          <w:sz w:val="20"/>
          <w:vertAlign w:val="baseline"/>
        </w:rPr>
        <w:t>il avait</w:t>
      </w:r>
      <w:r>
        <w:rPr>
          <w:color w:val="231F20"/>
          <w:sz w:val="20"/>
          <w:vertAlign w:val="baseline"/>
        </w:rPr>
        <w:t> </w:t>
      </w:r>
      <w:r>
        <w:rPr>
          <w:color w:val="231F20"/>
          <w:spacing w:val="-6"/>
          <w:sz w:val="20"/>
          <w:vertAlign w:val="baseline"/>
        </w:rPr>
        <w:t>été</w:t>
      </w:r>
      <w:r>
        <w:rPr>
          <w:color w:val="231F20"/>
          <w:sz w:val="20"/>
          <w:vertAlign w:val="baseline"/>
        </w:rPr>
        <w:t> </w:t>
      </w:r>
      <w:r>
        <w:rPr>
          <w:color w:val="231F20"/>
          <w:spacing w:val="-6"/>
          <w:sz w:val="20"/>
          <w:vertAlign w:val="baseline"/>
        </w:rPr>
        <w:t>auparavant, </w:t>
      </w:r>
      <w:r>
        <w:rPr>
          <w:color w:val="231F20"/>
          <w:sz w:val="20"/>
          <w:vertAlign w:val="baseline"/>
        </w:rPr>
        <w:t>membre</w:t>
      </w:r>
      <w:r>
        <w:rPr>
          <w:color w:val="231F20"/>
          <w:spacing w:val="-7"/>
          <w:sz w:val="20"/>
          <w:vertAlign w:val="baseline"/>
        </w:rPr>
        <w:t> </w:t>
      </w:r>
      <w:r>
        <w:rPr>
          <w:color w:val="231F20"/>
          <w:sz w:val="20"/>
          <w:vertAlign w:val="baseline"/>
        </w:rPr>
        <w:t>du</w:t>
      </w:r>
      <w:r>
        <w:rPr>
          <w:color w:val="231F20"/>
          <w:spacing w:val="-5"/>
          <w:sz w:val="20"/>
          <w:vertAlign w:val="baseline"/>
        </w:rPr>
        <w:t> </w:t>
      </w:r>
      <w:r>
        <w:rPr>
          <w:color w:val="231F20"/>
          <w:sz w:val="20"/>
          <w:vertAlign w:val="baseline"/>
        </w:rPr>
        <w:t>service</w:t>
      </w:r>
      <w:r>
        <w:rPr>
          <w:color w:val="231F20"/>
          <w:spacing w:val="-7"/>
          <w:sz w:val="20"/>
          <w:vertAlign w:val="baseline"/>
        </w:rPr>
        <w:t> </w:t>
      </w:r>
      <w:r>
        <w:rPr>
          <w:color w:val="231F20"/>
          <w:sz w:val="20"/>
          <w:vertAlign w:val="baseline"/>
        </w:rPr>
        <w:t>de</w:t>
      </w:r>
      <w:r>
        <w:rPr>
          <w:color w:val="231F20"/>
          <w:spacing w:val="-7"/>
          <w:sz w:val="20"/>
          <w:vertAlign w:val="baseline"/>
        </w:rPr>
        <w:t> </w:t>
      </w:r>
      <w:r>
        <w:rPr>
          <w:color w:val="231F20"/>
          <w:sz w:val="20"/>
          <w:vertAlign w:val="baseline"/>
        </w:rPr>
        <w:t>sécurité</w:t>
      </w:r>
      <w:r>
        <w:rPr>
          <w:color w:val="231F20"/>
          <w:spacing w:val="-7"/>
          <w:sz w:val="20"/>
          <w:vertAlign w:val="baseline"/>
        </w:rPr>
        <w:t> </w:t>
      </w:r>
      <w:r>
        <w:rPr>
          <w:color w:val="231F20"/>
          <w:sz w:val="20"/>
          <w:vertAlign w:val="baseline"/>
        </w:rPr>
        <w:t>d’</w:t>
      </w:r>
      <w:r>
        <w:rPr>
          <w:color w:val="231F20"/>
          <w:spacing w:val="-7"/>
          <w:sz w:val="20"/>
          <w:vertAlign w:val="baseline"/>
        </w:rPr>
        <w:t> </w:t>
      </w:r>
      <w:r>
        <w:rPr>
          <w:color w:val="231F20"/>
          <w:sz w:val="20"/>
          <w:vertAlign w:val="baseline"/>
        </w:rPr>
        <w:t>Alassane</w:t>
      </w:r>
      <w:r>
        <w:rPr>
          <w:color w:val="231F20"/>
          <w:spacing w:val="-5"/>
          <w:sz w:val="20"/>
          <w:vertAlign w:val="baseline"/>
        </w:rPr>
        <w:t> </w:t>
      </w:r>
      <w:r>
        <w:rPr>
          <w:color w:val="231F20"/>
          <w:sz w:val="20"/>
          <w:vertAlign w:val="baseline"/>
        </w:rPr>
        <w:t>Ouattara,</w:t>
      </w:r>
      <w:r>
        <w:rPr>
          <w:color w:val="231F20"/>
          <w:spacing w:val="-7"/>
          <w:sz w:val="20"/>
          <w:vertAlign w:val="baseline"/>
        </w:rPr>
        <w:t> </w:t>
      </w:r>
      <w:r>
        <w:rPr>
          <w:color w:val="231F20"/>
          <w:sz w:val="20"/>
          <w:vertAlign w:val="baseline"/>
        </w:rPr>
        <w:t>notamment</w:t>
      </w:r>
      <w:r>
        <w:rPr>
          <w:color w:val="231F20"/>
          <w:spacing w:val="-7"/>
          <w:sz w:val="20"/>
          <w:vertAlign w:val="baseline"/>
        </w:rPr>
        <w:t> </w:t>
      </w:r>
      <w:r>
        <w:rPr>
          <w:color w:val="231F20"/>
          <w:sz w:val="20"/>
          <w:vertAlign w:val="baseline"/>
        </w:rPr>
        <w:t>lorsque</w:t>
      </w:r>
      <w:r>
        <w:rPr>
          <w:color w:val="231F20"/>
          <w:spacing w:val="-7"/>
          <w:sz w:val="20"/>
          <w:vertAlign w:val="baseline"/>
        </w:rPr>
        <w:t> </w:t>
      </w:r>
      <w:r>
        <w:rPr>
          <w:color w:val="231F20"/>
          <w:sz w:val="20"/>
          <w:vertAlign w:val="baseline"/>
        </w:rPr>
        <w:t>celui-ci</w:t>
      </w:r>
      <w:r>
        <w:rPr>
          <w:color w:val="231F20"/>
          <w:spacing w:val="-5"/>
          <w:sz w:val="20"/>
          <w:vertAlign w:val="baseline"/>
        </w:rPr>
        <w:t> </w:t>
      </w:r>
      <w:r>
        <w:rPr>
          <w:color w:val="231F20"/>
          <w:sz w:val="20"/>
          <w:vertAlign w:val="baseline"/>
        </w:rPr>
        <w:t>était Premier</w:t>
      </w:r>
      <w:r>
        <w:rPr>
          <w:color w:val="231F20"/>
          <w:spacing w:val="-4"/>
          <w:sz w:val="20"/>
          <w:vertAlign w:val="baseline"/>
        </w:rPr>
        <w:t> </w:t>
      </w:r>
      <w:r>
        <w:rPr>
          <w:color w:val="231F20"/>
          <w:sz w:val="20"/>
          <w:vertAlign w:val="baseline"/>
        </w:rPr>
        <w:t>ministre.</w:t>
      </w:r>
      <w:r>
        <w:rPr>
          <w:color w:val="231F20"/>
          <w:spacing w:val="-4"/>
          <w:sz w:val="20"/>
          <w:vertAlign w:val="baseline"/>
        </w:rPr>
        <w:t> </w:t>
      </w:r>
      <w:r>
        <w:rPr>
          <w:color w:val="231F20"/>
          <w:sz w:val="20"/>
          <w:vertAlign w:val="baseline"/>
        </w:rPr>
        <w:t>C’est</w:t>
      </w:r>
      <w:r>
        <w:rPr>
          <w:color w:val="231F20"/>
          <w:spacing w:val="-2"/>
          <w:sz w:val="20"/>
          <w:vertAlign w:val="baseline"/>
        </w:rPr>
        <w:t> </w:t>
      </w:r>
      <w:r>
        <w:rPr>
          <w:color w:val="231F20"/>
          <w:sz w:val="20"/>
          <w:vertAlign w:val="baseline"/>
        </w:rPr>
        <w:t>le</w:t>
      </w:r>
      <w:r>
        <w:rPr>
          <w:color w:val="231F20"/>
          <w:spacing w:val="-4"/>
          <w:sz w:val="20"/>
          <w:vertAlign w:val="baseline"/>
        </w:rPr>
        <w:t> </w:t>
      </w:r>
      <w:r>
        <w:rPr>
          <w:color w:val="231F20"/>
          <w:sz w:val="20"/>
          <w:vertAlign w:val="baseline"/>
        </w:rPr>
        <w:t>président</w:t>
      </w:r>
      <w:r>
        <w:rPr>
          <w:color w:val="231F20"/>
          <w:spacing w:val="-2"/>
          <w:sz w:val="20"/>
          <w:vertAlign w:val="baseline"/>
        </w:rPr>
        <w:t> </w:t>
      </w:r>
      <w:r>
        <w:rPr>
          <w:color w:val="231F20"/>
          <w:sz w:val="20"/>
          <w:vertAlign w:val="baseline"/>
        </w:rPr>
        <w:t>Laurent</w:t>
      </w:r>
      <w:r>
        <w:rPr>
          <w:color w:val="231F20"/>
          <w:spacing w:val="-5"/>
          <w:sz w:val="20"/>
          <w:vertAlign w:val="baseline"/>
        </w:rPr>
        <w:t> </w:t>
      </w:r>
      <w:r>
        <w:rPr>
          <w:color w:val="231F20"/>
          <w:sz w:val="20"/>
          <w:vertAlign w:val="baseline"/>
        </w:rPr>
        <w:t>Gbagbo</w:t>
      </w:r>
      <w:r>
        <w:rPr>
          <w:color w:val="231F20"/>
          <w:spacing w:val="-4"/>
          <w:sz w:val="20"/>
          <w:vertAlign w:val="baseline"/>
        </w:rPr>
        <w:t> </w:t>
      </w:r>
      <w:r>
        <w:rPr>
          <w:color w:val="231F20"/>
          <w:sz w:val="20"/>
          <w:vertAlign w:val="baseline"/>
        </w:rPr>
        <w:t>qui</w:t>
      </w:r>
      <w:r>
        <w:rPr>
          <w:color w:val="231F20"/>
          <w:spacing w:val="-2"/>
          <w:sz w:val="20"/>
          <w:vertAlign w:val="baseline"/>
        </w:rPr>
        <w:t> </w:t>
      </w:r>
      <w:r>
        <w:rPr>
          <w:color w:val="231F20"/>
          <w:sz w:val="20"/>
          <w:vertAlign w:val="baseline"/>
        </w:rPr>
        <w:t>l’avait</w:t>
      </w:r>
      <w:r>
        <w:rPr>
          <w:color w:val="231F20"/>
          <w:spacing w:val="-2"/>
          <w:sz w:val="20"/>
          <w:vertAlign w:val="baseline"/>
        </w:rPr>
        <w:t> </w:t>
      </w:r>
      <w:r>
        <w:rPr>
          <w:color w:val="231F20"/>
          <w:sz w:val="20"/>
          <w:vertAlign w:val="baseline"/>
        </w:rPr>
        <w:t>nommé</w:t>
      </w:r>
      <w:r>
        <w:rPr>
          <w:color w:val="231F20"/>
          <w:spacing w:val="-2"/>
          <w:sz w:val="20"/>
          <w:vertAlign w:val="baseline"/>
        </w:rPr>
        <w:t> </w:t>
      </w:r>
      <w:r>
        <w:rPr>
          <w:color w:val="231F20"/>
          <w:sz w:val="20"/>
          <w:vertAlign w:val="baseline"/>
        </w:rPr>
        <w:t>à</w:t>
      </w:r>
      <w:r>
        <w:rPr>
          <w:color w:val="231F20"/>
          <w:spacing w:val="-4"/>
          <w:sz w:val="20"/>
          <w:vertAlign w:val="baseline"/>
        </w:rPr>
        <w:t> </w:t>
      </w:r>
      <w:r>
        <w:rPr>
          <w:color w:val="231F20"/>
          <w:sz w:val="20"/>
          <w:vertAlign w:val="baseline"/>
        </w:rPr>
        <w:t>la</w:t>
      </w:r>
      <w:r>
        <w:rPr>
          <w:color w:val="231F20"/>
          <w:spacing w:val="-2"/>
          <w:sz w:val="20"/>
          <w:vertAlign w:val="baseline"/>
        </w:rPr>
        <w:t> </w:t>
      </w:r>
      <w:r>
        <w:rPr>
          <w:color w:val="231F20"/>
          <w:sz w:val="20"/>
          <w:vertAlign w:val="baseline"/>
        </w:rPr>
        <w:t>tête</w:t>
      </w:r>
      <w:r>
        <w:rPr>
          <w:color w:val="231F20"/>
          <w:spacing w:val="-4"/>
          <w:sz w:val="20"/>
          <w:vertAlign w:val="baseline"/>
        </w:rPr>
        <w:t> </w:t>
      </w:r>
      <w:r>
        <w:rPr>
          <w:color w:val="231F20"/>
          <w:sz w:val="20"/>
          <w:vertAlign w:val="baseline"/>
        </w:rPr>
        <w:t>de</w:t>
      </w:r>
      <w:r>
        <w:rPr>
          <w:color w:val="231F20"/>
          <w:spacing w:val="-2"/>
          <w:sz w:val="20"/>
          <w:vertAlign w:val="baseline"/>
        </w:rPr>
        <w:t> </w:t>
      </w:r>
      <w:r>
        <w:rPr>
          <w:color w:val="231F20"/>
          <w:sz w:val="20"/>
          <w:vertAlign w:val="baseline"/>
        </w:rPr>
        <w:t>la troisième région militaire, basée à Bouaké.</w:t>
      </w:r>
    </w:p>
    <w:p>
      <w:pPr>
        <w:spacing w:after="0"/>
        <w:jc w:val="both"/>
        <w:rPr>
          <w:sz w:val="20"/>
        </w:rPr>
        <w:sectPr>
          <w:pgSz w:w="8790" w:h="13610"/>
          <w:pgMar w:header="0" w:footer="802" w:top="1060" w:bottom="1000" w:left="880" w:right="880"/>
        </w:sectPr>
      </w:pPr>
    </w:p>
    <w:p>
      <w:pPr>
        <w:pStyle w:val="BodyText"/>
        <w:spacing w:before="66"/>
        <w:ind w:right="108"/>
      </w:pPr>
      <w:r>
        <w:rPr>
          <w:color w:val="231F20"/>
          <w:spacing w:val="-4"/>
        </w:rPr>
        <w:t>négociation</w:t>
      </w:r>
      <w:r>
        <w:rPr>
          <w:color w:val="231F20"/>
          <w:spacing w:val="-11"/>
        </w:rPr>
        <w:t> </w:t>
      </w:r>
      <w:r>
        <w:rPr>
          <w:color w:val="231F20"/>
          <w:spacing w:val="-4"/>
        </w:rPr>
        <w:t>sur</w:t>
      </w:r>
      <w:r>
        <w:rPr>
          <w:color w:val="231F20"/>
          <w:spacing w:val="-11"/>
        </w:rPr>
        <w:t> </w:t>
      </w:r>
      <w:r>
        <w:rPr>
          <w:color w:val="231F20"/>
          <w:spacing w:val="-4"/>
        </w:rPr>
        <w:t>un</w:t>
      </w:r>
      <w:r>
        <w:rPr>
          <w:color w:val="231F20"/>
          <w:spacing w:val="-11"/>
        </w:rPr>
        <w:t> </w:t>
      </w:r>
      <w:r>
        <w:rPr>
          <w:color w:val="231F20"/>
          <w:spacing w:val="-4"/>
        </w:rPr>
        <w:t>pied</w:t>
      </w:r>
      <w:r>
        <w:rPr>
          <w:color w:val="231F20"/>
          <w:spacing w:val="-11"/>
        </w:rPr>
        <w:t> </w:t>
      </w:r>
      <w:r>
        <w:rPr>
          <w:color w:val="231F20"/>
          <w:spacing w:val="-4"/>
        </w:rPr>
        <w:t>d’égalité</w:t>
      </w:r>
      <w:r>
        <w:rPr>
          <w:color w:val="231F20"/>
          <w:spacing w:val="-11"/>
        </w:rPr>
        <w:t> </w:t>
      </w:r>
      <w:r>
        <w:rPr>
          <w:color w:val="231F20"/>
          <w:spacing w:val="-4"/>
        </w:rPr>
        <w:t>avec</w:t>
      </w:r>
      <w:r>
        <w:rPr>
          <w:color w:val="231F20"/>
          <w:spacing w:val="-11"/>
        </w:rPr>
        <w:t> </w:t>
      </w:r>
      <w:r>
        <w:rPr>
          <w:color w:val="231F20"/>
          <w:spacing w:val="-4"/>
        </w:rPr>
        <w:t>le</w:t>
      </w:r>
      <w:r>
        <w:rPr>
          <w:color w:val="231F20"/>
          <w:spacing w:val="-11"/>
        </w:rPr>
        <w:t> </w:t>
      </w:r>
      <w:r>
        <w:rPr>
          <w:color w:val="231F20"/>
          <w:spacing w:val="-4"/>
        </w:rPr>
        <w:t>gouvernement,</w:t>
      </w:r>
      <w:r>
        <w:rPr>
          <w:color w:val="231F20"/>
          <w:spacing w:val="-11"/>
        </w:rPr>
        <w:t> </w:t>
      </w:r>
      <w:r>
        <w:rPr>
          <w:color w:val="231F20"/>
          <w:spacing w:val="-4"/>
        </w:rPr>
        <w:t>mais</w:t>
      </w:r>
      <w:r>
        <w:rPr>
          <w:color w:val="231F20"/>
          <w:spacing w:val="-11"/>
        </w:rPr>
        <w:t> </w:t>
      </w:r>
      <w:r>
        <w:rPr>
          <w:color w:val="231F20"/>
          <w:spacing w:val="-4"/>
        </w:rPr>
        <w:t>aussi</w:t>
      </w:r>
      <w:r>
        <w:rPr>
          <w:color w:val="231F20"/>
          <w:spacing w:val="-11"/>
        </w:rPr>
        <w:t> </w:t>
      </w:r>
      <w:r>
        <w:rPr>
          <w:color w:val="231F20"/>
          <w:spacing w:val="-4"/>
        </w:rPr>
        <w:t>qu’elle se</w:t>
      </w:r>
      <w:r>
        <w:rPr>
          <w:color w:val="231F20"/>
          <w:spacing w:val="-7"/>
        </w:rPr>
        <w:t> </w:t>
      </w:r>
      <w:r>
        <w:rPr>
          <w:color w:val="231F20"/>
          <w:spacing w:val="-4"/>
        </w:rPr>
        <w:t>tienne</w:t>
      </w:r>
      <w:r>
        <w:rPr>
          <w:color w:val="231F20"/>
          <w:spacing w:val="-7"/>
        </w:rPr>
        <w:t> </w:t>
      </w:r>
      <w:r>
        <w:rPr>
          <w:color w:val="231F20"/>
          <w:spacing w:val="-4"/>
        </w:rPr>
        <w:t>en</w:t>
      </w:r>
      <w:r>
        <w:rPr>
          <w:color w:val="231F20"/>
          <w:spacing w:val="-7"/>
        </w:rPr>
        <w:t> </w:t>
      </w:r>
      <w:r>
        <w:rPr>
          <w:color w:val="231F20"/>
          <w:spacing w:val="-4"/>
        </w:rPr>
        <w:t>dehors</w:t>
      </w:r>
      <w:r>
        <w:rPr>
          <w:color w:val="231F20"/>
          <w:spacing w:val="-7"/>
        </w:rPr>
        <w:t> </w:t>
      </w:r>
      <w:r>
        <w:rPr>
          <w:color w:val="231F20"/>
          <w:spacing w:val="-4"/>
        </w:rPr>
        <w:t>de</w:t>
      </w:r>
      <w:r>
        <w:rPr>
          <w:color w:val="231F20"/>
          <w:spacing w:val="-10"/>
        </w:rPr>
        <w:t> </w:t>
      </w:r>
      <w:r>
        <w:rPr>
          <w:color w:val="231F20"/>
          <w:spacing w:val="-4"/>
        </w:rPr>
        <w:t>la</w:t>
      </w:r>
      <w:r>
        <w:rPr>
          <w:color w:val="231F20"/>
          <w:spacing w:val="-7"/>
        </w:rPr>
        <w:t> </w:t>
      </w:r>
      <w:r>
        <w:rPr>
          <w:color w:val="231F20"/>
          <w:spacing w:val="-4"/>
        </w:rPr>
        <w:t>Côte</w:t>
      </w:r>
      <w:r>
        <w:rPr>
          <w:color w:val="231F20"/>
          <w:spacing w:val="-7"/>
        </w:rPr>
        <w:t> </w:t>
      </w:r>
      <w:r>
        <w:rPr>
          <w:color w:val="231F20"/>
          <w:spacing w:val="-4"/>
        </w:rPr>
        <w:t>d’Ivoire</w:t>
      </w:r>
      <w:r>
        <w:rPr>
          <w:color w:val="231F20"/>
          <w:spacing w:val="-7"/>
        </w:rPr>
        <w:t> </w:t>
      </w:r>
      <w:r>
        <w:rPr>
          <w:color w:val="231F20"/>
          <w:spacing w:val="-4"/>
        </w:rPr>
        <w:t>et</w:t>
      </w:r>
      <w:r>
        <w:rPr>
          <w:color w:val="231F20"/>
          <w:spacing w:val="-10"/>
        </w:rPr>
        <w:t> </w:t>
      </w:r>
      <w:r>
        <w:rPr>
          <w:color w:val="231F20"/>
          <w:spacing w:val="-4"/>
        </w:rPr>
        <w:t>singulièrement</w:t>
      </w:r>
      <w:r>
        <w:rPr>
          <w:color w:val="231F20"/>
          <w:spacing w:val="-7"/>
        </w:rPr>
        <w:t> </w:t>
      </w:r>
      <w:r>
        <w:rPr>
          <w:color w:val="231F20"/>
          <w:spacing w:val="-4"/>
        </w:rPr>
        <w:t>chez</w:t>
      </w:r>
      <w:r>
        <w:rPr>
          <w:color w:val="231F20"/>
          <w:spacing w:val="-7"/>
        </w:rPr>
        <w:t> </w:t>
      </w:r>
      <w:r>
        <w:rPr>
          <w:color w:val="231F20"/>
          <w:spacing w:val="-4"/>
        </w:rPr>
        <w:t>Gnassingbé </w:t>
      </w:r>
      <w:r>
        <w:rPr>
          <w:color w:val="231F20"/>
        </w:rPr>
        <w:t>Eyadéma,</w:t>
      </w:r>
      <w:r>
        <w:rPr>
          <w:color w:val="231F20"/>
          <w:spacing w:val="-7"/>
        </w:rPr>
        <w:t> </w:t>
      </w:r>
      <w:r>
        <w:rPr>
          <w:color w:val="231F20"/>
        </w:rPr>
        <w:t>qui</w:t>
      </w:r>
      <w:r>
        <w:rPr>
          <w:color w:val="231F20"/>
          <w:spacing w:val="-9"/>
        </w:rPr>
        <w:t> </w:t>
      </w:r>
      <w:r>
        <w:rPr>
          <w:color w:val="231F20"/>
        </w:rPr>
        <w:t>n’a</w:t>
      </w:r>
      <w:r>
        <w:rPr>
          <w:color w:val="231F20"/>
          <w:spacing w:val="-7"/>
        </w:rPr>
        <w:t> </w:t>
      </w:r>
      <w:r>
        <w:rPr>
          <w:color w:val="231F20"/>
        </w:rPr>
        <w:t>jamais</w:t>
      </w:r>
      <w:r>
        <w:rPr>
          <w:color w:val="231F20"/>
          <w:spacing w:val="-9"/>
        </w:rPr>
        <w:t> </w:t>
      </w:r>
      <w:r>
        <w:rPr>
          <w:color w:val="231F20"/>
        </w:rPr>
        <w:t>su</w:t>
      </w:r>
      <w:r>
        <w:rPr>
          <w:color w:val="231F20"/>
          <w:spacing w:val="-7"/>
        </w:rPr>
        <w:t> </w:t>
      </w:r>
      <w:r>
        <w:rPr>
          <w:color w:val="231F20"/>
        </w:rPr>
        <w:t>cacher</w:t>
      </w:r>
      <w:r>
        <w:rPr>
          <w:color w:val="231F20"/>
          <w:spacing w:val="-7"/>
        </w:rPr>
        <w:t> </w:t>
      </w:r>
      <w:r>
        <w:rPr>
          <w:color w:val="231F20"/>
        </w:rPr>
        <w:t>ses</w:t>
      </w:r>
      <w:r>
        <w:rPr>
          <w:color w:val="231F20"/>
          <w:spacing w:val="-7"/>
        </w:rPr>
        <w:t> </w:t>
      </w:r>
      <w:r>
        <w:rPr>
          <w:color w:val="231F20"/>
        </w:rPr>
        <w:t>penchants</w:t>
      </w:r>
      <w:r>
        <w:rPr>
          <w:color w:val="231F20"/>
          <w:spacing w:val="-7"/>
        </w:rPr>
        <w:t> </w:t>
      </w:r>
      <w:r>
        <w:rPr>
          <w:color w:val="231F20"/>
        </w:rPr>
        <w:t>anti-Laurent</w:t>
      </w:r>
      <w:r>
        <w:rPr>
          <w:color w:val="231F20"/>
          <w:spacing w:val="-6"/>
        </w:rPr>
        <w:t> </w:t>
      </w:r>
      <w:r>
        <w:rPr>
          <w:color w:val="231F20"/>
        </w:rPr>
        <w:t>Gbagbo.</w:t>
      </w:r>
    </w:p>
    <w:p>
      <w:pPr>
        <w:pStyle w:val="BodyText"/>
        <w:spacing w:before="120"/>
        <w:ind w:right="104" w:firstLine="283"/>
      </w:pPr>
      <w:r>
        <w:rPr>
          <w:color w:val="231F20"/>
        </w:rPr>
        <w:t>La délégation gouvernementale pose comme préalable aux </w:t>
      </w:r>
      <w:r>
        <w:rPr>
          <w:color w:val="231F20"/>
          <w:spacing w:val="-2"/>
        </w:rPr>
        <w:t>négociations</w:t>
      </w:r>
      <w:r>
        <w:rPr>
          <w:color w:val="231F20"/>
          <w:spacing w:val="-13"/>
        </w:rPr>
        <w:t> </w:t>
      </w:r>
      <w:r>
        <w:rPr>
          <w:color w:val="231F20"/>
          <w:spacing w:val="-2"/>
        </w:rPr>
        <w:t>le</w:t>
      </w:r>
      <w:r>
        <w:rPr>
          <w:color w:val="231F20"/>
          <w:spacing w:val="-13"/>
        </w:rPr>
        <w:t> </w:t>
      </w:r>
      <w:r>
        <w:rPr>
          <w:color w:val="231F20"/>
          <w:spacing w:val="-2"/>
        </w:rPr>
        <w:t>désarmement</w:t>
      </w:r>
      <w:r>
        <w:rPr>
          <w:color w:val="231F20"/>
          <w:spacing w:val="-12"/>
        </w:rPr>
        <w:t> </w:t>
      </w:r>
      <w:r>
        <w:rPr>
          <w:color w:val="231F20"/>
          <w:spacing w:val="-2"/>
        </w:rPr>
        <w:t>des</w:t>
      </w:r>
      <w:r>
        <w:rPr>
          <w:color w:val="231F20"/>
          <w:spacing w:val="-13"/>
        </w:rPr>
        <w:t> </w:t>
      </w:r>
      <w:r>
        <w:rPr>
          <w:color w:val="231F20"/>
          <w:spacing w:val="-2"/>
        </w:rPr>
        <w:t>insurgés.</w:t>
      </w:r>
      <w:r>
        <w:rPr>
          <w:color w:val="231F20"/>
          <w:spacing w:val="-12"/>
        </w:rPr>
        <w:t> </w:t>
      </w:r>
      <w:r>
        <w:rPr>
          <w:color w:val="231F20"/>
          <w:spacing w:val="-2"/>
        </w:rPr>
        <w:t>Guillaume</w:t>
      </w:r>
      <w:r>
        <w:rPr>
          <w:color w:val="231F20"/>
          <w:spacing w:val="-11"/>
        </w:rPr>
        <w:t> </w:t>
      </w:r>
      <w:r>
        <w:rPr>
          <w:color w:val="231F20"/>
          <w:spacing w:val="-2"/>
        </w:rPr>
        <w:t>Soro,</w:t>
      </w:r>
      <w:r>
        <w:rPr>
          <w:color w:val="231F20"/>
          <w:spacing w:val="-13"/>
        </w:rPr>
        <w:t> </w:t>
      </w:r>
      <w:r>
        <w:rPr>
          <w:color w:val="231F20"/>
          <w:spacing w:val="-2"/>
        </w:rPr>
        <w:t>déclare</w:t>
      </w:r>
      <w:r>
        <w:rPr>
          <w:color w:val="231F20"/>
          <w:spacing w:val="-12"/>
        </w:rPr>
        <w:t> </w:t>
      </w:r>
      <w:r>
        <w:rPr>
          <w:color w:val="231F20"/>
          <w:spacing w:val="-2"/>
        </w:rPr>
        <w:t>qu’il </w:t>
      </w:r>
      <w:r>
        <w:rPr>
          <w:color w:val="231F20"/>
        </w:rPr>
        <w:t>n’y</w:t>
      </w:r>
      <w:r>
        <w:rPr>
          <w:color w:val="231F20"/>
          <w:spacing w:val="-15"/>
        </w:rPr>
        <w:t> </w:t>
      </w:r>
      <w:r>
        <w:rPr>
          <w:color w:val="231F20"/>
        </w:rPr>
        <w:t>aura</w:t>
      </w:r>
      <w:r>
        <w:rPr>
          <w:color w:val="231F20"/>
          <w:spacing w:val="-15"/>
        </w:rPr>
        <w:t> </w:t>
      </w:r>
      <w:r>
        <w:rPr>
          <w:color w:val="231F20"/>
        </w:rPr>
        <w:t>point</w:t>
      </w:r>
      <w:r>
        <w:rPr>
          <w:color w:val="231F20"/>
          <w:spacing w:val="-15"/>
        </w:rPr>
        <w:t> </w:t>
      </w:r>
      <w:r>
        <w:rPr>
          <w:color w:val="231F20"/>
        </w:rPr>
        <w:t>de</w:t>
      </w:r>
      <w:r>
        <w:rPr>
          <w:color w:val="231F20"/>
          <w:spacing w:val="-15"/>
        </w:rPr>
        <w:t> </w:t>
      </w:r>
      <w:r>
        <w:rPr>
          <w:color w:val="231F20"/>
        </w:rPr>
        <w:t>désarmement</w:t>
      </w:r>
      <w:r>
        <w:rPr>
          <w:color w:val="231F20"/>
          <w:spacing w:val="-15"/>
        </w:rPr>
        <w:t> </w:t>
      </w:r>
      <w:r>
        <w:rPr>
          <w:color w:val="231F20"/>
        </w:rPr>
        <w:t>pendant</w:t>
      </w:r>
      <w:r>
        <w:rPr>
          <w:color w:val="231F20"/>
          <w:spacing w:val="-15"/>
        </w:rPr>
        <w:t> </w:t>
      </w:r>
      <w:r>
        <w:rPr>
          <w:color w:val="231F20"/>
        </w:rPr>
        <w:t>les</w:t>
      </w:r>
      <w:r>
        <w:rPr>
          <w:color w:val="231F20"/>
          <w:spacing w:val="-15"/>
        </w:rPr>
        <w:t> </w:t>
      </w:r>
      <w:r>
        <w:rPr>
          <w:color w:val="231F20"/>
        </w:rPr>
        <w:t>négociations.</w:t>
      </w:r>
      <w:r>
        <w:rPr>
          <w:color w:val="231F20"/>
          <w:spacing w:val="-15"/>
        </w:rPr>
        <w:t> </w:t>
      </w:r>
      <w:r>
        <w:rPr>
          <w:color w:val="231F20"/>
        </w:rPr>
        <w:t>De</w:t>
      </w:r>
      <w:r>
        <w:rPr>
          <w:color w:val="231F20"/>
          <w:spacing w:val="-15"/>
        </w:rPr>
        <w:t> </w:t>
      </w:r>
      <w:r>
        <w:rPr>
          <w:color w:val="231F20"/>
        </w:rPr>
        <w:t>ce</w:t>
      </w:r>
      <w:r>
        <w:rPr>
          <w:color w:val="231F20"/>
          <w:spacing w:val="-15"/>
        </w:rPr>
        <w:t> </w:t>
      </w:r>
      <w:r>
        <w:rPr>
          <w:color w:val="231F20"/>
        </w:rPr>
        <w:t>sommet, </w:t>
      </w:r>
      <w:r>
        <w:rPr>
          <w:color w:val="231F20"/>
          <w:spacing w:val="-4"/>
        </w:rPr>
        <w:t>Éyadéma</w:t>
      </w:r>
      <w:r>
        <w:rPr>
          <w:color w:val="231F20"/>
          <w:spacing w:val="-11"/>
        </w:rPr>
        <w:t> </w:t>
      </w:r>
      <w:r>
        <w:rPr>
          <w:color w:val="231F20"/>
          <w:spacing w:val="-4"/>
        </w:rPr>
        <w:t>se</w:t>
      </w:r>
      <w:r>
        <w:rPr>
          <w:color w:val="231F20"/>
          <w:spacing w:val="-8"/>
        </w:rPr>
        <w:t> </w:t>
      </w:r>
      <w:r>
        <w:rPr>
          <w:color w:val="231F20"/>
          <w:spacing w:val="-4"/>
        </w:rPr>
        <w:t>contentera</w:t>
      </w:r>
      <w:r>
        <w:rPr>
          <w:color w:val="231F20"/>
          <w:spacing w:val="-8"/>
        </w:rPr>
        <w:t> </w:t>
      </w:r>
      <w:r>
        <w:rPr>
          <w:color w:val="231F20"/>
          <w:spacing w:val="-4"/>
        </w:rPr>
        <w:t>d’un</w:t>
      </w:r>
      <w:r>
        <w:rPr>
          <w:color w:val="231F20"/>
          <w:spacing w:val="-8"/>
        </w:rPr>
        <w:t> </w:t>
      </w:r>
      <w:r>
        <w:rPr>
          <w:color w:val="231F20"/>
          <w:spacing w:val="-4"/>
        </w:rPr>
        <w:t>accord</w:t>
      </w:r>
      <w:r>
        <w:rPr>
          <w:color w:val="231F20"/>
          <w:spacing w:val="-10"/>
        </w:rPr>
        <w:t> </w:t>
      </w:r>
      <w:r>
        <w:rPr>
          <w:color w:val="231F20"/>
          <w:spacing w:val="-4"/>
        </w:rPr>
        <w:t>qui</w:t>
      </w:r>
      <w:r>
        <w:rPr>
          <w:color w:val="231F20"/>
          <w:spacing w:val="-6"/>
        </w:rPr>
        <w:t> </w:t>
      </w:r>
      <w:r>
        <w:rPr>
          <w:color w:val="231F20"/>
          <w:spacing w:val="-4"/>
        </w:rPr>
        <w:t>appelle</w:t>
      </w:r>
      <w:r>
        <w:rPr>
          <w:color w:val="231F20"/>
          <w:spacing w:val="-8"/>
        </w:rPr>
        <w:t> </w:t>
      </w:r>
      <w:r>
        <w:rPr>
          <w:color w:val="231F20"/>
          <w:spacing w:val="-4"/>
        </w:rPr>
        <w:t>les</w:t>
      </w:r>
      <w:r>
        <w:rPr>
          <w:color w:val="231F20"/>
          <w:spacing w:val="-6"/>
        </w:rPr>
        <w:t> </w:t>
      </w:r>
      <w:r>
        <w:rPr>
          <w:color w:val="231F20"/>
          <w:spacing w:val="-4"/>
        </w:rPr>
        <w:t>rebelles</w:t>
      </w:r>
      <w:r>
        <w:rPr>
          <w:color w:val="231F20"/>
          <w:spacing w:val="-10"/>
        </w:rPr>
        <w:t> </w:t>
      </w:r>
      <w:r>
        <w:rPr>
          <w:color w:val="231F20"/>
          <w:spacing w:val="-4"/>
        </w:rPr>
        <w:t>à</w:t>
      </w:r>
      <w:r>
        <w:rPr>
          <w:color w:val="231F20"/>
          <w:spacing w:val="-8"/>
        </w:rPr>
        <w:t> </w:t>
      </w:r>
      <w:r>
        <w:rPr>
          <w:color w:val="231F20"/>
          <w:spacing w:val="-4"/>
        </w:rPr>
        <w:t>déposer</w:t>
      </w:r>
      <w:r>
        <w:rPr>
          <w:color w:val="231F20"/>
          <w:spacing w:val="-11"/>
        </w:rPr>
        <w:t> </w:t>
      </w:r>
      <w:r>
        <w:rPr>
          <w:color w:val="231F20"/>
          <w:spacing w:val="-4"/>
        </w:rPr>
        <w:t>sans </w:t>
      </w:r>
      <w:r>
        <w:rPr>
          <w:color w:val="231F20"/>
        </w:rPr>
        <w:t>délai</w:t>
      </w:r>
      <w:r>
        <w:rPr>
          <w:color w:val="231F20"/>
          <w:spacing w:val="-13"/>
        </w:rPr>
        <w:t> </w:t>
      </w:r>
      <w:r>
        <w:rPr>
          <w:color w:val="231F20"/>
        </w:rPr>
        <w:t>les</w:t>
      </w:r>
      <w:r>
        <w:rPr>
          <w:color w:val="231F20"/>
          <w:spacing w:val="-10"/>
        </w:rPr>
        <w:t> </w:t>
      </w:r>
      <w:r>
        <w:rPr>
          <w:color w:val="231F20"/>
        </w:rPr>
        <w:t>armes</w:t>
      </w:r>
      <w:r>
        <w:rPr>
          <w:color w:val="231F20"/>
          <w:spacing w:val="-10"/>
        </w:rPr>
        <w:t> </w:t>
      </w:r>
      <w:r>
        <w:rPr>
          <w:color w:val="231F20"/>
        </w:rPr>
        <w:t>et</w:t>
      </w:r>
      <w:r>
        <w:rPr>
          <w:color w:val="231F20"/>
          <w:spacing w:val="-10"/>
        </w:rPr>
        <w:t> </w:t>
      </w:r>
      <w:r>
        <w:rPr>
          <w:color w:val="231F20"/>
        </w:rPr>
        <w:t>à</w:t>
      </w:r>
      <w:r>
        <w:rPr>
          <w:color w:val="231F20"/>
          <w:spacing w:val="-10"/>
        </w:rPr>
        <w:t> </w:t>
      </w:r>
      <w:r>
        <w:rPr>
          <w:color w:val="231F20"/>
        </w:rPr>
        <w:t>libérer</w:t>
      </w:r>
      <w:r>
        <w:rPr>
          <w:color w:val="231F20"/>
          <w:spacing w:val="-10"/>
        </w:rPr>
        <w:t> </w:t>
      </w:r>
      <w:r>
        <w:rPr>
          <w:color w:val="231F20"/>
        </w:rPr>
        <w:t>les</w:t>
      </w:r>
      <w:r>
        <w:rPr>
          <w:color w:val="231F20"/>
          <w:spacing w:val="-10"/>
        </w:rPr>
        <w:t> </w:t>
      </w:r>
      <w:r>
        <w:rPr>
          <w:color w:val="231F20"/>
        </w:rPr>
        <w:t>zones</w:t>
      </w:r>
      <w:r>
        <w:rPr>
          <w:color w:val="231F20"/>
          <w:spacing w:val="-10"/>
        </w:rPr>
        <w:t> </w:t>
      </w:r>
      <w:r>
        <w:rPr>
          <w:color w:val="231F20"/>
        </w:rPr>
        <w:t>occupées.</w:t>
      </w:r>
      <w:r>
        <w:rPr>
          <w:color w:val="231F20"/>
          <w:spacing w:val="-15"/>
        </w:rPr>
        <w:t> </w:t>
      </w:r>
      <w:r>
        <w:rPr>
          <w:color w:val="231F20"/>
        </w:rPr>
        <w:t>Seul</w:t>
      </w:r>
      <w:r>
        <w:rPr>
          <w:color w:val="231F20"/>
          <w:spacing w:val="-9"/>
        </w:rPr>
        <w:t> </w:t>
      </w:r>
      <w:r>
        <w:rPr>
          <w:color w:val="231F20"/>
        </w:rPr>
        <w:t>le</w:t>
      </w:r>
      <w:r>
        <w:rPr>
          <w:color w:val="231F20"/>
          <w:spacing w:val="-12"/>
        </w:rPr>
        <w:t> </w:t>
      </w:r>
      <w:r>
        <w:rPr>
          <w:color w:val="231F20"/>
        </w:rPr>
        <w:t>volet</w:t>
      </w:r>
      <w:r>
        <w:rPr>
          <w:color w:val="231F20"/>
          <w:spacing w:val="-9"/>
        </w:rPr>
        <w:t> </w:t>
      </w:r>
      <w:r>
        <w:rPr>
          <w:color w:val="231F20"/>
        </w:rPr>
        <w:t>corporatiste des revendications de la rébellion est pris en compte et satisfait</w:t>
      </w:r>
      <w:r>
        <w:rPr>
          <w:color w:val="231F20"/>
          <w:spacing w:val="-11"/>
        </w:rPr>
        <w:t> </w:t>
      </w:r>
      <w:r>
        <w:rPr>
          <w:color w:val="231F20"/>
        </w:rPr>
        <w:t>: le gouvernement ivoirien promet une loi d’amnistie et le maintien dans l’Armée</w:t>
      </w:r>
      <w:r>
        <w:rPr>
          <w:color w:val="231F20"/>
          <w:spacing w:val="-15"/>
        </w:rPr>
        <w:t> </w:t>
      </w:r>
      <w:r>
        <w:rPr>
          <w:color w:val="231F20"/>
        </w:rPr>
        <w:t>des</w:t>
      </w:r>
      <w:r>
        <w:rPr>
          <w:color w:val="231F20"/>
          <w:spacing w:val="-15"/>
        </w:rPr>
        <w:t> </w:t>
      </w:r>
      <w:r>
        <w:rPr>
          <w:color w:val="231F20"/>
        </w:rPr>
        <w:t>soldats</w:t>
      </w:r>
      <w:r>
        <w:rPr>
          <w:color w:val="231F20"/>
          <w:spacing w:val="-15"/>
        </w:rPr>
        <w:t> </w:t>
      </w:r>
      <w:r>
        <w:rPr>
          <w:color w:val="231F20"/>
        </w:rPr>
        <w:t>en</w:t>
      </w:r>
      <w:r>
        <w:rPr>
          <w:color w:val="231F20"/>
          <w:spacing w:val="-15"/>
        </w:rPr>
        <w:t> </w:t>
      </w:r>
      <w:r>
        <w:rPr>
          <w:color w:val="231F20"/>
        </w:rPr>
        <w:t>voie</w:t>
      </w:r>
      <w:r>
        <w:rPr>
          <w:color w:val="231F20"/>
          <w:spacing w:val="-15"/>
        </w:rPr>
        <w:t> </w:t>
      </w:r>
      <w:r>
        <w:rPr>
          <w:color w:val="231F20"/>
        </w:rPr>
        <w:t>de</w:t>
      </w:r>
      <w:r>
        <w:rPr>
          <w:color w:val="231F20"/>
          <w:spacing w:val="-15"/>
        </w:rPr>
        <w:t> </w:t>
      </w:r>
      <w:r>
        <w:rPr>
          <w:color w:val="231F20"/>
        </w:rPr>
        <w:t>démobilisation</w:t>
      </w:r>
      <w:r>
        <w:rPr>
          <w:color w:val="231F20"/>
          <w:spacing w:val="-15"/>
        </w:rPr>
        <w:t> </w:t>
      </w:r>
      <w:r>
        <w:rPr>
          <w:color w:val="231F20"/>
        </w:rPr>
        <w:t>mais</w:t>
      </w:r>
      <w:r>
        <w:rPr>
          <w:color w:val="231F20"/>
          <w:spacing w:val="-15"/>
        </w:rPr>
        <w:t> </w:t>
      </w:r>
      <w:r>
        <w:rPr>
          <w:color w:val="231F20"/>
        </w:rPr>
        <w:t>refuse</w:t>
      </w:r>
      <w:r>
        <w:rPr>
          <w:color w:val="231F20"/>
          <w:spacing w:val="-15"/>
        </w:rPr>
        <w:t> </w:t>
      </w:r>
      <w:r>
        <w:rPr>
          <w:color w:val="231F20"/>
        </w:rPr>
        <w:t>de</w:t>
      </w:r>
      <w:r>
        <w:rPr>
          <w:color w:val="231F20"/>
          <w:spacing w:val="-15"/>
        </w:rPr>
        <w:t> </w:t>
      </w:r>
      <w:r>
        <w:rPr>
          <w:color w:val="231F20"/>
        </w:rPr>
        <w:t>prendre</w:t>
      </w:r>
      <w:r>
        <w:rPr>
          <w:color w:val="231F20"/>
          <w:spacing w:val="-15"/>
        </w:rPr>
        <w:t> </w:t>
      </w:r>
      <w:r>
        <w:rPr>
          <w:color w:val="231F20"/>
        </w:rPr>
        <w:t>en </w:t>
      </w:r>
      <w:r>
        <w:rPr>
          <w:color w:val="231F20"/>
          <w:spacing w:val="-2"/>
        </w:rPr>
        <w:t>considération</w:t>
      </w:r>
      <w:r>
        <w:rPr>
          <w:color w:val="231F20"/>
          <w:spacing w:val="-13"/>
        </w:rPr>
        <w:t> </w:t>
      </w:r>
      <w:r>
        <w:rPr>
          <w:color w:val="231F20"/>
          <w:spacing w:val="-2"/>
        </w:rPr>
        <w:t>les</w:t>
      </w:r>
      <w:r>
        <w:rPr>
          <w:color w:val="231F20"/>
          <w:spacing w:val="-10"/>
        </w:rPr>
        <w:t> </w:t>
      </w:r>
      <w:r>
        <w:rPr>
          <w:color w:val="231F20"/>
          <w:spacing w:val="-2"/>
        </w:rPr>
        <w:t>autres</w:t>
      </w:r>
      <w:r>
        <w:rPr>
          <w:color w:val="231F20"/>
          <w:spacing w:val="-10"/>
        </w:rPr>
        <w:t> </w:t>
      </w:r>
      <w:r>
        <w:rPr>
          <w:color w:val="231F20"/>
          <w:spacing w:val="-2"/>
        </w:rPr>
        <w:t>revendications</w:t>
      </w:r>
      <w:r>
        <w:rPr>
          <w:color w:val="231F20"/>
          <w:spacing w:val="-10"/>
        </w:rPr>
        <w:t> </w:t>
      </w:r>
      <w:r>
        <w:rPr>
          <w:color w:val="231F20"/>
          <w:spacing w:val="-2"/>
        </w:rPr>
        <w:t>des</w:t>
      </w:r>
      <w:r>
        <w:rPr>
          <w:color w:val="231F20"/>
          <w:spacing w:val="-8"/>
        </w:rPr>
        <w:t> </w:t>
      </w:r>
      <w:r>
        <w:rPr>
          <w:color w:val="231F20"/>
          <w:spacing w:val="-2"/>
        </w:rPr>
        <w:t>rebelles</w:t>
      </w:r>
      <w:r>
        <w:rPr>
          <w:color w:val="231F20"/>
          <w:spacing w:val="-13"/>
        </w:rPr>
        <w:t> </w:t>
      </w:r>
      <w:r>
        <w:rPr>
          <w:color w:val="231F20"/>
          <w:spacing w:val="-2"/>
        </w:rPr>
        <w:t>à</w:t>
      </w:r>
      <w:r>
        <w:rPr>
          <w:color w:val="231F20"/>
          <w:spacing w:val="-9"/>
        </w:rPr>
        <w:t> </w:t>
      </w:r>
      <w:r>
        <w:rPr>
          <w:color w:val="231F20"/>
          <w:spacing w:val="-2"/>
        </w:rPr>
        <w:t>savoir</w:t>
      </w:r>
      <w:r>
        <w:rPr>
          <w:color w:val="231F20"/>
          <w:spacing w:val="-11"/>
        </w:rPr>
        <w:t> </w:t>
      </w:r>
      <w:r>
        <w:rPr>
          <w:color w:val="231F20"/>
          <w:spacing w:val="-2"/>
        </w:rPr>
        <w:t>:</w:t>
      </w:r>
      <w:r>
        <w:rPr>
          <w:color w:val="231F20"/>
          <w:spacing w:val="-13"/>
        </w:rPr>
        <w:t> </w:t>
      </w:r>
      <w:r>
        <w:rPr>
          <w:color w:val="231F20"/>
          <w:spacing w:val="-2"/>
        </w:rPr>
        <w:t>le</w:t>
      </w:r>
      <w:r>
        <w:rPr>
          <w:color w:val="231F20"/>
          <w:spacing w:val="-9"/>
        </w:rPr>
        <w:t> </w:t>
      </w:r>
      <w:r>
        <w:rPr>
          <w:color w:val="231F20"/>
          <w:spacing w:val="-2"/>
        </w:rPr>
        <w:t>départ</w:t>
      </w:r>
      <w:r>
        <w:rPr>
          <w:color w:val="231F20"/>
          <w:spacing w:val="-10"/>
        </w:rPr>
        <w:t> </w:t>
      </w:r>
      <w:r>
        <w:rPr>
          <w:color w:val="231F20"/>
          <w:spacing w:val="-2"/>
        </w:rPr>
        <w:t>de </w:t>
      </w:r>
      <w:r>
        <w:rPr>
          <w:color w:val="231F20"/>
        </w:rPr>
        <w:t>Gbagbo du pouvoir, la convocation de nouvelles élections et une modification de la Constitution.</w:t>
      </w:r>
    </w:p>
    <w:p>
      <w:pPr>
        <w:pStyle w:val="BodyText"/>
        <w:spacing w:before="121"/>
        <w:ind w:right="104" w:firstLine="283"/>
      </w:pPr>
      <w:r>
        <w:rPr>
          <w:color w:val="231F20"/>
        </w:rPr>
        <w:t>Alassane</w:t>
      </w:r>
      <w:r>
        <w:rPr>
          <w:color w:val="231F20"/>
          <w:spacing w:val="-15"/>
        </w:rPr>
        <w:t> </w:t>
      </w:r>
      <w:r>
        <w:rPr>
          <w:color w:val="231F20"/>
        </w:rPr>
        <w:t>Ouattara,</w:t>
      </w:r>
      <w:r>
        <w:rPr>
          <w:color w:val="231F20"/>
          <w:spacing w:val="-15"/>
        </w:rPr>
        <w:t> </w:t>
      </w:r>
      <w:r>
        <w:rPr>
          <w:color w:val="231F20"/>
        </w:rPr>
        <w:t>depuis</w:t>
      </w:r>
      <w:r>
        <w:rPr>
          <w:color w:val="231F20"/>
          <w:spacing w:val="-15"/>
        </w:rPr>
        <w:t> </w:t>
      </w:r>
      <w:r>
        <w:rPr>
          <w:color w:val="231F20"/>
        </w:rPr>
        <w:t>la</w:t>
      </w:r>
      <w:r>
        <w:rPr>
          <w:color w:val="231F20"/>
          <w:spacing w:val="-15"/>
        </w:rPr>
        <w:t> </w:t>
      </w:r>
      <w:r>
        <w:rPr>
          <w:color w:val="231F20"/>
        </w:rPr>
        <w:t>capitale</w:t>
      </w:r>
      <w:r>
        <w:rPr>
          <w:color w:val="231F20"/>
          <w:spacing w:val="-15"/>
        </w:rPr>
        <w:t> </w:t>
      </w:r>
      <w:r>
        <w:rPr>
          <w:color w:val="231F20"/>
        </w:rPr>
        <w:t>sénégalaise</w:t>
      </w:r>
      <w:r>
        <w:rPr>
          <w:color w:val="231F20"/>
          <w:spacing w:val="-15"/>
        </w:rPr>
        <w:t> </w:t>
      </w:r>
      <w:r>
        <w:rPr>
          <w:color w:val="231F20"/>
        </w:rPr>
        <w:t>où</w:t>
      </w:r>
      <w:r>
        <w:rPr>
          <w:color w:val="231F20"/>
          <w:spacing w:val="-15"/>
        </w:rPr>
        <w:t> </w:t>
      </w:r>
      <w:r>
        <w:rPr>
          <w:color w:val="231F20"/>
        </w:rPr>
        <w:t>il</w:t>
      </w:r>
      <w:r>
        <w:rPr>
          <w:color w:val="231F20"/>
          <w:spacing w:val="-15"/>
        </w:rPr>
        <w:t> </w:t>
      </w:r>
      <w:r>
        <w:rPr>
          <w:color w:val="231F20"/>
        </w:rPr>
        <w:t>est</w:t>
      </w:r>
      <w:r>
        <w:rPr>
          <w:color w:val="231F20"/>
          <w:spacing w:val="-15"/>
        </w:rPr>
        <w:t> </w:t>
      </w:r>
      <w:r>
        <w:rPr>
          <w:color w:val="231F20"/>
        </w:rPr>
        <w:t>de</w:t>
      </w:r>
      <w:r>
        <w:rPr>
          <w:color w:val="231F20"/>
          <w:spacing w:val="-15"/>
        </w:rPr>
        <w:t> </w:t>
      </w:r>
      <w:r>
        <w:rPr>
          <w:color w:val="231F20"/>
        </w:rPr>
        <w:t>passage, dénonce l’accord et pose la démission de Laurent Gbagbo de la </w:t>
      </w:r>
      <w:r>
        <w:rPr>
          <w:color w:val="231F20"/>
          <w:spacing w:val="-2"/>
        </w:rPr>
        <w:t>Présidence</w:t>
      </w:r>
      <w:r>
        <w:rPr>
          <w:color w:val="231F20"/>
          <w:spacing w:val="-9"/>
        </w:rPr>
        <w:t> </w:t>
      </w:r>
      <w:r>
        <w:rPr>
          <w:color w:val="231F20"/>
          <w:spacing w:val="-2"/>
        </w:rPr>
        <w:t>de</w:t>
      </w:r>
      <w:r>
        <w:rPr>
          <w:color w:val="231F20"/>
          <w:spacing w:val="-9"/>
        </w:rPr>
        <w:t> </w:t>
      </w:r>
      <w:r>
        <w:rPr>
          <w:color w:val="231F20"/>
          <w:spacing w:val="-2"/>
        </w:rPr>
        <w:t>la</w:t>
      </w:r>
      <w:r>
        <w:rPr>
          <w:color w:val="231F20"/>
          <w:spacing w:val="-11"/>
        </w:rPr>
        <w:t> </w:t>
      </w:r>
      <w:r>
        <w:rPr>
          <w:color w:val="231F20"/>
          <w:spacing w:val="-2"/>
        </w:rPr>
        <w:t>République</w:t>
      </w:r>
      <w:r>
        <w:rPr>
          <w:color w:val="231F20"/>
          <w:spacing w:val="-9"/>
        </w:rPr>
        <w:t> </w:t>
      </w:r>
      <w:r>
        <w:rPr>
          <w:color w:val="231F20"/>
          <w:spacing w:val="-2"/>
        </w:rPr>
        <w:t>comme</w:t>
      </w:r>
      <w:r>
        <w:rPr>
          <w:color w:val="231F20"/>
          <w:spacing w:val="-11"/>
        </w:rPr>
        <w:t> </w:t>
      </w:r>
      <w:r>
        <w:rPr>
          <w:color w:val="231F20"/>
          <w:spacing w:val="-2"/>
        </w:rPr>
        <w:t>unique</w:t>
      </w:r>
      <w:r>
        <w:rPr>
          <w:color w:val="231F20"/>
          <w:spacing w:val="-9"/>
        </w:rPr>
        <w:t> </w:t>
      </w:r>
      <w:r>
        <w:rPr>
          <w:color w:val="231F20"/>
          <w:spacing w:val="-2"/>
        </w:rPr>
        <w:t>condition</w:t>
      </w:r>
      <w:r>
        <w:rPr>
          <w:color w:val="231F20"/>
          <w:spacing w:val="-9"/>
        </w:rPr>
        <w:t> </w:t>
      </w:r>
      <w:r>
        <w:rPr>
          <w:color w:val="231F20"/>
          <w:spacing w:val="-2"/>
        </w:rPr>
        <w:t>de</w:t>
      </w:r>
      <w:r>
        <w:rPr>
          <w:color w:val="231F20"/>
          <w:spacing w:val="-9"/>
        </w:rPr>
        <w:t> </w:t>
      </w:r>
      <w:r>
        <w:rPr>
          <w:color w:val="231F20"/>
          <w:spacing w:val="-2"/>
        </w:rPr>
        <w:t>sortie</w:t>
      </w:r>
      <w:r>
        <w:rPr>
          <w:color w:val="231F20"/>
          <w:spacing w:val="-9"/>
        </w:rPr>
        <w:t> </w:t>
      </w:r>
      <w:r>
        <w:rPr>
          <w:color w:val="231F20"/>
          <w:spacing w:val="-2"/>
        </w:rPr>
        <w:t>de</w:t>
      </w:r>
      <w:r>
        <w:rPr>
          <w:color w:val="231F20"/>
          <w:spacing w:val="-13"/>
        </w:rPr>
        <w:t> </w:t>
      </w:r>
      <w:r>
        <w:rPr>
          <w:color w:val="231F20"/>
          <w:spacing w:val="-2"/>
          <w:sz w:val="28"/>
        </w:rPr>
        <w:t>crise</w:t>
      </w:r>
      <w:r>
        <w:rPr>
          <w:color w:val="231F20"/>
          <w:spacing w:val="-2"/>
        </w:rPr>
        <w:t>. </w:t>
      </w:r>
      <w:r>
        <w:rPr>
          <w:color w:val="231F20"/>
        </w:rPr>
        <w:t>Les rebelles et les représentants du pouvoir légal quittent la table de </w:t>
      </w:r>
      <w:r>
        <w:rPr>
          <w:color w:val="231F20"/>
          <w:spacing w:val="-4"/>
        </w:rPr>
        <w:t>négociations</w:t>
      </w:r>
      <w:r>
        <w:rPr>
          <w:color w:val="231F20"/>
        </w:rPr>
        <w:t> </w:t>
      </w:r>
      <w:r>
        <w:rPr>
          <w:color w:val="231F20"/>
          <w:spacing w:val="-4"/>
        </w:rPr>
        <w:t>:</w:t>
      </w:r>
      <w:r>
        <w:rPr>
          <w:color w:val="231F20"/>
          <w:spacing w:val="-6"/>
        </w:rPr>
        <w:t> </w:t>
      </w:r>
      <w:r>
        <w:rPr>
          <w:color w:val="231F20"/>
          <w:spacing w:val="-4"/>
        </w:rPr>
        <w:t>chaque</w:t>
      </w:r>
      <w:r>
        <w:rPr>
          <w:color w:val="231F20"/>
          <w:spacing w:val="-7"/>
        </w:rPr>
        <w:t> </w:t>
      </w:r>
      <w:r>
        <w:rPr>
          <w:color w:val="231F20"/>
          <w:spacing w:val="-4"/>
        </w:rPr>
        <w:t>partie</w:t>
      </w:r>
      <w:r>
        <w:rPr>
          <w:color w:val="231F20"/>
          <w:spacing w:val="-7"/>
        </w:rPr>
        <w:t> </w:t>
      </w:r>
      <w:r>
        <w:rPr>
          <w:color w:val="231F20"/>
          <w:spacing w:val="-4"/>
        </w:rPr>
        <w:t>devant</w:t>
      </w:r>
      <w:r>
        <w:rPr>
          <w:color w:val="231F20"/>
          <w:spacing w:val="-9"/>
        </w:rPr>
        <w:t> </w:t>
      </w:r>
      <w:r>
        <w:rPr>
          <w:color w:val="231F20"/>
          <w:spacing w:val="-4"/>
        </w:rPr>
        <w:t>se</w:t>
      </w:r>
      <w:r>
        <w:rPr>
          <w:color w:val="231F20"/>
          <w:spacing w:val="-7"/>
        </w:rPr>
        <w:t> </w:t>
      </w:r>
      <w:r>
        <w:rPr>
          <w:color w:val="231F20"/>
          <w:spacing w:val="-4"/>
        </w:rPr>
        <w:t>référer</w:t>
      </w:r>
      <w:r>
        <w:rPr>
          <w:color w:val="231F20"/>
          <w:spacing w:val="-7"/>
        </w:rPr>
        <w:t> </w:t>
      </w:r>
      <w:r>
        <w:rPr>
          <w:color w:val="231F20"/>
          <w:spacing w:val="-4"/>
        </w:rPr>
        <w:t>à</w:t>
      </w:r>
      <w:r>
        <w:rPr>
          <w:color w:val="231F20"/>
          <w:spacing w:val="-7"/>
        </w:rPr>
        <w:t> </w:t>
      </w:r>
      <w:r>
        <w:rPr>
          <w:color w:val="231F20"/>
          <w:spacing w:val="-4"/>
        </w:rPr>
        <w:t>son</w:t>
      </w:r>
      <w:r>
        <w:rPr>
          <w:color w:val="231F20"/>
          <w:spacing w:val="-9"/>
        </w:rPr>
        <w:t> </w:t>
      </w:r>
      <w:r>
        <w:rPr>
          <w:color w:val="231F20"/>
          <w:spacing w:val="-4"/>
        </w:rPr>
        <w:t>mandant.</w:t>
      </w:r>
      <w:r>
        <w:rPr>
          <w:color w:val="231F20"/>
          <w:spacing w:val="-6"/>
        </w:rPr>
        <w:t> </w:t>
      </w:r>
      <w:r>
        <w:rPr>
          <w:color w:val="231F20"/>
          <w:spacing w:val="-4"/>
        </w:rPr>
        <w:t>En</w:t>
      </w:r>
      <w:r>
        <w:rPr>
          <w:color w:val="231F20"/>
          <w:spacing w:val="-9"/>
        </w:rPr>
        <w:t> </w:t>
      </w:r>
      <w:r>
        <w:rPr>
          <w:color w:val="231F20"/>
          <w:spacing w:val="-4"/>
        </w:rPr>
        <w:t>dépit</w:t>
      </w:r>
      <w:r>
        <w:rPr>
          <w:color w:val="231F20"/>
          <w:spacing w:val="-9"/>
        </w:rPr>
        <w:t> </w:t>
      </w:r>
      <w:r>
        <w:rPr>
          <w:color w:val="231F20"/>
          <w:spacing w:val="-4"/>
        </w:rPr>
        <w:t>des </w:t>
      </w:r>
      <w:r>
        <w:rPr>
          <w:color w:val="231F20"/>
        </w:rPr>
        <w:t>nombreuses rencontres organisées par la CEDEAO pour sortir de l’impasse, l’échec des pourparlers de Lomé est consommé</w:t>
      </w:r>
      <w:r>
        <w:rPr>
          <w:color w:val="231F20"/>
          <w:spacing w:val="-15"/>
        </w:rPr>
        <w:t> </w:t>
      </w:r>
      <w:r>
        <w:rPr>
          <w:color w:val="231F20"/>
        </w:rPr>
        <w:t>: les deux délégations</w:t>
      </w:r>
      <w:r>
        <w:rPr>
          <w:color w:val="231F20"/>
          <w:spacing w:val="-3"/>
        </w:rPr>
        <w:t> </w:t>
      </w:r>
      <w:r>
        <w:rPr>
          <w:color w:val="231F20"/>
        </w:rPr>
        <w:t>abandonnent</w:t>
      </w:r>
      <w:r>
        <w:rPr>
          <w:color w:val="231F20"/>
          <w:spacing w:val="-2"/>
        </w:rPr>
        <w:t> </w:t>
      </w:r>
      <w:r>
        <w:rPr>
          <w:color w:val="231F20"/>
        </w:rPr>
        <w:t>la</w:t>
      </w:r>
      <w:r>
        <w:rPr>
          <w:color w:val="231F20"/>
          <w:spacing w:val="-2"/>
        </w:rPr>
        <w:t> </w:t>
      </w:r>
      <w:r>
        <w:rPr>
          <w:color w:val="231F20"/>
        </w:rPr>
        <w:t>table</w:t>
      </w:r>
      <w:r>
        <w:rPr>
          <w:color w:val="231F20"/>
          <w:spacing w:val="-1"/>
        </w:rPr>
        <w:t> </w:t>
      </w:r>
      <w:r>
        <w:rPr>
          <w:color w:val="231F20"/>
        </w:rPr>
        <w:t>des</w:t>
      </w:r>
      <w:r>
        <w:rPr>
          <w:color w:val="231F20"/>
          <w:spacing w:val="-1"/>
        </w:rPr>
        <w:t> </w:t>
      </w:r>
      <w:r>
        <w:rPr>
          <w:color w:val="231F20"/>
        </w:rPr>
        <w:t>négociations.</w:t>
      </w:r>
    </w:p>
    <w:p>
      <w:pPr>
        <w:pStyle w:val="BodyText"/>
        <w:spacing w:before="104"/>
        <w:ind w:left="0"/>
        <w:jc w:val="left"/>
      </w:pPr>
    </w:p>
    <w:p>
      <w:pPr>
        <w:pStyle w:val="Heading3"/>
        <w:spacing w:line="281" w:lineRule="exact"/>
        <w:rPr>
          <w:i/>
        </w:rPr>
      </w:pPr>
      <w:r>
        <w:rPr>
          <w:i/>
          <w:color w:val="231F20"/>
          <w:spacing w:val="-2"/>
        </w:rPr>
        <w:t>De</w:t>
      </w:r>
      <w:r>
        <w:rPr>
          <w:i/>
          <w:color w:val="231F20"/>
          <w:spacing w:val="-10"/>
        </w:rPr>
        <w:t> </w:t>
      </w:r>
      <w:r>
        <w:rPr>
          <w:i/>
          <w:color w:val="231F20"/>
          <w:spacing w:val="-2"/>
        </w:rPr>
        <w:t>Lomé</w:t>
      </w:r>
      <w:r>
        <w:rPr>
          <w:i/>
          <w:color w:val="231F20"/>
          <w:spacing w:val="-9"/>
        </w:rPr>
        <w:t> </w:t>
      </w:r>
      <w:r>
        <w:rPr>
          <w:i/>
          <w:color w:val="231F20"/>
          <w:spacing w:val="-2"/>
        </w:rPr>
        <w:t>à</w:t>
      </w:r>
      <w:r>
        <w:rPr>
          <w:i/>
          <w:color w:val="231F20"/>
          <w:spacing w:val="-8"/>
        </w:rPr>
        <w:t> </w:t>
      </w:r>
      <w:r>
        <w:rPr>
          <w:i/>
          <w:color w:val="231F20"/>
          <w:spacing w:val="-2"/>
        </w:rPr>
        <w:t>Accra</w:t>
      </w:r>
      <w:r>
        <w:rPr>
          <w:i/>
          <w:color w:val="231F20"/>
          <w:spacing w:val="-7"/>
        </w:rPr>
        <w:t> </w:t>
      </w:r>
      <w:r>
        <w:rPr>
          <w:i/>
          <w:color w:val="231F20"/>
          <w:spacing w:val="-2"/>
        </w:rPr>
        <w:t>en</w:t>
      </w:r>
      <w:r>
        <w:rPr>
          <w:i/>
          <w:color w:val="231F20"/>
          <w:spacing w:val="-9"/>
        </w:rPr>
        <w:t> </w:t>
      </w:r>
      <w:r>
        <w:rPr>
          <w:i/>
          <w:color w:val="231F20"/>
          <w:spacing w:val="-2"/>
        </w:rPr>
        <w:t>passant</w:t>
      </w:r>
      <w:r>
        <w:rPr>
          <w:i/>
          <w:color w:val="231F20"/>
          <w:spacing w:val="-8"/>
        </w:rPr>
        <w:t> </w:t>
      </w:r>
      <w:r>
        <w:rPr>
          <w:i/>
          <w:color w:val="231F20"/>
          <w:spacing w:val="-2"/>
        </w:rPr>
        <w:t>par</w:t>
      </w:r>
      <w:r>
        <w:rPr>
          <w:i/>
          <w:color w:val="231F20"/>
          <w:spacing w:val="-10"/>
        </w:rPr>
        <w:t> </w:t>
      </w:r>
      <w:r>
        <w:rPr>
          <w:i/>
          <w:color w:val="231F20"/>
          <w:spacing w:val="-2"/>
        </w:rPr>
        <w:t>Dakar,</w:t>
      </w:r>
      <w:r>
        <w:rPr>
          <w:i/>
          <w:color w:val="231F20"/>
          <w:spacing w:val="-7"/>
        </w:rPr>
        <w:t> </w:t>
      </w:r>
      <w:r>
        <w:rPr>
          <w:i/>
          <w:color w:val="231F20"/>
          <w:spacing w:val="-2"/>
        </w:rPr>
        <w:t>ce</w:t>
      </w:r>
      <w:r>
        <w:rPr>
          <w:i/>
          <w:color w:val="231F20"/>
          <w:spacing w:val="-7"/>
        </w:rPr>
        <w:t> </w:t>
      </w:r>
      <w:r>
        <w:rPr>
          <w:i/>
          <w:color w:val="231F20"/>
          <w:spacing w:val="-2"/>
        </w:rPr>
        <w:t>sont</w:t>
      </w:r>
      <w:r>
        <w:rPr>
          <w:i/>
          <w:color w:val="231F20"/>
          <w:spacing w:val="-11"/>
        </w:rPr>
        <w:t> </w:t>
      </w:r>
      <w:r>
        <w:rPr>
          <w:i/>
          <w:color w:val="231F20"/>
          <w:spacing w:val="-2"/>
        </w:rPr>
        <w:t>les</w:t>
      </w:r>
      <w:r>
        <w:rPr>
          <w:i/>
          <w:color w:val="231F20"/>
          <w:spacing w:val="-10"/>
        </w:rPr>
        <w:t> </w:t>
      </w:r>
      <w:r>
        <w:rPr>
          <w:i/>
          <w:color w:val="231F20"/>
          <w:spacing w:val="-2"/>
        </w:rPr>
        <w:t>mêmes</w:t>
      </w:r>
    </w:p>
    <w:p>
      <w:pPr>
        <w:spacing w:line="281" w:lineRule="exact" w:before="0"/>
        <w:ind w:left="111" w:right="0" w:firstLine="0"/>
        <w:jc w:val="both"/>
        <w:rPr>
          <w:rFonts w:ascii="Cambria" w:hAnsi="Cambria"/>
          <w:b/>
          <w:i/>
          <w:sz w:val="24"/>
        </w:rPr>
      </w:pPr>
      <w:r>
        <w:rPr>
          <w:rFonts w:ascii="Cambria" w:hAnsi="Cambria"/>
          <w:b/>
          <w:i/>
          <w:color w:val="231F20"/>
          <w:spacing w:val="-2"/>
          <w:sz w:val="24"/>
        </w:rPr>
        <w:t>«</w:t>
      </w:r>
      <w:r>
        <w:rPr>
          <w:rFonts w:ascii="Cambria" w:hAnsi="Cambria"/>
          <w:b/>
          <w:i/>
          <w:color w:val="231F20"/>
          <w:spacing w:val="-8"/>
          <w:sz w:val="24"/>
        </w:rPr>
        <w:t> </w:t>
      </w:r>
      <w:r>
        <w:rPr>
          <w:rFonts w:ascii="Cambria" w:hAnsi="Cambria"/>
          <w:b/>
          <w:i/>
          <w:color w:val="231F20"/>
          <w:spacing w:val="-2"/>
          <w:sz w:val="24"/>
        </w:rPr>
        <w:t>litanies</w:t>
      </w:r>
      <w:r>
        <w:rPr>
          <w:rFonts w:ascii="Cambria" w:hAnsi="Cambria"/>
          <w:b/>
          <w:i/>
          <w:color w:val="231F20"/>
          <w:spacing w:val="-7"/>
          <w:sz w:val="24"/>
        </w:rPr>
        <w:t> </w:t>
      </w:r>
      <w:r>
        <w:rPr>
          <w:rFonts w:ascii="Cambria" w:hAnsi="Cambria"/>
          <w:b/>
          <w:i/>
          <w:color w:val="231F20"/>
          <w:spacing w:val="-5"/>
          <w:sz w:val="24"/>
        </w:rPr>
        <w:t>».</w:t>
      </w:r>
    </w:p>
    <w:p>
      <w:pPr>
        <w:pStyle w:val="BodyText"/>
        <w:spacing w:before="256"/>
        <w:ind w:right="104" w:firstLine="283"/>
      </w:pPr>
      <w:r>
        <w:rPr>
          <w:color w:val="231F20"/>
          <w:spacing w:val="-4"/>
        </w:rPr>
        <w:t>Entre</w:t>
      </w:r>
      <w:r>
        <w:rPr>
          <w:color w:val="231F20"/>
          <w:spacing w:val="-11"/>
        </w:rPr>
        <w:t> </w:t>
      </w:r>
      <w:r>
        <w:rPr>
          <w:color w:val="231F20"/>
          <w:spacing w:val="-4"/>
        </w:rPr>
        <w:t>temps,</w:t>
      </w:r>
      <w:r>
        <w:rPr>
          <w:color w:val="231F20"/>
          <w:spacing w:val="-11"/>
        </w:rPr>
        <w:t> </w:t>
      </w:r>
      <w:r>
        <w:rPr>
          <w:color w:val="231F20"/>
          <w:spacing w:val="-4"/>
        </w:rPr>
        <w:t>le</w:t>
      </w:r>
      <w:r>
        <w:rPr>
          <w:color w:val="231F20"/>
          <w:spacing w:val="-11"/>
        </w:rPr>
        <w:t> </w:t>
      </w:r>
      <w:r>
        <w:rPr>
          <w:color w:val="231F20"/>
          <w:spacing w:val="-4"/>
        </w:rPr>
        <w:t>prétexte</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xénophobie</w:t>
      </w:r>
      <w:r>
        <w:rPr>
          <w:color w:val="231F20"/>
          <w:spacing w:val="-11"/>
        </w:rPr>
        <w:t> </w:t>
      </w:r>
      <w:r>
        <w:rPr>
          <w:color w:val="231F20"/>
          <w:spacing w:val="-4"/>
        </w:rPr>
        <w:t>des</w:t>
      </w:r>
      <w:r>
        <w:rPr>
          <w:color w:val="231F20"/>
          <w:spacing w:val="-11"/>
        </w:rPr>
        <w:t> </w:t>
      </w:r>
      <w:r>
        <w:rPr>
          <w:color w:val="231F20"/>
          <w:spacing w:val="-4"/>
        </w:rPr>
        <w:t>ivoiriens</w:t>
      </w:r>
      <w:r>
        <w:rPr>
          <w:color w:val="231F20"/>
          <w:spacing w:val="-11"/>
        </w:rPr>
        <w:t> </w:t>
      </w:r>
      <w:r>
        <w:rPr>
          <w:color w:val="231F20"/>
          <w:spacing w:val="-4"/>
        </w:rPr>
        <w:t>servi</w:t>
      </w:r>
      <w:r>
        <w:rPr>
          <w:color w:val="231F20"/>
          <w:spacing w:val="-11"/>
        </w:rPr>
        <w:t> </w:t>
      </w:r>
      <w:r>
        <w:rPr>
          <w:color w:val="231F20"/>
          <w:spacing w:val="-4"/>
        </w:rPr>
        <w:t>aux</w:t>
      </w:r>
      <w:r>
        <w:rPr>
          <w:color w:val="231F20"/>
          <w:spacing w:val="-11"/>
        </w:rPr>
        <w:t> </w:t>
      </w:r>
      <w:r>
        <w:rPr>
          <w:color w:val="231F20"/>
          <w:spacing w:val="-4"/>
        </w:rPr>
        <w:t>dozos, </w:t>
      </w:r>
      <w:r>
        <w:rPr>
          <w:color w:val="231F20"/>
        </w:rPr>
        <w:t>les divisions ethniques libériennes et les haines engendrées par quinze années de</w:t>
      </w:r>
      <w:r>
        <w:rPr>
          <w:color w:val="231F20"/>
          <w:spacing w:val="-15"/>
        </w:rPr>
        <w:t> </w:t>
      </w:r>
      <w:r>
        <w:rPr>
          <w:color w:val="231F20"/>
        </w:rPr>
        <w:t>guerre civile</w:t>
      </w:r>
      <w:r>
        <w:rPr>
          <w:color w:val="231F20"/>
          <w:spacing w:val="-1"/>
        </w:rPr>
        <w:t> </w:t>
      </w:r>
      <w:r>
        <w:rPr>
          <w:color w:val="231F20"/>
        </w:rPr>
        <w:t>au Libéria embrasent la</w:t>
      </w:r>
      <w:r>
        <w:rPr>
          <w:color w:val="231F20"/>
          <w:spacing w:val="-1"/>
        </w:rPr>
        <w:t> </w:t>
      </w:r>
      <w:r>
        <w:rPr>
          <w:color w:val="231F20"/>
        </w:rPr>
        <w:t>partie Ouest de</w:t>
      </w:r>
      <w:r>
        <w:rPr>
          <w:color w:val="231F20"/>
          <w:spacing w:val="-4"/>
        </w:rPr>
        <w:t> </w:t>
      </w:r>
      <w:r>
        <w:rPr>
          <w:color w:val="231F20"/>
        </w:rPr>
        <w:t>la</w:t>
      </w:r>
      <w:r>
        <w:rPr>
          <w:color w:val="231F20"/>
          <w:spacing w:val="-1"/>
        </w:rPr>
        <w:t> </w:t>
      </w:r>
      <w:r>
        <w:rPr>
          <w:color w:val="231F20"/>
        </w:rPr>
        <w:t>Côte </w:t>
      </w:r>
      <w:r>
        <w:rPr>
          <w:color w:val="231F20"/>
          <w:spacing w:val="-4"/>
        </w:rPr>
        <w:t>d’Ivoire</w:t>
      </w:r>
      <w:r>
        <w:rPr>
          <w:color w:val="231F20"/>
          <w:spacing w:val="-7"/>
        </w:rPr>
        <w:t> </w:t>
      </w:r>
      <w:r>
        <w:rPr>
          <w:color w:val="231F20"/>
          <w:spacing w:val="-4"/>
        </w:rPr>
        <w:t>où</w:t>
      </w:r>
      <w:r>
        <w:rPr>
          <w:color w:val="231F20"/>
          <w:spacing w:val="-6"/>
        </w:rPr>
        <w:t> </w:t>
      </w:r>
      <w:r>
        <w:rPr>
          <w:color w:val="231F20"/>
          <w:spacing w:val="-4"/>
        </w:rPr>
        <w:t>deux</w:t>
      </w:r>
      <w:r>
        <w:rPr>
          <w:color w:val="231F20"/>
          <w:spacing w:val="-6"/>
        </w:rPr>
        <w:t> </w:t>
      </w:r>
      <w:r>
        <w:rPr>
          <w:color w:val="231F20"/>
          <w:spacing w:val="-4"/>
        </w:rPr>
        <w:t>groupes</w:t>
      </w:r>
      <w:r>
        <w:rPr>
          <w:color w:val="231F20"/>
          <w:spacing w:val="-9"/>
        </w:rPr>
        <w:t> </w:t>
      </w:r>
      <w:r>
        <w:rPr>
          <w:color w:val="231F20"/>
          <w:spacing w:val="-4"/>
        </w:rPr>
        <w:t>rivaux</w:t>
      </w:r>
      <w:r>
        <w:rPr>
          <w:color w:val="231F20"/>
          <w:spacing w:val="-9"/>
        </w:rPr>
        <w:t> </w:t>
      </w:r>
      <w:r>
        <w:rPr>
          <w:color w:val="231F20"/>
          <w:spacing w:val="-4"/>
        </w:rPr>
        <w:t>de</w:t>
      </w:r>
      <w:r>
        <w:rPr>
          <w:color w:val="231F20"/>
          <w:spacing w:val="-7"/>
        </w:rPr>
        <w:t> </w:t>
      </w:r>
      <w:r>
        <w:rPr>
          <w:color w:val="231F20"/>
          <w:spacing w:val="-4"/>
        </w:rPr>
        <w:t>rebelles</w:t>
      </w:r>
      <w:r>
        <w:rPr>
          <w:color w:val="231F20"/>
          <w:spacing w:val="-9"/>
        </w:rPr>
        <w:t> </w:t>
      </w:r>
      <w:r>
        <w:rPr>
          <w:color w:val="231F20"/>
          <w:spacing w:val="-4"/>
        </w:rPr>
        <w:t>travaillant</w:t>
      </w:r>
      <w:r>
        <w:rPr>
          <w:color w:val="231F20"/>
          <w:spacing w:val="-7"/>
        </w:rPr>
        <w:t> </w:t>
      </w:r>
      <w:r>
        <w:rPr>
          <w:color w:val="231F20"/>
          <w:spacing w:val="-4"/>
        </w:rPr>
        <w:t>séparément se</w:t>
      </w:r>
      <w:r>
        <w:rPr>
          <w:color w:val="231F20"/>
          <w:spacing w:val="-6"/>
        </w:rPr>
        <w:t> </w:t>
      </w:r>
      <w:r>
        <w:rPr>
          <w:color w:val="231F20"/>
          <w:spacing w:val="-4"/>
        </w:rPr>
        <w:t>sont </w:t>
      </w:r>
      <w:r>
        <w:rPr>
          <w:color w:val="231F20"/>
        </w:rPr>
        <w:t>constitués</w:t>
      </w:r>
      <w:r>
        <w:rPr>
          <w:color w:val="231F20"/>
          <w:spacing w:val="-12"/>
        </w:rPr>
        <w:t> </w:t>
      </w:r>
      <w:r>
        <w:rPr>
          <w:color w:val="231F20"/>
        </w:rPr>
        <w:t>:</w:t>
      </w:r>
      <w:r>
        <w:rPr>
          <w:color w:val="231F20"/>
          <w:spacing w:val="-12"/>
        </w:rPr>
        <w:t> </w:t>
      </w:r>
      <w:r>
        <w:rPr>
          <w:color w:val="231F20"/>
        </w:rPr>
        <w:t>le</w:t>
      </w:r>
      <w:r>
        <w:rPr>
          <w:color w:val="231F20"/>
          <w:spacing w:val="-13"/>
        </w:rPr>
        <w:t> </w:t>
      </w:r>
      <w:r>
        <w:rPr>
          <w:color w:val="231F20"/>
        </w:rPr>
        <w:t>Mouvement</w:t>
      </w:r>
      <w:r>
        <w:rPr>
          <w:color w:val="231F20"/>
          <w:spacing w:val="-12"/>
        </w:rPr>
        <w:t> </w:t>
      </w:r>
      <w:r>
        <w:rPr>
          <w:color w:val="231F20"/>
        </w:rPr>
        <w:t>populaire</w:t>
      </w:r>
      <w:r>
        <w:rPr>
          <w:color w:val="231F20"/>
          <w:spacing w:val="-13"/>
        </w:rPr>
        <w:t> </w:t>
      </w:r>
      <w:r>
        <w:rPr>
          <w:color w:val="231F20"/>
        </w:rPr>
        <w:t>ivoirien</w:t>
      </w:r>
      <w:r>
        <w:rPr>
          <w:color w:val="231F20"/>
          <w:spacing w:val="-13"/>
        </w:rPr>
        <w:t> </w:t>
      </w:r>
      <w:r>
        <w:rPr>
          <w:color w:val="231F20"/>
        </w:rPr>
        <w:t>du</w:t>
      </w:r>
      <w:r>
        <w:rPr>
          <w:color w:val="231F20"/>
          <w:spacing w:val="-13"/>
        </w:rPr>
        <w:t> </w:t>
      </w:r>
      <w:r>
        <w:rPr>
          <w:color w:val="231F20"/>
        </w:rPr>
        <w:t>Grand</w:t>
      </w:r>
      <w:r>
        <w:rPr>
          <w:color w:val="231F20"/>
          <w:spacing w:val="-13"/>
        </w:rPr>
        <w:t> </w:t>
      </w:r>
      <w:r>
        <w:rPr>
          <w:color w:val="231F20"/>
        </w:rPr>
        <w:t>Ouest</w:t>
      </w:r>
      <w:r>
        <w:rPr>
          <w:color w:val="231F20"/>
          <w:spacing w:val="-13"/>
        </w:rPr>
        <w:t> </w:t>
      </w:r>
      <w:r>
        <w:rPr>
          <w:color w:val="231F20"/>
        </w:rPr>
        <w:t>(MPIGO) et le Mouvement pour la justice et la paix (MJP). Ces groupes de combattants</w:t>
      </w:r>
      <w:r>
        <w:rPr>
          <w:color w:val="231F20"/>
          <w:spacing w:val="-13"/>
        </w:rPr>
        <w:t> </w:t>
      </w:r>
      <w:r>
        <w:rPr>
          <w:color w:val="231F20"/>
        </w:rPr>
        <w:t>sont</w:t>
      </w:r>
      <w:r>
        <w:rPr>
          <w:color w:val="231F20"/>
          <w:spacing w:val="-6"/>
        </w:rPr>
        <w:t> </w:t>
      </w:r>
      <w:r>
        <w:rPr>
          <w:color w:val="231F20"/>
        </w:rPr>
        <w:t>composés</w:t>
      </w:r>
      <w:r>
        <w:rPr>
          <w:color w:val="231F20"/>
          <w:spacing w:val="-5"/>
        </w:rPr>
        <w:t> </w:t>
      </w:r>
      <w:r>
        <w:rPr>
          <w:color w:val="231F20"/>
        </w:rPr>
        <w:t>de</w:t>
      </w:r>
      <w:r>
        <w:rPr>
          <w:color w:val="231F20"/>
          <w:spacing w:val="-6"/>
        </w:rPr>
        <w:t> </w:t>
      </w:r>
      <w:r>
        <w:rPr>
          <w:color w:val="231F20"/>
        </w:rPr>
        <w:t>«</w:t>
      </w:r>
      <w:r>
        <w:rPr>
          <w:color w:val="231F20"/>
          <w:spacing w:val="-15"/>
        </w:rPr>
        <w:t> </w:t>
      </w:r>
      <w:r>
        <w:rPr>
          <w:color w:val="231F20"/>
        </w:rPr>
        <w:t>chiens</w:t>
      </w:r>
      <w:r>
        <w:rPr>
          <w:color w:val="231F20"/>
          <w:spacing w:val="-8"/>
        </w:rPr>
        <w:t> </w:t>
      </w:r>
      <w:r>
        <w:rPr>
          <w:color w:val="231F20"/>
        </w:rPr>
        <w:t>de</w:t>
      </w:r>
      <w:r>
        <w:rPr>
          <w:color w:val="231F20"/>
          <w:spacing w:val="-5"/>
        </w:rPr>
        <w:t> </w:t>
      </w:r>
      <w:r>
        <w:rPr>
          <w:color w:val="231F20"/>
        </w:rPr>
        <w:t>guerre</w:t>
      </w:r>
      <w:r>
        <w:rPr>
          <w:color w:val="231F20"/>
          <w:spacing w:val="-15"/>
        </w:rPr>
        <w:t> </w:t>
      </w:r>
      <w:r>
        <w:rPr>
          <w:color w:val="231F20"/>
        </w:rPr>
        <w:t>»,</w:t>
      </w:r>
      <w:r>
        <w:rPr>
          <w:color w:val="231F20"/>
          <w:spacing w:val="-5"/>
        </w:rPr>
        <w:t> </w:t>
      </w:r>
      <w:r>
        <w:rPr>
          <w:color w:val="231F20"/>
        </w:rPr>
        <w:t>rescapés</w:t>
      </w:r>
      <w:r>
        <w:rPr>
          <w:color w:val="231F20"/>
          <w:spacing w:val="-7"/>
        </w:rPr>
        <w:t> </w:t>
      </w:r>
      <w:r>
        <w:rPr>
          <w:color w:val="231F20"/>
        </w:rPr>
        <w:t>du</w:t>
      </w:r>
      <w:r>
        <w:rPr>
          <w:color w:val="231F20"/>
          <w:spacing w:val="-7"/>
        </w:rPr>
        <w:t> </w:t>
      </w:r>
      <w:r>
        <w:rPr>
          <w:color w:val="231F20"/>
        </w:rPr>
        <w:t>régime du</w:t>
      </w:r>
      <w:r>
        <w:rPr>
          <w:color w:val="231F20"/>
          <w:spacing w:val="-2"/>
        </w:rPr>
        <w:t> </w:t>
      </w:r>
      <w:r>
        <w:rPr>
          <w:color w:val="231F20"/>
        </w:rPr>
        <w:t>sergent</w:t>
      </w:r>
      <w:r>
        <w:rPr>
          <w:color w:val="231F20"/>
          <w:spacing w:val="-2"/>
        </w:rPr>
        <w:t> </w:t>
      </w:r>
      <w:r>
        <w:rPr>
          <w:color w:val="231F20"/>
        </w:rPr>
        <w:t>Samuel</w:t>
      </w:r>
      <w:r>
        <w:rPr>
          <w:color w:val="231F20"/>
          <w:spacing w:val="-2"/>
        </w:rPr>
        <w:t> </w:t>
      </w:r>
      <w:r>
        <w:rPr>
          <w:color w:val="231F20"/>
        </w:rPr>
        <w:t>Doe</w:t>
      </w:r>
      <w:r>
        <w:rPr>
          <w:color w:val="231F20"/>
          <w:vertAlign w:val="superscript"/>
        </w:rPr>
        <w:t>181</w:t>
      </w:r>
      <w:r>
        <w:rPr>
          <w:color w:val="231F20"/>
          <w:spacing w:val="-15"/>
          <w:vertAlign w:val="baseline"/>
        </w:rPr>
        <w:t> </w:t>
      </w:r>
      <w:r>
        <w:rPr>
          <w:color w:val="231F20"/>
          <w:vertAlign w:val="baseline"/>
        </w:rPr>
        <w:t>du</w:t>
      </w:r>
      <w:r>
        <w:rPr>
          <w:color w:val="231F20"/>
          <w:spacing w:val="-2"/>
          <w:vertAlign w:val="baseline"/>
        </w:rPr>
        <w:t> </w:t>
      </w:r>
      <w:r>
        <w:rPr>
          <w:color w:val="231F20"/>
          <w:vertAlign w:val="baseline"/>
        </w:rPr>
        <w:t>Liberia</w:t>
      </w:r>
      <w:r>
        <w:rPr>
          <w:color w:val="231F20"/>
          <w:spacing w:val="-2"/>
          <w:vertAlign w:val="baseline"/>
        </w:rPr>
        <w:t> </w:t>
      </w:r>
      <w:r>
        <w:rPr>
          <w:color w:val="231F20"/>
          <w:vertAlign w:val="baseline"/>
        </w:rPr>
        <w:t>aux</w:t>
      </w:r>
      <w:r>
        <w:rPr>
          <w:color w:val="231F20"/>
          <w:spacing w:val="-3"/>
          <w:vertAlign w:val="baseline"/>
        </w:rPr>
        <w:t> </w:t>
      </w:r>
      <w:r>
        <w:rPr>
          <w:color w:val="231F20"/>
          <w:vertAlign w:val="baseline"/>
        </w:rPr>
        <w:t>côtés</w:t>
      </w:r>
      <w:r>
        <w:rPr>
          <w:color w:val="231F20"/>
          <w:spacing w:val="-3"/>
          <w:vertAlign w:val="baseline"/>
        </w:rPr>
        <w:t> </w:t>
      </w:r>
      <w:r>
        <w:rPr>
          <w:color w:val="231F20"/>
          <w:vertAlign w:val="baseline"/>
        </w:rPr>
        <w:t>duquel</w:t>
      </w:r>
      <w:r>
        <w:rPr>
          <w:color w:val="231F20"/>
          <w:spacing w:val="-2"/>
          <w:vertAlign w:val="baseline"/>
        </w:rPr>
        <w:t> </w:t>
      </w:r>
      <w:r>
        <w:rPr>
          <w:color w:val="231F20"/>
          <w:vertAlign w:val="baseline"/>
        </w:rPr>
        <w:t>ils</w:t>
      </w:r>
      <w:r>
        <w:rPr>
          <w:color w:val="231F20"/>
          <w:spacing w:val="-2"/>
          <w:vertAlign w:val="baseline"/>
        </w:rPr>
        <w:t> </w:t>
      </w:r>
      <w:r>
        <w:rPr>
          <w:color w:val="231F20"/>
          <w:vertAlign w:val="baseline"/>
        </w:rPr>
        <w:t>ont</w:t>
      </w:r>
      <w:r>
        <w:rPr>
          <w:color w:val="231F20"/>
          <w:spacing w:val="-2"/>
          <w:vertAlign w:val="baseline"/>
        </w:rPr>
        <w:t> </w:t>
      </w:r>
      <w:r>
        <w:rPr>
          <w:color w:val="231F20"/>
          <w:vertAlign w:val="baseline"/>
        </w:rPr>
        <w:t>combattu dans</w:t>
      </w:r>
      <w:r>
        <w:rPr>
          <w:color w:val="231F20"/>
          <w:spacing w:val="-5"/>
          <w:vertAlign w:val="baseline"/>
        </w:rPr>
        <w:t> </w:t>
      </w:r>
      <w:r>
        <w:rPr>
          <w:color w:val="231F20"/>
          <w:vertAlign w:val="baseline"/>
        </w:rPr>
        <w:t>la</w:t>
      </w:r>
      <w:r>
        <w:rPr>
          <w:color w:val="231F20"/>
          <w:spacing w:val="-8"/>
          <w:vertAlign w:val="baseline"/>
        </w:rPr>
        <w:t> </w:t>
      </w:r>
      <w:r>
        <w:rPr>
          <w:color w:val="231F20"/>
          <w:vertAlign w:val="baseline"/>
        </w:rPr>
        <w:t>guerre</w:t>
      </w:r>
      <w:r>
        <w:rPr>
          <w:color w:val="231F20"/>
          <w:spacing w:val="-5"/>
          <w:vertAlign w:val="baseline"/>
        </w:rPr>
        <w:t> </w:t>
      </w:r>
      <w:r>
        <w:rPr>
          <w:color w:val="231F20"/>
          <w:vertAlign w:val="baseline"/>
        </w:rPr>
        <w:t>civile</w:t>
      </w:r>
      <w:r>
        <w:rPr>
          <w:color w:val="231F20"/>
          <w:spacing w:val="-7"/>
          <w:vertAlign w:val="baseline"/>
        </w:rPr>
        <w:t> </w:t>
      </w:r>
      <w:r>
        <w:rPr>
          <w:color w:val="231F20"/>
          <w:vertAlign w:val="baseline"/>
        </w:rPr>
        <w:t>libérienne</w:t>
      </w:r>
      <w:r>
        <w:rPr>
          <w:color w:val="231F20"/>
          <w:spacing w:val="-5"/>
          <w:vertAlign w:val="baseline"/>
        </w:rPr>
        <w:t> </w:t>
      </w:r>
      <w:r>
        <w:rPr>
          <w:color w:val="231F20"/>
          <w:vertAlign w:val="baseline"/>
        </w:rPr>
        <w:t>avant</w:t>
      </w:r>
      <w:r>
        <w:rPr>
          <w:color w:val="231F20"/>
          <w:spacing w:val="-7"/>
          <w:vertAlign w:val="baseline"/>
        </w:rPr>
        <w:t> </w:t>
      </w:r>
      <w:r>
        <w:rPr>
          <w:color w:val="231F20"/>
          <w:vertAlign w:val="baseline"/>
        </w:rPr>
        <w:t>de</w:t>
      </w:r>
      <w:r>
        <w:rPr>
          <w:color w:val="231F20"/>
          <w:spacing w:val="-5"/>
          <w:vertAlign w:val="baseline"/>
        </w:rPr>
        <w:t> </w:t>
      </w:r>
      <w:r>
        <w:rPr>
          <w:color w:val="231F20"/>
          <w:vertAlign w:val="baseline"/>
        </w:rPr>
        <w:t>servir</w:t>
      </w:r>
      <w:r>
        <w:rPr>
          <w:color w:val="231F20"/>
          <w:spacing w:val="-5"/>
          <w:vertAlign w:val="baseline"/>
        </w:rPr>
        <w:t> </w:t>
      </w:r>
      <w:r>
        <w:rPr>
          <w:color w:val="231F20"/>
          <w:vertAlign w:val="baseline"/>
        </w:rPr>
        <w:t>aux</w:t>
      </w:r>
      <w:r>
        <w:rPr>
          <w:color w:val="231F20"/>
          <w:spacing w:val="-5"/>
          <w:vertAlign w:val="baseline"/>
        </w:rPr>
        <w:t> </w:t>
      </w:r>
      <w:r>
        <w:rPr>
          <w:color w:val="231F20"/>
          <w:vertAlign w:val="baseline"/>
        </w:rPr>
        <w:t>côté</w:t>
      </w:r>
      <w:r>
        <w:rPr>
          <w:color w:val="231F20"/>
          <w:spacing w:val="-5"/>
          <w:vertAlign w:val="baseline"/>
        </w:rPr>
        <w:t> </w:t>
      </w:r>
      <w:r>
        <w:rPr>
          <w:color w:val="231F20"/>
          <w:vertAlign w:val="baseline"/>
        </w:rPr>
        <w:t>du</w:t>
      </w:r>
      <w:r>
        <w:rPr>
          <w:color w:val="231F20"/>
          <w:spacing w:val="-7"/>
          <w:vertAlign w:val="baseline"/>
        </w:rPr>
        <w:t> </w:t>
      </w:r>
      <w:r>
        <w:rPr>
          <w:color w:val="231F20"/>
          <w:vertAlign w:val="baseline"/>
        </w:rPr>
        <w:t>RUF</w:t>
      </w:r>
      <w:r>
        <w:rPr>
          <w:color w:val="231F20"/>
          <w:vertAlign w:val="superscript"/>
        </w:rPr>
        <w:t>182</w:t>
      </w:r>
      <w:r>
        <w:rPr>
          <w:color w:val="231F20"/>
          <w:vertAlign w:val="baseline"/>
        </w:rPr>
        <w:t>.</w:t>
      </w:r>
    </w:p>
    <w:p>
      <w:pPr>
        <w:pStyle w:val="BodyText"/>
        <w:spacing w:before="81"/>
        <w:ind w:left="0"/>
        <w:jc w:val="left"/>
        <w:rPr>
          <w:sz w:val="20"/>
        </w:rPr>
      </w:pPr>
      <w:r>
        <w:rPr/>
        <mc:AlternateContent>
          <mc:Choice Requires="wps">
            <w:drawing>
              <wp:anchor distT="0" distB="0" distL="0" distR="0" allowOverlap="1" layoutInCell="1" locked="0" behindDoc="1" simplePos="0" relativeHeight="487645696">
                <wp:simplePos x="0" y="0"/>
                <wp:positionH relativeFrom="page">
                  <wp:posOffset>629907</wp:posOffset>
                </wp:positionH>
                <wp:positionV relativeFrom="paragraph">
                  <wp:posOffset>212780</wp:posOffset>
                </wp:positionV>
                <wp:extent cx="1829435" cy="9525"/>
                <wp:effectExtent l="0" t="0" r="0" b="0"/>
                <wp:wrapTopAndBottom/>
                <wp:docPr id="142" name="Graphic 142"/>
                <wp:cNvGraphicFramePr>
                  <a:graphicFrameLocks/>
                </wp:cNvGraphicFramePr>
                <a:graphic>
                  <a:graphicData uri="http://schemas.microsoft.com/office/word/2010/wordprocessingShape">
                    <wps:wsp>
                      <wps:cNvPr id="142" name="Graphic 142"/>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754387pt;width:144.020pt;height:.71994pt;mso-position-horizontal-relative:page;mso-position-vertical-relative:paragraph;z-index:-15670784;mso-wrap-distance-left:0;mso-wrap-distance-right:0" id="docshape140" filled="true" fillcolor="#231f20" stroked="false">
                <v:fill type="solid"/>
                <w10:wrap type="topAndBottom"/>
              </v:rect>
            </w:pict>
          </mc:Fallback>
        </mc:AlternateContent>
      </w:r>
    </w:p>
    <w:p>
      <w:pPr>
        <w:spacing w:before="91"/>
        <w:ind w:left="111" w:right="0" w:firstLine="0"/>
        <w:jc w:val="left"/>
        <w:rPr>
          <w:sz w:val="20"/>
        </w:rPr>
      </w:pPr>
      <w:r>
        <w:rPr>
          <w:color w:val="76787A"/>
          <w:spacing w:val="-2"/>
          <w:sz w:val="20"/>
          <w:vertAlign w:val="superscript"/>
        </w:rPr>
        <w:t>181</w:t>
      </w:r>
      <w:r>
        <w:rPr>
          <w:color w:val="76787A"/>
          <w:spacing w:val="-8"/>
          <w:sz w:val="20"/>
          <w:vertAlign w:val="baseline"/>
        </w:rPr>
        <w:t> </w:t>
      </w:r>
      <w:r>
        <w:rPr>
          <w:color w:val="231F20"/>
          <w:spacing w:val="-2"/>
          <w:sz w:val="20"/>
          <w:vertAlign w:val="baseline"/>
        </w:rPr>
        <w:t>Ancien</w:t>
      </w:r>
      <w:r>
        <w:rPr>
          <w:color w:val="231F20"/>
          <w:spacing w:val="-11"/>
          <w:sz w:val="20"/>
          <w:vertAlign w:val="baseline"/>
        </w:rPr>
        <w:t> </w:t>
      </w:r>
      <w:r>
        <w:rPr>
          <w:color w:val="231F20"/>
          <w:spacing w:val="-2"/>
          <w:sz w:val="20"/>
          <w:vertAlign w:val="baseline"/>
        </w:rPr>
        <w:t>président</w:t>
      </w:r>
      <w:r>
        <w:rPr>
          <w:color w:val="231F20"/>
          <w:spacing w:val="-10"/>
          <w:sz w:val="20"/>
          <w:vertAlign w:val="baseline"/>
        </w:rPr>
        <w:t> </w:t>
      </w:r>
      <w:r>
        <w:rPr>
          <w:color w:val="231F20"/>
          <w:spacing w:val="-2"/>
          <w:sz w:val="20"/>
          <w:vertAlign w:val="baseline"/>
        </w:rPr>
        <w:t>du</w:t>
      </w:r>
      <w:r>
        <w:rPr>
          <w:color w:val="231F20"/>
          <w:spacing w:val="-11"/>
          <w:sz w:val="20"/>
          <w:vertAlign w:val="baseline"/>
        </w:rPr>
        <w:t> </w:t>
      </w:r>
      <w:r>
        <w:rPr>
          <w:color w:val="231F20"/>
          <w:spacing w:val="-2"/>
          <w:sz w:val="20"/>
          <w:vertAlign w:val="baseline"/>
        </w:rPr>
        <w:t>Libéria.</w:t>
      </w:r>
    </w:p>
    <w:p>
      <w:pPr>
        <w:spacing w:before="1"/>
        <w:ind w:left="111" w:right="0" w:firstLine="0"/>
        <w:jc w:val="left"/>
        <w:rPr>
          <w:sz w:val="20"/>
        </w:rPr>
      </w:pPr>
      <w:r>
        <w:rPr>
          <w:color w:val="76787A"/>
          <w:spacing w:val="-2"/>
          <w:sz w:val="20"/>
          <w:vertAlign w:val="superscript"/>
        </w:rPr>
        <w:t>182</w:t>
      </w:r>
      <w:r>
        <w:rPr>
          <w:color w:val="231F20"/>
          <w:spacing w:val="-2"/>
          <w:sz w:val="20"/>
          <w:vertAlign w:val="baseline"/>
        </w:rPr>
        <w:t>Revolutionary</w:t>
      </w:r>
      <w:r>
        <w:rPr>
          <w:color w:val="231F20"/>
          <w:spacing w:val="-11"/>
          <w:sz w:val="20"/>
          <w:vertAlign w:val="baseline"/>
        </w:rPr>
        <w:t> </w:t>
      </w:r>
      <w:r>
        <w:rPr>
          <w:color w:val="231F20"/>
          <w:spacing w:val="-2"/>
          <w:sz w:val="20"/>
          <w:vertAlign w:val="baseline"/>
        </w:rPr>
        <w:t>United</w:t>
      </w:r>
      <w:r>
        <w:rPr>
          <w:color w:val="231F20"/>
          <w:spacing w:val="-10"/>
          <w:sz w:val="20"/>
          <w:vertAlign w:val="baseline"/>
        </w:rPr>
        <w:t> </w:t>
      </w:r>
      <w:r>
        <w:rPr>
          <w:color w:val="231F20"/>
          <w:spacing w:val="-2"/>
          <w:sz w:val="20"/>
          <w:vertAlign w:val="baseline"/>
        </w:rPr>
        <w:t>Front</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Front</w:t>
      </w:r>
      <w:r>
        <w:rPr>
          <w:color w:val="231F20"/>
          <w:spacing w:val="-11"/>
          <w:sz w:val="20"/>
          <w:vertAlign w:val="baseline"/>
        </w:rPr>
        <w:t> </w:t>
      </w:r>
      <w:r>
        <w:rPr>
          <w:color w:val="231F20"/>
          <w:spacing w:val="-2"/>
          <w:sz w:val="20"/>
          <w:vertAlign w:val="baseline"/>
        </w:rPr>
        <w:t>révolutionnaire</w:t>
      </w:r>
      <w:r>
        <w:rPr>
          <w:color w:val="231F20"/>
          <w:spacing w:val="-10"/>
          <w:sz w:val="20"/>
          <w:vertAlign w:val="baseline"/>
        </w:rPr>
        <w:t> </w:t>
      </w:r>
      <w:r>
        <w:rPr>
          <w:color w:val="231F20"/>
          <w:spacing w:val="-2"/>
          <w:sz w:val="20"/>
          <w:vertAlign w:val="baseline"/>
        </w:rPr>
        <w:t>uni</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fondé</w:t>
      </w:r>
      <w:r>
        <w:rPr>
          <w:color w:val="231F20"/>
          <w:spacing w:val="-11"/>
          <w:sz w:val="20"/>
          <w:vertAlign w:val="baseline"/>
        </w:rPr>
        <w:t> </w:t>
      </w:r>
      <w:r>
        <w:rPr>
          <w:color w:val="231F20"/>
          <w:spacing w:val="-2"/>
          <w:sz w:val="20"/>
          <w:vertAlign w:val="baseline"/>
        </w:rPr>
        <w:t>par</w:t>
      </w:r>
      <w:r>
        <w:rPr>
          <w:color w:val="231F20"/>
          <w:spacing w:val="-10"/>
          <w:sz w:val="20"/>
          <w:vertAlign w:val="baseline"/>
        </w:rPr>
        <w:t> </w:t>
      </w:r>
      <w:r>
        <w:rPr>
          <w:color w:val="231F20"/>
          <w:spacing w:val="-2"/>
          <w:sz w:val="20"/>
          <w:vertAlign w:val="baseline"/>
        </w:rPr>
        <w:t>Foday</w:t>
      </w:r>
      <w:r>
        <w:rPr>
          <w:color w:val="231F20"/>
          <w:spacing w:val="-9"/>
          <w:sz w:val="20"/>
          <w:vertAlign w:val="baseline"/>
        </w:rPr>
        <w:t> </w:t>
      </w:r>
      <w:r>
        <w:rPr>
          <w:color w:val="231F20"/>
          <w:spacing w:val="-2"/>
          <w:sz w:val="20"/>
          <w:vertAlign w:val="baseline"/>
        </w:rPr>
        <w:t>Sankoh.</w:t>
      </w:r>
      <w:r>
        <w:rPr>
          <w:color w:val="231F20"/>
          <w:spacing w:val="-10"/>
          <w:sz w:val="20"/>
          <w:vertAlign w:val="baseline"/>
        </w:rPr>
        <w:t> </w:t>
      </w:r>
      <w:r>
        <w:rPr>
          <w:color w:val="231F20"/>
          <w:spacing w:val="-2"/>
          <w:sz w:val="20"/>
          <w:vertAlign w:val="baseline"/>
        </w:rPr>
        <w:t>Ce </w:t>
      </w:r>
      <w:r>
        <w:rPr>
          <w:color w:val="231F20"/>
          <w:sz w:val="20"/>
          <w:vertAlign w:val="baseline"/>
        </w:rPr>
        <w:t>groupe</w:t>
      </w:r>
      <w:r>
        <w:rPr>
          <w:color w:val="231F20"/>
          <w:spacing w:val="-10"/>
          <w:sz w:val="20"/>
          <w:vertAlign w:val="baseline"/>
        </w:rPr>
        <w:t> </w:t>
      </w:r>
      <w:r>
        <w:rPr>
          <w:color w:val="231F20"/>
          <w:sz w:val="20"/>
          <w:vertAlign w:val="baseline"/>
        </w:rPr>
        <w:t>est</w:t>
      </w:r>
      <w:r>
        <w:rPr>
          <w:color w:val="231F20"/>
          <w:spacing w:val="-9"/>
          <w:sz w:val="20"/>
          <w:vertAlign w:val="baseline"/>
        </w:rPr>
        <w:t> </w:t>
      </w:r>
      <w:r>
        <w:rPr>
          <w:color w:val="231F20"/>
          <w:sz w:val="20"/>
          <w:vertAlign w:val="baseline"/>
        </w:rPr>
        <w:t>cité</w:t>
      </w:r>
      <w:r>
        <w:rPr>
          <w:color w:val="231F20"/>
          <w:spacing w:val="-8"/>
          <w:sz w:val="20"/>
          <w:vertAlign w:val="baseline"/>
        </w:rPr>
        <w:t> </w:t>
      </w:r>
      <w:r>
        <w:rPr>
          <w:color w:val="231F20"/>
          <w:sz w:val="20"/>
          <w:vertAlign w:val="baseline"/>
        </w:rPr>
        <w:t>comme</w:t>
      </w:r>
      <w:r>
        <w:rPr>
          <w:color w:val="231F20"/>
          <w:spacing w:val="-10"/>
          <w:sz w:val="20"/>
          <w:vertAlign w:val="baseline"/>
        </w:rPr>
        <w:t> </w:t>
      </w:r>
      <w:r>
        <w:rPr>
          <w:color w:val="231F20"/>
          <w:sz w:val="20"/>
          <w:vertAlign w:val="baseline"/>
        </w:rPr>
        <w:t>le</w:t>
      </w:r>
      <w:r>
        <w:rPr>
          <w:color w:val="231F20"/>
          <w:spacing w:val="-10"/>
          <w:sz w:val="20"/>
          <w:vertAlign w:val="baseline"/>
        </w:rPr>
        <w:t> </w:t>
      </w:r>
      <w:r>
        <w:rPr>
          <w:color w:val="231F20"/>
          <w:sz w:val="20"/>
          <w:vertAlign w:val="baseline"/>
        </w:rPr>
        <w:t>principal</w:t>
      </w:r>
      <w:r>
        <w:rPr>
          <w:color w:val="231F20"/>
          <w:spacing w:val="-11"/>
          <w:sz w:val="20"/>
          <w:vertAlign w:val="baseline"/>
        </w:rPr>
        <w:t> </w:t>
      </w:r>
      <w:r>
        <w:rPr>
          <w:color w:val="231F20"/>
          <w:sz w:val="20"/>
          <w:vertAlign w:val="baseline"/>
        </w:rPr>
        <w:t>responsable</w:t>
      </w:r>
      <w:r>
        <w:rPr>
          <w:color w:val="231F20"/>
          <w:spacing w:val="-10"/>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la</w:t>
      </w:r>
      <w:r>
        <w:rPr>
          <w:color w:val="231F20"/>
          <w:spacing w:val="-10"/>
          <w:sz w:val="20"/>
          <w:vertAlign w:val="baseline"/>
        </w:rPr>
        <w:t> </w:t>
      </w:r>
      <w:r>
        <w:rPr>
          <w:color w:val="231F20"/>
          <w:sz w:val="20"/>
          <w:vertAlign w:val="baseline"/>
        </w:rPr>
        <w:t>guerre</w:t>
      </w:r>
      <w:r>
        <w:rPr>
          <w:color w:val="231F20"/>
          <w:spacing w:val="-8"/>
          <w:sz w:val="20"/>
          <w:vertAlign w:val="baseline"/>
        </w:rPr>
        <w:t> </w:t>
      </w:r>
      <w:r>
        <w:rPr>
          <w:color w:val="231F20"/>
          <w:sz w:val="20"/>
          <w:vertAlign w:val="baseline"/>
        </w:rPr>
        <w:t>civile</w:t>
      </w:r>
      <w:r>
        <w:rPr>
          <w:color w:val="231F20"/>
          <w:spacing w:val="-8"/>
          <w:sz w:val="20"/>
          <w:vertAlign w:val="baseline"/>
        </w:rPr>
        <w:t> </w:t>
      </w:r>
      <w:r>
        <w:rPr>
          <w:color w:val="231F20"/>
          <w:sz w:val="20"/>
          <w:vertAlign w:val="baseline"/>
        </w:rPr>
        <w:t>en</w:t>
      </w:r>
      <w:r>
        <w:rPr>
          <w:color w:val="231F20"/>
          <w:spacing w:val="-8"/>
          <w:sz w:val="20"/>
          <w:vertAlign w:val="baseline"/>
        </w:rPr>
        <w:t> </w:t>
      </w:r>
      <w:r>
        <w:rPr>
          <w:color w:val="231F20"/>
          <w:sz w:val="20"/>
          <w:vertAlign w:val="baseline"/>
        </w:rPr>
        <w:t>Sierra</w:t>
      </w:r>
      <w:r>
        <w:rPr>
          <w:color w:val="231F20"/>
          <w:spacing w:val="-8"/>
          <w:sz w:val="20"/>
          <w:vertAlign w:val="baseline"/>
        </w:rPr>
        <w:t> </w:t>
      </w:r>
      <w:r>
        <w:rPr>
          <w:color w:val="231F20"/>
          <w:sz w:val="20"/>
          <w:vertAlign w:val="baseline"/>
        </w:rPr>
        <w:t>Leone.</w:t>
      </w:r>
    </w:p>
    <w:p>
      <w:pPr>
        <w:spacing w:after="0"/>
        <w:jc w:val="left"/>
        <w:rPr>
          <w:sz w:val="20"/>
        </w:rPr>
        <w:sectPr>
          <w:pgSz w:w="8790" w:h="13610"/>
          <w:pgMar w:header="0" w:footer="802" w:top="1060" w:bottom="1000" w:left="880" w:right="880"/>
        </w:sectPr>
      </w:pPr>
    </w:p>
    <w:p>
      <w:pPr>
        <w:pStyle w:val="BodyText"/>
        <w:spacing w:before="66"/>
        <w:ind w:right="106" w:firstLine="283"/>
      </w:pPr>
      <w:r>
        <w:rPr>
          <w:color w:val="231F20"/>
          <w:spacing w:val="-4"/>
        </w:rPr>
        <w:t>La</w:t>
      </w:r>
      <w:r>
        <w:rPr>
          <w:color w:val="231F20"/>
          <w:spacing w:val="-9"/>
        </w:rPr>
        <w:t> </w:t>
      </w:r>
      <w:r>
        <w:rPr>
          <w:color w:val="231F20"/>
          <w:spacing w:val="-4"/>
        </w:rPr>
        <w:t>barbarie</w:t>
      </w:r>
      <w:r>
        <w:rPr>
          <w:color w:val="231F20"/>
          <w:spacing w:val="-11"/>
        </w:rPr>
        <w:t> </w:t>
      </w:r>
      <w:r>
        <w:rPr>
          <w:color w:val="231F20"/>
          <w:spacing w:val="-4"/>
        </w:rPr>
        <w:t>de</w:t>
      </w:r>
      <w:r>
        <w:rPr>
          <w:color w:val="231F20"/>
          <w:spacing w:val="-9"/>
        </w:rPr>
        <w:t> </w:t>
      </w:r>
      <w:r>
        <w:rPr>
          <w:color w:val="231F20"/>
          <w:spacing w:val="-4"/>
        </w:rPr>
        <w:t>ces</w:t>
      </w:r>
      <w:r>
        <w:rPr>
          <w:color w:val="231F20"/>
          <w:spacing w:val="-7"/>
        </w:rPr>
        <w:t> </w:t>
      </w:r>
      <w:r>
        <w:rPr>
          <w:color w:val="231F20"/>
          <w:spacing w:val="-4"/>
        </w:rPr>
        <w:t>hommes</w:t>
      </w:r>
      <w:r>
        <w:rPr>
          <w:color w:val="231F20"/>
          <w:spacing w:val="-9"/>
        </w:rPr>
        <w:t> </w:t>
      </w:r>
      <w:r>
        <w:rPr>
          <w:color w:val="231F20"/>
          <w:spacing w:val="-4"/>
        </w:rPr>
        <w:t>dépasse</w:t>
      </w:r>
      <w:r>
        <w:rPr>
          <w:color w:val="231F20"/>
          <w:spacing w:val="-9"/>
        </w:rPr>
        <w:t> </w:t>
      </w:r>
      <w:r>
        <w:rPr>
          <w:color w:val="231F20"/>
          <w:spacing w:val="-4"/>
        </w:rPr>
        <w:t>celle</w:t>
      </w:r>
      <w:r>
        <w:rPr>
          <w:color w:val="231F20"/>
          <w:spacing w:val="-11"/>
        </w:rPr>
        <w:t> </w:t>
      </w:r>
      <w:r>
        <w:rPr>
          <w:color w:val="231F20"/>
          <w:spacing w:val="-4"/>
        </w:rPr>
        <w:t>de</w:t>
      </w:r>
      <w:r>
        <w:rPr>
          <w:color w:val="231F20"/>
          <w:spacing w:val="-9"/>
        </w:rPr>
        <w:t> </w:t>
      </w:r>
      <w:r>
        <w:rPr>
          <w:color w:val="231F20"/>
          <w:spacing w:val="-4"/>
        </w:rPr>
        <w:t>fauves</w:t>
      </w:r>
      <w:r>
        <w:rPr>
          <w:color w:val="231F20"/>
          <w:spacing w:val="-9"/>
        </w:rPr>
        <w:t> </w:t>
      </w:r>
      <w:r>
        <w:rPr>
          <w:color w:val="231F20"/>
          <w:spacing w:val="-4"/>
        </w:rPr>
        <w:t>affamés</w:t>
      </w:r>
      <w:r>
        <w:rPr>
          <w:color w:val="231F20"/>
        </w:rPr>
        <w:t> </w:t>
      </w:r>
      <w:r>
        <w:rPr>
          <w:color w:val="231F20"/>
          <w:spacing w:val="-4"/>
        </w:rPr>
        <w:t>:</w:t>
      </w:r>
      <w:r>
        <w:rPr>
          <w:color w:val="231F20"/>
          <w:spacing w:val="-9"/>
        </w:rPr>
        <w:t> </w:t>
      </w:r>
      <w:r>
        <w:rPr>
          <w:color w:val="231F20"/>
          <w:spacing w:val="-4"/>
        </w:rPr>
        <w:t>massacre </w:t>
      </w:r>
      <w:r>
        <w:rPr>
          <w:color w:val="231F20"/>
          <w:spacing w:val="-2"/>
        </w:rPr>
        <w:t>des</w:t>
      </w:r>
      <w:r>
        <w:rPr>
          <w:color w:val="231F20"/>
          <w:spacing w:val="-15"/>
        </w:rPr>
        <w:t> </w:t>
      </w:r>
      <w:r>
        <w:rPr>
          <w:color w:val="231F20"/>
          <w:spacing w:val="-2"/>
        </w:rPr>
        <w:t>populations</w:t>
      </w:r>
      <w:r>
        <w:rPr>
          <w:color w:val="231F20"/>
          <w:spacing w:val="-13"/>
        </w:rPr>
        <w:t> </w:t>
      </w:r>
      <w:r>
        <w:rPr>
          <w:color w:val="231F20"/>
          <w:spacing w:val="-2"/>
        </w:rPr>
        <w:t>pour</w:t>
      </w:r>
      <w:r>
        <w:rPr>
          <w:color w:val="231F20"/>
          <w:spacing w:val="-13"/>
        </w:rPr>
        <w:t> </w:t>
      </w:r>
      <w:r>
        <w:rPr>
          <w:color w:val="231F20"/>
          <w:spacing w:val="-2"/>
        </w:rPr>
        <w:t>le</w:t>
      </w:r>
      <w:r>
        <w:rPr>
          <w:color w:val="231F20"/>
          <w:spacing w:val="-13"/>
        </w:rPr>
        <w:t> </w:t>
      </w:r>
      <w:r>
        <w:rPr>
          <w:color w:val="231F20"/>
          <w:spacing w:val="-2"/>
        </w:rPr>
        <w:t>plaisir,</w:t>
      </w:r>
      <w:r>
        <w:rPr>
          <w:color w:val="231F20"/>
          <w:spacing w:val="-13"/>
        </w:rPr>
        <w:t> </w:t>
      </w:r>
      <w:r>
        <w:rPr>
          <w:color w:val="231F20"/>
          <w:spacing w:val="-2"/>
        </w:rPr>
        <w:t>femmes</w:t>
      </w:r>
      <w:r>
        <w:rPr>
          <w:color w:val="231F20"/>
          <w:spacing w:val="-13"/>
        </w:rPr>
        <w:t> </w:t>
      </w:r>
      <w:r>
        <w:rPr>
          <w:color w:val="231F20"/>
          <w:spacing w:val="-2"/>
        </w:rPr>
        <w:t>enceintes</w:t>
      </w:r>
      <w:r>
        <w:rPr>
          <w:color w:val="231F20"/>
          <w:spacing w:val="-13"/>
        </w:rPr>
        <w:t> </w:t>
      </w:r>
      <w:r>
        <w:rPr>
          <w:color w:val="231F20"/>
          <w:spacing w:val="-2"/>
        </w:rPr>
        <w:t>éventrées,</w:t>
      </w:r>
      <w:r>
        <w:rPr>
          <w:color w:val="231F20"/>
          <w:spacing w:val="-13"/>
        </w:rPr>
        <w:t> </w:t>
      </w:r>
      <w:r>
        <w:rPr>
          <w:color w:val="231F20"/>
          <w:spacing w:val="-2"/>
        </w:rPr>
        <w:t>viol</w:t>
      </w:r>
      <w:r>
        <w:rPr>
          <w:color w:val="231F20"/>
          <w:spacing w:val="-13"/>
        </w:rPr>
        <w:t> </w:t>
      </w:r>
      <w:r>
        <w:rPr>
          <w:color w:val="231F20"/>
          <w:spacing w:val="-2"/>
        </w:rPr>
        <w:t>collectif </w:t>
      </w:r>
      <w:r>
        <w:rPr>
          <w:color w:val="231F20"/>
        </w:rPr>
        <w:t>des</w:t>
      </w:r>
      <w:r>
        <w:rPr>
          <w:color w:val="231F20"/>
          <w:spacing w:val="-15"/>
        </w:rPr>
        <w:t> </w:t>
      </w:r>
      <w:r>
        <w:rPr>
          <w:color w:val="231F20"/>
        </w:rPr>
        <w:t>femmes</w:t>
      </w:r>
      <w:r>
        <w:rPr>
          <w:color w:val="231F20"/>
          <w:spacing w:val="-15"/>
        </w:rPr>
        <w:t> </w:t>
      </w:r>
      <w:r>
        <w:rPr>
          <w:color w:val="231F20"/>
        </w:rPr>
        <w:t>devant</w:t>
      </w:r>
      <w:r>
        <w:rPr>
          <w:color w:val="231F20"/>
          <w:spacing w:val="-15"/>
        </w:rPr>
        <w:t> </w:t>
      </w:r>
      <w:r>
        <w:rPr>
          <w:color w:val="231F20"/>
        </w:rPr>
        <w:t>leurs</w:t>
      </w:r>
      <w:r>
        <w:rPr>
          <w:color w:val="231F20"/>
          <w:spacing w:val="-15"/>
        </w:rPr>
        <w:t> </w:t>
      </w:r>
      <w:r>
        <w:rPr>
          <w:color w:val="231F20"/>
        </w:rPr>
        <w:t>enfants,</w:t>
      </w:r>
      <w:r>
        <w:rPr>
          <w:color w:val="231F20"/>
          <w:spacing w:val="-15"/>
        </w:rPr>
        <w:t> </w:t>
      </w:r>
      <w:r>
        <w:rPr>
          <w:color w:val="231F20"/>
        </w:rPr>
        <w:t>mise</w:t>
      </w:r>
      <w:r>
        <w:rPr>
          <w:color w:val="231F20"/>
          <w:spacing w:val="-15"/>
        </w:rPr>
        <w:t> </w:t>
      </w:r>
      <w:r>
        <w:rPr>
          <w:color w:val="231F20"/>
        </w:rPr>
        <w:t>à</w:t>
      </w:r>
      <w:r>
        <w:rPr>
          <w:color w:val="231F20"/>
          <w:spacing w:val="-15"/>
        </w:rPr>
        <w:t> </w:t>
      </w:r>
      <w:r>
        <w:rPr>
          <w:color w:val="231F20"/>
        </w:rPr>
        <w:t>mort</w:t>
      </w:r>
      <w:r>
        <w:rPr>
          <w:color w:val="231F20"/>
          <w:spacing w:val="-15"/>
        </w:rPr>
        <w:t> </w:t>
      </w:r>
      <w:r>
        <w:rPr>
          <w:color w:val="231F20"/>
        </w:rPr>
        <w:t>des</w:t>
      </w:r>
      <w:r>
        <w:rPr>
          <w:color w:val="231F20"/>
          <w:spacing w:val="-15"/>
        </w:rPr>
        <w:t> </w:t>
      </w:r>
      <w:r>
        <w:rPr>
          <w:color w:val="231F20"/>
        </w:rPr>
        <w:t>parents</w:t>
      </w:r>
      <w:r>
        <w:rPr>
          <w:color w:val="231F20"/>
          <w:spacing w:val="-15"/>
        </w:rPr>
        <w:t> </w:t>
      </w:r>
      <w:r>
        <w:rPr>
          <w:color w:val="231F20"/>
        </w:rPr>
        <w:t>en</w:t>
      </w:r>
      <w:r>
        <w:rPr>
          <w:color w:val="231F20"/>
          <w:spacing w:val="-15"/>
        </w:rPr>
        <w:t> </w:t>
      </w:r>
      <w:r>
        <w:rPr>
          <w:color w:val="231F20"/>
        </w:rPr>
        <w:t>présence</w:t>
      </w:r>
      <w:r>
        <w:rPr>
          <w:color w:val="231F20"/>
          <w:spacing w:val="-15"/>
        </w:rPr>
        <w:t> </w:t>
      </w:r>
      <w:r>
        <w:rPr>
          <w:color w:val="231F20"/>
        </w:rPr>
        <w:t>de leurs enfants et pillages. Ils sont réputés dans la mutilation de leurs victimes auxquelles ils coupent les bras et les jambes. Ils obligent les enfants</w:t>
      </w:r>
      <w:r>
        <w:rPr>
          <w:color w:val="231F20"/>
          <w:spacing w:val="-10"/>
        </w:rPr>
        <w:t> </w:t>
      </w:r>
      <w:r>
        <w:rPr>
          <w:color w:val="231F20"/>
        </w:rPr>
        <w:t>soldats</w:t>
      </w:r>
      <w:r>
        <w:rPr>
          <w:color w:val="231F20"/>
          <w:spacing w:val="-9"/>
        </w:rPr>
        <w:t> </w:t>
      </w:r>
      <w:r>
        <w:rPr>
          <w:color w:val="231F20"/>
        </w:rPr>
        <w:t>recrutés</w:t>
      </w:r>
      <w:r>
        <w:rPr>
          <w:color w:val="231F20"/>
          <w:spacing w:val="-9"/>
        </w:rPr>
        <w:t> </w:t>
      </w:r>
      <w:r>
        <w:rPr>
          <w:color w:val="231F20"/>
        </w:rPr>
        <w:t>de</w:t>
      </w:r>
      <w:r>
        <w:rPr>
          <w:color w:val="231F20"/>
          <w:spacing w:val="-9"/>
        </w:rPr>
        <w:t> </w:t>
      </w:r>
      <w:r>
        <w:rPr>
          <w:color w:val="231F20"/>
        </w:rPr>
        <w:t>force</w:t>
      </w:r>
      <w:r>
        <w:rPr>
          <w:color w:val="231F20"/>
          <w:spacing w:val="-9"/>
        </w:rPr>
        <w:t> </w:t>
      </w:r>
      <w:r>
        <w:rPr>
          <w:color w:val="231F20"/>
        </w:rPr>
        <w:t>à</w:t>
      </w:r>
      <w:r>
        <w:rPr>
          <w:color w:val="231F20"/>
          <w:spacing w:val="-9"/>
        </w:rPr>
        <w:t> </w:t>
      </w:r>
      <w:r>
        <w:rPr>
          <w:color w:val="231F20"/>
        </w:rPr>
        <w:t>commettre</w:t>
      </w:r>
      <w:r>
        <w:rPr>
          <w:color w:val="231F20"/>
          <w:spacing w:val="-10"/>
        </w:rPr>
        <w:t> </w:t>
      </w:r>
      <w:r>
        <w:rPr>
          <w:color w:val="231F20"/>
        </w:rPr>
        <w:t>des</w:t>
      </w:r>
      <w:r>
        <w:rPr>
          <w:color w:val="231F20"/>
          <w:spacing w:val="-9"/>
        </w:rPr>
        <w:t> </w:t>
      </w:r>
      <w:r>
        <w:rPr>
          <w:color w:val="231F20"/>
        </w:rPr>
        <w:t>actes</w:t>
      </w:r>
      <w:r>
        <w:rPr>
          <w:color w:val="231F20"/>
          <w:spacing w:val="-9"/>
        </w:rPr>
        <w:t> </w:t>
      </w:r>
      <w:r>
        <w:rPr>
          <w:color w:val="231F20"/>
        </w:rPr>
        <w:t>atroces</w:t>
      </w:r>
      <w:r>
        <w:rPr>
          <w:color w:val="231F20"/>
          <w:spacing w:val="-11"/>
        </w:rPr>
        <w:t> </w:t>
      </w:r>
      <w:r>
        <w:rPr>
          <w:color w:val="231F20"/>
        </w:rPr>
        <w:t>sur</w:t>
      </w:r>
      <w:r>
        <w:rPr>
          <w:color w:val="231F20"/>
          <w:spacing w:val="-10"/>
        </w:rPr>
        <w:t> </w:t>
      </w:r>
      <w:r>
        <w:rPr>
          <w:color w:val="231F20"/>
        </w:rPr>
        <w:t>leurs propres familles et sont nourris au cocktail d’alcool, de drogue et à la </w:t>
      </w:r>
      <w:r>
        <w:rPr>
          <w:color w:val="231F20"/>
          <w:spacing w:val="-2"/>
        </w:rPr>
        <w:t>poudre</w:t>
      </w:r>
      <w:r>
        <w:rPr>
          <w:color w:val="231F20"/>
          <w:spacing w:val="-11"/>
        </w:rPr>
        <w:t> </w:t>
      </w:r>
      <w:r>
        <w:rPr>
          <w:color w:val="231F20"/>
          <w:spacing w:val="-2"/>
        </w:rPr>
        <w:t>de</w:t>
      </w:r>
      <w:r>
        <w:rPr>
          <w:color w:val="231F20"/>
          <w:spacing w:val="-9"/>
        </w:rPr>
        <w:t> </w:t>
      </w:r>
      <w:r>
        <w:rPr>
          <w:color w:val="231F20"/>
          <w:spacing w:val="-2"/>
        </w:rPr>
        <w:t>fusil</w:t>
      </w:r>
      <w:r>
        <w:rPr>
          <w:color w:val="231F20"/>
          <w:spacing w:val="-10"/>
        </w:rPr>
        <w:t> </w:t>
      </w:r>
      <w:r>
        <w:rPr>
          <w:color w:val="231F20"/>
          <w:spacing w:val="-2"/>
        </w:rPr>
        <w:t>qui</w:t>
      </w:r>
      <w:r>
        <w:rPr>
          <w:color w:val="231F20"/>
          <w:spacing w:val="-10"/>
        </w:rPr>
        <w:t> </w:t>
      </w:r>
      <w:r>
        <w:rPr>
          <w:color w:val="231F20"/>
          <w:spacing w:val="-2"/>
        </w:rPr>
        <w:t>les</w:t>
      </w:r>
      <w:r>
        <w:rPr>
          <w:color w:val="231F20"/>
          <w:spacing w:val="-11"/>
        </w:rPr>
        <w:t> </w:t>
      </w:r>
      <w:r>
        <w:rPr>
          <w:color w:val="231F20"/>
          <w:spacing w:val="-2"/>
        </w:rPr>
        <w:t>met</w:t>
      </w:r>
      <w:r>
        <w:rPr>
          <w:color w:val="231F20"/>
          <w:spacing w:val="-9"/>
        </w:rPr>
        <w:t> </w:t>
      </w:r>
      <w:r>
        <w:rPr>
          <w:color w:val="231F20"/>
          <w:spacing w:val="-2"/>
        </w:rPr>
        <w:t>dans</w:t>
      </w:r>
      <w:r>
        <w:rPr>
          <w:color w:val="231F20"/>
          <w:spacing w:val="-11"/>
        </w:rPr>
        <w:t> </w:t>
      </w:r>
      <w:r>
        <w:rPr>
          <w:color w:val="231F20"/>
          <w:spacing w:val="-2"/>
        </w:rPr>
        <w:t>un</w:t>
      </w:r>
      <w:r>
        <w:rPr>
          <w:color w:val="231F20"/>
          <w:spacing w:val="-11"/>
        </w:rPr>
        <w:t> </w:t>
      </w:r>
      <w:r>
        <w:rPr>
          <w:color w:val="231F20"/>
          <w:spacing w:val="-2"/>
        </w:rPr>
        <w:t>état</w:t>
      </w:r>
      <w:r>
        <w:rPr>
          <w:color w:val="231F20"/>
          <w:spacing w:val="-10"/>
        </w:rPr>
        <w:t> </w:t>
      </w:r>
      <w:r>
        <w:rPr>
          <w:color w:val="231F20"/>
          <w:spacing w:val="-2"/>
        </w:rPr>
        <w:t>second</w:t>
      </w:r>
      <w:r>
        <w:rPr>
          <w:color w:val="231F20"/>
          <w:spacing w:val="-11"/>
        </w:rPr>
        <w:t> </w:t>
      </w:r>
      <w:r>
        <w:rPr>
          <w:color w:val="231F20"/>
          <w:spacing w:val="-2"/>
        </w:rPr>
        <w:t>pour</w:t>
      </w:r>
      <w:r>
        <w:rPr>
          <w:color w:val="231F20"/>
          <w:spacing w:val="-12"/>
        </w:rPr>
        <w:t> </w:t>
      </w:r>
      <w:r>
        <w:rPr>
          <w:color w:val="231F20"/>
          <w:spacing w:val="-2"/>
        </w:rPr>
        <w:t>pouvoir</w:t>
      </w:r>
      <w:r>
        <w:rPr>
          <w:color w:val="231F20"/>
          <w:spacing w:val="-11"/>
        </w:rPr>
        <w:t> </w:t>
      </w:r>
      <w:r>
        <w:rPr>
          <w:color w:val="231F20"/>
          <w:spacing w:val="-2"/>
        </w:rPr>
        <w:t>se</w:t>
      </w:r>
      <w:r>
        <w:rPr>
          <w:color w:val="231F20"/>
          <w:spacing w:val="-12"/>
        </w:rPr>
        <w:t> </w:t>
      </w:r>
      <w:r>
        <w:rPr>
          <w:color w:val="231F20"/>
          <w:spacing w:val="-2"/>
        </w:rPr>
        <w:t>livrer</w:t>
      </w:r>
      <w:r>
        <w:rPr>
          <w:color w:val="231F20"/>
          <w:spacing w:val="-10"/>
        </w:rPr>
        <w:t> </w:t>
      </w:r>
      <w:r>
        <w:rPr>
          <w:color w:val="231F20"/>
          <w:spacing w:val="-2"/>
        </w:rPr>
        <w:t>aux </w:t>
      </w:r>
      <w:r>
        <w:rPr>
          <w:color w:val="231F20"/>
        </w:rPr>
        <w:t>pires excès sur la population civile.</w:t>
      </w:r>
    </w:p>
    <w:p>
      <w:pPr>
        <w:pStyle w:val="BodyText"/>
        <w:spacing w:before="121"/>
        <w:ind w:right="105" w:firstLine="283"/>
      </w:pPr>
      <w:r>
        <w:rPr>
          <w:color w:val="231F20"/>
          <w:spacing w:val="-2"/>
        </w:rPr>
        <w:t>Réponse</w:t>
      </w:r>
      <w:r>
        <w:rPr>
          <w:color w:val="231F20"/>
          <w:spacing w:val="-13"/>
        </w:rPr>
        <w:t> </w:t>
      </w:r>
      <w:r>
        <w:rPr>
          <w:color w:val="231F20"/>
          <w:spacing w:val="-2"/>
        </w:rPr>
        <w:t>du</w:t>
      </w:r>
      <w:r>
        <w:rPr>
          <w:color w:val="231F20"/>
          <w:spacing w:val="-13"/>
        </w:rPr>
        <w:t> </w:t>
      </w:r>
      <w:r>
        <w:rPr>
          <w:color w:val="231F20"/>
          <w:spacing w:val="-2"/>
        </w:rPr>
        <w:t>berger</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bergère</w:t>
      </w:r>
      <w:r>
        <w:rPr>
          <w:color w:val="231F20"/>
          <w:spacing w:val="-13"/>
        </w:rPr>
        <w:t> </w:t>
      </w:r>
      <w:r>
        <w:rPr>
          <w:color w:val="231F20"/>
          <w:spacing w:val="-2"/>
        </w:rPr>
        <w:t>:</w:t>
      </w:r>
      <w:r>
        <w:rPr>
          <w:color w:val="231F20"/>
          <w:spacing w:val="-13"/>
        </w:rPr>
        <w:t> </w:t>
      </w:r>
      <w:r>
        <w:rPr>
          <w:color w:val="231F20"/>
          <w:spacing w:val="-2"/>
        </w:rPr>
        <w:t>le</w:t>
      </w:r>
      <w:r>
        <w:rPr>
          <w:color w:val="231F20"/>
          <w:spacing w:val="-13"/>
        </w:rPr>
        <w:t> </w:t>
      </w:r>
      <w:r>
        <w:rPr>
          <w:color w:val="231F20"/>
          <w:spacing w:val="-2"/>
        </w:rPr>
        <w:t>régime</w:t>
      </w:r>
      <w:r>
        <w:rPr>
          <w:color w:val="231F20"/>
          <w:spacing w:val="-13"/>
        </w:rPr>
        <w:t> </w:t>
      </w:r>
      <w:r>
        <w:rPr>
          <w:color w:val="231F20"/>
          <w:spacing w:val="-2"/>
        </w:rPr>
        <w:t>Gbagbo</w:t>
      </w:r>
      <w:r>
        <w:rPr>
          <w:color w:val="231F20"/>
          <w:spacing w:val="-13"/>
        </w:rPr>
        <w:t> </w:t>
      </w:r>
      <w:r>
        <w:rPr>
          <w:color w:val="231F20"/>
          <w:spacing w:val="-2"/>
        </w:rPr>
        <w:t>soutient</w:t>
      </w:r>
      <w:r>
        <w:rPr>
          <w:color w:val="231F20"/>
          <w:spacing w:val="-13"/>
        </w:rPr>
        <w:t> </w:t>
      </w:r>
      <w:r>
        <w:rPr>
          <w:color w:val="231F20"/>
          <w:spacing w:val="-2"/>
        </w:rPr>
        <w:t>la</w:t>
      </w:r>
      <w:r>
        <w:rPr>
          <w:color w:val="231F20"/>
          <w:spacing w:val="-13"/>
        </w:rPr>
        <w:t> </w:t>
      </w:r>
      <w:r>
        <w:rPr>
          <w:color w:val="231F20"/>
          <w:spacing w:val="-2"/>
        </w:rPr>
        <w:t>création </w:t>
      </w:r>
      <w:r>
        <w:rPr>
          <w:color w:val="231F20"/>
        </w:rPr>
        <w:t>de milices locales à l’Ouest, le Front de Libération du grand Ouest (FLGO)</w:t>
      </w:r>
      <w:r>
        <w:rPr>
          <w:color w:val="231F20"/>
          <w:spacing w:val="-1"/>
        </w:rPr>
        <w:t> </w:t>
      </w:r>
      <w:r>
        <w:rPr>
          <w:color w:val="231F20"/>
        </w:rPr>
        <w:t>ou</w:t>
      </w:r>
      <w:r>
        <w:rPr>
          <w:color w:val="231F20"/>
          <w:spacing w:val="-1"/>
        </w:rPr>
        <w:t> </w:t>
      </w:r>
      <w:r>
        <w:rPr>
          <w:color w:val="231F20"/>
        </w:rPr>
        <w:t>l’alliance</w:t>
      </w:r>
      <w:r>
        <w:rPr>
          <w:color w:val="231F20"/>
          <w:spacing w:val="-1"/>
        </w:rPr>
        <w:t> </w:t>
      </w:r>
      <w:r>
        <w:rPr>
          <w:color w:val="231F20"/>
        </w:rPr>
        <w:t>des</w:t>
      </w:r>
      <w:r>
        <w:rPr>
          <w:color w:val="231F20"/>
          <w:spacing w:val="-3"/>
        </w:rPr>
        <w:t> </w:t>
      </w:r>
      <w:r>
        <w:rPr>
          <w:color w:val="231F20"/>
        </w:rPr>
        <w:t>patriotes</w:t>
      </w:r>
      <w:r>
        <w:rPr>
          <w:color w:val="231F20"/>
          <w:spacing w:val="-1"/>
        </w:rPr>
        <w:t> </w:t>
      </w:r>
      <w:r>
        <w:rPr>
          <w:color w:val="231F20"/>
        </w:rPr>
        <w:t>Wê</w:t>
      </w:r>
      <w:r>
        <w:rPr>
          <w:color w:val="231F20"/>
          <w:spacing w:val="-1"/>
        </w:rPr>
        <w:t> </w:t>
      </w:r>
      <w:r>
        <w:rPr>
          <w:color w:val="231F20"/>
        </w:rPr>
        <w:t>(AP-Wê),</w:t>
      </w:r>
      <w:r>
        <w:rPr>
          <w:color w:val="231F20"/>
          <w:spacing w:val="-1"/>
        </w:rPr>
        <w:t> </w:t>
      </w:r>
      <w:r>
        <w:rPr>
          <w:color w:val="231F20"/>
        </w:rPr>
        <w:t>opposées</w:t>
      </w:r>
      <w:r>
        <w:rPr>
          <w:color w:val="231F20"/>
          <w:spacing w:val="-1"/>
        </w:rPr>
        <w:t> </w:t>
      </w:r>
      <w:r>
        <w:rPr>
          <w:color w:val="231F20"/>
        </w:rPr>
        <w:t>à</w:t>
      </w:r>
      <w:r>
        <w:rPr>
          <w:color w:val="231F20"/>
          <w:spacing w:val="-4"/>
        </w:rPr>
        <w:t> </w:t>
      </w:r>
      <w:r>
        <w:rPr>
          <w:color w:val="231F20"/>
        </w:rPr>
        <w:t>l’avancée des rebelles. Il finance, à son tour, l’embauche de miliciens libériens choisis parmi les adversaires politiques ou ethniques de ceux que l’on retrouve dans les rangs du MPIGO et du MJP. La région bascule dans </w:t>
      </w:r>
      <w:r>
        <w:rPr>
          <w:color w:val="231F20"/>
          <w:spacing w:val="-4"/>
        </w:rPr>
        <w:t>l’ultraviolence.</w:t>
      </w:r>
      <w:r>
        <w:rPr>
          <w:color w:val="231F20"/>
          <w:spacing w:val="-5"/>
        </w:rPr>
        <w:t> </w:t>
      </w:r>
      <w:r>
        <w:rPr>
          <w:color w:val="231F20"/>
          <w:spacing w:val="-4"/>
        </w:rPr>
        <w:t>Des</w:t>
      </w:r>
      <w:r>
        <w:rPr>
          <w:color w:val="231F20"/>
          <w:spacing w:val="-6"/>
        </w:rPr>
        <w:t> </w:t>
      </w:r>
      <w:r>
        <w:rPr>
          <w:color w:val="231F20"/>
          <w:spacing w:val="-4"/>
        </w:rPr>
        <w:t>dizaines de</w:t>
      </w:r>
      <w:r>
        <w:rPr>
          <w:color w:val="231F20"/>
          <w:spacing w:val="-6"/>
        </w:rPr>
        <w:t> </w:t>
      </w:r>
      <w:r>
        <w:rPr>
          <w:color w:val="231F20"/>
          <w:spacing w:val="-4"/>
        </w:rPr>
        <w:t>milliers</w:t>
      </w:r>
      <w:r>
        <w:rPr>
          <w:color w:val="231F20"/>
          <w:spacing w:val="-5"/>
        </w:rPr>
        <w:t> </w:t>
      </w:r>
      <w:r>
        <w:rPr>
          <w:color w:val="231F20"/>
          <w:spacing w:val="-4"/>
        </w:rPr>
        <w:t>de</w:t>
      </w:r>
      <w:r>
        <w:rPr>
          <w:color w:val="231F20"/>
          <w:spacing w:val="-6"/>
        </w:rPr>
        <w:t> </w:t>
      </w:r>
      <w:r>
        <w:rPr>
          <w:color w:val="231F20"/>
          <w:spacing w:val="-4"/>
        </w:rPr>
        <w:t>personne</w:t>
      </w:r>
      <w:r>
        <w:rPr>
          <w:color w:val="231F20"/>
          <w:spacing w:val="-6"/>
        </w:rPr>
        <w:t> </w:t>
      </w:r>
      <w:r>
        <w:rPr>
          <w:color w:val="231F20"/>
          <w:spacing w:val="-4"/>
        </w:rPr>
        <w:t>sont</w:t>
      </w:r>
      <w:r>
        <w:rPr>
          <w:color w:val="231F20"/>
          <w:spacing w:val="-5"/>
        </w:rPr>
        <w:t> </w:t>
      </w:r>
      <w:r>
        <w:rPr>
          <w:color w:val="231F20"/>
          <w:spacing w:val="-4"/>
        </w:rPr>
        <w:t>poussées</w:t>
      </w:r>
      <w:r>
        <w:rPr>
          <w:color w:val="231F20"/>
          <w:spacing w:val="-5"/>
        </w:rPr>
        <w:t> </w:t>
      </w:r>
      <w:r>
        <w:rPr>
          <w:color w:val="231F20"/>
          <w:spacing w:val="-4"/>
        </w:rPr>
        <w:t>sur</w:t>
      </w:r>
      <w:r>
        <w:rPr>
          <w:color w:val="231F20"/>
          <w:spacing w:val="-6"/>
        </w:rPr>
        <w:t> </w:t>
      </w:r>
      <w:r>
        <w:rPr>
          <w:color w:val="231F20"/>
          <w:spacing w:val="-4"/>
        </w:rPr>
        <w:t>les </w:t>
      </w:r>
      <w:r>
        <w:rPr>
          <w:color w:val="231F20"/>
        </w:rPr>
        <w:t>routes</w:t>
      </w:r>
      <w:r>
        <w:rPr>
          <w:color w:val="231F20"/>
          <w:spacing w:val="-7"/>
        </w:rPr>
        <w:t> </w:t>
      </w:r>
      <w:r>
        <w:rPr>
          <w:color w:val="231F20"/>
        </w:rPr>
        <w:t>du</w:t>
      </w:r>
      <w:r>
        <w:rPr>
          <w:color w:val="231F20"/>
          <w:spacing w:val="-6"/>
        </w:rPr>
        <w:t> </w:t>
      </w:r>
      <w:r>
        <w:rPr>
          <w:color w:val="231F20"/>
        </w:rPr>
        <w:t>Liberia</w:t>
      </w:r>
      <w:r>
        <w:rPr>
          <w:color w:val="231F20"/>
          <w:spacing w:val="-7"/>
        </w:rPr>
        <w:t> </w:t>
      </w:r>
      <w:r>
        <w:rPr>
          <w:color w:val="231F20"/>
        </w:rPr>
        <w:t>voisin,</w:t>
      </w:r>
      <w:r>
        <w:rPr>
          <w:color w:val="231F20"/>
          <w:spacing w:val="-7"/>
        </w:rPr>
        <w:t> </w:t>
      </w:r>
      <w:r>
        <w:rPr>
          <w:color w:val="231F20"/>
        </w:rPr>
        <w:t>qui</w:t>
      </w:r>
      <w:r>
        <w:rPr>
          <w:color w:val="231F20"/>
          <w:spacing w:val="-6"/>
        </w:rPr>
        <w:t> </w:t>
      </w:r>
      <w:r>
        <w:rPr>
          <w:color w:val="231F20"/>
        </w:rPr>
        <w:t>accueille</w:t>
      </w:r>
      <w:r>
        <w:rPr>
          <w:color w:val="231F20"/>
          <w:spacing w:val="-5"/>
        </w:rPr>
        <w:t> </w:t>
      </w:r>
      <w:r>
        <w:rPr>
          <w:color w:val="231F20"/>
        </w:rPr>
        <w:t>désormais</w:t>
      </w:r>
      <w:r>
        <w:rPr>
          <w:color w:val="231F20"/>
          <w:spacing w:val="-7"/>
        </w:rPr>
        <w:t> </w:t>
      </w:r>
      <w:r>
        <w:rPr>
          <w:color w:val="231F20"/>
        </w:rPr>
        <w:t>des</w:t>
      </w:r>
      <w:r>
        <w:rPr>
          <w:color w:val="231F20"/>
          <w:spacing w:val="-5"/>
        </w:rPr>
        <w:t> </w:t>
      </w:r>
      <w:r>
        <w:rPr>
          <w:color w:val="231F20"/>
        </w:rPr>
        <w:t>camps</w:t>
      </w:r>
      <w:r>
        <w:rPr>
          <w:color w:val="231F20"/>
          <w:spacing w:val="-5"/>
        </w:rPr>
        <w:t> </w:t>
      </w:r>
      <w:r>
        <w:rPr>
          <w:color w:val="231F20"/>
        </w:rPr>
        <w:t>de</w:t>
      </w:r>
      <w:r>
        <w:rPr>
          <w:color w:val="231F20"/>
          <w:spacing w:val="-8"/>
        </w:rPr>
        <w:t> </w:t>
      </w:r>
      <w:r>
        <w:rPr>
          <w:color w:val="231F20"/>
        </w:rPr>
        <w:t>réfugiés </w:t>
      </w:r>
      <w:r>
        <w:rPr>
          <w:color w:val="231F20"/>
          <w:spacing w:val="-2"/>
        </w:rPr>
        <w:t>ivoiriens.</w:t>
      </w:r>
    </w:p>
    <w:p>
      <w:pPr>
        <w:pStyle w:val="BodyText"/>
        <w:spacing w:before="120"/>
        <w:ind w:right="101" w:firstLine="283"/>
      </w:pPr>
      <w:r>
        <w:rPr>
          <w:color w:val="231F20"/>
        </w:rPr>
        <w:t>Janvier 2003. La France convoque à Paris, l’ensemble des partis politiques</w:t>
      </w:r>
      <w:r>
        <w:rPr>
          <w:color w:val="231F20"/>
          <w:spacing w:val="-14"/>
        </w:rPr>
        <w:t> </w:t>
      </w:r>
      <w:r>
        <w:rPr>
          <w:color w:val="231F20"/>
        </w:rPr>
        <w:t>ivoiriens</w:t>
      </w:r>
      <w:r>
        <w:rPr>
          <w:color w:val="231F20"/>
          <w:spacing w:val="-14"/>
        </w:rPr>
        <w:t> </w:t>
      </w:r>
      <w:r>
        <w:rPr>
          <w:color w:val="231F20"/>
        </w:rPr>
        <w:t>représentés</w:t>
      </w:r>
      <w:r>
        <w:rPr>
          <w:color w:val="231F20"/>
          <w:spacing w:val="-13"/>
        </w:rPr>
        <w:t> </w:t>
      </w:r>
      <w:r>
        <w:rPr>
          <w:color w:val="231F20"/>
        </w:rPr>
        <w:t>à</w:t>
      </w:r>
      <w:r>
        <w:rPr>
          <w:color w:val="231F20"/>
          <w:spacing w:val="-15"/>
        </w:rPr>
        <w:t> </w:t>
      </w:r>
      <w:r>
        <w:rPr>
          <w:color w:val="231F20"/>
        </w:rPr>
        <w:t>l’Assemblée</w:t>
      </w:r>
      <w:r>
        <w:rPr>
          <w:color w:val="231F20"/>
          <w:spacing w:val="-15"/>
        </w:rPr>
        <w:t> </w:t>
      </w:r>
      <w:r>
        <w:rPr>
          <w:color w:val="231F20"/>
        </w:rPr>
        <w:t>Nationale</w:t>
      </w:r>
      <w:r>
        <w:rPr>
          <w:color w:val="231F20"/>
          <w:spacing w:val="-13"/>
        </w:rPr>
        <w:t> </w:t>
      </w:r>
      <w:r>
        <w:rPr>
          <w:color w:val="231F20"/>
        </w:rPr>
        <w:t>et</w:t>
      </w:r>
      <w:r>
        <w:rPr>
          <w:color w:val="231F20"/>
          <w:spacing w:val="-13"/>
        </w:rPr>
        <w:t> </w:t>
      </w:r>
      <w:r>
        <w:rPr>
          <w:color w:val="231F20"/>
        </w:rPr>
        <w:t>ceux</w:t>
      </w:r>
      <w:r>
        <w:rPr>
          <w:color w:val="231F20"/>
          <w:spacing w:val="-14"/>
        </w:rPr>
        <w:t> </w:t>
      </w:r>
      <w:r>
        <w:rPr>
          <w:color w:val="231F20"/>
        </w:rPr>
        <w:t>qui</w:t>
      </w:r>
      <w:r>
        <w:rPr>
          <w:color w:val="231F20"/>
          <w:spacing w:val="-14"/>
        </w:rPr>
        <w:t> </w:t>
      </w:r>
      <w:r>
        <w:rPr>
          <w:color w:val="231F20"/>
        </w:rPr>
        <w:t>n’y </w:t>
      </w:r>
      <w:r>
        <w:rPr>
          <w:color w:val="231F20"/>
          <w:spacing w:val="-4"/>
        </w:rPr>
        <w:t>sont</w:t>
      </w:r>
      <w:r>
        <w:rPr>
          <w:color w:val="231F20"/>
          <w:spacing w:val="-10"/>
        </w:rPr>
        <w:t> </w:t>
      </w:r>
      <w:r>
        <w:rPr>
          <w:color w:val="231F20"/>
          <w:spacing w:val="-4"/>
        </w:rPr>
        <w:t>pas,</w:t>
      </w:r>
      <w:r>
        <w:rPr>
          <w:color w:val="231F20"/>
        </w:rPr>
        <w:t> </w:t>
      </w:r>
      <w:r>
        <w:rPr>
          <w:color w:val="231F20"/>
          <w:spacing w:val="-4"/>
        </w:rPr>
        <w:t>à</w:t>
      </w:r>
      <w:r>
        <w:rPr>
          <w:color w:val="231F20"/>
          <w:spacing w:val="-8"/>
        </w:rPr>
        <w:t> </w:t>
      </w:r>
      <w:r>
        <w:rPr>
          <w:color w:val="231F20"/>
          <w:spacing w:val="-4"/>
        </w:rPr>
        <w:t>savoir,</w:t>
      </w:r>
      <w:r>
        <w:rPr>
          <w:color w:val="231F20"/>
          <w:spacing w:val="-10"/>
        </w:rPr>
        <w:t> </w:t>
      </w:r>
      <w:r>
        <w:rPr>
          <w:color w:val="231F20"/>
          <w:spacing w:val="-4"/>
        </w:rPr>
        <w:t>le</w:t>
      </w:r>
      <w:r>
        <w:rPr>
          <w:color w:val="231F20"/>
          <w:spacing w:val="-8"/>
        </w:rPr>
        <w:t> </w:t>
      </w:r>
      <w:r>
        <w:rPr>
          <w:color w:val="231F20"/>
          <w:spacing w:val="-4"/>
        </w:rPr>
        <w:t>Rassemblement</w:t>
      </w:r>
      <w:r>
        <w:rPr>
          <w:color w:val="231F20"/>
          <w:spacing w:val="-8"/>
        </w:rPr>
        <w:t> </w:t>
      </w:r>
      <w:r>
        <w:rPr>
          <w:color w:val="231F20"/>
          <w:spacing w:val="-4"/>
        </w:rPr>
        <w:t>des</w:t>
      </w:r>
      <w:r>
        <w:rPr>
          <w:color w:val="231F20"/>
          <w:spacing w:val="-10"/>
        </w:rPr>
        <w:t> </w:t>
      </w:r>
      <w:r>
        <w:rPr>
          <w:color w:val="231F20"/>
          <w:spacing w:val="-4"/>
        </w:rPr>
        <w:t>Républicains</w:t>
      </w:r>
      <w:r>
        <w:rPr>
          <w:color w:val="231F20"/>
          <w:spacing w:val="-8"/>
        </w:rPr>
        <w:t> </w:t>
      </w:r>
      <w:r>
        <w:rPr>
          <w:color w:val="231F20"/>
          <w:spacing w:val="-4"/>
        </w:rPr>
        <w:t>et</w:t>
      </w:r>
      <w:r>
        <w:rPr>
          <w:color w:val="231F20"/>
          <w:spacing w:val="-8"/>
        </w:rPr>
        <w:t> </w:t>
      </w:r>
      <w:r>
        <w:rPr>
          <w:color w:val="231F20"/>
          <w:spacing w:val="-4"/>
        </w:rPr>
        <w:t>les</w:t>
      </w:r>
      <w:r>
        <w:rPr>
          <w:color w:val="231F20"/>
          <w:spacing w:val="-8"/>
        </w:rPr>
        <w:t> </w:t>
      </w:r>
      <w:r>
        <w:rPr>
          <w:color w:val="231F20"/>
          <w:spacing w:val="-4"/>
        </w:rPr>
        <w:t>représentants </w:t>
      </w:r>
      <w:r>
        <w:rPr>
          <w:color w:val="231F20"/>
        </w:rPr>
        <w:t>politiques de la rébellion. Incapables de taire leurs intérêts partisans et réussir</w:t>
      </w:r>
      <w:r>
        <w:rPr>
          <w:color w:val="231F20"/>
          <w:spacing w:val="-2"/>
        </w:rPr>
        <w:t> </w:t>
      </w:r>
      <w:r>
        <w:rPr>
          <w:color w:val="231F20"/>
        </w:rPr>
        <w:t>à régler</w:t>
      </w:r>
      <w:r>
        <w:rPr>
          <w:color w:val="231F20"/>
          <w:spacing w:val="-1"/>
        </w:rPr>
        <w:t> </w:t>
      </w:r>
      <w:r>
        <w:rPr>
          <w:color w:val="231F20"/>
        </w:rPr>
        <w:t>leurs</w:t>
      </w:r>
      <w:r>
        <w:rPr>
          <w:color w:val="231F20"/>
          <w:spacing w:val="-1"/>
        </w:rPr>
        <w:t> </w:t>
      </w:r>
      <w:r>
        <w:rPr>
          <w:color w:val="231F20"/>
        </w:rPr>
        <w:t>problèmes</w:t>
      </w:r>
      <w:r>
        <w:rPr>
          <w:color w:val="231F20"/>
          <w:spacing w:val="-1"/>
        </w:rPr>
        <w:t> </w:t>
      </w:r>
      <w:r>
        <w:rPr>
          <w:color w:val="231F20"/>
        </w:rPr>
        <w:t>les</w:t>
      </w:r>
      <w:r>
        <w:rPr>
          <w:color w:val="231F20"/>
          <w:spacing w:val="-1"/>
        </w:rPr>
        <w:t> </w:t>
      </w:r>
      <w:r>
        <w:rPr>
          <w:color w:val="231F20"/>
        </w:rPr>
        <w:t>ivoiriens</w:t>
      </w:r>
      <w:r>
        <w:rPr>
          <w:color w:val="231F20"/>
          <w:spacing w:val="-1"/>
        </w:rPr>
        <w:t> </w:t>
      </w:r>
      <w:r>
        <w:rPr>
          <w:color w:val="231F20"/>
        </w:rPr>
        <w:t>se</w:t>
      </w:r>
      <w:r>
        <w:rPr>
          <w:color w:val="231F20"/>
          <w:spacing w:val="-2"/>
        </w:rPr>
        <w:t> </w:t>
      </w:r>
      <w:r>
        <w:rPr>
          <w:color w:val="231F20"/>
        </w:rPr>
        <w:t>retrouvent en</w:t>
      </w:r>
      <w:r>
        <w:rPr>
          <w:color w:val="231F20"/>
          <w:spacing w:val="-1"/>
        </w:rPr>
        <w:t> </w:t>
      </w:r>
      <w:r>
        <w:rPr>
          <w:color w:val="231F20"/>
        </w:rPr>
        <w:t>France… non</w:t>
      </w:r>
      <w:r>
        <w:rPr>
          <w:color w:val="231F20"/>
          <w:spacing w:val="-14"/>
        </w:rPr>
        <w:t> </w:t>
      </w:r>
      <w:r>
        <w:rPr>
          <w:color w:val="231F20"/>
        </w:rPr>
        <w:t>pas</w:t>
      </w:r>
      <w:r>
        <w:rPr>
          <w:color w:val="231F20"/>
          <w:spacing w:val="-14"/>
        </w:rPr>
        <w:t> </w:t>
      </w:r>
      <w:r>
        <w:rPr>
          <w:color w:val="231F20"/>
        </w:rPr>
        <w:t>dans</w:t>
      </w:r>
      <w:r>
        <w:rPr>
          <w:color w:val="231F20"/>
          <w:spacing w:val="-14"/>
        </w:rPr>
        <w:t> </w:t>
      </w:r>
      <w:r>
        <w:rPr>
          <w:color w:val="231F20"/>
        </w:rPr>
        <w:t>un</w:t>
      </w:r>
      <w:r>
        <w:rPr>
          <w:color w:val="231F20"/>
          <w:spacing w:val="-14"/>
        </w:rPr>
        <w:t> </w:t>
      </w:r>
      <w:r>
        <w:rPr>
          <w:color w:val="231F20"/>
        </w:rPr>
        <w:t>de</w:t>
      </w:r>
      <w:r>
        <w:rPr>
          <w:color w:val="231F20"/>
          <w:spacing w:val="-14"/>
        </w:rPr>
        <w:t> </w:t>
      </w:r>
      <w:r>
        <w:rPr>
          <w:color w:val="231F20"/>
        </w:rPr>
        <w:t>ces</w:t>
      </w:r>
      <w:r>
        <w:rPr>
          <w:color w:val="231F20"/>
          <w:spacing w:val="-14"/>
        </w:rPr>
        <w:t> </w:t>
      </w:r>
      <w:r>
        <w:rPr>
          <w:color w:val="231F20"/>
        </w:rPr>
        <w:t>palaces</w:t>
      </w:r>
      <w:r>
        <w:rPr>
          <w:color w:val="231F20"/>
          <w:spacing w:val="-14"/>
        </w:rPr>
        <w:t> </w:t>
      </w:r>
      <w:r>
        <w:rPr>
          <w:color w:val="231F20"/>
        </w:rPr>
        <w:t>parisiens</w:t>
      </w:r>
      <w:r>
        <w:rPr>
          <w:color w:val="231F20"/>
          <w:spacing w:val="-14"/>
        </w:rPr>
        <w:t> </w:t>
      </w:r>
      <w:r>
        <w:rPr>
          <w:color w:val="231F20"/>
        </w:rPr>
        <w:t>si</w:t>
      </w:r>
      <w:r>
        <w:rPr>
          <w:color w:val="231F20"/>
          <w:spacing w:val="-12"/>
        </w:rPr>
        <w:t> </w:t>
      </w:r>
      <w:r>
        <w:rPr>
          <w:color w:val="231F20"/>
        </w:rPr>
        <w:t>prisés</w:t>
      </w:r>
      <w:r>
        <w:rPr>
          <w:color w:val="231F20"/>
          <w:spacing w:val="-13"/>
        </w:rPr>
        <w:t> </w:t>
      </w:r>
      <w:r>
        <w:rPr>
          <w:color w:val="231F20"/>
        </w:rPr>
        <w:t>par</w:t>
      </w:r>
      <w:r>
        <w:rPr>
          <w:color w:val="231F20"/>
          <w:spacing w:val="-14"/>
        </w:rPr>
        <w:t> </w:t>
      </w:r>
      <w:r>
        <w:rPr>
          <w:color w:val="231F20"/>
        </w:rPr>
        <w:t>les</w:t>
      </w:r>
      <w:r>
        <w:rPr>
          <w:color w:val="231F20"/>
          <w:spacing w:val="-14"/>
        </w:rPr>
        <w:t> </w:t>
      </w:r>
      <w:r>
        <w:rPr>
          <w:color w:val="231F20"/>
        </w:rPr>
        <w:t>dirigeants</w:t>
      </w:r>
      <w:r>
        <w:rPr>
          <w:color w:val="231F20"/>
          <w:spacing w:val="-14"/>
        </w:rPr>
        <w:t> </w:t>
      </w:r>
      <w:r>
        <w:rPr>
          <w:color w:val="231F20"/>
        </w:rPr>
        <w:t>noirs d’Afrique francophone mais dans un centre de sports, le domaine de Bellejame</w:t>
      </w:r>
      <w:r>
        <w:rPr>
          <w:color w:val="231F20"/>
          <w:spacing w:val="-4"/>
        </w:rPr>
        <w:t> </w:t>
      </w:r>
      <w:r>
        <w:rPr>
          <w:color w:val="231F20"/>
        </w:rPr>
        <w:t>à</w:t>
      </w:r>
      <w:r>
        <w:rPr>
          <w:color w:val="231F20"/>
          <w:spacing w:val="-4"/>
        </w:rPr>
        <w:t> </w:t>
      </w:r>
      <w:r>
        <w:rPr>
          <w:color w:val="231F20"/>
        </w:rPr>
        <w:t>Linas-Marcoussis,</w:t>
      </w:r>
      <w:r>
        <w:rPr>
          <w:color w:val="231F20"/>
          <w:spacing w:val="-5"/>
        </w:rPr>
        <w:t> </w:t>
      </w:r>
      <w:r>
        <w:rPr>
          <w:color w:val="231F20"/>
        </w:rPr>
        <w:t>au</w:t>
      </w:r>
      <w:r>
        <w:rPr>
          <w:color w:val="231F20"/>
          <w:spacing w:val="-7"/>
        </w:rPr>
        <w:t> </w:t>
      </w:r>
      <w:r>
        <w:rPr>
          <w:color w:val="231F20"/>
        </w:rPr>
        <w:t>Centre</w:t>
      </w:r>
      <w:r>
        <w:rPr>
          <w:color w:val="231F20"/>
          <w:spacing w:val="-5"/>
        </w:rPr>
        <w:t> </w:t>
      </w:r>
      <w:r>
        <w:rPr>
          <w:color w:val="231F20"/>
        </w:rPr>
        <w:t>national</w:t>
      </w:r>
      <w:r>
        <w:rPr>
          <w:color w:val="231F20"/>
          <w:spacing w:val="-5"/>
        </w:rPr>
        <w:t> </w:t>
      </w:r>
      <w:r>
        <w:rPr>
          <w:color w:val="231F20"/>
        </w:rPr>
        <w:t>du</w:t>
      </w:r>
      <w:r>
        <w:rPr>
          <w:color w:val="231F20"/>
          <w:spacing w:val="-4"/>
        </w:rPr>
        <w:t> </w:t>
      </w:r>
      <w:r>
        <w:rPr>
          <w:color w:val="231F20"/>
        </w:rPr>
        <w:t>rugby.</w:t>
      </w:r>
    </w:p>
    <w:p>
      <w:pPr>
        <w:pStyle w:val="BodyText"/>
        <w:spacing w:before="121"/>
        <w:ind w:right="106" w:firstLine="283"/>
      </w:pPr>
      <w:r>
        <w:rPr>
          <w:color w:val="231F20"/>
        </w:rPr>
        <w:t>Ouverte le 15 janvier à 12h00, la rencontre est présidée par Pierre Mazeaud,</w:t>
      </w:r>
      <w:r>
        <w:rPr>
          <w:color w:val="231F20"/>
          <w:spacing w:val="-10"/>
        </w:rPr>
        <w:t> </w:t>
      </w:r>
      <w:r>
        <w:rPr>
          <w:color w:val="231F20"/>
        </w:rPr>
        <w:t>ancien</w:t>
      </w:r>
      <w:r>
        <w:rPr>
          <w:color w:val="231F20"/>
          <w:spacing w:val="-11"/>
        </w:rPr>
        <w:t> </w:t>
      </w:r>
      <w:r>
        <w:rPr>
          <w:color w:val="231F20"/>
        </w:rPr>
        <w:t>ministre</w:t>
      </w:r>
      <w:r>
        <w:rPr>
          <w:color w:val="231F20"/>
          <w:spacing w:val="-8"/>
        </w:rPr>
        <w:t> </w:t>
      </w:r>
      <w:r>
        <w:rPr>
          <w:color w:val="231F20"/>
        </w:rPr>
        <w:t>français,</w:t>
      </w:r>
      <w:r>
        <w:rPr>
          <w:color w:val="231F20"/>
          <w:spacing w:val="-10"/>
        </w:rPr>
        <w:t> </w:t>
      </w:r>
      <w:r>
        <w:rPr>
          <w:color w:val="231F20"/>
        </w:rPr>
        <w:t>membre</w:t>
      </w:r>
      <w:r>
        <w:rPr>
          <w:color w:val="231F20"/>
          <w:spacing w:val="-10"/>
        </w:rPr>
        <w:t> </w:t>
      </w:r>
      <w:r>
        <w:rPr>
          <w:color w:val="231F20"/>
        </w:rPr>
        <w:t>du</w:t>
      </w:r>
      <w:r>
        <w:rPr>
          <w:color w:val="231F20"/>
          <w:spacing w:val="-11"/>
        </w:rPr>
        <w:t> </w:t>
      </w:r>
      <w:r>
        <w:rPr>
          <w:color w:val="231F20"/>
        </w:rPr>
        <w:t>Conseil</w:t>
      </w:r>
      <w:r>
        <w:rPr>
          <w:color w:val="231F20"/>
          <w:spacing w:val="-10"/>
        </w:rPr>
        <w:t> </w:t>
      </w:r>
      <w:r>
        <w:rPr>
          <w:color w:val="231F20"/>
        </w:rPr>
        <w:t>constitutionnel, </w:t>
      </w:r>
      <w:r>
        <w:rPr>
          <w:color w:val="231F20"/>
          <w:spacing w:val="-2"/>
        </w:rPr>
        <w:t>assisté</w:t>
      </w:r>
      <w:r>
        <w:rPr>
          <w:color w:val="231F20"/>
          <w:spacing w:val="-8"/>
        </w:rPr>
        <w:t> </w:t>
      </w:r>
      <w:r>
        <w:rPr>
          <w:color w:val="231F20"/>
          <w:spacing w:val="-2"/>
        </w:rPr>
        <w:t>de</w:t>
      </w:r>
      <w:r>
        <w:rPr>
          <w:color w:val="231F20"/>
          <w:spacing w:val="-8"/>
        </w:rPr>
        <w:t> </w:t>
      </w:r>
      <w:r>
        <w:rPr>
          <w:color w:val="231F20"/>
          <w:spacing w:val="-2"/>
        </w:rPr>
        <w:t>trois</w:t>
      </w:r>
      <w:r>
        <w:rPr>
          <w:color w:val="231F20"/>
          <w:spacing w:val="-8"/>
        </w:rPr>
        <w:t> </w:t>
      </w:r>
      <w:r>
        <w:rPr>
          <w:color w:val="231F20"/>
          <w:spacing w:val="-2"/>
        </w:rPr>
        <w:t>coordinateurs</w:t>
      </w:r>
      <w:r>
        <w:rPr>
          <w:color w:val="231F20"/>
          <w:spacing w:val="-8"/>
        </w:rPr>
        <w:t> </w:t>
      </w:r>
      <w:r>
        <w:rPr>
          <w:color w:val="231F20"/>
          <w:spacing w:val="-2"/>
        </w:rPr>
        <w:t>représentants</w:t>
      </w:r>
      <w:r>
        <w:rPr>
          <w:color w:val="231F20"/>
          <w:spacing w:val="-8"/>
        </w:rPr>
        <w:t> </w:t>
      </w:r>
      <w:r>
        <w:rPr>
          <w:color w:val="231F20"/>
          <w:spacing w:val="-2"/>
        </w:rPr>
        <w:t>respectifs</w:t>
      </w:r>
      <w:r>
        <w:rPr>
          <w:color w:val="231F20"/>
          <w:spacing w:val="-8"/>
        </w:rPr>
        <w:t> </w:t>
      </w:r>
      <w:r>
        <w:rPr>
          <w:color w:val="231F20"/>
          <w:spacing w:val="-2"/>
        </w:rPr>
        <w:t>de</w:t>
      </w:r>
      <w:r>
        <w:rPr>
          <w:color w:val="231F20"/>
          <w:spacing w:val="-8"/>
        </w:rPr>
        <w:t> </w:t>
      </w:r>
      <w:r>
        <w:rPr>
          <w:color w:val="231F20"/>
          <w:spacing w:val="-2"/>
        </w:rPr>
        <w:t>la</w:t>
      </w:r>
      <w:r>
        <w:rPr>
          <w:color w:val="231F20"/>
          <w:spacing w:val="-10"/>
        </w:rPr>
        <w:t> </w:t>
      </w:r>
      <w:r>
        <w:rPr>
          <w:color w:val="231F20"/>
          <w:spacing w:val="-2"/>
        </w:rPr>
        <w:t>CEDEAO,</w:t>
      </w:r>
      <w:r>
        <w:rPr>
          <w:color w:val="231F20"/>
          <w:spacing w:val="-10"/>
        </w:rPr>
        <w:t> </w:t>
      </w:r>
      <w:r>
        <w:rPr>
          <w:color w:val="231F20"/>
          <w:spacing w:val="-2"/>
        </w:rPr>
        <w:t>de </w:t>
      </w:r>
      <w:r>
        <w:rPr>
          <w:color w:val="231F20"/>
        </w:rPr>
        <w:t>l’Union</w:t>
      </w:r>
      <w:r>
        <w:rPr>
          <w:color w:val="231F20"/>
          <w:spacing w:val="-15"/>
        </w:rPr>
        <w:t> </w:t>
      </w:r>
      <w:r>
        <w:rPr>
          <w:color w:val="231F20"/>
        </w:rPr>
        <w:t>Africaine,</w:t>
      </w:r>
      <w:r>
        <w:rPr>
          <w:color w:val="231F20"/>
          <w:spacing w:val="-10"/>
        </w:rPr>
        <w:t> </w:t>
      </w:r>
      <w:r>
        <w:rPr>
          <w:color w:val="231F20"/>
        </w:rPr>
        <w:t>et</w:t>
      </w:r>
      <w:r>
        <w:rPr>
          <w:color w:val="231F20"/>
          <w:spacing w:val="-10"/>
        </w:rPr>
        <w:t> </w:t>
      </w:r>
      <w:r>
        <w:rPr>
          <w:color w:val="231F20"/>
        </w:rPr>
        <w:t>de</w:t>
      </w:r>
      <w:r>
        <w:rPr>
          <w:color w:val="231F20"/>
          <w:spacing w:val="-13"/>
        </w:rPr>
        <w:t> </w:t>
      </w:r>
      <w:r>
        <w:rPr>
          <w:color w:val="231F20"/>
        </w:rPr>
        <w:t>l’ONU</w:t>
      </w:r>
      <w:r>
        <w:rPr>
          <w:color w:val="231F20"/>
          <w:spacing w:val="-15"/>
        </w:rPr>
        <w:t> </w:t>
      </w:r>
      <w:r>
        <w:rPr>
          <w:color w:val="231F20"/>
        </w:rPr>
        <w:t>:</w:t>
      </w:r>
      <w:r>
        <w:rPr>
          <w:color w:val="231F20"/>
          <w:spacing w:val="-10"/>
        </w:rPr>
        <w:t> </w:t>
      </w:r>
      <w:r>
        <w:rPr>
          <w:color w:val="231F20"/>
        </w:rPr>
        <w:t>pour</w:t>
      </w:r>
      <w:r>
        <w:rPr>
          <w:color w:val="231F20"/>
          <w:spacing w:val="-13"/>
        </w:rPr>
        <w:t> </w:t>
      </w:r>
      <w:r>
        <w:rPr>
          <w:color w:val="231F20"/>
        </w:rPr>
        <w:t>l’ancienne</w:t>
      </w:r>
      <w:r>
        <w:rPr>
          <w:color w:val="231F20"/>
          <w:spacing w:val="-13"/>
        </w:rPr>
        <w:t> </w:t>
      </w:r>
      <w:r>
        <w:rPr>
          <w:color w:val="231F20"/>
        </w:rPr>
        <w:t>puissance</w:t>
      </w:r>
      <w:r>
        <w:rPr>
          <w:color w:val="231F20"/>
          <w:spacing w:val="-13"/>
        </w:rPr>
        <w:t> </w:t>
      </w:r>
      <w:r>
        <w:rPr>
          <w:color w:val="231F20"/>
        </w:rPr>
        <w:t>coloniale,</w:t>
      </w:r>
      <w:r>
        <w:rPr>
          <w:color w:val="231F20"/>
          <w:spacing w:val="-10"/>
        </w:rPr>
        <w:t> </w:t>
      </w:r>
      <w:r>
        <w:rPr>
          <w:color w:val="231F20"/>
        </w:rPr>
        <w:t>il n’y</w:t>
      </w:r>
      <w:r>
        <w:rPr>
          <w:color w:val="231F20"/>
          <w:spacing w:val="-6"/>
        </w:rPr>
        <w:t> </w:t>
      </w:r>
      <w:r>
        <w:rPr>
          <w:color w:val="231F20"/>
        </w:rPr>
        <w:t>a</w:t>
      </w:r>
      <w:r>
        <w:rPr>
          <w:color w:val="231F20"/>
          <w:spacing w:val="-6"/>
        </w:rPr>
        <w:t> </w:t>
      </w:r>
      <w:r>
        <w:rPr>
          <w:color w:val="231F20"/>
        </w:rPr>
        <w:t>ni</w:t>
      </w:r>
      <w:r>
        <w:rPr>
          <w:color w:val="231F20"/>
          <w:spacing w:val="-5"/>
        </w:rPr>
        <w:t> </w:t>
      </w:r>
      <w:r>
        <w:rPr>
          <w:color w:val="231F20"/>
        </w:rPr>
        <w:t>un</w:t>
      </w:r>
      <w:r>
        <w:rPr>
          <w:color w:val="231F20"/>
          <w:spacing w:val="-8"/>
        </w:rPr>
        <w:t> </w:t>
      </w:r>
      <w:r>
        <w:rPr>
          <w:color w:val="231F20"/>
        </w:rPr>
        <w:t>gouvernement</w:t>
      </w:r>
      <w:r>
        <w:rPr>
          <w:color w:val="231F20"/>
          <w:spacing w:val="-10"/>
        </w:rPr>
        <w:t> </w:t>
      </w:r>
      <w:r>
        <w:rPr>
          <w:color w:val="231F20"/>
        </w:rPr>
        <w:t>élu</w:t>
      </w:r>
      <w:r>
        <w:rPr>
          <w:color w:val="231F20"/>
          <w:spacing w:val="-6"/>
        </w:rPr>
        <w:t> </w:t>
      </w:r>
      <w:r>
        <w:rPr>
          <w:color w:val="231F20"/>
        </w:rPr>
        <w:t>ni</w:t>
      </w:r>
      <w:r>
        <w:rPr>
          <w:color w:val="231F20"/>
          <w:spacing w:val="-5"/>
        </w:rPr>
        <w:t> </w:t>
      </w:r>
      <w:r>
        <w:rPr>
          <w:color w:val="231F20"/>
        </w:rPr>
        <w:t>une</w:t>
      </w:r>
      <w:r>
        <w:rPr>
          <w:color w:val="231F20"/>
          <w:spacing w:val="-6"/>
        </w:rPr>
        <w:t> </w:t>
      </w:r>
      <w:r>
        <w:rPr>
          <w:color w:val="231F20"/>
        </w:rPr>
        <w:t>rébellion</w:t>
      </w:r>
      <w:r>
        <w:rPr>
          <w:color w:val="231F20"/>
          <w:spacing w:val="-6"/>
        </w:rPr>
        <w:t> </w:t>
      </w:r>
      <w:r>
        <w:rPr>
          <w:color w:val="231F20"/>
        </w:rPr>
        <w:t>armée</w:t>
      </w:r>
      <w:r>
        <w:rPr>
          <w:color w:val="231F20"/>
          <w:spacing w:val="-6"/>
        </w:rPr>
        <w:t> </w:t>
      </w:r>
      <w:r>
        <w:rPr>
          <w:color w:val="231F20"/>
        </w:rPr>
        <w:t>autour</w:t>
      </w:r>
      <w:r>
        <w:rPr>
          <w:color w:val="231F20"/>
          <w:spacing w:val="-9"/>
        </w:rPr>
        <w:t> </w:t>
      </w:r>
      <w:r>
        <w:rPr>
          <w:color w:val="231F20"/>
        </w:rPr>
        <w:t>de</w:t>
      </w:r>
      <w:r>
        <w:rPr>
          <w:color w:val="231F20"/>
          <w:spacing w:val="-6"/>
        </w:rPr>
        <w:t> </w:t>
      </w:r>
      <w:r>
        <w:rPr>
          <w:color w:val="231F20"/>
        </w:rPr>
        <w:t>la</w:t>
      </w:r>
      <w:r>
        <w:rPr>
          <w:color w:val="231F20"/>
          <w:spacing w:val="-8"/>
        </w:rPr>
        <w:t> </w:t>
      </w:r>
      <w:r>
        <w:rPr>
          <w:color w:val="231F20"/>
        </w:rPr>
        <w:t>table.</w:t>
      </w:r>
    </w:p>
    <w:p>
      <w:pPr>
        <w:spacing w:before="120"/>
        <w:ind w:left="111" w:right="103" w:firstLine="283"/>
        <w:jc w:val="both"/>
        <w:rPr>
          <w:i/>
          <w:sz w:val="24"/>
        </w:rPr>
      </w:pPr>
      <w:r>
        <w:rPr>
          <w:color w:val="231F20"/>
          <w:spacing w:val="-2"/>
          <w:sz w:val="24"/>
        </w:rPr>
        <w:t>Le</w:t>
      </w:r>
      <w:r>
        <w:rPr>
          <w:color w:val="231F20"/>
          <w:spacing w:val="-13"/>
          <w:sz w:val="24"/>
        </w:rPr>
        <w:t> </w:t>
      </w:r>
      <w:r>
        <w:rPr>
          <w:color w:val="231F20"/>
          <w:spacing w:val="-2"/>
          <w:sz w:val="24"/>
        </w:rPr>
        <w:t>24</w:t>
      </w:r>
      <w:r>
        <w:rPr>
          <w:color w:val="231F20"/>
          <w:spacing w:val="-13"/>
          <w:sz w:val="24"/>
        </w:rPr>
        <w:t> </w:t>
      </w:r>
      <w:r>
        <w:rPr>
          <w:color w:val="231F20"/>
          <w:spacing w:val="-2"/>
          <w:sz w:val="24"/>
        </w:rPr>
        <w:t>janvier</w:t>
      </w:r>
      <w:r>
        <w:rPr>
          <w:color w:val="231F20"/>
          <w:spacing w:val="-13"/>
          <w:sz w:val="24"/>
        </w:rPr>
        <w:t> </w:t>
      </w:r>
      <w:r>
        <w:rPr>
          <w:color w:val="231F20"/>
          <w:spacing w:val="-2"/>
          <w:sz w:val="24"/>
        </w:rPr>
        <w:t>2003,</w:t>
      </w:r>
      <w:r>
        <w:rPr>
          <w:color w:val="231F20"/>
          <w:spacing w:val="-13"/>
          <w:sz w:val="24"/>
        </w:rPr>
        <w:t> </w:t>
      </w:r>
      <w:r>
        <w:rPr>
          <w:color w:val="231F20"/>
          <w:spacing w:val="-2"/>
          <w:sz w:val="24"/>
        </w:rPr>
        <w:t>au</w:t>
      </w:r>
      <w:r>
        <w:rPr>
          <w:color w:val="231F20"/>
          <w:spacing w:val="-13"/>
          <w:sz w:val="24"/>
        </w:rPr>
        <w:t> </w:t>
      </w:r>
      <w:r>
        <w:rPr>
          <w:color w:val="231F20"/>
          <w:spacing w:val="-2"/>
          <w:sz w:val="24"/>
        </w:rPr>
        <w:t>terme</w:t>
      </w:r>
      <w:r>
        <w:rPr>
          <w:color w:val="231F20"/>
          <w:spacing w:val="-13"/>
          <w:sz w:val="24"/>
        </w:rPr>
        <w:t> </w:t>
      </w:r>
      <w:r>
        <w:rPr>
          <w:color w:val="231F20"/>
          <w:spacing w:val="-2"/>
          <w:sz w:val="24"/>
        </w:rPr>
        <w:t>de</w:t>
      </w:r>
      <w:r>
        <w:rPr>
          <w:color w:val="231F20"/>
          <w:spacing w:val="-13"/>
          <w:sz w:val="24"/>
        </w:rPr>
        <w:t> </w:t>
      </w:r>
      <w:r>
        <w:rPr>
          <w:color w:val="231F20"/>
          <w:spacing w:val="-2"/>
          <w:sz w:val="24"/>
        </w:rPr>
        <w:t>neuf</w:t>
      </w:r>
      <w:r>
        <w:rPr>
          <w:color w:val="231F20"/>
          <w:spacing w:val="-13"/>
          <w:sz w:val="24"/>
        </w:rPr>
        <w:t> </w:t>
      </w:r>
      <w:r>
        <w:rPr>
          <w:color w:val="231F20"/>
          <w:spacing w:val="-2"/>
          <w:sz w:val="24"/>
        </w:rPr>
        <w:t>jours</w:t>
      </w:r>
      <w:r>
        <w:rPr>
          <w:color w:val="231F20"/>
          <w:spacing w:val="-9"/>
          <w:sz w:val="24"/>
        </w:rPr>
        <w:t> </w:t>
      </w:r>
      <w:r>
        <w:rPr>
          <w:color w:val="231F20"/>
          <w:spacing w:val="-2"/>
          <w:sz w:val="24"/>
        </w:rPr>
        <w:t>de</w:t>
      </w:r>
      <w:r>
        <w:rPr>
          <w:color w:val="231F20"/>
          <w:spacing w:val="-13"/>
          <w:sz w:val="24"/>
        </w:rPr>
        <w:t> </w:t>
      </w:r>
      <w:r>
        <w:rPr>
          <w:color w:val="231F20"/>
          <w:spacing w:val="-2"/>
          <w:sz w:val="24"/>
        </w:rPr>
        <w:t>discussion</w:t>
      </w:r>
      <w:r>
        <w:rPr>
          <w:color w:val="231F20"/>
          <w:spacing w:val="-12"/>
          <w:sz w:val="24"/>
        </w:rPr>
        <w:t> </w:t>
      </w:r>
      <w:r>
        <w:rPr>
          <w:color w:val="231F20"/>
          <w:spacing w:val="-2"/>
          <w:sz w:val="24"/>
        </w:rPr>
        <w:t>sous</w:t>
      </w:r>
      <w:r>
        <w:rPr>
          <w:color w:val="231F20"/>
          <w:spacing w:val="-13"/>
          <w:sz w:val="24"/>
        </w:rPr>
        <w:t> </w:t>
      </w:r>
      <w:r>
        <w:rPr>
          <w:color w:val="231F20"/>
          <w:spacing w:val="-2"/>
          <w:sz w:val="24"/>
        </w:rPr>
        <w:t>la</w:t>
      </w:r>
      <w:r>
        <w:rPr>
          <w:color w:val="231F20"/>
          <w:spacing w:val="-13"/>
          <w:sz w:val="24"/>
        </w:rPr>
        <w:t> </w:t>
      </w:r>
      <w:r>
        <w:rPr>
          <w:color w:val="231F20"/>
          <w:spacing w:val="-2"/>
          <w:sz w:val="24"/>
        </w:rPr>
        <w:t>férule </w:t>
      </w:r>
      <w:r>
        <w:rPr>
          <w:color w:val="231F20"/>
          <w:sz w:val="24"/>
        </w:rPr>
        <w:t>du</w:t>
      </w:r>
      <w:r>
        <w:rPr>
          <w:color w:val="231F20"/>
          <w:spacing w:val="-14"/>
          <w:sz w:val="24"/>
        </w:rPr>
        <w:t> </w:t>
      </w:r>
      <w:r>
        <w:rPr>
          <w:color w:val="231F20"/>
          <w:sz w:val="24"/>
        </w:rPr>
        <w:t>gouvernement</w:t>
      </w:r>
      <w:r>
        <w:rPr>
          <w:color w:val="231F20"/>
          <w:spacing w:val="-13"/>
          <w:sz w:val="24"/>
        </w:rPr>
        <w:t> </w:t>
      </w:r>
      <w:r>
        <w:rPr>
          <w:color w:val="231F20"/>
          <w:sz w:val="24"/>
        </w:rPr>
        <w:t>français,</w:t>
      </w:r>
      <w:r>
        <w:rPr>
          <w:color w:val="231F20"/>
          <w:spacing w:val="-13"/>
          <w:sz w:val="24"/>
        </w:rPr>
        <w:t> </w:t>
      </w:r>
      <w:r>
        <w:rPr>
          <w:color w:val="231F20"/>
          <w:sz w:val="24"/>
        </w:rPr>
        <w:t>un</w:t>
      </w:r>
      <w:r>
        <w:rPr>
          <w:color w:val="231F20"/>
          <w:spacing w:val="-15"/>
          <w:sz w:val="24"/>
        </w:rPr>
        <w:t> </w:t>
      </w:r>
      <w:r>
        <w:rPr>
          <w:color w:val="231F20"/>
          <w:sz w:val="24"/>
        </w:rPr>
        <w:t>accord</w:t>
      </w:r>
      <w:r>
        <w:rPr>
          <w:color w:val="231F20"/>
          <w:spacing w:val="-13"/>
          <w:sz w:val="24"/>
        </w:rPr>
        <w:t> </w:t>
      </w:r>
      <w:r>
        <w:rPr>
          <w:color w:val="231F20"/>
          <w:sz w:val="24"/>
        </w:rPr>
        <w:t>de</w:t>
      </w:r>
      <w:r>
        <w:rPr>
          <w:color w:val="231F20"/>
          <w:spacing w:val="-15"/>
          <w:sz w:val="24"/>
        </w:rPr>
        <w:t> </w:t>
      </w:r>
      <w:r>
        <w:rPr>
          <w:color w:val="231F20"/>
          <w:sz w:val="24"/>
        </w:rPr>
        <w:t>paix</w:t>
      </w:r>
      <w:r>
        <w:rPr>
          <w:color w:val="231F20"/>
          <w:spacing w:val="-13"/>
          <w:sz w:val="24"/>
        </w:rPr>
        <w:t> </w:t>
      </w:r>
      <w:r>
        <w:rPr>
          <w:color w:val="231F20"/>
          <w:sz w:val="24"/>
        </w:rPr>
        <w:t>est</w:t>
      </w:r>
      <w:r>
        <w:rPr>
          <w:color w:val="231F20"/>
          <w:spacing w:val="-13"/>
          <w:sz w:val="24"/>
        </w:rPr>
        <w:t> </w:t>
      </w:r>
      <w:r>
        <w:rPr>
          <w:color w:val="231F20"/>
          <w:sz w:val="24"/>
        </w:rPr>
        <w:t>rédigé</w:t>
      </w:r>
      <w:r>
        <w:rPr>
          <w:color w:val="231F20"/>
          <w:spacing w:val="-15"/>
          <w:sz w:val="24"/>
        </w:rPr>
        <w:t> </w:t>
      </w:r>
      <w:r>
        <w:rPr>
          <w:color w:val="231F20"/>
          <w:sz w:val="24"/>
        </w:rPr>
        <w:t>sous</w:t>
      </w:r>
      <w:r>
        <w:rPr>
          <w:color w:val="231F20"/>
          <w:spacing w:val="-15"/>
          <w:sz w:val="24"/>
        </w:rPr>
        <w:t> </w:t>
      </w:r>
      <w:r>
        <w:rPr>
          <w:color w:val="231F20"/>
          <w:sz w:val="24"/>
        </w:rPr>
        <w:t>la</w:t>
      </w:r>
      <w:r>
        <w:rPr>
          <w:color w:val="231F20"/>
          <w:spacing w:val="-15"/>
          <w:sz w:val="24"/>
        </w:rPr>
        <w:t> </w:t>
      </w:r>
      <w:r>
        <w:rPr>
          <w:color w:val="231F20"/>
          <w:sz w:val="24"/>
        </w:rPr>
        <w:t>dictée</w:t>
      </w:r>
      <w:r>
        <w:rPr>
          <w:color w:val="231F20"/>
          <w:spacing w:val="-13"/>
          <w:sz w:val="24"/>
        </w:rPr>
        <w:t> </w:t>
      </w:r>
      <w:r>
        <w:rPr>
          <w:color w:val="231F20"/>
          <w:sz w:val="24"/>
        </w:rPr>
        <w:t>de Pierre Mazeaud et signé par les parties ivoiriennes en conflit</w:t>
      </w:r>
      <w:r>
        <w:rPr>
          <w:color w:val="231F20"/>
          <w:spacing w:val="-13"/>
          <w:sz w:val="24"/>
        </w:rPr>
        <w:t> </w:t>
      </w:r>
      <w:r>
        <w:rPr>
          <w:color w:val="231F20"/>
          <w:sz w:val="24"/>
        </w:rPr>
        <w:t>:</w:t>
      </w:r>
      <w:r>
        <w:rPr>
          <w:color w:val="231F20"/>
          <w:spacing w:val="-14"/>
          <w:sz w:val="24"/>
        </w:rPr>
        <w:t> </w:t>
      </w:r>
      <w:r>
        <w:rPr>
          <w:color w:val="231F20"/>
          <w:sz w:val="24"/>
        </w:rPr>
        <w:t>«</w:t>
      </w:r>
      <w:r>
        <w:rPr>
          <w:color w:val="231F20"/>
          <w:spacing w:val="-12"/>
          <w:sz w:val="24"/>
        </w:rPr>
        <w:t> </w:t>
      </w:r>
      <w:r>
        <w:rPr>
          <w:i/>
          <w:color w:val="231F20"/>
          <w:sz w:val="24"/>
        </w:rPr>
        <w:t>Le</w:t>
      </w:r>
      <w:r>
        <w:rPr>
          <w:i/>
          <w:color w:val="231F20"/>
          <w:sz w:val="24"/>
        </w:rPr>
        <w:t> vendredi 24 janvier, vers 2 heures du matin, les frères ennemis d’hier, main dans la main, ont entonné l’Abidjanaise, l’hymne national, pour </w:t>
      </w:r>
      <w:r>
        <w:rPr>
          <w:i/>
          <w:color w:val="231F20"/>
          <w:spacing w:val="-4"/>
          <w:sz w:val="24"/>
        </w:rPr>
        <w:t>saluer</w:t>
      </w:r>
      <w:r>
        <w:rPr>
          <w:i/>
          <w:color w:val="231F20"/>
          <w:spacing w:val="-9"/>
          <w:sz w:val="24"/>
        </w:rPr>
        <w:t> </w:t>
      </w:r>
      <w:r>
        <w:rPr>
          <w:i/>
          <w:color w:val="231F20"/>
          <w:spacing w:val="-4"/>
          <w:sz w:val="24"/>
        </w:rPr>
        <w:t>leur</w:t>
      </w:r>
      <w:r>
        <w:rPr>
          <w:i/>
          <w:color w:val="231F20"/>
          <w:spacing w:val="-6"/>
          <w:sz w:val="24"/>
        </w:rPr>
        <w:t> </w:t>
      </w:r>
      <w:r>
        <w:rPr>
          <w:i/>
          <w:color w:val="231F20"/>
          <w:spacing w:val="-4"/>
          <w:sz w:val="24"/>
        </w:rPr>
        <w:t>succès.</w:t>
      </w:r>
      <w:r>
        <w:rPr>
          <w:i/>
          <w:color w:val="231F20"/>
          <w:spacing w:val="-7"/>
          <w:sz w:val="24"/>
        </w:rPr>
        <w:t> </w:t>
      </w:r>
      <w:r>
        <w:rPr>
          <w:i/>
          <w:color w:val="231F20"/>
          <w:spacing w:val="-4"/>
          <w:sz w:val="24"/>
        </w:rPr>
        <w:t>Au</w:t>
      </w:r>
      <w:r>
        <w:rPr>
          <w:i/>
          <w:color w:val="231F20"/>
          <w:spacing w:val="-9"/>
          <w:sz w:val="24"/>
        </w:rPr>
        <w:t> </w:t>
      </w:r>
      <w:r>
        <w:rPr>
          <w:i/>
          <w:color w:val="231F20"/>
          <w:spacing w:val="-4"/>
          <w:sz w:val="24"/>
        </w:rPr>
        <w:t>terme</w:t>
      </w:r>
      <w:r>
        <w:rPr>
          <w:i/>
          <w:color w:val="231F20"/>
          <w:spacing w:val="-7"/>
          <w:sz w:val="24"/>
        </w:rPr>
        <w:t> </w:t>
      </w:r>
      <w:r>
        <w:rPr>
          <w:i/>
          <w:color w:val="231F20"/>
          <w:spacing w:val="-4"/>
          <w:sz w:val="24"/>
        </w:rPr>
        <w:t>des</w:t>
      </w:r>
      <w:r>
        <w:rPr>
          <w:i/>
          <w:color w:val="231F20"/>
          <w:spacing w:val="-7"/>
          <w:sz w:val="24"/>
        </w:rPr>
        <w:t> </w:t>
      </w:r>
      <w:r>
        <w:rPr>
          <w:i/>
          <w:color w:val="231F20"/>
          <w:spacing w:val="-4"/>
          <w:sz w:val="24"/>
        </w:rPr>
        <w:t>accords,</w:t>
      </w:r>
      <w:r>
        <w:rPr>
          <w:i/>
          <w:color w:val="231F20"/>
          <w:spacing w:val="-9"/>
          <w:sz w:val="24"/>
        </w:rPr>
        <w:t> </w:t>
      </w:r>
      <w:r>
        <w:rPr>
          <w:i/>
          <w:color w:val="231F20"/>
          <w:spacing w:val="-4"/>
          <w:sz w:val="24"/>
        </w:rPr>
        <w:t>le</w:t>
      </w:r>
      <w:r>
        <w:rPr>
          <w:i/>
          <w:color w:val="231F20"/>
          <w:spacing w:val="-7"/>
          <w:sz w:val="24"/>
        </w:rPr>
        <w:t> </w:t>
      </w:r>
      <w:r>
        <w:rPr>
          <w:i/>
          <w:color w:val="231F20"/>
          <w:spacing w:val="-4"/>
          <w:sz w:val="24"/>
        </w:rPr>
        <w:t>chef</w:t>
      </w:r>
      <w:r>
        <w:rPr>
          <w:i/>
          <w:color w:val="231F20"/>
          <w:spacing w:val="-6"/>
          <w:sz w:val="24"/>
        </w:rPr>
        <w:t> </w:t>
      </w:r>
      <w:r>
        <w:rPr>
          <w:i/>
          <w:color w:val="231F20"/>
          <w:spacing w:val="-4"/>
          <w:sz w:val="24"/>
        </w:rPr>
        <w:t>de</w:t>
      </w:r>
      <w:r>
        <w:rPr>
          <w:i/>
          <w:color w:val="231F20"/>
          <w:spacing w:val="-9"/>
          <w:sz w:val="24"/>
        </w:rPr>
        <w:t> </w:t>
      </w:r>
      <w:r>
        <w:rPr>
          <w:i/>
          <w:color w:val="231F20"/>
          <w:spacing w:val="-4"/>
          <w:sz w:val="24"/>
        </w:rPr>
        <w:t>l’État</w:t>
      </w:r>
      <w:r>
        <w:rPr>
          <w:i/>
          <w:color w:val="231F20"/>
          <w:spacing w:val="-8"/>
          <w:sz w:val="24"/>
        </w:rPr>
        <w:t> </w:t>
      </w:r>
      <w:r>
        <w:rPr>
          <w:i/>
          <w:color w:val="231F20"/>
          <w:spacing w:val="-4"/>
          <w:sz w:val="24"/>
        </w:rPr>
        <w:t>ivoirien</w:t>
      </w:r>
      <w:r>
        <w:rPr>
          <w:i/>
          <w:color w:val="231F20"/>
          <w:spacing w:val="-9"/>
          <w:sz w:val="24"/>
        </w:rPr>
        <w:t> </w:t>
      </w:r>
      <w:r>
        <w:rPr>
          <w:i/>
          <w:color w:val="231F20"/>
          <w:spacing w:val="-4"/>
          <w:sz w:val="24"/>
        </w:rPr>
        <w:t>restera </w:t>
      </w:r>
      <w:r>
        <w:rPr>
          <w:i/>
          <w:color w:val="231F20"/>
          <w:sz w:val="24"/>
        </w:rPr>
        <w:t>donc</w:t>
      </w:r>
      <w:r>
        <w:rPr>
          <w:i/>
          <w:color w:val="231F20"/>
          <w:spacing w:val="-12"/>
          <w:sz w:val="24"/>
        </w:rPr>
        <w:t> </w:t>
      </w:r>
      <w:r>
        <w:rPr>
          <w:i/>
          <w:color w:val="231F20"/>
          <w:sz w:val="24"/>
        </w:rPr>
        <w:t>en</w:t>
      </w:r>
      <w:r>
        <w:rPr>
          <w:i/>
          <w:color w:val="231F20"/>
          <w:spacing w:val="-9"/>
          <w:sz w:val="24"/>
        </w:rPr>
        <w:t> </w:t>
      </w:r>
      <w:r>
        <w:rPr>
          <w:i/>
          <w:color w:val="231F20"/>
          <w:sz w:val="24"/>
        </w:rPr>
        <w:t>place</w:t>
      </w:r>
      <w:r>
        <w:rPr>
          <w:i/>
          <w:color w:val="231F20"/>
          <w:spacing w:val="-9"/>
          <w:sz w:val="24"/>
        </w:rPr>
        <w:t> </w:t>
      </w:r>
      <w:r>
        <w:rPr>
          <w:i/>
          <w:color w:val="231F20"/>
          <w:sz w:val="24"/>
        </w:rPr>
        <w:t>jusqu’en</w:t>
      </w:r>
      <w:r>
        <w:rPr>
          <w:i/>
          <w:color w:val="231F20"/>
          <w:spacing w:val="-9"/>
          <w:sz w:val="24"/>
        </w:rPr>
        <w:t> </w:t>
      </w:r>
      <w:r>
        <w:rPr>
          <w:i/>
          <w:color w:val="231F20"/>
          <w:sz w:val="24"/>
        </w:rPr>
        <w:t>octobre</w:t>
      </w:r>
      <w:r>
        <w:rPr>
          <w:i/>
          <w:color w:val="231F20"/>
          <w:spacing w:val="-9"/>
          <w:sz w:val="24"/>
        </w:rPr>
        <w:t> </w:t>
      </w:r>
      <w:r>
        <w:rPr>
          <w:i/>
          <w:color w:val="231F20"/>
          <w:sz w:val="24"/>
        </w:rPr>
        <w:t>2005,</w:t>
      </w:r>
      <w:r>
        <w:rPr>
          <w:i/>
          <w:color w:val="231F20"/>
          <w:spacing w:val="-10"/>
          <w:sz w:val="24"/>
        </w:rPr>
        <w:t> </w:t>
      </w:r>
      <w:r>
        <w:rPr>
          <w:i/>
          <w:color w:val="231F20"/>
          <w:sz w:val="24"/>
        </w:rPr>
        <w:t>terme</w:t>
      </w:r>
      <w:r>
        <w:rPr>
          <w:i/>
          <w:color w:val="231F20"/>
          <w:spacing w:val="-9"/>
          <w:sz w:val="24"/>
        </w:rPr>
        <w:t> </w:t>
      </w:r>
      <w:r>
        <w:rPr>
          <w:i/>
          <w:color w:val="231F20"/>
          <w:sz w:val="24"/>
        </w:rPr>
        <w:t>de</w:t>
      </w:r>
      <w:r>
        <w:rPr>
          <w:i/>
          <w:color w:val="231F20"/>
          <w:spacing w:val="-9"/>
          <w:sz w:val="24"/>
        </w:rPr>
        <w:t> </w:t>
      </w:r>
      <w:r>
        <w:rPr>
          <w:i/>
          <w:color w:val="231F20"/>
          <w:sz w:val="24"/>
        </w:rPr>
        <w:t>son</w:t>
      </w:r>
      <w:r>
        <w:rPr>
          <w:i/>
          <w:color w:val="231F20"/>
          <w:spacing w:val="-9"/>
          <w:sz w:val="24"/>
        </w:rPr>
        <w:t> </w:t>
      </w:r>
      <w:r>
        <w:rPr>
          <w:i/>
          <w:color w:val="231F20"/>
          <w:sz w:val="24"/>
        </w:rPr>
        <w:t>mandat</w:t>
      </w:r>
      <w:r>
        <w:rPr>
          <w:i/>
          <w:color w:val="231F20"/>
          <w:spacing w:val="-9"/>
          <w:sz w:val="24"/>
        </w:rPr>
        <w:t> </w:t>
      </w:r>
      <w:r>
        <w:rPr>
          <w:i/>
          <w:color w:val="231F20"/>
          <w:sz w:val="24"/>
        </w:rPr>
        <w:t>actuel,</w:t>
      </w:r>
      <w:r>
        <w:rPr>
          <w:i/>
          <w:color w:val="231F20"/>
          <w:spacing w:val="-9"/>
          <w:sz w:val="24"/>
        </w:rPr>
        <w:t> </w:t>
      </w:r>
      <w:r>
        <w:rPr>
          <w:i/>
          <w:color w:val="231F20"/>
          <w:spacing w:val="-4"/>
          <w:sz w:val="24"/>
        </w:rPr>
        <w:t>mais</w:t>
      </w:r>
    </w:p>
    <w:p>
      <w:pPr>
        <w:spacing w:after="0"/>
        <w:jc w:val="both"/>
        <w:rPr>
          <w:sz w:val="24"/>
        </w:rPr>
        <w:sectPr>
          <w:pgSz w:w="8790" w:h="13610"/>
          <w:pgMar w:header="0" w:footer="802" w:top="1060" w:bottom="1000" w:left="880" w:right="880"/>
        </w:sectPr>
      </w:pPr>
    </w:p>
    <w:p>
      <w:pPr>
        <w:spacing w:before="66"/>
        <w:ind w:left="111" w:right="108" w:firstLine="0"/>
        <w:jc w:val="both"/>
        <w:rPr>
          <w:i/>
          <w:sz w:val="24"/>
        </w:rPr>
      </w:pPr>
      <w:r>
        <w:rPr>
          <w:i/>
          <w:color w:val="231F20"/>
          <w:sz w:val="24"/>
        </w:rPr>
        <w:t>devra, au cours des deux années à venir, partager le pouvoir avec un</w:t>
      </w:r>
      <w:r>
        <w:rPr>
          <w:i/>
          <w:color w:val="231F20"/>
          <w:sz w:val="24"/>
        </w:rPr>
        <w:t> Premier ministre « de consensus », inamovible jusqu’à la prochaine présidentielle. </w:t>
      </w:r>
      <w:r>
        <w:rPr>
          <w:color w:val="76787A"/>
          <w:sz w:val="24"/>
          <w:vertAlign w:val="superscript"/>
        </w:rPr>
        <w:t>183</w:t>
      </w:r>
      <w:r>
        <w:rPr>
          <w:i/>
          <w:color w:val="231F20"/>
          <w:sz w:val="24"/>
          <w:vertAlign w:val="baseline"/>
        </w:rPr>
        <w:t>(…) »</w:t>
      </w:r>
    </w:p>
    <w:p>
      <w:pPr>
        <w:spacing w:before="119"/>
        <w:ind w:left="111" w:right="103" w:firstLine="336"/>
        <w:jc w:val="both"/>
        <w:rPr>
          <w:i/>
          <w:sz w:val="24"/>
        </w:rPr>
      </w:pPr>
      <w:r>
        <w:rPr>
          <w:color w:val="231F20"/>
          <w:sz w:val="22"/>
        </w:rPr>
        <w:t>L’accord</w:t>
      </w:r>
      <w:r>
        <w:rPr>
          <w:color w:val="231F20"/>
          <w:spacing w:val="-10"/>
          <w:sz w:val="22"/>
        </w:rPr>
        <w:t> </w:t>
      </w:r>
      <w:r>
        <w:rPr>
          <w:color w:val="231F20"/>
          <w:sz w:val="22"/>
        </w:rPr>
        <w:t>partage</w:t>
      </w:r>
      <w:r>
        <w:rPr>
          <w:color w:val="231F20"/>
          <w:spacing w:val="-10"/>
          <w:sz w:val="22"/>
        </w:rPr>
        <w:t> </w:t>
      </w:r>
      <w:r>
        <w:rPr>
          <w:color w:val="231F20"/>
          <w:sz w:val="22"/>
        </w:rPr>
        <w:t>le</w:t>
      </w:r>
      <w:r>
        <w:rPr>
          <w:color w:val="231F20"/>
          <w:spacing w:val="-10"/>
          <w:sz w:val="22"/>
        </w:rPr>
        <w:t> </w:t>
      </w:r>
      <w:r>
        <w:rPr>
          <w:color w:val="231F20"/>
          <w:sz w:val="22"/>
        </w:rPr>
        <w:t>pouvoir</w:t>
      </w:r>
      <w:r>
        <w:rPr>
          <w:color w:val="231F20"/>
          <w:spacing w:val="-10"/>
          <w:sz w:val="22"/>
        </w:rPr>
        <w:t> </w:t>
      </w:r>
      <w:r>
        <w:rPr>
          <w:color w:val="231F20"/>
          <w:sz w:val="22"/>
        </w:rPr>
        <w:t>entre</w:t>
      </w:r>
      <w:r>
        <w:rPr>
          <w:color w:val="231F20"/>
          <w:spacing w:val="-10"/>
          <w:sz w:val="22"/>
        </w:rPr>
        <w:t> </w:t>
      </w:r>
      <w:r>
        <w:rPr>
          <w:color w:val="231F20"/>
          <w:sz w:val="22"/>
        </w:rPr>
        <w:t>Laurent</w:t>
      </w:r>
      <w:r>
        <w:rPr>
          <w:color w:val="231F20"/>
          <w:spacing w:val="-9"/>
          <w:sz w:val="22"/>
        </w:rPr>
        <w:t> </w:t>
      </w:r>
      <w:r>
        <w:rPr>
          <w:color w:val="231F20"/>
          <w:sz w:val="22"/>
        </w:rPr>
        <w:t>Gbagbo</w:t>
      </w:r>
      <w:r>
        <w:rPr>
          <w:color w:val="231F20"/>
          <w:spacing w:val="-10"/>
          <w:sz w:val="22"/>
        </w:rPr>
        <w:t> </w:t>
      </w:r>
      <w:r>
        <w:rPr>
          <w:color w:val="231F20"/>
          <w:sz w:val="22"/>
        </w:rPr>
        <w:t>et</w:t>
      </w:r>
      <w:r>
        <w:rPr>
          <w:color w:val="231F20"/>
          <w:spacing w:val="-11"/>
          <w:sz w:val="22"/>
        </w:rPr>
        <w:t> </w:t>
      </w:r>
      <w:r>
        <w:rPr>
          <w:color w:val="231F20"/>
          <w:sz w:val="22"/>
        </w:rPr>
        <w:t>les</w:t>
      </w:r>
      <w:r>
        <w:rPr>
          <w:color w:val="231F20"/>
          <w:spacing w:val="-11"/>
          <w:sz w:val="22"/>
        </w:rPr>
        <w:t> </w:t>
      </w:r>
      <w:r>
        <w:rPr>
          <w:color w:val="231F20"/>
          <w:sz w:val="22"/>
        </w:rPr>
        <w:t>rebelles.</w:t>
      </w:r>
      <w:r>
        <w:rPr>
          <w:color w:val="231F20"/>
          <w:spacing w:val="-11"/>
          <w:sz w:val="22"/>
        </w:rPr>
        <w:t> </w:t>
      </w:r>
      <w:r>
        <w:rPr>
          <w:color w:val="231F20"/>
          <w:sz w:val="22"/>
        </w:rPr>
        <w:t>Resté</w:t>
      </w:r>
      <w:r>
        <w:rPr>
          <w:color w:val="231F20"/>
          <w:spacing w:val="-12"/>
          <w:sz w:val="22"/>
        </w:rPr>
        <w:t> </w:t>
      </w:r>
      <w:r>
        <w:rPr>
          <w:color w:val="231F20"/>
          <w:sz w:val="22"/>
        </w:rPr>
        <w:t>en Côte d’Ivoire pendant les négociations, Laurent Gbagbo, reçoit l’ordre de rejoindre la capitale française où l’ont devancé ses pairs Bongo du Gabon </w:t>
      </w:r>
      <w:r>
        <w:rPr>
          <w:color w:val="231F20"/>
          <w:spacing w:val="-2"/>
          <w:sz w:val="22"/>
        </w:rPr>
        <w:t>(Afrique</w:t>
      </w:r>
      <w:r>
        <w:rPr>
          <w:color w:val="231F20"/>
          <w:spacing w:val="-12"/>
          <w:sz w:val="22"/>
        </w:rPr>
        <w:t> </w:t>
      </w:r>
      <w:r>
        <w:rPr>
          <w:color w:val="231F20"/>
          <w:spacing w:val="-2"/>
          <w:sz w:val="22"/>
        </w:rPr>
        <w:t>centrale)</w:t>
      </w:r>
      <w:r>
        <w:rPr>
          <w:color w:val="231F20"/>
          <w:spacing w:val="-12"/>
          <w:sz w:val="22"/>
        </w:rPr>
        <w:t> </w:t>
      </w:r>
      <w:r>
        <w:rPr>
          <w:color w:val="231F20"/>
          <w:spacing w:val="-2"/>
          <w:sz w:val="22"/>
        </w:rPr>
        <w:t>et</w:t>
      </w:r>
      <w:r>
        <w:rPr>
          <w:color w:val="231F20"/>
          <w:spacing w:val="-10"/>
          <w:sz w:val="22"/>
        </w:rPr>
        <w:t> </w:t>
      </w:r>
      <w:r>
        <w:rPr>
          <w:color w:val="231F20"/>
          <w:spacing w:val="-2"/>
          <w:sz w:val="22"/>
        </w:rPr>
        <w:t>Wade</w:t>
      </w:r>
      <w:r>
        <w:rPr>
          <w:color w:val="231F20"/>
          <w:spacing w:val="-12"/>
          <w:sz w:val="22"/>
        </w:rPr>
        <w:t> </w:t>
      </w:r>
      <w:r>
        <w:rPr>
          <w:color w:val="231F20"/>
          <w:spacing w:val="-2"/>
          <w:sz w:val="22"/>
        </w:rPr>
        <w:t>du</w:t>
      </w:r>
      <w:r>
        <w:rPr>
          <w:color w:val="231F20"/>
          <w:spacing w:val="-9"/>
          <w:sz w:val="22"/>
        </w:rPr>
        <w:t> </w:t>
      </w:r>
      <w:r>
        <w:rPr>
          <w:color w:val="231F20"/>
          <w:spacing w:val="-2"/>
          <w:sz w:val="22"/>
        </w:rPr>
        <w:t>Sénégal</w:t>
      </w:r>
      <w:r>
        <w:rPr>
          <w:color w:val="231F20"/>
          <w:spacing w:val="-10"/>
          <w:sz w:val="22"/>
        </w:rPr>
        <w:t> </w:t>
      </w:r>
      <w:r>
        <w:rPr>
          <w:color w:val="231F20"/>
          <w:spacing w:val="-2"/>
          <w:sz w:val="22"/>
        </w:rPr>
        <w:t>(Afrique</w:t>
      </w:r>
      <w:r>
        <w:rPr>
          <w:color w:val="231F20"/>
          <w:spacing w:val="-11"/>
          <w:sz w:val="22"/>
        </w:rPr>
        <w:t> </w:t>
      </w:r>
      <w:r>
        <w:rPr>
          <w:color w:val="231F20"/>
          <w:spacing w:val="-2"/>
          <w:sz w:val="22"/>
        </w:rPr>
        <w:t>de</w:t>
      </w:r>
      <w:r>
        <w:rPr>
          <w:color w:val="231F20"/>
          <w:spacing w:val="-10"/>
          <w:sz w:val="22"/>
        </w:rPr>
        <w:t> </w:t>
      </w:r>
      <w:r>
        <w:rPr>
          <w:color w:val="231F20"/>
          <w:spacing w:val="-2"/>
          <w:sz w:val="22"/>
        </w:rPr>
        <w:t>l’Ouest).</w:t>
      </w:r>
      <w:r>
        <w:rPr>
          <w:color w:val="231F20"/>
          <w:spacing w:val="-11"/>
          <w:sz w:val="22"/>
        </w:rPr>
        <w:t> </w:t>
      </w:r>
      <w:r>
        <w:rPr>
          <w:color w:val="231F20"/>
          <w:spacing w:val="-2"/>
          <w:sz w:val="22"/>
        </w:rPr>
        <w:t>Sont</w:t>
      </w:r>
      <w:r>
        <w:rPr>
          <w:color w:val="231F20"/>
          <w:spacing w:val="-10"/>
          <w:sz w:val="22"/>
        </w:rPr>
        <w:t> </w:t>
      </w:r>
      <w:r>
        <w:rPr>
          <w:color w:val="231F20"/>
          <w:spacing w:val="-2"/>
          <w:sz w:val="22"/>
        </w:rPr>
        <w:t>aussi</w:t>
      </w:r>
      <w:r>
        <w:rPr>
          <w:color w:val="231F20"/>
          <w:spacing w:val="-10"/>
          <w:sz w:val="22"/>
        </w:rPr>
        <w:t> </w:t>
      </w:r>
      <w:r>
        <w:rPr>
          <w:color w:val="231F20"/>
          <w:spacing w:val="-2"/>
          <w:sz w:val="22"/>
        </w:rPr>
        <w:t>présents </w:t>
      </w:r>
      <w:r>
        <w:rPr>
          <w:color w:val="231F20"/>
          <w:sz w:val="22"/>
        </w:rPr>
        <w:t>à</w:t>
      </w:r>
      <w:r>
        <w:rPr>
          <w:color w:val="231F20"/>
          <w:spacing w:val="-10"/>
          <w:sz w:val="22"/>
        </w:rPr>
        <w:t> </w:t>
      </w:r>
      <w:r>
        <w:rPr>
          <w:color w:val="231F20"/>
          <w:sz w:val="22"/>
        </w:rPr>
        <w:t>Paris,</w:t>
      </w:r>
      <w:r>
        <w:rPr>
          <w:color w:val="231F20"/>
          <w:spacing w:val="-13"/>
          <w:sz w:val="22"/>
        </w:rPr>
        <w:t> </w:t>
      </w:r>
      <w:r>
        <w:rPr>
          <w:color w:val="231F20"/>
          <w:sz w:val="22"/>
        </w:rPr>
        <w:t>le</w:t>
      </w:r>
      <w:r>
        <w:rPr>
          <w:color w:val="231F20"/>
          <w:spacing w:val="-10"/>
          <w:sz w:val="22"/>
        </w:rPr>
        <w:t> </w:t>
      </w:r>
      <w:r>
        <w:rPr>
          <w:color w:val="231F20"/>
          <w:sz w:val="22"/>
        </w:rPr>
        <w:t>Secrétaire</w:t>
      </w:r>
      <w:r>
        <w:rPr>
          <w:color w:val="231F20"/>
          <w:spacing w:val="-13"/>
          <w:sz w:val="22"/>
        </w:rPr>
        <w:t> </w:t>
      </w:r>
      <w:r>
        <w:rPr>
          <w:color w:val="231F20"/>
          <w:sz w:val="22"/>
        </w:rPr>
        <w:t>général</w:t>
      </w:r>
      <w:r>
        <w:rPr>
          <w:color w:val="231F20"/>
          <w:spacing w:val="-12"/>
          <w:sz w:val="22"/>
        </w:rPr>
        <w:t> </w:t>
      </w:r>
      <w:r>
        <w:rPr>
          <w:color w:val="231F20"/>
          <w:sz w:val="22"/>
        </w:rPr>
        <w:t>des</w:t>
      </w:r>
      <w:r>
        <w:rPr>
          <w:color w:val="231F20"/>
          <w:spacing w:val="-10"/>
          <w:sz w:val="22"/>
        </w:rPr>
        <w:t> </w:t>
      </w:r>
      <w:r>
        <w:rPr>
          <w:color w:val="231F20"/>
          <w:sz w:val="22"/>
        </w:rPr>
        <w:t>Nations</w:t>
      </w:r>
      <w:r>
        <w:rPr>
          <w:color w:val="231F20"/>
          <w:spacing w:val="-10"/>
          <w:sz w:val="22"/>
        </w:rPr>
        <w:t> </w:t>
      </w:r>
      <w:r>
        <w:rPr>
          <w:color w:val="231F20"/>
          <w:sz w:val="22"/>
        </w:rPr>
        <w:t>Unies,</w:t>
      </w:r>
      <w:r>
        <w:rPr>
          <w:color w:val="231F20"/>
          <w:spacing w:val="-10"/>
          <w:sz w:val="22"/>
        </w:rPr>
        <w:t> </w:t>
      </w:r>
      <w:r>
        <w:rPr>
          <w:color w:val="231F20"/>
          <w:sz w:val="22"/>
        </w:rPr>
        <w:t>Kofi</w:t>
      </w:r>
      <w:r>
        <w:rPr>
          <w:color w:val="231F20"/>
          <w:spacing w:val="-9"/>
          <w:sz w:val="22"/>
        </w:rPr>
        <w:t> </w:t>
      </w:r>
      <w:r>
        <w:rPr>
          <w:color w:val="231F20"/>
          <w:sz w:val="22"/>
        </w:rPr>
        <w:t>Annan,</w:t>
      </w:r>
      <w:r>
        <w:rPr>
          <w:color w:val="231F20"/>
          <w:spacing w:val="-13"/>
          <w:sz w:val="22"/>
        </w:rPr>
        <w:t> </w:t>
      </w:r>
      <w:r>
        <w:rPr>
          <w:color w:val="231F20"/>
          <w:sz w:val="22"/>
        </w:rPr>
        <w:t>et</w:t>
      </w:r>
      <w:r>
        <w:rPr>
          <w:color w:val="231F20"/>
          <w:spacing w:val="-12"/>
          <w:sz w:val="22"/>
        </w:rPr>
        <w:t> </w:t>
      </w:r>
      <w:r>
        <w:rPr>
          <w:color w:val="231F20"/>
          <w:sz w:val="22"/>
        </w:rPr>
        <w:t>le</w:t>
      </w:r>
      <w:r>
        <w:rPr>
          <w:color w:val="231F20"/>
          <w:spacing w:val="-13"/>
          <w:sz w:val="22"/>
        </w:rPr>
        <w:t> </w:t>
      </w:r>
      <w:r>
        <w:rPr>
          <w:color w:val="231F20"/>
          <w:sz w:val="22"/>
        </w:rPr>
        <w:t>président</w:t>
      </w:r>
      <w:r>
        <w:rPr>
          <w:color w:val="231F20"/>
          <w:spacing w:val="-12"/>
          <w:sz w:val="22"/>
        </w:rPr>
        <w:t> </w:t>
      </w:r>
      <w:r>
        <w:rPr>
          <w:color w:val="231F20"/>
          <w:sz w:val="22"/>
        </w:rPr>
        <w:t>en exercice</w:t>
      </w:r>
      <w:r>
        <w:rPr>
          <w:color w:val="231F20"/>
          <w:spacing w:val="-14"/>
          <w:sz w:val="22"/>
        </w:rPr>
        <w:t> </w:t>
      </w:r>
      <w:r>
        <w:rPr>
          <w:color w:val="231F20"/>
          <w:sz w:val="22"/>
        </w:rPr>
        <w:t>de</w:t>
      </w:r>
      <w:r>
        <w:rPr>
          <w:color w:val="231F20"/>
          <w:spacing w:val="-14"/>
          <w:sz w:val="22"/>
        </w:rPr>
        <w:t> </w:t>
      </w:r>
      <w:r>
        <w:rPr>
          <w:color w:val="231F20"/>
          <w:sz w:val="22"/>
        </w:rPr>
        <w:t>l’Union</w:t>
      </w:r>
      <w:r>
        <w:rPr>
          <w:color w:val="231F20"/>
          <w:spacing w:val="-14"/>
          <w:sz w:val="22"/>
        </w:rPr>
        <w:t> </w:t>
      </w:r>
      <w:r>
        <w:rPr>
          <w:color w:val="231F20"/>
          <w:sz w:val="22"/>
        </w:rPr>
        <w:t>Africaine,</w:t>
      </w:r>
      <w:r>
        <w:rPr>
          <w:color w:val="231F20"/>
          <w:spacing w:val="-13"/>
          <w:sz w:val="22"/>
        </w:rPr>
        <w:t> </w:t>
      </w:r>
      <w:r>
        <w:rPr>
          <w:color w:val="231F20"/>
          <w:sz w:val="22"/>
        </w:rPr>
        <w:t>le</w:t>
      </w:r>
      <w:r>
        <w:rPr>
          <w:color w:val="231F20"/>
          <w:spacing w:val="-14"/>
          <w:sz w:val="22"/>
        </w:rPr>
        <w:t> </w:t>
      </w:r>
      <w:r>
        <w:rPr>
          <w:color w:val="231F20"/>
          <w:sz w:val="22"/>
        </w:rPr>
        <w:t>président</w:t>
      </w:r>
      <w:r>
        <w:rPr>
          <w:color w:val="231F20"/>
          <w:spacing w:val="-14"/>
          <w:sz w:val="22"/>
        </w:rPr>
        <w:t> </w:t>
      </w:r>
      <w:r>
        <w:rPr>
          <w:color w:val="231F20"/>
          <w:sz w:val="22"/>
        </w:rPr>
        <w:t>Sud-Africain,</w:t>
      </w:r>
      <w:r>
        <w:rPr>
          <w:color w:val="231F20"/>
          <w:spacing w:val="-14"/>
          <w:sz w:val="22"/>
        </w:rPr>
        <w:t> </w:t>
      </w:r>
      <w:r>
        <w:rPr>
          <w:color w:val="231F20"/>
          <w:sz w:val="22"/>
        </w:rPr>
        <w:t>Thabo</w:t>
      </w:r>
      <w:r>
        <w:rPr>
          <w:color w:val="231F20"/>
          <w:spacing w:val="-13"/>
          <w:sz w:val="22"/>
        </w:rPr>
        <w:t> </w:t>
      </w:r>
      <w:r>
        <w:rPr>
          <w:color w:val="231F20"/>
          <w:sz w:val="22"/>
        </w:rPr>
        <w:t>Mbeki.</w:t>
      </w:r>
      <w:r>
        <w:rPr>
          <w:color w:val="231F20"/>
          <w:spacing w:val="-14"/>
          <w:sz w:val="22"/>
        </w:rPr>
        <w:t> </w:t>
      </w:r>
      <w:r>
        <w:rPr>
          <w:color w:val="231F20"/>
          <w:sz w:val="22"/>
        </w:rPr>
        <w:t>Tel</w:t>
      </w:r>
      <w:r>
        <w:rPr>
          <w:color w:val="231F20"/>
          <w:spacing w:val="-14"/>
          <w:sz w:val="22"/>
        </w:rPr>
        <w:t> </w:t>
      </w:r>
      <w:r>
        <w:rPr>
          <w:color w:val="231F20"/>
          <w:sz w:val="22"/>
        </w:rPr>
        <w:t>un </w:t>
      </w:r>
      <w:r>
        <w:rPr>
          <w:color w:val="231F20"/>
          <w:spacing w:val="-4"/>
          <w:sz w:val="22"/>
        </w:rPr>
        <w:t>enfant récalcitrant, Laurent Gbagbo est sans ménagement interpelé par ses pairs, </w:t>
      </w:r>
      <w:r>
        <w:rPr>
          <w:color w:val="231F20"/>
          <w:sz w:val="22"/>
        </w:rPr>
        <w:t>Bongo</w:t>
      </w:r>
      <w:r>
        <w:rPr>
          <w:color w:val="231F20"/>
          <w:spacing w:val="-2"/>
          <w:sz w:val="22"/>
        </w:rPr>
        <w:t> </w:t>
      </w:r>
      <w:r>
        <w:rPr>
          <w:color w:val="231F20"/>
          <w:sz w:val="22"/>
        </w:rPr>
        <w:t>et Wade</w:t>
      </w:r>
      <w:r>
        <w:rPr>
          <w:color w:val="231F20"/>
          <w:spacing w:val="-14"/>
          <w:sz w:val="22"/>
        </w:rPr>
        <w:t> </w:t>
      </w:r>
      <w:r>
        <w:rPr>
          <w:color w:val="231F20"/>
          <w:sz w:val="22"/>
        </w:rPr>
        <w:t>: il n’a pas d’autre choix</w:t>
      </w:r>
      <w:r>
        <w:rPr>
          <w:color w:val="231F20"/>
          <w:spacing w:val="-1"/>
          <w:sz w:val="22"/>
        </w:rPr>
        <w:t> </w:t>
      </w:r>
      <w:r>
        <w:rPr>
          <w:color w:val="231F20"/>
          <w:sz w:val="22"/>
        </w:rPr>
        <w:t>que d’accepter les conclusions de la table-ronde. Il essuie l’arrogance de Dominique de Villepin</w:t>
      </w:r>
      <w:r>
        <w:rPr>
          <w:color w:val="231F20"/>
          <w:spacing w:val="-14"/>
          <w:sz w:val="22"/>
        </w:rPr>
        <w:t> </w:t>
      </w:r>
      <w:r>
        <w:rPr>
          <w:color w:val="231F20"/>
          <w:sz w:val="22"/>
        </w:rPr>
        <w:t>:</w:t>
      </w:r>
      <w:r>
        <w:rPr>
          <w:color w:val="231F20"/>
          <w:spacing w:val="-14"/>
          <w:sz w:val="22"/>
        </w:rPr>
        <w:t> </w:t>
      </w:r>
      <w:r>
        <w:rPr>
          <w:color w:val="231F20"/>
          <w:sz w:val="22"/>
        </w:rPr>
        <w:t>«</w:t>
      </w:r>
      <w:r>
        <w:rPr>
          <w:color w:val="231F20"/>
          <w:spacing w:val="-14"/>
          <w:sz w:val="22"/>
        </w:rPr>
        <w:t> </w:t>
      </w:r>
      <w:r>
        <w:rPr>
          <w:color w:val="231F20"/>
          <w:sz w:val="22"/>
        </w:rPr>
        <w:t>de </w:t>
      </w:r>
      <w:r>
        <w:rPr>
          <w:i/>
          <w:color w:val="231F20"/>
          <w:sz w:val="24"/>
        </w:rPr>
        <w:t>Villepin,</w:t>
      </w:r>
      <w:r>
        <w:rPr>
          <w:i/>
          <w:color w:val="231F20"/>
          <w:sz w:val="24"/>
        </w:rPr>
        <w:t> venu</w:t>
      </w:r>
      <w:r>
        <w:rPr>
          <w:i/>
          <w:color w:val="231F20"/>
          <w:spacing w:val="-12"/>
          <w:sz w:val="24"/>
        </w:rPr>
        <w:t> </w:t>
      </w:r>
      <w:r>
        <w:rPr>
          <w:i/>
          <w:color w:val="231F20"/>
          <w:sz w:val="24"/>
        </w:rPr>
        <w:t>annoncer</w:t>
      </w:r>
      <w:r>
        <w:rPr>
          <w:i/>
          <w:color w:val="231F20"/>
          <w:spacing w:val="-13"/>
          <w:sz w:val="24"/>
        </w:rPr>
        <w:t> </w:t>
      </w:r>
      <w:r>
        <w:rPr>
          <w:i/>
          <w:color w:val="231F20"/>
          <w:sz w:val="24"/>
        </w:rPr>
        <w:t>à</w:t>
      </w:r>
      <w:r>
        <w:rPr>
          <w:i/>
          <w:color w:val="231F20"/>
          <w:spacing w:val="-14"/>
          <w:sz w:val="24"/>
        </w:rPr>
        <w:t> </w:t>
      </w:r>
      <w:r>
        <w:rPr>
          <w:i/>
          <w:color w:val="231F20"/>
          <w:sz w:val="24"/>
        </w:rPr>
        <w:t>Laurent</w:t>
      </w:r>
      <w:r>
        <w:rPr>
          <w:i/>
          <w:color w:val="231F20"/>
          <w:spacing w:val="-14"/>
          <w:sz w:val="24"/>
        </w:rPr>
        <w:t> </w:t>
      </w:r>
      <w:r>
        <w:rPr>
          <w:i/>
          <w:color w:val="231F20"/>
          <w:sz w:val="24"/>
        </w:rPr>
        <w:t>Gbagbo</w:t>
      </w:r>
      <w:r>
        <w:rPr>
          <w:i/>
          <w:color w:val="231F20"/>
          <w:spacing w:val="-12"/>
          <w:sz w:val="24"/>
        </w:rPr>
        <w:t> </w:t>
      </w:r>
      <w:r>
        <w:rPr>
          <w:i/>
          <w:color w:val="231F20"/>
          <w:sz w:val="24"/>
        </w:rPr>
        <w:t>que</w:t>
      </w:r>
      <w:r>
        <w:rPr>
          <w:i/>
          <w:color w:val="231F20"/>
          <w:spacing w:val="-12"/>
          <w:sz w:val="24"/>
        </w:rPr>
        <w:t> </w:t>
      </w:r>
      <w:r>
        <w:rPr>
          <w:i/>
          <w:color w:val="231F20"/>
          <w:sz w:val="24"/>
        </w:rPr>
        <w:t>le</w:t>
      </w:r>
      <w:r>
        <w:rPr>
          <w:i/>
          <w:color w:val="231F20"/>
          <w:spacing w:val="-12"/>
          <w:sz w:val="24"/>
        </w:rPr>
        <w:t> </w:t>
      </w:r>
      <w:r>
        <w:rPr>
          <w:i/>
          <w:color w:val="231F20"/>
          <w:sz w:val="24"/>
        </w:rPr>
        <w:t>président</w:t>
      </w:r>
      <w:r>
        <w:rPr>
          <w:i/>
          <w:color w:val="231F20"/>
          <w:spacing w:val="-14"/>
          <w:sz w:val="24"/>
        </w:rPr>
        <w:t> </w:t>
      </w:r>
      <w:r>
        <w:rPr>
          <w:i/>
          <w:color w:val="231F20"/>
          <w:sz w:val="24"/>
        </w:rPr>
        <w:t>Chirac</w:t>
      </w:r>
      <w:r>
        <w:rPr>
          <w:i/>
          <w:color w:val="231F20"/>
          <w:spacing w:val="-12"/>
          <w:sz w:val="24"/>
        </w:rPr>
        <w:t> </w:t>
      </w:r>
      <w:r>
        <w:rPr>
          <w:i/>
          <w:color w:val="231F20"/>
          <w:sz w:val="24"/>
        </w:rPr>
        <w:t>demande</w:t>
      </w:r>
      <w:r>
        <w:rPr>
          <w:i/>
          <w:color w:val="231F20"/>
          <w:spacing w:val="-12"/>
          <w:sz w:val="24"/>
        </w:rPr>
        <w:t> </w:t>
      </w:r>
      <w:r>
        <w:rPr>
          <w:i/>
          <w:color w:val="231F20"/>
          <w:sz w:val="24"/>
        </w:rPr>
        <w:t>à</w:t>
      </w:r>
      <w:r>
        <w:rPr>
          <w:i/>
          <w:color w:val="231F20"/>
          <w:spacing w:val="-14"/>
          <w:sz w:val="24"/>
        </w:rPr>
        <w:t> </w:t>
      </w:r>
      <w:r>
        <w:rPr>
          <w:i/>
          <w:color w:val="231F20"/>
          <w:sz w:val="24"/>
        </w:rPr>
        <w:t>le </w:t>
      </w:r>
      <w:r>
        <w:rPr>
          <w:i/>
          <w:color w:val="231F20"/>
          <w:spacing w:val="-4"/>
          <w:sz w:val="24"/>
        </w:rPr>
        <w:t>voir.</w:t>
      </w:r>
      <w:r>
        <w:rPr>
          <w:i/>
          <w:color w:val="231F20"/>
          <w:spacing w:val="-11"/>
          <w:sz w:val="24"/>
        </w:rPr>
        <w:t> </w:t>
      </w:r>
      <w:r>
        <w:rPr>
          <w:i/>
          <w:color w:val="231F20"/>
          <w:spacing w:val="-4"/>
          <w:sz w:val="24"/>
        </w:rPr>
        <w:t>En</w:t>
      </w:r>
      <w:r>
        <w:rPr>
          <w:i/>
          <w:color w:val="231F20"/>
          <w:spacing w:val="-11"/>
          <w:sz w:val="24"/>
        </w:rPr>
        <w:t> </w:t>
      </w:r>
      <w:r>
        <w:rPr>
          <w:i/>
          <w:color w:val="231F20"/>
          <w:spacing w:val="-4"/>
          <w:sz w:val="24"/>
        </w:rPr>
        <w:t>pleine</w:t>
      </w:r>
      <w:r>
        <w:rPr>
          <w:i/>
          <w:color w:val="231F20"/>
          <w:spacing w:val="-11"/>
          <w:sz w:val="24"/>
        </w:rPr>
        <w:t> </w:t>
      </w:r>
      <w:r>
        <w:rPr>
          <w:i/>
          <w:color w:val="231F20"/>
          <w:spacing w:val="-4"/>
          <w:sz w:val="24"/>
        </w:rPr>
        <w:t>discussion,</w:t>
      </w:r>
      <w:r>
        <w:rPr>
          <w:i/>
          <w:color w:val="231F20"/>
          <w:spacing w:val="-11"/>
          <w:sz w:val="24"/>
        </w:rPr>
        <w:t> </w:t>
      </w:r>
      <w:r>
        <w:rPr>
          <w:i/>
          <w:color w:val="231F20"/>
          <w:spacing w:val="-4"/>
          <w:sz w:val="24"/>
        </w:rPr>
        <w:t>le</w:t>
      </w:r>
      <w:r>
        <w:rPr>
          <w:i/>
          <w:color w:val="231F20"/>
          <w:spacing w:val="-11"/>
          <w:sz w:val="24"/>
        </w:rPr>
        <w:t> </w:t>
      </w:r>
      <w:r>
        <w:rPr>
          <w:i/>
          <w:color w:val="231F20"/>
          <w:spacing w:val="-4"/>
          <w:sz w:val="24"/>
        </w:rPr>
        <w:t>chef</w:t>
      </w:r>
      <w:r>
        <w:rPr>
          <w:i/>
          <w:color w:val="231F20"/>
          <w:spacing w:val="-11"/>
          <w:sz w:val="24"/>
        </w:rPr>
        <w:t> </w:t>
      </w:r>
      <w:r>
        <w:rPr>
          <w:i/>
          <w:color w:val="231F20"/>
          <w:spacing w:val="-4"/>
          <w:sz w:val="24"/>
        </w:rPr>
        <w:t>de</w:t>
      </w:r>
      <w:r>
        <w:rPr>
          <w:i/>
          <w:color w:val="231F20"/>
          <w:spacing w:val="-11"/>
          <w:sz w:val="24"/>
        </w:rPr>
        <w:t> </w:t>
      </w:r>
      <w:r>
        <w:rPr>
          <w:i/>
          <w:color w:val="231F20"/>
          <w:spacing w:val="-4"/>
          <w:sz w:val="24"/>
        </w:rPr>
        <w:t>l’État</w:t>
      </w:r>
      <w:r>
        <w:rPr>
          <w:i/>
          <w:color w:val="231F20"/>
          <w:spacing w:val="-11"/>
          <w:sz w:val="24"/>
        </w:rPr>
        <w:t> </w:t>
      </w:r>
      <w:r>
        <w:rPr>
          <w:i/>
          <w:color w:val="231F20"/>
          <w:spacing w:val="-4"/>
          <w:sz w:val="24"/>
        </w:rPr>
        <w:t>ivoirien</w:t>
      </w:r>
      <w:r>
        <w:rPr>
          <w:i/>
          <w:color w:val="231F20"/>
          <w:spacing w:val="-11"/>
          <w:sz w:val="24"/>
        </w:rPr>
        <w:t> </w:t>
      </w:r>
      <w:r>
        <w:rPr>
          <w:i/>
          <w:color w:val="231F20"/>
          <w:spacing w:val="-4"/>
          <w:sz w:val="24"/>
        </w:rPr>
        <w:t>lui</w:t>
      </w:r>
      <w:r>
        <w:rPr>
          <w:i/>
          <w:color w:val="231F20"/>
          <w:spacing w:val="-11"/>
          <w:sz w:val="24"/>
        </w:rPr>
        <w:t> </w:t>
      </w:r>
      <w:r>
        <w:rPr>
          <w:i/>
          <w:color w:val="231F20"/>
          <w:spacing w:val="-4"/>
          <w:sz w:val="24"/>
        </w:rPr>
        <w:t>répond</w:t>
      </w:r>
      <w:r>
        <w:rPr>
          <w:i/>
          <w:color w:val="231F20"/>
          <w:spacing w:val="-11"/>
          <w:sz w:val="24"/>
        </w:rPr>
        <w:t> </w:t>
      </w:r>
      <w:r>
        <w:rPr>
          <w:i/>
          <w:color w:val="231F20"/>
          <w:spacing w:val="-4"/>
          <w:sz w:val="24"/>
        </w:rPr>
        <w:t>«</w:t>
      </w:r>
      <w:r>
        <w:rPr>
          <w:i/>
          <w:color w:val="231F20"/>
          <w:spacing w:val="-11"/>
          <w:sz w:val="24"/>
        </w:rPr>
        <w:t> </w:t>
      </w:r>
      <w:r>
        <w:rPr>
          <w:i/>
          <w:color w:val="231F20"/>
          <w:spacing w:val="-4"/>
          <w:sz w:val="24"/>
        </w:rPr>
        <w:t>dans</w:t>
      </w:r>
      <w:r>
        <w:rPr>
          <w:i/>
          <w:color w:val="231F20"/>
          <w:spacing w:val="-11"/>
          <w:sz w:val="24"/>
        </w:rPr>
        <w:t> </w:t>
      </w:r>
      <w:r>
        <w:rPr>
          <w:i/>
          <w:color w:val="231F20"/>
          <w:spacing w:val="-4"/>
          <w:sz w:val="24"/>
        </w:rPr>
        <w:t>deux </w:t>
      </w:r>
      <w:r>
        <w:rPr>
          <w:i/>
          <w:color w:val="231F20"/>
          <w:sz w:val="24"/>
        </w:rPr>
        <w:t>minutes ». Les traits tendus, Villepin lui réplique fermement « Non, maintenant</w:t>
      </w:r>
      <w:r>
        <w:rPr>
          <w:i/>
          <w:color w:val="231F20"/>
          <w:spacing w:val="-2"/>
          <w:sz w:val="24"/>
        </w:rPr>
        <w:t> </w:t>
      </w:r>
      <w:r>
        <w:rPr>
          <w:i/>
          <w:color w:val="231F20"/>
          <w:sz w:val="24"/>
        </w:rPr>
        <w:t>!</w:t>
      </w:r>
      <w:r>
        <w:rPr>
          <w:i/>
          <w:color w:val="231F20"/>
          <w:spacing w:val="-2"/>
          <w:sz w:val="24"/>
        </w:rPr>
        <w:t> </w:t>
      </w:r>
      <w:r>
        <w:rPr>
          <w:i/>
          <w:color w:val="231F20"/>
          <w:sz w:val="24"/>
        </w:rPr>
        <w:t>»</w:t>
      </w:r>
      <w:r>
        <w:rPr>
          <w:i/>
          <w:color w:val="231F20"/>
          <w:spacing w:val="-2"/>
          <w:sz w:val="24"/>
        </w:rPr>
        <w:t> </w:t>
      </w:r>
      <w:r>
        <w:rPr>
          <w:i/>
          <w:color w:val="231F20"/>
          <w:sz w:val="24"/>
        </w:rPr>
        <w:t>Quelque</w:t>
      </w:r>
      <w:r>
        <w:rPr>
          <w:i/>
          <w:color w:val="231F20"/>
          <w:spacing w:val="-2"/>
          <w:sz w:val="24"/>
        </w:rPr>
        <w:t> </w:t>
      </w:r>
      <w:r>
        <w:rPr>
          <w:i/>
          <w:color w:val="231F20"/>
          <w:sz w:val="24"/>
        </w:rPr>
        <w:t>peu</w:t>
      </w:r>
      <w:r>
        <w:rPr>
          <w:i/>
          <w:color w:val="231F20"/>
          <w:spacing w:val="-2"/>
          <w:sz w:val="24"/>
        </w:rPr>
        <w:t> </w:t>
      </w:r>
      <w:r>
        <w:rPr>
          <w:i/>
          <w:color w:val="231F20"/>
          <w:sz w:val="24"/>
        </w:rPr>
        <w:t>surpris,</w:t>
      </w:r>
      <w:r>
        <w:rPr>
          <w:i/>
          <w:color w:val="231F20"/>
          <w:spacing w:val="-2"/>
          <w:sz w:val="24"/>
        </w:rPr>
        <w:t> </w:t>
      </w:r>
      <w:r>
        <w:rPr>
          <w:i/>
          <w:color w:val="231F20"/>
          <w:sz w:val="24"/>
        </w:rPr>
        <w:t>Gbagbo</w:t>
      </w:r>
      <w:r>
        <w:rPr>
          <w:i/>
          <w:color w:val="231F20"/>
          <w:spacing w:val="-5"/>
          <w:sz w:val="24"/>
        </w:rPr>
        <w:t> </w:t>
      </w:r>
      <w:r>
        <w:rPr>
          <w:i/>
          <w:color w:val="231F20"/>
          <w:sz w:val="24"/>
        </w:rPr>
        <w:t>s’exécute.</w:t>
      </w:r>
      <w:r>
        <w:rPr>
          <w:color w:val="76787A"/>
          <w:sz w:val="24"/>
          <w:vertAlign w:val="superscript"/>
        </w:rPr>
        <w:t>184</w:t>
      </w:r>
      <w:r>
        <w:rPr>
          <w:color w:val="76787A"/>
          <w:sz w:val="24"/>
          <w:vertAlign w:val="baseline"/>
        </w:rPr>
        <w:t> </w:t>
      </w:r>
      <w:r>
        <w:rPr>
          <w:i/>
          <w:color w:val="231F20"/>
          <w:sz w:val="24"/>
          <w:vertAlign w:val="baseline"/>
        </w:rPr>
        <w:t>»</w:t>
      </w:r>
    </w:p>
    <w:p>
      <w:pPr>
        <w:pStyle w:val="BodyText"/>
        <w:spacing w:before="1"/>
        <w:ind w:right="105" w:firstLine="283"/>
      </w:pPr>
      <w:r>
        <w:rPr>
          <w:color w:val="231F20"/>
        </w:rPr>
        <w:t>Lors</w:t>
      </w:r>
      <w:r>
        <w:rPr>
          <w:color w:val="231F20"/>
          <w:spacing w:val="-7"/>
        </w:rPr>
        <w:t> </w:t>
      </w:r>
      <w:r>
        <w:rPr>
          <w:color w:val="231F20"/>
        </w:rPr>
        <w:t>du</w:t>
      </w:r>
      <w:r>
        <w:rPr>
          <w:color w:val="231F20"/>
          <w:spacing w:val="-9"/>
        </w:rPr>
        <w:t> </w:t>
      </w:r>
      <w:r>
        <w:rPr>
          <w:color w:val="231F20"/>
        </w:rPr>
        <w:t>tête-à-tête</w:t>
      </w:r>
      <w:r>
        <w:rPr>
          <w:color w:val="231F20"/>
          <w:spacing w:val="-7"/>
        </w:rPr>
        <w:t> </w:t>
      </w:r>
      <w:r>
        <w:rPr>
          <w:color w:val="231F20"/>
        </w:rPr>
        <w:t>avec</w:t>
      </w:r>
      <w:r>
        <w:rPr>
          <w:color w:val="231F20"/>
          <w:spacing w:val="-9"/>
        </w:rPr>
        <w:t> </w:t>
      </w:r>
      <w:r>
        <w:rPr>
          <w:color w:val="231F20"/>
        </w:rPr>
        <w:t>Jacques</w:t>
      </w:r>
      <w:r>
        <w:rPr>
          <w:color w:val="231F20"/>
          <w:spacing w:val="-7"/>
        </w:rPr>
        <w:t> </w:t>
      </w:r>
      <w:r>
        <w:rPr>
          <w:color w:val="231F20"/>
        </w:rPr>
        <w:t>Chirac</w:t>
      </w:r>
      <w:r>
        <w:rPr>
          <w:color w:val="231F20"/>
          <w:spacing w:val="-7"/>
        </w:rPr>
        <w:t> </w:t>
      </w:r>
      <w:r>
        <w:rPr>
          <w:color w:val="231F20"/>
        </w:rPr>
        <w:t>à</w:t>
      </w:r>
      <w:r>
        <w:rPr>
          <w:color w:val="231F20"/>
          <w:spacing w:val="-7"/>
        </w:rPr>
        <w:t> </w:t>
      </w:r>
      <w:r>
        <w:rPr>
          <w:color w:val="231F20"/>
        </w:rPr>
        <w:t>l’Élysée,</w:t>
      </w:r>
      <w:r>
        <w:rPr>
          <w:color w:val="231F20"/>
          <w:spacing w:val="-8"/>
        </w:rPr>
        <w:t> </w:t>
      </w:r>
      <w:r>
        <w:rPr>
          <w:color w:val="231F20"/>
        </w:rPr>
        <w:t>il</w:t>
      </w:r>
      <w:r>
        <w:rPr>
          <w:color w:val="231F20"/>
          <w:spacing w:val="-9"/>
        </w:rPr>
        <w:t> </w:t>
      </w:r>
      <w:r>
        <w:rPr>
          <w:color w:val="231F20"/>
        </w:rPr>
        <w:t>tente</w:t>
      </w:r>
      <w:r>
        <w:rPr>
          <w:color w:val="231F20"/>
          <w:spacing w:val="-7"/>
        </w:rPr>
        <w:t> </w:t>
      </w:r>
      <w:r>
        <w:rPr>
          <w:color w:val="231F20"/>
        </w:rPr>
        <w:t>de</w:t>
      </w:r>
      <w:r>
        <w:rPr>
          <w:color w:val="231F20"/>
          <w:spacing w:val="-7"/>
        </w:rPr>
        <w:t> </w:t>
      </w:r>
      <w:r>
        <w:rPr>
          <w:color w:val="231F20"/>
        </w:rPr>
        <w:t>donner </w:t>
      </w:r>
      <w:r>
        <w:rPr>
          <w:color w:val="231F20"/>
          <w:spacing w:val="-2"/>
        </w:rPr>
        <w:t>son</w:t>
      </w:r>
      <w:r>
        <w:rPr>
          <w:color w:val="231F20"/>
          <w:spacing w:val="-15"/>
        </w:rPr>
        <w:t> </w:t>
      </w:r>
      <w:r>
        <w:rPr>
          <w:color w:val="231F20"/>
          <w:spacing w:val="-2"/>
        </w:rPr>
        <w:t>point</w:t>
      </w:r>
      <w:r>
        <w:rPr>
          <w:color w:val="231F20"/>
          <w:spacing w:val="-13"/>
        </w:rPr>
        <w:t> </w:t>
      </w:r>
      <w:r>
        <w:rPr>
          <w:color w:val="231F20"/>
          <w:spacing w:val="-2"/>
        </w:rPr>
        <w:t>de</w:t>
      </w:r>
      <w:r>
        <w:rPr>
          <w:color w:val="231F20"/>
          <w:spacing w:val="-13"/>
        </w:rPr>
        <w:t> </w:t>
      </w:r>
      <w:r>
        <w:rPr>
          <w:color w:val="231F20"/>
          <w:spacing w:val="-2"/>
        </w:rPr>
        <w:t>vue</w:t>
      </w:r>
      <w:r>
        <w:rPr>
          <w:color w:val="231F20"/>
          <w:spacing w:val="-13"/>
        </w:rPr>
        <w:t> </w:t>
      </w:r>
      <w:r>
        <w:rPr>
          <w:color w:val="231F20"/>
          <w:spacing w:val="-2"/>
        </w:rPr>
        <w:t>sur</w:t>
      </w:r>
      <w:r>
        <w:rPr>
          <w:color w:val="231F20"/>
          <w:spacing w:val="-13"/>
        </w:rPr>
        <w:t> </w:t>
      </w:r>
      <w:r>
        <w:rPr>
          <w:color w:val="231F20"/>
          <w:spacing w:val="-2"/>
        </w:rPr>
        <w:t>les</w:t>
      </w:r>
      <w:r>
        <w:rPr>
          <w:color w:val="231F20"/>
          <w:spacing w:val="-13"/>
        </w:rPr>
        <w:t> </w:t>
      </w:r>
      <w:r>
        <w:rPr>
          <w:color w:val="231F20"/>
          <w:spacing w:val="-2"/>
        </w:rPr>
        <w:t>conclusions</w:t>
      </w:r>
      <w:r>
        <w:rPr>
          <w:color w:val="231F20"/>
          <w:spacing w:val="-13"/>
        </w:rPr>
        <w:t> </w:t>
      </w:r>
      <w:r>
        <w:rPr>
          <w:color w:val="231F20"/>
          <w:spacing w:val="-2"/>
        </w:rPr>
        <w:t>de</w:t>
      </w:r>
      <w:r>
        <w:rPr>
          <w:color w:val="231F20"/>
          <w:spacing w:val="-13"/>
        </w:rPr>
        <w:t> </w:t>
      </w:r>
      <w:r>
        <w:rPr>
          <w:color w:val="231F20"/>
          <w:spacing w:val="-2"/>
        </w:rPr>
        <w:t>l’accord</w:t>
      </w:r>
      <w:r>
        <w:rPr>
          <w:color w:val="231F20"/>
          <w:spacing w:val="-13"/>
        </w:rPr>
        <w:t> </w:t>
      </w:r>
      <w:r>
        <w:rPr>
          <w:color w:val="231F20"/>
          <w:spacing w:val="-2"/>
        </w:rPr>
        <w:t>mais</w:t>
      </w:r>
      <w:r>
        <w:rPr>
          <w:color w:val="231F20"/>
          <w:spacing w:val="-13"/>
        </w:rPr>
        <w:t> </w:t>
      </w:r>
      <w:r>
        <w:rPr>
          <w:color w:val="231F20"/>
          <w:spacing w:val="-2"/>
        </w:rPr>
        <w:t>il</w:t>
      </w:r>
      <w:r>
        <w:rPr>
          <w:color w:val="231F20"/>
          <w:spacing w:val="-13"/>
        </w:rPr>
        <w:t> </w:t>
      </w:r>
      <w:r>
        <w:rPr>
          <w:color w:val="231F20"/>
          <w:spacing w:val="-2"/>
        </w:rPr>
        <w:t>n’est</w:t>
      </w:r>
      <w:r>
        <w:rPr>
          <w:color w:val="231F20"/>
          <w:spacing w:val="-13"/>
        </w:rPr>
        <w:t> </w:t>
      </w:r>
      <w:r>
        <w:rPr>
          <w:color w:val="231F20"/>
          <w:spacing w:val="-2"/>
        </w:rPr>
        <w:t>pas</w:t>
      </w:r>
      <w:r>
        <w:rPr>
          <w:color w:val="231F20"/>
          <w:spacing w:val="-13"/>
        </w:rPr>
        <w:t> </w:t>
      </w:r>
      <w:r>
        <w:rPr>
          <w:color w:val="231F20"/>
          <w:spacing w:val="-2"/>
        </w:rPr>
        <w:t>entendu. </w:t>
      </w:r>
      <w:r>
        <w:rPr>
          <w:color w:val="231F20"/>
        </w:rPr>
        <w:t>Le lendemain, à l’ouverture du sommet sur la Côte-d’Ivoire, avenue Kléber, le nom du Premier ministre chargé d’appliquer l’accord est </w:t>
      </w:r>
      <w:r>
        <w:rPr>
          <w:color w:val="231F20"/>
          <w:spacing w:val="-2"/>
        </w:rPr>
        <w:t>annoncé.</w:t>
      </w:r>
    </w:p>
    <w:p>
      <w:pPr>
        <w:pStyle w:val="BodyText"/>
        <w:spacing w:before="121"/>
        <w:ind w:right="104" w:firstLine="283"/>
        <w:rPr>
          <w:i/>
        </w:rPr>
      </w:pPr>
      <w:r>
        <w:rPr>
          <w:color w:val="231F20"/>
        </w:rPr>
        <w:t>A la fin des travaux, les images des chaînes publiques françaises, notamment</w:t>
      </w:r>
      <w:r>
        <w:rPr>
          <w:color w:val="231F20"/>
          <w:spacing w:val="-9"/>
        </w:rPr>
        <w:t> </w:t>
      </w:r>
      <w:r>
        <w:rPr>
          <w:color w:val="231F20"/>
        </w:rPr>
        <w:t>TV5</w:t>
      </w:r>
      <w:r>
        <w:rPr>
          <w:color w:val="231F20"/>
          <w:spacing w:val="-7"/>
        </w:rPr>
        <w:t> </w:t>
      </w:r>
      <w:r>
        <w:rPr>
          <w:color w:val="231F20"/>
        </w:rPr>
        <w:t>et</w:t>
      </w:r>
      <w:r>
        <w:rPr>
          <w:color w:val="231F20"/>
          <w:spacing w:val="-8"/>
        </w:rPr>
        <w:t> </w:t>
      </w:r>
      <w:r>
        <w:rPr>
          <w:color w:val="231F20"/>
        </w:rPr>
        <w:t>France</w:t>
      </w:r>
      <w:r>
        <w:rPr>
          <w:color w:val="231F20"/>
          <w:spacing w:val="-7"/>
        </w:rPr>
        <w:t> </w:t>
      </w:r>
      <w:r>
        <w:rPr>
          <w:color w:val="231F20"/>
        </w:rPr>
        <w:t>24,</w:t>
      </w:r>
      <w:r>
        <w:rPr>
          <w:color w:val="231F20"/>
          <w:spacing w:val="-7"/>
        </w:rPr>
        <w:t> </w:t>
      </w:r>
      <w:r>
        <w:rPr>
          <w:color w:val="231F20"/>
        </w:rPr>
        <w:t>montrent</w:t>
      </w:r>
      <w:r>
        <w:rPr>
          <w:color w:val="231F20"/>
          <w:spacing w:val="-7"/>
        </w:rPr>
        <w:t> </w:t>
      </w:r>
      <w:r>
        <w:rPr>
          <w:color w:val="231F20"/>
        </w:rPr>
        <w:t>les</w:t>
      </w:r>
      <w:r>
        <w:rPr>
          <w:color w:val="231F20"/>
          <w:spacing w:val="-7"/>
        </w:rPr>
        <w:t> </w:t>
      </w:r>
      <w:r>
        <w:rPr>
          <w:color w:val="231F20"/>
        </w:rPr>
        <w:t>participants</w:t>
      </w:r>
      <w:r>
        <w:rPr>
          <w:color w:val="231F20"/>
          <w:spacing w:val="-7"/>
        </w:rPr>
        <w:t> </w:t>
      </w:r>
      <w:r>
        <w:rPr>
          <w:color w:val="231F20"/>
        </w:rPr>
        <w:t>à</w:t>
      </w:r>
      <w:r>
        <w:rPr>
          <w:color w:val="231F20"/>
          <w:spacing w:val="-9"/>
        </w:rPr>
        <w:t> </w:t>
      </w:r>
      <w:r>
        <w:rPr>
          <w:color w:val="231F20"/>
        </w:rPr>
        <w:t>la</w:t>
      </w:r>
      <w:r>
        <w:rPr>
          <w:color w:val="231F20"/>
          <w:spacing w:val="-7"/>
        </w:rPr>
        <w:t> </w:t>
      </w:r>
      <w:r>
        <w:rPr>
          <w:color w:val="231F20"/>
        </w:rPr>
        <w:t>table</w:t>
      </w:r>
      <w:r>
        <w:rPr>
          <w:color w:val="231F20"/>
          <w:spacing w:val="-7"/>
        </w:rPr>
        <w:t> </w:t>
      </w:r>
      <w:r>
        <w:rPr>
          <w:color w:val="231F20"/>
        </w:rPr>
        <w:t>ronde se congratuler. Tout le monde semble heureux et le champagne coule. Oublié en cet instant, l’incident</w:t>
      </w:r>
      <w:r>
        <w:rPr>
          <w:color w:val="231F20"/>
          <w:spacing w:val="-15"/>
        </w:rPr>
        <w:t> </w:t>
      </w:r>
      <w:r>
        <w:rPr>
          <w:color w:val="231F20"/>
        </w:rPr>
        <w:t>survenu au septième jour des travaux</w:t>
      </w:r>
      <w:r>
        <w:rPr>
          <w:color w:val="231F20"/>
          <w:spacing w:val="-15"/>
        </w:rPr>
        <w:t> </w:t>
      </w:r>
      <w:r>
        <w:rPr>
          <w:color w:val="231F20"/>
        </w:rPr>
        <w:t>: Mamadou</w:t>
      </w:r>
      <w:r>
        <w:rPr>
          <w:color w:val="231F20"/>
          <w:spacing w:val="-15"/>
        </w:rPr>
        <w:t> </w:t>
      </w:r>
      <w:r>
        <w:rPr>
          <w:color w:val="231F20"/>
        </w:rPr>
        <w:t>Coulibaly,</w:t>
      </w:r>
      <w:r>
        <w:rPr>
          <w:color w:val="231F20"/>
          <w:spacing w:val="-15"/>
        </w:rPr>
        <w:t> </w:t>
      </w:r>
      <w:r>
        <w:rPr>
          <w:color w:val="231F20"/>
        </w:rPr>
        <w:t>le</w:t>
      </w:r>
      <w:r>
        <w:rPr>
          <w:color w:val="231F20"/>
          <w:spacing w:val="-10"/>
        </w:rPr>
        <w:t> </w:t>
      </w:r>
      <w:r>
        <w:rPr>
          <w:color w:val="231F20"/>
        </w:rPr>
        <w:t>Président</w:t>
      </w:r>
      <w:r>
        <w:rPr>
          <w:color w:val="231F20"/>
          <w:spacing w:val="-9"/>
        </w:rPr>
        <w:t> </w:t>
      </w:r>
      <w:r>
        <w:rPr>
          <w:color w:val="231F20"/>
        </w:rPr>
        <w:t>de</w:t>
      </w:r>
      <w:r>
        <w:rPr>
          <w:color w:val="231F20"/>
          <w:spacing w:val="-10"/>
        </w:rPr>
        <w:t> </w:t>
      </w:r>
      <w:r>
        <w:rPr>
          <w:color w:val="231F20"/>
        </w:rPr>
        <w:t>l’Assemblée</w:t>
      </w:r>
      <w:r>
        <w:rPr>
          <w:color w:val="231F20"/>
          <w:spacing w:val="-11"/>
        </w:rPr>
        <w:t> </w:t>
      </w:r>
      <w:r>
        <w:rPr>
          <w:color w:val="231F20"/>
        </w:rPr>
        <w:t>Nationale</w:t>
      </w:r>
      <w:r>
        <w:rPr>
          <w:color w:val="231F20"/>
          <w:spacing w:val="-15"/>
        </w:rPr>
        <w:t> </w:t>
      </w:r>
      <w:r>
        <w:rPr>
          <w:color w:val="231F20"/>
        </w:rPr>
        <w:t>ivoirienne, accusant</w:t>
      </w:r>
      <w:r>
        <w:rPr>
          <w:color w:val="231F20"/>
          <w:spacing w:val="-12"/>
        </w:rPr>
        <w:t> </w:t>
      </w:r>
      <w:r>
        <w:rPr>
          <w:color w:val="231F20"/>
        </w:rPr>
        <w:t>Pierre</w:t>
      </w:r>
      <w:r>
        <w:rPr>
          <w:color w:val="231F20"/>
          <w:spacing w:val="-11"/>
        </w:rPr>
        <w:t> </w:t>
      </w:r>
      <w:r>
        <w:rPr>
          <w:color w:val="231F20"/>
        </w:rPr>
        <w:t>Mazeaud,</w:t>
      </w:r>
      <w:r>
        <w:rPr>
          <w:color w:val="231F20"/>
          <w:spacing w:val="-13"/>
        </w:rPr>
        <w:t> </w:t>
      </w:r>
      <w:r>
        <w:rPr>
          <w:color w:val="231F20"/>
        </w:rPr>
        <w:t>le</w:t>
      </w:r>
      <w:r>
        <w:rPr>
          <w:color w:val="231F20"/>
          <w:spacing w:val="-12"/>
        </w:rPr>
        <w:t> </w:t>
      </w:r>
      <w:r>
        <w:rPr>
          <w:color w:val="231F20"/>
        </w:rPr>
        <w:t>coordonnateur</w:t>
      </w:r>
      <w:r>
        <w:rPr>
          <w:color w:val="231F20"/>
          <w:spacing w:val="-12"/>
        </w:rPr>
        <w:t> </w:t>
      </w:r>
      <w:r>
        <w:rPr>
          <w:color w:val="231F20"/>
        </w:rPr>
        <w:t>de</w:t>
      </w:r>
      <w:r>
        <w:rPr>
          <w:color w:val="231F20"/>
          <w:spacing w:val="-12"/>
        </w:rPr>
        <w:t> </w:t>
      </w:r>
      <w:r>
        <w:rPr>
          <w:color w:val="231F20"/>
        </w:rPr>
        <w:t>la</w:t>
      </w:r>
      <w:r>
        <w:rPr>
          <w:color w:val="231F20"/>
          <w:spacing w:val="-12"/>
        </w:rPr>
        <w:t> </w:t>
      </w:r>
      <w:r>
        <w:rPr>
          <w:color w:val="231F20"/>
        </w:rPr>
        <w:t>table-ronde,</w:t>
      </w:r>
      <w:r>
        <w:rPr>
          <w:color w:val="231F20"/>
          <w:spacing w:val="-12"/>
        </w:rPr>
        <w:t> </w:t>
      </w:r>
      <w:r>
        <w:rPr>
          <w:color w:val="231F20"/>
        </w:rPr>
        <w:t>de</w:t>
      </w:r>
      <w:r>
        <w:rPr>
          <w:color w:val="231F20"/>
          <w:spacing w:val="-13"/>
        </w:rPr>
        <w:t> </w:t>
      </w:r>
      <w:r>
        <w:rPr>
          <w:color w:val="231F20"/>
        </w:rPr>
        <w:t>faire</w:t>
      </w:r>
      <w:r>
        <w:rPr>
          <w:color w:val="231F20"/>
          <w:spacing w:val="-12"/>
        </w:rPr>
        <w:t> </w:t>
      </w:r>
      <w:r>
        <w:rPr>
          <w:color w:val="231F20"/>
        </w:rPr>
        <w:t>la part</w:t>
      </w:r>
      <w:r>
        <w:rPr>
          <w:color w:val="231F20"/>
          <w:spacing w:val="-11"/>
        </w:rPr>
        <w:t> </w:t>
      </w:r>
      <w:r>
        <w:rPr>
          <w:color w:val="231F20"/>
        </w:rPr>
        <w:t>trop</w:t>
      </w:r>
      <w:r>
        <w:rPr>
          <w:color w:val="231F20"/>
          <w:spacing w:val="-14"/>
        </w:rPr>
        <w:t> </w:t>
      </w:r>
      <w:r>
        <w:rPr>
          <w:color w:val="231F20"/>
        </w:rPr>
        <w:t>belle</w:t>
      </w:r>
      <w:r>
        <w:rPr>
          <w:color w:val="231F20"/>
          <w:spacing w:val="-12"/>
        </w:rPr>
        <w:t> </w:t>
      </w:r>
      <w:r>
        <w:rPr>
          <w:color w:val="231F20"/>
        </w:rPr>
        <w:t>aux</w:t>
      </w:r>
      <w:r>
        <w:rPr>
          <w:color w:val="231F20"/>
          <w:spacing w:val="-11"/>
        </w:rPr>
        <w:t> </w:t>
      </w:r>
      <w:r>
        <w:rPr>
          <w:color w:val="231F20"/>
        </w:rPr>
        <w:t>rebelles</w:t>
      </w:r>
      <w:r>
        <w:rPr>
          <w:color w:val="231F20"/>
          <w:spacing w:val="-12"/>
        </w:rPr>
        <w:t> </w:t>
      </w:r>
      <w:r>
        <w:rPr>
          <w:color w:val="231F20"/>
        </w:rPr>
        <w:t>en</w:t>
      </w:r>
      <w:r>
        <w:rPr>
          <w:color w:val="231F20"/>
          <w:spacing w:val="-12"/>
        </w:rPr>
        <w:t> </w:t>
      </w:r>
      <w:r>
        <w:rPr>
          <w:color w:val="231F20"/>
        </w:rPr>
        <w:t>leur</w:t>
      </w:r>
      <w:r>
        <w:rPr>
          <w:color w:val="231F20"/>
          <w:spacing w:val="-12"/>
        </w:rPr>
        <w:t> </w:t>
      </w:r>
      <w:r>
        <w:rPr>
          <w:color w:val="231F20"/>
        </w:rPr>
        <w:t>concédant</w:t>
      </w:r>
      <w:r>
        <w:rPr>
          <w:color w:val="231F20"/>
          <w:spacing w:val="-11"/>
        </w:rPr>
        <w:t> </w:t>
      </w:r>
      <w:r>
        <w:rPr>
          <w:color w:val="231F20"/>
        </w:rPr>
        <w:t>ce</w:t>
      </w:r>
      <w:r>
        <w:rPr>
          <w:color w:val="231F20"/>
          <w:spacing w:val="-12"/>
        </w:rPr>
        <w:t> </w:t>
      </w:r>
      <w:r>
        <w:rPr>
          <w:color w:val="231F20"/>
        </w:rPr>
        <w:t>qu’ils</w:t>
      </w:r>
      <w:r>
        <w:rPr>
          <w:color w:val="231F20"/>
          <w:spacing w:val="-11"/>
        </w:rPr>
        <w:t> </w:t>
      </w:r>
      <w:r>
        <w:rPr>
          <w:color w:val="231F20"/>
        </w:rPr>
        <w:t>n’ont</w:t>
      </w:r>
      <w:r>
        <w:rPr>
          <w:color w:val="231F20"/>
          <w:spacing w:val="-12"/>
        </w:rPr>
        <w:t> </w:t>
      </w:r>
      <w:r>
        <w:rPr>
          <w:color w:val="231F20"/>
        </w:rPr>
        <w:t>pas</w:t>
      </w:r>
      <w:r>
        <w:rPr>
          <w:color w:val="231F20"/>
          <w:spacing w:val="-12"/>
        </w:rPr>
        <w:t> </w:t>
      </w:r>
      <w:r>
        <w:rPr>
          <w:color w:val="231F20"/>
        </w:rPr>
        <w:t>réussi</w:t>
      </w:r>
      <w:r>
        <w:rPr>
          <w:color w:val="231F20"/>
          <w:spacing w:val="-11"/>
        </w:rPr>
        <w:t> </w:t>
      </w:r>
      <w:r>
        <w:rPr>
          <w:color w:val="231F20"/>
        </w:rPr>
        <w:t>à obtenir par les armes, le rendant ainsi complice d’un coup d’État constitutionnel, avait claqué la porte, quitté la table ronde et regagné Abidjan. Or, l’incident était de taille quand on considère que seule l’Assemblée</w:t>
      </w:r>
      <w:r>
        <w:rPr>
          <w:color w:val="231F20"/>
          <w:spacing w:val="-15"/>
        </w:rPr>
        <w:t> </w:t>
      </w:r>
      <w:r>
        <w:rPr>
          <w:color w:val="231F20"/>
        </w:rPr>
        <w:t>Nationale</w:t>
      </w:r>
      <w:r>
        <w:rPr>
          <w:color w:val="231F20"/>
          <w:spacing w:val="-15"/>
        </w:rPr>
        <w:t> </w:t>
      </w:r>
      <w:r>
        <w:rPr>
          <w:color w:val="231F20"/>
        </w:rPr>
        <w:t>a</w:t>
      </w:r>
      <w:r>
        <w:rPr>
          <w:color w:val="231F20"/>
          <w:spacing w:val="-15"/>
        </w:rPr>
        <w:t> </w:t>
      </w:r>
      <w:r>
        <w:rPr>
          <w:color w:val="231F20"/>
        </w:rPr>
        <w:t>compétence</w:t>
      </w:r>
      <w:r>
        <w:rPr>
          <w:color w:val="231F20"/>
          <w:spacing w:val="-15"/>
        </w:rPr>
        <w:t> </w:t>
      </w:r>
      <w:r>
        <w:rPr>
          <w:color w:val="231F20"/>
        </w:rPr>
        <w:t>pour</w:t>
      </w:r>
      <w:r>
        <w:rPr>
          <w:color w:val="231F20"/>
          <w:spacing w:val="-15"/>
        </w:rPr>
        <w:t> </w:t>
      </w:r>
      <w:r>
        <w:rPr>
          <w:color w:val="231F20"/>
        </w:rPr>
        <w:t>mettre</w:t>
      </w:r>
      <w:r>
        <w:rPr>
          <w:color w:val="231F20"/>
          <w:spacing w:val="-15"/>
        </w:rPr>
        <w:t> </w:t>
      </w:r>
      <w:r>
        <w:rPr>
          <w:color w:val="231F20"/>
        </w:rPr>
        <w:t>en</w:t>
      </w:r>
      <w:r>
        <w:rPr>
          <w:color w:val="231F20"/>
          <w:spacing w:val="-15"/>
        </w:rPr>
        <w:t> </w:t>
      </w:r>
      <w:r>
        <w:rPr>
          <w:color w:val="231F20"/>
        </w:rPr>
        <w:t>œuvre</w:t>
      </w:r>
      <w:r>
        <w:rPr>
          <w:color w:val="231F20"/>
          <w:spacing w:val="-15"/>
        </w:rPr>
        <w:t> </w:t>
      </w:r>
      <w:r>
        <w:rPr>
          <w:color w:val="231F20"/>
        </w:rPr>
        <w:t>les</w:t>
      </w:r>
      <w:r>
        <w:rPr>
          <w:color w:val="231F20"/>
          <w:spacing w:val="-15"/>
        </w:rPr>
        <w:t> </w:t>
      </w:r>
      <w:r>
        <w:rPr>
          <w:color w:val="231F20"/>
        </w:rPr>
        <w:t>réformes législatives ou constitutionnelles prévues par les accords</w:t>
      </w:r>
      <w:r>
        <w:rPr>
          <w:color w:val="231F20"/>
          <w:spacing w:val="-15"/>
        </w:rPr>
        <w:t> </w:t>
      </w:r>
      <w:r>
        <w:rPr>
          <w:i/>
          <w:color w:val="231F20"/>
        </w:rPr>
        <w:t>:«</w:t>
      </w:r>
      <w:r>
        <w:rPr>
          <w:i/>
          <w:color w:val="231F20"/>
          <w:spacing w:val="-15"/>
        </w:rPr>
        <w:t> </w:t>
      </w:r>
      <w:r>
        <w:rPr>
          <w:i/>
          <w:color w:val="231F20"/>
        </w:rPr>
        <w:t>les partis</w:t>
      </w:r>
      <w:r>
        <w:rPr>
          <w:i/>
          <w:color w:val="231F20"/>
        </w:rPr>
        <w:t> politiques</w:t>
      </w:r>
      <w:r>
        <w:rPr>
          <w:i/>
          <w:color w:val="231F20"/>
          <w:spacing w:val="-7"/>
        </w:rPr>
        <w:t> </w:t>
      </w:r>
      <w:r>
        <w:rPr>
          <w:i/>
          <w:color w:val="231F20"/>
        </w:rPr>
        <w:t>représentés</w:t>
      </w:r>
      <w:r>
        <w:rPr>
          <w:i/>
          <w:color w:val="231F20"/>
          <w:spacing w:val="-7"/>
        </w:rPr>
        <w:t> </w:t>
      </w:r>
      <w:r>
        <w:rPr>
          <w:i/>
          <w:color w:val="231F20"/>
        </w:rPr>
        <w:t>à</w:t>
      </w:r>
      <w:r>
        <w:rPr>
          <w:i/>
          <w:color w:val="231F20"/>
          <w:spacing w:val="-7"/>
        </w:rPr>
        <w:t> </w:t>
      </w:r>
      <w:r>
        <w:rPr>
          <w:i/>
          <w:color w:val="231F20"/>
        </w:rPr>
        <w:t>l’Assemblée</w:t>
      </w:r>
      <w:r>
        <w:rPr>
          <w:i/>
          <w:color w:val="231F20"/>
          <w:spacing w:val="-7"/>
        </w:rPr>
        <w:t> </w:t>
      </w:r>
      <w:r>
        <w:rPr>
          <w:i/>
          <w:color w:val="231F20"/>
        </w:rPr>
        <w:t>Nationale</w:t>
      </w:r>
      <w:r>
        <w:rPr>
          <w:i/>
          <w:color w:val="231F20"/>
          <w:spacing w:val="-7"/>
        </w:rPr>
        <w:t> </w:t>
      </w:r>
      <w:r>
        <w:rPr>
          <w:i/>
          <w:color w:val="231F20"/>
        </w:rPr>
        <w:t>et</w:t>
      </w:r>
      <w:r>
        <w:rPr>
          <w:i/>
          <w:color w:val="231F20"/>
          <w:spacing w:val="-8"/>
        </w:rPr>
        <w:t> </w:t>
      </w:r>
      <w:r>
        <w:rPr>
          <w:i/>
          <w:color w:val="231F20"/>
        </w:rPr>
        <w:t>qui</w:t>
      </w:r>
      <w:r>
        <w:rPr>
          <w:i/>
          <w:color w:val="231F20"/>
          <w:spacing w:val="-7"/>
        </w:rPr>
        <w:t> </w:t>
      </w:r>
      <w:r>
        <w:rPr>
          <w:i/>
          <w:color w:val="231F20"/>
        </w:rPr>
        <w:t>ont</w:t>
      </w:r>
      <w:r>
        <w:rPr>
          <w:i/>
          <w:color w:val="231F20"/>
          <w:spacing w:val="-7"/>
        </w:rPr>
        <w:t> </w:t>
      </w:r>
      <w:r>
        <w:rPr>
          <w:i/>
          <w:color w:val="231F20"/>
        </w:rPr>
        <w:t>participé</w:t>
      </w:r>
      <w:r>
        <w:rPr>
          <w:i/>
          <w:color w:val="231F20"/>
          <w:spacing w:val="-7"/>
        </w:rPr>
        <w:t> </w:t>
      </w:r>
      <w:r>
        <w:rPr>
          <w:i/>
          <w:color w:val="231F20"/>
        </w:rPr>
        <w:t>à</w:t>
      </w:r>
      <w:r>
        <w:rPr>
          <w:i/>
          <w:color w:val="231F20"/>
          <w:spacing w:val="-7"/>
        </w:rPr>
        <w:t> </w:t>
      </w:r>
      <w:r>
        <w:rPr>
          <w:i/>
          <w:color w:val="231F20"/>
        </w:rPr>
        <w:t>la </w:t>
      </w:r>
      <w:r>
        <w:rPr>
          <w:i/>
          <w:color w:val="231F20"/>
          <w:spacing w:val="-2"/>
        </w:rPr>
        <w:t>Table</w:t>
      </w:r>
      <w:r>
        <w:rPr>
          <w:i/>
          <w:color w:val="231F20"/>
          <w:spacing w:val="-15"/>
        </w:rPr>
        <w:t> </w:t>
      </w:r>
      <w:r>
        <w:rPr>
          <w:i/>
          <w:color w:val="231F20"/>
          <w:spacing w:val="-2"/>
        </w:rPr>
        <w:t>Ronde,</w:t>
      </w:r>
      <w:r>
        <w:rPr>
          <w:i/>
          <w:color w:val="231F20"/>
          <w:spacing w:val="-13"/>
        </w:rPr>
        <w:t> </w:t>
      </w:r>
      <w:r>
        <w:rPr>
          <w:i/>
          <w:color w:val="231F20"/>
          <w:spacing w:val="-2"/>
        </w:rPr>
        <w:t>s’engagent</w:t>
      </w:r>
      <w:r>
        <w:rPr>
          <w:i/>
          <w:color w:val="231F20"/>
          <w:spacing w:val="-13"/>
        </w:rPr>
        <w:t> </w:t>
      </w:r>
      <w:r>
        <w:rPr>
          <w:i/>
          <w:color w:val="231F20"/>
          <w:spacing w:val="-2"/>
        </w:rPr>
        <w:t>à</w:t>
      </w:r>
      <w:r>
        <w:rPr>
          <w:i/>
          <w:color w:val="231F20"/>
          <w:spacing w:val="-13"/>
        </w:rPr>
        <w:t> </w:t>
      </w:r>
      <w:r>
        <w:rPr>
          <w:i/>
          <w:color w:val="231F20"/>
          <w:spacing w:val="-2"/>
        </w:rPr>
        <w:t>garantir</w:t>
      </w:r>
      <w:r>
        <w:rPr>
          <w:i/>
          <w:color w:val="231F20"/>
          <w:spacing w:val="-13"/>
        </w:rPr>
        <w:t> </w:t>
      </w:r>
      <w:r>
        <w:rPr>
          <w:i/>
          <w:color w:val="231F20"/>
          <w:spacing w:val="-2"/>
        </w:rPr>
        <w:t>le</w:t>
      </w:r>
      <w:r>
        <w:rPr>
          <w:i/>
          <w:color w:val="231F20"/>
          <w:spacing w:val="-13"/>
        </w:rPr>
        <w:t> </w:t>
      </w:r>
      <w:r>
        <w:rPr>
          <w:i/>
          <w:color w:val="231F20"/>
          <w:spacing w:val="-2"/>
        </w:rPr>
        <w:t>soutien</w:t>
      </w:r>
      <w:r>
        <w:rPr>
          <w:i/>
          <w:color w:val="231F20"/>
          <w:spacing w:val="-13"/>
        </w:rPr>
        <w:t> </w:t>
      </w:r>
      <w:r>
        <w:rPr>
          <w:i/>
          <w:color w:val="231F20"/>
          <w:spacing w:val="-2"/>
        </w:rPr>
        <w:t>de</w:t>
      </w:r>
      <w:r>
        <w:rPr>
          <w:i/>
          <w:color w:val="231F20"/>
          <w:spacing w:val="-13"/>
        </w:rPr>
        <w:t> </w:t>
      </w:r>
      <w:r>
        <w:rPr>
          <w:i/>
          <w:color w:val="231F20"/>
          <w:spacing w:val="-2"/>
        </w:rPr>
        <w:t>leur</w:t>
      </w:r>
      <w:r>
        <w:rPr>
          <w:i/>
          <w:color w:val="231F20"/>
          <w:spacing w:val="-13"/>
        </w:rPr>
        <w:t> </w:t>
      </w:r>
      <w:r>
        <w:rPr>
          <w:i/>
          <w:color w:val="231F20"/>
          <w:spacing w:val="-2"/>
        </w:rPr>
        <w:t>député</w:t>
      </w:r>
      <w:r>
        <w:rPr>
          <w:i/>
          <w:color w:val="231F20"/>
          <w:spacing w:val="-13"/>
        </w:rPr>
        <w:t> </w:t>
      </w:r>
      <w:r>
        <w:rPr>
          <w:i/>
          <w:color w:val="231F20"/>
          <w:spacing w:val="-2"/>
        </w:rPr>
        <w:t>à</w:t>
      </w:r>
      <w:r>
        <w:rPr>
          <w:i/>
          <w:color w:val="231F20"/>
          <w:spacing w:val="-13"/>
        </w:rPr>
        <w:t> </w:t>
      </w:r>
      <w:r>
        <w:rPr>
          <w:i/>
          <w:color w:val="231F20"/>
          <w:spacing w:val="-2"/>
        </w:rPr>
        <w:t>la</w:t>
      </w:r>
      <w:r>
        <w:rPr>
          <w:i/>
          <w:color w:val="231F20"/>
          <w:spacing w:val="-13"/>
        </w:rPr>
        <w:t> </w:t>
      </w:r>
      <w:r>
        <w:rPr>
          <w:i/>
          <w:color w:val="231F20"/>
          <w:spacing w:val="-2"/>
        </w:rPr>
        <w:t>mise</w:t>
      </w:r>
      <w:r>
        <w:rPr>
          <w:i/>
          <w:color w:val="231F20"/>
          <w:spacing w:val="-13"/>
        </w:rPr>
        <w:t> </w:t>
      </w:r>
      <w:r>
        <w:rPr>
          <w:i/>
          <w:color w:val="231F20"/>
          <w:spacing w:val="-2"/>
        </w:rPr>
        <w:t>en </w:t>
      </w:r>
      <w:r>
        <w:rPr>
          <w:i/>
          <w:color w:val="231F20"/>
        </w:rPr>
        <w:t>œuvre du programme gouvernemental. »</w:t>
      </w:r>
    </w:p>
    <w:p>
      <w:pPr>
        <w:pStyle w:val="BodyText"/>
        <w:ind w:left="0"/>
        <w:jc w:val="left"/>
        <w:rPr>
          <w:i/>
          <w:sz w:val="20"/>
        </w:rPr>
      </w:pPr>
    </w:p>
    <w:p>
      <w:pPr>
        <w:pStyle w:val="BodyText"/>
        <w:spacing w:before="127"/>
        <w:ind w:left="0"/>
        <w:jc w:val="left"/>
        <w:rPr>
          <w:i/>
          <w:sz w:val="20"/>
        </w:rPr>
      </w:pPr>
      <w:r>
        <w:rPr/>
        <mc:AlternateContent>
          <mc:Choice Requires="wps">
            <w:drawing>
              <wp:anchor distT="0" distB="0" distL="0" distR="0" allowOverlap="1" layoutInCell="1" locked="0" behindDoc="1" simplePos="0" relativeHeight="487646208">
                <wp:simplePos x="0" y="0"/>
                <wp:positionH relativeFrom="page">
                  <wp:posOffset>629907</wp:posOffset>
                </wp:positionH>
                <wp:positionV relativeFrom="paragraph">
                  <wp:posOffset>242155</wp:posOffset>
                </wp:positionV>
                <wp:extent cx="1829435" cy="9525"/>
                <wp:effectExtent l="0" t="0" r="0" b="0"/>
                <wp:wrapTopAndBottom/>
                <wp:docPr id="143" name="Graphic 143"/>
                <wp:cNvGraphicFramePr>
                  <a:graphicFrameLocks/>
                </wp:cNvGraphicFramePr>
                <a:graphic>
                  <a:graphicData uri="http://schemas.microsoft.com/office/word/2010/wordprocessingShape">
                    <wps:wsp>
                      <wps:cNvPr id="143" name="Graphic 14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067383pt;width:144.020pt;height:.72pt;mso-position-horizontal-relative:page;mso-position-vertical-relative:paragraph;z-index:-15670272;mso-wrap-distance-left:0;mso-wrap-distance-right:0" id="docshape141" filled="true" fillcolor="#231f20" stroked="false">
                <v:fill type="solid"/>
                <w10:wrap type="topAndBottom"/>
              </v:rect>
            </w:pict>
          </mc:Fallback>
        </mc:AlternateContent>
      </w:r>
    </w:p>
    <w:p>
      <w:pPr>
        <w:spacing w:before="90"/>
        <w:ind w:left="111" w:right="0" w:firstLine="0"/>
        <w:jc w:val="left"/>
        <w:rPr>
          <w:sz w:val="13"/>
        </w:rPr>
      </w:pPr>
      <w:r>
        <w:rPr>
          <w:color w:val="76787A"/>
          <w:spacing w:val="-5"/>
          <w:sz w:val="13"/>
        </w:rPr>
        <w:t>183</w:t>
      </w:r>
    </w:p>
    <w:p>
      <w:pPr>
        <w:spacing w:before="80"/>
        <w:ind w:left="111" w:right="0" w:firstLine="0"/>
        <w:jc w:val="left"/>
        <w:rPr>
          <w:sz w:val="13"/>
        </w:rPr>
      </w:pPr>
      <w:r>
        <w:rPr>
          <w:color w:val="76787A"/>
          <w:spacing w:val="-5"/>
          <w:sz w:val="13"/>
        </w:rPr>
        <w:t>184</w:t>
      </w:r>
    </w:p>
    <w:p>
      <w:pPr>
        <w:spacing w:after="0"/>
        <w:jc w:val="left"/>
        <w:rPr>
          <w:sz w:val="13"/>
        </w:rPr>
        <w:sectPr>
          <w:pgSz w:w="8790" w:h="13610"/>
          <w:pgMar w:header="0" w:footer="802" w:top="1060" w:bottom="1000" w:left="880" w:right="880"/>
        </w:sectPr>
      </w:pPr>
    </w:p>
    <w:p>
      <w:pPr>
        <w:pStyle w:val="BodyText"/>
        <w:spacing w:before="66"/>
        <w:ind w:right="104" w:firstLine="283"/>
      </w:pPr>
      <w:r>
        <w:rPr>
          <w:color w:val="231F20"/>
        </w:rPr>
        <w:t>L’accord</w:t>
      </w:r>
      <w:r>
        <w:rPr>
          <w:color w:val="231F20"/>
          <w:spacing w:val="-1"/>
        </w:rPr>
        <w:t> </w:t>
      </w:r>
      <w:r>
        <w:rPr>
          <w:color w:val="231F20"/>
        </w:rPr>
        <w:t>assigne</w:t>
      </w:r>
      <w:r>
        <w:rPr>
          <w:color w:val="231F20"/>
          <w:spacing w:val="-1"/>
        </w:rPr>
        <w:t> </w:t>
      </w:r>
      <w:r>
        <w:rPr>
          <w:color w:val="231F20"/>
        </w:rPr>
        <w:t>aux</w:t>
      </w:r>
      <w:r>
        <w:rPr>
          <w:color w:val="231F20"/>
          <w:spacing w:val="-2"/>
        </w:rPr>
        <w:t> </w:t>
      </w:r>
      <w:r>
        <w:rPr>
          <w:color w:val="231F20"/>
        </w:rPr>
        <w:t>pouvoirs</w:t>
      </w:r>
      <w:r>
        <w:rPr>
          <w:color w:val="231F20"/>
          <w:spacing w:val="-2"/>
        </w:rPr>
        <w:t> </w:t>
      </w:r>
      <w:r>
        <w:rPr>
          <w:color w:val="231F20"/>
        </w:rPr>
        <w:t>publics</w:t>
      </w:r>
      <w:r>
        <w:rPr>
          <w:color w:val="231F20"/>
          <w:spacing w:val="-2"/>
        </w:rPr>
        <w:t> </w:t>
      </w:r>
      <w:r>
        <w:rPr>
          <w:color w:val="231F20"/>
        </w:rPr>
        <w:t>ivoiriens</w:t>
      </w:r>
      <w:r>
        <w:rPr>
          <w:color w:val="231F20"/>
          <w:spacing w:val="-1"/>
        </w:rPr>
        <w:t> </w:t>
      </w:r>
      <w:r>
        <w:rPr>
          <w:color w:val="231F20"/>
        </w:rPr>
        <w:t>de</w:t>
      </w:r>
      <w:r>
        <w:rPr>
          <w:color w:val="231F20"/>
          <w:spacing w:val="-1"/>
        </w:rPr>
        <w:t> </w:t>
      </w:r>
      <w:r>
        <w:rPr>
          <w:color w:val="231F20"/>
        </w:rPr>
        <w:t>mettre</w:t>
      </w:r>
      <w:r>
        <w:rPr>
          <w:color w:val="231F20"/>
          <w:spacing w:val="-1"/>
        </w:rPr>
        <w:t> </w:t>
      </w:r>
      <w:r>
        <w:rPr>
          <w:color w:val="231F20"/>
        </w:rPr>
        <w:t>en</w:t>
      </w:r>
      <w:r>
        <w:rPr>
          <w:color w:val="231F20"/>
          <w:spacing w:val="-2"/>
        </w:rPr>
        <w:t> </w:t>
      </w:r>
      <w:r>
        <w:rPr>
          <w:color w:val="231F20"/>
        </w:rPr>
        <w:t>œuvre dans </w:t>
      </w:r>
      <w:r>
        <w:rPr>
          <w:i/>
          <w:color w:val="231F20"/>
        </w:rPr>
        <w:t>«</w:t>
      </w:r>
      <w:r>
        <w:rPr>
          <w:i/>
          <w:color w:val="231F20"/>
          <w:spacing w:val="-14"/>
        </w:rPr>
        <w:t> </w:t>
      </w:r>
      <w:r>
        <w:rPr>
          <w:i/>
          <w:color w:val="231F20"/>
        </w:rPr>
        <w:t>les meilleurs délais</w:t>
      </w:r>
      <w:r>
        <w:rPr>
          <w:i/>
          <w:color w:val="231F20"/>
          <w:spacing w:val="-14"/>
        </w:rPr>
        <w:t> </w:t>
      </w:r>
      <w:r>
        <w:rPr>
          <w:i/>
          <w:color w:val="231F20"/>
        </w:rPr>
        <w:t>»</w:t>
      </w:r>
      <w:r>
        <w:rPr>
          <w:i/>
          <w:color w:val="231F20"/>
          <w:spacing w:val="-14"/>
        </w:rPr>
        <w:t> </w:t>
      </w:r>
      <w:r>
        <w:rPr>
          <w:color w:val="231F20"/>
        </w:rPr>
        <w:t>un certain nombre de réformes</w:t>
      </w:r>
      <w:r>
        <w:rPr>
          <w:color w:val="231F20"/>
          <w:spacing w:val="-15"/>
        </w:rPr>
        <w:t> </w:t>
      </w:r>
      <w:r>
        <w:rPr>
          <w:color w:val="231F20"/>
        </w:rPr>
        <w:t>dont : une révision de la</w:t>
      </w:r>
      <w:r>
        <w:rPr>
          <w:color w:val="231F20"/>
          <w:spacing w:val="-15"/>
        </w:rPr>
        <w:t> </w:t>
      </w:r>
      <w:r>
        <w:rPr>
          <w:color w:val="231F20"/>
        </w:rPr>
        <w:t>Constitution, notamment les critères d’éligibilité du président,</w:t>
      </w:r>
      <w:r>
        <w:rPr>
          <w:color w:val="231F20"/>
          <w:spacing w:val="-15"/>
        </w:rPr>
        <w:t> </w:t>
      </w:r>
      <w:r>
        <w:rPr>
          <w:color w:val="231F20"/>
        </w:rPr>
        <w:t>une révision des critères d’admission à la citoyenneté, une restructuration des forces armées, le maintien au pouvoir de</w:t>
      </w:r>
      <w:r>
        <w:rPr>
          <w:color w:val="231F20"/>
          <w:spacing w:val="-15"/>
        </w:rPr>
        <w:t> </w:t>
      </w:r>
      <w:r>
        <w:rPr>
          <w:color w:val="231F20"/>
        </w:rPr>
        <w:t>Laurent Gbagbo,</w:t>
      </w:r>
      <w:r>
        <w:rPr>
          <w:color w:val="231F20"/>
          <w:spacing w:val="-7"/>
        </w:rPr>
        <w:t> </w:t>
      </w:r>
      <w:r>
        <w:rPr>
          <w:color w:val="231F20"/>
        </w:rPr>
        <w:t>un</w:t>
      </w:r>
      <w:r>
        <w:rPr>
          <w:color w:val="231F20"/>
          <w:spacing w:val="-7"/>
        </w:rPr>
        <w:t> </w:t>
      </w:r>
      <w:r>
        <w:rPr>
          <w:color w:val="231F20"/>
        </w:rPr>
        <w:t>Premier</w:t>
      </w:r>
      <w:r>
        <w:rPr>
          <w:color w:val="231F20"/>
          <w:spacing w:val="-8"/>
        </w:rPr>
        <w:t> </w:t>
      </w:r>
      <w:r>
        <w:rPr>
          <w:color w:val="231F20"/>
        </w:rPr>
        <w:t>ministre</w:t>
      </w:r>
      <w:r>
        <w:rPr>
          <w:color w:val="231F20"/>
          <w:spacing w:val="-7"/>
        </w:rPr>
        <w:t> </w:t>
      </w:r>
      <w:r>
        <w:rPr>
          <w:color w:val="231F20"/>
        </w:rPr>
        <w:t>nommé</w:t>
      </w:r>
      <w:r>
        <w:rPr>
          <w:color w:val="231F20"/>
          <w:spacing w:val="-8"/>
        </w:rPr>
        <w:t> </w:t>
      </w:r>
      <w:r>
        <w:rPr>
          <w:color w:val="231F20"/>
        </w:rPr>
        <w:t>de</w:t>
      </w:r>
      <w:r>
        <w:rPr>
          <w:color w:val="231F20"/>
          <w:spacing w:val="-8"/>
        </w:rPr>
        <w:t> </w:t>
      </w:r>
      <w:r>
        <w:rPr>
          <w:color w:val="231F20"/>
        </w:rPr>
        <w:t>manière</w:t>
      </w:r>
      <w:r>
        <w:rPr>
          <w:color w:val="231F20"/>
          <w:spacing w:val="-8"/>
        </w:rPr>
        <w:t> </w:t>
      </w:r>
      <w:r>
        <w:rPr>
          <w:color w:val="231F20"/>
        </w:rPr>
        <w:t>irrévocable</w:t>
      </w:r>
      <w:r>
        <w:rPr>
          <w:color w:val="231F20"/>
          <w:spacing w:val="-7"/>
        </w:rPr>
        <w:t> </w:t>
      </w:r>
      <w:r>
        <w:rPr>
          <w:color w:val="231F20"/>
        </w:rPr>
        <w:t>jusqu’aux prochaines élections, …</w:t>
      </w:r>
    </w:p>
    <w:p>
      <w:pPr>
        <w:pStyle w:val="BodyText"/>
        <w:spacing w:before="120"/>
        <w:ind w:right="103" w:firstLine="283"/>
      </w:pPr>
      <w:r>
        <w:rPr>
          <w:color w:val="231F20"/>
          <w:spacing w:val="-4"/>
        </w:rPr>
        <w:t>Trois</w:t>
      </w:r>
      <w:r>
        <w:rPr>
          <w:color w:val="231F20"/>
          <w:spacing w:val="-11"/>
        </w:rPr>
        <w:t> </w:t>
      </w:r>
      <w:r>
        <w:rPr>
          <w:color w:val="231F20"/>
          <w:spacing w:val="-4"/>
        </w:rPr>
        <w:t>séries</w:t>
      </w:r>
      <w:r>
        <w:rPr>
          <w:color w:val="231F20"/>
          <w:spacing w:val="-11"/>
        </w:rPr>
        <w:t> </w:t>
      </w:r>
      <w:r>
        <w:rPr>
          <w:color w:val="231F20"/>
          <w:spacing w:val="-4"/>
        </w:rPr>
        <w:t>de</w:t>
      </w:r>
      <w:r>
        <w:rPr>
          <w:color w:val="231F20"/>
          <w:spacing w:val="-11"/>
        </w:rPr>
        <w:t> </w:t>
      </w:r>
      <w:r>
        <w:rPr>
          <w:color w:val="231F20"/>
          <w:spacing w:val="-4"/>
        </w:rPr>
        <w:t>dispositions</w:t>
      </w:r>
      <w:r>
        <w:rPr>
          <w:color w:val="231F20"/>
          <w:spacing w:val="-11"/>
        </w:rPr>
        <w:t> </w:t>
      </w:r>
      <w:r>
        <w:rPr>
          <w:color w:val="231F20"/>
          <w:spacing w:val="-4"/>
        </w:rPr>
        <w:t>restreignent</w:t>
      </w:r>
      <w:r>
        <w:rPr>
          <w:color w:val="231F20"/>
          <w:spacing w:val="-11"/>
        </w:rPr>
        <w:t> </w:t>
      </w:r>
      <w:r>
        <w:rPr>
          <w:color w:val="231F20"/>
          <w:spacing w:val="-4"/>
        </w:rPr>
        <w:t>le</w:t>
      </w:r>
      <w:r>
        <w:rPr>
          <w:color w:val="231F20"/>
          <w:spacing w:val="-11"/>
        </w:rPr>
        <w:t> </w:t>
      </w:r>
      <w:r>
        <w:rPr>
          <w:color w:val="231F20"/>
          <w:spacing w:val="-4"/>
        </w:rPr>
        <w:t>rôle</w:t>
      </w:r>
      <w:r>
        <w:rPr>
          <w:color w:val="231F20"/>
          <w:spacing w:val="-11"/>
        </w:rPr>
        <w:t> </w:t>
      </w:r>
      <w:r>
        <w:rPr>
          <w:color w:val="231F20"/>
          <w:spacing w:val="-4"/>
        </w:rPr>
        <w:t>de</w:t>
      </w:r>
      <w:r>
        <w:rPr>
          <w:color w:val="231F20"/>
          <w:spacing w:val="-11"/>
        </w:rPr>
        <w:t> </w:t>
      </w:r>
      <w:r>
        <w:rPr>
          <w:color w:val="231F20"/>
          <w:spacing w:val="-4"/>
        </w:rPr>
        <w:t>chef</w:t>
      </w:r>
      <w:r>
        <w:rPr>
          <w:color w:val="231F20"/>
          <w:spacing w:val="-11"/>
        </w:rPr>
        <w:t> </w:t>
      </w:r>
      <w:r>
        <w:rPr>
          <w:color w:val="231F20"/>
          <w:spacing w:val="-4"/>
        </w:rPr>
        <w:t>de</w:t>
      </w:r>
      <w:r>
        <w:rPr>
          <w:color w:val="231F20"/>
          <w:spacing w:val="-11"/>
        </w:rPr>
        <w:t> </w:t>
      </w:r>
      <w:r>
        <w:rPr>
          <w:color w:val="231F20"/>
          <w:spacing w:val="-4"/>
        </w:rPr>
        <w:t>l’Etat</w:t>
      </w:r>
      <w:r>
        <w:rPr>
          <w:color w:val="231F20"/>
          <w:spacing w:val="-11"/>
        </w:rPr>
        <w:t> </w:t>
      </w:r>
      <w:r>
        <w:rPr>
          <w:color w:val="231F20"/>
          <w:spacing w:val="-4"/>
        </w:rPr>
        <w:t>:</w:t>
      </w:r>
      <w:r>
        <w:rPr>
          <w:color w:val="231F20"/>
          <w:spacing w:val="-11"/>
        </w:rPr>
        <w:t> </w:t>
      </w:r>
      <w:r>
        <w:rPr>
          <w:color w:val="231F20"/>
          <w:spacing w:val="-4"/>
        </w:rPr>
        <w:t>il</w:t>
      </w:r>
      <w:r>
        <w:rPr>
          <w:color w:val="231F20"/>
          <w:spacing w:val="-11"/>
        </w:rPr>
        <w:t> </w:t>
      </w:r>
      <w:r>
        <w:rPr>
          <w:color w:val="231F20"/>
          <w:spacing w:val="-4"/>
        </w:rPr>
        <w:t>perd </w:t>
      </w:r>
      <w:r>
        <w:rPr>
          <w:color w:val="231F20"/>
        </w:rPr>
        <w:t>d’abord sa liberté</w:t>
      </w:r>
      <w:r>
        <w:rPr>
          <w:color w:val="231F20"/>
          <w:spacing w:val="-2"/>
        </w:rPr>
        <w:t> </w:t>
      </w:r>
      <w:r>
        <w:rPr>
          <w:color w:val="231F20"/>
        </w:rPr>
        <w:t>de désigner le</w:t>
      </w:r>
      <w:r>
        <w:rPr>
          <w:color w:val="231F20"/>
          <w:spacing w:val="-2"/>
        </w:rPr>
        <w:t> </w:t>
      </w:r>
      <w:r>
        <w:rPr>
          <w:color w:val="231F20"/>
        </w:rPr>
        <w:t>Premier</w:t>
      </w:r>
      <w:r>
        <w:rPr>
          <w:color w:val="231F20"/>
          <w:spacing w:val="-1"/>
        </w:rPr>
        <w:t> </w:t>
      </w:r>
      <w:r>
        <w:rPr>
          <w:color w:val="231F20"/>
        </w:rPr>
        <w:t>ministre</w:t>
      </w:r>
      <w:r>
        <w:rPr>
          <w:color w:val="231F20"/>
          <w:spacing w:val="-2"/>
        </w:rPr>
        <w:t> </w:t>
      </w:r>
      <w:r>
        <w:rPr>
          <w:color w:val="231F20"/>
        </w:rPr>
        <w:t>et de</w:t>
      </w:r>
      <w:r>
        <w:rPr>
          <w:color w:val="231F20"/>
          <w:spacing w:val="-2"/>
        </w:rPr>
        <w:t> </w:t>
      </w:r>
      <w:r>
        <w:rPr>
          <w:color w:val="231F20"/>
        </w:rPr>
        <w:t>mettre fin</w:t>
      </w:r>
      <w:r>
        <w:rPr>
          <w:color w:val="231F20"/>
          <w:spacing w:val="-1"/>
        </w:rPr>
        <w:t> </w:t>
      </w:r>
      <w:r>
        <w:rPr>
          <w:color w:val="231F20"/>
        </w:rPr>
        <w:t>à</w:t>
      </w:r>
      <w:r>
        <w:rPr>
          <w:color w:val="231F20"/>
          <w:spacing w:val="-2"/>
        </w:rPr>
        <w:t> </w:t>
      </w:r>
      <w:r>
        <w:rPr>
          <w:color w:val="231F20"/>
        </w:rPr>
        <w:t>ses fonctions ; il lui est ensuite imposé l’obligation de procéder à une très large délégation des prérogatives de l’Exécutif au bénéfice du Premier ministre</w:t>
      </w:r>
      <w:r>
        <w:rPr>
          <w:color w:val="231F20"/>
          <w:spacing w:val="-15"/>
        </w:rPr>
        <w:t> </w:t>
      </w:r>
      <w:r>
        <w:rPr>
          <w:color w:val="231F20"/>
        </w:rPr>
        <w:t>: délégation de sa qualité de chef suprême des armées et du pouvoir</w:t>
      </w:r>
      <w:r>
        <w:rPr>
          <w:color w:val="231F20"/>
          <w:spacing w:val="-6"/>
        </w:rPr>
        <w:t> </w:t>
      </w:r>
      <w:r>
        <w:rPr>
          <w:color w:val="231F20"/>
        </w:rPr>
        <w:t>de</w:t>
      </w:r>
      <w:r>
        <w:rPr>
          <w:color w:val="231F20"/>
          <w:spacing w:val="-6"/>
        </w:rPr>
        <w:t> </w:t>
      </w:r>
      <w:r>
        <w:rPr>
          <w:color w:val="231F20"/>
        </w:rPr>
        <w:t>nommer</w:t>
      </w:r>
      <w:r>
        <w:rPr>
          <w:color w:val="231F20"/>
          <w:spacing w:val="-6"/>
        </w:rPr>
        <w:t> </w:t>
      </w:r>
      <w:r>
        <w:rPr>
          <w:color w:val="231F20"/>
        </w:rPr>
        <w:t>aux</w:t>
      </w:r>
      <w:r>
        <w:rPr>
          <w:color w:val="231F20"/>
          <w:spacing w:val="-9"/>
        </w:rPr>
        <w:t> </w:t>
      </w:r>
      <w:r>
        <w:rPr>
          <w:color w:val="231F20"/>
        </w:rPr>
        <w:t>emplois</w:t>
      </w:r>
      <w:r>
        <w:rPr>
          <w:color w:val="231F20"/>
          <w:spacing w:val="-6"/>
        </w:rPr>
        <w:t> </w:t>
      </w:r>
      <w:r>
        <w:rPr>
          <w:color w:val="231F20"/>
        </w:rPr>
        <w:t>militaires</w:t>
      </w:r>
      <w:r>
        <w:rPr>
          <w:color w:val="231F20"/>
          <w:spacing w:val="-6"/>
        </w:rPr>
        <w:t> </w:t>
      </w:r>
      <w:r>
        <w:rPr>
          <w:color w:val="231F20"/>
        </w:rPr>
        <w:t>qui</w:t>
      </w:r>
      <w:r>
        <w:rPr>
          <w:color w:val="231F20"/>
          <w:spacing w:val="-6"/>
        </w:rPr>
        <w:t> </w:t>
      </w:r>
      <w:r>
        <w:rPr>
          <w:color w:val="231F20"/>
        </w:rPr>
        <w:t>lui</w:t>
      </w:r>
      <w:r>
        <w:rPr>
          <w:color w:val="231F20"/>
          <w:spacing w:val="-8"/>
        </w:rPr>
        <w:t> </w:t>
      </w:r>
      <w:r>
        <w:rPr>
          <w:color w:val="231F20"/>
        </w:rPr>
        <w:t>sont</w:t>
      </w:r>
      <w:r>
        <w:rPr>
          <w:color w:val="231F20"/>
          <w:spacing w:val="-6"/>
        </w:rPr>
        <w:t> </w:t>
      </w:r>
      <w:r>
        <w:rPr>
          <w:color w:val="231F20"/>
        </w:rPr>
        <w:t>reconnus</w:t>
      </w:r>
      <w:r>
        <w:rPr>
          <w:color w:val="231F20"/>
          <w:spacing w:val="-6"/>
        </w:rPr>
        <w:t> </w:t>
      </w:r>
      <w:r>
        <w:rPr>
          <w:color w:val="231F20"/>
        </w:rPr>
        <w:t>par</w:t>
      </w:r>
      <w:r>
        <w:rPr>
          <w:color w:val="231F20"/>
          <w:spacing w:val="-9"/>
        </w:rPr>
        <w:t> </w:t>
      </w:r>
      <w:r>
        <w:rPr>
          <w:color w:val="231F20"/>
        </w:rPr>
        <w:t>les </w:t>
      </w:r>
      <w:r>
        <w:rPr>
          <w:color w:val="231F20"/>
          <w:spacing w:val="-2"/>
        </w:rPr>
        <w:t>articles</w:t>
      </w:r>
      <w:r>
        <w:rPr>
          <w:color w:val="231F20"/>
          <w:spacing w:val="-15"/>
        </w:rPr>
        <w:t> </w:t>
      </w:r>
      <w:r>
        <w:rPr>
          <w:color w:val="231F20"/>
          <w:spacing w:val="-2"/>
        </w:rPr>
        <w:t>46</w:t>
      </w:r>
      <w:r>
        <w:rPr>
          <w:color w:val="231F20"/>
          <w:spacing w:val="-13"/>
        </w:rPr>
        <w:t> </w:t>
      </w:r>
      <w:r>
        <w:rPr>
          <w:color w:val="231F20"/>
          <w:spacing w:val="-2"/>
        </w:rPr>
        <w:t>et</w:t>
      </w:r>
      <w:r>
        <w:rPr>
          <w:color w:val="231F20"/>
          <w:spacing w:val="-13"/>
        </w:rPr>
        <w:t> </w:t>
      </w:r>
      <w:r>
        <w:rPr>
          <w:color w:val="231F20"/>
          <w:spacing w:val="-2"/>
        </w:rPr>
        <w:t>47</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Constitution.</w:t>
      </w:r>
      <w:r>
        <w:rPr>
          <w:color w:val="231F20"/>
          <w:spacing w:val="-13"/>
        </w:rPr>
        <w:t> </w:t>
      </w:r>
      <w:r>
        <w:rPr>
          <w:color w:val="231F20"/>
          <w:spacing w:val="-2"/>
        </w:rPr>
        <w:t>Ce</w:t>
      </w:r>
      <w:r>
        <w:rPr>
          <w:color w:val="231F20"/>
          <w:spacing w:val="-13"/>
        </w:rPr>
        <w:t> </w:t>
      </w:r>
      <w:r>
        <w:rPr>
          <w:color w:val="231F20"/>
          <w:spacing w:val="-2"/>
        </w:rPr>
        <w:t>plan</w:t>
      </w:r>
      <w:r>
        <w:rPr>
          <w:color w:val="231F20"/>
          <w:spacing w:val="-13"/>
        </w:rPr>
        <w:t> </w:t>
      </w:r>
      <w:r>
        <w:rPr>
          <w:color w:val="231F20"/>
          <w:spacing w:val="-2"/>
        </w:rPr>
        <w:t>de</w:t>
      </w:r>
      <w:r>
        <w:rPr>
          <w:color w:val="231F20"/>
          <w:spacing w:val="-13"/>
        </w:rPr>
        <w:t> </w:t>
      </w:r>
      <w:r>
        <w:rPr>
          <w:color w:val="231F20"/>
          <w:spacing w:val="-2"/>
        </w:rPr>
        <w:t>sortie</w:t>
      </w:r>
      <w:r>
        <w:rPr>
          <w:color w:val="231F20"/>
          <w:spacing w:val="-13"/>
        </w:rPr>
        <w:t> </w:t>
      </w:r>
      <w:r>
        <w:rPr>
          <w:color w:val="231F20"/>
          <w:spacing w:val="-2"/>
        </w:rPr>
        <w:t>de</w:t>
      </w:r>
      <w:r>
        <w:rPr>
          <w:color w:val="231F20"/>
          <w:spacing w:val="-13"/>
        </w:rPr>
        <w:t> </w:t>
      </w:r>
      <w:r>
        <w:rPr>
          <w:color w:val="231F20"/>
          <w:spacing w:val="-2"/>
        </w:rPr>
        <w:t>crise</w:t>
      </w:r>
      <w:r>
        <w:rPr>
          <w:color w:val="231F20"/>
          <w:spacing w:val="-13"/>
        </w:rPr>
        <w:t> </w:t>
      </w:r>
      <w:r>
        <w:rPr>
          <w:color w:val="231F20"/>
          <w:spacing w:val="-2"/>
        </w:rPr>
        <w:t>prévoit</w:t>
      </w:r>
      <w:r>
        <w:rPr>
          <w:color w:val="231F20"/>
          <w:spacing w:val="-13"/>
        </w:rPr>
        <w:t> </w:t>
      </w:r>
      <w:r>
        <w:rPr>
          <w:color w:val="231F20"/>
          <w:spacing w:val="-2"/>
        </w:rPr>
        <w:t>aussi </w:t>
      </w:r>
      <w:r>
        <w:rPr>
          <w:color w:val="231F20"/>
        </w:rPr>
        <w:t>le cantonnement et le désarmement de toutes les Forces en présence y </w:t>
      </w:r>
      <w:r>
        <w:rPr>
          <w:color w:val="231F20"/>
          <w:spacing w:val="-4"/>
        </w:rPr>
        <w:t>compris</w:t>
      </w:r>
      <w:r>
        <w:rPr>
          <w:color w:val="231F20"/>
          <w:spacing w:val="-11"/>
        </w:rPr>
        <w:t> </w:t>
      </w:r>
      <w:r>
        <w:rPr>
          <w:color w:val="231F20"/>
          <w:spacing w:val="-4"/>
        </w:rPr>
        <w:t>les</w:t>
      </w:r>
      <w:r>
        <w:rPr>
          <w:color w:val="231F20"/>
          <w:spacing w:val="-9"/>
        </w:rPr>
        <w:t> </w:t>
      </w:r>
      <w:r>
        <w:rPr>
          <w:color w:val="231F20"/>
          <w:spacing w:val="-4"/>
        </w:rPr>
        <w:t>Forces</w:t>
      </w:r>
      <w:r>
        <w:rPr>
          <w:color w:val="231F20"/>
          <w:spacing w:val="-11"/>
        </w:rPr>
        <w:t> </w:t>
      </w:r>
      <w:r>
        <w:rPr>
          <w:color w:val="231F20"/>
          <w:spacing w:val="-4"/>
        </w:rPr>
        <w:t>Armées</w:t>
      </w:r>
      <w:r>
        <w:rPr>
          <w:color w:val="231F20"/>
          <w:spacing w:val="-9"/>
        </w:rPr>
        <w:t> </w:t>
      </w:r>
      <w:r>
        <w:rPr>
          <w:color w:val="231F20"/>
          <w:spacing w:val="-4"/>
        </w:rPr>
        <w:t>Nationales,</w:t>
      </w:r>
      <w:r>
        <w:rPr>
          <w:color w:val="231F20"/>
          <w:spacing w:val="-9"/>
        </w:rPr>
        <w:t> </w:t>
      </w:r>
      <w:r>
        <w:rPr>
          <w:color w:val="231F20"/>
          <w:spacing w:val="-4"/>
        </w:rPr>
        <w:t>afin</w:t>
      </w:r>
      <w:r>
        <w:rPr>
          <w:color w:val="231F20"/>
          <w:spacing w:val="-11"/>
        </w:rPr>
        <w:t> </w:t>
      </w:r>
      <w:r>
        <w:rPr>
          <w:color w:val="231F20"/>
          <w:spacing w:val="-4"/>
        </w:rPr>
        <w:t>de</w:t>
      </w:r>
      <w:r>
        <w:rPr>
          <w:color w:val="231F20"/>
          <w:spacing w:val="-9"/>
        </w:rPr>
        <w:t> </w:t>
      </w:r>
      <w:r>
        <w:rPr>
          <w:color w:val="231F20"/>
          <w:spacing w:val="-4"/>
        </w:rPr>
        <w:t>permettre</w:t>
      </w:r>
      <w:r>
        <w:rPr>
          <w:color w:val="231F20"/>
          <w:spacing w:val="-12"/>
        </w:rPr>
        <w:t> </w:t>
      </w:r>
      <w:r>
        <w:rPr>
          <w:color w:val="231F20"/>
          <w:spacing w:val="-4"/>
        </w:rPr>
        <w:t>la</w:t>
      </w:r>
      <w:r>
        <w:rPr>
          <w:color w:val="231F20"/>
          <w:spacing w:val="-10"/>
        </w:rPr>
        <w:t> </w:t>
      </w:r>
      <w:r>
        <w:rPr>
          <w:color w:val="231F20"/>
          <w:spacing w:val="-4"/>
        </w:rPr>
        <w:t>création</w:t>
      </w:r>
      <w:r>
        <w:rPr>
          <w:color w:val="231F20"/>
          <w:spacing w:val="-12"/>
        </w:rPr>
        <w:t> </w:t>
      </w:r>
      <w:r>
        <w:rPr>
          <w:color w:val="231F20"/>
          <w:spacing w:val="-4"/>
        </w:rPr>
        <w:t>d’une</w:t>
      </w:r>
    </w:p>
    <w:p>
      <w:pPr>
        <w:pStyle w:val="BodyText"/>
        <w:spacing w:before="1"/>
      </w:pPr>
      <w:r>
        <w:rPr>
          <w:color w:val="231F20"/>
          <w:spacing w:val="-2"/>
        </w:rPr>
        <w:t>«</w:t>
      </w:r>
      <w:r>
        <w:rPr>
          <w:color w:val="231F20"/>
          <w:spacing w:val="-11"/>
        </w:rPr>
        <w:t> </w:t>
      </w:r>
      <w:r>
        <w:rPr>
          <w:color w:val="231F20"/>
          <w:spacing w:val="-2"/>
        </w:rPr>
        <w:t>Armée</w:t>
      </w:r>
      <w:r>
        <w:rPr>
          <w:color w:val="231F20"/>
          <w:spacing w:val="-10"/>
        </w:rPr>
        <w:t> </w:t>
      </w:r>
      <w:r>
        <w:rPr>
          <w:color w:val="231F20"/>
          <w:spacing w:val="-2"/>
        </w:rPr>
        <w:t>Républicaine</w:t>
      </w:r>
      <w:r>
        <w:rPr>
          <w:color w:val="231F20"/>
          <w:spacing w:val="-13"/>
        </w:rPr>
        <w:t> </w:t>
      </w:r>
      <w:r>
        <w:rPr>
          <w:color w:val="231F20"/>
          <w:spacing w:val="-5"/>
        </w:rPr>
        <w:t>».</w:t>
      </w:r>
    </w:p>
    <w:p>
      <w:pPr>
        <w:pStyle w:val="BodyText"/>
        <w:spacing w:before="120"/>
        <w:ind w:right="102" w:firstLine="283"/>
      </w:pPr>
      <w:r>
        <w:rPr>
          <w:color w:val="231F20"/>
        </w:rPr>
        <w:t>À</w:t>
      </w:r>
      <w:r>
        <w:rPr>
          <w:color w:val="231F20"/>
          <w:spacing w:val="-15"/>
        </w:rPr>
        <w:t> </w:t>
      </w:r>
      <w:r>
        <w:rPr>
          <w:color w:val="231F20"/>
        </w:rPr>
        <w:t>Abidjan,</w:t>
      </w:r>
      <w:r>
        <w:rPr>
          <w:color w:val="231F20"/>
          <w:spacing w:val="-15"/>
        </w:rPr>
        <w:t> </w:t>
      </w:r>
      <w:r>
        <w:rPr>
          <w:color w:val="231F20"/>
        </w:rPr>
        <w:t>l’accord</w:t>
      </w:r>
      <w:r>
        <w:rPr>
          <w:color w:val="231F20"/>
          <w:spacing w:val="-15"/>
        </w:rPr>
        <w:t> </w:t>
      </w:r>
      <w:r>
        <w:rPr>
          <w:color w:val="231F20"/>
        </w:rPr>
        <w:t>de</w:t>
      </w:r>
      <w:r>
        <w:rPr>
          <w:color w:val="231F20"/>
          <w:spacing w:val="-15"/>
        </w:rPr>
        <w:t> </w:t>
      </w:r>
      <w:r>
        <w:rPr>
          <w:color w:val="231F20"/>
        </w:rPr>
        <w:t>Marcoussis</w:t>
      </w:r>
      <w:r>
        <w:rPr>
          <w:color w:val="231F20"/>
          <w:spacing w:val="-15"/>
        </w:rPr>
        <w:t> </w:t>
      </w:r>
      <w:r>
        <w:rPr>
          <w:color w:val="231F20"/>
        </w:rPr>
        <w:t>provoque</w:t>
      </w:r>
      <w:r>
        <w:rPr>
          <w:color w:val="231F20"/>
          <w:spacing w:val="-15"/>
        </w:rPr>
        <w:t> </w:t>
      </w:r>
      <w:r>
        <w:rPr>
          <w:color w:val="231F20"/>
        </w:rPr>
        <w:t>une</w:t>
      </w:r>
      <w:r>
        <w:rPr>
          <w:color w:val="231F20"/>
          <w:spacing w:val="-15"/>
        </w:rPr>
        <w:t> </w:t>
      </w:r>
      <w:r>
        <w:rPr>
          <w:color w:val="231F20"/>
        </w:rPr>
        <w:t>vague</w:t>
      </w:r>
      <w:r>
        <w:rPr>
          <w:color w:val="231F20"/>
          <w:spacing w:val="-15"/>
        </w:rPr>
        <w:t> </w:t>
      </w:r>
      <w:r>
        <w:rPr>
          <w:color w:val="231F20"/>
        </w:rPr>
        <w:t>de</w:t>
      </w:r>
      <w:r>
        <w:rPr>
          <w:color w:val="231F20"/>
          <w:spacing w:val="-15"/>
        </w:rPr>
        <w:t> </w:t>
      </w:r>
      <w:r>
        <w:rPr>
          <w:color w:val="231F20"/>
        </w:rPr>
        <w:t>colère.</w:t>
      </w:r>
      <w:r>
        <w:rPr>
          <w:color w:val="231F20"/>
          <w:spacing w:val="-15"/>
        </w:rPr>
        <w:t> </w:t>
      </w:r>
      <w:r>
        <w:rPr>
          <w:color w:val="231F20"/>
        </w:rPr>
        <w:t>La </w:t>
      </w:r>
      <w:r>
        <w:rPr>
          <w:color w:val="231F20"/>
          <w:spacing w:val="-2"/>
        </w:rPr>
        <w:t>rue</w:t>
      </w:r>
      <w:r>
        <w:rPr>
          <w:color w:val="231F20"/>
          <w:spacing w:val="-15"/>
        </w:rPr>
        <w:t> </w:t>
      </w:r>
      <w:r>
        <w:rPr>
          <w:color w:val="231F20"/>
          <w:spacing w:val="-2"/>
        </w:rPr>
        <w:t>conteste</w:t>
      </w:r>
      <w:r>
        <w:rPr>
          <w:color w:val="231F20"/>
          <w:spacing w:val="-13"/>
        </w:rPr>
        <w:t> </w:t>
      </w:r>
      <w:r>
        <w:rPr>
          <w:color w:val="231F20"/>
          <w:spacing w:val="-2"/>
        </w:rPr>
        <w:t>bruyamment</w:t>
      </w:r>
      <w:r>
        <w:rPr>
          <w:color w:val="231F20"/>
          <w:spacing w:val="-13"/>
        </w:rPr>
        <w:t> </w:t>
      </w:r>
      <w:r>
        <w:rPr>
          <w:color w:val="231F20"/>
          <w:spacing w:val="-2"/>
        </w:rPr>
        <w:t>un</w:t>
      </w:r>
      <w:r>
        <w:rPr>
          <w:color w:val="231F20"/>
          <w:spacing w:val="-13"/>
        </w:rPr>
        <w:t> </w:t>
      </w:r>
      <w:r>
        <w:rPr>
          <w:color w:val="231F20"/>
          <w:spacing w:val="-2"/>
        </w:rPr>
        <w:t>«</w:t>
      </w:r>
      <w:r>
        <w:rPr>
          <w:color w:val="231F20"/>
          <w:spacing w:val="-13"/>
        </w:rPr>
        <w:t> </w:t>
      </w:r>
      <w:r>
        <w:rPr>
          <w:color w:val="231F20"/>
          <w:spacing w:val="-2"/>
        </w:rPr>
        <w:t>coup</w:t>
      </w:r>
      <w:r>
        <w:rPr>
          <w:color w:val="231F20"/>
          <w:spacing w:val="-13"/>
        </w:rPr>
        <w:t> </w:t>
      </w:r>
      <w:r>
        <w:rPr>
          <w:color w:val="231F20"/>
          <w:spacing w:val="-2"/>
        </w:rPr>
        <w:t>d’État</w:t>
      </w:r>
      <w:r>
        <w:rPr>
          <w:color w:val="231F20"/>
          <w:spacing w:val="-13"/>
        </w:rPr>
        <w:t> </w:t>
      </w:r>
      <w:r>
        <w:rPr>
          <w:color w:val="231F20"/>
          <w:spacing w:val="-2"/>
        </w:rPr>
        <w:t>constitutionnel</w:t>
      </w:r>
      <w:r>
        <w:rPr>
          <w:color w:val="231F20"/>
          <w:spacing w:val="-13"/>
        </w:rPr>
        <w:t> </w:t>
      </w:r>
      <w:r>
        <w:rPr>
          <w:color w:val="231F20"/>
          <w:spacing w:val="-2"/>
        </w:rPr>
        <w:t>»</w:t>
      </w:r>
      <w:r>
        <w:rPr>
          <w:color w:val="231F20"/>
          <w:spacing w:val="-13"/>
        </w:rPr>
        <w:t> </w:t>
      </w:r>
      <w:r>
        <w:rPr>
          <w:color w:val="231F20"/>
          <w:spacing w:val="-2"/>
        </w:rPr>
        <w:t>orchestré</w:t>
      </w:r>
      <w:r>
        <w:rPr>
          <w:color w:val="231F20"/>
          <w:spacing w:val="-13"/>
        </w:rPr>
        <w:t> </w:t>
      </w:r>
      <w:r>
        <w:rPr>
          <w:color w:val="231F20"/>
          <w:spacing w:val="-2"/>
        </w:rPr>
        <w:t>par </w:t>
      </w:r>
      <w:r>
        <w:rPr>
          <w:color w:val="231F20"/>
        </w:rPr>
        <w:t>la France. Pour les partisans de Gbagbo, en réduisant les prérogatives présidentielles, l’accord est en contradiction avec l’article 41 de la </w:t>
      </w:r>
      <w:r>
        <w:rPr>
          <w:color w:val="231F20"/>
          <w:spacing w:val="-2"/>
        </w:rPr>
        <w:t>Constitution</w:t>
      </w:r>
      <w:r>
        <w:rPr>
          <w:color w:val="231F20"/>
          <w:spacing w:val="-10"/>
        </w:rPr>
        <w:t> </w:t>
      </w:r>
      <w:r>
        <w:rPr>
          <w:color w:val="231F20"/>
          <w:spacing w:val="-2"/>
        </w:rPr>
        <w:t>selon</w:t>
      </w:r>
      <w:r>
        <w:rPr>
          <w:color w:val="231F20"/>
          <w:spacing w:val="-10"/>
        </w:rPr>
        <w:t> </w:t>
      </w:r>
      <w:r>
        <w:rPr>
          <w:color w:val="231F20"/>
          <w:spacing w:val="-2"/>
        </w:rPr>
        <w:t>lequel,</w:t>
      </w:r>
      <w:r>
        <w:rPr>
          <w:color w:val="231F20"/>
          <w:spacing w:val="-13"/>
        </w:rPr>
        <w:t> </w:t>
      </w:r>
      <w:r>
        <w:rPr>
          <w:color w:val="231F20"/>
          <w:spacing w:val="-2"/>
        </w:rPr>
        <w:t>le</w:t>
      </w:r>
      <w:r>
        <w:rPr>
          <w:color w:val="231F20"/>
          <w:spacing w:val="-8"/>
        </w:rPr>
        <w:t> </w:t>
      </w:r>
      <w:r>
        <w:rPr>
          <w:color w:val="231F20"/>
          <w:spacing w:val="-2"/>
        </w:rPr>
        <w:t>président</w:t>
      </w:r>
      <w:r>
        <w:rPr>
          <w:color w:val="231F20"/>
          <w:spacing w:val="-7"/>
        </w:rPr>
        <w:t> </w:t>
      </w:r>
      <w:r>
        <w:rPr>
          <w:color w:val="231F20"/>
          <w:spacing w:val="-2"/>
        </w:rPr>
        <w:t>de</w:t>
      </w:r>
      <w:r>
        <w:rPr>
          <w:color w:val="231F20"/>
          <w:spacing w:val="-11"/>
        </w:rPr>
        <w:t> </w:t>
      </w:r>
      <w:r>
        <w:rPr>
          <w:color w:val="231F20"/>
          <w:spacing w:val="-2"/>
        </w:rPr>
        <w:t>la</w:t>
      </w:r>
      <w:r>
        <w:rPr>
          <w:color w:val="231F20"/>
          <w:spacing w:val="-11"/>
        </w:rPr>
        <w:t> </w:t>
      </w:r>
      <w:r>
        <w:rPr>
          <w:color w:val="231F20"/>
          <w:spacing w:val="-2"/>
        </w:rPr>
        <w:t>République</w:t>
      </w:r>
      <w:r>
        <w:rPr>
          <w:color w:val="231F20"/>
          <w:spacing w:val="-8"/>
        </w:rPr>
        <w:t> </w:t>
      </w:r>
      <w:r>
        <w:rPr>
          <w:color w:val="231F20"/>
          <w:spacing w:val="-2"/>
        </w:rPr>
        <w:t>est</w:t>
      </w:r>
      <w:r>
        <w:rPr>
          <w:color w:val="231F20"/>
          <w:spacing w:val="-7"/>
        </w:rPr>
        <w:t> </w:t>
      </w:r>
      <w:r>
        <w:rPr>
          <w:color w:val="231F20"/>
          <w:spacing w:val="-2"/>
        </w:rPr>
        <w:t>«</w:t>
      </w:r>
      <w:r>
        <w:rPr>
          <w:color w:val="231F20"/>
          <w:spacing w:val="-13"/>
        </w:rPr>
        <w:t> </w:t>
      </w:r>
      <w:r>
        <w:rPr>
          <w:color w:val="231F20"/>
          <w:spacing w:val="-2"/>
        </w:rPr>
        <w:t>le</w:t>
      </w:r>
      <w:r>
        <w:rPr>
          <w:color w:val="231F20"/>
          <w:spacing w:val="-13"/>
        </w:rPr>
        <w:t> </w:t>
      </w:r>
      <w:r>
        <w:rPr>
          <w:color w:val="231F20"/>
          <w:spacing w:val="-2"/>
        </w:rPr>
        <w:t>détenteur </w:t>
      </w:r>
      <w:r>
        <w:rPr>
          <w:color w:val="231F20"/>
        </w:rPr>
        <w:t>exclusif du pouvoir exécutif. »</w:t>
      </w:r>
    </w:p>
    <w:p>
      <w:pPr>
        <w:pStyle w:val="BodyText"/>
        <w:spacing w:before="120"/>
        <w:ind w:right="104" w:firstLine="283"/>
      </w:pPr>
      <w:r>
        <w:rPr>
          <w:color w:val="231F20"/>
        </w:rPr>
        <w:t>Pour</w:t>
      </w:r>
      <w:r>
        <w:rPr>
          <w:color w:val="231F20"/>
          <w:spacing w:val="-6"/>
        </w:rPr>
        <w:t> </w:t>
      </w:r>
      <w:r>
        <w:rPr>
          <w:color w:val="231F20"/>
        </w:rPr>
        <w:t>que</w:t>
      </w:r>
      <w:r>
        <w:rPr>
          <w:color w:val="231F20"/>
          <w:spacing w:val="-6"/>
        </w:rPr>
        <w:t> </w:t>
      </w:r>
      <w:r>
        <w:rPr>
          <w:color w:val="231F20"/>
        </w:rPr>
        <w:t>se</w:t>
      </w:r>
      <w:r>
        <w:rPr>
          <w:color w:val="231F20"/>
          <w:spacing w:val="-6"/>
        </w:rPr>
        <w:t> </w:t>
      </w:r>
      <w:r>
        <w:rPr>
          <w:color w:val="231F20"/>
        </w:rPr>
        <w:t>réalise</w:t>
      </w:r>
      <w:r>
        <w:rPr>
          <w:color w:val="231F20"/>
          <w:spacing w:val="-6"/>
        </w:rPr>
        <w:t> </w:t>
      </w:r>
      <w:r>
        <w:rPr>
          <w:color w:val="231F20"/>
        </w:rPr>
        <w:t>une</w:t>
      </w:r>
      <w:r>
        <w:rPr>
          <w:color w:val="231F20"/>
          <w:spacing w:val="-6"/>
        </w:rPr>
        <w:t> </w:t>
      </w:r>
      <w:r>
        <w:rPr>
          <w:color w:val="231F20"/>
        </w:rPr>
        <w:t>conciliation</w:t>
      </w:r>
      <w:r>
        <w:rPr>
          <w:color w:val="231F20"/>
          <w:spacing w:val="-6"/>
        </w:rPr>
        <w:t> </w:t>
      </w:r>
      <w:r>
        <w:rPr>
          <w:color w:val="231F20"/>
        </w:rPr>
        <w:t>de</w:t>
      </w:r>
      <w:r>
        <w:rPr>
          <w:color w:val="231F20"/>
          <w:spacing w:val="-6"/>
        </w:rPr>
        <w:t> </w:t>
      </w:r>
      <w:r>
        <w:rPr>
          <w:color w:val="231F20"/>
        </w:rPr>
        <w:t>certains</w:t>
      </w:r>
      <w:r>
        <w:rPr>
          <w:color w:val="231F20"/>
          <w:spacing w:val="-9"/>
        </w:rPr>
        <w:t> </w:t>
      </w:r>
      <w:r>
        <w:rPr>
          <w:color w:val="231F20"/>
        </w:rPr>
        <w:t>points</w:t>
      </w:r>
      <w:r>
        <w:rPr>
          <w:color w:val="231F20"/>
          <w:spacing w:val="-9"/>
        </w:rPr>
        <w:t> </w:t>
      </w:r>
      <w:r>
        <w:rPr>
          <w:color w:val="231F20"/>
        </w:rPr>
        <w:t>de</w:t>
      </w:r>
      <w:r>
        <w:rPr>
          <w:color w:val="231F20"/>
          <w:spacing w:val="-9"/>
        </w:rPr>
        <w:t> </w:t>
      </w:r>
      <w:r>
        <w:rPr>
          <w:color w:val="231F20"/>
        </w:rPr>
        <w:t>l’accord</w:t>
      </w:r>
      <w:r>
        <w:rPr>
          <w:color w:val="231F20"/>
          <w:spacing w:val="-7"/>
        </w:rPr>
        <w:t> </w:t>
      </w:r>
      <w:r>
        <w:rPr>
          <w:color w:val="231F20"/>
        </w:rPr>
        <w:t>de Marcoussis</w:t>
      </w:r>
      <w:r>
        <w:rPr>
          <w:color w:val="231F20"/>
          <w:spacing w:val="-10"/>
        </w:rPr>
        <w:t> </w:t>
      </w:r>
      <w:r>
        <w:rPr>
          <w:color w:val="231F20"/>
        </w:rPr>
        <w:t>et</w:t>
      </w:r>
      <w:r>
        <w:rPr>
          <w:color w:val="231F20"/>
          <w:spacing w:val="-10"/>
        </w:rPr>
        <w:t> </w:t>
      </w:r>
      <w:r>
        <w:rPr>
          <w:color w:val="231F20"/>
        </w:rPr>
        <w:t>ceux</w:t>
      </w:r>
      <w:r>
        <w:rPr>
          <w:color w:val="231F20"/>
          <w:spacing w:val="-12"/>
        </w:rPr>
        <w:t> </w:t>
      </w:r>
      <w:r>
        <w:rPr>
          <w:color w:val="231F20"/>
        </w:rPr>
        <w:t>de</w:t>
      </w:r>
      <w:r>
        <w:rPr>
          <w:color w:val="231F20"/>
          <w:spacing w:val="-10"/>
        </w:rPr>
        <w:t> </w:t>
      </w:r>
      <w:r>
        <w:rPr>
          <w:color w:val="231F20"/>
        </w:rPr>
        <w:t>la</w:t>
      </w:r>
      <w:r>
        <w:rPr>
          <w:color w:val="231F20"/>
          <w:spacing w:val="-15"/>
        </w:rPr>
        <w:t> </w:t>
      </w:r>
      <w:r>
        <w:rPr>
          <w:color w:val="231F20"/>
        </w:rPr>
        <w:t>Constitution,</w:t>
      </w:r>
      <w:r>
        <w:rPr>
          <w:color w:val="231F20"/>
          <w:spacing w:val="-10"/>
        </w:rPr>
        <w:t> </w:t>
      </w:r>
      <w:r>
        <w:rPr>
          <w:color w:val="231F20"/>
        </w:rPr>
        <w:t>il</w:t>
      </w:r>
      <w:r>
        <w:rPr>
          <w:color w:val="231F20"/>
          <w:spacing w:val="-9"/>
        </w:rPr>
        <w:t> </w:t>
      </w:r>
      <w:r>
        <w:rPr>
          <w:color w:val="231F20"/>
        </w:rPr>
        <w:t>faut</w:t>
      </w:r>
      <w:r>
        <w:rPr>
          <w:color w:val="231F20"/>
          <w:spacing w:val="-9"/>
        </w:rPr>
        <w:t> </w:t>
      </w:r>
      <w:r>
        <w:rPr>
          <w:color w:val="231F20"/>
        </w:rPr>
        <w:t>passer</w:t>
      </w:r>
      <w:r>
        <w:rPr>
          <w:color w:val="231F20"/>
          <w:spacing w:val="-10"/>
        </w:rPr>
        <w:t> </w:t>
      </w:r>
      <w:r>
        <w:rPr>
          <w:color w:val="231F20"/>
        </w:rPr>
        <w:t>par</w:t>
      </w:r>
      <w:r>
        <w:rPr>
          <w:color w:val="231F20"/>
          <w:spacing w:val="-10"/>
        </w:rPr>
        <w:t> </w:t>
      </w:r>
      <w:r>
        <w:rPr>
          <w:color w:val="231F20"/>
        </w:rPr>
        <w:t>la</w:t>
      </w:r>
      <w:r>
        <w:rPr>
          <w:color w:val="231F20"/>
          <w:spacing w:val="-10"/>
        </w:rPr>
        <w:t> </w:t>
      </w:r>
      <w:r>
        <w:rPr>
          <w:color w:val="231F20"/>
        </w:rPr>
        <w:t>révision</w:t>
      </w:r>
      <w:r>
        <w:rPr>
          <w:color w:val="231F20"/>
          <w:spacing w:val="-12"/>
        </w:rPr>
        <w:t> </w:t>
      </w:r>
      <w:r>
        <w:rPr>
          <w:color w:val="231F20"/>
        </w:rPr>
        <w:t>de</w:t>
      </w:r>
      <w:r>
        <w:rPr>
          <w:color w:val="231F20"/>
          <w:spacing w:val="-10"/>
        </w:rPr>
        <w:t> </w:t>
      </w:r>
      <w:r>
        <w:rPr>
          <w:color w:val="231F20"/>
        </w:rPr>
        <w:t>la loi fondamentale de la Côte d’Ivoire. Cela suppose, outre une volonté politique, l’obtention de l’accord du Parlement et, pour certaines réformes, l’organisation d’un référendum, difficile à envisager</w:t>
      </w:r>
      <w:r>
        <w:rPr>
          <w:color w:val="231F20"/>
          <w:spacing w:val="-14"/>
        </w:rPr>
        <w:t> </w:t>
      </w:r>
      <w:r>
        <w:rPr>
          <w:color w:val="231F20"/>
        </w:rPr>
        <w:t>: </w:t>
      </w:r>
      <w:r>
        <w:rPr>
          <w:color w:val="231F20"/>
          <w:spacing w:val="-2"/>
        </w:rPr>
        <w:t>Mamadou</w:t>
      </w:r>
      <w:r>
        <w:rPr>
          <w:color w:val="231F20"/>
          <w:spacing w:val="-5"/>
        </w:rPr>
        <w:t> </w:t>
      </w:r>
      <w:r>
        <w:rPr>
          <w:color w:val="231F20"/>
          <w:spacing w:val="-2"/>
        </w:rPr>
        <w:t>Koulibaly,</w:t>
      </w:r>
      <w:r>
        <w:rPr>
          <w:color w:val="231F20"/>
          <w:spacing w:val="-8"/>
        </w:rPr>
        <w:t> </w:t>
      </w:r>
      <w:r>
        <w:rPr>
          <w:color w:val="231F20"/>
          <w:spacing w:val="-2"/>
        </w:rPr>
        <w:t>Président</w:t>
      </w:r>
      <w:r>
        <w:rPr>
          <w:color w:val="231F20"/>
          <w:spacing w:val="-5"/>
        </w:rPr>
        <w:t> </w:t>
      </w:r>
      <w:r>
        <w:rPr>
          <w:color w:val="231F20"/>
          <w:spacing w:val="-2"/>
        </w:rPr>
        <w:t>de</w:t>
      </w:r>
      <w:r>
        <w:rPr>
          <w:color w:val="231F20"/>
          <w:spacing w:val="-6"/>
        </w:rPr>
        <w:t> </w:t>
      </w:r>
      <w:r>
        <w:rPr>
          <w:color w:val="231F20"/>
          <w:spacing w:val="-2"/>
        </w:rPr>
        <w:t>l’Assemblée</w:t>
      </w:r>
      <w:r>
        <w:rPr>
          <w:color w:val="231F20"/>
          <w:spacing w:val="-6"/>
        </w:rPr>
        <w:t> </w:t>
      </w:r>
      <w:r>
        <w:rPr>
          <w:color w:val="231F20"/>
          <w:spacing w:val="-2"/>
        </w:rPr>
        <w:t>Nationale</w:t>
      </w:r>
      <w:r>
        <w:rPr>
          <w:color w:val="231F20"/>
          <w:spacing w:val="-5"/>
        </w:rPr>
        <w:t> </w:t>
      </w:r>
      <w:r>
        <w:rPr>
          <w:color w:val="231F20"/>
          <w:spacing w:val="-2"/>
        </w:rPr>
        <w:t>déclare</w:t>
      </w:r>
      <w:r>
        <w:rPr>
          <w:color w:val="231F20"/>
          <w:spacing w:val="-4"/>
        </w:rPr>
        <w:t> </w:t>
      </w:r>
      <w:r>
        <w:rPr>
          <w:color w:val="231F20"/>
          <w:spacing w:val="-2"/>
        </w:rPr>
        <w:t>que</w:t>
      </w:r>
      <w:r>
        <w:rPr>
          <w:color w:val="231F20"/>
          <w:spacing w:val="-6"/>
        </w:rPr>
        <w:t> </w:t>
      </w:r>
      <w:r>
        <w:rPr>
          <w:color w:val="231F20"/>
          <w:spacing w:val="-2"/>
        </w:rPr>
        <w:t>le </w:t>
      </w:r>
      <w:r>
        <w:rPr>
          <w:color w:val="231F20"/>
        </w:rPr>
        <w:t>désarmement</w:t>
      </w:r>
      <w:r>
        <w:rPr>
          <w:color w:val="231F20"/>
          <w:spacing w:val="-3"/>
        </w:rPr>
        <w:t> </w:t>
      </w:r>
      <w:r>
        <w:rPr>
          <w:color w:val="231F20"/>
        </w:rPr>
        <w:t>des</w:t>
      </w:r>
      <w:r>
        <w:rPr>
          <w:color w:val="231F20"/>
          <w:spacing w:val="-3"/>
        </w:rPr>
        <w:t> </w:t>
      </w:r>
      <w:r>
        <w:rPr>
          <w:color w:val="231F20"/>
        </w:rPr>
        <w:t>rebelles</w:t>
      </w:r>
      <w:r>
        <w:rPr>
          <w:color w:val="231F20"/>
          <w:spacing w:val="-5"/>
        </w:rPr>
        <w:t> </w:t>
      </w:r>
      <w:r>
        <w:rPr>
          <w:color w:val="231F20"/>
        </w:rPr>
        <w:t>est</w:t>
      </w:r>
      <w:r>
        <w:rPr>
          <w:color w:val="231F20"/>
          <w:spacing w:val="-4"/>
        </w:rPr>
        <w:t> </w:t>
      </w:r>
      <w:r>
        <w:rPr>
          <w:color w:val="231F20"/>
        </w:rPr>
        <w:t>un</w:t>
      </w:r>
      <w:r>
        <w:rPr>
          <w:color w:val="231F20"/>
          <w:spacing w:val="-5"/>
        </w:rPr>
        <w:t> </w:t>
      </w:r>
      <w:r>
        <w:rPr>
          <w:color w:val="231F20"/>
        </w:rPr>
        <w:t>préalable</w:t>
      </w:r>
      <w:r>
        <w:rPr>
          <w:color w:val="231F20"/>
          <w:spacing w:val="-3"/>
        </w:rPr>
        <w:t> </w:t>
      </w:r>
      <w:r>
        <w:rPr>
          <w:color w:val="231F20"/>
        </w:rPr>
        <w:t>à</w:t>
      </w:r>
      <w:r>
        <w:rPr>
          <w:color w:val="231F20"/>
          <w:spacing w:val="-5"/>
        </w:rPr>
        <w:t> </w:t>
      </w:r>
      <w:r>
        <w:rPr>
          <w:color w:val="231F20"/>
        </w:rPr>
        <w:t>l’examen</w:t>
      </w:r>
      <w:r>
        <w:rPr>
          <w:color w:val="231F20"/>
          <w:spacing w:val="-3"/>
        </w:rPr>
        <w:t> </w:t>
      </w:r>
      <w:r>
        <w:rPr>
          <w:color w:val="231F20"/>
        </w:rPr>
        <w:t>des</w:t>
      </w:r>
      <w:r>
        <w:rPr>
          <w:color w:val="231F20"/>
          <w:spacing w:val="-2"/>
        </w:rPr>
        <w:t> </w:t>
      </w:r>
      <w:r>
        <w:rPr>
          <w:color w:val="231F20"/>
        </w:rPr>
        <w:t>textes</w:t>
      </w:r>
      <w:r>
        <w:rPr>
          <w:color w:val="231F20"/>
          <w:spacing w:val="-5"/>
        </w:rPr>
        <w:t> </w:t>
      </w:r>
      <w:r>
        <w:rPr>
          <w:color w:val="231F20"/>
        </w:rPr>
        <w:t>de</w:t>
      </w:r>
      <w:r>
        <w:rPr>
          <w:color w:val="231F20"/>
          <w:spacing w:val="-5"/>
        </w:rPr>
        <w:t> </w:t>
      </w:r>
      <w:r>
        <w:rPr>
          <w:color w:val="231F20"/>
        </w:rPr>
        <w:t>loi, notamment</w:t>
      </w:r>
      <w:r>
        <w:rPr>
          <w:color w:val="231F20"/>
          <w:spacing w:val="-15"/>
        </w:rPr>
        <w:t> </w:t>
      </w:r>
      <w:r>
        <w:rPr>
          <w:color w:val="231F20"/>
        </w:rPr>
        <w:t>les</w:t>
      </w:r>
      <w:r>
        <w:rPr>
          <w:color w:val="231F20"/>
          <w:spacing w:val="-14"/>
        </w:rPr>
        <w:t> </w:t>
      </w:r>
      <w:r>
        <w:rPr>
          <w:color w:val="231F20"/>
        </w:rPr>
        <w:t>révisions</w:t>
      </w:r>
      <w:r>
        <w:rPr>
          <w:color w:val="231F20"/>
          <w:spacing w:val="-12"/>
        </w:rPr>
        <w:t> </w:t>
      </w:r>
      <w:r>
        <w:rPr>
          <w:color w:val="231F20"/>
        </w:rPr>
        <w:t>constitutionnelles</w:t>
      </w:r>
      <w:r>
        <w:rPr>
          <w:color w:val="231F20"/>
          <w:spacing w:val="-9"/>
        </w:rPr>
        <w:t> </w:t>
      </w:r>
      <w:r>
        <w:rPr>
          <w:color w:val="231F20"/>
        </w:rPr>
        <w:t>préconisées</w:t>
      </w:r>
      <w:r>
        <w:rPr>
          <w:color w:val="231F20"/>
          <w:spacing w:val="-15"/>
        </w:rPr>
        <w:t> </w:t>
      </w:r>
      <w:r>
        <w:rPr>
          <w:color w:val="231F20"/>
        </w:rPr>
        <w:t>;</w:t>
      </w:r>
      <w:r>
        <w:rPr>
          <w:color w:val="231F20"/>
          <w:spacing w:val="-11"/>
        </w:rPr>
        <w:t> </w:t>
      </w:r>
      <w:r>
        <w:rPr>
          <w:color w:val="231F20"/>
        </w:rPr>
        <w:t>le</w:t>
      </w:r>
      <w:r>
        <w:rPr>
          <w:color w:val="231F20"/>
          <w:spacing w:val="-9"/>
        </w:rPr>
        <w:t> </w:t>
      </w:r>
      <w:r>
        <w:rPr>
          <w:color w:val="231F20"/>
        </w:rPr>
        <w:t>porte-parole de</w:t>
      </w:r>
      <w:r>
        <w:rPr>
          <w:color w:val="231F20"/>
          <w:spacing w:val="-15"/>
        </w:rPr>
        <w:t> </w:t>
      </w:r>
      <w:r>
        <w:rPr>
          <w:color w:val="231F20"/>
        </w:rPr>
        <w:t>l’État-major</w:t>
      </w:r>
      <w:r>
        <w:rPr>
          <w:color w:val="231F20"/>
          <w:spacing w:val="-15"/>
        </w:rPr>
        <w:t> </w:t>
      </w:r>
      <w:r>
        <w:rPr>
          <w:color w:val="231F20"/>
        </w:rPr>
        <w:t>de</w:t>
      </w:r>
      <w:r>
        <w:rPr>
          <w:color w:val="231F20"/>
          <w:spacing w:val="-15"/>
        </w:rPr>
        <w:t> </w:t>
      </w:r>
      <w:r>
        <w:rPr>
          <w:color w:val="231F20"/>
        </w:rPr>
        <w:t>l’Armée</w:t>
      </w:r>
      <w:r>
        <w:rPr>
          <w:color w:val="231F20"/>
          <w:spacing w:val="-15"/>
        </w:rPr>
        <w:t> </w:t>
      </w:r>
      <w:r>
        <w:rPr>
          <w:color w:val="231F20"/>
        </w:rPr>
        <w:t>ivoirienne,</w:t>
      </w:r>
      <w:r>
        <w:rPr>
          <w:color w:val="231F20"/>
          <w:spacing w:val="-15"/>
        </w:rPr>
        <w:t> </w:t>
      </w:r>
      <w:r>
        <w:rPr>
          <w:color w:val="231F20"/>
        </w:rPr>
        <w:t>le</w:t>
      </w:r>
      <w:r>
        <w:rPr>
          <w:color w:val="231F20"/>
          <w:spacing w:val="-15"/>
        </w:rPr>
        <w:t> </w:t>
      </w:r>
      <w:r>
        <w:rPr>
          <w:color w:val="231F20"/>
        </w:rPr>
        <w:t>colonel</w:t>
      </w:r>
      <w:r>
        <w:rPr>
          <w:color w:val="231F20"/>
          <w:spacing w:val="-15"/>
        </w:rPr>
        <w:t> </w:t>
      </w:r>
      <w:r>
        <w:rPr>
          <w:color w:val="231F20"/>
        </w:rPr>
        <w:t>Jules</w:t>
      </w:r>
      <w:r>
        <w:rPr>
          <w:color w:val="231F20"/>
          <w:spacing w:val="-15"/>
        </w:rPr>
        <w:t> </w:t>
      </w:r>
      <w:r>
        <w:rPr>
          <w:color w:val="231F20"/>
        </w:rPr>
        <w:t>Yao-Yao,</w:t>
      </w:r>
      <w:r>
        <w:rPr>
          <w:color w:val="231F20"/>
          <w:spacing w:val="-15"/>
        </w:rPr>
        <w:t> </w:t>
      </w:r>
      <w:r>
        <w:rPr>
          <w:color w:val="231F20"/>
        </w:rPr>
        <w:t>avertit </w:t>
      </w:r>
      <w:r>
        <w:rPr>
          <w:color w:val="231F20"/>
          <w:spacing w:val="-2"/>
        </w:rPr>
        <w:t>que</w:t>
      </w:r>
      <w:r>
        <w:rPr>
          <w:color w:val="231F20"/>
          <w:spacing w:val="-7"/>
        </w:rPr>
        <w:t> </w:t>
      </w:r>
      <w:r>
        <w:rPr>
          <w:color w:val="231F20"/>
          <w:spacing w:val="-2"/>
        </w:rPr>
        <w:t>«certains</w:t>
      </w:r>
      <w:r>
        <w:rPr>
          <w:color w:val="231F20"/>
          <w:spacing w:val="-8"/>
        </w:rPr>
        <w:t> </w:t>
      </w:r>
      <w:r>
        <w:rPr>
          <w:color w:val="231F20"/>
          <w:spacing w:val="-2"/>
        </w:rPr>
        <w:t>points</w:t>
      </w:r>
      <w:r>
        <w:rPr>
          <w:color w:val="231F20"/>
          <w:spacing w:val="-8"/>
        </w:rPr>
        <w:t> </w:t>
      </w:r>
      <w:r>
        <w:rPr>
          <w:color w:val="231F20"/>
          <w:spacing w:val="-2"/>
        </w:rPr>
        <w:t>des</w:t>
      </w:r>
      <w:r>
        <w:rPr>
          <w:color w:val="231F20"/>
          <w:spacing w:val="-8"/>
        </w:rPr>
        <w:t> </w:t>
      </w:r>
      <w:r>
        <w:rPr>
          <w:color w:val="231F20"/>
          <w:spacing w:val="-2"/>
        </w:rPr>
        <w:t>accords</w:t>
      </w:r>
      <w:r>
        <w:rPr>
          <w:color w:val="231F20"/>
          <w:spacing w:val="-6"/>
        </w:rPr>
        <w:t> </w:t>
      </w:r>
      <w:r>
        <w:rPr>
          <w:color w:val="231F20"/>
          <w:spacing w:val="-2"/>
        </w:rPr>
        <w:t>de</w:t>
      </w:r>
      <w:r>
        <w:rPr>
          <w:color w:val="231F20"/>
          <w:spacing w:val="-9"/>
        </w:rPr>
        <w:t> </w:t>
      </w:r>
      <w:r>
        <w:rPr>
          <w:color w:val="231F20"/>
          <w:spacing w:val="-2"/>
        </w:rPr>
        <w:t>Marcoussis</w:t>
      </w:r>
      <w:r>
        <w:rPr>
          <w:color w:val="231F20"/>
          <w:spacing w:val="-8"/>
        </w:rPr>
        <w:t> </w:t>
      </w:r>
      <w:r>
        <w:rPr>
          <w:color w:val="231F20"/>
          <w:spacing w:val="-2"/>
        </w:rPr>
        <w:t>sont</w:t>
      </w:r>
      <w:r>
        <w:rPr>
          <w:color w:val="231F20"/>
          <w:spacing w:val="-5"/>
        </w:rPr>
        <w:t> </w:t>
      </w:r>
      <w:r>
        <w:rPr>
          <w:color w:val="231F20"/>
          <w:spacing w:val="-2"/>
        </w:rPr>
        <w:t>de</w:t>
      </w:r>
      <w:r>
        <w:rPr>
          <w:color w:val="231F20"/>
          <w:spacing w:val="-9"/>
        </w:rPr>
        <w:t> </w:t>
      </w:r>
      <w:r>
        <w:rPr>
          <w:color w:val="231F20"/>
          <w:spacing w:val="-2"/>
        </w:rPr>
        <w:t>nature</w:t>
      </w:r>
      <w:r>
        <w:rPr>
          <w:color w:val="231F20"/>
          <w:spacing w:val="-7"/>
        </w:rPr>
        <w:t> </w:t>
      </w:r>
      <w:r>
        <w:rPr>
          <w:color w:val="231F20"/>
          <w:spacing w:val="-2"/>
        </w:rPr>
        <w:t>à</w:t>
      </w:r>
      <w:r>
        <w:rPr>
          <w:color w:val="231F20"/>
          <w:spacing w:val="-10"/>
        </w:rPr>
        <w:t> </w:t>
      </w:r>
      <w:r>
        <w:rPr>
          <w:color w:val="231F20"/>
          <w:spacing w:val="-2"/>
        </w:rPr>
        <w:t>humilier </w:t>
      </w:r>
      <w:r>
        <w:rPr>
          <w:color w:val="231F20"/>
          <w:spacing w:val="-4"/>
        </w:rPr>
        <w:t>les</w:t>
      </w:r>
      <w:r>
        <w:rPr>
          <w:color w:val="231F20"/>
          <w:spacing w:val="-7"/>
        </w:rPr>
        <w:t> </w:t>
      </w:r>
      <w:r>
        <w:rPr>
          <w:color w:val="231F20"/>
          <w:spacing w:val="-4"/>
        </w:rPr>
        <w:t>forces</w:t>
      </w:r>
      <w:r>
        <w:rPr>
          <w:color w:val="231F20"/>
          <w:spacing w:val="-9"/>
        </w:rPr>
        <w:t> </w:t>
      </w:r>
      <w:r>
        <w:rPr>
          <w:color w:val="231F20"/>
          <w:spacing w:val="-4"/>
        </w:rPr>
        <w:t>de</w:t>
      </w:r>
      <w:r>
        <w:rPr>
          <w:color w:val="231F20"/>
          <w:spacing w:val="-11"/>
        </w:rPr>
        <w:t> </w:t>
      </w:r>
      <w:r>
        <w:rPr>
          <w:color w:val="231F20"/>
          <w:spacing w:val="-4"/>
        </w:rPr>
        <w:t>sécurité</w:t>
      </w:r>
      <w:r>
        <w:rPr>
          <w:color w:val="231F20"/>
          <w:spacing w:val="-11"/>
        </w:rPr>
        <w:t> </w:t>
      </w:r>
      <w:r>
        <w:rPr>
          <w:color w:val="231F20"/>
          <w:spacing w:val="-4"/>
        </w:rPr>
        <w:t>et</w:t>
      </w:r>
      <w:r>
        <w:rPr>
          <w:color w:val="231F20"/>
          <w:spacing w:val="-7"/>
        </w:rPr>
        <w:t> </w:t>
      </w:r>
      <w:r>
        <w:rPr>
          <w:color w:val="231F20"/>
          <w:spacing w:val="-4"/>
        </w:rPr>
        <w:t>de</w:t>
      </w:r>
      <w:r>
        <w:rPr>
          <w:color w:val="231F20"/>
          <w:spacing w:val="-9"/>
        </w:rPr>
        <w:t> </w:t>
      </w:r>
      <w:r>
        <w:rPr>
          <w:color w:val="231F20"/>
          <w:spacing w:val="-4"/>
        </w:rPr>
        <w:t>défense,</w:t>
      </w:r>
      <w:r>
        <w:rPr>
          <w:color w:val="231F20"/>
          <w:spacing w:val="-9"/>
        </w:rPr>
        <w:t> </w:t>
      </w:r>
      <w:r>
        <w:rPr>
          <w:color w:val="231F20"/>
          <w:spacing w:val="-4"/>
        </w:rPr>
        <w:t>l’État</w:t>
      </w:r>
      <w:r>
        <w:rPr>
          <w:color w:val="231F20"/>
          <w:spacing w:val="-6"/>
        </w:rPr>
        <w:t> </w:t>
      </w:r>
      <w:r>
        <w:rPr>
          <w:color w:val="231F20"/>
          <w:spacing w:val="-4"/>
        </w:rPr>
        <w:t>et</w:t>
      </w:r>
      <w:r>
        <w:rPr>
          <w:color w:val="231F20"/>
          <w:spacing w:val="-8"/>
        </w:rPr>
        <w:t> </w:t>
      </w:r>
      <w:r>
        <w:rPr>
          <w:color w:val="231F20"/>
          <w:spacing w:val="-4"/>
        </w:rPr>
        <w:t>le</w:t>
      </w:r>
      <w:r>
        <w:rPr>
          <w:color w:val="231F20"/>
          <w:spacing w:val="-7"/>
        </w:rPr>
        <w:t> </w:t>
      </w:r>
      <w:r>
        <w:rPr>
          <w:color w:val="231F20"/>
          <w:spacing w:val="-4"/>
        </w:rPr>
        <w:t>peuple</w:t>
      </w:r>
      <w:r>
        <w:rPr>
          <w:color w:val="231F20"/>
          <w:spacing w:val="-11"/>
        </w:rPr>
        <w:t> </w:t>
      </w:r>
      <w:r>
        <w:rPr>
          <w:color w:val="231F20"/>
          <w:spacing w:val="-4"/>
        </w:rPr>
        <w:t>ivoirien, l’accord</w:t>
      </w:r>
      <w:r>
        <w:rPr>
          <w:color w:val="231F20"/>
          <w:spacing w:val="-7"/>
        </w:rPr>
        <w:t> </w:t>
      </w:r>
      <w:r>
        <w:rPr>
          <w:color w:val="231F20"/>
          <w:spacing w:val="-4"/>
        </w:rPr>
        <w:t>de </w:t>
      </w:r>
      <w:r>
        <w:rPr>
          <w:color w:val="231F20"/>
          <w:spacing w:val="-2"/>
        </w:rPr>
        <w:t>Linas-Marcoussis,</w:t>
      </w:r>
      <w:r>
        <w:rPr>
          <w:color w:val="231F20"/>
          <w:spacing w:val="-15"/>
        </w:rPr>
        <w:t> </w:t>
      </w:r>
      <w:r>
        <w:rPr>
          <w:color w:val="231F20"/>
          <w:spacing w:val="-2"/>
        </w:rPr>
        <w:t>plutôt</w:t>
      </w:r>
      <w:r>
        <w:rPr>
          <w:color w:val="231F20"/>
          <w:spacing w:val="-13"/>
        </w:rPr>
        <w:t> </w:t>
      </w:r>
      <w:r>
        <w:rPr>
          <w:color w:val="231F20"/>
          <w:spacing w:val="-2"/>
        </w:rPr>
        <w:t>que</w:t>
      </w:r>
      <w:r>
        <w:rPr>
          <w:color w:val="231F20"/>
          <w:spacing w:val="-13"/>
        </w:rPr>
        <w:t> </w:t>
      </w:r>
      <w:r>
        <w:rPr>
          <w:color w:val="231F20"/>
          <w:spacing w:val="-2"/>
        </w:rPr>
        <w:t>de</w:t>
      </w:r>
      <w:r>
        <w:rPr>
          <w:color w:val="231F20"/>
          <w:spacing w:val="-13"/>
        </w:rPr>
        <w:t> </w:t>
      </w:r>
      <w:r>
        <w:rPr>
          <w:color w:val="231F20"/>
          <w:spacing w:val="-2"/>
        </w:rPr>
        <w:t>concourir</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recherche</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paix,</w:t>
      </w:r>
      <w:r>
        <w:rPr>
          <w:color w:val="231F20"/>
          <w:spacing w:val="-13"/>
        </w:rPr>
        <w:t> </w:t>
      </w:r>
      <w:r>
        <w:rPr>
          <w:color w:val="231F20"/>
          <w:spacing w:val="-2"/>
        </w:rPr>
        <w:t>porte </w:t>
      </w:r>
      <w:r>
        <w:rPr>
          <w:color w:val="231F20"/>
        </w:rPr>
        <w:t>en</w:t>
      </w:r>
      <w:r>
        <w:rPr>
          <w:color w:val="231F20"/>
          <w:spacing w:val="80"/>
        </w:rPr>
        <w:t> </w:t>
      </w:r>
      <w:r>
        <w:rPr>
          <w:color w:val="231F20"/>
        </w:rPr>
        <w:t>lui</w:t>
      </w:r>
      <w:r>
        <w:rPr>
          <w:color w:val="231F20"/>
          <w:spacing w:val="80"/>
        </w:rPr>
        <w:t> </w:t>
      </w:r>
      <w:r>
        <w:rPr>
          <w:color w:val="231F20"/>
        </w:rPr>
        <w:t>les</w:t>
      </w:r>
      <w:r>
        <w:rPr>
          <w:color w:val="231F20"/>
          <w:spacing w:val="80"/>
        </w:rPr>
        <w:t> </w:t>
      </w:r>
      <w:r>
        <w:rPr>
          <w:color w:val="231F20"/>
        </w:rPr>
        <w:t>germes</w:t>
      </w:r>
      <w:r>
        <w:rPr>
          <w:color w:val="231F20"/>
          <w:spacing w:val="80"/>
        </w:rPr>
        <w:t> </w:t>
      </w:r>
      <w:r>
        <w:rPr>
          <w:color w:val="231F20"/>
        </w:rPr>
        <w:t>d’une</w:t>
      </w:r>
      <w:r>
        <w:rPr>
          <w:color w:val="231F20"/>
          <w:spacing w:val="80"/>
        </w:rPr>
        <w:t> </w:t>
      </w:r>
      <w:r>
        <w:rPr>
          <w:color w:val="231F20"/>
        </w:rPr>
        <w:t>implosion</w:t>
      </w:r>
      <w:r>
        <w:rPr>
          <w:color w:val="231F20"/>
          <w:spacing w:val="80"/>
        </w:rPr>
        <w:t> </w:t>
      </w:r>
      <w:r>
        <w:rPr>
          <w:color w:val="231F20"/>
        </w:rPr>
        <w:t>nationale.</w:t>
      </w:r>
      <w:r>
        <w:rPr>
          <w:color w:val="231F20"/>
          <w:spacing w:val="80"/>
        </w:rPr>
        <w:t> </w:t>
      </w:r>
      <w:r>
        <w:rPr>
          <w:color w:val="231F20"/>
        </w:rPr>
        <w:t>Les</w:t>
      </w:r>
      <w:r>
        <w:rPr>
          <w:color w:val="231F20"/>
          <w:spacing w:val="80"/>
        </w:rPr>
        <w:t> </w:t>
      </w:r>
      <w:r>
        <w:rPr>
          <w:color w:val="231F20"/>
        </w:rPr>
        <w:t>forces</w:t>
      </w:r>
      <w:r>
        <w:rPr>
          <w:color w:val="231F20"/>
          <w:spacing w:val="80"/>
        </w:rPr>
        <w:t> </w:t>
      </w:r>
      <w:r>
        <w:rPr>
          <w:color w:val="231F20"/>
        </w:rPr>
        <w:t>de défense</w:t>
      </w:r>
      <w:r>
        <w:rPr>
          <w:color w:val="231F20"/>
          <w:spacing w:val="-15"/>
        </w:rPr>
        <w:t> </w:t>
      </w:r>
      <w:r>
        <w:rPr>
          <w:color w:val="231F20"/>
        </w:rPr>
        <w:t>refusent avec énergie la présence de rebelles au sein du futur gouvernement,</w:t>
      </w:r>
      <w:r>
        <w:rPr>
          <w:color w:val="231F20"/>
          <w:spacing w:val="-11"/>
        </w:rPr>
        <w:t> </w:t>
      </w:r>
      <w:r>
        <w:rPr>
          <w:color w:val="231F20"/>
        </w:rPr>
        <w:t>le</w:t>
      </w:r>
      <w:r>
        <w:rPr>
          <w:color w:val="231F20"/>
          <w:spacing w:val="-12"/>
        </w:rPr>
        <w:t> </w:t>
      </w:r>
      <w:r>
        <w:rPr>
          <w:color w:val="231F20"/>
        </w:rPr>
        <w:t>regroupement,</w:t>
      </w:r>
      <w:r>
        <w:rPr>
          <w:color w:val="231F20"/>
          <w:spacing w:val="-11"/>
        </w:rPr>
        <w:t> </w:t>
      </w:r>
      <w:r>
        <w:rPr>
          <w:color w:val="231F20"/>
        </w:rPr>
        <w:t>le</w:t>
      </w:r>
      <w:r>
        <w:rPr>
          <w:color w:val="231F20"/>
          <w:spacing w:val="-10"/>
        </w:rPr>
        <w:t> </w:t>
      </w:r>
      <w:r>
        <w:rPr>
          <w:color w:val="231F20"/>
        </w:rPr>
        <w:t>cantonnement,</w:t>
      </w:r>
      <w:r>
        <w:rPr>
          <w:color w:val="231F20"/>
          <w:spacing w:val="-11"/>
        </w:rPr>
        <w:t> </w:t>
      </w:r>
      <w:r>
        <w:rPr>
          <w:color w:val="231F20"/>
        </w:rPr>
        <w:t>le</w:t>
      </w:r>
      <w:r>
        <w:rPr>
          <w:color w:val="231F20"/>
          <w:spacing w:val="-10"/>
        </w:rPr>
        <w:t> </w:t>
      </w:r>
      <w:r>
        <w:rPr>
          <w:color w:val="231F20"/>
        </w:rPr>
        <w:t>désarmement</w:t>
      </w:r>
      <w:r>
        <w:rPr>
          <w:color w:val="231F20"/>
          <w:spacing w:val="-9"/>
        </w:rPr>
        <w:t> </w:t>
      </w:r>
      <w:r>
        <w:rPr>
          <w:color w:val="231F20"/>
        </w:rPr>
        <w:t>et</w:t>
      </w:r>
      <w:r>
        <w:rPr>
          <w:color w:val="231F20"/>
          <w:spacing w:val="-11"/>
        </w:rPr>
        <w:t> </w:t>
      </w:r>
      <w:r>
        <w:rPr>
          <w:color w:val="231F20"/>
        </w:rPr>
        <w:t>la démobilisation</w:t>
      </w:r>
      <w:r>
        <w:rPr>
          <w:color w:val="231F20"/>
          <w:spacing w:val="-8"/>
        </w:rPr>
        <w:t> </w:t>
      </w:r>
      <w:r>
        <w:rPr>
          <w:color w:val="231F20"/>
        </w:rPr>
        <w:t>des</w:t>
      </w:r>
      <w:r>
        <w:rPr>
          <w:color w:val="231F20"/>
          <w:spacing w:val="-6"/>
        </w:rPr>
        <w:t> </w:t>
      </w:r>
      <w:r>
        <w:rPr>
          <w:color w:val="231F20"/>
        </w:rPr>
        <w:t>forces</w:t>
      </w:r>
      <w:r>
        <w:rPr>
          <w:color w:val="231F20"/>
          <w:spacing w:val="-8"/>
        </w:rPr>
        <w:t> </w:t>
      </w:r>
      <w:r>
        <w:rPr>
          <w:color w:val="231F20"/>
        </w:rPr>
        <w:t>nationales</w:t>
      </w:r>
      <w:r>
        <w:rPr>
          <w:color w:val="231F20"/>
          <w:spacing w:val="-8"/>
        </w:rPr>
        <w:t> </w:t>
      </w:r>
      <w:r>
        <w:rPr>
          <w:color w:val="231F20"/>
        </w:rPr>
        <w:t>de</w:t>
      </w:r>
      <w:r>
        <w:rPr>
          <w:color w:val="231F20"/>
          <w:spacing w:val="-6"/>
        </w:rPr>
        <w:t> </w:t>
      </w:r>
      <w:r>
        <w:rPr>
          <w:color w:val="231F20"/>
        </w:rPr>
        <w:t>défense</w:t>
      </w:r>
      <w:r>
        <w:rPr>
          <w:color w:val="231F20"/>
          <w:spacing w:val="-6"/>
        </w:rPr>
        <w:t> </w:t>
      </w:r>
      <w:r>
        <w:rPr>
          <w:color w:val="231F20"/>
        </w:rPr>
        <w:t>et</w:t>
      </w:r>
      <w:r>
        <w:rPr>
          <w:color w:val="231F20"/>
          <w:spacing w:val="-5"/>
        </w:rPr>
        <w:t> </w:t>
      </w:r>
      <w:r>
        <w:rPr>
          <w:color w:val="231F20"/>
        </w:rPr>
        <w:t>de</w:t>
      </w:r>
      <w:r>
        <w:rPr>
          <w:color w:val="231F20"/>
          <w:spacing w:val="-6"/>
        </w:rPr>
        <w:t> </w:t>
      </w:r>
      <w:r>
        <w:rPr>
          <w:color w:val="231F20"/>
        </w:rPr>
        <w:t>sécurité</w:t>
      </w:r>
      <w:r>
        <w:rPr>
          <w:color w:val="231F20"/>
          <w:spacing w:val="-8"/>
        </w:rPr>
        <w:t> </w:t>
      </w:r>
      <w:r>
        <w:rPr>
          <w:color w:val="231F20"/>
        </w:rPr>
        <w:t>».</w:t>
      </w:r>
    </w:p>
    <w:p>
      <w:pPr>
        <w:spacing w:after="0"/>
        <w:sectPr>
          <w:pgSz w:w="8790" w:h="13610"/>
          <w:pgMar w:header="0" w:footer="802" w:top="1060" w:bottom="1000" w:left="880" w:right="880"/>
        </w:sectPr>
      </w:pPr>
    </w:p>
    <w:p>
      <w:pPr>
        <w:pStyle w:val="BodyText"/>
        <w:spacing w:before="66"/>
        <w:ind w:right="105" w:firstLine="283"/>
      </w:pPr>
      <w:r>
        <w:rPr>
          <w:color w:val="231F20"/>
        </w:rPr>
        <w:t>De</w:t>
      </w:r>
      <w:r>
        <w:rPr>
          <w:color w:val="231F20"/>
          <w:spacing w:val="-15"/>
        </w:rPr>
        <w:t> </w:t>
      </w:r>
      <w:r>
        <w:rPr>
          <w:color w:val="231F20"/>
        </w:rPr>
        <w:t>nombreux</w:t>
      </w:r>
      <w:r>
        <w:rPr>
          <w:color w:val="231F20"/>
          <w:spacing w:val="-15"/>
        </w:rPr>
        <w:t> </w:t>
      </w:r>
      <w:r>
        <w:rPr>
          <w:color w:val="231F20"/>
        </w:rPr>
        <w:t>jeunes,</w:t>
      </w:r>
      <w:r>
        <w:rPr>
          <w:color w:val="231F20"/>
          <w:spacing w:val="-15"/>
        </w:rPr>
        <w:t> </w:t>
      </w:r>
      <w:r>
        <w:rPr>
          <w:color w:val="231F20"/>
        </w:rPr>
        <w:t>beaucoup</w:t>
      </w:r>
      <w:r>
        <w:rPr>
          <w:color w:val="231F20"/>
          <w:spacing w:val="-15"/>
        </w:rPr>
        <w:t> </w:t>
      </w:r>
      <w:r>
        <w:rPr>
          <w:color w:val="231F20"/>
        </w:rPr>
        <w:t>de</w:t>
      </w:r>
      <w:r>
        <w:rPr>
          <w:color w:val="231F20"/>
          <w:spacing w:val="-15"/>
        </w:rPr>
        <w:t> </w:t>
      </w:r>
      <w:r>
        <w:rPr>
          <w:color w:val="231F20"/>
        </w:rPr>
        <w:t>partisans</w:t>
      </w:r>
      <w:r>
        <w:rPr>
          <w:color w:val="231F20"/>
          <w:spacing w:val="-15"/>
        </w:rPr>
        <w:t> </w:t>
      </w:r>
      <w:r>
        <w:rPr>
          <w:color w:val="231F20"/>
        </w:rPr>
        <w:t>de</w:t>
      </w:r>
      <w:r>
        <w:rPr>
          <w:color w:val="231F20"/>
          <w:spacing w:val="-15"/>
        </w:rPr>
        <w:t> </w:t>
      </w:r>
      <w:r>
        <w:rPr>
          <w:color w:val="231F20"/>
        </w:rPr>
        <w:t>Laurent</w:t>
      </w:r>
      <w:r>
        <w:rPr>
          <w:color w:val="231F20"/>
          <w:spacing w:val="-15"/>
        </w:rPr>
        <w:t> </w:t>
      </w:r>
      <w:r>
        <w:rPr>
          <w:color w:val="231F20"/>
        </w:rPr>
        <w:t>Gbagbo</w:t>
      </w:r>
      <w:r>
        <w:rPr>
          <w:color w:val="231F20"/>
          <w:spacing w:val="-15"/>
        </w:rPr>
        <w:t> </w:t>
      </w:r>
      <w:r>
        <w:rPr>
          <w:color w:val="231F20"/>
        </w:rPr>
        <w:t>mais aussi</w:t>
      </w:r>
      <w:r>
        <w:rPr>
          <w:color w:val="231F20"/>
          <w:spacing w:val="-15"/>
        </w:rPr>
        <w:t> </w:t>
      </w:r>
      <w:r>
        <w:rPr>
          <w:color w:val="231F20"/>
        </w:rPr>
        <w:t>des</w:t>
      </w:r>
      <w:r>
        <w:rPr>
          <w:color w:val="231F20"/>
          <w:spacing w:val="-15"/>
        </w:rPr>
        <w:t> </w:t>
      </w:r>
      <w:r>
        <w:rPr>
          <w:color w:val="231F20"/>
        </w:rPr>
        <w:t>non</w:t>
      </w:r>
      <w:r>
        <w:rPr>
          <w:color w:val="231F20"/>
          <w:spacing w:val="-15"/>
        </w:rPr>
        <w:t> </w:t>
      </w:r>
      <w:r>
        <w:rPr>
          <w:color w:val="231F20"/>
        </w:rPr>
        <w:t>partisans</w:t>
      </w:r>
      <w:r>
        <w:rPr>
          <w:color w:val="231F20"/>
          <w:spacing w:val="-15"/>
        </w:rPr>
        <w:t> </w:t>
      </w:r>
      <w:r>
        <w:rPr>
          <w:color w:val="231F20"/>
        </w:rPr>
        <w:t>du</w:t>
      </w:r>
      <w:r>
        <w:rPr>
          <w:color w:val="231F20"/>
          <w:spacing w:val="-15"/>
        </w:rPr>
        <w:t> </w:t>
      </w:r>
      <w:r>
        <w:rPr>
          <w:color w:val="231F20"/>
        </w:rPr>
        <w:t>président</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république,</w:t>
      </w:r>
      <w:r>
        <w:rPr>
          <w:color w:val="231F20"/>
          <w:spacing w:val="-15"/>
        </w:rPr>
        <w:t> </w:t>
      </w:r>
      <w:r>
        <w:rPr>
          <w:color w:val="231F20"/>
        </w:rPr>
        <w:t>descendent</w:t>
      </w:r>
      <w:r>
        <w:rPr>
          <w:color w:val="231F20"/>
          <w:spacing w:val="-15"/>
        </w:rPr>
        <w:t> </w:t>
      </w:r>
      <w:r>
        <w:rPr>
          <w:color w:val="231F20"/>
        </w:rPr>
        <w:t>dans</w:t>
      </w:r>
      <w:r>
        <w:rPr>
          <w:color w:val="231F20"/>
          <w:spacing w:val="-15"/>
        </w:rPr>
        <w:t> </w:t>
      </w:r>
      <w:r>
        <w:rPr>
          <w:color w:val="231F20"/>
        </w:rPr>
        <w:t>la rue. Ils reprochent à la France d’avoir humilié le chef de l’État en parrainant un accord qui garantit l’entrée des rebelles au sein d’un « gouvernement de réconciliation nationale ».</w:t>
      </w:r>
    </w:p>
    <w:p>
      <w:pPr>
        <w:pStyle w:val="BodyText"/>
        <w:spacing w:before="120"/>
        <w:ind w:right="105" w:firstLine="283"/>
      </w:pPr>
      <w:r>
        <w:rPr>
          <w:color w:val="231F20"/>
        </w:rPr>
        <w:t>À</w:t>
      </w:r>
      <w:r>
        <w:rPr>
          <w:color w:val="231F20"/>
          <w:spacing w:val="-5"/>
        </w:rPr>
        <w:t> </w:t>
      </w:r>
      <w:r>
        <w:rPr>
          <w:color w:val="231F20"/>
        </w:rPr>
        <w:t>Paris,</w:t>
      </w:r>
      <w:r>
        <w:rPr>
          <w:color w:val="231F20"/>
          <w:spacing w:val="-5"/>
        </w:rPr>
        <w:t> </w:t>
      </w:r>
      <w:r>
        <w:rPr>
          <w:color w:val="231F20"/>
        </w:rPr>
        <w:t>Laurent</w:t>
      </w:r>
      <w:r>
        <w:rPr>
          <w:color w:val="231F20"/>
          <w:spacing w:val="-6"/>
        </w:rPr>
        <w:t> </w:t>
      </w:r>
      <w:r>
        <w:rPr>
          <w:color w:val="231F20"/>
        </w:rPr>
        <w:t>Gbagbo</w:t>
      </w:r>
      <w:r>
        <w:rPr>
          <w:color w:val="231F20"/>
          <w:spacing w:val="-6"/>
        </w:rPr>
        <w:t> </w:t>
      </w:r>
      <w:r>
        <w:rPr>
          <w:color w:val="231F20"/>
        </w:rPr>
        <w:t>est</w:t>
      </w:r>
      <w:r>
        <w:rPr>
          <w:color w:val="231F20"/>
          <w:spacing w:val="-4"/>
        </w:rPr>
        <w:t> </w:t>
      </w:r>
      <w:r>
        <w:rPr>
          <w:color w:val="231F20"/>
        </w:rPr>
        <w:t>sommé</w:t>
      </w:r>
      <w:r>
        <w:rPr>
          <w:color w:val="231F20"/>
          <w:spacing w:val="-5"/>
        </w:rPr>
        <w:t> </w:t>
      </w:r>
      <w:r>
        <w:rPr>
          <w:color w:val="231F20"/>
        </w:rPr>
        <w:t>par</w:t>
      </w:r>
      <w:r>
        <w:rPr>
          <w:color w:val="231F20"/>
          <w:spacing w:val="-6"/>
        </w:rPr>
        <w:t> </w:t>
      </w:r>
      <w:r>
        <w:rPr>
          <w:color w:val="231F20"/>
        </w:rPr>
        <w:t>Jacques</w:t>
      </w:r>
      <w:r>
        <w:rPr>
          <w:color w:val="231F20"/>
          <w:spacing w:val="-7"/>
        </w:rPr>
        <w:t> </w:t>
      </w:r>
      <w:r>
        <w:rPr>
          <w:color w:val="231F20"/>
        </w:rPr>
        <w:t>Chirac</w:t>
      </w:r>
      <w:r>
        <w:rPr>
          <w:color w:val="231F20"/>
          <w:spacing w:val="-5"/>
        </w:rPr>
        <w:t> </w:t>
      </w:r>
      <w:r>
        <w:rPr>
          <w:color w:val="231F20"/>
        </w:rPr>
        <w:t>de</w:t>
      </w:r>
      <w:r>
        <w:rPr>
          <w:color w:val="231F20"/>
          <w:spacing w:val="-3"/>
        </w:rPr>
        <w:t> </w:t>
      </w:r>
      <w:r>
        <w:rPr>
          <w:color w:val="231F20"/>
        </w:rPr>
        <w:t>regagner au plus vite Abidjan «</w:t>
      </w:r>
      <w:r>
        <w:rPr>
          <w:color w:val="231F20"/>
          <w:spacing w:val="-3"/>
        </w:rPr>
        <w:t> </w:t>
      </w:r>
      <w:r>
        <w:rPr>
          <w:color w:val="231F20"/>
        </w:rPr>
        <w:t>pour calmer ses troupes</w:t>
      </w:r>
      <w:r>
        <w:rPr>
          <w:color w:val="231F20"/>
          <w:spacing w:val="-3"/>
        </w:rPr>
        <w:t> </w:t>
      </w:r>
      <w:r>
        <w:rPr>
          <w:color w:val="231F20"/>
        </w:rPr>
        <w:t>».</w:t>
      </w:r>
    </w:p>
    <w:p>
      <w:pPr>
        <w:pStyle w:val="BodyText"/>
        <w:spacing w:before="120"/>
        <w:ind w:right="104" w:firstLine="283"/>
      </w:pPr>
      <w:r>
        <w:rPr>
          <w:color w:val="231F20"/>
        </w:rPr>
        <w:t>2004.</w:t>
      </w:r>
      <w:r>
        <w:rPr>
          <w:color w:val="231F20"/>
          <w:spacing w:val="-15"/>
        </w:rPr>
        <w:t> </w:t>
      </w:r>
      <w:r>
        <w:rPr>
          <w:color w:val="231F20"/>
        </w:rPr>
        <w:t>Deux</w:t>
      </w:r>
      <w:r>
        <w:rPr>
          <w:color w:val="231F20"/>
          <w:spacing w:val="-15"/>
        </w:rPr>
        <w:t> </w:t>
      </w:r>
      <w:r>
        <w:rPr>
          <w:color w:val="231F20"/>
        </w:rPr>
        <w:t>ans</w:t>
      </w:r>
      <w:r>
        <w:rPr>
          <w:color w:val="231F20"/>
          <w:spacing w:val="-15"/>
        </w:rPr>
        <w:t> </w:t>
      </w:r>
      <w:r>
        <w:rPr>
          <w:color w:val="231F20"/>
        </w:rPr>
        <w:t>déjà</w:t>
      </w:r>
      <w:r>
        <w:rPr>
          <w:color w:val="231F20"/>
          <w:spacing w:val="-15"/>
        </w:rPr>
        <w:t> </w:t>
      </w:r>
      <w:r>
        <w:rPr>
          <w:color w:val="231F20"/>
        </w:rPr>
        <w:t>que</w:t>
      </w:r>
      <w:r>
        <w:rPr>
          <w:color w:val="231F20"/>
          <w:spacing w:val="-15"/>
        </w:rPr>
        <w:t> </w:t>
      </w:r>
      <w:r>
        <w:rPr>
          <w:color w:val="231F20"/>
        </w:rPr>
        <w:t>la</w:t>
      </w:r>
      <w:r>
        <w:rPr>
          <w:color w:val="231F20"/>
          <w:spacing w:val="-15"/>
        </w:rPr>
        <w:t> </w:t>
      </w:r>
      <w:r>
        <w:rPr>
          <w:color w:val="231F20"/>
        </w:rPr>
        <w:t>Côte</w:t>
      </w:r>
      <w:r>
        <w:rPr>
          <w:color w:val="231F20"/>
          <w:spacing w:val="-15"/>
        </w:rPr>
        <w:t> </w:t>
      </w:r>
      <w:r>
        <w:rPr>
          <w:color w:val="231F20"/>
        </w:rPr>
        <w:t>d’Ivoire</w:t>
      </w:r>
      <w:r>
        <w:rPr>
          <w:color w:val="231F20"/>
          <w:spacing w:val="-15"/>
        </w:rPr>
        <w:t> </w:t>
      </w:r>
      <w:r>
        <w:rPr>
          <w:color w:val="231F20"/>
        </w:rPr>
        <w:t>est</w:t>
      </w:r>
      <w:r>
        <w:rPr>
          <w:color w:val="231F20"/>
          <w:spacing w:val="-15"/>
        </w:rPr>
        <w:t> </w:t>
      </w:r>
      <w:r>
        <w:rPr>
          <w:color w:val="231F20"/>
        </w:rPr>
        <w:t>coupée</w:t>
      </w:r>
      <w:r>
        <w:rPr>
          <w:color w:val="231F20"/>
          <w:spacing w:val="-15"/>
        </w:rPr>
        <w:t> </w:t>
      </w:r>
      <w:r>
        <w:rPr>
          <w:color w:val="231F20"/>
        </w:rPr>
        <w:t>en</w:t>
      </w:r>
      <w:r>
        <w:rPr>
          <w:color w:val="231F20"/>
          <w:spacing w:val="-15"/>
        </w:rPr>
        <w:t> </w:t>
      </w:r>
      <w:r>
        <w:rPr>
          <w:color w:val="231F20"/>
        </w:rPr>
        <w:t>«</w:t>
      </w:r>
      <w:r>
        <w:rPr>
          <w:color w:val="231F20"/>
          <w:spacing w:val="-15"/>
        </w:rPr>
        <w:t> </w:t>
      </w:r>
      <w:r>
        <w:rPr>
          <w:color w:val="231F20"/>
        </w:rPr>
        <w:t>deux</w:t>
      </w:r>
      <w:r>
        <w:rPr>
          <w:color w:val="231F20"/>
          <w:spacing w:val="-15"/>
        </w:rPr>
        <w:t> </w:t>
      </w:r>
      <w:r>
        <w:rPr>
          <w:color w:val="231F20"/>
        </w:rPr>
        <w:t>entités territoriales</w:t>
      </w:r>
      <w:r>
        <w:rPr>
          <w:color w:val="231F20"/>
          <w:spacing w:val="-15"/>
        </w:rPr>
        <w:t> </w:t>
      </w:r>
      <w:r>
        <w:rPr>
          <w:color w:val="231F20"/>
        </w:rPr>
        <w:t>»</w:t>
      </w:r>
      <w:r>
        <w:rPr>
          <w:color w:val="231F20"/>
          <w:spacing w:val="-15"/>
        </w:rPr>
        <w:t> </w:t>
      </w:r>
      <w:r>
        <w:rPr>
          <w:color w:val="231F20"/>
        </w:rPr>
        <w:t>:</w:t>
      </w:r>
      <w:r>
        <w:rPr>
          <w:color w:val="231F20"/>
          <w:spacing w:val="-10"/>
        </w:rPr>
        <w:t> </w:t>
      </w:r>
      <w:r>
        <w:rPr>
          <w:color w:val="231F20"/>
        </w:rPr>
        <w:t>une</w:t>
      </w:r>
      <w:r>
        <w:rPr>
          <w:color w:val="231F20"/>
          <w:spacing w:val="-5"/>
        </w:rPr>
        <w:t> </w:t>
      </w:r>
      <w:r>
        <w:rPr>
          <w:color w:val="231F20"/>
        </w:rPr>
        <w:t>Côte</w:t>
      </w:r>
      <w:r>
        <w:rPr>
          <w:color w:val="231F20"/>
          <w:spacing w:val="-3"/>
        </w:rPr>
        <w:t> </w:t>
      </w:r>
      <w:r>
        <w:rPr>
          <w:color w:val="231F20"/>
        </w:rPr>
        <w:t>d’ivoire</w:t>
      </w:r>
      <w:r>
        <w:rPr>
          <w:color w:val="231F20"/>
          <w:spacing w:val="-3"/>
        </w:rPr>
        <w:t> </w:t>
      </w:r>
      <w:r>
        <w:rPr>
          <w:color w:val="231F20"/>
        </w:rPr>
        <w:t>du</w:t>
      </w:r>
      <w:r>
        <w:rPr>
          <w:color w:val="231F20"/>
          <w:spacing w:val="-4"/>
        </w:rPr>
        <w:t> </w:t>
      </w:r>
      <w:r>
        <w:rPr>
          <w:color w:val="231F20"/>
        </w:rPr>
        <w:t>Sud</w:t>
      </w:r>
      <w:r>
        <w:rPr>
          <w:color w:val="231F20"/>
          <w:spacing w:val="-3"/>
        </w:rPr>
        <w:t> </w:t>
      </w:r>
      <w:r>
        <w:rPr>
          <w:color w:val="231F20"/>
        </w:rPr>
        <w:t>et</w:t>
      </w:r>
      <w:r>
        <w:rPr>
          <w:color w:val="231F20"/>
          <w:spacing w:val="-4"/>
        </w:rPr>
        <w:t> </w:t>
      </w:r>
      <w:r>
        <w:rPr>
          <w:color w:val="231F20"/>
        </w:rPr>
        <w:t>une</w:t>
      </w:r>
      <w:r>
        <w:rPr>
          <w:color w:val="231F20"/>
          <w:spacing w:val="-4"/>
        </w:rPr>
        <w:t> </w:t>
      </w:r>
      <w:r>
        <w:rPr>
          <w:color w:val="231F20"/>
        </w:rPr>
        <w:t>Côte-d’ivoire</w:t>
      </w:r>
      <w:r>
        <w:rPr>
          <w:color w:val="231F20"/>
          <w:spacing w:val="-4"/>
        </w:rPr>
        <w:t> </w:t>
      </w:r>
      <w:r>
        <w:rPr>
          <w:color w:val="231F20"/>
        </w:rPr>
        <w:t>du</w:t>
      </w:r>
      <w:r>
        <w:rPr>
          <w:color w:val="231F20"/>
          <w:spacing w:val="-3"/>
        </w:rPr>
        <w:t> </w:t>
      </w:r>
      <w:r>
        <w:rPr>
          <w:color w:val="231F20"/>
        </w:rPr>
        <w:t>Nord</w:t>
      </w:r>
      <w:r>
        <w:rPr>
          <w:color w:val="231F20"/>
          <w:spacing w:val="-15"/>
        </w:rPr>
        <w:t> </w:t>
      </w:r>
      <w:r>
        <w:rPr>
          <w:color w:val="231F20"/>
        </w:rPr>
        <w:t>; un</w:t>
      </w:r>
      <w:r>
        <w:rPr>
          <w:color w:val="231F20"/>
          <w:spacing w:val="-10"/>
        </w:rPr>
        <w:t> </w:t>
      </w:r>
      <w:r>
        <w:rPr>
          <w:color w:val="231F20"/>
        </w:rPr>
        <w:t>Sud</w:t>
      </w:r>
      <w:r>
        <w:rPr>
          <w:color w:val="231F20"/>
          <w:spacing w:val="-10"/>
        </w:rPr>
        <w:t> </w:t>
      </w:r>
      <w:r>
        <w:rPr>
          <w:color w:val="231F20"/>
        </w:rPr>
        <w:t>pro-gouvernemental</w:t>
      </w:r>
      <w:r>
        <w:rPr>
          <w:color w:val="231F20"/>
          <w:spacing w:val="-10"/>
        </w:rPr>
        <w:t> </w:t>
      </w:r>
      <w:r>
        <w:rPr>
          <w:color w:val="231F20"/>
        </w:rPr>
        <w:t>dirigé</w:t>
      </w:r>
      <w:r>
        <w:rPr>
          <w:color w:val="231F20"/>
          <w:spacing w:val="-8"/>
        </w:rPr>
        <w:t> </w:t>
      </w:r>
      <w:r>
        <w:rPr>
          <w:color w:val="231F20"/>
        </w:rPr>
        <w:t>par</w:t>
      </w:r>
      <w:r>
        <w:rPr>
          <w:color w:val="231F20"/>
          <w:spacing w:val="-10"/>
        </w:rPr>
        <w:t> </w:t>
      </w:r>
      <w:r>
        <w:rPr>
          <w:color w:val="231F20"/>
        </w:rPr>
        <w:t>Laurent</w:t>
      </w:r>
      <w:r>
        <w:rPr>
          <w:color w:val="231F20"/>
          <w:spacing w:val="-10"/>
        </w:rPr>
        <w:t> </w:t>
      </w:r>
      <w:r>
        <w:rPr>
          <w:color w:val="231F20"/>
        </w:rPr>
        <w:t>Gbagbo</w:t>
      </w:r>
      <w:r>
        <w:rPr>
          <w:color w:val="231F20"/>
          <w:spacing w:val="-7"/>
        </w:rPr>
        <w:t> </w:t>
      </w:r>
      <w:r>
        <w:rPr>
          <w:color w:val="231F20"/>
        </w:rPr>
        <w:t>et</w:t>
      </w:r>
      <w:r>
        <w:rPr>
          <w:color w:val="231F20"/>
          <w:spacing w:val="-10"/>
        </w:rPr>
        <w:t> </w:t>
      </w:r>
      <w:r>
        <w:rPr>
          <w:color w:val="231F20"/>
        </w:rPr>
        <w:t>un</w:t>
      </w:r>
      <w:r>
        <w:rPr>
          <w:color w:val="231F20"/>
          <w:spacing w:val="-10"/>
        </w:rPr>
        <w:t> </w:t>
      </w:r>
      <w:r>
        <w:rPr>
          <w:color w:val="231F20"/>
        </w:rPr>
        <w:t>Nord</w:t>
      </w:r>
      <w:r>
        <w:rPr>
          <w:color w:val="231F20"/>
          <w:spacing w:val="-10"/>
        </w:rPr>
        <w:t> </w:t>
      </w:r>
      <w:r>
        <w:rPr>
          <w:color w:val="231F20"/>
        </w:rPr>
        <w:t>sous contrôle rebelle dont le «</w:t>
      </w:r>
      <w:r>
        <w:rPr>
          <w:color w:val="231F20"/>
          <w:spacing w:val="-12"/>
        </w:rPr>
        <w:t> </w:t>
      </w:r>
      <w:r>
        <w:rPr>
          <w:color w:val="231F20"/>
        </w:rPr>
        <w:t>patron</w:t>
      </w:r>
      <w:r>
        <w:rPr>
          <w:color w:val="231F20"/>
          <w:spacing w:val="-12"/>
        </w:rPr>
        <w:t> </w:t>
      </w:r>
      <w:r>
        <w:rPr>
          <w:color w:val="231F20"/>
        </w:rPr>
        <w:t>» est Guillaume Soro. Ces deux « territoires</w:t>
      </w:r>
      <w:r>
        <w:rPr>
          <w:color w:val="231F20"/>
          <w:spacing w:val="-13"/>
        </w:rPr>
        <w:t> </w:t>
      </w:r>
      <w:r>
        <w:rPr>
          <w:color w:val="231F20"/>
        </w:rPr>
        <w:t>», sont séparés par une zone dite «</w:t>
      </w:r>
      <w:r>
        <w:rPr>
          <w:color w:val="231F20"/>
          <w:spacing w:val="-11"/>
        </w:rPr>
        <w:t> </w:t>
      </w:r>
      <w:r>
        <w:rPr>
          <w:color w:val="231F20"/>
        </w:rPr>
        <w:t>la zone de confiance</w:t>
      </w:r>
      <w:r>
        <w:rPr>
          <w:color w:val="231F20"/>
          <w:spacing w:val="-13"/>
        </w:rPr>
        <w:t> </w:t>
      </w:r>
      <w:r>
        <w:rPr>
          <w:color w:val="231F20"/>
        </w:rPr>
        <w:t>» agissant exactement comme une frontière entre</w:t>
      </w:r>
      <w:r>
        <w:rPr>
          <w:color w:val="231F20"/>
          <w:spacing w:val="-2"/>
        </w:rPr>
        <w:t> </w:t>
      </w:r>
      <w:r>
        <w:rPr>
          <w:color w:val="231F20"/>
        </w:rPr>
        <w:t>deux États et tenue par une force d’interposition. Aux limites de la zone de confiance, sont </w:t>
      </w:r>
      <w:r>
        <w:rPr>
          <w:color w:val="231F20"/>
          <w:spacing w:val="-2"/>
        </w:rPr>
        <w:t>comptabilisés les échanges entre la Côte-d’Ivoire pro-gouvernementale, </w:t>
      </w:r>
      <w:r>
        <w:rPr>
          <w:color w:val="231F20"/>
        </w:rPr>
        <w:t>les</w:t>
      </w:r>
      <w:r>
        <w:rPr>
          <w:color w:val="231F20"/>
          <w:spacing w:val="-13"/>
        </w:rPr>
        <w:t> </w:t>
      </w:r>
      <w:r>
        <w:rPr>
          <w:color w:val="231F20"/>
        </w:rPr>
        <w:t>Rebelles,</w:t>
      </w:r>
      <w:r>
        <w:rPr>
          <w:color w:val="231F20"/>
          <w:spacing w:val="-13"/>
        </w:rPr>
        <w:t> </w:t>
      </w:r>
      <w:r>
        <w:rPr>
          <w:color w:val="231F20"/>
        </w:rPr>
        <w:t>et</w:t>
      </w:r>
      <w:r>
        <w:rPr>
          <w:color w:val="231F20"/>
          <w:spacing w:val="-14"/>
        </w:rPr>
        <w:t> </w:t>
      </w:r>
      <w:r>
        <w:rPr>
          <w:color w:val="231F20"/>
        </w:rPr>
        <w:t>l’ensemble</w:t>
      </w:r>
      <w:r>
        <w:rPr>
          <w:color w:val="231F20"/>
          <w:spacing w:val="-13"/>
        </w:rPr>
        <w:t> </w:t>
      </w:r>
      <w:r>
        <w:rPr>
          <w:color w:val="231F20"/>
        </w:rPr>
        <w:t>des</w:t>
      </w:r>
      <w:r>
        <w:rPr>
          <w:color w:val="231F20"/>
          <w:spacing w:val="-13"/>
        </w:rPr>
        <w:t> </w:t>
      </w:r>
      <w:r>
        <w:rPr>
          <w:color w:val="231F20"/>
        </w:rPr>
        <w:t>pays</w:t>
      </w:r>
      <w:r>
        <w:rPr>
          <w:color w:val="231F20"/>
          <w:spacing w:val="-14"/>
        </w:rPr>
        <w:t> </w:t>
      </w:r>
      <w:r>
        <w:rPr>
          <w:color w:val="231F20"/>
        </w:rPr>
        <w:t>de</w:t>
      </w:r>
      <w:r>
        <w:rPr>
          <w:color w:val="231F20"/>
          <w:spacing w:val="-13"/>
        </w:rPr>
        <w:t> </w:t>
      </w:r>
      <w:r>
        <w:rPr>
          <w:color w:val="231F20"/>
        </w:rPr>
        <w:t>la</w:t>
      </w:r>
      <w:r>
        <w:rPr>
          <w:color w:val="231F20"/>
          <w:spacing w:val="-12"/>
        </w:rPr>
        <w:t> </w:t>
      </w:r>
      <w:r>
        <w:rPr>
          <w:color w:val="231F20"/>
        </w:rPr>
        <w:t>sous-région,</w:t>
      </w:r>
      <w:r>
        <w:rPr>
          <w:color w:val="231F20"/>
          <w:spacing w:val="-13"/>
        </w:rPr>
        <w:t> </w:t>
      </w:r>
      <w:r>
        <w:rPr>
          <w:color w:val="231F20"/>
        </w:rPr>
        <w:t>surtout</w:t>
      </w:r>
      <w:r>
        <w:rPr>
          <w:color w:val="231F20"/>
          <w:spacing w:val="-13"/>
        </w:rPr>
        <w:t> </w:t>
      </w:r>
      <w:r>
        <w:rPr>
          <w:color w:val="231F20"/>
        </w:rPr>
        <w:t>la</w:t>
      </w:r>
      <w:r>
        <w:rPr>
          <w:color w:val="231F20"/>
          <w:spacing w:val="-13"/>
        </w:rPr>
        <w:t> </w:t>
      </w:r>
      <w:r>
        <w:rPr>
          <w:color w:val="231F20"/>
        </w:rPr>
        <w:t>Guinée du côté Ouest, le</w:t>
      </w:r>
      <w:r>
        <w:rPr>
          <w:color w:val="231F20"/>
          <w:spacing w:val="-1"/>
        </w:rPr>
        <w:t> </w:t>
      </w:r>
      <w:r>
        <w:rPr>
          <w:color w:val="231F20"/>
        </w:rPr>
        <w:t>Mali et</w:t>
      </w:r>
      <w:r>
        <w:rPr>
          <w:color w:val="231F20"/>
          <w:spacing w:val="-1"/>
        </w:rPr>
        <w:t> </w:t>
      </w:r>
      <w:r>
        <w:rPr>
          <w:color w:val="231F20"/>
        </w:rPr>
        <w:t>le Burkina, au</w:t>
      </w:r>
      <w:r>
        <w:rPr>
          <w:color w:val="231F20"/>
          <w:spacing w:val="-1"/>
        </w:rPr>
        <w:t> </w:t>
      </w:r>
      <w:r>
        <w:rPr>
          <w:color w:val="231F20"/>
        </w:rPr>
        <w:t>Nord.</w:t>
      </w:r>
    </w:p>
    <w:p>
      <w:pPr>
        <w:pStyle w:val="BodyText"/>
        <w:spacing w:before="121"/>
        <w:ind w:right="106" w:firstLine="283"/>
      </w:pPr>
      <w:r>
        <w:rPr>
          <w:color w:val="231F20"/>
        </w:rPr>
        <w:t>Le</w:t>
      </w:r>
      <w:r>
        <w:rPr>
          <w:color w:val="231F20"/>
          <w:spacing w:val="-15"/>
        </w:rPr>
        <w:t> </w:t>
      </w:r>
      <w:r>
        <w:rPr>
          <w:color w:val="231F20"/>
        </w:rPr>
        <w:t>«</w:t>
      </w:r>
      <w:r>
        <w:rPr>
          <w:color w:val="231F20"/>
          <w:spacing w:val="-15"/>
        </w:rPr>
        <w:t> </w:t>
      </w:r>
      <w:r>
        <w:rPr>
          <w:color w:val="231F20"/>
        </w:rPr>
        <w:t>territoire</w:t>
      </w:r>
      <w:r>
        <w:rPr>
          <w:color w:val="231F20"/>
          <w:spacing w:val="-15"/>
        </w:rPr>
        <w:t> </w:t>
      </w:r>
      <w:r>
        <w:rPr>
          <w:color w:val="231F20"/>
        </w:rPr>
        <w:t>»</w:t>
      </w:r>
      <w:r>
        <w:rPr>
          <w:color w:val="231F20"/>
          <w:spacing w:val="-13"/>
        </w:rPr>
        <w:t> </w:t>
      </w:r>
      <w:r>
        <w:rPr>
          <w:color w:val="231F20"/>
        </w:rPr>
        <w:t>des</w:t>
      </w:r>
      <w:r>
        <w:rPr>
          <w:color w:val="231F20"/>
          <w:spacing w:val="-12"/>
        </w:rPr>
        <w:t> </w:t>
      </w:r>
      <w:r>
        <w:rPr>
          <w:color w:val="231F20"/>
        </w:rPr>
        <w:t>rebelles,</w:t>
      </w:r>
      <w:r>
        <w:rPr>
          <w:color w:val="231F20"/>
          <w:spacing w:val="-12"/>
        </w:rPr>
        <w:t> </w:t>
      </w:r>
      <w:r>
        <w:rPr>
          <w:color w:val="231F20"/>
        </w:rPr>
        <w:t>60%</w:t>
      </w:r>
      <w:r>
        <w:rPr>
          <w:color w:val="231F20"/>
          <w:spacing w:val="-12"/>
        </w:rPr>
        <w:t> </w:t>
      </w:r>
      <w:r>
        <w:rPr>
          <w:color w:val="231F20"/>
        </w:rPr>
        <w:t>de</w:t>
      </w:r>
      <w:r>
        <w:rPr>
          <w:color w:val="231F20"/>
          <w:spacing w:val="-13"/>
        </w:rPr>
        <w:t> </w:t>
      </w:r>
      <w:r>
        <w:rPr>
          <w:color w:val="231F20"/>
        </w:rPr>
        <w:t>la</w:t>
      </w:r>
      <w:r>
        <w:rPr>
          <w:color w:val="231F20"/>
          <w:spacing w:val="-12"/>
        </w:rPr>
        <w:t> </w:t>
      </w:r>
      <w:r>
        <w:rPr>
          <w:color w:val="231F20"/>
        </w:rPr>
        <w:t>superficie</w:t>
      </w:r>
      <w:r>
        <w:rPr>
          <w:color w:val="231F20"/>
          <w:spacing w:val="-12"/>
        </w:rPr>
        <w:t> </w:t>
      </w:r>
      <w:r>
        <w:rPr>
          <w:color w:val="231F20"/>
        </w:rPr>
        <w:t>de</w:t>
      </w:r>
      <w:r>
        <w:rPr>
          <w:color w:val="231F20"/>
          <w:spacing w:val="-12"/>
        </w:rPr>
        <w:t> </w:t>
      </w:r>
      <w:r>
        <w:rPr>
          <w:color w:val="231F20"/>
        </w:rPr>
        <w:t>la</w:t>
      </w:r>
      <w:r>
        <w:rPr>
          <w:color w:val="231F20"/>
          <w:spacing w:val="-12"/>
        </w:rPr>
        <w:t> </w:t>
      </w:r>
      <w:r>
        <w:rPr>
          <w:color w:val="231F20"/>
        </w:rPr>
        <w:t>Côte</w:t>
      </w:r>
      <w:r>
        <w:rPr>
          <w:color w:val="231F20"/>
          <w:spacing w:val="-12"/>
        </w:rPr>
        <w:t> </w:t>
      </w:r>
      <w:r>
        <w:rPr>
          <w:color w:val="231F20"/>
        </w:rPr>
        <w:t>d’Ivoire </w:t>
      </w:r>
      <w:r>
        <w:rPr>
          <w:color w:val="231F20"/>
          <w:spacing w:val="-2"/>
        </w:rPr>
        <w:t>est</w:t>
      </w:r>
      <w:r>
        <w:rPr>
          <w:color w:val="231F20"/>
          <w:spacing w:val="-10"/>
        </w:rPr>
        <w:t> </w:t>
      </w:r>
      <w:r>
        <w:rPr>
          <w:color w:val="231F20"/>
          <w:spacing w:val="-2"/>
        </w:rPr>
        <w:t>divisé</w:t>
      </w:r>
      <w:r>
        <w:rPr>
          <w:color w:val="231F20"/>
          <w:spacing w:val="-10"/>
        </w:rPr>
        <w:t> </w:t>
      </w:r>
      <w:r>
        <w:rPr>
          <w:color w:val="231F20"/>
          <w:spacing w:val="-2"/>
        </w:rPr>
        <w:t>pour</w:t>
      </w:r>
      <w:r>
        <w:rPr>
          <w:color w:val="231F20"/>
          <w:spacing w:val="-13"/>
        </w:rPr>
        <w:t> </w:t>
      </w:r>
      <w:r>
        <w:rPr>
          <w:color w:val="231F20"/>
          <w:spacing w:val="-2"/>
        </w:rPr>
        <w:t>son</w:t>
      </w:r>
      <w:r>
        <w:rPr>
          <w:color w:val="231F20"/>
          <w:spacing w:val="-10"/>
        </w:rPr>
        <w:t> </w:t>
      </w:r>
      <w:r>
        <w:rPr>
          <w:color w:val="231F20"/>
          <w:spacing w:val="-2"/>
        </w:rPr>
        <w:t>Administration,</w:t>
      </w:r>
      <w:r>
        <w:rPr>
          <w:color w:val="231F20"/>
          <w:spacing w:val="-10"/>
        </w:rPr>
        <w:t> </w:t>
      </w:r>
      <w:r>
        <w:rPr>
          <w:color w:val="231F20"/>
          <w:spacing w:val="-2"/>
        </w:rPr>
        <w:t>en</w:t>
      </w:r>
      <w:r>
        <w:rPr>
          <w:color w:val="231F20"/>
          <w:spacing w:val="-10"/>
        </w:rPr>
        <w:t> </w:t>
      </w:r>
      <w:r>
        <w:rPr>
          <w:color w:val="231F20"/>
          <w:spacing w:val="-2"/>
        </w:rPr>
        <w:t>dix</w:t>
      </w:r>
      <w:r>
        <w:rPr>
          <w:color w:val="231F20"/>
          <w:spacing w:val="-10"/>
        </w:rPr>
        <w:t> </w:t>
      </w:r>
      <w:r>
        <w:rPr>
          <w:color w:val="231F20"/>
          <w:spacing w:val="-2"/>
        </w:rPr>
        <w:t>«</w:t>
      </w:r>
      <w:r>
        <w:rPr>
          <w:color w:val="231F20"/>
          <w:spacing w:val="-13"/>
        </w:rPr>
        <w:t> </w:t>
      </w:r>
      <w:r>
        <w:rPr>
          <w:color w:val="231F20"/>
          <w:spacing w:val="-2"/>
        </w:rPr>
        <w:t>Zones</w:t>
      </w:r>
      <w:r>
        <w:rPr>
          <w:color w:val="231F20"/>
          <w:spacing w:val="-10"/>
        </w:rPr>
        <w:t> </w:t>
      </w:r>
      <w:r>
        <w:rPr>
          <w:color w:val="231F20"/>
          <w:spacing w:val="-2"/>
        </w:rPr>
        <w:t>».</w:t>
      </w:r>
      <w:r>
        <w:rPr>
          <w:color w:val="231F20"/>
          <w:spacing w:val="-10"/>
        </w:rPr>
        <w:t> </w:t>
      </w:r>
      <w:r>
        <w:rPr>
          <w:color w:val="231F20"/>
          <w:spacing w:val="-2"/>
        </w:rPr>
        <w:t>Chacune</w:t>
      </w:r>
      <w:r>
        <w:rPr>
          <w:color w:val="231F20"/>
          <w:spacing w:val="-13"/>
        </w:rPr>
        <w:t> </w:t>
      </w:r>
      <w:r>
        <w:rPr>
          <w:color w:val="231F20"/>
          <w:spacing w:val="-2"/>
        </w:rPr>
        <w:t>des</w:t>
      </w:r>
      <w:r>
        <w:rPr>
          <w:color w:val="231F20"/>
          <w:spacing w:val="-11"/>
        </w:rPr>
        <w:t> </w:t>
      </w:r>
      <w:r>
        <w:rPr>
          <w:color w:val="231F20"/>
          <w:spacing w:val="-2"/>
        </w:rPr>
        <w:t>Zones </w:t>
      </w:r>
      <w:r>
        <w:rPr>
          <w:color w:val="231F20"/>
        </w:rPr>
        <w:t>est dirigée par un Chef de guerre, le Com-zone, Commandant dans l’Armée</w:t>
      </w:r>
      <w:r>
        <w:rPr>
          <w:color w:val="231F20"/>
          <w:spacing w:val="-15"/>
        </w:rPr>
        <w:t> </w:t>
      </w:r>
      <w:r>
        <w:rPr>
          <w:color w:val="231F20"/>
        </w:rPr>
        <w:t>des</w:t>
      </w:r>
      <w:r>
        <w:rPr>
          <w:color w:val="231F20"/>
          <w:spacing w:val="-15"/>
        </w:rPr>
        <w:t> </w:t>
      </w:r>
      <w:r>
        <w:rPr>
          <w:color w:val="231F20"/>
        </w:rPr>
        <w:t>Forces</w:t>
      </w:r>
      <w:r>
        <w:rPr>
          <w:color w:val="231F20"/>
          <w:spacing w:val="-15"/>
        </w:rPr>
        <w:t> </w:t>
      </w:r>
      <w:r>
        <w:rPr>
          <w:color w:val="231F20"/>
        </w:rPr>
        <w:t>Nouvelles(FAFN)</w:t>
      </w:r>
      <w:r>
        <w:rPr>
          <w:color w:val="231F20"/>
          <w:vertAlign w:val="superscript"/>
        </w:rPr>
        <w:t>185</w:t>
      </w:r>
      <w:r>
        <w:rPr>
          <w:color w:val="231F20"/>
          <w:vertAlign w:val="baseline"/>
        </w:rPr>
        <w:t>.</w:t>
      </w:r>
      <w:r>
        <w:rPr>
          <w:color w:val="231F20"/>
          <w:spacing w:val="-15"/>
          <w:vertAlign w:val="baseline"/>
        </w:rPr>
        <w:t> </w:t>
      </w:r>
      <w:r>
        <w:rPr>
          <w:color w:val="231F20"/>
          <w:vertAlign w:val="baseline"/>
        </w:rPr>
        <w:t>Ils</w:t>
      </w:r>
      <w:r>
        <w:rPr>
          <w:color w:val="231F20"/>
          <w:spacing w:val="-15"/>
          <w:vertAlign w:val="baseline"/>
        </w:rPr>
        <w:t> </w:t>
      </w:r>
      <w:r>
        <w:rPr>
          <w:color w:val="231F20"/>
          <w:vertAlign w:val="baseline"/>
        </w:rPr>
        <w:t>constituent</w:t>
      </w:r>
      <w:r>
        <w:rPr>
          <w:color w:val="231F20"/>
          <w:spacing w:val="-15"/>
          <w:vertAlign w:val="baseline"/>
        </w:rPr>
        <w:t> </w:t>
      </w:r>
      <w:r>
        <w:rPr>
          <w:color w:val="231F20"/>
          <w:vertAlign w:val="baseline"/>
        </w:rPr>
        <w:t>le</w:t>
      </w:r>
      <w:r>
        <w:rPr>
          <w:color w:val="231F20"/>
          <w:spacing w:val="-15"/>
          <w:vertAlign w:val="baseline"/>
        </w:rPr>
        <w:t> </w:t>
      </w:r>
      <w:r>
        <w:rPr>
          <w:color w:val="231F20"/>
          <w:vertAlign w:val="baseline"/>
        </w:rPr>
        <w:t>socle</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vrai pouvoir des rebelles.</w:t>
      </w:r>
    </w:p>
    <w:p>
      <w:pPr>
        <w:pStyle w:val="BodyText"/>
        <w:spacing w:before="120"/>
        <w:ind w:left="395"/>
      </w:pPr>
      <w:r>
        <w:rPr>
          <w:color w:val="231F20"/>
        </w:rPr>
        <w:t>La</w:t>
      </w:r>
      <w:r>
        <w:rPr>
          <w:color w:val="231F20"/>
          <w:spacing w:val="-7"/>
        </w:rPr>
        <w:t> </w:t>
      </w:r>
      <w:r>
        <w:rPr>
          <w:color w:val="231F20"/>
        </w:rPr>
        <w:t>Zone</w:t>
      </w:r>
      <w:r>
        <w:rPr>
          <w:color w:val="231F20"/>
          <w:spacing w:val="-7"/>
        </w:rPr>
        <w:t> </w:t>
      </w:r>
      <w:r>
        <w:rPr>
          <w:color w:val="231F20"/>
        </w:rPr>
        <w:t>1,</w:t>
      </w:r>
      <w:r>
        <w:rPr>
          <w:color w:val="231F20"/>
          <w:spacing w:val="-9"/>
        </w:rPr>
        <w:t> </w:t>
      </w:r>
      <w:r>
        <w:rPr>
          <w:color w:val="231F20"/>
        </w:rPr>
        <w:t>la</w:t>
      </w:r>
      <w:r>
        <w:rPr>
          <w:color w:val="231F20"/>
          <w:spacing w:val="-7"/>
        </w:rPr>
        <w:t> </w:t>
      </w:r>
      <w:r>
        <w:rPr>
          <w:color w:val="231F20"/>
        </w:rPr>
        <w:t>région</w:t>
      </w:r>
      <w:r>
        <w:rPr>
          <w:color w:val="231F20"/>
          <w:spacing w:val="-7"/>
        </w:rPr>
        <w:t> </w:t>
      </w:r>
      <w:r>
        <w:rPr>
          <w:color w:val="231F20"/>
        </w:rPr>
        <w:t>de</w:t>
      </w:r>
      <w:r>
        <w:rPr>
          <w:color w:val="231F20"/>
          <w:spacing w:val="-8"/>
        </w:rPr>
        <w:t> </w:t>
      </w:r>
      <w:r>
        <w:rPr>
          <w:color w:val="231F20"/>
        </w:rPr>
        <w:t>Bouna</w:t>
      </w:r>
      <w:r>
        <w:rPr>
          <w:color w:val="231F20"/>
          <w:vertAlign w:val="superscript"/>
        </w:rPr>
        <w:t>186</w:t>
      </w:r>
      <w:r>
        <w:rPr>
          <w:color w:val="231F20"/>
          <w:vertAlign w:val="baseline"/>
        </w:rPr>
        <w:t>,</w:t>
      </w:r>
      <w:r>
        <w:rPr>
          <w:color w:val="231F20"/>
          <w:spacing w:val="-7"/>
          <w:vertAlign w:val="baseline"/>
        </w:rPr>
        <w:t> </w:t>
      </w:r>
      <w:r>
        <w:rPr>
          <w:color w:val="231F20"/>
          <w:vertAlign w:val="baseline"/>
        </w:rPr>
        <w:t>est</w:t>
      </w:r>
      <w:r>
        <w:rPr>
          <w:color w:val="231F20"/>
          <w:spacing w:val="-6"/>
          <w:vertAlign w:val="baseline"/>
        </w:rPr>
        <w:t> </w:t>
      </w:r>
      <w:r>
        <w:rPr>
          <w:color w:val="231F20"/>
          <w:vertAlign w:val="baseline"/>
        </w:rPr>
        <w:t>dirigée</w:t>
      </w:r>
      <w:r>
        <w:rPr>
          <w:color w:val="231F20"/>
          <w:spacing w:val="-7"/>
          <w:vertAlign w:val="baseline"/>
        </w:rPr>
        <w:t> </w:t>
      </w:r>
      <w:r>
        <w:rPr>
          <w:color w:val="231F20"/>
          <w:vertAlign w:val="baseline"/>
        </w:rPr>
        <w:t>par</w:t>
      </w:r>
      <w:r>
        <w:rPr>
          <w:color w:val="231F20"/>
          <w:spacing w:val="-8"/>
          <w:vertAlign w:val="baseline"/>
        </w:rPr>
        <w:t> </w:t>
      </w:r>
      <w:r>
        <w:rPr>
          <w:color w:val="231F20"/>
          <w:vertAlign w:val="baseline"/>
        </w:rPr>
        <w:t>Morou</w:t>
      </w:r>
      <w:r>
        <w:rPr>
          <w:color w:val="231F20"/>
          <w:spacing w:val="-15"/>
          <w:vertAlign w:val="baseline"/>
        </w:rPr>
        <w:t> </w:t>
      </w:r>
      <w:r>
        <w:rPr>
          <w:color w:val="231F20"/>
          <w:vertAlign w:val="baseline"/>
        </w:rPr>
        <w:t>Ouattara,</w:t>
      </w:r>
      <w:r>
        <w:rPr>
          <w:color w:val="231F20"/>
          <w:spacing w:val="-7"/>
          <w:vertAlign w:val="baseline"/>
        </w:rPr>
        <w:t> </w:t>
      </w:r>
      <w:r>
        <w:rPr>
          <w:color w:val="231F20"/>
          <w:spacing w:val="-5"/>
          <w:vertAlign w:val="baseline"/>
        </w:rPr>
        <w:t>un</w:t>
      </w:r>
    </w:p>
    <w:p>
      <w:pPr>
        <w:pStyle w:val="BodyText"/>
      </w:pPr>
      <w:r>
        <w:rPr>
          <w:color w:val="231F20"/>
          <w:spacing w:val="-2"/>
        </w:rPr>
        <w:t>ancien</w:t>
      </w:r>
      <w:r>
        <w:rPr>
          <w:color w:val="231F20"/>
          <w:spacing w:val="-12"/>
        </w:rPr>
        <w:t> </w:t>
      </w:r>
      <w:r>
        <w:rPr>
          <w:color w:val="231F20"/>
          <w:spacing w:val="-2"/>
        </w:rPr>
        <w:t>boxeur</w:t>
      </w:r>
      <w:r>
        <w:rPr>
          <w:color w:val="231F20"/>
          <w:spacing w:val="-10"/>
        </w:rPr>
        <w:t> </w:t>
      </w:r>
      <w:r>
        <w:rPr>
          <w:color w:val="231F20"/>
          <w:spacing w:val="-2"/>
        </w:rPr>
        <w:t>de</w:t>
      </w:r>
      <w:r>
        <w:rPr>
          <w:color w:val="231F20"/>
          <w:spacing w:val="-12"/>
        </w:rPr>
        <w:t> </w:t>
      </w:r>
      <w:r>
        <w:rPr>
          <w:color w:val="231F20"/>
          <w:spacing w:val="-2"/>
        </w:rPr>
        <w:t>la</w:t>
      </w:r>
      <w:r>
        <w:rPr>
          <w:color w:val="231F20"/>
          <w:spacing w:val="-10"/>
        </w:rPr>
        <w:t> </w:t>
      </w:r>
      <w:r>
        <w:rPr>
          <w:color w:val="231F20"/>
          <w:spacing w:val="-2"/>
        </w:rPr>
        <w:t>Société</w:t>
      </w:r>
      <w:r>
        <w:rPr>
          <w:color w:val="231F20"/>
          <w:spacing w:val="-10"/>
        </w:rPr>
        <w:t> </w:t>
      </w:r>
      <w:r>
        <w:rPr>
          <w:color w:val="231F20"/>
          <w:spacing w:val="-2"/>
        </w:rPr>
        <w:t>omnisport</w:t>
      </w:r>
      <w:r>
        <w:rPr>
          <w:color w:val="231F20"/>
          <w:spacing w:val="-9"/>
        </w:rPr>
        <w:t> </w:t>
      </w:r>
      <w:r>
        <w:rPr>
          <w:color w:val="231F20"/>
          <w:spacing w:val="-2"/>
        </w:rPr>
        <w:t>de</w:t>
      </w:r>
      <w:r>
        <w:rPr>
          <w:color w:val="231F20"/>
          <w:spacing w:val="-12"/>
        </w:rPr>
        <w:t> </w:t>
      </w:r>
      <w:r>
        <w:rPr>
          <w:color w:val="231F20"/>
          <w:spacing w:val="-2"/>
        </w:rPr>
        <w:t>l’armée</w:t>
      </w:r>
      <w:r>
        <w:rPr>
          <w:color w:val="231F20"/>
          <w:spacing w:val="-9"/>
        </w:rPr>
        <w:t> </w:t>
      </w:r>
      <w:r>
        <w:rPr>
          <w:color w:val="231F20"/>
          <w:spacing w:val="-2"/>
        </w:rPr>
        <w:t>ivoirienne</w:t>
      </w:r>
      <w:r>
        <w:rPr>
          <w:color w:val="231F20"/>
          <w:spacing w:val="-12"/>
        </w:rPr>
        <w:t> </w:t>
      </w:r>
      <w:r>
        <w:rPr>
          <w:color w:val="231F20"/>
          <w:spacing w:val="-2"/>
        </w:rPr>
        <w:t>(SOA).</w:t>
      </w:r>
    </w:p>
    <w:p>
      <w:pPr>
        <w:pStyle w:val="BodyText"/>
        <w:spacing w:before="120"/>
        <w:ind w:right="104" w:firstLine="283"/>
      </w:pPr>
      <w:r>
        <w:rPr>
          <w:color w:val="231F20"/>
        </w:rPr>
        <w:t>Au début de la rébellion, il s’était fait remarquer avec ses éléments composés de nombreuses jeunes filles. Le nom de son unité est « Atchengué</w:t>
      </w:r>
      <w:r>
        <w:rPr>
          <w:color w:val="231F20"/>
          <w:spacing w:val="-15"/>
        </w:rPr>
        <w:t> </w:t>
      </w:r>
      <w:r>
        <w:rPr>
          <w:color w:val="231F20"/>
        </w:rPr>
        <w:t>»</w:t>
      </w:r>
      <w:r>
        <w:rPr>
          <w:color w:val="231F20"/>
          <w:spacing w:val="-7"/>
        </w:rPr>
        <w:t> </w:t>
      </w:r>
      <w:r>
        <w:rPr>
          <w:color w:val="231F20"/>
        </w:rPr>
        <w:t>en</w:t>
      </w:r>
      <w:r>
        <w:rPr>
          <w:color w:val="231F20"/>
          <w:spacing w:val="-4"/>
        </w:rPr>
        <w:t> </w:t>
      </w:r>
      <w:r>
        <w:rPr>
          <w:color w:val="231F20"/>
        </w:rPr>
        <w:t>Moré,</w:t>
      </w:r>
      <w:r>
        <w:rPr>
          <w:color w:val="231F20"/>
          <w:spacing w:val="-4"/>
        </w:rPr>
        <w:t> </w:t>
      </w:r>
      <w:r>
        <w:rPr>
          <w:color w:val="231F20"/>
        </w:rPr>
        <w:t>une</w:t>
      </w:r>
      <w:r>
        <w:rPr>
          <w:color w:val="231F20"/>
          <w:spacing w:val="-4"/>
        </w:rPr>
        <w:t> </w:t>
      </w:r>
      <w:r>
        <w:rPr>
          <w:color w:val="231F20"/>
        </w:rPr>
        <w:t>langue</w:t>
      </w:r>
      <w:r>
        <w:rPr>
          <w:color w:val="231F20"/>
          <w:spacing w:val="-4"/>
        </w:rPr>
        <w:t> </w:t>
      </w:r>
      <w:r>
        <w:rPr>
          <w:color w:val="231F20"/>
        </w:rPr>
        <w:t>du</w:t>
      </w:r>
      <w:r>
        <w:rPr>
          <w:color w:val="231F20"/>
          <w:spacing w:val="-4"/>
        </w:rPr>
        <w:t> </w:t>
      </w:r>
      <w:r>
        <w:rPr>
          <w:color w:val="231F20"/>
        </w:rPr>
        <w:t>Burkina</w:t>
      </w:r>
      <w:r>
        <w:rPr>
          <w:color w:val="231F20"/>
          <w:spacing w:val="-4"/>
        </w:rPr>
        <w:t> </w:t>
      </w:r>
      <w:r>
        <w:rPr>
          <w:color w:val="231F20"/>
        </w:rPr>
        <w:t>Faso.</w:t>
      </w:r>
      <w:r>
        <w:rPr>
          <w:color w:val="231F20"/>
          <w:spacing w:val="-5"/>
        </w:rPr>
        <w:t> </w:t>
      </w:r>
      <w:r>
        <w:rPr>
          <w:color w:val="231F20"/>
        </w:rPr>
        <w:t>Sa</w:t>
      </w:r>
      <w:r>
        <w:rPr>
          <w:color w:val="231F20"/>
          <w:spacing w:val="-5"/>
        </w:rPr>
        <w:t> </w:t>
      </w:r>
      <w:r>
        <w:rPr>
          <w:color w:val="231F20"/>
        </w:rPr>
        <w:t>présence</w:t>
      </w:r>
      <w:r>
        <w:rPr>
          <w:color w:val="231F20"/>
          <w:spacing w:val="-5"/>
        </w:rPr>
        <w:t> </w:t>
      </w:r>
      <w:r>
        <w:rPr>
          <w:color w:val="231F20"/>
        </w:rPr>
        <w:t>à</w:t>
      </w:r>
      <w:r>
        <w:rPr>
          <w:color w:val="231F20"/>
          <w:spacing w:val="-5"/>
        </w:rPr>
        <w:t> </w:t>
      </w:r>
      <w:r>
        <w:rPr>
          <w:color w:val="231F20"/>
        </w:rPr>
        <w:t>l’Est répond</w:t>
      </w:r>
      <w:r>
        <w:rPr>
          <w:color w:val="231F20"/>
          <w:spacing w:val="-4"/>
        </w:rPr>
        <w:t> </w:t>
      </w:r>
      <w:r>
        <w:rPr>
          <w:color w:val="231F20"/>
        </w:rPr>
        <w:t>au</w:t>
      </w:r>
      <w:r>
        <w:rPr>
          <w:color w:val="231F20"/>
          <w:spacing w:val="-6"/>
        </w:rPr>
        <w:t> </w:t>
      </w:r>
      <w:r>
        <w:rPr>
          <w:color w:val="231F20"/>
        </w:rPr>
        <w:t>souci</w:t>
      </w:r>
      <w:r>
        <w:rPr>
          <w:color w:val="231F20"/>
          <w:spacing w:val="-4"/>
        </w:rPr>
        <w:t> </w:t>
      </w:r>
      <w:r>
        <w:rPr>
          <w:color w:val="231F20"/>
        </w:rPr>
        <w:t>de</w:t>
      </w:r>
      <w:r>
        <w:rPr>
          <w:color w:val="231F20"/>
          <w:spacing w:val="-4"/>
        </w:rPr>
        <w:t> </w:t>
      </w:r>
      <w:r>
        <w:rPr>
          <w:color w:val="231F20"/>
        </w:rPr>
        <w:t>verrouiller</w:t>
      </w:r>
      <w:r>
        <w:rPr>
          <w:color w:val="231F20"/>
          <w:spacing w:val="-6"/>
        </w:rPr>
        <w:t> </w:t>
      </w:r>
      <w:r>
        <w:rPr>
          <w:color w:val="231F20"/>
        </w:rPr>
        <w:t>les</w:t>
      </w:r>
      <w:r>
        <w:rPr>
          <w:color w:val="231F20"/>
          <w:spacing w:val="-4"/>
        </w:rPr>
        <w:t> </w:t>
      </w:r>
      <w:r>
        <w:rPr>
          <w:color w:val="231F20"/>
        </w:rPr>
        <w:t>frontières</w:t>
      </w:r>
      <w:r>
        <w:rPr>
          <w:color w:val="231F20"/>
          <w:spacing w:val="-4"/>
        </w:rPr>
        <w:t> </w:t>
      </w:r>
      <w:r>
        <w:rPr>
          <w:color w:val="231F20"/>
        </w:rPr>
        <w:t>Ghanéennes.</w:t>
      </w:r>
    </w:p>
    <w:p>
      <w:pPr>
        <w:pStyle w:val="BodyText"/>
        <w:spacing w:before="121"/>
        <w:ind w:right="101" w:firstLine="283"/>
      </w:pPr>
      <w:r>
        <w:rPr>
          <w:color w:val="231F20"/>
          <w:spacing w:val="-2"/>
        </w:rPr>
        <w:t>La</w:t>
      </w:r>
      <w:r>
        <w:rPr>
          <w:color w:val="231F20"/>
          <w:spacing w:val="-10"/>
        </w:rPr>
        <w:t> </w:t>
      </w:r>
      <w:r>
        <w:rPr>
          <w:color w:val="231F20"/>
          <w:spacing w:val="-2"/>
        </w:rPr>
        <w:t>Zone</w:t>
      </w:r>
      <w:r>
        <w:rPr>
          <w:color w:val="231F20"/>
          <w:spacing w:val="-12"/>
        </w:rPr>
        <w:t> </w:t>
      </w:r>
      <w:r>
        <w:rPr>
          <w:color w:val="231F20"/>
          <w:spacing w:val="-2"/>
        </w:rPr>
        <w:t>2</w:t>
      </w:r>
      <w:r>
        <w:rPr>
          <w:color w:val="231F20"/>
          <w:spacing w:val="-9"/>
        </w:rPr>
        <w:t> </w:t>
      </w:r>
      <w:r>
        <w:rPr>
          <w:color w:val="231F20"/>
          <w:spacing w:val="-2"/>
        </w:rPr>
        <w:t>couvre</w:t>
      </w:r>
      <w:r>
        <w:rPr>
          <w:color w:val="231F20"/>
          <w:spacing w:val="-12"/>
        </w:rPr>
        <w:t> </w:t>
      </w:r>
      <w:r>
        <w:rPr>
          <w:color w:val="231F20"/>
          <w:spacing w:val="-2"/>
        </w:rPr>
        <w:t>la</w:t>
      </w:r>
      <w:r>
        <w:rPr>
          <w:color w:val="231F20"/>
          <w:spacing w:val="-10"/>
        </w:rPr>
        <w:t> </w:t>
      </w:r>
      <w:r>
        <w:rPr>
          <w:color w:val="231F20"/>
          <w:spacing w:val="-2"/>
        </w:rPr>
        <w:t>région</w:t>
      </w:r>
      <w:r>
        <w:rPr>
          <w:color w:val="231F20"/>
          <w:spacing w:val="-10"/>
        </w:rPr>
        <w:t> </w:t>
      </w:r>
      <w:r>
        <w:rPr>
          <w:color w:val="231F20"/>
          <w:spacing w:val="-2"/>
        </w:rPr>
        <w:t>de</w:t>
      </w:r>
      <w:r>
        <w:rPr>
          <w:color w:val="231F20"/>
          <w:spacing w:val="-10"/>
        </w:rPr>
        <w:t> </w:t>
      </w:r>
      <w:r>
        <w:rPr>
          <w:color w:val="231F20"/>
          <w:spacing w:val="-2"/>
        </w:rPr>
        <w:t>Katiola,</w:t>
      </w:r>
      <w:r>
        <w:rPr>
          <w:color w:val="231F20"/>
          <w:spacing w:val="-11"/>
        </w:rPr>
        <w:t> </w:t>
      </w:r>
      <w:r>
        <w:rPr>
          <w:color w:val="231F20"/>
          <w:spacing w:val="-2"/>
        </w:rPr>
        <w:t>Dabakala,</w:t>
      </w:r>
      <w:r>
        <w:rPr>
          <w:color w:val="231F20"/>
          <w:spacing w:val="-11"/>
        </w:rPr>
        <w:t> </w:t>
      </w:r>
      <w:r>
        <w:rPr>
          <w:color w:val="231F20"/>
          <w:spacing w:val="-2"/>
        </w:rPr>
        <w:t>Niakaramandougou </w:t>
      </w:r>
      <w:r>
        <w:rPr>
          <w:color w:val="231F20"/>
        </w:rPr>
        <w:t>et</w:t>
      </w:r>
      <w:r>
        <w:rPr>
          <w:color w:val="231F20"/>
          <w:spacing w:val="-14"/>
        </w:rPr>
        <w:t> </w:t>
      </w:r>
      <w:r>
        <w:rPr>
          <w:color w:val="231F20"/>
        </w:rPr>
        <w:t>Tafiré</w:t>
      </w:r>
      <w:r>
        <w:rPr>
          <w:color w:val="231F20"/>
          <w:vertAlign w:val="superscript"/>
        </w:rPr>
        <w:t>187</w:t>
      </w:r>
      <w:r>
        <w:rPr>
          <w:color w:val="231F20"/>
          <w:vertAlign w:val="baseline"/>
        </w:rPr>
        <w:t>. Elle est dirigée par</w:t>
      </w:r>
      <w:r>
        <w:rPr>
          <w:color w:val="231F20"/>
          <w:spacing w:val="-14"/>
          <w:vertAlign w:val="baseline"/>
        </w:rPr>
        <w:t> </w:t>
      </w:r>
      <w:r>
        <w:rPr>
          <w:color w:val="231F20"/>
          <w:vertAlign w:val="baseline"/>
        </w:rPr>
        <w:t>Hervé Pélikan Touré</w:t>
      </w:r>
      <w:r>
        <w:rPr>
          <w:color w:val="231F20"/>
          <w:spacing w:val="-14"/>
          <w:vertAlign w:val="baseline"/>
        </w:rPr>
        <w:t> </w:t>
      </w:r>
      <w:r>
        <w:rPr>
          <w:color w:val="231F20"/>
          <w:vertAlign w:val="baseline"/>
        </w:rPr>
        <w:t>alias «</w:t>
      </w:r>
      <w:r>
        <w:rPr>
          <w:color w:val="231F20"/>
          <w:spacing w:val="-14"/>
          <w:vertAlign w:val="baseline"/>
        </w:rPr>
        <w:t> </w:t>
      </w:r>
      <w:r>
        <w:rPr>
          <w:color w:val="231F20"/>
          <w:vertAlign w:val="baseline"/>
        </w:rPr>
        <w:t>Vetcho</w:t>
      </w:r>
      <w:r>
        <w:rPr>
          <w:color w:val="231F20"/>
          <w:spacing w:val="-15"/>
          <w:vertAlign w:val="baseline"/>
        </w:rPr>
        <w:t> </w:t>
      </w:r>
      <w:r>
        <w:rPr>
          <w:color w:val="231F20"/>
          <w:vertAlign w:val="baseline"/>
        </w:rPr>
        <w:t>», natif</w:t>
      </w:r>
      <w:r>
        <w:rPr>
          <w:color w:val="231F20"/>
          <w:spacing w:val="53"/>
          <w:vertAlign w:val="baseline"/>
        </w:rPr>
        <w:t> </w:t>
      </w:r>
      <w:r>
        <w:rPr>
          <w:color w:val="231F20"/>
          <w:vertAlign w:val="baseline"/>
        </w:rPr>
        <w:t>de</w:t>
      </w:r>
      <w:r>
        <w:rPr>
          <w:color w:val="231F20"/>
          <w:spacing w:val="59"/>
          <w:vertAlign w:val="baseline"/>
        </w:rPr>
        <w:t> </w:t>
      </w:r>
      <w:r>
        <w:rPr>
          <w:color w:val="231F20"/>
          <w:vertAlign w:val="baseline"/>
        </w:rPr>
        <w:t>Katiola</w:t>
      </w:r>
      <w:r>
        <w:rPr>
          <w:color w:val="231F20"/>
          <w:spacing w:val="-15"/>
          <w:vertAlign w:val="baseline"/>
        </w:rPr>
        <w:t> </w:t>
      </w:r>
      <w:r>
        <w:rPr>
          <w:color w:val="231F20"/>
          <w:vertAlign w:val="superscript"/>
        </w:rPr>
        <w:t>188</w:t>
      </w:r>
      <w:r>
        <w:rPr>
          <w:color w:val="231F20"/>
          <w:spacing w:val="-13"/>
          <w:vertAlign w:val="baseline"/>
        </w:rPr>
        <w:t> </w:t>
      </w:r>
      <w:r>
        <w:rPr>
          <w:color w:val="231F20"/>
          <w:vertAlign w:val="baseline"/>
        </w:rPr>
        <w:t>.</w:t>
      </w:r>
      <w:r>
        <w:rPr>
          <w:color w:val="231F20"/>
          <w:spacing w:val="59"/>
          <w:vertAlign w:val="baseline"/>
        </w:rPr>
        <w:t> </w:t>
      </w:r>
      <w:r>
        <w:rPr>
          <w:color w:val="231F20"/>
          <w:vertAlign w:val="baseline"/>
        </w:rPr>
        <w:t>C’est</w:t>
      </w:r>
      <w:r>
        <w:rPr>
          <w:color w:val="231F20"/>
          <w:spacing w:val="58"/>
          <w:vertAlign w:val="baseline"/>
        </w:rPr>
        <w:t> </w:t>
      </w:r>
      <w:r>
        <w:rPr>
          <w:color w:val="231F20"/>
          <w:vertAlign w:val="baseline"/>
        </w:rPr>
        <w:t>un</w:t>
      </w:r>
      <w:r>
        <w:rPr>
          <w:color w:val="231F20"/>
          <w:spacing w:val="59"/>
          <w:vertAlign w:val="baseline"/>
        </w:rPr>
        <w:t> </w:t>
      </w:r>
      <w:r>
        <w:rPr>
          <w:color w:val="231F20"/>
          <w:vertAlign w:val="baseline"/>
        </w:rPr>
        <w:t>ancien</w:t>
      </w:r>
      <w:r>
        <w:rPr>
          <w:color w:val="231F20"/>
          <w:spacing w:val="59"/>
          <w:vertAlign w:val="baseline"/>
        </w:rPr>
        <w:t> </w:t>
      </w:r>
      <w:r>
        <w:rPr>
          <w:color w:val="231F20"/>
          <w:vertAlign w:val="baseline"/>
        </w:rPr>
        <w:t>de</w:t>
      </w:r>
      <w:r>
        <w:rPr>
          <w:color w:val="231F20"/>
          <w:spacing w:val="56"/>
          <w:vertAlign w:val="baseline"/>
        </w:rPr>
        <w:t> </w:t>
      </w:r>
      <w:r>
        <w:rPr>
          <w:color w:val="231F20"/>
          <w:vertAlign w:val="baseline"/>
        </w:rPr>
        <w:t>la</w:t>
      </w:r>
      <w:r>
        <w:rPr>
          <w:color w:val="231F20"/>
          <w:spacing w:val="-11"/>
          <w:vertAlign w:val="baseline"/>
        </w:rPr>
        <w:t> </w:t>
      </w:r>
      <w:r>
        <w:rPr>
          <w:color w:val="231F20"/>
          <w:vertAlign w:val="baseline"/>
        </w:rPr>
        <w:t>Garde</w:t>
      </w:r>
      <w:r>
        <w:rPr>
          <w:color w:val="231F20"/>
          <w:spacing w:val="56"/>
          <w:vertAlign w:val="baseline"/>
        </w:rPr>
        <w:t> </w:t>
      </w:r>
      <w:r>
        <w:rPr>
          <w:color w:val="231F20"/>
          <w:vertAlign w:val="baseline"/>
        </w:rPr>
        <w:t>Républicaine,</w:t>
      </w:r>
      <w:r>
        <w:rPr>
          <w:color w:val="231F20"/>
          <w:spacing w:val="55"/>
          <w:vertAlign w:val="baseline"/>
        </w:rPr>
        <w:t> </w:t>
      </w:r>
      <w:r>
        <w:rPr>
          <w:color w:val="231F20"/>
          <w:spacing w:val="-5"/>
          <w:vertAlign w:val="baseline"/>
        </w:rPr>
        <w:t>du</w:t>
      </w:r>
    </w:p>
    <w:p>
      <w:pPr>
        <w:pStyle w:val="BodyText"/>
        <w:spacing w:before="153"/>
        <w:ind w:left="0"/>
        <w:jc w:val="left"/>
        <w:rPr>
          <w:sz w:val="20"/>
        </w:rPr>
      </w:pPr>
      <w:r>
        <w:rPr/>
        <mc:AlternateContent>
          <mc:Choice Requires="wps">
            <w:drawing>
              <wp:anchor distT="0" distB="0" distL="0" distR="0" allowOverlap="1" layoutInCell="1" locked="0" behindDoc="1" simplePos="0" relativeHeight="487646720">
                <wp:simplePos x="0" y="0"/>
                <wp:positionH relativeFrom="page">
                  <wp:posOffset>629907</wp:posOffset>
                </wp:positionH>
                <wp:positionV relativeFrom="paragraph">
                  <wp:posOffset>258461</wp:posOffset>
                </wp:positionV>
                <wp:extent cx="1829435" cy="9525"/>
                <wp:effectExtent l="0" t="0" r="0" b="0"/>
                <wp:wrapTopAndBottom/>
                <wp:docPr id="144" name="Graphic 144"/>
                <wp:cNvGraphicFramePr>
                  <a:graphicFrameLocks/>
                </wp:cNvGraphicFramePr>
                <a:graphic>
                  <a:graphicData uri="http://schemas.microsoft.com/office/word/2010/wordprocessingShape">
                    <wps:wsp>
                      <wps:cNvPr id="144" name="Graphic 144"/>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351328pt;width:144.020pt;height:.72pt;mso-position-horizontal-relative:page;mso-position-vertical-relative:paragraph;z-index:-15669760;mso-wrap-distance-left:0;mso-wrap-distance-right:0" id="docshape142" filled="true" fillcolor="#231f20" stroked="false">
                <v:fill type="solid"/>
                <w10:wrap type="topAndBottom"/>
              </v:rect>
            </w:pict>
          </mc:Fallback>
        </mc:AlternateContent>
      </w:r>
    </w:p>
    <w:p>
      <w:pPr>
        <w:spacing w:before="91"/>
        <w:ind w:left="111" w:right="106" w:firstLine="0"/>
        <w:jc w:val="left"/>
        <w:rPr>
          <w:sz w:val="20"/>
        </w:rPr>
      </w:pPr>
      <w:r>
        <w:rPr>
          <w:color w:val="76787A"/>
          <w:spacing w:val="-2"/>
          <w:sz w:val="20"/>
          <w:vertAlign w:val="superscript"/>
        </w:rPr>
        <w:t>185</w:t>
      </w:r>
      <w:r>
        <w:rPr>
          <w:color w:val="76787A"/>
          <w:spacing w:val="-19"/>
          <w:sz w:val="20"/>
          <w:vertAlign w:val="baseline"/>
        </w:rPr>
        <w:t> </w:t>
      </w:r>
      <w:r>
        <w:rPr>
          <w:color w:val="231F20"/>
          <w:spacing w:val="-2"/>
          <w:sz w:val="20"/>
          <w:vertAlign w:val="baseline"/>
        </w:rPr>
        <w:t>Les</w:t>
      </w:r>
      <w:r>
        <w:rPr>
          <w:color w:val="231F20"/>
          <w:spacing w:val="-11"/>
          <w:sz w:val="20"/>
          <w:vertAlign w:val="baseline"/>
        </w:rPr>
        <w:t> </w:t>
      </w:r>
      <w:r>
        <w:rPr>
          <w:color w:val="231F20"/>
          <w:spacing w:val="-2"/>
          <w:sz w:val="20"/>
          <w:vertAlign w:val="baseline"/>
        </w:rPr>
        <w:t>rebelles</w:t>
      </w:r>
      <w:r>
        <w:rPr>
          <w:color w:val="231F20"/>
          <w:spacing w:val="-11"/>
          <w:sz w:val="20"/>
          <w:vertAlign w:val="baseline"/>
        </w:rPr>
        <w:t> </w:t>
      </w:r>
      <w:r>
        <w:rPr>
          <w:color w:val="231F20"/>
          <w:spacing w:val="-2"/>
          <w:sz w:val="20"/>
          <w:vertAlign w:val="baseline"/>
        </w:rPr>
        <w:t>ont</w:t>
      </w:r>
      <w:r>
        <w:rPr>
          <w:color w:val="231F20"/>
          <w:spacing w:val="-11"/>
          <w:sz w:val="20"/>
          <w:vertAlign w:val="baseline"/>
        </w:rPr>
        <w:t> </w:t>
      </w:r>
      <w:r>
        <w:rPr>
          <w:color w:val="231F20"/>
          <w:spacing w:val="-2"/>
          <w:sz w:val="20"/>
          <w:vertAlign w:val="baseline"/>
        </w:rPr>
        <w:t>été</w:t>
      </w:r>
      <w:r>
        <w:rPr>
          <w:color w:val="231F20"/>
          <w:spacing w:val="-10"/>
          <w:sz w:val="20"/>
          <w:vertAlign w:val="baseline"/>
        </w:rPr>
        <w:t> </w:t>
      </w:r>
      <w:r>
        <w:rPr>
          <w:color w:val="231F20"/>
          <w:spacing w:val="-2"/>
          <w:sz w:val="20"/>
          <w:vertAlign w:val="baseline"/>
        </w:rPr>
        <w:t>baptisés</w:t>
      </w:r>
      <w:r>
        <w:rPr>
          <w:color w:val="231F20"/>
          <w:spacing w:val="-11"/>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forces</w:t>
      </w:r>
      <w:r>
        <w:rPr>
          <w:color w:val="231F20"/>
          <w:spacing w:val="-10"/>
          <w:sz w:val="20"/>
          <w:vertAlign w:val="baseline"/>
        </w:rPr>
        <w:t> </w:t>
      </w:r>
      <w:r>
        <w:rPr>
          <w:color w:val="231F20"/>
          <w:spacing w:val="-2"/>
          <w:sz w:val="20"/>
          <w:vertAlign w:val="baseline"/>
        </w:rPr>
        <w:t>armées</w:t>
      </w:r>
      <w:r>
        <w:rPr>
          <w:color w:val="231F20"/>
          <w:spacing w:val="-11"/>
          <w:sz w:val="20"/>
          <w:vertAlign w:val="baseline"/>
        </w:rPr>
        <w:t> </w:t>
      </w:r>
      <w:r>
        <w:rPr>
          <w:color w:val="231F20"/>
          <w:spacing w:val="-2"/>
          <w:sz w:val="20"/>
          <w:vertAlign w:val="baseline"/>
        </w:rPr>
        <w:t>des</w:t>
      </w:r>
      <w:r>
        <w:rPr>
          <w:color w:val="231F20"/>
          <w:spacing w:val="-11"/>
          <w:sz w:val="20"/>
          <w:vertAlign w:val="baseline"/>
        </w:rPr>
        <w:t> </w:t>
      </w:r>
      <w:r>
        <w:rPr>
          <w:color w:val="231F20"/>
          <w:spacing w:val="-2"/>
          <w:sz w:val="20"/>
          <w:vertAlign w:val="baseline"/>
        </w:rPr>
        <w:t>forces</w:t>
      </w:r>
      <w:r>
        <w:rPr>
          <w:color w:val="231F20"/>
          <w:spacing w:val="-11"/>
          <w:sz w:val="20"/>
          <w:vertAlign w:val="baseline"/>
        </w:rPr>
        <w:t> </w:t>
      </w:r>
      <w:r>
        <w:rPr>
          <w:color w:val="231F20"/>
          <w:spacing w:val="-2"/>
          <w:sz w:val="20"/>
          <w:vertAlign w:val="baseline"/>
        </w:rPr>
        <w:t>nouvelles</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à</w:t>
      </w:r>
      <w:r>
        <w:rPr>
          <w:color w:val="231F20"/>
          <w:spacing w:val="-11"/>
          <w:sz w:val="20"/>
          <w:vertAlign w:val="baseline"/>
        </w:rPr>
        <w:t> </w:t>
      </w:r>
      <w:r>
        <w:rPr>
          <w:color w:val="231F20"/>
          <w:spacing w:val="-2"/>
          <w:sz w:val="20"/>
          <w:vertAlign w:val="baseline"/>
        </w:rPr>
        <w:t>la</w:t>
      </w:r>
      <w:r>
        <w:rPr>
          <w:color w:val="231F20"/>
          <w:spacing w:val="-10"/>
          <w:sz w:val="20"/>
          <w:vertAlign w:val="baseline"/>
        </w:rPr>
        <w:t> </w:t>
      </w:r>
      <w:r>
        <w:rPr>
          <w:color w:val="231F20"/>
          <w:spacing w:val="-2"/>
          <w:sz w:val="20"/>
          <w:vertAlign w:val="baseline"/>
        </w:rPr>
        <w:t>table</w:t>
      </w:r>
      <w:r>
        <w:rPr>
          <w:color w:val="231F20"/>
          <w:spacing w:val="-11"/>
          <w:sz w:val="20"/>
          <w:vertAlign w:val="baseline"/>
        </w:rPr>
        <w:t> </w:t>
      </w:r>
      <w:r>
        <w:rPr>
          <w:color w:val="231F20"/>
          <w:spacing w:val="-2"/>
          <w:sz w:val="20"/>
          <w:vertAlign w:val="baseline"/>
        </w:rPr>
        <w:t>ronde</w:t>
      </w:r>
      <w:r>
        <w:rPr>
          <w:color w:val="231F20"/>
          <w:spacing w:val="-12"/>
          <w:sz w:val="20"/>
          <w:vertAlign w:val="baseline"/>
        </w:rPr>
        <w:t> </w:t>
      </w:r>
      <w:r>
        <w:rPr>
          <w:color w:val="231F20"/>
          <w:spacing w:val="-2"/>
          <w:sz w:val="20"/>
          <w:vertAlign w:val="baseline"/>
        </w:rPr>
        <w:t>de Linas-Marcousis.</w:t>
      </w:r>
    </w:p>
    <w:p>
      <w:pPr>
        <w:spacing w:before="1"/>
        <w:ind w:left="111" w:right="0" w:firstLine="0"/>
        <w:jc w:val="left"/>
        <w:rPr>
          <w:sz w:val="20"/>
        </w:rPr>
      </w:pPr>
      <w:r>
        <w:rPr>
          <w:color w:val="76787A"/>
          <w:sz w:val="20"/>
          <w:vertAlign w:val="superscript"/>
        </w:rPr>
        <w:t>186</w:t>
      </w:r>
      <w:r>
        <w:rPr>
          <w:color w:val="76787A"/>
          <w:spacing w:val="-13"/>
          <w:sz w:val="20"/>
          <w:vertAlign w:val="baseline"/>
        </w:rPr>
        <w:t> </w:t>
      </w:r>
      <w:r>
        <w:rPr>
          <w:color w:val="231F20"/>
          <w:sz w:val="20"/>
          <w:vertAlign w:val="baseline"/>
        </w:rPr>
        <w:t>chef-lieu</w:t>
      </w:r>
      <w:r>
        <w:rPr>
          <w:color w:val="231F20"/>
          <w:spacing w:val="-12"/>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la</w:t>
      </w:r>
      <w:r>
        <w:rPr>
          <w:color w:val="231F20"/>
          <w:spacing w:val="-12"/>
          <w:sz w:val="20"/>
          <w:vertAlign w:val="baseline"/>
        </w:rPr>
        <w:t> </w:t>
      </w:r>
      <w:r>
        <w:rPr>
          <w:color w:val="231F20"/>
          <w:sz w:val="20"/>
          <w:vertAlign w:val="baseline"/>
        </w:rPr>
        <w:t>région</w:t>
      </w:r>
      <w:r>
        <w:rPr>
          <w:color w:val="231F20"/>
          <w:spacing w:val="-13"/>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Bounkani,</w:t>
      </w:r>
      <w:r>
        <w:rPr>
          <w:color w:val="231F20"/>
          <w:spacing w:val="-13"/>
          <w:sz w:val="20"/>
          <w:vertAlign w:val="baseline"/>
        </w:rPr>
        <w:t> </w:t>
      </w:r>
      <w:r>
        <w:rPr>
          <w:color w:val="231F20"/>
          <w:sz w:val="20"/>
          <w:vertAlign w:val="baseline"/>
        </w:rPr>
        <w:t>dans</w:t>
      </w:r>
      <w:r>
        <w:rPr>
          <w:color w:val="231F20"/>
          <w:spacing w:val="-12"/>
          <w:sz w:val="20"/>
          <w:vertAlign w:val="baseline"/>
        </w:rPr>
        <w:t> </w:t>
      </w:r>
      <w:r>
        <w:rPr>
          <w:color w:val="231F20"/>
          <w:sz w:val="20"/>
          <w:vertAlign w:val="baseline"/>
        </w:rPr>
        <w:t>le</w:t>
      </w:r>
      <w:r>
        <w:rPr>
          <w:color w:val="231F20"/>
          <w:spacing w:val="-13"/>
          <w:sz w:val="20"/>
          <w:vertAlign w:val="baseline"/>
        </w:rPr>
        <w:t> </w:t>
      </w:r>
      <w:r>
        <w:rPr>
          <w:color w:val="231F20"/>
          <w:sz w:val="20"/>
          <w:vertAlign w:val="baseline"/>
        </w:rPr>
        <w:t>district</w:t>
      </w:r>
      <w:r>
        <w:rPr>
          <w:color w:val="231F20"/>
          <w:spacing w:val="-12"/>
          <w:sz w:val="20"/>
          <w:vertAlign w:val="baseline"/>
        </w:rPr>
        <w:t> </w:t>
      </w:r>
      <w:r>
        <w:rPr>
          <w:color w:val="231F20"/>
          <w:sz w:val="20"/>
          <w:vertAlign w:val="baseline"/>
        </w:rPr>
        <w:t>du</w:t>
      </w:r>
      <w:r>
        <w:rPr>
          <w:color w:val="231F20"/>
          <w:spacing w:val="-13"/>
          <w:sz w:val="20"/>
          <w:vertAlign w:val="baseline"/>
        </w:rPr>
        <w:t> </w:t>
      </w:r>
      <w:r>
        <w:rPr>
          <w:color w:val="231F20"/>
          <w:sz w:val="20"/>
          <w:vertAlign w:val="baseline"/>
        </w:rPr>
        <w:t>Zanzan</w:t>
      </w:r>
      <w:r>
        <w:rPr>
          <w:color w:val="231F20"/>
          <w:spacing w:val="-12"/>
          <w:sz w:val="20"/>
          <w:vertAlign w:val="baseline"/>
        </w:rPr>
        <w:t> </w:t>
      </w:r>
      <w:r>
        <w:rPr>
          <w:color w:val="231F20"/>
          <w:sz w:val="20"/>
          <w:vertAlign w:val="baseline"/>
        </w:rPr>
        <w:t>au</w:t>
      </w:r>
      <w:r>
        <w:rPr>
          <w:color w:val="231F20"/>
          <w:spacing w:val="-13"/>
          <w:sz w:val="20"/>
          <w:vertAlign w:val="baseline"/>
        </w:rPr>
        <w:t> </w:t>
      </w:r>
      <w:r>
        <w:rPr>
          <w:color w:val="231F20"/>
          <w:sz w:val="20"/>
          <w:vertAlign w:val="baseline"/>
        </w:rPr>
        <w:t>nord-est</w:t>
      </w:r>
      <w:r>
        <w:rPr>
          <w:color w:val="231F20"/>
          <w:spacing w:val="-12"/>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la</w:t>
      </w:r>
      <w:r>
        <w:rPr>
          <w:color w:val="231F20"/>
          <w:spacing w:val="-12"/>
          <w:sz w:val="20"/>
          <w:vertAlign w:val="baseline"/>
        </w:rPr>
        <w:t> </w:t>
      </w:r>
      <w:r>
        <w:rPr>
          <w:color w:val="231F20"/>
          <w:sz w:val="20"/>
          <w:vertAlign w:val="baseline"/>
        </w:rPr>
        <w:t>Côte d'Ivoire,</w:t>
      </w:r>
      <w:r>
        <w:rPr>
          <w:color w:val="231F20"/>
          <w:spacing w:val="-8"/>
          <w:sz w:val="20"/>
          <w:vertAlign w:val="baseline"/>
        </w:rPr>
        <w:t> </w:t>
      </w:r>
      <w:r>
        <w:rPr>
          <w:color w:val="231F20"/>
          <w:sz w:val="20"/>
          <w:vertAlign w:val="baseline"/>
        </w:rPr>
        <w:t>près</w:t>
      </w:r>
      <w:r>
        <w:rPr>
          <w:color w:val="231F20"/>
          <w:spacing w:val="-9"/>
          <w:sz w:val="20"/>
          <w:vertAlign w:val="baseline"/>
        </w:rPr>
        <w:t> </w:t>
      </w:r>
      <w:r>
        <w:rPr>
          <w:color w:val="231F20"/>
          <w:sz w:val="20"/>
          <w:vertAlign w:val="baseline"/>
        </w:rPr>
        <w:t>de</w:t>
      </w:r>
      <w:r>
        <w:rPr>
          <w:color w:val="231F20"/>
          <w:spacing w:val="-5"/>
          <w:sz w:val="20"/>
          <w:vertAlign w:val="baseline"/>
        </w:rPr>
        <w:t> </w:t>
      </w:r>
      <w:r>
        <w:rPr>
          <w:color w:val="231F20"/>
          <w:sz w:val="20"/>
          <w:vertAlign w:val="baseline"/>
        </w:rPr>
        <w:t>la</w:t>
      </w:r>
      <w:r>
        <w:rPr>
          <w:color w:val="231F20"/>
          <w:spacing w:val="-8"/>
          <w:sz w:val="20"/>
          <w:vertAlign w:val="baseline"/>
        </w:rPr>
        <w:t> </w:t>
      </w:r>
      <w:r>
        <w:rPr>
          <w:color w:val="231F20"/>
          <w:sz w:val="20"/>
          <w:vertAlign w:val="baseline"/>
        </w:rPr>
        <w:t>frontière</w:t>
      </w:r>
      <w:r>
        <w:rPr>
          <w:color w:val="231F20"/>
          <w:spacing w:val="-8"/>
          <w:sz w:val="20"/>
          <w:vertAlign w:val="baseline"/>
        </w:rPr>
        <w:t> </w:t>
      </w:r>
      <w:r>
        <w:rPr>
          <w:color w:val="231F20"/>
          <w:sz w:val="20"/>
          <w:vertAlign w:val="baseline"/>
        </w:rPr>
        <w:t>avec</w:t>
      </w:r>
      <w:r>
        <w:rPr>
          <w:color w:val="231F20"/>
          <w:spacing w:val="-5"/>
          <w:sz w:val="20"/>
          <w:vertAlign w:val="baseline"/>
        </w:rPr>
        <w:t> </w:t>
      </w:r>
      <w:r>
        <w:rPr>
          <w:color w:val="231F20"/>
          <w:sz w:val="20"/>
          <w:vertAlign w:val="baseline"/>
        </w:rPr>
        <w:t>le</w:t>
      </w:r>
      <w:r>
        <w:rPr>
          <w:color w:val="231F20"/>
          <w:spacing w:val="-8"/>
          <w:sz w:val="20"/>
          <w:vertAlign w:val="baseline"/>
        </w:rPr>
        <w:t> </w:t>
      </w:r>
      <w:r>
        <w:rPr>
          <w:color w:val="231F20"/>
          <w:sz w:val="20"/>
          <w:vertAlign w:val="baseline"/>
        </w:rPr>
        <w:t>Ghana,</w:t>
      </w:r>
      <w:r>
        <w:rPr>
          <w:color w:val="231F20"/>
          <w:spacing w:val="-5"/>
          <w:sz w:val="20"/>
          <w:vertAlign w:val="baseline"/>
        </w:rPr>
        <w:t> </w:t>
      </w:r>
      <w:r>
        <w:rPr>
          <w:color w:val="231F20"/>
          <w:sz w:val="20"/>
          <w:vertAlign w:val="baseline"/>
        </w:rPr>
        <w:t>à</w:t>
      </w:r>
      <w:r>
        <w:rPr>
          <w:color w:val="231F20"/>
          <w:spacing w:val="-8"/>
          <w:sz w:val="20"/>
          <w:vertAlign w:val="baseline"/>
        </w:rPr>
        <w:t> </w:t>
      </w:r>
      <w:r>
        <w:rPr>
          <w:color w:val="231F20"/>
          <w:sz w:val="20"/>
          <w:vertAlign w:val="baseline"/>
        </w:rPr>
        <w:t>603</w:t>
      </w:r>
      <w:r>
        <w:rPr>
          <w:color w:val="231F20"/>
          <w:spacing w:val="-7"/>
          <w:sz w:val="20"/>
          <w:vertAlign w:val="baseline"/>
        </w:rPr>
        <w:t> </w:t>
      </w:r>
      <w:r>
        <w:rPr>
          <w:color w:val="231F20"/>
          <w:sz w:val="20"/>
          <w:vertAlign w:val="baseline"/>
        </w:rPr>
        <w:t>km</w:t>
      </w:r>
      <w:r>
        <w:rPr>
          <w:color w:val="231F20"/>
          <w:spacing w:val="-8"/>
          <w:sz w:val="20"/>
          <w:vertAlign w:val="baseline"/>
        </w:rPr>
        <w:t> </w:t>
      </w:r>
      <w:r>
        <w:rPr>
          <w:color w:val="231F20"/>
          <w:sz w:val="20"/>
          <w:vertAlign w:val="baseline"/>
        </w:rPr>
        <w:t>au</w:t>
      </w:r>
      <w:r>
        <w:rPr>
          <w:color w:val="231F20"/>
          <w:spacing w:val="-7"/>
          <w:sz w:val="20"/>
          <w:vertAlign w:val="baseline"/>
        </w:rPr>
        <w:t> </w:t>
      </w:r>
      <w:r>
        <w:rPr>
          <w:color w:val="231F20"/>
          <w:sz w:val="20"/>
          <w:vertAlign w:val="baseline"/>
        </w:rPr>
        <w:t>nord</w:t>
      </w:r>
      <w:r>
        <w:rPr>
          <w:color w:val="231F20"/>
          <w:spacing w:val="-9"/>
          <w:sz w:val="20"/>
          <w:vertAlign w:val="baseline"/>
        </w:rPr>
        <w:t> </w:t>
      </w:r>
      <w:r>
        <w:rPr>
          <w:color w:val="231F20"/>
          <w:sz w:val="20"/>
          <w:vertAlign w:val="baseline"/>
        </w:rPr>
        <w:t>d'Abidjan.</w:t>
      </w:r>
    </w:p>
    <w:p>
      <w:pPr>
        <w:spacing w:before="1"/>
        <w:ind w:left="111" w:right="0" w:firstLine="0"/>
        <w:jc w:val="left"/>
        <w:rPr>
          <w:sz w:val="20"/>
        </w:rPr>
      </w:pPr>
      <w:r>
        <w:rPr>
          <w:color w:val="76787A"/>
          <w:spacing w:val="-2"/>
          <w:sz w:val="20"/>
          <w:vertAlign w:val="superscript"/>
        </w:rPr>
        <w:t>187</w:t>
      </w:r>
      <w:r>
        <w:rPr>
          <w:color w:val="76787A"/>
          <w:spacing w:val="-9"/>
          <w:sz w:val="20"/>
          <w:vertAlign w:val="baseline"/>
        </w:rPr>
        <w:t> </w:t>
      </w:r>
      <w:r>
        <w:rPr>
          <w:color w:val="231F20"/>
          <w:spacing w:val="-2"/>
          <w:sz w:val="20"/>
          <w:vertAlign w:val="baseline"/>
        </w:rPr>
        <w:t>Villes</w:t>
      </w:r>
      <w:r>
        <w:rPr>
          <w:color w:val="231F20"/>
          <w:spacing w:val="-10"/>
          <w:sz w:val="20"/>
          <w:vertAlign w:val="baseline"/>
        </w:rPr>
        <w:t> </w:t>
      </w:r>
      <w:r>
        <w:rPr>
          <w:color w:val="231F20"/>
          <w:spacing w:val="-2"/>
          <w:sz w:val="20"/>
          <w:vertAlign w:val="baseline"/>
        </w:rPr>
        <w:t>du</w:t>
      </w:r>
      <w:r>
        <w:rPr>
          <w:color w:val="231F20"/>
          <w:spacing w:val="-11"/>
          <w:sz w:val="20"/>
          <w:vertAlign w:val="baseline"/>
        </w:rPr>
        <w:t> </w:t>
      </w:r>
      <w:r>
        <w:rPr>
          <w:color w:val="231F20"/>
          <w:spacing w:val="-2"/>
          <w:sz w:val="20"/>
          <w:vertAlign w:val="baseline"/>
        </w:rPr>
        <w:t>Nord-</w:t>
      </w:r>
      <w:r>
        <w:rPr>
          <w:color w:val="231F20"/>
          <w:spacing w:val="-4"/>
          <w:sz w:val="20"/>
          <w:vertAlign w:val="baseline"/>
        </w:rPr>
        <w:t>Est.</w:t>
      </w:r>
    </w:p>
    <w:p>
      <w:pPr>
        <w:spacing w:before="0"/>
        <w:ind w:left="111" w:right="0" w:firstLine="0"/>
        <w:jc w:val="left"/>
        <w:rPr>
          <w:sz w:val="20"/>
        </w:rPr>
      </w:pPr>
      <w:r>
        <w:rPr>
          <w:color w:val="76787A"/>
          <w:spacing w:val="-2"/>
          <w:sz w:val="20"/>
          <w:vertAlign w:val="superscript"/>
        </w:rPr>
        <w:t>188</w:t>
      </w:r>
      <w:r>
        <w:rPr>
          <w:color w:val="76787A"/>
          <w:spacing w:val="-5"/>
          <w:sz w:val="20"/>
          <w:vertAlign w:val="baseline"/>
        </w:rPr>
        <w:t> </w:t>
      </w:r>
      <w:r>
        <w:rPr>
          <w:color w:val="231F20"/>
          <w:spacing w:val="-2"/>
          <w:sz w:val="20"/>
          <w:vertAlign w:val="baseline"/>
        </w:rPr>
        <w:t>située</w:t>
      </w:r>
      <w:r>
        <w:rPr>
          <w:color w:val="231F20"/>
          <w:spacing w:val="-7"/>
          <w:sz w:val="20"/>
          <w:vertAlign w:val="baseline"/>
        </w:rPr>
        <w:t> </w:t>
      </w:r>
      <w:r>
        <w:rPr>
          <w:color w:val="231F20"/>
          <w:spacing w:val="-2"/>
          <w:sz w:val="20"/>
          <w:vertAlign w:val="baseline"/>
        </w:rPr>
        <w:t>à</w:t>
      </w:r>
      <w:r>
        <w:rPr>
          <w:color w:val="231F20"/>
          <w:spacing w:val="-9"/>
          <w:sz w:val="20"/>
          <w:vertAlign w:val="baseline"/>
        </w:rPr>
        <w:t> </w:t>
      </w:r>
      <w:r>
        <w:rPr>
          <w:color w:val="231F20"/>
          <w:spacing w:val="-2"/>
          <w:sz w:val="20"/>
          <w:vertAlign w:val="baseline"/>
        </w:rPr>
        <w:t>55</w:t>
      </w:r>
      <w:r>
        <w:rPr>
          <w:color w:val="231F20"/>
          <w:spacing w:val="-9"/>
          <w:sz w:val="20"/>
          <w:vertAlign w:val="baseline"/>
        </w:rPr>
        <w:t> </w:t>
      </w:r>
      <w:r>
        <w:rPr>
          <w:color w:val="231F20"/>
          <w:spacing w:val="-2"/>
          <w:sz w:val="20"/>
          <w:vertAlign w:val="baseline"/>
        </w:rPr>
        <w:t>km</w:t>
      </w:r>
      <w:r>
        <w:rPr>
          <w:color w:val="231F20"/>
          <w:spacing w:val="-8"/>
          <w:sz w:val="20"/>
          <w:vertAlign w:val="baseline"/>
        </w:rPr>
        <w:t> </w:t>
      </w:r>
      <w:r>
        <w:rPr>
          <w:color w:val="231F20"/>
          <w:spacing w:val="-2"/>
          <w:sz w:val="20"/>
          <w:vertAlign w:val="baseline"/>
        </w:rPr>
        <w:t>au</w:t>
      </w:r>
      <w:r>
        <w:rPr>
          <w:color w:val="231F20"/>
          <w:spacing w:val="-8"/>
          <w:sz w:val="20"/>
          <w:vertAlign w:val="baseline"/>
        </w:rPr>
        <w:t> </w:t>
      </w:r>
      <w:r>
        <w:rPr>
          <w:color w:val="231F20"/>
          <w:spacing w:val="-2"/>
          <w:sz w:val="20"/>
          <w:vertAlign w:val="baseline"/>
        </w:rPr>
        <w:t>nord</w:t>
      </w:r>
      <w:r>
        <w:rPr>
          <w:color w:val="231F20"/>
          <w:spacing w:val="-9"/>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Bouaké</w:t>
      </w:r>
      <w:r>
        <w:rPr>
          <w:color w:val="231F20"/>
          <w:spacing w:val="-9"/>
          <w:sz w:val="20"/>
          <w:vertAlign w:val="baseline"/>
        </w:rPr>
        <w:t> </w:t>
      </w:r>
      <w:r>
        <w:rPr>
          <w:color w:val="231F20"/>
          <w:spacing w:val="-2"/>
          <w:sz w:val="20"/>
          <w:vertAlign w:val="baseline"/>
        </w:rPr>
        <w:t>(siège</w:t>
      </w:r>
      <w:r>
        <w:rPr>
          <w:color w:val="231F20"/>
          <w:spacing w:val="-10"/>
          <w:sz w:val="20"/>
          <w:vertAlign w:val="baseline"/>
        </w:rPr>
        <w:t> </w:t>
      </w:r>
      <w:r>
        <w:rPr>
          <w:color w:val="231F20"/>
          <w:spacing w:val="-2"/>
          <w:sz w:val="20"/>
          <w:vertAlign w:val="baseline"/>
        </w:rPr>
        <w:t>de</w:t>
      </w:r>
      <w:r>
        <w:rPr>
          <w:color w:val="231F20"/>
          <w:spacing w:val="-9"/>
          <w:sz w:val="20"/>
          <w:vertAlign w:val="baseline"/>
        </w:rPr>
        <w:t> </w:t>
      </w:r>
      <w:r>
        <w:rPr>
          <w:color w:val="231F20"/>
          <w:spacing w:val="-2"/>
          <w:sz w:val="20"/>
          <w:vertAlign w:val="baseline"/>
        </w:rPr>
        <w:t>la</w:t>
      </w:r>
      <w:r>
        <w:rPr>
          <w:color w:val="231F20"/>
          <w:spacing w:val="-9"/>
          <w:sz w:val="20"/>
          <w:vertAlign w:val="baseline"/>
        </w:rPr>
        <w:t> </w:t>
      </w:r>
      <w:r>
        <w:rPr>
          <w:color w:val="231F20"/>
          <w:spacing w:val="-2"/>
          <w:sz w:val="20"/>
          <w:vertAlign w:val="baseline"/>
        </w:rPr>
        <w:t>rebellion).</w:t>
      </w:r>
    </w:p>
    <w:p>
      <w:pPr>
        <w:spacing w:after="0"/>
        <w:jc w:val="left"/>
        <w:rPr>
          <w:sz w:val="20"/>
        </w:rPr>
        <w:sectPr>
          <w:pgSz w:w="8790" w:h="13610"/>
          <w:pgMar w:header="0" w:footer="802" w:top="1060" w:bottom="1000" w:left="880" w:right="880"/>
        </w:sectPr>
      </w:pPr>
    </w:p>
    <w:p>
      <w:pPr>
        <w:pStyle w:val="BodyText"/>
        <w:spacing w:before="66"/>
        <w:ind w:right="104"/>
      </w:pPr>
      <w:r>
        <w:rPr>
          <w:color w:val="231F20"/>
        </w:rPr>
        <w:t>3e</w:t>
      </w:r>
      <w:r>
        <w:rPr>
          <w:color w:val="231F20"/>
          <w:spacing w:val="-15"/>
        </w:rPr>
        <w:t> </w:t>
      </w:r>
      <w:r>
        <w:rPr>
          <w:color w:val="231F20"/>
        </w:rPr>
        <w:t>bataillon</w:t>
      </w:r>
      <w:r>
        <w:rPr>
          <w:color w:val="231F20"/>
          <w:spacing w:val="-15"/>
        </w:rPr>
        <w:t> </w:t>
      </w:r>
      <w:r>
        <w:rPr>
          <w:color w:val="231F20"/>
        </w:rPr>
        <w:t>d’infanterie</w:t>
      </w:r>
      <w:r>
        <w:rPr>
          <w:color w:val="231F20"/>
          <w:spacing w:val="-9"/>
        </w:rPr>
        <w:t> </w:t>
      </w:r>
      <w:r>
        <w:rPr>
          <w:color w:val="231F20"/>
        </w:rPr>
        <w:t>et</w:t>
      </w:r>
      <w:r>
        <w:rPr>
          <w:color w:val="231F20"/>
          <w:spacing w:val="-8"/>
        </w:rPr>
        <w:t> </w:t>
      </w:r>
      <w:r>
        <w:rPr>
          <w:color w:val="231F20"/>
        </w:rPr>
        <w:t>du</w:t>
      </w:r>
      <w:r>
        <w:rPr>
          <w:color w:val="231F20"/>
          <w:spacing w:val="-11"/>
        </w:rPr>
        <w:t> </w:t>
      </w:r>
      <w:r>
        <w:rPr>
          <w:color w:val="231F20"/>
        </w:rPr>
        <w:t>service</w:t>
      </w:r>
      <w:r>
        <w:rPr>
          <w:color w:val="231F20"/>
          <w:spacing w:val="-9"/>
        </w:rPr>
        <w:t> </w:t>
      </w:r>
      <w:r>
        <w:rPr>
          <w:color w:val="231F20"/>
        </w:rPr>
        <w:t>des</w:t>
      </w:r>
      <w:r>
        <w:rPr>
          <w:color w:val="231F20"/>
          <w:spacing w:val="-11"/>
        </w:rPr>
        <w:t> </w:t>
      </w:r>
      <w:r>
        <w:rPr>
          <w:color w:val="231F20"/>
        </w:rPr>
        <w:t>transmissions</w:t>
      </w:r>
      <w:r>
        <w:rPr>
          <w:color w:val="231F20"/>
          <w:spacing w:val="-11"/>
        </w:rPr>
        <w:t> </w:t>
      </w:r>
      <w:r>
        <w:rPr>
          <w:color w:val="231F20"/>
        </w:rPr>
        <w:t>de</w:t>
      </w:r>
      <w:r>
        <w:rPr>
          <w:color w:val="231F20"/>
          <w:spacing w:val="-11"/>
        </w:rPr>
        <w:t> </w:t>
      </w:r>
      <w:r>
        <w:rPr>
          <w:color w:val="231F20"/>
        </w:rPr>
        <w:t>l’État-Major des forces armées nationales de Côte d’Ivoire (FANCI). C’est lui qui encadrait,</w:t>
      </w:r>
      <w:r>
        <w:rPr>
          <w:color w:val="231F20"/>
          <w:spacing w:val="-6"/>
        </w:rPr>
        <w:t> </w:t>
      </w:r>
      <w:r>
        <w:rPr>
          <w:color w:val="231F20"/>
        </w:rPr>
        <w:t>au</w:t>
      </w:r>
      <w:r>
        <w:rPr>
          <w:color w:val="231F20"/>
          <w:spacing w:val="-8"/>
        </w:rPr>
        <w:t> </w:t>
      </w:r>
      <w:r>
        <w:rPr>
          <w:color w:val="231F20"/>
        </w:rPr>
        <w:t>début</w:t>
      </w:r>
      <w:r>
        <w:rPr>
          <w:color w:val="231F20"/>
          <w:spacing w:val="-6"/>
        </w:rPr>
        <w:t> </w:t>
      </w:r>
      <w:r>
        <w:rPr>
          <w:color w:val="231F20"/>
        </w:rPr>
        <w:t>de</w:t>
      </w:r>
      <w:r>
        <w:rPr>
          <w:color w:val="231F20"/>
          <w:spacing w:val="-8"/>
        </w:rPr>
        <w:t> </w:t>
      </w:r>
      <w:r>
        <w:rPr>
          <w:color w:val="231F20"/>
        </w:rPr>
        <w:t>la</w:t>
      </w:r>
      <w:r>
        <w:rPr>
          <w:color w:val="231F20"/>
          <w:spacing w:val="-6"/>
        </w:rPr>
        <w:t> </w:t>
      </w:r>
      <w:r>
        <w:rPr>
          <w:color w:val="231F20"/>
        </w:rPr>
        <w:t>guerre,</w:t>
      </w:r>
      <w:r>
        <w:rPr>
          <w:color w:val="231F20"/>
          <w:spacing w:val="-6"/>
        </w:rPr>
        <w:t> </w:t>
      </w:r>
      <w:r>
        <w:rPr>
          <w:color w:val="231F20"/>
        </w:rPr>
        <w:t>les</w:t>
      </w:r>
      <w:r>
        <w:rPr>
          <w:color w:val="231F20"/>
          <w:spacing w:val="-6"/>
        </w:rPr>
        <w:t> </w:t>
      </w:r>
      <w:r>
        <w:rPr>
          <w:color w:val="231F20"/>
        </w:rPr>
        <w:t>chasseurs</w:t>
      </w:r>
      <w:r>
        <w:rPr>
          <w:color w:val="231F20"/>
          <w:spacing w:val="-8"/>
        </w:rPr>
        <w:t> </w:t>
      </w:r>
      <w:r>
        <w:rPr>
          <w:color w:val="231F20"/>
        </w:rPr>
        <w:t>traditionnels</w:t>
      </w:r>
      <w:r>
        <w:rPr>
          <w:color w:val="231F20"/>
          <w:spacing w:val="-7"/>
        </w:rPr>
        <w:t> </w:t>
      </w:r>
      <w:r>
        <w:rPr>
          <w:color w:val="231F20"/>
        </w:rPr>
        <w:t>«</w:t>
      </w:r>
      <w:r>
        <w:rPr>
          <w:color w:val="231F20"/>
          <w:spacing w:val="-6"/>
        </w:rPr>
        <w:t> </w:t>
      </w:r>
      <w:r>
        <w:rPr>
          <w:color w:val="231F20"/>
        </w:rPr>
        <w:t>dozos</w:t>
      </w:r>
      <w:r>
        <w:rPr>
          <w:color w:val="231F20"/>
          <w:spacing w:val="-8"/>
        </w:rPr>
        <w:t> </w:t>
      </w:r>
      <w:r>
        <w:rPr>
          <w:color w:val="231F20"/>
        </w:rPr>
        <w:t>».</w:t>
      </w:r>
    </w:p>
    <w:p>
      <w:pPr>
        <w:pStyle w:val="BodyText"/>
        <w:spacing w:before="120"/>
        <w:ind w:left="452"/>
      </w:pPr>
      <w:r>
        <w:rPr>
          <w:color w:val="231F20"/>
        </w:rPr>
        <w:t>La Zone</w:t>
      </w:r>
      <w:r>
        <w:rPr>
          <w:color w:val="231F20"/>
          <w:spacing w:val="-2"/>
        </w:rPr>
        <w:t> </w:t>
      </w:r>
      <w:r>
        <w:rPr>
          <w:color w:val="231F20"/>
        </w:rPr>
        <w:t>3</w:t>
      </w:r>
      <w:r>
        <w:rPr>
          <w:color w:val="231F20"/>
          <w:spacing w:val="2"/>
        </w:rPr>
        <w:t> </w:t>
      </w:r>
      <w:r>
        <w:rPr>
          <w:color w:val="231F20"/>
        </w:rPr>
        <w:t>est</w:t>
      </w:r>
      <w:r>
        <w:rPr>
          <w:color w:val="231F20"/>
          <w:spacing w:val="-2"/>
        </w:rPr>
        <w:t> </w:t>
      </w:r>
      <w:r>
        <w:rPr>
          <w:color w:val="231F20"/>
        </w:rPr>
        <w:t>à</w:t>
      </w:r>
      <w:r>
        <w:rPr>
          <w:color w:val="231F20"/>
          <w:spacing w:val="-3"/>
        </w:rPr>
        <w:t> </w:t>
      </w:r>
      <w:r>
        <w:rPr>
          <w:color w:val="231F20"/>
        </w:rPr>
        <w:t>Bouaké,</w:t>
      </w:r>
      <w:r>
        <w:rPr>
          <w:color w:val="231F20"/>
          <w:spacing w:val="-1"/>
        </w:rPr>
        <w:t> </w:t>
      </w:r>
      <w:r>
        <w:rPr>
          <w:color w:val="231F20"/>
        </w:rPr>
        <w:t>siège de</w:t>
      </w:r>
      <w:r>
        <w:rPr>
          <w:color w:val="231F20"/>
          <w:spacing w:val="-4"/>
        </w:rPr>
        <w:t> </w:t>
      </w:r>
      <w:r>
        <w:rPr>
          <w:color w:val="231F20"/>
        </w:rPr>
        <w:t>la</w:t>
      </w:r>
      <w:r>
        <w:rPr>
          <w:color w:val="231F20"/>
          <w:spacing w:val="-1"/>
        </w:rPr>
        <w:t> </w:t>
      </w:r>
      <w:r>
        <w:rPr>
          <w:color w:val="231F20"/>
        </w:rPr>
        <w:t>Rébellion.</w:t>
      </w:r>
      <w:r>
        <w:rPr>
          <w:color w:val="231F20"/>
          <w:spacing w:val="-2"/>
        </w:rPr>
        <w:t> </w:t>
      </w:r>
      <w:r>
        <w:rPr>
          <w:color w:val="231F20"/>
        </w:rPr>
        <w:t>Chérif Ousmane,</w:t>
      </w:r>
      <w:r>
        <w:rPr>
          <w:color w:val="231F20"/>
          <w:spacing w:val="-1"/>
        </w:rPr>
        <w:t> </w:t>
      </w:r>
      <w:r>
        <w:rPr>
          <w:color w:val="231F20"/>
          <w:spacing w:val="-5"/>
        </w:rPr>
        <w:t>dit</w:t>
      </w:r>
    </w:p>
    <w:p>
      <w:pPr>
        <w:pStyle w:val="BodyText"/>
        <w:ind w:right="104"/>
      </w:pPr>
      <w:r>
        <w:rPr>
          <w:color w:val="231F20"/>
          <w:spacing w:val="-4"/>
        </w:rPr>
        <w:t>«</w:t>
      </w:r>
      <w:r>
        <w:rPr>
          <w:color w:val="231F20"/>
          <w:spacing w:val="-11"/>
        </w:rPr>
        <w:t> </w:t>
      </w:r>
      <w:r>
        <w:rPr>
          <w:color w:val="231F20"/>
          <w:spacing w:val="-4"/>
        </w:rPr>
        <w:t>Papa</w:t>
      </w:r>
      <w:r>
        <w:rPr>
          <w:color w:val="231F20"/>
          <w:spacing w:val="-11"/>
        </w:rPr>
        <w:t> </w:t>
      </w:r>
      <w:r>
        <w:rPr>
          <w:color w:val="231F20"/>
          <w:spacing w:val="-4"/>
        </w:rPr>
        <w:t>Guépard</w:t>
      </w:r>
      <w:r>
        <w:rPr>
          <w:color w:val="231F20"/>
          <w:spacing w:val="-11"/>
        </w:rPr>
        <w:t> </w:t>
      </w:r>
      <w:r>
        <w:rPr>
          <w:color w:val="231F20"/>
          <w:spacing w:val="-4"/>
        </w:rPr>
        <w:t>»</w:t>
      </w:r>
      <w:r>
        <w:rPr>
          <w:color w:val="231F20"/>
          <w:spacing w:val="-11"/>
        </w:rPr>
        <w:t> </w:t>
      </w:r>
      <w:r>
        <w:rPr>
          <w:color w:val="231F20"/>
          <w:spacing w:val="-4"/>
        </w:rPr>
        <w:t>du</w:t>
      </w:r>
      <w:r>
        <w:rPr>
          <w:color w:val="231F20"/>
          <w:spacing w:val="-11"/>
        </w:rPr>
        <w:t> </w:t>
      </w:r>
      <w:r>
        <w:rPr>
          <w:color w:val="231F20"/>
          <w:spacing w:val="-4"/>
        </w:rPr>
        <w:t>nom</w:t>
      </w:r>
      <w:r>
        <w:rPr>
          <w:color w:val="231F20"/>
          <w:spacing w:val="-11"/>
        </w:rPr>
        <w:t> </w:t>
      </w:r>
      <w:r>
        <w:rPr>
          <w:color w:val="231F20"/>
          <w:spacing w:val="-4"/>
        </w:rPr>
        <w:t>de</w:t>
      </w:r>
      <w:r>
        <w:rPr>
          <w:color w:val="231F20"/>
          <w:spacing w:val="-11"/>
        </w:rPr>
        <w:t> </w:t>
      </w:r>
      <w:r>
        <w:rPr>
          <w:color w:val="231F20"/>
          <w:spacing w:val="-4"/>
        </w:rPr>
        <w:t>son</w:t>
      </w:r>
      <w:r>
        <w:rPr>
          <w:color w:val="231F20"/>
          <w:spacing w:val="-11"/>
        </w:rPr>
        <w:t> </w:t>
      </w:r>
      <w:r>
        <w:rPr>
          <w:color w:val="231F20"/>
          <w:spacing w:val="-4"/>
        </w:rPr>
        <w:t>unité</w:t>
      </w:r>
      <w:r>
        <w:rPr>
          <w:color w:val="231F20"/>
          <w:spacing w:val="-11"/>
        </w:rPr>
        <w:t> </w:t>
      </w:r>
      <w:r>
        <w:rPr>
          <w:color w:val="231F20"/>
          <w:spacing w:val="-4"/>
        </w:rPr>
        <w:t>en</w:t>
      </w:r>
      <w:r>
        <w:rPr>
          <w:color w:val="231F20"/>
          <w:spacing w:val="-11"/>
        </w:rPr>
        <w:t> </w:t>
      </w:r>
      <w:r>
        <w:rPr>
          <w:color w:val="231F20"/>
          <w:spacing w:val="-4"/>
        </w:rPr>
        <w:t>est</w:t>
      </w:r>
      <w:r>
        <w:rPr>
          <w:color w:val="231F20"/>
          <w:spacing w:val="-11"/>
        </w:rPr>
        <w:t> </w:t>
      </w:r>
      <w:r>
        <w:rPr>
          <w:color w:val="231F20"/>
          <w:spacing w:val="-4"/>
        </w:rPr>
        <w:t>le</w:t>
      </w:r>
      <w:r>
        <w:rPr>
          <w:color w:val="231F20"/>
          <w:spacing w:val="-11"/>
        </w:rPr>
        <w:t> </w:t>
      </w:r>
      <w:r>
        <w:rPr>
          <w:color w:val="231F20"/>
          <w:spacing w:val="-4"/>
        </w:rPr>
        <w:t>patron.</w:t>
      </w:r>
      <w:r>
        <w:rPr>
          <w:color w:val="231F20"/>
          <w:spacing w:val="-11"/>
        </w:rPr>
        <w:t> </w:t>
      </w:r>
      <w:r>
        <w:rPr>
          <w:color w:val="231F20"/>
          <w:spacing w:val="-4"/>
        </w:rPr>
        <w:t>Ancien</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Force </w:t>
      </w:r>
      <w:r>
        <w:rPr>
          <w:color w:val="231F20"/>
        </w:rPr>
        <w:t>d’Intervention</w:t>
      </w:r>
      <w:r>
        <w:rPr>
          <w:color w:val="231F20"/>
          <w:spacing w:val="-15"/>
        </w:rPr>
        <w:t> </w:t>
      </w:r>
      <w:r>
        <w:rPr>
          <w:color w:val="231F20"/>
        </w:rPr>
        <w:t>Rapide</w:t>
      </w:r>
      <w:r>
        <w:rPr>
          <w:color w:val="231F20"/>
          <w:spacing w:val="-15"/>
        </w:rPr>
        <w:t> </w:t>
      </w:r>
      <w:r>
        <w:rPr>
          <w:color w:val="231F20"/>
        </w:rPr>
        <w:t>Para-Commando</w:t>
      </w:r>
      <w:r>
        <w:rPr>
          <w:color w:val="231F20"/>
          <w:spacing w:val="-15"/>
        </w:rPr>
        <w:t> </w:t>
      </w:r>
      <w:r>
        <w:rPr>
          <w:color w:val="231F20"/>
        </w:rPr>
        <w:t>(Firpac),</w:t>
      </w:r>
      <w:r>
        <w:rPr>
          <w:color w:val="231F20"/>
          <w:spacing w:val="-15"/>
        </w:rPr>
        <w:t> </w:t>
      </w:r>
      <w:r>
        <w:rPr>
          <w:color w:val="231F20"/>
        </w:rPr>
        <w:t>il</w:t>
      </w:r>
      <w:r>
        <w:rPr>
          <w:color w:val="231F20"/>
          <w:spacing w:val="-15"/>
        </w:rPr>
        <w:t> </w:t>
      </w:r>
      <w:r>
        <w:rPr>
          <w:color w:val="231F20"/>
        </w:rPr>
        <w:t>a</w:t>
      </w:r>
      <w:r>
        <w:rPr>
          <w:color w:val="231F20"/>
          <w:spacing w:val="-14"/>
        </w:rPr>
        <w:t> </w:t>
      </w:r>
      <w:r>
        <w:rPr>
          <w:color w:val="231F20"/>
        </w:rPr>
        <w:t>été</w:t>
      </w:r>
      <w:r>
        <w:rPr>
          <w:color w:val="231F20"/>
          <w:spacing w:val="-13"/>
        </w:rPr>
        <w:t> </w:t>
      </w:r>
      <w:r>
        <w:rPr>
          <w:color w:val="231F20"/>
        </w:rPr>
        <w:t>le</w:t>
      </w:r>
      <w:r>
        <w:rPr>
          <w:color w:val="231F20"/>
          <w:spacing w:val="-14"/>
        </w:rPr>
        <w:t> </w:t>
      </w:r>
      <w:r>
        <w:rPr>
          <w:color w:val="231F20"/>
        </w:rPr>
        <w:t>chauffeur</w:t>
      </w:r>
      <w:r>
        <w:rPr>
          <w:color w:val="231F20"/>
          <w:spacing w:val="-15"/>
        </w:rPr>
        <w:t> </w:t>
      </w:r>
      <w:r>
        <w:rPr>
          <w:color w:val="231F20"/>
        </w:rPr>
        <w:t>du général</w:t>
      </w:r>
      <w:r>
        <w:rPr>
          <w:color w:val="231F20"/>
          <w:spacing w:val="-15"/>
        </w:rPr>
        <w:t> </w:t>
      </w:r>
      <w:r>
        <w:rPr>
          <w:color w:val="231F20"/>
        </w:rPr>
        <w:t>Mathias Doué</w:t>
      </w:r>
      <w:r>
        <w:rPr>
          <w:color w:val="231F20"/>
          <w:spacing w:val="-15"/>
        </w:rPr>
        <w:t> </w:t>
      </w:r>
      <w:r>
        <w:rPr>
          <w:color w:val="231F20"/>
        </w:rPr>
        <w:t>durant la transition militaire dirigée par</w:t>
      </w:r>
      <w:r>
        <w:rPr>
          <w:color w:val="231F20"/>
          <w:spacing w:val="-15"/>
        </w:rPr>
        <w:t> </w:t>
      </w:r>
      <w:r>
        <w:rPr>
          <w:color w:val="231F20"/>
        </w:rPr>
        <w:t>Robert Guéï.</w:t>
      </w:r>
      <w:r>
        <w:rPr>
          <w:color w:val="231F20"/>
          <w:spacing w:val="-12"/>
        </w:rPr>
        <w:t> </w:t>
      </w:r>
      <w:r>
        <w:rPr>
          <w:color w:val="231F20"/>
        </w:rPr>
        <w:t>C’est</w:t>
      </w:r>
      <w:r>
        <w:rPr>
          <w:color w:val="231F20"/>
          <w:spacing w:val="-12"/>
        </w:rPr>
        <w:t> </w:t>
      </w:r>
      <w:r>
        <w:rPr>
          <w:color w:val="231F20"/>
        </w:rPr>
        <w:t>un</w:t>
      </w:r>
      <w:r>
        <w:rPr>
          <w:color w:val="231F20"/>
          <w:spacing w:val="-12"/>
        </w:rPr>
        <w:t> </w:t>
      </w:r>
      <w:r>
        <w:rPr>
          <w:color w:val="231F20"/>
        </w:rPr>
        <w:t>des</w:t>
      </w:r>
      <w:r>
        <w:rPr>
          <w:color w:val="231F20"/>
          <w:spacing w:val="-12"/>
        </w:rPr>
        <w:t> </w:t>
      </w:r>
      <w:r>
        <w:rPr>
          <w:color w:val="231F20"/>
        </w:rPr>
        <w:t>piliers</w:t>
      </w:r>
      <w:r>
        <w:rPr>
          <w:color w:val="231F20"/>
          <w:spacing w:val="-13"/>
        </w:rPr>
        <w:t> </w:t>
      </w:r>
      <w:r>
        <w:rPr>
          <w:color w:val="231F20"/>
        </w:rPr>
        <w:t>de</w:t>
      </w:r>
      <w:r>
        <w:rPr>
          <w:color w:val="231F20"/>
          <w:spacing w:val="-9"/>
        </w:rPr>
        <w:t> </w:t>
      </w:r>
      <w:r>
        <w:rPr>
          <w:color w:val="231F20"/>
        </w:rPr>
        <w:t>l’aile</w:t>
      </w:r>
      <w:r>
        <w:rPr>
          <w:color w:val="231F20"/>
          <w:spacing w:val="-12"/>
        </w:rPr>
        <w:t> </w:t>
      </w:r>
      <w:r>
        <w:rPr>
          <w:color w:val="231F20"/>
        </w:rPr>
        <w:t>militaire.</w:t>
      </w:r>
      <w:r>
        <w:rPr>
          <w:color w:val="231F20"/>
          <w:spacing w:val="-11"/>
        </w:rPr>
        <w:t> </w:t>
      </w:r>
      <w:r>
        <w:rPr>
          <w:color w:val="231F20"/>
        </w:rPr>
        <w:t>Il</w:t>
      </w:r>
      <w:r>
        <w:rPr>
          <w:color w:val="231F20"/>
          <w:spacing w:val="-9"/>
        </w:rPr>
        <w:t> </w:t>
      </w:r>
      <w:r>
        <w:rPr>
          <w:color w:val="231F20"/>
        </w:rPr>
        <w:t>a</w:t>
      </w:r>
      <w:r>
        <w:rPr>
          <w:color w:val="231F20"/>
          <w:spacing w:val="-10"/>
        </w:rPr>
        <w:t> </w:t>
      </w:r>
      <w:r>
        <w:rPr>
          <w:color w:val="231F20"/>
        </w:rPr>
        <w:t>formé</w:t>
      </w:r>
      <w:r>
        <w:rPr>
          <w:color w:val="231F20"/>
          <w:spacing w:val="-9"/>
        </w:rPr>
        <w:t> </w:t>
      </w:r>
      <w:r>
        <w:rPr>
          <w:color w:val="231F20"/>
        </w:rPr>
        <w:t>un</w:t>
      </w:r>
      <w:r>
        <w:rPr>
          <w:color w:val="231F20"/>
          <w:spacing w:val="-11"/>
        </w:rPr>
        <w:t> </w:t>
      </w:r>
      <w:r>
        <w:rPr>
          <w:color w:val="231F20"/>
        </w:rPr>
        <w:t>grand</w:t>
      </w:r>
      <w:r>
        <w:rPr>
          <w:color w:val="231F20"/>
          <w:spacing w:val="-11"/>
        </w:rPr>
        <w:t> </w:t>
      </w:r>
      <w:r>
        <w:rPr>
          <w:color w:val="231F20"/>
        </w:rPr>
        <w:t>nombre </w:t>
      </w:r>
      <w:r>
        <w:rPr>
          <w:color w:val="231F20"/>
          <w:spacing w:val="-2"/>
        </w:rPr>
        <w:t>de</w:t>
      </w:r>
      <w:r>
        <w:rPr>
          <w:color w:val="231F20"/>
          <w:spacing w:val="-8"/>
        </w:rPr>
        <w:t> </w:t>
      </w:r>
      <w:r>
        <w:rPr>
          <w:color w:val="231F20"/>
          <w:spacing w:val="-2"/>
        </w:rPr>
        <w:t>combattants</w:t>
      </w:r>
      <w:r>
        <w:rPr>
          <w:color w:val="231F20"/>
          <w:spacing w:val="-8"/>
        </w:rPr>
        <w:t> </w:t>
      </w:r>
      <w:r>
        <w:rPr>
          <w:color w:val="231F20"/>
          <w:spacing w:val="-2"/>
        </w:rPr>
        <w:t>aux</w:t>
      </w:r>
      <w:r>
        <w:rPr>
          <w:color w:val="231F20"/>
          <w:spacing w:val="-7"/>
        </w:rPr>
        <w:t> </w:t>
      </w:r>
      <w:r>
        <w:rPr>
          <w:color w:val="231F20"/>
          <w:spacing w:val="-2"/>
        </w:rPr>
        <w:t>tactiques</w:t>
      </w:r>
      <w:r>
        <w:rPr>
          <w:color w:val="231F20"/>
          <w:spacing w:val="-8"/>
        </w:rPr>
        <w:t> </w:t>
      </w:r>
      <w:r>
        <w:rPr>
          <w:color w:val="231F20"/>
          <w:spacing w:val="-2"/>
        </w:rPr>
        <w:t>commandos.</w:t>
      </w:r>
      <w:r>
        <w:rPr>
          <w:color w:val="231F20"/>
          <w:spacing w:val="-8"/>
        </w:rPr>
        <w:t> </w:t>
      </w:r>
      <w:r>
        <w:rPr>
          <w:color w:val="231F20"/>
          <w:spacing w:val="-2"/>
        </w:rPr>
        <w:t>Il</w:t>
      </w:r>
      <w:r>
        <w:rPr>
          <w:color w:val="231F20"/>
          <w:spacing w:val="-7"/>
        </w:rPr>
        <w:t> </w:t>
      </w:r>
      <w:r>
        <w:rPr>
          <w:color w:val="231F20"/>
          <w:spacing w:val="-2"/>
        </w:rPr>
        <w:t>est</w:t>
      </w:r>
      <w:r>
        <w:rPr>
          <w:color w:val="231F20"/>
          <w:spacing w:val="-8"/>
        </w:rPr>
        <w:t> </w:t>
      </w:r>
      <w:r>
        <w:rPr>
          <w:color w:val="231F20"/>
          <w:spacing w:val="-2"/>
        </w:rPr>
        <w:t>craint</w:t>
      </w:r>
      <w:r>
        <w:rPr>
          <w:color w:val="231F20"/>
          <w:spacing w:val="-8"/>
        </w:rPr>
        <w:t> </w:t>
      </w:r>
      <w:r>
        <w:rPr>
          <w:color w:val="231F20"/>
          <w:spacing w:val="-2"/>
        </w:rPr>
        <w:t>et</w:t>
      </w:r>
      <w:r>
        <w:rPr>
          <w:color w:val="231F20"/>
          <w:spacing w:val="-8"/>
        </w:rPr>
        <w:t> </w:t>
      </w:r>
      <w:r>
        <w:rPr>
          <w:color w:val="231F20"/>
          <w:spacing w:val="-2"/>
        </w:rPr>
        <w:t>respecté</w:t>
      </w:r>
      <w:r>
        <w:rPr>
          <w:color w:val="231F20"/>
          <w:spacing w:val="-9"/>
        </w:rPr>
        <w:t> </w:t>
      </w:r>
      <w:r>
        <w:rPr>
          <w:color w:val="231F20"/>
          <w:spacing w:val="-2"/>
        </w:rPr>
        <w:t>par</w:t>
      </w:r>
      <w:r>
        <w:rPr>
          <w:color w:val="231F20"/>
          <w:spacing w:val="-9"/>
        </w:rPr>
        <w:t> </w:t>
      </w:r>
      <w:r>
        <w:rPr>
          <w:color w:val="231F20"/>
          <w:spacing w:val="-2"/>
        </w:rPr>
        <w:t>ses </w:t>
      </w:r>
      <w:r>
        <w:rPr>
          <w:color w:val="231F20"/>
        </w:rPr>
        <w:t>éléments,</w:t>
      </w:r>
      <w:r>
        <w:rPr>
          <w:color w:val="231F20"/>
          <w:spacing w:val="-6"/>
        </w:rPr>
        <w:t> </w:t>
      </w:r>
      <w:r>
        <w:rPr>
          <w:color w:val="231F20"/>
        </w:rPr>
        <w:t>les</w:t>
      </w:r>
      <w:r>
        <w:rPr>
          <w:color w:val="231F20"/>
          <w:spacing w:val="-4"/>
        </w:rPr>
        <w:t> </w:t>
      </w:r>
      <w:r>
        <w:rPr>
          <w:color w:val="231F20"/>
        </w:rPr>
        <w:t>bérets</w:t>
      </w:r>
      <w:r>
        <w:rPr>
          <w:color w:val="231F20"/>
          <w:spacing w:val="-3"/>
        </w:rPr>
        <w:t> </w:t>
      </w:r>
      <w:r>
        <w:rPr>
          <w:color w:val="231F20"/>
        </w:rPr>
        <w:t>verts,</w:t>
      </w:r>
      <w:r>
        <w:rPr>
          <w:color w:val="231F20"/>
          <w:spacing w:val="-6"/>
        </w:rPr>
        <w:t> </w:t>
      </w:r>
      <w:r>
        <w:rPr>
          <w:color w:val="231F20"/>
        </w:rPr>
        <w:t>qui</w:t>
      </w:r>
      <w:r>
        <w:rPr>
          <w:color w:val="231F20"/>
          <w:spacing w:val="-6"/>
        </w:rPr>
        <w:t> </w:t>
      </w:r>
      <w:r>
        <w:rPr>
          <w:color w:val="231F20"/>
        </w:rPr>
        <w:t>tiennent</w:t>
      </w:r>
      <w:r>
        <w:rPr>
          <w:color w:val="231F20"/>
          <w:spacing w:val="-6"/>
        </w:rPr>
        <w:t> </w:t>
      </w:r>
      <w:r>
        <w:rPr>
          <w:color w:val="231F20"/>
        </w:rPr>
        <w:t>le</w:t>
      </w:r>
      <w:r>
        <w:rPr>
          <w:color w:val="231F20"/>
          <w:spacing w:val="-3"/>
        </w:rPr>
        <w:t> </w:t>
      </w:r>
      <w:r>
        <w:rPr>
          <w:color w:val="231F20"/>
        </w:rPr>
        <w:t>pouvoir</w:t>
      </w:r>
      <w:r>
        <w:rPr>
          <w:color w:val="231F20"/>
          <w:spacing w:val="-4"/>
        </w:rPr>
        <w:t> </w:t>
      </w:r>
      <w:r>
        <w:rPr>
          <w:color w:val="231F20"/>
        </w:rPr>
        <w:t>à</w:t>
      </w:r>
      <w:r>
        <w:rPr>
          <w:color w:val="231F20"/>
          <w:spacing w:val="-6"/>
        </w:rPr>
        <w:t> </w:t>
      </w:r>
      <w:r>
        <w:rPr>
          <w:color w:val="231F20"/>
        </w:rPr>
        <w:t>Bouaké.</w:t>
      </w:r>
    </w:p>
    <w:p>
      <w:pPr>
        <w:pStyle w:val="BodyText"/>
        <w:spacing w:before="121"/>
        <w:ind w:right="105" w:firstLine="283"/>
      </w:pPr>
      <w:r>
        <w:rPr>
          <w:color w:val="231F20"/>
        </w:rPr>
        <w:t>La Zone 4 couvre la région de</w:t>
      </w:r>
      <w:r>
        <w:rPr>
          <w:color w:val="231F20"/>
          <w:spacing w:val="-14"/>
        </w:rPr>
        <w:t> </w:t>
      </w:r>
      <w:r>
        <w:rPr>
          <w:color w:val="231F20"/>
        </w:rPr>
        <w:t>Mankono</w:t>
      </w:r>
      <w:r>
        <w:rPr>
          <w:color w:val="231F20"/>
          <w:spacing w:val="-15"/>
        </w:rPr>
        <w:t> </w:t>
      </w:r>
      <w:r>
        <w:rPr>
          <w:color w:val="231F20"/>
          <w:vertAlign w:val="superscript"/>
        </w:rPr>
        <w:t>189</w:t>
      </w:r>
      <w:r>
        <w:rPr>
          <w:color w:val="231F20"/>
          <w:spacing w:val="-15"/>
          <w:vertAlign w:val="baseline"/>
        </w:rPr>
        <w:t> </w:t>
      </w:r>
      <w:r>
        <w:rPr>
          <w:color w:val="231F20"/>
          <w:vertAlign w:val="baseline"/>
        </w:rPr>
        <w:t>. Elle est dirigée par Zoumana Ouattara</w:t>
      </w:r>
      <w:r>
        <w:rPr>
          <w:color w:val="231F20"/>
          <w:spacing w:val="-15"/>
          <w:vertAlign w:val="baseline"/>
        </w:rPr>
        <w:t> </w:t>
      </w:r>
      <w:r>
        <w:rPr>
          <w:color w:val="231F20"/>
          <w:vertAlign w:val="baseline"/>
        </w:rPr>
        <w:t>alias «</w:t>
      </w:r>
      <w:r>
        <w:rPr>
          <w:color w:val="231F20"/>
          <w:spacing w:val="-15"/>
          <w:vertAlign w:val="baseline"/>
        </w:rPr>
        <w:t> </w:t>
      </w:r>
      <w:r>
        <w:rPr>
          <w:color w:val="231F20"/>
          <w:vertAlign w:val="baseline"/>
        </w:rPr>
        <w:t>Lieutenant Zoua</w:t>
      </w:r>
      <w:r>
        <w:rPr>
          <w:color w:val="231F20"/>
          <w:spacing w:val="-15"/>
          <w:vertAlign w:val="baseline"/>
        </w:rPr>
        <w:t> </w:t>
      </w:r>
      <w:r>
        <w:rPr>
          <w:color w:val="231F20"/>
          <w:vertAlign w:val="baseline"/>
        </w:rPr>
        <w:t>» un ancien de l’École des forces</w:t>
      </w:r>
      <w:r>
        <w:rPr>
          <w:color w:val="231F20"/>
          <w:spacing w:val="-5"/>
          <w:vertAlign w:val="baseline"/>
        </w:rPr>
        <w:t> </w:t>
      </w:r>
      <w:r>
        <w:rPr>
          <w:color w:val="231F20"/>
          <w:vertAlign w:val="baseline"/>
        </w:rPr>
        <w:t>armées</w:t>
      </w:r>
      <w:r>
        <w:rPr>
          <w:color w:val="231F20"/>
          <w:spacing w:val="-5"/>
          <w:vertAlign w:val="baseline"/>
        </w:rPr>
        <w:t> </w:t>
      </w:r>
      <w:r>
        <w:rPr>
          <w:color w:val="231F20"/>
          <w:vertAlign w:val="baseline"/>
        </w:rPr>
        <w:t>(EFA)</w:t>
      </w:r>
      <w:r>
        <w:rPr>
          <w:color w:val="231F20"/>
          <w:spacing w:val="-5"/>
          <w:vertAlign w:val="baseline"/>
        </w:rPr>
        <w:t> </w:t>
      </w:r>
      <w:r>
        <w:rPr>
          <w:color w:val="231F20"/>
          <w:vertAlign w:val="baseline"/>
        </w:rPr>
        <w:t>de</w:t>
      </w:r>
      <w:r>
        <w:rPr>
          <w:color w:val="231F20"/>
          <w:spacing w:val="-7"/>
          <w:vertAlign w:val="baseline"/>
        </w:rPr>
        <w:t> </w:t>
      </w:r>
      <w:r>
        <w:rPr>
          <w:color w:val="231F20"/>
          <w:vertAlign w:val="baseline"/>
        </w:rPr>
        <w:t>Bouaké.</w:t>
      </w:r>
      <w:r>
        <w:rPr>
          <w:color w:val="231F20"/>
          <w:spacing w:val="-5"/>
          <w:vertAlign w:val="baseline"/>
        </w:rPr>
        <w:t> </w:t>
      </w:r>
      <w:r>
        <w:rPr>
          <w:color w:val="231F20"/>
          <w:vertAlign w:val="baseline"/>
        </w:rPr>
        <w:t>Il</w:t>
      </w:r>
      <w:r>
        <w:rPr>
          <w:color w:val="231F20"/>
          <w:spacing w:val="-5"/>
          <w:vertAlign w:val="baseline"/>
        </w:rPr>
        <w:t> </w:t>
      </w:r>
      <w:r>
        <w:rPr>
          <w:color w:val="231F20"/>
          <w:vertAlign w:val="baseline"/>
        </w:rPr>
        <w:t>est</w:t>
      </w:r>
      <w:r>
        <w:rPr>
          <w:color w:val="231F20"/>
          <w:spacing w:val="-6"/>
          <w:vertAlign w:val="baseline"/>
        </w:rPr>
        <w:t> </w:t>
      </w:r>
      <w:r>
        <w:rPr>
          <w:color w:val="231F20"/>
          <w:vertAlign w:val="baseline"/>
        </w:rPr>
        <w:t>natif</w:t>
      </w:r>
      <w:r>
        <w:rPr>
          <w:color w:val="231F20"/>
          <w:spacing w:val="-5"/>
          <w:vertAlign w:val="baseline"/>
        </w:rPr>
        <w:t> </w:t>
      </w:r>
      <w:r>
        <w:rPr>
          <w:color w:val="231F20"/>
          <w:vertAlign w:val="baseline"/>
        </w:rPr>
        <w:t>de</w:t>
      </w:r>
      <w:r>
        <w:rPr>
          <w:color w:val="231F20"/>
          <w:spacing w:val="-5"/>
          <w:vertAlign w:val="baseline"/>
        </w:rPr>
        <w:t> </w:t>
      </w:r>
      <w:r>
        <w:rPr>
          <w:color w:val="231F20"/>
          <w:vertAlign w:val="baseline"/>
        </w:rPr>
        <w:t>Ferkessédougou.</w:t>
      </w:r>
    </w:p>
    <w:p>
      <w:pPr>
        <w:pStyle w:val="BodyText"/>
        <w:spacing w:before="120"/>
        <w:ind w:right="105" w:firstLine="283"/>
      </w:pPr>
      <w:r>
        <w:rPr>
          <w:color w:val="231F20"/>
        </w:rPr>
        <w:t>La Zone 5 couvre les régions Administratives de Séguela</w:t>
      </w:r>
      <w:r>
        <w:rPr>
          <w:color w:val="231F20"/>
          <w:spacing w:val="-15"/>
        </w:rPr>
        <w:t> </w:t>
      </w:r>
      <w:r>
        <w:rPr>
          <w:color w:val="231F20"/>
          <w:vertAlign w:val="superscript"/>
        </w:rPr>
        <w:t>190</w:t>
      </w:r>
      <w:r>
        <w:rPr>
          <w:color w:val="231F20"/>
          <w:vertAlign w:val="baseline"/>
        </w:rPr>
        <w:t> et </w:t>
      </w:r>
      <w:r>
        <w:rPr>
          <w:color w:val="231F20"/>
          <w:spacing w:val="-2"/>
          <w:vertAlign w:val="baseline"/>
        </w:rPr>
        <w:t>Vavoua</w:t>
      </w:r>
      <w:r>
        <w:rPr>
          <w:color w:val="231F20"/>
          <w:spacing w:val="-2"/>
          <w:vertAlign w:val="superscript"/>
        </w:rPr>
        <w:t>191</w:t>
      </w:r>
      <w:r>
        <w:rPr>
          <w:color w:val="231F20"/>
          <w:spacing w:val="-2"/>
          <w:vertAlign w:val="baseline"/>
        </w:rPr>
        <w:t>.Elle</w:t>
      </w:r>
      <w:r>
        <w:rPr>
          <w:color w:val="231F20"/>
          <w:spacing w:val="-11"/>
          <w:vertAlign w:val="baseline"/>
        </w:rPr>
        <w:t> </w:t>
      </w:r>
      <w:r>
        <w:rPr>
          <w:color w:val="231F20"/>
          <w:spacing w:val="-2"/>
          <w:vertAlign w:val="baseline"/>
        </w:rPr>
        <w:t>est</w:t>
      </w:r>
      <w:r>
        <w:rPr>
          <w:color w:val="231F20"/>
          <w:spacing w:val="-13"/>
          <w:vertAlign w:val="baseline"/>
        </w:rPr>
        <w:t> </w:t>
      </w:r>
      <w:r>
        <w:rPr>
          <w:color w:val="231F20"/>
          <w:spacing w:val="-2"/>
          <w:vertAlign w:val="baseline"/>
        </w:rPr>
        <w:t>dirigée</w:t>
      </w:r>
      <w:r>
        <w:rPr>
          <w:color w:val="231F20"/>
          <w:spacing w:val="-11"/>
          <w:vertAlign w:val="baseline"/>
        </w:rPr>
        <w:t> </w:t>
      </w:r>
      <w:r>
        <w:rPr>
          <w:color w:val="231F20"/>
          <w:spacing w:val="-2"/>
          <w:vertAlign w:val="baseline"/>
        </w:rPr>
        <w:t>par</w:t>
      </w:r>
      <w:r>
        <w:rPr>
          <w:color w:val="231F20"/>
          <w:spacing w:val="-11"/>
          <w:vertAlign w:val="baseline"/>
        </w:rPr>
        <w:t> </w:t>
      </w:r>
      <w:r>
        <w:rPr>
          <w:color w:val="231F20"/>
          <w:spacing w:val="-2"/>
          <w:vertAlign w:val="baseline"/>
        </w:rPr>
        <w:t>Ouattara</w:t>
      </w:r>
      <w:r>
        <w:rPr>
          <w:color w:val="231F20"/>
          <w:spacing w:val="-11"/>
          <w:vertAlign w:val="baseline"/>
        </w:rPr>
        <w:t> </w:t>
      </w:r>
      <w:r>
        <w:rPr>
          <w:color w:val="231F20"/>
          <w:spacing w:val="-2"/>
          <w:vertAlign w:val="baseline"/>
        </w:rPr>
        <w:t>Issiaka</w:t>
      </w:r>
      <w:r>
        <w:rPr>
          <w:color w:val="231F20"/>
          <w:spacing w:val="-13"/>
          <w:vertAlign w:val="baseline"/>
        </w:rPr>
        <w:t> </w:t>
      </w:r>
      <w:r>
        <w:rPr>
          <w:color w:val="231F20"/>
          <w:spacing w:val="-2"/>
          <w:vertAlign w:val="baseline"/>
        </w:rPr>
        <w:t>dit</w:t>
      </w:r>
      <w:r>
        <w:rPr>
          <w:color w:val="231F20"/>
          <w:spacing w:val="-12"/>
          <w:vertAlign w:val="baseline"/>
        </w:rPr>
        <w:t> </w:t>
      </w:r>
      <w:r>
        <w:rPr>
          <w:color w:val="231F20"/>
          <w:spacing w:val="-2"/>
          <w:vertAlign w:val="baseline"/>
        </w:rPr>
        <w:t>«</w:t>
      </w:r>
      <w:r>
        <w:rPr>
          <w:color w:val="231F20"/>
          <w:spacing w:val="-12"/>
          <w:vertAlign w:val="baseline"/>
        </w:rPr>
        <w:t> </w:t>
      </w:r>
      <w:r>
        <w:rPr>
          <w:color w:val="231F20"/>
          <w:spacing w:val="-2"/>
          <w:vertAlign w:val="baseline"/>
        </w:rPr>
        <w:t>Wattao</w:t>
      </w:r>
      <w:r>
        <w:rPr>
          <w:color w:val="231F20"/>
          <w:spacing w:val="-11"/>
          <w:vertAlign w:val="baseline"/>
        </w:rPr>
        <w:t> </w:t>
      </w:r>
      <w:r>
        <w:rPr>
          <w:color w:val="231F20"/>
          <w:spacing w:val="-2"/>
          <w:vertAlign w:val="baseline"/>
        </w:rPr>
        <w:t>»</w:t>
      </w:r>
      <w:r>
        <w:rPr>
          <w:color w:val="231F20"/>
          <w:spacing w:val="-13"/>
          <w:vertAlign w:val="baseline"/>
        </w:rPr>
        <w:t> </w:t>
      </w:r>
      <w:r>
        <w:rPr>
          <w:color w:val="231F20"/>
          <w:spacing w:val="-2"/>
          <w:vertAlign w:val="baseline"/>
        </w:rPr>
        <w:t>par</w:t>
      </w:r>
      <w:r>
        <w:rPr>
          <w:color w:val="231F20"/>
          <w:spacing w:val="-13"/>
          <w:vertAlign w:val="baseline"/>
        </w:rPr>
        <w:t> </w:t>
      </w:r>
      <w:r>
        <w:rPr>
          <w:color w:val="231F20"/>
          <w:spacing w:val="-2"/>
          <w:vertAlign w:val="baseline"/>
        </w:rPr>
        <w:t>ailleurs </w:t>
      </w:r>
      <w:r>
        <w:rPr>
          <w:color w:val="231F20"/>
          <w:vertAlign w:val="baseline"/>
        </w:rPr>
        <w:t>chef</w:t>
      </w:r>
      <w:r>
        <w:rPr>
          <w:color w:val="231F20"/>
          <w:spacing w:val="-7"/>
          <w:vertAlign w:val="baseline"/>
        </w:rPr>
        <w:t> </w:t>
      </w:r>
      <w:r>
        <w:rPr>
          <w:color w:val="231F20"/>
          <w:vertAlign w:val="baseline"/>
        </w:rPr>
        <w:t>d’état-major</w:t>
      </w:r>
      <w:r>
        <w:rPr>
          <w:color w:val="231F20"/>
          <w:spacing w:val="-7"/>
          <w:vertAlign w:val="baseline"/>
        </w:rPr>
        <w:t> </w:t>
      </w:r>
      <w:r>
        <w:rPr>
          <w:color w:val="231F20"/>
          <w:vertAlign w:val="baseline"/>
        </w:rPr>
        <w:t>adjoint</w:t>
      </w:r>
      <w:r>
        <w:rPr>
          <w:color w:val="231F20"/>
          <w:spacing w:val="-8"/>
          <w:vertAlign w:val="baseline"/>
        </w:rPr>
        <w:t> </w:t>
      </w:r>
      <w:r>
        <w:rPr>
          <w:color w:val="231F20"/>
          <w:vertAlign w:val="baseline"/>
        </w:rPr>
        <w:t>des</w:t>
      </w:r>
      <w:r>
        <w:rPr>
          <w:color w:val="231F20"/>
          <w:spacing w:val="-7"/>
          <w:vertAlign w:val="baseline"/>
        </w:rPr>
        <w:t> </w:t>
      </w:r>
      <w:r>
        <w:rPr>
          <w:color w:val="231F20"/>
          <w:vertAlign w:val="baseline"/>
        </w:rPr>
        <w:t>Forces</w:t>
      </w:r>
      <w:r>
        <w:rPr>
          <w:color w:val="231F20"/>
          <w:spacing w:val="-7"/>
          <w:vertAlign w:val="baseline"/>
        </w:rPr>
        <w:t> </w:t>
      </w:r>
      <w:r>
        <w:rPr>
          <w:color w:val="231F20"/>
          <w:vertAlign w:val="baseline"/>
        </w:rPr>
        <w:t>armées</w:t>
      </w:r>
      <w:r>
        <w:rPr>
          <w:color w:val="231F20"/>
          <w:spacing w:val="-7"/>
          <w:vertAlign w:val="baseline"/>
        </w:rPr>
        <w:t> </w:t>
      </w:r>
      <w:r>
        <w:rPr>
          <w:color w:val="231F20"/>
          <w:vertAlign w:val="baseline"/>
        </w:rPr>
        <w:t>des</w:t>
      </w:r>
      <w:r>
        <w:rPr>
          <w:color w:val="231F20"/>
          <w:spacing w:val="-7"/>
          <w:vertAlign w:val="baseline"/>
        </w:rPr>
        <w:t> </w:t>
      </w:r>
      <w:r>
        <w:rPr>
          <w:color w:val="231F20"/>
          <w:vertAlign w:val="baseline"/>
        </w:rPr>
        <w:t>forces</w:t>
      </w:r>
      <w:r>
        <w:rPr>
          <w:color w:val="231F20"/>
          <w:spacing w:val="-7"/>
          <w:vertAlign w:val="baseline"/>
        </w:rPr>
        <w:t> </w:t>
      </w:r>
      <w:r>
        <w:rPr>
          <w:color w:val="231F20"/>
          <w:vertAlign w:val="baseline"/>
        </w:rPr>
        <w:t>nouvelles.</w:t>
      </w:r>
      <w:r>
        <w:rPr>
          <w:color w:val="231F20"/>
          <w:spacing w:val="-9"/>
          <w:vertAlign w:val="baseline"/>
        </w:rPr>
        <w:t> </w:t>
      </w:r>
      <w:r>
        <w:rPr>
          <w:color w:val="231F20"/>
          <w:vertAlign w:val="baseline"/>
        </w:rPr>
        <w:t>C’est </w:t>
      </w:r>
      <w:r>
        <w:rPr>
          <w:color w:val="231F20"/>
          <w:spacing w:val="-2"/>
          <w:vertAlign w:val="baseline"/>
        </w:rPr>
        <w:t>un</w:t>
      </w:r>
      <w:r>
        <w:rPr>
          <w:color w:val="231F20"/>
          <w:spacing w:val="-7"/>
          <w:vertAlign w:val="baseline"/>
        </w:rPr>
        <w:t> </w:t>
      </w:r>
      <w:r>
        <w:rPr>
          <w:color w:val="231F20"/>
          <w:spacing w:val="-2"/>
          <w:vertAlign w:val="baseline"/>
        </w:rPr>
        <w:t>ancien</w:t>
      </w:r>
      <w:r>
        <w:rPr>
          <w:color w:val="231F20"/>
          <w:spacing w:val="-7"/>
          <w:vertAlign w:val="baseline"/>
        </w:rPr>
        <w:t> </w:t>
      </w:r>
      <w:r>
        <w:rPr>
          <w:color w:val="231F20"/>
          <w:spacing w:val="-2"/>
          <w:vertAlign w:val="baseline"/>
        </w:rPr>
        <w:t>de</w:t>
      </w:r>
      <w:r>
        <w:rPr>
          <w:color w:val="231F20"/>
          <w:spacing w:val="-10"/>
          <w:vertAlign w:val="baseline"/>
        </w:rPr>
        <w:t> </w:t>
      </w:r>
      <w:r>
        <w:rPr>
          <w:color w:val="231F20"/>
          <w:spacing w:val="-2"/>
          <w:vertAlign w:val="baseline"/>
        </w:rPr>
        <w:t>la</w:t>
      </w:r>
      <w:r>
        <w:rPr>
          <w:color w:val="231F20"/>
          <w:spacing w:val="-13"/>
          <w:vertAlign w:val="baseline"/>
        </w:rPr>
        <w:t> </w:t>
      </w:r>
      <w:r>
        <w:rPr>
          <w:color w:val="231F20"/>
          <w:spacing w:val="-2"/>
          <w:vertAlign w:val="baseline"/>
        </w:rPr>
        <w:t>Société</w:t>
      </w:r>
      <w:r>
        <w:rPr>
          <w:color w:val="231F20"/>
          <w:spacing w:val="-7"/>
          <w:vertAlign w:val="baseline"/>
        </w:rPr>
        <w:t> </w:t>
      </w:r>
      <w:r>
        <w:rPr>
          <w:color w:val="231F20"/>
          <w:spacing w:val="-2"/>
          <w:vertAlign w:val="baseline"/>
        </w:rPr>
        <w:t>Omnisports</w:t>
      </w:r>
      <w:r>
        <w:rPr>
          <w:color w:val="231F20"/>
          <w:spacing w:val="-7"/>
          <w:vertAlign w:val="baseline"/>
        </w:rPr>
        <w:t> </w:t>
      </w:r>
      <w:r>
        <w:rPr>
          <w:color w:val="231F20"/>
          <w:spacing w:val="-2"/>
          <w:vertAlign w:val="baseline"/>
        </w:rPr>
        <w:t>de</w:t>
      </w:r>
      <w:r>
        <w:rPr>
          <w:color w:val="231F20"/>
          <w:spacing w:val="-10"/>
          <w:vertAlign w:val="baseline"/>
        </w:rPr>
        <w:t> </w:t>
      </w:r>
      <w:r>
        <w:rPr>
          <w:color w:val="231F20"/>
          <w:spacing w:val="-2"/>
          <w:vertAlign w:val="baseline"/>
        </w:rPr>
        <w:t>l’Armée</w:t>
      </w:r>
      <w:r>
        <w:rPr>
          <w:color w:val="231F20"/>
          <w:spacing w:val="-10"/>
          <w:vertAlign w:val="baseline"/>
        </w:rPr>
        <w:t> </w:t>
      </w:r>
      <w:r>
        <w:rPr>
          <w:color w:val="231F20"/>
          <w:spacing w:val="-2"/>
          <w:vertAlign w:val="baseline"/>
        </w:rPr>
        <w:t>(SOA),</w:t>
      </w:r>
      <w:r>
        <w:rPr>
          <w:color w:val="231F20"/>
          <w:spacing w:val="-7"/>
          <w:vertAlign w:val="baseline"/>
        </w:rPr>
        <w:t> </w:t>
      </w:r>
      <w:r>
        <w:rPr>
          <w:color w:val="231F20"/>
          <w:spacing w:val="-2"/>
          <w:vertAlign w:val="baseline"/>
        </w:rPr>
        <w:t>l’équipe</w:t>
      </w:r>
      <w:r>
        <w:rPr>
          <w:color w:val="231F20"/>
          <w:spacing w:val="-10"/>
          <w:vertAlign w:val="baseline"/>
        </w:rPr>
        <w:t> </w:t>
      </w:r>
      <w:r>
        <w:rPr>
          <w:color w:val="231F20"/>
          <w:spacing w:val="-2"/>
          <w:vertAlign w:val="baseline"/>
        </w:rPr>
        <w:t>sportive </w:t>
      </w:r>
      <w:r>
        <w:rPr>
          <w:color w:val="231F20"/>
          <w:vertAlign w:val="baseline"/>
        </w:rPr>
        <w:t>des Forces Armées Nationales de Côte d’Ivoire (FANCI). Son unité répond au nom d’« Anaconda. »</w:t>
      </w:r>
    </w:p>
    <w:p>
      <w:pPr>
        <w:pStyle w:val="BodyText"/>
        <w:spacing w:before="120"/>
        <w:ind w:right="104" w:firstLine="283"/>
      </w:pPr>
      <w:r>
        <w:rPr>
          <w:color w:val="231F20"/>
          <w:spacing w:val="-2"/>
        </w:rPr>
        <w:t>La</w:t>
      </w:r>
      <w:r>
        <w:rPr>
          <w:color w:val="231F20"/>
          <w:spacing w:val="-13"/>
        </w:rPr>
        <w:t> </w:t>
      </w:r>
      <w:r>
        <w:rPr>
          <w:color w:val="231F20"/>
          <w:spacing w:val="-2"/>
        </w:rPr>
        <w:t>Zone</w:t>
      </w:r>
      <w:r>
        <w:rPr>
          <w:color w:val="231F20"/>
          <w:spacing w:val="-13"/>
        </w:rPr>
        <w:t> </w:t>
      </w:r>
      <w:r>
        <w:rPr>
          <w:color w:val="231F20"/>
          <w:spacing w:val="-2"/>
        </w:rPr>
        <w:t>6</w:t>
      </w:r>
      <w:r>
        <w:rPr>
          <w:color w:val="231F20"/>
          <w:spacing w:val="-13"/>
        </w:rPr>
        <w:t> </w:t>
      </w:r>
      <w:r>
        <w:rPr>
          <w:color w:val="231F20"/>
          <w:spacing w:val="-2"/>
        </w:rPr>
        <w:t>couvre</w:t>
      </w:r>
      <w:r>
        <w:rPr>
          <w:color w:val="231F20"/>
          <w:spacing w:val="-13"/>
        </w:rPr>
        <w:t> </w:t>
      </w:r>
      <w:r>
        <w:rPr>
          <w:color w:val="231F20"/>
          <w:spacing w:val="-2"/>
        </w:rPr>
        <w:t>la</w:t>
      </w:r>
      <w:r>
        <w:rPr>
          <w:color w:val="231F20"/>
          <w:spacing w:val="-13"/>
        </w:rPr>
        <w:t> </w:t>
      </w:r>
      <w:r>
        <w:rPr>
          <w:color w:val="231F20"/>
          <w:spacing w:val="-2"/>
        </w:rPr>
        <w:t>région</w:t>
      </w:r>
      <w:r>
        <w:rPr>
          <w:color w:val="231F20"/>
          <w:spacing w:val="-13"/>
        </w:rPr>
        <w:t> </w:t>
      </w:r>
      <w:r>
        <w:rPr>
          <w:color w:val="231F20"/>
          <w:spacing w:val="-2"/>
        </w:rPr>
        <w:t>de</w:t>
      </w:r>
      <w:r>
        <w:rPr>
          <w:color w:val="231F20"/>
          <w:spacing w:val="-13"/>
        </w:rPr>
        <w:t> </w:t>
      </w:r>
      <w:r>
        <w:rPr>
          <w:color w:val="231F20"/>
          <w:spacing w:val="-2"/>
        </w:rPr>
        <w:t>Man</w:t>
      </w:r>
      <w:r>
        <w:rPr>
          <w:color w:val="231F20"/>
          <w:spacing w:val="-2"/>
          <w:vertAlign w:val="superscript"/>
        </w:rPr>
        <w:t>192</w:t>
      </w:r>
      <w:r>
        <w:rPr>
          <w:color w:val="231F20"/>
          <w:spacing w:val="-4"/>
          <w:vertAlign w:val="baseline"/>
        </w:rPr>
        <w:t> </w:t>
      </w:r>
      <w:r>
        <w:rPr>
          <w:color w:val="231F20"/>
          <w:spacing w:val="-2"/>
          <w:vertAlign w:val="baseline"/>
        </w:rPr>
        <w:t>est</w:t>
      </w:r>
      <w:r>
        <w:rPr>
          <w:color w:val="231F20"/>
          <w:spacing w:val="-13"/>
          <w:vertAlign w:val="baseline"/>
        </w:rPr>
        <w:t> </w:t>
      </w:r>
      <w:r>
        <w:rPr>
          <w:color w:val="231F20"/>
          <w:spacing w:val="-2"/>
          <w:vertAlign w:val="baseline"/>
        </w:rPr>
        <w:t>réputée</w:t>
      </w:r>
      <w:r>
        <w:rPr>
          <w:color w:val="231F20"/>
          <w:spacing w:val="-12"/>
          <w:vertAlign w:val="baseline"/>
        </w:rPr>
        <w:t> </w:t>
      </w:r>
      <w:r>
        <w:rPr>
          <w:color w:val="231F20"/>
          <w:spacing w:val="-2"/>
          <w:vertAlign w:val="baseline"/>
        </w:rPr>
        <w:t>difficile</w:t>
      </w:r>
      <w:r>
        <w:rPr>
          <w:color w:val="231F20"/>
          <w:spacing w:val="-12"/>
          <w:vertAlign w:val="baseline"/>
        </w:rPr>
        <w:t> </w:t>
      </w:r>
      <w:r>
        <w:rPr>
          <w:color w:val="231F20"/>
          <w:spacing w:val="-2"/>
          <w:vertAlign w:val="baseline"/>
        </w:rPr>
        <w:t>en</w:t>
      </w:r>
      <w:r>
        <w:rPr>
          <w:color w:val="231F20"/>
          <w:spacing w:val="-13"/>
          <w:vertAlign w:val="baseline"/>
        </w:rPr>
        <w:t> </w:t>
      </w:r>
      <w:r>
        <w:rPr>
          <w:color w:val="231F20"/>
          <w:spacing w:val="-2"/>
          <w:vertAlign w:val="baseline"/>
        </w:rPr>
        <w:t>raison</w:t>
      </w:r>
      <w:r>
        <w:rPr>
          <w:color w:val="231F20"/>
          <w:spacing w:val="-13"/>
          <w:vertAlign w:val="baseline"/>
        </w:rPr>
        <w:t> </w:t>
      </w:r>
      <w:r>
        <w:rPr>
          <w:color w:val="231F20"/>
          <w:spacing w:val="-2"/>
          <w:vertAlign w:val="baseline"/>
        </w:rPr>
        <w:t>de sa</w:t>
      </w:r>
      <w:r>
        <w:rPr>
          <w:color w:val="231F20"/>
          <w:spacing w:val="-15"/>
          <w:vertAlign w:val="baseline"/>
        </w:rPr>
        <w:t> </w:t>
      </w:r>
      <w:r>
        <w:rPr>
          <w:color w:val="231F20"/>
          <w:spacing w:val="-2"/>
          <w:vertAlign w:val="baseline"/>
        </w:rPr>
        <w:t>position</w:t>
      </w:r>
      <w:r>
        <w:rPr>
          <w:color w:val="231F20"/>
          <w:spacing w:val="-13"/>
          <w:vertAlign w:val="baseline"/>
        </w:rPr>
        <w:t> </w:t>
      </w:r>
      <w:r>
        <w:rPr>
          <w:color w:val="231F20"/>
          <w:spacing w:val="-2"/>
          <w:vertAlign w:val="baseline"/>
        </w:rPr>
        <w:t>frontalière</w:t>
      </w:r>
      <w:r>
        <w:rPr>
          <w:color w:val="231F20"/>
          <w:spacing w:val="-13"/>
          <w:vertAlign w:val="baseline"/>
        </w:rPr>
        <w:t> </w:t>
      </w:r>
      <w:r>
        <w:rPr>
          <w:color w:val="231F20"/>
          <w:spacing w:val="-2"/>
          <w:vertAlign w:val="baseline"/>
        </w:rPr>
        <w:t>avec</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Guinée</w:t>
      </w:r>
      <w:r>
        <w:rPr>
          <w:color w:val="231F20"/>
          <w:spacing w:val="-13"/>
          <w:vertAlign w:val="baseline"/>
        </w:rPr>
        <w:t> </w:t>
      </w:r>
      <w:r>
        <w:rPr>
          <w:color w:val="231F20"/>
          <w:spacing w:val="-2"/>
          <w:vertAlign w:val="baseline"/>
        </w:rPr>
        <w:t>et</w:t>
      </w:r>
      <w:r>
        <w:rPr>
          <w:color w:val="231F20"/>
          <w:spacing w:val="-13"/>
          <w:vertAlign w:val="baseline"/>
        </w:rPr>
        <w:t> </w:t>
      </w:r>
      <w:r>
        <w:rPr>
          <w:color w:val="231F20"/>
          <w:spacing w:val="-2"/>
          <w:vertAlign w:val="baseline"/>
        </w:rPr>
        <w:t>surtout</w:t>
      </w:r>
      <w:r>
        <w:rPr>
          <w:color w:val="231F20"/>
          <w:spacing w:val="-13"/>
          <w:vertAlign w:val="baseline"/>
        </w:rPr>
        <w:t> </w:t>
      </w:r>
      <w:r>
        <w:rPr>
          <w:color w:val="231F20"/>
          <w:spacing w:val="-2"/>
          <w:vertAlign w:val="baseline"/>
        </w:rPr>
        <w:t>le</w:t>
      </w:r>
      <w:r>
        <w:rPr>
          <w:color w:val="231F20"/>
          <w:spacing w:val="-13"/>
          <w:vertAlign w:val="baseline"/>
        </w:rPr>
        <w:t> </w:t>
      </w:r>
      <w:r>
        <w:rPr>
          <w:color w:val="231F20"/>
          <w:spacing w:val="-2"/>
          <w:vertAlign w:val="baseline"/>
        </w:rPr>
        <w:t>Libéria.</w:t>
      </w:r>
      <w:r>
        <w:rPr>
          <w:color w:val="231F20"/>
          <w:spacing w:val="-13"/>
          <w:vertAlign w:val="baseline"/>
        </w:rPr>
        <w:t> </w:t>
      </w:r>
      <w:r>
        <w:rPr>
          <w:color w:val="231F20"/>
          <w:spacing w:val="-2"/>
          <w:vertAlign w:val="baseline"/>
        </w:rPr>
        <w:t>Elle</w:t>
      </w:r>
      <w:r>
        <w:rPr>
          <w:color w:val="231F20"/>
          <w:spacing w:val="-13"/>
          <w:vertAlign w:val="baseline"/>
        </w:rPr>
        <w:t> </w:t>
      </w:r>
      <w:r>
        <w:rPr>
          <w:color w:val="231F20"/>
          <w:spacing w:val="-2"/>
          <w:vertAlign w:val="baseline"/>
        </w:rPr>
        <w:t>est</w:t>
      </w:r>
      <w:r>
        <w:rPr>
          <w:color w:val="231F20"/>
          <w:spacing w:val="-13"/>
          <w:vertAlign w:val="baseline"/>
        </w:rPr>
        <w:t> </w:t>
      </w:r>
      <w:r>
        <w:rPr>
          <w:color w:val="231F20"/>
          <w:spacing w:val="-2"/>
          <w:vertAlign w:val="baseline"/>
        </w:rPr>
        <w:t>dirigée par</w:t>
      </w:r>
      <w:r>
        <w:rPr>
          <w:color w:val="231F20"/>
          <w:spacing w:val="-15"/>
          <w:vertAlign w:val="baseline"/>
        </w:rPr>
        <w:t> </w:t>
      </w:r>
      <w:r>
        <w:rPr>
          <w:color w:val="231F20"/>
          <w:spacing w:val="-2"/>
          <w:vertAlign w:val="baseline"/>
        </w:rPr>
        <w:t>Losseni</w:t>
      </w:r>
      <w:r>
        <w:rPr>
          <w:color w:val="231F20"/>
          <w:spacing w:val="-13"/>
          <w:vertAlign w:val="baseline"/>
        </w:rPr>
        <w:t> </w:t>
      </w:r>
      <w:r>
        <w:rPr>
          <w:color w:val="231F20"/>
          <w:spacing w:val="-2"/>
          <w:vertAlign w:val="baseline"/>
        </w:rPr>
        <w:t>Fofana</w:t>
      </w:r>
      <w:r>
        <w:rPr>
          <w:color w:val="231F20"/>
          <w:spacing w:val="-13"/>
          <w:vertAlign w:val="baseline"/>
        </w:rPr>
        <w:t> </w:t>
      </w:r>
      <w:r>
        <w:rPr>
          <w:color w:val="231F20"/>
          <w:spacing w:val="-2"/>
          <w:vertAlign w:val="baseline"/>
        </w:rPr>
        <w:t>alias</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Loss</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et</w:t>
      </w:r>
      <w:r>
        <w:rPr>
          <w:color w:val="231F20"/>
          <w:spacing w:val="-13"/>
          <w:vertAlign w:val="baseline"/>
        </w:rPr>
        <w:t> </w:t>
      </w:r>
      <w:r>
        <w:rPr>
          <w:color w:val="231F20"/>
          <w:spacing w:val="-2"/>
          <w:vertAlign w:val="baseline"/>
        </w:rPr>
        <w:t>plus</w:t>
      </w:r>
      <w:r>
        <w:rPr>
          <w:color w:val="231F20"/>
          <w:spacing w:val="-13"/>
          <w:vertAlign w:val="baseline"/>
        </w:rPr>
        <w:t> </w:t>
      </w:r>
      <w:r>
        <w:rPr>
          <w:color w:val="231F20"/>
          <w:spacing w:val="-2"/>
          <w:vertAlign w:val="baseline"/>
        </w:rPr>
        <w:t>connu</w:t>
      </w:r>
      <w:r>
        <w:rPr>
          <w:color w:val="231F20"/>
          <w:spacing w:val="-13"/>
          <w:vertAlign w:val="baseline"/>
        </w:rPr>
        <w:t> </w:t>
      </w:r>
      <w:r>
        <w:rPr>
          <w:color w:val="231F20"/>
          <w:spacing w:val="-2"/>
          <w:vertAlign w:val="baseline"/>
        </w:rPr>
        <w:t>sous</w:t>
      </w:r>
      <w:r>
        <w:rPr>
          <w:color w:val="231F20"/>
          <w:spacing w:val="-13"/>
          <w:vertAlign w:val="baseline"/>
        </w:rPr>
        <w:t> </w:t>
      </w:r>
      <w:r>
        <w:rPr>
          <w:color w:val="231F20"/>
          <w:spacing w:val="-2"/>
          <w:vertAlign w:val="baseline"/>
        </w:rPr>
        <w:t>le</w:t>
      </w:r>
      <w:r>
        <w:rPr>
          <w:color w:val="231F20"/>
          <w:spacing w:val="-13"/>
          <w:vertAlign w:val="baseline"/>
        </w:rPr>
        <w:t> </w:t>
      </w:r>
      <w:r>
        <w:rPr>
          <w:color w:val="231F20"/>
          <w:spacing w:val="-2"/>
          <w:vertAlign w:val="baseline"/>
        </w:rPr>
        <w:t>nom</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Cobra</w:t>
      </w:r>
      <w:r>
        <w:rPr>
          <w:color w:val="231F20"/>
          <w:spacing w:val="-13"/>
          <w:vertAlign w:val="baseline"/>
        </w:rPr>
        <w:t> </w:t>
      </w:r>
      <w:r>
        <w:rPr>
          <w:color w:val="231F20"/>
          <w:spacing w:val="-2"/>
          <w:vertAlign w:val="baseline"/>
        </w:rPr>
        <w:t>». </w:t>
      </w:r>
      <w:r>
        <w:rPr>
          <w:color w:val="231F20"/>
          <w:vertAlign w:val="baseline"/>
        </w:rPr>
        <w:t>Ce comzone est un ancien de la Force d’intervention rapide para- commando (Firpac).</w:t>
      </w:r>
    </w:p>
    <w:p>
      <w:pPr>
        <w:pStyle w:val="BodyText"/>
        <w:spacing w:before="121"/>
        <w:ind w:right="104" w:firstLine="283"/>
      </w:pPr>
      <w:r>
        <w:rPr>
          <w:color w:val="231F20"/>
        </w:rPr>
        <w:t>La Zone 7 couvre la région du Bafing</w:t>
      </w:r>
      <w:r>
        <w:rPr>
          <w:color w:val="231F20"/>
          <w:vertAlign w:val="superscript"/>
        </w:rPr>
        <w:t>193</w:t>
      </w:r>
      <w:r>
        <w:rPr>
          <w:color w:val="231F20"/>
          <w:vertAlign w:val="baseline"/>
        </w:rPr>
        <w:t>, une zone charnière située entre</w:t>
      </w:r>
      <w:r>
        <w:rPr>
          <w:color w:val="231F20"/>
          <w:spacing w:val="4"/>
          <w:vertAlign w:val="baseline"/>
        </w:rPr>
        <w:t> </w:t>
      </w:r>
      <w:r>
        <w:rPr>
          <w:color w:val="231F20"/>
          <w:vertAlign w:val="baseline"/>
        </w:rPr>
        <w:t>Man</w:t>
      </w:r>
      <w:r>
        <w:rPr>
          <w:color w:val="231F20"/>
          <w:spacing w:val="7"/>
          <w:vertAlign w:val="baseline"/>
        </w:rPr>
        <w:t> </w:t>
      </w:r>
      <w:r>
        <w:rPr>
          <w:color w:val="231F20"/>
          <w:vertAlign w:val="baseline"/>
        </w:rPr>
        <w:t>et</w:t>
      </w:r>
      <w:r>
        <w:rPr>
          <w:color w:val="231F20"/>
          <w:spacing w:val="9"/>
          <w:vertAlign w:val="baseline"/>
        </w:rPr>
        <w:t> </w:t>
      </w:r>
      <w:r>
        <w:rPr>
          <w:color w:val="231F20"/>
          <w:vertAlign w:val="baseline"/>
        </w:rPr>
        <w:t>Odienné.</w:t>
      </w:r>
      <w:r>
        <w:rPr>
          <w:color w:val="231F20"/>
          <w:spacing w:val="5"/>
          <w:vertAlign w:val="baseline"/>
        </w:rPr>
        <w:t> </w:t>
      </w:r>
      <w:r>
        <w:rPr>
          <w:color w:val="231F20"/>
          <w:vertAlign w:val="baseline"/>
        </w:rPr>
        <w:t>Elle</w:t>
      </w:r>
      <w:r>
        <w:rPr>
          <w:color w:val="231F20"/>
          <w:spacing w:val="7"/>
          <w:vertAlign w:val="baseline"/>
        </w:rPr>
        <w:t> </w:t>
      </w:r>
      <w:r>
        <w:rPr>
          <w:color w:val="231F20"/>
          <w:vertAlign w:val="baseline"/>
        </w:rPr>
        <w:t>est</w:t>
      </w:r>
      <w:r>
        <w:rPr>
          <w:color w:val="231F20"/>
          <w:spacing w:val="8"/>
          <w:vertAlign w:val="baseline"/>
        </w:rPr>
        <w:t> </w:t>
      </w:r>
      <w:r>
        <w:rPr>
          <w:color w:val="231F20"/>
          <w:vertAlign w:val="baseline"/>
        </w:rPr>
        <w:t>dirigée</w:t>
      </w:r>
      <w:r>
        <w:rPr>
          <w:color w:val="231F20"/>
          <w:spacing w:val="5"/>
          <w:vertAlign w:val="baseline"/>
        </w:rPr>
        <w:t> </w:t>
      </w:r>
      <w:r>
        <w:rPr>
          <w:color w:val="231F20"/>
          <w:vertAlign w:val="baseline"/>
        </w:rPr>
        <w:t>par</w:t>
      </w:r>
      <w:r>
        <w:rPr>
          <w:color w:val="231F20"/>
          <w:spacing w:val="7"/>
          <w:vertAlign w:val="baseline"/>
        </w:rPr>
        <w:t> </w:t>
      </w:r>
      <w:r>
        <w:rPr>
          <w:color w:val="231F20"/>
          <w:vertAlign w:val="baseline"/>
        </w:rPr>
        <w:t>Aboudrahamane</w:t>
      </w:r>
      <w:r>
        <w:rPr>
          <w:color w:val="231F20"/>
          <w:spacing w:val="8"/>
          <w:vertAlign w:val="baseline"/>
        </w:rPr>
        <w:t> </w:t>
      </w:r>
      <w:r>
        <w:rPr>
          <w:color w:val="231F20"/>
          <w:vertAlign w:val="baseline"/>
        </w:rPr>
        <w:t>Traoré,</w:t>
      </w:r>
      <w:r>
        <w:rPr>
          <w:color w:val="231F20"/>
          <w:spacing w:val="6"/>
          <w:vertAlign w:val="baseline"/>
        </w:rPr>
        <w:t> </w:t>
      </w:r>
      <w:r>
        <w:rPr>
          <w:color w:val="231F20"/>
          <w:spacing w:val="-5"/>
          <w:vertAlign w:val="baseline"/>
        </w:rPr>
        <w:t>un</w:t>
      </w:r>
    </w:p>
    <w:p>
      <w:pPr>
        <w:pStyle w:val="BodyText"/>
        <w:ind w:left="0"/>
        <w:jc w:val="left"/>
        <w:rPr>
          <w:sz w:val="20"/>
        </w:rPr>
      </w:pPr>
    </w:p>
    <w:p>
      <w:pPr>
        <w:pStyle w:val="BodyText"/>
        <w:ind w:left="0"/>
        <w:jc w:val="left"/>
        <w:rPr>
          <w:sz w:val="20"/>
        </w:rPr>
      </w:pPr>
    </w:p>
    <w:p>
      <w:pPr>
        <w:pStyle w:val="BodyText"/>
        <w:spacing w:before="42"/>
        <w:ind w:left="0"/>
        <w:jc w:val="left"/>
        <w:rPr>
          <w:sz w:val="20"/>
        </w:rPr>
      </w:pPr>
      <w:r>
        <w:rPr/>
        <mc:AlternateContent>
          <mc:Choice Requires="wps">
            <w:drawing>
              <wp:anchor distT="0" distB="0" distL="0" distR="0" allowOverlap="1" layoutInCell="1" locked="0" behindDoc="1" simplePos="0" relativeHeight="487647232">
                <wp:simplePos x="0" y="0"/>
                <wp:positionH relativeFrom="page">
                  <wp:posOffset>629907</wp:posOffset>
                </wp:positionH>
                <wp:positionV relativeFrom="paragraph">
                  <wp:posOffset>188435</wp:posOffset>
                </wp:positionV>
                <wp:extent cx="1829435" cy="9525"/>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837421pt;width:144.020pt;height:.72pt;mso-position-horizontal-relative:page;mso-position-vertical-relative:paragraph;z-index:-15669248;mso-wrap-distance-left:0;mso-wrap-distance-right:0" id="docshape143" filled="true" fillcolor="#231f20" stroked="false">
                <v:fill type="solid"/>
                <w10:wrap type="topAndBottom"/>
              </v:rect>
            </w:pict>
          </mc:Fallback>
        </mc:AlternateContent>
      </w:r>
    </w:p>
    <w:p>
      <w:pPr>
        <w:spacing w:before="91"/>
        <w:ind w:left="111" w:right="106" w:hanging="1"/>
        <w:jc w:val="both"/>
        <w:rPr>
          <w:sz w:val="20"/>
        </w:rPr>
      </w:pPr>
      <w:r>
        <w:rPr>
          <w:color w:val="76787A"/>
          <w:sz w:val="20"/>
          <w:vertAlign w:val="superscript"/>
        </w:rPr>
        <w:t>189</w:t>
      </w:r>
      <w:r>
        <w:rPr>
          <w:color w:val="76787A"/>
          <w:sz w:val="20"/>
          <w:vertAlign w:val="baseline"/>
        </w:rPr>
        <w:t> </w:t>
      </w:r>
      <w:r>
        <w:rPr>
          <w:color w:val="231F20"/>
          <w:sz w:val="20"/>
          <w:vertAlign w:val="baseline"/>
        </w:rPr>
        <w:t>au nord-ouest du pays, à 455</w:t>
      </w:r>
      <w:r>
        <w:rPr>
          <w:color w:val="231F20"/>
          <w:spacing w:val="-9"/>
          <w:sz w:val="20"/>
          <w:vertAlign w:val="baseline"/>
        </w:rPr>
        <w:t> </w:t>
      </w:r>
      <w:r>
        <w:rPr>
          <w:color w:val="231F20"/>
          <w:sz w:val="20"/>
          <w:vertAlign w:val="baseline"/>
        </w:rPr>
        <w:t>km</w:t>
      </w:r>
      <w:r>
        <w:rPr>
          <w:color w:val="231F20"/>
          <w:spacing w:val="-10"/>
          <w:sz w:val="20"/>
          <w:vertAlign w:val="baseline"/>
        </w:rPr>
        <w:t> </w:t>
      </w:r>
      <w:r>
        <w:rPr>
          <w:color w:val="231F20"/>
          <w:sz w:val="20"/>
          <w:vertAlign w:val="baseline"/>
        </w:rPr>
        <w:t>au nord d'Abidjan</w:t>
      </w:r>
      <w:r>
        <w:rPr>
          <w:color w:val="231F20"/>
          <w:spacing w:val="-9"/>
          <w:sz w:val="20"/>
          <w:vertAlign w:val="baseline"/>
        </w:rPr>
        <w:t> </w:t>
      </w:r>
      <w:r>
        <w:rPr>
          <w:color w:val="231F20"/>
          <w:sz w:val="20"/>
          <w:vertAlign w:val="baseline"/>
        </w:rPr>
        <w:t>et à 212</w:t>
      </w:r>
      <w:r>
        <w:rPr>
          <w:color w:val="231F20"/>
          <w:spacing w:val="-10"/>
          <w:sz w:val="20"/>
          <w:vertAlign w:val="baseline"/>
        </w:rPr>
        <w:t> </w:t>
      </w:r>
      <w:r>
        <w:rPr>
          <w:color w:val="231F20"/>
          <w:sz w:val="20"/>
          <w:vertAlign w:val="baseline"/>
        </w:rPr>
        <w:t>km</w:t>
      </w:r>
      <w:r>
        <w:rPr>
          <w:color w:val="231F20"/>
          <w:spacing w:val="-12"/>
          <w:sz w:val="20"/>
          <w:vertAlign w:val="baseline"/>
        </w:rPr>
        <w:t> </w:t>
      </w:r>
      <w:r>
        <w:rPr>
          <w:color w:val="231F20"/>
          <w:sz w:val="20"/>
          <w:vertAlign w:val="baseline"/>
        </w:rPr>
        <w:t>au nord de </w:t>
      </w:r>
      <w:r>
        <w:rPr>
          <w:color w:val="231F20"/>
          <w:spacing w:val="-2"/>
          <w:sz w:val="20"/>
          <w:vertAlign w:val="baseline"/>
        </w:rPr>
        <w:t>Yamoussoukro.</w:t>
      </w:r>
    </w:p>
    <w:p>
      <w:pPr>
        <w:spacing w:before="1"/>
        <w:ind w:left="111" w:right="0" w:firstLine="0"/>
        <w:jc w:val="both"/>
        <w:rPr>
          <w:sz w:val="20"/>
        </w:rPr>
      </w:pPr>
      <w:r>
        <w:rPr>
          <w:color w:val="76787A"/>
          <w:spacing w:val="-2"/>
          <w:sz w:val="20"/>
          <w:vertAlign w:val="superscript"/>
        </w:rPr>
        <w:t>190</w:t>
      </w:r>
      <w:r>
        <w:rPr>
          <w:color w:val="76787A"/>
          <w:spacing w:val="-7"/>
          <w:sz w:val="20"/>
          <w:vertAlign w:val="baseline"/>
        </w:rPr>
        <w:t> </w:t>
      </w:r>
      <w:r>
        <w:rPr>
          <w:color w:val="231F20"/>
          <w:spacing w:val="-2"/>
          <w:sz w:val="20"/>
          <w:vertAlign w:val="baseline"/>
        </w:rPr>
        <w:t>Au</w:t>
      </w:r>
      <w:r>
        <w:rPr>
          <w:color w:val="231F20"/>
          <w:spacing w:val="-10"/>
          <w:sz w:val="20"/>
          <w:vertAlign w:val="baseline"/>
        </w:rPr>
        <w:t> </w:t>
      </w:r>
      <w:r>
        <w:rPr>
          <w:color w:val="231F20"/>
          <w:spacing w:val="-2"/>
          <w:sz w:val="20"/>
          <w:vertAlign w:val="baseline"/>
        </w:rPr>
        <w:t>Nord-Ouest</w:t>
      </w:r>
      <w:r>
        <w:rPr>
          <w:color w:val="231F20"/>
          <w:spacing w:val="-10"/>
          <w:sz w:val="20"/>
          <w:vertAlign w:val="baseline"/>
        </w:rPr>
        <w:t> </w:t>
      </w:r>
      <w:r>
        <w:rPr>
          <w:color w:val="231F20"/>
          <w:spacing w:val="-2"/>
          <w:sz w:val="20"/>
          <w:vertAlign w:val="baseline"/>
        </w:rPr>
        <w:t>de</w:t>
      </w:r>
      <w:r>
        <w:rPr>
          <w:color w:val="231F20"/>
          <w:spacing w:val="-8"/>
          <w:sz w:val="20"/>
          <w:vertAlign w:val="baseline"/>
        </w:rPr>
        <w:t> </w:t>
      </w:r>
      <w:r>
        <w:rPr>
          <w:color w:val="231F20"/>
          <w:spacing w:val="-2"/>
          <w:sz w:val="20"/>
          <w:vertAlign w:val="baseline"/>
        </w:rPr>
        <w:t>la</w:t>
      </w:r>
      <w:r>
        <w:rPr>
          <w:color w:val="231F20"/>
          <w:spacing w:val="-8"/>
          <w:sz w:val="20"/>
          <w:vertAlign w:val="baseline"/>
        </w:rPr>
        <w:t> </w:t>
      </w:r>
      <w:r>
        <w:rPr>
          <w:color w:val="231F20"/>
          <w:spacing w:val="-2"/>
          <w:sz w:val="20"/>
          <w:vertAlign w:val="baseline"/>
        </w:rPr>
        <w:t>Côte</w:t>
      </w:r>
      <w:r>
        <w:rPr>
          <w:color w:val="231F20"/>
          <w:spacing w:val="-10"/>
          <w:sz w:val="20"/>
          <w:vertAlign w:val="baseline"/>
        </w:rPr>
        <w:t> </w:t>
      </w:r>
      <w:r>
        <w:rPr>
          <w:color w:val="231F20"/>
          <w:spacing w:val="-2"/>
          <w:sz w:val="20"/>
          <w:vertAlign w:val="baseline"/>
        </w:rPr>
        <w:t>d'Ivoire</w:t>
      </w:r>
    </w:p>
    <w:p>
      <w:pPr>
        <w:spacing w:before="1"/>
        <w:ind w:left="111" w:right="104" w:firstLine="0"/>
        <w:jc w:val="both"/>
        <w:rPr>
          <w:sz w:val="20"/>
        </w:rPr>
      </w:pPr>
      <w:r>
        <w:rPr>
          <w:color w:val="76787A"/>
          <w:sz w:val="20"/>
          <w:vertAlign w:val="superscript"/>
        </w:rPr>
        <w:t>191</w:t>
      </w:r>
      <w:r>
        <w:rPr>
          <w:color w:val="76787A"/>
          <w:spacing w:val="-13"/>
          <w:sz w:val="20"/>
          <w:vertAlign w:val="baseline"/>
        </w:rPr>
        <w:t> </w:t>
      </w:r>
      <w:r>
        <w:rPr>
          <w:color w:val="231F20"/>
          <w:sz w:val="20"/>
          <w:vertAlign w:val="baseline"/>
        </w:rPr>
        <w:t>Au</w:t>
      </w:r>
      <w:r>
        <w:rPr>
          <w:color w:val="231F20"/>
          <w:spacing w:val="-8"/>
          <w:sz w:val="20"/>
          <w:vertAlign w:val="baseline"/>
        </w:rPr>
        <w:t> </w:t>
      </w:r>
      <w:r>
        <w:rPr>
          <w:color w:val="231F20"/>
          <w:sz w:val="20"/>
          <w:vertAlign w:val="baseline"/>
        </w:rPr>
        <w:t>centre-ouest</w:t>
      </w:r>
      <w:r>
        <w:rPr>
          <w:color w:val="231F20"/>
          <w:spacing w:val="-6"/>
          <w:sz w:val="20"/>
          <w:vertAlign w:val="baseline"/>
        </w:rPr>
        <w:t> </w:t>
      </w:r>
      <w:r>
        <w:rPr>
          <w:color w:val="231F20"/>
          <w:sz w:val="20"/>
          <w:vertAlign w:val="baseline"/>
        </w:rPr>
        <w:t>du</w:t>
      </w:r>
      <w:r>
        <w:rPr>
          <w:color w:val="231F20"/>
          <w:spacing w:val="-4"/>
          <w:sz w:val="20"/>
          <w:vertAlign w:val="baseline"/>
        </w:rPr>
        <w:t> </w:t>
      </w:r>
      <w:r>
        <w:rPr>
          <w:color w:val="231F20"/>
          <w:sz w:val="20"/>
          <w:vertAlign w:val="baseline"/>
        </w:rPr>
        <w:t>pays,</w:t>
      </w:r>
      <w:r>
        <w:rPr>
          <w:color w:val="231F20"/>
          <w:spacing w:val="-6"/>
          <w:sz w:val="20"/>
          <w:vertAlign w:val="baseline"/>
        </w:rPr>
        <w:t> </w:t>
      </w:r>
      <w:r>
        <w:rPr>
          <w:color w:val="231F20"/>
          <w:sz w:val="20"/>
          <w:vertAlign w:val="baseline"/>
        </w:rPr>
        <w:t>dans</w:t>
      </w:r>
      <w:r>
        <w:rPr>
          <w:color w:val="231F20"/>
          <w:spacing w:val="-7"/>
          <w:sz w:val="20"/>
          <w:vertAlign w:val="baseline"/>
        </w:rPr>
        <w:t> </w:t>
      </w:r>
      <w:r>
        <w:rPr>
          <w:color w:val="231F20"/>
          <w:sz w:val="20"/>
          <w:vertAlign w:val="baseline"/>
        </w:rPr>
        <w:t>la</w:t>
      </w:r>
      <w:r>
        <w:rPr>
          <w:color w:val="231F20"/>
          <w:spacing w:val="-4"/>
          <w:sz w:val="20"/>
          <w:vertAlign w:val="baseline"/>
        </w:rPr>
        <w:t> </w:t>
      </w:r>
      <w:r>
        <w:rPr>
          <w:color w:val="231F20"/>
          <w:sz w:val="20"/>
          <w:vertAlign w:val="baseline"/>
        </w:rPr>
        <w:t>région</w:t>
      </w:r>
      <w:r>
        <w:rPr>
          <w:color w:val="231F20"/>
          <w:spacing w:val="-5"/>
          <w:sz w:val="20"/>
          <w:vertAlign w:val="baseline"/>
        </w:rPr>
        <w:t> </w:t>
      </w:r>
      <w:r>
        <w:rPr>
          <w:color w:val="231F20"/>
          <w:sz w:val="20"/>
          <w:vertAlign w:val="baseline"/>
        </w:rPr>
        <w:t>dite</w:t>
      </w:r>
      <w:r>
        <w:rPr>
          <w:color w:val="231F20"/>
          <w:spacing w:val="-13"/>
          <w:sz w:val="20"/>
          <w:vertAlign w:val="baseline"/>
        </w:rPr>
        <w:t> </w:t>
      </w:r>
      <w:r>
        <w:rPr>
          <w:i/>
          <w:color w:val="231F20"/>
          <w:sz w:val="20"/>
          <w:vertAlign w:val="baseline"/>
        </w:rPr>
        <w:t>Boucle</w:t>
      </w:r>
      <w:r>
        <w:rPr>
          <w:i/>
          <w:color w:val="231F20"/>
          <w:spacing w:val="-5"/>
          <w:sz w:val="20"/>
          <w:vertAlign w:val="baseline"/>
        </w:rPr>
        <w:t> </w:t>
      </w:r>
      <w:r>
        <w:rPr>
          <w:i/>
          <w:color w:val="231F20"/>
          <w:sz w:val="20"/>
          <w:vertAlign w:val="baseline"/>
        </w:rPr>
        <w:t>du</w:t>
      </w:r>
      <w:r>
        <w:rPr>
          <w:i/>
          <w:color w:val="231F20"/>
          <w:spacing w:val="-4"/>
          <w:sz w:val="20"/>
          <w:vertAlign w:val="baseline"/>
        </w:rPr>
        <w:t> </w:t>
      </w:r>
      <w:r>
        <w:rPr>
          <w:i/>
          <w:color w:val="231F20"/>
          <w:sz w:val="20"/>
          <w:vertAlign w:val="baseline"/>
        </w:rPr>
        <w:t>cacao.</w:t>
      </w:r>
      <w:r>
        <w:rPr>
          <w:i/>
          <w:color w:val="231F20"/>
          <w:spacing w:val="-5"/>
          <w:sz w:val="20"/>
          <w:vertAlign w:val="baseline"/>
        </w:rPr>
        <w:t> </w:t>
      </w:r>
      <w:r>
        <w:rPr>
          <w:color w:val="231F20"/>
          <w:sz w:val="20"/>
          <w:vertAlign w:val="baseline"/>
        </w:rPr>
        <w:t>Elle</w:t>
      </w:r>
      <w:r>
        <w:rPr>
          <w:color w:val="231F20"/>
          <w:spacing w:val="-6"/>
          <w:sz w:val="20"/>
          <w:vertAlign w:val="baseline"/>
        </w:rPr>
        <w:t> </w:t>
      </w:r>
      <w:r>
        <w:rPr>
          <w:color w:val="231F20"/>
          <w:sz w:val="20"/>
          <w:vertAlign w:val="baseline"/>
        </w:rPr>
        <w:t>était</w:t>
      </w:r>
      <w:r>
        <w:rPr>
          <w:color w:val="231F20"/>
          <w:spacing w:val="-6"/>
          <w:sz w:val="20"/>
          <w:vertAlign w:val="baseline"/>
        </w:rPr>
        <w:t> </w:t>
      </w:r>
      <w:r>
        <w:rPr>
          <w:color w:val="231F20"/>
          <w:sz w:val="20"/>
          <w:vertAlign w:val="baseline"/>
        </w:rPr>
        <w:t>dirigée</w:t>
      </w:r>
      <w:r>
        <w:rPr>
          <w:color w:val="231F20"/>
          <w:spacing w:val="-6"/>
          <w:sz w:val="20"/>
          <w:vertAlign w:val="baseline"/>
        </w:rPr>
        <w:t> </w:t>
      </w:r>
      <w:r>
        <w:rPr>
          <w:color w:val="231F20"/>
          <w:sz w:val="20"/>
          <w:vertAlign w:val="baseline"/>
        </w:rPr>
        <w:t>par Koné Djakaridja alias</w:t>
      </w:r>
      <w:r>
        <w:rPr>
          <w:color w:val="231F20"/>
          <w:spacing w:val="-13"/>
          <w:sz w:val="20"/>
          <w:vertAlign w:val="baseline"/>
        </w:rPr>
        <w:t> </w:t>
      </w:r>
      <w:r>
        <w:rPr>
          <w:color w:val="231F20"/>
          <w:sz w:val="20"/>
          <w:vertAlign w:val="baseline"/>
        </w:rPr>
        <w:t>Zacharia Koné l’un des chef de guerre redoutés au Nord à la réputation de posséder des pouvoirs mystiques. Considéré comme proche d'Ibrahim Coulibaly dit «</w:t>
      </w:r>
      <w:r>
        <w:rPr>
          <w:color w:val="231F20"/>
          <w:spacing w:val="-13"/>
          <w:sz w:val="20"/>
          <w:vertAlign w:val="baseline"/>
        </w:rPr>
        <w:t> </w:t>
      </w:r>
      <w:r>
        <w:rPr>
          <w:color w:val="231F20"/>
          <w:sz w:val="20"/>
          <w:vertAlign w:val="baseline"/>
        </w:rPr>
        <w:t>IB</w:t>
      </w:r>
      <w:r>
        <w:rPr>
          <w:color w:val="231F20"/>
          <w:spacing w:val="-12"/>
          <w:sz w:val="20"/>
          <w:vertAlign w:val="baseline"/>
        </w:rPr>
        <w:t> </w:t>
      </w:r>
      <w:r>
        <w:rPr>
          <w:color w:val="231F20"/>
          <w:sz w:val="20"/>
          <w:vertAlign w:val="baseline"/>
        </w:rPr>
        <w:t>», il est démis de ses fonctions par Guillaume Soro et exilé manu militari</w:t>
      </w:r>
      <w:r>
        <w:rPr>
          <w:color w:val="231F20"/>
          <w:spacing w:val="-9"/>
          <w:sz w:val="20"/>
          <w:vertAlign w:val="baseline"/>
        </w:rPr>
        <w:t> </w:t>
      </w:r>
      <w:r>
        <w:rPr>
          <w:color w:val="231F20"/>
          <w:sz w:val="20"/>
          <w:vertAlign w:val="baseline"/>
        </w:rPr>
        <w:t>au</w:t>
      </w:r>
      <w:r>
        <w:rPr>
          <w:color w:val="231F20"/>
          <w:spacing w:val="-8"/>
          <w:sz w:val="20"/>
          <w:vertAlign w:val="baseline"/>
        </w:rPr>
        <w:t> </w:t>
      </w:r>
      <w:r>
        <w:rPr>
          <w:color w:val="231F20"/>
          <w:sz w:val="20"/>
          <w:vertAlign w:val="baseline"/>
        </w:rPr>
        <w:t>Burkina</w:t>
      </w:r>
      <w:r>
        <w:rPr>
          <w:color w:val="231F20"/>
          <w:spacing w:val="-9"/>
          <w:sz w:val="20"/>
          <w:vertAlign w:val="baseline"/>
        </w:rPr>
        <w:t> </w:t>
      </w:r>
      <w:r>
        <w:rPr>
          <w:color w:val="231F20"/>
          <w:sz w:val="20"/>
          <w:vertAlign w:val="baseline"/>
        </w:rPr>
        <w:t>Faso</w:t>
      </w:r>
      <w:r>
        <w:rPr>
          <w:color w:val="231F20"/>
          <w:spacing w:val="-8"/>
          <w:sz w:val="20"/>
          <w:vertAlign w:val="baseline"/>
        </w:rPr>
        <w:t> </w:t>
      </w:r>
      <w:r>
        <w:rPr>
          <w:color w:val="231F20"/>
          <w:sz w:val="20"/>
          <w:vertAlign w:val="baseline"/>
        </w:rPr>
        <w:t>en</w:t>
      </w:r>
      <w:r>
        <w:rPr>
          <w:color w:val="231F20"/>
          <w:spacing w:val="-10"/>
          <w:sz w:val="20"/>
          <w:vertAlign w:val="baseline"/>
        </w:rPr>
        <w:t> </w:t>
      </w:r>
      <w:r>
        <w:rPr>
          <w:color w:val="231F20"/>
          <w:sz w:val="20"/>
          <w:vertAlign w:val="baseline"/>
        </w:rPr>
        <w:t>2008</w:t>
      </w:r>
      <w:r>
        <w:rPr>
          <w:color w:val="231F20"/>
          <w:spacing w:val="-10"/>
          <w:sz w:val="20"/>
          <w:vertAlign w:val="baseline"/>
        </w:rPr>
        <w:t> </w:t>
      </w:r>
      <w:r>
        <w:rPr>
          <w:color w:val="231F20"/>
          <w:sz w:val="20"/>
          <w:vertAlign w:val="baseline"/>
        </w:rPr>
        <w:t>pour</w:t>
      </w:r>
      <w:r>
        <w:rPr>
          <w:color w:val="231F20"/>
          <w:spacing w:val="-10"/>
          <w:sz w:val="20"/>
          <w:vertAlign w:val="baseline"/>
        </w:rPr>
        <w:t> </w:t>
      </w:r>
      <w:r>
        <w:rPr>
          <w:color w:val="231F20"/>
          <w:sz w:val="20"/>
          <w:vertAlign w:val="baseline"/>
        </w:rPr>
        <w:t>insubordination</w:t>
      </w:r>
      <w:r>
        <w:rPr>
          <w:color w:val="231F20"/>
          <w:spacing w:val="-10"/>
          <w:sz w:val="20"/>
          <w:vertAlign w:val="baseline"/>
        </w:rPr>
        <w:t> </w:t>
      </w:r>
      <w:r>
        <w:rPr>
          <w:color w:val="231F20"/>
          <w:sz w:val="20"/>
          <w:vertAlign w:val="baseline"/>
        </w:rPr>
        <w:t>et</w:t>
      </w:r>
      <w:r>
        <w:rPr>
          <w:color w:val="231F20"/>
          <w:spacing w:val="-11"/>
          <w:sz w:val="20"/>
          <w:vertAlign w:val="baseline"/>
        </w:rPr>
        <w:t> </w:t>
      </w:r>
      <w:r>
        <w:rPr>
          <w:color w:val="231F20"/>
          <w:sz w:val="20"/>
          <w:vertAlign w:val="baseline"/>
        </w:rPr>
        <w:t>remplacé</w:t>
      </w:r>
      <w:r>
        <w:rPr>
          <w:color w:val="231F20"/>
          <w:spacing w:val="-11"/>
          <w:sz w:val="20"/>
          <w:vertAlign w:val="baseline"/>
        </w:rPr>
        <w:t> </w:t>
      </w:r>
      <w:r>
        <w:rPr>
          <w:color w:val="231F20"/>
          <w:sz w:val="20"/>
          <w:vertAlign w:val="baseline"/>
        </w:rPr>
        <w:t>par</w:t>
      </w:r>
      <w:r>
        <w:rPr>
          <w:color w:val="231F20"/>
          <w:spacing w:val="-9"/>
          <w:sz w:val="20"/>
          <w:vertAlign w:val="baseline"/>
        </w:rPr>
        <w:t> </w:t>
      </w:r>
      <w:r>
        <w:rPr>
          <w:color w:val="231F20"/>
          <w:sz w:val="20"/>
          <w:vertAlign w:val="baseline"/>
        </w:rPr>
        <w:t>Wattao.</w:t>
      </w:r>
    </w:p>
    <w:p>
      <w:pPr>
        <w:spacing w:before="0"/>
        <w:ind w:left="111" w:right="102" w:firstLine="0"/>
        <w:jc w:val="both"/>
        <w:rPr>
          <w:sz w:val="20"/>
        </w:rPr>
      </w:pPr>
      <w:r>
        <w:rPr>
          <w:color w:val="76787A"/>
          <w:spacing w:val="-2"/>
          <w:sz w:val="20"/>
          <w:vertAlign w:val="superscript"/>
        </w:rPr>
        <w:t>192</w:t>
      </w:r>
      <w:r>
        <w:rPr>
          <w:color w:val="76787A"/>
          <w:spacing w:val="-5"/>
          <w:sz w:val="20"/>
          <w:vertAlign w:val="baseline"/>
        </w:rPr>
        <w:t> </w:t>
      </w:r>
      <w:r>
        <w:rPr>
          <w:color w:val="231F20"/>
          <w:spacing w:val="-2"/>
          <w:sz w:val="20"/>
          <w:vertAlign w:val="baseline"/>
        </w:rPr>
        <w:t>A</w:t>
      </w:r>
      <w:r>
        <w:rPr>
          <w:color w:val="231F20"/>
          <w:spacing w:val="-5"/>
          <w:sz w:val="20"/>
          <w:vertAlign w:val="baseline"/>
        </w:rPr>
        <w:t> </w:t>
      </w:r>
      <w:r>
        <w:rPr>
          <w:color w:val="231F20"/>
          <w:spacing w:val="-2"/>
          <w:sz w:val="20"/>
          <w:vertAlign w:val="baseline"/>
        </w:rPr>
        <w:t>l'ouest</w:t>
      </w:r>
      <w:r>
        <w:rPr>
          <w:color w:val="231F20"/>
          <w:spacing w:val="-8"/>
          <w:sz w:val="20"/>
          <w:vertAlign w:val="baseline"/>
        </w:rPr>
        <w:t> </w:t>
      </w:r>
      <w:r>
        <w:rPr>
          <w:color w:val="231F20"/>
          <w:spacing w:val="-2"/>
          <w:sz w:val="20"/>
          <w:vertAlign w:val="baseline"/>
        </w:rPr>
        <w:t>de</w:t>
      </w:r>
      <w:r>
        <w:rPr>
          <w:color w:val="231F20"/>
          <w:spacing w:val="-7"/>
          <w:sz w:val="20"/>
          <w:vertAlign w:val="baseline"/>
        </w:rPr>
        <w:t> </w:t>
      </w:r>
      <w:r>
        <w:rPr>
          <w:color w:val="231F20"/>
          <w:spacing w:val="-2"/>
          <w:sz w:val="20"/>
          <w:vertAlign w:val="baseline"/>
        </w:rPr>
        <w:t>la</w:t>
      </w:r>
      <w:r>
        <w:rPr>
          <w:color w:val="231F20"/>
          <w:spacing w:val="-7"/>
          <w:sz w:val="20"/>
          <w:vertAlign w:val="baseline"/>
        </w:rPr>
        <w:t> </w:t>
      </w:r>
      <w:r>
        <w:rPr>
          <w:color w:val="231F20"/>
          <w:spacing w:val="-2"/>
          <w:sz w:val="20"/>
          <w:vertAlign w:val="baseline"/>
        </w:rPr>
        <w:t>Côte</w:t>
      </w:r>
      <w:r>
        <w:rPr>
          <w:color w:val="231F20"/>
          <w:spacing w:val="-7"/>
          <w:sz w:val="20"/>
          <w:vertAlign w:val="baseline"/>
        </w:rPr>
        <w:t> </w:t>
      </w:r>
      <w:r>
        <w:rPr>
          <w:color w:val="231F20"/>
          <w:spacing w:val="-2"/>
          <w:sz w:val="20"/>
          <w:vertAlign w:val="baseline"/>
        </w:rPr>
        <w:t>d'Ivoire.</w:t>
      </w:r>
      <w:r>
        <w:rPr>
          <w:color w:val="231F20"/>
          <w:spacing w:val="-5"/>
          <w:sz w:val="20"/>
          <w:vertAlign w:val="baseline"/>
        </w:rPr>
        <w:t> </w:t>
      </w:r>
      <w:r>
        <w:rPr>
          <w:color w:val="48484A"/>
          <w:spacing w:val="-2"/>
          <w:sz w:val="20"/>
          <w:vertAlign w:val="baseline"/>
        </w:rPr>
        <w:t>La</w:t>
      </w:r>
      <w:r>
        <w:rPr>
          <w:color w:val="48484A"/>
          <w:spacing w:val="-5"/>
          <w:sz w:val="20"/>
          <w:vertAlign w:val="baseline"/>
        </w:rPr>
        <w:t> </w:t>
      </w:r>
      <w:r>
        <w:rPr>
          <w:color w:val="48484A"/>
          <w:spacing w:val="-2"/>
          <w:sz w:val="20"/>
          <w:vertAlign w:val="baseline"/>
        </w:rPr>
        <w:t>ville</w:t>
      </w:r>
      <w:r>
        <w:rPr>
          <w:color w:val="48484A"/>
          <w:spacing w:val="-6"/>
          <w:sz w:val="20"/>
          <w:vertAlign w:val="baseline"/>
        </w:rPr>
        <w:t> </w:t>
      </w:r>
      <w:r>
        <w:rPr>
          <w:color w:val="48484A"/>
          <w:spacing w:val="-2"/>
          <w:sz w:val="20"/>
          <w:vertAlign w:val="baseline"/>
        </w:rPr>
        <w:t>est</w:t>
      </w:r>
      <w:r>
        <w:rPr>
          <w:color w:val="48484A"/>
          <w:spacing w:val="-6"/>
          <w:sz w:val="20"/>
          <w:vertAlign w:val="baseline"/>
        </w:rPr>
        <w:t> </w:t>
      </w:r>
      <w:r>
        <w:rPr>
          <w:color w:val="48484A"/>
          <w:spacing w:val="-2"/>
          <w:sz w:val="20"/>
          <w:vertAlign w:val="baseline"/>
        </w:rPr>
        <w:t>surnommée</w:t>
      </w:r>
      <w:r>
        <w:rPr>
          <w:color w:val="48484A"/>
          <w:spacing w:val="-8"/>
          <w:sz w:val="20"/>
          <w:vertAlign w:val="baseline"/>
        </w:rPr>
        <w:t> </w:t>
      </w:r>
      <w:r>
        <w:rPr>
          <w:color w:val="48484A"/>
          <w:spacing w:val="-2"/>
          <w:sz w:val="20"/>
          <w:vertAlign w:val="baseline"/>
        </w:rPr>
        <w:t>"</w:t>
      </w:r>
      <w:r>
        <w:rPr>
          <w:i/>
          <w:color w:val="48484A"/>
          <w:spacing w:val="-2"/>
          <w:sz w:val="20"/>
          <w:vertAlign w:val="baseline"/>
        </w:rPr>
        <w:t>La</w:t>
      </w:r>
      <w:r>
        <w:rPr>
          <w:i/>
          <w:color w:val="48484A"/>
          <w:spacing w:val="-7"/>
          <w:sz w:val="20"/>
          <w:vertAlign w:val="baseline"/>
        </w:rPr>
        <w:t> </w:t>
      </w:r>
      <w:r>
        <w:rPr>
          <w:i/>
          <w:color w:val="48484A"/>
          <w:spacing w:val="-2"/>
          <w:sz w:val="20"/>
          <w:vertAlign w:val="baseline"/>
        </w:rPr>
        <w:t>ville</w:t>
      </w:r>
      <w:r>
        <w:rPr>
          <w:i/>
          <w:color w:val="48484A"/>
          <w:spacing w:val="-8"/>
          <w:sz w:val="20"/>
          <w:vertAlign w:val="baseline"/>
        </w:rPr>
        <w:t> </w:t>
      </w:r>
      <w:r>
        <w:rPr>
          <w:i/>
          <w:color w:val="48484A"/>
          <w:spacing w:val="-2"/>
          <w:sz w:val="20"/>
          <w:vertAlign w:val="baseline"/>
        </w:rPr>
        <w:t>aux</w:t>
      </w:r>
      <w:r>
        <w:rPr>
          <w:i/>
          <w:color w:val="48484A"/>
          <w:spacing w:val="-6"/>
          <w:sz w:val="20"/>
          <w:vertAlign w:val="baseline"/>
        </w:rPr>
        <w:t> </w:t>
      </w:r>
      <w:r>
        <w:rPr>
          <w:i/>
          <w:color w:val="48484A"/>
          <w:spacing w:val="-2"/>
          <w:sz w:val="20"/>
          <w:vertAlign w:val="baseline"/>
        </w:rPr>
        <w:t>18</w:t>
      </w:r>
      <w:r>
        <w:rPr>
          <w:i/>
          <w:color w:val="48484A"/>
          <w:spacing w:val="-4"/>
          <w:sz w:val="20"/>
          <w:vertAlign w:val="baseline"/>
        </w:rPr>
        <w:t> </w:t>
      </w:r>
      <w:r>
        <w:rPr>
          <w:i/>
          <w:color w:val="48484A"/>
          <w:spacing w:val="-2"/>
          <w:sz w:val="20"/>
          <w:vertAlign w:val="baseline"/>
        </w:rPr>
        <w:t>montagnes</w:t>
      </w:r>
      <w:r>
        <w:rPr>
          <w:color w:val="48484A"/>
          <w:spacing w:val="-2"/>
          <w:sz w:val="20"/>
          <w:vertAlign w:val="baseline"/>
        </w:rPr>
        <w:t>",</w:t>
      </w:r>
      <w:r>
        <w:rPr>
          <w:color w:val="48484A"/>
          <w:spacing w:val="-5"/>
          <w:sz w:val="20"/>
          <w:vertAlign w:val="baseline"/>
        </w:rPr>
        <w:t> </w:t>
      </w:r>
      <w:r>
        <w:rPr>
          <w:color w:val="48484A"/>
          <w:spacing w:val="-2"/>
          <w:sz w:val="20"/>
          <w:vertAlign w:val="baseline"/>
        </w:rPr>
        <w:t>et </w:t>
      </w:r>
      <w:r>
        <w:rPr>
          <w:color w:val="48484A"/>
          <w:sz w:val="20"/>
          <w:vertAlign w:val="baseline"/>
        </w:rPr>
        <w:t>est</w:t>
      </w:r>
      <w:r>
        <w:rPr>
          <w:color w:val="48484A"/>
          <w:spacing w:val="-5"/>
          <w:sz w:val="20"/>
          <w:vertAlign w:val="baseline"/>
        </w:rPr>
        <w:t> </w:t>
      </w:r>
      <w:r>
        <w:rPr>
          <w:color w:val="48484A"/>
          <w:sz w:val="20"/>
          <w:vertAlign w:val="baseline"/>
        </w:rPr>
        <w:t>située</w:t>
      </w:r>
      <w:r>
        <w:rPr>
          <w:color w:val="48484A"/>
          <w:spacing w:val="-7"/>
          <w:sz w:val="20"/>
          <w:vertAlign w:val="baseline"/>
        </w:rPr>
        <w:t> </w:t>
      </w:r>
      <w:r>
        <w:rPr>
          <w:color w:val="48484A"/>
          <w:sz w:val="20"/>
          <w:vertAlign w:val="baseline"/>
        </w:rPr>
        <w:t>dans</w:t>
      </w:r>
      <w:r>
        <w:rPr>
          <w:color w:val="48484A"/>
          <w:spacing w:val="-5"/>
          <w:sz w:val="20"/>
          <w:vertAlign w:val="baseline"/>
        </w:rPr>
        <w:t> </w:t>
      </w:r>
      <w:r>
        <w:rPr>
          <w:color w:val="48484A"/>
          <w:sz w:val="20"/>
          <w:vertAlign w:val="baseline"/>
        </w:rPr>
        <w:t>une</w:t>
      </w:r>
      <w:r>
        <w:rPr>
          <w:color w:val="48484A"/>
          <w:spacing w:val="-7"/>
          <w:sz w:val="20"/>
          <w:vertAlign w:val="baseline"/>
        </w:rPr>
        <w:t> </w:t>
      </w:r>
      <w:r>
        <w:rPr>
          <w:color w:val="48484A"/>
          <w:sz w:val="20"/>
          <w:vertAlign w:val="baseline"/>
        </w:rPr>
        <w:t>cuvette</w:t>
      </w:r>
      <w:r>
        <w:rPr>
          <w:color w:val="48484A"/>
          <w:spacing w:val="-5"/>
          <w:sz w:val="20"/>
          <w:vertAlign w:val="baseline"/>
        </w:rPr>
        <w:t> </w:t>
      </w:r>
      <w:r>
        <w:rPr>
          <w:color w:val="48484A"/>
          <w:sz w:val="20"/>
          <w:vertAlign w:val="baseline"/>
        </w:rPr>
        <w:t>entourée</w:t>
      </w:r>
      <w:r>
        <w:rPr>
          <w:color w:val="48484A"/>
          <w:spacing w:val="-7"/>
          <w:sz w:val="20"/>
          <w:vertAlign w:val="baseline"/>
        </w:rPr>
        <w:t> </w:t>
      </w:r>
      <w:r>
        <w:rPr>
          <w:color w:val="48484A"/>
          <w:sz w:val="20"/>
          <w:vertAlign w:val="baseline"/>
        </w:rPr>
        <w:t>d'une</w:t>
      </w:r>
      <w:r>
        <w:rPr>
          <w:color w:val="48484A"/>
          <w:spacing w:val="-7"/>
          <w:sz w:val="20"/>
          <w:vertAlign w:val="baseline"/>
        </w:rPr>
        <w:t> </w:t>
      </w:r>
      <w:r>
        <w:rPr>
          <w:color w:val="48484A"/>
          <w:sz w:val="20"/>
          <w:vertAlign w:val="baseline"/>
        </w:rPr>
        <w:t>chaîne</w:t>
      </w:r>
      <w:r>
        <w:rPr>
          <w:color w:val="48484A"/>
          <w:spacing w:val="-7"/>
          <w:sz w:val="20"/>
          <w:vertAlign w:val="baseline"/>
        </w:rPr>
        <w:t> </w:t>
      </w:r>
      <w:r>
        <w:rPr>
          <w:color w:val="48484A"/>
          <w:sz w:val="20"/>
          <w:vertAlign w:val="baseline"/>
        </w:rPr>
        <w:t>de</w:t>
      </w:r>
      <w:r>
        <w:rPr>
          <w:color w:val="48484A"/>
          <w:spacing w:val="-7"/>
          <w:sz w:val="20"/>
          <w:vertAlign w:val="baseline"/>
        </w:rPr>
        <w:t> </w:t>
      </w:r>
      <w:r>
        <w:rPr>
          <w:color w:val="48484A"/>
          <w:sz w:val="20"/>
          <w:vertAlign w:val="baseline"/>
        </w:rPr>
        <w:t>montagnes.</w:t>
      </w:r>
    </w:p>
    <w:p>
      <w:pPr>
        <w:spacing w:before="1"/>
        <w:ind w:left="111" w:right="0" w:firstLine="0"/>
        <w:jc w:val="both"/>
        <w:rPr>
          <w:sz w:val="20"/>
        </w:rPr>
      </w:pPr>
      <w:r>
        <w:rPr>
          <w:color w:val="76787A"/>
          <w:spacing w:val="-2"/>
          <w:sz w:val="20"/>
          <w:vertAlign w:val="superscript"/>
        </w:rPr>
        <w:t>193</w:t>
      </w:r>
      <w:r>
        <w:rPr>
          <w:color w:val="76787A"/>
          <w:spacing w:val="-10"/>
          <w:sz w:val="20"/>
          <w:vertAlign w:val="baseline"/>
        </w:rPr>
        <w:t> </w:t>
      </w:r>
      <w:r>
        <w:rPr>
          <w:color w:val="231F20"/>
          <w:spacing w:val="-2"/>
          <w:sz w:val="20"/>
          <w:vertAlign w:val="baseline"/>
        </w:rPr>
        <w:t>Le</w:t>
      </w:r>
      <w:r>
        <w:rPr>
          <w:color w:val="231F20"/>
          <w:spacing w:val="-9"/>
          <w:sz w:val="20"/>
          <w:vertAlign w:val="baseline"/>
        </w:rPr>
        <w:t> </w:t>
      </w:r>
      <w:r>
        <w:rPr>
          <w:color w:val="231F20"/>
          <w:spacing w:val="-2"/>
          <w:sz w:val="20"/>
          <w:vertAlign w:val="baseline"/>
        </w:rPr>
        <w:t>Bafing</w:t>
      </w:r>
      <w:r>
        <w:rPr>
          <w:color w:val="231F20"/>
          <w:spacing w:val="-10"/>
          <w:sz w:val="20"/>
          <w:vertAlign w:val="baseline"/>
        </w:rPr>
        <w:t> </w:t>
      </w:r>
      <w:r>
        <w:rPr>
          <w:color w:val="231F20"/>
          <w:spacing w:val="-2"/>
          <w:sz w:val="20"/>
          <w:vertAlign w:val="baseline"/>
        </w:rPr>
        <w:t>est</w:t>
      </w:r>
      <w:r>
        <w:rPr>
          <w:color w:val="231F20"/>
          <w:spacing w:val="-11"/>
          <w:sz w:val="20"/>
          <w:vertAlign w:val="baseline"/>
        </w:rPr>
        <w:t> </w:t>
      </w:r>
      <w:r>
        <w:rPr>
          <w:color w:val="231F20"/>
          <w:spacing w:val="-2"/>
          <w:sz w:val="20"/>
          <w:vertAlign w:val="baseline"/>
        </w:rPr>
        <w:t>une</w:t>
      </w:r>
      <w:r>
        <w:rPr>
          <w:color w:val="231F20"/>
          <w:spacing w:val="-9"/>
          <w:sz w:val="20"/>
          <w:vertAlign w:val="baseline"/>
        </w:rPr>
        <w:t> </w:t>
      </w:r>
      <w:r>
        <w:rPr>
          <w:color w:val="231F20"/>
          <w:spacing w:val="-2"/>
          <w:sz w:val="20"/>
          <w:vertAlign w:val="baseline"/>
        </w:rPr>
        <w:t>région</w:t>
      </w:r>
      <w:r>
        <w:rPr>
          <w:color w:val="231F20"/>
          <w:spacing w:val="-8"/>
          <w:sz w:val="20"/>
          <w:vertAlign w:val="baseline"/>
        </w:rPr>
        <w:t> </w:t>
      </w:r>
      <w:r>
        <w:rPr>
          <w:color w:val="231F20"/>
          <w:spacing w:val="-2"/>
          <w:sz w:val="20"/>
          <w:vertAlign w:val="baseline"/>
        </w:rPr>
        <w:t>située</w:t>
      </w:r>
      <w:r>
        <w:rPr>
          <w:color w:val="231F20"/>
          <w:spacing w:val="-11"/>
          <w:sz w:val="20"/>
          <w:vertAlign w:val="baseline"/>
        </w:rPr>
        <w:t> </w:t>
      </w:r>
      <w:r>
        <w:rPr>
          <w:color w:val="231F20"/>
          <w:spacing w:val="-2"/>
          <w:sz w:val="20"/>
          <w:vertAlign w:val="baseline"/>
        </w:rPr>
        <w:t>au</w:t>
      </w:r>
      <w:r>
        <w:rPr>
          <w:color w:val="231F20"/>
          <w:spacing w:val="-10"/>
          <w:sz w:val="20"/>
          <w:vertAlign w:val="baseline"/>
        </w:rPr>
        <w:t> </w:t>
      </w:r>
      <w:r>
        <w:rPr>
          <w:color w:val="231F20"/>
          <w:spacing w:val="-2"/>
          <w:sz w:val="20"/>
          <w:vertAlign w:val="baseline"/>
        </w:rPr>
        <w:t>nord-ouest</w:t>
      </w:r>
      <w:r>
        <w:rPr>
          <w:color w:val="231F20"/>
          <w:spacing w:val="-11"/>
          <w:sz w:val="20"/>
          <w:vertAlign w:val="baseline"/>
        </w:rPr>
        <w:t> </w:t>
      </w:r>
      <w:r>
        <w:rPr>
          <w:color w:val="231F20"/>
          <w:spacing w:val="-2"/>
          <w:sz w:val="20"/>
          <w:vertAlign w:val="baseline"/>
        </w:rPr>
        <w:t>du</w:t>
      </w:r>
      <w:r>
        <w:rPr>
          <w:color w:val="231F20"/>
          <w:spacing w:val="-10"/>
          <w:sz w:val="20"/>
          <w:vertAlign w:val="baseline"/>
        </w:rPr>
        <w:t> </w:t>
      </w:r>
      <w:r>
        <w:rPr>
          <w:color w:val="231F20"/>
          <w:spacing w:val="-4"/>
          <w:sz w:val="20"/>
          <w:vertAlign w:val="baseline"/>
        </w:rPr>
        <w:t>pays.</w:t>
      </w:r>
    </w:p>
    <w:p>
      <w:pPr>
        <w:spacing w:after="0"/>
        <w:jc w:val="both"/>
        <w:rPr>
          <w:sz w:val="20"/>
        </w:rPr>
        <w:sectPr>
          <w:pgSz w:w="8790" w:h="13610"/>
          <w:pgMar w:header="0" w:footer="802" w:top="1060" w:bottom="1000" w:left="880" w:right="880"/>
        </w:sectPr>
      </w:pPr>
    </w:p>
    <w:p>
      <w:pPr>
        <w:pStyle w:val="BodyText"/>
        <w:spacing w:before="66"/>
      </w:pPr>
      <w:r>
        <w:rPr>
          <w:color w:val="231F20"/>
        </w:rPr>
        <w:t>ancien</w:t>
      </w:r>
      <w:r>
        <w:rPr>
          <w:color w:val="231F20"/>
          <w:spacing w:val="3"/>
        </w:rPr>
        <w:t> </w:t>
      </w:r>
      <w:r>
        <w:rPr>
          <w:color w:val="231F20"/>
        </w:rPr>
        <w:t>sous-officier</w:t>
      </w:r>
      <w:r>
        <w:rPr>
          <w:color w:val="231F20"/>
          <w:spacing w:val="5"/>
        </w:rPr>
        <w:t> </w:t>
      </w:r>
      <w:r>
        <w:rPr>
          <w:color w:val="231F20"/>
        </w:rPr>
        <w:t>des</w:t>
      </w:r>
      <w:r>
        <w:rPr>
          <w:color w:val="231F20"/>
          <w:spacing w:val="3"/>
        </w:rPr>
        <w:t> </w:t>
      </w:r>
      <w:r>
        <w:rPr>
          <w:color w:val="231F20"/>
        </w:rPr>
        <w:t>FANCI.</w:t>
      </w:r>
      <w:r>
        <w:rPr>
          <w:color w:val="231F20"/>
          <w:spacing w:val="7"/>
        </w:rPr>
        <w:t> </w:t>
      </w:r>
      <w:r>
        <w:rPr>
          <w:color w:val="231F20"/>
        </w:rPr>
        <w:t>Il</w:t>
      </w:r>
      <w:r>
        <w:rPr>
          <w:color w:val="231F20"/>
          <w:spacing w:val="8"/>
        </w:rPr>
        <w:t> </w:t>
      </w:r>
      <w:r>
        <w:rPr>
          <w:color w:val="231F20"/>
        </w:rPr>
        <w:t>a</w:t>
      </w:r>
      <w:r>
        <w:rPr>
          <w:color w:val="231F20"/>
          <w:spacing w:val="7"/>
        </w:rPr>
        <w:t> </w:t>
      </w:r>
      <w:r>
        <w:rPr>
          <w:color w:val="231F20"/>
        </w:rPr>
        <w:t>servi</w:t>
      </w:r>
      <w:r>
        <w:rPr>
          <w:color w:val="231F20"/>
          <w:spacing w:val="9"/>
        </w:rPr>
        <w:t> </w:t>
      </w:r>
      <w:r>
        <w:rPr>
          <w:color w:val="231F20"/>
        </w:rPr>
        <w:t>à</w:t>
      </w:r>
      <w:r>
        <w:rPr>
          <w:color w:val="231F20"/>
          <w:spacing w:val="5"/>
        </w:rPr>
        <w:t> </w:t>
      </w:r>
      <w:r>
        <w:rPr>
          <w:color w:val="231F20"/>
        </w:rPr>
        <w:t>l’École</w:t>
      </w:r>
      <w:r>
        <w:rPr>
          <w:color w:val="231F20"/>
          <w:spacing w:val="5"/>
        </w:rPr>
        <w:t> </w:t>
      </w:r>
      <w:r>
        <w:rPr>
          <w:color w:val="231F20"/>
        </w:rPr>
        <w:t>de</w:t>
      </w:r>
      <w:r>
        <w:rPr>
          <w:color w:val="231F20"/>
          <w:spacing w:val="7"/>
        </w:rPr>
        <w:t> </w:t>
      </w:r>
      <w:r>
        <w:rPr>
          <w:color w:val="231F20"/>
        </w:rPr>
        <w:t>Forces</w:t>
      </w:r>
      <w:r>
        <w:rPr>
          <w:color w:val="231F20"/>
          <w:spacing w:val="6"/>
        </w:rPr>
        <w:t> </w:t>
      </w:r>
      <w:r>
        <w:rPr>
          <w:color w:val="231F20"/>
          <w:spacing w:val="-2"/>
        </w:rPr>
        <w:t>Armées</w:t>
      </w:r>
    </w:p>
    <w:p>
      <w:pPr>
        <w:pStyle w:val="BodyText"/>
      </w:pPr>
      <w:r>
        <w:rPr>
          <w:color w:val="231F20"/>
          <w:spacing w:val="-2"/>
        </w:rPr>
        <w:t>(EFA)</w:t>
      </w:r>
      <w:r>
        <w:rPr>
          <w:color w:val="231F20"/>
          <w:spacing w:val="-9"/>
        </w:rPr>
        <w:t> </w:t>
      </w:r>
      <w:r>
        <w:rPr>
          <w:color w:val="231F20"/>
          <w:spacing w:val="-2"/>
        </w:rPr>
        <w:t>puis</w:t>
      </w:r>
      <w:r>
        <w:rPr>
          <w:color w:val="231F20"/>
          <w:spacing w:val="-9"/>
        </w:rPr>
        <w:t> </w:t>
      </w:r>
      <w:r>
        <w:rPr>
          <w:color w:val="231F20"/>
          <w:spacing w:val="-2"/>
        </w:rPr>
        <w:t>au</w:t>
      </w:r>
      <w:r>
        <w:rPr>
          <w:color w:val="231F20"/>
          <w:spacing w:val="-8"/>
        </w:rPr>
        <w:t> </w:t>
      </w:r>
      <w:r>
        <w:rPr>
          <w:color w:val="231F20"/>
          <w:spacing w:val="-2"/>
        </w:rPr>
        <w:t>3e</w:t>
      </w:r>
      <w:r>
        <w:rPr>
          <w:color w:val="231F20"/>
          <w:spacing w:val="-8"/>
        </w:rPr>
        <w:t> </w:t>
      </w:r>
      <w:r>
        <w:rPr>
          <w:color w:val="231F20"/>
          <w:spacing w:val="-2"/>
        </w:rPr>
        <w:t>bataillon</w:t>
      </w:r>
      <w:r>
        <w:rPr>
          <w:color w:val="231F20"/>
          <w:spacing w:val="-9"/>
        </w:rPr>
        <w:t> </w:t>
      </w:r>
      <w:r>
        <w:rPr>
          <w:color w:val="231F20"/>
          <w:spacing w:val="-2"/>
        </w:rPr>
        <w:t>de</w:t>
      </w:r>
      <w:r>
        <w:rPr>
          <w:color w:val="231F20"/>
          <w:spacing w:val="-7"/>
        </w:rPr>
        <w:t> </w:t>
      </w:r>
      <w:r>
        <w:rPr>
          <w:color w:val="231F20"/>
          <w:spacing w:val="-2"/>
        </w:rPr>
        <w:t>Bouaké.</w:t>
      </w:r>
    </w:p>
    <w:p>
      <w:pPr>
        <w:pStyle w:val="BodyText"/>
        <w:spacing w:before="120"/>
        <w:ind w:right="103" w:firstLine="283"/>
      </w:pPr>
      <w:r>
        <w:rPr>
          <w:color w:val="231F20"/>
        </w:rPr>
        <w:t>La</w:t>
      </w:r>
      <w:r>
        <w:rPr>
          <w:color w:val="231F20"/>
          <w:spacing w:val="-7"/>
        </w:rPr>
        <w:t> </w:t>
      </w:r>
      <w:r>
        <w:rPr>
          <w:color w:val="231F20"/>
        </w:rPr>
        <w:t>Zone</w:t>
      </w:r>
      <w:r>
        <w:rPr>
          <w:color w:val="231F20"/>
          <w:spacing w:val="-7"/>
        </w:rPr>
        <w:t> </w:t>
      </w:r>
      <w:r>
        <w:rPr>
          <w:color w:val="231F20"/>
        </w:rPr>
        <w:t>8</w:t>
      </w:r>
      <w:r>
        <w:rPr>
          <w:color w:val="231F20"/>
          <w:spacing w:val="-9"/>
        </w:rPr>
        <w:t> </w:t>
      </w:r>
      <w:r>
        <w:rPr>
          <w:color w:val="231F20"/>
        </w:rPr>
        <w:t>a</w:t>
      </w:r>
      <w:r>
        <w:rPr>
          <w:color w:val="231F20"/>
          <w:spacing w:val="-7"/>
        </w:rPr>
        <w:t> </w:t>
      </w:r>
      <w:r>
        <w:rPr>
          <w:color w:val="231F20"/>
        </w:rPr>
        <w:t>pour</w:t>
      </w:r>
      <w:r>
        <w:rPr>
          <w:color w:val="231F20"/>
          <w:spacing w:val="-7"/>
        </w:rPr>
        <w:t> </w:t>
      </w:r>
      <w:r>
        <w:rPr>
          <w:color w:val="231F20"/>
        </w:rPr>
        <w:t>base</w:t>
      </w:r>
      <w:r>
        <w:rPr>
          <w:color w:val="231F20"/>
          <w:spacing w:val="-8"/>
        </w:rPr>
        <w:t> </w:t>
      </w:r>
      <w:r>
        <w:rPr>
          <w:color w:val="231F20"/>
        </w:rPr>
        <w:t>Odienné.</w:t>
      </w:r>
      <w:r>
        <w:rPr>
          <w:color w:val="231F20"/>
          <w:spacing w:val="-9"/>
        </w:rPr>
        <w:t> </w:t>
      </w:r>
      <w:r>
        <w:rPr>
          <w:color w:val="231F20"/>
        </w:rPr>
        <w:t>Elle</w:t>
      </w:r>
      <w:r>
        <w:rPr>
          <w:color w:val="231F20"/>
          <w:spacing w:val="-7"/>
        </w:rPr>
        <w:t> </w:t>
      </w:r>
      <w:r>
        <w:rPr>
          <w:color w:val="231F20"/>
        </w:rPr>
        <w:t>est</w:t>
      </w:r>
      <w:r>
        <w:rPr>
          <w:color w:val="231F20"/>
          <w:spacing w:val="-8"/>
        </w:rPr>
        <w:t> </w:t>
      </w:r>
      <w:r>
        <w:rPr>
          <w:color w:val="231F20"/>
        </w:rPr>
        <w:t>située</w:t>
      </w:r>
      <w:r>
        <w:rPr>
          <w:color w:val="231F20"/>
          <w:spacing w:val="-9"/>
        </w:rPr>
        <w:t> </w:t>
      </w:r>
      <w:r>
        <w:rPr>
          <w:color w:val="231F20"/>
        </w:rPr>
        <w:t>dans</w:t>
      </w:r>
      <w:r>
        <w:rPr>
          <w:color w:val="231F20"/>
          <w:spacing w:val="-7"/>
        </w:rPr>
        <w:t> </w:t>
      </w:r>
      <w:r>
        <w:rPr>
          <w:color w:val="231F20"/>
        </w:rPr>
        <w:t>l’extrême</w:t>
      </w:r>
      <w:r>
        <w:rPr>
          <w:color w:val="231F20"/>
          <w:spacing w:val="-7"/>
        </w:rPr>
        <w:t> </w:t>
      </w:r>
      <w:r>
        <w:rPr>
          <w:color w:val="231F20"/>
        </w:rPr>
        <w:t>Nord- Ouest</w:t>
      </w:r>
      <w:r>
        <w:rPr>
          <w:color w:val="231F20"/>
          <w:spacing w:val="-11"/>
        </w:rPr>
        <w:t> </w:t>
      </w:r>
      <w:r>
        <w:rPr>
          <w:color w:val="231F20"/>
        </w:rPr>
        <w:t>du</w:t>
      </w:r>
      <w:r>
        <w:rPr>
          <w:color w:val="231F20"/>
          <w:spacing w:val="-9"/>
        </w:rPr>
        <w:t> </w:t>
      </w:r>
      <w:r>
        <w:rPr>
          <w:color w:val="231F20"/>
        </w:rPr>
        <w:t>pays.</w:t>
      </w:r>
      <w:r>
        <w:rPr>
          <w:color w:val="231F20"/>
          <w:spacing w:val="-9"/>
        </w:rPr>
        <w:t> </w:t>
      </w:r>
      <w:r>
        <w:rPr>
          <w:color w:val="231F20"/>
        </w:rPr>
        <w:t>Frontalière</w:t>
      </w:r>
      <w:r>
        <w:rPr>
          <w:color w:val="231F20"/>
          <w:spacing w:val="-10"/>
        </w:rPr>
        <w:t> </w:t>
      </w:r>
      <w:r>
        <w:rPr>
          <w:color w:val="231F20"/>
        </w:rPr>
        <w:t>avec</w:t>
      </w:r>
      <w:r>
        <w:rPr>
          <w:color w:val="231F20"/>
          <w:spacing w:val="-9"/>
        </w:rPr>
        <w:t> </w:t>
      </w:r>
      <w:r>
        <w:rPr>
          <w:color w:val="231F20"/>
        </w:rPr>
        <w:t>le</w:t>
      </w:r>
      <w:r>
        <w:rPr>
          <w:color w:val="231F20"/>
          <w:spacing w:val="-15"/>
        </w:rPr>
        <w:t> </w:t>
      </w:r>
      <w:r>
        <w:rPr>
          <w:color w:val="231F20"/>
        </w:rPr>
        <w:t>Mali</w:t>
      </w:r>
      <w:r>
        <w:rPr>
          <w:color w:val="231F20"/>
          <w:spacing w:val="-15"/>
        </w:rPr>
        <w:t> </w:t>
      </w:r>
      <w:r>
        <w:rPr>
          <w:color w:val="231F20"/>
        </w:rPr>
        <w:t>et</w:t>
      </w:r>
      <w:r>
        <w:rPr>
          <w:color w:val="231F20"/>
          <w:spacing w:val="-9"/>
        </w:rPr>
        <w:t> </w:t>
      </w:r>
      <w:r>
        <w:rPr>
          <w:color w:val="231F20"/>
        </w:rPr>
        <w:t>la</w:t>
      </w:r>
      <w:r>
        <w:rPr>
          <w:color w:val="231F20"/>
          <w:spacing w:val="-15"/>
        </w:rPr>
        <w:t> </w:t>
      </w:r>
      <w:r>
        <w:rPr>
          <w:color w:val="231F20"/>
        </w:rPr>
        <w:t>Guinée,</w:t>
      </w:r>
      <w:r>
        <w:rPr>
          <w:color w:val="231F20"/>
          <w:spacing w:val="-9"/>
        </w:rPr>
        <w:t> </w:t>
      </w:r>
      <w:r>
        <w:rPr>
          <w:color w:val="231F20"/>
        </w:rPr>
        <w:t>la</w:t>
      </w:r>
      <w:r>
        <w:rPr>
          <w:color w:val="231F20"/>
          <w:spacing w:val="-9"/>
        </w:rPr>
        <w:t> </w:t>
      </w:r>
      <w:r>
        <w:rPr>
          <w:color w:val="231F20"/>
        </w:rPr>
        <w:t>zone</w:t>
      </w:r>
      <w:r>
        <w:rPr>
          <w:color w:val="231F20"/>
          <w:spacing w:val="-9"/>
        </w:rPr>
        <w:t> </w:t>
      </w:r>
      <w:r>
        <w:rPr>
          <w:color w:val="231F20"/>
        </w:rPr>
        <w:t>est</w:t>
      </w:r>
      <w:r>
        <w:rPr>
          <w:color w:val="231F20"/>
          <w:spacing w:val="-8"/>
        </w:rPr>
        <w:t> </w:t>
      </w:r>
      <w:r>
        <w:rPr>
          <w:color w:val="231F20"/>
        </w:rPr>
        <w:t>vaste</w:t>
      </w:r>
      <w:r>
        <w:rPr>
          <w:color w:val="231F20"/>
          <w:spacing w:val="-10"/>
        </w:rPr>
        <w:t> </w:t>
      </w:r>
      <w:r>
        <w:rPr>
          <w:color w:val="231F20"/>
        </w:rPr>
        <w:t>et éloignée</w:t>
      </w:r>
      <w:r>
        <w:rPr>
          <w:color w:val="231F20"/>
          <w:spacing w:val="-8"/>
        </w:rPr>
        <w:t> </w:t>
      </w:r>
      <w:r>
        <w:rPr>
          <w:color w:val="231F20"/>
        </w:rPr>
        <w:t>de</w:t>
      </w:r>
      <w:r>
        <w:rPr>
          <w:color w:val="231F20"/>
          <w:spacing w:val="-15"/>
        </w:rPr>
        <w:t> </w:t>
      </w:r>
      <w:r>
        <w:rPr>
          <w:color w:val="231F20"/>
        </w:rPr>
        <w:t>Bouaké,</w:t>
      </w:r>
      <w:r>
        <w:rPr>
          <w:color w:val="231F20"/>
          <w:spacing w:val="-5"/>
        </w:rPr>
        <w:t> </w:t>
      </w:r>
      <w:r>
        <w:rPr>
          <w:color w:val="231F20"/>
        </w:rPr>
        <w:t>siège</w:t>
      </w:r>
      <w:r>
        <w:rPr>
          <w:color w:val="231F20"/>
          <w:spacing w:val="-3"/>
        </w:rPr>
        <w:t> </w:t>
      </w:r>
      <w:r>
        <w:rPr>
          <w:color w:val="231F20"/>
        </w:rPr>
        <w:t>de</w:t>
      </w:r>
      <w:r>
        <w:rPr>
          <w:color w:val="231F20"/>
          <w:spacing w:val="-5"/>
        </w:rPr>
        <w:t> </w:t>
      </w:r>
      <w:r>
        <w:rPr>
          <w:color w:val="231F20"/>
        </w:rPr>
        <w:t>la</w:t>
      </w:r>
      <w:r>
        <w:rPr>
          <w:color w:val="231F20"/>
          <w:spacing w:val="-3"/>
        </w:rPr>
        <w:t> </w:t>
      </w:r>
      <w:r>
        <w:rPr>
          <w:color w:val="231F20"/>
        </w:rPr>
        <w:t>rébellion.</w:t>
      </w:r>
      <w:r>
        <w:rPr>
          <w:color w:val="231F20"/>
          <w:spacing w:val="-5"/>
        </w:rPr>
        <w:t> </w:t>
      </w:r>
      <w:r>
        <w:rPr>
          <w:color w:val="231F20"/>
        </w:rPr>
        <w:t>Elle</w:t>
      </w:r>
      <w:r>
        <w:rPr>
          <w:color w:val="231F20"/>
          <w:spacing w:val="-3"/>
        </w:rPr>
        <w:t> </w:t>
      </w:r>
      <w:r>
        <w:rPr>
          <w:color w:val="231F20"/>
        </w:rPr>
        <w:t>est</w:t>
      </w:r>
      <w:r>
        <w:rPr>
          <w:color w:val="231F20"/>
          <w:spacing w:val="-4"/>
        </w:rPr>
        <w:t> </w:t>
      </w:r>
      <w:r>
        <w:rPr>
          <w:color w:val="231F20"/>
        </w:rPr>
        <w:t>dirigée</w:t>
      </w:r>
      <w:r>
        <w:rPr>
          <w:color w:val="231F20"/>
          <w:spacing w:val="-3"/>
        </w:rPr>
        <w:t> </w:t>
      </w:r>
      <w:r>
        <w:rPr>
          <w:color w:val="231F20"/>
        </w:rPr>
        <w:t>par</w:t>
      </w:r>
      <w:r>
        <w:rPr>
          <w:color w:val="231F20"/>
          <w:spacing w:val="-4"/>
        </w:rPr>
        <w:t> </w:t>
      </w:r>
      <w:r>
        <w:rPr>
          <w:color w:val="231F20"/>
        </w:rPr>
        <w:t>Ousmane Coulibaly dit «</w:t>
      </w:r>
      <w:r>
        <w:rPr>
          <w:color w:val="231F20"/>
          <w:spacing w:val="-15"/>
        </w:rPr>
        <w:t> </w:t>
      </w:r>
      <w:r>
        <w:rPr>
          <w:color w:val="231F20"/>
        </w:rPr>
        <w:t>Ben Laden</w:t>
      </w:r>
      <w:r>
        <w:rPr>
          <w:color w:val="231F20"/>
          <w:spacing w:val="-12"/>
        </w:rPr>
        <w:t> </w:t>
      </w:r>
      <w:r>
        <w:rPr>
          <w:color w:val="231F20"/>
        </w:rPr>
        <w:t>» un ancien para-commando et agent de transmission radio.</w:t>
      </w:r>
    </w:p>
    <w:p>
      <w:pPr>
        <w:pStyle w:val="BodyText"/>
        <w:spacing w:before="120"/>
        <w:ind w:right="106" w:firstLine="283"/>
      </w:pPr>
      <w:r>
        <w:rPr>
          <w:color w:val="231F20"/>
        </w:rPr>
        <w:t>La Zone 9, Boundiali dans le Nord-Ouest du pays, entre la zone d’Odienné</w:t>
      </w:r>
      <w:r>
        <w:rPr>
          <w:color w:val="231F20"/>
          <w:spacing w:val="-10"/>
        </w:rPr>
        <w:t> </w:t>
      </w:r>
      <w:r>
        <w:rPr>
          <w:color w:val="231F20"/>
        </w:rPr>
        <w:t>et</w:t>
      </w:r>
      <w:r>
        <w:rPr>
          <w:color w:val="231F20"/>
          <w:spacing w:val="-10"/>
        </w:rPr>
        <w:t> </w:t>
      </w:r>
      <w:r>
        <w:rPr>
          <w:color w:val="231F20"/>
        </w:rPr>
        <w:t>celle</w:t>
      </w:r>
      <w:r>
        <w:rPr>
          <w:color w:val="231F20"/>
          <w:spacing w:val="-10"/>
        </w:rPr>
        <w:t> </w:t>
      </w:r>
      <w:r>
        <w:rPr>
          <w:color w:val="231F20"/>
        </w:rPr>
        <w:t>de</w:t>
      </w:r>
      <w:r>
        <w:rPr>
          <w:color w:val="231F20"/>
          <w:spacing w:val="-10"/>
        </w:rPr>
        <w:t> </w:t>
      </w:r>
      <w:r>
        <w:rPr>
          <w:color w:val="231F20"/>
        </w:rPr>
        <w:t>Korhogo,</w:t>
      </w:r>
      <w:r>
        <w:rPr>
          <w:color w:val="231F20"/>
          <w:spacing w:val="-12"/>
        </w:rPr>
        <w:t> </w:t>
      </w:r>
      <w:r>
        <w:rPr>
          <w:color w:val="231F20"/>
        </w:rPr>
        <w:t>est</w:t>
      </w:r>
      <w:r>
        <w:rPr>
          <w:color w:val="231F20"/>
          <w:spacing w:val="-13"/>
        </w:rPr>
        <w:t> </w:t>
      </w:r>
      <w:r>
        <w:rPr>
          <w:color w:val="231F20"/>
        </w:rPr>
        <w:t>dirigée</w:t>
      </w:r>
      <w:r>
        <w:rPr>
          <w:color w:val="231F20"/>
          <w:spacing w:val="-10"/>
        </w:rPr>
        <w:t> </w:t>
      </w:r>
      <w:r>
        <w:rPr>
          <w:color w:val="231F20"/>
        </w:rPr>
        <w:t>par</w:t>
      </w:r>
      <w:r>
        <w:rPr>
          <w:color w:val="231F20"/>
          <w:spacing w:val="-10"/>
        </w:rPr>
        <w:t> </w:t>
      </w:r>
      <w:r>
        <w:rPr>
          <w:color w:val="231F20"/>
        </w:rPr>
        <w:t>Gaoussou</w:t>
      </w:r>
      <w:r>
        <w:rPr>
          <w:color w:val="231F20"/>
          <w:spacing w:val="-12"/>
        </w:rPr>
        <w:t> </w:t>
      </w:r>
      <w:r>
        <w:rPr>
          <w:color w:val="231F20"/>
        </w:rPr>
        <w:t>Koné</w:t>
      </w:r>
      <w:r>
        <w:rPr>
          <w:color w:val="231F20"/>
          <w:spacing w:val="-13"/>
        </w:rPr>
        <w:t> </w:t>
      </w:r>
      <w:r>
        <w:rPr>
          <w:color w:val="231F20"/>
        </w:rPr>
        <w:t>dit</w:t>
      </w:r>
      <w:r>
        <w:rPr>
          <w:color w:val="231F20"/>
          <w:spacing w:val="-9"/>
        </w:rPr>
        <w:t> </w:t>
      </w:r>
      <w:r>
        <w:rPr>
          <w:color w:val="231F20"/>
        </w:rPr>
        <w:t>«</w:t>
      </w:r>
      <w:r>
        <w:rPr>
          <w:color w:val="231F20"/>
          <w:spacing w:val="-12"/>
        </w:rPr>
        <w:t> </w:t>
      </w:r>
      <w:r>
        <w:rPr>
          <w:color w:val="231F20"/>
        </w:rPr>
        <w:t>Jah Gao</w:t>
      </w:r>
      <w:r>
        <w:rPr>
          <w:color w:val="231F20"/>
          <w:spacing w:val="-4"/>
        </w:rPr>
        <w:t> </w:t>
      </w:r>
      <w:r>
        <w:rPr>
          <w:color w:val="231F20"/>
        </w:rPr>
        <w:t>»</w:t>
      </w:r>
      <w:r>
        <w:rPr>
          <w:color w:val="231F20"/>
          <w:spacing w:val="-4"/>
        </w:rPr>
        <w:t> </w:t>
      </w:r>
      <w:r>
        <w:rPr>
          <w:color w:val="231F20"/>
        </w:rPr>
        <w:t>un</w:t>
      </w:r>
      <w:r>
        <w:rPr>
          <w:color w:val="231F20"/>
          <w:spacing w:val="-6"/>
        </w:rPr>
        <w:t> </w:t>
      </w:r>
      <w:r>
        <w:rPr>
          <w:color w:val="231F20"/>
        </w:rPr>
        <w:t>acteur</w:t>
      </w:r>
      <w:r>
        <w:rPr>
          <w:color w:val="231F20"/>
          <w:spacing w:val="-4"/>
        </w:rPr>
        <w:t> </w:t>
      </w:r>
      <w:r>
        <w:rPr>
          <w:color w:val="231F20"/>
        </w:rPr>
        <w:t>du</w:t>
      </w:r>
      <w:r>
        <w:rPr>
          <w:color w:val="231F20"/>
          <w:spacing w:val="-3"/>
        </w:rPr>
        <w:t> </w:t>
      </w:r>
      <w:r>
        <w:rPr>
          <w:color w:val="231F20"/>
        </w:rPr>
        <w:t>coup</w:t>
      </w:r>
      <w:r>
        <w:rPr>
          <w:color w:val="231F20"/>
          <w:spacing w:val="-8"/>
        </w:rPr>
        <w:t> </w:t>
      </w:r>
      <w:r>
        <w:rPr>
          <w:color w:val="231F20"/>
        </w:rPr>
        <w:t>d’État</w:t>
      </w:r>
      <w:r>
        <w:rPr>
          <w:color w:val="231F20"/>
          <w:spacing w:val="-6"/>
        </w:rPr>
        <w:t> </w:t>
      </w:r>
      <w:r>
        <w:rPr>
          <w:color w:val="231F20"/>
        </w:rPr>
        <w:t>militaire</w:t>
      </w:r>
      <w:r>
        <w:rPr>
          <w:color w:val="231F20"/>
          <w:spacing w:val="-5"/>
        </w:rPr>
        <w:t> </w:t>
      </w:r>
      <w:r>
        <w:rPr>
          <w:color w:val="231F20"/>
        </w:rPr>
        <w:t>du</w:t>
      </w:r>
      <w:r>
        <w:rPr>
          <w:color w:val="231F20"/>
          <w:spacing w:val="-4"/>
        </w:rPr>
        <w:t> </w:t>
      </w:r>
      <w:r>
        <w:rPr>
          <w:color w:val="231F20"/>
        </w:rPr>
        <w:t>général</w:t>
      </w:r>
      <w:r>
        <w:rPr>
          <w:color w:val="231F20"/>
          <w:spacing w:val="-5"/>
        </w:rPr>
        <w:t> </w:t>
      </w:r>
      <w:r>
        <w:rPr>
          <w:color w:val="231F20"/>
        </w:rPr>
        <w:t>Robert</w:t>
      </w:r>
      <w:r>
        <w:rPr>
          <w:color w:val="231F20"/>
          <w:spacing w:val="-3"/>
        </w:rPr>
        <w:t> </w:t>
      </w:r>
      <w:r>
        <w:rPr>
          <w:color w:val="231F20"/>
        </w:rPr>
        <w:t>Guéï.</w:t>
      </w:r>
    </w:p>
    <w:p>
      <w:pPr>
        <w:pStyle w:val="BodyText"/>
        <w:spacing w:before="121"/>
        <w:ind w:right="110" w:firstLine="283"/>
      </w:pPr>
      <w:r>
        <w:rPr>
          <w:color w:val="231F20"/>
        </w:rPr>
        <w:t>Enfin,</w:t>
      </w:r>
      <w:r>
        <w:rPr>
          <w:color w:val="231F20"/>
          <w:spacing w:val="-10"/>
        </w:rPr>
        <w:t> </w:t>
      </w:r>
      <w:r>
        <w:rPr>
          <w:color w:val="231F20"/>
        </w:rPr>
        <w:t>la</w:t>
      </w:r>
      <w:r>
        <w:rPr>
          <w:color w:val="231F20"/>
          <w:spacing w:val="-8"/>
        </w:rPr>
        <w:t> </w:t>
      </w:r>
      <w:r>
        <w:rPr>
          <w:color w:val="231F20"/>
        </w:rPr>
        <w:t>Zone</w:t>
      </w:r>
      <w:r>
        <w:rPr>
          <w:color w:val="231F20"/>
          <w:spacing w:val="-7"/>
        </w:rPr>
        <w:t> </w:t>
      </w:r>
      <w:r>
        <w:rPr>
          <w:color w:val="231F20"/>
        </w:rPr>
        <w:t>10,</w:t>
      </w:r>
      <w:r>
        <w:rPr>
          <w:color w:val="231F20"/>
          <w:spacing w:val="-8"/>
        </w:rPr>
        <w:t> </w:t>
      </w:r>
      <w:r>
        <w:rPr>
          <w:color w:val="231F20"/>
        </w:rPr>
        <w:t>Korhogo</w:t>
      </w:r>
      <w:r>
        <w:rPr>
          <w:color w:val="231F20"/>
          <w:spacing w:val="-9"/>
        </w:rPr>
        <w:t> </w:t>
      </w:r>
      <w:r>
        <w:rPr>
          <w:color w:val="231F20"/>
        </w:rPr>
        <w:t>dans</w:t>
      </w:r>
      <w:r>
        <w:rPr>
          <w:color w:val="231F20"/>
          <w:spacing w:val="-8"/>
        </w:rPr>
        <w:t> </w:t>
      </w:r>
      <w:r>
        <w:rPr>
          <w:color w:val="231F20"/>
        </w:rPr>
        <w:t>l’extrême-nord</w:t>
      </w:r>
      <w:r>
        <w:rPr>
          <w:color w:val="231F20"/>
          <w:spacing w:val="-8"/>
        </w:rPr>
        <w:t> </w:t>
      </w:r>
      <w:r>
        <w:rPr>
          <w:color w:val="231F20"/>
        </w:rPr>
        <w:t>du</w:t>
      </w:r>
      <w:r>
        <w:rPr>
          <w:color w:val="231F20"/>
          <w:spacing w:val="-8"/>
        </w:rPr>
        <w:t> </w:t>
      </w:r>
      <w:r>
        <w:rPr>
          <w:color w:val="231F20"/>
        </w:rPr>
        <w:t>pays,</w:t>
      </w:r>
      <w:r>
        <w:rPr>
          <w:color w:val="231F20"/>
          <w:spacing w:val="-8"/>
        </w:rPr>
        <w:t> </w:t>
      </w:r>
      <w:r>
        <w:rPr>
          <w:color w:val="231F20"/>
        </w:rPr>
        <w:t>est</w:t>
      </w:r>
      <w:r>
        <w:rPr>
          <w:color w:val="231F20"/>
          <w:spacing w:val="-10"/>
        </w:rPr>
        <w:t> </w:t>
      </w:r>
      <w:r>
        <w:rPr>
          <w:color w:val="231F20"/>
        </w:rPr>
        <w:t>dirigée par</w:t>
      </w:r>
      <w:r>
        <w:rPr>
          <w:color w:val="231F20"/>
          <w:spacing w:val="-4"/>
        </w:rPr>
        <w:t> </w:t>
      </w:r>
      <w:r>
        <w:rPr>
          <w:color w:val="231F20"/>
        </w:rPr>
        <w:t>Fofié</w:t>
      </w:r>
      <w:r>
        <w:rPr>
          <w:color w:val="231F20"/>
          <w:spacing w:val="-4"/>
        </w:rPr>
        <w:t> </w:t>
      </w:r>
      <w:r>
        <w:rPr>
          <w:color w:val="231F20"/>
        </w:rPr>
        <w:t>Martin</w:t>
      </w:r>
      <w:r>
        <w:rPr>
          <w:color w:val="231F20"/>
          <w:spacing w:val="-4"/>
        </w:rPr>
        <w:t> </w:t>
      </w:r>
      <w:r>
        <w:rPr>
          <w:color w:val="231F20"/>
        </w:rPr>
        <w:t>Kouakou,</w:t>
      </w:r>
      <w:r>
        <w:rPr>
          <w:color w:val="231F20"/>
          <w:spacing w:val="-4"/>
        </w:rPr>
        <w:t> </w:t>
      </w:r>
      <w:r>
        <w:rPr>
          <w:color w:val="231F20"/>
        </w:rPr>
        <w:t>ex-caporal</w:t>
      </w:r>
      <w:r>
        <w:rPr>
          <w:color w:val="231F20"/>
          <w:spacing w:val="-7"/>
        </w:rPr>
        <w:t> </w:t>
      </w:r>
      <w:r>
        <w:rPr>
          <w:color w:val="231F20"/>
        </w:rPr>
        <w:t>de</w:t>
      </w:r>
      <w:r>
        <w:rPr>
          <w:color w:val="231F20"/>
          <w:spacing w:val="-4"/>
        </w:rPr>
        <w:t> </w:t>
      </w:r>
      <w:r>
        <w:rPr>
          <w:color w:val="231F20"/>
        </w:rPr>
        <w:t>l’armée</w:t>
      </w:r>
      <w:r>
        <w:rPr>
          <w:color w:val="231F20"/>
          <w:spacing w:val="-4"/>
        </w:rPr>
        <w:t> </w:t>
      </w:r>
      <w:r>
        <w:rPr>
          <w:color w:val="231F20"/>
        </w:rPr>
        <w:t>régulière.</w:t>
      </w:r>
    </w:p>
    <w:p>
      <w:pPr>
        <w:pStyle w:val="BodyText"/>
        <w:spacing w:before="120"/>
        <w:ind w:right="108" w:firstLine="283"/>
      </w:pPr>
      <w:r>
        <w:rPr>
          <w:color w:val="231F20"/>
          <w:spacing w:val="-2"/>
        </w:rPr>
        <w:t>Dans</w:t>
      </w:r>
      <w:r>
        <w:rPr>
          <w:color w:val="231F20"/>
          <w:spacing w:val="-8"/>
        </w:rPr>
        <w:t> </w:t>
      </w:r>
      <w:r>
        <w:rPr>
          <w:color w:val="231F20"/>
          <w:spacing w:val="-2"/>
        </w:rPr>
        <w:t>le</w:t>
      </w:r>
      <w:r>
        <w:rPr>
          <w:color w:val="231F20"/>
          <w:spacing w:val="-8"/>
        </w:rPr>
        <w:t> </w:t>
      </w:r>
      <w:r>
        <w:rPr>
          <w:color w:val="231F20"/>
          <w:spacing w:val="-2"/>
        </w:rPr>
        <w:t>but</w:t>
      </w:r>
      <w:r>
        <w:rPr>
          <w:color w:val="231F20"/>
          <w:spacing w:val="-8"/>
        </w:rPr>
        <w:t> </w:t>
      </w:r>
      <w:r>
        <w:rPr>
          <w:color w:val="231F20"/>
          <w:spacing w:val="-2"/>
        </w:rPr>
        <w:t>d’asphyxier</w:t>
      </w:r>
      <w:r>
        <w:rPr>
          <w:color w:val="231F20"/>
          <w:spacing w:val="-8"/>
        </w:rPr>
        <w:t> </w:t>
      </w:r>
      <w:r>
        <w:rPr>
          <w:color w:val="231F20"/>
          <w:spacing w:val="-2"/>
        </w:rPr>
        <w:t>économiquement</w:t>
      </w:r>
      <w:r>
        <w:rPr>
          <w:color w:val="231F20"/>
          <w:spacing w:val="-7"/>
        </w:rPr>
        <w:t> </w:t>
      </w:r>
      <w:r>
        <w:rPr>
          <w:color w:val="231F20"/>
          <w:spacing w:val="-2"/>
        </w:rPr>
        <w:t>les</w:t>
      </w:r>
      <w:r>
        <w:rPr>
          <w:color w:val="231F20"/>
          <w:spacing w:val="-8"/>
        </w:rPr>
        <w:t> </w:t>
      </w:r>
      <w:r>
        <w:rPr>
          <w:color w:val="231F20"/>
          <w:spacing w:val="-2"/>
        </w:rPr>
        <w:t>zones</w:t>
      </w:r>
      <w:r>
        <w:rPr>
          <w:color w:val="231F20"/>
          <w:spacing w:val="-10"/>
        </w:rPr>
        <w:t> </w:t>
      </w:r>
      <w:r>
        <w:rPr>
          <w:color w:val="231F20"/>
          <w:spacing w:val="-2"/>
        </w:rPr>
        <w:t>contrôlées</w:t>
      </w:r>
      <w:r>
        <w:rPr>
          <w:color w:val="231F20"/>
          <w:spacing w:val="-8"/>
        </w:rPr>
        <w:t> </w:t>
      </w:r>
      <w:r>
        <w:rPr>
          <w:color w:val="231F20"/>
          <w:spacing w:val="-2"/>
        </w:rPr>
        <w:t>par</w:t>
      </w:r>
      <w:r>
        <w:rPr>
          <w:color w:val="231F20"/>
          <w:spacing w:val="-8"/>
        </w:rPr>
        <w:t> </w:t>
      </w:r>
      <w:r>
        <w:rPr>
          <w:color w:val="231F20"/>
          <w:spacing w:val="-2"/>
        </w:rPr>
        <w:t>les </w:t>
      </w:r>
      <w:r>
        <w:rPr>
          <w:color w:val="231F20"/>
        </w:rPr>
        <w:t>rebelles et les amener à lâcher du lest, le gouvernement ivoirien avait bloqué</w:t>
      </w:r>
      <w:r>
        <w:rPr>
          <w:color w:val="231F20"/>
          <w:spacing w:val="-15"/>
        </w:rPr>
        <w:t> </w:t>
      </w:r>
      <w:r>
        <w:rPr>
          <w:color w:val="231F20"/>
        </w:rPr>
        <w:t>dès</w:t>
      </w:r>
      <w:r>
        <w:rPr>
          <w:color w:val="231F20"/>
          <w:spacing w:val="-14"/>
        </w:rPr>
        <w:t> </w:t>
      </w:r>
      <w:r>
        <w:rPr>
          <w:color w:val="231F20"/>
        </w:rPr>
        <w:t>le</w:t>
      </w:r>
      <w:r>
        <w:rPr>
          <w:color w:val="231F20"/>
          <w:spacing w:val="-14"/>
        </w:rPr>
        <w:t> </w:t>
      </w:r>
      <w:r>
        <w:rPr>
          <w:color w:val="231F20"/>
        </w:rPr>
        <w:t>début</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crise</w:t>
      </w:r>
      <w:r>
        <w:rPr>
          <w:color w:val="231F20"/>
          <w:spacing w:val="-12"/>
        </w:rPr>
        <w:t> </w:t>
      </w:r>
      <w:r>
        <w:rPr>
          <w:color w:val="231F20"/>
        </w:rPr>
        <w:t>armée,</w:t>
      </w:r>
      <w:r>
        <w:rPr>
          <w:color w:val="231F20"/>
          <w:spacing w:val="-13"/>
        </w:rPr>
        <w:t> </w:t>
      </w:r>
      <w:r>
        <w:rPr>
          <w:color w:val="231F20"/>
        </w:rPr>
        <w:t>l’approvisionnement</w:t>
      </w:r>
      <w:r>
        <w:rPr>
          <w:color w:val="231F20"/>
          <w:spacing w:val="-14"/>
        </w:rPr>
        <w:t> </w:t>
      </w:r>
      <w:r>
        <w:rPr>
          <w:color w:val="231F20"/>
        </w:rPr>
        <w:t>des</w:t>
      </w:r>
      <w:r>
        <w:rPr>
          <w:color w:val="231F20"/>
          <w:spacing w:val="-14"/>
        </w:rPr>
        <w:t> </w:t>
      </w:r>
      <w:r>
        <w:rPr>
          <w:color w:val="231F20"/>
        </w:rPr>
        <w:t>zones</w:t>
      </w:r>
      <w:r>
        <w:rPr>
          <w:color w:val="231F20"/>
          <w:spacing w:val="-13"/>
        </w:rPr>
        <w:t> </w:t>
      </w:r>
      <w:r>
        <w:rPr>
          <w:color w:val="231F20"/>
        </w:rPr>
        <w:t>en </w:t>
      </w:r>
      <w:r>
        <w:rPr>
          <w:color w:val="231F20"/>
          <w:spacing w:val="-2"/>
        </w:rPr>
        <w:t>produits</w:t>
      </w:r>
      <w:r>
        <w:rPr>
          <w:color w:val="231F20"/>
          <w:spacing w:val="-13"/>
        </w:rPr>
        <w:t> </w:t>
      </w:r>
      <w:r>
        <w:rPr>
          <w:color w:val="231F20"/>
          <w:spacing w:val="-2"/>
        </w:rPr>
        <w:t>divers</w:t>
      </w:r>
      <w:r>
        <w:rPr>
          <w:color w:val="231F20"/>
          <w:spacing w:val="-12"/>
        </w:rPr>
        <w:t> </w:t>
      </w:r>
      <w:r>
        <w:rPr>
          <w:color w:val="231F20"/>
          <w:spacing w:val="-2"/>
        </w:rPr>
        <w:t>et</w:t>
      </w:r>
      <w:r>
        <w:rPr>
          <w:color w:val="231F20"/>
          <w:spacing w:val="-10"/>
        </w:rPr>
        <w:t> </w:t>
      </w:r>
      <w:r>
        <w:rPr>
          <w:color w:val="231F20"/>
          <w:spacing w:val="-2"/>
        </w:rPr>
        <w:t>nécessaires.</w:t>
      </w:r>
      <w:r>
        <w:rPr>
          <w:color w:val="231F20"/>
          <w:spacing w:val="-11"/>
        </w:rPr>
        <w:t> </w:t>
      </w:r>
      <w:r>
        <w:rPr>
          <w:color w:val="231F20"/>
          <w:spacing w:val="-2"/>
        </w:rPr>
        <w:t>Mais</w:t>
      </w:r>
      <w:r>
        <w:rPr>
          <w:color w:val="231F20"/>
          <w:spacing w:val="-13"/>
        </w:rPr>
        <w:t> </w:t>
      </w:r>
      <w:r>
        <w:rPr>
          <w:color w:val="231F20"/>
          <w:spacing w:val="-2"/>
        </w:rPr>
        <w:t>les</w:t>
      </w:r>
      <w:r>
        <w:rPr>
          <w:color w:val="231F20"/>
          <w:spacing w:val="-13"/>
        </w:rPr>
        <w:t> </w:t>
      </w:r>
      <w:r>
        <w:rPr>
          <w:color w:val="231F20"/>
          <w:spacing w:val="-2"/>
        </w:rPr>
        <w:t>rebelles</w:t>
      </w:r>
      <w:r>
        <w:rPr>
          <w:color w:val="231F20"/>
          <w:spacing w:val="-13"/>
        </w:rPr>
        <w:t> </w:t>
      </w:r>
      <w:r>
        <w:rPr>
          <w:color w:val="231F20"/>
          <w:spacing w:val="-2"/>
        </w:rPr>
        <w:t>trouvent</w:t>
      </w:r>
      <w:r>
        <w:rPr>
          <w:color w:val="231F20"/>
          <w:spacing w:val="-13"/>
        </w:rPr>
        <w:t> </w:t>
      </w:r>
      <w:r>
        <w:rPr>
          <w:color w:val="231F20"/>
          <w:spacing w:val="-2"/>
        </w:rPr>
        <w:t>d’autres</w:t>
      </w:r>
      <w:r>
        <w:rPr>
          <w:color w:val="231F20"/>
          <w:spacing w:val="-13"/>
        </w:rPr>
        <w:t> </w:t>
      </w:r>
      <w:r>
        <w:rPr>
          <w:color w:val="231F20"/>
          <w:spacing w:val="-2"/>
        </w:rPr>
        <w:t>sources </w:t>
      </w:r>
      <w:r>
        <w:rPr>
          <w:color w:val="231F20"/>
        </w:rPr>
        <w:t>d’approvisionnement</w:t>
      </w:r>
      <w:r>
        <w:rPr>
          <w:color w:val="231F20"/>
          <w:spacing w:val="-7"/>
        </w:rPr>
        <w:t> </w:t>
      </w:r>
      <w:r>
        <w:rPr>
          <w:color w:val="231F20"/>
        </w:rPr>
        <w:t>qui</w:t>
      </w:r>
      <w:r>
        <w:rPr>
          <w:color w:val="231F20"/>
          <w:spacing w:val="-11"/>
        </w:rPr>
        <w:t> </w:t>
      </w:r>
      <w:r>
        <w:rPr>
          <w:color w:val="231F20"/>
        </w:rPr>
        <w:t>enrichissent</w:t>
      </w:r>
      <w:r>
        <w:rPr>
          <w:color w:val="231F20"/>
          <w:spacing w:val="-10"/>
        </w:rPr>
        <w:t> </w:t>
      </w:r>
      <w:r>
        <w:rPr>
          <w:color w:val="231F20"/>
        </w:rPr>
        <w:t>au</w:t>
      </w:r>
      <w:r>
        <w:rPr>
          <w:color w:val="231F20"/>
          <w:spacing w:val="-9"/>
        </w:rPr>
        <w:t> </w:t>
      </w:r>
      <w:r>
        <w:rPr>
          <w:color w:val="231F20"/>
        </w:rPr>
        <w:t>passage,</w:t>
      </w:r>
      <w:r>
        <w:rPr>
          <w:color w:val="231F20"/>
          <w:spacing w:val="-11"/>
        </w:rPr>
        <w:t> </w:t>
      </w:r>
      <w:r>
        <w:rPr>
          <w:color w:val="231F20"/>
        </w:rPr>
        <w:t>les</w:t>
      </w:r>
      <w:r>
        <w:rPr>
          <w:color w:val="231F20"/>
          <w:spacing w:val="-9"/>
        </w:rPr>
        <w:t> </w:t>
      </w:r>
      <w:r>
        <w:rPr>
          <w:color w:val="231F20"/>
        </w:rPr>
        <w:t>chefs</w:t>
      </w:r>
      <w:r>
        <w:rPr>
          <w:color w:val="231F20"/>
          <w:spacing w:val="-9"/>
        </w:rPr>
        <w:t> </w:t>
      </w:r>
      <w:r>
        <w:rPr>
          <w:color w:val="231F20"/>
        </w:rPr>
        <w:t>rebelles.</w:t>
      </w:r>
    </w:p>
    <w:p>
      <w:pPr>
        <w:pStyle w:val="BodyText"/>
        <w:spacing w:before="120"/>
        <w:ind w:right="106"/>
      </w:pPr>
      <w:r>
        <w:rPr>
          <w:color w:val="231F20"/>
        </w:rPr>
        <w:t>Les</w:t>
      </w:r>
      <w:r>
        <w:rPr>
          <w:color w:val="231F20"/>
          <w:spacing w:val="-9"/>
        </w:rPr>
        <w:t> </w:t>
      </w:r>
      <w:r>
        <w:rPr>
          <w:color w:val="231F20"/>
        </w:rPr>
        <w:t>dix</w:t>
      </w:r>
      <w:r>
        <w:rPr>
          <w:color w:val="231F20"/>
          <w:spacing w:val="-2"/>
        </w:rPr>
        <w:t> </w:t>
      </w:r>
      <w:r>
        <w:rPr>
          <w:color w:val="231F20"/>
        </w:rPr>
        <w:t>«</w:t>
      </w:r>
      <w:r>
        <w:rPr>
          <w:color w:val="231F20"/>
          <w:spacing w:val="-15"/>
        </w:rPr>
        <w:t> </w:t>
      </w:r>
      <w:r>
        <w:rPr>
          <w:color w:val="231F20"/>
        </w:rPr>
        <w:t>Com-zones</w:t>
      </w:r>
      <w:r>
        <w:rPr>
          <w:color w:val="231F20"/>
          <w:spacing w:val="-15"/>
        </w:rPr>
        <w:t> </w:t>
      </w:r>
      <w:r>
        <w:rPr>
          <w:color w:val="231F20"/>
        </w:rPr>
        <w:t>»,</w:t>
      </w:r>
      <w:r>
        <w:rPr>
          <w:color w:val="231F20"/>
          <w:spacing w:val="-2"/>
        </w:rPr>
        <w:t> </w:t>
      </w:r>
      <w:r>
        <w:rPr>
          <w:color w:val="231F20"/>
        </w:rPr>
        <w:t>tous</w:t>
      </w:r>
      <w:r>
        <w:rPr>
          <w:color w:val="231F20"/>
          <w:spacing w:val="-2"/>
        </w:rPr>
        <w:t> </w:t>
      </w:r>
      <w:r>
        <w:rPr>
          <w:color w:val="231F20"/>
        </w:rPr>
        <w:t>des</w:t>
      </w:r>
      <w:r>
        <w:rPr>
          <w:color w:val="231F20"/>
          <w:spacing w:val="-2"/>
        </w:rPr>
        <w:t> </w:t>
      </w:r>
      <w:r>
        <w:rPr>
          <w:color w:val="231F20"/>
        </w:rPr>
        <w:t>sous-officiers</w:t>
      </w:r>
      <w:r>
        <w:rPr>
          <w:color w:val="231F20"/>
          <w:spacing w:val="-3"/>
        </w:rPr>
        <w:t> </w:t>
      </w:r>
      <w:r>
        <w:rPr>
          <w:color w:val="231F20"/>
        </w:rPr>
        <w:t>dans</w:t>
      </w:r>
      <w:r>
        <w:rPr>
          <w:color w:val="231F20"/>
          <w:spacing w:val="-3"/>
        </w:rPr>
        <w:t> </w:t>
      </w:r>
      <w:r>
        <w:rPr>
          <w:color w:val="231F20"/>
        </w:rPr>
        <w:t>les</w:t>
      </w:r>
      <w:r>
        <w:rPr>
          <w:color w:val="231F20"/>
          <w:spacing w:val="-3"/>
        </w:rPr>
        <w:t> </w:t>
      </w:r>
      <w:r>
        <w:rPr>
          <w:color w:val="231F20"/>
        </w:rPr>
        <w:t>Forces</w:t>
      </w:r>
      <w:r>
        <w:rPr>
          <w:color w:val="231F20"/>
          <w:spacing w:val="-3"/>
        </w:rPr>
        <w:t> </w:t>
      </w:r>
      <w:r>
        <w:rPr>
          <w:color w:val="231F20"/>
        </w:rPr>
        <w:t>Armées Nationales avant la rébellion, sont avec leurs milices, les véritables maîtres du terrain. Toute la partie Centre, Nord, Ouest (CNO) de Côte d’Ivoire</w:t>
      </w:r>
      <w:r>
        <w:rPr>
          <w:color w:val="231F20"/>
          <w:spacing w:val="-15"/>
        </w:rPr>
        <w:t> </w:t>
      </w:r>
      <w:r>
        <w:rPr>
          <w:color w:val="231F20"/>
        </w:rPr>
        <w:t>est</w:t>
      </w:r>
      <w:r>
        <w:rPr>
          <w:color w:val="231F20"/>
          <w:spacing w:val="-15"/>
        </w:rPr>
        <w:t> </w:t>
      </w:r>
      <w:r>
        <w:rPr>
          <w:color w:val="231F20"/>
        </w:rPr>
        <w:t>sous</w:t>
      </w:r>
      <w:r>
        <w:rPr>
          <w:color w:val="231F20"/>
          <w:spacing w:val="-15"/>
        </w:rPr>
        <w:t> </w:t>
      </w:r>
      <w:r>
        <w:rPr>
          <w:color w:val="231F20"/>
        </w:rPr>
        <w:t>leur</w:t>
      </w:r>
      <w:r>
        <w:rPr>
          <w:color w:val="231F20"/>
          <w:spacing w:val="-15"/>
        </w:rPr>
        <w:t> </w:t>
      </w:r>
      <w:r>
        <w:rPr>
          <w:color w:val="231F20"/>
        </w:rPr>
        <w:t>«</w:t>
      </w:r>
      <w:r>
        <w:rPr>
          <w:color w:val="231F20"/>
          <w:spacing w:val="-15"/>
        </w:rPr>
        <w:t> </w:t>
      </w:r>
      <w:r>
        <w:rPr>
          <w:color w:val="231F20"/>
        </w:rPr>
        <w:t>Administration</w:t>
      </w:r>
      <w:r>
        <w:rPr>
          <w:color w:val="231F20"/>
          <w:spacing w:val="-15"/>
        </w:rPr>
        <w:t> </w:t>
      </w:r>
      <w:r>
        <w:rPr>
          <w:color w:val="231F20"/>
        </w:rPr>
        <w:t>».</w:t>
      </w:r>
      <w:r>
        <w:rPr>
          <w:color w:val="231F20"/>
          <w:spacing w:val="-15"/>
        </w:rPr>
        <w:t> </w:t>
      </w:r>
      <w:r>
        <w:rPr>
          <w:color w:val="231F20"/>
        </w:rPr>
        <w:t>Ils</w:t>
      </w:r>
      <w:r>
        <w:rPr>
          <w:color w:val="231F20"/>
          <w:spacing w:val="-15"/>
        </w:rPr>
        <w:t> </w:t>
      </w:r>
      <w:r>
        <w:rPr>
          <w:color w:val="231F20"/>
        </w:rPr>
        <w:t>en</w:t>
      </w:r>
      <w:r>
        <w:rPr>
          <w:color w:val="231F20"/>
          <w:spacing w:val="-15"/>
        </w:rPr>
        <w:t> </w:t>
      </w:r>
      <w:r>
        <w:rPr>
          <w:color w:val="231F20"/>
        </w:rPr>
        <w:t>contrôlent</w:t>
      </w:r>
      <w:r>
        <w:rPr>
          <w:color w:val="231F20"/>
          <w:spacing w:val="-15"/>
        </w:rPr>
        <w:t> </w:t>
      </w:r>
      <w:r>
        <w:rPr>
          <w:color w:val="231F20"/>
        </w:rPr>
        <w:t>les</w:t>
      </w:r>
      <w:r>
        <w:rPr>
          <w:color w:val="231F20"/>
          <w:spacing w:val="-15"/>
        </w:rPr>
        <w:t> </w:t>
      </w:r>
      <w:r>
        <w:rPr>
          <w:color w:val="231F20"/>
        </w:rPr>
        <w:t>ressources naturelles et le commerce.</w:t>
      </w:r>
    </w:p>
    <w:p>
      <w:pPr>
        <w:pStyle w:val="ListParagraph"/>
        <w:numPr>
          <w:ilvl w:val="0"/>
          <w:numId w:val="4"/>
        </w:numPr>
        <w:tabs>
          <w:tab w:pos="754" w:val="left" w:leader="none"/>
        </w:tabs>
        <w:spacing w:line="240" w:lineRule="auto" w:before="120" w:after="0"/>
        <w:ind w:left="754" w:right="0" w:hanging="359"/>
        <w:jc w:val="both"/>
        <w:rPr>
          <w:sz w:val="24"/>
        </w:rPr>
      </w:pPr>
      <w:r>
        <w:rPr>
          <w:color w:val="231F20"/>
          <w:sz w:val="24"/>
        </w:rPr>
        <w:t>Les</w:t>
      </w:r>
      <w:r>
        <w:rPr>
          <w:color w:val="231F20"/>
          <w:spacing w:val="3"/>
          <w:sz w:val="24"/>
        </w:rPr>
        <w:t> </w:t>
      </w:r>
      <w:r>
        <w:rPr>
          <w:color w:val="231F20"/>
          <w:sz w:val="24"/>
        </w:rPr>
        <w:t>produits</w:t>
      </w:r>
      <w:r>
        <w:rPr>
          <w:color w:val="231F20"/>
          <w:spacing w:val="4"/>
          <w:sz w:val="24"/>
        </w:rPr>
        <w:t> </w:t>
      </w:r>
      <w:r>
        <w:rPr>
          <w:color w:val="231F20"/>
          <w:sz w:val="24"/>
        </w:rPr>
        <w:t>pétroliers</w:t>
      </w:r>
      <w:r>
        <w:rPr>
          <w:color w:val="231F20"/>
          <w:spacing w:val="4"/>
          <w:sz w:val="24"/>
        </w:rPr>
        <w:t> </w:t>
      </w:r>
      <w:r>
        <w:rPr>
          <w:color w:val="231F20"/>
          <w:sz w:val="24"/>
        </w:rPr>
        <w:t>proviennent</w:t>
      </w:r>
      <w:r>
        <w:rPr>
          <w:color w:val="231F20"/>
          <w:spacing w:val="4"/>
          <w:sz w:val="24"/>
        </w:rPr>
        <w:t> </w:t>
      </w:r>
      <w:r>
        <w:rPr>
          <w:color w:val="231F20"/>
          <w:sz w:val="24"/>
        </w:rPr>
        <w:t>essentiellement</w:t>
      </w:r>
      <w:r>
        <w:rPr>
          <w:color w:val="231F20"/>
          <w:spacing w:val="3"/>
          <w:sz w:val="24"/>
        </w:rPr>
        <w:t> </w:t>
      </w:r>
      <w:r>
        <w:rPr>
          <w:color w:val="231F20"/>
          <w:sz w:val="24"/>
        </w:rPr>
        <w:t>du</w:t>
      </w:r>
      <w:r>
        <w:rPr>
          <w:color w:val="231F20"/>
          <w:spacing w:val="4"/>
          <w:sz w:val="24"/>
        </w:rPr>
        <w:t> </w:t>
      </w:r>
      <w:r>
        <w:rPr>
          <w:color w:val="231F20"/>
          <w:sz w:val="24"/>
        </w:rPr>
        <w:t>Nigéria</w:t>
      </w:r>
      <w:r>
        <w:rPr>
          <w:color w:val="231F20"/>
          <w:spacing w:val="4"/>
          <w:sz w:val="24"/>
        </w:rPr>
        <w:t> </w:t>
      </w:r>
      <w:r>
        <w:rPr>
          <w:color w:val="231F20"/>
          <w:spacing w:val="-10"/>
          <w:sz w:val="24"/>
        </w:rPr>
        <w:t>:</w:t>
      </w:r>
    </w:p>
    <w:p>
      <w:pPr>
        <w:spacing w:before="0"/>
        <w:ind w:left="755" w:right="106" w:firstLine="0"/>
        <w:jc w:val="both"/>
        <w:rPr>
          <w:sz w:val="24"/>
        </w:rPr>
      </w:pPr>
      <w:r>
        <w:rPr>
          <w:color w:val="231F20"/>
          <w:sz w:val="24"/>
        </w:rPr>
        <w:t>«</w:t>
      </w:r>
      <w:r>
        <w:rPr>
          <w:color w:val="231F20"/>
          <w:spacing w:val="-14"/>
          <w:sz w:val="24"/>
        </w:rPr>
        <w:t> </w:t>
      </w:r>
      <w:r>
        <w:rPr>
          <w:i/>
          <w:color w:val="231F20"/>
          <w:sz w:val="24"/>
        </w:rPr>
        <w:t>avant</w:t>
      </w:r>
      <w:r>
        <w:rPr>
          <w:i/>
          <w:color w:val="231F20"/>
          <w:spacing w:val="-2"/>
          <w:sz w:val="24"/>
        </w:rPr>
        <w:t> </w:t>
      </w:r>
      <w:r>
        <w:rPr>
          <w:i/>
          <w:color w:val="231F20"/>
          <w:sz w:val="24"/>
        </w:rPr>
        <w:t>son</w:t>
      </w:r>
      <w:r>
        <w:rPr>
          <w:i/>
          <w:color w:val="231F20"/>
          <w:spacing w:val="-2"/>
          <w:sz w:val="24"/>
        </w:rPr>
        <w:t> </w:t>
      </w:r>
      <w:r>
        <w:rPr>
          <w:i/>
          <w:color w:val="231F20"/>
          <w:sz w:val="24"/>
        </w:rPr>
        <w:t>entrée</w:t>
      </w:r>
      <w:r>
        <w:rPr>
          <w:i/>
          <w:color w:val="231F20"/>
          <w:spacing w:val="-2"/>
          <w:sz w:val="24"/>
        </w:rPr>
        <w:t> </w:t>
      </w:r>
      <w:r>
        <w:rPr>
          <w:i/>
          <w:color w:val="231F20"/>
          <w:sz w:val="24"/>
        </w:rPr>
        <w:t>dans</w:t>
      </w:r>
      <w:r>
        <w:rPr>
          <w:i/>
          <w:color w:val="231F20"/>
          <w:spacing w:val="-2"/>
          <w:sz w:val="24"/>
        </w:rPr>
        <w:t> </w:t>
      </w:r>
      <w:r>
        <w:rPr>
          <w:i/>
          <w:color w:val="231F20"/>
          <w:sz w:val="24"/>
        </w:rPr>
        <w:t>la</w:t>
      </w:r>
      <w:r>
        <w:rPr>
          <w:i/>
          <w:color w:val="231F20"/>
          <w:spacing w:val="-2"/>
          <w:sz w:val="24"/>
        </w:rPr>
        <w:t> </w:t>
      </w:r>
      <w:r>
        <w:rPr>
          <w:i/>
          <w:color w:val="231F20"/>
          <w:sz w:val="24"/>
        </w:rPr>
        <w:t>zone,</w:t>
      </w:r>
      <w:r>
        <w:rPr>
          <w:i/>
          <w:color w:val="231F20"/>
          <w:spacing w:val="-5"/>
          <w:sz w:val="24"/>
        </w:rPr>
        <w:t> </w:t>
      </w:r>
      <w:r>
        <w:rPr>
          <w:i/>
          <w:color w:val="231F20"/>
          <w:sz w:val="24"/>
        </w:rPr>
        <w:t>une</w:t>
      </w:r>
      <w:r>
        <w:rPr>
          <w:i/>
          <w:color w:val="231F20"/>
          <w:spacing w:val="-6"/>
          <w:sz w:val="24"/>
        </w:rPr>
        <w:t> </w:t>
      </w:r>
      <w:r>
        <w:rPr>
          <w:i/>
          <w:color w:val="231F20"/>
          <w:sz w:val="24"/>
        </w:rPr>
        <w:t>taxe</w:t>
      </w:r>
      <w:r>
        <w:rPr>
          <w:i/>
          <w:color w:val="231F20"/>
          <w:spacing w:val="-2"/>
          <w:sz w:val="24"/>
        </w:rPr>
        <w:t> </w:t>
      </w:r>
      <w:r>
        <w:rPr>
          <w:i/>
          <w:color w:val="231F20"/>
          <w:sz w:val="24"/>
        </w:rPr>
        <w:t>de</w:t>
      </w:r>
      <w:r>
        <w:rPr>
          <w:i/>
          <w:color w:val="231F20"/>
          <w:spacing w:val="-2"/>
          <w:sz w:val="24"/>
        </w:rPr>
        <w:t> </w:t>
      </w:r>
      <w:r>
        <w:rPr>
          <w:i/>
          <w:color w:val="231F20"/>
          <w:sz w:val="24"/>
        </w:rPr>
        <w:t>100</w:t>
      </w:r>
      <w:r>
        <w:rPr>
          <w:i/>
          <w:color w:val="231F20"/>
          <w:spacing w:val="-2"/>
          <w:sz w:val="24"/>
        </w:rPr>
        <w:t> </w:t>
      </w:r>
      <w:r>
        <w:rPr>
          <w:i/>
          <w:color w:val="231F20"/>
          <w:sz w:val="24"/>
        </w:rPr>
        <w:t>FCFA</w:t>
      </w:r>
      <w:r>
        <w:rPr>
          <w:i/>
          <w:color w:val="231F20"/>
          <w:spacing w:val="-2"/>
          <w:sz w:val="24"/>
        </w:rPr>
        <w:t> </w:t>
      </w:r>
      <w:r>
        <w:rPr>
          <w:i/>
          <w:color w:val="231F20"/>
          <w:sz w:val="24"/>
        </w:rPr>
        <w:t>par</w:t>
      </w:r>
      <w:r>
        <w:rPr>
          <w:i/>
          <w:color w:val="231F20"/>
          <w:spacing w:val="-5"/>
          <w:sz w:val="24"/>
        </w:rPr>
        <w:t> </w:t>
      </w:r>
      <w:r>
        <w:rPr>
          <w:i/>
          <w:color w:val="231F20"/>
          <w:sz w:val="24"/>
        </w:rPr>
        <w:t>litre</w:t>
      </w:r>
      <w:r>
        <w:rPr>
          <w:i/>
          <w:color w:val="231F20"/>
          <w:sz w:val="24"/>
        </w:rPr>
        <w:t> </w:t>
      </w:r>
      <w:r>
        <w:rPr>
          <w:i/>
          <w:color w:val="231F20"/>
          <w:spacing w:val="-4"/>
          <w:sz w:val="24"/>
        </w:rPr>
        <w:t>est</w:t>
      </w:r>
      <w:r>
        <w:rPr>
          <w:i/>
          <w:color w:val="231F20"/>
          <w:spacing w:val="-8"/>
          <w:sz w:val="24"/>
        </w:rPr>
        <w:t> </w:t>
      </w:r>
      <w:r>
        <w:rPr>
          <w:i/>
          <w:color w:val="231F20"/>
          <w:spacing w:val="-4"/>
          <w:sz w:val="24"/>
        </w:rPr>
        <w:t>prélevée.</w:t>
      </w:r>
      <w:r>
        <w:rPr>
          <w:i/>
          <w:color w:val="231F20"/>
          <w:spacing w:val="-10"/>
          <w:sz w:val="24"/>
        </w:rPr>
        <w:t> </w:t>
      </w:r>
      <w:r>
        <w:rPr>
          <w:i/>
          <w:color w:val="231F20"/>
          <w:spacing w:val="-4"/>
          <w:sz w:val="24"/>
        </w:rPr>
        <w:t>Aux</w:t>
      </w:r>
      <w:r>
        <w:rPr>
          <w:i/>
          <w:color w:val="231F20"/>
          <w:spacing w:val="-10"/>
          <w:sz w:val="24"/>
        </w:rPr>
        <w:t> </w:t>
      </w:r>
      <w:r>
        <w:rPr>
          <w:i/>
          <w:color w:val="231F20"/>
          <w:spacing w:val="-4"/>
          <w:sz w:val="24"/>
        </w:rPr>
        <w:t>premières</w:t>
      </w:r>
      <w:r>
        <w:rPr>
          <w:i/>
          <w:color w:val="231F20"/>
          <w:spacing w:val="-8"/>
          <w:sz w:val="24"/>
        </w:rPr>
        <w:t> </w:t>
      </w:r>
      <w:r>
        <w:rPr>
          <w:i/>
          <w:color w:val="231F20"/>
          <w:spacing w:val="-4"/>
          <w:sz w:val="24"/>
        </w:rPr>
        <w:t>heures</w:t>
      </w:r>
      <w:r>
        <w:rPr>
          <w:i/>
          <w:color w:val="231F20"/>
          <w:spacing w:val="-7"/>
          <w:sz w:val="24"/>
        </w:rPr>
        <w:t> </w:t>
      </w:r>
      <w:r>
        <w:rPr>
          <w:i/>
          <w:color w:val="231F20"/>
          <w:spacing w:val="-4"/>
          <w:sz w:val="24"/>
        </w:rPr>
        <w:t>de</w:t>
      </w:r>
      <w:r>
        <w:rPr>
          <w:i/>
          <w:color w:val="231F20"/>
          <w:spacing w:val="-11"/>
          <w:sz w:val="24"/>
        </w:rPr>
        <w:t> </w:t>
      </w:r>
      <w:r>
        <w:rPr>
          <w:i/>
          <w:color w:val="231F20"/>
          <w:spacing w:val="-4"/>
          <w:sz w:val="24"/>
        </w:rPr>
        <w:t>la</w:t>
      </w:r>
      <w:r>
        <w:rPr>
          <w:i/>
          <w:color w:val="231F20"/>
          <w:spacing w:val="-8"/>
          <w:sz w:val="24"/>
        </w:rPr>
        <w:t> </w:t>
      </w:r>
      <w:r>
        <w:rPr>
          <w:i/>
          <w:color w:val="231F20"/>
          <w:spacing w:val="-4"/>
          <w:sz w:val="24"/>
        </w:rPr>
        <w:t>crise,</w:t>
      </w:r>
      <w:r>
        <w:rPr>
          <w:i/>
          <w:color w:val="231F20"/>
          <w:spacing w:val="-10"/>
          <w:sz w:val="24"/>
        </w:rPr>
        <w:t> </w:t>
      </w:r>
      <w:r>
        <w:rPr>
          <w:i/>
          <w:color w:val="231F20"/>
          <w:spacing w:val="-4"/>
          <w:sz w:val="24"/>
        </w:rPr>
        <w:t>17</w:t>
      </w:r>
      <w:r>
        <w:rPr>
          <w:i/>
          <w:color w:val="231F20"/>
          <w:sz w:val="24"/>
        </w:rPr>
        <w:t> </w:t>
      </w:r>
      <w:r>
        <w:rPr>
          <w:i/>
          <w:color w:val="231F20"/>
          <w:spacing w:val="-4"/>
          <w:sz w:val="24"/>
        </w:rPr>
        <w:t>millions</w:t>
      </w:r>
      <w:r>
        <w:rPr>
          <w:i/>
          <w:color w:val="231F20"/>
          <w:spacing w:val="-10"/>
          <w:sz w:val="24"/>
        </w:rPr>
        <w:t> </w:t>
      </w:r>
      <w:r>
        <w:rPr>
          <w:i/>
          <w:color w:val="231F20"/>
          <w:spacing w:val="-4"/>
          <w:sz w:val="24"/>
        </w:rPr>
        <w:t>de</w:t>
      </w:r>
      <w:r>
        <w:rPr>
          <w:i/>
          <w:color w:val="231F20"/>
          <w:spacing w:val="-8"/>
          <w:sz w:val="24"/>
        </w:rPr>
        <w:t> </w:t>
      </w:r>
      <w:r>
        <w:rPr>
          <w:i/>
          <w:color w:val="231F20"/>
          <w:spacing w:val="-4"/>
          <w:sz w:val="24"/>
        </w:rPr>
        <w:t>litres </w:t>
      </w:r>
      <w:r>
        <w:rPr>
          <w:i/>
          <w:color w:val="231F20"/>
          <w:spacing w:val="-2"/>
          <w:sz w:val="24"/>
        </w:rPr>
        <w:t>de</w:t>
      </w:r>
      <w:r>
        <w:rPr>
          <w:i/>
          <w:color w:val="231F20"/>
          <w:spacing w:val="-13"/>
          <w:sz w:val="24"/>
        </w:rPr>
        <w:t> </w:t>
      </w:r>
      <w:r>
        <w:rPr>
          <w:i/>
          <w:color w:val="231F20"/>
          <w:spacing w:val="-2"/>
          <w:sz w:val="24"/>
        </w:rPr>
        <w:t>carburant</w:t>
      </w:r>
      <w:r>
        <w:rPr>
          <w:i/>
          <w:color w:val="231F20"/>
          <w:spacing w:val="-13"/>
          <w:sz w:val="24"/>
        </w:rPr>
        <w:t> </w:t>
      </w:r>
      <w:r>
        <w:rPr>
          <w:i/>
          <w:color w:val="231F20"/>
          <w:spacing w:val="-2"/>
          <w:sz w:val="24"/>
        </w:rPr>
        <w:t>ont</w:t>
      </w:r>
      <w:r>
        <w:rPr>
          <w:i/>
          <w:color w:val="231F20"/>
          <w:spacing w:val="-13"/>
          <w:sz w:val="24"/>
        </w:rPr>
        <w:t> </w:t>
      </w:r>
      <w:r>
        <w:rPr>
          <w:i/>
          <w:color w:val="231F20"/>
          <w:spacing w:val="-2"/>
          <w:sz w:val="24"/>
        </w:rPr>
        <w:t>ainsi</w:t>
      </w:r>
      <w:r>
        <w:rPr>
          <w:i/>
          <w:color w:val="231F20"/>
          <w:spacing w:val="-13"/>
          <w:sz w:val="24"/>
        </w:rPr>
        <w:t> </w:t>
      </w:r>
      <w:r>
        <w:rPr>
          <w:i/>
          <w:color w:val="231F20"/>
          <w:spacing w:val="-2"/>
          <w:sz w:val="24"/>
        </w:rPr>
        <w:t>été</w:t>
      </w:r>
      <w:r>
        <w:rPr>
          <w:i/>
          <w:color w:val="231F20"/>
          <w:spacing w:val="-13"/>
          <w:sz w:val="24"/>
        </w:rPr>
        <w:t> </w:t>
      </w:r>
      <w:r>
        <w:rPr>
          <w:i/>
          <w:color w:val="231F20"/>
          <w:spacing w:val="-2"/>
          <w:sz w:val="24"/>
        </w:rPr>
        <w:t>écoulés</w:t>
      </w:r>
      <w:r>
        <w:rPr>
          <w:i/>
          <w:color w:val="231F20"/>
          <w:spacing w:val="-13"/>
          <w:sz w:val="24"/>
        </w:rPr>
        <w:t> </w:t>
      </w:r>
      <w:r>
        <w:rPr>
          <w:i/>
          <w:color w:val="231F20"/>
          <w:spacing w:val="-2"/>
          <w:sz w:val="24"/>
        </w:rPr>
        <w:t>à</w:t>
      </w:r>
      <w:r>
        <w:rPr>
          <w:i/>
          <w:color w:val="231F20"/>
          <w:spacing w:val="-13"/>
          <w:sz w:val="24"/>
        </w:rPr>
        <w:t> </w:t>
      </w:r>
      <w:r>
        <w:rPr>
          <w:i/>
          <w:color w:val="231F20"/>
          <w:spacing w:val="-2"/>
          <w:sz w:val="24"/>
        </w:rPr>
        <w:t>travers</w:t>
      </w:r>
      <w:r>
        <w:rPr>
          <w:i/>
          <w:color w:val="231F20"/>
          <w:spacing w:val="-13"/>
          <w:sz w:val="24"/>
        </w:rPr>
        <w:t> </w:t>
      </w:r>
      <w:r>
        <w:rPr>
          <w:i/>
          <w:color w:val="231F20"/>
          <w:spacing w:val="-2"/>
          <w:sz w:val="24"/>
        </w:rPr>
        <w:t>les</w:t>
      </w:r>
      <w:r>
        <w:rPr>
          <w:i/>
          <w:color w:val="231F20"/>
          <w:spacing w:val="-13"/>
          <w:sz w:val="24"/>
        </w:rPr>
        <w:t> </w:t>
      </w:r>
      <w:r>
        <w:rPr>
          <w:i/>
          <w:color w:val="231F20"/>
          <w:spacing w:val="-2"/>
          <w:sz w:val="24"/>
        </w:rPr>
        <w:t>différentes</w:t>
      </w:r>
      <w:r>
        <w:rPr>
          <w:i/>
          <w:color w:val="231F20"/>
          <w:spacing w:val="-13"/>
          <w:sz w:val="24"/>
        </w:rPr>
        <w:t> </w:t>
      </w:r>
      <w:r>
        <w:rPr>
          <w:i/>
          <w:color w:val="231F20"/>
          <w:spacing w:val="-2"/>
          <w:sz w:val="24"/>
        </w:rPr>
        <w:t>stations </w:t>
      </w:r>
      <w:r>
        <w:rPr>
          <w:i/>
          <w:color w:val="231F20"/>
          <w:sz w:val="24"/>
        </w:rPr>
        <w:t>d’essence, propriété des chefs rebelles(…)</w:t>
      </w:r>
      <w:r>
        <w:rPr>
          <w:color w:val="76787A"/>
          <w:sz w:val="24"/>
          <w:vertAlign w:val="superscript"/>
        </w:rPr>
        <w:t>194</w:t>
      </w:r>
    </w:p>
    <w:p>
      <w:pPr>
        <w:pStyle w:val="ListParagraph"/>
        <w:numPr>
          <w:ilvl w:val="0"/>
          <w:numId w:val="4"/>
        </w:numPr>
        <w:tabs>
          <w:tab w:pos="754" w:val="left" w:leader="none"/>
        </w:tabs>
        <w:spacing w:line="240" w:lineRule="auto" w:before="121" w:after="0"/>
        <w:ind w:left="754" w:right="0" w:hanging="359"/>
        <w:jc w:val="both"/>
        <w:rPr>
          <w:i/>
          <w:sz w:val="24"/>
        </w:rPr>
      </w:pPr>
      <w:r>
        <w:rPr>
          <w:color w:val="231F20"/>
          <w:sz w:val="24"/>
        </w:rPr>
        <w:t>Au</w:t>
      </w:r>
      <w:r>
        <w:rPr>
          <w:color w:val="231F20"/>
          <w:spacing w:val="-15"/>
          <w:sz w:val="24"/>
        </w:rPr>
        <w:t> </w:t>
      </w:r>
      <w:r>
        <w:rPr>
          <w:color w:val="231F20"/>
          <w:sz w:val="24"/>
        </w:rPr>
        <w:t>niveau</w:t>
      </w:r>
      <w:r>
        <w:rPr>
          <w:color w:val="231F20"/>
          <w:spacing w:val="-14"/>
          <w:sz w:val="24"/>
        </w:rPr>
        <w:t> </w:t>
      </w:r>
      <w:r>
        <w:rPr>
          <w:color w:val="231F20"/>
          <w:sz w:val="24"/>
        </w:rPr>
        <w:t>du</w:t>
      </w:r>
      <w:r>
        <w:rPr>
          <w:color w:val="231F20"/>
          <w:spacing w:val="-15"/>
          <w:sz w:val="24"/>
        </w:rPr>
        <w:t> </w:t>
      </w:r>
      <w:r>
        <w:rPr>
          <w:color w:val="231F20"/>
          <w:sz w:val="24"/>
        </w:rPr>
        <w:t>coton</w:t>
      </w:r>
      <w:r>
        <w:rPr>
          <w:color w:val="231F20"/>
          <w:spacing w:val="-14"/>
          <w:sz w:val="24"/>
        </w:rPr>
        <w:t> </w:t>
      </w:r>
      <w:r>
        <w:rPr>
          <w:color w:val="231F20"/>
          <w:sz w:val="24"/>
        </w:rPr>
        <w:t>dont</w:t>
      </w:r>
      <w:r>
        <w:rPr>
          <w:color w:val="231F20"/>
          <w:spacing w:val="-15"/>
          <w:sz w:val="24"/>
        </w:rPr>
        <w:t> </w:t>
      </w:r>
      <w:r>
        <w:rPr>
          <w:color w:val="231F20"/>
          <w:sz w:val="24"/>
        </w:rPr>
        <w:t>le</w:t>
      </w:r>
      <w:r>
        <w:rPr>
          <w:color w:val="231F20"/>
          <w:spacing w:val="-13"/>
          <w:sz w:val="24"/>
        </w:rPr>
        <w:t> </w:t>
      </w:r>
      <w:r>
        <w:rPr>
          <w:color w:val="231F20"/>
          <w:sz w:val="24"/>
        </w:rPr>
        <w:t>Nord</w:t>
      </w:r>
      <w:r>
        <w:rPr>
          <w:color w:val="231F20"/>
          <w:spacing w:val="-13"/>
          <w:sz w:val="24"/>
        </w:rPr>
        <w:t> </w:t>
      </w:r>
      <w:r>
        <w:rPr>
          <w:color w:val="231F20"/>
          <w:sz w:val="24"/>
        </w:rPr>
        <w:t>est</w:t>
      </w:r>
      <w:r>
        <w:rPr>
          <w:color w:val="231F20"/>
          <w:spacing w:val="-13"/>
          <w:sz w:val="24"/>
        </w:rPr>
        <w:t> </w:t>
      </w:r>
      <w:r>
        <w:rPr>
          <w:color w:val="231F20"/>
          <w:sz w:val="24"/>
        </w:rPr>
        <w:t>la</w:t>
      </w:r>
      <w:r>
        <w:rPr>
          <w:color w:val="231F20"/>
          <w:spacing w:val="-13"/>
          <w:sz w:val="24"/>
        </w:rPr>
        <w:t> </w:t>
      </w:r>
      <w:r>
        <w:rPr>
          <w:color w:val="231F20"/>
          <w:sz w:val="24"/>
        </w:rPr>
        <w:t>zone</w:t>
      </w:r>
      <w:r>
        <w:rPr>
          <w:color w:val="231F20"/>
          <w:spacing w:val="-13"/>
          <w:sz w:val="24"/>
        </w:rPr>
        <w:t> </w:t>
      </w:r>
      <w:r>
        <w:rPr>
          <w:color w:val="231F20"/>
          <w:sz w:val="24"/>
        </w:rPr>
        <w:t>productrice</w:t>
      </w:r>
      <w:r>
        <w:rPr>
          <w:color w:val="231F20"/>
          <w:spacing w:val="-14"/>
          <w:sz w:val="24"/>
        </w:rPr>
        <w:t> </w:t>
      </w:r>
      <w:r>
        <w:rPr>
          <w:color w:val="231F20"/>
          <w:sz w:val="24"/>
        </w:rPr>
        <w:t>du</w:t>
      </w:r>
      <w:r>
        <w:rPr>
          <w:color w:val="231F20"/>
          <w:spacing w:val="-14"/>
          <w:sz w:val="24"/>
        </w:rPr>
        <w:t> </w:t>
      </w:r>
      <w:r>
        <w:rPr>
          <w:color w:val="231F20"/>
          <w:sz w:val="24"/>
        </w:rPr>
        <w:t>pays</w:t>
      </w:r>
      <w:r>
        <w:rPr>
          <w:color w:val="231F20"/>
          <w:spacing w:val="-15"/>
          <w:sz w:val="24"/>
        </w:rPr>
        <w:t> </w:t>
      </w:r>
      <w:r>
        <w:rPr>
          <w:i/>
          <w:color w:val="231F20"/>
          <w:spacing w:val="-10"/>
          <w:sz w:val="24"/>
        </w:rPr>
        <w:t>:</w:t>
      </w:r>
    </w:p>
    <w:p>
      <w:pPr>
        <w:spacing w:before="0"/>
        <w:ind w:left="755" w:right="104" w:firstLine="0"/>
        <w:jc w:val="both"/>
        <w:rPr>
          <w:i/>
          <w:sz w:val="24"/>
        </w:rPr>
      </w:pPr>
      <w:r>
        <w:rPr>
          <w:i/>
          <w:color w:val="231F20"/>
          <w:sz w:val="24"/>
        </w:rPr>
        <w:t>«</w:t>
      </w:r>
      <w:r>
        <w:rPr>
          <w:i/>
          <w:color w:val="231F20"/>
          <w:spacing w:val="-13"/>
          <w:sz w:val="24"/>
        </w:rPr>
        <w:t> </w:t>
      </w:r>
      <w:r>
        <w:rPr>
          <w:i/>
          <w:color w:val="231F20"/>
          <w:sz w:val="24"/>
        </w:rPr>
        <w:t>son transfert de la zone rebelle à Abidjan revient à environ</w:t>
      </w:r>
      <w:r>
        <w:rPr>
          <w:i/>
          <w:color w:val="231F20"/>
          <w:sz w:val="24"/>
        </w:rPr>
        <w:t> 200</w:t>
      </w:r>
      <w:r>
        <w:rPr>
          <w:i/>
          <w:color w:val="231F20"/>
          <w:spacing w:val="-12"/>
          <w:sz w:val="24"/>
        </w:rPr>
        <w:t> </w:t>
      </w:r>
      <w:r>
        <w:rPr>
          <w:i/>
          <w:color w:val="231F20"/>
          <w:sz w:val="24"/>
        </w:rPr>
        <w:t>000 FCFA le camion de 35</w:t>
      </w:r>
      <w:r>
        <w:rPr>
          <w:i/>
          <w:color w:val="231F20"/>
          <w:spacing w:val="-14"/>
          <w:sz w:val="24"/>
        </w:rPr>
        <w:t> </w:t>
      </w:r>
      <w:r>
        <w:rPr>
          <w:i/>
          <w:color w:val="231F20"/>
          <w:sz w:val="24"/>
        </w:rPr>
        <w:t>t, dont 65 000Fcfa versés aux </w:t>
      </w:r>
      <w:r>
        <w:rPr>
          <w:i/>
          <w:color w:val="231F20"/>
          <w:spacing w:val="-2"/>
          <w:sz w:val="24"/>
        </w:rPr>
        <w:t>Forces</w:t>
      </w:r>
      <w:r>
        <w:rPr>
          <w:i/>
          <w:color w:val="231F20"/>
          <w:spacing w:val="-7"/>
          <w:sz w:val="24"/>
        </w:rPr>
        <w:t> </w:t>
      </w:r>
      <w:r>
        <w:rPr>
          <w:i/>
          <w:color w:val="231F20"/>
          <w:spacing w:val="-2"/>
          <w:sz w:val="24"/>
        </w:rPr>
        <w:t>Nouvelles</w:t>
      </w:r>
      <w:r>
        <w:rPr>
          <w:i/>
          <w:color w:val="231F20"/>
          <w:spacing w:val="-7"/>
          <w:sz w:val="24"/>
        </w:rPr>
        <w:t> </w:t>
      </w:r>
      <w:r>
        <w:rPr>
          <w:i/>
          <w:color w:val="231F20"/>
          <w:spacing w:val="-2"/>
          <w:sz w:val="24"/>
        </w:rPr>
        <w:t>(FN)</w:t>
      </w:r>
      <w:r>
        <w:rPr>
          <w:i/>
          <w:color w:val="231F20"/>
          <w:spacing w:val="-9"/>
          <w:sz w:val="24"/>
        </w:rPr>
        <w:t> </w:t>
      </w:r>
      <w:r>
        <w:rPr>
          <w:i/>
          <w:color w:val="231F20"/>
          <w:spacing w:val="-2"/>
          <w:sz w:val="24"/>
        </w:rPr>
        <w:t>pour</w:t>
      </w:r>
      <w:r>
        <w:rPr>
          <w:i/>
          <w:color w:val="231F20"/>
          <w:spacing w:val="-7"/>
          <w:sz w:val="24"/>
        </w:rPr>
        <w:t> </w:t>
      </w:r>
      <w:r>
        <w:rPr>
          <w:i/>
          <w:color w:val="231F20"/>
          <w:spacing w:val="-2"/>
          <w:sz w:val="24"/>
        </w:rPr>
        <w:t>bénéficier</w:t>
      </w:r>
      <w:r>
        <w:rPr>
          <w:i/>
          <w:color w:val="231F20"/>
          <w:spacing w:val="-10"/>
          <w:sz w:val="24"/>
        </w:rPr>
        <w:t> </w:t>
      </w:r>
      <w:r>
        <w:rPr>
          <w:i/>
          <w:color w:val="231F20"/>
          <w:spacing w:val="-2"/>
          <w:sz w:val="24"/>
        </w:rPr>
        <w:t>d’une</w:t>
      </w:r>
      <w:r>
        <w:rPr>
          <w:i/>
          <w:color w:val="231F20"/>
          <w:spacing w:val="-7"/>
          <w:sz w:val="24"/>
        </w:rPr>
        <w:t> </w:t>
      </w:r>
      <w:r>
        <w:rPr>
          <w:i/>
          <w:color w:val="231F20"/>
          <w:spacing w:val="-2"/>
          <w:sz w:val="24"/>
        </w:rPr>
        <w:t>escorte.</w:t>
      </w:r>
      <w:r>
        <w:rPr>
          <w:i/>
          <w:color w:val="231F20"/>
          <w:spacing w:val="-7"/>
          <w:sz w:val="24"/>
        </w:rPr>
        <w:t> </w:t>
      </w:r>
      <w:r>
        <w:rPr>
          <w:i/>
          <w:color w:val="231F20"/>
          <w:spacing w:val="-2"/>
          <w:sz w:val="24"/>
        </w:rPr>
        <w:t>Le</w:t>
      </w:r>
      <w:r>
        <w:rPr>
          <w:i/>
          <w:color w:val="231F20"/>
          <w:spacing w:val="-8"/>
          <w:sz w:val="24"/>
        </w:rPr>
        <w:t> </w:t>
      </w:r>
      <w:r>
        <w:rPr>
          <w:i/>
          <w:color w:val="231F20"/>
          <w:spacing w:val="-2"/>
          <w:sz w:val="24"/>
        </w:rPr>
        <w:t>reste</w:t>
      </w:r>
      <w:r>
        <w:rPr>
          <w:i/>
          <w:color w:val="231F20"/>
          <w:spacing w:val="-7"/>
          <w:sz w:val="24"/>
        </w:rPr>
        <w:t> </w:t>
      </w:r>
      <w:r>
        <w:rPr>
          <w:i/>
          <w:color w:val="231F20"/>
          <w:spacing w:val="-2"/>
          <w:sz w:val="24"/>
        </w:rPr>
        <w:t>est </w:t>
      </w:r>
      <w:r>
        <w:rPr>
          <w:i/>
          <w:color w:val="231F20"/>
          <w:sz w:val="24"/>
        </w:rPr>
        <w:t>distribué</w:t>
      </w:r>
      <w:r>
        <w:rPr>
          <w:i/>
          <w:color w:val="231F20"/>
          <w:spacing w:val="-6"/>
          <w:sz w:val="24"/>
        </w:rPr>
        <w:t> </w:t>
      </w:r>
      <w:r>
        <w:rPr>
          <w:i/>
          <w:color w:val="231F20"/>
          <w:sz w:val="24"/>
        </w:rPr>
        <w:t>aux</w:t>
      </w:r>
      <w:r>
        <w:rPr>
          <w:i/>
          <w:color w:val="231F20"/>
          <w:spacing w:val="-1"/>
          <w:sz w:val="24"/>
        </w:rPr>
        <w:t> </w:t>
      </w:r>
      <w:r>
        <w:rPr>
          <w:i/>
          <w:color w:val="231F20"/>
          <w:sz w:val="24"/>
        </w:rPr>
        <w:t>différents</w:t>
      </w:r>
      <w:r>
        <w:rPr>
          <w:i/>
          <w:color w:val="231F20"/>
          <w:spacing w:val="-15"/>
          <w:sz w:val="24"/>
        </w:rPr>
        <w:t> </w:t>
      </w:r>
      <w:r>
        <w:rPr>
          <w:color w:val="231F20"/>
          <w:sz w:val="24"/>
        </w:rPr>
        <w:t>check</w:t>
      </w:r>
      <w:r>
        <w:rPr>
          <w:color w:val="231F20"/>
          <w:spacing w:val="-1"/>
          <w:sz w:val="24"/>
        </w:rPr>
        <w:t> </w:t>
      </w:r>
      <w:r>
        <w:rPr>
          <w:color w:val="231F20"/>
          <w:sz w:val="24"/>
        </w:rPr>
        <w:t>points</w:t>
      </w:r>
      <w:r>
        <w:rPr>
          <w:color w:val="231F20"/>
          <w:spacing w:val="-15"/>
          <w:sz w:val="24"/>
        </w:rPr>
        <w:t> </w:t>
      </w:r>
      <w:r>
        <w:rPr>
          <w:i/>
          <w:color w:val="231F20"/>
          <w:sz w:val="24"/>
        </w:rPr>
        <w:t>qui</w:t>
      </w:r>
      <w:r>
        <w:rPr>
          <w:i/>
          <w:color w:val="231F20"/>
          <w:spacing w:val="-2"/>
          <w:sz w:val="24"/>
        </w:rPr>
        <w:t> </w:t>
      </w:r>
      <w:r>
        <w:rPr>
          <w:i/>
          <w:color w:val="231F20"/>
          <w:sz w:val="24"/>
        </w:rPr>
        <w:t>jalonnent</w:t>
      </w:r>
      <w:r>
        <w:rPr>
          <w:i/>
          <w:color w:val="231F20"/>
          <w:spacing w:val="-2"/>
          <w:sz w:val="24"/>
        </w:rPr>
        <w:t> </w:t>
      </w:r>
      <w:r>
        <w:rPr>
          <w:i/>
          <w:color w:val="231F20"/>
          <w:sz w:val="24"/>
        </w:rPr>
        <w:t>la</w:t>
      </w:r>
      <w:r>
        <w:rPr>
          <w:i/>
          <w:color w:val="231F20"/>
          <w:spacing w:val="-2"/>
          <w:sz w:val="24"/>
        </w:rPr>
        <w:t> </w:t>
      </w:r>
      <w:r>
        <w:rPr>
          <w:i/>
          <w:color w:val="231F20"/>
          <w:sz w:val="24"/>
        </w:rPr>
        <w:t>route </w:t>
      </w:r>
      <w:r>
        <w:rPr>
          <w:i/>
          <w:color w:val="231F20"/>
          <w:spacing w:val="-2"/>
          <w:sz w:val="24"/>
        </w:rPr>
        <w:t>entre</w:t>
      </w:r>
    </w:p>
    <w:p>
      <w:pPr>
        <w:pStyle w:val="BodyText"/>
        <w:ind w:left="0"/>
        <w:jc w:val="left"/>
        <w:rPr>
          <w:i/>
          <w:sz w:val="20"/>
        </w:rPr>
      </w:pPr>
    </w:p>
    <w:p>
      <w:pPr>
        <w:pStyle w:val="BodyText"/>
        <w:ind w:left="0"/>
        <w:jc w:val="left"/>
        <w:rPr>
          <w:i/>
          <w:sz w:val="20"/>
        </w:rPr>
      </w:pPr>
    </w:p>
    <w:p>
      <w:pPr>
        <w:pStyle w:val="BodyText"/>
        <w:spacing w:before="216"/>
        <w:ind w:left="0"/>
        <w:jc w:val="left"/>
        <w:rPr>
          <w:i/>
          <w:sz w:val="20"/>
        </w:rPr>
      </w:pPr>
      <w:r>
        <w:rPr/>
        <mc:AlternateContent>
          <mc:Choice Requires="wps">
            <w:drawing>
              <wp:anchor distT="0" distB="0" distL="0" distR="0" allowOverlap="1" layoutInCell="1" locked="0" behindDoc="1" simplePos="0" relativeHeight="487647744">
                <wp:simplePos x="0" y="0"/>
                <wp:positionH relativeFrom="page">
                  <wp:posOffset>629907</wp:posOffset>
                </wp:positionH>
                <wp:positionV relativeFrom="paragraph">
                  <wp:posOffset>298633</wp:posOffset>
                </wp:positionV>
                <wp:extent cx="1829435" cy="9525"/>
                <wp:effectExtent l="0" t="0" r="0" b="0"/>
                <wp:wrapTopAndBottom/>
                <wp:docPr id="146" name="Graphic 146"/>
                <wp:cNvGraphicFramePr>
                  <a:graphicFrameLocks/>
                </wp:cNvGraphicFramePr>
                <a:graphic>
                  <a:graphicData uri="http://schemas.microsoft.com/office/word/2010/wordprocessingShape">
                    <wps:wsp>
                      <wps:cNvPr id="146" name="Graphic 14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3.514454pt;width:144.020pt;height:.72pt;mso-position-horizontal-relative:page;mso-position-vertical-relative:paragraph;z-index:-15668736;mso-wrap-distance-left:0;mso-wrap-distance-right:0" id="docshape144" filled="true" fillcolor="#231f20" stroked="false">
                <v:fill type="solid"/>
                <w10:wrap type="topAndBottom"/>
              </v:rect>
            </w:pict>
          </mc:Fallback>
        </mc:AlternateContent>
      </w:r>
    </w:p>
    <w:p>
      <w:pPr>
        <w:spacing w:before="94"/>
        <w:ind w:left="111" w:right="0" w:firstLine="0"/>
        <w:jc w:val="left"/>
        <w:rPr>
          <w:sz w:val="20"/>
        </w:rPr>
      </w:pPr>
      <w:r>
        <w:rPr>
          <w:color w:val="76787A"/>
          <w:sz w:val="20"/>
          <w:vertAlign w:val="superscript"/>
        </w:rPr>
        <w:t>194</w:t>
      </w:r>
      <w:r>
        <w:rPr>
          <w:color w:val="76787A"/>
          <w:spacing w:val="-10"/>
          <w:sz w:val="20"/>
          <w:vertAlign w:val="baseline"/>
        </w:rPr>
        <w:t> </w:t>
      </w:r>
      <w:r>
        <w:rPr>
          <w:color w:val="231F20"/>
          <w:sz w:val="20"/>
          <w:vertAlign w:val="baseline"/>
        </w:rPr>
        <w:t>Extrait</w:t>
      </w:r>
      <w:r>
        <w:rPr>
          <w:color w:val="231F20"/>
          <w:spacing w:val="-12"/>
          <w:sz w:val="20"/>
          <w:vertAlign w:val="baseline"/>
        </w:rPr>
        <w:t> </w:t>
      </w:r>
      <w:r>
        <w:rPr>
          <w:color w:val="231F20"/>
          <w:sz w:val="20"/>
          <w:vertAlign w:val="baseline"/>
        </w:rPr>
        <w:t>:</w:t>
      </w:r>
      <w:r>
        <w:rPr>
          <w:color w:val="231F20"/>
          <w:spacing w:val="8"/>
          <w:sz w:val="20"/>
          <w:vertAlign w:val="baseline"/>
        </w:rPr>
        <w:t> </w:t>
      </w:r>
      <w:r>
        <w:rPr>
          <w:color w:val="231F20"/>
          <w:sz w:val="20"/>
          <w:vertAlign w:val="baseline"/>
        </w:rPr>
        <w:t>Les</w:t>
      </w:r>
      <w:r>
        <w:rPr>
          <w:color w:val="231F20"/>
          <w:spacing w:val="8"/>
          <w:sz w:val="20"/>
          <w:vertAlign w:val="baseline"/>
        </w:rPr>
        <w:t> </w:t>
      </w:r>
      <w:r>
        <w:rPr>
          <w:color w:val="231F20"/>
          <w:sz w:val="20"/>
          <w:vertAlign w:val="baseline"/>
        </w:rPr>
        <w:t>frontières</w:t>
      </w:r>
      <w:r>
        <w:rPr>
          <w:color w:val="231F20"/>
          <w:spacing w:val="9"/>
          <w:sz w:val="20"/>
          <w:vertAlign w:val="baseline"/>
        </w:rPr>
        <w:t> </w:t>
      </w:r>
      <w:r>
        <w:rPr>
          <w:color w:val="231F20"/>
          <w:sz w:val="20"/>
          <w:vertAlign w:val="baseline"/>
        </w:rPr>
        <w:t>nord</w:t>
      </w:r>
      <w:r>
        <w:rPr>
          <w:color w:val="231F20"/>
          <w:spacing w:val="7"/>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la</w:t>
      </w:r>
      <w:r>
        <w:rPr>
          <w:color w:val="231F20"/>
          <w:spacing w:val="8"/>
          <w:sz w:val="20"/>
          <w:vertAlign w:val="baseline"/>
        </w:rPr>
        <w:t> </w:t>
      </w:r>
      <w:r>
        <w:rPr>
          <w:color w:val="231F20"/>
          <w:sz w:val="20"/>
          <w:vertAlign w:val="baseline"/>
        </w:rPr>
        <w:t>Côte-d’Ivoire</w:t>
      </w:r>
      <w:r>
        <w:rPr>
          <w:color w:val="231F20"/>
          <w:spacing w:val="7"/>
          <w:sz w:val="20"/>
          <w:vertAlign w:val="baseline"/>
        </w:rPr>
        <w:t> </w:t>
      </w:r>
      <w:r>
        <w:rPr>
          <w:color w:val="231F20"/>
          <w:sz w:val="20"/>
          <w:vertAlign w:val="baseline"/>
        </w:rPr>
        <w:t>dans</w:t>
      </w:r>
      <w:r>
        <w:rPr>
          <w:color w:val="231F20"/>
          <w:spacing w:val="6"/>
          <w:sz w:val="20"/>
          <w:vertAlign w:val="baseline"/>
        </w:rPr>
        <w:t> </w:t>
      </w:r>
      <w:r>
        <w:rPr>
          <w:color w:val="231F20"/>
          <w:sz w:val="20"/>
          <w:vertAlign w:val="baseline"/>
        </w:rPr>
        <w:t>un</w:t>
      </w:r>
      <w:r>
        <w:rPr>
          <w:color w:val="231F20"/>
          <w:spacing w:val="10"/>
          <w:sz w:val="20"/>
          <w:vertAlign w:val="baseline"/>
        </w:rPr>
        <w:t> </w:t>
      </w:r>
      <w:r>
        <w:rPr>
          <w:color w:val="231F20"/>
          <w:sz w:val="20"/>
          <w:vertAlign w:val="baseline"/>
        </w:rPr>
        <w:t>contexte</w:t>
      </w:r>
      <w:r>
        <w:rPr>
          <w:color w:val="231F20"/>
          <w:spacing w:val="7"/>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crise.</w:t>
      </w:r>
      <w:r>
        <w:rPr>
          <w:color w:val="231F20"/>
          <w:spacing w:val="9"/>
          <w:sz w:val="20"/>
          <w:vertAlign w:val="baseline"/>
        </w:rPr>
        <w:t> </w:t>
      </w:r>
      <w:r>
        <w:rPr>
          <w:color w:val="231F20"/>
          <w:spacing w:val="-2"/>
          <w:sz w:val="20"/>
          <w:vertAlign w:val="baseline"/>
        </w:rPr>
        <w:t>Dabié</w:t>
      </w:r>
    </w:p>
    <w:p>
      <w:pPr>
        <w:spacing w:before="0"/>
        <w:ind w:left="111" w:right="0" w:firstLine="0"/>
        <w:jc w:val="left"/>
        <w:rPr>
          <w:sz w:val="20"/>
        </w:rPr>
      </w:pPr>
      <w:r>
        <w:rPr>
          <w:color w:val="231F20"/>
          <w:spacing w:val="-4"/>
          <w:sz w:val="20"/>
        </w:rPr>
        <w:t>Désiré</w:t>
      </w:r>
      <w:r>
        <w:rPr>
          <w:color w:val="231F20"/>
          <w:sz w:val="20"/>
        </w:rPr>
        <w:t> </w:t>
      </w:r>
      <w:r>
        <w:rPr>
          <w:color w:val="231F20"/>
          <w:spacing w:val="-4"/>
          <w:sz w:val="20"/>
        </w:rPr>
        <w:t>Axel</w:t>
      </w:r>
      <w:r>
        <w:rPr>
          <w:color w:val="231F20"/>
          <w:spacing w:val="-3"/>
          <w:sz w:val="20"/>
        </w:rPr>
        <w:t> </w:t>
      </w:r>
      <w:r>
        <w:rPr>
          <w:color w:val="231F20"/>
          <w:spacing w:val="-4"/>
          <w:sz w:val="20"/>
        </w:rPr>
        <w:t>Nassa.</w:t>
      </w:r>
    </w:p>
    <w:p>
      <w:pPr>
        <w:spacing w:after="0"/>
        <w:jc w:val="left"/>
        <w:rPr>
          <w:sz w:val="20"/>
        </w:rPr>
        <w:sectPr>
          <w:pgSz w:w="8790" w:h="13610"/>
          <w:pgMar w:header="0" w:footer="802" w:top="1060" w:bottom="1000" w:left="880" w:right="880"/>
        </w:sectPr>
      </w:pPr>
    </w:p>
    <w:p>
      <w:pPr>
        <w:spacing w:before="66"/>
        <w:ind w:left="755" w:right="106" w:firstLine="0"/>
        <w:jc w:val="both"/>
        <w:rPr>
          <w:sz w:val="24"/>
        </w:rPr>
      </w:pPr>
      <w:r>
        <w:rPr>
          <w:i/>
          <w:color w:val="231F20"/>
          <w:sz w:val="24"/>
        </w:rPr>
        <w:t>Bouaké et la capitale économique ivoirienne</w:t>
      </w:r>
      <w:r>
        <w:rPr>
          <w:i/>
          <w:color w:val="231F20"/>
          <w:spacing w:val="-15"/>
          <w:sz w:val="24"/>
        </w:rPr>
        <w:t> </w:t>
      </w:r>
      <w:r>
        <w:rPr>
          <w:i/>
          <w:color w:val="231F20"/>
          <w:sz w:val="24"/>
        </w:rPr>
        <w:t>: les entreprises</w:t>
      </w:r>
      <w:r>
        <w:rPr>
          <w:i/>
          <w:color w:val="231F20"/>
          <w:sz w:val="24"/>
        </w:rPr>
        <w:t> versent</w:t>
      </w:r>
      <w:r>
        <w:rPr>
          <w:i/>
          <w:color w:val="231F20"/>
          <w:spacing w:val="-2"/>
          <w:sz w:val="24"/>
        </w:rPr>
        <w:t> </w:t>
      </w:r>
      <w:r>
        <w:rPr>
          <w:i/>
          <w:color w:val="231F20"/>
          <w:sz w:val="24"/>
        </w:rPr>
        <w:t>des</w:t>
      </w:r>
      <w:r>
        <w:rPr>
          <w:i/>
          <w:color w:val="231F20"/>
          <w:spacing w:val="-2"/>
          <w:sz w:val="24"/>
        </w:rPr>
        <w:t> </w:t>
      </w:r>
      <w:r>
        <w:rPr>
          <w:i/>
          <w:color w:val="231F20"/>
          <w:sz w:val="24"/>
        </w:rPr>
        <w:t>contributions</w:t>
      </w:r>
      <w:r>
        <w:rPr>
          <w:i/>
          <w:color w:val="231F20"/>
          <w:spacing w:val="-5"/>
          <w:sz w:val="24"/>
        </w:rPr>
        <w:t> </w:t>
      </w:r>
      <w:r>
        <w:rPr>
          <w:i/>
          <w:color w:val="231F20"/>
          <w:sz w:val="24"/>
        </w:rPr>
        <w:t>en</w:t>
      </w:r>
      <w:r>
        <w:rPr>
          <w:i/>
          <w:color w:val="231F20"/>
          <w:spacing w:val="-2"/>
          <w:sz w:val="24"/>
        </w:rPr>
        <w:t> </w:t>
      </w:r>
      <w:r>
        <w:rPr>
          <w:i/>
          <w:color w:val="231F20"/>
          <w:sz w:val="24"/>
        </w:rPr>
        <w:t>échange</w:t>
      </w:r>
      <w:r>
        <w:rPr>
          <w:i/>
          <w:color w:val="231F20"/>
          <w:spacing w:val="-2"/>
          <w:sz w:val="24"/>
        </w:rPr>
        <w:t> </w:t>
      </w:r>
      <w:r>
        <w:rPr>
          <w:i/>
          <w:color w:val="231F20"/>
          <w:sz w:val="24"/>
        </w:rPr>
        <w:t>de</w:t>
      </w:r>
      <w:r>
        <w:rPr>
          <w:i/>
          <w:color w:val="231F20"/>
          <w:spacing w:val="-6"/>
          <w:sz w:val="24"/>
        </w:rPr>
        <w:t> </w:t>
      </w:r>
      <w:r>
        <w:rPr>
          <w:i/>
          <w:color w:val="231F20"/>
          <w:sz w:val="24"/>
        </w:rPr>
        <w:t>leur</w:t>
      </w:r>
      <w:r>
        <w:rPr>
          <w:i/>
          <w:color w:val="231F20"/>
          <w:spacing w:val="-5"/>
          <w:sz w:val="24"/>
        </w:rPr>
        <w:t> </w:t>
      </w:r>
      <w:r>
        <w:rPr>
          <w:i/>
          <w:color w:val="231F20"/>
          <w:sz w:val="24"/>
        </w:rPr>
        <w:t>sécurité(…)</w:t>
      </w:r>
      <w:r>
        <w:rPr>
          <w:color w:val="76787A"/>
          <w:sz w:val="24"/>
          <w:vertAlign w:val="superscript"/>
        </w:rPr>
        <w:t>195</w:t>
      </w:r>
    </w:p>
    <w:p>
      <w:pPr>
        <w:pStyle w:val="ListParagraph"/>
        <w:numPr>
          <w:ilvl w:val="0"/>
          <w:numId w:val="4"/>
        </w:numPr>
        <w:tabs>
          <w:tab w:pos="755" w:val="left" w:leader="none"/>
        </w:tabs>
        <w:spacing w:line="240" w:lineRule="auto" w:before="120" w:after="0"/>
        <w:ind w:left="755" w:right="105" w:hanging="360"/>
        <w:jc w:val="both"/>
        <w:rPr>
          <w:sz w:val="24"/>
        </w:rPr>
      </w:pPr>
      <w:r>
        <w:rPr>
          <w:color w:val="231F20"/>
          <w:spacing w:val="-4"/>
          <w:sz w:val="24"/>
        </w:rPr>
        <w:t>En</w:t>
      </w:r>
      <w:r>
        <w:rPr>
          <w:color w:val="231F20"/>
          <w:spacing w:val="-9"/>
          <w:sz w:val="24"/>
        </w:rPr>
        <w:t> </w:t>
      </w:r>
      <w:r>
        <w:rPr>
          <w:color w:val="231F20"/>
          <w:spacing w:val="-4"/>
          <w:sz w:val="24"/>
        </w:rPr>
        <w:t>ce</w:t>
      </w:r>
      <w:r>
        <w:rPr>
          <w:color w:val="231F20"/>
          <w:spacing w:val="-8"/>
          <w:sz w:val="24"/>
        </w:rPr>
        <w:t> </w:t>
      </w:r>
      <w:r>
        <w:rPr>
          <w:color w:val="231F20"/>
          <w:spacing w:val="-4"/>
          <w:sz w:val="24"/>
        </w:rPr>
        <w:t>qui</w:t>
      </w:r>
      <w:r>
        <w:rPr>
          <w:color w:val="231F20"/>
          <w:spacing w:val="-8"/>
          <w:sz w:val="24"/>
        </w:rPr>
        <w:t> </w:t>
      </w:r>
      <w:r>
        <w:rPr>
          <w:color w:val="231F20"/>
          <w:spacing w:val="-4"/>
          <w:sz w:val="24"/>
        </w:rPr>
        <w:t>concerne</w:t>
      </w:r>
      <w:r>
        <w:rPr>
          <w:color w:val="231F20"/>
          <w:spacing w:val="-11"/>
          <w:sz w:val="24"/>
        </w:rPr>
        <w:t> </w:t>
      </w:r>
      <w:r>
        <w:rPr>
          <w:color w:val="231F20"/>
          <w:spacing w:val="-4"/>
          <w:sz w:val="24"/>
        </w:rPr>
        <w:t>le</w:t>
      </w:r>
      <w:r>
        <w:rPr>
          <w:color w:val="231F20"/>
          <w:spacing w:val="-8"/>
          <w:sz w:val="24"/>
        </w:rPr>
        <w:t> </w:t>
      </w:r>
      <w:r>
        <w:rPr>
          <w:color w:val="231F20"/>
          <w:spacing w:val="-4"/>
          <w:sz w:val="24"/>
        </w:rPr>
        <w:t>cacao</w:t>
      </w:r>
      <w:r>
        <w:rPr>
          <w:color w:val="231F20"/>
          <w:spacing w:val="-8"/>
          <w:sz w:val="24"/>
        </w:rPr>
        <w:t> </w:t>
      </w:r>
      <w:r>
        <w:rPr>
          <w:color w:val="231F20"/>
          <w:spacing w:val="-4"/>
          <w:sz w:val="24"/>
        </w:rPr>
        <w:t>et</w:t>
      </w:r>
      <w:r>
        <w:rPr>
          <w:color w:val="231F20"/>
          <w:spacing w:val="-8"/>
          <w:sz w:val="24"/>
        </w:rPr>
        <w:t> </w:t>
      </w:r>
      <w:r>
        <w:rPr>
          <w:color w:val="231F20"/>
          <w:spacing w:val="-4"/>
          <w:sz w:val="24"/>
        </w:rPr>
        <w:t>le</w:t>
      </w:r>
      <w:r>
        <w:rPr>
          <w:color w:val="231F20"/>
          <w:spacing w:val="-8"/>
          <w:sz w:val="24"/>
        </w:rPr>
        <w:t> </w:t>
      </w:r>
      <w:r>
        <w:rPr>
          <w:color w:val="231F20"/>
          <w:spacing w:val="-4"/>
          <w:sz w:val="24"/>
        </w:rPr>
        <w:t>café</w:t>
      </w:r>
      <w:r>
        <w:rPr>
          <w:color w:val="231F20"/>
          <w:spacing w:val="-11"/>
          <w:sz w:val="24"/>
        </w:rPr>
        <w:t> </w:t>
      </w:r>
      <w:r>
        <w:rPr>
          <w:color w:val="231F20"/>
          <w:spacing w:val="-4"/>
          <w:sz w:val="24"/>
        </w:rPr>
        <w:t>:</w:t>
      </w:r>
      <w:r>
        <w:rPr>
          <w:color w:val="231F20"/>
          <w:spacing w:val="-10"/>
          <w:sz w:val="24"/>
        </w:rPr>
        <w:t> </w:t>
      </w:r>
      <w:r>
        <w:rPr>
          <w:i/>
          <w:color w:val="231F20"/>
          <w:spacing w:val="-4"/>
          <w:sz w:val="24"/>
        </w:rPr>
        <w:t>de</w:t>
      </w:r>
      <w:r>
        <w:rPr>
          <w:i/>
          <w:color w:val="231F20"/>
          <w:spacing w:val="-8"/>
          <w:sz w:val="24"/>
        </w:rPr>
        <w:t> </w:t>
      </w:r>
      <w:r>
        <w:rPr>
          <w:i/>
          <w:color w:val="231F20"/>
          <w:spacing w:val="-4"/>
          <w:sz w:val="24"/>
        </w:rPr>
        <w:t>nombreux</w:t>
      </w:r>
      <w:r>
        <w:rPr>
          <w:i/>
          <w:color w:val="231F20"/>
          <w:spacing w:val="-11"/>
          <w:sz w:val="24"/>
        </w:rPr>
        <w:t> </w:t>
      </w:r>
      <w:r>
        <w:rPr>
          <w:i/>
          <w:color w:val="231F20"/>
          <w:spacing w:val="-4"/>
          <w:sz w:val="24"/>
        </w:rPr>
        <w:t>acheteurs</w:t>
      </w:r>
      <w:r>
        <w:rPr>
          <w:i/>
          <w:color w:val="231F20"/>
          <w:spacing w:val="-11"/>
          <w:sz w:val="24"/>
        </w:rPr>
        <w:t> </w:t>
      </w:r>
      <w:r>
        <w:rPr>
          <w:i/>
          <w:color w:val="231F20"/>
          <w:spacing w:val="-4"/>
          <w:sz w:val="24"/>
        </w:rPr>
        <w:t>(…)</w:t>
      </w:r>
      <w:r>
        <w:rPr>
          <w:i/>
          <w:color w:val="231F20"/>
          <w:spacing w:val="-4"/>
          <w:sz w:val="24"/>
        </w:rPr>
        <w:t> </w:t>
      </w:r>
      <w:r>
        <w:rPr>
          <w:i/>
          <w:color w:val="231F20"/>
          <w:sz w:val="24"/>
        </w:rPr>
        <w:t>avaient élu domicile à Ouagadougou. C’est de là que des fonds sont remis à des intermédiaires malinké maliens, burkinabé et ivoiriens. Ces derniers prennent contact avec les planteurs </w:t>
      </w:r>
      <w:r>
        <w:rPr>
          <w:i/>
          <w:color w:val="231F20"/>
          <w:spacing w:val="-6"/>
          <w:sz w:val="24"/>
        </w:rPr>
        <w:t>allogènes et allochtones qui ont continué à vivre dans la zone après </w:t>
      </w:r>
      <w:r>
        <w:rPr>
          <w:i/>
          <w:color w:val="231F20"/>
          <w:sz w:val="24"/>
        </w:rPr>
        <w:t>le départ des autochtones guéré du fait de la guerre(…)Dès les premières heures du conflit ivoirien jusqu’en mars</w:t>
      </w:r>
      <w:r>
        <w:rPr>
          <w:i/>
          <w:color w:val="231F20"/>
          <w:spacing w:val="-11"/>
          <w:sz w:val="24"/>
        </w:rPr>
        <w:t> </w:t>
      </w:r>
      <w:r>
        <w:rPr>
          <w:i/>
          <w:color w:val="231F20"/>
          <w:sz w:val="24"/>
        </w:rPr>
        <w:t>2004, 30 camions de 35 à 60</w:t>
      </w:r>
      <w:r>
        <w:rPr>
          <w:i/>
          <w:color w:val="231F20"/>
          <w:spacing w:val="-12"/>
          <w:sz w:val="24"/>
        </w:rPr>
        <w:t> </w:t>
      </w:r>
      <w:r>
        <w:rPr>
          <w:i/>
          <w:color w:val="231F20"/>
          <w:sz w:val="24"/>
        </w:rPr>
        <w:t>t partaient chaque jour du «</w:t>
      </w:r>
      <w:r>
        <w:rPr>
          <w:i/>
          <w:color w:val="231F20"/>
          <w:spacing w:val="-12"/>
          <w:sz w:val="24"/>
        </w:rPr>
        <w:t> </w:t>
      </w:r>
      <w:r>
        <w:rPr>
          <w:i/>
          <w:color w:val="231F20"/>
          <w:sz w:val="24"/>
        </w:rPr>
        <w:t>port sec</w:t>
      </w:r>
      <w:r>
        <w:rPr>
          <w:i/>
          <w:color w:val="231F20"/>
          <w:spacing w:val="-11"/>
          <w:sz w:val="24"/>
        </w:rPr>
        <w:t> </w:t>
      </w:r>
      <w:r>
        <w:rPr>
          <w:i/>
          <w:color w:val="231F20"/>
          <w:sz w:val="24"/>
        </w:rPr>
        <w:t>» de Fengolo pour le Togo(...)</w:t>
      </w:r>
      <w:r>
        <w:rPr>
          <w:color w:val="76787A"/>
          <w:sz w:val="24"/>
          <w:vertAlign w:val="superscript"/>
        </w:rPr>
        <w:t>196</w:t>
      </w:r>
    </w:p>
    <w:p>
      <w:pPr>
        <w:pStyle w:val="ListParagraph"/>
        <w:numPr>
          <w:ilvl w:val="0"/>
          <w:numId w:val="4"/>
        </w:numPr>
        <w:tabs>
          <w:tab w:pos="755" w:val="left" w:leader="none"/>
        </w:tabs>
        <w:spacing w:line="240" w:lineRule="auto" w:before="121" w:after="0"/>
        <w:ind w:left="755" w:right="105" w:hanging="360"/>
        <w:jc w:val="both"/>
        <w:rPr>
          <w:sz w:val="24"/>
        </w:rPr>
      </w:pPr>
      <w:r>
        <w:rPr>
          <w:color w:val="231F20"/>
          <w:sz w:val="24"/>
        </w:rPr>
        <w:t>Les</w:t>
      </w:r>
      <w:r>
        <w:rPr>
          <w:color w:val="231F20"/>
          <w:spacing w:val="-11"/>
          <w:sz w:val="24"/>
        </w:rPr>
        <w:t> </w:t>
      </w:r>
      <w:r>
        <w:rPr>
          <w:color w:val="231F20"/>
          <w:sz w:val="24"/>
        </w:rPr>
        <w:t>produits</w:t>
      </w:r>
      <w:r>
        <w:rPr>
          <w:color w:val="231F20"/>
          <w:spacing w:val="-12"/>
          <w:sz w:val="24"/>
        </w:rPr>
        <w:t> </w:t>
      </w:r>
      <w:r>
        <w:rPr>
          <w:color w:val="231F20"/>
          <w:sz w:val="24"/>
        </w:rPr>
        <w:t>du</w:t>
      </w:r>
      <w:r>
        <w:rPr>
          <w:color w:val="231F20"/>
          <w:spacing w:val="-12"/>
          <w:sz w:val="24"/>
        </w:rPr>
        <w:t> </w:t>
      </w:r>
      <w:r>
        <w:rPr>
          <w:color w:val="231F20"/>
          <w:sz w:val="24"/>
        </w:rPr>
        <w:t>sous-sol</w:t>
      </w:r>
      <w:r>
        <w:rPr>
          <w:color w:val="231F20"/>
          <w:spacing w:val="-12"/>
          <w:sz w:val="24"/>
        </w:rPr>
        <w:t> </w:t>
      </w:r>
      <w:r>
        <w:rPr>
          <w:color w:val="231F20"/>
          <w:sz w:val="24"/>
        </w:rPr>
        <w:t>sont</w:t>
      </w:r>
      <w:r>
        <w:rPr>
          <w:color w:val="231F20"/>
          <w:spacing w:val="-12"/>
          <w:sz w:val="24"/>
        </w:rPr>
        <w:t> </w:t>
      </w:r>
      <w:r>
        <w:rPr>
          <w:color w:val="231F20"/>
          <w:sz w:val="24"/>
        </w:rPr>
        <w:t>aussi</w:t>
      </w:r>
      <w:r>
        <w:rPr>
          <w:color w:val="231F20"/>
          <w:spacing w:val="-12"/>
          <w:sz w:val="24"/>
        </w:rPr>
        <w:t> </w:t>
      </w:r>
      <w:r>
        <w:rPr>
          <w:color w:val="231F20"/>
          <w:sz w:val="24"/>
        </w:rPr>
        <w:t>une</w:t>
      </w:r>
      <w:r>
        <w:rPr>
          <w:color w:val="231F20"/>
          <w:spacing w:val="-13"/>
          <w:sz w:val="24"/>
        </w:rPr>
        <w:t> </w:t>
      </w:r>
      <w:r>
        <w:rPr>
          <w:color w:val="231F20"/>
          <w:sz w:val="24"/>
        </w:rPr>
        <w:t>source</w:t>
      </w:r>
      <w:r>
        <w:rPr>
          <w:color w:val="231F20"/>
          <w:spacing w:val="-12"/>
          <w:sz w:val="24"/>
        </w:rPr>
        <w:t> </w:t>
      </w:r>
      <w:r>
        <w:rPr>
          <w:color w:val="231F20"/>
          <w:sz w:val="24"/>
        </w:rPr>
        <w:t>de</w:t>
      </w:r>
      <w:r>
        <w:rPr>
          <w:color w:val="231F20"/>
          <w:spacing w:val="-13"/>
          <w:sz w:val="24"/>
        </w:rPr>
        <w:t> </w:t>
      </w:r>
      <w:r>
        <w:rPr>
          <w:color w:val="231F20"/>
          <w:sz w:val="24"/>
        </w:rPr>
        <w:t>revenu</w:t>
      </w:r>
      <w:r>
        <w:rPr>
          <w:color w:val="231F20"/>
          <w:spacing w:val="-12"/>
          <w:sz w:val="24"/>
        </w:rPr>
        <w:t> </w:t>
      </w:r>
      <w:r>
        <w:rPr>
          <w:color w:val="231F20"/>
          <w:sz w:val="24"/>
        </w:rPr>
        <w:t>pour</w:t>
      </w:r>
      <w:r>
        <w:rPr>
          <w:color w:val="231F20"/>
          <w:spacing w:val="-13"/>
          <w:sz w:val="24"/>
        </w:rPr>
        <w:t> </w:t>
      </w:r>
      <w:r>
        <w:rPr>
          <w:color w:val="231F20"/>
          <w:sz w:val="24"/>
        </w:rPr>
        <w:t>les rebelles</w:t>
      </w:r>
      <w:r>
        <w:rPr>
          <w:color w:val="231F20"/>
          <w:spacing w:val="-15"/>
          <w:sz w:val="24"/>
        </w:rPr>
        <w:t> </w:t>
      </w:r>
      <w:r>
        <w:rPr>
          <w:color w:val="231F20"/>
          <w:sz w:val="24"/>
        </w:rPr>
        <w:t>:</w:t>
      </w:r>
      <w:r>
        <w:rPr>
          <w:color w:val="231F20"/>
          <w:spacing w:val="-15"/>
          <w:sz w:val="24"/>
        </w:rPr>
        <w:t> </w:t>
      </w:r>
      <w:r>
        <w:rPr>
          <w:color w:val="231F20"/>
          <w:sz w:val="24"/>
        </w:rPr>
        <w:t>«</w:t>
      </w:r>
      <w:r>
        <w:rPr>
          <w:color w:val="231F20"/>
          <w:spacing w:val="-15"/>
          <w:sz w:val="24"/>
        </w:rPr>
        <w:t> </w:t>
      </w:r>
      <w:r>
        <w:rPr>
          <w:i/>
          <w:color w:val="231F20"/>
          <w:sz w:val="24"/>
        </w:rPr>
        <w:t>un</w:t>
      </w:r>
      <w:r>
        <w:rPr>
          <w:i/>
          <w:color w:val="231F20"/>
          <w:spacing w:val="-15"/>
          <w:sz w:val="24"/>
        </w:rPr>
        <w:t> </w:t>
      </w:r>
      <w:r>
        <w:rPr>
          <w:i/>
          <w:color w:val="231F20"/>
          <w:sz w:val="24"/>
        </w:rPr>
        <w:t>vaste</w:t>
      </w:r>
      <w:r>
        <w:rPr>
          <w:i/>
          <w:color w:val="231F20"/>
          <w:spacing w:val="-15"/>
          <w:sz w:val="24"/>
        </w:rPr>
        <w:t> </w:t>
      </w:r>
      <w:r>
        <w:rPr>
          <w:i/>
          <w:color w:val="231F20"/>
          <w:sz w:val="24"/>
        </w:rPr>
        <w:t>trafic</w:t>
      </w:r>
      <w:r>
        <w:rPr>
          <w:i/>
          <w:color w:val="231F20"/>
          <w:spacing w:val="-15"/>
          <w:sz w:val="24"/>
        </w:rPr>
        <w:t> </w:t>
      </w:r>
      <w:r>
        <w:rPr>
          <w:i/>
          <w:color w:val="231F20"/>
          <w:sz w:val="24"/>
        </w:rPr>
        <w:t>est</w:t>
      </w:r>
      <w:r>
        <w:rPr>
          <w:i/>
          <w:color w:val="231F20"/>
          <w:spacing w:val="-15"/>
          <w:sz w:val="24"/>
        </w:rPr>
        <w:t> </w:t>
      </w:r>
      <w:r>
        <w:rPr>
          <w:i/>
          <w:color w:val="231F20"/>
          <w:sz w:val="24"/>
        </w:rPr>
        <w:t>organisé</w:t>
      </w:r>
      <w:r>
        <w:rPr>
          <w:i/>
          <w:color w:val="231F20"/>
          <w:spacing w:val="-15"/>
          <w:sz w:val="24"/>
        </w:rPr>
        <w:t> </w:t>
      </w:r>
      <w:r>
        <w:rPr>
          <w:i/>
          <w:color w:val="231F20"/>
          <w:sz w:val="24"/>
        </w:rPr>
        <w:t>autour</w:t>
      </w:r>
      <w:r>
        <w:rPr>
          <w:i/>
          <w:color w:val="231F20"/>
          <w:spacing w:val="-15"/>
          <w:sz w:val="24"/>
        </w:rPr>
        <w:t> </w:t>
      </w:r>
      <w:r>
        <w:rPr>
          <w:i/>
          <w:color w:val="231F20"/>
          <w:sz w:val="24"/>
        </w:rPr>
        <w:t>du</w:t>
      </w:r>
      <w:r>
        <w:rPr>
          <w:i/>
          <w:color w:val="231F20"/>
          <w:spacing w:val="-15"/>
          <w:sz w:val="24"/>
        </w:rPr>
        <w:t> </w:t>
      </w:r>
      <w:r>
        <w:rPr>
          <w:i/>
          <w:color w:val="231F20"/>
          <w:sz w:val="24"/>
        </w:rPr>
        <w:t>diamant</w:t>
      </w:r>
      <w:r>
        <w:rPr>
          <w:i/>
          <w:color w:val="231F20"/>
          <w:spacing w:val="-15"/>
          <w:sz w:val="24"/>
        </w:rPr>
        <w:t> </w:t>
      </w:r>
      <w:r>
        <w:rPr>
          <w:i/>
          <w:color w:val="231F20"/>
          <w:sz w:val="24"/>
        </w:rPr>
        <w:t>(…)</w:t>
      </w:r>
      <w:r>
        <w:rPr>
          <w:i/>
          <w:color w:val="231F20"/>
          <w:spacing w:val="-15"/>
          <w:sz w:val="24"/>
        </w:rPr>
        <w:t> </w:t>
      </w:r>
      <w:r>
        <w:rPr>
          <w:i/>
          <w:color w:val="231F20"/>
          <w:sz w:val="24"/>
        </w:rPr>
        <w:t>En</w:t>
      </w:r>
      <w:r>
        <w:rPr>
          <w:i/>
          <w:color w:val="231F20"/>
          <w:sz w:val="24"/>
        </w:rPr>
        <w:t> </w:t>
      </w:r>
      <w:r>
        <w:rPr>
          <w:i/>
          <w:color w:val="231F20"/>
          <w:spacing w:val="-2"/>
          <w:sz w:val="24"/>
        </w:rPr>
        <w:t>effet,</w:t>
      </w:r>
      <w:r>
        <w:rPr>
          <w:i/>
          <w:color w:val="231F20"/>
          <w:spacing w:val="-15"/>
          <w:sz w:val="24"/>
        </w:rPr>
        <w:t> </w:t>
      </w:r>
      <w:r>
        <w:rPr>
          <w:i/>
          <w:color w:val="231F20"/>
          <w:spacing w:val="-2"/>
          <w:sz w:val="24"/>
        </w:rPr>
        <w:t>la</w:t>
      </w:r>
      <w:r>
        <w:rPr>
          <w:i/>
          <w:color w:val="231F20"/>
          <w:spacing w:val="-13"/>
          <w:sz w:val="24"/>
        </w:rPr>
        <w:t> </w:t>
      </w:r>
      <w:r>
        <w:rPr>
          <w:i/>
          <w:color w:val="231F20"/>
          <w:spacing w:val="-2"/>
          <w:sz w:val="24"/>
        </w:rPr>
        <w:t>pierre</w:t>
      </w:r>
      <w:r>
        <w:rPr>
          <w:i/>
          <w:color w:val="231F20"/>
          <w:spacing w:val="-13"/>
          <w:sz w:val="24"/>
        </w:rPr>
        <w:t> </w:t>
      </w:r>
      <w:r>
        <w:rPr>
          <w:i/>
          <w:color w:val="231F20"/>
          <w:spacing w:val="-2"/>
          <w:sz w:val="24"/>
        </w:rPr>
        <w:t>après</w:t>
      </w:r>
      <w:r>
        <w:rPr>
          <w:i/>
          <w:color w:val="231F20"/>
          <w:spacing w:val="-13"/>
          <w:sz w:val="24"/>
        </w:rPr>
        <w:t> </w:t>
      </w:r>
      <w:r>
        <w:rPr>
          <w:i/>
          <w:color w:val="231F20"/>
          <w:spacing w:val="-2"/>
          <w:sz w:val="24"/>
        </w:rPr>
        <w:t>son</w:t>
      </w:r>
      <w:r>
        <w:rPr>
          <w:i/>
          <w:color w:val="231F20"/>
          <w:spacing w:val="-13"/>
          <w:sz w:val="24"/>
        </w:rPr>
        <w:t> </w:t>
      </w:r>
      <w:r>
        <w:rPr>
          <w:i/>
          <w:color w:val="231F20"/>
          <w:spacing w:val="-2"/>
          <w:sz w:val="24"/>
        </w:rPr>
        <w:t>extraction</w:t>
      </w:r>
      <w:r>
        <w:rPr>
          <w:i/>
          <w:color w:val="231F20"/>
          <w:spacing w:val="-13"/>
          <w:sz w:val="24"/>
        </w:rPr>
        <w:t> </w:t>
      </w:r>
      <w:r>
        <w:rPr>
          <w:i/>
          <w:color w:val="231F20"/>
          <w:spacing w:val="-2"/>
          <w:sz w:val="24"/>
        </w:rPr>
        <w:t>des</w:t>
      </w:r>
      <w:r>
        <w:rPr>
          <w:i/>
          <w:color w:val="231F20"/>
          <w:spacing w:val="-13"/>
          <w:sz w:val="24"/>
        </w:rPr>
        <w:t> </w:t>
      </w:r>
      <w:r>
        <w:rPr>
          <w:i/>
          <w:color w:val="231F20"/>
          <w:spacing w:val="-2"/>
          <w:sz w:val="24"/>
        </w:rPr>
        <w:t>rivières</w:t>
      </w:r>
      <w:r>
        <w:rPr>
          <w:i/>
          <w:color w:val="231F20"/>
          <w:spacing w:val="-13"/>
          <w:sz w:val="24"/>
        </w:rPr>
        <w:t> </w:t>
      </w:r>
      <w:r>
        <w:rPr>
          <w:i/>
          <w:color w:val="231F20"/>
          <w:spacing w:val="-2"/>
          <w:sz w:val="24"/>
        </w:rPr>
        <w:t>de</w:t>
      </w:r>
      <w:r>
        <w:rPr>
          <w:i/>
          <w:color w:val="231F20"/>
          <w:spacing w:val="-13"/>
          <w:sz w:val="24"/>
        </w:rPr>
        <w:t> </w:t>
      </w:r>
      <w:r>
        <w:rPr>
          <w:i/>
          <w:color w:val="231F20"/>
          <w:spacing w:val="-2"/>
          <w:sz w:val="24"/>
        </w:rPr>
        <w:t>Tortiya,</w:t>
      </w:r>
      <w:r>
        <w:rPr>
          <w:i/>
          <w:color w:val="231F20"/>
          <w:spacing w:val="-13"/>
          <w:sz w:val="24"/>
        </w:rPr>
        <w:t> </w:t>
      </w:r>
      <w:r>
        <w:rPr>
          <w:i/>
          <w:color w:val="231F20"/>
          <w:spacing w:val="-2"/>
          <w:sz w:val="24"/>
        </w:rPr>
        <w:t>sous</w:t>
      </w:r>
      <w:r>
        <w:rPr>
          <w:i/>
          <w:color w:val="231F20"/>
          <w:spacing w:val="-13"/>
          <w:sz w:val="24"/>
        </w:rPr>
        <w:t> </w:t>
      </w:r>
      <w:r>
        <w:rPr>
          <w:i/>
          <w:color w:val="231F20"/>
          <w:spacing w:val="-2"/>
          <w:sz w:val="24"/>
        </w:rPr>
        <w:t>la supervision</w:t>
      </w:r>
      <w:r>
        <w:rPr>
          <w:i/>
          <w:color w:val="231F20"/>
          <w:spacing w:val="-13"/>
          <w:sz w:val="24"/>
        </w:rPr>
        <w:t> </w:t>
      </w:r>
      <w:r>
        <w:rPr>
          <w:i/>
          <w:color w:val="231F20"/>
          <w:spacing w:val="-2"/>
          <w:sz w:val="24"/>
        </w:rPr>
        <w:t>des</w:t>
      </w:r>
      <w:r>
        <w:rPr>
          <w:i/>
          <w:color w:val="231F20"/>
          <w:spacing w:val="-11"/>
          <w:sz w:val="24"/>
        </w:rPr>
        <w:t> </w:t>
      </w:r>
      <w:r>
        <w:rPr>
          <w:i/>
          <w:color w:val="231F20"/>
          <w:spacing w:val="-2"/>
          <w:sz w:val="24"/>
        </w:rPr>
        <w:t>éléments</w:t>
      </w:r>
      <w:r>
        <w:rPr>
          <w:i/>
          <w:color w:val="231F20"/>
          <w:spacing w:val="-13"/>
          <w:sz w:val="24"/>
        </w:rPr>
        <w:t> </w:t>
      </w:r>
      <w:r>
        <w:rPr>
          <w:i/>
          <w:color w:val="231F20"/>
          <w:spacing w:val="-2"/>
          <w:sz w:val="24"/>
        </w:rPr>
        <w:t>de</w:t>
      </w:r>
      <w:r>
        <w:rPr>
          <w:i/>
          <w:color w:val="231F20"/>
          <w:spacing w:val="-12"/>
          <w:sz w:val="24"/>
        </w:rPr>
        <w:t> </w:t>
      </w:r>
      <w:r>
        <w:rPr>
          <w:i/>
          <w:color w:val="231F20"/>
          <w:spacing w:val="-2"/>
          <w:sz w:val="24"/>
        </w:rPr>
        <w:t>la</w:t>
      </w:r>
      <w:r>
        <w:rPr>
          <w:i/>
          <w:color w:val="231F20"/>
          <w:spacing w:val="-12"/>
          <w:sz w:val="24"/>
        </w:rPr>
        <w:t> </w:t>
      </w:r>
      <w:r>
        <w:rPr>
          <w:i/>
          <w:color w:val="231F20"/>
          <w:spacing w:val="-2"/>
          <w:sz w:val="24"/>
        </w:rPr>
        <w:t>rébellion,</w:t>
      </w:r>
      <w:r>
        <w:rPr>
          <w:i/>
          <w:color w:val="231F20"/>
          <w:spacing w:val="-12"/>
          <w:sz w:val="24"/>
        </w:rPr>
        <w:t> </w:t>
      </w:r>
      <w:r>
        <w:rPr>
          <w:i/>
          <w:color w:val="231F20"/>
          <w:spacing w:val="-2"/>
          <w:sz w:val="24"/>
        </w:rPr>
        <w:t>passe</w:t>
      </w:r>
      <w:r>
        <w:rPr>
          <w:i/>
          <w:color w:val="231F20"/>
          <w:spacing w:val="-12"/>
          <w:sz w:val="24"/>
        </w:rPr>
        <w:t> </w:t>
      </w:r>
      <w:r>
        <w:rPr>
          <w:i/>
          <w:color w:val="231F20"/>
          <w:spacing w:val="-2"/>
          <w:sz w:val="24"/>
        </w:rPr>
        <w:t>en</w:t>
      </w:r>
      <w:r>
        <w:rPr>
          <w:i/>
          <w:color w:val="231F20"/>
          <w:spacing w:val="-12"/>
          <w:sz w:val="24"/>
        </w:rPr>
        <w:t> </w:t>
      </w:r>
      <w:r>
        <w:rPr>
          <w:i/>
          <w:color w:val="231F20"/>
          <w:spacing w:val="-2"/>
          <w:sz w:val="24"/>
        </w:rPr>
        <w:t>contrebande</w:t>
      </w:r>
      <w:r>
        <w:rPr>
          <w:i/>
          <w:color w:val="231F20"/>
          <w:spacing w:val="-12"/>
          <w:sz w:val="24"/>
        </w:rPr>
        <w:t> </w:t>
      </w:r>
      <w:r>
        <w:rPr>
          <w:i/>
          <w:color w:val="231F20"/>
          <w:spacing w:val="-2"/>
          <w:sz w:val="24"/>
        </w:rPr>
        <w:t>au </w:t>
      </w:r>
      <w:r>
        <w:rPr>
          <w:i/>
          <w:color w:val="231F20"/>
          <w:sz w:val="24"/>
        </w:rPr>
        <w:t>Mali</w:t>
      </w:r>
      <w:r>
        <w:rPr>
          <w:i/>
          <w:color w:val="231F20"/>
          <w:spacing w:val="-15"/>
          <w:sz w:val="24"/>
        </w:rPr>
        <w:t> </w:t>
      </w:r>
      <w:r>
        <w:rPr>
          <w:i/>
          <w:color w:val="231F20"/>
          <w:sz w:val="24"/>
        </w:rPr>
        <w:t>et</w:t>
      </w:r>
      <w:r>
        <w:rPr>
          <w:i/>
          <w:color w:val="231F20"/>
          <w:spacing w:val="-15"/>
          <w:sz w:val="24"/>
        </w:rPr>
        <w:t> </w:t>
      </w:r>
      <w:r>
        <w:rPr>
          <w:i/>
          <w:color w:val="231F20"/>
          <w:sz w:val="24"/>
        </w:rPr>
        <w:t>en</w:t>
      </w:r>
      <w:r>
        <w:rPr>
          <w:i/>
          <w:color w:val="231F20"/>
          <w:spacing w:val="-15"/>
          <w:sz w:val="24"/>
        </w:rPr>
        <w:t> </w:t>
      </w:r>
      <w:r>
        <w:rPr>
          <w:i/>
          <w:color w:val="231F20"/>
          <w:sz w:val="24"/>
        </w:rPr>
        <w:t>Guinée.</w:t>
      </w:r>
      <w:r>
        <w:rPr>
          <w:i/>
          <w:color w:val="231F20"/>
          <w:spacing w:val="-15"/>
          <w:sz w:val="24"/>
        </w:rPr>
        <w:t> </w:t>
      </w:r>
      <w:r>
        <w:rPr>
          <w:i/>
          <w:color w:val="231F20"/>
          <w:sz w:val="24"/>
        </w:rPr>
        <w:t>C’est</w:t>
      </w:r>
      <w:r>
        <w:rPr>
          <w:i/>
          <w:color w:val="231F20"/>
          <w:spacing w:val="-15"/>
          <w:sz w:val="24"/>
        </w:rPr>
        <w:t> </w:t>
      </w:r>
      <w:r>
        <w:rPr>
          <w:i/>
          <w:color w:val="231F20"/>
          <w:sz w:val="24"/>
        </w:rPr>
        <w:t>dans</w:t>
      </w:r>
      <w:r>
        <w:rPr>
          <w:i/>
          <w:color w:val="231F20"/>
          <w:spacing w:val="-15"/>
          <w:sz w:val="24"/>
        </w:rPr>
        <w:t> </w:t>
      </w:r>
      <w:r>
        <w:rPr>
          <w:i/>
          <w:color w:val="231F20"/>
          <w:sz w:val="24"/>
        </w:rPr>
        <w:t>ces</w:t>
      </w:r>
      <w:r>
        <w:rPr>
          <w:i/>
          <w:color w:val="231F20"/>
          <w:spacing w:val="-15"/>
          <w:sz w:val="24"/>
        </w:rPr>
        <w:t> </w:t>
      </w:r>
      <w:r>
        <w:rPr>
          <w:i/>
          <w:color w:val="231F20"/>
          <w:sz w:val="24"/>
        </w:rPr>
        <w:t>deux</w:t>
      </w:r>
      <w:r>
        <w:rPr>
          <w:i/>
          <w:color w:val="231F20"/>
          <w:spacing w:val="-15"/>
          <w:sz w:val="24"/>
        </w:rPr>
        <w:t> </w:t>
      </w:r>
      <w:r>
        <w:rPr>
          <w:i/>
          <w:color w:val="231F20"/>
          <w:sz w:val="24"/>
        </w:rPr>
        <w:t>pays</w:t>
      </w:r>
      <w:r>
        <w:rPr>
          <w:i/>
          <w:color w:val="231F20"/>
          <w:spacing w:val="-15"/>
          <w:sz w:val="24"/>
        </w:rPr>
        <w:t> </w:t>
      </w:r>
      <w:r>
        <w:rPr>
          <w:i/>
          <w:color w:val="231F20"/>
          <w:sz w:val="24"/>
        </w:rPr>
        <w:t>que</w:t>
      </w:r>
      <w:r>
        <w:rPr>
          <w:i/>
          <w:color w:val="231F20"/>
          <w:spacing w:val="-15"/>
          <w:sz w:val="24"/>
        </w:rPr>
        <w:t> </w:t>
      </w:r>
      <w:r>
        <w:rPr>
          <w:i/>
          <w:color w:val="231F20"/>
          <w:sz w:val="24"/>
        </w:rPr>
        <w:t>les</w:t>
      </w:r>
      <w:r>
        <w:rPr>
          <w:i/>
          <w:color w:val="231F20"/>
          <w:spacing w:val="-15"/>
          <w:sz w:val="24"/>
        </w:rPr>
        <w:t> </w:t>
      </w:r>
      <w:r>
        <w:rPr>
          <w:i/>
          <w:color w:val="231F20"/>
          <w:sz w:val="24"/>
        </w:rPr>
        <w:t>diamantaires d’Anvers</w:t>
      </w:r>
      <w:r>
        <w:rPr>
          <w:i/>
          <w:color w:val="231F20"/>
          <w:spacing w:val="-8"/>
          <w:sz w:val="24"/>
        </w:rPr>
        <w:t> </w:t>
      </w:r>
      <w:r>
        <w:rPr>
          <w:i/>
          <w:color w:val="231F20"/>
          <w:sz w:val="24"/>
        </w:rPr>
        <w:t>viennent</w:t>
      </w:r>
      <w:r>
        <w:rPr>
          <w:i/>
          <w:color w:val="231F20"/>
          <w:spacing w:val="-8"/>
          <w:sz w:val="24"/>
        </w:rPr>
        <w:t> </w:t>
      </w:r>
      <w:r>
        <w:rPr>
          <w:i/>
          <w:color w:val="231F20"/>
          <w:sz w:val="24"/>
        </w:rPr>
        <w:t>profiter</w:t>
      </w:r>
      <w:r>
        <w:rPr>
          <w:i/>
          <w:color w:val="231F20"/>
          <w:spacing w:val="-8"/>
          <w:sz w:val="24"/>
        </w:rPr>
        <w:t> </w:t>
      </w:r>
      <w:r>
        <w:rPr>
          <w:i/>
          <w:color w:val="231F20"/>
          <w:sz w:val="24"/>
        </w:rPr>
        <w:t>du</w:t>
      </w:r>
      <w:r>
        <w:rPr>
          <w:i/>
          <w:color w:val="231F20"/>
          <w:spacing w:val="-8"/>
          <w:sz w:val="24"/>
        </w:rPr>
        <w:t> </w:t>
      </w:r>
      <w:r>
        <w:rPr>
          <w:i/>
          <w:color w:val="231F20"/>
          <w:sz w:val="24"/>
        </w:rPr>
        <w:t>trafic.</w:t>
      </w:r>
      <w:r>
        <w:rPr>
          <w:i/>
          <w:color w:val="231F20"/>
          <w:spacing w:val="-8"/>
          <w:sz w:val="24"/>
        </w:rPr>
        <w:t> </w:t>
      </w:r>
      <w:r>
        <w:rPr>
          <w:i/>
          <w:color w:val="231F20"/>
          <w:sz w:val="24"/>
        </w:rPr>
        <w:t>Le</w:t>
      </w:r>
      <w:r>
        <w:rPr>
          <w:i/>
          <w:color w:val="231F20"/>
          <w:spacing w:val="-8"/>
          <w:sz w:val="24"/>
        </w:rPr>
        <w:t> </w:t>
      </w:r>
      <w:r>
        <w:rPr>
          <w:i/>
          <w:color w:val="231F20"/>
          <w:sz w:val="24"/>
        </w:rPr>
        <w:t>Mali,</w:t>
      </w:r>
      <w:r>
        <w:rPr>
          <w:i/>
          <w:color w:val="231F20"/>
          <w:spacing w:val="-8"/>
          <w:sz w:val="24"/>
        </w:rPr>
        <w:t> </w:t>
      </w:r>
      <w:r>
        <w:rPr>
          <w:i/>
          <w:color w:val="231F20"/>
          <w:sz w:val="24"/>
        </w:rPr>
        <w:t>contrairement</w:t>
      </w:r>
      <w:r>
        <w:rPr>
          <w:i/>
          <w:color w:val="231F20"/>
          <w:spacing w:val="-7"/>
          <w:sz w:val="24"/>
        </w:rPr>
        <w:t> </w:t>
      </w:r>
      <w:r>
        <w:rPr>
          <w:i/>
          <w:color w:val="231F20"/>
          <w:sz w:val="24"/>
        </w:rPr>
        <w:t>à</w:t>
      </w:r>
      <w:r>
        <w:rPr>
          <w:i/>
          <w:color w:val="231F20"/>
          <w:spacing w:val="-8"/>
          <w:sz w:val="24"/>
        </w:rPr>
        <w:t> </w:t>
      </w:r>
      <w:r>
        <w:rPr>
          <w:i/>
          <w:color w:val="231F20"/>
          <w:sz w:val="24"/>
        </w:rPr>
        <w:t>la Guinée</w:t>
      </w:r>
      <w:r>
        <w:rPr>
          <w:i/>
          <w:color w:val="231F20"/>
          <w:spacing w:val="-15"/>
          <w:sz w:val="24"/>
        </w:rPr>
        <w:t> </w:t>
      </w:r>
      <w:r>
        <w:rPr>
          <w:i/>
          <w:color w:val="231F20"/>
          <w:sz w:val="24"/>
        </w:rPr>
        <w:t>et</w:t>
      </w:r>
      <w:r>
        <w:rPr>
          <w:i/>
          <w:color w:val="231F20"/>
          <w:spacing w:val="-15"/>
          <w:sz w:val="24"/>
        </w:rPr>
        <w:t> </w:t>
      </w:r>
      <w:r>
        <w:rPr>
          <w:i/>
          <w:color w:val="231F20"/>
          <w:sz w:val="24"/>
        </w:rPr>
        <w:t>à</w:t>
      </w:r>
      <w:r>
        <w:rPr>
          <w:i/>
          <w:color w:val="231F20"/>
          <w:spacing w:val="-15"/>
          <w:sz w:val="24"/>
        </w:rPr>
        <w:t> </w:t>
      </w:r>
      <w:r>
        <w:rPr>
          <w:i/>
          <w:color w:val="231F20"/>
          <w:sz w:val="24"/>
        </w:rPr>
        <w:t>la</w:t>
      </w:r>
      <w:r>
        <w:rPr>
          <w:i/>
          <w:color w:val="231F20"/>
          <w:spacing w:val="-15"/>
          <w:sz w:val="24"/>
        </w:rPr>
        <w:t> </w:t>
      </w:r>
      <w:r>
        <w:rPr>
          <w:i/>
          <w:color w:val="231F20"/>
          <w:sz w:val="24"/>
        </w:rPr>
        <w:t>Côte</w:t>
      </w:r>
      <w:r>
        <w:rPr>
          <w:i/>
          <w:color w:val="231F20"/>
          <w:spacing w:val="-15"/>
          <w:sz w:val="24"/>
        </w:rPr>
        <w:t> </w:t>
      </w:r>
      <w:r>
        <w:rPr>
          <w:i/>
          <w:color w:val="231F20"/>
          <w:sz w:val="24"/>
        </w:rPr>
        <w:t>d’Ivoire,</w:t>
      </w:r>
      <w:r>
        <w:rPr>
          <w:i/>
          <w:color w:val="231F20"/>
          <w:spacing w:val="-15"/>
          <w:sz w:val="24"/>
        </w:rPr>
        <w:t> </w:t>
      </w:r>
      <w:r>
        <w:rPr>
          <w:i/>
          <w:color w:val="231F20"/>
          <w:sz w:val="24"/>
        </w:rPr>
        <w:t>n’est</w:t>
      </w:r>
      <w:r>
        <w:rPr>
          <w:i/>
          <w:color w:val="231F20"/>
          <w:spacing w:val="-15"/>
          <w:sz w:val="24"/>
        </w:rPr>
        <w:t> </w:t>
      </w:r>
      <w:r>
        <w:rPr>
          <w:i/>
          <w:color w:val="231F20"/>
          <w:sz w:val="24"/>
        </w:rPr>
        <w:t>pas</w:t>
      </w:r>
      <w:r>
        <w:rPr>
          <w:i/>
          <w:color w:val="231F20"/>
          <w:spacing w:val="-15"/>
          <w:sz w:val="24"/>
        </w:rPr>
        <w:t> </w:t>
      </w:r>
      <w:r>
        <w:rPr>
          <w:i/>
          <w:color w:val="231F20"/>
          <w:sz w:val="24"/>
        </w:rPr>
        <w:t>signataire</w:t>
      </w:r>
      <w:r>
        <w:rPr>
          <w:i/>
          <w:color w:val="231F20"/>
          <w:spacing w:val="-15"/>
          <w:sz w:val="24"/>
        </w:rPr>
        <w:t> </w:t>
      </w:r>
      <w:r>
        <w:rPr>
          <w:i/>
          <w:color w:val="231F20"/>
          <w:sz w:val="24"/>
        </w:rPr>
        <w:t>du</w:t>
      </w:r>
      <w:r>
        <w:rPr>
          <w:i/>
          <w:color w:val="231F20"/>
          <w:spacing w:val="-15"/>
          <w:sz w:val="24"/>
        </w:rPr>
        <w:t> </w:t>
      </w:r>
      <w:r>
        <w:rPr>
          <w:i/>
          <w:color w:val="231F20"/>
          <w:sz w:val="24"/>
        </w:rPr>
        <w:t>processus</w:t>
      </w:r>
      <w:r>
        <w:rPr>
          <w:i/>
          <w:color w:val="231F20"/>
          <w:spacing w:val="-15"/>
          <w:sz w:val="24"/>
        </w:rPr>
        <w:t> </w:t>
      </w:r>
      <w:r>
        <w:rPr>
          <w:i/>
          <w:color w:val="231F20"/>
          <w:sz w:val="24"/>
        </w:rPr>
        <w:t>de Kimberley</w:t>
      </w:r>
      <w:r>
        <w:rPr>
          <w:color w:val="231F20"/>
          <w:sz w:val="24"/>
          <w:vertAlign w:val="superscript"/>
        </w:rPr>
        <w:t>197</w:t>
      </w:r>
      <w:r>
        <w:rPr>
          <w:i/>
          <w:color w:val="231F20"/>
          <w:sz w:val="24"/>
          <w:vertAlign w:val="baseline"/>
        </w:rPr>
        <w:t>(...) »</w:t>
      </w:r>
      <w:r>
        <w:rPr>
          <w:color w:val="231F20"/>
          <w:sz w:val="24"/>
          <w:vertAlign w:val="superscript"/>
        </w:rPr>
        <w:t>198</w:t>
      </w:r>
    </w:p>
    <w:p>
      <w:pPr>
        <w:pStyle w:val="BodyText"/>
        <w:spacing w:before="120"/>
        <w:ind w:right="102" w:firstLine="283"/>
      </w:pPr>
      <w:r>
        <w:rPr>
          <w:color w:val="231F20"/>
        </w:rPr>
        <w:t>Depuis les accords de Marcoussis, les rebelles siègent au gouvernement mais refusent de désarmer. Ni la Communauté </w:t>
      </w:r>
      <w:r>
        <w:rPr>
          <w:color w:val="231F20"/>
          <w:spacing w:val="-2"/>
        </w:rPr>
        <w:t>internationale,</w:t>
      </w:r>
      <w:r>
        <w:rPr>
          <w:color w:val="231F20"/>
          <w:spacing w:val="-13"/>
        </w:rPr>
        <w:t> </w:t>
      </w:r>
      <w:r>
        <w:rPr>
          <w:color w:val="231F20"/>
          <w:spacing w:val="-2"/>
        </w:rPr>
        <w:t>ni</w:t>
      </w:r>
      <w:r>
        <w:rPr>
          <w:color w:val="231F20"/>
          <w:spacing w:val="-13"/>
        </w:rPr>
        <w:t> </w:t>
      </w:r>
      <w:r>
        <w:rPr>
          <w:color w:val="231F20"/>
          <w:spacing w:val="-2"/>
        </w:rPr>
        <w:t>les</w:t>
      </w:r>
      <w:r>
        <w:rPr>
          <w:color w:val="231F20"/>
          <w:spacing w:val="-13"/>
        </w:rPr>
        <w:t> </w:t>
      </w:r>
      <w:r>
        <w:rPr>
          <w:color w:val="231F20"/>
          <w:spacing w:val="-2"/>
        </w:rPr>
        <w:t>organisations</w:t>
      </w:r>
      <w:r>
        <w:rPr>
          <w:color w:val="231F20"/>
          <w:spacing w:val="-13"/>
        </w:rPr>
        <w:t> </w:t>
      </w:r>
      <w:r>
        <w:rPr>
          <w:color w:val="231F20"/>
          <w:spacing w:val="-2"/>
        </w:rPr>
        <w:t>Africaines</w:t>
      </w:r>
      <w:r>
        <w:rPr>
          <w:color w:val="231F20"/>
          <w:spacing w:val="-13"/>
        </w:rPr>
        <w:t> </w:t>
      </w:r>
      <w:r>
        <w:rPr>
          <w:color w:val="231F20"/>
          <w:spacing w:val="-2"/>
        </w:rPr>
        <w:t>ne</w:t>
      </w:r>
      <w:r>
        <w:rPr>
          <w:color w:val="231F20"/>
          <w:spacing w:val="-13"/>
        </w:rPr>
        <w:t> </w:t>
      </w:r>
      <w:r>
        <w:rPr>
          <w:color w:val="231F20"/>
          <w:spacing w:val="-2"/>
        </w:rPr>
        <w:t>disent</w:t>
      </w:r>
      <w:r>
        <w:rPr>
          <w:color w:val="231F20"/>
          <w:spacing w:val="-13"/>
        </w:rPr>
        <w:t> </w:t>
      </w:r>
      <w:r>
        <w:rPr>
          <w:color w:val="231F20"/>
          <w:spacing w:val="-2"/>
        </w:rPr>
        <w:t>mot</w:t>
      </w:r>
      <w:r>
        <w:rPr>
          <w:color w:val="231F20"/>
          <w:spacing w:val="-13"/>
        </w:rPr>
        <w:t> </w:t>
      </w:r>
      <w:r>
        <w:rPr>
          <w:color w:val="231F20"/>
          <w:spacing w:val="-2"/>
        </w:rPr>
        <w:t>:</w:t>
      </w:r>
      <w:r>
        <w:rPr>
          <w:color w:val="231F20"/>
          <w:spacing w:val="-13"/>
        </w:rPr>
        <w:t> </w:t>
      </w:r>
      <w:r>
        <w:rPr>
          <w:color w:val="231F20"/>
          <w:spacing w:val="-2"/>
        </w:rPr>
        <w:t>le</w:t>
      </w:r>
      <w:r>
        <w:rPr>
          <w:color w:val="231F20"/>
          <w:spacing w:val="-13"/>
        </w:rPr>
        <w:t> </w:t>
      </w:r>
      <w:r>
        <w:rPr>
          <w:color w:val="231F20"/>
          <w:spacing w:val="-2"/>
        </w:rPr>
        <w:t>processus </w:t>
      </w:r>
      <w:r>
        <w:rPr>
          <w:color w:val="231F20"/>
        </w:rPr>
        <w:t>de paix reste bloqué. Malgré l’embargo sur les armes, les deux camps continuent</w:t>
      </w:r>
      <w:r>
        <w:rPr>
          <w:color w:val="231F20"/>
          <w:spacing w:val="-15"/>
        </w:rPr>
        <w:t> </w:t>
      </w:r>
      <w:r>
        <w:rPr>
          <w:color w:val="231F20"/>
        </w:rPr>
        <w:t>de</w:t>
      </w:r>
      <w:r>
        <w:rPr>
          <w:color w:val="231F20"/>
          <w:spacing w:val="-15"/>
        </w:rPr>
        <w:t> </w:t>
      </w:r>
      <w:r>
        <w:rPr>
          <w:color w:val="231F20"/>
        </w:rPr>
        <w:t>s’armer.</w:t>
      </w:r>
      <w:r>
        <w:rPr>
          <w:color w:val="231F20"/>
          <w:spacing w:val="-15"/>
        </w:rPr>
        <w:t> </w:t>
      </w:r>
      <w:r>
        <w:rPr>
          <w:color w:val="231F20"/>
        </w:rPr>
        <w:t>Le</w:t>
      </w:r>
      <w:r>
        <w:rPr>
          <w:color w:val="231F20"/>
          <w:spacing w:val="-15"/>
        </w:rPr>
        <w:t> </w:t>
      </w:r>
      <w:r>
        <w:rPr>
          <w:color w:val="231F20"/>
        </w:rPr>
        <w:t>pouvoir</w:t>
      </w:r>
      <w:r>
        <w:rPr>
          <w:color w:val="231F20"/>
          <w:spacing w:val="-15"/>
        </w:rPr>
        <w:t> </w:t>
      </w:r>
      <w:r>
        <w:rPr>
          <w:color w:val="231F20"/>
        </w:rPr>
        <w:t>qui</w:t>
      </w:r>
      <w:r>
        <w:rPr>
          <w:color w:val="231F20"/>
          <w:spacing w:val="-15"/>
        </w:rPr>
        <w:t> </w:t>
      </w:r>
      <w:r>
        <w:rPr>
          <w:color w:val="231F20"/>
        </w:rPr>
        <w:t>avait</w:t>
      </w:r>
      <w:r>
        <w:rPr>
          <w:color w:val="231F20"/>
          <w:spacing w:val="-14"/>
        </w:rPr>
        <w:t> </w:t>
      </w:r>
      <w:r>
        <w:rPr>
          <w:color w:val="231F20"/>
        </w:rPr>
        <w:t>un</w:t>
      </w:r>
      <w:r>
        <w:rPr>
          <w:color w:val="231F20"/>
          <w:spacing w:val="-15"/>
        </w:rPr>
        <w:t> </w:t>
      </w:r>
      <w:r>
        <w:rPr>
          <w:color w:val="231F20"/>
        </w:rPr>
        <w:t>déficit</w:t>
      </w:r>
      <w:r>
        <w:rPr>
          <w:color w:val="231F20"/>
          <w:spacing w:val="-14"/>
        </w:rPr>
        <w:t> </w:t>
      </w:r>
      <w:r>
        <w:rPr>
          <w:color w:val="231F20"/>
        </w:rPr>
        <w:t>à</w:t>
      </w:r>
      <w:r>
        <w:rPr>
          <w:color w:val="231F20"/>
          <w:spacing w:val="-15"/>
        </w:rPr>
        <w:t> </w:t>
      </w:r>
      <w:r>
        <w:rPr>
          <w:color w:val="231F20"/>
        </w:rPr>
        <w:t>ce</w:t>
      </w:r>
      <w:r>
        <w:rPr>
          <w:color w:val="231F20"/>
          <w:spacing w:val="-15"/>
        </w:rPr>
        <w:t> </w:t>
      </w:r>
      <w:r>
        <w:rPr>
          <w:color w:val="231F20"/>
        </w:rPr>
        <w:t>niveau</w:t>
      </w:r>
      <w:r>
        <w:rPr>
          <w:color w:val="231F20"/>
          <w:spacing w:val="-15"/>
        </w:rPr>
        <w:t> </w:t>
      </w:r>
      <w:r>
        <w:rPr>
          <w:color w:val="231F20"/>
        </w:rPr>
        <w:t>trouve </w:t>
      </w:r>
      <w:r>
        <w:rPr>
          <w:color w:val="231F20"/>
          <w:spacing w:val="-4"/>
        </w:rPr>
        <w:t>les</w:t>
      </w:r>
      <w:r>
        <w:rPr>
          <w:color w:val="231F20"/>
          <w:spacing w:val="-1"/>
        </w:rPr>
        <w:t> </w:t>
      </w:r>
      <w:r>
        <w:rPr>
          <w:color w:val="231F20"/>
          <w:spacing w:val="-4"/>
        </w:rPr>
        <w:t>circuits</w:t>
      </w:r>
      <w:r>
        <w:rPr>
          <w:color w:val="231F20"/>
          <w:spacing w:val="-1"/>
        </w:rPr>
        <w:t> </w:t>
      </w:r>
      <w:r>
        <w:rPr>
          <w:color w:val="231F20"/>
          <w:spacing w:val="-4"/>
        </w:rPr>
        <w:t>d’approvisionnement</w:t>
      </w:r>
      <w:r>
        <w:rPr>
          <w:color w:val="231F20"/>
          <w:spacing w:val="-1"/>
        </w:rPr>
        <w:t> </w:t>
      </w:r>
      <w:r>
        <w:rPr>
          <w:color w:val="231F20"/>
          <w:spacing w:val="-4"/>
        </w:rPr>
        <w:t>pour</w:t>
      </w:r>
      <w:r>
        <w:rPr>
          <w:color w:val="231F20"/>
          <w:spacing w:val="-1"/>
        </w:rPr>
        <w:t> </w:t>
      </w:r>
      <w:r>
        <w:rPr>
          <w:color w:val="231F20"/>
          <w:spacing w:val="-4"/>
        </w:rPr>
        <w:t>combler</w:t>
      </w:r>
      <w:r>
        <w:rPr>
          <w:color w:val="231F20"/>
        </w:rPr>
        <w:t> </w:t>
      </w:r>
      <w:r>
        <w:rPr>
          <w:color w:val="231F20"/>
          <w:spacing w:val="-4"/>
        </w:rPr>
        <w:t>son</w:t>
      </w:r>
      <w:r>
        <w:rPr>
          <w:color w:val="231F20"/>
          <w:spacing w:val="-3"/>
        </w:rPr>
        <w:t> </w:t>
      </w:r>
      <w:r>
        <w:rPr>
          <w:color w:val="231F20"/>
          <w:spacing w:val="-4"/>
        </w:rPr>
        <w:t>retard</w:t>
      </w:r>
      <w:r>
        <w:rPr>
          <w:color w:val="231F20"/>
          <w:spacing w:val="-1"/>
        </w:rPr>
        <w:t> </w:t>
      </w:r>
      <w:r>
        <w:rPr>
          <w:color w:val="231F20"/>
          <w:spacing w:val="-4"/>
        </w:rPr>
        <w:t>sur</w:t>
      </w:r>
      <w:r>
        <w:rPr>
          <w:color w:val="231F20"/>
        </w:rPr>
        <w:t> </w:t>
      </w:r>
      <w:r>
        <w:rPr>
          <w:color w:val="231F20"/>
          <w:spacing w:val="-4"/>
        </w:rPr>
        <w:t>les</w:t>
      </w:r>
      <w:r>
        <w:rPr>
          <w:color w:val="231F20"/>
          <w:spacing w:val="1"/>
        </w:rPr>
        <w:t> </w:t>
      </w:r>
      <w:r>
        <w:rPr>
          <w:color w:val="231F20"/>
          <w:spacing w:val="-4"/>
        </w:rPr>
        <w:t>rebelles.</w:t>
      </w:r>
    </w:p>
    <w:p>
      <w:pPr>
        <w:pStyle w:val="BodyText"/>
        <w:spacing w:before="121"/>
        <w:ind w:right="103" w:firstLine="283"/>
      </w:pPr>
      <w:r>
        <w:rPr>
          <w:color w:val="231F20"/>
        </w:rPr>
        <w:t>Fatigué des atermoiements des rebelles, Laurent Gbagbo décide de reconquérir les zones occupées par l’insurrection, détruire les </w:t>
      </w:r>
      <w:r>
        <w:rPr>
          <w:color w:val="231F20"/>
          <w:spacing w:val="-2"/>
        </w:rPr>
        <w:t>infrastructures</w:t>
      </w:r>
      <w:r>
        <w:rPr>
          <w:color w:val="231F20"/>
          <w:spacing w:val="-9"/>
        </w:rPr>
        <w:t> </w:t>
      </w:r>
      <w:r>
        <w:rPr>
          <w:color w:val="231F20"/>
          <w:spacing w:val="-2"/>
        </w:rPr>
        <w:t>stratégiques</w:t>
      </w:r>
      <w:r>
        <w:rPr>
          <w:color w:val="231F20"/>
          <w:spacing w:val="-6"/>
        </w:rPr>
        <w:t> </w:t>
      </w:r>
      <w:r>
        <w:rPr>
          <w:color w:val="231F20"/>
          <w:spacing w:val="-2"/>
        </w:rPr>
        <w:t>de</w:t>
      </w:r>
      <w:r>
        <w:rPr>
          <w:color w:val="231F20"/>
          <w:spacing w:val="-6"/>
        </w:rPr>
        <w:t> </w:t>
      </w:r>
      <w:r>
        <w:rPr>
          <w:color w:val="231F20"/>
          <w:spacing w:val="-2"/>
        </w:rPr>
        <w:t>la</w:t>
      </w:r>
      <w:r>
        <w:rPr>
          <w:color w:val="231F20"/>
          <w:spacing w:val="-6"/>
        </w:rPr>
        <w:t> </w:t>
      </w:r>
      <w:r>
        <w:rPr>
          <w:color w:val="231F20"/>
          <w:spacing w:val="-2"/>
        </w:rPr>
        <w:t>rébellion</w:t>
      </w:r>
      <w:r>
        <w:rPr>
          <w:color w:val="231F20"/>
          <w:spacing w:val="-6"/>
        </w:rPr>
        <w:t> </w:t>
      </w:r>
      <w:r>
        <w:rPr>
          <w:color w:val="231F20"/>
          <w:spacing w:val="-2"/>
        </w:rPr>
        <w:t>et</w:t>
      </w:r>
      <w:r>
        <w:rPr>
          <w:color w:val="231F20"/>
          <w:spacing w:val="-6"/>
        </w:rPr>
        <w:t> </w:t>
      </w:r>
      <w:r>
        <w:rPr>
          <w:color w:val="231F20"/>
          <w:spacing w:val="-2"/>
        </w:rPr>
        <w:t>l’obliger</w:t>
      </w:r>
      <w:r>
        <w:rPr>
          <w:color w:val="231F20"/>
          <w:spacing w:val="-6"/>
        </w:rPr>
        <w:t> </w:t>
      </w:r>
      <w:r>
        <w:rPr>
          <w:color w:val="231F20"/>
          <w:spacing w:val="-2"/>
        </w:rPr>
        <w:t>à</w:t>
      </w:r>
      <w:r>
        <w:rPr>
          <w:color w:val="231F20"/>
          <w:spacing w:val="-7"/>
        </w:rPr>
        <w:t> </w:t>
      </w:r>
      <w:r>
        <w:rPr>
          <w:color w:val="231F20"/>
          <w:spacing w:val="-2"/>
        </w:rPr>
        <w:t>des</w:t>
      </w:r>
      <w:r>
        <w:rPr>
          <w:color w:val="231F20"/>
          <w:spacing w:val="-6"/>
        </w:rPr>
        <w:t> </w:t>
      </w:r>
      <w:r>
        <w:rPr>
          <w:color w:val="231F20"/>
          <w:spacing w:val="-2"/>
        </w:rPr>
        <w:t>négociations </w:t>
      </w:r>
      <w:r>
        <w:rPr>
          <w:color w:val="231F20"/>
          <w:spacing w:val="-4"/>
        </w:rPr>
        <w:t>dans</w:t>
      </w:r>
      <w:r>
        <w:rPr>
          <w:color w:val="231F20"/>
          <w:spacing w:val="-7"/>
        </w:rPr>
        <w:t> </w:t>
      </w:r>
      <w:r>
        <w:rPr>
          <w:color w:val="231F20"/>
          <w:spacing w:val="-4"/>
        </w:rPr>
        <w:t>le</w:t>
      </w:r>
      <w:r>
        <w:rPr>
          <w:color w:val="231F20"/>
          <w:spacing w:val="-7"/>
        </w:rPr>
        <w:t> </w:t>
      </w:r>
      <w:r>
        <w:rPr>
          <w:color w:val="231F20"/>
          <w:spacing w:val="-4"/>
        </w:rPr>
        <w:t>cadre</w:t>
      </w:r>
      <w:r>
        <w:rPr>
          <w:color w:val="231F20"/>
          <w:spacing w:val="-6"/>
        </w:rPr>
        <w:t> </w:t>
      </w:r>
      <w:r>
        <w:rPr>
          <w:color w:val="231F20"/>
          <w:spacing w:val="-4"/>
        </w:rPr>
        <w:t>d’un</w:t>
      </w:r>
      <w:r>
        <w:rPr>
          <w:color w:val="231F20"/>
          <w:spacing w:val="-7"/>
        </w:rPr>
        <w:t> </w:t>
      </w:r>
      <w:r>
        <w:rPr>
          <w:color w:val="231F20"/>
          <w:spacing w:val="-4"/>
        </w:rPr>
        <w:t>rapport</w:t>
      </w:r>
      <w:r>
        <w:rPr>
          <w:color w:val="231F20"/>
          <w:spacing w:val="-9"/>
        </w:rPr>
        <w:t> </w:t>
      </w:r>
      <w:r>
        <w:rPr>
          <w:color w:val="231F20"/>
          <w:spacing w:val="-4"/>
        </w:rPr>
        <w:t>de</w:t>
      </w:r>
      <w:r>
        <w:rPr>
          <w:color w:val="231F20"/>
          <w:spacing w:val="-6"/>
        </w:rPr>
        <w:t> </w:t>
      </w:r>
      <w:r>
        <w:rPr>
          <w:color w:val="231F20"/>
          <w:spacing w:val="-4"/>
        </w:rPr>
        <w:t>forces</w:t>
      </w:r>
      <w:r>
        <w:rPr>
          <w:color w:val="231F20"/>
          <w:spacing w:val="-7"/>
        </w:rPr>
        <w:t> </w:t>
      </w:r>
      <w:r>
        <w:rPr>
          <w:color w:val="231F20"/>
          <w:spacing w:val="-4"/>
        </w:rPr>
        <w:t>modifié.</w:t>
      </w:r>
      <w:r>
        <w:rPr>
          <w:color w:val="231F20"/>
          <w:spacing w:val="-7"/>
        </w:rPr>
        <w:t> </w:t>
      </w:r>
      <w:r>
        <w:rPr>
          <w:color w:val="231F20"/>
          <w:spacing w:val="-4"/>
        </w:rPr>
        <w:t>Il</w:t>
      </w:r>
      <w:r>
        <w:rPr>
          <w:color w:val="231F20"/>
          <w:spacing w:val="-5"/>
        </w:rPr>
        <w:t> </w:t>
      </w:r>
      <w:r>
        <w:rPr>
          <w:color w:val="231F20"/>
          <w:spacing w:val="-4"/>
        </w:rPr>
        <w:t>lance</w:t>
      </w:r>
      <w:r>
        <w:rPr>
          <w:color w:val="231F20"/>
          <w:spacing w:val="-9"/>
        </w:rPr>
        <w:t> </w:t>
      </w:r>
      <w:r>
        <w:rPr>
          <w:color w:val="231F20"/>
          <w:spacing w:val="-4"/>
        </w:rPr>
        <w:t>le</w:t>
      </w:r>
      <w:r>
        <w:rPr>
          <w:color w:val="231F20"/>
          <w:spacing w:val="-6"/>
        </w:rPr>
        <w:t> </w:t>
      </w:r>
      <w:r>
        <w:rPr>
          <w:color w:val="231F20"/>
          <w:spacing w:val="-4"/>
        </w:rPr>
        <w:t>4</w:t>
      </w:r>
      <w:r>
        <w:rPr>
          <w:color w:val="231F20"/>
          <w:spacing w:val="-6"/>
        </w:rPr>
        <w:t> </w:t>
      </w:r>
      <w:r>
        <w:rPr>
          <w:color w:val="231F20"/>
          <w:spacing w:val="-4"/>
        </w:rPr>
        <w:t>novembre</w:t>
      </w:r>
      <w:r>
        <w:rPr>
          <w:color w:val="231F20"/>
          <w:spacing w:val="-6"/>
        </w:rPr>
        <w:t> </w:t>
      </w:r>
      <w:r>
        <w:rPr>
          <w:color w:val="231F20"/>
          <w:spacing w:val="-4"/>
        </w:rPr>
        <w:t>2004,</w:t>
      </w:r>
    </w:p>
    <w:p>
      <w:pPr>
        <w:pStyle w:val="BodyText"/>
        <w:ind w:left="0"/>
        <w:jc w:val="left"/>
        <w:rPr>
          <w:sz w:val="20"/>
        </w:rPr>
      </w:pPr>
    </w:p>
    <w:p>
      <w:pPr>
        <w:pStyle w:val="BodyText"/>
        <w:spacing w:before="25"/>
        <w:ind w:left="0"/>
        <w:jc w:val="left"/>
        <w:rPr>
          <w:sz w:val="20"/>
        </w:rPr>
      </w:pPr>
      <w:r>
        <w:rPr/>
        <mc:AlternateContent>
          <mc:Choice Requires="wps">
            <w:drawing>
              <wp:anchor distT="0" distB="0" distL="0" distR="0" allowOverlap="1" layoutInCell="1" locked="0" behindDoc="1" simplePos="0" relativeHeight="487648256">
                <wp:simplePos x="0" y="0"/>
                <wp:positionH relativeFrom="page">
                  <wp:posOffset>629907</wp:posOffset>
                </wp:positionH>
                <wp:positionV relativeFrom="paragraph">
                  <wp:posOffset>177545</wp:posOffset>
                </wp:positionV>
                <wp:extent cx="1829435" cy="9525"/>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979961pt;width:144.020pt;height:.72pt;mso-position-horizontal-relative:page;mso-position-vertical-relative:paragraph;z-index:-15668224;mso-wrap-distance-left:0;mso-wrap-distance-right:0" id="docshape145" filled="true" fillcolor="#231f20" stroked="false">
                <v:fill type="solid"/>
                <w10:wrap type="topAndBottom"/>
              </v:rect>
            </w:pict>
          </mc:Fallback>
        </mc:AlternateContent>
      </w:r>
    </w:p>
    <w:p>
      <w:pPr>
        <w:spacing w:before="91"/>
        <w:ind w:left="111" w:right="0" w:firstLine="0"/>
        <w:jc w:val="both"/>
        <w:rPr>
          <w:sz w:val="20"/>
        </w:rPr>
      </w:pPr>
      <w:r>
        <w:rPr>
          <w:color w:val="76787A"/>
          <w:sz w:val="20"/>
          <w:vertAlign w:val="superscript"/>
        </w:rPr>
        <w:t>195</w:t>
      </w:r>
      <w:r>
        <w:rPr>
          <w:color w:val="76787A"/>
          <w:spacing w:val="-9"/>
          <w:sz w:val="20"/>
          <w:vertAlign w:val="baseline"/>
        </w:rPr>
        <w:t> </w:t>
      </w:r>
      <w:r>
        <w:rPr>
          <w:color w:val="231F20"/>
          <w:sz w:val="20"/>
          <w:vertAlign w:val="baseline"/>
        </w:rPr>
        <w:t>Extrait</w:t>
      </w:r>
      <w:r>
        <w:rPr>
          <w:color w:val="231F20"/>
          <w:spacing w:val="-12"/>
          <w:sz w:val="20"/>
          <w:vertAlign w:val="baseline"/>
        </w:rPr>
        <w:t> </w:t>
      </w:r>
      <w:r>
        <w:rPr>
          <w:color w:val="231F20"/>
          <w:sz w:val="20"/>
          <w:vertAlign w:val="baseline"/>
        </w:rPr>
        <w:t>:</w:t>
      </w:r>
      <w:r>
        <w:rPr>
          <w:color w:val="231F20"/>
          <w:spacing w:val="8"/>
          <w:sz w:val="20"/>
          <w:vertAlign w:val="baseline"/>
        </w:rPr>
        <w:t> </w:t>
      </w:r>
      <w:r>
        <w:rPr>
          <w:color w:val="231F20"/>
          <w:sz w:val="20"/>
          <w:vertAlign w:val="baseline"/>
        </w:rPr>
        <w:t>Les</w:t>
      </w:r>
      <w:r>
        <w:rPr>
          <w:color w:val="231F20"/>
          <w:spacing w:val="8"/>
          <w:sz w:val="20"/>
          <w:vertAlign w:val="baseline"/>
        </w:rPr>
        <w:t> </w:t>
      </w:r>
      <w:r>
        <w:rPr>
          <w:color w:val="231F20"/>
          <w:sz w:val="20"/>
          <w:vertAlign w:val="baseline"/>
        </w:rPr>
        <w:t>frontières</w:t>
      </w:r>
      <w:r>
        <w:rPr>
          <w:color w:val="231F20"/>
          <w:spacing w:val="8"/>
          <w:sz w:val="20"/>
          <w:vertAlign w:val="baseline"/>
        </w:rPr>
        <w:t> </w:t>
      </w:r>
      <w:r>
        <w:rPr>
          <w:color w:val="231F20"/>
          <w:sz w:val="20"/>
          <w:vertAlign w:val="baseline"/>
        </w:rPr>
        <w:t>nord</w:t>
      </w:r>
      <w:r>
        <w:rPr>
          <w:color w:val="231F20"/>
          <w:spacing w:val="8"/>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la</w:t>
      </w:r>
      <w:r>
        <w:rPr>
          <w:color w:val="231F20"/>
          <w:spacing w:val="8"/>
          <w:sz w:val="20"/>
          <w:vertAlign w:val="baseline"/>
        </w:rPr>
        <w:t> </w:t>
      </w:r>
      <w:r>
        <w:rPr>
          <w:color w:val="231F20"/>
          <w:sz w:val="20"/>
          <w:vertAlign w:val="baseline"/>
        </w:rPr>
        <w:t>Côte-d’Ivoire</w:t>
      </w:r>
      <w:r>
        <w:rPr>
          <w:color w:val="231F20"/>
          <w:spacing w:val="7"/>
          <w:sz w:val="20"/>
          <w:vertAlign w:val="baseline"/>
        </w:rPr>
        <w:t> </w:t>
      </w:r>
      <w:r>
        <w:rPr>
          <w:color w:val="231F20"/>
          <w:sz w:val="20"/>
          <w:vertAlign w:val="baseline"/>
        </w:rPr>
        <w:t>dans</w:t>
      </w:r>
      <w:r>
        <w:rPr>
          <w:color w:val="231F20"/>
          <w:spacing w:val="7"/>
          <w:sz w:val="20"/>
          <w:vertAlign w:val="baseline"/>
        </w:rPr>
        <w:t> </w:t>
      </w:r>
      <w:r>
        <w:rPr>
          <w:color w:val="231F20"/>
          <w:sz w:val="20"/>
          <w:vertAlign w:val="baseline"/>
        </w:rPr>
        <w:t>un</w:t>
      </w:r>
      <w:r>
        <w:rPr>
          <w:color w:val="231F20"/>
          <w:spacing w:val="9"/>
          <w:sz w:val="20"/>
          <w:vertAlign w:val="baseline"/>
        </w:rPr>
        <w:t> </w:t>
      </w:r>
      <w:r>
        <w:rPr>
          <w:color w:val="231F20"/>
          <w:sz w:val="20"/>
          <w:vertAlign w:val="baseline"/>
        </w:rPr>
        <w:t>contexte</w:t>
      </w:r>
      <w:r>
        <w:rPr>
          <w:color w:val="231F20"/>
          <w:spacing w:val="7"/>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crise.</w:t>
      </w:r>
      <w:r>
        <w:rPr>
          <w:color w:val="231F20"/>
          <w:spacing w:val="9"/>
          <w:sz w:val="20"/>
          <w:vertAlign w:val="baseline"/>
        </w:rPr>
        <w:t> </w:t>
      </w:r>
      <w:r>
        <w:rPr>
          <w:color w:val="231F20"/>
          <w:spacing w:val="-2"/>
          <w:sz w:val="20"/>
          <w:vertAlign w:val="baseline"/>
        </w:rPr>
        <w:t>Dabié</w:t>
      </w:r>
    </w:p>
    <w:p>
      <w:pPr>
        <w:spacing w:before="1"/>
        <w:ind w:left="111" w:right="0" w:firstLine="0"/>
        <w:jc w:val="both"/>
        <w:rPr>
          <w:sz w:val="20"/>
        </w:rPr>
      </w:pPr>
      <w:r>
        <w:rPr>
          <w:color w:val="231F20"/>
          <w:spacing w:val="-4"/>
          <w:sz w:val="20"/>
        </w:rPr>
        <w:t>Désiré</w:t>
      </w:r>
      <w:r>
        <w:rPr>
          <w:color w:val="231F20"/>
          <w:spacing w:val="-2"/>
          <w:sz w:val="20"/>
        </w:rPr>
        <w:t> </w:t>
      </w:r>
      <w:r>
        <w:rPr>
          <w:color w:val="231F20"/>
          <w:spacing w:val="-4"/>
          <w:sz w:val="20"/>
        </w:rPr>
        <w:t>Axel Nassa.</w:t>
      </w:r>
    </w:p>
    <w:p>
      <w:pPr>
        <w:spacing w:before="1"/>
        <w:ind w:left="111" w:right="106" w:hanging="1"/>
        <w:jc w:val="both"/>
        <w:rPr>
          <w:sz w:val="20"/>
        </w:rPr>
      </w:pPr>
      <w:r>
        <w:rPr>
          <w:color w:val="76787A"/>
          <w:sz w:val="20"/>
          <w:vertAlign w:val="superscript"/>
        </w:rPr>
        <w:t>196</w:t>
      </w:r>
      <w:r>
        <w:rPr>
          <w:color w:val="76787A"/>
          <w:spacing w:val="-7"/>
          <w:sz w:val="20"/>
          <w:vertAlign w:val="baseline"/>
        </w:rPr>
        <w:t> </w:t>
      </w:r>
      <w:r>
        <w:rPr>
          <w:color w:val="231F20"/>
          <w:sz w:val="20"/>
          <w:vertAlign w:val="baseline"/>
        </w:rPr>
        <w:t>Extrait</w:t>
      </w:r>
      <w:r>
        <w:rPr>
          <w:color w:val="231F20"/>
          <w:spacing w:val="-13"/>
          <w:sz w:val="20"/>
          <w:vertAlign w:val="baseline"/>
        </w:rPr>
        <w:t> </w:t>
      </w:r>
      <w:r>
        <w:rPr>
          <w:color w:val="231F20"/>
          <w:sz w:val="20"/>
          <w:vertAlign w:val="baseline"/>
        </w:rPr>
        <w:t>: Les frontières nord de la Côte-d’Ivoire dans un contexte de crise. Dabié Désiré Axel Nassa.</w:t>
      </w:r>
    </w:p>
    <w:p>
      <w:pPr>
        <w:spacing w:before="0"/>
        <w:ind w:left="111" w:right="110" w:firstLine="0"/>
        <w:jc w:val="both"/>
        <w:rPr>
          <w:sz w:val="20"/>
        </w:rPr>
      </w:pPr>
      <w:r>
        <w:rPr>
          <w:color w:val="76787A"/>
          <w:sz w:val="20"/>
          <w:vertAlign w:val="superscript"/>
        </w:rPr>
        <w:t>197</w:t>
      </w:r>
      <w:r>
        <w:rPr>
          <w:color w:val="76787A"/>
          <w:spacing w:val="-3"/>
          <w:sz w:val="20"/>
          <w:vertAlign w:val="baseline"/>
        </w:rPr>
        <w:t> </w:t>
      </w:r>
      <w:r>
        <w:rPr>
          <w:color w:val="231F20"/>
          <w:sz w:val="20"/>
          <w:vertAlign w:val="baseline"/>
        </w:rPr>
        <w:t>Le Processus de Kimberley est un forum de négociation international tripartite réunissant les</w:t>
      </w:r>
      <w:r>
        <w:rPr>
          <w:color w:val="231F20"/>
          <w:spacing w:val="-1"/>
          <w:sz w:val="20"/>
          <w:vertAlign w:val="baseline"/>
        </w:rPr>
        <w:t> </w:t>
      </w:r>
      <w:r>
        <w:rPr>
          <w:color w:val="231F20"/>
          <w:sz w:val="20"/>
          <w:vertAlign w:val="baseline"/>
        </w:rPr>
        <w:t>représentants</w:t>
      </w:r>
      <w:r>
        <w:rPr>
          <w:color w:val="231F20"/>
          <w:spacing w:val="-1"/>
          <w:sz w:val="20"/>
          <w:vertAlign w:val="baseline"/>
        </w:rPr>
        <w:t> </w:t>
      </w:r>
      <w:r>
        <w:rPr>
          <w:color w:val="231F20"/>
          <w:sz w:val="20"/>
          <w:vertAlign w:val="baseline"/>
        </w:rPr>
        <w:t>des États, de l'industrie du diamant et de la société civile depuis mai 2000</w:t>
      </w:r>
    </w:p>
    <w:p>
      <w:pPr>
        <w:spacing w:before="0"/>
        <w:ind w:left="111" w:right="0" w:firstLine="0"/>
        <w:jc w:val="both"/>
        <w:rPr>
          <w:sz w:val="20"/>
        </w:rPr>
      </w:pPr>
      <w:r>
        <w:rPr>
          <w:color w:val="76787A"/>
          <w:sz w:val="20"/>
          <w:vertAlign w:val="superscript"/>
        </w:rPr>
        <w:t>198</w:t>
      </w:r>
      <w:r>
        <w:rPr>
          <w:color w:val="76787A"/>
          <w:spacing w:val="-9"/>
          <w:sz w:val="20"/>
          <w:vertAlign w:val="baseline"/>
        </w:rPr>
        <w:t> </w:t>
      </w:r>
      <w:r>
        <w:rPr>
          <w:color w:val="231F20"/>
          <w:sz w:val="20"/>
          <w:vertAlign w:val="baseline"/>
        </w:rPr>
        <w:t>Extrait</w:t>
      </w:r>
      <w:r>
        <w:rPr>
          <w:color w:val="231F20"/>
          <w:spacing w:val="-12"/>
          <w:sz w:val="20"/>
          <w:vertAlign w:val="baseline"/>
        </w:rPr>
        <w:t> </w:t>
      </w:r>
      <w:r>
        <w:rPr>
          <w:color w:val="231F20"/>
          <w:sz w:val="20"/>
          <w:vertAlign w:val="baseline"/>
        </w:rPr>
        <w:t>:</w:t>
      </w:r>
      <w:r>
        <w:rPr>
          <w:color w:val="231F20"/>
          <w:spacing w:val="8"/>
          <w:sz w:val="20"/>
          <w:vertAlign w:val="baseline"/>
        </w:rPr>
        <w:t> </w:t>
      </w:r>
      <w:r>
        <w:rPr>
          <w:color w:val="231F20"/>
          <w:sz w:val="20"/>
          <w:vertAlign w:val="baseline"/>
        </w:rPr>
        <w:t>Les</w:t>
      </w:r>
      <w:r>
        <w:rPr>
          <w:color w:val="231F20"/>
          <w:spacing w:val="8"/>
          <w:sz w:val="20"/>
          <w:vertAlign w:val="baseline"/>
        </w:rPr>
        <w:t> </w:t>
      </w:r>
      <w:r>
        <w:rPr>
          <w:color w:val="231F20"/>
          <w:sz w:val="20"/>
          <w:vertAlign w:val="baseline"/>
        </w:rPr>
        <w:t>frontières</w:t>
      </w:r>
      <w:r>
        <w:rPr>
          <w:color w:val="231F20"/>
          <w:spacing w:val="8"/>
          <w:sz w:val="20"/>
          <w:vertAlign w:val="baseline"/>
        </w:rPr>
        <w:t> </w:t>
      </w:r>
      <w:r>
        <w:rPr>
          <w:color w:val="231F20"/>
          <w:sz w:val="20"/>
          <w:vertAlign w:val="baseline"/>
        </w:rPr>
        <w:t>nord</w:t>
      </w:r>
      <w:r>
        <w:rPr>
          <w:color w:val="231F20"/>
          <w:spacing w:val="8"/>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la</w:t>
      </w:r>
      <w:r>
        <w:rPr>
          <w:color w:val="231F20"/>
          <w:spacing w:val="8"/>
          <w:sz w:val="20"/>
          <w:vertAlign w:val="baseline"/>
        </w:rPr>
        <w:t> </w:t>
      </w:r>
      <w:r>
        <w:rPr>
          <w:color w:val="231F20"/>
          <w:sz w:val="20"/>
          <w:vertAlign w:val="baseline"/>
        </w:rPr>
        <w:t>Côte-d’Ivoire</w:t>
      </w:r>
      <w:r>
        <w:rPr>
          <w:color w:val="231F20"/>
          <w:spacing w:val="7"/>
          <w:sz w:val="20"/>
          <w:vertAlign w:val="baseline"/>
        </w:rPr>
        <w:t> </w:t>
      </w:r>
      <w:r>
        <w:rPr>
          <w:color w:val="231F20"/>
          <w:sz w:val="20"/>
          <w:vertAlign w:val="baseline"/>
        </w:rPr>
        <w:t>dans</w:t>
      </w:r>
      <w:r>
        <w:rPr>
          <w:color w:val="231F20"/>
          <w:spacing w:val="7"/>
          <w:sz w:val="20"/>
          <w:vertAlign w:val="baseline"/>
        </w:rPr>
        <w:t> </w:t>
      </w:r>
      <w:r>
        <w:rPr>
          <w:color w:val="231F20"/>
          <w:sz w:val="20"/>
          <w:vertAlign w:val="baseline"/>
        </w:rPr>
        <w:t>un</w:t>
      </w:r>
      <w:r>
        <w:rPr>
          <w:color w:val="231F20"/>
          <w:spacing w:val="9"/>
          <w:sz w:val="20"/>
          <w:vertAlign w:val="baseline"/>
        </w:rPr>
        <w:t> </w:t>
      </w:r>
      <w:r>
        <w:rPr>
          <w:color w:val="231F20"/>
          <w:sz w:val="20"/>
          <w:vertAlign w:val="baseline"/>
        </w:rPr>
        <w:t>contexte</w:t>
      </w:r>
      <w:r>
        <w:rPr>
          <w:color w:val="231F20"/>
          <w:spacing w:val="7"/>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crise.</w:t>
      </w:r>
      <w:r>
        <w:rPr>
          <w:color w:val="231F20"/>
          <w:spacing w:val="9"/>
          <w:sz w:val="20"/>
          <w:vertAlign w:val="baseline"/>
        </w:rPr>
        <w:t> </w:t>
      </w:r>
      <w:r>
        <w:rPr>
          <w:color w:val="231F20"/>
          <w:spacing w:val="-2"/>
          <w:sz w:val="20"/>
          <w:vertAlign w:val="baseline"/>
        </w:rPr>
        <w:t>Dabié</w:t>
      </w:r>
    </w:p>
    <w:p>
      <w:pPr>
        <w:spacing w:before="0"/>
        <w:ind w:left="111" w:right="0" w:firstLine="0"/>
        <w:jc w:val="both"/>
        <w:rPr>
          <w:sz w:val="20"/>
        </w:rPr>
      </w:pPr>
      <w:r>
        <w:rPr>
          <w:color w:val="231F20"/>
          <w:spacing w:val="-4"/>
          <w:sz w:val="20"/>
        </w:rPr>
        <w:t>Désiré</w:t>
      </w:r>
      <w:r>
        <w:rPr>
          <w:color w:val="231F20"/>
          <w:spacing w:val="-2"/>
          <w:sz w:val="20"/>
        </w:rPr>
        <w:t> </w:t>
      </w:r>
      <w:r>
        <w:rPr>
          <w:color w:val="231F20"/>
          <w:spacing w:val="-4"/>
          <w:sz w:val="20"/>
        </w:rPr>
        <w:t>Axel Nassa</w:t>
      </w:r>
    </w:p>
    <w:p>
      <w:pPr>
        <w:spacing w:after="0"/>
        <w:jc w:val="both"/>
        <w:rPr>
          <w:sz w:val="20"/>
        </w:rPr>
        <w:sectPr>
          <w:pgSz w:w="8790" w:h="13610"/>
          <w:pgMar w:header="0" w:footer="802" w:top="1060" w:bottom="1000" w:left="880" w:right="880"/>
        </w:sectPr>
      </w:pPr>
    </w:p>
    <w:p>
      <w:pPr>
        <w:spacing w:before="66"/>
        <w:ind w:left="111" w:right="106" w:firstLine="0"/>
        <w:jc w:val="both"/>
        <w:rPr>
          <w:sz w:val="24"/>
        </w:rPr>
      </w:pPr>
      <w:r>
        <w:rPr>
          <w:i/>
          <w:color w:val="231F20"/>
          <w:sz w:val="24"/>
        </w:rPr>
        <w:t>«</w:t>
      </w:r>
      <w:r>
        <w:rPr>
          <w:i/>
          <w:color w:val="231F20"/>
          <w:spacing w:val="-15"/>
          <w:sz w:val="24"/>
        </w:rPr>
        <w:t> </w:t>
      </w:r>
      <w:r>
        <w:rPr>
          <w:i/>
          <w:color w:val="231F20"/>
          <w:sz w:val="24"/>
        </w:rPr>
        <w:t>l’opération</w:t>
      </w:r>
      <w:r>
        <w:rPr>
          <w:i/>
          <w:color w:val="231F20"/>
          <w:spacing w:val="-9"/>
          <w:sz w:val="24"/>
        </w:rPr>
        <w:t> </w:t>
      </w:r>
      <w:r>
        <w:rPr>
          <w:i/>
          <w:color w:val="231F20"/>
          <w:sz w:val="24"/>
        </w:rPr>
        <w:t>Dignité</w:t>
      </w:r>
      <w:r>
        <w:rPr>
          <w:i/>
          <w:color w:val="231F20"/>
          <w:spacing w:val="-15"/>
          <w:sz w:val="24"/>
        </w:rPr>
        <w:t> </w:t>
      </w:r>
      <w:r>
        <w:rPr>
          <w:i/>
          <w:color w:val="231F20"/>
          <w:sz w:val="24"/>
        </w:rPr>
        <w:t>», </w:t>
      </w:r>
      <w:r>
        <w:rPr>
          <w:color w:val="231F20"/>
          <w:sz w:val="24"/>
        </w:rPr>
        <w:t>une offensive aérienne contre les</w:t>
      </w:r>
      <w:r>
        <w:rPr>
          <w:color w:val="231F20"/>
          <w:spacing w:val="-2"/>
          <w:sz w:val="24"/>
        </w:rPr>
        <w:t> </w:t>
      </w:r>
      <w:r>
        <w:rPr>
          <w:color w:val="231F20"/>
          <w:sz w:val="24"/>
        </w:rPr>
        <w:t>positions des Forces nouvelles.</w:t>
      </w:r>
    </w:p>
    <w:p>
      <w:pPr>
        <w:pStyle w:val="BodyText"/>
        <w:spacing w:before="120"/>
        <w:ind w:right="104" w:firstLine="283"/>
      </w:pPr>
      <w:r>
        <w:rPr>
          <w:color w:val="231F20"/>
        </w:rPr>
        <w:t>Le</w:t>
      </w:r>
      <w:r>
        <w:rPr>
          <w:color w:val="231F20"/>
          <w:spacing w:val="-2"/>
        </w:rPr>
        <w:t> </w:t>
      </w:r>
      <w:r>
        <w:rPr>
          <w:color w:val="231F20"/>
        </w:rPr>
        <w:t>6</w:t>
      </w:r>
      <w:r>
        <w:rPr>
          <w:color w:val="231F20"/>
          <w:spacing w:val="-1"/>
        </w:rPr>
        <w:t> </w:t>
      </w:r>
      <w:r>
        <w:rPr>
          <w:color w:val="231F20"/>
        </w:rPr>
        <w:t>novembre,</w:t>
      </w:r>
      <w:r>
        <w:rPr>
          <w:color w:val="231F20"/>
          <w:spacing w:val="-2"/>
        </w:rPr>
        <w:t> </w:t>
      </w:r>
      <w:r>
        <w:rPr>
          <w:color w:val="231F20"/>
        </w:rPr>
        <w:t>l’un</w:t>
      </w:r>
      <w:r>
        <w:rPr>
          <w:color w:val="231F20"/>
          <w:spacing w:val="-1"/>
        </w:rPr>
        <w:t> </w:t>
      </w:r>
      <w:r>
        <w:rPr>
          <w:color w:val="231F20"/>
        </w:rPr>
        <w:t>des</w:t>
      </w:r>
      <w:r>
        <w:rPr>
          <w:color w:val="231F20"/>
          <w:spacing w:val="-4"/>
        </w:rPr>
        <w:t> </w:t>
      </w:r>
      <w:r>
        <w:rPr>
          <w:color w:val="231F20"/>
        </w:rPr>
        <w:t>deux</w:t>
      </w:r>
      <w:r>
        <w:rPr>
          <w:color w:val="231F20"/>
          <w:spacing w:val="-2"/>
        </w:rPr>
        <w:t> </w:t>
      </w:r>
      <w:r>
        <w:rPr>
          <w:color w:val="231F20"/>
        </w:rPr>
        <w:t>avions</w:t>
      </w:r>
      <w:r>
        <w:rPr>
          <w:color w:val="231F20"/>
          <w:spacing w:val="-4"/>
        </w:rPr>
        <w:t> </w:t>
      </w:r>
      <w:r>
        <w:rPr>
          <w:color w:val="231F20"/>
        </w:rPr>
        <w:t>Sukhoï</w:t>
      </w:r>
      <w:r>
        <w:rPr>
          <w:color w:val="231F20"/>
          <w:spacing w:val="-4"/>
        </w:rPr>
        <w:t> </w:t>
      </w:r>
      <w:r>
        <w:rPr>
          <w:color w:val="231F20"/>
        </w:rPr>
        <w:t>ivoiriens</w:t>
      </w:r>
      <w:r>
        <w:rPr>
          <w:color w:val="231F20"/>
          <w:spacing w:val="-2"/>
        </w:rPr>
        <w:t> </w:t>
      </w:r>
      <w:r>
        <w:rPr>
          <w:color w:val="231F20"/>
        </w:rPr>
        <w:t>bombarde</w:t>
      </w:r>
      <w:r>
        <w:rPr>
          <w:color w:val="231F20"/>
          <w:spacing w:val="-1"/>
        </w:rPr>
        <w:t> </w:t>
      </w:r>
      <w:r>
        <w:rPr>
          <w:color w:val="231F20"/>
        </w:rPr>
        <w:t>un </w:t>
      </w:r>
      <w:r>
        <w:rPr>
          <w:color w:val="231F20"/>
          <w:spacing w:val="-2"/>
        </w:rPr>
        <w:t>campement</w:t>
      </w:r>
      <w:r>
        <w:rPr>
          <w:color w:val="231F20"/>
          <w:spacing w:val="-15"/>
        </w:rPr>
        <w:t> </w:t>
      </w:r>
      <w:r>
        <w:rPr>
          <w:color w:val="231F20"/>
          <w:spacing w:val="-2"/>
        </w:rPr>
        <w:t>français</w:t>
      </w:r>
      <w:r>
        <w:rPr>
          <w:color w:val="231F20"/>
          <w:spacing w:val="-13"/>
        </w:rPr>
        <w:t> </w:t>
      </w:r>
      <w:r>
        <w:rPr>
          <w:color w:val="231F20"/>
          <w:spacing w:val="-2"/>
        </w:rPr>
        <w:t>à</w:t>
      </w:r>
      <w:r>
        <w:rPr>
          <w:color w:val="231F20"/>
          <w:spacing w:val="-13"/>
        </w:rPr>
        <w:t> </w:t>
      </w:r>
      <w:r>
        <w:rPr>
          <w:color w:val="231F20"/>
          <w:spacing w:val="-2"/>
        </w:rPr>
        <w:t>Bouaké.</w:t>
      </w:r>
      <w:r>
        <w:rPr>
          <w:color w:val="231F20"/>
          <w:spacing w:val="-13"/>
        </w:rPr>
        <w:t> </w:t>
      </w:r>
      <w:r>
        <w:rPr>
          <w:color w:val="231F20"/>
          <w:spacing w:val="-2"/>
        </w:rPr>
        <w:t>Neuf</w:t>
      </w:r>
      <w:r>
        <w:rPr>
          <w:color w:val="231F20"/>
          <w:spacing w:val="-13"/>
        </w:rPr>
        <w:t> </w:t>
      </w:r>
      <w:r>
        <w:rPr>
          <w:color w:val="231F20"/>
          <w:spacing w:val="-2"/>
        </w:rPr>
        <w:t>soldats</w:t>
      </w:r>
      <w:r>
        <w:rPr>
          <w:color w:val="231F20"/>
          <w:spacing w:val="-13"/>
        </w:rPr>
        <w:t> </w:t>
      </w:r>
      <w:r>
        <w:rPr>
          <w:color w:val="231F20"/>
          <w:spacing w:val="-2"/>
        </w:rPr>
        <w:t>français</w:t>
      </w:r>
      <w:r>
        <w:rPr>
          <w:color w:val="231F20"/>
          <w:spacing w:val="-13"/>
        </w:rPr>
        <w:t> </w:t>
      </w:r>
      <w:r>
        <w:rPr>
          <w:color w:val="231F20"/>
          <w:spacing w:val="-2"/>
        </w:rPr>
        <w:t>et</w:t>
      </w:r>
      <w:r>
        <w:rPr>
          <w:color w:val="231F20"/>
          <w:spacing w:val="-13"/>
        </w:rPr>
        <w:t> </w:t>
      </w:r>
      <w:r>
        <w:rPr>
          <w:color w:val="231F20"/>
          <w:spacing w:val="-2"/>
        </w:rPr>
        <w:t>un</w:t>
      </w:r>
      <w:r>
        <w:rPr>
          <w:color w:val="231F20"/>
          <w:spacing w:val="-13"/>
        </w:rPr>
        <w:t> </w:t>
      </w:r>
      <w:r>
        <w:rPr>
          <w:color w:val="231F20"/>
          <w:spacing w:val="-2"/>
        </w:rPr>
        <w:t>civil</w:t>
      </w:r>
      <w:r>
        <w:rPr>
          <w:color w:val="231F20"/>
          <w:spacing w:val="-13"/>
        </w:rPr>
        <w:t> </w:t>
      </w:r>
      <w:r>
        <w:rPr>
          <w:color w:val="231F20"/>
          <w:spacing w:val="-2"/>
        </w:rPr>
        <w:t>américain </w:t>
      </w:r>
      <w:r>
        <w:rPr>
          <w:color w:val="231F20"/>
          <w:spacing w:val="-4"/>
        </w:rPr>
        <w:t>y</w:t>
      </w:r>
      <w:r>
        <w:rPr>
          <w:color w:val="231F20"/>
          <w:spacing w:val="-11"/>
        </w:rPr>
        <w:t> </w:t>
      </w:r>
      <w:r>
        <w:rPr>
          <w:color w:val="231F20"/>
          <w:spacing w:val="-4"/>
        </w:rPr>
        <w:t>trouvent</w:t>
      </w:r>
      <w:r>
        <w:rPr>
          <w:color w:val="231F20"/>
          <w:spacing w:val="-11"/>
        </w:rPr>
        <w:t> </w:t>
      </w:r>
      <w:r>
        <w:rPr>
          <w:color w:val="231F20"/>
          <w:spacing w:val="-4"/>
        </w:rPr>
        <w:t>la</w:t>
      </w:r>
      <w:r>
        <w:rPr>
          <w:color w:val="231F20"/>
          <w:spacing w:val="-11"/>
        </w:rPr>
        <w:t> </w:t>
      </w:r>
      <w:r>
        <w:rPr>
          <w:color w:val="231F20"/>
          <w:spacing w:val="-4"/>
        </w:rPr>
        <w:t>mort.</w:t>
      </w:r>
      <w:r>
        <w:rPr>
          <w:color w:val="231F20"/>
          <w:spacing w:val="-11"/>
        </w:rPr>
        <w:t> </w:t>
      </w:r>
      <w:r>
        <w:rPr>
          <w:color w:val="231F20"/>
          <w:spacing w:val="-4"/>
        </w:rPr>
        <w:t>En</w:t>
      </w:r>
      <w:r>
        <w:rPr>
          <w:color w:val="231F20"/>
          <w:spacing w:val="-11"/>
        </w:rPr>
        <w:t> </w:t>
      </w:r>
      <w:r>
        <w:rPr>
          <w:color w:val="231F20"/>
          <w:spacing w:val="-4"/>
        </w:rPr>
        <w:t>représailles,</w:t>
      </w:r>
      <w:r>
        <w:rPr>
          <w:color w:val="231F20"/>
          <w:spacing w:val="-11"/>
        </w:rPr>
        <w:t> </w:t>
      </w:r>
      <w:r>
        <w:rPr>
          <w:color w:val="231F20"/>
          <w:spacing w:val="-4"/>
        </w:rPr>
        <w:t>Paris</w:t>
      </w:r>
      <w:r>
        <w:rPr>
          <w:color w:val="231F20"/>
          <w:spacing w:val="-11"/>
        </w:rPr>
        <w:t> </w:t>
      </w:r>
      <w:r>
        <w:rPr>
          <w:color w:val="231F20"/>
          <w:spacing w:val="-4"/>
        </w:rPr>
        <w:t>ordonne</w:t>
      </w:r>
      <w:r>
        <w:rPr>
          <w:color w:val="231F20"/>
          <w:spacing w:val="-11"/>
        </w:rPr>
        <w:t> </w:t>
      </w:r>
      <w:r>
        <w:rPr>
          <w:color w:val="231F20"/>
          <w:spacing w:val="-4"/>
        </w:rPr>
        <w:t>la</w:t>
      </w:r>
      <w:r>
        <w:rPr>
          <w:color w:val="231F20"/>
          <w:spacing w:val="-11"/>
        </w:rPr>
        <w:t> </w:t>
      </w:r>
      <w:r>
        <w:rPr>
          <w:color w:val="231F20"/>
          <w:spacing w:val="-4"/>
        </w:rPr>
        <w:t>destruction</w:t>
      </w:r>
      <w:r>
        <w:rPr>
          <w:color w:val="231F20"/>
          <w:spacing w:val="-11"/>
        </w:rPr>
        <w:t> </w:t>
      </w:r>
      <w:r>
        <w:rPr>
          <w:color w:val="231F20"/>
          <w:spacing w:val="-4"/>
        </w:rPr>
        <w:t>immédiate </w:t>
      </w:r>
      <w:r>
        <w:rPr>
          <w:color w:val="231F20"/>
        </w:rPr>
        <w:t>de la flotte aérienne ivoirienne basée au sol, puis la prise de contrôle d’Abidjan par les militaires français</w:t>
      </w:r>
      <w:r>
        <w:rPr>
          <w:color w:val="231F20"/>
          <w:spacing w:val="-15"/>
        </w:rPr>
        <w:t> </w:t>
      </w:r>
      <w:r>
        <w:rPr>
          <w:color w:val="231F20"/>
        </w:rPr>
        <w:t>: l’Aéroport d’Abidjan, les deux </w:t>
      </w:r>
      <w:r>
        <w:rPr>
          <w:color w:val="231F20"/>
          <w:spacing w:val="-2"/>
        </w:rPr>
        <w:t>ponts</w:t>
      </w:r>
      <w:r>
        <w:rPr>
          <w:color w:val="231F20"/>
          <w:spacing w:val="-9"/>
        </w:rPr>
        <w:t> </w:t>
      </w:r>
      <w:r>
        <w:rPr>
          <w:color w:val="231F20"/>
          <w:spacing w:val="-2"/>
        </w:rPr>
        <w:t>qui</w:t>
      </w:r>
      <w:r>
        <w:rPr>
          <w:color w:val="231F20"/>
          <w:spacing w:val="-9"/>
        </w:rPr>
        <w:t> </w:t>
      </w:r>
      <w:r>
        <w:rPr>
          <w:color w:val="231F20"/>
          <w:spacing w:val="-2"/>
        </w:rPr>
        <w:t>enjambent</w:t>
      </w:r>
      <w:r>
        <w:rPr>
          <w:color w:val="231F20"/>
          <w:spacing w:val="-8"/>
        </w:rPr>
        <w:t> </w:t>
      </w:r>
      <w:r>
        <w:rPr>
          <w:color w:val="231F20"/>
          <w:spacing w:val="-2"/>
        </w:rPr>
        <w:t>la</w:t>
      </w:r>
      <w:r>
        <w:rPr>
          <w:color w:val="231F20"/>
          <w:spacing w:val="-9"/>
        </w:rPr>
        <w:t> </w:t>
      </w:r>
      <w:r>
        <w:rPr>
          <w:color w:val="231F20"/>
          <w:spacing w:val="-2"/>
        </w:rPr>
        <w:t>lagune</w:t>
      </w:r>
      <w:r>
        <w:rPr>
          <w:color w:val="231F20"/>
          <w:spacing w:val="-8"/>
        </w:rPr>
        <w:t> </w:t>
      </w:r>
      <w:r>
        <w:rPr>
          <w:color w:val="231F20"/>
          <w:spacing w:val="-2"/>
        </w:rPr>
        <w:t>ébrié</w:t>
      </w:r>
      <w:r>
        <w:rPr>
          <w:color w:val="231F20"/>
          <w:spacing w:val="-9"/>
        </w:rPr>
        <w:t> </w:t>
      </w:r>
      <w:r>
        <w:rPr>
          <w:color w:val="231F20"/>
          <w:spacing w:val="-2"/>
        </w:rPr>
        <w:t>et</w:t>
      </w:r>
      <w:r>
        <w:rPr>
          <w:color w:val="231F20"/>
          <w:spacing w:val="-9"/>
        </w:rPr>
        <w:t> </w:t>
      </w:r>
      <w:r>
        <w:rPr>
          <w:color w:val="231F20"/>
          <w:spacing w:val="-2"/>
        </w:rPr>
        <w:t>l’hôtel</w:t>
      </w:r>
      <w:r>
        <w:rPr>
          <w:color w:val="231F20"/>
          <w:spacing w:val="-8"/>
        </w:rPr>
        <w:t> </w:t>
      </w:r>
      <w:r>
        <w:rPr>
          <w:color w:val="231F20"/>
          <w:spacing w:val="-2"/>
        </w:rPr>
        <w:t>Ivoire</w:t>
      </w:r>
      <w:r>
        <w:rPr>
          <w:color w:val="231F20"/>
          <w:spacing w:val="-10"/>
        </w:rPr>
        <w:t> </w:t>
      </w:r>
      <w:r>
        <w:rPr>
          <w:color w:val="231F20"/>
          <w:spacing w:val="-2"/>
        </w:rPr>
        <w:t>sont</w:t>
      </w:r>
      <w:r>
        <w:rPr>
          <w:color w:val="231F20"/>
          <w:spacing w:val="-8"/>
        </w:rPr>
        <w:t> </w:t>
      </w:r>
      <w:r>
        <w:rPr>
          <w:color w:val="231F20"/>
          <w:spacing w:val="-2"/>
        </w:rPr>
        <w:t>immédiatement </w:t>
      </w:r>
      <w:r>
        <w:rPr>
          <w:color w:val="231F20"/>
        </w:rPr>
        <w:t>bouclés par l’armée française.</w:t>
      </w:r>
    </w:p>
    <w:p>
      <w:pPr>
        <w:pStyle w:val="BodyText"/>
        <w:spacing w:before="121"/>
        <w:ind w:right="104" w:firstLine="283"/>
        <w:rPr>
          <w:i/>
        </w:rPr>
      </w:pPr>
      <w:r>
        <w:rPr>
          <w:color w:val="231F20"/>
        </w:rPr>
        <w:t>Cette «</w:t>
      </w:r>
      <w:r>
        <w:rPr>
          <w:color w:val="231F20"/>
          <w:spacing w:val="-11"/>
        </w:rPr>
        <w:t> </w:t>
      </w:r>
      <w:r>
        <w:rPr>
          <w:color w:val="231F20"/>
        </w:rPr>
        <w:t>occupation d’Abidjan</w:t>
      </w:r>
      <w:r>
        <w:rPr>
          <w:color w:val="231F20"/>
          <w:spacing w:val="-13"/>
        </w:rPr>
        <w:t> </w:t>
      </w:r>
      <w:r>
        <w:rPr>
          <w:color w:val="231F20"/>
        </w:rPr>
        <w:t>» provoque dans la ville, une mobilisation</w:t>
      </w:r>
      <w:r>
        <w:rPr>
          <w:color w:val="231F20"/>
          <w:spacing w:val="-13"/>
        </w:rPr>
        <w:t> </w:t>
      </w:r>
      <w:r>
        <w:rPr>
          <w:color w:val="231F20"/>
        </w:rPr>
        <w:t>des</w:t>
      </w:r>
      <w:r>
        <w:rPr>
          <w:color w:val="231F20"/>
          <w:spacing w:val="-13"/>
        </w:rPr>
        <w:t> </w:t>
      </w:r>
      <w:r>
        <w:rPr>
          <w:color w:val="231F20"/>
        </w:rPr>
        <w:t>jeunes</w:t>
      </w:r>
      <w:r>
        <w:rPr>
          <w:color w:val="231F20"/>
          <w:spacing w:val="-11"/>
        </w:rPr>
        <w:t> </w:t>
      </w:r>
      <w:r>
        <w:rPr>
          <w:color w:val="231F20"/>
        </w:rPr>
        <w:t>et</w:t>
      </w:r>
      <w:r>
        <w:rPr>
          <w:color w:val="231F20"/>
          <w:spacing w:val="-13"/>
        </w:rPr>
        <w:t> </w:t>
      </w:r>
      <w:r>
        <w:rPr>
          <w:color w:val="231F20"/>
        </w:rPr>
        <w:t>des</w:t>
      </w:r>
      <w:r>
        <w:rPr>
          <w:color w:val="231F20"/>
          <w:spacing w:val="-13"/>
        </w:rPr>
        <w:t> </w:t>
      </w:r>
      <w:r>
        <w:rPr>
          <w:color w:val="231F20"/>
        </w:rPr>
        <w:t>partisans</w:t>
      </w:r>
      <w:r>
        <w:rPr>
          <w:color w:val="231F20"/>
          <w:spacing w:val="-13"/>
        </w:rPr>
        <w:t> </w:t>
      </w:r>
      <w:r>
        <w:rPr>
          <w:color w:val="231F20"/>
        </w:rPr>
        <w:t>de</w:t>
      </w:r>
      <w:r>
        <w:rPr>
          <w:color w:val="231F20"/>
          <w:spacing w:val="-10"/>
        </w:rPr>
        <w:t> </w:t>
      </w:r>
      <w:r>
        <w:rPr>
          <w:color w:val="231F20"/>
        </w:rPr>
        <w:t>Gbagbo.</w:t>
      </w:r>
      <w:r>
        <w:rPr>
          <w:color w:val="231F20"/>
          <w:spacing w:val="-13"/>
        </w:rPr>
        <w:t> </w:t>
      </w:r>
      <w:r>
        <w:rPr>
          <w:color w:val="231F20"/>
        </w:rPr>
        <w:t>Dans</w:t>
      </w:r>
      <w:r>
        <w:rPr>
          <w:color w:val="231F20"/>
          <w:spacing w:val="-13"/>
        </w:rPr>
        <w:t> </w:t>
      </w:r>
      <w:r>
        <w:rPr>
          <w:color w:val="231F20"/>
        </w:rPr>
        <w:t>la</w:t>
      </w:r>
      <w:r>
        <w:rPr>
          <w:color w:val="231F20"/>
          <w:spacing w:val="-13"/>
        </w:rPr>
        <w:t> </w:t>
      </w:r>
      <w:r>
        <w:rPr>
          <w:color w:val="231F20"/>
        </w:rPr>
        <w:t>nuit</w:t>
      </w:r>
      <w:r>
        <w:rPr>
          <w:color w:val="231F20"/>
          <w:spacing w:val="-11"/>
        </w:rPr>
        <w:t> </w:t>
      </w:r>
      <w:r>
        <w:rPr>
          <w:color w:val="231F20"/>
        </w:rPr>
        <w:t>du</w:t>
      </w:r>
      <w:r>
        <w:rPr>
          <w:color w:val="231F20"/>
          <w:spacing w:val="-11"/>
        </w:rPr>
        <w:t> </w:t>
      </w:r>
      <w:r>
        <w:rPr>
          <w:color w:val="231F20"/>
        </w:rPr>
        <w:t>6</w:t>
      </w:r>
      <w:r>
        <w:rPr>
          <w:color w:val="231F20"/>
          <w:spacing w:val="-13"/>
        </w:rPr>
        <w:t> </w:t>
      </w:r>
      <w:r>
        <w:rPr>
          <w:color w:val="231F20"/>
        </w:rPr>
        <w:t>au 7, des</w:t>
      </w:r>
      <w:r>
        <w:rPr>
          <w:color w:val="231F20"/>
          <w:spacing w:val="-2"/>
        </w:rPr>
        <w:t> </w:t>
      </w:r>
      <w:r>
        <w:rPr>
          <w:color w:val="231F20"/>
        </w:rPr>
        <w:t>milliers de</w:t>
      </w:r>
      <w:r>
        <w:rPr>
          <w:color w:val="231F20"/>
          <w:spacing w:val="-1"/>
        </w:rPr>
        <w:t> </w:t>
      </w:r>
      <w:r>
        <w:rPr>
          <w:color w:val="231F20"/>
        </w:rPr>
        <w:t>manifestants ivoiriens cherchent</w:t>
      </w:r>
      <w:r>
        <w:rPr>
          <w:color w:val="231F20"/>
          <w:spacing w:val="-1"/>
        </w:rPr>
        <w:t> </w:t>
      </w:r>
      <w:r>
        <w:rPr>
          <w:color w:val="231F20"/>
        </w:rPr>
        <w:t>à</w:t>
      </w:r>
      <w:r>
        <w:rPr>
          <w:color w:val="231F20"/>
          <w:spacing w:val="-1"/>
        </w:rPr>
        <w:t> </w:t>
      </w:r>
      <w:r>
        <w:rPr>
          <w:color w:val="231F20"/>
        </w:rPr>
        <w:t>traverser</w:t>
      </w:r>
      <w:r>
        <w:rPr>
          <w:color w:val="231F20"/>
          <w:spacing w:val="-1"/>
        </w:rPr>
        <w:t> </w:t>
      </w:r>
      <w:r>
        <w:rPr>
          <w:color w:val="231F20"/>
        </w:rPr>
        <w:t>les</w:t>
      </w:r>
      <w:r>
        <w:rPr>
          <w:color w:val="231F20"/>
          <w:spacing w:val="-2"/>
        </w:rPr>
        <w:t> </w:t>
      </w:r>
      <w:r>
        <w:rPr>
          <w:color w:val="231F20"/>
        </w:rPr>
        <w:t>ponts menant à l’aéroport et à la base française voisine. Ils se heurtent aux </w:t>
      </w:r>
      <w:r>
        <w:rPr>
          <w:color w:val="231F20"/>
          <w:spacing w:val="-4"/>
        </w:rPr>
        <w:t>barrages et aux</w:t>
      </w:r>
      <w:r>
        <w:rPr>
          <w:color w:val="231F20"/>
          <w:spacing w:val="-7"/>
        </w:rPr>
        <w:t> </w:t>
      </w:r>
      <w:r>
        <w:rPr>
          <w:color w:val="231F20"/>
          <w:spacing w:val="-4"/>
        </w:rPr>
        <w:t>chars des soldats français. L’Armée</w:t>
      </w:r>
      <w:r>
        <w:rPr>
          <w:color w:val="231F20"/>
          <w:spacing w:val="-5"/>
        </w:rPr>
        <w:t> </w:t>
      </w:r>
      <w:r>
        <w:rPr>
          <w:color w:val="231F20"/>
          <w:spacing w:val="-4"/>
        </w:rPr>
        <w:t>française</w:t>
      </w:r>
      <w:r>
        <w:rPr>
          <w:color w:val="231F20"/>
          <w:spacing w:val="-5"/>
        </w:rPr>
        <w:t> </w:t>
      </w:r>
      <w:r>
        <w:rPr>
          <w:color w:val="231F20"/>
          <w:spacing w:val="-4"/>
        </w:rPr>
        <w:t>ouvre</w:t>
      </w:r>
      <w:r>
        <w:rPr>
          <w:color w:val="231F20"/>
          <w:spacing w:val="-8"/>
        </w:rPr>
        <w:t> </w:t>
      </w:r>
      <w:r>
        <w:rPr>
          <w:color w:val="231F20"/>
          <w:spacing w:val="-4"/>
        </w:rPr>
        <w:t>le</w:t>
      </w:r>
      <w:r>
        <w:rPr>
          <w:color w:val="231F20"/>
          <w:spacing w:val="-5"/>
        </w:rPr>
        <w:t> </w:t>
      </w:r>
      <w:r>
        <w:rPr>
          <w:color w:val="231F20"/>
          <w:spacing w:val="-4"/>
        </w:rPr>
        <w:t>feu </w:t>
      </w:r>
      <w:r>
        <w:rPr>
          <w:color w:val="231F20"/>
        </w:rPr>
        <w:t>sur les manifestants trop proches du camp du 43è BIMA, sur les deux ponts et surtout à l’Hôtel Ivoire, à 500 mètres de la Résidence présidentielle</w:t>
      </w:r>
      <w:r>
        <w:rPr>
          <w:color w:val="231F20"/>
          <w:spacing w:val="-10"/>
        </w:rPr>
        <w:t> </w:t>
      </w:r>
      <w:r>
        <w:rPr>
          <w:color w:val="231F20"/>
        </w:rPr>
        <w:t>où</w:t>
      </w:r>
      <w:r>
        <w:rPr>
          <w:color w:val="231F20"/>
          <w:spacing w:val="-9"/>
        </w:rPr>
        <w:t> </w:t>
      </w:r>
      <w:r>
        <w:rPr>
          <w:color w:val="231F20"/>
        </w:rPr>
        <w:t>des</w:t>
      </w:r>
      <w:r>
        <w:rPr>
          <w:color w:val="231F20"/>
          <w:spacing w:val="-8"/>
        </w:rPr>
        <w:t> </w:t>
      </w:r>
      <w:r>
        <w:rPr>
          <w:color w:val="231F20"/>
        </w:rPr>
        <w:t>centaines</w:t>
      </w:r>
      <w:r>
        <w:rPr>
          <w:color w:val="231F20"/>
          <w:spacing w:val="-9"/>
        </w:rPr>
        <w:t> </w:t>
      </w:r>
      <w:r>
        <w:rPr>
          <w:color w:val="231F20"/>
        </w:rPr>
        <w:t>de</w:t>
      </w:r>
      <w:r>
        <w:rPr>
          <w:color w:val="231F20"/>
          <w:spacing w:val="-8"/>
        </w:rPr>
        <w:t> </w:t>
      </w:r>
      <w:r>
        <w:rPr>
          <w:color w:val="231F20"/>
        </w:rPr>
        <w:t>jeunes</w:t>
      </w:r>
      <w:r>
        <w:rPr>
          <w:color w:val="231F20"/>
          <w:spacing w:val="-9"/>
        </w:rPr>
        <w:t> </w:t>
      </w:r>
      <w:r>
        <w:rPr>
          <w:color w:val="231F20"/>
        </w:rPr>
        <w:t>se</w:t>
      </w:r>
      <w:r>
        <w:rPr>
          <w:color w:val="231F20"/>
          <w:spacing w:val="-10"/>
        </w:rPr>
        <w:t> </w:t>
      </w:r>
      <w:r>
        <w:rPr>
          <w:color w:val="231F20"/>
        </w:rPr>
        <w:t>sont</w:t>
      </w:r>
      <w:r>
        <w:rPr>
          <w:color w:val="231F20"/>
          <w:spacing w:val="-7"/>
        </w:rPr>
        <w:t> </w:t>
      </w:r>
      <w:r>
        <w:rPr>
          <w:color w:val="231F20"/>
        </w:rPr>
        <w:t>rassemblés.</w:t>
      </w:r>
      <w:r>
        <w:rPr>
          <w:color w:val="231F20"/>
          <w:spacing w:val="-9"/>
        </w:rPr>
        <w:t> </w:t>
      </w:r>
      <w:r>
        <w:rPr>
          <w:color w:val="231F20"/>
        </w:rPr>
        <w:t>Les</w:t>
      </w:r>
      <w:r>
        <w:rPr>
          <w:color w:val="231F20"/>
          <w:spacing w:val="-9"/>
        </w:rPr>
        <w:t> </w:t>
      </w:r>
      <w:r>
        <w:rPr>
          <w:color w:val="231F20"/>
        </w:rPr>
        <w:t>jeunes patriotes, proches du pouvoir, s’en prennent aux symboles et aux ressortissants</w:t>
      </w:r>
      <w:r>
        <w:rPr>
          <w:color w:val="231F20"/>
          <w:spacing w:val="-2"/>
        </w:rPr>
        <w:t> </w:t>
      </w:r>
      <w:r>
        <w:rPr>
          <w:color w:val="231F20"/>
        </w:rPr>
        <w:t>français</w:t>
      </w:r>
      <w:r>
        <w:rPr>
          <w:color w:val="231F20"/>
          <w:spacing w:val="-15"/>
        </w:rPr>
        <w:t> </w:t>
      </w:r>
      <w:r>
        <w:rPr>
          <w:color w:val="231F20"/>
        </w:rPr>
        <w:t>: centre culturel et magasins vandalisés, le lycée </w:t>
      </w:r>
      <w:r>
        <w:rPr>
          <w:color w:val="231F20"/>
          <w:spacing w:val="-2"/>
        </w:rPr>
        <w:t>Jean</w:t>
      </w:r>
      <w:r>
        <w:rPr>
          <w:color w:val="231F20"/>
          <w:spacing w:val="-11"/>
        </w:rPr>
        <w:t> </w:t>
      </w:r>
      <w:r>
        <w:rPr>
          <w:color w:val="231F20"/>
          <w:spacing w:val="-2"/>
        </w:rPr>
        <w:t>Mermoz</w:t>
      </w:r>
      <w:r>
        <w:rPr>
          <w:color w:val="231F20"/>
          <w:spacing w:val="-11"/>
        </w:rPr>
        <w:t> </w:t>
      </w:r>
      <w:r>
        <w:rPr>
          <w:color w:val="231F20"/>
          <w:spacing w:val="-2"/>
        </w:rPr>
        <w:t>brûlé.</w:t>
      </w:r>
      <w:r>
        <w:rPr>
          <w:color w:val="231F20"/>
          <w:spacing w:val="-13"/>
        </w:rPr>
        <w:t> </w:t>
      </w:r>
      <w:r>
        <w:rPr>
          <w:color w:val="231F20"/>
          <w:spacing w:val="-2"/>
        </w:rPr>
        <w:t>Les</w:t>
      </w:r>
      <w:r>
        <w:rPr>
          <w:color w:val="231F20"/>
          <w:spacing w:val="-11"/>
        </w:rPr>
        <w:t> </w:t>
      </w:r>
      <w:r>
        <w:rPr>
          <w:color w:val="231F20"/>
          <w:spacing w:val="-2"/>
        </w:rPr>
        <w:t>autorités</w:t>
      </w:r>
      <w:r>
        <w:rPr>
          <w:color w:val="231F20"/>
          <w:spacing w:val="-13"/>
        </w:rPr>
        <w:t> </w:t>
      </w:r>
      <w:r>
        <w:rPr>
          <w:color w:val="231F20"/>
          <w:spacing w:val="-2"/>
        </w:rPr>
        <w:t>ivoiriennes</w:t>
      </w:r>
      <w:r>
        <w:rPr>
          <w:color w:val="231F20"/>
          <w:spacing w:val="-13"/>
        </w:rPr>
        <w:t> </w:t>
      </w:r>
      <w:r>
        <w:rPr>
          <w:color w:val="231F20"/>
          <w:spacing w:val="-2"/>
        </w:rPr>
        <w:t>parlent</w:t>
      </w:r>
      <w:r>
        <w:rPr>
          <w:color w:val="231F20"/>
          <w:spacing w:val="-10"/>
        </w:rPr>
        <w:t> </w:t>
      </w:r>
      <w:r>
        <w:rPr>
          <w:color w:val="231F20"/>
          <w:spacing w:val="-2"/>
        </w:rPr>
        <w:t>de</w:t>
      </w:r>
      <w:r>
        <w:rPr>
          <w:color w:val="231F20"/>
          <w:spacing w:val="-13"/>
        </w:rPr>
        <w:t> </w:t>
      </w:r>
      <w:r>
        <w:rPr>
          <w:color w:val="231F20"/>
          <w:spacing w:val="-2"/>
        </w:rPr>
        <w:t>57</w:t>
      </w:r>
      <w:r>
        <w:rPr>
          <w:color w:val="231F20"/>
          <w:spacing w:val="-13"/>
        </w:rPr>
        <w:t> </w:t>
      </w:r>
      <w:r>
        <w:rPr>
          <w:color w:val="231F20"/>
          <w:spacing w:val="-2"/>
        </w:rPr>
        <w:t>morts</w:t>
      </w:r>
      <w:r>
        <w:rPr>
          <w:color w:val="231F20"/>
          <w:spacing w:val="-13"/>
        </w:rPr>
        <w:t> </w:t>
      </w:r>
      <w:r>
        <w:rPr>
          <w:color w:val="231F20"/>
          <w:spacing w:val="-2"/>
        </w:rPr>
        <w:t>et</w:t>
      </w:r>
      <w:r>
        <w:rPr>
          <w:color w:val="231F20"/>
          <w:spacing w:val="-13"/>
        </w:rPr>
        <w:t> </w:t>
      </w:r>
      <w:r>
        <w:rPr>
          <w:color w:val="231F20"/>
          <w:spacing w:val="-2"/>
        </w:rPr>
        <w:t>2200 </w:t>
      </w:r>
      <w:r>
        <w:rPr>
          <w:color w:val="231F20"/>
        </w:rPr>
        <w:t>blessés</w:t>
      </w:r>
      <w:r>
        <w:rPr>
          <w:color w:val="231F20"/>
          <w:spacing w:val="-4"/>
        </w:rPr>
        <w:t> </w:t>
      </w:r>
      <w:r>
        <w:rPr>
          <w:color w:val="231F20"/>
        </w:rPr>
        <w:t>pour</w:t>
      </w:r>
      <w:r>
        <w:rPr>
          <w:color w:val="231F20"/>
          <w:spacing w:val="-4"/>
        </w:rPr>
        <w:t> </w:t>
      </w:r>
      <w:r>
        <w:rPr>
          <w:color w:val="231F20"/>
        </w:rPr>
        <w:t>toute</w:t>
      </w:r>
      <w:r>
        <w:rPr>
          <w:color w:val="231F20"/>
          <w:spacing w:val="-2"/>
        </w:rPr>
        <w:t> </w:t>
      </w:r>
      <w:r>
        <w:rPr>
          <w:color w:val="231F20"/>
        </w:rPr>
        <w:t>la</w:t>
      </w:r>
      <w:r>
        <w:rPr>
          <w:color w:val="231F20"/>
          <w:spacing w:val="-2"/>
        </w:rPr>
        <w:t> </w:t>
      </w:r>
      <w:r>
        <w:rPr>
          <w:color w:val="231F20"/>
        </w:rPr>
        <w:t>durée</w:t>
      </w:r>
      <w:r>
        <w:rPr>
          <w:color w:val="231F20"/>
          <w:spacing w:val="-2"/>
        </w:rPr>
        <w:t> </w:t>
      </w:r>
      <w:r>
        <w:rPr>
          <w:color w:val="231F20"/>
        </w:rPr>
        <w:t>des</w:t>
      </w:r>
      <w:r>
        <w:rPr>
          <w:color w:val="231F20"/>
          <w:spacing w:val="-1"/>
        </w:rPr>
        <w:t> </w:t>
      </w:r>
      <w:r>
        <w:rPr>
          <w:color w:val="231F20"/>
        </w:rPr>
        <w:t>événements.</w:t>
      </w:r>
      <w:r>
        <w:rPr>
          <w:color w:val="231F20"/>
          <w:spacing w:val="-1"/>
        </w:rPr>
        <w:t> </w:t>
      </w:r>
      <w:r>
        <w:rPr>
          <w:color w:val="231F20"/>
        </w:rPr>
        <w:t>Le</w:t>
      </w:r>
      <w:r>
        <w:rPr>
          <w:color w:val="231F20"/>
          <w:spacing w:val="-4"/>
        </w:rPr>
        <w:t> </w:t>
      </w:r>
      <w:r>
        <w:rPr>
          <w:color w:val="231F20"/>
        </w:rPr>
        <w:t>général</w:t>
      </w:r>
      <w:r>
        <w:rPr>
          <w:color w:val="231F20"/>
          <w:spacing w:val="-2"/>
        </w:rPr>
        <w:t> </w:t>
      </w:r>
      <w:r>
        <w:rPr>
          <w:color w:val="231F20"/>
        </w:rPr>
        <w:t>Bentegeat</w:t>
      </w:r>
      <w:r>
        <w:rPr>
          <w:color w:val="231F20"/>
          <w:spacing w:val="-1"/>
        </w:rPr>
        <w:t> </w:t>
      </w:r>
      <w:r>
        <w:rPr>
          <w:color w:val="231F20"/>
        </w:rPr>
        <w:t>de</w:t>
      </w:r>
      <w:r>
        <w:rPr>
          <w:color w:val="231F20"/>
          <w:spacing w:val="-5"/>
        </w:rPr>
        <w:t> </w:t>
      </w:r>
      <w:r>
        <w:rPr>
          <w:color w:val="231F20"/>
        </w:rPr>
        <w:t>la force Licorne parle de pillards:</w:t>
      </w:r>
      <w:r>
        <w:rPr>
          <w:color w:val="231F20"/>
          <w:spacing w:val="-15"/>
        </w:rPr>
        <w:t> </w:t>
      </w:r>
      <w:r>
        <w:rPr>
          <w:i/>
          <w:color w:val="231F20"/>
        </w:rPr>
        <w:t>«</w:t>
      </w:r>
      <w:r>
        <w:rPr>
          <w:i/>
          <w:color w:val="231F20"/>
          <w:spacing w:val="-13"/>
        </w:rPr>
        <w:t> </w:t>
      </w:r>
      <w:r>
        <w:rPr>
          <w:i/>
          <w:color w:val="231F20"/>
        </w:rPr>
        <w:t>on a peut-être blessé ou même tué</w:t>
      </w:r>
      <w:r>
        <w:rPr>
          <w:i/>
          <w:color w:val="231F20"/>
        </w:rPr>
        <w:t> quelques personnes</w:t>
      </w:r>
      <w:r>
        <w:rPr>
          <w:color w:val="231F20"/>
          <w:vertAlign w:val="superscript"/>
        </w:rPr>
        <w:t>199</w:t>
      </w:r>
      <w:r>
        <w:rPr>
          <w:color w:val="231F20"/>
          <w:vertAlign w:val="baseline"/>
        </w:rPr>
        <w:t> </w:t>
      </w:r>
      <w:r>
        <w:rPr>
          <w:i/>
          <w:color w:val="231F20"/>
          <w:vertAlign w:val="baseline"/>
        </w:rPr>
        <w:t>»</w:t>
      </w:r>
    </w:p>
    <w:p>
      <w:pPr>
        <w:pStyle w:val="BodyText"/>
        <w:spacing w:before="241"/>
        <w:ind w:left="0"/>
        <w:jc w:val="left"/>
        <w:rPr>
          <w:i/>
        </w:rPr>
      </w:pPr>
    </w:p>
    <w:p>
      <w:pPr>
        <w:spacing w:before="0"/>
        <w:ind w:left="111" w:right="0" w:firstLine="0"/>
        <w:jc w:val="both"/>
        <w:rPr>
          <w:rFonts w:ascii="Trebuchet MS"/>
          <w:i/>
          <w:sz w:val="22"/>
        </w:rPr>
      </w:pPr>
      <w:r>
        <w:rPr>
          <w:rFonts w:ascii="Trebuchet MS"/>
          <w:i/>
          <w:color w:val="231F20"/>
          <w:spacing w:val="-2"/>
          <w:sz w:val="22"/>
        </w:rPr>
        <w:t>La</w:t>
      </w:r>
      <w:r>
        <w:rPr>
          <w:rFonts w:ascii="Trebuchet MS"/>
          <w:i/>
          <w:color w:val="231F20"/>
          <w:spacing w:val="-14"/>
          <w:sz w:val="22"/>
        </w:rPr>
        <w:t> </w:t>
      </w:r>
      <w:r>
        <w:rPr>
          <w:rFonts w:ascii="Trebuchet MS"/>
          <w:i/>
          <w:color w:val="231F20"/>
          <w:spacing w:val="-2"/>
          <w:sz w:val="22"/>
        </w:rPr>
        <w:t>France</w:t>
      </w:r>
      <w:r>
        <w:rPr>
          <w:rFonts w:ascii="Trebuchet MS"/>
          <w:i/>
          <w:color w:val="231F20"/>
          <w:spacing w:val="-14"/>
          <w:sz w:val="22"/>
        </w:rPr>
        <w:t> </w:t>
      </w:r>
      <w:r>
        <w:rPr>
          <w:rFonts w:ascii="Trebuchet MS"/>
          <w:i/>
          <w:color w:val="231F20"/>
          <w:spacing w:val="-2"/>
          <w:sz w:val="22"/>
        </w:rPr>
        <w:t>organise</w:t>
      </w:r>
      <w:r>
        <w:rPr>
          <w:rFonts w:ascii="Trebuchet MS"/>
          <w:i/>
          <w:color w:val="231F20"/>
          <w:spacing w:val="-14"/>
          <w:sz w:val="22"/>
        </w:rPr>
        <w:t> </w:t>
      </w:r>
      <w:r>
        <w:rPr>
          <w:rFonts w:ascii="Trebuchet MS"/>
          <w:i/>
          <w:color w:val="231F20"/>
          <w:spacing w:val="-2"/>
          <w:sz w:val="22"/>
        </w:rPr>
        <w:t>le</w:t>
      </w:r>
      <w:r>
        <w:rPr>
          <w:rFonts w:ascii="Trebuchet MS"/>
          <w:i/>
          <w:color w:val="231F20"/>
          <w:spacing w:val="-14"/>
          <w:sz w:val="22"/>
        </w:rPr>
        <w:t> </w:t>
      </w:r>
      <w:r>
        <w:rPr>
          <w:rFonts w:ascii="Trebuchet MS"/>
          <w:i/>
          <w:color w:val="231F20"/>
          <w:spacing w:val="-2"/>
          <w:sz w:val="22"/>
        </w:rPr>
        <w:t>rapatriement</w:t>
      </w:r>
      <w:r>
        <w:rPr>
          <w:rFonts w:ascii="Trebuchet MS"/>
          <w:i/>
          <w:color w:val="231F20"/>
          <w:spacing w:val="-12"/>
          <w:sz w:val="22"/>
        </w:rPr>
        <w:t> </w:t>
      </w:r>
      <w:r>
        <w:rPr>
          <w:rFonts w:ascii="Trebuchet MS"/>
          <w:i/>
          <w:color w:val="231F20"/>
          <w:spacing w:val="-2"/>
          <w:sz w:val="22"/>
        </w:rPr>
        <w:t>de</w:t>
      </w:r>
      <w:r>
        <w:rPr>
          <w:rFonts w:ascii="Trebuchet MS"/>
          <w:i/>
          <w:color w:val="231F20"/>
          <w:spacing w:val="-13"/>
          <w:sz w:val="22"/>
        </w:rPr>
        <w:t> </w:t>
      </w:r>
      <w:r>
        <w:rPr>
          <w:rFonts w:ascii="Trebuchet MS"/>
          <w:i/>
          <w:color w:val="231F20"/>
          <w:spacing w:val="-2"/>
          <w:sz w:val="22"/>
        </w:rPr>
        <w:t>ses</w:t>
      </w:r>
      <w:r>
        <w:rPr>
          <w:rFonts w:ascii="Trebuchet MS"/>
          <w:i/>
          <w:color w:val="231F20"/>
          <w:spacing w:val="-13"/>
          <w:sz w:val="22"/>
        </w:rPr>
        <w:t> </w:t>
      </w:r>
      <w:r>
        <w:rPr>
          <w:rFonts w:ascii="Trebuchet MS"/>
          <w:i/>
          <w:color w:val="231F20"/>
          <w:spacing w:val="-2"/>
          <w:sz w:val="22"/>
        </w:rPr>
        <w:t>ressortissants.</w:t>
      </w:r>
    </w:p>
    <w:p>
      <w:pPr>
        <w:pStyle w:val="BodyText"/>
        <w:ind w:left="0"/>
        <w:jc w:val="left"/>
        <w:rPr>
          <w:rFonts w:ascii="Trebuchet MS"/>
          <w:i/>
          <w:sz w:val="22"/>
        </w:rPr>
      </w:pPr>
    </w:p>
    <w:p>
      <w:pPr>
        <w:spacing w:before="0"/>
        <w:ind w:left="111" w:right="106" w:firstLine="283"/>
        <w:jc w:val="both"/>
        <w:rPr>
          <w:sz w:val="24"/>
        </w:rPr>
      </w:pPr>
      <w:r>
        <w:rPr>
          <w:color w:val="231F20"/>
          <w:sz w:val="24"/>
        </w:rPr>
        <w:t>À</w:t>
      </w:r>
      <w:r>
        <w:rPr>
          <w:color w:val="231F20"/>
          <w:spacing w:val="-12"/>
          <w:sz w:val="24"/>
        </w:rPr>
        <w:t> </w:t>
      </w:r>
      <w:r>
        <w:rPr>
          <w:color w:val="231F20"/>
          <w:sz w:val="24"/>
        </w:rPr>
        <w:t>Paris,</w:t>
      </w:r>
      <w:r>
        <w:rPr>
          <w:color w:val="231F20"/>
          <w:spacing w:val="-11"/>
          <w:sz w:val="24"/>
        </w:rPr>
        <w:t> </w:t>
      </w:r>
      <w:r>
        <w:rPr>
          <w:color w:val="231F20"/>
          <w:sz w:val="24"/>
        </w:rPr>
        <w:t>le</w:t>
      </w:r>
      <w:r>
        <w:rPr>
          <w:color w:val="231F20"/>
          <w:spacing w:val="-12"/>
          <w:sz w:val="24"/>
        </w:rPr>
        <w:t> </w:t>
      </w:r>
      <w:r>
        <w:rPr>
          <w:color w:val="231F20"/>
          <w:sz w:val="24"/>
        </w:rPr>
        <w:t>14</w:t>
      </w:r>
      <w:r>
        <w:rPr>
          <w:color w:val="231F20"/>
          <w:spacing w:val="-11"/>
          <w:sz w:val="24"/>
        </w:rPr>
        <w:t> </w:t>
      </w:r>
      <w:r>
        <w:rPr>
          <w:color w:val="231F20"/>
          <w:sz w:val="24"/>
        </w:rPr>
        <w:t>novembre,</w:t>
      </w:r>
      <w:r>
        <w:rPr>
          <w:color w:val="231F20"/>
          <w:spacing w:val="-13"/>
          <w:sz w:val="24"/>
        </w:rPr>
        <w:t> </w:t>
      </w:r>
      <w:r>
        <w:rPr>
          <w:color w:val="231F20"/>
          <w:sz w:val="24"/>
        </w:rPr>
        <w:t>le</w:t>
      </w:r>
      <w:r>
        <w:rPr>
          <w:color w:val="231F20"/>
          <w:spacing w:val="-9"/>
          <w:sz w:val="24"/>
        </w:rPr>
        <w:t> </w:t>
      </w:r>
      <w:r>
        <w:rPr>
          <w:color w:val="231F20"/>
          <w:sz w:val="24"/>
        </w:rPr>
        <w:t>journal</w:t>
      </w:r>
      <w:r>
        <w:rPr>
          <w:color w:val="231F20"/>
          <w:spacing w:val="-15"/>
          <w:sz w:val="24"/>
        </w:rPr>
        <w:t> </w:t>
      </w:r>
      <w:r>
        <w:rPr>
          <w:i/>
          <w:color w:val="231F20"/>
          <w:sz w:val="24"/>
        </w:rPr>
        <w:t>Le</w:t>
      </w:r>
      <w:r>
        <w:rPr>
          <w:i/>
          <w:color w:val="231F20"/>
          <w:spacing w:val="-11"/>
          <w:sz w:val="24"/>
        </w:rPr>
        <w:t> </w:t>
      </w:r>
      <w:r>
        <w:rPr>
          <w:i/>
          <w:color w:val="231F20"/>
          <w:sz w:val="24"/>
        </w:rPr>
        <w:t>Monde</w:t>
      </w:r>
      <w:r>
        <w:rPr>
          <w:color w:val="231F20"/>
          <w:sz w:val="24"/>
        </w:rPr>
        <w:t>,</w:t>
      </w:r>
      <w:r>
        <w:rPr>
          <w:color w:val="231F20"/>
          <w:spacing w:val="-10"/>
          <w:sz w:val="24"/>
        </w:rPr>
        <w:t> </w:t>
      </w:r>
      <w:r>
        <w:rPr>
          <w:color w:val="231F20"/>
          <w:sz w:val="24"/>
        </w:rPr>
        <w:t>évoque</w:t>
      </w:r>
      <w:r>
        <w:rPr>
          <w:color w:val="231F20"/>
          <w:spacing w:val="-10"/>
          <w:sz w:val="24"/>
        </w:rPr>
        <w:t> </w:t>
      </w:r>
      <w:r>
        <w:rPr>
          <w:color w:val="231F20"/>
          <w:sz w:val="24"/>
        </w:rPr>
        <w:t>à</w:t>
      </w:r>
      <w:r>
        <w:rPr>
          <w:color w:val="231F20"/>
          <w:spacing w:val="-12"/>
          <w:sz w:val="24"/>
        </w:rPr>
        <w:t> </w:t>
      </w:r>
      <w:r>
        <w:rPr>
          <w:color w:val="231F20"/>
          <w:sz w:val="24"/>
        </w:rPr>
        <w:t>sa</w:t>
      </w:r>
      <w:r>
        <w:rPr>
          <w:color w:val="231F20"/>
          <w:spacing w:val="-10"/>
          <w:sz w:val="24"/>
        </w:rPr>
        <w:t> </w:t>
      </w:r>
      <w:r>
        <w:rPr>
          <w:color w:val="231F20"/>
          <w:sz w:val="24"/>
        </w:rPr>
        <w:t>Une</w:t>
      </w:r>
      <w:r>
        <w:rPr>
          <w:color w:val="231F20"/>
          <w:spacing w:val="-9"/>
          <w:sz w:val="24"/>
        </w:rPr>
        <w:t> </w:t>
      </w:r>
      <w:r>
        <w:rPr>
          <w:i/>
          <w:color w:val="231F20"/>
          <w:sz w:val="24"/>
        </w:rPr>
        <w:t>«</w:t>
      </w:r>
      <w:r>
        <w:rPr>
          <w:i/>
          <w:color w:val="231F20"/>
          <w:spacing w:val="-15"/>
          <w:sz w:val="24"/>
        </w:rPr>
        <w:t> </w:t>
      </w:r>
      <w:r>
        <w:rPr>
          <w:i/>
          <w:color w:val="231F20"/>
          <w:sz w:val="24"/>
        </w:rPr>
        <w:t>des</w:t>
      </w:r>
      <w:r>
        <w:rPr>
          <w:i/>
          <w:color w:val="231F20"/>
          <w:sz w:val="24"/>
        </w:rPr>
        <w:t> </w:t>
      </w:r>
      <w:r>
        <w:rPr>
          <w:i/>
          <w:color w:val="231F20"/>
          <w:spacing w:val="-4"/>
          <w:sz w:val="24"/>
        </w:rPr>
        <w:t>scènes</w:t>
      </w:r>
      <w:r>
        <w:rPr>
          <w:i/>
          <w:color w:val="231F20"/>
          <w:spacing w:val="-11"/>
          <w:sz w:val="24"/>
        </w:rPr>
        <w:t> </w:t>
      </w:r>
      <w:r>
        <w:rPr>
          <w:i/>
          <w:color w:val="231F20"/>
          <w:spacing w:val="-4"/>
          <w:sz w:val="24"/>
        </w:rPr>
        <w:t>de</w:t>
      </w:r>
      <w:r>
        <w:rPr>
          <w:i/>
          <w:color w:val="231F20"/>
          <w:spacing w:val="-11"/>
          <w:sz w:val="24"/>
        </w:rPr>
        <w:t> </w:t>
      </w:r>
      <w:r>
        <w:rPr>
          <w:i/>
          <w:color w:val="231F20"/>
          <w:spacing w:val="-4"/>
          <w:sz w:val="24"/>
        </w:rPr>
        <w:t>terreur</w:t>
      </w:r>
      <w:r>
        <w:rPr>
          <w:i/>
          <w:color w:val="231F20"/>
          <w:spacing w:val="-11"/>
          <w:sz w:val="24"/>
        </w:rPr>
        <w:t> </w:t>
      </w:r>
      <w:r>
        <w:rPr>
          <w:i/>
          <w:color w:val="231F20"/>
          <w:spacing w:val="-4"/>
          <w:sz w:val="24"/>
        </w:rPr>
        <w:t>et</w:t>
      </w:r>
      <w:r>
        <w:rPr>
          <w:i/>
          <w:color w:val="231F20"/>
          <w:spacing w:val="-11"/>
          <w:sz w:val="24"/>
        </w:rPr>
        <w:t> </w:t>
      </w:r>
      <w:r>
        <w:rPr>
          <w:i/>
          <w:color w:val="231F20"/>
          <w:spacing w:val="-4"/>
          <w:sz w:val="24"/>
        </w:rPr>
        <w:t>d’horreur.</w:t>
      </w:r>
      <w:r>
        <w:rPr>
          <w:i/>
          <w:color w:val="231F20"/>
          <w:spacing w:val="-11"/>
          <w:sz w:val="24"/>
        </w:rPr>
        <w:t> </w:t>
      </w:r>
      <w:r>
        <w:rPr>
          <w:i/>
          <w:color w:val="231F20"/>
          <w:spacing w:val="-4"/>
          <w:sz w:val="24"/>
        </w:rPr>
        <w:t>Des</w:t>
      </w:r>
      <w:r>
        <w:rPr>
          <w:i/>
          <w:color w:val="231F20"/>
          <w:spacing w:val="-11"/>
          <w:sz w:val="24"/>
        </w:rPr>
        <w:t> </w:t>
      </w:r>
      <w:r>
        <w:rPr>
          <w:i/>
          <w:color w:val="231F20"/>
          <w:spacing w:val="-4"/>
          <w:sz w:val="24"/>
        </w:rPr>
        <w:t>blessés,</w:t>
      </w:r>
      <w:r>
        <w:rPr>
          <w:i/>
          <w:color w:val="231F20"/>
          <w:spacing w:val="-11"/>
          <w:sz w:val="24"/>
        </w:rPr>
        <w:t> </w:t>
      </w:r>
      <w:r>
        <w:rPr>
          <w:i/>
          <w:color w:val="231F20"/>
          <w:spacing w:val="-4"/>
          <w:sz w:val="24"/>
        </w:rPr>
        <w:t>des</w:t>
      </w:r>
      <w:r>
        <w:rPr>
          <w:i/>
          <w:color w:val="231F20"/>
          <w:spacing w:val="-11"/>
          <w:sz w:val="24"/>
        </w:rPr>
        <w:t> </w:t>
      </w:r>
      <w:r>
        <w:rPr>
          <w:i/>
          <w:color w:val="231F20"/>
          <w:spacing w:val="-4"/>
          <w:sz w:val="24"/>
        </w:rPr>
        <w:t>disparus,</w:t>
      </w:r>
      <w:r>
        <w:rPr>
          <w:i/>
          <w:color w:val="231F20"/>
          <w:spacing w:val="-11"/>
          <w:sz w:val="24"/>
        </w:rPr>
        <w:t> </w:t>
      </w:r>
      <w:r>
        <w:rPr>
          <w:i/>
          <w:color w:val="231F20"/>
          <w:spacing w:val="-4"/>
          <w:sz w:val="24"/>
        </w:rPr>
        <w:t>des</w:t>
      </w:r>
      <w:r>
        <w:rPr>
          <w:i/>
          <w:color w:val="231F20"/>
          <w:spacing w:val="-11"/>
          <w:sz w:val="24"/>
        </w:rPr>
        <w:t> </w:t>
      </w:r>
      <w:r>
        <w:rPr>
          <w:i/>
          <w:color w:val="231F20"/>
          <w:spacing w:val="-4"/>
          <w:sz w:val="24"/>
        </w:rPr>
        <w:t>corps</w:t>
      </w:r>
      <w:r>
        <w:rPr>
          <w:i/>
          <w:color w:val="231F20"/>
          <w:spacing w:val="-11"/>
          <w:sz w:val="24"/>
        </w:rPr>
        <w:t> </w:t>
      </w:r>
      <w:r>
        <w:rPr>
          <w:i/>
          <w:color w:val="231F20"/>
          <w:spacing w:val="-4"/>
          <w:sz w:val="24"/>
        </w:rPr>
        <w:t>blancs </w:t>
      </w:r>
      <w:r>
        <w:rPr>
          <w:i/>
          <w:color w:val="231F20"/>
          <w:sz w:val="24"/>
        </w:rPr>
        <w:t>décapités à la machette, des femmes violées</w:t>
      </w:r>
      <w:r>
        <w:rPr>
          <w:i/>
          <w:color w:val="231F20"/>
          <w:spacing w:val="-14"/>
          <w:sz w:val="24"/>
        </w:rPr>
        <w:t> </w:t>
      </w:r>
      <w:r>
        <w:rPr>
          <w:i/>
          <w:color w:val="231F20"/>
          <w:sz w:val="24"/>
        </w:rPr>
        <w:t>par dizaines selon «</w:t>
      </w:r>
      <w:r>
        <w:rPr>
          <w:i/>
          <w:color w:val="231F20"/>
          <w:spacing w:val="-14"/>
          <w:sz w:val="24"/>
        </w:rPr>
        <w:t> </w:t>
      </w:r>
      <w:r>
        <w:rPr>
          <w:i/>
          <w:color w:val="231F20"/>
          <w:sz w:val="24"/>
        </w:rPr>
        <w:t>les </w:t>
      </w:r>
      <w:r>
        <w:rPr>
          <w:i/>
          <w:color w:val="231F20"/>
          <w:spacing w:val="-4"/>
          <w:sz w:val="24"/>
        </w:rPr>
        <w:t>sources</w:t>
      </w:r>
      <w:r>
        <w:rPr>
          <w:i/>
          <w:color w:val="231F20"/>
          <w:spacing w:val="-5"/>
          <w:sz w:val="24"/>
        </w:rPr>
        <w:t> </w:t>
      </w:r>
      <w:r>
        <w:rPr>
          <w:i/>
          <w:color w:val="231F20"/>
          <w:spacing w:val="-4"/>
          <w:sz w:val="24"/>
        </w:rPr>
        <w:t>militaires ».</w:t>
      </w:r>
      <w:r>
        <w:rPr>
          <w:i/>
          <w:color w:val="231F20"/>
          <w:spacing w:val="-6"/>
          <w:sz w:val="24"/>
        </w:rPr>
        <w:t> </w:t>
      </w:r>
      <w:r>
        <w:rPr>
          <w:color w:val="231F20"/>
          <w:spacing w:val="-4"/>
          <w:sz w:val="24"/>
        </w:rPr>
        <w:t>En</w:t>
      </w:r>
      <w:r>
        <w:rPr>
          <w:color w:val="231F20"/>
          <w:spacing w:val="-5"/>
          <w:sz w:val="24"/>
        </w:rPr>
        <w:t> </w:t>
      </w:r>
      <w:r>
        <w:rPr>
          <w:color w:val="231F20"/>
          <w:spacing w:val="-4"/>
          <w:sz w:val="24"/>
        </w:rPr>
        <w:t>fait,</w:t>
      </w:r>
      <w:r>
        <w:rPr>
          <w:color w:val="231F20"/>
          <w:spacing w:val="-9"/>
          <w:sz w:val="24"/>
        </w:rPr>
        <w:t> </w:t>
      </w:r>
      <w:r>
        <w:rPr>
          <w:color w:val="231F20"/>
          <w:spacing w:val="-4"/>
          <w:sz w:val="24"/>
        </w:rPr>
        <w:t>Paris</w:t>
      </w:r>
      <w:r>
        <w:rPr>
          <w:color w:val="231F20"/>
          <w:spacing w:val="-5"/>
          <w:sz w:val="24"/>
        </w:rPr>
        <w:t> </w:t>
      </w:r>
      <w:r>
        <w:rPr>
          <w:color w:val="231F20"/>
          <w:spacing w:val="-4"/>
          <w:sz w:val="24"/>
        </w:rPr>
        <w:t>n’enregistre</w:t>
      </w:r>
      <w:r>
        <w:rPr>
          <w:color w:val="231F20"/>
          <w:spacing w:val="-6"/>
          <w:sz w:val="24"/>
        </w:rPr>
        <w:t> </w:t>
      </w:r>
      <w:r>
        <w:rPr>
          <w:color w:val="231F20"/>
          <w:spacing w:val="-4"/>
          <w:sz w:val="24"/>
        </w:rPr>
        <w:t>que</w:t>
      </w:r>
      <w:r>
        <w:rPr>
          <w:color w:val="231F20"/>
          <w:spacing w:val="-6"/>
          <w:sz w:val="24"/>
        </w:rPr>
        <w:t> </w:t>
      </w:r>
      <w:r>
        <w:rPr>
          <w:color w:val="231F20"/>
          <w:spacing w:val="-4"/>
          <w:sz w:val="24"/>
        </w:rPr>
        <w:t>trois</w:t>
      </w:r>
      <w:r>
        <w:rPr>
          <w:color w:val="231F20"/>
          <w:spacing w:val="-6"/>
          <w:sz w:val="24"/>
        </w:rPr>
        <w:t> </w:t>
      </w:r>
      <w:r>
        <w:rPr>
          <w:color w:val="231F20"/>
          <w:spacing w:val="-4"/>
          <w:sz w:val="24"/>
        </w:rPr>
        <w:t>plaintes</w:t>
      </w:r>
      <w:r>
        <w:rPr>
          <w:color w:val="231F20"/>
          <w:spacing w:val="-6"/>
          <w:sz w:val="24"/>
        </w:rPr>
        <w:t> </w:t>
      </w:r>
      <w:r>
        <w:rPr>
          <w:color w:val="231F20"/>
          <w:spacing w:val="-4"/>
          <w:sz w:val="24"/>
        </w:rPr>
        <w:t>pour</w:t>
      </w:r>
      <w:r>
        <w:rPr>
          <w:color w:val="231F20"/>
          <w:spacing w:val="-9"/>
          <w:sz w:val="24"/>
        </w:rPr>
        <w:t> </w:t>
      </w:r>
      <w:r>
        <w:rPr>
          <w:color w:val="231F20"/>
          <w:spacing w:val="-4"/>
          <w:sz w:val="24"/>
        </w:rPr>
        <w:t>viol </w:t>
      </w:r>
      <w:r>
        <w:rPr>
          <w:color w:val="231F20"/>
          <w:sz w:val="24"/>
        </w:rPr>
        <w:t>et aucune mort française n’est à déplorer. Par contre, les massacres commis par les militaires français contre des civils ivoiriens désarmés passent</w:t>
      </w:r>
      <w:r>
        <w:rPr>
          <w:color w:val="231F20"/>
          <w:spacing w:val="-1"/>
          <w:sz w:val="24"/>
        </w:rPr>
        <w:t> </w:t>
      </w:r>
      <w:r>
        <w:rPr>
          <w:color w:val="231F20"/>
          <w:sz w:val="24"/>
        </w:rPr>
        <w:t>sous silence...ce ne sont</w:t>
      </w:r>
      <w:r>
        <w:rPr>
          <w:color w:val="231F20"/>
          <w:spacing w:val="-1"/>
          <w:sz w:val="24"/>
        </w:rPr>
        <w:t> </w:t>
      </w:r>
      <w:r>
        <w:rPr>
          <w:color w:val="231F20"/>
          <w:sz w:val="24"/>
        </w:rPr>
        <w:t>que des noirs…</w:t>
      </w:r>
    </w:p>
    <w:p>
      <w:pPr>
        <w:pStyle w:val="BodyText"/>
        <w:spacing w:before="121"/>
        <w:ind w:left="395"/>
        <w:rPr>
          <w:i/>
        </w:rPr>
      </w:pPr>
      <w:r>
        <w:rPr>
          <w:color w:val="231F20"/>
        </w:rPr>
        <w:t>Le</w:t>
      </w:r>
      <w:r>
        <w:rPr>
          <w:color w:val="231F20"/>
          <w:spacing w:val="25"/>
        </w:rPr>
        <w:t> </w:t>
      </w:r>
      <w:r>
        <w:rPr>
          <w:color w:val="231F20"/>
        </w:rPr>
        <w:t>30</w:t>
      </w:r>
      <w:r>
        <w:rPr>
          <w:color w:val="231F20"/>
          <w:spacing w:val="27"/>
        </w:rPr>
        <w:t> </w:t>
      </w:r>
      <w:r>
        <w:rPr>
          <w:color w:val="231F20"/>
        </w:rPr>
        <w:t>novembre,</w:t>
      </w:r>
      <w:r>
        <w:rPr>
          <w:color w:val="231F20"/>
          <w:spacing w:val="25"/>
        </w:rPr>
        <w:t> </w:t>
      </w:r>
      <w:r>
        <w:rPr>
          <w:color w:val="231F20"/>
        </w:rPr>
        <w:t>les</w:t>
      </w:r>
      <w:r>
        <w:rPr>
          <w:color w:val="231F20"/>
          <w:spacing w:val="28"/>
        </w:rPr>
        <w:t> </w:t>
      </w:r>
      <w:r>
        <w:rPr>
          <w:color w:val="231F20"/>
        </w:rPr>
        <w:t>autorités</w:t>
      </w:r>
      <w:r>
        <w:rPr>
          <w:color w:val="231F20"/>
          <w:spacing w:val="25"/>
        </w:rPr>
        <w:t> </w:t>
      </w:r>
      <w:r>
        <w:rPr>
          <w:color w:val="231F20"/>
        </w:rPr>
        <w:t>françaises</w:t>
      </w:r>
      <w:r>
        <w:rPr>
          <w:color w:val="231F20"/>
          <w:spacing w:val="26"/>
        </w:rPr>
        <w:t> </w:t>
      </w:r>
      <w:r>
        <w:rPr>
          <w:color w:val="231F20"/>
        </w:rPr>
        <w:t>parlent</w:t>
      </w:r>
      <w:r>
        <w:rPr>
          <w:color w:val="231F20"/>
          <w:spacing w:val="25"/>
        </w:rPr>
        <w:t> </w:t>
      </w:r>
      <w:r>
        <w:rPr>
          <w:color w:val="231F20"/>
        </w:rPr>
        <w:t>d’une</w:t>
      </w:r>
      <w:r>
        <w:rPr>
          <w:color w:val="231F20"/>
          <w:spacing w:val="27"/>
        </w:rPr>
        <w:t> </w:t>
      </w:r>
      <w:r>
        <w:rPr>
          <w:color w:val="231F20"/>
        </w:rPr>
        <w:t>«</w:t>
      </w:r>
      <w:r>
        <w:rPr>
          <w:color w:val="231F20"/>
          <w:spacing w:val="-12"/>
        </w:rPr>
        <w:t> </w:t>
      </w:r>
      <w:r>
        <w:rPr>
          <w:i/>
          <w:color w:val="231F20"/>
          <w:spacing w:val="-2"/>
        </w:rPr>
        <w:t>vingtaine</w:t>
      </w:r>
    </w:p>
    <w:p>
      <w:pPr>
        <w:spacing w:before="0"/>
        <w:ind w:left="111" w:right="0" w:firstLine="0"/>
        <w:jc w:val="both"/>
        <w:rPr>
          <w:i/>
          <w:sz w:val="24"/>
        </w:rPr>
      </w:pPr>
      <w:r>
        <w:rPr>
          <w:i/>
          <w:color w:val="231F20"/>
          <w:sz w:val="24"/>
        </w:rPr>
        <w:t>d’ivoiriens</w:t>
      </w:r>
      <w:r>
        <w:rPr>
          <w:i/>
          <w:color w:val="231F20"/>
          <w:spacing w:val="38"/>
          <w:sz w:val="24"/>
        </w:rPr>
        <w:t> </w:t>
      </w:r>
      <w:r>
        <w:rPr>
          <w:i/>
          <w:color w:val="231F20"/>
          <w:sz w:val="24"/>
        </w:rPr>
        <w:t>civils</w:t>
      </w:r>
      <w:r>
        <w:rPr>
          <w:i/>
          <w:color w:val="231F20"/>
          <w:spacing w:val="42"/>
          <w:sz w:val="24"/>
        </w:rPr>
        <w:t> </w:t>
      </w:r>
      <w:r>
        <w:rPr>
          <w:i/>
          <w:color w:val="231F20"/>
          <w:sz w:val="24"/>
        </w:rPr>
        <w:t>et</w:t>
      </w:r>
      <w:r>
        <w:rPr>
          <w:i/>
          <w:color w:val="231F20"/>
          <w:spacing w:val="42"/>
          <w:sz w:val="24"/>
        </w:rPr>
        <w:t> </w:t>
      </w:r>
      <w:r>
        <w:rPr>
          <w:i/>
          <w:color w:val="231F20"/>
          <w:sz w:val="24"/>
        </w:rPr>
        <w:t>militaires</w:t>
      </w:r>
      <w:r>
        <w:rPr>
          <w:i/>
          <w:color w:val="231F20"/>
          <w:spacing w:val="-15"/>
          <w:sz w:val="24"/>
        </w:rPr>
        <w:t> </w:t>
      </w:r>
      <w:r>
        <w:rPr>
          <w:i/>
          <w:color w:val="231F20"/>
          <w:sz w:val="24"/>
        </w:rPr>
        <w:t>tués»</w:t>
      </w:r>
      <w:r>
        <w:rPr>
          <w:i/>
          <w:color w:val="231F20"/>
          <w:spacing w:val="42"/>
          <w:sz w:val="24"/>
        </w:rPr>
        <w:t> </w:t>
      </w:r>
      <w:r>
        <w:rPr>
          <w:color w:val="231F20"/>
          <w:sz w:val="24"/>
        </w:rPr>
        <w:t>et</w:t>
      </w:r>
      <w:r>
        <w:rPr>
          <w:color w:val="231F20"/>
          <w:spacing w:val="43"/>
          <w:sz w:val="24"/>
        </w:rPr>
        <w:t> </w:t>
      </w:r>
      <w:r>
        <w:rPr>
          <w:color w:val="231F20"/>
          <w:sz w:val="24"/>
        </w:rPr>
        <w:t>plaident</w:t>
      </w:r>
      <w:r>
        <w:rPr>
          <w:color w:val="231F20"/>
          <w:spacing w:val="39"/>
          <w:sz w:val="24"/>
        </w:rPr>
        <w:t> </w:t>
      </w:r>
      <w:r>
        <w:rPr>
          <w:color w:val="231F20"/>
          <w:sz w:val="24"/>
        </w:rPr>
        <w:t>«</w:t>
      </w:r>
      <w:r>
        <w:rPr>
          <w:color w:val="231F20"/>
          <w:spacing w:val="-15"/>
          <w:sz w:val="24"/>
        </w:rPr>
        <w:t> </w:t>
      </w:r>
      <w:r>
        <w:rPr>
          <w:i/>
          <w:color w:val="231F20"/>
          <w:sz w:val="24"/>
        </w:rPr>
        <w:t>la</w:t>
      </w:r>
      <w:r>
        <w:rPr>
          <w:i/>
          <w:color w:val="231F20"/>
          <w:spacing w:val="42"/>
          <w:sz w:val="24"/>
        </w:rPr>
        <w:t> </w:t>
      </w:r>
      <w:r>
        <w:rPr>
          <w:i/>
          <w:color w:val="231F20"/>
          <w:sz w:val="24"/>
        </w:rPr>
        <w:t>légitime</w:t>
      </w:r>
      <w:r>
        <w:rPr>
          <w:i/>
          <w:color w:val="231F20"/>
          <w:spacing w:val="41"/>
          <w:sz w:val="24"/>
        </w:rPr>
        <w:t> </w:t>
      </w:r>
      <w:r>
        <w:rPr>
          <w:i/>
          <w:color w:val="231F20"/>
          <w:spacing w:val="-2"/>
          <w:sz w:val="24"/>
        </w:rPr>
        <w:t>défense</w:t>
      </w:r>
    </w:p>
    <w:p>
      <w:pPr>
        <w:pStyle w:val="BodyText"/>
        <w:ind w:left="0"/>
        <w:jc w:val="left"/>
        <w:rPr>
          <w:i/>
          <w:sz w:val="20"/>
        </w:rPr>
      </w:pPr>
    </w:p>
    <w:p>
      <w:pPr>
        <w:pStyle w:val="BodyText"/>
        <w:spacing w:before="128"/>
        <w:ind w:left="0"/>
        <w:jc w:val="left"/>
        <w:rPr>
          <w:i/>
          <w:sz w:val="20"/>
        </w:rPr>
      </w:pPr>
      <w:r>
        <w:rPr/>
        <mc:AlternateContent>
          <mc:Choice Requires="wps">
            <w:drawing>
              <wp:anchor distT="0" distB="0" distL="0" distR="0" allowOverlap="1" layoutInCell="1" locked="0" behindDoc="1" simplePos="0" relativeHeight="487648768">
                <wp:simplePos x="0" y="0"/>
                <wp:positionH relativeFrom="page">
                  <wp:posOffset>629907</wp:posOffset>
                </wp:positionH>
                <wp:positionV relativeFrom="paragraph">
                  <wp:posOffset>243074</wp:posOffset>
                </wp:positionV>
                <wp:extent cx="1829435" cy="9525"/>
                <wp:effectExtent l="0" t="0" r="0" b="0"/>
                <wp:wrapTopAndBottom/>
                <wp:docPr id="148" name="Graphic 148"/>
                <wp:cNvGraphicFramePr>
                  <a:graphicFrameLocks/>
                </wp:cNvGraphicFramePr>
                <a:graphic>
                  <a:graphicData uri="http://schemas.microsoft.com/office/word/2010/wordprocessingShape">
                    <wps:wsp>
                      <wps:cNvPr id="148" name="Graphic 14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139727pt;width:144.020pt;height:.72pt;mso-position-horizontal-relative:page;mso-position-vertical-relative:paragraph;z-index:-15667712;mso-wrap-distance-left:0;mso-wrap-distance-right:0" id="docshape146"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199</w:t>
      </w:r>
      <w:r>
        <w:rPr>
          <w:color w:val="231F20"/>
          <w:spacing w:val="-4"/>
          <w:sz w:val="20"/>
          <w:vertAlign w:val="baseline"/>
        </w:rPr>
        <w:t>Point</w:t>
      </w:r>
      <w:r>
        <w:rPr>
          <w:color w:val="231F20"/>
          <w:spacing w:val="-2"/>
          <w:sz w:val="20"/>
          <w:vertAlign w:val="baseline"/>
        </w:rPr>
        <w:t> </w:t>
      </w:r>
      <w:r>
        <w:rPr>
          <w:color w:val="231F20"/>
          <w:spacing w:val="-4"/>
          <w:sz w:val="20"/>
          <w:vertAlign w:val="baseline"/>
        </w:rPr>
        <w:t>de</w:t>
      </w:r>
      <w:r>
        <w:rPr>
          <w:color w:val="231F20"/>
          <w:spacing w:val="1"/>
          <w:sz w:val="20"/>
          <w:vertAlign w:val="baseline"/>
        </w:rPr>
        <w:t> </w:t>
      </w:r>
      <w:r>
        <w:rPr>
          <w:color w:val="231F20"/>
          <w:spacing w:val="-4"/>
          <w:sz w:val="20"/>
          <w:vertAlign w:val="baseline"/>
        </w:rPr>
        <w:t>presse,</w:t>
      </w:r>
      <w:r>
        <w:rPr>
          <w:color w:val="231F20"/>
          <w:spacing w:val="-1"/>
          <w:sz w:val="20"/>
          <w:vertAlign w:val="baseline"/>
        </w:rPr>
        <w:t> </w:t>
      </w:r>
      <w:r>
        <w:rPr>
          <w:color w:val="231F20"/>
          <w:spacing w:val="-4"/>
          <w:sz w:val="20"/>
          <w:vertAlign w:val="baseline"/>
        </w:rPr>
        <w:t>7</w:t>
      </w:r>
      <w:r>
        <w:rPr>
          <w:color w:val="231F20"/>
          <w:sz w:val="20"/>
          <w:vertAlign w:val="baseline"/>
        </w:rPr>
        <w:t> </w:t>
      </w:r>
      <w:r>
        <w:rPr>
          <w:color w:val="231F20"/>
          <w:spacing w:val="-4"/>
          <w:sz w:val="20"/>
          <w:vertAlign w:val="baseline"/>
        </w:rPr>
        <w:t>novembre</w:t>
      </w:r>
      <w:r>
        <w:rPr>
          <w:color w:val="231F20"/>
          <w:spacing w:val="-2"/>
          <w:sz w:val="20"/>
          <w:vertAlign w:val="baseline"/>
        </w:rPr>
        <w:t> </w:t>
      </w:r>
      <w:r>
        <w:rPr>
          <w:color w:val="231F20"/>
          <w:spacing w:val="-4"/>
          <w:sz w:val="20"/>
          <w:vertAlign w:val="baseline"/>
        </w:rPr>
        <w:t>2004.</w:t>
      </w:r>
    </w:p>
    <w:p>
      <w:pPr>
        <w:spacing w:after="0"/>
        <w:jc w:val="left"/>
        <w:rPr>
          <w:sz w:val="20"/>
        </w:rPr>
        <w:sectPr>
          <w:pgSz w:w="8790" w:h="13610"/>
          <w:pgMar w:header="0" w:footer="802" w:top="1060" w:bottom="1000" w:left="880" w:right="880"/>
        </w:sectPr>
      </w:pPr>
    </w:p>
    <w:p>
      <w:pPr>
        <w:spacing w:before="66"/>
        <w:ind w:left="111" w:right="105" w:firstLine="0"/>
        <w:jc w:val="both"/>
        <w:rPr>
          <w:sz w:val="24"/>
        </w:rPr>
      </w:pPr>
      <w:r>
        <w:rPr>
          <w:i/>
          <w:color w:val="231F20"/>
          <w:sz w:val="24"/>
        </w:rPr>
        <w:t>élargie</w:t>
      </w:r>
      <w:r>
        <w:rPr>
          <w:i/>
          <w:color w:val="231F20"/>
          <w:spacing w:val="-10"/>
          <w:sz w:val="24"/>
        </w:rPr>
        <w:t> </w:t>
      </w:r>
      <w:r>
        <w:rPr>
          <w:color w:val="231F20"/>
          <w:sz w:val="24"/>
        </w:rPr>
        <w:t>» face à des «</w:t>
      </w:r>
      <w:r>
        <w:rPr>
          <w:color w:val="231F20"/>
          <w:spacing w:val="-9"/>
          <w:sz w:val="24"/>
        </w:rPr>
        <w:t> </w:t>
      </w:r>
      <w:r>
        <w:rPr>
          <w:i/>
          <w:color w:val="231F20"/>
          <w:sz w:val="24"/>
        </w:rPr>
        <w:t>foules armées</w:t>
      </w:r>
      <w:r>
        <w:rPr>
          <w:i/>
          <w:color w:val="231F20"/>
          <w:spacing w:val="-10"/>
          <w:sz w:val="24"/>
        </w:rPr>
        <w:t> </w:t>
      </w:r>
      <w:r>
        <w:rPr>
          <w:color w:val="231F20"/>
          <w:sz w:val="24"/>
        </w:rPr>
        <w:t>» et dans une «</w:t>
      </w:r>
      <w:r>
        <w:rPr>
          <w:color w:val="231F20"/>
          <w:spacing w:val="-11"/>
          <w:sz w:val="24"/>
        </w:rPr>
        <w:t> </w:t>
      </w:r>
      <w:r>
        <w:rPr>
          <w:i/>
          <w:color w:val="231F20"/>
          <w:sz w:val="24"/>
        </w:rPr>
        <w:t>situation</w:t>
      </w:r>
      <w:r>
        <w:rPr>
          <w:i/>
          <w:color w:val="231F20"/>
          <w:sz w:val="24"/>
        </w:rPr>
        <w:t> insurrectionnelle</w:t>
      </w:r>
      <w:r>
        <w:rPr>
          <w:color w:val="231F20"/>
          <w:sz w:val="24"/>
          <w:vertAlign w:val="superscript"/>
        </w:rPr>
        <w:t>200</w:t>
      </w:r>
      <w:r>
        <w:rPr>
          <w:color w:val="231F20"/>
          <w:sz w:val="24"/>
          <w:vertAlign w:val="baseline"/>
        </w:rPr>
        <w:t> .»</w:t>
      </w:r>
    </w:p>
    <w:p>
      <w:pPr>
        <w:pStyle w:val="BodyText"/>
        <w:spacing w:before="120"/>
        <w:ind w:right="105" w:firstLine="283"/>
      </w:pPr>
      <w:r>
        <w:rPr>
          <w:color w:val="231F20"/>
        </w:rPr>
        <w:t>Le mandat présidentiel s’achève le 30 octobre 2005. Les parties </w:t>
      </w:r>
      <w:r>
        <w:rPr>
          <w:color w:val="231F20"/>
          <w:spacing w:val="-4"/>
        </w:rPr>
        <w:t>n’arrivent</w:t>
      </w:r>
      <w:r>
        <w:rPr>
          <w:color w:val="231F20"/>
          <w:spacing w:val="-6"/>
        </w:rPr>
        <w:t> </w:t>
      </w:r>
      <w:r>
        <w:rPr>
          <w:color w:val="231F20"/>
          <w:spacing w:val="-4"/>
        </w:rPr>
        <w:t>toujours</w:t>
      </w:r>
      <w:r>
        <w:rPr>
          <w:color w:val="231F20"/>
          <w:spacing w:val="-5"/>
        </w:rPr>
        <w:t> </w:t>
      </w:r>
      <w:r>
        <w:rPr>
          <w:color w:val="231F20"/>
          <w:spacing w:val="-4"/>
        </w:rPr>
        <w:t>pas</w:t>
      </w:r>
      <w:r>
        <w:rPr>
          <w:color w:val="231F20"/>
          <w:spacing w:val="-5"/>
        </w:rPr>
        <w:t> </w:t>
      </w:r>
      <w:r>
        <w:rPr>
          <w:color w:val="231F20"/>
          <w:spacing w:val="-4"/>
        </w:rPr>
        <w:t>à</w:t>
      </w:r>
      <w:r>
        <w:rPr>
          <w:color w:val="231F20"/>
          <w:spacing w:val="-6"/>
        </w:rPr>
        <w:t> </w:t>
      </w:r>
      <w:r>
        <w:rPr>
          <w:color w:val="231F20"/>
          <w:spacing w:val="-4"/>
        </w:rPr>
        <w:t>se mettre</w:t>
      </w:r>
      <w:r>
        <w:rPr>
          <w:color w:val="231F20"/>
          <w:spacing w:val="-6"/>
        </w:rPr>
        <w:t> </w:t>
      </w:r>
      <w:r>
        <w:rPr>
          <w:color w:val="231F20"/>
          <w:spacing w:val="-4"/>
        </w:rPr>
        <w:t>d’accord</w:t>
      </w:r>
      <w:r>
        <w:rPr>
          <w:color w:val="231F20"/>
          <w:spacing w:val="-6"/>
        </w:rPr>
        <w:t> </w:t>
      </w:r>
      <w:r>
        <w:rPr>
          <w:color w:val="231F20"/>
          <w:spacing w:val="-4"/>
        </w:rPr>
        <w:t>sur</w:t>
      </w:r>
      <w:r>
        <w:rPr>
          <w:color w:val="231F20"/>
          <w:spacing w:val="-6"/>
        </w:rPr>
        <w:t> </w:t>
      </w:r>
      <w:r>
        <w:rPr>
          <w:color w:val="231F20"/>
          <w:spacing w:val="-4"/>
        </w:rPr>
        <w:t>les</w:t>
      </w:r>
      <w:r>
        <w:rPr>
          <w:color w:val="231F20"/>
          <w:spacing w:val="-5"/>
        </w:rPr>
        <w:t> </w:t>
      </w:r>
      <w:r>
        <w:rPr>
          <w:color w:val="231F20"/>
          <w:spacing w:val="-4"/>
        </w:rPr>
        <w:t>conditions</w:t>
      </w:r>
      <w:r>
        <w:rPr>
          <w:color w:val="231F20"/>
          <w:spacing w:val="-5"/>
        </w:rPr>
        <w:t> </w:t>
      </w:r>
      <w:r>
        <w:rPr>
          <w:color w:val="231F20"/>
          <w:spacing w:val="-4"/>
        </w:rPr>
        <w:t>d’éligibilité </w:t>
      </w:r>
      <w:r>
        <w:rPr>
          <w:color w:val="231F20"/>
        </w:rPr>
        <w:t>du candidat à la présidence de la république. Ils s’en remettent au </w:t>
      </w:r>
      <w:r>
        <w:rPr>
          <w:color w:val="231F20"/>
          <w:spacing w:val="-2"/>
        </w:rPr>
        <w:t>Médiateur</w:t>
      </w:r>
      <w:r>
        <w:rPr>
          <w:color w:val="231F20"/>
          <w:spacing w:val="-8"/>
        </w:rPr>
        <w:t> </w:t>
      </w:r>
      <w:r>
        <w:rPr>
          <w:color w:val="231F20"/>
          <w:spacing w:val="-2"/>
        </w:rPr>
        <w:t>de</w:t>
      </w:r>
      <w:r>
        <w:rPr>
          <w:color w:val="231F20"/>
          <w:spacing w:val="-6"/>
        </w:rPr>
        <w:t> </w:t>
      </w:r>
      <w:r>
        <w:rPr>
          <w:color w:val="231F20"/>
          <w:spacing w:val="-2"/>
        </w:rPr>
        <w:t>l’Union</w:t>
      </w:r>
      <w:r>
        <w:rPr>
          <w:color w:val="231F20"/>
          <w:spacing w:val="-5"/>
        </w:rPr>
        <w:t> </w:t>
      </w:r>
      <w:r>
        <w:rPr>
          <w:color w:val="231F20"/>
          <w:spacing w:val="-2"/>
        </w:rPr>
        <w:t>Africaine,</w:t>
      </w:r>
      <w:r>
        <w:rPr>
          <w:color w:val="231F20"/>
          <w:spacing w:val="-8"/>
        </w:rPr>
        <w:t> </w:t>
      </w:r>
      <w:r>
        <w:rPr>
          <w:color w:val="231F20"/>
          <w:spacing w:val="-2"/>
        </w:rPr>
        <w:t>le</w:t>
      </w:r>
      <w:r>
        <w:rPr>
          <w:color w:val="231F20"/>
          <w:spacing w:val="-6"/>
        </w:rPr>
        <w:t> </w:t>
      </w:r>
      <w:r>
        <w:rPr>
          <w:color w:val="231F20"/>
          <w:spacing w:val="-2"/>
        </w:rPr>
        <w:t>président Thabo</w:t>
      </w:r>
      <w:r>
        <w:rPr>
          <w:color w:val="231F20"/>
          <w:spacing w:val="-7"/>
        </w:rPr>
        <w:t> </w:t>
      </w:r>
      <w:r>
        <w:rPr>
          <w:color w:val="231F20"/>
          <w:spacing w:val="-2"/>
        </w:rPr>
        <w:t>Mbeki</w:t>
      </w:r>
      <w:r>
        <w:rPr>
          <w:color w:val="231F20"/>
          <w:spacing w:val="-7"/>
        </w:rPr>
        <w:t> </w:t>
      </w:r>
      <w:r>
        <w:rPr>
          <w:color w:val="231F20"/>
          <w:spacing w:val="-2"/>
        </w:rPr>
        <w:t>d’Afrique</w:t>
      </w:r>
      <w:r>
        <w:rPr>
          <w:color w:val="231F20"/>
          <w:spacing w:val="-6"/>
        </w:rPr>
        <w:t> </w:t>
      </w:r>
      <w:r>
        <w:rPr>
          <w:color w:val="231F20"/>
          <w:spacing w:val="-2"/>
        </w:rPr>
        <w:t>du sud</w:t>
      </w:r>
      <w:r>
        <w:rPr>
          <w:color w:val="231F20"/>
          <w:spacing w:val="-13"/>
        </w:rPr>
        <w:t> </w:t>
      </w:r>
      <w:r>
        <w:rPr>
          <w:color w:val="231F20"/>
          <w:spacing w:val="-2"/>
        </w:rPr>
        <w:t>qui</w:t>
      </w:r>
      <w:r>
        <w:rPr>
          <w:color w:val="231F20"/>
          <w:spacing w:val="-11"/>
        </w:rPr>
        <w:t> </w:t>
      </w:r>
      <w:r>
        <w:rPr>
          <w:color w:val="231F20"/>
          <w:spacing w:val="-2"/>
        </w:rPr>
        <w:t>les</w:t>
      </w:r>
      <w:r>
        <w:rPr>
          <w:color w:val="231F20"/>
          <w:spacing w:val="-13"/>
        </w:rPr>
        <w:t> </w:t>
      </w:r>
      <w:r>
        <w:rPr>
          <w:color w:val="231F20"/>
          <w:spacing w:val="-2"/>
        </w:rPr>
        <w:t>reçoit</w:t>
      </w:r>
      <w:r>
        <w:rPr>
          <w:color w:val="231F20"/>
          <w:spacing w:val="-12"/>
        </w:rPr>
        <w:t> </w:t>
      </w:r>
      <w:r>
        <w:rPr>
          <w:color w:val="231F20"/>
          <w:spacing w:val="-2"/>
        </w:rPr>
        <w:t>à</w:t>
      </w:r>
      <w:r>
        <w:rPr>
          <w:color w:val="231F20"/>
          <w:spacing w:val="-13"/>
        </w:rPr>
        <w:t> </w:t>
      </w:r>
      <w:r>
        <w:rPr>
          <w:color w:val="231F20"/>
          <w:spacing w:val="-2"/>
        </w:rPr>
        <w:t>Pretoria,</w:t>
      </w:r>
      <w:r>
        <w:rPr>
          <w:color w:val="231F20"/>
          <w:spacing w:val="-11"/>
        </w:rPr>
        <w:t> </w:t>
      </w:r>
      <w:r>
        <w:rPr>
          <w:color w:val="231F20"/>
          <w:spacing w:val="-2"/>
        </w:rPr>
        <w:t>dans</w:t>
      </w:r>
      <w:r>
        <w:rPr>
          <w:color w:val="231F20"/>
          <w:spacing w:val="-13"/>
        </w:rPr>
        <w:t> </w:t>
      </w:r>
      <w:r>
        <w:rPr>
          <w:color w:val="231F20"/>
          <w:spacing w:val="-2"/>
        </w:rPr>
        <w:t>la</w:t>
      </w:r>
      <w:r>
        <w:rPr>
          <w:color w:val="231F20"/>
          <w:spacing w:val="-13"/>
        </w:rPr>
        <w:t> </w:t>
      </w:r>
      <w:r>
        <w:rPr>
          <w:color w:val="231F20"/>
          <w:spacing w:val="-2"/>
        </w:rPr>
        <w:t>première</w:t>
      </w:r>
      <w:r>
        <w:rPr>
          <w:color w:val="231F20"/>
          <w:spacing w:val="-13"/>
        </w:rPr>
        <w:t> </w:t>
      </w:r>
      <w:r>
        <w:rPr>
          <w:color w:val="231F20"/>
          <w:spacing w:val="-2"/>
        </w:rPr>
        <w:t>semaine</w:t>
      </w:r>
      <w:r>
        <w:rPr>
          <w:color w:val="231F20"/>
          <w:spacing w:val="-10"/>
        </w:rPr>
        <w:t> </w:t>
      </w:r>
      <w:r>
        <w:rPr>
          <w:color w:val="231F20"/>
          <w:spacing w:val="-2"/>
        </w:rPr>
        <w:t>du</w:t>
      </w:r>
      <w:r>
        <w:rPr>
          <w:color w:val="231F20"/>
          <w:spacing w:val="-13"/>
        </w:rPr>
        <w:t> </w:t>
      </w:r>
      <w:r>
        <w:rPr>
          <w:color w:val="231F20"/>
          <w:spacing w:val="-2"/>
        </w:rPr>
        <w:t>mois</w:t>
      </w:r>
      <w:r>
        <w:rPr>
          <w:color w:val="231F20"/>
          <w:spacing w:val="-13"/>
        </w:rPr>
        <w:t> </w:t>
      </w:r>
      <w:r>
        <w:rPr>
          <w:color w:val="231F20"/>
          <w:spacing w:val="-2"/>
        </w:rPr>
        <w:t>d’octobre. </w:t>
      </w:r>
      <w:r>
        <w:rPr>
          <w:color w:val="231F20"/>
        </w:rPr>
        <w:t>L’article</w:t>
      </w:r>
      <w:r>
        <w:rPr>
          <w:color w:val="231F20"/>
          <w:spacing w:val="-11"/>
        </w:rPr>
        <w:t> </w:t>
      </w:r>
      <w:r>
        <w:rPr>
          <w:color w:val="231F20"/>
        </w:rPr>
        <w:t>35</w:t>
      </w:r>
      <w:r>
        <w:rPr>
          <w:color w:val="231F20"/>
          <w:spacing w:val="-8"/>
        </w:rPr>
        <w:t> </w:t>
      </w:r>
      <w:r>
        <w:rPr>
          <w:color w:val="231F20"/>
        </w:rPr>
        <w:t>de</w:t>
      </w:r>
      <w:r>
        <w:rPr>
          <w:color w:val="231F20"/>
          <w:spacing w:val="-11"/>
        </w:rPr>
        <w:t> </w:t>
      </w:r>
      <w:r>
        <w:rPr>
          <w:color w:val="231F20"/>
        </w:rPr>
        <w:t>la</w:t>
      </w:r>
      <w:r>
        <w:rPr>
          <w:color w:val="231F20"/>
          <w:spacing w:val="-8"/>
        </w:rPr>
        <w:t> </w:t>
      </w:r>
      <w:r>
        <w:rPr>
          <w:color w:val="231F20"/>
        </w:rPr>
        <w:t>Constitution</w:t>
      </w:r>
      <w:r>
        <w:rPr>
          <w:color w:val="231F20"/>
          <w:spacing w:val="-11"/>
        </w:rPr>
        <w:t> </w:t>
      </w:r>
      <w:r>
        <w:rPr>
          <w:color w:val="231F20"/>
        </w:rPr>
        <w:t>ivoirienne</w:t>
      </w:r>
      <w:r>
        <w:rPr>
          <w:color w:val="231F20"/>
          <w:spacing w:val="-9"/>
        </w:rPr>
        <w:t> </w:t>
      </w:r>
      <w:r>
        <w:rPr>
          <w:color w:val="231F20"/>
        </w:rPr>
        <w:t>est</w:t>
      </w:r>
      <w:r>
        <w:rPr>
          <w:color w:val="231F20"/>
          <w:spacing w:val="-8"/>
        </w:rPr>
        <w:t> </w:t>
      </w:r>
      <w:r>
        <w:rPr>
          <w:color w:val="231F20"/>
        </w:rPr>
        <w:t>au</w:t>
      </w:r>
      <w:r>
        <w:rPr>
          <w:color w:val="231F20"/>
          <w:spacing w:val="-9"/>
        </w:rPr>
        <w:t> </w:t>
      </w:r>
      <w:r>
        <w:rPr>
          <w:color w:val="231F20"/>
        </w:rPr>
        <w:t>centre</w:t>
      </w:r>
      <w:r>
        <w:rPr>
          <w:color w:val="231F20"/>
          <w:spacing w:val="-9"/>
        </w:rPr>
        <w:t> </w:t>
      </w:r>
      <w:r>
        <w:rPr>
          <w:color w:val="231F20"/>
        </w:rPr>
        <w:t>des</w:t>
      </w:r>
      <w:r>
        <w:rPr>
          <w:color w:val="231F20"/>
          <w:spacing w:val="-9"/>
        </w:rPr>
        <w:t> </w:t>
      </w:r>
      <w:r>
        <w:rPr>
          <w:color w:val="231F20"/>
        </w:rPr>
        <w:t>discussions.</w:t>
      </w:r>
    </w:p>
    <w:p>
      <w:pPr>
        <w:spacing w:before="121"/>
        <w:ind w:left="111" w:right="104" w:firstLine="283"/>
        <w:jc w:val="both"/>
        <w:rPr>
          <w:sz w:val="24"/>
        </w:rPr>
      </w:pPr>
      <w:r>
        <w:rPr>
          <w:color w:val="231F20"/>
          <w:sz w:val="24"/>
        </w:rPr>
        <w:t>Le président Gbagbo accepte de faire usage de l’article 48</w:t>
      </w:r>
      <w:r>
        <w:rPr>
          <w:color w:val="231F20"/>
          <w:sz w:val="24"/>
          <w:vertAlign w:val="superscript"/>
        </w:rPr>
        <w:t>201</w:t>
      </w:r>
      <w:r>
        <w:rPr>
          <w:color w:val="231F20"/>
          <w:sz w:val="24"/>
          <w:vertAlign w:val="baseline"/>
        </w:rPr>
        <w:t>de la Constitution de la Côte d’Ivoire:</w:t>
      </w:r>
      <w:r>
        <w:rPr>
          <w:i/>
          <w:color w:val="231F20"/>
          <w:sz w:val="24"/>
          <w:vertAlign w:val="baseline"/>
        </w:rPr>
        <w:t>«</w:t>
      </w:r>
      <w:r>
        <w:rPr>
          <w:i/>
          <w:color w:val="231F20"/>
          <w:spacing w:val="-15"/>
          <w:sz w:val="24"/>
          <w:vertAlign w:val="baseline"/>
        </w:rPr>
        <w:t> </w:t>
      </w:r>
      <w:r>
        <w:rPr>
          <w:i/>
          <w:color w:val="231F20"/>
          <w:sz w:val="24"/>
          <w:vertAlign w:val="baseline"/>
        </w:rPr>
        <w:t>Conformément à cet article, dès cet</w:t>
      </w:r>
      <w:r>
        <w:rPr>
          <w:i/>
          <w:color w:val="231F20"/>
          <w:sz w:val="24"/>
          <w:vertAlign w:val="baseline"/>
        </w:rPr>
        <w:t> instant, je décide, uniquement pour l’élection présidentielle d’octobre </w:t>
      </w:r>
      <w:r>
        <w:rPr>
          <w:i/>
          <w:color w:val="231F20"/>
          <w:spacing w:val="-4"/>
          <w:sz w:val="24"/>
          <w:vertAlign w:val="baseline"/>
        </w:rPr>
        <w:t>2005</w:t>
      </w:r>
      <w:r>
        <w:rPr>
          <w:i/>
          <w:color w:val="231F20"/>
          <w:spacing w:val="-5"/>
          <w:sz w:val="24"/>
          <w:vertAlign w:val="baseline"/>
        </w:rPr>
        <w:t> </w:t>
      </w:r>
      <w:r>
        <w:rPr>
          <w:i/>
          <w:color w:val="231F20"/>
          <w:spacing w:val="-4"/>
          <w:sz w:val="24"/>
          <w:vertAlign w:val="baseline"/>
        </w:rPr>
        <w:t>(...),</w:t>
      </w:r>
      <w:r>
        <w:rPr>
          <w:i/>
          <w:color w:val="231F20"/>
          <w:spacing w:val="-8"/>
          <w:sz w:val="24"/>
          <w:vertAlign w:val="baseline"/>
        </w:rPr>
        <w:t> </w:t>
      </w:r>
      <w:r>
        <w:rPr>
          <w:i/>
          <w:color w:val="231F20"/>
          <w:spacing w:val="-4"/>
          <w:sz w:val="24"/>
          <w:vertAlign w:val="baseline"/>
        </w:rPr>
        <w:t>que</w:t>
      </w:r>
      <w:r>
        <w:rPr>
          <w:i/>
          <w:color w:val="231F20"/>
          <w:spacing w:val="-8"/>
          <w:sz w:val="24"/>
          <w:vertAlign w:val="baseline"/>
        </w:rPr>
        <w:t> </w:t>
      </w:r>
      <w:r>
        <w:rPr>
          <w:i/>
          <w:color w:val="231F20"/>
          <w:spacing w:val="-4"/>
          <w:sz w:val="24"/>
          <w:vertAlign w:val="baseline"/>
        </w:rPr>
        <w:t>les</w:t>
      </w:r>
      <w:r>
        <w:rPr>
          <w:i/>
          <w:color w:val="231F20"/>
          <w:spacing w:val="-6"/>
          <w:sz w:val="24"/>
          <w:vertAlign w:val="baseline"/>
        </w:rPr>
        <w:t> </w:t>
      </w:r>
      <w:r>
        <w:rPr>
          <w:i/>
          <w:color w:val="231F20"/>
          <w:spacing w:val="-4"/>
          <w:sz w:val="24"/>
          <w:vertAlign w:val="baseline"/>
        </w:rPr>
        <w:t>candidats</w:t>
      </w:r>
      <w:r>
        <w:rPr>
          <w:i/>
          <w:color w:val="231F20"/>
          <w:spacing w:val="-6"/>
          <w:sz w:val="24"/>
          <w:vertAlign w:val="baseline"/>
        </w:rPr>
        <w:t> </w:t>
      </w:r>
      <w:r>
        <w:rPr>
          <w:i/>
          <w:color w:val="231F20"/>
          <w:spacing w:val="-4"/>
          <w:sz w:val="24"/>
          <w:vertAlign w:val="baseline"/>
        </w:rPr>
        <w:t>présentés</w:t>
      </w:r>
      <w:r>
        <w:rPr>
          <w:i/>
          <w:color w:val="231F20"/>
          <w:spacing w:val="-6"/>
          <w:sz w:val="24"/>
          <w:vertAlign w:val="baseline"/>
        </w:rPr>
        <w:t> </w:t>
      </w:r>
      <w:r>
        <w:rPr>
          <w:i/>
          <w:color w:val="231F20"/>
          <w:spacing w:val="-4"/>
          <w:sz w:val="24"/>
          <w:vertAlign w:val="baseline"/>
        </w:rPr>
        <w:t>par</w:t>
      </w:r>
      <w:r>
        <w:rPr>
          <w:i/>
          <w:color w:val="231F20"/>
          <w:spacing w:val="-8"/>
          <w:sz w:val="24"/>
          <w:vertAlign w:val="baseline"/>
        </w:rPr>
        <w:t> </w:t>
      </w:r>
      <w:r>
        <w:rPr>
          <w:i/>
          <w:color w:val="231F20"/>
          <w:spacing w:val="-4"/>
          <w:sz w:val="24"/>
          <w:vertAlign w:val="baseline"/>
        </w:rPr>
        <w:t>les</w:t>
      </w:r>
      <w:r>
        <w:rPr>
          <w:i/>
          <w:color w:val="231F20"/>
          <w:spacing w:val="-6"/>
          <w:sz w:val="24"/>
          <w:vertAlign w:val="baseline"/>
        </w:rPr>
        <w:t> </w:t>
      </w:r>
      <w:r>
        <w:rPr>
          <w:i/>
          <w:color w:val="231F20"/>
          <w:spacing w:val="-4"/>
          <w:sz w:val="24"/>
          <w:vertAlign w:val="baseline"/>
        </w:rPr>
        <w:t>partis</w:t>
      </w:r>
      <w:r>
        <w:rPr>
          <w:i/>
          <w:color w:val="231F20"/>
          <w:spacing w:val="-8"/>
          <w:sz w:val="24"/>
          <w:vertAlign w:val="baseline"/>
        </w:rPr>
        <w:t> </w:t>
      </w:r>
      <w:r>
        <w:rPr>
          <w:i/>
          <w:color w:val="231F20"/>
          <w:spacing w:val="-4"/>
          <w:sz w:val="24"/>
          <w:vertAlign w:val="baseline"/>
        </w:rPr>
        <w:t>politiques</w:t>
      </w:r>
      <w:r>
        <w:rPr>
          <w:i/>
          <w:color w:val="231F20"/>
          <w:spacing w:val="-8"/>
          <w:sz w:val="24"/>
          <w:vertAlign w:val="baseline"/>
        </w:rPr>
        <w:t> </w:t>
      </w:r>
      <w:r>
        <w:rPr>
          <w:i/>
          <w:color w:val="231F20"/>
          <w:spacing w:val="-4"/>
          <w:sz w:val="24"/>
          <w:vertAlign w:val="baseline"/>
        </w:rPr>
        <w:t>signataires </w:t>
      </w:r>
      <w:r>
        <w:rPr>
          <w:i/>
          <w:color w:val="231F20"/>
          <w:sz w:val="24"/>
          <w:vertAlign w:val="baseline"/>
        </w:rPr>
        <w:t>des</w:t>
      </w:r>
      <w:r>
        <w:rPr>
          <w:i/>
          <w:color w:val="231F20"/>
          <w:spacing w:val="-9"/>
          <w:sz w:val="24"/>
          <w:vertAlign w:val="baseline"/>
        </w:rPr>
        <w:t> </w:t>
      </w:r>
      <w:r>
        <w:rPr>
          <w:i/>
          <w:color w:val="231F20"/>
          <w:sz w:val="24"/>
          <w:vertAlign w:val="baseline"/>
        </w:rPr>
        <w:t>accords</w:t>
      </w:r>
      <w:r>
        <w:rPr>
          <w:i/>
          <w:color w:val="231F20"/>
          <w:spacing w:val="-9"/>
          <w:sz w:val="24"/>
          <w:vertAlign w:val="baseline"/>
        </w:rPr>
        <w:t> </w:t>
      </w:r>
      <w:r>
        <w:rPr>
          <w:i/>
          <w:color w:val="231F20"/>
          <w:sz w:val="24"/>
          <w:vertAlign w:val="baseline"/>
        </w:rPr>
        <w:t>de</w:t>
      </w:r>
      <w:r>
        <w:rPr>
          <w:i/>
          <w:color w:val="231F20"/>
          <w:spacing w:val="-9"/>
          <w:sz w:val="24"/>
          <w:vertAlign w:val="baseline"/>
        </w:rPr>
        <w:t> </w:t>
      </w:r>
      <w:r>
        <w:rPr>
          <w:i/>
          <w:color w:val="231F20"/>
          <w:sz w:val="24"/>
          <w:vertAlign w:val="baseline"/>
        </w:rPr>
        <w:t>Marcoussis</w:t>
      </w:r>
      <w:r>
        <w:rPr>
          <w:i/>
          <w:color w:val="231F20"/>
          <w:spacing w:val="-9"/>
          <w:sz w:val="24"/>
          <w:vertAlign w:val="baseline"/>
        </w:rPr>
        <w:t> </w:t>
      </w:r>
      <w:r>
        <w:rPr>
          <w:i/>
          <w:color w:val="231F20"/>
          <w:sz w:val="24"/>
          <w:vertAlign w:val="baseline"/>
        </w:rPr>
        <w:t>sont</w:t>
      </w:r>
      <w:r>
        <w:rPr>
          <w:i/>
          <w:color w:val="231F20"/>
          <w:spacing w:val="-9"/>
          <w:sz w:val="24"/>
          <w:vertAlign w:val="baseline"/>
        </w:rPr>
        <w:t> </w:t>
      </w:r>
      <w:r>
        <w:rPr>
          <w:i/>
          <w:color w:val="231F20"/>
          <w:sz w:val="24"/>
          <w:vertAlign w:val="baseline"/>
        </w:rPr>
        <w:t>éligibles.</w:t>
      </w:r>
      <w:r>
        <w:rPr>
          <w:i/>
          <w:color w:val="231F20"/>
          <w:spacing w:val="-9"/>
          <w:sz w:val="24"/>
          <w:vertAlign w:val="baseline"/>
        </w:rPr>
        <w:t> </w:t>
      </w:r>
      <w:r>
        <w:rPr>
          <w:i/>
          <w:color w:val="231F20"/>
          <w:sz w:val="24"/>
          <w:vertAlign w:val="baseline"/>
        </w:rPr>
        <w:t>Par</w:t>
      </w:r>
      <w:r>
        <w:rPr>
          <w:i/>
          <w:color w:val="231F20"/>
          <w:spacing w:val="-9"/>
          <w:sz w:val="24"/>
          <w:vertAlign w:val="baseline"/>
        </w:rPr>
        <w:t> </w:t>
      </w:r>
      <w:r>
        <w:rPr>
          <w:i/>
          <w:color w:val="231F20"/>
          <w:sz w:val="24"/>
          <w:vertAlign w:val="baseline"/>
        </w:rPr>
        <w:t>conséquent,</w:t>
      </w:r>
      <w:r>
        <w:rPr>
          <w:i/>
          <w:color w:val="231F20"/>
          <w:spacing w:val="-10"/>
          <w:sz w:val="24"/>
          <w:vertAlign w:val="baseline"/>
        </w:rPr>
        <w:t> </w:t>
      </w:r>
      <w:r>
        <w:rPr>
          <w:i/>
          <w:color w:val="231F20"/>
          <w:sz w:val="24"/>
          <w:vertAlign w:val="baseline"/>
        </w:rPr>
        <w:t>M.</w:t>
      </w:r>
      <w:r>
        <w:rPr>
          <w:i/>
          <w:color w:val="231F20"/>
          <w:spacing w:val="-9"/>
          <w:sz w:val="24"/>
          <w:vertAlign w:val="baseline"/>
        </w:rPr>
        <w:t> </w:t>
      </w:r>
      <w:r>
        <w:rPr>
          <w:i/>
          <w:color w:val="231F20"/>
          <w:sz w:val="24"/>
          <w:vertAlign w:val="baseline"/>
        </w:rPr>
        <w:t>Alassane Ouattara</w:t>
      </w:r>
      <w:r>
        <w:rPr>
          <w:i/>
          <w:color w:val="231F20"/>
          <w:spacing w:val="-15"/>
          <w:sz w:val="24"/>
          <w:vertAlign w:val="baseline"/>
        </w:rPr>
        <w:t> </w:t>
      </w:r>
      <w:r>
        <w:rPr>
          <w:i/>
          <w:color w:val="231F20"/>
          <w:sz w:val="24"/>
          <w:vertAlign w:val="baseline"/>
        </w:rPr>
        <w:t>peut,</w:t>
      </w:r>
      <w:r>
        <w:rPr>
          <w:i/>
          <w:color w:val="231F20"/>
          <w:spacing w:val="-15"/>
          <w:sz w:val="24"/>
          <w:vertAlign w:val="baseline"/>
        </w:rPr>
        <w:t> </w:t>
      </w:r>
      <w:r>
        <w:rPr>
          <w:i/>
          <w:color w:val="231F20"/>
          <w:sz w:val="24"/>
          <w:vertAlign w:val="baseline"/>
        </w:rPr>
        <w:t>s’il</w:t>
      </w:r>
      <w:r>
        <w:rPr>
          <w:i/>
          <w:color w:val="231F20"/>
          <w:spacing w:val="-15"/>
          <w:sz w:val="24"/>
          <w:vertAlign w:val="baseline"/>
        </w:rPr>
        <w:t> </w:t>
      </w:r>
      <w:r>
        <w:rPr>
          <w:i/>
          <w:color w:val="231F20"/>
          <w:sz w:val="24"/>
          <w:vertAlign w:val="baseline"/>
        </w:rPr>
        <w:t>le</w:t>
      </w:r>
      <w:r>
        <w:rPr>
          <w:i/>
          <w:color w:val="231F20"/>
          <w:spacing w:val="-15"/>
          <w:sz w:val="24"/>
          <w:vertAlign w:val="baseline"/>
        </w:rPr>
        <w:t> </w:t>
      </w:r>
      <w:r>
        <w:rPr>
          <w:i/>
          <w:color w:val="231F20"/>
          <w:sz w:val="24"/>
          <w:vertAlign w:val="baseline"/>
        </w:rPr>
        <w:t>désire,</w:t>
      </w:r>
      <w:r>
        <w:rPr>
          <w:i/>
          <w:color w:val="231F20"/>
          <w:spacing w:val="-15"/>
          <w:sz w:val="24"/>
          <w:vertAlign w:val="baseline"/>
        </w:rPr>
        <w:t> </w:t>
      </w:r>
      <w:r>
        <w:rPr>
          <w:i/>
          <w:color w:val="231F20"/>
          <w:sz w:val="24"/>
          <w:vertAlign w:val="baseline"/>
        </w:rPr>
        <w:t>présenter</w:t>
      </w:r>
      <w:r>
        <w:rPr>
          <w:i/>
          <w:color w:val="231F20"/>
          <w:spacing w:val="-14"/>
          <w:sz w:val="24"/>
          <w:vertAlign w:val="baseline"/>
        </w:rPr>
        <w:t> </w:t>
      </w:r>
      <w:r>
        <w:rPr>
          <w:i/>
          <w:color w:val="231F20"/>
          <w:sz w:val="24"/>
          <w:vertAlign w:val="baseline"/>
        </w:rPr>
        <w:t>sa</w:t>
      </w:r>
      <w:r>
        <w:rPr>
          <w:i/>
          <w:color w:val="231F20"/>
          <w:spacing w:val="-13"/>
          <w:sz w:val="24"/>
          <w:vertAlign w:val="baseline"/>
        </w:rPr>
        <w:t> </w:t>
      </w:r>
      <w:r>
        <w:rPr>
          <w:i/>
          <w:color w:val="231F20"/>
          <w:sz w:val="24"/>
          <w:vertAlign w:val="baseline"/>
        </w:rPr>
        <w:t>candidature</w:t>
      </w:r>
      <w:r>
        <w:rPr>
          <w:i/>
          <w:color w:val="231F20"/>
          <w:spacing w:val="-15"/>
          <w:sz w:val="24"/>
          <w:vertAlign w:val="baseline"/>
        </w:rPr>
        <w:t> </w:t>
      </w:r>
      <w:r>
        <w:rPr>
          <w:i/>
          <w:color w:val="231F20"/>
          <w:sz w:val="24"/>
          <w:vertAlign w:val="baseline"/>
        </w:rPr>
        <w:t>»</w:t>
      </w:r>
      <w:r>
        <w:rPr>
          <w:i/>
          <w:color w:val="231F20"/>
          <w:spacing w:val="-15"/>
          <w:sz w:val="24"/>
          <w:vertAlign w:val="baseline"/>
        </w:rPr>
        <w:t> </w:t>
      </w:r>
      <w:r>
        <w:rPr>
          <w:color w:val="231F20"/>
          <w:sz w:val="24"/>
          <w:vertAlign w:val="baseline"/>
        </w:rPr>
        <w:t>décrète</w:t>
      </w:r>
      <w:r>
        <w:rPr>
          <w:color w:val="231F20"/>
          <w:spacing w:val="-13"/>
          <w:sz w:val="24"/>
          <w:vertAlign w:val="baseline"/>
        </w:rPr>
        <w:t> </w:t>
      </w:r>
      <w:r>
        <w:rPr>
          <w:color w:val="231F20"/>
          <w:sz w:val="24"/>
          <w:vertAlign w:val="baseline"/>
        </w:rPr>
        <w:t>Laurent </w:t>
      </w:r>
      <w:r>
        <w:rPr>
          <w:color w:val="231F20"/>
          <w:spacing w:val="-2"/>
          <w:sz w:val="24"/>
          <w:vertAlign w:val="baseline"/>
        </w:rPr>
        <w:t>Gbagbo.</w:t>
      </w:r>
    </w:p>
    <w:p>
      <w:pPr>
        <w:pStyle w:val="BodyText"/>
        <w:spacing w:before="120"/>
        <w:ind w:right="103" w:firstLine="283"/>
        <w:rPr>
          <w:i/>
        </w:rPr>
      </w:pPr>
      <w:r>
        <w:rPr>
          <w:color w:val="231F20"/>
        </w:rPr>
        <w:t>Mais</w:t>
      </w:r>
      <w:r>
        <w:rPr>
          <w:color w:val="231F20"/>
          <w:spacing w:val="-10"/>
        </w:rPr>
        <w:t> </w:t>
      </w:r>
      <w:r>
        <w:rPr>
          <w:color w:val="231F20"/>
        </w:rPr>
        <w:t>l’élection</w:t>
      </w:r>
      <w:r>
        <w:rPr>
          <w:color w:val="231F20"/>
          <w:spacing w:val="-11"/>
        </w:rPr>
        <w:t> </w:t>
      </w:r>
      <w:r>
        <w:rPr>
          <w:color w:val="231F20"/>
        </w:rPr>
        <w:t>présidentielle</w:t>
      </w:r>
      <w:r>
        <w:rPr>
          <w:color w:val="231F20"/>
          <w:spacing w:val="-9"/>
        </w:rPr>
        <w:t> </w:t>
      </w:r>
      <w:r>
        <w:rPr>
          <w:color w:val="231F20"/>
        </w:rPr>
        <w:t>ne</w:t>
      </w:r>
      <w:r>
        <w:rPr>
          <w:color w:val="231F20"/>
          <w:spacing w:val="-11"/>
        </w:rPr>
        <w:t> </w:t>
      </w:r>
      <w:r>
        <w:rPr>
          <w:color w:val="231F20"/>
        </w:rPr>
        <w:t>se</w:t>
      </w:r>
      <w:r>
        <w:rPr>
          <w:color w:val="231F20"/>
          <w:spacing w:val="-10"/>
        </w:rPr>
        <w:t> </w:t>
      </w:r>
      <w:r>
        <w:rPr>
          <w:color w:val="231F20"/>
        </w:rPr>
        <w:t>tient</w:t>
      </w:r>
      <w:r>
        <w:rPr>
          <w:color w:val="231F20"/>
          <w:spacing w:val="-10"/>
        </w:rPr>
        <w:t> </w:t>
      </w:r>
      <w:r>
        <w:rPr>
          <w:color w:val="231F20"/>
        </w:rPr>
        <w:t>pas</w:t>
      </w:r>
      <w:r>
        <w:rPr>
          <w:color w:val="231F20"/>
          <w:spacing w:val="-10"/>
        </w:rPr>
        <w:t> </w:t>
      </w:r>
      <w:r>
        <w:rPr>
          <w:color w:val="231F20"/>
        </w:rPr>
        <w:t>en</w:t>
      </w:r>
      <w:r>
        <w:rPr>
          <w:color w:val="231F20"/>
          <w:spacing w:val="-9"/>
        </w:rPr>
        <w:t> </w:t>
      </w:r>
      <w:r>
        <w:rPr>
          <w:color w:val="231F20"/>
        </w:rPr>
        <w:t>octobre</w:t>
      </w:r>
      <w:r>
        <w:rPr>
          <w:color w:val="231F20"/>
          <w:spacing w:val="-9"/>
        </w:rPr>
        <w:t> </w:t>
      </w:r>
      <w:r>
        <w:rPr>
          <w:color w:val="231F20"/>
        </w:rPr>
        <w:t>2005</w:t>
      </w:r>
      <w:r>
        <w:rPr>
          <w:color w:val="231F20"/>
          <w:spacing w:val="-9"/>
        </w:rPr>
        <w:t> </w:t>
      </w:r>
      <w:r>
        <w:rPr>
          <w:color w:val="231F20"/>
        </w:rPr>
        <w:t>comme prévue par la Constitution</w:t>
      </w:r>
      <w:r>
        <w:rPr>
          <w:color w:val="231F20"/>
          <w:spacing w:val="-13"/>
        </w:rPr>
        <w:t> </w:t>
      </w:r>
      <w:r>
        <w:rPr>
          <w:color w:val="231F20"/>
        </w:rPr>
        <w:t>: fin octobre, le pays est toujours coupé en deux. Laurent Gbagbo et l’État ivoirien contrôlent 40% du territoire </w:t>
      </w:r>
      <w:r>
        <w:rPr>
          <w:color w:val="231F20"/>
          <w:spacing w:val="-4"/>
        </w:rPr>
        <w:t>national</w:t>
      </w:r>
      <w:r>
        <w:rPr>
          <w:color w:val="231F20"/>
          <w:spacing w:val="-7"/>
        </w:rPr>
        <w:t> </w:t>
      </w:r>
      <w:r>
        <w:rPr>
          <w:color w:val="231F20"/>
          <w:spacing w:val="-4"/>
        </w:rPr>
        <w:t>;</w:t>
      </w:r>
      <w:r>
        <w:rPr>
          <w:color w:val="231F20"/>
          <w:spacing w:val="-11"/>
        </w:rPr>
        <w:t> </w:t>
      </w:r>
      <w:r>
        <w:rPr>
          <w:color w:val="231F20"/>
          <w:spacing w:val="-4"/>
        </w:rPr>
        <w:t>le</w:t>
      </w:r>
      <w:r>
        <w:rPr>
          <w:color w:val="231F20"/>
          <w:spacing w:val="-9"/>
        </w:rPr>
        <w:t> </w:t>
      </w:r>
      <w:r>
        <w:rPr>
          <w:color w:val="231F20"/>
          <w:spacing w:val="-4"/>
        </w:rPr>
        <w:t>reste</w:t>
      </w:r>
      <w:r>
        <w:rPr>
          <w:color w:val="231F20"/>
          <w:spacing w:val="-11"/>
        </w:rPr>
        <w:t> </w:t>
      </w:r>
      <w:r>
        <w:rPr>
          <w:color w:val="231F20"/>
          <w:spacing w:val="-4"/>
        </w:rPr>
        <w:t>du</w:t>
      </w:r>
      <w:r>
        <w:rPr>
          <w:color w:val="231F20"/>
          <w:spacing w:val="-11"/>
        </w:rPr>
        <w:t> </w:t>
      </w:r>
      <w:r>
        <w:rPr>
          <w:color w:val="231F20"/>
          <w:spacing w:val="-4"/>
        </w:rPr>
        <w:t>pays</w:t>
      </w:r>
      <w:r>
        <w:rPr>
          <w:color w:val="231F20"/>
          <w:spacing w:val="-11"/>
        </w:rPr>
        <w:t> </w:t>
      </w:r>
      <w:r>
        <w:rPr>
          <w:color w:val="231F20"/>
          <w:spacing w:val="-4"/>
        </w:rPr>
        <w:t>est</w:t>
      </w:r>
      <w:r>
        <w:rPr>
          <w:color w:val="231F20"/>
          <w:spacing w:val="-9"/>
        </w:rPr>
        <w:t> </w:t>
      </w:r>
      <w:r>
        <w:rPr>
          <w:color w:val="231F20"/>
          <w:spacing w:val="-4"/>
        </w:rPr>
        <w:t>aux</w:t>
      </w:r>
      <w:r>
        <w:rPr>
          <w:color w:val="231F20"/>
          <w:spacing w:val="-9"/>
        </w:rPr>
        <w:t> </w:t>
      </w:r>
      <w:r>
        <w:rPr>
          <w:color w:val="231F20"/>
          <w:spacing w:val="-4"/>
        </w:rPr>
        <w:t>mains</w:t>
      </w:r>
      <w:r>
        <w:rPr>
          <w:color w:val="231F20"/>
          <w:spacing w:val="-11"/>
        </w:rPr>
        <w:t> </w:t>
      </w:r>
      <w:r>
        <w:rPr>
          <w:color w:val="231F20"/>
          <w:spacing w:val="-4"/>
        </w:rPr>
        <w:t>de</w:t>
      </w:r>
      <w:r>
        <w:rPr>
          <w:color w:val="231F20"/>
          <w:spacing w:val="-11"/>
        </w:rPr>
        <w:t> </w:t>
      </w:r>
      <w:r>
        <w:rPr>
          <w:color w:val="231F20"/>
          <w:spacing w:val="-4"/>
        </w:rPr>
        <w:t>la</w:t>
      </w:r>
      <w:r>
        <w:rPr>
          <w:color w:val="231F20"/>
          <w:spacing w:val="-9"/>
        </w:rPr>
        <w:t> </w:t>
      </w:r>
      <w:r>
        <w:rPr>
          <w:color w:val="231F20"/>
          <w:spacing w:val="-4"/>
        </w:rPr>
        <w:t>rébellion.</w:t>
      </w:r>
      <w:r>
        <w:rPr>
          <w:color w:val="231F20"/>
          <w:spacing w:val="2"/>
        </w:rPr>
        <w:t> </w:t>
      </w:r>
      <w:r>
        <w:rPr>
          <w:color w:val="231F20"/>
          <w:spacing w:val="-4"/>
        </w:rPr>
        <w:t>Or,</w:t>
      </w:r>
      <w:r>
        <w:rPr>
          <w:color w:val="231F20"/>
          <w:spacing w:val="-11"/>
        </w:rPr>
        <w:t> </w:t>
      </w:r>
      <w:r>
        <w:rPr>
          <w:color w:val="231F20"/>
          <w:spacing w:val="-4"/>
        </w:rPr>
        <w:t>la</w:t>
      </w:r>
      <w:r>
        <w:rPr>
          <w:color w:val="231F20"/>
          <w:spacing w:val="-11"/>
        </w:rPr>
        <w:t> </w:t>
      </w:r>
      <w:r>
        <w:rPr>
          <w:color w:val="231F20"/>
          <w:spacing w:val="-4"/>
        </w:rPr>
        <w:t>Constitution </w:t>
      </w:r>
      <w:r>
        <w:rPr>
          <w:color w:val="231F20"/>
        </w:rPr>
        <w:t>affirme</w:t>
      </w:r>
      <w:r>
        <w:rPr>
          <w:color w:val="231F20"/>
          <w:spacing w:val="-17"/>
        </w:rPr>
        <w:t> </w:t>
      </w:r>
      <w:r>
        <w:rPr>
          <w:color w:val="231F20"/>
        </w:rPr>
        <w:t>que</w:t>
      </w:r>
      <w:r>
        <w:rPr>
          <w:color w:val="231F20"/>
          <w:spacing w:val="-15"/>
        </w:rPr>
        <w:t> </w:t>
      </w:r>
      <w:r>
        <w:rPr>
          <w:i/>
          <w:color w:val="231F20"/>
        </w:rPr>
        <w:t>«</w:t>
      </w:r>
      <w:r>
        <w:rPr>
          <w:i/>
          <w:color w:val="231F20"/>
          <w:spacing w:val="-15"/>
        </w:rPr>
        <w:t> </w:t>
      </w:r>
      <w:r>
        <w:rPr>
          <w:i/>
          <w:color w:val="231F20"/>
        </w:rPr>
        <w:t>la</w:t>
      </w:r>
      <w:r>
        <w:rPr>
          <w:i/>
          <w:color w:val="231F20"/>
          <w:spacing w:val="-15"/>
        </w:rPr>
        <w:t> </w:t>
      </w:r>
      <w:r>
        <w:rPr>
          <w:i/>
          <w:color w:val="231F20"/>
        </w:rPr>
        <w:t>République</w:t>
      </w:r>
      <w:r>
        <w:rPr>
          <w:i/>
          <w:color w:val="231F20"/>
          <w:spacing w:val="-15"/>
        </w:rPr>
        <w:t> </w:t>
      </w:r>
      <w:r>
        <w:rPr>
          <w:i/>
          <w:color w:val="231F20"/>
        </w:rPr>
        <w:t>de</w:t>
      </w:r>
      <w:r>
        <w:rPr>
          <w:i/>
          <w:color w:val="231F20"/>
          <w:spacing w:val="-15"/>
        </w:rPr>
        <w:t> </w:t>
      </w:r>
      <w:r>
        <w:rPr>
          <w:i/>
          <w:color w:val="231F20"/>
        </w:rPr>
        <w:t>Côte</w:t>
      </w:r>
      <w:r>
        <w:rPr>
          <w:i/>
          <w:color w:val="231F20"/>
          <w:spacing w:val="-15"/>
        </w:rPr>
        <w:t> </w:t>
      </w:r>
      <w:r>
        <w:rPr>
          <w:i/>
          <w:color w:val="231F20"/>
        </w:rPr>
        <w:t>d’Ivoire</w:t>
      </w:r>
      <w:r>
        <w:rPr>
          <w:i/>
          <w:color w:val="231F20"/>
          <w:spacing w:val="-15"/>
        </w:rPr>
        <w:t> </w:t>
      </w:r>
      <w:r>
        <w:rPr>
          <w:i/>
          <w:color w:val="231F20"/>
        </w:rPr>
        <w:t>est</w:t>
      </w:r>
      <w:r>
        <w:rPr>
          <w:i/>
          <w:color w:val="231F20"/>
          <w:spacing w:val="-14"/>
        </w:rPr>
        <w:t> </w:t>
      </w:r>
      <w:r>
        <w:rPr>
          <w:i/>
          <w:color w:val="231F20"/>
        </w:rPr>
        <w:t>«</w:t>
      </w:r>
      <w:r>
        <w:rPr>
          <w:i/>
          <w:color w:val="231F20"/>
          <w:spacing w:val="-15"/>
        </w:rPr>
        <w:t> </w:t>
      </w:r>
      <w:r>
        <w:rPr>
          <w:i/>
          <w:color w:val="231F20"/>
        </w:rPr>
        <w:t>une</w:t>
      </w:r>
      <w:r>
        <w:rPr>
          <w:i/>
          <w:color w:val="231F20"/>
          <w:spacing w:val="-14"/>
        </w:rPr>
        <w:t> </w:t>
      </w:r>
      <w:r>
        <w:rPr>
          <w:i/>
          <w:color w:val="231F20"/>
        </w:rPr>
        <w:t>et</w:t>
      </w:r>
      <w:r>
        <w:rPr>
          <w:i/>
          <w:color w:val="231F20"/>
          <w:spacing w:val="-14"/>
        </w:rPr>
        <w:t> </w:t>
      </w:r>
      <w:r>
        <w:rPr>
          <w:i/>
          <w:color w:val="231F20"/>
        </w:rPr>
        <w:t>indivisible</w:t>
      </w:r>
      <w:r>
        <w:rPr>
          <w:i/>
          <w:color w:val="231F20"/>
          <w:spacing w:val="-14"/>
        </w:rPr>
        <w:t> </w:t>
      </w:r>
      <w:r>
        <w:rPr>
          <w:i/>
          <w:color w:val="231F20"/>
          <w:spacing w:val="-2"/>
        </w:rPr>
        <w:t>(...).</w:t>
      </w:r>
    </w:p>
    <w:p>
      <w:pPr>
        <w:pStyle w:val="BodyText"/>
        <w:ind w:right="105"/>
      </w:pPr>
      <w:r>
        <w:rPr>
          <w:i/>
          <w:color w:val="231F20"/>
        </w:rPr>
        <w:t>»</w:t>
      </w:r>
      <w:r>
        <w:rPr>
          <w:i/>
          <w:color w:val="231F20"/>
          <w:spacing w:val="-10"/>
        </w:rPr>
        <w:t> </w:t>
      </w:r>
      <w:r>
        <w:rPr>
          <w:color w:val="231F20"/>
        </w:rPr>
        <w:t>Pour</w:t>
      </w:r>
      <w:r>
        <w:rPr>
          <w:color w:val="231F20"/>
          <w:spacing w:val="-11"/>
        </w:rPr>
        <w:t> </w:t>
      </w:r>
      <w:r>
        <w:rPr>
          <w:color w:val="231F20"/>
        </w:rPr>
        <w:t>organiser</w:t>
      </w:r>
      <w:r>
        <w:rPr>
          <w:color w:val="231F20"/>
          <w:spacing w:val="-12"/>
        </w:rPr>
        <w:t> </w:t>
      </w:r>
      <w:r>
        <w:rPr>
          <w:color w:val="231F20"/>
        </w:rPr>
        <w:t>les</w:t>
      </w:r>
      <w:r>
        <w:rPr>
          <w:color w:val="231F20"/>
          <w:spacing w:val="-11"/>
        </w:rPr>
        <w:t> </w:t>
      </w:r>
      <w:r>
        <w:rPr>
          <w:color w:val="231F20"/>
        </w:rPr>
        <w:t>élections,</w:t>
      </w:r>
      <w:r>
        <w:rPr>
          <w:color w:val="231F20"/>
          <w:spacing w:val="-11"/>
        </w:rPr>
        <w:t> </w:t>
      </w:r>
      <w:r>
        <w:rPr>
          <w:color w:val="231F20"/>
        </w:rPr>
        <w:t>les</w:t>
      </w:r>
      <w:r>
        <w:rPr>
          <w:color w:val="231F20"/>
          <w:spacing w:val="-12"/>
        </w:rPr>
        <w:t> </w:t>
      </w:r>
      <w:r>
        <w:rPr>
          <w:color w:val="231F20"/>
        </w:rPr>
        <w:t>rebelles</w:t>
      </w:r>
      <w:r>
        <w:rPr>
          <w:color w:val="231F20"/>
          <w:spacing w:val="-11"/>
        </w:rPr>
        <w:t> </w:t>
      </w:r>
      <w:r>
        <w:rPr>
          <w:color w:val="231F20"/>
        </w:rPr>
        <w:t>devaient</w:t>
      </w:r>
      <w:r>
        <w:rPr>
          <w:color w:val="231F20"/>
          <w:spacing w:val="-11"/>
        </w:rPr>
        <w:t> </w:t>
      </w:r>
      <w:r>
        <w:rPr>
          <w:color w:val="231F20"/>
        </w:rPr>
        <w:t>déposer</w:t>
      </w:r>
      <w:r>
        <w:rPr>
          <w:color w:val="231F20"/>
          <w:spacing w:val="-12"/>
        </w:rPr>
        <w:t> </w:t>
      </w:r>
      <w:r>
        <w:rPr>
          <w:color w:val="231F20"/>
        </w:rPr>
        <w:t>les</w:t>
      </w:r>
      <w:r>
        <w:rPr>
          <w:color w:val="231F20"/>
          <w:spacing w:val="-11"/>
        </w:rPr>
        <w:t> </w:t>
      </w:r>
      <w:r>
        <w:rPr>
          <w:color w:val="231F20"/>
        </w:rPr>
        <w:t>armes</w:t>
      </w:r>
      <w:r>
        <w:rPr>
          <w:color w:val="231F20"/>
          <w:spacing w:val="-11"/>
        </w:rPr>
        <w:t> </w:t>
      </w:r>
      <w:r>
        <w:rPr>
          <w:color w:val="231F20"/>
        </w:rPr>
        <w:t>et </w:t>
      </w:r>
      <w:r>
        <w:rPr>
          <w:color w:val="231F20"/>
          <w:spacing w:val="-4"/>
        </w:rPr>
        <w:t>réintégrer</w:t>
      </w:r>
      <w:r>
        <w:rPr>
          <w:color w:val="231F20"/>
          <w:spacing w:val="-6"/>
        </w:rPr>
        <w:t> </w:t>
      </w:r>
      <w:r>
        <w:rPr>
          <w:color w:val="231F20"/>
          <w:spacing w:val="-4"/>
        </w:rPr>
        <w:t>l’Armée régulière ou la</w:t>
      </w:r>
      <w:r>
        <w:rPr>
          <w:color w:val="231F20"/>
          <w:spacing w:val="-6"/>
        </w:rPr>
        <w:t> </w:t>
      </w:r>
      <w:r>
        <w:rPr>
          <w:color w:val="231F20"/>
          <w:spacing w:val="-4"/>
        </w:rPr>
        <w:t>société civile,</w:t>
      </w:r>
      <w:r>
        <w:rPr>
          <w:color w:val="231F20"/>
          <w:spacing w:val="-6"/>
        </w:rPr>
        <w:t> </w:t>
      </w:r>
      <w:r>
        <w:rPr>
          <w:color w:val="231F20"/>
          <w:spacing w:val="-4"/>
        </w:rPr>
        <w:t>l’autorité de l’État devait </w:t>
      </w:r>
      <w:r>
        <w:rPr>
          <w:color w:val="231F20"/>
        </w:rPr>
        <w:t>être rétablie sur l’ensemble du pays.</w:t>
      </w:r>
    </w:p>
    <w:p>
      <w:pPr>
        <w:pStyle w:val="BodyText"/>
        <w:spacing w:before="120"/>
        <w:ind w:right="105" w:firstLine="283"/>
      </w:pPr>
      <w:r>
        <w:rPr>
          <w:color w:val="231F20"/>
          <w:spacing w:val="-4"/>
        </w:rPr>
        <w:t>Sur</w:t>
      </w:r>
      <w:r>
        <w:rPr>
          <w:color w:val="231F20"/>
          <w:spacing w:val="-11"/>
        </w:rPr>
        <w:t> </w:t>
      </w:r>
      <w:r>
        <w:rPr>
          <w:color w:val="231F20"/>
          <w:spacing w:val="-4"/>
        </w:rPr>
        <w:t>le</w:t>
      </w:r>
      <w:r>
        <w:rPr>
          <w:color w:val="231F20"/>
          <w:spacing w:val="-11"/>
        </w:rPr>
        <w:t> </w:t>
      </w:r>
      <w:r>
        <w:rPr>
          <w:color w:val="231F20"/>
          <w:spacing w:val="-4"/>
        </w:rPr>
        <w:t>terrain,</w:t>
      </w:r>
      <w:r>
        <w:rPr>
          <w:color w:val="231F20"/>
          <w:spacing w:val="-11"/>
        </w:rPr>
        <w:t> </w:t>
      </w:r>
      <w:r>
        <w:rPr>
          <w:color w:val="231F20"/>
          <w:spacing w:val="-4"/>
        </w:rPr>
        <w:t>le</w:t>
      </w:r>
      <w:r>
        <w:rPr>
          <w:color w:val="231F20"/>
          <w:spacing w:val="-11"/>
        </w:rPr>
        <w:t> </w:t>
      </w:r>
      <w:r>
        <w:rPr>
          <w:color w:val="231F20"/>
          <w:spacing w:val="-4"/>
        </w:rPr>
        <w:t>désarmement</w:t>
      </w:r>
      <w:r>
        <w:rPr>
          <w:color w:val="231F20"/>
          <w:spacing w:val="-11"/>
        </w:rPr>
        <w:t> </w:t>
      </w:r>
      <w:r>
        <w:rPr>
          <w:color w:val="231F20"/>
          <w:spacing w:val="-4"/>
        </w:rPr>
        <w:t>malgré</w:t>
      </w:r>
      <w:r>
        <w:rPr>
          <w:color w:val="231F20"/>
          <w:spacing w:val="-11"/>
        </w:rPr>
        <w:t> </w:t>
      </w:r>
      <w:r>
        <w:rPr>
          <w:color w:val="231F20"/>
          <w:spacing w:val="-4"/>
        </w:rPr>
        <w:t>les</w:t>
      </w:r>
      <w:r>
        <w:rPr>
          <w:color w:val="231F20"/>
          <w:spacing w:val="-11"/>
        </w:rPr>
        <w:t> </w:t>
      </w:r>
      <w:r>
        <w:rPr>
          <w:color w:val="231F20"/>
          <w:spacing w:val="-4"/>
        </w:rPr>
        <w:t>différents</w:t>
      </w:r>
      <w:r>
        <w:rPr>
          <w:color w:val="231F20"/>
          <w:spacing w:val="-11"/>
        </w:rPr>
        <w:t> </w:t>
      </w:r>
      <w:r>
        <w:rPr>
          <w:color w:val="231F20"/>
          <w:spacing w:val="-4"/>
        </w:rPr>
        <w:t>accords</w:t>
      </w:r>
      <w:r>
        <w:rPr>
          <w:color w:val="231F20"/>
          <w:spacing w:val="-11"/>
        </w:rPr>
        <w:t> </w:t>
      </w:r>
      <w:r>
        <w:rPr>
          <w:color w:val="231F20"/>
          <w:spacing w:val="-4"/>
        </w:rPr>
        <w:t>est</w:t>
      </w:r>
      <w:r>
        <w:rPr>
          <w:color w:val="231F20"/>
          <w:spacing w:val="-11"/>
        </w:rPr>
        <w:t> </w:t>
      </w:r>
      <w:r>
        <w:rPr>
          <w:color w:val="231F20"/>
          <w:spacing w:val="-4"/>
        </w:rPr>
        <w:t>au</w:t>
      </w:r>
      <w:r>
        <w:rPr>
          <w:color w:val="231F20"/>
          <w:spacing w:val="-11"/>
        </w:rPr>
        <w:t> </w:t>
      </w:r>
      <w:r>
        <w:rPr>
          <w:color w:val="231F20"/>
          <w:spacing w:val="-4"/>
        </w:rPr>
        <w:t>point </w:t>
      </w:r>
      <w:r>
        <w:rPr>
          <w:color w:val="231F20"/>
        </w:rPr>
        <w:t>mort : 3</w:t>
      </w:r>
      <w:r>
        <w:rPr>
          <w:color w:val="231F20"/>
          <w:spacing w:val="-12"/>
        </w:rPr>
        <w:t> </w:t>
      </w:r>
      <w:r>
        <w:rPr>
          <w:color w:val="231F20"/>
        </w:rPr>
        <w:t>500 soldats français de la Force Licorne et 7 800 «</w:t>
      </w:r>
      <w:r>
        <w:rPr>
          <w:color w:val="231F20"/>
          <w:spacing w:val="-9"/>
        </w:rPr>
        <w:t> </w:t>
      </w:r>
      <w:r>
        <w:rPr>
          <w:color w:val="231F20"/>
        </w:rPr>
        <w:t>casques </w:t>
      </w:r>
      <w:r>
        <w:rPr>
          <w:color w:val="231F20"/>
          <w:spacing w:val="-2"/>
        </w:rPr>
        <w:t>bleus</w:t>
      </w:r>
      <w:r>
        <w:rPr>
          <w:color w:val="231F20"/>
          <w:spacing w:val="-12"/>
        </w:rPr>
        <w:t> </w:t>
      </w:r>
      <w:r>
        <w:rPr>
          <w:color w:val="231F20"/>
          <w:spacing w:val="-2"/>
        </w:rPr>
        <w:t>»,</w:t>
      </w:r>
      <w:r>
        <w:rPr>
          <w:color w:val="231F20"/>
          <w:spacing w:val="-10"/>
        </w:rPr>
        <w:t> </w:t>
      </w:r>
      <w:r>
        <w:rPr>
          <w:color w:val="231F20"/>
          <w:spacing w:val="-2"/>
        </w:rPr>
        <w:t>chargés</w:t>
      </w:r>
      <w:r>
        <w:rPr>
          <w:color w:val="231F20"/>
          <w:spacing w:val="-10"/>
        </w:rPr>
        <w:t> </w:t>
      </w:r>
      <w:r>
        <w:rPr>
          <w:color w:val="231F20"/>
          <w:spacing w:val="-2"/>
        </w:rPr>
        <w:t>notamment</w:t>
      </w:r>
      <w:r>
        <w:rPr>
          <w:color w:val="231F20"/>
          <w:spacing w:val="-10"/>
        </w:rPr>
        <w:t> </w:t>
      </w:r>
      <w:r>
        <w:rPr>
          <w:color w:val="231F20"/>
          <w:spacing w:val="-2"/>
        </w:rPr>
        <w:t>de</w:t>
      </w:r>
      <w:r>
        <w:rPr>
          <w:color w:val="231F20"/>
          <w:spacing w:val="-10"/>
        </w:rPr>
        <w:t> </w:t>
      </w:r>
      <w:r>
        <w:rPr>
          <w:color w:val="231F20"/>
          <w:spacing w:val="-2"/>
        </w:rPr>
        <w:t>sécuriser</w:t>
      </w:r>
      <w:r>
        <w:rPr>
          <w:color w:val="231F20"/>
          <w:spacing w:val="-10"/>
        </w:rPr>
        <w:t> </w:t>
      </w:r>
      <w:r>
        <w:rPr>
          <w:color w:val="231F20"/>
          <w:spacing w:val="-2"/>
        </w:rPr>
        <w:t>la</w:t>
      </w:r>
      <w:r>
        <w:rPr>
          <w:color w:val="231F20"/>
          <w:spacing w:val="-10"/>
        </w:rPr>
        <w:t> </w:t>
      </w:r>
      <w:r>
        <w:rPr>
          <w:color w:val="231F20"/>
          <w:spacing w:val="-2"/>
        </w:rPr>
        <w:t>«</w:t>
      </w:r>
      <w:r>
        <w:rPr>
          <w:color w:val="231F20"/>
          <w:spacing w:val="-10"/>
        </w:rPr>
        <w:t> </w:t>
      </w:r>
      <w:r>
        <w:rPr>
          <w:color w:val="231F20"/>
          <w:spacing w:val="-2"/>
        </w:rPr>
        <w:t>Zone</w:t>
      </w:r>
      <w:r>
        <w:rPr>
          <w:color w:val="231F20"/>
          <w:spacing w:val="-10"/>
        </w:rPr>
        <w:t> </w:t>
      </w:r>
      <w:r>
        <w:rPr>
          <w:color w:val="231F20"/>
          <w:spacing w:val="-2"/>
        </w:rPr>
        <w:t>de</w:t>
      </w:r>
      <w:r>
        <w:rPr>
          <w:color w:val="231F20"/>
          <w:spacing w:val="-11"/>
        </w:rPr>
        <w:t> </w:t>
      </w:r>
      <w:r>
        <w:rPr>
          <w:color w:val="231F20"/>
          <w:spacing w:val="-2"/>
        </w:rPr>
        <w:t>confiance</w:t>
      </w:r>
      <w:r>
        <w:rPr>
          <w:color w:val="231F20"/>
          <w:spacing w:val="-9"/>
        </w:rPr>
        <w:t> </w:t>
      </w:r>
      <w:r>
        <w:rPr>
          <w:color w:val="231F20"/>
          <w:spacing w:val="-2"/>
        </w:rPr>
        <w:t>»</w:t>
      </w:r>
      <w:r>
        <w:rPr>
          <w:color w:val="231F20"/>
          <w:spacing w:val="-9"/>
        </w:rPr>
        <w:t> </w:t>
      </w:r>
      <w:r>
        <w:rPr>
          <w:color w:val="231F20"/>
          <w:spacing w:val="-2"/>
        </w:rPr>
        <w:t>(ZDC) </w:t>
      </w:r>
      <w:r>
        <w:rPr>
          <w:color w:val="231F20"/>
        </w:rPr>
        <w:t>sont toujours déployés pour séparer l’Armée régulière et les Forces </w:t>
      </w:r>
      <w:r>
        <w:rPr>
          <w:color w:val="231F20"/>
          <w:spacing w:val="-2"/>
        </w:rPr>
        <w:t>Armées</w:t>
      </w:r>
      <w:r>
        <w:rPr>
          <w:color w:val="231F20"/>
          <w:spacing w:val="-4"/>
        </w:rPr>
        <w:t> </w:t>
      </w:r>
      <w:r>
        <w:rPr>
          <w:color w:val="231F20"/>
          <w:spacing w:val="-2"/>
        </w:rPr>
        <w:t>des</w:t>
      </w:r>
      <w:r>
        <w:rPr>
          <w:color w:val="231F20"/>
          <w:spacing w:val="-4"/>
        </w:rPr>
        <w:t> </w:t>
      </w:r>
      <w:r>
        <w:rPr>
          <w:color w:val="231F20"/>
          <w:spacing w:val="-2"/>
        </w:rPr>
        <w:t>Forces</w:t>
      </w:r>
      <w:r>
        <w:rPr>
          <w:color w:val="231F20"/>
          <w:spacing w:val="-4"/>
        </w:rPr>
        <w:t> </w:t>
      </w:r>
      <w:r>
        <w:rPr>
          <w:color w:val="231F20"/>
          <w:spacing w:val="-2"/>
        </w:rPr>
        <w:t>Nouvelle.</w:t>
      </w:r>
      <w:r>
        <w:rPr>
          <w:color w:val="231F20"/>
          <w:spacing w:val="-3"/>
        </w:rPr>
        <w:t> </w:t>
      </w:r>
      <w:r>
        <w:rPr>
          <w:color w:val="231F20"/>
          <w:spacing w:val="-2"/>
        </w:rPr>
        <w:t>Comment</w:t>
      </w:r>
      <w:r>
        <w:rPr>
          <w:color w:val="231F20"/>
          <w:spacing w:val="-4"/>
        </w:rPr>
        <w:t> </w:t>
      </w:r>
      <w:r>
        <w:rPr>
          <w:color w:val="231F20"/>
          <w:spacing w:val="-2"/>
        </w:rPr>
        <w:t>organiser</w:t>
      </w:r>
      <w:r>
        <w:rPr>
          <w:color w:val="231F20"/>
          <w:spacing w:val="-4"/>
        </w:rPr>
        <w:t> </w:t>
      </w:r>
      <w:r>
        <w:rPr>
          <w:color w:val="231F20"/>
          <w:spacing w:val="-2"/>
        </w:rPr>
        <w:t>un</w:t>
      </w:r>
      <w:r>
        <w:rPr>
          <w:color w:val="231F20"/>
          <w:spacing w:val="-4"/>
        </w:rPr>
        <w:t> </w:t>
      </w:r>
      <w:r>
        <w:rPr>
          <w:color w:val="231F20"/>
          <w:spacing w:val="-2"/>
        </w:rPr>
        <w:t>scrutin</w:t>
      </w:r>
      <w:r>
        <w:rPr>
          <w:color w:val="231F20"/>
          <w:spacing w:val="-7"/>
        </w:rPr>
        <w:t> </w:t>
      </w:r>
      <w:r>
        <w:rPr>
          <w:color w:val="231F20"/>
          <w:spacing w:val="-2"/>
        </w:rPr>
        <w:t>transparent </w:t>
      </w:r>
      <w:r>
        <w:rPr>
          <w:color w:val="231F20"/>
          <w:spacing w:val="-4"/>
        </w:rPr>
        <w:t>et</w:t>
      </w:r>
      <w:r>
        <w:rPr>
          <w:color w:val="231F20"/>
          <w:spacing w:val="-11"/>
        </w:rPr>
        <w:t> </w:t>
      </w:r>
      <w:r>
        <w:rPr>
          <w:color w:val="231F20"/>
          <w:spacing w:val="-4"/>
        </w:rPr>
        <w:t>équitable</w:t>
      </w:r>
      <w:r>
        <w:rPr>
          <w:color w:val="231F20"/>
          <w:spacing w:val="-11"/>
        </w:rPr>
        <w:t> </w:t>
      </w:r>
      <w:r>
        <w:rPr>
          <w:color w:val="231F20"/>
          <w:spacing w:val="-4"/>
        </w:rPr>
        <w:t>dans</w:t>
      </w:r>
      <w:r>
        <w:rPr>
          <w:color w:val="231F20"/>
          <w:spacing w:val="-11"/>
        </w:rPr>
        <w:t> </w:t>
      </w:r>
      <w:r>
        <w:rPr>
          <w:color w:val="231F20"/>
          <w:spacing w:val="-4"/>
        </w:rPr>
        <w:t>de</w:t>
      </w:r>
      <w:r>
        <w:rPr>
          <w:color w:val="231F20"/>
          <w:spacing w:val="-14"/>
        </w:rPr>
        <w:t> </w:t>
      </w:r>
      <w:r>
        <w:rPr>
          <w:color w:val="231F20"/>
          <w:spacing w:val="-4"/>
        </w:rPr>
        <w:t>telles</w:t>
      </w:r>
      <w:r>
        <w:rPr>
          <w:color w:val="231F20"/>
          <w:spacing w:val="-11"/>
        </w:rPr>
        <w:t> </w:t>
      </w:r>
      <w:r>
        <w:rPr>
          <w:color w:val="231F20"/>
          <w:spacing w:val="-4"/>
        </w:rPr>
        <w:t>conditions</w:t>
      </w:r>
      <w:r>
        <w:rPr>
          <w:color w:val="231F20"/>
          <w:spacing w:val="-11"/>
        </w:rPr>
        <w:t> </w:t>
      </w:r>
      <w:r>
        <w:rPr>
          <w:color w:val="231F20"/>
          <w:spacing w:val="-4"/>
        </w:rPr>
        <w:t>?</w:t>
      </w:r>
      <w:r>
        <w:rPr>
          <w:color w:val="231F20"/>
          <w:spacing w:val="-12"/>
        </w:rPr>
        <w:t> </w:t>
      </w:r>
      <w:r>
        <w:rPr>
          <w:color w:val="231F20"/>
          <w:spacing w:val="-4"/>
        </w:rPr>
        <w:t>Par</w:t>
      </w:r>
      <w:r>
        <w:rPr>
          <w:color w:val="231F20"/>
          <w:spacing w:val="-11"/>
        </w:rPr>
        <w:t> </w:t>
      </w:r>
      <w:r>
        <w:rPr>
          <w:color w:val="231F20"/>
          <w:spacing w:val="-4"/>
        </w:rPr>
        <w:t>ailleurs,</w:t>
      </w:r>
      <w:r>
        <w:rPr>
          <w:color w:val="231F20"/>
          <w:spacing w:val="-14"/>
        </w:rPr>
        <w:t> </w:t>
      </w:r>
      <w:r>
        <w:rPr>
          <w:color w:val="231F20"/>
          <w:spacing w:val="-4"/>
        </w:rPr>
        <w:t>si</w:t>
      </w:r>
      <w:r>
        <w:rPr>
          <w:color w:val="231F20"/>
          <w:spacing w:val="-11"/>
        </w:rPr>
        <w:t> </w:t>
      </w:r>
      <w:r>
        <w:rPr>
          <w:color w:val="231F20"/>
          <w:spacing w:val="-4"/>
        </w:rPr>
        <w:t>les</w:t>
      </w:r>
      <w:r>
        <w:rPr>
          <w:color w:val="231F20"/>
          <w:spacing w:val="-11"/>
        </w:rPr>
        <w:t> </w:t>
      </w:r>
      <w:r>
        <w:rPr>
          <w:color w:val="231F20"/>
          <w:spacing w:val="-4"/>
        </w:rPr>
        <w:t>risques</w:t>
      </w:r>
      <w:r>
        <w:rPr>
          <w:color w:val="231F20"/>
          <w:spacing w:val="-12"/>
        </w:rPr>
        <w:t> </w:t>
      </w:r>
      <w:r>
        <w:rPr>
          <w:color w:val="231F20"/>
          <w:spacing w:val="-4"/>
        </w:rPr>
        <w:t>de</w:t>
      </w:r>
      <w:r>
        <w:rPr>
          <w:color w:val="231F20"/>
          <w:spacing w:val="-12"/>
        </w:rPr>
        <w:t> </w:t>
      </w:r>
      <w:r>
        <w:rPr>
          <w:color w:val="231F20"/>
          <w:spacing w:val="-4"/>
        </w:rPr>
        <w:t>reprise</w:t>
      </w:r>
    </w:p>
    <w:p>
      <w:pPr>
        <w:pStyle w:val="BodyText"/>
        <w:ind w:left="0"/>
        <w:jc w:val="left"/>
        <w:rPr>
          <w:sz w:val="20"/>
        </w:rPr>
      </w:pPr>
    </w:p>
    <w:p>
      <w:pPr>
        <w:pStyle w:val="BodyText"/>
        <w:ind w:left="0"/>
        <w:jc w:val="left"/>
        <w:rPr>
          <w:sz w:val="20"/>
        </w:rPr>
      </w:pPr>
    </w:p>
    <w:p>
      <w:pPr>
        <w:pStyle w:val="BodyText"/>
        <w:spacing w:before="27"/>
        <w:ind w:left="0"/>
        <w:jc w:val="left"/>
        <w:rPr>
          <w:sz w:val="20"/>
        </w:rPr>
      </w:pPr>
      <w:r>
        <w:rPr/>
        <mc:AlternateContent>
          <mc:Choice Requires="wps">
            <w:drawing>
              <wp:anchor distT="0" distB="0" distL="0" distR="0" allowOverlap="1" layoutInCell="1" locked="0" behindDoc="1" simplePos="0" relativeHeight="487649280">
                <wp:simplePos x="0" y="0"/>
                <wp:positionH relativeFrom="page">
                  <wp:posOffset>629907</wp:posOffset>
                </wp:positionH>
                <wp:positionV relativeFrom="paragraph">
                  <wp:posOffset>178446</wp:posOffset>
                </wp:positionV>
                <wp:extent cx="1829435" cy="9525"/>
                <wp:effectExtent l="0" t="0" r="0" b="0"/>
                <wp:wrapTopAndBottom/>
                <wp:docPr id="149" name="Graphic 149"/>
                <wp:cNvGraphicFramePr>
                  <a:graphicFrameLocks/>
                </wp:cNvGraphicFramePr>
                <a:graphic>
                  <a:graphicData uri="http://schemas.microsoft.com/office/word/2010/wordprocessingShape">
                    <wps:wsp>
                      <wps:cNvPr id="149" name="Graphic 14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050938pt;width:144.020pt;height:.72pt;mso-position-horizontal-relative:page;mso-position-vertical-relative:paragraph;z-index:-15667200;mso-wrap-distance-left:0;mso-wrap-distance-right:0" id="docshape147" filled="true" fillcolor="#231f20" stroked="false">
                <v:fill type="solid"/>
                <w10:wrap type="topAndBottom"/>
              </v:rect>
            </w:pict>
          </mc:Fallback>
        </mc:AlternateContent>
      </w:r>
    </w:p>
    <w:p>
      <w:pPr>
        <w:spacing w:before="91"/>
        <w:ind w:left="111" w:right="0" w:firstLine="0"/>
        <w:jc w:val="both"/>
        <w:rPr>
          <w:sz w:val="20"/>
        </w:rPr>
      </w:pPr>
      <w:r>
        <w:rPr>
          <w:color w:val="76787A"/>
          <w:spacing w:val="-4"/>
          <w:sz w:val="20"/>
          <w:vertAlign w:val="superscript"/>
        </w:rPr>
        <w:t>200</w:t>
      </w:r>
      <w:r>
        <w:rPr>
          <w:color w:val="1E1D1C"/>
          <w:spacing w:val="-4"/>
          <w:sz w:val="20"/>
          <w:vertAlign w:val="baseline"/>
        </w:rPr>
        <w:t>Libération,</w:t>
      </w:r>
      <w:r>
        <w:rPr>
          <w:color w:val="1E1D1C"/>
          <w:spacing w:val="9"/>
          <w:sz w:val="20"/>
          <w:vertAlign w:val="baseline"/>
        </w:rPr>
        <w:t> </w:t>
      </w:r>
      <w:r>
        <w:rPr>
          <w:color w:val="1E1D1C"/>
          <w:spacing w:val="-2"/>
          <w:sz w:val="20"/>
          <w:vertAlign w:val="baseline"/>
        </w:rPr>
        <w:t>1/12/2004.</w:t>
      </w:r>
    </w:p>
    <w:p>
      <w:pPr>
        <w:spacing w:before="1"/>
        <w:ind w:left="111" w:right="105" w:firstLine="0"/>
        <w:jc w:val="both"/>
        <w:rPr>
          <w:sz w:val="20"/>
        </w:rPr>
      </w:pPr>
      <w:r>
        <w:rPr>
          <w:color w:val="76787A"/>
          <w:sz w:val="20"/>
          <w:vertAlign w:val="superscript"/>
        </w:rPr>
        <w:t>201</w:t>
      </w:r>
      <w:r>
        <w:rPr>
          <w:color w:val="231F20"/>
          <w:sz w:val="20"/>
          <w:vertAlign w:val="baseline"/>
        </w:rPr>
        <w:t>Article</w:t>
      </w:r>
      <w:r>
        <w:rPr>
          <w:color w:val="231F20"/>
          <w:spacing w:val="-9"/>
          <w:sz w:val="20"/>
          <w:vertAlign w:val="baseline"/>
        </w:rPr>
        <w:t> </w:t>
      </w:r>
      <w:r>
        <w:rPr>
          <w:color w:val="231F20"/>
          <w:sz w:val="20"/>
          <w:vertAlign w:val="baseline"/>
        </w:rPr>
        <w:t>48</w:t>
      </w:r>
      <w:r>
        <w:rPr>
          <w:color w:val="231F20"/>
          <w:spacing w:val="-13"/>
          <w:sz w:val="20"/>
          <w:vertAlign w:val="baseline"/>
        </w:rPr>
        <w:t> </w:t>
      </w:r>
      <w:r>
        <w:rPr>
          <w:color w:val="231F20"/>
          <w:sz w:val="20"/>
          <w:vertAlign w:val="baseline"/>
        </w:rPr>
        <w:t>.</w:t>
      </w:r>
      <w:r>
        <w:rPr>
          <w:color w:val="231F20"/>
          <w:spacing w:val="-5"/>
          <w:sz w:val="20"/>
          <w:vertAlign w:val="baseline"/>
        </w:rPr>
        <w:t> </w:t>
      </w:r>
      <w:r>
        <w:rPr>
          <w:color w:val="231F20"/>
          <w:sz w:val="20"/>
          <w:vertAlign w:val="baseline"/>
        </w:rPr>
        <w:t>Lorsque</w:t>
      </w:r>
      <w:r>
        <w:rPr>
          <w:color w:val="231F20"/>
          <w:spacing w:val="-3"/>
          <w:sz w:val="20"/>
          <w:vertAlign w:val="baseline"/>
        </w:rPr>
        <w:t> </w:t>
      </w:r>
      <w:r>
        <w:rPr>
          <w:color w:val="231F20"/>
          <w:sz w:val="20"/>
          <w:vertAlign w:val="baseline"/>
        </w:rPr>
        <w:t>les</w:t>
      </w:r>
      <w:r>
        <w:rPr>
          <w:color w:val="231F20"/>
          <w:spacing w:val="-7"/>
          <w:sz w:val="20"/>
          <w:vertAlign w:val="baseline"/>
        </w:rPr>
        <w:t> </w:t>
      </w:r>
      <w:r>
        <w:rPr>
          <w:color w:val="231F20"/>
          <w:sz w:val="20"/>
          <w:vertAlign w:val="baseline"/>
        </w:rPr>
        <w:t>Institutions</w:t>
      </w:r>
      <w:r>
        <w:rPr>
          <w:color w:val="231F20"/>
          <w:spacing w:val="-6"/>
          <w:sz w:val="20"/>
          <w:vertAlign w:val="baseline"/>
        </w:rPr>
        <w:t> </w:t>
      </w:r>
      <w:r>
        <w:rPr>
          <w:color w:val="231F20"/>
          <w:sz w:val="20"/>
          <w:vertAlign w:val="baseline"/>
        </w:rPr>
        <w:t>de</w:t>
      </w:r>
      <w:r>
        <w:rPr>
          <w:color w:val="231F20"/>
          <w:spacing w:val="-3"/>
          <w:sz w:val="20"/>
          <w:vertAlign w:val="baseline"/>
        </w:rPr>
        <w:t> </w:t>
      </w:r>
      <w:r>
        <w:rPr>
          <w:color w:val="231F20"/>
          <w:sz w:val="20"/>
          <w:vertAlign w:val="baseline"/>
        </w:rPr>
        <w:t>la</w:t>
      </w:r>
      <w:r>
        <w:rPr>
          <w:color w:val="231F20"/>
          <w:spacing w:val="-3"/>
          <w:sz w:val="20"/>
          <w:vertAlign w:val="baseline"/>
        </w:rPr>
        <w:t> </w:t>
      </w:r>
      <w:r>
        <w:rPr>
          <w:color w:val="231F20"/>
          <w:sz w:val="20"/>
          <w:vertAlign w:val="baseline"/>
        </w:rPr>
        <w:t>République,</w:t>
      </w:r>
      <w:r>
        <w:rPr>
          <w:color w:val="231F20"/>
          <w:spacing w:val="-3"/>
          <w:sz w:val="20"/>
          <w:vertAlign w:val="baseline"/>
        </w:rPr>
        <w:t> </w:t>
      </w:r>
      <w:r>
        <w:rPr>
          <w:color w:val="231F20"/>
          <w:sz w:val="20"/>
          <w:vertAlign w:val="baseline"/>
        </w:rPr>
        <w:t>l’indépendance</w:t>
      </w:r>
      <w:r>
        <w:rPr>
          <w:color w:val="231F20"/>
          <w:spacing w:val="-3"/>
          <w:sz w:val="20"/>
          <w:vertAlign w:val="baseline"/>
        </w:rPr>
        <w:t> </w:t>
      </w:r>
      <w:r>
        <w:rPr>
          <w:color w:val="231F20"/>
          <w:sz w:val="20"/>
          <w:vertAlign w:val="baseline"/>
        </w:rPr>
        <w:t>de</w:t>
      </w:r>
      <w:r>
        <w:rPr>
          <w:color w:val="231F20"/>
          <w:spacing w:val="-5"/>
          <w:sz w:val="20"/>
          <w:vertAlign w:val="baseline"/>
        </w:rPr>
        <w:t> </w:t>
      </w:r>
      <w:r>
        <w:rPr>
          <w:color w:val="231F20"/>
          <w:sz w:val="20"/>
          <w:vertAlign w:val="baseline"/>
        </w:rPr>
        <w:t>la</w:t>
      </w:r>
      <w:r>
        <w:rPr>
          <w:color w:val="231F20"/>
          <w:spacing w:val="-4"/>
          <w:sz w:val="20"/>
          <w:vertAlign w:val="baseline"/>
        </w:rPr>
        <w:t> </w:t>
      </w:r>
      <w:r>
        <w:rPr>
          <w:color w:val="231F20"/>
          <w:sz w:val="20"/>
          <w:vertAlign w:val="baseline"/>
        </w:rPr>
        <w:t>Nation, l’intégrité de son territoire ou l’exécution de ses engagements internationaux sont menacées d’une manière grave et immédiate, et que le fonctionnement régulier des </w:t>
      </w:r>
      <w:r>
        <w:rPr>
          <w:color w:val="231F20"/>
          <w:spacing w:val="-4"/>
          <w:sz w:val="20"/>
          <w:vertAlign w:val="baseline"/>
        </w:rPr>
        <w:t>pouvoirs publics constitutionnels est interrompu, le Président de la République prend les </w:t>
      </w:r>
      <w:r>
        <w:rPr>
          <w:color w:val="231F20"/>
          <w:spacing w:val="-2"/>
          <w:sz w:val="20"/>
          <w:vertAlign w:val="baseline"/>
        </w:rPr>
        <w:t>mesures</w:t>
      </w:r>
      <w:r>
        <w:rPr>
          <w:color w:val="231F20"/>
          <w:spacing w:val="-9"/>
          <w:sz w:val="20"/>
          <w:vertAlign w:val="baseline"/>
        </w:rPr>
        <w:t> </w:t>
      </w:r>
      <w:r>
        <w:rPr>
          <w:color w:val="231F20"/>
          <w:spacing w:val="-2"/>
          <w:sz w:val="20"/>
          <w:vertAlign w:val="baseline"/>
        </w:rPr>
        <w:t>exceptionnelles</w:t>
      </w:r>
      <w:r>
        <w:rPr>
          <w:color w:val="231F20"/>
          <w:spacing w:val="-9"/>
          <w:sz w:val="20"/>
          <w:vertAlign w:val="baseline"/>
        </w:rPr>
        <w:t> </w:t>
      </w:r>
      <w:r>
        <w:rPr>
          <w:color w:val="231F20"/>
          <w:spacing w:val="-2"/>
          <w:sz w:val="20"/>
          <w:vertAlign w:val="baseline"/>
        </w:rPr>
        <w:t>exigées</w:t>
      </w:r>
      <w:r>
        <w:rPr>
          <w:color w:val="231F20"/>
          <w:spacing w:val="-7"/>
          <w:sz w:val="20"/>
          <w:vertAlign w:val="baseline"/>
        </w:rPr>
        <w:t> </w:t>
      </w:r>
      <w:r>
        <w:rPr>
          <w:color w:val="231F20"/>
          <w:spacing w:val="-2"/>
          <w:sz w:val="20"/>
          <w:vertAlign w:val="baseline"/>
        </w:rPr>
        <w:t>par</w:t>
      </w:r>
      <w:r>
        <w:rPr>
          <w:color w:val="231F20"/>
          <w:spacing w:val="-8"/>
          <w:sz w:val="20"/>
          <w:vertAlign w:val="baseline"/>
        </w:rPr>
        <w:t> </w:t>
      </w:r>
      <w:r>
        <w:rPr>
          <w:color w:val="231F20"/>
          <w:spacing w:val="-2"/>
          <w:sz w:val="20"/>
          <w:vertAlign w:val="baseline"/>
        </w:rPr>
        <w:t>ces</w:t>
      </w:r>
      <w:r>
        <w:rPr>
          <w:color w:val="231F20"/>
          <w:spacing w:val="-9"/>
          <w:sz w:val="20"/>
          <w:vertAlign w:val="baseline"/>
        </w:rPr>
        <w:t> </w:t>
      </w:r>
      <w:r>
        <w:rPr>
          <w:color w:val="231F20"/>
          <w:spacing w:val="-2"/>
          <w:sz w:val="20"/>
          <w:vertAlign w:val="baseline"/>
        </w:rPr>
        <w:t>circonstances</w:t>
      </w:r>
      <w:r>
        <w:rPr>
          <w:color w:val="231F20"/>
          <w:spacing w:val="-9"/>
          <w:sz w:val="20"/>
          <w:vertAlign w:val="baseline"/>
        </w:rPr>
        <w:t> </w:t>
      </w:r>
      <w:r>
        <w:rPr>
          <w:color w:val="231F20"/>
          <w:spacing w:val="-2"/>
          <w:sz w:val="20"/>
          <w:vertAlign w:val="baseline"/>
        </w:rPr>
        <w:t>après</w:t>
      </w:r>
      <w:r>
        <w:rPr>
          <w:color w:val="231F20"/>
          <w:spacing w:val="-9"/>
          <w:sz w:val="20"/>
          <w:vertAlign w:val="baseline"/>
        </w:rPr>
        <w:t> </w:t>
      </w:r>
      <w:r>
        <w:rPr>
          <w:color w:val="231F20"/>
          <w:spacing w:val="-2"/>
          <w:sz w:val="20"/>
          <w:vertAlign w:val="baseline"/>
        </w:rPr>
        <w:t>consultation</w:t>
      </w:r>
      <w:r>
        <w:rPr>
          <w:color w:val="231F20"/>
          <w:spacing w:val="-9"/>
          <w:sz w:val="20"/>
          <w:vertAlign w:val="baseline"/>
        </w:rPr>
        <w:t> </w:t>
      </w:r>
      <w:r>
        <w:rPr>
          <w:color w:val="231F20"/>
          <w:spacing w:val="-2"/>
          <w:sz w:val="20"/>
          <w:vertAlign w:val="baseline"/>
        </w:rPr>
        <w:t>obligatoire</w:t>
      </w:r>
      <w:r>
        <w:rPr>
          <w:color w:val="231F20"/>
          <w:spacing w:val="-8"/>
          <w:sz w:val="20"/>
          <w:vertAlign w:val="baseline"/>
        </w:rPr>
        <w:t> </w:t>
      </w:r>
      <w:r>
        <w:rPr>
          <w:color w:val="231F20"/>
          <w:spacing w:val="-2"/>
          <w:sz w:val="20"/>
          <w:vertAlign w:val="baseline"/>
        </w:rPr>
        <w:t>du Président</w:t>
      </w:r>
      <w:r>
        <w:rPr>
          <w:color w:val="231F20"/>
          <w:spacing w:val="-6"/>
          <w:sz w:val="20"/>
          <w:vertAlign w:val="baseline"/>
        </w:rPr>
        <w:t> </w:t>
      </w:r>
      <w:r>
        <w:rPr>
          <w:color w:val="231F20"/>
          <w:spacing w:val="-2"/>
          <w:sz w:val="20"/>
          <w:vertAlign w:val="baseline"/>
        </w:rPr>
        <w:t>de</w:t>
      </w:r>
      <w:r>
        <w:rPr>
          <w:color w:val="231F20"/>
          <w:spacing w:val="-6"/>
          <w:sz w:val="20"/>
          <w:vertAlign w:val="baseline"/>
        </w:rPr>
        <w:t> </w:t>
      </w:r>
      <w:r>
        <w:rPr>
          <w:color w:val="231F20"/>
          <w:spacing w:val="-2"/>
          <w:sz w:val="20"/>
          <w:vertAlign w:val="baseline"/>
        </w:rPr>
        <w:t>l’Assemblée</w:t>
      </w:r>
      <w:r>
        <w:rPr>
          <w:color w:val="231F20"/>
          <w:spacing w:val="-6"/>
          <w:sz w:val="20"/>
          <w:vertAlign w:val="baseline"/>
        </w:rPr>
        <w:t> </w:t>
      </w:r>
      <w:r>
        <w:rPr>
          <w:color w:val="231F20"/>
          <w:spacing w:val="-2"/>
          <w:sz w:val="20"/>
          <w:vertAlign w:val="baseline"/>
        </w:rPr>
        <w:t>nationale</w:t>
      </w:r>
      <w:r>
        <w:rPr>
          <w:color w:val="231F20"/>
          <w:spacing w:val="-6"/>
          <w:sz w:val="20"/>
          <w:vertAlign w:val="baseline"/>
        </w:rPr>
        <w:t> </w:t>
      </w:r>
      <w:r>
        <w:rPr>
          <w:color w:val="231F20"/>
          <w:spacing w:val="-2"/>
          <w:sz w:val="20"/>
          <w:vertAlign w:val="baseline"/>
        </w:rPr>
        <w:t>et</w:t>
      </w:r>
      <w:r>
        <w:rPr>
          <w:color w:val="231F20"/>
          <w:spacing w:val="-6"/>
          <w:sz w:val="20"/>
          <w:vertAlign w:val="baseline"/>
        </w:rPr>
        <w:t> </w:t>
      </w:r>
      <w:r>
        <w:rPr>
          <w:color w:val="231F20"/>
          <w:spacing w:val="-2"/>
          <w:sz w:val="20"/>
          <w:vertAlign w:val="baseline"/>
        </w:rPr>
        <w:t>de</w:t>
      </w:r>
      <w:r>
        <w:rPr>
          <w:color w:val="231F20"/>
          <w:spacing w:val="-6"/>
          <w:sz w:val="20"/>
          <w:vertAlign w:val="baseline"/>
        </w:rPr>
        <w:t> </w:t>
      </w:r>
      <w:r>
        <w:rPr>
          <w:color w:val="231F20"/>
          <w:spacing w:val="-2"/>
          <w:sz w:val="20"/>
          <w:vertAlign w:val="baseline"/>
        </w:rPr>
        <w:t>celui</w:t>
      </w:r>
      <w:r>
        <w:rPr>
          <w:color w:val="231F20"/>
          <w:spacing w:val="-6"/>
          <w:sz w:val="20"/>
          <w:vertAlign w:val="baseline"/>
        </w:rPr>
        <w:t> </w:t>
      </w:r>
      <w:r>
        <w:rPr>
          <w:color w:val="231F20"/>
          <w:spacing w:val="-2"/>
          <w:sz w:val="20"/>
          <w:vertAlign w:val="baseline"/>
        </w:rPr>
        <w:t>du</w:t>
      </w:r>
      <w:r>
        <w:rPr>
          <w:color w:val="231F20"/>
          <w:spacing w:val="-3"/>
          <w:sz w:val="20"/>
          <w:vertAlign w:val="baseline"/>
        </w:rPr>
        <w:t> </w:t>
      </w:r>
      <w:r>
        <w:rPr>
          <w:color w:val="231F20"/>
          <w:spacing w:val="-2"/>
          <w:sz w:val="20"/>
          <w:vertAlign w:val="baseline"/>
        </w:rPr>
        <w:t>Conseil</w:t>
      </w:r>
      <w:r>
        <w:rPr>
          <w:color w:val="231F20"/>
          <w:spacing w:val="-6"/>
          <w:sz w:val="20"/>
          <w:vertAlign w:val="baseline"/>
        </w:rPr>
        <w:t> </w:t>
      </w:r>
      <w:r>
        <w:rPr>
          <w:color w:val="231F20"/>
          <w:spacing w:val="-2"/>
          <w:sz w:val="20"/>
          <w:vertAlign w:val="baseline"/>
        </w:rPr>
        <w:t>constitutionnel.</w:t>
      </w:r>
      <w:r>
        <w:rPr>
          <w:color w:val="231F20"/>
          <w:spacing w:val="-6"/>
          <w:sz w:val="20"/>
          <w:vertAlign w:val="baseline"/>
        </w:rPr>
        <w:t> </w:t>
      </w:r>
      <w:r>
        <w:rPr>
          <w:color w:val="231F20"/>
          <w:spacing w:val="-2"/>
          <w:sz w:val="20"/>
          <w:vertAlign w:val="baseline"/>
        </w:rPr>
        <w:t>Il</w:t>
      </w:r>
      <w:r>
        <w:rPr>
          <w:color w:val="231F20"/>
          <w:spacing w:val="-6"/>
          <w:sz w:val="20"/>
          <w:vertAlign w:val="baseline"/>
        </w:rPr>
        <w:t> </w:t>
      </w:r>
      <w:r>
        <w:rPr>
          <w:color w:val="231F20"/>
          <w:spacing w:val="-2"/>
          <w:sz w:val="20"/>
          <w:vertAlign w:val="baseline"/>
        </w:rPr>
        <w:t>en</w:t>
      </w:r>
      <w:r>
        <w:rPr>
          <w:color w:val="231F20"/>
          <w:spacing w:val="-3"/>
          <w:sz w:val="20"/>
          <w:vertAlign w:val="baseline"/>
        </w:rPr>
        <w:t> </w:t>
      </w:r>
      <w:r>
        <w:rPr>
          <w:color w:val="231F20"/>
          <w:spacing w:val="-2"/>
          <w:sz w:val="20"/>
          <w:vertAlign w:val="baseline"/>
        </w:rPr>
        <w:t>informe </w:t>
      </w:r>
      <w:r>
        <w:rPr>
          <w:color w:val="231F20"/>
          <w:sz w:val="20"/>
          <w:vertAlign w:val="baseline"/>
        </w:rPr>
        <w:t>la</w:t>
      </w:r>
      <w:r>
        <w:rPr>
          <w:color w:val="231F20"/>
          <w:spacing w:val="-8"/>
          <w:sz w:val="20"/>
          <w:vertAlign w:val="baseline"/>
        </w:rPr>
        <w:t> </w:t>
      </w:r>
      <w:r>
        <w:rPr>
          <w:color w:val="231F20"/>
          <w:sz w:val="20"/>
          <w:vertAlign w:val="baseline"/>
        </w:rPr>
        <w:t>Nation</w:t>
      </w:r>
      <w:r>
        <w:rPr>
          <w:color w:val="231F20"/>
          <w:spacing w:val="-8"/>
          <w:sz w:val="20"/>
          <w:vertAlign w:val="baseline"/>
        </w:rPr>
        <w:t> </w:t>
      </w:r>
      <w:r>
        <w:rPr>
          <w:color w:val="231F20"/>
          <w:sz w:val="20"/>
          <w:vertAlign w:val="baseline"/>
        </w:rPr>
        <w:t>par</w:t>
      </w:r>
      <w:r>
        <w:rPr>
          <w:color w:val="231F20"/>
          <w:spacing w:val="-8"/>
          <w:sz w:val="20"/>
          <w:vertAlign w:val="baseline"/>
        </w:rPr>
        <w:t> </w:t>
      </w:r>
      <w:r>
        <w:rPr>
          <w:color w:val="231F20"/>
          <w:sz w:val="20"/>
          <w:vertAlign w:val="baseline"/>
        </w:rPr>
        <w:t>message.</w:t>
      </w:r>
      <w:r>
        <w:rPr>
          <w:color w:val="231F20"/>
          <w:spacing w:val="-9"/>
          <w:sz w:val="20"/>
          <w:vertAlign w:val="baseline"/>
        </w:rPr>
        <w:t> </w:t>
      </w:r>
      <w:r>
        <w:rPr>
          <w:color w:val="231F20"/>
          <w:sz w:val="20"/>
          <w:vertAlign w:val="baseline"/>
        </w:rPr>
        <w:t>L’Assemblée</w:t>
      </w:r>
      <w:r>
        <w:rPr>
          <w:color w:val="231F20"/>
          <w:spacing w:val="-9"/>
          <w:sz w:val="20"/>
          <w:vertAlign w:val="baseline"/>
        </w:rPr>
        <w:t> </w:t>
      </w:r>
      <w:r>
        <w:rPr>
          <w:color w:val="231F20"/>
          <w:sz w:val="20"/>
          <w:vertAlign w:val="baseline"/>
        </w:rPr>
        <w:t>nationale</w:t>
      </w:r>
      <w:r>
        <w:rPr>
          <w:color w:val="231F20"/>
          <w:spacing w:val="-8"/>
          <w:sz w:val="20"/>
          <w:vertAlign w:val="baseline"/>
        </w:rPr>
        <w:t> </w:t>
      </w:r>
      <w:r>
        <w:rPr>
          <w:color w:val="231F20"/>
          <w:sz w:val="20"/>
          <w:vertAlign w:val="baseline"/>
        </w:rPr>
        <w:t>se</w:t>
      </w:r>
      <w:r>
        <w:rPr>
          <w:color w:val="231F20"/>
          <w:spacing w:val="-9"/>
          <w:sz w:val="20"/>
          <w:vertAlign w:val="baseline"/>
        </w:rPr>
        <w:t> </w:t>
      </w:r>
      <w:r>
        <w:rPr>
          <w:color w:val="231F20"/>
          <w:sz w:val="20"/>
          <w:vertAlign w:val="baseline"/>
        </w:rPr>
        <w:t>réunit</w:t>
      </w:r>
      <w:r>
        <w:rPr>
          <w:color w:val="231F20"/>
          <w:spacing w:val="-9"/>
          <w:sz w:val="20"/>
          <w:vertAlign w:val="baseline"/>
        </w:rPr>
        <w:t> </w:t>
      </w:r>
      <w:r>
        <w:rPr>
          <w:color w:val="231F20"/>
          <w:sz w:val="20"/>
          <w:vertAlign w:val="baseline"/>
        </w:rPr>
        <w:t>de</w:t>
      </w:r>
      <w:r>
        <w:rPr>
          <w:color w:val="231F20"/>
          <w:spacing w:val="-9"/>
          <w:sz w:val="20"/>
          <w:vertAlign w:val="baseline"/>
        </w:rPr>
        <w:t> </w:t>
      </w:r>
      <w:r>
        <w:rPr>
          <w:color w:val="231F20"/>
          <w:sz w:val="20"/>
          <w:vertAlign w:val="baseline"/>
        </w:rPr>
        <w:t>plein</w:t>
      </w:r>
      <w:r>
        <w:rPr>
          <w:color w:val="231F20"/>
          <w:spacing w:val="-9"/>
          <w:sz w:val="20"/>
          <w:vertAlign w:val="baseline"/>
        </w:rPr>
        <w:t> </w:t>
      </w:r>
      <w:r>
        <w:rPr>
          <w:color w:val="231F20"/>
          <w:sz w:val="20"/>
          <w:vertAlign w:val="baseline"/>
        </w:rPr>
        <w:t>droit.</w:t>
      </w:r>
    </w:p>
    <w:p>
      <w:pPr>
        <w:spacing w:after="0"/>
        <w:jc w:val="both"/>
        <w:rPr>
          <w:sz w:val="20"/>
        </w:rPr>
        <w:sectPr>
          <w:pgSz w:w="8790" w:h="13610"/>
          <w:pgMar w:header="0" w:footer="802" w:top="1060" w:bottom="1000" w:left="880" w:right="880"/>
        </w:sectPr>
      </w:pPr>
    </w:p>
    <w:p>
      <w:pPr>
        <w:pStyle w:val="BodyText"/>
        <w:spacing w:before="66"/>
      </w:pPr>
      <w:r>
        <w:rPr>
          <w:color w:val="231F20"/>
          <w:spacing w:val="-4"/>
        </w:rPr>
        <w:t>d’un</w:t>
      </w:r>
      <w:r>
        <w:rPr>
          <w:color w:val="231F20"/>
          <w:spacing w:val="-16"/>
        </w:rPr>
        <w:t> </w:t>
      </w:r>
      <w:r>
        <w:rPr>
          <w:color w:val="231F20"/>
          <w:spacing w:val="-4"/>
        </w:rPr>
        <w:t>conflit</w:t>
      </w:r>
      <w:r>
        <w:rPr>
          <w:color w:val="231F20"/>
          <w:spacing w:val="-13"/>
        </w:rPr>
        <w:t> </w:t>
      </w:r>
      <w:r>
        <w:rPr>
          <w:color w:val="231F20"/>
          <w:spacing w:val="-4"/>
        </w:rPr>
        <w:t>armé</w:t>
      </w:r>
      <w:r>
        <w:rPr>
          <w:color w:val="231F20"/>
          <w:spacing w:val="-17"/>
        </w:rPr>
        <w:t> </w:t>
      </w:r>
      <w:r>
        <w:rPr>
          <w:color w:val="231F20"/>
          <w:spacing w:val="-4"/>
        </w:rPr>
        <w:t>sont</w:t>
      </w:r>
      <w:r>
        <w:rPr>
          <w:color w:val="231F20"/>
          <w:spacing w:val="-13"/>
        </w:rPr>
        <w:t> </w:t>
      </w:r>
      <w:r>
        <w:rPr>
          <w:color w:val="231F20"/>
          <w:spacing w:val="-4"/>
        </w:rPr>
        <w:t>limités</w:t>
      </w:r>
      <w:r>
        <w:rPr>
          <w:color w:val="231F20"/>
          <w:spacing w:val="-15"/>
        </w:rPr>
        <w:t> </w:t>
      </w:r>
      <w:r>
        <w:rPr>
          <w:color w:val="231F20"/>
          <w:spacing w:val="-4"/>
        </w:rPr>
        <w:t>par</w:t>
      </w:r>
      <w:r>
        <w:rPr>
          <w:color w:val="231F20"/>
          <w:spacing w:val="-15"/>
        </w:rPr>
        <w:t> </w:t>
      </w:r>
      <w:r>
        <w:rPr>
          <w:color w:val="231F20"/>
          <w:spacing w:val="-4"/>
        </w:rPr>
        <w:t>la</w:t>
      </w:r>
      <w:r>
        <w:rPr>
          <w:color w:val="231F20"/>
          <w:spacing w:val="-15"/>
        </w:rPr>
        <w:t> </w:t>
      </w:r>
      <w:r>
        <w:rPr>
          <w:color w:val="231F20"/>
          <w:spacing w:val="-4"/>
        </w:rPr>
        <w:t>forte</w:t>
      </w:r>
      <w:r>
        <w:rPr>
          <w:color w:val="231F20"/>
          <w:spacing w:val="-15"/>
        </w:rPr>
        <w:t> </w:t>
      </w:r>
      <w:r>
        <w:rPr>
          <w:color w:val="231F20"/>
          <w:spacing w:val="-4"/>
        </w:rPr>
        <w:t>présence</w:t>
      </w:r>
      <w:r>
        <w:rPr>
          <w:color w:val="231F20"/>
          <w:spacing w:val="-15"/>
        </w:rPr>
        <w:t> </w:t>
      </w:r>
      <w:r>
        <w:rPr>
          <w:color w:val="231F20"/>
          <w:spacing w:val="-4"/>
        </w:rPr>
        <w:t>des</w:t>
      </w:r>
      <w:r>
        <w:rPr>
          <w:color w:val="231F20"/>
          <w:spacing w:val="-15"/>
        </w:rPr>
        <w:t> </w:t>
      </w:r>
      <w:r>
        <w:rPr>
          <w:color w:val="231F20"/>
          <w:spacing w:val="-4"/>
        </w:rPr>
        <w:t>troupes</w:t>
      </w:r>
      <w:r>
        <w:rPr>
          <w:color w:val="231F20"/>
          <w:spacing w:val="-15"/>
        </w:rPr>
        <w:t> </w:t>
      </w:r>
      <w:r>
        <w:rPr>
          <w:color w:val="231F20"/>
          <w:spacing w:val="-4"/>
        </w:rPr>
        <w:t>impartiales,</w:t>
      </w:r>
    </w:p>
    <w:p>
      <w:pPr>
        <w:pStyle w:val="BodyText"/>
      </w:pPr>
      <w:r>
        <w:rPr>
          <w:color w:val="231F20"/>
          <w:spacing w:val="-2"/>
        </w:rPr>
        <w:t>l’agitation</w:t>
      </w:r>
      <w:r>
        <w:rPr>
          <w:color w:val="231F20"/>
          <w:spacing w:val="-12"/>
        </w:rPr>
        <w:t> </w:t>
      </w:r>
      <w:r>
        <w:rPr>
          <w:color w:val="231F20"/>
          <w:spacing w:val="-2"/>
        </w:rPr>
        <w:t>politique</w:t>
      </w:r>
      <w:r>
        <w:rPr>
          <w:color w:val="231F20"/>
          <w:spacing w:val="-10"/>
        </w:rPr>
        <w:t> </w:t>
      </w:r>
      <w:r>
        <w:rPr>
          <w:color w:val="231F20"/>
          <w:spacing w:val="-2"/>
        </w:rPr>
        <w:t>interne</w:t>
      </w:r>
      <w:r>
        <w:rPr>
          <w:color w:val="231F20"/>
          <w:spacing w:val="-13"/>
        </w:rPr>
        <w:t> </w:t>
      </w:r>
      <w:r>
        <w:rPr>
          <w:color w:val="231F20"/>
          <w:spacing w:val="-2"/>
        </w:rPr>
        <w:t>n’a</w:t>
      </w:r>
      <w:r>
        <w:rPr>
          <w:color w:val="231F20"/>
          <w:spacing w:val="-11"/>
        </w:rPr>
        <w:t> </w:t>
      </w:r>
      <w:r>
        <w:rPr>
          <w:color w:val="231F20"/>
          <w:spacing w:val="-2"/>
        </w:rPr>
        <w:t>rien</w:t>
      </w:r>
      <w:r>
        <w:rPr>
          <w:color w:val="231F20"/>
          <w:spacing w:val="-10"/>
        </w:rPr>
        <w:t> </w:t>
      </w:r>
      <w:r>
        <w:rPr>
          <w:color w:val="231F20"/>
          <w:spacing w:val="-2"/>
        </w:rPr>
        <w:t>perdu</w:t>
      </w:r>
      <w:r>
        <w:rPr>
          <w:color w:val="231F20"/>
          <w:spacing w:val="-11"/>
        </w:rPr>
        <w:t> </w:t>
      </w:r>
      <w:r>
        <w:rPr>
          <w:color w:val="231F20"/>
          <w:spacing w:val="-2"/>
        </w:rPr>
        <w:t>de</w:t>
      </w:r>
      <w:r>
        <w:rPr>
          <w:color w:val="231F20"/>
          <w:spacing w:val="-12"/>
        </w:rPr>
        <w:t> </w:t>
      </w:r>
      <w:r>
        <w:rPr>
          <w:color w:val="231F20"/>
          <w:spacing w:val="-2"/>
        </w:rPr>
        <w:t>sa</w:t>
      </w:r>
      <w:r>
        <w:rPr>
          <w:color w:val="231F20"/>
          <w:spacing w:val="-10"/>
        </w:rPr>
        <w:t> </w:t>
      </w:r>
      <w:r>
        <w:rPr>
          <w:color w:val="231F20"/>
          <w:spacing w:val="-2"/>
        </w:rPr>
        <w:t>violence.</w:t>
      </w:r>
    </w:p>
    <w:p>
      <w:pPr>
        <w:pStyle w:val="BodyText"/>
        <w:spacing w:before="206"/>
        <w:ind w:left="0"/>
        <w:jc w:val="left"/>
      </w:pPr>
    </w:p>
    <w:p>
      <w:pPr>
        <w:pStyle w:val="Heading2"/>
        <w:jc w:val="both"/>
      </w:pPr>
      <w:bookmarkStart w:name="_TOC_250015" w:id="28"/>
      <w:r>
        <w:rPr>
          <w:color w:val="231F20"/>
        </w:rPr>
        <w:t>CEDEAO,</w:t>
      </w:r>
      <w:r>
        <w:rPr>
          <w:color w:val="231F20"/>
          <w:spacing w:val="-15"/>
        </w:rPr>
        <w:t> </w:t>
      </w:r>
      <w:r>
        <w:rPr>
          <w:color w:val="231F20"/>
        </w:rPr>
        <w:t>UA,</w:t>
      </w:r>
      <w:r>
        <w:rPr>
          <w:color w:val="231F20"/>
          <w:spacing w:val="-15"/>
        </w:rPr>
        <w:t> </w:t>
      </w:r>
      <w:r>
        <w:rPr>
          <w:color w:val="231F20"/>
        </w:rPr>
        <w:t>UE,</w:t>
      </w:r>
      <w:r>
        <w:rPr>
          <w:color w:val="231F20"/>
          <w:spacing w:val="-15"/>
        </w:rPr>
        <w:t> </w:t>
      </w:r>
      <w:r>
        <w:rPr>
          <w:color w:val="231F20"/>
        </w:rPr>
        <w:t>ONU</w:t>
      </w:r>
      <w:r>
        <w:rPr>
          <w:color w:val="231F20"/>
          <w:spacing w:val="-14"/>
        </w:rPr>
        <w:t> </w:t>
      </w:r>
      <w:r>
        <w:rPr>
          <w:color w:val="231F20"/>
        </w:rPr>
        <w:t>:</w:t>
      </w:r>
      <w:r>
        <w:rPr>
          <w:color w:val="231F20"/>
          <w:spacing w:val="-12"/>
        </w:rPr>
        <w:t> </w:t>
      </w:r>
      <w:r>
        <w:rPr>
          <w:color w:val="231F20"/>
        </w:rPr>
        <w:t>au</w:t>
      </w:r>
      <w:r>
        <w:rPr>
          <w:color w:val="231F20"/>
          <w:spacing w:val="-14"/>
        </w:rPr>
        <w:t> </w:t>
      </w:r>
      <w:bookmarkEnd w:id="28"/>
      <w:r>
        <w:rPr>
          <w:color w:val="231F20"/>
          <w:spacing w:val="-2"/>
        </w:rPr>
        <w:t>front</w:t>
      </w:r>
    </w:p>
    <w:p>
      <w:pPr>
        <w:pStyle w:val="BodyText"/>
        <w:spacing w:before="120"/>
        <w:ind w:left="0"/>
        <w:jc w:val="left"/>
        <w:rPr>
          <w:b/>
        </w:rPr>
      </w:pPr>
    </w:p>
    <w:p>
      <w:pPr>
        <w:pStyle w:val="BodyText"/>
        <w:ind w:right="106" w:firstLine="283"/>
      </w:pPr>
      <w:r>
        <w:rPr>
          <w:color w:val="231F20"/>
          <w:spacing w:val="-2"/>
        </w:rPr>
        <w:t>Le</w:t>
      </w:r>
      <w:r>
        <w:rPr>
          <w:color w:val="231F20"/>
          <w:spacing w:val="-13"/>
        </w:rPr>
        <w:t> </w:t>
      </w:r>
      <w:r>
        <w:rPr>
          <w:color w:val="231F20"/>
          <w:spacing w:val="-2"/>
        </w:rPr>
        <w:t>30</w:t>
      </w:r>
      <w:r>
        <w:rPr>
          <w:color w:val="231F20"/>
          <w:spacing w:val="-13"/>
        </w:rPr>
        <w:t> </w:t>
      </w:r>
      <w:r>
        <w:rPr>
          <w:color w:val="231F20"/>
          <w:spacing w:val="-2"/>
        </w:rPr>
        <w:t>octobre</w:t>
      </w:r>
      <w:r>
        <w:rPr>
          <w:color w:val="231F20"/>
          <w:spacing w:val="-13"/>
        </w:rPr>
        <w:t> </w:t>
      </w:r>
      <w:r>
        <w:rPr>
          <w:color w:val="231F20"/>
          <w:spacing w:val="-2"/>
        </w:rPr>
        <w:t>2005,</w:t>
      </w:r>
      <w:r>
        <w:rPr>
          <w:color w:val="231F20"/>
          <w:spacing w:val="-13"/>
        </w:rPr>
        <w:t> </w:t>
      </w:r>
      <w:r>
        <w:rPr>
          <w:color w:val="231F20"/>
          <w:spacing w:val="-2"/>
        </w:rPr>
        <w:t>une</w:t>
      </w:r>
      <w:r>
        <w:rPr>
          <w:color w:val="231F20"/>
          <w:spacing w:val="-13"/>
        </w:rPr>
        <w:t> </w:t>
      </w:r>
      <w:r>
        <w:rPr>
          <w:color w:val="231F20"/>
          <w:spacing w:val="-2"/>
        </w:rPr>
        <w:t>nouvelle</w:t>
      </w:r>
      <w:r>
        <w:rPr>
          <w:color w:val="231F20"/>
          <w:spacing w:val="-13"/>
        </w:rPr>
        <w:t> </w:t>
      </w:r>
      <w:r>
        <w:rPr>
          <w:color w:val="231F20"/>
          <w:spacing w:val="-2"/>
        </w:rPr>
        <w:t>formule</w:t>
      </w:r>
      <w:r>
        <w:rPr>
          <w:color w:val="231F20"/>
          <w:spacing w:val="-13"/>
        </w:rPr>
        <w:t> </w:t>
      </w:r>
      <w:r>
        <w:rPr>
          <w:color w:val="231F20"/>
          <w:spacing w:val="-2"/>
        </w:rPr>
        <w:t>institutionnelle</w:t>
      </w:r>
      <w:r>
        <w:rPr>
          <w:color w:val="231F20"/>
          <w:spacing w:val="-13"/>
        </w:rPr>
        <w:t> </w:t>
      </w:r>
      <w:r>
        <w:rPr>
          <w:color w:val="231F20"/>
          <w:spacing w:val="-2"/>
        </w:rPr>
        <w:t>est</w:t>
      </w:r>
      <w:r>
        <w:rPr>
          <w:color w:val="231F20"/>
          <w:spacing w:val="-13"/>
        </w:rPr>
        <w:t> </w:t>
      </w:r>
      <w:r>
        <w:rPr>
          <w:color w:val="231F20"/>
          <w:spacing w:val="-2"/>
        </w:rPr>
        <w:t>imposée à</w:t>
      </w:r>
      <w:r>
        <w:rPr>
          <w:color w:val="231F20"/>
          <w:spacing w:val="-13"/>
        </w:rPr>
        <w:t> </w:t>
      </w:r>
      <w:r>
        <w:rPr>
          <w:color w:val="231F20"/>
          <w:spacing w:val="-2"/>
        </w:rPr>
        <w:t>Laurent</w:t>
      </w:r>
      <w:r>
        <w:rPr>
          <w:color w:val="231F20"/>
          <w:spacing w:val="-13"/>
        </w:rPr>
        <w:t> </w:t>
      </w:r>
      <w:r>
        <w:rPr>
          <w:color w:val="231F20"/>
          <w:spacing w:val="-2"/>
        </w:rPr>
        <w:t>Gbagbo</w:t>
      </w:r>
      <w:r>
        <w:rPr>
          <w:color w:val="231F20"/>
          <w:spacing w:val="-13"/>
        </w:rPr>
        <w:t> </w:t>
      </w:r>
      <w:r>
        <w:rPr>
          <w:color w:val="231F20"/>
          <w:spacing w:val="-2"/>
        </w:rPr>
        <w:t>par</w:t>
      </w:r>
      <w:r>
        <w:rPr>
          <w:color w:val="231F20"/>
          <w:spacing w:val="-13"/>
        </w:rPr>
        <w:t> </w:t>
      </w:r>
      <w:r>
        <w:rPr>
          <w:color w:val="231F20"/>
          <w:spacing w:val="-2"/>
        </w:rPr>
        <w:t>la</w:t>
      </w:r>
      <w:r>
        <w:rPr>
          <w:color w:val="231F20"/>
          <w:spacing w:val="-13"/>
        </w:rPr>
        <w:t> </w:t>
      </w:r>
      <w:r>
        <w:rPr>
          <w:color w:val="231F20"/>
          <w:spacing w:val="-2"/>
        </w:rPr>
        <w:t>résolution</w:t>
      </w:r>
      <w:r>
        <w:rPr>
          <w:color w:val="231F20"/>
          <w:spacing w:val="-13"/>
        </w:rPr>
        <w:t> </w:t>
      </w:r>
      <w:r>
        <w:rPr>
          <w:color w:val="231F20"/>
          <w:spacing w:val="-2"/>
        </w:rPr>
        <w:t>1633</w:t>
      </w:r>
      <w:r>
        <w:rPr>
          <w:color w:val="231F20"/>
          <w:spacing w:val="-13"/>
        </w:rPr>
        <w:t> </w:t>
      </w:r>
      <w:r>
        <w:rPr>
          <w:color w:val="231F20"/>
          <w:spacing w:val="-2"/>
        </w:rPr>
        <w:t>des</w:t>
      </w:r>
      <w:r>
        <w:rPr>
          <w:color w:val="231F20"/>
          <w:spacing w:val="-13"/>
        </w:rPr>
        <w:t> </w:t>
      </w:r>
      <w:r>
        <w:rPr>
          <w:color w:val="231F20"/>
          <w:spacing w:val="-2"/>
        </w:rPr>
        <w:t>Nations</w:t>
      </w:r>
      <w:r>
        <w:rPr>
          <w:color w:val="231F20"/>
          <w:spacing w:val="-12"/>
        </w:rPr>
        <w:t> </w:t>
      </w:r>
      <w:r>
        <w:rPr>
          <w:color w:val="231F20"/>
          <w:spacing w:val="-2"/>
        </w:rPr>
        <w:t>unies</w:t>
      </w:r>
      <w:r>
        <w:rPr>
          <w:color w:val="231F20"/>
          <w:spacing w:val="-11"/>
        </w:rPr>
        <w:t> </w:t>
      </w:r>
      <w:r>
        <w:rPr>
          <w:color w:val="231F20"/>
          <w:spacing w:val="-2"/>
        </w:rPr>
        <w:t>:</w:t>
      </w:r>
      <w:r>
        <w:rPr>
          <w:color w:val="231F20"/>
          <w:spacing w:val="-13"/>
        </w:rPr>
        <w:t> </w:t>
      </w:r>
      <w:r>
        <w:rPr>
          <w:color w:val="231F20"/>
          <w:spacing w:val="-2"/>
        </w:rPr>
        <w:t>il</w:t>
      </w:r>
      <w:r>
        <w:rPr>
          <w:color w:val="231F20"/>
          <w:spacing w:val="-13"/>
        </w:rPr>
        <w:t> </w:t>
      </w:r>
      <w:r>
        <w:rPr>
          <w:color w:val="231F20"/>
          <w:spacing w:val="-2"/>
        </w:rPr>
        <w:t>garde</w:t>
      </w:r>
      <w:r>
        <w:rPr>
          <w:color w:val="231F20"/>
          <w:spacing w:val="-13"/>
        </w:rPr>
        <w:t> </w:t>
      </w:r>
      <w:r>
        <w:rPr>
          <w:color w:val="231F20"/>
          <w:spacing w:val="-2"/>
        </w:rPr>
        <w:t>pour </w:t>
      </w:r>
      <w:r>
        <w:rPr>
          <w:color w:val="231F20"/>
          <w:spacing w:val="-4"/>
        </w:rPr>
        <w:t>12</w:t>
      </w:r>
      <w:r>
        <w:rPr>
          <w:color w:val="231F20"/>
          <w:spacing w:val="-11"/>
        </w:rPr>
        <w:t> </w:t>
      </w:r>
      <w:r>
        <w:rPr>
          <w:color w:val="231F20"/>
          <w:spacing w:val="-4"/>
        </w:rPr>
        <w:t>mois</w:t>
      </w:r>
      <w:r>
        <w:rPr>
          <w:color w:val="231F20"/>
          <w:spacing w:val="-11"/>
        </w:rPr>
        <w:t> </w:t>
      </w:r>
      <w:r>
        <w:rPr>
          <w:color w:val="231F20"/>
          <w:spacing w:val="-4"/>
        </w:rPr>
        <w:t>maximum,</w:t>
      </w:r>
      <w:r>
        <w:rPr>
          <w:color w:val="231F20"/>
          <w:spacing w:val="-11"/>
        </w:rPr>
        <w:t> </w:t>
      </w:r>
      <w:r>
        <w:rPr>
          <w:color w:val="231F20"/>
          <w:spacing w:val="-4"/>
        </w:rPr>
        <w:t>son</w:t>
      </w:r>
      <w:r>
        <w:rPr>
          <w:color w:val="231F20"/>
          <w:spacing w:val="-11"/>
        </w:rPr>
        <w:t> </w:t>
      </w:r>
      <w:r>
        <w:rPr>
          <w:color w:val="231F20"/>
          <w:spacing w:val="-4"/>
        </w:rPr>
        <w:t>poste</w:t>
      </w:r>
      <w:r>
        <w:rPr>
          <w:color w:val="231F20"/>
          <w:spacing w:val="-11"/>
        </w:rPr>
        <w:t> </w:t>
      </w:r>
      <w:r>
        <w:rPr>
          <w:color w:val="231F20"/>
          <w:spacing w:val="-4"/>
        </w:rPr>
        <w:t>de</w:t>
      </w:r>
      <w:r>
        <w:rPr>
          <w:color w:val="231F20"/>
          <w:spacing w:val="-11"/>
        </w:rPr>
        <w:t> </w:t>
      </w:r>
      <w:r>
        <w:rPr>
          <w:color w:val="231F20"/>
          <w:spacing w:val="-4"/>
        </w:rPr>
        <w:t>Chef</w:t>
      </w:r>
      <w:r>
        <w:rPr>
          <w:color w:val="231F20"/>
          <w:spacing w:val="-11"/>
        </w:rPr>
        <w:t> </w:t>
      </w:r>
      <w:r>
        <w:rPr>
          <w:color w:val="231F20"/>
          <w:spacing w:val="-4"/>
        </w:rPr>
        <w:t>de</w:t>
      </w:r>
      <w:r>
        <w:rPr>
          <w:color w:val="231F20"/>
          <w:spacing w:val="-11"/>
        </w:rPr>
        <w:t> </w:t>
      </w:r>
      <w:r>
        <w:rPr>
          <w:color w:val="231F20"/>
          <w:spacing w:val="-4"/>
        </w:rPr>
        <w:t>l’État</w:t>
      </w:r>
      <w:r>
        <w:rPr>
          <w:color w:val="231F20"/>
          <w:spacing w:val="-11"/>
        </w:rPr>
        <w:t> </w:t>
      </w:r>
      <w:r>
        <w:rPr>
          <w:color w:val="231F20"/>
          <w:spacing w:val="-4"/>
        </w:rPr>
        <w:t>mais</w:t>
      </w:r>
      <w:r>
        <w:rPr>
          <w:color w:val="231F20"/>
          <w:spacing w:val="-11"/>
        </w:rPr>
        <w:t> </w:t>
      </w:r>
      <w:r>
        <w:rPr>
          <w:color w:val="231F20"/>
          <w:spacing w:val="-4"/>
        </w:rPr>
        <w:t>l’essentiel</w:t>
      </w:r>
      <w:r>
        <w:rPr>
          <w:color w:val="231F20"/>
          <w:spacing w:val="-11"/>
        </w:rPr>
        <w:t> </w:t>
      </w:r>
      <w:r>
        <w:rPr>
          <w:color w:val="231F20"/>
          <w:spacing w:val="-4"/>
        </w:rPr>
        <w:t>du</w:t>
      </w:r>
      <w:r>
        <w:rPr>
          <w:color w:val="231F20"/>
          <w:spacing w:val="-11"/>
        </w:rPr>
        <w:t> </w:t>
      </w:r>
      <w:r>
        <w:rPr>
          <w:color w:val="231F20"/>
          <w:spacing w:val="-4"/>
        </w:rPr>
        <w:t>pouvoir </w:t>
      </w:r>
      <w:r>
        <w:rPr>
          <w:color w:val="231F20"/>
        </w:rPr>
        <w:t>exécutif doit être transféré à un Premier ministre qui échappe à son </w:t>
      </w:r>
      <w:r>
        <w:rPr>
          <w:color w:val="231F20"/>
          <w:spacing w:val="-2"/>
        </w:rPr>
        <w:t>autorité</w:t>
      </w:r>
      <w:r>
        <w:rPr>
          <w:color w:val="231F20"/>
          <w:spacing w:val="-15"/>
        </w:rPr>
        <w:t> </w:t>
      </w:r>
      <w:r>
        <w:rPr>
          <w:color w:val="231F20"/>
          <w:spacing w:val="-2"/>
        </w:rPr>
        <w:t>et</w:t>
      </w:r>
      <w:r>
        <w:rPr>
          <w:color w:val="231F20"/>
          <w:spacing w:val="-13"/>
        </w:rPr>
        <w:t> </w:t>
      </w:r>
      <w:r>
        <w:rPr>
          <w:color w:val="231F20"/>
          <w:spacing w:val="-2"/>
        </w:rPr>
        <w:t>qui</w:t>
      </w:r>
      <w:r>
        <w:rPr>
          <w:color w:val="231F20"/>
          <w:spacing w:val="-13"/>
        </w:rPr>
        <w:t> </w:t>
      </w:r>
      <w:r>
        <w:rPr>
          <w:color w:val="231F20"/>
          <w:spacing w:val="-2"/>
        </w:rPr>
        <w:t>n’a</w:t>
      </w:r>
      <w:r>
        <w:rPr>
          <w:color w:val="231F20"/>
          <w:spacing w:val="-13"/>
        </w:rPr>
        <w:t> </w:t>
      </w:r>
      <w:r>
        <w:rPr>
          <w:color w:val="231F20"/>
          <w:spacing w:val="-2"/>
        </w:rPr>
        <w:t>de</w:t>
      </w:r>
      <w:r>
        <w:rPr>
          <w:color w:val="231F20"/>
          <w:spacing w:val="-13"/>
        </w:rPr>
        <w:t> </w:t>
      </w:r>
      <w:r>
        <w:rPr>
          <w:color w:val="231F20"/>
          <w:spacing w:val="-2"/>
        </w:rPr>
        <w:t>compte</w:t>
      </w:r>
      <w:r>
        <w:rPr>
          <w:color w:val="231F20"/>
          <w:spacing w:val="-13"/>
        </w:rPr>
        <w:t> </w:t>
      </w:r>
      <w:r>
        <w:rPr>
          <w:color w:val="231F20"/>
          <w:spacing w:val="-2"/>
        </w:rPr>
        <w:t>à</w:t>
      </w:r>
      <w:r>
        <w:rPr>
          <w:color w:val="231F20"/>
          <w:spacing w:val="-13"/>
        </w:rPr>
        <w:t> </w:t>
      </w:r>
      <w:r>
        <w:rPr>
          <w:color w:val="231F20"/>
          <w:spacing w:val="-2"/>
        </w:rPr>
        <w:t>rendre</w:t>
      </w:r>
      <w:r>
        <w:rPr>
          <w:color w:val="231F20"/>
          <w:spacing w:val="-13"/>
        </w:rPr>
        <w:t> </w:t>
      </w:r>
      <w:r>
        <w:rPr>
          <w:color w:val="231F20"/>
          <w:spacing w:val="-2"/>
        </w:rPr>
        <w:t>qu’à</w:t>
      </w:r>
      <w:r>
        <w:rPr>
          <w:color w:val="231F20"/>
          <w:spacing w:val="-13"/>
        </w:rPr>
        <w:t> </w:t>
      </w:r>
      <w:r>
        <w:rPr>
          <w:color w:val="231F20"/>
          <w:spacing w:val="-2"/>
        </w:rPr>
        <w:t>la</w:t>
      </w:r>
      <w:r>
        <w:rPr>
          <w:color w:val="231F20"/>
          <w:spacing w:val="-13"/>
        </w:rPr>
        <w:t> </w:t>
      </w:r>
      <w:r>
        <w:rPr>
          <w:color w:val="231F20"/>
          <w:spacing w:val="-2"/>
        </w:rPr>
        <w:t>Communauté</w:t>
      </w:r>
      <w:r>
        <w:rPr>
          <w:color w:val="231F20"/>
          <w:spacing w:val="-13"/>
        </w:rPr>
        <w:t> </w:t>
      </w:r>
      <w:r>
        <w:rPr>
          <w:color w:val="231F20"/>
          <w:spacing w:val="-2"/>
        </w:rPr>
        <w:t>internationale </w:t>
      </w:r>
      <w:r>
        <w:rPr>
          <w:color w:val="231F20"/>
        </w:rPr>
        <w:t>qui porte son choix sur Charles Konan Banny</w:t>
      </w:r>
      <w:r>
        <w:rPr>
          <w:color w:val="231F20"/>
          <w:vertAlign w:val="superscript"/>
        </w:rPr>
        <w:t>202</w:t>
      </w:r>
      <w:r>
        <w:rPr>
          <w:color w:val="231F20"/>
          <w:vertAlign w:val="baseline"/>
        </w:rPr>
        <w:t>.</w:t>
      </w:r>
    </w:p>
    <w:p>
      <w:pPr>
        <w:pStyle w:val="BodyText"/>
        <w:spacing w:before="121"/>
        <w:ind w:right="104" w:firstLine="283"/>
      </w:pPr>
      <w:r>
        <w:rPr>
          <w:color w:val="231F20"/>
        </w:rPr>
        <w:t>Le Chef de l’État Nigérian Olusegun Obasanjo, alors président de </w:t>
      </w:r>
      <w:r>
        <w:rPr>
          <w:color w:val="231F20"/>
          <w:spacing w:val="-2"/>
        </w:rPr>
        <w:t>l’Union</w:t>
      </w:r>
      <w:r>
        <w:rPr>
          <w:color w:val="231F20"/>
          <w:spacing w:val="-8"/>
        </w:rPr>
        <w:t> </w:t>
      </w:r>
      <w:r>
        <w:rPr>
          <w:color w:val="231F20"/>
          <w:spacing w:val="-2"/>
        </w:rPr>
        <w:t>Africaine,</w:t>
      </w:r>
      <w:r>
        <w:rPr>
          <w:color w:val="231F20"/>
          <w:spacing w:val="-9"/>
        </w:rPr>
        <w:t> </w:t>
      </w:r>
      <w:r>
        <w:rPr>
          <w:color w:val="231F20"/>
          <w:spacing w:val="-2"/>
        </w:rPr>
        <w:t>reprend</w:t>
      </w:r>
      <w:r>
        <w:rPr>
          <w:color w:val="231F20"/>
          <w:spacing w:val="-7"/>
        </w:rPr>
        <w:t> </w:t>
      </w:r>
      <w:r>
        <w:rPr>
          <w:color w:val="231F20"/>
          <w:spacing w:val="-2"/>
        </w:rPr>
        <w:t>le</w:t>
      </w:r>
      <w:r>
        <w:rPr>
          <w:color w:val="231F20"/>
          <w:spacing w:val="-10"/>
        </w:rPr>
        <w:t> </w:t>
      </w:r>
      <w:r>
        <w:rPr>
          <w:color w:val="231F20"/>
          <w:spacing w:val="-2"/>
        </w:rPr>
        <w:t>dossier</w:t>
      </w:r>
      <w:r>
        <w:rPr>
          <w:color w:val="231F20"/>
          <w:spacing w:val="-10"/>
        </w:rPr>
        <w:t> </w:t>
      </w:r>
      <w:r>
        <w:rPr>
          <w:color w:val="231F20"/>
          <w:spacing w:val="-2"/>
        </w:rPr>
        <w:t>ivoirien</w:t>
      </w:r>
      <w:r>
        <w:rPr>
          <w:color w:val="231F20"/>
          <w:spacing w:val="-9"/>
        </w:rPr>
        <w:t> </w:t>
      </w:r>
      <w:r>
        <w:rPr>
          <w:color w:val="231F20"/>
          <w:spacing w:val="-2"/>
        </w:rPr>
        <w:t>en</w:t>
      </w:r>
      <w:r>
        <w:rPr>
          <w:color w:val="231F20"/>
          <w:spacing w:val="-9"/>
        </w:rPr>
        <w:t> </w:t>
      </w:r>
      <w:r>
        <w:rPr>
          <w:color w:val="231F20"/>
          <w:spacing w:val="-2"/>
        </w:rPr>
        <w:t>main,</w:t>
      </w:r>
      <w:r>
        <w:rPr>
          <w:color w:val="231F20"/>
          <w:spacing w:val="-8"/>
        </w:rPr>
        <w:t> </w:t>
      </w:r>
      <w:r>
        <w:rPr>
          <w:color w:val="231F20"/>
          <w:spacing w:val="-2"/>
        </w:rPr>
        <w:t>en</w:t>
      </w:r>
      <w:r>
        <w:rPr>
          <w:color w:val="231F20"/>
          <w:spacing w:val="-9"/>
        </w:rPr>
        <w:t> </w:t>
      </w:r>
      <w:r>
        <w:rPr>
          <w:color w:val="231F20"/>
          <w:spacing w:val="-2"/>
        </w:rPr>
        <w:t>s’appuyant</w:t>
      </w:r>
      <w:r>
        <w:rPr>
          <w:color w:val="231F20"/>
          <w:spacing w:val="-9"/>
        </w:rPr>
        <w:t> </w:t>
      </w:r>
      <w:r>
        <w:rPr>
          <w:color w:val="231F20"/>
          <w:spacing w:val="-2"/>
        </w:rPr>
        <w:t>sur </w:t>
      </w:r>
      <w:r>
        <w:rPr>
          <w:color w:val="231F20"/>
        </w:rPr>
        <w:t>l’ONU et une nouvelle Structure de Coordination</w:t>
      </w:r>
      <w:r>
        <w:rPr>
          <w:color w:val="231F20"/>
          <w:vertAlign w:val="superscript"/>
        </w:rPr>
        <w:t>203</w:t>
      </w:r>
      <w:r>
        <w:rPr>
          <w:color w:val="231F20"/>
          <w:spacing w:val="-15"/>
          <w:vertAlign w:val="baseline"/>
        </w:rPr>
        <w:t> </w:t>
      </w:r>
      <w:r>
        <w:rPr>
          <w:color w:val="231F20"/>
          <w:vertAlign w:val="baseline"/>
        </w:rPr>
        <w:t>créée le 6 octobre 2005</w:t>
      </w:r>
      <w:r>
        <w:rPr>
          <w:color w:val="231F20"/>
          <w:spacing w:val="-11"/>
          <w:vertAlign w:val="baseline"/>
        </w:rPr>
        <w:t> </w:t>
      </w:r>
      <w:r>
        <w:rPr>
          <w:color w:val="231F20"/>
          <w:vertAlign w:val="baseline"/>
        </w:rPr>
        <w:t>par</w:t>
      </w:r>
      <w:r>
        <w:rPr>
          <w:color w:val="231F20"/>
          <w:spacing w:val="-14"/>
          <w:vertAlign w:val="baseline"/>
        </w:rPr>
        <w:t> </w:t>
      </w:r>
      <w:r>
        <w:rPr>
          <w:color w:val="231F20"/>
          <w:vertAlign w:val="baseline"/>
        </w:rPr>
        <w:t>l’UA</w:t>
      </w:r>
      <w:r>
        <w:rPr>
          <w:color w:val="231F20"/>
          <w:spacing w:val="-11"/>
          <w:vertAlign w:val="baseline"/>
        </w:rPr>
        <w:t> </w:t>
      </w:r>
      <w:r>
        <w:rPr>
          <w:color w:val="231F20"/>
          <w:vertAlign w:val="baseline"/>
        </w:rPr>
        <w:t>pour</w:t>
      </w:r>
      <w:r>
        <w:rPr>
          <w:color w:val="231F20"/>
          <w:spacing w:val="-12"/>
          <w:vertAlign w:val="baseline"/>
        </w:rPr>
        <w:t> </w:t>
      </w:r>
      <w:r>
        <w:rPr>
          <w:color w:val="231F20"/>
          <w:vertAlign w:val="baseline"/>
        </w:rPr>
        <w:t>«</w:t>
      </w:r>
      <w:r>
        <w:rPr>
          <w:color w:val="231F20"/>
          <w:spacing w:val="-14"/>
          <w:vertAlign w:val="baseline"/>
        </w:rPr>
        <w:t> </w:t>
      </w:r>
      <w:r>
        <w:rPr>
          <w:color w:val="231F20"/>
          <w:vertAlign w:val="baseline"/>
        </w:rPr>
        <w:t>évaluer,</w:t>
      </w:r>
      <w:r>
        <w:rPr>
          <w:color w:val="231F20"/>
          <w:spacing w:val="-12"/>
          <w:vertAlign w:val="baseline"/>
        </w:rPr>
        <w:t> </w:t>
      </w:r>
      <w:r>
        <w:rPr>
          <w:color w:val="231F20"/>
          <w:vertAlign w:val="baseline"/>
        </w:rPr>
        <w:t>contrôler</w:t>
      </w:r>
      <w:r>
        <w:rPr>
          <w:color w:val="231F20"/>
          <w:spacing w:val="-14"/>
          <w:vertAlign w:val="baseline"/>
        </w:rPr>
        <w:t> </w:t>
      </w:r>
      <w:r>
        <w:rPr>
          <w:color w:val="231F20"/>
          <w:vertAlign w:val="baseline"/>
        </w:rPr>
        <w:t>et</w:t>
      </w:r>
      <w:r>
        <w:rPr>
          <w:color w:val="231F20"/>
          <w:spacing w:val="-12"/>
          <w:vertAlign w:val="baseline"/>
        </w:rPr>
        <w:t> </w:t>
      </w:r>
      <w:r>
        <w:rPr>
          <w:color w:val="231F20"/>
          <w:vertAlign w:val="baseline"/>
        </w:rPr>
        <w:t>suivre</w:t>
      </w:r>
      <w:r>
        <w:rPr>
          <w:color w:val="231F20"/>
          <w:spacing w:val="-14"/>
          <w:vertAlign w:val="baseline"/>
        </w:rPr>
        <w:t> </w:t>
      </w:r>
      <w:r>
        <w:rPr>
          <w:color w:val="231F20"/>
          <w:vertAlign w:val="baseline"/>
        </w:rPr>
        <w:t>le</w:t>
      </w:r>
      <w:r>
        <w:rPr>
          <w:color w:val="231F20"/>
          <w:spacing w:val="-14"/>
          <w:vertAlign w:val="baseline"/>
        </w:rPr>
        <w:t> </w:t>
      </w:r>
      <w:r>
        <w:rPr>
          <w:color w:val="231F20"/>
          <w:vertAlign w:val="baseline"/>
        </w:rPr>
        <w:t>processus</w:t>
      </w:r>
      <w:r>
        <w:rPr>
          <w:color w:val="231F20"/>
          <w:spacing w:val="-14"/>
          <w:vertAlign w:val="baseline"/>
        </w:rPr>
        <w:t> </w:t>
      </w:r>
      <w:r>
        <w:rPr>
          <w:color w:val="231F20"/>
          <w:vertAlign w:val="baseline"/>
        </w:rPr>
        <w:t>de</w:t>
      </w:r>
      <w:r>
        <w:rPr>
          <w:color w:val="231F20"/>
          <w:spacing w:val="-12"/>
          <w:vertAlign w:val="baseline"/>
        </w:rPr>
        <w:t> </w:t>
      </w:r>
      <w:r>
        <w:rPr>
          <w:color w:val="231F20"/>
          <w:vertAlign w:val="baseline"/>
        </w:rPr>
        <w:t>paix.</w:t>
      </w:r>
      <w:r>
        <w:rPr>
          <w:color w:val="231F20"/>
          <w:spacing w:val="-14"/>
          <w:vertAlign w:val="baseline"/>
        </w:rPr>
        <w:t> </w:t>
      </w:r>
      <w:r>
        <w:rPr>
          <w:color w:val="231F20"/>
          <w:vertAlign w:val="baseline"/>
        </w:rPr>
        <w:t>»</w:t>
      </w:r>
    </w:p>
    <w:p>
      <w:pPr>
        <w:pStyle w:val="BodyText"/>
        <w:spacing w:before="120"/>
        <w:ind w:left="395"/>
      </w:pPr>
      <w:r>
        <w:rPr>
          <w:color w:val="231F20"/>
          <w:spacing w:val="-4"/>
        </w:rPr>
        <w:t>2006.</w:t>
      </w:r>
      <w:r>
        <w:rPr>
          <w:color w:val="231F20"/>
          <w:spacing w:val="-8"/>
        </w:rPr>
        <w:t> </w:t>
      </w:r>
      <w:r>
        <w:rPr>
          <w:color w:val="231F20"/>
          <w:spacing w:val="-4"/>
        </w:rPr>
        <w:t>Contrairement</w:t>
      </w:r>
      <w:r>
        <w:rPr>
          <w:color w:val="231F20"/>
          <w:spacing w:val="-6"/>
        </w:rPr>
        <w:t> </w:t>
      </w:r>
      <w:r>
        <w:rPr>
          <w:color w:val="231F20"/>
          <w:spacing w:val="-4"/>
        </w:rPr>
        <w:t>aux</w:t>
      </w:r>
      <w:r>
        <w:rPr>
          <w:color w:val="231F20"/>
          <w:spacing w:val="-7"/>
        </w:rPr>
        <w:t> </w:t>
      </w:r>
      <w:r>
        <w:rPr>
          <w:color w:val="231F20"/>
          <w:spacing w:val="-4"/>
        </w:rPr>
        <w:t>prévisions</w:t>
      </w:r>
      <w:r>
        <w:rPr>
          <w:color w:val="231F20"/>
          <w:spacing w:val="-6"/>
        </w:rPr>
        <w:t> </w:t>
      </w:r>
      <w:r>
        <w:rPr>
          <w:color w:val="231F20"/>
          <w:spacing w:val="-4"/>
        </w:rPr>
        <w:t>de</w:t>
      </w:r>
      <w:r>
        <w:rPr>
          <w:color w:val="231F20"/>
          <w:spacing w:val="-6"/>
        </w:rPr>
        <w:t> </w:t>
      </w:r>
      <w:r>
        <w:rPr>
          <w:color w:val="231F20"/>
          <w:spacing w:val="-4"/>
        </w:rPr>
        <w:t>la</w:t>
      </w:r>
      <w:r>
        <w:rPr>
          <w:color w:val="231F20"/>
          <w:spacing w:val="-6"/>
        </w:rPr>
        <w:t> </w:t>
      </w:r>
      <w:r>
        <w:rPr>
          <w:color w:val="231F20"/>
          <w:spacing w:val="-4"/>
        </w:rPr>
        <w:t>France</w:t>
      </w:r>
      <w:r>
        <w:rPr>
          <w:color w:val="231F20"/>
          <w:spacing w:val="-5"/>
        </w:rPr>
        <w:t> </w:t>
      </w:r>
      <w:r>
        <w:rPr>
          <w:color w:val="231F20"/>
          <w:spacing w:val="-4"/>
        </w:rPr>
        <w:t>et</w:t>
      </w:r>
      <w:r>
        <w:rPr>
          <w:color w:val="231F20"/>
          <w:spacing w:val="-6"/>
        </w:rPr>
        <w:t> </w:t>
      </w:r>
      <w:r>
        <w:rPr>
          <w:color w:val="231F20"/>
          <w:spacing w:val="-4"/>
        </w:rPr>
        <w:t>de l’ONU,</w:t>
      </w:r>
      <w:r>
        <w:rPr>
          <w:color w:val="231F20"/>
          <w:spacing w:val="-5"/>
        </w:rPr>
        <w:t> </w:t>
      </w:r>
      <w:r>
        <w:rPr>
          <w:color w:val="231F20"/>
          <w:spacing w:val="-4"/>
        </w:rPr>
        <w:t>Laurent</w:t>
      </w:r>
    </w:p>
    <w:p>
      <w:pPr>
        <w:pStyle w:val="BodyText"/>
      </w:pPr>
      <w:r>
        <w:rPr>
          <w:color w:val="231F20"/>
          <w:spacing w:val="-2"/>
        </w:rPr>
        <w:t>Gbagbo</w:t>
      </w:r>
      <w:r>
        <w:rPr>
          <w:color w:val="231F20"/>
          <w:spacing w:val="-11"/>
        </w:rPr>
        <w:t> </w:t>
      </w:r>
      <w:r>
        <w:rPr>
          <w:color w:val="231F20"/>
          <w:spacing w:val="-2"/>
        </w:rPr>
        <w:t>ne</w:t>
      </w:r>
      <w:r>
        <w:rPr>
          <w:color w:val="231F20"/>
          <w:spacing w:val="-8"/>
        </w:rPr>
        <w:t> </w:t>
      </w:r>
      <w:r>
        <w:rPr>
          <w:color w:val="231F20"/>
          <w:spacing w:val="-2"/>
        </w:rPr>
        <w:t>fléchit</w:t>
      </w:r>
      <w:r>
        <w:rPr>
          <w:color w:val="231F20"/>
          <w:spacing w:val="-7"/>
        </w:rPr>
        <w:t> </w:t>
      </w:r>
      <w:r>
        <w:rPr>
          <w:color w:val="231F20"/>
          <w:spacing w:val="-2"/>
        </w:rPr>
        <w:t>toujours</w:t>
      </w:r>
      <w:r>
        <w:rPr>
          <w:color w:val="231F20"/>
          <w:spacing w:val="-8"/>
        </w:rPr>
        <w:t> </w:t>
      </w:r>
      <w:r>
        <w:rPr>
          <w:color w:val="231F20"/>
          <w:spacing w:val="-2"/>
        </w:rPr>
        <w:t>pas</w:t>
      </w:r>
      <w:r>
        <w:rPr>
          <w:color w:val="231F20"/>
          <w:spacing w:val="-8"/>
        </w:rPr>
        <w:t> </w:t>
      </w:r>
      <w:r>
        <w:rPr>
          <w:color w:val="231F20"/>
          <w:spacing w:val="-2"/>
        </w:rPr>
        <w:t>et</w:t>
      </w:r>
      <w:r>
        <w:rPr>
          <w:color w:val="231F20"/>
          <w:spacing w:val="-9"/>
        </w:rPr>
        <w:t> </w:t>
      </w:r>
      <w:r>
        <w:rPr>
          <w:color w:val="231F20"/>
          <w:spacing w:val="-2"/>
        </w:rPr>
        <w:t>reste</w:t>
      </w:r>
      <w:r>
        <w:rPr>
          <w:color w:val="231F20"/>
          <w:spacing w:val="-11"/>
        </w:rPr>
        <w:t> </w:t>
      </w:r>
      <w:r>
        <w:rPr>
          <w:color w:val="231F20"/>
          <w:spacing w:val="-2"/>
        </w:rPr>
        <w:t>le</w:t>
      </w:r>
      <w:r>
        <w:rPr>
          <w:color w:val="231F20"/>
          <w:spacing w:val="-10"/>
        </w:rPr>
        <w:t> </w:t>
      </w:r>
      <w:r>
        <w:rPr>
          <w:color w:val="231F20"/>
          <w:spacing w:val="-2"/>
        </w:rPr>
        <w:t>maître</w:t>
      </w:r>
      <w:r>
        <w:rPr>
          <w:color w:val="231F20"/>
          <w:spacing w:val="-10"/>
        </w:rPr>
        <w:t> </w:t>
      </w:r>
      <w:r>
        <w:rPr>
          <w:color w:val="231F20"/>
          <w:spacing w:val="-2"/>
        </w:rPr>
        <w:t>du</w:t>
      </w:r>
      <w:r>
        <w:rPr>
          <w:color w:val="231F20"/>
          <w:spacing w:val="-10"/>
        </w:rPr>
        <w:t> </w:t>
      </w:r>
      <w:r>
        <w:rPr>
          <w:color w:val="231F20"/>
          <w:spacing w:val="-2"/>
        </w:rPr>
        <w:t>jeu</w:t>
      </w:r>
      <w:r>
        <w:rPr>
          <w:color w:val="231F20"/>
          <w:spacing w:val="-8"/>
        </w:rPr>
        <w:t> </w:t>
      </w:r>
      <w:r>
        <w:rPr>
          <w:color w:val="231F20"/>
          <w:spacing w:val="-2"/>
        </w:rPr>
        <w:t>à</w:t>
      </w:r>
      <w:r>
        <w:rPr>
          <w:color w:val="231F20"/>
          <w:spacing w:val="-8"/>
        </w:rPr>
        <w:t> </w:t>
      </w:r>
      <w:r>
        <w:rPr>
          <w:color w:val="231F20"/>
          <w:spacing w:val="-2"/>
        </w:rPr>
        <w:t>Abidjan.</w:t>
      </w:r>
    </w:p>
    <w:p>
      <w:pPr>
        <w:pStyle w:val="BodyText"/>
        <w:spacing w:before="120"/>
        <w:ind w:right="104" w:firstLine="283"/>
      </w:pPr>
      <w:r>
        <w:rPr>
          <w:color w:val="231F20"/>
          <w:spacing w:val="-2"/>
        </w:rPr>
        <w:t>Le</w:t>
      </w:r>
      <w:r>
        <w:rPr>
          <w:color w:val="231F20"/>
          <w:spacing w:val="-11"/>
        </w:rPr>
        <w:t> </w:t>
      </w:r>
      <w:r>
        <w:rPr>
          <w:color w:val="231F20"/>
          <w:spacing w:val="-2"/>
        </w:rPr>
        <w:t>1er</w:t>
      </w:r>
      <w:r>
        <w:rPr>
          <w:color w:val="231F20"/>
          <w:spacing w:val="-11"/>
        </w:rPr>
        <w:t> </w:t>
      </w:r>
      <w:r>
        <w:rPr>
          <w:color w:val="231F20"/>
          <w:spacing w:val="-2"/>
        </w:rPr>
        <w:t>novembre</w:t>
      </w:r>
      <w:r>
        <w:rPr>
          <w:color w:val="231F20"/>
          <w:spacing w:val="-12"/>
        </w:rPr>
        <w:t> </w:t>
      </w:r>
      <w:r>
        <w:rPr>
          <w:color w:val="231F20"/>
          <w:spacing w:val="-2"/>
        </w:rPr>
        <w:t>le</w:t>
      </w:r>
      <w:r>
        <w:rPr>
          <w:color w:val="231F20"/>
          <w:spacing w:val="-11"/>
        </w:rPr>
        <w:t> </w:t>
      </w:r>
      <w:r>
        <w:rPr>
          <w:color w:val="231F20"/>
          <w:spacing w:val="-2"/>
        </w:rPr>
        <w:t>Conseil</w:t>
      </w:r>
      <w:r>
        <w:rPr>
          <w:color w:val="231F20"/>
          <w:spacing w:val="-11"/>
        </w:rPr>
        <w:t> </w:t>
      </w:r>
      <w:r>
        <w:rPr>
          <w:color w:val="231F20"/>
          <w:spacing w:val="-2"/>
        </w:rPr>
        <w:t>de</w:t>
      </w:r>
      <w:r>
        <w:rPr>
          <w:color w:val="231F20"/>
          <w:spacing w:val="-13"/>
        </w:rPr>
        <w:t> </w:t>
      </w:r>
      <w:r>
        <w:rPr>
          <w:color w:val="231F20"/>
          <w:spacing w:val="-2"/>
        </w:rPr>
        <w:t>sécurité</w:t>
      </w:r>
      <w:r>
        <w:rPr>
          <w:color w:val="231F20"/>
          <w:spacing w:val="-11"/>
        </w:rPr>
        <w:t> </w:t>
      </w:r>
      <w:r>
        <w:rPr>
          <w:color w:val="231F20"/>
          <w:spacing w:val="-2"/>
        </w:rPr>
        <w:t>de</w:t>
      </w:r>
      <w:r>
        <w:rPr>
          <w:color w:val="231F20"/>
          <w:spacing w:val="-12"/>
        </w:rPr>
        <w:t> </w:t>
      </w:r>
      <w:r>
        <w:rPr>
          <w:color w:val="231F20"/>
          <w:spacing w:val="-2"/>
        </w:rPr>
        <w:t>l’ONU</w:t>
      </w:r>
      <w:r>
        <w:rPr>
          <w:color w:val="231F20"/>
          <w:spacing w:val="-11"/>
        </w:rPr>
        <w:t> </w:t>
      </w:r>
      <w:r>
        <w:rPr>
          <w:color w:val="231F20"/>
          <w:spacing w:val="-2"/>
        </w:rPr>
        <w:t>adopte</w:t>
      </w:r>
      <w:r>
        <w:rPr>
          <w:color w:val="231F20"/>
          <w:spacing w:val="-12"/>
        </w:rPr>
        <w:t> </w:t>
      </w:r>
      <w:r>
        <w:rPr>
          <w:color w:val="231F20"/>
          <w:spacing w:val="-2"/>
        </w:rPr>
        <w:t>la</w:t>
      </w:r>
      <w:r>
        <w:rPr>
          <w:color w:val="231F20"/>
          <w:spacing w:val="-11"/>
        </w:rPr>
        <w:t> </w:t>
      </w:r>
      <w:r>
        <w:rPr>
          <w:color w:val="231F20"/>
          <w:spacing w:val="-2"/>
        </w:rPr>
        <w:t>résolution </w:t>
      </w:r>
      <w:r>
        <w:rPr>
          <w:color w:val="231F20"/>
        </w:rPr>
        <w:t>1721 rédigée par la France. Elle renforce encore les attributions du Premier</w:t>
      </w:r>
      <w:r>
        <w:rPr>
          <w:color w:val="231F20"/>
          <w:spacing w:val="-7"/>
        </w:rPr>
        <w:t> </w:t>
      </w:r>
      <w:r>
        <w:rPr>
          <w:color w:val="231F20"/>
        </w:rPr>
        <w:t>ministre</w:t>
      </w:r>
      <w:r>
        <w:rPr>
          <w:color w:val="231F20"/>
          <w:spacing w:val="-6"/>
        </w:rPr>
        <w:t> </w:t>
      </w:r>
      <w:r>
        <w:rPr>
          <w:color w:val="231F20"/>
        </w:rPr>
        <w:t>au</w:t>
      </w:r>
      <w:r>
        <w:rPr>
          <w:color w:val="231F20"/>
          <w:spacing w:val="-5"/>
        </w:rPr>
        <w:t> </w:t>
      </w:r>
      <w:r>
        <w:rPr>
          <w:color w:val="231F20"/>
        </w:rPr>
        <w:t>détriment</w:t>
      </w:r>
      <w:r>
        <w:rPr>
          <w:color w:val="231F20"/>
          <w:spacing w:val="-6"/>
        </w:rPr>
        <w:t> </w:t>
      </w:r>
      <w:r>
        <w:rPr>
          <w:color w:val="231F20"/>
        </w:rPr>
        <w:t>du</w:t>
      </w:r>
      <w:r>
        <w:rPr>
          <w:color w:val="231F20"/>
          <w:spacing w:val="-6"/>
        </w:rPr>
        <w:t> </w:t>
      </w:r>
      <w:r>
        <w:rPr>
          <w:color w:val="231F20"/>
        </w:rPr>
        <w:t>Chef</w:t>
      </w:r>
      <w:r>
        <w:rPr>
          <w:color w:val="231F20"/>
          <w:spacing w:val="-7"/>
        </w:rPr>
        <w:t> </w:t>
      </w:r>
      <w:r>
        <w:rPr>
          <w:color w:val="231F20"/>
        </w:rPr>
        <w:t>de</w:t>
      </w:r>
      <w:r>
        <w:rPr>
          <w:color w:val="231F20"/>
          <w:spacing w:val="-7"/>
        </w:rPr>
        <w:t> </w:t>
      </w:r>
      <w:r>
        <w:rPr>
          <w:color w:val="231F20"/>
        </w:rPr>
        <w:t>l’État.</w:t>
      </w:r>
      <w:r>
        <w:rPr>
          <w:color w:val="231F20"/>
          <w:spacing w:val="-9"/>
        </w:rPr>
        <w:t> </w:t>
      </w:r>
      <w:r>
        <w:rPr>
          <w:color w:val="231F20"/>
        </w:rPr>
        <w:t>Le</w:t>
      </w:r>
      <w:r>
        <w:rPr>
          <w:color w:val="231F20"/>
          <w:spacing w:val="-5"/>
        </w:rPr>
        <w:t> </w:t>
      </w:r>
      <w:r>
        <w:rPr>
          <w:color w:val="231F20"/>
        </w:rPr>
        <w:t>Conseil</w:t>
      </w:r>
      <w:r>
        <w:rPr>
          <w:color w:val="231F20"/>
          <w:spacing w:val="-6"/>
        </w:rPr>
        <w:t> </w:t>
      </w:r>
      <w:r>
        <w:rPr>
          <w:color w:val="231F20"/>
        </w:rPr>
        <w:t>de</w:t>
      </w:r>
      <w:r>
        <w:rPr>
          <w:color w:val="231F20"/>
          <w:spacing w:val="-5"/>
        </w:rPr>
        <w:t> </w:t>
      </w:r>
      <w:r>
        <w:rPr>
          <w:color w:val="231F20"/>
        </w:rPr>
        <w:t>sécurité </w:t>
      </w:r>
      <w:r>
        <w:rPr>
          <w:color w:val="231F20"/>
          <w:spacing w:val="-4"/>
        </w:rPr>
        <w:t>reconduit</w:t>
      </w:r>
      <w:r>
        <w:rPr>
          <w:color w:val="231F20"/>
          <w:spacing w:val="-9"/>
        </w:rPr>
        <w:t> </w:t>
      </w:r>
      <w:r>
        <w:rPr>
          <w:color w:val="231F20"/>
          <w:spacing w:val="-4"/>
        </w:rPr>
        <w:t>Charles</w:t>
      </w:r>
      <w:r>
        <w:rPr>
          <w:color w:val="231F20"/>
          <w:spacing w:val="-8"/>
        </w:rPr>
        <w:t> </w:t>
      </w:r>
      <w:r>
        <w:rPr>
          <w:color w:val="231F20"/>
          <w:spacing w:val="-4"/>
        </w:rPr>
        <w:t>Konan</w:t>
      </w:r>
      <w:r>
        <w:rPr>
          <w:color w:val="231F20"/>
          <w:spacing w:val="-11"/>
        </w:rPr>
        <w:t> </w:t>
      </w:r>
      <w:r>
        <w:rPr>
          <w:color w:val="231F20"/>
          <w:spacing w:val="-4"/>
        </w:rPr>
        <w:t>Banny</w:t>
      </w:r>
      <w:r>
        <w:rPr>
          <w:color w:val="231F20"/>
          <w:spacing w:val="-8"/>
        </w:rPr>
        <w:t> </w:t>
      </w:r>
      <w:r>
        <w:rPr>
          <w:color w:val="231F20"/>
          <w:spacing w:val="-4"/>
        </w:rPr>
        <w:t>pour</w:t>
      </w:r>
      <w:r>
        <w:rPr>
          <w:color w:val="231F20"/>
          <w:spacing w:val="-11"/>
        </w:rPr>
        <w:t> </w:t>
      </w:r>
      <w:r>
        <w:rPr>
          <w:color w:val="231F20"/>
          <w:spacing w:val="-4"/>
        </w:rPr>
        <w:t>un</w:t>
      </w:r>
      <w:r>
        <w:rPr>
          <w:color w:val="231F20"/>
          <w:spacing w:val="-8"/>
        </w:rPr>
        <w:t> </w:t>
      </w:r>
      <w:r>
        <w:rPr>
          <w:color w:val="231F20"/>
          <w:spacing w:val="-4"/>
        </w:rPr>
        <w:t>an,</w:t>
      </w:r>
      <w:r>
        <w:rPr>
          <w:color w:val="231F20"/>
          <w:spacing w:val="-8"/>
        </w:rPr>
        <w:t> </w:t>
      </w:r>
      <w:r>
        <w:rPr>
          <w:color w:val="231F20"/>
          <w:spacing w:val="-4"/>
        </w:rPr>
        <w:t>avec</w:t>
      </w:r>
      <w:r>
        <w:rPr>
          <w:color w:val="231F20"/>
          <w:spacing w:val="-8"/>
        </w:rPr>
        <w:t> </w:t>
      </w:r>
      <w:r>
        <w:rPr>
          <w:color w:val="231F20"/>
          <w:spacing w:val="-4"/>
        </w:rPr>
        <w:t>tous</w:t>
      </w:r>
      <w:r>
        <w:rPr>
          <w:color w:val="231F20"/>
          <w:spacing w:val="-8"/>
        </w:rPr>
        <w:t> </w:t>
      </w:r>
      <w:r>
        <w:rPr>
          <w:color w:val="231F20"/>
          <w:spacing w:val="-4"/>
        </w:rPr>
        <w:t>les</w:t>
      </w:r>
      <w:r>
        <w:rPr>
          <w:color w:val="231F20"/>
          <w:spacing w:val="-8"/>
        </w:rPr>
        <w:t> </w:t>
      </w:r>
      <w:r>
        <w:rPr>
          <w:color w:val="231F20"/>
          <w:spacing w:val="-4"/>
        </w:rPr>
        <w:t>pouvoirs,</w:t>
      </w:r>
      <w:r>
        <w:rPr>
          <w:color w:val="231F20"/>
          <w:spacing w:val="-8"/>
        </w:rPr>
        <w:t> </w:t>
      </w:r>
      <w:r>
        <w:rPr>
          <w:color w:val="231F20"/>
          <w:spacing w:val="-4"/>
        </w:rPr>
        <w:t>toutes </w:t>
      </w:r>
      <w:r>
        <w:rPr>
          <w:color w:val="231F20"/>
          <w:spacing w:val="-2"/>
        </w:rPr>
        <w:t>les</w:t>
      </w:r>
      <w:r>
        <w:rPr>
          <w:color w:val="231F20"/>
          <w:spacing w:val="-5"/>
        </w:rPr>
        <w:t> </w:t>
      </w:r>
      <w:r>
        <w:rPr>
          <w:color w:val="231F20"/>
          <w:spacing w:val="-2"/>
        </w:rPr>
        <w:t>ressources</w:t>
      </w:r>
      <w:r>
        <w:rPr>
          <w:color w:val="231F20"/>
          <w:spacing w:val="-7"/>
        </w:rPr>
        <w:t> </w:t>
      </w:r>
      <w:r>
        <w:rPr>
          <w:color w:val="231F20"/>
          <w:spacing w:val="-2"/>
        </w:rPr>
        <w:t>nécessaires,</w:t>
      </w:r>
      <w:r>
        <w:rPr>
          <w:color w:val="231F20"/>
          <w:spacing w:val="-5"/>
        </w:rPr>
        <w:t> </w:t>
      </w:r>
      <w:r>
        <w:rPr>
          <w:color w:val="231F20"/>
          <w:spacing w:val="-2"/>
        </w:rPr>
        <w:t>une</w:t>
      </w:r>
      <w:r>
        <w:rPr>
          <w:color w:val="231F20"/>
          <w:spacing w:val="-5"/>
        </w:rPr>
        <w:t> </w:t>
      </w:r>
      <w:r>
        <w:rPr>
          <w:color w:val="231F20"/>
          <w:spacing w:val="-2"/>
        </w:rPr>
        <w:t>autorité</w:t>
      </w:r>
      <w:r>
        <w:rPr>
          <w:color w:val="231F20"/>
          <w:spacing w:val="-8"/>
        </w:rPr>
        <w:t> </w:t>
      </w:r>
      <w:r>
        <w:rPr>
          <w:color w:val="231F20"/>
          <w:spacing w:val="-2"/>
        </w:rPr>
        <w:t>totale</w:t>
      </w:r>
      <w:r>
        <w:rPr>
          <w:color w:val="231F20"/>
          <w:spacing w:val="-5"/>
        </w:rPr>
        <w:t> </w:t>
      </w:r>
      <w:r>
        <w:rPr>
          <w:color w:val="231F20"/>
          <w:spacing w:val="-2"/>
        </w:rPr>
        <w:t>et</w:t>
      </w:r>
      <w:r>
        <w:rPr>
          <w:color w:val="231F20"/>
          <w:spacing w:val="-5"/>
        </w:rPr>
        <w:t> </w:t>
      </w:r>
      <w:r>
        <w:rPr>
          <w:color w:val="231F20"/>
          <w:spacing w:val="-2"/>
        </w:rPr>
        <w:t>sans</w:t>
      </w:r>
      <w:r>
        <w:rPr>
          <w:color w:val="231F20"/>
          <w:spacing w:val="-5"/>
        </w:rPr>
        <w:t> </w:t>
      </w:r>
      <w:r>
        <w:rPr>
          <w:color w:val="231F20"/>
          <w:spacing w:val="-2"/>
        </w:rPr>
        <w:t>entraves,</w:t>
      </w:r>
      <w:r>
        <w:rPr>
          <w:color w:val="231F20"/>
          <w:spacing w:val="-4"/>
        </w:rPr>
        <w:t> </w:t>
      </w:r>
      <w:r>
        <w:rPr>
          <w:color w:val="231F20"/>
          <w:spacing w:val="-2"/>
        </w:rPr>
        <w:t>y</w:t>
      </w:r>
      <w:r>
        <w:rPr>
          <w:color w:val="231F20"/>
          <w:spacing w:val="-7"/>
        </w:rPr>
        <w:t> </w:t>
      </w:r>
      <w:r>
        <w:rPr>
          <w:color w:val="231F20"/>
          <w:spacing w:val="-2"/>
        </w:rPr>
        <w:t>compris </w:t>
      </w:r>
      <w:r>
        <w:rPr>
          <w:color w:val="231F20"/>
          <w:spacing w:val="-4"/>
        </w:rPr>
        <w:t>sur</w:t>
      </w:r>
      <w:r>
        <w:rPr>
          <w:color w:val="231F20"/>
          <w:spacing w:val="-11"/>
        </w:rPr>
        <w:t> </w:t>
      </w:r>
      <w:r>
        <w:rPr>
          <w:color w:val="231F20"/>
          <w:spacing w:val="-4"/>
        </w:rPr>
        <w:t>les</w:t>
      </w:r>
      <w:r>
        <w:rPr>
          <w:color w:val="231F20"/>
          <w:spacing w:val="-11"/>
        </w:rPr>
        <w:t> </w:t>
      </w:r>
      <w:r>
        <w:rPr>
          <w:color w:val="231F20"/>
          <w:spacing w:val="-4"/>
        </w:rPr>
        <w:t>forces</w:t>
      </w:r>
      <w:r>
        <w:rPr>
          <w:color w:val="231F20"/>
          <w:spacing w:val="-11"/>
        </w:rPr>
        <w:t> </w:t>
      </w:r>
      <w:r>
        <w:rPr>
          <w:color w:val="231F20"/>
          <w:spacing w:val="-4"/>
        </w:rPr>
        <w:t>de</w:t>
      </w:r>
      <w:r>
        <w:rPr>
          <w:color w:val="231F20"/>
          <w:spacing w:val="-11"/>
        </w:rPr>
        <w:t> </w:t>
      </w:r>
      <w:r>
        <w:rPr>
          <w:color w:val="231F20"/>
          <w:spacing w:val="-4"/>
        </w:rPr>
        <w:t>l’ordre.</w:t>
      </w:r>
      <w:r>
        <w:rPr>
          <w:color w:val="231F20"/>
          <w:spacing w:val="-11"/>
        </w:rPr>
        <w:t> </w:t>
      </w:r>
      <w:r>
        <w:rPr>
          <w:color w:val="231F20"/>
          <w:spacing w:val="-4"/>
        </w:rPr>
        <w:t>Il</w:t>
      </w:r>
      <w:r>
        <w:rPr>
          <w:color w:val="231F20"/>
          <w:spacing w:val="-11"/>
        </w:rPr>
        <w:t> </w:t>
      </w:r>
      <w:r>
        <w:rPr>
          <w:color w:val="231F20"/>
          <w:spacing w:val="-4"/>
        </w:rPr>
        <w:t>pourra</w:t>
      </w:r>
      <w:r>
        <w:rPr>
          <w:color w:val="231F20"/>
          <w:spacing w:val="-11"/>
        </w:rPr>
        <w:t> </w:t>
      </w:r>
      <w:r>
        <w:rPr>
          <w:color w:val="231F20"/>
          <w:spacing w:val="-4"/>
        </w:rPr>
        <w:t>gouverner</w:t>
      </w:r>
      <w:r>
        <w:rPr>
          <w:color w:val="231F20"/>
          <w:spacing w:val="-11"/>
        </w:rPr>
        <w:t> </w:t>
      </w:r>
      <w:r>
        <w:rPr>
          <w:color w:val="231F20"/>
          <w:spacing w:val="-4"/>
        </w:rPr>
        <w:t>par</w:t>
      </w:r>
      <w:r>
        <w:rPr>
          <w:color w:val="231F20"/>
          <w:spacing w:val="-11"/>
        </w:rPr>
        <w:t> </w:t>
      </w:r>
      <w:r>
        <w:rPr>
          <w:color w:val="231F20"/>
          <w:spacing w:val="-4"/>
        </w:rPr>
        <w:t>ordonnance</w:t>
      </w:r>
      <w:r>
        <w:rPr>
          <w:color w:val="231F20"/>
          <w:spacing w:val="-11"/>
        </w:rPr>
        <w:t> </w:t>
      </w:r>
      <w:r>
        <w:rPr>
          <w:color w:val="231F20"/>
          <w:spacing w:val="-4"/>
        </w:rPr>
        <w:t>ou</w:t>
      </w:r>
      <w:r>
        <w:rPr>
          <w:color w:val="231F20"/>
          <w:spacing w:val="-11"/>
        </w:rPr>
        <w:t> </w:t>
      </w:r>
      <w:r>
        <w:rPr>
          <w:color w:val="231F20"/>
          <w:spacing w:val="-4"/>
        </w:rPr>
        <w:t>par</w:t>
      </w:r>
      <w:r>
        <w:rPr>
          <w:color w:val="231F20"/>
          <w:spacing w:val="-11"/>
        </w:rPr>
        <w:t> </w:t>
      </w:r>
      <w:r>
        <w:rPr>
          <w:color w:val="231F20"/>
          <w:spacing w:val="-4"/>
        </w:rPr>
        <w:t>décret- </w:t>
      </w:r>
      <w:r>
        <w:rPr>
          <w:color w:val="231F20"/>
        </w:rPr>
        <w:t>loi,</w:t>
      </w:r>
      <w:r>
        <w:rPr>
          <w:color w:val="231F20"/>
          <w:spacing w:val="-14"/>
        </w:rPr>
        <w:t> </w:t>
      </w:r>
      <w:r>
        <w:rPr>
          <w:color w:val="231F20"/>
        </w:rPr>
        <w:t>sur</w:t>
      </w:r>
      <w:r>
        <w:rPr>
          <w:color w:val="231F20"/>
          <w:spacing w:val="-14"/>
        </w:rPr>
        <w:t> </w:t>
      </w:r>
      <w:r>
        <w:rPr>
          <w:color w:val="231F20"/>
        </w:rPr>
        <w:t>n’importe</w:t>
      </w:r>
      <w:r>
        <w:rPr>
          <w:color w:val="231F20"/>
          <w:spacing w:val="-12"/>
        </w:rPr>
        <w:t> </w:t>
      </w:r>
      <w:r>
        <w:rPr>
          <w:color w:val="231F20"/>
        </w:rPr>
        <w:t>quel</w:t>
      </w:r>
      <w:r>
        <w:rPr>
          <w:color w:val="231F20"/>
          <w:spacing w:val="-14"/>
        </w:rPr>
        <w:t> </w:t>
      </w:r>
      <w:r>
        <w:rPr>
          <w:color w:val="231F20"/>
        </w:rPr>
        <w:t>sujet,</w:t>
      </w:r>
      <w:r>
        <w:rPr>
          <w:color w:val="231F20"/>
          <w:spacing w:val="-12"/>
        </w:rPr>
        <w:t> </w:t>
      </w:r>
      <w:r>
        <w:rPr>
          <w:color w:val="231F20"/>
        </w:rPr>
        <w:t>et</w:t>
      </w:r>
      <w:r>
        <w:rPr>
          <w:color w:val="231F20"/>
          <w:spacing w:val="-13"/>
        </w:rPr>
        <w:t> </w:t>
      </w:r>
      <w:r>
        <w:rPr>
          <w:color w:val="231F20"/>
        </w:rPr>
        <w:t>aucun</w:t>
      </w:r>
      <w:r>
        <w:rPr>
          <w:color w:val="231F20"/>
          <w:spacing w:val="-14"/>
        </w:rPr>
        <w:t> </w:t>
      </w:r>
      <w:r>
        <w:rPr>
          <w:color w:val="231F20"/>
        </w:rPr>
        <w:t>texte</w:t>
      </w:r>
      <w:r>
        <w:rPr>
          <w:color w:val="231F20"/>
          <w:spacing w:val="-12"/>
        </w:rPr>
        <w:t> </w:t>
      </w:r>
      <w:r>
        <w:rPr>
          <w:color w:val="231F20"/>
        </w:rPr>
        <w:t>de</w:t>
      </w:r>
      <w:r>
        <w:rPr>
          <w:color w:val="231F20"/>
          <w:spacing w:val="-14"/>
        </w:rPr>
        <w:t> </w:t>
      </w:r>
      <w:r>
        <w:rPr>
          <w:color w:val="231F20"/>
        </w:rPr>
        <w:t>loi</w:t>
      </w:r>
      <w:r>
        <w:rPr>
          <w:color w:val="231F20"/>
          <w:spacing w:val="-12"/>
        </w:rPr>
        <w:t> </w:t>
      </w:r>
      <w:r>
        <w:rPr>
          <w:color w:val="231F20"/>
        </w:rPr>
        <w:t>ne</w:t>
      </w:r>
      <w:r>
        <w:rPr>
          <w:color w:val="231F20"/>
          <w:spacing w:val="-12"/>
        </w:rPr>
        <w:t> </w:t>
      </w:r>
      <w:r>
        <w:rPr>
          <w:color w:val="231F20"/>
        </w:rPr>
        <w:t>pourra</w:t>
      </w:r>
      <w:r>
        <w:rPr>
          <w:color w:val="231F20"/>
          <w:spacing w:val="-12"/>
        </w:rPr>
        <w:t> </w:t>
      </w:r>
      <w:r>
        <w:rPr>
          <w:color w:val="231F20"/>
        </w:rPr>
        <w:t>être</w:t>
      </w:r>
      <w:r>
        <w:rPr>
          <w:color w:val="231F20"/>
          <w:spacing w:val="-15"/>
        </w:rPr>
        <w:t> </w:t>
      </w:r>
      <w:r>
        <w:rPr>
          <w:color w:val="231F20"/>
        </w:rPr>
        <w:t>invoqué pour</w:t>
      </w:r>
      <w:r>
        <w:rPr>
          <w:color w:val="231F20"/>
          <w:spacing w:val="-2"/>
        </w:rPr>
        <w:t> </w:t>
      </w:r>
      <w:r>
        <w:rPr>
          <w:color w:val="231F20"/>
        </w:rPr>
        <w:t>s’opposer</w:t>
      </w:r>
      <w:r>
        <w:rPr>
          <w:color w:val="231F20"/>
          <w:spacing w:val="-2"/>
        </w:rPr>
        <w:t> </w:t>
      </w:r>
      <w:r>
        <w:rPr>
          <w:color w:val="231F20"/>
        </w:rPr>
        <w:t>à</w:t>
      </w:r>
      <w:r>
        <w:rPr>
          <w:color w:val="231F20"/>
          <w:spacing w:val="-2"/>
        </w:rPr>
        <w:t> </w:t>
      </w:r>
      <w:r>
        <w:rPr>
          <w:color w:val="231F20"/>
        </w:rPr>
        <w:t>ses</w:t>
      </w:r>
      <w:r>
        <w:rPr>
          <w:color w:val="231F20"/>
          <w:spacing w:val="-2"/>
        </w:rPr>
        <w:t> </w:t>
      </w:r>
      <w:r>
        <w:rPr>
          <w:color w:val="231F20"/>
        </w:rPr>
        <w:t>décisions.</w:t>
      </w:r>
      <w:r>
        <w:rPr>
          <w:color w:val="231F20"/>
          <w:spacing w:val="-2"/>
        </w:rPr>
        <w:t> </w:t>
      </w:r>
      <w:r>
        <w:rPr>
          <w:color w:val="231F20"/>
        </w:rPr>
        <w:t>La</w:t>
      </w:r>
      <w:r>
        <w:rPr>
          <w:color w:val="231F20"/>
          <w:spacing w:val="-2"/>
        </w:rPr>
        <w:t> </w:t>
      </w:r>
      <w:r>
        <w:rPr>
          <w:color w:val="231F20"/>
        </w:rPr>
        <w:t>proposition française est</w:t>
      </w:r>
      <w:r>
        <w:rPr>
          <w:color w:val="231F20"/>
          <w:spacing w:val="-1"/>
        </w:rPr>
        <w:t> </w:t>
      </w:r>
      <w:r>
        <w:rPr>
          <w:color w:val="231F20"/>
        </w:rPr>
        <w:t>néanmoins </w:t>
      </w:r>
      <w:r>
        <w:rPr>
          <w:color w:val="231F20"/>
          <w:spacing w:val="-4"/>
        </w:rPr>
        <w:t>rejetée</w:t>
      </w:r>
      <w:r>
        <w:rPr>
          <w:color w:val="231F20"/>
          <w:spacing w:val="-6"/>
        </w:rPr>
        <w:t> </w:t>
      </w:r>
      <w:r>
        <w:rPr>
          <w:color w:val="231F20"/>
          <w:spacing w:val="-4"/>
        </w:rPr>
        <w:t>par</w:t>
      </w:r>
      <w:r>
        <w:rPr>
          <w:color w:val="231F20"/>
          <w:spacing w:val="-6"/>
        </w:rPr>
        <w:t> </w:t>
      </w:r>
      <w:r>
        <w:rPr>
          <w:color w:val="231F20"/>
          <w:spacing w:val="-4"/>
        </w:rPr>
        <w:t>deux</w:t>
      </w:r>
      <w:r>
        <w:rPr>
          <w:color w:val="231F20"/>
          <w:spacing w:val="-5"/>
        </w:rPr>
        <w:t> </w:t>
      </w:r>
      <w:r>
        <w:rPr>
          <w:color w:val="231F20"/>
          <w:spacing w:val="-4"/>
        </w:rPr>
        <w:t>des</w:t>
      </w:r>
      <w:r>
        <w:rPr>
          <w:color w:val="231F20"/>
          <w:spacing w:val="-10"/>
        </w:rPr>
        <w:t> </w:t>
      </w:r>
      <w:r>
        <w:rPr>
          <w:color w:val="231F20"/>
          <w:spacing w:val="-4"/>
        </w:rPr>
        <w:t>membres</w:t>
      </w:r>
      <w:r>
        <w:rPr>
          <w:color w:val="231F20"/>
          <w:spacing w:val="-6"/>
        </w:rPr>
        <w:t> </w:t>
      </w:r>
      <w:r>
        <w:rPr>
          <w:color w:val="231F20"/>
          <w:spacing w:val="-4"/>
        </w:rPr>
        <w:t>permanents,</w:t>
      </w:r>
      <w:r>
        <w:rPr>
          <w:color w:val="231F20"/>
          <w:spacing w:val="-6"/>
        </w:rPr>
        <w:t> </w:t>
      </w:r>
      <w:r>
        <w:rPr>
          <w:color w:val="231F20"/>
          <w:spacing w:val="-4"/>
        </w:rPr>
        <w:t>la</w:t>
      </w:r>
      <w:r>
        <w:rPr>
          <w:color w:val="231F20"/>
          <w:spacing w:val="-9"/>
        </w:rPr>
        <w:t> </w:t>
      </w:r>
      <w:r>
        <w:rPr>
          <w:color w:val="231F20"/>
          <w:spacing w:val="-4"/>
        </w:rPr>
        <w:t>Chine</w:t>
      </w:r>
      <w:r>
        <w:rPr>
          <w:color w:val="231F20"/>
          <w:spacing w:val="-9"/>
        </w:rPr>
        <w:t> </w:t>
      </w:r>
      <w:r>
        <w:rPr>
          <w:color w:val="231F20"/>
          <w:spacing w:val="-4"/>
        </w:rPr>
        <w:t>et</w:t>
      </w:r>
      <w:r>
        <w:rPr>
          <w:color w:val="231F20"/>
          <w:spacing w:val="-5"/>
        </w:rPr>
        <w:t> </w:t>
      </w:r>
      <w:r>
        <w:rPr>
          <w:color w:val="231F20"/>
          <w:spacing w:val="-4"/>
        </w:rPr>
        <w:t>la</w:t>
      </w:r>
      <w:r>
        <w:rPr>
          <w:color w:val="231F20"/>
          <w:spacing w:val="-6"/>
        </w:rPr>
        <w:t> </w:t>
      </w:r>
      <w:r>
        <w:rPr>
          <w:color w:val="231F20"/>
          <w:spacing w:val="-4"/>
        </w:rPr>
        <w:t>Russie</w:t>
      </w:r>
      <w:r>
        <w:rPr>
          <w:color w:val="231F20"/>
          <w:spacing w:val="-10"/>
        </w:rPr>
        <w:t> </w:t>
      </w:r>
      <w:r>
        <w:rPr>
          <w:color w:val="231F20"/>
          <w:spacing w:val="-4"/>
        </w:rPr>
        <w:t>suivis</w:t>
      </w:r>
      <w:r>
        <w:rPr>
          <w:color w:val="231F20"/>
          <w:spacing w:val="-5"/>
        </w:rPr>
        <w:t> </w:t>
      </w:r>
      <w:r>
        <w:rPr>
          <w:color w:val="231F20"/>
          <w:spacing w:val="-4"/>
        </w:rPr>
        <w:t>par </w:t>
      </w:r>
      <w:r>
        <w:rPr>
          <w:color w:val="231F20"/>
        </w:rPr>
        <w:t>la</w:t>
      </w:r>
      <w:r>
        <w:rPr>
          <w:color w:val="231F20"/>
          <w:spacing w:val="-7"/>
        </w:rPr>
        <w:t> </w:t>
      </w:r>
      <w:r>
        <w:rPr>
          <w:color w:val="231F20"/>
        </w:rPr>
        <w:t>Tanzanie</w:t>
      </w:r>
      <w:r>
        <w:rPr>
          <w:color w:val="231F20"/>
          <w:spacing w:val="-7"/>
        </w:rPr>
        <w:t> </w:t>
      </w:r>
      <w:r>
        <w:rPr>
          <w:color w:val="231F20"/>
        </w:rPr>
        <w:t>qui</w:t>
      </w:r>
      <w:r>
        <w:rPr>
          <w:color w:val="231F20"/>
          <w:spacing w:val="-7"/>
        </w:rPr>
        <w:t> </w:t>
      </w:r>
      <w:r>
        <w:rPr>
          <w:color w:val="231F20"/>
        </w:rPr>
        <w:t>redoutent</w:t>
      </w:r>
      <w:r>
        <w:rPr>
          <w:color w:val="231F20"/>
          <w:spacing w:val="-8"/>
        </w:rPr>
        <w:t> </w:t>
      </w:r>
      <w:r>
        <w:rPr>
          <w:color w:val="231F20"/>
        </w:rPr>
        <w:t>qu’on</w:t>
      </w:r>
      <w:r>
        <w:rPr>
          <w:color w:val="231F20"/>
          <w:spacing w:val="-7"/>
        </w:rPr>
        <w:t> </w:t>
      </w:r>
      <w:r>
        <w:rPr>
          <w:color w:val="231F20"/>
        </w:rPr>
        <w:t>empiète</w:t>
      </w:r>
      <w:r>
        <w:rPr>
          <w:color w:val="231F20"/>
          <w:spacing w:val="-9"/>
        </w:rPr>
        <w:t> </w:t>
      </w:r>
      <w:r>
        <w:rPr>
          <w:color w:val="231F20"/>
        </w:rPr>
        <w:t>sur</w:t>
      </w:r>
      <w:r>
        <w:rPr>
          <w:color w:val="231F20"/>
          <w:spacing w:val="-7"/>
        </w:rPr>
        <w:t> </w:t>
      </w:r>
      <w:r>
        <w:rPr>
          <w:color w:val="231F20"/>
        </w:rPr>
        <w:t>la</w:t>
      </w:r>
      <w:r>
        <w:rPr>
          <w:color w:val="231F20"/>
          <w:spacing w:val="-7"/>
        </w:rPr>
        <w:t> </w:t>
      </w:r>
      <w:r>
        <w:rPr>
          <w:color w:val="231F20"/>
        </w:rPr>
        <w:t>souveraineté</w:t>
      </w:r>
      <w:r>
        <w:rPr>
          <w:color w:val="231F20"/>
          <w:spacing w:val="-7"/>
        </w:rPr>
        <w:t> </w:t>
      </w:r>
      <w:r>
        <w:rPr>
          <w:color w:val="231F20"/>
        </w:rPr>
        <w:t>ivoirienne. Paris</w:t>
      </w:r>
      <w:r>
        <w:rPr>
          <w:color w:val="231F20"/>
          <w:spacing w:val="-14"/>
        </w:rPr>
        <w:t> </w:t>
      </w:r>
      <w:r>
        <w:rPr>
          <w:color w:val="231F20"/>
        </w:rPr>
        <w:t>revoit</w:t>
      </w:r>
      <w:r>
        <w:rPr>
          <w:color w:val="231F20"/>
          <w:spacing w:val="-9"/>
        </w:rPr>
        <w:t> </w:t>
      </w:r>
      <w:r>
        <w:rPr>
          <w:color w:val="231F20"/>
        </w:rPr>
        <w:t>sa</w:t>
      </w:r>
      <w:r>
        <w:rPr>
          <w:color w:val="231F20"/>
          <w:spacing w:val="-8"/>
        </w:rPr>
        <w:t> </w:t>
      </w:r>
      <w:r>
        <w:rPr>
          <w:color w:val="231F20"/>
        </w:rPr>
        <w:t>copie</w:t>
      </w:r>
      <w:r>
        <w:rPr>
          <w:color w:val="231F20"/>
          <w:spacing w:val="-15"/>
        </w:rPr>
        <w:t> </w:t>
      </w:r>
      <w:r>
        <w:rPr>
          <w:color w:val="231F20"/>
        </w:rPr>
        <w:t>:</w:t>
      </w:r>
      <w:r>
        <w:rPr>
          <w:color w:val="231F20"/>
          <w:spacing w:val="-7"/>
        </w:rPr>
        <w:t> </w:t>
      </w:r>
      <w:r>
        <w:rPr>
          <w:color w:val="231F20"/>
        </w:rPr>
        <w:t>la</w:t>
      </w:r>
      <w:r>
        <w:rPr>
          <w:color w:val="231F20"/>
          <w:spacing w:val="-10"/>
        </w:rPr>
        <w:t> </w:t>
      </w:r>
      <w:r>
        <w:rPr>
          <w:color w:val="231F20"/>
        </w:rPr>
        <w:t>résolution</w:t>
      </w:r>
      <w:r>
        <w:rPr>
          <w:color w:val="231F20"/>
          <w:spacing w:val="-8"/>
        </w:rPr>
        <w:t> </w:t>
      </w:r>
      <w:r>
        <w:rPr>
          <w:color w:val="231F20"/>
        </w:rPr>
        <w:t>ne</w:t>
      </w:r>
      <w:r>
        <w:rPr>
          <w:color w:val="231F20"/>
          <w:spacing w:val="-10"/>
        </w:rPr>
        <w:t> </w:t>
      </w:r>
      <w:r>
        <w:rPr>
          <w:color w:val="231F20"/>
        </w:rPr>
        <w:t>donne</w:t>
      </w:r>
      <w:r>
        <w:rPr>
          <w:color w:val="231F20"/>
          <w:spacing w:val="-8"/>
        </w:rPr>
        <w:t> </w:t>
      </w:r>
      <w:r>
        <w:rPr>
          <w:color w:val="231F20"/>
        </w:rPr>
        <w:t>plus</w:t>
      </w:r>
      <w:r>
        <w:rPr>
          <w:color w:val="231F20"/>
          <w:spacing w:val="-9"/>
        </w:rPr>
        <w:t> </w:t>
      </w:r>
      <w:r>
        <w:rPr>
          <w:color w:val="231F20"/>
        </w:rPr>
        <w:t>au</w:t>
      </w:r>
      <w:r>
        <w:rPr>
          <w:color w:val="231F20"/>
          <w:spacing w:val="-8"/>
        </w:rPr>
        <w:t> </w:t>
      </w:r>
      <w:r>
        <w:rPr>
          <w:color w:val="231F20"/>
        </w:rPr>
        <w:t>Premier</w:t>
      </w:r>
      <w:r>
        <w:rPr>
          <w:color w:val="231F20"/>
          <w:spacing w:val="-9"/>
        </w:rPr>
        <w:t> </w:t>
      </w:r>
      <w:r>
        <w:rPr>
          <w:color w:val="231F20"/>
        </w:rPr>
        <w:t>ministre</w:t>
      </w:r>
      <w:r>
        <w:rPr>
          <w:color w:val="231F20"/>
          <w:spacing w:val="-15"/>
        </w:rPr>
        <w:t> </w:t>
      </w:r>
      <w:r>
        <w:rPr>
          <w:color w:val="231F20"/>
        </w:rPr>
        <w:t>le pouvoir</w:t>
      </w:r>
      <w:r>
        <w:rPr>
          <w:color w:val="231F20"/>
          <w:spacing w:val="-1"/>
        </w:rPr>
        <w:t> </w:t>
      </w:r>
      <w:r>
        <w:rPr>
          <w:color w:val="231F20"/>
        </w:rPr>
        <w:t>de</w:t>
      </w:r>
      <w:r>
        <w:rPr>
          <w:color w:val="231F20"/>
          <w:spacing w:val="-1"/>
        </w:rPr>
        <w:t> </w:t>
      </w:r>
      <w:r>
        <w:rPr>
          <w:color w:val="231F20"/>
        </w:rPr>
        <w:t>nommer</w:t>
      </w:r>
      <w:r>
        <w:rPr>
          <w:color w:val="231F20"/>
          <w:spacing w:val="-1"/>
        </w:rPr>
        <w:t> </w:t>
      </w:r>
      <w:r>
        <w:rPr>
          <w:color w:val="231F20"/>
        </w:rPr>
        <w:t>aux</w:t>
      </w:r>
      <w:r>
        <w:rPr>
          <w:color w:val="231F20"/>
          <w:spacing w:val="-1"/>
        </w:rPr>
        <w:t> </w:t>
      </w:r>
      <w:r>
        <w:rPr>
          <w:color w:val="231F20"/>
        </w:rPr>
        <w:t>emplois</w:t>
      </w:r>
      <w:r>
        <w:rPr>
          <w:color w:val="231F20"/>
          <w:spacing w:val="-1"/>
        </w:rPr>
        <w:t> </w:t>
      </w:r>
      <w:r>
        <w:rPr>
          <w:color w:val="231F20"/>
        </w:rPr>
        <w:t>civils</w:t>
      </w:r>
      <w:r>
        <w:rPr>
          <w:color w:val="231F20"/>
          <w:spacing w:val="-5"/>
        </w:rPr>
        <w:t> </w:t>
      </w:r>
      <w:r>
        <w:rPr>
          <w:color w:val="231F20"/>
        </w:rPr>
        <w:t>et</w:t>
      </w:r>
      <w:r>
        <w:rPr>
          <w:color w:val="231F20"/>
          <w:spacing w:val="-5"/>
        </w:rPr>
        <w:t> </w:t>
      </w:r>
      <w:r>
        <w:rPr>
          <w:color w:val="231F20"/>
        </w:rPr>
        <w:t>militaires.</w:t>
      </w:r>
    </w:p>
    <w:p>
      <w:pPr>
        <w:pStyle w:val="BodyText"/>
        <w:ind w:left="0"/>
        <w:jc w:val="left"/>
        <w:rPr>
          <w:sz w:val="20"/>
        </w:rPr>
      </w:pPr>
    </w:p>
    <w:p>
      <w:pPr>
        <w:pStyle w:val="BodyText"/>
        <w:ind w:left="0"/>
        <w:jc w:val="left"/>
        <w:rPr>
          <w:sz w:val="20"/>
        </w:rPr>
      </w:pPr>
    </w:p>
    <w:p>
      <w:pPr>
        <w:pStyle w:val="BodyText"/>
        <w:spacing w:before="49"/>
        <w:ind w:left="0"/>
        <w:jc w:val="left"/>
        <w:rPr>
          <w:sz w:val="20"/>
        </w:rPr>
      </w:pPr>
      <w:r>
        <w:rPr/>
        <mc:AlternateContent>
          <mc:Choice Requires="wps">
            <w:drawing>
              <wp:anchor distT="0" distB="0" distL="0" distR="0" allowOverlap="1" layoutInCell="1" locked="0" behindDoc="1" simplePos="0" relativeHeight="487649792">
                <wp:simplePos x="0" y="0"/>
                <wp:positionH relativeFrom="page">
                  <wp:posOffset>629907</wp:posOffset>
                </wp:positionH>
                <wp:positionV relativeFrom="paragraph">
                  <wp:posOffset>192416</wp:posOffset>
                </wp:positionV>
                <wp:extent cx="1829435" cy="9525"/>
                <wp:effectExtent l="0" t="0" r="0" b="0"/>
                <wp:wrapTopAndBottom/>
                <wp:docPr id="150" name="Graphic 150"/>
                <wp:cNvGraphicFramePr>
                  <a:graphicFrameLocks/>
                </wp:cNvGraphicFramePr>
                <a:graphic>
                  <a:graphicData uri="http://schemas.microsoft.com/office/word/2010/wordprocessingShape">
                    <wps:wsp>
                      <wps:cNvPr id="150" name="Graphic 15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150937pt;width:144.020pt;height:.72pt;mso-position-horizontal-relative:page;mso-position-vertical-relative:paragraph;z-index:-15666688;mso-wrap-distance-left:0;mso-wrap-distance-right:0" id="docshape148" filled="true" fillcolor="#231f20" stroked="false">
                <v:fill type="solid"/>
                <w10:wrap type="topAndBottom"/>
              </v:rect>
            </w:pict>
          </mc:Fallback>
        </mc:AlternateContent>
      </w:r>
    </w:p>
    <w:p>
      <w:pPr>
        <w:spacing w:before="94"/>
        <w:ind w:left="111" w:right="106" w:firstLine="0"/>
        <w:jc w:val="both"/>
        <w:rPr>
          <w:sz w:val="20"/>
        </w:rPr>
      </w:pPr>
      <w:r>
        <w:rPr>
          <w:color w:val="76787A"/>
          <w:spacing w:val="-4"/>
          <w:sz w:val="20"/>
          <w:vertAlign w:val="superscript"/>
        </w:rPr>
        <w:t>202</w:t>
      </w:r>
      <w:r>
        <w:rPr>
          <w:color w:val="76787A"/>
          <w:spacing w:val="-9"/>
          <w:sz w:val="20"/>
          <w:vertAlign w:val="baseline"/>
        </w:rPr>
        <w:t> </w:t>
      </w:r>
      <w:r>
        <w:rPr>
          <w:color w:val="231F20"/>
          <w:spacing w:val="-4"/>
          <w:sz w:val="20"/>
          <w:vertAlign w:val="baseline"/>
        </w:rPr>
        <w:t>Charles</w:t>
      </w:r>
      <w:r>
        <w:rPr>
          <w:color w:val="231F20"/>
          <w:spacing w:val="-8"/>
          <w:sz w:val="20"/>
          <w:vertAlign w:val="baseline"/>
        </w:rPr>
        <w:t> </w:t>
      </w:r>
      <w:r>
        <w:rPr>
          <w:color w:val="231F20"/>
          <w:spacing w:val="-4"/>
          <w:sz w:val="20"/>
          <w:vertAlign w:val="baseline"/>
        </w:rPr>
        <w:t>Konan</w:t>
      </w:r>
      <w:r>
        <w:rPr>
          <w:color w:val="231F20"/>
          <w:spacing w:val="-8"/>
          <w:sz w:val="20"/>
          <w:vertAlign w:val="baseline"/>
        </w:rPr>
        <w:t> </w:t>
      </w:r>
      <w:r>
        <w:rPr>
          <w:color w:val="231F20"/>
          <w:spacing w:val="-4"/>
          <w:sz w:val="20"/>
          <w:vertAlign w:val="baseline"/>
        </w:rPr>
        <w:t>Banny avait</w:t>
      </w:r>
      <w:r>
        <w:rPr>
          <w:color w:val="231F20"/>
          <w:spacing w:val="-9"/>
          <w:sz w:val="20"/>
          <w:vertAlign w:val="baseline"/>
        </w:rPr>
        <w:t> </w:t>
      </w:r>
      <w:r>
        <w:rPr>
          <w:color w:val="231F20"/>
          <w:spacing w:val="-4"/>
          <w:sz w:val="20"/>
          <w:vertAlign w:val="baseline"/>
        </w:rPr>
        <w:t>été</w:t>
      </w:r>
      <w:r>
        <w:rPr>
          <w:color w:val="231F20"/>
          <w:spacing w:val="-8"/>
          <w:sz w:val="20"/>
          <w:vertAlign w:val="baseline"/>
        </w:rPr>
        <w:t> </w:t>
      </w:r>
      <w:r>
        <w:rPr>
          <w:color w:val="231F20"/>
          <w:spacing w:val="-4"/>
          <w:sz w:val="20"/>
          <w:vertAlign w:val="baseline"/>
        </w:rPr>
        <w:t>nommé</w:t>
      </w:r>
      <w:r>
        <w:rPr>
          <w:color w:val="231F20"/>
          <w:spacing w:val="-8"/>
          <w:sz w:val="20"/>
          <w:vertAlign w:val="baseline"/>
        </w:rPr>
        <w:t> </w:t>
      </w:r>
      <w:r>
        <w:rPr>
          <w:color w:val="231F20"/>
          <w:spacing w:val="-4"/>
          <w:sz w:val="20"/>
          <w:vertAlign w:val="baseline"/>
        </w:rPr>
        <w:t>Gouverneur</w:t>
      </w:r>
      <w:r>
        <w:rPr>
          <w:color w:val="231F20"/>
          <w:spacing w:val="-8"/>
          <w:sz w:val="20"/>
          <w:vertAlign w:val="baseline"/>
        </w:rPr>
        <w:t> </w:t>
      </w:r>
      <w:r>
        <w:rPr>
          <w:color w:val="231F20"/>
          <w:spacing w:val="-4"/>
          <w:sz w:val="20"/>
          <w:vertAlign w:val="baseline"/>
        </w:rPr>
        <w:t>par</w:t>
      </w:r>
      <w:r>
        <w:rPr>
          <w:color w:val="231F20"/>
          <w:spacing w:val="-8"/>
          <w:sz w:val="20"/>
          <w:vertAlign w:val="baseline"/>
        </w:rPr>
        <w:t> </w:t>
      </w:r>
      <w:r>
        <w:rPr>
          <w:color w:val="231F20"/>
          <w:spacing w:val="-4"/>
          <w:sz w:val="20"/>
          <w:vertAlign w:val="baseline"/>
        </w:rPr>
        <w:t>intérim</w:t>
      </w:r>
      <w:r>
        <w:rPr>
          <w:color w:val="231F20"/>
          <w:spacing w:val="-7"/>
          <w:sz w:val="20"/>
          <w:vertAlign w:val="baseline"/>
        </w:rPr>
        <w:t> </w:t>
      </w:r>
      <w:r>
        <w:rPr>
          <w:color w:val="231F20"/>
          <w:spacing w:val="-4"/>
          <w:sz w:val="20"/>
          <w:vertAlign w:val="baseline"/>
        </w:rPr>
        <w:t>de la</w:t>
      </w:r>
      <w:r>
        <w:rPr>
          <w:color w:val="231F20"/>
          <w:spacing w:val="-5"/>
          <w:sz w:val="20"/>
          <w:vertAlign w:val="baseline"/>
        </w:rPr>
        <w:t> </w:t>
      </w:r>
      <w:r>
        <w:rPr>
          <w:color w:val="231F20"/>
          <w:spacing w:val="-4"/>
          <w:sz w:val="20"/>
          <w:vertAlign w:val="baseline"/>
        </w:rPr>
        <w:t>Banque</w:t>
      </w:r>
      <w:r>
        <w:rPr>
          <w:color w:val="231F20"/>
          <w:spacing w:val="-5"/>
          <w:sz w:val="20"/>
          <w:vertAlign w:val="baseline"/>
        </w:rPr>
        <w:t> </w:t>
      </w:r>
      <w:r>
        <w:rPr>
          <w:color w:val="231F20"/>
          <w:spacing w:val="-4"/>
          <w:sz w:val="20"/>
          <w:vertAlign w:val="baseline"/>
        </w:rPr>
        <w:t>Centrale </w:t>
      </w:r>
      <w:r>
        <w:rPr>
          <w:color w:val="231F20"/>
          <w:spacing w:val="-2"/>
          <w:sz w:val="20"/>
          <w:vertAlign w:val="baseline"/>
        </w:rPr>
        <w:t>des</w:t>
      </w:r>
      <w:r>
        <w:rPr>
          <w:color w:val="231F20"/>
          <w:spacing w:val="-11"/>
          <w:sz w:val="20"/>
          <w:vertAlign w:val="baseline"/>
        </w:rPr>
        <w:t> </w:t>
      </w:r>
      <w:r>
        <w:rPr>
          <w:color w:val="231F20"/>
          <w:spacing w:val="-2"/>
          <w:sz w:val="20"/>
          <w:vertAlign w:val="baseline"/>
        </w:rPr>
        <w:t>États</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l’Afrique</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l’Ouest</w:t>
      </w:r>
      <w:r>
        <w:rPr>
          <w:color w:val="231F20"/>
          <w:spacing w:val="-10"/>
          <w:sz w:val="20"/>
          <w:vertAlign w:val="baseline"/>
        </w:rPr>
        <w:t> </w:t>
      </w:r>
      <w:r>
        <w:rPr>
          <w:color w:val="231F20"/>
          <w:spacing w:val="-2"/>
          <w:sz w:val="20"/>
          <w:vertAlign w:val="baseline"/>
        </w:rPr>
        <w:t>(BCEAO)</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1990</w:t>
      </w:r>
      <w:r>
        <w:rPr>
          <w:color w:val="231F20"/>
          <w:spacing w:val="-11"/>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1993,</w:t>
      </w:r>
      <w:r>
        <w:rPr>
          <w:color w:val="231F20"/>
          <w:spacing w:val="-11"/>
          <w:sz w:val="20"/>
          <w:vertAlign w:val="baseline"/>
        </w:rPr>
        <w:t> </w:t>
      </w:r>
      <w:r>
        <w:rPr>
          <w:color w:val="231F20"/>
          <w:spacing w:val="-2"/>
          <w:sz w:val="20"/>
          <w:vertAlign w:val="baseline"/>
        </w:rPr>
        <w:t>lorsque</w:t>
      </w:r>
      <w:r>
        <w:rPr>
          <w:color w:val="231F20"/>
          <w:spacing w:val="-10"/>
          <w:sz w:val="20"/>
          <w:vertAlign w:val="baseline"/>
        </w:rPr>
        <w:t> </w:t>
      </w:r>
      <w:r>
        <w:rPr>
          <w:color w:val="231F20"/>
          <w:spacing w:val="-2"/>
          <w:sz w:val="20"/>
          <w:vertAlign w:val="baseline"/>
        </w:rPr>
        <w:t>le</w:t>
      </w:r>
      <w:r>
        <w:rPr>
          <w:color w:val="231F20"/>
          <w:spacing w:val="-11"/>
          <w:sz w:val="20"/>
          <w:vertAlign w:val="baseline"/>
        </w:rPr>
        <w:t> </w:t>
      </w:r>
      <w:r>
        <w:rPr>
          <w:color w:val="231F20"/>
          <w:spacing w:val="-2"/>
          <w:sz w:val="20"/>
          <w:vertAlign w:val="baseline"/>
        </w:rPr>
        <w:t>titulaire</w:t>
      </w:r>
      <w:r>
        <w:rPr>
          <w:color w:val="231F20"/>
          <w:spacing w:val="-10"/>
          <w:sz w:val="20"/>
          <w:vertAlign w:val="baseline"/>
        </w:rPr>
        <w:t> </w:t>
      </w:r>
      <w:r>
        <w:rPr>
          <w:color w:val="231F20"/>
          <w:spacing w:val="-2"/>
          <w:sz w:val="20"/>
          <w:vertAlign w:val="baseline"/>
        </w:rPr>
        <w:t>du</w:t>
      </w:r>
      <w:r>
        <w:rPr>
          <w:color w:val="231F20"/>
          <w:spacing w:val="-11"/>
          <w:sz w:val="20"/>
          <w:vertAlign w:val="baseline"/>
        </w:rPr>
        <w:t> </w:t>
      </w:r>
      <w:r>
        <w:rPr>
          <w:color w:val="231F20"/>
          <w:spacing w:val="-2"/>
          <w:sz w:val="20"/>
          <w:vertAlign w:val="baseline"/>
        </w:rPr>
        <w:t>poste, </w:t>
      </w:r>
      <w:r>
        <w:rPr>
          <w:color w:val="231F20"/>
          <w:sz w:val="20"/>
          <w:vertAlign w:val="baseline"/>
        </w:rPr>
        <w:t>Alassane</w:t>
      </w:r>
      <w:r>
        <w:rPr>
          <w:color w:val="231F20"/>
          <w:spacing w:val="-8"/>
          <w:sz w:val="20"/>
          <w:vertAlign w:val="baseline"/>
        </w:rPr>
        <w:t> </w:t>
      </w:r>
      <w:r>
        <w:rPr>
          <w:color w:val="231F20"/>
          <w:sz w:val="20"/>
          <w:vertAlign w:val="baseline"/>
        </w:rPr>
        <w:t>Ouattara,</w:t>
      </w:r>
      <w:r>
        <w:rPr>
          <w:color w:val="231F20"/>
          <w:spacing w:val="-8"/>
          <w:sz w:val="20"/>
          <w:vertAlign w:val="baseline"/>
        </w:rPr>
        <w:t> </w:t>
      </w:r>
      <w:r>
        <w:rPr>
          <w:color w:val="231F20"/>
          <w:sz w:val="20"/>
          <w:vertAlign w:val="baseline"/>
        </w:rPr>
        <w:t>assumait</w:t>
      </w:r>
      <w:r>
        <w:rPr>
          <w:color w:val="231F20"/>
          <w:spacing w:val="-8"/>
          <w:sz w:val="20"/>
          <w:vertAlign w:val="baseline"/>
        </w:rPr>
        <w:t> </w:t>
      </w:r>
      <w:r>
        <w:rPr>
          <w:color w:val="231F20"/>
          <w:sz w:val="20"/>
          <w:vertAlign w:val="baseline"/>
        </w:rPr>
        <w:t>les</w:t>
      </w:r>
      <w:r>
        <w:rPr>
          <w:color w:val="231F20"/>
          <w:spacing w:val="-7"/>
          <w:sz w:val="20"/>
          <w:vertAlign w:val="baseline"/>
        </w:rPr>
        <w:t> </w:t>
      </w:r>
      <w:r>
        <w:rPr>
          <w:color w:val="231F20"/>
          <w:sz w:val="20"/>
          <w:vertAlign w:val="baseline"/>
        </w:rPr>
        <w:t>fonctions</w:t>
      </w:r>
      <w:r>
        <w:rPr>
          <w:color w:val="231F20"/>
          <w:spacing w:val="-9"/>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Premier</w:t>
      </w:r>
      <w:r>
        <w:rPr>
          <w:color w:val="231F20"/>
          <w:spacing w:val="-9"/>
          <w:sz w:val="20"/>
          <w:vertAlign w:val="baseline"/>
        </w:rPr>
        <w:t> </w:t>
      </w:r>
      <w:r>
        <w:rPr>
          <w:color w:val="231F20"/>
          <w:sz w:val="20"/>
          <w:vertAlign w:val="baseline"/>
        </w:rPr>
        <w:t>ministre</w:t>
      </w:r>
      <w:r>
        <w:rPr>
          <w:color w:val="231F20"/>
          <w:spacing w:val="-6"/>
          <w:sz w:val="20"/>
          <w:vertAlign w:val="baseline"/>
        </w:rPr>
        <w:t> </w:t>
      </w:r>
      <w:r>
        <w:rPr>
          <w:color w:val="231F20"/>
          <w:sz w:val="20"/>
          <w:vertAlign w:val="baseline"/>
        </w:rPr>
        <w:t>Ivoirien</w:t>
      </w:r>
      <w:r>
        <w:rPr>
          <w:color w:val="231F20"/>
          <w:spacing w:val="-7"/>
          <w:sz w:val="20"/>
          <w:vertAlign w:val="baseline"/>
        </w:rPr>
        <w:t> </w:t>
      </w:r>
      <w:r>
        <w:rPr>
          <w:color w:val="231F20"/>
          <w:sz w:val="20"/>
          <w:vertAlign w:val="baseline"/>
        </w:rPr>
        <w:t>sous</w:t>
      </w:r>
      <w:r>
        <w:rPr>
          <w:color w:val="231F20"/>
          <w:spacing w:val="-7"/>
          <w:sz w:val="20"/>
          <w:vertAlign w:val="baseline"/>
        </w:rPr>
        <w:t> </w:t>
      </w:r>
      <w:r>
        <w:rPr>
          <w:color w:val="231F20"/>
          <w:sz w:val="20"/>
          <w:vertAlign w:val="baseline"/>
        </w:rPr>
        <w:t>le</w:t>
      </w:r>
      <w:r>
        <w:rPr>
          <w:color w:val="231F20"/>
          <w:spacing w:val="-9"/>
          <w:sz w:val="20"/>
          <w:vertAlign w:val="baseline"/>
        </w:rPr>
        <w:t> </w:t>
      </w:r>
      <w:r>
        <w:rPr>
          <w:color w:val="231F20"/>
          <w:sz w:val="20"/>
          <w:vertAlign w:val="baseline"/>
        </w:rPr>
        <w:t>dernier mandat</w:t>
      </w:r>
      <w:r>
        <w:rPr>
          <w:color w:val="231F20"/>
          <w:spacing w:val="-13"/>
          <w:sz w:val="20"/>
          <w:vertAlign w:val="baseline"/>
        </w:rPr>
        <w:t> </w:t>
      </w:r>
      <w:r>
        <w:rPr>
          <w:color w:val="231F20"/>
          <w:sz w:val="20"/>
          <w:vertAlign w:val="baseline"/>
        </w:rPr>
        <w:t>du</w:t>
      </w:r>
      <w:r>
        <w:rPr>
          <w:color w:val="231F20"/>
          <w:spacing w:val="-12"/>
          <w:sz w:val="20"/>
          <w:vertAlign w:val="baseline"/>
        </w:rPr>
        <w:t> </w:t>
      </w:r>
      <w:r>
        <w:rPr>
          <w:color w:val="231F20"/>
          <w:sz w:val="20"/>
          <w:vertAlign w:val="baseline"/>
        </w:rPr>
        <w:t>président</w:t>
      </w:r>
      <w:r>
        <w:rPr>
          <w:color w:val="231F20"/>
          <w:spacing w:val="-13"/>
          <w:sz w:val="20"/>
          <w:vertAlign w:val="baseline"/>
        </w:rPr>
        <w:t> </w:t>
      </w:r>
      <w:r>
        <w:rPr>
          <w:color w:val="231F20"/>
          <w:sz w:val="20"/>
          <w:vertAlign w:val="baseline"/>
        </w:rPr>
        <w:t>Félix</w:t>
      </w:r>
      <w:r>
        <w:rPr>
          <w:color w:val="231F20"/>
          <w:spacing w:val="-12"/>
          <w:sz w:val="20"/>
          <w:vertAlign w:val="baseline"/>
        </w:rPr>
        <w:t> </w:t>
      </w:r>
      <w:r>
        <w:rPr>
          <w:color w:val="231F20"/>
          <w:sz w:val="20"/>
          <w:vertAlign w:val="baseline"/>
        </w:rPr>
        <w:t>Houphouët-Boigny.</w:t>
      </w:r>
      <w:r>
        <w:rPr>
          <w:color w:val="231F20"/>
          <w:spacing w:val="-13"/>
          <w:sz w:val="20"/>
          <w:vertAlign w:val="baseline"/>
        </w:rPr>
        <w:t> </w:t>
      </w:r>
      <w:r>
        <w:rPr>
          <w:color w:val="231F20"/>
          <w:sz w:val="20"/>
          <w:vertAlign w:val="baseline"/>
        </w:rPr>
        <w:t>Il</w:t>
      </w:r>
      <w:r>
        <w:rPr>
          <w:color w:val="231F20"/>
          <w:spacing w:val="-12"/>
          <w:sz w:val="20"/>
          <w:vertAlign w:val="baseline"/>
        </w:rPr>
        <w:t> </w:t>
      </w:r>
      <w:r>
        <w:rPr>
          <w:color w:val="231F20"/>
          <w:sz w:val="20"/>
          <w:vertAlign w:val="baseline"/>
        </w:rPr>
        <w:t>devient</w:t>
      </w:r>
      <w:r>
        <w:rPr>
          <w:color w:val="231F20"/>
          <w:spacing w:val="-13"/>
          <w:sz w:val="20"/>
          <w:vertAlign w:val="baseline"/>
        </w:rPr>
        <w:t> </w:t>
      </w:r>
      <w:r>
        <w:rPr>
          <w:color w:val="231F20"/>
          <w:sz w:val="20"/>
          <w:vertAlign w:val="baseline"/>
        </w:rPr>
        <w:t>officiellement</w:t>
      </w:r>
      <w:r>
        <w:rPr>
          <w:color w:val="231F20"/>
          <w:spacing w:val="-12"/>
          <w:sz w:val="20"/>
          <w:vertAlign w:val="baseline"/>
        </w:rPr>
        <w:t> </w:t>
      </w:r>
      <w:r>
        <w:rPr>
          <w:color w:val="231F20"/>
          <w:sz w:val="20"/>
          <w:vertAlign w:val="baseline"/>
        </w:rPr>
        <w:t>gouverneur</w:t>
      </w:r>
      <w:r>
        <w:rPr>
          <w:color w:val="231F20"/>
          <w:spacing w:val="-13"/>
          <w:sz w:val="20"/>
          <w:vertAlign w:val="baseline"/>
        </w:rPr>
        <w:t> </w:t>
      </w:r>
      <w:r>
        <w:rPr>
          <w:color w:val="231F20"/>
          <w:sz w:val="20"/>
          <w:vertAlign w:val="baseline"/>
        </w:rPr>
        <w:t>de l’institution</w:t>
      </w:r>
      <w:r>
        <w:rPr>
          <w:color w:val="231F20"/>
          <w:spacing w:val="-2"/>
          <w:sz w:val="20"/>
          <w:vertAlign w:val="baseline"/>
        </w:rPr>
        <w:t> </w:t>
      </w:r>
      <w:r>
        <w:rPr>
          <w:color w:val="231F20"/>
          <w:sz w:val="20"/>
          <w:vertAlign w:val="baseline"/>
        </w:rPr>
        <w:t>sous-régionale le</w:t>
      </w:r>
      <w:r>
        <w:rPr>
          <w:color w:val="231F20"/>
          <w:spacing w:val="-13"/>
          <w:sz w:val="20"/>
          <w:vertAlign w:val="baseline"/>
        </w:rPr>
        <w:t> </w:t>
      </w:r>
      <w:r>
        <w:rPr>
          <w:color w:val="231F20"/>
          <w:sz w:val="20"/>
          <w:vertAlign w:val="baseline"/>
        </w:rPr>
        <w:t>1</w:t>
      </w:r>
      <w:r>
        <w:rPr>
          <w:color w:val="231F20"/>
          <w:sz w:val="20"/>
          <w:vertAlign w:val="superscript"/>
        </w:rPr>
        <w:t>er</w:t>
      </w:r>
      <w:r>
        <w:rPr>
          <w:color w:val="231F20"/>
          <w:spacing w:val="-12"/>
          <w:sz w:val="20"/>
          <w:vertAlign w:val="baseline"/>
        </w:rPr>
        <w:t> </w:t>
      </w:r>
      <w:r>
        <w:rPr>
          <w:color w:val="231F20"/>
          <w:sz w:val="20"/>
          <w:vertAlign w:val="baseline"/>
        </w:rPr>
        <w:t>janvier</w:t>
      </w:r>
      <w:r>
        <w:rPr>
          <w:color w:val="231F20"/>
          <w:spacing w:val="-13"/>
          <w:sz w:val="20"/>
          <w:vertAlign w:val="baseline"/>
        </w:rPr>
        <w:t> </w:t>
      </w:r>
      <w:r>
        <w:rPr>
          <w:color w:val="231F20"/>
          <w:sz w:val="20"/>
          <w:vertAlign w:val="baseline"/>
        </w:rPr>
        <w:t>1994 jusqu’ au 4 décembre</w:t>
      </w:r>
      <w:r>
        <w:rPr>
          <w:color w:val="231F20"/>
          <w:spacing w:val="-13"/>
          <w:sz w:val="20"/>
          <w:vertAlign w:val="baseline"/>
        </w:rPr>
        <w:t> </w:t>
      </w:r>
      <w:r>
        <w:rPr>
          <w:color w:val="231F20"/>
          <w:sz w:val="20"/>
          <w:vertAlign w:val="baseline"/>
        </w:rPr>
        <w:t>2005 date de sa nomination au poste de Premier Ministre.</w:t>
      </w:r>
    </w:p>
    <w:p>
      <w:pPr>
        <w:spacing w:before="0"/>
        <w:ind w:left="111" w:right="0" w:firstLine="0"/>
        <w:jc w:val="both"/>
        <w:rPr>
          <w:sz w:val="20"/>
        </w:rPr>
      </w:pPr>
      <w:r>
        <w:rPr>
          <w:color w:val="76787A"/>
          <w:spacing w:val="-4"/>
          <w:sz w:val="20"/>
          <w:vertAlign w:val="superscript"/>
        </w:rPr>
        <w:t>203</w:t>
      </w:r>
      <w:r>
        <w:rPr>
          <w:color w:val="76787A"/>
          <w:spacing w:val="2"/>
          <w:sz w:val="20"/>
          <w:vertAlign w:val="baseline"/>
        </w:rPr>
        <w:t> </w:t>
      </w:r>
      <w:r>
        <w:rPr>
          <w:color w:val="231F20"/>
          <w:spacing w:val="-4"/>
          <w:sz w:val="20"/>
          <w:vertAlign w:val="baseline"/>
        </w:rPr>
        <w:t>le</w:t>
      </w:r>
      <w:r>
        <w:rPr>
          <w:color w:val="231F20"/>
          <w:spacing w:val="-1"/>
          <w:sz w:val="20"/>
          <w:vertAlign w:val="baseline"/>
        </w:rPr>
        <w:t> </w:t>
      </w:r>
      <w:r>
        <w:rPr>
          <w:color w:val="231F20"/>
          <w:spacing w:val="-4"/>
          <w:sz w:val="20"/>
          <w:vertAlign w:val="baseline"/>
        </w:rPr>
        <w:t>Groupe</w:t>
      </w:r>
      <w:r>
        <w:rPr>
          <w:color w:val="231F20"/>
          <w:spacing w:val="-2"/>
          <w:sz w:val="20"/>
          <w:vertAlign w:val="baseline"/>
        </w:rPr>
        <w:t> </w:t>
      </w:r>
      <w:r>
        <w:rPr>
          <w:color w:val="231F20"/>
          <w:spacing w:val="-4"/>
          <w:sz w:val="20"/>
          <w:vertAlign w:val="baseline"/>
        </w:rPr>
        <w:t>de</w:t>
      </w:r>
      <w:r>
        <w:rPr>
          <w:color w:val="231F20"/>
          <w:spacing w:val="-2"/>
          <w:sz w:val="20"/>
          <w:vertAlign w:val="baseline"/>
        </w:rPr>
        <w:t> </w:t>
      </w:r>
      <w:r>
        <w:rPr>
          <w:color w:val="231F20"/>
          <w:spacing w:val="-4"/>
          <w:sz w:val="20"/>
          <w:vertAlign w:val="baseline"/>
        </w:rPr>
        <w:t>Travail</w:t>
      </w:r>
      <w:r>
        <w:rPr>
          <w:color w:val="231F20"/>
          <w:sz w:val="20"/>
          <w:vertAlign w:val="baseline"/>
        </w:rPr>
        <w:t> </w:t>
      </w:r>
      <w:r>
        <w:rPr>
          <w:color w:val="231F20"/>
          <w:spacing w:val="-4"/>
          <w:sz w:val="20"/>
          <w:vertAlign w:val="baseline"/>
        </w:rPr>
        <w:t>International</w:t>
      </w:r>
      <w:r>
        <w:rPr>
          <w:color w:val="231F20"/>
          <w:spacing w:val="-3"/>
          <w:sz w:val="20"/>
          <w:vertAlign w:val="baseline"/>
        </w:rPr>
        <w:t> </w:t>
      </w:r>
      <w:r>
        <w:rPr>
          <w:color w:val="231F20"/>
          <w:spacing w:val="-4"/>
          <w:sz w:val="20"/>
          <w:vertAlign w:val="baseline"/>
        </w:rPr>
        <w:t>(GTI).</w:t>
      </w:r>
    </w:p>
    <w:p>
      <w:pPr>
        <w:spacing w:after="0"/>
        <w:jc w:val="both"/>
        <w:rPr>
          <w:sz w:val="20"/>
        </w:rPr>
        <w:sectPr>
          <w:pgSz w:w="8790" w:h="13610"/>
          <w:pgMar w:header="0" w:footer="802" w:top="1060" w:bottom="1000" w:left="880" w:right="880"/>
        </w:sectPr>
      </w:pPr>
    </w:p>
    <w:p>
      <w:pPr>
        <w:pStyle w:val="BodyText"/>
        <w:spacing w:before="66"/>
        <w:ind w:right="104" w:firstLine="283"/>
      </w:pPr>
      <w:r>
        <w:rPr>
          <w:color w:val="231F20"/>
        </w:rPr>
        <w:t>À</w:t>
      </w:r>
      <w:r>
        <w:rPr>
          <w:color w:val="231F20"/>
          <w:spacing w:val="-12"/>
        </w:rPr>
        <w:t> </w:t>
      </w:r>
      <w:r>
        <w:rPr>
          <w:color w:val="231F20"/>
        </w:rPr>
        <w:t>la</w:t>
      </w:r>
      <w:r>
        <w:rPr>
          <w:color w:val="231F20"/>
          <w:spacing w:val="-11"/>
        </w:rPr>
        <w:t> </w:t>
      </w:r>
      <w:r>
        <w:rPr>
          <w:color w:val="231F20"/>
        </w:rPr>
        <w:t>fin</w:t>
      </w:r>
      <w:r>
        <w:rPr>
          <w:color w:val="231F20"/>
          <w:spacing w:val="-11"/>
        </w:rPr>
        <w:t> </w:t>
      </w:r>
      <w:r>
        <w:rPr>
          <w:color w:val="231F20"/>
        </w:rPr>
        <w:t>de</w:t>
      </w:r>
      <w:r>
        <w:rPr>
          <w:color w:val="231F20"/>
          <w:spacing w:val="-9"/>
        </w:rPr>
        <w:t> </w:t>
      </w:r>
      <w:r>
        <w:rPr>
          <w:color w:val="231F20"/>
        </w:rPr>
        <w:t>cette</w:t>
      </w:r>
      <w:r>
        <w:rPr>
          <w:color w:val="231F20"/>
          <w:spacing w:val="-11"/>
        </w:rPr>
        <w:t> </w:t>
      </w:r>
      <w:r>
        <w:rPr>
          <w:color w:val="231F20"/>
        </w:rPr>
        <w:t>année</w:t>
      </w:r>
      <w:r>
        <w:rPr>
          <w:color w:val="231F20"/>
          <w:spacing w:val="-11"/>
        </w:rPr>
        <w:t> </w:t>
      </w:r>
      <w:r>
        <w:rPr>
          <w:color w:val="231F20"/>
        </w:rPr>
        <w:t>2006,</w:t>
      </w:r>
      <w:r>
        <w:rPr>
          <w:color w:val="231F20"/>
          <w:spacing w:val="-11"/>
        </w:rPr>
        <w:t> </w:t>
      </w:r>
      <w:r>
        <w:rPr>
          <w:color w:val="231F20"/>
        </w:rPr>
        <w:t>la</w:t>
      </w:r>
      <w:r>
        <w:rPr>
          <w:color w:val="231F20"/>
          <w:spacing w:val="-10"/>
        </w:rPr>
        <w:t> </w:t>
      </w:r>
      <w:r>
        <w:rPr>
          <w:color w:val="231F20"/>
        </w:rPr>
        <w:t>rébellion</w:t>
      </w:r>
      <w:r>
        <w:rPr>
          <w:color w:val="231F20"/>
          <w:spacing w:val="-10"/>
        </w:rPr>
        <w:t> </w:t>
      </w:r>
      <w:r>
        <w:rPr>
          <w:color w:val="231F20"/>
        </w:rPr>
        <w:t>porte</w:t>
      </w:r>
      <w:r>
        <w:rPr>
          <w:color w:val="231F20"/>
          <w:spacing w:val="-11"/>
        </w:rPr>
        <w:t> </w:t>
      </w:r>
      <w:r>
        <w:rPr>
          <w:color w:val="231F20"/>
        </w:rPr>
        <w:t>à</w:t>
      </w:r>
      <w:r>
        <w:rPr>
          <w:color w:val="231F20"/>
          <w:spacing w:val="-11"/>
        </w:rPr>
        <w:t> </w:t>
      </w:r>
      <w:r>
        <w:rPr>
          <w:color w:val="231F20"/>
        </w:rPr>
        <w:t>42</w:t>
      </w:r>
      <w:r>
        <w:rPr>
          <w:color w:val="231F20"/>
          <w:spacing w:val="-15"/>
        </w:rPr>
        <w:t> </w:t>
      </w:r>
      <w:r>
        <w:rPr>
          <w:color w:val="231F20"/>
        </w:rPr>
        <w:t>564</w:t>
      </w:r>
      <w:r>
        <w:rPr>
          <w:color w:val="231F20"/>
          <w:spacing w:val="-11"/>
        </w:rPr>
        <w:t> </w:t>
      </w:r>
      <w:r>
        <w:rPr>
          <w:color w:val="231F20"/>
        </w:rPr>
        <w:t>le</w:t>
      </w:r>
      <w:r>
        <w:rPr>
          <w:color w:val="231F20"/>
          <w:spacing w:val="-11"/>
        </w:rPr>
        <w:t> </w:t>
      </w:r>
      <w:r>
        <w:rPr>
          <w:color w:val="231F20"/>
        </w:rPr>
        <w:t>nombre</w:t>
      </w:r>
      <w:r>
        <w:rPr>
          <w:color w:val="231F20"/>
          <w:spacing w:val="-11"/>
        </w:rPr>
        <w:t> </w:t>
      </w:r>
      <w:r>
        <w:rPr>
          <w:color w:val="231F20"/>
        </w:rPr>
        <w:t>de ses</w:t>
      </w:r>
      <w:r>
        <w:rPr>
          <w:color w:val="231F20"/>
          <w:spacing w:val="-14"/>
        </w:rPr>
        <w:t> </w:t>
      </w:r>
      <w:r>
        <w:rPr>
          <w:color w:val="231F20"/>
        </w:rPr>
        <w:t>combattants</w:t>
      </w:r>
      <w:r>
        <w:rPr>
          <w:color w:val="231F20"/>
          <w:spacing w:val="-14"/>
        </w:rPr>
        <w:t> </w:t>
      </w:r>
      <w:r>
        <w:rPr>
          <w:color w:val="231F20"/>
        </w:rPr>
        <w:t>qui</w:t>
      </w:r>
      <w:r>
        <w:rPr>
          <w:color w:val="231F20"/>
          <w:spacing w:val="-14"/>
        </w:rPr>
        <w:t> </w:t>
      </w:r>
      <w:r>
        <w:rPr>
          <w:color w:val="231F20"/>
        </w:rPr>
        <w:t>étaient</w:t>
      </w:r>
      <w:r>
        <w:rPr>
          <w:color w:val="231F20"/>
          <w:spacing w:val="-14"/>
        </w:rPr>
        <w:t> </w:t>
      </w:r>
      <w:r>
        <w:rPr>
          <w:color w:val="231F20"/>
        </w:rPr>
        <w:t>moins</w:t>
      </w:r>
      <w:r>
        <w:rPr>
          <w:color w:val="231F20"/>
          <w:spacing w:val="-14"/>
        </w:rPr>
        <w:t> </w:t>
      </w:r>
      <w:r>
        <w:rPr>
          <w:color w:val="231F20"/>
        </w:rPr>
        <w:t>de</w:t>
      </w:r>
      <w:r>
        <w:rPr>
          <w:color w:val="231F20"/>
          <w:spacing w:val="-14"/>
        </w:rPr>
        <w:t> </w:t>
      </w:r>
      <w:r>
        <w:rPr>
          <w:color w:val="231F20"/>
        </w:rPr>
        <w:t>800</w:t>
      </w:r>
      <w:r>
        <w:rPr>
          <w:color w:val="231F20"/>
          <w:vertAlign w:val="superscript"/>
        </w:rPr>
        <w:t>204</w:t>
      </w:r>
      <w:r>
        <w:rPr>
          <w:color w:val="231F20"/>
          <w:spacing w:val="-15"/>
          <w:vertAlign w:val="baseline"/>
        </w:rPr>
        <w:t> </w:t>
      </w:r>
      <w:r>
        <w:rPr>
          <w:color w:val="231F20"/>
          <w:vertAlign w:val="baseline"/>
        </w:rPr>
        <w:t>au</w:t>
      </w:r>
      <w:r>
        <w:rPr>
          <w:color w:val="231F20"/>
          <w:spacing w:val="-12"/>
          <w:vertAlign w:val="baseline"/>
        </w:rPr>
        <w:t> </w:t>
      </w:r>
      <w:r>
        <w:rPr>
          <w:color w:val="231F20"/>
          <w:vertAlign w:val="baseline"/>
        </w:rPr>
        <w:t>début</w:t>
      </w:r>
      <w:r>
        <w:rPr>
          <w:color w:val="231F20"/>
          <w:spacing w:val="-15"/>
          <w:vertAlign w:val="baseline"/>
        </w:rPr>
        <w:t> </w:t>
      </w:r>
      <w:r>
        <w:rPr>
          <w:color w:val="231F20"/>
          <w:vertAlign w:val="baseline"/>
        </w:rPr>
        <w:t>de</w:t>
      </w:r>
      <w:r>
        <w:rPr>
          <w:color w:val="231F20"/>
          <w:spacing w:val="-13"/>
          <w:vertAlign w:val="baseline"/>
        </w:rPr>
        <w:t> </w:t>
      </w:r>
      <w:r>
        <w:rPr>
          <w:color w:val="231F20"/>
          <w:vertAlign w:val="baseline"/>
        </w:rPr>
        <w:t>l’insurrection</w:t>
      </w:r>
      <w:r>
        <w:rPr>
          <w:color w:val="231F20"/>
          <w:spacing w:val="-15"/>
          <w:vertAlign w:val="baseline"/>
        </w:rPr>
        <w:t> </w:t>
      </w:r>
      <w:r>
        <w:rPr>
          <w:color w:val="231F20"/>
          <w:vertAlign w:val="baseline"/>
        </w:rPr>
        <w:t>et achève de mettre en place une Armée</w:t>
      </w:r>
      <w:r>
        <w:rPr>
          <w:color w:val="231F20"/>
          <w:spacing w:val="-1"/>
          <w:vertAlign w:val="baseline"/>
        </w:rPr>
        <w:t> </w:t>
      </w:r>
      <w:r>
        <w:rPr>
          <w:color w:val="231F20"/>
          <w:vertAlign w:val="baseline"/>
        </w:rPr>
        <w:t>structurée.</w:t>
      </w:r>
    </w:p>
    <w:p>
      <w:pPr>
        <w:pStyle w:val="BodyText"/>
        <w:spacing w:before="120"/>
        <w:ind w:right="104" w:firstLine="283"/>
      </w:pPr>
      <w:r>
        <w:rPr>
          <w:color w:val="231F20"/>
        </w:rPr>
        <w:t>À Abidjan, en dépit de la pression internationale, le Chef de l’État </w:t>
      </w:r>
      <w:r>
        <w:rPr>
          <w:color w:val="231F20"/>
          <w:spacing w:val="-4"/>
        </w:rPr>
        <w:t>n’entend</w:t>
      </w:r>
      <w:r>
        <w:rPr>
          <w:color w:val="231F20"/>
          <w:spacing w:val="-6"/>
        </w:rPr>
        <w:t> </w:t>
      </w:r>
      <w:r>
        <w:rPr>
          <w:color w:val="231F20"/>
          <w:spacing w:val="-4"/>
        </w:rPr>
        <w:t>rien</w:t>
      </w:r>
      <w:r>
        <w:rPr>
          <w:color w:val="231F20"/>
          <w:spacing w:val="-5"/>
        </w:rPr>
        <w:t> </w:t>
      </w:r>
      <w:r>
        <w:rPr>
          <w:color w:val="231F20"/>
          <w:spacing w:val="-4"/>
        </w:rPr>
        <w:t>céder</w:t>
      </w:r>
      <w:r>
        <w:rPr>
          <w:color w:val="231F20"/>
          <w:spacing w:val="-6"/>
        </w:rPr>
        <w:t> </w:t>
      </w:r>
      <w:r>
        <w:rPr>
          <w:color w:val="231F20"/>
          <w:spacing w:val="-4"/>
        </w:rPr>
        <w:t>de</w:t>
      </w:r>
      <w:r>
        <w:rPr>
          <w:color w:val="231F20"/>
          <w:spacing w:val="-6"/>
        </w:rPr>
        <w:t> </w:t>
      </w:r>
      <w:r>
        <w:rPr>
          <w:color w:val="231F20"/>
          <w:spacing w:val="-4"/>
        </w:rPr>
        <w:t>ses</w:t>
      </w:r>
      <w:r>
        <w:rPr>
          <w:color w:val="231F20"/>
          <w:spacing w:val="-9"/>
        </w:rPr>
        <w:t> </w:t>
      </w:r>
      <w:r>
        <w:rPr>
          <w:color w:val="231F20"/>
          <w:spacing w:val="-4"/>
        </w:rPr>
        <w:t>prérogatives</w:t>
      </w:r>
      <w:r>
        <w:rPr>
          <w:color w:val="231F20"/>
          <w:spacing w:val="-5"/>
        </w:rPr>
        <w:t> </w:t>
      </w:r>
      <w:r>
        <w:rPr>
          <w:color w:val="231F20"/>
          <w:spacing w:val="-4"/>
        </w:rPr>
        <w:t>constitutionnelles.</w:t>
      </w:r>
      <w:r>
        <w:rPr>
          <w:color w:val="231F20"/>
          <w:spacing w:val="-6"/>
        </w:rPr>
        <w:t> </w:t>
      </w:r>
      <w:r>
        <w:rPr>
          <w:color w:val="231F20"/>
          <w:spacing w:val="-4"/>
        </w:rPr>
        <w:t>Il</w:t>
      </w:r>
      <w:r>
        <w:rPr>
          <w:color w:val="231F20"/>
          <w:spacing w:val="-5"/>
        </w:rPr>
        <w:t> </w:t>
      </w:r>
      <w:r>
        <w:rPr>
          <w:color w:val="231F20"/>
          <w:spacing w:val="-4"/>
        </w:rPr>
        <w:t>s’en</w:t>
      </w:r>
      <w:r>
        <w:rPr>
          <w:color w:val="231F20"/>
          <w:spacing w:val="-5"/>
        </w:rPr>
        <w:t> </w:t>
      </w:r>
      <w:r>
        <w:rPr>
          <w:color w:val="231F20"/>
          <w:spacing w:val="-4"/>
        </w:rPr>
        <w:t>tient</w:t>
      </w:r>
      <w:r>
        <w:rPr>
          <w:color w:val="231F20"/>
          <w:spacing w:val="-5"/>
        </w:rPr>
        <w:t> </w:t>
      </w:r>
      <w:r>
        <w:rPr>
          <w:color w:val="231F20"/>
          <w:spacing w:val="-4"/>
        </w:rPr>
        <w:t>à</w:t>
      </w:r>
      <w:r>
        <w:rPr>
          <w:color w:val="231F20"/>
          <w:spacing w:val="-6"/>
        </w:rPr>
        <w:t> </w:t>
      </w:r>
      <w:r>
        <w:rPr>
          <w:color w:val="231F20"/>
          <w:spacing w:val="-4"/>
        </w:rPr>
        <w:t>la </w:t>
      </w:r>
      <w:r>
        <w:rPr>
          <w:color w:val="231F20"/>
        </w:rPr>
        <w:t>Constitution.</w:t>
      </w:r>
      <w:r>
        <w:rPr>
          <w:color w:val="231F20"/>
          <w:spacing w:val="-15"/>
        </w:rPr>
        <w:t> </w:t>
      </w:r>
      <w:r>
        <w:rPr>
          <w:color w:val="231F20"/>
        </w:rPr>
        <w:t>Lorsque</w:t>
      </w:r>
      <w:r>
        <w:rPr>
          <w:color w:val="231F20"/>
          <w:spacing w:val="-15"/>
        </w:rPr>
        <w:t> </w:t>
      </w:r>
      <w:r>
        <w:rPr>
          <w:color w:val="231F20"/>
        </w:rPr>
        <w:t>la</w:t>
      </w:r>
      <w:r>
        <w:rPr>
          <w:color w:val="231F20"/>
          <w:spacing w:val="-15"/>
        </w:rPr>
        <w:t> </w:t>
      </w:r>
      <w:r>
        <w:rPr>
          <w:color w:val="231F20"/>
        </w:rPr>
        <w:t>résolution</w:t>
      </w:r>
      <w:r>
        <w:rPr>
          <w:color w:val="231F20"/>
          <w:spacing w:val="-15"/>
        </w:rPr>
        <w:t> </w:t>
      </w:r>
      <w:r>
        <w:rPr>
          <w:color w:val="231F20"/>
        </w:rPr>
        <w:t>1721</w:t>
      </w:r>
      <w:r>
        <w:rPr>
          <w:color w:val="231F20"/>
          <w:spacing w:val="-15"/>
        </w:rPr>
        <w:t> </w:t>
      </w:r>
      <w:r>
        <w:rPr>
          <w:color w:val="231F20"/>
        </w:rPr>
        <w:t>lui</w:t>
      </w:r>
      <w:r>
        <w:rPr>
          <w:color w:val="231F20"/>
          <w:spacing w:val="-15"/>
        </w:rPr>
        <w:t> </w:t>
      </w:r>
      <w:r>
        <w:rPr>
          <w:color w:val="231F20"/>
        </w:rPr>
        <w:t>impose</w:t>
      </w:r>
      <w:r>
        <w:rPr>
          <w:color w:val="231F20"/>
          <w:spacing w:val="-15"/>
        </w:rPr>
        <w:t> </w:t>
      </w:r>
      <w:r>
        <w:rPr>
          <w:color w:val="231F20"/>
        </w:rPr>
        <w:t>le</w:t>
      </w:r>
      <w:r>
        <w:rPr>
          <w:color w:val="231F20"/>
          <w:spacing w:val="-15"/>
        </w:rPr>
        <w:t> </w:t>
      </w:r>
      <w:r>
        <w:rPr>
          <w:color w:val="231F20"/>
        </w:rPr>
        <w:t>nouveau</w:t>
      </w:r>
      <w:r>
        <w:rPr>
          <w:color w:val="231F20"/>
          <w:spacing w:val="-15"/>
        </w:rPr>
        <w:t> </w:t>
      </w:r>
      <w:r>
        <w:rPr>
          <w:color w:val="231F20"/>
        </w:rPr>
        <w:t>cadre</w:t>
      </w:r>
      <w:r>
        <w:rPr>
          <w:color w:val="231F20"/>
          <w:spacing w:val="-15"/>
        </w:rPr>
        <w:t> </w:t>
      </w:r>
      <w:r>
        <w:rPr>
          <w:color w:val="231F20"/>
        </w:rPr>
        <w:t>de fonctionnement,</w:t>
      </w:r>
      <w:r>
        <w:rPr>
          <w:color w:val="231F20"/>
          <w:spacing w:val="-8"/>
        </w:rPr>
        <w:t> </w:t>
      </w:r>
      <w:r>
        <w:rPr>
          <w:color w:val="231F20"/>
        </w:rPr>
        <w:t>Laurent</w:t>
      </w:r>
      <w:r>
        <w:rPr>
          <w:color w:val="231F20"/>
          <w:spacing w:val="-8"/>
        </w:rPr>
        <w:t> </w:t>
      </w:r>
      <w:r>
        <w:rPr>
          <w:color w:val="231F20"/>
        </w:rPr>
        <w:t>Gbagbo</w:t>
      </w:r>
      <w:r>
        <w:rPr>
          <w:color w:val="231F20"/>
          <w:spacing w:val="-8"/>
        </w:rPr>
        <w:t> </w:t>
      </w:r>
      <w:r>
        <w:rPr>
          <w:color w:val="231F20"/>
        </w:rPr>
        <w:t>manifeste</w:t>
      </w:r>
      <w:r>
        <w:rPr>
          <w:color w:val="231F20"/>
          <w:spacing w:val="-6"/>
        </w:rPr>
        <w:t> </w:t>
      </w:r>
      <w:r>
        <w:rPr>
          <w:color w:val="231F20"/>
        </w:rPr>
        <w:t>l’intention</w:t>
      </w:r>
      <w:r>
        <w:rPr>
          <w:color w:val="231F20"/>
          <w:spacing w:val="-8"/>
        </w:rPr>
        <w:t> </w:t>
      </w:r>
      <w:r>
        <w:rPr>
          <w:color w:val="231F20"/>
        </w:rPr>
        <w:t>de</w:t>
      </w:r>
      <w:r>
        <w:rPr>
          <w:color w:val="231F20"/>
          <w:spacing w:val="-6"/>
        </w:rPr>
        <w:t> </w:t>
      </w:r>
      <w:r>
        <w:rPr>
          <w:color w:val="231F20"/>
        </w:rPr>
        <w:t>proposer</w:t>
      </w:r>
      <w:r>
        <w:rPr>
          <w:color w:val="231F20"/>
          <w:spacing w:val="-8"/>
        </w:rPr>
        <w:t> </w:t>
      </w:r>
      <w:r>
        <w:rPr>
          <w:color w:val="231F20"/>
        </w:rPr>
        <w:t>lui- même</w:t>
      </w:r>
      <w:r>
        <w:rPr>
          <w:color w:val="231F20"/>
          <w:spacing w:val="-5"/>
        </w:rPr>
        <w:t> </w:t>
      </w:r>
      <w:r>
        <w:rPr>
          <w:color w:val="231F20"/>
        </w:rPr>
        <w:t>un</w:t>
      </w:r>
      <w:r>
        <w:rPr>
          <w:color w:val="231F20"/>
          <w:spacing w:val="-8"/>
        </w:rPr>
        <w:t> </w:t>
      </w:r>
      <w:r>
        <w:rPr>
          <w:color w:val="231F20"/>
        </w:rPr>
        <w:t>plan</w:t>
      </w:r>
      <w:r>
        <w:rPr>
          <w:color w:val="231F20"/>
          <w:spacing w:val="-8"/>
        </w:rPr>
        <w:t> </w:t>
      </w:r>
      <w:r>
        <w:rPr>
          <w:color w:val="231F20"/>
        </w:rPr>
        <w:t>de</w:t>
      </w:r>
      <w:r>
        <w:rPr>
          <w:color w:val="231F20"/>
          <w:spacing w:val="-5"/>
        </w:rPr>
        <w:t> </w:t>
      </w:r>
      <w:r>
        <w:rPr>
          <w:color w:val="231F20"/>
        </w:rPr>
        <w:t>sortie</w:t>
      </w:r>
      <w:r>
        <w:rPr>
          <w:color w:val="231F20"/>
          <w:spacing w:val="-9"/>
        </w:rPr>
        <w:t> </w:t>
      </w:r>
      <w:r>
        <w:rPr>
          <w:color w:val="231F20"/>
        </w:rPr>
        <w:t>de</w:t>
      </w:r>
      <w:r>
        <w:rPr>
          <w:color w:val="231F20"/>
          <w:spacing w:val="-9"/>
        </w:rPr>
        <w:t> </w:t>
      </w:r>
      <w:r>
        <w:rPr>
          <w:color w:val="231F20"/>
        </w:rPr>
        <w:t>crise</w:t>
      </w:r>
      <w:r>
        <w:rPr>
          <w:color w:val="231F20"/>
          <w:spacing w:val="-5"/>
        </w:rPr>
        <w:t> </w:t>
      </w:r>
      <w:r>
        <w:rPr>
          <w:color w:val="231F20"/>
        </w:rPr>
        <w:t>ivoiro-ivoirien</w:t>
      </w:r>
      <w:r>
        <w:rPr>
          <w:color w:val="231F20"/>
          <w:spacing w:val="-8"/>
        </w:rPr>
        <w:t> </w:t>
      </w:r>
      <w:r>
        <w:rPr>
          <w:color w:val="231F20"/>
        </w:rPr>
        <w:t>:</w:t>
      </w:r>
      <w:r>
        <w:rPr>
          <w:color w:val="231F20"/>
          <w:spacing w:val="-7"/>
        </w:rPr>
        <w:t> </w:t>
      </w:r>
      <w:r>
        <w:rPr>
          <w:color w:val="231F20"/>
        </w:rPr>
        <w:t>le</w:t>
      </w:r>
      <w:r>
        <w:rPr>
          <w:color w:val="231F20"/>
          <w:spacing w:val="-5"/>
        </w:rPr>
        <w:t> </w:t>
      </w:r>
      <w:r>
        <w:rPr>
          <w:color w:val="231F20"/>
        </w:rPr>
        <w:t>«</w:t>
      </w:r>
      <w:r>
        <w:rPr>
          <w:color w:val="231F20"/>
          <w:spacing w:val="-8"/>
        </w:rPr>
        <w:t> </w:t>
      </w:r>
      <w:r>
        <w:rPr>
          <w:color w:val="231F20"/>
        </w:rPr>
        <w:t>dialogue</w:t>
      </w:r>
      <w:r>
        <w:rPr>
          <w:color w:val="231F20"/>
          <w:spacing w:val="-5"/>
        </w:rPr>
        <w:t> </w:t>
      </w:r>
      <w:r>
        <w:rPr>
          <w:color w:val="231F20"/>
        </w:rPr>
        <w:t>direct</w:t>
      </w:r>
      <w:r>
        <w:rPr>
          <w:color w:val="231F20"/>
          <w:spacing w:val="-4"/>
        </w:rPr>
        <w:t> </w:t>
      </w:r>
      <w:r>
        <w:rPr>
          <w:color w:val="231F20"/>
        </w:rPr>
        <w:t>».</w:t>
      </w:r>
    </w:p>
    <w:p>
      <w:pPr>
        <w:pStyle w:val="BodyText"/>
        <w:spacing w:before="121"/>
        <w:ind w:right="104" w:firstLine="283"/>
      </w:pPr>
      <w:r>
        <w:rPr>
          <w:color w:val="231F20"/>
        </w:rPr>
        <w:t>Le lieu choisi par Gbagbo pour la rencontre entre les belligérants </w:t>
      </w:r>
      <w:r>
        <w:rPr>
          <w:color w:val="231F20"/>
          <w:spacing w:val="-4"/>
        </w:rPr>
        <w:t>ivoiriens</w:t>
      </w:r>
      <w:r>
        <w:rPr>
          <w:color w:val="231F20"/>
          <w:spacing w:val="-11"/>
        </w:rPr>
        <w:t> </w:t>
      </w:r>
      <w:r>
        <w:rPr>
          <w:color w:val="231F20"/>
          <w:spacing w:val="-4"/>
        </w:rPr>
        <w:t>est</w:t>
      </w:r>
      <w:r>
        <w:rPr>
          <w:color w:val="231F20"/>
          <w:spacing w:val="-11"/>
        </w:rPr>
        <w:t> </w:t>
      </w:r>
      <w:r>
        <w:rPr>
          <w:color w:val="231F20"/>
          <w:spacing w:val="-4"/>
        </w:rPr>
        <w:t>Ouagadougou</w:t>
      </w:r>
      <w:r>
        <w:rPr>
          <w:color w:val="231F20"/>
          <w:spacing w:val="-8"/>
        </w:rPr>
        <w:t> </w:t>
      </w:r>
      <w:r>
        <w:rPr>
          <w:color w:val="231F20"/>
          <w:spacing w:val="-4"/>
        </w:rPr>
        <w:t>d’où</w:t>
      </w:r>
      <w:r>
        <w:rPr>
          <w:color w:val="231F20"/>
          <w:spacing w:val="-11"/>
        </w:rPr>
        <w:t> </w:t>
      </w:r>
      <w:r>
        <w:rPr>
          <w:color w:val="231F20"/>
          <w:spacing w:val="-4"/>
        </w:rPr>
        <w:t>est</w:t>
      </w:r>
      <w:r>
        <w:rPr>
          <w:color w:val="231F20"/>
          <w:spacing w:val="-11"/>
        </w:rPr>
        <w:t> </w:t>
      </w:r>
      <w:r>
        <w:rPr>
          <w:color w:val="231F20"/>
          <w:spacing w:val="-4"/>
        </w:rPr>
        <w:t>partie</w:t>
      </w:r>
      <w:r>
        <w:rPr>
          <w:color w:val="231F20"/>
          <w:spacing w:val="-8"/>
        </w:rPr>
        <w:t> </w:t>
      </w:r>
      <w:r>
        <w:rPr>
          <w:color w:val="231F20"/>
          <w:spacing w:val="-4"/>
        </w:rPr>
        <w:t>la</w:t>
      </w:r>
      <w:r>
        <w:rPr>
          <w:color w:val="231F20"/>
          <w:spacing w:val="-8"/>
        </w:rPr>
        <w:t> </w:t>
      </w:r>
      <w:r>
        <w:rPr>
          <w:color w:val="231F20"/>
          <w:spacing w:val="-4"/>
        </w:rPr>
        <w:t>rébellion.</w:t>
      </w:r>
      <w:r>
        <w:rPr>
          <w:color w:val="231F20"/>
          <w:spacing w:val="-8"/>
        </w:rPr>
        <w:t> </w:t>
      </w:r>
      <w:r>
        <w:rPr>
          <w:color w:val="231F20"/>
          <w:spacing w:val="-4"/>
        </w:rPr>
        <w:t>Le</w:t>
      </w:r>
      <w:r>
        <w:rPr>
          <w:color w:val="231F20"/>
          <w:spacing w:val="-8"/>
        </w:rPr>
        <w:t> </w:t>
      </w:r>
      <w:r>
        <w:rPr>
          <w:color w:val="231F20"/>
          <w:spacing w:val="-4"/>
        </w:rPr>
        <w:t>président</w:t>
      </w:r>
      <w:r>
        <w:rPr>
          <w:color w:val="231F20"/>
          <w:spacing w:val="-11"/>
        </w:rPr>
        <w:t> </w:t>
      </w:r>
      <w:r>
        <w:rPr>
          <w:color w:val="231F20"/>
          <w:spacing w:val="-4"/>
        </w:rPr>
        <w:t>Blaise </w:t>
      </w:r>
      <w:r>
        <w:rPr>
          <w:color w:val="231F20"/>
          <w:spacing w:val="-2"/>
        </w:rPr>
        <w:t>Compaoré</w:t>
      </w:r>
      <w:r>
        <w:rPr>
          <w:color w:val="231F20"/>
          <w:spacing w:val="-13"/>
        </w:rPr>
        <w:t> </w:t>
      </w:r>
      <w:r>
        <w:rPr>
          <w:color w:val="231F20"/>
          <w:spacing w:val="-2"/>
        </w:rPr>
        <w:t>soupçonné</w:t>
      </w:r>
      <w:r>
        <w:rPr>
          <w:color w:val="231F20"/>
          <w:spacing w:val="-12"/>
        </w:rPr>
        <w:t> </w:t>
      </w:r>
      <w:r>
        <w:rPr>
          <w:color w:val="231F20"/>
          <w:spacing w:val="-2"/>
        </w:rPr>
        <w:t>par</w:t>
      </w:r>
      <w:r>
        <w:rPr>
          <w:color w:val="231F20"/>
          <w:spacing w:val="-13"/>
        </w:rPr>
        <w:t> </w:t>
      </w:r>
      <w:r>
        <w:rPr>
          <w:color w:val="231F20"/>
          <w:spacing w:val="-2"/>
        </w:rPr>
        <w:t>Abidjan</w:t>
      </w:r>
      <w:r>
        <w:rPr>
          <w:color w:val="231F20"/>
          <w:spacing w:val="-13"/>
        </w:rPr>
        <w:t> </w:t>
      </w:r>
      <w:r>
        <w:rPr>
          <w:color w:val="231F20"/>
          <w:spacing w:val="-2"/>
        </w:rPr>
        <w:t>d’être</w:t>
      </w:r>
      <w:r>
        <w:rPr>
          <w:color w:val="231F20"/>
          <w:spacing w:val="-13"/>
        </w:rPr>
        <w:t> </w:t>
      </w:r>
      <w:r>
        <w:rPr>
          <w:color w:val="231F20"/>
          <w:spacing w:val="-2"/>
        </w:rPr>
        <w:t>le</w:t>
      </w:r>
      <w:r>
        <w:rPr>
          <w:color w:val="231F20"/>
          <w:spacing w:val="-13"/>
        </w:rPr>
        <w:t> </w:t>
      </w:r>
      <w:r>
        <w:rPr>
          <w:color w:val="231F20"/>
          <w:spacing w:val="-2"/>
        </w:rPr>
        <w:t>parrain</w:t>
      </w:r>
      <w:r>
        <w:rPr>
          <w:color w:val="231F20"/>
          <w:spacing w:val="-13"/>
        </w:rPr>
        <w:t> </w:t>
      </w:r>
      <w:r>
        <w:rPr>
          <w:color w:val="231F20"/>
          <w:spacing w:val="-2"/>
        </w:rPr>
        <w:t>des</w:t>
      </w:r>
      <w:r>
        <w:rPr>
          <w:color w:val="231F20"/>
          <w:spacing w:val="-11"/>
        </w:rPr>
        <w:t> </w:t>
      </w:r>
      <w:r>
        <w:rPr>
          <w:color w:val="231F20"/>
          <w:spacing w:val="-2"/>
        </w:rPr>
        <w:t>rebelles</w:t>
      </w:r>
      <w:r>
        <w:rPr>
          <w:color w:val="231F20"/>
          <w:spacing w:val="-11"/>
        </w:rPr>
        <w:t> </w:t>
      </w:r>
      <w:r>
        <w:rPr>
          <w:color w:val="231F20"/>
          <w:spacing w:val="-2"/>
        </w:rPr>
        <w:t>en</w:t>
      </w:r>
      <w:r>
        <w:rPr>
          <w:color w:val="231F20"/>
          <w:spacing w:val="-12"/>
        </w:rPr>
        <w:t> </w:t>
      </w:r>
      <w:r>
        <w:rPr>
          <w:color w:val="231F20"/>
          <w:spacing w:val="-2"/>
        </w:rPr>
        <w:t>sera</w:t>
      </w:r>
      <w:r>
        <w:rPr>
          <w:color w:val="231F20"/>
          <w:spacing w:val="-13"/>
        </w:rPr>
        <w:t> </w:t>
      </w:r>
      <w:r>
        <w:rPr>
          <w:color w:val="231F20"/>
          <w:spacing w:val="-2"/>
        </w:rPr>
        <w:t>le Facilitateur.</w:t>
      </w:r>
    </w:p>
    <w:p>
      <w:pPr>
        <w:pStyle w:val="BodyText"/>
        <w:spacing w:before="120"/>
        <w:ind w:right="105" w:firstLine="283"/>
      </w:pPr>
      <w:r>
        <w:rPr>
          <w:color w:val="231F20"/>
          <w:spacing w:val="-2"/>
        </w:rPr>
        <w:t>Au</w:t>
      </w:r>
      <w:r>
        <w:rPr>
          <w:color w:val="231F20"/>
          <w:spacing w:val="-13"/>
        </w:rPr>
        <w:t> </w:t>
      </w:r>
      <w:r>
        <w:rPr>
          <w:color w:val="231F20"/>
          <w:spacing w:val="-2"/>
        </w:rPr>
        <w:t>bout</w:t>
      </w:r>
      <w:r>
        <w:rPr>
          <w:color w:val="231F20"/>
          <w:spacing w:val="-13"/>
        </w:rPr>
        <w:t> </w:t>
      </w:r>
      <w:r>
        <w:rPr>
          <w:color w:val="231F20"/>
          <w:spacing w:val="-2"/>
        </w:rPr>
        <w:t>d’un</w:t>
      </w:r>
      <w:r>
        <w:rPr>
          <w:color w:val="231F20"/>
          <w:spacing w:val="-13"/>
        </w:rPr>
        <w:t> </w:t>
      </w:r>
      <w:r>
        <w:rPr>
          <w:color w:val="231F20"/>
          <w:spacing w:val="-2"/>
        </w:rPr>
        <w:t>mois</w:t>
      </w:r>
      <w:r>
        <w:rPr>
          <w:color w:val="231F20"/>
          <w:spacing w:val="-13"/>
        </w:rPr>
        <w:t> </w:t>
      </w:r>
      <w:r>
        <w:rPr>
          <w:color w:val="231F20"/>
          <w:spacing w:val="-2"/>
        </w:rPr>
        <w:t>de</w:t>
      </w:r>
      <w:r>
        <w:rPr>
          <w:color w:val="231F20"/>
          <w:spacing w:val="-13"/>
        </w:rPr>
        <w:t> </w:t>
      </w:r>
      <w:r>
        <w:rPr>
          <w:color w:val="231F20"/>
          <w:spacing w:val="-2"/>
        </w:rPr>
        <w:t>discussions,</w:t>
      </w:r>
      <w:r>
        <w:rPr>
          <w:color w:val="231F20"/>
          <w:spacing w:val="-13"/>
        </w:rPr>
        <w:t> </w:t>
      </w:r>
      <w:r>
        <w:rPr>
          <w:color w:val="231F20"/>
          <w:spacing w:val="-2"/>
        </w:rPr>
        <w:t>l’accord</w:t>
      </w:r>
      <w:r>
        <w:rPr>
          <w:color w:val="231F20"/>
          <w:spacing w:val="-13"/>
        </w:rPr>
        <w:t> </w:t>
      </w:r>
      <w:r>
        <w:rPr>
          <w:color w:val="231F20"/>
          <w:spacing w:val="-2"/>
        </w:rPr>
        <w:t>de</w:t>
      </w:r>
      <w:r>
        <w:rPr>
          <w:color w:val="231F20"/>
          <w:spacing w:val="-13"/>
        </w:rPr>
        <w:t> </w:t>
      </w:r>
      <w:r>
        <w:rPr>
          <w:color w:val="231F20"/>
          <w:spacing w:val="-2"/>
        </w:rPr>
        <w:t>Ouagadougou</w:t>
      </w:r>
      <w:r>
        <w:rPr>
          <w:color w:val="231F20"/>
          <w:spacing w:val="-13"/>
        </w:rPr>
        <w:t> </w:t>
      </w:r>
      <w:r>
        <w:rPr>
          <w:color w:val="231F20"/>
          <w:spacing w:val="-2"/>
        </w:rPr>
        <w:t>est</w:t>
      </w:r>
      <w:r>
        <w:rPr>
          <w:color w:val="231F20"/>
          <w:spacing w:val="-13"/>
        </w:rPr>
        <w:t> </w:t>
      </w:r>
      <w:r>
        <w:rPr>
          <w:color w:val="231F20"/>
          <w:spacing w:val="-2"/>
        </w:rPr>
        <w:t>signé </w:t>
      </w:r>
      <w:r>
        <w:rPr>
          <w:color w:val="231F20"/>
        </w:rPr>
        <w:t>le</w:t>
      </w:r>
      <w:r>
        <w:rPr>
          <w:color w:val="231F20"/>
          <w:spacing w:val="40"/>
        </w:rPr>
        <w:t> </w:t>
      </w:r>
      <w:r>
        <w:rPr>
          <w:color w:val="231F20"/>
        </w:rPr>
        <w:t>4</w:t>
      </w:r>
      <w:r>
        <w:rPr>
          <w:color w:val="231F20"/>
          <w:spacing w:val="40"/>
        </w:rPr>
        <w:t> </w:t>
      </w:r>
      <w:r>
        <w:rPr>
          <w:color w:val="231F20"/>
        </w:rPr>
        <w:t>mars</w:t>
      </w:r>
      <w:r>
        <w:rPr>
          <w:color w:val="231F20"/>
          <w:spacing w:val="40"/>
        </w:rPr>
        <w:t> </w:t>
      </w:r>
      <w:r>
        <w:rPr>
          <w:color w:val="231F20"/>
        </w:rPr>
        <w:t>2007,</w:t>
      </w:r>
      <w:r>
        <w:rPr>
          <w:color w:val="231F20"/>
          <w:spacing w:val="40"/>
        </w:rPr>
        <w:t> </w:t>
      </w:r>
      <w:r>
        <w:rPr>
          <w:color w:val="231F20"/>
        </w:rPr>
        <w:t>par</w:t>
      </w:r>
      <w:r>
        <w:rPr>
          <w:color w:val="231F20"/>
          <w:spacing w:val="40"/>
        </w:rPr>
        <w:t> </w:t>
      </w:r>
      <w:r>
        <w:rPr>
          <w:color w:val="231F20"/>
        </w:rPr>
        <w:t>le</w:t>
      </w:r>
      <w:r>
        <w:rPr>
          <w:color w:val="231F20"/>
          <w:spacing w:val="40"/>
        </w:rPr>
        <w:t> </w:t>
      </w:r>
      <w:r>
        <w:rPr>
          <w:color w:val="231F20"/>
        </w:rPr>
        <w:t>président</w:t>
      </w:r>
      <w:r>
        <w:rPr>
          <w:color w:val="231F20"/>
          <w:spacing w:val="-13"/>
        </w:rPr>
        <w:t> </w:t>
      </w:r>
      <w:r>
        <w:rPr>
          <w:color w:val="231F20"/>
        </w:rPr>
        <w:t>ivoirien</w:t>
      </w:r>
      <w:r>
        <w:rPr>
          <w:color w:val="231F20"/>
          <w:spacing w:val="-12"/>
        </w:rPr>
        <w:t> </w:t>
      </w:r>
      <w:r>
        <w:rPr>
          <w:color w:val="231F20"/>
        </w:rPr>
        <w:t>Laurent</w:t>
      </w:r>
      <w:r>
        <w:rPr>
          <w:color w:val="231F20"/>
          <w:spacing w:val="40"/>
        </w:rPr>
        <w:t> </w:t>
      </w:r>
      <w:r>
        <w:rPr>
          <w:color w:val="231F20"/>
        </w:rPr>
        <w:t>Gbagbo,</w:t>
      </w:r>
      <w:r>
        <w:rPr>
          <w:color w:val="231F20"/>
          <w:spacing w:val="40"/>
        </w:rPr>
        <w:t> </w:t>
      </w:r>
      <w:r>
        <w:rPr>
          <w:color w:val="231F20"/>
        </w:rPr>
        <w:t>le</w:t>
      </w:r>
      <w:r>
        <w:rPr>
          <w:color w:val="231F20"/>
          <w:spacing w:val="40"/>
        </w:rPr>
        <w:t> </w:t>
      </w:r>
      <w:r>
        <w:rPr>
          <w:color w:val="231F20"/>
        </w:rPr>
        <w:t>chef des</w:t>
      </w:r>
      <w:r>
        <w:rPr>
          <w:color w:val="231F20"/>
          <w:spacing w:val="-15"/>
        </w:rPr>
        <w:t> </w:t>
      </w:r>
      <w:r>
        <w:rPr>
          <w:color w:val="231F20"/>
        </w:rPr>
        <w:t>Forces nouvelles</w:t>
      </w:r>
      <w:r>
        <w:rPr>
          <w:color w:val="231F20"/>
          <w:spacing w:val="-15"/>
        </w:rPr>
        <w:t> </w:t>
      </w:r>
      <w:r>
        <w:rPr>
          <w:color w:val="231F20"/>
        </w:rPr>
        <w:t>Guillaume Soro</w:t>
      </w:r>
      <w:r>
        <w:rPr>
          <w:color w:val="231F20"/>
          <w:spacing w:val="35"/>
        </w:rPr>
        <w:t> </w:t>
      </w:r>
      <w:r>
        <w:rPr>
          <w:color w:val="231F20"/>
        </w:rPr>
        <w:t>et</w:t>
      </w:r>
      <w:r>
        <w:rPr>
          <w:color w:val="231F20"/>
          <w:spacing w:val="35"/>
        </w:rPr>
        <w:t> </w:t>
      </w:r>
      <w:r>
        <w:rPr>
          <w:color w:val="231F20"/>
        </w:rPr>
        <w:t>le président</w:t>
      </w:r>
      <w:r>
        <w:rPr>
          <w:color w:val="231F20"/>
          <w:spacing w:val="-15"/>
        </w:rPr>
        <w:t> </w:t>
      </w:r>
      <w:r>
        <w:rPr>
          <w:color w:val="231F20"/>
        </w:rPr>
        <w:t>burkinabé</w:t>
      </w:r>
      <w:r>
        <w:rPr>
          <w:color w:val="231F20"/>
          <w:spacing w:val="-15"/>
        </w:rPr>
        <w:t> </w:t>
      </w:r>
      <w:r>
        <w:rPr>
          <w:color w:val="231F20"/>
        </w:rPr>
        <w:t>Blaise </w:t>
      </w:r>
      <w:r>
        <w:rPr>
          <w:color w:val="231F20"/>
          <w:spacing w:val="-2"/>
        </w:rPr>
        <w:t>Compaoré.</w:t>
      </w:r>
    </w:p>
    <w:p>
      <w:pPr>
        <w:pStyle w:val="BodyText"/>
        <w:spacing w:before="120"/>
        <w:ind w:right="105" w:firstLine="283"/>
      </w:pPr>
      <w:r>
        <w:rPr>
          <w:color w:val="231F20"/>
          <w:spacing w:val="-4"/>
        </w:rPr>
        <w:t>Comme</w:t>
      </w:r>
      <w:r>
        <w:rPr>
          <w:color w:val="231F20"/>
          <w:spacing w:val="-11"/>
        </w:rPr>
        <w:t> </w:t>
      </w:r>
      <w:r>
        <w:rPr>
          <w:color w:val="231F20"/>
          <w:spacing w:val="-4"/>
        </w:rPr>
        <w:t>tous</w:t>
      </w:r>
      <w:r>
        <w:rPr>
          <w:color w:val="231F20"/>
          <w:spacing w:val="-11"/>
        </w:rPr>
        <w:t> </w:t>
      </w:r>
      <w:r>
        <w:rPr>
          <w:color w:val="231F20"/>
          <w:spacing w:val="-4"/>
        </w:rPr>
        <w:t>les</w:t>
      </w:r>
      <w:r>
        <w:rPr>
          <w:color w:val="231F20"/>
          <w:spacing w:val="-11"/>
        </w:rPr>
        <w:t> </w:t>
      </w:r>
      <w:r>
        <w:rPr>
          <w:color w:val="231F20"/>
          <w:spacing w:val="-4"/>
        </w:rPr>
        <w:t>accords</w:t>
      </w:r>
      <w:r>
        <w:rPr>
          <w:color w:val="231F20"/>
          <w:spacing w:val="-11"/>
        </w:rPr>
        <w:t> </w:t>
      </w:r>
      <w:r>
        <w:rPr>
          <w:color w:val="231F20"/>
          <w:spacing w:val="-4"/>
        </w:rPr>
        <w:t>passés,</w:t>
      </w:r>
      <w:r>
        <w:rPr>
          <w:color w:val="231F20"/>
          <w:spacing w:val="-11"/>
        </w:rPr>
        <w:t> </w:t>
      </w:r>
      <w:r>
        <w:rPr>
          <w:color w:val="231F20"/>
          <w:spacing w:val="-4"/>
        </w:rPr>
        <w:t>le</w:t>
      </w:r>
      <w:r>
        <w:rPr>
          <w:color w:val="231F20"/>
          <w:spacing w:val="-11"/>
        </w:rPr>
        <w:t> </w:t>
      </w:r>
      <w:r>
        <w:rPr>
          <w:color w:val="231F20"/>
          <w:spacing w:val="-4"/>
        </w:rPr>
        <w:t>nouvel</w:t>
      </w:r>
      <w:r>
        <w:rPr>
          <w:color w:val="231F20"/>
          <w:spacing w:val="-11"/>
        </w:rPr>
        <w:t> </w:t>
      </w:r>
      <w:r>
        <w:rPr>
          <w:color w:val="231F20"/>
          <w:spacing w:val="-4"/>
        </w:rPr>
        <w:t>accord</w:t>
      </w:r>
      <w:r>
        <w:rPr>
          <w:color w:val="231F20"/>
          <w:spacing w:val="-11"/>
        </w:rPr>
        <w:t> </w:t>
      </w:r>
      <w:r>
        <w:rPr>
          <w:color w:val="231F20"/>
          <w:spacing w:val="-4"/>
        </w:rPr>
        <w:t>vise</w:t>
      </w:r>
      <w:r>
        <w:rPr>
          <w:color w:val="231F20"/>
          <w:spacing w:val="-11"/>
        </w:rPr>
        <w:t> </w:t>
      </w:r>
      <w:r>
        <w:rPr>
          <w:color w:val="231F20"/>
          <w:spacing w:val="-4"/>
        </w:rPr>
        <w:t>à</w:t>
      </w:r>
      <w:r>
        <w:rPr>
          <w:color w:val="231F20"/>
          <w:spacing w:val="-11"/>
        </w:rPr>
        <w:t> </w:t>
      </w:r>
      <w:r>
        <w:rPr>
          <w:color w:val="231F20"/>
          <w:spacing w:val="-4"/>
        </w:rPr>
        <w:t>ramener</w:t>
      </w:r>
      <w:r>
        <w:rPr>
          <w:color w:val="231F20"/>
          <w:spacing w:val="-11"/>
        </w:rPr>
        <w:t> </w:t>
      </w:r>
      <w:r>
        <w:rPr>
          <w:color w:val="231F20"/>
          <w:spacing w:val="-4"/>
        </w:rPr>
        <w:t>la</w:t>
      </w:r>
      <w:r>
        <w:rPr>
          <w:color w:val="231F20"/>
          <w:spacing w:val="-11"/>
        </w:rPr>
        <w:t> </w:t>
      </w:r>
      <w:r>
        <w:rPr>
          <w:color w:val="231F20"/>
          <w:spacing w:val="-4"/>
        </w:rPr>
        <w:t>paix </w:t>
      </w:r>
      <w:r>
        <w:rPr>
          <w:color w:val="231F20"/>
        </w:rPr>
        <w:t>et</w:t>
      </w:r>
      <w:r>
        <w:rPr>
          <w:color w:val="231F20"/>
          <w:spacing w:val="-15"/>
        </w:rPr>
        <w:t> </w:t>
      </w:r>
      <w:r>
        <w:rPr>
          <w:color w:val="231F20"/>
        </w:rPr>
        <w:t>à</w:t>
      </w:r>
      <w:r>
        <w:rPr>
          <w:color w:val="231F20"/>
          <w:spacing w:val="-15"/>
        </w:rPr>
        <w:t> </w:t>
      </w:r>
      <w:r>
        <w:rPr>
          <w:color w:val="231F20"/>
        </w:rPr>
        <w:t>réunifier</w:t>
      </w:r>
      <w:r>
        <w:rPr>
          <w:color w:val="231F20"/>
          <w:spacing w:val="-15"/>
        </w:rPr>
        <w:t> </w:t>
      </w:r>
      <w:r>
        <w:rPr>
          <w:color w:val="231F20"/>
        </w:rPr>
        <w:t>le</w:t>
      </w:r>
      <w:r>
        <w:rPr>
          <w:color w:val="231F20"/>
          <w:spacing w:val="-15"/>
        </w:rPr>
        <w:t> </w:t>
      </w:r>
      <w:r>
        <w:rPr>
          <w:color w:val="231F20"/>
        </w:rPr>
        <w:t>pays.</w:t>
      </w:r>
      <w:r>
        <w:rPr>
          <w:color w:val="231F20"/>
          <w:spacing w:val="-15"/>
        </w:rPr>
        <w:t> </w:t>
      </w:r>
      <w:r>
        <w:rPr>
          <w:color w:val="231F20"/>
        </w:rPr>
        <w:t>Il</w:t>
      </w:r>
      <w:r>
        <w:rPr>
          <w:color w:val="231F20"/>
          <w:spacing w:val="-15"/>
        </w:rPr>
        <w:t> </w:t>
      </w:r>
      <w:r>
        <w:rPr>
          <w:color w:val="231F20"/>
        </w:rPr>
        <w:t>pose</w:t>
      </w:r>
      <w:r>
        <w:rPr>
          <w:color w:val="231F20"/>
          <w:spacing w:val="-15"/>
        </w:rPr>
        <w:t> </w:t>
      </w:r>
      <w:r>
        <w:rPr>
          <w:color w:val="231F20"/>
        </w:rPr>
        <w:t>les</w:t>
      </w:r>
      <w:r>
        <w:rPr>
          <w:color w:val="231F20"/>
          <w:spacing w:val="-15"/>
        </w:rPr>
        <w:t> </w:t>
      </w:r>
      <w:r>
        <w:rPr>
          <w:color w:val="231F20"/>
        </w:rPr>
        <w:t>mêmes</w:t>
      </w:r>
      <w:r>
        <w:rPr>
          <w:color w:val="231F20"/>
          <w:spacing w:val="-15"/>
        </w:rPr>
        <w:t> </w:t>
      </w:r>
      <w:r>
        <w:rPr>
          <w:color w:val="231F20"/>
        </w:rPr>
        <w:t>problématiques</w:t>
      </w:r>
      <w:r>
        <w:rPr>
          <w:color w:val="231F20"/>
          <w:spacing w:val="-15"/>
        </w:rPr>
        <w:t> </w:t>
      </w:r>
      <w:r>
        <w:rPr>
          <w:color w:val="231F20"/>
        </w:rPr>
        <w:t>:</w:t>
      </w:r>
      <w:r>
        <w:rPr>
          <w:color w:val="231F20"/>
          <w:spacing w:val="-15"/>
        </w:rPr>
        <w:t> </w:t>
      </w:r>
      <w:r>
        <w:rPr>
          <w:color w:val="231F20"/>
        </w:rPr>
        <w:t>l’identification </w:t>
      </w:r>
      <w:r>
        <w:rPr>
          <w:color w:val="231F20"/>
          <w:spacing w:val="-2"/>
        </w:rPr>
        <w:t>des</w:t>
      </w:r>
      <w:r>
        <w:rPr>
          <w:color w:val="231F20"/>
          <w:spacing w:val="-8"/>
        </w:rPr>
        <w:t> </w:t>
      </w:r>
      <w:r>
        <w:rPr>
          <w:color w:val="231F20"/>
          <w:spacing w:val="-2"/>
        </w:rPr>
        <w:t>populations,</w:t>
      </w:r>
      <w:r>
        <w:rPr>
          <w:color w:val="231F20"/>
          <w:spacing w:val="-11"/>
        </w:rPr>
        <w:t> </w:t>
      </w:r>
      <w:r>
        <w:rPr>
          <w:color w:val="231F20"/>
          <w:spacing w:val="-2"/>
        </w:rPr>
        <w:t>le</w:t>
      </w:r>
      <w:r>
        <w:rPr>
          <w:color w:val="231F20"/>
          <w:spacing w:val="-10"/>
        </w:rPr>
        <w:t> </w:t>
      </w:r>
      <w:r>
        <w:rPr>
          <w:color w:val="231F20"/>
          <w:spacing w:val="-2"/>
        </w:rPr>
        <w:t>désarmement</w:t>
      </w:r>
      <w:r>
        <w:rPr>
          <w:color w:val="231F20"/>
          <w:spacing w:val="-11"/>
        </w:rPr>
        <w:t> </w:t>
      </w:r>
      <w:r>
        <w:rPr>
          <w:color w:val="231F20"/>
          <w:spacing w:val="-2"/>
        </w:rPr>
        <w:t>et</w:t>
      </w:r>
      <w:r>
        <w:rPr>
          <w:color w:val="231F20"/>
          <w:spacing w:val="-11"/>
        </w:rPr>
        <w:t> </w:t>
      </w:r>
      <w:r>
        <w:rPr>
          <w:color w:val="231F20"/>
          <w:spacing w:val="-2"/>
        </w:rPr>
        <w:t>le</w:t>
      </w:r>
      <w:r>
        <w:rPr>
          <w:color w:val="231F20"/>
          <w:spacing w:val="-10"/>
        </w:rPr>
        <w:t> </w:t>
      </w:r>
      <w:r>
        <w:rPr>
          <w:color w:val="231F20"/>
          <w:spacing w:val="-2"/>
        </w:rPr>
        <w:t>redéploiement</w:t>
      </w:r>
      <w:r>
        <w:rPr>
          <w:color w:val="231F20"/>
          <w:spacing w:val="-8"/>
        </w:rPr>
        <w:t> </w:t>
      </w:r>
      <w:r>
        <w:rPr>
          <w:color w:val="231F20"/>
          <w:spacing w:val="-2"/>
        </w:rPr>
        <w:t>de</w:t>
      </w:r>
      <w:r>
        <w:rPr>
          <w:color w:val="231F20"/>
          <w:spacing w:val="-12"/>
        </w:rPr>
        <w:t> </w:t>
      </w:r>
      <w:r>
        <w:rPr>
          <w:color w:val="231F20"/>
          <w:spacing w:val="-2"/>
        </w:rPr>
        <w:t>l’Administration </w:t>
      </w:r>
      <w:r>
        <w:rPr>
          <w:color w:val="231F20"/>
        </w:rPr>
        <w:t>sur l’ensemble du territoire. Mais sa signature donne un coup </w:t>
      </w:r>
      <w:r>
        <w:rPr>
          <w:color w:val="231F20"/>
          <w:spacing w:val="-2"/>
        </w:rPr>
        <w:t>d’accélérateur</w:t>
      </w:r>
      <w:r>
        <w:rPr>
          <w:color w:val="231F20"/>
          <w:spacing w:val="-9"/>
        </w:rPr>
        <w:t> </w:t>
      </w:r>
      <w:r>
        <w:rPr>
          <w:color w:val="231F20"/>
          <w:spacing w:val="-2"/>
        </w:rPr>
        <w:t>au</w:t>
      </w:r>
      <w:r>
        <w:rPr>
          <w:color w:val="231F20"/>
          <w:spacing w:val="-9"/>
        </w:rPr>
        <w:t> </w:t>
      </w:r>
      <w:r>
        <w:rPr>
          <w:color w:val="231F20"/>
          <w:spacing w:val="-2"/>
        </w:rPr>
        <w:t>processus</w:t>
      </w:r>
      <w:r>
        <w:rPr>
          <w:color w:val="231F20"/>
          <w:spacing w:val="-9"/>
        </w:rPr>
        <w:t> </w:t>
      </w:r>
      <w:r>
        <w:rPr>
          <w:color w:val="231F20"/>
          <w:spacing w:val="-2"/>
        </w:rPr>
        <w:t>de</w:t>
      </w:r>
      <w:r>
        <w:rPr>
          <w:color w:val="231F20"/>
          <w:spacing w:val="-9"/>
        </w:rPr>
        <w:t> </w:t>
      </w:r>
      <w:r>
        <w:rPr>
          <w:color w:val="231F20"/>
          <w:spacing w:val="-2"/>
        </w:rPr>
        <w:t>sortie</w:t>
      </w:r>
      <w:r>
        <w:rPr>
          <w:color w:val="231F20"/>
          <w:spacing w:val="-13"/>
        </w:rPr>
        <w:t> </w:t>
      </w:r>
      <w:r>
        <w:rPr>
          <w:color w:val="231F20"/>
          <w:spacing w:val="-2"/>
        </w:rPr>
        <w:t>de</w:t>
      </w:r>
      <w:r>
        <w:rPr>
          <w:color w:val="231F20"/>
          <w:spacing w:val="-9"/>
        </w:rPr>
        <w:t> </w:t>
      </w:r>
      <w:r>
        <w:rPr>
          <w:color w:val="231F20"/>
          <w:spacing w:val="-2"/>
        </w:rPr>
        <w:t>crise</w:t>
      </w:r>
      <w:r>
        <w:rPr>
          <w:color w:val="231F20"/>
          <w:spacing w:val="-12"/>
        </w:rPr>
        <w:t> </w:t>
      </w:r>
      <w:r>
        <w:rPr>
          <w:color w:val="231F20"/>
          <w:spacing w:val="-2"/>
        </w:rPr>
        <w:t>bloqué</w:t>
      </w:r>
      <w:r>
        <w:rPr>
          <w:color w:val="231F20"/>
          <w:spacing w:val="-10"/>
        </w:rPr>
        <w:t> </w:t>
      </w:r>
      <w:r>
        <w:rPr>
          <w:color w:val="231F20"/>
          <w:spacing w:val="-2"/>
        </w:rPr>
        <w:t>depuis</w:t>
      </w:r>
      <w:r>
        <w:rPr>
          <w:color w:val="231F20"/>
          <w:spacing w:val="-11"/>
        </w:rPr>
        <w:t> </w:t>
      </w:r>
      <w:r>
        <w:rPr>
          <w:color w:val="231F20"/>
          <w:spacing w:val="-2"/>
        </w:rPr>
        <w:t>Marcoussis</w:t>
      </w:r>
      <w:r>
        <w:rPr>
          <w:color w:val="231F20"/>
          <w:spacing w:val="-10"/>
        </w:rPr>
        <w:t> </w:t>
      </w:r>
      <w:r>
        <w:rPr>
          <w:color w:val="231F20"/>
          <w:spacing w:val="-2"/>
        </w:rPr>
        <w:t>: </w:t>
      </w:r>
      <w:r>
        <w:rPr>
          <w:color w:val="231F20"/>
        </w:rPr>
        <w:t>le 29 mars, Guillaume Soro, chef des Forces Nouvelles est nommé Premier ministre par Laurent Gbagbo.</w:t>
      </w:r>
    </w:p>
    <w:p>
      <w:pPr>
        <w:pStyle w:val="BodyText"/>
        <w:spacing w:before="120"/>
        <w:ind w:right="106" w:firstLine="283"/>
      </w:pPr>
      <w:r>
        <w:rPr>
          <w:color w:val="231F20"/>
        </w:rPr>
        <w:t>Depuis</w:t>
      </w:r>
      <w:r>
        <w:rPr>
          <w:color w:val="231F20"/>
          <w:spacing w:val="-1"/>
        </w:rPr>
        <w:t> </w:t>
      </w:r>
      <w:r>
        <w:rPr>
          <w:color w:val="231F20"/>
        </w:rPr>
        <w:t>2002,</w:t>
      </w:r>
      <w:r>
        <w:rPr>
          <w:color w:val="231F20"/>
          <w:spacing w:val="-2"/>
        </w:rPr>
        <w:t> </w:t>
      </w:r>
      <w:r>
        <w:rPr>
          <w:color w:val="231F20"/>
        </w:rPr>
        <w:t>les</w:t>
      </w:r>
      <w:r>
        <w:rPr>
          <w:color w:val="231F20"/>
          <w:spacing w:val="-1"/>
        </w:rPr>
        <w:t> </w:t>
      </w:r>
      <w:r>
        <w:rPr>
          <w:color w:val="231F20"/>
        </w:rPr>
        <w:t>rebelles</w:t>
      </w:r>
      <w:r>
        <w:rPr>
          <w:color w:val="231F20"/>
          <w:spacing w:val="-2"/>
        </w:rPr>
        <w:t> </w:t>
      </w:r>
      <w:r>
        <w:rPr>
          <w:color w:val="231F20"/>
        </w:rPr>
        <w:t>n’ont</w:t>
      </w:r>
      <w:r>
        <w:rPr>
          <w:color w:val="231F20"/>
          <w:spacing w:val="-2"/>
        </w:rPr>
        <w:t> </w:t>
      </w:r>
      <w:r>
        <w:rPr>
          <w:color w:val="231F20"/>
        </w:rPr>
        <w:t>jamais accepté</w:t>
      </w:r>
      <w:r>
        <w:rPr>
          <w:color w:val="231F20"/>
          <w:spacing w:val="-2"/>
        </w:rPr>
        <w:t> </w:t>
      </w:r>
      <w:r>
        <w:rPr>
          <w:color w:val="231F20"/>
        </w:rPr>
        <w:t>de</w:t>
      </w:r>
      <w:r>
        <w:rPr>
          <w:color w:val="231F20"/>
          <w:spacing w:val="-2"/>
        </w:rPr>
        <w:t> </w:t>
      </w:r>
      <w:r>
        <w:rPr>
          <w:color w:val="231F20"/>
        </w:rPr>
        <w:t>déposer</w:t>
      </w:r>
      <w:r>
        <w:rPr>
          <w:color w:val="231F20"/>
          <w:spacing w:val="-1"/>
        </w:rPr>
        <w:t> </w:t>
      </w:r>
      <w:r>
        <w:rPr>
          <w:color w:val="231F20"/>
        </w:rPr>
        <w:t>les</w:t>
      </w:r>
      <w:r>
        <w:rPr>
          <w:color w:val="231F20"/>
          <w:spacing w:val="-1"/>
        </w:rPr>
        <w:t> </w:t>
      </w:r>
      <w:r>
        <w:rPr>
          <w:color w:val="231F20"/>
        </w:rPr>
        <w:t>armes malgré plusieurs engagements en ce sens et jamais, ils n’y ont été contraints par la Communauté internationale.</w:t>
      </w:r>
    </w:p>
    <w:p>
      <w:pPr>
        <w:pStyle w:val="BodyText"/>
        <w:spacing w:before="121"/>
        <w:ind w:right="104" w:firstLine="283"/>
      </w:pPr>
      <w:r>
        <w:rPr>
          <w:color w:val="231F20"/>
        </w:rPr>
        <w:t>L’élection présidentielle du 28 novembre 2010 est attendue avec </w:t>
      </w:r>
      <w:r>
        <w:rPr>
          <w:color w:val="231F20"/>
          <w:spacing w:val="-2"/>
        </w:rPr>
        <w:t>beaucoup</w:t>
      </w:r>
      <w:r>
        <w:rPr>
          <w:color w:val="231F20"/>
          <w:spacing w:val="-15"/>
        </w:rPr>
        <w:t> </w:t>
      </w:r>
      <w:r>
        <w:rPr>
          <w:color w:val="231F20"/>
          <w:spacing w:val="-2"/>
        </w:rPr>
        <w:t>d’espoir</w:t>
      </w:r>
      <w:r>
        <w:rPr>
          <w:color w:val="231F20"/>
          <w:spacing w:val="-13"/>
        </w:rPr>
        <w:t> </w:t>
      </w:r>
      <w:r>
        <w:rPr>
          <w:color w:val="231F20"/>
          <w:spacing w:val="-2"/>
        </w:rPr>
        <w:t>par</w:t>
      </w:r>
      <w:r>
        <w:rPr>
          <w:color w:val="231F20"/>
          <w:spacing w:val="-13"/>
        </w:rPr>
        <w:t> </w:t>
      </w:r>
      <w:r>
        <w:rPr>
          <w:color w:val="231F20"/>
          <w:spacing w:val="-2"/>
        </w:rPr>
        <w:t>les</w:t>
      </w:r>
      <w:r>
        <w:rPr>
          <w:color w:val="231F20"/>
          <w:spacing w:val="-13"/>
        </w:rPr>
        <w:t> </w:t>
      </w:r>
      <w:r>
        <w:rPr>
          <w:color w:val="231F20"/>
          <w:spacing w:val="-2"/>
        </w:rPr>
        <w:t>ivoiriens</w:t>
      </w:r>
      <w:r>
        <w:rPr>
          <w:color w:val="231F20"/>
          <w:spacing w:val="-13"/>
        </w:rPr>
        <w:t> </w:t>
      </w:r>
      <w:r>
        <w:rPr>
          <w:color w:val="231F20"/>
          <w:spacing w:val="-2"/>
        </w:rPr>
        <w:t>pour</w:t>
      </w:r>
      <w:r>
        <w:rPr>
          <w:color w:val="231F20"/>
          <w:spacing w:val="-13"/>
        </w:rPr>
        <w:t> </w:t>
      </w:r>
      <w:r>
        <w:rPr>
          <w:color w:val="231F20"/>
          <w:spacing w:val="-2"/>
        </w:rPr>
        <w:t>une</w:t>
      </w:r>
      <w:r>
        <w:rPr>
          <w:color w:val="231F20"/>
          <w:spacing w:val="-13"/>
        </w:rPr>
        <w:t> </w:t>
      </w:r>
      <w:r>
        <w:rPr>
          <w:color w:val="231F20"/>
          <w:spacing w:val="-2"/>
        </w:rPr>
        <w:t>sortie</w:t>
      </w:r>
      <w:r>
        <w:rPr>
          <w:color w:val="231F20"/>
          <w:spacing w:val="-13"/>
        </w:rPr>
        <w:t> </w:t>
      </w:r>
      <w:r>
        <w:rPr>
          <w:color w:val="231F20"/>
          <w:spacing w:val="-2"/>
        </w:rPr>
        <w:t>pacifique</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longue crise</w:t>
      </w:r>
      <w:r>
        <w:rPr>
          <w:color w:val="231F20"/>
          <w:spacing w:val="-4"/>
        </w:rPr>
        <w:t> </w:t>
      </w:r>
      <w:r>
        <w:rPr>
          <w:color w:val="231F20"/>
          <w:spacing w:val="-2"/>
        </w:rPr>
        <w:t>politico-militaire</w:t>
      </w:r>
      <w:r>
        <w:rPr>
          <w:color w:val="231F20"/>
          <w:spacing w:val="-4"/>
        </w:rPr>
        <w:t> </w:t>
      </w:r>
      <w:r>
        <w:rPr>
          <w:color w:val="231F20"/>
          <w:spacing w:val="-2"/>
        </w:rPr>
        <w:t>déclenchée</w:t>
      </w:r>
      <w:r>
        <w:rPr>
          <w:color w:val="231F20"/>
          <w:spacing w:val="-4"/>
        </w:rPr>
        <w:t> </w:t>
      </w:r>
      <w:r>
        <w:rPr>
          <w:color w:val="231F20"/>
          <w:spacing w:val="-2"/>
        </w:rPr>
        <w:t>le</w:t>
      </w:r>
      <w:r>
        <w:rPr>
          <w:color w:val="231F20"/>
          <w:spacing w:val="-4"/>
        </w:rPr>
        <w:t> </w:t>
      </w:r>
      <w:r>
        <w:rPr>
          <w:color w:val="231F20"/>
          <w:spacing w:val="-2"/>
        </w:rPr>
        <w:t>19</w:t>
      </w:r>
      <w:r>
        <w:rPr>
          <w:color w:val="231F20"/>
          <w:spacing w:val="-5"/>
        </w:rPr>
        <w:t> </w:t>
      </w:r>
      <w:r>
        <w:rPr>
          <w:color w:val="231F20"/>
          <w:spacing w:val="-2"/>
        </w:rPr>
        <w:t>septembre</w:t>
      </w:r>
      <w:r>
        <w:rPr>
          <w:color w:val="231F20"/>
          <w:spacing w:val="-10"/>
        </w:rPr>
        <w:t> </w:t>
      </w:r>
      <w:r>
        <w:rPr>
          <w:color w:val="231F20"/>
          <w:spacing w:val="-2"/>
        </w:rPr>
        <w:t>2002</w:t>
      </w:r>
      <w:r>
        <w:rPr>
          <w:color w:val="231F20"/>
          <w:spacing w:val="-11"/>
        </w:rPr>
        <w:t> </w:t>
      </w:r>
      <w:r>
        <w:rPr>
          <w:color w:val="231F20"/>
          <w:spacing w:val="-2"/>
        </w:rPr>
        <w:t>;</w:t>
      </w:r>
      <w:r>
        <w:rPr>
          <w:color w:val="231F20"/>
          <w:spacing w:val="-4"/>
        </w:rPr>
        <w:t> </w:t>
      </w:r>
      <w:r>
        <w:rPr>
          <w:color w:val="231F20"/>
          <w:spacing w:val="-2"/>
        </w:rPr>
        <w:t>pour</w:t>
      </w:r>
      <w:r>
        <w:rPr>
          <w:color w:val="231F20"/>
          <w:spacing w:val="-6"/>
        </w:rPr>
        <w:t> </w:t>
      </w:r>
      <w:r>
        <w:rPr>
          <w:color w:val="231F20"/>
          <w:spacing w:val="-2"/>
        </w:rPr>
        <w:t>la</w:t>
      </w:r>
      <w:r>
        <w:rPr>
          <w:color w:val="231F20"/>
          <w:spacing w:val="-8"/>
        </w:rPr>
        <w:t> </w:t>
      </w:r>
      <w:r>
        <w:rPr>
          <w:color w:val="231F20"/>
          <w:spacing w:val="-2"/>
        </w:rPr>
        <w:t>France </w:t>
      </w:r>
      <w:r>
        <w:rPr>
          <w:color w:val="231F20"/>
          <w:spacing w:val="-4"/>
        </w:rPr>
        <w:t>et</w:t>
      </w:r>
      <w:r>
        <w:rPr>
          <w:color w:val="231F20"/>
          <w:spacing w:val="-11"/>
        </w:rPr>
        <w:t> </w:t>
      </w:r>
      <w:r>
        <w:rPr>
          <w:color w:val="231F20"/>
          <w:spacing w:val="-4"/>
        </w:rPr>
        <w:t>les</w:t>
      </w:r>
      <w:r>
        <w:rPr>
          <w:color w:val="231F20"/>
          <w:spacing w:val="-11"/>
        </w:rPr>
        <w:t> </w:t>
      </w:r>
      <w:r>
        <w:rPr>
          <w:color w:val="231F20"/>
          <w:spacing w:val="-4"/>
        </w:rPr>
        <w:t>partisans</w:t>
      </w:r>
      <w:r>
        <w:rPr>
          <w:color w:val="231F20"/>
          <w:spacing w:val="-11"/>
        </w:rPr>
        <w:t> </w:t>
      </w:r>
      <w:r>
        <w:rPr>
          <w:color w:val="231F20"/>
          <w:spacing w:val="-4"/>
        </w:rPr>
        <w:t>d’Alassane</w:t>
      </w:r>
      <w:r>
        <w:rPr>
          <w:color w:val="231F20"/>
          <w:spacing w:val="-11"/>
        </w:rPr>
        <w:t> </w:t>
      </w:r>
      <w:r>
        <w:rPr>
          <w:color w:val="231F20"/>
          <w:spacing w:val="-4"/>
        </w:rPr>
        <w:t>Ouattara,</w:t>
      </w:r>
      <w:r>
        <w:rPr>
          <w:color w:val="231F20"/>
          <w:spacing w:val="-11"/>
        </w:rPr>
        <w:t> </w:t>
      </w:r>
      <w:r>
        <w:rPr>
          <w:color w:val="231F20"/>
          <w:spacing w:val="-4"/>
        </w:rPr>
        <w:t>cette</w:t>
      </w:r>
      <w:r>
        <w:rPr>
          <w:color w:val="231F20"/>
          <w:spacing w:val="-11"/>
        </w:rPr>
        <w:t> </w:t>
      </w:r>
      <w:r>
        <w:rPr>
          <w:color w:val="231F20"/>
          <w:spacing w:val="-4"/>
        </w:rPr>
        <w:t>élection</w:t>
      </w:r>
      <w:r>
        <w:rPr>
          <w:color w:val="231F20"/>
          <w:spacing w:val="-11"/>
        </w:rPr>
        <w:t> </w:t>
      </w:r>
      <w:r>
        <w:rPr>
          <w:color w:val="231F20"/>
          <w:spacing w:val="-4"/>
        </w:rPr>
        <w:t>est</w:t>
      </w:r>
      <w:r>
        <w:rPr>
          <w:color w:val="231F20"/>
          <w:spacing w:val="-10"/>
        </w:rPr>
        <w:t> </w:t>
      </w:r>
      <w:r>
        <w:rPr>
          <w:color w:val="231F20"/>
          <w:spacing w:val="-4"/>
        </w:rPr>
        <w:t>l’occasion</w:t>
      </w:r>
      <w:r>
        <w:rPr>
          <w:color w:val="231F20"/>
          <w:spacing w:val="-11"/>
        </w:rPr>
        <w:t> </w:t>
      </w:r>
      <w:r>
        <w:rPr>
          <w:color w:val="231F20"/>
          <w:spacing w:val="-4"/>
        </w:rPr>
        <w:t>de</w:t>
      </w:r>
      <w:r>
        <w:rPr>
          <w:color w:val="231F20"/>
          <w:spacing w:val="-10"/>
        </w:rPr>
        <w:t> </w:t>
      </w:r>
      <w:r>
        <w:rPr>
          <w:color w:val="231F20"/>
          <w:spacing w:val="-4"/>
        </w:rPr>
        <w:t>bouter Laurent</w:t>
      </w:r>
      <w:r>
        <w:rPr>
          <w:color w:val="231F20"/>
          <w:spacing w:val="-11"/>
        </w:rPr>
        <w:t> </w:t>
      </w:r>
      <w:r>
        <w:rPr>
          <w:color w:val="231F20"/>
          <w:spacing w:val="-4"/>
        </w:rPr>
        <w:t>Gbagbo</w:t>
      </w:r>
      <w:r>
        <w:rPr>
          <w:color w:val="231F20"/>
          <w:spacing w:val="-11"/>
        </w:rPr>
        <w:t> </w:t>
      </w:r>
      <w:r>
        <w:rPr>
          <w:color w:val="231F20"/>
          <w:spacing w:val="-4"/>
        </w:rPr>
        <w:t>hors</w:t>
      </w:r>
      <w:r>
        <w:rPr>
          <w:color w:val="231F20"/>
          <w:spacing w:val="-11"/>
        </w:rPr>
        <w:t> </w:t>
      </w:r>
      <w:r>
        <w:rPr>
          <w:color w:val="231F20"/>
          <w:spacing w:val="-4"/>
        </w:rPr>
        <w:t>du</w:t>
      </w:r>
      <w:r>
        <w:rPr>
          <w:color w:val="231F20"/>
          <w:spacing w:val="-11"/>
        </w:rPr>
        <w:t> </w:t>
      </w:r>
      <w:r>
        <w:rPr>
          <w:color w:val="231F20"/>
          <w:spacing w:val="-4"/>
        </w:rPr>
        <w:t>palais</w:t>
      </w:r>
      <w:r>
        <w:rPr>
          <w:color w:val="231F20"/>
          <w:spacing w:val="-11"/>
        </w:rPr>
        <w:t> </w:t>
      </w:r>
      <w:r>
        <w:rPr>
          <w:color w:val="231F20"/>
          <w:spacing w:val="-4"/>
        </w:rPr>
        <w:t>présidentiel.</w:t>
      </w:r>
      <w:r>
        <w:rPr>
          <w:color w:val="231F20"/>
          <w:spacing w:val="-9"/>
        </w:rPr>
        <w:t> </w:t>
      </w:r>
      <w:r>
        <w:rPr>
          <w:color w:val="231F20"/>
          <w:spacing w:val="-4"/>
        </w:rPr>
        <w:t>Lorsqu’il</w:t>
      </w:r>
      <w:r>
        <w:rPr>
          <w:color w:val="231F20"/>
          <w:spacing w:val="-11"/>
        </w:rPr>
        <w:t> </w:t>
      </w:r>
      <w:r>
        <w:rPr>
          <w:color w:val="231F20"/>
          <w:spacing w:val="-4"/>
        </w:rPr>
        <w:t>avait</w:t>
      </w:r>
      <w:r>
        <w:rPr>
          <w:color w:val="231F20"/>
          <w:spacing w:val="-11"/>
        </w:rPr>
        <w:t> </w:t>
      </w:r>
      <w:r>
        <w:rPr>
          <w:color w:val="231F20"/>
          <w:spacing w:val="-4"/>
        </w:rPr>
        <w:t>pris</w:t>
      </w:r>
      <w:r>
        <w:rPr>
          <w:color w:val="231F20"/>
          <w:spacing w:val="-11"/>
        </w:rPr>
        <w:t> </w:t>
      </w:r>
      <w:r>
        <w:rPr>
          <w:color w:val="231F20"/>
          <w:spacing w:val="-4"/>
        </w:rPr>
        <w:t>le</w:t>
      </w:r>
      <w:r>
        <w:rPr>
          <w:color w:val="231F20"/>
          <w:spacing w:val="-11"/>
        </w:rPr>
        <w:t> </w:t>
      </w:r>
      <w:r>
        <w:rPr>
          <w:color w:val="231F20"/>
          <w:spacing w:val="-4"/>
        </w:rPr>
        <w:t>pouvoir </w:t>
      </w:r>
      <w:r>
        <w:rPr>
          <w:color w:val="231F20"/>
        </w:rPr>
        <w:t>par les urnes en 2000, ni ses pairs de la sous-région, ni la France ne </w:t>
      </w:r>
      <w:r>
        <w:rPr>
          <w:color w:val="231F20"/>
          <w:spacing w:val="-4"/>
        </w:rPr>
        <w:t>voulaient</w:t>
      </w:r>
      <w:r>
        <w:rPr>
          <w:color w:val="231F20"/>
          <w:spacing w:val="-11"/>
        </w:rPr>
        <w:t> </w:t>
      </w:r>
      <w:r>
        <w:rPr>
          <w:color w:val="231F20"/>
          <w:spacing w:val="-4"/>
        </w:rPr>
        <w:t>de</w:t>
      </w:r>
      <w:r>
        <w:rPr>
          <w:color w:val="231F20"/>
          <w:spacing w:val="-9"/>
        </w:rPr>
        <w:t> </w:t>
      </w:r>
      <w:r>
        <w:rPr>
          <w:color w:val="231F20"/>
          <w:spacing w:val="-4"/>
        </w:rPr>
        <w:t>lui</w:t>
      </w:r>
      <w:r>
        <w:rPr>
          <w:color w:val="231F20"/>
        </w:rPr>
        <w:t> </w:t>
      </w:r>
      <w:r>
        <w:rPr>
          <w:color w:val="231F20"/>
          <w:spacing w:val="-4"/>
        </w:rPr>
        <w:t>:</w:t>
      </w:r>
      <w:r>
        <w:rPr>
          <w:color w:val="231F20"/>
          <w:spacing w:val="-9"/>
        </w:rPr>
        <w:t> </w:t>
      </w:r>
      <w:r>
        <w:rPr>
          <w:color w:val="231F20"/>
          <w:spacing w:val="-4"/>
        </w:rPr>
        <w:t>ses</w:t>
      </w:r>
      <w:r>
        <w:rPr>
          <w:color w:val="231F20"/>
          <w:spacing w:val="-9"/>
        </w:rPr>
        <w:t> </w:t>
      </w:r>
      <w:r>
        <w:rPr>
          <w:color w:val="231F20"/>
          <w:spacing w:val="-4"/>
        </w:rPr>
        <w:t>collègues</w:t>
      </w:r>
      <w:r>
        <w:rPr>
          <w:color w:val="231F20"/>
          <w:spacing w:val="-9"/>
        </w:rPr>
        <w:t> </w:t>
      </w:r>
      <w:r>
        <w:rPr>
          <w:color w:val="231F20"/>
          <w:spacing w:val="-4"/>
        </w:rPr>
        <w:t>de</w:t>
      </w:r>
      <w:r>
        <w:rPr>
          <w:color w:val="231F20"/>
          <w:spacing w:val="-11"/>
        </w:rPr>
        <w:t> </w:t>
      </w:r>
      <w:r>
        <w:rPr>
          <w:color w:val="231F20"/>
          <w:spacing w:val="-4"/>
        </w:rPr>
        <w:t>la</w:t>
      </w:r>
      <w:r>
        <w:rPr>
          <w:color w:val="231F20"/>
          <w:spacing w:val="-9"/>
        </w:rPr>
        <w:t> </w:t>
      </w:r>
      <w:r>
        <w:rPr>
          <w:color w:val="231F20"/>
          <w:spacing w:val="-4"/>
        </w:rPr>
        <w:t>sous-région</w:t>
      </w:r>
      <w:r>
        <w:rPr>
          <w:color w:val="231F20"/>
          <w:spacing w:val="-9"/>
        </w:rPr>
        <w:t> </w:t>
      </w:r>
      <w:r>
        <w:rPr>
          <w:color w:val="231F20"/>
          <w:spacing w:val="-4"/>
        </w:rPr>
        <w:t>se</w:t>
      </w:r>
      <w:r>
        <w:rPr>
          <w:color w:val="231F20"/>
          <w:spacing w:val="-11"/>
        </w:rPr>
        <w:t> </w:t>
      </w:r>
      <w:r>
        <w:rPr>
          <w:color w:val="231F20"/>
          <w:spacing w:val="-4"/>
        </w:rPr>
        <w:t>méfiaient</w:t>
      </w:r>
      <w:r>
        <w:rPr>
          <w:color w:val="231F20"/>
          <w:spacing w:val="-8"/>
        </w:rPr>
        <w:t> </w:t>
      </w:r>
      <w:r>
        <w:rPr>
          <w:color w:val="231F20"/>
          <w:spacing w:val="-4"/>
        </w:rPr>
        <w:t>de</w:t>
      </w:r>
      <w:r>
        <w:rPr>
          <w:color w:val="231F20"/>
          <w:spacing w:val="-9"/>
        </w:rPr>
        <w:t> </w:t>
      </w:r>
      <w:r>
        <w:rPr>
          <w:color w:val="231F20"/>
          <w:spacing w:val="-4"/>
        </w:rPr>
        <w:t>son</w:t>
      </w:r>
      <w:r>
        <w:rPr>
          <w:color w:val="231F20"/>
          <w:spacing w:val="-9"/>
        </w:rPr>
        <w:t> </w:t>
      </w:r>
      <w:r>
        <w:rPr>
          <w:color w:val="231F20"/>
          <w:spacing w:val="-4"/>
        </w:rPr>
        <w:t>esprit </w:t>
      </w:r>
      <w:r>
        <w:rPr>
          <w:color w:val="231F20"/>
        </w:rPr>
        <w:t>atypique</w:t>
      </w:r>
      <w:r>
        <w:rPr>
          <w:color w:val="231F20"/>
          <w:spacing w:val="-10"/>
        </w:rPr>
        <w:t> </w:t>
      </w:r>
      <w:r>
        <w:rPr>
          <w:color w:val="231F20"/>
        </w:rPr>
        <w:t>;</w:t>
      </w:r>
      <w:r>
        <w:rPr>
          <w:color w:val="231F20"/>
          <w:spacing w:val="-11"/>
        </w:rPr>
        <w:t> </w:t>
      </w:r>
      <w:r>
        <w:rPr>
          <w:color w:val="231F20"/>
        </w:rPr>
        <w:t>Paris</w:t>
      </w:r>
      <w:r>
        <w:rPr>
          <w:color w:val="231F20"/>
          <w:spacing w:val="-9"/>
        </w:rPr>
        <w:t> </w:t>
      </w:r>
      <w:r>
        <w:rPr>
          <w:color w:val="231F20"/>
        </w:rPr>
        <w:t>n’appréciait</w:t>
      </w:r>
      <w:r>
        <w:rPr>
          <w:color w:val="231F20"/>
          <w:spacing w:val="-10"/>
        </w:rPr>
        <w:t> </w:t>
      </w:r>
      <w:r>
        <w:rPr>
          <w:color w:val="231F20"/>
        </w:rPr>
        <w:t>pas</w:t>
      </w:r>
      <w:r>
        <w:rPr>
          <w:color w:val="231F20"/>
          <w:spacing w:val="-12"/>
        </w:rPr>
        <w:t> </w:t>
      </w:r>
      <w:r>
        <w:rPr>
          <w:color w:val="231F20"/>
        </w:rPr>
        <w:t>ses</w:t>
      </w:r>
      <w:r>
        <w:rPr>
          <w:color w:val="231F20"/>
          <w:spacing w:val="-12"/>
        </w:rPr>
        <w:t> </w:t>
      </w:r>
      <w:r>
        <w:rPr>
          <w:color w:val="231F20"/>
        </w:rPr>
        <w:t>discours</w:t>
      </w:r>
      <w:r>
        <w:rPr>
          <w:color w:val="231F20"/>
          <w:spacing w:val="-12"/>
        </w:rPr>
        <w:t> </w:t>
      </w:r>
      <w:r>
        <w:rPr>
          <w:color w:val="231F20"/>
        </w:rPr>
        <w:t>dénonçant</w:t>
      </w:r>
      <w:r>
        <w:rPr>
          <w:color w:val="231F20"/>
          <w:spacing w:val="-10"/>
        </w:rPr>
        <w:t> </w:t>
      </w:r>
      <w:r>
        <w:rPr>
          <w:color w:val="231F20"/>
        </w:rPr>
        <w:t>la</w:t>
      </w:r>
      <w:r>
        <w:rPr>
          <w:color w:val="231F20"/>
          <w:spacing w:val="-10"/>
        </w:rPr>
        <w:t> </w:t>
      </w:r>
      <w:r>
        <w:rPr>
          <w:color w:val="231F20"/>
        </w:rPr>
        <w:t>françafrique.</w:t>
      </w:r>
    </w:p>
    <w:p>
      <w:pPr>
        <w:pStyle w:val="BodyText"/>
        <w:ind w:left="0"/>
        <w:jc w:val="left"/>
        <w:rPr>
          <w:sz w:val="20"/>
        </w:rPr>
      </w:pPr>
    </w:p>
    <w:p>
      <w:pPr>
        <w:pStyle w:val="BodyText"/>
        <w:ind w:left="0"/>
        <w:jc w:val="left"/>
        <w:rPr>
          <w:sz w:val="20"/>
        </w:rPr>
      </w:pPr>
    </w:p>
    <w:p>
      <w:pPr>
        <w:pStyle w:val="BodyText"/>
        <w:spacing w:before="14"/>
        <w:ind w:left="0"/>
        <w:jc w:val="left"/>
        <w:rPr>
          <w:sz w:val="20"/>
        </w:rPr>
      </w:pPr>
      <w:r>
        <w:rPr/>
        <mc:AlternateContent>
          <mc:Choice Requires="wps">
            <w:drawing>
              <wp:anchor distT="0" distB="0" distL="0" distR="0" allowOverlap="1" layoutInCell="1" locked="0" behindDoc="1" simplePos="0" relativeHeight="487650304">
                <wp:simplePos x="0" y="0"/>
                <wp:positionH relativeFrom="page">
                  <wp:posOffset>629907</wp:posOffset>
                </wp:positionH>
                <wp:positionV relativeFrom="paragraph">
                  <wp:posOffset>170647</wp:posOffset>
                </wp:positionV>
                <wp:extent cx="1829435" cy="9525"/>
                <wp:effectExtent l="0" t="0" r="0" b="0"/>
                <wp:wrapTopAndBottom/>
                <wp:docPr id="151" name="Graphic 151"/>
                <wp:cNvGraphicFramePr>
                  <a:graphicFrameLocks/>
                </wp:cNvGraphicFramePr>
                <a:graphic>
                  <a:graphicData uri="http://schemas.microsoft.com/office/word/2010/wordprocessingShape">
                    <wps:wsp>
                      <wps:cNvPr id="151" name="Graphic 15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436797pt;width:144.020pt;height:.72pt;mso-position-horizontal-relative:page;mso-position-vertical-relative:paragraph;z-index:-15666176;mso-wrap-distance-left:0;mso-wrap-distance-right:0" id="docshape149" filled="true" fillcolor="#231f20" stroked="false">
                <v:fill type="solid"/>
                <w10:wrap type="topAndBottom"/>
              </v:rect>
            </w:pict>
          </mc:Fallback>
        </mc:AlternateContent>
      </w:r>
    </w:p>
    <w:p>
      <w:pPr>
        <w:spacing w:before="94"/>
        <w:ind w:left="111" w:right="0" w:firstLine="0"/>
        <w:jc w:val="left"/>
        <w:rPr>
          <w:sz w:val="20"/>
        </w:rPr>
      </w:pPr>
      <w:r>
        <w:rPr>
          <w:color w:val="181717"/>
          <w:spacing w:val="-4"/>
          <w:sz w:val="20"/>
          <w:vertAlign w:val="superscript"/>
        </w:rPr>
        <w:t>204</w:t>
      </w:r>
      <w:r>
        <w:rPr>
          <w:color w:val="181717"/>
          <w:spacing w:val="2"/>
          <w:sz w:val="20"/>
          <w:vertAlign w:val="baseline"/>
        </w:rPr>
        <w:t> </w:t>
      </w:r>
      <w:r>
        <w:rPr>
          <w:color w:val="181717"/>
          <w:spacing w:val="-4"/>
          <w:sz w:val="20"/>
          <w:vertAlign w:val="baseline"/>
        </w:rPr>
        <w:t>Chiffre</w:t>
      </w:r>
      <w:r>
        <w:rPr>
          <w:color w:val="181717"/>
          <w:spacing w:val="-3"/>
          <w:sz w:val="20"/>
          <w:vertAlign w:val="baseline"/>
        </w:rPr>
        <w:t> </w:t>
      </w:r>
      <w:r>
        <w:rPr>
          <w:color w:val="181717"/>
          <w:spacing w:val="-4"/>
          <w:sz w:val="20"/>
          <w:vertAlign w:val="baseline"/>
        </w:rPr>
        <w:t>établi</w:t>
      </w:r>
      <w:r>
        <w:rPr>
          <w:color w:val="181717"/>
          <w:spacing w:val="-2"/>
          <w:sz w:val="20"/>
          <w:vertAlign w:val="baseline"/>
        </w:rPr>
        <w:t> </w:t>
      </w:r>
      <w:r>
        <w:rPr>
          <w:color w:val="181717"/>
          <w:spacing w:val="-4"/>
          <w:sz w:val="20"/>
          <w:vertAlign w:val="baseline"/>
        </w:rPr>
        <w:t>par</w:t>
      </w:r>
      <w:r>
        <w:rPr>
          <w:color w:val="181717"/>
          <w:spacing w:val="-2"/>
          <w:sz w:val="20"/>
          <w:vertAlign w:val="baseline"/>
        </w:rPr>
        <w:t> </w:t>
      </w:r>
      <w:r>
        <w:rPr>
          <w:color w:val="181717"/>
          <w:spacing w:val="-4"/>
          <w:sz w:val="20"/>
          <w:vertAlign w:val="baseline"/>
        </w:rPr>
        <w:t>la</w:t>
      </w:r>
      <w:r>
        <w:rPr>
          <w:color w:val="181717"/>
          <w:spacing w:val="-3"/>
          <w:sz w:val="20"/>
          <w:vertAlign w:val="baseline"/>
        </w:rPr>
        <w:t> </w:t>
      </w:r>
      <w:r>
        <w:rPr>
          <w:color w:val="181717"/>
          <w:spacing w:val="-4"/>
          <w:sz w:val="20"/>
          <w:vertAlign w:val="baseline"/>
        </w:rPr>
        <w:t>division</w:t>
      </w:r>
      <w:r>
        <w:rPr>
          <w:color w:val="181717"/>
          <w:spacing w:val="-1"/>
          <w:sz w:val="20"/>
          <w:vertAlign w:val="baseline"/>
        </w:rPr>
        <w:t> </w:t>
      </w:r>
      <w:r>
        <w:rPr>
          <w:color w:val="181717"/>
          <w:spacing w:val="-4"/>
          <w:sz w:val="20"/>
          <w:vertAlign w:val="baseline"/>
        </w:rPr>
        <w:t>de</w:t>
      </w:r>
      <w:r>
        <w:rPr>
          <w:color w:val="181717"/>
          <w:spacing w:val="-3"/>
          <w:sz w:val="20"/>
          <w:vertAlign w:val="baseline"/>
        </w:rPr>
        <w:t> </w:t>
      </w:r>
      <w:r>
        <w:rPr>
          <w:color w:val="181717"/>
          <w:spacing w:val="-4"/>
          <w:sz w:val="20"/>
          <w:vertAlign w:val="baseline"/>
        </w:rPr>
        <w:t>l’Onuci</w:t>
      </w:r>
      <w:r>
        <w:rPr>
          <w:color w:val="181717"/>
          <w:spacing w:val="-1"/>
          <w:sz w:val="20"/>
          <w:vertAlign w:val="baseline"/>
        </w:rPr>
        <w:t> </w:t>
      </w:r>
      <w:r>
        <w:rPr>
          <w:color w:val="181717"/>
          <w:spacing w:val="-4"/>
          <w:sz w:val="20"/>
          <w:vertAlign w:val="baseline"/>
        </w:rPr>
        <w:t>chargée</w:t>
      </w:r>
      <w:r>
        <w:rPr>
          <w:color w:val="181717"/>
          <w:spacing w:val="-1"/>
          <w:sz w:val="20"/>
          <w:vertAlign w:val="baseline"/>
        </w:rPr>
        <w:t> </w:t>
      </w:r>
      <w:r>
        <w:rPr>
          <w:color w:val="181717"/>
          <w:spacing w:val="-4"/>
          <w:sz w:val="20"/>
          <w:vertAlign w:val="baseline"/>
        </w:rPr>
        <w:t>du</w:t>
      </w:r>
      <w:r>
        <w:rPr>
          <w:color w:val="181717"/>
          <w:spacing w:val="-2"/>
          <w:sz w:val="20"/>
          <w:vertAlign w:val="baseline"/>
        </w:rPr>
        <w:t> </w:t>
      </w:r>
      <w:r>
        <w:rPr>
          <w:color w:val="181717"/>
          <w:spacing w:val="-4"/>
          <w:sz w:val="20"/>
          <w:vertAlign w:val="baseline"/>
        </w:rPr>
        <w:t>désarmement</w:t>
      </w:r>
      <w:r>
        <w:rPr>
          <w:color w:val="181717"/>
          <w:spacing w:val="-3"/>
          <w:sz w:val="20"/>
          <w:vertAlign w:val="baseline"/>
        </w:rPr>
        <w:t> </w:t>
      </w:r>
      <w:r>
        <w:rPr>
          <w:color w:val="181717"/>
          <w:spacing w:val="-4"/>
          <w:sz w:val="20"/>
          <w:vertAlign w:val="baseline"/>
        </w:rPr>
        <w:t>des combattants.</w:t>
      </w:r>
    </w:p>
    <w:p>
      <w:pPr>
        <w:spacing w:after="0"/>
        <w:jc w:val="left"/>
        <w:rPr>
          <w:sz w:val="20"/>
        </w:rPr>
        <w:sectPr>
          <w:pgSz w:w="8790" w:h="13610"/>
          <w:pgMar w:header="0" w:footer="802" w:top="1060" w:bottom="1000" w:left="880" w:right="880"/>
        </w:sectPr>
      </w:pPr>
    </w:p>
    <w:p>
      <w:pPr>
        <w:pStyle w:val="BodyText"/>
        <w:spacing w:before="66"/>
        <w:ind w:right="105" w:firstLine="283"/>
      </w:pPr>
      <w:r>
        <w:rPr>
          <w:color w:val="231F20"/>
        </w:rPr>
        <w:t>Dans son pays, le PDCI de Henri Konan Bédié ne lui avait pas </w:t>
      </w:r>
      <w:r>
        <w:rPr>
          <w:color w:val="231F20"/>
          <w:spacing w:val="-2"/>
        </w:rPr>
        <w:t>pardonné</w:t>
      </w:r>
      <w:r>
        <w:rPr>
          <w:color w:val="231F20"/>
          <w:spacing w:val="-13"/>
        </w:rPr>
        <w:t> </w:t>
      </w:r>
      <w:r>
        <w:rPr>
          <w:color w:val="231F20"/>
          <w:spacing w:val="-2"/>
        </w:rPr>
        <w:t>son</w:t>
      </w:r>
      <w:r>
        <w:rPr>
          <w:color w:val="231F20"/>
          <w:spacing w:val="-13"/>
        </w:rPr>
        <w:t> </w:t>
      </w:r>
      <w:r>
        <w:rPr>
          <w:color w:val="231F20"/>
          <w:spacing w:val="-2"/>
        </w:rPr>
        <w:t>«</w:t>
      </w:r>
      <w:r>
        <w:rPr>
          <w:color w:val="231F20"/>
          <w:spacing w:val="-12"/>
        </w:rPr>
        <w:t> </w:t>
      </w:r>
      <w:r>
        <w:rPr>
          <w:color w:val="231F20"/>
          <w:spacing w:val="-2"/>
        </w:rPr>
        <w:t>insolence</w:t>
      </w:r>
      <w:r>
        <w:rPr>
          <w:color w:val="231F20"/>
          <w:spacing w:val="-13"/>
        </w:rPr>
        <w:t> </w:t>
      </w:r>
      <w:r>
        <w:rPr>
          <w:color w:val="231F20"/>
          <w:spacing w:val="-2"/>
        </w:rPr>
        <w:t>»</w:t>
      </w:r>
      <w:r>
        <w:rPr>
          <w:color w:val="231F20"/>
          <w:spacing w:val="-12"/>
        </w:rPr>
        <w:t> </w:t>
      </w:r>
      <w:r>
        <w:rPr>
          <w:color w:val="231F20"/>
          <w:spacing w:val="-2"/>
        </w:rPr>
        <w:t>pour</w:t>
      </w:r>
      <w:r>
        <w:rPr>
          <w:color w:val="231F20"/>
          <w:spacing w:val="-13"/>
        </w:rPr>
        <w:t> </w:t>
      </w:r>
      <w:r>
        <w:rPr>
          <w:color w:val="231F20"/>
          <w:spacing w:val="-2"/>
        </w:rPr>
        <w:t>avoir</w:t>
      </w:r>
      <w:r>
        <w:rPr>
          <w:color w:val="231F20"/>
          <w:spacing w:val="-12"/>
        </w:rPr>
        <w:t> </w:t>
      </w:r>
      <w:r>
        <w:rPr>
          <w:color w:val="231F20"/>
          <w:spacing w:val="-2"/>
        </w:rPr>
        <w:t>osé</w:t>
      </w:r>
      <w:r>
        <w:rPr>
          <w:color w:val="231F20"/>
          <w:spacing w:val="-13"/>
        </w:rPr>
        <w:t> </w:t>
      </w:r>
      <w:r>
        <w:rPr>
          <w:color w:val="231F20"/>
          <w:spacing w:val="-2"/>
        </w:rPr>
        <w:t>tenir</w:t>
      </w:r>
      <w:r>
        <w:rPr>
          <w:color w:val="231F20"/>
          <w:spacing w:val="-13"/>
        </w:rPr>
        <w:t> </w:t>
      </w:r>
      <w:r>
        <w:rPr>
          <w:color w:val="231F20"/>
          <w:spacing w:val="-2"/>
        </w:rPr>
        <w:t>tête</w:t>
      </w:r>
      <w:r>
        <w:rPr>
          <w:color w:val="231F20"/>
          <w:spacing w:val="-13"/>
        </w:rPr>
        <w:t> </w:t>
      </w:r>
      <w:r>
        <w:rPr>
          <w:color w:val="231F20"/>
          <w:spacing w:val="-2"/>
        </w:rPr>
        <w:t>à</w:t>
      </w:r>
      <w:r>
        <w:rPr>
          <w:color w:val="231F20"/>
          <w:spacing w:val="-13"/>
        </w:rPr>
        <w:t> </w:t>
      </w:r>
      <w:r>
        <w:rPr>
          <w:color w:val="231F20"/>
          <w:spacing w:val="-2"/>
        </w:rPr>
        <w:t>Houphouët-Boigny </w:t>
      </w:r>
      <w:r>
        <w:rPr>
          <w:color w:val="231F20"/>
        </w:rPr>
        <w:t>dès</w:t>
      </w:r>
      <w:r>
        <w:rPr>
          <w:color w:val="231F20"/>
          <w:spacing w:val="-14"/>
        </w:rPr>
        <w:t> </w:t>
      </w:r>
      <w:r>
        <w:rPr>
          <w:color w:val="231F20"/>
        </w:rPr>
        <w:t>les</w:t>
      </w:r>
      <w:r>
        <w:rPr>
          <w:color w:val="231F20"/>
          <w:spacing w:val="-14"/>
        </w:rPr>
        <w:t> </w:t>
      </w:r>
      <w:r>
        <w:rPr>
          <w:color w:val="231F20"/>
        </w:rPr>
        <w:t>années</w:t>
      </w:r>
      <w:r>
        <w:rPr>
          <w:color w:val="231F20"/>
          <w:spacing w:val="-15"/>
        </w:rPr>
        <w:t> </w:t>
      </w:r>
      <w:r>
        <w:rPr>
          <w:color w:val="231F20"/>
        </w:rPr>
        <w:t>70,</w:t>
      </w:r>
      <w:r>
        <w:rPr>
          <w:color w:val="231F20"/>
          <w:spacing w:val="-14"/>
        </w:rPr>
        <w:t> </w:t>
      </w:r>
      <w:r>
        <w:rPr>
          <w:color w:val="231F20"/>
        </w:rPr>
        <w:t>le</w:t>
      </w:r>
      <w:r>
        <w:rPr>
          <w:color w:val="231F20"/>
          <w:spacing w:val="-14"/>
        </w:rPr>
        <w:t> </w:t>
      </w:r>
      <w:r>
        <w:rPr>
          <w:color w:val="231F20"/>
        </w:rPr>
        <w:t>RDR</w:t>
      </w:r>
      <w:r>
        <w:rPr>
          <w:color w:val="231F20"/>
          <w:spacing w:val="-13"/>
        </w:rPr>
        <w:t> </w:t>
      </w:r>
      <w:r>
        <w:rPr>
          <w:color w:val="231F20"/>
        </w:rPr>
        <w:t>d’Alassane</w:t>
      </w:r>
      <w:r>
        <w:rPr>
          <w:color w:val="231F20"/>
          <w:spacing w:val="-15"/>
        </w:rPr>
        <w:t> </w:t>
      </w:r>
      <w:r>
        <w:rPr>
          <w:color w:val="231F20"/>
        </w:rPr>
        <w:t>Ouattara</w:t>
      </w:r>
      <w:r>
        <w:rPr>
          <w:color w:val="231F20"/>
          <w:spacing w:val="-14"/>
        </w:rPr>
        <w:t> </w:t>
      </w:r>
      <w:r>
        <w:rPr>
          <w:color w:val="231F20"/>
        </w:rPr>
        <w:t>lui</w:t>
      </w:r>
      <w:r>
        <w:rPr>
          <w:color w:val="231F20"/>
          <w:spacing w:val="-14"/>
        </w:rPr>
        <w:t> </w:t>
      </w:r>
      <w:r>
        <w:rPr>
          <w:color w:val="231F20"/>
        </w:rPr>
        <w:t>en</w:t>
      </w:r>
      <w:r>
        <w:rPr>
          <w:color w:val="231F20"/>
          <w:spacing w:val="-14"/>
        </w:rPr>
        <w:t> </w:t>
      </w:r>
      <w:r>
        <w:rPr>
          <w:color w:val="231F20"/>
        </w:rPr>
        <w:t>voulait</w:t>
      </w:r>
      <w:r>
        <w:rPr>
          <w:color w:val="231F20"/>
          <w:spacing w:val="-14"/>
        </w:rPr>
        <w:t> </w:t>
      </w:r>
      <w:r>
        <w:rPr>
          <w:color w:val="231F20"/>
        </w:rPr>
        <w:t>pour</w:t>
      </w:r>
      <w:r>
        <w:rPr>
          <w:color w:val="231F20"/>
          <w:spacing w:val="-15"/>
        </w:rPr>
        <w:t> </w:t>
      </w:r>
      <w:r>
        <w:rPr>
          <w:color w:val="231F20"/>
        </w:rPr>
        <w:t>s’être </w:t>
      </w:r>
      <w:r>
        <w:rPr>
          <w:color w:val="231F20"/>
          <w:spacing w:val="-2"/>
        </w:rPr>
        <w:t>désolidarisé</w:t>
      </w:r>
      <w:r>
        <w:rPr>
          <w:color w:val="231F20"/>
          <w:spacing w:val="-8"/>
        </w:rPr>
        <w:t> </w:t>
      </w:r>
      <w:r>
        <w:rPr>
          <w:color w:val="231F20"/>
          <w:spacing w:val="-2"/>
        </w:rPr>
        <w:t>de</w:t>
      </w:r>
      <w:r>
        <w:rPr>
          <w:color w:val="231F20"/>
          <w:spacing w:val="-8"/>
        </w:rPr>
        <w:t> </w:t>
      </w:r>
      <w:r>
        <w:rPr>
          <w:color w:val="231F20"/>
          <w:spacing w:val="-2"/>
        </w:rPr>
        <w:t>la</w:t>
      </w:r>
      <w:r>
        <w:rPr>
          <w:color w:val="231F20"/>
          <w:spacing w:val="-6"/>
        </w:rPr>
        <w:t> </w:t>
      </w:r>
      <w:r>
        <w:rPr>
          <w:color w:val="231F20"/>
          <w:spacing w:val="-2"/>
        </w:rPr>
        <w:t>cause</w:t>
      </w:r>
      <w:r>
        <w:rPr>
          <w:color w:val="231F20"/>
          <w:spacing w:val="-8"/>
        </w:rPr>
        <w:t> </w:t>
      </w:r>
      <w:r>
        <w:rPr>
          <w:color w:val="231F20"/>
          <w:spacing w:val="-2"/>
        </w:rPr>
        <w:t>de</w:t>
      </w:r>
      <w:r>
        <w:rPr>
          <w:color w:val="231F20"/>
          <w:spacing w:val="-5"/>
        </w:rPr>
        <w:t> </w:t>
      </w:r>
      <w:r>
        <w:rPr>
          <w:color w:val="231F20"/>
          <w:spacing w:val="-2"/>
        </w:rPr>
        <w:t>son</w:t>
      </w:r>
      <w:r>
        <w:rPr>
          <w:color w:val="231F20"/>
          <w:spacing w:val="-8"/>
        </w:rPr>
        <w:t> </w:t>
      </w:r>
      <w:r>
        <w:rPr>
          <w:color w:val="231F20"/>
          <w:spacing w:val="-2"/>
        </w:rPr>
        <w:t>«</w:t>
      </w:r>
      <w:r>
        <w:rPr>
          <w:color w:val="231F20"/>
          <w:spacing w:val="-10"/>
        </w:rPr>
        <w:t> </w:t>
      </w:r>
      <w:r>
        <w:rPr>
          <w:color w:val="231F20"/>
          <w:spacing w:val="-2"/>
        </w:rPr>
        <w:t>champion</w:t>
      </w:r>
      <w:r>
        <w:rPr>
          <w:color w:val="231F20"/>
          <w:spacing w:val="-11"/>
        </w:rPr>
        <w:t> </w:t>
      </w:r>
      <w:r>
        <w:rPr>
          <w:color w:val="231F20"/>
          <w:spacing w:val="-2"/>
        </w:rPr>
        <w:t>»,</w:t>
      </w:r>
      <w:r>
        <w:rPr>
          <w:color w:val="231F20"/>
          <w:spacing w:val="-8"/>
        </w:rPr>
        <w:t> </w:t>
      </w:r>
      <w:r>
        <w:rPr>
          <w:color w:val="231F20"/>
          <w:spacing w:val="-2"/>
        </w:rPr>
        <w:t>l’UDPCI</w:t>
      </w:r>
      <w:r>
        <w:rPr>
          <w:color w:val="231F20"/>
          <w:spacing w:val="-8"/>
        </w:rPr>
        <w:t> </w:t>
      </w:r>
      <w:r>
        <w:rPr>
          <w:color w:val="231F20"/>
          <w:spacing w:val="-2"/>
        </w:rPr>
        <w:t>créée</w:t>
      </w:r>
      <w:r>
        <w:rPr>
          <w:color w:val="231F20"/>
          <w:spacing w:val="-6"/>
        </w:rPr>
        <w:t> </w:t>
      </w:r>
      <w:r>
        <w:rPr>
          <w:color w:val="231F20"/>
          <w:spacing w:val="-2"/>
        </w:rPr>
        <w:t>entretemps </w:t>
      </w:r>
      <w:r>
        <w:rPr>
          <w:color w:val="231F20"/>
        </w:rPr>
        <w:t>par</w:t>
      </w:r>
      <w:r>
        <w:rPr>
          <w:color w:val="231F20"/>
          <w:spacing w:val="23"/>
        </w:rPr>
        <w:t> </w:t>
      </w:r>
      <w:r>
        <w:rPr>
          <w:color w:val="231F20"/>
        </w:rPr>
        <w:t>Robert</w:t>
      </w:r>
      <w:r>
        <w:rPr>
          <w:color w:val="231F20"/>
          <w:spacing w:val="25"/>
        </w:rPr>
        <w:t> </w:t>
      </w:r>
      <w:r>
        <w:rPr>
          <w:color w:val="231F20"/>
        </w:rPr>
        <w:t>Gueï,</w:t>
      </w:r>
      <w:r>
        <w:rPr>
          <w:color w:val="231F20"/>
          <w:spacing w:val="22"/>
        </w:rPr>
        <w:t> </w:t>
      </w:r>
      <w:r>
        <w:rPr>
          <w:color w:val="231F20"/>
        </w:rPr>
        <w:t>celui</w:t>
      </w:r>
      <w:r>
        <w:rPr>
          <w:color w:val="231F20"/>
          <w:spacing w:val="25"/>
        </w:rPr>
        <w:t> </w:t>
      </w:r>
      <w:r>
        <w:rPr>
          <w:color w:val="231F20"/>
        </w:rPr>
        <w:t>à</w:t>
      </w:r>
      <w:r>
        <w:rPr>
          <w:color w:val="231F20"/>
          <w:spacing w:val="22"/>
        </w:rPr>
        <w:t> </w:t>
      </w:r>
      <w:r>
        <w:rPr>
          <w:color w:val="231F20"/>
        </w:rPr>
        <w:t>qui,</w:t>
      </w:r>
      <w:r>
        <w:rPr>
          <w:color w:val="231F20"/>
          <w:spacing w:val="22"/>
        </w:rPr>
        <w:t> </w:t>
      </w:r>
      <w:r>
        <w:rPr>
          <w:color w:val="231F20"/>
        </w:rPr>
        <w:t>il</w:t>
      </w:r>
      <w:r>
        <w:rPr>
          <w:color w:val="231F20"/>
          <w:spacing w:val="22"/>
        </w:rPr>
        <w:t> </w:t>
      </w:r>
      <w:r>
        <w:rPr>
          <w:color w:val="231F20"/>
        </w:rPr>
        <w:t>avait</w:t>
      </w:r>
      <w:r>
        <w:rPr>
          <w:color w:val="231F20"/>
          <w:spacing w:val="22"/>
        </w:rPr>
        <w:t> </w:t>
      </w:r>
      <w:r>
        <w:rPr>
          <w:color w:val="231F20"/>
        </w:rPr>
        <w:t>ravi</w:t>
      </w:r>
      <w:r>
        <w:rPr>
          <w:color w:val="231F20"/>
          <w:spacing w:val="22"/>
        </w:rPr>
        <w:t> </w:t>
      </w:r>
      <w:r>
        <w:rPr>
          <w:color w:val="231F20"/>
        </w:rPr>
        <w:t>la</w:t>
      </w:r>
      <w:r>
        <w:rPr>
          <w:color w:val="231F20"/>
          <w:spacing w:val="21"/>
        </w:rPr>
        <w:t> </w:t>
      </w:r>
      <w:r>
        <w:rPr>
          <w:color w:val="231F20"/>
        </w:rPr>
        <w:t>victoire,</w:t>
      </w:r>
      <w:r>
        <w:rPr>
          <w:color w:val="231F20"/>
          <w:spacing w:val="24"/>
        </w:rPr>
        <w:t> </w:t>
      </w:r>
      <w:r>
        <w:rPr>
          <w:color w:val="231F20"/>
        </w:rPr>
        <w:t>en</w:t>
      </w:r>
      <w:r>
        <w:rPr>
          <w:color w:val="231F20"/>
          <w:spacing w:val="23"/>
        </w:rPr>
        <w:t> </w:t>
      </w:r>
      <w:r>
        <w:rPr>
          <w:color w:val="231F20"/>
        </w:rPr>
        <w:t>avait</w:t>
      </w:r>
      <w:r>
        <w:rPr>
          <w:color w:val="231F20"/>
          <w:spacing w:val="24"/>
        </w:rPr>
        <w:t> </w:t>
      </w:r>
      <w:r>
        <w:rPr>
          <w:color w:val="231F20"/>
        </w:rPr>
        <w:t>fait</w:t>
      </w:r>
      <w:r>
        <w:rPr>
          <w:color w:val="231F20"/>
          <w:spacing w:val="23"/>
        </w:rPr>
        <w:t> </w:t>
      </w:r>
      <w:r>
        <w:rPr>
          <w:color w:val="231F20"/>
          <w:spacing w:val="-5"/>
        </w:rPr>
        <w:t>un</w:t>
      </w:r>
    </w:p>
    <w:p>
      <w:pPr>
        <w:pStyle w:val="BodyText"/>
        <w:ind w:right="106"/>
      </w:pPr>
      <w:r>
        <w:rPr>
          <w:color w:val="231F20"/>
        </w:rPr>
        <w:t>«</w:t>
      </w:r>
      <w:r>
        <w:rPr>
          <w:color w:val="231F20"/>
          <w:spacing w:val="-14"/>
        </w:rPr>
        <w:t> </w:t>
      </w:r>
      <w:r>
        <w:rPr>
          <w:color w:val="231F20"/>
        </w:rPr>
        <w:t>ennemi</w:t>
      </w:r>
      <w:r>
        <w:rPr>
          <w:color w:val="231F20"/>
          <w:spacing w:val="-13"/>
        </w:rPr>
        <w:t> </w:t>
      </w:r>
      <w:r>
        <w:rPr>
          <w:color w:val="231F20"/>
        </w:rPr>
        <w:t>». Aussi, dès sa prise de fonction en tant que président de la République, un véritable front médiatique tant en Côte d’Ivoire qu’à l’extérieur s’était mis en place pour «</w:t>
      </w:r>
      <w:r>
        <w:rPr>
          <w:color w:val="231F20"/>
          <w:spacing w:val="-12"/>
        </w:rPr>
        <w:t> </w:t>
      </w:r>
      <w:r>
        <w:rPr>
          <w:color w:val="231F20"/>
        </w:rPr>
        <w:t>casser du Gbagbo</w:t>
      </w:r>
      <w:r>
        <w:rPr>
          <w:color w:val="231F20"/>
          <w:spacing w:val="-13"/>
        </w:rPr>
        <w:t> </w:t>
      </w:r>
      <w:r>
        <w:rPr>
          <w:color w:val="231F20"/>
        </w:rPr>
        <w:t>»</w:t>
      </w:r>
      <w:r>
        <w:rPr>
          <w:color w:val="231F20"/>
          <w:spacing w:val="-15"/>
        </w:rPr>
        <w:t> </w:t>
      </w:r>
      <w:r>
        <w:rPr>
          <w:color w:val="231F20"/>
        </w:rPr>
        <w:t>: c’est un génocidaire xénophobe, pire que Adolf Hitler. Envers et contre tous, il avait résisté pendant dix ans.</w:t>
      </w:r>
    </w:p>
    <w:p>
      <w:pPr>
        <w:pStyle w:val="BodyText"/>
        <w:spacing w:before="121"/>
        <w:ind w:right="104" w:firstLine="283"/>
      </w:pPr>
      <w:r>
        <w:rPr>
          <w:color w:val="231F20"/>
        </w:rPr>
        <w:t>À</w:t>
      </w:r>
      <w:r>
        <w:rPr>
          <w:color w:val="231F20"/>
          <w:spacing w:val="-1"/>
        </w:rPr>
        <w:t> </w:t>
      </w:r>
      <w:r>
        <w:rPr>
          <w:color w:val="231F20"/>
        </w:rPr>
        <w:t>la</w:t>
      </w:r>
      <w:r>
        <w:rPr>
          <w:color w:val="231F20"/>
          <w:spacing w:val="-1"/>
        </w:rPr>
        <w:t> </w:t>
      </w:r>
      <w:r>
        <w:rPr>
          <w:color w:val="231F20"/>
        </w:rPr>
        <w:t>veille</w:t>
      </w:r>
      <w:r>
        <w:rPr>
          <w:color w:val="231F20"/>
          <w:spacing w:val="-1"/>
        </w:rPr>
        <w:t> </w:t>
      </w:r>
      <w:r>
        <w:rPr>
          <w:color w:val="231F20"/>
        </w:rPr>
        <w:t>de</w:t>
      </w:r>
      <w:r>
        <w:rPr>
          <w:color w:val="231F20"/>
          <w:spacing w:val="-3"/>
        </w:rPr>
        <w:t> </w:t>
      </w:r>
      <w:r>
        <w:rPr>
          <w:color w:val="231F20"/>
        </w:rPr>
        <w:t>la</w:t>
      </w:r>
      <w:r>
        <w:rPr>
          <w:color w:val="231F20"/>
          <w:spacing w:val="-1"/>
        </w:rPr>
        <w:t> </w:t>
      </w:r>
      <w:r>
        <w:rPr>
          <w:color w:val="231F20"/>
        </w:rPr>
        <w:t>présidentielle de 2010,</w:t>
      </w:r>
      <w:r>
        <w:rPr>
          <w:color w:val="231F20"/>
          <w:spacing w:val="-3"/>
        </w:rPr>
        <w:t> </w:t>
      </w:r>
      <w:r>
        <w:rPr>
          <w:color w:val="231F20"/>
        </w:rPr>
        <w:t>la Côte d’ivoire est toujours </w:t>
      </w:r>
      <w:r>
        <w:rPr>
          <w:color w:val="231F20"/>
          <w:spacing w:val="-2"/>
        </w:rPr>
        <w:t>coupée</w:t>
      </w:r>
      <w:r>
        <w:rPr>
          <w:color w:val="231F20"/>
          <w:spacing w:val="-10"/>
        </w:rPr>
        <w:t> </w:t>
      </w:r>
      <w:r>
        <w:rPr>
          <w:color w:val="231F20"/>
          <w:spacing w:val="-2"/>
        </w:rPr>
        <w:t>en</w:t>
      </w:r>
      <w:r>
        <w:rPr>
          <w:color w:val="231F20"/>
          <w:spacing w:val="-12"/>
        </w:rPr>
        <w:t> </w:t>
      </w:r>
      <w:r>
        <w:rPr>
          <w:color w:val="231F20"/>
          <w:spacing w:val="-2"/>
        </w:rPr>
        <w:t>deux.</w:t>
      </w:r>
      <w:r>
        <w:rPr>
          <w:color w:val="231F20"/>
          <w:spacing w:val="-12"/>
        </w:rPr>
        <w:t> </w:t>
      </w:r>
      <w:r>
        <w:rPr>
          <w:color w:val="231F20"/>
          <w:spacing w:val="-2"/>
        </w:rPr>
        <w:t>Mais</w:t>
      </w:r>
      <w:r>
        <w:rPr>
          <w:color w:val="231F20"/>
          <w:spacing w:val="-10"/>
        </w:rPr>
        <w:t> </w:t>
      </w:r>
      <w:r>
        <w:rPr>
          <w:color w:val="231F20"/>
          <w:spacing w:val="-2"/>
        </w:rPr>
        <w:t>après</w:t>
      </w:r>
      <w:r>
        <w:rPr>
          <w:color w:val="231F20"/>
          <w:spacing w:val="-10"/>
        </w:rPr>
        <w:t> </w:t>
      </w:r>
      <w:r>
        <w:rPr>
          <w:color w:val="231F20"/>
          <w:spacing w:val="-2"/>
        </w:rPr>
        <w:t>le</w:t>
      </w:r>
      <w:r>
        <w:rPr>
          <w:color w:val="231F20"/>
          <w:spacing w:val="-10"/>
        </w:rPr>
        <w:t> </w:t>
      </w:r>
      <w:r>
        <w:rPr>
          <w:color w:val="231F20"/>
          <w:spacing w:val="-2"/>
        </w:rPr>
        <w:t>report</w:t>
      </w:r>
      <w:r>
        <w:rPr>
          <w:color w:val="231F20"/>
          <w:spacing w:val="-11"/>
        </w:rPr>
        <w:t> </w:t>
      </w:r>
      <w:r>
        <w:rPr>
          <w:color w:val="231F20"/>
          <w:spacing w:val="-2"/>
        </w:rPr>
        <w:t>des</w:t>
      </w:r>
      <w:r>
        <w:rPr>
          <w:color w:val="231F20"/>
          <w:spacing w:val="-10"/>
        </w:rPr>
        <w:t> </w:t>
      </w:r>
      <w:r>
        <w:rPr>
          <w:color w:val="231F20"/>
          <w:spacing w:val="-2"/>
        </w:rPr>
        <w:t>élections</w:t>
      </w:r>
      <w:r>
        <w:rPr>
          <w:color w:val="231F20"/>
          <w:spacing w:val="-12"/>
        </w:rPr>
        <w:t> </w:t>
      </w:r>
      <w:r>
        <w:rPr>
          <w:color w:val="231F20"/>
          <w:spacing w:val="-2"/>
        </w:rPr>
        <w:t>de</w:t>
      </w:r>
      <w:r>
        <w:rPr>
          <w:color w:val="231F20"/>
          <w:spacing w:val="-10"/>
        </w:rPr>
        <w:t> </w:t>
      </w:r>
      <w:r>
        <w:rPr>
          <w:color w:val="231F20"/>
          <w:spacing w:val="-2"/>
        </w:rPr>
        <w:t>2005</w:t>
      </w:r>
      <w:r>
        <w:rPr>
          <w:color w:val="231F20"/>
          <w:spacing w:val="-12"/>
        </w:rPr>
        <w:t> </w:t>
      </w:r>
      <w:r>
        <w:rPr>
          <w:color w:val="231F20"/>
          <w:spacing w:val="-2"/>
        </w:rPr>
        <w:t>pour</w:t>
      </w:r>
      <w:r>
        <w:rPr>
          <w:color w:val="231F20"/>
          <w:spacing w:val="-12"/>
        </w:rPr>
        <w:t> </w:t>
      </w:r>
      <w:r>
        <w:rPr>
          <w:color w:val="231F20"/>
          <w:spacing w:val="-2"/>
        </w:rPr>
        <w:t>cause</w:t>
      </w:r>
      <w:r>
        <w:rPr>
          <w:color w:val="231F20"/>
          <w:spacing w:val="-12"/>
        </w:rPr>
        <w:t> </w:t>
      </w:r>
      <w:r>
        <w:rPr>
          <w:color w:val="231F20"/>
          <w:spacing w:val="-2"/>
        </w:rPr>
        <w:t>de scission</w:t>
      </w:r>
      <w:r>
        <w:rPr>
          <w:color w:val="231F20"/>
          <w:spacing w:val="-10"/>
        </w:rPr>
        <w:t> </w:t>
      </w:r>
      <w:r>
        <w:rPr>
          <w:color w:val="231F20"/>
          <w:spacing w:val="-2"/>
        </w:rPr>
        <w:t>du</w:t>
      </w:r>
      <w:r>
        <w:rPr>
          <w:color w:val="231F20"/>
          <w:spacing w:val="-10"/>
        </w:rPr>
        <w:t> </w:t>
      </w:r>
      <w:r>
        <w:rPr>
          <w:color w:val="231F20"/>
          <w:spacing w:val="-2"/>
        </w:rPr>
        <w:t>territoire</w:t>
      </w:r>
      <w:r>
        <w:rPr>
          <w:color w:val="231F20"/>
          <w:spacing w:val="-10"/>
        </w:rPr>
        <w:t> </w:t>
      </w:r>
      <w:r>
        <w:rPr>
          <w:color w:val="231F20"/>
          <w:spacing w:val="-2"/>
        </w:rPr>
        <w:t>ivoirien,</w:t>
      </w:r>
      <w:r>
        <w:rPr>
          <w:color w:val="231F20"/>
          <w:spacing w:val="-12"/>
        </w:rPr>
        <w:t> </w:t>
      </w:r>
      <w:r>
        <w:rPr>
          <w:color w:val="231F20"/>
          <w:spacing w:val="-2"/>
        </w:rPr>
        <w:t>Laurent</w:t>
      </w:r>
      <w:r>
        <w:rPr>
          <w:color w:val="231F20"/>
          <w:spacing w:val="-11"/>
        </w:rPr>
        <w:t> </w:t>
      </w:r>
      <w:r>
        <w:rPr>
          <w:color w:val="231F20"/>
          <w:spacing w:val="-2"/>
        </w:rPr>
        <w:t>Gbagbo</w:t>
      </w:r>
      <w:r>
        <w:rPr>
          <w:color w:val="231F20"/>
          <w:spacing w:val="-11"/>
        </w:rPr>
        <w:t> </w:t>
      </w:r>
      <w:r>
        <w:rPr>
          <w:color w:val="231F20"/>
          <w:spacing w:val="-2"/>
        </w:rPr>
        <w:t>cède</w:t>
      </w:r>
      <w:r>
        <w:rPr>
          <w:color w:val="231F20"/>
          <w:spacing w:val="-11"/>
        </w:rPr>
        <w:t> </w:t>
      </w:r>
      <w:r>
        <w:rPr>
          <w:color w:val="231F20"/>
          <w:spacing w:val="-2"/>
        </w:rPr>
        <w:t>sous</w:t>
      </w:r>
      <w:r>
        <w:rPr>
          <w:color w:val="231F20"/>
          <w:spacing w:val="-11"/>
        </w:rPr>
        <w:t> </w:t>
      </w:r>
      <w:r>
        <w:rPr>
          <w:color w:val="231F20"/>
          <w:spacing w:val="-2"/>
        </w:rPr>
        <w:t>la</w:t>
      </w:r>
      <w:r>
        <w:rPr>
          <w:color w:val="231F20"/>
          <w:spacing w:val="-11"/>
        </w:rPr>
        <w:t> </w:t>
      </w:r>
      <w:r>
        <w:rPr>
          <w:color w:val="231F20"/>
          <w:spacing w:val="-2"/>
        </w:rPr>
        <w:t>poussée</w:t>
      </w:r>
      <w:r>
        <w:rPr>
          <w:color w:val="231F20"/>
          <w:spacing w:val="-11"/>
        </w:rPr>
        <w:t> </w:t>
      </w:r>
      <w:r>
        <w:rPr>
          <w:color w:val="231F20"/>
          <w:spacing w:val="-2"/>
        </w:rPr>
        <w:t>de</w:t>
      </w:r>
      <w:r>
        <w:rPr>
          <w:color w:val="231F20"/>
          <w:spacing w:val="-11"/>
        </w:rPr>
        <w:t> </w:t>
      </w:r>
      <w:r>
        <w:rPr>
          <w:color w:val="231F20"/>
          <w:spacing w:val="-2"/>
        </w:rPr>
        <w:t>la </w:t>
      </w:r>
      <w:r>
        <w:rPr>
          <w:color w:val="231F20"/>
        </w:rPr>
        <w:t>Communauté</w:t>
      </w:r>
      <w:r>
        <w:rPr>
          <w:color w:val="231F20"/>
          <w:spacing w:val="37"/>
        </w:rPr>
        <w:t> </w:t>
      </w:r>
      <w:r>
        <w:rPr>
          <w:color w:val="231F20"/>
        </w:rPr>
        <w:t>internationale</w:t>
      </w:r>
      <w:r>
        <w:rPr>
          <w:color w:val="231F20"/>
          <w:spacing w:val="39"/>
        </w:rPr>
        <w:t> </w:t>
      </w:r>
      <w:r>
        <w:rPr>
          <w:color w:val="231F20"/>
        </w:rPr>
        <w:t>entrainée</w:t>
      </w:r>
      <w:r>
        <w:rPr>
          <w:color w:val="231F20"/>
          <w:spacing w:val="37"/>
        </w:rPr>
        <w:t> </w:t>
      </w:r>
      <w:r>
        <w:rPr>
          <w:color w:val="231F20"/>
        </w:rPr>
        <w:t>par</w:t>
      </w:r>
      <w:r>
        <w:rPr>
          <w:color w:val="231F20"/>
          <w:spacing w:val="37"/>
        </w:rPr>
        <w:t> </w:t>
      </w:r>
      <w:r>
        <w:rPr>
          <w:color w:val="231F20"/>
        </w:rPr>
        <w:t>la</w:t>
      </w:r>
      <w:r>
        <w:rPr>
          <w:color w:val="231F20"/>
          <w:spacing w:val="39"/>
        </w:rPr>
        <w:t> </w:t>
      </w:r>
      <w:r>
        <w:rPr>
          <w:color w:val="231F20"/>
        </w:rPr>
        <w:t>France</w:t>
      </w:r>
      <w:r>
        <w:rPr>
          <w:color w:val="231F20"/>
          <w:spacing w:val="39"/>
        </w:rPr>
        <w:t> </w:t>
      </w:r>
      <w:r>
        <w:rPr>
          <w:color w:val="231F20"/>
        </w:rPr>
        <w:t>de</w:t>
      </w:r>
      <w:r>
        <w:rPr>
          <w:color w:val="231F20"/>
          <w:spacing w:val="37"/>
        </w:rPr>
        <w:t> </w:t>
      </w:r>
      <w:r>
        <w:rPr>
          <w:color w:val="231F20"/>
        </w:rPr>
        <w:t>guerre</w:t>
      </w:r>
      <w:r>
        <w:rPr>
          <w:color w:val="231F20"/>
          <w:spacing w:val="37"/>
        </w:rPr>
        <w:t> </w:t>
      </w:r>
      <w:r>
        <w:rPr>
          <w:color w:val="231F20"/>
        </w:rPr>
        <w:t>lasse,</w:t>
      </w:r>
    </w:p>
    <w:p>
      <w:pPr>
        <w:pStyle w:val="BodyText"/>
        <w:ind w:right="102"/>
      </w:pPr>
      <w:r>
        <w:rPr>
          <w:color w:val="231F20"/>
        </w:rPr>
        <w:t>«</w:t>
      </w:r>
      <w:r>
        <w:rPr>
          <w:color w:val="231F20"/>
          <w:spacing w:val="-15"/>
        </w:rPr>
        <w:t> </w:t>
      </w:r>
      <w:r>
        <w:rPr>
          <w:color w:val="231F20"/>
        </w:rPr>
        <w:t>oublie</w:t>
      </w:r>
      <w:r>
        <w:rPr>
          <w:color w:val="231F20"/>
          <w:spacing w:val="-15"/>
        </w:rPr>
        <w:t> </w:t>
      </w:r>
      <w:r>
        <w:rPr>
          <w:color w:val="231F20"/>
        </w:rPr>
        <w:t>» la Constitution piétinée depuis Marcoussis par Paris et ses alliés. Il</w:t>
      </w:r>
      <w:r>
        <w:rPr>
          <w:color w:val="231F20"/>
          <w:spacing w:val="-13"/>
        </w:rPr>
        <w:t> </w:t>
      </w:r>
      <w:r>
        <w:rPr>
          <w:color w:val="231F20"/>
        </w:rPr>
        <w:t>engage un processus électoral très coûteux qui comprend </w:t>
      </w:r>
      <w:r>
        <w:rPr>
          <w:color w:val="231F20"/>
          <w:spacing w:val="-4"/>
        </w:rPr>
        <w:t>l’identification</w:t>
      </w:r>
      <w:r>
        <w:rPr>
          <w:color w:val="231F20"/>
          <w:spacing w:val="-9"/>
        </w:rPr>
        <w:t> </w:t>
      </w:r>
      <w:r>
        <w:rPr>
          <w:color w:val="231F20"/>
          <w:spacing w:val="-4"/>
        </w:rPr>
        <w:t>et</w:t>
      </w:r>
      <w:r>
        <w:rPr>
          <w:color w:val="231F20"/>
          <w:spacing w:val="-10"/>
        </w:rPr>
        <w:t> </w:t>
      </w:r>
      <w:r>
        <w:rPr>
          <w:color w:val="231F20"/>
          <w:spacing w:val="-4"/>
        </w:rPr>
        <w:t>le</w:t>
      </w:r>
      <w:r>
        <w:rPr>
          <w:color w:val="231F20"/>
          <w:spacing w:val="-8"/>
        </w:rPr>
        <w:t> </w:t>
      </w:r>
      <w:r>
        <w:rPr>
          <w:color w:val="231F20"/>
          <w:spacing w:val="-4"/>
        </w:rPr>
        <w:t>recensement</w:t>
      </w:r>
      <w:r>
        <w:rPr>
          <w:color w:val="231F20"/>
          <w:spacing w:val="-8"/>
        </w:rPr>
        <w:t> </w:t>
      </w:r>
      <w:r>
        <w:rPr>
          <w:color w:val="231F20"/>
          <w:spacing w:val="-4"/>
        </w:rPr>
        <w:t>des</w:t>
      </w:r>
      <w:r>
        <w:rPr>
          <w:color w:val="231F20"/>
          <w:spacing w:val="-10"/>
        </w:rPr>
        <w:t> </w:t>
      </w:r>
      <w:r>
        <w:rPr>
          <w:color w:val="231F20"/>
          <w:spacing w:val="-4"/>
        </w:rPr>
        <w:t>populations,</w:t>
      </w:r>
      <w:r>
        <w:rPr>
          <w:color w:val="231F20"/>
          <w:spacing w:val="-10"/>
        </w:rPr>
        <w:t> </w:t>
      </w:r>
      <w:r>
        <w:rPr>
          <w:color w:val="231F20"/>
          <w:spacing w:val="-4"/>
        </w:rPr>
        <w:t>la</w:t>
      </w:r>
      <w:r>
        <w:rPr>
          <w:color w:val="231F20"/>
          <w:spacing w:val="-11"/>
        </w:rPr>
        <w:t> </w:t>
      </w:r>
      <w:r>
        <w:rPr>
          <w:color w:val="231F20"/>
          <w:spacing w:val="-4"/>
        </w:rPr>
        <w:t>formation</w:t>
      </w:r>
      <w:r>
        <w:rPr>
          <w:color w:val="231F20"/>
          <w:spacing w:val="-10"/>
        </w:rPr>
        <w:t> </w:t>
      </w:r>
      <w:r>
        <w:rPr>
          <w:color w:val="231F20"/>
          <w:spacing w:val="-4"/>
        </w:rPr>
        <w:t>des</w:t>
      </w:r>
      <w:r>
        <w:rPr>
          <w:color w:val="231F20"/>
          <w:spacing w:val="-10"/>
        </w:rPr>
        <w:t> </w:t>
      </w:r>
      <w:r>
        <w:rPr>
          <w:color w:val="231F20"/>
          <w:spacing w:val="-4"/>
        </w:rPr>
        <w:t>agents, </w:t>
      </w:r>
      <w:r>
        <w:rPr>
          <w:color w:val="231F20"/>
          <w:spacing w:val="-2"/>
        </w:rPr>
        <w:t>l’informatisation</w:t>
      </w:r>
      <w:r>
        <w:rPr>
          <w:color w:val="231F20"/>
          <w:spacing w:val="-15"/>
        </w:rPr>
        <w:t> </w:t>
      </w:r>
      <w:r>
        <w:rPr>
          <w:color w:val="231F20"/>
          <w:spacing w:val="-2"/>
        </w:rPr>
        <w:t>des</w:t>
      </w:r>
      <w:r>
        <w:rPr>
          <w:color w:val="231F20"/>
          <w:spacing w:val="-13"/>
        </w:rPr>
        <w:t> </w:t>
      </w:r>
      <w:r>
        <w:rPr>
          <w:color w:val="231F20"/>
          <w:spacing w:val="-2"/>
        </w:rPr>
        <w:t>données</w:t>
      </w:r>
      <w:r>
        <w:rPr>
          <w:color w:val="231F20"/>
          <w:spacing w:val="-13"/>
        </w:rPr>
        <w:t> </w:t>
      </w:r>
      <w:r>
        <w:rPr>
          <w:color w:val="231F20"/>
          <w:spacing w:val="-2"/>
        </w:rPr>
        <w:t>et</w:t>
      </w:r>
      <w:r>
        <w:rPr>
          <w:color w:val="231F20"/>
          <w:spacing w:val="-13"/>
        </w:rPr>
        <w:t> </w:t>
      </w:r>
      <w:r>
        <w:rPr>
          <w:color w:val="231F20"/>
          <w:spacing w:val="-2"/>
        </w:rPr>
        <w:t>la</w:t>
      </w:r>
      <w:r>
        <w:rPr>
          <w:color w:val="231F20"/>
          <w:spacing w:val="-13"/>
        </w:rPr>
        <w:t> </w:t>
      </w:r>
      <w:r>
        <w:rPr>
          <w:color w:val="231F20"/>
          <w:spacing w:val="-2"/>
        </w:rPr>
        <w:t>fabrication</w:t>
      </w:r>
      <w:r>
        <w:rPr>
          <w:color w:val="231F20"/>
          <w:spacing w:val="-13"/>
        </w:rPr>
        <w:t> </w:t>
      </w:r>
      <w:r>
        <w:rPr>
          <w:color w:val="231F20"/>
          <w:spacing w:val="-2"/>
        </w:rPr>
        <w:t>de</w:t>
      </w:r>
      <w:r>
        <w:rPr>
          <w:color w:val="231F20"/>
          <w:spacing w:val="-13"/>
        </w:rPr>
        <w:t> </w:t>
      </w:r>
      <w:r>
        <w:rPr>
          <w:color w:val="231F20"/>
          <w:spacing w:val="-2"/>
        </w:rPr>
        <w:t>cartes</w:t>
      </w:r>
      <w:r>
        <w:rPr>
          <w:color w:val="231F20"/>
          <w:spacing w:val="-13"/>
        </w:rPr>
        <w:t> </w:t>
      </w:r>
      <w:r>
        <w:rPr>
          <w:color w:val="231F20"/>
          <w:spacing w:val="-2"/>
        </w:rPr>
        <w:t>d’identités</w:t>
      </w:r>
      <w:r>
        <w:rPr>
          <w:color w:val="231F20"/>
          <w:spacing w:val="-13"/>
        </w:rPr>
        <w:t> </w:t>
      </w:r>
      <w:r>
        <w:rPr>
          <w:color w:val="231F20"/>
          <w:spacing w:val="-2"/>
        </w:rPr>
        <w:t>quasi- </w:t>
      </w:r>
      <w:r>
        <w:rPr>
          <w:color w:val="231F20"/>
        </w:rPr>
        <w:t>inexistantes depuis plusieurs années </w:t>
      </w:r>
      <w:r>
        <w:rPr>
          <w:color w:val="231F20"/>
          <w:vertAlign w:val="superscript"/>
        </w:rPr>
        <w:t>205</w:t>
      </w:r>
      <w:r>
        <w:rPr>
          <w:color w:val="231F20"/>
          <w:vertAlign w:val="baseline"/>
        </w:rPr>
        <w:t> , la couverture médiatique nationale</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internationale.</w:t>
      </w:r>
      <w:r>
        <w:rPr>
          <w:color w:val="231F20"/>
          <w:spacing w:val="-15"/>
          <w:vertAlign w:val="baseline"/>
        </w:rPr>
        <w:t> </w:t>
      </w:r>
      <w:r>
        <w:rPr>
          <w:color w:val="231F20"/>
          <w:vertAlign w:val="baseline"/>
        </w:rPr>
        <w:t>En</w:t>
      </w:r>
      <w:r>
        <w:rPr>
          <w:color w:val="231F20"/>
          <w:spacing w:val="-15"/>
          <w:vertAlign w:val="baseline"/>
        </w:rPr>
        <w:t> </w:t>
      </w:r>
      <w:r>
        <w:rPr>
          <w:color w:val="231F20"/>
          <w:vertAlign w:val="baseline"/>
        </w:rPr>
        <w:t>tout,</w:t>
      </w:r>
      <w:r>
        <w:rPr>
          <w:color w:val="231F20"/>
          <w:spacing w:val="-15"/>
          <w:vertAlign w:val="baseline"/>
        </w:rPr>
        <w:t> </w:t>
      </w:r>
      <w:r>
        <w:rPr>
          <w:color w:val="231F20"/>
          <w:vertAlign w:val="baseline"/>
        </w:rPr>
        <w:t>le</w:t>
      </w:r>
      <w:r>
        <w:rPr>
          <w:color w:val="231F20"/>
          <w:spacing w:val="-15"/>
          <w:vertAlign w:val="baseline"/>
        </w:rPr>
        <w:t> </w:t>
      </w:r>
      <w:r>
        <w:rPr>
          <w:color w:val="231F20"/>
          <w:vertAlign w:val="baseline"/>
        </w:rPr>
        <w:t>coût</w:t>
      </w:r>
      <w:r>
        <w:rPr>
          <w:color w:val="231F20"/>
          <w:spacing w:val="-15"/>
          <w:vertAlign w:val="baseline"/>
        </w:rPr>
        <w:t> </w:t>
      </w:r>
      <w:r>
        <w:rPr>
          <w:color w:val="231F20"/>
          <w:vertAlign w:val="baseline"/>
        </w:rPr>
        <w:t>de</w:t>
      </w:r>
      <w:r>
        <w:rPr>
          <w:color w:val="231F20"/>
          <w:spacing w:val="-15"/>
          <w:vertAlign w:val="baseline"/>
        </w:rPr>
        <w:t> </w:t>
      </w:r>
      <w:r>
        <w:rPr>
          <w:color w:val="231F20"/>
          <w:vertAlign w:val="baseline"/>
        </w:rPr>
        <w:t>l’élection</w:t>
      </w:r>
      <w:r>
        <w:rPr>
          <w:color w:val="231F20"/>
          <w:spacing w:val="-15"/>
          <w:vertAlign w:val="baseline"/>
        </w:rPr>
        <w:t> </w:t>
      </w:r>
      <w:r>
        <w:rPr>
          <w:color w:val="231F20"/>
          <w:vertAlign w:val="baseline"/>
        </w:rPr>
        <w:t>est</w:t>
      </w:r>
      <w:r>
        <w:rPr>
          <w:color w:val="231F20"/>
          <w:spacing w:val="-15"/>
          <w:vertAlign w:val="baseline"/>
        </w:rPr>
        <w:t> </w:t>
      </w:r>
      <w:r>
        <w:rPr>
          <w:color w:val="231F20"/>
          <w:vertAlign w:val="baseline"/>
        </w:rPr>
        <w:t>estimé</w:t>
      </w:r>
      <w:r>
        <w:rPr>
          <w:color w:val="231F20"/>
          <w:spacing w:val="-15"/>
          <w:vertAlign w:val="baseline"/>
        </w:rPr>
        <w:t> </w:t>
      </w:r>
      <w:r>
        <w:rPr>
          <w:color w:val="231F20"/>
          <w:vertAlign w:val="baseline"/>
        </w:rPr>
        <w:t>à</w:t>
      </w:r>
      <w:r>
        <w:rPr>
          <w:color w:val="231F20"/>
          <w:spacing w:val="-15"/>
          <w:vertAlign w:val="baseline"/>
        </w:rPr>
        <w:t> </w:t>
      </w:r>
      <w:r>
        <w:rPr>
          <w:color w:val="231F20"/>
          <w:vertAlign w:val="baseline"/>
        </w:rPr>
        <w:t>près de 200 milliards de francs CFA.</w:t>
      </w:r>
    </w:p>
    <w:p>
      <w:pPr>
        <w:pStyle w:val="BodyText"/>
        <w:spacing w:before="120"/>
        <w:ind w:right="107" w:firstLine="283"/>
      </w:pPr>
      <w:r>
        <w:rPr>
          <w:color w:val="231F20"/>
        </w:rPr>
        <w:t>Le 31 octobre 2010, 80% des 5,7 millions d’électeurs sur une population</w:t>
      </w:r>
      <w:r>
        <w:rPr>
          <w:color w:val="231F20"/>
          <w:spacing w:val="-13"/>
        </w:rPr>
        <w:t> </w:t>
      </w:r>
      <w:r>
        <w:rPr>
          <w:color w:val="231F20"/>
        </w:rPr>
        <w:t>de</w:t>
      </w:r>
      <w:r>
        <w:rPr>
          <w:color w:val="231F20"/>
          <w:spacing w:val="-15"/>
        </w:rPr>
        <w:t> </w:t>
      </w:r>
      <w:r>
        <w:rPr>
          <w:color w:val="231F20"/>
        </w:rPr>
        <w:t>plus</w:t>
      </w:r>
      <w:r>
        <w:rPr>
          <w:color w:val="231F20"/>
          <w:spacing w:val="-14"/>
        </w:rPr>
        <w:t> </w:t>
      </w:r>
      <w:r>
        <w:rPr>
          <w:color w:val="231F20"/>
        </w:rPr>
        <w:t>de</w:t>
      </w:r>
      <w:r>
        <w:rPr>
          <w:color w:val="231F20"/>
          <w:spacing w:val="-13"/>
        </w:rPr>
        <w:t> </w:t>
      </w:r>
      <w:r>
        <w:rPr>
          <w:color w:val="231F20"/>
        </w:rPr>
        <w:t>20</w:t>
      </w:r>
      <w:r>
        <w:rPr>
          <w:color w:val="231F20"/>
          <w:spacing w:val="-14"/>
        </w:rPr>
        <w:t> </w:t>
      </w:r>
      <w:r>
        <w:rPr>
          <w:color w:val="231F20"/>
        </w:rPr>
        <w:t>millions</w:t>
      </w:r>
      <w:r>
        <w:rPr>
          <w:color w:val="231F20"/>
          <w:spacing w:val="-14"/>
        </w:rPr>
        <w:t> </w:t>
      </w:r>
      <w:r>
        <w:rPr>
          <w:color w:val="231F20"/>
        </w:rPr>
        <w:t>d’habitants,</w:t>
      </w:r>
      <w:r>
        <w:rPr>
          <w:color w:val="231F20"/>
          <w:spacing w:val="-13"/>
        </w:rPr>
        <w:t> </w:t>
      </w:r>
      <w:r>
        <w:rPr>
          <w:color w:val="231F20"/>
        </w:rPr>
        <w:t>se</w:t>
      </w:r>
      <w:r>
        <w:rPr>
          <w:color w:val="231F20"/>
          <w:spacing w:val="-13"/>
        </w:rPr>
        <w:t> </w:t>
      </w:r>
      <w:r>
        <w:rPr>
          <w:color w:val="231F20"/>
        </w:rPr>
        <w:t>rendent</w:t>
      </w:r>
      <w:r>
        <w:rPr>
          <w:color w:val="231F20"/>
          <w:spacing w:val="-14"/>
        </w:rPr>
        <w:t> </w:t>
      </w:r>
      <w:r>
        <w:rPr>
          <w:color w:val="231F20"/>
        </w:rPr>
        <w:t>aux</w:t>
      </w:r>
      <w:r>
        <w:rPr>
          <w:color w:val="231F20"/>
          <w:spacing w:val="-15"/>
        </w:rPr>
        <w:t> </w:t>
      </w:r>
      <w:r>
        <w:rPr>
          <w:color w:val="231F20"/>
        </w:rPr>
        <w:t>urnes</w:t>
      </w:r>
      <w:r>
        <w:rPr>
          <w:color w:val="231F20"/>
          <w:spacing w:val="-14"/>
        </w:rPr>
        <w:t> </w:t>
      </w:r>
      <w:r>
        <w:rPr>
          <w:color w:val="231F20"/>
        </w:rPr>
        <w:t>dans le calme.</w:t>
      </w:r>
    </w:p>
    <w:p>
      <w:pPr>
        <w:pStyle w:val="BodyText"/>
        <w:spacing w:before="121"/>
        <w:ind w:right="105" w:firstLine="283"/>
      </w:pPr>
      <w:r>
        <w:rPr>
          <w:color w:val="231F20"/>
          <w:spacing w:val="-2"/>
        </w:rPr>
        <w:t>Alassane</w:t>
      </w:r>
      <w:r>
        <w:rPr>
          <w:color w:val="231F20"/>
          <w:spacing w:val="-12"/>
        </w:rPr>
        <w:t> </w:t>
      </w:r>
      <w:r>
        <w:rPr>
          <w:color w:val="231F20"/>
          <w:spacing w:val="-2"/>
        </w:rPr>
        <w:t>Ouattara</w:t>
      </w:r>
      <w:r>
        <w:rPr>
          <w:color w:val="231F20"/>
          <w:spacing w:val="-10"/>
        </w:rPr>
        <w:t> </w:t>
      </w:r>
      <w:r>
        <w:rPr>
          <w:color w:val="231F20"/>
          <w:spacing w:val="-2"/>
        </w:rPr>
        <w:t>compte</w:t>
      </w:r>
      <w:r>
        <w:rPr>
          <w:color w:val="231F20"/>
          <w:spacing w:val="-12"/>
        </w:rPr>
        <w:t> </w:t>
      </w:r>
      <w:r>
        <w:rPr>
          <w:color w:val="231F20"/>
          <w:spacing w:val="-2"/>
        </w:rPr>
        <w:t>sur</w:t>
      </w:r>
      <w:r>
        <w:rPr>
          <w:color w:val="231F20"/>
          <w:spacing w:val="-12"/>
        </w:rPr>
        <w:t> </w:t>
      </w:r>
      <w:r>
        <w:rPr>
          <w:color w:val="231F20"/>
          <w:spacing w:val="-2"/>
        </w:rPr>
        <w:t>son</w:t>
      </w:r>
      <w:r>
        <w:rPr>
          <w:color w:val="231F20"/>
          <w:spacing w:val="-13"/>
        </w:rPr>
        <w:t> </w:t>
      </w:r>
      <w:r>
        <w:rPr>
          <w:color w:val="231F20"/>
          <w:spacing w:val="-2"/>
        </w:rPr>
        <w:t>parti,</w:t>
      </w:r>
      <w:r>
        <w:rPr>
          <w:color w:val="231F20"/>
          <w:spacing w:val="-11"/>
        </w:rPr>
        <w:t> </w:t>
      </w:r>
      <w:r>
        <w:rPr>
          <w:color w:val="231F20"/>
          <w:spacing w:val="-2"/>
        </w:rPr>
        <w:t>le</w:t>
      </w:r>
      <w:r>
        <w:rPr>
          <w:color w:val="231F20"/>
          <w:spacing w:val="-11"/>
        </w:rPr>
        <w:t> </w:t>
      </w:r>
      <w:r>
        <w:rPr>
          <w:color w:val="231F20"/>
          <w:spacing w:val="-2"/>
        </w:rPr>
        <w:t>RDR</w:t>
      </w:r>
      <w:r>
        <w:rPr>
          <w:color w:val="231F20"/>
          <w:spacing w:val="-9"/>
        </w:rPr>
        <w:t> </w:t>
      </w:r>
      <w:r>
        <w:rPr>
          <w:color w:val="231F20"/>
          <w:spacing w:val="-2"/>
        </w:rPr>
        <w:t>au</w:t>
      </w:r>
      <w:r>
        <w:rPr>
          <w:color w:val="231F20"/>
          <w:spacing w:val="-13"/>
        </w:rPr>
        <w:t> </w:t>
      </w:r>
      <w:r>
        <w:rPr>
          <w:color w:val="231F20"/>
          <w:spacing w:val="-2"/>
        </w:rPr>
        <w:t>premier</w:t>
      </w:r>
      <w:r>
        <w:rPr>
          <w:color w:val="231F20"/>
          <w:spacing w:val="-11"/>
        </w:rPr>
        <w:t> </w:t>
      </w:r>
      <w:r>
        <w:rPr>
          <w:color w:val="231F20"/>
          <w:spacing w:val="-2"/>
        </w:rPr>
        <w:t>tour</w:t>
      </w:r>
      <w:r>
        <w:rPr>
          <w:color w:val="231F20"/>
          <w:spacing w:val="-12"/>
        </w:rPr>
        <w:t> </w:t>
      </w:r>
      <w:r>
        <w:rPr>
          <w:color w:val="231F20"/>
          <w:spacing w:val="-2"/>
        </w:rPr>
        <w:t>et</w:t>
      </w:r>
      <w:r>
        <w:rPr>
          <w:color w:val="231F20"/>
          <w:spacing w:val="-10"/>
        </w:rPr>
        <w:t> </w:t>
      </w:r>
      <w:r>
        <w:rPr>
          <w:color w:val="231F20"/>
          <w:spacing w:val="-2"/>
        </w:rPr>
        <w:t>sur </w:t>
      </w:r>
      <w:r>
        <w:rPr>
          <w:color w:val="231F20"/>
        </w:rPr>
        <w:t>trois autres partis au cas</w:t>
      </w:r>
      <w:r>
        <w:rPr>
          <w:color w:val="231F20"/>
          <w:spacing w:val="-2"/>
        </w:rPr>
        <w:t> </w:t>
      </w:r>
      <w:r>
        <w:rPr>
          <w:color w:val="231F20"/>
        </w:rPr>
        <w:t>où il part pour le second</w:t>
      </w:r>
      <w:r>
        <w:rPr>
          <w:color w:val="231F20"/>
          <w:spacing w:val="-2"/>
        </w:rPr>
        <w:t> </w:t>
      </w:r>
      <w:r>
        <w:rPr>
          <w:color w:val="231F20"/>
        </w:rPr>
        <w:t>tour. En effet,</w:t>
      </w:r>
      <w:r>
        <w:rPr>
          <w:color w:val="231F20"/>
          <w:spacing w:val="-1"/>
        </w:rPr>
        <w:t> </w:t>
      </w:r>
      <w:r>
        <w:rPr>
          <w:color w:val="231F20"/>
        </w:rPr>
        <w:t>depuis 2005, les quatre principaux partis de l’opposition, le PDCI de</w:t>
      </w:r>
      <w:r>
        <w:rPr>
          <w:color w:val="231F20"/>
          <w:spacing w:val="-14"/>
        </w:rPr>
        <w:t> </w:t>
      </w:r>
      <w:r>
        <w:rPr>
          <w:color w:val="231F20"/>
        </w:rPr>
        <w:t>Henri Konan</w:t>
      </w:r>
      <w:r>
        <w:rPr>
          <w:color w:val="231F20"/>
          <w:spacing w:val="-11"/>
        </w:rPr>
        <w:t> </w:t>
      </w:r>
      <w:r>
        <w:rPr>
          <w:color w:val="231F20"/>
        </w:rPr>
        <w:t>Bédié,</w:t>
      </w:r>
      <w:r>
        <w:rPr>
          <w:color w:val="231F20"/>
          <w:spacing w:val="-6"/>
        </w:rPr>
        <w:t> </w:t>
      </w:r>
      <w:r>
        <w:rPr>
          <w:color w:val="231F20"/>
        </w:rPr>
        <w:t>le</w:t>
      </w:r>
      <w:r>
        <w:rPr>
          <w:color w:val="231F20"/>
          <w:spacing w:val="-7"/>
        </w:rPr>
        <w:t> </w:t>
      </w:r>
      <w:r>
        <w:rPr>
          <w:color w:val="231F20"/>
        </w:rPr>
        <w:t>RDR</w:t>
      </w:r>
      <w:r>
        <w:rPr>
          <w:color w:val="231F20"/>
          <w:spacing w:val="-4"/>
        </w:rPr>
        <w:t> </w:t>
      </w:r>
      <w:r>
        <w:rPr>
          <w:color w:val="231F20"/>
        </w:rPr>
        <w:t>d’Alassane</w:t>
      </w:r>
      <w:r>
        <w:rPr>
          <w:color w:val="231F20"/>
          <w:spacing w:val="-5"/>
        </w:rPr>
        <w:t> </w:t>
      </w:r>
      <w:r>
        <w:rPr>
          <w:color w:val="231F20"/>
        </w:rPr>
        <w:t>Ouattara,</w:t>
      </w:r>
      <w:r>
        <w:rPr>
          <w:color w:val="231F20"/>
          <w:spacing w:val="-5"/>
        </w:rPr>
        <w:t> </w:t>
      </w:r>
      <w:r>
        <w:rPr>
          <w:color w:val="231F20"/>
        </w:rPr>
        <w:t>l'UDPCI</w:t>
      </w:r>
      <w:r>
        <w:rPr>
          <w:color w:val="231F20"/>
          <w:spacing w:val="-15"/>
        </w:rPr>
        <w:t> </w:t>
      </w:r>
      <w:r>
        <w:rPr>
          <w:color w:val="231F20"/>
        </w:rPr>
        <w:t>dirigée</w:t>
      </w:r>
      <w:r>
        <w:rPr>
          <w:color w:val="231F20"/>
          <w:spacing w:val="-7"/>
        </w:rPr>
        <w:t> </w:t>
      </w:r>
      <w:r>
        <w:rPr>
          <w:color w:val="231F20"/>
        </w:rPr>
        <w:t>par</w:t>
      </w:r>
      <w:r>
        <w:rPr>
          <w:color w:val="231F20"/>
          <w:spacing w:val="-4"/>
        </w:rPr>
        <w:t> </w:t>
      </w:r>
      <w:r>
        <w:rPr>
          <w:color w:val="231F20"/>
        </w:rPr>
        <w:t>Albert </w:t>
      </w:r>
      <w:r>
        <w:rPr>
          <w:color w:val="231F20"/>
          <w:spacing w:val="-4"/>
        </w:rPr>
        <w:t>Mabri</w:t>
      </w:r>
      <w:r>
        <w:rPr>
          <w:color w:val="231F20"/>
          <w:spacing w:val="-11"/>
        </w:rPr>
        <w:t> </w:t>
      </w:r>
      <w:r>
        <w:rPr>
          <w:color w:val="231F20"/>
          <w:spacing w:val="-4"/>
        </w:rPr>
        <w:t>Toikeusse</w:t>
      </w:r>
      <w:r>
        <w:rPr>
          <w:color w:val="231F20"/>
          <w:spacing w:val="-9"/>
        </w:rPr>
        <w:t> </w:t>
      </w:r>
      <w:r>
        <w:rPr>
          <w:color w:val="231F20"/>
          <w:spacing w:val="-4"/>
        </w:rPr>
        <w:t>et</w:t>
      </w:r>
      <w:r>
        <w:rPr>
          <w:color w:val="231F20"/>
          <w:spacing w:val="-11"/>
        </w:rPr>
        <w:t> </w:t>
      </w:r>
      <w:r>
        <w:rPr>
          <w:color w:val="231F20"/>
          <w:spacing w:val="-4"/>
        </w:rPr>
        <w:t>le</w:t>
      </w:r>
      <w:r>
        <w:rPr>
          <w:color w:val="231F20"/>
        </w:rPr>
        <w:t> </w:t>
      </w:r>
      <w:r>
        <w:rPr>
          <w:color w:val="231F20"/>
          <w:spacing w:val="-4"/>
        </w:rPr>
        <w:t>MFA</w:t>
      </w:r>
      <w:r>
        <w:rPr>
          <w:color w:val="231F20"/>
        </w:rPr>
        <w:t> </w:t>
      </w:r>
      <w:r>
        <w:rPr>
          <w:color w:val="231F20"/>
          <w:spacing w:val="-4"/>
        </w:rPr>
        <w:t>d'Innocent</w:t>
      </w:r>
      <w:r>
        <w:rPr>
          <w:color w:val="231F20"/>
          <w:spacing w:val="-9"/>
        </w:rPr>
        <w:t> </w:t>
      </w:r>
      <w:r>
        <w:rPr>
          <w:color w:val="231F20"/>
          <w:spacing w:val="-4"/>
        </w:rPr>
        <w:t>Kobenan</w:t>
      </w:r>
      <w:r>
        <w:rPr>
          <w:color w:val="231F20"/>
          <w:spacing w:val="-9"/>
        </w:rPr>
        <w:t> </w:t>
      </w:r>
      <w:r>
        <w:rPr>
          <w:color w:val="231F20"/>
          <w:spacing w:val="-4"/>
        </w:rPr>
        <w:t>Anaky</w:t>
      </w:r>
      <w:r>
        <w:rPr>
          <w:color w:val="231F20"/>
          <w:spacing w:val="-9"/>
        </w:rPr>
        <w:t> </w:t>
      </w:r>
      <w:r>
        <w:rPr>
          <w:color w:val="231F20"/>
          <w:spacing w:val="-4"/>
        </w:rPr>
        <w:t>avaient</w:t>
      </w:r>
      <w:r>
        <w:rPr>
          <w:color w:val="231F20"/>
          <w:spacing w:val="-9"/>
        </w:rPr>
        <w:t> </w:t>
      </w:r>
      <w:r>
        <w:rPr>
          <w:color w:val="231F20"/>
          <w:spacing w:val="-4"/>
        </w:rPr>
        <w:t>décidé</w:t>
      </w:r>
      <w:r>
        <w:rPr>
          <w:color w:val="231F20"/>
          <w:spacing w:val="-11"/>
        </w:rPr>
        <w:t> </w:t>
      </w:r>
      <w:r>
        <w:rPr>
          <w:color w:val="231F20"/>
          <w:spacing w:val="-4"/>
        </w:rPr>
        <w:t>de </w:t>
      </w:r>
      <w:r>
        <w:rPr>
          <w:color w:val="231F20"/>
        </w:rPr>
        <w:t>former une coalition politique, le</w:t>
      </w:r>
      <w:r>
        <w:rPr>
          <w:color w:val="231F20"/>
          <w:spacing w:val="-15"/>
        </w:rPr>
        <w:t> </w:t>
      </w:r>
      <w:r>
        <w:rPr>
          <w:color w:val="231F20"/>
        </w:rPr>
        <w:t>Rassemblement des Houphouetistes pour</w:t>
      </w:r>
      <w:r>
        <w:rPr>
          <w:color w:val="231F20"/>
          <w:spacing w:val="-5"/>
        </w:rPr>
        <w:t> </w:t>
      </w:r>
      <w:r>
        <w:rPr>
          <w:color w:val="231F20"/>
        </w:rPr>
        <w:t>la</w:t>
      </w:r>
      <w:r>
        <w:rPr>
          <w:color w:val="231F20"/>
          <w:spacing w:val="-8"/>
        </w:rPr>
        <w:t> </w:t>
      </w:r>
      <w:r>
        <w:rPr>
          <w:color w:val="231F20"/>
        </w:rPr>
        <w:t>Démocratie</w:t>
      </w:r>
      <w:r>
        <w:rPr>
          <w:color w:val="231F20"/>
          <w:spacing w:val="-5"/>
        </w:rPr>
        <w:t> </w:t>
      </w:r>
      <w:r>
        <w:rPr>
          <w:color w:val="231F20"/>
        </w:rPr>
        <w:t>et</w:t>
      </w:r>
      <w:r>
        <w:rPr>
          <w:color w:val="231F20"/>
          <w:spacing w:val="-7"/>
        </w:rPr>
        <w:t> </w:t>
      </w:r>
      <w:r>
        <w:rPr>
          <w:color w:val="231F20"/>
        </w:rPr>
        <w:t>la</w:t>
      </w:r>
      <w:r>
        <w:rPr>
          <w:color w:val="231F20"/>
          <w:spacing w:val="-7"/>
        </w:rPr>
        <w:t> </w:t>
      </w:r>
      <w:r>
        <w:rPr>
          <w:color w:val="231F20"/>
        </w:rPr>
        <w:t>Paix</w:t>
      </w:r>
      <w:r>
        <w:rPr>
          <w:color w:val="231F20"/>
          <w:spacing w:val="-5"/>
        </w:rPr>
        <w:t> </w:t>
      </w:r>
      <w:r>
        <w:rPr>
          <w:color w:val="231F20"/>
        </w:rPr>
        <w:t>(RHDP)</w:t>
      </w:r>
      <w:r>
        <w:rPr>
          <w:color w:val="231F20"/>
          <w:spacing w:val="-5"/>
        </w:rPr>
        <w:t> </w:t>
      </w:r>
      <w:r>
        <w:rPr>
          <w:color w:val="231F20"/>
        </w:rPr>
        <w:t>pour</w:t>
      </w:r>
      <w:r>
        <w:rPr>
          <w:color w:val="231F20"/>
          <w:spacing w:val="-7"/>
        </w:rPr>
        <w:t> </w:t>
      </w:r>
      <w:r>
        <w:rPr>
          <w:color w:val="231F20"/>
        </w:rPr>
        <w:t>la</w:t>
      </w:r>
      <w:r>
        <w:rPr>
          <w:color w:val="231F20"/>
          <w:spacing w:val="-5"/>
        </w:rPr>
        <w:t> </w:t>
      </w:r>
      <w:r>
        <w:rPr>
          <w:color w:val="231F20"/>
        </w:rPr>
        <w:t>course</w:t>
      </w:r>
      <w:r>
        <w:rPr>
          <w:color w:val="231F20"/>
          <w:spacing w:val="-5"/>
        </w:rPr>
        <w:t> </w:t>
      </w:r>
      <w:r>
        <w:rPr>
          <w:color w:val="231F20"/>
        </w:rPr>
        <w:t>à</w:t>
      </w:r>
      <w:r>
        <w:rPr>
          <w:color w:val="231F20"/>
          <w:spacing w:val="-5"/>
        </w:rPr>
        <w:t> </w:t>
      </w:r>
      <w:r>
        <w:rPr>
          <w:color w:val="231F20"/>
        </w:rPr>
        <w:t>la</w:t>
      </w:r>
      <w:r>
        <w:rPr>
          <w:color w:val="231F20"/>
          <w:spacing w:val="-5"/>
        </w:rPr>
        <w:t> </w:t>
      </w:r>
      <w:r>
        <w:rPr>
          <w:color w:val="231F20"/>
        </w:rPr>
        <w:t>présidence.</w:t>
      </w:r>
    </w:p>
    <w:p>
      <w:pPr>
        <w:pStyle w:val="BodyText"/>
        <w:spacing w:before="120"/>
        <w:ind w:right="105" w:firstLine="283"/>
      </w:pPr>
      <w:r>
        <w:rPr>
          <w:color w:val="231F20"/>
        </w:rPr>
        <w:t>Au terme du premier tour, les résultats provisoires donnent Laurent Gbagbo en tête avec 38,04</w:t>
      </w:r>
      <w:r>
        <w:rPr>
          <w:color w:val="231F20"/>
          <w:spacing w:val="-13"/>
        </w:rPr>
        <w:t> </w:t>
      </w:r>
      <w:r>
        <w:rPr>
          <w:color w:val="231F20"/>
        </w:rPr>
        <w:t>% des voix, suivi d’AlassaneDramane </w:t>
      </w:r>
      <w:r>
        <w:rPr>
          <w:color w:val="231F20"/>
          <w:spacing w:val="-2"/>
        </w:rPr>
        <w:t>Ouattara</w:t>
      </w:r>
      <w:r>
        <w:rPr>
          <w:color w:val="231F20"/>
          <w:spacing w:val="-15"/>
        </w:rPr>
        <w:t> </w:t>
      </w:r>
      <w:r>
        <w:rPr>
          <w:color w:val="231F20"/>
          <w:spacing w:val="-2"/>
        </w:rPr>
        <w:t>(ADO)</w:t>
      </w:r>
      <w:r>
        <w:rPr>
          <w:color w:val="231F20"/>
          <w:spacing w:val="-13"/>
        </w:rPr>
        <w:t> </w:t>
      </w:r>
      <w:r>
        <w:rPr>
          <w:color w:val="231F20"/>
          <w:spacing w:val="-2"/>
        </w:rPr>
        <w:t>avec</w:t>
      </w:r>
      <w:r>
        <w:rPr>
          <w:color w:val="231F20"/>
          <w:spacing w:val="-13"/>
        </w:rPr>
        <w:t> </w:t>
      </w:r>
      <w:r>
        <w:rPr>
          <w:color w:val="231F20"/>
          <w:spacing w:val="-2"/>
        </w:rPr>
        <w:t>32,07</w:t>
      </w:r>
      <w:r>
        <w:rPr>
          <w:color w:val="231F20"/>
          <w:spacing w:val="-13"/>
        </w:rPr>
        <w:t> </w:t>
      </w:r>
      <w:r>
        <w:rPr>
          <w:color w:val="231F20"/>
          <w:spacing w:val="-2"/>
        </w:rPr>
        <w:t>%</w:t>
      </w:r>
      <w:r>
        <w:rPr>
          <w:color w:val="231F20"/>
          <w:spacing w:val="-13"/>
        </w:rPr>
        <w:t> </w:t>
      </w:r>
      <w:r>
        <w:rPr>
          <w:color w:val="231F20"/>
          <w:spacing w:val="-2"/>
        </w:rPr>
        <w:t>et</w:t>
      </w:r>
      <w:r>
        <w:rPr>
          <w:color w:val="231F20"/>
          <w:spacing w:val="-13"/>
        </w:rPr>
        <w:t> </w:t>
      </w:r>
      <w:r>
        <w:rPr>
          <w:color w:val="231F20"/>
          <w:spacing w:val="-2"/>
        </w:rPr>
        <w:t>Henri</w:t>
      </w:r>
      <w:r>
        <w:rPr>
          <w:color w:val="231F20"/>
          <w:spacing w:val="-13"/>
        </w:rPr>
        <w:t> </w:t>
      </w:r>
      <w:r>
        <w:rPr>
          <w:color w:val="231F20"/>
          <w:spacing w:val="-2"/>
        </w:rPr>
        <w:t>Konan</w:t>
      </w:r>
      <w:r>
        <w:rPr>
          <w:color w:val="231F20"/>
          <w:spacing w:val="-13"/>
        </w:rPr>
        <w:t> </w:t>
      </w:r>
      <w:r>
        <w:rPr>
          <w:color w:val="231F20"/>
          <w:spacing w:val="-2"/>
        </w:rPr>
        <w:t>Bédié</w:t>
      </w:r>
      <w:r>
        <w:rPr>
          <w:color w:val="231F20"/>
          <w:spacing w:val="-13"/>
        </w:rPr>
        <w:t> </w:t>
      </w:r>
      <w:r>
        <w:rPr>
          <w:color w:val="231F20"/>
          <w:spacing w:val="-2"/>
        </w:rPr>
        <w:t>(HKB)</w:t>
      </w:r>
      <w:r>
        <w:rPr>
          <w:color w:val="231F20"/>
          <w:spacing w:val="-13"/>
        </w:rPr>
        <w:t> </w:t>
      </w:r>
      <w:r>
        <w:rPr>
          <w:color w:val="231F20"/>
          <w:spacing w:val="-2"/>
        </w:rPr>
        <w:t>en</w:t>
      </w:r>
      <w:r>
        <w:rPr>
          <w:color w:val="231F20"/>
          <w:spacing w:val="-13"/>
        </w:rPr>
        <w:t> </w:t>
      </w:r>
      <w:r>
        <w:rPr>
          <w:color w:val="231F20"/>
          <w:spacing w:val="-2"/>
        </w:rPr>
        <w:t>troisième position</w:t>
      </w:r>
      <w:r>
        <w:rPr>
          <w:color w:val="231F20"/>
          <w:spacing w:val="-14"/>
        </w:rPr>
        <w:t> </w:t>
      </w:r>
      <w:r>
        <w:rPr>
          <w:color w:val="231F20"/>
          <w:spacing w:val="-2"/>
        </w:rPr>
        <w:t>avec</w:t>
      </w:r>
      <w:r>
        <w:rPr>
          <w:color w:val="231F20"/>
          <w:spacing w:val="-11"/>
        </w:rPr>
        <w:t> </w:t>
      </w:r>
      <w:r>
        <w:rPr>
          <w:color w:val="231F20"/>
          <w:spacing w:val="-2"/>
        </w:rPr>
        <w:t>25,24%.</w:t>
      </w:r>
      <w:r>
        <w:rPr>
          <w:color w:val="231F20"/>
          <w:spacing w:val="-12"/>
        </w:rPr>
        <w:t> </w:t>
      </w:r>
      <w:r>
        <w:rPr>
          <w:color w:val="231F20"/>
          <w:spacing w:val="-2"/>
        </w:rPr>
        <w:t>Le</w:t>
      </w:r>
      <w:r>
        <w:rPr>
          <w:color w:val="231F20"/>
          <w:spacing w:val="-12"/>
        </w:rPr>
        <w:t> </w:t>
      </w:r>
      <w:r>
        <w:rPr>
          <w:color w:val="231F20"/>
          <w:spacing w:val="-2"/>
        </w:rPr>
        <w:t>PDCI,</w:t>
      </w:r>
      <w:r>
        <w:rPr>
          <w:color w:val="231F20"/>
          <w:spacing w:val="-9"/>
        </w:rPr>
        <w:t> </w:t>
      </w:r>
      <w:r>
        <w:rPr>
          <w:color w:val="231F20"/>
          <w:spacing w:val="-2"/>
        </w:rPr>
        <w:t>le</w:t>
      </w:r>
      <w:r>
        <w:rPr>
          <w:color w:val="231F20"/>
          <w:spacing w:val="-13"/>
        </w:rPr>
        <w:t> </w:t>
      </w:r>
      <w:r>
        <w:rPr>
          <w:color w:val="231F20"/>
          <w:spacing w:val="-2"/>
        </w:rPr>
        <w:t>Parti</w:t>
      </w:r>
      <w:r>
        <w:rPr>
          <w:color w:val="231F20"/>
          <w:spacing w:val="-10"/>
        </w:rPr>
        <w:t> </w:t>
      </w:r>
      <w:r>
        <w:rPr>
          <w:color w:val="231F20"/>
          <w:spacing w:val="-2"/>
        </w:rPr>
        <w:t>de</w:t>
      </w:r>
      <w:r>
        <w:rPr>
          <w:color w:val="231F20"/>
          <w:spacing w:val="-13"/>
        </w:rPr>
        <w:t> </w:t>
      </w:r>
      <w:r>
        <w:rPr>
          <w:color w:val="231F20"/>
          <w:spacing w:val="-2"/>
        </w:rPr>
        <w:t>l’ex-chef</w:t>
      </w:r>
      <w:r>
        <w:rPr>
          <w:color w:val="231F20"/>
          <w:spacing w:val="-10"/>
        </w:rPr>
        <w:t> </w:t>
      </w:r>
      <w:r>
        <w:rPr>
          <w:color w:val="231F20"/>
          <w:spacing w:val="-2"/>
        </w:rPr>
        <w:t>d’État</w:t>
      </w:r>
      <w:r>
        <w:rPr>
          <w:color w:val="231F20"/>
          <w:spacing w:val="-9"/>
        </w:rPr>
        <w:t> </w:t>
      </w:r>
      <w:r>
        <w:rPr>
          <w:color w:val="231F20"/>
          <w:spacing w:val="-2"/>
        </w:rPr>
        <w:t>Henri</w:t>
      </w:r>
      <w:r>
        <w:rPr>
          <w:color w:val="231F20"/>
          <w:spacing w:val="-10"/>
        </w:rPr>
        <w:t> </w:t>
      </w:r>
      <w:r>
        <w:rPr>
          <w:color w:val="231F20"/>
          <w:spacing w:val="-2"/>
        </w:rPr>
        <w:t>Konan</w:t>
      </w:r>
    </w:p>
    <w:p>
      <w:pPr>
        <w:pStyle w:val="BodyText"/>
        <w:spacing w:before="3"/>
        <w:ind w:left="0"/>
        <w:jc w:val="left"/>
        <w:rPr>
          <w:sz w:val="18"/>
        </w:rPr>
      </w:pPr>
      <w:r>
        <w:rPr/>
        <mc:AlternateContent>
          <mc:Choice Requires="wps">
            <w:drawing>
              <wp:anchor distT="0" distB="0" distL="0" distR="0" allowOverlap="1" layoutInCell="1" locked="0" behindDoc="1" simplePos="0" relativeHeight="487650816">
                <wp:simplePos x="0" y="0"/>
                <wp:positionH relativeFrom="page">
                  <wp:posOffset>629907</wp:posOffset>
                </wp:positionH>
                <wp:positionV relativeFrom="paragraph">
                  <wp:posOffset>148794</wp:posOffset>
                </wp:positionV>
                <wp:extent cx="1829435" cy="9525"/>
                <wp:effectExtent l="0" t="0" r="0" b="0"/>
                <wp:wrapTopAndBottom/>
                <wp:docPr id="152" name="Graphic 152"/>
                <wp:cNvGraphicFramePr>
                  <a:graphicFrameLocks/>
                </wp:cNvGraphicFramePr>
                <a:graphic>
                  <a:graphicData uri="http://schemas.microsoft.com/office/word/2010/wordprocessingShape">
                    <wps:wsp>
                      <wps:cNvPr id="152" name="Graphic 152"/>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1.716076pt;width:144.020pt;height:.71994pt;mso-position-horizontal-relative:page;mso-position-vertical-relative:paragraph;z-index:-15665664;mso-wrap-distance-left:0;mso-wrap-distance-right:0" id="docshape150" filled="true" fillcolor="#231f20" stroked="false">
                <v:fill type="solid"/>
                <w10:wrap type="topAndBottom"/>
              </v:rect>
            </w:pict>
          </mc:Fallback>
        </mc:AlternateContent>
      </w:r>
    </w:p>
    <w:p>
      <w:pPr>
        <w:spacing w:before="91"/>
        <w:ind w:left="111" w:right="106" w:firstLine="0"/>
        <w:jc w:val="both"/>
        <w:rPr>
          <w:sz w:val="20"/>
        </w:rPr>
      </w:pPr>
      <w:r>
        <w:rPr>
          <w:color w:val="76787A"/>
          <w:sz w:val="20"/>
          <w:vertAlign w:val="superscript"/>
        </w:rPr>
        <w:t>205</w:t>
      </w:r>
      <w:r>
        <w:rPr>
          <w:color w:val="76787A"/>
          <w:sz w:val="20"/>
          <w:vertAlign w:val="baseline"/>
        </w:rPr>
        <w:t> </w:t>
      </w:r>
      <w:r>
        <w:rPr>
          <w:color w:val="231F20"/>
          <w:sz w:val="20"/>
          <w:vertAlign w:val="baseline"/>
        </w:rPr>
        <w:t>les rebelles lors de l’occupation des villes du nord, centre et ouest, avaient systématiquement</w:t>
      </w:r>
      <w:r>
        <w:rPr>
          <w:color w:val="231F20"/>
          <w:spacing w:val="-13"/>
          <w:sz w:val="20"/>
          <w:vertAlign w:val="baseline"/>
        </w:rPr>
        <w:t> </w:t>
      </w:r>
      <w:r>
        <w:rPr>
          <w:color w:val="231F20"/>
          <w:sz w:val="20"/>
          <w:vertAlign w:val="baseline"/>
        </w:rPr>
        <w:t>brûlé</w:t>
      </w:r>
      <w:r>
        <w:rPr>
          <w:color w:val="231F20"/>
          <w:spacing w:val="-10"/>
          <w:sz w:val="20"/>
          <w:vertAlign w:val="baseline"/>
        </w:rPr>
        <w:t> </w:t>
      </w:r>
      <w:r>
        <w:rPr>
          <w:color w:val="231F20"/>
          <w:sz w:val="20"/>
          <w:vertAlign w:val="baseline"/>
        </w:rPr>
        <w:t>les</w:t>
      </w:r>
      <w:r>
        <w:rPr>
          <w:color w:val="231F20"/>
          <w:spacing w:val="-11"/>
          <w:sz w:val="20"/>
          <w:vertAlign w:val="baseline"/>
        </w:rPr>
        <w:t> </w:t>
      </w:r>
      <w:r>
        <w:rPr>
          <w:color w:val="231F20"/>
          <w:sz w:val="20"/>
          <w:vertAlign w:val="baseline"/>
        </w:rPr>
        <w:t>centres</w:t>
      </w:r>
      <w:r>
        <w:rPr>
          <w:color w:val="231F20"/>
          <w:spacing w:val="-12"/>
          <w:sz w:val="20"/>
          <w:vertAlign w:val="baseline"/>
        </w:rPr>
        <w:t> </w:t>
      </w:r>
      <w:r>
        <w:rPr>
          <w:color w:val="231F20"/>
          <w:sz w:val="20"/>
          <w:vertAlign w:val="baseline"/>
        </w:rPr>
        <w:t>d’état</w:t>
      </w:r>
      <w:r>
        <w:rPr>
          <w:color w:val="231F20"/>
          <w:spacing w:val="-12"/>
          <w:sz w:val="20"/>
          <w:vertAlign w:val="baseline"/>
        </w:rPr>
        <w:t> </w:t>
      </w:r>
      <w:r>
        <w:rPr>
          <w:color w:val="231F20"/>
          <w:sz w:val="20"/>
          <w:vertAlign w:val="baseline"/>
        </w:rPr>
        <w:t>civil</w:t>
      </w:r>
      <w:r>
        <w:rPr>
          <w:color w:val="231F20"/>
          <w:spacing w:val="-10"/>
          <w:sz w:val="20"/>
          <w:vertAlign w:val="baseline"/>
        </w:rPr>
        <w:t> </w:t>
      </w:r>
      <w:r>
        <w:rPr>
          <w:color w:val="231F20"/>
          <w:sz w:val="20"/>
          <w:vertAlign w:val="baseline"/>
        </w:rPr>
        <w:t>logés</w:t>
      </w:r>
      <w:r>
        <w:rPr>
          <w:color w:val="231F20"/>
          <w:spacing w:val="-12"/>
          <w:sz w:val="20"/>
          <w:vertAlign w:val="baseline"/>
        </w:rPr>
        <w:t> </w:t>
      </w:r>
      <w:r>
        <w:rPr>
          <w:color w:val="231F20"/>
          <w:sz w:val="20"/>
          <w:vertAlign w:val="baseline"/>
        </w:rPr>
        <w:t>dans</w:t>
      </w:r>
      <w:r>
        <w:rPr>
          <w:color w:val="231F20"/>
          <w:spacing w:val="-11"/>
          <w:sz w:val="20"/>
          <w:vertAlign w:val="baseline"/>
        </w:rPr>
        <w:t> </w:t>
      </w:r>
      <w:r>
        <w:rPr>
          <w:color w:val="231F20"/>
          <w:sz w:val="20"/>
          <w:vertAlign w:val="baseline"/>
        </w:rPr>
        <w:t>les</w:t>
      </w:r>
      <w:r>
        <w:rPr>
          <w:color w:val="231F20"/>
          <w:spacing w:val="-13"/>
          <w:sz w:val="20"/>
          <w:vertAlign w:val="baseline"/>
        </w:rPr>
        <w:t> </w:t>
      </w:r>
      <w:r>
        <w:rPr>
          <w:color w:val="231F20"/>
          <w:sz w:val="20"/>
          <w:vertAlign w:val="baseline"/>
        </w:rPr>
        <w:t>mairies</w:t>
      </w:r>
      <w:r>
        <w:rPr>
          <w:color w:val="231F20"/>
          <w:spacing w:val="-11"/>
          <w:sz w:val="20"/>
          <w:vertAlign w:val="baseline"/>
        </w:rPr>
        <w:t> </w:t>
      </w:r>
      <w:r>
        <w:rPr>
          <w:color w:val="231F20"/>
          <w:sz w:val="20"/>
          <w:vertAlign w:val="baseline"/>
        </w:rPr>
        <w:t>ou</w:t>
      </w:r>
      <w:r>
        <w:rPr>
          <w:color w:val="231F20"/>
          <w:spacing w:val="-11"/>
          <w:sz w:val="20"/>
          <w:vertAlign w:val="baseline"/>
        </w:rPr>
        <w:t> </w:t>
      </w:r>
      <w:r>
        <w:rPr>
          <w:color w:val="231F20"/>
          <w:sz w:val="20"/>
          <w:vertAlign w:val="baseline"/>
        </w:rPr>
        <w:t>dans</w:t>
      </w:r>
      <w:r>
        <w:rPr>
          <w:color w:val="231F20"/>
          <w:spacing w:val="-12"/>
          <w:sz w:val="20"/>
          <w:vertAlign w:val="baseline"/>
        </w:rPr>
        <w:t> </w:t>
      </w:r>
      <w:r>
        <w:rPr>
          <w:color w:val="231F20"/>
          <w:sz w:val="20"/>
          <w:vertAlign w:val="baseline"/>
        </w:rPr>
        <w:t>les</w:t>
      </w:r>
      <w:r>
        <w:rPr>
          <w:color w:val="231F20"/>
          <w:spacing w:val="-11"/>
          <w:sz w:val="20"/>
          <w:vertAlign w:val="baseline"/>
        </w:rPr>
        <w:t> </w:t>
      </w:r>
      <w:r>
        <w:rPr>
          <w:color w:val="231F20"/>
          <w:sz w:val="20"/>
          <w:vertAlign w:val="baseline"/>
        </w:rPr>
        <w:t>sous- </w:t>
      </w:r>
      <w:r>
        <w:rPr>
          <w:color w:val="231F20"/>
          <w:spacing w:val="-2"/>
          <w:sz w:val="20"/>
          <w:vertAlign w:val="baseline"/>
        </w:rPr>
        <w:t>préfectures.</w:t>
      </w:r>
    </w:p>
    <w:p>
      <w:pPr>
        <w:spacing w:after="0"/>
        <w:jc w:val="both"/>
        <w:rPr>
          <w:sz w:val="20"/>
        </w:rPr>
        <w:sectPr>
          <w:pgSz w:w="8790" w:h="13610"/>
          <w:pgMar w:header="0" w:footer="802" w:top="1060" w:bottom="1000" w:left="880" w:right="880"/>
        </w:sectPr>
      </w:pPr>
    </w:p>
    <w:p>
      <w:pPr>
        <w:pStyle w:val="BodyText"/>
        <w:spacing w:before="66"/>
      </w:pPr>
      <w:r>
        <w:rPr>
          <w:color w:val="231F20"/>
        </w:rPr>
        <w:t>Bédié</w:t>
      </w:r>
      <w:r>
        <w:rPr>
          <w:color w:val="231F20"/>
          <w:spacing w:val="6"/>
        </w:rPr>
        <w:t> </w:t>
      </w:r>
      <w:r>
        <w:rPr>
          <w:color w:val="231F20"/>
        </w:rPr>
        <w:t>dénonce</w:t>
      </w:r>
      <w:r>
        <w:rPr>
          <w:color w:val="231F20"/>
          <w:spacing w:val="6"/>
        </w:rPr>
        <w:t> </w:t>
      </w:r>
      <w:r>
        <w:rPr>
          <w:color w:val="231F20"/>
        </w:rPr>
        <w:t>«</w:t>
      </w:r>
      <w:r>
        <w:rPr>
          <w:color w:val="231F20"/>
          <w:spacing w:val="-14"/>
        </w:rPr>
        <w:t> </w:t>
      </w:r>
      <w:r>
        <w:rPr>
          <w:color w:val="231F20"/>
        </w:rPr>
        <w:t>une</w:t>
      </w:r>
      <w:r>
        <w:rPr>
          <w:color w:val="231F20"/>
          <w:spacing w:val="6"/>
        </w:rPr>
        <w:t> </w:t>
      </w:r>
      <w:r>
        <w:rPr>
          <w:color w:val="231F20"/>
        </w:rPr>
        <w:t>volonté</w:t>
      </w:r>
      <w:r>
        <w:rPr>
          <w:color w:val="231F20"/>
          <w:spacing w:val="6"/>
        </w:rPr>
        <w:t> </w:t>
      </w:r>
      <w:r>
        <w:rPr>
          <w:color w:val="231F20"/>
        </w:rPr>
        <w:t>manifeste</w:t>
      </w:r>
      <w:r>
        <w:rPr>
          <w:color w:val="231F20"/>
          <w:spacing w:val="7"/>
        </w:rPr>
        <w:t> </w:t>
      </w:r>
      <w:r>
        <w:rPr>
          <w:color w:val="231F20"/>
        </w:rPr>
        <w:t>de</w:t>
      </w:r>
      <w:r>
        <w:rPr>
          <w:color w:val="231F20"/>
          <w:spacing w:val="8"/>
        </w:rPr>
        <w:t> </w:t>
      </w:r>
      <w:r>
        <w:rPr>
          <w:color w:val="231F20"/>
        </w:rPr>
        <w:t>tripatouillage</w:t>
      </w:r>
      <w:r>
        <w:rPr>
          <w:color w:val="231F20"/>
          <w:spacing w:val="-15"/>
        </w:rPr>
        <w:t> </w:t>
      </w:r>
      <w:r>
        <w:rPr>
          <w:color w:val="231F20"/>
        </w:rPr>
        <w:t>»,</w:t>
      </w:r>
      <w:r>
        <w:rPr>
          <w:color w:val="231F20"/>
          <w:spacing w:val="7"/>
        </w:rPr>
        <w:t> </w:t>
      </w:r>
      <w:r>
        <w:rPr>
          <w:color w:val="231F20"/>
        </w:rPr>
        <w:t>et</w:t>
      </w:r>
      <w:r>
        <w:rPr>
          <w:color w:val="231F20"/>
          <w:spacing w:val="7"/>
        </w:rPr>
        <w:t> </w:t>
      </w:r>
      <w:r>
        <w:rPr>
          <w:color w:val="231F20"/>
        </w:rPr>
        <w:t>exige</w:t>
      </w:r>
      <w:r>
        <w:rPr>
          <w:color w:val="231F20"/>
          <w:spacing w:val="6"/>
        </w:rPr>
        <w:t> </w:t>
      </w:r>
      <w:r>
        <w:rPr>
          <w:color w:val="231F20"/>
          <w:spacing w:val="-5"/>
        </w:rPr>
        <w:t>un</w:t>
      </w:r>
    </w:p>
    <w:p>
      <w:pPr>
        <w:pStyle w:val="BodyText"/>
        <w:ind w:right="102"/>
      </w:pPr>
      <w:r>
        <w:rPr>
          <w:color w:val="231F20"/>
        </w:rPr>
        <w:t>«</w:t>
      </w:r>
      <w:r>
        <w:rPr>
          <w:color w:val="231F20"/>
          <w:spacing w:val="-15"/>
        </w:rPr>
        <w:t> </w:t>
      </w:r>
      <w:r>
        <w:rPr>
          <w:color w:val="231F20"/>
        </w:rPr>
        <w:t>recomptage</w:t>
      </w:r>
      <w:r>
        <w:rPr>
          <w:color w:val="231F20"/>
          <w:spacing w:val="-8"/>
        </w:rPr>
        <w:t> </w:t>
      </w:r>
      <w:r>
        <w:rPr>
          <w:color w:val="231F20"/>
        </w:rPr>
        <w:t>des</w:t>
      </w:r>
      <w:r>
        <w:rPr>
          <w:color w:val="231F20"/>
          <w:spacing w:val="-5"/>
        </w:rPr>
        <w:t> </w:t>
      </w:r>
      <w:r>
        <w:rPr>
          <w:color w:val="231F20"/>
        </w:rPr>
        <w:t>bulletins</w:t>
      </w:r>
      <w:r>
        <w:rPr>
          <w:color w:val="231F20"/>
          <w:spacing w:val="-5"/>
        </w:rPr>
        <w:t> </w:t>
      </w:r>
      <w:r>
        <w:rPr>
          <w:color w:val="231F20"/>
        </w:rPr>
        <w:t>de</w:t>
      </w:r>
      <w:r>
        <w:rPr>
          <w:color w:val="231F20"/>
          <w:spacing w:val="-6"/>
        </w:rPr>
        <w:t> </w:t>
      </w:r>
      <w:r>
        <w:rPr>
          <w:color w:val="231F20"/>
        </w:rPr>
        <w:t>vote</w:t>
      </w:r>
      <w:r>
        <w:rPr>
          <w:color w:val="231F20"/>
          <w:spacing w:val="-15"/>
        </w:rPr>
        <w:t> </w:t>
      </w:r>
      <w:r>
        <w:rPr>
          <w:color w:val="231F20"/>
        </w:rPr>
        <w:t>».</w:t>
      </w:r>
      <w:r>
        <w:rPr>
          <w:color w:val="231F20"/>
          <w:spacing w:val="-5"/>
        </w:rPr>
        <w:t> </w:t>
      </w:r>
      <w:r>
        <w:rPr>
          <w:color w:val="231F20"/>
        </w:rPr>
        <w:t>Bédié</w:t>
      </w:r>
      <w:r>
        <w:rPr>
          <w:color w:val="231F20"/>
          <w:spacing w:val="-6"/>
        </w:rPr>
        <w:t> </w:t>
      </w:r>
      <w:r>
        <w:rPr>
          <w:color w:val="231F20"/>
        </w:rPr>
        <w:t>annonce</w:t>
      </w:r>
      <w:r>
        <w:rPr>
          <w:color w:val="231F20"/>
          <w:spacing w:val="-5"/>
        </w:rPr>
        <w:t> </w:t>
      </w:r>
      <w:r>
        <w:rPr>
          <w:color w:val="231F20"/>
        </w:rPr>
        <w:t>qu’il</w:t>
      </w:r>
      <w:r>
        <w:rPr>
          <w:color w:val="231F20"/>
          <w:spacing w:val="-5"/>
        </w:rPr>
        <w:t> </w:t>
      </w:r>
      <w:r>
        <w:rPr>
          <w:color w:val="231F20"/>
        </w:rPr>
        <w:t>va</w:t>
      </w:r>
      <w:r>
        <w:rPr>
          <w:color w:val="231F20"/>
          <w:spacing w:val="-5"/>
        </w:rPr>
        <w:t> </w:t>
      </w:r>
      <w:r>
        <w:rPr>
          <w:color w:val="231F20"/>
        </w:rPr>
        <w:t>former</w:t>
      </w:r>
      <w:r>
        <w:rPr>
          <w:color w:val="231F20"/>
          <w:spacing w:val="-5"/>
        </w:rPr>
        <w:t> </w:t>
      </w:r>
      <w:r>
        <w:rPr>
          <w:color w:val="231F20"/>
        </w:rPr>
        <w:t>un recours</w:t>
      </w:r>
      <w:r>
        <w:rPr>
          <w:color w:val="231F20"/>
          <w:spacing w:val="-10"/>
        </w:rPr>
        <w:t> </w:t>
      </w:r>
      <w:r>
        <w:rPr>
          <w:color w:val="231F20"/>
        </w:rPr>
        <w:t>en</w:t>
      </w:r>
      <w:r>
        <w:rPr>
          <w:color w:val="231F20"/>
          <w:spacing w:val="-10"/>
        </w:rPr>
        <w:t> </w:t>
      </w:r>
      <w:r>
        <w:rPr>
          <w:color w:val="231F20"/>
        </w:rPr>
        <w:t>annulation</w:t>
      </w:r>
      <w:r>
        <w:rPr>
          <w:color w:val="231F20"/>
          <w:spacing w:val="-10"/>
        </w:rPr>
        <w:t> </w:t>
      </w:r>
      <w:r>
        <w:rPr>
          <w:color w:val="231F20"/>
        </w:rPr>
        <w:t>portant</w:t>
      </w:r>
      <w:r>
        <w:rPr>
          <w:color w:val="231F20"/>
          <w:spacing w:val="-10"/>
        </w:rPr>
        <w:t> </w:t>
      </w:r>
      <w:r>
        <w:rPr>
          <w:color w:val="231F20"/>
        </w:rPr>
        <w:t>sur</w:t>
      </w:r>
      <w:r>
        <w:rPr>
          <w:color w:val="231F20"/>
          <w:spacing w:val="-12"/>
        </w:rPr>
        <w:t> </w:t>
      </w:r>
      <w:r>
        <w:rPr>
          <w:color w:val="231F20"/>
        </w:rPr>
        <w:t>près</w:t>
      </w:r>
      <w:r>
        <w:rPr>
          <w:color w:val="231F20"/>
          <w:spacing w:val="-10"/>
        </w:rPr>
        <w:t> </w:t>
      </w:r>
      <w:r>
        <w:rPr>
          <w:color w:val="231F20"/>
        </w:rPr>
        <w:t>de</w:t>
      </w:r>
      <w:r>
        <w:rPr>
          <w:color w:val="231F20"/>
          <w:spacing w:val="-11"/>
        </w:rPr>
        <w:t> </w:t>
      </w:r>
      <w:r>
        <w:rPr>
          <w:color w:val="231F20"/>
        </w:rPr>
        <w:t>600</w:t>
      </w:r>
      <w:r>
        <w:rPr>
          <w:color w:val="231F20"/>
          <w:spacing w:val="-14"/>
        </w:rPr>
        <w:t> </w:t>
      </w:r>
      <w:r>
        <w:rPr>
          <w:color w:val="231F20"/>
        </w:rPr>
        <w:t>000</w:t>
      </w:r>
      <w:r>
        <w:rPr>
          <w:color w:val="231F20"/>
          <w:spacing w:val="-10"/>
        </w:rPr>
        <w:t> </w:t>
      </w:r>
      <w:r>
        <w:rPr>
          <w:color w:val="231F20"/>
        </w:rPr>
        <w:t>voix</w:t>
      </w:r>
      <w:r>
        <w:rPr>
          <w:color w:val="231F20"/>
          <w:spacing w:val="-10"/>
        </w:rPr>
        <w:t> </w:t>
      </w:r>
      <w:r>
        <w:rPr>
          <w:color w:val="231F20"/>
        </w:rPr>
        <w:t>(il</w:t>
      </w:r>
      <w:r>
        <w:rPr>
          <w:color w:val="231F20"/>
          <w:spacing w:val="-10"/>
        </w:rPr>
        <w:t> </w:t>
      </w:r>
      <w:r>
        <w:rPr>
          <w:color w:val="231F20"/>
        </w:rPr>
        <w:t>y</w:t>
      </w:r>
      <w:r>
        <w:rPr>
          <w:color w:val="231F20"/>
          <w:spacing w:val="-10"/>
        </w:rPr>
        <w:t> </w:t>
      </w:r>
      <w:r>
        <w:rPr>
          <w:color w:val="231F20"/>
        </w:rPr>
        <w:t>avait</w:t>
      </w:r>
      <w:r>
        <w:rPr>
          <w:color w:val="231F20"/>
          <w:spacing w:val="-10"/>
        </w:rPr>
        <w:t> </w:t>
      </w:r>
      <w:r>
        <w:rPr>
          <w:color w:val="231F20"/>
        </w:rPr>
        <w:t>un</w:t>
      </w:r>
      <w:r>
        <w:rPr>
          <w:color w:val="231F20"/>
          <w:spacing w:val="-12"/>
        </w:rPr>
        <w:t> </w:t>
      </w:r>
      <w:r>
        <w:rPr>
          <w:color w:val="231F20"/>
        </w:rPr>
        <w:t>peu </w:t>
      </w:r>
      <w:r>
        <w:rPr>
          <w:color w:val="231F20"/>
          <w:spacing w:val="-2"/>
        </w:rPr>
        <w:t>plus</w:t>
      </w:r>
      <w:r>
        <w:rPr>
          <w:color w:val="231F20"/>
          <w:spacing w:val="-12"/>
        </w:rPr>
        <w:t> </w:t>
      </w:r>
      <w:r>
        <w:rPr>
          <w:color w:val="231F20"/>
          <w:spacing w:val="-2"/>
        </w:rPr>
        <w:t>de</w:t>
      </w:r>
      <w:r>
        <w:rPr>
          <w:color w:val="231F20"/>
          <w:spacing w:val="-12"/>
        </w:rPr>
        <w:t> </w:t>
      </w:r>
      <w:r>
        <w:rPr>
          <w:color w:val="231F20"/>
          <w:spacing w:val="-2"/>
        </w:rPr>
        <w:t>300</w:t>
      </w:r>
      <w:r>
        <w:rPr>
          <w:color w:val="231F20"/>
          <w:spacing w:val="-9"/>
        </w:rPr>
        <w:t> </w:t>
      </w:r>
      <w:r>
        <w:rPr>
          <w:color w:val="231F20"/>
          <w:spacing w:val="-2"/>
        </w:rPr>
        <w:t>000</w:t>
      </w:r>
      <w:r>
        <w:rPr>
          <w:color w:val="231F20"/>
          <w:spacing w:val="-12"/>
        </w:rPr>
        <w:t> </w:t>
      </w:r>
      <w:r>
        <w:rPr>
          <w:color w:val="231F20"/>
          <w:spacing w:val="-2"/>
        </w:rPr>
        <w:t>voix</w:t>
      </w:r>
      <w:r>
        <w:rPr>
          <w:color w:val="231F20"/>
          <w:spacing w:val="-12"/>
        </w:rPr>
        <w:t> </w:t>
      </w:r>
      <w:r>
        <w:rPr>
          <w:color w:val="231F20"/>
          <w:spacing w:val="-2"/>
        </w:rPr>
        <w:t>d’écart</w:t>
      </w:r>
      <w:r>
        <w:rPr>
          <w:color w:val="231F20"/>
          <w:spacing w:val="-11"/>
        </w:rPr>
        <w:t> </w:t>
      </w:r>
      <w:r>
        <w:rPr>
          <w:color w:val="231F20"/>
          <w:spacing w:val="-2"/>
        </w:rPr>
        <w:t>entre</w:t>
      </w:r>
      <w:r>
        <w:rPr>
          <w:color w:val="231F20"/>
          <w:spacing w:val="-12"/>
        </w:rPr>
        <w:t> </w:t>
      </w:r>
      <w:r>
        <w:rPr>
          <w:color w:val="231F20"/>
          <w:spacing w:val="-2"/>
        </w:rPr>
        <w:t>Alassane</w:t>
      </w:r>
      <w:r>
        <w:rPr>
          <w:color w:val="231F20"/>
          <w:spacing w:val="-13"/>
        </w:rPr>
        <w:t> </w:t>
      </w:r>
      <w:r>
        <w:rPr>
          <w:color w:val="231F20"/>
          <w:spacing w:val="-2"/>
        </w:rPr>
        <w:t>et</w:t>
      </w:r>
      <w:r>
        <w:rPr>
          <w:color w:val="231F20"/>
          <w:spacing w:val="-11"/>
        </w:rPr>
        <w:t> </w:t>
      </w:r>
      <w:r>
        <w:rPr>
          <w:color w:val="231F20"/>
          <w:spacing w:val="-2"/>
        </w:rPr>
        <w:t>lui).</w:t>
      </w:r>
      <w:r>
        <w:rPr>
          <w:color w:val="231F20"/>
          <w:spacing w:val="-13"/>
        </w:rPr>
        <w:t> </w:t>
      </w:r>
      <w:r>
        <w:rPr>
          <w:color w:val="231F20"/>
          <w:spacing w:val="-2"/>
        </w:rPr>
        <w:t>De</w:t>
      </w:r>
      <w:r>
        <w:rPr>
          <w:color w:val="231F20"/>
          <w:spacing w:val="-12"/>
        </w:rPr>
        <w:t> </w:t>
      </w:r>
      <w:r>
        <w:rPr>
          <w:color w:val="231F20"/>
          <w:spacing w:val="-2"/>
        </w:rPr>
        <w:t>nombreux</w:t>
      </w:r>
      <w:r>
        <w:rPr>
          <w:color w:val="231F20"/>
          <w:spacing w:val="-12"/>
        </w:rPr>
        <w:t> </w:t>
      </w:r>
      <w:r>
        <w:rPr>
          <w:color w:val="231F20"/>
          <w:spacing w:val="-2"/>
        </w:rPr>
        <w:t>procès- </w:t>
      </w:r>
      <w:r>
        <w:rPr>
          <w:color w:val="231F20"/>
        </w:rPr>
        <w:t>verbaux</w:t>
      </w:r>
      <w:r>
        <w:rPr>
          <w:color w:val="231F20"/>
          <w:spacing w:val="-10"/>
        </w:rPr>
        <w:t> </w:t>
      </w:r>
      <w:r>
        <w:rPr>
          <w:color w:val="231F20"/>
        </w:rPr>
        <w:t>en</w:t>
      </w:r>
      <w:r>
        <w:rPr>
          <w:color w:val="231F20"/>
          <w:spacing w:val="-7"/>
        </w:rPr>
        <w:t> </w:t>
      </w:r>
      <w:r>
        <w:rPr>
          <w:color w:val="231F20"/>
        </w:rPr>
        <w:t>zone</w:t>
      </w:r>
      <w:r>
        <w:rPr>
          <w:color w:val="231F20"/>
          <w:spacing w:val="-7"/>
        </w:rPr>
        <w:t> </w:t>
      </w:r>
      <w:r>
        <w:rPr>
          <w:color w:val="231F20"/>
        </w:rPr>
        <w:t>CNO</w:t>
      </w:r>
      <w:r>
        <w:rPr>
          <w:color w:val="231F20"/>
          <w:spacing w:val="-6"/>
        </w:rPr>
        <w:t> </w:t>
      </w:r>
      <w:r>
        <w:rPr>
          <w:color w:val="231F20"/>
        </w:rPr>
        <w:t>seraient</w:t>
      </w:r>
      <w:r>
        <w:rPr>
          <w:color w:val="231F20"/>
          <w:spacing w:val="-6"/>
        </w:rPr>
        <w:t> </w:t>
      </w:r>
      <w:r>
        <w:rPr>
          <w:color w:val="231F20"/>
        </w:rPr>
        <w:t>suspects</w:t>
      </w:r>
      <w:r>
        <w:rPr>
          <w:color w:val="231F20"/>
          <w:spacing w:val="-15"/>
        </w:rPr>
        <w:t> </w:t>
      </w:r>
      <w:r>
        <w:rPr>
          <w:color w:val="231F20"/>
        </w:rPr>
        <w:t>:</w:t>
      </w:r>
      <w:r>
        <w:rPr>
          <w:color w:val="231F20"/>
          <w:spacing w:val="-4"/>
        </w:rPr>
        <w:t> </w:t>
      </w:r>
      <w:r>
        <w:rPr>
          <w:color w:val="231F20"/>
        </w:rPr>
        <w:t>plus</w:t>
      </w:r>
      <w:r>
        <w:rPr>
          <w:color w:val="231F20"/>
          <w:spacing w:val="-7"/>
        </w:rPr>
        <w:t> </w:t>
      </w:r>
      <w:r>
        <w:rPr>
          <w:color w:val="231F20"/>
        </w:rPr>
        <w:t>de</w:t>
      </w:r>
      <w:r>
        <w:rPr>
          <w:color w:val="231F20"/>
          <w:spacing w:val="-8"/>
        </w:rPr>
        <w:t> </w:t>
      </w:r>
      <w:r>
        <w:rPr>
          <w:color w:val="231F20"/>
        </w:rPr>
        <w:t>votants</w:t>
      </w:r>
      <w:r>
        <w:rPr>
          <w:color w:val="231F20"/>
          <w:spacing w:val="-5"/>
        </w:rPr>
        <w:t> </w:t>
      </w:r>
      <w:r>
        <w:rPr>
          <w:color w:val="231F20"/>
        </w:rPr>
        <w:t>que</w:t>
      </w:r>
      <w:r>
        <w:rPr>
          <w:color w:val="231F20"/>
          <w:spacing w:val="-6"/>
        </w:rPr>
        <w:t> </w:t>
      </w:r>
      <w:r>
        <w:rPr>
          <w:color w:val="231F20"/>
        </w:rPr>
        <w:t>d’inscrits, 100</w:t>
      </w:r>
      <w:r>
        <w:rPr>
          <w:color w:val="231F20"/>
          <w:spacing w:val="-12"/>
        </w:rPr>
        <w:t> </w:t>
      </w:r>
      <w:r>
        <w:rPr>
          <w:color w:val="231F20"/>
        </w:rPr>
        <w:t>% des voix pour le candidat Ouattara. Mais, par un concours de circonstances bien étrange, le recours est déposé hors délai alors que Bédié est lui-même juriste. Le Conseil de Sécurité de l’ONU juge les irrégularités de </w:t>
      </w:r>
      <w:r>
        <w:rPr>
          <w:i/>
          <w:color w:val="231F20"/>
        </w:rPr>
        <w:t>«</w:t>
      </w:r>
      <w:r>
        <w:rPr>
          <w:i/>
          <w:color w:val="231F20"/>
          <w:spacing w:val="-12"/>
        </w:rPr>
        <w:t> </w:t>
      </w:r>
      <w:r>
        <w:rPr>
          <w:i/>
          <w:color w:val="231F20"/>
        </w:rPr>
        <w:t>mineures» </w:t>
      </w:r>
      <w:r>
        <w:rPr>
          <w:color w:val="231F20"/>
        </w:rPr>
        <w:t>et exhorte les candidats à </w:t>
      </w:r>
      <w:r>
        <w:rPr>
          <w:i/>
          <w:color w:val="231F20"/>
        </w:rPr>
        <w:t>«</w:t>
      </w:r>
      <w:r>
        <w:rPr>
          <w:i/>
          <w:color w:val="231F20"/>
          <w:spacing w:val="-12"/>
        </w:rPr>
        <w:t> </w:t>
      </w:r>
      <w:r>
        <w:rPr>
          <w:i/>
          <w:color w:val="231F20"/>
        </w:rPr>
        <w:t>maintenir un</w:t>
      </w:r>
      <w:r>
        <w:rPr>
          <w:i/>
          <w:color w:val="231F20"/>
        </w:rPr>
        <w:t> environnement calme et pacifique et à accepter les résultats</w:t>
      </w:r>
      <w:r>
        <w:rPr>
          <w:i/>
          <w:color w:val="231F20"/>
          <w:spacing w:val="-15"/>
        </w:rPr>
        <w:t> </w:t>
      </w:r>
      <w:r>
        <w:rPr>
          <w:i/>
          <w:color w:val="231F20"/>
        </w:rPr>
        <w:t>». </w:t>
      </w:r>
      <w:r>
        <w:rPr>
          <w:color w:val="231F20"/>
        </w:rPr>
        <w:t>Henri Konan</w:t>
      </w:r>
      <w:r>
        <w:rPr>
          <w:color w:val="231F20"/>
          <w:spacing w:val="-1"/>
        </w:rPr>
        <w:t> </w:t>
      </w:r>
      <w:r>
        <w:rPr>
          <w:color w:val="231F20"/>
        </w:rPr>
        <w:t>Bédié,</w:t>
      </w:r>
      <w:r>
        <w:rPr>
          <w:color w:val="231F20"/>
          <w:spacing w:val="-1"/>
        </w:rPr>
        <w:t> </w:t>
      </w:r>
      <w:r>
        <w:rPr>
          <w:color w:val="231F20"/>
        </w:rPr>
        <w:t>respectueux</w:t>
      </w:r>
      <w:r>
        <w:rPr>
          <w:color w:val="231F20"/>
          <w:spacing w:val="-1"/>
        </w:rPr>
        <w:t> </w:t>
      </w:r>
      <w:r>
        <w:rPr>
          <w:color w:val="231F20"/>
        </w:rPr>
        <w:t>des</w:t>
      </w:r>
      <w:r>
        <w:rPr>
          <w:color w:val="231F20"/>
          <w:spacing w:val="-1"/>
        </w:rPr>
        <w:t> </w:t>
      </w:r>
      <w:r>
        <w:rPr>
          <w:color w:val="231F20"/>
        </w:rPr>
        <w:t>accords</w:t>
      </w:r>
      <w:r>
        <w:rPr>
          <w:color w:val="231F20"/>
          <w:spacing w:val="-1"/>
        </w:rPr>
        <w:t> </w:t>
      </w:r>
      <w:r>
        <w:rPr>
          <w:color w:val="231F20"/>
        </w:rPr>
        <w:t>des</w:t>
      </w:r>
      <w:r>
        <w:rPr>
          <w:color w:val="231F20"/>
          <w:spacing w:val="-1"/>
        </w:rPr>
        <w:t> </w:t>
      </w:r>
      <w:r>
        <w:rPr>
          <w:color w:val="231F20"/>
        </w:rPr>
        <w:t>signataires</w:t>
      </w:r>
      <w:r>
        <w:rPr>
          <w:color w:val="231F20"/>
          <w:spacing w:val="-1"/>
        </w:rPr>
        <w:t> </w:t>
      </w:r>
      <w:r>
        <w:rPr>
          <w:color w:val="231F20"/>
        </w:rPr>
        <w:t>de</w:t>
      </w:r>
      <w:r>
        <w:rPr>
          <w:color w:val="231F20"/>
          <w:spacing w:val="-1"/>
        </w:rPr>
        <w:t> </w:t>
      </w:r>
      <w:r>
        <w:rPr>
          <w:color w:val="231F20"/>
        </w:rPr>
        <w:t>la</w:t>
      </w:r>
      <w:r>
        <w:rPr>
          <w:color w:val="231F20"/>
          <w:spacing w:val="-1"/>
        </w:rPr>
        <w:t> </w:t>
      </w:r>
      <w:r>
        <w:rPr>
          <w:color w:val="231F20"/>
        </w:rPr>
        <w:t>plateforme RHDP,</w:t>
      </w:r>
      <w:r>
        <w:rPr>
          <w:color w:val="231F20"/>
          <w:spacing w:val="-15"/>
        </w:rPr>
        <w:t> </w:t>
      </w:r>
      <w:r>
        <w:rPr>
          <w:color w:val="231F20"/>
        </w:rPr>
        <w:t>appelle</w:t>
      </w:r>
      <w:r>
        <w:rPr>
          <w:color w:val="231F20"/>
          <w:spacing w:val="-15"/>
        </w:rPr>
        <w:t> </w:t>
      </w:r>
      <w:r>
        <w:rPr>
          <w:color w:val="231F20"/>
        </w:rPr>
        <w:t>ses</w:t>
      </w:r>
      <w:r>
        <w:rPr>
          <w:color w:val="231F20"/>
          <w:spacing w:val="-15"/>
        </w:rPr>
        <w:t> </w:t>
      </w:r>
      <w:r>
        <w:rPr>
          <w:color w:val="231F20"/>
        </w:rPr>
        <w:t>partisans</w:t>
      </w:r>
      <w:r>
        <w:rPr>
          <w:color w:val="231F20"/>
          <w:spacing w:val="-15"/>
        </w:rPr>
        <w:t> </w:t>
      </w:r>
      <w:r>
        <w:rPr>
          <w:color w:val="231F20"/>
        </w:rPr>
        <w:t>à</w:t>
      </w:r>
      <w:r>
        <w:rPr>
          <w:color w:val="231F20"/>
          <w:spacing w:val="-15"/>
        </w:rPr>
        <w:t> </w:t>
      </w:r>
      <w:r>
        <w:rPr>
          <w:color w:val="231F20"/>
        </w:rPr>
        <w:t>voter</w:t>
      </w:r>
      <w:r>
        <w:rPr>
          <w:color w:val="231F20"/>
          <w:spacing w:val="-15"/>
        </w:rPr>
        <w:t> </w:t>
      </w:r>
      <w:r>
        <w:rPr>
          <w:color w:val="231F20"/>
        </w:rPr>
        <w:t>le</w:t>
      </w:r>
      <w:r>
        <w:rPr>
          <w:color w:val="231F20"/>
          <w:spacing w:val="-15"/>
        </w:rPr>
        <w:t> </w:t>
      </w:r>
      <w:r>
        <w:rPr>
          <w:color w:val="231F20"/>
        </w:rPr>
        <w:t>leader</w:t>
      </w:r>
      <w:r>
        <w:rPr>
          <w:color w:val="231F20"/>
          <w:spacing w:val="-15"/>
        </w:rPr>
        <w:t> </w:t>
      </w:r>
      <w:r>
        <w:rPr>
          <w:color w:val="231F20"/>
        </w:rPr>
        <w:t>du</w:t>
      </w:r>
      <w:r>
        <w:rPr>
          <w:color w:val="231F20"/>
          <w:spacing w:val="-15"/>
        </w:rPr>
        <w:t> </w:t>
      </w:r>
      <w:r>
        <w:rPr>
          <w:color w:val="231F20"/>
        </w:rPr>
        <w:t>RDR</w:t>
      </w:r>
      <w:r>
        <w:rPr>
          <w:color w:val="231F20"/>
          <w:spacing w:val="-15"/>
        </w:rPr>
        <w:t> </w:t>
      </w:r>
      <w:r>
        <w:rPr>
          <w:color w:val="231F20"/>
        </w:rPr>
        <w:t>au</w:t>
      </w:r>
      <w:r>
        <w:rPr>
          <w:color w:val="231F20"/>
          <w:spacing w:val="-15"/>
        </w:rPr>
        <w:t> </w:t>
      </w:r>
      <w:r>
        <w:rPr>
          <w:color w:val="231F20"/>
        </w:rPr>
        <w:t>deuxième</w:t>
      </w:r>
      <w:r>
        <w:rPr>
          <w:color w:val="231F20"/>
          <w:spacing w:val="-15"/>
        </w:rPr>
        <w:t> </w:t>
      </w:r>
      <w:r>
        <w:rPr>
          <w:color w:val="231F20"/>
        </w:rPr>
        <w:t>tour.</w:t>
      </w:r>
    </w:p>
    <w:p>
      <w:pPr>
        <w:pStyle w:val="BodyText"/>
        <w:spacing w:before="121"/>
        <w:ind w:right="103" w:firstLine="283"/>
        <w:rPr>
          <w:i/>
        </w:rPr>
      </w:pPr>
      <w:r>
        <w:rPr>
          <w:color w:val="231F20"/>
        </w:rPr>
        <w:t>Le</w:t>
      </w:r>
      <w:r>
        <w:rPr>
          <w:color w:val="231F20"/>
          <w:spacing w:val="-1"/>
        </w:rPr>
        <w:t> </w:t>
      </w:r>
      <w:r>
        <w:rPr>
          <w:color w:val="231F20"/>
        </w:rPr>
        <w:t>climat</w:t>
      </w:r>
      <w:r>
        <w:rPr>
          <w:color w:val="231F20"/>
          <w:spacing w:val="-1"/>
        </w:rPr>
        <w:t> </w:t>
      </w:r>
      <w:r>
        <w:rPr>
          <w:color w:val="231F20"/>
        </w:rPr>
        <w:t>précédant</w:t>
      </w:r>
      <w:r>
        <w:rPr>
          <w:color w:val="231F20"/>
          <w:spacing w:val="-1"/>
        </w:rPr>
        <w:t> </w:t>
      </w:r>
      <w:r>
        <w:rPr>
          <w:color w:val="231F20"/>
        </w:rPr>
        <w:t>le</w:t>
      </w:r>
      <w:r>
        <w:rPr>
          <w:color w:val="231F20"/>
          <w:spacing w:val="-1"/>
        </w:rPr>
        <w:t> </w:t>
      </w:r>
      <w:r>
        <w:rPr>
          <w:color w:val="231F20"/>
        </w:rPr>
        <w:t>2è</w:t>
      </w:r>
      <w:r>
        <w:rPr>
          <w:color w:val="231F20"/>
          <w:spacing w:val="-3"/>
        </w:rPr>
        <w:t> </w:t>
      </w:r>
      <w:r>
        <w:rPr>
          <w:color w:val="231F20"/>
        </w:rPr>
        <w:t>tour est émaillé</w:t>
      </w:r>
      <w:r>
        <w:rPr>
          <w:color w:val="231F20"/>
          <w:spacing w:val="-1"/>
        </w:rPr>
        <w:t> </w:t>
      </w:r>
      <w:r>
        <w:rPr>
          <w:color w:val="231F20"/>
        </w:rPr>
        <w:t>d’incidents plus ou</w:t>
      </w:r>
      <w:r>
        <w:rPr>
          <w:color w:val="231F20"/>
          <w:spacing w:val="-2"/>
        </w:rPr>
        <w:t> </w:t>
      </w:r>
      <w:r>
        <w:rPr>
          <w:color w:val="231F20"/>
        </w:rPr>
        <w:t>moins graves. Le</w:t>
      </w:r>
      <w:r>
        <w:rPr>
          <w:color w:val="231F20"/>
          <w:spacing w:val="-14"/>
        </w:rPr>
        <w:t> </w:t>
      </w:r>
      <w:r>
        <w:rPr>
          <w:color w:val="231F20"/>
        </w:rPr>
        <w:t>4 novembre, le</w:t>
      </w:r>
      <w:r>
        <w:rPr>
          <w:color w:val="231F20"/>
          <w:spacing w:val="-12"/>
        </w:rPr>
        <w:t> </w:t>
      </w:r>
      <w:r>
        <w:rPr>
          <w:color w:val="231F20"/>
        </w:rPr>
        <w:t>Sénégal</w:t>
      </w:r>
      <w:r>
        <w:rPr>
          <w:color w:val="231F20"/>
          <w:spacing w:val="-12"/>
        </w:rPr>
        <w:t> </w:t>
      </w:r>
      <w:r>
        <w:rPr>
          <w:color w:val="231F20"/>
        </w:rPr>
        <w:t>en donne le ton : le Président Sénégalais</w:t>
      </w:r>
      <w:r>
        <w:rPr>
          <w:color w:val="231F20"/>
          <w:spacing w:val="-15"/>
        </w:rPr>
        <w:t> </w:t>
      </w:r>
      <w:r>
        <w:rPr>
          <w:color w:val="231F20"/>
        </w:rPr>
        <w:t>Abdoulaye</w:t>
      </w:r>
      <w:r>
        <w:rPr>
          <w:color w:val="231F20"/>
          <w:spacing w:val="40"/>
        </w:rPr>
        <w:t> </w:t>
      </w:r>
      <w:r>
        <w:rPr>
          <w:color w:val="231F20"/>
        </w:rPr>
        <w:t>Wade</w:t>
      </w:r>
      <w:r>
        <w:rPr>
          <w:color w:val="231F20"/>
          <w:spacing w:val="-15"/>
        </w:rPr>
        <w:t> </w:t>
      </w:r>
      <w:r>
        <w:rPr>
          <w:color w:val="231F20"/>
        </w:rPr>
        <w:t>reçoit,</w:t>
      </w:r>
      <w:r>
        <w:rPr>
          <w:color w:val="231F20"/>
          <w:spacing w:val="40"/>
        </w:rPr>
        <w:t> </w:t>
      </w:r>
      <w:r>
        <w:rPr>
          <w:color w:val="231F20"/>
        </w:rPr>
        <w:t>en</w:t>
      </w:r>
      <w:r>
        <w:rPr>
          <w:color w:val="231F20"/>
          <w:spacing w:val="40"/>
        </w:rPr>
        <w:t> </w:t>
      </w:r>
      <w:r>
        <w:rPr>
          <w:color w:val="231F20"/>
        </w:rPr>
        <w:t>«</w:t>
      </w:r>
      <w:r>
        <w:rPr>
          <w:color w:val="231F20"/>
          <w:spacing w:val="-15"/>
        </w:rPr>
        <w:t> </w:t>
      </w:r>
      <w:r>
        <w:rPr>
          <w:color w:val="231F20"/>
        </w:rPr>
        <w:t>visite</w:t>
      </w:r>
      <w:r>
        <w:rPr>
          <w:color w:val="231F20"/>
          <w:spacing w:val="40"/>
        </w:rPr>
        <w:t> </w:t>
      </w:r>
      <w:r>
        <w:rPr>
          <w:color w:val="231F20"/>
        </w:rPr>
        <w:t>officielle</w:t>
      </w:r>
      <w:r>
        <w:rPr>
          <w:color w:val="231F20"/>
          <w:spacing w:val="-15"/>
        </w:rPr>
        <w:t> </w:t>
      </w:r>
      <w:r>
        <w:rPr>
          <w:color w:val="231F20"/>
        </w:rPr>
        <w:t>»,</w:t>
      </w:r>
      <w:r>
        <w:rPr>
          <w:color w:val="231F20"/>
          <w:spacing w:val="40"/>
        </w:rPr>
        <w:t> </w:t>
      </w:r>
      <w:r>
        <w:rPr>
          <w:color w:val="231F20"/>
        </w:rPr>
        <w:t>Alassane </w:t>
      </w:r>
      <w:r>
        <w:rPr>
          <w:color w:val="231F20"/>
          <w:spacing w:val="-4"/>
        </w:rPr>
        <w:t>Ouattara en pleine élection ivoirienne. Le gouvernement ivoirien rappelle </w:t>
      </w:r>
      <w:r>
        <w:rPr>
          <w:color w:val="231F20"/>
        </w:rPr>
        <w:t>son</w:t>
      </w:r>
      <w:r>
        <w:rPr>
          <w:color w:val="231F20"/>
          <w:spacing w:val="-14"/>
        </w:rPr>
        <w:t> </w:t>
      </w:r>
      <w:r>
        <w:rPr>
          <w:color w:val="231F20"/>
        </w:rPr>
        <w:t>ambassadeur</w:t>
      </w:r>
      <w:r>
        <w:rPr>
          <w:color w:val="231F20"/>
          <w:spacing w:val="-14"/>
        </w:rPr>
        <w:t> </w:t>
      </w:r>
      <w:r>
        <w:rPr>
          <w:color w:val="231F20"/>
        </w:rPr>
        <w:t>au</w:t>
      </w:r>
      <w:r>
        <w:rPr>
          <w:color w:val="231F20"/>
          <w:spacing w:val="-14"/>
        </w:rPr>
        <w:t> </w:t>
      </w:r>
      <w:r>
        <w:rPr>
          <w:color w:val="231F20"/>
        </w:rPr>
        <w:t>Sénégal</w:t>
      </w:r>
      <w:r>
        <w:rPr>
          <w:color w:val="231F20"/>
          <w:spacing w:val="-12"/>
        </w:rPr>
        <w:t> </w:t>
      </w:r>
      <w:r>
        <w:rPr>
          <w:color w:val="231F20"/>
        </w:rPr>
        <w:t>et</w:t>
      </w:r>
      <w:r>
        <w:rPr>
          <w:color w:val="231F20"/>
          <w:spacing w:val="-14"/>
        </w:rPr>
        <w:t> </w:t>
      </w:r>
      <w:r>
        <w:rPr>
          <w:color w:val="231F20"/>
        </w:rPr>
        <w:t>qualifie</w:t>
      </w:r>
      <w:r>
        <w:rPr>
          <w:color w:val="231F20"/>
          <w:spacing w:val="-15"/>
        </w:rPr>
        <w:t> </w:t>
      </w:r>
      <w:r>
        <w:rPr>
          <w:color w:val="231F20"/>
        </w:rPr>
        <w:t>la</w:t>
      </w:r>
      <w:r>
        <w:rPr>
          <w:color w:val="231F20"/>
          <w:spacing w:val="-15"/>
        </w:rPr>
        <w:t> </w:t>
      </w:r>
      <w:r>
        <w:rPr>
          <w:color w:val="231F20"/>
        </w:rPr>
        <w:t>visite</w:t>
      </w:r>
      <w:r>
        <w:rPr>
          <w:color w:val="231F20"/>
          <w:spacing w:val="-14"/>
        </w:rPr>
        <w:t> </w:t>
      </w:r>
      <w:r>
        <w:rPr>
          <w:color w:val="231F20"/>
        </w:rPr>
        <w:t>du</w:t>
      </w:r>
      <w:r>
        <w:rPr>
          <w:color w:val="231F20"/>
          <w:spacing w:val="-14"/>
        </w:rPr>
        <w:t> </w:t>
      </w:r>
      <w:r>
        <w:rPr>
          <w:color w:val="231F20"/>
        </w:rPr>
        <w:t>candidat</w:t>
      </w:r>
      <w:r>
        <w:rPr>
          <w:color w:val="231F20"/>
          <w:spacing w:val="-14"/>
        </w:rPr>
        <w:t> </w:t>
      </w:r>
      <w:r>
        <w:rPr>
          <w:color w:val="231F20"/>
        </w:rPr>
        <w:t>Ouattara</w:t>
      </w:r>
      <w:r>
        <w:rPr>
          <w:color w:val="231F20"/>
          <w:spacing w:val="-14"/>
        </w:rPr>
        <w:t> </w:t>
      </w:r>
      <w:r>
        <w:rPr>
          <w:color w:val="231F20"/>
        </w:rPr>
        <w:t>au </w:t>
      </w:r>
      <w:r>
        <w:rPr>
          <w:color w:val="231F20"/>
          <w:spacing w:val="-4"/>
        </w:rPr>
        <w:t>Sénégal</w:t>
      </w:r>
      <w:r>
        <w:rPr>
          <w:color w:val="231F20"/>
          <w:spacing w:val="-11"/>
        </w:rPr>
        <w:t> </w:t>
      </w:r>
      <w:r>
        <w:rPr>
          <w:i/>
          <w:color w:val="231F20"/>
          <w:spacing w:val="-4"/>
        </w:rPr>
        <w:t>«</w:t>
      </w:r>
      <w:r>
        <w:rPr>
          <w:i/>
          <w:color w:val="231F20"/>
        </w:rPr>
        <w:t> </w:t>
      </w:r>
      <w:r>
        <w:rPr>
          <w:i/>
          <w:color w:val="231F20"/>
          <w:spacing w:val="-4"/>
        </w:rPr>
        <w:t>d’ingérence</w:t>
      </w:r>
      <w:r>
        <w:rPr>
          <w:i/>
          <w:color w:val="231F20"/>
          <w:spacing w:val="-9"/>
        </w:rPr>
        <w:t> </w:t>
      </w:r>
      <w:r>
        <w:rPr>
          <w:i/>
          <w:color w:val="231F20"/>
          <w:spacing w:val="-4"/>
        </w:rPr>
        <w:t>intolérable</w:t>
      </w:r>
      <w:r>
        <w:rPr>
          <w:i/>
          <w:color w:val="231F20"/>
          <w:spacing w:val="-9"/>
        </w:rPr>
        <w:t> </w:t>
      </w:r>
      <w:r>
        <w:rPr>
          <w:i/>
          <w:color w:val="231F20"/>
          <w:spacing w:val="-4"/>
        </w:rPr>
        <w:t>du</w:t>
      </w:r>
      <w:r>
        <w:rPr>
          <w:i/>
          <w:color w:val="231F20"/>
          <w:spacing w:val="-10"/>
        </w:rPr>
        <w:t> </w:t>
      </w:r>
      <w:r>
        <w:rPr>
          <w:i/>
          <w:color w:val="231F20"/>
          <w:spacing w:val="-4"/>
        </w:rPr>
        <w:t>Sénégal</w:t>
      </w:r>
      <w:r>
        <w:rPr>
          <w:i/>
          <w:color w:val="231F20"/>
          <w:spacing w:val="-11"/>
        </w:rPr>
        <w:t> </w:t>
      </w:r>
      <w:r>
        <w:rPr>
          <w:i/>
          <w:color w:val="231F20"/>
          <w:spacing w:val="-4"/>
        </w:rPr>
        <w:t>dans</w:t>
      </w:r>
      <w:r>
        <w:rPr>
          <w:i/>
          <w:color w:val="231F20"/>
          <w:spacing w:val="-9"/>
        </w:rPr>
        <w:t> </w:t>
      </w:r>
      <w:r>
        <w:rPr>
          <w:i/>
          <w:color w:val="231F20"/>
          <w:spacing w:val="-4"/>
        </w:rPr>
        <w:t>les</w:t>
      </w:r>
      <w:r>
        <w:rPr>
          <w:i/>
          <w:color w:val="231F20"/>
          <w:spacing w:val="-9"/>
        </w:rPr>
        <w:t> </w:t>
      </w:r>
      <w:r>
        <w:rPr>
          <w:i/>
          <w:color w:val="231F20"/>
          <w:spacing w:val="-4"/>
        </w:rPr>
        <w:t>affaires</w:t>
      </w:r>
      <w:r>
        <w:rPr>
          <w:i/>
          <w:color w:val="231F20"/>
          <w:spacing w:val="-11"/>
        </w:rPr>
        <w:t> </w:t>
      </w:r>
      <w:r>
        <w:rPr>
          <w:i/>
          <w:color w:val="231F20"/>
          <w:spacing w:val="-4"/>
        </w:rPr>
        <w:t>intérieures</w:t>
      </w:r>
      <w:r>
        <w:rPr>
          <w:i/>
          <w:color w:val="231F20"/>
          <w:spacing w:val="-4"/>
        </w:rPr>
        <w:t> </w:t>
      </w:r>
      <w:r>
        <w:rPr>
          <w:i/>
          <w:color w:val="231F20"/>
        </w:rPr>
        <w:t>de la Côte d’Ivoire ».</w:t>
      </w:r>
    </w:p>
    <w:p>
      <w:pPr>
        <w:pStyle w:val="BodyText"/>
        <w:spacing w:before="120"/>
        <w:ind w:right="106" w:firstLine="283"/>
      </w:pPr>
      <w:r>
        <w:rPr>
          <w:color w:val="231F20"/>
        </w:rPr>
        <w:t>Le 16 novembre des heurts éclatent à</w:t>
      </w:r>
      <w:r>
        <w:rPr>
          <w:color w:val="231F20"/>
          <w:spacing w:val="-11"/>
        </w:rPr>
        <w:t> </w:t>
      </w:r>
      <w:r>
        <w:rPr>
          <w:color w:val="231F20"/>
        </w:rPr>
        <w:t>Abidjan, après un appel d’Alassane Ouattara</w:t>
      </w:r>
      <w:r>
        <w:rPr>
          <w:color w:val="231F20"/>
          <w:spacing w:val="-14"/>
        </w:rPr>
        <w:t> </w:t>
      </w:r>
      <w:r>
        <w:rPr>
          <w:color w:val="231F20"/>
        </w:rPr>
        <w:t>à occuper la télévision nationale</w:t>
      </w:r>
      <w:r>
        <w:rPr>
          <w:color w:val="231F20"/>
          <w:spacing w:val="-15"/>
        </w:rPr>
        <w:t> </w:t>
      </w:r>
      <w:r>
        <w:rPr>
          <w:color w:val="231F20"/>
        </w:rPr>
        <w:t>RTI, jugée partisane. Des coups de feu sont échangés entre des groupes armés et l’Armée.</w:t>
      </w:r>
      <w:r>
        <w:rPr>
          <w:color w:val="231F20"/>
          <w:spacing w:val="-7"/>
        </w:rPr>
        <w:t> </w:t>
      </w:r>
      <w:r>
        <w:rPr>
          <w:color w:val="231F20"/>
        </w:rPr>
        <w:t>Le</w:t>
      </w:r>
      <w:r>
        <w:rPr>
          <w:color w:val="231F20"/>
          <w:spacing w:val="-5"/>
        </w:rPr>
        <w:t> </w:t>
      </w:r>
      <w:r>
        <w:rPr>
          <w:color w:val="231F20"/>
        </w:rPr>
        <w:t>19</w:t>
      </w:r>
      <w:r>
        <w:rPr>
          <w:color w:val="231F20"/>
          <w:spacing w:val="-7"/>
        </w:rPr>
        <w:t> </w:t>
      </w:r>
      <w:r>
        <w:rPr>
          <w:color w:val="231F20"/>
        </w:rPr>
        <w:t>novembre,</w:t>
      </w:r>
      <w:r>
        <w:rPr>
          <w:color w:val="231F20"/>
          <w:spacing w:val="-5"/>
        </w:rPr>
        <w:t> </w:t>
      </w:r>
      <w:r>
        <w:rPr>
          <w:color w:val="231F20"/>
        </w:rPr>
        <w:t>des</w:t>
      </w:r>
      <w:r>
        <w:rPr>
          <w:color w:val="231F20"/>
          <w:spacing w:val="-7"/>
        </w:rPr>
        <w:t> </w:t>
      </w:r>
      <w:r>
        <w:rPr>
          <w:color w:val="231F20"/>
        </w:rPr>
        <w:t>étudiants</w:t>
      </w:r>
      <w:r>
        <w:rPr>
          <w:color w:val="231F20"/>
          <w:spacing w:val="-7"/>
        </w:rPr>
        <w:t> </w:t>
      </w:r>
      <w:r>
        <w:rPr>
          <w:color w:val="231F20"/>
        </w:rPr>
        <w:t>du</w:t>
      </w:r>
      <w:r>
        <w:rPr>
          <w:color w:val="231F20"/>
          <w:spacing w:val="-7"/>
        </w:rPr>
        <w:t> </w:t>
      </w:r>
      <w:r>
        <w:rPr>
          <w:color w:val="231F20"/>
        </w:rPr>
        <w:t>principal</w:t>
      </w:r>
      <w:r>
        <w:rPr>
          <w:color w:val="231F20"/>
          <w:spacing w:val="-5"/>
        </w:rPr>
        <w:t> </w:t>
      </w:r>
      <w:r>
        <w:rPr>
          <w:color w:val="231F20"/>
        </w:rPr>
        <w:t>syndicat</w:t>
      </w:r>
      <w:r>
        <w:rPr>
          <w:color w:val="231F20"/>
          <w:spacing w:val="-5"/>
        </w:rPr>
        <w:t> </w:t>
      </w:r>
      <w:r>
        <w:rPr>
          <w:color w:val="231F20"/>
        </w:rPr>
        <w:t>étudiant, </w:t>
      </w:r>
      <w:r>
        <w:rPr>
          <w:color w:val="231F20"/>
          <w:spacing w:val="-4"/>
        </w:rPr>
        <w:t>FESCI,</w:t>
      </w:r>
      <w:r>
        <w:rPr>
          <w:color w:val="231F20"/>
          <w:spacing w:val="-5"/>
        </w:rPr>
        <w:t> </w:t>
      </w:r>
      <w:r>
        <w:rPr>
          <w:color w:val="231F20"/>
          <w:spacing w:val="-4"/>
        </w:rPr>
        <w:t>et</w:t>
      </w:r>
      <w:r>
        <w:rPr>
          <w:color w:val="231F20"/>
          <w:spacing w:val="-5"/>
        </w:rPr>
        <w:t> </w:t>
      </w:r>
      <w:r>
        <w:rPr>
          <w:color w:val="231F20"/>
          <w:spacing w:val="-4"/>
        </w:rPr>
        <w:t>des</w:t>
      </w:r>
      <w:r>
        <w:rPr>
          <w:color w:val="231F20"/>
          <w:spacing w:val="-6"/>
        </w:rPr>
        <w:t> </w:t>
      </w:r>
      <w:r>
        <w:rPr>
          <w:color w:val="231F20"/>
          <w:spacing w:val="-4"/>
        </w:rPr>
        <w:t>partisans</w:t>
      </w:r>
      <w:r>
        <w:rPr>
          <w:color w:val="231F20"/>
          <w:spacing w:val="-8"/>
        </w:rPr>
        <w:t> </w:t>
      </w:r>
      <w:r>
        <w:rPr>
          <w:color w:val="231F20"/>
          <w:spacing w:val="-4"/>
        </w:rPr>
        <w:t>d’Alassane</w:t>
      </w:r>
      <w:r>
        <w:rPr>
          <w:color w:val="231F20"/>
          <w:spacing w:val="-6"/>
        </w:rPr>
        <w:t> </w:t>
      </w:r>
      <w:r>
        <w:rPr>
          <w:color w:val="231F20"/>
          <w:spacing w:val="-4"/>
        </w:rPr>
        <w:t>s’affrontent</w:t>
      </w:r>
      <w:r>
        <w:rPr>
          <w:color w:val="231F20"/>
          <w:spacing w:val="-6"/>
        </w:rPr>
        <w:t> </w:t>
      </w:r>
      <w:r>
        <w:rPr>
          <w:color w:val="231F20"/>
          <w:spacing w:val="-4"/>
        </w:rPr>
        <w:t>en</w:t>
      </w:r>
      <w:r>
        <w:rPr>
          <w:color w:val="231F20"/>
          <w:spacing w:val="-8"/>
        </w:rPr>
        <w:t> </w:t>
      </w:r>
      <w:r>
        <w:rPr>
          <w:color w:val="231F20"/>
          <w:spacing w:val="-4"/>
        </w:rPr>
        <w:t>de</w:t>
      </w:r>
      <w:r>
        <w:rPr>
          <w:color w:val="231F20"/>
          <w:spacing w:val="-6"/>
        </w:rPr>
        <w:t> </w:t>
      </w:r>
      <w:r>
        <w:rPr>
          <w:color w:val="231F20"/>
          <w:spacing w:val="-4"/>
        </w:rPr>
        <w:t>violents</w:t>
      </w:r>
      <w:r>
        <w:rPr>
          <w:color w:val="231F20"/>
          <w:spacing w:val="-6"/>
        </w:rPr>
        <w:t> </w:t>
      </w:r>
      <w:r>
        <w:rPr>
          <w:color w:val="231F20"/>
          <w:spacing w:val="-4"/>
        </w:rPr>
        <w:t>combats</w:t>
      </w:r>
      <w:r>
        <w:rPr>
          <w:color w:val="231F20"/>
          <w:spacing w:val="-8"/>
        </w:rPr>
        <w:t> </w:t>
      </w:r>
      <w:r>
        <w:rPr>
          <w:color w:val="231F20"/>
          <w:spacing w:val="-4"/>
        </w:rPr>
        <w:t>de </w:t>
      </w:r>
      <w:r>
        <w:rPr>
          <w:color w:val="231F20"/>
        </w:rPr>
        <w:t>rue causant une vingtaine de blessés. Le 27 novembre, à la veille du </w:t>
      </w:r>
      <w:r>
        <w:rPr>
          <w:color w:val="231F20"/>
          <w:spacing w:val="-2"/>
        </w:rPr>
        <w:t>scrutin,</w:t>
      </w:r>
      <w:r>
        <w:rPr>
          <w:color w:val="231F20"/>
          <w:spacing w:val="-13"/>
        </w:rPr>
        <w:t> </w:t>
      </w:r>
      <w:r>
        <w:rPr>
          <w:color w:val="231F20"/>
          <w:spacing w:val="-2"/>
        </w:rPr>
        <w:t>l’annonce</w:t>
      </w:r>
      <w:r>
        <w:rPr>
          <w:color w:val="231F20"/>
          <w:spacing w:val="-13"/>
        </w:rPr>
        <w:t> </w:t>
      </w:r>
      <w:r>
        <w:rPr>
          <w:color w:val="231F20"/>
          <w:spacing w:val="-2"/>
        </w:rPr>
        <w:t>par</w:t>
      </w:r>
      <w:r>
        <w:rPr>
          <w:color w:val="231F20"/>
          <w:spacing w:val="-13"/>
        </w:rPr>
        <w:t> </w:t>
      </w:r>
      <w:r>
        <w:rPr>
          <w:color w:val="231F20"/>
          <w:spacing w:val="-2"/>
        </w:rPr>
        <w:t>le</w:t>
      </w:r>
      <w:r>
        <w:rPr>
          <w:color w:val="231F20"/>
          <w:spacing w:val="-13"/>
        </w:rPr>
        <w:t> </w:t>
      </w:r>
      <w:r>
        <w:rPr>
          <w:color w:val="231F20"/>
          <w:spacing w:val="-2"/>
        </w:rPr>
        <w:t>président</w:t>
      </w:r>
      <w:r>
        <w:rPr>
          <w:color w:val="231F20"/>
          <w:spacing w:val="-13"/>
        </w:rPr>
        <w:t> </w:t>
      </w:r>
      <w:r>
        <w:rPr>
          <w:color w:val="231F20"/>
          <w:spacing w:val="-2"/>
        </w:rPr>
        <w:t>Laurent</w:t>
      </w:r>
      <w:r>
        <w:rPr>
          <w:color w:val="231F20"/>
          <w:spacing w:val="-13"/>
        </w:rPr>
        <w:t> </w:t>
      </w:r>
      <w:r>
        <w:rPr>
          <w:color w:val="231F20"/>
          <w:spacing w:val="-2"/>
        </w:rPr>
        <w:t>Gbagbo</w:t>
      </w:r>
      <w:r>
        <w:rPr>
          <w:color w:val="231F20"/>
          <w:spacing w:val="-13"/>
        </w:rPr>
        <w:t> </w:t>
      </w:r>
      <w:r>
        <w:rPr>
          <w:color w:val="231F20"/>
          <w:spacing w:val="-2"/>
        </w:rPr>
        <w:t>de</w:t>
      </w:r>
      <w:r>
        <w:rPr>
          <w:color w:val="231F20"/>
          <w:spacing w:val="-13"/>
        </w:rPr>
        <w:t> </w:t>
      </w:r>
      <w:r>
        <w:rPr>
          <w:color w:val="231F20"/>
          <w:spacing w:val="-2"/>
        </w:rPr>
        <w:t>l’instauration</w:t>
      </w:r>
      <w:r>
        <w:rPr>
          <w:color w:val="231F20"/>
          <w:spacing w:val="-13"/>
        </w:rPr>
        <w:t> </w:t>
      </w:r>
      <w:r>
        <w:rPr>
          <w:color w:val="231F20"/>
          <w:spacing w:val="-2"/>
        </w:rPr>
        <w:t>d’un </w:t>
      </w:r>
      <w:r>
        <w:rPr>
          <w:color w:val="231F20"/>
        </w:rPr>
        <w:t>couvre-feu est ignoré par l’opposition et provoque des manifestations notamment à Abobo, quartier populaire acquis à la cause d’Alassane Ouattara. Les échauffourées entre la police et les manifestants font 3 </w:t>
      </w:r>
      <w:r>
        <w:rPr>
          <w:color w:val="231F20"/>
          <w:spacing w:val="-2"/>
        </w:rPr>
        <w:t>morts.</w:t>
      </w:r>
    </w:p>
    <w:p>
      <w:pPr>
        <w:pStyle w:val="BodyText"/>
        <w:spacing w:before="121"/>
        <w:ind w:right="104" w:firstLine="283"/>
      </w:pPr>
      <w:r>
        <w:rPr>
          <w:color w:val="231F20"/>
        </w:rPr>
        <w:t>C’est dans ce climat tendu que se déroule le second tour le 28 </w:t>
      </w:r>
      <w:r>
        <w:rPr>
          <w:color w:val="231F20"/>
          <w:spacing w:val="-4"/>
        </w:rPr>
        <w:t>novembre.</w:t>
      </w:r>
      <w:r>
        <w:rPr>
          <w:color w:val="231F20"/>
          <w:spacing w:val="-9"/>
        </w:rPr>
        <w:t> </w:t>
      </w:r>
      <w:r>
        <w:rPr>
          <w:color w:val="231F20"/>
          <w:spacing w:val="-4"/>
        </w:rPr>
        <w:t>Dans</w:t>
      </w:r>
      <w:r>
        <w:rPr>
          <w:color w:val="231F20"/>
          <w:spacing w:val="-9"/>
        </w:rPr>
        <w:t> </w:t>
      </w:r>
      <w:r>
        <w:rPr>
          <w:color w:val="231F20"/>
          <w:spacing w:val="-4"/>
        </w:rPr>
        <w:t>les</w:t>
      </w:r>
      <w:r>
        <w:rPr>
          <w:color w:val="231F20"/>
          <w:spacing w:val="-6"/>
        </w:rPr>
        <w:t> </w:t>
      </w:r>
      <w:r>
        <w:rPr>
          <w:color w:val="231F20"/>
          <w:spacing w:val="-4"/>
        </w:rPr>
        <w:t>cinq</w:t>
      </w:r>
      <w:r>
        <w:rPr>
          <w:color w:val="231F20"/>
          <w:spacing w:val="-7"/>
        </w:rPr>
        <w:t> </w:t>
      </w:r>
      <w:r>
        <w:rPr>
          <w:color w:val="231F20"/>
          <w:spacing w:val="-4"/>
        </w:rPr>
        <w:t>régions</w:t>
      </w:r>
      <w:r>
        <w:rPr>
          <w:color w:val="231F20"/>
          <w:spacing w:val="-9"/>
        </w:rPr>
        <w:t> </w:t>
      </w:r>
      <w:r>
        <w:rPr>
          <w:color w:val="231F20"/>
          <w:spacing w:val="-4"/>
        </w:rPr>
        <w:t>du</w:t>
      </w:r>
      <w:r>
        <w:rPr>
          <w:color w:val="231F20"/>
          <w:spacing w:val="-9"/>
        </w:rPr>
        <w:t> </w:t>
      </w:r>
      <w:r>
        <w:rPr>
          <w:color w:val="231F20"/>
          <w:spacing w:val="-4"/>
        </w:rPr>
        <w:t>Nord</w:t>
      </w:r>
      <w:r>
        <w:rPr>
          <w:color w:val="231F20"/>
          <w:spacing w:val="-9"/>
        </w:rPr>
        <w:t> </w:t>
      </w:r>
      <w:r>
        <w:rPr>
          <w:color w:val="231F20"/>
          <w:spacing w:val="-4"/>
        </w:rPr>
        <w:t>représentant</w:t>
      </w:r>
      <w:r>
        <w:rPr>
          <w:color w:val="231F20"/>
          <w:spacing w:val="-7"/>
        </w:rPr>
        <w:t> </w:t>
      </w:r>
      <w:r>
        <w:rPr>
          <w:color w:val="231F20"/>
          <w:spacing w:val="-4"/>
        </w:rPr>
        <w:t>17</w:t>
      </w:r>
      <w:r>
        <w:rPr>
          <w:color w:val="231F20"/>
          <w:spacing w:val="-6"/>
        </w:rPr>
        <w:t> </w:t>
      </w:r>
      <w:r>
        <w:rPr>
          <w:color w:val="231F20"/>
          <w:spacing w:val="-4"/>
        </w:rPr>
        <w:t>%</w:t>
      </w:r>
      <w:r>
        <w:rPr>
          <w:color w:val="231F20"/>
          <w:spacing w:val="-10"/>
        </w:rPr>
        <w:t> </w:t>
      </w:r>
      <w:r>
        <w:rPr>
          <w:color w:val="231F20"/>
          <w:spacing w:val="-4"/>
        </w:rPr>
        <w:t>de</w:t>
      </w:r>
      <w:r>
        <w:rPr>
          <w:color w:val="231F20"/>
          <w:spacing w:val="-9"/>
        </w:rPr>
        <w:t> </w:t>
      </w:r>
      <w:r>
        <w:rPr>
          <w:color w:val="231F20"/>
          <w:spacing w:val="-4"/>
        </w:rPr>
        <w:t>l’électorat </w:t>
      </w:r>
      <w:r>
        <w:rPr>
          <w:color w:val="231F20"/>
        </w:rPr>
        <w:t>national,</w:t>
      </w:r>
      <w:r>
        <w:rPr>
          <w:color w:val="231F20"/>
          <w:spacing w:val="-14"/>
        </w:rPr>
        <w:t> </w:t>
      </w:r>
      <w:r>
        <w:rPr>
          <w:color w:val="231F20"/>
        </w:rPr>
        <w:t>les</w:t>
      </w:r>
      <w:r>
        <w:rPr>
          <w:color w:val="231F20"/>
          <w:spacing w:val="-14"/>
        </w:rPr>
        <w:t> </w:t>
      </w:r>
      <w:r>
        <w:rPr>
          <w:color w:val="231F20"/>
        </w:rPr>
        <w:t>Forces</w:t>
      </w:r>
      <w:r>
        <w:rPr>
          <w:color w:val="231F20"/>
          <w:spacing w:val="-13"/>
        </w:rPr>
        <w:t> </w:t>
      </w:r>
      <w:r>
        <w:rPr>
          <w:color w:val="231F20"/>
        </w:rPr>
        <w:t>Armées</w:t>
      </w:r>
      <w:r>
        <w:rPr>
          <w:color w:val="231F20"/>
          <w:spacing w:val="-14"/>
        </w:rPr>
        <w:t> </w:t>
      </w:r>
      <w:r>
        <w:rPr>
          <w:color w:val="231F20"/>
        </w:rPr>
        <w:t>des</w:t>
      </w:r>
      <w:r>
        <w:rPr>
          <w:color w:val="231F20"/>
          <w:spacing w:val="-14"/>
        </w:rPr>
        <w:t> </w:t>
      </w:r>
      <w:r>
        <w:rPr>
          <w:color w:val="231F20"/>
        </w:rPr>
        <w:t>Forces</w:t>
      </w:r>
      <w:r>
        <w:rPr>
          <w:color w:val="231F20"/>
          <w:spacing w:val="-14"/>
        </w:rPr>
        <w:t> </w:t>
      </w:r>
      <w:r>
        <w:rPr>
          <w:color w:val="231F20"/>
        </w:rPr>
        <w:t>Nouvelles</w:t>
      </w:r>
      <w:r>
        <w:rPr>
          <w:color w:val="231F20"/>
          <w:spacing w:val="-14"/>
        </w:rPr>
        <w:t> </w:t>
      </w:r>
      <w:r>
        <w:rPr>
          <w:color w:val="231F20"/>
        </w:rPr>
        <w:t>restées</w:t>
      </w:r>
      <w:r>
        <w:rPr>
          <w:color w:val="231F20"/>
          <w:spacing w:val="-14"/>
        </w:rPr>
        <w:t> </w:t>
      </w:r>
      <w:r>
        <w:rPr>
          <w:color w:val="231F20"/>
        </w:rPr>
        <w:t>maîtres</w:t>
      </w:r>
      <w:r>
        <w:rPr>
          <w:color w:val="231F20"/>
          <w:spacing w:val="-13"/>
        </w:rPr>
        <w:t> </w:t>
      </w:r>
      <w:r>
        <w:rPr>
          <w:color w:val="231F20"/>
        </w:rPr>
        <w:t>de</w:t>
      </w:r>
      <w:r>
        <w:rPr>
          <w:color w:val="231F20"/>
          <w:spacing w:val="-15"/>
        </w:rPr>
        <w:t> </w:t>
      </w:r>
      <w:r>
        <w:rPr>
          <w:color w:val="231F20"/>
        </w:rPr>
        <w:t>ces régions font de l’intimidation, écartant les représentants de Laurent Gbagbo des bureaux de vote et pourchassant les éventuels électeurs favorables</w:t>
      </w:r>
      <w:r>
        <w:rPr>
          <w:color w:val="231F20"/>
          <w:spacing w:val="-11"/>
        </w:rPr>
        <w:t> </w:t>
      </w:r>
      <w:r>
        <w:rPr>
          <w:color w:val="231F20"/>
        </w:rPr>
        <w:t>au</w:t>
      </w:r>
      <w:r>
        <w:rPr>
          <w:color w:val="231F20"/>
          <w:spacing w:val="-11"/>
        </w:rPr>
        <w:t> </w:t>
      </w:r>
      <w:r>
        <w:rPr>
          <w:color w:val="231F20"/>
        </w:rPr>
        <w:t>président</w:t>
      </w:r>
      <w:r>
        <w:rPr>
          <w:color w:val="231F20"/>
          <w:spacing w:val="-11"/>
        </w:rPr>
        <w:t> </w:t>
      </w:r>
      <w:r>
        <w:rPr>
          <w:color w:val="231F20"/>
        </w:rPr>
        <w:t>sortant.</w:t>
      </w:r>
      <w:r>
        <w:rPr>
          <w:color w:val="231F20"/>
          <w:spacing w:val="-12"/>
        </w:rPr>
        <w:t> </w:t>
      </w:r>
      <w:r>
        <w:rPr>
          <w:color w:val="231F20"/>
        </w:rPr>
        <w:t>Les</w:t>
      </w:r>
      <w:r>
        <w:rPr>
          <w:color w:val="231F20"/>
          <w:spacing w:val="-11"/>
        </w:rPr>
        <w:t> </w:t>
      </w:r>
      <w:r>
        <w:rPr>
          <w:color w:val="231F20"/>
        </w:rPr>
        <w:t>images</w:t>
      </w:r>
      <w:r>
        <w:rPr>
          <w:color w:val="231F20"/>
          <w:spacing w:val="-11"/>
        </w:rPr>
        <w:t> </w:t>
      </w:r>
      <w:r>
        <w:rPr>
          <w:color w:val="231F20"/>
        </w:rPr>
        <w:t>de</w:t>
      </w:r>
      <w:r>
        <w:rPr>
          <w:color w:val="231F20"/>
          <w:spacing w:val="-12"/>
        </w:rPr>
        <w:t> </w:t>
      </w:r>
      <w:r>
        <w:rPr>
          <w:color w:val="231F20"/>
        </w:rPr>
        <w:t>la</w:t>
      </w:r>
      <w:r>
        <w:rPr>
          <w:color w:val="231F20"/>
          <w:spacing w:val="-12"/>
        </w:rPr>
        <w:t> </w:t>
      </w:r>
      <w:r>
        <w:rPr>
          <w:color w:val="231F20"/>
        </w:rPr>
        <w:t>télévision</w:t>
      </w:r>
      <w:r>
        <w:rPr>
          <w:color w:val="231F20"/>
          <w:spacing w:val="-12"/>
        </w:rPr>
        <w:t> </w:t>
      </w:r>
      <w:r>
        <w:rPr>
          <w:color w:val="231F20"/>
        </w:rPr>
        <w:t>nationale</w:t>
      </w:r>
      <w:r>
        <w:rPr>
          <w:color w:val="231F20"/>
          <w:spacing w:val="-10"/>
        </w:rPr>
        <w:t> </w:t>
      </w:r>
      <w:r>
        <w:rPr>
          <w:color w:val="231F20"/>
        </w:rPr>
        <w:t>en font</w:t>
      </w:r>
      <w:r>
        <w:rPr>
          <w:color w:val="231F20"/>
          <w:spacing w:val="-4"/>
        </w:rPr>
        <w:t> </w:t>
      </w:r>
      <w:r>
        <w:rPr>
          <w:color w:val="231F20"/>
        </w:rPr>
        <w:t>l’écho</w:t>
      </w:r>
      <w:r>
        <w:rPr>
          <w:color w:val="231F20"/>
          <w:spacing w:val="-5"/>
        </w:rPr>
        <w:t> </w:t>
      </w:r>
      <w:r>
        <w:rPr>
          <w:color w:val="231F20"/>
        </w:rPr>
        <w:t>mais</w:t>
      </w:r>
      <w:r>
        <w:rPr>
          <w:color w:val="231F20"/>
          <w:spacing w:val="-3"/>
        </w:rPr>
        <w:t> </w:t>
      </w:r>
      <w:r>
        <w:rPr>
          <w:color w:val="231F20"/>
        </w:rPr>
        <w:t>du</w:t>
      </w:r>
      <w:r>
        <w:rPr>
          <w:color w:val="231F20"/>
          <w:spacing w:val="-3"/>
        </w:rPr>
        <w:t> </w:t>
      </w:r>
      <w:r>
        <w:rPr>
          <w:color w:val="231F20"/>
        </w:rPr>
        <w:t>côté</w:t>
      </w:r>
      <w:r>
        <w:rPr>
          <w:color w:val="231F20"/>
          <w:spacing w:val="-5"/>
        </w:rPr>
        <w:t> </w:t>
      </w:r>
      <w:r>
        <w:rPr>
          <w:color w:val="231F20"/>
        </w:rPr>
        <w:t>des</w:t>
      </w:r>
      <w:r>
        <w:rPr>
          <w:color w:val="231F20"/>
          <w:spacing w:val="-1"/>
        </w:rPr>
        <w:t> </w:t>
      </w:r>
      <w:r>
        <w:rPr>
          <w:color w:val="231F20"/>
        </w:rPr>
        <w:t>médias</w:t>
      </w:r>
      <w:r>
        <w:rPr>
          <w:color w:val="231F20"/>
          <w:spacing w:val="-5"/>
        </w:rPr>
        <w:t> </w:t>
      </w:r>
      <w:r>
        <w:rPr>
          <w:color w:val="231F20"/>
        </w:rPr>
        <w:t>occidentaux,</w:t>
      </w:r>
      <w:r>
        <w:rPr>
          <w:color w:val="231F20"/>
          <w:spacing w:val="-5"/>
        </w:rPr>
        <w:t> </w:t>
      </w:r>
      <w:r>
        <w:rPr>
          <w:color w:val="231F20"/>
        </w:rPr>
        <w:t>c’est</w:t>
      </w:r>
      <w:r>
        <w:rPr>
          <w:color w:val="231F20"/>
          <w:spacing w:val="-2"/>
        </w:rPr>
        <w:t> </w:t>
      </w:r>
      <w:r>
        <w:rPr>
          <w:color w:val="231F20"/>
        </w:rPr>
        <w:t>un</w:t>
      </w:r>
      <w:r>
        <w:rPr>
          <w:color w:val="231F20"/>
          <w:spacing w:val="-5"/>
        </w:rPr>
        <w:t> </w:t>
      </w:r>
      <w:r>
        <w:rPr>
          <w:color w:val="231F20"/>
        </w:rPr>
        <w:t>silence</w:t>
      </w:r>
      <w:r>
        <w:rPr>
          <w:color w:val="231F20"/>
          <w:spacing w:val="-5"/>
        </w:rPr>
        <w:t> </w:t>
      </w:r>
      <w:r>
        <w:rPr>
          <w:color w:val="231F20"/>
        </w:rPr>
        <w:t>radio </w:t>
      </w:r>
      <w:r>
        <w:rPr>
          <w:color w:val="231F20"/>
          <w:spacing w:val="-2"/>
        </w:rPr>
        <w:t>qui</w:t>
      </w:r>
      <w:r>
        <w:rPr>
          <w:color w:val="231F20"/>
          <w:spacing w:val="-5"/>
        </w:rPr>
        <w:t> </w:t>
      </w:r>
      <w:r>
        <w:rPr>
          <w:color w:val="231F20"/>
          <w:spacing w:val="-2"/>
        </w:rPr>
        <w:t>répond</w:t>
      </w:r>
      <w:r>
        <w:rPr>
          <w:color w:val="231F20"/>
          <w:spacing w:val="-7"/>
        </w:rPr>
        <w:t> </w:t>
      </w:r>
      <w:r>
        <w:rPr>
          <w:color w:val="231F20"/>
          <w:spacing w:val="-2"/>
        </w:rPr>
        <w:t>aux</w:t>
      </w:r>
      <w:r>
        <w:rPr>
          <w:color w:val="231F20"/>
          <w:spacing w:val="-7"/>
        </w:rPr>
        <w:t> </w:t>
      </w:r>
      <w:r>
        <w:rPr>
          <w:color w:val="231F20"/>
          <w:spacing w:val="-2"/>
        </w:rPr>
        <w:t>plaintes</w:t>
      </w:r>
      <w:r>
        <w:rPr>
          <w:color w:val="231F20"/>
          <w:spacing w:val="-7"/>
        </w:rPr>
        <w:t> </w:t>
      </w:r>
      <w:r>
        <w:rPr>
          <w:color w:val="231F20"/>
          <w:spacing w:val="-2"/>
        </w:rPr>
        <w:t>des</w:t>
      </w:r>
      <w:r>
        <w:rPr>
          <w:color w:val="231F20"/>
          <w:spacing w:val="-5"/>
        </w:rPr>
        <w:t> </w:t>
      </w:r>
      <w:r>
        <w:rPr>
          <w:color w:val="231F20"/>
          <w:spacing w:val="-2"/>
        </w:rPr>
        <w:t>représentants</w:t>
      </w:r>
      <w:r>
        <w:rPr>
          <w:color w:val="231F20"/>
          <w:spacing w:val="-7"/>
        </w:rPr>
        <w:t> </w:t>
      </w:r>
      <w:r>
        <w:rPr>
          <w:color w:val="231F20"/>
          <w:spacing w:val="-2"/>
        </w:rPr>
        <w:t>du</w:t>
      </w:r>
      <w:r>
        <w:rPr>
          <w:color w:val="231F20"/>
          <w:spacing w:val="-7"/>
        </w:rPr>
        <w:t> </w:t>
      </w:r>
      <w:r>
        <w:rPr>
          <w:color w:val="231F20"/>
          <w:spacing w:val="-2"/>
        </w:rPr>
        <w:t>candidat</w:t>
      </w:r>
      <w:r>
        <w:rPr>
          <w:color w:val="231F20"/>
          <w:spacing w:val="-5"/>
        </w:rPr>
        <w:t> </w:t>
      </w:r>
      <w:r>
        <w:rPr>
          <w:color w:val="231F20"/>
          <w:spacing w:val="-2"/>
        </w:rPr>
        <w:t>Gbagbo</w:t>
      </w:r>
      <w:r>
        <w:rPr>
          <w:color w:val="231F20"/>
          <w:spacing w:val="-7"/>
        </w:rPr>
        <w:t> </w:t>
      </w:r>
      <w:r>
        <w:rPr>
          <w:color w:val="231F20"/>
          <w:spacing w:val="-2"/>
        </w:rPr>
        <w:t>bastonnés </w:t>
      </w:r>
      <w:r>
        <w:rPr>
          <w:color w:val="231F20"/>
        </w:rPr>
        <w:t>par</w:t>
      </w:r>
      <w:r>
        <w:rPr>
          <w:color w:val="231F20"/>
          <w:spacing w:val="-2"/>
        </w:rPr>
        <w:t> </w:t>
      </w:r>
      <w:r>
        <w:rPr>
          <w:color w:val="231F20"/>
        </w:rPr>
        <w:t>les</w:t>
      </w:r>
      <w:r>
        <w:rPr>
          <w:color w:val="231F20"/>
          <w:spacing w:val="-2"/>
        </w:rPr>
        <w:t> </w:t>
      </w:r>
      <w:r>
        <w:rPr>
          <w:color w:val="231F20"/>
        </w:rPr>
        <w:t>ex-rebelles.</w:t>
      </w:r>
      <w:r>
        <w:rPr>
          <w:color w:val="231F20"/>
          <w:spacing w:val="-4"/>
        </w:rPr>
        <w:t> </w:t>
      </w:r>
      <w:r>
        <w:rPr>
          <w:color w:val="231F20"/>
        </w:rPr>
        <w:t>A</w:t>
      </w:r>
      <w:r>
        <w:rPr>
          <w:color w:val="231F20"/>
          <w:spacing w:val="-2"/>
        </w:rPr>
        <w:t> </w:t>
      </w:r>
      <w:r>
        <w:rPr>
          <w:color w:val="231F20"/>
        </w:rPr>
        <w:t>l’Ouest,</w:t>
      </w:r>
      <w:r>
        <w:rPr>
          <w:color w:val="231F20"/>
          <w:spacing w:val="-4"/>
        </w:rPr>
        <w:t> </w:t>
      </w:r>
      <w:r>
        <w:rPr>
          <w:color w:val="231F20"/>
        </w:rPr>
        <w:t>le</w:t>
      </w:r>
      <w:r>
        <w:rPr>
          <w:color w:val="231F20"/>
          <w:spacing w:val="-3"/>
        </w:rPr>
        <w:t> </w:t>
      </w:r>
      <w:r>
        <w:rPr>
          <w:color w:val="231F20"/>
        </w:rPr>
        <w:t>scrutin</w:t>
      </w:r>
      <w:r>
        <w:rPr>
          <w:color w:val="231F20"/>
          <w:spacing w:val="-4"/>
        </w:rPr>
        <w:t> </w:t>
      </w:r>
      <w:r>
        <w:rPr>
          <w:color w:val="231F20"/>
        </w:rPr>
        <w:t>est</w:t>
      </w:r>
      <w:r>
        <w:rPr>
          <w:color w:val="231F20"/>
          <w:spacing w:val="-4"/>
        </w:rPr>
        <w:t> </w:t>
      </w:r>
      <w:r>
        <w:rPr>
          <w:color w:val="231F20"/>
        </w:rPr>
        <w:t>marqué</w:t>
      </w:r>
      <w:r>
        <w:rPr>
          <w:color w:val="231F20"/>
          <w:spacing w:val="-2"/>
        </w:rPr>
        <w:t> </w:t>
      </w:r>
      <w:r>
        <w:rPr>
          <w:color w:val="231F20"/>
        </w:rPr>
        <w:t>par</w:t>
      </w:r>
      <w:r>
        <w:rPr>
          <w:color w:val="231F20"/>
          <w:spacing w:val="-2"/>
        </w:rPr>
        <w:t> </w:t>
      </w:r>
      <w:r>
        <w:rPr>
          <w:color w:val="231F20"/>
        </w:rPr>
        <w:t>la</w:t>
      </w:r>
      <w:r>
        <w:rPr>
          <w:color w:val="231F20"/>
          <w:spacing w:val="-2"/>
        </w:rPr>
        <w:t> </w:t>
      </w:r>
      <w:r>
        <w:rPr>
          <w:color w:val="231F20"/>
        </w:rPr>
        <w:t>mort</w:t>
      </w:r>
      <w:r>
        <w:rPr>
          <w:color w:val="231F20"/>
          <w:spacing w:val="-2"/>
        </w:rPr>
        <w:t> </w:t>
      </w:r>
      <w:r>
        <w:rPr>
          <w:color w:val="231F20"/>
        </w:rPr>
        <w:t>de</w:t>
      </w:r>
      <w:r>
        <w:rPr>
          <w:color w:val="231F20"/>
          <w:spacing w:val="-4"/>
        </w:rPr>
        <w:t> </w:t>
      </w:r>
      <w:r>
        <w:rPr>
          <w:color w:val="231F20"/>
        </w:rPr>
        <w:t>trois</w:t>
      </w:r>
    </w:p>
    <w:p>
      <w:pPr>
        <w:spacing w:after="0"/>
        <w:sectPr>
          <w:pgSz w:w="8790" w:h="13610"/>
          <w:pgMar w:header="0" w:footer="802" w:top="1060" w:bottom="1000" w:left="880" w:right="880"/>
        </w:sectPr>
      </w:pPr>
    </w:p>
    <w:p>
      <w:pPr>
        <w:pStyle w:val="BodyText"/>
        <w:spacing w:before="66"/>
        <w:rPr>
          <w:i/>
        </w:rPr>
      </w:pPr>
      <w:r>
        <w:rPr>
          <w:color w:val="231F20"/>
          <w:spacing w:val="-2"/>
        </w:rPr>
        <w:t>personnes</w:t>
      </w:r>
      <w:r>
        <w:rPr>
          <w:color w:val="231F20"/>
          <w:spacing w:val="-8"/>
        </w:rPr>
        <w:t> </w:t>
      </w:r>
      <w:r>
        <w:rPr>
          <w:color w:val="231F20"/>
          <w:spacing w:val="-2"/>
        </w:rPr>
        <w:t>et</w:t>
      </w:r>
      <w:r>
        <w:rPr>
          <w:color w:val="231F20"/>
          <w:spacing w:val="-4"/>
        </w:rPr>
        <w:t> </w:t>
      </w:r>
      <w:r>
        <w:rPr>
          <w:color w:val="231F20"/>
          <w:spacing w:val="-2"/>
        </w:rPr>
        <w:t>des</w:t>
      </w:r>
      <w:r>
        <w:rPr>
          <w:color w:val="231F20"/>
          <w:spacing w:val="-6"/>
        </w:rPr>
        <w:t> </w:t>
      </w:r>
      <w:r>
        <w:rPr>
          <w:color w:val="231F20"/>
          <w:spacing w:val="-2"/>
        </w:rPr>
        <w:t>incidents</w:t>
      </w:r>
      <w:r>
        <w:rPr>
          <w:color w:val="231F20"/>
          <w:spacing w:val="-6"/>
        </w:rPr>
        <w:t> </w:t>
      </w:r>
      <w:r>
        <w:rPr>
          <w:color w:val="231F20"/>
          <w:spacing w:val="-2"/>
        </w:rPr>
        <w:t>localisés.</w:t>
      </w:r>
      <w:r>
        <w:rPr>
          <w:color w:val="231F20"/>
          <w:spacing w:val="-6"/>
        </w:rPr>
        <w:t> </w:t>
      </w:r>
      <w:r>
        <w:rPr>
          <w:color w:val="231F20"/>
          <w:spacing w:val="-2"/>
        </w:rPr>
        <w:t>L’ONU</w:t>
      </w:r>
      <w:r>
        <w:rPr>
          <w:color w:val="231F20"/>
          <w:spacing w:val="-4"/>
        </w:rPr>
        <w:t> </w:t>
      </w:r>
      <w:r>
        <w:rPr>
          <w:color w:val="231F20"/>
          <w:spacing w:val="-2"/>
        </w:rPr>
        <w:t>estime</w:t>
      </w:r>
      <w:r>
        <w:rPr>
          <w:color w:val="231F20"/>
          <w:spacing w:val="-9"/>
        </w:rPr>
        <w:t> </w:t>
      </w:r>
      <w:r>
        <w:rPr>
          <w:color w:val="231F20"/>
          <w:spacing w:val="-2"/>
        </w:rPr>
        <w:t>que</w:t>
      </w:r>
      <w:r>
        <w:rPr>
          <w:color w:val="231F20"/>
          <w:spacing w:val="-4"/>
        </w:rPr>
        <w:t> </w:t>
      </w:r>
      <w:r>
        <w:rPr>
          <w:color w:val="231F20"/>
          <w:spacing w:val="-2"/>
        </w:rPr>
        <w:t>le</w:t>
      </w:r>
      <w:r>
        <w:rPr>
          <w:color w:val="231F20"/>
          <w:spacing w:val="-4"/>
        </w:rPr>
        <w:t> </w:t>
      </w:r>
      <w:r>
        <w:rPr>
          <w:color w:val="231F20"/>
          <w:spacing w:val="-2"/>
        </w:rPr>
        <w:t>scrutin</w:t>
      </w:r>
      <w:r>
        <w:rPr>
          <w:color w:val="231F20"/>
        </w:rPr>
        <w:t> </w:t>
      </w:r>
      <w:r>
        <w:rPr>
          <w:i/>
          <w:color w:val="231F20"/>
          <w:spacing w:val="-2"/>
        </w:rPr>
        <w:t>«</w:t>
      </w:r>
      <w:r>
        <w:rPr>
          <w:i/>
          <w:color w:val="231F20"/>
          <w:spacing w:val="-10"/>
        </w:rPr>
        <w:t> </w:t>
      </w:r>
      <w:r>
        <w:rPr>
          <w:i/>
          <w:color w:val="231F20"/>
          <w:spacing w:val="-2"/>
        </w:rPr>
        <w:t>s’est</w:t>
      </w:r>
    </w:p>
    <w:p>
      <w:pPr>
        <w:spacing w:before="0"/>
        <w:ind w:left="111" w:right="0" w:firstLine="0"/>
        <w:jc w:val="both"/>
        <w:rPr>
          <w:i/>
          <w:sz w:val="24"/>
        </w:rPr>
      </w:pPr>
      <w:r>
        <w:rPr>
          <w:i/>
          <w:color w:val="231F20"/>
          <w:spacing w:val="-2"/>
          <w:sz w:val="24"/>
        </w:rPr>
        <w:t>tenu</w:t>
      </w:r>
      <w:r>
        <w:rPr>
          <w:i/>
          <w:color w:val="231F20"/>
          <w:spacing w:val="-14"/>
          <w:sz w:val="24"/>
        </w:rPr>
        <w:t> </w:t>
      </w:r>
      <w:r>
        <w:rPr>
          <w:i/>
          <w:color w:val="231F20"/>
          <w:spacing w:val="-2"/>
          <w:sz w:val="24"/>
        </w:rPr>
        <w:t>globalement</w:t>
      </w:r>
      <w:r>
        <w:rPr>
          <w:i/>
          <w:color w:val="231F20"/>
          <w:spacing w:val="-12"/>
          <w:sz w:val="24"/>
        </w:rPr>
        <w:t> </w:t>
      </w:r>
      <w:r>
        <w:rPr>
          <w:i/>
          <w:color w:val="231F20"/>
          <w:spacing w:val="-2"/>
          <w:sz w:val="24"/>
        </w:rPr>
        <w:t>dans</w:t>
      </w:r>
      <w:r>
        <w:rPr>
          <w:i/>
          <w:color w:val="231F20"/>
          <w:spacing w:val="-11"/>
          <w:sz w:val="24"/>
        </w:rPr>
        <w:t> </w:t>
      </w:r>
      <w:r>
        <w:rPr>
          <w:i/>
          <w:color w:val="231F20"/>
          <w:spacing w:val="-2"/>
          <w:sz w:val="24"/>
        </w:rPr>
        <w:t>un</w:t>
      </w:r>
      <w:r>
        <w:rPr>
          <w:i/>
          <w:color w:val="231F20"/>
          <w:spacing w:val="-13"/>
          <w:sz w:val="24"/>
        </w:rPr>
        <w:t> </w:t>
      </w:r>
      <w:r>
        <w:rPr>
          <w:i/>
          <w:color w:val="231F20"/>
          <w:spacing w:val="-2"/>
          <w:sz w:val="24"/>
        </w:rPr>
        <w:t>climat</w:t>
      </w:r>
      <w:r>
        <w:rPr>
          <w:i/>
          <w:color w:val="231F20"/>
          <w:spacing w:val="-11"/>
          <w:sz w:val="24"/>
        </w:rPr>
        <w:t> </w:t>
      </w:r>
      <w:r>
        <w:rPr>
          <w:i/>
          <w:color w:val="231F20"/>
          <w:spacing w:val="-2"/>
          <w:sz w:val="24"/>
        </w:rPr>
        <w:t>démocratique.</w:t>
      </w:r>
      <w:r>
        <w:rPr>
          <w:i/>
          <w:color w:val="231F20"/>
          <w:spacing w:val="-12"/>
          <w:sz w:val="24"/>
        </w:rPr>
        <w:t> </w:t>
      </w:r>
      <w:r>
        <w:rPr>
          <w:i/>
          <w:color w:val="231F20"/>
          <w:spacing w:val="-10"/>
          <w:sz w:val="24"/>
        </w:rPr>
        <w:t>»</w:t>
      </w:r>
    </w:p>
    <w:p>
      <w:pPr>
        <w:pStyle w:val="BodyText"/>
        <w:spacing w:before="120"/>
        <w:ind w:right="105" w:firstLine="283"/>
      </w:pPr>
      <w:r>
        <w:rPr>
          <w:color w:val="231F20"/>
        </w:rPr>
        <w:t>Du 28 novembre au 2 décembre 2010, l’interminable attente des résultats</w:t>
      </w:r>
      <w:r>
        <w:rPr>
          <w:color w:val="231F20"/>
          <w:spacing w:val="-5"/>
        </w:rPr>
        <w:t> </w:t>
      </w:r>
      <w:r>
        <w:rPr>
          <w:color w:val="231F20"/>
        </w:rPr>
        <w:t>du</w:t>
      </w:r>
      <w:r>
        <w:rPr>
          <w:color w:val="231F20"/>
          <w:spacing w:val="-5"/>
        </w:rPr>
        <w:t> </w:t>
      </w:r>
      <w:r>
        <w:rPr>
          <w:color w:val="231F20"/>
        </w:rPr>
        <w:t>vote</w:t>
      </w:r>
      <w:r>
        <w:rPr>
          <w:color w:val="231F20"/>
          <w:spacing w:val="-5"/>
        </w:rPr>
        <w:t> </w:t>
      </w:r>
      <w:r>
        <w:rPr>
          <w:color w:val="231F20"/>
        </w:rPr>
        <w:t>inquiète</w:t>
      </w:r>
      <w:r>
        <w:rPr>
          <w:color w:val="231F20"/>
          <w:spacing w:val="-9"/>
        </w:rPr>
        <w:t> </w:t>
      </w:r>
      <w:r>
        <w:rPr>
          <w:color w:val="231F20"/>
        </w:rPr>
        <w:t>et</w:t>
      </w:r>
      <w:r>
        <w:rPr>
          <w:color w:val="231F20"/>
          <w:spacing w:val="-6"/>
        </w:rPr>
        <w:t> </w:t>
      </w:r>
      <w:r>
        <w:rPr>
          <w:color w:val="231F20"/>
        </w:rPr>
        <w:t>plonge</w:t>
      </w:r>
      <w:r>
        <w:rPr>
          <w:color w:val="231F20"/>
          <w:spacing w:val="-8"/>
        </w:rPr>
        <w:t> </w:t>
      </w:r>
      <w:r>
        <w:rPr>
          <w:color w:val="231F20"/>
        </w:rPr>
        <w:t>le</w:t>
      </w:r>
      <w:r>
        <w:rPr>
          <w:color w:val="231F20"/>
          <w:spacing w:val="-6"/>
        </w:rPr>
        <w:t> </w:t>
      </w:r>
      <w:r>
        <w:rPr>
          <w:color w:val="231F20"/>
        </w:rPr>
        <w:t>pays</w:t>
      </w:r>
      <w:r>
        <w:rPr>
          <w:color w:val="231F20"/>
          <w:spacing w:val="-8"/>
        </w:rPr>
        <w:t> </w:t>
      </w:r>
      <w:r>
        <w:rPr>
          <w:color w:val="231F20"/>
        </w:rPr>
        <w:t>dans</w:t>
      </w:r>
      <w:r>
        <w:rPr>
          <w:color w:val="231F20"/>
          <w:spacing w:val="-8"/>
        </w:rPr>
        <w:t> </w:t>
      </w:r>
      <w:r>
        <w:rPr>
          <w:color w:val="231F20"/>
        </w:rPr>
        <w:t>l’incertitude.</w:t>
      </w:r>
    </w:p>
    <w:p>
      <w:pPr>
        <w:pStyle w:val="BodyText"/>
        <w:spacing w:before="120"/>
        <w:ind w:right="105" w:firstLine="283"/>
      </w:pPr>
      <w:r>
        <w:rPr>
          <w:color w:val="231F20"/>
        </w:rPr>
        <w:t>Le 30 novembre, deux jours après l’élection, des représentants de </w:t>
      </w:r>
      <w:r>
        <w:rPr>
          <w:color w:val="231F20"/>
          <w:spacing w:val="-2"/>
        </w:rPr>
        <w:t>Laurent</w:t>
      </w:r>
      <w:r>
        <w:rPr>
          <w:color w:val="231F20"/>
          <w:spacing w:val="-13"/>
        </w:rPr>
        <w:t> </w:t>
      </w:r>
      <w:r>
        <w:rPr>
          <w:color w:val="231F20"/>
          <w:spacing w:val="-2"/>
        </w:rPr>
        <w:t>Gbagbo</w:t>
      </w:r>
      <w:r>
        <w:rPr>
          <w:color w:val="231F20"/>
          <w:spacing w:val="-13"/>
        </w:rPr>
        <w:t> </w:t>
      </w:r>
      <w:r>
        <w:rPr>
          <w:color w:val="231F20"/>
          <w:spacing w:val="-2"/>
        </w:rPr>
        <w:t>au</w:t>
      </w:r>
      <w:r>
        <w:rPr>
          <w:color w:val="231F20"/>
          <w:spacing w:val="-13"/>
        </w:rPr>
        <w:t> </w:t>
      </w:r>
      <w:r>
        <w:rPr>
          <w:color w:val="231F20"/>
          <w:spacing w:val="-2"/>
        </w:rPr>
        <w:t>sein</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commission</w:t>
      </w:r>
      <w:r>
        <w:rPr>
          <w:color w:val="231F20"/>
          <w:spacing w:val="-13"/>
        </w:rPr>
        <w:t> </w:t>
      </w:r>
      <w:r>
        <w:rPr>
          <w:color w:val="231F20"/>
          <w:spacing w:val="-2"/>
        </w:rPr>
        <w:t>électorale</w:t>
      </w:r>
      <w:r>
        <w:rPr>
          <w:color w:val="231F20"/>
          <w:spacing w:val="-13"/>
        </w:rPr>
        <w:t> </w:t>
      </w:r>
      <w:r>
        <w:rPr>
          <w:color w:val="231F20"/>
          <w:spacing w:val="-2"/>
        </w:rPr>
        <w:t>empêchent</w:t>
      </w:r>
      <w:r>
        <w:rPr>
          <w:color w:val="231F20"/>
          <w:spacing w:val="-13"/>
        </w:rPr>
        <w:t> </w:t>
      </w:r>
      <w:r>
        <w:rPr>
          <w:color w:val="231F20"/>
          <w:spacing w:val="-2"/>
        </w:rPr>
        <w:t>en</w:t>
      </w:r>
      <w:r>
        <w:rPr>
          <w:color w:val="231F20"/>
          <w:spacing w:val="-13"/>
        </w:rPr>
        <w:t> </w:t>
      </w:r>
      <w:r>
        <w:rPr>
          <w:color w:val="231F20"/>
          <w:spacing w:val="-2"/>
        </w:rPr>
        <w:t>direct </w:t>
      </w:r>
      <w:r>
        <w:rPr>
          <w:color w:val="231F20"/>
        </w:rPr>
        <w:t>depuis les bureaux de la CEI, sur la chaîne de la RTI, l’annonce de résultats</w:t>
      </w:r>
      <w:r>
        <w:rPr>
          <w:color w:val="231F20"/>
          <w:spacing w:val="-15"/>
        </w:rPr>
        <w:t> </w:t>
      </w:r>
      <w:r>
        <w:rPr>
          <w:color w:val="231F20"/>
        </w:rPr>
        <w:t>partiels</w:t>
      </w:r>
      <w:r>
        <w:rPr>
          <w:color w:val="231F20"/>
          <w:spacing w:val="-15"/>
        </w:rPr>
        <w:t> </w:t>
      </w:r>
      <w:r>
        <w:rPr>
          <w:color w:val="231F20"/>
        </w:rPr>
        <w:t>à</w:t>
      </w:r>
      <w:r>
        <w:rPr>
          <w:color w:val="231F20"/>
          <w:spacing w:val="-15"/>
        </w:rPr>
        <w:t> </w:t>
      </w:r>
      <w:r>
        <w:rPr>
          <w:color w:val="231F20"/>
        </w:rPr>
        <w:t>Abidjan.</w:t>
      </w:r>
      <w:r>
        <w:rPr>
          <w:color w:val="231F20"/>
          <w:spacing w:val="-15"/>
        </w:rPr>
        <w:t> </w:t>
      </w:r>
      <w:r>
        <w:rPr>
          <w:color w:val="231F20"/>
        </w:rPr>
        <w:t>Ils</w:t>
      </w:r>
      <w:r>
        <w:rPr>
          <w:color w:val="231F20"/>
          <w:spacing w:val="-15"/>
        </w:rPr>
        <w:t> </w:t>
      </w:r>
      <w:r>
        <w:rPr>
          <w:color w:val="231F20"/>
        </w:rPr>
        <w:t>estiment</w:t>
      </w:r>
      <w:r>
        <w:rPr>
          <w:color w:val="231F20"/>
          <w:spacing w:val="-15"/>
        </w:rPr>
        <w:t> </w:t>
      </w:r>
      <w:r>
        <w:rPr>
          <w:color w:val="231F20"/>
        </w:rPr>
        <w:t>que</w:t>
      </w:r>
      <w:r>
        <w:rPr>
          <w:color w:val="231F20"/>
          <w:spacing w:val="-15"/>
        </w:rPr>
        <w:t> </w:t>
      </w:r>
      <w:r>
        <w:rPr>
          <w:color w:val="231F20"/>
        </w:rPr>
        <w:t>ces</w:t>
      </w:r>
      <w:r>
        <w:rPr>
          <w:color w:val="231F20"/>
          <w:spacing w:val="-15"/>
        </w:rPr>
        <w:t> </w:t>
      </w:r>
      <w:r>
        <w:rPr>
          <w:color w:val="231F20"/>
        </w:rPr>
        <w:t>résultats</w:t>
      </w:r>
      <w:r>
        <w:rPr>
          <w:color w:val="231F20"/>
          <w:spacing w:val="-15"/>
        </w:rPr>
        <w:t> </w:t>
      </w:r>
      <w:r>
        <w:rPr>
          <w:color w:val="231F20"/>
        </w:rPr>
        <w:t>non</w:t>
      </w:r>
      <w:r>
        <w:rPr>
          <w:color w:val="231F20"/>
          <w:spacing w:val="-15"/>
        </w:rPr>
        <w:t> </w:t>
      </w:r>
      <w:r>
        <w:rPr>
          <w:color w:val="231F20"/>
        </w:rPr>
        <w:t>consolidés sont entachés de fraude. Les partisans d’Alassane</w:t>
      </w:r>
      <w:r>
        <w:rPr>
          <w:color w:val="231F20"/>
          <w:spacing w:val="-1"/>
        </w:rPr>
        <w:t> </w:t>
      </w:r>
      <w:r>
        <w:rPr>
          <w:color w:val="231F20"/>
        </w:rPr>
        <w:t>Ouattara accusent le président</w:t>
      </w:r>
      <w:r>
        <w:rPr>
          <w:color w:val="231F20"/>
          <w:spacing w:val="-13"/>
        </w:rPr>
        <w:t> </w:t>
      </w:r>
      <w:r>
        <w:rPr>
          <w:color w:val="231F20"/>
        </w:rPr>
        <w:t>sortant</w:t>
      </w:r>
      <w:r>
        <w:rPr>
          <w:color w:val="231F20"/>
          <w:spacing w:val="-14"/>
        </w:rPr>
        <w:t> </w:t>
      </w:r>
      <w:r>
        <w:rPr>
          <w:color w:val="231F20"/>
        </w:rPr>
        <w:t>de</w:t>
      </w:r>
      <w:r>
        <w:rPr>
          <w:color w:val="231F20"/>
          <w:spacing w:val="-13"/>
        </w:rPr>
        <w:t> </w:t>
      </w:r>
      <w:r>
        <w:rPr>
          <w:color w:val="231F20"/>
        </w:rPr>
        <w:t>bloquer</w:t>
      </w:r>
      <w:r>
        <w:rPr>
          <w:color w:val="231F20"/>
          <w:spacing w:val="-13"/>
        </w:rPr>
        <w:t> </w:t>
      </w:r>
      <w:r>
        <w:rPr>
          <w:color w:val="231F20"/>
        </w:rPr>
        <w:t>l’annonce</w:t>
      </w:r>
      <w:r>
        <w:rPr>
          <w:color w:val="231F20"/>
          <w:spacing w:val="-13"/>
        </w:rPr>
        <w:t> </w:t>
      </w:r>
      <w:r>
        <w:rPr>
          <w:color w:val="231F20"/>
        </w:rPr>
        <w:t>avant</w:t>
      </w:r>
      <w:r>
        <w:rPr>
          <w:color w:val="231F20"/>
          <w:spacing w:val="-15"/>
        </w:rPr>
        <w:t> </w:t>
      </w:r>
      <w:r>
        <w:rPr>
          <w:color w:val="231F20"/>
        </w:rPr>
        <w:t>le</w:t>
      </w:r>
      <w:r>
        <w:rPr>
          <w:color w:val="231F20"/>
          <w:spacing w:val="-13"/>
        </w:rPr>
        <w:t> </w:t>
      </w:r>
      <w:r>
        <w:rPr>
          <w:color w:val="231F20"/>
        </w:rPr>
        <w:t>délai</w:t>
      </w:r>
      <w:r>
        <w:rPr>
          <w:color w:val="231F20"/>
          <w:spacing w:val="-13"/>
        </w:rPr>
        <w:t> </w:t>
      </w:r>
      <w:r>
        <w:rPr>
          <w:color w:val="231F20"/>
        </w:rPr>
        <w:t>initialement</w:t>
      </w:r>
      <w:r>
        <w:rPr>
          <w:color w:val="231F20"/>
          <w:spacing w:val="-13"/>
        </w:rPr>
        <w:t> </w:t>
      </w:r>
      <w:r>
        <w:rPr>
          <w:color w:val="231F20"/>
        </w:rPr>
        <w:t>prévu, le 1er décembre à minuit.</w:t>
      </w:r>
    </w:p>
    <w:p>
      <w:pPr>
        <w:pStyle w:val="BodyText"/>
        <w:spacing w:before="121"/>
        <w:ind w:right="103" w:firstLine="283"/>
      </w:pPr>
      <w:r>
        <w:rPr>
          <w:color w:val="231F20"/>
          <w:spacing w:val="-2"/>
        </w:rPr>
        <w:t>Le</w:t>
      </w:r>
      <w:r>
        <w:rPr>
          <w:color w:val="231F20"/>
          <w:spacing w:val="-12"/>
        </w:rPr>
        <w:t> </w:t>
      </w:r>
      <w:r>
        <w:rPr>
          <w:color w:val="231F20"/>
          <w:spacing w:val="-2"/>
        </w:rPr>
        <w:t>2</w:t>
      </w:r>
      <w:r>
        <w:rPr>
          <w:color w:val="231F20"/>
          <w:spacing w:val="-12"/>
        </w:rPr>
        <w:t> </w:t>
      </w:r>
      <w:r>
        <w:rPr>
          <w:color w:val="231F20"/>
          <w:spacing w:val="-2"/>
        </w:rPr>
        <w:t>décembre</w:t>
      </w:r>
      <w:r>
        <w:rPr>
          <w:color w:val="231F20"/>
          <w:spacing w:val="-12"/>
        </w:rPr>
        <w:t> </w:t>
      </w:r>
      <w:r>
        <w:rPr>
          <w:color w:val="231F20"/>
          <w:spacing w:val="-2"/>
        </w:rPr>
        <w:t>les</w:t>
      </w:r>
      <w:r>
        <w:rPr>
          <w:color w:val="231F20"/>
          <w:spacing w:val="-12"/>
        </w:rPr>
        <w:t> </w:t>
      </w:r>
      <w:r>
        <w:rPr>
          <w:color w:val="231F20"/>
          <w:spacing w:val="-2"/>
        </w:rPr>
        <w:t>résultats</w:t>
      </w:r>
      <w:r>
        <w:rPr>
          <w:color w:val="231F20"/>
          <w:spacing w:val="-11"/>
        </w:rPr>
        <w:t> </w:t>
      </w:r>
      <w:r>
        <w:rPr>
          <w:color w:val="231F20"/>
          <w:spacing w:val="-2"/>
        </w:rPr>
        <w:t>provisoires</w:t>
      </w:r>
      <w:r>
        <w:rPr>
          <w:color w:val="231F20"/>
          <w:spacing w:val="-11"/>
        </w:rPr>
        <w:t> </w:t>
      </w:r>
      <w:r>
        <w:rPr>
          <w:color w:val="231F20"/>
          <w:spacing w:val="-2"/>
        </w:rPr>
        <w:t>sont</w:t>
      </w:r>
      <w:r>
        <w:rPr>
          <w:color w:val="231F20"/>
          <w:spacing w:val="-11"/>
        </w:rPr>
        <w:t> </w:t>
      </w:r>
      <w:r>
        <w:rPr>
          <w:color w:val="231F20"/>
          <w:spacing w:val="-2"/>
        </w:rPr>
        <w:t>annoncés</w:t>
      </w:r>
      <w:r>
        <w:rPr>
          <w:color w:val="231F20"/>
          <w:spacing w:val="-11"/>
        </w:rPr>
        <w:t> </w:t>
      </w:r>
      <w:r>
        <w:rPr>
          <w:color w:val="231F20"/>
          <w:spacing w:val="-2"/>
        </w:rPr>
        <w:t>hors</w:t>
      </w:r>
      <w:r>
        <w:rPr>
          <w:color w:val="231F20"/>
          <w:spacing w:val="-11"/>
        </w:rPr>
        <w:t> </w:t>
      </w:r>
      <w:r>
        <w:rPr>
          <w:color w:val="231F20"/>
          <w:spacing w:val="-2"/>
        </w:rPr>
        <w:t>délais,</w:t>
      </w:r>
      <w:r>
        <w:rPr>
          <w:color w:val="231F20"/>
          <w:spacing w:val="-11"/>
        </w:rPr>
        <w:t> </w:t>
      </w:r>
      <w:r>
        <w:rPr>
          <w:color w:val="231F20"/>
          <w:spacing w:val="-2"/>
        </w:rPr>
        <w:t>non pas</w:t>
      </w:r>
      <w:r>
        <w:rPr>
          <w:color w:val="231F20"/>
          <w:spacing w:val="-15"/>
        </w:rPr>
        <w:t> </w:t>
      </w:r>
      <w:r>
        <w:rPr>
          <w:color w:val="231F20"/>
          <w:spacing w:val="-2"/>
        </w:rPr>
        <w:t>au</w:t>
      </w:r>
      <w:r>
        <w:rPr>
          <w:color w:val="231F20"/>
          <w:spacing w:val="-13"/>
        </w:rPr>
        <w:t> </w:t>
      </w:r>
      <w:r>
        <w:rPr>
          <w:color w:val="231F20"/>
          <w:spacing w:val="-2"/>
        </w:rPr>
        <w:t>siège</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Commission</w:t>
      </w:r>
      <w:r>
        <w:rPr>
          <w:color w:val="231F20"/>
          <w:spacing w:val="-13"/>
        </w:rPr>
        <w:t> </w:t>
      </w:r>
      <w:r>
        <w:rPr>
          <w:color w:val="231F20"/>
          <w:spacing w:val="-2"/>
        </w:rPr>
        <w:t>Électorale</w:t>
      </w:r>
      <w:r>
        <w:rPr>
          <w:color w:val="231F20"/>
          <w:spacing w:val="-13"/>
        </w:rPr>
        <w:t> </w:t>
      </w:r>
      <w:r>
        <w:rPr>
          <w:color w:val="231F20"/>
          <w:spacing w:val="-2"/>
        </w:rPr>
        <w:t>Indépendante</w:t>
      </w:r>
      <w:r>
        <w:rPr>
          <w:color w:val="231F20"/>
          <w:spacing w:val="-13"/>
        </w:rPr>
        <w:t> </w:t>
      </w:r>
      <w:r>
        <w:rPr>
          <w:color w:val="231F20"/>
          <w:spacing w:val="-2"/>
        </w:rPr>
        <w:t>mais</w:t>
      </w:r>
      <w:r>
        <w:rPr>
          <w:color w:val="231F20"/>
          <w:spacing w:val="-13"/>
        </w:rPr>
        <w:t> </w:t>
      </w:r>
      <w:r>
        <w:rPr>
          <w:color w:val="231F20"/>
          <w:spacing w:val="-2"/>
        </w:rPr>
        <w:t>à</w:t>
      </w:r>
      <w:r>
        <w:rPr>
          <w:color w:val="231F20"/>
          <w:spacing w:val="-13"/>
        </w:rPr>
        <w:t> </w:t>
      </w:r>
      <w:r>
        <w:rPr>
          <w:color w:val="231F20"/>
          <w:spacing w:val="-2"/>
        </w:rPr>
        <w:t>l’Hôtel</w:t>
      </w:r>
      <w:r>
        <w:rPr>
          <w:color w:val="231F20"/>
          <w:spacing w:val="-13"/>
        </w:rPr>
        <w:t> </w:t>
      </w:r>
      <w:r>
        <w:rPr>
          <w:color w:val="231F20"/>
          <w:spacing w:val="-2"/>
        </w:rPr>
        <w:t>du </w:t>
      </w:r>
      <w:r>
        <w:rPr>
          <w:color w:val="231F20"/>
        </w:rPr>
        <w:t>Golf, le siège de campagne d’Alassane Ouattara. Le Président de la Commission, Youssouf Bakayoko, membre du PDCI l’allié du RDR </w:t>
      </w:r>
      <w:r>
        <w:rPr>
          <w:color w:val="231F20"/>
          <w:spacing w:val="-4"/>
        </w:rPr>
        <w:t>d’Alassane</w:t>
      </w:r>
      <w:r>
        <w:rPr>
          <w:color w:val="231F20"/>
          <w:spacing w:val="-7"/>
        </w:rPr>
        <w:t> </w:t>
      </w:r>
      <w:r>
        <w:rPr>
          <w:color w:val="231F20"/>
          <w:spacing w:val="-4"/>
        </w:rPr>
        <w:t>Ouattara,</w:t>
      </w:r>
      <w:r>
        <w:rPr>
          <w:color w:val="231F20"/>
          <w:spacing w:val="-10"/>
        </w:rPr>
        <w:t> </w:t>
      </w:r>
      <w:r>
        <w:rPr>
          <w:color w:val="231F20"/>
          <w:spacing w:val="-4"/>
        </w:rPr>
        <w:t>est</w:t>
      </w:r>
      <w:r>
        <w:rPr>
          <w:color w:val="231F20"/>
          <w:spacing w:val="-10"/>
        </w:rPr>
        <w:t> </w:t>
      </w:r>
      <w:r>
        <w:rPr>
          <w:color w:val="231F20"/>
          <w:spacing w:val="-4"/>
        </w:rPr>
        <w:t>seul</w:t>
      </w:r>
      <w:r>
        <w:rPr>
          <w:color w:val="231F20"/>
          <w:spacing w:val="-7"/>
        </w:rPr>
        <w:t> </w:t>
      </w:r>
      <w:r>
        <w:rPr>
          <w:color w:val="231F20"/>
          <w:spacing w:val="-4"/>
        </w:rPr>
        <w:t>face</w:t>
      </w:r>
      <w:r>
        <w:rPr>
          <w:color w:val="231F20"/>
          <w:spacing w:val="-7"/>
        </w:rPr>
        <w:t> </w:t>
      </w:r>
      <w:r>
        <w:rPr>
          <w:color w:val="231F20"/>
          <w:spacing w:val="-4"/>
        </w:rPr>
        <w:t>aux</w:t>
      </w:r>
      <w:r>
        <w:rPr>
          <w:color w:val="231F20"/>
          <w:spacing w:val="-10"/>
        </w:rPr>
        <w:t> </w:t>
      </w:r>
      <w:r>
        <w:rPr>
          <w:color w:val="231F20"/>
          <w:spacing w:val="-4"/>
        </w:rPr>
        <w:t>média</w:t>
      </w:r>
      <w:r>
        <w:rPr>
          <w:color w:val="231F20"/>
          <w:spacing w:val="-10"/>
        </w:rPr>
        <w:t> </w:t>
      </w:r>
      <w:r>
        <w:rPr>
          <w:color w:val="231F20"/>
          <w:spacing w:val="-4"/>
        </w:rPr>
        <w:t>internationaux.</w:t>
      </w:r>
      <w:r>
        <w:rPr>
          <w:color w:val="231F20"/>
          <w:spacing w:val="-7"/>
        </w:rPr>
        <w:t> </w:t>
      </w:r>
      <w:r>
        <w:rPr>
          <w:color w:val="231F20"/>
          <w:spacing w:val="-4"/>
        </w:rPr>
        <w:t>La</w:t>
      </w:r>
      <w:r>
        <w:rPr>
          <w:color w:val="231F20"/>
          <w:spacing w:val="-11"/>
        </w:rPr>
        <w:t> </w:t>
      </w:r>
      <w:r>
        <w:rPr>
          <w:color w:val="231F20"/>
          <w:spacing w:val="-4"/>
        </w:rPr>
        <w:t>télévision </w:t>
      </w:r>
      <w:r>
        <w:rPr>
          <w:color w:val="231F20"/>
        </w:rPr>
        <w:t>nationale n’est pas invitée. Aucun des Commissaires de la CEI n’accompagne le président qui annonce la victoire de Ouattara avec 54,1% des voix. Une heure après, le Conseil constitutionnel dont le </w:t>
      </w:r>
      <w:r>
        <w:rPr>
          <w:color w:val="231F20"/>
          <w:spacing w:val="-2"/>
        </w:rPr>
        <w:t>président</w:t>
      </w:r>
      <w:r>
        <w:rPr>
          <w:color w:val="231F20"/>
          <w:spacing w:val="-13"/>
        </w:rPr>
        <w:t> </w:t>
      </w:r>
      <w:r>
        <w:rPr>
          <w:color w:val="231F20"/>
          <w:spacing w:val="-2"/>
        </w:rPr>
        <w:t>Paul</w:t>
      </w:r>
      <w:r>
        <w:rPr>
          <w:color w:val="231F20"/>
          <w:spacing w:val="-12"/>
        </w:rPr>
        <w:t> </w:t>
      </w:r>
      <w:r>
        <w:rPr>
          <w:color w:val="231F20"/>
          <w:spacing w:val="-2"/>
        </w:rPr>
        <w:t>Yao</w:t>
      </w:r>
      <w:r>
        <w:rPr>
          <w:color w:val="231F20"/>
          <w:spacing w:val="-13"/>
        </w:rPr>
        <w:t> </w:t>
      </w:r>
      <w:r>
        <w:rPr>
          <w:color w:val="231F20"/>
          <w:spacing w:val="-2"/>
        </w:rPr>
        <w:t>N’dré</w:t>
      </w:r>
      <w:r>
        <w:rPr>
          <w:color w:val="231F20"/>
          <w:spacing w:val="-13"/>
        </w:rPr>
        <w:t> </w:t>
      </w:r>
      <w:r>
        <w:rPr>
          <w:color w:val="231F20"/>
          <w:spacing w:val="-2"/>
        </w:rPr>
        <w:t>est</w:t>
      </w:r>
      <w:r>
        <w:rPr>
          <w:color w:val="231F20"/>
          <w:spacing w:val="-11"/>
        </w:rPr>
        <w:t> </w:t>
      </w:r>
      <w:r>
        <w:rPr>
          <w:color w:val="231F20"/>
          <w:spacing w:val="-2"/>
        </w:rPr>
        <w:t>issu</w:t>
      </w:r>
      <w:r>
        <w:rPr>
          <w:color w:val="231F20"/>
          <w:spacing w:val="-13"/>
        </w:rPr>
        <w:t> </w:t>
      </w:r>
      <w:r>
        <w:rPr>
          <w:color w:val="231F20"/>
          <w:spacing w:val="-2"/>
        </w:rPr>
        <w:t>du</w:t>
      </w:r>
      <w:r>
        <w:rPr>
          <w:color w:val="231F20"/>
          <w:spacing w:val="-12"/>
        </w:rPr>
        <w:t> </w:t>
      </w:r>
      <w:r>
        <w:rPr>
          <w:color w:val="231F20"/>
          <w:spacing w:val="-2"/>
        </w:rPr>
        <w:t>FPI</w:t>
      </w:r>
      <w:r>
        <w:rPr>
          <w:color w:val="231F20"/>
          <w:spacing w:val="-13"/>
        </w:rPr>
        <w:t> </w:t>
      </w:r>
      <w:r>
        <w:rPr>
          <w:color w:val="231F20"/>
          <w:spacing w:val="-2"/>
        </w:rPr>
        <w:t>de</w:t>
      </w:r>
      <w:r>
        <w:rPr>
          <w:color w:val="231F20"/>
          <w:spacing w:val="-12"/>
        </w:rPr>
        <w:t> </w:t>
      </w:r>
      <w:r>
        <w:rPr>
          <w:color w:val="231F20"/>
          <w:spacing w:val="-2"/>
        </w:rPr>
        <w:t>Laurent</w:t>
      </w:r>
      <w:r>
        <w:rPr>
          <w:color w:val="231F20"/>
          <w:spacing w:val="-13"/>
        </w:rPr>
        <w:t> </w:t>
      </w:r>
      <w:r>
        <w:rPr>
          <w:color w:val="231F20"/>
          <w:spacing w:val="-2"/>
        </w:rPr>
        <w:t>Gbagbo,</w:t>
      </w:r>
      <w:r>
        <w:rPr>
          <w:color w:val="231F20"/>
          <w:spacing w:val="-13"/>
        </w:rPr>
        <w:t> </w:t>
      </w:r>
      <w:r>
        <w:rPr>
          <w:color w:val="231F20"/>
          <w:spacing w:val="-2"/>
        </w:rPr>
        <w:t>invalide</w:t>
      </w:r>
      <w:r>
        <w:rPr>
          <w:color w:val="231F20"/>
          <w:spacing w:val="-13"/>
        </w:rPr>
        <w:t> </w:t>
      </w:r>
      <w:r>
        <w:rPr>
          <w:color w:val="231F20"/>
          <w:spacing w:val="-2"/>
        </w:rPr>
        <w:t>les </w:t>
      </w:r>
      <w:r>
        <w:rPr>
          <w:color w:val="231F20"/>
        </w:rPr>
        <w:t>résultats</w:t>
      </w:r>
      <w:r>
        <w:rPr>
          <w:color w:val="231F20"/>
          <w:spacing w:val="-14"/>
        </w:rPr>
        <w:t> </w:t>
      </w:r>
      <w:r>
        <w:rPr>
          <w:color w:val="231F20"/>
        </w:rPr>
        <w:t>provisoires.</w:t>
      </w:r>
      <w:r>
        <w:rPr>
          <w:color w:val="231F20"/>
          <w:spacing w:val="-14"/>
        </w:rPr>
        <w:t> </w:t>
      </w:r>
      <w:r>
        <w:rPr>
          <w:color w:val="231F20"/>
        </w:rPr>
        <w:t>Paul</w:t>
      </w:r>
      <w:r>
        <w:rPr>
          <w:color w:val="231F20"/>
          <w:spacing w:val="-14"/>
        </w:rPr>
        <w:t> </w:t>
      </w:r>
      <w:r>
        <w:rPr>
          <w:color w:val="231F20"/>
        </w:rPr>
        <w:t>Yao</w:t>
      </w:r>
      <w:r>
        <w:rPr>
          <w:color w:val="231F20"/>
          <w:spacing w:val="-12"/>
        </w:rPr>
        <w:t> </w:t>
      </w:r>
      <w:r>
        <w:rPr>
          <w:color w:val="231F20"/>
        </w:rPr>
        <w:t>N’dré</w:t>
      </w:r>
      <w:r>
        <w:rPr>
          <w:color w:val="231F20"/>
          <w:spacing w:val="-12"/>
        </w:rPr>
        <w:t> </w:t>
      </w:r>
      <w:r>
        <w:rPr>
          <w:color w:val="231F20"/>
        </w:rPr>
        <w:t>rappelle</w:t>
      </w:r>
      <w:r>
        <w:rPr>
          <w:color w:val="231F20"/>
          <w:spacing w:val="-14"/>
        </w:rPr>
        <w:t> </w:t>
      </w:r>
      <w:r>
        <w:rPr>
          <w:color w:val="231F20"/>
        </w:rPr>
        <w:t>que</w:t>
      </w:r>
      <w:r>
        <w:rPr>
          <w:color w:val="231F20"/>
          <w:spacing w:val="-14"/>
        </w:rPr>
        <w:t> </w:t>
      </w:r>
      <w:r>
        <w:rPr>
          <w:color w:val="231F20"/>
        </w:rPr>
        <w:t>la</w:t>
      </w:r>
      <w:r>
        <w:rPr>
          <w:color w:val="231F20"/>
          <w:spacing w:val="-12"/>
        </w:rPr>
        <w:t> </w:t>
      </w:r>
      <w:r>
        <w:rPr>
          <w:color w:val="231F20"/>
        </w:rPr>
        <w:t>CEI</w:t>
      </w:r>
      <w:r>
        <w:rPr>
          <w:color w:val="231F20"/>
          <w:spacing w:val="-14"/>
        </w:rPr>
        <w:t> </w:t>
      </w:r>
      <w:r>
        <w:rPr>
          <w:color w:val="231F20"/>
        </w:rPr>
        <w:t>n’avait</w:t>
      </w:r>
      <w:r>
        <w:rPr>
          <w:color w:val="231F20"/>
          <w:spacing w:val="-14"/>
        </w:rPr>
        <w:t> </w:t>
      </w:r>
      <w:r>
        <w:rPr>
          <w:color w:val="231F20"/>
        </w:rPr>
        <w:t>pas</w:t>
      </w:r>
      <w:r>
        <w:rPr>
          <w:color w:val="231F20"/>
          <w:spacing w:val="-12"/>
        </w:rPr>
        <w:t> </w:t>
      </w:r>
      <w:r>
        <w:rPr>
          <w:color w:val="231F20"/>
        </w:rPr>
        <w:t>été </w:t>
      </w:r>
      <w:r>
        <w:rPr>
          <w:color w:val="231F20"/>
          <w:spacing w:val="-4"/>
        </w:rPr>
        <w:t>capable</w:t>
      </w:r>
      <w:r>
        <w:rPr>
          <w:color w:val="231F20"/>
          <w:spacing w:val="-10"/>
        </w:rPr>
        <w:t> </w:t>
      </w:r>
      <w:r>
        <w:rPr>
          <w:color w:val="231F20"/>
          <w:spacing w:val="-4"/>
        </w:rPr>
        <w:t>de</w:t>
      </w:r>
      <w:r>
        <w:rPr>
          <w:color w:val="231F20"/>
          <w:spacing w:val="-10"/>
        </w:rPr>
        <w:t> </w:t>
      </w:r>
      <w:r>
        <w:rPr>
          <w:color w:val="231F20"/>
          <w:spacing w:val="-4"/>
        </w:rPr>
        <w:t>proclamer</w:t>
      </w:r>
      <w:r>
        <w:rPr>
          <w:color w:val="231F20"/>
          <w:spacing w:val="-10"/>
        </w:rPr>
        <w:t> </w:t>
      </w:r>
      <w:r>
        <w:rPr>
          <w:color w:val="231F20"/>
          <w:spacing w:val="-4"/>
        </w:rPr>
        <w:t>les</w:t>
      </w:r>
      <w:r>
        <w:rPr>
          <w:color w:val="231F20"/>
          <w:spacing w:val="-9"/>
        </w:rPr>
        <w:t> </w:t>
      </w:r>
      <w:r>
        <w:rPr>
          <w:color w:val="231F20"/>
          <w:spacing w:val="-4"/>
        </w:rPr>
        <w:t>résultats</w:t>
      </w:r>
      <w:r>
        <w:rPr>
          <w:color w:val="231F20"/>
          <w:spacing w:val="-9"/>
        </w:rPr>
        <w:t> </w:t>
      </w:r>
      <w:r>
        <w:rPr>
          <w:color w:val="231F20"/>
          <w:spacing w:val="-4"/>
        </w:rPr>
        <w:t>dans</w:t>
      </w:r>
      <w:r>
        <w:rPr>
          <w:color w:val="231F20"/>
          <w:spacing w:val="-11"/>
        </w:rPr>
        <w:t> </w:t>
      </w:r>
      <w:r>
        <w:rPr>
          <w:color w:val="231F20"/>
          <w:spacing w:val="-4"/>
        </w:rPr>
        <w:t>le</w:t>
      </w:r>
      <w:r>
        <w:rPr>
          <w:color w:val="231F20"/>
          <w:spacing w:val="-10"/>
        </w:rPr>
        <w:t> </w:t>
      </w:r>
      <w:r>
        <w:rPr>
          <w:color w:val="231F20"/>
          <w:spacing w:val="-4"/>
        </w:rPr>
        <w:t>délai</w:t>
      </w:r>
      <w:r>
        <w:rPr>
          <w:color w:val="231F20"/>
          <w:spacing w:val="-8"/>
        </w:rPr>
        <w:t> </w:t>
      </w:r>
      <w:r>
        <w:rPr>
          <w:color w:val="231F20"/>
          <w:spacing w:val="-4"/>
        </w:rPr>
        <w:t>légal</w:t>
      </w:r>
      <w:r>
        <w:rPr>
          <w:color w:val="231F20"/>
          <w:spacing w:val="-11"/>
        </w:rPr>
        <w:t> </w:t>
      </w:r>
      <w:r>
        <w:rPr>
          <w:color w:val="231F20"/>
          <w:spacing w:val="-4"/>
        </w:rPr>
        <w:t>des</w:t>
      </w:r>
      <w:r>
        <w:rPr>
          <w:color w:val="231F20"/>
          <w:spacing w:val="-9"/>
        </w:rPr>
        <w:t> </w:t>
      </w:r>
      <w:r>
        <w:rPr>
          <w:color w:val="231F20"/>
          <w:spacing w:val="-4"/>
        </w:rPr>
        <w:t>72</w:t>
      </w:r>
      <w:r>
        <w:rPr>
          <w:color w:val="231F20"/>
          <w:spacing w:val="-11"/>
        </w:rPr>
        <w:t> </w:t>
      </w:r>
      <w:r>
        <w:rPr>
          <w:color w:val="231F20"/>
          <w:spacing w:val="-4"/>
        </w:rPr>
        <w:t>heures</w:t>
      </w:r>
      <w:r>
        <w:rPr>
          <w:color w:val="231F20"/>
          <w:spacing w:val="-10"/>
        </w:rPr>
        <w:t> </w:t>
      </w:r>
      <w:r>
        <w:rPr>
          <w:color w:val="231F20"/>
          <w:spacing w:val="-4"/>
        </w:rPr>
        <w:t>suivant </w:t>
      </w:r>
      <w:r>
        <w:rPr>
          <w:color w:val="231F20"/>
        </w:rPr>
        <w:t>le</w:t>
      </w:r>
      <w:r>
        <w:rPr>
          <w:color w:val="231F20"/>
          <w:spacing w:val="-9"/>
        </w:rPr>
        <w:t> </w:t>
      </w:r>
      <w:r>
        <w:rPr>
          <w:color w:val="231F20"/>
        </w:rPr>
        <w:t>scrutin.</w:t>
      </w:r>
      <w:r>
        <w:rPr>
          <w:color w:val="231F20"/>
          <w:spacing w:val="-8"/>
        </w:rPr>
        <w:t> </w:t>
      </w:r>
      <w:r>
        <w:rPr>
          <w:color w:val="231F20"/>
        </w:rPr>
        <w:t>La</w:t>
      </w:r>
      <w:r>
        <w:rPr>
          <w:color w:val="231F20"/>
          <w:spacing w:val="-10"/>
        </w:rPr>
        <w:t> </w:t>
      </w:r>
      <w:r>
        <w:rPr>
          <w:color w:val="231F20"/>
        </w:rPr>
        <w:t>barre</w:t>
      </w:r>
      <w:r>
        <w:rPr>
          <w:color w:val="231F20"/>
          <w:spacing w:val="-9"/>
        </w:rPr>
        <w:t> </w:t>
      </w:r>
      <w:r>
        <w:rPr>
          <w:color w:val="231F20"/>
        </w:rPr>
        <w:t>fatidique</w:t>
      </w:r>
      <w:r>
        <w:rPr>
          <w:color w:val="231F20"/>
          <w:spacing w:val="-9"/>
        </w:rPr>
        <w:t> </w:t>
      </w:r>
      <w:r>
        <w:rPr>
          <w:color w:val="231F20"/>
        </w:rPr>
        <w:t>de</w:t>
      </w:r>
      <w:r>
        <w:rPr>
          <w:color w:val="231F20"/>
          <w:spacing w:val="-10"/>
        </w:rPr>
        <w:t> </w:t>
      </w:r>
      <w:r>
        <w:rPr>
          <w:color w:val="231F20"/>
        </w:rPr>
        <w:t>mercredi</w:t>
      </w:r>
      <w:r>
        <w:rPr>
          <w:color w:val="231F20"/>
          <w:spacing w:val="-9"/>
        </w:rPr>
        <w:t> </w:t>
      </w:r>
      <w:r>
        <w:rPr>
          <w:color w:val="231F20"/>
        </w:rPr>
        <w:t>minuit</w:t>
      </w:r>
      <w:r>
        <w:rPr>
          <w:color w:val="231F20"/>
          <w:spacing w:val="-9"/>
        </w:rPr>
        <w:t> </w:t>
      </w:r>
      <w:r>
        <w:rPr>
          <w:color w:val="231F20"/>
        </w:rPr>
        <w:t>ayant</w:t>
      </w:r>
      <w:r>
        <w:rPr>
          <w:color w:val="231F20"/>
          <w:spacing w:val="-8"/>
        </w:rPr>
        <w:t> </w:t>
      </w:r>
      <w:r>
        <w:rPr>
          <w:color w:val="231F20"/>
        </w:rPr>
        <w:t>été</w:t>
      </w:r>
      <w:r>
        <w:rPr>
          <w:color w:val="231F20"/>
          <w:spacing w:val="-9"/>
        </w:rPr>
        <w:t> </w:t>
      </w:r>
      <w:r>
        <w:rPr>
          <w:color w:val="231F20"/>
        </w:rPr>
        <w:t>dépassée,</w:t>
      </w:r>
      <w:r>
        <w:rPr>
          <w:color w:val="231F20"/>
          <w:spacing w:val="-10"/>
        </w:rPr>
        <w:t> </w:t>
      </w:r>
      <w:r>
        <w:rPr>
          <w:color w:val="231F20"/>
        </w:rPr>
        <w:t>«</w:t>
      </w:r>
      <w:r>
        <w:rPr>
          <w:i/>
          <w:color w:val="231F20"/>
        </w:rPr>
        <w:t>la</w:t>
      </w:r>
      <w:r>
        <w:rPr>
          <w:i/>
          <w:color w:val="231F20"/>
        </w:rPr>
        <w:t> </w:t>
      </w:r>
      <w:r>
        <w:rPr>
          <w:i/>
          <w:color w:val="231F20"/>
          <w:spacing w:val="-4"/>
        </w:rPr>
        <w:t>CEI</w:t>
      </w:r>
      <w:r>
        <w:rPr>
          <w:i/>
          <w:color w:val="231F20"/>
          <w:spacing w:val="-11"/>
        </w:rPr>
        <w:t> </w:t>
      </w:r>
      <w:r>
        <w:rPr>
          <w:i/>
          <w:color w:val="231F20"/>
          <w:spacing w:val="-4"/>
        </w:rPr>
        <w:t>n’est</w:t>
      </w:r>
      <w:r>
        <w:rPr>
          <w:i/>
          <w:color w:val="231F20"/>
          <w:spacing w:val="-11"/>
        </w:rPr>
        <w:t> </w:t>
      </w:r>
      <w:r>
        <w:rPr>
          <w:i/>
          <w:color w:val="231F20"/>
          <w:spacing w:val="-4"/>
        </w:rPr>
        <w:t>plus</w:t>
      </w:r>
      <w:r>
        <w:rPr>
          <w:i/>
          <w:color w:val="231F20"/>
          <w:spacing w:val="-11"/>
        </w:rPr>
        <w:t> </w:t>
      </w:r>
      <w:r>
        <w:rPr>
          <w:i/>
          <w:color w:val="231F20"/>
          <w:spacing w:val="-4"/>
        </w:rPr>
        <w:t>à</w:t>
      </w:r>
      <w:r>
        <w:rPr>
          <w:i/>
          <w:color w:val="231F20"/>
          <w:spacing w:val="-11"/>
        </w:rPr>
        <w:t> </w:t>
      </w:r>
      <w:r>
        <w:rPr>
          <w:i/>
          <w:color w:val="231F20"/>
          <w:spacing w:val="-4"/>
        </w:rPr>
        <w:t>même</w:t>
      </w:r>
      <w:r>
        <w:rPr>
          <w:i/>
          <w:color w:val="231F20"/>
          <w:spacing w:val="-11"/>
        </w:rPr>
        <w:t> </w:t>
      </w:r>
      <w:r>
        <w:rPr>
          <w:i/>
          <w:color w:val="231F20"/>
          <w:spacing w:val="-4"/>
        </w:rPr>
        <w:t>de</w:t>
      </w:r>
      <w:r>
        <w:rPr>
          <w:i/>
          <w:color w:val="231F20"/>
          <w:spacing w:val="-11"/>
        </w:rPr>
        <w:t> </w:t>
      </w:r>
      <w:r>
        <w:rPr>
          <w:i/>
          <w:color w:val="231F20"/>
          <w:spacing w:val="-4"/>
        </w:rPr>
        <w:t>décider</w:t>
      </w:r>
      <w:r>
        <w:rPr>
          <w:i/>
          <w:color w:val="231F20"/>
          <w:spacing w:val="-11"/>
        </w:rPr>
        <w:t> </w:t>
      </w:r>
      <w:r>
        <w:rPr>
          <w:i/>
          <w:color w:val="231F20"/>
          <w:spacing w:val="-4"/>
        </w:rPr>
        <w:t>quoi</w:t>
      </w:r>
      <w:r>
        <w:rPr>
          <w:i/>
          <w:color w:val="231F20"/>
          <w:spacing w:val="-11"/>
        </w:rPr>
        <w:t> </w:t>
      </w:r>
      <w:r>
        <w:rPr>
          <w:i/>
          <w:color w:val="231F20"/>
          <w:spacing w:val="-4"/>
        </w:rPr>
        <w:t>que</w:t>
      </w:r>
      <w:r>
        <w:rPr>
          <w:i/>
          <w:color w:val="231F20"/>
          <w:spacing w:val="-11"/>
        </w:rPr>
        <w:t> </w:t>
      </w:r>
      <w:r>
        <w:rPr>
          <w:i/>
          <w:color w:val="231F20"/>
          <w:spacing w:val="-4"/>
        </w:rPr>
        <w:t>ce</w:t>
      </w:r>
      <w:r>
        <w:rPr>
          <w:i/>
          <w:color w:val="231F20"/>
          <w:spacing w:val="-11"/>
        </w:rPr>
        <w:t> </w:t>
      </w:r>
      <w:r>
        <w:rPr>
          <w:i/>
          <w:color w:val="231F20"/>
          <w:spacing w:val="-4"/>
        </w:rPr>
        <w:t>soit</w:t>
      </w:r>
      <w:r>
        <w:rPr>
          <w:i/>
          <w:color w:val="231F20"/>
          <w:spacing w:val="-11"/>
        </w:rPr>
        <w:t> </w:t>
      </w:r>
      <w:r>
        <w:rPr>
          <w:i/>
          <w:color w:val="231F20"/>
          <w:spacing w:val="-4"/>
        </w:rPr>
        <w:t>»</w:t>
      </w:r>
      <w:r>
        <w:rPr>
          <w:color w:val="231F20"/>
          <w:spacing w:val="-4"/>
        </w:rPr>
        <w:t>,</w:t>
      </w:r>
      <w:r>
        <w:rPr>
          <w:color w:val="231F20"/>
          <w:spacing w:val="-11"/>
        </w:rPr>
        <w:t> </w:t>
      </w:r>
      <w:r>
        <w:rPr>
          <w:color w:val="231F20"/>
          <w:spacing w:val="-4"/>
        </w:rPr>
        <w:t>tranche-t-il,</w:t>
      </w:r>
      <w:r>
        <w:rPr>
          <w:color w:val="231F20"/>
          <w:spacing w:val="-11"/>
        </w:rPr>
        <w:t> </w:t>
      </w:r>
      <w:r>
        <w:rPr>
          <w:color w:val="231F20"/>
          <w:spacing w:val="-4"/>
        </w:rPr>
        <w:t>affirmant </w:t>
      </w:r>
      <w:r>
        <w:rPr>
          <w:color w:val="231F20"/>
        </w:rPr>
        <w:t>avoir envoyé une lettre au président de la CEI lui demandant de lui transmettre</w:t>
      </w:r>
      <w:r>
        <w:rPr>
          <w:color w:val="231F20"/>
          <w:spacing w:val="-15"/>
        </w:rPr>
        <w:t> </w:t>
      </w:r>
      <w:r>
        <w:rPr>
          <w:color w:val="231F20"/>
        </w:rPr>
        <w:t>les</w:t>
      </w:r>
      <w:r>
        <w:rPr>
          <w:color w:val="231F20"/>
          <w:spacing w:val="-15"/>
        </w:rPr>
        <w:t> </w:t>
      </w:r>
      <w:r>
        <w:rPr>
          <w:color w:val="231F20"/>
        </w:rPr>
        <w:t>documents</w:t>
      </w:r>
      <w:r>
        <w:rPr>
          <w:color w:val="231F20"/>
          <w:spacing w:val="-15"/>
        </w:rPr>
        <w:t> </w:t>
      </w:r>
      <w:r>
        <w:rPr>
          <w:color w:val="231F20"/>
        </w:rPr>
        <w:t>relatifs</w:t>
      </w:r>
      <w:r>
        <w:rPr>
          <w:color w:val="231F20"/>
          <w:spacing w:val="-15"/>
        </w:rPr>
        <w:t> </w:t>
      </w:r>
      <w:r>
        <w:rPr>
          <w:color w:val="231F20"/>
        </w:rPr>
        <w:t>aux</w:t>
      </w:r>
      <w:r>
        <w:rPr>
          <w:color w:val="231F20"/>
          <w:spacing w:val="-15"/>
        </w:rPr>
        <w:t> </w:t>
      </w:r>
      <w:r>
        <w:rPr>
          <w:color w:val="231F20"/>
        </w:rPr>
        <w:t>contestations</w:t>
      </w:r>
      <w:r>
        <w:rPr>
          <w:color w:val="231F20"/>
          <w:spacing w:val="-15"/>
        </w:rPr>
        <w:t> </w:t>
      </w:r>
      <w:r>
        <w:rPr>
          <w:color w:val="231F20"/>
        </w:rPr>
        <w:t>de</w:t>
      </w:r>
      <w:r>
        <w:rPr>
          <w:color w:val="231F20"/>
          <w:spacing w:val="-15"/>
        </w:rPr>
        <w:t> </w:t>
      </w:r>
      <w:r>
        <w:rPr>
          <w:color w:val="231F20"/>
        </w:rPr>
        <w:t>vote</w:t>
      </w:r>
      <w:r>
        <w:rPr>
          <w:color w:val="231F20"/>
          <w:spacing w:val="-15"/>
        </w:rPr>
        <w:t> </w:t>
      </w:r>
      <w:r>
        <w:rPr>
          <w:color w:val="231F20"/>
        </w:rPr>
        <w:t>dans</w:t>
      </w:r>
      <w:r>
        <w:rPr>
          <w:color w:val="231F20"/>
          <w:spacing w:val="-15"/>
        </w:rPr>
        <w:t> </w:t>
      </w:r>
      <w:r>
        <w:rPr>
          <w:color w:val="231F20"/>
        </w:rPr>
        <w:t>le</w:t>
      </w:r>
      <w:r>
        <w:rPr>
          <w:color w:val="231F20"/>
          <w:spacing w:val="-15"/>
        </w:rPr>
        <w:t> </w:t>
      </w:r>
      <w:r>
        <w:rPr>
          <w:color w:val="231F20"/>
        </w:rPr>
        <w:t>nord du pays, fief de Ouattara. Il précise que les décisions sur ces litiges </w:t>
      </w:r>
      <w:r>
        <w:rPr>
          <w:color w:val="231F20"/>
          <w:spacing w:val="-2"/>
        </w:rPr>
        <w:t>seraient</w:t>
      </w:r>
      <w:r>
        <w:rPr>
          <w:color w:val="231F20"/>
          <w:spacing w:val="-8"/>
        </w:rPr>
        <w:t> </w:t>
      </w:r>
      <w:r>
        <w:rPr>
          <w:color w:val="231F20"/>
          <w:spacing w:val="-2"/>
        </w:rPr>
        <w:t>rendues</w:t>
      </w:r>
      <w:r>
        <w:rPr>
          <w:color w:val="231F20"/>
          <w:spacing w:val="-8"/>
        </w:rPr>
        <w:t> </w:t>
      </w:r>
      <w:r>
        <w:rPr>
          <w:color w:val="231F20"/>
          <w:spacing w:val="-2"/>
        </w:rPr>
        <w:t>dans</w:t>
      </w:r>
      <w:r>
        <w:rPr>
          <w:color w:val="231F20"/>
          <w:spacing w:val="-9"/>
        </w:rPr>
        <w:t> </w:t>
      </w:r>
      <w:r>
        <w:rPr>
          <w:color w:val="231F20"/>
          <w:spacing w:val="-2"/>
        </w:rPr>
        <w:t>un</w:t>
      </w:r>
      <w:r>
        <w:rPr>
          <w:color w:val="231F20"/>
          <w:spacing w:val="-11"/>
        </w:rPr>
        <w:t> </w:t>
      </w:r>
      <w:r>
        <w:rPr>
          <w:color w:val="231F20"/>
          <w:spacing w:val="-2"/>
        </w:rPr>
        <w:t>délai</w:t>
      </w:r>
      <w:r>
        <w:rPr>
          <w:color w:val="231F20"/>
          <w:spacing w:val="-8"/>
        </w:rPr>
        <w:t> </w:t>
      </w:r>
      <w:r>
        <w:rPr>
          <w:color w:val="231F20"/>
          <w:spacing w:val="-2"/>
        </w:rPr>
        <w:t>de</w:t>
      </w:r>
      <w:r>
        <w:rPr>
          <w:color w:val="231F20"/>
          <w:spacing w:val="-9"/>
        </w:rPr>
        <w:t> </w:t>
      </w:r>
      <w:r>
        <w:rPr>
          <w:color w:val="231F20"/>
          <w:spacing w:val="-2"/>
        </w:rPr>
        <w:t>7</w:t>
      </w:r>
      <w:r>
        <w:rPr>
          <w:color w:val="231F20"/>
          <w:spacing w:val="-9"/>
        </w:rPr>
        <w:t> </w:t>
      </w:r>
      <w:r>
        <w:rPr>
          <w:color w:val="231F20"/>
          <w:spacing w:val="-2"/>
        </w:rPr>
        <w:t>jours.</w:t>
      </w:r>
      <w:r>
        <w:rPr>
          <w:color w:val="231F20"/>
          <w:spacing w:val="-8"/>
        </w:rPr>
        <w:t> </w:t>
      </w:r>
      <w:r>
        <w:rPr>
          <w:color w:val="231F20"/>
          <w:spacing w:val="-2"/>
        </w:rPr>
        <w:t>C’est</w:t>
      </w:r>
      <w:r>
        <w:rPr>
          <w:color w:val="231F20"/>
          <w:spacing w:val="-8"/>
        </w:rPr>
        <w:t> </w:t>
      </w:r>
      <w:r>
        <w:rPr>
          <w:color w:val="231F20"/>
          <w:spacing w:val="-2"/>
        </w:rPr>
        <w:t>à</w:t>
      </w:r>
      <w:r>
        <w:rPr>
          <w:color w:val="231F20"/>
          <w:spacing w:val="-7"/>
        </w:rPr>
        <w:t> </w:t>
      </w:r>
      <w:r>
        <w:rPr>
          <w:color w:val="231F20"/>
          <w:spacing w:val="-2"/>
        </w:rPr>
        <w:t>cette</w:t>
      </w:r>
      <w:r>
        <w:rPr>
          <w:color w:val="231F20"/>
          <w:spacing w:val="-9"/>
        </w:rPr>
        <w:t> </w:t>
      </w:r>
      <w:r>
        <w:rPr>
          <w:color w:val="231F20"/>
          <w:spacing w:val="-2"/>
        </w:rPr>
        <w:t>date</w:t>
      </w:r>
      <w:r>
        <w:rPr>
          <w:color w:val="231F20"/>
          <w:spacing w:val="-9"/>
        </w:rPr>
        <w:t> </w:t>
      </w:r>
      <w:r>
        <w:rPr>
          <w:color w:val="231F20"/>
          <w:spacing w:val="-2"/>
        </w:rPr>
        <w:t>que</w:t>
      </w:r>
      <w:r>
        <w:rPr>
          <w:color w:val="231F20"/>
          <w:spacing w:val="-9"/>
        </w:rPr>
        <w:t> </w:t>
      </w:r>
      <w:r>
        <w:rPr>
          <w:color w:val="231F20"/>
          <w:spacing w:val="-2"/>
        </w:rPr>
        <w:t>devraient </w:t>
      </w:r>
      <w:r>
        <w:rPr>
          <w:color w:val="231F20"/>
        </w:rPr>
        <w:t>être proclamés les résultats définitifs.</w:t>
      </w:r>
    </w:p>
    <w:p>
      <w:pPr>
        <w:spacing w:before="121"/>
        <w:ind w:left="111" w:right="108" w:firstLine="283"/>
        <w:jc w:val="both"/>
        <w:rPr>
          <w:sz w:val="24"/>
        </w:rPr>
      </w:pPr>
      <w:r>
        <w:rPr>
          <w:color w:val="231F20"/>
          <w:sz w:val="24"/>
        </w:rPr>
        <w:t>Paul</w:t>
      </w:r>
      <w:r>
        <w:rPr>
          <w:color w:val="231F20"/>
          <w:spacing w:val="-11"/>
          <w:sz w:val="24"/>
        </w:rPr>
        <w:t> </w:t>
      </w:r>
      <w:r>
        <w:rPr>
          <w:color w:val="231F20"/>
          <w:sz w:val="24"/>
        </w:rPr>
        <w:t>Yao</w:t>
      </w:r>
      <w:r>
        <w:rPr>
          <w:color w:val="231F20"/>
          <w:spacing w:val="-10"/>
          <w:sz w:val="24"/>
        </w:rPr>
        <w:t> </w:t>
      </w:r>
      <w:r>
        <w:rPr>
          <w:color w:val="231F20"/>
          <w:sz w:val="24"/>
        </w:rPr>
        <w:t>Ndré</w:t>
      </w:r>
      <w:r>
        <w:rPr>
          <w:color w:val="231F20"/>
          <w:spacing w:val="-12"/>
          <w:sz w:val="24"/>
        </w:rPr>
        <w:t> </w:t>
      </w:r>
      <w:r>
        <w:rPr>
          <w:color w:val="231F20"/>
          <w:sz w:val="24"/>
        </w:rPr>
        <w:t>livre</w:t>
      </w:r>
      <w:r>
        <w:rPr>
          <w:color w:val="231F20"/>
          <w:spacing w:val="-10"/>
          <w:sz w:val="24"/>
        </w:rPr>
        <w:t> </w:t>
      </w:r>
      <w:r>
        <w:rPr>
          <w:color w:val="231F20"/>
          <w:sz w:val="24"/>
        </w:rPr>
        <w:t>à</w:t>
      </w:r>
      <w:r>
        <w:rPr>
          <w:color w:val="231F20"/>
          <w:spacing w:val="-10"/>
          <w:sz w:val="24"/>
        </w:rPr>
        <w:t> </w:t>
      </w:r>
      <w:r>
        <w:rPr>
          <w:color w:val="231F20"/>
          <w:sz w:val="24"/>
        </w:rPr>
        <w:t>la</w:t>
      </w:r>
      <w:r>
        <w:rPr>
          <w:color w:val="231F20"/>
          <w:spacing w:val="-12"/>
          <w:sz w:val="24"/>
        </w:rPr>
        <w:t> </w:t>
      </w:r>
      <w:r>
        <w:rPr>
          <w:color w:val="231F20"/>
          <w:sz w:val="24"/>
        </w:rPr>
        <w:t>télévision</w:t>
      </w:r>
      <w:r>
        <w:rPr>
          <w:color w:val="231F20"/>
          <w:spacing w:val="-12"/>
          <w:sz w:val="24"/>
        </w:rPr>
        <w:t> </w:t>
      </w:r>
      <w:r>
        <w:rPr>
          <w:color w:val="231F20"/>
          <w:sz w:val="24"/>
        </w:rPr>
        <w:t>nationale,</w:t>
      </w:r>
      <w:r>
        <w:rPr>
          <w:color w:val="231F20"/>
          <w:spacing w:val="-12"/>
          <w:sz w:val="24"/>
        </w:rPr>
        <w:t> </w:t>
      </w:r>
      <w:r>
        <w:rPr>
          <w:color w:val="231F20"/>
          <w:sz w:val="24"/>
        </w:rPr>
        <w:t>les</w:t>
      </w:r>
      <w:r>
        <w:rPr>
          <w:color w:val="231F20"/>
          <w:spacing w:val="-12"/>
          <w:sz w:val="24"/>
        </w:rPr>
        <w:t> </w:t>
      </w:r>
      <w:r>
        <w:rPr>
          <w:color w:val="231F20"/>
          <w:sz w:val="24"/>
        </w:rPr>
        <w:t>résultats,</w:t>
      </w:r>
      <w:r>
        <w:rPr>
          <w:color w:val="231F20"/>
          <w:spacing w:val="-12"/>
          <w:sz w:val="24"/>
        </w:rPr>
        <w:t> </w:t>
      </w:r>
      <w:r>
        <w:rPr>
          <w:color w:val="231F20"/>
          <w:sz w:val="24"/>
        </w:rPr>
        <w:t>région</w:t>
      </w:r>
      <w:r>
        <w:rPr>
          <w:color w:val="231F20"/>
          <w:spacing w:val="-10"/>
          <w:sz w:val="24"/>
        </w:rPr>
        <w:t> </w:t>
      </w:r>
      <w:r>
        <w:rPr>
          <w:color w:val="231F20"/>
          <w:sz w:val="24"/>
        </w:rPr>
        <w:t>par </w:t>
      </w:r>
      <w:r>
        <w:rPr>
          <w:color w:val="231F20"/>
          <w:spacing w:val="-2"/>
          <w:sz w:val="24"/>
        </w:rPr>
        <w:t>région,</w:t>
      </w:r>
      <w:r>
        <w:rPr>
          <w:color w:val="231F20"/>
          <w:spacing w:val="-10"/>
          <w:sz w:val="24"/>
        </w:rPr>
        <w:t> </w:t>
      </w:r>
      <w:r>
        <w:rPr>
          <w:color w:val="231F20"/>
          <w:spacing w:val="-2"/>
          <w:sz w:val="24"/>
        </w:rPr>
        <w:t>annonce</w:t>
      </w:r>
      <w:r>
        <w:rPr>
          <w:color w:val="231F20"/>
          <w:spacing w:val="-10"/>
          <w:sz w:val="24"/>
        </w:rPr>
        <w:t> </w:t>
      </w:r>
      <w:r>
        <w:rPr>
          <w:color w:val="231F20"/>
          <w:spacing w:val="-2"/>
          <w:sz w:val="24"/>
        </w:rPr>
        <w:t>les</w:t>
      </w:r>
      <w:r>
        <w:rPr>
          <w:color w:val="231F20"/>
          <w:spacing w:val="-10"/>
          <w:sz w:val="24"/>
        </w:rPr>
        <w:t> </w:t>
      </w:r>
      <w:r>
        <w:rPr>
          <w:color w:val="231F20"/>
          <w:spacing w:val="-2"/>
          <w:sz w:val="24"/>
        </w:rPr>
        <w:t>invalidations</w:t>
      </w:r>
      <w:r>
        <w:rPr>
          <w:color w:val="231F20"/>
          <w:spacing w:val="-10"/>
          <w:sz w:val="24"/>
        </w:rPr>
        <w:t> </w:t>
      </w:r>
      <w:r>
        <w:rPr>
          <w:color w:val="231F20"/>
          <w:spacing w:val="-2"/>
          <w:sz w:val="24"/>
        </w:rPr>
        <w:t>de</w:t>
      </w:r>
      <w:r>
        <w:rPr>
          <w:color w:val="231F20"/>
          <w:spacing w:val="-10"/>
          <w:sz w:val="24"/>
        </w:rPr>
        <w:t> </w:t>
      </w:r>
      <w:r>
        <w:rPr>
          <w:color w:val="231F20"/>
          <w:spacing w:val="-2"/>
          <w:sz w:val="24"/>
        </w:rPr>
        <w:t>vote</w:t>
      </w:r>
      <w:r>
        <w:rPr>
          <w:color w:val="231F20"/>
          <w:spacing w:val="-11"/>
          <w:sz w:val="24"/>
        </w:rPr>
        <w:t> </w:t>
      </w:r>
      <w:r>
        <w:rPr>
          <w:color w:val="231F20"/>
          <w:spacing w:val="-2"/>
          <w:sz w:val="24"/>
        </w:rPr>
        <w:t>dans</w:t>
      </w:r>
      <w:r>
        <w:rPr>
          <w:color w:val="231F20"/>
          <w:spacing w:val="-10"/>
          <w:sz w:val="24"/>
        </w:rPr>
        <w:t> </w:t>
      </w:r>
      <w:r>
        <w:rPr>
          <w:color w:val="231F20"/>
          <w:spacing w:val="-2"/>
          <w:sz w:val="24"/>
        </w:rPr>
        <w:t>plusieurs</w:t>
      </w:r>
      <w:r>
        <w:rPr>
          <w:color w:val="231F20"/>
          <w:spacing w:val="-9"/>
          <w:sz w:val="24"/>
        </w:rPr>
        <w:t> </w:t>
      </w:r>
      <w:r>
        <w:rPr>
          <w:color w:val="231F20"/>
          <w:spacing w:val="-2"/>
          <w:sz w:val="24"/>
        </w:rPr>
        <w:t>départements</w:t>
      </w:r>
      <w:r>
        <w:rPr>
          <w:color w:val="231F20"/>
          <w:spacing w:val="-10"/>
          <w:sz w:val="24"/>
        </w:rPr>
        <w:t> </w:t>
      </w:r>
      <w:r>
        <w:rPr>
          <w:color w:val="231F20"/>
          <w:spacing w:val="-2"/>
          <w:sz w:val="24"/>
        </w:rPr>
        <w:t>du </w:t>
      </w:r>
      <w:r>
        <w:rPr>
          <w:color w:val="231F20"/>
          <w:sz w:val="24"/>
        </w:rPr>
        <w:t>nord du pays pour </w:t>
      </w:r>
      <w:r>
        <w:rPr>
          <w:i/>
          <w:color w:val="231F20"/>
          <w:sz w:val="24"/>
        </w:rPr>
        <w:t>«</w:t>
      </w:r>
      <w:r>
        <w:rPr>
          <w:i/>
          <w:color w:val="231F20"/>
          <w:spacing w:val="-14"/>
          <w:sz w:val="24"/>
        </w:rPr>
        <w:t> </w:t>
      </w:r>
      <w:r>
        <w:rPr>
          <w:i/>
          <w:color w:val="231F20"/>
          <w:sz w:val="24"/>
        </w:rPr>
        <w:t>irrégularités flagrantes de nature à entacher la</w:t>
      </w:r>
      <w:r>
        <w:rPr>
          <w:i/>
          <w:color w:val="231F20"/>
          <w:sz w:val="24"/>
        </w:rPr>
        <w:t> sincérité du scrutin »</w:t>
      </w:r>
      <w:r>
        <w:rPr>
          <w:color w:val="231F20"/>
          <w:sz w:val="24"/>
        </w:rPr>
        <w:t>.</w:t>
      </w:r>
    </w:p>
    <w:p>
      <w:pPr>
        <w:pStyle w:val="BodyText"/>
        <w:spacing w:before="120"/>
        <w:ind w:right="105" w:firstLine="283"/>
      </w:pPr>
      <w:r>
        <w:rPr>
          <w:color w:val="231F20"/>
          <w:spacing w:val="-4"/>
        </w:rPr>
        <w:t>Sur</w:t>
      </w:r>
      <w:r>
        <w:rPr>
          <w:color w:val="231F20"/>
          <w:spacing w:val="-8"/>
        </w:rPr>
        <w:t> </w:t>
      </w:r>
      <w:r>
        <w:rPr>
          <w:color w:val="231F20"/>
          <w:spacing w:val="-4"/>
        </w:rPr>
        <w:t>les 20 073 procès-verbaux de</w:t>
      </w:r>
      <w:r>
        <w:rPr>
          <w:color w:val="231F20"/>
          <w:spacing w:val="-8"/>
        </w:rPr>
        <w:t> </w:t>
      </w:r>
      <w:r>
        <w:rPr>
          <w:color w:val="231F20"/>
          <w:spacing w:val="-4"/>
        </w:rPr>
        <w:t>bureaux</w:t>
      </w:r>
      <w:r>
        <w:rPr>
          <w:color w:val="231F20"/>
          <w:spacing w:val="-8"/>
        </w:rPr>
        <w:t> </w:t>
      </w:r>
      <w:r>
        <w:rPr>
          <w:color w:val="231F20"/>
          <w:spacing w:val="-4"/>
        </w:rPr>
        <w:t>de</w:t>
      </w:r>
      <w:r>
        <w:rPr>
          <w:color w:val="231F20"/>
          <w:spacing w:val="-5"/>
        </w:rPr>
        <w:t> </w:t>
      </w:r>
      <w:r>
        <w:rPr>
          <w:color w:val="231F20"/>
          <w:spacing w:val="-4"/>
        </w:rPr>
        <w:t>vote,</w:t>
      </w:r>
      <w:r>
        <w:rPr>
          <w:color w:val="231F20"/>
          <w:spacing w:val="-8"/>
        </w:rPr>
        <w:t> </w:t>
      </w:r>
      <w:r>
        <w:rPr>
          <w:color w:val="231F20"/>
          <w:spacing w:val="-4"/>
        </w:rPr>
        <w:t>déclare</w:t>
      </w:r>
      <w:r>
        <w:rPr>
          <w:color w:val="231F20"/>
          <w:spacing w:val="-5"/>
        </w:rPr>
        <w:t> </w:t>
      </w:r>
      <w:r>
        <w:rPr>
          <w:color w:val="231F20"/>
          <w:spacing w:val="-4"/>
        </w:rPr>
        <w:t>le</w:t>
      </w:r>
      <w:r>
        <w:rPr>
          <w:color w:val="231F20"/>
          <w:spacing w:val="-5"/>
        </w:rPr>
        <w:t> </w:t>
      </w:r>
      <w:r>
        <w:rPr>
          <w:color w:val="231F20"/>
          <w:spacing w:val="-4"/>
        </w:rPr>
        <w:t>président </w:t>
      </w:r>
      <w:r>
        <w:rPr>
          <w:color w:val="231F20"/>
        </w:rPr>
        <w:t>du Conseil Constitutionnel, 1001 comportent un nombre de votants supérieur au nombre d’inscrits, 807 comportent plus de suffrages exprimés que d’inscrits, 1231 sont dépourvus du sticker certifiant la validité</w:t>
      </w:r>
      <w:r>
        <w:rPr>
          <w:color w:val="231F20"/>
          <w:spacing w:val="32"/>
        </w:rPr>
        <w:t> </w:t>
      </w:r>
      <w:r>
        <w:rPr>
          <w:color w:val="231F20"/>
        </w:rPr>
        <w:t>du</w:t>
      </w:r>
      <w:r>
        <w:rPr>
          <w:color w:val="231F20"/>
          <w:spacing w:val="33"/>
        </w:rPr>
        <w:t> </w:t>
      </w:r>
      <w:r>
        <w:rPr>
          <w:color w:val="231F20"/>
        </w:rPr>
        <w:t>procès-verbal.</w:t>
      </w:r>
      <w:r>
        <w:rPr>
          <w:color w:val="231F20"/>
          <w:spacing w:val="35"/>
        </w:rPr>
        <w:t> </w:t>
      </w:r>
      <w:r>
        <w:rPr>
          <w:color w:val="231F20"/>
        </w:rPr>
        <w:t>Ces</w:t>
      </w:r>
      <w:r>
        <w:rPr>
          <w:color w:val="231F20"/>
          <w:spacing w:val="34"/>
        </w:rPr>
        <w:t> </w:t>
      </w:r>
      <w:r>
        <w:rPr>
          <w:color w:val="231F20"/>
        </w:rPr>
        <w:t>3039</w:t>
      </w:r>
      <w:r>
        <w:rPr>
          <w:color w:val="231F20"/>
          <w:spacing w:val="33"/>
        </w:rPr>
        <w:t> </w:t>
      </w:r>
      <w:r>
        <w:rPr>
          <w:color w:val="231F20"/>
        </w:rPr>
        <w:t>bureaux</w:t>
      </w:r>
      <w:r>
        <w:rPr>
          <w:color w:val="231F20"/>
          <w:spacing w:val="35"/>
        </w:rPr>
        <w:t> </w:t>
      </w:r>
      <w:r>
        <w:rPr>
          <w:color w:val="231F20"/>
        </w:rPr>
        <w:t>représentent</w:t>
      </w:r>
      <w:r>
        <w:rPr>
          <w:color w:val="231F20"/>
          <w:spacing w:val="34"/>
        </w:rPr>
        <w:t> </w:t>
      </w:r>
      <w:r>
        <w:rPr>
          <w:color w:val="231F20"/>
        </w:rPr>
        <w:t>1</w:t>
      </w:r>
      <w:r>
        <w:rPr>
          <w:color w:val="231F20"/>
          <w:spacing w:val="33"/>
        </w:rPr>
        <w:t> </w:t>
      </w:r>
      <w:r>
        <w:rPr>
          <w:color w:val="231F20"/>
        </w:rPr>
        <w:t>337</w:t>
      </w:r>
      <w:r>
        <w:rPr>
          <w:color w:val="231F20"/>
          <w:spacing w:val="32"/>
        </w:rPr>
        <w:t> </w:t>
      </w:r>
      <w:r>
        <w:rPr>
          <w:color w:val="231F20"/>
          <w:spacing w:val="-5"/>
        </w:rPr>
        <w:t>572</w:t>
      </w:r>
    </w:p>
    <w:p>
      <w:pPr>
        <w:spacing w:after="0"/>
        <w:sectPr>
          <w:pgSz w:w="8790" w:h="13610"/>
          <w:pgMar w:header="0" w:footer="802" w:top="1060" w:bottom="1000" w:left="880" w:right="880"/>
        </w:sectPr>
      </w:pPr>
    </w:p>
    <w:p>
      <w:pPr>
        <w:spacing w:before="66"/>
        <w:ind w:left="111" w:right="106" w:firstLine="0"/>
        <w:jc w:val="both"/>
        <w:rPr>
          <w:i/>
          <w:sz w:val="24"/>
        </w:rPr>
      </w:pPr>
      <w:r>
        <w:rPr>
          <w:color w:val="231F20"/>
          <w:sz w:val="24"/>
        </w:rPr>
        <w:t>inscrits et 583 334 votants. Par ailleurs, fait remarquer le président du Conseil constitutionnel, </w:t>
      </w:r>
      <w:r>
        <w:rPr>
          <w:i/>
          <w:color w:val="231F20"/>
          <w:sz w:val="24"/>
        </w:rPr>
        <w:t>« dans 1533 bureaux représentant 582 248</w:t>
      </w:r>
      <w:r>
        <w:rPr>
          <w:i/>
          <w:color w:val="231F20"/>
          <w:sz w:val="24"/>
        </w:rPr>
        <w:t> </w:t>
      </w:r>
      <w:r>
        <w:rPr>
          <w:i/>
          <w:color w:val="231F20"/>
          <w:spacing w:val="-4"/>
          <w:sz w:val="24"/>
        </w:rPr>
        <w:t>inscrits</w:t>
      </w:r>
      <w:r>
        <w:rPr>
          <w:i/>
          <w:color w:val="231F20"/>
          <w:spacing w:val="-7"/>
          <w:sz w:val="24"/>
        </w:rPr>
        <w:t> </w:t>
      </w:r>
      <w:r>
        <w:rPr>
          <w:i/>
          <w:color w:val="231F20"/>
          <w:spacing w:val="-4"/>
          <w:sz w:val="24"/>
        </w:rPr>
        <w:t>et</w:t>
      </w:r>
      <w:r>
        <w:rPr>
          <w:i/>
          <w:color w:val="231F20"/>
          <w:spacing w:val="-6"/>
          <w:sz w:val="24"/>
        </w:rPr>
        <w:t> </w:t>
      </w:r>
      <w:r>
        <w:rPr>
          <w:i/>
          <w:color w:val="231F20"/>
          <w:spacing w:val="-4"/>
          <w:sz w:val="24"/>
        </w:rPr>
        <w:t>223</w:t>
      </w:r>
      <w:r>
        <w:rPr>
          <w:i/>
          <w:color w:val="231F20"/>
          <w:spacing w:val="-7"/>
          <w:sz w:val="24"/>
        </w:rPr>
        <w:t> </w:t>
      </w:r>
      <w:r>
        <w:rPr>
          <w:i/>
          <w:color w:val="231F20"/>
          <w:spacing w:val="-4"/>
          <w:sz w:val="24"/>
        </w:rPr>
        <w:t>162</w:t>
      </w:r>
      <w:r>
        <w:rPr>
          <w:i/>
          <w:color w:val="231F20"/>
          <w:spacing w:val="-7"/>
          <w:sz w:val="24"/>
        </w:rPr>
        <w:t> </w:t>
      </w:r>
      <w:r>
        <w:rPr>
          <w:i/>
          <w:color w:val="231F20"/>
          <w:spacing w:val="-4"/>
          <w:sz w:val="24"/>
        </w:rPr>
        <w:t>votants,</w:t>
      </w:r>
      <w:r>
        <w:rPr>
          <w:i/>
          <w:color w:val="231F20"/>
          <w:spacing w:val="-6"/>
          <w:sz w:val="24"/>
        </w:rPr>
        <w:t> </w:t>
      </w:r>
      <w:r>
        <w:rPr>
          <w:i/>
          <w:color w:val="231F20"/>
          <w:spacing w:val="-4"/>
          <w:sz w:val="24"/>
        </w:rPr>
        <w:t>le</w:t>
      </w:r>
      <w:r>
        <w:rPr>
          <w:i/>
          <w:color w:val="231F20"/>
          <w:spacing w:val="-6"/>
          <w:sz w:val="24"/>
        </w:rPr>
        <w:t> </w:t>
      </w:r>
      <w:r>
        <w:rPr>
          <w:i/>
          <w:color w:val="231F20"/>
          <w:spacing w:val="-4"/>
          <w:sz w:val="24"/>
        </w:rPr>
        <w:t>Président</w:t>
      </w:r>
      <w:r>
        <w:rPr>
          <w:i/>
          <w:color w:val="231F20"/>
          <w:spacing w:val="-10"/>
          <w:sz w:val="24"/>
        </w:rPr>
        <w:t> </w:t>
      </w:r>
      <w:r>
        <w:rPr>
          <w:i/>
          <w:color w:val="231F20"/>
          <w:spacing w:val="-4"/>
          <w:sz w:val="24"/>
        </w:rPr>
        <w:t>sortant</w:t>
      </w:r>
      <w:r>
        <w:rPr>
          <w:i/>
          <w:color w:val="231F20"/>
          <w:spacing w:val="-6"/>
          <w:sz w:val="24"/>
        </w:rPr>
        <w:t> </w:t>
      </w:r>
      <w:r>
        <w:rPr>
          <w:i/>
          <w:color w:val="231F20"/>
          <w:spacing w:val="-4"/>
          <w:sz w:val="24"/>
        </w:rPr>
        <w:t>Laurent</w:t>
      </w:r>
      <w:r>
        <w:rPr>
          <w:i/>
          <w:color w:val="231F20"/>
          <w:spacing w:val="-6"/>
          <w:sz w:val="24"/>
        </w:rPr>
        <w:t> </w:t>
      </w:r>
      <w:r>
        <w:rPr>
          <w:i/>
          <w:color w:val="231F20"/>
          <w:spacing w:val="-4"/>
          <w:sz w:val="24"/>
        </w:rPr>
        <w:t>Gbagbo</w:t>
      </w:r>
      <w:r>
        <w:rPr>
          <w:i/>
          <w:color w:val="231F20"/>
          <w:spacing w:val="-7"/>
          <w:sz w:val="24"/>
        </w:rPr>
        <w:t> </w:t>
      </w:r>
      <w:r>
        <w:rPr>
          <w:i/>
          <w:color w:val="231F20"/>
          <w:spacing w:val="-4"/>
          <w:sz w:val="24"/>
        </w:rPr>
        <w:t>a</w:t>
      </w:r>
      <w:r>
        <w:rPr>
          <w:i/>
          <w:color w:val="231F20"/>
          <w:spacing w:val="-7"/>
          <w:sz w:val="24"/>
        </w:rPr>
        <w:t> </w:t>
      </w:r>
      <w:r>
        <w:rPr>
          <w:i/>
          <w:color w:val="231F20"/>
          <w:spacing w:val="-4"/>
          <w:sz w:val="24"/>
        </w:rPr>
        <w:t>obtenu </w:t>
      </w:r>
      <w:r>
        <w:rPr>
          <w:i/>
          <w:color w:val="231F20"/>
          <w:sz w:val="24"/>
        </w:rPr>
        <w:t>3 ou moins de 3 voix. »</w:t>
      </w:r>
    </w:p>
    <w:p>
      <w:pPr>
        <w:spacing w:before="120"/>
        <w:ind w:left="111" w:right="105" w:firstLine="283"/>
        <w:jc w:val="both"/>
        <w:rPr>
          <w:sz w:val="24"/>
        </w:rPr>
      </w:pPr>
      <w:r>
        <w:rPr>
          <w:color w:val="231F20"/>
          <w:spacing w:val="-4"/>
          <w:sz w:val="24"/>
        </w:rPr>
        <w:t>Le</w:t>
      </w:r>
      <w:r>
        <w:rPr>
          <w:color w:val="231F20"/>
          <w:spacing w:val="-11"/>
          <w:sz w:val="24"/>
        </w:rPr>
        <w:t> </w:t>
      </w:r>
      <w:r>
        <w:rPr>
          <w:color w:val="231F20"/>
          <w:spacing w:val="-4"/>
          <w:sz w:val="24"/>
        </w:rPr>
        <w:t>lendemain,</w:t>
      </w:r>
      <w:r>
        <w:rPr>
          <w:color w:val="231F20"/>
          <w:spacing w:val="-11"/>
          <w:sz w:val="24"/>
        </w:rPr>
        <w:t> </w:t>
      </w:r>
      <w:r>
        <w:rPr>
          <w:color w:val="231F20"/>
          <w:spacing w:val="-4"/>
          <w:sz w:val="24"/>
        </w:rPr>
        <w:t>3</w:t>
      </w:r>
      <w:r>
        <w:rPr>
          <w:color w:val="231F20"/>
          <w:spacing w:val="-11"/>
          <w:sz w:val="24"/>
        </w:rPr>
        <w:t> </w:t>
      </w:r>
      <w:r>
        <w:rPr>
          <w:color w:val="231F20"/>
          <w:spacing w:val="-4"/>
          <w:sz w:val="24"/>
        </w:rPr>
        <w:t>décembre,</w:t>
      </w:r>
      <w:r>
        <w:rPr>
          <w:color w:val="231F20"/>
          <w:spacing w:val="-11"/>
          <w:sz w:val="24"/>
        </w:rPr>
        <w:t> </w:t>
      </w:r>
      <w:r>
        <w:rPr>
          <w:color w:val="231F20"/>
          <w:spacing w:val="-4"/>
          <w:sz w:val="24"/>
        </w:rPr>
        <w:t>conformément</w:t>
      </w:r>
      <w:r>
        <w:rPr>
          <w:color w:val="231F20"/>
          <w:spacing w:val="-11"/>
          <w:sz w:val="24"/>
        </w:rPr>
        <w:t> </w:t>
      </w:r>
      <w:r>
        <w:rPr>
          <w:color w:val="231F20"/>
          <w:spacing w:val="-4"/>
          <w:sz w:val="24"/>
        </w:rPr>
        <w:t>à</w:t>
      </w:r>
      <w:r>
        <w:rPr>
          <w:color w:val="231F20"/>
          <w:spacing w:val="-11"/>
          <w:sz w:val="24"/>
        </w:rPr>
        <w:t> </w:t>
      </w:r>
      <w:r>
        <w:rPr>
          <w:color w:val="231F20"/>
          <w:spacing w:val="-4"/>
          <w:sz w:val="24"/>
        </w:rPr>
        <w:t>la</w:t>
      </w:r>
      <w:r>
        <w:rPr>
          <w:color w:val="231F20"/>
          <w:spacing w:val="-11"/>
          <w:sz w:val="24"/>
        </w:rPr>
        <w:t> </w:t>
      </w:r>
      <w:r>
        <w:rPr>
          <w:color w:val="231F20"/>
          <w:spacing w:val="-4"/>
          <w:sz w:val="24"/>
        </w:rPr>
        <w:t>loi</w:t>
      </w:r>
      <w:r>
        <w:rPr>
          <w:color w:val="231F20"/>
          <w:spacing w:val="-11"/>
          <w:sz w:val="24"/>
        </w:rPr>
        <w:t> </w:t>
      </w:r>
      <w:r>
        <w:rPr>
          <w:color w:val="231F20"/>
          <w:spacing w:val="-4"/>
          <w:sz w:val="24"/>
        </w:rPr>
        <w:t>électorale,</w:t>
      </w:r>
      <w:r>
        <w:rPr>
          <w:color w:val="231F20"/>
          <w:spacing w:val="-11"/>
          <w:sz w:val="24"/>
        </w:rPr>
        <w:t> </w:t>
      </w:r>
      <w:r>
        <w:rPr>
          <w:color w:val="231F20"/>
          <w:spacing w:val="-4"/>
          <w:sz w:val="24"/>
        </w:rPr>
        <w:t>le</w:t>
      </w:r>
      <w:r>
        <w:rPr>
          <w:color w:val="231F20"/>
          <w:spacing w:val="-11"/>
          <w:sz w:val="24"/>
        </w:rPr>
        <w:t> </w:t>
      </w:r>
      <w:r>
        <w:rPr>
          <w:color w:val="231F20"/>
          <w:spacing w:val="-4"/>
          <w:sz w:val="24"/>
        </w:rPr>
        <w:t>Conseil constitutionnel, seule juridiction</w:t>
      </w:r>
      <w:r>
        <w:rPr>
          <w:color w:val="231F20"/>
          <w:spacing w:val="-6"/>
          <w:sz w:val="24"/>
        </w:rPr>
        <w:t> </w:t>
      </w:r>
      <w:r>
        <w:rPr>
          <w:color w:val="231F20"/>
          <w:spacing w:val="-4"/>
          <w:sz w:val="24"/>
        </w:rPr>
        <w:t>habilitée à le</w:t>
      </w:r>
      <w:r>
        <w:rPr>
          <w:color w:val="231F20"/>
          <w:spacing w:val="-6"/>
          <w:sz w:val="24"/>
        </w:rPr>
        <w:t> </w:t>
      </w:r>
      <w:r>
        <w:rPr>
          <w:color w:val="231F20"/>
          <w:spacing w:val="-4"/>
          <w:sz w:val="24"/>
        </w:rPr>
        <w:t>faire, proclame</w:t>
      </w:r>
      <w:r>
        <w:rPr>
          <w:color w:val="231F20"/>
          <w:spacing w:val="-6"/>
          <w:sz w:val="24"/>
        </w:rPr>
        <w:t> </w:t>
      </w:r>
      <w:r>
        <w:rPr>
          <w:color w:val="231F20"/>
          <w:spacing w:val="-4"/>
          <w:sz w:val="24"/>
        </w:rPr>
        <w:t>les résultats définitifs, accordant</w:t>
      </w:r>
      <w:r>
        <w:rPr>
          <w:color w:val="231F20"/>
          <w:spacing w:val="-6"/>
          <w:sz w:val="24"/>
        </w:rPr>
        <w:t> </w:t>
      </w:r>
      <w:r>
        <w:rPr>
          <w:color w:val="231F20"/>
          <w:spacing w:val="-4"/>
          <w:sz w:val="24"/>
        </w:rPr>
        <w:t>la</w:t>
      </w:r>
      <w:r>
        <w:rPr>
          <w:color w:val="231F20"/>
          <w:spacing w:val="-5"/>
          <w:sz w:val="24"/>
        </w:rPr>
        <w:t> </w:t>
      </w:r>
      <w:r>
        <w:rPr>
          <w:color w:val="231F20"/>
          <w:spacing w:val="-4"/>
          <w:sz w:val="24"/>
        </w:rPr>
        <w:t>victoire</w:t>
      </w:r>
      <w:r>
        <w:rPr>
          <w:color w:val="231F20"/>
          <w:spacing w:val="-5"/>
          <w:sz w:val="24"/>
        </w:rPr>
        <w:t> </w:t>
      </w:r>
      <w:r>
        <w:rPr>
          <w:color w:val="231F20"/>
          <w:spacing w:val="-4"/>
          <w:sz w:val="24"/>
        </w:rPr>
        <w:t>au</w:t>
      </w:r>
      <w:r>
        <w:rPr>
          <w:color w:val="231F20"/>
          <w:spacing w:val="-7"/>
          <w:sz w:val="24"/>
        </w:rPr>
        <w:t> </w:t>
      </w:r>
      <w:r>
        <w:rPr>
          <w:color w:val="231F20"/>
          <w:spacing w:val="-4"/>
          <w:sz w:val="24"/>
        </w:rPr>
        <w:t>Président sortant</w:t>
      </w:r>
      <w:r>
        <w:rPr>
          <w:color w:val="231F20"/>
          <w:spacing w:val="-6"/>
          <w:sz w:val="24"/>
        </w:rPr>
        <w:t> </w:t>
      </w:r>
      <w:r>
        <w:rPr>
          <w:color w:val="231F20"/>
          <w:spacing w:val="-4"/>
          <w:sz w:val="24"/>
        </w:rPr>
        <w:t>Laurent</w:t>
      </w:r>
      <w:r>
        <w:rPr>
          <w:color w:val="231F20"/>
          <w:spacing w:val="-7"/>
          <w:sz w:val="24"/>
        </w:rPr>
        <w:t> </w:t>
      </w:r>
      <w:r>
        <w:rPr>
          <w:color w:val="231F20"/>
          <w:spacing w:val="-4"/>
          <w:sz w:val="24"/>
        </w:rPr>
        <w:t>Gbagbo,</w:t>
      </w:r>
      <w:r>
        <w:rPr>
          <w:color w:val="231F20"/>
          <w:spacing w:val="-5"/>
          <w:sz w:val="24"/>
        </w:rPr>
        <w:t> </w:t>
      </w:r>
      <w:r>
        <w:rPr>
          <w:color w:val="231F20"/>
          <w:spacing w:val="-4"/>
          <w:sz w:val="24"/>
        </w:rPr>
        <w:t>avec 51,45</w:t>
      </w:r>
      <w:r>
        <w:rPr>
          <w:color w:val="231F20"/>
          <w:spacing w:val="-8"/>
          <w:sz w:val="24"/>
        </w:rPr>
        <w:t> </w:t>
      </w:r>
      <w:r>
        <w:rPr>
          <w:color w:val="231F20"/>
          <w:spacing w:val="-4"/>
          <w:sz w:val="24"/>
        </w:rPr>
        <w:t>%</w:t>
      </w:r>
      <w:r>
        <w:rPr>
          <w:color w:val="231F20"/>
          <w:spacing w:val="-9"/>
          <w:sz w:val="24"/>
        </w:rPr>
        <w:t> </w:t>
      </w:r>
      <w:r>
        <w:rPr>
          <w:color w:val="231F20"/>
          <w:spacing w:val="-4"/>
          <w:sz w:val="24"/>
        </w:rPr>
        <w:t>des</w:t>
      </w:r>
      <w:r>
        <w:rPr>
          <w:color w:val="231F20"/>
          <w:spacing w:val="-8"/>
          <w:sz w:val="24"/>
        </w:rPr>
        <w:t> </w:t>
      </w:r>
      <w:r>
        <w:rPr>
          <w:color w:val="231F20"/>
          <w:spacing w:val="-4"/>
          <w:sz w:val="24"/>
        </w:rPr>
        <w:t>suffrages.</w:t>
      </w:r>
      <w:r>
        <w:rPr>
          <w:color w:val="231F20"/>
          <w:spacing w:val="-6"/>
          <w:sz w:val="24"/>
        </w:rPr>
        <w:t> </w:t>
      </w:r>
      <w:r>
        <w:rPr>
          <w:color w:val="231F20"/>
          <w:spacing w:val="-4"/>
          <w:sz w:val="24"/>
        </w:rPr>
        <w:t>Young</w:t>
      </w:r>
      <w:r>
        <w:rPr>
          <w:color w:val="231F20"/>
          <w:spacing w:val="-8"/>
          <w:sz w:val="24"/>
        </w:rPr>
        <w:t> </w:t>
      </w:r>
      <w:r>
        <w:rPr>
          <w:color w:val="231F20"/>
          <w:spacing w:val="-4"/>
          <w:sz w:val="24"/>
        </w:rPr>
        <w:t>Ji</w:t>
      </w:r>
      <w:r>
        <w:rPr>
          <w:color w:val="231F20"/>
          <w:spacing w:val="-6"/>
          <w:sz w:val="24"/>
        </w:rPr>
        <w:t> </w:t>
      </w:r>
      <w:r>
        <w:rPr>
          <w:color w:val="231F20"/>
          <w:spacing w:val="-4"/>
          <w:sz w:val="24"/>
        </w:rPr>
        <w:t>Choï,</w:t>
      </w:r>
      <w:r>
        <w:rPr>
          <w:color w:val="231F20"/>
          <w:spacing w:val="-10"/>
          <w:sz w:val="24"/>
        </w:rPr>
        <w:t> </w:t>
      </w:r>
      <w:r>
        <w:rPr>
          <w:color w:val="231F20"/>
          <w:spacing w:val="-4"/>
          <w:sz w:val="24"/>
        </w:rPr>
        <w:t>Représentant</w:t>
      </w:r>
      <w:r>
        <w:rPr>
          <w:color w:val="231F20"/>
          <w:spacing w:val="-10"/>
          <w:sz w:val="24"/>
        </w:rPr>
        <w:t> </w:t>
      </w:r>
      <w:r>
        <w:rPr>
          <w:color w:val="231F20"/>
          <w:spacing w:val="-4"/>
          <w:sz w:val="24"/>
        </w:rPr>
        <w:t>Spécial</w:t>
      </w:r>
      <w:r>
        <w:rPr>
          <w:color w:val="231F20"/>
          <w:spacing w:val="-6"/>
          <w:sz w:val="24"/>
        </w:rPr>
        <w:t> </w:t>
      </w:r>
      <w:r>
        <w:rPr>
          <w:color w:val="231F20"/>
          <w:spacing w:val="-4"/>
          <w:sz w:val="24"/>
        </w:rPr>
        <w:t>du</w:t>
      </w:r>
      <w:r>
        <w:rPr>
          <w:color w:val="231F20"/>
          <w:spacing w:val="-10"/>
          <w:sz w:val="24"/>
        </w:rPr>
        <w:t> </w:t>
      </w:r>
      <w:r>
        <w:rPr>
          <w:color w:val="231F20"/>
          <w:spacing w:val="-4"/>
          <w:sz w:val="24"/>
        </w:rPr>
        <w:t>Secrétaire </w:t>
      </w:r>
      <w:r>
        <w:rPr>
          <w:color w:val="231F20"/>
          <w:sz w:val="24"/>
        </w:rPr>
        <w:t>Général de l’ONU en Côte d’Ivoire, se prévalant de son rôle de certificateur</w:t>
      </w:r>
      <w:r>
        <w:rPr>
          <w:color w:val="231F20"/>
          <w:spacing w:val="-12"/>
          <w:sz w:val="24"/>
        </w:rPr>
        <w:t> </w:t>
      </w:r>
      <w:r>
        <w:rPr>
          <w:color w:val="231F20"/>
          <w:sz w:val="24"/>
        </w:rPr>
        <w:t>décide</w:t>
      </w:r>
      <w:r>
        <w:rPr>
          <w:color w:val="231F20"/>
          <w:spacing w:val="-10"/>
          <w:sz w:val="24"/>
        </w:rPr>
        <w:t> </w:t>
      </w:r>
      <w:r>
        <w:rPr>
          <w:color w:val="231F20"/>
          <w:sz w:val="24"/>
        </w:rPr>
        <w:t>de</w:t>
      </w:r>
      <w:r>
        <w:rPr>
          <w:color w:val="231F20"/>
          <w:spacing w:val="-8"/>
          <w:sz w:val="24"/>
        </w:rPr>
        <w:t> </w:t>
      </w:r>
      <w:r>
        <w:rPr>
          <w:color w:val="231F20"/>
          <w:sz w:val="24"/>
        </w:rPr>
        <w:t>valider</w:t>
      </w:r>
      <w:r>
        <w:rPr>
          <w:color w:val="231F20"/>
          <w:spacing w:val="-8"/>
          <w:sz w:val="24"/>
        </w:rPr>
        <w:t> </w:t>
      </w:r>
      <w:r>
        <w:rPr>
          <w:color w:val="231F20"/>
          <w:sz w:val="24"/>
        </w:rPr>
        <w:t>les</w:t>
      </w:r>
      <w:r>
        <w:rPr>
          <w:color w:val="231F20"/>
          <w:spacing w:val="-9"/>
          <w:sz w:val="24"/>
        </w:rPr>
        <w:t> </w:t>
      </w:r>
      <w:r>
        <w:rPr>
          <w:color w:val="231F20"/>
          <w:sz w:val="24"/>
        </w:rPr>
        <w:t>résultats</w:t>
      </w:r>
      <w:r>
        <w:rPr>
          <w:color w:val="231F20"/>
          <w:spacing w:val="-8"/>
          <w:sz w:val="24"/>
        </w:rPr>
        <w:t> </w:t>
      </w:r>
      <w:r>
        <w:rPr>
          <w:color w:val="231F20"/>
          <w:sz w:val="24"/>
        </w:rPr>
        <w:t>de</w:t>
      </w:r>
      <w:r>
        <w:rPr>
          <w:color w:val="231F20"/>
          <w:spacing w:val="-10"/>
          <w:sz w:val="24"/>
        </w:rPr>
        <w:t> </w:t>
      </w:r>
      <w:r>
        <w:rPr>
          <w:color w:val="231F20"/>
          <w:sz w:val="24"/>
        </w:rPr>
        <w:t>la</w:t>
      </w:r>
      <w:r>
        <w:rPr>
          <w:color w:val="231F20"/>
          <w:spacing w:val="-5"/>
          <w:sz w:val="24"/>
        </w:rPr>
        <w:t> </w:t>
      </w:r>
      <w:r>
        <w:rPr>
          <w:color w:val="231F20"/>
          <w:sz w:val="24"/>
        </w:rPr>
        <w:t>CEI</w:t>
      </w:r>
      <w:r>
        <w:rPr>
          <w:color w:val="231F20"/>
          <w:spacing w:val="-9"/>
          <w:sz w:val="24"/>
        </w:rPr>
        <w:t> </w:t>
      </w:r>
      <w:r>
        <w:rPr>
          <w:color w:val="231F20"/>
          <w:sz w:val="24"/>
        </w:rPr>
        <w:t>:</w:t>
      </w:r>
      <w:r>
        <w:rPr>
          <w:color w:val="231F20"/>
          <w:spacing w:val="-15"/>
          <w:sz w:val="24"/>
        </w:rPr>
        <w:t> </w:t>
      </w:r>
      <w:r>
        <w:rPr>
          <w:i/>
          <w:color w:val="231F20"/>
          <w:sz w:val="24"/>
        </w:rPr>
        <w:t>«</w:t>
      </w:r>
      <w:r>
        <w:rPr>
          <w:i/>
          <w:color w:val="231F20"/>
          <w:spacing w:val="-15"/>
          <w:sz w:val="24"/>
        </w:rPr>
        <w:t> </w:t>
      </w:r>
      <w:r>
        <w:rPr>
          <w:i/>
          <w:color w:val="231F20"/>
          <w:sz w:val="24"/>
        </w:rPr>
        <w:t>Les</w:t>
      </w:r>
      <w:r>
        <w:rPr>
          <w:i/>
          <w:color w:val="231F20"/>
          <w:spacing w:val="-9"/>
          <w:sz w:val="24"/>
        </w:rPr>
        <w:t> </w:t>
      </w:r>
      <w:r>
        <w:rPr>
          <w:i/>
          <w:color w:val="231F20"/>
          <w:sz w:val="24"/>
        </w:rPr>
        <w:t>résultats</w:t>
      </w:r>
      <w:r>
        <w:rPr>
          <w:i/>
          <w:color w:val="231F20"/>
          <w:spacing w:val="-9"/>
          <w:sz w:val="24"/>
        </w:rPr>
        <w:t> </w:t>
      </w:r>
      <w:r>
        <w:rPr>
          <w:i/>
          <w:color w:val="231F20"/>
          <w:sz w:val="24"/>
        </w:rPr>
        <w:t>du</w:t>
      </w:r>
      <w:r>
        <w:rPr>
          <w:i/>
          <w:color w:val="231F20"/>
          <w:sz w:val="24"/>
        </w:rPr>
        <w:t> second tour</w:t>
      </w:r>
      <w:r>
        <w:rPr>
          <w:i/>
          <w:color w:val="231F20"/>
          <w:spacing w:val="-2"/>
          <w:sz w:val="24"/>
        </w:rPr>
        <w:t> </w:t>
      </w:r>
      <w:r>
        <w:rPr>
          <w:i/>
          <w:color w:val="231F20"/>
          <w:sz w:val="24"/>
        </w:rPr>
        <w:t>de l'élection</w:t>
      </w:r>
      <w:r>
        <w:rPr>
          <w:i/>
          <w:color w:val="231F20"/>
          <w:spacing w:val="-2"/>
          <w:sz w:val="24"/>
        </w:rPr>
        <w:t> </w:t>
      </w:r>
      <w:r>
        <w:rPr>
          <w:i/>
          <w:color w:val="231F20"/>
          <w:sz w:val="24"/>
        </w:rPr>
        <w:t>présidentielle</w:t>
      </w:r>
      <w:r>
        <w:rPr>
          <w:i/>
          <w:color w:val="231F20"/>
          <w:spacing w:val="-2"/>
          <w:sz w:val="24"/>
        </w:rPr>
        <w:t> </w:t>
      </w:r>
      <w:r>
        <w:rPr>
          <w:i/>
          <w:color w:val="231F20"/>
          <w:sz w:val="24"/>
        </w:rPr>
        <w:t>tels</w:t>
      </w:r>
      <w:r>
        <w:rPr>
          <w:i/>
          <w:color w:val="231F20"/>
          <w:spacing w:val="-2"/>
          <w:sz w:val="24"/>
        </w:rPr>
        <w:t> </w:t>
      </w:r>
      <w:r>
        <w:rPr>
          <w:i/>
          <w:color w:val="231F20"/>
          <w:sz w:val="24"/>
        </w:rPr>
        <w:t>qu'annoncés le 2</w:t>
      </w:r>
      <w:r>
        <w:rPr>
          <w:i/>
          <w:color w:val="231F20"/>
          <w:spacing w:val="-2"/>
          <w:sz w:val="24"/>
        </w:rPr>
        <w:t> </w:t>
      </w:r>
      <w:r>
        <w:rPr>
          <w:i/>
          <w:color w:val="231F20"/>
          <w:sz w:val="24"/>
        </w:rPr>
        <w:t>décembre par la commission électorale ne changent pas, ce qui confirme que le candidat</w:t>
      </w:r>
      <w:r>
        <w:rPr>
          <w:i/>
          <w:color w:val="231F20"/>
          <w:spacing w:val="-15"/>
          <w:sz w:val="24"/>
        </w:rPr>
        <w:t> </w:t>
      </w:r>
      <w:r>
        <w:rPr>
          <w:i/>
          <w:color w:val="231F20"/>
          <w:sz w:val="24"/>
        </w:rPr>
        <w:t>Alassane</w:t>
      </w:r>
      <w:r>
        <w:rPr>
          <w:i/>
          <w:color w:val="231F20"/>
          <w:spacing w:val="-15"/>
          <w:sz w:val="24"/>
        </w:rPr>
        <w:t> </w:t>
      </w:r>
      <w:r>
        <w:rPr>
          <w:i/>
          <w:color w:val="231F20"/>
          <w:sz w:val="24"/>
        </w:rPr>
        <w:t>Ouattara</w:t>
      </w:r>
      <w:r>
        <w:rPr>
          <w:i/>
          <w:color w:val="231F20"/>
          <w:spacing w:val="-15"/>
          <w:sz w:val="24"/>
        </w:rPr>
        <w:t> </w:t>
      </w:r>
      <w:r>
        <w:rPr>
          <w:i/>
          <w:color w:val="231F20"/>
          <w:sz w:val="24"/>
        </w:rPr>
        <w:t>a</w:t>
      </w:r>
      <w:r>
        <w:rPr>
          <w:i/>
          <w:color w:val="231F20"/>
          <w:spacing w:val="-15"/>
          <w:sz w:val="24"/>
        </w:rPr>
        <w:t> </w:t>
      </w:r>
      <w:r>
        <w:rPr>
          <w:i/>
          <w:color w:val="231F20"/>
          <w:sz w:val="24"/>
        </w:rPr>
        <w:t>remporté</w:t>
      </w:r>
      <w:r>
        <w:rPr>
          <w:i/>
          <w:color w:val="231F20"/>
          <w:spacing w:val="-15"/>
          <w:sz w:val="24"/>
        </w:rPr>
        <w:t> </w:t>
      </w:r>
      <w:r>
        <w:rPr>
          <w:i/>
          <w:color w:val="231F20"/>
          <w:sz w:val="24"/>
        </w:rPr>
        <w:t>le</w:t>
      </w:r>
      <w:r>
        <w:rPr>
          <w:i/>
          <w:color w:val="231F20"/>
          <w:spacing w:val="-15"/>
          <w:sz w:val="24"/>
        </w:rPr>
        <w:t> </w:t>
      </w:r>
      <w:r>
        <w:rPr>
          <w:i/>
          <w:color w:val="231F20"/>
          <w:sz w:val="24"/>
        </w:rPr>
        <w:t>scrutin.</w:t>
      </w:r>
      <w:r>
        <w:rPr>
          <w:i/>
          <w:color w:val="231F20"/>
          <w:spacing w:val="-15"/>
          <w:sz w:val="24"/>
        </w:rPr>
        <w:t> </w:t>
      </w:r>
      <w:r>
        <w:rPr>
          <w:i/>
          <w:color w:val="231F20"/>
          <w:sz w:val="24"/>
        </w:rPr>
        <w:t>»</w:t>
      </w:r>
      <w:r>
        <w:rPr>
          <w:i/>
          <w:color w:val="231F20"/>
          <w:spacing w:val="-15"/>
          <w:sz w:val="24"/>
        </w:rPr>
        <w:t> </w:t>
      </w:r>
      <w:r>
        <w:rPr>
          <w:color w:val="231F20"/>
          <w:sz w:val="24"/>
        </w:rPr>
        <w:t>Aussitôt,</w:t>
      </w:r>
      <w:r>
        <w:rPr>
          <w:color w:val="231F20"/>
          <w:spacing w:val="-15"/>
          <w:sz w:val="24"/>
        </w:rPr>
        <w:t> </w:t>
      </w:r>
      <w:r>
        <w:rPr>
          <w:color w:val="231F20"/>
          <w:sz w:val="24"/>
        </w:rPr>
        <w:t>la</w:t>
      </w:r>
      <w:r>
        <w:rPr>
          <w:color w:val="231F20"/>
          <w:spacing w:val="-15"/>
          <w:sz w:val="24"/>
        </w:rPr>
        <w:t> </w:t>
      </w:r>
      <w:r>
        <w:rPr>
          <w:color w:val="231F20"/>
          <w:sz w:val="24"/>
        </w:rPr>
        <w:t>France, </w:t>
      </w:r>
      <w:r>
        <w:rPr>
          <w:color w:val="231F20"/>
          <w:spacing w:val="-2"/>
          <w:sz w:val="24"/>
        </w:rPr>
        <w:t>les</w:t>
      </w:r>
      <w:r>
        <w:rPr>
          <w:color w:val="231F20"/>
          <w:spacing w:val="-8"/>
          <w:sz w:val="24"/>
        </w:rPr>
        <w:t> </w:t>
      </w:r>
      <w:r>
        <w:rPr>
          <w:color w:val="231F20"/>
          <w:spacing w:val="-2"/>
          <w:sz w:val="24"/>
        </w:rPr>
        <w:t>Etats-Unis,</w:t>
      </w:r>
      <w:r>
        <w:rPr>
          <w:color w:val="231F20"/>
          <w:spacing w:val="-10"/>
          <w:sz w:val="24"/>
        </w:rPr>
        <w:t> </w:t>
      </w:r>
      <w:r>
        <w:rPr>
          <w:color w:val="231F20"/>
          <w:spacing w:val="-2"/>
          <w:sz w:val="24"/>
        </w:rPr>
        <w:t>la</w:t>
      </w:r>
      <w:r>
        <w:rPr>
          <w:color w:val="231F20"/>
          <w:spacing w:val="-8"/>
          <w:sz w:val="24"/>
        </w:rPr>
        <w:t> </w:t>
      </w:r>
      <w:r>
        <w:rPr>
          <w:color w:val="231F20"/>
          <w:spacing w:val="-2"/>
          <w:sz w:val="24"/>
        </w:rPr>
        <w:t>Grande-Bretagne</w:t>
      </w:r>
      <w:r>
        <w:rPr>
          <w:color w:val="231F20"/>
          <w:spacing w:val="-9"/>
          <w:sz w:val="24"/>
        </w:rPr>
        <w:t> </w:t>
      </w:r>
      <w:r>
        <w:rPr>
          <w:color w:val="231F20"/>
          <w:spacing w:val="-2"/>
          <w:sz w:val="24"/>
        </w:rPr>
        <w:t>et</w:t>
      </w:r>
      <w:r>
        <w:rPr>
          <w:color w:val="231F20"/>
          <w:spacing w:val="-10"/>
          <w:sz w:val="24"/>
        </w:rPr>
        <w:t> </w:t>
      </w:r>
      <w:r>
        <w:rPr>
          <w:color w:val="231F20"/>
          <w:spacing w:val="-2"/>
          <w:sz w:val="24"/>
        </w:rPr>
        <w:t>l’Union</w:t>
      </w:r>
      <w:r>
        <w:rPr>
          <w:color w:val="231F20"/>
          <w:spacing w:val="-8"/>
          <w:sz w:val="24"/>
        </w:rPr>
        <w:t> </w:t>
      </w:r>
      <w:r>
        <w:rPr>
          <w:color w:val="231F20"/>
          <w:spacing w:val="-2"/>
          <w:sz w:val="24"/>
        </w:rPr>
        <w:t>Européenne</w:t>
      </w:r>
      <w:r>
        <w:rPr>
          <w:color w:val="231F20"/>
          <w:spacing w:val="-8"/>
          <w:sz w:val="24"/>
        </w:rPr>
        <w:t> </w:t>
      </w:r>
      <w:r>
        <w:rPr>
          <w:color w:val="231F20"/>
          <w:spacing w:val="-2"/>
          <w:sz w:val="24"/>
        </w:rPr>
        <w:t>reconnaissent la</w:t>
      </w:r>
      <w:r>
        <w:rPr>
          <w:color w:val="231F20"/>
          <w:spacing w:val="-7"/>
          <w:sz w:val="24"/>
        </w:rPr>
        <w:t> </w:t>
      </w:r>
      <w:r>
        <w:rPr>
          <w:color w:val="231F20"/>
          <w:spacing w:val="-2"/>
          <w:sz w:val="24"/>
        </w:rPr>
        <w:t>victoire</w:t>
      </w:r>
      <w:r>
        <w:rPr>
          <w:color w:val="231F20"/>
          <w:spacing w:val="-9"/>
          <w:sz w:val="24"/>
        </w:rPr>
        <w:t> </w:t>
      </w:r>
      <w:r>
        <w:rPr>
          <w:color w:val="231F20"/>
          <w:spacing w:val="-2"/>
          <w:sz w:val="24"/>
        </w:rPr>
        <w:t>de</w:t>
      </w:r>
      <w:r>
        <w:rPr>
          <w:color w:val="231F20"/>
          <w:spacing w:val="-7"/>
          <w:sz w:val="24"/>
        </w:rPr>
        <w:t> </w:t>
      </w:r>
      <w:r>
        <w:rPr>
          <w:color w:val="231F20"/>
          <w:spacing w:val="-2"/>
          <w:sz w:val="24"/>
        </w:rPr>
        <w:t>Ouattara,</w:t>
      </w:r>
      <w:r>
        <w:rPr>
          <w:color w:val="231F20"/>
          <w:spacing w:val="-7"/>
          <w:sz w:val="24"/>
        </w:rPr>
        <w:t> </w:t>
      </w:r>
      <w:r>
        <w:rPr>
          <w:color w:val="231F20"/>
          <w:spacing w:val="-2"/>
          <w:sz w:val="24"/>
        </w:rPr>
        <w:t>le</w:t>
      </w:r>
      <w:r>
        <w:rPr>
          <w:color w:val="231F20"/>
          <w:spacing w:val="-12"/>
          <w:sz w:val="24"/>
        </w:rPr>
        <w:t> </w:t>
      </w:r>
      <w:r>
        <w:rPr>
          <w:color w:val="231F20"/>
          <w:spacing w:val="-2"/>
          <w:sz w:val="24"/>
        </w:rPr>
        <w:t>félicitent</w:t>
      </w:r>
      <w:r>
        <w:rPr>
          <w:color w:val="231F20"/>
          <w:spacing w:val="-7"/>
          <w:sz w:val="24"/>
        </w:rPr>
        <w:t> </w:t>
      </w:r>
      <w:r>
        <w:rPr>
          <w:color w:val="231F20"/>
          <w:spacing w:val="-2"/>
          <w:sz w:val="24"/>
        </w:rPr>
        <w:t>et</w:t>
      </w:r>
      <w:r>
        <w:rPr>
          <w:color w:val="231F20"/>
          <w:spacing w:val="-6"/>
          <w:sz w:val="24"/>
        </w:rPr>
        <w:t> </w:t>
      </w:r>
      <w:r>
        <w:rPr>
          <w:color w:val="231F20"/>
          <w:spacing w:val="-2"/>
          <w:sz w:val="24"/>
        </w:rPr>
        <w:t>demandent</w:t>
      </w:r>
      <w:r>
        <w:rPr>
          <w:color w:val="231F20"/>
          <w:spacing w:val="-10"/>
          <w:sz w:val="24"/>
        </w:rPr>
        <w:t> </w:t>
      </w:r>
      <w:r>
        <w:rPr>
          <w:color w:val="231F20"/>
          <w:spacing w:val="-2"/>
          <w:sz w:val="24"/>
        </w:rPr>
        <w:t>à</w:t>
      </w:r>
      <w:r>
        <w:rPr>
          <w:color w:val="231F20"/>
          <w:spacing w:val="-9"/>
          <w:sz w:val="24"/>
        </w:rPr>
        <w:t> </w:t>
      </w:r>
      <w:r>
        <w:rPr>
          <w:color w:val="231F20"/>
          <w:spacing w:val="-2"/>
          <w:sz w:val="24"/>
        </w:rPr>
        <w:t>Gbagbo</w:t>
      </w:r>
      <w:r>
        <w:rPr>
          <w:color w:val="231F20"/>
          <w:spacing w:val="-7"/>
          <w:sz w:val="24"/>
        </w:rPr>
        <w:t> </w:t>
      </w:r>
      <w:r>
        <w:rPr>
          <w:color w:val="231F20"/>
          <w:spacing w:val="-2"/>
          <w:sz w:val="24"/>
        </w:rPr>
        <w:t>de</w:t>
      </w:r>
      <w:r>
        <w:rPr>
          <w:color w:val="231F20"/>
          <w:spacing w:val="-9"/>
          <w:sz w:val="24"/>
        </w:rPr>
        <w:t> </w:t>
      </w:r>
      <w:r>
        <w:rPr>
          <w:color w:val="231F20"/>
          <w:spacing w:val="-2"/>
          <w:sz w:val="24"/>
        </w:rPr>
        <w:t>s’incliner.</w:t>
      </w:r>
    </w:p>
    <w:p>
      <w:pPr>
        <w:pStyle w:val="BodyText"/>
        <w:spacing w:before="121"/>
        <w:ind w:right="104" w:firstLine="283"/>
      </w:pPr>
      <w:r>
        <w:rPr>
          <w:color w:val="231F20"/>
        </w:rPr>
        <w:t>Le</w:t>
      </w:r>
      <w:r>
        <w:rPr>
          <w:color w:val="231F20"/>
          <w:spacing w:val="-15"/>
        </w:rPr>
        <w:t> </w:t>
      </w:r>
      <w:r>
        <w:rPr>
          <w:color w:val="231F20"/>
        </w:rPr>
        <w:t>4</w:t>
      </w:r>
      <w:r>
        <w:rPr>
          <w:color w:val="231F20"/>
          <w:spacing w:val="-15"/>
        </w:rPr>
        <w:t> </w:t>
      </w:r>
      <w:r>
        <w:rPr>
          <w:color w:val="231F20"/>
        </w:rPr>
        <w:t>décembre,</w:t>
      </w:r>
      <w:r>
        <w:rPr>
          <w:color w:val="231F20"/>
          <w:spacing w:val="-15"/>
        </w:rPr>
        <w:t> </w:t>
      </w:r>
      <w:r>
        <w:rPr>
          <w:color w:val="231F20"/>
        </w:rPr>
        <w:t>la</w:t>
      </w:r>
      <w:r>
        <w:rPr>
          <w:color w:val="231F20"/>
          <w:spacing w:val="-15"/>
        </w:rPr>
        <w:t> </w:t>
      </w:r>
      <w:r>
        <w:rPr>
          <w:color w:val="231F20"/>
        </w:rPr>
        <w:t>Côte</w:t>
      </w:r>
      <w:r>
        <w:rPr>
          <w:color w:val="231F20"/>
          <w:spacing w:val="-15"/>
        </w:rPr>
        <w:t> </w:t>
      </w:r>
      <w:r>
        <w:rPr>
          <w:color w:val="231F20"/>
        </w:rPr>
        <w:t>d’Ivoire</w:t>
      </w:r>
      <w:r>
        <w:rPr>
          <w:color w:val="231F20"/>
          <w:spacing w:val="-15"/>
        </w:rPr>
        <w:t> </w:t>
      </w:r>
      <w:r>
        <w:rPr>
          <w:color w:val="231F20"/>
        </w:rPr>
        <w:t>a</w:t>
      </w:r>
      <w:r>
        <w:rPr>
          <w:color w:val="231F20"/>
          <w:spacing w:val="-15"/>
        </w:rPr>
        <w:t> </w:t>
      </w:r>
      <w:r>
        <w:rPr>
          <w:color w:val="231F20"/>
        </w:rPr>
        <w:t>deux</w:t>
      </w:r>
      <w:r>
        <w:rPr>
          <w:color w:val="231F20"/>
          <w:spacing w:val="-15"/>
        </w:rPr>
        <w:t> </w:t>
      </w:r>
      <w:r>
        <w:rPr>
          <w:color w:val="231F20"/>
        </w:rPr>
        <w:t>présidents</w:t>
      </w:r>
      <w:r>
        <w:rPr>
          <w:color w:val="231F20"/>
          <w:spacing w:val="-15"/>
        </w:rPr>
        <w:t> </w:t>
      </w:r>
      <w:r>
        <w:rPr>
          <w:color w:val="231F20"/>
        </w:rPr>
        <w:t>:</w:t>
      </w:r>
      <w:r>
        <w:rPr>
          <w:color w:val="231F20"/>
          <w:spacing w:val="-15"/>
        </w:rPr>
        <w:t> </w:t>
      </w:r>
      <w:r>
        <w:rPr>
          <w:color w:val="231F20"/>
        </w:rPr>
        <w:t>un</w:t>
      </w:r>
      <w:r>
        <w:rPr>
          <w:color w:val="231F20"/>
          <w:spacing w:val="-15"/>
        </w:rPr>
        <w:t> </w:t>
      </w:r>
      <w:r>
        <w:rPr>
          <w:color w:val="231F20"/>
        </w:rPr>
        <w:t>Président</w:t>
      </w:r>
      <w:r>
        <w:rPr>
          <w:color w:val="231F20"/>
          <w:spacing w:val="-15"/>
        </w:rPr>
        <w:t> </w:t>
      </w:r>
      <w:r>
        <w:rPr>
          <w:color w:val="231F20"/>
        </w:rPr>
        <w:t>isolé </w:t>
      </w:r>
      <w:r>
        <w:rPr>
          <w:color w:val="231F20"/>
          <w:spacing w:val="-2"/>
        </w:rPr>
        <w:t>sur</w:t>
      </w:r>
      <w:r>
        <w:rPr>
          <w:color w:val="231F20"/>
          <w:spacing w:val="-15"/>
        </w:rPr>
        <w:t> </w:t>
      </w:r>
      <w:r>
        <w:rPr>
          <w:color w:val="231F20"/>
          <w:spacing w:val="-2"/>
        </w:rPr>
        <w:t>le</w:t>
      </w:r>
      <w:r>
        <w:rPr>
          <w:color w:val="231F20"/>
          <w:spacing w:val="-13"/>
        </w:rPr>
        <w:t> </w:t>
      </w:r>
      <w:r>
        <w:rPr>
          <w:color w:val="231F20"/>
          <w:spacing w:val="-2"/>
        </w:rPr>
        <w:t>plan</w:t>
      </w:r>
      <w:r>
        <w:rPr>
          <w:color w:val="231F20"/>
          <w:spacing w:val="-13"/>
        </w:rPr>
        <w:t> </w:t>
      </w:r>
      <w:r>
        <w:rPr>
          <w:color w:val="231F20"/>
          <w:spacing w:val="-2"/>
        </w:rPr>
        <w:t>diplomatique,</w:t>
      </w:r>
      <w:r>
        <w:rPr>
          <w:color w:val="231F20"/>
          <w:spacing w:val="-13"/>
        </w:rPr>
        <w:t> </w:t>
      </w:r>
      <w:r>
        <w:rPr>
          <w:color w:val="231F20"/>
          <w:spacing w:val="-2"/>
        </w:rPr>
        <w:t>déclaré</w:t>
      </w:r>
      <w:r>
        <w:rPr>
          <w:color w:val="231F20"/>
          <w:spacing w:val="-13"/>
        </w:rPr>
        <w:t> </w:t>
      </w:r>
      <w:r>
        <w:rPr>
          <w:color w:val="231F20"/>
          <w:spacing w:val="-2"/>
        </w:rPr>
        <w:t>vainqueur</w:t>
      </w:r>
      <w:r>
        <w:rPr>
          <w:color w:val="231F20"/>
          <w:spacing w:val="-13"/>
        </w:rPr>
        <w:t> </w:t>
      </w:r>
      <w:r>
        <w:rPr>
          <w:color w:val="231F20"/>
          <w:spacing w:val="-2"/>
        </w:rPr>
        <w:t>par</w:t>
      </w:r>
      <w:r>
        <w:rPr>
          <w:color w:val="231F20"/>
          <w:spacing w:val="-13"/>
        </w:rPr>
        <w:t> </w:t>
      </w:r>
      <w:r>
        <w:rPr>
          <w:color w:val="231F20"/>
          <w:spacing w:val="-2"/>
        </w:rPr>
        <w:t>le</w:t>
      </w:r>
      <w:r>
        <w:rPr>
          <w:color w:val="231F20"/>
          <w:spacing w:val="-13"/>
        </w:rPr>
        <w:t> </w:t>
      </w:r>
      <w:r>
        <w:rPr>
          <w:color w:val="231F20"/>
          <w:spacing w:val="-2"/>
        </w:rPr>
        <w:t>Conseil</w:t>
      </w:r>
      <w:r>
        <w:rPr>
          <w:color w:val="231F20"/>
          <w:spacing w:val="-13"/>
        </w:rPr>
        <w:t> </w:t>
      </w:r>
      <w:r>
        <w:rPr>
          <w:color w:val="231F20"/>
          <w:spacing w:val="-2"/>
        </w:rPr>
        <w:t>constitutionnel </w:t>
      </w:r>
      <w:r>
        <w:rPr>
          <w:color w:val="231F20"/>
        </w:rPr>
        <w:t>et</w:t>
      </w:r>
      <w:r>
        <w:rPr>
          <w:color w:val="231F20"/>
          <w:spacing w:val="-7"/>
        </w:rPr>
        <w:t> </w:t>
      </w:r>
      <w:r>
        <w:rPr>
          <w:color w:val="231F20"/>
        </w:rPr>
        <w:t>un</w:t>
      </w:r>
      <w:r>
        <w:rPr>
          <w:color w:val="231F20"/>
          <w:spacing w:val="-7"/>
        </w:rPr>
        <w:t> </w:t>
      </w:r>
      <w:r>
        <w:rPr>
          <w:color w:val="231F20"/>
        </w:rPr>
        <w:t>autre,</w:t>
      </w:r>
      <w:r>
        <w:rPr>
          <w:color w:val="231F20"/>
          <w:spacing w:val="-7"/>
        </w:rPr>
        <w:t> </w:t>
      </w:r>
      <w:r>
        <w:rPr>
          <w:color w:val="231F20"/>
        </w:rPr>
        <w:t>fortement</w:t>
      </w:r>
      <w:r>
        <w:rPr>
          <w:color w:val="231F20"/>
          <w:spacing w:val="-6"/>
        </w:rPr>
        <w:t> </w:t>
      </w:r>
      <w:r>
        <w:rPr>
          <w:color w:val="231F20"/>
        </w:rPr>
        <w:t>soutenu</w:t>
      </w:r>
      <w:r>
        <w:rPr>
          <w:color w:val="231F20"/>
          <w:spacing w:val="-7"/>
        </w:rPr>
        <w:t> </w:t>
      </w:r>
      <w:r>
        <w:rPr>
          <w:color w:val="231F20"/>
        </w:rPr>
        <w:t>par</w:t>
      </w:r>
      <w:r>
        <w:rPr>
          <w:color w:val="231F20"/>
          <w:spacing w:val="-7"/>
        </w:rPr>
        <w:t> </w:t>
      </w:r>
      <w:r>
        <w:rPr>
          <w:color w:val="231F20"/>
        </w:rPr>
        <w:t>la</w:t>
      </w:r>
      <w:r>
        <w:rPr>
          <w:color w:val="231F20"/>
          <w:spacing w:val="-6"/>
        </w:rPr>
        <w:t> </w:t>
      </w:r>
      <w:r>
        <w:rPr>
          <w:color w:val="231F20"/>
        </w:rPr>
        <w:t>communauté</w:t>
      </w:r>
      <w:r>
        <w:rPr>
          <w:color w:val="231F20"/>
          <w:spacing w:val="-6"/>
        </w:rPr>
        <w:t> </w:t>
      </w:r>
      <w:r>
        <w:rPr>
          <w:color w:val="231F20"/>
        </w:rPr>
        <w:t>internationale.</w:t>
      </w:r>
    </w:p>
    <w:p>
      <w:pPr>
        <w:pStyle w:val="BodyText"/>
        <w:spacing w:before="120"/>
        <w:ind w:right="103" w:firstLine="283"/>
      </w:pPr>
      <w:r>
        <w:rPr>
          <w:color w:val="231F20"/>
        </w:rPr>
        <w:t>Le premier, Laurent Gbagbo prête serment au Palais présidentiel d'Abidjan. Il dénonce des</w:t>
      </w:r>
      <w:r>
        <w:rPr>
          <w:color w:val="231F20"/>
          <w:spacing w:val="-15"/>
        </w:rPr>
        <w:t> </w:t>
      </w:r>
      <w:r>
        <w:rPr>
          <w:color w:val="231F20"/>
        </w:rPr>
        <w:t>« cas graves d’ingérence », ajoutant :</w:t>
      </w:r>
      <w:r>
        <w:rPr>
          <w:color w:val="231F20"/>
          <w:spacing w:val="-15"/>
        </w:rPr>
        <w:t> </w:t>
      </w:r>
      <w:r>
        <w:rPr>
          <w:color w:val="231F20"/>
        </w:rPr>
        <w:t>« La </w:t>
      </w:r>
      <w:r>
        <w:rPr>
          <w:color w:val="231F20"/>
          <w:spacing w:val="-2"/>
        </w:rPr>
        <w:t>souveraineté</w:t>
      </w:r>
      <w:r>
        <w:rPr>
          <w:color w:val="231F20"/>
          <w:spacing w:val="-7"/>
        </w:rPr>
        <w:t> </w:t>
      </w:r>
      <w:r>
        <w:rPr>
          <w:color w:val="231F20"/>
          <w:spacing w:val="-2"/>
        </w:rPr>
        <w:t>de</w:t>
      </w:r>
      <w:r>
        <w:rPr>
          <w:color w:val="231F20"/>
          <w:spacing w:val="-10"/>
        </w:rPr>
        <w:t> </w:t>
      </w:r>
      <w:r>
        <w:rPr>
          <w:color w:val="231F20"/>
          <w:spacing w:val="-2"/>
        </w:rPr>
        <w:t>la</w:t>
      </w:r>
      <w:r>
        <w:rPr>
          <w:color w:val="231F20"/>
          <w:spacing w:val="-10"/>
        </w:rPr>
        <w:t> </w:t>
      </w:r>
      <w:r>
        <w:rPr>
          <w:color w:val="231F20"/>
          <w:spacing w:val="-2"/>
        </w:rPr>
        <w:t>Côte</w:t>
      </w:r>
      <w:r>
        <w:rPr>
          <w:color w:val="231F20"/>
          <w:spacing w:val="-10"/>
        </w:rPr>
        <w:t> </w:t>
      </w:r>
      <w:r>
        <w:rPr>
          <w:color w:val="231F20"/>
          <w:spacing w:val="-2"/>
        </w:rPr>
        <w:t>d'Ivoire,</w:t>
      </w:r>
      <w:r>
        <w:rPr>
          <w:color w:val="231F20"/>
          <w:spacing w:val="-7"/>
        </w:rPr>
        <w:t> </w:t>
      </w:r>
      <w:r>
        <w:rPr>
          <w:color w:val="231F20"/>
          <w:spacing w:val="-2"/>
        </w:rPr>
        <w:t>c'est</w:t>
      </w:r>
      <w:r>
        <w:rPr>
          <w:color w:val="231F20"/>
          <w:spacing w:val="-7"/>
        </w:rPr>
        <w:t> </w:t>
      </w:r>
      <w:r>
        <w:rPr>
          <w:color w:val="231F20"/>
          <w:spacing w:val="-2"/>
        </w:rPr>
        <w:t>elle</w:t>
      </w:r>
      <w:r>
        <w:rPr>
          <w:color w:val="231F20"/>
          <w:spacing w:val="-9"/>
        </w:rPr>
        <w:t> </w:t>
      </w:r>
      <w:r>
        <w:rPr>
          <w:color w:val="231F20"/>
          <w:spacing w:val="-2"/>
        </w:rPr>
        <w:t>que</w:t>
      </w:r>
      <w:r>
        <w:rPr>
          <w:color w:val="231F20"/>
          <w:spacing w:val="-7"/>
        </w:rPr>
        <w:t> </w:t>
      </w:r>
      <w:r>
        <w:rPr>
          <w:color w:val="231F20"/>
          <w:spacing w:val="-2"/>
        </w:rPr>
        <w:t>je</w:t>
      </w:r>
      <w:r>
        <w:rPr>
          <w:color w:val="231F20"/>
          <w:spacing w:val="-10"/>
        </w:rPr>
        <w:t> </w:t>
      </w:r>
      <w:r>
        <w:rPr>
          <w:color w:val="231F20"/>
          <w:spacing w:val="-2"/>
        </w:rPr>
        <w:t>suis</w:t>
      </w:r>
      <w:r>
        <w:rPr>
          <w:color w:val="231F20"/>
          <w:spacing w:val="-7"/>
        </w:rPr>
        <w:t> </w:t>
      </w:r>
      <w:r>
        <w:rPr>
          <w:color w:val="231F20"/>
          <w:spacing w:val="-2"/>
        </w:rPr>
        <w:t>chargé</w:t>
      </w:r>
      <w:r>
        <w:rPr>
          <w:color w:val="231F20"/>
          <w:spacing w:val="-10"/>
        </w:rPr>
        <w:t> </w:t>
      </w:r>
      <w:r>
        <w:rPr>
          <w:color w:val="231F20"/>
          <w:spacing w:val="-2"/>
        </w:rPr>
        <w:t>de</w:t>
      </w:r>
      <w:r>
        <w:rPr>
          <w:color w:val="231F20"/>
          <w:spacing w:val="-10"/>
        </w:rPr>
        <w:t> </w:t>
      </w:r>
      <w:r>
        <w:rPr>
          <w:color w:val="231F20"/>
          <w:spacing w:val="-2"/>
        </w:rPr>
        <w:t>défendre, </w:t>
      </w:r>
      <w:r>
        <w:rPr>
          <w:color w:val="231F20"/>
        </w:rPr>
        <w:t>et elle, je ne la négocie pas. » Gbagbo nomme</w:t>
      </w:r>
      <w:r>
        <w:rPr>
          <w:color w:val="231F20"/>
          <w:spacing w:val="-15"/>
        </w:rPr>
        <w:t> </w:t>
      </w:r>
      <w:r>
        <w:rPr>
          <w:color w:val="231F20"/>
        </w:rPr>
        <w:t>un proche Gilbert Aké Ngbo,</w:t>
      </w:r>
      <w:r>
        <w:rPr>
          <w:color w:val="231F20"/>
          <w:spacing w:val="-2"/>
        </w:rPr>
        <w:t> </w:t>
      </w:r>
      <w:r>
        <w:rPr>
          <w:color w:val="231F20"/>
        </w:rPr>
        <w:t>un économiste au</w:t>
      </w:r>
      <w:r>
        <w:rPr>
          <w:color w:val="231F20"/>
          <w:spacing w:val="-2"/>
        </w:rPr>
        <w:t> </w:t>
      </w:r>
      <w:r>
        <w:rPr>
          <w:color w:val="231F20"/>
        </w:rPr>
        <w:t>poste de</w:t>
      </w:r>
      <w:r>
        <w:rPr>
          <w:color w:val="231F20"/>
          <w:spacing w:val="-4"/>
        </w:rPr>
        <w:t> </w:t>
      </w:r>
      <w:r>
        <w:rPr>
          <w:color w:val="231F20"/>
        </w:rPr>
        <w:t>Premier ministre.</w:t>
      </w:r>
    </w:p>
    <w:p>
      <w:pPr>
        <w:pStyle w:val="BodyText"/>
        <w:spacing w:before="120"/>
        <w:ind w:right="105" w:firstLine="283"/>
      </w:pPr>
      <w:r>
        <w:rPr>
          <w:color w:val="231F20"/>
        </w:rPr>
        <w:t>Alassane Ouattara prête serment à l’Hôtel du Golf, son QG de </w:t>
      </w:r>
      <w:r>
        <w:rPr>
          <w:color w:val="231F20"/>
          <w:spacing w:val="-4"/>
        </w:rPr>
        <w:t>Campagne :</w:t>
      </w:r>
      <w:r>
        <w:rPr>
          <w:color w:val="231F20"/>
          <w:spacing w:val="-8"/>
        </w:rPr>
        <w:t> </w:t>
      </w:r>
      <w:r>
        <w:rPr>
          <w:color w:val="231F20"/>
          <w:spacing w:val="-4"/>
        </w:rPr>
        <w:t>« Je</w:t>
      </w:r>
      <w:r>
        <w:rPr>
          <w:color w:val="231F20"/>
          <w:spacing w:val="-9"/>
        </w:rPr>
        <w:t> </w:t>
      </w:r>
      <w:r>
        <w:rPr>
          <w:color w:val="231F20"/>
          <w:spacing w:val="-4"/>
        </w:rPr>
        <w:t>voudrais</w:t>
      </w:r>
      <w:r>
        <w:rPr>
          <w:color w:val="231F20"/>
          <w:spacing w:val="-11"/>
        </w:rPr>
        <w:t> </w:t>
      </w:r>
      <w:r>
        <w:rPr>
          <w:color w:val="231F20"/>
          <w:spacing w:val="-4"/>
        </w:rPr>
        <w:t>vous</w:t>
      </w:r>
      <w:r>
        <w:rPr>
          <w:color w:val="231F20"/>
          <w:spacing w:val="-9"/>
        </w:rPr>
        <w:t> </w:t>
      </w:r>
      <w:r>
        <w:rPr>
          <w:color w:val="231F20"/>
          <w:spacing w:val="-4"/>
        </w:rPr>
        <w:t>dire</w:t>
      </w:r>
      <w:r>
        <w:rPr>
          <w:color w:val="231F20"/>
          <w:spacing w:val="-9"/>
        </w:rPr>
        <w:t> </w:t>
      </w:r>
      <w:r>
        <w:rPr>
          <w:color w:val="231F20"/>
          <w:spacing w:val="-4"/>
        </w:rPr>
        <w:t>que</w:t>
      </w:r>
      <w:r>
        <w:rPr>
          <w:color w:val="231F20"/>
          <w:spacing w:val="-9"/>
        </w:rPr>
        <w:t> </w:t>
      </w:r>
      <w:r>
        <w:rPr>
          <w:color w:val="231F20"/>
          <w:spacing w:val="-4"/>
        </w:rPr>
        <w:t>la</w:t>
      </w:r>
      <w:r>
        <w:rPr>
          <w:color w:val="231F20"/>
          <w:spacing w:val="-9"/>
        </w:rPr>
        <w:t> </w:t>
      </w:r>
      <w:r>
        <w:rPr>
          <w:color w:val="231F20"/>
          <w:spacing w:val="-4"/>
        </w:rPr>
        <w:t>Côte</w:t>
      </w:r>
      <w:r>
        <w:rPr>
          <w:color w:val="231F20"/>
          <w:spacing w:val="-9"/>
        </w:rPr>
        <w:t> </w:t>
      </w:r>
      <w:r>
        <w:rPr>
          <w:color w:val="231F20"/>
          <w:spacing w:val="-4"/>
        </w:rPr>
        <w:t>d'Ivoire</w:t>
      </w:r>
      <w:r>
        <w:rPr>
          <w:color w:val="231F20"/>
          <w:spacing w:val="-9"/>
        </w:rPr>
        <w:t> </w:t>
      </w:r>
      <w:r>
        <w:rPr>
          <w:color w:val="231F20"/>
          <w:spacing w:val="-4"/>
        </w:rPr>
        <w:t>est</w:t>
      </w:r>
      <w:r>
        <w:rPr>
          <w:color w:val="231F20"/>
          <w:spacing w:val="-9"/>
        </w:rPr>
        <w:t> </w:t>
      </w:r>
      <w:r>
        <w:rPr>
          <w:color w:val="231F20"/>
          <w:spacing w:val="-4"/>
        </w:rPr>
        <w:t>maintenant</w:t>
      </w:r>
      <w:r>
        <w:rPr>
          <w:color w:val="231F20"/>
          <w:spacing w:val="-8"/>
        </w:rPr>
        <w:t> </w:t>
      </w:r>
      <w:r>
        <w:rPr>
          <w:color w:val="231F20"/>
          <w:spacing w:val="-4"/>
        </w:rPr>
        <w:t>en </w:t>
      </w:r>
      <w:r>
        <w:rPr>
          <w:color w:val="231F20"/>
        </w:rPr>
        <w:t>de</w:t>
      </w:r>
      <w:r>
        <w:rPr>
          <w:color w:val="231F20"/>
          <w:spacing w:val="-14"/>
        </w:rPr>
        <w:t> </w:t>
      </w:r>
      <w:r>
        <w:rPr>
          <w:color w:val="231F20"/>
        </w:rPr>
        <w:t>bonnes</w:t>
      </w:r>
      <w:r>
        <w:rPr>
          <w:color w:val="231F20"/>
          <w:spacing w:val="-13"/>
        </w:rPr>
        <w:t> </w:t>
      </w:r>
      <w:r>
        <w:rPr>
          <w:color w:val="231F20"/>
        </w:rPr>
        <w:t>mains</w:t>
      </w:r>
      <w:r>
        <w:rPr>
          <w:color w:val="231F20"/>
          <w:spacing w:val="-15"/>
        </w:rPr>
        <w:t> </w:t>
      </w:r>
      <w:r>
        <w:rPr>
          <w:color w:val="231F20"/>
        </w:rPr>
        <w:t>»</w:t>
      </w:r>
      <w:r>
        <w:rPr>
          <w:color w:val="231F20"/>
          <w:spacing w:val="-11"/>
        </w:rPr>
        <w:t> </w:t>
      </w:r>
      <w:r>
        <w:rPr>
          <w:color w:val="231F20"/>
        </w:rPr>
        <w:t>déclare-</w:t>
      </w:r>
      <w:r>
        <w:rPr>
          <w:color w:val="231F20"/>
          <w:spacing w:val="-11"/>
        </w:rPr>
        <w:t> </w:t>
      </w:r>
      <w:r>
        <w:rPr>
          <w:color w:val="231F20"/>
        </w:rPr>
        <w:t>t-il.</w:t>
      </w:r>
      <w:r>
        <w:rPr>
          <w:color w:val="231F20"/>
          <w:spacing w:val="-11"/>
        </w:rPr>
        <w:t> </w:t>
      </w:r>
      <w:r>
        <w:rPr>
          <w:color w:val="231F20"/>
        </w:rPr>
        <w:t>Il</w:t>
      </w:r>
      <w:r>
        <w:rPr>
          <w:color w:val="231F20"/>
          <w:spacing w:val="-11"/>
        </w:rPr>
        <w:t> </w:t>
      </w:r>
      <w:r>
        <w:rPr>
          <w:color w:val="231F20"/>
        </w:rPr>
        <w:t>reconduit</w:t>
      </w:r>
      <w:r>
        <w:rPr>
          <w:color w:val="231F20"/>
          <w:spacing w:val="-11"/>
        </w:rPr>
        <w:t> </w:t>
      </w:r>
      <w:r>
        <w:rPr>
          <w:color w:val="231F20"/>
        </w:rPr>
        <w:t>Guillaume</w:t>
      </w:r>
      <w:r>
        <w:rPr>
          <w:color w:val="231F20"/>
          <w:spacing w:val="-11"/>
        </w:rPr>
        <w:t> </w:t>
      </w:r>
      <w:r>
        <w:rPr>
          <w:color w:val="231F20"/>
        </w:rPr>
        <w:t>Soro</w:t>
      </w:r>
      <w:r>
        <w:rPr>
          <w:color w:val="231F20"/>
          <w:spacing w:val="-10"/>
        </w:rPr>
        <w:t> </w:t>
      </w:r>
      <w:r>
        <w:rPr>
          <w:color w:val="231F20"/>
        </w:rPr>
        <w:t>au</w:t>
      </w:r>
      <w:r>
        <w:rPr>
          <w:color w:val="231F20"/>
          <w:spacing w:val="-14"/>
        </w:rPr>
        <w:t> </w:t>
      </w:r>
      <w:r>
        <w:rPr>
          <w:color w:val="231F20"/>
        </w:rPr>
        <w:t>poste</w:t>
      </w:r>
      <w:r>
        <w:rPr>
          <w:color w:val="231F20"/>
          <w:spacing w:val="-11"/>
        </w:rPr>
        <w:t> </w:t>
      </w:r>
      <w:r>
        <w:rPr>
          <w:color w:val="231F20"/>
        </w:rPr>
        <w:t>de Premier ministre.</w:t>
      </w:r>
    </w:p>
    <w:p>
      <w:pPr>
        <w:pStyle w:val="BodyText"/>
        <w:spacing w:before="121"/>
        <w:ind w:right="102" w:firstLine="283"/>
      </w:pPr>
      <w:r>
        <w:rPr>
          <w:color w:val="231F20"/>
        </w:rPr>
        <w:t>Le 7 décembre, la Communauté des Etats d’Afrique de l’Ouest- </w:t>
      </w:r>
      <w:r>
        <w:rPr>
          <w:color w:val="231F20"/>
          <w:sz w:val="28"/>
        </w:rPr>
        <w:t>CEDEAO</w:t>
      </w:r>
      <w:r>
        <w:rPr>
          <w:color w:val="231F20"/>
        </w:rPr>
        <w:t>-</w:t>
      </w:r>
      <w:r>
        <w:rPr>
          <w:color w:val="231F20"/>
          <w:spacing w:val="-6"/>
        </w:rPr>
        <w:t> </w:t>
      </w:r>
      <w:r>
        <w:rPr>
          <w:color w:val="231F20"/>
        </w:rPr>
        <w:t>suspend</w:t>
      </w:r>
      <w:r>
        <w:rPr>
          <w:color w:val="231F20"/>
          <w:spacing w:val="-8"/>
        </w:rPr>
        <w:t> </w:t>
      </w:r>
      <w:r>
        <w:rPr>
          <w:color w:val="231F20"/>
        </w:rPr>
        <w:t>la</w:t>
      </w:r>
      <w:r>
        <w:rPr>
          <w:color w:val="231F20"/>
          <w:spacing w:val="-6"/>
        </w:rPr>
        <w:t> </w:t>
      </w:r>
      <w:r>
        <w:rPr>
          <w:color w:val="231F20"/>
        </w:rPr>
        <w:t>Côte</w:t>
      </w:r>
      <w:r>
        <w:rPr>
          <w:color w:val="231F20"/>
          <w:spacing w:val="-7"/>
        </w:rPr>
        <w:t> </w:t>
      </w:r>
      <w:r>
        <w:rPr>
          <w:color w:val="231F20"/>
        </w:rPr>
        <w:t>d’Ivoire.</w:t>
      </w:r>
      <w:r>
        <w:rPr>
          <w:color w:val="231F20"/>
          <w:spacing w:val="-6"/>
        </w:rPr>
        <w:t> </w:t>
      </w:r>
      <w:r>
        <w:rPr>
          <w:color w:val="231F20"/>
        </w:rPr>
        <w:t>Le</w:t>
      </w:r>
      <w:r>
        <w:rPr>
          <w:color w:val="231F20"/>
          <w:spacing w:val="-6"/>
        </w:rPr>
        <w:t> </w:t>
      </w:r>
      <w:r>
        <w:rPr>
          <w:color w:val="231F20"/>
        </w:rPr>
        <w:t>lendemain</w:t>
      </w:r>
      <w:r>
        <w:rPr>
          <w:color w:val="231F20"/>
          <w:spacing w:val="-6"/>
        </w:rPr>
        <w:t> </w:t>
      </w:r>
      <w:r>
        <w:rPr>
          <w:color w:val="231F20"/>
        </w:rPr>
        <w:t>l’ONU</w:t>
      </w:r>
      <w:r>
        <w:rPr>
          <w:color w:val="231F20"/>
          <w:spacing w:val="-5"/>
        </w:rPr>
        <w:t> </w:t>
      </w:r>
      <w:r>
        <w:rPr>
          <w:color w:val="231F20"/>
        </w:rPr>
        <w:t>appelle</w:t>
      </w:r>
      <w:r>
        <w:rPr>
          <w:color w:val="231F20"/>
          <w:spacing w:val="-5"/>
        </w:rPr>
        <w:t> </w:t>
      </w:r>
      <w:r>
        <w:rPr>
          <w:color w:val="231F20"/>
        </w:rPr>
        <w:t>au respect des résultats annoncés par la Commission électorale indépendante, sous peine de sanctions.</w:t>
      </w:r>
    </w:p>
    <w:p>
      <w:pPr>
        <w:pStyle w:val="BodyText"/>
        <w:spacing w:before="120"/>
        <w:ind w:left="395"/>
      </w:pPr>
      <w:r>
        <w:rPr>
          <w:color w:val="231F20"/>
          <w:spacing w:val="-2"/>
        </w:rPr>
        <w:t>Le</w:t>
      </w:r>
      <w:r>
        <w:rPr>
          <w:color w:val="231F20"/>
          <w:spacing w:val="-11"/>
        </w:rPr>
        <w:t> </w:t>
      </w:r>
      <w:r>
        <w:rPr>
          <w:color w:val="231F20"/>
          <w:spacing w:val="-2"/>
        </w:rPr>
        <w:t>9</w:t>
      </w:r>
      <w:r>
        <w:rPr>
          <w:color w:val="231F20"/>
          <w:spacing w:val="-9"/>
        </w:rPr>
        <w:t> </w:t>
      </w:r>
      <w:r>
        <w:rPr>
          <w:color w:val="231F20"/>
          <w:spacing w:val="-2"/>
        </w:rPr>
        <w:t>décembre,</w:t>
      </w:r>
      <w:r>
        <w:rPr>
          <w:color w:val="231F20"/>
          <w:spacing w:val="-11"/>
        </w:rPr>
        <w:t> </w:t>
      </w:r>
      <w:r>
        <w:rPr>
          <w:color w:val="231F20"/>
          <w:spacing w:val="-2"/>
        </w:rPr>
        <w:t>l’Union</w:t>
      </w:r>
      <w:r>
        <w:rPr>
          <w:color w:val="231F20"/>
          <w:spacing w:val="-9"/>
        </w:rPr>
        <w:t> </w:t>
      </w:r>
      <w:r>
        <w:rPr>
          <w:color w:val="231F20"/>
          <w:spacing w:val="-2"/>
        </w:rPr>
        <w:t>africaine</w:t>
      </w:r>
      <w:r>
        <w:rPr>
          <w:color w:val="231F20"/>
          <w:spacing w:val="-9"/>
        </w:rPr>
        <w:t> </w:t>
      </w:r>
      <w:r>
        <w:rPr>
          <w:color w:val="231F20"/>
          <w:spacing w:val="-2"/>
        </w:rPr>
        <w:t>(UA)</w:t>
      </w:r>
      <w:r>
        <w:rPr>
          <w:color w:val="231F20"/>
          <w:spacing w:val="-9"/>
        </w:rPr>
        <w:t> </w:t>
      </w:r>
      <w:r>
        <w:rPr>
          <w:color w:val="231F20"/>
          <w:spacing w:val="-2"/>
        </w:rPr>
        <w:t>suspend</w:t>
      </w:r>
      <w:r>
        <w:rPr>
          <w:color w:val="231F20"/>
          <w:spacing w:val="-9"/>
        </w:rPr>
        <w:t> </w:t>
      </w:r>
      <w:r>
        <w:rPr>
          <w:color w:val="231F20"/>
          <w:spacing w:val="-2"/>
        </w:rPr>
        <w:t>la</w:t>
      </w:r>
      <w:r>
        <w:rPr>
          <w:color w:val="231F20"/>
          <w:spacing w:val="-11"/>
        </w:rPr>
        <w:t> </w:t>
      </w:r>
      <w:r>
        <w:rPr>
          <w:color w:val="231F20"/>
          <w:spacing w:val="-2"/>
        </w:rPr>
        <w:t>Côte</w:t>
      </w:r>
      <w:r>
        <w:rPr>
          <w:color w:val="231F20"/>
          <w:spacing w:val="-10"/>
        </w:rPr>
        <w:t> </w:t>
      </w:r>
      <w:r>
        <w:rPr>
          <w:color w:val="231F20"/>
          <w:spacing w:val="-2"/>
        </w:rPr>
        <w:t>d’Ivoire.</w:t>
      </w:r>
    </w:p>
    <w:p>
      <w:pPr>
        <w:pStyle w:val="BodyText"/>
        <w:spacing w:before="120"/>
        <w:ind w:right="105" w:firstLine="283"/>
      </w:pPr>
      <w:r>
        <w:rPr>
          <w:color w:val="231F20"/>
          <w:spacing w:val="-4"/>
        </w:rPr>
        <w:t>Le</w:t>
      </w:r>
      <w:r>
        <w:rPr>
          <w:color w:val="231F20"/>
          <w:spacing w:val="-11"/>
        </w:rPr>
        <w:t> </w:t>
      </w:r>
      <w:r>
        <w:rPr>
          <w:color w:val="231F20"/>
          <w:spacing w:val="-4"/>
        </w:rPr>
        <w:t>17</w:t>
      </w:r>
      <w:r>
        <w:rPr>
          <w:color w:val="231F20"/>
          <w:spacing w:val="-11"/>
        </w:rPr>
        <w:t> </w:t>
      </w:r>
      <w:r>
        <w:rPr>
          <w:color w:val="231F20"/>
          <w:spacing w:val="-4"/>
        </w:rPr>
        <w:t>décembre,</w:t>
      </w:r>
      <w:r>
        <w:rPr>
          <w:color w:val="231F20"/>
          <w:spacing w:val="-10"/>
        </w:rPr>
        <w:t> </w:t>
      </w:r>
      <w:r>
        <w:rPr>
          <w:color w:val="231F20"/>
          <w:spacing w:val="-4"/>
        </w:rPr>
        <w:t>l’Union</w:t>
      </w:r>
      <w:r>
        <w:rPr>
          <w:color w:val="231F20"/>
          <w:spacing w:val="-11"/>
        </w:rPr>
        <w:t> </w:t>
      </w:r>
      <w:r>
        <w:rPr>
          <w:color w:val="231F20"/>
          <w:spacing w:val="-4"/>
        </w:rPr>
        <w:t>Européenne</w:t>
      </w:r>
      <w:r>
        <w:rPr>
          <w:color w:val="231F20"/>
          <w:spacing w:val="-9"/>
        </w:rPr>
        <w:t> </w:t>
      </w:r>
      <w:r>
        <w:rPr>
          <w:color w:val="231F20"/>
          <w:spacing w:val="-4"/>
        </w:rPr>
        <w:t>(UE)</w:t>
      </w:r>
      <w:r>
        <w:rPr>
          <w:color w:val="231F20"/>
          <w:spacing w:val="-10"/>
        </w:rPr>
        <w:t> </w:t>
      </w:r>
      <w:r>
        <w:rPr>
          <w:color w:val="231F20"/>
          <w:spacing w:val="-4"/>
        </w:rPr>
        <w:t>appelle</w:t>
      </w:r>
      <w:r>
        <w:rPr>
          <w:color w:val="231F20"/>
          <w:spacing w:val="-10"/>
        </w:rPr>
        <w:t> </w:t>
      </w:r>
      <w:r>
        <w:rPr>
          <w:color w:val="231F20"/>
          <w:spacing w:val="-4"/>
        </w:rPr>
        <w:t>l’Armée</w:t>
      </w:r>
      <w:r>
        <w:rPr>
          <w:color w:val="231F20"/>
          <w:spacing w:val="-10"/>
        </w:rPr>
        <w:t> </w:t>
      </w:r>
      <w:r>
        <w:rPr>
          <w:color w:val="231F20"/>
          <w:spacing w:val="-4"/>
        </w:rPr>
        <w:t>ivoirienne </w:t>
      </w:r>
      <w:r>
        <w:rPr>
          <w:color w:val="231F20"/>
        </w:rPr>
        <w:t>à se placer sous l’autorité de Ouattara et le président français</w:t>
      </w:r>
      <w:r>
        <w:rPr>
          <w:color w:val="231F20"/>
          <w:spacing w:val="-15"/>
        </w:rPr>
        <w:t> </w:t>
      </w:r>
      <w:r>
        <w:rPr>
          <w:color w:val="231F20"/>
        </w:rPr>
        <w:t>Nicolas </w:t>
      </w:r>
      <w:r>
        <w:rPr>
          <w:color w:val="231F20"/>
          <w:spacing w:val="-2"/>
        </w:rPr>
        <w:t>Sarkozy</w:t>
      </w:r>
      <w:r>
        <w:rPr>
          <w:color w:val="231F20"/>
          <w:spacing w:val="-12"/>
        </w:rPr>
        <w:t> </w:t>
      </w:r>
      <w:r>
        <w:rPr>
          <w:color w:val="231F20"/>
          <w:spacing w:val="-2"/>
        </w:rPr>
        <w:t>lance</w:t>
      </w:r>
      <w:r>
        <w:rPr>
          <w:color w:val="231F20"/>
          <w:spacing w:val="-12"/>
        </w:rPr>
        <w:t> </w:t>
      </w:r>
      <w:r>
        <w:rPr>
          <w:color w:val="231F20"/>
          <w:spacing w:val="-2"/>
        </w:rPr>
        <w:t>un</w:t>
      </w:r>
      <w:r>
        <w:rPr>
          <w:color w:val="231F20"/>
          <w:spacing w:val="-12"/>
        </w:rPr>
        <w:t> </w:t>
      </w:r>
      <w:r>
        <w:rPr>
          <w:color w:val="231F20"/>
          <w:spacing w:val="-2"/>
        </w:rPr>
        <w:t>ultimatum</w:t>
      </w:r>
      <w:r>
        <w:rPr>
          <w:color w:val="231F20"/>
          <w:spacing w:val="-10"/>
        </w:rPr>
        <w:t> </w:t>
      </w:r>
      <w:r>
        <w:rPr>
          <w:color w:val="231F20"/>
          <w:spacing w:val="-2"/>
        </w:rPr>
        <w:t>à</w:t>
      </w:r>
      <w:r>
        <w:rPr>
          <w:color w:val="231F20"/>
          <w:spacing w:val="-12"/>
        </w:rPr>
        <w:t> </w:t>
      </w:r>
      <w:r>
        <w:rPr>
          <w:color w:val="231F20"/>
          <w:spacing w:val="-2"/>
        </w:rPr>
        <w:t>Laurent</w:t>
      </w:r>
      <w:r>
        <w:rPr>
          <w:color w:val="231F20"/>
          <w:spacing w:val="-11"/>
        </w:rPr>
        <w:t> </w:t>
      </w:r>
      <w:r>
        <w:rPr>
          <w:color w:val="231F20"/>
          <w:spacing w:val="-2"/>
        </w:rPr>
        <w:t>Gbagbo</w:t>
      </w:r>
      <w:r>
        <w:rPr>
          <w:color w:val="231F20"/>
          <w:spacing w:val="-12"/>
        </w:rPr>
        <w:t> </w:t>
      </w:r>
      <w:r>
        <w:rPr>
          <w:color w:val="231F20"/>
          <w:spacing w:val="-2"/>
        </w:rPr>
        <w:t>:</w:t>
      </w:r>
      <w:r>
        <w:rPr>
          <w:color w:val="231F20"/>
          <w:spacing w:val="-11"/>
        </w:rPr>
        <w:t> </w:t>
      </w:r>
      <w:r>
        <w:rPr>
          <w:color w:val="231F20"/>
          <w:spacing w:val="-2"/>
        </w:rPr>
        <w:t>il</w:t>
      </w:r>
      <w:r>
        <w:rPr>
          <w:color w:val="231F20"/>
          <w:spacing w:val="-12"/>
        </w:rPr>
        <w:t> </w:t>
      </w:r>
      <w:r>
        <w:rPr>
          <w:color w:val="231F20"/>
          <w:spacing w:val="-2"/>
        </w:rPr>
        <w:t>exige</w:t>
      </w:r>
      <w:r>
        <w:rPr>
          <w:color w:val="231F20"/>
          <w:spacing w:val="-13"/>
        </w:rPr>
        <w:t> </w:t>
      </w:r>
      <w:r>
        <w:rPr>
          <w:color w:val="231F20"/>
          <w:spacing w:val="-2"/>
        </w:rPr>
        <w:t>son</w:t>
      </w:r>
      <w:r>
        <w:rPr>
          <w:color w:val="231F20"/>
          <w:spacing w:val="-12"/>
        </w:rPr>
        <w:t> </w:t>
      </w:r>
      <w:r>
        <w:rPr>
          <w:color w:val="231F20"/>
          <w:spacing w:val="-2"/>
        </w:rPr>
        <w:t>départ</w:t>
      </w:r>
      <w:r>
        <w:rPr>
          <w:color w:val="231F20"/>
          <w:spacing w:val="-12"/>
        </w:rPr>
        <w:t> </w:t>
      </w:r>
      <w:r>
        <w:rPr>
          <w:color w:val="231F20"/>
          <w:spacing w:val="-2"/>
        </w:rPr>
        <w:t>avant </w:t>
      </w:r>
      <w:r>
        <w:rPr>
          <w:color w:val="231F20"/>
        </w:rPr>
        <w:t>la</w:t>
      </w:r>
      <w:r>
        <w:rPr>
          <w:color w:val="231F20"/>
          <w:spacing w:val="-6"/>
        </w:rPr>
        <w:t> </w:t>
      </w:r>
      <w:r>
        <w:rPr>
          <w:color w:val="231F20"/>
        </w:rPr>
        <w:t>fin</w:t>
      </w:r>
      <w:r>
        <w:rPr>
          <w:color w:val="231F20"/>
          <w:spacing w:val="-6"/>
        </w:rPr>
        <w:t> </w:t>
      </w:r>
      <w:r>
        <w:rPr>
          <w:color w:val="231F20"/>
        </w:rPr>
        <w:t>de</w:t>
      </w:r>
      <w:r>
        <w:rPr>
          <w:color w:val="231F20"/>
          <w:spacing w:val="-9"/>
        </w:rPr>
        <w:t> </w:t>
      </w:r>
      <w:r>
        <w:rPr>
          <w:color w:val="231F20"/>
        </w:rPr>
        <w:t>la</w:t>
      </w:r>
      <w:r>
        <w:rPr>
          <w:color w:val="231F20"/>
          <w:spacing w:val="-6"/>
        </w:rPr>
        <w:t> </w:t>
      </w:r>
      <w:r>
        <w:rPr>
          <w:color w:val="231F20"/>
        </w:rPr>
        <w:t>semaine,</w:t>
      </w:r>
      <w:r>
        <w:rPr>
          <w:color w:val="231F20"/>
          <w:spacing w:val="-6"/>
        </w:rPr>
        <w:t> </w:t>
      </w:r>
      <w:r>
        <w:rPr>
          <w:color w:val="231F20"/>
        </w:rPr>
        <w:t>sous</w:t>
      </w:r>
      <w:r>
        <w:rPr>
          <w:color w:val="231F20"/>
          <w:spacing w:val="-8"/>
        </w:rPr>
        <w:t> </w:t>
      </w:r>
      <w:r>
        <w:rPr>
          <w:color w:val="231F20"/>
        </w:rPr>
        <w:t>peine</w:t>
      </w:r>
      <w:r>
        <w:rPr>
          <w:color w:val="231F20"/>
          <w:spacing w:val="-6"/>
        </w:rPr>
        <w:t> </w:t>
      </w:r>
      <w:r>
        <w:rPr>
          <w:color w:val="231F20"/>
        </w:rPr>
        <w:t>d’être</w:t>
      </w:r>
      <w:r>
        <w:rPr>
          <w:color w:val="231F20"/>
          <w:spacing w:val="-6"/>
        </w:rPr>
        <w:t> </w:t>
      </w:r>
      <w:r>
        <w:rPr>
          <w:color w:val="231F20"/>
        </w:rPr>
        <w:t>frappé</w:t>
      </w:r>
      <w:r>
        <w:rPr>
          <w:color w:val="231F20"/>
          <w:spacing w:val="-6"/>
        </w:rPr>
        <w:t> </w:t>
      </w:r>
      <w:r>
        <w:rPr>
          <w:color w:val="231F20"/>
        </w:rPr>
        <w:t>par</w:t>
      </w:r>
      <w:r>
        <w:rPr>
          <w:color w:val="231F20"/>
          <w:spacing w:val="-6"/>
        </w:rPr>
        <w:t> </w:t>
      </w:r>
      <w:r>
        <w:rPr>
          <w:color w:val="231F20"/>
        </w:rPr>
        <w:t>des</w:t>
      </w:r>
      <w:r>
        <w:rPr>
          <w:color w:val="231F20"/>
          <w:spacing w:val="-6"/>
        </w:rPr>
        <w:t> </w:t>
      </w:r>
      <w:r>
        <w:rPr>
          <w:color w:val="231F20"/>
        </w:rPr>
        <w:t>sanctions</w:t>
      </w:r>
      <w:r>
        <w:rPr>
          <w:color w:val="231F20"/>
          <w:spacing w:val="-8"/>
        </w:rPr>
        <w:t> </w:t>
      </w:r>
      <w:r>
        <w:rPr>
          <w:color w:val="231F20"/>
        </w:rPr>
        <w:t>de</w:t>
      </w:r>
      <w:r>
        <w:rPr>
          <w:color w:val="231F20"/>
          <w:spacing w:val="-6"/>
        </w:rPr>
        <w:t> </w:t>
      </w:r>
      <w:r>
        <w:rPr>
          <w:color w:val="231F20"/>
        </w:rPr>
        <w:t>l’UE. Le</w:t>
      </w:r>
      <w:r>
        <w:rPr>
          <w:color w:val="231F20"/>
          <w:spacing w:val="-5"/>
        </w:rPr>
        <w:t> </w:t>
      </w:r>
      <w:r>
        <w:rPr>
          <w:color w:val="231F20"/>
        </w:rPr>
        <w:t>18,</w:t>
      </w:r>
      <w:r>
        <w:rPr>
          <w:color w:val="231F20"/>
          <w:spacing w:val="-4"/>
        </w:rPr>
        <w:t> </w:t>
      </w:r>
      <w:r>
        <w:rPr>
          <w:color w:val="231F20"/>
        </w:rPr>
        <w:t>l’UA</w:t>
      </w:r>
      <w:r>
        <w:rPr>
          <w:color w:val="231F20"/>
          <w:spacing w:val="-2"/>
        </w:rPr>
        <w:t> </w:t>
      </w:r>
      <w:r>
        <w:rPr>
          <w:color w:val="231F20"/>
        </w:rPr>
        <w:t>demande</w:t>
      </w:r>
      <w:r>
        <w:rPr>
          <w:color w:val="231F20"/>
          <w:spacing w:val="-1"/>
        </w:rPr>
        <w:t> </w:t>
      </w:r>
      <w:r>
        <w:rPr>
          <w:color w:val="231F20"/>
        </w:rPr>
        <w:t>à</w:t>
      </w:r>
      <w:r>
        <w:rPr>
          <w:color w:val="231F20"/>
          <w:spacing w:val="-4"/>
        </w:rPr>
        <w:t> </w:t>
      </w:r>
      <w:r>
        <w:rPr>
          <w:color w:val="231F20"/>
        </w:rPr>
        <w:t>Laurent</w:t>
      </w:r>
      <w:r>
        <w:rPr>
          <w:color w:val="231F20"/>
          <w:spacing w:val="-2"/>
        </w:rPr>
        <w:t> </w:t>
      </w:r>
      <w:r>
        <w:rPr>
          <w:color w:val="231F20"/>
        </w:rPr>
        <w:t>Gbagbo</w:t>
      </w:r>
      <w:r>
        <w:rPr>
          <w:color w:val="231F20"/>
          <w:spacing w:val="-1"/>
        </w:rPr>
        <w:t> </w:t>
      </w:r>
      <w:r>
        <w:rPr>
          <w:color w:val="231F20"/>
        </w:rPr>
        <w:t>de</w:t>
      </w:r>
      <w:r>
        <w:rPr>
          <w:color w:val="231F20"/>
          <w:spacing w:val="-5"/>
        </w:rPr>
        <w:t> </w:t>
      </w:r>
      <w:r>
        <w:rPr>
          <w:color w:val="231F20"/>
        </w:rPr>
        <w:t>quitter</w:t>
      </w:r>
      <w:r>
        <w:rPr>
          <w:color w:val="231F20"/>
          <w:spacing w:val="-1"/>
        </w:rPr>
        <w:t> </w:t>
      </w:r>
      <w:r>
        <w:rPr>
          <w:color w:val="231F20"/>
        </w:rPr>
        <w:t>le</w:t>
      </w:r>
      <w:r>
        <w:rPr>
          <w:color w:val="231F20"/>
          <w:spacing w:val="-2"/>
        </w:rPr>
        <w:t> </w:t>
      </w:r>
      <w:r>
        <w:rPr>
          <w:color w:val="231F20"/>
        </w:rPr>
        <w:t>pouvoir</w:t>
      </w:r>
      <w:r>
        <w:rPr>
          <w:color w:val="231F20"/>
          <w:spacing w:val="-14"/>
        </w:rPr>
        <w:t> </w:t>
      </w:r>
      <w:r>
        <w:rPr>
          <w:color w:val="231F20"/>
        </w:rPr>
        <w:t>;</w:t>
      </w:r>
      <w:r>
        <w:rPr>
          <w:color w:val="231F20"/>
          <w:spacing w:val="-1"/>
        </w:rPr>
        <w:t> </w:t>
      </w:r>
      <w:r>
        <w:rPr>
          <w:color w:val="231F20"/>
          <w:spacing w:val="-2"/>
        </w:rPr>
        <w:t>Gbagbo</w:t>
      </w:r>
    </w:p>
    <w:p>
      <w:pPr>
        <w:spacing w:after="0"/>
        <w:sectPr>
          <w:pgSz w:w="8790" w:h="13610"/>
          <w:pgMar w:header="0" w:footer="802" w:top="1060" w:bottom="1000" w:left="880" w:right="880"/>
        </w:sectPr>
      </w:pPr>
    </w:p>
    <w:p>
      <w:pPr>
        <w:pStyle w:val="BodyText"/>
        <w:spacing w:before="66"/>
      </w:pPr>
      <w:r>
        <w:rPr>
          <w:color w:val="231F20"/>
        </w:rPr>
        <w:t>exige le</w:t>
      </w:r>
      <w:r>
        <w:rPr>
          <w:color w:val="231F20"/>
          <w:spacing w:val="2"/>
        </w:rPr>
        <w:t> </w:t>
      </w:r>
      <w:r>
        <w:rPr>
          <w:color w:val="231F20"/>
        </w:rPr>
        <w:t>départ</w:t>
      </w:r>
      <w:r>
        <w:rPr>
          <w:color w:val="231F20"/>
          <w:spacing w:val="2"/>
        </w:rPr>
        <w:t> </w:t>
      </w:r>
      <w:r>
        <w:rPr>
          <w:color w:val="231F20"/>
        </w:rPr>
        <w:t>de</w:t>
      </w:r>
      <w:r>
        <w:rPr>
          <w:color w:val="231F20"/>
          <w:spacing w:val="2"/>
        </w:rPr>
        <w:t> </w:t>
      </w:r>
      <w:r>
        <w:rPr>
          <w:color w:val="231F20"/>
        </w:rPr>
        <w:t>la mission</w:t>
      </w:r>
      <w:r>
        <w:rPr>
          <w:color w:val="231F20"/>
          <w:spacing w:val="2"/>
        </w:rPr>
        <w:t> </w:t>
      </w:r>
      <w:r>
        <w:rPr>
          <w:color w:val="231F20"/>
        </w:rPr>
        <w:t>de l’ONU</w:t>
      </w:r>
      <w:r>
        <w:rPr>
          <w:color w:val="231F20"/>
          <w:spacing w:val="2"/>
        </w:rPr>
        <w:t> </w:t>
      </w:r>
      <w:r>
        <w:rPr>
          <w:color w:val="231F20"/>
        </w:rPr>
        <w:t>(Onuci)</w:t>
      </w:r>
      <w:r>
        <w:rPr>
          <w:color w:val="231F20"/>
          <w:spacing w:val="2"/>
        </w:rPr>
        <w:t> </w:t>
      </w:r>
      <w:r>
        <w:rPr>
          <w:color w:val="231F20"/>
        </w:rPr>
        <w:t>et de</w:t>
      </w:r>
      <w:r>
        <w:rPr>
          <w:color w:val="231F20"/>
          <w:spacing w:val="2"/>
        </w:rPr>
        <w:t> </w:t>
      </w:r>
      <w:r>
        <w:rPr>
          <w:color w:val="231F20"/>
        </w:rPr>
        <w:t>la</w:t>
      </w:r>
      <w:r>
        <w:rPr>
          <w:color w:val="231F20"/>
          <w:spacing w:val="2"/>
        </w:rPr>
        <w:t> </w:t>
      </w:r>
      <w:r>
        <w:rPr>
          <w:color w:val="231F20"/>
        </w:rPr>
        <w:t>force</w:t>
      </w:r>
      <w:r>
        <w:rPr>
          <w:color w:val="231F20"/>
          <w:spacing w:val="3"/>
        </w:rPr>
        <w:t> </w:t>
      </w:r>
      <w:r>
        <w:rPr>
          <w:color w:val="231F20"/>
          <w:spacing w:val="-2"/>
        </w:rPr>
        <w:t>française</w:t>
      </w:r>
    </w:p>
    <w:p>
      <w:pPr>
        <w:pStyle w:val="BodyText"/>
      </w:pPr>
      <w:r>
        <w:rPr>
          <w:color w:val="231F20"/>
          <w:spacing w:val="-2"/>
        </w:rPr>
        <w:t>Licorne.</w:t>
      </w:r>
      <w:r>
        <w:rPr>
          <w:color w:val="231F20"/>
          <w:spacing w:val="-13"/>
        </w:rPr>
        <w:t> </w:t>
      </w:r>
      <w:r>
        <w:rPr>
          <w:color w:val="231F20"/>
          <w:spacing w:val="-2"/>
        </w:rPr>
        <w:t>Sans</w:t>
      </w:r>
      <w:r>
        <w:rPr>
          <w:color w:val="231F20"/>
          <w:spacing w:val="-13"/>
        </w:rPr>
        <w:t> </w:t>
      </w:r>
      <w:r>
        <w:rPr>
          <w:color w:val="231F20"/>
          <w:spacing w:val="-2"/>
        </w:rPr>
        <w:t>résultat.</w:t>
      </w:r>
    </w:p>
    <w:p>
      <w:pPr>
        <w:pStyle w:val="BodyText"/>
        <w:spacing w:before="120"/>
        <w:ind w:right="106" w:firstLine="283"/>
      </w:pPr>
      <w:r>
        <w:rPr>
          <w:color w:val="231F20"/>
        </w:rPr>
        <w:t>Le 20 décembre, Laurent Gbagbo, son épouse ainsi que 17 proches (puis 59, fin décembre), sont privés de visas d’entrée en Europe. Le lendemain,</w:t>
      </w:r>
      <w:r>
        <w:rPr>
          <w:color w:val="231F20"/>
          <w:spacing w:val="-5"/>
        </w:rPr>
        <w:t> </w:t>
      </w:r>
      <w:r>
        <w:rPr>
          <w:color w:val="231F20"/>
        </w:rPr>
        <w:t>ceux-ci</w:t>
      </w:r>
      <w:r>
        <w:rPr>
          <w:color w:val="231F20"/>
          <w:spacing w:val="-4"/>
        </w:rPr>
        <w:t> </w:t>
      </w:r>
      <w:r>
        <w:rPr>
          <w:color w:val="231F20"/>
        </w:rPr>
        <w:t>sont</w:t>
      </w:r>
      <w:r>
        <w:rPr>
          <w:color w:val="231F20"/>
          <w:spacing w:val="-7"/>
        </w:rPr>
        <w:t> </w:t>
      </w:r>
      <w:r>
        <w:rPr>
          <w:color w:val="231F20"/>
        </w:rPr>
        <w:t>interdits</w:t>
      </w:r>
      <w:r>
        <w:rPr>
          <w:color w:val="231F20"/>
          <w:spacing w:val="-4"/>
        </w:rPr>
        <w:t> </w:t>
      </w:r>
      <w:r>
        <w:rPr>
          <w:color w:val="231F20"/>
        </w:rPr>
        <w:t>de</w:t>
      </w:r>
      <w:r>
        <w:rPr>
          <w:color w:val="231F20"/>
          <w:spacing w:val="-7"/>
        </w:rPr>
        <w:t> </w:t>
      </w:r>
      <w:r>
        <w:rPr>
          <w:color w:val="231F20"/>
        </w:rPr>
        <w:t>voyager</w:t>
      </w:r>
      <w:r>
        <w:rPr>
          <w:color w:val="231F20"/>
          <w:spacing w:val="-5"/>
        </w:rPr>
        <w:t> </w:t>
      </w:r>
      <w:r>
        <w:rPr>
          <w:color w:val="231F20"/>
        </w:rPr>
        <w:t>aux</w:t>
      </w:r>
      <w:r>
        <w:rPr>
          <w:color w:val="231F20"/>
          <w:spacing w:val="-5"/>
        </w:rPr>
        <w:t> </w:t>
      </w:r>
      <w:r>
        <w:rPr>
          <w:color w:val="231F20"/>
        </w:rPr>
        <w:t>États-Unis.</w:t>
      </w:r>
    </w:p>
    <w:p>
      <w:pPr>
        <w:pStyle w:val="BodyText"/>
        <w:spacing w:before="120"/>
        <w:ind w:right="106" w:firstLine="283"/>
      </w:pPr>
      <w:r>
        <w:rPr>
          <w:color w:val="231F20"/>
        </w:rPr>
        <w:t>Le 22 décembre, la Banque mondiale annonce le gel des crédits </w:t>
      </w:r>
      <w:r>
        <w:rPr>
          <w:color w:val="231F20"/>
          <w:spacing w:val="-2"/>
        </w:rPr>
        <w:t>accordés</w:t>
      </w:r>
      <w:r>
        <w:rPr>
          <w:color w:val="231F20"/>
          <w:spacing w:val="-15"/>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Côte</w:t>
      </w:r>
      <w:r>
        <w:rPr>
          <w:color w:val="231F20"/>
          <w:spacing w:val="-13"/>
        </w:rPr>
        <w:t> </w:t>
      </w:r>
      <w:r>
        <w:rPr>
          <w:color w:val="231F20"/>
          <w:spacing w:val="-2"/>
        </w:rPr>
        <w:t>d’Ivoire.</w:t>
      </w:r>
      <w:r>
        <w:rPr>
          <w:color w:val="231F20"/>
          <w:spacing w:val="-13"/>
        </w:rPr>
        <w:t> </w:t>
      </w:r>
      <w:r>
        <w:rPr>
          <w:color w:val="231F20"/>
          <w:spacing w:val="-2"/>
        </w:rPr>
        <w:t>Le</w:t>
      </w:r>
      <w:r>
        <w:rPr>
          <w:color w:val="231F20"/>
          <w:spacing w:val="-13"/>
        </w:rPr>
        <w:t> </w:t>
      </w:r>
      <w:r>
        <w:rPr>
          <w:color w:val="231F20"/>
          <w:spacing w:val="-2"/>
        </w:rPr>
        <w:t>lendemain,</w:t>
      </w:r>
      <w:r>
        <w:rPr>
          <w:color w:val="231F20"/>
          <w:spacing w:val="-13"/>
        </w:rPr>
        <w:t> </w:t>
      </w:r>
      <w:r>
        <w:rPr>
          <w:color w:val="231F20"/>
          <w:spacing w:val="-2"/>
        </w:rPr>
        <w:t>sept</w:t>
      </w:r>
      <w:r>
        <w:rPr>
          <w:color w:val="231F20"/>
          <w:spacing w:val="-13"/>
        </w:rPr>
        <w:t> </w:t>
      </w:r>
      <w:r>
        <w:rPr>
          <w:color w:val="231F20"/>
          <w:spacing w:val="-2"/>
        </w:rPr>
        <w:t>ministres</w:t>
      </w:r>
      <w:r>
        <w:rPr>
          <w:color w:val="231F20"/>
          <w:spacing w:val="-13"/>
        </w:rPr>
        <w:t> </w:t>
      </w:r>
      <w:r>
        <w:rPr>
          <w:color w:val="231F20"/>
          <w:spacing w:val="-2"/>
        </w:rPr>
        <w:t>des</w:t>
      </w:r>
      <w:r>
        <w:rPr>
          <w:color w:val="231F20"/>
          <w:spacing w:val="-13"/>
        </w:rPr>
        <w:t> </w:t>
      </w:r>
      <w:r>
        <w:rPr>
          <w:color w:val="231F20"/>
          <w:spacing w:val="-2"/>
        </w:rPr>
        <w:t>Finances</w:t>
      </w:r>
      <w:r>
        <w:rPr>
          <w:color w:val="231F20"/>
          <w:spacing w:val="-13"/>
        </w:rPr>
        <w:t> </w:t>
      </w:r>
      <w:r>
        <w:rPr>
          <w:color w:val="231F20"/>
          <w:spacing w:val="-2"/>
        </w:rPr>
        <w:t>de </w:t>
      </w:r>
      <w:r>
        <w:rPr>
          <w:color w:val="231F20"/>
          <w:spacing w:val="-4"/>
        </w:rPr>
        <w:t>l’Union</w:t>
      </w:r>
      <w:r>
        <w:rPr>
          <w:color w:val="231F20"/>
          <w:spacing w:val="-6"/>
        </w:rPr>
        <w:t> </w:t>
      </w:r>
      <w:r>
        <w:rPr>
          <w:color w:val="231F20"/>
          <w:spacing w:val="-4"/>
        </w:rPr>
        <w:t>économique</w:t>
      </w:r>
      <w:r>
        <w:rPr>
          <w:color w:val="231F20"/>
          <w:spacing w:val="-9"/>
        </w:rPr>
        <w:t> </w:t>
      </w:r>
      <w:r>
        <w:rPr>
          <w:color w:val="231F20"/>
          <w:spacing w:val="-4"/>
        </w:rPr>
        <w:t>et</w:t>
      </w:r>
      <w:r>
        <w:rPr>
          <w:color w:val="231F20"/>
          <w:spacing w:val="-7"/>
        </w:rPr>
        <w:t> </w:t>
      </w:r>
      <w:r>
        <w:rPr>
          <w:color w:val="231F20"/>
          <w:spacing w:val="-4"/>
        </w:rPr>
        <w:t>monétaire</w:t>
      </w:r>
      <w:r>
        <w:rPr>
          <w:color w:val="231F20"/>
          <w:spacing w:val="-9"/>
        </w:rPr>
        <w:t> </w:t>
      </w:r>
      <w:r>
        <w:rPr>
          <w:color w:val="231F20"/>
          <w:spacing w:val="-4"/>
        </w:rPr>
        <w:t>Ouest-Africaine</w:t>
      </w:r>
      <w:r>
        <w:rPr>
          <w:color w:val="231F20"/>
          <w:spacing w:val="-6"/>
        </w:rPr>
        <w:t> </w:t>
      </w:r>
      <w:r>
        <w:rPr>
          <w:color w:val="231F20"/>
          <w:spacing w:val="-4"/>
        </w:rPr>
        <w:t>(UEMOA)</w:t>
      </w:r>
      <w:r>
        <w:rPr>
          <w:color w:val="231F20"/>
          <w:spacing w:val="-9"/>
        </w:rPr>
        <w:t> </w:t>
      </w:r>
      <w:r>
        <w:rPr>
          <w:color w:val="231F20"/>
          <w:spacing w:val="-4"/>
        </w:rPr>
        <w:t>demandent à</w:t>
      </w:r>
      <w:r>
        <w:rPr>
          <w:color w:val="231F20"/>
          <w:spacing w:val="-21"/>
        </w:rPr>
        <w:t> </w:t>
      </w:r>
      <w:r>
        <w:rPr>
          <w:color w:val="231F20"/>
          <w:spacing w:val="-4"/>
        </w:rPr>
        <w:t>la</w:t>
      </w:r>
      <w:r>
        <w:rPr>
          <w:color w:val="231F20"/>
          <w:spacing w:val="-19"/>
        </w:rPr>
        <w:t> </w:t>
      </w:r>
      <w:r>
        <w:rPr>
          <w:color w:val="231F20"/>
          <w:spacing w:val="-4"/>
        </w:rPr>
        <w:t>Banque</w:t>
      </w:r>
      <w:r>
        <w:rPr>
          <w:color w:val="231F20"/>
          <w:spacing w:val="-15"/>
        </w:rPr>
        <w:t> </w:t>
      </w:r>
      <w:r>
        <w:rPr>
          <w:color w:val="231F20"/>
          <w:spacing w:val="-4"/>
        </w:rPr>
        <w:t>centrale</w:t>
      </w:r>
      <w:r>
        <w:rPr>
          <w:color w:val="231F20"/>
          <w:spacing w:val="-19"/>
        </w:rPr>
        <w:t> </w:t>
      </w:r>
      <w:r>
        <w:rPr>
          <w:color w:val="231F20"/>
          <w:spacing w:val="-4"/>
        </w:rPr>
        <w:t>des</w:t>
      </w:r>
      <w:r>
        <w:rPr>
          <w:color w:val="231F20"/>
          <w:spacing w:val="-17"/>
        </w:rPr>
        <w:t> </w:t>
      </w:r>
      <w:r>
        <w:rPr>
          <w:color w:val="231F20"/>
          <w:spacing w:val="-4"/>
        </w:rPr>
        <w:t>Etats</w:t>
      </w:r>
      <w:r>
        <w:rPr>
          <w:color w:val="231F20"/>
          <w:spacing w:val="-18"/>
        </w:rPr>
        <w:t> </w:t>
      </w:r>
      <w:r>
        <w:rPr>
          <w:color w:val="231F20"/>
          <w:spacing w:val="-4"/>
        </w:rPr>
        <w:t>d’Afrique</w:t>
      </w:r>
      <w:r>
        <w:rPr>
          <w:color w:val="231F20"/>
          <w:spacing w:val="-19"/>
        </w:rPr>
        <w:t> </w:t>
      </w:r>
      <w:r>
        <w:rPr>
          <w:color w:val="231F20"/>
          <w:spacing w:val="-4"/>
        </w:rPr>
        <w:t>de</w:t>
      </w:r>
      <w:r>
        <w:rPr>
          <w:color w:val="231F20"/>
          <w:spacing w:val="-20"/>
        </w:rPr>
        <w:t> </w:t>
      </w:r>
      <w:r>
        <w:rPr>
          <w:color w:val="231F20"/>
          <w:spacing w:val="-4"/>
        </w:rPr>
        <w:t>l’Ouest</w:t>
      </w:r>
      <w:r>
        <w:rPr>
          <w:color w:val="231F20"/>
          <w:spacing w:val="-17"/>
        </w:rPr>
        <w:t> </w:t>
      </w:r>
      <w:r>
        <w:rPr>
          <w:color w:val="231F20"/>
          <w:spacing w:val="-4"/>
        </w:rPr>
        <w:t>(</w:t>
      </w:r>
      <w:r>
        <w:rPr>
          <w:color w:val="231F20"/>
          <w:spacing w:val="-4"/>
          <w:sz w:val="28"/>
        </w:rPr>
        <w:t>BCEAO</w:t>
      </w:r>
      <w:r>
        <w:rPr>
          <w:color w:val="231F20"/>
          <w:spacing w:val="-4"/>
        </w:rPr>
        <w:t>)</w:t>
      </w:r>
      <w:r>
        <w:rPr>
          <w:color w:val="231F20"/>
          <w:spacing w:val="-20"/>
        </w:rPr>
        <w:t> </w:t>
      </w:r>
      <w:r>
        <w:rPr>
          <w:color w:val="231F20"/>
          <w:spacing w:val="-4"/>
        </w:rPr>
        <w:t>d’autoriser</w:t>
      </w:r>
    </w:p>
    <w:p>
      <w:pPr>
        <w:pStyle w:val="BodyText"/>
        <w:ind w:right="112"/>
      </w:pPr>
      <w:r>
        <w:rPr>
          <w:color w:val="231F20"/>
        </w:rPr>
        <w:t>«</w:t>
      </w:r>
      <w:r>
        <w:rPr>
          <w:color w:val="231F20"/>
          <w:spacing w:val="-15"/>
        </w:rPr>
        <w:t> </w:t>
      </w:r>
      <w:r>
        <w:rPr>
          <w:color w:val="231F20"/>
        </w:rPr>
        <w:t>uniquement</w:t>
      </w:r>
      <w:r>
        <w:rPr>
          <w:color w:val="231F20"/>
          <w:spacing w:val="-6"/>
        </w:rPr>
        <w:t> </w:t>
      </w:r>
      <w:r>
        <w:rPr>
          <w:color w:val="231F20"/>
        </w:rPr>
        <w:t>les représentants du président ivoirien légitimement élu, Alassane</w:t>
      </w:r>
      <w:r>
        <w:rPr>
          <w:color w:val="231F20"/>
          <w:spacing w:val="-7"/>
        </w:rPr>
        <w:t> </w:t>
      </w:r>
      <w:r>
        <w:rPr>
          <w:color w:val="231F20"/>
        </w:rPr>
        <w:t>Ouattara</w:t>
      </w:r>
      <w:r>
        <w:rPr>
          <w:color w:val="231F20"/>
          <w:spacing w:val="-6"/>
        </w:rPr>
        <w:t> </w:t>
      </w:r>
      <w:r>
        <w:rPr>
          <w:color w:val="231F20"/>
        </w:rPr>
        <w:t>»,</w:t>
      </w:r>
      <w:r>
        <w:rPr>
          <w:color w:val="231F20"/>
          <w:spacing w:val="-6"/>
        </w:rPr>
        <w:t> </w:t>
      </w:r>
      <w:r>
        <w:rPr>
          <w:color w:val="231F20"/>
        </w:rPr>
        <w:t>à</w:t>
      </w:r>
      <w:r>
        <w:rPr>
          <w:color w:val="231F20"/>
          <w:spacing w:val="-7"/>
        </w:rPr>
        <w:t> </w:t>
      </w:r>
      <w:r>
        <w:rPr>
          <w:color w:val="231F20"/>
        </w:rPr>
        <w:t>gérer</w:t>
      </w:r>
      <w:r>
        <w:rPr>
          <w:color w:val="231F20"/>
          <w:spacing w:val="-6"/>
        </w:rPr>
        <w:t> </w:t>
      </w:r>
      <w:r>
        <w:rPr>
          <w:color w:val="231F20"/>
        </w:rPr>
        <w:t>les</w:t>
      </w:r>
      <w:r>
        <w:rPr>
          <w:color w:val="231F20"/>
          <w:spacing w:val="-6"/>
        </w:rPr>
        <w:t> </w:t>
      </w:r>
      <w:r>
        <w:rPr>
          <w:color w:val="231F20"/>
        </w:rPr>
        <w:t>comptes</w:t>
      </w:r>
      <w:r>
        <w:rPr>
          <w:color w:val="231F20"/>
          <w:spacing w:val="-8"/>
        </w:rPr>
        <w:t> </w:t>
      </w:r>
      <w:r>
        <w:rPr>
          <w:color w:val="231F20"/>
        </w:rPr>
        <w:t>du</w:t>
      </w:r>
      <w:r>
        <w:rPr>
          <w:color w:val="231F20"/>
          <w:spacing w:val="-8"/>
        </w:rPr>
        <w:t> </w:t>
      </w:r>
      <w:r>
        <w:rPr>
          <w:color w:val="231F20"/>
        </w:rPr>
        <w:t>pays.</w:t>
      </w:r>
    </w:p>
    <w:p>
      <w:pPr>
        <w:pStyle w:val="BodyText"/>
        <w:spacing w:before="120"/>
        <w:ind w:right="107" w:firstLine="283"/>
      </w:pPr>
      <w:r>
        <w:rPr>
          <w:color w:val="231F20"/>
        </w:rPr>
        <w:t>La France actionne les ministres des Finances de L’UEMOA</w:t>
      </w:r>
      <w:r>
        <w:rPr>
          <w:color w:val="231F20"/>
          <w:spacing w:val="-12"/>
        </w:rPr>
        <w:t> </w:t>
      </w:r>
      <w:r>
        <w:rPr>
          <w:color w:val="231F20"/>
        </w:rPr>
        <w:t>qui annoncent</w:t>
      </w:r>
      <w:r>
        <w:rPr>
          <w:color w:val="231F20"/>
          <w:spacing w:val="-14"/>
        </w:rPr>
        <w:t> </w:t>
      </w:r>
      <w:r>
        <w:rPr>
          <w:color w:val="231F20"/>
        </w:rPr>
        <w:t>le</w:t>
      </w:r>
      <w:r>
        <w:rPr>
          <w:color w:val="231F20"/>
          <w:spacing w:val="-12"/>
        </w:rPr>
        <w:t> </w:t>
      </w:r>
      <w:r>
        <w:rPr>
          <w:color w:val="231F20"/>
        </w:rPr>
        <w:t>23</w:t>
      </w:r>
      <w:r>
        <w:rPr>
          <w:color w:val="231F20"/>
          <w:spacing w:val="-12"/>
        </w:rPr>
        <w:t> </w:t>
      </w:r>
      <w:r>
        <w:rPr>
          <w:color w:val="231F20"/>
        </w:rPr>
        <w:t>décembre,</w:t>
      </w:r>
      <w:r>
        <w:rPr>
          <w:color w:val="231F20"/>
          <w:spacing w:val="-12"/>
        </w:rPr>
        <w:t> </w:t>
      </w:r>
      <w:r>
        <w:rPr>
          <w:color w:val="231F20"/>
        </w:rPr>
        <w:t>au</w:t>
      </w:r>
      <w:r>
        <w:rPr>
          <w:color w:val="231F20"/>
          <w:spacing w:val="-12"/>
        </w:rPr>
        <w:t> </w:t>
      </w:r>
      <w:r>
        <w:rPr>
          <w:color w:val="231F20"/>
        </w:rPr>
        <w:t>sortir</w:t>
      </w:r>
      <w:r>
        <w:rPr>
          <w:color w:val="231F20"/>
          <w:spacing w:val="-15"/>
        </w:rPr>
        <w:t> </w:t>
      </w:r>
      <w:r>
        <w:rPr>
          <w:color w:val="231F20"/>
        </w:rPr>
        <w:t>de</w:t>
      </w:r>
      <w:r>
        <w:rPr>
          <w:color w:val="231F20"/>
          <w:spacing w:val="-12"/>
        </w:rPr>
        <w:t> </w:t>
      </w:r>
      <w:r>
        <w:rPr>
          <w:color w:val="231F20"/>
        </w:rPr>
        <w:t>leur</w:t>
      </w:r>
      <w:r>
        <w:rPr>
          <w:color w:val="231F20"/>
          <w:spacing w:val="-15"/>
        </w:rPr>
        <w:t> </w:t>
      </w:r>
      <w:r>
        <w:rPr>
          <w:color w:val="231F20"/>
        </w:rPr>
        <w:t>rencontre</w:t>
      </w:r>
      <w:r>
        <w:rPr>
          <w:color w:val="231F20"/>
          <w:spacing w:val="-12"/>
        </w:rPr>
        <w:t> </w:t>
      </w:r>
      <w:r>
        <w:rPr>
          <w:color w:val="231F20"/>
        </w:rPr>
        <w:t>en</w:t>
      </w:r>
      <w:r>
        <w:rPr>
          <w:color w:val="231F20"/>
          <w:spacing w:val="-12"/>
        </w:rPr>
        <w:t> </w:t>
      </w:r>
      <w:r>
        <w:rPr>
          <w:color w:val="231F20"/>
        </w:rPr>
        <w:t>Guinée</w:t>
      </w:r>
      <w:r>
        <w:rPr>
          <w:color w:val="231F20"/>
          <w:spacing w:val="-15"/>
        </w:rPr>
        <w:t> </w:t>
      </w:r>
      <w:r>
        <w:rPr>
          <w:color w:val="231F20"/>
        </w:rPr>
        <w:t>Bissau, ne reconnaître désormais que la signature d’Alassane Ouattara pour le compte de la Côte d’Ivoire.</w:t>
      </w:r>
    </w:p>
    <w:p>
      <w:pPr>
        <w:pStyle w:val="BodyText"/>
        <w:spacing w:before="120"/>
        <w:ind w:right="103" w:firstLine="283"/>
      </w:pPr>
      <w:r>
        <w:rPr>
          <w:color w:val="231F20"/>
        </w:rPr>
        <w:t>En</w:t>
      </w:r>
      <w:r>
        <w:rPr>
          <w:color w:val="231F20"/>
          <w:spacing w:val="-15"/>
        </w:rPr>
        <w:t> </w:t>
      </w:r>
      <w:r>
        <w:rPr>
          <w:color w:val="231F20"/>
        </w:rPr>
        <w:t>Côte</w:t>
      </w:r>
      <w:r>
        <w:rPr>
          <w:color w:val="231F20"/>
          <w:spacing w:val="-15"/>
        </w:rPr>
        <w:t> </w:t>
      </w:r>
      <w:r>
        <w:rPr>
          <w:color w:val="231F20"/>
        </w:rPr>
        <w:t>d’Ivoire,</w:t>
      </w:r>
      <w:r>
        <w:rPr>
          <w:color w:val="231F20"/>
          <w:spacing w:val="-15"/>
        </w:rPr>
        <w:t> </w:t>
      </w:r>
      <w:r>
        <w:rPr>
          <w:color w:val="231F20"/>
        </w:rPr>
        <w:t>le</w:t>
      </w:r>
      <w:r>
        <w:rPr>
          <w:color w:val="231F20"/>
          <w:spacing w:val="-15"/>
        </w:rPr>
        <w:t> </w:t>
      </w:r>
      <w:r>
        <w:rPr>
          <w:color w:val="231F20"/>
        </w:rPr>
        <w:t>doute</w:t>
      </w:r>
      <w:r>
        <w:rPr>
          <w:color w:val="231F20"/>
          <w:spacing w:val="-15"/>
        </w:rPr>
        <w:t> </w:t>
      </w:r>
      <w:r>
        <w:rPr>
          <w:color w:val="231F20"/>
        </w:rPr>
        <w:t>n’est</w:t>
      </w:r>
      <w:r>
        <w:rPr>
          <w:color w:val="231F20"/>
          <w:spacing w:val="-15"/>
        </w:rPr>
        <w:t> </w:t>
      </w:r>
      <w:r>
        <w:rPr>
          <w:color w:val="231F20"/>
        </w:rPr>
        <w:t>plus</w:t>
      </w:r>
      <w:r>
        <w:rPr>
          <w:color w:val="231F20"/>
          <w:spacing w:val="-15"/>
        </w:rPr>
        <w:t> </w:t>
      </w:r>
      <w:r>
        <w:rPr>
          <w:color w:val="231F20"/>
        </w:rPr>
        <w:t>permis</w:t>
      </w:r>
      <w:r>
        <w:rPr>
          <w:color w:val="231F20"/>
          <w:spacing w:val="-15"/>
        </w:rPr>
        <w:t> </w:t>
      </w:r>
      <w:r>
        <w:rPr>
          <w:color w:val="231F20"/>
        </w:rPr>
        <w:t>:</w:t>
      </w:r>
      <w:r>
        <w:rPr>
          <w:color w:val="231F20"/>
          <w:spacing w:val="-15"/>
        </w:rPr>
        <w:t> </w:t>
      </w:r>
      <w:r>
        <w:rPr>
          <w:color w:val="231F20"/>
        </w:rPr>
        <w:t>tout</w:t>
      </w:r>
      <w:r>
        <w:rPr>
          <w:color w:val="231F20"/>
          <w:spacing w:val="-15"/>
        </w:rPr>
        <w:t> </w:t>
      </w:r>
      <w:r>
        <w:rPr>
          <w:color w:val="231F20"/>
        </w:rPr>
        <w:t>le</w:t>
      </w:r>
      <w:r>
        <w:rPr>
          <w:color w:val="231F20"/>
          <w:spacing w:val="-15"/>
        </w:rPr>
        <w:t> </w:t>
      </w:r>
      <w:r>
        <w:rPr>
          <w:color w:val="231F20"/>
        </w:rPr>
        <w:t>monde</w:t>
      </w:r>
      <w:r>
        <w:rPr>
          <w:color w:val="231F20"/>
          <w:spacing w:val="-15"/>
        </w:rPr>
        <w:t> </w:t>
      </w:r>
      <w:r>
        <w:rPr>
          <w:color w:val="231F20"/>
        </w:rPr>
        <w:t>s’attend</w:t>
      </w:r>
      <w:r>
        <w:rPr>
          <w:color w:val="231F20"/>
          <w:spacing w:val="-15"/>
        </w:rPr>
        <w:t> </w:t>
      </w:r>
      <w:r>
        <w:rPr>
          <w:color w:val="231F20"/>
        </w:rPr>
        <w:t>à une guerre entre les Forces fidèles à Gbagbo et celles issues de la </w:t>
      </w:r>
      <w:r>
        <w:rPr>
          <w:color w:val="231F20"/>
          <w:spacing w:val="-2"/>
        </w:rPr>
        <w:t>rébellion.</w:t>
      </w:r>
      <w:r>
        <w:rPr>
          <w:color w:val="231F20"/>
          <w:spacing w:val="-7"/>
        </w:rPr>
        <w:t> </w:t>
      </w:r>
      <w:r>
        <w:rPr>
          <w:color w:val="231F20"/>
          <w:spacing w:val="-2"/>
        </w:rPr>
        <w:t>Depuis</w:t>
      </w:r>
      <w:r>
        <w:rPr>
          <w:color w:val="231F20"/>
          <w:spacing w:val="-8"/>
        </w:rPr>
        <w:t> </w:t>
      </w:r>
      <w:r>
        <w:rPr>
          <w:color w:val="231F20"/>
          <w:spacing w:val="-2"/>
        </w:rPr>
        <w:t>mi-janvier,</w:t>
      </w:r>
      <w:r>
        <w:rPr>
          <w:color w:val="231F20"/>
          <w:spacing w:val="-6"/>
        </w:rPr>
        <w:t> </w:t>
      </w:r>
      <w:r>
        <w:rPr>
          <w:color w:val="231F20"/>
          <w:spacing w:val="-2"/>
        </w:rPr>
        <w:t>les</w:t>
      </w:r>
      <w:r>
        <w:rPr>
          <w:color w:val="231F20"/>
          <w:spacing w:val="-5"/>
        </w:rPr>
        <w:t> </w:t>
      </w:r>
      <w:r>
        <w:rPr>
          <w:color w:val="231F20"/>
          <w:spacing w:val="-2"/>
        </w:rPr>
        <w:t>salles</w:t>
      </w:r>
      <w:r>
        <w:rPr>
          <w:color w:val="231F20"/>
          <w:spacing w:val="-8"/>
        </w:rPr>
        <w:t> </w:t>
      </w:r>
      <w:r>
        <w:rPr>
          <w:color w:val="231F20"/>
          <w:spacing w:val="-2"/>
        </w:rPr>
        <w:t>de</w:t>
      </w:r>
      <w:r>
        <w:rPr>
          <w:color w:val="231F20"/>
          <w:spacing w:val="-9"/>
        </w:rPr>
        <w:t> </w:t>
      </w:r>
      <w:r>
        <w:rPr>
          <w:color w:val="231F20"/>
          <w:spacing w:val="-2"/>
        </w:rPr>
        <w:t>départ</w:t>
      </w:r>
      <w:r>
        <w:rPr>
          <w:color w:val="231F20"/>
          <w:spacing w:val="-7"/>
        </w:rPr>
        <w:t> </w:t>
      </w:r>
      <w:r>
        <w:rPr>
          <w:color w:val="231F20"/>
          <w:spacing w:val="-2"/>
        </w:rPr>
        <w:t>de</w:t>
      </w:r>
      <w:r>
        <w:rPr>
          <w:color w:val="231F20"/>
          <w:spacing w:val="-9"/>
        </w:rPr>
        <w:t> </w:t>
      </w:r>
      <w:r>
        <w:rPr>
          <w:color w:val="231F20"/>
          <w:spacing w:val="-2"/>
        </w:rPr>
        <w:t>l’aéroport</w:t>
      </w:r>
      <w:r>
        <w:rPr>
          <w:color w:val="231F20"/>
          <w:spacing w:val="-6"/>
        </w:rPr>
        <w:t> </w:t>
      </w:r>
      <w:r>
        <w:rPr>
          <w:color w:val="231F20"/>
          <w:spacing w:val="-2"/>
        </w:rPr>
        <w:t>d’Abidjan </w:t>
      </w:r>
      <w:r>
        <w:rPr>
          <w:color w:val="231F20"/>
        </w:rPr>
        <w:t>sont</w:t>
      </w:r>
      <w:r>
        <w:rPr>
          <w:color w:val="231F20"/>
          <w:spacing w:val="-13"/>
        </w:rPr>
        <w:t> </w:t>
      </w:r>
      <w:r>
        <w:rPr>
          <w:color w:val="231F20"/>
        </w:rPr>
        <w:t>envahies</w:t>
      </w:r>
      <w:r>
        <w:rPr>
          <w:color w:val="231F20"/>
          <w:spacing w:val="-12"/>
        </w:rPr>
        <w:t> </w:t>
      </w:r>
      <w:r>
        <w:rPr>
          <w:color w:val="231F20"/>
        </w:rPr>
        <w:t>par</w:t>
      </w:r>
      <w:r>
        <w:rPr>
          <w:color w:val="231F20"/>
          <w:spacing w:val="-14"/>
        </w:rPr>
        <w:t> </w:t>
      </w:r>
      <w:r>
        <w:rPr>
          <w:color w:val="231F20"/>
        </w:rPr>
        <w:t>des</w:t>
      </w:r>
      <w:r>
        <w:rPr>
          <w:color w:val="231F20"/>
          <w:spacing w:val="-12"/>
        </w:rPr>
        <w:t> </w:t>
      </w:r>
      <w:r>
        <w:rPr>
          <w:color w:val="231F20"/>
        </w:rPr>
        <w:t>Européens,</w:t>
      </w:r>
      <w:r>
        <w:rPr>
          <w:color w:val="231F20"/>
          <w:spacing w:val="-14"/>
        </w:rPr>
        <w:t> </w:t>
      </w:r>
      <w:r>
        <w:rPr>
          <w:color w:val="231F20"/>
        </w:rPr>
        <w:t>des</w:t>
      </w:r>
      <w:r>
        <w:rPr>
          <w:color w:val="231F20"/>
          <w:spacing w:val="-12"/>
        </w:rPr>
        <w:t> </w:t>
      </w:r>
      <w:r>
        <w:rPr>
          <w:color w:val="231F20"/>
        </w:rPr>
        <w:t>familles</w:t>
      </w:r>
      <w:r>
        <w:rPr>
          <w:color w:val="231F20"/>
          <w:spacing w:val="-13"/>
        </w:rPr>
        <w:t> </w:t>
      </w:r>
      <w:r>
        <w:rPr>
          <w:color w:val="231F20"/>
        </w:rPr>
        <w:t>de</w:t>
      </w:r>
      <w:r>
        <w:rPr>
          <w:color w:val="231F20"/>
          <w:spacing w:val="-12"/>
        </w:rPr>
        <w:t> </w:t>
      </w:r>
      <w:r>
        <w:rPr>
          <w:color w:val="231F20"/>
        </w:rPr>
        <w:t>commerçants</w:t>
      </w:r>
      <w:r>
        <w:rPr>
          <w:color w:val="231F20"/>
          <w:spacing w:val="-13"/>
        </w:rPr>
        <w:t> </w:t>
      </w:r>
      <w:r>
        <w:rPr>
          <w:color w:val="231F20"/>
        </w:rPr>
        <w:t>libanais, des Ivoiriens aisés et disposant d’un point de chute à l’étranger, de préférence en France</w:t>
      </w:r>
      <w:r>
        <w:rPr>
          <w:color w:val="231F20"/>
          <w:spacing w:val="-15"/>
        </w:rPr>
        <w:t> </w:t>
      </w:r>
      <w:r>
        <w:rPr>
          <w:color w:val="231F20"/>
        </w:rPr>
        <w:t>; les proches de Ouattara préfèrent la destination </w:t>
      </w:r>
      <w:r>
        <w:rPr>
          <w:color w:val="231F20"/>
          <w:spacing w:val="-6"/>
        </w:rPr>
        <w:t>France ; le</w:t>
      </w:r>
      <w:r>
        <w:rPr>
          <w:color w:val="231F20"/>
          <w:spacing w:val="-8"/>
        </w:rPr>
        <w:t> </w:t>
      </w:r>
      <w:r>
        <w:rPr>
          <w:color w:val="231F20"/>
          <w:spacing w:val="-6"/>
        </w:rPr>
        <w:t>Togo et le</w:t>
      </w:r>
      <w:r>
        <w:rPr>
          <w:color w:val="231F20"/>
          <w:spacing w:val="-8"/>
        </w:rPr>
        <w:t> </w:t>
      </w:r>
      <w:r>
        <w:rPr>
          <w:color w:val="231F20"/>
          <w:spacing w:val="-6"/>
        </w:rPr>
        <w:t>Ghana sont les</w:t>
      </w:r>
      <w:r>
        <w:rPr>
          <w:color w:val="231F20"/>
          <w:spacing w:val="-7"/>
        </w:rPr>
        <w:t> </w:t>
      </w:r>
      <w:r>
        <w:rPr>
          <w:color w:val="231F20"/>
          <w:spacing w:val="-6"/>
        </w:rPr>
        <w:t>points</w:t>
      </w:r>
      <w:r>
        <w:rPr>
          <w:color w:val="231F20"/>
          <w:spacing w:val="-7"/>
        </w:rPr>
        <w:t> </w:t>
      </w:r>
      <w:r>
        <w:rPr>
          <w:color w:val="231F20"/>
          <w:spacing w:val="-6"/>
        </w:rPr>
        <w:t>de</w:t>
      </w:r>
      <w:r>
        <w:rPr>
          <w:color w:val="231F20"/>
          <w:spacing w:val="-8"/>
        </w:rPr>
        <w:t> </w:t>
      </w:r>
      <w:r>
        <w:rPr>
          <w:color w:val="231F20"/>
          <w:spacing w:val="-6"/>
        </w:rPr>
        <w:t>chute</w:t>
      </w:r>
      <w:r>
        <w:rPr>
          <w:color w:val="231F20"/>
          <w:spacing w:val="-9"/>
        </w:rPr>
        <w:t> </w:t>
      </w:r>
      <w:r>
        <w:rPr>
          <w:color w:val="231F20"/>
          <w:spacing w:val="-6"/>
        </w:rPr>
        <w:t>des épouses</w:t>
      </w:r>
      <w:r>
        <w:rPr>
          <w:color w:val="231F20"/>
          <w:spacing w:val="-7"/>
        </w:rPr>
        <w:t> </w:t>
      </w:r>
      <w:r>
        <w:rPr>
          <w:color w:val="231F20"/>
          <w:spacing w:val="-6"/>
        </w:rPr>
        <w:t>et enfants </w:t>
      </w:r>
      <w:r>
        <w:rPr>
          <w:color w:val="231F20"/>
        </w:rPr>
        <w:t>des hommes proches de Gbagbo. De nombreux autres ivoiriens moins fortunés ou sans argent fuient au village.</w:t>
      </w:r>
    </w:p>
    <w:p>
      <w:pPr>
        <w:pStyle w:val="BodyText"/>
        <w:spacing w:before="121"/>
        <w:ind w:right="105" w:firstLine="283"/>
      </w:pPr>
      <w:r>
        <w:rPr>
          <w:color w:val="231F20"/>
        </w:rPr>
        <w:t>Le 14 janvier 2011, l’UE gèle les avoirs du président sortant, de 85 membres de son camp ainsi que 11 sociétés d’État</w:t>
      </w:r>
      <w:r>
        <w:rPr>
          <w:color w:val="231F20"/>
          <w:spacing w:val="-14"/>
        </w:rPr>
        <w:t> </w:t>
      </w:r>
      <w:r>
        <w:rPr>
          <w:color w:val="231F20"/>
        </w:rPr>
        <w:t>: la liste est dressée depuis</w:t>
      </w:r>
      <w:r>
        <w:rPr>
          <w:color w:val="231F20"/>
          <w:spacing w:val="-14"/>
        </w:rPr>
        <w:t> </w:t>
      </w:r>
      <w:r>
        <w:rPr>
          <w:color w:val="231F20"/>
        </w:rPr>
        <w:t>l’hôtel</w:t>
      </w:r>
      <w:r>
        <w:rPr>
          <w:color w:val="231F20"/>
          <w:spacing w:val="-13"/>
        </w:rPr>
        <w:t> </w:t>
      </w:r>
      <w:r>
        <w:rPr>
          <w:color w:val="231F20"/>
        </w:rPr>
        <w:t>du</w:t>
      </w:r>
      <w:r>
        <w:rPr>
          <w:color w:val="231F20"/>
          <w:spacing w:val="-11"/>
        </w:rPr>
        <w:t> </w:t>
      </w:r>
      <w:r>
        <w:rPr>
          <w:color w:val="231F20"/>
        </w:rPr>
        <w:t>Golf,</w:t>
      </w:r>
      <w:r>
        <w:rPr>
          <w:color w:val="231F20"/>
          <w:spacing w:val="-14"/>
        </w:rPr>
        <w:t> </w:t>
      </w:r>
      <w:r>
        <w:rPr>
          <w:color w:val="231F20"/>
        </w:rPr>
        <w:t>«</w:t>
      </w:r>
      <w:r>
        <w:rPr>
          <w:color w:val="231F20"/>
          <w:spacing w:val="-11"/>
        </w:rPr>
        <w:t> </w:t>
      </w:r>
      <w:r>
        <w:rPr>
          <w:color w:val="231F20"/>
        </w:rPr>
        <w:t>siège</w:t>
      </w:r>
      <w:r>
        <w:rPr>
          <w:color w:val="231F20"/>
          <w:spacing w:val="-12"/>
        </w:rPr>
        <w:t> </w:t>
      </w:r>
      <w:r>
        <w:rPr>
          <w:color w:val="231F20"/>
        </w:rPr>
        <w:t>»</w:t>
      </w:r>
      <w:r>
        <w:rPr>
          <w:color w:val="231F20"/>
          <w:spacing w:val="-12"/>
        </w:rPr>
        <w:t> </w:t>
      </w:r>
      <w:r>
        <w:rPr>
          <w:color w:val="231F20"/>
        </w:rPr>
        <w:t>du</w:t>
      </w:r>
      <w:r>
        <w:rPr>
          <w:color w:val="231F20"/>
          <w:spacing w:val="-12"/>
        </w:rPr>
        <w:t> </w:t>
      </w:r>
      <w:r>
        <w:rPr>
          <w:color w:val="231F20"/>
        </w:rPr>
        <w:t>gouvernement</w:t>
      </w:r>
      <w:r>
        <w:rPr>
          <w:color w:val="231F20"/>
          <w:spacing w:val="-12"/>
        </w:rPr>
        <w:t> </w:t>
      </w:r>
      <w:r>
        <w:rPr>
          <w:color w:val="231F20"/>
        </w:rPr>
        <w:t>d’Alassane</w:t>
      </w:r>
      <w:r>
        <w:rPr>
          <w:color w:val="231F20"/>
          <w:spacing w:val="-12"/>
        </w:rPr>
        <w:t> </w:t>
      </w:r>
      <w:r>
        <w:rPr>
          <w:color w:val="231F20"/>
        </w:rPr>
        <w:t>Ouattara.</w:t>
      </w:r>
    </w:p>
    <w:p>
      <w:pPr>
        <w:pStyle w:val="BodyText"/>
        <w:spacing w:before="120"/>
        <w:ind w:right="102" w:firstLine="283"/>
      </w:pPr>
      <w:r>
        <w:rPr>
          <w:color w:val="231F20"/>
        </w:rPr>
        <w:t>La stratégie d’étrangler financièrement Gbagbo se poursuit le 24 </w:t>
      </w:r>
      <w:r>
        <w:rPr>
          <w:color w:val="231F20"/>
          <w:spacing w:val="-2"/>
        </w:rPr>
        <w:t>janvier</w:t>
      </w:r>
      <w:r>
        <w:rPr>
          <w:color w:val="231F20"/>
          <w:spacing w:val="-13"/>
        </w:rPr>
        <w:t> </w:t>
      </w:r>
      <w:r>
        <w:rPr>
          <w:color w:val="231F20"/>
          <w:spacing w:val="-2"/>
        </w:rPr>
        <w:t>:</w:t>
      </w:r>
      <w:r>
        <w:rPr>
          <w:color w:val="231F20"/>
          <w:spacing w:val="-4"/>
        </w:rPr>
        <w:t> </w:t>
      </w:r>
      <w:r>
        <w:rPr>
          <w:color w:val="231F20"/>
          <w:spacing w:val="-2"/>
        </w:rPr>
        <w:t>Alassane</w:t>
      </w:r>
      <w:r>
        <w:rPr>
          <w:color w:val="231F20"/>
          <w:spacing w:val="-4"/>
        </w:rPr>
        <w:t> </w:t>
      </w:r>
      <w:r>
        <w:rPr>
          <w:color w:val="231F20"/>
          <w:spacing w:val="-2"/>
        </w:rPr>
        <w:t>Ouattara</w:t>
      </w:r>
      <w:r>
        <w:rPr>
          <w:color w:val="231F20"/>
          <w:spacing w:val="-5"/>
        </w:rPr>
        <w:t> </w:t>
      </w:r>
      <w:r>
        <w:rPr>
          <w:color w:val="231F20"/>
          <w:spacing w:val="-2"/>
        </w:rPr>
        <w:t>obtient</w:t>
      </w:r>
      <w:r>
        <w:rPr>
          <w:color w:val="231F20"/>
          <w:spacing w:val="-4"/>
        </w:rPr>
        <w:t> </w:t>
      </w:r>
      <w:r>
        <w:rPr>
          <w:color w:val="231F20"/>
          <w:spacing w:val="-2"/>
        </w:rPr>
        <w:t>des</w:t>
      </w:r>
      <w:r>
        <w:rPr>
          <w:color w:val="231F20"/>
          <w:spacing w:val="-6"/>
        </w:rPr>
        <w:t> </w:t>
      </w:r>
      <w:r>
        <w:rPr>
          <w:color w:val="231F20"/>
          <w:spacing w:val="-2"/>
        </w:rPr>
        <w:t>grands</w:t>
      </w:r>
      <w:r>
        <w:rPr>
          <w:color w:val="231F20"/>
          <w:spacing w:val="-6"/>
        </w:rPr>
        <w:t> </w:t>
      </w:r>
      <w:r>
        <w:rPr>
          <w:color w:val="231F20"/>
          <w:spacing w:val="-2"/>
        </w:rPr>
        <w:t>négociants</w:t>
      </w:r>
      <w:r>
        <w:rPr>
          <w:color w:val="231F20"/>
          <w:spacing w:val="-6"/>
        </w:rPr>
        <w:t> </w:t>
      </w:r>
      <w:r>
        <w:rPr>
          <w:color w:val="231F20"/>
          <w:spacing w:val="-2"/>
        </w:rPr>
        <w:t>et</w:t>
      </w:r>
      <w:r>
        <w:rPr>
          <w:color w:val="231F20"/>
          <w:spacing w:val="-5"/>
        </w:rPr>
        <w:t> </w:t>
      </w:r>
      <w:r>
        <w:rPr>
          <w:color w:val="231F20"/>
          <w:spacing w:val="-2"/>
        </w:rPr>
        <w:t>chocolatiers l’arrêt</w:t>
      </w:r>
      <w:r>
        <w:rPr>
          <w:color w:val="231F20"/>
          <w:spacing w:val="-12"/>
        </w:rPr>
        <w:t> </w:t>
      </w:r>
      <w:r>
        <w:rPr>
          <w:color w:val="231F20"/>
          <w:spacing w:val="-2"/>
        </w:rPr>
        <w:t>des</w:t>
      </w:r>
      <w:r>
        <w:rPr>
          <w:color w:val="231F20"/>
          <w:spacing w:val="-10"/>
        </w:rPr>
        <w:t> </w:t>
      </w:r>
      <w:r>
        <w:rPr>
          <w:color w:val="231F20"/>
          <w:spacing w:val="-2"/>
        </w:rPr>
        <w:t>exportations</w:t>
      </w:r>
      <w:r>
        <w:rPr>
          <w:color w:val="231F20"/>
          <w:spacing w:val="-12"/>
        </w:rPr>
        <w:t> </w:t>
      </w:r>
      <w:r>
        <w:rPr>
          <w:color w:val="231F20"/>
          <w:spacing w:val="-2"/>
        </w:rPr>
        <w:t>de</w:t>
      </w:r>
      <w:r>
        <w:rPr>
          <w:color w:val="231F20"/>
          <w:spacing w:val="-9"/>
        </w:rPr>
        <w:t> </w:t>
      </w:r>
      <w:r>
        <w:rPr>
          <w:color w:val="231F20"/>
          <w:spacing w:val="-2"/>
        </w:rPr>
        <w:t>cacao</w:t>
      </w:r>
      <w:r>
        <w:rPr>
          <w:color w:val="231F20"/>
          <w:spacing w:val="-10"/>
        </w:rPr>
        <w:t> </w:t>
      </w:r>
      <w:r>
        <w:rPr>
          <w:color w:val="231F20"/>
          <w:spacing w:val="-2"/>
        </w:rPr>
        <w:t>dont</w:t>
      </w:r>
      <w:r>
        <w:rPr>
          <w:color w:val="231F20"/>
          <w:spacing w:val="-11"/>
        </w:rPr>
        <w:t> </w:t>
      </w:r>
      <w:r>
        <w:rPr>
          <w:color w:val="231F20"/>
          <w:spacing w:val="-2"/>
        </w:rPr>
        <w:t>le</w:t>
      </w:r>
      <w:r>
        <w:rPr>
          <w:color w:val="231F20"/>
          <w:spacing w:val="-10"/>
        </w:rPr>
        <w:t> </w:t>
      </w:r>
      <w:r>
        <w:rPr>
          <w:color w:val="231F20"/>
          <w:spacing w:val="-2"/>
        </w:rPr>
        <w:t>pays</w:t>
      </w:r>
      <w:r>
        <w:rPr>
          <w:color w:val="231F20"/>
          <w:spacing w:val="-9"/>
        </w:rPr>
        <w:t> </w:t>
      </w:r>
      <w:r>
        <w:rPr>
          <w:color w:val="231F20"/>
          <w:spacing w:val="-2"/>
        </w:rPr>
        <w:t>est</w:t>
      </w:r>
      <w:r>
        <w:rPr>
          <w:color w:val="231F20"/>
          <w:spacing w:val="-9"/>
        </w:rPr>
        <w:t> </w:t>
      </w:r>
      <w:r>
        <w:rPr>
          <w:color w:val="231F20"/>
          <w:spacing w:val="-2"/>
        </w:rPr>
        <w:t>1er</w:t>
      </w:r>
      <w:r>
        <w:rPr>
          <w:color w:val="231F20"/>
          <w:spacing w:val="-13"/>
        </w:rPr>
        <w:t> </w:t>
      </w:r>
      <w:r>
        <w:rPr>
          <w:color w:val="231F20"/>
          <w:spacing w:val="-2"/>
        </w:rPr>
        <w:t>producteur</w:t>
      </w:r>
      <w:r>
        <w:rPr>
          <w:color w:val="231F20"/>
          <w:spacing w:val="-8"/>
        </w:rPr>
        <w:t> </w:t>
      </w:r>
      <w:r>
        <w:rPr>
          <w:color w:val="231F20"/>
          <w:spacing w:val="-2"/>
        </w:rPr>
        <w:t>mondial.</w:t>
      </w:r>
    </w:p>
    <w:p>
      <w:pPr>
        <w:pStyle w:val="BodyText"/>
        <w:spacing w:before="120"/>
        <w:ind w:right="104" w:firstLine="283"/>
      </w:pPr>
      <w:r>
        <w:rPr>
          <w:color w:val="231F20"/>
        </w:rPr>
        <w:t>Sous</w:t>
      </w:r>
      <w:r>
        <w:rPr>
          <w:color w:val="231F20"/>
          <w:spacing w:val="-6"/>
        </w:rPr>
        <w:t> </w:t>
      </w:r>
      <w:r>
        <w:rPr>
          <w:color w:val="231F20"/>
        </w:rPr>
        <w:t>la</w:t>
      </w:r>
      <w:r>
        <w:rPr>
          <w:color w:val="231F20"/>
          <w:spacing w:val="-6"/>
        </w:rPr>
        <w:t> </w:t>
      </w:r>
      <w:r>
        <w:rPr>
          <w:color w:val="231F20"/>
        </w:rPr>
        <w:t>houlette</w:t>
      </w:r>
      <w:r>
        <w:rPr>
          <w:color w:val="231F20"/>
          <w:spacing w:val="-7"/>
        </w:rPr>
        <w:t> </w:t>
      </w:r>
      <w:r>
        <w:rPr>
          <w:color w:val="231F20"/>
        </w:rPr>
        <w:t>de</w:t>
      </w:r>
      <w:r>
        <w:rPr>
          <w:color w:val="231F20"/>
          <w:spacing w:val="-4"/>
        </w:rPr>
        <w:t> </w:t>
      </w:r>
      <w:r>
        <w:rPr>
          <w:color w:val="231F20"/>
        </w:rPr>
        <w:t>la</w:t>
      </w:r>
      <w:r>
        <w:rPr>
          <w:color w:val="231F20"/>
          <w:spacing w:val="-7"/>
        </w:rPr>
        <w:t> </w:t>
      </w:r>
      <w:r>
        <w:rPr>
          <w:color w:val="231F20"/>
        </w:rPr>
        <w:t>France,</w:t>
      </w:r>
      <w:r>
        <w:rPr>
          <w:color w:val="231F20"/>
          <w:spacing w:val="-4"/>
        </w:rPr>
        <w:t> </w:t>
      </w:r>
      <w:r>
        <w:rPr>
          <w:color w:val="231F20"/>
        </w:rPr>
        <w:t>l’UE</w:t>
      </w:r>
      <w:r>
        <w:rPr>
          <w:color w:val="231F20"/>
          <w:spacing w:val="-7"/>
        </w:rPr>
        <w:t> </w:t>
      </w:r>
      <w:r>
        <w:rPr>
          <w:color w:val="231F20"/>
        </w:rPr>
        <w:t>interdit</w:t>
      </w:r>
      <w:r>
        <w:rPr>
          <w:color w:val="231F20"/>
          <w:spacing w:val="-3"/>
        </w:rPr>
        <w:t> </w:t>
      </w:r>
      <w:r>
        <w:rPr>
          <w:color w:val="231F20"/>
        </w:rPr>
        <w:t>ses</w:t>
      </w:r>
      <w:r>
        <w:rPr>
          <w:color w:val="231F20"/>
          <w:spacing w:val="-6"/>
        </w:rPr>
        <w:t> </w:t>
      </w:r>
      <w:r>
        <w:rPr>
          <w:color w:val="231F20"/>
        </w:rPr>
        <w:t>navires</w:t>
      </w:r>
      <w:r>
        <w:rPr>
          <w:color w:val="231F20"/>
          <w:spacing w:val="-5"/>
        </w:rPr>
        <w:t> </w:t>
      </w:r>
      <w:r>
        <w:rPr>
          <w:color w:val="231F20"/>
        </w:rPr>
        <w:t>de</w:t>
      </w:r>
      <w:r>
        <w:rPr>
          <w:color w:val="231F20"/>
          <w:spacing w:val="-4"/>
        </w:rPr>
        <w:t> </w:t>
      </w:r>
      <w:r>
        <w:rPr>
          <w:color w:val="231F20"/>
        </w:rPr>
        <w:t>fréquenter les ports ivoiriens. Cette interdiction de la destination Côte d’Ivoire s’étend à tous les produits, même pharmaceutiques</w:t>
      </w:r>
      <w:r>
        <w:rPr>
          <w:color w:val="231F20"/>
          <w:spacing w:val="-14"/>
        </w:rPr>
        <w:t> </w:t>
      </w:r>
      <w:r>
        <w:rPr>
          <w:color w:val="231F20"/>
        </w:rPr>
        <w:t>: le 10 février, des </w:t>
      </w:r>
      <w:r>
        <w:rPr>
          <w:color w:val="231F20"/>
          <w:spacing w:val="-2"/>
        </w:rPr>
        <w:t>produits</w:t>
      </w:r>
      <w:r>
        <w:rPr>
          <w:color w:val="231F20"/>
          <w:spacing w:val="-15"/>
        </w:rPr>
        <w:t> </w:t>
      </w:r>
      <w:r>
        <w:rPr>
          <w:color w:val="231F20"/>
          <w:spacing w:val="-2"/>
        </w:rPr>
        <w:t>pharmaceutiques</w:t>
      </w:r>
      <w:r>
        <w:rPr>
          <w:color w:val="231F20"/>
          <w:spacing w:val="-13"/>
        </w:rPr>
        <w:t> </w:t>
      </w:r>
      <w:r>
        <w:rPr>
          <w:color w:val="231F20"/>
          <w:spacing w:val="-2"/>
        </w:rPr>
        <w:t>en</w:t>
      </w:r>
      <w:r>
        <w:rPr>
          <w:color w:val="231F20"/>
          <w:spacing w:val="-13"/>
        </w:rPr>
        <w:t> </w:t>
      </w:r>
      <w:r>
        <w:rPr>
          <w:color w:val="231F20"/>
          <w:spacing w:val="-2"/>
        </w:rPr>
        <w:t>provenance</w:t>
      </w:r>
      <w:r>
        <w:rPr>
          <w:color w:val="231F20"/>
          <w:spacing w:val="-13"/>
        </w:rPr>
        <w:t> </w:t>
      </w:r>
      <w:r>
        <w:rPr>
          <w:color w:val="231F20"/>
          <w:spacing w:val="-2"/>
        </w:rPr>
        <w:t>de</w:t>
      </w:r>
      <w:r>
        <w:rPr>
          <w:color w:val="231F20"/>
          <w:spacing w:val="-13"/>
        </w:rPr>
        <w:t> </w:t>
      </w:r>
      <w:r>
        <w:rPr>
          <w:color w:val="231F20"/>
          <w:spacing w:val="-2"/>
        </w:rPr>
        <w:t>l’Europe</w:t>
      </w:r>
      <w:r>
        <w:rPr>
          <w:color w:val="231F20"/>
          <w:spacing w:val="-13"/>
        </w:rPr>
        <w:t> </w:t>
      </w:r>
      <w:r>
        <w:rPr>
          <w:color w:val="231F20"/>
          <w:spacing w:val="-2"/>
        </w:rPr>
        <w:t>sont</w:t>
      </w:r>
      <w:r>
        <w:rPr>
          <w:color w:val="231F20"/>
          <w:spacing w:val="-13"/>
        </w:rPr>
        <w:t> </w:t>
      </w:r>
      <w:r>
        <w:rPr>
          <w:color w:val="231F20"/>
          <w:spacing w:val="-2"/>
        </w:rPr>
        <w:t>détournés</w:t>
      </w:r>
      <w:r>
        <w:rPr>
          <w:color w:val="231F20"/>
          <w:spacing w:val="-13"/>
        </w:rPr>
        <w:t> </w:t>
      </w:r>
      <w:r>
        <w:rPr>
          <w:color w:val="231F20"/>
          <w:spacing w:val="-2"/>
        </w:rPr>
        <w:t>vers </w:t>
      </w:r>
      <w:r>
        <w:rPr>
          <w:color w:val="231F20"/>
        </w:rPr>
        <w:t>le port de Dakar.</w:t>
      </w:r>
    </w:p>
    <w:p>
      <w:pPr>
        <w:spacing w:after="0"/>
        <w:sectPr>
          <w:pgSz w:w="8790" w:h="13610"/>
          <w:pgMar w:header="0" w:footer="802" w:top="1060" w:bottom="1000" w:left="880" w:right="880"/>
        </w:sectPr>
      </w:pPr>
    </w:p>
    <w:p>
      <w:pPr>
        <w:pStyle w:val="BodyText"/>
        <w:spacing w:before="66"/>
        <w:ind w:right="105" w:firstLine="283"/>
      </w:pPr>
      <w:r>
        <w:rPr>
          <w:color w:val="231F20"/>
        </w:rPr>
        <w:t>Le</w:t>
      </w:r>
      <w:r>
        <w:rPr>
          <w:color w:val="231F20"/>
          <w:spacing w:val="-6"/>
        </w:rPr>
        <w:t> </w:t>
      </w:r>
      <w:r>
        <w:rPr>
          <w:color w:val="231F20"/>
        </w:rPr>
        <w:t>jeudi</w:t>
      </w:r>
      <w:r>
        <w:rPr>
          <w:color w:val="231F20"/>
          <w:spacing w:val="-7"/>
        </w:rPr>
        <w:t> </w:t>
      </w:r>
      <w:r>
        <w:rPr>
          <w:color w:val="231F20"/>
        </w:rPr>
        <w:t>3</w:t>
      </w:r>
      <w:r>
        <w:rPr>
          <w:color w:val="231F20"/>
          <w:spacing w:val="-6"/>
        </w:rPr>
        <w:t> </w:t>
      </w:r>
      <w:r>
        <w:rPr>
          <w:color w:val="231F20"/>
        </w:rPr>
        <w:t>février</w:t>
      </w:r>
      <w:r>
        <w:rPr>
          <w:color w:val="231F20"/>
          <w:spacing w:val="-7"/>
        </w:rPr>
        <w:t> </w:t>
      </w:r>
      <w:r>
        <w:rPr>
          <w:color w:val="231F20"/>
        </w:rPr>
        <w:t>2011,</w:t>
      </w:r>
      <w:r>
        <w:rPr>
          <w:color w:val="231F20"/>
          <w:spacing w:val="-7"/>
        </w:rPr>
        <w:t> </w:t>
      </w:r>
      <w:r>
        <w:rPr>
          <w:color w:val="231F20"/>
        </w:rPr>
        <w:t>la</w:t>
      </w:r>
      <w:r>
        <w:rPr>
          <w:color w:val="231F20"/>
          <w:spacing w:val="-6"/>
        </w:rPr>
        <w:t> </w:t>
      </w:r>
      <w:r>
        <w:rPr>
          <w:color w:val="231F20"/>
        </w:rPr>
        <w:t>Banque</w:t>
      </w:r>
      <w:r>
        <w:rPr>
          <w:color w:val="231F20"/>
          <w:spacing w:val="-6"/>
        </w:rPr>
        <w:t> </w:t>
      </w:r>
      <w:r>
        <w:rPr>
          <w:color w:val="231F20"/>
        </w:rPr>
        <w:t>centrale</w:t>
      </w:r>
      <w:r>
        <w:rPr>
          <w:color w:val="231F20"/>
          <w:spacing w:val="-7"/>
        </w:rPr>
        <w:t> </w:t>
      </w:r>
      <w:r>
        <w:rPr>
          <w:color w:val="231F20"/>
        </w:rPr>
        <w:t>des</w:t>
      </w:r>
      <w:r>
        <w:rPr>
          <w:color w:val="231F20"/>
          <w:spacing w:val="-6"/>
        </w:rPr>
        <w:t> </w:t>
      </w:r>
      <w:r>
        <w:rPr>
          <w:color w:val="231F20"/>
        </w:rPr>
        <w:t>États</w:t>
      </w:r>
      <w:r>
        <w:rPr>
          <w:color w:val="231F20"/>
          <w:spacing w:val="-7"/>
        </w:rPr>
        <w:t> </w:t>
      </w:r>
      <w:r>
        <w:rPr>
          <w:color w:val="231F20"/>
        </w:rPr>
        <w:t>de</w:t>
      </w:r>
      <w:r>
        <w:rPr>
          <w:color w:val="231F20"/>
          <w:spacing w:val="-7"/>
        </w:rPr>
        <w:t> </w:t>
      </w:r>
      <w:r>
        <w:rPr>
          <w:color w:val="231F20"/>
        </w:rPr>
        <w:t>l’Afrique</w:t>
      </w:r>
      <w:r>
        <w:rPr>
          <w:color w:val="231F20"/>
          <w:spacing w:val="-7"/>
        </w:rPr>
        <w:t> </w:t>
      </w:r>
      <w:r>
        <w:rPr>
          <w:color w:val="231F20"/>
        </w:rPr>
        <w:t>de l’Ouest</w:t>
      </w:r>
      <w:r>
        <w:rPr>
          <w:color w:val="231F20"/>
          <w:spacing w:val="-6"/>
        </w:rPr>
        <w:t> </w:t>
      </w:r>
      <w:r>
        <w:rPr>
          <w:color w:val="231F20"/>
        </w:rPr>
        <w:t>(BCEAO)</w:t>
      </w:r>
      <w:r>
        <w:rPr>
          <w:color w:val="231F20"/>
          <w:spacing w:val="-5"/>
        </w:rPr>
        <w:t> </w:t>
      </w:r>
      <w:r>
        <w:rPr>
          <w:color w:val="231F20"/>
        </w:rPr>
        <w:t>annonce</w:t>
      </w:r>
      <w:r>
        <w:rPr>
          <w:color w:val="231F20"/>
          <w:spacing w:val="-5"/>
        </w:rPr>
        <w:t> </w:t>
      </w:r>
      <w:r>
        <w:rPr>
          <w:color w:val="231F20"/>
        </w:rPr>
        <w:t>la</w:t>
      </w:r>
      <w:r>
        <w:rPr>
          <w:color w:val="231F20"/>
          <w:spacing w:val="-5"/>
        </w:rPr>
        <w:t> </w:t>
      </w:r>
      <w:r>
        <w:rPr>
          <w:color w:val="231F20"/>
        </w:rPr>
        <w:t>fermeture</w:t>
      </w:r>
      <w:r>
        <w:rPr>
          <w:color w:val="231F20"/>
          <w:spacing w:val="-8"/>
        </w:rPr>
        <w:t> </w:t>
      </w:r>
      <w:r>
        <w:rPr>
          <w:color w:val="231F20"/>
        </w:rPr>
        <w:t>de</w:t>
      </w:r>
      <w:r>
        <w:rPr>
          <w:color w:val="231F20"/>
          <w:spacing w:val="-5"/>
        </w:rPr>
        <w:t> </w:t>
      </w:r>
      <w:r>
        <w:rPr>
          <w:color w:val="231F20"/>
        </w:rPr>
        <w:t>ses</w:t>
      </w:r>
      <w:r>
        <w:rPr>
          <w:color w:val="231F20"/>
          <w:spacing w:val="-7"/>
        </w:rPr>
        <w:t> </w:t>
      </w:r>
      <w:r>
        <w:rPr>
          <w:color w:val="231F20"/>
        </w:rPr>
        <w:t>bureaux</w:t>
      </w:r>
      <w:r>
        <w:rPr>
          <w:color w:val="231F20"/>
          <w:spacing w:val="-5"/>
        </w:rPr>
        <w:t> </w:t>
      </w:r>
      <w:r>
        <w:rPr>
          <w:color w:val="231F20"/>
        </w:rPr>
        <w:t>à</w:t>
      </w:r>
      <w:r>
        <w:rPr>
          <w:color w:val="231F20"/>
          <w:spacing w:val="-5"/>
        </w:rPr>
        <w:t> </w:t>
      </w:r>
      <w:r>
        <w:rPr>
          <w:color w:val="231F20"/>
        </w:rPr>
        <w:t>Abidjan.</w:t>
      </w:r>
    </w:p>
    <w:p>
      <w:pPr>
        <w:pStyle w:val="BodyText"/>
        <w:spacing w:before="120"/>
        <w:ind w:right="105" w:firstLine="283"/>
      </w:pPr>
      <w:r>
        <w:rPr>
          <w:color w:val="231F20"/>
          <w:spacing w:val="-2"/>
        </w:rPr>
        <w:t>Face</w:t>
      </w:r>
      <w:r>
        <w:rPr>
          <w:color w:val="231F20"/>
          <w:spacing w:val="-13"/>
        </w:rPr>
        <w:t> </w:t>
      </w:r>
      <w:r>
        <w:rPr>
          <w:color w:val="231F20"/>
          <w:spacing w:val="-2"/>
        </w:rPr>
        <w:t>au</w:t>
      </w:r>
      <w:r>
        <w:rPr>
          <w:color w:val="231F20"/>
          <w:spacing w:val="-13"/>
        </w:rPr>
        <w:t> </w:t>
      </w:r>
      <w:r>
        <w:rPr>
          <w:color w:val="231F20"/>
          <w:spacing w:val="-2"/>
        </w:rPr>
        <w:t>manque</w:t>
      </w:r>
      <w:r>
        <w:rPr>
          <w:color w:val="231F20"/>
          <w:spacing w:val="-13"/>
        </w:rPr>
        <w:t> </w:t>
      </w:r>
      <w:r>
        <w:rPr>
          <w:color w:val="231F20"/>
          <w:spacing w:val="-2"/>
        </w:rPr>
        <w:t>de</w:t>
      </w:r>
      <w:r>
        <w:rPr>
          <w:color w:val="231F20"/>
          <w:spacing w:val="-13"/>
        </w:rPr>
        <w:t> </w:t>
      </w:r>
      <w:r>
        <w:rPr>
          <w:color w:val="231F20"/>
          <w:spacing w:val="-2"/>
        </w:rPr>
        <w:t>liquidités,</w:t>
      </w:r>
      <w:r>
        <w:rPr>
          <w:color w:val="231F20"/>
          <w:spacing w:val="-13"/>
        </w:rPr>
        <w:t> </w:t>
      </w:r>
      <w:r>
        <w:rPr>
          <w:color w:val="231F20"/>
          <w:spacing w:val="-2"/>
        </w:rPr>
        <w:t>aux</w:t>
      </w:r>
      <w:r>
        <w:rPr>
          <w:color w:val="231F20"/>
          <w:spacing w:val="-13"/>
        </w:rPr>
        <w:t> </w:t>
      </w:r>
      <w:r>
        <w:rPr>
          <w:color w:val="231F20"/>
          <w:spacing w:val="-2"/>
        </w:rPr>
        <w:t>difficultés</w:t>
      </w:r>
      <w:r>
        <w:rPr>
          <w:color w:val="231F20"/>
          <w:spacing w:val="-13"/>
        </w:rPr>
        <w:t> </w:t>
      </w:r>
      <w:r>
        <w:rPr>
          <w:color w:val="231F20"/>
          <w:spacing w:val="-2"/>
        </w:rPr>
        <w:t>techniques</w:t>
      </w:r>
      <w:r>
        <w:rPr>
          <w:color w:val="231F20"/>
          <w:spacing w:val="-13"/>
        </w:rPr>
        <w:t> </w:t>
      </w:r>
      <w:r>
        <w:rPr>
          <w:color w:val="231F20"/>
          <w:spacing w:val="-2"/>
        </w:rPr>
        <w:t>et</w:t>
      </w:r>
      <w:r>
        <w:rPr>
          <w:color w:val="231F20"/>
          <w:spacing w:val="-13"/>
        </w:rPr>
        <w:t> </w:t>
      </w:r>
      <w:r>
        <w:rPr>
          <w:color w:val="231F20"/>
          <w:spacing w:val="-2"/>
        </w:rPr>
        <w:t>aux</w:t>
      </w:r>
      <w:r>
        <w:rPr>
          <w:color w:val="231F20"/>
          <w:spacing w:val="-13"/>
        </w:rPr>
        <w:t> </w:t>
      </w:r>
      <w:r>
        <w:rPr>
          <w:color w:val="231F20"/>
          <w:spacing w:val="-2"/>
        </w:rPr>
        <w:t>risques </w:t>
      </w:r>
      <w:r>
        <w:rPr>
          <w:color w:val="231F20"/>
          <w:spacing w:val="-4"/>
        </w:rPr>
        <w:t>juridiques,</w:t>
      </w:r>
      <w:r>
        <w:rPr>
          <w:color w:val="231F20"/>
          <w:spacing w:val="-11"/>
        </w:rPr>
        <w:t> </w:t>
      </w:r>
      <w:r>
        <w:rPr>
          <w:color w:val="231F20"/>
          <w:spacing w:val="-4"/>
        </w:rPr>
        <w:t>ainsi</w:t>
      </w:r>
      <w:r>
        <w:rPr>
          <w:color w:val="231F20"/>
          <w:spacing w:val="-11"/>
        </w:rPr>
        <w:t> </w:t>
      </w:r>
      <w:r>
        <w:rPr>
          <w:color w:val="231F20"/>
          <w:spacing w:val="-4"/>
        </w:rPr>
        <w:t>qu'à</w:t>
      </w:r>
      <w:r>
        <w:rPr>
          <w:color w:val="231F20"/>
          <w:spacing w:val="-11"/>
        </w:rPr>
        <w:t> </w:t>
      </w:r>
      <w:r>
        <w:rPr>
          <w:color w:val="231F20"/>
          <w:spacing w:val="-4"/>
        </w:rPr>
        <w:t>la</w:t>
      </w:r>
      <w:r>
        <w:rPr>
          <w:color w:val="231F20"/>
          <w:spacing w:val="-11"/>
        </w:rPr>
        <w:t> </w:t>
      </w:r>
      <w:r>
        <w:rPr>
          <w:color w:val="231F20"/>
          <w:spacing w:val="-4"/>
        </w:rPr>
        <w:t>menace</w:t>
      </w:r>
      <w:r>
        <w:rPr>
          <w:color w:val="231F20"/>
          <w:spacing w:val="-11"/>
        </w:rPr>
        <w:t> </w:t>
      </w:r>
      <w:r>
        <w:rPr>
          <w:color w:val="231F20"/>
          <w:spacing w:val="-4"/>
        </w:rPr>
        <w:t>de</w:t>
      </w:r>
      <w:r>
        <w:rPr>
          <w:color w:val="231F20"/>
          <w:spacing w:val="-11"/>
        </w:rPr>
        <w:t> </w:t>
      </w:r>
      <w:r>
        <w:rPr>
          <w:color w:val="231F20"/>
          <w:spacing w:val="-4"/>
        </w:rPr>
        <w:t>sanctions</w:t>
      </w:r>
      <w:r>
        <w:rPr>
          <w:color w:val="231F20"/>
          <w:spacing w:val="-11"/>
        </w:rPr>
        <w:t> </w:t>
      </w:r>
      <w:r>
        <w:rPr>
          <w:color w:val="231F20"/>
          <w:spacing w:val="-4"/>
        </w:rPr>
        <w:t>brandie</w:t>
      </w:r>
      <w:r>
        <w:rPr>
          <w:color w:val="231F20"/>
          <w:spacing w:val="-11"/>
        </w:rPr>
        <w:t> </w:t>
      </w:r>
      <w:r>
        <w:rPr>
          <w:color w:val="231F20"/>
          <w:spacing w:val="-4"/>
        </w:rPr>
        <w:t>par</w:t>
      </w:r>
      <w:r>
        <w:rPr>
          <w:color w:val="231F20"/>
          <w:spacing w:val="-11"/>
        </w:rPr>
        <w:t> </w:t>
      </w:r>
      <w:r>
        <w:rPr>
          <w:color w:val="231F20"/>
          <w:spacing w:val="-4"/>
        </w:rPr>
        <w:t>la</w:t>
      </w:r>
      <w:r>
        <w:rPr>
          <w:color w:val="231F20"/>
          <w:spacing w:val="-11"/>
        </w:rPr>
        <w:t> </w:t>
      </w:r>
      <w:r>
        <w:rPr>
          <w:color w:val="231F20"/>
          <w:spacing w:val="-4"/>
        </w:rPr>
        <w:t>BCEAO</w:t>
      </w:r>
      <w:r>
        <w:rPr>
          <w:color w:val="231F20"/>
          <w:spacing w:val="-11"/>
        </w:rPr>
        <w:t> </w:t>
      </w:r>
      <w:r>
        <w:rPr>
          <w:color w:val="231F20"/>
          <w:spacing w:val="-4"/>
        </w:rPr>
        <w:t>contre </w:t>
      </w:r>
      <w:r>
        <w:rPr>
          <w:color w:val="231F20"/>
        </w:rPr>
        <w:t>les banques travaillant avec le gouvernement Gbagbo,</w:t>
      </w:r>
      <w:r>
        <w:rPr>
          <w:color w:val="231F20"/>
          <w:spacing w:val="-15"/>
        </w:rPr>
        <w:t> </w:t>
      </w:r>
      <w:r>
        <w:rPr>
          <w:color w:val="231F20"/>
        </w:rPr>
        <w:t>BNP Paribas d'abord</w:t>
      </w:r>
      <w:r>
        <w:rPr>
          <w:color w:val="231F20"/>
          <w:spacing w:val="-15"/>
        </w:rPr>
        <w:t> </w:t>
      </w:r>
      <w:r>
        <w:rPr>
          <w:color w:val="231F20"/>
        </w:rPr>
        <w:t>puis la Société générale, ferment.</w:t>
      </w:r>
      <w:r>
        <w:rPr>
          <w:color w:val="231F20"/>
          <w:spacing w:val="-15"/>
        </w:rPr>
        <w:t> </w:t>
      </w:r>
      <w:r>
        <w:rPr>
          <w:color w:val="231F20"/>
        </w:rPr>
        <w:t>Toutes les grandes banques étrangères leur emboîtent le pas et suspendent leurs activités : les distributeurs</w:t>
      </w:r>
      <w:r>
        <w:rPr>
          <w:color w:val="231F20"/>
          <w:spacing w:val="-7"/>
        </w:rPr>
        <w:t> </w:t>
      </w:r>
      <w:r>
        <w:rPr>
          <w:color w:val="231F20"/>
        </w:rPr>
        <w:t>automatiques</w:t>
      </w:r>
      <w:r>
        <w:rPr>
          <w:color w:val="231F20"/>
          <w:spacing w:val="-7"/>
        </w:rPr>
        <w:t> </w:t>
      </w:r>
      <w:r>
        <w:rPr>
          <w:color w:val="231F20"/>
        </w:rPr>
        <w:t>de</w:t>
      </w:r>
      <w:r>
        <w:rPr>
          <w:color w:val="231F20"/>
          <w:spacing w:val="-7"/>
        </w:rPr>
        <w:t> </w:t>
      </w:r>
      <w:r>
        <w:rPr>
          <w:color w:val="231F20"/>
        </w:rPr>
        <w:t>billets</w:t>
      </w:r>
      <w:r>
        <w:rPr>
          <w:color w:val="231F20"/>
          <w:spacing w:val="-9"/>
        </w:rPr>
        <w:t> </w:t>
      </w:r>
      <w:r>
        <w:rPr>
          <w:color w:val="231F20"/>
        </w:rPr>
        <w:t>des</w:t>
      </w:r>
      <w:r>
        <w:rPr>
          <w:color w:val="231F20"/>
          <w:spacing w:val="-7"/>
        </w:rPr>
        <w:t> </w:t>
      </w:r>
      <w:r>
        <w:rPr>
          <w:color w:val="231F20"/>
        </w:rPr>
        <w:t>banques</w:t>
      </w:r>
      <w:r>
        <w:rPr>
          <w:color w:val="231F20"/>
          <w:spacing w:val="-9"/>
        </w:rPr>
        <w:t> </w:t>
      </w:r>
      <w:r>
        <w:rPr>
          <w:color w:val="231F20"/>
        </w:rPr>
        <w:t>sont</w:t>
      </w:r>
      <w:r>
        <w:rPr>
          <w:color w:val="231F20"/>
          <w:spacing w:val="-7"/>
        </w:rPr>
        <w:t> </w:t>
      </w:r>
      <w:r>
        <w:rPr>
          <w:color w:val="231F20"/>
        </w:rPr>
        <w:t>asséchés.</w:t>
      </w:r>
    </w:p>
    <w:p>
      <w:pPr>
        <w:pStyle w:val="BodyText"/>
        <w:spacing w:before="121"/>
        <w:ind w:left="112" w:right="106" w:firstLine="283"/>
      </w:pPr>
      <w:r>
        <w:rPr>
          <w:color w:val="231F20"/>
        </w:rPr>
        <w:t>La</w:t>
      </w:r>
      <w:r>
        <w:rPr>
          <w:color w:val="231F20"/>
          <w:spacing w:val="-4"/>
        </w:rPr>
        <w:t> </w:t>
      </w:r>
      <w:r>
        <w:rPr>
          <w:color w:val="231F20"/>
        </w:rPr>
        <w:t>France</w:t>
      </w:r>
      <w:r>
        <w:rPr>
          <w:color w:val="231F20"/>
          <w:spacing w:val="-4"/>
        </w:rPr>
        <w:t> </w:t>
      </w:r>
      <w:r>
        <w:rPr>
          <w:color w:val="231F20"/>
        </w:rPr>
        <w:t>du</w:t>
      </w:r>
      <w:r>
        <w:rPr>
          <w:color w:val="231F20"/>
          <w:spacing w:val="-6"/>
        </w:rPr>
        <w:t> </w:t>
      </w:r>
      <w:r>
        <w:rPr>
          <w:color w:val="231F20"/>
        </w:rPr>
        <w:t>président</w:t>
      </w:r>
      <w:r>
        <w:rPr>
          <w:color w:val="231F20"/>
          <w:spacing w:val="-4"/>
        </w:rPr>
        <w:t> </w:t>
      </w:r>
      <w:r>
        <w:rPr>
          <w:color w:val="231F20"/>
        </w:rPr>
        <w:t>Nicolas</w:t>
      </w:r>
      <w:r>
        <w:rPr>
          <w:color w:val="231F20"/>
          <w:spacing w:val="-5"/>
        </w:rPr>
        <w:t> </w:t>
      </w:r>
      <w:r>
        <w:rPr>
          <w:color w:val="231F20"/>
        </w:rPr>
        <w:t>Sarkozy</w:t>
      </w:r>
      <w:r>
        <w:rPr>
          <w:color w:val="231F20"/>
          <w:spacing w:val="-4"/>
        </w:rPr>
        <w:t> </w:t>
      </w:r>
      <w:r>
        <w:rPr>
          <w:color w:val="231F20"/>
        </w:rPr>
        <w:t>espère</w:t>
      </w:r>
      <w:r>
        <w:rPr>
          <w:color w:val="231F20"/>
          <w:spacing w:val="-4"/>
        </w:rPr>
        <w:t> </w:t>
      </w:r>
      <w:r>
        <w:rPr>
          <w:color w:val="231F20"/>
        </w:rPr>
        <w:t>que</w:t>
      </w:r>
      <w:r>
        <w:rPr>
          <w:color w:val="231F20"/>
          <w:spacing w:val="-4"/>
        </w:rPr>
        <w:t> </w:t>
      </w:r>
      <w:r>
        <w:rPr>
          <w:color w:val="231F20"/>
        </w:rPr>
        <w:t>la</w:t>
      </w:r>
      <w:r>
        <w:rPr>
          <w:color w:val="231F20"/>
          <w:spacing w:val="-4"/>
        </w:rPr>
        <w:t> </w:t>
      </w:r>
      <w:r>
        <w:rPr>
          <w:color w:val="231F20"/>
        </w:rPr>
        <w:t>fermeture</w:t>
      </w:r>
      <w:r>
        <w:rPr>
          <w:color w:val="231F20"/>
          <w:spacing w:val="-6"/>
        </w:rPr>
        <w:t> </w:t>
      </w:r>
      <w:r>
        <w:rPr>
          <w:color w:val="231F20"/>
        </w:rPr>
        <w:t>des banques, couplée à l'embargo sur les exportations de cacao, rendront difficiles le paiement des forces de sécurité et des fonctionnaires et affaiblirait</w:t>
      </w:r>
      <w:r>
        <w:rPr>
          <w:color w:val="231F20"/>
          <w:spacing w:val="-4"/>
        </w:rPr>
        <w:t> </w:t>
      </w:r>
      <w:r>
        <w:rPr>
          <w:color w:val="231F20"/>
        </w:rPr>
        <w:t>ainsi</w:t>
      </w:r>
      <w:r>
        <w:rPr>
          <w:color w:val="231F20"/>
          <w:spacing w:val="-4"/>
        </w:rPr>
        <w:t> </w:t>
      </w:r>
      <w:r>
        <w:rPr>
          <w:color w:val="231F20"/>
        </w:rPr>
        <w:t>la</w:t>
      </w:r>
      <w:r>
        <w:rPr>
          <w:color w:val="231F20"/>
          <w:spacing w:val="-7"/>
        </w:rPr>
        <w:t> </w:t>
      </w:r>
      <w:r>
        <w:rPr>
          <w:color w:val="231F20"/>
        </w:rPr>
        <w:t>position</w:t>
      </w:r>
      <w:r>
        <w:rPr>
          <w:color w:val="231F20"/>
          <w:spacing w:val="-4"/>
        </w:rPr>
        <w:t> </w:t>
      </w:r>
      <w:r>
        <w:rPr>
          <w:color w:val="231F20"/>
        </w:rPr>
        <w:t>du</w:t>
      </w:r>
      <w:r>
        <w:rPr>
          <w:color w:val="231F20"/>
          <w:spacing w:val="-4"/>
        </w:rPr>
        <w:t> </w:t>
      </w:r>
      <w:r>
        <w:rPr>
          <w:color w:val="231F20"/>
        </w:rPr>
        <w:t>gouvernement</w:t>
      </w:r>
      <w:r>
        <w:rPr>
          <w:color w:val="231F20"/>
          <w:spacing w:val="-7"/>
        </w:rPr>
        <w:t> </w:t>
      </w:r>
      <w:r>
        <w:rPr>
          <w:color w:val="231F20"/>
        </w:rPr>
        <w:t>de</w:t>
      </w:r>
      <w:r>
        <w:rPr>
          <w:color w:val="231F20"/>
          <w:spacing w:val="-4"/>
        </w:rPr>
        <w:t> </w:t>
      </w:r>
      <w:r>
        <w:rPr>
          <w:color w:val="231F20"/>
        </w:rPr>
        <w:t>Gbagbo.</w:t>
      </w:r>
    </w:p>
    <w:p>
      <w:pPr>
        <w:pStyle w:val="BodyText"/>
        <w:spacing w:before="120"/>
        <w:ind w:right="105" w:firstLine="283"/>
      </w:pPr>
      <w:r>
        <w:rPr>
          <w:color w:val="231F20"/>
        </w:rPr>
        <w:t>Le 18 février, pour limiter les conséquences catastrophiques de la stratégie d’asphyxie et </w:t>
      </w:r>
      <w:r>
        <w:rPr>
          <w:i/>
          <w:color w:val="231F20"/>
        </w:rPr>
        <w:t>« préserver les emplois et assurer l'accès des</w:t>
      </w:r>
      <w:r>
        <w:rPr>
          <w:i/>
          <w:color w:val="231F20"/>
        </w:rPr>
        <w:t> </w:t>
      </w:r>
      <w:r>
        <w:rPr>
          <w:i/>
          <w:color w:val="231F20"/>
          <w:spacing w:val="-2"/>
        </w:rPr>
        <w:t>Ivoiriens</w:t>
      </w:r>
      <w:r>
        <w:rPr>
          <w:i/>
          <w:color w:val="231F20"/>
          <w:spacing w:val="-9"/>
        </w:rPr>
        <w:t> </w:t>
      </w:r>
      <w:r>
        <w:rPr>
          <w:i/>
          <w:color w:val="231F20"/>
          <w:spacing w:val="-2"/>
        </w:rPr>
        <w:t>et</w:t>
      </w:r>
      <w:r>
        <w:rPr>
          <w:i/>
          <w:color w:val="231F20"/>
          <w:spacing w:val="-11"/>
        </w:rPr>
        <w:t> </w:t>
      </w:r>
      <w:r>
        <w:rPr>
          <w:i/>
          <w:color w:val="231F20"/>
          <w:spacing w:val="-2"/>
        </w:rPr>
        <w:t>des</w:t>
      </w:r>
      <w:r>
        <w:rPr>
          <w:i/>
          <w:color w:val="231F20"/>
          <w:spacing w:val="-11"/>
        </w:rPr>
        <w:t> </w:t>
      </w:r>
      <w:r>
        <w:rPr>
          <w:i/>
          <w:color w:val="231F20"/>
          <w:spacing w:val="-2"/>
        </w:rPr>
        <w:t>opérateurs</w:t>
      </w:r>
      <w:r>
        <w:rPr>
          <w:i/>
          <w:color w:val="231F20"/>
          <w:spacing w:val="-9"/>
        </w:rPr>
        <w:t> </w:t>
      </w:r>
      <w:r>
        <w:rPr>
          <w:i/>
          <w:color w:val="231F20"/>
          <w:spacing w:val="-2"/>
        </w:rPr>
        <w:t>économiques</w:t>
      </w:r>
      <w:r>
        <w:rPr>
          <w:i/>
          <w:color w:val="231F20"/>
          <w:spacing w:val="-11"/>
        </w:rPr>
        <w:t> </w:t>
      </w:r>
      <w:r>
        <w:rPr>
          <w:i/>
          <w:color w:val="231F20"/>
          <w:spacing w:val="-2"/>
        </w:rPr>
        <w:t>à</w:t>
      </w:r>
      <w:r>
        <w:rPr>
          <w:i/>
          <w:color w:val="231F20"/>
          <w:spacing w:val="-11"/>
        </w:rPr>
        <w:t> </w:t>
      </w:r>
      <w:r>
        <w:rPr>
          <w:i/>
          <w:color w:val="231F20"/>
          <w:spacing w:val="-2"/>
        </w:rPr>
        <w:t>leurs</w:t>
      </w:r>
      <w:r>
        <w:rPr>
          <w:i/>
          <w:color w:val="231F20"/>
          <w:spacing w:val="-11"/>
        </w:rPr>
        <w:t> </w:t>
      </w:r>
      <w:r>
        <w:rPr>
          <w:i/>
          <w:color w:val="231F20"/>
          <w:spacing w:val="-2"/>
        </w:rPr>
        <w:t>avoir</w:t>
      </w:r>
      <w:r>
        <w:rPr>
          <w:i/>
          <w:color w:val="231F20"/>
          <w:spacing w:val="-11"/>
        </w:rPr>
        <w:t> </w:t>
      </w:r>
      <w:r>
        <w:rPr>
          <w:i/>
          <w:color w:val="231F20"/>
          <w:spacing w:val="-2"/>
        </w:rPr>
        <w:t>dans</w:t>
      </w:r>
      <w:r>
        <w:rPr>
          <w:i/>
          <w:color w:val="231F20"/>
          <w:spacing w:val="-11"/>
        </w:rPr>
        <w:t> </w:t>
      </w:r>
      <w:r>
        <w:rPr>
          <w:i/>
          <w:color w:val="231F20"/>
          <w:spacing w:val="-2"/>
        </w:rPr>
        <w:t>les</w:t>
      </w:r>
      <w:r>
        <w:rPr>
          <w:i/>
          <w:color w:val="231F20"/>
          <w:spacing w:val="-11"/>
        </w:rPr>
        <w:t> </w:t>
      </w:r>
      <w:r>
        <w:rPr>
          <w:i/>
          <w:color w:val="231F20"/>
          <w:spacing w:val="-2"/>
        </w:rPr>
        <w:t>plus</w:t>
      </w:r>
      <w:r>
        <w:rPr>
          <w:i/>
          <w:color w:val="231F20"/>
          <w:spacing w:val="-11"/>
        </w:rPr>
        <w:t> </w:t>
      </w:r>
      <w:r>
        <w:rPr>
          <w:i/>
          <w:color w:val="231F20"/>
          <w:spacing w:val="-2"/>
        </w:rPr>
        <w:t>brefs </w:t>
      </w:r>
      <w:r>
        <w:rPr>
          <w:i/>
          <w:color w:val="231F20"/>
        </w:rPr>
        <w:t>délais »</w:t>
      </w:r>
      <w:r>
        <w:rPr>
          <w:color w:val="231F20"/>
        </w:rPr>
        <w:t>, le gouvernement Gbagbo décide de réquisitionner les deux </w:t>
      </w:r>
      <w:r>
        <w:rPr>
          <w:color w:val="231F20"/>
          <w:spacing w:val="-2"/>
        </w:rPr>
        <w:t>grandes</w:t>
      </w:r>
      <w:r>
        <w:rPr>
          <w:color w:val="231F20"/>
          <w:spacing w:val="-13"/>
        </w:rPr>
        <w:t> </w:t>
      </w:r>
      <w:r>
        <w:rPr>
          <w:color w:val="231F20"/>
          <w:spacing w:val="-2"/>
        </w:rPr>
        <w:t>banques</w:t>
      </w:r>
      <w:r>
        <w:rPr>
          <w:color w:val="231F20"/>
          <w:spacing w:val="-13"/>
        </w:rPr>
        <w:t> </w:t>
      </w:r>
      <w:r>
        <w:rPr>
          <w:color w:val="231F20"/>
          <w:spacing w:val="-2"/>
        </w:rPr>
        <w:t>ivoiriennes,</w:t>
      </w:r>
      <w:r>
        <w:rPr>
          <w:color w:val="231F20"/>
          <w:spacing w:val="-13"/>
        </w:rPr>
        <w:t> </w:t>
      </w:r>
      <w:r>
        <w:rPr>
          <w:color w:val="231F20"/>
          <w:spacing w:val="-2"/>
        </w:rPr>
        <w:t>filiales</w:t>
      </w:r>
      <w:r>
        <w:rPr>
          <w:color w:val="231F20"/>
          <w:spacing w:val="-13"/>
        </w:rPr>
        <w:t> </w:t>
      </w:r>
      <w:r>
        <w:rPr>
          <w:color w:val="231F20"/>
          <w:spacing w:val="-2"/>
        </w:rPr>
        <w:t>de</w:t>
      </w:r>
      <w:r>
        <w:rPr>
          <w:color w:val="231F20"/>
          <w:spacing w:val="-13"/>
        </w:rPr>
        <w:t> </w:t>
      </w:r>
      <w:r>
        <w:rPr>
          <w:color w:val="231F20"/>
          <w:spacing w:val="-2"/>
        </w:rPr>
        <w:t>BNP-Paribas</w:t>
      </w:r>
      <w:r>
        <w:rPr>
          <w:color w:val="231F20"/>
          <w:spacing w:val="-13"/>
        </w:rPr>
        <w:t> </w:t>
      </w:r>
      <w:r>
        <w:rPr>
          <w:color w:val="231F20"/>
          <w:spacing w:val="-2"/>
        </w:rPr>
        <w:t>et</w:t>
      </w:r>
      <w:r>
        <w:rPr>
          <w:color w:val="231F20"/>
          <w:spacing w:val="-13"/>
        </w:rPr>
        <w:t> </w:t>
      </w:r>
      <w:r>
        <w:rPr>
          <w:color w:val="231F20"/>
          <w:spacing w:val="-2"/>
        </w:rPr>
        <w:t>Société</w:t>
      </w:r>
      <w:r>
        <w:rPr>
          <w:color w:val="231F20"/>
          <w:spacing w:val="-13"/>
        </w:rPr>
        <w:t> </w:t>
      </w:r>
      <w:r>
        <w:rPr>
          <w:color w:val="231F20"/>
          <w:spacing w:val="-2"/>
        </w:rPr>
        <w:t>générale. </w:t>
      </w:r>
      <w:r>
        <w:rPr>
          <w:color w:val="231F20"/>
        </w:rPr>
        <w:t>Ces deux banques, ainsi que la Standard Bank et la CITIBANK, sont nationalisées.</w:t>
      </w:r>
      <w:r>
        <w:rPr>
          <w:color w:val="231F20"/>
          <w:spacing w:val="-15"/>
        </w:rPr>
        <w:t> </w:t>
      </w:r>
      <w:r>
        <w:rPr>
          <w:color w:val="231F20"/>
        </w:rPr>
        <w:t>La</w:t>
      </w:r>
      <w:r>
        <w:rPr>
          <w:color w:val="231F20"/>
          <w:spacing w:val="-15"/>
        </w:rPr>
        <w:t> </w:t>
      </w:r>
      <w:r>
        <w:rPr>
          <w:color w:val="231F20"/>
        </w:rPr>
        <w:t>nationalisation</w:t>
      </w:r>
      <w:r>
        <w:rPr>
          <w:color w:val="231F20"/>
          <w:spacing w:val="-15"/>
        </w:rPr>
        <w:t> </w:t>
      </w:r>
      <w:r>
        <w:rPr>
          <w:color w:val="231F20"/>
        </w:rPr>
        <w:t>des</w:t>
      </w:r>
      <w:r>
        <w:rPr>
          <w:color w:val="231F20"/>
          <w:spacing w:val="-15"/>
        </w:rPr>
        <w:t> </w:t>
      </w:r>
      <w:r>
        <w:rPr>
          <w:color w:val="231F20"/>
        </w:rPr>
        <w:t>deux</w:t>
      </w:r>
      <w:r>
        <w:rPr>
          <w:color w:val="231F20"/>
          <w:spacing w:val="-15"/>
        </w:rPr>
        <w:t> </w:t>
      </w:r>
      <w:r>
        <w:rPr>
          <w:color w:val="231F20"/>
        </w:rPr>
        <w:t>plus</w:t>
      </w:r>
      <w:r>
        <w:rPr>
          <w:color w:val="231F20"/>
          <w:spacing w:val="-15"/>
        </w:rPr>
        <w:t> </w:t>
      </w:r>
      <w:r>
        <w:rPr>
          <w:color w:val="231F20"/>
        </w:rPr>
        <w:t>grandes</w:t>
      </w:r>
      <w:r>
        <w:rPr>
          <w:color w:val="231F20"/>
          <w:spacing w:val="-12"/>
        </w:rPr>
        <w:t> </w:t>
      </w:r>
      <w:r>
        <w:rPr>
          <w:color w:val="231F20"/>
        </w:rPr>
        <w:t>banques</w:t>
      </w:r>
      <w:r>
        <w:rPr>
          <w:color w:val="231F20"/>
          <w:spacing w:val="-15"/>
        </w:rPr>
        <w:t> </w:t>
      </w:r>
      <w:r>
        <w:rPr>
          <w:color w:val="231F20"/>
        </w:rPr>
        <w:t>du</w:t>
      </w:r>
      <w:r>
        <w:rPr>
          <w:color w:val="231F20"/>
          <w:spacing w:val="-15"/>
        </w:rPr>
        <w:t> </w:t>
      </w:r>
      <w:r>
        <w:rPr>
          <w:color w:val="231F20"/>
        </w:rPr>
        <w:t>pays </w:t>
      </w:r>
      <w:r>
        <w:rPr>
          <w:color w:val="231F20"/>
          <w:spacing w:val="-4"/>
        </w:rPr>
        <w:t>(SGBCI</w:t>
      </w:r>
      <w:r>
        <w:rPr>
          <w:color w:val="231F20"/>
          <w:spacing w:val="-11"/>
        </w:rPr>
        <w:t> </w:t>
      </w:r>
      <w:r>
        <w:rPr>
          <w:color w:val="231F20"/>
          <w:spacing w:val="-4"/>
        </w:rPr>
        <w:t>et</w:t>
      </w:r>
      <w:r>
        <w:rPr>
          <w:color w:val="231F20"/>
          <w:spacing w:val="-11"/>
        </w:rPr>
        <w:t> </w:t>
      </w:r>
      <w:r>
        <w:rPr>
          <w:color w:val="231F20"/>
          <w:spacing w:val="-4"/>
        </w:rPr>
        <w:t>BICICI)</w:t>
      </w:r>
      <w:r>
        <w:rPr>
          <w:color w:val="231F20"/>
          <w:spacing w:val="-9"/>
        </w:rPr>
        <w:t> </w:t>
      </w:r>
      <w:r>
        <w:rPr>
          <w:color w:val="231F20"/>
          <w:spacing w:val="-4"/>
        </w:rPr>
        <w:t>permet</w:t>
      </w:r>
      <w:r>
        <w:rPr>
          <w:color w:val="231F20"/>
          <w:spacing w:val="-9"/>
        </w:rPr>
        <w:t> </w:t>
      </w:r>
      <w:r>
        <w:rPr>
          <w:color w:val="231F20"/>
          <w:spacing w:val="-4"/>
        </w:rPr>
        <w:t>au</w:t>
      </w:r>
      <w:r>
        <w:rPr>
          <w:color w:val="231F20"/>
          <w:spacing w:val="-11"/>
        </w:rPr>
        <w:t> </w:t>
      </w:r>
      <w:r>
        <w:rPr>
          <w:color w:val="231F20"/>
          <w:spacing w:val="-4"/>
        </w:rPr>
        <w:t>gouvernement</w:t>
      </w:r>
      <w:r>
        <w:rPr>
          <w:color w:val="231F20"/>
          <w:spacing w:val="-11"/>
        </w:rPr>
        <w:t> </w:t>
      </w:r>
      <w:r>
        <w:rPr>
          <w:color w:val="231F20"/>
          <w:spacing w:val="-4"/>
        </w:rPr>
        <w:t>Gbagbo</w:t>
      </w:r>
      <w:r>
        <w:rPr>
          <w:color w:val="231F20"/>
          <w:spacing w:val="-9"/>
        </w:rPr>
        <w:t> </w:t>
      </w:r>
      <w:r>
        <w:rPr>
          <w:color w:val="231F20"/>
          <w:spacing w:val="-4"/>
        </w:rPr>
        <w:t>de</w:t>
      </w:r>
      <w:r>
        <w:rPr>
          <w:color w:val="231F20"/>
          <w:spacing w:val="-9"/>
        </w:rPr>
        <w:t> </w:t>
      </w:r>
      <w:r>
        <w:rPr>
          <w:color w:val="231F20"/>
          <w:spacing w:val="-4"/>
        </w:rPr>
        <w:t>contrôler</w:t>
      </w:r>
      <w:r>
        <w:rPr>
          <w:color w:val="231F20"/>
          <w:spacing w:val="-9"/>
        </w:rPr>
        <w:t> </w:t>
      </w:r>
      <w:r>
        <w:rPr>
          <w:color w:val="231F20"/>
          <w:spacing w:val="-4"/>
        </w:rPr>
        <w:t>plus</w:t>
      </w:r>
      <w:r>
        <w:rPr>
          <w:color w:val="231F20"/>
          <w:spacing w:val="-11"/>
        </w:rPr>
        <w:t> </w:t>
      </w:r>
      <w:r>
        <w:rPr>
          <w:color w:val="231F20"/>
          <w:spacing w:val="-4"/>
        </w:rPr>
        <w:t>de 55,6%</w:t>
      </w:r>
      <w:r>
        <w:rPr>
          <w:color w:val="231F20"/>
          <w:spacing w:val="-11"/>
        </w:rPr>
        <w:t> </w:t>
      </w:r>
      <w:r>
        <w:rPr>
          <w:color w:val="231F20"/>
          <w:spacing w:val="-4"/>
        </w:rPr>
        <w:t>de</w:t>
      </w:r>
      <w:r>
        <w:rPr>
          <w:color w:val="231F20"/>
          <w:spacing w:val="-11"/>
        </w:rPr>
        <w:t> </w:t>
      </w:r>
      <w:r>
        <w:rPr>
          <w:color w:val="231F20"/>
          <w:spacing w:val="-4"/>
        </w:rPr>
        <w:t>l’activité</w:t>
      </w:r>
      <w:r>
        <w:rPr>
          <w:color w:val="231F20"/>
          <w:spacing w:val="-11"/>
        </w:rPr>
        <w:t> </w:t>
      </w:r>
      <w:r>
        <w:rPr>
          <w:color w:val="231F20"/>
          <w:spacing w:val="-4"/>
        </w:rPr>
        <w:t>bancaire</w:t>
      </w:r>
      <w:r>
        <w:rPr>
          <w:color w:val="231F20"/>
          <w:spacing w:val="-11"/>
        </w:rPr>
        <w:t> </w:t>
      </w:r>
      <w:r>
        <w:rPr>
          <w:color w:val="231F20"/>
          <w:spacing w:val="-4"/>
        </w:rPr>
        <w:t>en</w:t>
      </w:r>
      <w:r>
        <w:rPr>
          <w:color w:val="231F20"/>
          <w:spacing w:val="-11"/>
        </w:rPr>
        <w:t> </w:t>
      </w:r>
      <w:r>
        <w:rPr>
          <w:color w:val="231F20"/>
          <w:spacing w:val="-4"/>
        </w:rPr>
        <w:t>Côte</w:t>
      </w:r>
      <w:r>
        <w:rPr>
          <w:color w:val="231F20"/>
          <w:spacing w:val="-11"/>
        </w:rPr>
        <w:t> </w:t>
      </w:r>
      <w:r>
        <w:rPr>
          <w:color w:val="231F20"/>
          <w:spacing w:val="-4"/>
        </w:rPr>
        <w:t>d’Ivoire,</w:t>
      </w:r>
      <w:r>
        <w:rPr>
          <w:color w:val="231F20"/>
          <w:spacing w:val="-11"/>
        </w:rPr>
        <w:t> </w:t>
      </w:r>
      <w:r>
        <w:rPr>
          <w:color w:val="231F20"/>
          <w:spacing w:val="-4"/>
        </w:rPr>
        <w:t>57,0%</w:t>
      </w:r>
      <w:r>
        <w:rPr>
          <w:color w:val="231F20"/>
          <w:spacing w:val="-11"/>
        </w:rPr>
        <w:t> </w:t>
      </w:r>
      <w:r>
        <w:rPr>
          <w:color w:val="231F20"/>
          <w:spacing w:val="-4"/>
        </w:rPr>
        <w:t>des</w:t>
      </w:r>
      <w:r>
        <w:rPr>
          <w:color w:val="231F20"/>
          <w:spacing w:val="-11"/>
        </w:rPr>
        <w:t> </w:t>
      </w:r>
      <w:r>
        <w:rPr>
          <w:color w:val="231F20"/>
          <w:spacing w:val="-4"/>
        </w:rPr>
        <w:t>dépôts</w:t>
      </w:r>
      <w:r>
        <w:rPr>
          <w:color w:val="231F20"/>
          <w:spacing w:val="-9"/>
        </w:rPr>
        <w:t> </w:t>
      </w:r>
      <w:r>
        <w:rPr>
          <w:color w:val="231F20"/>
          <w:spacing w:val="-4"/>
        </w:rPr>
        <w:t>collectées </w:t>
      </w:r>
      <w:r>
        <w:rPr>
          <w:color w:val="231F20"/>
          <w:spacing w:val="-2"/>
        </w:rPr>
        <w:t>par</w:t>
      </w:r>
      <w:r>
        <w:rPr>
          <w:color w:val="231F20"/>
          <w:spacing w:val="-11"/>
        </w:rPr>
        <w:t> </w:t>
      </w:r>
      <w:r>
        <w:rPr>
          <w:color w:val="231F20"/>
          <w:spacing w:val="-2"/>
        </w:rPr>
        <w:t>les</w:t>
      </w:r>
      <w:r>
        <w:rPr>
          <w:color w:val="231F20"/>
          <w:spacing w:val="-11"/>
        </w:rPr>
        <w:t> </w:t>
      </w:r>
      <w:r>
        <w:rPr>
          <w:color w:val="231F20"/>
          <w:spacing w:val="-2"/>
        </w:rPr>
        <w:t>banques</w:t>
      </w:r>
      <w:r>
        <w:rPr>
          <w:color w:val="231F20"/>
          <w:spacing w:val="-10"/>
        </w:rPr>
        <w:t> </w:t>
      </w:r>
      <w:r>
        <w:rPr>
          <w:color w:val="231F20"/>
          <w:spacing w:val="-2"/>
        </w:rPr>
        <w:t>et</w:t>
      </w:r>
      <w:r>
        <w:rPr>
          <w:color w:val="231F20"/>
          <w:spacing w:val="-9"/>
        </w:rPr>
        <w:t> </w:t>
      </w:r>
      <w:r>
        <w:rPr>
          <w:color w:val="231F20"/>
          <w:spacing w:val="-2"/>
        </w:rPr>
        <w:t>54,4%</w:t>
      </w:r>
      <w:r>
        <w:rPr>
          <w:color w:val="231F20"/>
          <w:spacing w:val="-13"/>
        </w:rPr>
        <w:t> </w:t>
      </w:r>
      <w:r>
        <w:rPr>
          <w:color w:val="231F20"/>
          <w:spacing w:val="-2"/>
        </w:rPr>
        <w:t>des</w:t>
      </w:r>
      <w:r>
        <w:rPr>
          <w:color w:val="231F20"/>
          <w:spacing w:val="-10"/>
        </w:rPr>
        <w:t> </w:t>
      </w:r>
      <w:r>
        <w:rPr>
          <w:color w:val="231F20"/>
          <w:spacing w:val="-2"/>
        </w:rPr>
        <w:t>crédits</w:t>
      </w:r>
      <w:r>
        <w:rPr>
          <w:color w:val="231F20"/>
          <w:spacing w:val="-11"/>
        </w:rPr>
        <w:t> </w:t>
      </w:r>
      <w:r>
        <w:rPr>
          <w:color w:val="231F20"/>
          <w:spacing w:val="-2"/>
        </w:rPr>
        <w:t>octroyés.</w:t>
      </w:r>
      <w:r>
        <w:rPr>
          <w:color w:val="231F20"/>
          <w:spacing w:val="-11"/>
        </w:rPr>
        <w:t> </w:t>
      </w:r>
      <w:r>
        <w:rPr>
          <w:color w:val="231F20"/>
          <w:spacing w:val="-2"/>
        </w:rPr>
        <w:t>Le</w:t>
      </w:r>
      <w:r>
        <w:rPr>
          <w:color w:val="231F20"/>
          <w:spacing w:val="-10"/>
        </w:rPr>
        <w:t> </w:t>
      </w:r>
      <w:r>
        <w:rPr>
          <w:color w:val="231F20"/>
          <w:spacing w:val="-2"/>
        </w:rPr>
        <w:t>gouvernement</w:t>
      </w:r>
      <w:r>
        <w:rPr>
          <w:color w:val="231F20"/>
          <w:spacing w:val="-10"/>
        </w:rPr>
        <w:t> </w:t>
      </w:r>
      <w:r>
        <w:rPr>
          <w:color w:val="231F20"/>
          <w:spacing w:val="-2"/>
        </w:rPr>
        <w:t>contrôle </w:t>
      </w:r>
      <w:r>
        <w:rPr>
          <w:color w:val="231F20"/>
        </w:rPr>
        <w:t>en outre près de 60% du nombre de guichets bancaires et 60% du personnel des banques.</w:t>
      </w:r>
    </w:p>
    <w:p>
      <w:pPr>
        <w:pStyle w:val="BodyText"/>
        <w:spacing w:before="121"/>
        <w:ind w:right="103" w:firstLine="283"/>
      </w:pPr>
      <w:r>
        <w:rPr>
          <w:color w:val="231F20"/>
        </w:rPr>
        <w:t>Le</w:t>
      </w:r>
      <w:r>
        <w:rPr>
          <w:color w:val="231F20"/>
          <w:spacing w:val="-9"/>
        </w:rPr>
        <w:t> </w:t>
      </w:r>
      <w:r>
        <w:rPr>
          <w:color w:val="231F20"/>
        </w:rPr>
        <w:t>22</w:t>
      </w:r>
      <w:r>
        <w:rPr>
          <w:color w:val="231F20"/>
          <w:spacing w:val="-9"/>
        </w:rPr>
        <w:t> </w:t>
      </w:r>
      <w:r>
        <w:rPr>
          <w:color w:val="231F20"/>
        </w:rPr>
        <w:t>février</w:t>
      </w:r>
      <w:r>
        <w:rPr>
          <w:color w:val="231F20"/>
          <w:spacing w:val="-9"/>
        </w:rPr>
        <w:t> </w:t>
      </w:r>
      <w:r>
        <w:rPr>
          <w:color w:val="231F20"/>
        </w:rPr>
        <w:t>Ouattara</w:t>
      </w:r>
      <w:r>
        <w:rPr>
          <w:color w:val="231F20"/>
          <w:spacing w:val="-8"/>
        </w:rPr>
        <w:t> </w:t>
      </w:r>
      <w:r>
        <w:rPr>
          <w:color w:val="231F20"/>
        </w:rPr>
        <w:t>obtient</w:t>
      </w:r>
      <w:r>
        <w:rPr>
          <w:color w:val="231F20"/>
          <w:spacing w:val="-10"/>
        </w:rPr>
        <w:t> </w:t>
      </w:r>
      <w:r>
        <w:rPr>
          <w:color w:val="231F20"/>
        </w:rPr>
        <w:t>le</w:t>
      </w:r>
      <w:r>
        <w:rPr>
          <w:color w:val="231F20"/>
          <w:spacing w:val="-8"/>
        </w:rPr>
        <w:t> </w:t>
      </w:r>
      <w:r>
        <w:rPr>
          <w:color w:val="231F20"/>
        </w:rPr>
        <w:t>départ</w:t>
      </w:r>
      <w:r>
        <w:rPr>
          <w:color w:val="231F20"/>
          <w:spacing w:val="-9"/>
        </w:rPr>
        <w:t> </w:t>
      </w:r>
      <w:r>
        <w:rPr>
          <w:color w:val="231F20"/>
        </w:rPr>
        <w:t>du</w:t>
      </w:r>
      <w:r>
        <w:rPr>
          <w:color w:val="231F20"/>
          <w:spacing w:val="-15"/>
        </w:rPr>
        <w:t> </w:t>
      </w:r>
      <w:r>
        <w:rPr>
          <w:color w:val="231F20"/>
        </w:rPr>
        <w:t>Gouverneur</w:t>
      </w:r>
      <w:r>
        <w:rPr>
          <w:color w:val="231F20"/>
          <w:spacing w:val="-8"/>
        </w:rPr>
        <w:t> </w:t>
      </w:r>
      <w:r>
        <w:rPr>
          <w:color w:val="231F20"/>
        </w:rPr>
        <w:t>ivoirien</w:t>
      </w:r>
      <w:r>
        <w:rPr>
          <w:color w:val="231F20"/>
          <w:spacing w:val="-9"/>
        </w:rPr>
        <w:t> </w:t>
      </w:r>
      <w:r>
        <w:rPr>
          <w:color w:val="231F20"/>
        </w:rPr>
        <w:t>de</w:t>
      </w:r>
      <w:r>
        <w:rPr>
          <w:color w:val="231F20"/>
          <w:spacing w:val="-9"/>
        </w:rPr>
        <w:t> </w:t>
      </w:r>
      <w:r>
        <w:rPr>
          <w:color w:val="231F20"/>
        </w:rPr>
        <w:t>la </w:t>
      </w:r>
      <w:r>
        <w:rPr>
          <w:color w:val="231F20"/>
          <w:spacing w:val="-2"/>
        </w:rPr>
        <w:t>BCEAO,</w:t>
      </w:r>
      <w:r>
        <w:rPr>
          <w:color w:val="231F20"/>
          <w:spacing w:val="-11"/>
        </w:rPr>
        <w:t> </w:t>
      </w:r>
      <w:r>
        <w:rPr>
          <w:color w:val="231F20"/>
          <w:spacing w:val="-2"/>
        </w:rPr>
        <w:t>proche</w:t>
      </w:r>
      <w:r>
        <w:rPr>
          <w:color w:val="231F20"/>
          <w:spacing w:val="-13"/>
        </w:rPr>
        <w:t> </w:t>
      </w:r>
      <w:r>
        <w:rPr>
          <w:color w:val="231F20"/>
          <w:spacing w:val="-2"/>
        </w:rPr>
        <w:t>de</w:t>
      </w:r>
      <w:r>
        <w:rPr>
          <w:color w:val="231F20"/>
          <w:spacing w:val="-11"/>
        </w:rPr>
        <w:t> </w:t>
      </w:r>
      <w:r>
        <w:rPr>
          <w:color w:val="231F20"/>
          <w:spacing w:val="-2"/>
        </w:rPr>
        <w:t>Laurent</w:t>
      </w:r>
      <w:r>
        <w:rPr>
          <w:color w:val="231F20"/>
          <w:spacing w:val="-11"/>
        </w:rPr>
        <w:t> </w:t>
      </w:r>
      <w:r>
        <w:rPr>
          <w:color w:val="231F20"/>
          <w:spacing w:val="-2"/>
        </w:rPr>
        <w:t>Gbagbo</w:t>
      </w:r>
      <w:r>
        <w:rPr>
          <w:color w:val="231F20"/>
          <w:spacing w:val="-11"/>
        </w:rPr>
        <w:t> </w:t>
      </w:r>
      <w:r>
        <w:rPr>
          <w:color w:val="231F20"/>
          <w:spacing w:val="-2"/>
        </w:rPr>
        <w:t>qui</w:t>
      </w:r>
      <w:r>
        <w:rPr>
          <w:color w:val="231F20"/>
          <w:spacing w:val="-12"/>
        </w:rPr>
        <w:t> </w:t>
      </w:r>
      <w:r>
        <w:rPr>
          <w:color w:val="231F20"/>
          <w:spacing w:val="-2"/>
        </w:rPr>
        <w:t>refuse</w:t>
      </w:r>
      <w:r>
        <w:rPr>
          <w:color w:val="231F20"/>
          <w:spacing w:val="-11"/>
        </w:rPr>
        <w:t> </w:t>
      </w:r>
      <w:r>
        <w:rPr>
          <w:color w:val="231F20"/>
          <w:spacing w:val="-2"/>
        </w:rPr>
        <w:t>de</w:t>
      </w:r>
      <w:r>
        <w:rPr>
          <w:color w:val="231F20"/>
          <w:spacing w:val="-13"/>
        </w:rPr>
        <w:t> </w:t>
      </w:r>
      <w:r>
        <w:rPr>
          <w:color w:val="231F20"/>
          <w:spacing w:val="-2"/>
        </w:rPr>
        <w:t>lui</w:t>
      </w:r>
      <w:r>
        <w:rPr>
          <w:color w:val="231F20"/>
          <w:spacing w:val="-11"/>
        </w:rPr>
        <w:t> </w:t>
      </w:r>
      <w:r>
        <w:rPr>
          <w:color w:val="231F20"/>
          <w:spacing w:val="-2"/>
        </w:rPr>
        <w:t>donner</w:t>
      </w:r>
      <w:r>
        <w:rPr>
          <w:color w:val="231F20"/>
          <w:spacing w:val="-12"/>
        </w:rPr>
        <w:t> </w:t>
      </w:r>
      <w:r>
        <w:rPr>
          <w:color w:val="231F20"/>
          <w:spacing w:val="-2"/>
        </w:rPr>
        <w:t>la</w:t>
      </w:r>
      <w:r>
        <w:rPr>
          <w:color w:val="231F20"/>
          <w:spacing w:val="-11"/>
        </w:rPr>
        <w:t> </w:t>
      </w:r>
      <w:r>
        <w:rPr>
          <w:color w:val="231F20"/>
          <w:spacing w:val="-2"/>
        </w:rPr>
        <w:t>signature </w:t>
      </w:r>
      <w:r>
        <w:rPr>
          <w:color w:val="231F20"/>
        </w:rPr>
        <w:t>au nom de la Côte</w:t>
      </w:r>
      <w:r>
        <w:rPr>
          <w:color w:val="231F20"/>
          <w:spacing w:val="-1"/>
        </w:rPr>
        <w:t> </w:t>
      </w:r>
      <w:r>
        <w:rPr>
          <w:color w:val="231F20"/>
        </w:rPr>
        <w:t>d’Ivoire. Laurent Gbagbo ordonne la «</w:t>
      </w:r>
      <w:r>
        <w:rPr>
          <w:color w:val="231F20"/>
          <w:spacing w:val="-15"/>
        </w:rPr>
        <w:t> </w:t>
      </w:r>
      <w:r>
        <w:rPr>
          <w:color w:val="231F20"/>
        </w:rPr>
        <w:t>réquisition</w:t>
      </w:r>
      <w:r>
        <w:rPr>
          <w:color w:val="231F20"/>
          <w:spacing w:val="-15"/>
        </w:rPr>
        <w:t> </w:t>
      </w:r>
      <w:r>
        <w:rPr>
          <w:color w:val="231F20"/>
        </w:rPr>
        <w:t>» </w:t>
      </w:r>
      <w:r>
        <w:rPr>
          <w:color w:val="231F20"/>
          <w:spacing w:val="-2"/>
        </w:rPr>
        <w:t>des</w:t>
      </w:r>
      <w:r>
        <w:rPr>
          <w:color w:val="231F20"/>
          <w:spacing w:val="-9"/>
        </w:rPr>
        <w:t> </w:t>
      </w:r>
      <w:r>
        <w:rPr>
          <w:color w:val="231F20"/>
          <w:spacing w:val="-2"/>
        </w:rPr>
        <w:t>agences</w:t>
      </w:r>
      <w:r>
        <w:rPr>
          <w:color w:val="231F20"/>
          <w:spacing w:val="-9"/>
        </w:rPr>
        <w:t> </w:t>
      </w:r>
      <w:r>
        <w:rPr>
          <w:color w:val="231F20"/>
          <w:spacing w:val="-2"/>
        </w:rPr>
        <w:t>en</w:t>
      </w:r>
      <w:r>
        <w:rPr>
          <w:color w:val="231F20"/>
          <w:spacing w:val="-9"/>
        </w:rPr>
        <w:t> </w:t>
      </w:r>
      <w:r>
        <w:rPr>
          <w:color w:val="231F20"/>
          <w:spacing w:val="-2"/>
        </w:rPr>
        <w:t>Côte</w:t>
      </w:r>
      <w:r>
        <w:rPr>
          <w:color w:val="231F20"/>
          <w:spacing w:val="-9"/>
        </w:rPr>
        <w:t> </w:t>
      </w:r>
      <w:r>
        <w:rPr>
          <w:color w:val="231F20"/>
          <w:spacing w:val="-2"/>
        </w:rPr>
        <w:t>d’Ivoire</w:t>
      </w:r>
      <w:r>
        <w:rPr>
          <w:color w:val="231F20"/>
          <w:spacing w:val="-9"/>
        </w:rPr>
        <w:t> </w:t>
      </w:r>
      <w:r>
        <w:rPr>
          <w:color w:val="231F20"/>
          <w:spacing w:val="-2"/>
        </w:rPr>
        <w:t>de</w:t>
      </w:r>
      <w:r>
        <w:rPr>
          <w:color w:val="231F20"/>
          <w:spacing w:val="-9"/>
        </w:rPr>
        <w:t> </w:t>
      </w:r>
      <w:r>
        <w:rPr>
          <w:color w:val="231F20"/>
          <w:spacing w:val="-2"/>
        </w:rPr>
        <w:t>la</w:t>
      </w:r>
      <w:r>
        <w:rPr>
          <w:color w:val="231F20"/>
          <w:spacing w:val="-9"/>
        </w:rPr>
        <w:t> </w:t>
      </w:r>
      <w:r>
        <w:rPr>
          <w:color w:val="231F20"/>
          <w:spacing w:val="-2"/>
        </w:rPr>
        <w:t>BCEAO</w:t>
      </w:r>
      <w:r>
        <w:rPr>
          <w:color w:val="231F20"/>
          <w:spacing w:val="-7"/>
        </w:rPr>
        <w:t> </w:t>
      </w:r>
      <w:r>
        <w:rPr>
          <w:color w:val="231F20"/>
          <w:spacing w:val="-2"/>
        </w:rPr>
        <w:t>pour</w:t>
      </w:r>
      <w:r>
        <w:rPr>
          <w:color w:val="231F20"/>
          <w:spacing w:val="-9"/>
        </w:rPr>
        <w:t> </w:t>
      </w:r>
      <w:r>
        <w:rPr>
          <w:color w:val="231F20"/>
          <w:spacing w:val="-2"/>
        </w:rPr>
        <w:t>le</w:t>
      </w:r>
      <w:r>
        <w:rPr>
          <w:color w:val="231F20"/>
          <w:spacing w:val="-11"/>
        </w:rPr>
        <w:t> </w:t>
      </w:r>
      <w:r>
        <w:rPr>
          <w:color w:val="231F20"/>
          <w:spacing w:val="-2"/>
        </w:rPr>
        <w:t>paiement</w:t>
      </w:r>
      <w:r>
        <w:rPr>
          <w:color w:val="231F20"/>
          <w:spacing w:val="-8"/>
        </w:rPr>
        <w:t> </w:t>
      </w:r>
      <w:r>
        <w:rPr>
          <w:color w:val="231F20"/>
          <w:spacing w:val="-2"/>
        </w:rPr>
        <w:t>des</w:t>
      </w:r>
      <w:r>
        <w:rPr>
          <w:color w:val="231F20"/>
          <w:spacing w:val="-9"/>
        </w:rPr>
        <w:t> </w:t>
      </w:r>
      <w:r>
        <w:rPr>
          <w:color w:val="231F20"/>
          <w:spacing w:val="-2"/>
        </w:rPr>
        <w:t>salaires </w:t>
      </w:r>
      <w:r>
        <w:rPr>
          <w:color w:val="231F20"/>
        </w:rPr>
        <w:t>des</w:t>
      </w:r>
      <w:r>
        <w:rPr>
          <w:color w:val="231F20"/>
          <w:spacing w:val="50"/>
          <w:w w:val="150"/>
        </w:rPr>
        <w:t> </w:t>
      </w:r>
      <w:r>
        <w:rPr>
          <w:color w:val="231F20"/>
        </w:rPr>
        <w:t>fonctionnaires.</w:t>
      </w:r>
      <w:r>
        <w:rPr>
          <w:color w:val="231F20"/>
          <w:spacing w:val="79"/>
        </w:rPr>
        <w:t> </w:t>
      </w:r>
      <w:r>
        <w:rPr>
          <w:color w:val="231F20"/>
        </w:rPr>
        <w:t>Alassane</w:t>
      </w:r>
      <w:r>
        <w:rPr>
          <w:color w:val="231F20"/>
          <w:spacing w:val="51"/>
          <w:w w:val="150"/>
        </w:rPr>
        <w:t> </w:t>
      </w:r>
      <w:r>
        <w:rPr>
          <w:color w:val="231F20"/>
        </w:rPr>
        <w:t>Ouattara</w:t>
      </w:r>
      <w:r>
        <w:rPr>
          <w:color w:val="231F20"/>
          <w:spacing w:val="50"/>
          <w:w w:val="150"/>
        </w:rPr>
        <w:t> </w:t>
      </w:r>
      <w:r>
        <w:rPr>
          <w:color w:val="231F20"/>
        </w:rPr>
        <w:t>réplique</w:t>
      </w:r>
      <w:r>
        <w:rPr>
          <w:color w:val="231F20"/>
          <w:spacing w:val="78"/>
        </w:rPr>
        <w:t> </w:t>
      </w:r>
      <w:r>
        <w:rPr>
          <w:color w:val="231F20"/>
        </w:rPr>
        <w:t>en</w:t>
      </w:r>
      <w:r>
        <w:rPr>
          <w:color w:val="231F20"/>
          <w:spacing w:val="50"/>
          <w:w w:val="150"/>
        </w:rPr>
        <w:t> </w:t>
      </w:r>
      <w:r>
        <w:rPr>
          <w:color w:val="231F20"/>
        </w:rPr>
        <w:t>annonçant</w:t>
      </w:r>
      <w:r>
        <w:rPr>
          <w:color w:val="231F20"/>
          <w:spacing w:val="79"/>
        </w:rPr>
        <w:t> </w:t>
      </w:r>
      <w:r>
        <w:rPr>
          <w:color w:val="231F20"/>
          <w:spacing w:val="-4"/>
        </w:rPr>
        <w:t>leur</w:t>
      </w:r>
    </w:p>
    <w:p>
      <w:pPr>
        <w:pStyle w:val="BodyText"/>
      </w:pPr>
      <w:r>
        <w:rPr>
          <w:color w:val="231F20"/>
          <w:spacing w:val="-2"/>
        </w:rPr>
        <w:t>«</w:t>
      </w:r>
      <w:r>
        <w:rPr>
          <w:color w:val="231F20"/>
          <w:spacing w:val="-10"/>
        </w:rPr>
        <w:t> </w:t>
      </w:r>
      <w:r>
        <w:rPr>
          <w:color w:val="231F20"/>
          <w:spacing w:val="-2"/>
        </w:rPr>
        <w:t>fermeture</w:t>
      </w:r>
      <w:r>
        <w:rPr>
          <w:color w:val="231F20"/>
          <w:spacing w:val="-11"/>
        </w:rPr>
        <w:t> </w:t>
      </w:r>
      <w:r>
        <w:rPr>
          <w:color w:val="231F20"/>
          <w:spacing w:val="-2"/>
        </w:rPr>
        <w:t>».</w:t>
      </w:r>
      <w:r>
        <w:rPr>
          <w:color w:val="231F20"/>
          <w:spacing w:val="-7"/>
        </w:rPr>
        <w:t> </w:t>
      </w:r>
      <w:r>
        <w:rPr>
          <w:color w:val="231F20"/>
          <w:spacing w:val="-2"/>
        </w:rPr>
        <w:t>Le</w:t>
      </w:r>
      <w:r>
        <w:rPr>
          <w:color w:val="231F20"/>
          <w:spacing w:val="-10"/>
        </w:rPr>
        <w:t> </w:t>
      </w:r>
      <w:r>
        <w:rPr>
          <w:color w:val="231F20"/>
          <w:spacing w:val="-2"/>
        </w:rPr>
        <w:t>système</w:t>
      </w:r>
      <w:r>
        <w:rPr>
          <w:color w:val="231F20"/>
          <w:spacing w:val="-11"/>
        </w:rPr>
        <w:t> </w:t>
      </w:r>
      <w:r>
        <w:rPr>
          <w:color w:val="231F20"/>
          <w:spacing w:val="-2"/>
        </w:rPr>
        <w:t>financier</w:t>
      </w:r>
      <w:r>
        <w:rPr>
          <w:color w:val="231F20"/>
          <w:spacing w:val="-10"/>
        </w:rPr>
        <w:t> </w:t>
      </w:r>
      <w:r>
        <w:rPr>
          <w:color w:val="231F20"/>
          <w:spacing w:val="-2"/>
        </w:rPr>
        <w:t>du</w:t>
      </w:r>
      <w:r>
        <w:rPr>
          <w:color w:val="231F20"/>
          <w:spacing w:val="-9"/>
        </w:rPr>
        <w:t> </w:t>
      </w:r>
      <w:r>
        <w:rPr>
          <w:color w:val="231F20"/>
          <w:spacing w:val="-2"/>
        </w:rPr>
        <w:t>pays</w:t>
      </w:r>
      <w:r>
        <w:rPr>
          <w:color w:val="231F20"/>
          <w:spacing w:val="-7"/>
        </w:rPr>
        <w:t> </w:t>
      </w:r>
      <w:r>
        <w:rPr>
          <w:color w:val="231F20"/>
          <w:spacing w:val="-2"/>
        </w:rPr>
        <w:t>finit</w:t>
      </w:r>
      <w:r>
        <w:rPr>
          <w:color w:val="231F20"/>
          <w:spacing w:val="-8"/>
        </w:rPr>
        <w:t> </w:t>
      </w:r>
      <w:r>
        <w:rPr>
          <w:color w:val="231F20"/>
          <w:spacing w:val="-2"/>
        </w:rPr>
        <w:t>par</w:t>
      </w:r>
      <w:r>
        <w:rPr>
          <w:color w:val="231F20"/>
          <w:spacing w:val="-10"/>
        </w:rPr>
        <w:t> </w:t>
      </w:r>
      <w:r>
        <w:rPr>
          <w:color w:val="231F20"/>
          <w:spacing w:val="-2"/>
        </w:rPr>
        <w:t>être</w:t>
      </w:r>
      <w:r>
        <w:rPr>
          <w:color w:val="231F20"/>
          <w:spacing w:val="-8"/>
        </w:rPr>
        <w:t> </w:t>
      </w:r>
      <w:r>
        <w:rPr>
          <w:color w:val="231F20"/>
          <w:spacing w:val="-2"/>
        </w:rPr>
        <w:t>bloqué.</w:t>
      </w:r>
    </w:p>
    <w:p>
      <w:pPr>
        <w:pStyle w:val="BodyText"/>
        <w:spacing w:before="120"/>
        <w:ind w:right="104" w:firstLine="283"/>
      </w:pPr>
      <w:r>
        <w:rPr>
          <w:color w:val="231F20"/>
        </w:rPr>
        <w:t>Le 17 mars 2011, Alassane Ouattara toujours retranché avec son </w:t>
      </w:r>
      <w:r>
        <w:rPr>
          <w:color w:val="231F20"/>
          <w:spacing w:val="-4"/>
        </w:rPr>
        <w:t>gouvernement à</w:t>
      </w:r>
      <w:r>
        <w:rPr>
          <w:color w:val="231F20"/>
          <w:spacing w:val="-7"/>
        </w:rPr>
        <w:t> </w:t>
      </w:r>
      <w:r>
        <w:rPr>
          <w:color w:val="231F20"/>
          <w:spacing w:val="-4"/>
        </w:rPr>
        <w:t>l’hôtel du</w:t>
      </w:r>
      <w:r>
        <w:rPr>
          <w:color w:val="231F20"/>
          <w:spacing w:val="-6"/>
        </w:rPr>
        <w:t> </w:t>
      </w:r>
      <w:r>
        <w:rPr>
          <w:color w:val="231F20"/>
          <w:spacing w:val="-4"/>
        </w:rPr>
        <w:t>Golf d’Abidjan, rebaptise</w:t>
      </w:r>
      <w:r>
        <w:rPr>
          <w:color w:val="231F20"/>
          <w:spacing w:val="-7"/>
        </w:rPr>
        <w:t> </w:t>
      </w:r>
      <w:r>
        <w:rPr>
          <w:color w:val="231F20"/>
          <w:spacing w:val="-4"/>
        </w:rPr>
        <w:t>par une ordonnance, </w:t>
      </w:r>
      <w:r>
        <w:rPr>
          <w:color w:val="231F20"/>
        </w:rPr>
        <w:t>l’Armée des Forces Nouvelles (FAFN) qui devient «</w:t>
      </w:r>
      <w:r>
        <w:rPr>
          <w:color w:val="231F20"/>
          <w:spacing w:val="-13"/>
        </w:rPr>
        <w:t> </w:t>
      </w:r>
      <w:r>
        <w:rPr>
          <w:color w:val="231F20"/>
        </w:rPr>
        <w:t>les Forces Républicaines de Côte d’Ivoire</w:t>
      </w:r>
      <w:r>
        <w:rPr>
          <w:color w:val="231F20"/>
          <w:spacing w:val="-15"/>
        </w:rPr>
        <w:t> </w:t>
      </w:r>
      <w:r>
        <w:rPr>
          <w:color w:val="231F20"/>
        </w:rPr>
        <w:t>» (FRCI). Cette Armée, soutenue par l’ONUCI, l’Opération des Nations unies en Côte d’Ivoire et la Force </w:t>
      </w:r>
      <w:r>
        <w:rPr>
          <w:color w:val="231F20"/>
          <w:spacing w:val="-2"/>
        </w:rPr>
        <w:t>française</w:t>
      </w:r>
      <w:r>
        <w:rPr>
          <w:color w:val="231F20"/>
          <w:spacing w:val="-8"/>
        </w:rPr>
        <w:t> </w:t>
      </w:r>
      <w:r>
        <w:rPr>
          <w:color w:val="231F20"/>
          <w:spacing w:val="-2"/>
        </w:rPr>
        <w:t>«</w:t>
      </w:r>
      <w:r>
        <w:rPr>
          <w:color w:val="231F20"/>
          <w:spacing w:val="-12"/>
        </w:rPr>
        <w:t> </w:t>
      </w:r>
      <w:r>
        <w:rPr>
          <w:color w:val="231F20"/>
          <w:spacing w:val="-2"/>
        </w:rPr>
        <w:t>Licorne</w:t>
      </w:r>
      <w:r>
        <w:rPr>
          <w:color w:val="231F20"/>
          <w:spacing w:val="-12"/>
        </w:rPr>
        <w:t> </w:t>
      </w:r>
      <w:r>
        <w:rPr>
          <w:color w:val="231F20"/>
          <w:spacing w:val="-2"/>
        </w:rPr>
        <w:t>»,</w:t>
      </w:r>
      <w:r>
        <w:rPr>
          <w:color w:val="231F20"/>
          <w:spacing w:val="-9"/>
        </w:rPr>
        <w:t> </w:t>
      </w:r>
      <w:r>
        <w:rPr>
          <w:color w:val="231F20"/>
          <w:spacing w:val="-2"/>
        </w:rPr>
        <w:t>lance</w:t>
      </w:r>
      <w:r>
        <w:rPr>
          <w:color w:val="231F20"/>
          <w:spacing w:val="-8"/>
        </w:rPr>
        <w:t> </w:t>
      </w:r>
      <w:r>
        <w:rPr>
          <w:color w:val="231F20"/>
          <w:spacing w:val="-2"/>
        </w:rPr>
        <w:t>dès</w:t>
      </w:r>
      <w:r>
        <w:rPr>
          <w:color w:val="231F20"/>
          <w:spacing w:val="-9"/>
        </w:rPr>
        <w:t> </w:t>
      </w:r>
      <w:r>
        <w:rPr>
          <w:color w:val="231F20"/>
          <w:spacing w:val="-2"/>
        </w:rPr>
        <w:t>le</w:t>
      </w:r>
      <w:r>
        <w:rPr>
          <w:color w:val="231F20"/>
          <w:spacing w:val="-10"/>
        </w:rPr>
        <w:t> </w:t>
      </w:r>
      <w:r>
        <w:rPr>
          <w:color w:val="231F20"/>
          <w:spacing w:val="-2"/>
        </w:rPr>
        <w:t>28</w:t>
      </w:r>
      <w:r>
        <w:rPr>
          <w:color w:val="231F20"/>
          <w:spacing w:val="-9"/>
        </w:rPr>
        <w:t> </w:t>
      </w:r>
      <w:r>
        <w:rPr>
          <w:color w:val="231F20"/>
          <w:spacing w:val="-2"/>
        </w:rPr>
        <w:t>mars,</w:t>
      </w:r>
      <w:r>
        <w:rPr>
          <w:color w:val="231F20"/>
          <w:spacing w:val="-8"/>
        </w:rPr>
        <w:t> </w:t>
      </w:r>
      <w:r>
        <w:rPr>
          <w:color w:val="231F20"/>
          <w:spacing w:val="-2"/>
        </w:rPr>
        <w:t>une</w:t>
      </w:r>
      <w:r>
        <w:rPr>
          <w:color w:val="231F20"/>
          <w:spacing w:val="-10"/>
        </w:rPr>
        <w:t> </w:t>
      </w:r>
      <w:r>
        <w:rPr>
          <w:color w:val="231F20"/>
          <w:spacing w:val="-2"/>
        </w:rPr>
        <w:t>offensive</w:t>
      </w:r>
      <w:r>
        <w:rPr>
          <w:color w:val="231F20"/>
          <w:spacing w:val="-10"/>
        </w:rPr>
        <w:t> </w:t>
      </w:r>
      <w:r>
        <w:rPr>
          <w:color w:val="231F20"/>
          <w:spacing w:val="-2"/>
        </w:rPr>
        <w:t>généralisée</w:t>
      </w:r>
      <w:r>
        <w:rPr>
          <w:color w:val="231F20"/>
          <w:spacing w:val="-10"/>
        </w:rPr>
        <w:t> </w:t>
      </w:r>
      <w:r>
        <w:rPr>
          <w:color w:val="231F20"/>
          <w:spacing w:val="-2"/>
        </w:rPr>
        <w:t>sur </w:t>
      </w:r>
      <w:r>
        <w:rPr>
          <w:color w:val="231F20"/>
        </w:rPr>
        <w:t>trois grands axes de l’ancienne ligne de front à l’Est, à l’Ouest et au </w:t>
      </w:r>
      <w:r>
        <w:rPr>
          <w:color w:val="231F20"/>
          <w:spacing w:val="-2"/>
        </w:rPr>
        <w:t>Centre-ouest.</w:t>
      </w:r>
    </w:p>
    <w:p>
      <w:pPr>
        <w:spacing w:after="0"/>
        <w:sectPr>
          <w:pgSz w:w="8790" w:h="13610"/>
          <w:pgMar w:header="0" w:footer="802" w:top="1060" w:bottom="1000" w:left="880" w:right="880"/>
        </w:sectPr>
      </w:pPr>
    </w:p>
    <w:p>
      <w:pPr>
        <w:pStyle w:val="BodyText"/>
        <w:spacing w:before="66"/>
        <w:ind w:right="105" w:firstLine="283"/>
      </w:pPr>
      <w:r>
        <w:rPr>
          <w:color w:val="231F20"/>
        </w:rPr>
        <w:t>Le</w:t>
      </w:r>
      <w:r>
        <w:rPr>
          <w:color w:val="231F20"/>
          <w:spacing w:val="-15"/>
        </w:rPr>
        <w:t> </w:t>
      </w:r>
      <w:r>
        <w:rPr>
          <w:color w:val="231F20"/>
        </w:rPr>
        <w:t>29</w:t>
      </w:r>
      <w:r>
        <w:rPr>
          <w:color w:val="231F20"/>
          <w:spacing w:val="-15"/>
        </w:rPr>
        <w:t> </w:t>
      </w:r>
      <w:r>
        <w:rPr>
          <w:color w:val="231F20"/>
        </w:rPr>
        <w:t>mars</w:t>
      </w:r>
      <w:r>
        <w:rPr>
          <w:color w:val="231F20"/>
          <w:spacing w:val="-15"/>
        </w:rPr>
        <w:t> </w:t>
      </w:r>
      <w:r>
        <w:rPr>
          <w:color w:val="231F20"/>
        </w:rPr>
        <w:t>2011,</w:t>
      </w:r>
      <w:r>
        <w:rPr>
          <w:color w:val="231F20"/>
          <w:spacing w:val="-15"/>
        </w:rPr>
        <w:t> </w:t>
      </w:r>
      <w:r>
        <w:rPr>
          <w:color w:val="231F20"/>
        </w:rPr>
        <w:t>Duékoué,</w:t>
      </w:r>
      <w:r>
        <w:rPr>
          <w:color w:val="231F20"/>
          <w:spacing w:val="-13"/>
        </w:rPr>
        <w:t> </w:t>
      </w:r>
      <w:r>
        <w:rPr>
          <w:color w:val="231F20"/>
        </w:rPr>
        <w:t>ville</w:t>
      </w:r>
      <w:r>
        <w:rPr>
          <w:color w:val="231F20"/>
          <w:spacing w:val="-15"/>
        </w:rPr>
        <w:t> </w:t>
      </w:r>
      <w:r>
        <w:rPr>
          <w:color w:val="231F20"/>
        </w:rPr>
        <w:t>de</w:t>
      </w:r>
      <w:r>
        <w:rPr>
          <w:color w:val="231F20"/>
          <w:spacing w:val="-15"/>
        </w:rPr>
        <w:t> </w:t>
      </w:r>
      <w:r>
        <w:rPr>
          <w:color w:val="231F20"/>
        </w:rPr>
        <w:t>72.000</w:t>
      </w:r>
      <w:r>
        <w:rPr>
          <w:color w:val="231F20"/>
          <w:spacing w:val="-15"/>
        </w:rPr>
        <w:t> </w:t>
      </w:r>
      <w:r>
        <w:rPr>
          <w:color w:val="231F20"/>
        </w:rPr>
        <w:t>habitants</w:t>
      </w:r>
      <w:r>
        <w:rPr>
          <w:color w:val="231F20"/>
          <w:spacing w:val="-14"/>
        </w:rPr>
        <w:t> </w:t>
      </w:r>
      <w:r>
        <w:rPr>
          <w:color w:val="231F20"/>
        </w:rPr>
        <w:t>dans</w:t>
      </w:r>
      <w:r>
        <w:rPr>
          <w:color w:val="231F20"/>
          <w:spacing w:val="-15"/>
        </w:rPr>
        <w:t> </w:t>
      </w:r>
      <w:r>
        <w:rPr>
          <w:color w:val="231F20"/>
        </w:rPr>
        <w:t>l’Ouest</w:t>
      </w:r>
      <w:r>
        <w:rPr>
          <w:color w:val="231F20"/>
          <w:spacing w:val="-15"/>
        </w:rPr>
        <w:t> </w:t>
      </w:r>
      <w:r>
        <w:rPr>
          <w:color w:val="231F20"/>
        </w:rPr>
        <w:t>du </w:t>
      </w:r>
      <w:r>
        <w:rPr>
          <w:color w:val="231F20"/>
          <w:spacing w:val="-4"/>
        </w:rPr>
        <w:t>pays</w:t>
      </w:r>
      <w:r>
        <w:rPr>
          <w:color w:val="231F20"/>
          <w:spacing w:val="-11"/>
        </w:rPr>
        <w:t> </w:t>
      </w:r>
      <w:r>
        <w:rPr>
          <w:color w:val="231F20"/>
          <w:spacing w:val="-4"/>
        </w:rPr>
        <w:t>est</w:t>
      </w:r>
      <w:r>
        <w:rPr>
          <w:color w:val="231F20"/>
          <w:spacing w:val="-11"/>
        </w:rPr>
        <w:t> </w:t>
      </w:r>
      <w:r>
        <w:rPr>
          <w:color w:val="231F20"/>
          <w:spacing w:val="-4"/>
        </w:rPr>
        <w:t>sous</w:t>
      </w:r>
      <w:r>
        <w:rPr>
          <w:color w:val="231F20"/>
          <w:spacing w:val="-11"/>
        </w:rPr>
        <w:t> </w:t>
      </w:r>
      <w:r>
        <w:rPr>
          <w:color w:val="231F20"/>
          <w:spacing w:val="-4"/>
        </w:rPr>
        <w:t>les</w:t>
      </w:r>
      <w:r>
        <w:rPr>
          <w:color w:val="231F20"/>
          <w:spacing w:val="-11"/>
        </w:rPr>
        <w:t> </w:t>
      </w:r>
      <w:r>
        <w:rPr>
          <w:color w:val="231F20"/>
          <w:spacing w:val="-4"/>
        </w:rPr>
        <w:t>feux</w:t>
      </w:r>
      <w:r>
        <w:rPr>
          <w:color w:val="231F20"/>
          <w:spacing w:val="-11"/>
        </w:rPr>
        <w:t> </w:t>
      </w:r>
      <w:r>
        <w:rPr>
          <w:color w:val="231F20"/>
          <w:spacing w:val="-4"/>
        </w:rPr>
        <w:t>des</w:t>
      </w:r>
      <w:r>
        <w:rPr>
          <w:color w:val="231F20"/>
          <w:spacing w:val="-11"/>
        </w:rPr>
        <w:t> </w:t>
      </w:r>
      <w:r>
        <w:rPr>
          <w:color w:val="231F20"/>
          <w:spacing w:val="-4"/>
        </w:rPr>
        <w:t>FRCI</w:t>
      </w:r>
      <w:r>
        <w:rPr>
          <w:color w:val="231F20"/>
          <w:spacing w:val="-11"/>
        </w:rPr>
        <w:t> </w:t>
      </w:r>
      <w:r>
        <w:rPr>
          <w:color w:val="231F20"/>
          <w:spacing w:val="-4"/>
        </w:rPr>
        <w:t>et</w:t>
      </w:r>
      <w:r>
        <w:rPr>
          <w:color w:val="231F20"/>
          <w:spacing w:val="-11"/>
        </w:rPr>
        <w:t> </w:t>
      </w:r>
      <w:r>
        <w:rPr>
          <w:color w:val="231F20"/>
          <w:spacing w:val="-4"/>
        </w:rPr>
        <w:t>de</w:t>
      </w:r>
      <w:r>
        <w:rPr>
          <w:color w:val="231F20"/>
          <w:spacing w:val="-11"/>
        </w:rPr>
        <w:t> </w:t>
      </w:r>
      <w:r>
        <w:rPr>
          <w:color w:val="231F20"/>
          <w:spacing w:val="-4"/>
        </w:rPr>
        <w:t>leurs</w:t>
      </w:r>
      <w:r>
        <w:rPr>
          <w:color w:val="231F20"/>
          <w:spacing w:val="-11"/>
        </w:rPr>
        <w:t> </w:t>
      </w:r>
      <w:r>
        <w:rPr>
          <w:color w:val="231F20"/>
          <w:spacing w:val="-4"/>
        </w:rPr>
        <w:t>alliés.</w:t>
      </w:r>
      <w:r>
        <w:rPr>
          <w:color w:val="231F20"/>
          <w:spacing w:val="-11"/>
        </w:rPr>
        <w:t> </w:t>
      </w:r>
      <w:r>
        <w:rPr>
          <w:color w:val="231F20"/>
          <w:spacing w:val="-4"/>
        </w:rPr>
        <w:t>Duékoué</w:t>
      </w:r>
      <w:r>
        <w:rPr>
          <w:color w:val="231F20"/>
          <w:spacing w:val="-11"/>
        </w:rPr>
        <w:t> </w:t>
      </w:r>
      <w:r>
        <w:rPr>
          <w:color w:val="231F20"/>
          <w:spacing w:val="-4"/>
        </w:rPr>
        <w:t>est</w:t>
      </w:r>
      <w:r>
        <w:rPr>
          <w:color w:val="231F20"/>
          <w:spacing w:val="-11"/>
        </w:rPr>
        <w:t> </w:t>
      </w:r>
      <w:r>
        <w:rPr>
          <w:color w:val="231F20"/>
          <w:spacing w:val="-4"/>
        </w:rPr>
        <w:t>un</w:t>
      </w:r>
      <w:r>
        <w:rPr>
          <w:color w:val="231F20"/>
          <w:spacing w:val="-11"/>
        </w:rPr>
        <w:t> </w:t>
      </w:r>
      <w:r>
        <w:rPr>
          <w:color w:val="231F20"/>
          <w:spacing w:val="-4"/>
        </w:rPr>
        <w:t>carrefour </w:t>
      </w:r>
      <w:r>
        <w:rPr>
          <w:color w:val="231F20"/>
        </w:rPr>
        <w:t>stratégique</w:t>
      </w:r>
      <w:r>
        <w:rPr>
          <w:color w:val="231F20"/>
          <w:spacing w:val="-11"/>
        </w:rPr>
        <w:t> </w:t>
      </w:r>
      <w:r>
        <w:rPr>
          <w:color w:val="231F20"/>
        </w:rPr>
        <w:t>menant</w:t>
      </w:r>
      <w:r>
        <w:rPr>
          <w:color w:val="231F20"/>
          <w:spacing w:val="-11"/>
        </w:rPr>
        <w:t> </w:t>
      </w:r>
      <w:r>
        <w:rPr>
          <w:color w:val="231F20"/>
        </w:rPr>
        <w:t>à</w:t>
      </w:r>
      <w:r>
        <w:rPr>
          <w:color w:val="231F20"/>
          <w:spacing w:val="-9"/>
        </w:rPr>
        <w:t> </w:t>
      </w:r>
      <w:r>
        <w:rPr>
          <w:color w:val="231F20"/>
        </w:rPr>
        <w:t>San</w:t>
      </w:r>
      <w:r>
        <w:rPr>
          <w:color w:val="231F20"/>
          <w:spacing w:val="-11"/>
        </w:rPr>
        <w:t> </w:t>
      </w:r>
      <w:r>
        <w:rPr>
          <w:color w:val="231F20"/>
        </w:rPr>
        <w:t>Pedro,</w:t>
      </w:r>
      <w:r>
        <w:rPr>
          <w:color w:val="231F20"/>
          <w:spacing w:val="-12"/>
        </w:rPr>
        <w:t> </w:t>
      </w:r>
      <w:r>
        <w:rPr>
          <w:color w:val="231F20"/>
        </w:rPr>
        <w:t>le</w:t>
      </w:r>
      <w:r>
        <w:rPr>
          <w:color w:val="231F20"/>
          <w:spacing w:val="-9"/>
        </w:rPr>
        <w:t> </w:t>
      </w:r>
      <w:r>
        <w:rPr>
          <w:color w:val="231F20"/>
        </w:rPr>
        <w:t>plus</w:t>
      </w:r>
      <w:r>
        <w:rPr>
          <w:color w:val="231F20"/>
          <w:spacing w:val="-11"/>
        </w:rPr>
        <w:t> </w:t>
      </w:r>
      <w:r>
        <w:rPr>
          <w:color w:val="231F20"/>
        </w:rPr>
        <w:t>important</w:t>
      </w:r>
      <w:r>
        <w:rPr>
          <w:color w:val="231F20"/>
          <w:spacing w:val="-11"/>
        </w:rPr>
        <w:t> </w:t>
      </w:r>
      <w:r>
        <w:rPr>
          <w:color w:val="231F20"/>
        </w:rPr>
        <w:t>port</w:t>
      </w:r>
      <w:r>
        <w:rPr>
          <w:color w:val="231F20"/>
          <w:spacing w:val="-9"/>
        </w:rPr>
        <w:t> </w:t>
      </w:r>
      <w:r>
        <w:rPr>
          <w:color w:val="231F20"/>
        </w:rPr>
        <w:t>d’exportation</w:t>
      </w:r>
      <w:r>
        <w:rPr>
          <w:color w:val="231F20"/>
          <w:spacing w:val="-9"/>
        </w:rPr>
        <w:t> </w:t>
      </w:r>
      <w:r>
        <w:rPr>
          <w:color w:val="231F20"/>
        </w:rPr>
        <w:t>du </w:t>
      </w:r>
      <w:r>
        <w:rPr>
          <w:color w:val="231F20"/>
          <w:spacing w:val="-2"/>
        </w:rPr>
        <w:t>cacao</w:t>
      </w:r>
      <w:r>
        <w:rPr>
          <w:color w:val="231F20"/>
          <w:spacing w:val="-13"/>
        </w:rPr>
        <w:t> </w:t>
      </w:r>
      <w:r>
        <w:rPr>
          <w:color w:val="231F20"/>
          <w:spacing w:val="-2"/>
        </w:rPr>
        <w:t>au</w:t>
      </w:r>
      <w:r>
        <w:rPr>
          <w:color w:val="231F20"/>
          <w:spacing w:val="-13"/>
        </w:rPr>
        <w:t> </w:t>
      </w:r>
      <w:r>
        <w:rPr>
          <w:color w:val="231F20"/>
          <w:spacing w:val="-2"/>
        </w:rPr>
        <w:t>monde</w:t>
      </w:r>
      <w:r>
        <w:rPr>
          <w:color w:val="231F20"/>
          <w:spacing w:val="-13"/>
        </w:rPr>
        <w:t> </w:t>
      </w:r>
      <w:r>
        <w:rPr>
          <w:color w:val="231F20"/>
          <w:spacing w:val="-2"/>
        </w:rPr>
        <w:t>situé</w:t>
      </w:r>
      <w:r>
        <w:rPr>
          <w:color w:val="231F20"/>
          <w:spacing w:val="-13"/>
        </w:rPr>
        <w:t> </w:t>
      </w:r>
      <w:r>
        <w:rPr>
          <w:color w:val="231F20"/>
          <w:spacing w:val="-2"/>
        </w:rPr>
        <w:t>300</w:t>
      </w:r>
      <w:r>
        <w:rPr>
          <w:color w:val="231F20"/>
          <w:spacing w:val="-13"/>
        </w:rPr>
        <w:t> </w:t>
      </w:r>
      <w:r>
        <w:rPr>
          <w:color w:val="231F20"/>
          <w:spacing w:val="-2"/>
        </w:rPr>
        <w:t>km</w:t>
      </w:r>
      <w:r>
        <w:rPr>
          <w:color w:val="231F20"/>
          <w:spacing w:val="-13"/>
        </w:rPr>
        <w:t> </w:t>
      </w:r>
      <w:r>
        <w:rPr>
          <w:color w:val="231F20"/>
          <w:spacing w:val="-2"/>
        </w:rPr>
        <w:t>plus</w:t>
      </w:r>
      <w:r>
        <w:rPr>
          <w:color w:val="231F20"/>
          <w:spacing w:val="-13"/>
        </w:rPr>
        <w:t> </w:t>
      </w:r>
      <w:r>
        <w:rPr>
          <w:color w:val="231F20"/>
          <w:spacing w:val="-2"/>
        </w:rPr>
        <w:t>au</w:t>
      </w:r>
      <w:r>
        <w:rPr>
          <w:color w:val="231F20"/>
          <w:spacing w:val="-13"/>
        </w:rPr>
        <w:t> </w:t>
      </w:r>
      <w:r>
        <w:rPr>
          <w:color w:val="231F20"/>
          <w:spacing w:val="-2"/>
        </w:rPr>
        <w:t>sud.</w:t>
      </w:r>
      <w:r>
        <w:rPr>
          <w:color w:val="231F20"/>
          <w:spacing w:val="-12"/>
        </w:rPr>
        <w:t> </w:t>
      </w:r>
      <w:r>
        <w:rPr>
          <w:color w:val="231F20"/>
          <w:spacing w:val="-2"/>
        </w:rPr>
        <w:t>La</w:t>
      </w:r>
      <w:r>
        <w:rPr>
          <w:color w:val="231F20"/>
          <w:spacing w:val="-13"/>
        </w:rPr>
        <w:t> </w:t>
      </w:r>
      <w:r>
        <w:rPr>
          <w:color w:val="231F20"/>
          <w:spacing w:val="-2"/>
        </w:rPr>
        <w:t>ville</w:t>
      </w:r>
      <w:r>
        <w:rPr>
          <w:color w:val="231F20"/>
          <w:spacing w:val="-13"/>
        </w:rPr>
        <w:t> </w:t>
      </w:r>
      <w:r>
        <w:rPr>
          <w:color w:val="231F20"/>
          <w:spacing w:val="-2"/>
        </w:rPr>
        <w:t>tombe</w:t>
      </w:r>
      <w:r>
        <w:rPr>
          <w:color w:val="231F20"/>
          <w:spacing w:val="-11"/>
        </w:rPr>
        <w:t> </w:t>
      </w:r>
      <w:r>
        <w:rPr>
          <w:color w:val="231F20"/>
          <w:spacing w:val="-2"/>
        </w:rPr>
        <w:t>rapidement</w:t>
      </w:r>
      <w:r>
        <w:rPr>
          <w:color w:val="231F20"/>
          <w:spacing w:val="-11"/>
        </w:rPr>
        <w:t> </w:t>
      </w:r>
      <w:r>
        <w:rPr>
          <w:color w:val="231F20"/>
          <w:spacing w:val="-2"/>
        </w:rPr>
        <w:t>aux </w:t>
      </w:r>
      <w:r>
        <w:rPr>
          <w:color w:val="231F20"/>
        </w:rPr>
        <w:t>mains des FRCI. Les combats à l’arme lourde font des milliers de </w:t>
      </w:r>
      <w:r>
        <w:rPr>
          <w:color w:val="231F20"/>
          <w:spacing w:val="-4"/>
        </w:rPr>
        <w:t>morts</w:t>
      </w:r>
      <w:r>
        <w:rPr>
          <w:color w:val="231F20"/>
          <w:spacing w:val="-4"/>
          <w:vertAlign w:val="superscript"/>
        </w:rPr>
        <w:t>206.</w:t>
      </w:r>
      <w:r>
        <w:rPr>
          <w:color w:val="231F20"/>
          <w:spacing w:val="-11"/>
          <w:vertAlign w:val="baseline"/>
        </w:rPr>
        <w:t> </w:t>
      </w:r>
      <w:r>
        <w:rPr>
          <w:color w:val="231F20"/>
          <w:spacing w:val="-4"/>
          <w:vertAlign w:val="baseline"/>
        </w:rPr>
        <w:t>L’organisation</w:t>
      </w:r>
      <w:r>
        <w:rPr>
          <w:color w:val="231F20"/>
          <w:spacing w:val="-11"/>
          <w:vertAlign w:val="baseline"/>
        </w:rPr>
        <w:t> </w:t>
      </w:r>
      <w:r>
        <w:rPr>
          <w:color w:val="231F20"/>
          <w:spacing w:val="-4"/>
          <w:vertAlign w:val="baseline"/>
        </w:rPr>
        <w:t>Amnesty</w:t>
      </w:r>
      <w:r>
        <w:rPr>
          <w:color w:val="231F20"/>
          <w:spacing w:val="-11"/>
          <w:vertAlign w:val="baseline"/>
        </w:rPr>
        <w:t> </w:t>
      </w:r>
      <w:r>
        <w:rPr>
          <w:color w:val="231F20"/>
          <w:spacing w:val="-4"/>
          <w:vertAlign w:val="baseline"/>
        </w:rPr>
        <w:t>International</w:t>
      </w:r>
      <w:r>
        <w:rPr>
          <w:color w:val="231F20"/>
          <w:spacing w:val="-11"/>
          <w:vertAlign w:val="baseline"/>
        </w:rPr>
        <w:t> </w:t>
      </w:r>
      <w:r>
        <w:rPr>
          <w:color w:val="231F20"/>
          <w:spacing w:val="-4"/>
          <w:vertAlign w:val="baseline"/>
        </w:rPr>
        <w:t>fait</w:t>
      </w:r>
      <w:r>
        <w:rPr>
          <w:color w:val="231F20"/>
          <w:spacing w:val="-11"/>
          <w:vertAlign w:val="baseline"/>
        </w:rPr>
        <w:t> </w:t>
      </w:r>
      <w:r>
        <w:rPr>
          <w:color w:val="231F20"/>
          <w:spacing w:val="-4"/>
          <w:vertAlign w:val="baseline"/>
        </w:rPr>
        <w:t>état</w:t>
      </w:r>
      <w:r>
        <w:rPr>
          <w:color w:val="231F20"/>
          <w:spacing w:val="-11"/>
          <w:vertAlign w:val="baseline"/>
        </w:rPr>
        <w:t> </w:t>
      </w:r>
      <w:r>
        <w:rPr>
          <w:color w:val="231F20"/>
          <w:spacing w:val="-4"/>
          <w:vertAlign w:val="baseline"/>
        </w:rPr>
        <w:t>de</w:t>
      </w:r>
      <w:r>
        <w:rPr>
          <w:color w:val="231F20"/>
          <w:spacing w:val="-11"/>
          <w:vertAlign w:val="baseline"/>
        </w:rPr>
        <w:t> </w:t>
      </w:r>
      <w:r>
        <w:rPr>
          <w:color w:val="231F20"/>
          <w:spacing w:val="-4"/>
          <w:vertAlign w:val="baseline"/>
        </w:rPr>
        <w:t>10</w:t>
      </w:r>
      <w:r>
        <w:rPr>
          <w:color w:val="231F20"/>
          <w:spacing w:val="-11"/>
          <w:vertAlign w:val="baseline"/>
        </w:rPr>
        <w:t> </w:t>
      </w:r>
      <w:r>
        <w:rPr>
          <w:color w:val="231F20"/>
          <w:spacing w:val="-4"/>
          <w:vertAlign w:val="baseline"/>
        </w:rPr>
        <w:t>000</w:t>
      </w:r>
      <w:r>
        <w:rPr>
          <w:color w:val="231F20"/>
          <w:spacing w:val="-11"/>
          <w:vertAlign w:val="baseline"/>
        </w:rPr>
        <w:t> </w:t>
      </w:r>
      <w:r>
        <w:rPr>
          <w:color w:val="231F20"/>
          <w:spacing w:val="-4"/>
          <w:vertAlign w:val="baseline"/>
        </w:rPr>
        <w:t>réfugiés </w:t>
      </w:r>
      <w:r>
        <w:rPr>
          <w:color w:val="231F20"/>
          <w:vertAlign w:val="baseline"/>
        </w:rPr>
        <w:t>dans</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mission</w:t>
      </w:r>
      <w:r>
        <w:rPr>
          <w:color w:val="231F20"/>
          <w:spacing w:val="-15"/>
          <w:vertAlign w:val="baseline"/>
        </w:rPr>
        <w:t> </w:t>
      </w:r>
      <w:r>
        <w:rPr>
          <w:color w:val="231F20"/>
          <w:vertAlign w:val="baseline"/>
        </w:rPr>
        <w:t>catholique</w:t>
      </w:r>
      <w:r>
        <w:rPr>
          <w:color w:val="231F20"/>
          <w:spacing w:val="-15"/>
          <w:vertAlign w:val="baseline"/>
        </w:rPr>
        <w:t> </w:t>
      </w:r>
      <w:r>
        <w:rPr>
          <w:color w:val="231F20"/>
          <w:vertAlign w:val="baseline"/>
        </w:rPr>
        <w:t>de</w:t>
      </w:r>
      <w:r>
        <w:rPr>
          <w:color w:val="231F20"/>
          <w:spacing w:val="-14"/>
          <w:vertAlign w:val="baseline"/>
        </w:rPr>
        <w:t> </w:t>
      </w:r>
      <w:r>
        <w:rPr>
          <w:color w:val="231F20"/>
          <w:vertAlign w:val="baseline"/>
        </w:rPr>
        <w:t>Duékoué.</w:t>
      </w:r>
      <w:r>
        <w:rPr>
          <w:color w:val="231F20"/>
          <w:spacing w:val="-14"/>
          <w:vertAlign w:val="baseline"/>
        </w:rPr>
        <w:t> </w:t>
      </w:r>
      <w:r>
        <w:rPr>
          <w:color w:val="231F20"/>
          <w:vertAlign w:val="baseline"/>
        </w:rPr>
        <w:t>Des</w:t>
      </w:r>
      <w:r>
        <w:rPr>
          <w:color w:val="231F20"/>
          <w:spacing w:val="-14"/>
          <w:vertAlign w:val="baseline"/>
        </w:rPr>
        <w:t> </w:t>
      </w:r>
      <w:r>
        <w:rPr>
          <w:color w:val="231F20"/>
          <w:vertAlign w:val="baseline"/>
        </w:rPr>
        <w:t>exactions</w:t>
      </w:r>
      <w:r>
        <w:rPr>
          <w:color w:val="231F20"/>
          <w:spacing w:val="-15"/>
          <w:vertAlign w:val="baseline"/>
        </w:rPr>
        <w:t> </w:t>
      </w:r>
      <w:r>
        <w:rPr>
          <w:color w:val="231F20"/>
          <w:vertAlign w:val="baseline"/>
        </w:rPr>
        <w:t>sont</w:t>
      </w:r>
      <w:r>
        <w:rPr>
          <w:color w:val="231F20"/>
          <w:spacing w:val="-14"/>
          <w:vertAlign w:val="baseline"/>
        </w:rPr>
        <w:t> </w:t>
      </w:r>
      <w:r>
        <w:rPr>
          <w:color w:val="231F20"/>
          <w:vertAlign w:val="baseline"/>
        </w:rPr>
        <w:t>commises,</w:t>
      </w:r>
      <w:r>
        <w:rPr>
          <w:color w:val="231F20"/>
          <w:spacing w:val="-15"/>
          <w:vertAlign w:val="baseline"/>
        </w:rPr>
        <w:t> </w:t>
      </w:r>
      <w:r>
        <w:rPr>
          <w:color w:val="231F20"/>
          <w:vertAlign w:val="baseline"/>
        </w:rPr>
        <w:t>à grande</w:t>
      </w:r>
      <w:r>
        <w:rPr>
          <w:color w:val="231F20"/>
          <w:spacing w:val="-13"/>
          <w:vertAlign w:val="baseline"/>
        </w:rPr>
        <w:t> </w:t>
      </w:r>
      <w:r>
        <w:rPr>
          <w:color w:val="231F20"/>
          <w:vertAlign w:val="baseline"/>
        </w:rPr>
        <w:t>échelle</w:t>
      </w:r>
      <w:r>
        <w:rPr>
          <w:color w:val="231F20"/>
          <w:spacing w:val="-14"/>
          <w:vertAlign w:val="baseline"/>
        </w:rPr>
        <w:t> </w:t>
      </w:r>
      <w:r>
        <w:rPr>
          <w:color w:val="231F20"/>
          <w:vertAlign w:val="baseline"/>
        </w:rPr>
        <w:t>selon</w:t>
      </w:r>
      <w:r>
        <w:rPr>
          <w:color w:val="231F20"/>
          <w:spacing w:val="-12"/>
          <w:vertAlign w:val="baseline"/>
        </w:rPr>
        <w:t> </w:t>
      </w:r>
      <w:r>
        <w:rPr>
          <w:color w:val="231F20"/>
          <w:vertAlign w:val="baseline"/>
        </w:rPr>
        <w:t>Human</w:t>
      </w:r>
      <w:r>
        <w:rPr>
          <w:color w:val="231F20"/>
          <w:spacing w:val="-13"/>
          <w:vertAlign w:val="baseline"/>
        </w:rPr>
        <w:t> </w:t>
      </w:r>
      <w:r>
        <w:rPr>
          <w:color w:val="231F20"/>
          <w:vertAlign w:val="baseline"/>
        </w:rPr>
        <w:t>Rights</w:t>
      </w:r>
      <w:r>
        <w:rPr>
          <w:color w:val="231F20"/>
          <w:spacing w:val="-13"/>
          <w:vertAlign w:val="baseline"/>
        </w:rPr>
        <w:t> </w:t>
      </w:r>
      <w:r>
        <w:rPr>
          <w:color w:val="231F20"/>
          <w:vertAlign w:val="baseline"/>
        </w:rPr>
        <w:t>Watch</w:t>
      </w:r>
      <w:r>
        <w:rPr>
          <w:color w:val="231F20"/>
          <w:spacing w:val="-13"/>
          <w:vertAlign w:val="baseline"/>
        </w:rPr>
        <w:t> </w:t>
      </w:r>
      <w:r>
        <w:rPr>
          <w:color w:val="231F20"/>
          <w:vertAlign w:val="baseline"/>
        </w:rPr>
        <w:t>et</w:t>
      </w:r>
      <w:r>
        <w:rPr>
          <w:color w:val="231F20"/>
          <w:spacing w:val="-13"/>
          <w:vertAlign w:val="baseline"/>
        </w:rPr>
        <w:t> </w:t>
      </w:r>
      <w:r>
        <w:rPr>
          <w:color w:val="231F20"/>
          <w:vertAlign w:val="baseline"/>
        </w:rPr>
        <w:t>d’autres</w:t>
      </w:r>
      <w:r>
        <w:rPr>
          <w:color w:val="231F20"/>
          <w:spacing w:val="-13"/>
          <w:vertAlign w:val="baseline"/>
        </w:rPr>
        <w:t> </w:t>
      </w:r>
      <w:r>
        <w:rPr>
          <w:color w:val="231F20"/>
          <w:vertAlign w:val="baseline"/>
        </w:rPr>
        <w:t>témoins.</w:t>
      </w:r>
      <w:r>
        <w:rPr>
          <w:color w:val="231F20"/>
          <w:spacing w:val="-13"/>
          <w:vertAlign w:val="baseline"/>
        </w:rPr>
        <w:t> </w:t>
      </w:r>
      <w:r>
        <w:rPr>
          <w:color w:val="231F20"/>
          <w:vertAlign w:val="baseline"/>
        </w:rPr>
        <w:t>Dans</w:t>
      </w:r>
      <w:r>
        <w:rPr>
          <w:color w:val="231F20"/>
          <w:spacing w:val="-13"/>
          <w:vertAlign w:val="baseline"/>
        </w:rPr>
        <w:t> </w:t>
      </w:r>
      <w:r>
        <w:rPr>
          <w:color w:val="231F20"/>
          <w:vertAlign w:val="baseline"/>
        </w:rPr>
        <w:t>un quartier de la ville, les hommes et les garçons appartenant à l’ethnie </w:t>
      </w:r>
      <w:r>
        <w:rPr>
          <w:color w:val="231F20"/>
          <w:spacing w:val="-4"/>
          <w:vertAlign w:val="baseline"/>
        </w:rPr>
        <w:t>Guéré, qui votent</w:t>
      </w:r>
      <w:r>
        <w:rPr>
          <w:color w:val="231F20"/>
          <w:spacing w:val="-6"/>
          <w:vertAlign w:val="baseline"/>
        </w:rPr>
        <w:t> </w:t>
      </w:r>
      <w:r>
        <w:rPr>
          <w:color w:val="231F20"/>
          <w:spacing w:val="-4"/>
          <w:vertAlign w:val="baseline"/>
        </w:rPr>
        <w:t>majoritairement pour</w:t>
      </w:r>
      <w:r>
        <w:rPr>
          <w:color w:val="231F20"/>
          <w:spacing w:val="-6"/>
          <w:vertAlign w:val="baseline"/>
        </w:rPr>
        <w:t> </w:t>
      </w:r>
      <w:r>
        <w:rPr>
          <w:color w:val="231F20"/>
          <w:spacing w:val="-4"/>
          <w:vertAlign w:val="baseline"/>
        </w:rPr>
        <w:t>Laurent</w:t>
      </w:r>
      <w:r>
        <w:rPr>
          <w:color w:val="231F20"/>
          <w:spacing w:val="-6"/>
          <w:vertAlign w:val="baseline"/>
        </w:rPr>
        <w:t> </w:t>
      </w:r>
      <w:r>
        <w:rPr>
          <w:color w:val="231F20"/>
          <w:spacing w:val="-4"/>
          <w:vertAlign w:val="baseline"/>
        </w:rPr>
        <w:t>Gbagbo,</w:t>
      </w:r>
      <w:r>
        <w:rPr>
          <w:color w:val="231F20"/>
          <w:spacing w:val="-6"/>
          <w:vertAlign w:val="baseline"/>
        </w:rPr>
        <w:t> </w:t>
      </w:r>
      <w:r>
        <w:rPr>
          <w:color w:val="231F20"/>
          <w:spacing w:val="-4"/>
          <w:vertAlign w:val="baseline"/>
        </w:rPr>
        <w:t>sont séparés</w:t>
      </w:r>
      <w:r>
        <w:rPr>
          <w:color w:val="231F20"/>
          <w:spacing w:val="-6"/>
          <w:vertAlign w:val="baseline"/>
        </w:rPr>
        <w:t> </w:t>
      </w:r>
      <w:r>
        <w:rPr>
          <w:color w:val="231F20"/>
          <w:spacing w:val="-4"/>
          <w:vertAlign w:val="baseline"/>
        </w:rPr>
        <w:t>des </w:t>
      </w:r>
      <w:r>
        <w:rPr>
          <w:color w:val="231F20"/>
          <w:vertAlign w:val="baseline"/>
        </w:rPr>
        <w:t>femmes,</w:t>
      </w:r>
      <w:r>
        <w:rPr>
          <w:color w:val="231F20"/>
          <w:spacing w:val="-2"/>
          <w:vertAlign w:val="baseline"/>
        </w:rPr>
        <w:t> </w:t>
      </w:r>
      <w:r>
        <w:rPr>
          <w:color w:val="231F20"/>
          <w:vertAlign w:val="baseline"/>
        </w:rPr>
        <w:t>puis exécutés.</w:t>
      </w:r>
      <w:r>
        <w:rPr>
          <w:color w:val="231F20"/>
          <w:spacing w:val="-1"/>
          <w:vertAlign w:val="baseline"/>
        </w:rPr>
        <w:t> </w:t>
      </w:r>
      <w:r>
        <w:rPr>
          <w:color w:val="231F20"/>
          <w:vertAlign w:val="baseline"/>
        </w:rPr>
        <w:t>Pas moins de</w:t>
      </w:r>
      <w:r>
        <w:rPr>
          <w:color w:val="231F20"/>
          <w:spacing w:val="-2"/>
          <w:vertAlign w:val="baseline"/>
        </w:rPr>
        <w:t> </w:t>
      </w:r>
      <w:r>
        <w:rPr>
          <w:color w:val="231F20"/>
          <w:vertAlign w:val="baseline"/>
        </w:rPr>
        <w:t>30.000 civils</w:t>
      </w:r>
      <w:r>
        <w:rPr>
          <w:color w:val="231F20"/>
          <w:spacing w:val="-1"/>
          <w:vertAlign w:val="baseline"/>
        </w:rPr>
        <w:t> </w:t>
      </w:r>
      <w:r>
        <w:rPr>
          <w:color w:val="231F20"/>
          <w:vertAlign w:val="baseline"/>
        </w:rPr>
        <w:t>se réfugient dans la mission</w:t>
      </w:r>
      <w:r>
        <w:rPr>
          <w:color w:val="231F20"/>
          <w:spacing w:val="-8"/>
          <w:vertAlign w:val="baseline"/>
        </w:rPr>
        <w:t> </w:t>
      </w:r>
      <w:r>
        <w:rPr>
          <w:color w:val="231F20"/>
          <w:vertAlign w:val="baseline"/>
        </w:rPr>
        <w:t>catholique</w:t>
      </w:r>
      <w:r>
        <w:rPr>
          <w:color w:val="231F20"/>
          <w:spacing w:val="-9"/>
          <w:vertAlign w:val="baseline"/>
        </w:rPr>
        <w:t> </w:t>
      </w:r>
      <w:r>
        <w:rPr>
          <w:color w:val="231F20"/>
          <w:vertAlign w:val="baseline"/>
        </w:rPr>
        <w:t>de</w:t>
      </w:r>
      <w:r>
        <w:rPr>
          <w:color w:val="231F20"/>
          <w:spacing w:val="-11"/>
          <w:vertAlign w:val="baseline"/>
        </w:rPr>
        <w:t> </w:t>
      </w:r>
      <w:r>
        <w:rPr>
          <w:color w:val="231F20"/>
          <w:vertAlign w:val="baseline"/>
        </w:rPr>
        <w:t>la</w:t>
      </w:r>
      <w:r>
        <w:rPr>
          <w:color w:val="231F20"/>
          <w:spacing w:val="-11"/>
          <w:vertAlign w:val="baseline"/>
        </w:rPr>
        <w:t> </w:t>
      </w:r>
      <w:r>
        <w:rPr>
          <w:color w:val="231F20"/>
          <w:vertAlign w:val="baseline"/>
        </w:rPr>
        <w:t>ville.</w:t>
      </w:r>
      <w:r>
        <w:rPr>
          <w:color w:val="231F20"/>
          <w:spacing w:val="-8"/>
          <w:vertAlign w:val="baseline"/>
        </w:rPr>
        <w:t> </w:t>
      </w:r>
      <w:r>
        <w:rPr>
          <w:color w:val="231F20"/>
          <w:vertAlign w:val="baseline"/>
        </w:rPr>
        <w:t>Les</w:t>
      </w:r>
      <w:r>
        <w:rPr>
          <w:color w:val="231F20"/>
          <w:spacing w:val="-10"/>
          <w:vertAlign w:val="baseline"/>
        </w:rPr>
        <w:t> </w:t>
      </w:r>
      <w:r>
        <w:rPr>
          <w:color w:val="231F20"/>
          <w:vertAlign w:val="baseline"/>
        </w:rPr>
        <w:t>civils</w:t>
      </w:r>
      <w:r>
        <w:rPr>
          <w:color w:val="231F20"/>
          <w:spacing w:val="-10"/>
          <w:vertAlign w:val="baseline"/>
        </w:rPr>
        <w:t> </w:t>
      </w:r>
      <w:r>
        <w:rPr>
          <w:color w:val="231F20"/>
          <w:vertAlign w:val="baseline"/>
        </w:rPr>
        <w:t>par</w:t>
      </w:r>
      <w:r>
        <w:rPr>
          <w:color w:val="231F20"/>
          <w:spacing w:val="-8"/>
          <w:vertAlign w:val="baseline"/>
        </w:rPr>
        <w:t> </w:t>
      </w:r>
      <w:r>
        <w:rPr>
          <w:color w:val="231F20"/>
          <w:vertAlign w:val="baseline"/>
        </w:rPr>
        <w:t>tous</w:t>
      </w:r>
      <w:r>
        <w:rPr>
          <w:color w:val="231F20"/>
          <w:spacing w:val="-10"/>
          <w:vertAlign w:val="baseline"/>
        </w:rPr>
        <w:t> </w:t>
      </w:r>
      <w:r>
        <w:rPr>
          <w:color w:val="231F20"/>
          <w:vertAlign w:val="baseline"/>
        </w:rPr>
        <w:t>les</w:t>
      </w:r>
      <w:r>
        <w:rPr>
          <w:color w:val="231F20"/>
          <w:spacing w:val="-8"/>
          <w:vertAlign w:val="baseline"/>
        </w:rPr>
        <w:t> </w:t>
      </w:r>
      <w:r>
        <w:rPr>
          <w:color w:val="231F20"/>
          <w:vertAlign w:val="baseline"/>
        </w:rPr>
        <w:t>moyens,</w:t>
      </w:r>
      <w:r>
        <w:rPr>
          <w:color w:val="231F20"/>
          <w:spacing w:val="-10"/>
          <w:vertAlign w:val="baseline"/>
        </w:rPr>
        <w:t> </w:t>
      </w:r>
      <w:r>
        <w:rPr>
          <w:color w:val="231F20"/>
          <w:vertAlign w:val="baseline"/>
        </w:rPr>
        <w:t>tentent</w:t>
      </w:r>
      <w:r>
        <w:rPr>
          <w:color w:val="231F20"/>
          <w:spacing w:val="-8"/>
          <w:vertAlign w:val="baseline"/>
        </w:rPr>
        <w:t> </w:t>
      </w:r>
      <w:r>
        <w:rPr>
          <w:color w:val="231F20"/>
          <w:vertAlign w:val="baseline"/>
        </w:rPr>
        <w:t>de rejoindre le Libéria voisin.</w:t>
      </w:r>
    </w:p>
    <w:p>
      <w:pPr>
        <w:pStyle w:val="BodyText"/>
        <w:spacing w:before="121"/>
        <w:ind w:right="106" w:firstLine="283"/>
      </w:pPr>
      <w:r>
        <w:rPr>
          <w:color w:val="231F20"/>
        </w:rPr>
        <w:t>Les FRCI progressent rapidement vers Abidjan. Plusieurs grandes </w:t>
      </w:r>
      <w:r>
        <w:rPr>
          <w:color w:val="231F20"/>
          <w:spacing w:val="-2"/>
        </w:rPr>
        <w:t>villes</w:t>
      </w:r>
      <w:r>
        <w:rPr>
          <w:color w:val="231F20"/>
          <w:spacing w:val="-11"/>
        </w:rPr>
        <w:t> </w:t>
      </w:r>
      <w:r>
        <w:rPr>
          <w:color w:val="231F20"/>
          <w:spacing w:val="-2"/>
        </w:rPr>
        <w:t>sur</w:t>
      </w:r>
      <w:r>
        <w:rPr>
          <w:color w:val="231F20"/>
          <w:spacing w:val="-13"/>
        </w:rPr>
        <w:t> </w:t>
      </w:r>
      <w:r>
        <w:rPr>
          <w:color w:val="231F20"/>
          <w:spacing w:val="-2"/>
        </w:rPr>
        <w:t>leur</w:t>
      </w:r>
      <w:r>
        <w:rPr>
          <w:color w:val="231F20"/>
          <w:spacing w:val="-11"/>
        </w:rPr>
        <w:t> </w:t>
      </w:r>
      <w:r>
        <w:rPr>
          <w:color w:val="231F20"/>
          <w:spacing w:val="-2"/>
        </w:rPr>
        <w:t>passage</w:t>
      </w:r>
      <w:r>
        <w:rPr>
          <w:color w:val="231F20"/>
          <w:spacing w:val="-11"/>
        </w:rPr>
        <w:t> </w:t>
      </w:r>
      <w:r>
        <w:rPr>
          <w:color w:val="231F20"/>
          <w:spacing w:val="-2"/>
        </w:rPr>
        <w:t>font</w:t>
      </w:r>
      <w:r>
        <w:rPr>
          <w:color w:val="231F20"/>
          <w:spacing w:val="-10"/>
        </w:rPr>
        <w:t> </w:t>
      </w:r>
      <w:r>
        <w:rPr>
          <w:color w:val="231F20"/>
          <w:spacing w:val="-2"/>
        </w:rPr>
        <w:t>les</w:t>
      </w:r>
      <w:r>
        <w:rPr>
          <w:color w:val="231F20"/>
          <w:spacing w:val="-11"/>
        </w:rPr>
        <w:t> </w:t>
      </w:r>
      <w:r>
        <w:rPr>
          <w:color w:val="231F20"/>
          <w:spacing w:val="-2"/>
        </w:rPr>
        <w:t>frais</w:t>
      </w:r>
      <w:r>
        <w:rPr>
          <w:color w:val="231F20"/>
          <w:spacing w:val="-13"/>
        </w:rPr>
        <w:t> </w:t>
      </w:r>
      <w:r>
        <w:rPr>
          <w:color w:val="231F20"/>
          <w:spacing w:val="-2"/>
        </w:rPr>
        <w:t>de</w:t>
      </w:r>
      <w:r>
        <w:rPr>
          <w:color w:val="231F20"/>
          <w:spacing w:val="-11"/>
        </w:rPr>
        <w:t> </w:t>
      </w:r>
      <w:r>
        <w:rPr>
          <w:color w:val="231F20"/>
          <w:spacing w:val="-2"/>
        </w:rPr>
        <w:t>la</w:t>
      </w:r>
      <w:r>
        <w:rPr>
          <w:color w:val="231F20"/>
          <w:spacing w:val="-11"/>
        </w:rPr>
        <w:t> </w:t>
      </w:r>
      <w:r>
        <w:rPr>
          <w:color w:val="231F20"/>
          <w:spacing w:val="-2"/>
        </w:rPr>
        <w:t>lutte</w:t>
      </w:r>
      <w:r>
        <w:rPr>
          <w:color w:val="231F20"/>
          <w:spacing w:val="-11"/>
        </w:rPr>
        <w:t> </w:t>
      </w:r>
      <w:r>
        <w:rPr>
          <w:color w:val="231F20"/>
          <w:spacing w:val="-2"/>
        </w:rPr>
        <w:t>pour</w:t>
      </w:r>
      <w:r>
        <w:rPr>
          <w:color w:val="231F20"/>
          <w:spacing w:val="-11"/>
        </w:rPr>
        <w:t> </w:t>
      </w:r>
      <w:r>
        <w:rPr>
          <w:color w:val="231F20"/>
          <w:spacing w:val="-2"/>
        </w:rPr>
        <w:t>le</w:t>
      </w:r>
      <w:r>
        <w:rPr>
          <w:color w:val="231F20"/>
          <w:spacing w:val="-12"/>
        </w:rPr>
        <w:t> </w:t>
      </w:r>
      <w:r>
        <w:rPr>
          <w:color w:val="231F20"/>
          <w:spacing w:val="-2"/>
        </w:rPr>
        <w:t>pouvoir.</w:t>
      </w:r>
      <w:r>
        <w:rPr>
          <w:color w:val="231F20"/>
          <w:spacing w:val="-11"/>
        </w:rPr>
        <w:t> </w:t>
      </w:r>
      <w:r>
        <w:rPr>
          <w:color w:val="231F20"/>
          <w:spacing w:val="-2"/>
        </w:rPr>
        <w:t>Il</w:t>
      </w:r>
      <w:r>
        <w:rPr>
          <w:color w:val="231F20"/>
          <w:spacing w:val="-10"/>
        </w:rPr>
        <w:t> </w:t>
      </w:r>
      <w:r>
        <w:rPr>
          <w:color w:val="231F20"/>
          <w:spacing w:val="-2"/>
        </w:rPr>
        <w:t>s’agit</w:t>
      </w:r>
      <w:r>
        <w:rPr>
          <w:color w:val="231F20"/>
          <w:spacing w:val="-11"/>
        </w:rPr>
        <w:t> </w:t>
      </w:r>
      <w:r>
        <w:rPr>
          <w:color w:val="231F20"/>
          <w:spacing w:val="-2"/>
        </w:rPr>
        <w:t>de </w:t>
      </w:r>
      <w:r>
        <w:rPr>
          <w:color w:val="231F20"/>
        </w:rPr>
        <w:t>Tiébissou,</w:t>
      </w:r>
      <w:r>
        <w:rPr>
          <w:color w:val="231F20"/>
          <w:spacing w:val="-10"/>
        </w:rPr>
        <w:t> </w:t>
      </w:r>
      <w:r>
        <w:rPr>
          <w:color w:val="231F20"/>
        </w:rPr>
        <w:t>à</w:t>
      </w:r>
      <w:r>
        <w:rPr>
          <w:color w:val="231F20"/>
          <w:spacing w:val="-12"/>
        </w:rPr>
        <w:t> </w:t>
      </w:r>
      <w:r>
        <w:rPr>
          <w:color w:val="231F20"/>
        </w:rPr>
        <w:t>40</w:t>
      </w:r>
      <w:r>
        <w:rPr>
          <w:color w:val="231F20"/>
          <w:spacing w:val="-12"/>
        </w:rPr>
        <w:t> </w:t>
      </w:r>
      <w:r>
        <w:rPr>
          <w:color w:val="231F20"/>
        </w:rPr>
        <w:t>km</w:t>
      </w:r>
      <w:r>
        <w:rPr>
          <w:color w:val="231F20"/>
          <w:spacing w:val="-12"/>
        </w:rPr>
        <w:t> </w:t>
      </w:r>
      <w:r>
        <w:rPr>
          <w:color w:val="231F20"/>
        </w:rPr>
        <w:t>plus</w:t>
      </w:r>
      <w:r>
        <w:rPr>
          <w:color w:val="231F20"/>
          <w:spacing w:val="-10"/>
        </w:rPr>
        <w:t> </w:t>
      </w:r>
      <w:r>
        <w:rPr>
          <w:color w:val="231F20"/>
        </w:rPr>
        <w:t>au</w:t>
      </w:r>
      <w:r>
        <w:rPr>
          <w:color w:val="231F20"/>
          <w:spacing w:val="-10"/>
        </w:rPr>
        <w:t> </w:t>
      </w:r>
      <w:r>
        <w:rPr>
          <w:color w:val="231F20"/>
        </w:rPr>
        <w:t>nord</w:t>
      </w:r>
      <w:r>
        <w:rPr>
          <w:color w:val="231F20"/>
          <w:spacing w:val="-12"/>
        </w:rPr>
        <w:t> </w:t>
      </w:r>
      <w:r>
        <w:rPr>
          <w:color w:val="231F20"/>
        </w:rPr>
        <w:t>de</w:t>
      </w:r>
      <w:r>
        <w:rPr>
          <w:color w:val="231F20"/>
          <w:spacing w:val="-8"/>
        </w:rPr>
        <w:t> </w:t>
      </w:r>
      <w:r>
        <w:rPr>
          <w:color w:val="231F20"/>
        </w:rPr>
        <w:t>Yamoussoukro,</w:t>
      </w:r>
      <w:r>
        <w:rPr>
          <w:color w:val="231F20"/>
          <w:spacing w:val="-11"/>
        </w:rPr>
        <w:t> </w:t>
      </w:r>
      <w:r>
        <w:rPr>
          <w:color w:val="231F20"/>
        </w:rPr>
        <w:t>la</w:t>
      </w:r>
      <w:r>
        <w:rPr>
          <w:color w:val="231F20"/>
          <w:spacing w:val="-10"/>
        </w:rPr>
        <w:t> </w:t>
      </w:r>
      <w:r>
        <w:rPr>
          <w:color w:val="231F20"/>
        </w:rPr>
        <w:t>capitale</w:t>
      </w:r>
      <w:r>
        <w:rPr>
          <w:color w:val="231F20"/>
          <w:spacing w:val="-12"/>
        </w:rPr>
        <w:t> </w:t>
      </w:r>
      <w:r>
        <w:rPr>
          <w:color w:val="231F20"/>
        </w:rPr>
        <w:t>politique </w:t>
      </w:r>
      <w:r>
        <w:rPr>
          <w:color w:val="231F20"/>
          <w:spacing w:val="-2"/>
        </w:rPr>
        <w:t>et</w:t>
      </w:r>
      <w:r>
        <w:rPr>
          <w:color w:val="231F20"/>
          <w:spacing w:val="-9"/>
        </w:rPr>
        <w:t> </w:t>
      </w:r>
      <w:r>
        <w:rPr>
          <w:color w:val="231F20"/>
          <w:spacing w:val="-2"/>
        </w:rPr>
        <w:t>Soubré,</w:t>
      </w:r>
      <w:r>
        <w:rPr>
          <w:color w:val="231F20"/>
          <w:spacing w:val="-11"/>
        </w:rPr>
        <w:t> </w:t>
      </w:r>
      <w:r>
        <w:rPr>
          <w:color w:val="231F20"/>
          <w:spacing w:val="-2"/>
        </w:rPr>
        <w:t>à</w:t>
      </w:r>
      <w:r>
        <w:rPr>
          <w:color w:val="231F20"/>
          <w:spacing w:val="-13"/>
        </w:rPr>
        <w:t> </w:t>
      </w:r>
      <w:r>
        <w:rPr>
          <w:color w:val="231F20"/>
          <w:spacing w:val="-2"/>
        </w:rPr>
        <w:t>130</w:t>
      </w:r>
      <w:r>
        <w:rPr>
          <w:color w:val="231F20"/>
          <w:spacing w:val="-13"/>
        </w:rPr>
        <w:t> </w:t>
      </w:r>
      <w:r>
        <w:rPr>
          <w:color w:val="231F20"/>
          <w:spacing w:val="-2"/>
        </w:rPr>
        <w:t>km</w:t>
      </w:r>
      <w:r>
        <w:rPr>
          <w:color w:val="231F20"/>
          <w:spacing w:val="-13"/>
        </w:rPr>
        <w:t> </w:t>
      </w:r>
      <w:r>
        <w:rPr>
          <w:color w:val="231F20"/>
          <w:spacing w:val="-2"/>
        </w:rPr>
        <w:t>au</w:t>
      </w:r>
      <w:r>
        <w:rPr>
          <w:color w:val="231F20"/>
          <w:spacing w:val="-10"/>
        </w:rPr>
        <w:t> </w:t>
      </w:r>
      <w:r>
        <w:rPr>
          <w:color w:val="231F20"/>
          <w:spacing w:val="-2"/>
        </w:rPr>
        <w:t>Nord</w:t>
      </w:r>
      <w:r>
        <w:rPr>
          <w:color w:val="231F20"/>
          <w:spacing w:val="-11"/>
        </w:rPr>
        <w:t> </w:t>
      </w:r>
      <w:r>
        <w:rPr>
          <w:color w:val="231F20"/>
          <w:spacing w:val="-2"/>
        </w:rPr>
        <w:t>de</w:t>
      </w:r>
      <w:r>
        <w:rPr>
          <w:color w:val="231F20"/>
          <w:spacing w:val="-13"/>
        </w:rPr>
        <w:t> </w:t>
      </w:r>
      <w:r>
        <w:rPr>
          <w:color w:val="231F20"/>
          <w:spacing w:val="-2"/>
        </w:rPr>
        <w:t>San</w:t>
      </w:r>
      <w:r>
        <w:rPr>
          <w:color w:val="231F20"/>
          <w:spacing w:val="-13"/>
        </w:rPr>
        <w:t> </w:t>
      </w:r>
      <w:r>
        <w:rPr>
          <w:color w:val="231F20"/>
          <w:spacing w:val="-2"/>
        </w:rPr>
        <w:t>Pedro,</w:t>
      </w:r>
      <w:r>
        <w:rPr>
          <w:color w:val="231F20"/>
          <w:spacing w:val="-11"/>
        </w:rPr>
        <w:t> </w:t>
      </w:r>
      <w:r>
        <w:rPr>
          <w:color w:val="231F20"/>
          <w:spacing w:val="-2"/>
        </w:rPr>
        <w:t>Bondoukou</w:t>
      </w:r>
      <w:r>
        <w:rPr>
          <w:color w:val="231F20"/>
          <w:spacing w:val="-11"/>
        </w:rPr>
        <w:t> </w:t>
      </w:r>
      <w:r>
        <w:rPr>
          <w:color w:val="231F20"/>
          <w:spacing w:val="-2"/>
        </w:rPr>
        <w:t>à</w:t>
      </w:r>
      <w:r>
        <w:rPr>
          <w:color w:val="231F20"/>
          <w:spacing w:val="-13"/>
        </w:rPr>
        <w:t> </w:t>
      </w:r>
      <w:r>
        <w:rPr>
          <w:color w:val="231F20"/>
          <w:spacing w:val="-2"/>
        </w:rPr>
        <w:t>l’Est,</w:t>
      </w:r>
      <w:r>
        <w:rPr>
          <w:color w:val="231F20"/>
          <w:spacing w:val="-13"/>
        </w:rPr>
        <w:t> </w:t>
      </w:r>
      <w:r>
        <w:rPr>
          <w:color w:val="231F20"/>
          <w:spacing w:val="-2"/>
        </w:rPr>
        <w:t>près</w:t>
      </w:r>
      <w:r>
        <w:rPr>
          <w:color w:val="231F20"/>
          <w:spacing w:val="-11"/>
        </w:rPr>
        <w:t> </w:t>
      </w:r>
      <w:r>
        <w:rPr>
          <w:color w:val="231F20"/>
          <w:spacing w:val="-2"/>
        </w:rPr>
        <w:t>de</w:t>
      </w:r>
      <w:r>
        <w:rPr>
          <w:color w:val="231F20"/>
          <w:spacing w:val="-13"/>
        </w:rPr>
        <w:t> </w:t>
      </w:r>
      <w:r>
        <w:rPr>
          <w:color w:val="231F20"/>
          <w:spacing w:val="-2"/>
        </w:rPr>
        <w:t>la </w:t>
      </w:r>
      <w:r>
        <w:rPr>
          <w:color w:val="231F20"/>
        </w:rPr>
        <w:t>frontière ghanéenne,</w:t>
      </w:r>
      <w:r>
        <w:rPr>
          <w:color w:val="231F20"/>
          <w:spacing w:val="-15"/>
        </w:rPr>
        <w:t> </w:t>
      </w:r>
      <w:r>
        <w:rPr>
          <w:color w:val="231F20"/>
        </w:rPr>
        <w:t>Abengourou au Sud-Est, Daloa dans le Centre- Ouest. Lorsqu’ils prennent Yamoussoukro le 30 mars, la psychose </w:t>
      </w:r>
      <w:r>
        <w:rPr>
          <w:color w:val="231F20"/>
          <w:spacing w:val="-2"/>
        </w:rPr>
        <w:t>s’installe</w:t>
      </w:r>
      <w:r>
        <w:rPr>
          <w:color w:val="231F20"/>
          <w:spacing w:val="-13"/>
        </w:rPr>
        <w:t> </w:t>
      </w:r>
      <w:r>
        <w:rPr>
          <w:color w:val="231F20"/>
          <w:spacing w:val="-2"/>
        </w:rPr>
        <w:t>à</w:t>
      </w:r>
      <w:r>
        <w:rPr>
          <w:color w:val="231F20"/>
          <w:spacing w:val="-13"/>
        </w:rPr>
        <w:t> </w:t>
      </w:r>
      <w:r>
        <w:rPr>
          <w:color w:val="231F20"/>
          <w:spacing w:val="-2"/>
        </w:rPr>
        <w:t>Abidjan.</w:t>
      </w:r>
      <w:r>
        <w:rPr>
          <w:color w:val="231F20"/>
          <w:spacing w:val="-13"/>
        </w:rPr>
        <w:t> </w:t>
      </w:r>
      <w:r>
        <w:rPr>
          <w:color w:val="231F20"/>
          <w:spacing w:val="-2"/>
        </w:rPr>
        <w:t>Beaucoup</w:t>
      </w:r>
      <w:r>
        <w:rPr>
          <w:color w:val="231F20"/>
          <w:spacing w:val="-13"/>
        </w:rPr>
        <w:t> </w:t>
      </w:r>
      <w:r>
        <w:rPr>
          <w:color w:val="231F20"/>
          <w:spacing w:val="-2"/>
        </w:rPr>
        <w:t>d’ivoiriens</w:t>
      </w:r>
      <w:r>
        <w:rPr>
          <w:color w:val="231F20"/>
          <w:spacing w:val="-13"/>
        </w:rPr>
        <w:t> </w:t>
      </w:r>
      <w:r>
        <w:rPr>
          <w:color w:val="231F20"/>
          <w:spacing w:val="-2"/>
        </w:rPr>
        <w:t>dont</w:t>
      </w:r>
      <w:r>
        <w:rPr>
          <w:color w:val="231F20"/>
          <w:spacing w:val="-13"/>
        </w:rPr>
        <w:t> </w:t>
      </w:r>
      <w:r>
        <w:rPr>
          <w:color w:val="231F20"/>
          <w:spacing w:val="-2"/>
        </w:rPr>
        <w:t>les</w:t>
      </w:r>
      <w:r>
        <w:rPr>
          <w:color w:val="231F20"/>
          <w:spacing w:val="-13"/>
        </w:rPr>
        <w:t> </w:t>
      </w:r>
      <w:r>
        <w:rPr>
          <w:color w:val="231F20"/>
          <w:spacing w:val="-2"/>
        </w:rPr>
        <w:t>villages</w:t>
      </w:r>
      <w:r>
        <w:rPr>
          <w:color w:val="231F20"/>
          <w:spacing w:val="-13"/>
        </w:rPr>
        <w:t> </w:t>
      </w:r>
      <w:r>
        <w:rPr>
          <w:color w:val="231F20"/>
          <w:spacing w:val="-2"/>
        </w:rPr>
        <w:t>sont</w:t>
      </w:r>
      <w:r>
        <w:rPr>
          <w:color w:val="231F20"/>
          <w:spacing w:val="-12"/>
        </w:rPr>
        <w:t> </w:t>
      </w:r>
      <w:r>
        <w:rPr>
          <w:color w:val="231F20"/>
          <w:spacing w:val="-2"/>
        </w:rPr>
        <w:t>à</w:t>
      </w:r>
      <w:r>
        <w:rPr>
          <w:color w:val="231F20"/>
          <w:spacing w:val="-10"/>
        </w:rPr>
        <w:t> </w:t>
      </w:r>
      <w:r>
        <w:rPr>
          <w:color w:val="231F20"/>
          <w:spacing w:val="-2"/>
        </w:rPr>
        <w:t>plus</w:t>
      </w:r>
      <w:r>
        <w:rPr>
          <w:color w:val="231F20"/>
          <w:spacing w:val="-13"/>
        </w:rPr>
        <w:t> </w:t>
      </w:r>
      <w:r>
        <w:rPr>
          <w:color w:val="231F20"/>
          <w:spacing w:val="-2"/>
        </w:rPr>
        <w:t>de </w:t>
      </w:r>
      <w:r>
        <w:rPr>
          <w:color w:val="231F20"/>
        </w:rPr>
        <w:t>50km</w:t>
      </w:r>
      <w:r>
        <w:rPr>
          <w:color w:val="231F20"/>
          <w:spacing w:val="-9"/>
        </w:rPr>
        <w:t> </w:t>
      </w:r>
      <w:r>
        <w:rPr>
          <w:color w:val="231F20"/>
        </w:rPr>
        <w:t>de</w:t>
      </w:r>
      <w:r>
        <w:rPr>
          <w:color w:val="231F20"/>
          <w:spacing w:val="-6"/>
        </w:rPr>
        <w:t> </w:t>
      </w:r>
      <w:r>
        <w:rPr>
          <w:color w:val="231F20"/>
        </w:rPr>
        <w:t>la</w:t>
      </w:r>
      <w:r>
        <w:rPr>
          <w:color w:val="231F20"/>
          <w:spacing w:val="-6"/>
        </w:rPr>
        <w:t> </w:t>
      </w:r>
      <w:r>
        <w:rPr>
          <w:color w:val="231F20"/>
        </w:rPr>
        <w:t>capitale</w:t>
      </w:r>
      <w:r>
        <w:rPr>
          <w:color w:val="231F20"/>
          <w:spacing w:val="-6"/>
        </w:rPr>
        <w:t> </w:t>
      </w:r>
      <w:r>
        <w:rPr>
          <w:color w:val="231F20"/>
        </w:rPr>
        <w:t>économique,</w:t>
      </w:r>
      <w:r>
        <w:rPr>
          <w:color w:val="231F20"/>
          <w:spacing w:val="-6"/>
        </w:rPr>
        <w:t> </w:t>
      </w:r>
      <w:r>
        <w:rPr>
          <w:color w:val="231F20"/>
        </w:rPr>
        <w:t>restent</w:t>
      </w:r>
      <w:r>
        <w:rPr>
          <w:color w:val="231F20"/>
          <w:spacing w:val="-6"/>
        </w:rPr>
        <w:t> </w:t>
      </w:r>
      <w:r>
        <w:rPr>
          <w:color w:val="231F20"/>
        </w:rPr>
        <w:t>chez</w:t>
      </w:r>
      <w:r>
        <w:rPr>
          <w:color w:val="231F20"/>
          <w:spacing w:val="-7"/>
        </w:rPr>
        <w:t> </w:t>
      </w:r>
      <w:r>
        <w:rPr>
          <w:color w:val="231F20"/>
        </w:rPr>
        <w:t>eux,</w:t>
      </w:r>
      <w:r>
        <w:rPr>
          <w:color w:val="231F20"/>
          <w:spacing w:val="-7"/>
        </w:rPr>
        <w:t> </w:t>
      </w:r>
      <w:r>
        <w:rPr>
          <w:color w:val="231F20"/>
        </w:rPr>
        <w:t>pétrifiés</w:t>
      </w:r>
      <w:r>
        <w:rPr>
          <w:color w:val="231F20"/>
          <w:spacing w:val="-9"/>
        </w:rPr>
        <w:t> </w:t>
      </w:r>
      <w:r>
        <w:rPr>
          <w:color w:val="231F20"/>
        </w:rPr>
        <w:t>de</w:t>
      </w:r>
      <w:r>
        <w:rPr>
          <w:color w:val="231F20"/>
          <w:spacing w:val="-6"/>
        </w:rPr>
        <w:t> </w:t>
      </w:r>
      <w:r>
        <w:rPr>
          <w:color w:val="231F20"/>
        </w:rPr>
        <w:t>peur.</w:t>
      </w:r>
    </w:p>
    <w:p>
      <w:pPr>
        <w:pStyle w:val="BodyText"/>
        <w:spacing w:before="120"/>
        <w:ind w:right="104" w:firstLine="283"/>
        <w:rPr>
          <w:i/>
        </w:rPr>
      </w:pPr>
      <w:r>
        <w:rPr>
          <w:color w:val="231F20"/>
        </w:rPr>
        <w:t>Le</w:t>
      </w:r>
      <w:r>
        <w:rPr>
          <w:color w:val="231F20"/>
          <w:spacing w:val="-9"/>
        </w:rPr>
        <w:t> </w:t>
      </w:r>
      <w:r>
        <w:rPr>
          <w:color w:val="231F20"/>
        </w:rPr>
        <w:t>31</w:t>
      </w:r>
      <w:r>
        <w:rPr>
          <w:color w:val="231F20"/>
          <w:spacing w:val="-9"/>
        </w:rPr>
        <w:t> </w:t>
      </w:r>
      <w:r>
        <w:rPr>
          <w:color w:val="231F20"/>
        </w:rPr>
        <w:t>mars,</w:t>
      </w:r>
      <w:r>
        <w:rPr>
          <w:color w:val="231F20"/>
          <w:spacing w:val="-9"/>
        </w:rPr>
        <w:t> </w:t>
      </w:r>
      <w:r>
        <w:rPr>
          <w:color w:val="231F20"/>
        </w:rPr>
        <w:t>des</w:t>
      </w:r>
      <w:r>
        <w:rPr>
          <w:color w:val="231F20"/>
          <w:spacing w:val="-9"/>
        </w:rPr>
        <w:t> </w:t>
      </w:r>
      <w:r>
        <w:rPr>
          <w:color w:val="231F20"/>
        </w:rPr>
        <w:t>colonnes</w:t>
      </w:r>
      <w:r>
        <w:rPr>
          <w:color w:val="231F20"/>
          <w:spacing w:val="-10"/>
        </w:rPr>
        <w:t> </w:t>
      </w:r>
      <w:r>
        <w:rPr>
          <w:color w:val="231F20"/>
        </w:rPr>
        <w:t>de</w:t>
      </w:r>
      <w:r>
        <w:rPr>
          <w:color w:val="231F20"/>
          <w:spacing w:val="-9"/>
        </w:rPr>
        <w:t> </w:t>
      </w:r>
      <w:r>
        <w:rPr>
          <w:color w:val="231F20"/>
        </w:rPr>
        <w:t>soldats</w:t>
      </w:r>
      <w:r>
        <w:rPr>
          <w:color w:val="231F20"/>
          <w:spacing w:val="-9"/>
        </w:rPr>
        <w:t> </w:t>
      </w:r>
      <w:r>
        <w:rPr>
          <w:color w:val="231F20"/>
        </w:rPr>
        <w:t>FRCI</w:t>
      </w:r>
      <w:r>
        <w:rPr>
          <w:color w:val="231F20"/>
          <w:spacing w:val="-11"/>
        </w:rPr>
        <w:t> </w:t>
      </w:r>
      <w:r>
        <w:rPr>
          <w:color w:val="231F20"/>
        </w:rPr>
        <w:t>équipés</w:t>
      </w:r>
      <w:r>
        <w:rPr>
          <w:color w:val="231F20"/>
          <w:spacing w:val="-10"/>
        </w:rPr>
        <w:t> </w:t>
      </w:r>
      <w:r>
        <w:rPr>
          <w:color w:val="231F20"/>
        </w:rPr>
        <w:t>de</w:t>
      </w:r>
      <w:r>
        <w:rPr>
          <w:color w:val="231F20"/>
          <w:spacing w:val="-15"/>
        </w:rPr>
        <w:t> </w:t>
      </w:r>
      <w:r>
        <w:rPr>
          <w:color w:val="231F20"/>
        </w:rPr>
        <w:t>véhicules</w:t>
      </w:r>
      <w:r>
        <w:rPr>
          <w:color w:val="231F20"/>
          <w:spacing w:val="-10"/>
        </w:rPr>
        <w:t> </w:t>
      </w:r>
      <w:r>
        <w:rPr>
          <w:color w:val="231F20"/>
        </w:rPr>
        <w:t>tout- terrain</w:t>
      </w:r>
      <w:r>
        <w:rPr>
          <w:color w:val="231F20"/>
          <w:spacing w:val="-15"/>
        </w:rPr>
        <w:t> </w:t>
      </w:r>
      <w:r>
        <w:rPr>
          <w:color w:val="231F20"/>
        </w:rPr>
        <w:t>entrent</w:t>
      </w:r>
      <w:r>
        <w:rPr>
          <w:color w:val="231F20"/>
          <w:spacing w:val="-6"/>
        </w:rPr>
        <w:t> </w:t>
      </w:r>
      <w:r>
        <w:rPr>
          <w:color w:val="231F20"/>
        </w:rPr>
        <w:t>dans</w:t>
      </w:r>
      <w:r>
        <w:rPr>
          <w:color w:val="231F20"/>
          <w:spacing w:val="-3"/>
        </w:rPr>
        <w:t> </w:t>
      </w:r>
      <w:r>
        <w:rPr>
          <w:color w:val="231F20"/>
        </w:rPr>
        <w:t>Abidjan.</w:t>
      </w:r>
      <w:r>
        <w:rPr>
          <w:color w:val="231F20"/>
          <w:spacing w:val="-2"/>
        </w:rPr>
        <w:t> </w:t>
      </w:r>
      <w:r>
        <w:rPr>
          <w:color w:val="231F20"/>
        </w:rPr>
        <w:t>La</w:t>
      </w:r>
      <w:r>
        <w:rPr>
          <w:color w:val="231F20"/>
          <w:spacing w:val="-3"/>
        </w:rPr>
        <w:t> </w:t>
      </w:r>
      <w:r>
        <w:rPr>
          <w:color w:val="231F20"/>
        </w:rPr>
        <w:t>veille,</w:t>
      </w:r>
      <w:r>
        <w:rPr>
          <w:color w:val="231F20"/>
          <w:spacing w:val="-3"/>
        </w:rPr>
        <w:t> </w:t>
      </w:r>
      <w:r>
        <w:rPr>
          <w:color w:val="231F20"/>
        </w:rPr>
        <w:t>la</w:t>
      </w:r>
      <w:r>
        <w:rPr>
          <w:color w:val="231F20"/>
          <w:spacing w:val="-3"/>
        </w:rPr>
        <w:t> </w:t>
      </w:r>
      <w:r>
        <w:rPr>
          <w:color w:val="231F20"/>
        </w:rPr>
        <w:t>rumeur</w:t>
      </w:r>
      <w:r>
        <w:rPr>
          <w:color w:val="231F20"/>
          <w:spacing w:val="-3"/>
        </w:rPr>
        <w:t> </w:t>
      </w:r>
      <w:r>
        <w:rPr>
          <w:color w:val="231F20"/>
        </w:rPr>
        <w:t>évoque</w:t>
      </w:r>
      <w:r>
        <w:rPr>
          <w:color w:val="231F20"/>
          <w:spacing w:val="-3"/>
        </w:rPr>
        <w:t> </w:t>
      </w:r>
      <w:r>
        <w:rPr>
          <w:color w:val="231F20"/>
        </w:rPr>
        <w:t>la</w:t>
      </w:r>
      <w:r>
        <w:rPr>
          <w:color w:val="231F20"/>
          <w:spacing w:val="-1"/>
        </w:rPr>
        <w:t> </w:t>
      </w:r>
      <w:r>
        <w:rPr>
          <w:color w:val="231F20"/>
        </w:rPr>
        <w:t>«</w:t>
      </w:r>
      <w:r>
        <w:rPr>
          <w:color w:val="231F20"/>
          <w:spacing w:val="-15"/>
        </w:rPr>
        <w:t> </w:t>
      </w:r>
      <w:r>
        <w:rPr>
          <w:color w:val="231F20"/>
        </w:rPr>
        <w:t>fuite</w:t>
      </w:r>
      <w:r>
        <w:rPr>
          <w:color w:val="231F20"/>
          <w:spacing w:val="-15"/>
        </w:rPr>
        <w:t> </w:t>
      </w:r>
      <w:r>
        <w:rPr>
          <w:color w:val="231F20"/>
        </w:rPr>
        <w:t>»</w:t>
      </w:r>
      <w:r>
        <w:rPr>
          <w:color w:val="231F20"/>
          <w:spacing w:val="-3"/>
        </w:rPr>
        <w:t> </w:t>
      </w:r>
      <w:r>
        <w:rPr>
          <w:color w:val="231F20"/>
        </w:rPr>
        <w:t>du chef</w:t>
      </w:r>
      <w:r>
        <w:rPr>
          <w:color w:val="231F20"/>
          <w:spacing w:val="-15"/>
        </w:rPr>
        <w:t> </w:t>
      </w:r>
      <w:r>
        <w:rPr>
          <w:color w:val="231F20"/>
        </w:rPr>
        <w:t>d’état</w:t>
      </w:r>
      <w:r>
        <w:rPr>
          <w:color w:val="231F20"/>
          <w:spacing w:val="-11"/>
        </w:rPr>
        <w:t> </w:t>
      </w:r>
      <w:r>
        <w:rPr>
          <w:color w:val="231F20"/>
        </w:rPr>
        <w:t>–major</w:t>
      </w:r>
      <w:r>
        <w:rPr>
          <w:color w:val="231F20"/>
          <w:spacing w:val="-12"/>
        </w:rPr>
        <w:t> </w:t>
      </w:r>
      <w:r>
        <w:rPr>
          <w:color w:val="231F20"/>
        </w:rPr>
        <w:t>de</w:t>
      </w:r>
      <w:r>
        <w:rPr>
          <w:color w:val="231F20"/>
          <w:spacing w:val="-12"/>
        </w:rPr>
        <w:t> </w:t>
      </w:r>
      <w:r>
        <w:rPr>
          <w:color w:val="231F20"/>
        </w:rPr>
        <w:t>l’Armée</w:t>
      </w:r>
      <w:r>
        <w:rPr>
          <w:color w:val="231F20"/>
          <w:spacing w:val="-12"/>
        </w:rPr>
        <w:t> </w:t>
      </w:r>
      <w:r>
        <w:rPr>
          <w:color w:val="231F20"/>
        </w:rPr>
        <w:t>ivoirienne</w:t>
      </w:r>
      <w:r>
        <w:rPr>
          <w:color w:val="231F20"/>
          <w:spacing w:val="-15"/>
        </w:rPr>
        <w:t> </w:t>
      </w:r>
      <w:r>
        <w:rPr>
          <w:color w:val="231F20"/>
        </w:rPr>
        <w:t>:</w:t>
      </w:r>
      <w:r>
        <w:rPr>
          <w:color w:val="231F20"/>
          <w:spacing w:val="-11"/>
        </w:rPr>
        <w:t> </w:t>
      </w:r>
      <w:r>
        <w:rPr>
          <w:color w:val="231F20"/>
        </w:rPr>
        <w:t>dans</w:t>
      </w:r>
      <w:r>
        <w:rPr>
          <w:color w:val="231F20"/>
          <w:spacing w:val="-14"/>
        </w:rPr>
        <w:t> </w:t>
      </w:r>
      <w:r>
        <w:rPr>
          <w:color w:val="231F20"/>
        </w:rPr>
        <w:t>la</w:t>
      </w:r>
      <w:r>
        <w:rPr>
          <w:color w:val="231F20"/>
          <w:spacing w:val="-12"/>
        </w:rPr>
        <w:t> </w:t>
      </w:r>
      <w:r>
        <w:rPr>
          <w:color w:val="231F20"/>
        </w:rPr>
        <w:t>nuit</w:t>
      </w:r>
      <w:r>
        <w:rPr>
          <w:color w:val="231F20"/>
          <w:spacing w:val="-12"/>
        </w:rPr>
        <w:t> </w:t>
      </w:r>
      <w:r>
        <w:rPr>
          <w:color w:val="231F20"/>
        </w:rPr>
        <w:t>du</w:t>
      </w:r>
      <w:r>
        <w:rPr>
          <w:color w:val="231F20"/>
          <w:spacing w:val="-12"/>
        </w:rPr>
        <w:t> </w:t>
      </w:r>
      <w:r>
        <w:rPr>
          <w:color w:val="231F20"/>
        </w:rPr>
        <w:t>30</w:t>
      </w:r>
      <w:r>
        <w:rPr>
          <w:color w:val="231F20"/>
          <w:spacing w:val="-12"/>
        </w:rPr>
        <w:t> </w:t>
      </w:r>
      <w:r>
        <w:rPr>
          <w:color w:val="231F20"/>
        </w:rPr>
        <w:t>au</w:t>
      </w:r>
      <w:r>
        <w:rPr>
          <w:color w:val="231F20"/>
          <w:spacing w:val="-12"/>
        </w:rPr>
        <w:t> </w:t>
      </w:r>
      <w:r>
        <w:rPr>
          <w:color w:val="231F20"/>
        </w:rPr>
        <w:t>31</w:t>
      </w:r>
      <w:r>
        <w:rPr>
          <w:color w:val="231F20"/>
          <w:spacing w:val="-14"/>
        </w:rPr>
        <w:t> </w:t>
      </w:r>
      <w:r>
        <w:rPr>
          <w:color w:val="231F20"/>
        </w:rPr>
        <w:t>mars Philippe Mangou, aurait trouvé refuge lui et sa famille à l’ambassade d’Afrique du Sud</w:t>
      </w:r>
      <w:r>
        <w:rPr>
          <w:i/>
          <w:color w:val="231F20"/>
        </w:rPr>
        <w:t>.</w:t>
      </w:r>
    </w:p>
    <w:p>
      <w:pPr>
        <w:pStyle w:val="BodyText"/>
        <w:spacing w:before="121"/>
        <w:ind w:right="108" w:firstLine="283"/>
        <w:rPr>
          <w:i/>
        </w:rPr>
      </w:pPr>
      <w:r>
        <w:rPr>
          <w:color w:val="231F20"/>
        </w:rPr>
        <w:t>Ouattara déclare un couvre-feu de trois jours. L’ONUCI prend le contrôle de l’aéroport</w:t>
      </w:r>
      <w:r>
        <w:rPr>
          <w:i/>
          <w:color w:val="231F20"/>
        </w:rPr>
        <w:t>.</w:t>
      </w:r>
    </w:p>
    <w:p>
      <w:pPr>
        <w:pStyle w:val="BodyText"/>
        <w:spacing w:before="120"/>
        <w:ind w:right="105" w:firstLine="283"/>
        <w:rPr>
          <w:i/>
        </w:rPr>
      </w:pPr>
      <w:r>
        <w:rPr>
          <w:color w:val="231F20"/>
        </w:rPr>
        <w:t>Le</w:t>
      </w:r>
      <w:r>
        <w:rPr>
          <w:color w:val="231F20"/>
          <w:spacing w:val="-6"/>
        </w:rPr>
        <w:t> </w:t>
      </w:r>
      <w:r>
        <w:rPr>
          <w:color w:val="231F20"/>
        </w:rPr>
        <w:t>dimanche</w:t>
      </w:r>
      <w:r>
        <w:rPr>
          <w:color w:val="231F20"/>
          <w:spacing w:val="-4"/>
        </w:rPr>
        <w:t> </w:t>
      </w:r>
      <w:r>
        <w:rPr>
          <w:color w:val="231F20"/>
        </w:rPr>
        <w:t>10</w:t>
      </w:r>
      <w:r>
        <w:rPr>
          <w:color w:val="231F20"/>
          <w:spacing w:val="-15"/>
        </w:rPr>
        <w:t> </w:t>
      </w:r>
      <w:r>
        <w:rPr>
          <w:color w:val="231F20"/>
        </w:rPr>
        <w:t>avril</w:t>
      </w:r>
      <w:r>
        <w:rPr>
          <w:color w:val="231F20"/>
          <w:spacing w:val="-3"/>
        </w:rPr>
        <w:t> </w:t>
      </w:r>
      <w:r>
        <w:rPr>
          <w:color w:val="231F20"/>
        </w:rPr>
        <w:t>en</w:t>
      </w:r>
      <w:r>
        <w:rPr>
          <w:color w:val="231F20"/>
          <w:spacing w:val="-6"/>
        </w:rPr>
        <w:t> </w:t>
      </w:r>
      <w:r>
        <w:rPr>
          <w:color w:val="231F20"/>
        </w:rPr>
        <w:t>début</w:t>
      </w:r>
      <w:r>
        <w:rPr>
          <w:color w:val="231F20"/>
          <w:spacing w:val="-3"/>
        </w:rPr>
        <w:t> </w:t>
      </w:r>
      <w:r>
        <w:rPr>
          <w:color w:val="231F20"/>
        </w:rPr>
        <w:t>d’après-midi,</w:t>
      </w:r>
      <w:r>
        <w:rPr>
          <w:color w:val="231F20"/>
          <w:spacing w:val="-5"/>
        </w:rPr>
        <w:t> </w:t>
      </w:r>
      <w:r>
        <w:rPr>
          <w:color w:val="231F20"/>
        </w:rPr>
        <w:t>le</w:t>
      </w:r>
      <w:r>
        <w:rPr>
          <w:color w:val="231F20"/>
          <w:spacing w:val="-4"/>
        </w:rPr>
        <w:t> </w:t>
      </w:r>
      <w:r>
        <w:rPr>
          <w:color w:val="231F20"/>
        </w:rPr>
        <w:t>compte</w:t>
      </w:r>
      <w:r>
        <w:rPr>
          <w:color w:val="231F20"/>
          <w:spacing w:val="-4"/>
        </w:rPr>
        <w:t> </w:t>
      </w:r>
      <w:r>
        <w:rPr>
          <w:color w:val="231F20"/>
        </w:rPr>
        <w:t>à</w:t>
      </w:r>
      <w:r>
        <w:rPr>
          <w:color w:val="231F20"/>
          <w:spacing w:val="-5"/>
        </w:rPr>
        <w:t> </w:t>
      </w:r>
      <w:r>
        <w:rPr>
          <w:color w:val="231F20"/>
        </w:rPr>
        <w:t>rebours</w:t>
      </w:r>
      <w:r>
        <w:rPr>
          <w:color w:val="231F20"/>
          <w:spacing w:val="-4"/>
        </w:rPr>
        <w:t> </w:t>
      </w:r>
      <w:r>
        <w:rPr>
          <w:color w:val="231F20"/>
        </w:rPr>
        <w:t>est lancé.</w:t>
      </w:r>
      <w:r>
        <w:rPr>
          <w:color w:val="231F20"/>
          <w:spacing w:val="-15"/>
        </w:rPr>
        <w:t> </w:t>
      </w:r>
      <w:r>
        <w:rPr>
          <w:color w:val="231F20"/>
        </w:rPr>
        <w:t>Les</w:t>
      </w:r>
      <w:r>
        <w:rPr>
          <w:color w:val="231F20"/>
          <w:spacing w:val="-15"/>
        </w:rPr>
        <w:t> </w:t>
      </w:r>
      <w:r>
        <w:rPr>
          <w:color w:val="231F20"/>
        </w:rPr>
        <w:t>premières</w:t>
      </w:r>
      <w:r>
        <w:rPr>
          <w:color w:val="231F20"/>
          <w:spacing w:val="-15"/>
        </w:rPr>
        <w:t> </w:t>
      </w:r>
      <w:r>
        <w:rPr>
          <w:color w:val="231F20"/>
        </w:rPr>
        <w:t>frappes</w:t>
      </w:r>
      <w:r>
        <w:rPr>
          <w:color w:val="231F20"/>
          <w:spacing w:val="-15"/>
        </w:rPr>
        <w:t> </w:t>
      </w:r>
      <w:r>
        <w:rPr>
          <w:color w:val="231F20"/>
        </w:rPr>
        <w:t>auront</w:t>
      </w:r>
      <w:r>
        <w:rPr>
          <w:color w:val="231F20"/>
          <w:spacing w:val="-15"/>
        </w:rPr>
        <w:t> </w:t>
      </w:r>
      <w:r>
        <w:rPr>
          <w:color w:val="231F20"/>
        </w:rPr>
        <w:t>lieu</w:t>
      </w:r>
      <w:r>
        <w:rPr>
          <w:color w:val="231F20"/>
          <w:spacing w:val="-15"/>
        </w:rPr>
        <w:t> </w:t>
      </w:r>
      <w:r>
        <w:rPr>
          <w:color w:val="231F20"/>
        </w:rPr>
        <w:t>à</w:t>
      </w:r>
      <w:r>
        <w:rPr>
          <w:color w:val="231F20"/>
          <w:spacing w:val="-11"/>
        </w:rPr>
        <w:t> </w:t>
      </w:r>
      <w:r>
        <w:rPr>
          <w:color w:val="231F20"/>
        </w:rPr>
        <w:t>16</w:t>
      </w:r>
      <w:r>
        <w:rPr>
          <w:color w:val="231F20"/>
          <w:spacing w:val="-15"/>
        </w:rPr>
        <w:t> </w:t>
      </w:r>
      <w:r>
        <w:rPr>
          <w:color w:val="231F20"/>
        </w:rPr>
        <w:t>h</w:t>
      </w:r>
      <w:r>
        <w:rPr>
          <w:color w:val="231F20"/>
          <w:spacing w:val="-15"/>
        </w:rPr>
        <w:t> </w:t>
      </w:r>
      <w:r>
        <w:rPr>
          <w:color w:val="231F20"/>
        </w:rPr>
        <w:t>45</w:t>
      </w:r>
      <w:r>
        <w:rPr>
          <w:i/>
          <w:color w:val="231F20"/>
        </w:rPr>
        <w:t>.</w:t>
      </w:r>
      <w:r>
        <w:rPr>
          <w:i/>
          <w:color w:val="231F20"/>
          <w:spacing w:val="-13"/>
        </w:rPr>
        <w:t> </w:t>
      </w:r>
      <w:r>
        <w:rPr>
          <w:color w:val="231F20"/>
        </w:rPr>
        <w:t>Depuis</w:t>
      </w:r>
      <w:r>
        <w:rPr>
          <w:color w:val="231F20"/>
          <w:spacing w:val="-11"/>
        </w:rPr>
        <w:t> </w:t>
      </w:r>
      <w:r>
        <w:rPr>
          <w:color w:val="231F20"/>
        </w:rPr>
        <w:t>nos</w:t>
      </w:r>
      <w:r>
        <w:rPr>
          <w:color w:val="231F20"/>
          <w:spacing w:val="-11"/>
        </w:rPr>
        <w:t> </w:t>
      </w:r>
      <w:r>
        <w:rPr>
          <w:color w:val="231F20"/>
        </w:rPr>
        <w:t>quartiers, nous</w:t>
      </w:r>
      <w:r>
        <w:rPr>
          <w:color w:val="231F20"/>
          <w:spacing w:val="1"/>
        </w:rPr>
        <w:t> </w:t>
      </w:r>
      <w:r>
        <w:rPr>
          <w:color w:val="231F20"/>
        </w:rPr>
        <w:t>entendons</w:t>
      </w:r>
      <w:r>
        <w:rPr>
          <w:color w:val="231F20"/>
          <w:spacing w:val="-1"/>
        </w:rPr>
        <w:t> </w:t>
      </w:r>
      <w:r>
        <w:rPr>
          <w:color w:val="231F20"/>
        </w:rPr>
        <w:t>le</w:t>
      </w:r>
      <w:r>
        <w:rPr>
          <w:color w:val="231F20"/>
          <w:spacing w:val="-1"/>
        </w:rPr>
        <w:t> </w:t>
      </w:r>
      <w:r>
        <w:rPr>
          <w:color w:val="231F20"/>
        </w:rPr>
        <w:t>bruit</w:t>
      </w:r>
      <w:r>
        <w:rPr>
          <w:color w:val="231F20"/>
          <w:spacing w:val="2"/>
        </w:rPr>
        <w:t> </w:t>
      </w:r>
      <w:r>
        <w:rPr>
          <w:color w:val="231F20"/>
        </w:rPr>
        <w:t>des</w:t>
      </w:r>
      <w:r>
        <w:rPr>
          <w:color w:val="231F20"/>
          <w:spacing w:val="1"/>
        </w:rPr>
        <w:t> </w:t>
      </w:r>
      <w:r>
        <w:rPr>
          <w:color w:val="231F20"/>
        </w:rPr>
        <w:t>frappes.</w:t>
      </w:r>
      <w:r>
        <w:rPr>
          <w:color w:val="231F20"/>
          <w:spacing w:val="-14"/>
        </w:rPr>
        <w:t> </w:t>
      </w:r>
      <w:r>
        <w:rPr>
          <w:color w:val="231F20"/>
        </w:rPr>
        <w:t>:</w:t>
      </w:r>
      <w:r>
        <w:rPr>
          <w:color w:val="231F20"/>
          <w:spacing w:val="-1"/>
        </w:rPr>
        <w:t> </w:t>
      </w:r>
      <w:r>
        <w:rPr>
          <w:i/>
          <w:color w:val="231F20"/>
        </w:rPr>
        <w:t>«</w:t>
      </w:r>
      <w:r>
        <w:rPr>
          <w:i/>
          <w:color w:val="231F20"/>
          <w:spacing w:val="1"/>
        </w:rPr>
        <w:t> </w:t>
      </w:r>
      <w:r>
        <w:rPr>
          <w:i/>
          <w:color w:val="231F20"/>
        </w:rPr>
        <w:t>(…)</w:t>
      </w:r>
      <w:r>
        <w:rPr>
          <w:i/>
          <w:color w:val="231F20"/>
          <w:spacing w:val="-2"/>
        </w:rPr>
        <w:t> </w:t>
      </w:r>
      <w:r>
        <w:rPr>
          <w:i/>
          <w:color w:val="231F20"/>
        </w:rPr>
        <w:t>les deux</w:t>
      </w:r>
      <w:r>
        <w:rPr>
          <w:i/>
          <w:color w:val="231F20"/>
          <w:spacing w:val="1"/>
        </w:rPr>
        <w:t> </w:t>
      </w:r>
      <w:r>
        <w:rPr>
          <w:i/>
          <w:color w:val="231F20"/>
        </w:rPr>
        <w:t>MI-24</w:t>
      </w:r>
      <w:r>
        <w:rPr>
          <w:i/>
          <w:color w:val="231F20"/>
          <w:spacing w:val="-1"/>
        </w:rPr>
        <w:t> </w:t>
      </w:r>
      <w:r>
        <w:rPr>
          <w:i/>
          <w:color w:val="231F20"/>
        </w:rPr>
        <w:t>de</w:t>
      </w:r>
      <w:r>
        <w:rPr>
          <w:i/>
          <w:color w:val="231F20"/>
          <w:spacing w:val="2"/>
        </w:rPr>
        <w:t> </w:t>
      </w:r>
      <w:r>
        <w:rPr>
          <w:i/>
          <w:color w:val="231F20"/>
          <w:spacing w:val="-2"/>
        </w:rPr>
        <w:t>l’Onuci,</w:t>
      </w:r>
    </w:p>
    <w:p>
      <w:pPr>
        <w:pStyle w:val="BodyText"/>
        <w:spacing w:before="162"/>
        <w:ind w:left="0"/>
        <w:jc w:val="left"/>
        <w:rPr>
          <w:i/>
          <w:sz w:val="20"/>
        </w:rPr>
      </w:pPr>
      <w:r>
        <w:rPr/>
        <mc:AlternateContent>
          <mc:Choice Requires="wps">
            <w:drawing>
              <wp:anchor distT="0" distB="0" distL="0" distR="0" allowOverlap="1" layoutInCell="1" locked="0" behindDoc="1" simplePos="0" relativeHeight="487651328">
                <wp:simplePos x="0" y="0"/>
                <wp:positionH relativeFrom="page">
                  <wp:posOffset>629907</wp:posOffset>
                </wp:positionH>
                <wp:positionV relativeFrom="paragraph">
                  <wp:posOffset>264176</wp:posOffset>
                </wp:positionV>
                <wp:extent cx="1829435" cy="9525"/>
                <wp:effectExtent l="0" t="0" r="0" b="0"/>
                <wp:wrapTopAndBottom/>
                <wp:docPr id="153" name="Graphic 153"/>
                <wp:cNvGraphicFramePr>
                  <a:graphicFrameLocks/>
                </wp:cNvGraphicFramePr>
                <a:graphic>
                  <a:graphicData uri="http://schemas.microsoft.com/office/word/2010/wordprocessingShape">
                    <wps:wsp>
                      <wps:cNvPr id="153" name="Graphic 15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801329pt;width:144.020pt;height:.72pt;mso-position-horizontal-relative:page;mso-position-vertical-relative:paragraph;z-index:-15665152;mso-wrap-distance-left:0;mso-wrap-distance-right:0" id="docshape151" filled="true" fillcolor="#231f20" stroked="false">
                <v:fill type="solid"/>
                <w10:wrap type="topAndBottom"/>
              </v:rect>
            </w:pict>
          </mc:Fallback>
        </mc:AlternateContent>
      </w:r>
    </w:p>
    <w:p>
      <w:pPr>
        <w:spacing w:before="94"/>
        <w:ind w:left="111" w:right="104" w:firstLine="0"/>
        <w:jc w:val="both"/>
        <w:rPr>
          <w:sz w:val="20"/>
        </w:rPr>
      </w:pPr>
      <w:r>
        <w:rPr>
          <w:color w:val="76787A"/>
          <w:spacing w:val="-4"/>
          <w:sz w:val="20"/>
          <w:vertAlign w:val="superscript"/>
        </w:rPr>
        <w:t>206</w:t>
      </w:r>
      <w:r>
        <w:rPr>
          <w:color w:val="231F20"/>
          <w:spacing w:val="-4"/>
          <w:sz w:val="20"/>
          <w:vertAlign w:val="baseline"/>
        </w:rPr>
        <w:t>Dans</w:t>
      </w:r>
      <w:r>
        <w:rPr>
          <w:color w:val="231F20"/>
          <w:spacing w:val="-8"/>
          <w:sz w:val="20"/>
          <w:vertAlign w:val="baseline"/>
        </w:rPr>
        <w:t> </w:t>
      </w:r>
      <w:r>
        <w:rPr>
          <w:color w:val="231F20"/>
          <w:spacing w:val="-4"/>
          <w:sz w:val="20"/>
          <w:vertAlign w:val="baseline"/>
        </w:rPr>
        <w:t>son</w:t>
      </w:r>
      <w:r>
        <w:rPr>
          <w:color w:val="231F20"/>
          <w:spacing w:val="-8"/>
          <w:sz w:val="20"/>
          <w:vertAlign w:val="baseline"/>
        </w:rPr>
        <w:t> </w:t>
      </w:r>
      <w:r>
        <w:rPr>
          <w:color w:val="231F20"/>
          <w:spacing w:val="-4"/>
          <w:sz w:val="20"/>
          <w:vertAlign w:val="baseline"/>
        </w:rPr>
        <w:t>rapport</w:t>
      </w:r>
      <w:r>
        <w:rPr>
          <w:color w:val="231F20"/>
          <w:spacing w:val="-9"/>
          <w:sz w:val="20"/>
          <w:vertAlign w:val="baseline"/>
        </w:rPr>
        <w:t> </w:t>
      </w:r>
      <w:r>
        <w:rPr>
          <w:color w:val="231F20"/>
          <w:spacing w:val="-4"/>
          <w:sz w:val="20"/>
          <w:vertAlign w:val="baseline"/>
        </w:rPr>
        <w:t>d'enquête,</w:t>
      </w:r>
      <w:r>
        <w:rPr>
          <w:color w:val="231F20"/>
          <w:spacing w:val="-5"/>
          <w:sz w:val="20"/>
          <w:vertAlign w:val="baseline"/>
        </w:rPr>
        <w:t> </w:t>
      </w:r>
      <w:r>
        <w:rPr>
          <w:color w:val="231F20"/>
          <w:spacing w:val="-4"/>
          <w:sz w:val="20"/>
          <w:vertAlign w:val="baseline"/>
        </w:rPr>
        <w:t>l’Onuci</w:t>
      </w:r>
      <w:r>
        <w:rPr>
          <w:color w:val="231F20"/>
          <w:spacing w:val="-8"/>
          <w:sz w:val="20"/>
          <w:vertAlign w:val="baseline"/>
        </w:rPr>
        <w:t> </w:t>
      </w:r>
      <w:r>
        <w:rPr>
          <w:color w:val="231F20"/>
          <w:spacing w:val="-4"/>
          <w:sz w:val="20"/>
          <w:vertAlign w:val="baseline"/>
        </w:rPr>
        <w:t>fait</w:t>
      </w:r>
      <w:r>
        <w:rPr>
          <w:color w:val="231F20"/>
          <w:spacing w:val="-8"/>
          <w:sz w:val="20"/>
          <w:vertAlign w:val="baseline"/>
        </w:rPr>
        <w:t> </w:t>
      </w:r>
      <w:r>
        <w:rPr>
          <w:color w:val="231F20"/>
          <w:spacing w:val="-4"/>
          <w:sz w:val="20"/>
          <w:vertAlign w:val="baseline"/>
        </w:rPr>
        <w:t>état</w:t>
      </w:r>
      <w:r>
        <w:rPr>
          <w:color w:val="231F20"/>
          <w:spacing w:val="-8"/>
          <w:sz w:val="20"/>
          <w:vertAlign w:val="baseline"/>
        </w:rPr>
        <w:t> </w:t>
      </w:r>
      <w:r>
        <w:rPr>
          <w:color w:val="231F20"/>
          <w:spacing w:val="-4"/>
          <w:sz w:val="20"/>
          <w:vertAlign w:val="baseline"/>
        </w:rPr>
        <w:t>de</w:t>
      </w:r>
      <w:r>
        <w:rPr>
          <w:color w:val="231F20"/>
          <w:spacing w:val="-7"/>
          <w:sz w:val="20"/>
          <w:vertAlign w:val="baseline"/>
        </w:rPr>
        <w:t> </w:t>
      </w:r>
      <w:r>
        <w:rPr>
          <w:color w:val="231F20"/>
          <w:spacing w:val="-4"/>
          <w:sz w:val="20"/>
          <w:vertAlign w:val="baseline"/>
        </w:rPr>
        <w:t>1</w:t>
      </w:r>
      <w:r>
        <w:rPr>
          <w:color w:val="231F20"/>
          <w:spacing w:val="-9"/>
          <w:sz w:val="20"/>
          <w:vertAlign w:val="baseline"/>
        </w:rPr>
        <w:t> </w:t>
      </w:r>
      <w:r>
        <w:rPr>
          <w:color w:val="231F20"/>
          <w:spacing w:val="-4"/>
          <w:sz w:val="20"/>
          <w:vertAlign w:val="baseline"/>
        </w:rPr>
        <w:t>012</w:t>
      </w:r>
      <w:r>
        <w:rPr>
          <w:color w:val="231F20"/>
          <w:spacing w:val="-5"/>
          <w:sz w:val="20"/>
          <w:vertAlign w:val="baseline"/>
        </w:rPr>
        <w:t> </w:t>
      </w:r>
      <w:r>
        <w:rPr>
          <w:color w:val="231F20"/>
          <w:spacing w:val="-4"/>
          <w:sz w:val="20"/>
          <w:vertAlign w:val="baseline"/>
        </w:rPr>
        <w:t>morts</w:t>
      </w:r>
      <w:r>
        <w:rPr>
          <w:color w:val="231F20"/>
          <w:spacing w:val="-8"/>
          <w:sz w:val="20"/>
          <w:vertAlign w:val="baseline"/>
        </w:rPr>
        <w:t> </w:t>
      </w:r>
      <w:r>
        <w:rPr>
          <w:color w:val="231F20"/>
          <w:spacing w:val="-4"/>
          <w:sz w:val="20"/>
          <w:vertAlign w:val="baseline"/>
        </w:rPr>
        <w:t>dans</w:t>
      </w:r>
      <w:r>
        <w:rPr>
          <w:color w:val="231F20"/>
          <w:spacing w:val="-6"/>
          <w:sz w:val="20"/>
          <w:vertAlign w:val="baseline"/>
        </w:rPr>
        <w:t> </w:t>
      </w:r>
      <w:r>
        <w:rPr>
          <w:color w:val="231F20"/>
          <w:spacing w:val="-4"/>
          <w:sz w:val="20"/>
          <w:vertAlign w:val="baseline"/>
        </w:rPr>
        <w:t>les</w:t>
      </w:r>
      <w:r>
        <w:rPr>
          <w:color w:val="231F20"/>
          <w:spacing w:val="-8"/>
          <w:sz w:val="20"/>
          <w:vertAlign w:val="baseline"/>
        </w:rPr>
        <w:t> </w:t>
      </w:r>
      <w:r>
        <w:rPr>
          <w:color w:val="231F20"/>
          <w:spacing w:val="-4"/>
          <w:sz w:val="20"/>
          <w:vertAlign w:val="baseline"/>
        </w:rPr>
        <w:t>régions</w:t>
      </w:r>
      <w:r>
        <w:rPr>
          <w:color w:val="231F20"/>
          <w:spacing w:val="-8"/>
          <w:sz w:val="20"/>
          <w:vertAlign w:val="baseline"/>
        </w:rPr>
        <w:t> </w:t>
      </w:r>
      <w:r>
        <w:rPr>
          <w:color w:val="231F20"/>
          <w:spacing w:val="-4"/>
          <w:sz w:val="20"/>
          <w:vertAlign w:val="baseline"/>
        </w:rPr>
        <w:t>de</w:t>
      </w:r>
      <w:r>
        <w:rPr>
          <w:color w:val="231F20"/>
          <w:spacing w:val="-7"/>
          <w:sz w:val="20"/>
          <w:vertAlign w:val="baseline"/>
        </w:rPr>
        <w:t> </w:t>
      </w:r>
      <w:r>
        <w:rPr>
          <w:color w:val="231F20"/>
          <w:spacing w:val="-4"/>
          <w:sz w:val="20"/>
          <w:vertAlign w:val="baseline"/>
        </w:rPr>
        <w:t>l’Ouest </w:t>
      </w:r>
      <w:r>
        <w:rPr>
          <w:color w:val="231F20"/>
          <w:sz w:val="20"/>
          <w:vertAlign w:val="baseline"/>
        </w:rPr>
        <w:t>dont au moins 505 à Duékoué. Les auteurs des tueries seraient multiples</w:t>
      </w:r>
      <w:r>
        <w:rPr>
          <w:color w:val="231F20"/>
          <w:spacing w:val="-10"/>
          <w:sz w:val="20"/>
          <w:vertAlign w:val="baseline"/>
        </w:rPr>
        <w:t> </w:t>
      </w:r>
      <w:r>
        <w:rPr>
          <w:color w:val="231F20"/>
          <w:sz w:val="20"/>
          <w:vertAlign w:val="baseline"/>
        </w:rPr>
        <w:t>: les FDS ( Forces</w:t>
      </w:r>
      <w:r>
        <w:rPr>
          <w:color w:val="231F20"/>
          <w:spacing w:val="-13"/>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défense</w:t>
      </w:r>
      <w:r>
        <w:rPr>
          <w:color w:val="231F20"/>
          <w:spacing w:val="-13"/>
          <w:sz w:val="20"/>
          <w:vertAlign w:val="baseline"/>
        </w:rPr>
        <w:t> </w:t>
      </w:r>
      <w:r>
        <w:rPr>
          <w:color w:val="231F20"/>
          <w:sz w:val="20"/>
          <w:vertAlign w:val="baseline"/>
        </w:rPr>
        <w:t>et</w:t>
      </w:r>
      <w:r>
        <w:rPr>
          <w:color w:val="231F20"/>
          <w:spacing w:val="-12"/>
          <w:sz w:val="20"/>
          <w:vertAlign w:val="baseline"/>
        </w:rPr>
        <w:t> </w:t>
      </w:r>
      <w:r>
        <w:rPr>
          <w:color w:val="231F20"/>
          <w:sz w:val="20"/>
          <w:vertAlign w:val="baseline"/>
        </w:rPr>
        <w:t>de</w:t>
      </w:r>
      <w:r>
        <w:rPr>
          <w:color w:val="231F20"/>
          <w:spacing w:val="-11"/>
          <w:sz w:val="20"/>
          <w:vertAlign w:val="baseline"/>
        </w:rPr>
        <w:t> </w:t>
      </w:r>
      <w:r>
        <w:rPr>
          <w:color w:val="231F20"/>
          <w:sz w:val="20"/>
          <w:vertAlign w:val="baseline"/>
        </w:rPr>
        <w:t>sécurité</w:t>
      </w:r>
      <w:r>
        <w:rPr>
          <w:color w:val="231F20"/>
          <w:spacing w:val="-11"/>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l’ancien</w:t>
      </w:r>
      <w:r>
        <w:rPr>
          <w:color w:val="231F20"/>
          <w:spacing w:val="-12"/>
          <w:sz w:val="20"/>
          <w:vertAlign w:val="baseline"/>
        </w:rPr>
        <w:t> </w:t>
      </w:r>
      <w:r>
        <w:rPr>
          <w:color w:val="231F20"/>
          <w:sz w:val="20"/>
          <w:vertAlign w:val="baseline"/>
        </w:rPr>
        <w:t>régime),</w:t>
      </w:r>
      <w:r>
        <w:rPr>
          <w:color w:val="231F20"/>
          <w:spacing w:val="-13"/>
          <w:sz w:val="20"/>
          <w:vertAlign w:val="baseline"/>
        </w:rPr>
        <w:t> </w:t>
      </w:r>
      <w:r>
        <w:rPr>
          <w:color w:val="231F20"/>
          <w:sz w:val="20"/>
          <w:vertAlign w:val="baseline"/>
        </w:rPr>
        <w:t>les</w:t>
      </w:r>
      <w:r>
        <w:rPr>
          <w:color w:val="231F20"/>
          <w:spacing w:val="-11"/>
          <w:sz w:val="20"/>
          <w:vertAlign w:val="baseline"/>
        </w:rPr>
        <w:t> </w:t>
      </w:r>
      <w:r>
        <w:rPr>
          <w:color w:val="231F20"/>
          <w:sz w:val="20"/>
          <w:vertAlign w:val="baseline"/>
        </w:rPr>
        <w:t>Forces</w:t>
      </w:r>
      <w:r>
        <w:rPr>
          <w:color w:val="231F20"/>
          <w:spacing w:val="-13"/>
          <w:sz w:val="20"/>
          <w:vertAlign w:val="baseline"/>
        </w:rPr>
        <w:t> </w:t>
      </w:r>
      <w:r>
        <w:rPr>
          <w:color w:val="231F20"/>
          <w:sz w:val="20"/>
          <w:vertAlign w:val="baseline"/>
        </w:rPr>
        <w:t>nouvelles</w:t>
      </w:r>
      <w:r>
        <w:rPr>
          <w:color w:val="231F20"/>
          <w:spacing w:val="-12"/>
          <w:sz w:val="20"/>
          <w:vertAlign w:val="baseline"/>
        </w:rPr>
        <w:t> </w:t>
      </w:r>
      <w:r>
        <w:rPr>
          <w:color w:val="231F20"/>
          <w:sz w:val="20"/>
          <w:vertAlign w:val="baseline"/>
        </w:rPr>
        <w:t>devenues</w:t>
      </w:r>
      <w:r>
        <w:rPr>
          <w:color w:val="231F20"/>
          <w:spacing w:val="-12"/>
          <w:sz w:val="20"/>
          <w:vertAlign w:val="baseline"/>
        </w:rPr>
        <w:t> </w:t>
      </w:r>
      <w:r>
        <w:rPr>
          <w:color w:val="231F20"/>
          <w:sz w:val="20"/>
          <w:vertAlign w:val="baseline"/>
        </w:rPr>
        <w:t>les Forces républicaines de Côte d'Ivoire, des milices armées locales, des mercenaires </w:t>
      </w:r>
      <w:r>
        <w:rPr>
          <w:color w:val="231F20"/>
          <w:spacing w:val="-2"/>
          <w:sz w:val="20"/>
          <w:vertAlign w:val="baseline"/>
        </w:rPr>
        <w:t>libériens,</w:t>
      </w:r>
      <w:r>
        <w:rPr>
          <w:color w:val="231F20"/>
          <w:spacing w:val="-6"/>
          <w:sz w:val="20"/>
          <w:vertAlign w:val="baseline"/>
        </w:rPr>
        <w:t> </w:t>
      </w:r>
      <w:r>
        <w:rPr>
          <w:color w:val="231F20"/>
          <w:spacing w:val="-2"/>
          <w:sz w:val="20"/>
          <w:vertAlign w:val="baseline"/>
        </w:rPr>
        <w:t>des</w:t>
      </w:r>
      <w:r>
        <w:rPr>
          <w:color w:val="231F20"/>
          <w:spacing w:val="-6"/>
          <w:sz w:val="20"/>
          <w:vertAlign w:val="baseline"/>
        </w:rPr>
        <w:t> </w:t>
      </w:r>
      <w:r>
        <w:rPr>
          <w:color w:val="231F20"/>
          <w:spacing w:val="-2"/>
          <w:sz w:val="20"/>
          <w:vertAlign w:val="baseline"/>
        </w:rPr>
        <w:t>dozos</w:t>
      </w:r>
      <w:r>
        <w:rPr>
          <w:color w:val="231F20"/>
          <w:spacing w:val="-6"/>
          <w:sz w:val="20"/>
          <w:vertAlign w:val="baseline"/>
        </w:rPr>
        <w:t> </w:t>
      </w:r>
      <w:r>
        <w:rPr>
          <w:color w:val="231F20"/>
          <w:spacing w:val="-2"/>
          <w:sz w:val="20"/>
          <w:vertAlign w:val="baseline"/>
        </w:rPr>
        <w:t>(chasseurs</w:t>
      </w:r>
      <w:r>
        <w:rPr>
          <w:color w:val="231F20"/>
          <w:spacing w:val="-7"/>
          <w:sz w:val="20"/>
          <w:vertAlign w:val="baseline"/>
        </w:rPr>
        <w:t> </w:t>
      </w:r>
      <w:r>
        <w:rPr>
          <w:color w:val="231F20"/>
          <w:spacing w:val="-2"/>
          <w:sz w:val="20"/>
          <w:vertAlign w:val="baseline"/>
        </w:rPr>
        <w:t>traditionnels)</w:t>
      </w:r>
      <w:r>
        <w:rPr>
          <w:color w:val="231F20"/>
          <w:spacing w:val="-7"/>
          <w:sz w:val="20"/>
          <w:vertAlign w:val="baseline"/>
        </w:rPr>
        <w:t> </w:t>
      </w:r>
      <w:r>
        <w:rPr>
          <w:color w:val="231F20"/>
          <w:spacing w:val="-2"/>
          <w:sz w:val="20"/>
          <w:vertAlign w:val="baseline"/>
        </w:rPr>
        <w:t>ainsi</w:t>
      </w:r>
      <w:r>
        <w:rPr>
          <w:color w:val="231F20"/>
          <w:spacing w:val="-7"/>
          <w:sz w:val="20"/>
          <w:vertAlign w:val="baseline"/>
        </w:rPr>
        <w:t> </w:t>
      </w:r>
      <w:r>
        <w:rPr>
          <w:color w:val="231F20"/>
          <w:spacing w:val="-2"/>
          <w:sz w:val="20"/>
          <w:vertAlign w:val="baseline"/>
        </w:rPr>
        <w:t>que</w:t>
      </w:r>
      <w:r>
        <w:rPr>
          <w:color w:val="231F20"/>
          <w:spacing w:val="-5"/>
          <w:sz w:val="20"/>
          <w:vertAlign w:val="baseline"/>
        </w:rPr>
        <w:t> </w:t>
      </w:r>
      <w:r>
        <w:rPr>
          <w:color w:val="231F20"/>
          <w:spacing w:val="-2"/>
          <w:sz w:val="20"/>
          <w:vertAlign w:val="baseline"/>
        </w:rPr>
        <w:t>des</w:t>
      </w:r>
      <w:r>
        <w:rPr>
          <w:color w:val="231F20"/>
          <w:spacing w:val="-6"/>
          <w:sz w:val="20"/>
          <w:vertAlign w:val="baseline"/>
        </w:rPr>
        <w:t> </w:t>
      </w:r>
      <w:r>
        <w:rPr>
          <w:color w:val="231F20"/>
          <w:spacing w:val="-2"/>
          <w:sz w:val="20"/>
          <w:vertAlign w:val="baseline"/>
        </w:rPr>
        <w:t>groupes</w:t>
      </w:r>
      <w:r>
        <w:rPr>
          <w:color w:val="231F20"/>
          <w:spacing w:val="-8"/>
          <w:sz w:val="20"/>
          <w:vertAlign w:val="baseline"/>
        </w:rPr>
        <w:t> </w:t>
      </w:r>
      <w:r>
        <w:rPr>
          <w:color w:val="231F20"/>
          <w:spacing w:val="-2"/>
          <w:sz w:val="20"/>
          <w:vertAlign w:val="baseline"/>
        </w:rPr>
        <w:t>d’autodéfense.</w:t>
      </w:r>
      <w:r>
        <w:rPr>
          <w:color w:val="231F20"/>
          <w:spacing w:val="-5"/>
          <w:sz w:val="20"/>
          <w:vertAlign w:val="baseline"/>
        </w:rPr>
        <w:t> </w:t>
      </w:r>
      <w:r>
        <w:rPr>
          <w:color w:val="231F20"/>
          <w:spacing w:val="-2"/>
          <w:sz w:val="20"/>
          <w:vertAlign w:val="baseline"/>
        </w:rPr>
        <w:t>Pour </w:t>
      </w:r>
      <w:r>
        <w:rPr>
          <w:color w:val="231F20"/>
          <w:sz w:val="20"/>
          <w:vertAlign w:val="baseline"/>
        </w:rPr>
        <w:t>sa</w:t>
      </w:r>
      <w:r>
        <w:rPr>
          <w:color w:val="231F20"/>
          <w:spacing w:val="-5"/>
          <w:sz w:val="20"/>
          <w:vertAlign w:val="baseline"/>
        </w:rPr>
        <w:t> </w:t>
      </w:r>
      <w:r>
        <w:rPr>
          <w:color w:val="231F20"/>
          <w:sz w:val="20"/>
          <w:vertAlign w:val="baseline"/>
        </w:rPr>
        <w:t>part,</w:t>
      </w:r>
      <w:r>
        <w:rPr>
          <w:color w:val="231F20"/>
          <w:spacing w:val="-4"/>
          <w:sz w:val="20"/>
          <w:vertAlign w:val="baseline"/>
        </w:rPr>
        <w:t> </w:t>
      </w:r>
      <w:r>
        <w:rPr>
          <w:color w:val="231F20"/>
          <w:sz w:val="20"/>
          <w:vertAlign w:val="baseline"/>
        </w:rPr>
        <w:t>le</w:t>
      </w:r>
      <w:r>
        <w:rPr>
          <w:color w:val="231F20"/>
          <w:spacing w:val="-4"/>
          <w:sz w:val="20"/>
          <w:vertAlign w:val="baseline"/>
        </w:rPr>
        <w:t> </w:t>
      </w:r>
      <w:r>
        <w:rPr>
          <w:color w:val="231F20"/>
          <w:sz w:val="20"/>
          <w:vertAlign w:val="baseline"/>
        </w:rPr>
        <w:t>Comité</w:t>
      </w:r>
      <w:r>
        <w:rPr>
          <w:color w:val="231F20"/>
          <w:spacing w:val="-3"/>
          <w:sz w:val="20"/>
          <w:vertAlign w:val="baseline"/>
        </w:rPr>
        <w:t> </w:t>
      </w:r>
      <w:r>
        <w:rPr>
          <w:color w:val="231F20"/>
          <w:sz w:val="20"/>
          <w:vertAlign w:val="baseline"/>
        </w:rPr>
        <w:t>international</w:t>
      </w:r>
      <w:r>
        <w:rPr>
          <w:color w:val="231F20"/>
          <w:spacing w:val="-5"/>
          <w:sz w:val="20"/>
          <w:vertAlign w:val="baseline"/>
        </w:rPr>
        <w:t> </w:t>
      </w:r>
      <w:r>
        <w:rPr>
          <w:color w:val="231F20"/>
          <w:sz w:val="20"/>
          <w:vertAlign w:val="baseline"/>
        </w:rPr>
        <w:t>de</w:t>
      </w:r>
      <w:r>
        <w:rPr>
          <w:color w:val="231F20"/>
          <w:spacing w:val="-4"/>
          <w:sz w:val="20"/>
          <w:vertAlign w:val="baseline"/>
        </w:rPr>
        <w:t> </w:t>
      </w:r>
      <w:r>
        <w:rPr>
          <w:color w:val="231F20"/>
          <w:sz w:val="20"/>
          <w:vertAlign w:val="baseline"/>
        </w:rPr>
        <w:t>la</w:t>
      </w:r>
      <w:r>
        <w:rPr>
          <w:color w:val="231F20"/>
          <w:spacing w:val="-4"/>
          <w:sz w:val="20"/>
          <w:vertAlign w:val="baseline"/>
        </w:rPr>
        <w:t> </w:t>
      </w:r>
      <w:r>
        <w:rPr>
          <w:color w:val="231F20"/>
          <w:sz w:val="20"/>
          <w:vertAlign w:val="baseline"/>
        </w:rPr>
        <w:t>Croix-Rouge</w:t>
      </w:r>
      <w:r>
        <w:rPr>
          <w:color w:val="231F20"/>
          <w:spacing w:val="-4"/>
          <w:sz w:val="20"/>
          <w:vertAlign w:val="baseline"/>
        </w:rPr>
        <w:t> </w:t>
      </w:r>
      <w:r>
        <w:rPr>
          <w:color w:val="231F20"/>
          <w:sz w:val="20"/>
          <w:vertAlign w:val="baseline"/>
        </w:rPr>
        <w:t>évoque</w:t>
      </w:r>
      <w:r>
        <w:rPr>
          <w:color w:val="231F20"/>
          <w:spacing w:val="-7"/>
          <w:sz w:val="20"/>
          <w:vertAlign w:val="baseline"/>
        </w:rPr>
        <w:t> </w:t>
      </w:r>
      <w:r>
        <w:rPr>
          <w:color w:val="231F20"/>
          <w:sz w:val="20"/>
          <w:vertAlign w:val="baseline"/>
        </w:rPr>
        <w:t>un</w:t>
      </w:r>
      <w:r>
        <w:rPr>
          <w:color w:val="231F20"/>
          <w:spacing w:val="-4"/>
          <w:sz w:val="20"/>
          <w:vertAlign w:val="baseline"/>
        </w:rPr>
        <w:t> </w:t>
      </w:r>
      <w:r>
        <w:rPr>
          <w:color w:val="231F20"/>
          <w:sz w:val="20"/>
          <w:vertAlign w:val="baseline"/>
        </w:rPr>
        <w:t>bilan</w:t>
      </w:r>
      <w:r>
        <w:rPr>
          <w:color w:val="231F20"/>
          <w:spacing w:val="-4"/>
          <w:sz w:val="20"/>
          <w:vertAlign w:val="baseline"/>
        </w:rPr>
        <w:t> </w:t>
      </w:r>
      <w:r>
        <w:rPr>
          <w:color w:val="231F20"/>
          <w:sz w:val="20"/>
          <w:vertAlign w:val="baseline"/>
        </w:rPr>
        <w:t>de</w:t>
      </w:r>
      <w:r>
        <w:rPr>
          <w:color w:val="231F20"/>
          <w:spacing w:val="-4"/>
          <w:sz w:val="20"/>
          <w:vertAlign w:val="baseline"/>
        </w:rPr>
        <w:t> </w:t>
      </w:r>
      <w:r>
        <w:rPr>
          <w:color w:val="231F20"/>
          <w:sz w:val="20"/>
          <w:vertAlign w:val="baseline"/>
        </w:rPr>
        <w:t>800</w:t>
      </w:r>
      <w:r>
        <w:rPr>
          <w:color w:val="231F20"/>
          <w:spacing w:val="-13"/>
          <w:sz w:val="20"/>
          <w:vertAlign w:val="baseline"/>
        </w:rPr>
        <w:t> </w:t>
      </w:r>
      <w:r>
        <w:rPr>
          <w:color w:val="231F20"/>
          <w:sz w:val="20"/>
          <w:vertAlign w:val="baseline"/>
        </w:rPr>
        <w:t>morts</w:t>
      </w:r>
      <w:r>
        <w:rPr>
          <w:color w:val="231F20"/>
          <w:spacing w:val="-3"/>
          <w:sz w:val="20"/>
          <w:vertAlign w:val="baseline"/>
        </w:rPr>
        <w:t> </w:t>
      </w:r>
      <w:r>
        <w:rPr>
          <w:color w:val="231F20"/>
          <w:sz w:val="20"/>
          <w:vertAlign w:val="baseline"/>
        </w:rPr>
        <w:t>pour Duékoué et sa région.</w:t>
      </w:r>
    </w:p>
    <w:p>
      <w:pPr>
        <w:spacing w:after="0"/>
        <w:jc w:val="both"/>
        <w:rPr>
          <w:sz w:val="20"/>
        </w:rPr>
        <w:sectPr>
          <w:pgSz w:w="8790" w:h="13610"/>
          <w:pgMar w:header="0" w:footer="802" w:top="1060" w:bottom="1000" w:left="880" w:right="880"/>
        </w:sectPr>
      </w:pPr>
    </w:p>
    <w:p>
      <w:pPr>
        <w:spacing w:before="66"/>
        <w:ind w:left="111" w:right="104" w:firstLine="0"/>
        <w:jc w:val="both"/>
        <w:rPr>
          <w:sz w:val="24"/>
        </w:rPr>
      </w:pPr>
      <w:r>
        <w:rPr>
          <w:i/>
          <w:color w:val="231F20"/>
          <w:spacing w:val="-4"/>
          <w:sz w:val="24"/>
        </w:rPr>
        <w:t>pilotés</w:t>
      </w:r>
      <w:r>
        <w:rPr>
          <w:i/>
          <w:color w:val="231F20"/>
          <w:spacing w:val="-11"/>
          <w:sz w:val="24"/>
        </w:rPr>
        <w:t> </w:t>
      </w:r>
      <w:r>
        <w:rPr>
          <w:i/>
          <w:color w:val="231F20"/>
          <w:spacing w:val="-4"/>
          <w:sz w:val="24"/>
        </w:rPr>
        <w:t>par</w:t>
      </w:r>
      <w:r>
        <w:rPr>
          <w:i/>
          <w:color w:val="231F20"/>
          <w:spacing w:val="-11"/>
          <w:sz w:val="24"/>
        </w:rPr>
        <w:t> </w:t>
      </w:r>
      <w:r>
        <w:rPr>
          <w:i/>
          <w:color w:val="231F20"/>
          <w:spacing w:val="-4"/>
          <w:sz w:val="24"/>
        </w:rPr>
        <w:t>des</w:t>
      </w:r>
      <w:r>
        <w:rPr>
          <w:i/>
          <w:color w:val="231F20"/>
          <w:spacing w:val="-11"/>
          <w:sz w:val="24"/>
        </w:rPr>
        <w:t> </w:t>
      </w:r>
      <w:r>
        <w:rPr>
          <w:i/>
          <w:color w:val="231F20"/>
          <w:spacing w:val="-4"/>
          <w:sz w:val="24"/>
        </w:rPr>
        <w:t>Ukrainiens,</w:t>
      </w:r>
      <w:r>
        <w:rPr>
          <w:i/>
          <w:color w:val="231F20"/>
          <w:spacing w:val="-10"/>
          <w:sz w:val="24"/>
        </w:rPr>
        <w:t> </w:t>
      </w:r>
      <w:r>
        <w:rPr>
          <w:i/>
          <w:color w:val="231F20"/>
          <w:spacing w:val="-4"/>
          <w:sz w:val="24"/>
        </w:rPr>
        <w:t>entrent</w:t>
      </w:r>
      <w:r>
        <w:rPr>
          <w:i/>
          <w:color w:val="231F20"/>
          <w:spacing w:val="-11"/>
          <w:sz w:val="24"/>
        </w:rPr>
        <w:t> </w:t>
      </w:r>
      <w:r>
        <w:rPr>
          <w:i/>
          <w:color w:val="231F20"/>
          <w:spacing w:val="-4"/>
          <w:sz w:val="24"/>
        </w:rPr>
        <w:t>en</w:t>
      </w:r>
      <w:r>
        <w:rPr>
          <w:i/>
          <w:color w:val="231F20"/>
          <w:spacing w:val="-11"/>
          <w:sz w:val="24"/>
        </w:rPr>
        <w:t> </w:t>
      </w:r>
      <w:r>
        <w:rPr>
          <w:i/>
          <w:color w:val="231F20"/>
          <w:spacing w:val="-4"/>
          <w:sz w:val="24"/>
        </w:rPr>
        <w:t>action.</w:t>
      </w:r>
      <w:r>
        <w:rPr>
          <w:i/>
          <w:color w:val="231F20"/>
          <w:spacing w:val="-11"/>
          <w:sz w:val="24"/>
        </w:rPr>
        <w:t> </w:t>
      </w:r>
      <w:r>
        <w:rPr>
          <w:i/>
          <w:color w:val="231F20"/>
          <w:spacing w:val="-4"/>
          <w:sz w:val="24"/>
        </w:rPr>
        <w:t>Normal.</w:t>
      </w:r>
      <w:r>
        <w:rPr>
          <w:i/>
          <w:color w:val="231F20"/>
          <w:spacing w:val="-9"/>
          <w:sz w:val="24"/>
        </w:rPr>
        <w:t> </w:t>
      </w:r>
      <w:r>
        <w:rPr>
          <w:i/>
          <w:color w:val="231F20"/>
          <w:spacing w:val="-4"/>
          <w:sz w:val="24"/>
        </w:rPr>
        <w:t>Ils</w:t>
      </w:r>
      <w:r>
        <w:rPr>
          <w:i/>
          <w:color w:val="231F20"/>
          <w:spacing w:val="-11"/>
          <w:sz w:val="24"/>
        </w:rPr>
        <w:t> </w:t>
      </w:r>
      <w:r>
        <w:rPr>
          <w:i/>
          <w:color w:val="231F20"/>
          <w:spacing w:val="-4"/>
          <w:sz w:val="24"/>
        </w:rPr>
        <w:t>ne</w:t>
      </w:r>
      <w:r>
        <w:rPr>
          <w:i/>
          <w:color w:val="231F20"/>
          <w:spacing w:val="-11"/>
          <w:sz w:val="24"/>
        </w:rPr>
        <w:t> </w:t>
      </w:r>
      <w:r>
        <w:rPr>
          <w:i/>
          <w:color w:val="231F20"/>
          <w:spacing w:val="-4"/>
          <w:sz w:val="24"/>
        </w:rPr>
        <w:t>peuvent</w:t>
      </w:r>
      <w:r>
        <w:rPr>
          <w:i/>
          <w:color w:val="231F20"/>
          <w:spacing w:val="-9"/>
          <w:sz w:val="24"/>
        </w:rPr>
        <w:t> </w:t>
      </w:r>
      <w:r>
        <w:rPr>
          <w:i/>
          <w:color w:val="231F20"/>
          <w:spacing w:val="-4"/>
          <w:sz w:val="24"/>
        </w:rPr>
        <w:t>voler</w:t>
      </w:r>
      <w:r>
        <w:rPr>
          <w:i/>
          <w:color w:val="231F20"/>
          <w:spacing w:val="-4"/>
          <w:sz w:val="24"/>
        </w:rPr>
        <w:t> </w:t>
      </w:r>
      <w:r>
        <w:rPr>
          <w:i/>
          <w:color w:val="231F20"/>
          <w:spacing w:val="-2"/>
          <w:sz w:val="24"/>
        </w:rPr>
        <w:t>que</w:t>
      </w:r>
      <w:r>
        <w:rPr>
          <w:i/>
          <w:color w:val="231F20"/>
          <w:spacing w:val="-9"/>
          <w:sz w:val="24"/>
        </w:rPr>
        <w:t> </w:t>
      </w:r>
      <w:r>
        <w:rPr>
          <w:i/>
          <w:color w:val="231F20"/>
          <w:spacing w:val="-2"/>
          <w:sz w:val="24"/>
        </w:rPr>
        <w:t>de</w:t>
      </w:r>
      <w:r>
        <w:rPr>
          <w:i/>
          <w:color w:val="231F20"/>
          <w:spacing w:val="-9"/>
          <w:sz w:val="24"/>
        </w:rPr>
        <w:t> </w:t>
      </w:r>
      <w:r>
        <w:rPr>
          <w:i/>
          <w:color w:val="231F20"/>
          <w:spacing w:val="-2"/>
          <w:sz w:val="24"/>
        </w:rPr>
        <w:t>jour.</w:t>
      </w:r>
      <w:r>
        <w:rPr>
          <w:i/>
          <w:color w:val="231F20"/>
          <w:spacing w:val="-9"/>
          <w:sz w:val="24"/>
        </w:rPr>
        <w:t> </w:t>
      </w:r>
      <w:r>
        <w:rPr>
          <w:i/>
          <w:color w:val="231F20"/>
          <w:spacing w:val="-2"/>
          <w:sz w:val="24"/>
        </w:rPr>
        <w:t>Ils</w:t>
      </w:r>
      <w:r>
        <w:rPr>
          <w:i/>
          <w:color w:val="231F20"/>
          <w:spacing w:val="-9"/>
          <w:sz w:val="24"/>
        </w:rPr>
        <w:t> </w:t>
      </w:r>
      <w:r>
        <w:rPr>
          <w:i/>
          <w:color w:val="231F20"/>
          <w:spacing w:val="-2"/>
          <w:sz w:val="24"/>
        </w:rPr>
        <w:t>attaquent</w:t>
      </w:r>
      <w:r>
        <w:rPr>
          <w:i/>
          <w:color w:val="231F20"/>
          <w:spacing w:val="-11"/>
          <w:sz w:val="24"/>
        </w:rPr>
        <w:t> </w:t>
      </w:r>
      <w:r>
        <w:rPr>
          <w:i/>
          <w:color w:val="231F20"/>
          <w:spacing w:val="-2"/>
          <w:sz w:val="24"/>
        </w:rPr>
        <w:t>les</w:t>
      </w:r>
      <w:r>
        <w:rPr>
          <w:i/>
          <w:color w:val="231F20"/>
          <w:spacing w:val="-9"/>
          <w:sz w:val="24"/>
        </w:rPr>
        <w:t> </w:t>
      </w:r>
      <w:r>
        <w:rPr>
          <w:i/>
          <w:color w:val="231F20"/>
          <w:spacing w:val="-2"/>
          <w:sz w:val="24"/>
        </w:rPr>
        <w:t>canons</w:t>
      </w:r>
      <w:r>
        <w:rPr>
          <w:i/>
          <w:color w:val="231F20"/>
          <w:spacing w:val="-11"/>
          <w:sz w:val="24"/>
        </w:rPr>
        <w:t> </w:t>
      </w:r>
      <w:r>
        <w:rPr>
          <w:i/>
          <w:color w:val="231F20"/>
          <w:spacing w:val="-2"/>
          <w:sz w:val="24"/>
        </w:rPr>
        <w:t>et</w:t>
      </w:r>
      <w:r>
        <w:rPr>
          <w:i/>
          <w:color w:val="231F20"/>
          <w:spacing w:val="-12"/>
          <w:sz w:val="24"/>
        </w:rPr>
        <w:t> </w:t>
      </w:r>
      <w:r>
        <w:rPr>
          <w:i/>
          <w:color w:val="231F20"/>
          <w:spacing w:val="-2"/>
          <w:sz w:val="24"/>
        </w:rPr>
        <w:t>les</w:t>
      </w:r>
      <w:r>
        <w:rPr>
          <w:i/>
          <w:color w:val="231F20"/>
          <w:spacing w:val="-12"/>
          <w:sz w:val="24"/>
        </w:rPr>
        <w:t> </w:t>
      </w:r>
      <w:r>
        <w:rPr>
          <w:i/>
          <w:color w:val="231F20"/>
          <w:spacing w:val="-2"/>
          <w:sz w:val="24"/>
        </w:rPr>
        <w:t>blindés</w:t>
      </w:r>
      <w:r>
        <w:rPr>
          <w:i/>
          <w:color w:val="231F20"/>
          <w:spacing w:val="-9"/>
          <w:sz w:val="24"/>
        </w:rPr>
        <w:t> </w:t>
      </w:r>
      <w:r>
        <w:rPr>
          <w:i/>
          <w:color w:val="231F20"/>
          <w:spacing w:val="-2"/>
          <w:sz w:val="24"/>
        </w:rPr>
        <w:t>qui</w:t>
      </w:r>
      <w:r>
        <w:rPr>
          <w:i/>
          <w:color w:val="231F20"/>
          <w:spacing w:val="-9"/>
          <w:sz w:val="24"/>
        </w:rPr>
        <w:t> </w:t>
      </w:r>
      <w:r>
        <w:rPr>
          <w:i/>
          <w:color w:val="231F20"/>
          <w:spacing w:val="-2"/>
          <w:sz w:val="24"/>
        </w:rPr>
        <w:t>protègent</w:t>
      </w:r>
      <w:r>
        <w:rPr>
          <w:i/>
          <w:color w:val="231F20"/>
          <w:spacing w:val="-9"/>
          <w:sz w:val="24"/>
        </w:rPr>
        <w:t> </w:t>
      </w:r>
      <w:r>
        <w:rPr>
          <w:i/>
          <w:color w:val="231F20"/>
          <w:spacing w:val="-2"/>
          <w:sz w:val="24"/>
        </w:rPr>
        <w:t>le</w:t>
      </w:r>
      <w:r>
        <w:rPr>
          <w:i/>
          <w:color w:val="231F20"/>
          <w:spacing w:val="-12"/>
          <w:sz w:val="24"/>
        </w:rPr>
        <w:t> </w:t>
      </w:r>
      <w:r>
        <w:rPr>
          <w:i/>
          <w:color w:val="231F20"/>
          <w:spacing w:val="-2"/>
          <w:sz w:val="24"/>
        </w:rPr>
        <w:t>palais présidentiel,</w:t>
      </w:r>
      <w:r>
        <w:rPr>
          <w:i/>
          <w:color w:val="231F20"/>
          <w:spacing w:val="-10"/>
          <w:sz w:val="24"/>
        </w:rPr>
        <w:t> </w:t>
      </w:r>
      <w:r>
        <w:rPr>
          <w:i/>
          <w:color w:val="231F20"/>
          <w:spacing w:val="-2"/>
          <w:sz w:val="24"/>
        </w:rPr>
        <w:t>au</w:t>
      </w:r>
      <w:r>
        <w:rPr>
          <w:i/>
          <w:color w:val="231F20"/>
          <w:spacing w:val="-10"/>
          <w:sz w:val="24"/>
        </w:rPr>
        <w:t> </w:t>
      </w:r>
      <w:r>
        <w:rPr>
          <w:i/>
          <w:color w:val="231F20"/>
          <w:spacing w:val="-2"/>
          <w:sz w:val="24"/>
        </w:rPr>
        <w:t>Plateau.</w:t>
      </w:r>
      <w:r>
        <w:rPr>
          <w:i/>
          <w:color w:val="231F20"/>
          <w:spacing w:val="-13"/>
          <w:sz w:val="24"/>
        </w:rPr>
        <w:t> </w:t>
      </w:r>
      <w:r>
        <w:rPr>
          <w:i/>
          <w:color w:val="231F20"/>
          <w:spacing w:val="-2"/>
          <w:sz w:val="24"/>
        </w:rPr>
        <w:t>À</w:t>
      </w:r>
      <w:r>
        <w:rPr>
          <w:i/>
          <w:color w:val="231F20"/>
          <w:spacing w:val="-10"/>
          <w:sz w:val="24"/>
        </w:rPr>
        <w:t> </w:t>
      </w:r>
      <w:r>
        <w:rPr>
          <w:i/>
          <w:color w:val="231F20"/>
          <w:spacing w:val="-2"/>
          <w:sz w:val="24"/>
        </w:rPr>
        <w:t>la</w:t>
      </w:r>
      <w:r>
        <w:rPr>
          <w:i/>
          <w:color w:val="231F20"/>
          <w:spacing w:val="-10"/>
          <w:sz w:val="24"/>
        </w:rPr>
        <w:t> </w:t>
      </w:r>
      <w:r>
        <w:rPr>
          <w:i/>
          <w:color w:val="231F20"/>
          <w:spacing w:val="-2"/>
          <w:sz w:val="24"/>
        </w:rPr>
        <w:t>nuit</w:t>
      </w:r>
      <w:r>
        <w:rPr>
          <w:i/>
          <w:color w:val="231F20"/>
          <w:spacing w:val="-13"/>
          <w:sz w:val="24"/>
        </w:rPr>
        <w:t> </w:t>
      </w:r>
      <w:r>
        <w:rPr>
          <w:i/>
          <w:color w:val="231F20"/>
          <w:spacing w:val="-2"/>
          <w:sz w:val="24"/>
        </w:rPr>
        <w:t>tombée,</w:t>
      </w:r>
      <w:r>
        <w:rPr>
          <w:i/>
          <w:color w:val="231F20"/>
          <w:spacing w:val="-13"/>
          <w:sz w:val="24"/>
        </w:rPr>
        <w:t> </w:t>
      </w:r>
      <w:r>
        <w:rPr>
          <w:i/>
          <w:color w:val="231F20"/>
          <w:spacing w:val="-2"/>
          <w:sz w:val="24"/>
        </w:rPr>
        <w:t>les</w:t>
      </w:r>
      <w:r>
        <w:rPr>
          <w:i/>
          <w:color w:val="231F20"/>
          <w:spacing w:val="-10"/>
          <w:sz w:val="24"/>
        </w:rPr>
        <w:t> </w:t>
      </w:r>
      <w:r>
        <w:rPr>
          <w:i/>
          <w:color w:val="231F20"/>
          <w:spacing w:val="-2"/>
          <w:sz w:val="24"/>
        </w:rPr>
        <w:t>quatre</w:t>
      </w:r>
      <w:r>
        <w:rPr>
          <w:i/>
          <w:color w:val="231F20"/>
          <w:spacing w:val="-10"/>
          <w:sz w:val="24"/>
        </w:rPr>
        <w:t> </w:t>
      </w:r>
      <w:r>
        <w:rPr>
          <w:i/>
          <w:color w:val="231F20"/>
          <w:spacing w:val="-2"/>
          <w:sz w:val="24"/>
        </w:rPr>
        <w:t>Gazelle</w:t>
      </w:r>
      <w:r>
        <w:rPr>
          <w:i/>
          <w:color w:val="231F20"/>
          <w:spacing w:val="-10"/>
          <w:sz w:val="24"/>
        </w:rPr>
        <w:t> </w:t>
      </w:r>
      <w:r>
        <w:rPr>
          <w:i/>
          <w:color w:val="231F20"/>
          <w:spacing w:val="-2"/>
          <w:sz w:val="24"/>
        </w:rPr>
        <w:t>de</w:t>
      </w:r>
      <w:r>
        <w:rPr>
          <w:i/>
          <w:color w:val="231F20"/>
          <w:spacing w:val="-10"/>
          <w:sz w:val="24"/>
        </w:rPr>
        <w:t> </w:t>
      </w:r>
      <w:r>
        <w:rPr>
          <w:i/>
          <w:color w:val="231F20"/>
          <w:spacing w:val="-2"/>
          <w:sz w:val="24"/>
        </w:rPr>
        <w:t>Licorne, </w:t>
      </w:r>
      <w:r>
        <w:rPr>
          <w:i/>
          <w:color w:val="231F20"/>
          <w:sz w:val="24"/>
        </w:rPr>
        <w:t>appuyées par un Puma, prennent le relais. Objectif</w:t>
      </w:r>
      <w:r>
        <w:rPr>
          <w:i/>
          <w:color w:val="231F20"/>
          <w:spacing w:val="-15"/>
          <w:sz w:val="24"/>
        </w:rPr>
        <w:t> </w:t>
      </w:r>
      <w:r>
        <w:rPr>
          <w:i/>
          <w:color w:val="231F20"/>
          <w:sz w:val="24"/>
        </w:rPr>
        <w:t>: le quartier de la résidence,</w:t>
      </w:r>
      <w:r>
        <w:rPr>
          <w:i/>
          <w:color w:val="231F20"/>
          <w:spacing w:val="-4"/>
          <w:sz w:val="24"/>
        </w:rPr>
        <w:t> </w:t>
      </w:r>
      <w:r>
        <w:rPr>
          <w:i/>
          <w:color w:val="231F20"/>
          <w:sz w:val="24"/>
        </w:rPr>
        <w:t>à</w:t>
      </w:r>
      <w:r>
        <w:rPr>
          <w:i/>
          <w:color w:val="231F20"/>
          <w:spacing w:val="-4"/>
          <w:sz w:val="24"/>
        </w:rPr>
        <w:t> </w:t>
      </w:r>
      <w:r>
        <w:rPr>
          <w:i/>
          <w:color w:val="231F20"/>
          <w:sz w:val="24"/>
        </w:rPr>
        <w:t>Cocody.</w:t>
      </w:r>
      <w:r>
        <w:rPr>
          <w:i/>
          <w:color w:val="231F20"/>
          <w:spacing w:val="-3"/>
          <w:sz w:val="24"/>
        </w:rPr>
        <w:t> </w:t>
      </w:r>
      <w:r>
        <w:rPr>
          <w:i/>
          <w:color w:val="231F20"/>
          <w:sz w:val="24"/>
        </w:rPr>
        <w:t>Frappes</w:t>
      </w:r>
      <w:r>
        <w:rPr>
          <w:i/>
          <w:color w:val="231F20"/>
          <w:spacing w:val="-2"/>
          <w:sz w:val="24"/>
        </w:rPr>
        <w:t> </w:t>
      </w:r>
      <w:r>
        <w:rPr>
          <w:i/>
          <w:color w:val="231F20"/>
          <w:sz w:val="24"/>
        </w:rPr>
        <w:t>précises</w:t>
      </w:r>
      <w:r>
        <w:rPr>
          <w:i/>
          <w:color w:val="231F20"/>
          <w:spacing w:val="-2"/>
          <w:sz w:val="24"/>
        </w:rPr>
        <w:t> </w:t>
      </w:r>
      <w:r>
        <w:rPr>
          <w:i/>
          <w:color w:val="231F20"/>
          <w:sz w:val="24"/>
        </w:rPr>
        <w:t>et continues(…)</w:t>
      </w:r>
      <w:r>
        <w:rPr>
          <w:color w:val="76787A"/>
          <w:sz w:val="24"/>
          <w:vertAlign w:val="superscript"/>
        </w:rPr>
        <w:t>207</w:t>
      </w:r>
    </w:p>
    <w:p>
      <w:pPr>
        <w:pStyle w:val="BodyText"/>
        <w:spacing w:before="120"/>
        <w:ind w:right="107" w:firstLine="283"/>
      </w:pPr>
      <w:r>
        <w:rPr>
          <w:color w:val="231F20"/>
          <w:spacing w:val="-2"/>
        </w:rPr>
        <w:t>Mais</w:t>
      </w:r>
      <w:r>
        <w:rPr>
          <w:color w:val="231F20"/>
          <w:spacing w:val="-9"/>
        </w:rPr>
        <w:t> </w:t>
      </w:r>
      <w:r>
        <w:rPr>
          <w:color w:val="231F20"/>
          <w:spacing w:val="-2"/>
        </w:rPr>
        <w:t>au</w:t>
      </w:r>
      <w:r>
        <w:rPr>
          <w:color w:val="231F20"/>
          <w:spacing w:val="-9"/>
        </w:rPr>
        <w:t> </w:t>
      </w:r>
      <w:r>
        <w:rPr>
          <w:color w:val="231F20"/>
          <w:spacing w:val="-2"/>
        </w:rPr>
        <w:t>sol,</w:t>
      </w:r>
      <w:r>
        <w:rPr>
          <w:color w:val="231F20"/>
          <w:spacing w:val="-11"/>
        </w:rPr>
        <w:t> </w:t>
      </w:r>
      <w:r>
        <w:rPr>
          <w:color w:val="231F20"/>
          <w:spacing w:val="-2"/>
        </w:rPr>
        <w:t>les</w:t>
      </w:r>
      <w:r>
        <w:rPr>
          <w:color w:val="231F20"/>
          <w:spacing w:val="-9"/>
        </w:rPr>
        <w:t> </w:t>
      </w:r>
      <w:r>
        <w:rPr>
          <w:color w:val="231F20"/>
          <w:spacing w:val="-2"/>
        </w:rPr>
        <w:t>hommes</w:t>
      </w:r>
      <w:r>
        <w:rPr>
          <w:color w:val="231F20"/>
          <w:spacing w:val="-11"/>
        </w:rPr>
        <w:t> </w:t>
      </w:r>
      <w:r>
        <w:rPr>
          <w:color w:val="231F20"/>
          <w:spacing w:val="-2"/>
        </w:rPr>
        <w:t>de</w:t>
      </w:r>
      <w:r>
        <w:rPr>
          <w:color w:val="231F20"/>
          <w:spacing w:val="-9"/>
        </w:rPr>
        <w:t> </w:t>
      </w:r>
      <w:r>
        <w:rPr>
          <w:color w:val="231F20"/>
          <w:spacing w:val="-2"/>
        </w:rPr>
        <w:t>Gbagbo</w:t>
      </w:r>
      <w:r>
        <w:rPr>
          <w:color w:val="231F20"/>
          <w:spacing w:val="-8"/>
        </w:rPr>
        <w:t> </w:t>
      </w:r>
      <w:r>
        <w:rPr>
          <w:color w:val="231F20"/>
          <w:spacing w:val="-2"/>
        </w:rPr>
        <w:t>sont</w:t>
      </w:r>
      <w:r>
        <w:rPr>
          <w:color w:val="231F20"/>
          <w:spacing w:val="-11"/>
        </w:rPr>
        <w:t> </w:t>
      </w:r>
      <w:r>
        <w:rPr>
          <w:color w:val="231F20"/>
          <w:spacing w:val="-2"/>
        </w:rPr>
        <w:t>toujours</w:t>
      </w:r>
      <w:r>
        <w:rPr>
          <w:color w:val="231F20"/>
          <w:spacing w:val="-11"/>
        </w:rPr>
        <w:t> </w:t>
      </w:r>
      <w:r>
        <w:rPr>
          <w:color w:val="231F20"/>
          <w:spacing w:val="-2"/>
        </w:rPr>
        <w:t>debout</w:t>
      </w:r>
      <w:r>
        <w:rPr>
          <w:color w:val="231F20"/>
          <w:spacing w:val="-11"/>
        </w:rPr>
        <w:t> </w:t>
      </w:r>
      <w:r>
        <w:rPr>
          <w:color w:val="231F20"/>
          <w:spacing w:val="-2"/>
        </w:rPr>
        <w:t>dans</w:t>
      </w:r>
      <w:r>
        <w:rPr>
          <w:color w:val="231F20"/>
          <w:spacing w:val="-8"/>
        </w:rPr>
        <w:t> </w:t>
      </w:r>
      <w:r>
        <w:rPr>
          <w:color w:val="231F20"/>
          <w:spacing w:val="-2"/>
        </w:rPr>
        <w:t>la</w:t>
      </w:r>
      <w:r>
        <w:rPr>
          <w:color w:val="231F20"/>
          <w:spacing w:val="-9"/>
        </w:rPr>
        <w:t> </w:t>
      </w:r>
      <w:r>
        <w:rPr>
          <w:color w:val="231F20"/>
          <w:spacing w:val="-2"/>
        </w:rPr>
        <w:t>cour de</w:t>
      </w:r>
      <w:r>
        <w:rPr>
          <w:color w:val="231F20"/>
          <w:spacing w:val="-19"/>
        </w:rPr>
        <w:t> </w:t>
      </w:r>
      <w:r>
        <w:rPr>
          <w:color w:val="231F20"/>
          <w:spacing w:val="-2"/>
        </w:rPr>
        <w:t>la</w:t>
      </w:r>
      <w:r>
        <w:rPr>
          <w:color w:val="231F20"/>
          <w:spacing w:val="-17"/>
        </w:rPr>
        <w:t> </w:t>
      </w:r>
      <w:r>
        <w:rPr>
          <w:color w:val="231F20"/>
          <w:spacing w:val="-2"/>
        </w:rPr>
        <w:t>résidence</w:t>
      </w:r>
      <w:r>
        <w:rPr>
          <w:color w:val="231F20"/>
          <w:spacing w:val="-13"/>
        </w:rPr>
        <w:t> </w:t>
      </w:r>
      <w:r>
        <w:rPr>
          <w:color w:val="231F20"/>
          <w:spacing w:val="-2"/>
        </w:rPr>
        <w:t>:</w:t>
      </w:r>
      <w:r>
        <w:rPr>
          <w:color w:val="231F20"/>
          <w:spacing w:val="-17"/>
        </w:rPr>
        <w:t> </w:t>
      </w:r>
      <w:r>
        <w:rPr>
          <w:color w:val="231F20"/>
          <w:spacing w:val="-2"/>
        </w:rPr>
        <w:t>ils</w:t>
      </w:r>
      <w:r>
        <w:rPr>
          <w:color w:val="231F20"/>
          <w:spacing w:val="-18"/>
        </w:rPr>
        <w:t> </w:t>
      </w:r>
      <w:r>
        <w:rPr>
          <w:color w:val="231F20"/>
          <w:spacing w:val="-2"/>
        </w:rPr>
        <w:t>forment</w:t>
      </w:r>
      <w:r>
        <w:rPr>
          <w:color w:val="231F20"/>
          <w:spacing w:val="-19"/>
        </w:rPr>
        <w:t> </w:t>
      </w:r>
      <w:r>
        <w:rPr>
          <w:color w:val="231F20"/>
          <w:spacing w:val="-2"/>
        </w:rPr>
        <w:t>le</w:t>
      </w:r>
      <w:r>
        <w:rPr>
          <w:color w:val="231F20"/>
          <w:spacing w:val="-18"/>
        </w:rPr>
        <w:t> </w:t>
      </w:r>
      <w:r>
        <w:rPr>
          <w:color w:val="231F20"/>
          <w:spacing w:val="-2"/>
        </w:rPr>
        <w:t>dernier</w:t>
      </w:r>
      <w:r>
        <w:rPr>
          <w:color w:val="231F20"/>
          <w:spacing w:val="-13"/>
        </w:rPr>
        <w:t> </w:t>
      </w:r>
      <w:r>
        <w:rPr>
          <w:color w:val="231F20"/>
          <w:spacing w:val="-2"/>
        </w:rPr>
        <w:t>«</w:t>
      </w:r>
      <w:r>
        <w:rPr>
          <w:color w:val="231F20"/>
          <w:spacing w:val="-13"/>
        </w:rPr>
        <w:t> </w:t>
      </w:r>
      <w:r>
        <w:rPr>
          <w:color w:val="231F20"/>
          <w:spacing w:val="-2"/>
        </w:rPr>
        <w:t>carré</w:t>
      </w:r>
      <w:r>
        <w:rPr>
          <w:color w:val="231F20"/>
          <w:spacing w:val="-10"/>
        </w:rPr>
        <w:t> </w:t>
      </w:r>
      <w:r>
        <w:rPr>
          <w:color w:val="231F20"/>
          <w:spacing w:val="-2"/>
        </w:rPr>
        <w:t>»</w:t>
      </w:r>
      <w:r>
        <w:rPr>
          <w:color w:val="231F20"/>
          <w:spacing w:val="-20"/>
        </w:rPr>
        <w:t> </w:t>
      </w:r>
      <w:r>
        <w:rPr>
          <w:color w:val="231F20"/>
          <w:spacing w:val="-2"/>
        </w:rPr>
        <w:t>de</w:t>
      </w:r>
      <w:r>
        <w:rPr>
          <w:color w:val="231F20"/>
          <w:spacing w:val="-18"/>
        </w:rPr>
        <w:t> </w:t>
      </w:r>
      <w:r>
        <w:rPr>
          <w:color w:val="231F20"/>
          <w:spacing w:val="-2"/>
        </w:rPr>
        <w:t>protection</w:t>
      </w:r>
      <w:r>
        <w:rPr>
          <w:color w:val="231F20"/>
          <w:spacing w:val="-17"/>
        </w:rPr>
        <w:t> </w:t>
      </w:r>
      <w:r>
        <w:rPr>
          <w:color w:val="231F20"/>
          <w:spacing w:val="-2"/>
        </w:rPr>
        <w:t>du</w:t>
      </w:r>
      <w:r>
        <w:rPr>
          <w:color w:val="231F20"/>
          <w:spacing w:val="-20"/>
        </w:rPr>
        <w:t> </w:t>
      </w:r>
      <w:r>
        <w:rPr>
          <w:color w:val="231F20"/>
          <w:spacing w:val="-2"/>
        </w:rPr>
        <w:t>président.</w:t>
      </w:r>
    </w:p>
    <w:p>
      <w:pPr>
        <w:spacing w:before="120"/>
        <w:ind w:left="111" w:right="104" w:firstLine="340"/>
        <w:jc w:val="both"/>
        <w:rPr>
          <w:i/>
          <w:sz w:val="24"/>
        </w:rPr>
      </w:pPr>
      <w:r>
        <w:rPr>
          <w:i/>
          <w:color w:val="231F20"/>
          <w:sz w:val="24"/>
        </w:rPr>
        <w:t>«</w:t>
      </w:r>
      <w:r>
        <w:rPr>
          <w:i/>
          <w:color w:val="231F20"/>
          <w:spacing w:val="-10"/>
          <w:sz w:val="24"/>
        </w:rPr>
        <w:t> </w:t>
      </w:r>
      <w:r>
        <w:rPr>
          <w:i/>
          <w:color w:val="231F20"/>
          <w:sz w:val="24"/>
        </w:rPr>
        <w:t>Il y a un moment où, mandat ou pas, il faut que les choses</w:t>
      </w:r>
      <w:r>
        <w:rPr>
          <w:i/>
          <w:color w:val="231F20"/>
          <w:sz w:val="24"/>
        </w:rPr>
        <w:t> s’arrêtent</w:t>
      </w:r>
      <w:r>
        <w:rPr>
          <w:i/>
          <w:color w:val="231F20"/>
          <w:spacing w:val="-15"/>
          <w:sz w:val="24"/>
        </w:rPr>
        <w:t> </w:t>
      </w:r>
      <w:r>
        <w:rPr>
          <w:i/>
          <w:color w:val="231F20"/>
          <w:sz w:val="24"/>
        </w:rPr>
        <w:t>», lance un proche de Nicolas Sarkozy. Les hélicoptères de Licorne</w:t>
      </w:r>
      <w:r>
        <w:rPr>
          <w:i/>
          <w:color w:val="231F20"/>
          <w:spacing w:val="-15"/>
          <w:sz w:val="24"/>
        </w:rPr>
        <w:t> </w:t>
      </w:r>
      <w:r>
        <w:rPr>
          <w:i/>
          <w:color w:val="231F20"/>
          <w:sz w:val="24"/>
        </w:rPr>
        <w:t>décollent</w:t>
      </w:r>
      <w:r>
        <w:rPr>
          <w:i/>
          <w:color w:val="231F20"/>
          <w:spacing w:val="-15"/>
          <w:sz w:val="24"/>
        </w:rPr>
        <w:t> </w:t>
      </w:r>
      <w:r>
        <w:rPr>
          <w:i/>
          <w:color w:val="231F20"/>
          <w:sz w:val="24"/>
        </w:rPr>
        <w:t>(…)</w:t>
      </w:r>
      <w:r>
        <w:rPr>
          <w:i/>
          <w:color w:val="231F20"/>
          <w:spacing w:val="-15"/>
          <w:sz w:val="24"/>
        </w:rPr>
        <w:t> </w:t>
      </w:r>
      <w:r>
        <w:rPr>
          <w:i/>
          <w:color w:val="231F20"/>
          <w:sz w:val="24"/>
        </w:rPr>
        <w:t>ils</w:t>
      </w:r>
      <w:r>
        <w:rPr>
          <w:i/>
          <w:color w:val="231F20"/>
          <w:spacing w:val="-15"/>
          <w:sz w:val="24"/>
        </w:rPr>
        <w:t> </w:t>
      </w:r>
      <w:r>
        <w:rPr>
          <w:i/>
          <w:color w:val="231F20"/>
          <w:sz w:val="24"/>
        </w:rPr>
        <w:t>ne</w:t>
      </w:r>
      <w:r>
        <w:rPr>
          <w:i/>
          <w:color w:val="231F20"/>
          <w:spacing w:val="-15"/>
          <w:sz w:val="24"/>
        </w:rPr>
        <w:t> </w:t>
      </w:r>
      <w:r>
        <w:rPr>
          <w:i/>
          <w:color w:val="231F20"/>
          <w:sz w:val="24"/>
        </w:rPr>
        <w:t>ciblent</w:t>
      </w:r>
      <w:r>
        <w:rPr>
          <w:i/>
          <w:color w:val="231F20"/>
          <w:spacing w:val="-15"/>
          <w:sz w:val="24"/>
        </w:rPr>
        <w:t> </w:t>
      </w:r>
      <w:r>
        <w:rPr>
          <w:i/>
          <w:color w:val="231F20"/>
          <w:sz w:val="24"/>
        </w:rPr>
        <w:t>plus</w:t>
      </w:r>
      <w:r>
        <w:rPr>
          <w:i/>
          <w:color w:val="231F20"/>
          <w:spacing w:val="-15"/>
          <w:sz w:val="24"/>
        </w:rPr>
        <w:t> </w:t>
      </w:r>
      <w:r>
        <w:rPr>
          <w:i/>
          <w:color w:val="231F20"/>
          <w:sz w:val="24"/>
        </w:rPr>
        <w:t>seulement</w:t>
      </w:r>
      <w:r>
        <w:rPr>
          <w:i/>
          <w:color w:val="231F20"/>
          <w:spacing w:val="-15"/>
          <w:sz w:val="24"/>
        </w:rPr>
        <w:t> </w:t>
      </w:r>
      <w:r>
        <w:rPr>
          <w:i/>
          <w:color w:val="231F20"/>
          <w:sz w:val="24"/>
        </w:rPr>
        <w:t>les</w:t>
      </w:r>
      <w:r>
        <w:rPr>
          <w:i/>
          <w:color w:val="231F20"/>
          <w:spacing w:val="-15"/>
          <w:sz w:val="24"/>
        </w:rPr>
        <w:t> </w:t>
      </w:r>
      <w:r>
        <w:rPr>
          <w:i/>
          <w:color w:val="231F20"/>
          <w:sz w:val="24"/>
        </w:rPr>
        <w:t>blindés</w:t>
      </w:r>
      <w:r>
        <w:rPr>
          <w:i/>
          <w:color w:val="231F20"/>
          <w:spacing w:val="-15"/>
          <w:sz w:val="24"/>
        </w:rPr>
        <w:t> </w:t>
      </w:r>
      <w:r>
        <w:rPr>
          <w:i/>
          <w:color w:val="231F20"/>
          <w:sz w:val="24"/>
        </w:rPr>
        <w:t>autour</w:t>
      </w:r>
      <w:r>
        <w:rPr>
          <w:i/>
          <w:color w:val="231F20"/>
          <w:spacing w:val="-15"/>
          <w:sz w:val="24"/>
        </w:rPr>
        <w:t> </w:t>
      </w:r>
      <w:r>
        <w:rPr>
          <w:i/>
          <w:color w:val="231F20"/>
          <w:sz w:val="24"/>
        </w:rPr>
        <w:t>de la résidence. Ils frappent à l’intérieur de l’enceinte, et tirent sur les </w:t>
      </w:r>
      <w:r>
        <w:rPr>
          <w:i/>
          <w:color w:val="231F20"/>
          <w:spacing w:val="-4"/>
          <w:sz w:val="24"/>
        </w:rPr>
        <w:t>canons</w:t>
      </w:r>
      <w:r>
        <w:rPr>
          <w:i/>
          <w:color w:val="231F20"/>
          <w:spacing w:val="-11"/>
          <w:sz w:val="24"/>
        </w:rPr>
        <w:t> </w:t>
      </w:r>
      <w:r>
        <w:rPr>
          <w:i/>
          <w:color w:val="231F20"/>
          <w:spacing w:val="-4"/>
          <w:sz w:val="24"/>
        </w:rPr>
        <w:t>bitubes</w:t>
      </w:r>
      <w:r>
        <w:rPr>
          <w:i/>
          <w:color w:val="231F20"/>
          <w:spacing w:val="-11"/>
          <w:sz w:val="24"/>
        </w:rPr>
        <w:t> </w:t>
      </w:r>
      <w:r>
        <w:rPr>
          <w:i/>
          <w:color w:val="231F20"/>
          <w:spacing w:val="-4"/>
          <w:sz w:val="24"/>
        </w:rPr>
        <w:t>placés</w:t>
      </w:r>
      <w:r>
        <w:rPr>
          <w:i/>
          <w:color w:val="231F20"/>
          <w:spacing w:val="-11"/>
          <w:sz w:val="24"/>
        </w:rPr>
        <w:t> </w:t>
      </w:r>
      <w:r>
        <w:rPr>
          <w:i/>
          <w:color w:val="231F20"/>
          <w:spacing w:val="-4"/>
          <w:sz w:val="24"/>
        </w:rPr>
        <w:t>dans</w:t>
      </w:r>
      <w:r>
        <w:rPr>
          <w:i/>
          <w:color w:val="231F20"/>
          <w:spacing w:val="-11"/>
          <w:sz w:val="24"/>
        </w:rPr>
        <w:t> </w:t>
      </w:r>
      <w:r>
        <w:rPr>
          <w:i/>
          <w:color w:val="231F20"/>
          <w:spacing w:val="-4"/>
          <w:sz w:val="24"/>
        </w:rPr>
        <w:t>les</w:t>
      </w:r>
      <w:r>
        <w:rPr>
          <w:i/>
          <w:color w:val="231F20"/>
          <w:spacing w:val="-11"/>
          <w:sz w:val="24"/>
        </w:rPr>
        <w:t> </w:t>
      </w:r>
      <w:r>
        <w:rPr>
          <w:i/>
          <w:color w:val="231F20"/>
          <w:spacing w:val="-4"/>
          <w:sz w:val="24"/>
        </w:rPr>
        <w:t>ouvertures</w:t>
      </w:r>
      <w:r>
        <w:rPr>
          <w:i/>
          <w:color w:val="231F20"/>
          <w:spacing w:val="-11"/>
          <w:sz w:val="24"/>
        </w:rPr>
        <w:t> </w:t>
      </w:r>
      <w:r>
        <w:rPr>
          <w:i/>
          <w:color w:val="231F20"/>
          <w:spacing w:val="-4"/>
          <w:sz w:val="24"/>
        </w:rPr>
        <w:t>du</w:t>
      </w:r>
      <w:r>
        <w:rPr>
          <w:i/>
          <w:color w:val="231F20"/>
          <w:spacing w:val="-11"/>
          <w:sz w:val="24"/>
        </w:rPr>
        <w:t> </w:t>
      </w:r>
      <w:r>
        <w:rPr>
          <w:i/>
          <w:color w:val="231F20"/>
          <w:spacing w:val="-4"/>
          <w:sz w:val="24"/>
        </w:rPr>
        <w:t>bâtiment</w:t>
      </w:r>
      <w:r>
        <w:rPr>
          <w:i/>
          <w:color w:val="231F20"/>
          <w:spacing w:val="-11"/>
          <w:sz w:val="24"/>
        </w:rPr>
        <w:t> </w:t>
      </w:r>
      <w:r>
        <w:rPr>
          <w:i/>
          <w:color w:val="231F20"/>
          <w:spacing w:val="-4"/>
          <w:sz w:val="24"/>
        </w:rPr>
        <w:t>lui-même</w:t>
      </w:r>
      <w:r>
        <w:rPr>
          <w:i/>
          <w:color w:val="231F20"/>
          <w:spacing w:val="-11"/>
          <w:sz w:val="24"/>
        </w:rPr>
        <w:t> </w:t>
      </w:r>
      <w:r>
        <w:rPr>
          <w:i/>
          <w:color w:val="231F20"/>
          <w:spacing w:val="-4"/>
          <w:sz w:val="24"/>
        </w:rPr>
        <w:t>(…).</w:t>
      </w:r>
      <w:r>
        <w:rPr>
          <w:i/>
          <w:color w:val="231F20"/>
          <w:spacing w:val="-11"/>
          <w:sz w:val="24"/>
        </w:rPr>
        <w:t> </w:t>
      </w:r>
      <w:r>
        <w:rPr>
          <w:i/>
          <w:color w:val="231F20"/>
          <w:spacing w:val="-4"/>
          <w:sz w:val="24"/>
        </w:rPr>
        <w:t>Une </w:t>
      </w:r>
      <w:r>
        <w:rPr>
          <w:i/>
          <w:color w:val="231F20"/>
          <w:sz w:val="24"/>
        </w:rPr>
        <w:t>trentaine de blindés français –</w:t>
      </w:r>
      <w:r>
        <w:rPr>
          <w:i/>
          <w:color w:val="231F20"/>
          <w:spacing w:val="-15"/>
          <w:sz w:val="24"/>
        </w:rPr>
        <w:t> </w:t>
      </w:r>
      <w:r>
        <w:rPr>
          <w:i/>
          <w:color w:val="231F20"/>
          <w:sz w:val="24"/>
        </w:rPr>
        <w:t>notamment les redoutables Sagaie, </w:t>
      </w:r>
      <w:r>
        <w:rPr>
          <w:i/>
          <w:color w:val="231F20"/>
          <w:spacing w:val="-2"/>
          <w:sz w:val="24"/>
        </w:rPr>
        <w:t>équipés</w:t>
      </w:r>
      <w:r>
        <w:rPr>
          <w:i/>
          <w:color w:val="231F20"/>
          <w:spacing w:val="-12"/>
          <w:sz w:val="24"/>
        </w:rPr>
        <w:t> </w:t>
      </w:r>
      <w:r>
        <w:rPr>
          <w:i/>
          <w:color w:val="231F20"/>
          <w:spacing w:val="-2"/>
          <w:sz w:val="24"/>
        </w:rPr>
        <w:t>d’un</w:t>
      </w:r>
      <w:r>
        <w:rPr>
          <w:i/>
          <w:color w:val="231F20"/>
          <w:spacing w:val="-12"/>
          <w:sz w:val="24"/>
        </w:rPr>
        <w:t> </w:t>
      </w:r>
      <w:r>
        <w:rPr>
          <w:i/>
          <w:color w:val="231F20"/>
          <w:spacing w:val="-2"/>
          <w:sz w:val="24"/>
        </w:rPr>
        <w:t>canon</w:t>
      </w:r>
      <w:r>
        <w:rPr>
          <w:i/>
          <w:color w:val="231F20"/>
          <w:spacing w:val="-12"/>
          <w:sz w:val="24"/>
        </w:rPr>
        <w:t> </w:t>
      </w:r>
      <w:r>
        <w:rPr>
          <w:i/>
          <w:color w:val="231F20"/>
          <w:spacing w:val="-2"/>
          <w:sz w:val="24"/>
        </w:rPr>
        <w:t>de</w:t>
      </w:r>
      <w:r>
        <w:rPr>
          <w:i/>
          <w:color w:val="231F20"/>
          <w:spacing w:val="-9"/>
          <w:sz w:val="24"/>
        </w:rPr>
        <w:t> </w:t>
      </w:r>
      <w:r>
        <w:rPr>
          <w:i/>
          <w:color w:val="231F20"/>
          <w:spacing w:val="-2"/>
          <w:sz w:val="24"/>
        </w:rPr>
        <w:t>90</w:t>
      </w:r>
      <w:r>
        <w:rPr>
          <w:i/>
          <w:color w:val="231F20"/>
          <w:spacing w:val="-12"/>
          <w:sz w:val="24"/>
        </w:rPr>
        <w:t> </w:t>
      </w:r>
      <w:r>
        <w:rPr>
          <w:i/>
          <w:color w:val="231F20"/>
          <w:spacing w:val="-2"/>
          <w:sz w:val="24"/>
        </w:rPr>
        <w:t>mm</w:t>
      </w:r>
      <w:r>
        <w:rPr>
          <w:i/>
          <w:color w:val="231F20"/>
          <w:spacing w:val="-10"/>
          <w:sz w:val="24"/>
        </w:rPr>
        <w:t> </w:t>
      </w:r>
      <w:r>
        <w:rPr>
          <w:i/>
          <w:color w:val="231F20"/>
          <w:spacing w:val="-2"/>
          <w:sz w:val="24"/>
        </w:rPr>
        <w:t>–</w:t>
      </w:r>
      <w:r>
        <w:rPr>
          <w:i/>
          <w:color w:val="231F20"/>
          <w:spacing w:val="-9"/>
          <w:sz w:val="24"/>
        </w:rPr>
        <w:t> </w:t>
      </w:r>
      <w:r>
        <w:rPr>
          <w:i/>
          <w:color w:val="231F20"/>
          <w:spacing w:val="-2"/>
          <w:sz w:val="24"/>
        </w:rPr>
        <w:t>sortent</w:t>
      </w:r>
      <w:r>
        <w:rPr>
          <w:i/>
          <w:color w:val="231F20"/>
          <w:spacing w:val="-11"/>
          <w:sz w:val="24"/>
        </w:rPr>
        <w:t> </w:t>
      </w:r>
      <w:r>
        <w:rPr>
          <w:i/>
          <w:color w:val="231F20"/>
          <w:spacing w:val="-2"/>
          <w:sz w:val="24"/>
        </w:rPr>
        <w:t>du</w:t>
      </w:r>
      <w:r>
        <w:rPr>
          <w:i/>
          <w:color w:val="231F20"/>
          <w:spacing w:val="-12"/>
          <w:sz w:val="24"/>
        </w:rPr>
        <w:t> </w:t>
      </w:r>
      <w:r>
        <w:rPr>
          <w:i/>
          <w:color w:val="231F20"/>
          <w:spacing w:val="-2"/>
          <w:sz w:val="24"/>
        </w:rPr>
        <w:t>camp</w:t>
      </w:r>
      <w:r>
        <w:rPr>
          <w:i/>
          <w:color w:val="231F20"/>
          <w:spacing w:val="-12"/>
          <w:sz w:val="24"/>
        </w:rPr>
        <w:t> </w:t>
      </w:r>
      <w:r>
        <w:rPr>
          <w:i/>
          <w:color w:val="231F20"/>
          <w:spacing w:val="-2"/>
          <w:sz w:val="24"/>
        </w:rPr>
        <w:t>militaire</w:t>
      </w:r>
      <w:r>
        <w:rPr>
          <w:i/>
          <w:color w:val="231F20"/>
          <w:spacing w:val="-12"/>
          <w:sz w:val="24"/>
        </w:rPr>
        <w:t> </w:t>
      </w:r>
      <w:r>
        <w:rPr>
          <w:i/>
          <w:color w:val="231F20"/>
          <w:spacing w:val="-2"/>
          <w:sz w:val="24"/>
        </w:rPr>
        <w:t>de</w:t>
      </w:r>
      <w:r>
        <w:rPr>
          <w:i/>
          <w:color w:val="231F20"/>
          <w:spacing w:val="-9"/>
          <w:sz w:val="24"/>
        </w:rPr>
        <w:t> </w:t>
      </w:r>
      <w:r>
        <w:rPr>
          <w:i/>
          <w:color w:val="231F20"/>
          <w:spacing w:val="-2"/>
          <w:sz w:val="24"/>
        </w:rPr>
        <w:t>Port-Bouët, </w:t>
      </w:r>
      <w:r>
        <w:rPr>
          <w:i/>
          <w:color w:val="231F20"/>
          <w:sz w:val="24"/>
        </w:rPr>
        <w:t>franchissent le pont Houphouët, sur la lagune, et se déploient sur le boulevard de France, à Cocody, à quelques centaines de mètres de la résidence.</w:t>
      </w:r>
      <w:r>
        <w:rPr>
          <w:i/>
          <w:color w:val="231F20"/>
          <w:spacing w:val="-15"/>
          <w:sz w:val="24"/>
        </w:rPr>
        <w:t> </w:t>
      </w:r>
      <w:r>
        <w:rPr>
          <w:i/>
          <w:color w:val="231F20"/>
          <w:sz w:val="24"/>
        </w:rPr>
        <w:t>Objectif</w:t>
      </w:r>
      <w:r>
        <w:rPr>
          <w:i/>
          <w:color w:val="231F20"/>
          <w:spacing w:val="-15"/>
          <w:sz w:val="24"/>
        </w:rPr>
        <w:t> </w:t>
      </w:r>
      <w:r>
        <w:rPr>
          <w:i/>
          <w:color w:val="231F20"/>
          <w:sz w:val="24"/>
        </w:rPr>
        <w:t>:</w:t>
      </w:r>
      <w:r>
        <w:rPr>
          <w:i/>
          <w:color w:val="231F20"/>
          <w:spacing w:val="-15"/>
          <w:sz w:val="24"/>
        </w:rPr>
        <w:t> </w:t>
      </w:r>
      <w:r>
        <w:rPr>
          <w:i/>
          <w:color w:val="231F20"/>
          <w:sz w:val="24"/>
        </w:rPr>
        <w:t>isoler</w:t>
      </w:r>
      <w:r>
        <w:rPr>
          <w:i/>
          <w:color w:val="231F20"/>
          <w:spacing w:val="-11"/>
          <w:sz w:val="24"/>
        </w:rPr>
        <w:t> </w:t>
      </w:r>
      <w:r>
        <w:rPr>
          <w:i/>
          <w:color w:val="231F20"/>
          <w:sz w:val="24"/>
        </w:rPr>
        <w:t>l’ex-président</w:t>
      </w:r>
      <w:r>
        <w:rPr>
          <w:i/>
          <w:color w:val="231F20"/>
          <w:spacing w:val="-8"/>
          <w:sz w:val="24"/>
        </w:rPr>
        <w:t> </w:t>
      </w:r>
      <w:r>
        <w:rPr>
          <w:i/>
          <w:color w:val="231F20"/>
          <w:sz w:val="24"/>
        </w:rPr>
        <w:t>dans</w:t>
      </w:r>
      <w:r>
        <w:rPr>
          <w:i/>
          <w:color w:val="231F20"/>
          <w:spacing w:val="-8"/>
          <w:sz w:val="24"/>
        </w:rPr>
        <w:t> </w:t>
      </w:r>
      <w:r>
        <w:rPr>
          <w:i/>
          <w:color w:val="231F20"/>
          <w:sz w:val="24"/>
        </w:rPr>
        <w:t>la</w:t>
      </w:r>
      <w:r>
        <w:rPr>
          <w:i/>
          <w:color w:val="231F20"/>
          <w:spacing w:val="-8"/>
          <w:sz w:val="24"/>
        </w:rPr>
        <w:t> </w:t>
      </w:r>
      <w:r>
        <w:rPr>
          <w:i/>
          <w:color w:val="231F20"/>
          <w:sz w:val="24"/>
        </w:rPr>
        <w:t>partie</w:t>
      </w:r>
      <w:r>
        <w:rPr>
          <w:i/>
          <w:color w:val="231F20"/>
          <w:spacing w:val="-8"/>
          <w:sz w:val="24"/>
        </w:rPr>
        <w:t> </w:t>
      </w:r>
      <w:r>
        <w:rPr>
          <w:i/>
          <w:color w:val="231F20"/>
          <w:sz w:val="24"/>
        </w:rPr>
        <w:t>sud</w:t>
      </w:r>
      <w:r>
        <w:rPr>
          <w:i/>
          <w:color w:val="231F20"/>
          <w:spacing w:val="-10"/>
          <w:sz w:val="24"/>
        </w:rPr>
        <w:t> </w:t>
      </w:r>
      <w:r>
        <w:rPr>
          <w:i/>
          <w:color w:val="231F20"/>
          <w:sz w:val="24"/>
        </w:rPr>
        <w:t>de</w:t>
      </w:r>
      <w:r>
        <w:rPr>
          <w:i/>
          <w:color w:val="231F20"/>
          <w:spacing w:val="-8"/>
          <w:sz w:val="24"/>
        </w:rPr>
        <w:t> </w:t>
      </w:r>
      <w:r>
        <w:rPr>
          <w:i/>
          <w:color w:val="231F20"/>
          <w:sz w:val="24"/>
        </w:rPr>
        <w:t>Cocody, empêcher l’arrivée de renforts pro-Gbagbo venus du Nord, et –</w:t>
      </w:r>
      <w:r>
        <w:rPr>
          <w:i/>
          <w:color w:val="231F20"/>
          <w:spacing w:val="-14"/>
          <w:sz w:val="24"/>
        </w:rPr>
        <w:t> </w:t>
      </w:r>
      <w:r>
        <w:rPr>
          <w:i/>
          <w:color w:val="231F20"/>
          <w:sz w:val="24"/>
        </w:rPr>
        <w:t>qui sait</w:t>
      </w:r>
      <w:r>
        <w:rPr>
          <w:i/>
          <w:color w:val="231F20"/>
          <w:spacing w:val="-2"/>
          <w:sz w:val="24"/>
        </w:rPr>
        <w:t> </w:t>
      </w:r>
      <w:r>
        <w:rPr>
          <w:i/>
          <w:color w:val="231F20"/>
          <w:sz w:val="24"/>
        </w:rPr>
        <w:t>? – porter l’estocade(…)</w:t>
      </w:r>
      <w:r>
        <w:rPr>
          <w:color w:val="231F20"/>
          <w:sz w:val="24"/>
          <w:vertAlign w:val="superscript"/>
        </w:rPr>
        <w:t>208</w:t>
      </w:r>
      <w:r>
        <w:rPr>
          <w:color w:val="231F20"/>
          <w:sz w:val="24"/>
          <w:vertAlign w:val="baseline"/>
        </w:rPr>
        <w:t> </w:t>
      </w:r>
      <w:r>
        <w:rPr>
          <w:i/>
          <w:color w:val="231F20"/>
          <w:sz w:val="24"/>
          <w:vertAlign w:val="baseline"/>
        </w:rPr>
        <w:t>»</w:t>
      </w:r>
    </w:p>
    <w:p>
      <w:pPr>
        <w:pStyle w:val="BodyText"/>
        <w:spacing w:before="121"/>
        <w:ind w:left="395"/>
      </w:pPr>
      <w:r>
        <w:rPr>
          <w:color w:val="231F20"/>
          <w:spacing w:val="-2"/>
        </w:rPr>
        <w:t>En</w:t>
      </w:r>
      <w:r>
        <w:rPr>
          <w:color w:val="231F20"/>
          <w:spacing w:val="-10"/>
        </w:rPr>
        <w:t> </w:t>
      </w:r>
      <w:r>
        <w:rPr>
          <w:color w:val="231F20"/>
          <w:spacing w:val="-2"/>
        </w:rPr>
        <w:t>fin</w:t>
      </w:r>
      <w:r>
        <w:rPr>
          <w:color w:val="231F20"/>
          <w:spacing w:val="-10"/>
        </w:rPr>
        <w:t> </w:t>
      </w:r>
      <w:r>
        <w:rPr>
          <w:color w:val="231F20"/>
          <w:spacing w:val="-2"/>
        </w:rPr>
        <w:t>de</w:t>
      </w:r>
      <w:r>
        <w:rPr>
          <w:color w:val="231F20"/>
          <w:spacing w:val="-7"/>
        </w:rPr>
        <w:t> </w:t>
      </w:r>
      <w:r>
        <w:rPr>
          <w:color w:val="231F20"/>
          <w:spacing w:val="-2"/>
        </w:rPr>
        <w:t>matinée,</w:t>
      </w:r>
      <w:r>
        <w:rPr>
          <w:color w:val="231F20"/>
          <w:spacing w:val="-10"/>
        </w:rPr>
        <w:t> </w:t>
      </w:r>
      <w:r>
        <w:rPr>
          <w:color w:val="231F20"/>
          <w:spacing w:val="-2"/>
        </w:rPr>
        <w:t>la</w:t>
      </w:r>
      <w:r>
        <w:rPr>
          <w:color w:val="231F20"/>
          <w:spacing w:val="-8"/>
        </w:rPr>
        <w:t> </w:t>
      </w:r>
      <w:r>
        <w:rPr>
          <w:color w:val="231F20"/>
          <w:spacing w:val="-2"/>
        </w:rPr>
        <w:t>messe</w:t>
      </w:r>
      <w:r>
        <w:rPr>
          <w:color w:val="231F20"/>
          <w:spacing w:val="-7"/>
        </w:rPr>
        <w:t> </w:t>
      </w:r>
      <w:r>
        <w:rPr>
          <w:color w:val="231F20"/>
          <w:spacing w:val="-2"/>
        </w:rPr>
        <w:t>est</w:t>
      </w:r>
      <w:r>
        <w:rPr>
          <w:color w:val="231F20"/>
          <w:spacing w:val="-9"/>
        </w:rPr>
        <w:t> </w:t>
      </w:r>
      <w:r>
        <w:rPr>
          <w:color w:val="231F20"/>
          <w:spacing w:val="-2"/>
        </w:rPr>
        <w:t>dite.</w:t>
      </w:r>
      <w:r>
        <w:rPr>
          <w:color w:val="231F20"/>
          <w:spacing w:val="-10"/>
        </w:rPr>
        <w:t> </w:t>
      </w:r>
      <w:r>
        <w:rPr>
          <w:color w:val="231F20"/>
          <w:spacing w:val="-2"/>
        </w:rPr>
        <w:t>Les</w:t>
      </w:r>
      <w:r>
        <w:rPr>
          <w:color w:val="231F20"/>
          <w:spacing w:val="-8"/>
        </w:rPr>
        <w:t> </w:t>
      </w:r>
      <w:r>
        <w:rPr>
          <w:color w:val="231F20"/>
          <w:spacing w:val="-2"/>
        </w:rPr>
        <w:t>Français</w:t>
      </w:r>
      <w:r>
        <w:rPr>
          <w:color w:val="231F20"/>
          <w:spacing w:val="-10"/>
        </w:rPr>
        <w:t> </w:t>
      </w:r>
      <w:r>
        <w:rPr>
          <w:color w:val="231F20"/>
          <w:spacing w:val="-2"/>
        </w:rPr>
        <w:t>ont</w:t>
      </w:r>
      <w:r>
        <w:rPr>
          <w:color w:val="231F20"/>
          <w:spacing w:val="-8"/>
        </w:rPr>
        <w:t> </w:t>
      </w:r>
      <w:r>
        <w:rPr>
          <w:color w:val="231F20"/>
          <w:spacing w:val="-2"/>
        </w:rPr>
        <w:t>fini</w:t>
      </w:r>
      <w:r>
        <w:rPr>
          <w:color w:val="231F20"/>
          <w:spacing w:val="-8"/>
        </w:rPr>
        <w:t> </w:t>
      </w:r>
      <w:r>
        <w:rPr>
          <w:color w:val="231F20"/>
          <w:spacing w:val="-2"/>
        </w:rPr>
        <w:t>«</w:t>
      </w:r>
      <w:r>
        <w:rPr>
          <w:color w:val="231F20"/>
          <w:spacing w:val="-10"/>
        </w:rPr>
        <w:t> </w:t>
      </w:r>
      <w:r>
        <w:rPr>
          <w:color w:val="231F20"/>
          <w:spacing w:val="-2"/>
        </w:rPr>
        <w:t>le</w:t>
      </w:r>
      <w:r>
        <w:rPr>
          <w:color w:val="231F20"/>
          <w:spacing w:val="-10"/>
        </w:rPr>
        <w:t> </w:t>
      </w:r>
      <w:r>
        <w:rPr>
          <w:color w:val="231F20"/>
          <w:spacing w:val="-2"/>
        </w:rPr>
        <w:t>travail.»</w:t>
      </w:r>
    </w:p>
    <w:p>
      <w:pPr>
        <w:pStyle w:val="BodyText"/>
        <w:spacing w:before="120"/>
        <w:ind w:right="105" w:firstLine="283"/>
      </w:pPr>
      <w:r>
        <w:rPr>
          <w:color w:val="231F20"/>
        </w:rPr>
        <w:t>Tout danger écarté, les FRCI peuvent à présent entrer dans la résidence.</w:t>
      </w:r>
      <w:r>
        <w:rPr>
          <w:color w:val="231F20"/>
          <w:spacing w:val="-1"/>
        </w:rPr>
        <w:t> </w:t>
      </w:r>
      <w:r>
        <w:rPr>
          <w:color w:val="231F20"/>
        </w:rPr>
        <w:t>Plusieurs «</w:t>
      </w:r>
      <w:r>
        <w:rPr>
          <w:color w:val="231F20"/>
          <w:spacing w:val="-15"/>
        </w:rPr>
        <w:t> </w:t>
      </w:r>
      <w:r>
        <w:rPr>
          <w:color w:val="231F20"/>
        </w:rPr>
        <w:t>Comzones</w:t>
      </w:r>
      <w:r>
        <w:rPr>
          <w:color w:val="231F20"/>
          <w:spacing w:val="-15"/>
        </w:rPr>
        <w:t> </w:t>
      </w:r>
      <w:r>
        <w:rPr>
          <w:color w:val="231F20"/>
        </w:rPr>
        <w:t>» sont là</w:t>
      </w:r>
      <w:r>
        <w:rPr>
          <w:color w:val="231F20"/>
          <w:spacing w:val="-15"/>
        </w:rPr>
        <w:t> </w:t>
      </w:r>
      <w:r>
        <w:rPr>
          <w:color w:val="231F20"/>
        </w:rPr>
        <w:t>: les Commandants Zakaria Koné, Vetcho, Morou Ouattara et Wattao. Deux cents à trois cents hommes sont avec eux. Ils entrent prudemment dans le jardin de la résidence.</w:t>
      </w:r>
      <w:r>
        <w:rPr>
          <w:color w:val="231F20"/>
          <w:spacing w:val="-2"/>
        </w:rPr>
        <w:t> </w:t>
      </w:r>
      <w:r>
        <w:rPr>
          <w:color w:val="231F20"/>
        </w:rPr>
        <w:t>À</w:t>
      </w:r>
      <w:r>
        <w:rPr>
          <w:color w:val="231F20"/>
          <w:spacing w:val="-4"/>
        </w:rPr>
        <w:t> </w:t>
      </w:r>
      <w:r>
        <w:rPr>
          <w:color w:val="231F20"/>
        </w:rPr>
        <w:t>12</w:t>
      </w:r>
      <w:r>
        <w:rPr>
          <w:color w:val="231F20"/>
          <w:spacing w:val="-15"/>
        </w:rPr>
        <w:t> </w:t>
      </w:r>
      <w:r>
        <w:rPr>
          <w:color w:val="231F20"/>
        </w:rPr>
        <w:t>h</w:t>
      </w:r>
      <w:r>
        <w:rPr>
          <w:color w:val="231F20"/>
          <w:spacing w:val="-17"/>
        </w:rPr>
        <w:t> </w:t>
      </w:r>
      <w:r>
        <w:rPr>
          <w:color w:val="231F20"/>
        </w:rPr>
        <w:t>45,</w:t>
      </w:r>
      <w:r>
        <w:rPr>
          <w:color w:val="231F20"/>
          <w:spacing w:val="-4"/>
        </w:rPr>
        <w:t> </w:t>
      </w:r>
      <w:r>
        <w:rPr>
          <w:color w:val="231F20"/>
        </w:rPr>
        <w:t>Laurent</w:t>
      </w:r>
      <w:r>
        <w:rPr>
          <w:color w:val="231F20"/>
          <w:spacing w:val="-2"/>
        </w:rPr>
        <w:t> </w:t>
      </w:r>
      <w:r>
        <w:rPr>
          <w:color w:val="231F20"/>
        </w:rPr>
        <w:t>Gbagbo</w:t>
      </w:r>
      <w:r>
        <w:rPr>
          <w:color w:val="231F20"/>
          <w:spacing w:val="-2"/>
        </w:rPr>
        <w:t> </w:t>
      </w:r>
      <w:r>
        <w:rPr>
          <w:color w:val="231F20"/>
        </w:rPr>
        <w:t>décide</w:t>
      </w:r>
      <w:r>
        <w:rPr>
          <w:color w:val="231F20"/>
          <w:spacing w:val="-2"/>
        </w:rPr>
        <w:t> </w:t>
      </w:r>
      <w:r>
        <w:rPr>
          <w:color w:val="231F20"/>
        </w:rPr>
        <w:t>de</w:t>
      </w:r>
      <w:r>
        <w:rPr>
          <w:color w:val="231F20"/>
          <w:spacing w:val="-2"/>
        </w:rPr>
        <w:t> </w:t>
      </w:r>
      <w:r>
        <w:rPr>
          <w:color w:val="231F20"/>
        </w:rPr>
        <w:t>se</w:t>
      </w:r>
      <w:r>
        <w:rPr>
          <w:color w:val="231F20"/>
          <w:spacing w:val="-5"/>
        </w:rPr>
        <w:t> </w:t>
      </w:r>
      <w:r>
        <w:rPr>
          <w:color w:val="231F20"/>
        </w:rPr>
        <w:t>rendre.</w:t>
      </w:r>
    </w:p>
    <w:p>
      <w:pPr>
        <w:pStyle w:val="BodyText"/>
        <w:spacing w:before="121"/>
        <w:ind w:right="105" w:firstLine="283"/>
      </w:pPr>
      <w:r>
        <w:rPr>
          <w:color w:val="231F20"/>
        </w:rPr>
        <w:t>Désiré Tagro, Ministre d'État, Secrétaire Général de la Présidence, ancien</w:t>
      </w:r>
      <w:r>
        <w:rPr>
          <w:color w:val="231F20"/>
          <w:spacing w:val="-15"/>
        </w:rPr>
        <w:t> </w:t>
      </w:r>
      <w:r>
        <w:rPr>
          <w:color w:val="231F20"/>
        </w:rPr>
        <w:t>négociateur</w:t>
      </w:r>
      <w:r>
        <w:rPr>
          <w:color w:val="231F20"/>
          <w:spacing w:val="-15"/>
        </w:rPr>
        <w:t> </w:t>
      </w:r>
      <w:r>
        <w:rPr>
          <w:color w:val="231F20"/>
        </w:rPr>
        <w:t>des</w:t>
      </w:r>
      <w:r>
        <w:rPr>
          <w:color w:val="231F20"/>
          <w:spacing w:val="-15"/>
        </w:rPr>
        <w:t> </w:t>
      </w:r>
      <w:r>
        <w:rPr>
          <w:color w:val="231F20"/>
        </w:rPr>
        <w:t>accords</w:t>
      </w:r>
      <w:r>
        <w:rPr>
          <w:color w:val="231F20"/>
          <w:spacing w:val="-15"/>
        </w:rPr>
        <w:t> </w:t>
      </w:r>
      <w:r>
        <w:rPr>
          <w:color w:val="231F20"/>
        </w:rPr>
        <w:t>de</w:t>
      </w:r>
      <w:r>
        <w:rPr>
          <w:color w:val="231F20"/>
          <w:spacing w:val="-15"/>
        </w:rPr>
        <w:t> </w:t>
      </w:r>
      <w:r>
        <w:rPr>
          <w:color w:val="231F20"/>
        </w:rPr>
        <w:t>Ouagadougou,</w:t>
      </w:r>
      <w:r>
        <w:rPr>
          <w:color w:val="231F20"/>
          <w:spacing w:val="-15"/>
        </w:rPr>
        <w:t> </w:t>
      </w:r>
      <w:r>
        <w:rPr>
          <w:color w:val="231F20"/>
        </w:rPr>
        <w:t>sort</w:t>
      </w:r>
      <w:r>
        <w:rPr>
          <w:color w:val="231F20"/>
          <w:spacing w:val="-15"/>
        </w:rPr>
        <w:t> </w:t>
      </w:r>
      <w:r>
        <w:rPr>
          <w:color w:val="231F20"/>
        </w:rPr>
        <w:t>avec</w:t>
      </w:r>
      <w:r>
        <w:rPr>
          <w:color w:val="231F20"/>
          <w:spacing w:val="-15"/>
        </w:rPr>
        <w:t> </w:t>
      </w:r>
      <w:r>
        <w:rPr>
          <w:color w:val="231F20"/>
        </w:rPr>
        <w:t>un</w:t>
      </w:r>
      <w:r>
        <w:rPr>
          <w:color w:val="231F20"/>
          <w:spacing w:val="-15"/>
        </w:rPr>
        <w:t> </w:t>
      </w:r>
      <w:r>
        <w:rPr>
          <w:color w:val="231F20"/>
        </w:rPr>
        <w:t>mouchoir blanc</w:t>
      </w:r>
      <w:r>
        <w:rPr>
          <w:color w:val="231F20"/>
          <w:spacing w:val="-7"/>
        </w:rPr>
        <w:t> </w:t>
      </w:r>
      <w:r>
        <w:rPr>
          <w:color w:val="231F20"/>
        </w:rPr>
        <w:t>en</w:t>
      </w:r>
      <w:r>
        <w:rPr>
          <w:color w:val="231F20"/>
          <w:spacing w:val="-7"/>
        </w:rPr>
        <w:t> </w:t>
      </w:r>
      <w:r>
        <w:rPr>
          <w:color w:val="231F20"/>
        </w:rPr>
        <w:t>signe</w:t>
      </w:r>
      <w:r>
        <w:rPr>
          <w:color w:val="231F20"/>
          <w:spacing w:val="-7"/>
        </w:rPr>
        <w:t> </w:t>
      </w:r>
      <w:r>
        <w:rPr>
          <w:color w:val="231F20"/>
        </w:rPr>
        <w:t>de</w:t>
      </w:r>
      <w:r>
        <w:rPr>
          <w:color w:val="231F20"/>
          <w:spacing w:val="-7"/>
        </w:rPr>
        <w:t> </w:t>
      </w:r>
      <w:r>
        <w:rPr>
          <w:color w:val="231F20"/>
        </w:rPr>
        <w:t>reddition.</w:t>
      </w:r>
      <w:r>
        <w:rPr>
          <w:color w:val="231F20"/>
          <w:spacing w:val="-6"/>
        </w:rPr>
        <w:t> </w:t>
      </w:r>
      <w:r>
        <w:rPr>
          <w:color w:val="231F20"/>
        </w:rPr>
        <w:t>Il</w:t>
      </w:r>
      <w:r>
        <w:rPr>
          <w:color w:val="231F20"/>
          <w:spacing w:val="-6"/>
        </w:rPr>
        <w:t> </w:t>
      </w:r>
      <w:r>
        <w:rPr>
          <w:color w:val="231F20"/>
        </w:rPr>
        <w:t>est</w:t>
      </w:r>
      <w:r>
        <w:rPr>
          <w:color w:val="231F20"/>
          <w:spacing w:val="-6"/>
        </w:rPr>
        <w:t> </w:t>
      </w:r>
      <w:r>
        <w:rPr>
          <w:color w:val="231F20"/>
        </w:rPr>
        <w:t>cueilli</w:t>
      </w:r>
      <w:r>
        <w:rPr>
          <w:color w:val="231F20"/>
          <w:spacing w:val="-8"/>
        </w:rPr>
        <w:t> </w:t>
      </w:r>
      <w:r>
        <w:rPr>
          <w:color w:val="231F20"/>
        </w:rPr>
        <w:t>par</w:t>
      </w:r>
      <w:r>
        <w:rPr>
          <w:color w:val="231F20"/>
          <w:spacing w:val="-7"/>
        </w:rPr>
        <w:t> </w:t>
      </w:r>
      <w:r>
        <w:rPr>
          <w:color w:val="231F20"/>
        </w:rPr>
        <w:t>une</w:t>
      </w:r>
      <w:r>
        <w:rPr>
          <w:color w:val="231F20"/>
          <w:spacing w:val="-7"/>
        </w:rPr>
        <w:t> </w:t>
      </w:r>
      <w:r>
        <w:rPr>
          <w:color w:val="231F20"/>
        </w:rPr>
        <w:t>balle</w:t>
      </w:r>
      <w:r>
        <w:rPr>
          <w:color w:val="231F20"/>
          <w:spacing w:val="-7"/>
        </w:rPr>
        <w:t> </w:t>
      </w:r>
      <w:r>
        <w:rPr>
          <w:color w:val="231F20"/>
        </w:rPr>
        <w:t>qui</w:t>
      </w:r>
      <w:r>
        <w:rPr>
          <w:color w:val="231F20"/>
          <w:spacing w:val="-6"/>
        </w:rPr>
        <w:t> </w:t>
      </w:r>
      <w:r>
        <w:rPr>
          <w:color w:val="231F20"/>
        </w:rPr>
        <w:t>lui</w:t>
      </w:r>
      <w:r>
        <w:rPr>
          <w:color w:val="231F20"/>
          <w:spacing w:val="-6"/>
        </w:rPr>
        <w:t> </w:t>
      </w:r>
      <w:r>
        <w:rPr>
          <w:color w:val="231F20"/>
        </w:rPr>
        <w:t>fracture</w:t>
      </w:r>
      <w:r>
        <w:rPr>
          <w:color w:val="231F20"/>
          <w:spacing w:val="-8"/>
        </w:rPr>
        <w:t> </w:t>
      </w:r>
      <w:r>
        <w:rPr>
          <w:color w:val="231F20"/>
        </w:rPr>
        <w:t>la </w:t>
      </w:r>
      <w:r>
        <w:rPr>
          <w:color w:val="231F20"/>
          <w:spacing w:val="-2"/>
        </w:rPr>
        <w:t>mâchoire.</w:t>
      </w:r>
    </w:p>
    <w:p>
      <w:pPr>
        <w:pStyle w:val="BodyText"/>
        <w:spacing w:before="120"/>
        <w:ind w:right="104" w:firstLine="283"/>
      </w:pPr>
      <w:r>
        <w:rPr>
          <w:color w:val="231F20"/>
        </w:rPr>
        <w:t>À</w:t>
      </w:r>
      <w:r>
        <w:rPr>
          <w:color w:val="231F20"/>
          <w:spacing w:val="-15"/>
        </w:rPr>
        <w:t> </w:t>
      </w:r>
      <w:r>
        <w:rPr>
          <w:color w:val="231F20"/>
        </w:rPr>
        <w:t>13</w:t>
      </w:r>
      <w:r>
        <w:rPr>
          <w:color w:val="231F20"/>
          <w:spacing w:val="-15"/>
        </w:rPr>
        <w:t> </w:t>
      </w:r>
      <w:r>
        <w:rPr>
          <w:color w:val="231F20"/>
        </w:rPr>
        <w:t>h</w:t>
      </w:r>
      <w:r>
        <w:rPr>
          <w:color w:val="231F20"/>
          <w:spacing w:val="-15"/>
        </w:rPr>
        <w:t> </w:t>
      </w:r>
      <w:r>
        <w:rPr>
          <w:color w:val="231F20"/>
        </w:rPr>
        <w:t>08, les Commandants Vetcho et Morou Ouattara descendent dans le sous-sol de la résidence avec leurs hommes. C’est fini. Tout le monde se rend</w:t>
      </w:r>
      <w:r>
        <w:rPr>
          <w:color w:val="231F20"/>
          <w:spacing w:val="-15"/>
        </w:rPr>
        <w:t> </w:t>
      </w:r>
      <w:r>
        <w:rPr>
          <w:color w:val="231F20"/>
        </w:rPr>
        <w:t>: Laurent et Simone Gbagbo mais également les autres occupants de la</w:t>
      </w:r>
      <w:r>
        <w:rPr>
          <w:color w:val="231F20"/>
          <w:spacing w:val="1"/>
        </w:rPr>
        <w:t> </w:t>
      </w:r>
      <w:r>
        <w:rPr>
          <w:color w:val="231F20"/>
        </w:rPr>
        <w:t>résidence.</w:t>
      </w:r>
      <w:r>
        <w:rPr>
          <w:color w:val="231F20"/>
          <w:spacing w:val="3"/>
        </w:rPr>
        <w:t> </w:t>
      </w:r>
      <w:r>
        <w:rPr>
          <w:color w:val="231F20"/>
        </w:rPr>
        <w:t>Ils</w:t>
      </w:r>
      <w:r>
        <w:rPr>
          <w:color w:val="231F20"/>
          <w:spacing w:val="2"/>
        </w:rPr>
        <w:t> </w:t>
      </w:r>
      <w:r>
        <w:rPr>
          <w:color w:val="231F20"/>
        </w:rPr>
        <w:t>sont</w:t>
      </w:r>
      <w:r>
        <w:rPr>
          <w:color w:val="231F20"/>
          <w:spacing w:val="1"/>
        </w:rPr>
        <w:t> </w:t>
      </w:r>
      <w:r>
        <w:rPr>
          <w:color w:val="231F20"/>
        </w:rPr>
        <w:t>amenés à</w:t>
      </w:r>
      <w:r>
        <w:rPr>
          <w:color w:val="231F20"/>
          <w:spacing w:val="-1"/>
        </w:rPr>
        <w:t> </w:t>
      </w:r>
      <w:r>
        <w:rPr>
          <w:color w:val="231F20"/>
        </w:rPr>
        <w:t>l’hôtel</w:t>
      </w:r>
      <w:r>
        <w:rPr>
          <w:color w:val="231F20"/>
          <w:spacing w:val="3"/>
        </w:rPr>
        <w:t> </w:t>
      </w:r>
      <w:r>
        <w:rPr>
          <w:color w:val="231F20"/>
        </w:rPr>
        <w:t>du Golf, le</w:t>
      </w:r>
      <w:r>
        <w:rPr>
          <w:color w:val="231F20"/>
          <w:spacing w:val="2"/>
        </w:rPr>
        <w:t> </w:t>
      </w:r>
      <w:r>
        <w:rPr>
          <w:color w:val="231F20"/>
          <w:spacing w:val="-2"/>
        </w:rPr>
        <w:t>quartier</w:t>
      </w:r>
    </w:p>
    <w:p>
      <w:pPr>
        <w:pStyle w:val="BodyText"/>
        <w:spacing w:before="61"/>
        <w:ind w:left="0"/>
        <w:jc w:val="left"/>
        <w:rPr>
          <w:sz w:val="20"/>
        </w:rPr>
      </w:pPr>
      <w:r>
        <w:rPr/>
        <mc:AlternateContent>
          <mc:Choice Requires="wps">
            <w:drawing>
              <wp:anchor distT="0" distB="0" distL="0" distR="0" allowOverlap="1" layoutInCell="1" locked="0" behindDoc="1" simplePos="0" relativeHeight="487651840">
                <wp:simplePos x="0" y="0"/>
                <wp:positionH relativeFrom="page">
                  <wp:posOffset>629907</wp:posOffset>
                </wp:positionH>
                <wp:positionV relativeFrom="paragraph">
                  <wp:posOffset>200579</wp:posOffset>
                </wp:positionV>
                <wp:extent cx="1829435" cy="9525"/>
                <wp:effectExtent l="0" t="0" r="0" b="0"/>
                <wp:wrapTopAndBottom/>
                <wp:docPr id="154" name="Graphic 154"/>
                <wp:cNvGraphicFramePr>
                  <a:graphicFrameLocks/>
                </wp:cNvGraphicFramePr>
                <a:graphic>
                  <a:graphicData uri="http://schemas.microsoft.com/office/word/2010/wordprocessingShape">
                    <wps:wsp>
                      <wps:cNvPr id="154" name="Graphic 15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793672pt;width:144.020pt;height:.72pt;mso-position-horizontal-relative:page;mso-position-vertical-relative:paragraph;z-index:-15664640;mso-wrap-distance-left:0;mso-wrap-distance-right:0" id="docshape152" filled="true" fillcolor="#231f20" stroked="false">
                <v:fill type="solid"/>
                <w10:wrap type="topAndBottom"/>
              </v:rect>
            </w:pict>
          </mc:Fallback>
        </mc:AlternateContent>
      </w:r>
    </w:p>
    <w:p>
      <w:pPr>
        <w:spacing w:before="91"/>
        <w:ind w:left="111" w:right="0" w:firstLine="0"/>
        <w:jc w:val="left"/>
        <w:rPr>
          <w:sz w:val="20"/>
        </w:rPr>
      </w:pPr>
      <w:r>
        <w:rPr>
          <w:color w:val="76787A"/>
          <w:sz w:val="20"/>
          <w:vertAlign w:val="superscript"/>
        </w:rPr>
        <w:t>207</w:t>
      </w:r>
      <w:r>
        <w:rPr>
          <w:color w:val="76787A"/>
          <w:spacing w:val="40"/>
          <w:sz w:val="20"/>
          <w:vertAlign w:val="baseline"/>
        </w:rPr>
        <w:t> </w:t>
      </w:r>
      <w:r>
        <w:rPr>
          <w:color w:val="231F20"/>
          <w:sz w:val="20"/>
          <w:vertAlign w:val="baseline"/>
        </w:rPr>
        <w:t>Extrait</w:t>
      </w:r>
      <w:r>
        <w:rPr>
          <w:color w:val="231F20"/>
          <w:spacing w:val="-12"/>
          <w:sz w:val="20"/>
          <w:vertAlign w:val="baseline"/>
        </w:rPr>
        <w:t> </w:t>
      </w:r>
      <w:r>
        <w:rPr>
          <w:color w:val="231F20"/>
          <w:sz w:val="20"/>
          <w:vertAlign w:val="baseline"/>
        </w:rPr>
        <w:t>:</w:t>
      </w:r>
      <w:r>
        <w:rPr>
          <w:color w:val="231F20"/>
          <w:spacing w:val="78"/>
          <w:sz w:val="20"/>
          <w:vertAlign w:val="baseline"/>
        </w:rPr>
        <w:t> </w:t>
      </w:r>
      <w:r>
        <w:rPr>
          <w:color w:val="231F20"/>
          <w:sz w:val="20"/>
          <w:vertAlign w:val="baseline"/>
        </w:rPr>
        <w:t>«</w:t>
      </w:r>
      <w:r>
        <w:rPr>
          <w:color w:val="231F20"/>
          <w:spacing w:val="-10"/>
          <w:sz w:val="20"/>
          <w:vertAlign w:val="baseline"/>
        </w:rPr>
        <w:t> </w:t>
      </w:r>
      <w:r>
        <w:rPr>
          <w:color w:val="231F20"/>
          <w:sz w:val="20"/>
          <w:vertAlign w:val="baseline"/>
        </w:rPr>
        <w:t>Côte</w:t>
      </w:r>
      <w:r>
        <w:rPr>
          <w:color w:val="231F20"/>
          <w:spacing w:val="77"/>
          <w:sz w:val="20"/>
          <w:vertAlign w:val="baseline"/>
        </w:rPr>
        <w:t> </w:t>
      </w:r>
      <w:r>
        <w:rPr>
          <w:color w:val="231F20"/>
          <w:sz w:val="20"/>
          <w:vertAlign w:val="baseline"/>
        </w:rPr>
        <w:t>d’Ivoire</w:t>
      </w:r>
      <w:r>
        <w:rPr>
          <w:color w:val="231F20"/>
          <w:spacing w:val="-11"/>
          <w:sz w:val="20"/>
          <w:vertAlign w:val="baseline"/>
        </w:rPr>
        <w:t> </w:t>
      </w:r>
      <w:r>
        <w:rPr>
          <w:color w:val="231F20"/>
          <w:sz w:val="20"/>
          <w:vertAlign w:val="baseline"/>
        </w:rPr>
        <w:t>:</w:t>
      </w:r>
      <w:r>
        <w:rPr>
          <w:color w:val="231F20"/>
          <w:spacing w:val="78"/>
          <w:sz w:val="20"/>
          <w:vertAlign w:val="baseline"/>
        </w:rPr>
        <w:t> </w:t>
      </w:r>
      <w:r>
        <w:rPr>
          <w:color w:val="231F20"/>
          <w:sz w:val="20"/>
          <w:vertAlign w:val="baseline"/>
        </w:rPr>
        <w:t>les</w:t>
      </w:r>
      <w:r>
        <w:rPr>
          <w:color w:val="231F20"/>
          <w:spacing w:val="79"/>
          <w:sz w:val="20"/>
          <w:vertAlign w:val="baseline"/>
        </w:rPr>
        <w:t> </w:t>
      </w:r>
      <w:r>
        <w:rPr>
          <w:color w:val="231F20"/>
          <w:sz w:val="20"/>
          <w:vertAlign w:val="baseline"/>
        </w:rPr>
        <w:t>dernières</w:t>
      </w:r>
      <w:r>
        <w:rPr>
          <w:color w:val="231F20"/>
          <w:spacing w:val="76"/>
          <w:sz w:val="20"/>
          <w:vertAlign w:val="baseline"/>
        </w:rPr>
        <w:t> </w:t>
      </w:r>
      <w:r>
        <w:rPr>
          <w:color w:val="231F20"/>
          <w:sz w:val="20"/>
          <w:vertAlign w:val="baseline"/>
        </w:rPr>
        <w:t>heures</w:t>
      </w:r>
      <w:r>
        <w:rPr>
          <w:color w:val="231F20"/>
          <w:spacing w:val="-12"/>
          <w:sz w:val="20"/>
          <w:vertAlign w:val="baseline"/>
        </w:rPr>
        <w:t> </w:t>
      </w:r>
      <w:r>
        <w:rPr>
          <w:color w:val="231F20"/>
          <w:sz w:val="20"/>
          <w:vertAlign w:val="baseline"/>
        </w:rPr>
        <w:t>d’un</w:t>
      </w:r>
      <w:r>
        <w:rPr>
          <w:color w:val="231F20"/>
          <w:spacing w:val="78"/>
          <w:sz w:val="20"/>
          <w:vertAlign w:val="baseline"/>
        </w:rPr>
        <w:t> </w:t>
      </w:r>
      <w:r>
        <w:rPr>
          <w:color w:val="231F20"/>
          <w:sz w:val="20"/>
          <w:vertAlign w:val="baseline"/>
        </w:rPr>
        <w:t>président</w:t>
      </w:r>
      <w:r>
        <w:rPr>
          <w:color w:val="231F20"/>
          <w:spacing w:val="-13"/>
          <w:sz w:val="20"/>
          <w:vertAlign w:val="baseline"/>
        </w:rPr>
        <w:t> </w:t>
      </w:r>
      <w:r>
        <w:rPr>
          <w:color w:val="231F20"/>
          <w:sz w:val="20"/>
          <w:vertAlign w:val="baseline"/>
        </w:rPr>
        <w:t>»,</w:t>
      </w:r>
      <w:r>
        <w:rPr>
          <w:color w:val="231F20"/>
          <w:spacing w:val="80"/>
          <w:sz w:val="20"/>
          <w:vertAlign w:val="baseline"/>
        </w:rPr>
        <w:t> </w:t>
      </w:r>
      <w:r>
        <w:rPr>
          <w:color w:val="231F20"/>
          <w:sz w:val="20"/>
          <w:vertAlign w:val="baseline"/>
        </w:rPr>
        <w:t>Christophe Boisbouvier</w:t>
      </w:r>
      <w:r>
        <w:rPr>
          <w:color w:val="231F20"/>
          <w:spacing w:val="-7"/>
          <w:sz w:val="20"/>
          <w:vertAlign w:val="baseline"/>
        </w:rPr>
        <w:t> </w:t>
      </w:r>
      <w:r>
        <w:rPr>
          <w:color w:val="231F20"/>
          <w:sz w:val="20"/>
          <w:vertAlign w:val="baseline"/>
        </w:rPr>
        <w:t>journaliste</w:t>
      </w:r>
      <w:r>
        <w:rPr>
          <w:color w:val="231F20"/>
          <w:spacing w:val="-5"/>
          <w:sz w:val="20"/>
          <w:vertAlign w:val="baseline"/>
        </w:rPr>
        <w:t> </w:t>
      </w:r>
      <w:r>
        <w:rPr>
          <w:color w:val="231F20"/>
          <w:sz w:val="20"/>
          <w:vertAlign w:val="baseline"/>
        </w:rPr>
        <w:t>à</w:t>
      </w:r>
      <w:r>
        <w:rPr>
          <w:color w:val="231F20"/>
          <w:spacing w:val="-8"/>
          <w:sz w:val="20"/>
          <w:vertAlign w:val="baseline"/>
        </w:rPr>
        <w:t> </w:t>
      </w:r>
      <w:r>
        <w:rPr>
          <w:color w:val="231F20"/>
          <w:sz w:val="20"/>
          <w:vertAlign w:val="baseline"/>
        </w:rPr>
        <w:t>RFI,</w:t>
      </w:r>
      <w:r>
        <w:rPr>
          <w:color w:val="231F20"/>
          <w:spacing w:val="-10"/>
          <w:sz w:val="20"/>
          <w:vertAlign w:val="baseline"/>
        </w:rPr>
        <w:t> </w:t>
      </w:r>
      <w:r>
        <w:rPr>
          <w:color w:val="231F20"/>
          <w:sz w:val="20"/>
          <w:vertAlign w:val="baseline"/>
        </w:rPr>
        <w:t>collaborateur</w:t>
      </w:r>
      <w:r>
        <w:rPr>
          <w:color w:val="231F20"/>
          <w:spacing w:val="-7"/>
          <w:sz w:val="20"/>
          <w:vertAlign w:val="baseline"/>
        </w:rPr>
        <w:t> </w:t>
      </w:r>
      <w:r>
        <w:rPr>
          <w:color w:val="231F20"/>
          <w:sz w:val="20"/>
          <w:vertAlign w:val="baseline"/>
        </w:rPr>
        <w:t>de</w:t>
      </w:r>
      <w:r>
        <w:rPr>
          <w:color w:val="231F20"/>
          <w:spacing w:val="-5"/>
          <w:sz w:val="20"/>
          <w:vertAlign w:val="baseline"/>
        </w:rPr>
        <w:t> </w:t>
      </w:r>
      <w:r>
        <w:rPr>
          <w:color w:val="231F20"/>
          <w:sz w:val="20"/>
          <w:vertAlign w:val="baseline"/>
        </w:rPr>
        <w:t>Jeune</w:t>
      </w:r>
      <w:r>
        <w:rPr>
          <w:color w:val="231F20"/>
          <w:spacing w:val="-5"/>
          <w:sz w:val="20"/>
          <w:vertAlign w:val="baseline"/>
        </w:rPr>
        <w:t> </w:t>
      </w:r>
      <w:r>
        <w:rPr>
          <w:color w:val="231F20"/>
          <w:sz w:val="20"/>
          <w:vertAlign w:val="baseline"/>
        </w:rPr>
        <w:t>Afrique.</w:t>
      </w:r>
    </w:p>
    <w:p>
      <w:pPr>
        <w:spacing w:before="1"/>
        <w:ind w:left="111" w:right="0" w:firstLine="0"/>
        <w:jc w:val="left"/>
        <w:rPr>
          <w:sz w:val="20"/>
        </w:rPr>
      </w:pPr>
      <w:r>
        <w:rPr>
          <w:color w:val="76787A"/>
          <w:sz w:val="20"/>
          <w:vertAlign w:val="superscript"/>
        </w:rPr>
        <w:t>208</w:t>
      </w:r>
      <w:r>
        <w:rPr>
          <w:color w:val="76787A"/>
          <w:spacing w:val="40"/>
          <w:sz w:val="20"/>
          <w:vertAlign w:val="baseline"/>
        </w:rPr>
        <w:t> </w:t>
      </w:r>
      <w:r>
        <w:rPr>
          <w:color w:val="231F20"/>
          <w:sz w:val="20"/>
          <w:vertAlign w:val="baseline"/>
        </w:rPr>
        <w:t>Extrait</w:t>
      </w:r>
      <w:r>
        <w:rPr>
          <w:color w:val="231F20"/>
          <w:spacing w:val="-12"/>
          <w:sz w:val="20"/>
          <w:vertAlign w:val="baseline"/>
        </w:rPr>
        <w:t> </w:t>
      </w:r>
      <w:r>
        <w:rPr>
          <w:color w:val="231F20"/>
          <w:sz w:val="20"/>
          <w:vertAlign w:val="baseline"/>
        </w:rPr>
        <w:t>:</w:t>
      </w:r>
      <w:r>
        <w:rPr>
          <w:color w:val="231F20"/>
          <w:spacing w:val="77"/>
          <w:sz w:val="20"/>
          <w:vertAlign w:val="baseline"/>
        </w:rPr>
        <w:t> </w:t>
      </w:r>
      <w:r>
        <w:rPr>
          <w:color w:val="231F20"/>
          <w:sz w:val="20"/>
          <w:vertAlign w:val="baseline"/>
        </w:rPr>
        <w:t>«</w:t>
      </w:r>
      <w:r>
        <w:rPr>
          <w:color w:val="231F20"/>
          <w:spacing w:val="-10"/>
          <w:sz w:val="20"/>
          <w:vertAlign w:val="baseline"/>
        </w:rPr>
        <w:t> </w:t>
      </w:r>
      <w:r>
        <w:rPr>
          <w:color w:val="231F20"/>
          <w:sz w:val="20"/>
          <w:vertAlign w:val="baseline"/>
        </w:rPr>
        <w:t>Côte</w:t>
      </w:r>
      <w:r>
        <w:rPr>
          <w:color w:val="231F20"/>
          <w:spacing w:val="77"/>
          <w:sz w:val="20"/>
          <w:vertAlign w:val="baseline"/>
        </w:rPr>
        <w:t> </w:t>
      </w:r>
      <w:r>
        <w:rPr>
          <w:color w:val="231F20"/>
          <w:sz w:val="20"/>
          <w:vertAlign w:val="baseline"/>
        </w:rPr>
        <w:t>d’Ivoire</w:t>
      </w:r>
      <w:r>
        <w:rPr>
          <w:color w:val="231F20"/>
          <w:spacing w:val="-11"/>
          <w:sz w:val="20"/>
          <w:vertAlign w:val="baseline"/>
        </w:rPr>
        <w:t> </w:t>
      </w:r>
      <w:r>
        <w:rPr>
          <w:color w:val="231F20"/>
          <w:sz w:val="20"/>
          <w:vertAlign w:val="baseline"/>
        </w:rPr>
        <w:t>:</w:t>
      </w:r>
      <w:r>
        <w:rPr>
          <w:color w:val="231F20"/>
          <w:spacing w:val="78"/>
          <w:sz w:val="20"/>
          <w:vertAlign w:val="baseline"/>
        </w:rPr>
        <w:t> </w:t>
      </w:r>
      <w:r>
        <w:rPr>
          <w:color w:val="231F20"/>
          <w:sz w:val="20"/>
          <w:vertAlign w:val="baseline"/>
        </w:rPr>
        <w:t>les</w:t>
      </w:r>
      <w:r>
        <w:rPr>
          <w:color w:val="231F20"/>
          <w:spacing w:val="79"/>
          <w:sz w:val="20"/>
          <w:vertAlign w:val="baseline"/>
        </w:rPr>
        <w:t> </w:t>
      </w:r>
      <w:r>
        <w:rPr>
          <w:color w:val="231F20"/>
          <w:sz w:val="20"/>
          <w:vertAlign w:val="baseline"/>
        </w:rPr>
        <w:t>dernières</w:t>
      </w:r>
      <w:r>
        <w:rPr>
          <w:color w:val="231F20"/>
          <w:spacing w:val="76"/>
          <w:sz w:val="20"/>
          <w:vertAlign w:val="baseline"/>
        </w:rPr>
        <w:t> </w:t>
      </w:r>
      <w:r>
        <w:rPr>
          <w:color w:val="231F20"/>
          <w:sz w:val="20"/>
          <w:vertAlign w:val="baseline"/>
        </w:rPr>
        <w:t>heures</w:t>
      </w:r>
      <w:r>
        <w:rPr>
          <w:color w:val="231F20"/>
          <w:spacing w:val="-12"/>
          <w:sz w:val="20"/>
          <w:vertAlign w:val="baseline"/>
        </w:rPr>
        <w:t> </w:t>
      </w:r>
      <w:r>
        <w:rPr>
          <w:color w:val="231F20"/>
          <w:sz w:val="20"/>
          <w:vertAlign w:val="baseline"/>
        </w:rPr>
        <w:t>d’un</w:t>
      </w:r>
      <w:r>
        <w:rPr>
          <w:color w:val="231F20"/>
          <w:spacing w:val="79"/>
          <w:sz w:val="20"/>
          <w:vertAlign w:val="baseline"/>
        </w:rPr>
        <w:t> </w:t>
      </w:r>
      <w:r>
        <w:rPr>
          <w:color w:val="231F20"/>
          <w:sz w:val="20"/>
          <w:vertAlign w:val="baseline"/>
        </w:rPr>
        <w:t>président</w:t>
      </w:r>
      <w:r>
        <w:rPr>
          <w:color w:val="231F20"/>
          <w:spacing w:val="-13"/>
          <w:sz w:val="20"/>
          <w:vertAlign w:val="baseline"/>
        </w:rPr>
        <w:t> </w:t>
      </w:r>
      <w:r>
        <w:rPr>
          <w:color w:val="231F20"/>
          <w:sz w:val="20"/>
          <w:vertAlign w:val="baseline"/>
        </w:rPr>
        <w:t>»,</w:t>
      </w:r>
      <w:r>
        <w:rPr>
          <w:color w:val="231F20"/>
          <w:spacing w:val="80"/>
          <w:sz w:val="20"/>
          <w:vertAlign w:val="baseline"/>
        </w:rPr>
        <w:t> </w:t>
      </w:r>
      <w:r>
        <w:rPr>
          <w:color w:val="231F20"/>
          <w:sz w:val="20"/>
          <w:vertAlign w:val="baseline"/>
        </w:rPr>
        <w:t>Christophe Boisbouvier</w:t>
      </w:r>
      <w:r>
        <w:rPr>
          <w:color w:val="231F20"/>
          <w:spacing w:val="-7"/>
          <w:sz w:val="20"/>
          <w:vertAlign w:val="baseline"/>
        </w:rPr>
        <w:t> </w:t>
      </w:r>
      <w:r>
        <w:rPr>
          <w:color w:val="231F20"/>
          <w:sz w:val="20"/>
          <w:vertAlign w:val="baseline"/>
        </w:rPr>
        <w:t>journaliste</w:t>
      </w:r>
      <w:r>
        <w:rPr>
          <w:color w:val="231F20"/>
          <w:spacing w:val="-5"/>
          <w:sz w:val="20"/>
          <w:vertAlign w:val="baseline"/>
        </w:rPr>
        <w:t> </w:t>
      </w:r>
      <w:r>
        <w:rPr>
          <w:color w:val="231F20"/>
          <w:sz w:val="20"/>
          <w:vertAlign w:val="baseline"/>
        </w:rPr>
        <w:t>à</w:t>
      </w:r>
      <w:r>
        <w:rPr>
          <w:color w:val="231F20"/>
          <w:spacing w:val="-8"/>
          <w:sz w:val="20"/>
          <w:vertAlign w:val="baseline"/>
        </w:rPr>
        <w:t> </w:t>
      </w:r>
      <w:r>
        <w:rPr>
          <w:color w:val="231F20"/>
          <w:sz w:val="20"/>
          <w:vertAlign w:val="baseline"/>
        </w:rPr>
        <w:t>RFI,</w:t>
      </w:r>
      <w:r>
        <w:rPr>
          <w:color w:val="231F20"/>
          <w:spacing w:val="-10"/>
          <w:sz w:val="20"/>
          <w:vertAlign w:val="baseline"/>
        </w:rPr>
        <w:t> </w:t>
      </w:r>
      <w:r>
        <w:rPr>
          <w:color w:val="231F20"/>
          <w:sz w:val="20"/>
          <w:vertAlign w:val="baseline"/>
        </w:rPr>
        <w:t>collaborateur</w:t>
      </w:r>
      <w:r>
        <w:rPr>
          <w:color w:val="231F20"/>
          <w:spacing w:val="-7"/>
          <w:sz w:val="20"/>
          <w:vertAlign w:val="baseline"/>
        </w:rPr>
        <w:t> </w:t>
      </w:r>
      <w:r>
        <w:rPr>
          <w:color w:val="231F20"/>
          <w:sz w:val="20"/>
          <w:vertAlign w:val="baseline"/>
        </w:rPr>
        <w:t>de</w:t>
      </w:r>
      <w:r>
        <w:rPr>
          <w:color w:val="231F20"/>
          <w:spacing w:val="-5"/>
          <w:sz w:val="20"/>
          <w:vertAlign w:val="baseline"/>
        </w:rPr>
        <w:t> </w:t>
      </w:r>
      <w:r>
        <w:rPr>
          <w:color w:val="231F20"/>
          <w:sz w:val="20"/>
          <w:vertAlign w:val="baseline"/>
        </w:rPr>
        <w:t>Jeune</w:t>
      </w:r>
      <w:r>
        <w:rPr>
          <w:color w:val="231F20"/>
          <w:spacing w:val="-5"/>
          <w:sz w:val="20"/>
          <w:vertAlign w:val="baseline"/>
        </w:rPr>
        <w:t> </w:t>
      </w:r>
      <w:r>
        <w:rPr>
          <w:color w:val="231F20"/>
          <w:sz w:val="20"/>
          <w:vertAlign w:val="baseline"/>
        </w:rPr>
        <w:t>Afrique.</w:t>
      </w:r>
    </w:p>
    <w:p>
      <w:pPr>
        <w:spacing w:after="0"/>
        <w:jc w:val="left"/>
        <w:rPr>
          <w:sz w:val="20"/>
        </w:rPr>
        <w:sectPr>
          <w:pgSz w:w="8790" w:h="13610"/>
          <w:pgMar w:header="0" w:footer="802" w:top="1060" w:bottom="1000" w:left="880" w:right="880"/>
        </w:sectPr>
      </w:pPr>
    </w:p>
    <w:p>
      <w:pPr>
        <w:pStyle w:val="BodyText"/>
        <w:spacing w:before="66"/>
        <w:ind w:right="104"/>
      </w:pPr>
      <w:r>
        <w:rPr>
          <w:color w:val="231F20"/>
        </w:rPr>
        <w:t>général de Ouattara. Les images de TCI, la chaîne de télévision d’Alassane</w:t>
      </w:r>
      <w:r>
        <w:rPr>
          <w:color w:val="231F20"/>
          <w:spacing w:val="-14"/>
        </w:rPr>
        <w:t> </w:t>
      </w:r>
      <w:r>
        <w:rPr>
          <w:color w:val="231F20"/>
        </w:rPr>
        <w:t>Ouattara</w:t>
      </w:r>
      <w:r>
        <w:rPr>
          <w:color w:val="231F20"/>
          <w:spacing w:val="-11"/>
        </w:rPr>
        <w:t> </w:t>
      </w:r>
      <w:r>
        <w:rPr>
          <w:color w:val="231F20"/>
        </w:rPr>
        <w:t>qui</w:t>
      </w:r>
      <w:r>
        <w:rPr>
          <w:color w:val="231F20"/>
          <w:spacing w:val="-13"/>
        </w:rPr>
        <w:t> </w:t>
      </w:r>
      <w:r>
        <w:rPr>
          <w:color w:val="231F20"/>
        </w:rPr>
        <w:t>émet</w:t>
      </w:r>
      <w:r>
        <w:rPr>
          <w:color w:val="231F20"/>
          <w:spacing w:val="-11"/>
        </w:rPr>
        <w:t> </w:t>
      </w:r>
      <w:r>
        <w:rPr>
          <w:color w:val="231F20"/>
        </w:rPr>
        <w:t>depuis</w:t>
      </w:r>
      <w:r>
        <w:rPr>
          <w:color w:val="231F20"/>
          <w:spacing w:val="-13"/>
        </w:rPr>
        <w:t> </w:t>
      </w:r>
      <w:r>
        <w:rPr>
          <w:color w:val="231F20"/>
        </w:rPr>
        <w:t>son</w:t>
      </w:r>
      <w:r>
        <w:rPr>
          <w:color w:val="231F20"/>
          <w:spacing w:val="-11"/>
        </w:rPr>
        <w:t> </w:t>
      </w:r>
      <w:r>
        <w:rPr>
          <w:color w:val="231F20"/>
        </w:rPr>
        <w:t>QG</w:t>
      </w:r>
      <w:r>
        <w:rPr>
          <w:color w:val="231F20"/>
          <w:spacing w:val="-14"/>
        </w:rPr>
        <w:t> </w:t>
      </w:r>
      <w:r>
        <w:rPr>
          <w:color w:val="231F20"/>
        </w:rPr>
        <w:t>de</w:t>
      </w:r>
      <w:r>
        <w:rPr>
          <w:color w:val="231F20"/>
          <w:spacing w:val="-12"/>
        </w:rPr>
        <w:t> </w:t>
      </w:r>
      <w:r>
        <w:rPr>
          <w:color w:val="231F20"/>
        </w:rPr>
        <w:t>l’hôtel</w:t>
      </w:r>
      <w:r>
        <w:rPr>
          <w:color w:val="231F20"/>
          <w:spacing w:val="-13"/>
        </w:rPr>
        <w:t> </w:t>
      </w:r>
      <w:r>
        <w:rPr>
          <w:color w:val="231F20"/>
        </w:rPr>
        <w:t>du</w:t>
      </w:r>
      <w:r>
        <w:rPr>
          <w:color w:val="231F20"/>
          <w:spacing w:val="-11"/>
        </w:rPr>
        <w:t> </w:t>
      </w:r>
      <w:r>
        <w:rPr>
          <w:color w:val="231F20"/>
        </w:rPr>
        <w:t>Golf,</w:t>
      </w:r>
      <w:r>
        <w:rPr>
          <w:color w:val="231F20"/>
          <w:spacing w:val="-13"/>
        </w:rPr>
        <w:t> </w:t>
      </w:r>
      <w:r>
        <w:rPr>
          <w:color w:val="231F20"/>
        </w:rPr>
        <w:t>montre en direct, les vaincus bousculés, frappés par les partisans de Ouattara </w:t>
      </w:r>
      <w:r>
        <w:rPr>
          <w:color w:val="231F20"/>
          <w:spacing w:val="-4"/>
        </w:rPr>
        <w:t>massés</w:t>
      </w:r>
      <w:r>
        <w:rPr>
          <w:color w:val="231F20"/>
          <w:spacing w:val="-11"/>
        </w:rPr>
        <w:t> </w:t>
      </w:r>
      <w:r>
        <w:rPr>
          <w:color w:val="231F20"/>
          <w:spacing w:val="-4"/>
        </w:rPr>
        <w:t>à</w:t>
      </w:r>
      <w:r>
        <w:rPr>
          <w:color w:val="231F20"/>
          <w:spacing w:val="-11"/>
        </w:rPr>
        <w:t> </w:t>
      </w:r>
      <w:r>
        <w:rPr>
          <w:color w:val="231F20"/>
          <w:spacing w:val="-4"/>
        </w:rPr>
        <w:t>l’entrée</w:t>
      </w:r>
      <w:r>
        <w:rPr>
          <w:color w:val="231F20"/>
          <w:spacing w:val="-11"/>
        </w:rPr>
        <w:t> </w:t>
      </w:r>
      <w:r>
        <w:rPr>
          <w:color w:val="231F20"/>
          <w:spacing w:val="-4"/>
        </w:rPr>
        <w:t>de</w:t>
      </w:r>
      <w:r>
        <w:rPr>
          <w:color w:val="231F20"/>
          <w:spacing w:val="-11"/>
        </w:rPr>
        <w:t> </w:t>
      </w:r>
      <w:r>
        <w:rPr>
          <w:color w:val="231F20"/>
          <w:spacing w:val="-4"/>
        </w:rPr>
        <w:t>l’hôtel</w:t>
      </w:r>
      <w:r>
        <w:rPr>
          <w:color w:val="231F20"/>
          <w:spacing w:val="-11"/>
        </w:rPr>
        <w:t> </w:t>
      </w:r>
      <w:r>
        <w:rPr>
          <w:color w:val="231F20"/>
          <w:spacing w:val="-4"/>
        </w:rPr>
        <w:t>qui</w:t>
      </w:r>
      <w:r>
        <w:rPr>
          <w:color w:val="231F20"/>
          <w:spacing w:val="-11"/>
        </w:rPr>
        <w:t> </w:t>
      </w:r>
      <w:r>
        <w:rPr>
          <w:color w:val="231F20"/>
          <w:spacing w:val="-4"/>
        </w:rPr>
        <w:t>leur</w:t>
      </w:r>
      <w:r>
        <w:rPr>
          <w:color w:val="231F20"/>
          <w:spacing w:val="-11"/>
        </w:rPr>
        <w:t> </w:t>
      </w:r>
      <w:r>
        <w:rPr>
          <w:color w:val="231F20"/>
          <w:spacing w:val="-4"/>
        </w:rPr>
        <w:t>crachent</w:t>
      </w:r>
      <w:r>
        <w:rPr>
          <w:color w:val="231F20"/>
          <w:spacing w:val="-10"/>
        </w:rPr>
        <w:t> </w:t>
      </w:r>
      <w:r>
        <w:rPr>
          <w:color w:val="231F20"/>
          <w:spacing w:val="-4"/>
        </w:rPr>
        <w:t>dessus</w:t>
      </w:r>
      <w:r>
        <w:rPr>
          <w:color w:val="231F20"/>
          <w:spacing w:val="-11"/>
        </w:rPr>
        <w:t> </w:t>
      </w:r>
      <w:r>
        <w:rPr>
          <w:color w:val="231F20"/>
          <w:spacing w:val="-4"/>
        </w:rPr>
        <w:t>:</w:t>
      </w:r>
      <w:r>
        <w:rPr>
          <w:color w:val="231F20"/>
          <w:spacing w:val="-11"/>
        </w:rPr>
        <w:t> </w:t>
      </w:r>
      <w:r>
        <w:rPr>
          <w:color w:val="231F20"/>
          <w:spacing w:val="-4"/>
        </w:rPr>
        <w:t>Gbagbo</w:t>
      </w:r>
      <w:r>
        <w:rPr>
          <w:color w:val="231F20"/>
          <w:spacing w:val="-11"/>
        </w:rPr>
        <w:t> </w:t>
      </w:r>
      <w:r>
        <w:rPr>
          <w:color w:val="231F20"/>
          <w:spacing w:val="-4"/>
        </w:rPr>
        <w:t>affublé</w:t>
      </w:r>
      <w:r>
        <w:rPr>
          <w:color w:val="231F20"/>
          <w:spacing w:val="-11"/>
        </w:rPr>
        <w:t> </w:t>
      </w:r>
      <w:r>
        <w:rPr>
          <w:color w:val="231F20"/>
          <w:spacing w:val="-4"/>
        </w:rPr>
        <w:t>d’un </w:t>
      </w:r>
      <w:r>
        <w:rPr>
          <w:color w:val="231F20"/>
        </w:rPr>
        <w:t>gilet pare-balles et d’un casque, son épouse insultée, agressée, tresses arrachées, vêtements déchirés. Michel, le fils aîné de Laurent Gbagbo, échappe de peu au lynchage</w:t>
      </w:r>
      <w:r>
        <w:rPr>
          <w:color w:val="231F20"/>
          <w:spacing w:val="-14"/>
        </w:rPr>
        <w:t> </w:t>
      </w:r>
      <w:r>
        <w:rPr>
          <w:color w:val="231F20"/>
        </w:rPr>
        <w:t>; l’ancien Gouverneur de la BECAO et beaucoup</w:t>
      </w:r>
      <w:r>
        <w:rPr>
          <w:color w:val="231F20"/>
          <w:spacing w:val="-6"/>
        </w:rPr>
        <w:t> </w:t>
      </w:r>
      <w:r>
        <w:rPr>
          <w:color w:val="231F20"/>
        </w:rPr>
        <w:t>d’autres</w:t>
      </w:r>
      <w:r>
        <w:rPr>
          <w:color w:val="231F20"/>
          <w:spacing w:val="-6"/>
        </w:rPr>
        <w:t> </w:t>
      </w:r>
      <w:r>
        <w:rPr>
          <w:color w:val="231F20"/>
        </w:rPr>
        <w:t>dignitaires</w:t>
      </w:r>
      <w:r>
        <w:rPr>
          <w:color w:val="231F20"/>
          <w:spacing w:val="-6"/>
        </w:rPr>
        <w:t> </w:t>
      </w:r>
      <w:r>
        <w:rPr>
          <w:color w:val="231F20"/>
        </w:rPr>
        <w:t>du</w:t>
      </w:r>
      <w:r>
        <w:rPr>
          <w:color w:val="231F20"/>
          <w:spacing w:val="-8"/>
        </w:rPr>
        <w:t> </w:t>
      </w:r>
      <w:r>
        <w:rPr>
          <w:color w:val="231F20"/>
        </w:rPr>
        <w:t>régime</w:t>
      </w:r>
      <w:r>
        <w:rPr>
          <w:color w:val="231F20"/>
          <w:spacing w:val="-6"/>
        </w:rPr>
        <w:t> </w:t>
      </w:r>
      <w:r>
        <w:rPr>
          <w:color w:val="231F20"/>
        </w:rPr>
        <w:t>FPI</w:t>
      </w:r>
      <w:r>
        <w:rPr>
          <w:color w:val="231F20"/>
          <w:spacing w:val="-8"/>
        </w:rPr>
        <w:t> </w:t>
      </w:r>
      <w:r>
        <w:rPr>
          <w:color w:val="231F20"/>
        </w:rPr>
        <w:t>sont</w:t>
      </w:r>
      <w:r>
        <w:rPr>
          <w:color w:val="231F20"/>
          <w:spacing w:val="-7"/>
        </w:rPr>
        <w:t> </w:t>
      </w:r>
      <w:r>
        <w:rPr>
          <w:color w:val="231F20"/>
        </w:rPr>
        <w:t>mis</w:t>
      </w:r>
      <w:r>
        <w:rPr>
          <w:color w:val="231F20"/>
          <w:spacing w:val="-6"/>
        </w:rPr>
        <w:t> </w:t>
      </w:r>
      <w:r>
        <w:rPr>
          <w:color w:val="231F20"/>
        </w:rPr>
        <w:t>en</w:t>
      </w:r>
      <w:r>
        <w:rPr>
          <w:color w:val="231F20"/>
          <w:spacing w:val="-6"/>
        </w:rPr>
        <w:t> </w:t>
      </w:r>
      <w:r>
        <w:rPr>
          <w:color w:val="231F20"/>
        </w:rPr>
        <w:t>caleçon.</w:t>
      </w:r>
    </w:p>
    <w:p>
      <w:pPr>
        <w:pStyle w:val="BodyText"/>
        <w:spacing w:before="121"/>
        <w:ind w:right="104" w:firstLine="283"/>
      </w:pPr>
      <w:r>
        <w:rPr>
          <w:color w:val="231F20"/>
          <w:spacing w:val="-2"/>
        </w:rPr>
        <w:t>On</w:t>
      </w:r>
      <w:r>
        <w:rPr>
          <w:color w:val="231F20"/>
          <w:spacing w:val="-8"/>
        </w:rPr>
        <w:t> </w:t>
      </w:r>
      <w:r>
        <w:rPr>
          <w:color w:val="231F20"/>
          <w:spacing w:val="-2"/>
        </w:rPr>
        <w:t>voit</w:t>
      </w:r>
      <w:r>
        <w:rPr>
          <w:color w:val="231F20"/>
          <w:spacing w:val="-10"/>
        </w:rPr>
        <w:t> </w:t>
      </w:r>
      <w:r>
        <w:rPr>
          <w:color w:val="231F20"/>
          <w:spacing w:val="-2"/>
        </w:rPr>
        <w:t>aussi,</w:t>
      </w:r>
      <w:r>
        <w:rPr>
          <w:color w:val="231F20"/>
          <w:spacing w:val="-8"/>
        </w:rPr>
        <w:t> </w:t>
      </w:r>
      <w:r>
        <w:rPr>
          <w:color w:val="231F20"/>
          <w:spacing w:val="-2"/>
        </w:rPr>
        <w:t>Désiré</w:t>
      </w:r>
      <w:r>
        <w:rPr>
          <w:color w:val="231F20"/>
          <w:spacing w:val="-10"/>
        </w:rPr>
        <w:t> </w:t>
      </w:r>
      <w:r>
        <w:rPr>
          <w:color w:val="231F20"/>
          <w:spacing w:val="-2"/>
        </w:rPr>
        <w:t>Tagro...</w:t>
      </w:r>
      <w:r>
        <w:rPr>
          <w:color w:val="231F20"/>
          <w:spacing w:val="-10"/>
        </w:rPr>
        <w:t> </w:t>
      </w:r>
      <w:r>
        <w:rPr>
          <w:color w:val="231F20"/>
          <w:spacing w:val="-2"/>
        </w:rPr>
        <w:t>Sa</w:t>
      </w:r>
      <w:r>
        <w:rPr>
          <w:color w:val="231F20"/>
          <w:spacing w:val="-11"/>
        </w:rPr>
        <w:t> </w:t>
      </w:r>
      <w:r>
        <w:rPr>
          <w:color w:val="231F20"/>
          <w:spacing w:val="-2"/>
        </w:rPr>
        <w:t>mâchoire,</w:t>
      </w:r>
      <w:r>
        <w:rPr>
          <w:color w:val="231F20"/>
          <w:spacing w:val="-10"/>
        </w:rPr>
        <w:t> </w:t>
      </w:r>
      <w:r>
        <w:rPr>
          <w:color w:val="231F20"/>
          <w:spacing w:val="-2"/>
        </w:rPr>
        <w:t>pendante</w:t>
      </w:r>
      <w:r>
        <w:rPr>
          <w:color w:val="231F20"/>
          <w:spacing w:val="-8"/>
        </w:rPr>
        <w:t> </w:t>
      </w:r>
      <w:r>
        <w:rPr>
          <w:color w:val="231F20"/>
          <w:spacing w:val="-2"/>
        </w:rPr>
        <w:t>et</w:t>
      </w:r>
      <w:r>
        <w:rPr>
          <w:color w:val="231F20"/>
          <w:spacing w:val="-9"/>
        </w:rPr>
        <w:t> </w:t>
      </w:r>
      <w:r>
        <w:rPr>
          <w:color w:val="231F20"/>
          <w:spacing w:val="-2"/>
        </w:rPr>
        <w:t>sanguinolente </w:t>
      </w:r>
      <w:r>
        <w:rPr>
          <w:color w:val="231F20"/>
          <w:spacing w:val="-4"/>
        </w:rPr>
        <w:t>qu’il</w:t>
      </w:r>
      <w:r>
        <w:rPr>
          <w:color w:val="231F20"/>
          <w:spacing w:val="-11"/>
        </w:rPr>
        <w:t> </w:t>
      </w:r>
      <w:r>
        <w:rPr>
          <w:color w:val="231F20"/>
          <w:spacing w:val="-4"/>
        </w:rPr>
        <w:t>maintient</w:t>
      </w:r>
      <w:r>
        <w:rPr>
          <w:color w:val="231F20"/>
          <w:spacing w:val="-11"/>
        </w:rPr>
        <w:t> </w:t>
      </w:r>
      <w:r>
        <w:rPr>
          <w:color w:val="231F20"/>
          <w:spacing w:val="-4"/>
        </w:rPr>
        <w:t>d’une</w:t>
      </w:r>
      <w:r>
        <w:rPr>
          <w:color w:val="231F20"/>
          <w:spacing w:val="-11"/>
        </w:rPr>
        <w:t> </w:t>
      </w:r>
      <w:r>
        <w:rPr>
          <w:color w:val="231F20"/>
          <w:spacing w:val="-4"/>
        </w:rPr>
        <w:t>main,</w:t>
      </w:r>
      <w:r>
        <w:rPr>
          <w:color w:val="231F20"/>
          <w:spacing w:val="-11"/>
        </w:rPr>
        <w:t> </w:t>
      </w:r>
      <w:r>
        <w:rPr>
          <w:color w:val="231F20"/>
          <w:spacing w:val="-4"/>
        </w:rPr>
        <w:t>donnant</w:t>
      </w:r>
      <w:r>
        <w:rPr>
          <w:color w:val="231F20"/>
          <w:spacing w:val="-11"/>
        </w:rPr>
        <w:t> </w:t>
      </w:r>
      <w:r>
        <w:rPr>
          <w:color w:val="231F20"/>
          <w:spacing w:val="-4"/>
        </w:rPr>
        <w:t>l’impression</w:t>
      </w:r>
      <w:r>
        <w:rPr>
          <w:color w:val="231F20"/>
          <w:spacing w:val="-11"/>
        </w:rPr>
        <w:t> </w:t>
      </w:r>
      <w:r>
        <w:rPr>
          <w:color w:val="231F20"/>
          <w:spacing w:val="-4"/>
        </w:rPr>
        <w:t>de</w:t>
      </w:r>
      <w:r>
        <w:rPr>
          <w:color w:val="231F20"/>
          <w:spacing w:val="-11"/>
        </w:rPr>
        <w:t> </w:t>
      </w:r>
      <w:r>
        <w:rPr>
          <w:color w:val="231F20"/>
          <w:spacing w:val="-4"/>
        </w:rPr>
        <w:t>ne</w:t>
      </w:r>
      <w:r>
        <w:rPr>
          <w:color w:val="231F20"/>
          <w:spacing w:val="-11"/>
        </w:rPr>
        <w:t> </w:t>
      </w:r>
      <w:r>
        <w:rPr>
          <w:color w:val="231F20"/>
          <w:spacing w:val="-4"/>
        </w:rPr>
        <w:t>tenir</w:t>
      </w:r>
      <w:r>
        <w:rPr>
          <w:color w:val="231F20"/>
          <w:spacing w:val="-11"/>
        </w:rPr>
        <w:t> </w:t>
      </w:r>
      <w:r>
        <w:rPr>
          <w:color w:val="231F20"/>
          <w:spacing w:val="-4"/>
        </w:rPr>
        <w:t>qu’à</w:t>
      </w:r>
      <w:r>
        <w:rPr>
          <w:color w:val="231F20"/>
          <w:spacing w:val="-11"/>
        </w:rPr>
        <w:t> </w:t>
      </w:r>
      <w:r>
        <w:rPr>
          <w:color w:val="231F20"/>
          <w:spacing w:val="-4"/>
        </w:rPr>
        <w:t>un</w:t>
      </w:r>
      <w:r>
        <w:rPr>
          <w:color w:val="231F20"/>
          <w:spacing w:val="-11"/>
        </w:rPr>
        <w:t> </w:t>
      </w:r>
      <w:r>
        <w:rPr>
          <w:color w:val="231F20"/>
          <w:spacing w:val="-4"/>
        </w:rPr>
        <w:t>fil...Il est évacué</w:t>
      </w:r>
      <w:r>
        <w:rPr>
          <w:color w:val="231F20"/>
          <w:spacing w:val="-3"/>
        </w:rPr>
        <w:t> </w:t>
      </w:r>
      <w:r>
        <w:rPr>
          <w:color w:val="231F20"/>
          <w:spacing w:val="-4"/>
        </w:rPr>
        <w:t>vers</w:t>
      </w:r>
      <w:r>
        <w:rPr>
          <w:color w:val="231F20"/>
          <w:spacing w:val="-7"/>
        </w:rPr>
        <w:t> </w:t>
      </w:r>
      <w:r>
        <w:rPr>
          <w:color w:val="231F20"/>
          <w:spacing w:val="-4"/>
        </w:rPr>
        <w:t>une</w:t>
      </w:r>
      <w:r>
        <w:rPr>
          <w:color w:val="231F20"/>
          <w:spacing w:val="-3"/>
        </w:rPr>
        <w:t> </w:t>
      </w:r>
      <w:r>
        <w:rPr>
          <w:color w:val="231F20"/>
          <w:spacing w:val="-4"/>
        </w:rPr>
        <w:t>destination</w:t>
      </w:r>
      <w:r>
        <w:rPr>
          <w:color w:val="231F20"/>
          <w:spacing w:val="-7"/>
        </w:rPr>
        <w:t> </w:t>
      </w:r>
      <w:r>
        <w:rPr>
          <w:color w:val="231F20"/>
          <w:spacing w:val="-4"/>
        </w:rPr>
        <w:t>inconnue.</w:t>
      </w:r>
      <w:r>
        <w:rPr>
          <w:color w:val="231F20"/>
          <w:spacing w:val="-3"/>
        </w:rPr>
        <w:t> </w:t>
      </w:r>
      <w:r>
        <w:rPr>
          <w:color w:val="231F20"/>
          <w:spacing w:val="-4"/>
        </w:rPr>
        <w:t>On</w:t>
      </w:r>
      <w:r>
        <w:rPr>
          <w:color w:val="231F20"/>
          <w:spacing w:val="-3"/>
        </w:rPr>
        <w:t> </w:t>
      </w:r>
      <w:r>
        <w:rPr>
          <w:color w:val="231F20"/>
          <w:spacing w:val="-4"/>
        </w:rPr>
        <w:t>apprendra</w:t>
      </w:r>
      <w:r>
        <w:rPr>
          <w:color w:val="231F20"/>
          <w:spacing w:val="-3"/>
        </w:rPr>
        <w:t> </w:t>
      </w:r>
      <w:r>
        <w:rPr>
          <w:color w:val="231F20"/>
          <w:spacing w:val="-4"/>
        </w:rPr>
        <w:t>plus tard</w:t>
      </w:r>
      <w:r>
        <w:rPr>
          <w:color w:val="231F20"/>
          <w:spacing w:val="-5"/>
        </w:rPr>
        <w:t> </w:t>
      </w:r>
      <w:r>
        <w:rPr>
          <w:color w:val="231F20"/>
          <w:spacing w:val="-4"/>
        </w:rPr>
        <w:t>sa mort.</w:t>
      </w:r>
    </w:p>
    <w:p>
      <w:pPr>
        <w:pStyle w:val="BodyText"/>
        <w:spacing w:before="120"/>
        <w:ind w:right="104" w:firstLine="340"/>
      </w:pPr>
      <w:r>
        <w:rPr>
          <w:color w:val="231F20"/>
        </w:rPr>
        <w:t>Les images de la télévision reviennent en boucle sur le couple </w:t>
      </w:r>
      <w:r>
        <w:rPr>
          <w:color w:val="231F20"/>
          <w:spacing w:val="-2"/>
        </w:rPr>
        <w:t>présidentiel</w:t>
      </w:r>
      <w:r>
        <w:rPr>
          <w:color w:val="231F20"/>
          <w:spacing w:val="-13"/>
        </w:rPr>
        <w:t> </w:t>
      </w:r>
      <w:r>
        <w:rPr>
          <w:color w:val="231F20"/>
          <w:spacing w:val="-2"/>
        </w:rPr>
        <w:t>déchu</w:t>
      </w:r>
      <w:r>
        <w:rPr>
          <w:color w:val="231F20"/>
          <w:spacing w:val="-13"/>
        </w:rPr>
        <w:t> </w:t>
      </w:r>
      <w:r>
        <w:rPr>
          <w:color w:val="231F20"/>
          <w:spacing w:val="-2"/>
        </w:rPr>
        <w:t>installé</w:t>
      </w:r>
      <w:r>
        <w:rPr>
          <w:color w:val="231F20"/>
          <w:spacing w:val="-13"/>
        </w:rPr>
        <w:t> </w:t>
      </w:r>
      <w:r>
        <w:rPr>
          <w:color w:val="231F20"/>
          <w:spacing w:val="-2"/>
        </w:rPr>
        <w:t>dans</w:t>
      </w:r>
      <w:r>
        <w:rPr>
          <w:color w:val="231F20"/>
          <w:spacing w:val="-11"/>
        </w:rPr>
        <w:t> </w:t>
      </w:r>
      <w:r>
        <w:rPr>
          <w:color w:val="231F20"/>
          <w:spacing w:val="-2"/>
        </w:rPr>
        <w:t>une</w:t>
      </w:r>
      <w:r>
        <w:rPr>
          <w:color w:val="231F20"/>
          <w:spacing w:val="-11"/>
        </w:rPr>
        <w:t> </w:t>
      </w:r>
      <w:r>
        <w:rPr>
          <w:color w:val="231F20"/>
          <w:spacing w:val="-2"/>
        </w:rPr>
        <w:t>chambre</w:t>
      </w:r>
      <w:r>
        <w:rPr>
          <w:color w:val="231F20"/>
          <w:spacing w:val="-11"/>
        </w:rPr>
        <w:t> </w:t>
      </w:r>
      <w:r>
        <w:rPr>
          <w:color w:val="231F20"/>
          <w:spacing w:val="-2"/>
        </w:rPr>
        <w:t>de</w:t>
      </w:r>
      <w:r>
        <w:rPr>
          <w:color w:val="231F20"/>
          <w:spacing w:val="-13"/>
        </w:rPr>
        <w:t> </w:t>
      </w:r>
      <w:r>
        <w:rPr>
          <w:color w:val="231F20"/>
          <w:spacing w:val="-2"/>
        </w:rPr>
        <w:t>l’hôtel</w:t>
      </w:r>
      <w:r>
        <w:rPr>
          <w:color w:val="231F20"/>
          <w:spacing w:val="-11"/>
        </w:rPr>
        <w:t> </w:t>
      </w:r>
      <w:r>
        <w:rPr>
          <w:color w:val="231F20"/>
          <w:spacing w:val="-2"/>
        </w:rPr>
        <w:t>:</w:t>
      </w:r>
      <w:r>
        <w:rPr>
          <w:color w:val="231F20"/>
          <w:spacing w:val="-10"/>
        </w:rPr>
        <w:t> </w:t>
      </w:r>
      <w:r>
        <w:rPr>
          <w:color w:val="231F20"/>
          <w:spacing w:val="-2"/>
        </w:rPr>
        <w:t>Simone</w:t>
      </w:r>
      <w:r>
        <w:rPr>
          <w:color w:val="231F20"/>
          <w:spacing w:val="-10"/>
        </w:rPr>
        <w:t> </w:t>
      </w:r>
      <w:r>
        <w:rPr>
          <w:color w:val="231F20"/>
          <w:spacing w:val="-2"/>
        </w:rPr>
        <w:t>Gbagbo </w:t>
      </w:r>
      <w:r>
        <w:rPr>
          <w:color w:val="231F20"/>
        </w:rPr>
        <w:t>prostrée,</w:t>
      </w:r>
      <w:r>
        <w:rPr>
          <w:color w:val="231F20"/>
          <w:spacing w:val="-8"/>
        </w:rPr>
        <w:t> </w:t>
      </w:r>
      <w:r>
        <w:rPr>
          <w:color w:val="231F20"/>
        </w:rPr>
        <w:t>les</w:t>
      </w:r>
      <w:r>
        <w:rPr>
          <w:color w:val="231F20"/>
          <w:spacing w:val="-5"/>
        </w:rPr>
        <w:t> </w:t>
      </w:r>
      <w:r>
        <w:rPr>
          <w:color w:val="231F20"/>
        </w:rPr>
        <w:t>yeux</w:t>
      </w:r>
      <w:r>
        <w:rPr>
          <w:color w:val="231F20"/>
          <w:spacing w:val="-4"/>
        </w:rPr>
        <w:t> </w:t>
      </w:r>
      <w:r>
        <w:rPr>
          <w:color w:val="231F20"/>
        </w:rPr>
        <w:t>fermés.</w:t>
      </w:r>
      <w:r>
        <w:rPr>
          <w:color w:val="231F20"/>
          <w:spacing w:val="-7"/>
        </w:rPr>
        <w:t> </w:t>
      </w:r>
      <w:r>
        <w:rPr>
          <w:color w:val="231F20"/>
        </w:rPr>
        <w:t>À</w:t>
      </w:r>
      <w:r>
        <w:rPr>
          <w:color w:val="231F20"/>
          <w:spacing w:val="-5"/>
        </w:rPr>
        <w:t> </w:t>
      </w:r>
      <w:r>
        <w:rPr>
          <w:color w:val="231F20"/>
        </w:rPr>
        <w:t>ses</w:t>
      </w:r>
      <w:r>
        <w:rPr>
          <w:color w:val="231F20"/>
          <w:spacing w:val="-5"/>
        </w:rPr>
        <w:t> </w:t>
      </w:r>
      <w:r>
        <w:rPr>
          <w:color w:val="231F20"/>
        </w:rPr>
        <w:t>côtés,</w:t>
      </w:r>
      <w:r>
        <w:rPr>
          <w:color w:val="231F20"/>
          <w:spacing w:val="-5"/>
        </w:rPr>
        <w:t> </w:t>
      </w:r>
      <w:r>
        <w:rPr>
          <w:color w:val="231F20"/>
        </w:rPr>
        <w:t>son</w:t>
      </w:r>
      <w:r>
        <w:rPr>
          <w:color w:val="231F20"/>
          <w:spacing w:val="-5"/>
        </w:rPr>
        <w:t> </w:t>
      </w:r>
      <w:r>
        <w:rPr>
          <w:color w:val="231F20"/>
        </w:rPr>
        <w:t>mari</w:t>
      </w:r>
      <w:r>
        <w:rPr>
          <w:color w:val="231F20"/>
          <w:spacing w:val="-7"/>
        </w:rPr>
        <w:t> </w:t>
      </w:r>
      <w:r>
        <w:rPr>
          <w:color w:val="231F20"/>
        </w:rPr>
        <w:t>s’éponge</w:t>
      </w:r>
      <w:r>
        <w:rPr>
          <w:color w:val="231F20"/>
          <w:spacing w:val="-5"/>
        </w:rPr>
        <w:t> </w:t>
      </w:r>
      <w:r>
        <w:rPr>
          <w:color w:val="231F20"/>
        </w:rPr>
        <w:t>le</w:t>
      </w:r>
      <w:r>
        <w:rPr>
          <w:color w:val="231F20"/>
          <w:spacing w:val="-5"/>
        </w:rPr>
        <w:t> </w:t>
      </w:r>
      <w:r>
        <w:rPr>
          <w:color w:val="231F20"/>
        </w:rPr>
        <w:t>visage...les aisselles…sous</w:t>
      </w:r>
      <w:r>
        <w:rPr>
          <w:color w:val="231F20"/>
          <w:spacing w:val="56"/>
        </w:rPr>
        <w:t> </w:t>
      </w:r>
      <w:r>
        <w:rPr>
          <w:color w:val="231F20"/>
        </w:rPr>
        <w:t>un</w:t>
      </w:r>
      <w:r>
        <w:rPr>
          <w:color w:val="231F20"/>
          <w:spacing w:val="60"/>
        </w:rPr>
        <w:t> </w:t>
      </w:r>
      <w:r>
        <w:rPr>
          <w:color w:val="231F20"/>
        </w:rPr>
        <w:t>flot</w:t>
      </w:r>
      <w:r>
        <w:rPr>
          <w:color w:val="231F20"/>
          <w:spacing w:val="58"/>
        </w:rPr>
        <w:t> </w:t>
      </w:r>
      <w:r>
        <w:rPr>
          <w:color w:val="231F20"/>
        </w:rPr>
        <w:t>d’insultes</w:t>
      </w:r>
      <w:r>
        <w:rPr>
          <w:color w:val="231F20"/>
          <w:spacing w:val="60"/>
        </w:rPr>
        <w:t> </w:t>
      </w:r>
      <w:r>
        <w:rPr>
          <w:color w:val="231F20"/>
        </w:rPr>
        <w:t>des</w:t>
      </w:r>
      <w:r>
        <w:rPr>
          <w:color w:val="231F20"/>
          <w:spacing w:val="60"/>
        </w:rPr>
        <w:t> </w:t>
      </w:r>
      <w:r>
        <w:rPr>
          <w:color w:val="231F20"/>
        </w:rPr>
        <w:t>rebelles</w:t>
      </w:r>
      <w:r>
        <w:rPr>
          <w:color w:val="231F20"/>
          <w:spacing w:val="58"/>
        </w:rPr>
        <w:t> </w:t>
      </w:r>
      <w:r>
        <w:rPr>
          <w:color w:val="231F20"/>
        </w:rPr>
        <w:t>présents</w:t>
      </w:r>
      <w:r>
        <w:rPr>
          <w:color w:val="231F20"/>
          <w:spacing w:val="-14"/>
        </w:rPr>
        <w:t> </w:t>
      </w:r>
      <w:r>
        <w:rPr>
          <w:color w:val="231F20"/>
        </w:rPr>
        <w:t>…</w:t>
      </w:r>
      <w:r>
        <w:rPr>
          <w:color w:val="231F20"/>
          <w:spacing w:val="58"/>
        </w:rPr>
        <w:t> </w:t>
      </w:r>
      <w:r>
        <w:rPr>
          <w:color w:val="231F20"/>
        </w:rPr>
        <w:t>Pour</w:t>
      </w:r>
      <w:r>
        <w:rPr>
          <w:color w:val="231F20"/>
          <w:spacing w:val="60"/>
        </w:rPr>
        <w:t> </w:t>
      </w:r>
      <w:r>
        <w:rPr>
          <w:color w:val="231F20"/>
          <w:spacing w:val="-5"/>
        </w:rPr>
        <w:t>les</w:t>
      </w:r>
    </w:p>
    <w:p>
      <w:pPr>
        <w:pStyle w:val="BodyText"/>
      </w:pPr>
      <w:r>
        <w:rPr>
          <w:color w:val="231F20"/>
        </w:rPr>
        <w:t>«</w:t>
      </w:r>
      <w:r>
        <w:rPr>
          <w:color w:val="231F20"/>
          <w:spacing w:val="-15"/>
        </w:rPr>
        <w:t> </w:t>
      </w:r>
      <w:r>
        <w:rPr>
          <w:color w:val="231F20"/>
        </w:rPr>
        <w:t>besoins</w:t>
      </w:r>
      <w:r>
        <w:rPr>
          <w:color w:val="231F20"/>
          <w:spacing w:val="-15"/>
        </w:rPr>
        <w:t> </w:t>
      </w:r>
      <w:r>
        <w:rPr>
          <w:color w:val="231F20"/>
        </w:rPr>
        <w:t>»</w:t>
      </w:r>
      <w:r>
        <w:rPr>
          <w:color w:val="231F20"/>
          <w:spacing w:val="-6"/>
        </w:rPr>
        <w:t> </w:t>
      </w:r>
      <w:r>
        <w:rPr>
          <w:color w:val="231F20"/>
        </w:rPr>
        <w:t>de</w:t>
      </w:r>
      <w:r>
        <w:rPr>
          <w:color w:val="231F20"/>
          <w:spacing w:val="-4"/>
        </w:rPr>
        <w:t> </w:t>
      </w:r>
      <w:r>
        <w:rPr>
          <w:color w:val="231F20"/>
        </w:rPr>
        <w:t>la</w:t>
      </w:r>
      <w:r>
        <w:rPr>
          <w:color w:val="231F20"/>
          <w:spacing w:val="-5"/>
        </w:rPr>
        <w:t> </w:t>
      </w:r>
      <w:r>
        <w:rPr>
          <w:color w:val="231F20"/>
        </w:rPr>
        <w:t>télévision,</w:t>
      </w:r>
      <w:r>
        <w:rPr>
          <w:color w:val="231F20"/>
          <w:spacing w:val="-4"/>
        </w:rPr>
        <w:t> </w:t>
      </w:r>
      <w:r>
        <w:rPr>
          <w:color w:val="231F20"/>
        </w:rPr>
        <w:t>ses</w:t>
      </w:r>
      <w:r>
        <w:rPr>
          <w:color w:val="231F20"/>
          <w:spacing w:val="-3"/>
        </w:rPr>
        <w:t> </w:t>
      </w:r>
      <w:r>
        <w:rPr>
          <w:color w:val="231F20"/>
        </w:rPr>
        <w:t>«</w:t>
      </w:r>
      <w:r>
        <w:rPr>
          <w:color w:val="231F20"/>
          <w:spacing w:val="-14"/>
        </w:rPr>
        <w:t> </w:t>
      </w:r>
      <w:r>
        <w:rPr>
          <w:color w:val="231F20"/>
        </w:rPr>
        <w:t>geôliers</w:t>
      </w:r>
      <w:r>
        <w:rPr>
          <w:color w:val="231F20"/>
          <w:spacing w:val="-15"/>
        </w:rPr>
        <w:t> </w:t>
      </w:r>
      <w:r>
        <w:rPr>
          <w:color w:val="231F20"/>
        </w:rPr>
        <w:t>»</w:t>
      </w:r>
      <w:r>
        <w:rPr>
          <w:color w:val="231F20"/>
          <w:spacing w:val="-4"/>
        </w:rPr>
        <w:t> </w:t>
      </w:r>
      <w:r>
        <w:rPr>
          <w:color w:val="231F20"/>
        </w:rPr>
        <w:t>l’aident</w:t>
      </w:r>
      <w:r>
        <w:rPr>
          <w:color w:val="231F20"/>
          <w:spacing w:val="-3"/>
        </w:rPr>
        <w:t> </w:t>
      </w:r>
      <w:r>
        <w:rPr>
          <w:color w:val="231F20"/>
        </w:rPr>
        <w:t>à</w:t>
      </w:r>
      <w:r>
        <w:rPr>
          <w:color w:val="231F20"/>
          <w:spacing w:val="-5"/>
        </w:rPr>
        <w:t> </w:t>
      </w:r>
      <w:r>
        <w:rPr>
          <w:color w:val="231F20"/>
        </w:rPr>
        <w:t>retirer</w:t>
      </w:r>
      <w:r>
        <w:rPr>
          <w:color w:val="231F20"/>
          <w:spacing w:val="-4"/>
        </w:rPr>
        <w:t> </w:t>
      </w:r>
      <w:r>
        <w:rPr>
          <w:color w:val="231F20"/>
        </w:rPr>
        <w:t>sa</w:t>
      </w:r>
      <w:r>
        <w:rPr>
          <w:color w:val="231F20"/>
          <w:spacing w:val="-4"/>
        </w:rPr>
        <w:t> </w:t>
      </w:r>
      <w:r>
        <w:rPr>
          <w:color w:val="231F20"/>
          <w:spacing w:val="-2"/>
        </w:rPr>
        <w:t>chemise</w:t>
      </w:r>
    </w:p>
    <w:p>
      <w:pPr>
        <w:pStyle w:val="BodyText"/>
        <w:spacing w:line="343" w:lineRule="auto"/>
        <w:ind w:left="395" w:right="2763" w:hanging="284"/>
      </w:pPr>
      <w:r>
        <w:rPr>
          <w:color w:val="231F20"/>
          <w:spacing w:val="-2"/>
        </w:rPr>
        <w:t>en</w:t>
      </w:r>
      <w:r>
        <w:rPr>
          <w:color w:val="231F20"/>
          <w:spacing w:val="-13"/>
        </w:rPr>
        <w:t> </w:t>
      </w:r>
      <w:r>
        <w:rPr>
          <w:color w:val="231F20"/>
          <w:spacing w:val="-2"/>
        </w:rPr>
        <w:t>lambeau</w:t>
      </w:r>
      <w:r>
        <w:rPr>
          <w:color w:val="231F20"/>
          <w:spacing w:val="-13"/>
        </w:rPr>
        <w:t> </w:t>
      </w:r>
      <w:r>
        <w:rPr>
          <w:color w:val="231F20"/>
          <w:spacing w:val="-2"/>
        </w:rPr>
        <w:t>pour</w:t>
      </w:r>
      <w:r>
        <w:rPr>
          <w:color w:val="231F20"/>
          <w:spacing w:val="-13"/>
        </w:rPr>
        <w:t> </w:t>
      </w:r>
      <w:r>
        <w:rPr>
          <w:color w:val="231F20"/>
          <w:spacing w:val="-2"/>
        </w:rPr>
        <w:t>une</w:t>
      </w:r>
      <w:r>
        <w:rPr>
          <w:color w:val="231F20"/>
          <w:spacing w:val="-13"/>
        </w:rPr>
        <w:t> </w:t>
      </w:r>
      <w:r>
        <w:rPr>
          <w:color w:val="231F20"/>
          <w:spacing w:val="-2"/>
        </w:rPr>
        <w:t>autre,</w:t>
      </w:r>
      <w:r>
        <w:rPr>
          <w:color w:val="231F20"/>
          <w:spacing w:val="-13"/>
        </w:rPr>
        <w:t> </w:t>
      </w:r>
      <w:r>
        <w:rPr>
          <w:color w:val="231F20"/>
          <w:spacing w:val="-2"/>
        </w:rPr>
        <w:t>plus</w:t>
      </w:r>
      <w:r>
        <w:rPr>
          <w:color w:val="231F20"/>
          <w:spacing w:val="-13"/>
        </w:rPr>
        <w:t> </w:t>
      </w:r>
      <w:r>
        <w:rPr>
          <w:color w:val="231F20"/>
          <w:spacing w:val="-2"/>
        </w:rPr>
        <w:t>présentable. </w:t>
      </w:r>
      <w:r>
        <w:rPr>
          <w:color w:val="231F20"/>
        </w:rPr>
        <w:t>Gbagbo semble ailleurs : épuisé, sonné.</w:t>
      </w:r>
    </w:p>
    <w:p>
      <w:pPr>
        <w:pStyle w:val="BodyText"/>
        <w:spacing w:before="123"/>
        <w:ind w:left="0"/>
        <w:jc w:val="left"/>
      </w:pPr>
    </w:p>
    <w:p>
      <w:pPr>
        <w:pStyle w:val="Heading2"/>
      </w:pPr>
      <w:bookmarkStart w:name="_TOC_250014" w:id="29"/>
      <w:r>
        <w:rPr>
          <w:color w:val="231F20"/>
          <w:spacing w:val="-2"/>
        </w:rPr>
        <w:t>La</w:t>
      </w:r>
      <w:r>
        <w:rPr>
          <w:color w:val="231F20"/>
          <w:spacing w:val="-12"/>
        </w:rPr>
        <w:t> </w:t>
      </w:r>
      <w:r>
        <w:rPr>
          <w:color w:val="231F20"/>
          <w:spacing w:val="-2"/>
        </w:rPr>
        <w:t>démocratie</w:t>
      </w:r>
      <w:r>
        <w:rPr>
          <w:color w:val="231F20"/>
          <w:spacing w:val="-10"/>
        </w:rPr>
        <w:t> </w:t>
      </w:r>
      <w:r>
        <w:rPr>
          <w:color w:val="231F20"/>
          <w:spacing w:val="-2"/>
        </w:rPr>
        <w:t>en</w:t>
      </w:r>
      <w:r>
        <w:rPr>
          <w:color w:val="231F20"/>
          <w:spacing w:val="-9"/>
        </w:rPr>
        <w:t> </w:t>
      </w:r>
      <w:r>
        <w:rPr>
          <w:color w:val="231F20"/>
          <w:spacing w:val="-2"/>
        </w:rPr>
        <w:t>Afrique…</w:t>
      </w:r>
      <w:r>
        <w:rPr>
          <w:color w:val="231F20"/>
          <w:spacing w:val="-9"/>
        </w:rPr>
        <w:t> </w:t>
      </w:r>
      <w:r>
        <w:rPr>
          <w:color w:val="231F20"/>
          <w:spacing w:val="-2"/>
        </w:rPr>
        <w:t>vue</w:t>
      </w:r>
      <w:r>
        <w:rPr>
          <w:color w:val="231F20"/>
          <w:spacing w:val="-12"/>
        </w:rPr>
        <w:t> </w:t>
      </w:r>
      <w:r>
        <w:rPr>
          <w:color w:val="231F20"/>
          <w:spacing w:val="-2"/>
        </w:rPr>
        <w:t>de</w:t>
      </w:r>
      <w:r>
        <w:rPr>
          <w:color w:val="231F20"/>
          <w:spacing w:val="-9"/>
        </w:rPr>
        <w:t> </w:t>
      </w:r>
      <w:bookmarkEnd w:id="29"/>
      <w:r>
        <w:rPr>
          <w:color w:val="231F20"/>
          <w:spacing w:val="-2"/>
        </w:rPr>
        <w:t>l’Élysée</w:t>
      </w:r>
    </w:p>
    <w:p>
      <w:pPr>
        <w:pStyle w:val="BodyText"/>
        <w:spacing w:before="120"/>
        <w:ind w:left="0"/>
        <w:jc w:val="left"/>
        <w:rPr>
          <w:b/>
        </w:rPr>
      </w:pPr>
    </w:p>
    <w:p>
      <w:pPr>
        <w:pStyle w:val="BodyText"/>
        <w:ind w:right="104" w:firstLine="283"/>
      </w:pPr>
      <w:r>
        <w:rPr>
          <w:color w:val="231F20"/>
        </w:rPr>
        <w:t>12</w:t>
      </w:r>
      <w:r>
        <w:rPr>
          <w:color w:val="231F20"/>
          <w:spacing w:val="-15"/>
        </w:rPr>
        <w:t> </w:t>
      </w:r>
      <w:r>
        <w:rPr>
          <w:color w:val="231F20"/>
        </w:rPr>
        <w:t>Avril</w:t>
      </w:r>
      <w:r>
        <w:rPr>
          <w:color w:val="231F20"/>
          <w:spacing w:val="-15"/>
        </w:rPr>
        <w:t> </w:t>
      </w:r>
      <w:r>
        <w:rPr>
          <w:color w:val="231F20"/>
        </w:rPr>
        <w:t>2011.</w:t>
      </w:r>
      <w:r>
        <w:rPr>
          <w:color w:val="231F20"/>
          <w:spacing w:val="-15"/>
        </w:rPr>
        <w:t> </w:t>
      </w:r>
      <w:r>
        <w:rPr>
          <w:color w:val="231F20"/>
        </w:rPr>
        <w:t>Il</w:t>
      </w:r>
      <w:r>
        <w:rPr>
          <w:color w:val="231F20"/>
          <w:spacing w:val="-14"/>
        </w:rPr>
        <w:t> </w:t>
      </w:r>
      <w:r>
        <w:rPr>
          <w:color w:val="231F20"/>
        </w:rPr>
        <w:t>est</w:t>
      </w:r>
      <w:r>
        <w:rPr>
          <w:color w:val="231F20"/>
          <w:spacing w:val="-14"/>
        </w:rPr>
        <w:t> </w:t>
      </w:r>
      <w:r>
        <w:rPr>
          <w:color w:val="231F20"/>
        </w:rPr>
        <w:t>16</w:t>
      </w:r>
      <w:r>
        <w:rPr>
          <w:color w:val="231F20"/>
          <w:spacing w:val="-14"/>
        </w:rPr>
        <w:t> </w:t>
      </w:r>
      <w:r>
        <w:rPr>
          <w:color w:val="231F20"/>
        </w:rPr>
        <w:t>heures.</w:t>
      </w:r>
      <w:r>
        <w:rPr>
          <w:color w:val="231F20"/>
          <w:spacing w:val="-14"/>
        </w:rPr>
        <w:t> </w:t>
      </w:r>
      <w:r>
        <w:rPr>
          <w:color w:val="231F20"/>
        </w:rPr>
        <w:t>La</w:t>
      </w:r>
      <w:r>
        <w:rPr>
          <w:color w:val="231F20"/>
          <w:spacing w:val="-14"/>
        </w:rPr>
        <w:t> </w:t>
      </w:r>
      <w:r>
        <w:rPr>
          <w:color w:val="231F20"/>
        </w:rPr>
        <w:t>porte</w:t>
      </w:r>
      <w:r>
        <w:rPr>
          <w:color w:val="231F20"/>
          <w:spacing w:val="-14"/>
        </w:rPr>
        <w:t> </w:t>
      </w:r>
      <w:r>
        <w:rPr>
          <w:color w:val="231F20"/>
        </w:rPr>
        <w:t>de</w:t>
      </w:r>
      <w:r>
        <w:rPr>
          <w:color w:val="231F20"/>
          <w:spacing w:val="-15"/>
        </w:rPr>
        <w:t> </w:t>
      </w:r>
      <w:r>
        <w:rPr>
          <w:color w:val="231F20"/>
        </w:rPr>
        <w:t>ma</w:t>
      </w:r>
      <w:r>
        <w:rPr>
          <w:color w:val="231F20"/>
          <w:spacing w:val="-14"/>
        </w:rPr>
        <w:t> </w:t>
      </w:r>
      <w:r>
        <w:rPr>
          <w:color w:val="231F20"/>
        </w:rPr>
        <w:t>chambre</w:t>
      </w:r>
      <w:r>
        <w:rPr>
          <w:color w:val="231F20"/>
          <w:spacing w:val="-14"/>
        </w:rPr>
        <w:t> </w:t>
      </w:r>
      <w:r>
        <w:rPr>
          <w:color w:val="231F20"/>
        </w:rPr>
        <w:t>à</w:t>
      </w:r>
      <w:r>
        <w:rPr>
          <w:color w:val="231F20"/>
          <w:spacing w:val="-15"/>
        </w:rPr>
        <w:t> </w:t>
      </w:r>
      <w:r>
        <w:rPr>
          <w:color w:val="231F20"/>
        </w:rPr>
        <w:t>coucher</w:t>
      </w:r>
      <w:r>
        <w:rPr>
          <w:color w:val="231F20"/>
          <w:spacing w:val="-15"/>
        </w:rPr>
        <w:t> </w:t>
      </w:r>
      <w:r>
        <w:rPr>
          <w:color w:val="231F20"/>
        </w:rPr>
        <w:t>est violemment</w:t>
      </w:r>
      <w:r>
        <w:rPr>
          <w:color w:val="231F20"/>
          <w:spacing w:val="-2"/>
        </w:rPr>
        <w:t> </w:t>
      </w:r>
      <w:r>
        <w:rPr>
          <w:color w:val="231F20"/>
        </w:rPr>
        <w:t>ouverte.</w:t>
      </w:r>
      <w:r>
        <w:rPr>
          <w:color w:val="231F20"/>
          <w:spacing w:val="-2"/>
        </w:rPr>
        <w:t> </w:t>
      </w:r>
      <w:r>
        <w:rPr>
          <w:color w:val="231F20"/>
        </w:rPr>
        <w:t>Le</w:t>
      </w:r>
      <w:r>
        <w:rPr>
          <w:color w:val="231F20"/>
          <w:spacing w:val="-5"/>
        </w:rPr>
        <w:t> </w:t>
      </w:r>
      <w:r>
        <w:rPr>
          <w:color w:val="231F20"/>
        </w:rPr>
        <w:t>bruit</w:t>
      </w:r>
      <w:r>
        <w:rPr>
          <w:color w:val="231F20"/>
          <w:spacing w:val="-4"/>
        </w:rPr>
        <w:t> </w:t>
      </w:r>
      <w:r>
        <w:rPr>
          <w:color w:val="231F20"/>
        </w:rPr>
        <w:t>me</w:t>
      </w:r>
      <w:r>
        <w:rPr>
          <w:color w:val="231F20"/>
          <w:spacing w:val="-3"/>
        </w:rPr>
        <w:t> </w:t>
      </w:r>
      <w:r>
        <w:rPr>
          <w:color w:val="231F20"/>
        </w:rPr>
        <w:t>fait</w:t>
      </w:r>
      <w:r>
        <w:rPr>
          <w:color w:val="231F20"/>
          <w:spacing w:val="-2"/>
        </w:rPr>
        <w:t> </w:t>
      </w:r>
      <w:r>
        <w:rPr>
          <w:color w:val="231F20"/>
        </w:rPr>
        <w:t>sortir</w:t>
      </w:r>
      <w:r>
        <w:rPr>
          <w:color w:val="231F20"/>
          <w:spacing w:val="-5"/>
        </w:rPr>
        <w:t> </w:t>
      </w:r>
      <w:r>
        <w:rPr>
          <w:color w:val="231F20"/>
        </w:rPr>
        <w:t>brutalement</w:t>
      </w:r>
      <w:r>
        <w:rPr>
          <w:color w:val="231F20"/>
          <w:spacing w:val="-2"/>
        </w:rPr>
        <w:t> </w:t>
      </w:r>
      <w:r>
        <w:rPr>
          <w:color w:val="231F20"/>
        </w:rPr>
        <w:t>de</w:t>
      </w:r>
      <w:r>
        <w:rPr>
          <w:color w:val="231F20"/>
          <w:spacing w:val="-2"/>
        </w:rPr>
        <w:t> </w:t>
      </w:r>
      <w:r>
        <w:rPr>
          <w:color w:val="231F20"/>
        </w:rPr>
        <w:t>la</w:t>
      </w:r>
      <w:r>
        <w:rPr>
          <w:color w:val="231F20"/>
          <w:spacing w:val="-3"/>
        </w:rPr>
        <w:t> </w:t>
      </w:r>
      <w:r>
        <w:rPr>
          <w:color w:val="231F20"/>
        </w:rPr>
        <w:t>sieste.</w:t>
      </w:r>
      <w:r>
        <w:rPr>
          <w:color w:val="231F20"/>
          <w:spacing w:val="-5"/>
        </w:rPr>
        <w:t> </w:t>
      </w:r>
      <w:r>
        <w:rPr>
          <w:color w:val="231F20"/>
        </w:rPr>
        <w:t>La </w:t>
      </w:r>
      <w:r>
        <w:rPr>
          <w:color w:val="231F20"/>
          <w:spacing w:val="-4"/>
        </w:rPr>
        <w:t>veille,</w:t>
      </w:r>
      <w:r>
        <w:rPr>
          <w:color w:val="231F20"/>
          <w:spacing w:val="-11"/>
        </w:rPr>
        <w:t> </w:t>
      </w:r>
      <w:r>
        <w:rPr>
          <w:color w:val="231F20"/>
          <w:spacing w:val="-4"/>
        </w:rPr>
        <w:t>le</w:t>
      </w:r>
      <w:r>
        <w:rPr>
          <w:color w:val="231F20"/>
          <w:spacing w:val="-11"/>
        </w:rPr>
        <w:t> </w:t>
      </w:r>
      <w:r>
        <w:rPr>
          <w:color w:val="231F20"/>
          <w:spacing w:val="-4"/>
        </w:rPr>
        <w:t>président</w:t>
      </w:r>
      <w:r>
        <w:rPr>
          <w:color w:val="231F20"/>
          <w:spacing w:val="-11"/>
        </w:rPr>
        <w:t> </w:t>
      </w:r>
      <w:r>
        <w:rPr>
          <w:color w:val="231F20"/>
          <w:spacing w:val="-4"/>
        </w:rPr>
        <w:t>Laurent</w:t>
      </w:r>
      <w:r>
        <w:rPr>
          <w:color w:val="231F20"/>
          <w:spacing w:val="-11"/>
        </w:rPr>
        <w:t> </w:t>
      </w:r>
      <w:r>
        <w:rPr>
          <w:color w:val="231F20"/>
          <w:spacing w:val="-4"/>
        </w:rPr>
        <w:t>Gbagbo</w:t>
      </w:r>
      <w:r>
        <w:rPr>
          <w:color w:val="231F20"/>
          <w:spacing w:val="-11"/>
        </w:rPr>
        <w:t> </w:t>
      </w:r>
      <w:r>
        <w:rPr>
          <w:color w:val="231F20"/>
          <w:spacing w:val="-4"/>
        </w:rPr>
        <w:t>et</w:t>
      </w:r>
      <w:r>
        <w:rPr>
          <w:color w:val="231F20"/>
          <w:spacing w:val="-11"/>
        </w:rPr>
        <w:t> </w:t>
      </w:r>
      <w:r>
        <w:rPr>
          <w:color w:val="231F20"/>
          <w:spacing w:val="-4"/>
        </w:rPr>
        <w:t>son</w:t>
      </w:r>
      <w:r>
        <w:rPr>
          <w:color w:val="231F20"/>
          <w:spacing w:val="-11"/>
        </w:rPr>
        <w:t> </w:t>
      </w:r>
      <w:r>
        <w:rPr>
          <w:color w:val="231F20"/>
          <w:spacing w:val="-4"/>
        </w:rPr>
        <w:t>épouse</w:t>
      </w:r>
      <w:r>
        <w:rPr>
          <w:color w:val="231F20"/>
          <w:spacing w:val="-11"/>
        </w:rPr>
        <w:t> </w:t>
      </w:r>
      <w:r>
        <w:rPr>
          <w:color w:val="231F20"/>
          <w:spacing w:val="-4"/>
        </w:rPr>
        <w:t>ont</w:t>
      </w:r>
      <w:r>
        <w:rPr>
          <w:color w:val="231F20"/>
          <w:spacing w:val="-11"/>
        </w:rPr>
        <w:t> </w:t>
      </w:r>
      <w:r>
        <w:rPr>
          <w:color w:val="231F20"/>
          <w:spacing w:val="-4"/>
        </w:rPr>
        <w:t>été</w:t>
      </w:r>
      <w:r>
        <w:rPr>
          <w:color w:val="231F20"/>
          <w:spacing w:val="-11"/>
        </w:rPr>
        <w:t> </w:t>
      </w:r>
      <w:r>
        <w:rPr>
          <w:color w:val="231F20"/>
          <w:spacing w:val="-4"/>
        </w:rPr>
        <w:t>arrêtés</w:t>
      </w:r>
      <w:r>
        <w:rPr>
          <w:color w:val="231F20"/>
          <w:spacing w:val="-11"/>
        </w:rPr>
        <w:t> </w:t>
      </w:r>
      <w:r>
        <w:rPr>
          <w:color w:val="231F20"/>
          <w:spacing w:val="-4"/>
        </w:rPr>
        <w:t>et</w:t>
      </w:r>
      <w:r>
        <w:rPr>
          <w:color w:val="231F20"/>
          <w:spacing w:val="-11"/>
        </w:rPr>
        <w:t> </w:t>
      </w:r>
      <w:r>
        <w:rPr>
          <w:color w:val="231F20"/>
          <w:spacing w:val="-4"/>
        </w:rPr>
        <w:t>amenés </w:t>
      </w:r>
      <w:r>
        <w:rPr>
          <w:color w:val="231F20"/>
          <w:spacing w:val="-2"/>
        </w:rPr>
        <w:t>dans</w:t>
      </w:r>
      <w:r>
        <w:rPr>
          <w:color w:val="231F20"/>
          <w:spacing w:val="-8"/>
        </w:rPr>
        <w:t> </w:t>
      </w:r>
      <w:r>
        <w:rPr>
          <w:color w:val="231F20"/>
          <w:spacing w:val="-2"/>
        </w:rPr>
        <w:t>le</w:t>
      </w:r>
      <w:r>
        <w:rPr>
          <w:color w:val="231F20"/>
          <w:spacing w:val="-11"/>
        </w:rPr>
        <w:t> </w:t>
      </w:r>
      <w:r>
        <w:rPr>
          <w:color w:val="231F20"/>
          <w:spacing w:val="-2"/>
        </w:rPr>
        <w:t>quartier</w:t>
      </w:r>
      <w:r>
        <w:rPr>
          <w:color w:val="231F20"/>
          <w:spacing w:val="-8"/>
        </w:rPr>
        <w:t> </w:t>
      </w:r>
      <w:r>
        <w:rPr>
          <w:color w:val="231F20"/>
          <w:spacing w:val="-2"/>
        </w:rPr>
        <w:t>général</w:t>
      </w:r>
      <w:r>
        <w:rPr>
          <w:color w:val="231F20"/>
          <w:spacing w:val="-8"/>
        </w:rPr>
        <w:t> </w:t>
      </w:r>
      <w:r>
        <w:rPr>
          <w:color w:val="231F20"/>
          <w:spacing w:val="-2"/>
        </w:rPr>
        <w:t>de</w:t>
      </w:r>
      <w:r>
        <w:rPr>
          <w:color w:val="231F20"/>
          <w:spacing w:val="-9"/>
        </w:rPr>
        <w:t> </w:t>
      </w:r>
      <w:r>
        <w:rPr>
          <w:color w:val="231F20"/>
          <w:spacing w:val="-2"/>
        </w:rPr>
        <w:t>son</w:t>
      </w:r>
      <w:r>
        <w:rPr>
          <w:color w:val="231F20"/>
          <w:spacing w:val="-9"/>
        </w:rPr>
        <w:t> </w:t>
      </w:r>
      <w:r>
        <w:rPr>
          <w:color w:val="231F20"/>
          <w:spacing w:val="-2"/>
        </w:rPr>
        <w:t>rival</w:t>
      </w:r>
      <w:r>
        <w:rPr>
          <w:color w:val="231F20"/>
          <w:spacing w:val="-10"/>
        </w:rPr>
        <w:t> </w:t>
      </w:r>
      <w:r>
        <w:rPr>
          <w:color w:val="231F20"/>
          <w:spacing w:val="-2"/>
        </w:rPr>
        <w:t>Alassane</w:t>
      </w:r>
      <w:r>
        <w:rPr>
          <w:color w:val="231F20"/>
          <w:spacing w:val="-8"/>
        </w:rPr>
        <w:t> </w:t>
      </w:r>
      <w:r>
        <w:rPr>
          <w:color w:val="231F20"/>
          <w:spacing w:val="-2"/>
        </w:rPr>
        <w:t>Ouattara.</w:t>
      </w:r>
      <w:r>
        <w:rPr>
          <w:color w:val="231F20"/>
          <w:spacing w:val="-8"/>
        </w:rPr>
        <w:t> </w:t>
      </w:r>
      <w:r>
        <w:rPr>
          <w:color w:val="231F20"/>
          <w:spacing w:val="-2"/>
        </w:rPr>
        <w:t>Toute</w:t>
      </w:r>
      <w:r>
        <w:rPr>
          <w:color w:val="231F20"/>
          <w:spacing w:val="-11"/>
        </w:rPr>
        <w:t> </w:t>
      </w:r>
      <w:r>
        <w:rPr>
          <w:color w:val="231F20"/>
          <w:spacing w:val="-2"/>
        </w:rPr>
        <w:t>la</w:t>
      </w:r>
      <w:r>
        <w:rPr>
          <w:color w:val="231F20"/>
          <w:spacing w:val="-12"/>
        </w:rPr>
        <w:t> </w:t>
      </w:r>
      <w:r>
        <w:rPr>
          <w:color w:val="231F20"/>
          <w:spacing w:val="-2"/>
        </w:rPr>
        <w:t>semaine avant</w:t>
      </w:r>
      <w:r>
        <w:rPr>
          <w:color w:val="231F20"/>
          <w:spacing w:val="-4"/>
        </w:rPr>
        <w:t> </w:t>
      </w:r>
      <w:r>
        <w:rPr>
          <w:color w:val="231F20"/>
          <w:spacing w:val="-2"/>
        </w:rPr>
        <w:t>cette</w:t>
      </w:r>
      <w:r>
        <w:rPr>
          <w:color w:val="231F20"/>
          <w:spacing w:val="-4"/>
        </w:rPr>
        <w:t> </w:t>
      </w:r>
      <w:r>
        <w:rPr>
          <w:color w:val="231F20"/>
          <w:spacing w:val="-2"/>
        </w:rPr>
        <w:t>arrestation,</w:t>
      </w:r>
      <w:r>
        <w:rPr>
          <w:color w:val="231F20"/>
          <w:spacing w:val="-6"/>
        </w:rPr>
        <w:t> </w:t>
      </w:r>
      <w:r>
        <w:rPr>
          <w:color w:val="231F20"/>
          <w:spacing w:val="-2"/>
        </w:rPr>
        <w:t>nous,</w:t>
      </w:r>
      <w:r>
        <w:rPr>
          <w:color w:val="231F20"/>
          <w:spacing w:val="-4"/>
        </w:rPr>
        <w:t> </w:t>
      </w:r>
      <w:r>
        <w:rPr>
          <w:color w:val="231F20"/>
          <w:spacing w:val="-2"/>
        </w:rPr>
        <w:t>habitants</w:t>
      </w:r>
      <w:r>
        <w:rPr>
          <w:color w:val="231F20"/>
          <w:spacing w:val="-6"/>
        </w:rPr>
        <w:t> </w:t>
      </w:r>
      <w:r>
        <w:rPr>
          <w:color w:val="231F20"/>
          <w:spacing w:val="-2"/>
        </w:rPr>
        <w:t>de</w:t>
      </w:r>
      <w:r>
        <w:rPr>
          <w:color w:val="231F20"/>
          <w:spacing w:val="-6"/>
        </w:rPr>
        <w:t> </w:t>
      </w:r>
      <w:r>
        <w:rPr>
          <w:color w:val="231F20"/>
          <w:spacing w:val="-2"/>
        </w:rPr>
        <w:t>Cocody-Angré</w:t>
      </w:r>
      <w:r>
        <w:rPr>
          <w:color w:val="231F20"/>
          <w:spacing w:val="-2"/>
          <w:vertAlign w:val="superscript"/>
        </w:rPr>
        <w:t>209</w:t>
      </w:r>
      <w:r>
        <w:rPr>
          <w:color w:val="231F20"/>
          <w:spacing w:val="-9"/>
          <w:vertAlign w:val="baseline"/>
        </w:rPr>
        <w:t> </w:t>
      </w:r>
      <w:r>
        <w:rPr>
          <w:color w:val="231F20"/>
          <w:spacing w:val="-2"/>
          <w:vertAlign w:val="baseline"/>
        </w:rPr>
        <w:t>n’avions</w:t>
      </w:r>
      <w:r>
        <w:rPr>
          <w:color w:val="231F20"/>
          <w:spacing w:val="-6"/>
          <w:vertAlign w:val="baseline"/>
        </w:rPr>
        <w:t> </w:t>
      </w:r>
      <w:r>
        <w:rPr>
          <w:color w:val="231F20"/>
          <w:spacing w:val="-2"/>
          <w:vertAlign w:val="baseline"/>
        </w:rPr>
        <w:t>pas </w:t>
      </w:r>
      <w:r>
        <w:rPr>
          <w:color w:val="231F20"/>
          <w:vertAlign w:val="baseline"/>
        </w:rPr>
        <w:t>fermé l’œil</w:t>
      </w:r>
      <w:r>
        <w:rPr>
          <w:color w:val="231F20"/>
          <w:spacing w:val="-15"/>
          <w:vertAlign w:val="baseline"/>
        </w:rPr>
        <w:t> </w:t>
      </w:r>
      <w:r>
        <w:rPr>
          <w:color w:val="231F20"/>
          <w:vertAlign w:val="baseline"/>
        </w:rPr>
        <w:t>: les bombes lancées par l’aviation française nous avaient laissé éveillés.</w:t>
      </w:r>
    </w:p>
    <w:p>
      <w:pPr>
        <w:pStyle w:val="BodyText"/>
        <w:spacing w:before="120"/>
        <w:ind w:right="104" w:firstLine="283"/>
      </w:pPr>
      <w:r>
        <w:rPr>
          <w:color w:val="231F20"/>
        </w:rPr>
        <w:t>Deux</w:t>
      </w:r>
      <w:r>
        <w:rPr>
          <w:color w:val="231F20"/>
          <w:spacing w:val="-15"/>
        </w:rPr>
        <w:t> </w:t>
      </w:r>
      <w:r>
        <w:rPr>
          <w:color w:val="231F20"/>
        </w:rPr>
        <w:t>hommes</w:t>
      </w:r>
      <w:r>
        <w:rPr>
          <w:color w:val="231F20"/>
          <w:spacing w:val="-15"/>
        </w:rPr>
        <w:t> </w:t>
      </w:r>
      <w:r>
        <w:rPr>
          <w:color w:val="231F20"/>
        </w:rPr>
        <w:t>en</w:t>
      </w:r>
      <w:r>
        <w:rPr>
          <w:color w:val="231F20"/>
          <w:spacing w:val="-15"/>
        </w:rPr>
        <w:t> </w:t>
      </w:r>
      <w:r>
        <w:rPr>
          <w:color w:val="231F20"/>
        </w:rPr>
        <w:t>treillis</w:t>
      </w:r>
      <w:r>
        <w:rPr>
          <w:color w:val="231F20"/>
          <w:spacing w:val="-15"/>
        </w:rPr>
        <w:t> </w:t>
      </w:r>
      <w:r>
        <w:rPr>
          <w:color w:val="231F20"/>
        </w:rPr>
        <w:t>militaire</w:t>
      </w:r>
      <w:r>
        <w:rPr>
          <w:color w:val="231F20"/>
          <w:spacing w:val="-15"/>
        </w:rPr>
        <w:t> </w:t>
      </w:r>
      <w:r>
        <w:rPr>
          <w:color w:val="231F20"/>
        </w:rPr>
        <w:t>tiennent</w:t>
      </w:r>
      <w:r>
        <w:rPr>
          <w:color w:val="231F20"/>
          <w:spacing w:val="-15"/>
        </w:rPr>
        <w:t> </w:t>
      </w:r>
      <w:r>
        <w:rPr>
          <w:color w:val="231F20"/>
        </w:rPr>
        <w:t>en</w:t>
      </w:r>
      <w:r>
        <w:rPr>
          <w:color w:val="231F20"/>
          <w:spacing w:val="-15"/>
        </w:rPr>
        <w:t> </w:t>
      </w:r>
      <w:r>
        <w:rPr>
          <w:color w:val="231F20"/>
        </w:rPr>
        <w:t>joue</w:t>
      </w:r>
      <w:r>
        <w:rPr>
          <w:color w:val="231F20"/>
          <w:spacing w:val="-15"/>
        </w:rPr>
        <w:t> </w:t>
      </w:r>
      <w:r>
        <w:rPr>
          <w:color w:val="231F20"/>
        </w:rPr>
        <w:t>mon</w:t>
      </w:r>
      <w:r>
        <w:rPr>
          <w:color w:val="231F20"/>
          <w:spacing w:val="-15"/>
        </w:rPr>
        <w:t> </w:t>
      </w:r>
      <w:r>
        <w:rPr>
          <w:color w:val="231F20"/>
        </w:rPr>
        <w:t>épouse,</w:t>
      </w:r>
      <w:r>
        <w:rPr>
          <w:color w:val="231F20"/>
          <w:spacing w:val="-15"/>
        </w:rPr>
        <w:t> </w:t>
      </w:r>
      <w:r>
        <w:rPr>
          <w:color w:val="231F20"/>
        </w:rPr>
        <w:t>notre fils de 18 ans et notre nièce de 5 ans</w:t>
      </w:r>
      <w:r>
        <w:rPr>
          <w:color w:val="231F20"/>
          <w:spacing w:val="-14"/>
        </w:rPr>
        <w:t> </w:t>
      </w:r>
      <w:r>
        <w:rPr>
          <w:color w:val="231F20"/>
        </w:rPr>
        <w:t>:«</w:t>
      </w:r>
      <w:r>
        <w:rPr>
          <w:color w:val="231F20"/>
          <w:spacing w:val="-15"/>
        </w:rPr>
        <w:t> </w:t>
      </w:r>
      <w:r>
        <w:rPr>
          <w:color w:val="231F20"/>
        </w:rPr>
        <w:t>c’est vous-là qui ne voulez pas qu’un Mossi</w:t>
      </w:r>
      <w:r>
        <w:rPr>
          <w:color w:val="231F20"/>
          <w:spacing w:val="-15"/>
        </w:rPr>
        <w:t> </w:t>
      </w:r>
      <w:r>
        <w:rPr>
          <w:color w:val="231F20"/>
          <w:vertAlign w:val="superscript"/>
        </w:rPr>
        <w:t>210</w:t>
      </w:r>
      <w:r>
        <w:rPr>
          <w:color w:val="231F20"/>
          <w:vertAlign w:val="baseline"/>
        </w:rPr>
        <w:t> soit président</w:t>
      </w:r>
      <w:r>
        <w:rPr>
          <w:color w:val="231F20"/>
          <w:spacing w:val="-11"/>
          <w:vertAlign w:val="baseline"/>
        </w:rPr>
        <w:t> </w:t>
      </w:r>
      <w:r>
        <w:rPr>
          <w:color w:val="231F20"/>
          <w:vertAlign w:val="baseline"/>
        </w:rPr>
        <w:t>?</w:t>
      </w:r>
      <w:r>
        <w:rPr>
          <w:color w:val="231F20"/>
          <w:spacing w:val="-13"/>
          <w:vertAlign w:val="baseline"/>
        </w:rPr>
        <w:t> </w:t>
      </w:r>
      <w:r>
        <w:rPr>
          <w:color w:val="231F20"/>
          <w:vertAlign w:val="baseline"/>
        </w:rPr>
        <w:t>» me lance celui qui semble le chef. Pendant qu’il parle, son arme, une kalachnivov pointée sur nous, son </w:t>
      </w:r>
      <w:r>
        <w:rPr>
          <w:color w:val="231F20"/>
          <w:spacing w:val="-4"/>
          <w:vertAlign w:val="baseline"/>
        </w:rPr>
        <w:t>second</w:t>
      </w:r>
      <w:r>
        <w:rPr>
          <w:color w:val="231F20"/>
          <w:spacing w:val="-3"/>
          <w:vertAlign w:val="baseline"/>
        </w:rPr>
        <w:t> </w:t>
      </w:r>
      <w:r>
        <w:rPr>
          <w:color w:val="231F20"/>
          <w:spacing w:val="-4"/>
          <w:vertAlign w:val="baseline"/>
        </w:rPr>
        <w:t>retourne</w:t>
      </w:r>
      <w:r>
        <w:rPr>
          <w:color w:val="231F20"/>
          <w:spacing w:val="-3"/>
          <w:vertAlign w:val="baseline"/>
        </w:rPr>
        <w:t> </w:t>
      </w:r>
      <w:r>
        <w:rPr>
          <w:color w:val="231F20"/>
          <w:spacing w:val="-4"/>
          <w:vertAlign w:val="baseline"/>
        </w:rPr>
        <w:t>en</w:t>
      </w:r>
      <w:r>
        <w:rPr>
          <w:color w:val="231F20"/>
          <w:spacing w:val="-3"/>
          <w:vertAlign w:val="baseline"/>
        </w:rPr>
        <w:t> </w:t>
      </w:r>
      <w:r>
        <w:rPr>
          <w:color w:val="231F20"/>
          <w:spacing w:val="-4"/>
          <w:vertAlign w:val="baseline"/>
        </w:rPr>
        <w:t>sens</w:t>
      </w:r>
      <w:r>
        <w:rPr>
          <w:color w:val="231F20"/>
          <w:spacing w:val="-3"/>
          <w:vertAlign w:val="baseline"/>
        </w:rPr>
        <w:t> </w:t>
      </w:r>
      <w:r>
        <w:rPr>
          <w:color w:val="231F20"/>
          <w:spacing w:val="-4"/>
          <w:vertAlign w:val="baseline"/>
        </w:rPr>
        <w:t>dessus,</w:t>
      </w:r>
      <w:r>
        <w:rPr>
          <w:color w:val="231F20"/>
          <w:spacing w:val="-3"/>
          <w:vertAlign w:val="baseline"/>
        </w:rPr>
        <w:t> </w:t>
      </w:r>
      <w:r>
        <w:rPr>
          <w:color w:val="231F20"/>
          <w:spacing w:val="-4"/>
          <w:vertAlign w:val="baseline"/>
        </w:rPr>
        <w:t>dessous</w:t>
      </w:r>
      <w:r>
        <w:rPr>
          <w:color w:val="231F20"/>
          <w:spacing w:val="-3"/>
          <w:vertAlign w:val="baseline"/>
        </w:rPr>
        <w:t> </w:t>
      </w:r>
      <w:r>
        <w:rPr>
          <w:color w:val="231F20"/>
          <w:spacing w:val="-4"/>
          <w:vertAlign w:val="baseline"/>
        </w:rPr>
        <w:t>notre chambre à</w:t>
      </w:r>
      <w:r>
        <w:rPr>
          <w:color w:val="231F20"/>
          <w:spacing w:val="-5"/>
          <w:vertAlign w:val="baseline"/>
        </w:rPr>
        <w:t> </w:t>
      </w:r>
      <w:r>
        <w:rPr>
          <w:color w:val="231F20"/>
          <w:spacing w:val="-4"/>
          <w:vertAlign w:val="baseline"/>
        </w:rPr>
        <w:t>la recherche</w:t>
      </w:r>
      <w:r>
        <w:rPr>
          <w:color w:val="231F20"/>
          <w:spacing w:val="-1"/>
          <w:vertAlign w:val="baseline"/>
        </w:rPr>
        <w:t> </w:t>
      </w:r>
      <w:r>
        <w:rPr>
          <w:color w:val="231F20"/>
          <w:spacing w:val="-4"/>
          <w:vertAlign w:val="baseline"/>
        </w:rPr>
        <w:t>dit-</w:t>
      </w:r>
    </w:p>
    <w:p>
      <w:pPr>
        <w:pStyle w:val="BodyText"/>
        <w:spacing w:before="172"/>
        <w:ind w:left="0"/>
        <w:jc w:val="left"/>
        <w:rPr>
          <w:sz w:val="20"/>
        </w:rPr>
      </w:pPr>
      <w:r>
        <w:rPr/>
        <mc:AlternateContent>
          <mc:Choice Requires="wps">
            <w:drawing>
              <wp:anchor distT="0" distB="0" distL="0" distR="0" allowOverlap="1" layoutInCell="1" locked="0" behindDoc="1" simplePos="0" relativeHeight="487652352">
                <wp:simplePos x="0" y="0"/>
                <wp:positionH relativeFrom="page">
                  <wp:posOffset>629907</wp:posOffset>
                </wp:positionH>
                <wp:positionV relativeFrom="paragraph">
                  <wp:posOffset>271103</wp:posOffset>
                </wp:positionV>
                <wp:extent cx="1829435" cy="9525"/>
                <wp:effectExtent l="0" t="0" r="0" b="0"/>
                <wp:wrapTopAndBottom/>
                <wp:docPr id="155" name="Graphic 155"/>
                <wp:cNvGraphicFramePr>
                  <a:graphicFrameLocks/>
                </wp:cNvGraphicFramePr>
                <a:graphic>
                  <a:graphicData uri="http://schemas.microsoft.com/office/word/2010/wordprocessingShape">
                    <wps:wsp>
                      <wps:cNvPr id="155" name="Graphic 15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1.346739pt;width:144.020pt;height:.71994pt;mso-position-horizontal-relative:page;mso-position-vertical-relative:paragraph;z-index:-15664128;mso-wrap-distance-left:0;mso-wrap-distance-right:0" id="docshape153" filled="true" fillcolor="#231f20" stroked="false">
                <v:fill type="solid"/>
                <w10:wrap type="topAndBottom"/>
              </v:rect>
            </w:pict>
          </mc:Fallback>
        </mc:AlternateContent>
      </w:r>
    </w:p>
    <w:p>
      <w:pPr>
        <w:spacing w:before="91"/>
        <w:ind w:left="111" w:right="0" w:firstLine="0"/>
        <w:jc w:val="left"/>
        <w:rPr>
          <w:sz w:val="20"/>
        </w:rPr>
      </w:pPr>
      <w:r>
        <w:rPr>
          <w:color w:val="231F20"/>
          <w:spacing w:val="-4"/>
          <w:sz w:val="20"/>
          <w:vertAlign w:val="superscript"/>
        </w:rPr>
        <w:t>209</w:t>
      </w:r>
      <w:r>
        <w:rPr>
          <w:color w:val="231F20"/>
          <w:spacing w:val="-15"/>
          <w:sz w:val="20"/>
          <w:vertAlign w:val="baseline"/>
        </w:rPr>
        <w:t> </w:t>
      </w:r>
      <w:r>
        <w:rPr>
          <w:color w:val="231F20"/>
          <w:spacing w:val="-4"/>
          <w:sz w:val="20"/>
          <w:vertAlign w:val="baseline"/>
        </w:rPr>
        <w:t>Commune</w:t>
      </w:r>
      <w:r>
        <w:rPr>
          <w:color w:val="231F20"/>
          <w:sz w:val="20"/>
          <w:vertAlign w:val="baseline"/>
        </w:rPr>
        <w:t> </w:t>
      </w:r>
      <w:r>
        <w:rPr>
          <w:color w:val="231F20"/>
          <w:spacing w:val="-4"/>
          <w:sz w:val="20"/>
          <w:vertAlign w:val="baseline"/>
        </w:rPr>
        <w:t>de</w:t>
      </w:r>
      <w:r>
        <w:rPr>
          <w:color w:val="231F20"/>
          <w:spacing w:val="-2"/>
          <w:sz w:val="20"/>
          <w:vertAlign w:val="baseline"/>
        </w:rPr>
        <w:t> </w:t>
      </w:r>
      <w:r>
        <w:rPr>
          <w:color w:val="231F20"/>
          <w:spacing w:val="-4"/>
          <w:sz w:val="20"/>
          <w:vertAlign w:val="baseline"/>
        </w:rPr>
        <w:t>Cocody.</w:t>
      </w:r>
    </w:p>
    <w:p>
      <w:pPr>
        <w:spacing w:before="1"/>
        <w:ind w:left="111" w:right="0" w:firstLine="0"/>
        <w:jc w:val="left"/>
        <w:rPr>
          <w:sz w:val="20"/>
        </w:rPr>
      </w:pPr>
      <w:r>
        <w:rPr>
          <w:color w:val="231F20"/>
          <w:spacing w:val="-4"/>
          <w:sz w:val="20"/>
          <w:vertAlign w:val="superscript"/>
        </w:rPr>
        <w:t>210</w:t>
      </w:r>
      <w:r>
        <w:rPr>
          <w:color w:val="231F20"/>
          <w:spacing w:val="3"/>
          <w:sz w:val="20"/>
          <w:vertAlign w:val="baseline"/>
        </w:rPr>
        <w:t> </w:t>
      </w:r>
      <w:r>
        <w:rPr>
          <w:color w:val="231F20"/>
          <w:spacing w:val="-4"/>
          <w:sz w:val="20"/>
          <w:vertAlign w:val="baseline"/>
        </w:rPr>
        <w:t>Ethnie</w:t>
      </w:r>
      <w:r>
        <w:rPr>
          <w:color w:val="231F20"/>
          <w:spacing w:val="-12"/>
          <w:sz w:val="20"/>
          <w:vertAlign w:val="baseline"/>
        </w:rPr>
        <w:t> </w:t>
      </w:r>
      <w:r>
        <w:rPr>
          <w:color w:val="231F20"/>
          <w:spacing w:val="-4"/>
          <w:sz w:val="20"/>
          <w:vertAlign w:val="baseline"/>
        </w:rPr>
        <w:t>majoritaire</w:t>
      </w:r>
      <w:r>
        <w:rPr>
          <w:color w:val="231F20"/>
          <w:spacing w:val="-12"/>
          <w:sz w:val="20"/>
          <w:vertAlign w:val="baseline"/>
        </w:rPr>
        <w:t> </w:t>
      </w:r>
      <w:r>
        <w:rPr>
          <w:color w:val="231F20"/>
          <w:spacing w:val="-4"/>
          <w:sz w:val="20"/>
          <w:vertAlign w:val="baseline"/>
        </w:rPr>
        <w:t>du</w:t>
      </w:r>
      <w:r>
        <w:rPr>
          <w:color w:val="231F20"/>
          <w:spacing w:val="-9"/>
          <w:sz w:val="20"/>
          <w:vertAlign w:val="baseline"/>
        </w:rPr>
        <w:t> </w:t>
      </w:r>
      <w:r>
        <w:rPr>
          <w:color w:val="231F20"/>
          <w:spacing w:val="-4"/>
          <w:sz w:val="20"/>
          <w:vertAlign w:val="baseline"/>
        </w:rPr>
        <w:t>Burkina</w:t>
      </w:r>
      <w:r>
        <w:rPr>
          <w:color w:val="231F20"/>
          <w:spacing w:val="-12"/>
          <w:sz w:val="20"/>
          <w:vertAlign w:val="baseline"/>
        </w:rPr>
        <w:t> </w:t>
      </w:r>
      <w:r>
        <w:rPr>
          <w:color w:val="231F20"/>
          <w:spacing w:val="-4"/>
          <w:sz w:val="20"/>
          <w:vertAlign w:val="baseline"/>
        </w:rPr>
        <w:t>Faso(plus</w:t>
      </w:r>
      <w:r>
        <w:rPr>
          <w:color w:val="231F20"/>
          <w:spacing w:val="-15"/>
          <w:sz w:val="20"/>
          <w:vertAlign w:val="baseline"/>
        </w:rPr>
        <w:t> </w:t>
      </w:r>
      <w:r>
        <w:rPr>
          <w:color w:val="231F20"/>
          <w:spacing w:val="-4"/>
          <w:sz w:val="20"/>
          <w:vertAlign w:val="baseline"/>
        </w:rPr>
        <w:t>de</w:t>
      </w:r>
      <w:r>
        <w:rPr>
          <w:color w:val="231F20"/>
          <w:spacing w:val="-10"/>
          <w:sz w:val="20"/>
          <w:vertAlign w:val="baseline"/>
        </w:rPr>
        <w:t> </w:t>
      </w:r>
      <w:r>
        <w:rPr>
          <w:color w:val="231F20"/>
          <w:spacing w:val="-4"/>
          <w:sz w:val="20"/>
          <w:vertAlign w:val="baseline"/>
        </w:rPr>
        <w:t>52</w:t>
      </w:r>
      <w:r>
        <w:rPr>
          <w:color w:val="231F20"/>
          <w:spacing w:val="2"/>
          <w:sz w:val="20"/>
          <w:vertAlign w:val="baseline"/>
        </w:rPr>
        <w:t> </w:t>
      </w:r>
      <w:r>
        <w:rPr>
          <w:color w:val="231F20"/>
          <w:spacing w:val="-4"/>
          <w:sz w:val="20"/>
          <w:vertAlign w:val="baseline"/>
        </w:rPr>
        <w:t>%</w:t>
      </w:r>
      <w:r>
        <w:rPr>
          <w:color w:val="231F20"/>
          <w:spacing w:val="-13"/>
          <w:sz w:val="20"/>
          <w:vertAlign w:val="baseline"/>
        </w:rPr>
        <w:t> </w:t>
      </w:r>
      <w:r>
        <w:rPr>
          <w:color w:val="231F20"/>
          <w:spacing w:val="-4"/>
          <w:sz w:val="20"/>
          <w:vertAlign w:val="baseline"/>
        </w:rPr>
        <w:t>de</w:t>
      </w:r>
      <w:r>
        <w:rPr>
          <w:color w:val="231F20"/>
          <w:spacing w:val="-10"/>
          <w:sz w:val="20"/>
          <w:vertAlign w:val="baseline"/>
        </w:rPr>
        <w:t> </w:t>
      </w:r>
      <w:r>
        <w:rPr>
          <w:color w:val="231F20"/>
          <w:spacing w:val="-4"/>
          <w:sz w:val="20"/>
          <w:vertAlign w:val="baseline"/>
        </w:rPr>
        <w:t>la</w:t>
      </w:r>
      <w:r>
        <w:rPr>
          <w:color w:val="231F20"/>
          <w:spacing w:val="-12"/>
          <w:sz w:val="20"/>
          <w:vertAlign w:val="baseline"/>
        </w:rPr>
        <w:t> </w:t>
      </w:r>
      <w:r>
        <w:rPr>
          <w:color w:val="231F20"/>
          <w:spacing w:val="-4"/>
          <w:sz w:val="20"/>
          <w:vertAlign w:val="baseline"/>
        </w:rPr>
        <w:t>population).</w:t>
      </w:r>
      <w:r>
        <w:rPr>
          <w:color w:val="231F20"/>
          <w:spacing w:val="-9"/>
          <w:sz w:val="20"/>
          <w:vertAlign w:val="baseline"/>
        </w:rPr>
        <w:t> </w:t>
      </w:r>
      <w:r>
        <w:rPr>
          <w:color w:val="231F20"/>
          <w:spacing w:val="-4"/>
          <w:sz w:val="20"/>
          <w:vertAlign w:val="baseline"/>
        </w:rPr>
        <w:t>Pour</w:t>
      </w:r>
      <w:r>
        <w:rPr>
          <w:color w:val="231F20"/>
          <w:spacing w:val="-10"/>
          <w:sz w:val="20"/>
          <w:vertAlign w:val="baseline"/>
        </w:rPr>
        <w:t> </w:t>
      </w:r>
      <w:r>
        <w:rPr>
          <w:color w:val="231F20"/>
          <w:spacing w:val="-4"/>
          <w:sz w:val="20"/>
          <w:vertAlign w:val="baseline"/>
        </w:rPr>
        <w:t>de</w:t>
      </w:r>
      <w:r>
        <w:rPr>
          <w:color w:val="231F20"/>
          <w:spacing w:val="-12"/>
          <w:sz w:val="20"/>
          <w:vertAlign w:val="baseline"/>
        </w:rPr>
        <w:t> </w:t>
      </w:r>
      <w:r>
        <w:rPr>
          <w:color w:val="231F20"/>
          <w:spacing w:val="-4"/>
          <w:sz w:val="20"/>
          <w:vertAlign w:val="baseline"/>
        </w:rPr>
        <w:t>nombreux</w:t>
      </w:r>
    </w:p>
    <w:p>
      <w:pPr>
        <w:spacing w:before="0"/>
        <w:ind w:left="111" w:right="0" w:firstLine="0"/>
        <w:jc w:val="left"/>
        <w:rPr>
          <w:sz w:val="20"/>
        </w:rPr>
      </w:pPr>
      <w:r>
        <w:rPr>
          <w:color w:val="231F20"/>
          <w:spacing w:val="-4"/>
          <w:sz w:val="20"/>
        </w:rPr>
        <w:t>Ivoiriens,</w:t>
      </w:r>
      <w:r>
        <w:rPr>
          <w:color w:val="231F20"/>
          <w:spacing w:val="-3"/>
          <w:sz w:val="20"/>
        </w:rPr>
        <w:t> </w:t>
      </w:r>
      <w:r>
        <w:rPr>
          <w:color w:val="231F20"/>
          <w:spacing w:val="-4"/>
          <w:sz w:val="20"/>
        </w:rPr>
        <w:t>Ouattara</w:t>
      </w:r>
      <w:r>
        <w:rPr>
          <w:color w:val="231F20"/>
          <w:spacing w:val="-2"/>
          <w:sz w:val="20"/>
        </w:rPr>
        <w:t> </w:t>
      </w:r>
      <w:r>
        <w:rPr>
          <w:color w:val="231F20"/>
          <w:spacing w:val="-4"/>
          <w:sz w:val="20"/>
        </w:rPr>
        <w:t>n’est</w:t>
      </w:r>
      <w:r>
        <w:rPr>
          <w:color w:val="231F20"/>
          <w:spacing w:val="-2"/>
          <w:sz w:val="20"/>
        </w:rPr>
        <w:t> </w:t>
      </w:r>
      <w:r>
        <w:rPr>
          <w:color w:val="231F20"/>
          <w:spacing w:val="-4"/>
          <w:sz w:val="20"/>
        </w:rPr>
        <w:t>pas</w:t>
      </w:r>
      <w:r>
        <w:rPr>
          <w:color w:val="231F20"/>
          <w:spacing w:val="-3"/>
          <w:sz w:val="20"/>
        </w:rPr>
        <w:t> </w:t>
      </w:r>
      <w:r>
        <w:rPr>
          <w:color w:val="231F20"/>
          <w:spacing w:val="-4"/>
          <w:sz w:val="20"/>
        </w:rPr>
        <w:t>Ivoirien</w:t>
      </w:r>
      <w:r>
        <w:rPr>
          <w:color w:val="231F20"/>
          <w:sz w:val="20"/>
        </w:rPr>
        <w:t> </w:t>
      </w:r>
      <w:r>
        <w:rPr>
          <w:color w:val="231F20"/>
          <w:spacing w:val="-4"/>
          <w:sz w:val="20"/>
        </w:rPr>
        <w:t>:</w:t>
      </w:r>
      <w:r>
        <w:rPr>
          <w:color w:val="231F20"/>
          <w:sz w:val="20"/>
        </w:rPr>
        <w:t> </w:t>
      </w:r>
      <w:r>
        <w:rPr>
          <w:color w:val="231F20"/>
          <w:spacing w:val="-4"/>
          <w:sz w:val="20"/>
        </w:rPr>
        <w:t>il</w:t>
      </w:r>
      <w:r>
        <w:rPr>
          <w:color w:val="231F20"/>
          <w:spacing w:val="-2"/>
          <w:sz w:val="20"/>
        </w:rPr>
        <w:t> </w:t>
      </w:r>
      <w:r>
        <w:rPr>
          <w:color w:val="231F20"/>
          <w:spacing w:val="-4"/>
          <w:sz w:val="20"/>
        </w:rPr>
        <w:t>est</w:t>
      </w:r>
      <w:r>
        <w:rPr>
          <w:color w:val="231F20"/>
          <w:spacing w:val="-2"/>
          <w:sz w:val="20"/>
        </w:rPr>
        <w:t> </w:t>
      </w:r>
      <w:r>
        <w:rPr>
          <w:color w:val="231F20"/>
          <w:spacing w:val="-4"/>
          <w:sz w:val="20"/>
        </w:rPr>
        <w:t>un</w:t>
      </w:r>
      <w:r>
        <w:rPr>
          <w:color w:val="231F20"/>
          <w:spacing w:val="-1"/>
          <w:sz w:val="20"/>
        </w:rPr>
        <w:t> </w:t>
      </w:r>
      <w:r>
        <w:rPr>
          <w:color w:val="231F20"/>
          <w:spacing w:val="-4"/>
          <w:sz w:val="20"/>
        </w:rPr>
        <w:t>burkinabé.</w:t>
      </w:r>
    </w:p>
    <w:p>
      <w:pPr>
        <w:spacing w:after="0"/>
        <w:jc w:val="left"/>
        <w:rPr>
          <w:sz w:val="20"/>
        </w:rPr>
        <w:sectPr>
          <w:pgSz w:w="8790" w:h="13610"/>
          <w:pgMar w:header="0" w:footer="802" w:top="1060" w:bottom="1000" w:left="880" w:right="880"/>
        </w:sectPr>
      </w:pPr>
    </w:p>
    <w:p>
      <w:pPr>
        <w:pStyle w:val="BodyText"/>
        <w:spacing w:before="66"/>
        <w:ind w:right="104"/>
      </w:pPr>
      <w:r>
        <w:rPr>
          <w:color w:val="231F20"/>
          <w:spacing w:val="-2"/>
        </w:rPr>
        <w:t>il</w:t>
      </w:r>
      <w:r>
        <w:rPr>
          <w:color w:val="231F20"/>
          <w:spacing w:val="-13"/>
        </w:rPr>
        <w:t> </w:t>
      </w:r>
      <w:r>
        <w:rPr>
          <w:color w:val="231F20"/>
          <w:spacing w:val="-2"/>
        </w:rPr>
        <w:t>de</w:t>
      </w:r>
      <w:r>
        <w:rPr>
          <w:color w:val="231F20"/>
          <w:spacing w:val="-13"/>
        </w:rPr>
        <w:t> </w:t>
      </w:r>
      <w:r>
        <w:rPr>
          <w:color w:val="231F20"/>
          <w:spacing w:val="-2"/>
        </w:rPr>
        <w:t>tee-shirts</w:t>
      </w:r>
      <w:r>
        <w:rPr>
          <w:color w:val="231F20"/>
          <w:spacing w:val="-13"/>
        </w:rPr>
        <w:t> </w:t>
      </w:r>
      <w:r>
        <w:rPr>
          <w:color w:val="231F20"/>
          <w:spacing w:val="-2"/>
        </w:rPr>
        <w:t>de</w:t>
      </w:r>
      <w:r>
        <w:rPr>
          <w:color w:val="231F20"/>
          <w:spacing w:val="-12"/>
        </w:rPr>
        <w:t> </w:t>
      </w:r>
      <w:r>
        <w:rPr>
          <w:color w:val="231F20"/>
          <w:spacing w:val="-2"/>
        </w:rPr>
        <w:t>Gbagbo.</w:t>
      </w:r>
      <w:r>
        <w:rPr>
          <w:color w:val="231F20"/>
          <w:spacing w:val="-12"/>
        </w:rPr>
        <w:t> </w:t>
      </w:r>
      <w:r>
        <w:rPr>
          <w:color w:val="231F20"/>
          <w:spacing w:val="-2"/>
        </w:rPr>
        <w:t>Il</w:t>
      </w:r>
      <w:r>
        <w:rPr>
          <w:color w:val="231F20"/>
          <w:spacing w:val="-11"/>
        </w:rPr>
        <w:t> </w:t>
      </w:r>
      <w:r>
        <w:rPr>
          <w:color w:val="231F20"/>
          <w:spacing w:val="-2"/>
        </w:rPr>
        <w:t>n’en</w:t>
      </w:r>
      <w:r>
        <w:rPr>
          <w:color w:val="231F20"/>
          <w:spacing w:val="-13"/>
        </w:rPr>
        <w:t> </w:t>
      </w:r>
      <w:r>
        <w:rPr>
          <w:color w:val="231F20"/>
          <w:spacing w:val="-2"/>
        </w:rPr>
        <w:t>trouve</w:t>
      </w:r>
      <w:r>
        <w:rPr>
          <w:color w:val="231F20"/>
          <w:spacing w:val="-13"/>
        </w:rPr>
        <w:t> </w:t>
      </w:r>
      <w:r>
        <w:rPr>
          <w:color w:val="231F20"/>
          <w:spacing w:val="-2"/>
        </w:rPr>
        <w:t>aucun.</w:t>
      </w:r>
      <w:r>
        <w:rPr>
          <w:color w:val="231F20"/>
          <w:spacing w:val="-13"/>
        </w:rPr>
        <w:t> </w:t>
      </w:r>
      <w:r>
        <w:rPr>
          <w:color w:val="231F20"/>
          <w:spacing w:val="-2"/>
        </w:rPr>
        <w:t>Par</w:t>
      </w:r>
      <w:r>
        <w:rPr>
          <w:color w:val="231F20"/>
          <w:spacing w:val="-13"/>
        </w:rPr>
        <w:t> </w:t>
      </w:r>
      <w:r>
        <w:rPr>
          <w:color w:val="231F20"/>
          <w:spacing w:val="-2"/>
        </w:rPr>
        <w:t>contre,</w:t>
      </w:r>
      <w:r>
        <w:rPr>
          <w:color w:val="231F20"/>
          <w:spacing w:val="-13"/>
        </w:rPr>
        <w:t> </w:t>
      </w:r>
      <w:r>
        <w:rPr>
          <w:color w:val="231F20"/>
          <w:spacing w:val="-2"/>
        </w:rPr>
        <w:t>il</w:t>
      </w:r>
      <w:r>
        <w:rPr>
          <w:color w:val="231F20"/>
          <w:spacing w:val="-13"/>
        </w:rPr>
        <w:t> </w:t>
      </w:r>
      <w:r>
        <w:rPr>
          <w:color w:val="231F20"/>
          <w:spacing w:val="-2"/>
        </w:rPr>
        <w:t>met</w:t>
      </w:r>
      <w:r>
        <w:rPr>
          <w:color w:val="231F20"/>
          <w:spacing w:val="-10"/>
        </w:rPr>
        <w:t> </w:t>
      </w:r>
      <w:r>
        <w:rPr>
          <w:color w:val="231F20"/>
          <w:spacing w:val="-2"/>
        </w:rPr>
        <w:t>la</w:t>
      </w:r>
      <w:r>
        <w:rPr>
          <w:color w:val="231F20"/>
          <w:spacing w:val="-13"/>
        </w:rPr>
        <w:t> </w:t>
      </w:r>
      <w:r>
        <w:rPr>
          <w:color w:val="231F20"/>
          <w:spacing w:val="-2"/>
        </w:rPr>
        <w:t>main </w:t>
      </w:r>
      <w:r>
        <w:rPr>
          <w:color w:val="231F20"/>
        </w:rPr>
        <w:t>sur une somme de cinq cent mille(500</w:t>
      </w:r>
      <w:r>
        <w:rPr>
          <w:color w:val="231F20"/>
          <w:spacing w:val="-14"/>
        </w:rPr>
        <w:t> </w:t>
      </w:r>
      <w:r>
        <w:rPr>
          <w:color w:val="231F20"/>
        </w:rPr>
        <w:t>000FCFA)</w:t>
      </w:r>
      <w:r>
        <w:rPr>
          <w:color w:val="231F20"/>
          <w:vertAlign w:val="superscript"/>
        </w:rPr>
        <w:t>211</w:t>
      </w:r>
      <w:r>
        <w:rPr>
          <w:color w:val="231F20"/>
          <w:spacing w:val="-9"/>
          <w:vertAlign w:val="baseline"/>
        </w:rPr>
        <w:t> </w:t>
      </w:r>
      <w:r>
        <w:rPr>
          <w:color w:val="231F20"/>
          <w:vertAlign w:val="baseline"/>
        </w:rPr>
        <w:t>dans l’armoire de mon épouse</w:t>
      </w:r>
      <w:r>
        <w:rPr>
          <w:color w:val="231F20"/>
          <w:spacing w:val="-13"/>
          <w:vertAlign w:val="baseline"/>
        </w:rPr>
        <w:t> </w:t>
      </w:r>
      <w:r>
        <w:rPr>
          <w:color w:val="231F20"/>
          <w:vertAlign w:val="baseline"/>
        </w:rPr>
        <w:t>: cette somme représentait le fruit de son commerce de pagnes</w:t>
      </w:r>
      <w:r>
        <w:rPr>
          <w:color w:val="231F20"/>
          <w:spacing w:val="-15"/>
          <w:vertAlign w:val="baseline"/>
        </w:rPr>
        <w:t> </w:t>
      </w:r>
      <w:r>
        <w:rPr>
          <w:color w:val="231F20"/>
          <w:vertAlign w:val="baseline"/>
        </w:rPr>
        <w:t>qu’elle</w:t>
      </w:r>
      <w:r>
        <w:rPr>
          <w:color w:val="231F20"/>
          <w:spacing w:val="-15"/>
          <w:vertAlign w:val="baseline"/>
        </w:rPr>
        <w:t> </w:t>
      </w:r>
      <w:r>
        <w:rPr>
          <w:color w:val="231F20"/>
          <w:vertAlign w:val="baseline"/>
        </w:rPr>
        <w:t>n’a</w:t>
      </w:r>
      <w:r>
        <w:rPr>
          <w:color w:val="231F20"/>
          <w:spacing w:val="-13"/>
          <w:vertAlign w:val="baseline"/>
        </w:rPr>
        <w:t> </w:t>
      </w:r>
      <w:r>
        <w:rPr>
          <w:color w:val="231F20"/>
          <w:vertAlign w:val="baseline"/>
        </w:rPr>
        <w:t>pas</w:t>
      </w:r>
      <w:r>
        <w:rPr>
          <w:color w:val="231F20"/>
          <w:spacing w:val="-14"/>
          <w:vertAlign w:val="baseline"/>
        </w:rPr>
        <w:t> </w:t>
      </w:r>
      <w:r>
        <w:rPr>
          <w:color w:val="231F20"/>
          <w:vertAlign w:val="baseline"/>
        </w:rPr>
        <w:t>pu</w:t>
      </w:r>
      <w:r>
        <w:rPr>
          <w:color w:val="231F20"/>
          <w:spacing w:val="-15"/>
          <w:vertAlign w:val="baseline"/>
        </w:rPr>
        <w:t> </w:t>
      </w:r>
      <w:r>
        <w:rPr>
          <w:color w:val="231F20"/>
          <w:vertAlign w:val="baseline"/>
        </w:rPr>
        <w:t>déposer</w:t>
      </w:r>
      <w:r>
        <w:rPr>
          <w:color w:val="231F20"/>
          <w:spacing w:val="-13"/>
          <w:vertAlign w:val="baseline"/>
        </w:rPr>
        <w:t> </w:t>
      </w:r>
      <w:r>
        <w:rPr>
          <w:color w:val="231F20"/>
          <w:vertAlign w:val="baseline"/>
        </w:rPr>
        <w:t>à</w:t>
      </w:r>
      <w:r>
        <w:rPr>
          <w:color w:val="231F20"/>
          <w:spacing w:val="-15"/>
          <w:vertAlign w:val="baseline"/>
        </w:rPr>
        <w:t> </w:t>
      </w:r>
      <w:r>
        <w:rPr>
          <w:color w:val="231F20"/>
          <w:vertAlign w:val="baseline"/>
        </w:rPr>
        <w:t>la</w:t>
      </w:r>
      <w:r>
        <w:rPr>
          <w:color w:val="231F20"/>
          <w:spacing w:val="-14"/>
          <w:vertAlign w:val="baseline"/>
        </w:rPr>
        <w:t> </w:t>
      </w:r>
      <w:r>
        <w:rPr>
          <w:color w:val="231F20"/>
          <w:vertAlign w:val="baseline"/>
        </w:rPr>
        <w:t>banque</w:t>
      </w:r>
      <w:r>
        <w:rPr>
          <w:color w:val="231F20"/>
          <w:spacing w:val="-15"/>
          <w:vertAlign w:val="baseline"/>
        </w:rPr>
        <w:t> </w:t>
      </w:r>
      <w:r>
        <w:rPr>
          <w:color w:val="231F20"/>
          <w:vertAlign w:val="baseline"/>
        </w:rPr>
        <w:t>du</w:t>
      </w:r>
      <w:r>
        <w:rPr>
          <w:color w:val="231F20"/>
          <w:spacing w:val="-14"/>
          <w:vertAlign w:val="baseline"/>
        </w:rPr>
        <w:t> </w:t>
      </w:r>
      <w:r>
        <w:rPr>
          <w:color w:val="231F20"/>
          <w:vertAlign w:val="baseline"/>
        </w:rPr>
        <w:t>fait</w:t>
      </w:r>
      <w:r>
        <w:rPr>
          <w:color w:val="231F20"/>
          <w:spacing w:val="-14"/>
          <w:vertAlign w:val="baseline"/>
        </w:rPr>
        <w:t> </w:t>
      </w:r>
      <w:r>
        <w:rPr>
          <w:color w:val="231F20"/>
          <w:vertAlign w:val="baseline"/>
        </w:rPr>
        <w:t>de</w:t>
      </w:r>
      <w:r>
        <w:rPr>
          <w:color w:val="231F20"/>
          <w:spacing w:val="-15"/>
          <w:vertAlign w:val="baseline"/>
        </w:rPr>
        <w:t> </w:t>
      </w:r>
      <w:r>
        <w:rPr>
          <w:color w:val="231F20"/>
          <w:vertAlign w:val="baseline"/>
        </w:rPr>
        <w:t>la</w:t>
      </w:r>
      <w:r>
        <w:rPr>
          <w:color w:val="231F20"/>
          <w:spacing w:val="-14"/>
          <w:vertAlign w:val="baseline"/>
        </w:rPr>
        <w:t> </w:t>
      </w:r>
      <w:r>
        <w:rPr>
          <w:color w:val="231F20"/>
          <w:vertAlign w:val="baseline"/>
        </w:rPr>
        <w:t>fermeture</w:t>
      </w:r>
      <w:r>
        <w:rPr>
          <w:color w:val="231F20"/>
          <w:spacing w:val="-15"/>
          <w:vertAlign w:val="baseline"/>
        </w:rPr>
        <w:t> </w:t>
      </w:r>
      <w:r>
        <w:rPr>
          <w:color w:val="231F20"/>
          <w:vertAlign w:val="baseline"/>
        </w:rPr>
        <w:t>des établissements financiers; ils font main basse sur mon ordinateur </w:t>
      </w:r>
      <w:r>
        <w:rPr>
          <w:color w:val="231F20"/>
          <w:spacing w:val="-2"/>
          <w:vertAlign w:val="baseline"/>
        </w:rPr>
        <w:t>portable</w:t>
      </w:r>
      <w:r>
        <w:rPr>
          <w:color w:val="231F20"/>
          <w:spacing w:val="-13"/>
          <w:vertAlign w:val="baseline"/>
        </w:rPr>
        <w:t> </w:t>
      </w:r>
      <w:r>
        <w:rPr>
          <w:color w:val="231F20"/>
          <w:spacing w:val="-2"/>
          <w:vertAlign w:val="baseline"/>
        </w:rPr>
        <w:t>;</w:t>
      </w:r>
      <w:r>
        <w:rPr>
          <w:color w:val="231F20"/>
          <w:spacing w:val="-13"/>
          <w:vertAlign w:val="baseline"/>
        </w:rPr>
        <w:t> </w:t>
      </w:r>
      <w:r>
        <w:rPr>
          <w:color w:val="231F20"/>
          <w:spacing w:val="-2"/>
          <w:vertAlign w:val="baseline"/>
        </w:rPr>
        <w:t>dans</w:t>
      </w:r>
      <w:r>
        <w:rPr>
          <w:color w:val="231F20"/>
          <w:spacing w:val="-13"/>
          <w:vertAlign w:val="baseline"/>
        </w:rPr>
        <w:t> </w:t>
      </w:r>
      <w:r>
        <w:rPr>
          <w:color w:val="231F20"/>
          <w:spacing w:val="-2"/>
          <w:vertAlign w:val="baseline"/>
        </w:rPr>
        <w:t>les</w:t>
      </w:r>
      <w:r>
        <w:rPr>
          <w:color w:val="231F20"/>
          <w:spacing w:val="-12"/>
          <w:vertAlign w:val="baseline"/>
        </w:rPr>
        <w:t> </w:t>
      </w:r>
      <w:r>
        <w:rPr>
          <w:color w:val="231F20"/>
          <w:spacing w:val="-2"/>
          <w:vertAlign w:val="baseline"/>
        </w:rPr>
        <w:t>deux</w:t>
      </w:r>
      <w:r>
        <w:rPr>
          <w:color w:val="231F20"/>
          <w:spacing w:val="-13"/>
          <w:vertAlign w:val="baseline"/>
        </w:rPr>
        <w:t> </w:t>
      </w:r>
      <w:r>
        <w:rPr>
          <w:color w:val="231F20"/>
          <w:spacing w:val="-2"/>
          <w:vertAlign w:val="baseline"/>
        </w:rPr>
        <w:t>chambres</w:t>
      </w:r>
      <w:r>
        <w:rPr>
          <w:color w:val="231F20"/>
          <w:spacing w:val="-13"/>
          <w:vertAlign w:val="baseline"/>
        </w:rPr>
        <w:t> </w:t>
      </w:r>
      <w:r>
        <w:rPr>
          <w:color w:val="231F20"/>
          <w:spacing w:val="-2"/>
          <w:vertAlign w:val="baseline"/>
        </w:rPr>
        <w:t>des</w:t>
      </w:r>
      <w:r>
        <w:rPr>
          <w:color w:val="231F20"/>
          <w:spacing w:val="-12"/>
          <w:vertAlign w:val="baseline"/>
        </w:rPr>
        <w:t> </w:t>
      </w:r>
      <w:r>
        <w:rPr>
          <w:color w:val="231F20"/>
          <w:spacing w:val="-2"/>
          <w:vertAlign w:val="baseline"/>
        </w:rPr>
        <w:t>enfants,</w:t>
      </w:r>
      <w:r>
        <w:rPr>
          <w:color w:val="231F20"/>
          <w:spacing w:val="-13"/>
          <w:vertAlign w:val="baseline"/>
        </w:rPr>
        <w:t> </w:t>
      </w:r>
      <w:r>
        <w:rPr>
          <w:color w:val="231F20"/>
          <w:spacing w:val="-2"/>
          <w:vertAlign w:val="baseline"/>
        </w:rPr>
        <w:t>ils</w:t>
      </w:r>
      <w:r>
        <w:rPr>
          <w:color w:val="231F20"/>
          <w:spacing w:val="-13"/>
          <w:vertAlign w:val="baseline"/>
        </w:rPr>
        <w:t> </w:t>
      </w:r>
      <w:r>
        <w:rPr>
          <w:color w:val="231F20"/>
          <w:spacing w:val="-2"/>
          <w:vertAlign w:val="baseline"/>
        </w:rPr>
        <w:t>prennent</w:t>
      </w:r>
      <w:r>
        <w:rPr>
          <w:color w:val="231F20"/>
          <w:spacing w:val="-13"/>
          <w:vertAlign w:val="baseline"/>
        </w:rPr>
        <w:t> </w:t>
      </w:r>
      <w:r>
        <w:rPr>
          <w:color w:val="231F20"/>
          <w:spacing w:val="-2"/>
          <w:vertAlign w:val="baseline"/>
        </w:rPr>
        <w:t>leurs</w:t>
      </w:r>
      <w:r>
        <w:rPr>
          <w:color w:val="231F20"/>
          <w:spacing w:val="-12"/>
          <w:vertAlign w:val="baseline"/>
        </w:rPr>
        <w:t> </w:t>
      </w:r>
      <w:r>
        <w:rPr>
          <w:color w:val="231F20"/>
          <w:spacing w:val="-2"/>
          <w:vertAlign w:val="baseline"/>
        </w:rPr>
        <w:t>consoles </w:t>
      </w:r>
      <w:r>
        <w:rPr>
          <w:color w:val="231F20"/>
          <w:spacing w:val="-4"/>
          <w:vertAlign w:val="baseline"/>
        </w:rPr>
        <w:t>de</w:t>
      </w:r>
      <w:r>
        <w:rPr>
          <w:color w:val="231F20"/>
          <w:spacing w:val="-9"/>
          <w:vertAlign w:val="baseline"/>
        </w:rPr>
        <w:t> </w:t>
      </w:r>
      <w:r>
        <w:rPr>
          <w:color w:val="231F20"/>
          <w:spacing w:val="-4"/>
          <w:vertAlign w:val="baseline"/>
        </w:rPr>
        <w:t>jeux ;</w:t>
      </w:r>
      <w:r>
        <w:rPr>
          <w:color w:val="231F20"/>
          <w:spacing w:val="-9"/>
          <w:vertAlign w:val="baseline"/>
        </w:rPr>
        <w:t> </w:t>
      </w:r>
      <w:r>
        <w:rPr>
          <w:color w:val="231F20"/>
          <w:spacing w:val="-4"/>
          <w:vertAlign w:val="baseline"/>
        </w:rPr>
        <w:t>au</w:t>
      </w:r>
      <w:r>
        <w:rPr>
          <w:color w:val="231F20"/>
          <w:spacing w:val="-9"/>
          <w:vertAlign w:val="baseline"/>
        </w:rPr>
        <w:t> </w:t>
      </w:r>
      <w:r>
        <w:rPr>
          <w:color w:val="231F20"/>
          <w:spacing w:val="-4"/>
          <w:vertAlign w:val="baseline"/>
        </w:rPr>
        <w:t>salon,</w:t>
      </w:r>
      <w:r>
        <w:rPr>
          <w:color w:val="231F20"/>
          <w:spacing w:val="-9"/>
          <w:vertAlign w:val="baseline"/>
        </w:rPr>
        <w:t> </w:t>
      </w:r>
      <w:r>
        <w:rPr>
          <w:color w:val="231F20"/>
          <w:spacing w:val="-4"/>
          <w:vertAlign w:val="baseline"/>
        </w:rPr>
        <w:t>ils</w:t>
      </w:r>
      <w:r>
        <w:rPr>
          <w:color w:val="231F20"/>
          <w:spacing w:val="-9"/>
          <w:vertAlign w:val="baseline"/>
        </w:rPr>
        <w:t> </w:t>
      </w:r>
      <w:r>
        <w:rPr>
          <w:color w:val="231F20"/>
          <w:spacing w:val="-4"/>
          <w:vertAlign w:val="baseline"/>
        </w:rPr>
        <w:t>s’emparent</w:t>
      </w:r>
      <w:r>
        <w:rPr>
          <w:color w:val="231F20"/>
          <w:spacing w:val="-9"/>
          <w:vertAlign w:val="baseline"/>
        </w:rPr>
        <w:t> </w:t>
      </w:r>
      <w:r>
        <w:rPr>
          <w:color w:val="231F20"/>
          <w:spacing w:val="-4"/>
          <w:vertAlign w:val="baseline"/>
        </w:rPr>
        <w:t>du</w:t>
      </w:r>
      <w:r>
        <w:rPr>
          <w:color w:val="231F20"/>
          <w:spacing w:val="-9"/>
          <w:vertAlign w:val="baseline"/>
        </w:rPr>
        <w:t> </w:t>
      </w:r>
      <w:r>
        <w:rPr>
          <w:color w:val="231F20"/>
          <w:spacing w:val="-4"/>
          <w:vertAlign w:val="baseline"/>
        </w:rPr>
        <w:t>téléviseur</w:t>
      </w:r>
      <w:r>
        <w:rPr>
          <w:color w:val="231F20"/>
          <w:vertAlign w:val="baseline"/>
        </w:rPr>
        <w:t> </w:t>
      </w:r>
      <w:r>
        <w:rPr>
          <w:color w:val="231F20"/>
          <w:spacing w:val="-4"/>
          <w:vertAlign w:val="baseline"/>
        </w:rPr>
        <w:t>;</w:t>
      </w:r>
      <w:r>
        <w:rPr>
          <w:color w:val="231F20"/>
          <w:spacing w:val="-11"/>
          <w:vertAlign w:val="baseline"/>
        </w:rPr>
        <w:t> </w:t>
      </w:r>
      <w:r>
        <w:rPr>
          <w:color w:val="231F20"/>
          <w:spacing w:val="-4"/>
          <w:vertAlign w:val="baseline"/>
        </w:rPr>
        <w:t>puis,</w:t>
      </w:r>
      <w:r>
        <w:rPr>
          <w:color w:val="231F20"/>
          <w:spacing w:val="-11"/>
          <w:vertAlign w:val="baseline"/>
        </w:rPr>
        <w:t> </w:t>
      </w:r>
      <w:r>
        <w:rPr>
          <w:color w:val="231F20"/>
          <w:spacing w:val="-4"/>
          <w:vertAlign w:val="baseline"/>
        </w:rPr>
        <w:t>ils</w:t>
      </w:r>
      <w:r>
        <w:rPr>
          <w:color w:val="231F20"/>
          <w:spacing w:val="-9"/>
          <w:vertAlign w:val="baseline"/>
        </w:rPr>
        <w:t> </w:t>
      </w:r>
      <w:r>
        <w:rPr>
          <w:color w:val="231F20"/>
          <w:spacing w:val="-4"/>
          <w:vertAlign w:val="baseline"/>
        </w:rPr>
        <w:t>réclament</w:t>
      </w:r>
      <w:r>
        <w:rPr>
          <w:color w:val="231F20"/>
          <w:spacing w:val="-11"/>
          <w:vertAlign w:val="baseline"/>
        </w:rPr>
        <w:t> </w:t>
      </w:r>
      <w:r>
        <w:rPr>
          <w:color w:val="231F20"/>
          <w:spacing w:val="-4"/>
          <w:vertAlign w:val="baseline"/>
        </w:rPr>
        <w:t>les</w:t>
      </w:r>
      <w:r>
        <w:rPr>
          <w:color w:val="231F20"/>
          <w:spacing w:val="-9"/>
          <w:vertAlign w:val="baseline"/>
        </w:rPr>
        <w:t> </w:t>
      </w:r>
      <w:r>
        <w:rPr>
          <w:color w:val="231F20"/>
          <w:spacing w:val="-4"/>
          <w:vertAlign w:val="baseline"/>
        </w:rPr>
        <w:t>clés </w:t>
      </w:r>
      <w:r>
        <w:rPr>
          <w:color w:val="231F20"/>
          <w:vertAlign w:val="baseline"/>
        </w:rPr>
        <w:t>de notre véhicule dans lequel ils entassent leur butin et le pied sur l’accélérateur, disparaissent.</w:t>
      </w:r>
    </w:p>
    <w:p>
      <w:pPr>
        <w:pStyle w:val="BodyText"/>
        <w:spacing w:before="121"/>
        <w:ind w:right="105" w:firstLine="283"/>
      </w:pPr>
      <w:r>
        <w:rPr>
          <w:color w:val="231F20"/>
        </w:rPr>
        <w:t>Silencieux, voire perplexe tout le temps que ces hommes nous dépouillaient, je me demandais</w:t>
      </w:r>
      <w:r>
        <w:rPr>
          <w:color w:val="231F20"/>
          <w:spacing w:val="-15"/>
        </w:rPr>
        <w:t> </w:t>
      </w:r>
      <w:r>
        <w:rPr>
          <w:color w:val="231F20"/>
        </w:rPr>
        <w:t>: qui sont-ils ? des militaires</w:t>
      </w:r>
      <w:r>
        <w:rPr>
          <w:color w:val="231F20"/>
          <w:spacing w:val="-13"/>
        </w:rPr>
        <w:t> </w:t>
      </w:r>
      <w:r>
        <w:rPr>
          <w:color w:val="231F20"/>
        </w:rPr>
        <w:t>ou des </w:t>
      </w:r>
      <w:r>
        <w:rPr>
          <w:color w:val="231F20"/>
          <w:spacing w:val="-2"/>
        </w:rPr>
        <w:t>voleurs</w:t>
      </w:r>
      <w:r>
        <w:rPr>
          <w:color w:val="231F20"/>
          <w:spacing w:val="-13"/>
        </w:rPr>
        <w:t> </w:t>
      </w:r>
      <w:r>
        <w:rPr>
          <w:color w:val="231F20"/>
          <w:spacing w:val="-2"/>
        </w:rPr>
        <w:t>?</w:t>
      </w:r>
      <w:r>
        <w:rPr>
          <w:color w:val="231F20"/>
          <w:spacing w:val="-13"/>
        </w:rPr>
        <w:t> </w:t>
      </w:r>
      <w:r>
        <w:rPr>
          <w:color w:val="231F20"/>
          <w:spacing w:val="-2"/>
        </w:rPr>
        <w:t>Ce</w:t>
      </w:r>
      <w:r>
        <w:rPr>
          <w:color w:val="231F20"/>
          <w:spacing w:val="-13"/>
        </w:rPr>
        <w:t> </w:t>
      </w:r>
      <w:r>
        <w:rPr>
          <w:color w:val="231F20"/>
          <w:spacing w:val="-2"/>
        </w:rPr>
        <w:t>jour,</w:t>
      </w:r>
      <w:r>
        <w:rPr>
          <w:color w:val="231F20"/>
          <w:spacing w:val="-12"/>
        </w:rPr>
        <w:t> </w:t>
      </w:r>
      <w:r>
        <w:rPr>
          <w:color w:val="231F20"/>
          <w:spacing w:val="-2"/>
        </w:rPr>
        <w:t>et</w:t>
      </w:r>
      <w:r>
        <w:rPr>
          <w:color w:val="231F20"/>
          <w:spacing w:val="-13"/>
        </w:rPr>
        <w:t> </w:t>
      </w:r>
      <w:r>
        <w:rPr>
          <w:color w:val="231F20"/>
          <w:spacing w:val="-2"/>
        </w:rPr>
        <w:t>les</w:t>
      </w:r>
      <w:r>
        <w:rPr>
          <w:color w:val="231F20"/>
          <w:spacing w:val="-13"/>
        </w:rPr>
        <w:t> </w:t>
      </w:r>
      <w:r>
        <w:rPr>
          <w:color w:val="231F20"/>
          <w:spacing w:val="-2"/>
        </w:rPr>
        <w:t>jours</w:t>
      </w:r>
      <w:r>
        <w:rPr>
          <w:color w:val="231F20"/>
          <w:spacing w:val="-11"/>
        </w:rPr>
        <w:t> </w:t>
      </w:r>
      <w:r>
        <w:rPr>
          <w:color w:val="231F20"/>
          <w:spacing w:val="-2"/>
        </w:rPr>
        <w:t>suivants,</w:t>
      </w:r>
      <w:r>
        <w:rPr>
          <w:color w:val="231F20"/>
          <w:spacing w:val="-13"/>
        </w:rPr>
        <w:t> </w:t>
      </w:r>
      <w:r>
        <w:rPr>
          <w:color w:val="231F20"/>
          <w:spacing w:val="-2"/>
        </w:rPr>
        <w:t>dans</w:t>
      </w:r>
      <w:r>
        <w:rPr>
          <w:color w:val="231F20"/>
          <w:spacing w:val="-13"/>
        </w:rPr>
        <w:t> </w:t>
      </w:r>
      <w:r>
        <w:rPr>
          <w:color w:val="231F20"/>
          <w:spacing w:val="-2"/>
        </w:rPr>
        <w:t>mon</w:t>
      </w:r>
      <w:r>
        <w:rPr>
          <w:color w:val="231F20"/>
          <w:spacing w:val="-13"/>
        </w:rPr>
        <w:t> </w:t>
      </w:r>
      <w:r>
        <w:rPr>
          <w:color w:val="231F20"/>
          <w:spacing w:val="-2"/>
        </w:rPr>
        <w:t>quartier</w:t>
      </w:r>
      <w:r>
        <w:rPr>
          <w:color w:val="231F20"/>
          <w:spacing w:val="-12"/>
        </w:rPr>
        <w:t> </w:t>
      </w:r>
      <w:r>
        <w:rPr>
          <w:color w:val="231F20"/>
          <w:spacing w:val="-2"/>
        </w:rPr>
        <w:t>mais</w:t>
      </w:r>
      <w:r>
        <w:rPr>
          <w:color w:val="231F20"/>
          <w:spacing w:val="-11"/>
        </w:rPr>
        <w:t> </w:t>
      </w:r>
      <w:r>
        <w:rPr>
          <w:color w:val="231F20"/>
          <w:spacing w:val="-2"/>
        </w:rPr>
        <w:t>aussi</w:t>
      </w:r>
      <w:r>
        <w:rPr>
          <w:color w:val="231F20"/>
          <w:spacing w:val="-13"/>
        </w:rPr>
        <w:t> </w:t>
      </w:r>
      <w:r>
        <w:rPr>
          <w:color w:val="231F20"/>
          <w:spacing w:val="-2"/>
        </w:rPr>
        <w:t>dans </w:t>
      </w:r>
      <w:r>
        <w:rPr>
          <w:color w:val="231F20"/>
        </w:rPr>
        <w:t>d’autres quartiers résidentiels, la même scène est vécue par d’autres </w:t>
      </w:r>
      <w:r>
        <w:rPr>
          <w:color w:val="231F20"/>
          <w:spacing w:val="-2"/>
        </w:rPr>
        <w:t>habitants.</w:t>
      </w:r>
    </w:p>
    <w:p>
      <w:pPr>
        <w:pStyle w:val="BodyText"/>
        <w:spacing w:before="120"/>
        <w:ind w:right="109" w:firstLine="283"/>
      </w:pPr>
      <w:r>
        <w:rPr>
          <w:color w:val="231F20"/>
        </w:rPr>
        <w:t>Pendant</w:t>
      </w:r>
      <w:r>
        <w:rPr>
          <w:color w:val="231F20"/>
          <w:spacing w:val="-13"/>
        </w:rPr>
        <w:t> </w:t>
      </w:r>
      <w:r>
        <w:rPr>
          <w:color w:val="231F20"/>
        </w:rPr>
        <w:t>deux</w:t>
      </w:r>
      <w:r>
        <w:rPr>
          <w:color w:val="231F20"/>
          <w:spacing w:val="-15"/>
        </w:rPr>
        <w:t> </w:t>
      </w:r>
      <w:r>
        <w:rPr>
          <w:color w:val="231F20"/>
        </w:rPr>
        <w:t>semaines,</w:t>
      </w:r>
      <w:r>
        <w:rPr>
          <w:color w:val="231F20"/>
          <w:spacing w:val="-14"/>
        </w:rPr>
        <w:t> </w:t>
      </w:r>
      <w:r>
        <w:rPr>
          <w:color w:val="231F20"/>
        </w:rPr>
        <w:t>après</w:t>
      </w:r>
      <w:r>
        <w:rPr>
          <w:color w:val="231F20"/>
          <w:spacing w:val="-12"/>
        </w:rPr>
        <w:t> </w:t>
      </w:r>
      <w:r>
        <w:rPr>
          <w:color w:val="231F20"/>
        </w:rPr>
        <w:t>la</w:t>
      </w:r>
      <w:r>
        <w:rPr>
          <w:color w:val="231F20"/>
          <w:spacing w:val="-14"/>
        </w:rPr>
        <w:t> </w:t>
      </w:r>
      <w:r>
        <w:rPr>
          <w:color w:val="231F20"/>
        </w:rPr>
        <w:t>chute</w:t>
      </w:r>
      <w:r>
        <w:rPr>
          <w:color w:val="231F20"/>
          <w:spacing w:val="-14"/>
        </w:rPr>
        <w:t> </w:t>
      </w:r>
      <w:r>
        <w:rPr>
          <w:color w:val="231F20"/>
        </w:rPr>
        <w:t>du</w:t>
      </w:r>
      <w:r>
        <w:rPr>
          <w:color w:val="231F20"/>
          <w:spacing w:val="-14"/>
        </w:rPr>
        <w:t> </w:t>
      </w:r>
      <w:r>
        <w:rPr>
          <w:color w:val="231F20"/>
        </w:rPr>
        <w:t>président</w:t>
      </w:r>
      <w:r>
        <w:rPr>
          <w:color w:val="231F20"/>
          <w:spacing w:val="-14"/>
        </w:rPr>
        <w:t> </w:t>
      </w:r>
      <w:r>
        <w:rPr>
          <w:color w:val="231F20"/>
        </w:rPr>
        <w:t>Laurent</w:t>
      </w:r>
      <w:r>
        <w:rPr>
          <w:color w:val="231F20"/>
          <w:spacing w:val="-14"/>
        </w:rPr>
        <w:t> </w:t>
      </w:r>
      <w:r>
        <w:rPr>
          <w:color w:val="231F20"/>
        </w:rPr>
        <w:t>Gbagbo, les</w:t>
      </w:r>
      <w:r>
        <w:rPr>
          <w:color w:val="231F20"/>
          <w:spacing w:val="-7"/>
        </w:rPr>
        <w:t> </w:t>
      </w:r>
      <w:r>
        <w:rPr>
          <w:color w:val="231F20"/>
        </w:rPr>
        <w:t>combats</w:t>
      </w:r>
      <w:r>
        <w:rPr>
          <w:color w:val="231F20"/>
          <w:spacing w:val="-9"/>
        </w:rPr>
        <w:t> </w:t>
      </w:r>
      <w:r>
        <w:rPr>
          <w:color w:val="231F20"/>
        </w:rPr>
        <w:t>se</w:t>
      </w:r>
      <w:r>
        <w:rPr>
          <w:color w:val="231F20"/>
          <w:spacing w:val="-7"/>
        </w:rPr>
        <w:t> </w:t>
      </w:r>
      <w:r>
        <w:rPr>
          <w:color w:val="231F20"/>
        </w:rPr>
        <w:t>poursuivent</w:t>
      </w:r>
      <w:r>
        <w:rPr>
          <w:color w:val="231F20"/>
          <w:spacing w:val="-6"/>
        </w:rPr>
        <w:t> </w:t>
      </w:r>
      <w:r>
        <w:rPr>
          <w:color w:val="231F20"/>
        </w:rPr>
        <w:t>à</w:t>
      </w:r>
      <w:r>
        <w:rPr>
          <w:color w:val="231F20"/>
          <w:spacing w:val="-7"/>
        </w:rPr>
        <w:t> </w:t>
      </w:r>
      <w:r>
        <w:rPr>
          <w:color w:val="231F20"/>
        </w:rPr>
        <w:t>Yopougon,</w:t>
      </w:r>
      <w:r>
        <w:rPr>
          <w:color w:val="231F20"/>
          <w:spacing w:val="-9"/>
        </w:rPr>
        <w:t> </w:t>
      </w:r>
      <w:r>
        <w:rPr>
          <w:color w:val="231F20"/>
        </w:rPr>
        <w:t>le</w:t>
      </w:r>
      <w:r>
        <w:rPr>
          <w:color w:val="231F20"/>
          <w:spacing w:val="-7"/>
        </w:rPr>
        <w:t> </w:t>
      </w:r>
      <w:r>
        <w:rPr>
          <w:color w:val="231F20"/>
        </w:rPr>
        <w:t>quartier</w:t>
      </w:r>
      <w:r>
        <w:rPr>
          <w:color w:val="231F20"/>
          <w:spacing w:val="-9"/>
        </w:rPr>
        <w:t> </w:t>
      </w:r>
      <w:r>
        <w:rPr>
          <w:color w:val="231F20"/>
        </w:rPr>
        <w:t>dit</w:t>
      </w:r>
      <w:r>
        <w:rPr>
          <w:color w:val="231F20"/>
          <w:spacing w:val="-9"/>
        </w:rPr>
        <w:t> </w:t>
      </w:r>
      <w:r>
        <w:rPr>
          <w:color w:val="231F20"/>
        </w:rPr>
        <w:t>pro-Gbagbo.</w:t>
      </w:r>
    </w:p>
    <w:p>
      <w:pPr>
        <w:pStyle w:val="BodyText"/>
        <w:spacing w:before="120"/>
        <w:ind w:right="102" w:firstLine="283"/>
      </w:pPr>
      <w:r>
        <w:rPr>
          <w:color w:val="231F20"/>
        </w:rPr>
        <w:t>Les</w:t>
      </w:r>
      <w:r>
        <w:rPr>
          <w:color w:val="231F20"/>
          <w:spacing w:val="-15"/>
        </w:rPr>
        <w:t> </w:t>
      </w:r>
      <w:r>
        <w:rPr>
          <w:color w:val="231F20"/>
        </w:rPr>
        <w:t>différents</w:t>
      </w:r>
      <w:r>
        <w:rPr>
          <w:color w:val="231F20"/>
          <w:spacing w:val="-15"/>
        </w:rPr>
        <w:t> </w:t>
      </w:r>
      <w:r>
        <w:rPr>
          <w:color w:val="231F20"/>
        </w:rPr>
        <w:t>ratissages</w:t>
      </w:r>
      <w:r>
        <w:rPr>
          <w:color w:val="231F20"/>
          <w:spacing w:val="-15"/>
        </w:rPr>
        <w:t> </w:t>
      </w:r>
      <w:r>
        <w:rPr>
          <w:color w:val="231F20"/>
        </w:rPr>
        <w:t>dans</w:t>
      </w:r>
      <w:r>
        <w:rPr>
          <w:color w:val="231F20"/>
          <w:spacing w:val="-15"/>
        </w:rPr>
        <w:t> </w:t>
      </w:r>
      <w:r>
        <w:rPr>
          <w:color w:val="231F20"/>
        </w:rPr>
        <w:t>le</w:t>
      </w:r>
      <w:r>
        <w:rPr>
          <w:color w:val="231F20"/>
          <w:spacing w:val="-15"/>
        </w:rPr>
        <w:t> </w:t>
      </w:r>
      <w:r>
        <w:rPr>
          <w:color w:val="231F20"/>
        </w:rPr>
        <w:t>quartier</w:t>
      </w:r>
      <w:r>
        <w:rPr>
          <w:color w:val="231F20"/>
          <w:spacing w:val="-15"/>
        </w:rPr>
        <w:t> </w:t>
      </w:r>
      <w:r>
        <w:rPr>
          <w:color w:val="231F20"/>
        </w:rPr>
        <w:t>sont</w:t>
      </w:r>
      <w:r>
        <w:rPr>
          <w:color w:val="231F20"/>
          <w:spacing w:val="-15"/>
        </w:rPr>
        <w:t> </w:t>
      </w:r>
      <w:r>
        <w:rPr>
          <w:color w:val="231F20"/>
        </w:rPr>
        <w:t>une</w:t>
      </w:r>
      <w:r>
        <w:rPr>
          <w:color w:val="231F20"/>
          <w:spacing w:val="-15"/>
        </w:rPr>
        <w:t> </w:t>
      </w:r>
      <w:r>
        <w:rPr>
          <w:color w:val="231F20"/>
        </w:rPr>
        <w:t>chasse</w:t>
      </w:r>
      <w:r>
        <w:rPr>
          <w:color w:val="231F20"/>
          <w:spacing w:val="-15"/>
        </w:rPr>
        <w:t> </w:t>
      </w:r>
      <w:r>
        <w:rPr>
          <w:color w:val="231F20"/>
        </w:rPr>
        <w:t>à</w:t>
      </w:r>
      <w:r>
        <w:rPr>
          <w:color w:val="231F20"/>
          <w:spacing w:val="-15"/>
        </w:rPr>
        <w:t> </w:t>
      </w:r>
      <w:r>
        <w:rPr>
          <w:color w:val="231F20"/>
        </w:rPr>
        <w:t>l‘homme</w:t>
      </w:r>
      <w:r>
        <w:rPr>
          <w:color w:val="231F20"/>
          <w:spacing w:val="-15"/>
        </w:rPr>
        <w:t> </w:t>
      </w:r>
      <w:r>
        <w:rPr>
          <w:color w:val="231F20"/>
        </w:rPr>
        <w:t>à relents</w:t>
      </w:r>
      <w:r>
        <w:rPr>
          <w:color w:val="231F20"/>
          <w:spacing w:val="-4"/>
        </w:rPr>
        <w:t> </w:t>
      </w:r>
      <w:r>
        <w:rPr>
          <w:color w:val="231F20"/>
        </w:rPr>
        <w:t>de</w:t>
      </w:r>
      <w:r>
        <w:rPr>
          <w:color w:val="231F20"/>
          <w:spacing w:val="-4"/>
        </w:rPr>
        <w:t> </w:t>
      </w:r>
      <w:r>
        <w:rPr>
          <w:color w:val="231F20"/>
        </w:rPr>
        <w:t>règlements</w:t>
      </w:r>
      <w:r>
        <w:rPr>
          <w:color w:val="231F20"/>
          <w:spacing w:val="-5"/>
        </w:rPr>
        <w:t> </w:t>
      </w:r>
      <w:r>
        <w:rPr>
          <w:color w:val="231F20"/>
        </w:rPr>
        <w:t>de</w:t>
      </w:r>
      <w:r>
        <w:rPr>
          <w:color w:val="231F20"/>
          <w:spacing w:val="-7"/>
        </w:rPr>
        <w:t> </w:t>
      </w:r>
      <w:r>
        <w:rPr>
          <w:color w:val="231F20"/>
        </w:rPr>
        <w:t>comptes,</w:t>
      </w:r>
      <w:r>
        <w:rPr>
          <w:color w:val="231F20"/>
          <w:spacing w:val="-4"/>
        </w:rPr>
        <w:t> </w:t>
      </w:r>
      <w:r>
        <w:rPr>
          <w:color w:val="231F20"/>
        </w:rPr>
        <w:t>avec</w:t>
      </w:r>
      <w:r>
        <w:rPr>
          <w:color w:val="231F20"/>
          <w:spacing w:val="-4"/>
        </w:rPr>
        <w:t> </w:t>
      </w:r>
      <w:r>
        <w:rPr>
          <w:color w:val="231F20"/>
        </w:rPr>
        <w:t>des</w:t>
      </w:r>
      <w:r>
        <w:rPr>
          <w:color w:val="231F20"/>
          <w:spacing w:val="-7"/>
        </w:rPr>
        <w:t> </w:t>
      </w:r>
      <w:r>
        <w:rPr>
          <w:color w:val="231F20"/>
        </w:rPr>
        <w:t>tueries</w:t>
      </w:r>
      <w:r>
        <w:rPr>
          <w:color w:val="231F20"/>
          <w:spacing w:val="-6"/>
        </w:rPr>
        <w:t> </w:t>
      </w:r>
      <w:r>
        <w:rPr>
          <w:color w:val="231F20"/>
        </w:rPr>
        <w:t>ciblées.</w:t>
      </w:r>
      <w:r>
        <w:rPr>
          <w:color w:val="231F20"/>
          <w:spacing w:val="-5"/>
        </w:rPr>
        <w:t> </w:t>
      </w:r>
      <w:r>
        <w:rPr>
          <w:color w:val="231F20"/>
        </w:rPr>
        <w:t>Si</w:t>
      </w:r>
      <w:r>
        <w:rPr>
          <w:color w:val="231F20"/>
          <w:spacing w:val="-6"/>
        </w:rPr>
        <w:t> </w:t>
      </w:r>
      <w:r>
        <w:rPr>
          <w:color w:val="231F20"/>
        </w:rPr>
        <w:t>toutes</w:t>
      </w:r>
      <w:r>
        <w:rPr>
          <w:color w:val="231F20"/>
          <w:spacing w:val="-6"/>
        </w:rPr>
        <w:t> </w:t>
      </w:r>
      <w:r>
        <w:rPr>
          <w:color w:val="231F20"/>
        </w:rPr>
        <w:t>les populations de Yopougon vivent l‘horreur, certaines catégories </w:t>
      </w:r>
      <w:r>
        <w:rPr>
          <w:color w:val="231F20"/>
          <w:spacing w:val="-2"/>
        </w:rPr>
        <w:t>d‘habitants</w:t>
      </w:r>
      <w:r>
        <w:rPr>
          <w:color w:val="231F20"/>
          <w:spacing w:val="-12"/>
        </w:rPr>
        <w:t> </w:t>
      </w:r>
      <w:r>
        <w:rPr>
          <w:color w:val="231F20"/>
          <w:spacing w:val="-2"/>
        </w:rPr>
        <w:t>du</w:t>
      </w:r>
      <w:r>
        <w:rPr>
          <w:color w:val="231F20"/>
          <w:spacing w:val="-11"/>
        </w:rPr>
        <w:t> </w:t>
      </w:r>
      <w:r>
        <w:rPr>
          <w:color w:val="231F20"/>
          <w:spacing w:val="-2"/>
        </w:rPr>
        <w:t>même</w:t>
      </w:r>
      <w:r>
        <w:rPr>
          <w:color w:val="231F20"/>
          <w:spacing w:val="-9"/>
        </w:rPr>
        <w:t> </w:t>
      </w:r>
      <w:r>
        <w:rPr>
          <w:color w:val="231F20"/>
          <w:spacing w:val="-2"/>
        </w:rPr>
        <w:t>groupe</w:t>
      </w:r>
      <w:r>
        <w:rPr>
          <w:color w:val="231F20"/>
          <w:spacing w:val="-9"/>
        </w:rPr>
        <w:t> </w:t>
      </w:r>
      <w:r>
        <w:rPr>
          <w:color w:val="231F20"/>
          <w:spacing w:val="-2"/>
        </w:rPr>
        <w:t>ethnique</w:t>
      </w:r>
      <w:r>
        <w:rPr>
          <w:color w:val="231F20"/>
          <w:spacing w:val="-12"/>
        </w:rPr>
        <w:t> </w:t>
      </w:r>
      <w:r>
        <w:rPr>
          <w:color w:val="231F20"/>
          <w:spacing w:val="-2"/>
        </w:rPr>
        <w:t>que</w:t>
      </w:r>
      <w:r>
        <w:rPr>
          <w:color w:val="231F20"/>
          <w:spacing w:val="-12"/>
        </w:rPr>
        <w:t> </w:t>
      </w:r>
      <w:r>
        <w:rPr>
          <w:color w:val="231F20"/>
          <w:spacing w:val="-2"/>
        </w:rPr>
        <w:t>le</w:t>
      </w:r>
      <w:r>
        <w:rPr>
          <w:color w:val="231F20"/>
          <w:spacing w:val="-12"/>
        </w:rPr>
        <w:t> </w:t>
      </w:r>
      <w:r>
        <w:rPr>
          <w:color w:val="231F20"/>
          <w:spacing w:val="-2"/>
        </w:rPr>
        <w:t>président</w:t>
      </w:r>
      <w:r>
        <w:rPr>
          <w:color w:val="231F20"/>
          <w:spacing w:val="-8"/>
        </w:rPr>
        <w:t> </w:t>
      </w:r>
      <w:r>
        <w:rPr>
          <w:color w:val="231F20"/>
          <w:spacing w:val="-2"/>
        </w:rPr>
        <w:t>déchu</w:t>
      </w:r>
      <w:r>
        <w:rPr>
          <w:color w:val="231F20"/>
          <w:spacing w:val="-12"/>
        </w:rPr>
        <w:t> </w:t>
      </w:r>
      <w:r>
        <w:rPr>
          <w:color w:val="231F20"/>
          <w:spacing w:val="-2"/>
        </w:rPr>
        <w:t>souffrent</w:t>
      </w:r>
      <w:r>
        <w:rPr>
          <w:color w:val="231F20"/>
          <w:spacing w:val="-9"/>
        </w:rPr>
        <w:t> </w:t>
      </w:r>
      <w:r>
        <w:rPr>
          <w:color w:val="231F20"/>
          <w:spacing w:val="-2"/>
        </w:rPr>
        <w:t>le </w:t>
      </w:r>
      <w:r>
        <w:rPr>
          <w:color w:val="231F20"/>
        </w:rPr>
        <w:t>martyre. Sur dénonciation, des hommes en armes forcent les portes de leurs</w:t>
      </w:r>
      <w:r>
        <w:rPr>
          <w:color w:val="231F20"/>
          <w:spacing w:val="-12"/>
        </w:rPr>
        <w:t> </w:t>
      </w:r>
      <w:r>
        <w:rPr>
          <w:color w:val="231F20"/>
        </w:rPr>
        <w:t>domiciles.</w:t>
      </w:r>
      <w:r>
        <w:rPr>
          <w:color w:val="231F20"/>
          <w:spacing w:val="-12"/>
        </w:rPr>
        <w:t> </w:t>
      </w:r>
      <w:r>
        <w:rPr>
          <w:color w:val="231F20"/>
        </w:rPr>
        <w:t>Une</w:t>
      </w:r>
      <w:r>
        <w:rPr>
          <w:color w:val="231F20"/>
          <w:spacing w:val="-12"/>
        </w:rPr>
        <w:t> </w:t>
      </w:r>
      <w:r>
        <w:rPr>
          <w:color w:val="231F20"/>
        </w:rPr>
        <w:t>photo</w:t>
      </w:r>
      <w:r>
        <w:rPr>
          <w:color w:val="231F20"/>
          <w:spacing w:val="-12"/>
        </w:rPr>
        <w:t> </w:t>
      </w:r>
      <w:r>
        <w:rPr>
          <w:color w:val="231F20"/>
        </w:rPr>
        <w:t>ou</w:t>
      </w:r>
      <w:r>
        <w:rPr>
          <w:color w:val="231F20"/>
          <w:spacing w:val="-12"/>
        </w:rPr>
        <w:t> </w:t>
      </w:r>
      <w:r>
        <w:rPr>
          <w:color w:val="231F20"/>
        </w:rPr>
        <w:t>un</w:t>
      </w:r>
      <w:r>
        <w:rPr>
          <w:color w:val="231F20"/>
          <w:spacing w:val="-12"/>
        </w:rPr>
        <w:t> </w:t>
      </w:r>
      <w:r>
        <w:rPr>
          <w:color w:val="231F20"/>
        </w:rPr>
        <w:t>tee-shirt</w:t>
      </w:r>
      <w:r>
        <w:rPr>
          <w:color w:val="231F20"/>
          <w:spacing w:val="-11"/>
        </w:rPr>
        <w:t> </w:t>
      </w:r>
      <w:r>
        <w:rPr>
          <w:color w:val="231F20"/>
        </w:rPr>
        <w:t>à</w:t>
      </w:r>
      <w:r>
        <w:rPr>
          <w:color w:val="231F20"/>
          <w:spacing w:val="-12"/>
        </w:rPr>
        <w:t> </w:t>
      </w:r>
      <w:r>
        <w:rPr>
          <w:color w:val="231F20"/>
        </w:rPr>
        <w:t>l‘effigie</w:t>
      </w:r>
      <w:r>
        <w:rPr>
          <w:color w:val="231F20"/>
          <w:spacing w:val="-12"/>
        </w:rPr>
        <w:t> </w:t>
      </w:r>
      <w:r>
        <w:rPr>
          <w:color w:val="231F20"/>
        </w:rPr>
        <w:t>du</w:t>
      </w:r>
      <w:r>
        <w:rPr>
          <w:color w:val="231F20"/>
          <w:spacing w:val="-12"/>
        </w:rPr>
        <w:t> </w:t>
      </w:r>
      <w:r>
        <w:rPr>
          <w:color w:val="231F20"/>
        </w:rPr>
        <w:t>président</w:t>
      </w:r>
      <w:r>
        <w:rPr>
          <w:color w:val="231F20"/>
          <w:spacing w:val="-11"/>
        </w:rPr>
        <w:t> </w:t>
      </w:r>
      <w:r>
        <w:rPr>
          <w:color w:val="231F20"/>
        </w:rPr>
        <w:t>déchu suffit pour conclure qu‘il s‘agit de proches de Laurent Gbagbo. Les chanceux</w:t>
      </w:r>
      <w:r>
        <w:rPr>
          <w:color w:val="231F20"/>
          <w:spacing w:val="-15"/>
        </w:rPr>
        <w:t> </w:t>
      </w:r>
      <w:r>
        <w:rPr>
          <w:color w:val="231F20"/>
        </w:rPr>
        <w:t>sont</w:t>
      </w:r>
      <w:r>
        <w:rPr>
          <w:color w:val="231F20"/>
          <w:spacing w:val="-15"/>
        </w:rPr>
        <w:t> </w:t>
      </w:r>
      <w:r>
        <w:rPr>
          <w:color w:val="231F20"/>
        </w:rPr>
        <w:t>terrorisés,</w:t>
      </w:r>
      <w:r>
        <w:rPr>
          <w:color w:val="231F20"/>
          <w:spacing w:val="-15"/>
        </w:rPr>
        <w:t> </w:t>
      </w:r>
      <w:r>
        <w:rPr>
          <w:color w:val="231F20"/>
        </w:rPr>
        <w:t>battus</w:t>
      </w:r>
      <w:r>
        <w:rPr>
          <w:color w:val="231F20"/>
          <w:spacing w:val="-15"/>
        </w:rPr>
        <w:t> </w:t>
      </w:r>
      <w:r>
        <w:rPr>
          <w:color w:val="231F20"/>
        </w:rPr>
        <w:t>;</w:t>
      </w:r>
      <w:r>
        <w:rPr>
          <w:color w:val="231F20"/>
          <w:spacing w:val="-15"/>
        </w:rPr>
        <w:t> </w:t>
      </w:r>
      <w:r>
        <w:rPr>
          <w:color w:val="231F20"/>
        </w:rPr>
        <w:t>les</w:t>
      </w:r>
      <w:r>
        <w:rPr>
          <w:color w:val="231F20"/>
          <w:spacing w:val="-15"/>
        </w:rPr>
        <w:t> </w:t>
      </w:r>
      <w:r>
        <w:rPr>
          <w:color w:val="231F20"/>
        </w:rPr>
        <w:t>femmes</w:t>
      </w:r>
      <w:r>
        <w:rPr>
          <w:color w:val="231F20"/>
          <w:spacing w:val="-15"/>
        </w:rPr>
        <w:t> </w:t>
      </w:r>
      <w:r>
        <w:rPr>
          <w:color w:val="231F20"/>
        </w:rPr>
        <w:t>et</w:t>
      </w:r>
      <w:r>
        <w:rPr>
          <w:color w:val="231F20"/>
          <w:spacing w:val="-15"/>
        </w:rPr>
        <w:t> </w:t>
      </w:r>
      <w:r>
        <w:rPr>
          <w:color w:val="231F20"/>
        </w:rPr>
        <w:t>jeunes</w:t>
      </w:r>
      <w:r>
        <w:rPr>
          <w:color w:val="231F20"/>
          <w:spacing w:val="-15"/>
        </w:rPr>
        <w:t> </w:t>
      </w:r>
      <w:r>
        <w:rPr>
          <w:color w:val="231F20"/>
        </w:rPr>
        <w:t>filles</w:t>
      </w:r>
      <w:r>
        <w:rPr>
          <w:color w:val="231F20"/>
          <w:spacing w:val="-13"/>
        </w:rPr>
        <w:t> </w:t>
      </w:r>
      <w:r>
        <w:rPr>
          <w:color w:val="231F20"/>
        </w:rPr>
        <w:t>violées.</w:t>
      </w:r>
      <w:r>
        <w:rPr>
          <w:color w:val="231F20"/>
          <w:spacing w:val="-14"/>
        </w:rPr>
        <w:t> </w:t>
      </w:r>
      <w:r>
        <w:rPr>
          <w:color w:val="231F20"/>
        </w:rPr>
        <w:t>Les moins chanceux sont exécutés sur le champ.</w:t>
      </w:r>
    </w:p>
    <w:p>
      <w:pPr>
        <w:pStyle w:val="BodyText"/>
        <w:spacing w:before="121"/>
        <w:ind w:right="105" w:firstLine="283"/>
      </w:pPr>
      <w:r>
        <w:rPr>
          <w:color w:val="231F20"/>
          <w:spacing w:val="-4"/>
        </w:rPr>
        <w:t>Dans</w:t>
      </w:r>
      <w:r>
        <w:rPr>
          <w:color w:val="231F20"/>
          <w:spacing w:val="-6"/>
        </w:rPr>
        <w:t> </w:t>
      </w:r>
      <w:r>
        <w:rPr>
          <w:color w:val="231F20"/>
          <w:spacing w:val="-4"/>
        </w:rPr>
        <w:t>les</w:t>
      </w:r>
      <w:r>
        <w:rPr>
          <w:color w:val="231F20"/>
          <w:spacing w:val="-9"/>
        </w:rPr>
        <w:t> </w:t>
      </w:r>
      <w:r>
        <w:rPr>
          <w:color w:val="231F20"/>
          <w:spacing w:val="-4"/>
        </w:rPr>
        <w:t>postes</w:t>
      </w:r>
      <w:r>
        <w:rPr>
          <w:color w:val="231F20"/>
          <w:spacing w:val="-6"/>
        </w:rPr>
        <w:t> </w:t>
      </w:r>
      <w:r>
        <w:rPr>
          <w:color w:val="231F20"/>
          <w:spacing w:val="-4"/>
        </w:rPr>
        <w:t>de</w:t>
      </w:r>
      <w:r>
        <w:rPr>
          <w:color w:val="231F20"/>
          <w:spacing w:val="-6"/>
        </w:rPr>
        <w:t> </w:t>
      </w:r>
      <w:r>
        <w:rPr>
          <w:color w:val="231F20"/>
          <w:spacing w:val="-4"/>
        </w:rPr>
        <w:t>police,</w:t>
      </w:r>
      <w:r>
        <w:rPr>
          <w:color w:val="231F20"/>
          <w:spacing w:val="-11"/>
        </w:rPr>
        <w:t> </w:t>
      </w:r>
      <w:r>
        <w:rPr>
          <w:color w:val="231F20"/>
          <w:spacing w:val="-4"/>
        </w:rPr>
        <w:t>les</w:t>
      </w:r>
      <w:r>
        <w:rPr>
          <w:color w:val="231F20"/>
          <w:spacing w:val="-5"/>
        </w:rPr>
        <w:t> </w:t>
      </w:r>
      <w:r>
        <w:rPr>
          <w:color w:val="231F20"/>
          <w:spacing w:val="-4"/>
        </w:rPr>
        <w:t>vainqueurs,</w:t>
      </w:r>
      <w:r>
        <w:rPr>
          <w:color w:val="231F20"/>
          <w:spacing w:val="-5"/>
        </w:rPr>
        <w:t> </w:t>
      </w:r>
      <w:r>
        <w:rPr>
          <w:color w:val="231F20"/>
          <w:spacing w:val="-4"/>
        </w:rPr>
        <w:t>pour</w:t>
      </w:r>
      <w:r>
        <w:rPr>
          <w:color w:val="231F20"/>
          <w:spacing w:val="-10"/>
        </w:rPr>
        <w:t> </w:t>
      </w:r>
      <w:r>
        <w:rPr>
          <w:color w:val="231F20"/>
          <w:spacing w:val="-4"/>
        </w:rPr>
        <w:t>la</w:t>
      </w:r>
      <w:r>
        <w:rPr>
          <w:color w:val="231F20"/>
          <w:spacing w:val="-6"/>
        </w:rPr>
        <w:t> </w:t>
      </w:r>
      <w:r>
        <w:rPr>
          <w:color w:val="231F20"/>
          <w:spacing w:val="-4"/>
        </w:rPr>
        <w:t>plupart</w:t>
      </w:r>
      <w:r>
        <w:rPr>
          <w:color w:val="231F20"/>
          <w:spacing w:val="-5"/>
        </w:rPr>
        <w:t> </w:t>
      </w:r>
      <w:r>
        <w:rPr>
          <w:color w:val="231F20"/>
          <w:spacing w:val="-4"/>
        </w:rPr>
        <w:t>non</w:t>
      </w:r>
      <w:r>
        <w:rPr>
          <w:color w:val="231F20"/>
          <w:spacing w:val="-9"/>
        </w:rPr>
        <w:t> </w:t>
      </w:r>
      <w:r>
        <w:rPr>
          <w:color w:val="231F20"/>
          <w:spacing w:val="-4"/>
        </w:rPr>
        <w:t>qualifiés, </w:t>
      </w:r>
      <w:r>
        <w:rPr>
          <w:color w:val="231F20"/>
        </w:rPr>
        <w:t>s’autoproclament Commissaires de police et occupent les bureaux au détriment des vrais titulaires qu’ils prennent plaisir à humilier. Dans </w:t>
      </w:r>
      <w:r>
        <w:rPr>
          <w:color w:val="231F20"/>
          <w:spacing w:val="-4"/>
        </w:rPr>
        <w:t>chaque</w:t>
      </w:r>
      <w:r>
        <w:rPr>
          <w:color w:val="231F20"/>
          <w:spacing w:val="-11"/>
        </w:rPr>
        <w:t> </w:t>
      </w:r>
      <w:r>
        <w:rPr>
          <w:color w:val="231F20"/>
          <w:spacing w:val="-4"/>
        </w:rPr>
        <w:t>quartier</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ville,</w:t>
      </w:r>
      <w:r>
        <w:rPr>
          <w:color w:val="231F20"/>
          <w:spacing w:val="-11"/>
        </w:rPr>
        <w:t> </w:t>
      </w:r>
      <w:r>
        <w:rPr>
          <w:color w:val="231F20"/>
          <w:spacing w:val="-4"/>
        </w:rPr>
        <w:t>les</w:t>
      </w:r>
      <w:r>
        <w:rPr>
          <w:color w:val="231F20"/>
          <w:spacing w:val="-11"/>
        </w:rPr>
        <w:t> </w:t>
      </w:r>
      <w:r>
        <w:rPr>
          <w:color w:val="231F20"/>
          <w:spacing w:val="-4"/>
        </w:rPr>
        <w:t>ex-rebelles</w:t>
      </w:r>
      <w:r>
        <w:rPr>
          <w:color w:val="231F20"/>
          <w:spacing w:val="-11"/>
        </w:rPr>
        <w:t> </w:t>
      </w:r>
      <w:r>
        <w:rPr>
          <w:color w:val="231F20"/>
          <w:spacing w:val="-4"/>
        </w:rPr>
        <w:t>et</w:t>
      </w:r>
      <w:r>
        <w:rPr>
          <w:color w:val="231F20"/>
          <w:spacing w:val="-11"/>
        </w:rPr>
        <w:t> </w:t>
      </w:r>
      <w:r>
        <w:rPr>
          <w:color w:val="231F20"/>
          <w:spacing w:val="-4"/>
        </w:rPr>
        <w:t>leurs</w:t>
      </w:r>
      <w:r>
        <w:rPr>
          <w:color w:val="231F20"/>
          <w:spacing w:val="-11"/>
        </w:rPr>
        <w:t> </w:t>
      </w:r>
      <w:r>
        <w:rPr>
          <w:color w:val="231F20"/>
          <w:spacing w:val="-4"/>
        </w:rPr>
        <w:t>supplétifs,</w:t>
      </w:r>
      <w:r>
        <w:rPr>
          <w:color w:val="231F20"/>
          <w:spacing w:val="-11"/>
        </w:rPr>
        <w:t> </w:t>
      </w:r>
      <w:r>
        <w:rPr>
          <w:color w:val="231F20"/>
          <w:spacing w:val="-4"/>
        </w:rPr>
        <w:t>les</w:t>
      </w:r>
      <w:r>
        <w:rPr>
          <w:color w:val="231F20"/>
          <w:spacing w:val="-11"/>
        </w:rPr>
        <w:t> </w:t>
      </w:r>
      <w:r>
        <w:rPr>
          <w:color w:val="231F20"/>
          <w:spacing w:val="-4"/>
        </w:rPr>
        <w:t>nombreux </w:t>
      </w:r>
      <w:r>
        <w:rPr>
          <w:color w:val="231F20"/>
        </w:rPr>
        <w:t>délinquants sortis des prisons promettent la sécurisation des habitants mais</w:t>
      </w:r>
      <w:r>
        <w:rPr>
          <w:color w:val="231F20"/>
          <w:spacing w:val="-7"/>
        </w:rPr>
        <w:t> </w:t>
      </w:r>
      <w:r>
        <w:rPr>
          <w:color w:val="231F20"/>
        </w:rPr>
        <w:t>il</w:t>
      </w:r>
      <w:r>
        <w:rPr>
          <w:color w:val="231F20"/>
          <w:spacing w:val="-6"/>
        </w:rPr>
        <w:t> </w:t>
      </w:r>
      <w:r>
        <w:rPr>
          <w:color w:val="231F20"/>
        </w:rPr>
        <w:t>faut</w:t>
      </w:r>
      <w:r>
        <w:rPr>
          <w:color w:val="231F20"/>
          <w:spacing w:val="-7"/>
        </w:rPr>
        <w:t> </w:t>
      </w:r>
      <w:r>
        <w:rPr>
          <w:color w:val="231F20"/>
        </w:rPr>
        <w:t>mettre</w:t>
      </w:r>
      <w:r>
        <w:rPr>
          <w:color w:val="231F20"/>
          <w:spacing w:val="-5"/>
        </w:rPr>
        <w:t> </w:t>
      </w:r>
      <w:r>
        <w:rPr>
          <w:color w:val="231F20"/>
        </w:rPr>
        <w:t>la</w:t>
      </w:r>
      <w:r>
        <w:rPr>
          <w:color w:val="231F20"/>
          <w:spacing w:val="-7"/>
        </w:rPr>
        <w:t> </w:t>
      </w:r>
      <w:r>
        <w:rPr>
          <w:color w:val="231F20"/>
        </w:rPr>
        <w:t>main</w:t>
      </w:r>
      <w:r>
        <w:rPr>
          <w:color w:val="231F20"/>
          <w:spacing w:val="-6"/>
        </w:rPr>
        <w:t> </w:t>
      </w:r>
      <w:r>
        <w:rPr>
          <w:color w:val="231F20"/>
        </w:rPr>
        <w:t>à</w:t>
      </w:r>
      <w:r>
        <w:rPr>
          <w:color w:val="231F20"/>
          <w:spacing w:val="-5"/>
        </w:rPr>
        <w:t> </w:t>
      </w:r>
      <w:r>
        <w:rPr>
          <w:color w:val="231F20"/>
        </w:rPr>
        <w:t>la</w:t>
      </w:r>
      <w:r>
        <w:rPr>
          <w:color w:val="231F20"/>
          <w:spacing w:val="-5"/>
        </w:rPr>
        <w:t> </w:t>
      </w:r>
      <w:r>
        <w:rPr>
          <w:color w:val="231F20"/>
        </w:rPr>
        <w:t>poche</w:t>
      </w:r>
      <w:r>
        <w:rPr>
          <w:color w:val="231F20"/>
          <w:spacing w:val="-5"/>
        </w:rPr>
        <w:t> </w:t>
      </w:r>
      <w:r>
        <w:rPr>
          <w:color w:val="231F20"/>
        </w:rPr>
        <w:t>:</w:t>
      </w:r>
      <w:r>
        <w:rPr>
          <w:color w:val="231F20"/>
          <w:spacing w:val="-6"/>
        </w:rPr>
        <w:t> </w:t>
      </w:r>
      <w:r>
        <w:rPr>
          <w:color w:val="231F20"/>
        </w:rPr>
        <w:t>un</w:t>
      </w:r>
      <w:r>
        <w:rPr>
          <w:color w:val="231F20"/>
          <w:spacing w:val="-4"/>
        </w:rPr>
        <w:t> </w:t>
      </w:r>
      <w:r>
        <w:rPr>
          <w:color w:val="231F20"/>
        </w:rPr>
        <w:t>véritable</w:t>
      </w:r>
      <w:r>
        <w:rPr>
          <w:color w:val="231F20"/>
          <w:spacing w:val="-5"/>
        </w:rPr>
        <w:t> </w:t>
      </w:r>
      <w:r>
        <w:rPr>
          <w:color w:val="231F20"/>
        </w:rPr>
        <w:t>racket</w:t>
      </w:r>
      <w:r>
        <w:rPr>
          <w:color w:val="231F20"/>
          <w:spacing w:val="-5"/>
        </w:rPr>
        <w:t> </w:t>
      </w:r>
      <w:r>
        <w:rPr>
          <w:color w:val="231F20"/>
        </w:rPr>
        <w:t>organisé.</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62"/>
        <w:ind w:left="0"/>
        <w:jc w:val="left"/>
        <w:rPr>
          <w:sz w:val="20"/>
        </w:rPr>
      </w:pPr>
      <w:r>
        <w:rPr/>
        <mc:AlternateContent>
          <mc:Choice Requires="wps">
            <w:drawing>
              <wp:anchor distT="0" distB="0" distL="0" distR="0" allowOverlap="1" layoutInCell="1" locked="0" behindDoc="1" simplePos="0" relativeHeight="487652864">
                <wp:simplePos x="0" y="0"/>
                <wp:positionH relativeFrom="page">
                  <wp:posOffset>629907</wp:posOffset>
                </wp:positionH>
                <wp:positionV relativeFrom="paragraph">
                  <wp:posOffset>264632</wp:posOffset>
                </wp:positionV>
                <wp:extent cx="1829435" cy="9525"/>
                <wp:effectExtent l="0" t="0" r="0" b="0"/>
                <wp:wrapTopAndBottom/>
                <wp:docPr id="156" name="Graphic 156"/>
                <wp:cNvGraphicFramePr>
                  <a:graphicFrameLocks/>
                </wp:cNvGraphicFramePr>
                <a:graphic>
                  <a:graphicData uri="http://schemas.microsoft.com/office/word/2010/wordprocessingShape">
                    <wps:wsp>
                      <wps:cNvPr id="156" name="Graphic 15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837187pt;width:144.020pt;height:.72pt;mso-position-horizontal-relative:page;mso-position-vertical-relative:paragraph;z-index:-15663616;mso-wrap-distance-left:0;mso-wrap-distance-right:0" id="docshape154" filled="true" fillcolor="#231f20" stroked="false">
                <v:fill type="solid"/>
                <w10:wrap type="topAndBottom"/>
              </v:rect>
            </w:pict>
          </mc:Fallback>
        </mc:AlternateContent>
      </w:r>
    </w:p>
    <w:p>
      <w:pPr>
        <w:spacing w:before="94"/>
        <w:ind w:left="111" w:right="0" w:firstLine="0"/>
        <w:jc w:val="left"/>
        <w:rPr>
          <w:sz w:val="20"/>
        </w:rPr>
      </w:pPr>
      <w:r>
        <w:rPr>
          <w:color w:val="231F20"/>
          <w:sz w:val="20"/>
          <w:vertAlign w:val="superscript"/>
        </w:rPr>
        <w:t>211</w:t>
      </w:r>
      <w:r>
        <w:rPr>
          <w:color w:val="231F20"/>
          <w:spacing w:val="-7"/>
          <w:sz w:val="20"/>
          <w:vertAlign w:val="baseline"/>
        </w:rPr>
        <w:t> </w:t>
      </w:r>
      <w:r>
        <w:rPr>
          <w:color w:val="231F20"/>
          <w:sz w:val="20"/>
          <w:vertAlign w:val="baseline"/>
        </w:rPr>
        <w:t>1</w:t>
      </w:r>
      <w:r>
        <w:rPr>
          <w:color w:val="231F20"/>
          <w:spacing w:val="-10"/>
          <w:sz w:val="20"/>
          <w:vertAlign w:val="baseline"/>
        </w:rPr>
        <w:t> </w:t>
      </w:r>
      <w:r>
        <w:rPr>
          <w:color w:val="231F20"/>
          <w:sz w:val="20"/>
          <w:vertAlign w:val="baseline"/>
        </w:rPr>
        <w:t>Euro</w:t>
      </w:r>
      <w:r>
        <w:rPr>
          <w:color w:val="231F20"/>
          <w:spacing w:val="-10"/>
          <w:sz w:val="20"/>
          <w:vertAlign w:val="baseline"/>
        </w:rPr>
        <w:t> </w:t>
      </w:r>
      <w:r>
        <w:rPr>
          <w:color w:val="231F20"/>
          <w:sz w:val="20"/>
          <w:vertAlign w:val="baseline"/>
        </w:rPr>
        <w:t>=</w:t>
      </w:r>
      <w:r>
        <w:rPr>
          <w:color w:val="231F20"/>
          <w:spacing w:val="-9"/>
          <w:sz w:val="20"/>
          <w:vertAlign w:val="baseline"/>
        </w:rPr>
        <w:t> </w:t>
      </w:r>
      <w:r>
        <w:rPr>
          <w:color w:val="231F20"/>
          <w:spacing w:val="-2"/>
          <w:sz w:val="20"/>
          <w:vertAlign w:val="baseline"/>
        </w:rPr>
        <w:t>655FCFA.</w:t>
      </w:r>
    </w:p>
    <w:p>
      <w:pPr>
        <w:spacing w:after="0"/>
        <w:jc w:val="left"/>
        <w:rPr>
          <w:sz w:val="20"/>
        </w:rPr>
        <w:sectPr>
          <w:pgSz w:w="8790" w:h="13610"/>
          <w:pgMar w:header="0" w:footer="802" w:top="1060" w:bottom="1000" w:left="880" w:right="880"/>
        </w:sectPr>
      </w:pPr>
    </w:p>
    <w:p>
      <w:pPr>
        <w:spacing w:before="87"/>
        <w:ind w:left="111" w:right="0" w:firstLine="0"/>
        <w:jc w:val="left"/>
        <w:rPr>
          <w:rFonts w:ascii="Cambria" w:hAnsi="Cambria"/>
          <w:b/>
          <w:sz w:val="22"/>
        </w:rPr>
      </w:pPr>
      <w:r>
        <w:rPr>
          <w:rFonts w:ascii="Cambria" w:hAnsi="Cambria"/>
          <w:b/>
          <w:color w:val="231F20"/>
          <w:sz w:val="22"/>
        </w:rPr>
        <w:t>Le 13 avril, Laurent Gbagbo est conduit à Korogho et son épouse à Odienné</w:t>
      </w:r>
      <w:r>
        <w:rPr>
          <w:rFonts w:ascii="Cambria" w:hAnsi="Cambria"/>
          <w:b/>
          <w:color w:val="231F20"/>
          <w:spacing w:val="-8"/>
          <w:sz w:val="22"/>
        </w:rPr>
        <w:t> </w:t>
      </w:r>
      <w:r>
        <w:rPr>
          <w:rFonts w:ascii="Cambria" w:hAnsi="Cambria"/>
          <w:b/>
          <w:color w:val="231F20"/>
          <w:sz w:val="22"/>
        </w:rPr>
        <w:t>(Nord)</w:t>
      </w:r>
    </w:p>
    <w:p>
      <w:pPr>
        <w:pStyle w:val="BodyText"/>
        <w:spacing w:before="256"/>
        <w:ind w:right="103" w:firstLine="283"/>
      </w:pPr>
      <w:r>
        <w:rPr>
          <w:color w:val="231F20"/>
        </w:rPr>
        <w:t>Alassane Ouattara s’installe à la Présidence. Dans toute l’Administration, c’est le grand nettoyage</w:t>
      </w:r>
      <w:r>
        <w:rPr>
          <w:color w:val="231F20"/>
          <w:spacing w:val="-15"/>
        </w:rPr>
        <w:t> </w:t>
      </w:r>
      <w:r>
        <w:rPr>
          <w:color w:val="231F20"/>
        </w:rPr>
        <w:t>: le Nord prend pied, de la direction</w:t>
      </w:r>
      <w:r>
        <w:rPr>
          <w:color w:val="231F20"/>
          <w:spacing w:val="-5"/>
        </w:rPr>
        <w:t> </w:t>
      </w:r>
      <w:r>
        <w:rPr>
          <w:color w:val="231F20"/>
        </w:rPr>
        <w:t>générale</w:t>
      </w:r>
      <w:r>
        <w:rPr>
          <w:color w:val="231F20"/>
          <w:spacing w:val="-5"/>
        </w:rPr>
        <w:t> </w:t>
      </w:r>
      <w:r>
        <w:rPr>
          <w:color w:val="231F20"/>
        </w:rPr>
        <w:t>au</w:t>
      </w:r>
      <w:r>
        <w:rPr>
          <w:color w:val="231F20"/>
          <w:spacing w:val="-5"/>
        </w:rPr>
        <w:t> </w:t>
      </w:r>
      <w:r>
        <w:rPr>
          <w:color w:val="231F20"/>
        </w:rPr>
        <w:t>responsable</w:t>
      </w:r>
      <w:r>
        <w:rPr>
          <w:color w:val="231F20"/>
          <w:spacing w:val="-7"/>
        </w:rPr>
        <w:t> </w:t>
      </w:r>
      <w:r>
        <w:rPr>
          <w:color w:val="231F20"/>
        </w:rPr>
        <w:t>de</w:t>
      </w:r>
      <w:r>
        <w:rPr>
          <w:color w:val="231F20"/>
          <w:spacing w:val="-5"/>
        </w:rPr>
        <w:t> </w:t>
      </w:r>
      <w:r>
        <w:rPr>
          <w:color w:val="231F20"/>
        </w:rPr>
        <w:t>l’entretien</w:t>
      </w:r>
      <w:r>
        <w:rPr>
          <w:color w:val="231F20"/>
          <w:spacing w:val="-5"/>
        </w:rPr>
        <w:t> </w:t>
      </w:r>
      <w:r>
        <w:rPr>
          <w:color w:val="231F20"/>
        </w:rPr>
        <w:t>des</w:t>
      </w:r>
      <w:r>
        <w:rPr>
          <w:color w:val="231F20"/>
          <w:spacing w:val="-9"/>
        </w:rPr>
        <w:t> </w:t>
      </w:r>
      <w:r>
        <w:rPr>
          <w:color w:val="231F20"/>
        </w:rPr>
        <w:t>bureaux.</w:t>
      </w:r>
    </w:p>
    <w:p>
      <w:pPr>
        <w:pStyle w:val="BodyText"/>
        <w:spacing w:before="120"/>
        <w:ind w:right="110" w:firstLine="283"/>
      </w:pPr>
      <w:r>
        <w:rPr>
          <w:color w:val="231F20"/>
        </w:rPr>
        <w:t>Le reste, ceux qui ne sont pas des partisans d’Alassane essuient les plâtres ou sont simplement virés.</w:t>
      </w:r>
    </w:p>
    <w:p>
      <w:pPr>
        <w:pStyle w:val="BodyText"/>
        <w:spacing w:before="121"/>
        <w:ind w:right="107" w:firstLine="283"/>
      </w:pPr>
      <w:r>
        <w:rPr>
          <w:color w:val="231F20"/>
          <w:spacing w:val="-2"/>
        </w:rPr>
        <w:t>Tous</w:t>
      </w:r>
      <w:r>
        <w:rPr>
          <w:color w:val="231F20"/>
          <w:spacing w:val="-13"/>
        </w:rPr>
        <w:t> </w:t>
      </w:r>
      <w:r>
        <w:rPr>
          <w:color w:val="231F20"/>
          <w:spacing w:val="-2"/>
        </w:rPr>
        <w:t>les</w:t>
      </w:r>
      <w:r>
        <w:rPr>
          <w:color w:val="231F20"/>
          <w:spacing w:val="-13"/>
        </w:rPr>
        <w:t> </w:t>
      </w:r>
      <w:r>
        <w:rPr>
          <w:color w:val="231F20"/>
          <w:spacing w:val="-2"/>
        </w:rPr>
        <w:t>responsables</w:t>
      </w:r>
      <w:r>
        <w:rPr>
          <w:color w:val="231F20"/>
          <w:spacing w:val="-13"/>
        </w:rPr>
        <w:t> </w:t>
      </w:r>
      <w:r>
        <w:rPr>
          <w:color w:val="231F20"/>
          <w:spacing w:val="-2"/>
        </w:rPr>
        <w:t>du</w:t>
      </w:r>
      <w:r>
        <w:rPr>
          <w:color w:val="231F20"/>
          <w:spacing w:val="-13"/>
        </w:rPr>
        <w:t> </w:t>
      </w:r>
      <w:r>
        <w:rPr>
          <w:color w:val="231F20"/>
          <w:spacing w:val="-2"/>
        </w:rPr>
        <w:t>FPI</w:t>
      </w:r>
      <w:r>
        <w:rPr>
          <w:color w:val="231F20"/>
          <w:spacing w:val="-13"/>
        </w:rPr>
        <w:t> </w:t>
      </w:r>
      <w:r>
        <w:rPr>
          <w:color w:val="231F20"/>
          <w:spacing w:val="-2"/>
        </w:rPr>
        <w:t>se</w:t>
      </w:r>
      <w:r>
        <w:rPr>
          <w:color w:val="231F20"/>
          <w:spacing w:val="-13"/>
        </w:rPr>
        <w:t> </w:t>
      </w:r>
      <w:r>
        <w:rPr>
          <w:color w:val="231F20"/>
          <w:spacing w:val="-2"/>
        </w:rPr>
        <w:t>trouvant</w:t>
      </w:r>
      <w:r>
        <w:rPr>
          <w:color w:val="231F20"/>
          <w:spacing w:val="-13"/>
        </w:rPr>
        <w:t> </w:t>
      </w:r>
      <w:r>
        <w:rPr>
          <w:color w:val="231F20"/>
          <w:spacing w:val="-2"/>
        </w:rPr>
        <w:t>en</w:t>
      </w:r>
      <w:r>
        <w:rPr>
          <w:color w:val="231F20"/>
          <w:spacing w:val="-13"/>
        </w:rPr>
        <w:t> </w:t>
      </w:r>
      <w:r>
        <w:rPr>
          <w:color w:val="231F20"/>
          <w:spacing w:val="-2"/>
        </w:rPr>
        <w:t>Côte</w:t>
      </w:r>
      <w:r>
        <w:rPr>
          <w:color w:val="231F20"/>
          <w:spacing w:val="-13"/>
        </w:rPr>
        <w:t> </w:t>
      </w:r>
      <w:r>
        <w:rPr>
          <w:color w:val="231F20"/>
          <w:spacing w:val="-2"/>
        </w:rPr>
        <w:t>d’ivoire</w:t>
      </w:r>
      <w:r>
        <w:rPr>
          <w:color w:val="231F20"/>
          <w:spacing w:val="-13"/>
        </w:rPr>
        <w:t> </w:t>
      </w:r>
      <w:r>
        <w:rPr>
          <w:color w:val="231F20"/>
          <w:spacing w:val="-2"/>
        </w:rPr>
        <w:t>et</w:t>
      </w:r>
      <w:r>
        <w:rPr>
          <w:color w:val="231F20"/>
          <w:spacing w:val="-13"/>
        </w:rPr>
        <w:t> </w:t>
      </w:r>
      <w:r>
        <w:rPr>
          <w:color w:val="231F20"/>
          <w:spacing w:val="-2"/>
        </w:rPr>
        <w:t>les</w:t>
      </w:r>
      <w:r>
        <w:rPr>
          <w:color w:val="231F20"/>
          <w:spacing w:val="-13"/>
        </w:rPr>
        <w:t> </w:t>
      </w:r>
      <w:r>
        <w:rPr>
          <w:color w:val="231F20"/>
          <w:spacing w:val="-2"/>
        </w:rPr>
        <w:t>gradés </w:t>
      </w:r>
      <w:r>
        <w:rPr>
          <w:color w:val="231F20"/>
        </w:rPr>
        <w:t>de l’Armée qui n’ont pas publiquement fait allégeance au nouveau pouvoir sont emprisonnés</w:t>
      </w:r>
      <w:r>
        <w:rPr>
          <w:color w:val="231F20"/>
          <w:spacing w:val="-3"/>
        </w:rPr>
        <w:t> </w:t>
      </w:r>
      <w:r>
        <w:rPr>
          <w:color w:val="231F20"/>
        </w:rPr>
        <w:t>et leurs comptes</w:t>
      </w:r>
      <w:r>
        <w:rPr>
          <w:color w:val="231F20"/>
          <w:spacing w:val="-3"/>
        </w:rPr>
        <w:t> </w:t>
      </w:r>
      <w:r>
        <w:rPr>
          <w:color w:val="231F20"/>
        </w:rPr>
        <w:t>gelés.</w:t>
      </w:r>
    </w:p>
    <w:p>
      <w:pPr>
        <w:pStyle w:val="BodyText"/>
        <w:spacing w:before="120"/>
        <w:ind w:right="105" w:firstLine="283"/>
      </w:pPr>
      <w:r>
        <w:rPr>
          <w:color w:val="231F20"/>
          <w:spacing w:val="-2"/>
        </w:rPr>
        <w:t>Le</w:t>
      </w:r>
      <w:r>
        <w:rPr>
          <w:color w:val="231F20"/>
          <w:spacing w:val="-8"/>
        </w:rPr>
        <w:t> </w:t>
      </w:r>
      <w:r>
        <w:rPr>
          <w:color w:val="231F20"/>
          <w:spacing w:val="-2"/>
        </w:rPr>
        <w:t>29</w:t>
      </w:r>
      <w:r>
        <w:rPr>
          <w:color w:val="231F20"/>
          <w:spacing w:val="-8"/>
        </w:rPr>
        <w:t> </w:t>
      </w:r>
      <w:r>
        <w:rPr>
          <w:color w:val="231F20"/>
          <w:spacing w:val="-2"/>
        </w:rPr>
        <w:t>novembre,</w:t>
      </w:r>
      <w:r>
        <w:rPr>
          <w:color w:val="231F20"/>
          <w:spacing w:val="-8"/>
        </w:rPr>
        <w:t> </w:t>
      </w:r>
      <w:r>
        <w:rPr>
          <w:color w:val="231F20"/>
          <w:spacing w:val="-2"/>
        </w:rPr>
        <w:t>un</w:t>
      </w:r>
      <w:r>
        <w:rPr>
          <w:color w:val="231F20"/>
          <w:spacing w:val="-11"/>
        </w:rPr>
        <w:t> </w:t>
      </w:r>
      <w:r>
        <w:rPr>
          <w:color w:val="231F20"/>
          <w:spacing w:val="-2"/>
        </w:rPr>
        <w:t>mandat</w:t>
      </w:r>
      <w:r>
        <w:rPr>
          <w:color w:val="231F20"/>
          <w:spacing w:val="-8"/>
        </w:rPr>
        <w:t> </w:t>
      </w:r>
      <w:r>
        <w:rPr>
          <w:color w:val="231F20"/>
          <w:spacing w:val="-2"/>
        </w:rPr>
        <w:t>d’arrêt</w:t>
      </w:r>
      <w:r>
        <w:rPr>
          <w:color w:val="231F20"/>
          <w:spacing w:val="-10"/>
        </w:rPr>
        <w:t> </w:t>
      </w:r>
      <w:r>
        <w:rPr>
          <w:color w:val="231F20"/>
          <w:spacing w:val="-2"/>
        </w:rPr>
        <w:t>émis</w:t>
      </w:r>
      <w:r>
        <w:rPr>
          <w:color w:val="231F20"/>
          <w:spacing w:val="-8"/>
        </w:rPr>
        <w:t> </w:t>
      </w:r>
      <w:r>
        <w:rPr>
          <w:color w:val="231F20"/>
          <w:spacing w:val="-2"/>
        </w:rPr>
        <w:t>par</w:t>
      </w:r>
      <w:r>
        <w:rPr>
          <w:color w:val="231F20"/>
          <w:spacing w:val="-8"/>
        </w:rPr>
        <w:t> </w:t>
      </w:r>
      <w:r>
        <w:rPr>
          <w:color w:val="231F20"/>
          <w:spacing w:val="-2"/>
        </w:rPr>
        <w:t>la</w:t>
      </w:r>
      <w:r>
        <w:rPr>
          <w:color w:val="231F20"/>
          <w:spacing w:val="-11"/>
        </w:rPr>
        <w:t> </w:t>
      </w:r>
      <w:r>
        <w:rPr>
          <w:color w:val="231F20"/>
          <w:spacing w:val="-2"/>
        </w:rPr>
        <w:t>Chambre</w:t>
      </w:r>
      <w:r>
        <w:rPr>
          <w:color w:val="231F20"/>
          <w:spacing w:val="-8"/>
        </w:rPr>
        <w:t> </w:t>
      </w:r>
      <w:r>
        <w:rPr>
          <w:color w:val="231F20"/>
          <w:spacing w:val="-2"/>
        </w:rPr>
        <w:t>préliminaire III</w:t>
      </w:r>
      <w:r>
        <w:rPr>
          <w:color w:val="231F20"/>
          <w:spacing w:val="-13"/>
        </w:rPr>
        <w:t> </w:t>
      </w:r>
      <w:r>
        <w:rPr>
          <w:color w:val="231F20"/>
          <w:spacing w:val="-2"/>
        </w:rPr>
        <w:t>de</w:t>
      </w:r>
      <w:r>
        <w:rPr>
          <w:color w:val="231F20"/>
          <w:spacing w:val="-13"/>
        </w:rPr>
        <w:t> </w:t>
      </w:r>
      <w:r>
        <w:rPr>
          <w:color w:val="231F20"/>
          <w:spacing w:val="-2"/>
        </w:rPr>
        <w:t>la</w:t>
      </w:r>
      <w:r>
        <w:rPr>
          <w:color w:val="231F20"/>
          <w:spacing w:val="-11"/>
        </w:rPr>
        <w:t> </w:t>
      </w:r>
      <w:r>
        <w:rPr>
          <w:color w:val="231F20"/>
          <w:spacing w:val="-2"/>
        </w:rPr>
        <w:t>CPI212,</w:t>
      </w:r>
      <w:r>
        <w:rPr>
          <w:color w:val="231F20"/>
          <w:spacing w:val="-11"/>
        </w:rPr>
        <w:t> </w:t>
      </w:r>
      <w:r>
        <w:rPr>
          <w:color w:val="231F20"/>
          <w:spacing w:val="-2"/>
        </w:rPr>
        <w:t>est</w:t>
      </w:r>
      <w:r>
        <w:rPr>
          <w:color w:val="231F20"/>
          <w:spacing w:val="-13"/>
        </w:rPr>
        <w:t> </w:t>
      </w:r>
      <w:r>
        <w:rPr>
          <w:color w:val="231F20"/>
          <w:spacing w:val="-2"/>
        </w:rPr>
        <w:t>remis</w:t>
      </w:r>
      <w:r>
        <w:rPr>
          <w:color w:val="231F20"/>
          <w:spacing w:val="-11"/>
        </w:rPr>
        <w:t> </w:t>
      </w:r>
      <w:r>
        <w:rPr>
          <w:color w:val="231F20"/>
          <w:spacing w:val="-2"/>
        </w:rPr>
        <w:t>à</w:t>
      </w:r>
      <w:r>
        <w:rPr>
          <w:color w:val="231F20"/>
          <w:spacing w:val="-13"/>
        </w:rPr>
        <w:t> </w:t>
      </w:r>
      <w:r>
        <w:rPr>
          <w:color w:val="231F20"/>
          <w:spacing w:val="-2"/>
        </w:rPr>
        <w:t>Laurent</w:t>
      </w:r>
      <w:r>
        <w:rPr>
          <w:color w:val="231F20"/>
          <w:spacing w:val="-11"/>
        </w:rPr>
        <w:t> </w:t>
      </w:r>
      <w:r>
        <w:rPr>
          <w:color w:val="231F20"/>
          <w:spacing w:val="-2"/>
        </w:rPr>
        <w:t>Gbagbo.</w:t>
      </w:r>
      <w:r>
        <w:rPr>
          <w:color w:val="231F20"/>
          <w:spacing w:val="-13"/>
        </w:rPr>
        <w:t> </w:t>
      </w:r>
      <w:r>
        <w:rPr>
          <w:color w:val="231F20"/>
          <w:spacing w:val="-2"/>
        </w:rPr>
        <w:t>Nuitamment,</w:t>
      </w:r>
      <w:r>
        <w:rPr>
          <w:color w:val="231F20"/>
          <w:spacing w:val="-13"/>
        </w:rPr>
        <w:t> </w:t>
      </w:r>
      <w:r>
        <w:rPr>
          <w:color w:val="231F20"/>
          <w:spacing w:val="-2"/>
        </w:rPr>
        <w:t>il</w:t>
      </w:r>
      <w:r>
        <w:rPr>
          <w:color w:val="231F20"/>
          <w:spacing w:val="-13"/>
        </w:rPr>
        <w:t> </w:t>
      </w:r>
      <w:r>
        <w:rPr>
          <w:color w:val="231F20"/>
          <w:spacing w:val="-2"/>
        </w:rPr>
        <w:t>est</w:t>
      </w:r>
      <w:r>
        <w:rPr>
          <w:color w:val="231F20"/>
          <w:spacing w:val="-12"/>
        </w:rPr>
        <w:t> </w:t>
      </w:r>
      <w:r>
        <w:rPr>
          <w:color w:val="231F20"/>
          <w:spacing w:val="-2"/>
        </w:rPr>
        <w:t>déféré</w:t>
      </w:r>
      <w:r>
        <w:rPr>
          <w:color w:val="231F20"/>
          <w:spacing w:val="-12"/>
        </w:rPr>
        <w:t> </w:t>
      </w:r>
      <w:r>
        <w:rPr>
          <w:color w:val="231F20"/>
          <w:spacing w:val="-2"/>
        </w:rPr>
        <w:t>à </w:t>
      </w:r>
      <w:r>
        <w:rPr>
          <w:color w:val="231F20"/>
          <w:spacing w:val="-4"/>
        </w:rPr>
        <w:t>la</w:t>
      </w:r>
      <w:r>
        <w:rPr>
          <w:color w:val="231F20"/>
          <w:spacing w:val="-11"/>
        </w:rPr>
        <w:t> </w:t>
      </w:r>
      <w:r>
        <w:rPr>
          <w:color w:val="231F20"/>
          <w:spacing w:val="-4"/>
        </w:rPr>
        <w:t>CPI</w:t>
      </w:r>
      <w:r>
        <w:rPr>
          <w:color w:val="231F20"/>
          <w:spacing w:val="-11"/>
        </w:rPr>
        <w:t> </w:t>
      </w:r>
      <w:r>
        <w:rPr>
          <w:color w:val="231F20"/>
          <w:spacing w:val="-4"/>
        </w:rPr>
        <w:t>aux</w:t>
      </w:r>
      <w:r>
        <w:rPr>
          <w:color w:val="231F20"/>
          <w:spacing w:val="-11"/>
        </w:rPr>
        <w:t> </w:t>
      </w:r>
      <w:r>
        <w:rPr>
          <w:color w:val="231F20"/>
          <w:spacing w:val="-4"/>
        </w:rPr>
        <w:t>Pays-Bas</w:t>
      </w:r>
      <w:r>
        <w:rPr>
          <w:color w:val="231F20"/>
          <w:spacing w:val="-11"/>
        </w:rPr>
        <w:t> </w:t>
      </w:r>
      <w:r>
        <w:rPr>
          <w:color w:val="231F20"/>
          <w:spacing w:val="-4"/>
        </w:rPr>
        <w:t>à</w:t>
      </w:r>
      <w:r>
        <w:rPr>
          <w:color w:val="231F20"/>
          <w:spacing w:val="-11"/>
        </w:rPr>
        <w:t> </w:t>
      </w:r>
      <w:r>
        <w:rPr>
          <w:color w:val="231F20"/>
          <w:spacing w:val="-4"/>
        </w:rPr>
        <w:t>bord</w:t>
      </w:r>
      <w:r>
        <w:rPr>
          <w:color w:val="231F20"/>
          <w:spacing w:val="-11"/>
        </w:rPr>
        <w:t> </w:t>
      </w:r>
      <w:r>
        <w:rPr>
          <w:color w:val="231F20"/>
          <w:spacing w:val="-4"/>
        </w:rPr>
        <w:t>d’un</w:t>
      </w:r>
      <w:r>
        <w:rPr>
          <w:color w:val="231F20"/>
          <w:spacing w:val="-11"/>
        </w:rPr>
        <w:t> </w:t>
      </w:r>
      <w:r>
        <w:rPr>
          <w:color w:val="231F20"/>
          <w:spacing w:val="-4"/>
        </w:rPr>
        <w:t>avion</w:t>
      </w:r>
      <w:r>
        <w:rPr>
          <w:color w:val="231F20"/>
          <w:spacing w:val="-11"/>
        </w:rPr>
        <w:t> </w:t>
      </w:r>
      <w:r>
        <w:rPr>
          <w:color w:val="231F20"/>
          <w:spacing w:val="-4"/>
        </w:rPr>
        <w:t>affrété</w:t>
      </w:r>
      <w:r>
        <w:rPr>
          <w:color w:val="231F20"/>
          <w:spacing w:val="-11"/>
        </w:rPr>
        <w:t> </w:t>
      </w:r>
      <w:r>
        <w:rPr>
          <w:color w:val="231F20"/>
          <w:spacing w:val="-4"/>
        </w:rPr>
        <w:t>par</w:t>
      </w:r>
      <w:r>
        <w:rPr>
          <w:color w:val="231F20"/>
          <w:spacing w:val="-11"/>
        </w:rPr>
        <w:t> </w:t>
      </w:r>
      <w:r>
        <w:rPr>
          <w:color w:val="231F20"/>
          <w:spacing w:val="-4"/>
        </w:rPr>
        <w:t>les</w:t>
      </w:r>
      <w:r>
        <w:rPr>
          <w:color w:val="231F20"/>
          <w:spacing w:val="-11"/>
        </w:rPr>
        <w:t> </w:t>
      </w:r>
      <w:r>
        <w:rPr>
          <w:color w:val="231F20"/>
          <w:spacing w:val="-4"/>
        </w:rPr>
        <w:t>autorités</w:t>
      </w:r>
      <w:r>
        <w:rPr>
          <w:color w:val="231F20"/>
          <w:spacing w:val="-11"/>
        </w:rPr>
        <w:t> </w:t>
      </w:r>
      <w:r>
        <w:rPr>
          <w:color w:val="231F20"/>
          <w:spacing w:val="-4"/>
        </w:rPr>
        <w:t>ivoiriennes. </w:t>
      </w:r>
      <w:r>
        <w:rPr>
          <w:color w:val="231F20"/>
        </w:rPr>
        <w:t>De Rotterdam, il est conduit en minibus au centre de détention de La </w:t>
      </w:r>
      <w:r>
        <w:rPr>
          <w:color w:val="231F20"/>
          <w:spacing w:val="-4"/>
        </w:rPr>
        <w:t>Haye</w:t>
      </w:r>
      <w:r>
        <w:rPr>
          <w:color w:val="231F20"/>
        </w:rPr>
        <w:t> </w:t>
      </w:r>
      <w:r>
        <w:rPr>
          <w:color w:val="231F20"/>
          <w:spacing w:val="-4"/>
        </w:rPr>
        <w:t>:</w:t>
      </w:r>
      <w:r>
        <w:rPr>
          <w:color w:val="231F20"/>
          <w:spacing w:val="-9"/>
        </w:rPr>
        <w:t> </w:t>
      </w:r>
      <w:r>
        <w:rPr>
          <w:color w:val="231F20"/>
          <w:spacing w:val="-4"/>
        </w:rPr>
        <w:t>les</w:t>
      </w:r>
      <w:r>
        <w:rPr>
          <w:color w:val="231F20"/>
          <w:spacing w:val="-9"/>
        </w:rPr>
        <w:t> </w:t>
      </w:r>
      <w:r>
        <w:rPr>
          <w:color w:val="231F20"/>
          <w:spacing w:val="-4"/>
        </w:rPr>
        <w:t>images</w:t>
      </w:r>
      <w:r>
        <w:rPr>
          <w:color w:val="231F20"/>
          <w:spacing w:val="-9"/>
        </w:rPr>
        <w:t> </w:t>
      </w:r>
      <w:r>
        <w:rPr>
          <w:color w:val="231F20"/>
          <w:spacing w:val="-4"/>
        </w:rPr>
        <w:t>des</w:t>
      </w:r>
      <w:r>
        <w:rPr>
          <w:color w:val="231F20"/>
          <w:spacing w:val="-9"/>
        </w:rPr>
        <w:t> </w:t>
      </w:r>
      <w:r>
        <w:rPr>
          <w:color w:val="231F20"/>
          <w:spacing w:val="-4"/>
        </w:rPr>
        <w:t>portes</w:t>
      </w:r>
      <w:r>
        <w:rPr>
          <w:color w:val="231F20"/>
          <w:spacing w:val="-7"/>
        </w:rPr>
        <w:t> </w:t>
      </w:r>
      <w:r>
        <w:rPr>
          <w:color w:val="231F20"/>
          <w:spacing w:val="-4"/>
        </w:rPr>
        <w:t>du</w:t>
      </w:r>
      <w:r>
        <w:rPr>
          <w:color w:val="231F20"/>
          <w:spacing w:val="-9"/>
        </w:rPr>
        <w:t> </w:t>
      </w:r>
      <w:r>
        <w:rPr>
          <w:color w:val="231F20"/>
          <w:spacing w:val="-4"/>
        </w:rPr>
        <w:t>pénitencier</w:t>
      </w:r>
      <w:r>
        <w:rPr>
          <w:color w:val="231F20"/>
          <w:spacing w:val="-7"/>
        </w:rPr>
        <w:t> </w:t>
      </w:r>
      <w:r>
        <w:rPr>
          <w:color w:val="231F20"/>
          <w:spacing w:val="-4"/>
        </w:rPr>
        <w:t>de</w:t>
      </w:r>
      <w:r>
        <w:rPr>
          <w:color w:val="231F20"/>
          <w:spacing w:val="-11"/>
        </w:rPr>
        <w:t> </w:t>
      </w:r>
      <w:r>
        <w:rPr>
          <w:color w:val="231F20"/>
          <w:spacing w:val="-4"/>
        </w:rPr>
        <w:t>Scheveningen</w:t>
      </w:r>
      <w:r>
        <w:rPr>
          <w:color w:val="231F20"/>
          <w:spacing w:val="-9"/>
        </w:rPr>
        <w:t> </w:t>
      </w:r>
      <w:r>
        <w:rPr>
          <w:color w:val="231F20"/>
          <w:spacing w:val="-4"/>
        </w:rPr>
        <w:t>se</w:t>
      </w:r>
      <w:r>
        <w:rPr>
          <w:color w:val="231F20"/>
          <w:spacing w:val="-6"/>
        </w:rPr>
        <w:t> </w:t>
      </w:r>
      <w:r>
        <w:rPr>
          <w:color w:val="231F20"/>
          <w:spacing w:val="-4"/>
        </w:rPr>
        <w:t>refermant </w:t>
      </w:r>
      <w:r>
        <w:rPr>
          <w:color w:val="231F20"/>
        </w:rPr>
        <w:t>derrière</w:t>
      </w:r>
      <w:r>
        <w:rPr>
          <w:color w:val="231F20"/>
          <w:spacing w:val="-6"/>
        </w:rPr>
        <w:t> </w:t>
      </w:r>
      <w:r>
        <w:rPr>
          <w:color w:val="231F20"/>
        </w:rPr>
        <w:t>le</w:t>
      </w:r>
      <w:r>
        <w:rPr>
          <w:color w:val="231F20"/>
          <w:spacing w:val="-6"/>
        </w:rPr>
        <w:t> </w:t>
      </w:r>
      <w:r>
        <w:rPr>
          <w:color w:val="231F20"/>
        </w:rPr>
        <w:t>véhicule</w:t>
      </w:r>
      <w:r>
        <w:rPr>
          <w:color w:val="231F20"/>
          <w:spacing w:val="-8"/>
        </w:rPr>
        <w:t> </w:t>
      </w:r>
      <w:r>
        <w:rPr>
          <w:color w:val="231F20"/>
        </w:rPr>
        <w:t>qui</w:t>
      </w:r>
      <w:r>
        <w:rPr>
          <w:color w:val="231F20"/>
          <w:spacing w:val="-7"/>
        </w:rPr>
        <w:t> </w:t>
      </w:r>
      <w:r>
        <w:rPr>
          <w:color w:val="231F20"/>
        </w:rPr>
        <w:t>le</w:t>
      </w:r>
      <w:r>
        <w:rPr>
          <w:color w:val="231F20"/>
          <w:spacing w:val="-8"/>
        </w:rPr>
        <w:t> </w:t>
      </w:r>
      <w:r>
        <w:rPr>
          <w:color w:val="231F20"/>
        </w:rPr>
        <w:t>transporte</w:t>
      </w:r>
      <w:r>
        <w:rPr>
          <w:color w:val="231F20"/>
          <w:spacing w:val="-4"/>
        </w:rPr>
        <w:t> </w:t>
      </w:r>
      <w:r>
        <w:rPr>
          <w:color w:val="231F20"/>
        </w:rPr>
        <w:t>font</w:t>
      </w:r>
      <w:r>
        <w:rPr>
          <w:color w:val="231F20"/>
          <w:spacing w:val="-4"/>
        </w:rPr>
        <w:t> </w:t>
      </w:r>
      <w:r>
        <w:rPr>
          <w:color w:val="231F20"/>
        </w:rPr>
        <w:t>alors</w:t>
      </w:r>
      <w:r>
        <w:rPr>
          <w:color w:val="231F20"/>
          <w:spacing w:val="-8"/>
        </w:rPr>
        <w:t> </w:t>
      </w:r>
      <w:r>
        <w:rPr>
          <w:color w:val="231F20"/>
        </w:rPr>
        <w:t>le</w:t>
      </w:r>
      <w:r>
        <w:rPr>
          <w:color w:val="231F20"/>
          <w:spacing w:val="-4"/>
        </w:rPr>
        <w:t> </w:t>
      </w:r>
      <w:r>
        <w:rPr>
          <w:color w:val="231F20"/>
        </w:rPr>
        <w:t>tour</w:t>
      </w:r>
      <w:r>
        <w:rPr>
          <w:color w:val="231F20"/>
          <w:spacing w:val="-6"/>
        </w:rPr>
        <w:t> </w:t>
      </w:r>
      <w:r>
        <w:rPr>
          <w:color w:val="231F20"/>
        </w:rPr>
        <w:t>du</w:t>
      </w:r>
      <w:r>
        <w:rPr>
          <w:color w:val="231F20"/>
          <w:spacing w:val="-4"/>
        </w:rPr>
        <w:t> </w:t>
      </w:r>
      <w:r>
        <w:rPr>
          <w:color w:val="231F20"/>
        </w:rPr>
        <w:t>monde.</w:t>
      </w:r>
    </w:p>
    <w:p>
      <w:pPr>
        <w:pStyle w:val="BodyText"/>
        <w:spacing w:before="117"/>
        <w:ind w:right="105" w:firstLine="283"/>
      </w:pPr>
      <w:r>
        <w:rPr>
          <w:color w:val="231F20"/>
          <w:spacing w:val="-2"/>
        </w:rPr>
        <w:t>Le</w:t>
      </w:r>
      <w:r>
        <w:rPr>
          <w:color w:val="231F20"/>
          <w:spacing w:val="-11"/>
        </w:rPr>
        <w:t> </w:t>
      </w:r>
      <w:r>
        <w:rPr>
          <w:color w:val="231F20"/>
          <w:spacing w:val="-2"/>
        </w:rPr>
        <w:t>13</w:t>
      </w:r>
      <w:r>
        <w:rPr>
          <w:color w:val="231F20"/>
          <w:spacing w:val="-12"/>
        </w:rPr>
        <w:t> </w:t>
      </w:r>
      <w:r>
        <w:rPr>
          <w:color w:val="231F20"/>
          <w:spacing w:val="-2"/>
        </w:rPr>
        <w:t>juillet</w:t>
      </w:r>
      <w:r>
        <w:rPr>
          <w:color w:val="231F20"/>
          <w:spacing w:val="-12"/>
        </w:rPr>
        <w:t> </w:t>
      </w:r>
      <w:r>
        <w:rPr>
          <w:color w:val="231F20"/>
          <w:spacing w:val="-2"/>
        </w:rPr>
        <w:t>2011</w:t>
      </w:r>
      <w:r>
        <w:rPr>
          <w:color w:val="231F20"/>
          <w:spacing w:val="-12"/>
        </w:rPr>
        <w:t> </w:t>
      </w:r>
      <w:r>
        <w:rPr>
          <w:color w:val="231F20"/>
          <w:spacing w:val="-2"/>
        </w:rPr>
        <w:t>sous</w:t>
      </w:r>
      <w:r>
        <w:rPr>
          <w:color w:val="231F20"/>
          <w:spacing w:val="-12"/>
        </w:rPr>
        <w:t> </w:t>
      </w:r>
      <w:r>
        <w:rPr>
          <w:color w:val="231F20"/>
          <w:spacing w:val="-2"/>
        </w:rPr>
        <w:t>la</w:t>
      </w:r>
      <w:r>
        <w:rPr>
          <w:color w:val="231F20"/>
          <w:spacing w:val="-12"/>
        </w:rPr>
        <w:t> </w:t>
      </w:r>
      <w:r>
        <w:rPr>
          <w:color w:val="231F20"/>
          <w:spacing w:val="-2"/>
        </w:rPr>
        <w:t>présidence</w:t>
      </w:r>
      <w:r>
        <w:rPr>
          <w:color w:val="231F20"/>
          <w:spacing w:val="-13"/>
        </w:rPr>
        <w:t> </w:t>
      </w:r>
      <w:r>
        <w:rPr>
          <w:color w:val="231F20"/>
          <w:spacing w:val="-2"/>
        </w:rPr>
        <w:t>de</w:t>
      </w:r>
      <w:r>
        <w:rPr>
          <w:color w:val="231F20"/>
          <w:spacing w:val="-12"/>
        </w:rPr>
        <w:t> </w:t>
      </w:r>
      <w:r>
        <w:rPr>
          <w:color w:val="231F20"/>
          <w:spacing w:val="-2"/>
        </w:rPr>
        <w:t>Charles</w:t>
      </w:r>
      <w:r>
        <w:rPr>
          <w:color w:val="231F20"/>
          <w:spacing w:val="-10"/>
        </w:rPr>
        <w:t> </w:t>
      </w:r>
      <w:r>
        <w:rPr>
          <w:color w:val="231F20"/>
          <w:spacing w:val="-2"/>
        </w:rPr>
        <w:t>Konan</w:t>
      </w:r>
      <w:r>
        <w:rPr>
          <w:color w:val="231F20"/>
          <w:spacing w:val="-12"/>
        </w:rPr>
        <w:t> </w:t>
      </w:r>
      <w:r>
        <w:rPr>
          <w:color w:val="231F20"/>
          <w:spacing w:val="-2"/>
        </w:rPr>
        <w:t>Banny,</w:t>
      </w:r>
      <w:r>
        <w:rPr>
          <w:color w:val="231F20"/>
          <w:spacing w:val="-12"/>
        </w:rPr>
        <w:t> </w:t>
      </w:r>
      <w:r>
        <w:rPr>
          <w:color w:val="231F20"/>
          <w:spacing w:val="-2"/>
        </w:rPr>
        <w:t>ancien </w:t>
      </w:r>
      <w:r>
        <w:rPr>
          <w:color w:val="231F20"/>
        </w:rPr>
        <w:t>Premier</w:t>
      </w:r>
      <w:r>
        <w:rPr>
          <w:color w:val="231F20"/>
          <w:spacing w:val="-15"/>
        </w:rPr>
        <w:t> </w:t>
      </w:r>
      <w:r>
        <w:rPr>
          <w:color w:val="231F20"/>
        </w:rPr>
        <w:t>Ministre,</w:t>
      </w:r>
      <w:r>
        <w:rPr>
          <w:color w:val="231F20"/>
          <w:spacing w:val="-10"/>
        </w:rPr>
        <w:t> </w:t>
      </w:r>
      <w:r>
        <w:rPr>
          <w:color w:val="231F20"/>
        </w:rPr>
        <w:t>est</w:t>
      </w:r>
      <w:r>
        <w:rPr>
          <w:color w:val="231F20"/>
          <w:spacing w:val="-11"/>
        </w:rPr>
        <w:t> </w:t>
      </w:r>
      <w:r>
        <w:rPr>
          <w:color w:val="231F20"/>
        </w:rPr>
        <w:t>mise</w:t>
      </w:r>
      <w:r>
        <w:rPr>
          <w:color w:val="231F20"/>
          <w:spacing w:val="-12"/>
        </w:rPr>
        <w:t> </w:t>
      </w:r>
      <w:r>
        <w:rPr>
          <w:color w:val="231F20"/>
        </w:rPr>
        <w:t>en</w:t>
      </w:r>
      <w:r>
        <w:rPr>
          <w:color w:val="231F20"/>
          <w:spacing w:val="-12"/>
        </w:rPr>
        <w:t> </w:t>
      </w:r>
      <w:r>
        <w:rPr>
          <w:color w:val="231F20"/>
        </w:rPr>
        <w:t>place</w:t>
      </w:r>
      <w:r>
        <w:rPr>
          <w:color w:val="231F20"/>
          <w:spacing w:val="-12"/>
        </w:rPr>
        <w:t> </w:t>
      </w:r>
      <w:r>
        <w:rPr>
          <w:color w:val="231F20"/>
        </w:rPr>
        <w:t>la</w:t>
      </w:r>
      <w:r>
        <w:rPr>
          <w:color w:val="231F20"/>
          <w:spacing w:val="-11"/>
        </w:rPr>
        <w:t> </w:t>
      </w:r>
      <w:r>
        <w:rPr>
          <w:color w:val="231F20"/>
        </w:rPr>
        <w:t>Commission</w:t>
      </w:r>
      <w:r>
        <w:rPr>
          <w:color w:val="231F20"/>
          <w:spacing w:val="-13"/>
        </w:rPr>
        <w:t> </w:t>
      </w:r>
      <w:r>
        <w:rPr>
          <w:color w:val="231F20"/>
        </w:rPr>
        <w:t>«</w:t>
      </w:r>
      <w:r>
        <w:rPr>
          <w:color w:val="231F20"/>
          <w:spacing w:val="-15"/>
        </w:rPr>
        <w:t> </w:t>
      </w:r>
      <w:r>
        <w:rPr>
          <w:color w:val="231F20"/>
        </w:rPr>
        <w:t>Dialogue</w:t>
      </w:r>
      <w:r>
        <w:rPr>
          <w:color w:val="231F20"/>
          <w:spacing w:val="-12"/>
        </w:rPr>
        <w:t> </w:t>
      </w:r>
      <w:r>
        <w:rPr>
          <w:color w:val="231F20"/>
        </w:rPr>
        <w:t>Vérité</w:t>
      </w:r>
      <w:r>
        <w:rPr>
          <w:color w:val="231F20"/>
          <w:spacing w:val="-12"/>
        </w:rPr>
        <w:t> </w:t>
      </w:r>
      <w:r>
        <w:rPr>
          <w:color w:val="231F20"/>
        </w:rPr>
        <w:t>et Réconciliation</w:t>
      </w:r>
      <w:r>
        <w:rPr>
          <w:color w:val="231F20"/>
          <w:spacing w:val="-13"/>
        </w:rPr>
        <w:t> </w:t>
      </w:r>
      <w:r>
        <w:rPr>
          <w:color w:val="231F20"/>
        </w:rPr>
        <w:t>»</w:t>
      </w:r>
      <w:r>
        <w:rPr>
          <w:color w:val="231F20"/>
          <w:spacing w:val="-11"/>
        </w:rPr>
        <w:t> </w:t>
      </w:r>
      <w:r>
        <w:rPr>
          <w:color w:val="231F20"/>
        </w:rPr>
        <w:t>(CDVR) dont la mission est d`œuvrer en toute </w:t>
      </w:r>
      <w:r>
        <w:rPr>
          <w:color w:val="231F20"/>
          <w:spacing w:val="-4"/>
        </w:rPr>
        <w:t>indépendance</w:t>
      </w:r>
      <w:r>
        <w:rPr>
          <w:color w:val="231F20"/>
          <w:spacing w:val="-8"/>
        </w:rPr>
        <w:t> </w:t>
      </w:r>
      <w:r>
        <w:rPr>
          <w:color w:val="231F20"/>
          <w:spacing w:val="-4"/>
        </w:rPr>
        <w:t>à</w:t>
      </w:r>
      <w:r>
        <w:rPr>
          <w:color w:val="231F20"/>
          <w:spacing w:val="-8"/>
        </w:rPr>
        <w:t> </w:t>
      </w:r>
      <w:r>
        <w:rPr>
          <w:color w:val="231F20"/>
          <w:spacing w:val="-4"/>
        </w:rPr>
        <w:t>la</w:t>
      </w:r>
      <w:r>
        <w:rPr>
          <w:color w:val="231F20"/>
          <w:spacing w:val="-8"/>
        </w:rPr>
        <w:t> </w:t>
      </w:r>
      <w:r>
        <w:rPr>
          <w:color w:val="231F20"/>
          <w:spacing w:val="-4"/>
        </w:rPr>
        <w:t>réconciliation</w:t>
      </w:r>
      <w:r>
        <w:rPr>
          <w:color w:val="231F20"/>
          <w:spacing w:val="-10"/>
        </w:rPr>
        <w:t> </w:t>
      </w:r>
      <w:r>
        <w:rPr>
          <w:color w:val="231F20"/>
          <w:spacing w:val="-4"/>
        </w:rPr>
        <w:t>et</w:t>
      </w:r>
      <w:r>
        <w:rPr>
          <w:color w:val="231F20"/>
          <w:spacing w:val="-7"/>
        </w:rPr>
        <w:t> </w:t>
      </w:r>
      <w:r>
        <w:rPr>
          <w:color w:val="231F20"/>
          <w:spacing w:val="-4"/>
        </w:rPr>
        <w:t>au</w:t>
      </w:r>
      <w:r>
        <w:rPr>
          <w:color w:val="231F20"/>
          <w:spacing w:val="-9"/>
        </w:rPr>
        <w:t> </w:t>
      </w:r>
      <w:r>
        <w:rPr>
          <w:color w:val="231F20"/>
          <w:spacing w:val="-4"/>
        </w:rPr>
        <w:t>renforcement</w:t>
      </w:r>
      <w:r>
        <w:rPr>
          <w:color w:val="231F20"/>
          <w:spacing w:val="-11"/>
        </w:rPr>
        <w:t> </w:t>
      </w:r>
      <w:r>
        <w:rPr>
          <w:color w:val="231F20"/>
          <w:spacing w:val="-4"/>
        </w:rPr>
        <w:t>de</w:t>
      </w:r>
      <w:r>
        <w:rPr>
          <w:color w:val="231F20"/>
          <w:spacing w:val="-9"/>
        </w:rPr>
        <w:t> </w:t>
      </w:r>
      <w:r>
        <w:rPr>
          <w:color w:val="231F20"/>
          <w:spacing w:val="-4"/>
        </w:rPr>
        <w:t>la</w:t>
      </w:r>
      <w:r>
        <w:rPr>
          <w:color w:val="231F20"/>
          <w:spacing w:val="-9"/>
        </w:rPr>
        <w:t> </w:t>
      </w:r>
      <w:r>
        <w:rPr>
          <w:color w:val="231F20"/>
          <w:spacing w:val="-4"/>
        </w:rPr>
        <w:t>cohésion</w:t>
      </w:r>
      <w:r>
        <w:rPr>
          <w:color w:val="231F20"/>
          <w:spacing w:val="-11"/>
        </w:rPr>
        <w:t> </w:t>
      </w:r>
      <w:r>
        <w:rPr>
          <w:color w:val="231F20"/>
          <w:spacing w:val="-4"/>
        </w:rPr>
        <w:t>sociale entre</w:t>
      </w:r>
      <w:r>
        <w:rPr>
          <w:color w:val="231F20"/>
          <w:spacing w:val="-11"/>
        </w:rPr>
        <w:t> </w:t>
      </w:r>
      <w:r>
        <w:rPr>
          <w:color w:val="231F20"/>
          <w:spacing w:val="-4"/>
        </w:rPr>
        <w:t>toutes</w:t>
      </w:r>
      <w:r>
        <w:rPr>
          <w:color w:val="231F20"/>
          <w:spacing w:val="-11"/>
        </w:rPr>
        <w:t> </w:t>
      </w:r>
      <w:r>
        <w:rPr>
          <w:color w:val="231F20"/>
          <w:spacing w:val="-4"/>
        </w:rPr>
        <w:t>les</w:t>
      </w:r>
      <w:r>
        <w:rPr>
          <w:color w:val="231F20"/>
          <w:spacing w:val="-11"/>
        </w:rPr>
        <w:t> </w:t>
      </w:r>
      <w:r>
        <w:rPr>
          <w:color w:val="231F20"/>
          <w:spacing w:val="-4"/>
        </w:rPr>
        <w:t>communautés</w:t>
      </w:r>
      <w:r>
        <w:rPr>
          <w:color w:val="231F20"/>
          <w:spacing w:val="-11"/>
        </w:rPr>
        <w:t> </w:t>
      </w:r>
      <w:r>
        <w:rPr>
          <w:color w:val="231F20"/>
          <w:spacing w:val="-4"/>
        </w:rPr>
        <w:t>vivant</w:t>
      </w:r>
      <w:r>
        <w:rPr>
          <w:color w:val="231F20"/>
          <w:spacing w:val="-11"/>
        </w:rPr>
        <w:t> </w:t>
      </w:r>
      <w:r>
        <w:rPr>
          <w:color w:val="231F20"/>
          <w:spacing w:val="-4"/>
        </w:rPr>
        <w:t>en</w:t>
      </w:r>
      <w:r>
        <w:rPr>
          <w:color w:val="231F20"/>
          <w:spacing w:val="-11"/>
        </w:rPr>
        <w:t> </w:t>
      </w:r>
      <w:r>
        <w:rPr>
          <w:color w:val="231F20"/>
          <w:spacing w:val="-4"/>
        </w:rPr>
        <w:t>Côte</w:t>
      </w:r>
      <w:r>
        <w:rPr>
          <w:color w:val="231F20"/>
          <w:spacing w:val="-11"/>
        </w:rPr>
        <w:t> </w:t>
      </w:r>
      <w:r>
        <w:rPr>
          <w:color w:val="231F20"/>
          <w:spacing w:val="-4"/>
        </w:rPr>
        <w:t>d’Ivoire.</w:t>
      </w:r>
      <w:r>
        <w:rPr>
          <w:color w:val="231F20"/>
          <w:spacing w:val="-11"/>
        </w:rPr>
        <w:t> </w:t>
      </w:r>
      <w:r>
        <w:rPr>
          <w:color w:val="231F20"/>
          <w:spacing w:val="-4"/>
        </w:rPr>
        <w:t>À</w:t>
      </w:r>
      <w:r>
        <w:rPr>
          <w:color w:val="231F20"/>
          <w:spacing w:val="-11"/>
        </w:rPr>
        <w:t> </w:t>
      </w:r>
      <w:r>
        <w:rPr>
          <w:color w:val="231F20"/>
          <w:spacing w:val="-4"/>
        </w:rPr>
        <w:t>ce</w:t>
      </w:r>
      <w:r>
        <w:rPr>
          <w:color w:val="231F20"/>
          <w:spacing w:val="-11"/>
        </w:rPr>
        <w:t> </w:t>
      </w:r>
      <w:r>
        <w:rPr>
          <w:color w:val="231F20"/>
          <w:spacing w:val="-4"/>
        </w:rPr>
        <w:t>titre</w:t>
      </w:r>
      <w:r>
        <w:rPr>
          <w:color w:val="231F20"/>
          <w:spacing w:val="-11"/>
        </w:rPr>
        <w:t> </w:t>
      </w:r>
      <w:r>
        <w:rPr>
          <w:color w:val="231F20"/>
          <w:spacing w:val="-4"/>
        </w:rPr>
        <w:t>elle</w:t>
      </w:r>
      <w:r>
        <w:rPr>
          <w:color w:val="231F20"/>
          <w:spacing w:val="-11"/>
        </w:rPr>
        <w:t> </w:t>
      </w:r>
      <w:r>
        <w:rPr>
          <w:color w:val="231F20"/>
          <w:spacing w:val="-4"/>
        </w:rPr>
        <w:t>devait </w:t>
      </w:r>
      <w:r>
        <w:rPr>
          <w:color w:val="231F20"/>
        </w:rPr>
        <w:t>entre autres missions, situer les responsabilités sur les événements </w:t>
      </w:r>
      <w:r>
        <w:rPr>
          <w:color w:val="231F20"/>
          <w:spacing w:val="-4"/>
        </w:rPr>
        <w:t>sociopolitiques nationaux passés et récents, entendre les victimes, obtenir </w:t>
      </w:r>
      <w:r>
        <w:rPr>
          <w:color w:val="231F20"/>
        </w:rPr>
        <w:t>la</w:t>
      </w:r>
      <w:r>
        <w:rPr>
          <w:color w:val="231F20"/>
          <w:spacing w:val="-8"/>
        </w:rPr>
        <w:t> </w:t>
      </w:r>
      <w:r>
        <w:rPr>
          <w:color w:val="231F20"/>
        </w:rPr>
        <w:t>reconnaissance</w:t>
      </w:r>
      <w:r>
        <w:rPr>
          <w:color w:val="231F20"/>
          <w:spacing w:val="-8"/>
        </w:rPr>
        <w:t> </w:t>
      </w:r>
      <w:r>
        <w:rPr>
          <w:color w:val="231F20"/>
        </w:rPr>
        <w:t>des</w:t>
      </w:r>
      <w:r>
        <w:rPr>
          <w:color w:val="231F20"/>
          <w:spacing w:val="-10"/>
        </w:rPr>
        <w:t> </w:t>
      </w:r>
      <w:r>
        <w:rPr>
          <w:color w:val="231F20"/>
        </w:rPr>
        <w:t>faits</w:t>
      </w:r>
      <w:r>
        <w:rPr>
          <w:color w:val="231F20"/>
          <w:spacing w:val="-7"/>
        </w:rPr>
        <w:t> </w:t>
      </w:r>
      <w:r>
        <w:rPr>
          <w:color w:val="231F20"/>
        </w:rPr>
        <w:t>par</w:t>
      </w:r>
      <w:r>
        <w:rPr>
          <w:color w:val="231F20"/>
          <w:spacing w:val="-7"/>
        </w:rPr>
        <w:t> </w:t>
      </w:r>
      <w:r>
        <w:rPr>
          <w:color w:val="231F20"/>
        </w:rPr>
        <w:t>les</w:t>
      </w:r>
      <w:r>
        <w:rPr>
          <w:color w:val="231F20"/>
          <w:spacing w:val="-7"/>
        </w:rPr>
        <w:t> </w:t>
      </w:r>
      <w:r>
        <w:rPr>
          <w:color w:val="231F20"/>
        </w:rPr>
        <w:t>auteurs</w:t>
      </w:r>
      <w:r>
        <w:rPr>
          <w:color w:val="231F20"/>
          <w:spacing w:val="-7"/>
        </w:rPr>
        <w:t> </w:t>
      </w:r>
      <w:r>
        <w:rPr>
          <w:color w:val="231F20"/>
        </w:rPr>
        <w:t>des</w:t>
      </w:r>
      <w:r>
        <w:rPr>
          <w:color w:val="231F20"/>
          <w:spacing w:val="-10"/>
        </w:rPr>
        <w:t> </w:t>
      </w:r>
      <w:r>
        <w:rPr>
          <w:color w:val="231F20"/>
        </w:rPr>
        <w:t>violations</w:t>
      </w:r>
      <w:r>
        <w:rPr>
          <w:color w:val="231F20"/>
          <w:spacing w:val="-10"/>
        </w:rPr>
        <w:t> </w:t>
      </w:r>
      <w:r>
        <w:rPr>
          <w:color w:val="231F20"/>
        </w:rPr>
        <w:t>incriminées</w:t>
      </w:r>
      <w:r>
        <w:rPr>
          <w:color w:val="231F20"/>
          <w:spacing w:val="-7"/>
        </w:rPr>
        <w:t> </w:t>
      </w:r>
      <w:r>
        <w:rPr>
          <w:color w:val="231F20"/>
        </w:rPr>
        <w:t>…</w:t>
      </w:r>
    </w:p>
    <w:p>
      <w:pPr>
        <w:pStyle w:val="BodyText"/>
        <w:spacing w:before="121"/>
        <w:ind w:right="105" w:firstLine="283"/>
      </w:pPr>
      <w:r>
        <w:rPr>
          <w:color w:val="231F20"/>
        </w:rPr>
        <w:t>En janvier 2013, Charles Blé Goudé</w:t>
      </w:r>
      <w:r>
        <w:rPr>
          <w:color w:val="231F20"/>
          <w:vertAlign w:val="superscript"/>
        </w:rPr>
        <w:t>213</w:t>
      </w:r>
      <w:r>
        <w:rPr>
          <w:color w:val="231F20"/>
          <w:spacing w:val="-15"/>
          <w:vertAlign w:val="baseline"/>
        </w:rPr>
        <w:t> </w:t>
      </w:r>
      <w:r>
        <w:rPr>
          <w:color w:val="231F20"/>
          <w:vertAlign w:val="baseline"/>
        </w:rPr>
        <w:t>est arrêté au Ghana. Il est </w:t>
      </w:r>
      <w:r>
        <w:rPr>
          <w:color w:val="231F20"/>
          <w:spacing w:val="-2"/>
          <w:vertAlign w:val="baseline"/>
        </w:rPr>
        <w:t>transféré</w:t>
      </w:r>
      <w:r>
        <w:rPr>
          <w:color w:val="231F20"/>
          <w:spacing w:val="-8"/>
          <w:vertAlign w:val="baseline"/>
        </w:rPr>
        <w:t> </w:t>
      </w:r>
      <w:r>
        <w:rPr>
          <w:color w:val="231F20"/>
          <w:spacing w:val="-2"/>
          <w:vertAlign w:val="baseline"/>
        </w:rPr>
        <w:t>en</w:t>
      </w:r>
      <w:r>
        <w:rPr>
          <w:color w:val="231F20"/>
          <w:spacing w:val="-9"/>
          <w:vertAlign w:val="baseline"/>
        </w:rPr>
        <w:t> </w:t>
      </w:r>
      <w:r>
        <w:rPr>
          <w:color w:val="231F20"/>
          <w:spacing w:val="-2"/>
          <w:vertAlign w:val="baseline"/>
        </w:rPr>
        <w:t>Côte</w:t>
      </w:r>
      <w:r>
        <w:rPr>
          <w:color w:val="231F20"/>
          <w:spacing w:val="-10"/>
          <w:vertAlign w:val="baseline"/>
        </w:rPr>
        <w:t> </w:t>
      </w:r>
      <w:r>
        <w:rPr>
          <w:color w:val="231F20"/>
          <w:spacing w:val="-2"/>
          <w:vertAlign w:val="baseline"/>
        </w:rPr>
        <w:t>d'Ivoire.</w:t>
      </w:r>
      <w:r>
        <w:rPr>
          <w:color w:val="231F20"/>
          <w:spacing w:val="-9"/>
          <w:vertAlign w:val="baseline"/>
        </w:rPr>
        <w:t> </w:t>
      </w:r>
      <w:r>
        <w:rPr>
          <w:color w:val="231F20"/>
          <w:spacing w:val="-2"/>
          <w:vertAlign w:val="baseline"/>
        </w:rPr>
        <w:t>Les</w:t>
      </w:r>
      <w:r>
        <w:rPr>
          <w:color w:val="231F20"/>
          <w:spacing w:val="-9"/>
          <w:vertAlign w:val="baseline"/>
        </w:rPr>
        <w:t> </w:t>
      </w:r>
      <w:r>
        <w:rPr>
          <w:color w:val="231F20"/>
          <w:spacing w:val="-2"/>
          <w:vertAlign w:val="baseline"/>
        </w:rPr>
        <w:t>autorités</w:t>
      </w:r>
      <w:r>
        <w:rPr>
          <w:color w:val="231F20"/>
          <w:spacing w:val="-9"/>
          <w:vertAlign w:val="baseline"/>
        </w:rPr>
        <w:t> </w:t>
      </w:r>
      <w:r>
        <w:rPr>
          <w:color w:val="231F20"/>
          <w:spacing w:val="-2"/>
          <w:vertAlign w:val="baseline"/>
        </w:rPr>
        <w:t>ivoiriennes</w:t>
      </w:r>
      <w:r>
        <w:rPr>
          <w:color w:val="231F20"/>
          <w:spacing w:val="-9"/>
          <w:vertAlign w:val="baseline"/>
        </w:rPr>
        <w:t> </w:t>
      </w:r>
      <w:r>
        <w:rPr>
          <w:color w:val="231F20"/>
          <w:spacing w:val="-2"/>
          <w:vertAlign w:val="baseline"/>
        </w:rPr>
        <w:t>le</w:t>
      </w:r>
      <w:r>
        <w:rPr>
          <w:color w:val="231F20"/>
          <w:spacing w:val="-8"/>
          <w:vertAlign w:val="baseline"/>
        </w:rPr>
        <w:t> </w:t>
      </w:r>
      <w:r>
        <w:rPr>
          <w:color w:val="231F20"/>
          <w:spacing w:val="-2"/>
          <w:vertAlign w:val="baseline"/>
        </w:rPr>
        <w:t>livre</w:t>
      </w:r>
      <w:r>
        <w:rPr>
          <w:color w:val="231F20"/>
          <w:spacing w:val="-11"/>
          <w:vertAlign w:val="baseline"/>
        </w:rPr>
        <w:t> </w:t>
      </w:r>
      <w:r>
        <w:rPr>
          <w:color w:val="231F20"/>
          <w:spacing w:val="-2"/>
          <w:vertAlign w:val="baseline"/>
        </w:rPr>
        <w:t>à</w:t>
      </w:r>
      <w:r>
        <w:rPr>
          <w:color w:val="231F20"/>
          <w:spacing w:val="-9"/>
          <w:vertAlign w:val="baseline"/>
        </w:rPr>
        <w:t> </w:t>
      </w:r>
      <w:r>
        <w:rPr>
          <w:color w:val="231F20"/>
          <w:spacing w:val="-2"/>
          <w:vertAlign w:val="baseline"/>
        </w:rPr>
        <w:t>la</w:t>
      </w:r>
      <w:r>
        <w:rPr>
          <w:color w:val="231F20"/>
          <w:spacing w:val="-9"/>
          <w:vertAlign w:val="baseline"/>
        </w:rPr>
        <w:t> </w:t>
      </w:r>
      <w:r>
        <w:rPr>
          <w:color w:val="231F20"/>
          <w:spacing w:val="-2"/>
          <w:vertAlign w:val="baseline"/>
        </w:rPr>
        <w:t>CPI</w:t>
      </w:r>
      <w:r>
        <w:rPr>
          <w:color w:val="231F20"/>
          <w:spacing w:val="-10"/>
          <w:vertAlign w:val="baseline"/>
        </w:rPr>
        <w:t> </w:t>
      </w:r>
      <w:r>
        <w:rPr>
          <w:color w:val="231F20"/>
          <w:spacing w:val="-2"/>
          <w:vertAlign w:val="baseline"/>
        </w:rPr>
        <w:t>le</w:t>
      </w:r>
      <w:r>
        <w:rPr>
          <w:color w:val="231F20"/>
          <w:spacing w:val="-10"/>
          <w:vertAlign w:val="baseline"/>
        </w:rPr>
        <w:t> </w:t>
      </w:r>
      <w:r>
        <w:rPr>
          <w:color w:val="231F20"/>
          <w:spacing w:val="-2"/>
          <w:vertAlign w:val="baseline"/>
        </w:rPr>
        <w:t>22 </w:t>
      </w:r>
      <w:r>
        <w:rPr>
          <w:color w:val="231F20"/>
          <w:vertAlign w:val="baseline"/>
        </w:rPr>
        <w:t>mars 2014.</w:t>
      </w:r>
    </w:p>
    <w:p>
      <w:pPr>
        <w:pStyle w:val="BodyText"/>
        <w:spacing w:before="120"/>
        <w:ind w:right="106" w:firstLine="283"/>
      </w:pPr>
      <w:r>
        <w:rPr>
          <w:color w:val="231F20"/>
        </w:rPr>
        <w:t>Le</w:t>
      </w:r>
      <w:r>
        <w:rPr>
          <w:color w:val="231F20"/>
          <w:spacing w:val="-5"/>
        </w:rPr>
        <w:t> </w:t>
      </w:r>
      <w:r>
        <w:rPr>
          <w:color w:val="231F20"/>
        </w:rPr>
        <w:t>17</w:t>
      </w:r>
      <w:r>
        <w:rPr>
          <w:color w:val="231F20"/>
          <w:spacing w:val="-15"/>
        </w:rPr>
        <w:t> </w:t>
      </w:r>
      <w:r>
        <w:rPr>
          <w:color w:val="231F20"/>
        </w:rPr>
        <w:t>septembre</w:t>
      </w:r>
      <w:r>
        <w:rPr>
          <w:color w:val="231F20"/>
          <w:spacing w:val="-15"/>
        </w:rPr>
        <w:t> </w:t>
      </w:r>
      <w:r>
        <w:rPr>
          <w:color w:val="231F20"/>
        </w:rPr>
        <w:t>2014,</w:t>
      </w:r>
      <w:r>
        <w:rPr>
          <w:color w:val="231F20"/>
          <w:spacing w:val="-1"/>
        </w:rPr>
        <w:t> </w:t>
      </w:r>
      <w:r>
        <w:rPr>
          <w:color w:val="231F20"/>
        </w:rPr>
        <w:t>Henri</w:t>
      </w:r>
      <w:r>
        <w:rPr>
          <w:color w:val="231F20"/>
          <w:spacing w:val="-1"/>
        </w:rPr>
        <w:t> </w:t>
      </w:r>
      <w:r>
        <w:rPr>
          <w:color w:val="231F20"/>
        </w:rPr>
        <w:t>Konan</w:t>
      </w:r>
      <w:r>
        <w:rPr>
          <w:color w:val="231F20"/>
          <w:spacing w:val="-4"/>
        </w:rPr>
        <w:t> </w:t>
      </w:r>
      <w:r>
        <w:rPr>
          <w:color w:val="231F20"/>
        </w:rPr>
        <w:t>Bédié,</w:t>
      </w:r>
      <w:r>
        <w:rPr>
          <w:color w:val="231F20"/>
          <w:spacing w:val="-3"/>
        </w:rPr>
        <w:t> </w:t>
      </w:r>
      <w:r>
        <w:rPr>
          <w:color w:val="231F20"/>
        </w:rPr>
        <w:t>leader</w:t>
      </w:r>
      <w:r>
        <w:rPr>
          <w:color w:val="231F20"/>
          <w:spacing w:val="-3"/>
        </w:rPr>
        <w:t> </w:t>
      </w:r>
      <w:r>
        <w:rPr>
          <w:color w:val="231F20"/>
        </w:rPr>
        <w:t>du</w:t>
      </w:r>
      <w:r>
        <w:rPr>
          <w:color w:val="231F20"/>
          <w:spacing w:val="-1"/>
        </w:rPr>
        <w:t> </w:t>
      </w:r>
      <w:r>
        <w:rPr>
          <w:color w:val="231F20"/>
        </w:rPr>
        <w:t>PDCI,</w:t>
      </w:r>
      <w:r>
        <w:rPr>
          <w:color w:val="231F20"/>
          <w:spacing w:val="-1"/>
        </w:rPr>
        <w:t> </w:t>
      </w:r>
      <w:r>
        <w:rPr>
          <w:color w:val="231F20"/>
        </w:rPr>
        <w:t>lance à ses</w:t>
      </w:r>
      <w:r>
        <w:rPr>
          <w:color w:val="231F20"/>
          <w:spacing w:val="-15"/>
        </w:rPr>
        <w:t> </w:t>
      </w:r>
      <w:r>
        <w:rPr>
          <w:color w:val="231F20"/>
        </w:rPr>
        <w:t>militants</w:t>
      </w:r>
      <w:r>
        <w:rPr>
          <w:color w:val="231F20"/>
          <w:spacing w:val="-15"/>
        </w:rPr>
        <w:t> </w:t>
      </w:r>
      <w:r>
        <w:rPr>
          <w:color w:val="231F20"/>
        </w:rPr>
        <w:t>depuis</w:t>
      </w:r>
      <w:r>
        <w:rPr>
          <w:color w:val="231F20"/>
          <w:spacing w:val="-15"/>
        </w:rPr>
        <w:t> </w:t>
      </w:r>
      <w:r>
        <w:rPr>
          <w:color w:val="231F20"/>
        </w:rPr>
        <w:t>son</w:t>
      </w:r>
      <w:r>
        <w:rPr>
          <w:color w:val="231F20"/>
          <w:spacing w:val="-15"/>
        </w:rPr>
        <w:t> </w:t>
      </w:r>
      <w:r>
        <w:rPr>
          <w:color w:val="231F20"/>
        </w:rPr>
        <w:t>village,</w:t>
      </w:r>
      <w:r>
        <w:rPr>
          <w:color w:val="231F20"/>
          <w:spacing w:val="-15"/>
        </w:rPr>
        <w:t> </w:t>
      </w:r>
      <w:r>
        <w:rPr>
          <w:color w:val="231F20"/>
        </w:rPr>
        <w:t>«</w:t>
      </w:r>
      <w:r>
        <w:rPr>
          <w:color w:val="231F20"/>
          <w:spacing w:val="-15"/>
        </w:rPr>
        <w:t> </w:t>
      </w:r>
      <w:r>
        <w:rPr>
          <w:color w:val="231F20"/>
        </w:rPr>
        <w:t>l’appel</w:t>
      </w:r>
      <w:r>
        <w:rPr>
          <w:color w:val="231F20"/>
          <w:spacing w:val="-15"/>
        </w:rPr>
        <w:t> </w:t>
      </w:r>
      <w:r>
        <w:rPr>
          <w:color w:val="231F20"/>
        </w:rPr>
        <w:t>de</w:t>
      </w:r>
      <w:r>
        <w:rPr>
          <w:color w:val="231F20"/>
          <w:spacing w:val="-14"/>
        </w:rPr>
        <w:t> </w:t>
      </w:r>
      <w:r>
        <w:rPr>
          <w:color w:val="231F20"/>
        </w:rPr>
        <w:t>Daoukro</w:t>
      </w:r>
      <w:r>
        <w:rPr>
          <w:color w:val="231F20"/>
          <w:spacing w:val="-15"/>
        </w:rPr>
        <w:t> </w:t>
      </w:r>
      <w:r>
        <w:rPr>
          <w:color w:val="231F20"/>
        </w:rPr>
        <w:t>».</w:t>
      </w:r>
      <w:r>
        <w:rPr>
          <w:color w:val="231F20"/>
          <w:spacing w:val="-14"/>
        </w:rPr>
        <w:t> </w:t>
      </w:r>
      <w:r>
        <w:rPr>
          <w:color w:val="231F20"/>
        </w:rPr>
        <w:t>Il</w:t>
      </w:r>
      <w:r>
        <w:rPr>
          <w:color w:val="231F20"/>
          <w:spacing w:val="-13"/>
        </w:rPr>
        <w:t> </w:t>
      </w:r>
      <w:r>
        <w:rPr>
          <w:color w:val="231F20"/>
        </w:rPr>
        <w:t>leur</w:t>
      </w:r>
      <w:r>
        <w:rPr>
          <w:color w:val="231F20"/>
          <w:spacing w:val="-14"/>
        </w:rPr>
        <w:t> </w:t>
      </w:r>
      <w:r>
        <w:rPr>
          <w:color w:val="231F20"/>
        </w:rPr>
        <w:t>demande</w:t>
      </w:r>
    </w:p>
    <w:p>
      <w:pPr>
        <w:pStyle w:val="BodyText"/>
        <w:spacing w:before="28"/>
        <w:ind w:left="0"/>
        <w:jc w:val="left"/>
        <w:rPr>
          <w:sz w:val="20"/>
        </w:rPr>
      </w:pPr>
      <w:r>
        <w:rPr/>
        <mc:AlternateContent>
          <mc:Choice Requires="wps">
            <w:drawing>
              <wp:anchor distT="0" distB="0" distL="0" distR="0" allowOverlap="1" layoutInCell="1" locked="0" behindDoc="1" simplePos="0" relativeHeight="487653376">
                <wp:simplePos x="0" y="0"/>
                <wp:positionH relativeFrom="page">
                  <wp:posOffset>629907</wp:posOffset>
                </wp:positionH>
                <wp:positionV relativeFrom="paragraph">
                  <wp:posOffset>179129</wp:posOffset>
                </wp:positionV>
                <wp:extent cx="1829435" cy="9525"/>
                <wp:effectExtent l="0" t="0" r="0" b="0"/>
                <wp:wrapTopAndBottom/>
                <wp:docPr id="157" name="Graphic 157"/>
                <wp:cNvGraphicFramePr>
                  <a:graphicFrameLocks/>
                </wp:cNvGraphicFramePr>
                <a:graphic>
                  <a:graphicData uri="http://schemas.microsoft.com/office/word/2010/wordprocessingShape">
                    <wps:wsp>
                      <wps:cNvPr id="157" name="Graphic 157"/>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104649pt;width:144.020pt;height:.72pt;mso-position-horizontal-relative:page;mso-position-vertical-relative:paragraph;z-index:-15663104;mso-wrap-distance-left:0;mso-wrap-distance-right:0" id="docshape155" filled="true" fillcolor="#231f20" stroked="false">
                <v:fill type="solid"/>
                <w10:wrap type="topAndBottom"/>
              </v:rect>
            </w:pict>
          </mc:Fallback>
        </mc:AlternateContent>
      </w:r>
    </w:p>
    <w:p>
      <w:pPr>
        <w:spacing w:before="91"/>
        <w:ind w:left="111" w:right="106" w:firstLine="0"/>
        <w:jc w:val="both"/>
        <w:rPr>
          <w:sz w:val="20"/>
        </w:rPr>
      </w:pPr>
      <w:r>
        <w:rPr>
          <w:color w:val="76787A"/>
          <w:sz w:val="20"/>
          <w:vertAlign w:val="superscript"/>
        </w:rPr>
        <w:t>212</w:t>
      </w:r>
      <w:r>
        <w:rPr>
          <w:color w:val="76787A"/>
          <w:spacing w:val="40"/>
          <w:sz w:val="20"/>
          <w:vertAlign w:val="baseline"/>
        </w:rPr>
        <w:t> </w:t>
      </w:r>
      <w:r>
        <w:rPr>
          <w:color w:val="231F20"/>
          <w:sz w:val="20"/>
          <w:vertAlign w:val="baseline"/>
        </w:rPr>
        <w:t>La</w:t>
      </w:r>
      <w:r>
        <w:rPr>
          <w:color w:val="231F20"/>
          <w:spacing w:val="-13"/>
          <w:sz w:val="20"/>
          <w:vertAlign w:val="baseline"/>
        </w:rPr>
        <w:t> </w:t>
      </w:r>
      <w:r>
        <w:rPr>
          <w:color w:val="231F20"/>
          <w:sz w:val="20"/>
          <w:vertAlign w:val="baseline"/>
        </w:rPr>
        <w:t>Cour</w:t>
      </w:r>
      <w:r>
        <w:rPr>
          <w:color w:val="231F20"/>
          <w:spacing w:val="40"/>
          <w:sz w:val="20"/>
          <w:vertAlign w:val="baseline"/>
        </w:rPr>
        <w:t> </w:t>
      </w:r>
      <w:r>
        <w:rPr>
          <w:color w:val="231F20"/>
          <w:sz w:val="20"/>
          <w:vertAlign w:val="baseline"/>
        </w:rPr>
        <w:t>pénale</w:t>
      </w:r>
      <w:r>
        <w:rPr>
          <w:color w:val="231F20"/>
          <w:spacing w:val="40"/>
          <w:sz w:val="20"/>
          <w:vertAlign w:val="baseline"/>
        </w:rPr>
        <w:t> </w:t>
      </w:r>
      <w:r>
        <w:rPr>
          <w:color w:val="231F20"/>
          <w:sz w:val="20"/>
          <w:vertAlign w:val="baseline"/>
        </w:rPr>
        <w:t>internationale</w:t>
      </w:r>
      <w:r>
        <w:rPr>
          <w:color w:val="231F20"/>
          <w:spacing w:val="-13"/>
          <w:sz w:val="20"/>
          <w:vertAlign w:val="baseline"/>
        </w:rPr>
        <w:t> </w:t>
      </w:r>
      <w:r>
        <w:rPr>
          <w:color w:val="231F20"/>
          <w:sz w:val="20"/>
          <w:vertAlign w:val="baseline"/>
        </w:rPr>
        <w:t>(CPI</w:t>
      </w:r>
      <w:r>
        <w:rPr>
          <w:color w:val="231F20"/>
          <w:spacing w:val="-12"/>
          <w:sz w:val="20"/>
          <w:vertAlign w:val="baseline"/>
        </w:rPr>
        <w:t> </w:t>
      </w:r>
      <w:r>
        <w:rPr>
          <w:color w:val="231F20"/>
          <w:sz w:val="20"/>
          <w:vertAlign w:val="baseline"/>
        </w:rPr>
        <w:t>)</w:t>
      </w:r>
      <w:r>
        <w:rPr>
          <w:color w:val="231F20"/>
          <w:spacing w:val="40"/>
          <w:sz w:val="20"/>
          <w:vertAlign w:val="baseline"/>
        </w:rPr>
        <w:t> </w:t>
      </w:r>
      <w:r>
        <w:rPr>
          <w:color w:val="231F20"/>
          <w:sz w:val="20"/>
          <w:vertAlign w:val="baseline"/>
        </w:rPr>
        <w:t>est</w:t>
      </w:r>
      <w:r>
        <w:rPr>
          <w:color w:val="231F20"/>
          <w:spacing w:val="40"/>
          <w:sz w:val="20"/>
          <w:vertAlign w:val="baseline"/>
        </w:rPr>
        <w:t> </w:t>
      </w:r>
      <w:r>
        <w:rPr>
          <w:color w:val="231F20"/>
          <w:sz w:val="20"/>
          <w:vertAlign w:val="baseline"/>
        </w:rPr>
        <w:t>une</w:t>
      </w:r>
      <w:r>
        <w:rPr>
          <w:color w:val="231F20"/>
          <w:spacing w:val="-13"/>
          <w:sz w:val="20"/>
          <w:vertAlign w:val="baseline"/>
        </w:rPr>
        <w:t> </w:t>
      </w:r>
      <w:r>
        <w:rPr>
          <w:color w:val="231F20"/>
          <w:sz w:val="20"/>
          <w:vertAlign w:val="baseline"/>
        </w:rPr>
        <w:t>juridiction</w:t>
      </w:r>
      <w:r>
        <w:rPr>
          <w:color w:val="231F20"/>
          <w:spacing w:val="-12"/>
          <w:sz w:val="20"/>
          <w:vertAlign w:val="baseline"/>
        </w:rPr>
        <w:t> </w:t>
      </w:r>
      <w:r>
        <w:rPr>
          <w:color w:val="231F20"/>
          <w:sz w:val="20"/>
          <w:vertAlign w:val="baseline"/>
        </w:rPr>
        <w:t>pénale</w:t>
      </w:r>
      <w:r>
        <w:rPr>
          <w:color w:val="231F20"/>
          <w:spacing w:val="40"/>
          <w:sz w:val="20"/>
          <w:vertAlign w:val="baseline"/>
        </w:rPr>
        <w:t> </w:t>
      </w:r>
      <w:r>
        <w:rPr>
          <w:color w:val="231F20"/>
          <w:sz w:val="20"/>
          <w:vertAlign w:val="baseline"/>
        </w:rPr>
        <w:t>universelle permanente chargée de juger les personnes accusées de</w:t>
      </w:r>
      <w:r>
        <w:rPr>
          <w:color w:val="231F20"/>
          <w:spacing w:val="-13"/>
          <w:sz w:val="20"/>
          <w:vertAlign w:val="baseline"/>
        </w:rPr>
        <w:t> </w:t>
      </w:r>
      <w:r>
        <w:rPr>
          <w:color w:val="231F20"/>
          <w:sz w:val="20"/>
          <w:vertAlign w:val="baseline"/>
        </w:rPr>
        <w:t>génocide, de</w:t>
      </w:r>
      <w:r>
        <w:rPr>
          <w:color w:val="231F20"/>
          <w:spacing w:val="-13"/>
          <w:sz w:val="20"/>
          <w:vertAlign w:val="baseline"/>
        </w:rPr>
        <w:t> </w:t>
      </w:r>
      <w:r>
        <w:rPr>
          <w:color w:val="231F20"/>
          <w:sz w:val="20"/>
          <w:vertAlign w:val="baseline"/>
        </w:rPr>
        <w:t>crime contre l’humanité,</w:t>
      </w:r>
      <w:r>
        <w:rPr>
          <w:color w:val="231F20"/>
          <w:spacing w:val="-4"/>
          <w:sz w:val="20"/>
          <w:vertAlign w:val="baseline"/>
        </w:rPr>
        <w:t> </w:t>
      </w:r>
      <w:r>
        <w:rPr>
          <w:color w:val="231F20"/>
          <w:sz w:val="20"/>
          <w:vertAlign w:val="baseline"/>
        </w:rPr>
        <w:t>de</w:t>
      </w:r>
      <w:r>
        <w:rPr>
          <w:color w:val="231F20"/>
          <w:spacing w:val="-4"/>
          <w:sz w:val="20"/>
          <w:vertAlign w:val="baseline"/>
        </w:rPr>
        <w:t> </w:t>
      </w:r>
      <w:r>
        <w:rPr>
          <w:color w:val="231F20"/>
          <w:sz w:val="20"/>
          <w:vertAlign w:val="baseline"/>
        </w:rPr>
        <w:t>crime</w:t>
      </w:r>
      <w:r>
        <w:rPr>
          <w:color w:val="231F20"/>
          <w:spacing w:val="-3"/>
          <w:sz w:val="20"/>
          <w:vertAlign w:val="baseline"/>
        </w:rPr>
        <w:t> </w:t>
      </w:r>
      <w:r>
        <w:rPr>
          <w:color w:val="231F20"/>
          <w:sz w:val="20"/>
          <w:vertAlign w:val="baseline"/>
        </w:rPr>
        <w:t>d'agression</w:t>
      </w:r>
      <w:r>
        <w:rPr>
          <w:color w:val="231F20"/>
          <w:spacing w:val="-1"/>
          <w:sz w:val="20"/>
          <w:vertAlign w:val="baseline"/>
        </w:rPr>
        <w:t> </w:t>
      </w:r>
      <w:r>
        <w:rPr>
          <w:color w:val="231F20"/>
          <w:sz w:val="20"/>
          <w:vertAlign w:val="baseline"/>
        </w:rPr>
        <w:t>et</w:t>
      </w:r>
      <w:r>
        <w:rPr>
          <w:color w:val="231F20"/>
          <w:spacing w:val="-4"/>
          <w:sz w:val="20"/>
          <w:vertAlign w:val="baseline"/>
        </w:rPr>
        <w:t> </w:t>
      </w:r>
      <w:r>
        <w:rPr>
          <w:color w:val="231F20"/>
          <w:sz w:val="20"/>
          <w:vertAlign w:val="baseline"/>
        </w:rPr>
        <w:t>de</w:t>
      </w:r>
      <w:r>
        <w:rPr>
          <w:color w:val="231F20"/>
          <w:spacing w:val="-2"/>
          <w:sz w:val="20"/>
          <w:vertAlign w:val="baseline"/>
        </w:rPr>
        <w:t> </w:t>
      </w:r>
      <w:r>
        <w:rPr>
          <w:color w:val="231F20"/>
          <w:sz w:val="20"/>
          <w:vertAlign w:val="baseline"/>
        </w:rPr>
        <w:t>crime</w:t>
      </w:r>
      <w:r>
        <w:rPr>
          <w:color w:val="231F20"/>
          <w:spacing w:val="-3"/>
          <w:sz w:val="20"/>
          <w:vertAlign w:val="baseline"/>
        </w:rPr>
        <w:t> </w:t>
      </w:r>
      <w:r>
        <w:rPr>
          <w:color w:val="231F20"/>
          <w:sz w:val="20"/>
          <w:vertAlign w:val="baseline"/>
        </w:rPr>
        <w:t>de</w:t>
      </w:r>
      <w:r>
        <w:rPr>
          <w:color w:val="231F20"/>
          <w:spacing w:val="-4"/>
          <w:sz w:val="20"/>
          <w:vertAlign w:val="baseline"/>
        </w:rPr>
        <w:t> </w:t>
      </w:r>
      <w:r>
        <w:rPr>
          <w:color w:val="231F20"/>
          <w:sz w:val="20"/>
          <w:vertAlign w:val="baseline"/>
        </w:rPr>
        <w:t>guerre.</w:t>
      </w:r>
    </w:p>
    <w:p>
      <w:pPr>
        <w:spacing w:before="0"/>
        <w:ind w:left="111" w:right="102" w:firstLine="0"/>
        <w:jc w:val="both"/>
        <w:rPr>
          <w:sz w:val="20"/>
        </w:rPr>
      </w:pPr>
      <w:r>
        <w:rPr>
          <w:color w:val="76787A"/>
          <w:spacing w:val="-4"/>
          <w:sz w:val="20"/>
          <w:vertAlign w:val="superscript"/>
        </w:rPr>
        <w:t>213</w:t>
      </w:r>
      <w:r>
        <w:rPr>
          <w:color w:val="76787A"/>
          <w:spacing w:val="3"/>
          <w:sz w:val="20"/>
          <w:vertAlign w:val="baseline"/>
        </w:rPr>
        <w:t> </w:t>
      </w:r>
      <w:r>
        <w:rPr>
          <w:color w:val="231F20"/>
          <w:spacing w:val="-4"/>
          <w:sz w:val="20"/>
          <w:vertAlign w:val="baseline"/>
        </w:rPr>
        <w:t>Président</w:t>
      </w:r>
      <w:r>
        <w:rPr>
          <w:color w:val="231F20"/>
          <w:spacing w:val="-8"/>
          <w:sz w:val="20"/>
          <w:vertAlign w:val="baseline"/>
        </w:rPr>
        <w:t> </w:t>
      </w:r>
      <w:r>
        <w:rPr>
          <w:color w:val="231F20"/>
          <w:spacing w:val="-4"/>
          <w:sz w:val="20"/>
          <w:vertAlign w:val="baseline"/>
        </w:rPr>
        <w:t>du</w:t>
      </w:r>
      <w:r>
        <w:rPr>
          <w:color w:val="231F20"/>
          <w:spacing w:val="-6"/>
          <w:sz w:val="20"/>
          <w:vertAlign w:val="baseline"/>
        </w:rPr>
        <w:t> </w:t>
      </w:r>
      <w:r>
        <w:rPr>
          <w:color w:val="231F20"/>
          <w:spacing w:val="-4"/>
          <w:sz w:val="20"/>
          <w:vertAlign w:val="baseline"/>
        </w:rPr>
        <w:t>Congrès</w:t>
      </w:r>
      <w:r>
        <w:rPr>
          <w:color w:val="231F20"/>
          <w:spacing w:val="-9"/>
          <w:sz w:val="20"/>
          <w:vertAlign w:val="baseline"/>
        </w:rPr>
        <w:t> </w:t>
      </w:r>
      <w:r>
        <w:rPr>
          <w:color w:val="231F20"/>
          <w:spacing w:val="-4"/>
          <w:sz w:val="20"/>
          <w:vertAlign w:val="baseline"/>
        </w:rPr>
        <w:t>panafricain</w:t>
      </w:r>
      <w:r>
        <w:rPr>
          <w:color w:val="231F20"/>
          <w:spacing w:val="-5"/>
          <w:sz w:val="20"/>
          <w:vertAlign w:val="baseline"/>
        </w:rPr>
        <w:t> </w:t>
      </w:r>
      <w:r>
        <w:rPr>
          <w:color w:val="231F20"/>
          <w:spacing w:val="-4"/>
          <w:sz w:val="20"/>
          <w:vertAlign w:val="baseline"/>
        </w:rPr>
        <w:t>des</w:t>
      </w:r>
      <w:r>
        <w:rPr>
          <w:color w:val="231F20"/>
          <w:spacing w:val="-7"/>
          <w:sz w:val="20"/>
          <w:vertAlign w:val="baseline"/>
        </w:rPr>
        <w:t> </w:t>
      </w:r>
      <w:r>
        <w:rPr>
          <w:color w:val="231F20"/>
          <w:spacing w:val="-4"/>
          <w:sz w:val="20"/>
          <w:vertAlign w:val="baseline"/>
        </w:rPr>
        <w:t>jeunes</w:t>
      </w:r>
      <w:r>
        <w:rPr>
          <w:color w:val="231F20"/>
          <w:spacing w:val="-7"/>
          <w:sz w:val="20"/>
          <w:vertAlign w:val="baseline"/>
        </w:rPr>
        <w:t> </w:t>
      </w:r>
      <w:r>
        <w:rPr>
          <w:color w:val="231F20"/>
          <w:spacing w:val="-4"/>
          <w:sz w:val="20"/>
          <w:vertAlign w:val="baseline"/>
        </w:rPr>
        <w:t>et</w:t>
      </w:r>
      <w:r>
        <w:rPr>
          <w:color w:val="231F20"/>
          <w:spacing w:val="-9"/>
          <w:sz w:val="20"/>
          <w:vertAlign w:val="baseline"/>
        </w:rPr>
        <w:t> </w:t>
      </w:r>
      <w:r>
        <w:rPr>
          <w:color w:val="231F20"/>
          <w:spacing w:val="-4"/>
          <w:sz w:val="20"/>
          <w:vertAlign w:val="baseline"/>
        </w:rPr>
        <w:t>des</w:t>
      </w:r>
      <w:r>
        <w:rPr>
          <w:color w:val="231F20"/>
          <w:spacing w:val="-8"/>
          <w:sz w:val="20"/>
          <w:vertAlign w:val="baseline"/>
        </w:rPr>
        <w:t> </w:t>
      </w:r>
      <w:r>
        <w:rPr>
          <w:color w:val="231F20"/>
          <w:spacing w:val="-4"/>
          <w:sz w:val="20"/>
          <w:vertAlign w:val="baseline"/>
        </w:rPr>
        <w:t>patriotes</w:t>
      </w:r>
      <w:r>
        <w:rPr>
          <w:color w:val="231F20"/>
          <w:spacing w:val="-7"/>
          <w:sz w:val="20"/>
          <w:vertAlign w:val="baseline"/>
        </w:rPr>
        <w:t> </w:t>
      </w:r>
      <w:r>
        <w:rPr>
          <w:color w:val="231F20"/>
          <w:spacing w:val="-4"/>
          <w:sz w:val="20"/>
          <w:vertAlign w:val="baseline"/>
        </w:rPr>
        <w:t>(COJEP),</w:t>
      </w:r>
      <w:r>
        <w:rPr>
          <w:color w:val="231F20"/>
          <w:spacing w:val="-8"/>
          <w:sz w:val="20"/>
          <w:vertAlign w:val="baseline"/>
        </w:rPr>
        <w:t> </w:t>
      </w:r>
      <w:r>
        <w:rPr>
          <w:color w:val="231F20"/>
          <w:spacing w:val="-4"/>
          <w:sz w:val="20"/>
          <w:vertAlign w:val="baseline"/>
        </w:rPr>
        <w:t>mouvement</w:t>
      </w:r>
      <w:r>
        <w:rPr>
          <w:color w:val="231F20"/>
          <w:spacing w:val="-9"/>
          <w:sz w:val="20"/>
          <w:vertAlign w:val="baseline"/>
        </w:rPr>
        <w:t> </w:t>
      </w:r>
      <w:r>
        <w:rPr>
          <w:color w:val="231F20"/>
          <w:spacing w:val="-4"/>
          <w:sz w:val="20"/>
          <w:vertAlign w:val="baseline"/>
        </w:rPr>
        <w:t>qui </w:t>
      </w:r>
      <w:r>
        <w:rPr>
          <w:color w:val="231F20"/>
          <w:sz w:val="20"/>
          <w:vertAlign w:val="baseline"/>
        </w:rPr>
        <w:t>se</w:t>
      </w:r>
      <w:r>
        <w:rPr>
          <w:color w:val="231F20"/>
          <w:spacing w:val="-13"/>
          <w:sz w:val="20"/>
          <w:vertAlign w:val="baseline"/>
        </w:rPr>
        <w:t> </w:t>
      </w:r>
      <w:r>
        <w:rPr>
          <w:color w:val="231F20"/>
          <w:sz w:val="20"/>
          <w:vertAlign w:val="baseline"/>
        </w:rPr>
        <w:t>déclare</w:t>
      </w:r>
      <w:r>
        <w:rPr>
          <w:color w:val="231F20"/>
          <w:spacing w:val="-12"/>
          <w:sz w:val="20"/>
          <w:vertAlign w:val="baseline"/>
        </w:rPr>
        <w:t> </w:t>
      </w:r>
      <w:r>
        <w:rPr>
          <w:color w:val="231F20"/>
          <w:sz w:val="20"/>
          <w:vertAlign w:val="baseline"/>
        </w:rPr>
        <w:t>en</w:t>
      </w:r>
      <w:r>
        <w:rPr>
          <w:color w:val="231F20"/>
          <w:spacing w:val="-13"/>
          <w:sz w:val="20"/>
          <w:vertAlign w:val="baseline"/>
        </w:rPr>
        <w:t> </w:t>
      </w:r>
      <w:r>
        <w:rPr>
          <w:color w:val="231F20"/>
          <w:sz w:val="20"/>
          <w:vertAlign w:val="baseline"/>
        </w:rPr>
        <w:t>lutte</w:t>
      </w:r>
      <w:r>
        <w:rPr>
          <w:color w:val="231F20"/>
          <w:spacing w:val="-10"/>
          <w:sz w:val="20"/>
          <w:vertAlign w:val="baseline"/>
        </w:rPr>
        <w:t> </w:t>
      </w:r>
      <w:r>
        <w:rPr>
          <w:color w:val="231F20"/>
          <w:sz w:val="20"/>
          <w:vertAlign w:val="baseline"/>
        </w:rPr>
        <w:t>contre</w:t>
      </w:r>
      <w:r>
        <w:rPr>
          <w:color w:val="231F20"/>
          <w:spacing w:val="-10"/>
          <w:sz w:val="20"/>
          <w:vertAlign w:val="baseline"/>
        </w:rPr>
        <w:t> </w:t>
      </w:r>
      <w:r>
        <w:rPr>
          <w:color w:val="231F20"/>
          <w:sz w:val="20"/>
          <w:vertAlign w:val="baseline"/>
        </w:rPr>
        <w:t>l'impérialisme</w:t>
      </w:r>
      <w:r>
        <w:rPr>
          <w:color w:val="231F20"/>
          <w:spacing w:val="-13"/>
          <w:sz w:val="20"/>
          <w:vertAlign w:val="baseline"/>
        </w:rPr>
        <w:t> </w:t>
      </w:r>
      <w:r>
        <w:rPr>
          <w:color w:val="231F20"/>
          <w:sz w:val="20"/>
          <w:vertAlign w:val="baseline"/>
        </w:rPr>
        <w:t>et</w:t>
      </w:r>
      <w:r>
        <w:rPr>
          <w:color w:val="231F20"/>
          <w:spacing w:val="-8"/>
          <w:sz w:val="20"/>
          <w:vertAlign w:val="baseline"/>
        </w:rPr>
        <w:t> </w:t>
      </w:r>
      <w:r>
        <w:rPr>
          <w:color w:val="231F20"/>
          <w:sz w:val="20"/>
          <w:vertAlign w:val="baseline"/>
        </w:rPr>
        <w:t>le</w:t>
      </w:r>
      <w:r>
        <w:rPr>
          <w:color w:val="231F20"/>
          <w:spacing w:val="-13"/>
          <w:sz w:val="20"/>
          <w:vertAlign w:val="baseline"/>
        </w:rPr>
        <w:t> </w:t>
      </w:r>
      <w:r>
        <w:rPr>
          <w:color w:val="231F20"/>
          <w:sz w:val="20"/>
          <w:vertAlign w:val="baseline"/>
        </w:rPr>
        <w:t>néo-colonialisme,</w:t>
      </w:r>
      <w:r>
        <w:rPr>
          <w:color w:val="231F20"/>
          <w:spacing w:val="-8"/>
          <w:sz w:val="20"/>
          <w:vertAlign w:val="baseline"/>
        </w:rPr>
        <w:t> </w:t>
      </w:r>
      <w:r>
        <w:rPr>
          <w:color w:val="231F20"/>
          <w:sz w:val="20"/>
          <w:vertAlign w:val="baseline"/>
        </w:rPr>
        <w:t>Président</w:t>
      </w:r>
      <w:r>
        <w:rPr>
          <w:color w:val="231F20"/>
          <w:spacing w:val="-10"/>
          <w:sz w:val="20"/>
          <w:vertAlign w:val="baseline"/>
        </w:rPr>
        <w:t> </w:t>
      </w:r>
      <w:r>
        <w:rPr>
          <w:color w:val="231F20"/>
          <w:sz w:val="20"/>
          <w:vertAlign w:val="baseline"/>
        </w:rPr>
        <w:t>de</w:t>
      </w:r>
      <w:r>
        <w:rPr>
          <w:color w:val="231F20"/>
          <w:spacing w:val="-8"/>
          <w:sz w:val="20"/>
          <w:vertAlign w:val="baseline"/>
        </w:rPr>
        <w:t> </w:t>
      </w:r>
      <w:r>
        <w:rPr>
          <w:color w:val="231F20"/>
          <w:sz w:val="20"/>
          <w:vertAlign w:val="baseline"/>
        </w:rPr>
        <w:t>l'Alliance des</w:t>
      </w:r>
      <w:r>
        <w:rPr>
          <w:color w:val="231F20"/>
          <w:spacing w:val="-8"/>
          <w:sz w:val="20"/>
          <w:vertAlign w:val="baseline"/>
        </w:rPr>
        <w:t> </w:t>
      </w:r>
      <w:r>
        <w:rPr>
          <w:color w:val="231F20"/>
          <w:sz w:val="20"/>
          <w:vertAlign w:val="baseline"/>
        </w:rPr>
        <w:t>jeunes</w:t>
      </w:r>
      <w:r>
        <w:rPr>
          <w:color w:val="231F20"/>
          <w:spacing w:val="-4"/>
          <w:sz w:val="20"/>
          <w:vertAlign w:val="baseline"/>
        </w:rPr>
        <w:t> </w:t>
      </w:r>
      <w:r>
        <w:rPr>
          <w:color w:val="231F20"/>
          <w:sz w:val="20"/>
          <w:vertAlign w:val="baseline"/>
        </w:rPr>
        <w:t>patriotes</w:t>
      </w:r>
      <w:r>
        <w:rPr>
          <w:color w:val="231F20"/>
          <w:spacing w:val="-7"/>
          <w:sz w:val="20"/>
          <w:vertAlign w:val="baseline"/>
        </w:rPr>
        <w:t> </w:t>
      </w:r>
      <w:r>
        <w:rPr>
          <w:color w:val="231F20"/>
          <w:sz w:val="20"/>
          <w:vertAlign w:val="baseline"/>
        </w:rPr>
        <w:t>pour</w:t>
      </w:r>
      <w:r>
        <w:rPr>
          <w:color w:val="231F20"/>
          <w:spacing w:val="-3"/>
          <w:sz w:val="20"/>
          <w:vertAlign w:val="baseline"/>
        </w:rPr>
        <w:t> </w:t>
      </w:r>
      <w:r>
        <w:rPr>
          <w:color w:val="231F20"/>
          <w:sz w:val="20"/>
          <w:vertAlign w:val="baseline"/>
        </w:rPr>
        <w:t>le</w:t>
      </w:r>
      <w:r>
        <w:rPr>
          <w:color w:val="231F20"/>
          <w:spacing w:val="-3"/>
          <w:sz w:val="20"/>
          <w:vertAlign w:val="baseline"/>
        </w:rPr>
        <w:t> </w:t>
      </w:r>
      <w:r>
        <w:rPr>
          <w:color w:val="231F20"/>
          <w:sz w:val="20"/>
          <w:vertAlign w:val="baseline"/>
        </w:rPr>
        <w:t>sursaut</w:t>
      </w:r>
      <w:r>
        <w:rPr>
          <w:color w:val="231F20"/>
          <w:spacing w:val="-6"/>
          <w:sz w:val="20"/>
          <w:vertAlign w:val="baseline"/>
        </w:rPr>
        <w:t> </w:t>
      </w:r>
      <w:r>
        <w:rPr>
          <w:color w:val="231F20"/>
          <w:sz w:val="20"/>
          <w:vertAlign w:val="baseline"/>
        </w:rPr>
        <w:t>national</w:t>
      </w:r>
      <w:r>
        <w:rPr>
          <w:color w:val="231F20"/>
          <w:spacing w:val="-13"/>
          <w:sz w:val="20"/>
          <w:vertAlign w:val="baseline"/>
        </w:rPr>
        <w:t> </w:t>
      </w:r>
      <w:r>
        <w:rPr>
          <w:color w:val="231F20"/>
          <w:sz w:val="20"/>
          <w:vertAlign w:val="baseline"/>
        </w:rPr>
        <w:t>,</w:t>
      </w:r>
      <w:r>
        <w:rPr>
          <w:color w:val="231F20"/>
          <w:spacing w:val="-4"/>
          <w:sz w:val="20"/>
          <w:vertAlign w:val="baseline"/>
        </w:rPr>
        <w:t> </w:t>
      </w:r>
      <w:r>
        <w:rPr>
          <w:color w:val="231F20"/>
          <w:sz w:val="20"/>
          <w:vertAlign w:val="baseline"/>
        </w:rPr>
        <w:t>ministre</w:t>
      </w:r>
      <w:r>
        <w:rPr>
          <w:color w:val="231F20"/>
          <w:spacing w:val="-5"/>
          <w:sz w:val="20"/>
          <w:vertAlign w:val="baseline"/>
        </w:rPr>
        <w:t> </w:t>
      </w:r>
      <w:r>
        <w:rPr>
          <w:color w:val="231F20"/>
          <w:sz w:val="20"/>
          <w:vertAlign w:val="baseline"/>
        </w:rPr>
        <w:t>de</w:t>
      </w:r>
      <w:r>
        <w:rPr>
          <w:color w:val="231F20"/>
          <w:spacing w:val="-3"/>
          <w:sz w:val="20"/>
          <w:vertAlign w:val="baseline"/>
        </w:rPr>
        <w:t> </w:t>
      </w:r>
      <w:r>
        <w:rPr>
          <w:color w:val="231F20"/>
          <w:sz w:val="20"/>
          <w:vertAlign w:val="baseline"/>
        </w:rPr>
        <w:t>la</w:t>
      </w:r>
      <w:r>
        <w:rPr>
          <w:color w:val="231F20"/>
          <w:spacing w:val="-3"/>
          <w:sz w:val="20"/>
          <w:vertAlign w:val="baseline"/>
        </w:rPr>
        <w:t> </w:t>
      </w:r>
      <w:r>
        <w:rPr>
          <w:color w:val="231F20"/>
          <w:sz w:val="20"/>
          <w:vertAlign w:val="baseline"/>
        </w:rPr>
        <w:t>Jeunesse,</w:t>
      </w:r>
      <w:r>
        <w:rPr>
          <w:color w:val="231F20"/>
          <w:spacing w:val="-5"/>
          <w:sz w:val="20"/>
          <w:vertAlign w:val="baseline"/>
        </w:rPr>
        <w:t> </w:t>
      </w:r>
      <w:r>
        <w:rPr>
          <w:color w:val="231F20"/>
          <w:sz w:val="20"/>
          <w:vertAlign w:val="baseline"/>
        </w:rPr>
        <w:t>de</w:t>
      </w:r>
      <w:r>
        <w:rPr>
          <w:color w:val="231F20"/>
          <w:spacing w:val="-3"/>
          <w:sz w:val="20"/>
          <w:vertAlign w:val="baseline"/>
        </w:rPr>
        <w:t> </w:t>
      </w:r>
      <w:r>
        <w:rPr>
          <w:color w:val="231F20"/>
          <w:sz w:val="20"/>
          <w:vertAlign w:val="baseline"/>
        </w:rPr>
        <w:t>la</w:t>
      </w:r>
      <w:r>
        <w:rPr>
          <w:color w:val="231F20"/>
          <w:spacing w:val="-3"/>
          <w:sz w:val="20"/>
          <w:vertAlign w:val="baseline"/>
        </w:rPr>
        <w:t> </w:t>
      </w:r>
      <w:r>
        <w:rPr>
          <w:color w:val="231F20"/>
          <w:sz w:val="20"/>
          <w:vertAlign w:val="baseline"/>
        </w:rPr>
        <w:t>Formation </w:t>
      </w:r>
      <w:r>
        <w:rPr>
          <w:color w:val="231F20"/>
          <w:spacing w:val="-2"/>
          <w:sz w:val="20"/>
          <w:vertAlign w:val="baseline"/>
        </w:rPr>
        <w:t>professionnelle</w:t>
      </w:r>
      <w:r>
        <w:rPr>
          <w:color w:val="231F20"/>
          <w:spacing w:val="-6"/>
          <w:sz w:val="20"/>
          <w:vertAlign w:val="baseline"/>
        </w:rPr>
        <w:t> </w:t>
      </w:r>
      <w:r>
        <w:rPr>
          <w:color w:val="231F20"/>
          <w:spacing w:val="-2"/>
          <w:sz w:val="20"/>
          <w:vertAlign w:val="baseline"/>
        </w:rPr>
        <w:t>et</w:t>
      </w:r>
      <w:r>
        <w:rPr>
          <w:color w:val="231F20"/>
          <w:spacing w:val="-6"/>
          <w:sz w:val="20"/>
          <w:vertAlign w:val="baseline"/>
        </w:rPr>
        <w:t> </w:t>
      </w:r>
      <w:r>
        <w:rPr>
          <w:color w:val="231F20"/>
          <w:spacing w:val="-2"/>
          <w:sz w:val="20"/>
          <w:vertAlign w:val="baseline"/>
        </w:rPr>
        <w:t>de</w:t>
      </w:r>
      <w:r>
        <w:rPr>
          <w:color w:val="231F20"/>
          <w:spacing w:val="-6"/>
          <w:sz w:val="20"/>
          <w:vertAlign w:val="baseline"/>
        </w:rPr>
        <w:t> </w:t>
      </w:r>
      <w:r>
        <w:rPr>
          <w:color w:val="231F20"/>
          <w:spacing w:val="-2"/>
          <w:sz w:val="20"/>
          <w:vertAlign w:val="baseline"/>
        </w:rPr>
        <w:t>l’Emploi</w:t>
      </w:r>
      <w:r>
        <w:rPr>
          <w:color w:val="231F20"/>
          <w:spacing w:val="-9"/>
          <w:sz w:val="20"/>
          <w:vertAlign w:val="baseline"/>
        </w:rPr>
        <w:t> </w:t>
      </w:r>
      <w:r>
        <w:rPr>
          <w:color w:val="231F20"/>
          <w:spacing w:val="-2"/>
          <w:sz w:val="20"/>
          <w:vertAlign w:val="baseline"/>
        </w:rPr>
        <w:t>dans</w:t>
      </w:r>
      <w:r>
        <w:rPr>
          <w:color w:val="231F20"/>
          <w:spacing w:val="-7"/>
          <w:sz w:val="20"/>
          <w:vertAlign w:val="baseline"/>
        </w:rPr>
        <w:t> </w:t>
      </w:r>
      <w:r>
        <w:rPr>
          <w:color w:val="231F20"/>
          <w:spacing w:val="-2"/>
          <w:sz w:val="20"/>
          <w:vertAlign w:val="baseline"/>
        </w:rPr>
        <w:t>le</w:t>
      </w:r>
      <w:r>
        <w:rPr>
          <w:color w:val="231F20"/>
          <w:spacing w:val="-11"/>
          <w:sz w:val="20"/>
          <w:vertAlign w:val="baseline"/>
        </w:rPr>
        <w:t> </w:t>
      </w:r>
      <w:r>
        <w:rPr>
          <w:color w:val="231F20"/>
          <w:spacing w:val="-2"/>
          <w:sz w:val="20"/>
          <w:vertAlign w:val="baseline"/>
        </w:rPr>
        <w:t>gouvernement</w:t>
      </w:r>
      <w:r>
        <w:rPr>
          <w:color w:val="231F20"/>
          <w:spacing w:val="-10"/>
          <w:sz w:val="20"/>
          <w:vertAlign w:val="baseline"/>
        </w:rPr>
        <w:t> </w:t>
      </w:r>
      <w:r>
        <w:rPr>
          <w:color w:val="231F20"/>
          <w:spacing w:val="-2"/>
          <w:sz w:val="20"/>
          <w:vertAlign w:val="baseline"/>
        </w:rPr>
        <w:t>du</w:t>
      </w:r>
      <w:r>
        <w:rPr>
          <w:color w:val="231F20"/>
          <w:spacing w:val="-5"/>
          <w:sz w:val="20"/>
          <w:vertAlign w:val="baseline"/>
        </w:rPr>
        <w:t> </w:t>
      </w:r>
      <w:r>
        <w:rPr>
          <w:color w:val="231F20"/>
          <w:spacing w:val="-2"/>
          <w:sz w:val="20"/>
          <w:vertAlign w:val="baseline"/>
        </w:rPr>
        <w:t>Premier</w:t>
      </w:r>
      <w:r>
        <w:rPr>
          <w:color w:val="231F20"/>
          <w:spacing w:val="-5"/>
          <w:sz w:val="20"/>
          <w:vertAlign w:val="baseline"/>
        </w:rPr>
        <w:t> </w:t>
      </w:r>
      <w:r>
        <w:rPr>
          <w:color w:val="231F20"/>
          <w:spacing w:val="-2"/>
          <w:sz w:val="20"/>
          <w:vertAlign w:val="baseline"/>
        </w:rPr>
        <w:t>ministre</w:t>
      </w:r>
      <w:r>
        <w:rPr>
          <w:color w:val="231F20"/>
          <w:spacing w:val="-11"/>
          <w:sz w:val="20"/>
          <w:vertAlign w:val="baseline"/>
        </w:rPr>
        <w:t> </w:t>
      </w:r>
      <w:r>
        <w:rPr>
          <w:color w:val="231F20"/>
          <w:spacing w:val="-2"/>
          <w:sz w:val="20"/>
          <w:vertAlign w:val="baseline"/>
        </w:rPr>
        <w:t>Gilbert</w:t>
      </w:r>
      <w:r>
        <w:rPr>
          <w:color w:val="231F20"/>
          <w:spacing w:val="-6"/>
          <w:sz w:val="20"/>
          <w:vertAlign w:val="baseline"/>
        </w:rPr>
        <w:t> </w:t>
      </w:r>
      <w:r>
        <w:rPr>
          <w:color w:val="231F20"/>
          <w:spacing w:val="-2"/>
          <w:sz w:val="20"/>
          <w:vertAlign w:val="baseline"/>
        </w:rPr>
        <w:t>Marie </w:t>
      </w:r>
      <w:r>
        <w:rPr>
          <w:color w:val="231F20"/>
          <w:sz w:val="20"/>
          <w:vertAlign w:val="baseline"/>
        </w:rPr>
        <w:t>N'gbo</w:t>
      </w:r>
      <w:r>
        <w:rPr>
          <w:color w:val="231F20"/>
          <w:spacing w:val="-3"/>
          <w:sz w:val="20"/>
          <w:vertAlign w:val="baseline"/>
        </w:rPr>
        <w:t> </w:t>
      </w:r>
      <w:r>
        <w:rPr>
          <w:color w:val="231F20"/>
          <w:sz w:val="20"/>
          <w:vertAlign w:val="baseline"/>
        </w:rPr>
        <w:t>Aké.</w:t>
      </w:r>
    </w:p>
    <w:p>
      <w:pPr>
        <w:spacing w:after="0"/>
        <w:jc w:val="both"/>
        <w:rPr>
          <w:sz w:val="20"/>
        </w:rPr>
        <w:sectPr>
          <w:pgSz w:w="8790" w:h="13610"/>
          <w:pgMar w:header="0" w:footer="802" w:top="1040" w:bottom="1000" w:left="880" w:right="880"/>
        </w:sectPr>
      </w:pPr>
    </w:p>
    <w:p>
      <w:pPr>
        <w:pStyle w:val="BodyText"/>
        <w:spacing w:before="66"/>
        <w:ind w:right="106"/>
      </w:pPr>
      <w:r>
        <w:rPr>
          <w:color w:val="231F20"/>
        </w:rPr>
        <w:t>de voter Alassane Ouattara candidat unique du Rassemblement des </w:t>
      </w:r>
      <w:r>
        <w:rPr>
          <w:color w:val="231F20"/>
          <w:spacing w:val="-4"/>
        </w:rPr>
        <w:t>Houphouëtistes</w:t>
      </w:r>
      <w:r>
        <w:rPr>
          <w:color w:val="231F20"/>
          <w:spacing w:val="-7"/>
        </w:rPr>
        <w:t> </w:t>
      </w:r>
      <w:r>
        <w:rPr>
          <w:color w:val="231F20"/>
          <w:spacing w:val="-4"/>
        </w:rPr>
        <w:t>pour</w:t>
      </w:r>
      <w:r>
        <w:rPr>
          <w:color w:val="231F20"/>
          <w:spacing w:val="-7"/>
        </w:rPr>
        <w:t> </w:t>
      </w:r>
      <w:r>
        <w:rPr>
          <w:color w:val="231F20"/>
          <w:spacing w:val="-4"/>
        </w:rPr>
        <w:t>la</w:t>
      </w:r>
      <w:r>
        <w:rPr>
          <w:color w:val="231F20"/>
          <w:spacing w:val="-7"/>
        </w:rPr>
        <w:t> </w:t>
      </w:r>
      <w:r>
        <w:rPr>
          <w:color w:val="231F20"/>
          <w:spacing w:val="-4"/>
        </w:rPr>
        <w:t>Démocratie</w:t>
      </w:r>
      <w:r>
        <w:rPr>
          <w:color w:val="231F20"/>
          <w:spacing w:val="-7"/>
        </w:rPr>
        <w:t> </w:t>
      </w:r>
      <w:r>
        <w:rPr>
          <w:color w:val="231F20"/>
          <w:spacing w:val="-4"/>
        </w:rPr>
        <w:t>et</w:t>
      </w:r>
      <w:r>
        <w:rPr>
          <w:color w:val="231F20"/>
          <w:spacing w:val="-9"/>
        </w:rPr>
        <w:t> </w:t>
      </w:r>
      <w:r>
        <w:rPr>
          <w:color w:val="231F20"/>
          <w:spacing w:val="-4"/>
        </w:rPr>
        <w:t>la</w:t>
      </w:r>
      <w:r>
        <w:rPr>
          <w:color w:val="231F20"/>
          <w:spacing w:val="-7"/>
        </w:rPr>
        <w:t> </w:t>
      </w:r>
      <w:r>
        <w:rPr>
          <w:color w:val="231F20"/>
          <w:spacing w:val="-4"/>
        </w:rPr>
        <w:t>Paix</w:t>
      </w:r>
      <w:r>
        <w:rPr>
          <w:color w:val="231F20"/>
          <w:spacing w:val="-7"/>
        </w:rPr>
        <w:t> </w:t>
      </w:r>
      <w:r>
        <w:rPr>
          <w:color w:val="231F20"/>
          <w:spacing w:val="-4"/>
        </w:rPr>
        <w:t>(RHDP)</w:t>
      </w:r>
      <w:r>
        <w:rPr>
          <w:color w:val="231F20"/>
          <w:spacing w:val="-7"/>
        </w:rPr>
        <w:t> </w:t>
      </w:r>
      <w:r>
        <w:rPr>
          <w:color w:val="231F20"/>
          <w:spacing w:val="-4"/>
        </w:rPr>
        <w:t>dès</w:t>
      </w:r>
      <w:r>
        <w:rPr>
          <w:color w:val="231F20"/>
          <w:spacing w:val="-7"/>
        </w:rPr>
        <w:t> </w:t>
      </w:r>
      <w:r>
        <w:rPr>
          <w:color w:val="231F20"/>
          <w:spacing w:val="-4"/>
        </w:rPr>
        <w:t>le</w:t>
      </w:r>
      <w:r>
        <w:rPr>
          <w:color w:val="231F20"/>
          <w:spacing w:val="-7"/>
        </w:rPr>
        <w:t> </w:t>
      </w:r>
      <w:r>
        <w:rPr>
          <w:color w:val="231F20"/>
          <w:spacing w:val="-4"/>
        </w:rPr>
        <w:t>premier</w:t>
      </w:r>
      <w:r>
        <w:rPr>
          <w:color w:val="231F20"/>
          <w:spacing w:val="-7"/>
        </w:rPr>
        <w:t> </w:t>
      </w:r>
      <w:r>
        <w:rPr>
          <w:color w:val="231F20"/>
          <w:spacing w:val="-4"/>
        </w:rPr>
        <w:t>tour </w:t>
      </w:r>
      <w:r>
        <w:rPr>
          <w:color w:val="231F20"/>
        </w:rPr>
        <w:t>de l’élection présidentielle d’octobre 2015.</w:t>
      </w:r>
    </w:p>
    <w:p>
      <w:pPr>
        <w:pStyle w:val="BodyText"/>
        <w:spacing w:before="120"/>
        <w:ind w:right="105" w:firstLine="283"/>
      </w:pPr>
      <w:r>
        <w:rPr>
          <w:color w:val="231F20"/>
          <w:spacing w:val="-2"/>
        </w:rPr>
        <w:t>Cinq</w:t>
      </w:r>
      <w:r>
        <w:rPr>
          <w:color w:val="231F20"/>
          <w:spacing w:val="-13"/>
        </w:rPr>
        <w:t> </w:t>
      </w:r>
      <w:r>
        <w:rPr>
          <w:color w:val="231F20"/>
          <w:spacing w:val="-2"/>
        </w:rPr>
        <w:t>ans</w:t>
      </w:r>
      <w:r>
        <w:rPr>
          <w:color w:val="231F20"/>
          <w:spacing w:val="-13"/>
        </w:rPr>
        <w:t> </w:t>
      </w:r>
      <w:r>
        <w:rPr>
          <w:color w:val="231F20"/>
          <w:spacing w:val="-2"/>
        </w:rPr>
        <w:t>plus</w:t>
      </w:r>
      <w:r>
        <w:rPr>
          <w:color w:val="231F20"/>
          <w:spacing w:val="-13"/>
        </w:rPr>
        <w:t> </w:t>
      </w:r>
      <w:r>
        <w:rPr>
          <w:color w:val="231F20"/>
          <w:spacing w:val="-2"/>
        </w:rPr>
        <w:t>tôt,</w:t>
      </w:r>
      <w:r>
        <w:rPr>
          <w:color w:val="231F20"/>
          <w:spacing w:val="-13"/>
        </w:rPr>
        <w:t> </w:t>
      </w:r>
      <w:r>
        <w:rPr>
          <w:color w:val="231F20"/>
          <w:spacing w:val="-2"/>
        </w:rPr>
        <w:t>en</w:t>
      </w:r>
      <w:r>
        <w:rPr>
          <w:color w:val="231F20"/>
          <w:spacing w:val="-13"/>
        </w:rPr>
        <w:t> </w:t>
      </w:r>
      <w:r>
        <w:rPr>
          <w:color w:val="231F20"/>
          <w:spacing w:val="-2"/>
        </w:rPr>
        <w:t>2010,</w:t>
      </w:r>
      <w:r>
        <w:rPr>
          <w:color w:val="231F20"/>
          <w:spacing w:val="-13"/>
        </w:rPr>
        <w:t> </w:t>
      </w:r>
      <w:r>
        <w:rPr>
          <w:color w:val="231F20"/>
          <w:spacing w:val="-2"/>
        </w:rPr>
        <w:t>en</w:t>
      </w:r>
      <w:r>
        <w:rPr>
          <w:color w:val="231F20"/>
          <w:spacing w:val="-12"/>
        </w:rPr>
        <w:t> </w:t>
      </w:r>
      <w:r>
        <w:rPr>
          <w:color w:val="231F20"/>
          <w:spacing w:val="-2"/>
        </w:rPr>
        <w:t>appelant</w:t>
      </w:r>
      <w:r>
        <w:rPr>
          <w:color w:val="231F20"/>
          <w:spacing w:val="-13"/>
        </w:rPr>
        <w:t> </w:t>
      </w:r>
      <w:r>
        <w:rPr>
          <w:color w:val="231F20"/>
          <w:spacing w:val="-2"/>
        </w:rPr>
        <w:t>à</w:t>
      </w:r>
      <w:r>
        <w:rPr>
          <w:color w:val="231F20"/>
          <w:spacing w:val="-13"/>
        </w:rPr>
        <w:t> </w:t>
      </w:r>
      <w:r>
        <w:rPr>
          <w:color w:val="231F20"/>
          <w:spacing w:val="-2"/>
        </w:rPr>
        <w:t>voter</w:t>
      </w:r>
      <w:r>
        <w:rPr>
          <w:color w:val="231F20"/>
          <w:spacing w:val="-12"/>
        </w:rPr>
        <w:t> </w:t>
      </w:r>
      <w:r>
        <w:rPr>
          <w:color w:val="231F20"/>
          <w:spacing w:val="-2"/>
        </w:rPr>
        <w:t>pour</w:t>
      </w:r>
      <w:r>
        <w:rPr>
          <w:color w:val="231F20"/>
          <w:spacing w:val="-13"/>
        </w:rPr>
        <w:t> </w:t>
      </w:r>
      <w:r>
        <w:rPr>
          <w:color w:val="231F20"/>
          <w:spacing w:val="-2"/>
        </w:rPr>
        <w:t>Alassane</w:t>
      </w:r>
      <w:r>
        <w:rPr>
          <w:color w:val="231F20"/>
          <w:spacing w:val="-12"/>
        </w:rPr>
        <w:t> </w:t>
      </w:r>
      <w:r>
        <w:rPr>
          <w:color w:val="231F20"/>
          <w:spacing w:val="-2"/>
        </w:rPr>
        <w:t>Ouattara </w:t>
      </w:r>
      <w:r>
        <w:rPr>
          <w:color w:val="231F20"/>
        </w:rPr>
        <w:t>au second tour de l’élection présidentielle, le président Bédié avait largement</w:t>
      </w:r>
      <w:r>
        <w:rPr>
          <w:color w:val="231F20"/>
          <w:spacing w:val="-2"/>
        </w:rPr>
        <w:t> </w:t>
      </w:r>
      <w:r>
        <w:rPr>
          <w:color w:val="231F20"/>
        </w:rPr>
        <w:t>contribué</w:t>
      </w:r>
      <w:r>
        <w:rPr>
          <w:color w:val="231F20"/>
          <w:spacing w:val="-1"/>
        </w:rPr>
        <w:t> </w:t>
      </w:r>
      <w:r>
        <w:rPr>
          <w:color w:val="231F20"/>
        </w:rPr>
        <w:t>à</w:t>
      </w:r>
      <w:r>
        <w:rPr>
          <w:color w:val="231F20"/>
          <w:spacing w:val="-4"/>
        </w:rPr>
        <w:t> </w:t>
      </w:r>
      <w:r>
        <w:rPr>
          <w:color w:val="231F20"/>
        </w:rPr>
        <w:t>l’élection</w:t>
      </w:r>
      <w:r>
        <w:rPr>
          <w:color w:val="231F20"/>
          <w:spacing w:val="-3"/>
        </w:rPr>
        <w:t> </w:t>
      </w:r>
      <w:r>
        <w:rPr>
          <w:color w:val="231F20"/>
        </w:rPr>
        <w:t>du</w:t>
      </w:r>
      <w:r>
        <w:rPr>
          <w:color w:val="231F20"/>
          <w:spacing w:val="-1"/>
        </w:rPr>
        <w:t> </w:t>
      </w:r>
      <w:r>
        <w:rPr>
          <w:color w:val="231F20"/>
        </w:rPr>
        <w:t>candidat</w:t>
      </w:r>
      <w:r>
        <w:rPr>
          <w:color w:val="231F20"/>
          <w:spacing w:val="-2"/>
        </w:rPr>
        <w:t> </w:t>
      </w:r>
      <w:r>
        <w:rPr>
          <w:color w:val="231F20"/>
        </w:rPr>
        <w:t>du</w:t>
      </w:r>
      <w:r>
        <w:rPr>
          <w:color w:val="231F20"/>
          <w:spacing w:val="-3"/>
        </w:rPr>
        <w:t> </w:t>
      </w:r>
      <w:r>
        <w:rPr>
          <w:color w:val="231F20"/>
        </w:rPr>
        <w:t>RDR.</w:t>
      </w:r>
    </w:p>
    <w:p>
      <w:pPr>
        <w:pStyle w:val="BodyText"/>
        <w:spacing w:before="120"/>
        <w:ind w:right="104" w:firstLine="283"/>
      </w:pPr>
      <w:r>
        <w:rPr>
          <w:color w:val="231F20"/>
          <w:spacing w:val="-2"/>
        </w:rPr>
        <w:t>Créé</w:t>
      </w:r>
      <w:r>
        <w:rPr>
          <w:color w:val="231F20"/>
          <w:spacing w:val="-13"/>
        </w:rPr>
        <w:t> </w:t>
      </w:r>
      <w:r>
        <w:rPr>
          <w:color w:val="231F20"/>
          <w:spacing w:val="-2"/>
        </w:rPr>
        <w:t>sur</w:t>
      </w:r>
      <w:r>
        <w:rPr>
          <w:color w:val="231F20"/>
          <w:spacing w:val="-13"/>
        </w:rPr>
        <w:t> </w:t>
      </w:r>
      <w:r>
        <w:rPr>
          <w:color w:val="231F20"/>
          <w:spacing w:val="-2"/>
        </w:rPr>
        <w:t>l’idée</w:t>
      </w:r>
      <w:r>
        <w:rPr>
          <w:color w:val="231F20"/>
          <w:spacing w:val="-13"/>
        </w:rPr>
        <w:t> </w:t>
      </w:r>
      <w:r>
        <w:rPr>
          <w:color w:val="231F20"/>
          <w:spacing w:val="-2"/>
        </w:rPr>
        <w:t>d’un</w:t>
      </w:r>
      <w:r>
        <w:rPr>
          <w:color w:val="231F20"/>
          <w:spacing w:val="-13"/>
        </w:rPr>
        <w:t> </w:t>
      </w:r>
      <w:r>
        <w:rPr>
          <w:color w:val="231F20"/>
          <w:spacing w:val="-2"/>
        </w:rPr>
        <w:t>partage</w:t>
      </w:r>
      <w:r>
        <w:rPr>
          <w:color w:val="231F20"/>
          <w:spacing w:val="-11"/>
        </w:rPr>
        <w:t> </w:t>
      </w:r>
      <w:r>
        <w:rPr>
          <w:color w:val="231F20"/>
          <w:spacing w:val="-2"/>
        </w:rPr>
        <w:t>du</w:t>
      </w:r>
      <w:r>
        <w:rPr>
          <w:color w:val="231F20"/>
          <w:spacing w:val="-13"/>
        </w:rPr>
        <w:t> </w:t>
      </w:r>
      <w:r>
        <w:rPr>
          <w:color w:val="231F20"/>
          <w:spacing w:val="-2"/>
        </w:rPr>
        <w:t>pouvoir</w:t>
      </w:r>
      <w:r>
        <w:rPr>
          <w:color w:val="231F20"/>
          <w:spacing w:val="-12"/>
        </w:rPr>
        <w:t> </w:t>
      </w:r>
      <w:r>
        <w:rPr>
          <w:color w:val="231F20"/>
          <w:spacing w:val="-2"/>
        </w:rPr>
        <w:t>et</w:t>
      </w:r>
      <w:r>
        <w:rPr>
          <w:color w:val="231F20"/>
          <w:spacing w:val="-12"/>
        </w:rPr>
        <w:t> </w:t>
      </w:r>
      <w:r>
        <w:rPr>
          <w:color w:val="231F20"/>
          <w:spacing w:val="-2"/>
        </w:rPr>
        <w:t>d’un</w:t>
      </w:r>
      <w:r>
        <w:rPr>
          <w:color w:val="231F20"/>
          <w:spacing w:val="-12"/>
        </w:rPr>
        <w:t> </w:t>
      </w:r>
      <w:r>
        <w:rPr>
          <w:color w:val="231F20"/>
          <w:spacing w:val="-2"/>
        </w:rPr>
        <w:t>compromis</w:t>
      </w:r>
      <w:r>
        <w:rPr>
          <w:color w:val="231F20"/>
          <w:spacing w:val="-13"/>
        </w:rPr>
        <w:t> </w:t>
      </w:r>
      <w:r>
        <w:rPr>
          <w:color w:val="231F20"/>
          <w:spacing w:val="-2"/>
        </w:rPr>
        <w:t>acceptable </w:t>
      </w:r>
      <w:r>
        <w:rPr>
          <w:color w:val="231F20"/>
          <w:spacing w:val="-4"/>
        </w:rPr>
        <w:t>pour</w:t>
      </w:r>
      <w:r>
        <w:rPr>
          <w:color w:val="231F20"/>
          <w:spacing w:val="-7"/>
        </w:rPr>
        <w:t> </w:t>
      </w:r>
      <w:r>
        <w:rPr>
          <w:color w:val="231F20"/>
          <w:spacing w:val="-4"/>
        </w:rPr>
        <w:t>tous,</w:t>
      </w:r>
      <w:r>
        <w:rPr>
          <w:color w:val="231F20"/>
          <w:spacing w:val="-9"/>
        </w:rPr>
        <w:t> </w:t>
      </w:r>
      <w:r>
        <w:rPr>
          <w:color w:val="231F20"/>
          <w:spacing w:val="-4"/>
        </w:rPr>
        <w:t>Le</w:t>
      </w:r>
      <w:r>
        <w:rPr>
          <w:color w:val="231F20"/>
          <w:spacing w:val="-7"/>
        </w:rPr>
        <w:t> </w:t>
      </w:r>
      <w:r>
        <w:rPr>
          <w:color w:val="231F20"/>
          <w:spacing w:val="-4"/>
        </w:rPr>
        <w:t>RHDP</w:t>
      </w:r>
      <w:r>
        <w:rPr>
          <w:color w:val="231F20"/>
          <w:spacing w:val="-7"/>
        </w:rPr>
        <w:t> </w:t>
      </w:r>
      <w:r>
        <w:rPr>
          <w:color w:val="231F20"/>
          <w:spacing w:val="-4"/>
        </w:rPr>
        <w:t>qui</w:t>
      </w:r>
      <w:r>
        <w:rPr>
          <w:color w:val="231F20"/>
          <w:spacing w:val="-7"/>
        </w:rPr>
        <w:t> </w:t>
      </w:r>
      <w:r>
        <w:rPr>
          <w:color w:val="231F20"/>
          <w:spacing w:val="-4"/>
        </w:rPr>
        <w:t>regroupe</w:t>
      </w:r>
      <w:r>
        <w:rPr>
          <w:color w:val="231F20"/>
          <w:spacing w:val="-7"/>
        </w:rPr>
        <w:t> </w:t>
      </w:r>
      <w:r>
        <w:rPr>
          <w:color w:val="231F20"/>
          <w:spacing w:val="-4"/>
        </w:rPr>
        <w:t>les</w:t>
      </w:r>
      <w:r>
        <w:rPr>
          <w:color w:val="231F20"/>
          <w:spacing w:val="-11"/>
        </w:rPr>
        <w:t> </w:t>
      </w:r>
      <w:r>
        <w:rPr>
          <w:color w:val="231F20"/>
          <w:spacing w:val="-4"/>
        </w:rPr>
        <w:t>quatre</w:t>
      </w:r>
      <w:r>
        <w:rPr>
          <w:color w:val="231F20"/>
          <w:spacing w:val="-9"/>
        </w:rPr>
        <w:t> </w:t>
      </w:r>
      <w:r>
        <w:rPr>
          <w:color w:val="231F20"/>
          <w:spacing w:val="-4"/>
        </w:rPr>
        <w:t>principaux</w:t>
      </w:r>
      <w:r>
        <w:rPr>
          <w:color w:val="231F20"/>
          <w:spacing w:val="-7"/>
        </w:rPr>
        <w:t> </w:t>
      </w:r>
      <w:r>
        <w:rPr>
          <w:color w:val="231F20"/>
          <w:spacing w:val="-4"/>
        </w:rPr>
        <w:t>partis</w:t>
      </w:r>
      <w:r>
        <w:rPr>
          <w:color w:val="231F20"/>
          <w:spacing w:val="-7"/>
        </w:rPr>
        <w:t> </w:t>
      </w:r>
      <w:r>
        <w:rPr>
          <w:color w:val="231F20"/>
          <w:spacing w:val="-4"/>
        </w:rPr>
        <w:t>du</w:t>
      </w:r>
      <w:r>
        <w:rPr>
          <w:color w:val="231F20"/>
          <w:spacing w:val="-6"/>
        </w:rPr>
        <w:t> </w:t>
      </w:r>
      <w:r>
        <w:rPr>
          <w:color w:val="231F20"/>
          <w:spacing w:val="-4"/>
        </w:rPr>
        <w:t>pays,</w:t>
      </w:r>
      <w:r>
        <w:rPr>
          <w:color w:val="231F20"/>
          <w:spacing w:val="-6"/>
        </w:rPr>
        <w:t> </w:t>
      </w:r>
      <w:r>
        <w:rPr>
          <w:color w:val="231F20"/>
          <w:spacing w:val="-4"/>
        </w:rPr>
        <w:t>est </w:t>
      </w:r>
      <w:r>
        <w:rPr>
          <w:color w:val="231F20"/>
        </w:rPr>
        <w:t>un</w:t>
      </w:r>
      <w:r>
        <w:rPr>
          <w:color w:val="231F20"/>
          <w:spacing w:val="-7"/>
        </w:rPr>
        <w:t> </w:t>
      </w:r>
      <w:r>
        <w:rPr>
          <w:color w:val="231F20"/>
        </w:rPr>
        <w:t>atout</w:t>
      </w:r>
      <w:r>
        <w:rPr>
          <w:color w:val="231F20"/>
          <w:spacing w:val="-7"/>
        </w:rPr>
        <w:t> </w:t>
      </w:r>
      <w:r>
        <w:rPr>
          <w:color w:val="231F20"/>
        </w:rPr>
        <w:t>considérable</w:t>
      </w:r>
      <w:r>
        <w:rPr>
          <w:color w:val="231F20"/>
          <w:spacing w:val="-7"/>
        </w:rPr>
        <w:t> </w:t>
      </w:r>
      <w:r>
        <w:rPr>
          <w:color w:val="231F20"/>
        </w:rPr>
        <w:t>pour</w:t>
      </w:r>
      <w:r>
        <w:rPr>
          <w:color w:val="231F20"/>
          <w:spacing w:val="-7"/>
        </w:rPr>
        <w:t> </w:t>
      </w:r>
      <w:r>
        <w:rPr>
          <w:color w:val="231F20"/>
        </w:rPr>
        <w:t>la</w:t>
      </w:r>
      <w:r>
        <w:rPr>
          <w:color w:val="231F20"/>
          <w:spacing w:val="-7"/>
        </w:rPr>
        <w:t> </w:t>
      </w:r>
      <w:r>
        <w:rPr>
          <w:color w:val="231F20"/>
        </w:rPr>
        <w:t>réélection</w:t>
      </w:r>
      <w:r>
        <w:rPr>
          <w:color w:val="231F20"/>
          <w:spacing w:val="-9"/>
        </w:rPr>
        <w:t> </w:t>
      </w:r>
      <w:r>
        <w:rPr>
          <w:color w:val="231F20"/>
        </w:rPr>
        <w:t>d’Alassane</w:t>
      </w:r>
      <w:r>
        <w:rPr>
          <w:color w:val="231F20"/>
          <w:spacing w:val="-9"/>
        </w:rPr>
        <w:t> </w:t>
      </w:r>
      <w:r>
        <w:rPr>
          <w:color w:val="231F20"/>
        </w:rPr>
        <w:t>Ouattara</w:t>
      </w:r>
      <w:r>
        <w:rPr>
          <w:color w:val="231F20"/>
          <w:spacing w:val="-7"/>
        </w:rPr>
        <w:t> </w:t>
      </w:r>
      <w:r>
        <w:rPr>
          <w:color w:val="231F20"/>
        </w:rPr>
        <w:t>en</w:t>
      </w:r>
      <w:r>
        <w:rPr>
          <w:color w:val="231F20"/>
          <w:spacing w:val="-10"/>
        </w:rPr>
        <w:t> </w:t>
      </w:r>
      <w:r>
        <w:rPr>
          <w:color w:val="231F20"/>
        </w:rPr>
        <w:t>2015.</w:t>
      </w:r>
    </w:p>
    <w:p>
      <w:pPr>
        <w:pStyle w:val="BodyText"/>
        <w:spacing w:before="121"/>
        <w:ind w:right="105" w:firstLine="283"/>
      </w:pPr>
      <w:r>
        <w:rPr>
          <w:color w:val="231F20"/>
        </w:rPr>
        <w:t>Au PDCI, des voix s’élèvent contre l’appel de Daoukro mais, en militants respectueux, le ton des voix reste aux murmures. Cependant, deux</w:t>
      </w:r>
      <w:r>
        <w:rPr>
          <w:color w:val="231F20"/>
          <w:spacing w:val="-6"/>
        </w:rPr>
        <w:t> </w:t>
      </w:r>
      <w:r>
        <w:rPr>
          <w:color w:val="231F20"/>
        </w:rPr>
        <w:t>caciques</w:t>
      </w:r>
      <w:r>
        <w:rPr>
          <w:color w:val="231F20"/>
          <w:spacing w:val="-6"/>
        </w:rPr>
        <w:t> </w:t>
      </w:r>
      <w:r>
        <w:rPr>
          <w:color w:val="231F20"/>
        </w:rPr>
        <w:t>du</w:t>
      </w:r>
      <w:r>
        <w:rPr>
          <w:color w:val="231F20"/>
          <w:spacing w:val="-7"/>
        </w:rPr>
        <w:t> </w:t>
      </w:r>
      <w:r>
        <w:rPr>
          <w:color w:val="231F20"/>
        </w:rPr>
        <w:t>Parti,</w:t>
      </w:r>
      <w:r>
        <w:rPr>
          <w:color w:val="231F20"/>
          <w:spacing w:val="-7"/>
        </w:rPr>
        <w:t> </w:t>
      </w:r>
      <w:r>
        <w:rPr>
          <w:color w:val="231F20"/>
        </w:rPr>
        <w:t>Charles</w:t>
      </w:r>
      <w:r>
        <w:rPr>
          <w:color w:val="231F20"/>
          <w:spacing w:val="-6"/>
        </w:rPr>
        <w:t> </w:t>
      </w:r>
      <w:r>
        <w:rPr>
          <w:color w:val="231F20"/>
        </w:rPr>
        <w:t>Konan</w:t>
      </w:r>
      <w:r>
        <w:rPr>
          <w:color w:val="231F20"/>
          <w:spacing w:val="-6"/>
        </w:rPr>
        <w:t> </w:t>
      </w:r>
      <w:r>
        <w:rPr>
          <w:color w:val="231F20"/>
        </w:rPr>
        <w:t>Banny</w:t>
      </w:r>
      <w:r>
        <w:rPr>
          <w:color w:val="231F20"/>
          <w:spacing w:val="-6"/>
        </w:rPr>
        <w:t> </w:t>
      </w:r>
      <w:r>
        <w:rPr>
          <w:color w:val="231F20"/>
        </w:rPr>
        <w:t>et</w:t>
      </w:r>
      <w:r>
        <w:rPr>
          <w:color w:val="231F20"/>
          <w:spacing w:val="-4"/>
        </w:rPr>
        <w:t> </w:t>
      </w:r>
      <w:r>
        <w:rPr>
          <w:color w:val="231F20"/>
        </w:rPr>
        <w:t>Essy</w:t>
      </w:r>
      <w:r>
        <w:rPr>
          <w:color w:val="231F20"/>
          <w:spacing w:val="-6"/>
        </w:rPr>
        <w:t> </w:t>
      </w:r>
      <w:r>
        <w:rPr>
          <w:color w:val="231F20"/>
        </w:rPr>
        <w:t>Amara</w:t>
      </w:r>
      <w:r>
        <w:rPr>
          <w:color w:val="231F20"/>
          <w:vertAlign w:val="superscript"/>
        </w:rPr>
        <w:t>214</w:t>
      </w:r>
      <w:r>
        <w:rPr>
          <w:color w:val="231F20"/>
          <w:vertAlign w:val="baseline"/>
        </w:rPr>
        <w:t>rejoints par l’ancien président des jeunes du Parti, le député frondeur, Konan </w:t>
      </w:r>
      <w:r>
        <w:rPr>
          <w:color w:val="231F20"/>
          <w:spacing w:val="-4"/>
          <w:vertAlign w:val="baseline"/>
        </w:rPr>
        <w:t>Kouadio</w:t>
      </w:r>
      <w:r>
        <w:rPr>
          <w:color w:val="231F20"/>
          <w:spacing w:val="-9"/>
          <w:vertAlign w:val="baseline"/>
        </w:rPr>
        <w:t> </w:t>
      </w:r>
      <w:r>
        <w:rPr>
          <w:color w:val="231F20"/>
          <w:spacing w:val="-4"/>
          <w:vertAlign w:val="baseline"/>
        </w:rPr>
        <w:t>Bertin,</w:t>
      </w:r>
      <w:r>
        <w:rPr>
          <w:color w:val="231F20"/>
          <w:spacing w:val="-6"/>
          <w:vertAlign w:val="baseline"/>
        </w:rPr>
        <w:t> </w:t>
      </w:r>
      <w:r>
        <w:rPr>
          <w:color w:val="231F20"/>
          <w:spacing w:val="-4"/>
          <w:vertAlign w:val="baseline"/>
        </w:rPr>
        <w:t>dit</w:t>
      </w:r>
      <w:r>
        <w:rPr>
          <w:color w:val="231F20"/>
          <w:spacing w:val="-7"/>
          <w:vertAlign w:val="baseline"/>
        </w:rPr>
        <w:t> </w:t>
      </w:r>
      <w:r>
        <w:rPr>
          <w:color w:val="231F20"/>
          <w:spacing w:val="-4"/>
          <w:vertAlign w:val="baseline"/>
        </w:rPr>
        <w:t>KKB</w:t>
      </w:r>
      <w:r>
        <w:rPr>
          <w:color w:val="231F20"/>
          <w:spacing w:val="-11"/>
          <w:vertAlign w:val="baseline"/>
        </w:rPr>
        <w:t> </w:t>
      </w:r>
      <w:r>
        <w:rPr>
          <w:color w:val="231F20"/>
          <w:spacing w:val="-4"/>
          <w:vertAlign w:val="baseline"/>
        </w:rPr>
        <w:t>refusent</w:t>
      </w:r>
      <w:r>
        <w:rPr>
          <w:color w:val="231F20"/>
          <w:spacing w:val="-7"/>
          <w:vertAlign w:val="baseline"/>
        </w:rPr>
        <w:t> </w:t>
      </w:r>
      <w:r>
        <w:rPr>
          <w:color w:val="231F20"/>
          <w:spacing w:val="-4"/>
          <w:vertAlign w:val="baseline"/>
        </w:rPr>
        <w:t>catégoriquement</w:t>
      </w:r>
      <w:r>
        <w:rPr>
          <w:color w:val="231F20"/>
          <w:spacing w:val="-7"/>
          <w:vertAlign w:val="baseline"/>
        </w:rPr>
        <w:t> </w:t>
      </w:r>
      <w:r>
        <w:rPr>
          <w:color w:val="231F20"/>
          <w:spacing w:val="-4"/>
          <w:vertAlign w:val="baseline"/>
        </w:rPr>
        <w:t>de</w:t>
      </w:r>
      <w:r>
        <w:rPr>
          <w:color w:val="231F20"/>
          <w:spacing w:val="-5"/>
          <w:vertAlign w:val="baseline"/>
        </w:rPr>
        <w:t> </w:t>
      </w:r>
      <w:r>
        <w:rPr>
          <w:color w:val="231F20"/>
          <w:spacing w:val="-4"/>
          <w:vertAlign w:val="baseline"/>
        </w:rPr>
        <w:t>confondre</w:t>
      </w:r>
      <w:r>
        <w:rPr>
          <w:color w:val="231F20"/>
          <w:spacing w:val="-6"/>
          <w:vertAlign w:val="baseline"/>
        </w:rPr>
        <w:t> </w:t>
      </w:r>
      <w:r>
        <w:rPr>
          <w:color w:val="231F20"/>
          <w:spacing w:val="-4"/>
          <w:vertAlign w:val="baseline"/>
        </w:rPr>
        <w:t>PDCI</w:t>
      </w:r>
      <w:r>
        <w:rPr>
          <w:color w:val="231F20"/>
          <w:spacing w:val="-10"/>
          <w:vertAlign w:val="baseline"/>
        </w:rPr>
        <w:t> </w:t>
      </w:r>
      <w:r>
        <w:rPr>
          <w:color w:val="231F20"/>
          <w:spacing w:val="-4"/>
          <w:vertAlign w:val="baseline"/>
        </w:rPr>
        <w:t>et </w:t>
      </w:r>
      <w:r>
        <w:rPr>
          <w:color w:val="231F20"/>
          <w:vertAlign w:val="baseline"/>
        </w:rPr>
        <w:t>RHDP. Du côté du Front populaire ivoirien (FPI), le parti de Laurent Gbagbo,</w:t>
      </w:r>
      <w:r>
        <w:rPr>
          <w:color w:val="231F20"/>
          <w:spacing w:val="-13"/>
          <w:vertAlign w:val="baseline"/>
        </w:rPr>
        <w:t> </w:t>
      </w:r>
      <w:r>
        <w:rPr>
          <w:color w:val="231F20"/>
          <w:vertAlign w:val="baseline"/>
        </w:rPr>
        <w:t>c’est</w:t>
      </w:r>
      <w:r>
        <w:rPr>
          <w:color w:val="231F20"/>
          <w:spacing w:val="-8"/>
          <w:vertAlign w:val="baseline"/>
        </w:rPr>
        <w:t> </w:t>
      </w:r>
      <w:r>
        <w:rPr>
          <w:color w:val="231F20"/>
          <w:vertAlign w:val="baseline"/>
        </w:rPr>
        <w:t>le</w:t>
      </w:r>
      <w:r>
        <w:rPr>
          <w:color w:val="231F20"/>
          <w:spacing w:val="-9"/>
          <w:vertAlign w:val="baseline"/>
        </w:rPr>
        <w:t> </w:t>
      </w:r>
      <w:r>
        <w:rPr>
          <w:color w:val="231F20"/>
          <w:vertAlign w:val="baseline"/>
        </w:rPr>
        <w:t>silence</w:t>
      </w:r>
      <w:r>
        <w:rPr>
          <w:color w:val="231F20"/>
          <w:spacing w:val="-15"/>
          <w:vertAlign w:val="baseline"/>
        </w:rPr>
        <w:t> </w:t>
      </w:r>
      <w:r>
        <w:rPr>
          <w:color w:val="231F20"/>
          <w:vertAlign w:val="baseline"/>
        </w:rPr>
        <w:t>:</w:t>
      </w:r>
      <w:r>
        <w:rPr>
          <w:color w:val="231F20"/>
          <w:spacing w:val="-9"/>
          <w:vertAlign w:val="baseline"/>
        </w:rPr>
        <w:t> </w:t>
      </w:r>
      <w:r>
        <w:rPr>
          <w:color w:val="231F20"/>
          <w:vertAlign w:val="baseline"/>
        </w:rPr>
        <w:t>la</w:t>
      </w:r>
      <w:r>
        <w:rPr>
          <w:color w:val="231F20"/>
          <w:spacing w:val="-9"/>
          <w:vertAlign w:val="baseline"/>
        </w:rPr>
        <w:t> </w:t>
      </w:r>
      <w:r>
        <w:rPr>
          <w:color w:val="231F20"/>
          <w:vertAlign w:val="baseline"/>
        </w:rPr>
        <w:t>cohésion</w:t>
      </w:r>
      <w:r>
        <w:rPr>
          <w:color w:val="231F20"/>
          <w:spacing w:val="-9"/>
          <w:vertAlign w:val="baseline"/>
        </w:rPr>
        <w:t> </w:t>
      </w:r>
      <w:r>
        <w:rPr>
          <w:color w:val="231F20"/>
          <w:vertAlign w:val="baseline"/>
        </w:rPr>
        <w:t>ayant</w:t>
      </w:r>
      <w:r>
        <w:rPr>
          <w:color w:val="231F20"/>
          <w:spacing w:val="-8"/>
          <w:vertAlign w:val="baseline"/>
        </w:rPr>
        <w:t> </w:t>
      </w:r>
      <w:r>
        <w:rPr>
          <w:color w:val="231F20"/>
          <w:vertAlign w:val="baseline"/>
        </w:rPr>
        <w:t>volé</w:t>
      </w:r>
      <w:r>
        <w:rPr>
          <w:color w:val="231F20"/>
          <w:spacing w:val="-9"/>
          <w:vertAlign w:val="baseline"/>
        </w:rPr>
        <w:t> </w:t>
      </w:r>
      <w:r>
        <w:rPr>
          <w:color w:val="231F20"/>
          <w:vertAlign w:val="baseline"/>
        </w:rPr>
        <w:t>en</w:t>
      </w:r>
      <w:r>
        <w:rPr>
          <w:color w:val="231F20"/>
          <w:spacing w:val="-10"/>
          <w:vertAlign w:val="baseline"/>
        </w:rPr>
        <w:t> </w:t>
      </w:r>
      <w:r>
        <w:rPr>
          <w:color w:val="231F20"/>
          <w:vertAlign w:val="baseline"/>
        </w:rPr>
        <w:t>éclat</w:t>
      </w:r>
      <w:r>
        <w:rPr>
          <w:color w:val="231F20"/>
          <w:spacing w:val="-8"/>
          <w:vertAlign w:val="baseline"/>
        </w:rPr>
        <w:t> </w:t>
      </w:r>
      <w:r>
        <w:rPr>
          <w:color w:val="231F20"/>
          <w:vertAlign w:val="baseline"/>
        </w:rPr>
        <w:t>avec</w:t>
      </w:r>
      <w:r>
        <w:rPr>
          <w:color w:val="231F20"/>
          <w:spacing w:val="-9"/>
          <w:vertAlign w:val="baseline"/>
        </w:rPr>
        <w:t> </w:t>
      </w:r>
      <w:r>
        <w:rPr>
          <w:color w:val="231F20"/>
          <w:vertAlign w:val="baseline"/>
        </w:rPr>
        <w:t>l’absence du mentor.</w:t>
      </w:r>
    </w:p>
    <w:p>
      <w:pPr>
        <w:pStyle w:val="BodyText"/>
        <w:spacing w:before="120"/>
        <w:ind w:right="103" w:firstLine="283"/>
      </w:pPr>
      <w:r>
        <w:rPr>
          <w:color w:val="231F20"/>
          <w:spacing w:val="-4"/>
        </w:rPr>
        <w:t>La</w:t>
      </w:r>
      <w:r>
        <w:rPr>
          <w:color w:val="231F20"/>
          <w:spacing w:val="-11"/>
        </w:rPr>
        <w:t> </w:t>
      </w:r>
      <w:r>
        <w:rPr>
          <w:color w:val="231F20"/>
          <w:spacing w:val="-4"/>
        </w:rPr>
        <w:t>sécurisation</w:t>
      </w:r>
      <w:r>
        <w:rPr>
          <w:color w:val="231F20"/>
          <w:spacing w:val="-11"/>
        </w:rPr>
        <w:t> </w:t>
      </w:r>
      <w:r>
        <w:rPr>
          <w:color w:val="231F20"/>
          <w:spacing w:val="-4"/>
        </w:rPr>
        <w:t>du</w:t>
      </w:r>
      <w:r>
        <w:rPr>
          <w:color w:val="231F20"/>
          <w:spacing w:val="-11"/>
        </w:rPr>
        <w:t> </w:t>
      </w:r>
      <w:r>
        <w:rPr>
          <w:color w:val="231F20"/>
          <w:spacing w:val="-4"/>
        </w:rPr>
        <w:t>pays</w:t>
      </w:r>
      <w:r>
        <w:rPr>
          <w:color w:val="231F20"/>
          <w:spacing w:val="-11"/>
        </w:rPr>
        <w:t> </w:t>
      </w:r>
      <w:r>
        <w:rPr>
          <w:color w:val="231F20"/>
          <w:spacing w:val="-4"/>
        </w:rPr>
        <w:t>et</w:t>
      </w:r>
      <w:r>
        <w:rPr>
          <w:color w:val="231F20"/>
          <w:spacing w:val="-11"/>
        </w:rPr>
        <w:t> </w:t>
      </w:r>
      <w:r>
        <w:rPr>
          <w:color w:val="231F20"/>
          <w:spacing w:val="-4"/>
        </w:rPr>
        <w:t>la</w:t>
      </w:r>
      <w:r>
        <w:rPr>
          <w:color w:val="231F20"/>
          <w:spacing w:val="-11"/>
        </w:rPr>
        <w:t> </w:t>
      </w:r>
      <w:r>
        <w:rPr>
          <w:color w:val="231F20"/>
          <w:spacing w:val="-4"/>
        </w:rPr>
        <w:t>«</w:t>
      </w:r>
      <w:r>
        <w:rPr>
          <w:color w:val="231F20"/>
          <w:spacing w:val="-11"/>
        </w:rPr>
        <w:t> </w:t>
      </w:r>
      <w:r>
        <w:rPr>
          <w:color w:val="231F20"/>
          <w:spacing w:val="-4"/>
        </w:rPr>
        <w:t>réconciliation</w:t>
      </w:r>
      <w:r>
        <w:rPr>
          <w:color w:val="231F20"/>
          <w:spacing w:val="-11"/>
        </w:rPr>
        <w:t> </w:t>
      </w:r>
      <w:r>
        <w:rPr>
          <w:color w:val="231F20"/>
          <w:spacing w:val="-4"/>
        </w:rPr>
        <w:t>nationale</w:t>
      </w:r>
      <w:r>
        <w:rPr>
          <w:color w:val="231F20"/>
          <w:spacing w:val="-9"/>
        </w:rPr>
        <w:t> </w:t>
      </w:r>
      <w:r>
        <w:rPr>
          <w:color w:val="231F20"/>
          <w:spacing w:val="-4"/>
        </w:rPr>
        <w:t>»</w:t>
      </w:r>
      <w:r>
        <w:rPr>
          <w:color w:val="231F20"/>
          <w:spacing w:val="-10"/>
        </w:rPr>
        <w:t> </w:t>
      </w:r>
      <w:r>
        <w:rPr>
          <w:color w:val="231F20"/>
          <w:spacing w:val="-4"/>
        </w:rPr>
        <w:t>était</w:t>
      </w:r>
      <w:r>
        <w:rPr>
          <w:color w:val="231F20"/>
          <w:spacing w:val="-11"/>
        </w:rPr>
        <w:t> </w:t>
      </w:r>
      <w:r>
        <w:rPr>
          <w:color w:val="231F20"/>
          <w:spacing w:val="-4"/>
        </w:rPr>
        <w:t>la</w:t>
      </w:r>
      <w:r>
        <w:rPr>
          <w:color w:val="231F20"/>
          <w:spacing w:val="-11"/>
        </w:rPr>
        <w:t> </w:t>
      </w:r>
      <w:r>
        <w:rPr>
          <w:color w:val="231F20"/>
          <w:spacing w:val="-4"/>
        </w:rPr>
        <w:t>priorité </w:t>
      </w:r>
      <w:r>
        <w:rPr>
          <w:color w:val="231F20"/>
        </w:rPr>
        <w:t>du</w:t>
      </w:r>
      <w:r>
        <w:rPr>
          <w:color w:val="231F20"/>
          <w:spacing w:val="-13"/>
        </w:rPr>
        <w:t> </w:t>
      </w:r>
      <w:r>
        <w:rPr>
          <w:color w:val="231F20"/>
        </w:rPr>
        <w:t>nouveau</w:t>
      </w:r>
      <w:r>
        <w:rPr>
          <w:color w:val="231F20"/>
          <w:spacing w:val="-13"/>
        </w:rPr>
        <w:t> </w:t>
      </w:r>
      <w:r>
        <w:rPr>
          <w:color w:val="231F20"/>
        </w:rPr>
        <w:t>pouvoir</w:t>
      </w:r>
      <w:r>
        <w:rPr>
          <w:color w:val="231F20"/>
          <w:spacing w:val="-15"/>
        </w:rPr>
        <w:t> </w:t>
      </w:r>
      <w:r>
        <w:rPr>
          <w:color w:val="231F20"/>
        </w:rPr>
        <w:t>en</w:t>
      </w:r>
      <w:r>
        <w:rPr>
          <w:color w:val="231F20"/>
          <w:spacing w:val="-13"/>
        </w:rPr>
        <w:t> </w:t>
      </w:r>
      <w:r>
        <w:rPr>
          <w:color w:val="231F20"/>
        </w:rPr>
        <w:t>2011.</w:t>
      </w:r>
      <w:r>
        <w:rPr>
          <w:color w:val="231F20"/>
          <w:spacing w:val="-13"/>
        </w:rPr>
        <w:t> </w:t>
      </w:r>
      <w:r>
        <w:rPr>
          <w:color w:val="231F20"/>
        </w:rPr>
        <w:t>Mais</w:t>
      </w:r>
      <w:r>
        <w:rPr>
          <w:color w:val="231F20"/>
          <w:spacing w:val="-15"/>
        </w:rPr>
        <w:t> </w:t>
      </w:r>
      <w:r>
        <w:rPr>
          <w:color w:val="231F20"/>
        </w:rPr>
        <w:t>dans</w:t>
      </w:r>
      <w:r>
        <w:rPr>
          <w:color w:val="231F20"/>
          <w:spacing w:val="-15"/>
        </w:rPr>
        <w:t> </w:t>
      </w:r>
      <w:r>
        <w:rPr>
          <w:color w:val="231F20"/>
        </w:rPr>
        <w:t>les</w:t>
      </w:r>
      <w:r>
        <w:rPr>
          <w:color w:val="231F20"/>
          <w:spacing w:val="-13"/>
        </w:rPr>
        <w:t> </w:t>
      </w:r>
      <w:r>
        <w:rPr>
          <w:color w:val="231F20"/>
        </w:rPr>
        <w:t>faits,</w:t>
      </w:r>
      <w:r>
        <w:rPr>
          <w:color w:val="231F20"/>
          <w:spacing w:val="-15"/>
        </w:rPr>
        <w:t> </w:t>
      </w:r>
      <w:r>
        <w:rPr>
          <w:color w:val="231F20"/>
        </w:rPr>
        <w:t>la</w:t>
      </w:r>
      <w:r>
        <w:rPr>
          <w:color w:val="231F20"/>
          <w:spacing w:val="-13"/>
        </w:rPr>
        <w:t> </w:t>
      </w:r>
      <w:r>
        <w:rPr>
          <w:color w:val="231F20"/>
        </w:rPr>
        <w:t>réconciliation</w:t>
      </w:r>
      <w:r>
        <w:rPr>
          <w:color w:val="231F20"/>
          <w:spacing w:val="-13"/>
        </w:rPr>
        <w:t> </w:t>
      </w:r>
      <w:r>
        <w:rPr>
          <w:color w:val="231F20"/>
        </w:rPr>
        <w:t>est</w:t>
      </w:r>
      <w:r>
        <w:rPr>
          <w:color w:val="231F20"/>
          <w:spacing w:val="-9"/>
        </w:rPr>
        <w:t> </w:t>
      </w:r>
      <w:r>
        <w:rPr>
          <w:color w:val="231F20"/>
        </w:rPr>
        <w:t>au point mort</w:t>
      </w:r>
      <w:r>
        <w:rPr>
          <w:color w:val="231F20"/>
          <w:spacing w:val="-14"/>
        </w:rPr>
        <w:t> </w:t>
      </w:r>
      <w:r>
        <w:rPr>
          <w:color w:val="231F20"/>
        </w:rPr>
        <w:t>: la Commission «</w:t>
      </w:r>
      <w:r>
        <w:rPr>
          <w:color w:val="231F20"/>
          <w:spacing w:val="-13"/>
        </w:rPr>
        <w:t> </w:t>
      </w:r>
      <w:r>
        <w:rPr>
          <w:color w:val="231F20"/>
        </w:rPr>
        <w:t>Dialogue Vérité et Réconciliation</w:t>
      </w:r>
      <w:r>
        <w:rPr>
          <w:color w:val="231F20"/>
          <w:spacing w:val="-15"/>
        </w:rPr>
        <w:t> </w:t>
      </w:r>
      <w:r>
        <w:rPr>
          <w:color w:val="231F20"/>
        </w:rPr>
        <w:t>» (CDVR),</w:t>
      </w:r>
      <w:r>
        <w:rPr>
          <w:color w:val="231F20"/>
          <w:spacing w:val="-15"/>
        </w:rPr>
        <w:t> </w:t>
      </w:r>
      <w:r>
        <w:rPr>
          <w:color w:val="231F20"/>
        </w:rPr>
        <w:t>une</w:t>
      </w:r>
      <w:r>
        <w:rPr>
          <w:color w:val="231F20"/>
          <w:spacing w:val="-15"/>
        </w:rPr>
        <w:t> </w:t>
      </w:r>
      <w:r>
        <w:rPr>
          <w:color w:val="231F20"/>
        </w:rPr>
        <w:t>coquille</w:t>
      </w:r>
      <w:r>
        <w:rPr>
          <w:color w:val="231F20"/>
          <w:spacing w:val="-15"/>
        </w:rPr>
        <w:t> </w:t>
      </w:r>
      <w:r>
        <w:rPr>
          <w:color w:val="231F20"/>
        </w:rPr>
        <w:t>vide.</w:t>
      </w:r>
      <w:r>
        <w:rPr>
          <w:color w:val="231F20"/>
          <w:spacing w:val="-15"/>
        </w:rPr>
        <w:t> </w:t>
      </w:r>
      <w:r>
        <w:rPr>
          <w:color w:val="231F20"/>
        </w:rPr>
        <w:t>Chaque</w:t>
      </w:r>
      <w:r>
        <w:rPr>
          <w:color w:val="231F20"/>
          <w:spacing w:val="-15"/>
        </w:rPr>
        <w:t> </w:t>
      </w:r>
      <w:r>
        <w:rPr>
          <w:color w:val="231F20"/>
        </w:rPr>
        <w:t>camp</w:t>
      </w:r>
      <w:r>
        <w:rPr>
          <w:color w:val="231F20"/>
          <w:spacing w:val="-15"/>
        </w:rPr>
        <w:t> </w:t>
      </w:r>
      <w:r>
        <w:rPr>
          <w:color w:val="231F20"/>
        </w:rPr>
        <w:t>reste</w:t>
      </w:r>
      <w:r>
        <w:rPr>
          <w:color w:val="231F20"/>
          <w:spacing w:val="-15"/>
        </w:rPr>
        <w:t> </w:t>
      </w:r>
      <w:r>
        <w:rPr>
          <w:color w:val="231F20"/>
        </w:rPr>
        <w:t>campé</w:t>
      </w:r>
      <w:r>
        <w:rPr>
          <w:color w:val="231F20"/>
          <w:spacing w:val="-15"/>
        </w:rPr>
        <w:t> </w:t>
      </w:r>
      <w:r>
        <w:rPr>
          <w:color w:val="231F20"/>
        </w:rPr>
        <w:t>sur</w:t>
      </w:r>
      <w:r>
        <w:rPr>
          <w:color w:val="231F20"/>
          <w:spacing w:val="-15"/>
        </w:rPr>
        <w:t> </w:t>
      </w:r>
      <w:r>
        <w:rPr>
          <w:color w:val="231F20"/>
        </w:rPr>
        <w:t>ses</w:t>
      </w:r>
      <w:r>
        <w:rPr>
          <w:color w:val="231F20"/>
          <w:spacing w:val="-15"/>
        </w:rPr>
        <w:t> </w:t>
      </w:r>
      <w:r>
        <w:rPr>
          <w:color w:val="231F20"/>
        </w:rPr>
        <w:t>certitudes et</w:t>
      </w:r>
      <w:r>
        <w:rPr>
          <w:color w:val="231F20"/>
          <w:spacing w:val="-4"/>
        </w:rPr>
        <w:t> </w:t>
      </w:r>
      <w:r>
        <w:rPr>
          <w:color w:val="231F20"/>
        </w:rPr>
        <w:t>la</w:t>
      </w:r>
      <w:r>
        <w:rPr>
          <w:color w:val="231F20"/>
          <w:spacing w:val="-5"/>
        </w:rPr>
        <w:t> </w:t>
      </w:r>
      <w:r>
        <w:rPr>
          <w:color w:val="231F20"/>
        </w:rPr>
        <w:t>haine</w:t>
      </w:r>
      <w:r>
        <w:rPr>
          <w:color w:val="231F20"/>
          <w:spacing w:val="-5"/>
        </w:rPr>
        <w:t> </w:t>
      </w:r>
      <w:r>
        <w:rPr>
          <w:color w:val="231F20"/>
        </w:rPr>
        <w:t>de</w:t>
      </w:r>
      <w:r>
        <w:rPr>
          <w:color w:val="231F20"/>
          <w:spacing w:val="-7"/>
        </w:rPr>
        <w:t> </w:t>
      </w:r>
      <w:r>
        <w:rPr>
          <w:color w:val="231F20"/>
        </w:rPr>
        <w:t>l’autre</w:t>
      </w:r>
      <w:r>
        <w:rPr>
          <w:color w:val="231F20"/>
          <w:spacing w:val="-6"/>
        </w:rPr>
        <w:t> </w:t>
      </w:r>
      <w:r>
        <w:rPr>
          <w:color w:val="231F20"/>
        </w:rPr>
        <w:t>:</w:t>
      </w:r>
      <w:r>
        <w:rPr>
          <w:color w:val="231F20"/>
          <w:spacing w:val="-4"/>
        </w:rPr>
        <w:t> </w:t>
      </w:r>
      <w:r>
        <w:rPr>
          <w:color w:val="231F20"/>
        </w:rPr>
        <w:t>les</w:t>
      </w:r>
      <w:r>
        <w:rPr>
          <w:color w:val="231F20"/>
          <w:spacing w:val="-6"/>
        </w:rPr>
        <w:t> </w:t>
      </w:r>
      <w:r>
        <w:rPr>
          <w:color w:val="231F20"/>
        </w:rPr>
        <w:t>partisans</w:t>
      </w:r>
      <w:r>
        <w:rPr>
          <w:color w:val="231F20"/>
          <w:spacing w:val="-4"/>
        </w:rPr>
        <w:t> </w:t>
      </w:r>
      <w:r>
        <w:rPr>
          <w:color w:val="231F20"/>
        </w:rPr>
        <w:t>de</w:t>
      </w:r>
      <w:r>
        <w:rPr>
          <w:color w:val="231F20"/>
          <w:spacing w:val="-5"/>
        </w:rPr>
        <w:t> </w:t>
      </w:r>
      <w:r>
        <w:rPr>
          <w:color w:val="231F20"/>
        </w:rPr>
        <w:t>Ouattara</w:t>
      </w:r>
      <w:r>
        <w:rPr>
          <w:color w:val="231F20"/>
          <w:spacing w:val="-7"/>
        </w:rPr>
        <w:t> </w:t>
      </w:r>
      <w:r>
        <w:rPr>
          <w:color w:val="231F20"/>
        </w:rPr>
        <w:t>sont</w:t>
      </w:r>
      <w:r>
        <w:rPr>
          <w:color w:val="231F20"/>
          <w:spacing w:val="-4"/>
        </w:rPr>
        <w:t> </w:t>
      </w:r>
      <w:r>
        <w:rPr>
          <w:color w:val="231F20"/>
        </w:rPr>
        <w:t>avares</w:t>
      </w:r>
      <w:r>
        <w:rPr>
          <w:color w:val="231F20"/>
          <w:spacing w:val="-4"/>
        </w:rPr>
        <w:t> </w:t>
      </w:r>
      <w:r>
        <w:rPr>
          <w:color w:val="231F20"/>
        </w:rPr>
        <w:t>en</w:t>
      </w:r>
      <w:r>
        <w:rPr>
          <w:color w:val="231F20"/>
          <w:spacing w:val="-6"/>
        </w:rPr>
        <w:t> </w:t>
      </w:r>
      <w:r>
        <w:rPr>
          <w:color w:val="231F20"/>
        </w:rPr>
        <w:t>humilité, clamant tout haut</w:t>
      </w:r>
      <w:r>
        <w:rPr>
          <w:color w:val="231F20"/>
          <w:spacing w:val="-10"/>
        </w:rPr>
        <w:t> </w:t>
      </w:r>
      <w:r>
        <w:rPr>
          <w:color w:val="231F20"/>
        </w:rPr>
        <w:t>que le temps est venu pour le nord d’être aux commandes et de jouir des ressources du pays. Dans les structures publiques et privées de l’État, le Parti fait embaucher de nombreux </w:t>
      </w:r>
      <w:r>
        <w:rPr>
          <w:color w:val="231F20"/>
          <w:spacing w:val="-4"/>
        </w:rPr>
        <w:t>militants</w:t>
      </w:r>
      <w:r>
        <w:rPr>
          <w:color w:val="231F20"/>
          <w:spacing w:val="-11"/>
        </w:rPr>
        <w:t> </w:t>
      </w:r>
      <w:r>
        <w:rPr>
          <w:color w:val="231F20"/>
          <w:spacing w:val="-4"/>
        </w:rPr>
        <w:t>même</w:t>
      </w:r>
      <w:r>
        <w:rPr>
          <w:color w:val="231F20"/>
          <w:spacing w:val="-11"/>
        </w:rPr>
        <w:t> </w:t>
      </w:r>
      <w:r>
        <w:rPr>
          <w:color w:val="231F20"/>
          <w:spacing w:val="-4"/>
        </w:rPr>
        <w:t>s’ils</w:t>
      </w:r>
      <w:r>
        <w:rPr>
          <w:color w:val="231F20"/>
          <w:spacing w:val="-9"/>
        </w:rPr>
        <w:t> </w:t>
      </w:r>
      <w:r>
        <w:rPr>
          <w:color w:val="231F20"/>
          <w:spacing w:val="-4"/>
        </w:rPr>
        <w:t>n’ont</w:t>
      </w:r>
      <w:r>
        <w:rPr>
          <w:color w:val="231F20"/>
          <w:spacing w:val="-11"/>
        </w:rPr>
        <w:t> </w:t>
      </w:r>
      <w:r>
        <w:rPr>
          <w:color w:val="231F20"/>
          <w:spacing w:val="-4"/>
        </w:rPr>
        <w:t>ni</w:t>
      </w:r>
      <w:r>
        <w:rPr>
          <w:color w:val="231F20"/>
          <w:spacing w:val="-8"/>
        </w:rPr>
        <w:t> </w:t>
      </w:r>
      <w:r>
        <w:rPr>
          <w:color w:val="231F20"/>
          <w:spacing w:val="-4"/>
        </w:rPr>
        <w:t>le</w:t>
      </w:r>
      <w:r>
        <w:rPr>
          <w:color w:val="231F20"/>
          <w:spacing w:val="-11"/>
        </w:rPr>
        <w:t> </w:t>
      </w:r>
      <w:r>
        <w:rPr>
          <w:color w:val="231F20"/>
          <w:spacing w:val="-4"/>
        </w:rPr>
        <w:t>niveau</w:t>
      </w:r>
      <w:r>
        <w:rPr>
          <w:color w:val="231F20"/>
          <w:spacing w:val="-11"/>
        </w:rPr>
        <w:t> </w:t>
      </w:r>
      <w:r>
        <w:rPr>
          <w:color w:val="231F20"/>
          <w:spacing w:val="-4"/>
        </w:rPr>
        <w:t>ni</w:t>
      </w:r>
      <w:r>
        <w:rPr>
          <w:color w:val="231F20"/>
          <w:spacing w:val="-11"/>
        </w:rPr>
        <w:t> </w:t>
      </w:r>
      <w:r>
        <w:rPr>
          <w:color w:val="231F20"/>
          <w:spacing w:val="-4"/>
        </w:rPr>
        <w:t>le</w:t>
      </w:r>
      <w:r>
        <w:rPr>
          <w:color w:val="231F20"/>
          <w:spacing w:val="-10"/>
        </w:rPr>
        <w:t> </w:t>
      </w:r>
      <w:r>
        <w:rPr>
          <w:color w:val="231F20"/>
          <w:spacing w:val="-4"/>
        </w:rPr>
        <w:t>profil</w:t>
      </w:r>
      <w:r>
        <w:rPr>
          <w:color w:val="231F20"/>
          <w:spacing w:val="-8"/>
        </w:rPr>
        <w:t> </w:t>
      </w:r>
      <w:r>
        <w:rPr>
          <w:color w:val="231F20"/>
          <w:spacing w:val="-4"/>
        </w:rPr>
        <w:t>de</w:t>
      </w:r>
      <w:r>
        <w:rPr>
          <w:color w:val="231F20"/>
          <w:spacing w:val="-11"/>
        </w:rPr>
        <w:t> </w:t>
      </w:r>
      <w:r>
        <w:rPr>
          <w:color w:val="231F20"/>
          <w:spacing w:val="-4"/>
        </w:rPr>
        <w:t>l’emploi</w:t>
      </w:r>
      <w:r>
        <w:rPr>
          <w:color w:val="231F20"/>
          <w:spacing w:val="-9"/>
        </w:rPr>
        <w:t> </w:t>
      </w:r>
      <w:r>
        <w:rPr>
          <w:color w:val="231F20"/>
          <w:spacing w:val="-4"/>
        </w:rPr>
        <w:t>pendant</w:t>
      </w:r>
      <w:r>
        <w:rPr>
          <w:color w:val="231F20"/>
          <w:spacing w:val="-9"/>
        </w:rPr>
        <w:t> </w:t>
      </w:r>
      <w:r>
        <w:rPr>
          <w:color w:val="231F20"/>
          <w:spacing w:val="-4"/>
        </w:rPr>
        <w:t>que </w:t>
      </w:r>
      <w:r>
        <w:rPr>
          <w:color w:val="231F20"/>
        </w:rPr>
        <w:t>des personnes qualifiées mais soupçonnées d’être des partisans du président déchu sont mises au placard ou simplement renvoyés de</w:t>
      </w:r>
      <w:r>
        <w:rPr>
          <w:color w:val="231F20"/>
          <w:spacing w:val="-1"/>
        </w:rPr>
        <w:t> </w:t>
      </w:r>
      <w:r>
        <w:rPr>
          <w:color w:val="231F20"/>
        </w:rPr>
        <w:t>leur emploi. Dans les concours, des listes de militants circulent et ces listes sont prioritaires au niveau des admissions.</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210"/>
        <w:ind w:left="0"/>
        <w:jc w:val="left"/>
        <w:rPr>
          <w:sz w:val="20"/>
        </w:rPr>
      </w:pPr>
      <w:r>
        <w:rPr/>
        <mc:AlternateContent>
          <mc:Choice Requires="wps">
            <w:drawing>
              <wp:anchor distT="0" distB="0" distL="0" distR="0" allowOverlap="1" layoutInCell="1" locked="0" behindDoc="1" simplePos="0" relativeHeight="487653888">
                <wp:simplePos x="0" y="0"/>
                <wp:positionH relativeFrom="page">
                  <wp:posOffset>629907</wp:posOffset>
                </wp:positionH>
                <wp:positionV relativeFrom="paragraph">
                  <wp:posOffset>295199</wp:posOffset>
                </wp:positionV>
                <wp:extent cx="1829435" cy="9525"/>
                <wp:effectExtent l="0" t="0" r="0" b="0"/>
                <wp:wrapTopAndBottom/>
                <wp:docPr id="158" name="Graphic 158"/>
                <wp:cNvGraphicFramePr>
                  <a:graphicFrameLocks/>
                </wp:cNvGraphicFramePr>
                <a:graphic>
                  <a:graphicData uri="http://schemas.microsoft.com/office/word/2010/wordprocessingShape">
                    <wps:wsp>
                      <wps:cNvPr id="158" name="Graphic 15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3.244062pt;width:144.020pt;height:.72pt;mso-position-horizontal-relative:page;mso-position-vertical-relative:paragraph;z-index:-15662592;mso-wrap-distance-left:0;mso-wrap-distance-right:0" id="docshape156" filled="true" fillcolor="#231f20" stroked="false">
                <v:fill type="solid"/>
                <w10:wrap type="topAndBottom"/>
              </v:rect>
            </w:pict>
          </mc:Fallback>
        </mc:AlternateContent>
      </w:r>
    </w:p>
    <w:p>
      <w:pPr>
        <w:spacing w:before="91"/>
        <w:ind w:left="111" w:right="105" w:firstLine="0"/>
        <w:jc w:val="both"/>
        <w:rPr>
          <w:sz w:val="20"/>
        </w:rPr>
      </w:pPr>
      <w:r>
        <w:rPr>
          <w:color w:val="76787A"/>
          <w:spacing w:val="-4"/>
          <w:sz w:val="20"/>
          <w:vertAlign w:val="superscript"/>
        </w:rPr>
        <w:t>214</w:t>
      </w:r>
      <w:r>
        <w:rPr>
          <w:color w:val="231F20"/>
          <w:spacing w:val="-4"/>
          <w:sz w:val="20"/>
          <w:vertAlign w:val="baseline"/>
        </w:rPr>
        <w:t>Essy</w:t>
      </w:r>
      <w:r>
        <w:rPr>
          <w:color w:val="231F20"/>
          <w:spacing w:val="-9"/>
          <w:sz w:val="20"/>
          <w:vertAlign w:val="baseline"/>
        </w:rPr>
        <w:t> </w:t>
      </w:r>
      <w:r>
        <w:rPr>
          <w:color w:val="231F20"/>
          <w:spacing w:val="-4"/>
          <w:sz w:val="20"/>
          <w:vertAlign w:val="baseline"/>
        </w:rPr>
        <w:t>Amara,homme</w:t>
      </w:r>
      <w:r>
        <w:rPr>
          <w:color w:val="231F20"/>
          <w:spacing w:val="-8"/>
          <w:sz w:val="20"/>
          <w:vertAlign w:val="baseline"/>
        </w:rPr>
        <w:t> </w:t>
      </w:r>
      <w:r>
        <w:rPr>
          <w:color w:val="231F20"/>
          <w:spacing w:val="-4"/>
          <w:sz w:val="20"/>
          <w:vertAlign w:val="baseline"/>
        </w:rPr>
        <w:t>politique</w:t>
      </w:r>
      <w:r>
        <w:rPr>
          <w:color w:val="231F20"/>
          <w:spacing w:val="4"/>
          <w:sz w:val="20"/>
          <w:vertAlign w:val="baseline"/>
        </w:rPr>
        <w:t> </w:t>
      </w:r>
      <w:r>
        <w:rPr>
          <w:color w:val="231F20"/>
          <w:spacing w:val="-4"/>
          <w:sz w:val="20"/>
          <w:vertAlign w:val="baseline"/>
        </w:rPr>
        <w:t>et</w:t>
      </w:r>
      <w:r>
        <w:rPr>
          <w:color w:val="231F20"/>
          <w:sz w:val="20"/>
          <w:vertAlign w:val="baseline"/>
        </w:rPr>
        <w:t> </w:t>
      </w:r>
      <w:r>
        <w:rPr>
          <w:color w:val="231F20"/>
          <w:spacing w:val="-4"/>
          <w:sz w:val="20"/>
          <w:vertAlign w:val="baseline"/>
        </w:rPr>
        <w:t>diplomate,</w:t>
      </w:r>
      <w:r>
        <w:rPr>
          <w:color w:val="231F20"/>
          <w:spacing w:val="-9"/>
          <w:sz w:val="20"/>
          <w:vertAlign w:val="baseline"/>
        </w:rPr>
        <w:t> </w:t>
      </w:r>
      <w:r>
        <w:rPr>
          <w:color w:val="231F20"/>
          <w:spacing w:val="-4"/>
          <w:sz w:val="20"/>
          <w:vertAlign w:val="baseline"/>
        </w:rPr>
        <w:t>ministre</w:t>
      </w:r>
      <w:r>
        <w:rPr>
          <w:color w:val="231F20"/>
          <w:spacing w:val="-8"/>
          <w:sz w:val="20"/>
          <w:vertAlign w:val="baseline"/>
        </w:rPr>
        <w:t> </w:t>
      </w:r>
      <w:r>
        <w:rPr>
          <w:color w:val="231F20"/>
          <w:spacing w:val="-4"/>
          <w:sz w:val="20"/>
          <w:vertAlign w:val="baseline"/>
        </w:rPr>
        <w:t>des</w:t>
      </w:r>
      <w:r>
        <w:rPr>
          <w:color w:val="231F20"/>
          <w:spacing w:val="-8"/>
          <w:sz w:val="20"/>
          <w:vertAlign w:val="baseline"/>
        </w:rPr>
        <w:t> </w:t>
      </w:r>
      <w:r>
        <w:rPr>
          <w:color w:val="231F20"/>
          <w:spacing w:val="-4"/>
          <w:sz w:val="20"/>
          <w:vertAlign w:val="baseline"/>
        </w:rPr>
        <w:t>Affaires</w:t>
      </w:r>
      <w:r>
        <w:rPr>
          <w:color w:val="231F20"/>
          <w:spacing w:val="-9"/>
          <w:sz w:val="20"/>
          <w:vertAlign w:val="baseline"/>
        </w:rPr>
        <w:t> </w:t>
      </w:r>
      <w:r>
        <w:rPr>
          <w:color w:val="231F20"/>
          <w:spacing w:val="-4"/>
          <w:sz w:val="20"/>
          <w:vertAlign w:val="baseline"/>
        </w:rPr>
        <w:t>étrangères</w:t>
      </w:r>
      <w:r>
        <w:rPr>
          <w:color w:val="231F20"/>
          <w:sz w:val="20"/>
          <w:vertAlign w:val="baseline"/>
        </w:rPr>
        <w:t> </w:t>
      </w:r>
      <w:r>
        <w:rPr>
          <w:color w:val="231F20"/>
          <w:spacing w:val="-4"/>
          <w:sz w:val="20"/>
          <w:vertAlign w:val="baseline"/>
        </w:rPr>
        <w:t>de</w:t>
      </w:r>
      <w:r>
        <w:rPr>
          <w:color w:val="231F20"/>
          <w:spacing w:val="-7"/>
          <w:sz w:val="20"/>
          <w:vertAlign w:val="baseline"/>
        </w:rPr>
        <w:t> </w:t>
      </w:r>
      <w:r>
        <w:rPr>
          <w:color w:val="231F20"/>
          <w:spacing w:val="-4"/>
          <w:sz w:val="20"/>
          <w:vertAlign w:val="baseline"/>
        </w:rPr>
        <w:t>la</w:t>
      </w:r>
      <w:r>
        <w:rPr>
          <w:color w:val="231F20"/>
          <w:spacing w:val="-7"/>
          <w:sz w:val="20"/>
          <w:vertAlign w:val="baseline"/>
        </w:rPr>
        <w:t> </w:t>
      </w:r>
      <w:r>
        <w:rPr>
          <w:color w:val="231F20"/>
          <w:spacing w:val="-4"/>
          <w:sz w:val="20"/>
          <w:vertAlign w:val="baseline"/>
        </w:rPr>
        <w:t>Côte </w:t>
      </w:r>
      <w:r>
        <w:rPr>
          <w:color w:val="231F20"/>
          <w:sz w:val="20"/>
          <w:vertAlign w:val="baseline"/>
        </w:rPr>
        <w:t>d’Ivoire</w:t>
      </w:r>
      <w:r>
        <w:rPr>
          <w:color w:val="231F20"/>
          <w:spacing w:val="40"/>
          <w:sz w:val="20"/>
          <w:vertAlign w:val="baseline"/>
        </w:rPr>
        <w:t> </w:t>
      </w:r>
      <w:r>
        <w:rPr>
          <w:color w:val="231F20"/>
          <w:sz w:val="20"/>
          <w:vertAlign w:val="baseline"/>
        </w:rPr>
        <w:t>entre</w:t>
      </w:r>
      <w:r>
        <w:rPr>
          <w:color w:val="231F20"/>
          <w:spacing w:val="40"/>
          <w:sz w:val="20"/>
          <w:vertAlign w:val="baseline"/>
        </w:rPr>
        <w:t> </w:t>
      </w:r>
      <w:r>
        <w:rPr>
          <w:color w:val="231F20"/>
          <w:sz w:val="20"/>
          <w:vertAlign w:val="baseline"/>
        </w:rPr>
        <w:t>1990</w:t>
      </w:r>
      <w:r>
        <w:rPr>
          <w:color w:val="231F20"/>
          <w:spacing w:val="40"/>
          <w:sz w:val="20"/>
          <w:vertAlign w:val="baseline"/>
        </w:rPr>
        <w:t> </w:t>
      </w:r>
      <w:r>
        <w:rPr>
          <w:color w:val="231F20"/>
          <w:sz w:val="20"/>
          <w:vertAlign w:val="baseline"/>
        </w:rPr>
        <w:t>et</w:t>
      </w:r>
      <w:r>
        <w:rPr>
          <w:color w:val="231F20"/>
          <w:spacing w:val="40"/>
          <w:sz w:val="20"/>
          <w:vertAlign w:val="baseline"/>
        </w:rPr>
        <w:t> </w:t>
      </w:r>
      <w:r>
        <w:rPr>
          <w:color w:val="231F20"/>
          <w:sz w:val="20"/>
          <w:vertAlign w:val="baseline"/>
        </w:rPr>
        <w:t>2000,</w:t>
      </w:r>
      <w:r>
        <w:rPr>
          <w:color w:val="231F20"/>
          <w:spacing w:val="40"/>
          <w:sz w:val="20"/>
          <w:vertAlign w:val="baseline"/>
        </w:rPr>
        <w:t> </w:t>
      </w:r>
      <w:r>
        <w:rPr>
          <w:color w:val="231F20"/>
          <w:sz w:val="20"/>
          <w:vertAlign w:val="baseline"/>
        </w:rPr>
        <w:t>Secrétaire</w:t>
      </w:r>
      <w:r>
        <w:rPr>
          <w:color w:val="231F20"/>
          <w:spacing w:val="40"/>
          <w:sz w:val="20"/>
          <w:vertAlign w:val="baseline"/>
        </w:rPr>
        <w:t> </w:t>
      </w:r>
      <w:r>
        <w:rPr>
          <w:color w:val="231F20"/>
          <w:sz w:val="20"/>
          <w:vertAlign w:val="baseline"/>
        </w:rPr>
        <w:t>général</w:t>
      </w:r>
      <w:r>
        <w:rPr>
          <w:color w:val="231F20"/>
          <w:spacing w:val="40"/>
          <w:sz w:val="20"/>
          <w:vertAlign w:val="baseline"/>
        </w:rPr>
        <w:t> </w:t>
      </w:r>
      <w:r>
        <w:rPr>
          <w:color w:val="231F20"/>
          <w:sz w:val="20"/>
          <w:vertAlign w:val="baseline"/>
        </w:rPr>
        <w:t>de</w:t>
      </w:r>
      <w:r>
        <w:rPr>
          <w:color w:val="231F20"/>
          <w:spacing w:val="40"/>
          <w:sz w:val="20"/>
          <w:vertAlign w:val="baseline"/>
        </w:rPr>
        <w:t> </w:t>
      </w:r>
      <w:r>
        <w:rPr>
          <w:color w:val="231F20"/>
          <w:sz w:val="20"/>
          <w:vertAlign w:val="baseline"/>
        </w:rPr>
        <w:t>l'Organisation</w:t>
      </w:r>
      <w:r>
        <w:rPr>
          <w:color w:val="231F20"/>
          <w:spacing w:val="40"/>
          <w:sz w:val="20"/>
          <w:vertAlign w:val="baseline"/>
        </w:rPr>
        <w:t> </w:t>
      </w:r>
      <w:r>
        <w:rPr>
          <w:color w:val="231F20"/>
          <w:sz w:val="20"/>
          <w:vertAlign w:val="baseline"/>
        </w:rPr>
        <w:t>de</w:t>
      </w:r>
      <w:r>
        <w:rPr>
          <w:color w:val="231F20"/>
          <w:spacing w:val="40"/>
          <w:sz w:val="20"/>
          <w:vertAlign w:val="baseline"/>
        </w:rPr>
        <w:t> </w:t>
      </w:r>
      <w:r>
        <w:rPr>
          <w:color w:val="231F20"/>
          <w:sz w:val="20"/>
          <w:vertAlign w:val="baseline"/>
        </w:rPr>
        <w:t>l'unité africaine</w:t>
      </w:r>
      <w:r>
        <w:rPr>
          <w:color w:val="231F20"/>
          <w:spacing w:val="-13"/>
          <w:sz w:val="20"/>
          <w:vertAlign w:val="baseline"/>
        </w:rPr>
        <w:t> </w:t>
      </w:r>
      <w:r>
        <w:rPr>
          <w:color w:val="231F20"/>
          <w:sz w:val="20"/>
          <w:vertAlign w:val="baseline"/>
        </w:rPr>
        <w:t>(OUA)</w:t>
      </w:r>
      <w:r>
        <w:rPr>
          <w:color w:val="231F20"/>
          <w:spacing w:val="-12"/>
          <w:sz w:val="20"/>
          <w:vertAlign w:val="baseline"/>
        </w:rPr>
        <w:t> </w:t>
      </w:r>
      <w:r>
        <w:rPr>
          <w:color w:val="231F20"/>
          <w:sz w:val="20"/>
          <w:vertAlign w:val="baseline"/>
        </w:rPr>
        <w:t>en</w:t>
      </w:r>
      <w:r>
        <w:rPr>
          <w:color w:val="231F20"/>
          <w:spacing w:val="-13"/>
          <w:sz w:val="20"/>
          <w:vertAlign w:val="baseline"/>
        </w:rPr>
        <w:t> </w:t>
      </w:r>
      <w:r>
        <w:rPr>
          <w:color w:val="231F20"/>
          <w:sz w:val="20"/>
          <w:vertAlign w:val="baseline"/>
        </w:rPr>
        <w:t>2001.</w:t>
      </w:r>
      <w:r>
        <w:rPr>
          <w:color w:val="231F20"/>
          <w:spacing w:val="-12"/>
          <w:sz w:val="20"/>
          <w:vertAlign w:val="baseline"/>
        </w:rPr>
        <w:t> </w:t>
      </w:r>
      <w:r>
        <w:rPr>
          <w:color w:val="231F20"/>
          <w:sz w:val="20"/>
          <w:vertAlign w:val="baseline"/>
        </w:rPr>
        <w:t>président</w:t>
      </w:r>
      <w:r>
        <w:rPr>
          <w:color w:val="231F20"/>
          <w:spacing w:val="-13"/>
          <w:sz w:val="20"/>
          <w:vertAlign w:val="baseline"/>
        </w:rPr>
        <w:t> </w:t>
      </w:r>
      <w:r>
        <w:rPr>
          <w:color w:val="231F20"/>
          <w:sz w:val="20"/>
          <w:vertAlign w:val="baseline"/>
        </w:rPr>
        <w:t>intérimaire</w:t>
      </w:r>
      <w:r>
        <w:rPr>
          <w:color w:val="231F20"/>
          <w:spacing w:val="-12"/>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la</w:t>
      </w:r>
      <w:r>
        <w:rPr>
          <w:color w:val="231F20"/>
          <w:spacing w:val="-12"/>
          <w:sz w:val="20"/>
          <w:vertAlign w:val="baseline"/>
        </w:rPr>
        <w:t> </w:t>
      </w:r>
      <w:r>
        <w:rPr>
          <w:color w:val="231F20"/>
          <w:sz w:val="20"/>
          <w:vertAlign w:val="baseline"/>
        </w:rPr>
        <w:t>Commission</w:t>
      </w:r>
      <w:r>
        <w:rPr>
          <w:color w:val="231F20"/>
          <w:spacing w:val="-13"/>
          <w:sz w:val="20"/>
          <w:vertAlign w:val="baseline"/>
        </w:rPr>
        <w:t> </w:t>
      </w:r>
      <w:r>
        <w:rPr>
          <w:color w:val="231F20"/>
          <w:sz w:val="20"/>
          <w:vertAlign w:val="baseline"/>
        </w:rPr>
        <w:t>de</w:t>
      </w:r>
      <w:r>
        <w:rPr>
          <w:color w:val="231F20"/>
          <w:spacing w:val="-12"/>
          <w:sz w:val="20"/>
          <w:vertAlign w:val="baseline"/>
        </w:rPr>
        <w:t> </w:t>
      </w:r>
      <w:r>
        <w:rPr>
          <w:color w:val="231F20"/>
          <w:sz w:val="20"/>
          <w:vertAlign w:val="baseline"/>
        </w:rPr>
        <w:t>l'Union</w:t>
      </w:r>
      <w:r>
        <w:rPr>
          <w:color w:val="231F20"/>
          <w:spacing w:val="-13"/>
          <w:sz w:val="20"/>
          <w:vertAlign w:val="baseline"/>
        </w:rPr>
        <w:t> </w:t>
      </w:r>
      <w:r>
        <w:rPr>
          <w:color w:val="231F20"/>
          <w:sz w:val="20"/>
          <w:vertAlign w:val="baseline"/>
        </w:rPr>
        <w:t>africaine, lors de sa création en juillet 2002.</w:t>
      </w:r>
    </w:p>
    <w:p>
      <w:pPr>
        <w:spacing w:after="0"/>
        <w:jc w:val="both"/>
        <w:rPr>
          <w:sz w:val="20"/>
        </w:rPr>
        <w:sectPr>
          <w:pgSz w:w="8790" w:h="13610"/>
          <w:pgMar w:header="0" w:footer="802" w:top="1060" w:bottom="1000" w:left="880" w:right="880"/>
        </w:sectPr>
      </w:pPr>
    </w:p>
    <w:p>
      <w:pPr>
        <w:spacing w:before="87"/>
        <w:ind w:left="111" w:right="107" w:firstLine="0"/>
        <w:jc w:val="both"/>
        <w:rPr>
          <w:rFonts w:ascii="Cambria" w:hAnsi="Cambria"/>
          <w:b/>
          <w:sz w:val="22"/>
        </w:rPr>
      </w:pPr>
      <w:r>
        <w:rPr>
          <w:rFonts w:ascii="Cambria" w:hAnsi="Cambria"/>
          <w:b/>
          <w:color w:val="231F20"/>
          <w:sz w:val="22"/>
        </w:rPr>
        <w:t>Le</w:t>
      </w:r>
      <w:r>
        <w:rPr>
          <w:rFonts w:ascii="Cambria" w:hAnsi="Cambria"/>
          <w:b/>
          <w:color w:val="231F20"/>
          <w:spacing w:val="-13"/>
          <w:sz w:val="22"/>
        </w:rPr>
        <w:t> </w:t>
      </w:r>
      <w:r>
        <w:rPr>
          <w:rFonts w:ascii="Cambria" w:hAnsi="Cambria"/>
          <w:b/>
          <w:color w:val="231F20"/>
          <w:sz w:val="22"/>
        </w:rPr>
        <w:t>1er</w:t>
      </w:r>
      <w:r>
        <w:rPr>
          <w:rFonts w:ascii="Cambria" w:hAnsi="Cambria"/>
          <w:b/>
          <w:color w:val="231F20"/>
          <w:spacing w:val="-12"/>
          <w:sz w:val="22"/>
        </w:rPr>
        <w:t> </w:t>
      </w:r>
      <w:r>
        <w:rPr>
          <w:rFonts w:ascii="Cambria" w:hAnsi="Cambria"/>
          <w:b/>
          <w:color w:val="231F20"/>
          <w:sz w:val="22"/>
        </w:rPr>
        <w:t>décembre</w:t>
      </w:r>
      <w:r>
        <w:rPr>
          <w:rFonts w:ascii="Cambria" w:hAnsi="Cambria"/>
          <w:b/>
          <w:color w:val="231F20"/>
          <w:spacing w:val="-12"/>
          <w:sz w:val="22"/>
        </w:rPr>
        <w:t> </w:t>
      </w:r>
      <w:r>
        <w:rPr>
          <w:rFonts w:ascii="Cambria" w:hAnsi="Cambria"/>
          <w:b/>
          <w:color w:val="231F20"/>
          <w:sz w:val="22"/>
        </w:rPr>
        <w:t>2014,</w:t>
      </w:r>
      <w:r>
        <w:rPr>
          <w:rFonts w:ascii="Cambria" w:hAnsi="Cambria"/>
          <w:b/>
          <w:color w:val="231F20"/>
          <w:spacing w:val="-12"/>
          <w:sz w:val="22"/>
        </w:rPr>
        <w:t> </w:t>
      </w:r>
      <w:r>
        <w:rPr>
          <w:rFonts w:ascii="Cambria" w:hAnsi="Cambria"/>
          <w:b/>
          <w:color w:val="231F20"/>
          <w:sz w:val="22"/>
        </w:rPr>
        <w:t>Simone</w:t>
      </w:r>
      <w:r>
        <w:rPr>
          <w:rFonts w:ascii="Cambria" w:hAnsi="Cambria"/>
          <w:b/>
          <w:color w:val="231F20"/>
          <w:spacing w:val="27"/>
          <w:sz w:val="22"/>
        </w:rPr>
        <w:t> </w:t>
      </w:r>
      <w:r>
        <w:rPr>
          <w:rFonts w:ascii="Cambria" w:hAnsi="Cambria"/>
          <w:b/>
          <w:color w:val="231F20"/>
          <w:sz w:val="22"/>
        </w:rPr>
        <w:t>Gbagbo</w:t>
      </w:r>
      <w:r>
        <w:rPr>
          <w:rFonts w:ascii="Cambria" w:hAnsi="Cambria"/>
          <w:b/>
          <w:color w:val="231F20"/>
          <w:spacing w:val="40"/>
          <w:sz w:val="22"/>
        </w:rPr>
        <w:t> </w:t>
      </w:r>
      <w:r>
        <w:rPr>
          <w:rFonts w:ascii="Cambria" w:hAnsi="Cambria"/>
          <w:b/>
          <w:color w:val="231F20"/>
          <w:sz w:val="22"/>
        </w:rPr>
        <w:t>est</w:t>
      </w:r>
      <w:r>
        <w:rPr>
          <w:rFonts w:ascii="Cambria" w:hAnsi="Cambria"/>
          <w:b/>
          <w:color w:val="231F20"/>
          <w:spacing w:val="40"/>
          <w:sz w:val="22"/>
        </w:rPr>
        <w:t> </w:t>
      </w:r>
      <w:r>
        <w:rPr>
          <w:rFonts w:ascii="Cambria" w:hAnsi="Cambria"/>
          <w:b/>
          <w:color w:val="231F20"/>
          <w:sz w:val="22"/>
        </w:rPr>
        <w:t>transférée</w:t>
      </w:r>
      <w:r>
        <w:rPr>
          <w:rFonts w:ascii="Cambria" w:hAnsi="Cambria"/>
          <w:b/>
          <w:color w:val="231F20"/>
          <w:spacing w:val="40"/>
          <w:sz w:val="22"/>
        </w:rPr>
        <w:t> </w:t>
      </w:r>
      <w:r>
        <w:rPr>
          <w:rFonts w:ascii="Cambria" w:hAnsi="Cambria"/>
          <w:b/>
          <w:color w:val="231F20"/>
          <w:sz w:val="22"/>
        </w:rPr>
        <w:t>d’Odienné</w:t>
      </w:r>
      <w:r>
        <w:rPr>
          <w:rFonts w:ascii="Cambria" w:hAnsi="Cambria"/>
          <w:b/>
          <w:color w:val="231F20"/>
          <w:spacing w:val="40"/>
          <w:sz w:val="22"/>
        </w:rPr>
        <w:t> </w:t>
      </w:r>
      <w:r>
        <w:rPr>
          <w:rFonts w:ascii="Cambria" w:hAnsi="Cambria"/>
          <w:b/>
          <w:color w:val="231F20"/>
          <w:sz w:val="22"/>
        </w:rPr>
        <w:t>à l'école de gendarmerie d'Abidjan.</w:t>
      </w:r>
    </w:p>
    <w:p>
      <w:pPr>
        <w:spacing w:before="256"/>
        <w:ind w:left="111" w:right="102" w:firstLine="283"/>
        <w:jc w:val="both"/>
        <w:rPr>
          <w:i/>
          <w:sz w:val="24"/>
        </w:rPr>
      </w:pPr>
      <w:r>
        <w:rPr>
          <w:color w:val="231F20"/>
          <w:sz w:val="24"/>
        </w:rPr>
        <w:t>Le</w:t>
      </w:r>
      <w:r>
        <w:rPr>
          <w:color w:val="231F20"/>
          <w:spacing w:val="-15"/>
          <w:sz w:val="24"/>
        </w:rPr>
        <w:t> </w:t>
      </w:r>
      <w:r>
        <w:rPr>
          <w:color w:val="231F20"/>
          <w:sz w:val="24"/>
        </w:rPr>
        <w:t>lundi</w:t>
      </w:r>
      <w:r>
        <w:rPr>
          <w:color w:val="231F20"/>
          <w:spacing w:val="-15"/>
          <w:sz w:val="24"/>
        </w:rPr>
        <w:t> </w:t>
      </w:r>
      <w:r>
        <w:rPr>
          <w:color w:val="231F20"/>
          <w:sz w:val="24"/>
        </w:rPr>
        <w:t>15</w:t>
      </w:r>
      <w:r>
        <w:rPr>
          <w:color w:val="231F20"/>
          <w:spacing w:val="-15"/>
          <w:sz w:val="24"/>
        </w:rPr>
        <w:t> </w:t>
      </w:r>
      <w:r>
        <w:rPr>
          <w:color w:val="231F20"/>
          <w:sz w:val="24"/>
        </w:rPr>
        <w:t>décembre</w:t>
      </w:r>
      <w:r>
        <w:rPr>
          <w:color w:val="231F20"/>
          <w:spacing w:val="-15"/>
          <w:sz w:val="24"/>
        </w:rPr>
        <w:t> </w:t>
      </w:r>
      <w:r>
        <w:rPr>
          <w:color w:val="231F20"/>
          <w:sz w:val="24"/>
        </w:rPr>
        <w:t>2014,</w:t>
      </w:r>
      <w:r>
        <w:rPr>
          <w:color w:val="231F20"/>
          <w:spacing w:val="-15"/>
          <w:sz w:val="24"/>
        </w:rPr>
        <w:t> </w:t>
      </w:r>
      <w:r>
        <w:rPr>
          <w:color w:val="231F20"/>
          <w:sz w:val="24"/>
        </w:rPr>
        <w:t>le</w:t>
      </w:r>
      <w:r>
        <w:rPr>
          <w:color w:val="231F20"/>
          <w:spacing w:val="-15"/>
          <w:sz w:val="24"/>
        </w:rPr>
        <w:t> </w:t>
      </w:r>
      <w:r>
        <w:rPr>
          <w:color w:val="231F20"/>
          <w:sz w:val="24"/>
        </w:rPr>
        <w:t>président</w:t>
      </w:r>
      <w:r>
        <w:rPr>
          <w:color w:val="231F20"/>
          <w:spacing w:val="-15"/>
          <w:sz w:val="24"/>
        </w:rPr>
        <w:t> </w:t>
      </w:r>
      <w:r>
        <w:rPr>
          <w:color w:val="231F20"/>
          <w:sz w:val="24"/>
        </w:rPr>
        <w:t>de</w:t>
      </w:r>
      <w:r>
        <w:rPr>
          <w:color w:val="231F20"/>
          <w:spacing w:val="-15"/>
          <w:sz w:val="24"/>
        </w:rPr>
        <w:t> </w:t>
      </w:r>
      <w:r>
        <w:rPr>
          <w:color w:val="231F20"/>
          <w:sz w:val="24"/>
        </w:rPr>
        <w:t>la</w:t>
      </w:r>
      <w:r>
        <w:rPr>
          <w:color w:val="231F20"/>
          <w:spacing w:val="-15"/>
          <w:sz w:val="24"/>
        </w:rPr>
        <w:t> </w:t>
      </w:r>
      <w:r>
        <w:rPr>
          <w:color w:val="231F20"/>
          <w:sz w:val="24"/>
        </w:rPr>
        <w:t>Commission</w:t>
      </w:r>
      <w:r>
        <w:rPr>
          <w:color w:val="231F20"/>
          <w:spacing w:val="-15"/>
          <w:sz w:val="24"/>
        </w:rPr>
        <w:t> </w:t>
      </w:r>
      <w:r>
        <w:rPr>
          <w:color w:val="231F20"/>
          <w:sz w:val="24"/>
        </w:rPr>
        <w:t>Dialogue, Vérité et Réconciliation (CDVR) remet son rapport au Président de la République.</w:t>
      </w:r>
      <w:r>
        <w:rPr>
          <w:color w:val="231F20"/>
          <w:spacing w:val="-6"/>
          <w:sz w:val="24"/>
        </w:rPr>
        <w:t> </w:t>
      </w:r>
      <w:r>
        <w:rPr>
          <w:color w:val="231F20"/>
          <w:sz w:val="24"/>
        </w:rPr>
        <w:t>Le</w:t>
      </w:r>
      <w:r>
        <w:rPr>
          <w:color w:val="231F20"/>
          <w:spacing w:val="-6"/>
          <w:sz w:val="24"/>
        </w:rPr>
        <w:t> </w:t>
      </w:r>
      <w:r>
        <w:rPr>
          <w:color w:val="231F20"/>
          <w:sz w:val="24"/>
        </w:rPr>
        <w:t>lendemain,</w:t>
      </w:r>
      <w:r>
        <w:rPr>
          <w:color w:val="231F20"/>
          <w:spacing w:val="-6"/>
          <w:sz w:val="24"/>
        </w:rPr>
        <w:t> </w:t>
      </w:r>
      <w:r>
        <w:rPr>
          <w:color w:val="231F20"/>
          <w:sz w:val="24"/>
        </w:rPr>
        <w:t>il</w:t>
      </w:r>
      <w:r>
        <w:rPr>
          <w:color w:val="231F20"/>
          <w:spacing w:val="-6"/>
          <w:sz w:val="24"/>
        </w:rPr>
        <w:t> </w:t>
      </w:r>
      <w:r>
        <w:rPr>
          <w:color w:val="231F20"/>
          <w:sz w:val="24"/>
        </w:rPr>
        <w:t>dresse</w:t>
      </w:r>
      <w:r>
        <w:rPr>
          <w:color w:val="231F20"/>
          <w:spacing w:val="-7"/>
          <w:sz w:val="24"/>
        </w:rPr>
        <w:t> </w:t>
      </w:r>
      <w:r>
        <w:rPr>
          <w:color w:val="231F20"/>
          <w:sz w:val="24"/>
        </w:rPr>
        <w:t>le</w:t>
      </w:r>
      <w:r>
        <w:rPr>
          <w:color w:val="231F20"/>
          <w:spacing w:val="-7"/>
          <w:sz w:val="24"/>
        </w:rPr>
        <w:t> </w:t>
      </w:r>
      <w:r>
        <w:rPr>
          <w:color w:val="231F20"/>
          <w:sz w:val="24"/>
        </w:rPr>
        <w:t>bilan</w:t>
      </w:r>
      <w:r>
        <w:rPr>
          <w:color w:val="231F20"/>
          <w:spacing w:val="-6"/>
          <w:sz w:val="24"/>
        </w:rPr>
        <w:t> </w:t>
      </w:r>
      <w:r>
        <w:rPr>
          <w:color w:val="231F20"/>
          <w:sz w:val="24"/>
        </w:rPr>
        <w:t>des</w:t>
      </w:r>
      <w:r>
        <w:rPr>
          <w:color w:val="231F20"/>
          <w:spacing w:val="-6"/>
          <w:sz w:val="24"/>
        </w:rPr>
        <w:t> </w:t>
      </w:r>
      <w:r>
        <w:rPr>
          <w:color w:val="231F20"/>
          <w:sz w:val="24"/>
        </w:rPr>
        <w:t>activités</w:t>
      </w:r>
      <w:r>
        <w:rPr>
          <w:color w:val="231F20"/>
          <w:spacing w:val="-6"/>
          <w:sz w:val="24"/>
        </w:rPr>
        <w:t> </w:t>
      </w:r>
      <w:r>
        <w:rPr>
          <w:color w:val="231F20"/>
          <w:sz w:val="24"/>
        </w:rPr>
        <w:t>menées</w:t>
      </w:r>
      <w:r>
        <w:rPr>
          <w:color w:val="231F20"/>
          <w:spacing w:val="-6"/>
          <w:sz w:val="24"/>
        </w:rPr>
        <w:t> </w:t>
      </w:r>
      <w:r>
        <w:rPr>
          <w:color w:val="231F20"/>
          <w:sz w:val="24"/>
        </w:rPr>
        <w:t>par</w:t>
      </w:r>
      <w:r>
        <w:rPr>
          <w:color w:val="231F20"/>
          <w:spacing w:val="-7"/>
          <w:sz w:val="24"/>
        </w:rPr>
        <w:t> </w:t>
      </w:r>
      <w:r>
        <w:rPr>
          <w:color w:val="231F20"/>
          <w:sz w:val="24"/>
        </w:rPr>
        <w:t>la CDVR</w:t>
      </w:r>
      <w:r>
        <w:rPr>
          <w:color w:val="231F20"/>
          <w:spacing w:val="-3"/>
          <w:sz w:val="24"/>
        </w:rPr>
        <w:t> </w:t>
      </w:r>
      <w:r>
        <w:rPr>
          <w:color w:val="231F20"/>
          <w:sz w:val="24"/>
        </w:rPr>
        <w:t>pendant</w:t>
      </w:r>
      <w:r>
        <w:rPr>
          <w:color w:val="231F20"/>
          <w:spacing w:val="-4"/>
          <w:sz w:val="24"/>
        </w:rPr>
        <w:t> </w:t>
      </w:r>
      <w:r>
        <w:rPr>
          <w:color w:val="231F20"/>
          <w:sz w:val="24"/>
        </w:rPr>
        <w:t>trois</w:t>
      </w:r>
      <w:r>
        <w:rPr>
          <w:color w:val="231F20"/>
          <w:spacing w:val="-2"/>
          <w:sz w:val="24"/>
        </w:rPr>
        <w:t> </w:t>
      </w:r>
      <w:r>
        <w:rPr>
          <w:color w:val="231F20"/>
          <w:sz w:val="24"/>
        </w:rPr>
        <w:t>ans</w:t>
      </w:r>
      <w:r>
        <w:rPr>
          <w:color w:val="231F20"/>
          <w:spacing w:val="-4"/>
          <w:sz w:val="24"/>
        </w:rPr>
        <w:t> </w:t>
      </w:r>
      <w:r>
        <w:rPr>
          <w:color w:val="231F20"/>
          <w:sz w:val="24"/>
        </w:rPr>
        <w:t>au</w:t>
      </w:r>
      <w:r>
        <w:rPr>
          <w:color w:val="231F20"/>
          <w:spacing w:val="-2"/>
          <w:sz w:val="24"/>
        </w:rPr>
        <w:t> </w:t>
      </w:r>
      <w:r>
        <w:rPr>
          <w:color w:val="231F20"/>
          <w:sz w:val="24"/>
        </w:rPr>
        <w:t>cours</w:t>
      </w:r>
      <w:r>
        <w:rPr>
          <w:color w:val="231F20"/>
          <w:spacing w:val="-4"/>
          <w:sz w:val="24"/>
        </w:rPr>
        <w:t> </w:t>
      </w:r>
      <w:r>
        <w:rPr>
          <w:color w:val="231F20"/>
          <w:sz w:val="24"/>
        </w:rPr>
        <w:t>d’une</w:t>
      </w:r>
      <w:r>
        <w:rPr>
          <w:color w:val="231F20"/>
          <w:spacing w:val="-4"/>
          <w:sz w:val="24"/>
        </w:rPr>
        <w:t> </w:t>
      </w:r>
      <w:r>
        <w:rPr>
          <w:color w:val="231F20"/>
          <w:sz w:val="24"/>
        </w:rPr>
        <w:t>conférence</w:t>
      </w:r>
      <w:r>
        <w:rPr>
          <w:color w:val="231F20"/>
          <w:spacing w:val="-3"/>
          <w:sz w:val="24"/>
        </w:rPr>
        <w:t> </w:t>
      </w:r>
      <w:r>
        <w:rPr>
          <w:color w:val="231F20"/>
          <w:sz w:val="24"/>
        </w:rPr>
        <w:t>de</w:t>
      </w:r>
      <w:r>
        <w:rPr>
          <w:color w:val="231F20"/>
          <w:spacing w:val="-2"/>
          <w:sz w:val="24"/>
        </w:rPr>
        <w:t> </w:t>
      </w:r>
      <w:r>
        <w:rPr>
          <w:color w:val="231F20"/>
          <w:sz w:val="24"/>
        </w:rPr>
        <w:t>presse</w:t>
      </w:r>
      <w:r>
        <w:rPr>
          <w:color w:val="231F20"/>
          <w:spacing w:val="-14"/>
          <w:sz w:val="24"/>
        </w:rPr>
        <w:t> </w:t>
      </w:r>
      <w:r>
        <w:rPr>
          <w:color w:val="231F20"/>
          <w:sz w:val="24"/>
        </w:rPr>
        <w:t>:</w:t>
      </w:r>
      <w:r>
        <w:rPr>
          <w:color w:val="231F20"/>
          <w:spacing w:val="-3"/>
          <w:sz w:val="24"/>
        </w:rPr>
        <w:t> </w:t>
      </w:r>
      <w:r>
        <w:rPr>
          <w:i/>
          <w:color w:val="231F20"/>
          <w:sz w:val="24"/>
        </w:rPr>
        <w:t>«</w:t>
      </w:r>
      <w:r>
        <w:rPr>
          <w:i/>
          <w:color w:val="231F20"/>
          <w:spacing w:val="-15"/>
          <w:sz w:val="24"/>
        </w:rPr>
        <w:t> </w:t>
      </w:r>
      <w:r>
        <w:rPr>
          <w:i/>
          <w:color w:val="231F20"/>
          <w:sz w:val="24"/>
        </w:rPr>
        <w:t>(…)</w:t>
      </w:r>
      <w:r>
        <w:rPr>
          <w:i/>
          <w:color w:val="231F20"/>
          <w:spacing w:val="-2"/>
          <w:sz w:val="24"/>
        </w:rPr>
        <w:t> </w:t>
      </w:r>
      <w:r>
        <w:rPr>
          <w:i/>
          <w:color w:val="231F20"/>
          <w:sz w:val="24"/>
        </w:rPr>
        <w:t>Il</w:t>
      </w:r>
      <w:r>
        <w:rPr>
          <w:i/>
          <w:color w:val="231F20"/>
          <w:sz w:val="24"/>
        </w:rPr>
        <w:t> fallait bien que ce soit l’État qui finance, mais est-ce que l’État a effectivement</w:t>
      </w:r>
      <w:r>
        <w:rPr>
          <w:i/>
          <w:color w:val="231F20"/>
          <w:spacing w:val="-10"/>
          <w:sz w:val="24"/>
        </w:rPr>
        <w:t> </w:t>
      </w:r>
      <w:r>
        <w:rPr>
          <w:i/>
          <w:color w:val="231F20"/>
          <w:sz w:val="24"/>
        </w:rPr>
        <w:t>donné</w:t>
      </w:r>
      <w:r>
        <w:rPr>
          <w:i/>
          <w:color w:val="231F20"/>
          <w:spacing w:val="-11"/>
          <w:sz w:val="24"/>
        </w:rPr>
        <w:t> </w:t>
      </w:r>
      <w:r>
        <w:rPr>
          <w:i/>
          <w:color w:val="231F20"/>
          <w:sz w:val="24"/>
        </w:rPr>
        <w:t>les</w:t>
      </w:r>
      <w:r>
        <w:rPr>
          <w:i/>
          <w:color w:val="231F20"/>
          <w:spacing w:val="-13"/>
          <w:sz w:val="24"/>
        </w:rPr>
        <w:t> </w:t>
      </w:r>
      <w:r>
        <w:rPr>
          <w:i/>
          <w:color w:val="231F20"/>
          <w:sz w:val="24"/>
        </w:rPr>
        <w:t>ressources</w:t>
      </w:r>
      <w:r>
        <w:rPr>
          <w:i/>
          <w:color w:val="231F20"/>
          <w:spacing w:val="-11"/>
          <w:sz w:val="24"/>
        </w:rPr>
        <w:t> </w:t>
      </w:r>
      <w:r>
        <w:rPr>
          <w:i/>
          <w:color w:val="231F20"/>
          <w:sz w:val="24"/>
        </w:rPr>
        <w:t>?</w:t>
      </w:r>
      <w:r>
        <w:rPr>
          <w:i/>
          <w:color w:val="231F20"/>
          <w:spacing w:val="-11"/>
          <w:sz w:val="24"/>
        </w:rPr>
        <w:t> </w:t>
      </w:r>
      <w:r>
        <w:rPr>
          <w:i/>
          <w:color w:val="231F20"/>
          <w:sz w:val="24"/>
        </w:rPr>
        <w:t>Je</w:t>
      </w:r>
      <w:r>
        <w:rPr>
          <w:i/>
          <w:color w:val="231F20"/>
          <w:spacing w:val="-11"/>
          <w:sz w:val="24"/>
        </w:rPr>
        <w:t> </w:t>
      </w:r>
      <w:r>
        <w:rPr>
          <w:i/>
          <w:color w:val="231F20"/>
          <w:sz w:val="24"/>
        </w:rPr>
        <w:t>ne</w:t>
      </w:r>
      <w:r>
        <w:rPr>
          <w:i/>
          <w:color w:val="231F20"/>
          <w:spacing w:val="-11"/>
          <w:sz w:val="24"/>
        </w:rPr>
        <w:t> </w:t>
      </w:r>
      <w:r>
        <w:rPr>
          <w:i/>
          <w:color w:val="231F20"/>
          <w:sz w:val="24"/>
        </w:rPr>
        <w:t>sais</w:t>
      </w:r>
      <w:r>
        <w:rPr>
          <w:i/>
          <w:color w:val="231F20"/>
          <w:spacing w:val="-11"/>
          <w:sz w:val="24"/>
        </w:rPr>
        <w:t> </w:t>
      </w:r>
      <w:r>
        <w:rPr>
          <w:i/>
          <w:color w:val="231F20"/>
          <w:sz w:val="24"/>
        </w:rPr>
        <w:t>pas,</w:t>
      </w:r>
      <w:r>
        <w:rPr>
          <w:i/>
          <w:color w:val="231F20"/>
          <w:spacing w:val="-12"/>
          <w:sz w:val="24"/>
        </w:rPr>
        <w:t> </w:t>
      </w:r>
      <w:r>
        <w:rPr>
          <w:i/>
          <w:color w:val="231F20"/>
          <w:sz w:val="24"/>
        </w:rPr>
        <w:t>mais</w:t>
      </w:r>
      <w:r>
        <w:rPr>
          <w:i/>
          <w:color w:val="231F20"/>
          <w:spacing w:val="-11"/>
          <w:sz w:val="24"/>
        </w:rPr>
        <w:t> </w:t>
      </w:r>
      <w:r>
        <w:rPr>
          <w:i/>
          <w:color w:val="231F20"/>
          <w:sz w:val="24"/>
        </w:rPr>
        <w:t>si</w:t>
      </w:r>
      <w:r>
        <w:rPr>
          <w:i/>
          <w:color w:val="231F20"/>
          <w:spacing w:val="-10"/>
          <w:sz w:val="24"/>
        </w:rPr>
        <w:t> </w:t>
      </w:r>
      <w:r>
        <w:rPr>
          <w:i/>
          <w:color w:val="231F20"/>
          <w:sz w:val="24"/>
        </w:rPr>
        <w:t>le</w:t>
      </w:r>
      <w:r>
        <w:rPr>
          <w:i/>
          <w:color w:val="231F20"/>
          <w:spacing w:val="-8"/>
          <w:sz w:val="24"/>
        </w:rPr>
        <w:t> </w:t>
      </w:r>
      <w:r>
        <w:rPr>
          <w:i/>
          <w:color w:val="231F20"/>
          <w:sz w:val="24"/>
        </w:rPr>
        <w:t>Président de la République l’a dit, que voulez-vous que je dise ? (…) A combien vous</w:t>
      </w:r>
      <w:r>
        <w:rPr>
          <w:i/>
          <w:color w:val="231F20"/>
          <w:spacing w:val="-11"/>
          <w:sz w:val="24"/>
        </w:rPr>
        <w:t> </w:t>
      </w:r>
      <w:r>
        <w:rPr>
          <w:i/>
          <w:color w:val="231F20"/>
          <w:sz w:val="24"/>
        </w:rPr>
        <w:t>évaluez</w:t>
      </w:r>
      <w:r>
        <w:rPr>
          <w:i/>
          <w:color w:val="231F20"/>
          <w:spacing w:val="-12"/>
          <w:sz w:val="24"/>
        </w:rPr>
        <w:t> </w:t>
      </w:r>
      <w:r>
        <w:rPr>
          <w:i/>
          <w:color w:val="231F20"/>
          <w:sz w:val="24"/>
        </w:rPr>
        <w:t>les</w:t>
      </w:r>
      <w:r>
        <w:rPr>
          <w:i/>
          <w:color w:val="231F20"/>
          <w:spacing w:val="-11"/>
          <w:sz w:val="24"/>
        </w:rPr>
        <w:t> </w:t>
      </w:r>
      <w:r>
        <w:rPr>
          <w:i/>
          <w:color w:val="231F20"/>
          <w:sz w:val="24"/>
        </w:rPr>
        <w:t>morts</w:t>
      </w:r>
      <w:r>
        <w:rPr>
          <w:i/>
          <w:color w:val="231F20"/>
          <w:spacing w:val="-11"/>
          <w:sz w:val="24"/>
        </w:rPr>
        <w:t> </w:t>
      </w:r>
      <w:r>
        <w:rPr>
          <w:i/>
          <w:color w:val="231F20"/>
          <w:sz w:val="24"/>
        </w:rPr>
        <w:t>?</w:t>
      </w:r>
      <w:r>
        <w:rPr>
          <w:i/>
          <w:color w:val="231F20"/>
          <w:spacing w:val="-12"/>
          <w:sz w:val="24"/>
        </w:rPr>
        <w:t> </w:t>
      </w:r>
      <w:r>
        <w:rPr>
          <w:i/>
          <w:color w:val="231F20"/>
          <w:sz w:val="24"/>
        </w:rPr>
        <w:t>Savez-vous</w:t>
      </w:r>
      <w:r>
        <w:rPr>
          <w:i/>
          <w:color w:val="231F20"/>
          <w:spacing w:val="-11"/>
          <w:sz w:val="24"/>
        </w:rPr>
        <w:t> </w:t>
      </w:r>
      <w:r>
        <w:rPr>
          <w:i/>
          <w:color w:val="231F20"/>
          <w:sz w:val="24"/>
        </w:rPr>
        <w:t>ce</w:t>
      </w:r>
      <w:r>
        <w:rPr>
          <w:i/>
          <w:color w:val="231F20"/>
          <w:spacing w:val="-11"/>
          <w:sz w:val="24"/>
        </w:rPr>
        <w:t> </w:t>
      </w:r>
      <w:r>
        <w:rPr>
          <w:i/>
          <w:color w:val="231F20"/>
          <w:sz w:val="24"/>
        </w:rPr>
        <w:t>que</w:t>
      </w:r>
      <w:r>
        <w:rPr>
          <w:i/>
          <w:color w:val="231F20"/>
          <w:spacing w:val="-11"/>
          <w:sz w:val="24"/>
        </w:rPr>
        <w:t> </w:t>
      </w:r>
      <w:r>
        <w:rPr>
          <w:i/>
          <w:color w:val="231F20"/>
          <w:sz w:val="24"/>
        </w:rPr>
        <w:t>c’est</w:t>
      </w:r>
      <w:r>
        <w:rPr>
          <w:i/>
          <w:color w:val="231F20"/>
          <w:spacing w:val="-11"/>
          <w:sz w:val="24"/>
        </w:rPr>
        <w:t> </w:t>
      </w:r>
      <w:r>
        <w:rPr>
          <w:i/>
          <w:color w:val="231F20"/>
          <w:sz w:val="24"/>
        </w:rPr>
        <w:t>que</w:t>
      </w:r>
      <w:r>
        <w:rPr>
          <w:i/>
          <w:color w:val="231F20"/>
          <w:spacing w:val="-11"/>
          <w:sz w:val="24"/>
        </w:rPr>
        <w:t> </w:t>
      </w:r>
      <w:r>
        <w:rPr>
          <w:i/>
          <w:color w:val="231F20"/>
          <w:sz w:val="24"/>
        </w:rPr>
        <w:t>la</w:t>
      </w:r>
      <w:r>
        <w:rPr>
          <w:i/>
          <w:color w:val="231F20"/>
          <w:spacing w:val="-11"/>
          <w:sz w:val="24"/>
        </w:rPr>
        <w:t> </w:t>
      </w:r>
      <w:r>
        <w:rPr>
          <w:i/>
          <w:color w:val="231F20"/>
          <w:sz w:val="24"/>
        </w:rPr>
        <w:t>perte</w:t>
      </w:r>
      <w:r>
        <w:rPr>
          <w:i/>
          <w:color w:val="231F20"/>
          <w:spacing w:val="-11"/>
          <w:sz w:val="24"/>
        </w:rPr>
        <w:t> </w:t>
      </w:r>
      <w:r>
        <w:rPr>
          <w:i/>
          <w:color w:val="231F20"/>
          <w:sz w:val="24"/>
        </w:rPr>
        <w:t>d’un</w:t>
      </w:r>
      <w:r>
        <w:rPr>
          <w:i/>
          <w:color w:val="231F20"/>
          <w:spacing w:val="-11"/>
          <w:sz w:val="24"/>
        </w:rPr>
        <w:t> </w:t>
      </w:r>
      <w:r>
        <w:rPr>
          <w:i/>
          <w:color w:val="231F20"/>
          <w:sz w:val="24"/>
        </w:rPr>
        <w:t>point de</w:t>
      </w:r>
      <w:r>
        <w:rPr>
          <w:i/>
          <w:color w:val="231F20"/>
          <w:spacing w:val="-9"/>
          <w:sz w:val="24"/>
        </w:rPr>
        <w:t> </w:t>
      </w:r>
      <w:r>
        <w:rPr>
          <w:i/>
          <w:color w:val="231F20"/>
          <w:sz w:val="24"/>
        </w:rPr>
        <w:t>croissance</w:t>
      </w:r>
      <w:r>
        <w:rPr>
          <w:i/>
          <w:color w:val="231F20"/>
          <w:spacing w:val="-9"/>
          <w:sz w:val="24"/>
        </w:rPr>
        <w:t> </w:t>
      </w:r>
      <w:r>
        <w:rPr>
          <w:i/>
          <w:color w:val="231F20"/>
          <w:sz w:val="24"/>
        </w:rPr>
        <w:t>du</w:t>
      </w:r>
      <w:r>
        <w:rPr>
          <w:i/>
          <w:color w:val="231F20"/>
          <w:spacing w:val="-11"/>
          <w:sz w:val="24"/>
        </w:rPr>
        <w:t> </w:t>
      </w:r>
      <w:r>
        <w:rPr>
          <w:i/>
          <w:color w:val="231F20"/>
          <w:sz w:val="24"/>
        </w:rPr>
        <w:t>fait</w:t>
      </w:r>
      <w:r>
        <w:rPr>
          <w:i/>
          <w:color w:val="231F20"/>
          <w:spacing w:val="-8"/>
          <w:sz w:val="24"/>
        </w:rPr>
        <w:t> </w:t>
      </w:r>
      <w:r>
        <w:rPr>
          <w:i/>
          <w:color w:val="231F20"/>
          <w:sz w:val="24"/>
        </w:rPr>
        <w:t>de</w:t>
      </w:r>
      <w:r>
        <w:rPr>
          <w:i/>
          <w:color w:val="231F20"/>
          <w:spacing w:val="-12"/>
          <w:sz w:val="24"/>
        </w:rPr>
        <w:t> </w:t>
      </w:r>
      <w:r>
        <w:rPr>
          <w:i/>
          <w:color w:val="231F20"/>
          <w:sz w:val="24"/>
        </w:rPr>
        <w:t>la</w:t>
      </w:r>
      <w:r>
        <w:rPr>
          <w:i/>
          <w:color w:val="231F20"/>
          <w:spacing w:val="-9"/>
          <w:sz w:val="24"/>
        </w:rPr>
        <w:t> </w:t>
      </w:r>
      <w:r>
        <w:rPr>
          <w:i/>
          <w:color w:val="231F20"/>
          <w:sz w:val="24"/>
        </w:rPr>
        <w:t>guerre</w:t>
      </w:r>
      <w:r>
        <w:rPr>
          <w:i/>
          <w:color w:val="231F20"/>
          <w:spacing w:val="-9"/>
          <w:sz w:val="24"/>
        </w:rPr>
        <w:t> </w:t>
      </w:r>
      <w:r>
        <w:rPr>
          <w:i/>
          <w:color w:val="231F20"/>
          <w:sz w:val="24"/>
        </w:rPr>
        <w:t>?</w:t>
      </w:r>
      <w:r>
        <w:rPr>
          <w:i/>
          <w:color w:val="231F20"/>
          <w:spacing w:val="-11"/>
          <w:sz w:val="24"/>
        </w:rPr>
        <w:t> </w:t>
      </w:r>
      <w:r>
        <w:rPr>
          <w:i/>
          <w:color w:val="231F20"/>
          <w:sz w:val="24"/>
        </w:rPr>
        <w:t>A</w:t>
      </w:r>
      <w:r>
        <w:rPr>
          <w:i/>
          <w:color w:val="231F20"/>
          <w:spacing w:val="-11"/>
          <w:sz w:val="24"/>
        </w:rPr>
        <w:t> </w:t>
      </w:r>
      <w:r>
        <w:rPr>
          <w:i/>
          <w:color w:val="231F20"/>
          <w:sz w:val="24"/>
        </w:rPr>
        <w:t>combien</w:t>
      </w:r>
      <w:r>
        <w:rPr>
          <w:i/>
          <w:color w:val="231F20"/>
          <w:spacing w:val="-9"/>
          <w:sz w:val="24"/>
        </w:rPr>
        <w:t> </w:t>
      </w:r>
      <w:r>
        <w:rPr>
          <w:i/>
          <w:color w:val="231F20"/>
          <w:sz w:val="24"/>
        </w:rPr>
        <w:t>vous</w:t>
      </w:r>
      <w:r>
        <w:rPr>
          <w:i/>
          <w:color w:val="231F20"/>
          <w:spacing w:val="-9"/>
          <w:sz w:val="24"/>
        </w:rPr>
        <w:t> </w:t>
      </w:r>
      <w:r>
        <w:rPr>
          <w:i/>
          <w:color w:val="231F20"/>
          <w:sz w:val="24"/>
        </w:rPr>
        <w:t>estimez</w:t>
      </w:r>
      <w:r>
        <w:rPr>
          <w:i/>
          <w:color w:val="231F20"/>
          <w:spacing w:val="-11"/>
          <w:sz w:val="24"/>
        </w:rPr>
        <w:t> </w:t>
      </w:r>
      <w:r>
        <w:rPr>
          <w:i/>
          <w:color w:val="231F20"/>
          <w:sz w:val="24"/>
        </w:rPr>
        <w:t>la</w:t>
      </w:r>
      <w:r>
        <w:rPr>
          <w:i/>
          <w:color w:val="231F20"/>
          <w:spacing w:val="-9"/>
          <w:sz w:val="24"/>
        </w:rPr>
        <w:t> </w:t>
      </w:r>
      <w:r>
        <w:rPr>
          <w:i/>
          <w:color w:val="231F20"/>
          <w:sz w:val="24"/>
        </w:rPr>
        <w:t>pauvreté qui</w:t>
      </w:r>
      <w:r>
        <w:rPr>
          <w:i/>
          <w:color w:val="231F20"/>
          <w:spacing w:val="-6"/>
          <w:sz w:val="24"/>
        </w:rPr>
        <w:t> </w:t>
      </w:r>
      <w:r>
        <w:rPr>
          <w:i/>
          <w:color w:val="231F20"/>
          <w:sz w:val="24"/>
        </w:rPr>
        <w:t>a</w:t>
      </w:r>
      <w:r>
        <w:rPr>
          <w:i/>
          <w:color w:val="231F20"/>
          <w:spacing w:val="-7"/>
          <w:sz w:val="24"/>
        </w:rPr>
        <w:t> </w:t>
      </w:r>
      <w:r>
        <w:rPr>
          <w:i/>
          <w:color w:val="231F20"/>
          <w:sz w:val="24"/>
        </w:rPr>
        <w:t>été</w:t>
      </w:r>
      <w:r>
        <w:rPr>
          <w:i/>
          <w:color w:val="231F20"/>
          <w:spacing w:val="-4"/>
          <w:sz w:val="24"/>
        </w:rPr>
        <w:t> </w:t>
      </w:r>
      <w:r>
        <w:rPr>
          <w:i/>
          <w:color w:val="231F20"/>
          <w:sz w:val="24"/>
        </w:rPr>
        <w:t>créée</w:t>
      </w:r>
      <w:r>
        <w:rPr>
          <w:i/>
          <w:color w:val="231F20"/>
          <w:spacing w:val="-4"/>
          <w:sz w:val="24"/>
        </w:rPr>
        <w:t> </w:t>
      </w:r>
      <w:r>
        <w:rPr>
          <w:i/>
          <w:color w:val="231F20"/>
          <w:sz w:val="24"/>
        </w:rPr>
        <w:t>en</w:t>
      </w:r>
      <w:r>
        <w:rPr>
          <w:i/>
          <w:color w:val="231F20"/>
          <w:spacing w:val="-7"/>
          <w:sz w:val="24"/>
        </w:rPr>
        <w:t> </w:t>
      </w:r>
      <w:r>
        <w:rPr>
          <w:i/>
          <w:color w:val="231F20"/>
          <w:sz w:val="24"/>
        </w:rPr>
        <w:t>vingt</w:t>
      </w:r>
      <w:r>
        <w:rPr>
          <w:i/>
          <w:color w:val="231F20"/>
          <w:spacing w:val="-6"/>
          <w:sz w:val="24"/>
        </w:rPr>
        <w:t> </w:t>
      </w:r>
      <w:r>
        <w:rPr>
          <w:i/>
          <w:color w:val="231F20"/>
          <w:sz w:val="24"/>
        </w:rPr>
        <w:t>années</w:t>
      </w:r>
      <w:r>
        <w:rPr>
          <w:i/>
          <w:color w:val="231F20"/>
          <w:spacing w:val="-3"/>
          <w:sz w:val="24"/>
        </w:rPr>
        <w:t> </w:t>
      </w:r>
      <w:r>
        <w:rPr>
          <w:i/>
          <w:color w:val="231F20"/>
          <w:sz w:val="24"/>
        </w:rPr>
        <w:t>de</w:t>
      </w:r>
      <w:r>
        <w:rPr>
          <w:i/>
          <w:color w:val="231F20"/>
          <w:spacing w:val="-7"/>
          <w:sz w:val="24"/>
        </w:rPr>
        <w:t> </w:t>
      </w:r>
      <w:r>
        <w:rPr>
          <w:i/>
          <w:color w:val="231F20"/>
          <w:sz w:val="24"/>
        </w:rPr>
        <w:t>crise</w:t>
      </w:r>
      <w:r>
        <w:rPr>
          <w:i/>
          <w:color w:val="231F20"/>
          <w:spacing w:val="-7"/>
          <w:sz w:val="24"/>
        </w:rPr>
        <w:t> </w:t>
      </w:r>
      <w:r>
        <w:rPr>
          <w:i/>
          <w:color w:val="231F20"/>
          <w:sz w:val="24"/>
        </w:rPr>
        <w:t>?</w:t>
      </w:r>
      <w:r>
        <w:rPr>
          <w:i/>
          <w:color w:val="231F20"/>
          <w:spacing w:val="-7"/>
          <w:sz w:val="24"/>
        </w:rPr>
        <w:t> </w:t>
      </w:r>
      <w:r>
        <w:rPr>
          <w:i/>
          <w:color w:val="231F20"/>
          <w:sz w:val="24"/>
        </w:rPr>
        <w:t>Qui</w:t>
      </w:r>
      <w:r>
        <w:rPr>
          <w:i/>
          <w:color w:val="231F20"/>
          <w:spacing w:val="-6"/>
          <w:sz w:val="24"/>
        </w:rPr>
        <w:t> </w:t>
      </w:r>
      <w:r>
        <w:rPr>
          <w:i/>
          <w:color w:val="231F20"/>
          <w:sz w:val="24"/>
        </w:rPr>
        <w:t>vouliez-vous</w:t>
      </w:r>
      <w:r>
        <w:rPr>
          <w:i/>
          <w:color w:val="231F20"/>
          <w:spacing w:val="-6"/>
          <w:sz w:val="24"/>
        </w:rPr>
        <w:t> </w:t>
      </w:r>
      <w:r>
        <w:rPr>
          <w:i/>
          <w:color w:val="231F20"/>
          <w:sz w:val="24"/>
        </w:rPr>
        <w:t>qui</w:t>
      </w:r>
      <w:r>
        <w:rPr>
          <w:i/>
          <w:color w:val="231F20"/>
          <w:spacing w:val="-6"/>
          <w:sz w:val="24"/>
        </w:rPr>
        <w:t> </w:t>
      </w:r>
      <w:r>
        <w:rPr>
          <w:i/>
          <w:color w:val="231F20"/>
          <w:sz w:val="24"/>
        </w:rPr>
        <w:t>finançât </w:t>
      </w:r>
      <w:r>
        <w:rPr>
          <w:i/>
          <w:color w:val="231F20"/>
          <w:spacing w:val="-2"/>
          <w:sz w:val="24"/>
        </w:rPr>
        <w:t>une</w:t>
      </w:r>
      <w:r>
        <w:rPr>
          <w:i/>
          <w:color w:val="231F20"/>
          <w:spacing w:val="-12"/>
          <w:sz w:val="24"/>
        </w:rPr>
        <w:t> </w:t>
      </w:r>
      <w:r>
        <w:rPr>
          <w:i/>
          <w:color w:val="231F20"/>
          <w:spacing w:val="-2"/>
          <w:sz w:val="24"/>
        </w:rPr>
        <w:t>mission</w:t>
      </w:r>
      <w:r>
        <w:rPr>
          <w:i/>
          <w:color w:val="231F20"/>
          <w:spacing w:val="-10"/>
          <w:sz w:val="24"/>
        </w:rPr>
        <w:t> </w:t>
      </w:r>
      <w:r>
        <w:rPr>
          <w:i/>
          <w:color w:val="231F20"/>
          <w:spacing w:val="-2"/>
          <w:sz w:val="24"/>
        </w:rPr>
        <w:t>créée</w:t>
      </w:r>
      <w:r>
        <w:rPr>
          <w:i/>
          <w:color w:val="231F20"/>
          <w:spacing w:val="-10"/>
          <w:sz w:val="24"/>
        </w:rPr>
        <w:t> </w:t>
      </w:r>
      <w:r>
        <w:rPr>
          <w:i/>
          <w:color w:val="231F20"/>
          <w:spacing w:val="-2"/>
          <w:sz w:val="24"/>
        </w:rPr>
        <w:t>par</w:t>
      </w:r>
      <w:r>
        <w:rPr>
          <w:i/>
          <w:color w:val="231F20"/>
          <w:spacing w:val="-11"/>
          <w:sz w:val="24"/>
        </w:rPr>
        <w:t> </w:t>
      </w:r>
      <w:r>
        <w:rPr>
          <w:i/>
          <w:color w:val="231F20"/>
          <w:spacing w:val="-2"/>
          <w:sz w:val="24"/>
        </w:rPr>
        <w:t>le</w:t>
      </w:r>
      <w:r>
        <w:rPr>
          <w:i/>
          <w:color w:val="231F20"/>
          <w:spacing w:val="-13"/>
          <w:sz w:val="24"/>
        </w:rPr>
        <w:t> </w:t>
      </w:r>
      <w:r>
        <w:rPr>
          <w:i/>
          <w:color w:val="231F20"/>
          <w:spacing w:val="-2"/>
          <w:sz w:val="24"/>
        </w:rPr>
        <w:t>Chef</w:t>
      </w:r>
      <w:r>
        <w:rPr>
          <w:i/>
          <w:color w:val="231F20"/>
          <w:spacing w:val="-11"/>
          <w:sz w:val="24"/>
        </w:rPr>
        <w:t> </w:t>
      </w:r>
      <w:r>
        <w:rPr>
          <w:i/>
          <w:color w:val="231F20"/>
          <w:spacing w:val="-2"/>
          <w:sz w:val="24"/>
        </w:rPr>
        <w:t>de</w:t>
      </w:r>
      <w:r>
        <w:rPr>
          <w:i/>
          <w:color w:val="231F20"/>
          <w:spacing w:val="-13"/>
          <w:sz w:val="24"/>
        </w:rPr>
        <w:t> </w:t>
      </w:r>
      <w:r>
        <w:rPr>
          <w:i/>
          <w:color w:val="231F20"/>
          <w:spacing w:val="-2"/>
          <w:sz w:val="24"/>
        </w:rPr>
        <w:t>l’État,</w:t>
      </w:r>
      <w:r>
        <w:rPr>
          <w:i/>
          <w:color w:val="231F20"/>
          <w:spacing w:val="-11"/>
          <w:sz w:val="24"/>
        </w:rPr>
        <w:t> </w:t>
      </w:r>
      <w:r>
        <w:rPr>
          <w:i/>
          <w:color w:val="231F20"/>
          <w:spacing w:val="-2"/>
          <w:sz w:val="24"/>
        </w:rPr>
        <w:t>si</w:t>
      </w:r>
      <w:r>
        <w:rPr>
          <w:i/>
          <w:color w:val="231F20"/>
          <w:spacing w:val="-12"/>
          <w:sz w:val="24"/>
        </w:rPr>
        <w:t> </w:t>
      </w:r>
      <w:r>
        <w:rPr>
          <w:i/>
          <w:color w:val="231F20"/>
          <w:spacing w:val="-2"/>
          <w:sz w:val="24"/>
        </w:rPr>
        <w:t>ce</w:t>
      </w:r>
      <w:r>
        <w:rPr>
          <w:i/>
          <w:color w:val="231F20"/>
          <w:spacing w:val="-11"/>
          <w:sz w:val="24"/>
        </w:rPr>
        <w:t> </w:t>
      </w:r>
      <w:r>
        <w:rPr>
          <w:i/>
          <w:color w:val="231F20"/>
          <w:spacing w:val="-2"/>
          <w:sz w:val="24"/>
        </w:rPr>
        <w:t>n’est</w:t>
      </w:r>
      <w:r>
        <w:rPr>
          <w:i/>
          <w:color w:val="231F20"/>
          <w:spacing w:val="-12"/>
          <w:sz w:val="24"/>
        </w:rPr>
        <w:t> </w:t>
      </w:r>
      <w:r>
        <w:rPr>
          <w:i/>
          <w:color w:val="231F20"/>
          <w:spacing w:val="-2"/>
          <w:sz w:val="24"/>
        </w:rPr>
        <w:t>l’État</w:t>
      </w:r>
      <w:r>
        <w:rPr>
          <w:i/>
          <w:color w:val="231F20"/>
          <w:spacing w:val="-12"/>
          <w:sz w:val="24"/>
        </w:rPr>
        <w:t> </w:t>
      </w:r>
      <w:r>
        <w:rPr>
          <w:i/>
          <w:color w:val="231F20"/>
          <w:spacing w:val="-2"/>
          <w:sz w:val="24"/>
        </w:rPr>
        <w:t>de</w:t>
      </w:r>
      <w:r>
        <w:rPr>
          <w:i/>
          <w:color w:val="231F20"/>
          <w:spacing w:val="-13"/>
          <w:sz w:val="24"/>
        </w:rPr>
        <w:t> </w:t>
      </w:r>
      <w:r>
        <w:rPr>
          <w:i/>
          <w:color w:val="231F20"/>
          <w:spacing w:val="-2"/>
          <w:sz w:val="24"/>
        </w:rPr>
        <w:t>Côte</w:t>
      </w:r>
      <w:r>
        <w:rPr>
          <w:i/>
          <w:color w:val="231F20"/>
          <w:spacing w:val="-10"/>
          <w:sz w:val="24"/>
        </w:rPr>
        <w:t> </w:t>
      </w:r>
      <w:r>
        <w:rPr>
          <w:i/>
          <w:color w:val="231F20"/>
          <w:spacing w:val="-2"/>
          <w:sz w:val="24"/>
        </w:rPr>
        <w:t>d’Ivoire</w:t>
      </w:r>
    </w:p>
    <w:p>
      <w:pPr>
        <w:spacing w:line="240" w:lineRule="auto" w:before="1"/>
        <w:ind w:left="111" w:right="107" w:firstLine="0"/>
        <w:jc w:val="both"/>
        <w:rPr>
          <w:i/>
          <w:sz w:val="24"/>
        </w:rPr>
      </w:pPr>
      <w:r>
        <w:rPr>
          <w:i/>
          <w:color w:val="231F20"/>
          <w:sz w:val="24"/>
        </w:rPr>
        <w:t>?</w:t>
      </w:r>
      <w:r>
        <w:rPr>
          <w:i/>
          <w:color w:val="231F20"/>
          <w:spacing w:val="-4"/>
          <w:sz w:val="24"/>
        </w:rPr>
        <w:t> </w:t>
      </w:r>
      <w:r>
        <w:rPr>
          <w:i/>
          <w:color w:val="231F20"/>
          <w:sz w:val="24"/>
        </w:rPr>
        <w:t>(…)</w:t>
      </w:r>
      <w:r>
        <w:rPr>
          <w:i/>
          <w:color w:val="231F20"/>
          <w:spacing w:val="-7"/>
          <w:sz w:val="24"/>
        </w:rPr>
        <w:t> </w:t>
      </w:r>
      <w:r>
        <w:rPr>
          <w:i/>
          <w:color w:val="231F20"/>
          <w:sz w:val="24"/>
        </w:rPr>
        <w:t>La</w:t>
      </w:r>
      <w:r>
        <w:rPr>
          <w:i/>
          <w:color w:val="231F20"/>
          <w:spacing w:val="-5"/>
          <w:sz w:val="24"/>
        </w:rPr>
        <w:t> </w:t>
      </w:r>
      <w:r>
        <w:rPr>
          <w:i/>
          <w:color w:val="231F20"/>
          <w:sz w:val="24"/>
        </w:rPr>
        <w:t>paix</w:t>
      </w:r>
      <w:r>
        <w:rPr>
          <w:i/>
          <w:color w:val="231F20"/>
          <w:spacing w:val="-8"/>
          <w:sz w:val="24"/>
        </w:rPr>
        <w:t> </w:t>
      </w:r>
      <w:r>
        <w:rPr>
          <w:i/>
          <w:color w:val="231F20"/>
          <w:sz w:val="24"/>
        </w:rPr>
        <w:t>n’a</w:t>
      </w:r>
      <w:r>
        <w:rPr>
          <w:i/>
          <w:color w:val="231F20"/>
          <w:spacing w:val="-7"/>
          <w:sz w:val="24"/>
        </w:rPr>
        <w:t> </w:t>
      </w:r>
      <w:r>
        <w:rPr>
          <w:i/>
          <w:color w:val="231F20"/>
          <w:sz w:val="24"/>
        </w:rPr>
        <w:t>pas</w:t>
      </w:r>
      <w:r>
        <w:rPr>
          <w:i/>
          <w:color w:val="231F20"/>
          <w:spacing w:val="-7"/>
          <w:sz w:val="24"/>
        </w:rPr>
        <w:t> </w:t>
      </w:r>
      <w:r>
        <w:rPr>
          <w:i/>
          <w:color w:val="231F20"/>
          <w:sz w:val="24"/>
        </w:rPr>
        <w:t>de</w:t>
      </w:r>
      <w:r>
        <w:rPr>
          <w:i/>
          <w:color w:val="231F20"/>
          <w:spacing w:val="-8"/>
          <w:sz w:val="24"/>
        </w:rPr>
        <w:t> </w:t>
      </w:r>
      <w:r>
        <w:rPr>
          <w:i/>
          <w:color w:val="231F20"/>
          <w:sz w:val="24"/>
        </w:rPr>
        <w:t>prix,</w:t>
      </w:r>
      <w:r>
        <w:rPr>
          <w:i/>
          <w:color w:val="231F20"/>
          <w:spacing w:val="-5"/>
          <w:sz w:val="24"/>
        </w:rPr>
        <w:t> </w:t>
      </w:r>
      <w:r>
        <w:rPr>
          <w:i/>
          <w:color w:val="231F20"/>
          <w:sz w:val="24"/>
        </w:rPr>
        <w:t>mais</w:t>
      </w:r>
      <w:r>
        <w:rPr>
          <w:i/>
          <w:color w:val="231F20"/>
          <w:spacing w:val="-9"/>
          <w:sz w:val="24"/>
        </w:rPr>
        <w:t> </w:t>
      </w:r>
      <w:r>
        <w:rPr>
          <w:i/>
          <w:color w:val="231F20"/>
          <w:sz w:val="24"/>
        </w:rPr>
        <w:t>la</w:t>
      </w:r>
      <w:r>
        <w:rPr>
          <w:i/>
          <w:color w:val="231F20"/>
          <w:spacing w:val="-7"/>
          <w:sz w:val="24"/>
        </w:rPr>
        <w:t> </w:t>
      </w:r>
      <w:r>
        <w:rPr>
          <w:i/>
          <w:color w:val="231F20"/>
          <w:sz w:val="24"/>
        </w:rPr>
        <w:t>guerre</w:t>
      </w:r>
      <w:r>
        <w:rPr>
          <w:i/>
          <w:color w:val="231F20"/>
          <w:spacing w:val="-8"/>
          <w:sz w:val="24"/>
        </w:rPr>
        <w:t> </w:t>
      </w:r>
      <w:r>
        <w:rPr>
          <w:i/>
          <w:color w:val="231F20"/>
          <w:sz w:val="24"/>
        </w:rPr>
        <w:t>coûte</w:t>
      </w:r>
      <w:r>
        <w:rPr>
          <w:i/>
          <w:color w:val="231F20"/>
          <w:spacing w:val="-5"/>
          <w:sz w:val="24"/>
        </w:rPr>
        <w:t> </w:t>
      </w:r>
      <w:r>
        <w:rPr>
          <w:i/>
          <w:color w:val="231F20"/>
          <w:sz w:val="24"/>
        </w:rPr>
        <w:t>toujours</w:t>
      </w:r>
      <w:r>
        <w:rPr>
          <w:i/>
          <w:color w:val="231F20"/>
          <w:spacing w:val="-7"/>
          <w:sz w:val="24"/>
        </w:rPr>
        <w:t> </w:t>
      </w:r>
      <w:r>
        <w:rPr>
          <w:i/>
          <w:color w:val="231F20"/>
          <w:sz w:val="24"/>
        </w:rPr>
        <w:t>plus</w:t>
      </w:r>
      <w:r>
        <w:rPr>
          <w:i/>
          <w:color w:val="231F20"/>
          <w:spacing w:val="-7"/>
          <w:sz w:val="24"/>
        </w:rPr>
        <w:t> </w:t>
      </w:r>
      <w:r>
        <w:rPr>
          <w:i/>
          <w:color w:val="231F20"/>
          <w:sz w:val="24"/>
        </w:rPr>
        <w:t>chère</w:t>
      </w:r>
      <w:r>
        <w:rPr>
          <w:i/>
          <w:color w:val="231F20"/>
          <w:sz w:val="24"/>
        </w:rPr>
        <w:t> que</w:t>
      </w:r>
      <w:r>
        <w:rPr>
          <w:i/>
          <w:color w:val="231F20"/>
          <w:spacing w:val="-15"/>
          <w:sz w:val="24"/>
        </w:rPr>
        <w:t> </w:t>
      </w:r>
      <w:r>
        <w:rPr>
          <w:i/>
          <w:color w:val="231F20"/>
          <w:sz w:val="24"/>
        </w:rPr>
        <w:t>la</w:t>
      </w:r>
      <w:r>
        <w:rPr>
          <w:i/>
          <w:color w:val="231F20"/>
          <w:spacing w:val="-15"/>
          <w:sz w:val="24"/>
        </w:rPr>
        <w:t> </w:t>
      </w:r>
      <w:r>
        <w:rPr>
          <w:i/>
          <w:color w:val="231F20"/>
          <w:sz w:val="24"/>
        </w:rPr>
        <w:t>paix(…)La</w:t>
      </w:r>
      <w:r>
        <w:rPr>
          <w:i/>
          <w:color w:val="231F20"/>
          <w:spacing w:val="-15"/>
          <w:sz w:val="24"/>
        </w:rPr>
        <w:t> </w:t>
      </w:r>
      <w:r>
        <w:rPr>
          <w:i/>
          <w:color w:val="231F20"/>
          <w:sz w:val="24"/>
        </w:rPr>
        <w:t>finalité</w:t>
      </w:r>
      <w:r>
        <w:rPr>
          <w:i/>
          <w:color w:val="231F20"/>
          <w:spacing w:val="-15"/>
          <w:sz w:val="24"/>
        </w:rPr>
        <w:t> </w:t>
      </w:r>
      <w:r>
        <w:rPr>
          <w:i/>
          <w:color w:val="231F20"/>
          <w:sz w:val="24"/>
        </w:rPr>
        <w:t>de</w:t>
      </w:r>
      <w:r>
        <w:rPr>
          <w:i/>
          <w:color w:val="231F20"/>
          <w:spacing w:val="-15"/>
          <w:sz w:val="24"/>
        </w:rPr>
        <w:t> </w:t>
      </w:r>
      <w:r>
        <w:rPr>
          <w:i/>
          <w:color w:val="231F20"/>
          <w:sz w:val="24"/>
        </w:rPr>
        <w:t>notre</w:t>
      </w:r>
      <w:r>
        <w:rPr>
          <w:i/>
          <w:color w:val="231F20"/>
          <w:spacing w:val="-15"/>
          <w:sz w:val="24"/>
        </w:rPr>
        <w:t> </w:t>
      </w:r>
      <w:r>
        <w:rPr>
          <w:i/>
          <w:color w:val="231F20"/>
          <w:sz w:val="24"/>
        </w:rPr>
        <w:t>travail</w:t>
      </w:r>
      <w:r>
        <w:rPr>
          <w:i/>
          <w:color w:val="231F20"/>
          <w:spacing w:val="-15"/>
          <w:sz w:val="24"/>
        </w:rPr>
        <w:t> </w:t>
      </w:r>
      <w:r>
        <w:rPr>
          <w:i/>
          <w:color w:val="231F20"/>
          <w:sz w:val="24"/>
        </w:rPr>
        <w:t>était</w:t>
      </w:r>
      <w:r>
        <w:rPr>
          <w:i/>
          <w:color w:val="231F20"/>
          <w:spacing w:val="-15"/>
          <w:sz w:val="24"/>
        </w:rPr>
        <w:t> </w:t>
      </w:r>
      <w:r>
        <w:rPr>
          <w:i/>
          <w:color w:val="231F20"/>
          <w:sz w:val="24"/>
        </w:rPr>
        <w:t>de</w:t>
      </w:r>
      <w:r>
        <w:rPr>
          <w:i/>
          <w:color w:val="231F20"/>
          <w:spacing w:val="-15"/>
          <w:sz w:val="24"/>
        </w:rPr>
        <w:t> </w:t>
      </w:r>
      <w:r>
        <w:rPr>
          <w:i/>
          <w:color w:val="231F20"/>
          <w:sz w:val="24"/>
        </w:rPr>
        <w:t>faire</w:t>
      </w:r>
      <w:r>
        <w:rPr>
          <w:i/>
          <w:color w:val="231F20"/>
          <w:spacing w:val="-15"/>
          <w:sz w:val="24"/>
        </w:rPr>
        <w:t> </w:t>
      </w:r>
      <w:r>
        <w:rPr>
          <w:i/>
          <w:color w:val="231F20"/>
          <w:sz w:val="24"/>
        </w:rPr>
        <w:t>en</w:t>
      </w:r>
      <w:r>
        <w:rPr>
          <w:i/>
          <w:color w:val="231F20"/>
          <w:spacing w:val="-15"/>
          <w:sz w:val="24"/>
        </w:rPr>
        <w:t> </w:t>
      </w:r>
      <w:r>
        <w:rPr>
          <w:i/>
          <w:color w:val="231F20"/>
          <w:sz w:val="24"/>
        </w:rPr>
        <w:t>sorte</w:t>
      </w:r>
      <w:r>
        <w:rPr>
          <w:i/>
          <w:color w:val="231F20"/>
          <w:spacing w:val="-15"/>
          <w:sz w:val="24"/>
        </w:rPr>
        <w:t> </w:t>
      </w:r>
      <w:r>
        <w:rPr>
          <w:i/>
          <w:color w:val="231F20"/>
          <w:sz w:val="24"/>
        </w:rPr>
        <w:t>qu’il</w:t>
      </w:r>
      <w:r>
        <w:rPr>
          <w:i/>
          <w:color w:val="231F20"/>
          <w:spacing w:val="-15"/>
          <w:sz w:val="24"/>
        </w:rPr>
        <w:t> </w:t>
      </w:r>
      <w:r>
        <w:rPr>
          <w:i/>
          <w:color w:val="231F20"/>
          <w:sz w:val="24"/>
        </w:rPr>
        <w:t>n’y ait plus jamais de morts</w:t>
      </w:r>
      <w:r>
        <w:rPr>
          <w:color w:val="231F20"/>
          <w:sz w:val="24"/>
          <w:vertAlign w:val="superscript"/>
        </w:rPr>
        <w:t>215</w:t>
      </w:r>
      <w:r>
        <w:rPr>
          <w:i/>
          <w:color w:val="231F20"/>
          <w:sz w:val="24"/>
          <w:vertAlign w:val="baseline"/>
        </w:rPr>
        <w:t>».</w:t>
      </w:r>
    </w:p>
    <w:p>
      <w:pPr>
        <w:pStyle w:val="BodyText"/>
        <w:spacing w:before="117"/>
        <w:ind w:right="105" w:firstLine="283"/>
      </w:pPr>
      <w:r>
        <w:rPr>
          <w:color w:val="231F20"/>
        </w:rPr>
        <w:t>Le</w:t>
      </w:r>
      <w:r>
        <w:rPr>
          <w:color w:val="231F20"/>
          <w:spacing w:val="-8"/>
        </w:rPr>
        <w:t> </w:t>
      </w:r>
      <w:r>
        <w:rPr>
          <w:color w:val="231F20"/>
        </w:rPr>
        <w:t>rapport</w:t>
      </w:r>
      <w:r>
        <w:rPr>
          <w:color w:val="231F20"/>
          <w:spacing w:val="-8"/>
        </w:rPr>
        <w:t> </w:t>
      </w:r>
      <w:r>
        <w:rPr>
          <w:color w:val="231F20"/>
        </w:rPr>
        <w:t>final</w:t>
      </w:r>
      <w:r>
        <w:rPr>
          <w:color w:val="231F20"/>
          <w:spacing w:val="-9"/>
        </w:rPr>
        <w:t> </w:t>
      </w:r>
      <w:r>
        <w:rPr>
          <w:color w:val="231F20"/>
        </w:rPr>
        <w:t>n’est</w:t>
      </w:r>
      <w:r>
        <w:rPr>
          <w:color w:val="231F20"/>
          <w:spacing w:val="-9"/>
        </w:rPr>
        <w:t> </w:t>
      </w:r>
      <w:r>
        <w:rPr>
          <w:color w:val="231F20"/>
        </w:rPr>
        <w:t>pas</w:t>
      </w:r>
      <w:r>
        <w:rPr>
          <w:color w:val="231F20"/>
          <w:spacing w:val="-8"/>
        </w:rPr>
        <w:t> </w:t>
      </w:r>
      <w:r>
        <w:rPr>
          <w:color w:val="231F20"/>
        </w:rPr>
        <w:t>rendu</w:t>
      </w:r>
      <w:r>
        <w:rPr>
          <w:color w:val="231F20"/>
          <w:spacing w:val="-9"/>
        </w:rPr>
        <w:t> </w:t>
      </w:r>
      <w:r>
        <w:rPr>
          <w:color w:val="231F20"/>
        </w:rPr>
        <w:t>public.</w:t>
      </w:r>
      <w:r>
        <w:rPr>
          <w:color w:val="231F20"/>
          <w:spacing w:val="-8"/>
        </w:rPr>
        <w:t> </w:t>
      </w:r>
      <w:r>
        <w:rPr>
          <w:color w:val="231F20"/>
        </w:rPr>
        <w:t>Mais</w:t>
      </w:r>
      <w:r>
        <w:rPr>
          <w:color w:val="231F20"/>
          <w:spacing w:val="-9"/>
        </w:rPr>
        <w:t> </w:t>
      </w:r>
      <w:r>
        <w:rPr>
          <w:color w:val="231F20"/>
        </w:rPr>
        <w:t>selon</w:t>
      </w:r>
      <w:r>
        <w:rPr>
          <w:color w:val="231F20"/>
          <w:spacing w:val="-9"/>
        </w:rPr>
        <w:t> </w:t>
      </w:r>
      <w:r>
        <w:rPr>
          <w:color w:val="231F20"/>
        </w:rPr>
        <w:t>des</w:t>
      </w:r>
      <w:r>
        <w:rPr>
          <w:color w:val="231F20"/>
          <w:spacing w:val="-9"/>
        </w:rPr>
        <w:t> </w:t>
      </w:r>
      <w:r>
        <w:rPr>
          <w:color w:val="231F20"/>
        </w:rPr>
        <w:t>indiscrétions, les</w:t>
      </w:r>
      <w:r>
        <w:rPr>
          <w:color w:val="231F20"/>
          <w:spacing w:val="-10"/>
        </w:rPr>
        <w:t> </w:t>
      </w:r>
      <w:r>
        <w:rPr>
          <w:color w:val="231F20"/>
        </w:rPr>
        <w:t>statistiques</w:t>
      </w:r>
      <w:r>
        <w:rPr>
          <w:color w:val="231F20"/>
          <w:spacing w:val="-11"/>
        </w:rPr>
        <w:t> </w:t>
      </w:r>
      <w:r>
        <w:rPr>
          <w:color w:val="231F20"/>
        </w:rPr>
        <w:t>de</w:t>
      </w:r>
      <w:r>
        <w:rPr>
          <w:color w:val="231F20"/>
          <w:spacing w:val="-10"/>
        </w:rPr>
        <w:t> </w:t>
      </w:r>
      <w:r>
        <w:rPr>
          <w:color w:val="231F20"/>
        </w:rPr>
        <w:t>la</w:t>
      </w:r>
      <w:r>
        <w:rPr>
          <w:color w:val="231F20"/>
          <w:spacing w:val="-11"/>
        </w:rPr>
        <w:t> </w:t>
      </w:r>
      <w:r>
        <w:rPr>
          <w:color w:val="231F20"/>
        </w:rPr>
        <w:t>CDVR</w:t>
      </w:r>
      <w:r>
        <w:rPr>
          <w:color w:val="231F20"/>
          <w:spacing w:val="-8"/>
        </w:rPr>
        <w:t> </w:t>
      </w:r>
      <w:r>
        <w:rPr>
          <w:color w:val="231F20"/>
        </w:rPr>
        <w:t>feraient</w:t>
      </w:r>
      <w:r>
        <w:rPr>
          <w:color w:val="231F20"/>
          <w:spacing w:val="-10"/>
        </w:rPr>
        <w:t> </w:t>
      </w:r>
      <w:r>
        <w:rPr>
          <w:color w:val="231F20"/>
        </w:rPr>
        <w:t>mention</w:t>
      </w:r>
      <w:r>
        <w:rPr>
          <w:color w:val="231F20"/>
          <w:spacing w:val="-10"/>
        </w:rPr>
        <w:t> </w:t>
      </w:r>
      <w:r>
        <w:rPr>
          <w:color w:val="231F20"/>
        </w:rPr>
        <w:t>d’environ</w:t>
      </w:r>
      <w:r>
        <w:rPr>
          <w:color w:val="231F20"/>
          <w:spacing w:val="-10"/>
        </w:rPr>
        <w:t> </w:t>
      </w:r>
      <w:r>
        <w:rPr>
          <w:color w:val="231F20"/>
        </w:rPr>
        <w:t>73</w:t>
      </w:r>
      <w:r>
        <w:rPr>
          <w:color w:val="231F20"/>
          <w:spacing w:val="-9"/>
        </w:rPr>
        <w:t> </w:t>
      </w:r>
      <w:r>
        <w:rPr>
          <w:color w:val="231F20"/>
        </w:rPr>
        <w:t>000</w:t>
      </w:r>
      <w:r>
        <w:rPr>
          <w:color w:val="231F20"/>
          <w:spacing w:val="-9"/>
        </w:rPr>
        <w:t> </w:t>
      </w:r>
      <w:r>
        <w:rPr>
          <w:color w:val="231F20"/>
        </w:rPr>
        <w:t>victimes de</w:t>
      </w:r>
      <w:r>
        <w:rPr>
          <w:color w:val="231F20"/>
          <w:spacing w:val="-10"/>
        </w:rPr>
        <w:t> </w:t>
      </w:r>
      <w:r>
        <w:rPr>
          <w:color w:val="231F20"/>
        </w:rPr>
        <w:t>violences</w:t>
      </w:r>
      <w:r>
        <w:rPr>
          <w:color w:val="231F20"/>
          <w:spacing w:val="-11"/>
        </w:rPr>
        <w:t> </w:t>
      </w:r>
      <w:r>
        <w:rPr>
          <w:color w:val="231F20"/>
        </w:rPr>
        <w:t>politiques</w:t>
      </w:r>
      <w:r>
        <w:rPr>
          <w:color w:val="231F20"/>
          <w:spacing w:val="-11"/>
        </w:rPr>
        <w:t> </w:t>
      </w:r>
      <w:r>
        <w:rPr>
          <w:color w:val="231F20"/>
        </w:rPr>
        <w:t>depuis</w:t>
      </w:r>
      <w:r>
        <w:rPr>
          <w:color w:val="231F20"/>
          <w:spacing w:val="-11"/>
        </w:rPr>
        <w:t> </w:t>
      </w:r>
      <w:r>
        <w:rPr>
          <w:color w:val="231F20"/>
        </w:rPr>
        <w:t>le</w:t>
      </w:r>
      <w:r>
        <w:rPr>
          <w:color w:val="231F20"/>
          <w:spacing w:val="-12"/>
        </w:rPr>
        <w:t> </w:t>
      </w:r>
      <w:r>
        <w:rPr>
          <w:color w:val="231F20"/>
        </w:rPr>
        <w:t>coup</w:t>
      </w:r>
      <w:r>
        <w:rPr>
          <w:color w:val="231F20"/>
          <w:spacing w:val="-10"/>
        </w:rPr>
        <w:t> </w:t>
      </w:r>
      <w:r>
        <w:rPr>
          <w:color w:val="231F20"/>
        </w:rPr>
        <w:t>d’État</w:t>
      </w:r>
      <w:r>
        <w:rPr>
          <w:color w:val="231F20"/>
          <w:spacing w:val="-11"/>
        </w:rPr>
        <w:t> </w:t>
      </w:r>
      <w:r>
        <w:rPr>
          <w:color w:val="231F20"/>
        </w:rPr>
        <w:t>de</w:t>
      </w:r>
      <w:r>
        <w:rPr>
          <w:color w:val="231F20"/>
          <w:spacing w:val="-12"/>
        </w:rPr>
        <w:t> </w:t>
      </w:r>
      <w:r>
        <w:rPr>
          <w:color w:val="231F20"/>
        </w:rPr>
        <w:t>décembre</w:t>
      </w:r>
      <w:r>
        <w:rPr>
          <w:color w:val="231F20"/>
          <w:spacing w:val="-10"/>
        </w:rPr>
        <w:t> </w:t>
      </w:r>
      <w:r>
        <w:rPr>
          <w:color w:val="231F20"/>
        </w:rPr>
        <w:t>1999</w:t>
      </w:r>
      <w:r>
        <w:rPr>
          <w:color w:val="231F20"/>
          <w:spacing w:val="-12"/>
        </w:rPr>
        <w:t> </w:t>
      </w:r>
      <w:r>
        <w:rPr>
          <w:color w:val="231F20"/>
        </w:rPr>
        <w:t>jusqu’à la crise</w:t>
      </w:r>
      <w:r>
        <w:rPr>
          <w:color w:val="231F20"/>
          <w:spacing w:val="-2"/>
        </w:rPr>
        <w:t> </w:t>
      </w:r>
      <w:r>
        <w:rPr>
          <w:color w:val="231F20"/>
        </w:rPr>
        <w:t>postélectorale</w:t>
      </w:r>
      <w:r>
        <w:rPr>
          <w:color w:val="231F20"/>
          <w:spacing w:val="-1"/>
        </w:rPr>
        <w:t> </w:t>
      </w:r>
      <w:r>
        <w:rPr>
          <w:color w:val="231F20"/>
        </w:rPr>
        <w:t>de fin 2010-début 2011.</w:t>
      </w:r>
    </w:p>
    <w:p>
      <w:pPr>
        <w:pStyle w:val="BodyText"/>
        <w:spacing w:before="121"/>
        <w:ind w:right="102" w:firstLine="283"/>
      </w:pPr>
      <w:r>
        <w:rPr>
          <w:color w:val="231F20"/>
        </w:rPr>
        <w:t>Deux instances censées être plus efficaces prennent le relais de la CDVR : le Programme national de Cohésion sociale (PNCS) et la </w:t>
      </w:r>
      <w:r>
        <w:rPr>
          <w:color w:val="231F20"/>
          <w:spacing w:val="-4"/>
        </w:rPr>
        <w:t>Commission</w:t>
      </w:r>
      <w:r>
        <w:rPr>
          <w:color w:val="231F20"/>
          <w:spacing w:val="-6"/>
        </w:rPr>
        <w:t> </w:t>
      </w:r>
      <w:r>
        <w:rPr>
          <w:color w:val="231F20"/>
          <w:spacing w:val="-4"/>
        </w:rPr>
        <w:t>nationale</w:t>
      </w:r>
      <w:r>
        <w:rPr>
          <w:color w:val="231F20"/>
          <w:spacing w:val="-6"/>
        </w:rPr>
        <w:t> </w:t>
      </w:r>
      <w:r>
        <w:rPr>
          <w:color w:val="231F20"/>
          <w:spacing w:val="-4"/>
        </w:rPr>
        <w:t>de</w:t>
      </w:r>
      <w:r>
        <w:rPr>
          <w:color w:val="231F20"/>
          <w:spacing w:val="-8"/>
        </w:rPr>
        <w:t> </w:t>
      </w:r>
      <w:r>
        <w:rPr>
          <w:color w:val="231F20"/>
          <w:spacing w:val="-4"/>
        </w:rPr>
        <w:t>Réconciliation</w:t>
      </w:r>
      <w:r>
        <w:rPr>
          <w:color w:val="231F20"/>
          <w:spacing w:val="-6"/>
        </w:rPr>
        <w:t> </w:t>
      </w:r>
      <w:r>
        <w:rPr>
          <w:color w:val="231F20"/>
          <w:spacing w:val="-4"/>
        </w:rPr>
        <w:t>et</w:t>
      </w:r>
      <w:r>
        <w:rPr>
          <w:color w:val="231F20"/>
          <w:spacing w:val="-8"/>
        </w:rPr>
        <w:t> </w:t>
      </w:r>
      <w:r>
        <w:rPr>
          <w:color w:val="231F20"/>
          <w:spacing w:val="-4"/>
        </w:rPr>
        <w:t>d’Indemnisation</w:t>
      </w:r>
      <w:r>
        <w:rPr>
          <w:color w:val="231F20"/>
          <w:spacing w:val="-6"/>
        </w:rPr>
        <w:t> </w:t>
      </w:r>
      <w:r>
        <w:rPr>
          <w:color w:val="231F20"/>
          <w:spacing w:val="-4"/>
        </w:rPr>
        <w:t>des</w:t>
      </w:r>
      <w:r>
        <w:rPr>
          <w:color w:val="231F20"/>
          <w:spacing w:val="-6"/>
        </w:rPr>
        <w:t> </w:t>
      </w:r>
      <w:r>
        <w:rPr>
          <w:color w:val="231F20"/>
          <w:spacing w:val="-4"/>
        </w:rPr>
        <w:t>Victimes </w:t>
      </w:r>
      <w:r>
        <w:rPr>
          <w:color w:val="231F20"/>
        </w:rPr>
        <w:t>(CONARIV).</w:t>
      </w:r>
      <w:r>
        <w:rPr>
          <w:color w:val="231F20"/>
          <w:spacing w:val="40"/>
        </w:rPr>
        <w:t> </w:t>
      </w:r>
      <w:r>
        <w:rPr>
          <w:color w:val="231F20"/>
        </w:rPr>
        <w:t>Une enveloppe de 10 milliars de francs CFA aurait été </w:t>
      </w:r>
      <w:r>
        <w:rPr>
          <w:color w:val="231F20"/>
          <w:spacing w:val="-4"/>
        </w:rPr>
        <w:t>décaissée</w:t>
      </w:r>
      <w:r>
        <w:rPr>
          <w:color w:val="231F20"/>
          <w:spacing w:val="-11"/>
        </w:rPr>
        <w:t> </w:t>
      </w:r>
      <w:r>
        <w:rPr>
          <w:color w:val="231F20"/>
          <w:spacing w:val="-4"/>
        </w:rPr>
        <w:t>pour</w:t>
      </w:r>
      <w:r>
        <w:rPr>
          <w:color w:val="231F20"/>
          <w:spacing w:val="-11"/>
        </w:rPr>
        <w:t> </w:t>
      </w:r>
      <w:r>
        <w:rPr>
          <w:color w:val="231F20"/>
          <w:spacing w:val="-4"/>
        </w:rPr>
        <w:t>les</w:t>
      </w:r>
      <w:r>
        <w:rPr>
          <w:color w:val="231F20"/>
          <w:spacing w:val="-11"/>
        </w:rPr>
        <w:t> </w:t>
      </w:r>
      <w:r>
        <w:rPr>
          <w:color w:val="231F20"/>
          <w:spacing w:val="-4"/>
        </w:rPr>
        <w:t>victimes</w:t>
      </w:r>
      <w:r>
        <w:rPr>
          <w:color w:val="231F20"/>
          <w:spacing w:val="-11"/>
        </w:rPr>
        <w:t> </w:t>
      </w:r>
      <w:r>
        <w:rPr>
          <w:color w:val="231F20"/>
          <w:spacing w:val="-4"/>
        </w:rPr>
        <w:t>dont</w:t>
      </w:r>
      <w:r>
        <w:rPr>
          <w:color w:val="231F20"/>
          <w:spacing w:val="-11"/>
        </w:rPr>
        <w:t> </w:t>
      </w:r>
      <w:r>
        <w:rPr>
          <w:color w:val="231F20"/>
          <w:spacing w:val="-4"/>
        </w:rPr>
        <w:t>le</w:t>
      </w:r>
      <w:r>
        <w:rPr>
          <w:color w:val="231F20"/>
          <w:spacing w:val="-11"/>
        </w:rPr>
        <w:t> </w:t>
      </w:r>
      <w:r>
        <w:rPr>
          <w:color w:val="231F20"/>
          <w:spacing w:val="-4"/>
        </w:rPr>
        <w:t>nombre</w:t>
      </w:r>
      <w:r>
        <w:rPr>
          <w:color w:val="231F20"/>
          <w:spacing w:val="-11"/>
        </w:rPr>
        <w:t> </w:t>
      </w:r>
      <w:r>
        <w:rPr>
          <w:color w:val="231F20"/>
          <w:spacing w:val="-4"/>
        </w:rPr>
        <w:t>fluctue</w:t>
      </w:r>
      <w:r>
        <w:rPr>
          <w:color w:val="231F20"/>
          <w:spacing w:val="-11"/>
        </w:rPr>
        <w:t> </w:t>
      </w:r>
      <w:r>
        <w:rPr>
          <w:color w:val="231F20"/>
          <w:spacing w:val="-4"/>
        </w:rPr>
        <w:t>selon</w:t>
      </w:r>
      <w:r>
        <w:rPr>
          <w:color w:val="231F20"/>
          <w:spacing w:val="-11"/>
        </w:rPr>
        <w:t> </w:t>
      </w:r>
      <w:r>
        <w:rPr>
          <w:color w:val="231F20"/>
          <w:spacing w:val="-4"/>
        </w:rPr>
        <w:t>les</w:t>
      </w:r>
      <w:r>
        <w:rPr>
          <w:color w:val="231F20"/>
          <w:spacing w:val="-11"/>
        </w:rPr>
        <w:t> </w:t>
      </w:r>
      <w:r>
        <w:rPr>
          <w:color w:val="231F20"/>
          <w:spacing w:val="-4"/>
        </w:rPr>
        <w:t>recensements. </w:t>
      </w:r>
      <w:r>
        <w:rPr>
          <w:color w:val="231F20"/>
        </w:rPr>
        <w:t>L’indemnisation</w:t>
      </w:r>
      <w:r>
        <w:rPr>
          <w:color w:val="231F20"/>
          <w:spacing w:val="-10"/>
        </w:rPr>
        <w:t> </w:t>
      </w:r>
      <w:r>
        <w:rPr>
          <w:color w:val="231F20"/>
        </w:rPr>
        <w:t>des</w:t>
      </w:r>
      <w:r>
        <w:rPr>
          <w:color w:val="231F20"/>
          <w:spacing w:val="-10"/>
        </w:rPr>
        <w:t> </w:t>
      </w:r>
      <w:r>
        <w:rPr>
          <w:color w:val="231F20"/>
        </w:rPr>
        <w:t>victimes</w:t>
      </w:r>
      <w:r>
        <w:rPr>
          <w:color w:val="231F20"/>
          <w:spacing w:val="-9"/>
        </w:rPr>
        <w:t> </w:t>
      </w:r>
      <w:r>
        <w:rPr>
          <w:color w:val="231F20"/>
        </w:rPr>
        <w:t>concerne</w:t>
      </w:r>
      <w:r>
        <w:rPr>
          <w:color w:val="231F20"/>
          <w:spacing w:val="-11"/>
        </w:rPr>
        <w:t> </w:t>
      </w:r>
      <w:r>
        <w:rPr>
          <w:color w:val="231F20"/>
        </w:rPr>
        <w:t>les</w:t>
      </w:r>
      <w:r>
        <w:rPr>
          <w:color w:val="231F20"/>
          <w:spacing w:val="-10"/>
        </w:rPr>
        <w:t> </w:t>
      </w:r>
      <w:r>
        <w:rPr>
          <w:color w:val="231F20"/>
        </w:rPr>
        <w:t>gendarmes,</w:t>
      </w:r>
      <w:r>
        <w:rPr>
          <w:color w:val="231F20"/>
          <w:spacing w:val="-10"/>
        </w:rPr>
        <w:t> </w:t>
      </w:r>
      <w:r>
        <w:rPr>
          <w:color w:val="231F20"/>
        </w:rPr>
        <w:t>les</w:t>
      </w:r>
      <w:r>
        <w:rPr>
          <w:color w:val="231F20"/>
          <w:spacing w:val="-10"/>
        </w:rPr>
        <w:t> </w:t>
      </w:r>
      <w:r>
        <w:rPr>
          <w:color w:val="231F20"/>
        </w:rPr>
        <w:t>policiers,</w:t>
      </w:r>
      <w:r>
        <w:rPr>
          <w:color w:val="231F20"/>
          <w:spacing w:val="-10"/>
        </w:rPr>
        <w:t> </w:t>
      </w:r>
      <w:r>
        <w:rPr>
          <w:color w:val="231F20"/>
        </w:rPr>
        <w:t>les militaires, et les civils. Malheureusement, les victimes sont comptabilisées</w:t>
      </w:r>
      <w:r>
        <w:rPr>
          <w:color w:val="231F20"/>
          <w:spacing w:val="-7"/>
        </w:rPr>
        <w:t> </w:t>
      </w:r>
      <w:r>
        <w:rPr>
          <w:color w:val="231F20"/>
        </w:rPr>
        <w:t>dans</w:t>
      </w:r>
      <w:r>
        <w:rPr>
          <w:color w:val="231F20"/>
          <w:spacing w:val="-7"/>
        </w:rPr>
        <w:t> </w:t>
      </w:r>
      <w:r>
        <w:rPr>
          <w:color w:val="231F20"/>
        </w:rPr>
        <w:t>un</w:t>
      </w:r>
      <w:r>
        <w:rPr>
          <w:color w:val="231F20"/>
          <w:spacing w:val="-4"/>
        </w:rPr>
        <w:t> </w:t>
      </w:r>
      <w:r>
        <w:rPr>
          <w:color w:val="231F20"/>
        </w:rPr>
        <w:t>seul</w:t>
      </w:r>
      <w:r>
        <w:rPr>
          <w:color w:val="231F20"/>
          <w:spacing w:val="-4"/>
        </w:rPr>
        <w:t> </w:t>
      </w:r>
      <w:r>
        <w:rPr>
          <w:color w:val="231F20"/>
        </w:rPr>
        <w:t>camp</w:t>
      </w:r>
      <w:r>
        <w:rPr>
          <w:color w:val="231F20"/>
          <w:spacing w:val="-7"/>
        </w:rPr>
        <w:t> </w:t>
      </w:r>
      <w:r>
        <w:rPr>
          <w:color w:val="231F20"/>
        </w:rPr>
        <w:t>et</w:t>
      </w:r>
      <w:r>
        <w:rPr>
          <w:color w:val="231F20"/>
          <w:spacing w:val="-4"/>
        </w:rPr>
        <w:t> </w:t>
      </w:r>
      <w:r>
        <w:rPr>
          <w:color w:val="231F20"/>
        </w:rPr>
        <w:t>ont</w:t>
      </w:r>
      <w:r>
        <w:rPr>
          <w:color w:val="231F20"/>
          <w:spacing w:val="-7"/>
        </w:rPr>
        <w:t> </w:t>
      </w:r>
      <w:r>
        <w:rPr>
          <w:color w:val="231F20"/>
        </w:rPr>
        <w:t>une</w:t>
      </w:r>
      <w:r>
        <w:rPr>
          <w:color w:val="231F20"/>
          <w:spacing w:val="-4"/>
        </w:rPr>
        <w:t> </w:t>
      </w:r>
      <w:r>
        <w:rPr>
          <w:color w:val="231F20"/>
        </w:rPr>
        <w:t>couleur</w:t>
      </w:r>
      <w:r>
        <w:rPr>
          <w:color w:val="231F20"/>
          <w:spacing w:val="-5"/>
        </w:rPr>
        <w:t> </w:t>
      </w:r>
      <w:r>
        <w:rPr>
          <w:color w:val="231F20"/>
        </w:rPr>
        <w:t>politique.</w:t>
      </w:r>
    </w:p>
    <w:p>
      <w:pPr>
        <w:pStyle w:val="BodyText"/>
        <w:spacing w:before="241"/>
        <w:ind w:left="0"/>
        <w:jc w:val="left"/>
      </w:pPr>
    </w:p>
    <w:p>
      <w:pPr>
        <w:pStyle w:val="Heading3"/>
        <w:ind w:right="156"/>
      </w:pPr>
      <w:r>
        <w:rPr>
          <w:i/>
          <w:color w:val="231F20"/>
          <w:spacing w:val="-2"/>
        </w:rPr>
        <w:t>2011-2015</w:t>
      </w:r>
      <w:r>
        <w:rPr>
          <w:i/>
          <w:color w:val="231F20"/>
          <w:spacing w:val="-12"/>
        </w:rPr>
        <w:t> </w:t>
      </w:r>
      <w:r>
        <w:rPr>
          <w:i/>
          <w:color w:val="231F20"/>
          <w:spacing w:val="-2"/>
        </w:rPr>
        <w:t>:</w:t>
      </w:r>
      <w:r>
        <w:rPr>
          <w:i/>
          <w:color w:val="231F20"/>
          <w:spacing w:val="-11"/>
        </w:rPr>
        <w:t> </w:t>
      </w:r>
      <w:r>
        <w:rPr>
          <w:i/>
          <w:color w:val="231F20"/>
          <w:spacing w:val="-2"/>
        </w:rPr>
        <w:t>trois</w:t>
      </w:r>
      <w:r>
        <w:rPr>
          <w:i/>
          <w:color w:val="231F20"/>
          <w:spacing w:val="-11"/>
        </w:rPr>
        <w:t> </w:t>
      </w:r>
      <w:r>
        <w:rPr>
          <w:i/>
          <w:color w:val="231F20"/>
          <w:spacing w:val="-2"/>
        </w:rPr>
        <w:t>ans</w:t>
      </w:r>
      <w:r>
        <w:rPr>
          <w:i/>
          <w:color w:val="231F20"/>
          <w:spacing w:val="-11"/>
        </w:rPr>
        <w:t> </w:t>
      </w:r>
      <w:r>
        <w:rPr>
          <w:i/>
          <w:color w:val="231F20"/>
          <w:spacing w:val="-2"/>
        </w:rPr>
        <w:t>déjà</w:t>
      </w:r>
      <w:r>
        <w:rPr>
          <w:i/>
          <w:color w:val="231F20"/>
          <w:spacing w:val="-12"/>
        </w:rPr>
        <w:t> </w:t>
      </w:r>
      <w:r>
        <w:rPr>
          <w:i/>
          <w:color w:val="231F20"/>
          <w:spacing w:val="-2"/>
        </w:rPr>
        <w:t>que</w:t>
      </w:r>
      <w:r>
        <w:rPr>
          <w:i/>
          <w:color w:val="231F20"/>
          <w:spacing w:val="-11"/>
        </w:rPr>
        <w:t> </w:t>
      </w:r>
      <w:r>
        <w:rPr>
          <w:i/>
          <w:color w:val="231F20"/>
          <w:spacing w:val="-2"/>
        </w:rPr>
        <w:t>Laurent</w:t>
      </w:r>
      <w:r>
        <w:rPr>
          <w:i/>
          <w:color w:val="231F20"/>
          <w:spacing w:val="-11"/>
        </w:rPr>
        <w:t> </w:t>
      </w:r>
      <w:r>
        <w:rPr>
          <w:i/>
          <w:color w:val="231F20"/>
          <w:spacing w:val="-2"/>
        </w:rPr>
        <w:t>Gbagbo</w:t>
      </w:r>
      <w:r>
        <w:rPr>
          <w:i/>
          <w:color w:val="231F20"/>
          <w:spacing w:val="-10"/>
        </w:rPr>
        <w:t> </w:t>
      </w:r>
      <w:r>
        <w:rPr>
          <w:i/>
          <w:color w:val="231F20"/>
          <w:spacing w:val="-2"/>
        </w:rPr>
        <w:t>est</w:t>
      </w:r>
      <w:r>
        <w:rPr>
          <w:i/>
          <w:color w:val="231F20"/>
          <w:spacing w:val="-11"/>
        </w:rPr>
        <w:t> </w:t>
      </w:r>
      <w:r>
        <w:rPr>
          <w:i/>
          <w:color w:val="231F20"/>
          <w:spacing w:val="-2"/>
        </w:rPr>
        <w:t>dans</w:t>
      </w:r>
      <w:r>
        <w:rPr>
          <w:i/>
          <w:color w:val="231F20"/>
          <w:spacing w:val="-12"/>
        </w:rPr>
        <w:t> </w:t>
      </w:r>
      <w:r>
        <w:rPr>
          <w:i/>
          <w:color w:val="231F20"/>
          <w:spacing w:val="-2"/>
        </w:rPr>
        <w:t>l’attente</w:t>
      </w:r>
      <w:r>
        <w:rPr>
          <w:color w:val="231F20"/>
          <w:spacing w:val="-2"/>
        </w:rPr>
        <w:t> </w:t>
      </w:r>
      <w:r>
        <w:rPr>
          <w:color w:val="231F20"/>
        </w:rPr>
        <w:t>de son procès à la CPI aux Pays-Bas.</w:t>
      </w:r>
    </w:p>
    <w:p>
      <w:pPr>
        <w:pStyle w:val="BodyText"/>
        <w:spacing w:before="255"/>
        <w:ind w:right="105" w:firstLine="283"/>
      </w:pPr>
      <w:r>
        <w:rPr>
          <w:color w:val="231F20"/>
          <w:spacing w:val="-4"/>
        </w:rPr>
        <w:t>Le</w:t>
      </w:r>
      <w:r>
        <w:rPr>
          <w:color w:val="231F20"/>
          <w:spacing w:val="-11"/>
        </w:rPr>
        <w:t> </w:t>
      </w:r>
      <w:r>
        <w:rPr>
          <w:color w:val="231F20"/>
          <w:spacing w:val="-4"/>
        </w:rPr>
        <w:t>11</w:t>
      </w:r>
      <w:r>
        <w:rPr>
          <w:color w:val="231F20"/>
          <w:spacing w:val="-11"/>
        </w:rPr>
        <w:t> </w:t>
      </w:r>
      <w:r>
        <w:rPr>
          <w:color w:val="231F20"/>
          <w:spacing w:val="-4"/>
        </w:rPr>
        <w:t>mars</w:t>
      </w:r>
      <w:r>
        <w:rPr>
          <w:color w:val="231F20"/>
          <w:spacing w:val="-11"/>
        </w:rPr>
        <w:t> </w:t>
      </w:r>
      <w:r>
        <w:rPr>
          <w:color w:val="231F20"/>
          <w:spacing w:val="-4"/>
        </w:rPr>
        <w:t>2015,</w:t>
      </w:r>
      <w:r>
        <w:rPr>
          <w:color w:val="231F20"/>
          <w:spacing w:val="-11"/>
        </w:rPr>
        <w:t> </w:t>
      </w:r>
      <w:r>
        <w:rPr>
          <w:color w:val="231F20"/>
          <w:spacing w:val="-4"/>
        </w:rPr>
        <w:t>les</w:t>
      </w:r>
      <w:r>
        <w:rPr>
          <w:color w:val="231F20"/>
          <w:spacing w:val="-11"/>
        </w:rPr>
        <w:t> </w:t>
      </w:r>
      <w:r>
        <w:rPr>
          <w:color w:val="231F20"/>
          <w:spacing w:val="-4"/>
        </w:rPr>
        <w:t>affaires</w:t>
      </w:r>
      <w:r>
        <w:rPr>
          <w:color w:val="231F20"/>
          <w:spacing w:val="-11"/>
        </w:rPr>
        <w:t> </w:t>
      </w:r>
      <w:r>
        <w:rPr>
          <w:color w:val="231F20"/>
          <w:spacing w:val="-4"/>
        </w:rPr>
        <w:t>à</w:t>
      </w:r>
      <w:r>
        <w:rPr>
          <w:color w:val="231F20"/>
          <w:spacing w:val="-11"/>
        </w:rPr>
        <w:t> </w:t>
      </w:r>
      <w:r>
        <w:rPr>
          <w:color w:val="231F20"/>
          <w:spacing w:val="-4"/>
        </w:rPr>
        <w:t>l'encontre</w:t>
      </w:r>
      <w:r>
        <w:rPr>
          <w:color w:val="231F20"/>
          <w:spacing w:val="-11"/>
        </w:rPr>
        <w:t> </w:t>
      </w:r>
      <w:r>
        <w:rPr>
          <w:color w:val="231F20"/>
          <w:spacing w:val="-4"/>
        </w:rPr>
        <w:t>de</w:t>
      </w:r>
      <w:r>
        <w:rPr>
          <w:color w:val="231F20"/>
          <w:spacing w:val="-11"/>
        </w:rPr>
        <w:t> </w:t>
      </w:r>
      <w:r>
        <w:rPr>
          <w:color w:val="231F20"/>
          <w:spacing w:val="-4"/>
        </w:rPr>
        <w:t>Laurent</w:t>
      </w:r>
      <w:r>
        <w:rPr>
          <w:color w:val="231F20"/>
          <w:spacing w:val="-11"/>
        </w:rPr>
        <w:t> </w:t>
      </w:r>
      <w:r>
        <w:rPr>
          <w:color w:val="231F20"/>
          <w:spacing w:val="-4"/>
        </w:rPr>
        <w:t>Gbagbo</w:t>
      </w:r>
      <w:r>
        <w:rPr>
          <w:color w:val="231F20"/>
          <w:spacing w:val="-11"/>
        </w:rPr>
        <w:t> </w:t>
      </w:r>
      <w:r>
        <w:rPr>
          <w:color w:val="231F20"/>
          <w:spacing w:val="-4"/>
        </w:rPr>
        <w:t>et</w:t>
      </w:r>
      <w:r>
        <w:rPr>
          <w:color w:val="231F20"/>
          <w:spacing w:val="-11"/>
        </w:rPr>
        <w:t> </w:t>
      </w:r>
      <w:r>
        <w:rPr>
          <w:color w:val="231F20"/>
          <w:spacing w:val="-4"/>
        </w:rPr>
        <w:t>Charles </w:t>
      </w:r>
      <w:r>
        <w:rPr>
          <w:color w:val="231F20"/>
        </w:rPr>
        <w:t>Blé</w:t>
      </w:r>
      <w:r>
        <w:rPr>
          <w:color w:val="231F20"/>
          <w:spacing w:val="12"/>
        </w:rPr>
        <w:t> </w:t>
      </w:r>
      <w:r>
        <w:rPr>
          <w:color w:val="231F20"/>
        </w:rPr>
        <w:t>Goudé</w:t>
      </w:r>
      <w:r>
        <w:rPr>
          <w:color w:val="231F20"/>
          <w:spacing w:val="15"/>
        </w:rPr>
        <w:t> </w:t>
      </w:r>
      <w:r>
        <w:rPr>
          <w:color w:val="231F20"/>
        </w:rPr>
        <w:t>sont</w:t>
      </w:r>
      <w:r>
        <w:rPr>
          <w:color w:val="231F20"/>
          <w:spacing w:val="14"/>
        </w:rPr>
        <w:t> </w:t>
      </w:r>
      <w:r>
        <w:rPr>
          <w:color w:val="231F20"/>
        </w:rPr>
        <w:t>jointes.</w:t>
      </w:r>
      <w:r>
        <w:rPr>
          <w:color w:val="231F20"/>
          <w:spacing w:val="-12"/>
        </w:rPr>
        <w:t> </w:t>
      </w:r>
      <w:r>
        <w:rPr>
          <w:color w:val="231F20"/>
        </w:rPr>
        <w:t>Ils</w:t>
      </w:r>
      <w:r>
        <w:rPr>
          <w:color w:val="231F20"/>
          <w:spacing w:val="15"/>
        </w:rPr>
        <w:t> </w:t>
      </w:r>
      <w:r>
        <w:rPr>
          <w:color w:val="231F20"/>
        </w:rPr>
        <w:t>sont</w:t>
      </w:r>
      <w:r>
        <w:rPr>
          <w:color w:val="231F20"/>
          <w:spacing w:val="16"/>
        </w:rPr>
        <w:t> </w:t>
      </w:r>
      <w:r>
        <w:rPr>
          <w:color w:val="231F20"/>
        </w:rPr>
        <w:t>accusés</w:t>
      </w:r>
      <w:r>
        <w:rPr>
          <w:color w:val="231F20"/>
          <w:spacing w:val="16"/>
        </w:rPr>
        <w:t> </w:t>
      </w:r>
      <w:r>
        <w:rPr>
          <w:color w:val="231F20"/>
        </w:rPr>
        <w:t>de</w:t>
      </w:r>
      <w:r>
        <w:rPr>
          <w:color w:val="231F20"/>
          <w:spacing w:val="15"/>
        </w:rPr>
        <w:t> </w:t>
      </w:r>
      <w:r>
        <w:rPr>
          <w:color w:val="231F20"/>
        </w:rPr>
        <w:t>crimes</w:t>
      </w:r>
      <w:r>
        <w:rPr>
          <w:color w:val="231F20"/>
          <w:spacing w:val="15"/>
        </w:rPr>
        <w:t> </w:t>
      </w:r>
      <w:r>
        <w:rPr>
          <w:color w:val="231F20"/>
        </w:rPr>
        <w:t>contre</w:t>
      </w:r>
      <w:r>
        <w:rPr>
          <w:color w:val="231F20"/>
          <w:spacing w:val="16"/>
        </w:rPr>
        <w:t> </w:t>
      </w:r>
      <w:r>
        <w:rPr>
          <w:color w:val="231F20"/>
        </w:rPr>
        <w:t>l’humanité</w:t>
      </w:r>
      <w:r>
        <w:rPr>
          <w:color w:val="231F20"/>
          <w:spacing w:val="-15"/>
        </w:rPr>
        <w:t> </w:t>
      </w:r>
      <w:r>
        <w:rPr>
          <w:color w:val="231F20"/>
          <w:spacing w:val="-10"/>
        </w:rPr>
        <w:t>:</w:t>
      </w:r>
    </w:p>
    <w:p>
      <w:pPr>
        <w:pStyle w:val="BodyText"/>
        <w:ind w:left="0"/>
        <w:jc w:val="left"/>
        <w:rPr>
          <w:sz w:val="20"/>
        </w:rPr>
      </w:pPr>
    </w:p>
    <w:p>
      <w:pPr>
        <w:pStyle w:val="BodyText"/>
        <w:ind w:left="0"/>
        <w:jc w:val="left"/>
        <w:rPr>
          <w:sz w:val="20"/>
        </w:rPr>
      </w:pPr>
    </w:p>
    <w:p>
      <w:pPr>
        <w:pStyle w:val="BodyText"/>
        <w:spacing w:before="46"/>
        <w:ind w:left="0"/>
        <w:jc w:val="left"/>
        <w:rPr>
          <w:sz w:val="20"/>
        </w:rPr>
      </w:pPr>
      <w:r>
        <w:rPr/>
        <mc:AlternateContent>
          <mc:Choice Requires="wps">
            <w:drawing>
              <wp:anchor distT="0" distB="0" distL="0" distR="0" allowOverlap="1" layoutInCell="1" locked="0" behindDoc="1" simplePos="0" relativeHeight="487654400">
                <wp:simplePos x="0" y="0"/>
                <wp:positionH relativeFrom="page">
                  <wp:posOffset>629907</wp:posOffset>
                </wp:positionH>
                <wp:positionV relativeFrom="paragraph">
                  <wp:posOffset>190528</wp:posOffset>
                </wp:positionV>
                <wp:extent cx="1829435" cy="9525"/>
                <wp:effectExtent l="0" t="0" r="0" b="0"/>
                <wp:wrapTopAndBottom/>
                <wp:docPr id="159" name="Graphic 159"/>
                <wp:cNvGraphicFramePr>
                  <a:graphicFrameLocks/>
                </wp:cNvGraphicFramePr>
                <a:graphic>
                  <a:graphicData uri="http://schemas.microsoft.com/office/word/2010/wordprocessingShape">
                    <wps:wsp>
                      <wps:cNvPr id="159" name="Graphic 15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002227pt;width:144.020pt;height:.72pt;mso-position-horizontal-relative:page;mso-position-vertical-relative:paragraph;z-index:-15662080;mso-wrap-distance-left:0;mso-wrap-distance-right:0" id="docshape157"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215</w:t>
      </w:r>
      <w:r>
        <w:rPr>
          <w:color w:val="76787A"/>
          <w:spacing w:val="2"/>
          <w:sz w:val="20"/>
          <w:vertAlign w:val="baseline"/>
        </w:rPr>
        <w:t> </w:t>
      </w:r>
      <w:r>
        <w:rPr>
          <w:color w:val="231F20"/>
          <w:spacing w:val="-4"/>
          <w:sz w:val="20"/>
          <w:vertAlign w:val="baseline"/>
        </w:rPr>
        <w:t>Charles</w:t>
      </w:r>
      <w:r>
        <w:rPr>
          <w:color w:val="231F20"/>
          <w:spacing w:val="-2"/>
          <w:sz w:val="20"/>
          <w:vertAlign w:val="baseline"/>
        </w:rPr>
        <w:t> </w:t>
      </w:r>
      <w:r>
        <w:rPr>
          <w:color w:val="231F20"/>
          <w:spacing w:val="-4"/>
          <w:sz w:val="20"/>
          <w:vertAlign w:val="baseline"/>
        </w:rPr>
        <w:t>Konan</w:t>
      </w:r>
      <w:r>
        <w:rPr>
          <w:color w:val="231F20"/>
          <w:sz w:val="20"/>
          <w:vertAlign w:val="baseline"/>
        </w:rPr>
        <w:t> </w:t>
      </w:r>
      <w:r>
        <w:rPr>
          <w:color w:val="231F20"/>
          <w:spacing w:val="-4"/>
          <w:sz w:val="20"/>
          <w:vertAlign w:val="baseline"/>
        </w:rPr>
        <w:t>Banny,17</w:t>
      </w:r>
      <w:r>
        <w:rPr>
          <w:color w:val="231F20"/>
          <w:spacing w:val="-2"/>
          <w:sz w:val="20"/>
          <w:vertAlign w:val="baseline"/>
        </w:rPr>
        <w:t> </w:t>
      </w:r>
      <w:r>
        <w:rPr>
          <w:color w:val="231F20"/>
          <w:spacing w:val="-4"/>
          <w:sz w:val="20"/>
          <w:vertAlign w:val="baseline"/>
        </w:rPr>
        <w:t>décembre</w:t>
      </w:r>
      <w:r>
        <w:rPr>
          <w:color w:val="231F20"/>
          <w:spacing w:val="-2"/>
          <w:sz w:val="20"/>
          <w:vertAlign w:val="baseline"/>
        </w:rPr>
        <w:t> </w:t>
      </w:r>
      <w:r>
        <w:rPr>
          <w:color w:val="231F20"/>
          <w:spacing w:val="-4"/>
          <w:sz w:val="20"/>
          <w:vertAlign w:val="baseline"/>
        </w:rPr>
        <w:t>2014,</w:t>
      </w:r>
      <w:r>
        <w:rPr>
          <w:color w:val="231F20"/>
          <w:sz w:val="20"/>
          <w:vertAlign w:val="baseline"/>
        </w:rPr>
        <w:t> </w:t>
      </w:r>
      <w:r>
        <w:rPr>
          <w:color w:val="231F20"/>
          <w:spacing w:val="-4"/>
          <w:sz w:val="20"/>
          <w:vertAlign w:val="baseline"/>
        </w:rPr>
        <w:t>Riviera.</w:t>
      </w:r>
    </w:p>
    <w:p>
      <w:pPr>
        <w:spacing w:after="0"/>
        <w:jc w:val="left"/>
        <w:rPr>
          <w:sz w:val="20"/>
        </w:rPr>
        <w:sectPr>
          <w:pgSz w:w="8790" w:h="13610"/>
          <w:pgMar w:header="0" w:footer="802" w:top="1040" w:bottom="1000" w:left="880" w:right="880"/>
        </w:sectPr>
      </w:pPr>
    </w:p>
    <w:p>
      <w:pPr>
        <w:pStyle w:val="BodyText"/>
        <w:spacing w:before="66"/>
        <w:ind w:right="107"/>
      </w:pPr>
      <w:r>
        <w:rPr>
          <w:color w:val="231F20"/>
          <w:spacing w:val="-2"/>
        </w:rPr>
        <w:t>meurtre,</w:t>
      </w:r>
      <w:r>
        <w:rPr>
          <w:color w:val="231F20"/>
          <w:spacing w:val="-15"/>
        </w:rPr>
        <w:t> </w:t>
      </w:r>
      <w:r>
        <w:rPr>
          <w:color w:val="231F20"/>
          <w:spacing w:val="-2"/>
        </w:rPr>
        <w:t>viol,</w:t>
      </w:r>
      <w:r>
        <w:rPr>
          <w:color w:val="231F20"/>
          <w:spacing w:val="-13"/>
        </w:rPr>
        <w:t> </w:t>
      </w:r>
      <w:r>
        <w:rPr>
          <w:color w:val="231F20"/>
          <w:spacing w:val="-2"/>
        </w:rPr>
        <w:t>autres</w:t>
      </w:r>
      <w:r>
        <w:rPr>
          <w:color w:val="231F20"/>
          <w:spacing w:val="-13"/>
        </w:rPr>
        <w:t> </w:t>
      </w:r>
      <w:r>
        <w:rPr>
          <w:color w:val="231F20"/>
          <w:spacing w:val="-2"/>
        </w:rPr>
        <w:t>actes</w:t>
      </w:r>
      <w:r>
        <w:rPr>
          <w:color w:val="231F20"/>
          <w:spacing w:val="-13"/>
        </w:rPr>
        <w:t> </w:t>
      </w:r>
      <w:r>
        <w:rPr>
          <w:color w:val="231F20"/>
          <w:spacing w:val="-2"/>
        </w:rPr>
        <w:t>inhumains</w:t>
      </w:r>
      <w:r>
        <w:rPr>
          <w:color w:val="231F20"/>
          <w:spacing w:val="-13"/>
        </w:rPr>
        <w:t> </w:t>
      </w:r>
      <w:r>
        <w:rPr>
          <w:color w:val="231F20"/>
          <w:spacing w:val="-2"/>
        </w:rPr>
        <w:t>ou</w:t>
      </w:r>
      <w:r>
        <w:rPr>
          <w:color w:val="231F20"/>
          <w:spacing w:val="-13"/>
        </w:rPr>
        <w:t> </w:t>
      </w:r>
      <w:r>
        <w:rPr>
          <w:color w:val="231F20"/>
          <w:spacing w:val="-2"/>
        </w:rPr>
        <w:t>–</w:t>
      </w:r>
      <w:r>
        <w:rPr>
          <w:color w:val="231F20"/>
          <w:spacing w:val="-13"/>
        </w:rPr>
        <w:t> </w:t>
      </w:r>
      <w:r>
        <w:rPr>
          <w:color w:val="231F20"/>
          <w:spacing w:val="-2"/>
        </w:rPr>
        <w:t>à</w:t>
      </w:r>
      <w:r>
        <w:rPr>
          <w:color w:val="231F20"/>
          <w:spacing w:val="-13"/>
        </w:rPr>
        <w:t> </w:t>
      </w:r>
      <w:r>
        <w:rPr>
          <w:color w:val="231F20"/>
          <w:spacing w:val="-2"/>
        </w:rPr>
        <w:t>titre</w:t>
      </w:r>
      <w:r>
        <w:rPr>
          <w:color w:val="231F20"/>
          <w:spacing w:val="-13"/>
        </w:rPr>
        <w:t> </w:t>
      </w:r>
      <w:r>
        <w:rPr>
          <w:color w:val="231F20"/>
          <w:spacing w:val="-2"/>
        </w:rPr>
        <w:t>subsidiaire</w:t>
      </w:r>
      <w:r>
        <w:rPr>
          <w:color w:val="231F20"/>
          <w:spacing w:val="-13"/>
        </w:rPr>
        <w:t> </w:t>
      </w:r>
      <w:r>
        <w:rPr>
          <w:color w:val="231F20"/>
          <w:spacing w:val="-2"/>
        </w:rPr>
        <w:t>–</w:t>
      </w:r>
      <w:r>
        <w:rPr>
          <w:color w:val="231F20"/>
          <w:spacing w:val="-13"/>
        </w:rPr>
        <w:t> </w:t>
      </w:r>
      <w:r>
        <w:rPr>
          <w:color w:val="231F20"/>
          <w:spacing w:val="-2"/>
        </w:rPr>
        <w:t>tentative</w:t>
      </w:r>
      <w:r>
        <w:rPr>
          <w:color w:val="231F20"/>
          <w:spacing w:val="-13"/>
        </w:rPr>
        <w:t> </w:t>
      </w:r>
      <w:r>
        <w:rPr>
          <w:color w:val="231F20"/>
          <w:spacing w:val="-2"/>
        </w:rPr>
        <w:t>de </w:t>
      </w:r>
      <w:r>
        <w:rPr>
          <w:color w:val="231F20"/>
        </w:rPr>
        <w:t>meurtre, et persécution.</w:t>
      </w:r>
    </w:p>
    <w:p>
      <w:pPr>
        <w:pStyle w:val="BodyText"/>
        <w:spacing w:before="120"/>
        <w:ind w:right="102" w:firstLine="283"/>
      </w:pPr>
      <w:r>
        <w:rPr>
          <w:color w:val="231F20"/>
        </w:rPr>
        <w:t>À</w:t>
      </w:r>
      <w:r>
        <w:rPr>
          <w:color w:val="231F20"/>
          <w:spacing w:val="-13"/>
        </w:rPr>
        <w:t> </w:t>
      </w:r>
      <w:r>
        <w:rPr>
          <w:color w:val="231F20"/>
        </w:rPr>
        <w:t>Abidjan,</w:t>
      </w:r>
      <w:r>
        <w:rPr>
          <w:color w:val="231F20"/>
          <w:spacing w:val="-13"/>
        </w:rPr>
        <w:t> </w:t>
      </w:r>
      <w:r>
        <w:rPr>
          <w:color w:val="231F20"/>
        </w:rPr>
        <w:t>son</w:t>
      </w:r>
      <w:r>
        <w:rPr>
          <w:color w:val="231F20"/>
          <w:spacing w:val="-13"/>
        </w:rPr>
        <w:t> </w:t>
      </w:r>
      <w:r>
        <w:rPr>
          <w:color w:val="231F20"/>
        </w:rPr>
        <w:t>épouse</w:t>
      </w:r>
      <w:r>
        <w:rPr>
          <w:color w:val="231F20"/>
          <w:spacing w:val="-13"/>
        </w:rPr>
        <w:t> </w:t>
      </w:r>
      <w:r>
        <w:rPr>
          <w:color w:val="231F20"/>
        </w:rPr>
        <w:t>et</w:t>
      </w:r>
      <w:r>
        <w:rPr>
          <w:color w:val="231F20"/>
          <w:spacing w:val="-12"/>
        </w:rPr>
        <w:t> </w:t>
      </w:r>
      <w:r>
        <w:rPr>
          <w:color w:val="231F20"/>
        </w:rPr>
        <w:t>tout</w:t>
      </w:r>
      <w:r>
        <w:rPr>
          <w:color w:val="231F20"/>
          <w:spacing w:val="-13"/>
        </w:rPr>
        <w:t> </w:t>
      </w:r>
      <w:r>
        <w:rPr>
          <w:color w:val="231F20"/>
        </w:rPr>
        <w:t>ce</w:t>
      </w:r>
      <w:r>
        <w:rPr>
          <w:color w:val="231F20"/>
          <w:spacing w:val="-13"/>
        </w:rPr>
        <w:t> </w:t>
      </w:r>
      <w:r>
        <w:rPr>
          <w:color w:val="231F20"/>
        </w:rPr>
        <w:t>qui</w:t>
      </w:r>
      <w:r>
        <w:rPr>
          <w:color w:val="231F20"/>
          <w:spacing w:val="-13"/>
        </w:rPr>
        <w:t> </w:t>
      </w:r>
      <w:r>
        <w:rPr>
          <w:color w:val="231F20"/>
        </w:rPr>
        <w:t>respire</w:t>
      </w:r>
      <w:r>
        <w:rPr>
          <w:color w:val="231F20"/>
          <w:spacing w:val="-13"/>
        </w:rPr>
        <w:t> </w:t>
      </w:r>
      <w:r>
        <w:rPr>
          <w:color w:val="231F20"/>
        </w:rPr>
        <w:t>FPI,</w:t>
      </w:r>
      <w:r>
        <w:rPr>
          <w:color w:val="231F20"/>
          <w:spacing w:val="-13"/>
        </w:rPr>
        <w:t> </w:t>
      </w:r>
      <w:r>
        <w:rPr>
          <w:color w:val="231F20"/>
        </w:rPr>
        <w:t>le</w:t>
      </w:r>
      <w:r>
        <w:rPr>
          <w:color w:val="231F20"/>
          <w:spacing w:val="-12"/>
        </w:rPr>
        <w:t> </w:t>
      </w:r>
      <w:r>
        <w:rPr>
          <w:color w:val="231F20"/>
        </w:rPr>
        <w:t>Parti</w:t>
      </w:r>
      <w:r>
        <w:rPr>
          <w:color w:val="231F20"/>
          <w:spacing w:val="-15"/>
        </w:rPr>
        <w:t> </w:t>
      </w:r>
      <w:r>
        <w:rPr>
          <w:color w:val="231F20"/>
        </w:rPr>
        <w:t>du</w:t>
      </w:r>
      <w:r>
        <w:rPr>
          <w:color w:val="231F20"/>
          <w:spacing w:val="-13"/>
        </w:rPr>
        <w:t> </w:t>
      </w:r>
      <w:r>
        <w:rPr>
          <w:color w:val="231F20"/>
        </w:rPr>
        <w:t>président déchu sont en prison. Ces prisonniers de Ouattara, civils ou militaires envient le sort de leur mentor, lui au moins se trouve dans un pays qui </w:t>
      </w:r>
      <w:r>
        <w:rPr>
          <w:color w:val="231F20"/>
          <w:spacing w:val="-2"/>
        </w:rPr>
        <w:t>respecte</w:t>
      </w:r>
      <w:r>
        <w:rPr>
          <w:color w:val="231F20"/>
          <w:spacing w:val="-13"/>
        </w:rPr>
        <w:t> </w:t>
      </w:r>
      <w:r>
        <w:rPr>
          <w:color w:val="231F20"/>
          <w:spacing w:val="-2"/>
        </w:rPr>
        <w:t>les</w:t>
      </w:r>
      <w:r>
        <w:rPr>
          <w:color w:val="231F20"/>
          <w:spacing w:val="-11"/>
        </w:rPr>
        <w:t> </w:t>
      </w:r>
      <w:r>
        <w:rPr>
          <w:color w:val="231F20"/>
          <w:spacing w:val="-2"/>
        </w:rPr>
        <w:t>droits</w:t>
      </w:r>
      <w:r>
        <w:rPr>
          <w:color w:val="231F20"/>
          <w:spacing w:val="-13"/>
        </w:rPr>
        <w:t> </w:t>
      </w:r>
      <w:r>
        <w:rPr>
          <w:color w:val="231F20"/>
          <w:spacing w:val="-2"/>
        </w:rPr>
        <w:t>de</w:t>
      </w:r>
      <w:r>
        <w:rPr>
          <w:color w:val="231F20"/>
          <w:spacing w:val="-12"/>
        </w:rPr>
        <w:t> </w:t>
      </w:r>
      <w:r>
        <w:rPr>
          <w:color w:val="231F20"/>
          <w:spacing w:val="-2"/>
        </w:rPr>
        <w:t>l’homme.</w:t>
      </w:r>
      <w:r>
        <w:rPr>
          <w:color w:val="231F20"/>
          <w:spacing w:val="-13"/>
        </w:rPr>
        <w:t> </w:t>
      </w:r>
      <w:r>
        <w:rPr>
          <w:color w:val="231F20"/>
          <w:spacing w:val="-2"/>
        </w:rPr>
        <w:t>De</w:t>
      </w:r>
      <w:r>
        <w:rPr>
          <w:color w:val="231F20"/>
          <w:spacing w:val="-12"/>
        </w:rPr>
        <w:t> </w:t>
      </w:r>
      <w:r>
        <w:rPr>
          <w:color w:val="231F20"/>
          <w:spacing w:val="-2"/>
        </w:rPr>
        <w:t>nombreux</w:t>
      </w:r>
      <w:r>
        <w:rPr>
          <w:color w:val="231F20"/>
          <w:spacing w:val="-13"/>
        </w:rPr>
        <w:t> </w:t>
      </w:r>
      <w:r>
        <w:rPr>
          <w:color w:val="231F20"/>
          <w:spacing w:val="-2"/>
        </w:rPr>
        <w:t>autres</w:t>
      </w:r>
      <w:r>
        <w:rPr>
          <w:color w:val="231F20"/>
          <w:spacing w:val="-12"/>
        </w:rPr>
        <w:t> </w:t>
      </w:r>
      <w:r>
        <w:rPr>
          <w:color w:val="231F20"/>
          <w:spacing w:val="-2"/>
        </w:rPr>
        <w:t>partisans</w:t>
      </w:r>
      <w:r>
        <w:rPr>
          <w:color w:val="231F20"/>
          <w:spacing w:val="-12"/>
        </w:rPr>
        <w:t> </w:t>
      </w:r>
      <w:r>
        <w:rPr>
          <w:color w:val="231F20"/>
          <w:spacing w:val="-2"/>
        </w:rPr>
        <w:t>de</w:t>
      </w:r>
      <w:r>
        <w:rPr>
          <w:color w:val="231F20"/>
          <w:spacing w:val="-13"/>
        </w:rPr>
        <w:t> </w:t>
      </w:r>
      <w:r>
        <w:rPr>
          <w:color w:val="231F20"/>
          <w:spacing w:val="-2"/>
        </w:rPr>
        <w:t>Gbagbo </w:t>
      </w:r>
      <w:r>
        <w:rPr>
          <w:color w:val="231F20"/>
        </w:rPr>
        <w:t>qui</w:t>
      </w:r>
      <w:r>
        <w:rPr>
          <w:color w:val="231F20"/>
          <w:spacing w:val="-15"/>
        </w:rPr>
        <w:t> </w:t>
      </w:r>
      <w:r>
        <w:rPr>
          <w:color w:val="231F20"/>
        </w:rPr>
        <w:t>ont</w:t>
      </w:r>
      <w:r>
        <w:rPr>
          <w:color w:val="231F20"/>
          <w:spacing w:val="-14"/>
        </w:rPr>
        <w:t> </w:t>
      </w:r>
      <w:r>
        <w:rPr>
          <w:color w:val="231F20"/>
        </w:rPr>
        <w:t>fui,</w:t>
      </w:r>
      <w:r>
        <w:rPr>
          <w:color w:val="231F20"/>
          <w:spacing w:val="-13"/>
        </w:rPr>
        <w:t> </w:t>
      </w:r>
      <w:r>
        <w:rPr>
          <w:color w:val="231F20"/>
        </w:rPr>
        <w:t>en</w:t>
      </w:r>
      <w:r>
        <w:rPr>
          <w:color w:val="231F20"/>
          <w:spacing w:val="-13"/>
        </w:rPr>
        <w:t> </w:t>
      </w:r>
      <w:r>
        <w:rPr>
          <w:color w:val="231F20"/>
        </w:rPr>
        <w:t>exil</w:t>
      </w:r>
      <w:r>
        <w:rPr>
          <w:color w:val="231F20"/>
          <w:spacing w:val="-13"/>
        </w:rPr>
        <w:t> </w:t>
      </w:r>
      <w:r>
        <w:rPr>
          <w:color w:val="231F20"/>
        </w:rPr>
        <w:t>au</w:t>
      </w:r>
      <w:r>
        <w:rPr>
          <w:color w:val="231F20"/>
          <w:spacing w:val="-13"/>
        </w:rPr>
        <w:t> </w:t>
      </w:r>
      <w:r>
        <w:rPr>
          <w:color w:val="231F20"/>
        </w:rPr>
        <w:t>Ghana</w:t>
      </w:r>
      <w:r>
        <w:rPr>
          <w:color w:val="231F20"/>
          <w:spacing w:val="-13"/>
        </w:rPr>
        <w:t> </w:t>
      </w:r>
      <w:r>
        <w:rPr>
          <w:color w:val="231F20"/>
        </w:rPr>
        <w:t>ou</w:t>
      </w:r>
      <w:r>
        <w:rPr>
          <w:color w:val="231F20"/>
          <w:spacing w:val="-13"/>
        </w:rPr>
        <w:t> </w:t>
      </w:r>
      <w:r>
        <w:rPr>
          <w:color w:val="231F20"/>
        </w:rPr>
        <w:t>au</w:t>
      </w:r>
      <w:r>
        <w:rPr>
          <w:color w:val="231F20"/>
          <w:spacing w:val="-13"/>
        </w:rPr>
        <w:t> </w:t>
      </w:r>
      <w:r>
        <w:rPr>
          <w:color w:val="231F20"/>
        </w:rPr>
        <w:t>Togo</w:t>
      </w:r>
      <w:r>
        <w:rPr>
          <w:color w:val="231F20"/>
          <w:spacing w:val="-12"/>
        </w:rPr>
        <w:t> </w:t>
      </w:r>
      <w:r>
        <w:rPr>
          <w:color w:val="231F20"/>
        </w:rPr>
        <w:t>ont</w:t>
      </w:r>
      <w:r>
        <w:rPr>
          <w:color w:val="231F20"/>
          <w:spacing w:val="-13"/>
        </w:rPr>
        <w:t> </w:t>
      </w:r>
      <w:r>
        <w:rPr>
          <w:color w:val="231F20"/>
        </w:rPr>
        <w:t>leurs</w:t>
      </w:r>
      <w:r>
        <w:rPr>
          <w:color w:val="231F20"/>
          <w:spacing w:val="-13"/>
        </w:rPr>
        <w:t> </w:t>
      </w:r>
      <w:r>
        <w:rPr>
          <w:color w:val="231F20"/>
        </w:rPr>
        <w:t>comptes</w:t>
      </w:r>
      <w:r>
        <w:rPr>
          <w:color w:val="231F20"/>
          <w:spacing w:val="-13"/>
        </w:rPr>
        <w:t> </w:t>
      </w:r>
      <w:r>
        <w:rPr>
          <w:color w:val="231F20"/>
        </w:rPr>
        <w:t>gelés</w:t>
      </w:r>
      <w:r>
        <w:rPr>
          <w:color w:val="231F20"/>
          <w:spacing w:val="-15"/>
        </w:rPr>
        <w:t> </w:t>
      </w:r>
      <w:r>
        <w:rPr>
          <w:color w:val="231F20"/>
        </w:rPr>
        <w:t>:</w:t>
      </w:r>
      <w:r>
        <w:rPr>
          <w:color w:val="231F20"/>
          <w:spacing w:val="-12"/>
        </w:rPr>
        <w:t> </w:t>
      </w:r>
      <w:r>
        <w:rPr>
          <w:color w:val="231F20"/>
        </w:rPr>
        <w:t>privés d’argent,</w:t>
      </w:r>
      <w:r>
        <w:rPr>
          <w:color w:val="231F20"/>
          <w:spacing w:val="-7"/>
        </w:rPr>
        <w:t> </w:t>
      </w:r>
      <w:r>
        <w:rPr>
          <w:color w:val="231F20"/>
        </w:rPr>
        <w:t>dans</w:t>
      </w:r>
      <w:r>
        <w:rPr>
          <w:color w:val="231F20"/>
          <w:spacing w:val="-6"/>
        </w:rPr>
        <w:t> </w:t>
      </w:r>
      <w:r>
        <w:rPr>
          <w:color w:val="231F20"/>
        </w:rPr>
        <w:t>l’impossibilité</w:t>
      </w:r>
      <w:r>
        <w:rPr>
          <w:color w:val="231F20"/>
          <w:spacing w:val="-7"/>
        </w:rPr>
        <w:t> </w:t>
      </w:r>
      <w:r>
        <w:rPr>
          <w:color w:val="231F20"/>
        </w:rPr>
        <w:t>de</w:t>
      </w:r>
      <w:r>
        <w:rPr>
          <w:color w:val="231F20"/>
          <w:spacing w:val="-7"/>
        </w:rPr>
        <w:t> </w:t>
      </w:r>
      <w:r>
        <w:rPr>
          <w:color w:val="231F20"/>
        </w:rPr>
        <w:t>vivre</w:t>
      </w:r>
      <w:r>
        <w:rPr>
          <w:color w:val="231F20"/>
          <w:spacing w:val="-7"/>
        </w:rPr>
        <w:t> </w:t>
      </w:r>
      <w:r>
        <w:rPr>
          <w:color w:val="231F20"/>
        </w:rPr>
        <w:t>décemment,</w:t>
      </w:r>
      <w:r>
        <w:rPr>
          <w:color w:val="231F20"/>
          <w:spacing w:val="-8"/>
        </w:rPr>
        <w:t> </w:t>
      </w:r>
      <w:r>
        <w:rPr>
          <w:color w:val="231F20"/>
        </w:rPr>
        <w:t>ils</w:t>
      </w:r>
      <w:r>
        <w:rPr>
          <w:color w:val="231F20"/>
          <w:spacing w:val="-6"/>
        </w:rPr>
        <w:t> </w:t>
      </w:r>
      <w:r>
        <w:rPr>
          <w:color w:val="231F20"/>
        </w:rPr>
        <w:t>sont</w:t>
      </w:r>
      <w:r>
        <w:rPr>
          <w:color w:val="231F20"/>
          <w:spacing w:val="-6"/>
        </w:rPr>
        <w:t> </w:t>
      </w:r>
      <w:r>
        <w:rPr>
          <w:color w:val="231F20"/>
        </w:rPr>
        <w:t>décimés</w:t>
      </w:r>
      <w:r>
        <w:rPr>
          <w:color w:val="231F20"/>
          <w:spacing w:val="-7"/>
        </w:rPr>
        <w:t> </w:t>
      </w:r>
      <w:r>
        <w:rPr>
          <w:color w:val="231F20"/>
        </w:rPr>
        <w:t>par diverses</w:t>
      </w:r>
      <w:r>
        <w:rPr>
          <w:color w:val="231F20"/>
          <w:spacing w:val="-6"/>
        </w:rPr>
        <w:t> </w:t>
      </w:r>
      <w:r>
        <w:rPr>
          <w:color w:val="231F20"/>
        </w:rPr>
        <w:t>affections.</w:t>
      </w:r>
      <w:r>
        <w:rPr>
          <w:color w:val="231F20"/>
          <w:spacing w:val="-15"/>
        </w:rPr>
        <w:t> </w:t>
      </w:r>
      <w:r>
        <w:rPr>
          <w:color w:val="231F20"/>
        </w:rPr>
        <w:t>Au 15</w:t>
      </w:r>
      <w:r>
        <w:rPr>
          <w:color w:val="231F20"/>
          <w:spacing w:val="-15"/>
        </w:rPr>
        <w:t> </w:t>
      </w:r>
      <w:r>
        <w:rPr>
          <w:color w:val="231F20"/>
        </w:rPr>
        <w:t>avril</w:t>
      </w:r>
      <w:r>
        <w:rPr>
          <w:color w:val="231F20"/>
          <w:spacing w:val="-15"/>
        </w:rPr>
        <w:t> </w:t>
      </w:r>
      <w:r>
        <w:rPr>
          <w:color w:val="231F20"/>
        </w:rPr>
        <w:t>2015, le nombre de réfugiés ivoiriens à l’extérieur du pays reste élevé</w:t>
      </w:r>
      <w:r>
        <w:rPr>
          <w:color w:val="231F20"/>
          <w:spacing w:val="-12"/>
        </w:rPr>
        <w:t> </w:t>
      </w:r>
      <w:r>
        <w:rPr>
          <w:color w:val="231F20"/>
        </w:rPr>
        <w:t>selon le HCR</w:t>
      </w:r>
      <w:r>
        <w:rPr>
          <w:color w:val="231F20"/>
          <w:spacing w:val="-11"/>
        </w:rPr>
        <w:t> </w:t>
      </w:r>
      <w:r>
        <w:rPr>
          <w:color w:val="231F20"/>
        </w:rPr>
        <w:t>: 59</w:t>
      </w:r>
      <w:r>
        <w:rPr>
          <w:color w:val="231F20"/>
          <w:spacing w:val="-14"/>
        </w:rPr>
        <w:t> </w:t>
      </w:r>
      <w:r>
        <w:rPr>
          <w:color w:val="231F20"/>
        </w:rPr>
        <w:t>000 dont 38</w:t>
      </w:r>
      <w:r>
        <w:rPr>
          <w:color w:val="231F20"/>
          <w:spacing w:val="-12"/>
        </w:rPr>
        <w:t> </w:t>
      </w:r>
      <w:r>
        <w:rPr>
          <w:color w:val="231F20"/>
        </w:rPr>
        <w:t>000 au Liberia,</w:t>
      </w:r>
      <w:r>
        <w:rPr>
          <w:color w:val="231F20"/>
          <w:spacing w:val="-15"/>
        </w:rPr>
        <w:t> </w:t>
      </w:r>
      <w:r>
        <w:rPr>
          <w:color w:val="231F20"/>
        </w:rPr>
        <w:t>11</w:t>
      </w:r>
      <w:r>
        <w:rPr>
          <w:color w:val="231F20"/>
          <w:spacing w:val="-15"/>
        </w:rPr>
        <w:t> </w:t>
      </w:r>
      <w:r>
        <w:rPr>
          <w:color w:val="231F20"/>
        </w:rPr>
        <w:t>500</w:t>
      </w:r>
      <w:r>
        <w:rPr>
          <w:color w:val="231F20"/>
          <w:spacing w:val="-15"/>
        </w:rPr>
        <w:t> </w:t>
      </w:r>
      <w:r>
        <w:rPr>
          <w:color w:val="231F20"/>
        </w:rPr>
        <w:t>au</w:t>
      </w:r>
      <w:r>
        <w:rPr>
          <w:color w:val="231F20"/>
          <w:spacing w:val="-15"/>
        </w:rPr>
        <w:t> </w:t>
      </w:r>
      <w:r>
        <w:rPr>
          <w:color w:val="231F20"/>
        </w:rPr>
        <w:t>Ghana</w:t>
      </w:r>
      <w:r>
        <w:rPr>
          <w:color w:val="231F20"/>
          <w:spacing w:val="-15"/>
        </w:rPr>
        <w:t> </w:t>
      </w:r>
      <w:r>
        <w:rPr>
          <w:color w:val="231F20"/>
        </w:rPr>
        <w:t>et</w:t>
      </w:r>
      <w:r>
        <w:rPr>
          <w:color w:val="231F20"/>
          <w:spacing w:val="-15"/>
        </w:rPr>
        <w:t> </w:t>
      </w:r>
      <w:r>
        <w:rPr>
          <w:color w:val="231F20"/>
        </w:rPr>
        <w:t>6</w:t>
      </w:r>
      <w:r>
        <w:rPr>
          <w:color w:val="231F20"/>
          <w:spacing w:val="-15"/>
        </w:rPr>
        <w:t> </w:t>
      </w:r>
      <w:r>
        <w:rPr>
          <w:color w:val="231F20"/>
        </w:rPr>
        <w:t>500</w:t>
      </w:r>
      <w:r>
        <w:rPr>
          <w:color w:val="231F20"/>
          <w:spacing w:val="-15"/>
        </w:rPr>
        <w:t> </w:t>
      </w:r>
      <w:r>
        <w:rPr>
          <w:color w:val="231F20"/>
        </w:rPr>
        <w:t>en</w:t>
      </w:r>
      <w:r>
        <w:rPr>
          <w:color w:val="231F20"/>
          <w:spacing w:val="-15"/>
        </w:rPr>
        <w:t> </w:t>
      </w:r>
      <w:r>
        <w:rPr>
          <w:color w:val="231F20"/>
        </w:rPr>
        <w:t>Guinée</w:t>
      </w:r>
      <w:r>
        <w:rPr>
          <w:color w:val="231F20"/>
          <w:spacing w:val="-15"/>
        </w:rPr>
        <w:t> </w:t>
      </w:r>
      <w:r>
        <w:rPr>
          <w:color w:val="231F20"/>
        </w:rPr>
        <w:t>;</w:t>
      </w:r>
      <w:r>
        <w:rPr>
          <w:color w:val="231F20"/>
          <w:spacing w:val="-15"/>
        </w:rPr>
        <w:t> </w:t>
      </w:r>
      <w:r>
        <w:rPr>
          <w:color w:val="231F20"/>
        </w:rPr>
        <w:t>certains</w:t>
      </w:r>
      <w:r>
        <w:rPr>
          <w:color w:val="231F20"/>
          <w:spacing w:val="-15"/>
        </w:rPr>
        <w:t> </w:t>
      </w:r>
      <w:r>
        <w:rPr>
          <w:color w:val="231F20"/>
        </w:rPr>
        <w:t>autres</w:t>
      </w:r>
      <w:r>
        <w:rPr>
          <w:color w:val="231F20"/>
          <w:spacing w:val="-15"/>
        </w:rPr>
        <w:t> </w:t>
      </w:r>
      <w:r>
        <w:rPr>
          <w:color w:val="231F20"/>
        </w:rPr>
        <w:t>sont</w:t>
      </w:r>
      <w:r>
        <w:rPr>
          <w:color w:val="231F20"/>
          <w:spacing w:val="-15"/>
        </w:rPr>
        <w:t> </w:t>
      </w:r>
      <w:r>
        <w:rPr>
          <w:color w:val="231F20"/>
        </w:rPr>
        <w:t>portés </w:t>
      </w:r>
      <w:r>
        <w:rPr>
          <w:color w:val="231F20"/>
          <w:spacing w:val="-2"/>
        </w:rPr>
        <w:t>disparus.</w:t>
      </w:r>
    </w:p>
    <w:p>
      <w:pPr>
        <w:pStyle w:val="BodyText"/>
        <w:spacing w:before="121"/>
        <w:ind w:right="107" w:firstLine="283"/>
      </w:pPr>
      <w:r>
        <w:rPr>
          <w:color w:val="231F20"/>
        </w:rPr>
        <w:t>En</w:t>
      </w:r>
      <w:r>
        <w:rPr>
          <w:color w:val="231F20"/>
          <w:spacing w:val="-12"/>
        </w:rPr>
        <w:t> </w:t>
      </w:r>
      <w:r>
        <w:rPr>
          <w:color w:val="231F20"/>
        </w:rPr>
        <w:t>ce</w:t>
      </w:r>
      <w:r>
        <w:rPr>
          <w:color w:val="231F20"/>
          <w:spacing w:val="-12"/>
        </w:rPr>
        <w:t> </w:t>
      </w:r>
      <w:r>
        <w:rPr>
          <w:color w:val="231F20"/>
        </w:rPr>
        <w:t>mois</w:t>
      </w:r>
      <w:r>
        <w:rPr>
          <w:color w:val="231F20"/>
          <w:spacing w:val="-12"/>
        </w:rPr>
        <w:t> </w:t>
      </w:r>
      <w:r>
        <w:rPr>
          <w:color w:val="231F20"/>
        </w:rPr>
        <w:t>de</w:t>
      </w:r>
      <w:r>
        <w:rPr>
          <w:color w:val="231F20"/>
          <w:spacing w:val="-12"/>
        </w:rPr>
        <w:t> </w:t>
      </w:r>
      <w:r>
        <w:rPr>
          <w:color w:val="231F20"/>
        </w:rPr>
        <w:t>mars</w:t>
      </w:r>
      <w:r>
        <w:rPr>
          <w:color w:val="231F20"/>
          <w:spacing w:val="-12"/>
        </w:rPr>
        <w:t> </w:t>
      </w:r>
      <w:r>
        <w:rPr>
          <w:color w:val="231F20"/>
        </w:rPr>
        <w:t>2015,</w:t>
      </w:r>
      <w:r>
        <w:rPr>
          <w:color w:val="231F20"/>
          <w:spacing w:val="-13"/>
        </w:rPr>
        <w:t> </w:t>
      </w:r>
      <w:r>
        <w:rPr>
          <w:color w:val="231F20"/>
        </w:rPr>
        <w:t>Simone</w:t>
      </w:r>
      <w:r>
        <w:rPr>
          <w:color w:val="231F20"/>
          <w:spacing w:val="-12"/>
        </w:rPr>
        <w:t> </w:t>
      </w:r>
      <w:r>
        <w:rPr>
          <w:color w:val="231F20"/>
        </w:rPr>
        <w:t>Gbagbo</w:t>
      </w:r>
      <w:r>
        <w:rPr>
          <w:color w:val="231F20"/>
          <w:spacing w:val="-12"/>
        </w:rPr>
        <w:t> </w:t>
      </w:r>
      <w:r>
        <w:rPr>
          <w:color w:val="231F20"/>
        </w:rPr>
        <w:t>est</w:t>
      </w:r>
      <w:r>
        <w:rPr>
          <w:color w:val="231F20"/>
          <w:spacing w:val="-8"/>
        </w:rPr>
        <w:t> </w:t>
      </w:r>
      <w:r>
        <w:rPr>
          <w:color w:val="231F20"/>
        </w:rPr>
        <w:t>face</w:t>
      </w:r>
      <w:r>
        <w:rPr>
          <w:color w:val="231F20"/>
          <w:spacing w:val="-12"/>
        </w:rPr>
        <w:t> </w:t>
      </w:r>
      <w:r>
        <w:rPr>
          <w:color w:val="231F20"/>
        </w:rPr>
        <w:t>à</w:t>
      </w:r>
      <w:r>
        <w:rPr>
          <w:color w:val="231F20"/>
          <w:spacing w:val="-12"/>
        </w:rPr>
        <w:t> </w:t>
      </w:r>
      <w:r>
        <w:rPr>
          <w:color w:val="231F20"/>
        </w:rPr>
        <w:t>la</w:t>
      </w:r>
      <w:r>
        <w:rPr>
          <w:color w:val="231F20"/>
          <w:spacing w:val="-12"/>
        </w:rPr>
        <w:t> </w:t>
      </w:r>
      <w:r>
        <w:rPr>
          <w:color w:val="231F20"/>
        </w:rPr>
        <w:t>justice</w:t>
      </w:r>
      <w:r>
        <w:rPr>
          <w:color w:val="231F20"/>
          <w:spacing w:val="-12"/>
        </w:rPr>
        <w:t> </w:t>
      </w:r>
      <w:r>
        <w:rPr>
          <w:color w:val="231F20"/>
        </w:rPr>
        <w:t>de</w:t>
      </w:r>
      <w:r>
        <w:rPr>
          <w:color w:val="231F20"/>
          <w:spacing w:val="-12"/>
        </w:rPr>
        <w:t> </w:t>
      </w:r>
      <w:r>
        <w:rPr>
          <w:color w:val="231F20"/>
        </w:rPr>
        <w:t>son pays, inculpée pour « crimes contre l’État ». Elle est condamnée à une peine de vingt ans d’emprisonnement.</w:t>
      </w:r>
    </w:p>
    <w:p>
      <w:pPr>
        <w:pStyle w:val="BodyText"/>
        <w:spacing w:before="120"/>
        <w:ind w:right="103" w:firstLine="283"/>
      </w:pPr>
      <w:r>
        <w:rPr>
          <w:color w:val="231F20"/>
        </w:rPr>
        <w:t>À la veille de l’élection présidentielle du 25</w:t>
      </w:r>
      <w:r>
        <w:rPr>
          <w:color w:val="231F20"/>
          <w:spacing w:val="-11"/>
        </w:rPr>
        <w:t> </w:t>
      </w:r>
      <w:r>
        <w:rPr>
          <w:color w:val="231F20"/>
        </w:rPr>
        <w:t>octobre</w:t>
      </w:r>
      <w:r>
        <w:rPr>
          <w:color w:val="231F20"/>
          <w:spacing w:val="-14"/>
        </w:rPr>
        <w:t> </w:t>
      </w:r>
      <w:r>
        <w:rPr>
          <w:color w:val="231F20"/>
        </w:rPr>
        <w:t>2015, 5</w:t>
      </w:r>
      <w:r>
        <w:rPr>
          <w:color w:val="231F20"/>
          <w:spacing w:val="-13"/>
        </w:rPr>
        <w:t> </w:t>
      </w:r>
      <w:r>
        <w:rPr>
          <w:color w:val="231F20"/>
        </w:rPr>
        <w:t>500 casques bleus de l’ONUCI sur l’effectif de 8</w:t>
      </w:r>
      <w:r>
        <w:rPr>
          <w:color w:val="231F20"/>
          <w:spacing w:val="-15"/>
        </w:rPr>
        <w:t> </w:t>
      </w:r>
      <w:r>
        <w:rPr>
          <w:color w:val="231F20"/>
        </w:rPr>
        <w:t>500 en 2010, sont encore </w:t>
      </w:r>
      <w:r>
        <w:rPr>
          <w:color w:val="231F20"/>
          <w:spacing w:val="-2"/>
        </w:rPr>
        <w:t>présents</w:t>
      </w:r>
      <w:r>
        <w:rPr>
          <w:color w:val="231F20"/>
          <w:spacing w:val="-13"/>
        </w:rPr>
        <w:t> </w:t>
      </w:r>
      <w:r>
        <w:rPr>
          <w:color w:val="231F20"/>
          <w:spacing w:val="-2"/>
        </w:rPr>
        <w:t>en</w:t>
      </w:r>
      <w:r>
        <w:rPr>
          <w:color w:val="231F20"/>
          <w:spacing w:val="-13"/>
        </w:rPr>
        <w:t> </w:t>
      </w:r>
      <w:r>
        <w:rPr>
          <w:color w:val="231F20"/>
          <w:spacing w:val="-2"/>
        </w:rPr>
        <w:t>Côte</w:t>
      </w:r>
      <w:r>
        <w:rPr>
          <w:color w:val="231F20"/>
          <w:spacing w:val="-13"/>
        </w:rPr>
        <w:t> </w:t>
      </w:r>
      <w:r>
        <w:rPr>
          <w:color w:val="231F20"/>
          <w:spacing w:val="-2"/>
        </w:rPr>
        <w:t>d’ivoire.</w:t>
      </w:r>
      <w:r>
        <w:rPr>
          <w:color w:val="231F20"/>
          <w:spacing w:val="-13"/>
        </w:rPr>
        <w:t> </w:t>
      </w:r>
      <w:r>
        <w:rPr>
          <w:color w:val="231F20"/>
          <w:spacing w:val="-2"/>
        </w:rPr>
        <w:t>La</w:t>
      </w:r>
      <w:r>
        <w:rPr>
          <w:color w:val="231F20"/>
          <w:spacing w:val="-13"/>
        </w:rPr>
        <w:t> </w:t>
      </w:r>
      <w:r>
        <w:rPr>
          <w:color w:val="231F20"/>
          <w:spacing w:val="-2"/>
        </w:rPr>
        <w:t>présence</w:t>
      </w:r>
      <w:r>
        <w:rPr>
          <w:color w:val="231F20"/>
          <w:spacing w:val="-13"/>
        </w:rPr>
        <w:t> </w:t>
      </w:r>
      <w:r>
        <w:rPr>
          <w:color w:val="231F20"/>
          <w:spacing w:val="-2"/>
        </w:rPr>
        <w:t>des</w:t>
      </w:r>
      <w:r>
        <w:rPr>
          <w:color w:val="231F20"/>
          <w:spacing w:val="-13"/>
        </w:rPr>
        <w:t> </w:t>
      </w:r>
      <w:r>
        <w:rPr>
          <w:color w:val="231F20"/>
          <w:spacing w:val="-2"/>
        </w:rPr>
        <w:t>soldats</w:t>
      </w:r>
      <w:r>
        <w:rPr>
          <w:color w:val="231F20"/>
          <w:spacing w:val="-13"/>
        </w:rPr>
        <w:t> </w:t>
      </w:r>
      <w:r>
        <w:rPr>
          <w:color w:val="231F20"/>
          <w:spacing w:val="-2"/>
        </w:rPr>
        <w:t>de</w:t>
      </w:r>
      <w:r>
        <w:rPr>
          <w:color w:val="231F20"/>
          <w:spacing w:val="-13"/>
        </w:rPr>
        <w:t> </w:t>
      </w:r>
      <w:r>
        <w:rPr>
          <w:color w:val="231F20"/>
          <w:spacing w:val="-2"/>
        </w:rPr>
        <w:t>l’ONU</w:t>
      </w:r>
      <w:r>
        <w:rPr>
          <w:color w:val="231F20"/>
          <w:spacing w:val="-13"/>
        </w:rPr>
        <w:t> </w:t>
      </w:r>
      <w:r>
        <w:rPr>
          <w:color w:val="231F20"/>
          <w:spacing w:val="-2"/>
        </w:rPr>
        <w:t>est</w:t>
      </w:r>
      <w:r>
        <w:rPr>
          <w:color w:val="231F20"/>
          <w:spacing w:val="-11"/>
        </w:rPr>
        <w:t> </w:t>
      </w:r>
      <w:r>
        <w:rPr>
          <w:color w:val="231F20"/>
          <w:spacing w:val="-2"/>
        </w:rPr>
        <w:t>prorogée </w:t>
      </w:r>
      <w:r>
        <w:rPr>
          <w:color w:val="231F20"/>
        </w:rPr>
        <w:t>jusqu’en 2016, signe que la sécurité et la paix sont à la peine dans </w:t>
      </w:r>
      <w:r>
        <w:rPr>
          <w:color w:val="231F20"/>
          <w:spacing w:val="-2"/>
        </w:rPr>
        <w:t>l’ensemble</w:t>
      </w:r>
      <w:r>
        <w:rPr>
          <w:color w:val="231F20"/>
          <w:spacing w:val="-9"/>
        </w:rPr>
        <w:t> </w:t>
      </w:r>
      <w:r>
        <w:rPr>
          <w:color w:val="231F20"/>
          <w:spacing w:val="-2"/>
        </w:rPr>
        <w:t>du</w:t>
      </w:r>
      <w:r>
        <w:rPr>
          <w:color w:val="231F20"/>
          <w:spacing w:val="-10"/>
        </w:rPr>
        <w:t> </w:t>
      </w:r>
      <w:r>
        <w:rPr>
          <w:color w:val="231F20"/>
          <w:spacing w:val="-2"/>
        </w:rPr>
        <w:t>territoire.</w:t>
      </w:r>
      <w:r>
        <w:rPr>
          <w:color w:val="231F20"/>
          <w:spacing w:val="-10"/>
        </w:rPr>
        <w:t> </w:t>
      </w:r>
      <w:r>
        <w:rPr>
          <w:color w:val="231F20"/>
          <w:spacing w:val="-2"/>
        </w:rPr>
        <w:t>Nommés</w:t>
      </w:r>
      <w:r>
        <w:rPr>
          <w:color w:val="231F20"/>
          <w:spacing w:val="-10"/>
        </w:rPr>
        <w:t> </w:t>
      </w:r>
      <w:r>
        <w:rPr>
          <w:color w:val="231F20"/>
          <w:spacing w:val="-2"/>
        </w:rPr>
        <w:t>miliciens</w:t>
      </w:r>
      <w:r>
        <w:rPr>
          <w:color w:val="231F20"/>
          <w:spacing w:val="-10"/>
        </w:rPr>
        <w:t> </w:t>
      </w:r>
      <w:r>
        <w:rPr>
          <w:color w:val="231F20"/>
          <w:spacing w:val="-2"/>
        </w:rPr>
        <w:t>dans</w:t>
      </w:r>
      <w:r>
        <w:rPr>
          <w:color w:val="231F20"/>
          <w:spacing w:val="-10"/>
        </w:rPr>
        <w:t> </w:t>
      </w:r>
      <w:r>
        <w:rPr>
          <w:color w:val="231F20"/>
          <w:spacing w:val="-2"/>
        </w:rPr>
        <w:t>le</w:t>
      </w:r>
      <w:r>
        <w:rPr>
          <w:color w:val="231F20"/>
          <w:spacing w:val="-9"/>
        </w:rPr>
        <w:t> </w:t>
      </w:r>
      <w:r>
        <w:rPr>
          <w:color w:val="231F20"/>
          <w:spacing w:val="-2"/>
        </w:rPr>
        <w:t>camp</w:t>
      </w:r>
      <w:r>
        <w:rPr>
          <w:color w:val="231F20"/>
          <w:spacing w:val="-8"/>
        </w:rPr>
        <w:t> </w:t>
      </w:r>
      <w:r>
        <w:rPr>
          <w:color w:val="231F20"/>
          <w:spacing w:val="-2"/>
        </w:rPr>
        <w:t>de</w:t>
      </w:r>
      <w:r>
        <w:rPr>
          <w:color w:val="231F20"/>
          <w:spacing w:val="-11"/>
        </w:rPr>
        <w:t> </w:t>
      </w:r>
      <w:r>
        <w:rPr>
          <w:color w:val="231F20"/>
          <w:spacing w:val="-2"/>
        </w:rPr>
        <w:t>l’ex-chef</w:t>
      </w:r>
      <w:r>
        <w:rPr>
          <w:color w:val="231F20"/>
          <w:spacing w:val="-8"/>
        </w:rPr>
        <w:t> </w:t>
      </w:r>
      <w:r>
        <w:rPr>
          <w:color w:val="231F20"/>
          <w:spacing w:val="-2"/>
        </w:rPr>
        <w:t>de l’État</w:t>
      </w:r>
      <w:r>
        <w:rPr>
          <w:color w:val="231F20"/>
          <w:spacing w:val="-8"/>
        </w:rPr>
        <w:t> </w:t>
      </w:r>
      <w:r>
        <w:rPr>
          <w:color w:val="231F20"/>
          <w:spacing w:val="-2"/>
        </w:rPr>
        <w:t>et</w:t>
      </w:r>
      <w:r>
        <w:rPr>
          <w:color w:val="231F20"/>
          <w:spacing w:val="-8"/>
        </w:rPr>
        <w:t> </w:t>
      </w:r>
      <w:r>
        <w:rPr>
          <w:color w:val="231F20"/>
          <w:spacing w:val="-2"/>
        </w:rPr>
        <w:t>combattants</w:t>
      </w:r>
      <w:r>
        <w:rPr>
          <w:color w:val="231F20"/>
          <w:spacing w:val="-8"/>
        </w:rPr>
        <w:t> </w:t>
      </w:r>
      <w:r>
        <w:rPr>
          <w:color w:val="231F20"/>
          <w:spacing w:val="-2"/>
        </w:rPr>
        <w:t>dans</w:t>
      </w:r>
      <w:r>
        <w:rPr>
          <w:color w:val="231F20"/>
          <w:spacing w:val="-10"/>
        </w:rPr>
        <w:t> </w:t>
      </w:r>
      <w:r>
        <w:rPr>
          <w:color w:val="231F20"/>
          <w:spacing w:val="-2"/>
        </w:rPr>
        <w:t>celui</w:t>
      </w:r>
      <w:r>
        <w:rPr>
          <w:color w:val="231F20"/>
          <w:spacing w:val="-8"/>
        </w:rPr>
        <w:t> </w:t>
      </w:r>
      <w:r>
        <w:rPr>
          <w:color w:val="231F20"/>
          <w:spacing w:val="-2"/>
        </w:rPr>
        <w:t>du</w:t>
      </w:r>
      <w:r>
        <w:rPr>
          <w:color w:val="231F20"/>
          <w:spacing w:val="-8"/>
        </w:rPr>
        <w:t> </w:t>
      </w:r>
      <w:r>
        <w:rPr>
          <w:color w:val="231F20"/>
          <w:spacing w:val="-2"/>
        </w:rPr>
        <w:t>nouveau</w:t>
      </w:r>
      <w:r>
        <w:rPr>
          <w:color w:val="231F20"/>
          <w:spacing w:val="-8"/>
        </w:rPr>
        <w:t> </w:t>
      </w:r>
      <w:r>
        <w:rPr>
          <w:color w:val="231F20"/>
          <w:spacing w:val="-2"/>
        </w:rPr>
        <w:t>président,</w:t>
      </w:r>
      <w:r>
        <w:rPr>
          <w:color w:val="231F20"/>
          <w:spacing w:val="-8"/>
        </w:rPr>
        <w:t> </w:t>
      </w:r>
      <w:r>
        <w:rPr>
          <w:color w:val="231F20"/>
          <w:spacing w:val="-2"/>
        </w:rPr>
        <w:t>ceux</w:t>
      </w:r>
      <w:r>
        <w:rPr>
          <w:color w:val="231F20"/>
          <w:spacing w:val="-8"/>
        </w:rPr>
        <w:t> </w:t>
      </w:r>
      <w:r>
        <w:rPr>
          <w:color w:val="231F20"/>
          <w:spacing w:val="-2"/>
        </w:rPr>
        <w:t>qui</w:t>
      </w:r>
      <w:r>
        <w:rPr>
          <w:color w:val="231F20"/>
          <w:spacing w:val="-9"/>
        </w:rPr>
        <w:t> </w:t>
      </w:r>
      <w:r>
        <w:rPr>
          <w:color w:val="231F20"/>
          <w:spacing w:val="-2"/>
        </w:rPr>
        <w:t>ont</w:t>
      </w:r>
      <w:r>
        <w:rPr>
          <w:color w:val="231F20"/>
          <w:spacing w:val="-7"/>
        </w:rPr>
        <w:t> </w:t>
      </w:r>
      <w:r>
        <w:rPr>
          <w:color w:val="231F20"/>
          <w:spacing w:val="-2"/>
        </w:rPr>
        <w:t>porté </w:t>
      </w:r>
      <w:r>
        <w:rPr>
          <w:color w:val="231F20"/>
        </w:rPr>
        <w:t>des armes pendant la longue crise de 2002 à 2010 n’ont pas tous été désarmés</w:t>
      </w:r>
      <w:r>
        <w:rPr>
          <w:color w:val="231F20"/>
          <w:spacing w:val="-15"/>
        </w:rPr>
        <w:t> </w:t>
      </w:r>
      <w:r>
        <w:rPr>
          <w:color w:val="231F20"/>
        </w:rPr>
        <w:t>: des milliers d’entre eux ont gardé au moins, une arme et en vivent : braqueurs, coupeurs de route.</w:t>
      </w:r>
    </w:p>
    <w:p>
      <w:pPr>
        <w:pStyle w:val="BodyText"/>
        <w:spacing w:before="121"/>
        <w:ind w:right="107" w:firstLine="283"/>
      </w:pPr>
      <w:r>
        <w:rPr>
          <w:color w:val="231F20"/>
          <w:spacing w:val="-2"/>
        </w:rPr>
        <w:t>Le</w:t>
      </w:r>
      <w:r>
        <w:rPr>
          <w:color w:val="231F20"/>
          <w:spacing w:val="-13"/>
        </w:rPr>
        <w:t> </w:t>
      </w:r>
      <w:r>
        <w:rPr>
          <w:color w:val="231F20"/>
          <w:spacing w:val="-2"/>
        </w:rPr>
        <w:t>scrutin</w:t>
      </w:r>
      <w:r>
        <w:rPr>
          <w:color w:val="231F20"/>
          <w:spacing w:val="-13"/>
        </w:rPr>
        <w:t> </w:t>
      </w:r>
      <w:r>
        <w:rPr>
          <w:color w:val="231F20"/>
          <w:spacing w:val="-2"/>
        </w:rPr>
        <w:t>était</w:t>
      </w:r>
      <w:r>
        <w:rPr>
          <w:color w:val="231F20"/>
          <w:spacing w:val="-13"/>
        </w:rPr>
        <w:t> </w:t>
      </w:r>
      <w:r>
        <w:rPr>
          <w:color w:val="231F20"/>
          <w:spacing w:val="-2"/>
        </w:rPr>
        <w:t>donc</w:t>
      </w:r>
      <w:r>
        <w:rPr>
          <w:color w:val="231F20"/>
          <w:spacing w:val="-13"/>
        </w:rPr>
        <w:t> </w:t>
      </w:r>
      <w:r>
        <w:rPr>
          <w:color w:val="231F20"/>
          <w:spacing w:val="-2"/>
        </w:rPr>
        <w:t>attendu</w:t>
      </w:r>
      <w:r>
        <w:rPr>
          <w:color w:val="231F20"/>
          <w:spacing w:val="-13"/>
        </w:rPr>
        <w:t> </w:t>
      </w:r>
      <w:r>
        <w:rPr>
          <w:color w:val="231F20"/>
          <w:spacing w:val="-2"/>
        </w:rPr>
        <w:t>avec</w:t>
      </w:r>
      <w:r>
        <w:rPr>
          <w:color w:val="231F20"/>
          <w:spacing w:val="-13"/>
        </w:rPr>
        <w:t> </w:t>
      </w:r>
      <w:r>
        <w:rPr>
          <w:color w:val="231F20"/>
          <w:spacing w:val="-2"/>
        </w:rPr>
        <w:t>inquiétude,</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fois</w:t>
      </w:r>
      <w:r>
        <w:rPr>
          <w:color w:val="231F20"/>
          <w:spacing w:val="-13"/>
        </w:rPr>
        <w:t> </w:t>
      </w:r>
      <w:r>
        <w:rPr>
          <w:color w:val="231F20"/>
          <w:spacing w:val="-2"/>
        </w:rPr>
        <w:t>par</w:t>
      </w:r>
      <w:r>
        <w:rPr>
          <w:color w:val="231F20"/>
          <w:spacing w:val="-13"/>
        </w:rPr>
        <w:t> </w:t>
      </w:r>
      <w:r>
        <w:rPr>
          <w:color w:val="231F20"/>
          <w:spacing w:val="-2"/>
        </w:rPr>
        <w:t>les</w:t>
      </w:r>
      <w:r>
        <w:rPr>
          <w:color w:val="231F20"/>
          <w:spacing w:val="-13"/>
        </w:rPr>
        <w:t> </w:t>
      </w:r>
      <w:r>
        <w:rPr>
          <w:color w:val="231F20"/>
          <w:spacing w:val="-2"/>
        </w:rPr>
        <w:t>électeurs </w:t>
      </w:r>
      <w:r>
        <w:rPr>
          <w:color w:val="231F20"/>
        </w:rPr>
        <w:t>ivoiriens</w:t>
      </w:r>
      <w:r>
        <w:rPr>
          <w:color w:val="231F20"/>
          <w:spacing w:val="-1"/>
        </w:rPr>
        <w:t> </w:t>
      </w:r>
      <w:r>
        <w:rPr>
          <w:color w:val="231F20"/>
        </w:rPr>
        <w:t>et par</w:t>
      </w:r>
      <w:r>
        <w:rPr>
          <w:color w:val="231F20"/>
          <w:spacing w:val="-1"/>
        </w:rPr>
        <w:t> </w:t>
      </w:r>
      <w:r>
        <w:rPr>
          <w:color w:val="231F20"/>
        </w:rPr>
        <w:t>la Communauté internationale.</w:t>
      </w:r>
    </w:p>
    <w:p>
      <w:pPr>
        <w:pStyle w:val="BodyText"/>
        <w:spacing w:before="120"/>
        <w:ind w:left="395"/>
      </w:pPr>
      <w:r>
        <w:rPr>
          <w:color w:val="231F20"/>
          <w:spacing w:val="-2"/>
        </w:rPr>
        <w:t>Le</w:t>
      </w:r>
      <w:r>
        <w:rPr>
          <w:color w:val="231F20"/>
          <w:spacing w:val="-12"/>
        </w:rPr>
        <w:t> </w:t>
      </w:r>
      <w:r>
        <w:rPr>
          <w:color w:val="231F20"/>
          <w:spacing w:val="-2"/>
        </w:rPr>
        <w:t>25</w:t>
      </w:r>
      <w:r>
        <w:rPr>
          <w:color w:val="231F20"/>
          <w:spacing w:val="-8"/>
        </w:rPr>
        <w:t> </w:t>
      </w:r>
      <w:r>
        <w:rPr>
          <w:color w:val="231F20"/>
          <w:spacing w:val="-2"/>
        </w:rPr>
        <w:t>octobre</w:t>
      </w:r>
      <w:r>
        <w:rPr>
          <w:color w:val="231F20"/>
          <w:spacing w:val="-10"/>
        </w:rPr>
        <w:t> </w:t>
      </w:r>
      <w:r>
        <w:rPr>
          <w:color w:val="231F20"/>
          <w:spacing w:val="-2"/>
        </w:rPr>
        <w:t>2015,</w:t>
      </w:r>
      <w:r>
        <w:rPr>
          <w:color w:val="231F20"/>
          <w:spacing w:val="-11"/>
        </w:rPr>
        <w:t> </w:t>
      </w:r>
      <w:r>
        <w:rPr>
          <w:color w:val="231F20"/>
          <w:spacing w:val="-2"/>
        </w:rPr>
        <w:t>les</w:t>
      </w:r>
      <w:r>
        <w:rPr>
          <w:color w:val="231F20"/>
          <w:spacing w:val="-12"/>
        </w:rPr>
        <w:t> </w:t>
      </w:r>
      <w:r>
        <w:rPr>
          <w:color w:val="231F20"/>
          <w:spacing w:val="-2"/>
        </w:rPr>
        <w:t>ivoiriens</w:t>
      </w:r>
      <w:r>
        <w:rPr>
          <w:color w:val="231F20"/>
          <w:spacing w:val="-8"/>
        </w:rPr>
        <w:t> </w:t>
      </w:r>
      <w:r>
        <w:rPr>
          <w:color w:val="231F20"/>
          <w:spacing w:val="-2"/>
        </w:rPr>
        <w:t>sont</w:t>
      </w:r>
      <w:r>
        <w:rPr>
          <w:color w:val="231F20"/>
          <w:spacing w:val="-9"/>
        </w:rPr>
        <w:t> </w:t>
      </w:r>
      <w:r>
        <w:rPr>
          <w:color w:val="231F20"/>
          <w:spacing w:val="-2"/>
        </w:rPr>
        <w:t>appelés</w:t>
      </w:r>
      <w:r>
        <w:rPr>
          <w:color w:val="231F20"/>
          <w:spacing w:val="-9"/>
        </w:rPr>
        <w:t> </w:t>
      </w:r>
      <w:r>
        <w:rPr>
          <w:color w:val="231F20"/>
          <w:spacing w:val="-2"/>
        </w:rPr>
        <w:t>aux</w:t>
      </w:r>
      <w:r>
        <w:rPr>
          <w:color w:val="231F20"/>
          <w:spacing w:val="-9"/>
        </w:rPr>
        <w:t> </w:t>
      </w:r>
      <w:r>
        <w:rPr>
          <w:color w:val="231F20"/>
          <w:spacing w:val="-2"/>
        </w:rPr>
        <w:t>urnes.</w:t>
      </w:r>
    </w:p>
    <w:p>
      <w:pPr>
        <w:pStyle w:val="BodyText"/>
        <w:spacing w:before="120"/>
        <w:ind w:right="106" w:firstLine="283"/>
      </w:pPr>
      <w:r>
        <w:rPr>
          <w:color w:val="231F20"/>
        </w:rPr>
        <w:t>Sans passion, l’élection se déroule dans le calme et, face à une opposition affaiblie par les divisions et</w:t>
      </w:r>
      <w:r>
        <w:rPr>
          <w:color w:val="231F20"/>
          <w:spacing w:val="-2"/>
        </w:rPr>
        <w:t> </w:t>
      </w:r>
      <w:r>
        <w:rPr>
          <w:color w:val="231F20"/>
        </w:rPr>
        <w:t>muselée,</w:t>
      </w:r>
      <w:r>
        <w:rPr>
          <w:color w:val="231F20"/>
          <w:spacing w:val="-2"/>
        </w:rPr>
        <w:t> </w:t>
      </w:r>
      <w:r>
        <w:rPr>
          <w:color w:val="231F20"/>
        </w:rPr>
        <w:t>Alassane Ouattara</w:t>
      </w:r>
      <w:r>
        <w:rPr>
          <w:color w:val="231F20"/>
          <w:spacing w:val="-1"/>
        </w:rPr>
        <w:t> </w:t>
      </w:r>
      <w:r>
        <w:rPr>
          <w:color w:val="231F20"/>
        </w:rPr>
        <w:t>est réélu dès le premier tour</w:t>
      </w:r>
      <w:r>
        <w:rPr>
          <w:color w:val="231F20"/>
          <w:spacing w:val="-1"/>
        </w:rPr>
        <w:t> </w:t>
      </w:r>
      <w:r>
        <w:rPr>
          <w:color w:val="231F20"/>
        </w:rPr>
        <w:t>avec 83,66</w:t>
      </w:r>
      <w:r>
        <w:rPr>
          <w:color w:val="231F20"/>
          <w:spacing w:val="-14"/>
        </w:rPr>
        <w:t> </w:t>
      </w:r>
      <w:r>
        <w:rPr>
          <w:color w:val="231F20"/>
        </w:rPr>
        <w:t>% des suffrages exprimés pour un mandat de cinq ans.</w:t>
      </w:r>
    </w:p>
    <w:p>
      <w:pPr>
        <w:pStyle w:val="BodyText"/>
        <w:spacing w:before="120"/>
        <w:ind w:right="104" w:firstLine="283"/>
      </w:pPr>
      <w:r>
        <w:rPr>
          <w:color w:val="231F20"/>
          <w:spacing w:val="-2"/>
        </w:rPr>
        <w:t>À</w:t>
      </w:r>
      <w:r>
        <w:rPr>
          <w:color w:val="231F20"/>
          <w:spacing w:val="-10"/>
        </w:rPr>
        <w:t> </w:t>
      </w:r>
      <w:r>
        <w:rPr>
          <w:color w:val="231F20"/>
          <w:spacing w:val="-2"/>
        </w:rPr>
        <w:t>la</w:t>
      </w:r>
      <w:r>
        <w:rPr>
          <w:color w:val="231F20"/>
          <w:spacing w:val="-10"/>
        </w:rPr>
        <w:t> </w:t>
      </w:r>
      <w:r>
        <w:rPr>
          <w:color w:val="231F20"/>
          <w:spacing w:val="-2"/>
        </w:rPr>
        <w:t>Haye,</w:t>
      </w:r>
      <w:r>
        <w:rPr>
          <w:color w:val="231F20"/>
          <w:spacing w:val="-12"/>
        </w:rPr>
        <w:t> </w:t>
      </w:r>
      <w:r>
        <w:rPr>
          <w:color w:val="231F20"/>
          <w:spacing w:val="-2"/>
        </w:rPr>
        <w:t>le</w:t>
      </w:r>
      <w:r>
        <w:rPr>
          <w:color w:val="231F20"/>
          <w:spacing w:val="-10"/>
        </w:rPr>
        <w:t> </w:t>
      </w:r>
      <w:r>
        <w:rPr>
          <w:color w:val="231F20"/>
          <w:spacing w:val="-2"/>
        </w:rPr>
        <w:t>procès</w:t>
      </w:r>
      <w:r>
        <w:rPr>
          <w:color w:val="231F20"/>
          <w:spacing w:val="-9"/>
        </w:rPr>
        <w:t> </w:t>
      </w:r>
      <w:r>
        <w:rPr>
          <w:color w:val="231F20"/>
          <w:spacing w:val="-2"/>
        </w:rPr>
        <w:t>de</w:t>
      </w:r>
      <w:r>
        <w:rPr>
          <w:color w:val="231F20"/>
          <w:spacing w:val="-13"/>
        </w:rPr>
        <w:t> </w:t>
      </w:r>
      <w:r>
        <w:rPr>
          <w:color w:val="231F20"/>
          <w:spacing w:val="-2"/>
        </w:rPr>
        <w:t>Laurent</w:t>
      </w:r>
      <w:r>
        <w:rPr>
          <w:color w:val="231F20"/>
          <w:spacing w:val="-10"/>
        </w:rPr>
        <w:t> </w:t>
      </w:r>
      <w:r>
        <w:rPr>
          <w:color w:val="231F20"/>
          <w:spacing w:val="-2"/>
        </w:rPr>
        <w:t>Gbagbo</w:t>
      </w:r>
      <w:r>
        <w:rPr>
          <w:color w:val="231F20"/>
          <w:spacing w:val="-12"/>
        </w:rPr>
        <w:t> </w:t>
      </w:r>
      <w:r>
        <w:rPr>
          <w:color w:val="231F20"/>
          <w:spacing w:val="-2"/>
        </w:rPr>
        <w:t>et</w:t>
      </w:r>
      <w:r>
        <w:rPr>
          <w:color w:val="231F20"/>
          <w:spacing w:val="-12"/>
        </w:rPr>
        <w:t> </w:t>
      </w:r>
      <w:r>
        <w:rPr>
          <w:color w:val="231F20"/>
          <w:spacing w:val="-2"/>
        </w:rPr>
        <w:t>Charles</w:t>
      </w:r>
      <w:r>
        <w:rPr>
          <w:color w:val="231F20"/>
          <w:spacing w:val="-12"/>
        </w:rPr>
        <w:t> </w:t>
      </w:r>
      <w:r>
        <w:rPr>
          <w:color w:val="231F20"/>
          <w:spacing w:val="-2"/>
        </w:rPr>
        <w:t>Blé</w:t>
      </w:r>
      <w:r>
        <w:rPr>
          <w:color w:val="231F20"/>
          <w:spacing w:val="-10"/>
        </w:rPr>
        <w:t> </w:t>
      </w:r>
      <w:r>
        <w:rPr>
          <w:color w:val="231F20"/>
          <w:spacing w:val="-2"/>
        </w:rPr>
        <w:t>Goudé</w:t>
      </w:r>
      <w:r>
        <w:rPr>
          <w:color w:val="231F20"/>
          <w:spacing w:val="-13"/>
        </w:rPr>
        <w:t> </w:t>
      </w:r>
      <w:r>
        <w:rPr>
          <w:color w:val="231F20"/>
          <w:spacing w:val="-2"/>
        </w:rPr>
        <w:t>s'ouvre le</w:t>
      </w:r>
      <w:r>
        <w:rPr>
          <w:color w:val="231F20"/>
          <w:spacing w:val="-12"/>
        </w:rPr>
        <w:t> </w:t>
      </w:r>
      <w:r>
        <w:rPr>
          <w:color w:val="231F20"/>
          <w:spacing w:val="-2"/>
        </w:rPr>
        <w:t>28</w:t>
      </w:r>
      <w:r>
        <w:rPr>
          <w:color w:val="231F20"/>
          <w:spacing w:val="-13"/>
        </w:rPr>
        <w:t> </w:t>
      </w:r>
      <w:r>
        <w:rPr>
          <w:color w:val="231F20"/>
          <w:spacing w:val="-2"/>
        </w:rPr>
        <w:t>janvier</w:t>
      </w:r>
      <w:r>
        <w:rPr>
          <w:color w:val="231F20"/>
          <w:spacing w:val="-12"/>
        </w:rPr>
        <w:t> </w:t>
      </w:r>
      <w:r>
        <w:rPr>
          <w:color w:val="231F20"/>
          <w:spacing w:val="-2"/>
        </w:rPr>
        <w:t>2016.</w:t>
      </w:r>
      <w:r>
        <w:rPr>
          <w:color w:val="231F20"/>
          <w:spacing w:val="-13"/>
        </w:rPr>
        <w:t> </w:t>
      </w:r>
      <w:r>
        <w:rPr>
          <w:color w:val="231F20"/>
          <w:spacing w:val="-2"/>
        </w:rPr>
        <w:t>La</w:t>
      </w:r>
      <w:r>
        <w:rPr>
          <w:color w:val="231F20"/>
          <w:spacing w:val="-12"/>
        </w:rPr>
        <w:t> </w:t>
      </w:r>
      <w:r>
        <w:rPr>
          <w:color w:val="231F20"/>
          <w:spacing w:val="-2"/>
        </w:rPr>
        <w:t>procureure</w:t>
      </w:r>
      <w:r>
        <w:rPr>
          <w:color w:val="231F20"/>
          <w:spacing w:val="-13"/>
        </w:rPr>
        <w:t> </w:t>
      </w:r>
      <w:r>
        <w:rPr>
          <w:color w:val="231F20"/>
          <w:spacing w:val="-2"/>
        </w:rPr>
        <w:t>Fatou</w:t>
      </w:r>
      <w:r>
        <w:rPr>
          <w:color w:val="231F20"/>
          <w:spacing w:val="-13"/>
        </w:rPr>
        <w:t> </w:t>
      </w:r>
      <w:r>
        <w:rPr>
          <w:color w:val="231F20"/>
          <w:spacing w:val="-2"/>
        </w:rPr>
        <w:t>Bensouda,</w:t>
      </w:r>
      <w:r>
        <w:rPr>
          <w:color w:val="231F20"/>
          <w:spacing w:val="-6"/>
        </w:rPr>
        <w:t> </w:t>
      </w:r>
      <w:r>
        <w:rPr>
          <w:color w:val="231F20"/>
          <w:spacing w:val="-2"/>
        </w:rPr>
        <w:t>envisage</w:t>
      </w:r>
      <w:r>
        <w:rPr>
          <w:color w:val="231F20"/>
          <w:spacing w:val="-13"/>
        </w:rPr>
        <w:t> </w:t>
      </w:r>
      <w:r>
        <w:rPr>
          <w:color w:val="231F20"/>
          <w:spacing w:val="-2"/>
        </w:rPr>
        <w:t>de</w:t>
      </w:r>
      <w:r>
        <w:rPr>
          <w:color w:val="231F20"/>
          <w:spacing w:val="-11"/>
        </w:rPr>
        <w:t> </w:t>
      </w:r>
      <w:r>
        <w:rPr>
          <w:color w:val="231F20"/>
          <w:spacing w:val="-2"/>
        </w:rPr>
        <w:t>présenter 5300</w:t>
      </w:r>
      <w:r>
        <w:rPr>
          <w:color w:val="231F20"/>
          <w:spacing w:val="-15"/>
        </w:rPr>
        <w:t> </w:t>
      </w:r>
      <w:r>
        <w:rPr>
          <w:color w:val="231F20"/>
          <w:spacing w:val="-2"/>
        </w:rPr>
        <w:t>éléments</w:t>
      </w:r>
      <w:r>
        <w:rPr>
          <w:color w:val="231F20"/>
          <w:spacing w:val="-13"/>
        </w:rPr>
        <w:t> </w:t>
      </w:r>
      <w:r>
        <w:rPr>
          <w:color w:val="231F20"/>
          <w:spacing w:val="-2"/>
        </w:rPr>
        <w:t>de</w:t>
      </w:r>
      <w:r>
        <w:rPr>
          <w:color w:val="231F20"/>
          <w:spacing w:val="-13"/>
        </w:rPr>
        <w:t> </w:t>
      </w:r>
      <w:r>
        <w:rPr>
          <w:color w:val="231F20"/>
          <w:spacing w:val="-2"/>
        </w:rPr>
        <w:t>preuves</w:t>
      </w:r>
      <w:r>
        <w:rPr>
          <w:color w:val="231F20"/>
          <w:spacing w:val="-13"/>
        </w:rPr>
        <w:t> </w:t>
      </w:r>
      <w:r>
        <w:rPr>
          <w:color w:val="231F20"/>
          <w:spacing w:val="-2"/>
        </w:rPr>
        <w:t>documentaires</w:t>
      </w:r>
      <w:r>
        <w:rPr>
          <w:color w:val="231F20"/>
          <w:spacing w:val="-13"/>
        </w:rPr>
        <w:t> </w:t>
      </w:r>
      <w:r>
        <w:rPr>
          <w:color w:val="231F20"/>
          <w:spacing w:val="-2"/>
        </w:rPr>
        <w:t>après</w:t>
      </w:r>
      <w:r>
        <w:rPr>
          <w:color w:val="231F20"/>
          <w:spacing w:val="-13"/>
        </w:rPr>
        <w:t> </w:t>
      </w:r>
      <w:r>
        <w:rPr>
          <w:color w:val="231F20"/>
          <w:spacing w:val="-2"/>
        </w:rPr>
        <w:t>son</w:t>
      </w:r>
      <w:r>
        <w:rPr>
          <w:color w:val="231F20"/>
          <w:spacing w:val="-13"/>
        </w:rPr>
        <w:t> </w:t>
      </w:r>
      <w:r>
        <w:rPr>
          <w:color w:val="231F20"/>
          <w:spacing w:val="-2"/>
        </w:rPr>
        <w:t>enquête</w:t>
      </w:r>
      <w:r>
        <w:rPr>
          <w:color w:val="231F20"/>
          <w:spacing w:val="-13"/>
        </w:rPr>
        <w:t> </w:t>
      </w:r>
      <w:r>
        <w:rPr>
          <w:color w:val="231F20"/>
          <w:spacing w:val="-2"/>
        </w:rPr>
        <w:t>préliminaire. </w:t>
      </w:r>
      <w:r>
        <w:rPr>
          <w:color w:val="231F20"/>
        </w:rPr>
        <w:t>Ces</w:t>
      </w:r>
      <w:r>
        <w:rPr>
          <w:color w:val="231F20"/>
          <w:spacing w:val="-15"/>
        </w:rPr>
        <w:t> </w:t>
      </w:r>
      <w:r>
        <w:rPr>
          <w:color w:val="231F20"/>
        </w:rPr>
        <w:t>preuves</w:t>
      </w:r>
      <w:r>
        <w:rPr>
          <w:color w:val="231F20"/>
          <w:spacing w:val="-15"/>
        </w:rPr>
        <w:t> </w:t>
      </w:r>
      <w:r>
        <w:rPr>
          <w:color w:val="231F20"/>
        </w:rPr>
        <w:t>sont</w:t>
      </w:r>
      <w:r>
        <w:rPr>
          <w:color w:val="231F20"/>
          <w:spacing w:val="-15"/>
        </w:rPr>
        <w:t> </w:t>
      </w:r>
      <w:r>
        <w:rPr>
          <w:color w:val="231F20"/>
        </w:rPr>
        <w:t>censées</w:t>
      </w:r>
      <w:r>
        <w:rPr>
          <w:color w:val="231F20"/>
          <w:spacing w:val="-15"/>
        </w:rPr>
        <w:t> </w:t>
      </w:r>
      <w:r>
        <w:rPr>
          <w:color w:val="231F20"/>
        </w:rPr>
        <w:t>établir</w:t>
      </w:r>
      <w:r>
        <w:rPr>
          <w:color w:val="231F20"/>
          <w:spacing w:val="-15"/>
        </w:rPr>
        <w:t> </w:t>
      </w:r>
      <w:r>
        <w:rPr>
          <w:color w:val="231F20"/>
        </w:rPr>
        <w:t>l'existence</w:t>
      </w:r>
      <w:r>
        <w:rPr>
          <w:color w:val="231F20"/>
          <w:spacing w:val="-15"/>
        </w:rPr>
        <w:t> </w:t>
      </w:r>
      <w:r>
        <w:rPr>
          <w:color w:val="231F20"/>
        </w:rPr>
        <w:t>d'un</w:t>
      </w:r>
      <w:r>
        <w:rPr>
          <w:color w:val="231F20"/>
          <w:spacing w:val="-15"/>
        </w:rPr>
        <w:t> </w:t>
      </w:r>
      <w:r>
        <w:rPr>
          <w:color w:val="231F20"/>
        </w:rPr>
        <w:t>plan</w:t>
      </w:r>
      <w:r>
        <w:rPr>
          <w:color w:val="231F20"/>
          <w:spacing w:val="-15"/>
        </w:rPr>
        <w:t> </w:t>
      </w:r>
      <w:r>
        <w:rPr>
          <w:color w:val="231F20"/>
        </w:rPr>
        <w:t>organisé</w:t>
      </w:r>
      <w:r>
        <w:rPr>
          <w:color w:val="231F20"/>
          <w:spacing w:val="-15"/>
        </w:rPr>
        <w:t> </w:t>
      </w:r>
      <w:r>
        <w:rPr>
          <w:color w:val="231F20"/>
        </w:rPr>
        <w:t>selon</w:t>
      </w:r>
      <w:r>
        <w:rPr>
          <w:color w:val="231F20"/>
          <w:spacing w:val="-15"/>
        </w:rPr>
        <w:t> </w:t>
      </w:r>
      <w:r>
        <w:rPr>
          <w:color w:val="231F20"/>
        </w:rPr>
        <w:t>une chaîne de commandement, à la tête de laquelle on retrouve Laurent Gbagbo,</w:t>
      </w:r>
      <w:r>
        <w:rPr>
          <w:color w:val="231F20"/>
          <w:spacing w:val="17"/>
        </w:rPr>
        <w:t> </w:t>
      </w:r>
      <w:r>
        <w:rPr>
          <w:color w:val="231F20"/>
        </w:rPr>
        <w:t>qui</w:t>
      </w:r>
      <w:r>
        <w:rPr>
          <w:color w:val="231F20"/>
          <w:spacing w:val="18"/>
        </w:rPr>
        <w:t> </w:t>
      </w:r>
      <w:r>
        <w:rPr>
          <w:color w:val="231F20"/>
        </w:rPr>
        <w:t>aurait</w:t>
      </w:r>
      <w:r>
        <w:rPr>
          <w:color w:val="231F20"/>
          <w:spacing w:val="20"/>
        </w:rPr>
        <w:t> </w:t>
      </w:r>
      <w:r>
        <w:rPr>
          <w:color w:val="231F20"/>
        </w:rPr>
        <w:t>conduit</w:t>
      </w:r>
      <w:r>
        <w:rPr>
          <w:color w:val="231F20"/>
          <w:spacing w:val="18"/>
        </w:rPr>
        <w:t> </w:t>
      </w:r>
      <w:r>
        <w:rPr>
          <w:color w:val="231F20"/>
        </w:rPr>
        <w:t>à</w:t>
      </w:r>
      <w:r>
        <w:rPr>
          <w:color w:val="231F20"/>
          <w:spacing w:val="19"/>
        </w:rPr>
        <w:t> </w:t>
      </w:r>
      <w:r>
        <w:rPr>
          <w:color w:val="231F20"/>
        </w:rPr>
        <w:t>la</w:t>
      </w:r>
      <w:r>
        <w:rPr>
          <w:color w:val="231F20"/>
          <w:spacing w:val="20"/>
        </w:rPr>
        <w:t> </w:t>
      </w:r>
      <w:r>
        <w:rPr>
          <w:color w:val="231F20"/>
        </w:rPr>
        <w:t>répression</w:t>
      </w:r>
      <w:r>
        <w:rPr>
          <w:color w:val="231F20"/>
          <w:spacing w:val="19"/>
        </w:rPr>
        <w:t> </w:t>
      </w:r>
      <w:r>
        <w:rPr>
          <w:color w:val="231F20"/>
        </w:rPr>
        <w:t>d'une</w:t>
      </w:r>
      <w:r>
        <w:rPr>
          <w:color w:val="231F20"/>
          <w:spacing w:val="18"/>
        </w:rPr>
        <w:t> </w:t>
      </w:r>
      <w:r>
        <w:rPr>
          <w:color w:val="231F20"/>
        </w:rPr>
        <w:t>marche</w:t>
      </w:r>
      <w:r>
        <w:rPr>
          <w:color w:val="231F20"/>
          <w:spacing w:val="20"/>
        </w:rPr>
        <w:t> </w:t>
      </w:r>
      <w:r>
        <w:rPr>
          <w:color w:val="231F20"/>
        </w:rPr>
        <w:t>pro-</w:t>
      </w:r>
      <w:r>
        <w:rPr>
          <w:color w:val="231F20"/>
          <w:spacing w:val="-2"/>
        </w:rPr>
        <w:t>Ouattara</w:t>
      </w:r>
    </w:p>
    <w:p>
      <w:pPr>
        <w:spacing w:after="0"/>
        <w:sectPr>
          <w:pgSz w:w="8790" w:h="13610"/>
          <w:pgMar w:header="0" w:footer="802" w:top="1060" w:bottom="1000" w:left="880" w:right="880"/>
        </w:sectPr>
      </w:pPr>
    </w:p>
    <w:p>
      <w:pPr>
        <w:pStyle w:val="BodyText"/>
        <w:spacing w:before="66"/>
        <w:ind w:right="105"/>
      </w:pPr>
      <w:r>
        <w:rPr>
          <w:color w:val="231F20"/>
        </w:rPr>
        <w:t>devant la</w:t>
      </w:r>
      <w:r>
        <w:rPr>
          <w:color w:val="231F20"/>
          <w:spacing w:val="-15"/>
        </w:rPr>
        <w:t> </w:t>
      </w:r>
      <w:r>
        <w:rPr>
          <w:color w:val="231F20"/>
        </w:rPr>
        <w:t>RTI</w:t>
      </w:r>
      <w:r>
        <w:rPr>
          <w:color w:val="231F20"/>
          <w:spacing w:val="-15"/>
        </w:rPr>
        <w:t> </w:t>
      </w:r>
      <w:r>
        <w:rPr>
          <w:color w:val="231F20"/>
        </w:rPr>
        <w:t>(Télévision publique),</w:t>
      </w:r>
      <w:r>
        <w:rPr>
          <w:color w:val="231F20"/>
          <w:spacing w:val="-15"/>
        </w:rPr>
        <w:t> </w:t>
      </w:r>
      <w:r>
        <w:rPr>
          <w:color w:val="231F20"/>
        </w:rPr>
        <w:t>d'une manifestation de</w:t>
      </w:r>
      <w:r>
        <w:rPr>
          <w:color w:val="231F20"/>
          <w:spacing w:val="-15"/>
        </w:rPr>
        <w:t> </w:t>
      </w:r>
      <w:r>
        <w:rPr>
          <w:color w:val="231F20"/>
        </w:rPr>
        <w:t>femmes à Abobo et des bombardements à Yopougon et au marché d'Abobo, quelques</w:t>
      </w:r>
      <w:r>
        <w:rPr>
          <w:color w:val="231F20"/>
          <w:spacing w:val="-6"/>
        </w:rPr>
        <w:t> </w:t>
      </w:r>
      <w:r>
        <w:rPr>
          <w:color w:val="231F20"/>
        </w:rPr>
        <w:t>520</w:t>
      </w:r>
      <w:r>
        <w:rPr>
          <w:color w:val="231F20"/>
          <w:spacing w:val="-6"/>
        </w:rPr>
        <w:t> </w:t>
      </w:r>
      <w:r>
        <w:rPr>
          <w:color w:val="231F20"/>
        </w:rPr>
        <w:t>heures</w:t>
      </w:r>
      <w:r>
        <w:rPr>
          <w:color w:val="231F20"/>
          <w:spacing w:val="-6"/>
        </w:rPr>
        <w:t> </w:t>
      </w:r>
      <w:r>
        <w:rPr>
          <w:color w:val="231F20"/>
        </w:rPr>
        <w:t>de</w:t>
      </w:r>
      <w:r>
        <w:rPr>
          <w:color w:val="231F20"/>
          <w:spacing w:val="-4"/>
        </w:rPr>
        <w:t> </w:t>
      </w:r>
      <w:r>
        <w:rPr>
          <w:color w:val="231F20"/>
        </w:rPr>
        <w:t>vidéo,</w:t>
      </w:r>
      <w:r>
        <w:rPr>
          <w:color w:val="231F20"/>
          <w:spacing w:val="-4"/>
        </w:rPr>
        <w:t> </w:t>
      </w:r>
      <w:r>
        <w:rPr>
          <w:color w:val="231F20"/>
        </w:rPr>
        <w:t>amateur</w:t>
      </w:r>
      <w:r>
        <w:rPr>
          <w:color w:val="231F20"/>
          <w:spacing w:val="-3"/>
        </w:rPr>
        <w:t> </w:t>
      </w:r>
      <w:r>
        <w:rPr>
          <w:color w:val="231F20"/>
        </w:rPr>
        <w:t>ou</w:t>
      </w:r>
      <w:r>
        <w:rPr>
          <w:color w:val="231F20"/>
          <w:spacing w:val="-6"/>
        </w:rPr>
        <w:t> </w:t>
      </w:r>
      <w:r>
        <w:rPr>
          <w:color w:val="231F20"/>
        </w:rPr>
        <w:t>issues</w:t>
      </w:r>
      <w:r>
        <w:rPr>
          <w:color w:val="231F20"/>
          <w:spacing w:val="-6"/>
        </w:rPr>
        <w:t> </w:t>
      </w:r>
      <w:r>
        <w:rPr>
          <w:color w:val="231F20"/>
        </w:rPr>
        <w:t>des</w:t>
      </w:r>
      <w:r>
        <w:rPr>
          <w:color w:val="231F20"/>
          <w:spacing w:val="-3"/>
        </w:rPr>
        <w:t> </w:t>
      </w:r>
      <w:r>
        <w:rPr>
          <w:color w:val="231F20"/>
        </w:rPr>
        <w:t>médias.</w:t>
      </w:r>
    </w:p>
    <w:p>
      <w:pPr>
        <w:pStyle w:val="BodyText"/>
        <w:spacing w:before="120"/>
        <w:ind w:right="104" w:firstLine="283"/>
      </w:pPr>
      <w:r>
        <w:rPr>
          <w:color w:val="231F20"/>
        </w:rPr>
        <w:t>Fatou</w:t>
      </w:r>
      <w:r>
        <w:rPr>
          <w:color w:val="231F20"/>
          <w:spacing w:val="-10"/>
        </w:rPr>
        <w:t> </w:t>
      </w:r>
      <w:r>
        <w:rPr>
          <w:color w:val="231F20"/>
        </w:rPr>
        <w:t>Bensouda</w:t>
      </w:r>
      <w:r>
        <w:rPr>
          <w:color w:val="231F20"/>
          <w:spacing w:val="-7"/>
        </w:rPr>
        <w:t> </w:t>
      </w:r>
      <w:r>
        <w:rPr>
          <w:color w:val="231F20"/>
        </w:rPr>
        <w:t>compte</w:t>
      </w:r>
      <w:r>
        <w:rPr>
          <w:color w:val="231F20"/>
          <w:spacing w:val="-11"/>
        </w:rPr>
        <w:t> </w:t>
      </w:r>
      <w:r>
        <w:rPr>
          <w:color w:val="231F20"/>
        </w:rPr>
        <w:t>sur</w:t>
      </w:r>
      <w:r>
        <w:rPr>
          <w:color w:val="231F20"/>
          <w:spacing w:val="-8"/>
        </w:rPr>
        <w:t> </w:t>
      </w:r>
      <w:r>
        <w:rPr>
          <w:color w:val="231F20"/>
        </w:rPr>
        <w:t>une</w:t>
      </w:r>
      <w:r>
        <w:rPr>
          <w:color w:val="231F20"/>
          <w:spacing w:val="-11"/>
        </w:rPr>
        <w:t> </w:t>
      </w:r>
      <w:r>
        <w:rPr>
          <w:color w:val="231F20"/>
        </w:rPr>
        <w:t>liste</w:t>
      </w:r>
      <w:r>
        <w:rPr>
          <w:color w:val="231F20"/>
          <w:spacing w:val="-11"/>
        </w:rPr>
        <w:t> </w:t>
      </w:r>
      <w:r>
        <w:rPr>
          <w:color w:val="231F20"/>
        </w:rPr>
        <w:t>de</w:t>
      </w:r>
      <w:r>
        <w:rPr>
          <w:color w:val="231F20"/>
          <w:spacing w:val="-10"/>
        </w:rPr>
        <w:t> </w:t>
      </w:r>
      <w:r>
        <w:rPr>
          <w:color w:val="231F20"/>
        </w:rPr>
        <w:t>138</w:t>
      </w:r>
      <w:r>
        <w:rPr>
          <w:color w:val="231F20"/>
          <w:spacing w:val="-10"/>
        </w:rPr>
        <w:t> </w:t>
      </w:r>
      <w:r>
        <w:rPr>
          <w:color w:val="231F20"/>
        </w:rPr>
        <w:t>témoins</w:t>
      </w:r>
      <w:r>
        <w:rPr>
          <w:color w:val="231F20"/>
          <w:spacing w:val="-9"/>
        </w:rPr>
        <w:t> </w:t>
      </w:r>
      <w:r>
        <w:rPr>
          <w:color w:val="231F20"/>
        </w:rPr>
        <w:t>à</w:t>
      </w:r>
      <w:r>
        <w:rPr>
          <w:color w:val="231F20"/>
          <w:spacing w:val="-11"/>
        </w:rPr>
        <w:t> </w:t>
      </w:r>
      <w:r>
        <w:rPr>
          <w:color w:val="231F20"/>
        </w:rPr>
        <w:t>charge</w:t>
      </w:r>
      <w:r>
        <w:rPr>
          <w:color w:val="231F20"/>
          <w:spacing w:val="-8"/>
        </w:rPr>
        <w:t> </w:t>
      </w:r>
      <w:r>
        <w:rPr>
          <w:color w:val="231F20"/>
        </w:rPr>
        <w:t>contre </w:t>
      </w:r>
      <w:r>
        <w:rPr>
          <w:color w:val="231F20"/>
          <w:spacing w:val="-2"/>
        </w:rPr>
        <w:t>Laurent</w:t>
      </w:r>
      <w:r>
        <w:rPr>
          <w:color w:val="231F20"/>
          <w:spacing w:val="-10"/>
        </w:rPr>
        <w:t> </w:t>
      </w:r>
      <w:r>
        <w:rPr>
          <w:color w:val="231F20"/>
          <w:spacing w:val="-2"/>
        </w:rPr>
        <w:t>Gbagbo</w:t>
      </w:r>
      <w:r>
        <w:rPr>
          <w:color w:val="231F20"/>
          <w:spacing w:val="-10"/>
        </w:rPr>
        <w:t> </w:t>
      </w:r>
      <w:r>
        <w:rPr>
          <w:color w:val="231F20"/>
          <w:spacing w:val="-2"/>
        </w:rPr>
        <w:t>et</w:t>
      </w:r>
      <w:r>
        <w:rPr>
          <w:color w:val="231F20"/>
          <w:spacing w:val="-9"/>
        </w:rPr>
        <w:t> </w:t>
      </w:r>
      <w:r>
        <w:rPr>
          <w:color w:val="231F20"/>
          <w:spacing w:val="-2"/>
        </w:rPr>
        <w:t>Charles</w:t>
      </w:r>
      <w:r>
        <w:rPr>
          <w:color w:val="231F20"/>
          <w:spacing w:val="-10"/>
        </w:rPr>
        <w:t> </w:t>
      </w:r>
      <w:r>
        <w:rPr>
          <w:color w:val="231F20"/>
          <w:spacing w:val="-2"/>
        </w:rPr>
        <w:t>Blé</w:t>
      </w:r>
      <w:r>
        <w:rPr>
          <w:color w:val="231F20"/>
          <w:spacing w:val="-9"/>
        </w:rPr>
        <w:t> </w:t>
      </w:r>
      <w:r>
        <w:rPr>
          <w:color w:val="231F20"/>
          <w:spacing w:val="-2"/>
        </w:rPr>
        <w:t>Goudé.</w:t>
      </w:r>
      <w:r>
        <w:rPr>
          <w:color w:val="231F20"/>
          <w:spacing w:val="-10"/>
        </w:rPr>
        <w:t> </w:t>
      </w:r>
      <w:r>
        <w:rPr>
          <w:color w:val="231F20"/>
          <w:spacing w:val="-2"/>
        </w:rPr>
        <w:t>Finalement,</w:t>
      </w:r>
      <w:r>
        <w:rPr>
          <w:color w:val="231F20"/>
          <w:spacing w:val="-12"/>
        </w:rPr>
        <w:t> </w:t>
      </w:r>
      <w:r>
        <w:rPr>
          <w:color w:val="231F20"/>
          <w:spacing w:val="-2"/>
        </w:rPr>
        <w:t>plusieurs</w:t>
      </w:r>
      <w:r>
        <w:rPr>
          <w:color w:val="231F20"/>
          <w:spacing w:val="-10"/>
        </w:rPr>
        <w:t> </w:t>
      </w:r>
      <w:r>
        <w:rPr>
          <w:color w:val="231F20"/>
          <w:spacing w:val="-2"/>
        </w:rPr>
        <w:t>d'entre</w:t>
      </w:r>
      <w:r>
        <w:rPr>
          <w:color w:val="231F20"/>
          <w:spacing w:val="-11"/>
        </w:rPr>
        <w:t> </w:t>
      </w:r>
      <w:r>
        <w:rPr>
          <w:color w:val="231F20"/>
          <w:spacing w:val="-2"/>
        </w:rPr>
        <w:t>eux </w:t>
      </w:r>
      <w:r>
        <w:rPr>
          <w:color w:val="231F20"/>
        </w:rPr>
        <w:t>font</w:t>
      </w:r>
      <w:r>
        <w:rPr>
          <w:color w:val="231F20"/>
          <w:spacing w:val="-10"/>
        </w:rPr>
        <w:t> </w:t>
      </w:r>
      <w:r>
        <w:rPr>
          <w:color w:val="231F20"/>
        </w:rPr>
        <w:t>défection</w:t>
      </w:r>
      <w:r>
        <w:rPr>
          <w:color w:val="231F20"/>
          <w:spacing w:val="-15"/>
        </w:rPr>
        <w:t> </w:t>
      </w:r>
      <w:r>
        <w:rPr>
          <w:color w:val="231F20"/>
        </w:rPr>
        <w:t>:</w:t>
      </w:r>
      <w:r>
        <w:rPr>
          <w:color w:val="231F20"/>
          <w:spacing w:val="-6"/>
        </w:rPr>
        <w:t> </w:t>
      </w:r>
      <w:r>
        <w:rPr>
          <w:color w:val="231F20"/>
        </w:rPr>
        <w:t>de</w:t>
      </w:r>
      <w:r>
        <w:rPr>
          <w:color w:val="231F20"/>
          <w:spacing w:val="-6"/>
        </w:rPr>
        <w:t> </w:t>
      </w:r>
      <w:r>
        <w:rPr>
          <w:color w:val="231F20"/>
        </w:rPr>
        <w:t>138</w:t>
      </w:r>
      <w:r>
        <w:rPr>
          <w:color w:val="231F20"/>
          <w:spacing w:val="-6"/>
        </w:rPr>
        <w:t> </w:t>
      </w:r>
      <w:r>
        <w:rPr>
          <w:color w:val="231F20"/>
        </w:rPr>
        <w:t>au</w:t>
      </w:r>
      <w:r>
        <w:rPr>
          <w:color w:val="231F20"/>
          <w:spacing w:val="-8"/>
        </w:rPr>
        <w:t> </w:t>
      </w:r>
      <w:r>
        <w:rPr>
          <w:color w:val="231F20"/>
        </w:rPr>
        <w:t>départ,</w:t>
      </w:r>
      <w:r>
        <w:rPr>
          <w:color w:val="231F20"/>
          <w:spacing w:val="-6"/>
        </w:rPr>
        <w:t> </w:t>
      </w:r>
      <w:r>
        <w:rPr>
          <w:color w:val="231F20"/>
        </w:rPr>
        <w:t>seuls</w:t>
      </w:r>
      <w:r>
        <w:rPr>
          <w:color w:val="231F20"/>
          <w:spacing w:val="-6"/>
        </w:rPr>
        <w:t> </w:t>
      </w:r>
      <w:r>
        <w:rPr>
          <w:color w:val="231F20"/>
        </w:rPr>
        <w:t>82</w:t>
      </w:r>
      <w:r>
        <w:rPr>
          <w:color w:val="231F20"/>
          <w:spacing w:val="-6"/>
        </w:rPr>
        <w:t> </w:t>
      </w:r>
      <w:r>
        <w:rPr>
          <w:color w:val="231F20"/>
        </w:rPr>
        <w:t>finissent</w:t>
      </w:r>
      <w:r>
        <w:rPr>
          <w:color w:val="231F20"/>
          <w:spacing w:val="-7"/>
        </w:rPr>
        <w:t> </w:t>
      </w:r>
      <w:r>
        <w:rPr>
          <w:color w:val="231F20"/>
        </w:rPr>
        <w:t>effectivement</w:t>
      </w:r>
      <w:r>
        <w:rPr>
          <w:color w:val="231F20"/>
          <w:spacing w:val="-7"/>
        </w:rPr>
        <w:t> </w:t>
      </w:r>
      <w:r>
        <w:rPr>
          <w:color w:val="231F20"/>
        </w:rPr>
        <w:t>sur</w:t>
      </w:r>
      <w:r>
        <w:rPr>
          <w:color w:val="231F20"/>
          <w:spacing w:val="-6"/>
        </w:rPr>
        <w:t> </w:t>
      </w:r>
      <w:r>
        <w:rPr>
          <w:color w:val="231F20"/>
        </w:rPr>
        <w:t>la liste de la procureure.</w:t>
      </w:r>
    </w:p>
    <w:p>
      <w:pPr>
        <w:pStyle w:val="BodyText"/>
        <w:spacing w:before="120"/>
        <w:ind w:right="104" w:firstLine="283"/>
      </w:pPr>
      <w:r>
        <w:rPr>
          <w:color w:val="231F20"/>
        </w:rPr>
        <w:t>Au cours du procès,</w:t>
      </w:r>
      <w:r>
        <w:rPr>
          <w:color w:val="231F20"/>
          <w:spacing w:val="-13"/>
        </w:rPr>
        <w:t> </w:t>
      </w:r>
      <w:r>
        <w:rPr>
          <w:color w:val="231F20"/>
        </w:rPr>
        <w:t>aucun des témoins de l'accusation n'apporte </w:t>
      </w:r>
      <w:r>
        <w:rPr>
          <w:color w:val="231F20"/>
          <w:spacing w:val="-4"/>
        </w:rPr>
        <w:t>d’éléments</w:t>
      </w:r>
      <w:r>
        <w:rPr>
          <w:color w:val="231F20"/>
          <w:spacing w:val="-9"/>
        </w:rPr>
        <w:t> </w:t>
      </w:r>
      <w:r>
        <w:rPr>
          <w:color w:val="231F20"/>
          <w:spacing w:val="-4"/>
        </w:rPr>
        <w:t>probants</w:t>
      </w:r>
      <w:r>
        <w:rPr>
          <w:color w:val="231F20"/>
          <w:spacing w:val="-8"/>
        </w:rPr>
        <w:t> </w:t>
      </w:r>
      <w:r>
        <w:rPr>
          <w:color w:val="231F20"/>
          <w:spacing w:val="-4"/>
        </w:rPr>
        <w:t>sur</w:t>
      </w:r>
      <w:r>
        <w:rPr>
          <w:color w:val="231F20"/>
          <w:spacing w:val="-8"/>
        </w:rPr>
        <w:t> </w:t>
      </w:r>
      <w:r>
        <w:rPr>
          <w:color w:val="231F20"/>
          <w:spacing w:val="-4"/>
        </w:rPr>
        <w:t>l’existence</w:t>
      </w:r>
      <w:r>
        <w:rPr>
          <w:color w:val="231F20"/>
          <w:spacing w:val="-11"/>
        </w:rPr>
        <w:t> </w:t>
      </w:r>
      <w:r>
        <w:rPr>
          <w:color w:val="231F20"/>
          <w:spacing w:val="-4"/>
        </w:rPr>
        <w:t>d'un</w:t>
      </w:r>
      <w:r>
        <w:rPr>
          <w:color w:val="231F20"/>
          <w:spacing w:val="-11"/>
        </w:rPr>
        <w:t> </w:t>
      </w:r>
      <w:r>
        <w:rPr>
          <w:color w:val="231F20"/>
          <w:spacing w:val="-4"/>
        </w:rPr>
        <w:t>plan</w:t>
      </w:r>
      <w:r>
        <w:rPr>
          <w:color w:val="231F20"/>
          <w:spacing w:val="-8"/>
        </w:rPr>
        <w:t> </w:t>
      </w:r>
      <w:r>
        <w:rPr>
          <w:color w:val="231F20"/>
          <w:spacing w:val="-4"/>
        </w:rPr>
        <w:t>commun</w:t>
      </w:r>
      <w:r>
        <w:rPr>
          <w:color w:val="231F20"/>
          <w:spacing w:val="-8"/>
        </w:rPr>
        <w:t> </w:t>
      </w:r>
      <w:r>
        <w:rPr>
          <w:color w:val="231F20"/>
          <w:spacing w:val="-4"/>
        </w:rPr>
        <w:t>et</w:t>
      </w:r>
      <w:r>
        <w:rPr>
          <w:color w:val="231F20"/>
          <w:spacing w:val="-11"/>
        </w:rPr>
        <w:t> </w:t>
      </w:r>
      <w:r>
        <w:rPr>
          <w:color w:val="231F20"/>
          <w:spacing w:val="-4"/>
        </w:rPr>
        <w:t>sur</w:t>
      </w:r>
      <w:r>
        <w:rPr>
          <w:color w:val="231F20"/>
          <w:spacing w:val="-11"/>
        </w:rPr>
        <w:t> </w:t>
      </w:r>
      <w:r>
        <w:rPr>
          <w:color w:val="231F20"/>
          <w:spacing w:val="-4"/>
        </w:rPr>
        <w:t>la</w:t>
      </w:r>
      <w:r>
        <w:rPr>
          <w:color w:val="231F20"/>
          <w:spacing w:val="-8"/>
        </w:rPr>
        <w:t> </w:t>
      </w:r>
      <w:r>
        <w:rPr>
          <w:color w:val="231F20"/>
          <w:spacing w:val="-4"/>
        </w:rPr>
        <w:t>culpabilité de</w:t>
      </w:r>
      <w:r>
        <w:rPr>
          <w:color w:val="231F20"/>
          <w:spacing w:val="-7"/>
        </w:rPr>
        <w:t> </w:t>
      </w:r>
      <w:r>
        <w:rPr>
          <w:color w:val="231F20"/>
          <w:spacing w:val="-4"/>
        </w:rPr>
        <w:t>l'ancien</w:t>
      </w:r>
      <w:r>
        <w:rPr>
          <w:color w:val="231F20"/>
          <w:spacing w:val="-6"/>
        </w:rPr>
        <w:t> </w:t>
      </w:r>
      <w:r>
        <w:rPr>
          <w:color w:val="231F20"/>
          <w:spacing w:val="-4"/>
        </w:rPr>
        <w:t>chef</w:t>
      </w:r>
      <w:r>
        <w:rPr>
          <w:color w:val="231F20"/>
          <w:spacing w:val="-7"/>
        </w:rPr>
        <w:t> </w:t>
      </w:r>
      <w:r>
        <w:rPr>
          <w:color w:val="231F20"/>
          <w:spacing w:val="-4"/>
        </w:rPr>
        <w:t>d’État</w:t>
      </w:r>
      <w:r>
        <w:rPr>
          <w:color w:val="231F20"/>
          <w:spacing w:val="-10"/>
        </w:rPr>
        <w:t> </w:t>
      </w:r>
      <w:r>
        <w:rPr>
          <w:color w:val="231F20"/>
          <w:spacing w:val="-4"/>
        </w:rPr>
        <w:t>ivoirien</w:t>
      </w:r>
      <w:r>
        <w:rPr>
          <w:color w:val="231F20"/>
          <w:spacing w:val="-6"/>
        </w:rPr>
        <w:t> </w:t>
      </w:r>
      <w:r>
        <w:rPr>
          <w:color w:val="231F20"/>
          <w:spacing w:val="-4"/>
        </w:rPr>
        <w:t>et</w:t>
      </w:r>
      <w:r>
        <w:rPr>
          <w:color w:val="231F20"/>
          <w:spacing w:val="-7"/>
        </w:rPr>
        <w:t> </w:t>
      </w:r>
      <w:r>
        <w:rPr>
          <w:color w:val="231F20"/>
          <w:spacing w:val="-4"/>
        </w:rPr>
        <w:t>de</w:t>
      </w:r>
      <w:r>
        <w:rPr>
          <w:color w:val="231F20"/>
          <w:spacing w:val="-7"/>
        </w:rPr>
        <w:t> </w:t>
      </w:r>
      <w:r>
        <w:rPr>
          <w:color w:val="231F20"/>
          <w:spacing w:val="-4"/>
        </w:rPr>
        <w:t>son</w:t>
      </w:r>
      <w:r>
        <w:rPr>
          <w:color w:val="231F20"/>
          <w:spacing w:val="-7"/>
        </w:rPr>
        <w:t> </w:t>
      </w:r>
      <w:r>
        <w:rPr>
          <w:color w:val="231F20"/>
          <w:spacing w:val="-4"/>
        </w:rPr>
        <w:t>co-accusé.</w:t>
      </w:r>
      <w:r>
        <w:rPr>
          <w:color w:val="231F20"/>
          <w:spacing w:val="-10"/>
        </w:rPr>
        <w:t> </w:t>
      </w:r>
      <w:r>
        <w:rPr>
          <w:color w:val="231F20"/>
          <w:spacing w:val="-4"/>
        </w:rPr>
        <w:t>Leurs</w:t>
      </w:r>
      <w:r>
        <w:rPr>
          <w:color w:val="231F20"/>
          <w:spacing w:val="-7"/>
        </w:rPr>
        <w:t> </w:t>
      </w:r>
      <w:r>
        <w:rPr>
          <w:color w:val="231F20"/>
          <w:spacing w:val="-4"/>
        </w:rPr>
        <w:t>propos</w:t>
      </w:r>
      <w:r>
        <w:rPr>
          <w:color w:val="231F20"/>
          <w:spacing w:val="-7"/>
        </w:rPr>
        <w:t> </w:t>
      </w:r>
      <w:r>
        <w:rPr>
          <w:color w:val="231F20"/>
          <w:spacing w:val="-4"/>
        </w:rPr>
        <w:t>sont</w:t>
      </w:r>
      <w:r>
        <w:rPr>
          <w:color w:val="231F20"/>
          <w:spacing w:val="-7"/>
        </w:rPr>
        <w:t> </w:t>
      </w:r>
      <w:r>
        <w:rPr>
          <w:color w:val="231F20"/>
          <w:spacing w:val="-4"/>
        </w:rPr>
        <w:t>soit </w:t>
      </w:r>
      <w:r>
        <w:rPr>
          <w:color w:val="231F20"/>
        </w:rPr>
        <w:t>confus, soit contradictoires, et de nombreux témoignages tournent à l'avantage des accusés.</w:t>
      </w:r>
    </w:p>
    <w:p>
      <w:pPr>
        <w:spacing w:before="121"/>
        <w:ind w:left="111" w:right="101" w:firstLine="283"/>
        <w:jc w:val="both"/>
        <w:rPr>
          <w:sz w:val="24"/>
        </w:rPr>
      </w:pPr>
      <w:r>
        <w:rPr>
          <w:color w:val="231F20"/>
          <w:sz w:val="24"/>
        </w:rPr>
        <w:t>En Côte d’ivoire, Laurent Gbagbo et trois de ses ministres, Gilbert Marie</w:t>
      </w:r>
      <w:r>
        <w:rPr>
          <w:color w:val="231F20"/>
          <w:spacing w:val="-2"/>
          <w:sz w:val="24"/>
        </w:rPr>
        <w:t> </w:t>
      </w:r>
      <w:r>
        <w:rPr>
          <w:color w:val="231F20"/>
          <w:sz w:val="24"/>
        </w:rPr>
        <w:t>N'gbo</w:t>
      </w:r>
      <w:r>
        <w:rPr>
          <w:color w:val="231F20"/>
          <w:spacing w:val="-2"/>
          <w:sz w:val="24"/>
        </w:rPr>
        <w:t> </w:t>
      </w:r>
      <w:r>
        <w:rPr>
          <w:color w:val="231F20"/>
          <w:sz w:val="24"/>
        </w:rPr>
        <w:t>Aké</w:t>
      </w:r>
      <w:r>
        <w:rPr>
          <w:color w:val="231F20"/>
          <w:spacing w:val="-2"/>
          <w:sz w:val="24"/>
        </w:rPr>
        <w:t> </w:t>
      </w:r>
      <w:r>
        <w:rPr>
          <w:color w:val="231F20"/>
          <w:sz w:val="24"/>
        </w:rPr>
        <w:t>(ex-Premier</w:t>
      </w:r>
      <w:r>
        <w:rPr>
          <w:color w:val="231F20"/>
          <w:spacing w:val="-4"/>
          <w:sz w:val="24"/>
        </w:rPr>
        <w:t> </w:t>
      </w:r>
      <w:r>
        <w:rPr>
          <w:color w:val="231F20"/>
          <w:sz w:val="24"/>
        </w:rPr>
        <w:t>ministre),</w:t>
      </w:r>
      <w:r>
        <w:rPr>
          <w:color w:val="231F20"/>
          <w:spacing w:val="-2"/>
          <w:sz w:val="24"/>
        </w:rPr>
        <w:t> </w:t>
      </w:r>
      <w:r>
        <w:rPr>
          <w:color w:val="231F20"/>
          <w:sz w:val="24"/>
        </w:rPr>
        <w:t>Koné</w:t>
      </w:r>
      <w:r>
        <w:rPr>
          <w:color w:val="231F20"/>
          <w:spacing w:val="-4"/>
          <w:sz w:val="24"/>
        </w:rPr>
        <w:t> </w:t>
      </w:r>
      <w:r>
        <w:rPr>
          <w:color w:val="231F20"/>
          <w:sz w:val="24"/>
        </w:rPr>
        <w:t>Katinan</w:t>
      </w:r>
      <w:r>
        <w:rPr>
          <w:color w:val="231F20"/>
          <w:spacing w:val="-2"/>
          <w:sz w:val="24"/>
        </w:rPr>
        <w:t> </w:t>
      </w:r>
      <w:r>
        <w:rPr>
          <w:color w:val="231F20"/>
          <w:sz w:val="24"/>
        </w:rPr>
        <w:t>(ex-ministre</w:t>
      </w:r>
      <w:r>
        <w:rPr>
          <w:color w:val="231F20"/>
          <w:spacing w:val="-2"/>
          <w:sz w:val="24"/>
        </w:rPr>
        <w:t> </w:t>
      </w:r>
      <w:r>
        <w:rPr>
          <w:color w:val="231F20"/>
          <w:sz w:val="24"/>
        </w:rPr>
        <w:t>du </w:t>
      </w:r>
      <w:r>
        <w:rPr>
          <w:color w:val="231F20"/>
          <w:spacing w:val="-2"/>
          <w:sz w:val="24"/>
        </w:rPr>
        <w:t>Budget)</w:t>
      </w:r>
      <w:r>
        <w:rPr>
          <w:color w:val="231F20"/>
          <w:spacing w:val="-13"/>
          <w:sz w:val="24"/>
        </w:rPr>
        <w:t> </w:t>
      </w:r>
      <w:r>
        <w:rPr>
          <w:color w:val="231F20"/>
          <w:spacing w:val="-2"/>
          <w:sz w:val="24"/>
        </w:rPr>
        <w:t>et</w:t>
      </w:r>
      <w:r>
        <w:rPr>
          <w:color w:val="231F20"/>
          <w:spacing w:val="-11"/>
          <w:sz w:val="24"/>
        </w:rPr>
        <w:t> </w:t>
      </w:r>
      <w:r>
        <w:rPr>
          <w:color w:val="231F20"/>
          <w:spacing w:val="-2"/>
          <w:sz w:val="24"/>
        </w:rPr>
        <w:t>Désiré</w:t>
      </w:r>
      <w:r>
        <w:rPr>
          <w:color w:val="231F20"/>
          <w:spacing w:val="-11"/>
          <w:sz w:val="24"/>
        </w:rPr>
        <w:t> </w:t>
      </w:r>
      <w:r>
        <w:rPr>
          <w:color w:val="231F20"/>
          <w:spacing w:val="-2"/>
          <w:sz w:val="24"/>
        </w:rPr>
        <w:t>Dallo</w:t>
      </w:r>
      <w:r>
        <w:rPr>
          <w:color w:val="231F20"/>
          <w:spacing w:val="-11"/>
          <w:sz w:val="24"/>
        </w:rPr>
        <w:t> </w:t>
      </w:r>
      <w:r>
        <w:rPr>
          <w:color w:val="231F20"/>
          <w:spacing w:val="-2"/>
          <w:sz w:val="24"/>
        </w:rPr>
        <w:t>(ex-ministre</w:t>
      </w:r>
      <w:r>
        <w:rPr>
          <w:color w:val="231F20"/>
          <w:spacing w:val="-11"/>
          <w:sz w:val="24"/>
        </w:rPr>
        <w:t> </w:t>
      </w:r>
      <w:r>
        <w:rPr>
          <w:color w:val="231F20"/>
          <w:spacing w:val="-2"/>
          <w:sz w:val="24"/>
        </w:rPr>
        <w:t>de</w:t>
      </w:r>
      <w:r>
        <w:rPr>
          <w:color w:val="231F20"/>
          <w:spacing w:val="-11"/>
          <w:sz w:val="24"/>
        </w:rPr>
        <w:t> </w:t>
      </w:r>
      <w:r>
        <w:rPr>
          <w:color w:val="231F20"/>
          <w:spacing w:val="-2"/>
          <w:sz w:val="24"/>
        </w:rPr>
        <w:t>l'Économie</w:t>
      </w:r>
      <w:r>
        <w:rPr>
          <w:color w:val="231F20"/>
          <w:spacing w:val="-13"/>
          <w:sz w:val="24"/>
        </w:rPr>
        <w:t> </w:t>
      </w:r>
      <w:r>
        <w:rPr>
          <w:color w:val="231F20"/>
          <w:spacing w:val="-2"/>
          <w:sz w:val="24"/>
        </w:rPr>
        <w:t>et</w:t>
      </w:r>
      <w:r>
        <w:rPr>
          <w:color w:val="231F20"/>
          <w:spacing w:val="-11"/>
          <w:sz w:val="24"/>
        </w:rPr>
        <w:t> </w:t>
      </w:r>
      <w:r>
        <w:rPr>
          <w:color w:val="231F20"/>
          <w:spacing w:val="-2"/>
          <w:sz w:val="24"/>
        </w:rPr>
        <w:t>des</w:t>
      </w:r>
      <w:r>
        <w:rPr>
          <w:color w:val="231F20"/>
          <w:spacing w:val="-12"/>
          <w:sz w:val="24"/>
        </w:rPr>
        <w:t> </w:t>
      </w:r>
      <w:r>
        <w:rPr>
          <w:color w:val="231F20"/>
          <w:spacing w:val="-2"/>
          <w:sz w:val="24"/>
        </w:rPr>
        <w:t>Finances)</w:t>
      </w:r>
      <w:r>
        <w:rPr>
          <w:color w:val="231F20"/>
          <w:spacing w:val="-13"/>
          <w:sz w:val="24"/>
        </w:rPr>
        <w:t> </w:t>
      </w:r>
      <w:r>
        <w:rPr>
          <w:color w:val="231F20"/>
          <w:spacing w:val="-2"/>
          <w:sz w:val="24"/>
        </w:rPr>
        <w:t>sont condamnés</w:t>
      </w:r>
      <w:r>
        <w:rPr>
          <w:color w:val="231F20"/>
          <w:spacing w:val="-8"/>
          <w:sz w:val="24"/>
        </w:rPr>
        <w:t> </w:t>
      </w:r>
      <w:r>
        <w:rPr>
          <w:color w:val="231F20"/>
          <w:spacing w:val="-2"/>
          <w:sz w:val="24"/>
        </w:rPr>
        <w:t>le</w:t>
      </w:r>
      <w:r>
        <w:rPr>
          <w:color w:val="231F20"/>
          <w:spacing w:val="-11"/>
          <w:sz w:val="24"/>
        </w:rPr>
        <w:t> </w:t>
      </w:r>
      <w:r>
        <w:rPr>
          <w:color w:val="231F20"/>
          <w:spacing w:val="-2"/>
          <w:sz w:val="24"/>
        </w:rPr>
        <w:t>18</w:t>
      </w:r>
      <w:r>
        <w:rPr>
          <w:color w:val="231F20"/>
          <w:spacing w:val="-9"/>
          <w:sz w:val="24"/>
        </w:rPr>
        <w:t> </w:t>
      </w:r>
      <w:r>
        <w:rPr>
          <w:color w:val="231F20"/>
          <w:spacing w:val="-2"/>
          <w:sz w:val="24"/>
        </w:rPr>
        <w:t>janvier</w:t>
      </w:r>
      <w:r>
        <w:rPr>
          <w:color w:val="231F20"/>
          <w:spacing w:val="-9"/>
          <w:sz w:val="24"/>
        </w:rPr>
        <w:t> </w:t>
      </w:r>
      <w:r>
        <w:rPr>
          <w:color w:val="231F20"/>
          <w:spacing w:val="-2"/>
          <w:sz w:val="24"/>
        </w:rPr>
        <w:t>2018,</w:t>
      </w:r>
      <w:r>
        <w:rPr>
          <w:color w:val="231F20"/>
          <w:spacing w:val="-9"/>
          <w:sz w:val="24"/>
        </w:rPr>
        <w:t> </w:t>
      </w:r>
      <w:r>
        <w:rPr>
          <w:color w:val="231F20"/>
          <w:spacing w:val="-2"/>
          <w:sz w:val="24"/>
        </w:rPr>
        <w:t>par</w:t>
      </w:r>
      <w:r>
        <w:rPr>
          <w:color w:val="231F20"/>
          <w:spacing w:val="-6"/>
          <w:sz w:val="24"/>
        </w:rPr>
        <w:t> </w:t>
      </w:r>
      <w:r>
        <w:rPr>
          <w:color w:val="231F20"/>
          <w:spacing w:val="-2"/>
          <w:sz w:val="24"/>
        </w:rPr>
        <w:t>la</w:t>
      </w:r>
      <w:r>
        <w:rPr>
          <w:color w:val="231F20"/>
          <w:spacing w:val="-8"/>
          <w:sz w:val="24"/>
        </w:rPr>
        <w:t> </w:t>
      </w:r>
      <w:r>
        <w:rPr>
          <w:color w:val="231F20"/>
          <w:spacing w:val="-2"/>
          <w:sz w:val="24"/>
        </w:rPr>
        <w:t>cour</w:t>
      </w:r>
      <w:r>
        <w:rPr>
          <w:color w:val="231F20"/>
          <w:spacing w:val="-6"/>
          <w:sz w:val="24"/>
        </w:rPr>
        <w:t> </w:t>
      </w:r>
      <w:r>
        <w:rPr>
          <w:color w:val="231F20"/>
          <w:spacing w:val="-2"/>
          <w:sz w:val="24"/>
        </w:rPr>
        <w:t>d'assises</w:t>
      </w:r>
      <w:r>
        <w:rPr>
          <w:color w:val="231F20"/>
          <w:spacing w:val="-11"/>
          <w:sz w:val="24"/>
        </w:rPr>
        <w:t> </w:t>
      </w:r>
      <w:r>
        <w:rPr>
          <w:color w:val="231F20"/>
          <w:spacing w:val="-2"/>
          <w:sz w:val="24"/>
        </w:rPr>
        <w:t>d'Abidjan</w:t>
      </w:r>
      <w:r>
        <w:rPr>
          <w:color w:val="231F20"/>
          <w:spacing w:val="-6"/>
          <w:sz w:val="24"/>
        </w:rPr>
        <w:t> </w:t>
      </w:r>
      <w:r>
        <w:rPr>
          <w:color w:val="231F20"/>
          <w:spacing w:val="-2"/>
          <w:sz w:val="24"/>
        </w:rPr>
        <w:t>à</w:t>
      </w:r>
      <w:r>
        <w:rPr>
          <w:color w:val="231F20"/>
          <w:spacing w:val="-9"/>
          <w:sz w:val="24"/>
        </w:rPr>
        <w:t> </w:t>
      </w:r>
      <w:r>
        <w:rPr>
          <w:color w:val="231F20"/>
          <w:spacing w:val="-2"/>
          <w:sz w:val="24"/>
        </w:rPr>
        <w:t>vingt</w:t>
      </w:r>
      <w:r>
        <w:rPr>
          <w:color w:val="231F20"/>
          <w:spacing w:val="-8"/>
          <w:sz w:val="24"/>
        </w:rPr>
        <w:t> </w:t>
      </w:r>
      <w:r>
        <w:rPr>
          <w:color w:val="231F20"/>
          <w:spacing w:val="-2"/>
          <w:sz w:val="24"/>
        </w:rPr>
        <w:t>ans </w:t>
      </w:r>
      <w:r>
        <w:rPr>
          <w:color w:val="231F20"/>
          <w:sz w:val="24"/>
        </w:rPr>
        <w:t>de prison et une amende de 329 milliards de francs CFA pour </w:t>
      </w:r>
      <w:r>
        <w:rPr>
          <w:i/>
          <w:color w:val="231F20"/>
          <w:sz w:val="24"/>
        </w:rPr>
        <w:t>«</w:t>
      </w:r>
      <w:r>
        <w:rPr>
          <w:i/>
          <w:color w:val="231F20"/>
          <w:spacing w:val="-13"/>
          <w:sz w:val="24"/>
        </w:rPr>
        <w:t> </w:t>
      </w:r>
      <w:r>
        <w:rPr>
          <w:i/>
          <w:color w:val="231F20"/>
          <w:sz w:val="24"/>
        </w:rPr>
        <w:t>vol en</w:t>
      </w:r>
      <w:r>
        <w:rPr>
          <w:i/>
          <w:color w:val="231F20"/>
          <w:sz w:val="24"/>
        </w:rPr>
        <w:t> réunion par effraction portant sur des caves à la BCEAO et des </w:t>
      </w:r>
      <w:r>
        <w:rPr>
          <w:i/>
          <w:color w:val="231F20"/>
          <w:spacing w:val="-4"/>
          <w:sz w:val="24"/>
        </w:rPr>
        <w:t>numéraires,</w:t>
      </w:r>
      <w:r>
        <w:rPr>
          <w:i/>
          <w:color w:val="231F20"/>
          <w:spacing w:val="-8"/>
          <w:sz w:val="24"/>
        </w:rPr>
        <w:t> </w:t>
      </w:r>
      <w:r>
        <w:rPr>
          <w:i/>
          <w:color w:val="231F20"/>
          <w:spacing w:val="-4"/>
          <w:sz w:val="24"/>
        </w:rPr>
        <w:t>complicité</w:t>
      </w:r>
      <w:r>
        <w:rPr>
          <w:i/>
          <w:color w:val="231F20"/>
          <w:spacing w:val="-8"/>
          <w:sz w:val="24"/>
        </w:rPr>
        <w:t> </w:t>
      </w:r>
      <w:r>
        <w:rPr>
          <w:i/>
          <w:color w:val="231F20"/>
          <w:spacing w:val="-4"/>
          <w:sz w:val="24"/>
        </w:rPr>
        <w:t>de</w:t>
      </w:r>
      <w:r>
        <w:rPr>
          <w:i/>
          <w:color w:val="231F20"/>
          <w:spacing w:val="-11"/>
          <w:sz w:val="24"/>
        </w:rPr>
        <w:t> </w:t>
      </w:r>
      <w:r>
        <w:rPr>
          <w:i/>
          <w:color w:val="231F20"/>
          <w:spacing w:val="-4"/>
          <w:sz w:val="24"/>
        </w:rPr>
        <w:t>vol</w:t>
      </w:r>
      <w:r>
        <w:rPr>
          <w:i/>
          <w:color w:val="231F20"/>
          <w:spacing w:val="-8"/>
          <w:sz w:val="24"/>
        </w:rPr>
        <w:t> </w:t>
      </w:r>
      <w:r>
        <w:rPr>
          <w:i/>
          <w:color w:val="231F20"/>
          <w:spacing w:val="-4"/>
          <w:sz w:val="24"/>
        </w:rPr>
        <w:t>en</w:t>
      </w:r>
      <w:r>
        <w:rPr>
          <w:i/>
          <w:color w:val="231F20"/>
          <w:spacing w:val="-8"/>
          <w:sz w:val="24"/>
        </w:rPr>
        <w:t> </w:t>
      </w:r>
      <w:r>
        <w:rPr>
          <w:i/>
          <w:color w:val="231F20"/>
          <w:spacing w:val="-4"/>
          <w:sz w:val="24"/>
        </w:rPr>
        <w:t>réunion</w:t>
      </w:r>
      <w:r>
        <w:rPr>
          <w:i/>
          <w:color w:val="231F20"/>
          <w:spacing w:val="-8"/>
          <w:sz w:val="24"/>
        </w:rPr>
        <w:t> </w:t>
      </w:r>
      <w:r>
        <w:rPr>
          <w:i/>
          <w:color w:val="231F20"/>
          <w:spacing w:val="-4"/>
          <w:sz w:val="24"/>
        </w:rPr>
        <w:t>par</w:t>
      </w:r>
      <w:r>
        <w:rPr>
          <w:i/>
          <w:color w:val="231F20"/>
          <w:spacing w:val="-8"/>
          <w:sz w:val="24"/>
        </w:rPr>
        <w:t> </w:t>
      </w:r>
      <w:r>
        <w:rPr>
          <w:i/>
          <w:color w:val="231F20"/>
          <w:spacing w:val="-4"/>
          <w:sz w:val="24"/>
        </w:rPr>
        <w:t>effraction,</w:t>
      </w:r>
      <w:r>
        <w:rPr>
          <w:i/>
          <w:color w:val="231F20"/>
          <w:spacing w:val="-8"/>
          <w:sz w:val="24"/>
        </w:rPr>
        <w:t> </w:t>
      </w:r>
      <w:r>
        <w:rPr>
          <w:i/>
          <w:color w:val="231F20"/>
          <w:spacing w:val="-4"/>
          <w:sz w:val="24"/>
        </w:rPr>
        <w:t>destruction</w:t>
      </w:r>
      <w:r>
        <w:rPr>
          <w:i/>
          <w:color w:val="231F20"/>
          <w:spacing w:val="-8"/>
          <w:sz w:val="24"/>
        </w:rPr>
        <w:t> </w:t>
      </w:r>
      <w:r>
        <w:rPr>
          <w:i/>
          <w:color w:val="231F20"/>
          <w:spacing w:val="-4"/>
          <w:sz w:val="24"/>
        </w:rPr>
        <w:t>d'une </w:t>
      </w:r>
      <w:r>
        <w:rPr>
          <w:i/>
          <w:color w:val="231F20"/>
          <w:sz w:val="24"/>
        </w:rPr>
        <w:t>installation</w:t>
      </w:r>
      <w:r>
        <w:rPr>
          <w:i/>
          <w:color w:val="231F20"/>
          <w:spacing w:val="-15"/>
          <w:sz w:val="24"/>
        </w:rPr>
        <w:t> </w:t>
      </w:r>
      <w:r>
        <w:rPr>
          <w:i/>
          <w:color w:val="231F20"/>
          <w:sz w:val="24"/>
        </w:rPr>
        <w:t>appartenant</w:t>
      </w:r>
      <w:r>
        <w:rPr>
          <w:i/>
          <w:color w:val="231F20"/>
          <w:spacing w:val="-10"/>
          <w:sz w:val="24"/>
        </w:rPr>
        <w:t> </w:t>
      </w:r>
      <w:r>
        <w:rPr>
          <w:i/>
          <w:color w:val="231F20"/>
          <w:sz w:val="24"/>
        </w:rPr>
        <w:t>à</w:t>
      </w:r>
      <w:r>
        <w:rPr>
          <w:i/>
          <w:color w:val="231F20"/>
          <w:spacing w:val="-8"/>
          <w:sz w:val="24"/>
        </w:rPr>
        <w:t> </w:t>
      </w:r>
      <w:r>
        <w:rPr>
          <w:i/>
          <w:color w:val="231F20"/>
          <w:sz w:val="24"/>
        </w:rPr>
        <w:t>autrui,</w:t>
      </w:r>
      <w:r>
        <w:rPr>
          <w:i/>
          <w:color w:val="231F20"/>
          <w:spacing w:val="-10"/>
          <w:sz w:val="24"/>
        </w:rPr>
        <w:t> </w:t>
      </w:r>
      <w:r>
        <w:rPr>
          <w:i/>
          <w:color w:val="231F20"/>
          <w:sz w:val="24"/>
        </w:rPr>
        <w:t>détournement</w:t>
      </w:r>
      <w:r>
        <w:rPr>
          <w:i/>
          <w:color w:val="231F20"/>
          <w:spacing w:val="-8"/>
          <w:sz w:val="24"/>
        </w:rPr>
        <w:t> </w:t>
      </w:r>
      <w:r>
        <w:rPr>
          <w:i/>
          <w:color w:val="231F20"/>
          <w:sz w:val="24"/>
        </w:rPr>
        <w:t>de</w:t>
      </w:r>
      <w:r>
        <w:rPr>
          <w:i/>
          <w:color w:val="231F20"/>
          <w:spacing w:val="-9"/>
          <w:sz w:val="24"/>
        </w:rPr>
        <w:t> </w:t>
      </w:r>
      <w:r>
        <w:rPr>
          <w:i/>
          <w:color w:val="231F20"/>
          <w:sz w:val="24"/>
        </w:rPr>
        <w:t>deniers</w:t>
      </w:r>
      <w:r>
        <w:rPr>
          <w:i/>
          <w:color w:val="231F20"/>
          <w:spacing w:val="-9"/>
          <w:sz w:val="24"/>
        </w:rPr>
        <w:t> </w:t>
      </w:r>
      <w:r>
        <w:rPr>
          <w:i/>
          <w:color w:val="231F20"/>
          <w:sz w:val="24"/>
        </w:rPr>
        <w:t>publics</w:t>
      </w:r>
      <w:r>
        <w:rPr>
          <w:i/>
          <w:color w:val="231F20"/>
          <w:spacing w:val="-15"/>
          <w:sz w:val="24"/>
        </w:rPr>
        <w:t> </w:t>
      </w:r>
      <w:r>
        <w:rPr>
          <w:i/>
          <w:color w:val="231F20"/>
          <w:sz w:val="24"/>
        </w:rPr>
        <w:t>»</w:t>
      </w:r>
      <w:r>
        <w:rPr>
          <w:i/>
          <w:color w:val="231F20"/>
          <w:spacing w:val="-9"/>
          <w:sz w:val="24"/>
        </w:rPr>
        <w:t> </w:t>
      </w:r>
      <w:r>
        <w:rPr>
          <w:color w:val="231F20"/>
          <w:sz w:val="24"/>
        </w:rPr>
        <w:t>en vue</w:t>
      </w:r>
      <w:r>
        <w:rPr>
          <w:color w:val="231F20"/>
          <w:spacing w:val="-6"/>
          <w:sz w:val="24"/>
        </w:rPr>
        <w:t> </w:t>
      </w:r>
      <w:r>
        <w:rPr>
          <w:color w:val="231F20"/>
          <w:sz w:val="24"/>
        </w:rPr>
        <w:t>d'obtenir</w:t>
      </w:r>
      <w:r>
        <w:rPr>
          <w:color w:val="231F20"/>
          <w:spacing w:val="-6"/>
          <w:sz w:val="24"/>
        </w:rPr>
        <w:t> </w:t>
      </w:r>
      <w:r>
        <w:rPr>
          <w:color w:val="231F20"/>
          <w:sz w:val="24"/>
        </w:rPr>
        <w:t>des</w:t>
      </w:r>
      <w:r>
        <w:rPr>
          <w:color w:val="231F20"/>
          <w:spacing w:val="-9"/>
          <w:sz w:val="24"/>
        </w:rPr>
        <w:t> </w:t>
      </w:r>
      <w:r>
        <w:rPr>
          <w:color w:val="231F20"/>
          <w:sz w:val="24"/>
        </w:rPr>
        <w:t>liquidités</w:t>
      </w:r>
      <w:r>
        <w:rPr>
          <w:color w:val="231F20"/>
          <w:spacing w:val="-7"/>
          <w:sz w:val="24"/>
        </w:rPr>
        <w:t> </w:t>
      </w:r>
      <w:r>
        <w:rPr>
          <w:color w:val="231F20"/>
          <w:sz w:val="24"/>
        </w:rPr>
        <w:t>en</w:t>
      </w:r>
      <w:r>
        <w:rPr>
          <w:color w:val="231F20"/>
          <w:spacing w:val="-6"/>
          <w:sz w:val="24"/>
        </w:rPr>
        <w:t> </w:t>
      </w:r>
      <w:r>
        <w:rPr>
          <w:color w:val="231F20"/>
          <w:sz w:val="24"/>
        </w:rPr>
        <w:t>pleine</w:t>
      </w:r>
      <w:r>
        <w:rPr>
          <w:color w:val="231F20"/>
          <w:spacing w:val="-8"/>
          <w:sz w:val="24"/>
        </w:rPr>
        <w:t> </w:t>
      </w:r>
      <w:r>
        <w:rPr>
          <w:color w:val="231F20"/>
          <w:sz w:val="24"/>
        </w:rPr>
        <w:t>crise</w:t>
      </w:r>
      <w:r>
        <w:rPr>
          <w:color w:val="231F20"/>
          <w:spacing w:val="-8"/>
          <w:sz w:val="24"/>
        </w:rPr>
        <w:t> </w:t>
      </w:r>
      <w:r>
        <w:rPr>
          <w:color w:val="231F20"/>
          <w:sz w:val="24"/>
        </w:rPr>
        <w:t>postélectorale.</w:t>
      </w:r>
    </w:p>
    <w:p>
      <w:pPr>
        <w:spacing w:before="120"/>
        <w:ind w:left="111" w:right="103" w:firstLine="283"/>
        <w:jc w:val="both"/>
        <w:rPr>
          <w:sz w:val="24"/>
        </w:rPr>
      </w:pPr>
      <w:r>
        <w:rPr>
          <w:color w:val="231F20"/>
          <w:sz w:val="24"/>
        </w:rPr>
        <w:t>Le</w:t>
      </w:r>
      <w:r>
        <w:rPr>
          <w:color w:val="231F20"/>
          <w:spacing w:val="-6"/>
          <w:sz w:val="24"/>
        </w:rPr>
        <w:t> </w:t>
      </w:r>
      <w:r>
        <w:rPr>
          <w:color w:val="231F20"/>
          <w:sz w:val="24"/>
        </w:rPr>
        <w:t>31</w:t>
      </w:r>
      <w:r>
        <w:rPr>
          <w:color w:val="231F20"/>
          <w:spacing w:val="-8"/>
          <w:sz w:val="24"/>
        </w:rPr>
        <w:t> </w:t>
      </w:r>
      <w:r>
        <w:rPr>
          <w:color w:val="231F20"/>
          <w:sz w:val="24"/>
        </w:rPr>
        <w:t>mai</w:t>
      </w:r>
      <w:r>
        <w:rPr>
          <w:color w:val="231F20"/>
          <w:spacing w:val="-8"/>
          <w:sz w:val="24"/>
        </w:rPr>
        <w:t> </w:t>
      </w:r>
      <w:r>
        <w:rPr>
          <w:color w:val="231F20"/>
          <w:sz w:val="24"/>
        </w:rPr>
        <w:t>2016,</w:t>
      </w:r>
      <w:r>
        <w:rPr>
          <w:color w:val="231F20"/>
          <w:spacing w:val="-8"/>
          <w:sz w:val="24"/>
        </w:rPr>
        <w:t> </w:t>
      </w:r>
      <w:r>
        <w:rPr>
          <w:color w:val="231F20"/>
          <w:sz w:val="24"/>
        </w:rPr>
        <w:t>Simone</w:t>
      </w:r>
      <w:r>
        <w:rPr>
          <w:color w:val="231F20"/>
          <w:spacing w:val="-10"/>
          <w:sz w:val="24"/>
        </w:rPr>
        <w:t> </w:t>
      </w:r>
      <w:r>
        <w:rPr>
          <w:color w:val="231F20"/>
          <w:sz w:val="24"/>
        </w:rPr>
        <w:t>Gbagbo</w:t>
      </w:r>
      <w:r>
        <w:rPr>
          <w:color w:val="231F20"/>
          <w:spacing w:val="-8"/>
          <w:sz w:val="24"/>
        </w:rPr>
        <w:t> </w:t>
      </w:r>
      <w:r>
        <w:rPr>
          <w:color w:val="231F20"/>
          <w:sz w:val="24"/>
        </w:rPr>
        <w:t>est</w:t>
      </w:r>
      <w:r>
        <w:rPr>
          <w:color w:val="231F20"/>
          <w:spacing w:val="-7"/>
          <w:sz w:val="24"/>
        </w:rPr>
        <w:t> </w:t>
      </w:r>
      <w:r>
        <w:rPr>
          <w:color w:val="231F20"/>
          <w:sz w:val="24"/>
        </w:rPr>
        <w:t>à</w:t>
      </w:r>
      <w:r>
        <w:rPr>
          <w:color w:val="231F20"/>
          <w:spacing w:val="-8"/>
          <w:sz w:val="24"/>
        </w:rPr>
        <w:t> </w:t>
      </w:r>
      <w:r>
        <w:rPr>
          <w:color w:val="231F20"/>
          <w:sz w:val="24"/>
        </w:rPr>
        <w:t>nouveau</w:t>
      </w:r>
      <w:r>
        <w:rPr>
          <w:color w:val="231F20"/>
          <w:spacing w:val="-8"/>
          <w:sz w:val="24"/>
        </w:rPr>
        <w:t> </w:t>
      </w:r>
      <w:r>
        <w:rPr>
          <w:color w:val="231F20"/>
          <w:sz w:val="24"/>
        </w:rPr>
        <w:t>face</w:t>
      </w:r>
      <w:r>
        <w:rPr>
          <w:color w:val="231F20"/>
          <w:spacing w:val="-6"/>
          <w:sz w:val="24"/>
        </w:rPr>
        <w:t> </w:t>
      </w:r>
      <w:r>
        <w:rPr>
          <w:color w:val="231F20"/>
          <w:sz w:val="24"/>
        </w:rPr>
        <w:t>au</w:t>
      </w:r>
      <w:r>
        <w:rPr>
          <w:color w:val="231F20"/>
          <w:spacing w:val="-8"/>
          <w:sz w:val="24"/>
        </w:rPr>
        <w:t> </w:t>
      </w:r>
      <w:r>
        <w:rPr>
          <w:color w:val="231F20"/>
          <w:sz w:val="24"/>
        </w:rPr>
        <w:t>procureur</w:t>
      </w:r>
      <w:r>
        <w:rPr>
          <w:color w:val="231F20"/>
          <w:spacing w:val="-8"/>
          <w:sz w:val="24"/>
        </w:rPr>
        <w:t> </w:t>
      </w:r>
      <w:r>
        <w:rPr>
          <w:color w:val="231F20"/>
          <w:sz w:val="24"/>
        </w:rPr>
        <w:t>de </w:t>
      </w:r>
      <w:r>
        <w:rPr>
          <w:color w:val="231F20"/>
          <w:spacing w:val="-2"/>
          <w:sz w:val="24"/>
        </w:rPr>
        <w:t>la</w:t>
      </w:r>
      <w:r>
        <w:rPr>
          <w:color w:val="231F20"/>
          <w:spacing w:val="-13"/>
          <w:sz w:val="24"/>
        </w:rPr>
        <w:t> </w:t>
      </w:r>
      <w:r>
        <w:rPr>
          <w:color w:val="231F20"/>
          <w:spacing w:val="-2"/>
          <w:sz w:val="24"/>
        </w:rPr>
        <w:t>République,</w:t>
      </w:r>
      <w:r>
        <w:rPr>
          <w:color w:val="231F20"/>
          <w:spacing w:val="-13"/>
          <w:sz w:val="24"/>
        </w:rPr>
        <w:t> </w:t>
      </w:r>
      <w:r>
        <w:rPr>
          <w:color w:val="231F20"/>
          <w:spacing w:val="-2"/>
          <w:sz w:val="24"/>
        </w:rPr>
        <w:t>jugée</w:t>
      </w:r>
      <w:r>
        <w:rPr>
          <w:color w:val="231F20"/>
          <w:spacing w:val="-13"/>
          <w:sz w:val="24"/>
        </w:rPr>
        <w:t> </w:t>
      </w:r>
      <w:r>
        <w:rPr>
          <w:color w:val="231F20"/>
          <w:spacing w:val="-2"/>
          <w:sz w:val="24"/>
        </w:rPr>
        <w:t>par</w:t>
      </w:r>
      <w:r>
        <w:rPr>
          <w:color w:val="231F20"/>
          <w:spacing w:val="-13"/>
          <w:sz w:val="24"/>
        </w:rPr>
        <w:t> </w:t>
      </w:r>
      <w:r>
        <w:rPr>
          <w:color w:val="231F20"/>
          <w:spacing w:val="-2"/>
          <w:sz w:val="24"/>
        </w:rPr>
        <w:t>la</w:t>
      </w:r>
      <w:r>
        <w:rPr>
          <w:color w:val="231F20"/>
          <w:spacing w:val="-13"/>
          <w:sz w:val="24"/>
        </w:rPr>
        <w:t> </w:t>
      </w:r>
      <w:r>
        <w:rPr>
          <w:color w:val="231F20"/>
          <w:spacing w:val="-2"/>
          <w:sz w:val="24"/>
        </w:rPr>
        <w:t>Cour</w:t>
      </w:r>
      <w:r>
        <w:rPr>
          <w:color w:val="231F20"/>
          <w:spacing w:val="-13"/>
          <w:sz w:val="24"/>
        </w:rPr>
        <w:t> </w:t>
      </w:r>
      <w:r>
        <w:rPr>
          <w:color w:val="231F20"/>
          <w:spacing w:val="-2"/>
          <w:sz w:val="24"/>
        </w:rPr>
        <w:t>d’Assises</w:t>
      </w:r>
      <w:r>
        <w:rPr>
          <w:color w:val="231F20"/>
          <w:spacing w:val="-13"/>
          <w:sz w:val="24"/>
        </w:rPr>
        <w:t> </w:t>
      </w:r>
      <w:r>
        <w:rPr>
          <w:color w:val="231F20"/>
          <w:spacing w:val="-2"/>
          <w:sz w:val="24"/>
        </w:rPr>
        <w:t>pour</w:t>
      </w:r>
      <w:r>
        <w:rPr>
          <w:color w:val="231F20"/>
          <w:spacing w:val="-13"/>
          <w:sz w:val="24"/>
        </w:rPr>
        <w:t> </w:t>
      </w:r>
      <w:r>
        <w:rPr>
          <w:color w:val="231F20"/>
          <w:spacing w:val="-2"/>
          <w:sz w:val="24"/>
        </w:rPr>
        <w:t>crimes</w:t>
      </w:r>
      <w:r>
        <w:rPr>
          <w:color w:val="231F20"/>
          <w:spacing w:val="-13"/>
          <w:sz w:val="24"/>
        </w:rPr>
        <w:t> </w:t>
      </w:r>
      <w:r>
        <w:rPr>
          <w:color w:val="231F20"/>
          <w:spacing w:val="-2"/>
          <w:sz w:val="24"/>
        </w:rPr>
        <w:t>contre</w:t>
      </w:r>
      <w:r>
        <w:rPr>
          <w:color w:val="231F20"/>
          <w:spacing w:val="-13"/>
          <w:sz w:val="24"/>
        </w:rPr>
        <w:t> </w:t>
      </w:r>
      <w:r>
        <w:rPr>
          <w:color w:val="231F20"/>
          <w:spacing w:val="-2"/>
          <w:sz w:val="24"/>
        </w:rPr>
        <w:t>l’humanité </w:t>
      </w:r>
      <w:r>
        <w:rPr>
          <w:color w:val="231F20"/>
          <w:sz w:val="24"/>
        </w:rPr>
        <w:t>et crimes de guerre. L’accusation allègue que pendant la crise postélectorale elle a participé à une «</w:t>
      </w:r>
      <w:r>
        <w:rPr>
          <w:color w:val="231F20"/>
          <w:spacing w:val="-11"/>
          <w:sz w:val="24"/>
        </w:rPr>
        <w:t> </w:t>
      </w:r>
      <w:r>
        <w:rPr>
          <w:i/>
          <w:color w:val="231F20"/>
          <w:sz w:val="24"/>
        </w:rPr>
        <w:t>cellule de crise</w:t>
      </w:r>
      <w:r>
        <w:rPr>
          <w:i/>
          <w:color w:val="231F20"/>
          <w:spacing w:val="-13"/>
          <w:sz w:val="24"/>
        </w:rPr>
        <w:t> </w:t>
      </w:r>
      <w:r>
        <w:rPr>
          <w:color w:val="231F20"/>
          <w:sz w:val="24"/>
        </w:rPr>
        <w:t>» composée de dirigeants du parti politique de son mari et de certains membres du gouvernement. Ladite cellule aurait, selon le procureur, «</w:t>
      </w:r>
      <w:r>
        <w:rPr>
          <w:color w:val="231F20"/>
          <w:spacing w:val="-15"/>
          <w:sz w:val="24"/>
        </w:rPr>
        <w:t> </w:t>
      </w:r>
      <w:r>
        <w:rPr>
          <w:i/>
          <w:color w:val="231F20"/>
          <w:sz w:val="24"/>
        </w:rPr>
        <w:t>planifié et</w:t>
      </w:r>
      <w:r>
        <w:rPr>
          <w:i/>
          <w:color w:val="231F20"/>
          <w:sz w:val="24"/>
        </w:rPr>
        <w:t> organisé des exactions à l’encontre de partisans de Ouattara afin de maintenir son mari au pouvoir à tous prix.</w:t>
      </w:r>
      <w:r>
        <w:rPr>
          <w:i/>
          <w:color w:val="231F20"/>
          <w:spacing w:val="-15"/>
          <w:sz w:val="24"/>
        </w:rPr>
        <w:t> </w:t>
      </w:r>
      <w:r>
        <w:rPr>
          <w:i/>
          <w:color w:val="231F20"/>
          <w:sz w:val="24"/>
        </w:rPr>
        <w:t>» </w:t>
      </w:r>
      <w:r>
        <w:rPr>
          <w:color w:val="231F20"/>
          <w:sz w:val="24"/>
        </w:rPr>
        <w:t>Le procureur requiert la prison</w:t>
      </w:r>
      <w:r>
        <w:rPr>
          <w:color w:val="231F20"/>
          <w:spacing w:val="-14"/>
          <w:sz w:val="24"/>
        </w:rPr>
        <w:t> </w:t>
      </w:r>
      <w:r>
        <w:rPr>
          <w:color w:val="231F20"/>
          <w:sz w:val="24"/>
        </w:rPr>
        <w:t>à</w:t>
      </w:r>
      <w:r>
        <w:rPr>
          <w:color w:val="231F20"/>
          <w:spacing w:val="-15"/>
          <w:sz w:val="24"/>
        </w:rPr>
        <w:t> </w:t>
      </w:r>
      <w:r>
        <w:rPr>
          <w:color w:val="231F20"/>
          <w:sz w:val="24"/>
        </w:rPr>
        <w:t>vie</w:t>
      </w:r>
      <w:r>
        <w:rPr>
          <w:color w:val="231F20"/>
          <w:spacing w:val="-14"/>
          <w:sz w:val="24"/>
        </w:rPr>
        <w:t> </w:t>
      </w:r>
      <w:r>
        <w:rPr>
          <w:color w:val="231F20"/>
          <w:sz w:val="24"/>
        </w:rPr>
        <w:t>pour</w:t>
      </w:r>
      <w:r>
        <w:rPr>
          <w:color w:val="231F20"/>
          <w:spacing w:val="-15"/>
          <w:sz w:val="24"/>
        </w:rPr>
        <w:t> </w:t>
      </w:r>
      <w:r>
        <w:rPr>
          <w:color w:val="231F20"/>
          <w:sz w:val="24"/>
        </w:rPr>
        <w:t>l’ancienne</w:t>
      </w:r>
      <w:r>
        <w:rPr>
          <w:color w:val="231F20"/>
          <w:spacing w:val="-12"/>
          <w:sz w:val="24"/>
        </w:rPr>
        <w:t> </w:t>
      </w:r>
      <w:r>
        <w:rPr>
          <w:color w:val="231F20"/>
          <w:sz w:val="24"/>
        </w:rPr>
        <w:t>première</w:t>
      </w:r>
      <w:r>
        <w:rPr>
          <w:color w:val="231F20"/>
          <w:spacing w:val="-12"/>
          <w:sz w:val="24"/>
        </w:rPr>
        <w:t> </w:t>
      </w:r>
      <w:r>
        <w:rPr>
          <w:color w:val="231F20"/>
          <w:sz w:val="24"/>
        </w:rPr>
        <w:t>dame.</w:t>
      </w:r>
      <w:r>
        <w:rPr>
          <w:color w:val="231F20"/>
          <w:spacing w:val="-15"/>
          <w:sz w:val="24"/>
        </w:rPr>
        <w:t> </w:t>
      </w:r>
      <w:r>
        <w:rPr>
          <w:color w:val="231F20"/>
          <w:sz w:val="24"/>
        </w:rPr>
        <w:t>Mais</w:t>
      </w:r>
      <w:r>
        <w:rPr>
          <w:color w:val="231F20"/>
          <w:spacing w:val="-14"/>
          <w:sz w:val="24"/>
        </w:rPr>
        <w:t> </w:t>
      </w:r>
      <w:r>
        <w:rPr>
          <w:color w:val="231F20"/>
          <w:sz w:val="24"/>
        </w:rPr>
        <w:t>à</w:t>
      </w:r>
      <w:r>
        <w:rPr>
          <w:color w:val="231F20"/>
          <w:spacing w:val="-13"/>
          <w:sz w:val="24"/>
        </w:rPr>
        <w:t> </w:t>
      </w:r>
      <w:r>
        <w:rPr>
          <w:color w:val="231F20"/>
          <w:sz w:val="24"/>
        </w:rPr>
        <w:t>la</w:t>
      </w:r>
      <w:r>
        <w:rPr>
          <w:color w:val="231F20"/>
          <w:spacing w:val="-15"/>
          <w:sz w:val="24"/>
        </w:rPr>
        <w:t> </w:t>
      </w:r>
      <w:r>
        <w:rPr>
          <w:color w:val="231F20"/>
          <w:sz w:val="24"/>
        </w:rPr>
        <w:t>surprise</w:t>
      </w:r>
      <w:r>
        <w:rPr>
          <w:color w:val="231F20"/>
          <w:spacing w:val="-15"/>
          <w:sz w:val="24"/>
        </w:rPr>
        <w:t> </w:t>
      </w:r>
      <w:r>
        <w:rPr>
          <w:color w:val="231F20"/>
          <w:sz w:val="24"/>
        </w:rPr>
        <w:t>générale, Simone Gbagbo sort libre du procès, le 28 mars 2017</w:t>
      </w:r>
      <w:r>
        <w:rPr>
          <w:color w:val="231F20"/>
          <w:spacing w:val="-14"/>
          <w:sz w:val="24"/>
        </w:rPr>
        <w:t> </w:t>
      </w:r>
      <w:r>
        <w:rPr>
          <w:color w:val="231F20"/>
          <w:sz w:val="24"/>
        </w:rPr>
        <w:t>:«</w:t>
      </w:r>
      <w:r>
        <w:rPr>
          <w:color w:val="231F20"/>
          <w:spacing w:val="-12"/>
          <w:sz w:val="24"/>
        </w:rPr>
        <w:t> </w:t>
      </w:r>
      <w:r>
        <w:rPr>
          <w:i/>
          <w:color w:val="231F20"/>
          <w:sz w:val="24"/>
        </w:rPr>
        <w:t>le jury à la</w:t>
      </w:r>
      <w:r>
        <w:rPr>
          <w:i/>
          <w:color w:val="231F20"/>
          <w:sz w:val="24"/>
        </w:rPr>
        <w:t> majorité,</w:t>
      </w:r>
      <w:r>
        <w:rPr>
          <w:i/>
          <w:color w:val="231F20"/>
          <w:spacing w:val="-7"/>
          <w:sz w:val="24"/>
        </w:rPr>
        <w:t> </w:t>
      </w:r>
      <w:r>
        <w:rPr>
          <w:i/>
          <w:color w:val="231F20"/>
          <w:sz w:val="24"/>
        </w:rPr>
        <w:t>déclare</w:t>
      </w:r>
      <w:r>
        <w:rPr>
          <w:i/>
          <w:color w:val="231F20"/>
          <w:spacing w:val="-5"/>
          <w:sz w:val="24"/>
        </w:rPr>
        <w:t> </w:t>
      </w:r>
      <w:r>
        <w:rPr>
          <w:i/>
          <w:color w:val="231F20"/>
          <w:sz w:val="24"/>
        </w:rPr>
        <w:t>Simone</w:t>
      </w:r>
      <w:r>
        <w:rPr>
          <w:i/>
          <w:color w:val="231F20"/>
          <w:spacing w:val="-8"/>
          <w:sz w:val="24"/>
        </w:rPr>
        <w:t> </w:t>
      </w:r>
      <w:r>
        <w:rPr>
          <w:i/>
          <w:color w:val="231F20"/>
          <w:sz w:val="24"/>
        </w:rPr>
        <w:t>Gbagbo</w:t>
      </w:r>
      <w:r>
        <w:rPr>
          <w:i/>
          <w:color w:val="231F20"/>
          <w:spacing w:val="-7"/>
          <w:sz w:val="24"/>
        </w:rPr>
        <w:t> </w:t>
      </w:r>
      <w:r>
        <w:rPr>
          <w:i/>
          <w:color w:val="231F20"/>
          <w:sz w:val="24"/>
        </w:rPr>
        <w:t>non</w:t>
      </w:r>
      <w:r>
        <w:rPr>
          <w:i/>
          <w:color w:val="231F20"/>
          <w:spacing w:val="-5"/>
          <w:sz w:val="24"/>
        </w:rPr>
        <w:t> </w:t>
      </w:r>
      <w:r>
        <w:rPr>
          <w:i/>
          <w:color w:val="231F20"/>
          <w:sz w:val="24"/>
        </w:rPr>
        <w:t>coupable</w:t>
      </w:r>
      <w:r>
        <w:rPr>
          <w:i/>
          <w:color w:val="231F20"/>
          <w:spacing w:val="-5"/>
          <w:sz w:val="24"/>
        </w:rPr>
        <w:t> </w:t>
      </w:r>
      <w:r>
        <w:rPr>
          <w:i/>
          <w:color w:val="231F20"/>
          <w:sz w:val="24"/>
        </w:rPr>
        <w:t>des</w:t>
      </w:r>
      <w:r>
        <w:rPr>
          <w:i/>
          <w:color w:val="231F20"/>
          <w:spacing w:val="-5"/>
          <w:sz w:val="24"/>
        </w:rPr>
        <w:t> </w:t>
      </w:r>
      <w:r>
        <w:rPr>
          <w:i/>
          <w:color w:val="231F20"/>
          <w:sz w:val="24"/>
        </w:rPr>
        <w:t>crimes</w:t>
      </w:r>
      <w:r>
        <w:rPr>
          <w:i/>
          <w:color w:val="231F20"/>
          <w:spacing w:val="-5"/>
          <w:sz w:val="24"/>
        </w:rPr>
        <w:t> </w:t>
      </w:r>
      <w:r>
        <w:rPr>
          <w:i/>
          <w:color w:val="231F20"/>
          <w:sz w:val="24"/>
        </w:rPr>
        <w:t>qui</w:t>
      </w:r>
      <w:r>
        <w:rPr>
          <w:i/>
          <w:color w:val="231F20"/>
          <w:spacing w:val="-7"/>
          <w:sz w:val="24"/>
        </w:rPr>
        <w:t> </w:t>
      </w:r>
      <w:r>
        <w:rPr>
          <w:i/>
          <w:color w:val="231F20"/>
          <w:sz w:val="24"/>
        </w:rPr>
        <w:t>lui</w:t>
      </w:r>
      <w:r>
        <w:rPr>
          <w:i/>
          <w:color w:val="231F20"/>
          <w:spacing w:val="-7"/>
          <w:sz w:val="24"/>
        </w:rPr>
        <w:t> </w:t>
      </w:r>
      <w:r>
        <w:rPr>
          <w:i/>
          <w:color w:val="231F20"/>
          <w:sz w:val="24"/>
        </w:rPr>
        <w:t>sont reprochés, prononce son acquittement et ordonne qu’elle soit remise immédiatement</w:t>
      </w:r>
      <w:r>
        <w:rPr>
          <w:i/>
          <w:color w:val="231F20"/>
          <w:spacing w:val="-13"/>
          <w:sz w:val="24"/>
        </w:rPr>
        <w:t> </w:t>
      </w:r>
      <w:r>
        <w:rPr>
          <w:i/>
          <w:color w:val="231F20"/>
          <w:sz w:val="24"/>
        </w:rPr>
        <w:t>en</w:t>
      </w:r>
      <w:r>
        <w:rPr>
          <w:i/>
          <w:color w:val="231F20"/>
          <w:spacing w:val="-11"/>
          <w:sz w:val="24"/>
        </w:rPr>
        <w:t> </w:t>
      </w:r>
      <w:r>
        <w:rPr>
          <w:i/>
          <w:color w:val="231F20"/>
          <w:sz w:val="24"/>
        </w:rPr>
        <w:t>liberté</w:t>
      </w:r>
      <w:r>
        <w:rPr>
          <w:i/>
          <w:color w:val="231F20"/>
          <w:spacing w:val="-6"/>
          <w:sz w:val="24"/>
        </w:rPr>
        <w:t> </w:t>
      </w:r>
      <w:r>
        <w:rPr>
          <w:i/>
          <w:color w:val="231F20"/>
          <w:sz w:val="24"/>
        </w:rPr>
        <w:t>si</w:t>
      </w:r>
      <w:r>
        <w:rPr>
          <w:i/>
          <w:color w:val="231F20"/>
          <w:spacing w:val="-6"/>
          <w:sz w:val="24"/>
        </w:rPr>
        <w:t> </w:t>
      </w:r>
      <w:r>
        <w:rPr>
          <w:i/>
          <w:color w:val="231F20"/>
          <w:sz w:val="24"/>
        </w:rPr>
        <w:t>elle</w:t>
      </w:r>
      <w:r>
        <w:rPr>
          <w:i/>
          <w:color w:val="231F20"/>
          <w:spacing w:val="-9"/>
          <w:sz w:val="24"/>
        </w:rPr>
        <w:t> </w:t>
      </w:r>
      <w:r>
        <w:rPr>
          <w:i/>
          <w:color w:val="231F20"/>
          <w:sz w:val="24"/>
        </w:rPr>
        <w:t>n’est</w:t>
      </w:r>
      <w:r>
        <w:rPr>
          <w:i/>
          <w:color w:val="231F20"/>
          <w:spacing w:val="-6"/>
          <w:sz w:val="24"/>
        </w:rPr>
        <w:t> </w:t>
      </w:r>
      <w:r>
        <w:rPr>
          <w:i/>
          <w:color w:val="231F20"/>
          <w:sz w:val="24"/>
        </w:rPr>
        <w:t>retenue</w:t>
      </w:r>
      <w:r>
        <w:rPr>
          <w:i/>
          <w:color w:val="231F20"/>
          <w:spacing w:val="-8"/>
          <w:sz w:val="24"/>
        </w:rPr>
        <w:t> </w:t>
      </w:r>
      <w:r>
        <w:rPr>
          <w:i/>
          <w:color w:val="231F20"/>
          <w:sz w:val="24"/>
        </w:rPr>
        <w:t>pour</w:t>
      </w:r>
      <w:r>
        <w:rPr>
          <w:i/>
          <w:color w:val="231F20"/>
          <w:spacing w:val="-7"/>
          <w:sz w:val="24"/>
        </w:rPr>
        <w:t> </w:t>
      </w:r>
      <w:r>
        <w:rPr>
          <w:i/>
          <w:color w:val="231F20"/>
          <w:sz w:val="24"/>
        </w:rPr>
        <w:t>d’autres</w:t>
      </w:r>
      <w:r>
        <w:rPr>
          <w:i/>
          <w:color w:val="231F20"/>
          <w:spacing w:val="-8"/>
          <w:sz w:val="24"/>
        </w:rPr>
        <w:t> </w:t>
      </w:r>
      <w:r>
        <w:rPr>
          <w:i/>
          <w:color w:val="231F20"/>
          <w:sz w:val="24"/>
        </w:rPr>
        <w:t>causes</w:t>
      </w:r>
      <w:r>
        <w:rPr>
          <w:color w:val="231F20"/>
          <w:sz w:val="24"/>
          <w:vertAlign w:val="superscript"/>
        </w:rPr>
        <w:t>216</w:t>
      </w:r>
      <w:r>
        <w:rPr>
          <w:color w:val="231F20"/>
          <w:spacing w:val="-23"/>
          <w:sz w:val="24"/>
          <w:vertAlign w:val="baseline"/>
        </w:rPr>
        <w:t> </w:t>
      </w:r>
      <w:r>
        <w:rPr>
          <w:color w:val="231F20"/>
          <w:spacing w:val="-10"/>
          <w:sz w:val="24"/>
          <w:vertAlign w:val="baseline"/>
        </w:rPr>
        <w:t>»</w:t>
      </w:r>
    </w:p>
    <w:p>
      <w:pPr>
        <w:pStyle w:val="BodyText"/>
        <w:ind w:left="0"/>
        <w:jc w:val="left"/>
        <w:rPr>
          <w:sz w:val="20"/>
        </w:rPr>
      </w:pPr>
    </w:p>
    <w:p>
      <w:pPr>
        <w:pStyle w:val="BodyText"/>
        <w:ind w:left="0"/>
        <w:jc w:val="left"/>
        <w:rPr>
          <w:sz w:val="20"/>
        </w:rPr>
      </w:pPr>
    </w:p>
    <w:p>
      <w:pPr>
        <w:pStyle w:val="BodyText"/>
        <w:spacing w:before="25"/>
        <w:ind w:left="0"/>
        <w:jc w:val="left"/>
        <w:rPr>
          <w:sz w:val="20"/>
        </w:rPr>
      </w:pPr>
      <w:r>
        <w:rPr/>
        <mc:AlternateContent>
          <mc:Choice Requires="wps">
            <w:drawing>
              <wp:anchor distT="0" distB="0" distL="0" distR="0" allowOverlap="1" layoutInCell="1" locked="0" behindDoc="1" simplePos="0" relativeHeight="487654912">
                <wp:simplePos x="0" y="0"/>
                <wp:positionH relativeFrom="page">
                  <wp:posOffset>629907</wp:posOffset>
                </wp:positionH>
                <wp:positionV relativeFrom="paragraph">
                  <wp:posOffset>177378</wp:posOffset>
                </wp:positionV>
                <wp:extent cx="1829435" cy="9525"/>
                <wp:effectExtent l="0" t="0" r="0" b="0"/>
                <wp:wrapTopAndBottom/>
                <wp:docPr id="160" name="Graphic 160"/>
                <wp:cNvGraphicFramePr>
                  <a:graphicFrameLocks/>
                </wp:cNvGraphicFramePr>
                <a:graphic>
                  <a:graphicData uri="http://schemas.microsoft.com/office/word/2010/wordprocessingShape">
                    <wps:wsp>
                      <wps:cNvPr id="160" name="Graphic 16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966797pt;width:144.020pt;height:.72pt;mso-position-horizontal-relative:page;mso-position-vertical-relative:paragraph;z-index:-15661568;mso-wrap-distance-left:0;mso-wrap-distance-right:0" id="docshape158" filled="true" fillcolor="#231f20" stroked="false">
                <v:fill type="solid"/>
                <w10:wrap type="topAndBottom"/>
              </v:rect>
            </w:pict>
          </mc:Fallback>
        </mc:AlternateContent>
      </w:r>
    </w:p>
    <w:p>
      <w:pPr>
        <w:spacing w:before="94"/>
        <w:ind w:left="111" w:right="0" w:firstLine="47"/>
        <w:jc w:val="left"/>
        <w:rPr>
          <w:sz w:val="20"/>
        </w:rPr>
      </w:pPr>
      <w:r>
        <w:rPr>
          <w:color w:val="76787A"/>
          <w:sz w:val="20"/>
          <w:vertAlign w:val="superscript"/>
        </w:rPr>
        <w:t>216</w:t>
      </w:r>
      <w:r>
        <w:rPr>
          <w:color w:val="1C1D1B"/>
          <w:sz w:val="20"/>
          <w:vertAlign w:val="baseline"/>
        </w:rPr>
        <w:t>Kouadjo</w:t>
      </w:r>
      <w:r>
        <w:rPr>
          <w:color w:val="1C1D1B"/>
          <w:spacing w:val="-8"/>
          <w:sz w:val="20"/>
          <w:vertAlign w:val="baseline"/>
        </w:rPr>
        <w:t> </w:t>
      </w:r>
      <w:r>
        <w:rPr>
          <w:color w:val="1C1D1B"/>
          <w:sz w:val="20"/>
          <w:vertAlign w:val="baseline"/>
        </w:rPr>
        <w:t>Boiqui,</w:t>
      </w:r>
      <w:r>
        <w:rPr>
          <w:color w:val="1C1D1B"/>
          <w:spacing w:val="-8"/>
          <w:sz w:val="20"/>
          <w:vertAlign w:val="baseline"/>
        </w:rPr>
        <w:t> </w:t>
      </w:r>
      <w:r>
        <w:rPr>
          <w:color w:val="1C1D1B"/>
          <w:sz w:val="20"/>
          <w:vertAlign w:val="baseline"/>
        </w:rPr>
        <w:t>président</w:t>
      </w:r>
      <w:r>
        <w:rPr>
          <w:color w:val="1C1D1B"/>
          <w:spacing w:val="-8"/>
          <w:sz w:val="20"/>
          <w:vertAlign w:val="baseline"/>
        </w:rPr>
        <w:t> </w:t>
      </w:r>
      <w:r>
        <w:rPr>
          <w:color w:val="1C1D1B"/>
          <w:sz w:val="20"/>
          <w:vertAlign w:val="baseline"/>
        </w:rPr>
        <w:t>de</w:t>
      </w:r>
      <w:r>
        <w:rPr>
          <w:color w:val="1C1D1B"/>
          <w:spacing w:val="-8"/>
          <w:sz w:val="20"/>
          <w:vertAlign w:val="baseline"/>
        </w:rPr>
        <w:t> </w:t>
      </w:r>
      <w:r>
        <w:rPr>
          <w:color w:val="1C1D1B"/>
          <w:sz w:val="20"/>
          <w:vertAlign w:val="baseline"/>
        </w:rPr>
        <w:t>la</w:t>
      </w:r>
      <w:r>
        <w:rPr>
          <w:color w:val="1C1D1B"/>
          <w:spacing w:val="-5"/>
          <w:sz w:val="20"/>
          <w:vertAlign w:val="baseline"/>
        </w:rPr>
        <w:t> </w:t>
      </w:r>
      <w:r>
        <w:rPr>
          <w:color w:val="1C1D1B"/>
          <w:sz w:val="20"/>
          <w:vertAlign w:val="baseline"/>
        </w:rPr>
        <w:t>Cour</w:t>
      </w:r>
      <w:r>
        <w:rPr>
          <w:color w:val="1C1D1B"/>
          <w:spacing w:val="-9"/>
          <w:sz w:val="20"/>
          <w:vertAlign w:val="baseline"/>
        </w:rPr>
        <w:t> </w:t>
      </w:r>
      <w:r>
        <w:rPr>
          <w:color w:val="1C1D1B"/>
          <w:sz w:val="20"/>
          <w:vertAlign w:val="baseline"/>
        </w:rPr>
        <w:t>d’assises</w:t>
      </w:r>
      <w:r>
        <w:rPr>
          <w:color w:val="1C1D1B"/>
          <w:spacing w:val="-8"/>
          <w:sz w:val="20"/>
          <w:vertAlign w:val="baseline"/>
        </w:rPr>
        <w:t> </w:t>
      </w:r>
      <w:r>
        <w:rPr>
          <w:color w:val="1C1D1B"/>
          <w:sz w:val="20"/>
          <w:vertAlign w:val="baseline"/>
        </w:rPr>
        <w:t>d’Abidjan</w:t>
      </w:r>
      <w:r>
        <w:rPr>
          <w:color w:val="1C1D1B"/>
          <w:spacing w:val="-13"/>
          <w:sz w:val="20"/>
          <w:vertAlign w:val="baseline"/>
        </w:rPr>
        <w:t> </w:t>
      </w:r>
      <w:r>
        <w:rPr>
          <w:color w:val="1C1D1B"/>
          <w:sz w:val="20"/>
          <w:vertAlign w:val="baseline"/>
        </w:rPr>
        <w:t>jugeant</w:t>
      </w:r>
      <w:r>
        <w:rPr>
          <w:color w:val="1C1D1B"/>
          <w:spacing w:val="-6"/>
          <w:sz w:val="20"/>
          <w:vertAlign w:val="baseline"/>
        </w:rPr>
        <w:t> </w:t>
      </w:r>
      <w:r>
        <w:rPr>
          <w:color w:val="1C1D1B"/>
          <w:sz w:val="20"/>
          <w:vertAlign w:val="baseline"/>
        </w:rPr>
        <w:t>Simone</w:t>
      </w:r>
      <w:r>
        <w:rPr>
          <w:color w:val="1C1D1B"/>
          <w:spacing w:val="-7"/>
          <w:sz w:val="20"/>
          <w:vertAlign w:val="baseline"/>
        </w:rPr>
        <w:t> </w:t>
      </w:r>
      <w:r>
        <w:rPr>
          <w:color w:val="1C1D1B"/>
          <w:sz w:val="20"/>
          <w:vertAlign w:val="baseline"/>
        </w:rPr>
        <w:t>Gbagbo depuis mai 2016.</w:t>
      </w:r>
    </w:p>
    <w:p>
      <w:pPr>
        <w:spacing w:after="0"/>
        <w:jc w:val="left"/>
        <w:rPr>
          <w:sz w:val="20"/>
        </w:rPr>
        <w:sectPr>
          <w:pgSz w:w="8790" w:h="13610"/>
          <w:pgMar w:header="0" w:footer="802" w:top="1060" w:bottom="1000" w:left="880" w:right="880"/>
        </w:sectPr>
      </w:pPr>
    </w:p>
    <w:p>
      <w:pPr>
        <w:spacing w:before="66"/>
        <w:ind w:left="111" w:right="108" w:firstLine="0"/>
        <w:jc w:val="both"/>
        <w:rPr>
          <w:sz w:val="24"/>
        </w:rPr>
      </w:pPr>
      <w:r>
        <w:rPr>
          <w:color w:val="231F20"/>
          <w:spacing w:val="-2"/>
          <w:sz w:val="24"/>
        </w:rPr>
        <w:t>Elle</w:t>
      </w:r>
      <w:r>
        <w:rPr>
          <w:color w:val="231F20"/>
          <w:spacing w:val="-11"/>
          <w:sz w:val="24"/>
        </w:rPr>
        <w:t> </w:t>
      </w:r>
      <w:r>
        <w:rPr>
          <w:color w:val="231F20"/>
          <w:spacing w:val="-2"/>
          <w:sz w:val="24"/>
        </w:rPr>
        <w:t>reste</w:t>
      </w:r>
      <w:r>
        <w:rPr>
          <w:color w:val="231F20"/>
          <w:spacing w:val="-11"/>
          <w:sz w:val="24"/>
        </w:rPr>
        <w:t> </w:t>
      </w:r>
      <w:r>
        <w:rPr>
          <w:color w:val="231F20"/>
          <w:spacing w:val="-2"/>
          <w:sz w:val="24"/>
        </w:rPr>
        <w:t>toutefois</w:t>
      </w:r>
      <w:r>
        <w:rPr>
          <w:color w:val="231F20"/>
          <w:spacing w:val="-10"/>
          <w:sz w:val="24"/>
        </w:rPr>
        <w:t> </w:t>
      </w:r>
      <w:r>
        <w:rPr>
          <w:color w:val="231F20"/>
          <w:spacing w:val="-2"/>
          <w:sz w:val="24"/>
        </w:rPr>
        <w:t>emprisonnée,</w:t>
      </w:r>
      <w:r>
        <w:rPr>
          <w:color w:val="231F20"/>
          <w:spacing w:val="-11"/>
          <w:sz w:val="24"/>
        </w:rPr>
        <w:t> </w:t>
      </w:r>
      <w:r>
        <w:rPr>
          <w:color w:val="231F20"/>
          <w:spacing w:val="-2"/>
          <w:sz w:val="24"/>
        </w:rPr>
        <w:t>ayant</w:t>
      </w:r>
      <w:r>
        <w:rPr>
          <w:color w:val="231F20"/>
          <w:spacing w:val="-11"/>
          <w:sz w:val="24"/>
        </w:rPr>
        <w:t> </w:t>
      </w:r>
      <w:r>
        <w:rPr>
          <w:color w:val="231F20"/>
          <w:spacing w:val="-2"/>
          <w:sz w:val="24"/>
        </w:rPr>
        <w:t>été</w:t>
      </w:r>
      <w:r>
        <w:rPr>
          <w:color w:val="231F20"/>
          <w:spacing w:val="-11"/>
          <w:sz w:val="24"/>
        </w:rPr>
        <w:t> </w:t>
      </w:r>
      <w:r>
        <w:rPr>
          <w:color w:val="231F20"/>
          <w:spacing w:val="-2"/>
          <w:sz w:val="24"/>
        </w:rPr>
        <w:t>condamnée</w:t>
      </w:r>
      <w:r>
        <w:rPr>
          <w:color w:val="231F20"/>
          <w:spacing w:val="-11"/>
          <w:sz w:val="24"/>
        </w:rPr>
        <w:t> </w:t>
      </w:r>
      <w:r>
        <w:rPr>
          <w:color w:val="231F20"/>
          <w:spacing w:val="-2"/>
          <w:sz w:val="24"/>
        </w:rPr>
        <w:t>à</w:t>
      </w:r>
      <w:r>
        <w:rPr>
          <w:color w:val="231F20"/>
          <w:spacing w:val="-11"/>
          <w:sz w:val="24"/>
        </w:rPr>
        <w:t> </w:t>
      </w:r>
      <w:r>
        <w:rPr>
          <w:color w:val="231F20"/>
          <w:spacing w:val="-2"/>
          <w:sz w:val="24"/>
        </w:rPr>
        <w:t>20</w:t>
      </w:r>
      <w:r>
        <w:rPr>
          <w:color w:val="231F20"/>
          <w:spacing w:val="-11"/>
          <w:sz w:val="24"/>
        </w:rPr>
        <w:t> </w:t>
      </w:r>
      <w:r>
        <w:rPr>
          <w:color w:val="231F20"/>
          <w:spacing w:val="-2"/>
          <w:sz w:val="24"/>
        </w:rPr>
        <w:t>ans</w:t>
      </w:r>
      <w:r>
        <w:rPr>
          <w:color w:val="231F20"/>
          <w:spacing w:val="-11"/>
          <w:sz w:val="24"/>
        </w:rPr>
        <w:t> </w:t>
      </w:r>
      <w:r>
        <w:rPr>
          <w:color w:val="231F20"/>
          <w:spacing w:val="-2"/>
          <w:sz w:val="24"/>
        </w:rPr>
        <w:t>de</w:t>
      </w:r>
      <w:r>
        <w:rPr>
          <w:color w:val="231F20"/>
          <w:spacing w:val="-11"/>
          <w:sz w:val="24"/>
        </w:rPr>
        <w:t> </w:t>
      </w:r>
      <w:r>
        <w:rPr>
          <w:color w:val="231F20"/>
          <w:spacing w:val="-2"/>
          <w:sz w:val="24"/>
        </w:rPr>
        <w:t>prison </w:t>
      </w:r>
      <w:r>
        <w:rPr>
          <w:color w:val="231F20"/>
          <w:sz w:val="24"/>
        </w:rPr>
        <w:t>en 2015</w:t>
      </w:r>
      <w:r>
        <w:rPr>
          <w:color w:val="231F20"/>
          <w:spacing w:val="-2"/>
          <w:sz w:val="24"/>
        </w:rPr>
        <w:t> </w:t>
      </w:r>
      <w:r>
        <w:rPr>
          <w:color w:val="231F20"/>
          <w:sz w:val="24"/>
        </w:rPr>
        <w:t>pour</w:t>
      </w:r>
      <w:r>
        <w:rPr>
          <w:color w:val="231F20"/>
          <w:spacing w:val="-2"/>
          <w:sz w:val="24"/>
        </w:rPr>
        <w:t> </w:t>
      </w:r>
      <w:r>
        <w:rPr>
          <w:i/>
          <w:color w:val="231F20"/>
          <w:sz w:val="24"/>
        </w:rPr>
        <w:t>« atteinte</w:t>
      </w:r>
      <w:r>
        <w:rPr>
          <w:i/>
          <w:color w:val="231F20"/>
          <w:spacing w:val="-4"/>
          <w:sz w:val="24"/>
        </w:rPr>
        <w:t> </w:t>
      </w:r>
      <w:r>
        <w:rPr>
          <w:i/>
          <w:color w:val="231F20"/>
          <w:sz w:val="24"/>
        </w:rPr>
        <w:t>à la sûreté de</w:t>
      </w:r>
      <w:r>
        <w:rPr>
          <w:i/>
          <w:color w:val="231F20"/>
          <w:spacing w:val="-4"/>
          <w:sz w:val="24"/>
        </w:rPr>
        <w:t> </w:t>
      </w:r>
      <w:r>
        <w:rPr>
          <w:i/>
          <w:color w:val="231F20"/>
          <w:sz w:val="24"/>
        </w:rPr>
        <w:t>l'État »</w:t>
      </w:r>
      <w:r>
        <w:rPr>
          <w:color w:val="231F20"/>
          <w:sz w:val="24"/>
        </w:rPr>
        <w:t>.</w:t>
      </w:r>
    </w:p>
    <w:p>
      <w:pPr>
        <w:pStyle w:val="BodyText"/>
        <w:spacing w:before="120"/>
        <w:ind w:right="105" w:firstLine="283"/>
      </w:pPr>
      <w:r>
        <w:rPr>
          <w:color w:val="231F20"/>
        </w:rPr>
        <w:t>Le</w:t>
      </w:r>
      <w:r>
        <w:rPr>
          <w:color w:val="231F20"/>
          <w:spacing w:val="-15"/>
        </w:rPr>
        <w:t> </w:t>
      </w:r>
      <w:r>
        <w:rPr>
          <w:color w:val="231F20"/>
        </w:rPr>
        <w:t>6</w:t>
      </w:r>
      <w:r>
        <w:rPr>
          <w:color w:val="231F20"/>
          <w:spacing w:val="-15"/>
        </w:rPr>
        <w:t> </w:t>
      </w:r>
      <w:r>
        <w:rPr>
          <w:color w:val="231F20"/>
        </w:rPr>
        <w:t>août</w:t>
      </w:r>
      <w:r>
        <w:rPr>
          <w:color w:val="231F20"/>
          <w:spacing w:val="-14"/>
        </w:rPr>
        <w:t> </w:t>
      </w:r>
      <w:r>
        <w:rPr>
          <w:color w:val="231F20"/>
        </w:rPr>
        <w:t>2018,</w:t>
      </w:r>
      <w:r>
        <w:rPr>
          <w:color w:val="231F20"/>
          <w:spacing w:val="-12"/>
        </w:rPr>
        <w:t> </w:t>
      </w:r>
      <w:r>
        <w:rPr>
          <w:color w:val="231F20"/>
        </w:rPr>
        <w:t>à</w:t>
      </w:r>
      <w:r>
        <w:rPr>
          <w:color w:val="231F20"/>
          <w:spacing w:val="-13"/>
        </w:rPr>
        <w:t> </w:t>
      </w:r>
      <w:r>
        <w:rPr>
          <w:color w:val="231F20"/>
        </w:rPr>
        <w:t>la</w:t>
      </w:r>
      <w:r>
        <w:rPr>
          <w:color w:val="231F20"/>
          <w:spacing w:val="-13"/>
        </w:rPr>
        <w:t> </w:t>
      </w:r>
      <w:r>
        <w:rPr>
          <w:color w:val="231F20"/>
        </w:rPr>
        <w:t>veille</w:t>
      </w:r>
      <w:r>
        <w:rPr>
          <w:color w:val="231F20"/>
          <w:spacing w:val="-15"/>
        </w:rPr>
        <w:t> </w:t>
      </w:r>
      <w:r>
        <w:rPr>
          <w:color w:val="231F20"/>
        </w:rPr>
        <w:t>de</w:t>
      </w:r>
      <w:r>
        <w:rPr>
          <w:color w:val="231F20"/>
          <w:spacing w:val="-13"/>
        </w:rPr>
        <w:t> </w:t>
      </w:r>
      <w:r>
        <w:rPr>
          <w:color w:val="231F20"/>
        </w:rPr>
        <w:t>la</w:t>
      </w:r>
      <w:r>
        <w:rPr>
          <w:color w:val="231F20"/>
          <w:spacing w:val="-13"/>
        </w:rPr>
        <w:t> </w:t>
      </w:r>
      <w:r>
        <w:rPr>
          <w:color w:val="231F20"/>
        </w:rPr>
        <w:t>célébration</w:t>
      </w:r>
      <w:r>
        <w:rPr>
          <w:color w:val="231F20"/>
          <w:spacing w:val="-13"/>
        </w:rPr>
        <w:t> </w:t>
      </w:r>
      <w:r>
        <w:rPr>
          <w:color w:val="231F20"/>
        </w:rPr>
        <w:t>du</w:t>
      </w:r>
      <w:r>
        <w:rPr>
          <w:color w:val="231F20"/>
          <w:spacing w:val="-13"/>
        </w:rPr>
        <w:t> </w:t>
      </w:r>
      <w:r>
        <w:rPr>
          <w:color w:val="231F20"/>
        </w:rPr>
        <w:t>58ème</w:t>
      </w:r>
      <w:r>
        <w:rPr>
          <w:color w:val="231F20"/>
          <w:spacing w:val="-13"/>
        </w:rPr>
        <w:t> </w:t>
      </w:r>
      <w:r>
        <w:rPr>
          <w:color w:val="231F20"/>
        </w:rPr>
        <w:t>anniversaire</w:t>
      </w:r>
      <w:r>
        <w:rPr>
          <w:color w:val="231F20"/>
          <w:spacing w:val="-14"/>
        </w:rPr>
        <w:t> </w:t>
      </w:r>
      <w:r>
        <w:rPr>
          <w:color w:val="231F20"/>
        </w:rPr>
        <w:t>de </w:t>
      </w:r>
      <w:r>
        <w:rPr>
          <w:color w:val="231F20"/>
          <w:spacing w:val="-2"/>
        </w:rPr>
        <w:t>l’accession</w:t>
      </w:r>
      <w:r>
        <w:rPr>
          <w:color w:val="231F20"/>
          <w:spacing w:val="-9"/>
        </w:rPr>
        <w:t> </w:t>
      </w:r>
      <w:r>
        <w:rPr>
          <w:color w:val="231F20"/>
          <w:spacing w:val="-2"/>
        </w:rPr>
        <w:t>de</w:t>
      </w:r>
      <w:r>
        <w:rPr>
          <w:color w:val="231F20"/>
          <w:spacing w:val="-8"/>
        </w:rPr>
        <w:t> </w:t>
      </w:r>
      <w:r>
        <w:rPr>
          <w:color w:val="231F20"/>
          <w:spacing w:val="-2"/>
        </w:rPr>
        <w:t>la</w:t>
      </w:r>
      <w:r>
        <w:rPr>
          <w:color w:val="231F20"/>
          <w:spacing w:val="-9"/>
        </w:rPr>
        <w:t> </w:t>
      </w:r>
      <w:r>
        <w:rPr>
          <w:color w:val="231F20"/>
          <w:spacing w:val="-2"/>
        </w:rPr>
        <w:t>Côte</w:t>
      </w:r>
      <w:r>
        <w:rPr>
          <w:color w:val="231F20"/>
          <w:spacing w:val="-8"/>
        </w:rPr>
        <w:t> </w:t>
      </w:r>
      <w:r>
        <w:rPr>
          <w:color w:val="231F20"/>
          <w:spacing w:val="-2"/>
        </w:rPr>
        <w:t>d’Ivoire</w:t>
      </w:r>
      <w:r>
        <w:rPr>
          <w:color w:val="231F20"/>
          <w:spacing w:val="-8"/>
        </w:rPr>
        <w:t> </w:t>
      </w:r>
      <w:r>
        <w:rPr>
          <w:color w:val="231F20"/>
          <w:spacing w:val="-2"/>
        </w:rPr>
        <w:t>à</w:t>
      </w:r>
      <w:r>
        <w:rPr>
          <w:color w:val="231F20"/>
          <w:spacing w:val="-8"/>
        </w:rPr>
        <w:t> </w:t>
      </w:r>
      <w:r>
        <w:rPr>
          <w:color w:val="231F20"/>
          <w:spacing w:val="-2"/>
        </w:rPr>
        <w:t>l’Indépendance,</w:t>
      </w:r>
      <w:r>
        <w:rPr>
          <w:color w:val="231F20"/>
          <w:spacing w:val="-8"/>
        </w:rPr>
        <w:t> </w:t>
      </w:r>
      <w:r>
        <w:rPr>
          <w:color w:val="231F20"/>
          <w:spacing w:val="-2"/>
        </w:rPr>
        <w:t>Alassane</w:t>
      </w:r>
      <w:r>
        <w:rPr>
          <w:color w:val="231F20"/>
          <w:spacing w:val="-8"/>
        </w:rPr>
        <w:t> </w:t>
      </w:r>
      <w:r>
        <w:rPr>
          <w:color w:val="231F20"/>
          <w:spacing w:val="-2"/>
        </w:rPr>
        <w:t>Ouattara</w:t>
      </w:r>
      <w:r>
        <w:rPr>
          <w:color w:val="231F20"/>
          <w:spacing w:val="-8"/>
        </w:rPr>
        <w:t> </w:t>
      </w:r>
      <w:r>
        <w:rPr>
          <w:color w:val="231F20"/>
          <w:spacing w:val="-2"/>
        </w:rPr>
        <w:t>crée </w:t>
      </w:r>
      <w:r>
        <w:rPr>
          <w:color w:val="231F20"/>
        </w:rPr>
        <w:t>la</w:t>
      </w:r>
      <w:r>
        <w:rPr>
          <w:color w:val="231F20"/>
          <w:spacing w:val="-4"/>
        </w:rPr>
        <w:t> </w:t>
      </w:r>
      <w:r>
        <w:rPr>
          <w:color w:val="231F20"/>
        </w:rPr>
        <w:t>surprise</w:t>
      </w:r>
      <w:r>
        <w:rPr>
          <w:color w:val="231F20"/>
          <w:spacing w:val="-7"/>
        </w:rPr>
        <w:t> </w:t>
      </w:r>
      <w:r>
        <w:rPr>
          <w:color w:val="231F20"/>
        </w:rPr>
        <w:t>en</w:t>
      </w:r>
      <w:r>
        <w:rPr>
          <w:color w:val="231F20"/>
          <w:spacing w:val="-4"/>
        </w:rPr>
        <w:t> </w:t>
      </w:r>
      <w:r>
        <w:rPr>
          <w:color w:val="231F20"/>
        </w:rPr>
        <w:t>annonçant</w:t>
      </w:r>
      <w:r>
        <w:rPr>
          <w:color w:val="231F20"/>
          <w:spacing w:val="-7"/>
        </w:rPr>
        <w:t> </w:t>
      </w:r>
      <w:r>
        <w:rPr>
          <w:color w:val="231F20"/>
        </w:rPr>
        <w:t>l’amnistie</w:t>
      </w:r>
      <w:r>
        <w:rPr>
          <w:color w:val="231F20"/>
          <w:spacing w:val="-4"/>
        </w:rPr>
        <w:t> </w:t>
      </w:r>
      <w:r>
        <w:rPr>
          <w:color w:val="231F20"/>
        </w:rPr>
        <w:t>de</w:t>
      </w:r>
      <w:r>
        <w:rPr>
          <w:color w:val="231F20"/>
          <w:spacing w:val="-7"/>
        </w:rPr>
        <w:t> </w:t>
      </w:r>
      <w:r>
        <w:rPr>
          <w:color w:val="231F20"/>
        </w:rPr>
        <w:t>800</w:t>
      </w:r>
      <w:r>
        <w:rPr>
          <w:color w:val="231F20"/>
          <w:spacing w:val="-6"/>
        </w:rPr>
        <w:t> </w:t>
      </w:r>
      <w:r>
        <w:rPr>
          <w:color w:val="231F20"/>
        </w:rPr>
        <w:t>prisonniers</w:t>
      </w:r>
      <w:r>
        <w:rPr>
          <w:color w:val="231F20"/>
          <w:spacing w:val="-4"/>
        </w:rPr>
        <w:t> </w:t>
      </w:r>
      <w:r>
        <w:rPr>
          <w:color w:val="231F20"/>
        </w:rPr>
        <w:t>condamnés</w:t>
      </w:r>
      <w:r>
        <w:rPr>
          <w:color w:val="231F20"/>
          <w:spacing w:val="-6"/>
        </w:rPr>
        <w:t> </w:t>
      </w:r>
      <w:r>
        <w:rPr>
          <w:color w:val="231F20"/>
        </w:rPr>
        <w:t>pour des crimes en lien avec la crise post-électorale de 2010-2011. Simone Gbagbo</w:t>
      </w:r>
      <w:r>
        <w:rPr>
          <w:color w:val="231F20"/>
          <w:spacing w:val="-8"/>
        </w:rPr>
        <w:t> </w:t>
      </w:r>
      <w:r>
        <w:rPr>
          <w:color w:val="231F20"/>
        </w:rPr>
        <w:t>en</w:t>
      </w:r>
      <w:r>
        <w:rPr>
          <w:color w:val="231F20"/>
          <w:spacing w:val="-9"/>
        </w:rPr>
        <w:t> </w:t>
      </w:r>
      <w:r>
        <w:rPr>
          <w:color w:val="231F20"/>
        </w:rPr>
        <w:t>fait</w:t>
      </w:r>
      <w:r>
        <w:rPr>
          <w:color w:val="231F20"/>
          <w:spacing w:val="-10"/>
        </w:rPr>
        <w:t> </w:t>
      </w:r>
      <w:r>
        <w:rPr>
          <w:color w:val="231F20"/>
        </w:rPr>
        <w:t>partie.</w:t>
      </w:r>
      <w:r>
        <w:rPr>
          <w:color w:val="231F20"/>
          <w:spacing w:val="-9"/>
        </w:rPr>
        <w:t> </w:t>
      </w:r>
      <w:r>
        <w:rPr>
          <w:color w:val="231F20"/>
        </w:rPr>
        <w:t>Elle</w:t>
      </w:r>
      <w:r>
        <w:rPr>
          <w:color w:val="231F20"/>
          <w:spacing w:val="-9"/>
        </w:rPr>
        <w:t> </w:t>
      </w:r>
      <w:r>
        <w:rPr>
          <w:color w:val="231F20"/>
        </w:rPr>
        <w:t>est</w:t>
      </w:r>
      <w:r>
        <w:rPr>
          <w:color w:val="231F20"/>
          <w:spacing w:val="-10"/>
        </w:rPr>
        <w:t> </w:t>
      </w:r>
      <w:r>
        <w:rPr>
          <w:color w:val="231F20"/>
        </w:rPr>
        <w:t>libérée</w:t>
      </w:r>
      <w:r>
        <w:rPr>
          <w:color w:val="231F20"/>
          <w:spacing w:val="-9"/>
        </w:rPr>
        <w:t> </w:t>
      </w:r>
      <w:r>
        <w:rPr>
          <w:color w:val="231F20"/>
        </w:rPr>
        <w:t>de</w:t>
      </w:r>
      <w:r>
        <w:rPr>
          <w:color w:val="231F20"/>
          <w:spacing w:val="-11"/>
        </w:rPr>
        <w:t> </w:t>
      </w:r>
      <w:r>
        <w:rPr>
          <w:color w:val="231F20"/>
        </w:rPr>
        <w:t>l'École</w:t>
      </w:r>
      <w:r>
        <w:rPr>
          <w:color w:val="231F20"/>
          <w:spacing w:val="-11"/>
        </w:rPr>
        <w:t> </w:t>
      </w:r>
      <w:r>
        <w:rPr>
          <w:color w:val="231F20"/>
        </w:rPr>
        <w:t>de</w:t>
      </w:r>
      <w:r>
        <w:rPr>
          <w:color w:val="231F20"/>
          <w:spacing w:val="-11"/>
        </w:rPr>
        <w:t> </w:t>
      </w:r>
      <w:r>
        <w:rPr>
          <w:color w:val="231F20"/>
        </w:rPr>
        <w:t>la</w:t>
      </w:r>
      <w:r>
        <w:rPr>
          <w:color w:val="231F20"/>
          <w:spacing w:val="-11"/>
        </w:rPr>
        <w:t> </w:t>
      </w:r>
      <w:r>
        <w:rPr>
          <w:color w:val="231F20"/>
        </w:rPr>
        <w:t>gendarmerie</w:t>
      </w:r>
      <w:r>
        <w:rPr>
          <w:color w:val="231F20"/>
          <w:spacing w:val="-9"/>
        </w:rPr>
        <w:t> </w:t>
      </w:r>
      <w:r>
        <w:rPr>
          <w:color w:val="231F20"/>
        </w:rPr>
        <w:t>deux jours plus tard, le 8 août.</w:t>
      </w:r>
    </w:p>
    <w:p>
      <w:pPr>
        <w:pStyle w:val="BodyText"/>
        <w:spacing w:before="121"/>
        <w:ind w:right="104" w:firstLine="283"/>
      </w:pPr>
      <w:r>
        <w:rPr>
          <w:color w:val="231F20"/>
          <w:spacing w:val="-2"/>
        </w:rPr>
        <w:t>En</w:t>
      </w:r>
      <w:r>
        <w:rPr>
          <w:color w:val="231F20"/>
          <w:spacing w:val="-11"/>
        </w:rPr>
        <w:t> </w:t>
      </w:r>
      <w:r>
        <w:rPr>
          <w:color w:val="231F20"/>
          <w:spacing w:val="-2"/>
        </w:rPr>
        <w:t>décembre</w:t>
      </w:r>
      <w:r>
        <w:rPr>
          <w:color w:val="231F20"/>
          <w:spacing w:val="-11"/>
        </w:rPr>
        <w:t> </w:t>
      </w:r>
      <w:r>
        <w:rPr>
          <w:color w:val="231F20"/>
          <w:spacing w:val="-2"/>
        </w:rPr>
        <w:t>2019,</w:t>
      </w:r>
      <w:r>
        <w:rPr>
          <w:color w:val="231F20"/>
          <w:spacing w:val="-11"/>
        </w:rPr>
        <w:t> </w:t>
      </w:r>
      <w:r>
        <w:rPr>
          <w:color w:val="231F20"/>
          <w:spacing w:val="-2"/>
        </w:rPr>
        <w:t>Charles</w:t>
      </w:r>
      <w:r>
        <w:rPr>
          <w:color w:val="231F20"/>
          <w:spacing w:val="-11"/>
        </w:rPr>
        <w:t> </w:t>
      </w:r>
      <w:r>
        <w:rPr>
          <w:color w:val="231F20"/>
          <w:spacing w:val="-2"/>
        </w:rPr>
        <w:t>Blé</w:t>
      </w:r>
      <w:r>
        <w:rPr>
          <w:color w:val="231F20"/>
          <w:spacing w:val="-11"/>
        </w:rPr>
        <w:t> </w:t>
      </w:r>
      <w:r>
        <w:rPr>
          <w:color w:val="231F20"/>
          <w:spacing w:val="-2"/>
        </w:rPr>
        <w:t>Goudé</w:t>
      </w:r>
      <w:r>
        <w:rPr>
          <w:color w:val="231F20"/>
          <w:spacing w:val="-9"/>
        </w:rPr>
        <w:t> </w:t>
      </w:r>
      <w:r>
        <w:rPr>
          <w:color w:val="231F20"/>
          <w:spacing w:val="-2"/>
        </w:rPr>
        <w:t>qui</w:t>
      </w:r>
      <w:r>
        <w:rPr>
          <w:color w:val="231F20"/>
          <w:spacing w:val="-10"/>
        </w:rPr>
        <w:t> </w:t>
      </w:r>
      <w:r>
        <w:rPr>
          <w:color w:val="231F20"/>
          <w:spacing w:val="-2"/>
        </w:rPr>
        <w:t>se</w:t>
      </w:r>
      <w:r>
        <w:rPr>
          <w:color w:val="231F20"/>
          <w:spacing w:val="-11"/>
        </w:rPr>
        <w:t> </w:t>
      </w:r>
      <w:r>
        <w:rPr>
          <w:color w:val="231F20"/>
          <w:spacing w:val="-2"/>
        </w:rPr>
        <w:t>trouve</w:t>
      </w:r>
      <w:r>
        <w:rPr>
          <w:color w:val="231F20"/>
          <w:spacing w:val="-12"/>
        </w:rPr>
        <w:t> </w:t>
      </w:r>
      <w:r>
        <w:rPr>
          <w:color w:val="231F20"/>
          <w:spacing w:val="-2"/>
        </w:rPr>
        <w:t>à</w:t>
      </w:r>
      <w:r>
        <w:rPr>
          <w:color w:val="231F20"/>
          <w:spacing w:val="-12"/>
        </w:rPr>
        <w:t> </w:t>
      </w:r>
      <w:r>
        <w:rPr>
          <w:color w:val="231F20"/>
          <w:spacing w:val="-2"/>
        </w:rPr>
        <w:t>la</w:t>
      </w:r>
      <w:r>
        <w:rPr>
          <w:color w:val="231F20"/>
          <w:spacing w:val="-11"/>
        </w:rPr>
        <w:t> </w:t>
      </w:r>
      <w:r>
        <w:rPr>
          <w:color w:val="231F20"/>
          <w:spacing w:val="-2"/>
        </w:rPr>
        <w:t>CPI,</w:t>
      </w:r>
      <w:r>
        <w:rPr>
          <w:color w:val="231F20"/>
          <w:spacing w:val="-11"/>
        </w:rPr>
        <w:t> </w:t>
      </w:r>
      <w:r>
        <w:rPr>
          <w:color w:val="231F20"/>
          <w:spacing w:val="-2"/>
        </w:rPr>
        <w:t>est</w:t>
      </w:r>
      <w:r>
        <w:rPr>
          <w:color w:val="231F20"/>
          <w:spacing w:val="-10"/>
        </w:rPr>
        <w:t> </w:t>
      </w:r>
      <w:r>
        <w:rPr>
          <w:color w:val="231F20"/>
          <w:spacing w:val="-2"/>
        </w:rPr>
        <w:t>jugé </w:t>
      </w:r>
      <w:r>
        <w:rPr>
          <w:color w:val="231F20"/>
        </w:rPr>
        <w:t>en</w:t>
      </w:r>
      <w:r>
        <w:rPr>
          <w:color w:val="231F20"/>
          <w:spacing w:val="-5"/>
        </w:rPr>
        <w:t> </w:t>
      </w:r>
      <w:r>
        <w:rPr>
          <w:color w:val="231F20"/>
        </w:rPr>
        <w:t>Côte</w:t>
      </w:r>
      <w:r>
        <w:rPr>
          <w:color w:val="231F20"/>
          <w:spacing w:val="-3"/>
        </w:rPr>
        <w:t> </w:t>
      </w:r>
      <w:r>
        <w:rPr>
          <w:color w:val="231F20"/>
        </w:rPr>
        <w:t>d’Ivoire</w:t>
      </w:r>
      <w:r>
        <w:rPr>
          <w:color w:val="231F20"/>
          <w:spacing w:val="-3"/>
        </w:rPr>
        <w:t> </w:t>
      </w:r>
      <w:r>
        <w:rPr>
          <w:color w:val="231F20"/>
        </w:rPr>
        <w:t>en</w:t>
      </w:r>
      <w:r>
        <w:rPr>
          <w:color w:val="231F20"/>
          <w:spacing w:val="-5"/>
        </w:rPr>
        <w:t> </w:t>
      </w:r>
      <w:r>
        <w:rPr>
          <w:color w:val="231F20"/>
        </w:rPr>
        <w:t>l’absence</w:t>
      </w:r>
      <w:r>
        <w:rPr>
          <w:color w:val="231F20"/>
          <w:spacing w:val="-3"/>
        </w:rPr>
        <w:t> </w:t>
      </w:r>
      <w:r>
        <w:rPr>
          <w:color w:val="231F20"/>
        </w:rPr>
        <w:t>de</w:t>
      </w:r>
      <w:r>
        <w:rPr>
          <w:color w:val="231F20"/>
          <w:spacing w:val="-3"/>
        </w:rPr>
        <w:t> </w:t>
      </w:r>
      <w:r>
        <w:rPr>
          <w:color w:val="231F20"/>
        </w:rPr>
        <w:t>ses</w:t>
      </w:r>
      <w:r>
        <w:rPr>
          <w:color w:val="231F20"/>
          <w:spacing w:val="-3"/>
        </w:rPr>
        <w:t> </w:t>
      </w:r>
      <w:r>
        <w:rPr>
          <w:color w:val="231F20"/>
        </w:rPr>
        <w:t>avocats.</w:t>
      </w:r>
      <w:r>
        <w:rPr>
          <w:color w:val="231F20"/>
          <w:spacing w:val="-3"/>
        </w:rPr>
        <w:t> </w:t>
      </w:r>
      <w:r>
        <w:rPr>
          <w:color w:val="231F20"/>
        </w:rPr>
        <w:t>Il</w:t>
      </w:r>
      <w:r>
        <w:rPr>
          <w:color w:val="231F20"/>
          <w:spacing w:val="-2"/>
        </w:rPr>
        <w:t> </w:t>
      </w:r>
      <w:r>
        <w:rPr>
          <w:color w:val="231F20"/>
        </w:rPr>
        <w:t>est</w:t>
      </w:r>
      <w:r>
        <w:rPr>
          <w:color w:val="231F20"/>
          <w:spacing w:val="-15"/>
        </w:rPr>
        <w:t> </w:t>
      </w:r>
      <w:r>
        <w:rPr>
          <w:color w:val="231F20"/>
        </w:rPr>
        <w:t>accusé</w:t>
      </w:r>
      <w:r>
        <w:rPr>
          <w:color w:val="231F20"/>
          <w:spacing w:val="-3"/>
        </w:rPr>
        <w:t> </w:t>
      </w:r>
      <w:r>
        <w:rPr>
          <w:color w:val="231F20"/>
        </w:rPr>
        <w:t>par</w:t>
      </w:r>
      <w:r>
        <w:rPr>
          <w:color w:val="231F20"/>
          <w:spacing w:val="-3"/>
        </w:rPr>
        <w:t> </w:t>
      </w:r>
      <w:r>
        <w:rPr>
          <w:color w:val="231F20"/>
        </w:rPr>
        <w:t>la</w:t>
      </w:r>
      <w:r>
        <w:rPr>
          <w:color w:val="231F20"/>
          <w:spacing w:val="-5"/>
        </w:rPr>
        <w:t> </w:t>
      </w:r>
      <w:r>
        <w:rPr>
          <w:color w:val="231F20"/>
        </w:rPr>
        <w:t>justice ivoirienne d’«</w:t>
      </w:r>
      <w:r>
        <w:rPr>
          <w:color w:val="231F20"/>
          <w:spacing w:val="-15"/>
        </w:rPr>
        <w:t> </w:t>
      </w:r>
      <w:r>
        <w:rPr>
          <w:color w:val="231F20"/>
        </w:rPr>
        <w:t>actes de torture, homicides volontaires et viol.»Il est condamné</w:t>
      </w:r>
      <w:r>
        <w:rPr>
          <w:color w:val="231F20"/>
          <w:spacing w:val="-15"/>
        </w:rPr>
        <w:t> </w:t>
      </w:r>
      <w:r>
        <w:rPr>
          <w:color w:val="231F20"/>
        </w:rPr>
        <w:t>par</w:t>
      </w:r>
      <w:r>
        <w:rPr>
          <w:color w:val="231F20"/>
          <w:spacing w:val="-15"/>
        </w:rPr>
        <w:t> </w:t>
      </w:r>
      <w:r>
        <w:rPr>
          <w:color w:val="231F20"/>
        </w:rPr>
        <w:t>contumace</w:t>
      </w:r>
      <w:r>
        <w:rPr>
          <w:color w:val="231F20"/>
          <w:spacing w:val="-15"/>
        </w:rPr>
        <w:t> </w:t>
      </w:r>
      <w:r>
        <w:rPr>
          <w:color w:val="231F20"/>
        </w:rPr>
        <w:t>à</w:t>
      </w:r>
      <w:r>
        <w:rPr>
          <w:color w:val="231F20"/>
          <w:spacing w:val="-15"/>
        </w:rPr>
        <w:t> </w:t>
      </w:r>
      <w:r>
        <w:rPr>
          <w:color w:val="231F20"/>
        </w:rPr>
        <w:t>20</w:t>
      </w:r>
      <w:r>
        <w:rPr>
          <w:color w:val="231F20"/>
          <w:spacing w:val="-15"/>
        </w:rPr>
        <w:t> </w:t>
      </w:r>
      <w:r>
        <w:rPr>
          <w:color w:val="231F20"/>
        </w:rPr>
        <w:t>ans</w:t>
      </w:r>
      <w:r>
        <w:rPr>
          <w:color w:val="231F20"/>
          <w:spacing w:val="-15"/>
        </w:rPr>
        <w:t> </w:t>
      </w:r>
      <w:r>
        <w:rPr>
          <w:color w:val="231F20"/>
        </w:rPr>
        <w:t>de</w:t>
      </w:r>
      <w:r>
        <w:rPr>
          <w:color w:val="231F20"/>
          <w:spacing w:val="-15"/>
        </w:rPr>
        <w:t> </w:t>
      </w:r>
      <w:r>
        <w:rPr>
          <w:color w:val="231F20"/>
        </w:rPr>
        <w:t>prison</w:t>
      </w:r>
      <w:r>
        <w:rPr>
          <w:color w:val="231F20"/>
          <w:spacing w:val="-15"/>
        </w:rPr>
        <w:t> </w:t>
      </w:r>
      <w:r>
        <w:rPr>
          <w:color w:val="231F20"/>
        </w:rPr>
        <w:t>et</w:t>
      </w:r>
      <w:r>
        <w:rPr>
          <w:color w:val="231F20"/>
          <w:spacing w:val="-15"/>
        </w:rPr>
        <w:t> </w:t>
      </w:r>
      <w:r>
        <w:rPr>
          <w:color w:val="231F20"/>
        </w:rPr>
        <w:t>10</w:t>
      </w:r>
      <w:r>
        <w:rPr>
          <w:color w:val="231F20"/>
          <w:spacing w:val="-15"/>
        </w:rPr>
        <w:t> </w:t>
      </w:r>
      <w:r>
        <w:rPr>
          <w:color w:val="231F20"/>
        </w:rPr>
        <w:t>ans</w:t>
      </w:r>
      <w:r>
        <w:rPr>
          <w:color w:val="231F20"/>
          <w:spacing w:val="-15"/>
        </w:rPr>
        <w:t> </w:t>
      </w:r>
      <w:r>
        <w:rPr>
          <w:color w:val="231F20"/>
        </w:rPr>
        <w:t>de</w:t>
      </w:r>
      <w:r>
        <w:rPr>
          <w:color w:val="231F20"/>
          <w:spacing w:val="-15"/>
        </w:rPr>
        <w:t> </w:t>
      </w:r>
      <w:r>
        <w:rPr>
          <w:color w:val="231F20"/>
        </w:rPr>
        <w:t>privation</w:t>
      </w:r>
      <w:r>
        <w:rPr>
          <w:color w:val="231F20"/>
          <w:spacing w:val="-15"/>
        </w:rPr>
        <w:t> </w:t>
      </w:r>
      <w:r>
        <w:rPr>
          <w:color w:val="231F20"/>
        </w:rPr>
        <w:t>de</w:t>
      </w:r>
      <w:r>
        <w:rPr>
          <w:color w:val="231F20"/>
          <w:spacing w:val="-15"/>
        </w:rPr>
        <w:t> </w:t>
      </w:r>
      <w:r>
        <w:rPr>
          <w:color w:val="231F20"/>
        </w:rPr>
        <w:t>ses </w:t>
      </w:r>
      <w:r>
        <w:rPr>
          <w:color w:val="231F20"/>
          <w:spacing w:val="-4"/>
        </w:rPr>
        <w:t>droits</w:t>
      </w:r>
      <w:r>
        <w:rPr>
          <w:color w:val="231F20"/>
          <w:spacing w:val="-11"/>
        </w:rPr>
        <w:t> </w:t>
      </w:r>
      <w:r>
        <w:rPr>
          <w:color w:val="231F20"/>
          <w:spacing w:val="-4"/>
        </w:rPr>
        <w:t>civiques,</w:t>
      </w:r>
      <w:r>
        <w:rPr>
          <w:color w:val="231F20"/>
          <w:spacing w:val="-11"/>
        </w:rPr>
        <w:t> </w:t>
      </w:r>
      <w:r>
        <w:rPr>
          <w:color w:val="231F20"/>
          <w:spacing w:val="-4"/>
        </w:rPr>
        <w:t>200</w:t>
      </w:r>
      <w:r>
        <w:rPr>
          <w:color w:val="231F20"/>
          <w:spacing w:val="-11"/>
        </w:rPr>
        <w:t> </w:t>
      </w:r>
      <w:r>
        <w:rPr>
          <w:color w:val="231F20"/>
          <w:spacing w:val="-4"/>
        </w:rPr>
        <w:t>millions</w:t>
      </w:r>
      <w:r>
        <w:rPr>
          <w:color w:val="231F20"/>
          <w:spacing w:val="-11"/>
        </w:rPr>
        <w:t> </w:t>
      </w:r>
      <w:r>
        <w:rPr>
          <w:color w:val="231F20"/>
          <w:spacing w:val="-4"/>
        </w:rPr>
        <w:t>de</w:t>
      </w:r>
      <w:r>
        <w:rPr>
          <w:color w:val="231F20"/>
          <w:spacing w:val="-11"/>
        </w:rPr>
        <w:t> </w:t>
      </w:r>
      <w:r>
        <w:rPr>
          <w:color w:val="231F20"/>
          <w:spacing w:val="-4"/>
        </w:rPr>
        <w:t>francs</w:t>
      </w:r>
      <w:r>
        <w:rPr>
          <w:color w:val="231F20"/>
          <w:spacing w:val="-11"/>
        </w:rPr>
        <w:t> </w:t>
      </w:r>
      <w:r>
        <w:rPr>
          <w:color w:val="231F20"/>
          <w:spacing w:val="-4"/>
        </w:rPr>
        <w:t>CFA</w:t>
      </w:r>
      <w:r>
        <w:rPr>
          <w:color w:val="231F20"/>
          <w:spacing w:val="-11"/>
        </w:rPr>
        <w:t> </w:t>
      </w:r>
      <w:r>
        <w:rPr>
          <w:color w:val="231F20"/>
          <w:spacing w:val="-4"/>
        </w:rPr>
        <w:t>(300</w:t>
      </w:r>
      <w:r>
        <w:rPr>
          <w:color w:val="231F20"/>
          <w:spacing w:val="-11"/>
        </w:rPr>
        <w:t> </w:t>
      </w:r>
      <w:r>
        <w:rPr>
          <w:color w:val="231F20"/>
          <w:spacing w:val="-4"/>
        </w:rPr>
        <w:t>000</w:t>
      </w:r>
      <w:r>
        <w:rPr>
          <w:color w:val="231F20"/>
          <w:spacing w:val="-11"/>
        </w:rPr>
        <w:t> </w:t>
      </w:r>
      <w:r>
        <w:rPr>
          <w:color w:val="231F20"/>
          <w:spacing w:val="-4"/>
        </w:rPr>
        <w:t>euros)</w:t>
      </w:r>
      <w:r>
        <w:rPr>
          <w:color w:val="231F20"/>
          <w:spacing w:val="-11"/>
        </w:rPr>
        <w:t> </w:t>
      </w:r>
      <w:r>
        <w:rPr>
          <w:color w:val="231F20"/>
          <w:spacing w:val="-4"/>
        </w:rPr>
        <w:t>de</w:t>
      </w:r>
      <w:r>
        <w:rPr>
          <w:color w:val="231F20"/>
          <w:spacing w:val="-11"/>
        </w:rPr>
        <w:t> </w:t>
      </w:r>
      <w:r>
        <w:rPr>
          <w:color w:val="231F20"/>
          <w:spacing w:val="-4"/>
        </w:rPr>
        <w:t>dommages </w:t>
      </w:r>
      <w:r>
        <w:rPr>
          <w:color w:val="231F20"/>
        </w:rPr>
        <w:t>et intérêts à verser aux victimes.</w:t>
      </w:r>
    </w:p>
    <w:p>
      <w:pPr>
        <w:pStyle w:val="BodyText"/>
        <w:spacing w:before="241"/>
        <w:ind w:left="0"/>
        <w:jc w:val="left"/>
      </w:pPr>
    </w:p>
    <w:p>
      <w:pPr>
        <w:pStyle w:val="Heading3"/>
        <w:rPr>
          <w:i/>
        </w:rPr>
      </w:pPr>
      <w:bookmarkStart w:name="_TOC_250013" w:id="30"/>
      <w:r>
        <w:rPr>
          <w:i/>
          <w:color w:val="231F20"/>
          <w:spacing w:val="-4"/>
        </w:rPr>
        <w:t>L'élection</w:t>
      </w:r>
      <w:r>
        <w:rPr>
          <w:i/>
          <w:color w:val="231F20"/>
          <w:spacing w:val="2"/>
        </w:rPr>
        <w:t> </w:t>
      </w:r>
      <w:r>
        <w:rPr>
          <w:i/>
          <w:color w:val="231F20"/>
          <w:spacing w:val="-4"/>
        </w:rPr>
        <w:t>présidentielle</w:t>
      </w:r>
      <w:r>
        <w:rPr>
          <w:i/>
          <w:color w:val="231F20"/>
          <w:spacing w:val="4"/>
        </w:rPr>
        <w:t> </w:t>
      </w:r>
      <w:r>
        <w:rPr>
          <w:i/>
          <w:color w:val="231F20"/>
          <w:spacing w:val="-4"/>
        </w:rPr>
        <w:t>ivoirienne</w:t>
      </w:r>
      <w:r>
        <w:rPr>
          <w:i/>
          <w:color w:val="231F20"/>
          <w:spacing w:val="5"/>
        </w:rPr>
        <w:t> </w:t>
      </w:r>
      <w:r>
        <w:rPr>
          <w:i/>
          <w:color w:val="231F20"/>
          <w:spacing w:val="-4"/>
        </w:rPr>
        <w:t>de</w:t>
      </w:r>
      <w:r>
        <w:rPr>
          <w:i/>
          <w:color w:val="231F20"/>
          <w:spacing w:val="5"/>
        </w:rPr>
        <w:t> </w:t>
      </w:r>
      <w:bookmarkEnd w:id="30"/>
      <w:r>
        <w:rPr>
          <w:i/>
          <w:color w:val="231F20"/>
          <w:spacing w:val="-4"/>
        </w:rPr>
        <w:t>2020</w:t>
      </w:r>
    </w:p>
    <w:p>
      <w:pPr>
        <w:pStyle w:val="BodyText"/>
        <w:spacing w:before="255"/>
        <w:ind w:right="104" w:firstLine="283"/>
        <w:rPr>
          <w:i/>
        </w:rPr>
      </w:pPr>
      <w:r>
        <w:rPr>
          <w:color w:val="231F20"/>
        </w:rPr>
        <w:t>La Côte d’Ivoire n’est plus en guerre depuis Avril 2011 et profite à plein de sa position de pivot régional. Elle dégage un excédent commercial grâce à ses traditionnelles exportations agricoles de rente assez</w:t>
      </w:r>
      <w:r>
        <w:rPr>
          <w:color w:val="231F20"/>
          <w:spacing w:val="-1"/>
        </w:rPr>
        <w:t> </w:t>
      </w:r>
      <w:r>
        <w:rPr>
          <w:color w:val="231F20"/>
        </w:rPr>
        <w:t>diversifiées</w:t>
      </w:r>
      <w:r>
        <w:rPr>
          <w:color w:val="231F20"/>
          <w:spacing w:val="-1"/>
        </w:rPr>
        <w:t> </w:t>
      </w:r>
      <w:r>
        <w:rPr>
          <w:color w:val="231F20"/>
        </w:rPr>
        <w:t>(cacao,</w:t>
      </w:r>
      <w:r>
        <w:rPr>
          <w:color w:val="231F20"/>
          <w:spacing w:val="-2"/>
        </w:rPr>
        <w:t> </w:t>
      </w:r>
      <w:r>
        <w:rPr>
          <w:color w:val="231F20"/>
        </w:rPr>
        <w:t>café,</w:t>
      </w:r>
      <w:r>
        <w:rPr>
          <w:color w:val="231F20"/>
          <w:spacing w:val="-1"/>
        </w:rPr>
        <w:t> </w:t>
      </w:r>
      <w:r>
        <w:rPr>
          <w:color w:val="231F20"/>
        </w:rPr>
        <w:t>anacarde,</w:t>
      </w:r>
      <w:r>
        <w:rPr>
          <w:color w:val="231F20"/>
          <w:spacing w:val="-1"/>
        </w:rPr>
        <w:t> </w:t>
      </w:r>
      <w:r>
        <w:rPr>
          <w:color w:val="231F20"/>
        </w:rPr>
        <w:t>hévéa…). Pourtant,</w:t>
      </w:r>
      <w:r>
        <w:rPr>
          <w:color w:val="231F20"/>
          <w:spacing w:val="-2"/>
        </w:rPr>
        <w:t> </w:t>
      </w:r>
      <w:r>
        <w:rPr>
          <w:color w:val="231F20"/>
        </w:rPr>
        <w:t>son bilan </w:t>
      </w:r>
      <w:r>
        <w:rPr>
          <w:color w:val="231F20"/>
          <w:spacing w:val="-2"/>
        </w:rPr>
        <w:t>social</w:t>
      </w:r>
      <w:r>
        <w:rPr>
          <w:color w:val="231F20"/>
          <w:spacing w:val="-9"/>
        </w:rPr>
        <w:t> </w:t>
      </w:r>
      <w:r>
        <w:rPr>
          <w:color w:val="231F20"/>
          <w:spacing w:val="-2"/>
        </w:rPr>
        <w:t>reste</w:t>
      </w:r>
      <w:r>
        <w:rPr>
          <w:color w:val="231F20"/>
          <w:spacing w:val="-10"/>
        </w:rPr>
        <w:t> </w:t>
      </w:r>
      <w:r>
        <w:rPr>
          <w:color w:val="231F20"/>
          <w:spacing w:val="-2"/>
        </w:rPr>
        <w:t>pour</w:t>
      </w:r>
      <w:r>
        <w:rPr>
          <w:color w:val="231F20"/>
          <w:spacing w:val="-9"/>
        </w:rPr>
        <w:t> </w:t>
      </w:r>
      <w:r>
        <w:rPr>
          <w:color w:val="231F20"/>
          <w:spacing w:val="-2"/>
        </w:rPr>
        <w:t>le</w:t>
      </w:r>
      <w:r>
        <w:rPr>
          <w:color w:val="231F20"/>
          <w:spacing w:val="-11"/>
        </w:rPr>
        <w:t> </w:t>
      </w:r>
      <w:r>
        <w:rPr>
          <w:color w:val="231F20"/>
          <w:spacing w:val="-2"/>
        </w:rPr>
        <w:t>moins</w:t>
      </w:r>
      <w:r>
        <w:rPr>
          <w:color w:val="231F20"/>
          <w:spacing w:val="-11"/>
        </w:rPr>
        <w:t> </w:t>
      </w:r>
      <w:r>
        <w:rPr>
          <w:color w:val="231F20"/>
          <w:spacing w:val="-2"/>
        </w:rPr>
        <w:t>controversé</w:t>
      </w:r>
      <w:r>
        <w:rPr>
          <w:color w:val="231F20"/>
          <w:spacing w:val="-10"/>
        </w:rPr>
        <w:t> </w:t>
      </w:r>
      <w:r>
        <w:rPr>
          <w:color w:val="231F20"/>
          <w:spacing w:val="-2"/>
        </w:rPr>
        <w:t>et</w:t>
      </w:r>
      <w:r>
        <w:rPr>
          <w:color w:val="231F20"/>
          <w:spacing w:val="-12"/>
        </w:rPr>
        <w:t> </w:t>
      </w:r>
      <w:r>
        <w:rPr>
          <w:color w:val="231F20"/>
          <w:spacing w:val="-2"/>
        </w:rPr>
        <w:t>l’ambitiondu</w:t>
      </w:r>
      <w:r>
        <w:rPr>
          <w:color w:val="231F20"/>
          <w:spacing w:val="-9"/>
        </w:rPr>
        <w:t> </w:t>
      </w:r>
      <w:r>
        <w:rPr>
          <w:color w:val="231F20"/>
          <w:spacing w:val="-2"/>
        </w:rPr>
        <w:t>président</w:t>
      </w:r>
      <w:r>
        <w:rPr>
          <w:color w:val="231F20"/>
          <w:spacing w:val="-9"/>
        </w:rPr>
        <w:t> </w:t>
      </w:r>
      <w:r>
        <w:rPr>
          <w:color w:val="231F20"/>
          <w:spacing w:val="-2"/>
        </w:rPr>
        <w:t>Ouattara </w:t>
      </w:r>
      <w:r>
        <w:rPr>
          <w:color w:val="231F20"/>
        </w:rPr>
        <w:t>d’une</w:t>
      </w:r>
      <w:r>
        <w:rPr>
          <w:color w:val="231F20"/>
          <w:spacing w:val="80"/>
        </w:rPr>
        <w:t> </w:t>
      </w:r>
      <w:r>
        <w:rPr>
          <w:color w:val="231F20"/>
        </w:rPr>
        <w:t>Côte</w:t>
      </w:r>
      <w:r>
        <w:rPr>
          <w:color w:val="231F20"/>
          <w:spacing w:val="80"/>
        </w:rPr>
        <w:t> </w:t>
      </w:r>
      <w:r>
        <w:rPr>
          <w:color w:val="231F20"/>
        </w:rPr>
        <w:t>d’ivoire</w:t>
      </w:r>
      <w:r>
        <w:rPr>
          <w:color w:val="231F20"/>
          <w:spacing w:val="80"/>
        </w:rPr>
        <w:t> </w:t>
      </w:r>
      <w:r>
        <w:rPr>
          <w:color w:val="231F20"/>
        </w:rPr>
        <w:t>émergente</w:t>
      </w:r>
      <w:r>
        <w:rPr>
          <w:color w:val="231F20"/>
          <w:spacing w:val="80"/>
        </w:rPr>
        <w:t> </w:t>
      </w:r>
      <w:r>
        <w:rPr>
          <w:color w:val="231F20"/>
        </w:rPr>
        <w:t>en</w:t>
      </w:r>
      <w:r>
        <w:rPr>
          <w:color w:val="231F20"/>
          <w:spacing w:val="80"/>
        </w:rPr>
        <w:t> </w:t>
      </w:r>
      <w:r>
        <w:rPr>
          <w:color w:val="231F20"/>
        </w:rPr>
        <w:t>2020</w:t>
      </w:r>
      <w:r>
        <w:rPr>
          <w:color w:val="231F20"/>
          <w:spacing w:val="80"/>
        </w:rPr>
        <w:t> </w:t>
      </w:r>
      <w:r>
        <w:rPr>
          <w:color w:val="231F20"/>
        </w:rPr>
        <w:t>demeure</w:t>
      </w:r>
      <w:r>
        <w:rPr>
          <w:color w:val="231F20"/>
          <w:spacing w:val="80"/>
        </w:rPr>
        <w:t> </w:t>
      </w:r>
      <w:r>
        <w:rPr>
          <w:color w:val="231F20"/>
        </w:rPr>
        <w:t>au</w:t>
      </w:r>
      <w:r>
        <w:rPr>
          <w:color w:val="231F20"/>
          <w:spacing w:val="80"/>
        </w:rPr>
        <w:t> </w:t>
      </w:r>
      <w:r>
        <w:rPr>
          <w:color w:val="231F20"/>
        </w:rPr>
        <w:t>stade</w:t>
      </w:r>
      <w:r>
        <w:rPr>
          <w:color w:val="231F20"/>
          <w:spacing w:val="80"/>
        </w:rPr>
        <w:t> </w:t>
      </w:r>
      <w:r>
        <w:rPr>
          <w:color w:val="231F20"/>
        </w:rPr>
        <w:t>de rêve</w:t>
      </w:r>
      <w:r>
        <w:rPr>
          <w:color w:val="231F20"/>
          <w:spacing w:val="-14"/>
        </w:rPr>
        <w:t> </w:t>
      </w:r>
      <w:r>
        <w:rPr>
          <w:color w:val="231F20"/>
        </w:rPr>
        <w:t>:</w:t>
      </w:r>
      <w:r>
        <w:rPr>
          <w:color w:val="231F20"/>
          <w:spacing w:val="-13"/>
        </w:rPr>
        <w:t> </w:t>
      </w:r>
      <w:r>
        <w:rPr>
          <w:color w:val="231F20"/>
        </w:rPr>
        <w:t>«</w:t>
      </w:r>
      <w:r>
        <w:rPr>
          <w:color w:val="231F20"/>
          <w:spacing w:val="-15"/>
        </w:rPr>
        <w:t> </w:t>
      </w:r>
      <w:r>
        <w:rPr>
          <w:i/>
          <w:color w:val="231F20"/>
        </w:rPr>
        <w:t>donnez-moi 5 ans seulement et je ferai de la Côte d’Ivoire, un</w:t>
      </w:r>
      <w:r>
        <w:rPr>
          <w:i/>
          <w:color w:val="231F20"/>
        </w:rPr>
        <w:t> pays émergent » </w:t>
      </w:r>
      <w:r>
        <w:rPr>
          <w:color w:val="231F20"/>
        </w:rPr>
        <w:t>disait-il en 2010</w:t>
      </w:r>
      <w:r>
        <w:rPr>
          <w:i/>
          <w:color w:val="231F20"/>
        </w:rPr>
        <w:t>.</w:t>
      </w:r>
    </w:p>
    <w:p>
      <w:pPr>
        <w:pStyle w:val="BodyText"/>
        <w:spacing w:before="121"/>
        <w:ind w:right="102" w:firstLine="283"/>
      </w:pPr>
      <w:r>
        <w:rPr>
          <w:color w:val="231F20"/>
          <w:spacing w:val="-2"/>
        </w:rPr>
        <w:t>Malgré</w:t>
      </w:r>
      <w:r>
        <w:rPr>
          <w:color w:val="231F20"/>
          <w:spacing w:val="-11"/>
        </w:rPr>
        <w:t> </w:t>
      </w:r>
      <w:r>
        <w:rPr>
          <w:color w:val="231F20"/>
          <w:spacing w:val="-2"/>
        </w:rPr>
        <w:t>l’amélioration</w:t>
      </w:r>
      <w:r>
        <w:rPr>
          <w:color w:val="231F20"/>
          <w:spacing w:val="-10"/>
        </w:rPr>
        <w:t> </w:t>
      </w:r>
      <w:r>
        <w:rPr>
          <w:color w:val="231F20"/>
          <w:spacing w:val="-2"/>
        </w:rPr>
        <w:t>sans</w:t>
      </w:r>
      <w:r>
        <w:rPr>
          <w:color w:val="231F20"/>
          <w:spacing w:val="-8"/>
        </w:rPr>
        <w:t> </w:t>
      </w:r>
      <w:r>
        <w:rPr>
          <w:color w:val="231F20"/>
          <w:spacing w:val="-2"/>
        </w:rPr>
        <w:t>cesse</w:t>
      </w:r>
      <w:r>
        <w:rPr>
          <w:color w:val="231F20"/>
          <w:spacing w:val="-11"/>
        </w:rPr>
        <w:t> </w:t>
      </w:r>
      <w:r>
        <w:rPr>
          <w:color w:val="231F20"/>
          <w:spacing w:val="-2"/>
        </w:rPr>
        <w:t>rappelée</w:t>
      </w:r>
      <w:r>
        <w:rPr>
          <w:color w:val="231F20"/>
          <w:spacing w:val="-10"/>
        </w:rPr>
        <w:t> </w:t>
      </w:r>
      <w:r>
        <w:rPr>
          <w:color w:val="231F20"/>
          <w:spacing w:val="-2"/>
        </w:rPr>
        <w:t>de</w:t>
      </w:r>
      <w:r>
        <w:rPr>
          <w:color w:val="231F20"/>
          <w:spacing w:val="-12"/>
        </w:rPr>
        <w:t> </w:t>
      </w:r>
      <w:r>
        <w:rPr>
          <w:color w:val="231F20"/>
          <w:spacing w:val="-2"/>
        </w:rPr>
        <w:t>nombreux</w:t>
      </w:r>
      <w:r>
        <w:rPr>
          <w:color w:val="231F20"/>
          <w:spacing w:val="-8"/>
        </w:rPr>
        <w:t> </w:t>
      </w:r>
      <w:r>
        <w:rPr>
          <w:color w:val="231F20"/>
          <w:spacing w:val="-2"/>
        </w:rPr>
        <w:t>indicateurs</w:t>
      </w:r>
      <w:r>
        <w:rPr>
          <w:color w:val="231F20"/>
          <w:spacing w:val="-10"/>
        </w:rPr>
        <w:t> </w:t>
      </w:r>
      <w:r>
        <w:rPr>
          <w:color w:val="231F20"/>
          <w:spacing w:val="-2"/>
        </w:rPr>
        <w:t>et </w:t>
      </w:r>
      <w:r>
        <w:rPr>
          <w:color w:val="231F20"/>
        </w:rPr>
        <w:t>indices économiques par le pouvoir ivoirien, la Côte d’Ivoire n’a pas </w:t>
      </w:r>
      <w:r>
        <w:rPr>
          <w:color w:val="231F20"/>
          <w:spacing w:val="-2"/>
        </w:rPr>
        <w:t>tourné</w:t>
      </w:r>
      <w:r>
        <w:rPr>
          <w:color w:val="231F20"/>
          <w:spacing w:val="-12"/>
        </w:rPr>
        <w:t> </w:t>
      </w:r>
      <w:r>
        <w:rPr>
          <w:color w:val="231F20"/>
          <w:spacing w:val="-2"/>
        </w:rPr>
        <w:t>la</w:t>
      </w:r>
      <w:r>
        <w:rPr>
          <w:color w:val="231F20"/>
          <w:spacing w:val="-10"/>
        </w:rPr>
        <w:t> </w:t>
      </w:r>
      <w:r>
        <w:rPr>
          <w:color w:val="231F20"/>
          <w:spacing w:val="-2"/>
        </w:rPr>
        <w:t>page</w:t>
      </w:r>
      <w:r>
        <w:rPr>
          <w:color w:val="231F20"/>
          <w:spacing w:val="-10"/>
        </w:rPr>
        <w:t> </w:t>
      </w:r>
      <w:r>
        <w:rPr>
          <w:color w:val="231F20"/>
          <w:spacing w:val="-2"/>
        </w:rPr>
        <w:t>de</w:t>
      </w:r>
      <w:r>
        <w:rPr>
          <w:color w:val="231F20"/>
          <w:spacing w:val="-13"/>
        </w:rPr>
        <w:t> </w:t>
      </w:r>
      <w:r>
        <w:rPr>
          <w:color w:val="231F20"/>
          <w:spacing w:val="-2"/>
        </w:rPr>
        <w:t>la</w:t>
      </w:r>
      <w:r>
        <w:rPr>
          <w:color w:val="231F20"/>
          <w:spacing w:val="-10"/>
        </w:rPr>
        <w:t> </w:t>
      </w:r>
      <w:r>
        <w:rPr>
          <w:color w:val="231F20"/>
          <w:spacing w:val="-2"/>
        </w:rPr>
        <w:t>crise</w:t>
      </w:r>
      <w:r>
        <w:rPr>
          <w:color w:val="231F20"/>
          <w:spacing w:val="-12"/>
        </w:rPr>
        <w:t> </w:t>
      </w:r>
      <w:r>
        <w:rPr>
          <w:color w:val="231F20"/>
          <w:spacing w:val="-2"/>
        </w:rPr>
        <w:t>postélectorale</w:t>
      </w:r>
      <w:r>
        <w:rPr>
          <w:color w:val="231F20"/>
          <w:spacing w:val="-12"/>
        </w:rPr>
        <w:t> </w:t>
      </w:r>
      <w:r>
        <w:rPr>
          <w:color w:val="231F20"/>
          <w:spacing w:val="-2"/>
        </w:rPr>
        <w:t>de</w:t>
      </w:r>
      <w:r>
        <w:rPr>
          <w:color w:val="231F20"/>
          <w:spacing w:val="-10"/>
        </w:rPr>
        <w:t> </w:t>
      </w:r>
      <w:r>
        <w:rPr>
          <w:color w:val="231F20"/>
          <w:spacing w:val="-2"/>
        </w:rPr>
        <w:t>2010</w:t>
      </w:r>
      <w:r>
        <w:rPr>
          <w:color w:val="231F20"/>
          <w:spacing w:val="-10"/>
        </w:rPr>
        <w:t> </w:t>
      </w:r>
      <w:r>
        <w:rPr>
          <w:color w:val="231F20"/>
          <w:spacing w:val="-2"/>
        </w:rPr>
        <w:t>et</w:t>
      </w:r>
      <w:r>
        <w:rPr>
          <w:color w:val="231F20"/>
          <w:spacing w:val="-10"/>
        </w:rPr>
        <w:t> </w:t>
      </w:r>
      <w:r>
        <w:rPr>
          <w:color w:val="231F20"/>
          <w:spacing w:val="-2"/>
        </w:rPr>
        <w:t>les</w:t>
      </w:r>
      <w:r>
        <w:rPr>
          <w:color w:val="231F20"/>
          <w:spacing w:val="-10"/>
        </w:rPr>
        <w:t> </w:t>
      </w:r>
      <w:r>
        <w:rPr>
          <w:color w:val="231F20"/>
          <w:spacing w:val="-2"/>
        </w:rPr>
        <w:t>réformes</w:t>
      </w:r>
      <w:r>
        <w:rPr>
          <w:color w:val="231F20"/>
          <w:spacing w:val="-10"/>
        </w:rPr>
        <w:t> </w:t>
      </w:r>
      <w:r>
        <w:rPr>
          <w:color w:val="231F20"/>
          <w:spacing w:val="-2"/>
        </w:rPr>
        <w:t>engagées </w:t>
      </w:r>
      <w:r>
        <w:rPr>
          <w:color w:val="231F20"/>
        </w:rPr>
        <w:t>n’ont finalement pas touché les principaux enjeux nationaux. Outre le fossé entretenu entre Ivoiriens du Nord et les autres, la justice à</w:t>
      </w:r>
      <w:r>
        <w:rPr>
          <w:color w:val="231F20"/>
          <w:spacing w:val="-14"/>
        </w:rPr>
        <w:t> </w:t>
      </w:r>
      <w:r>
        <w:rPr>
          <w:color w:val="231F20"/>
        </w:rPr>
        <w:t>deux vitesses, l’inégale redistribution des richesses, le favoritisme dans les </w:t>
      </w:r>
      <w:r>
        <w:rPr>
          <w:color w:val="231F20"/>
          <w:spacing w:val="-2"/>
        </w:rPr>
        <w:t>concours</w:t>
      </w:r>
      <w:r>
        <w:rPr>
          <w:color w:val="231F20"/>
          <w:spacing w:val="-9"/>
        </w:rPr>
        <w:t> </w:t>
      </w:r>
      <w:r>
        <w:rPr>
          <w:color w:val="231F20"/>
          <w:spacing w:val="-2"/>
        </w:rPr>
        <w:t>de</w:t>
      </w:r>
      <w:r>
        <w:rPr>
          <w:color w:val="231F20"/>
          <w:spacing w:val="-9"/>
        </w:rPr>
        <w:t> </w:t>
      </w:r>
      <w:r>
        <w:rPr>
          <w:color w:val="231F20"/>
          <w:spacing w:val="-2"/>
        </w:rPr>
        <w:t>l’Administration</w:t>
      </w:r>
      <w:r>
        <w:rPr>
          <w:color w:val="231F20"/>
          <w:spacing w:val="-9"/>
        </w:rPr>
        <w:t> </w:t>
      </w:r>
      <w:r>
        <w:rPr>
          <w:color w:val="231F20"/>
          <w:spacing w:val="-2"/>
        </w:rPr>
        <w:t>publique,</w:t>
      </w:r>
      <w:r>
        <w:rPr>
          <w:color w:val="231F20"/>
          <w:spacing w:val="-9"/>
        </w:rPr>
        <w:t> </w:t>
      </w:r>
      <w:r>
        <w:rPr>
          <w:color w:val="231F20"/>
          <w:spacing w:val="-2"/>
        </w:rPr>
        <w:t>la</w:t>
      </w:r>
      <w:r>
        <w:rPr>
          <w:color w:val="231F20"/>
          <w:spacing w:val="-6"/>
        </w:rPr>
        <w:t> </w:t>
      </w:r>
      <w:r>
        <w:rPr>
          <w:color w:val="231F20"/>
          <w:spacing w:val="-2"/>
        </w:rPr>
        <w:t>corruption</w:t>
      </w:r>
      <w:r>
        <w:rPr>
          <w:color w:val="231F20"/>
          <w:spacing w:val="-7"/>
        </w:rPr>
        <w:t> </w:t>
      </w:r>
      <w:r>
        <w:rPr>
          <w:color w:val="231F20"/>
          <w:spacing w:val="-2"/>
        </w:rPr>
        <w:t>et</w:t>
      </w:r>
      <w:r>
        <w:rPr>
          <w:color w:val="231F20"/>
          <w:spacing w:val="-7"/>
        </w:rPr>
        <w:t> </w:t>
      </w:r>
      <w:r>
        <w:rPr>
          <w:color w:val="231F20"/>
          <w:spacing w:val="-2"/>
        </w:rPr>
        <w:t>de</w:t>
      </w:r>
      <w:r>
        <w:rPr>
          <w:color w:val="231F20"/>
          <w:spacing w:val="-9"/>
        </w:rPr>
        <w:t> </w:t>
      </w:r>
      <w:r>
        <w:rPr>
          <w:color w:val="231F20"/>
          <w:spacing w:val="-2"/>
        </w:rPr>
        <w:t>détournement </w:t>
      </w:r>
      <w:r>
        <w:rPr>
          <w:color w:val="231F20"/>
        </w:rPr>
        <w:t>de</w:t>
      </w:r>
      <w:r>
        <w:rPr>
          <w:color w:val="231F20"/>
          <w:spacing w:val="-6"/>
        </w:rPr>
        <w:t> </w:t>
      </w:r>
      <w:r>
        <w:rPr>
          <w:color w:val="231F20"/>
        </w:rPr>
        <w:t>fonds</w:t>
      </w:r>
      <w:r>
        <w:rPr>
          <w:color w:val="231F20"/>
          <w:spacing w:val="-9"/>
        </w:rPr>
        <w:t> </w:t>
      </w:r>
      <w:r>
        <w:rPr>
          <w:color w:val="231F20"/>
        </w:rPr>
        <w:t>publics,</w:t>
      </w:r>
      <w:r>
        <w:rPr>
          <w:color w:val="231F20"/>
          <w:spacing w:val="-6"/>
        </w:rPr>
        <w:t> </w:t>
      </w:r>
      <w:r>
        <w:rPr>
          <w:color w:val="231F20"/>
        </w:rPr>
        <w:t>le</w:t>
      </w:r>
      <w:r>
        <w:rPr>
          <w:color w:val="231F20"/>
          <w:spacing w:val="-10"/>
        </w:rPr>
        <w:t> </w:t>
      </w:r>
      <w:r>
        <w:rPr>
          <w:color w:val="231F20"/>
        </w:rPr>
        <w:t>mépris</w:t>
      </w:r>
      <w:r>
        <w:rPr>
          <w:color w:val="231F20"/>
          <w:spacing w:val="-6"/>
        </w:rPr>
        <w:t> </w:t>
      </w:r>
      <w:r>
        <w:rPr>
          <w:color w:val="231F20"/>
        </w:rPr>
        <w:t>des</w:t>
      </w:r>
      <w:r>
        <w:rPr>
          <w:color w:val="231F20"/>
          <w:spacing w:val="-9"/>
        </w:rPr>
        <w:t> </w:t>
      </w:r>
      <w:r>
        <w:rPr>
          <w:color w:val="231F20"/>
        </w:rPr>
        <w:t>opposants…la</w:t>
      </w:r>
      <w:r>
        <w:rPr>
          <w:color w:val="231F20"/>
          <w:spacing w:val="-10"/>
        </w:rPr>
        <w:t> </w:t>
      </w:r>
      <w:r>
        <w:rPr>
          <w:color w:val="231F20"/>
        </w:rPr>
        <w:t>paix</w:t>
      </w:r>
      <w:r>
        <w:rPr>
          <w:color w:val="231F20"/>
          <w:spacing w:val="-8"/>
        </w:rPr>
        <w:t> </w:t>
      </w:r>
      <w:r>
        <w:rPr>
          <w:color w:val="231F20"/>
        </w:rPr>
        <w:t>semble</w:t>
      </w:r>
      <w:r>
        <w:rPr>
          <w:color w:val="231F20"/>
          <w:spacing w:val="-10"/>
        </w:rPr>
        <w:t> </w:t>
      </w:r>
      <w:r>
        <w:rPr>
          <w:color w:val="231F20"/>
        </w:rPr>
        <w:t>très</w:t>
      </w:r>
      <w:r>
        <w:rPr>
          <w:color w:val="231F20"/>
          <w:spacing w:val="-6"/>
        </w:rPr>
        <w:t> </w:t>
      </w:r>
      <w:r>
        <w:rPr>
          <w:color w:val="231F20"/>
        </w:rPr>
        <w:t>fragile.</w:t>
      </w:r>
    </w:p>
    <w:p>
      <w:pPr>
        <w:pStyle w:val="BodyText"/>
        <w:spacing w:before="120"/>
        <w:ind w:left="395"/>
      </w:pPr>
      <w:r>
        <w:rPr>
          <w:color w:val="231F20"/>
        </w:rPr>
        <w:t>En</w:t>
      </w:r>
      <w:r>
        <w:rPr>
          <w:color w:val="231F20"/>
          <w:spacing w:val="24"/>
        </w:rPr>
        <w:t> </w:t>
      </w:r>
      <w:r>
        <w:rPr>
          <w:color w:val="231F20"/>
        </w:rPr>
        <w:t>2009,</w:t>
      </w:r>
      <w:r>
        <w:rPr>
          <w:color w:val="231F20"/>
          <w:spacing w:val="25"/>
        </w:rPr>
        <w:t> </w:t>
      </w:r>
      <w:r>
        <w:rPr>
          <w:color w:val="231F20"/>
        </w:rPr>
        <w:t>Alassane</w:t>
      </w:r>
      <w:r>
        <w:rPr>
          <w:color w:val="231F20"/>
          <w:spacing w:val="26"/>
        </w:rPr>
        <w:t> </w:t>
      </w:r>
      <w:r>
        <w:rPr>
          <w:color w:val="231F20"/>
        </w:rPr>
        <w:t>Dramane</w:t>
      </w:r>
      <w:r>
        <w:rPr>
          <w:color w:val="231F20"/>
          <w:spacing w:val="28"/>
        </w:rPr>
        <w:t> </w:t>
      </w:r>
      <w:r>
        <w:rPr>
          <w:color w:val="231F20"/>
        </w:rPr>
        <w:t>Ouattara</w:t>
      </w:r>
      <w:r>
        <w:rPr>
          <w:color w:val="231F20"/>
          <w:spacing w:val="23"/>
        </w:rPr>
        <w:t> </w:t>
      </w:r>
      <w:r>
        <w:rPr>
          <w:color w:val="231F20"/>
        </w:rPr>
        <w:t>surnommé</w:t>
      </w:r>
      <w:r>
        <w:rPr>
          <w:color w:val="231F20"/>
          <w:spacing w:val="27"/>
        </w:rPr>
        <w:t> </w:t>
      </w:r>
      <w:r>
        <w:rPr>
          <w:color w:val="231F20"/>
        </w:rPr>
        <w:t>par</w:t>
      </w:r>
      <w:r>
        <w:rPr>
          <w:color w:val="231F20"/>
          <w:spacing w:val="25"/>
        </w:rPr>
        <w:t> </w:t>
      </w:r>
      <w:r>
        <w:rPr>
          <w:color w:val="231F20"/>
        </w:rPr>
        <w:t>ses</w:t>
      </w:r>
      <w:r>
        <w:rPr>
          <w:color w:val="231F20"/>
          <w:spacing w:val="26"/>
        </w:rPr>
        <w:t> </w:t>
      </w:r>
      <w:r>
        <w:rPr>
          <w:color w:val="231F20"/>
          <w:spacing w:val="-2"/>
        </w:rPr>
        <w:t>partisans</w:t>
      </w:r>
    </w:p>
    <w:p>
      <w:pPr>
        <w:spacing w:before="1"/>
        <w:ind w:left="111" w:right="104" w:firstLine="0"/>
        <w:jc w:val="both"/>
        <w:rPr>
          <w:i/>
          <w:sz w:val="24"/>
        </w:rPr>
      </w:pPr>
      <w:r>
        <w:rPr>
          <w:color w:val="231F20"/>
          <w:sz w:val="24"/>
        </w:rPr>
        <w:t>«</w:t>
      </w:r>
      <w:r>
        <w:rPr>
          <w:color w:val="231F20"/>
          <w:spacing w:val="-15"/>
          <w:sz w:val="24"/>
        </w:rPr>
        <w:t> </w:t>
      </w:r>
      <w:r>
        <w:rPr>
          <w:color w:val="231F20"/>
          <w:sz w:val="24"/>
        </w:rPr>
        <w:t>ADO</w:t>
      </w:r>
      <w:r>
        <w:rPr>
          <w:color w:val="231F20"/>
          <w:spacing w:val="-13"/>
          <w:sz w:val="24"/>
        </w:rPr>
        <w:t> </w:t>
      </w:r>
      <w:r>
        <w:rPr>
          <w:color w:val="231F20"/>
          <w:sz w:val="24"/>
        </w:rPr>
        <w:t>Solution</w:t>
      </w:r>
      <w:r>
        <w:rPr>
          <w:color w:val="231F20"/>
          <w:spacing w:val="-15"/>
          <w:sz w:val="24"/>
        </w:rPr>
        <w:t> </w:t>
      </w:r>
      <w:r>
        <w:rPr>
          <w:color w:val="231F20"/>
          <w:sz w:val="24"/>
        </w:rPr>
        <w:t>»</w:t>
      </w:r>
      <w:r>
        <w:rPr>
          <w:color w:val="231F20"/>
          <w:spacing w:val="-9"/>
          <w:sz w:val="24"/>
        </w:rPr>
        <w:t> </w:t>
      </w:r>
      <w:r>
        <w:rPr>
          <w:color w:val="231F20"/>
          <w:sz w:val="24"/>
        </w:rPr>
        <w:t>disait</w:t>
      </w:r>
      <w:r>
        <w:rPr>
          <w:color w:val="231F20"/>
          <w:spacing w:val="-11"/>
          <w:sz w:val="24"/>
        </w:rPr>
        <w:t> </w:t>
      </w:r>
      <w:r>
        <w:rPr>
          <w:color w:val="231F20"/>
          <w:sz w:val="24"/>
        </w:rPr>
        <w:t>avoir</w:t>
      </w:r>
      <w:r>
        <w:rPr>
          <w:color w:val="231F20"/>
          <w:spacing w:val="-10"/>
          <w:sz w:val="24"/>
        </w:rPr>
        <w:t> </w:t>
      </w:r>
      <w:r>
        <w:rPr>
          <w:color w:val="231F20"/>
          <w:sz w:val="24"/>
        </w:rPr>
        <w:t>les</w:t>
      </w:r>
      <w:r>
        <w:rPr>
          <w:color w:val="231F20"/>
          <w:spacing w:val="-8"/>
          <w:sz w:val="24"/>
        </w:rPr>
        <w:t> </w:t>
      </w:r>
      <w:r>
        <w:rPr>
          <w:color w:val="231F20"/>
          <w:sz w:val="24"/>
        </w:rPr>
        <w:t>solutions</w:t>
      </w:r>
      <w:r>
        <w:rPr>
          <w:color w:val="231F20"/>
          <w:spacing w:val="-8"/>
          <w:sz w:val="24"/>
        </w:rPr>
        <w:t> </w:t>
      </w:r>
      <w:r>
        <w:rPr>
          <w:color w:val="231F20"/>
          <w:sz w:val="24"/>
        </w:rPr>
        <w:t>aux</w:t>
      </w:r>
      <w:r>
        <w:rPr>
          <w:color w:val="231F20"/>
          <w:spacing w:val="-8"/>
          <w:sz w:val="24"/>
        </w:rPr>
        <w:t> </w:t>
      </w:r>
      <w:r>
        <w:rPr>
          <w:color w:val="231F20"/>
          <w:sz w:val="24"/>
        </w:rPr>
        <w:t>problèmes</w:t>
      </w:r>
      <w:r>
        <w:rPr>
          <w:color w:val="231F20"/>
          <w:spacing w:val="-9"/>
          <w:sz w:val="24"/>
        </w:rPr>
        <w:t> </w:t>
      </w:r>
      <w:r>
        <w:rPr>
          <w:color w:val="231F20"/>
          <w:sz w:val="24"/>
        </w:rPr>
        <w:t>des</w:t>
      </w:r>
      <w:r>
        <w:rPr>
          <w:color w:val="231F20"/>
          <w:spacing w:val="-9"/>
          <w:sz w:val="24"/>
        </w:rPr>
        <w:t> </w:t>
      </w:r>
      <w:r>
        <w:rPr>
          <w:color w:val="231F20"/>
          <w:sz w:val="24"/>
        </w:rPr>
        <w:t>ivoiriens lors</w:t>
      </w:r>
      <w:r>
        <w:rPr>
          <w:color w:val="231F20"/>
          <w:spacing w:val="-1"/>
          <w:sz w:val="24"/>
        </w:rPr>
        <w:t> </w:t>
      </w:r>
      <w:r>
        <w:rPr>
          <w:color w:val="231F20"/>
          <w:sz w:val="24"/>
        </w:rPr>
        <w:t>de</w:t>
      </w:r>
      <w:r>
        <w:rPr>
          <w:color w:val="231F20"/>
          <w:spacing w:val="-4"/>
          <w:sz w:val="24"/>
        </w:rPr>
        <w:t> </w:t>
      </w:r>
      <w:r>
        <w:rPr>
          <w:color w:val="231F20"/>
          <w:sz w:val="24"/>
        </w:rPr>
        <w:t>ses</w:t>
      </w:r>
      <w:r>
        <w:rPr>
          <w:color w:val="231F20"/>
          <w:spacing w:val="-3"/>
          <w:sz w:val="24"/>
        </w:rPr>
        <w:t> </w:t>
      </w:r>
      <w:r>
        <w:rPr>
          <w:color w:val="231F20"/>
          <w:sz w:val="24"/>
        </w:rPr>
        <w:t>meetings</w:t>
      </w:r>
      <w:r>
        <w:rPr>
          <w:color w:val="231F20"/>
          <w:spacing w:val="-3"/>
          <w:sz w:val="24"/>
        </w:rPr>
        <w:t> </w:t>
      </w:r>
      <w:r>
        <w:rPr>
          <w:color w:val="231F20"/>
          <w:sz w:val="24"/>
        </w:rPr>
        <w:t>de</w:t>
      </w:r>
      <w:r>
        <w:rPr>
          <w:color w:val="231F20"/>
          <w:spacing w:val="-2"/>
          <w:sz w:val="24"/>
        </w:rPr>
        <w:t> </w:t>
      </w:r>
      <w:r>
        <w:rPr>
          <w:color w:val="231F20"/>
          <w:sz w:val="24"/>
        </w:rPr>
        <w:t>campagne</w:t>
      </w:r>
      <w:r>
        <w:rPr>
          <w:color w:val="231F20"/>
          <w:spacing w:val="-12"/>
          <w:sz w:val="24"/>
        </w:rPr>
        <w:t> </w:t>
      </w:r>
      <w:r>
        <w:rPr>
          <w:color w:val="231F20"/>
          <w:sz w:val="24"/>
        </w:rPr>
        <w:t>:</w:t>
      </w:r>
      <w:r>
        <w:rPr>
          <w:color w:val="231F20"/>
          <w:spacing w:val="-3"/>
          <w:sz w:val="24"/>
        </w:rPr>
        <w:t> </w:t>
      </w:r>
      <w:r>
        <w:rPr>
          <w:color w:val="231F20"/>
          <w:sz w:val="24"/>
        </w:rPr>
        <w:t>«</w:t>
      </w:r>
      <w:r>
        <w:rPr>
          <w:color w:val="231F20"/>
          <w:spacing w:val="-13"/>
          <w:sz w:val="24"/>
        </w:rPr>
        <w:t> </w:t>
      </w:r>
      <w:r>
        <w:rPr>
          <w:i/>
          <w:color w:val="231F20"/>
          <w:sz w:val="24"/>
        </w:rPr>
        <w:t>Moi,</w:t>
      </w:r>
      <w:r>
        <w:rPr>
          <w:i/>
          <w:color w:val="231F20"/>
          <w:spacing w:val="-4"/>
          <w:sz w:val="24"/>
        </w:rPr>
        <w:t> </w:t>
      </w:r>
      <w:r>
        <w:rPr>
          <w:i/>
          <w:color w:val="231F20"/>
          <w:sz w:val="24"/>
        </w:rPr>
        <w:t>je</w:t>
      </w:r>
      <w:r>
        <w:rPr>
          <w:i/>
          <w:color w:val="231F20"/>
          <w:spacing w:val="-1"/>
          <w:sz w:val="24"/>
        </w:rPr>
        <w:t> </w:t>
      </w:r>
      <w:r>
        <w:rPr>
          <w:i/>
          <w:color w:val="231F20"/>
          <w:sz w:val="24"/>
        </w:rPr>
        <w:t>suis</w:t>
      </w:r>
      <w:r>
        <w:rPr>
          <w:i/>
          <w:color w:val="231F20"/>
          <w:spacing w:val="-5"/>
          <w:sz w:val="24"/>
        </w:rPr>
        <w:t> </w:t>
      </w:r>
      <w:r>
        <w:rPr>
          <w:i/>
          <w:color w:val="231F20"/>
          <w:sz w:val="24"/>
        </w:rPr>
        <w:t>un</w:t>
      </w:r>
      <w:r>
        <w:rPr>
          <w:i/>
          <w:color w:val="231F20"/>
          <w:spacing w:val="-1"/>
          <w:sz w:val="24"/>
        </w:rPr>
        <w:t> </w:t>
      </w:r>
      <w:r>
        <w:rPr>
          <w:i/>
          <w:color w:val="231F20"/>
          <w:sz w:val="24"/>
        </w:rPr>
        <w:t>banquier</w:t>
      </w:r>
      <w:r>
        <w:rPr>
          <w:i/>
          <w:color w:val="231F20"/>
          <w:spacing w:val="-1"/>
          <w:sz w:val="24"/>
        </w:rPr>
        <w:t> </w:t>
      </w:r>
      <w:r>
        <w:rPr>
          <w:i/>
          <w:color w:val="231F20"/>
          <w:sz w:val="24"/>
        </w:rPr>
        <w:t>et</w:t>
      </w:r>
      <w:r>
        <w:rPr>
          <w:i/>
          <w:color w:val="231F20"/>
          <w:spacing w:val="-4"/>
          <w:sz w:val="24"/>
        </w:rPr>
        <w:t> </w:t>
      </w:r>
      <w:r>
        <w:rPr>
          <w:i/>
          <w:color w:val="231F20"/>
          <w:sz w:val="24"/>
        </w:rPr>
        <w:t>on</w:t>
      </w:r>
      <w:r>
        <w:rPr>
          <w:i/>
          <w:color w:val="231F20"/>
          <w:spacing w:val="-1"/>
          <w:sz w:val="24"/>
        </w:rPr>
        <w:t> </w:t>
      </w:r>
      <w:r>
        <w:rPr>
          <w:i/>
          <w:color w:val="231F20"/>
          <w:sz w:val="24"/>
        </w:rPr>
        <w:t>me</w:t>
      </w:r>
      <w:r>
        <w:rPr>
          <w:i/>
          <w:color w:val="231F20"/>
          <w:sz w:val="24"/>
        </w:rPr>
        <w:t> fait</w:t>
      </w:r>
      <w:r>
        <w:rPr>
          <w:i/>
          <w:color w:val="231F20"/>
          <w:spacing w:val="-12"/>
          <w:sz w:val="24"/>
        </w:rPr>
        <w:t> </w:t>
      </w:r>
      <w:r>
        <w:rPr>
          <w:i/>
          <w:color w:val="231F20"/>
          <w:sz w:val="24"/>
        </w:rPr>
        <w:t>confiance.</w:t>
      </w:r>
      <w:r>
        <w:rPr>
          <w:i/>
          <w:color w:val="231F20"/>
          <w:spacing w:val="-15"/>
          <w:sz w:val="24"/>
        </w:rPr>
        <w:t> </w:t>
      </w:r>
      <w:r>
        <w:rPr>
          <w:i/>
          <w:color w:val="231F20"/>
          <w:sz w:val="24"/>
        </w:rPr>
        <w:t>Je</w:t>
      </w:r>
      <w:r>
        <w:rPr>
          <w:i/>
          <w:color w:val="231F20"/>
          <w:spacing w:val="-14"/>
          <w:sz w:val="24"/>
        </w:rPr>
        <w:t> </w:t>
      </w:r>
      <w:r>
        <w:rPr>
          <w:i/>
          <w:color w:val="231F20"/>
          <w:sz w:val="24"/>
        </w:rPr>
        <w:t>peux</w:t>
      </w:r>
      <w:r>
        <w:rPr>
          <w:i/>
          <w:color w:val="231F20"/>
          <w:spacing w:val="-15"/>
          <w:sz w:val="24"/>
        </w:rPr>
        <w:t> </w:t>
      </w:r>
      <w:r>
        <w:rPr>
          <w:i/>
          <w:color w:val="231F20"/>
          <w:sz w:val="24"/>
        </w:rPr>
        <w:t>amener</w:t>
      </w:r>
      <w:r>
        <w:rPr>
          <w:i/>
          <w:color w:val="231F20"/>
          <w:spacing w:val="-12"/>
          <w:sz w:val="24"/>
        </w:rPr>
        <w:t> </w:t>
      </w:r>
      <w:r>
        <w:rPr>
          <w:i/>
          <w:color w:val="231F20"/>
          <w:sz w:val="24"/>
        </w:rPr>
        <w:t>l’argent</w:t>
      </w:r>
      <w:r>
        <w:rPr>
          <w:i/>
          <w:color w:val="231F20"/>
          <w:spacing w:val="-12"/>
          <w:sz w:val="24"/>
        </w:rPr>
        <w:t> </w:t>
      </w:r>
      <w:r>
        <w:rPr>
          <w:i/>
          <w:color w:val="231F20"/>
          <w:sz w:val="24"/>
        </w:rPr>
        <w:t>(…)</w:t>
      </w:r>
      <w:r>
        <w:rPr>
          <w:i/>
          <w:color w:val="231F20"/>
          <w:spacing w:val="-13"/>
          <w:sz w:val="24"/>
        </w:rPr>
        <w:t> </w:t>
      </w:r>
      <w:r>
        <w:rPr>
          <w:i/>
          <w:color w:val="231F20"/>
          <w:sz w:val="24"/>
        </w:rPr>
        <w:t>San-Pedro</w:t>
      </w:r>
      <w:r>
        <w:rPr>
          <w:i/>
          <w:color w:val="231F20"/>
          <w:spacing w:val="-13"/>
          <w:sz w:val="24"/>
        </w:rPr>
        <w:t> </w:t>
      </w:r>
      <w:r>
        <w:rPr>
          <w:i/>
          <w:color w:val="231F20"/>
          <w:sz w:val="24"/>
        </w:rPr>
        <w:t>:</w:t>
      </w:r>
      <w:r>
        <w:rPr>
          <w:i/>
          <w:color w:val="231F20"/>
          <w:spacing w:val="-15"/>
          <w:sz w:val="24"/>
        </w:rPr>
        <w:t> </w:t>
      </w:r>
      <w:r>
        <w:rPr>
          <w:i/>
          <w:color w:val="231F20"/>
          <w:sz w:val="24"/>
        </w:rPr>
        <w:t>375</w:t>
      </w:r>
      <w:r>
        <w:rPr>
          <w:i/>
          <w:color w:val="231F20"/>
          <w:spacing w:val="-13"/>
          <w:sz w:val="24"/>
        </w:rPr>
        <w:t> </w:t>
      </w:r>
      <w:r>
        <w:rPr>
          <w:i/>
          <w:color w:val="231F20"/>
          <w:sz w:val="24"/>
        </w:rPr>
        <w:t>milliards</w:t>
      </w:r>
      <w:r>
        <w:rPr>
          <w:i/>
          <w:color w:val="231F20"/>
          <w:spacing w:val="-15"/>
          <w:sz w:val="24"/>
        </w:rPr>
        <w:t> </w:t>
      </w:r>
      <w:r>
        <w:rPr>
          <w:i/>
          <w:color w:val="231F20"/>
          <w:sz w:val="24"/>
        </w:rPr>
        <w:t>;</w:t>
      </w:r>
    </w:p>
    <w:p>
      <w:pPr>
        <w:spacing w:after="0"/>
        <w:jc w:val="both"/>
        <w:rPr>
          <w:sz w:val="24"/>
        </w:rPr>
        <w:sectPr>
          <w:pgSz w:w="8790" w:h="13610"/>
          <w:pgMar w:header="0" w:footer="802" w:top="1060" w:bottom="1000" w:left="880" w:right="880"/>
        </w:sectPr>
      </w:pPr>
    </w:p>
    <w:p>
      <w:pPr>
        <w:spacing w:before="66"/>
        <w:ind w:left="111" w:right="101" w:firstLine="0"/>
        <w:jc w:val="both"/>
        <w:rPr>
          <w:sz w:val="24"/>
        </w:rPr>
      </w:pPr>
      <w:r>
        <w:rPr>
          <w:i/>
          <w:color w:val="231F20"/>
          <w:spacing w:val="-4"/>
          <w:sz w:val="24"/>
        </w:rPr>
        <w:t>Tabou</w:t>
      </w:r>
      <w:r>
        <w:rPr>
          <w:i/>
          <w:color w:val="231F20"/>
          <w:spacing w:val="-10"/>
          <w:sz w:val="24"/>
        </w:rPr>
        <w:t> </w:t>
      </w:r>
      <w:r>
        <w:rPr>
          <w:i/>
          <w:color w:val="231F20"/>
          <w:spacing w:val="-4"/>
          <w:sz w:val="24"/>
        </w:rPr>
        <w:t>:</w:t>
      </w:r>
      <w:r>
        <w:rPr>
          <w:i/>
          <w:color w:val="231F20"/>
          <w:spacing w:val="-10"/>
          <w:sz w:val="24"/>
        </w:rPr>
        <w:t> </w:t>
      </w:r>
      <w:r>
        <w:rPr>
          <w:i/>
          <w:color w:val="231F20"/>
          <w:spacing w:val="-4"/>
          <w:sz w:val="24"/>
        </w:rPr>
        <w:t>73</w:t>
      </w:r>
      <w:r>
        <w:rPr>
          <w:i/>
          <w:color w:val="231F20"/>
          <w:spacing w:val="-10"/>
          <w:sz w:val="24"/>
        </w:rPr>
        <w:t> </w:t>
      </w:r>
      <w:r>
        <w:rPr>
          <w:i/>
          <w:color w:val="231F20"/>
          <w:spacing w:val="-4"/>
          <w:sz w:val="24"/>
        </w:rPr>
        <w:t>milliards</w:t>
      </w:r>
      <w:r>
        <w:rPr>
          <w:i/>
          <w:color w:val="231F20"/>
          <w:sz w:val="24"/>
        </w:rPr>
        <w:t> </w:t>
      </w:r>
      <w:r>
        <w:rPr>
          <w:i/>
          <w:color w:val="231F20"/>
          <w:spacing w:val="-4"/>
          <w:sz w:val="24"/>
        </w:rPr>
        <w:t>;</w:t>
      </w:r>
      <w:r>
        <w:rPr>
          <w:i/>
          <w:color w:val="231F20"/>
          <w:spacing w:val="-10"/>
          <w:sz w:val="24"/>
        </w:rPr>
        <w:t> </w:t>
      </w:r>
      <w:r>
        <w:rPr>
          <w:i/>
          <w:color w:val="231F20"/>
          <w:spacing w:val="-4"/>
          <w:sz w:val="24"/>
        </w:rPr>
        <w:t>Sassandra</w:t>
      </w:r>
      <w:r>
        <w:rPr>
          <w:i/>
          <w:color w:val="231F20"/>
          <w:spacing w:val="-10"/>
          <w:sz w:val="24"/>
        </w:rPr>
        <w:t> </w:t>
      </w:r>
      <w:r>
        <w:rPr>
          <w:i/>
          <w:color w:val="231F20"/>
          <w:spacing w:val="-4"/>
          <w:sz w:val="24"/>
        </w:rPr>
        <w:t>:121</w:t>
      </w:r>
      <w:r>
        <w:rPr>
          <w:i/>
          <w:color w:val="231F20"/>
          <w:spacing w:val="-10"/>
          <w:sz w:val="24"/>
        </w:rPr>
        <w:t> </w:t>
      </w:r>
      <w:r>
        <w:rPr>
          <w:i/>
          <w:color w:val="231F20"/>
          <w:spacing w:val="-4"/>
          <w:sz w:val="24"/>
        </w:rPr>
        <w:t>milliards ;</w:t>
      </w:r>
      <w:r>
        <w:rPr>
          <w:i/>
          <w:color w:val="231F20"/>
          <w:spacing w:val="-10"/>
          <w:sz w:val="24"/>
        </w:rPr>
        <w:t> </w:t>
      </w:r>
      <w:r>
        <w:rPr>
          <w:i/>
          <w:color w:val="231F20"/>
          <w:spacing w:val="-4"/>
          <w:sz w:val="24"/>
        </w:rPr>
        <w:t>Soubré</w:t>
      </w:r>
      <w:r>
        <w:rPr>
          <w:i/>
          <w:color w:val="231F20"/>
          <w:spacing w:val="-10"/>
          <w:sz w:val="24"/>
        </w:rPr>
        <w:t> </w:t>
      </w:r>
      <w:r>
        <w:rPr>
          <w:i/>
          <w:color w:val="231F20"/>
          <w:spacing w:val="-4"/>
          <w:sz w:val="24"/>
        </w:rPr>
        <w:t>:</w:t>
      </w:r>
      <w:r>
        <w:rPr>
          <w:i/>
          <w:color w:val="231F20"/>
          <w:spacing w:val="-10"/>
          <w:sz w:val="24"/>
        </w:rPr>
        <w:t> </w:t>
      </w:r>
      <w:r>
        <w:rPr>
          <w:i/>
          <w:color w:val="231F20"/>
          <w:spacing w:val="-4"/>
          <w:sz w:val="24"/>
        </w:rPr>
        <w:t>531</w:t>
      </w:r>
      <w:r>
        <w:rPr>
          <w:i/>
          <w:color w:val="231F20"/>
          <w:spacing w:val="-10"/>
          <w:sz w:val="24"/>
        </w:rPr>
        <w:t> </w:t>
      </w:r>
      <w:r>
        <w:rPr>
          <w:i/>
          <w:color w:val="231F20"/>
          <w:spacing w:val="-4"/>
          <w:sz w:val="24"/>
        </w:rPr>
        <w:t>milliards ;</w:t>
      </w:r>
      <w:r>
        <w:rPr>
          <w:i/>
          <w:color w:val="231F20"/>
          <w:spacing w:val="-4"/>
          <w:sz w:val="24"/>
        </w:rPr>
        <w:t> </w:t>
      </w:r>
      <w:r>
        <w:rPr>
          <w:i/>
          <w:color w:val="231F20"/>
          <w:sz w:val="24"/>
        </w:rPr>
        <w:t>Sinfra</w:t>
      </w:r>
      <w:r>
        <w:rPr>
          <w:i/>
          <w:color w:val="231F20"/>
          <w:spacing w:val="-6"/>
          <w:sz w:val="24"/>
        </w:rPr>
        <w:t> </w:t>
      </w:r>
      <w:r>
        <w:rPr>
          <w:i/>
          <w:color w:val="231F20"/>
          <w:sz w:val="24"/>
        </w:rPr>
        <w:t>:</w:t>
      </w:r>
      <w:r>
        <w:rPr>
          <w:i/>
          <w:color w:val="231F20"/>
          <w:spacing w:val="-6"/>
          <w:sz w:val="24"/>
        </w:rPr>
        <w:t> </w:t>
      </w:r>
      <w:r>
        <w:rPr>
          <w:i/>
          <w:color w:val="231F20"/>
          <w:sz w:val="24"/>
        </w:rPr>
        <w:t>85</w:t>
      </w:r>
      <w:r>
        <w:rPr>
          <w:i/>
          <w:color w:val="231F20"/>
          <w:spacing w:val="-6"/>
          <w:sz w:val="24"/>
        </w:rPr>
        <w:t> </w:t>
      </w:r>
      <w:r>
        <w:rPr>
          <w:i/>
          <w:color w:val="231F20"/>
          <w:sz w:val="24"/>
        </w:rPr>
        <w:t>milliards</w:t>
      </w:r>
      <w:r>
        <w:rPr>
          <w:i/>
          <w:color w:val="231F20"/>
          <w:spacing w:val="-14"/>
          <w:sz w:val="24"/>
        </w:rPr>
        <w:t> </w:t>
      </w:r>
      <w:r>
        <w:rPr>
          <w:i/>
          <w:color w:val="231F20"/>
          <w:sz w:val="24"/>
        </w:rPr>
        <w:t>;</w:t>
      </w:r>
      <w:r>
        <w:rPr>
          <w:i/>
          <w:color w:val="231F20"/>
          <w:spacing w:val="-6"/>
          <w:sz w:val="24"/>
        </w:rPr>
        <w:t> </w:t>
      </w:r>
      <w:r>
        <w:rPr>
          <w:i/>
          <w:color w:val="231F20"/>
          <w:sz w:val="24"/>
        </w:rPr>
        <w:t>Bouaflé</w:t>
      </w:r>
      <w:r>
        <w:rPr>
          <w:i/>
          <w:color w:val="231F20"/>
          <w:spacing w:val="-6"/>
          <w:sz w:val="24"/>
        </w:rPr>
        <w:t> </w:t>
      </w:r>
      <w:r>
        <w:rPr>
          <w:i/>
          <w:color w:val="231F20"/>
          <w:sz w:val="24"/>
        </w:rPr>
        <w:t>:</w:t>
      </w:r>
      <w:r>
        <w:rPr>
          <w:i/>
          <w:color w:val="231F20"/>
          <w:spacing w:val="-6"/>
          <w:sz w:val="24"/>
        </w:rPr>
        <w:t> </w:t>
      </w:r>
      <w:r>
        <w:rPr>
          <w:i/>
          <w:color w:val="231F20"/>
          <w:sz w:val="24"/>
        </w:rPr>
        <w:t>95</w:t>
      </w:r>
      <w:r>
        <w:rPr>
          <w:i/>
          <w:color w:val="231F20"/>
          <w:spacing w:val="-6"/>
          <w:sz w:val="24"/>
        </w:rPr>
        <w:t> </w:t>
      </w:r>
      <w:r>
        <w:rPr>
          <w:i/>
          <w:color w:val="231F20"/>
          <w:sz w:val="24"/>
        </w:rPr>
        <w:t>milliards</w:t>
      </w:r>
      <w:r>
        <w:rPr>
          <w:i/>
          <w:color w:val="231F20"/>
          <w:spacing w:val="-14"/>
          <w:sz w:val="24"/>
        </w:rPr>
        <w:t> </w:t>
      </w:r>
      <w:r>
        <w:rPr>
          <w:i/>
          <w:color w:val="231F20"/>
          <w:sz w:val="24"/>
        </w:rPr>
        <w:t>;</w:t>
      </w:r>
      <w:r>
        <w:rPr>
          <w:i/>
          <w:color w:val="231F20"/>
          <w:spacing w:val="-7"/>
          <w:sz w:val="24"/>
        </w:rPr>
        <w:t> </w:t>
      </w:r>
      <w:r>
        <w:rPr>
          <w:i/>
          <w:color w:val="231F20"/>
          <w:sz w:val="24"/>
        </w:rPr>
        <w:t>Zuénoula</w:t>
      </w:r>
      <w:r>
        <w:rPr>
          <w:i/>
          <w:color w:val="231F20"/>
          <w:spacing w:val="-6"/>
          <w:sz w:val="24"/>
        </w:rPr>
        <w:t> </w:t>
      </w:r>
      <w:r>
        <w:rPr>
          <w:i/>
          <w:color w:val="231F20"/>
          <w:sz w:val="24"/>
        </w:rPr>
        <w:t>:</w:t>
      </w:r>
      <w:r>
        <w:rPr>
          <w:i/>
          <w:color w:val="231F20"/>
          <w:spacing w:val="-6"/>
          <w:sz w:val="24"/>
        </w:rPr>
        <w:t> </w:t>
      </w:r>
      <w:r>
        <w:rPr>
          <w:i/>
          <w:color w:val="231F20"/>
          <w:sz w:val="24"/>
        </w:rPr>
        <w:t>66</w:t>
      </w:r>
      <w:r>
        <w:rPr>
          <w:i/>
          <w:color w:val="231F20"/>
          <w:spacing w:val="-6"/>
          <w:sz w:val="24"/>
        </w:rPr>
        <w:t> </w:t>
      </w:r>
      <w:r>
        <w:rPr>
          <w:i/>
          <w:color w:val="231F20"/>
          <w:sz w:val="24"/>
        </w:rPr>
        <w:t>milliards</w:t>
      </w:r>
      <w:r>
        <w:rPr>
          <w:i/>
          <w:color w:val="231F20"/>
          <w:spacing w:val="-15"/>
          <w:sz w:val="24"/>
        </w:rPr>
        <w:t> </w:t>
      </w:r>
      <w:r>
        <w:rPr>
          <w:i/>
          <w:color w:val="231F20"/>
          <w:sz w:val="24"/>
        </w:rPr>
        <w:t>; Vavoua : 144 milliards</w:t>
      </w:r>
      <w:r>
        <w:rPr>
          <w:i/>
          <w:color w:val="231F20"/>
          <w:spacing w:val="-14"/>
          <w:sz w:val="24"/>
        </w:rPr>
        <w:t> </w:t>
      </w:r>
      <w:r>
        <w:rPr>
          <w:i/>
          <w:color w:val="231F20"/>
          <w:sz w:val="24"/>
        </w:rPr>
        <w:t>; Daloa : 260 milliards</w:t>
      </w:r>
      <w:r>
        <w:rPr>
          <w:i/>
          <w:color w:val="231F20"/>
          <w:spacing w:val="-12"/>
          <w:sz w:val="24"/>
        </w:rPr>
        <w:t> </w:t>
      </w:r>
      <w:r>
        <w:rPr>
          <w:i/>
          <w:color w:val="231F20"/>
          <w:sz w:val="24"/>
        </w:rPr>
        <w:t>; Gagnoa : 139,600 milliards</w:t>
      </w:r>
      <w:r>
        <w:rPr>
          <w:i/>
          <w:color w:val="231F20"/>
          <w:spacing w:val="-10"/>
          <w:sz w:val="24"/>
        </w:rPr>
        <w:t> </w:t>
      </w:r>
      <w:r>
        <w:rPr>
          <w:i/>
          <w:color w:val="231F20"/>
          <w:sz w:val="24"/>
        </w:rPr>
        <w:t>; Oumé : 78 milliards</w:t>
      </w:r>
      <w:r>
        <w:rPr>
          <w:i/>
          <w:color w:val="231F20"/>
          <w:spacing w:val="-10"/>
          <w:sz w:val="24"/>
        </w:rPr>
        <w:t> </w:t>
      </w:r>
      <w:r>
        <w:rPr>
          <w:i/>
          <w:color w:val="231F20"/>
          <w:sz w:val="24"/>
        </w:rPr>
        <w:t>; Lakota : 80 milliards ; Divo : 47milliards</w:t>
      </w:r>
      <w:r>
        <w:rPr>
          <w:i/>
          <w:color w:val="231F20"/>
          <w:spacing w:val="-15"/>
          <w:sz w:val="24"/>
        </w:rPr>
        <w:t> </w:t>
      </w:r>
      <w:r>
        <w:rPr>
          <w:i/>
          <w:color w:val="231F20"/>
          <w:sz w:val="24"/>
        </w:rPr>
        <w:t>;</w:t>
      </w:r>
      <w:r>
        <w:rPr>
          <w:i/>
          <w:color w:val="231F20"/>
          <w:spacing w:val="-15"/>
          <w:sz w:val="24"/>
        </w:rPr>
        <w:t> </w:t>
      </w:r>
      <w:r>
        <w:rPr>
          <w:i/>
          <w:color w:val="231F20"/>
          <w:sz w:val="24"/>
        </w:rPr>
        <w:t>Yamoussoukro</w:t>
      </w:r>
      <w:r>
        <w:rPr>
          <w:i/>
          <w:color w:val="231F20"/>
          <w:spacing w:val="-15"/>
          <w:sz w:val="24"/>
        </w:rPr>
        <w:t> </w:t>
      </w:r>
      <w:r>
        <w:rPr>
          <w:i/>
          <w:color w:val="231F20"/>
          <w:sz w:val="24"/>
        </w:rPr>
        <w:t>:1.000</w:t>
      </w:r>
      <w:r>
        <w:rPr>
          <w:i/>
          <w:color w:val="231F20"/>
          <w:spacing w:val="-15"/>
          <w:sz w:val="24"/>
        </w:rPr>
        <w:t> </w:t>
      </w:r>
      <w:r>
        <w:rPr>
          <w:i/>
          <w:color w:val="231F20"/>
          <w:sz w:val="24"/>
        </w:rPr>
        <w:t>milliards ; Toumodi :56milliards... Mille</w:t>
      </w:r>
      <w:r>
        <w:rPr>
          <w:i/>
          <w:color w:val="231F20"/>
          <w:spacing w:val="-9"/>
          <w:sz w:val="24"/>
        </w:rPr>
        <w:t> </w:t>
      </w:r>
      <w:r>
        <w:rPr>
          <w:i/>
          <w:color w:val="231F20"/>
          <w:sz w:val="24"/>
        </w:rPr>
        <w:t>milliards</w:t>
      </w:r>
      <w:r>
        <w:rPr>
          <w:i/>
          <w:color w:val="231F20"/>
          <w:spacing w:val="-6"/>
          <w:sz w:val="24"/>
        </w:rPr>
        <w:t> </w:t>
      </w:r>
      <w:r>
        <w:rPr>
          <w:i/>
          <w:color w:val="231F20"/>
          <w:sz w:val="24"/>
        </w:rPr>
        <w:t>pour</w:t>
      </w:r>
      <w:r>
        <w:rPr>
          <w:i/>
          <w:color w:val="231F20"/>
          <w:spacing w:val="-9"/>
          <w:sz w:val="24"/>
        </w:rPr>
        <w:t> </w:t>
      </w:r>
      <w:r>
        <w:rPr>
          <w:i/>
          <w:color w:val="231F20"/>
          <w:sz w:val="24"/>
        </w:rPr>
        <w:t>le</w:t>
      </w:r>
      <w:r>
        <w:rPr>
          <w:i/>
          <w:color w:val="231F20"/>
          <w:spacing w:val="-9"/>
          <w:sz w:val="24"/>
        </w:rPr>
        <w:t> </w:t>
      </w:r>
      <w:r>
        <w:rPr>
          <w:i/>
          <w:color w:val="231F20"/>
          <w:sz w:val="24"/>
        </w:rPr>
        <w:t>Bas-Sassandra,</w:t>
      </w:r>
      <w:r>
        <w:rPr>
          <w:i/>
          <w:color w:val="231F20"/>
          <w:spacing w:val="-9"/>
          <w:sz w:val="24"/>
        </w:rPr>
        <w:t> </w:t>
      </w:r>
      <w:r>
        <w:rPr>
          <w:i/>
          <w:color w:val="231F20"/>
          <w:sz w:val="24"/>
        </w:rPr>
        <w:t>ce</w:t>
      </w:r>
      <w:r>
        <w:rPr>
          <w:i/>
          <w:color w:val="231F20"/>
          <w:spacing w:val="-7"/>
          <w:sz w:val="24"/>
        </w:rPr>
        <w:t> </w:t>
      </w:r>
      <w:r>
        <w:rPr>
          <w:i/>
          <w:color w:val="231F20"/>
          <w:sz w:val="24"/>
        </w:rPr>
        <w:t>n’est</w:t>
      </w:r>
      <w:r>
        <w:rPr>
          <w:i/>
          <w:color w:val="231F20"/>
          <w:spacing w:val="-9"/>
          <w:sz w:val="24"/>
        </w:rPr>
        <w:t> </w:t>
      </w:r>
      <w:r>
        <w:rPr>
          <w:i/>
          <w:color w:val="231F20"/>
          <w:sz w:val="24"/>
        </w:rPr>
        <w:t>pas</w:t>
      </w:r>
      <w:r>
        <w:rPr>
          <w:i/>
          <w:color w:val="231F20"/>
          <w:spacing w:val="-7"/>
          <w:sz w:val="24"/>
        </w:rPr>
        <w:t> </w:t>
      </w:r>
      <w:r>
        <w:rPr>
          <w:i/>
          <w:color w:val="231F20"/>
          <w:sz w:val="24"/>
        </w:rPr>
        <w:t>impossible.</w:t>
      </w:r>
      <w:r>
        <w:rPr>
          <w:i/>
          <w:color w:val="231F20"/>
          <w:spacing w:val="-7"/>
          <w:sz w:val="24"/>
        </w:rPr>
        <w:t> </w:t>
      </w:r>
      <w:r>
        <w:rPr>
          <w:i/>
          <w:color w:val="231F20"/>
          <w:sz w:val="24"/>
        </w:rPr>
        <w:t>Je</w:t>
      </w:r>
      <w:r>
        <w:rPr>
          <w:i/>
          <w:color w:val="231F20"/>
          <w:spacing w:val="-7"/>
          <w:sz w:val="24"/>
        </w:rPr>
        <w:t> </w:t>
      </w:r>
      <w:r>
        <w:rPr>
          <w:i/>
          <w:color w:val="231F20"/>
          <w:sz w:val="24"/>
        </w:rPr>
        <w:t>vous </w:t>
      </w:r>
      <w:r>
        <w:rPr>
          <w:i/>
          <w:color w:val="231F20"/>
          <w:spacing w:val="-2"/>
          <w:sz w:val="24"/>
        </w:rPr>
        <w:t>promets</w:t>
      </w:r>
      <w:r>
        <w:rPr>
          <w:i/>
          <w:color w:val="231F20"/>
          <w:spacing w:val="-13"/>
          <w:sz w:val="24"/>
        </w:rPr>
        <w:t> </w:t>
      </w:r>
      <w:r>
        <w:rPr>
          <w:i/>
          <w:color w:val="231F20"/>
          <w:spacing w:val="-2"/>
          <w:sz w:val="24"/>
        </w:rPr>
        <w:t>de</w:t>
      </w:r>
      <w:r>
        <w:rPr>
          <w:i/>
          <w:color w:val="231F20"/>
          <w:spacing w:val="-13"/>
          <w:sz w:val="24"/>
        </w:rPr>
        <w:t> </w:t>
      </w:r>
      <w:r>
        <w:rPr>
          <w:i/>
          <w:color w:val="231F20"/>
          <w:spacing w:val="-2"/>
          <w:sz w:val="24"/>
        </w:rPr>
        <w:t>le</w:t>
      </w:r>
      <w:r>
        <w:rPr>
          <w:i/>
          <w:color w:val="231F20"/>
          <w:spacing w:val="-13"/>
          <w:sz w:val="24"/>
        </w:rPr>
        <w:t> </w:t>
      </w:r>
      <w:r>
        <w:rPr>
          <w:i/>
          <w:color w:val="231F20"/>
          <w:spacing w:val="-2"/>
          <w:sz w:val="24"/>
        </w:rPr>
        <w:t>faire,</w:t>
      </w:r>
      <w:r>
        <w:rPr>
          <w:i/>
          <w:color w:val="231F20"/>
          <w:spacing w:val="-13"/>
          <w:sz w:val="24"/>
        </w:rPr>
        <w:t> </w:t>
      </w:r>
      <w:r>
        <w:rPr>
          <w:i/>
          <w:color w:val="231F20"/>
          <w:spacing w:val="-2"/>
          <w:sz w:val="24"/>
        </w:rPr>
        <w:t>parce</w:t>
      </w:r>
      <w:r>
        <w:rPr>
          <w:i/>
          <w:color w:val="231F20"/>
          <w:spacing w:val="-12"/>
          <w:sz w:val="24"/>
        </w:rPr>
        <w:t> </w:t>
      </w:r>
      <w:r>
        <w:rPr>
          <w:i/>
          <w:color w:val="231F20"/>
          <w:spacing w:val="-2"/>
          <w:sz w:val="24"/>
        </w:rPr>
        <w:t>que</w:t>
      </w:r>
      <w:r>
        <w:rPr>
          <w:i/>
          <w:color w:val="231F20"/>
          <w:spacing w:val="-13"/>
          <w:sz w:val="24"/>
        </w:rPr>
        <w:t> </w:t>
      </w:r>
      <w:r>
        <w:rPr>
          <w:i/>
          <w:color w:val="231F20"/>
          <w:spacing w:val="-2"/>
          <w:sz w:val="24"/>
        </w:rPr>
        <w:t>j’ai</w:t>
      </w:r>
      <w:r>
        <w:rPr>
          <w:i/>
          <w:color w:val="231F20"/>
          <w:spacing w:val="-13"/>
          <w:sz w:val="24"/>
        </w:rPr>
        <w:t> </w:t>
      </w:r>
      <w:r>
        <w:rPr>
          <w:i/>
          <w:color w:val="231F20"/>
          <w:spacing w:val="-2"/>
          <w:sz w:val="24"/>
        </w:rPr>
        <w:t>les</w:t>
      </w:r>
      <w:r>
        <w:rPr>
          <w:i/>
          <w:color w:val="231F20"/>
          <w:spacing w:val="-12"/>
          <w:sz w:val="24"/>
        </w:rPr>
        <w:t> </w:t>
      </w:r>
      <w:r>
        <w:rPr>
          <w:i/>
          <w:color w:val="231F20"/>
          <w:spacing w:val="-2"/>
          <w:sz w:val="24"/>
        </w:rPr>
        <w:t>moyens</w:t>
      </w:r>
      <w:r>
        <w:rPr>
          <w:i/>
          <w:color w:val="231F20"/>
          <w:spacing w:val="-13"/>
          <w:sz w:val="24"/>
        </w:rPr>
        <w:t> </w:t>
      </w:r>
      <w:r>
        <w:rPr>
          <w:i/>
          <w:color w:val="231F20"/>
          <w:spacing w:val="-2"/>
          <w:sz w:val="24"/>
        </w:rPr>
        <w:t>de</w:t>
      </w:r>
      <w:r>
        <w:rPr>
          <w:i/>
          <w:color w:val="231F20"/>
          <w:spacing w:val="-13"/>
          <w:sz w:val="24"/>
        </w:rPr>
        <w:t> </w:t>
      </w:r>
      <w:r>
        <w:rPr>
          <w:i/>
          <w:color w:val="231F20"/>
          <w:spacing w:val="-2"/>
          <w:sz w:val="24"/>
        </w:rPr>
        <w:t>lever</w:t>
      </w:r>
      <w:r>
        <w:rPr>
          <w:i/>
          <w:color w:val="231F20"/>
          <w:spacing w:val="-12"/>
          <w:sz w:val="24"/>
        </w:rPr>
        <w:t> </w:t>
      </w:r>
      <w:r>
        <w:rPr>
          <w:i/>
          <w:color w:val="231F20"/>
          <w:spacing w:val="-2"/>
          <w:sz w:val="24"/>
        </w:rPr>
        <w:t>ces</w:t>
      </w:r>
      <w:r>
        <w:rPr>
          <w:i/>
          <w:color w:val="231F20"/>
          <w:spacing w:val="-13"/>
          <w:sz w:val="24"/>
        </w:rPr>
        <w:t> </w:t>
      </w:r>
      <w:r>
        <w:rPr>
          <w:i/>
          <w:color w:val="231F20"/>
          <w:spacing w:val="-2"/>
          <w:sz w:val="24"/>
        </w:rPr>
        <w:t>fonds</w:t>
      </w:r>
      <w:r>
        <w:rPr>
          <w:i/>
          <w:color w:val="231F20"/>
          <w:spacing w:val="-13"/>
          <w:sz w:val="24"/>
        </w:rPr>
        <w:t> </w:t>
      </w:r>
      <w:r>
        <w:rPr>
          <w:i/>
          <w:color w:val="231F20"/>
          <w:spacing w:val="-2"/>
          <w:sz w:val="24"/>
        </w:rPr>
        <w:t>(…)</w:t>
      </w:r>
      <w:r>
        <w:rPr>
          <w:i/>
          <w:color w:val="231F20"/>
          <w:spacing w:val="-8"/>
          <w:sz w:val="24"/>
        </w:rPr>
        <w:t> </w:t>
      </w:r>
      <w:r>
        <w:rPr>
          <w:color w:val="231F20"/>
          <w:spacing w:val="-2"/>
          <w:sz w:val="24"/>
        </w:rPr>
        <w:t>»</w:t>
      </w:r>
      <w:r>
        <w:rPr>
          <w:color w:val="231F20"/>
          <w:spacing w:val="-13"/>
          <w:sz w:val="24"/>
        </w:rPr>
        <w:t> </w:t>
      </w:r>
      <w:r>
        <w:rPr>
          <w:color w:val="231F20"/>
          <w:spacing w:val="-2"/>
          <w:sz w:val="24"/>
        </w:rPr>
        <w:t>La liste</w:t>
      </w:r>
      <w:r>
        <w:rPr>
          <w:color w:val="231F20"/>
          <w:spacing w:val="-13"/>
          <w:sz w:val="24"/>
        </w:rPr>
        <w:t> </w:t>
      </w:r>
      <w:r>
        <w:rPr>
          <w:color w:val="231F20"/>
          <w:spacing w:val="-2"/>
          <w:sz w:val="24"/>
        </w:rPr>
        <w:t>est</w:t>
      </w:r>
      <w:r>
        <w:rPr>
          <w:color w:val="231F20"/>
          <w:spacing w:val="-13"/>
          <w:sz w:val="24"/>
        </w:rPr>
        <w:t> </w:t>
      </w:r>
      <w:r>
        <w:rPr>
          <w:color w:val="231F20"/>
          <w:spacing w:val="-2"/>
          <w:sz w:val="24"/>
        </w:rPr>
        <w:t>longue</w:t>
      </w:r>
      <w:r>
        <w:rPr>
          <w:color w:val="231F20"/>
          <w:spacing w:val="-13"/>
          <w:sz w:val="24"/>
        </w:rPr>
        <w:t> </w:t>
      </w:r>
      <w:r>
        <w:rPr>
          <w:color w:val="231F20"/>
          <w:spacing w:val="-2"/>
          <w:sz w:val="24"/>
        </w:rPr>
        <w:t>étant</w:t>
      </w:r>
      <w:r>
        <w:rPr>
          <w:color w:val="231F20"/>
          <w:spacing w:val="-11"/>
          <w:sz w:val="24"/>
        </w:rPr>
        <w:t> </w:t>
      </w:r>
      <w:r>
        <w:rPr>
          <w:color w:val="231F20"/>
          <w:spacing w:val="-2"/>
          <w:sz w:val="24"/>
        </w:rPr>
        <w:t>donné</w:t>
      </w:r>
      <w:r>
        <w:rPr>
          <w:color w:val="231F20"/>
          <w:spacing w:val="-13"/>
          <w:sz w:val="24"/>
        </w:rPr>
        <w:t> </w:t>
      </w:r>
      <w:r>
        <w:rPr>
          <w:color w:val="231F20"/>
          <w:spacing w:val="-2"/>
          <w:sz w:val="24"/>
        </w:rPr>
        <w:t>qu’il</w:t>
      </w:r>
      <w:r>
        <w:rPr>
          <w:color w:val="231F20"/>
          <w:spacing w:val="-13"/>
          <w:sz w:val="24"/>
        </w:rPr>
        <w:t> </w:t>
      </w:r>
      <w:r>
        <w:rPr>
          <w:color w:val="231F20"/>
          <w:spacing w:val="-2"/>
          <w:sz w:val="24"/>
        </w:rPr>
        <w:t>s’agit</w:t>
      </w:r>
      <w:r>
        <w:rPr>
          <w:color w:val="231F20"/>
          <w:spacing w:val="-12"/>
          <w:sz w:val="24"/>
        </w:rPr>
        <w:t> </w:t>
      </w:r>
      <w:r>
        <w:rPr>
          <w:color w:val="231F20"/>
          <w:spacing w:val="-2"/>
          <w:sz w:val="24"/>
        </w:rPr>
        <w:t>de</w:t>
      </w:r>
      <w:r>
        <w:rPr>
          <w:color w:val="231F20"/>
          <w:spacing w:val="-12"/>
          <w:sz w:val="24"/>
        </w:rPr>
        <w:t> </w:t>
      </w:r>
      <w:r>
        <w:rPr>
          <w:color w:val="231F20"/>
          <w:spacing w:val="-2"/>
          <w:sz w:val="24"/>
        </w:rPr>
        <w:t>départements</w:t>
      </w:r>
      <w:r>
        <w:rPr>
          <w:color w:val="231F20"/>
          <w:spacing w:val="-12"/>
          <w:sz w:val="24"/>
        </w:rPr>
        <w:t> </w:t>
      </w:r>
      <w:r>
        <w:rPr>
          <w:color w:val="231F20"/>
          <w:spacing w:val="-2"/>
          <w:sz w:val="24"/>
        </w:rPr>
        <w:t>or</w:t>
      </w:r>
      <w:r>
        <w:rPr>
          <w:color w:val="231F20"/>
          <w:spacing w:val="-13"/>
          <w:sz w:val="24"/>
        </w:rPr>
        <w:t> </w:t>
      </w:r>
      <w:r>
        <w:rPr>
          <w:color w:val="231F20"/>
          <w:spacing w:val="-2"/>
          <w:sz w:val="24"/>
        </w:rPr>
        <w:t>il</w:t>
      </w:r>
      <w:r>
        <w:rPr>
          <w:color w:val="231F20"/>
          <w:spacing w:val="-13"/>
          <w:sz w:val="24"/>
        </w:rPr>
        <w:t> </w:t>
      </w:r>
      <w:r>
        <w:rPr>
          <w:color w:val="231F20"/>
          <w:spacing w:val="-2"/>
          <w:sz w:val="24"/>
        </w:rPr>
        <w:t>y</w:t>
      </w:r>
      <w:r>
        <w:rPr>
          <w:color w:val="231F20"/>
          <w:spacing w:val="-12"/>
          <w:sz w:val="24"/>
        </w:rPr>
        <w:t> </w:t>
      </w:r>
      <w:r>
        <w:rPr>
          <w:color w:val="231F20"/>
          <w:spacing w:val="-2"/>
          <w:sz w:val="24"/>
        </w:rPr>
        <w:t>a</w:t>
      </w:r>
      <w:r>
        <w:rPr>
          <w:color w:val="231F20"/>
          <w:spacing w:val="-12"/>
          <w:sz w:val="24"/>
        </w:rPr>
        <w:t> </w:t>
      </w:r>
      <w:r>
        <w:rPr>
          <w:color w:val="231F20"/>
          <w:spacing w:val="-2"/>
          <w:sz w:val="24"/>
        </w:rPr>
        <w:t>quelques </w:t>
      </w:r>
      <w:r>
        <w:rPr>
          <w:color w:val="231F20"/>
          <w:sz w:val="24"/>
        </w:rPr>
        <w:t>109</w:t>
      </w:r>
      <w:r>
        <w:rPr>
          <w:color w:val="231F20"/>
          <w:spacing w:val="-15"/>
          <w:sz w:val="24"/>
        </w:rPr>
        <w:t> </w:t>
      </w:r>
      <w:r>
        <w:rPr>
          <w:color w:val="231F20"/>
          <w:sz w:val="24"/>
        </w:rPr>
        <w:t>départements,</w:t>
      </w:r>
      <w:r>
        <w:rPr>
          <w:color w:val="231F20"/>
          <w:spacing w:val="-14"/>
          <w:sz w:val="24"/>
        </w:rPr>
        <w:t> </w:t>
      </w:r>
      <w:r>
        <w:rPr>
          <w:color w:val="231F20"/>
          <w:sz w:val="24"/>
        </w:rPr>
        <w:t>regroupés</w:t>
      </w:r>
      <w:r>
        <w:rPr>
          <w:color w:val="231F20"/>
          <w:spacing w:val="-7"/>
          <w:sz w:val="24"/>
        </w:rPr>
        <w:t> </w:t>
      </w:r>
      <w:r>
        <w:rPr>
          <w:color w:val="231F20"/>
          <w:sz w:val="24"/>
        </w:rPr>
        <w:t>en</w:t>
      </w:r>
      <w:r>
        <w:rPr>
          <w:color w:val="231F20"/>
          <w:spacing w:val="-8"/>
          <w:sz w:val="24"/>
        </w:rPr>
        <w:t> </w:t>
      </w:r>
      <w:r>
        <w:rPr>
          <w:color w:val="231F20"/>
          <w:sz w:val="24"/>
        </w:rPr>
        <w:t>30</w:t>
      </w:r>
      <w:r>
        <w:rPr>
          <w:color w:val="231F20"/>
          <w:spacing w:val="-8"/>
          <w:sz w:val="24"/>
        </w:rPr>
        <w:t> </w:t>
      </w:r>
      <w:r>
        <w:rPr>
          <w:color w:val="231F20"/>
          <w:sz w:val="24"/>
        </w:rPr>
        <w:t>régions</w:t>
      </w:r>
      <w:r>
        <w:rPr>
          <w:color w:val="231F20"/>
          <w:spacing w:val="-8"/>
          <w:sz w:val="24"/>
        </w:rPr>
        <w:t> </w:t>
      </w:r>
      <w:r>
        <w:rPr>
          <w:color w:val="231F20"/>
          <w:sz w:val="24"/>
        </w:rPr>
        <w:t>et</w:t>
      </w:r>
      <w:r>
        <w:rPr>
          <w:color w:val="231F20"/>
          <w:spacing w:val="-8"/>
          <w:sz w:val="24"/>
        </w:rPr>
        <w:t> </w:t>
      </w:r>
      <w:r>
        <w:rPr>
          <w:color w:val="231F20"/>
          <w:sz w:val="24"/>
        </w:rPr>
        <w:t>deux</w:t>
      </w:r>
      <w:r>
        <w:rPr>
          <w:color w:val="231F20"/>
          <w:spacing w:val="-9"/>
          <w:sz w:val="24"/>
        </w:rPr>
        <w:t> </w:t>
      </w:r>
      <w:r>
        <w:rPr>
          <w:color w:val="231F20"/>
          <w:sz w:val="24"/>
        </w:rPr>
        <w:t>districts</w:t>
      </w:r>
      <w:r>
        <w:rPr>
          <w:color w:val="231F20"/>
          <w:spacing w:val="-8"/>
          <w:sz w:val="24"/>
        </w:rPr>
        <w:t> </w:t>
      </w:r>
      <w:r>
        <w:rPr>
          <w:color w:val="231F20"/>
          <w:sz w:val="24"/>
        </w:rPr>
        <w:t>autonomes. Certainement</w:t>
      </w:r>
      <w:r>
        <w:rPr>
          <w:color w:val="231F20"/>
          <w:spacing w:val="-6"/>
          <w:sz w:val="24"/>
        </w:rPr>
        <w:t> </w:t>
      </w:r>
      <w:r>
        <w:rPr>
          <w:color w:val="231F20"/>
          <w:sz w:val="24"/>
        </w:rPr>
        <w:t>que</w:t>
      </w:r>
      <w:r>
        <w:rPr>
          <w:color w:val="231F20"/>
          <w:spacing w:val="-5"/>
          <w:sz w:val="24"/>
        </w:rPr>
        <w:t> </w:t>
      </w:r>
      <w:r>
        <w:rPr>
          <w:color w:val="231F20"/>
          <w:sz w:val="24"/>
        </w:rPr>
        <w:t>des</w:t>
      </w:r>
      <w:r>
        <w:rPr>
          <w:color w:val="231F20"/>
          <w:spacing w:val="-5"/>
          <w:sz w:val="24"/>
        </w:rPr>
        <w:t> </w:t>
      </w:r>
      <w:r>
        <w:rPr>
          <w:color w:val="231F20"/>
          <w:sz w:val="24"/>
        </w:rPr>
        <w:t>départements</w:t>
      </w:r>
      <w:r>
        <w:rPr>
          <w:color w:val="231F20"/>
          <w:spacing w:val="-7"/>
          <w:sz w:val="24"/>
        </w:rPr>
        <w:t> </w:t>
      </w:r>
      <w:r>
        <w:rPr>
          <w:color w:val="231F20"/>
          <w:sz w:val="24"/>
        </w:rPr>
        <w:t>ont</w:t>
      </w:r>
      <w:r>
        <w:rPr>
          <w:color w:val="231F20"/>
          <w:spacing w:val="-5"/>
          <w:sz w:val="24"/>
        </w:rPr>
        <w:t> </w:t>
      </w:r>
      <w:r>
        <w:rPr>
          <w:color w:val="231F20"/>
          <w:sz w:val="24"/>
        </w:rPr>
        <w:t>reçus</w:t>
      </w:r>
      <w:r>
        <w:rPr>
          <w:color w:val="231F20"/>
          <w:spacing w:val="-5"/>
          <w:sz w:val="24"/>
        </w:rPr>
        <w:t> </w:t>
      </w:r>
      <w:r>
        <w:rPr>
          <w:color w:val="231F20"/>
          <w:sz w:val="24"/>
        </w:rPr>
        <w:t>ces</w:t>
      </w:r>
      <w:r>
        <w:rPr>
          <w:color w:val="231F20"/>
          <w:spacing w:val="-7"/>
          <w:sz w:val="24"/>
        </w:rPr>
        <w:t> </w:t>
      </w:r>
      <w:r>
        <w:rPr>
          <w:color w:val="231F20"/>
          <w:sz w:val="24"/>
        </w:rPr>
        <w:t>fonds</w:t>
      </w:r>
      <w:r>
        <w:rPr>
          <w:color w:val="231F20"/>
          <w:spacing w:val="-5"/>
          <w:sz w:val="24"/>
        </w:rPr>
        <w:t> </w:t>
      </w:r>
      <w:r>
        <w:rPr>
          <w:color w:val="231F20"/>
          <w:sz w:val="24"/>
        </w:rPr>
        <w:t>promis.</w:t>
      </w:r>
    </w:p>
    <w:p>
      <w:pPr>
        <w:pStyle w:val="BodyText"/>
        <w:spacing w:before="121"/>
        <w:ind w:right="105" w:firstLine="283"/>
      </w:pPr>
      <w:r>
        <w:rPr>
          <w:color w:val="231F20"/>
        </w:rPr>
        <w:t>Mais, ma petite ville natale de Toumodi avec la promesse de 56 milliards n’a pas changé de visage</w:t>
      </w:r>
      <w:r>
        <w:rPr>
          <w:color w:val="231F20"/>
          <w:spacing w:val="-12"/>
        </w:rPr>
        <w:t> </w:t>
      </w:r>
      <w:r>
        <w:rPr>
          <w:color w:val="231F20"/>
        </w:rPr>
        <w:t>: l’hôpital général est toujours dépourvu de plateau technique</w:t>
      </w:r>
      <w:r>
        <w:rPr>
          <w:color w:val="231F20"/>
          <w:spacing w:val="-15"/>
        </w:rPr>
        <w:t> </w:t>
      </w:r>
      <w:r>
        <w:rPr>
          <w:color w:val="231F20"/>
        </w:rPr>
        <w:t>( pour une simple fracture du bras, le patient est référé au centre hospitalier de Yamoussoukro distant de 40 kilomètres), le bâtiment de la préfecture endommagé pendant la crise </w:t>
      </w:r>
      <w:r>
        <w:rPr>
          <w:color w:val="231F20"/>
          <w:spacing w:val="-4"/>
        </w:rPr>
        <w:t>postélectorale</w:t>
      </w:r>
      <w:r>
        <w:rPr>
          <w:color w:val="231F20"/>
          <w:spacing w:val="-6"/>
        </w:rPr>
        <w:t> </w:t>
      </w:r>
      <w:r>
        <w:rPr>
          <w:color w:val="231F20"/>
          <w:spacing w:val="-4"/>
        </w:rPr>
        <w:t>n’est toujours pas fonctionnel…Ces milliards sont toujours </w:t>
      </w:r>
      <w:r>
        <w:rPr>
          <w:color w:val="231F20"/>
        </w:rPr>
        <w:t>attendus</w:t>
      </w:r>
      <w:r>
        <w:rPr>
          <w:color w:val="231F20"/>
          <w:spacing w:val="-14"/>
        </w:rPr>
        <w:t> </w:t>
      </w:r>
      <w:r>
        <w:rPr>
          <w:color w:val="231F20"/>
        </w:rPr>
        <w:t>par</w:t>
      </w:r>
      <w:r>
        <w:rPr>
          <w:color w:val="231F20"/>
          <w:spacing w:val="-13"/>
        </w:rPr>
        <w:t> </w:t>
      </w:r>
      <w:r>
        <w:rPr>
          <w:color w:val="231F20"/>
        </w:rPr>
        <w:t>les</w:t>
      </w:r>
      <w:r>
        <w:rPr>
          <w:color w:val="231F20"/>
          <w:spacing w:val="-15"/>
        </w:rPr>
        <w:t> </w:t>
      </w:r>
      <w:r>
        <w:rPr>
          <w:color w:val="231F20"/>
        </w:rPr>
        <w:t>populations</w:t>
      </w:r>
      <w:r>
        <w:rPr>
          <w:color w:val="231F20"/>
          <w:spacing w:val="-14"/>
        </w:rPr>
        <w:t> </w:t>
      </w:r>
      <w:r>
        <w:rPr>
          <w:color w:val="231F20"/>
        </w:rPr>
        <w:t>du</w:t>
      </w:r>
      <w:r>
        <w:rPr>
          <w:color w:val="231F20"/>
          <w:spacing w:val="-15"/>
        </w:rPr>
        <w:t> </w:t>
      </w:r>
      <w:r>
        <w:rPr>
          <w:color w:val="231F20"/>
        </w:rPr>
        <w:t>Bas-Sassandra</w:t>
      </w:r>
      <w:r>
        <w:rPr>
          <w:color w:val="231F20"/>
          <w:spacing w:val="-14"/>
        </w:rPr>
        <w:t> </w:t>
      </w:r>
      <w:r>
        <w:rPr>
          <w:color w:val="231F20"/>
        </w:rPr>
        <w:t>et</w:t>
      </w:r>
      <w:r>
        <w:rPr>
          <w:color w:val="231F20"/>
          <w:spacing w:val="-15"/>
        </w:rPr>
        <w:t> </w:t>
      </w:r>
      <w:r>
        <w:rPr>
          <w:color w:val="231F20"/>
        </w:rPr>
        <w:t>son</w:t>
      </w:r>
      <w:r>
        <w:rPr>
          <w:color w:val="231F20"/>
          <w:spacing w:val="-14"/>
        </w:rPr>
        <w:t> </w:t>
      </w:r>
      <w:r>
        <w:rPr>
          <w:color w:val="231F20"/>
        </w:rPr>
        <w:t>port</w:t>
      </w:r>
      <w:r>
        <w:rPr>
          <w:color w:val="231F20"/>
          <w:spacing w:val="-14"/>
        </w:rPr>
        <w:t> </w:t>
      </w:r>
      <w:r>
        <w:rPr>
          <w:color w:val="231F20"/>
        </w:rPr>
        <w:t>de</w:t>
      </w:r>
      <w:r>
        <w:rPr>
          <w:color w:val="231F20"/>
          <w:spacing w:val="-15"/>
        </w:rPr>
        <w:t> </w:t>
      </w:r>
      <w:r>
        <w:rPr>
          <w:color w:val="231F20"/>
        </w:rPr>
        <w:t>San-Pedro, second</w:t>
      </w:r>
      <w:r>
        <w:rPr>
          <w:color w:val="231F20"/>
          <w:spacing w:val="-15"/>
        </w:rPr>
        <w:t> </w:t>
      </w:r>
      <w:r>
        <w:rPr>
          <w:color w:val="231F20"/>
        </w:rPr>
        <w:t>port</w:t>
      </w:r>
      <w:r>
        <w:rPr>
          <w:color w:val="231F20"/>
          <w:spacing w:val="-15"/>
        </w:rPr>
        <w:t> </w:t>
      </w:r>
      <w:r>
        <w:rPr>
          <w:color w:val="231F20"/>
        </w:rPr>
        <w:t>après</w:t>
      </w:r>
      <w:r>
        <w:rPr>
          <w:color w:val="231F20"/>
          <w:spacing w:val="-15"/>
        </w:rPr>
        <w:t> </w:t>
      </w:r>
      <w:r>
        <w:rPr>
          <w:color w:val="231F20"/>
        </w:rPr>
        <w:t>Abidjan</w:t>
      </w:r>
      <w:r>
        <w:rPr>
          <w:color w:val="231F20"/>
          <w:spacing w:val="-15"/>
        </w:rPr>
        <w:t> </w:t>
      </w:r>
      <w:r>
        <w:rPr>
          <w:color w:val="231F20"/>
        </w:rPr>
        <w:t>qui</w:t>
      </w:r>
      <w:r>
        <w:rPr>
          <w:color w:val="231F20"/>
          <w:spacing w:val="-15"/>
        </w:rPr>
        <w:t> </w:t>
      </w:r>
      <w:r>
        <w:rPr>
          <w:color w:val="231F20"/>
        </w:rPr>
        <w:t>souffrent</w:t>
      </w:r>
      <w:r>
        <w:rPr>
          <w:color w:val="231F20"/>
          <w:spacing w:val="-15"/>
        </w:rPr>
        <w:t> </w:t>
      </w:r>
      <w:r>
        <w:rPr>
          <w:color w:val="231F20"/>
        </w:rPr>
        <w:t>depuis</w:t>
      </w:r>
      <w:r>
        <w:rPr>
          <w:color w:val="231F20"/>
          <w:spacing w:val="-15"/>
        </w:rPr>
        <w:t> </w:t>
      </w:r>
      <w:r>
        <w:rPr>
          <w:color w:val="231F20"/>
        </w:rPr>
        <w:t>dix</w:t>
      </w:r>
      <w:r>
        <w:rPr>
          <w:color w:val="231F20"/>
          <w:spacing w:val="-15"/>
        </w:rPr>
        <w:t> </w:t>
      </w:r>
      <w:r>
        <w:rPr>
          <w:color w:val="231F20"/>
        </w:rPr>
        <w:t>ans</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dégradation avancée</w:t>
      </w:r>
      <w:r>
        <w:rPr>
          <w:color w:val="231F20"/>
          <w:spacing w:val="-1"/>
        </w:rPr>
        <w:t> </w:t>
      </w:r>
      <w:r>
        <w:rPr>
          <w:color w:val="231F20"/>
        </w:rPr>
        <w:t>de la</w:t>
      </w:r>
      <w:r>
        <w:rPr>
          <w:color w:val="231F20"/>
          <w:spacing w:val="-1"/>
        </w:rPr>
        <w:t> </w:t>
      </w:r>
      <w:r>
        <w:rPr>
          <w:color w:val="231F20"/>
        </w:rPr>
        <w:t>route Abidjan-San-Pedro</w:t>
      </w:r>
      <w:r>
        <w:rPr>
          <w:color w:val="231F20"/>
          <w:spacing w:val="-15"/>
        </w:rPr>
        <w:t> </w:t>
      </w:r>
      <w:r>
        <w:rPr>
          <w:color w:val="231F20"/>
        </w:rPr>
        <w:t>: plus de</w:t>
      </w:r>
      <w:r>
        <w:rPr>
          <w:color w:val="231F20"/>
          <w:spacing w:val="-1"/>
        </w:rPr>
        <w:t> </w:t>
      </w:r>
      <w:r>
        <w:rPr>
          <w:color w:val="231F20"/>
        </w:rPr>
        <w:t>huit heures en voiture </w:t>
      </w:r>
      <w:r>
        <w:rPr>
          <w:color w:val="231F20"/>
          <w:spacing w:val="-2"/>
        </w:rPr>
        <w:t>pour</w:t>
      </w:r>
      <w:r>
        <w:rPr>
          <w:color w:val="231F20"/>
          <w:spacing w:val="-8"/>
        </w:rPr>
        <w:t> </w:t>
      </w:r>
      <w:r>
        <w:rPr>
          <w:color w:val="231F20"/>
          <w:spacing w:val="-2"/>
        </w:rPr>
        <w:t>moins</w:t>
      </w:r>
      <w:r>
        <w:rPr>
          <w:color w:val="231F20"/>
          <w:spacing w:val="-8"/>
        </w:rPr>
        <w:t> </w:t>
      </w:r>
      <w:r>
        <w:rPr>
          <w:color w:val="231F20"/>
          <w:spacing w:val="-2"/>
        </w:rPr>
        <w:t>de</w:t>
      </w:r>
      <w:r>
        <w:rPr>
          <w:color w:val="231F20"/>
          <w:spacing w:val="-5"/>
        </w:rPr>
        <w:t> </w:t>
      </w:r>
      <w:r>
        <w:rPr>
          <w:color w:val="231F20"/>
          <w:spacing w:val="-2"/>
        </w:rPr>
        <w:t>quatre</w:t>
      </w:r>
      <w:r>
        <w:rPr>
          <w:color w:val="231F20"/>
          <w:spacing w:val="-6"/>
        </w:rPr>
        <w:t> </w:t>
      </w:r>
      <w:r>
        <w:rPr>
          <w:color w:val="231F20"/>
          <w:spacing w:val="-2"/>
        </w:rPr>
        <w:t>cent</w:t>
      </w:r>
      <w:r>
        <w:rPr>
          <w:color w:val="231F20"/>
          <w:spacing w:val="-8"/>
        </w:rPr>
        <w:t> </w:t>
      </w:r>
      <w:r>
        <w:rPr>
          <w:color w:val="231F20"/>
          <w:spacing w:val="-2"/>
        </w:rPr>
        <w:t>kilomètres.</w:t>
      </w:r>
      <w:r>
        <w:rPr>
          <w:color w:val="231F20"/>
          <w:spacing w:val="-8"/>
        </w:rPr>
        <w:t> </w:t>
      </w:r>
      <w:r>
        <w:rPr>
          <w:color w:val="231F20"/>
          <w:spacing w:val="-2"/>
        </w:rPr>
        <w:t>Grâce</w:t>
      </w:r>
      <w:r>
        <w:rPr>
          <w:color w:val="231F20"/>
          <w:spacing w:val="-6"/>
        </w:rPr>
        <w:t> </w:t>
      </w:r>
      <w:r>
        <w:rPr>
          <w:color w:val="231F20"/>
          <w:spacing w:val="-2"/>
        </w:rPr>
        <w:t>à</w:t>
      </w:r>
      <w:r>
        <w:rPr>
          <w:color w:val="231F20"/>
          <w:spacing w:val="-6"/>
        </w:rPr>
        <w:t> </w:t>
      </w:r>
      <w:r>
        <w:rPr>
          <w:color w:val="231F20"/>
          <w:spacing w:val="-2"/>
        </w:rPr>
        <w:t>l’organisation</w:t>
      </w:r>
      <w:r>
        <w:rPr>
          <w:color w:val="231F20"/>
          <w:spacing w:val="-8"/>
        </w:rPr>
        <w:t> </w:t>
      </w:r>
      <w:r>
        <w:rPr>
          <w:color w:val="231F20"/>
          <w:spacing w:val="-2"/>
        </w:rPr>
        <w:t>de</w:t>
      </w:r>
      <w:r>
        <w:rPr>
          <w:color w:val="231F20"/>
          <w:spacing w:val="-8"/>
        </w:rPr>
        <w:t> </w:t>
      </w:r>
      <w:r>
        <w:rPr>
          <w:color w:val="231F20"/>
          <w:spacing w:val="-2"/>
        </w:rPr>
        <w:t>la</w:t>
      </w:r>
      <w:r>
        <w:rPr>
          <w:color w:val="231F20"/>
          <w:spacing w:val="-7"/>
        </w:rPr>
        <w:t> </w:t>
      </w:r>
      <w:r>
        <w:rPr>
          <w:color w:val="231F20"/>
          <w:spacing w:val="-2"/>
        </w:rPr>
        <w:t>coupe </w:t>
      </w:r>
      <w:r>
        <w:rPr>
          <w:color w:val="231F20"/>
        </w:rPr>
        <w:t>d’Afrique</w:t>
      </w:r>
      <w:r>
        <w:rPr>
          <w:color w:val="231F20"/>
          <w:spacing w:val="-6"/>
        </w:rPr>
        <w:t> </w:t>
      </w:r>
      <w:r>
        <w:rPr>
          <w:color w:val="231F20"/>
        </w:rPr>
        <w:t>des</w:t>
      </w:r>
      <w:r>
        <w:rPr>
          <w:color w:val="231F20"/>
          <w:spacing w:val="-6"/>
        </w:rPr>
        <w:t> </w:t>
      </w:r>
      <w:r>
        <w:rPr>
          <w:color w:val="231F20"/>
        </w:rPr>
        <w:t>nations</w:t>
      </w:r>
      <w:r>
        <w:rPr>
          <w:color w:val="231F20"/>
          <w:spacing w:val="-6"/>
        </w:rPr>
        <w:t> </w:t>
      </w:r>
      <w:r>
        <w:rPr>
          <w:color w:val="231F20"/>
        </w:rPr>
        <w:t>de</w:t>
      </w:r>
      <w:r>
        <w:rPr>
          <w:color w:val="231F20"/>
          <w:spacing w:val="-9"/>
        </w:rPr>
        <w:t> </w:t>
      </w:r>
      <w:r>
        <w:rPr>
          <w:color w:val="231F20"/>
        </w:rPr>
        <w:t>football</w:t>
      </w:r>
      <w:r>
        <w:rPr>
          <w:color w:val="231F20"/>
          <w:spacing w:val="-4"/>
        </w:rPr>
        <w:t> </w:t>
      </w:r>
      <w:r>
        <w:rPr>
          <w:color w:val="231F20"/>
        </w:rPr>
        <w:t>en</w:t>
      </w:r>
      <w:r>
        <w:rPr>
          <w:color w:val="231F20"/>
          <w:spacing w:val="-6"/>
        </w:rPr>
        <w:t> </w:t>
      </w:r>
      <w:r>
        <w:rPr>
          <w:color w:val="231F20"/>
        </w:rPr>
        <w:t>Côte</w:t>
      </w:r>
      <w:r>
        <w:rPr>
          <w:color w:val="231F20"/>
          <w:spacing w:val="-7"/>
        </w:rPr>
        <w:t> </w:t>
      </w:r>
      <w:r>
        <w:rPr>
          <w:color w:val="231F20"/>
        </w:rPr>
        <w:t>d’ivoire</w:t>
      </w:r>
      <w:r>
        <w:rPr>
          <w:color w:val="231F20"/>
          <w:spacing w:val="-9"/>
        </w:rPr>
        <w:t> </w:t>
      </w:r>
      <w:r>
        <w:rPr>
          <w:color w:val="231F20"/>
        </w:rPr>
        <w:t>prévue</w:t>
      </w:r>
      <w:r>
        <w:rPr>
          <w:color w:val="231F20"/>
          <w:spacing w:val="-5"/>
        </w:rPr>
        <w:t> </w:t>
      </w:r>
      <w:r>
        <w:rPr>
          <w:color w:val="231F20"/>
        </w:rPr>
        <w:t>pour</w:t>
      </w:r>
      <w:r>
        <w:rPr>
          <w:color w:val="231F20"/>
          <w:spacing w:val="-5"/>
        </w:rPr>
        <w:t> </w:t>
      </w:r>
      <w:r>
        <w:rPr>
          <w:color w:val="231F20"/>
        </w:rPr>
        <w:t>2023,</w:t>
      </w:r>
      <w:r>
        <w:rPr>
          <w:color w:val="231F20"/>
          <w:spacing w:val="-5"/>
        </w:rPr>
        <w:t> </w:t>
      </w:r>
      <w:r>
        <w:rPr>
          <w:color w:val="231F20"/>
        </w:rPr>
        <w:t>le </w:t>
      </w:r>
      <w:r>
        <w:rPr>
          <w:color w:val="231F20"/>
          <w:spacing w:val="-4"/>
        </w:rPr>
        <w:t>gouvernement a démarré</w:t>
      </w:r>
      <w:r>
        <w:rPr>
          <w:color w:val="231F20"/>
          <w:spacing w:val="-6"/>
        </w:rPr>
        <w:t> </w:t>
      </w:r>
      <w:r>
        <w:rPr>
          <w:color w:val="231F20"/>
          <w:spacing w:val="-4"/>
        </w:rPr>
        <w:t>en septembre 2021,</w:t>
      </w:r>
      <w:r>
        <w:rPr>
          <w:color w:val="231F20"/>
          <w:spacing w:val="-6"/>
        </w:rPr>
        <w:t> </w:t>
      </w:r>
      <w:r>
        <w:rPr>
          <w:color w:val="231F20"/>
          <w:spacing w:val="-4"/>
        </w:rPr>
        <w:t>les travaux de réhabilitation </w:t>
      </w:r>
      <w:r>
        <w:rPr>
          <w:color w:val="231F20"/>
        </w:rPr>
        <w:t>de cette voie qui conduira des acteurs du ballon rond au stade de San- </w:t>
      </w:r>
      <w:r>
        <w:rPr>
          <w:color w:val="231F20"/>
          <w:spacing w:val="-2"/>
        </w:rPr>
        <w:t>Pedro.</w:t>
      </w:r>
    </w:p>
    <w:p>
      <w:pPr>
        <w:pStyle w:val="BodyText"/>
        <w:spacing w:before="121"/>
        <w:ind w:right="108" w:firstLine="283"/>
      </w:pPr>
      <w:r>
        <w:rPr>
          <w:color w:val="231F20"/>
          <w:spacing w:val="-2"/>
        </w:rPr>
        <w:t>Après</w:t>
      </w:r>
      <w:r>
        <w:rPr>
          <w:color w:val="231F20"/>
          <w:spacing w:val="-13"/>
        </w:rPr>
        <w:t> </w:t>
      </w:r>
      <w:r>
        <w:rPr>
          <w:color w:val="231F20"/>
          <w:spacing w:val="-2"/>
        </w:rPr>
        <w:t>la</w:t>
      </w:r>
      <w:r>
        <w:rPr>
          <w:color w:val="231F20"/>
          <w:spacing w:val="-13"/>
        </w:rPr>
        <w:t> </w:t>
      </w:r>
      <w:r>
        <w:rPr>
          <w:color w:val="231F20"/>
          <w:spacing w:val="-2"/>
        </w:rPr>
        <w:t>crise</w:t>
      </w:r>
      <w:r>
        <w:rPr>
          <w:color w:val="231F20"/>
          <w:spacing w:val="-9"/>
        </w:rPr>
        <w:t> </w:t>
      </w:r>
      <w:r>
        <w:rPr>
          <w:color w:val="231F20"/>
          <w:spacing w:val="-2"/>
        </w:rPr>
        <w:t>de</w:t>
      </w:r>
      <w:r>
        <w:rPr>
          <w:color w:val="231F20"/>
          <w:spacing w:val="-7"/>
        </w:rPr>
        <w:t> </w:t>
      </w:r>
      <w:r>
        <w:rPr>
          <w:color w:val="231F20"/>
          <w:spacing w:val="-2"/>
        </w:rPr>
        <w:t>2010,</w:t>
      </w:r>
      <w:r>
        <w:rPr>
          <w:color w:val="231F20"/>
          <w:spacing w:val="-7"/>
        </w:rPr>
        <w:t> </w:t>
      </w:r>
      <w:r>
        <w:rPr>
          <w:color w:val="231F20"/>
          <w:spacing w:val="-2"/>
        </w:rPr>
        <w:t>la</w:t>
      </w:r>
      <w:r>
        <w:rPr>
          <w:color w:val="231F20"/>
          <w:spacing w:val="-10"/>
        </w:rPr>
        <w:t> </w:t>
      </w:r>
      <w:r>
        <w:rPr>
          <w:color w:val="231F20"/>
          <w:spacing w:val="-2"/>
        </w:rPr>
        <w:t>Côte</w:t>
      </w:r>
      <w:r>
        <w:rPr>
          <w:color w:val="231F20"/>
          <w:spacing w:val="-7"/>
        </w:rPr>
        <w:t> </w:t>
      </w:r>
      <w:r>
        <w:rPr>
          <w:color w:val="231F20"/>
          <w:spacing w:val="-2"/>
        </w:rPr>
        <w:t>d’Ivoire</w:t>
      </w:r>
      <w:r>
        <w:rPr>
          <w:color w:val="231F20"/>
          <w:spacing w:val="-7"/>
        </w:rPr>
        <w:t> </w:t>
      </w:r>
      <w:r>
        <w:rPr>
          <w:color w:val="231F20"/>
          <w:spacing w:val="-2"/>
        </w:rPr>
        <w:t>classée</w:t>
      </w:r>
      <w:r>
        <w:rPr>
          <w:color w:val="231F20"/>
          <w:spacing w:val="-7"/>
        </w:rPr>
        <w:t> </w:t>
      </w:r>
      <w:r>
        <w:rPr>
          <w:color w:val="231F20"/>
          <w:spacing w:val="-2"/>
        </w:rPr>
        <w:t>33</w:t>
      </w:r>
      <w:r>
        <w:rPr>
          <w:color w:val="231F20"/>
          <w:spacing w:val="-2"/>
          <w:vertAlign w:val="superscript"/>
        </w:rPr>
        <w:t>ème</w:t>
      </w:r>
      <w:r>
        <w:rPr>
          <w:color w:val="231F20"/>
          <w:spacing w:val="-13"/>
          <w:vertAlign w:val="baseline"/>
        </w:rPr>
        <w:t> </w:t>
      </w:r>
      <w:r>
        <w:rPr>
          <w:color w:val="231F20"/>
          <w:spacing w:val="-2"/>
          <w:vertAlign w:val="baseline"/>
        </w:rPr>
        <w:t>pays</w:t>
      </w:r>
      <w:r>
        <w:rPr>
          <w:color w:val="231F20"/>
          <w:spacing w:val="-7"/>
          <w:vertAlign w:val="baseline"/>
        </w:rPr>
        <w:t> </w:t>
      </w:r>
      <w:r>
        <w:rPr>
          <w:color w:val="231F20"/>
          <w:spacing w:val="-2"/>
          <w:vertAlign w:val="baseline"/>
        </w:rPr>
        <w:t>pauvre</w:t>
      </w:r>
      <w:r>
        <w:rPr>
          <w:color w:val="231F20"/>
          <w:spacing w:val="-7"/>
          <w:vertAlign w:val="baseline"/>
        </w:rPr>
        <w:t> </w:t>
      </w:r>
      <w:r>
        <w:rPr>
          <w:color w:val="231F20"/>
          <w:spacing w:val="-2"/>
          <w:vertAlign w:val="baseline"/>
        </w:rPr>
        <w:t>très endetté</w:t>
      </w:r>
      <w:r>
        <w:rPr>
          <w:color w:val="231F20"/>
          <w:spacing w:val="-10"/>
          <w:vertAlign w:val="baseline"/>
        </w:rPr>
        <w:t> </w:t>
      </w:r>
      <w:r>
        <w:rPr>
          <w:color w:val="231F20"/>
          <w:spacing w:val="-2"/>
          <w:vertAlign w:val="baseline"/>
        </w:rPr>
        <w:t>(PPTE),</w:t>
      </w:r>
      <w:r>
        <w:rPr>
          <w:color w:val="231F20"/>
          <w:spacing w:val="-9"/>
          <w:vertAlign w:val="baseline"/>
        </w:rPr>
        <w:t> </w:t>
      </w:r>
      <w:r>
        <w:rPr>
          <w:color w:val="231F20"/>
          <w:spacing w:val="-2"/>
          <w:vertAlign w:val="baseline"/>
        </w:rPr>
        <w:t>par</w:t>
      </w:r>
      <w:r>
        <w:rPr>
          <w:color w:val="231F20"/>
          <w:spacing w:val="-10"/>
          <w:vertAlign w:val="baseline"/>
        </w:rPr>
        <w:t> </w:t>
      </w:r>
      <w:r>
        <w:rPr>
          <w:color w:val="231F20"/>
          <w:spacing w:val="-2"/>
          <w:vertAlign w:val="baseline"/>
        </w:rPr>
        <w:t>le</w:t>
      </w:r>
      <w:r>
        <w:rPr>
          <w:color w:val="231F20"/>
          <w:spacing w:val="-10"/>
          <w:vertAlign w:val="baseline"/>
        </w:rPr>
        <w:t> </w:t>
      </w:r>
      <w:r>
        <w:rPr>
          <w:color w:val="231F20"/>
          <w:spacing w:val="-2"/>
          <w:vertAlign w:val="baseline"/>
        </w:rPr>
        <w:t>Fonds</w:t>
      </w:r>
      <w:r>
        <w:rPr>
          <w:color w:val="231F20"/>
          <w:spacing w:val="-9"/>
          <w:vertAlign w:val="baseline"/>
        </w:rPr>
        <w:t> </w:t>
      </w:r>
      <w:r>
        <w:rPr>
          <w:color w:val="231F20"/>
          <w:spacing w:val="-2"/>
          <w:vertAlign w:val="baseline"/>
        </w:rPr>
        <w:t>monétaire</w:t>
      </w:r>
      <w:r>
        <w:rPr>
          <w:color w:val="231F20"/>
          <w:spacing w:val="-8"/>
          <w:vertAlign w:val="baseline"/>
        </w:rPr>
        <w:t> </w:t>
      </w:r>
      <w:r>
        <w:rPr>
          <w:color w:val="231F20"/>
          <w:spacing w:val="-2"/>
          <w:vertAlign w:val="baseline"/>
        </w:rPr>
        <w:t>international</w:t>
      </w:r>
      <w:r>
        <w:rPr>
          <w:color w:val="231F20"/>
          <w:spacing w:val="-6"/>
          <w:vertAlign w:val="baseline"/>
        </w:rPr>
        <w:t> </w:t>
      </w:r>
      <w:r>
        <w:rPr>
          <w:color w:val="231F20"/>
          <w:spacing w:val="-2"/>
          <w:vertAlign w:val="baseline"/>
        </w:rPr>
        <w:t>(FMI)</w:t>
      </w:r>
      <w:r>
        <w:rPr>
          <w:color w:val="231F20"/>
          <w:spacing w:val="-7"/>
          <w:vertAlign w:val="baseline"/>
        </w:rPr>
        <w:t> </w:t>
      </w:r>
      <w:r>
        <w:rPr>
          <w:color w:val="231F20"/>
          <w:spacing w:val="-2"/>
          <w:vertAlign w:val="baseline"/>
        </w:rPr>
        <w:t>et</w:t>
      </w:r>
      <w:r>
        <w:rPr>
          <w:color w:val="231F20"/>
          <w:spacing w:val="-9"/>
          <w:vertAlign w:val="baseline"/>
        </w:rPr>
        <w:t> </w:t>
      </w:r>
      <w:r>
        <w:rPr>
          <w:color w:val="231F20"/>
          <w:spacing w:val="-2"/>
          <w:vertAlign w:val="baseline"/>
        </w:rPr>
        <w:t>la</w:t>
      </w:r>
      <w:r>
        <w:rPr>
          <w:color w:val="231F20"/>
          <w:spacing w:val="-10"/>
          <w:vertAlign w:val="baseline"/>
        </w:rPr>
        <w:t> </w:t>
      </w:r>
      <w:r>
        <w:rPr>
          <w:color w:val="231F20"/>
          <w:spacing w:val="-2"/>
          <w:vertAlign w:val="baseline"/>
        </w:rPr>
        <w:t>Banque </w:t>
      </w:r>
      <w:r>
        <w:rPr>
          <w:color w:val="231F20"/>
          <w:vertAlign w:val="baseline"/>
        </w:rPr>
        <w:t>Mondiale, bénéficie de l’Initiative PPTE.</w:t>
      </w:r>
    </w:p>
    <w:p>
      <w:pPr>
        <w:spacing w:before="120"/>
        <w:ind w:left="111" w:right="105" w:firstLine="283"/>
        <w:jc w:val="both"/>
        <w:rPr>
          <w:i/>
          <w:sz w:val="24"/>
        </w:rPr>
      </w:pPr>
      <w:r>
        <w:rPr>
          <w:color w:val="231F20"/>
          <w:sz w:val="24"/>
        </w:rPr>
        <w:t>Concrètemement, la</w:t>
      </w:r>
      <w:r>
        <w:rPr>
          <w:color w:val="231F20"/>
          <w:spacing w:val="-1"/>
          <w:sz w:val="24"/>
        </w:rPr>
        <w:t> </w:t>
      </w:r>
      <w:r>
        <w:rPr>
          <w:color w:val="231F20"/>
          <w:sz w:val="24"/>
        </w:rPr>
        <w:t>dette</w:t>
      </w:r>
      <w:r>
        <w:rPr>
          <w:color w:val="231F20"/>
          <w:spacing w:val="-1"/>
          <w:sz w:val="24"/>
        </w:rPr>
        <w:t> </w:t>
      </w:r>
      <w:r>
        <w:rPr>
          <w:color w:val="231F20"/>
          <w:sz w:val="24"/>
        </w:rPr>
        <w:t>ivoirienne</w:t>
      </w:r>
      <w:r>
        <w:rPr>
          <w:color w:val="231F20"/>
          <w:spacing w:val="-1"/>
          <w:sz w:val="24"/>
        </w:rPr>
        <w:t> </w:t>
      </w:r>
      <w:r>
        <w:rPr>
          <w:color w:val="231F20"/>
          <w:sz w:val="24"/>
        </w:rPr>
        <w:t>était de 6.396</w:t>
      </w:r>
      <w:r>
        <w:rPr>
          <w:color w:val="231F20"/>
          <w:spacing w:val="-1"/>
          <w:sz w:val="24"/>
        </w:rPr>
        <w:t> </w:t>
      </w:r>
      <w:r>
        <w:rPr>
          <w:color w:val="231F20"/>
          <w:sz w:val="24"/>
        </w:rPr>
        <w:t>milliards FCFA. </w:t>
      </w:r>
      <w:r>
        <w:rPr>
          <w:color w:val="231F20"/>
          <w:spacing w:val="-2"/>
          <w:sz w:val="24"/>
        </w:rPr>
        <w:t>Avec</w:t>
      </w:r>
      <w:r>
        <w:rPr>
          <w:color w:val="231F20"/>
          <w:spacing w:val="-7"/>
          <w:sz w:val="24"/>
        </w:rPr>
        <w:t> </w:t>
      </w:r>
      <w:r>
        <w:rPr>
          <w:color w:val="231F20"/>
          <w:spacing w:val="-2"/>
          <w:sz w:val="24"/>
        </w:rPr>
        <w:t>le</w:t>
      </w:r>
      <w:r>
        <w:rPr>
          <w:color w:val="231F20"/>
          <w:spacing w:val="-8"/>
          <w:sz w:val="24"/>
        </w:rPr>
        <w:t> </w:t>
      </w:r>
      <w:r>
        <w:rPr>
          <w:color w:val="231F20"/>
          <w:spacing w:val="-2"/>
          <w:sz w:val="24"/>
        </w:rPr>
        <w:t>point</w:t>
      </w:r>
      <w:r>
        <w:rPr>
          <w:color w:val="231F20"/>
          <w:spacing w:val="-6"/>
          <w:sz w:val="24"/>
        </w:rPr>
        <w:t> </w:t>
      </w:r>
      <w:r>
        <w:rPr>
          <w:color w:val="231F20"/>
          <w:spacing w:val="-2"/>
          <w:sz w:val="24"/>
        </w:rPr>
        <w:t>d’achèvement</w:t>
      </w:r>
      <w:r>
        <w:rPr>
          <w:color w:val="231F20"/>
          <w:spacing w:val="-6"/>
          <w:sz w:val="24"/>
        </w:rPr>
        <w:t> </w:t>
      </w:r>
      <w:r>
        <w:rPr>
          <w:color w:val="231F20"/>
          <w:spacing w:val="-2"/>
          <w:sz w:val="24"/>
        </w:rPr>
        <w:t>de</w:t>
      </w:r>
      <w:r>
        <w:rPr>
          <w:color w:val="231F20"/>
          <w:spacing w:val="-10"/>
          <w:sz w:val="24"/>
        </w:rPr>
        <w:t> </w:t>
      </w:r>
      <w:r>
        <w:rPr>
          <w:color w:val="231F20"/>
          <w:spacing w:val="-2"/>
          <w:sz w:val="24"/>
        </w:rPr>
        <w:t>l’initiative</w:t>
      </w:r>
      <w:r>
        <w:rPr>
          <w:color w:val="231F20"/>
          <w:spacing w:val="-10"/>
          <w:sz w:val="24"/>
        </w:rPr>
        <w:t> </w:t>
      </w:r>
      <w:r>
        <w:rPr>
          <w:color w:val="231F20"/>
          <w:spacing w:val="-2"/>
          <w:sz w:val="24"/>
        </w:rPr>
        <w:t>PPTE,</w:t>
      </w:r>
      <w:r>
        <w:rPr>
          <w:color w:val="231F20"/>
          <w:spacing w:val="-7"/>
          <w:sz w:val="24"/>
        </w:rPr>
        <w:t> </w:t>
      </w:r>
      <w:r>
        <w:rPr>
          <w:color w:val="231F20"/>
          <w:spacing w:val="-2"/>
          <w:sz w:val="24"/>
        </w:rPr>
        <w:t>ce</w:t>
      </w:r>
      <w:r>
        <w:rPr>
          <w:color w:val="231F20"/>
          <w:spacing w:val="-10"/>
          <w:sz w:val="24"/>
        </w:rPr>
        <w:t> </w:t>
      </w:r>
      <w:r>
        <w:rPr>
          <w:color w:val="231F20"/>
          <w:spacing w:val="-2"/>
          <w:sz w:val="24"/>
        </w:rPr>
        <w:t>sont</w:t>
      </w:r>
      <w:r>
        <w:rPr>
          <w:color w:val="231F20"/>
          <w:spacing w:val="-6"/>
          <w:sz w:val="24"/>
        </w:rPr>
        <w:t> </w:t>
      </w:r>
      <w:r>
        <w:rPr>
          <w:color w:val="231F20"/>
          <w:spacing w:val="-2"/>
          <w:sz w:val="24"/>
        </w:rPr>
        <w:t>4.090</w:t>
      </w:r>
      <w:r>
        <w:rPr>
          <w:color w:val="231F20"/>
          <w:spacing w:val="-9"/>
          <w:sz w:val="24"/>
        </w:rPr>
        <w:t> </w:t>
      </w:r>
      <w:r>
        <w:rPr>
          <w:color w:val="231F20"/>
          <w:spacing w:val="-2"/>
          <w:sz w:val="24"/>
        </w:rPr>
        <w:t>milliards </w:t>
      </w:r>
      <w:r>
        <w:rPr>
          <w:color w:val="231F20"/>
          <w:sz w:val="24"/>
        </w:rPr>
        <w:t>qui</w:t>
      </w:r>
      <w:r>
        <w:rPr>
          <w:color w:val="231F20"/>
          <w:spacing w:val="-5"/>
          <w:sz w:val="24"/>
        </w:rPr>
        <w:t> </w:t>
      </w:r>
      <w:r>
        <w:rPr>
          <w:color w:val="231F20"/>
          <w:sz w:val="24"/>
        </w:rPr>
        <w:t>ont</w:t>
      </w:r>
      <w:r>
        <w:rPr>
          <w:color w:val="231F20"/>
          <w:spacing w:val="-5"/>
          <w:sz w:val="24"/>
        </w:rPr>
        <w:t> </w:t>
      </w:r>
      <w:r>
        <w:rPr>
          <w:color w:val="231F20"/>
          <w:sz w:val="24"/>
        </w:rPr>
        <w:t>été</w:t>
      </w:r>
      <w:r>
        <w:rPr>
          <w:color w:val="231F20"/>
          <w:spacing w:val="-6"/>
          <w:sz w:val="24"/>
        </w:rPr>
        <w:t> </w:t>
      </w:r>
      <w:r>
        <w:rPr>
          <w:color w:val="231F20"/>
          <w:sz w:val="24"/>
        </w:rPr>
        <w:t>annulés</w:t>
      </w:r>
      <w:r>
        <w:rPr>
          <w:color w:val="231F20"/>
          <w:spacing w:val="-5"/>
          <w:sz w:val="24"/>
        </w:rPr>
        <w:t> </w:t>
      </w:r>
      <w:r>
        <w:rPr>
          <w:color w:val="231F20"/>
          <w:sz w:val="24"/>
        </w:rPr>
        <w:t>:</w:t>
      </w:r>
      <w:r>
        <w:rPr>
          <w:color w:val="231F20"/>
          <w:spacing w:val="-4"/>
          <w:sz w:val="24"/>
        </w:rPr>
        <w:t> </w:t>
      </w:r>
      <w:r>
        <w:rPr>
          <w:color w:val="231F20"/>
          <w:sz w:val="28"/>
        </w:rPr>
        <w:t>«</w:t>
      </w:r>
      <w:r>
        <w:rPr>
          <w:color w:val="231F20"/>
          <w:spacing w:val="-18"/>
          <w:sz w:val="28"/>
        </w:rPr>
        <w:t> </w:t>
      </w:r>
      <w:r>
        <w:rPr>
          <w:i/>
          <w:color w:val="231F20"/>
          <w:sz w:val="24"/>
        </w:rPr>
        <w:t>L’atteinte</w:t>
      </w:r>
      <w:r>
        <w:rPr>
          <w:i/>
          <w:color w:val="231F20"/>
          <w:spacing w:val="-5"/>
          <w:sz w:val="24"/>
        </w:rPr>
        <w:t> </w:t>
      </w:r>
      <w:r>
        <w:rPr>
          <w:i/>
          <w:color w:val="231F20"/>
          <w:sz w:val="24"/>
        </w:rPr>
        <w:t>du</w:t>
      </w:r>
      <w:r>
        <w:rPr>
          <w:i/>
          <w:color w:val="231F20"/>
          <w:spacing w:val="-6"/>
          <w:sz w:val="24"/>
        </w:rPr>
        <w:t> </w:t>
      </w:r>
      <w:r>
        <w:rPr>
          <w:i/>
          <w:color w:val="231F20"/>
          <w:sz w:val="24"/>
        </w:rPr>
        <w:t>PPTE</w:t>
      </w:r>
      <w:r>
        <w:rPr>
          <w:i/>
          <w:color w:val="231F20"/>
          <w:spacing w:val="-3"/>
          <w:sz w:val="24"/>
        </w:rPr>
        <w:t> </w:t>
      </w:r>
      <w:r>
        <w:rPr>
          <w:i/>
          <w:color w:val="231F20"/>
          <w:sz w:val="24"/>
        </w:rPr>
        <w:t>permettra</w:t>
      </w:r>
      <w:r>
        <w:rPr>
          <w:i/>
          <w:color w:val="231F20"/>
          <w:spacing w:val="-3"/>
          <w:sz w:val="24"/>
        </w:rPr>
        <w:t> </w:t>
      </w:r>
      <w:r>
        <w:rPr>
          <w:i/>
          <w:color w:val="231F20"/>
          <w:sz w:val="24"/>
        </w:rPr>
        <w:t>à</w:t>
      </w:r>
      <w:r>
        <w:rPr>
          <w:i/>
          <w:color w:val="231F20"/>
          <w:spacing w:val="-6"/>
          <w:sz w:val="24"/>
        </w:rPr>
        <w:t> </w:t>
      </w:r>
      <w:r>
        <w:rPr>
          <w:i/>
          <w:color w:val="231F20"/>
          <w:sz w:val="24"/>
        </w:rPr>
        <w:t>la</w:t>
      </w:r>
      <w:r>
        <w:rPr>
          <w:i/>
          <w:color w:val="231F20"/>
          <w:spacing w:val="-8"/>
          <w:sz w:val="24"/>
        </w:rPr>
        <w:t> </w:t>
      </w:r>
      <w:r>
        <w:rPr>
          <w:i/>
          <w:color w:val="231F20"/>
          <w:sz w:val="24"/>
        </w:rPr>
        <w:t>Côte</w:t>
      </w:r>
      <w:r>
        <w:rPr>
          <w:i/>
          <w:color w:val="231F20"/>
          <w:spacing w:val="-6"/>
          <w:sz w:val="24"/>
        </w:rPr>
        <w:t> </w:t>
      </w:r>
      <w:r>
        <w:rPr>
          <w:i/>
          <w:color w:val="231F20"/>
          <w:sz w:val="24"/>
        </w:rPr>
        <w:t>d’Ivoire</w:t>
      </w:r>
      <w:r>
        <w:rPr>
          <w:i/>
          <w:color w:val="231F20"/>
          <w:sz w:val="24"/>
        </w:rPr>
        <w:t> d’avoir</w:t>
      </w:r>
      <w:r>
        <w:rPr>
          <w:i/>
          <w:color w:val="231F20"/>
          <w:spacing w:val="-13"/>
          <w:sz w:val="24"/>
        </w:rPr>
        <w:t> </w:t>
      </w:r>
      <w:r>
        <w:rPr>
          <w:i/>
          <w:color w:val="231F20"/>
          <w:sz w:val="24"/>
        </w:rPr>
        <w:t>une</w:t>
      </w:r>
      <w:r>
        <w:rPr>
          <w:i/>
          <w:color w:val="231F20"/>
          <w:spacing w:val="-13"/>
          <w:sz w:val="24"/>
        </w:rPr>
        <w:t> </w:t>
      </w:r>
      <w:r>
        <w:rPr>
          <w:i/>
          <w:color w:val="231F20"/>
          <w:sz w:val="24"/>
        </w:rPr>
        <w:t>souplesse</w:t>
      </w:r>
      <w:r>
        <w:rPr>
          <w:i/>
          <w:color w:val="231F20"/>
          <w:spacing w:val="-13"/>
          <w:sz w:val="24"/>
        </w:rPr>
        <w:t> </w:t>
      </w:r>
      <w:r>
        <w:rPr>
          <w:i/>
          <w:color w:val="231F20"/>
          <w:sz w:val="24"/>
        </w:rPr>
        <w:t>de</w:t>
      </w:r>
      <w:r>
        <w:rPr>
          <w:i/>
          <w:color w:val="231F20"/>
          <w:spacing w:val="-15"/>
          <w:sz w:val="24"/>
        </w:rPr>
        <w:t> </w:t>
      </w:r>
      <w:r>
        <w:rPr>
          <w:i/>
          <w:color w:val="231F20"/>
          <w:sz w:val="24"/>
        </w:rPr>
        <w:t>gestion.</w:t>
      </w:r>
      <w:r>
        <w:rPr>
          <w:i/>
          <w:color w:val="231F20"/>
          <w:spacing w:val="-13"/>
          <w:sz w:val="24"/>
        </w:rPr>
        <w:t> </w:t>
      </w:r>
      <w:r>
        <w:rPr>
          <w:i/>
          <w:color w:val="231F20"/>
          <w:sz w:val="24"/>
        </w:rPr>
        <w:t>Elle</w:t>
      </w:r>
      <w:r>
        <w:rPr>
          <w:i/>
          <w:color w:val="231F20"/>
          <w:spacing w:val="-13"/>
          <w:sz w:val="24"/>
        </w:rPr>
        <w:t> </w:t>
      </w:r>
      <w:r>
        <w:rPr>
          <w:i/>
          <w:color w:val="231F20"/>
          <w:sz w:val="24"/>
        </w:rPr>
        <w:t>donnera</w:t>
      </w:r>
      <w:r>
        <w:rPr>
          <w:i/>
          <w:color w:val="231F20"/>
          <w:spacing w:val="-13"/>
          <w:sz w:val="24"/>
        </w:rPr>
        <w:t> </w:t>
      </w:r>
      <w:r>
        <w:rPr>
          <w:i/>
          <w:color w:val="231F20"/>
          <w:sz w:val="24"/>
        </w:rPr>
        <w:t>certainement</w:t>
      </w:r>
      <w:r>
        <w:rPr>
          <w:i/>
          <w:color w:val="231F20"/>
          <w:spacing w:val="-13"/>
          <w:sz w:val="24"/>
        </w:rPr>
        <w:t> </w:t>
      </w:r>
      <w:r>
        <w:rPr>
          <w:i/>
          <w:color w:val="231F20"/>
          <w:sz w:val="24"/>
        </w:rPr>
        <w:t>une</w:t>
      </w:r>
      <w:r>
        <w:rPr>
          <w:i/>
          <w:color w:val="231F20"/>
          <w:spacing w:val="-13"/>
          <w:sz w:val="24"/>
        </w:rPr>
        <w:t> </w:t>
      </w:r>
      <w:r>
        <w:rPr>
          <w:i/>
          <w:color w:val="231F20"/>
          <w:sz w:val="24"/>
        </w:rPr>
        <w:t>marge de</w:t>
      </w:r>
      <w:r>
        <w:rPr>
          <w:i/>
          <w:color w:val="231F20"/>
          <w:spacing w:val="-11"/>
          <w:sz w:val="24"/>
        </w:rPr>
        <w:t> </w:t>
      </w:r>
      <w:r>
        <w:rPr>
          <w:i/>
          <w:color w:val="231F20"/>
          <w:sz w:val="24"/>
        </w:rPr>
        <w:t>manœuvre.</w:t>
      </w:r>
      <w:r>
        <w:rPr>
          <w:i/>
          <w:color w:val="231F20"/>
          <w:spacing w:val="-12"/>
          <w:sz w:val="24"/>
        </w:rPr>
        <w:t> </w:t>
      </w:r>
      <w:r>
        <w:rPr>
          <w:i/>
          <w:color w:val="231F20"/>
          <w:sz w:val="24"/>
        </w:rPr>
        <w:t>(…)</w:t>
      </w:r>
      <w:r>
        <w:rPr>
          <w:i/>
          <w:color w:val="231F20"/>
          <w:spacing w:val="-14"/>
          <w:sz w:val="24"/>
        </w:rPr>
        <w:t> </w:t>
      </w:r>
      <w:r>
        <w:rPr>
          <w:i/>
          <w:color w:val="231F20"/>
          <w:sz w:val="24"/>
        </w:rPr>
        <w:t>L’obtention</w:t>
      </w:r>
      <w:r>
        <w:rPr>
          <w:i/>
          <w:color w:val="231F20"/>
          <w:spacing w:val="-11"/>
          <w:sz w:val="24"/>
        </w:rPr>
        <w:t> </w:t>
      </w:r>
      <w:r>
        <w:rPr>
          <w:i/>
          <w:color w:val="231F20"/>
          <w:sz w:val="24"/>
        </w:rPr>
        <w:t>du</w:t>
      </w:r>
      <w:r>
        <w:rPr>
          <w:i/>
          <w:color w:val="231F20"/>
          <w:spacing w:val="-12"/>
          <w:sz w:val="24"/>
        </w:rPr>
        <w:t> </w:t>
      </w:r>
      <w:r>
        <w:rPr>
          <w:i/>
          <w:color w:val="231F20"/>
          <w:sz w:val="24"/>
        </w:rPr>
        <w:t>PPTE</w:t>
      </w:r>
      <w:r>
        <w:rPr>
          <w:i/>
          <w:color w:val="231F20"/>
          <w:spacing w:val="-13"/>
          <w:sz w:val="24"/>
        </w:rPr>
        <w:t> </w:t>
      </w:r>
      <w:r>
        <w:rPr>
          <w:i/>
          <w:color w:val="231F20"/>
          <w:sz w:val="24"/>
        </w:rPr>
        <w:t>n’est</w:t>
      </w:r>
      <w:r>
        <w:rPr>
          <w:i/>
          <w:color w:val="231F20"/>
          <w:spacing w:val="-13"/>
          <w:sz w:val="24"/>
        </w:rPr>
        <w:t> </w:t>
      </w:r>
      <w:r>
        <w:rPr>
          <w:i/>
          <w:color w:val="231F20"/>
          <w:sz w:val="24"/>
        </w:rPr>
        <w:t>pas</w:t>
      </w:r>
      <w:r>
        <w:rPr>
          <w:i/>
          <w:color w:val="231F20"/>
          <w:spacing w:val="-13"/>
          <w:sz w:val="24"/>
        </w:rPr>
        <w:t> </w:t>
      </w:r>
      <w:r>
        <w:rPr>
          <w:i/>
          <w:color w:val="231F20"/>
          <w:sz w:val="24"/>
        </w:rPr>
        <w:t>une</w:t>
      </w:r>
      <w:r>
        <w:rPr>
          <w:i/>
          <w:color w:val="231F20"/>
          <w:spacing w:val="-11"/>
          <w:sz w:val="24"/>
        </w:rPr>
        <w:t> </w:t>
      </w:r>
      <w:r>
        <w:rPr>
          <w:i/>
          <w:color w:val="231F20"/>
          <w:sz w:val="24"/>
        </w:rPr>
        <w:t>valise</w:t>
      </w:r>
      <w:r>
        <w:rPr>
          <w:i/>
          <w:color w:val="231F20"/>
          <w:spacing w:val="-13"/>
          <w:sz w:val="24"/>
        </w:rPr>
        <w:t> </w:t>
      </w:r>
      <w:r>
        <w:rPr>
          <w:i/>
          <w:color w:val="231F20"/>
          <w:sz w:val="24"/>
        </w:rPr>
        <w:t>d’argent</w:t>
      </w:r>
      <w:r>
        <w:rPr>
          <w:i/>
          <w:color w:val="231F20"/>
          <w:spacing w:val="-13"/>
          <w:sz w:val="24"/>
        </w:rPr>
        <w:t> </w:t>
      </w:r>
      <w:r>
        <w:rPr>
          <w:i/>
          <w:color w:val="231F20"/>
          <w:sz w:val="24"/>
        </w:rPr>
        <w:t>à destination</w:t>
      </w:r>
      <w:r>
        <w:rPr>
          <w:i/>
          <w:color w:val="231F20"/>
          <w:spacing w:val="-2"/>
          <w:sz w:val="24"/>
        </w:rPr>
        <w:t> </w:t>
      </w:r>
      <w:r>
        <w:rPr>
          <w:i/>
          <w:color w:val="231F20"/>
          <w:sz w:val="24"/>
        </w:rPr>
        <w:t>de</w:t>
      </w:r>
      <w:r>
        <w:rPr>
          <w:i/>
          <w:color w:val="231F20"/>
          <w:spacing w:val="-2"/>
          <w:sz w:val="24"/>
        </w:rPr>
        <w:t> </w:t>
      </w:r>
      <w:r>
        <w:rPr>
          <w:i/>
          <w:color w:val="231F20"/>
          <w:sz w:val="24"/>
        </w:rPr>
        <w:t>la</w:t>
      </w:r>
      <w:r>
        <w:rPr>
          <w:i/>
          <w:color w:val="231F20"/>
          <w:spacing w:val="-2"/>
          <w:sz w:val="24"/>
        </w:rPr>
        <w:t> </w:t>
      </w:r>
      <w:r>
        <w:rPr>
          <w:i/>
          <w:color w:val="231F20"/>
          <w:sz w:val="24"/>
        </w:rPr>
        <w:t>Côte</w:t>
      </w:r>
      <w:r>
        <w:rPr>
          <w:i/>
          <w:color w:val="231F20"/>
          <w:spacing w:val="-2"/>
          <w:sz w:val="24"/>
        </w:rPr>
        <w:t> </w:t>
      </w:r>
      <w:r>
        <w:rPr>
          <w:i/>
          <w:color w:val="231F20"/>
          <w:sz w:val="24"/>
        </w:rPr>
        <w:t>d’Ivoire.</w:t>
      </w:r>
      <w:r>
        <w:rPr>
          <w:i/>
          <w:color w:val="231F20"/>
          <w:spacing w:val="-2"/>
          <w:sz w:val="24"/>
        </w:rPr>
        <w:t> </w:t>
      </w:r>
      <w:r>
        <w:rPr>
          <w:i/>
          <w:color w:val="231F20"/>
          <w:sz w:val="24"/>
        </w:rPr>
        <w:t>Mais,</w:t>
      </w:r>
      <w:r>
        <w:rPr>
          <w:i/>
          <w:color w:val="231F20"/>
          <w:spacing w:val="-2"/>
          <w:sz w:val="24"/>
        </w:rPr>
        <w:t> </w:t>
      </w:r>
      <w:r>
        <w:rPr>
          <w:i/>
          <w:color w:val="231F20"/>
          <w:sz w:val="24"/>
        </w:rPr>
        <w:t>lorsque</w:t>
      </w:r>
      <w:r>
        <w:rPr>
          <w:i/>
          <w:color w:val="231F20"/>
          <w:spacing w:val="-2"/>
          <w:sz w:val="24"/>
        </w:rPr>
        <w:t> </w:t>
      </w:r>
      <w:r>
        <w:rPr>
          <w:i/>
          <w:color w:val="231F20"/>
          <w:sz w:val="24"/>
        </w:rPr>
        <w:t>vous</w:t>
      </w:r>
      <w:r>
        <w:rPr>
          <w:i/>
          <w:color w:val="231F20"/>
          <w:spacing w:val="-4"/>
          <w:sz w:val="24"/>
        </w:rPr>
        <w:t> </w:t>
      </w:r>
      <w:r>
        <w:rPr>
          <w:i/>
          <w:color w:val="231F20"/>
          <w:sz w:val="24"/>
        </w:rPr>
        <w:t>consacrez</w:t>
      </w:r>
      <w:r>
        <w:rPr>
          <w:i/>
          <w:color w:val="231F20"/>
          <w:spacing w:val="-3"/>
          <w:sz w:val="24"/>
        </w:rPr>
        <w:t> </w:t>
      </w:r>
      <w:r>
        <w:rPr>
          <w:i/>
          <w:color w:val="231F20"/>
          <w:sz w:val="24"/>
        </w:rPr>
        <w:t>le</w:t>
      </w:r>
      <w:r>
        <w:rPr>
          <w:i/>
          <w:color w:val="231F20"/>
          <w:spacing w:val="-2"/>
          <w:sz w:val="24"/>
        </w:rPr>
        <w:t> </w:t>
      </w:r>
      <w:r>
        <w:rPr>
          <w:i/>
          <w:color w:val="231F20"/>
          <w:sz w:val="24"/>
        </w:rPr>
        <w:t>1/3 de votre</w:t>
      </w:r>
      <w:r>
        <w:rPr>
          <w:i/>
          <w:color w:val="231F20"/>
          <w:spacing w:val="-15"/>
          <w:sz w:val="24"/>
        </w:rPr>
        <w:t> </w:t>
      </w:r>
      <w:r>
        <w:rPr>
          <w:i/>
          <w:color w:val="231F20"/>
          <w:sz w:val="24"/>
        </w:rPr>
        <w:t>budget</w:t>
      </w:r>
      <w:r>
        <w:rPr>
          <w:i/>
          <w:color w:val="231F20"/>
          <w:spacing w:val="-15"/>
          <w:sz w:val="24"/>
        </w:rPr>
        <w:t> </w:t>
      </w:r>
      <w:r>
        <w:rPr>
          <w:i/>
          <w:color w:val="231F20"/>
          <w:sz w:val="24"/>
        </w:rPr>
        <w:t>à</w:t>
      </w:r>
      <w:r>
        <w:rPr>
          <w:i/>
          <w:color w:val="231F20"/>
          <w:spacing w:val="-15"/>
          <w:sz w:val="24"/>
        </w:rPr>
        <w:t> </w:t>
      </w:r>
      <w:r>
        <w:rPr>
          <w:i/>
          <w:color w:val="231F20"/>
          <w:sz w:val="24"/>
        </w:rPr>
        <w:t>payer</w:t>
      </w:r>
      <w:r>
        <w:rPr>
          <w:i/>
          <w:color w:val="231F20"/>
          <w:spacing w:val="-15"/>
          <w:sz w:val="24"/>
        </w:rPr>
        <w:t> </w:t>
      </w:r>
      <w:r>
        <w:rPr>
          <w:i/>
          <w:color w:val="231F20"/>
          <w:sz w:val="24"/>
        </w:rPr>
        <w:t>la</w:t>
      </w:r>
      <w:r>
        <w:rPr>
          <w:i/>
          <w:color w:val="231F20"/>
          <w:spacing w:val="-15"/>
          <w:sz w:val="24"/>
        </w:rPr>
        <w:t> </w:t>
      </w:r>
      <w:r>
        <w:rPr>
          <w:i/>
          <w:color w:val="231F20"/>
          <w:sz w:val="24"/>
        </w:rPr>
        <w:t>dette</w:t>
      </w:r>
      <w:r>
        <w:rPr>
          <w:i/>
          <w:color w:val="231F20"/>
          <w:spacing w:val="-15"/>
          <w:sz w:val="24"/>
        </w:rPr>
        <w:t> </w:t>
      </w:r>
      <w:r>
        <w:rPr>
          <w:i/>
          <w:color w:val="231F20"/>
          <w:sz w:val="24"/>
        </w:rPr>
        <w:t>extérieure</w:t>
      </w:r>
      <w:r>
        <w:rPr>
          <w:i/>
          <w:color w:val="231F20"/>
          <w:spacing w:val="-15"/>
          <w:sz w:val="24"/>
        </w:rPr>
        <w:t> </w:t>
      </w:r>
      <w:r>
        <w:rPr>
          <w:i/>
          <w:color w:val="231F20"/>
          <w:sz w:val="24"/>
        </w:rPr>
        <w:t>et</w:t>
      </w:r>
      <w:r>
        <w:rPr>
          <w:i/>
          <w:color w:val="231F20"/>
          <w:spacing w:val="-15"/>
          <w:sz w:val="24"/>
        </w:rPr>
        <w:t> </w:t>
      </w:r>
      <w:r>
        <w:rPr>
          <w:i/>
          <w:color w:val="231F20"/>
          <w:sz w:val="24"/>
        </w:rPr>
        <w:t>que</w:t>
      </w:r>
      <w:r>
        <w:rPr>
          <w:i/>
          <w:color w:val="231F20"/>
          <w:spacing w:val="-15"/>
          <w:sz w:val="24"/>
        </w:rPr>
        <w:t> </w:t>
      </w:r>
      <w:r>
        <w:rPr>
          <w:i/>
          <w:color w:val="231F20"/>
          <w:sz w:val="24"/>
        </w:rPr>
        <w:t>vous</w:t>
      </w:r>
      <w:r>
        <w:rPr>
          <w:i/>
          <w:color w:val="231F20"/>
          <w:spacing w:val="-15"/>
          <w:sz w:val="24"/>
        </w:rPr>
        <w:t> </w:t>
      </w:r>
      <w:r>
        <w:rPr>
          <w:i/>
          <w:color w:val="231F20"/>
          <w:sz w:val="24"/>
        </w:rPr>
        <w:t>vous</w:t>
      </w:r>
      <w:r>
        <w:rPr>
          <w:i/>
          <w:color w:val="231F20"/>
          <w:spacing w:val="-15"/>
          <w:sz w:val="24"/>
        </w:rPr>
        <w:t> </w:t>
      </w:r>
      <w:r>
        <w:rPr>
          <w:i/>
          <w:color w:val="231F20"/>
          <w:sz w:val="24"/>
        </w:rPr>
        <w:t>battez</w:t>
      </w:r>
      <w:r>
        <w:rPr>
          <w:i/>
          <w:color w:val="231F20"/>
          <w:spacing w:val="-15"/>
          <w:sz w:val="24"/>
        </w:rPr>
        <w:t> </w:t>
      </w:r>
      <w:r>
        <w:rPr>
          <w:i/>
          <w:color w:val="231F20"/>
          <w:sz w:val="24"/>
        </w:rPr>
        <w:t>pour</w:t>
      </w:r>
      <w:r>
        <w:rPr>
          <w:i/>
          <w:color w:val="231F20"/>
          <w:spacing w:val="-15"/>
          <w:sz w:val="24"/>
        </w:rPr>
        <w:t> </w:t>
      </w:r>
      <w:r>
        <w:rPr>
          <w:i/>
          <w:color w:val="231F20"/>
          <w:sz w:val="24"/>
        </w:rPr>
        <w:t>que </w:t>
      </w:r>
      <w:r>
        <w:rPr>
          <w:i/>
          <w:color w:val="231F20"/>
          <w:spacing w:val="-4"/>
          <w:sz w:val="24"/>
        </w:rPr>
        <w:t>cette</w:t>
      </w:r>
      <w:r>
        <w:rPr>
          <w:i/>
          <w:color w:val="231F20"/>
          <w:spacing w:val="-12"/>
          <w:sz w:val="24"/>
        </w:rPr>
        <w:t> </w:t>
      </w:r>
      <w:r>
        <w:rPr>
          <w:i/>
          <w:color w:val="231F20"/>
          <w:spacing w:val="-4"/>
          <w:sz w:val="24"/>
        </w:rPr>
        <w:t>dette</w:t>
      </w:r>
      <w:r>
        <w:rPr>
          <w:i/>
          <w:color w:val="231F20"/>
          <w:spacing w:val="-13"/>
          <w:sz w:val="24"/>
        </w:rPr>
        <w:t> </w:t>
      </w:r>
      <w:r>
        <w:rPr>
          <w:i/>
          <w:color w:val="231F20"/>
          <w:spacing w:val="-4"/>
          <w:sz w:val="24"/>
        </w:rPr>
        <w:t>soit</w:t>
      </w:r>
      <w:r>
        <w:rPr>
          <w:i/>
          <w:color w:val="231F20"/>
          <w:spacing w:val="-10"/>
          <w:sz w:val="24"/>
        </w:rPr>
        <w:t> </w:t>
      </w:r>
      <w:r>
        <w:rPr>
          <w:i/>
          <w:color w:val="231F20"/>
          <w:spacing w:val="-4"/>
          <w:sz w:val="24"/>
        </w:rPr>
        <w:t>annulée,</w:t>
      </w:r>
      <w:r>
        <w:rPr>
          <w:i/>
          <w:color w:val="231F20"/>
          <w:spacing w:val="-12"/>
          <w:sz w:val="24"/>
        </w:rPr>
        <w:t> </w:t>
      </w:r>
      <w:r>
        <w:rPr>
          <w:i/>
          <w:color w:val="231F20"/>
          <w:spacing w:val="-4"/>
          <w:sz w:val="24"/>
        </w:rPr>
        <w:t>ce</w:t>
      </w:r>
      <w:r>
        <w:rPr>
          <w:i/>
          <w:color w:val="231F20"/>
          <w:spacing w:val="-13"/>
          <w:sz w:val="24"/>
        </w:rPr>
        <w:t> </w:t>
      </w:r>
      <w:r>
        <w:rPr>
          <w:i/>
          <w:color w:val="231F20"/>
          <w:spacing w:val="-4"/>
          <w:sz w:val="24"/>
        </w:rPr>
        <w:t>que</w:t>
      </w:r>
      <w:r>
        <w:rPr>
          <w:i/>
          <w:color w:val="231F20"/>
          <w:spacing w:val="-11"/>
          <w:sz w:val="24"/>
        </w:rPr>
        <w:t> </w:t>
      </w:r>
      <w:r>
        <w:rPr>
          <w:i/>
          <w:color w:val="231F20"/>
          <w:spacing w:val="-4"/>
          <w:sz w:val="24"/>
        </w:rPr>
        <w:t>vous</w:t>
      </w:r>
      <w:r>
        <w:rPr>
          <w:i/>
          <w:color w:val="231F20"/>
          <w:spacing w:val="-12"/>
          <w:sz w:val="24"/>
        </w:rPr>
        <w:t> </w:t>
      </w:r>
      <w:r>
        <w:rPr>
          <w:i/>
          <w:color w:val="231F20"/>
          <w:spacing w:val="-4"/>
          <w:sz w:val="24"/>
        </w:rPr>
        <w:t>utilisez</w:t>
      </w:r>
      <w:r>
        <w:rPr>
          <w:i/>
          <w:color w:val="231F20"/>
          <w:spacing w:val="-10"/>
          <w:sz w:val="24"/>
        </w:rPr>
        <w:t> </w:t>
      </w:r>
      <w:r>
        <w:rPr>
          <w:i/>
          <w:color w:val="231F20"/>
          <w:spacing w:val="-4"/>
          <w:sz w:val="24"/>
        </w:rPr>
        <w:t>pour</w:t>
      </w:r>
      <w:r>
        <w:rPr>
          <w:i/>
          <w:color w:val="231F20"/>
          <w:spacing w:val="-11"/>
          <w:sz w:val="24"/>
        </w:rPr>
        <w:t> </w:t>
      </w:r>
      <w:r>
        <w:rPr>
          <w:i/>
          <w:color w:val="231F20"/>
          <w:spacing w:val="-4"/>
          <w:sz w:val="24"/>
        </w:rPr>
        <w:t>payer</w:t>
      </w:r>
      <w:r>
        <w:rPr>
          <w:i/>
          <w:color w:val="231F20"/>
          <w:spacing w:val="-11"/>
          <w:sz w:val="24"/>
        </w:rPr>
        <w:t> </w:t>
      </w:r>
      <w:r>
        <w:rPr>
          <w:i/>
          <w:color w:val="231F20"/>
          <w:spacing w:val="-4"/>
          <w:sz w:val="24"/>
        </w:rPr>
        <w:t>la</w:t>
      </w:r>
      <w:r>
        <w:rPr>
          <w:i/>
          <w:color w:val="231F20"/>
          <w:spacing w:val="-10"/>
          <w:sz w:val="24"/>
        </w:rPr>
        <w:t> </w:t>
      </w:r>
      <w:r>
        <w:rPr>
          <w:i/>
          <w:color w:val="231F20"/>
          <w:spacing w:val="-4"/>
          <w:sz w:val="24"/>
        </w:rPr>
        <w:t>dette</w:t>
      </w:r>
      <w:r>
        <w:rPr>
          <w:i/>
          <w:color w:val="231F20"/>
          <w:spacing w:val="-11"/>
          <w:sz w:val="24"/>
        </w:rPr>
        <w:t> </w:t>
      </w:r>
      <w:r>
        <w:rPr>
          <w:i/>
          <w:color w:val="231F20"/>
          <w:spacing w:val="-4"/>
          <w:sz w:val="24"/>
        </w:rPr>
        <w:t>extérieure,</w:t>
      </w:r>
    </w:p>
    <w:p>
      <w:pPr>
        <w:spacing w:after="0"/>
        <w:jc w:val="both"/>
        <w:rPr>
          <w:sz w:val="24"/>
        </w:rPr>
        <w:sectPr>
          <w:pgSz w:w="8790" w:h="13610"/>
          <w:pgMar w:header="0" w:footer="802" w:top="1060" w:bottom="1000" w:left="880" w:right="880"/>
        </w:sectPr>
      </w:pPr>
    </w:p>
    <w:p>
      <w:pPr>
        <w:spacing w:before="66"/>
        <w:ind w:left="111" w:right="0" w:firstLine="0"/>
        <w:jc w:val="both"/>
        <w:rPr>
          <w:i/>
          <w:sz w:val="24"/>
        </w:rPr>
      </w:pPr>
      <w:r>
        <w:rPr>
          <w:i/>
          <w:color w:val="231F20"/>
          <w:sz w:val="24"/>
        </w:rPr>
        <w:t>vous</w:t>
      </w:r>
      <w:r>
        <w:rPr>
          <w:i/>
          <w:color w:val="231F20"/>
          <w:spacing w:val="-11"/>
          <w:sz w:val="24"/>
        </w:rPr>
        <w:t> </w:t>
      </w:r>
      <w:r>
        <w:rPr>
          <w:i/>
          <w:color w:val="231F20"/>
          <w:sz w:val="24"/>
        </w:rPr>
        <w:t>l’utiliserez</w:t>
      </w:r>
      <w:r>
        <w:rPr>
          <w:i/>
          <w:color w:val="231F20"/>
          <w:spacing w:val="-9"/>
          <w:sz w:val="24"/>
        </w:rPr>
        <w:t> </w:t>
      </w:r>
      <w:r>
        <w:rPr>
          <w:i/>
          <w:color w:val="231F20"/>
          <w:sz w:val="24"/>
        </w:rPr>
        <w:t>désormais</w:t>
      </w:r>
      <w:r>
        <w:rPr>
          <w:i/>
          <w:color w:val="231F20"/>
          <w:spacing w:val="-9"/>
          <w:sz w:val="24"/>
        </w:rPr>
        <w:t> </w:t>
      </w:r>
      <w:r>
        <w:rPr>
          <w:i/>
          <w:color w:val="231F20"/>
          <w:sz w:val="24"/>
        </w:rPr>
        <w:t>pour</w:t>
      </w:r>
      <w:r>
        <w:rPr>
          <w:i/>
          <w:color w:val="231F20"/>
          <w:spacing w:val="-10"/>
          <w:sz w:val="24"/>
        </w:rPr>
        <w:t> </w:t>
      </w:r>
      <w:r>
        <w:rPr>
          <w:i/>
          <w:color w:val="231F20"/>
          <w:sz w:val="24"/>
        </w:rPr>
        <w:t>investir,</w:t>
      </w:r>
      <w:r>
        <w:rPr>
          <w:i/>
          <w:color w:val="231F20"/>
          <w:spacing w:val="-9"/>
          <w:sz w:val="24"/>
        </w:rPr>
        <w:t> </w:t>
      </w:r>
      <w:r>
        <w:rPr>
          <w:i/>
          <w:color w:val="231F20"/>
          <w:sz w:val="24"/>
        </w:rPr>
        <w:t>pour</w:t>
      </w:r>
      <w:r>
        <w:rPr>
          <w:i/>
          <w:color w:val="231F20"/>
          <w:spacing w:val="-9"/>
          <w:sz w:val="24"/>
        </w:rPr>
        <w:t> </w:t>
      </w:r>
      <w:r>
        <w:rPr>
          <w:i/>
          <w:color w:val="231F20"/>
          <w:sz w:val="24"/>
        </w:rPr>
        <w:t>créer</w:t>
      </w:r>
      <w:r>
        <w:rPr>
          <w:i/>
          <w:color w:val="231F20"/>
          <w:spacing w:val="-9"/>
          <w:sz w:val="24"/>
        </w:rPr>
        <w:t> </w:t>
      </w:r>
      <w:r>
        <w:rPr>
          <w:i/>
          <w:color w:val="231F20"/>
          <w:sz w:val="24"/>
        </w:rPr>
        <w:t>le</w:t>
      </w:r>
      <w:r>
        <w:rPr>
          <w:i/>
          <w:color w:val="231F20"/>
          <w:spacing w:val="-9"/>
          <w:sz w:val="24"/>
        </w:rPr>
        <w:t> </w:t>
      </w:r>
      <w:r>
        <w:rPr>
          <w:i/>
          <w:color w:val="231F20"/>
          <w:sz w:val="24"/>
        </w:rPr>
        <w:t>patrimoine</w:t>
      </w:r>
      <w:r>
        <w:rPr>
          <w:i/>
          <w:color w:val="231F20"/>
          <w:spacing w:val="-9"/>
          <w:sz w:val="24"/>
        </w:rPr>
        <w:t> </w:t>
      </w:r>
      <w:r>
        <w:rPr>
          <w:i/>
          <w:color w:val="231F20"/>
          <w:sz w:val="24"/>
        </w:rPr>
        <w:t>et</w:t>
      </w:r>
      <w:r>
        <w:rPr>
          <w:i/>
          <w:color w:val="231F20"/>
          <w:spacing w:val="-8"/>
          <w:sz w:val="24"/>
        </w:rPr>
        <w:t> </w:t>
      </w:r>
      <w:r>
        <w:rPr>
          <w:i/>
          <w:color w:val="231F20"/>
          <w:spacing w:val="-5"/>
          <w:sz w:val="24"/>
        </w:rPr>
        <w:t>de</w:t>
      </w:r>
    </w:p>
    <w:p>
      <w:pPr>
        <w:spacing w:before="0"/>
        <w:ind w:left="111" w:right="0" w:firstLine="0"/>
        <w:jc w:val="both"/>
        <w:rPr>
          <w:sz w:val="24"/>
        </w:rPr>
      </w:pPr>
      <w:r>
        <w:rPr>
          <w:i/>
          <w:color w:val="231F20"/>
          <w:spacing w:val="-2"/>
          <w:sz w:val="24"/>
        </w:rPr>
        <w:t>la</w:t>
      </w:r>
      <w:r>
        <w:rPr>
          <w:i/>
          <w:color w:val="231F20"/>
          <w:spacing w:val="-10"/>
          <w:sz w:val="24"/>
        </w:rPr>
        <w:t> </w:t>
      </w:r>
      <w:r>
        <w:rPr>
          <w:i/>
          <w:color w:val="231F20"/>
          <w:spacing w:val="-2"/>
          <w:sz w:val="24"/>
        </w:rPr>
        <w:t>richesse</w:t>
      </w:r>
      <w:r>
        <w:rPr>
          <w:i/>
          <w:color w:val="231F20"/>
          <w:spacing w:val="-11"/>
          <w:sz w:val="24"/>
        </w:rPr>
        <w:t> </w:t>
      </w:r>
      <w:r>
        <w:rPr>
          <w:i/>
          <w:color w:val="231F20"/>
          <w:spacing w:val="-2"/>
          <w:sz w:val="24"/>
        </w:rPr>
        <w:t>dans</w:t>
      </w:r>
      <w:r>
        <w:rPr>
          <w:i/>
          <w:color w:val="231F20"/>
          <w:spacing w:val="-8"/>
          <w:sz w:val="24"/>
        </w:rPr>
        <w:t> </w:t>
      </w:r>
      <w:r>
        <w:rPr>
          <w:i/>
          <w:color w:val="231F20"/>
          <w:spacing w:val="-2"/>
          <w:sz w:val="24"/>
        </w:rPr>
        <w:t>le</w:t>
      </w:r>
      <w:r>
        <w:rPr>
          <w:i/>
          <w:color w:val="231F20"/>
          <w:spacing w:val="-10"/>
          <w:sz w:val="24"/>
        </w:rPr>
        <w:t> </w:t>
      </w:r>
      <w:r>
        <w:rPr>
          <w:i/>
          <w:color w:val="231F20"/>
          <w:spacing w:val="-2"/>
          <w:sz w:val="24"/>
        </w:rPr>
        <w:t>pays.</w:t>
      </w:r>
      <w:r>
        <w:rPr>
          <w:i/>
          <w:color w:val="231F20"/>
          <w:spacing w:val="-12"/>
          <w:sz w:val="24"/>
        </w:rPr>
        <w:t> </w:t>
      </w:r>
      <w:r>
        <w:rPr>
          <w:i/>
          <w:color w:val="231F20"/>
          <w:spacing w:val="-2"/>
          <w:sz w:val="24"/>
        </w:rPr>
        <w:t>Voilà</w:t>
      </w:r>
      <w:r>
        <w:rPr>
          <w:i/>
          <w:color w:val="231F20"/>
          <w:spacing w:val="-10"/>
          <w:sz w:val="24"/>
        </w:rPr>
        <w:t> </w:t>
      </w:r>
      <w:r>
        <w:rPr>
          <w:i/>
          <w:color w:val="231F20"/>
          <w:spacing w:val="-2"/>
          <w:sz w:val="24"/>
        </w:rPr>
        <w:t>pourquoi</w:t>
      </w:r>
      <w:r>
        <w:rPr>
          <w:i/>
          <w:color w:val="231F20"/>
          <w:spacing w:val="-10"/>
          <w:sz w:val="24"/>
        </w:rPr>
        <w:t> </w:t>
      </w:r>
      <w:r>
        <w:rPr>
          <w:i/>
          <w:color w:val="231F20"/>
          <w:spacing w:val="-2"/>
          <w:sz w:val="24"/>
        </w:rPr>
        <w:t>le</w:t>
      </w:r>
      <w:r>
        <w:rPr>
          <w:i/>
          <w:color w:val="231F20"/>
          <w:spacing w:val="-8"/>
          <w:sz w:val="24"/>
        </w:rPr>
        <w:t> </w:t>
      </w:r>
      <w:r>
        <w:rPr>
          <w:i/>
          <w:color w:val="231F20"/>
          <w:spacing w:val="-2"/>
          <w:sz w:val="24"/>
        </w:rPr>
        <w:t>PPTE</w:t>
      </w:r>
      <w:r>
        <w:rPr>
          <w:i/>
          <w:color w:val="231F20"/>
          <w:spacing w:val="-8"/>
          <w:sz w:val="24"/>
        </w:rPr>
        <w:t> </w:t>
      </w:r>
      <w:r>
        <w:rPr>
          <w:i/>
          <w:color w:val="231F20"/>
          <w:spacing w:val="-2"/>
          <w:sz w:val="24"/>
        </w:rPr>
        <w:t>est</w:t>
      </w:r>
      <w:r>
        <w:rPr>
          <w:i/>
          <w:color w:val="231F20"/>
          <w:spacing w:val="-10"/>
          <w:sz w:val="24"/>
        </w:rPr>
        <w:t> </w:t>
      </w:r>
      <w:r>
        <w:rPr>
          <w:i/>
          <w:color w:val="231F20"/>
          <w:spacing w:val="-2"/>
          <w:sz w:val="24"/>
        </w:rPr>
        <w:t>important</w:t>
      </w:r>
      <w:r>
        <w:rPr>
          <w:color w:val="231F20"/>
          <w:spacing w:val="-2"/>
          <w:sz w:val="24"/>
        </w:rPr>
        <w:t>(…)</w:t>
      </w:r>
      <w:r>
        <w:rPr>
          <w:color w:val="231F20"/>
          <w:spacing w:val="-2"/>
          <w:sz w:val="24"/>
          <w:vertAlign w:val="superscript"/>
        </w:rPr>
        <w:t>217</w:t>
      </w:r>
      <w:r>
        <w:rPr>
          <w:color w:val="231F20"/>
          <w:spacing w:val="-2"/>
          <w:sz w:val="24"/>
          <w:vertAlign w:val="baseline"/>
        </w:rPr>
        <w:t>»</w:t>
      </w:r>
    </w:p>
    <w:p>
      <w:pPr>
        <w:pStyle w:val="BodyText"/>
        <w:spacing w:before="120"/>
        <w:ind w:right="104" w:firstLine="283"/>
      </w:pPr>
      <w:r>
        <w:rPr>
          <w:color w:val="231F20"/>
        </w:rPr>
        <w:t>En</w:t>
      </w:r>
      <w:r>
        <w:rPr>
          <w:color w:val="231F20"/>
          <w:spacing w:val="-15"/>
        </w:rPr>
        <w:t> </w:t>
      </w:r>
      <w:r>
        <w:rPr>
          <w:color w:val="231F20"/>
        </w:rPr>
        <w:t>2019,</w:t>
      </w:r>
      <w:r>
        <w:rPr>
          <w:color w:val="231F20"/>
          <w:spacing w:val="-15"/>
        </w:rPr>
        <w:t> </w:t>
      </w:r>
      <w:r>
        <w:rPr>
          <w:color w:val="231F20"/>
        </w:rPr>
        <w:t>l’Agence</w:t>
      </w:r>
      <w:r>
        <w:rPr>
          <w:color w:val="231F20"/>
          <w:spacing w:val="-15"/>
        </w:rPr>
        <w:t> </w:t>
      </w:r>
      <w:r>
        <w:rPr>
          <w:color w:val="231F20"/>
        </w:rPr>
        <w:t>américaine</w:t>
      </w:r>
      <w:r>
        <w:rPr>
          <w:color w:val="231F20"/>
          <w:spacing w:val="-15"/>
        </w:rPr>
        <w:t> </w:t>
      </w:r>
      <w:r>
        <w:rPr>
          <w:color w:val="231F20"/>
        </w:rPr>
        <w:t>de</w:t>
      </w:r>
      <w:r>
        <w:rPr>
          <w:color w:val="231F20"/>
          <w:spacing w:val="-15"/>
        </w:rPr>
        <w:t> </w:t>
      </w:r>
      <w:r>
        <w:rPr>
          <w:color w:val="231F20"/>
        </w:rPr>
        <w:t>notation</w:t>
      </w:r>
      <w:r>
        <w:rPr>
          <w:color w:val="231F20"/>
          <w:spacing w:val="-15"/>
        </w:rPr>
        <w:t> </w:t>
      </w:r>
      <w:r>
        <w:rPr>
          <w:color w:val="231F20"/>
        </w:rPr>
        <w:t>Moody’s</w:t>
      </w:r>
      <w:r>
        <w:rPr>
          <w:color w:val="231F20"/>
          <w:spacing w:val="-15"/>
        </w:rPr>
        <w:t> </w:t>
      </w:r>
      <w:r>
        <w:rPr>
          <w:color w:val="231F20"/>
        </w:rPr>
        <w:t>rappelle</w:t>
      </w:r>
      <w:r>
        <w:rPr>
          <w:color w:val="231F20"/>
          <w:spacing w:val="-15"/>
        </w:rPr>
        <w:t> </w:t>
      </w:r>
      <w:r>
        <w:rPr>
          <w:color w:val="231F20"/>
        </w:rPr>
        <w:t>qu’avec </w:t>
      </w:r>
      <w:r>
        <w:rPr>
          <w:color w:val="231F20"/>
          <w:spacing w:val="-4"/>
        </w:rPr>
        <w:t>son</w:t>
      </w:r>
      <w:r>
        <w:rPr>
          <w:color w:val="231F20"/>
          <w:spacing w:val="-11"/>
        </w:rPr>
        <w:t> </w:t>
      </w:r>
      <w:r>
        <w:rPr>
          <w:color w:val="231F20"/>
          <w:spacing w:val="-4"/>
        </w:rPr>
        <w:t>taux</w:t>
      </w:r>
      <w:r>
        <w:rPr>
          <w:color w:val="231F20"/>
          <w:spacing w:val="-11"/>
        </w:rPr>
        <w:t> </w:t>
      </w:r>
      <w:r>
        <w:rPr>
          <w:color w:val="231F20"/>
          <w:spacing w:val="-4"/>
        </w:rPr>
        <w:t>de</w:t>
      </w:r>
      <w:r>
        <w:rPr>
          <w:color w:val="231F20"/>
          <w:spacing w:val="-11"/>
        </w:rPr>
        <w:t> </w:t>
      </w:r>
      <w:r>
        <w:rPr>
          <w:color w:val="231F20"/>
          <w:spacing w:val="-4"/>
        </w:rPr>
        <w:t>croissance</w:t>
      </w:r>
      <w:r>
        <w:rPr>
          <w:color w:val="231F20"/>
          <w:spacing w:val="-11"/>
        </w:rPr>
        <w:t> </w:t>
      </w:r>
      <w:r>
        <w:rPr>
          <w:color w:val="231F20"/>
          <w:spacing w:val="-4"/>
        </w:rPr>
        <w:t>flirtant</w:t>
      </w:r>
      <w:r>
        <w:rPr>
          <w:color w:val="231F20"/>
          <w:spacing w:val="-11"/>
        </w:rPr>
        <w:t> </w:t>
      </w:r>
      <w:r>
        <w:rPr>
          <w:color w:val="231F20"/>
          <w:spacing w:val="-4"/>
        </w:rPr>
        <w:t>avec</w:t>
      </w:r>
      <w:r>
        <w:rPr>
          <w:color w:val="231F20"/>
          <w:spacing w:val="-11"/>
        </w:rPr>
        <w:t> </w:t>
      </w:r>
      <w:r>
        <w:rPr>
          <w:color w:val="231F20"/>
          <w:spacing w:val="-4"/>
        </w:rPr>
        <w:t>les</w:t>
      </w:r>
      <w:r>
        <w:rPr>
          <w:color w:val="231F20"/>
          <w:spacing w:val="-11"/>
        </w:rPr>
        <w:t> </w:t>
      </w:r>
      <w:r>
        <w:rPr>
          <w:color w:val="231F20"/>
          <w:spacing w:val="-4"/>
        </w:rPr>
        <w:t>8</w:t>
      </w:r>
      <w:r>
        <w:rPr>
          <w:color w:val="231F20"/>
          <w:spacing w:val="-8"/>
        </w:rPr>
        <w:t> </w:t>
      </w:r>
      <w:r>
        <w:rPr>
          <w:color w:val="231F20"/>
          <w:spacing w:val="-4"/>
        </w:rPr>
        <w:t>%</w:t>
      </w:r>
      <w:r>
        <w:rPr>
          <w:color w:val="231F20"/>
          <w:spacing w:val="-11"/>
        </w:rPr>
        <w:t> </w:t>
      </w:r>
      <w:r>
        <w:rPr>
          <w:color w:val="231F20"/>
          <w:spacing w:val="-4"/>
        </w:rPr>
        <w:t>ces</w:t>
      </w:r>
      <w:r>
        <w:rPr>
          <w:color w:val="231F20"/>
          <w:spacing w:val="-11"/>
        </w:rPr>
        <w:t> </w:t>
      </w:r>
      <w:r>
        <w:rPr>
          <w:color w:val="231F20"/>
          <w:spacing w:val="-4"/>
        </w:rPr>
        <w:t>dix</w:t>
      </w:r>
      <w:r>
        <w:rPr>
          <w:color w:val="231F20"/>
          <w:spacing w:val="-11"/>
        </w:rPr>
        <w:t> </w:t>
      </w:r>
      <w:r>
        <w:rPr>
          <w:color w:val="231F20"/>
          <w:spacing w:val="-4"/>
        </w:rPr>
        <w:t>dernières</w:t>
      </w:r>
      <w:r>
        <w:rPr>
          <w:color w:val="231F20"/>
          <w:spacing w:val="-11"/>
        </w:rPr>
        <w:t> </w:t>
      </w:r>
      <w:r>
        <w:rPr>
          <w:color w:val="231F20"/>
          <w:spacing w:val="-4"/>
        </w:rPr>
        <w:t>années</w:t>
      </w:r>
      <w:r>
        <w:rPr>
          <w:color w:val="231F20"/>
          <w:spacing w:val="-11"/>
        </w:rPr>
        <w:t> </w:t>
      </w:r>
      <w:r>
        <w:rPr>
          <w:color w:val="231F20"/>
          <w:spacing w:val="-4"/>
        </w:rPr>
        <w:t>(11</w:t>
      </w:r>
      <w:r>
        <w:rPr>
          <w:color w:val="231F20"/>
          <w:spacing w:val="1"/>
        </w:rPr>
        <w:t> </w:t>
      </w:r>
      <w:r>
        <w:rPr>
          <w:color w:val="231F20"/>
          <w:spacing w:val="-4"/>
        </w:rPr>
        <w:t>% </w:t>
      </w:r>
      <w:r>
        <w:rPr>
          <w:color w:val="231F20"/>
          <w:spacing w:val="-2"/>
        </w:rPr>
        <w:t>au</w:t>
      </w:r>
      <w:r>
        <w:rPr>
          <w:color w:val="231F20"/>
          <w:spacing w:val="-9"/>
        </w:rPr>
        <w:t> </w:t>
      </w:r>
      <w:r>
        <w:rPr>
          <w:color w:val="231F20"/>
          <w:spacing w:val="-2"/>
        </w:rPr>
        <w:t>meilleur</w:t>
      </w:r>
      <w:r>
        <w:rPr>
          <w:color w:val="231F20"/>
          <w:spacing w:val="-9"/>
        </w:rPr>
        <w:t> </w:t>
      </w:r>
      <w:r>
        <w:rPr>
          <w:color w:val="231F20"/>
          <w:spacing w:val="-2"/>
        </w:rPr>
        <w:t>de</w:t>
      </w:r>
      <w:r>
        <w:rPr>
          <w:color w:val="231F20"/>
          <w:spacing w:val="-9"/>
        </w:rPr>
        <w:t> </w:t>
      </w:r>
      <w:r>
        <w:rPr>
          <w:color w:val="231F20"/>
          <w:spacing w:val="-2"/>
        </w:rPr>
        <w:t>sa</w:t>
      </w:r>
      <w:r>
        <w:rPr>
          <w:color w:val="231F20"/>
          <w:spacing w:val="-9"/>
        </w:rPr>
        <w:t> </w:t>
      </w:r>
      <w:r>
        <w:rPr>
          <w:color w:val="231F20"/>
          <w:spacing w:val="-2"/>
        </w:rPr>
        <w:t>forme),</w:t>
      </w:r>
      <w:r>
        <w:rPr>
          <w:color w:val="231F20"/>
          <w:spacing w:val="-11"/>
        </w:rPr>
        <w:t> </w:t>
      </w:r>
      <w:r>
        <w:rPr>
          <w:color w:val="231F20"/>
          <w:spacing w:val="-2"/>
        </w:rPr>
        <w:t>le</w:t>
      </w:r>
      <w:r>
        <w:rPr>
          <w:color w:val="231F20"/>
          <w:spacing w:val="-9"/>
        </w:rPr>
        <w:t> </w:t>
      </w:r>
      <w:r>
        <w:rPr>
          <w:color w:val="231F20"/>
          <w:spacing w:val="-2"/>
        </w:rPr>
        <w:t>pays</w:t>
      </w:r>
      <w:r>
        <w:rPr>
          <w:color w:val="231F20"/>
          <w:spacing w:val="-9"/>
        </w:rPr>
        <w:t> </w:t>
      </w:r>
      <w:r>
        <w:rPr>
          <w:color w:val="231F20"/>
          <w:spacing w:val="-2"/>
        </w:rPr>
        <w:t>avait</w:t>
      </w:r>
      <w:r>
        <w:rPr>
          <w:color w:val="231F20"/>
          <w:spacing w:val="-9"/>
        </w:rPr>
        <w:t> </w:t>
      </w:r>
      <w:r>
        <w:rPr>
          <w:color w:val="231F20"/>
          <w:spacing w:val="-2"/>
        </w:rPr>
        <w:t>surpassé</w:t>
      </w:r>
      <w:r>
        <w:rPr>
          <w:color w:val="231F20"/>
          <w:spacing w:val="-9"/>
        </w:rPr>
        <w:t> </w:t>
      </w:r>
      <w:r>
        <w:rPr>
          <w:color w:val="231F20"/>
          <w:spacing w:val="-2"/>
        </w:rPr>
        <w:t>les</w:t>
      </w:r>
      <w:r>
        <w:rPr>
          <w:color w:val="231F20"/>
          <w:spacing w:val="-8"/>
        </w:rPr>
        <w:t> </w:t>
      </w:r>
      <w:r>
        <w:rPr>
          <w:color w:val="231F20"/>
          <w:spacing w:val="-2"/>
        </w:rPr>
        <w:t>prédictions</w:t>
      </w:r>
      <w:r>
        <w:rPr>
          <w:color w:val="231F20"/>
          <w:spacing w:val="-8"/>
        </w:rPr>
        <w:t> </w:t>
      </w:r>
      <w:r>
        <w:rPr>
          <w:color w:val="231F20"/>
          <w:spacing w:val="-2"/>
        </w:rPr>
        <w:t>du</w:t>
      </w:r>
      <w:r>
        <w:rPr>
          <w:color w:val="231F20"/>
          <w:spacing w:val="-8"/>
        </w:rPr>
        <w:t> </w:t>
      </w:r>
      <w:r>
        <w:rPr>
          <w:color w:val="231F20"/>
          <w:spacing w:val="-2"/>
        </w:rPr>
        <w:t>FMI</w:t>
      </w:r>
      <w:r>
        <w:rPr>
          <w:color w:val="231F20"/>
          <w:spacing w:val="-10"/>
        </w:rPr>
        <w:t> </w:t>
      </w:r>
      <w:r>
        <w:rPr>
          <w:color w:val="231F20"/>
          <w:spacing w:val="-2"/>
        </w:rPr>
        <w:t>et </w:t>
      </w:r>
      <w:r>
        <w:rPr>
          <w:color w:val="231F20"/>
        </w:rPr>
        <w:t>retrouvé en peu de temps des performances similaires à celles des décennies 1970 à 1980.</w:t>
      </w:r>
    </w:p>
    <w:p>
      <w:pPr>
        <w:pStyle w:val="BodyText"/>
        <w:spacing w:before="120"/>
        <w:ind w:right="106" w:firstLine="283"/>
      </w:pPr>
      <w:r>
        <w:rPr>
          <w:color w:val="231F20"/>
        </w:rPr>
        <w:t>Mais</w:t>
      </w:r>
      <w:r>
        <w:rPr>
          <w:color w:val="231F20"/>
          <w:spacing w:val="-1"/>
        </w:rPr>
        <w:t> </w:t>
      </w:r>
      <w:r>
        <w:rPr>
          <w:color w:val="231F20"/>
        </w:rPr>
        <w:t>derrière</w:t>
      </w:r>
      <w:r>
        <w:rPr>
          <w:color w:val="231F20"/>
          <w:spacing w:val="-1"/>
        </w:rPr>
        <w:t> </w:t>
      </w:r>
      <w:r>
        <w:rPr>
          <w:color w:val="231F20"/>
        </w:rPr>
        <w:t>ces</w:t>
      </w:r>
      <w:r>
        <w:rPr>
          <w:color w:val="231F20"/>
          <w:spacing w:val="-1"/>
        </w:rPr>
        <w:t> </w:t>
      </w:r>
      <w:r>
        <w:rPr>
          <w:color w:val="231F20"/>
        </w:rPr>
        <w:t>chiffres, il</w:t>
      </w:r>
      <w:r>
        <w:rPr>
          <w:color w:val="231F20"/>
          <w:spacing w:val="-1"/>
        </w:rPr>
        <w:t> </w:t>
      </w:r>
      <w:r>
        <w:rPr>
          <w:color w:val="231F20"/>
        </w:rPr>
        <w:t>y a</w:t>
      </w:r>
      <w:r>
        <w:rPr>
          <w:color w:val="231F20"/>
          <w:spacing w:val="-1"/>
        </w:rPr>
        <w:t> </w:t>
      </w:r>
      <w:r>
        <w:rPr>
          <w:color w:val="231F20"/>
        </w:rPr>
        <w:t>la</w:t>
      </w:r>
      <w:r>
        <w:rPr>
          <w:color w:val="231F20"/>
          <w:spacing w:val="-1"/>
        </w:rPr>
        <w:t> </w:t>
      </w:r>
      <w:r>
        <w:rPr>
          <w:color w:val="231F20"/>
        </w:rPr>
        <w:t>réalité</w:t>
      </w:r>
      <w:r>
        <w:rPr>
          <w:color w:val="231F20"/>
          <w:spacing w:val="-1"/>
        </w:rPr>
        <w:t> </w:t>
      </w:r>
      <w:r>
        <w:rPr>
          <w:color w:val="231F20"/>
        </w:rPr>
        <w:t>vécue</w:t>
      </w:r>
      <w:r>
        <w:rPr>
          <w:color w:val="231F20"/>
          <w:spacing w:val="-1"/>
        </w:rPr>
        <w:t> </w:t>
      </w:r>
      <w:r>
        <w:rPr>
          <w:color w:val="231F20"/>
        </w:rPr>
        <w:t>par</w:t>
      </w:r>
      <w:r>
        <w:rPr>
          <w:color w:val="231F20"/>
          <w:spacing w:val="-1"/>
        </w:rPr>
        <w:t> </w:t>
      </w:r>
      <w:r>
        <w:rPr>
          <w:color w:val="231F20"/>
        </w:rPr>
        <w:t>les</w:t>
      </w:r>
      <w:r>
        <w:rPr>
          <w:color w:val="231F20"/>
          <w:spacing w:val="-1"/>
        </w:rPr>
        <w:t> </w:t>
      </w:r>
      <w:r>
        <w:rPr>
          <w:color w:val="231F20"/>
        </w:rPr>
        <w:t>populations. Comment</w:t>
      </w:r>
      <w:r>
        <w:rPr>
          <w:color w:val="231F20"/>
          <w:spacing w:val="-13"/>
        </w:rPr>
        <w:t> </w:t>
      </w:r>
      <w:r>
        <w:rPr>
          <w:color w:val="231F20"/>
        </w:rPr>
        <w:t>comprendre,</w:t>
      </w:r>
      <w:r>
        <w:rPr>
          <w:color w:val="231F20"/>
          <w:spacing w:val="-13"/>
        </w:rPr>
        <w:t> </w:t>
      </w:r>
      <w:r>
        <w:rPr>
          <w:color w:val="231F20"/>
        </w:rPr>
        <w:t>que</w:t>
      </w:r>
      <w:r>
        <w:rPr>
          <w:color w:val="231F20"/>
          <w:spacing w:val="-11"/>
        </w:rPr>
        <w:t> </w:t>
      </w:r>
      <w:r>
        <w:rPr>
          <w:color w:val="231F20"/>
        </w:rPr>
        <w:t>des</w:t>
      </w:r>
      <w:r>
        <w:rPr>
          <w:color w:val="231F20"/>
          <w:spacing w:val="-13"/>
        </w:rPr>
        <w:t> </w:t>
      </w:r>
      <w:r>
        <w:rPr>
          <w:color w:val="231F20"/>
        </w:rPr>
        <w:t>demandeurs</w:t>
      </w:r>
      <w:r>
        <w:rPr>
          <w:color w:val="231F20"/>
          <w:spacing w:val="-11"/>
        </w:rPr>
        <w:t> </w:t>
      </w:r>
      <w:r>
        <w:rPr>
          <w:color w:val="231F20"/>
        </w:rPr>
        <w:t>d'asile</w:t>
      </w:r>
      <w:r>
        <w:rPr>
          <w:color w:val="231F20"/>
          <w:spacing w:val="-12"/>
        </w:rPr>
        <w:t> </w:t>
      </w:r>
      <w:r>
        <w:rPr>
          <w:color w:val="231F20"/>
        </w:rPr>
        <w:t>ivoiriens</w:t>
      </w:r>
      <w:r>
        <w:rPr>
          <w:color w:val="231F20"/>
          <w:spacing w:val="-11"/>
        </w:rPr>
        <w:t> </w:t>
      </w:r>
      <w:r>
        <w:rPr>
          <w:color w:val="231F20"/>
        </w:rPr>
        <w:t>continuent d'affluer en</w:t>
      </w:r>
      <w:r>
        <w:rPr>
          <w:color w:val="231F20"/>
          <w:spacing w:val="-1"/>
        </w:rPr>
        <w:t> </w:t>
      </w:r>
      <w:r>
        <w:rPr>
          <w:color w:val="231F20"/>
        </w:rPr>
        <w:t>Europe. En</w:t>
      </w:r>
      <w:r>
        <w:rPr>
          <w:color w:val="231F20"/>
          <w:spacing w:val="-1"/>
        </w:rPr>
        <w:t> </w:t>
      </w:r>
      <w:r>
        <w:rPr>
          <w:color w:val="231F20"/>
        </w:rPr>
        <w:t>France, ils ont été 4</w:t>
      </w:r>
      <w:r>
        <w:rPr>
          <w:color w:val="231F20"/>
          <w:spacing w:val="-1"/>
        </w:rPr>
        <w:t> </w:t>
      </w:r>
      <w:r>
        <w:rPr>
          <w:color w:val="231F20"/>
        </w:rPr>
        <w:t>701</w:t>
      </w:r>
      <w:r>
        <w:rPr>
          <w:color w:val="231F20"/>
          <w:spacing w:val="-1"/>
        </w:rPr>
        <w:t> </w:t>
      </w:r>
      <w:r>
        <w:rPr>
          <w:color w:val="231F20"/>
        </w:rPr>
        <w:t>en 2018 puis</w:t>
      </w:r>
      <w:r>
        <w:rPr>
          <w:color w:val="231F20"/>
          <w:spacing w:val="-2"/>
        </w:rPr>
        <w:t> </w:t>
      </w:r>
      <w:r>
        <w:rPr>
          <w:color w:val="231F20"/>
        </w:rPr>
        <w:t>4</w:t>
      </w:r>
      <w:r>
        <w:rPr>
          <w:color w:val="231F20"/>
          <w:spacing w:val="-1"/>
        </w:rPr>
        <w:t> </w:t>
      </w:r>
      <w:r>
        <w:rPr>
          <w:color w:val="231F20"/>
        </w:rPr>
        <w:t>682 en 2019 à déposer une demande, selon l'Office français de protection des réfugiés et apatrides (Ofpra). Parmi les Africains, ils représentent le second</w:t>
      </w:r>
      <w:r>
        <w:rPr>
          <w:color w:val="231F20"/>
          <w:spacing w:val="-8"/>
        </w:rPr>
        <w:t> </w:t>
      </w:r>
      <w:r>
        <w:rPr>
          <w:color w:val="231F20"/>
        </w:rPr>
        <w:t>contingent</w:t>
      </w:r>
      <w:r>
        <w:rPr>
          <w:color w:val="231F20"/>
          <w:spacing w:val="-9"/>
        </w:rPr>
        <w:t> </w:t>
      </w:r>
      <w:r>
        <w:rPr>
          <w:color w:val="231F20"/>
        </w:rPr>
        <w:t>de</w:t>
      </w:r>
      <w:r>
        <w:rPr>
          <w:color w:val="231F20"/>
          <w:spacing w:val="-8"/>
        </w:rPr>
        <w:t> </w:t>
      </w:r>
      <w:r>
        <w:rPr>
          <w:color w:val="231F20"/>
        </w:rPr>
        <w:t>demandeurs</w:t>
      </w:r>
      <w:r>
        <w:rPr>
          <w:color w:val="231F20"/>
          <w:spacing w:val="-8"/>
        </w:rPr>
        <w:t> </w:t>
      </w:r>
      <w:r>
        <w:rPr>
          <w:color w:val="231F20"/>
        </w:rPr>
        <w:t>d'asile</w:t>
      </w:r>
      <w:r>
        <w:rPr>
          <w:color w:val="231F20"/>
          <w:spacing w:val="-8"/>
        </w:rPr>
        <w:t> </w:t>
      </w:r>
      <w:r>
        <w:rPr>
          <w:color w:val="231F20"/>
        </w:rPr>
        <w:t>en</w:t>
      </w:r>
      <w:r>
        <w:rPr>
          <w:color w:val="231F20"/>
          <w:spacing w:val="-8"/>
        </w:rPr>
        <w:t> </w:t>
      </w:r>
      <w:r>
        <w:rPr>
          <w:color w:val="231F20"/>
        </w:rPr>
        <w:t>France</w:t>
      </w:r>
      <w:r>
        <w:rPr>
          <w:color w:val="231F20"/>
          <w:spacing w:val="-10"/>
        </w:rPr>
        <w:t> </w:t>
      </w:r>
      <w:r>
        <w:rPr>
          <w:color w:val="231F20"/>
        </w:rPr>
        <w:t>derrière</w:t>
      </w:r>
      <w:r>
        <w:rPr>
          <w:color w:val="231F20"/>
          <w:spacing w:val="-8"/>
        </w:rPr>
        <w:t> </w:t>
      </w:r>
      <w:r>
        <w:rPr>
          <w:color w:val="231F20"/>
        </w:rPr>
        <w:t>la</w:t>
      </w:r>
      <w:r>
        <w:rPr>
          <w:color w:val="231F20"/>
          <w:spacing w:val="-8"/>
        </w:rPr>
        <w:t> </w:t>
      </w:r>
      <w:r>
        <w:rPr>
          <w:color w:val="231F20"/>
        </w:rPr>
        <w:t>Guinée.</w:t>
      </w:r>
    </w:p>
    <w:p>
      <w:pPr>
        <w:spacing w:before="121"/>
        <w:ind w:left="111" w:right="103" w:firstLine="283"/>
        <w:jc w:val="both"/>
        <w:rPr>
          <w:i/>
          <w:sz w:val="24"/>
        </w:rPr>
      </w:pPr>
      <w:r>
        <w:rPr>
          <w:color w:val="231F20"/>
          <w:sz w:val="24"/>
        </w:rPr>
        <w:t>Certes, l’État multiplie les projets pour rattraper le retard accumulé pendant les dix ans de crise</w:t>
      </w:r>
      <w:r>
        <w:rPr>
          <w:color w:val="231F20"/>
          <w:spacing w:val="-13"/>
          <w:sz w:val="24"/>
        </w:rPr>
        <w:t> </w:t>
      </w:r>
      <w:r>
        <w:rPr>
          <w:color w:val="231F20"/>
          <w:sz w:val="24"/>
        </w:rPr>
        <w:t>: à Abidjan, construction d’échangeurs, travaux de réfection et de bitumage des routes, d’évacuation des eaux usées,</w:t>
      </w:r>
      <w:r>
        <w:rPr>
          <w:color w:val="231F20"/>
          <w:spacing w:val="-15"/>
          <w:sz w:val="24"/>
        </w:rPr>
        <w:t> </w:t>
      </w:r>
      <w:r>
        <w:rPr>
          <w:color w:val="231F20"/>
          <w:sz w:val="24"/>
        </w:rPr>
        <w:t>nombreux</w:t>
      </w:r>
      <w:r>
        <w:rPr>
          <w:color w:val="231F20"/>
          <w:spacing w:val="-15"/>
          <w:sz w:val="24"/>
        </w:rPr>
        <w:t> </w:t>
      </w:r>
      <w:r>
        <w:rPr>
          <w:color w:val="231F20"/>
          <w:sz w:val="24"/>
        </w:rPr>
        <w:t>lotissements</w:t>
      </w:r>
      <w:r>
        <w:rPr>
          <w:color w:val="231F20"/>
          <w:spacing w:val="-15"/>
          <w:sz w:val="24"/>
        </w:rPr>
        <w:t> </w:t>
      </w:r>
      <w:r>
        <w:rPr>
          <w:color w:val="231F20"/>
          <w:sz w:val="24"/>
        </w:rPr>
        <w:t>pour</w:t>
      </w:r>
      <w:r>
        <w:rPr>
          <w:color w:val="231F20"/>
          <w:spacing w:val="-15"/>
          <w:sz w:val="24"/>
        </w:rPr>
        <w:t> </w:t>
      </w:r>
      <w:r>
        <w:rPr>
          <w:color w:val="231F20"/>
          <w:sz w:val="24"/>
        </w:rPr>
        <w:t>la</w:t>
      </w:r>
      <w:r>
        <w:rPr>
          <w:color w:val="231F20"/>
          <w:spacing w:val="-15"/>
          <w:sz w:val="24"/>
        </w:rPr>
        <w:t> </w:t>
      </w:r>
      <w:r>
        <w:rPr>
          <w:color w:val="231F20"/>
          <w:sz w:val="24"/>
        </w:rPr>
        <w:t>construction</w:t>
      </w:r>
      <w:r>
        <w:rPr>
          <w:color w:val="231F20"/>
          <w:spacing w:val="-15"/>
          <w:sz w:val="24"/>
        </w:rPr>
        <w:t> </w:t>
      </w:r>
      <w:r>
        <w:rPr>
          <w:color w:val="231F20"/>
          <w:sz w:val="24"/>
        </w:rPr>
        <w:t>de</w:t>
      </w:r>
      <w:r>
        <w:rPr>
          <w:color w:val="231F20"/>
          <w:spacing w:val="-15"/>
          <w:sz w:val="24"/>
        </w:rPr>
        <w:t> </w:t>
      </w:r>
      <w:r>
        <w:rPr>
          <w:color w:val="231F20"/>
          <w:sz w:val="24"/>
        </w:rPr>
        <w:t>logements</w:t>
      </w:r>
      <w:r>
        <w:rPr>
          <w:color w:val="231F20"/>
          <w:spacing w:val="-15"/>
          <w:sz w:val="24"/>
        </w:rPr>
        <w:t> </w:t>
      </w:r>
      <w:r>
        <w:rPr>
          <w:color w:val="231F20"/>
          <w:sz w:val="24"/>
        </w:rPr>
        <w:t>par</w:t>
      </w:r>
      <w:r>
        <w:rPr>
          <w:color w:val="231F20"/>
          <w:spacing w:val="-15"/>
          <w:sz w:val="24"/>
        </w:rPr>
        <w:t> </w:t>
      </w:r>
      <w:r>
        <w:rPr>
          <w:color w:val="231F20"/>
          <w:sz w:val="24"/>
        </w:rPr>
        <w:t>des privés</w:t>
      </w:r>
      <w:r>
        <w:rPr>
          <w:color w:val="231F20"/>
          <w:spacing w:val="-15"/>
          <w:sz w:val="24"/>
        </w:rPr>
        <w:t> </w:t>
      </w:r>
      <w:r>
        <w:rPr>
          <w:color w:val="231F20"/>
          <w:sz w:val="24"/>
        </w:rPr>
        <w:t>etc.</w:t>
      </w:r>
      <w:r>
        <w:rPr>
          <w:color w:val="231F20"/>
          <w:spacing w:val="-15"/>
          <w:sz w:val="24"/>
        </w:rPr>
        <w:t> </w:t>
      </w:r>
      <w:r>
        <w:rPr>
          <w:color w:val="231F20"/>
          <w:sz w:val="24"/>
        </w:rPr>
        <w:t>Cependant,</w:t>
      </w:r>
      <w:r>
        <w:rPr>
          <w:color w:val="231F20"/>
          <w:spacing w:val="-13"/>
          <w:sz w:val="24"/>
        </w:rPr>
        <w:t> </w:t>
      </w:r>
      <w:r>
        <w:rPr>
          <w:color w:val="231F20"/>
          <w:sz w:val="24"/>
        </w:rPr>
        <w:t>au</w:t>
      </w:r>
      <w:r>
        <w:rPr>
          <w:color w:val="231F20"/>
          <w:spacing w:val="-15"/>
          <w:sz w:val="24"/>
        </w:rPr>
        <w:t> </w:t>
      </w:r>
      <w:r>
        <w:rPr>
          <w:color w:val="231F20"/>
          <w:sz w:val="24"/>
        </w:rPr>
        <w:t>plan</w:t>
      </w:r>
      <w:r>
        <w:rPr>
          <w:color w:val="231F20"/>
          <w:spacing w:val="-15"/>
          <w:sz w:val="24"/>
        </w:rPr>
        <w:t> </w:t>
      </w:r>
      <w:r>
        <w:rPr>
          <w:color w:val="231F20"/>
          <w:sz w:val="24"/>
        </w:rPr>
        <w:t>social,</w:t>
      </w:r>
      <w:r>
        <w:rPr>
          <w:color w:val="231F20"/>
          <w:spacing w:val="-13"/>
          <w:sz w:val="24"/>
        </w:rPr>
        <w:t> </w:t>
      </w:r>
      <w:r>
        <w:rPr>
          <w:color w:val="231F20"/>
          <w:sz w:val="24"/>
        </w:rPr>
        <w:t>en</w:t>
      </w:r>
      <w:r>
        <w:rPr>
          <w:color w:val="231F20"/>
          <w:spacing w:val="-13"/>
          <w:sz w:val="24"/>
        </w:rPr>
        <w:t> </w:t>
      </w:r>
      <w:r>
        <w:rPr>
          <w:color w:val="231F20"/>
          <w:sz w:val="24"/>
        </w:rPr>
        <w:t>zone</w:t>
      </w:r>
      <w:r>
        <w:rPr>
          <w:color w:val="231F20"/>
          <w:spacing w:val="-15"/>
          <w:sz w:val="24"/>
        </w:rPr>
        <w:t> </w:t>
      </w:r>
      <w:r>
        <w:rPr>
          <w:color w:val="231F20"/>
          <w:sz w:val="24"/>
        </w:rPr>
        <w:t>urbaine</w:t>
      </w:r>
      <w:r>
        <w:rPr>
          <w:color w:val="231F20"/>
          <w:spacing w:val="-13"/>
          <w:sz w:val="24"/>
        </w:rPr>
        <w:t> </w:t>
      </w:r>
      <w:r>
        <w:rPr>
          <w:color w:val="231F20"/>
          <w:sz w:val="24"/>
        </w:rPr>
        <w:t>comme</w:t>
      </w:r>
      <w:r>
        <w:rPr>
          <w:color w:val="231F20"/>
          <w:spacing w:val="-13"/>
          <w:sz w:val="24"/>
        </w:rPr>
        <w:t> </w:t>
      </w:r>
      <w:r>
        <w:rPr>
          <w:color w:val="231F20"/>
          <w:sz w:val="24"/>
        </w:rPr>
        <w:t>rurale,</w:t>
      </w:r>
      <w:r>
        <w:rPr>
          <w:color w:val="231F20"/>
          <w:spacing w:val="-15"/>
          <w:sz w:val="24"/>
        </w:rPr>
        <w:t> </w:t>
      </w:r>
      <w:r>
        <w:rPr>
          <w:color w:val="231F20"/>
          <w:sz w:val="24"/>
        </w:rPr>
        <w:t>les </w:t>
      </w:r>
      <w:r>
        <w:rPr>
          <w:color w:val="231F20"/>
          <w:spacing w:val="-2"/>
          <w:sz w:val="24"/>
        </w:rPr>
        <w:t>promesses</w:t>
      </w:r>
      <w:r>
        <w:rPr>
          <w:color w:val="231F20"/>
          <w:spacing w:val="-13"/>
          <w:sz w:val="24"/>
        </w:rPr>
        <w:t> </w:t>
      </w:r>
      <w:r>
        <w:rPr>
          <w:color w:val="231F20"/>
          <w:spacing w:val="-2"/>
          <w:sz w:val="24"/>
        </w:rPr>
        <w:t>se</w:t>
      </w:r>
      <w:r>
        <w:rPr>
          <w:color w:val="231F20"/>
          <w:spacing w:val="-13"/>
          <w:sz w:val="24"/>
        </w:rPr>
        <w:t> </w:t>
      </w:r>
      <w:r>
        <w:rPr>
          <w:color w:val="231F20"/>
          <w:spacing w:val="-2"/>
          <w:sz w:val="24"/>
        </w:rPr>
        <w:t>font</w:t>
      </w:r>
      <w:r>
        <w:rPr>
          <w:color w:val="231F20"/>
          <w:spacing w:val="-13"/>
          <w:sz w:val="24"/>
        </w:rPr>
        <w:t> </w:t>
      </w:r>
      <w:r>
        <w:rPr>
          <w:color w:val="231F20"/>
          <w:spacing w:val="-2"/>
          <w:sz w:val="24"/>
        </w:rPr>
        <w:t>toujours</w:t>
      </w:r>
      <w:r>
        <w:rPr>
          <w:color w:val="231F20"/>
          <w:spacing w:val="-13"/>
          <w:sz w:val="24"/>
        </w:rPr>
        <w:t> </w:t>
      </w:r>
      <w:r>
        <w:rPr>
          <w:color w:val="231F20"/>
          <w:spacing w:val="-2"/>
          <w:sz w:val="24"/>
        </w:rPr>
        <w:t>attendre</w:t>
      </w:r>
      <w:r>
        <w:rPr>
          <w:color w:val="231F20"/>
          <w:spacing w:val="-13"/>
          <w:sz w:val="24"/>
        </w:rPr>
        <w:t> </w:t>
      </w:r>
      <w:r>
        <w:rPr>
          <w:color w:val="231F20"/>
          <w:spacing w:val="-2"/>
          <w:sz w:val="24"/>
        </w:rPr>
        <w:t>:</w:t>
      </w:r>
      <w:r>
        <w:rPr>
          <w:color w:val="231F20"/>
          <w:spacing w:val="-13"/>
          <w:sz w:val="24"/>
        </w:rPr>
        <w:t> </w:t>
      </w:r>
      <w:r>
        <w:rPr>
          <w:color w:val="231F20"/>
          <w:spacing w:val="-2"/>
          <w:sz w:val="24"/>
        </w:rPr>
        <w:t>seulement</w:t>
      </w:r>
      <w:r>
        <w:rPr>
          <w:color w:val="231F20"/>
          <w:spacing w:val="-13"/>
          <w:sz w:val="24"/>
        </w:rPr>
        <w:t> </w:t>
      </w:r>
      <w:r>
        <w:rPr>
          <w:color w:val="231F20"/>
          <w:spacing w:val="-2"/>
          <w:sz w:val="24"/>
        </w:rPr>
        <w:t>7000</w:t>
      </w:r>
      <w:r>
        <w:rPr>
          <w:color w:val="231F20"/>
          <w:spacing w:val="-13"/>
          <w:sz w:val="24"/>
        </w:rPr>
        <w:t> </w:t>
      </w:r>
      <w:r>
        <w:rPr>
          <w:color w:val="231F20"/>
          <w:spacing w:val="-2"/>
          <w:sz w:val="24"/>
        </w:rPr>
        <w:t>classes</w:t>
      </w:r>
      <w:r>
        <w:rPr>
          <w:color w:val="231F20"/>
          <w:spacing w:val="-13"/>
          <w:sz w:val="24"/>
        </w:rPr>
        <w:t> </w:t>
      </w:r>
      <w:r>
        <w:rPr>
          <w:color w:val="231F20"/>
          <w:spacing w:val="-2"/>
          <w:sz w:val="24"/>
        </w:rPr>
        <w:t>ouvertes</w:t>
      </w:r>
      <w:r>
        <w:rPr>
          <w:color w:val="231F20"/>
          <w:spacing w:val="-13"/>
          <w:sz w:val="24"/>
        </w:rPr>
        <w:t> </w:t>
      </w:r>
      <w:r>
        <w:rPr>
          <w:color w:val="231F20"/>
          <w:spacing w:val="-2"/>
          <w:sz w:val="24"/>
        </w:rPr>
        <w:t>sur les</w:t>
      </w:r>
      <w:r>
        <w:rPr>
          <w:color w:val="231F20"/>
          <w:spacing w:val="-13"/>
          <w:sz w:val="24"/>
        </w:rPr>
        <w:t> </w:t>
      </w:r>
      <w:r>
        <w:rPr>
          <w:color w:val="231F20"/>
          <w:spacing w:val="-2"/>
          <w:sz w:val="24"/>
        </w:rPr>
        <w:t>25</w:t>
      </w:r>
      <w:r>
        <w:rPr>
          <w:color w:val="231F20"/>
          <w:spacing w:val="-10"/>
          <w:sz w:val="24"/>
        </w:rPr>
        <w:t> </w:t>
      </w:r>
      <w:r>
        <w:rPr>
          <w:color w:val="231F20"/>
          <w:spacing w:val="-2"/>
          <w:sz w:val="24"/>
        </w:rPr>
        <w:t>000</w:t>
      </w:r>
      <w:r>
        <w:rPr>
          <w:color w:val="231F20"/>
          <w:spacing w:val="-13"/>
          <w:sz w:val="24"/>
        </w:rPr>
        <w:t> </w:t>
      </w:r>
      <w:r>
        <w:rPr>
          <w:color w:val="231F20"/>
          <w:spacing w:val="-2"/>
          <w:sz w:val="24"/>
        </w:rPr>
        <w:t>promises</w:t>
      </w:r>
      <w:r>
        <w:rPr>
          <w:color w:val="231F20"/>
          <w:spacing w:val="-12"/>
          <w:sz w:val="24"/>
        </w:rPr>
        <w:t> </w:t>
      </w:r>
      <w:r>
        <w:rPr>
          <w:color w:val="231F20"/>
          <w:spacing w:val="-2"/>
          <w:sz w:val="24"/>
        </w:rPr>
        <w:t>;</w:t>
      </w:r>
      <w:r>
        <w:rPr>
          <w:color w:val="231F20"/>
          <w:spacing w:val="-12"/>
          <w:sz w:val="24"/>
        </w:rPr>
        <w:t> </w:t>
      </w:r>
      <w:r>
        <w:rPr>
          <w:color w:val="231F20"/>
          <w:spacing w:val="-2"/>
          <w:sz w:val="24"/>
        </w:rPr>
        <w:t>construction</w:t>
      </w:r>
      <w:r>
        <w:rPr>
          <w:color w:val="231F20"/>
          <w:spacing w:val="-13"/>
          <w:sz w:val="24"/>
        </w:rPr>
        <w:t> </w:t>
      </w:r>
      <w:r>
        <w:rPr>
          <w:color w:val="231F20"/>
          <w:spacing w:val="-2"/>
          <w:sz w:val="24"/>
        </w:rPr>
        <w:t>retardée</w:t>
      </w:r>
      <w:r>
        <w:rPr>
          <w:color w:val="231F20"/>
          <w:spacing w:val="-13"/>
          <w:sz w:val="24"/>
        </w:rPr>
        <w:t> </w:t>
      </w:r>
      <w:r>
        <w:rPr>
          <w:color w:val="231F20"/>
          <w:spacing w:val="-2"/>
          <w:sz w:val="24"/>
        </w:rPr>
        <w:t>et</w:t>
      </w:r>
      <w:r>
        <w:rPr>
          <w:color w:val="231F20"/>
          <w:spacing w:val="-12"/>
          <w:sz w:val="24"/>
        </w:rPr>
        <w:t> </w:t>
      </w:r>
      <w:r>
        <w:rPr>
          <w:color w:val="231F20"/>
          <w:spacing w:val="-2"/>
          <w:sz w:val="24"/>
        </w:rPr>
        <w:t>réhabilitation</w:t>
      </w:r>
      <w:r>
        <w:rPr>
          <w:color w:val="231F20"/>
          <w:spacing w:val="-13"/>
          <w:sz w:val="24"/>
        </w:rPr>
        <w:t> </w:t>
      </w:r>
      <w:r>
        <w:rPr>
          <w:color w:val="231F20"/>
          <w:spacing w:val="-2"/>
          <w:sz w:val="24"/>
        </w:rPr>
        <w:t>a</w:t>
      </w:r>
      <w:r>
        <w:rPr>
          <w:color w:val="231F20"/>
          <w:spacing w:val="-11"/>
          <w:sz w:val="24"/>
        </w:rPr>
        <w:t> </w:t>
      </w:r>
      <w:r>
        <w:rPr>
          <w:color w:val="231F20"/>
          <w:spacing w:val="-2"/>
          <w:sz w:val="24"/>
        </w:rPr>
        <w:t>minima</w:t>
      </w:r>
      <w:r>
        <w:rPr>
          <w:color w:val="231F20"/>
          <w:spacing w:val="-13"/>
          <w:sz w:val="24"/>
        </w:rPr>
        <w:t> </w:t>
      </w:r>
      <w:r>
        <w:rPr>
          <w:color w:val="231F20"/>
          <w:spacing w:val="-2"/>
          <w:sz w:val="24"/>
        </w:rPr>
        <w:t>des universités,</w:t>
      </w:r>
      <w:r>
        <w:rPr>
          <w:color w:val="231F20"/>
          <w:spacing w:val="-9"/>
          <w:sz w:val="24"/>
        </w:rPr>
        <w:t> </w:t>
      </w:r>
      <w:r>
        <w:rPr>
          <w:color w:val="231F20"/>
          <w:spacing w:val="-2"/>
          <w:sz w:val="24"/>
        </w:rPr>
        <w:t>déficit</w:t>
      </w:r>
      <w:r>
        <w:rPr>
          <w:color w:val="231F20"/>
          <w:spacing w:val="-10"/>
          <w:sz w:val="24"/>
        </w:rPr>
        <w:t> </w:t>
      </w:r>
      <w:r>
        <w:rPr>
          <w:color w:val="231F20"/>
          <w:spacing w:val="-2"/>
          <w:sz w:val="24"/>
        </w:rPr>
        <w:t>en</w:t>
      </w:r>
      <w:r>
        <w:rPr>
          <w:color w:val="231F20"/>
          <w:spacing w:val="-10"/>
          <w:sz w:val="24"/>
        </w:rPr>
        <w:t> </w:t>
      </w:r>
      <w:r>
        <w:rPr>
          <w:color w:val="231F20"/>
          <w:spacing w:val="-2"/>
          <w:sz w:val="24"/>
        </w:rPr>
        <w:t>matériel</w:t>
      </w:r>
      <w:r>
        <w:rPr>
          <w:color w:val="231F20"/>
          <w:spacing w:val="-9"/>
          <w:sz w:val="24"/>
        </w:rPr>
        <w:t> </w:t>
      </w:r>
      <w:r>
        <w:rPr>
          <w:color w:val="231F20"/>
          <w:spacing w:val="-2"/>
          <w:sz w:val="24"/>
        </w:rPr>
        <w:t>dans</w:t>
      </w:r>
      <w:r>
        <w:rPr>
          <w:color w:val="231F20"/>
          <w:spacing w:val="-10"/>
          <w:sz w:val="24"/>
        </w:rPr>
        <w:t> </w:t>
      </w:r>
      <w:r>
        <w:rPr>
          <w:color w:val="231F20"/>
          <w:spacing w:val="-2"/>
          <w:sz w:val="24"/>
        </w:rPr>
        <w:t>les</w:t>
      </w:r>
      <w:r>
        <w:rPr>
          <w:color w:val="231F20"/>
          <w:spacing w:val="-9"/>
          <w:sz w:val="24"/>
        </w:rPr>
        <w:t> </w:t>
      </w:r>
      <w:r>
        <w:rPr>
          <w:color w:val="231F20"/>
          <w:spacing w:val="-2"/>
          <w:sz w:val="24"/>
        </w:rPr>
        <w:t>administrations,</w:t>
      </w:r>
      <w:r>
        <w:rPr>
          <w:color w:val="231F20"/>
          <w:spacing w:val="-10"/>
          <w:sz w:val="24"/>
        </w:rPr>
        <w:t> </w:t>
      </w:r>
      <w:r>
        <w:rPr>
          <w:color w:val="231F20"/>
          <w:spacing w:val="-2"/>
          <w:sz w:val="24"/>
        </w:rPr>
        <w:t>déficit</w:t>
      </w:r>
      <w:r>
        <w:rPr>
          <w:color w:val="231F20"/>
          <w:spacing w:val="-8"/>
          <w:sz w:val="24"/>
        </w:rPr>
        <w:t> </w:t>
      </w:r>
      <w:r>
        <w:rPr>
          <w:color w:val="231F20"/>
          <w:spacing w:val="-2"/>
          <w:sz w:val="24"/>
        </w:rPr>
        <w:t>encore</w:t>
      </w:r>
      <w:r>
        <w:rPr>
          <w:color w:val="231F20"/>
          <w:spacing w:val="-11"/>
          <w:sz w:val="24"/>
        </w:rPr>
        <w:t> </w:t>
      </w:r>
      <w:r>
        <w:rPr>
          <w:color w:val="231F20"/>
          <w:spacing w:val="-2"/>
          <w:sz w:val="24"/>
        </w:rPr>
        <w:t>de </w:t>
      </w:r>
      <w:r>
        <w:rPr>
          <w:color w:val="231F20"/>
          <w:sz w:val="24"/>
        </w:rPr>
        <w:t>logements,</w:t>
      </w:r>
      <w:r>
        <w:rPr>
          <w:color w:val="231F20"/>
          <w:spacing w:val="-10"/>
          <w:sz w:val="24"/>
        </w:rPr>
        <w:t> </w:t>
      </w:r>
      <w:r>
        <w:rPr>
          <w:color w:val="231F20"/>
          <w:sz w:val="24"/>
        </w:rPr>
        <w:t>progression</w:t>
      </w:r>
      <w:r>
        <w:rPr>
          <w:color w:val="231F20"/>
          <w:spacing w:val="-8"/>
          <w:sz w:val="24"/>
        </w:rPr>
        <w:t> </w:t>
      </w:r>
      <w:r>
        <w:rPr>
          <w:color w:val="231F20"/>
          <w:sz w:val="24"/>
        </w:rPr>
        <w:t>du</w:t>
      </w:r>
      <w:r>
        <w:rPr>
          <w:color w:val="231F20"/>
          <w:spacing w:val="-8"/>
          <w:sz w:val="24"/>
        </w:rPr>
        <w:t> </w:t>
      </w:r>
      <w:r>
        <w:rPr>
          <w:color w:val="231F20"/>
          <w:sz w:val="24"/>
        </w:rPr>
        <w:t>chômage…</w:t>
      </w:r>
      <w:r>
        <w:rPr>
          <w:color w:val="231F20"/>
          <w:spacing w:val="-8"/>
          <w:sz w:val="24"/>
        </w:rPr>
        <w:t> </w:t>
      </w:r>
      <w:r>
        <w:rPr>
          <w:color w:val="231F20"/>
          <w:sz w:val="24"/>
        </w:rPr>
        <w:t>«</w:t>
      </w:r>
      <w:r>
        <w:rPr>
          <w:color w:val="231F20"/>
          <w:spacing w:val="-15"/>
          <w:sz w:val="24"/>
        </w:rPr>
        <w:t> </w:t>
      </w:r>
      <w:r>
        <w:rPr>
          <w:color w:val="231F20"/>
          <w:sz w:val="24"/>
        </w:rPr>
        <w:t>À</w:t>
      </w:r>
      <w:r>
        <w:rPr>
          <w:color w:val="231F20"/>
          <w:spacing w:val="-9"/>
          <w:sz w:val="24"/>
        </w:rPr>
        <w:t> </w:t>
      </w:r>
      <w:r>
        <w:rPr>
          <w:color w:val="231F20"/>
          <w:sz w:val="24"/>
        </w:rPr>
        <w:t>fin</w:t>
      </w:r>
      <w:r>
        <w:rPr>
          <w:color w:val="231F20"/>
          <w:spacing w:val="-9"/>
          <w:sz w:val="24"/>
        </w:rPr>
        <w:t> </w:t>
      </w:r>
      <w:r>
        <w:rPr>
          <w:color w:val="231F20"/>
          <w:sz w:val="24"/>
        </w:rPr>
        <w:t>2020,</w:t>
      </w:r>
      <w:r>
        <w:rPr>
          <w:color w:val="231F20"/>
          <w:spacing w:val="-7"/>
          <w:sz w:val="24"/>
        </w:rPr>
        <w:t> </w:t>
      </w:r>
      <w:r>
        <w:rPr>
          <w:color w:val="231F20"/>
          <w:sz w:val="24"/>
        </w:rPr>
        <w:t>le</w:t>
      </w:r>
      <w:r>
        <w:rPr>
          <w:color w:val="231F20"/>
          <w:spacing w:val="-9"/>
          <w:sz w:val="24"/>
        </w:rPr>
        <w:t> </w:t>
      </w:r>
      <w:r>
        <w:rPr>
          <w:i/>
          <w:color w:val="231F20"/>
          <w:sz w:val="24"/>
        </w:rPr>
        <w:t>stock</w:t>
      </w:r>
      <w:r>
        <w:rPr>
          <w:i/>
          <w:color w:val="231F20"/>
          <w:spacing w:val="-9"/>
          <w:sz w:val="24"/>
        </w:rPr>
        <w:t> </w:t>
      </w:r>
      <w:r>
        <w:rPr>
          <w:i/>
          <w:color w:val="231F20"/>
          <w:sz w:val="24"/>
        </w:rPr>
        <w:t>de</w:t>
      </w:r>
      <w:r>
        <w:rPr>
          <w:i/>
          <w:color w:val="231F20"/>
          <w:spacing w:val="-8"/>
          <w:sz w:val="24"/>
        </w:rPr>
        <w:t> </w:t>
      </w:r>
      <w:r>
        <w:rPr>
          <w:i/>
          <w:color w:val="231F20"/>
          <w:sz w:val="24"/>
        </w:rPr>
        <w:t>la</w:t>
      </w:r>
      <w:r>
        <w:rPr>
          <w:i/>
          <w:color w:val="231F20"/>
          <w:spacing w:val="-8"/>
          <w:sz w:val="24"/>
        </w:rPr>
        <w:t> </w:t>
      </w:r>
      <w:r>
        <w:rPr>
          <w:i/>
          <w:color w:val="231F20"/>
          <w:sz w:val="24"/>
        </w:rPr>
        <w:t>dette</w:t>
      </w:r>
      <w:r>
        <w:rPr>
          <w:i/>
          <w:color w:val="231F20"/>
          <w:sz w:val="24"/>
        </w:rPr>
        <w:t> ivoirienne</w:t>
      </w:r>
      <w:r>
        <w:rPr>
          <w:i/>
          <w:color w:val="231F20"/>
          <w:spacing w:val="-6"/>
          <w:sz w:val="24"/>
        </w:rPr>
        <w:t> </w:t>
      </w:r>
      <w:r>
        <w:rPr>
          <w:i/>
          <w:color w:val="231F20"/>
          <w:sz w:val="24"/>
        </w:rPr>
        <w:t>a</w:t>
      </w:r>
      <w:r>
        <w:rPr>
          <w:i/>
          <w:color w:val="231F20"/>
          <w:spacing w:val="-5"/>
          <w:sz w:val="24"/>
        </w:rPr>
        <w:t> </w:t>
      </w:r>
      <w:r>
        <w:rPr>
          <w:i/>
          <w:color w:val="231F20"/>
          <w:sz w:val="24"/>
        </w:rPr>
        <w:t>atteint</w:t>
      </w:r>
      <w:r>
        <w:rPr>
          <w:i/>
          <w:color w:val="231F20"/>
          <w:spacing w:val="-15"/>
          <w:sz w:val="24"/>
        </w:rPr>
        <w:t> </w:t>
      </w:r>
      <w:r>
        <w:rPr>
          <w:i/>
          <w:color w:val="231F20"/>
          <w:sz w:val="24"/>
        </w:rPr>
        <w:t>14</w:t>
      </w:r>
      <w:r>
        <w:rPr>
          <w:i/>
          <w:color w:val="231F20"/>
          <w:spacing w:val="-15"/>
          <w:sz w:val="24"/>
        </w:rPr>
        <w:t> </w:t>
      </w:r>
      <w:r>
        <w:rPr>
          <w:i/>
          <w:color w:val="231F20"/>
          <w:sz w:val="24"/>
        </w:rPr>
        <w:t>560</w:t>
      </w:r>
      <w:r>
        <w:rPr>
          <w:i/>
          <w:color w:val="231F20"/>
          <w:spacing w:val="-3"/>
          <w:sz w:val="24"/>
        </w:rPr>
        <w:t> </w:t>
      </w:r>
      <w:r>
        <w:rPr>
          <w:i/>
          <w:color w:val="231F20"/>
          <w:sz w:val="24"/>
        </w:rPr>
        <w:t>milliards</w:t>
      </w:r>
      <w:r>
        <w:rPr>
          <w:i/>
          <w:color w:val="231F20"/>
          <w:spacing w:val="-5"/>
          <w:sz w:val="24"/>
        </w:rPr>
        <w:t> </w:t>
      </w:r>
      <w:r>
        <w:rPr>
          <w:i/>
          <w:color w:val="231F20"/>
          <w:sz w:val="24"/>
        </w:rPr>
        <w:t>FCFA.</w:t>
      </w:r>
      <w:r>
        <w:rPr>
          <w:i/>
          <w:color w:val="231F20"/>
          <w:spacing w:val="-3"/>
          <w:sz w:val="24"/>
        </w:rPr>
        <w:t> </w:t>
      </w:r>
      <w:r>
        <w:rPr>
          <w:i/>
          <w:color w:val="231F20"/>
          <w:sz w:val="24"/>
        </w:rPr>
        <w:t>(…)</w:t>
      </w:r>
      <w:r>
        <w:rPr>
          <w:i/>
          <w:color w:val="231F20"/>
          <w:spacing w:val="-3"/>
          <w:sz w:val="24"/>
        </w:rPr>
        <w:t> </w:t>
      </w:r>
      <w:r>
        <w:rPr>
          <w:i/>
          <w:color w:val="231F20"/>
          <w:sz w:val="24"/>
        </w:rPr>
        <w:t>Entre</w:t>
      </w:r>
      <w:r>
        <w:rPr>
          <w:i/>
          <w:color w:val="231F20"/>
          <w:spacing w:val="-3"/>
          <w:sz w:val="24"/>
        </w:rPr>
        <w:t> </w:t>
      </w:r>
      <w:r>
        <w:rPr>
          <w:i/>
          <w:color w:val="231F20"/>
          <w:sz w:val="24"/>
        </w:rPr>
        <w:t>2017</w:t>
      </w:r>
      <w:r>
        <w:rPr>
          <w:i/>
          <w:color w:val="231F20"/>
          <w:spacing w:val="-3"/>
          <w:sz w:val="24"/>
        </w:rPr>
        <w:t> </w:t>
      </w:r>
      <w:r>
        <w:rPr>
          <w:i/>
          <w:color w:val="231F20"/>
          <w:sz w:val="24"/>
        </w:rPr>
        <w:t>et</w:t>
      </w:r>
      <w:r>
        <w:rPr>
          <w:i/>
          <w:color w:val="231F20"/>
          <w:spacing w:val="-5"/>
          <w:sz w:val="24"/>
        </w:rPr>
        <w:t> </w:t>
      </w:r>
      <w:r>
        <w:rPr>
          <w:i/>
          <w:color w:val="231F20"/>
          <w:sz w:val="24"/>
        </w:rPr>
        <w:t>2020,</w:t>
      </w:r>
      <w:r>
        <w:rPr>
          <w:i/>
          <w:color w:val="231F20"/>
          <w:spacing w:val="-3"/>
          <w:sz w:val="24"/>
        </w:rPr>
        <w:t> </w:t>
      </w:r>
      <w:r>
        <w:rPr>
          <w:i/>
          <w:color w:val="231F20"/>
          <w:sz w:val="24"/>
        </w:rPr>
        <w:t>la Côte d'Ivoire a ajouté un peu plus de 4000 milliards FCFA de dette supplémentaire. Cela commence à peser sur la capacité du pays à répondre</w:t>
      </w:r>
      <w:r>
        <w:rPr>
          <w:i/>
          <w:color w:val="231F20"/>
          <w:spacing w:val="-5"/>
          <w:sz w:val="24"/>
        </w:rPr>
        <w:t> </w:t>
      </w:r>
      <w:r>
        <w:rPr>
          <w:i/>
          <w:color w:val="231F20"/>
          <w:sz w:val="24"/>
        </w:rPr>
        <w:t>aux</w:t>
      </w:r>
      <w:r>
        <w:rPr>
          <w:i/>
          <w:color w:val="231F20"/>
          <w:spacing w:val="-5"/>
          <w:sz w:val="24"/>
        </w:rPr>
        <w:t> </w:t>
      </w:r>
      <w:r>
        <w:rPr>
          <w:i/>
          <w:color w:val="231F20"/>
          <w:sz w:val="24"/>
        </w:rPr>
        <w:t>attentes</w:t>
      </w:r>
      <w:r>
        <w:rPr>
          <w:i/>
          <w:color w:val="231F20"/>
          <w:spacing w:val="-5"/>
          <w:sz w:val="24"/>
        </w:rPr>
        <w:t> </w:t>
      </w:r>
      <w:r>
        <w:rPr>
          <w:i/>
          <w:color w:val="231F20"/>
          <w:sz w:val="24"/>
        </w:rPr>
        <w:t>de</w:t>
      </w:r>
      <w:r>
        <w:rPr>
          <w:i/>
          <w:color w:val="231F20"/>
          <w:spacing w:val="-6"/>
          <w:sz w:val="24"/>
        </w:rPr>
        <w:t> </w:t>
      </w:r>
      <w:r>
        <w:rPr>
          <w:i/>
          <w:color w:val="231F20"/>
          <w:sz w:val="24"/>
        </w:rPr>
        <w:t>sa</w:t>
      </w:r>
      <w:r>
        <w:rPr>
          <w:i/>
          <w:color w:val="231F20"/>
          <w:spacing w:val="-5"/>
          <w:sz w:val="24"/>
        </w:rPr>
        <w:t> </w:t>
      </w:r>
      <w:r>
        <w:rPr>
          <w:i/>
          <w:color w:val="231F20"/>
          <w:sz w:val="24"/>
        </w:rPr>
        <w:t>population.</w:t>
      </w:r>
      <w:r>
        <w:rPr>
          <w:i/>
          <w:color w:val="231F20"/>
          <w:spacing w:val="-6"/>
          <w:sz w:val="24"/>
        </w:rPr>
        <w:t> </w:t>
      </w:r>
      <w:r>
        <w:rPr>
          <w:i/>
          <w:color w:val="231F20"/>
          <w:sz w:val="24"/>
        </w:rPr>
        <w:t>En</w:t>
      </w:r>
      <w:r>
        <w:rPr>
          <w:i/>
          <w:color w:val="231F20"/>
          <w:spacing w:val="-5"/>
          <w:sz w:val="24"/>
        </w:rPr>
        <w:t> </w:t>
      </w:r>
      <w:r>
        <w:rPr>
          <w:i/>
          <w:color w:val="231F20"/>
          <w:sz w:val="24"/>
        </w:rPr>
        <w:t>2020,</w:t>
      </w:r>
      <w:r>
        <w:rPr>
          <w:i/>
          <w:color w:val="231F20"/>
          <w:spacing w:val="-5"/>
          <w:sz w:val="24"/>
        </w:rPr>
        <w:t> </w:t>
      </w:r>
      <w:r>
        <w:rPr>
          <w:i/>
          <w:color w:val="231F20"/>
          <w:sz w:val="24"/>
        </w:rPr>
        <w:t>le</w:t>
      </w:r>
      <w:r>
        <w:rPr>
          <w:i/>
          <w:color w:val="231F20"/>
          <w:spacing w:val="-6"/>
          <w:sz w:val="24"/>
        </w:rPr>
        <w:t> </w:t>
      </w:r>
      <w:r>
        <w:rPr>
          <w:i/>
          <w:color w:val="231F20"/>
          <w:sz w:val="24"/>
        </w:rPr>
        <w:t>service</w:t>
      </w:r>
      <w:r>
        <w:rPr>
          <w:i/>
          <w:color w:val="231F20"/>
          <w:spacing w:val="-5"/>
          <w:sz w:val="24"/>
        </w:rPr>
        <w:t> </w:t>
      </w:r>
      <w:r>
        <w:rPr>
          <w:i/>
          <w:color w:val="231F20"/>
          <w:sz w:val="24"/>
        </w:rPr>
        <w:t>de</w:t>
      </w:r>
      <w:r>
        <w:rPr>
          <w:i/>
          <w:color w:val="231F20"/>
          <w:spacing w:val="-5"/>
          <w:sz w:val="24"/>
        </w:rPr>
        <w:t> </w:t>
      </w:r>
      <w:r>
        <w:rPr>
          <w:i/>
          <w:color w:val="231F20"/>
          <w:sz w:val="24"/>
        </w:rPr>
        <w:t>la</w:t>
      </w:r>
      <w:r>
        <w:rPr>
          <w:i/>
          <w:color w:val="231F20"/>
          <w:spacing w:val="-5"/>
          <w:sz w:val="24"/>
        </w:rPr>
        <w:t> </w:t>
      </w:r>
      <w:r>
        <w:rPr>
          <w:i/>
          <w:color w:val="231F20"/>
          <w:sz w:val="24"/>
        </w:rPr>
        <w:t>dette, c'est-à-dire</w:t>
      </w:r>
      <w:r>
        <w:rPr>
          <w:i/>
          <w:color w:val="231F20"/>
          <w:spacing w:val="-8"/>
          <w:sz w:val="24"/>
        </w:rPr>
        <w:t> </w:t>
      </w:r>
      <w:r>
        <w:rPr>
          <w:i/>
          <w:color w:val="231F20"/>
          <w:sz w:val="24"/>
        </w:rPr>
        <w:t>les</w:t>
      </w:r>
      <w:r>
        <w:rPr>
          <w:i/>
          <w:color w:val="231F20"/>
          <w:spacing w:val="-9"/>
          <w:sz w:val="24"/>
        </w:rPr>
        <w:t> </w:t>
      </w:r>
      <w:r>
        <w:rPr>
          <w:i/>
          <w:color w:val="231F20"/>
          <w:sz w:val="24"/>
        </w:rPr>
        <w:t>ressources</w:t>
      </w:r>
      <w:r>
        <w:rPr>
          <w:i/>
          <w:color w:val="231F20"/>
          <w:spacing w:val="-8"/>
          <w:sz w:val="24"/>
        </w:rPr>
        <w:t> </w:t>
      </w:r>
      <w:r>
        <w:rPr>
          <w:i/>
          <w:color w:val="231F20"/>
          <w:sz w:val="24"/>
        </w:rPr>
        <w:t>budgétaires</w:t>
      </w:r>
      <w:r>
        <w:rPr>
          <w:i/>
          <w:color w:val="231F20"/>
          <w:spacing w:val="-9"/>
          <w:sz w:val="24"/>
        </w:rPr>
        <w:t> </w:t>
      </w:r>
      <w:r>
        <w:rPr>
          <w:i/>
          <w:color w:val="231F20"/>
          <w:sz w:val="24"/>
        </w:rPr>
        <w:t>affectées</w:t>
      </w:r>
      <w:r>
        <w:rPr>
          <w:i/>
          <w:color w:val="231F20"/>
          <w:spacing w:val="-9"/>
          <w:sz w:val="24"/>
        </w:rPr>
        <w:t> </w:t>
      </w:r>
      <w:r>
        <w:rPr>
          <w:i/>
          <w:color w:val="231F20"/>
          <w:sz w:val="24"/>
        </w:rPr>
        <w:t>au</w:t>
      </w:r>
      <w:r>
        <w:rPr>
          <w:i/>
          <w:color w:val="231F20"/>
          <w:spacing w:val="-8"/>
          <w:sz w:val="24"/>
        </w:rPr>
        <w:t> </w:t>
      </w:r>
      <w:r>
        <w:rPr>
          <w:i/>
          <w:color w:val="231F20"/>
          <w:sz w:val="24"/>
        </w:rPr>
        <w:t>remboursement</w:t>
      </w:r>
      <w:r>
        <w:rPr>
          <w:i/>
          <w:color w:val="231F20"/>
          <w:spacing w:val="-8"/>
          <w:sz w:val="24"/>
        </w:rPr>
        <w:t> </w:t>
      </w:r>
      <w:r>
        <w:rPr>
          <w:i/>
          <w:color w:val="231F20"/>
          <w:sz w:val="24"/>
        </w:rPr>
        <w:t>des précédents</w:t>
      </w:r>
      <w:r>
        <w:rPr>
          <w:i/>
          <w:color w:val="231F20"/>
          <w:spacing w:val="-8"/>
          <w:sz w:val="24"/>
        </w:rPr>
        <w:t> </w:t>
      </w:r>
      <w:r>
        <w:rPr>
          <w:i/>
          <w:color w:val="231F20"/>
          <w:sz w:val="24"/>
        </w:rPr>
        <w:t>emprunts</w:t>
      </w:r>
      <w:r>
        <w:rPr>
          <w:i/>
          <w:color w:val="231F20"/>
          <w:spacing w:val="-8"/>
          <w:sz w:val="24"/>
        </w:rPr>
        <w:t> </w:t>
      </w:r>
      <w:r>
        <w:rPr>
          <w:i/>
          <w:color w:val="231F20"/>
          <w:sz w:val="24"/>
        </w:rPr>
        <w:t>et</w:t>
      </w:r>
      <w:r>
        <w:rPr>
          <w:i/>
          <w:color w:val="231F20"/>
          <w:spacing w:val="-6"/>
          <w:sz w:val="24"/>
        </w:rPr>
        <w:t> </w:t>
      </w:r>
      <w:r>
        <w:rPr>
          <w:i/>
          <w:color w:val="231F20"/>
          <w:sz w:val="24"/>
        </w:rPr>
        <w:t>paiements</w:t>
      </w:r>
      <w:r>
        <w:rPr>
          <w:i/>
          <w:color w:val="231F20"/>
          <w:spacing w:val="-8"/>
          <w:sz w:val="24"/>
        </w:rPr>
        <w:t> </w:t>
      </w:r>
      <w:r>
        <w:rPr>
          <w:i/>
          <w:color w:val="231F20"/>
          <w:sz w:val="24"/>
        </w:rPr>
        <w:t>dus,</w:t>
      </w:r>
      <w:r>
        <w:rPr>
          <w:i/>
          <w:color w:val="231F20"/>
          <w:spacing w:val="-7"/>
          <w:sz w:val="24"/>
        </w:rPr>
        <w:t> </w:t>
      </w:r>
      <w:r>
        <w:rPr>
          <w:i/>
          <w:color w:val="231F20"/>
          <w:sz w:val="24"/>
        </w:rPr>
        <w:t>était</w:t>
      </w:r>
      <w:r>
        <w:rPr>
          <w:i/>
          <w:color w:val="231F20"/>
          <w:spacing w:val="-8"/>
          <w:sz w:val="24"/>
        </w:rPr>
        <w:t> </w:t>
      </w:r>
      <w:r>
        <w:rPr>
          <w:i/>
          <w:color w:val="231F20"/>
          <w:sz w:val="24"/>
        </w:rPr>
        <w:t>de</w:t>
      </w:r>
      <w:r>
        <w:rPr>
          <w:i/>
          <w:color w:val="231F20"/>
          <w:spacing w:val="-6"/>
          <w:sz w:val="24"/>
        </w:rPr>
        <w:t> </w:t>
      </w:r>
      <w:r>
        <w:rPr>
          <w:i/>
          <w:color w:val="231F20"/>
          <w:sz w:val="24"/>
        </w:rPr>
        <w:t>1960</w:t>
      </w:r>
      <w:r>
        <w:rPr>
          <w:i/>
          <w:color w:val="231F20"/>
          <w:spacing w:val="-6"/>
          <w:sz w:val="24"/>
        </w:rPr>
        <w:t> </w:t>
      </w:r>
      <w:r>
        <w:rPr>
          <w:i/>
          <w:color w:val="231F20"/>
          <w:sz w:val="24"/>
        </w:rPr>
        <w:t>milliards</w:t>
      </w:r>
      <w:r>
        <w:rPr>
          <w:i/>
          <w:color w:val="231F20"/>
          <w:spacing w:val="-9"/>
          <w:sz w:val="24"/>
        </w:rPr>
        <w:t> </w:t>
      </w:r>
      <w:r>
        <w:rPr>
          <w:i/>
          <w:color w:val="231F20"/>
          <w:sz w:val="24"/>
        </w:rPr>
        <w:t>FCFA</w:t>
      </w:r>
      <w:r>
        <w:rPr>
          <w:i/>
          <w:color w:val="231F20"/>
          <w:spacing w:val="-8"/>
          <w:sz w:val="24"/>
        </w:rPr>
        <w:t> </w:t>
      </w:r>
      <w:r>
        <w:rPr>
          <w:i/>
          <w:color w:val="231F20"/>
          <w:sz w:val="24"/>
        </w:rPr>
        <w:t>et représentait</w:t>
      </w:r>
      <w:r>
        <w:rPr>
          <w:i/>
          <w:color w:val="231F20"/>
          <w:spacing w:val="-12"/>
          <w:sz w:val="24"/>
        </w:rPr>
        <w:t> </w:t>
      </w:r>
      <w:r>
        <w:rPr>
          <w:i/>
          <w:color w:val="231F20"/>
          <w:sz w:val="24"/>
        </w:rPr>
        <w:t>40,2%</w:t>
      </w:r>
      <w:r>
        <w:rPr>
          <w:i/>
          <w:color w:val="231F20"/>
          <w:spacing w:val="-12"/>
          <w:sz w:val="24"/>
        </w:rPr>
        <w:t> </w:t>
      </w:r>
      <w:r>
        <w:rPr>
          <w:i/>
          <w:color w:val="231F20"/>
          <w:sz w:val="24"/>
        </w:rPr>
        <w:t>des</w:t>
      </w:r>
      <w:r>
        <w:rPr>
          <w:i/>
          <w:color w:val="231F20"/>
          <w:spacing w:val="-13"/>
          <w:sz w:val="24"/>
        </w:rPr>
        <w:t> </w:t>
      </w:r>
      <w:r>
        <w:rPr>
          <w:i/>
          <w:color w:val="231F20"/>
          <w:sz w:val="24"/>
        </w:rPr>
        <w:t>recettes</w:t>
      </w:r>
      <w:r>
        <w:rPr>
          <w:i/>
          <w:color w:val="231F20"/>
          <w:spacing w:val="-14"/>
          <w:sz w:val="24"/>
        </w:rPr>
        <w:t> </w:t>
      </w:r>
      <w:r>
        <w:rPr>
          <w:i/>
          <w:color w:val="231F20"/>
          <w:sz w:val="24"/>
        </w:rPr>
        <w:t>intérieures.</w:t>
      </w:r>
      <w:r>
        <w:rPr>
          <w:i/>
          <w:color w:val="231F20"/>
          <w:spacing w:val="-14"/>
          <w:sz w:val="24"/>
        </w:rPr>
        <w:t> </w:t>
      </w:r>
      <w:r>
        <w:rPr>
          <w:i/>
          <w:color w:val="231F20"/>
          <w:sz w:val="24"/>
        </w:rPr>
        <w:t>Pour</w:t>
      </w:r>
      <w:r>
        <w:rPr>
          <w:i/>
          <w:color w:val="231F20"/>
          <w:spacing w:val="-12"/>
          <w:sz w:val="24"/>
        </w:rPr>
        <w:t> </w:t>
      </w:r>
      <w:r>
        <w:rPr>
          <w:i/>
          <w:color w:val="231F20"/>
          <w:sz w:val="24"/>
        </w:rPr>
        <w:t>2021,</w:t>
      </w:r>
      <w:r>
        <w:rPr>
          <w:i/>
          <w:color w:val="231F20"/>
          <w:spacing w:val="-14"/>
          <w:sz w:val="24"/>
        </w:rPr>
        <w:t> </w:t>
      </w:r>
      <w:r>
        <w:rPr>
          <w:i/>
          <w:color w:val="231F20"/>
          <w:sz w:val="24"/>
        </w:rPr>
        <w:t>cette</w:t>
      </w:r>
      <w:r>
        <w:rPr>
          <w:i/>
          <w:color w:val="231F20"/>
          <w:spacing w:val="-14"/>
          <w:sz w:val="24"/>
        </w:rPr>
        <w:t> </w:t>
      </w:r>
      <w:r>
        <w:rPr>
          <w:i/>
          <w:color w:val="231F20"/>
          <w:sz w:val="24"/>
        </w:rPr>
        <w:t>somme</w:t>
      </w:r>
      <w:r>
        <w:rPr>
          <w:i/>
          <w:color w:val="231F20"/>
          <w:spacing w:val="-14"/>
          <w:sz w:val="24"/>
        </w:rPr>
        <w:t> </w:t>
      </w:r>
      <w:r>
        <w:rPr>
          <w:i/>
          <w:color w:val="231F20"/>
          <w:sz w:val="24"/>
        </w:rPr>
        <w:t>est attendue</w:t>
      </w:r>
      <w:r>
        <w:rPr>
          <w:i/>
          <w:color w:val="231F20"/>
          <w:spacing w:val="-3"/>
          <w:sz w:val="24"/>
        </w:rPr>
        <w:t> </w:t>
      </w:r>
      <w:r>
        <w:rPr>
          <w:i/>
          <w:color w:val="231F20"/>
          <w:sz w:val="24"/>
        </w:rPr>
        <w:t>à</w:t>
      </w:r>
      <w:r>
        <w:rPr>
          <w:i/>
          <w:color w:val="231F20"/>
          <w:spacing w:val="-3"/>
          <w:sz w:val="24"/>
        </w:rPr>
        <w:t> </w:t>
      </w:r>
      <w:r>
        <w:rPr>
          <w:i/>
          <w:color w:val="231F20"/>
          <w:sz w:val="24"/>
        </w:rPr>
        <w:t>2132,7</w:t>
      </w:r>
      <w:r>
        <w:rPr>
          <w:i/>
          <w:color w:val="231F20"/>
          <w:spacing w:val="-3"/>
          <w:sz w:val="24"/>
        </w:rPr>
        <w:t> </w:t>
      </w:r>
      <w:r>
        <w:rPr>
          <w:i/>
          <w:color w:val="231F20"/>
          <w:sz w:val="24"/>
        </w:rPr>
        <w:t>milliards</w:t>
      </w:r>
      <w:r>
        <w:rPr>
          <w:i/>
          <w:color w:val="231F20"/>
          <w:spacing w:val="-3"/>
          <w:sz w:val="24"/>
        </w:rPr>
        <w:t> </w:t>
      </w:r>
      <w:r>
        <w:rPr>
          <w:i/>
          <w:color w:val="231F20"/>
          <w:sz w:val="24"/>
        </w:rPr>
        <w:t>FCFA,</w:t>
      </w:r>
      <w:r>
        <w:rPr>
          <w:i/>
          <w:color w:val="231F20"/>
          <w:spacing w:val="-3"/>
          <w:sz w:val="24"/>
        </w:rPr>
        <w:t> </w:t>
      </w:r>
      <w:r>
        <w:rPr>
          <w:i/>
          <w:color w:val="231F20"/>
          <w:sz w:val="24"/>
        </w:rPr>
        <w:t>dont</w:t>
      </w:r>
      <w:r>
        <w:rPr>
          <w:i/>
          <w:color w:val="231F20"/>
          <w:spacing w:val="-3"/>
          <w:sz w:val="24"/>
        </w:rPr>
        <w:t> </w:t>
      </w:r>
      <w:r>
        <w:rPr>
          <w:i/>
          <w:color w:val="231F20"/>
          <w:sz w:val="24"/>
        </w:rPr>
        <w:t>1072</w:t>
      </w:r>
      <w:r>
        <w:rPr>
          <w:i/>
          <w:color w:val="231F20"/>
          <w:spacing w:val="-3"/>
          <w:sz w:val="24"/>
        </w:rPr>
        <w:t> </w:t>
      </w:r>
      <w:r>
        <w:rPr>
          <w:i/>
          <w:color w:val="231F20"/>
          <w:sz w:val="24"/>
        </w:rPr>
        <w:t>milliards</w:t>
      </w:r>
      <w:r>
        <w:rPr>
          <w:i/>
          <w:color w:val="231F20"/>
          <w:spacing w:val="-3"/>
          <w:sz w:val="24"/>
        </w:rPr>
        <w:t> </w:t>
      </w:r>
      <w:r>
        <w:rPr>
          <w:i/>
          <w:color w:val="231F20"/>
          <w:sz w:val="24"/>
        </w:rPr>
        <w:t>FCFA</w:t>
      </w:r>
      <w:r>
        <w:rPr>
          <w:i/>
          <w:color w:val="231F20"/>
          <w:spacing w:val="-3"/>
          <w:sz w:val="24"/>
        </w:rPr>
        <w:t> </w:t>
      </w:r>
      <w:r>
        <w:rPr>
          <w:i/>
          <w:color w:val="231F20"/>
          <w:sz w:val="24"/>
        </w:rPr>
        <w:t>de</w:t>
      </w:r>
      <w:r>
        <w:rPr>
          <w:i/>
          <w:color w:val="231F20"/>
          <w:spacing w:val="-3"/>
          <w:sz w:val="24"/>
        </w:rPr>
        <w:t> </w:t>
      </w:r>
      <w:r>
        <w:rPr>
          <w:i/>
          <w:color w:val="231F20"/>
          <w:sz w:val="24"/>
        </w:rPr>
        <w:t>dette intérieure et presque le même pour les créanciers extérieurs. Cela </w:t>
      </w:r>
      <w:r>
        <w:rPr>
          <w:i/>
          <w:color w:val="231F20"/>
          <w:spacing w:val="-4"/>
          <w:sz w:val="24"/>
        </w:rPr>
        <w:t>représente 54% des ressources budgétaires internes collectées par l'État. </w:t>
      </w:r>
      <w:r>
        <w:rPr>
          <w:i/>
          <w:color w:val="231F20"/>
          <w:sz w:val="24"/>
        </w:rPr>
        <w:t>Une</w:t>
      </w:r>
      <w:r>
        <w:rPr>
          <w:i/>
          <w:color w:val="231F20"/>
          <w:spacing w:val="-12"/>
          <w:sz w:val="24"/>
        </w:rPr>
        <w:t> </w:t>
      </w:r>
      <w:r>
        <w:rPr>
          <w:i/>
          <w:color w:val="231F20"/>
          <w:sz w:val="24"/>
        </w:rPr>
        <w:t>pression</w:t>
      </w:r>
      <w:r>
        <w:rPr>
          <w:i/>
          <w:color w:val="231F20"/>
          <w:spacing w:val="-14"/>
          <w:sz w:val="24"/>
        </w:rPr>
        <w:t> </w:t>
      </w:r>
      <w:r>
        <w:rPr>
          <w:i/>
          <w:color w:val="231F20"/>
          <w:sz w:val="24"/>
        </w:rPr>
        <w:t>supplémentaire</w:t>
      </w:r>
      <w:r>
        <w:rPr>
          <w:i/>
          <w:color w:val="231F20"/>
          <w:spacing w:val="-14"/>
          <w:sz w:val="24"/>
        </w:rPr>
        <w:t> </w:t>
      </w:r>
      <w:r>
        <w:rPr>
          <w:i/>
          <w:color w:val="231F20"/>
          <w:sz w:val="24"/>
        </w:rPr>
        <w:t>sur</w:t>
      </w:r>
      <w:r>
        <w:rPr>
          <w:i/>
          <w:color w:val="231F20"/>
          <w:spacing w:val="-14"/>
          <w:sz w:val="24"/>
        </w:rPr>
        <w:t> </w:t>
      </w:r>
      <w:r>
        <w:rPr>
          <w:i/>
          <w:color w:val="231F20"/>
          <w:sz w:val="24"/>
        </w:rPr>
        <w:t>la</w:t>
      </w:r>
      <w:r>
        <w:rPr>
          <w:i/>
          <w:color w:val="231F20"/>
          <w:spacing w:val="-14"/>
          <w:sz w:val="24"/>
        </w:rPr>
        <w:t> </w:t>
      </w:r>
      <w:r>
        <w:rPr>
          <w:i/>
          <w:color w:val="231F20"/>
          <w:sz w:val="24"/>
        </w:rPr>
        <w:t>dette</w:t>
      </w:r>
      <w:r>
        <w:rPr>
          <w:i/>
          <w:color w:val="231F20"/>
          <w:spacing w:val="-14"/>
          <w:sz w:val="24"/>
        </w:rPr>
        <w:t> </w:t>
      </w:r>
      <w:r>
        <w:rPr>
          <w:i/>
          <w:color w:val="231F20"/>
          <w:sz w:val="24"/>
        </w:rPr>
        <w:t>publique</w:t>
      </w:r>
      <w:r>
        <w:rPr>
          <w:i/>
          <w:color w:val="231F20"/>
          <w:spacing w:val="-14"/>
          <w:sz w:val="24"/>
        </w:rPr>
        <w:t> </w:t>
      </w:r>
      <w:r>
        <w:rPr>
          <w:i/>
          <w:color w:val="231F20"/>
          <w:sz w:val="24"/>
        </w:rPr>
        <w:t>pourrait</w:t>
      </w:r>
      <w:r>
        <w:rPr>
          <w:i/>
          <w:color w:val="231F20"/>
          <w:spacing w:val="-13"/>
          <w:sz w:val="24"/>
        </w:rPr>
        <w:t> </w:t>
      </w:r>
      <w:r>
        <w:rPr>
          <w:i/>
          <w:color w:val="231F20"/>
          <w:sz w:val="24"/>
        </w:rPr>
        <w:t>peser</w:t>
      </w:r>
      <w:r>
        <w:rPr>
          <w:i/>
          <w:color w:val="231F20"/>
          <w:spacing w:val="-14"/>
          <w:sz w:val="24"/>
        </w:rPr>
        <w:t> </w:t>
      </w:r>
      <w:r>
        <w:rPr>
          <w:i/>
          <w:color w:val="231F20"/>
          <w:sz w:val="24"/>
        </w:rPr>
        <w:t>sur</w:t>
      </w:r>
      <w:r>
        <w:rPr>
          <w:i/>
          <w:color w:val="231F20"/>
          <w:spacing w:val="-14"/>
          <w:sz w:val="24"/>
        </w:rPr>
        <w:t> </w:t>
      </w:r>
      <w:r>
        <w:rPr>
          <w:i/>
          <w:color w:val="231F20"/>
          <w:sz w:val="24"/>
        </w:rPr>
        <w:t>la dette globale du pays. </w:t>
      </w:r>
      <w:r>
        <w:rPr>
          <w:color w:val="231F20"/>
          <w:sz w:val="24"/>
          <w:vertAlign w:val="superscript"/>
        </w:rPr>
        <w:t>218</w:t>
      </w:r>
      <w:r>
        <w:rPr>
          <w:color w:val="231F20"/>
          <w:sz w:val="24"/>
          <w:vertAlign w:val="baseline"/>
        </w:rPr>
        <w:t> </w:t>
      </w:r>
      <w:r>
        <w:rPr>
          <w:i/>
          <w:color w:val="231F20"/>
          <w:sz w:val="24"/>
          <w:vertAlign w:val="baseline"/>
        </w:rPr>
        <w:t>».</w:t>
      </w:r>
    </w:p>
    <w:p>
      <w:pPr>
        <w:pStyle w:val="BodyText"/>
        <w:ind w:left="0"/>
        <w:jc w:val="left"/>
        <w:rPr>
          <w:i/>
          <w:sz w:val="20"/>
        </w:rPr>
      </w:pPr>
    </w:p>
    <w:p>
      <w:pPr>
        <w:pStyle w:val="BodyText"/>
        <w:spacing w:before="147"/>
        <w:ind w:left="0"/>
        <w:jc w:val="left"/>
        <w:rPr>
          <w:i/>
          <w:sz w:val="20"/>
        </w:rPr>
      </w:pPr>
      <w:r>
        <w:rPr/>
        <mc:AlternateContent>
          <mc:Choice Requires="wps">
            <w:drawing>
              <wp:anchor distT="0" distB="0" distL="0" distR="0" allowOverlap="1" layoutInCell="1" locked="0" behindDoc="1" simplePos="0" relativeHeight="487655424">
                <wp:simplePos x="0" y="0"/>
                <wp:positionH relativeFrom="page">
                  <wp:posOffset>629907</wp:posOffset>
                </wp:positionH>
                <wp:positionV relativeFrom="paragraph">
                  <wp:posOffset>254836</wp:posOffset>
                </wp:positionV>
                <wp:extent cx="1829435" cy="9525"/>
                <wp:effectExtent l="0" t="0" r="0" b="0"/>
                <wp:wrapTopAndBottom/>
                <wp:docPr id="161" name="Graphic 161"/>
                <wp:cNvGraphicFramePr>
                  <a:graphicFrameLocks/>
                </wp:cNvGraphicFramePr>
                <a:graphic>
                  <a:graphicData uri="http://schemas.microsoft.com/office/word/2010/wordprocessingShape">
                    <wps:wsp>
                      <wps:cNvPr id="161" name="Graphic 16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06588pt;width:144.020pt;height:.71994pt;mso-position-horizontal-relative:page;mso-position-vertical-relative:paragraph;z-index:-15661056;mso-wrap-distance-left:0;mso-wrap-distance-right:0" id="docshape159" filled="true" fillcolor="#231f20" stroked="false">
                <v:fill type="solid"/>
                <w10:wrap type="topAndBottom"/>
              </v:rect>
            </w:pict>
          </mc:Fallback>
        </mc:AlternateContent>
      </w:r>
    </w:p>
    <w:p>
      <w:pPr>
        <w:spacing w:before="91"/>
        <w:ind w:left="111" w:right="0" w:firstLine="0"/>
        <w:jc w:val="left"/>
        <w:rPr>
          <w:sz w:val="20"/>
        </w:rPr>
      </w:pPr>
      <w:r>
        <w:rPr>
          <w:color w:val="231F20"/>
          <w:spacing w:val="-2"/>
          <w:sz w:val="20"/>
          <w:vertAlign w:val="superscript"/>
        </w:rPr>
        <w:t>217</w:t>
      </w:r>
      <w:r>
        <w:rPr>
          <w:color w:val="231F20"/>
          <w:spacing w:val="-7"/>
          <w:sz w:val="20"/>
          <w:vertAlign w:val="baseline"/>
        </w:rPr>
        <w:t> </w:t>
      </w:r>
      <w:r>
        <w:rPr>
          <w:color w:val="231F20"/>
          <w:spacing w:val="-2"/>
          <w:sz w:val="20"/>
          <w:vertAlign w:val="baseline"/>
        </w:rPr>
        <w:t>Charles</w:t>
      </w:r>
      <w:r>
        <w:rPr>
          <w:color w:val="231F20"/>
          <w:spacing w:val="-10"/>
          <w:sz w:val="20"/>
          <w:vertAlign w:val="baseline"/>
        </w:rPr>
        <w:t> </w:t>
      </w:r>
      <w:r>
        <w:rPr>
          <w:color w:val="231F20"/>
          <w:spacing w:val="-2"/>
          <w:sz w:val="20"/>
          <w:vertAlign w:val="baseline"/>
        </w:rPr>
        <w:t>Koffi</w:t>
      </w:r>
      <w:r>
        <w:rPr>
          <w:color w:val="231F20"/>
          <w:spacing w:val="-8"/>
          <w:sz w:val="20"/>
          <w:vertAlign w:val="baseline"/>
        </w:rPr>
        <w:t> </w:t>
      </w:r>
      <w:r>
        <w:rPr>
          <w:color w:val="231F20"/>
          <w:spacing w:val="-2"/>
          <w:sz w:val="20"/>
          <w:vertAlign w:val="baseline"/>
        </w:rPr>
        <w:t>Diby,</w:t>
      </w:r>
      <w:r>
        <w:rPr>
          <w:color w:val="231F20"/>
          <w:spacing w:val="-8"/>
          <w:sz w:val="20"/>
          <w:vertAlign w:val="baseline"/>
        </w:rPr>
        <w:t> </w:t>
      </w:r>
      <w:r>
        <w:rPr>
          <w:color w:val="231F20"/>
          <w:spacing w:val="-2"/>
          <w:sz w:val="20"/>
          <w:vertAlign w:val="baseline"/>
        </w:rPr>
        <w:t>ministre</w:t>
      </w:r>
      <w:r>
        <w:rPr>
          <w:color w:val="231F20"/>
          <w:spacing w:val="-8"/>
          <w:sz w:val="20"/>
          <w:vertAlign w:val="baseline"/>
        </w:rPr>
        <w:t> </w:t>
      </w:r>
      <w:r>
        <w:rPr>
          <w:color w:val="231F20"/>
          <w:spacing w:val="-2"/>
          <w:sz w:val="20"/>
          <w:vertAlign w:val="baseline"/>
        </w:rPr>
        <w:t>de</w:t>
      </w:r>
      <w:r>
        <w:rPr>
          <w:color w:val="231F20"/>
          <w:spacing w:val="-9"/>
          <w:sz w:val="20"/>
          <w:vertAlign w:val="baseline"/>
        </w:rPr>
        <w:t> </w:t>
      </w:r>
      <w:r>
        <w:rPr>
          <w:color w:val="231F20"/>
          <w:spacing w:val="-2"/>
          <w:sz w:val="20"/>
          <w:vertAlign w:val="baseline"/>
        </w:rPr>
        <w:t>l`Économie</w:t>
      </w:r>
      <w:r>
        <w:rPr>
          <w:color w:val="231F20"/>
          <w:spacing w:val="-11"/>
          <w:sz w:val="20"/>
          <w:vertAlign w:val="baseline"/>
        </w:rPr>
        <w:t> </w:t>
      </w:r>
      <w:r>
        <w:rPr>
          <w:color w:val="231F20"/>
          <w:spacing w:val="-2"/>
          <w:sz w:val="20"/>
          <w:vertAlign w:val="baseline"/>
        </w:rPr>
        <w:t>et</w:t>
      </w:r>
      <w:r>
        <w:rPr>
          <w:color w:val="231F20"/>
          <w:spacing w:val="-10"/>
          <w:sz w:val="20"/>
          <w:vertAlign w:val="baseline"/>
        </w:rPr>
        <w:t> </w:t>
      </w:r>
      <w:r>
        <w:rPr>
          <w:color w:val="231F20"/>
          <w:spacing w:val="-2"/>
          <w:sz w:val="20"/>
          <w:vertAlign w:val="baseline"/>
        </w:rPr>
        <w:t>des</w:t>
      </w:r>
      <w:r>
        <w:rPr>
          <w:color w:val="231F20"/>
          <w:spacing w:val="-10"/>
          <w:sz w:val="20"/>
          <w:vertAlign w:val="baseline"/>
        </w:rPr>
        <w:t> </w:t>
      </w:r>
      <w:r>
        <w:rPr>
          <w:color w:val="231F20"/>
          <w:spacing w:val="-2"/>
          <w:sz w:val="20"/>
          <w:vertAlign w:val="baseline"/>
        </w:rPr>
        <w:t>finances,</w:t>
      </w:r>
      <w:r>
        <w:rPr>
          <w:color w:val="231F20"/>
          <w:spacing w:val="-9"/>
          <w:sz w:val="20"/>
          <w:vertAlign w:val="baseline"/>
        </w:rPr>
        <w:t> </w:t>
      </w:r>
      <w:r>
        <w:rPr>
          <w:color w:val="231F20"/>
          <w:spacing w:val="-2"/>
          <w:sz w:val="20"/>
          <w:vertAlign w:val="baseline"/>
        </w:rPr>
        <w:t>invité</w:t>
      </w:r>
      <w:r>
        <w:rPr>
          <w:color w:val="231F20"/>
          <w:spacing w:val="-8"/>
          <w:sz w:val="20"/>
          <w:vertAlign w:val="baseline"/>
        </w:rPr>
        <w:t> </w:t>
      </w:r>
      <w:r>
        <w:rPr>
          <w:color w:val="231F20"/>
          <w:spacing w:val="-2"/>
          <w:sz w:val="20"/>
          <w:vertAlign w:val="baseline"/>
        </w:rPr>
        <w:t>du</w:t>
      </w:r>
      <w:r>
        <w:rPr>
          <w:color w:val="231F20"/>
          <w:spacing w:val="-11"/>
          <w:sz w:val="20"/>
          <w:vertAlign w:val="baseline"/>
        </w:rPr>
        <w:t> </w:t>
      </w:r>
      <w:r>
        <w:rPr>
          <w:color w:val="231F20"/>
          <w:spacing w:val="-2"/>
          <w:sz w:val="20"/>
          <w:vertAlign w:val="baseline"/>
        </w:rPr>
        <w:t>20</w:t>
      </w:r>
      <w:r>
        <w:rPr>
          <w:color w:val="231F20"/>
          <w:spacing w:val="-10"/>
          <w:sz w:val="20"/>
          <w:vertAlign w:val="baseline"/>
        </w:rPr>
        <w:t> </w:t>
      </w:r>
      <w:r>
        <w:rPr>
          <w:color w:val="231F20"/>
          <w:spacing w:val="-2"/>
          <w:sz w:val="20"/>
          <w:vertAlign w:val="baseline"/>
        </w:rPr>
        <w:t>heures</w:t>
      </w:r>
      <w:r>
        <w:rPr>
          <w:color w:val="231F20"/>
          <w:spacing w:val="-10"/>
          <w:sz w:val="20"/>
          <w:vertAlign w:val="baseline"/>
        </w:rPr>
        <w:t> </w:t>
      </w:r>
      <w:r>
        <w:rPr>
          <w:color w:val="231F20"/>
          <w:spacing w:val="-2"/>
          <w:sz w:val="20"/>
          <w:vertAlign w:val="baseline"/>
        </w:rPr>
        <w:t>de</w:t>
      </w:r>
      <w:r>
        <w:rPr>
          <w:color w:val="231F20"/>
          <w:spacing w:val="-8"/>
          <w:sz w:val="20"/>
          <w:vertAlign w:val="baseline"/>
        </w:rPr>
        <w:t> </w:t>
      </w:r>
      <w:r>
        <w:rPr>
          <w:color w:val="231F20"/>
          <w:spacing w:val="-2"/>
          <w:sz w:val="20"/>
          <w:vertAlign w:val="baseline"/>
        </w:rPr>
        <w:t>la </w:t>
      </w:r>
      <w:r>
        <w:rPr>
          <w:color w:val="231F20"/>
          <w:sz w:val="20"/>
          <w:vertAlign w:val="baseline"/>
        </w:rPr>
        <w:t>télévision première chaîne</w:t>
      </w:r>
      <w:r>
        <w:rPr>
          <w:color w:val="231F20"/>
          <w:spacing w:val="-1"/>
          <w:sz w:val="20"/>
          <w:vertAlign w:val="baseline"/>
        </w:rPr>
        <w:t> </w:t>
      </w:r>
      <w:r>
        <w:rPr>
          <w:color w:val="231F20"/>
          <w:sz w:val="20"/>
          <w:vertAlign w:val="baseline"/>
        </w:rPr>
        <w:t>le lundi</w:t>
      </w:r>
      <w:r>
        <w:rPr>
          <w:color w:val="231F20"/>
          <w:spacing w:val="-1"/>
          <w:sz w:val="20"/>
          <w:vertAlign w:val="baseline"/>
        </w:rPr>
        <w:t> </w:t>
      </w:r>
      <w:r>
        <w:rPr>
          <w:color w:val="231F20"/>
          <w:sz w:val="20"/>
          <w:vertAlign w:val="baseline"/>
        </w:rPr>
        <w:t>4 juin 2012.</w:t>
      </w:r>
    </w:p>
    <w:p>
      <w:pPr>
        <w:spacing w:before="1"/>
        <w:ind w:left="111" w:right="0" w:firstLine="0"/>
        <w:jc w:val="left"/>
        <w:rPr>
          <w:sz w:val="20"/>
        </w:rPr>
      </w:pPr>
      <w:r>
        <w:rPr>
          <w:color w:val="231F20"/>
          <w:spacing w:val="-4"/>
          <w:sz w:val="20"/>
          <w:vertAlign w:val="superscript"/>
        </w:rPr>
        <w:t>218</w:t>
      </w:r>
      <w:r>
        <w:rPr>
          <w:color w:val="231F20"/>
          <w:spacing w:val="2"/>
          <w:sz w:val="20"/>
          <w:vertAlign w:val="baseline"/>
        </w:rPr>
        <w:t> </w:t>
      </w:r>
      <w:r>
        <w:rPr>
          <w:color w:val="231F20"/>
          <w:spacing w:val="-4"/>
          <w:sz w:val="20"/>
          <w:vertAlign w:val="baseline"/>
        </w:rPr>
        <w:t>Idriss</w:t>
      </w:r>
      <w:r>
        <w:rPr>
          <w:color w:val="231F20"/>
          <w:spacing w:val="-2"/>
          <w:sz w:val="20"/>
          <w:vertAlign w:val="baseline"/>
        </w:rPr>
        <w:t> </w:t>
      </w:r>
      <w:r>
        <w:rPr>
          <w:color w:val="231F20"/>
          <w:spacing w:val="-4"/>
          <w:sz w:val="20"/>
          <w:vertAlign w:val="baseline"/>
        </w:rPr>
        <w:t>Linge,journaliste</w:t>
      </w:r>
      <w:r>
        <w:rPr>
          <w:color w:val="231F20"/>
          <w:spacing w:val="-3"/>
          <w:sz w:val="20"/>
          <w:vertAlign w:val="baseline"/>
        </w:rPr>
        <w:t> </w:t>
      </w:r>
      <w:r>
        <w:rPr>
          <w:color w:val="231F20"/>
          <w:spacing w:val="-4"/>
          <w:sz w:val="20"/>
          <w:vertAlign w:val="baseline"/>
        </w:rPr>
        <w:t>chef</w:t>
      </w:r>
      <w:r>
        <w:rPr>
          <w:color w:val="231F20"/>
          <w:spacing w:val="-2"/>
          <w:sz w:val="20"/>
          <w:vertAlign w:val="baseline"/>
        </w:rPr>
        <w:t> </w:t>
      </w:r>
      <w:r>
        <w:rPr>
          <w:color w:val="231F20"/>
          <w:spacing w:val="-4"/>
          <w:sz w:val="20"/>
          <w:vertAlign w:val="baseline"/>
        </w:rPr>
        <w:t>de</w:t>
      </w:r>
      <w:r>
        <w:rPr>
          <w:color w:val="231F20"/>
          <w:spacing w:val="-3"/>
          <w:sz w:val="20"/>
          <w:vertAlign w:val="baseline"/>
        </w:rPr>
        <w:t> </w:t>
      </w:r>
      <w:r>
        <w:rPr>
          <w:color w:val="231F20"/>
          <w:spacing w:val="-4"/>
          <w:sz w:val="20"/>
          <w:vertAlign w:val="baseline"/>
        </w:rPr>
        <w:t>la rubrique</w:t>
      </w:r>
      <w:r>
        <w:rPr>
          <w:color w:val="231F20"/>
          <w:sz w:val="20"/>
          <w:vertAlign w:val="baseline"/>
        </w:rPr>
        <w:t> </w:t>
      </w:r>
      <w:r>
        <w:rPr>
          <w:color w:val="231F20"/>
          <w:spacing w:val="-4"/>
          <w:sz w:val="20"/>
          <w:vertAlign w:val="baseline"/>
        </w:rPr>
        <w:t>Finance</w:t>
      </w:r>
      <w:r>
        <w:rPr>
          <w:color w:val="231F20"/>
          <w:spacing w:val="-3"/>
          <w:sz w:val="20"/>
          <w:vertAlign w:val="baseline"/>
        </w:rPr>
        <w:t> </w:t>
      </w:r>
      <w:r>
        <w:rPr>
          <w:color w:val="231F20"/>
          <w:spacing w:val="-4"/>
          <w:sz w:val="20"/>
          <w:vertAlign w:val="baseline"/>
        </w:rPr>
        <w:t>de l’Agence</w:t>
      </w:r>
      <w:r>
        <w:rPr>
          <w:color w:val="231F20"/>
          <w:sz w:val="20"/>
          <w:vertAlign w:val="baseline"/>
        </w:rPr>
        <w:t> </w:t>
      </w:r>
      <w:r>
        <w:rPr>
          <w:color w:val="231F20"/>
          <w:spacing w:val="-4"/>
          <w:sz w:val="20"/>
          <w:vertAlign w:val="baseline"/>
        </w:rPr>
        <w:t>Ecofin.</w:t>
      </w:r>
    </w:p>
    <w:p>
      <w:pPr>
        <w:spacing w:after="0"/>
        <w:jc w:val="left"/>
        <w:rPr>
          <w:sz w:val="20"/>
        </w:rPr>
        <w:sectPr>
          <w:pgSz w:w="8790" w:h="13610"/>
          <w:pgMar w:header="0" w:footer="802" w:top="1060" w:bottom="1000" w:left="880" w:right="880"/>
        </w:sectPr>
      </w:pPr>
    </w:p>
    <w:p>
      <w:pPr>
        <w:pStyle w:val="BodyText"/>
        <w:spacing w:before="66"/>
        <w:ind w:right="104" w:firstLine="283"/>
      </w:pPr>
      <w:r>
        <w:rPr>
          <w:color w:val="231F20"/>
          <w:spacing w:val="-2"/>
        </w:rPr>
        <w:t>L’endettement</w:t>
      </w:r>
      <w:r>
        <w:rPr>
          <w:color w:val="231F20"/>
          <w:spacing w:val="-10"/>
        </w:rPr>
        <w:t> </w:t>
      </w:r>
      <w:r>
        <w:rPr>
          <w:color w:val="231F20"/>
          <w:spacing w:val="-2"/>
        </w:rPr>
        <w:t>plombe</w:t>
      </w:r>
      <w:r>
        <w:rPr>
          <w:color w:val="231F20"/>
          <w:spacing w:val="-11"/>
        </w:rPr>
        <w:t> </w:t>
      </w:r>
      <w:r>
        <w:rPr>
          <w:color w:val="231F20"/>
          <w:spacing w:val="-2"/>
        </w:rPr>
        <w:t>la</w:t>
      </w:r>
      <w:r>
        <w:rPr>
          <w:color w:val="231F20"/>
          <w:spacing w:val="-13"/>
        </w:rPr>
        <w:t> </w:t>
      </w:r>
      <w:r>
        <w:rPr>
          <w:color w:val="231F20"/>
          <w:spacing w:val="-2"/>
        </w:rPr>
        <w:t>capacité</w:t>
      </w:r>
      <w:r>
        <w:rPr>
          <w:color w:val="231F20"/>
          <w:spacing w:val="-9"/>
        </w:rPr>
        <w:t> </w:t>
      </w:r>
      <w:r>
        <w:rPr>
          <w:color w:val="231F20"/>
          <w:spacing w:val="-2"/>
        </w:rPr>
        <w:t>de</w:t>
      </w:r>
      <w:r>
        <w:rPr>
          <w:color w:val="231F20"/>
          <w:spacing w:val="-11"/>
        </w:rPr>
        <w:t> </w:t>
      </w:r>
      <w:r>
        <w:rPr>
          <w:color w:val="231F20"/>
          <w:spacing w:val="-2"/>
        </w:rPr>
        <w:t>l’État</w:t>
      </w:r>
      <w:r>
        <w:rPr>
          <w:color w:val="231F20"/>
          <w:spacing w:val="-10"/>
        </w:rPr>
        <w:t> </w:t>
      </w:r>
      <w:r>
        <w:rPr>
          <w:color w:val="231F20"/>
          <w:spacing w:val="-2"/>
        </w:rPr>
        <w:t>ivoirien</w:t>
      </w:r>
      <w:r>
        <w:rPr>
          <w:color w:val="231F20"/>
          <w:spacing w:val="-10"/>
        </w:rPr>
        <w:t> </w:t>
      </w:r>
      <w:r>
        <w:rPr>
          <w:color w:val="231F20"/>
          <w:spacing w:val="-2"/>
        </w:rPr>
        <w:t>à</w:t>
      </w:r>
      <w:r>
        <w:rPr>
          <w:color w:val="231F20"/>
          <w:spacing w:val="-12"/>
        </w:rPr>
        <w:t> </w:t>
      </w:r>
      <w:r>
        <w:rPr>
          <w:color w:val="231F20"/>
          <w:spacing w:val="-2"/>
        </w:rPr>
        <w:t>investir</w:t>
      </w:r>
      <w:r>
        <w:rPr>
          <w:color w:val="231F20"/>
          <w:spacing w:val="-11"/>
        </w:rPr>
        <w:t> </w:t>
      </w:r>
      <w:r>
        <w:rPr>
          <w:color w:val="231F20"/>
          <w:spacing w:val="-2"/>
        </w:rPr>
        <w:t>dans</w:t>
      </w:r>
      <w:r>
        <w:rPr>
          <w:color w:val="231F20"/>
          <w:spacing w:val="-13"/>
        </w:rPr>
        <w:t> </w:t>
      </w:r>
      <w:r>
        <w:rPr>
          <w:color w:val="231F20"/>
          <w:spacing w:val="-2"/>
        </w:rPr>
        <w:t>les secteurs</w:t>
      </w:r>
      <w:r>
        <w:rPr>
          <w:color w:val="231F20"/>
          <w:spacing w:val="-10"/>
        </w:rPr>
        <w:t> </w:t>
      </w:r>
      <w:r>
        <w:rPr>
          <w:color w:val="231F20"/>
          <w:spacing w:val="-2"/>
        </w:rPr>
        <w:t>luttant</w:t>
      </w:r>
      <w:r>
        <w:rPr>
          <w:color w:val="231F20"/>
          <w:spacing w:val="-9"/>
        </w:rPr>
        <w:t> </w:t>
      </w:r>
      <w:r>
        <w:rPr>
          <w:color w:val="231F20"/>
          <w:spacing w:val="-2"/>
        </w:rPr>
        <w:t>contre</w:t>
      </w:r>
      <w:r>
        <w:rPr>
          <w:color w:val="231F20"/>
          <w:spacing w:val="-8"/>
        </w:rPr>
        <w:t> </w:t>
      </w:r>
      <w:r>
        <w:rPr>
          <w:color w:val="231F20"/>
          <w:spacing w:val="-2"/>
        </w:rPr>
        <w:t>la</w:t>
      </w:r>
      <w:r>
        <w:rPr>
          <w:color w:val="231F20"/>
          <w:spacing w:val="-10"/>
        </w:rPr>
        <w:t> </w:t>
      </w:r>
      <w:r>
        <w:rPr>
          <w:color w:val="231F20"/>
          <w:spacing w:val="-2"/>
        </w:rPr>
        <w:t>pauvreté</w:t>
      </w:r>
      <w:r>
        <w:rPr>
          <w:color w:val="231F20"/>
          <w:spacing w:val="-8"/>
        </w:rPr>
        <w:t> </w:t>
      </w:r>
      <w:r>
        <w:rPr>
          <w:color w:val="231F20"/>
          <w:spacing w:val="-2"/>
        </w:rPr>
        <w:t>(éducation,</w:t>
      </w:r>
      <w:r>
        <w:rPr>
          <w:color w:val="231F20"/>
          <w:spacing w:val="-7"/>
        </w:rPr>
        <w:t> </w:t>
      </w:r>
      <w:r>
        <w:rPr>
          <w:color w:val="231F20"/>
          <w:spacing w:val="-2"/>
        </w:rPr>
        <w:t>santé,</w:t>
      </w:r>
      <w:r>
        <w:rPr>
          <w:color w:val="231F20"/>
          <w:spacing w:val="-8"/>
        </w:rPr>
        <w:t> </w:t>
      </w:r>
      <w:r>
        <w:rPr>
          <w:color w:val="231F20"/>
          <w:spacing w:val="-2"/>
        </w:rPr>
        <w:t>eau,</w:t>
      </w:r>
      <w:r>
        <w:rPr>
          <w:color w:val="231F20"/>
          <w:spacing w:val="-8"/>
        </w:rPr>
        <w:t> </w:t>
      </w:r>
      <w:r>
        <w:rPr>
          <w:color w:val="231F20"/>
          <w:spacing w:val="-2"/>
        </w:rPr>
        <w:t>assainissement, agriculture).</w:t>
      </w:r>
      <w:r>
        <w:rPr>
          <w:color w:val="231F20"/>
          <w:spacing w:val="-10"/>
        </w:rPr>
        <w:t> </w:t>
      </w:r>
      <w:r>
        <w:rPr>
          <w:color w:val="231F20"/>
          <w:spacing w:val="-2"/>
        </w:rPr>
        <w:t>Un</w:t>
      </w:r>
      <w:r>
        <w:rPr>
          <w:color w:val="231F20"/>
          <w:spacing w:val="-10"/>
        </w:rPr>
        <w:t> </w:t>
      </w:r>
      <w:r>
        <w:rPr>
          <w:color w:val="231F20"/>
          <w:spacing w:val="-2"/>
        </w:rPr>
        <w:t>secteur</w:t>
      </w:r>
      <w:r>
        <w:rPr>
          <w:color w:val="231F20"/>
          <w:spacing w:val="-10"/>
        </w:rPr>
        <w:t> </w:t>
      </w:r>
      <w:r>
        <w:rPr>
          <w:color w:val="231F20"/>
          <w:spacing w:val="-2"/>
        </w:rPr>
        <w:t>est</w:t>
      </w:r>
      <w:r>
        <w:rPr>
          <w:color w:val="231F20"/>
          <w:spacing w:val="-11"/>
        </w:rPr>
        <w:t> </w:t>
      </w:r>
      <w:r>
        <w:rPr>
          <w:color w:val="231F20"/>
          <w:spacing w:val="-2"/>
        </w:rPr>
        <w:t>néanmoins</w:t>
      </w:r>
      <w:r>
        <w:rPr>
          <w:color w:val="231F20"/>
          <w:spacing w:val="-12"/>
        </w:rPr>
        <w:t> </w:t>
      </w:r>
      <w:r>
        <w:rPr>
          <w:color w:val="231F20"/>
          <w:spacing w:val="-2"/>
        </w:rPr>
        <w:t>épargné,</w:t>
      </w:r>
      <w:r>
        <w:rPr>
          <w:color w:val="231F20"/>
          <w:spacing w:val="-12"/>
        </w:rPr>
        <w:t> </w:t>
      </w:r>
      <w:r>
        <w:rPr>
          <w:color w:val="231F20"/>
          <w:spacing w:val="-2"/>
        </w:rPr>
        <w:t>celui</w:t>
      </w:r>
      <w:r>
        <w:rPr>
          <w:color w:val="231F20"/>
          <w:spacing w:val="-10"/>
        </w:rPr>
        <w:t> </w:t>
      </w:r>
      <w:r>
        <w:rPr>
          <w:color w:val="231F20"/>
          <w:spacing w:val="-2"/>
        </w:rPr>
        <w:t>des</w:t>
      </w:r>
      <w:r>
        <w:rPr>
          <w:color w:val="231F20"/>
          <w:spacing w:val="-12"/>
        </w:rPr>
        <w:t> </w:t>
      </w:r>
      <w:r>
        <w:rPr>
          <w:color w:val="231F20"/>
          <w:spacing w:val="-2"/>
        </w:rPr>
        <w:t>infrastructures. </w:t>
      </w:r>
      <w:r>
        <w:rPr>
          <w:color w:val="231F20"/>
          <w:spacing w:val="-4"/>
        </w:rPr>
        <w:t>Bénéficiant</w:t>
      </w:r>
      <w:r>
        <w:rPr>
          <w:color w:val="231F20"/>
          <w:spacing w:val="-11"/>
        </w:rPr>
        <w:t> </w:t>
      </w:r>
      <w:r>
        <w:rPr>
          <w:color w:val="231F20"/>
          <w:spacing w:val="-4"/>
        </w:rPr>
        <w:t>du</w:t>
      </w:r>
      <w:r>
        <w:rPr>
          <w:color w:val="231F20"/>
          <w:spacing w:val="-11"/>
        </w:rPr>
        <w:t> </w:t>
      </w:r>
      <w:r>
        <w:rPr>
          <w:color w:val="231F20"/>
          <w:spacing w:val="-4"/>
        </w:rPr>
        <w:t>travail</w:t>
      </w:r>
      <w:r>
        <w:rPr>
          <w:color w:val="231F20"/>
          <w:spacing w:val="-11"/>
        </w:rPr>
        <w:t> </w:t>
      </w:r>
      <w:r>
        <w:rPr>
          <w:color w:val="231F20"/>
          <w:spacing w:val="-4"/>
        </w:rPr>
        <w:t>réalisé</w:t>
      </w:r>
      <w:r>
        <w:rPr>
          <w:color w:val="231F20"/>
          <w:spacing w:val="-11"/>
        </w:rPr>
        <w:t> </w:t>
      </w:r>
      <w:r>
        <w:rPr>
          <w:color w:val="231F20"/>
          <w:spacing w:val="-4"/>
        </w:rPr>
        <w:t>d’abord</w:t>
      </w:r>
      <w:r>
        <w:rPr>
          <w:color w:val="231F20"/>
          <w:spacing w:val="-11"/>
        </w:rPr>
        <w:t> </w:t>
      </w:r>
      <w:r>
        <w:rPr>
          <w:color w:val="231F20"/>
          <w:spacing w:val="-4"/>
        </w:rPr>
        <w:t>par</w:t>
      </w:r>
      <w:r>
        <w:rPr>
          <w:color w:val="231F20"/>
          <w:spacing w:val="-11"/>
        </w:rPr>
        <w:t> </w:t>
      </w:r>
      <w:r>
        <w:rPr>
          <w:color w:val="231F20"/>
          <w:spacing w:val="-4"/>
        </w:rPr>
        <w:t>Henri</w:t>
      </w:r>
      <w:r>
        <w:rPr>
          <w:color w:val="231F20"/>
          <w:spacing w:val="-11"/>
        </w:rPr>
        <w:t> </w:t>
      </w:r>
      <w:r>
        <w:rPr>
          <w:color w:val="231F20"/>
          <w:spacing w:val="-4"/>
        </w:rPr>
        <w:t>Konan</w:t>
      </w:r>
      <w:r>
        <w:rPr>
          <w:color w:val="231F20"/>
          <w:spacing w:val="-11"/>
        </w:rPr>
        <w:t> </w:t>
      </w:r>
      <w:r>
        <w:rPr>
          <w:color w:val="231F20"/>
          <w:spacing w:val="-4"/>
        </w:rPr>
        <w:t>Bédié</w:t>
      </w:r>
      <w:r>
        <w:rPr>
          <w:color w:val="231F20"/>
          <w:spacing w:val="-4"/>
          <w:vertAlign w:val="superscript"/>
        </w:rPr>
        <w:t>219</w:t>
      </w:r>
      <w:r>
        <w:rPr>
          <w:color w:val="231F20"/>
          <w:spacing w:val="-4"/>
          <w:vertAlign w:val="baseline"/>
        </w:rPr>
        <w:t>,</w:t>
      </w:r>
      <w:r>
        <w:rPr>
          <w:color w:val="231F20"/>
          <w:spacing w:val="-9"/>
          <w:vertAlign w:val="baseline"/>
        </w:rPr>
        <w:t> </w:t>
      </w:r>
      <w:r>
        <w:rPr>
          <w:color w:val="231F20"/>
          <w:spacing w:val="-4"/>
          <w:vertAlign w:val="baseline"/>
        </w:rPr>
        <w:t>poursuivi par</w:t>
      </w:r>
      <w:r>
        <w:rPr>
          <w:color w:val="231F20"/>
          <w:spacing w:val="-9"/>
          <w:vertAlign w:val="baseline"/>
        </w:rPr>
        <w:t> </w:t>
      </w:r>
      <w:r>
        <w:rPr>
          <w:color w:val="231F20"/>
          <w:spacing w:val="-4"/>
          <w:vertAlign w:val="baseline"/>
        </w:rPr>
        <w:t>Laurent</w:t>
      </w:r>
      <w:r>
        <w:rPr>
          <w:color w:val="231F20"/>
          <w:spacing w:val="-9"/>
          <w:vertAlign w:val="baseline"/>
        </w:rPr>
        <w:t> </w:t>
      </w:r>
      <w:r>
        <w:rPr>
          <w:color w:val="231F20"/>
          <w:spacing w:val="-4"/>
          <w:vertAlign w:val="baseline"/>
        </w:rPr>
        <w:t>Gbagbo</w:t>
      </w:r>
      <w:r>
        <w:rPr>
          <w:color w:val="231F20"/>
          <w:spacing w:val="-9"/>
          <w:vertAlign w:val="baseline"/>
        </w:rPr>
        <w:t> </w:t>
      </w:r>
      <w:r>
        <w:rPr>
          <w:color w:val="231F20"/>
          <w:spacing w:val="-4"/>
          <w:vertAlign w:val="baseline"/>
        </w:rPr>
        <w:t>avant</w:t>
      </w:r>
      <w:r>
        <w:rPr>
          <w:color w:val="231F20"/>
          <w:spacing w:val="-11"/>
          <w:vertAlign w:val="baseline"/>
        </w:rPr>
        <w:t> </w:t>
      </w:r>
      <w:r>
        <w:rPr>
          <w:color w:val="231F20"/>
          <w:spacing w:val="-4"/>
          <w:vertAlign w:val="baseline"/>
        </w:rPr>
        <w:t>2011,</w:t>
      </w:r>
      <w:r>
        <w:rPr>
          <w:color w:val="231F20"/>
          <w:spacing w:val="-9"/>
          <w:vertAlign w:val="baseline"/>
        </w:rPr>
        <w:t> </w:t>
      </w:r>
      <w:r>
        <w:rPr>
          <w:color w:val="231F20"/>
          <w:spacing w:val="-4"/>
          <w:vertAlign w:val="baseline"/>
        </w:rPr>
        <w:t>Alassane</w:t>
      </w:r>
      <w:r>
        <w:rPr>
          <w:color w:val="231F20"/>
          <w:spacing w:val="-9"/>
          <w:vertAlign w:val="baseline"/>
        </w:rPr>
        <w:t> </w:t>
      </w:r>
      <w:r>
        <w:rPr>
          <w:color w:val="231F20"/>
          <w:spacing w:val="-4"/>
          <w:vertAlign w:val="baseline"/>
        </w:rPr>
        <w:t>Ouattara</w:t>
      </w:r>
      <w:r>
        <w:rPr>
          <w:color w:val="231F20"/>
          <w:spacing w:val="-11"/>
          <w:vertAlign w:val="baseline"/>
        </w:rPr>
        <w:t> </w:t>
      </w:r>
      <w:r>
        <w:rPr>
          <w:color w:val="231F20"/>
          <w:spacing w:val="-4"/>
          <w:vertAlign w:val="baseline"/>
        </w:rPr>
        <w:t>a</w:t>
      </w:r>
      <w:r>
        <w:rPr>
          <w:color w:val="231F20"/>
          <w:vertAlign w:val="baseline"/>
        </w:rPr>
        <w:t> </w:t>
      </w:r>
      <w:r>
        <w:rPr>
          <w:color w:val="231F20"/>
          <w:spacing w:val="-4"/>
          <w:vertAlign w:val="baseline"/>
        </w:rPr>
        <w:t>lancé</w:t>
      </w:r>
      <w:r>
        <w:rPr>
          <w:color w:val="231F20"/>
          <w:spacing w:val="-9"/>
          <w:vertAlign w:val="baseline"/>
        </w:rPr>
        <w:t> </w:t>
      </w:r>
      <w:r>
        <w:rPr>
          <w:color w:val="231F20"/>
          <w:spacing w:val="-4"/>
          <w:vertAlign w:val="baseline"/>
        </w:rPr>
        <w:t>et/ou</w:t>
      </w:r>
      <w:r>
        <w:rPr>
          <w:color w:val="231F20"/>
          <w:spacing w:val="-10"/>
          <w:vertAlign w:val="baseline"/>
        </w:rPr>
        <w:t> </w:t>
      </w:r>
      <w:r>
        <w:rPr>
          <w:color w:val="231F20"/>
          <w:spacing w:val="-4"/>
          <w:vertAlign w:val="baseline"/>
        </w:rPr>
        <w:t>inauguré </w:t>
      </w:r>
      <w:r>
        <w:rPr>
          <w:color w:val="231F20"/>
          <w:spacing w:val="-2"/>
          <w:vertAlign w:val="baseline"/>
        </w:rPr>
        <w:t>de</w:t>
      </w:r>
      <w:r>
        <w:rPr>
          <w:color w:val="231F20"/>
          <w:spacing w:val="-15"/>
          <w:vertAlign w:val="baseline"/>
        </w:rPr>
        <w:t> </w:t>
      </w:r>
      <w:r>
        <w:rPr>
          <w:color w:val="231F20"/>
          <w:spacing w:val="-2"/>
          <w:vertAlign w:val="baseline"/>
        </w:rPr>
        <w:t>vastes</w:t>
      </w:r>
      <w:r>
        <w:rPr>
          <w:color w:val="231F20"/>
          <w:spacing w:val="-13"/>
          <w:vertAlign w:val="baseline"/>
        </w:rPr>
        <w:t> </w:t>
      </w:r>
      <w:r>
        <w:rPr>
          <w:color w:val="231F20"/>
          <w:spacing w:val="-2"/>
          <w:vertAlign w:val="baseline"/>
        </w:rPr>
        <w:t>chantiers</w:t>
      </w:r>
      <w:r>
        <w:rPr>
          <w:color w:val="231F20"/>
          <w:spacing w:val="-13"/>
          <w:vertAlign w:val="baseline"/>
        </w:rPr>
        <w:t> </w:t>
      </w:r>
      <w:r>
        <w:rPr>
          <w:color w:val="231F20"/>
          <w:spacing w:val="-2"/>
          <w:vertAlign w:val="baseline"/>
        </w:rPr>
        <w:t>infrastructurels.</w:t>
      </w:r>
      <w:r>
        <w:rPr>
          <w:color w:val="231F20"/>
          <w:spacing w:val="-13"/>
          <w:vertAlign w:val="baseline"/>
        </w:rPr>
        <w:t> </w:t>
      </w:r>
      <w:r>
        <w:rPr>
          <w:color w:val="231F20"/>
          <w:spacing w:val="-2"/>
          <w:vertAlign w:val="baseline"/>
        </w:rPr>
        <w:t>Les</w:t>
      </w:r>
      <w:r>
        <w:rPr>
          <w:color w:val="231F20"/>
          <w:spacing w:val="-13"/>
          <w:vertAlign w:val="baseline"/>
        </w:rPr>
        <w:t> </w:t>
      </w:r>
      <w:r>
        <w:rPr>
          <w:color w:val="231F20"/>
          <w:spacing w:val="-2"/>
          <w:vertAlign w:val="baseline"/>
        </w:rPr>
        <w:t>projets</w:t>
      </w:r>
      <w:r>
        <w:rPr>
          <w:color w:val="231F20"/>
          <w:spacing w:val="-13"/>
          <w:vertAlign w:val="baseline"/>
        </w:rPr>
        <w:t> </w:t>
      </w:r>
      <w:r>
        <w:rPr>
          <w:color w:val="231F20"/>
          <w:spacing w:val="-2"/>
          <w:vertAlign w:val="baseline"/>
        </w:rPr>
        <w:t>financés</w:t>
      </w:r>
      <w:r>
        <w:rPr>
          <w:color w:val="231F20"/>
          <w:spacing w:val="-13"/>
          <w:vertAlign w:val="baseline"/>
        </w:rPr>
        <w:t> </w:t>
      </w:r>
      <w:r>
        <w:rPr>
          <w:color w:val="231F20"/>
          <w:spacing w:val="-2"/>
          <w:vertAlign w:val="baseline"/>
        </w:rPr>
        <w:t>et/ou</w:t>
      </w:r>
      <w:r>
        <w:rPr>
          <w:color w:val="231F20"/>
          <w:spacing w:val="-13"/>
          <w:vertAlign w:val="baseline"/>
        </w:rPr>
        <w:t> </w:t>
      </w:r>
      <w:r>
        <w:rPr>
          <w:color w:val="231F20"/>
          <w:spacing w:val="-2"/>
          <w:vertAlign w:val="baseline"/>
        </w:rPr>
        <w:t>réalisés</w:t>
      </w:r>
      <w:r>
        <w:rPr>
          <w:color w:val="231F20"/>
          <w:spacing w:val="-13"/>
          <w:vertAlign w:val="baseline"/>
        </w:rPr>
        <w:t> </w:t>
      </w:r>
      <w:r>
        <w:rPr>
          <w:color w:val="231F20"/>
          <w:spacing w:val="-2"/>
          <w:vertAlign w:val="baseline"/>
        </w:rPr>
        <w:t>par </w:t>
      </w:r>
      <w:r>
        <w:rPr>
          <w:color w:val="231F20"/>
          <w:vertAlign w:val="baseline"/>
        </w:rPr>
        <w:t>des</w:t>
      </w:r>
      <w:r>
        <w:rPr>
          <w:color w:val="231F20"/>
          <w:spacing w:val="-14"/>
          <w:vertAlign w:val="baseline"/>
        </w:rPr>
        <w:t> </w:t>
      </w:r>
      <w:r>
        <w:rPr>
          <w:color w:val="231F20"/>
          <w:vertAlign w:val="baseline"/>
        </w:rPr>
        <w:t>entreprises</w:t>
      </w:r>
      <w:r>
        <w:rPr>
          <w:color w:val="231F20"/>
          <w:spacing w:val="-14"/>
          <w:vertAlign w:val="baseline"/>
        </w:rPr>
        <w:t> </w:t>
      </w:r>
      <w:r>
        <w:rPr>
          <w:color w:val="231F20"/>
          <w:vertAlign w:val="baseline"/>
        </w:rPr>
        <w:t>chinoises,</w:t>
      </w:r>
      <w:r>
        <w:rPr>
          <w:color w:val="231F20"/>
          <w:spacing w:val="-15"/>
          <w:vertAlign w:val="baseline"/>
        </w:rPr>
        <w:t> </w:t>
      </w:r>
      <w:r>
        <w:rPr>
          <w:color w:val="231F20"/>
          <w:vertAlign w:val="baseline"/>
        </w:rPr>
        <w:t>avaient</w:t>
      </w:r>
      <w:r>
        <w:rPr>
          <w:color w:val="231F20"/>
          <w:spacing w:val="-14"/>
          <w:vertAlign w:val="baseline"/>
        </w:rPr>
        <w:t> </w:t>
      </w:r>
      <w:r>
        <w:rPr>
          <w:color w:val="231F20"/>
          <w:vertAlign w:val="baseline"/>
        </w:rPr>
        <w:t>été</w:t>
      </w:r>
      <w:r>
        <w:rPr>
          <w:color w:val="231F20"/>
          <w:spacing w:val="-14"/>
          <w:vertAlign w:val="baseline"/>
        </w:rPr>
        <w:t> </w:t>
      </w:r>
      <w:r>
        <w:rPr>
          <w:color w:val="231F20"/>
          <w:vertAlign w:val="baseline"/>
        </w:rPr>
        <w:t>négociés</w:t>
      </w:r>
      <w:r>
        <w:rPr>
          <w:color w:val="231F20"/>
          <w:spacing w:val="-14"/>
          <w:vertAlign w:val="baseline"/>
        </w:rPr>
        <w:t> </w:t>
      </w:r>
      <w:r>
        <w:rPr>
          <w:color w:val="231F20"/>
          <w:vertAlign w:val="baseline"/>
        </w:rPr>
        <w:t>par</w:t>
      </w:r>
      <w:r>
        <w:rPr>
          <w:color w:val="231F20"/>
          <w:spacing w:val="-14"/>
          <w:vertAlign w:val="baseline"/>
        </w:rPr>
        <w:t> </w:t>
      </w:r>
      <w:r>
        <w:rPr>
          <w:color w:val="231F20"/>
          <w:vertAlign w:val="baseline"/>
        </w:rPr>
        <w:t>Gbagbo</w:t>
      </w:r>
      <w:r>
        <w:rPr>
          <w:color w:val="231F20"/>
          <w:vertAlign w:val="superscript"/>
        </w:rPr>
        <w:t>220</w:t>
      </w:r>
      <w:r>
        <w:rPr>
          <w:color w:val="231F20"/>
          <w:vertAlign w:val="baseline"/>
        </w:rPr>
        <w:t>:</w:t>
      </w:r>
      <w:r>
        <w:rPr>
          <w:color w:val="231F20"/>
          <w:spacing w:val="-14"/>
          <w:vertAlign w:val="baseline"/>
        </w:rPr>
        <w:t> </w:t>
      </w:r>
      <w:r>
        <w:rPr>
          <w:color w:val="231F20"/>
          <w:vertAlign w:val="baseline"/>
        </w:rPr>
        <w:t>autoroute Abidjan-Bassam, barrage hydroélectrique de Soubré, cité olympique d’Ébimpé</w:t>
      </w:r>
      <w:r>
        <w:rPr>
          <w:color w:val="231F20"/>
          <w:spacing w:val="-8"/>
          <w:vertAlign w:val="baseline"/>
        </w:rPr>
        <w:t> </w:t>
      </w:r>
      <w:r>
        <w:rPr>
          <w:color w:val="231F20"/>
          <w:vertAlign w:val="baseline"/>
        </w:rPr>
        <w:t>(Anyama),</w:t>
      </w:r>
      <w:r>
        <w:rPr>
          <w:color w:val="231F20"/>
          <w:spacing w:val="-8"/>
          <w:vertAlign w:val="baseline"/>
        </w:rPr>
        <w:t> </w:t>
      </w:r>
      <w:r>
        <w:rPr>
          <w:color w:val="231F20"/>
          <w:vertAlign w:val="baseline"/>
        </w:rPr>
        <w:t>château</w:t>
      </w:r>
      <w:r>
        <w:rPr>
          <w:color w:val="231F20"/>
          <w:spacing w:val="-8"/>
          <w:vertAlign w:val="baseline"/>
        </w:rPr>
        <w:t> </w:t>
      </w:r>
      <w:r>
        <w:rPr>
          <w:color w:val="231F20"/>
          <w:vertAlign w:val="baseline"/>
        </w:rPr>
        <w:t>d’eau</w:t>
      </w:r>
      <w:r>
        <w:rPr>
          <w:color w:val="231F20"/>
          <w:spacing w:val="-10"/>
          <w:vertAlign w:val="baseline"/>
        </w:rPr>
        <w:t> </w:t>
      </w:r>
      <w:r>
        <w:rPr>
          <w:color w:val="231F20"/>
          <w:vertAlign w:val="baseline"/>
        </w:rPr>
        <w:t>de</w:t>
      </w:r>
      <w:r>
        <w:rPr>
          <w:color w:val="231F20"/>
          <w:spacing w:val="-8"/>
          <w:vertAlign w:val="baseline"/>
        </w:rPr>
        <w:t> </w:t>
      </w:r>
      <w:r>
        <w:rPr>
          <w:color w:val="231F20"/>
          <w:vertAlign w:val="baseline"/>
        </w:rPr>
        <w:t>Bonoua</w:t>
      </w:r>
      <w:r>
        <w:rPr>
          <w:color w:val="231F20"/>
          <w:spacing w:val="-10"/>
          <w:vertAlign w:val="baseline"/>
        </w:rPr>
        <w:t> </w:t>
      </w:r>
      <w:r>
        <w:rPr>
          <w:color w:val="231F20"/>
          <w:vertAlign w:val="baseline"/>
        </w:rPr>
        <w:t>pour</w:t>
      </w:r>
      <w:r>
        <w:rPr>
          <w:color w:val="231F20"/>
          <w:spacing w:val="-8"/>
          <w:vertAlign w:val="baseline"/>
        </w:rPr>
        <w:t> </w:t>
      </w:r>
      <w:r>
        <w:rPr>
          <w:color w:val="231F20"/>
          <w:vertAlign w:val="baseline"/>
        </w:rPr>
        <w:t>l’adduction</w:t>
      </w:r>
      <w:r>
        <w:rPr>
          <w:color w:val="231F20"/>
          <w:spacing w:val="-8"/>
          <w:vertAlign w:val="baseline"/>
        </w:rPr>
        <w:t> </w:t>
      </w:r>
      <w:r>
        <w:rPr>
          <w:color w:val="231F20"/>
          <w:vertAlign w:val="baseline"/>
        </w:rPr>
        <w:t>en</w:t>
      </w:r>
      <w:r>
        <w:rPr>
          <w:color w:val="231F20"/>
          <w:spacing w:val="-11"/>
          <w:vertAlign w:val="baseline"/>
        </w:rPr>
        <w:t> </w:t>
      </w:r>
      <w:r>
        <w:rPr>
          <w:color w:val="231F20"/>
          <w:vertAlign w:val="baseline"/>
        </w:rPr>
        <w:t>eau potable de la métropole abidjanaise, extension du Port autonome d’Abidjan</w:t>
      </w:r>
      <w:r>
        <w:rPr>
          <w:color w:val="231F20"/>
          <w:spacing w:val="-3"/>
          <w:vertAlign w:val="baseline"/>
        </w:rPr>
        <w:t> </w:t>
      </w:r>
      <w:r>
        <w:rPr>
          <w:color w:val="231F20"/>
          <w:vertAlign w:val="baseline"/>
        </w:rPr>
        <w:t>(PAA),</w:t>
      </w:r>
      <w:r>
        <w:rPr>
          <w:color w:val="231F20"/>
          <w:spacing w:val="-3"/>
          <w:vertAlign w:val="baseline"/>
        </w:rPr>
        <w:t> </w:t>
      </w:r>
      <w:r>
        <w:rPr>
          <w:color w:val="231F20"/>
          <w:vertAlign w:val="baseline"/>
        </w:rPr>
        <w:t>construction</w:t>
      </w:r>
      <w:r>
        <w:rPr>
          <w:color w:val="231F20"/>
          <w:spacing w:val="-3"/>
          <w:vertAlign w:val="baseline"/>
        </w:rPr>
        <w:t> </w:t>
      </w:r>
      <w:r>
        <w:rPr>
          <w:color w:val="231F20"/>
          <w:vertAlign w:val="baseline"/>
        </w:rPr>
        <w:t>de</w:t>
      </w:r>
      <w:r>
        <w:rPr>
          <w:color w:val="231F20"/>
          <w:spacing w:val="-6"/>
          <w:vertAlign w:val="baseline"/>
        </w:rPr>
        <w:t> </w:t>
      </w:r>
      <w:r>
        <w:rPr>
          <w:color w:val="231F20"/>
          <w:vertAlign w:val="baseline"/>
        </w:rPr>
        <w:t>lycées,</w:t>
      </w:r>
      <w:r>
        <w:rPr>
          <w:color w:val="231F20"/>
          <w:spacing w:val="-6"/>
          <w:vertAlign w:val="baseline"/>
        </w:rPr>
        <w:t> </w:t>
      </w:r>
      <w:r>
        <w:rPr>
          <w:color w:val="231F20"/>
          <w:vertAlign w:val="baseline"/>
        </w:rPr>
        <w:t>rénovation</w:t>
      </w:r>
      <w:r>
        <w:rPr>
          <w:color w:val="231F20"/>
          <w:spacing w:val="-3"/>
          <w:vertAlign w:val="baseline"/>
        </w:rPr>
        <w:t> </w:t>
      </w:r>
      <w:r>
        <w:rPr>
          <w:color w:val="231F20"/>
          <w:vertAlign w:val="baseline"/>
        </w:rPr>
        <w:t>du</w:t>
      </w:r>
      <w:r>
        <w:rPr>
          <w:color w:val="231F20"/>
          <w:spacing w:val="-6"/>
          <w:vertAlign w:val="baseline"/>
        </w:rPr>
        <w:t> </w:t>
      </w:r>
      <w:r>
        <w:rPr>
          <w:color w:val="231F20"/>
          <w:vertAlign w:val="baseline"/>
        </w:rPr>
        <w:t>réseau</w:t>
      </w:r>
      <w:r>
        <w:rPr>
          <w:color w:val="231F20"/>
          <w:spacing w:val="-3"/>
          <w:vertAlign w:val="baseline"/>
        </w:rPr>
        <w:t> </w:t>
      </w:r>
      <w:r>
        <w:rPr>
          <w:color w:val="231F20"/>
          <w:vertAlign w:val="baseline"/>
        </w:rPr>
        <w:t>routier, renforcement du réseau électrique, déploiement de la fibre optique, nouvelle zone industrielle d’Abidjan, ou encore réseau de vidéosurveillance abidjanais.</w:t>
      </w:r>
    </w:p>
    <w:p>
      <w:pPr>
        <w:pStyle w:val="BodyText"/>
        <w:spacing w:before="121"/>
        <w:ind w:right="106" w:firstLine="283"/>
      </w:pPr>
      <w:r>
        <w:rPr>
          <w:color w:val="231F20"/>
        </w:rPr>
        <w:t>Véritable moteur du développement privilégié par le Président </w:t>
      </w:r>
      <w:r>
        <w:rPr>
          <w:color w:val="231F20"/>
          <w:spacing w:val="-4"/>
        </w:rPr>
        <w:t>Ouattara,</w:t>
      </w:r>
      <w:r>
        <w:rPr>
          <w:color w:val="231F20"/>
          <w:spacing w:val="-11"/>
        </w:rPr>
        <w:t> </w:t>
      </w:r>
      <w:r>
        <w:rPr>
          <w:color w:val="231F20"/>
          <w:spacing w:val="-4"/>
        </w:rPr>
        <w:t>la</w:t>
      </w:r>
      <w:r>
        <w:rPr>
          <w:color w:val="231F20"/>
          <w:spacing w:val="-11"/>
        </w:rPr>
        <w:t> </w:t>
      </w:r>
      <w:r>
        <w:rPr>
          <w:color w:val="231F20"/>
          <w:spacing w:val="-4"/>
        </w:rPr>
        <w:t>construction</w:t>
      </w:r>
      <w:r>
        <w:rPr>
          <w:color w:val="231F20"/>
          <w:spacing w:val="-11"/>
        </w:rPr>
        <w:t> </w:t>
      </w:r>
      <w:r>
        <w:rPr>
          <w:color w:val="231F20"/>
          <w:spacing w:val="-4"/>
        </w:rPr>
        <w:t>des</w:t>
      </w:r>
      <w:r>
        <w:rPr>
          <w:color w:val="231F20"/>
          <w:spacing w:val="-11"/>
        </w:rPr>
        <w:t> </w:t>
      </w:r>
      <w:r>
        <w:rPr>
          <w:color w:val="231F20"/>
          <w:spacing w:val="-4"/>
        </w:rPr>
        <w:t>routes</w:t>
      </w:r>
      <w:r>
        <w:rPr>
          <w:color w:val="231F20"/>
          <w:spacing w:val="-11"/>
        </w:rPr>
        <w:t> </w:t>
      </w:r>
      <w:r>
        <w:rPr>
          <w:color w:val="231F20"/>
          <w:spacing w:val="-4"/>
        </w:rPr>
        <w:t>et</w:t>
      </w:r>
      <w:r>
        <w:rPr>
          <w:color w:val="231F20"/>
          <w:spacing w:val="-11"/>
        </w:rPr>
        <w:t> </w:t>
      </w:r>
      <w:r>
        <w:rPr>
          <w:color w:val="231F20"/>
          <w:spacing w:val="-4"/>
        </w:rPr>
        <w:t>ponts</w:t>
      </w:r>
      <w:r>
        <w:rPr>
          <w:color w:val="231F20"/>
          <w:spacing w:val="-11"/>
        </w:rPr>
        <w:t> </w:t>
      </w:r>
      <w:r>
        <w:rPr>
          <w:color w:val="231F20"/>
          <w:spacing w:val="-4"/>
        </w:rPr>
        <w:t>laissent</w:t>
      </w:r>
      <w:r>
        <w:rPr>
          <w:color w:val="231F20"/>
          <w:spacing w:val="-11"/>
        </w:rPr>
        <w:t> </w:t>
      </w:r>
      <w:r>
        <w:rPr>
          <w:color w:val="231F20"/>
          <w:spacing w:val="-4"/>
        </w:rPr>
        <w:t>sur</w:t>
      </w:r>
      <w:r>
        <w:rPr>
          <w:color w:val="231F20"/>
          <w:spacing w:val="-11"/>
        </w:rPr>
        <w:t> </w:t>
      </w:r>
      <w:r>
        <w:rPr>
          <w:color w:val="231F20"/>
          <w:spacing w:val="-4"/>
        </w:rPr>
        <w:t>le</w:t>
      </w:r>
      <w:r>
        <w:rPr>
          <w:color w:val="231F20"/>
          <w:spacing w:val="-11"/>
        </w:rPr>
        <w:t> </w:t>
      </w:r>
      <w:r>
        <w:rPr>
          <w:color w:val="231F20"/>
          <w:spacing w:val="-4"/>
        </w:rPr>
        <w:t>bord</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route, </w:t>
      </w:r>
      <w:r>
        <w:rPr>
          <w:color w:val="231F20"/>
        </w:rPr>
        <w:t>les entreprises locales</w:t>
      </w:r>
      <w:r>
        <w:rPr>
          <w:color w:val="231F20"/>
          <w:spacing w:val="-14"/>
        </w:rPr>
        <w:t> </w:t>
      </w:r>
      <w:r>
        <w:rPr>
          <w:color w:val="231F20"/>
        </w:rPr>
        <w:t>: sont privilégiées, les entreprises étrangères (marocaines, turques, françaises et chinoises). La transparence dans l’attribution de ces marchés</w:t>
      </w:r>
      <w:r>
        <w:rPr>
          <w:color w:val="231F20"/>
          <w:spacing w:val="-15"/>
        </w:rPr>
        <w:t> </w:t>
      </w:r>
      <w:r>
        <w:rPr>
          <w:color w:val="231F20"/>
        </w:rPr>
        <w:t>est décriée : appels d’offres restreints et contrats de gré-à-gré.</w:t>
      </w:r>
    </w:p>
    <w:p>
      <w:pPr>
        <w:pStyle w:val="BodyText"/>
        <w:spacing w:before="120"/>
        <w:ind w:right="105" w:firstLine="283"/>
      </w:pPr>
      <w:r>
        <w:rPr>
          <w:color w:val="231F20"/>
        </w:rPr>
        <w:t>La Côte d’Ivoire est confrontée également à</w:t>
      </w:r>
      <w:r>
        <w:rPr>
          <w:color w:val="231F20"/>
          <w:spacing w:val="-15"/>
        </w:rPr>
        <w:t> </w:t>
      </w:r>
      <w:r>
        <w:rPr>
          <w:color w:val="231F20"/>
        </w:rPr>
        <w:t>de nombreux défis sécuritaires</w:t>
      </w:r>
      <w:r>
        <w:rPr>
          <w:color w:val="231F20"/>
          <w:spacing w:val="-1"/>
        </w:rPr>
        <w:t> </w:t>
      </w:r>
      <w:r>
        <w:rPr>
          <w:color w:val="231F20"/>
        </w:rPr>
        <w:t>liés</w:t>
      </w:r>
      <w:r>
        <w:rPr>
          <w:color w:val="231F20"/>
          <w:spacing w:val="-1"/>
        </w:rPr>
        <w:t> </w:t>
      </w:r>
      <w:r>
        <w:rPr>
          <w:color w:val="231F20"/>
        </w:rPr>
        <w:t>à</w:t>
      </w:r>
      <w:r>
        <w:rPr>
          <w:color w:val="231F20"/>
          <w:spacing w:val="-2"/>
        </w:rPr>
        <w:t> </w:t>
      </w:r>
      <w:r>
        <w:rPr>
          <w:color w:val="231F20"/>
        </w:rPr>
        <w:t>de</w:t>
      </w:r>
      <w:r>
        <w:rPr>
          <w:color w:val="231F20"/>
          <w:spacing w:val="-2"/>
        </w:rPr>
        <w:t> </w:t>
      </w:r>
      <w:r>
        <w:rPr>
          <w:color w:val="231F20"/>
        </w:rPr>
        <w:t>potentielles</w:t>
      </w:r>
      <w:r>
        <w:rPr>
          <w:color w:val="231F20"/>
          <w:spacing w:val="-1"/>
        </w:rPr>
        <w:t> </w:t>
      </w:r>
      <w:r>
        <w:rPr>
          <w:color w:val="231F20"/>
        </w:rPr>
        <w:t>cellules</w:t>
      </w:r>
      <w:r>
        <w:rPr>
          <w:color w:val="231F20"/>
          <w:spacing w:val="-1"/>
        </w:rPr>
        <w:t> </w:t>
      </w:r>
      <w:r>
        <w:rPr>
          <w:color w:val="231F20"/>
        </w:rPr>
        <w:t>dormantes</w:t>
      </w:r>
      <w:r>
        <w:rPr>
          <w:color w:val="231F20"/>
          <w:spacing w:val="-1"/>
        </w:rPr>
        <w:t> </w:t>
      </w:r>
      <w:r>
        <w:rPr>
          <w:color w:val="231F20"/>
        </w:rPr>
        <w:t>djihadistes</w:t>
      </w:r>
      <w:r>
        <w:rPr>
          <w:color w:val="231F20"/>
          <w:spacing w:val="-1"/>
        </w:rPr>
        <w:t> </w:t>
      </w:r>
      <w:r>
        <w:rPr>
          <w:color w:val="231F20"/>
        </w:rPr>
        <w:t>dans</w:t>
      </w:r>
      <w:r>
        <w:rPr>
          <w:color w:val="231F20"/>
          <w:spacing w:val="-1"/>
        </w:rPr>
        <w:t> </w:t>
      </w:r>
      <w:r>
        <w:rPr>
          <w:color w:val="231F20"/>
        </w:rPr>
        <w:t>le Nord ivoirien frappant les positions de l’Armée. Les litiges et conflits fonciers restent d’actualité. Dans la capitale économique, ce sont les enfants</w:t>
      </w:r>
      <w:r>
        <w:rPr>
          <w:color w:val="231F20"/>
          <w:spacing w:val="-15"/>
        </w:rPr>
        <w:t> </w:t>
      </w:r>
      <w:r>
        <w:rPr>
          <w:color w:val="231F20"/>
        </w:rPr>
        <w:t>«</w:t>
      </w:r>
      <w:r>
        <w:rPr>
          <w:color w:val="231F20"/>
          <w:spacing w:val="-15"/>
        </w:rPr>
        <w:t> </w:t>
      </w:r>
      <w:r>
        <w:rPr>
          <w:color w:val="231F20"/>
        </w:rPr>
        <w:t>microbes</w:t>
      </w:r>
      <w:r>
        <w:rPr>
          <w:color w:val="231F20"/>
          <w:spacing w:val="-15"/>
        </w:rPr>
        <w:t> </w:t>
      </w:r>
      <w:r>
        <w:rPr>
          <w:color w:val="231F20"/>
        </w:rPr>
        <w:t>»</w:t>
      </w:r>
      <w:r>
        <w:rPr>
          <w:color w:val="231F20"/>
          <w:spacing w:val="-15"/>
        </w:rPr>
        <w:t> </w:t>
      </w:r>
      <w:r>
        <w:rPr>
          <w:color w:val="231F20"/>
        </w:rPr>
        <w:t>qui</w:t>
      </w:r>
      <w:r>
        <w:rPr>
          <w:color w:val="231F20"/>
          <w:spacing w:val="-15"/>
        </w:rPr>
        <w:t> </w:t>
      </w:r>
      <w:r>
        <w:rPr>
          <w:color w:val="231F20"/>
        </w:rPr>
        <w:t>troublent</w:t>
      </w:r>
      <w:r>
        <w:rPr>
          <w:color w:val="231F20"/>
          <w:spacing w:val="-15"/>
        </w:rPr>
        <w:t> </w:t>
      </w:r>
      <w:r>
        <w:rPr>
          <w:color w:val="231F20"/>
        </w:rPr>
        <w:t>le</w:t>
      </w:r>
      <w:r>
        <w:rPr>
          <w:color w:val="231F20"/>
          <w:spacing w:val="-15"/>
        </w:rPr>
        <w:t> </w:t>
      </w:r>
      <w:r>
        <w:rPr>
          <w:color w:val="231F20"/>
        </w:rPr>
        <w:t>sommeil</w:t>
      </w:r>
      <w:r>
        <w:rPr>
          <w:color w:val="231F20"/>
          <w:spacing w:val="-15"/>
        </w:rPr>
        <w:t> </w:t>
      </w:r>
      <w:r>
        <w:rPr>
          <w:color w:val="231F20"/>
        </w:rPr>
        <w:t>des</w:t>
      </w:r>
      <w:r>
        <w:rPr>
          <w:color w:val="231F20"/>
          <w:spacing w:val="-15"/>
        </w:rPr>
        <w:t> </w:t>
      </w:r>
      <w:r>
        <w:rPr>
          <w:color w:val="231F20"/>
        </w:rPr>
        <w:t>habitants</w:t>
      </w:r>
      <w:r>
        <w:rPr>
          <w:color w:val="231F20"/>
          <w:spacing w:val="-15"/>
        </w:rPr>
        <w:t> </w:t>
      </w:r>
      <w:r>
        <w:rPr>
          <w:color w:val="231F20"/>
        </w:rPr>
        <w:t>:</w:t>
      </w:r>
      <w:r>
        <w:rPr>
          <w:color w:val="231F20"/>
          <w:spacing w:val="-15"/>
        </w:rPr>
        <w:t> </w:t>
      </w:r>
      <w:r>
        <w:rPr>
          <w:color w:val="231F20"/>
        </w:rPr>
        <w:t>ces</w:t>
      </w:r>
      <w:r>
        <w:rPr>
          <w:color w:val="231F20"/>
          <w:spacing w:val="-15"/>
        </w:rPr>
        <w:t> </w:t>
      </w:r>
      <w:r>
        <w:rPr>
          <w:color w:val="231F20"/>
        </w:rPr>
        <w:t>enfants de</w:t>
      </w:r>
      <w:r>
        <w:rPr>
          <w:color w:val="231F20"/>
          <w:spacing w:val="-10"/>
        </w:rPr>
        <w:t> </w:t>
      </w:r>
      <w:r>
        <w:rPr>
          <w:color w:val="231F20"/>
        </w:rPr>
        <w:t>la</w:t>
      </w:r>
      <w:r>
        <w:rPr>
          <w:color w:val="231F20"/>
          <w:spacing w:val="-10"/>
        </w:rPr>
        <w:t> </w:t>
      </w:r>
      <w:r>
        <w:rPr>
          <w:color w:val="231F20"/>
        </w:rPr>
        <w:t>rue</w:t>
      </w:r>
      <w:r>
        <w:rPr>
          <w:color w:val="231F20"/>
          <w:spacing w:val="-10"/>
        </w:rPr>
        <w:t> </w:t>
      </w:r>
      <w:r>
        <w:rPr>
          <w:color w:val="231F20"/>
        </w:rPr>
        <w:t>instrumentalisés</w:t>
      </w:r>
      <w:r>
        <w:rPr>
          <w:color w:val="231F20"/>
          <w:spacing w:val="-12"/>
        </w:rPr>
        <w:t> </w:t>
      </w:r>
      <w:r>
        <w:rPr>
          <w:color w:val="231F20"/>
        </w:rPr>
        <w:t>pendant</w:t>
      </w:r>
      <w:r>
        <w:rPr>
          <w:color w:val="231F20"/>
          <w:spacing w:val="-12"/>
        </w:rPr>
        <w:t> </w:t>
      </w:r>
      <w:r>
        <w:rPr>
          <w:color w:val="231F20"/>
        </w:rPr>
        <w:t>la</w:t>
      </w:r>
      <w:r>
        <w:rPr>
          <w:color w:val="231F20"/>
          <w:spacing w:val="-10"/>
        </w:rPr>
        <w:t> </w:t>
      </w:r>
      <w:r>
        <w:rPr>
          <w:color w:val="231F20"/>
        </w:rPr>
        <w:t>crise</w:t>
      </w:r>
      <w:r>
        <w:rPr>
          <w:color w:val="231F20"/>
          <w:spacing w:val="-13"/>
        </w:rPr>
        <w:t> </w:t>
      </w:r>
      <w:r>
        <w:rPr>
          <w:color w:val="231F20"/>
        </w:rPr>
        <w:t>post-électorale</w:t>
      </w:r>
      <w:r>
        <w:rPr>
          <w:color w:val="231F20"/>
          <w:spacing w:val="-10"/>
        </w:rPr>
        <w:t> </w:t>
      </w:r>
      <w:r>
        <w:rPr>
          <w:color w:val="231F20"/>
        </w:rPr>
        <w:t>de</w:t>
      </w:r>
      <w:r>
        <w:rPr>
          <w:color w:val="231F20"/>
          <w:spacing w:val="-13"/>
        </w:rPr>
        <w:t> </w:t>
      </w:r>
      <w:r>
        <w:rPr>
          <w:color w:val="231F20"/>
        </w:rPr>
        <w:t>2010-2011 </w:t>
      </w:r>
      <w:r>
        <w:rPr>
          <w:color w:val="231F20"/>
          <w:spacing w:val="-2"/>
        </w:rPr>
        <w:t>en</w:t>
      </w:r>
      <w:r>
        <w:rPr>
          <w:color w:val="231F20"/>
          <w:spacing w:val="-13"/>
        </w:rPr>
        <w:t> </w:t>
      </w:r>
      <w:r>
        <w:rPr>
          <w:color w:val="231F20"/>
          <w:spacing w:val="-2"/>
        </w:rPr>
        <w:t>Côte</w:t>
      </w:r>
      <w:r>
        <w:rPr>
          <w:color w:val="231F20"/>
          <w:spacing w:val="-13"/>
        </w:rPr>
        <w:t> </w:t>
      </w:r>
      <w:r>
        <w:rPr>
          <w:color w:val="231F20"/>
          <w:spacing w:val="-2"/>
        </w:rPr>
        <w:t>d’Ivoire,</w:t>
      </w:r>
      <w:r>
        <w:rPr>
          <w:color w:val="231F20"/>
          <w:spacing w:val="-13"/>
        </w:rPr>
        <w:t> </w:t>
      </w:r>
      <w:r>
        <w:rPr>
          <w:color w:val="231F20"/>
          <w:spacing w:val="-2"/>
        </w:rPr>
        <w:t>âgés</w:t>
      </w:r>
      <w:r>
        <w:rPr>
          <w:color w:val="231F20"/>
          <w:spacing w:val="-13"/>
        </w:rPr>
        <w:t> </w:t>
      </w:r>
      <w:r>
        <w:rPr>
          <w:color w:val="231F20"/>
          <w:spacing w:val="-2"/>
        </w:rPr>
        <w:t>de</w:t>
      </w:r>
      <w:r>
        <w:rPr>
          <w:color w:val="231F20"/>
          <w:spacing w:val="-13"/>
        </w:rPr>
        <w:t> </w:t>
      </w:r>
      <w:r>
        <w:rPr>
          <w:color w:val="231F20"/>
          <w:spacing w:val="-2"/>
        </w:rPr>
        <w:t>huit</w:t>
      </w:r>
      <w:r>
        <w:rPr>
          <w:color w:val="231F20"/>
          <w:spacing w:val="-13"/>
        </w:rPr>
        <w:t> </w:t>
      </w:r>
      <w:r>
        <w:rPr>
          <w:color w:val="231F20"/>
          <w:spacing w:val="-2"/>
        </w:rPr>
        <w:t>à</w:t>
      </w:r>
      <w:r>
        <w:rPr>
          <w:color w:val="231F20"/>
          <w:spacing w:val="-13"/>
        </w:rPr>
        <w:t> </w:t>
      </w:r>
      <w:r>
        <w:rPr>
          <w:color w:val="231F20"/>
          <w:spacing w:val="-2"/>
        </w:rPr>
        <w:t>dix-sept</w:t>
      </w:r>
      <w:r>
        <w:rPr>
          <w:color w:val="231F20"/>
          <w:spacing w:val="-13"/>
        </w:rPr>
        <w:t> </w:t>
      </w:r>
      <w:r>
        <w:rPr>
          <w:color w:val="231F20"/>
          <w:spacing w:val="-2"/>
        </w:rPr>
        <w:t>ans.</w:t>
      </w:r>
      <w:r>
        <w:rPr>
          <w:color w:val="231F20"/>
          <w:spacing w:val="-13"/>
        </w:rPr>
        <w:t> </w:t>
      </w:r>
      <w:r>
        <w:rPr>
          <w:color w:val="231F20"/>
          <w:spacing w:val="-2"/>
        </w:rPr>
        <w:t>Ces</w:t>
      </w:r>
      <w:r>
        <w:rPr>
          <w:color w:val="231F20"/>
          <w:spacing w:val="-13"/>
        </w:rPr>
        <w:t> </w:t>
      </w:r>
      <w:r>
        <w:rPr>
          <w:color w:val="231F20"/>
          <w:spacing w:val="-2"/>
        </w:rPr>
        <w:t>mineurs</w:t>
      </w:r>
      <w:r>
        <w:rPr>
          <w:color w:val="231F20"/>
          <w:spacing w:val="-13"/>
        </w:rPr>
        <w:t> </w:t>
      </w:r>
      <w:r>
        <w:rPr>
          <w:color w:val="231F20"/>
          <w:spacing w:val="-2"/>
        </w:rPr>
        <w:t>délinquants</w:t>
      </w:r>
      <w:r>
        <w:rPr>
          <w:color w:val="231F20"/>
          <w:spacing w:val="-13"/>
        </w:rPr>
        <w:t> </w:t>
      </w:r>
      <w:r>
        <w:rPr>
          <w:color w:val="231F20"/>
          <w:spacing w:val="-2"/>
        </w:rPr>
        <w:t>ont </w:t>
      </w:r>
      <w:r>
        <w:rPr>
          <w:color w:val="231F20"/>
        </w:rPr>
        <w:t>continué à</w:t>
      </w:r>
      <w:r>
        <w:rPr>
          <w:color w:val="231F20"/>
          <w:spacing w:val="-2"/>
        </w:rPr>
        <w:t> </w:t>
      </w:r>
      <w:r>
        <w:rPr>
          <w:color w:val="231F20"/>
        </w:rPr>
        <w:t>semer</w:t>
      </w:r>
      <w:r>
        <w:rPr>
          <w:color w:val="231F20"/>
          <w:spacing w:val="-2"/>
        </w:rPr>
        <w:t> </w:t>
      </w:r>
      <w:r>
        <w:rPr>
          <w:color w:val="231F20"/>
        </w:rPr>
        <w:t>la terreur à Abidjan</w:t>
      </w:r>
      <w:r>
        <w:rPr>
          <w:color w:val="231F20"/>
          <w:spacing w:val="-2"/>
        </w:rPr>
        <w:t> </w:t>
      </w:r>
      <w:r>
        <w:rPr>
          <w:color w:val="231F20"/>
        </w:rPr>
        <w:t>après</w:t>
      </w:r>
      <w:r>
        <w:rPr>
          <w:color w:val="231F20"/>
          <w:spacing w:val="-2"/>
        </w:rPr>
        <w:t> </w:t>
      </w:r>
      <w:r>
        <w:rPr>
          <w:color w:val="231F20"/>
        </w:rPr>
        <w:t>la crise avant</w:t>
      </w:r>
      <w:r>
        <w:rPr>
          <w:color w:val="231F20"/>
          <w:spacing w:val="-1"/>
        </w:rPr>
        <w:t> </w:t>
      </w:r>
      <w:r>
        <w:rPr>
          <w:color w:val="231F20"/>
        </w:rPr>
        <w:t>d’être pris</w:t>
      </w:r>
      <w:r>
        <w:rPr>
          <w:color w:val="231F20"/>
          <w:spacing w:val="-2"/>
        </w:rPr>
        <w:t> </w:t>
      </w:r>
      <w:r>
        <w:rPr>
          <w:color w:val="231F20"/>
        </w:rPr>
        <w:t>en charge</w:t>
      </w:r>
      <w:r>
        <w:rPr>
          <w:color w:val="231F20"/>
          <w:spacing w:val="-7"/>
        </w:rPr>
        <w:t> </w:t>
      </w:r>
      <w:r>
        <w:rPr>
          <w:color w:val="231F20"/>
        </w:rPr>
        <w:t>par</w:t>
      </w:r>
      <w:r>
        <w:rPr>
          <w:color w:val="231F20"/>
          <w:spacing w:val="-6"/>
        </w:rPr>
        <w:t> </w:t>
      </w:r>
      <w:r>
        <w:rPr>
          <w:color w:val="231F20"/>
        </w:rPr>
        <w:t>l’État</w:t>
      </w:r>
      <w:r>
        <w:rPr>
          <w:color w:val="231F20"/>
          <w:spacing w:val="-5"/>
        </w:rPr>
        <w:t> </w:t>
      </w:r>
      <w:r>
        <w:rPr>
          <w:color w:val="231F20"/>
        </w:rPr>
        <w:t>et</w:t>
      </w:r>
      <w:r>
        <w:rPr>
          <w:color w:val="231F20"/>
          <w:spacing w:val="-8"/>
        </w:rPr>
        <w:t> </w:t>
      </w:r>
      <w:r>
        <w:rPr>
          <w:color w:val="231F20"/>
        </w:rPr>
        <w:t>les</w:t>
      </w:r>
      <w:r>
        <w:rPr>
          <w:color w:val="231F20"/>
          <w:spacing w:val="-6"/>
        </w:rPr>
        <w:t> </w:t>
      </w:r>
      <w:r>
        <w:rPr>
          <w:color w:val="231F20"/>
        </w:rPr>
        <w:t>milieux</w:t>
      </w:r>
      <w:r>
        <w:rPr>
          <w:color w:val="231F20"/>
          <w:spacing w:val="-6"/>
        </w:rPr>
        <w:t> </w:t>
      </w:r>
      <w:r>
        <w:rPr>
          <w:color w:val="231F20"/>
        </w:rPr>
        <w:t>associatifs</w:t>
      </w:r>
      <w:r>
        <w:rPr>
          <w:color w:val="231F20"/>
          <w:spacing w:val="-6"/>
        </w:rPr>
        <w:t> </w:t>
      </w:r>
      <w:r>
        <w:rPr>
          <w:color w:val="231F20"/>
        </w:rPr>
        <w:t>et</w:t>
      </w:r>
      <w:r>
        <w:rPr>
          <w:color w:val="231F20"/>
          <w:spacing w:val="-6"/>
        </w:rPr>
        <w:t> </w:t>
      </w:r>
      <w:r>
        <w:rPr>
          <w:color w:val="231F20"/>
        </w:rPr>
        <w:t>religieux,</w:t>
      </w:r>
      <w:r>
        <w:rPr>
          <w:color w:val="231F20"/>
          <w:spacing w:val="-6"/>
        </w:rPr>
        <w:t> </w:t>
      </w:r>
      <w:r>
        <w:rPr>
          <w:color w:val="231F20"/>
        </w:rPr>
        <w:t>sans</w:t>
      </w:r>
      <w:r>
        <w:rPr>
          <w:color w:val="231F20"/>
          <w:spacing w:val="-8"/>
        </w:rPr>
        <w:t> </w:t>
      </w:r>
      <w:r>
        <w:rPr>
          <w:color w:val="231F20"/>
        </w:rPr>
        <w:t>pour</w:t>
      </w:r>
      <w:r>
        <w:rPr>
          <w:color w:val="231F20"/>
          <w:spacing w:val="-6"/>
        </w:rPr>
        <w:t> </w:t>
      </w:r>
      <w:r>
        <w:rPr>
          <w:color w:val="231F20"/>
        </w:rPr>
        <w:t>autant éradiquer</w:t>
      </w:r>
      <w:r>
        <w:rPr>
          <w:color w:val="231F20"/>
          <w:spacing w:val="-10"/>
        </w:rPr>
        <w:t> </w:t>
      </w:r>
      <w:r>
        <w:rPr>
          <w:color w:val="231F20"/>
        </w:rPr>
        <w:t>le</w:t>
      </w:r>
      <w:r>
        <w:rPr>
          <w:color w:val="231F20"/>
          <w:spacing w:val="-10"/>
        </w:rPr>
        <w:t> </w:t>
      </w:r>
      <w:r>
        <w:rPr>
          <w:color w:val="231F20"/>
        </w:rPr>
        <w:t>phénomène.</w:t>
      </w:r>
      <w:r>
        <w:rPr>
          <w:color w:val="231F20"/>
          <w:spacing w:val="-11"/>
        </w:rPr>
        <w:t> </w:t>
      </w:r>
      <w:r>
        <w:rPr>
          <w:color w:val="231F20"/>
        </w:rPr>
        <w:t>Munis</w:t>
      </w:r>
      <w:r>
        <w:rPr>
          <w:color w:val="231F20"/>
          <w:spacing w:val="-10"/>
        </w:rPr>
        <w:t> </w:t>
      </w:r>
      <w:r>
        <w:rPr>
          <w:color w:val="231F20"/>
        </w:rPr>
        <w:t>d’armes</w:t>
      </w:r>
      <w:r>
        <w:rPr>
          <w:color w:val="231F20"/>
          <w:spacing w:val="-9"/>
        </w:rPr>
        <w:t> </w:t>
      </w:r>
      <w:r>
        <w:rPr>
          <w:color w:val="231F20"/>
        </w:rPr>
        <w:t>blanches,</w:t>
      </w:r>
      <w:r>
        <w:rPr>
          <w:color w:val="231F20"/>
          <w:spacing w:val="-11"/>
        </w:rPr>
        <w:t> </w:t>
      </w:r>
      <w:r>
        <w:rPr>
          <w:color w:val="231F20"/>
        </w:rPr>
        <w:t>ils</w:t>
      </w:r>
      <w:r>
        <w:rPr>
          <w:color w:val="231F20"/>
          <w:spacing w:val="-9"/>
        </w:rPr>
        <w:t> </w:t>
      </w:r>
      <w:r>
        <w:rPr>
          <w:color w:val="231F20"/>
        </w:rPr>
        <w:t>agressent,</w:t>
      </w:r>
      <w:r>
        <w:rPr>
          <w:color w:val="231F20"/>
          <w:spacing w:val="-10"/>
        </w:rPr>
        <w:t> </w:t>
      </w:r>
      <w:r>
        <w:rPr>
          <w:color w:val="231F20"/>
        </w:rPr>
        <w:t>volent, </w:t>
      </w:r>
      <w:r>
        <w:rPr>
          <w:color w:val="231F20"/>
          <w:spacing w:val="-2"/>
        </w:rPr>
        <w:t>terrorisent</w:t>
      </w:r>
      <w:r>
        <w:rPr>
          <w:color w:val="231F20"/>
          <w:spacing w:val="-13"/>
        </w:rPr>
        <w:t> </w:t>
      </w:r>
      <w:r>
        <w:rPr>
          <w:color w:val="231F20"/>
          <w:spacing w:val="-2"/>
        </w:rPr>
        <w:t>et</w:t>
      </w:r>
      <w:r>
        <w:rPr>
          <w:color w:val="231F20"/>
          <w:spacing w:val="-13"/>
        </w:rPr>
        <w:t> </w:t>
      </w:r>
      <w:r>
        <w:rPr>
          <w:color w:val="231F20"/>
          <w:spacing w:val="-2"/>
        </w:rPr>
        <w:t>parfois</w:t>
      </w:r>
      <w:r>
        <w:rPr>
          <w:color w:val="231F20"/>
          <w:spacing w:val="-13"/>
        </w:rPr>
        <w:t> </w:t>
      </w:r>
      <w:r>
        <w:rPr>
          <w:color w:val="231F20"/>
          <w:spacing w:val="-2"/>
        </w:rPr>
        <w:t>tuent</w:t>
      </w:r>
      <w:r>
        <w:rPr>
          <w:color w:val="231F20"/>
          <w:spacing w:val="-13"/>
        </w:rPr>
        <w:t> </w:t>
      </w:r>
      <w:r>
        <w:rPr>
          <w:color w:val="231F20"/>
          <w:spacing w:val="-2"/>
        </w:rPr>
        <w:t>leurs</w:t>
      </w:r>
      <w:r>
        <w:rPr>
          <w:color w:val="231F20"/>
          <w:spacing w:val="-13"/>
        </w:rPr>
        <w:t> </w:t>
      </w:r>
      <w:r>
        <w:rPr>
          <w:color w:val="231F20"/>
          <w:spacing w:val="-2"/>
        </w:rPr>
        <w:t>victimes.</w:t>
      </w:r>
      <w:r>
        <w:rPr>
          <w:color w:val="231F20"/>
          <w:spacing w:val="-13"/>
        </w:rPr>
        <w:t> </w:t>
      </w:r>
      <w:r>
        <w:rPr>
          <w:color w:val="231F20"/>
          <w:spacing w:val="-2"/>
        </w:rPr>
        <w:t>Ils</w:t>
      </w:r>
      <w:r>
        <w:rPr>
          <w:color w:val="231F20"/>
          <w:spacing w:val="-13"/>
        </w:rPr>
        <w:t> </w:t>
      </w:r>
      <w:r>
        <w:rPr>
          <w:color w:val="231F20"/>
          <w:spacing w:val="-2"/>
        </w:rPr>
        <w:t>agissent</w:t>
      </w:r>
      <w:r>
        <w:rPr>
          <w:color w:val="231F20"/>
          <w:spacing w:val="-13"/>
        </w:rPr>
        <w:t> </w:t>
      </w:r>
      <w:r>
        <w:rPr>
          <w:color w:val="231F20"/>
          <w:spacing w:val="-2"/>
        </w:rPr>
        <w:t>en</w:t>
      </w:r>
      <w:r>
        <w:rPr>
          <w:color w:val="231F20"/>
          <w:spacing w:val="-13"/>
        </w:rPr>
        <w:t> </w:t>
      </w:r>
      <w:r>
        <w:rPr>
          <w:color w:val="231F20"/>
          <w:spacing w:val="-2"/>
        </w:rPr>
        <w:t>groupe,</w:t>
      </w:r>
      <w:r>
        <w:rPr>
          <w:color w:val="231F20"/>
          <w:spacing w:val="-13"/>
        </w:rPr>
        <w:t> </w:t>
      </w:r>
      <w:r>
        <w:rPr>
          <w:color w:val="231F20"/>
          <w:spacing w:val="-2"/>
        </w:rPr>
        <w:t>et</w:t>
      </w:r>
      <w:r>
        <w:rPr>
          <w:color w:val="231F20"/>
          <w:spacing w:val="-13"/>
        </w:rPr>
        <w:t> </w:t>
      </w:r>
      <w:r>
        <w:rPr>
          <w:color w:val="231F20"/>
          <w:spacing w:val="-2"/>
        </w:rPr>
        <w:t>le</w:t>
      </w:r>
      <w:r>
        <w:rPr>
          <w:color w:val="231F20"/>
          <w:spacing w:val="-13"/>
        </w:rPr>
        <w:t> </w:t>
      </w:r>
      <w:r>
        <w:rPr>
          <w:color w:val="231F20"/>
          <w:spacing w:val="-2"/>
        </w:rPr>
        <w:t>plus </w:t>
      </w:r>
      <w:r>
        <w:rPr>
          <w:color w:val="231F20"/>
        </w:rPr>
        <w:t>souvent</w:t>
      </w:r>
      <w:r>
        <w:rPr>
          <w:color w:val="231F20"/>
          <w:spacing w:val="19"/>
        </w:rPr>
        <w:t> </w:t>
      </w:r>
      <w:r>
        <w:rPr>
          <w:color w:val="231F20"/>
        </w:rPr>
        <w:t>sous</w:t>
      </w:r>
      <w:r>
        <w:rPr>
          <w:color w:val="231F20"/>
          <w:spacing w:val="16"/>
        </w:rPr>
        <w:t> </w:t>
      </w:r>
      <w:r>
        <w:rPr>
          <w:color w:val="231F20"/>
        </w:rPr>
        <w:t>l’emprise</w:t>
      </w:r>
      <w:r>
        <w:rPr>
          <w:color w:val="231F20"/>
          <w:spacing w:val="19"/>
        </w:rPr>
        <w:t> </w:t>
      </w:r>
      <w:r>
        <w:rPr>
          <w:color w:val="231F20"/>
        </w:rPr>
        <w:t>de</w:t>
      </w:r>
      <w:r>
        <w:rPr>
          <w:color w:val="231F20"/>
          <w:spacing w:val="20"/>
        </w:rPr>
        <w:t> </w:t>
      </w:r>
      <w:r>
        <w:rPr>
          <w:color w:val="231F20"/>
        </w:rPr>
        <w:t>la</w:t>
      </w:r>
      <w:r>
        <w:rPr>
          <w:color w:val="231F20"/>
          <w:spacing w:val="18"/>
        </w:rPr>
        <w:t> </w:t>
      </w:r>
      <w:r>
        <w:rPr>
          <w:color w:val="231F20"/>
        </w:rPr>
        <w:t>drogue.</w:t>
      </w:r>
      <w:r>
        <w:rPr>
          <w:color w:val="231F20"/>
          <w:spacing w:val="20"/>
        </w:rPr>
        <w:t> </w:t>
      </w:r>
      <w:r>
        <w:rPr>
          <w:color w:val="231F20"/>
        </w:rPr>
        <w:t>Les</w:t>
      </w:r>
      <w:r>
        <w:rPr>
          <w:color w:val="231F20"/>
          <w:spacing w:val="20"/>
        </w:rPr>
        <w:t> </w:t>
      </w:r>
      <w:r>
        <w:rPr>
          <w:color w:val="231F20"/>
        </w:rPr>
        <w:t>Abidjanais</w:t>
      </w:r>
      <w:r>
        <w:rPr>
          <w:color w:val="231F20"/>
          <w:spacing w:val="19"/>
        </w:rPr>
        <w:t> </w:t>
      </w:r>
      <w:r>
        <w:rPr>
          <w:color w:val="231F20"/>
        </w:rPr>
        <w:t>les</w:t>
      </w:r>
      <w:r>
        <w:rPr>
          <w:color w:val="231F20"/>
          <w:spacing w:val="19"/>
        </w:rPr>
        <w:t> </w:t>
      </w:r>
      <w:r>
        <w:rPr>
          <w:color w:val="231F20"/>
        </w:rPr>
        <w:t>surnomment</w:t>
      </w:r>
    </w:p>
    <w:p>
      <w:pPr>
        <w:pStyle w:val="BodyText"/>
        <w:spacing w:before="127"/>
        <w:ind w:left="0"/>
        <w:jc w:val="left"/>
        <w:rPr>
          <w:sz w:val="20"/>
        </w:rPr>
      </w:pPr>
      <w:r>
        <w:rPr/>
        <mc:AlternateContent>
          <mc:Choice Requires="wps">
            <w:drawing>
              <wp:anchor distT="0" distB="0" distL="0" distR="0" allowOverlap="1" layoutInCell="1" locked="0" behindDoc="1" simplePos="0" relativeHeight="487655936">
                <wp:simplePos x="0" y="0"/>
                <wp:positionH relativeFrom="page">
                  <wp:posOffset>629907</wp:posOffset>
                </wp:positionH>
                <wp:positionV relativeFrom="paragraph">
                  <wp:posOffset>241966</wp:posOffset>
                </wp:positionV>
                <wp:extent cx="1829435" cy="9525"/>
                <wp:effectExtent l="0" t="0" r="0" b="0"/>
                <wp:wrapTopAndBottom/>
                <wp:docPr id="162" name="Graphic 162"/>
                <wp:cNvGraphicFramePr>
                  <a:graphicFrameLocks/>
                </wp:cNvGraphicFramePr>
                <a:graphic>
                  <a:graphicData uri="http://schemas.microsoft.com/office/word/2010/wordprocessingShape">
                    <wps:wsp>
                      <wps:cNvPr id="162" name="Graphic 162"/>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052500pt;width:144.020pt;height:.72pt;mso-position-horizontal-relative:page;mso-position-vertical-relative:paragraph;z-index:-15660544;mso-wrap-distance-left:0;mso-wrap-distance-right:0" id="docshape160" filled="true" fillcolor="#231f20" stroked="false">
                <v:fill type="solid"/>
                <w10:wrap type="topAndBottom"/>
              </v:rect>
            </w:pict>
          </mc:Fallback>
        </mc:AlternateContent>
      </w:r>
    </w:p>
    <w:p>
      <w:pPr>
        <w:spacing w:before="94"/>
        <w:ind w:left="111" w:right="105" w:firstLine="0"/>
        <w:jc w:val="both"/>
        <w:rPr>
          <w:sz w:val="20"/>
        </w:rPr>
      </w:pPr>
      <w:r>
        <w:rPr>
          <w:color w:val="231F20"/>
          <w:sz w:val="20"/>
          <w:vertAlign w:val="superscript"/>
        </w:rPr>
        <w:t>219</w:t>
      </w:r>
      <w:r>
        <w:rPr>
          <w:color w:val="231F20"/>
          <w:spacing w:val="-13"/>
          <w:sz w:val="20"/>
          <w:vertAlign w:val="baseline"/>
        </w:rPr>
        <w:t> </w:t>
      </w:r>
      <w:r>
        <w:rPr>
          <w:color w:val="231F20"/>
          <w:sz w:val="20"/>
          <w:vertAlign w:val="baseline"/>
        </w:rPr>
        <w:t>3ème pont d’Abidjan (Riviera-Marcory) , travaux d’extension du port d’Abidjan prolongement de l’autoroute du Nord, de l’autoroute Abidjan-Bassam, 4ème pont d’Abidjan (Sud-Banco, Yopougon-Plateau) marché abattoir d’Anyama, salle de conférences</w:t>
      </w:r>
      <w:r>
        <w:rPr>
          <w:color w:val="231F20"/>
          <w:spacing w:val="-12"/>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4.800</w:t>
      </w:r>
      <w:r>
        <w:rPr>
          <w:color w:val="231F20"/>
          <w:spacing w:val="-10"/>
          <w:sz w:val="20"/>
          <w:vertAlign w:val="baseline"/>
        </w:rPr>
        <w:t> </w:t>
      </w:r>
      <w:r>
        <w:rPr>
          <w:color w:val="231F20"/>
          <w:sz w:val="20"/>
          <w:vertAlign w:val="baseline"/>
        </w:rPr>
        <w:t>places,</w:t>
      </w:r>
      <w:r>
        <w:rPr>
          <w:color w:val="231F20"/>
          <w:spacing w:val="-11"/>
          <w:sz w:val="20"/>
          <w:vertAlign w:val="baseline"/>
        </w:rPr>
        <w:t> </w:t>
      </w:r>
      <w:r>
        <w:rPr>
          <w:color w:val="231F20"/>
          <w:sz w:val="20"/>
          <w:vertAlign w:val="baseline"/>
        </w:rPr>
        <w:t>et</w:t>
      </w:r>
      <w:r>
        <w:rPr>
          <w:color w:val="231F20"/>
          <w:spacing w:val="-12"/>
          <w:sz w:val="20"/>
          <w:vertAlign w:val="baseline"/>
        </w:rPr>
        <w:t> </w:t>
      </w:r>
      <w:r>
        <w:rPr>
          <w:color w:val="231F20"/>
          <w:sz w:val="20"/>
          <w:vertAlign w:val="baseline"/>
        </w:rPr>
        <w:t>des</w:t>
      </w:r>
      <w:r>
        <w:rPr>
          <w:color w:val="231F20"/>
          <w:spacing w:val="-12"/>
          <w:sz w:val="20"/>
          <w:vertAlign w:val="baseline"/>
        </w:rPr>
        <w:t> </w:t>
      </w:r>
      <w:r>
        <w:rPr>
          <w:color w:val="231F20"/>
          <w:sz w:val="20"/>
          <w:vertAlign w:val="baseline"/>
        </w:rPr>
        <w:t>hôtels</w:t>
      </w:r>
      <w:r>
        <w:rPr>
          <w:color w:val="231F20"/>
          <w:spacing w:val="-12"/>
          <w:sz w:val="20"/>
          <w:vertAlign w:val="baseline"/>
        </w:rPr>
        <w:t> </w:t>
      </w:r>
      <w:r>
        <w:rPr>
          <w:color w:val="231F20"/>
          <w:sz w:val="20"/>
          <w:vertAlign w:val="baseline"/>
        </w:rPr>
        <w:t>hors</w:t>
      </w:r>
      <w:r>
        <w:rPr>
          <w:color w:val="231F20"/>
          <w:spacing w:val="-12"/>
          <w:sz w:val="20"/>
          <w:vertAlign w:val="baseline"/>
        </w:rPr>
        <w:t> </w:t>
      </w:r>
      <w:r>
        <w:rPr>
          <w:color w:val="231F20"/>
          <w:sz w:val="20"/>
          <w:vertAlign w:val="baseline"/>
        </w:rPr>
        <w:t>taxes</w:t>
      </w:r>
      <w:r>
        <w:rPr>
          <w:color w:val="231F20"/>
          <w:spacing w:val="-12"/>
          <w:sz w:val="20"/>
          <w:vertAlign w:val="baseline"/>
        </w:rPr>
        <w:t> </w:t>
      </w:r>
      <w:r>
        <w:rPr>
          <w:color w:val="231F20"/>
          <w:sz w:val="20"/>
          <w:vertAlign w:val="baseline"/>
        </w:rPr>
        <w:t>dans</w:t>
      </w:r>
      <w:r>
        <w:rPr>
          <w:color w:val="231F20"/>
          <w:spacing w:val="-11"/>
          <w:sz w:val="20"/>
          <w:vertAlign w:val="baseline"/>
        </w:rPr>
        <w:t> </w:t>
      </w:r>
      <w:r>
        <w:rPr>
          <w:color w:val="231F20"/>
          <w:sz w:val="20"/>
          <w:vertAlign w:val="baseline"/>
        </w:rPr>
        <w:t>le</w:t>
      </w:r>
      <w:r>
        <w:rPr>
          <w:color w:val="231F20"/>
          <w:spacing w:val="-13"/>
          <w:sz w:val="20"/>
          <w:vertAlign w:val="baseline"/>
        </w:rPr>
        <w:t> </w:t>
      </w:r>
      <w:r>
        <w:rPr>
          <w:color w:val="231F20"/>
          <w:sz w:val="20"/>
          <w:vertAlign w:val="baseline"/>
        </w:rPr>
        <w:t>périmètre</w:t>
      </w:r>
      <w:r>
        <w:rPr>
          <w:color w:val="231F20"/>
          <w:spacing w:val="-11"/>
          <w:sz w:val="20"/>
          <w:vertAlign w:val="baseline"/>
        </w:rPr>
        <w:t> </w:t>
      </w:r>
      <w:r>
        <w:rPr>
          <w:color w:val="231F20"/>
          <w:sz w:val="20"/>
          <w:vertAlign w:val="baseline"/>
        </w:rPr>
        <w:t>aéroportuaire,</w:t>
      </w:r>
      <w:r>
        <w:rPr>
          <w:color w:val="231F20"/>
          <w:spacing w:val="-11"/>
          <w:sz w:val="20"/>
          <w:vertAlign w:val="baseline"/>
        </w:rPr>
        <w:t> </w:t>
      </w:r>
      <w:r>
        <w:rPr>
          <w:color w:val="231F20"/>
          <w:sz w:val="20"/>
          <w:vertAlign w:val="baseline"/>
        </w:rPr>
        <w:t>” Parc des</w:t>
      </w:r>
      <w:r>
        <w:rPr>
          <w:color w:val="231F20"/>
          <w:spacing w:val="-2"/>
          <w:sz w:val="20"/>
          <w:vertAlign w:val="baseline"/>
        </w:rPr>
        <w:t> </w:t>
      </w:r>
      <w:r>
        <w:rPr>
          <w:color w:val="231F20"/>
          <w:sz w:val="20"/>
          <w:vertAlign w:val="baseline"/>
        </w:rPr>
        <w:t>expositions de Port-Bouët ”</w:t>
      </w:r>
      <w:r>
        <w:rPr>
          <w:color w:val="231F20"/>
          <w:spacing w:val="-1"/>
          <w:sz w:val="20"/>
          <w:vertAlign w:val="baseline"/>
        </w:rPr>
        <w:t> </w:t>
      </w:r>
      <w:r>
        <w:rPr>
          <w:color w:val="231F20"/>
          <w:sz w:val="20"/>
          <w:vertAlign w:val="baseline"/>
        </w:rPr>
        <w:t>et</w:t>
      </w:r>
      <w:r>
        <w:rPr>
          <w:color w:val="231F20"/>
          <w:spacing w:val="-2"/>
          <w:sz w:val="20"/>
          <w:vertAlign w:val="baseline"/>
        </w:rPr>
        <w:t> </w:t>
      </w:r>
      <w:r>
        <w:rPr>
          <w:color w:val="231F20"/>
          <w:sz w:val="20"/>
          <w:vertAlign w:val="baseline"/>
        </w:rPr>
        <w:t>marina.</w:t>
      </w:r>
    </w:p>
    <w:p>
      <w:pPr>
        <w:spacing w:line="230" w:lineRule="exact" w:before="0"/>
        <w:ind w:left="111" w:right="0" w:firstLine="0"/>
        <w:jc w:val="left"/>
        <w:rPr>
          <w:sz w:val="20"/>
        </w:rPr>
      </w:pPr>
      <w:r>
        <w:rPr>
          <w:color w:val="231F20"/>
          <w:spacing w:val="-4"/>
          <w:sz w:val="20"/>
          <w:vertAlign w:val="superscript"/>
        </w:rPr>
        <w:t>220</w:t>
      </w:r>
      <w:r>
        <w:rPr>
          <w:color w:val="231F20"/>
          <w:spacing w:val="-4"/>
          <w:sz w:val="20"/>
          <w:vertAlign w:val="baseline"/>
        </w:rPr>
        <w:t>Xavier</w:t>
      </w:r>
      <w:r>
        <w:rPr>
          <w:color w:val="231F20"/>
          <w:spacing w:val="-12"/>
          <w:sz w:val="20"/>
          <w:vertAlign w:val="baseline"/>
        </w:rPr>
        <w:t> </w:t>
      </w:r>
      <w:r>
        <w:rPr>
          <w:color w:val="231F20"/>
          <w:spacing w:val="-4"/>
          <w:sz w:val="20"/>
          <w:vertAlign w:val="baseline"/>
        </w:rPr>
        <w:t>Aurégan,</w:t>
      </w:r>
      <w:r>
        <w:rPr>
          <w:color w:val="231F20"/>
          <w:spacing w:val="-11"/>
          <w:sz w:val="20"/>
          <w:vertAlign w:val="baseline"/>
        </w:rPr>
        <w:t> </w:t>
      </w:r>
      <w:r>
        <w:rPr>
          <w:color w:val="231F20"/>
          <w:spacing w:val="-4"/>
          <w:sz w:val="20"/>
          <w:vertAlign w:val="baseline"/>
        </w:rPr>
        <w:t>Géopolitique</w:t>
      </w:r>
      <w:r>
        <w:rPr>
          <w:color w:val="231F20"/>
          <w:spacing w:val="-14"/>
          <w:sz w:val="20"/>
          <w:vertAlign w:val="baseline"/>
        </w:rPr>
        <w:t> </w:t>
      </w:r>
      <w:r>
        <w:rPr>
          <w:color w:val="231F20"/>
          <w:spacing w:val="-4"/>
          <w:sz w:val="20"/>
          <w:vertAlign w:val="baseline"/>
        </w:rPr>
        <w:t>de</w:t>
      </w:r>
      <w:r>
        <w:rPr>
          <w:color w:val="231F20"/>
          <w:spacing w:val="-11"/>
          <w:sz w:val="20"/>
          <w:vertAlign w:val="baseline"/>
        </w:rPr>
        <w:t> </w:t>
      </w:r>
      <w:r>
        <w:rPr>
          <w:color w:val="231F20"/>
          <w:spacing w:val="-4"/>
          <w:sz w:val="20"/>
          <w:vertAlign w:val="baseline"/>
        </w:rPr>
        <w:t>la</w:t>
      </w:r>
      <w:r>
        <w:rPr>
          <w:color w:val="231F20"/>
          <w:spacing w:val="-11"/>
          <w:sz w:val="20"/>
          <w:vertAlign w:val="baseline"/>
        </w:rPr>
        <w:t> </w:t>
      </w:r>
      <w:r>
        <w:rPr>
          <w:color w:val="231F20"/>
          <w:spacing w:val="-4"/>
          <w:sz w:val="20"/>
          <w:vertAlign w:val="baseline"/>
        </w:rPr>
        <w:t>Chine</w:t>
      </w:r>
      <w:r>
        <w:rPr>
          <w:color w:val="231F20"/>
          <w:spacing w:val="-13"/>
          <w:sz w:val="20"/>
          <w:vertAlign w:val="baseline"/>
        </w:rPr>
        <w:t> </w:t>
      </w:r>
      <w:r>
        <w:rPr>
          <w:color w:val="231F20"/>
          <w:spacing w:val="-4"/>
          <w:sz w:val="20"/>
          <w:vertAlign w:val="baseline"/>
        </w:rPr>
        <w:t>en</w:t>
      </w:r>
      <w:r>
        <w:rPr>
          <w:color w:val="231F20"/>
          <w:spacing w:val="-11"/>
          <w:sz w:val="20"/>
          <w:vertAlign w:val="baseline"/>
        </w:rPr>
        <w:t> </w:t>
      </w:r>
      <w:r>
        <w:rPr>
          <w:color w:val="231F20"/>
          <w:spacing w:val="-4"/>
          <w:sz w:val="20"/>
          <w:vertAlign w:val="baseline"/>
        </w:rPr>
        <w:t>Côte</w:t>
      </w:r>
      <w:r>
        <w:rPr>
          <w:color w:val="231F20"/>
          <w:spacing w:val="-14"/>
          <w:sz w:val="20"/>
          <w:vertAlign w:val="baseline"/>
        </w:rPr>
        <w:t> </w:t>
      </w:r>
      <w:r>
        <w:rPr>
          <w:color w:val="231F20"/>
          <w:spacing w:val="-4"/>
          <w:sz w:val="20"/>
          <w:vertAlign w:val="baseline"/>
        </w:rPr>
        <w:t>d’Ivoire,</w:t>
      </w:r>
      <w:r>
        <w:rPr>
          <w:color w:val="231F20"/>
          <w:spacing w:val="-13"/>
          <w:sz w:val="20"/>
          <w:vertAlign w:val="baseline"/>
        </w:rPr>
        <w:t> </w:t>
      </w:r>
      <w:r>
        <w:rPr>
          <w:color w:val="231F20"/>
          <w:spacing w:val="-4"/>
          <w:sz w:val="20"/>
          <w:vertAlign w:val="baseline"/>
        </w:rPr>
        <w:t>Paris,</w:t>
      </w:r>
      <w:r>
        <w:rPr>
          <w:color w:val="231F20"/>
          <w:spacing w:val="-11"/>
          <w:sz w:val="20"/>
          <w:vertAlign w:val="baseline"/>
        </w:rPr>
        <w:t> </w:t>
      </w:r>
      <w:r>
        <w:rPr>
          <w:color w:val="231F20"/>
          <w:spacing w:val="-4"/>
          <w:sz w:val="20"/>
          <w:vertAlign w:val="baseline"/>
        </w:rPr>
        <w:t>Riveneuve</w:t>
      </w:r>
      <w:r>
        <w:rPr>
          <w:color w:val="231F20"/>
          <w:spacing w:val="-13"/>
          <w:sz w:val="20"/>
          <w:vertAlign w:val="baseline"/>
        </w:rPr>
        <w:t> </w:t>
      </w:r>
      <w:r>
        <w:rPr>
          <w:color w:val="231F20"/>
          <w:spacing w:val="-4"/>
          <w:sz w:val="20"/>
          <w:vertAlign w:val="baseline"/>
        </w:rPr>
        <w:t>Éditions,</w:t>
      </w:r>
    </w:p>
    <w:p>
      <w:pPr>
        <w:spacing w:before="1"/>
        <w:ind w:left="111" w:right="0" w:firstLine="0"/>
        <w:jc w:val="left"/>
        <w:rPr>
          <w:sz w:val="20"/>
        </w:rPr>
      </w:pPr>
      <w:r>
        <w:rPr>
          <w:color w:val="231F20"/>
          <w:spacing w:val="-2"/>
          <w:sz w:val="20"/>
        </w:rPr>
        <w:t>2016.</w:t>
      </w:r>
    </w:p>
    <w:p>
      <w:pPr>
        <w:spacing w:after="0"/>
        <w:jc w:val="left"/>
        <w:rPr>
          <w:sz w:val="20"/>
        </w:rPr>
        <w:sectPr>
          <w:pgSz w:w="8790" w:h="13610"/>
          <w:pgMar w:header="0" w:footer="802" w:top="1060" w:bottom="1000" w:left="880" w:right="880"/>
        </w:sectPr>
      </w:pPr>
    </w:p>
    <w:p>
      <w:pPr>
        <w:pStyle w:val="BodyText"/>
        <w:spacing w:before="66"/>
        <w:ind w:right="104"/>
      </w:pPr>
      <w:r>
        <w:rPr>
          <w:color w:val="231F20"/>
        </w:rPr>
        <w:t>«</w:t>
      </w:r>
      <w:r>
        <w:rPr>
          <w:color w:val="231F20"/>
          <w:spacing w:val="-12"/>
        </w:rPr>
        <w:t> </w:t>
      </w:r>
      <w:r>
        <w:rPr>
          <w:color w:val="231F20"/>
        </w:rPr>
        <w:t>microbes</w:t>
      </w:r>
      <w:r>
        <w:rPr>
          <w:color w:val="231F20"/>
          <w:spacing w:val="-12"/>
        </w:rPr>
        <w:t> </w:t>
      </w:r>
      <w:r>
        <w:rPr>
          <w:color w:val="231F20"/>
        </w:rPr>
        <w:t>» à l’image des vrais microbes, petits mais tueurs. Le désarmement des Dozos supplétifs des FRCI pendant la crise post- </w:t>
      </w:r>
      <w:r>
        <w:rPr>
          <w:color w:val="231F20"/>
          <w:spacing w:val="-2"/>
        </w:rPr>
        <w:t>électorale,</w:t>
      </w:r>
      <w:r>
        <w:rPr>
          <w:color w:val="231F20"/>
          <w:spacing w:val="-13"/>
        </w:rPr>
        <w:t> </w:t>
      </w:r>
      <w:r>
        <w:rPr>
          <w:color w:val="231F20"/>
          <w:spacing w:val="-2"/>
        </w:rPr>
        <w:t>semble</w:t>
      </w:r>
      <w:r>
        <w:rPr>
          <w:color w:val="231F20"/>
          <w:spacing w:val="-8"/>
        </w:rPr>
        <w:t> </w:t>
      </w:r>
      <w:r>
        <w:rPr>
          <w:color w:val="231F20"/>
          <w:spacing w:val="-2"/>
        </w:rPr>
        <w:t>impossible.</w:t>
      </w:r>
      <w:r>
        <w:rPr>
          <w:color w:val="231F20"/>
          <w:spacing w:val="-13"/>
        </w:rPr>
        <w:t> </w:t>
      </w:r>
      <w:r>
        <w:rPr>
          <w:color w:val="231F20"/>
          <w:spacing w:val="-2"/>
        </w:rPr>
        <w:t>Les</w:t>
      </w:r>
      <w:r>
        <w:rPr>
          <w:color w:val="231F20"/>
          <w:spacing w:val="-6"/>
        </w:rPr>
        <w:t> </w:t>
      </w:r>
      <w:r>
        <w:rPr>
          <w:color w:val="231F20"/>
          <w:spacing w:val="-2"/>
        </w:rPr>
        <w:t>milliers</w:t>
      </w:r>
      <w:r>
        <w:rPr>
          <w:color w:val="231F20"/>
          <w:spacing w:val="-6"/>
        </w:rPr>
        <w:t> </w:t>
      </w:r>
      <w:r>
        <w:rPr>
          <w:color w:val="231F20"/>
          <w:spacing w:val="-2"/>
        </w:rPr>
        <w:t>d’armes</w:t>
      </w:r>
      <w:r>
        <w:rPr>
          <w:color w:val="231F20"/>
          <w:spacing w:val="-9"/>
        </w:rPr>
        <w:t> </w:t>
      </w:r>
      <w:r>
        <w:rPr>
          <w:color w:val="231F20"/>
          <w:spacing w:val="-2"/>
        </w:rPr>
        <w:t>distribués</w:t>
      </w:r>
      <w:r>
        <w:rPr>
          <w:color w:val="231F20"/>
          <w:spacing w:val="-6"/>
        </w:rPr>
        <w:t> </w:t>
      </w:r>
      <w:r>
        <w:rPr>
          <w:color w:val="231F20"/>
          <w:spacing w:val="-2"/>
        </w:rPr>
        <w:t>pendant</w:t>
      </w:r>
      <w:r>
        <w:rPr>
          <w:color w:val="231F20"/>
          <w:spacing w:val="-9"/>
        </w:rPr>
        <w:t> </w:t>
      </w:r>
      <w:r>
        <w:rPr>
          <w:color w:val="231F20"/>
          <w:spacing w:val="-2"/>
        </w:rPr>
        <w:t>la </w:t>
      </w:r>
      <w:r>
        <w:rPr>
          <w:color w:val="231F20"/>
        </w:rPr>
        <w:t>guerre</w:t>
      </w:r>
      <w:r>
        <w:rPr>
          <w:color w:val="231F20"/>
          <w:spacing w:val="-15"/>
        </w:rPr>
        <w:t> </w:t>
      </w:r>
      <w:r>
        <w:rPr>
          <w:color w:val="231F20"/>
        </w:rPr>
        <w:t>et</w:t>
      </w:r>
      <w:r>
        <w:rPr>
          <w:color w:val="231F20"/>
          <w:spacing w:val="-15"/>
        </w:rPr>
        <w:t> </w:t>
      </w:r>
      <w:r>
        <w:rPr>
          <w:color w:val="231F20"/>
        </w:rPr>
        <w:t>restées</w:t>
      </w:r>
      <w:r>
        <w:rPr>
          <w:color w:val="231F20"/>
          <w:spacing w:val="-15"/>
        </w:rPr>
        <w:t> </w:t>
      </w:r>
      <w:r>
        <w:rPr>
          <w:color w:val="231F20"/>
        </w:rPr>
        <w:t>aux</w:t>
      </w:r>
      <w:r>
        <w:rPr>
          <w:color w:val="231F20"/>
          <w:spacing w:val="-15"/>
        </w:rPr>
        <w:t> </w:t>
      </w:r>
      <w:r>
        <w:rPr>
          <w:color w:val="231F20"/>
        </w:rPr>
        <w:t>mains</w:t>
      </w:r>
      <w:r>
        <w:rPr>
          <w:color w:val="231F20"/>
          <w:spacing w:val="-15"/>
        </w:rPr>
        <w:t> </w:t>
      </w:r>
      <w:r>
        <w:rPr>
          <w:color w:val="231F20"/>
        </w:rPr>
        <w:t>des</w:t>
      </w:r>
      <w:r>
        <w:rPr>
          <w:color w:val="231F20"/>
          <w:spacing w:val="-15"/>
        </w:rPr>
        <w:t> </w:t>
      </w:r>
      <w:r>
        <w:rPr>
          <w:color w:val="231F20"/>
        </w:rPr>
        <w:t>ex</w:t>
      </w:r>
      <w:r>
        <w:rPr>
          <w:color w:val="231F20"/>
          <w:spacing w:val="-15"/>
        </w:rPr>
        <w:t> </w:t>
      </w:r>
      <w:r>
        <w:rPr>
          <w:color w:val="231F20"/>
        </w:rPr>
        <w:t>combattants</w:t>
      </w:r>
      <w:r>
        <w:rPr>
          <w:color w:val="231F20"/>
          <w:spacing w:val="-15"/>
        </w:rPr>
        <w:t> </w:t>
      </w:r>
      <w:r>
        <w:rPr>
          <w:color w:val="231F20"/>
        </w:rPr>
        <w:t>rendent</w:t>
      </w:r>
      <w:r>
        <w:rPr>
          <w:color w:val="231F20"/>
          <w:spacing w:val="-15"/>
        </w:rPr>
        <w:t> </w:t>
      </w:r>
      <w:r>
        <w:rPr>
          <w:color w:val="231F20"/>
        </w:rPr>
        <w:t>problématique</w:t>
      </w:r>
      <w:r>
        <w:rPr>
          <w:color w:val="231F20"/>
          <w:spacing w:val="-15"/>
        </w:rPr>
        <w:t> </w:t>
      </w:r>
      <w:r>
        <w:rPr>
          <w:color w:val="231F20"/>
        </w:rPr>
        <w:t>la sécurité de certains axes routiers etc.</w:t>
      </w:r>
    </w:p>
    <w:p>
      <w:pPr>
        <w:pStyle w:val="BodyText"/>
        <w:spacing w:before="120"/>
        <w:ind w:right="104" w:firstLine="283"/>
      </w:pPr>
      <w:r>
        <w:rPr>
          <w:color w:val="231F20"/>
          <w:spacing w:val="-2"/>
        </w:rPr>
        <w:t>En</w:t>
      </w:r>
      <w:r>
        <w:rPr>
          <w:color w:val="231F20"/>
          <w:spacing w:val="-4"/>
        </w:rPr>
        <w:t> </w:t>
      </w:r>
      <w:r>
        <w:rPr>
          <w:color w:val="231F20"/>
          <w:spacing w:val="-2"/>
        </w:rPr>
        <w:t>février</w:t>
      </w:r>
      <w:r>
        <w:rPr>
          <w:color w:val="231F20"/>
          <w:spacing w:val="-4"/>
        </w:rPr>
        <w:t> </w:t>
      </w:r>
      <w:r>
        <w:rPr>
          <w:color w:val="231F20"/>
          <w:spacing w:val="-2"/>
        </w:rPr>
        <w:t>2019,</w:t>
      </w:r>
      <w:r>
        <w:rPr>
          <w:color w:val="231F20"/>
          <w:spacing w:val="-6"/>
        </w:rPr>
        <w:t> </w:t>
      </w:r>
      <w:r>
        <w:rPr>
          <w:color w:val="231F20"/>
          <w:spacing w:val="-2"/>
        </w:rPr>
        <w:t>Guillaume</w:t>
      </w:r>
      <w:r>
        <w:rPr>
          <w:color w:val="231F20"/>
          <w:spacing w:val="-7"/>
        </w:rPr>
        <w:t> </w:t>
      </w:r>
      <w:r>
        <w:rPr>
          <w:color w:val="231F20"/>
          <w:spacing w:val="-2"/>
        </w:rPr>
        <w:t>Soro</w:t>
      </w:r>
      <w:r>
        <w:rPr>
          <w:color w:val="231F20"/>
          <w:spacing w:val="-6"/>
        </w:rPr>
        <w:t> </w:t>
      </w:r>
      <w:r>
        <w:rPr>
          <w:color w:val="231F20"/>
          <w:spacing w:val="-2"/>
        </w:rPr>
        <w:t>refuse</w:t>
      </w:r>
      <w:r>
        <w:rPr>
          <w:color w:val="231F20"/>
          <w:spacing w:val="-7"/>
        </w:rPr>
        <w:t> </w:t>
      </w:r>
      <w:r>
        <w:rPr>
          <w:color w:val="231F20"/>
          <w:spacing w:val="-2"/>
        </w:rPr>
        <w:t>d’adhérer</w:t>
      </w:r>
      <w:r>
        <w:rPr>
          <w:color w:val="231F20"/>
          <w:spacing w:val="-7"/>
        </w:rPr>
        <w:t> </w:t>
      </w:r>
      <w:r>
        <w:rPr>
          <w:color w:val="231F20"/>
          <w:spacing w:val="-2"/>
        </w:rPr>
        <w:t>au</w:t>
      </w:r>
      <w:r>
        <w:rPr>
          <w:color w:val="231F20"/>
          <w:spacing w:val="-4"/>
        </w:rPr>
        <w:t> </w:t>
      </w:r>
      <w:r>
        <w:rPr>
          <w:color w:val="231F20"/>
          <w:spacing w:val="-2"/>
        </w:rPr>
        <w:t>Rassemblement </w:t>
      </w:r>
      <w:r>
        <w:rPr>
          <w:color w:val="231F20"/>
        </w:rPr>
        <w:t>des Houphouëtistes pour la Démocratie et la Paix (RHDP). Sous la pression des extrémistes du Parti nouvellement créé et la caution du </w:t>
      </w:r>
      <w:r>
        <w:rPr>
          <w:color w:val="231F20"/>
          <w:spacing w:val="-2"/>
        </w:rPr>
        <w:t>Président</w:t>
      </w:r>
      <w:r>
        <w:rPr>
          <w:color w:val="231F20"/>
          <w:spacing w:val="-15"/>
        </w:rPr>
        <w:t> </w:t>
      </w:r>
      <w:r>
        <w:rPr>
          <w:color w:val="231F20"/>
          <w:spacing w:val="-2"/>
        </w:rPr>
        <w:t>Alassane</w:t>
      </w:r>
      <w:r>
        <w:rPr>
          <w:color w:val="231F20"/>
          <w:spacing w:val="-13"/>
        </w:rPr>
        <w:t> </w:t>
      </w:r>
      <w:r>
        <w:rPr>
          <w:color w:val="231F20"/>
          <w:spacing w:val="-2"/>
        </w:rPr>
        <w:t>Ouattara,</w:t>
      </w:r>
      <w:r>
        <w:rPr>
          <w:color w:val="231F20"/>
          <w:spacing w:val="-13"/>
        </w:rPr>
        <w:t> </w:t>
      </w:r>
      <w:r>
        <w:rPr>
          <w:color w:val="231F20"/>
          <w:spacing w:val="-2"/>
        </w:rPr>
        <w:t>il</w:t>
      </w:r>
      <w:r>
        <w:rPr>
          <w:color w:val="231F20"/>
          <w:spacing w:val="-13"/>
        </w:rPr>
        <w:t> </w:t>
      </w:r>
      <w:r>
        <w:rPr>
          <w:color w:val="231F20"/>
          <w:spacing w:val="-2"/>
        </w:rPr>
        <w:t>est</w:t>
      </w:r>
      <w:r>
        <w:rPr>
          <w:color w:val="231F20"/>
          <w:spacing w:val="-13"/>
        </w:rPr>
        <w:t> </w:t>
      </w:r>
      <w:r>
        <w:rPr>
          <w:color w:val="231F20"/>
          <w:spacing w:val="-2"/>
        </w:rPr>
        <w:t>poussé</w:t>
      </w:r>
      <w:r>
        <w:rPr>
          <w:color w:val="231F20"/>
          <w:spacing w:val="-13"/>
        </w:rPr>
        <w:t> </w:t>
      </w:r>
      <w:r>
        <w:rPr>
          <w:color w:val="231F20"/>
          <w:spacing w:val="-2"/>
        </w:rPr>
        <w:t>à</w:t>
      </w:r>
      <w:r>
        <w:rPr>
          <w:color w:val="231F20"/>
          <w:spacing w:val="-13"/>
        </w:rPr>
        <w:t> </w:t>
      </w:r>
      <w:r>
        <w:rPr>
          <w:color w:val="231F20"/>
          <w:spacing w:val="-2"/>
        </w:rPr>
        <w:t>la</w:t>
      </w:r>
      <w:r>
        <w:rPr>
          <w:color w:val="231F20"/>
          <w:spacing w:val="-13"/>
        </w:rPr>
        <w:t> </w:t>
      </w:r>
      <w:r>
        <w:rPr>
          <w:color w:val="231F20"/>
          <w:spacing w:val="-2"/>
        </w:rPr>
        <w:t>démission</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Présidence </w:t>
      </w:r>
      <w:r>
        <w:rPr>
          <w:color w:val="231F20"/>
        </w:rPr>
        <w:t>de</w:t>
      </w:r>
      <w:r>
        <w:rPr>
          <w:color w:val="231F20"/>
          <w:spacing w:val="-15"/>
        </w:rPr>
        <w:t> </w:t>
      </w:r>
      <w:r>
        <w:rPr>
          <w:color w:val="231F20"/>
        </w:rPr>
        <w:t>l’Assemblée</w:t>
      </w:r>
      <w:r>
        <w:rPr>
          <w:color w:val="231F20"/>
          <w:spacing w:val="-15"/>
        </w:rPr>
        <w:t> </w:t>
      </w:r>
      <w:r>
        <w:rPr>
          <w:color w:val="231F20"/>
        </w:rPr>
        <w:t>nationale.</w:t>
      </w:r>
      <w:r>
        <w:rPr>
          <w:color w:val="231F20"/>
          <w:spacing w:val="-15"/>
        </w:rPr>
        <w:t> </w:t>
      </w:r>
      <w:r>
        <w:rPr>
          <w:color w:val="231F20"/>
        </w:rPr>
        <w:t>Soro</w:t>
      </w:r>
      <w:r>
        <w:rPr>
          <w:color w:val="231F20"/>
          <w:spacing w:val="-15"/>
        </w:rPr>
        <w:t> </w:t>
      </w:r>
      <w:r>
        <w:rPr>
          <w:color w:val="231F20"/>
        </w:rPr>
        <w:t>part</w:t>
      </w:r>
      <w:r>
        <w:rPr>
          <w:color w:val="231F20"/>
          <w:spacing w:val="-15"/>
        </w:rPr>
        <w:t> </w:t>
      </w:r>
      <w:r>
        <w:rPr>
          <w:color w:val="231F20"/>
        </w:rPr>
        <w:t>en</w:t>
      </w:r>
      <w:r>
        <w:rPr>
          <w:color w:val="231F20"/>
          <w:spacing w:val="-15"/>
        </w:rPr>
        <w:t> </w:t>
      </w:r>
      <w:r>
        <w:rPr>
          <w:color w:val="231F20"/>
        </w:rPr>
        <w:t>exil.</w:t>
      </w:r>
      <w:r>
        <w:rPr>
          <w:color w:val="231F20"/>
          <w:spacing w:val="-15"/>
        </w:rPr>
        <w:t> </w:t>
      </w:r>
      <w:r>
        <w:rPr>
          <w:color w:val="231F20"/>
        </w:rPr>
        <w:t>Ses</w:t>
      </w:r>
      <w:r>
        <w:rPr>
          <w:color w:val="231F20"/>
          <w:spacing w:val="-15"/>
        </w:rPr>
        <w:t> </w:t>
      </w:r>
      <w:r>
        <w:rPr>
          <w:color w:val="231F20"/>
        </w:rPr>
        <w:t>partisans</w:t>
      </w:r>
      <w:r>
        <w:rPr>
          <w:color w:val="231F20"/>
          <w:spacing w:val="-15"/>
        </w:rPr>
        <w:t> </w:t>
      </w:r>
      <w:r>
        <w:rPr>
          <w:color w:val="231F20"/>
        </w:rPr>
        <w:t>à</w:t>
      </w:r>
      <w:r>
        <w:rPr>
          <w:color w:val="231F20"/>
          <w:spacing w:val="-15"/>
        </w:rPr>
        <w:t> </w:t>
      </w:r>
      <w:r>
        <w:rPr>
          <w:color w:val="231F20"/>
        </w:rPr>
        <w:t>Abidjan</w:t>
      </w:r>
      <w:r>
        <w:rPr>
          <w:color w:val="231F20"/>
          <w:spacing w:val="-15"/>
        </w:rPr>
        <w:t> </w:t>
      </w:r>
      <w:r>
        <w:rPr>
          <w:color w:val="231F20"/>
        </w:rPr>
        <w:t>sont jetés en prison.</w:t>
      </w:r>
    </w:p>
    <w:p>
      <w:pPr>
        <w:spacing w:before="121"/>
        <w:ind w:left="111" w:right="106" w:firstLine="283"/>
        <w:jc w:val="both"/>
        <w:rPr>
          <w:i/>
          <w:sz w:val="24"/>
        </w:rPr>
      </w:pPr>
      <w:r>
        <w:rPr>
          <w:i/>
          <w:color w:val="231F20"/>
          <w:spacing w:val="-4"/>
          <w:sz w:val="24"/>
        </w:rPr>
        <w:t>Le</w:t>
      </w:r>
      <w:r>
        <w:rPr>
          <w:i/>
          <w:color w:val="231F20"/>
          <w:spacing w:val="-11"/>
          <w:sz w:val="24"/>
        </w:rPr>
        <w:t> </w:t>
      </w:r>
      <w:r>
        <w:rPr>
          <w:i/>
          <w:color w:val="231F20"/>
          <w:spacing w:val="-4"/>
          <w:sz w:val="24"/>
        </w:rPr>
        <w:t>12</w:t>
      </w:r>
      <w:r>
        <w:rPr>
          <w:i/>
          <w:color w:val="231F20"/>
          <w:spacing w:val="-11"/>
          <w:sz w:val="24"/>
        </w:rPr>
        <w:t> </w:t>
      </w:r>
      <w:r>
        <w:rPr>
          <w:i/>
          <w:color w:val="231F20"/>
          <w:spacing w:val="-4"/>
          <w:sz w:val="24"/>
        </w:rPr>
        <w:t>octobre</w:t>
      </w:r>
      <w:r>
        <w:rPr>
          <w:i/>
          <w:color w:val="231F20"/>
          <w:spacing w:val="-11"/>
          <w:sz w:val="24"/>
        </w:rPr>
        <w:t> </w:t>
      </w:r>
      <w:r>
        <w:rPr>
          <w:i/>
          <w:color w:val="231F20"/>
          <w:spacing w:val="-4"/>
          <w:sz w:val="24"/>
        </w:rPr>
        <w:t>2019</w:t>
      </w:r>
      <w:r>
        <w:rPr>
          <w:color w:val="231F20"/>
          <w:spacing w:val="-4"/>
          <w:sz w:val="24"/>
        </w:rPr>
        <w:t>,</w:t>
      </w:r>
      <w:r>
        <w:rPr>
          <w:color w:val="231F20"/>
          <w:spacing w:val="-11"/>
          <w:sz w:val="24"/>
        </w:rPr>
        <w:t> </w:t>
      </w:r>
      <w:r>
        <w:rPr>
          <w:color w:val="231F20"/>
          <w:spacing w:val="-4"/>
          <w:sz w:val="24"/>
        </w:rPr>
        <w:t>depuis</w:t>
      </w:r>
      <w:r>
        <w:rPr>
          <w:color w:val="231F20"/>
          <w:spacing w:val="-11"/>
          <w:sz w:val="24"/>
        </w:rPr>
        <w:t> </w:t>
      </w:r>
      <w:r>
        <w:rPr>
          <w:color w:val="231F20"/>
          <w:spacing w:val="-4"/>
          <w:sz w:val="24"/>
        </w:rPr>
        <w:t>l’Europe,</w:t>
      </w:r>
      <w:r>
        <w:rPr>
          <w:color w:val="231F20"/>
          <w:spacing w:val="-11"/>
          <w:sz w:val="24"/>
        </w:rPr>
        <w:t> </w:t>
      </w:r>
      <w:r>
        <w:rPr>
          <w:color w:val="231F20"/>
          <w:spacing w:val="-4"/>
          <w:sz w:val="24"/>
        </w:rPr>
        <w:t>Soro</w:t>
      </w:r>
      <w:r>
        <w:rPr>
          <w:color w:val="231F20"/>
          <w:spacing w:val="-11"/>
          <w:sz w:val="24"/>
        </w:rPr>
        <w:t> </w:t>
      </w:r>
      <w:r>
        <w:rPr>
          <w:color w:val="231F20"/>
          <w:spacing w:val="-4"/>
          <w:sz w:val="24"/>
        </w:rPr>
        <w:t>Guillaume</w:t>
      </w:r>
      <w:r>
        <w:rPr>
          <w:color w:val="231F20"/>
          <w:spacing w:val="-11"/>
          <w:sz w:val="24"/>
        </w:rPr>
        <w:t> </w:t>
      </w:r>
      <w:r>
        <w:rPr>
          <w:color w:val="231F20"/>
          <w:spacing w:val="-4"/>
          <w:sz w:val="24"/>
        </w:rPr>
        <w:t>attaque</w:t>
      </w:r>
      <w:r>
        <w:rPr>
          <w:color w:val="231F20"/>
          <w:spacing w:val="-11"/>
          <w:sz w:val="24"/>
        </w:rPr>
        <w:t> </w:t>
      </w:r>
      <w:r>
        <w:rPr>
          <w:color w:val="231F20"/>
          <w:spacing w:val="-4"/>
          <w:sz w:val="24"/>
        </w:rPr>
        <w:t>Alassane </w:t>
      </w:r>
      <w:r>
        <w:rPr>
          <w:color w:val="231F20"/>
          <w:sz w:val="24"/>
        </w:rPr>
        <w:t>Ouattara : «</w:t>
      </w:r>
      <w:r>
        <w:rPr>
          <w:color w:val="231F20"/>
          <w:spacing w:val="-10"/>
          <w:sz w:val="24"/>
        </w:rPr>
        <w:t> </w:t>
      </w:r>
      <w:r>
        <w:rPr>
          <w:i/>
          <w:color w:val="231F20"/>
          <w:sz w:val="24"/>
        </w:rPr>
        <w:t>Or donc «</w:t>
      </w:r>
      <w:r>
        <w:rPr>
          <w:i/>
          <w:color w:val="231F20"/>
          <w:spacing w:val="-9"/>
          <w:sz w:val="24"/>
        </w:rPr>
        <w:t> </w:t>
      </w:r>
      <w:r>
        <w:rPr>
          <w:i/>
          <w:color w:val="231F20"/>
          <w:sz w:val="24"/>
        </w:rPr>
        <w:t>ADO Solution</w:t>
      </w:r>
      <w:r>
        <w:rPr>
          <w:i/>
          <w:color w:val="231F20"/>
          <w:spacing w:val="-12"/>
          <w:sz w:val="24"/>
        </w:rPr>
        <w:t> </w:t>
      </w:r>
      <w:r>
        <w:rPr>
          <w:i/>
          <w:color w:val="231F20"/>
          <w:sz w:val="24"/>
        </w:rPr>
        <w:t>», c’est de la poudre de</w:t>
      </w:r>
      <w:r>
        <w:rPr>
          <w:i/>
          <w:color w:val="231F20"/>
          <w:sz w:val="24"/>
        </w:rPr>
        <w:t> perlimpinpin</w:t>
      </w:r>
      <w:r>
        <w:rPr>
          <w:i/>
          <w:color w:val="231F20"/>
          <w:spacing w:val="-15"/>
          <w:sz w:val="24"/>
        </w:rPr>
        <w:t> </w:t>
      </w:r>
      <w:r>
        <w:rPr>
          <w:i/>
          <w:color w:val="231F20"/>
          <w:sz w:val="24"/>
        </w:rPr>
        <w:t>(…).</w:t>
      </w:r>
      <w:r>
        <w:rPr>
          <w:i/>
          <w:color w:val="231F20"/>
          <w:spacing w:val="-15"/>
          <w:sz w:val="24"/>
        </w:rPr>
        <w:t> </w:t>
      </w:r>
      <w:r>
        <w:rPr>
          <w:i/>
          <w:color w:val="231F20"/>
          <w:sz w:val="24"/>
        </w:rPr>
        <w:t>Il</w:t>
      </w:r>
      <w:r>
        <w:rPr>
          <w:i/>
          <w:color w:val="231F20"/>
          <w:spacing w:val="-15"/>
          <w:sz w:val="24"/>
        </w:rPr>
        <w:t> </w:t>
      </w:r>
      <w:r>
        <w:rPr>
          <w:i/>
          <w:color w:val="231F20"/>
          <w:sz w:val="24"/>
        </w:rPr>
        <w:t>n’y</w:t>
      </w:r>
      <w:r>
        <w:rPr>
          <w:i/>
          <w:color w:val="231F20"/>
          <w:spacing w:val="-15"/>
          <w:sz w:val="24"/>
        </w:rPr>
        <w:t> </w:t>
      </w:r>
      <w:r>
        <w:rPr>
          <w:i/>
          <w:color w:val="231F20"/>
          <w:sz w:val="24"/>
        </w:rPr>
        <w:t>a</w:t>
      </w:r>
      <w:r>
        <w:rPr>
          <w:i/>
          <w:color w:val="231F20"/>
          <w:spacing w:val="-15"/>
          <w:sz w:val="24"/>
        </w:rPr>
        <w:t> </w:t>
      </w:r>
      <w:r>
        <w:rPr>
          <w:i/>
          <w:color w:val="231F20"/>
          <w:sz w:val="24"/>
        </w:rPr>
        <w:t>pas</w:t>
      </w:r>
      <w:r>
        <w:rPr>
          <w:i/>
          <w:color w:val="231F20"/>
          <w:spacing w:val="-15"/>
          <w:sz w:val="24"/>
        </w:rPr>
        <w:t> </w:t>
      </w:r>
      <w:r>
        <w:rPr>
          <w:i/>
          <w:color w:val="231F20"/>
          <w:sz w:val="24"/>
        </w:rPr>
        <w:t>quelqu’un</w:t>
      </w:r>
      <w:r>
        <w:rPr>
          <w:i/>
          <w:color w:val="231F20"/>
          <w:spacing w:val="-15"/>
          <w:sz w:val="24"/>
        </w:rPr>
        <w:t> </w:t>
      </w:r>
      <w:r>
        <w:rPr>
          <w:i/>
          <w:color w:val="231F20"/>
          <w:sz w:val="24"/>
        </w:rPr>
        <w:t>qui</w:t>
      </w:r>
      <w:r>
        <w:rPr>
          <w:i/>
          <w:color w:val="231F20"/>
          <w:spacing w:val="-15"/>
          <w:sz w:val="24"/>
        </w:rPr>
        <w:t> </w:t>
      </w:r>
      <w:r>
        <w:rPr>
          <w:i/>
          <w:color w:val="231F20"/>
          <w:sz w:val="24"/>
        </w:rPr>
        <w:t>est</w:t>
      </w:r>
      <w:r>
        <w:rPr>
          <w:i/>
          <w:color w:val="231F20"/>
          <w:spacing w:val="-15"/>
          <w:sz w:val="24"/>
        </w:rPr>
        <w:t> </w:t>
      </w:r>
      <w:r>
        <w:rPr>
          <w:i/>
          <w:color w:val="231F20"/>
          <w:sz w:val="24"/>
        </w:rPr>
        <w:t>super</w:t>
      </w:r>
      <w:r>
        <w:rPr>
          <w:i/>
          <w:color w:val="231F20"/>
          <w:spacing w:val="-15"/>
          <w:sz w:val="24"/>
        </w:rPr>
        <w:t> </w:t>
      </w:r>
      <w:r>
        <w:rPr>
          <w:i/>
          <w:color w:val="231F20"/>
          <w:sz w:val="24"/>
        </w:rPr>
        <w:t>intelligent</w:t>
      </w:r>
      <w:r>
        <w:rPr>
          <w:i/>
          <w:color w:val="231F20"/>
          <w:spacing w:val="-15"/>
          <w:sz w:val="24"/>
        </w:rPr>
        <w:t> </w:t>
      </w:r>
      <w:r>
        <w:rPr>
          <w:i/>
          <w:color w:val="231F20"/>
          <w:sz w:val="24"/>
        </w:rPr>
        <w:t>et</w:t>
      </w:r>
      <w:r>
        <w:rPr>
          <w:i/>
          <w:color w:val="231F20"/>
          <w:spacing w:val="-15"/>
          <w:sz w:val="24"/>
        </w:rPr>
        <w:t> </w:t>
      </w:r>
      <w:r>
        <w:rPr>
          <w:i/>
          <w:color w:val="231F20"/>
          <w:sz w:val="24"/>
        </w:rPr>
        <w:t>nous </w:t>
      </w:r>
      <w:r>
        <w:rPr>
          <w:i/>
          <w:color w:val="231F20"/>
          <w:spacing w:val="-4"/>
          <w:sz w:val="24"/>
        </w:rPr>
        <w:t>autres</w:t>
      </w:r>
      <w:r>
        <w:rPr>
          <w:i/>
          <w:color w:val="231F20"/>
          <w:spacing w:val="-9"/>
          <w:sz w:val="24"/>
        </w:rPr>
        <w:t> </w:t>
      </w:r>
      <w:r>
        <w:rPr>
          <w:i/>
          <w:color w:val="231F20"/>
          <w:spacing w:val="-4"/>
          <w:sz w:val="24"/>
        </w:rPr>
        <w:t>sommes</w:t>
      </w:r>
      <w:r>
        <w:rPr>
          <w:i/>
          <w:color w:val="231F20"/>
          <w:spacing w:val="-7"/>
          <w:sz w:val="24"/>
        </w:rPr>
        <w:t> </w:t>
      </w:r>
      <w:r>
        <w:rPr>
          <w:i/>
          <w:color w:val="231F20"/>
          <w:spacing w:val="-4"/>
          <w:sz w:val="24"/>
        </w:rPr>
        <w:t>supers</w:t>
      </w:r>
      <w:r>
        <w:rPr>
          <w:i/>
          <w:color w:val="231F20"/>
          <w:spacing w:val="-7"/>
          <w:sz w:val="24"/>
        </w:rPr>
        <w:t> </w:t>
      </w:r>
      <w:r>
        <w:rPr>
          <w:i/>
          <w:color w:val="231F20"/>
          <w:spacing w:val="-4"/>
          <w:sz w:val="24"/>
        </w:rPr>
        <w:t>bêtes.</w:t>
      </w:r>
      <w:r>
        <w:rPr>
          <w:i/>
          <w:color w:val="231F20"/>
          <w:spacing w:val="-7"/>
          <w:sz w:val="24"/>
        </w:rPr>
        <w:t> </w:t>
      </w:r>
      <w:r>
        <w:rPr>
          <w:i/>
          <w:color w:val="231F20"/>
          <w:spacing w:val="-4"/>
          <w:sz w:val="24"/>
        </w:rPr>
        <w:t>Comment</w:t>
      </w:r>
      <w:r>
        <w:rPr>
          <w:i/>
          <w:color w:val="231F20"/>
          <w:spacing w:val="-6"/>
          <w:sz w:val="24"/>
        </w:rPr>
        <w:t> </w:t>
      </w:r>
      <w:r>
        <w:rPr>
          <w:i/>
          <w:color w:val="231F20"/>
          <w:spacing w:val="-4"/>
          <w:sz w:val="24"/>
        </w:rPr>
        <w:t>tu</w:t>
      </w:r>
      <w:r>
        <w:rPr>
          <w:i/>
          <w:color w:val="231F20"/>
          <w:spacing w:val="-7"/>
          <w:sz w:val="24"/>
        </w:rPr>
        <w:t> </w:t>
      </w:r>
      <w:r>
        <w:rPr>
          <w:i/>
          <w:color w:val="231F20"/>
          <w:spacing w:val="-4"/>
          <w:sz w:val="24"/>
        </w:rPr>
        <w:t>peux</w:t>
      </w:r>
      <w:r>
        <w:rPr>
          <w:i/>
          <w:color w:val="231F20"/>
          <w:spacing w:val="-7"/>
          <w:sz w:val="24"/>
        </w:rPr>
        <w:t> </w:t>
      </w:r>
      <w:r>
        <w:rPr>
          <w:i/>
          <w:color w:val="231F20"/>
          <w:spacing w:val="-4"/>
          <w:sz w:val="24"/>
        </w:rPr>
        <w:t>être</w:t>
      </w:r>
      <w:r>
        <w:rPr>
          <w:i/>
          <w:color w:val="231F20"/>
          <w:spacing w:val="-7"/>
          <w:sz w:val="24"/>
        </w:rPr>
        <w:t> </w:t>
      </w:r>
      <w:r>
        <w:rPr>
          <w:i/>
          <w:color w:val="231F20"/>
          <w:spacing w:val="-4"/>
          <w:sz w:val="24"/>
        </w:rPr>
        <w:t>assis</w:t>
      </w:r>
      <w:r>
        <w:rPr>
          <w:i/>
          <w:color w:val="231F20"/>
          <w:spacing w:val="-7"/>
          <w:sz w:val="24"/>
        </w:rPr>
        <w:t> </w:t>
      </w:r>
      <w:r>
        <w:rPr>
          <w:i/>
          <w:color w:val="231F20"/>
          <w:spacing w:val="-4"/>
          <w:sz w:val="24"/>
        </w:rPr>
        <w:t>dans</w:t>
      </w:r>
      <w:r>
        <w:rPr>
          <w:i/>
          <w:color w:val="231F20"/>
          <w:spacing w:val="-7"/>
          <w:sz w:val="24"/>
        </w:rPr>
        <w:t> </w:t>
      </w:r>
      <w:r>
        <w:rPr>
          <w:i/>
          <w:color w:val="231F20"/>
          <w:spacing w:val="-4"/>
          <w:sz w:val="24"/>
        </w:rPr>
        <w:t>ta</w:t>
      </w:r>
      <w:r>
        <w:rPr>
          <w:i/>
          <w:color w:val="231F20"/>
          <w:spacing w:val="-7"/>
          <w:sz w:val="24"/>
        </w:rPr>
        <w:t> </w:t>
      </w:r>
      <w:r>
        <w:rPr>
          <w:i/>
          <w:color w:val="231F20"/>
          <w:spacing w:val="-4"/>
          <w:sz w:val="24"/>
        </w:rPr>
        <w:t>chambre climatisée</w:t>
      </w:r>
      <w:r>
        <w:rPr>
          <w:i/>
          <w:color w:val="231F20"/>
          <w:spacing w:val="-11"/>
          <w:sz w:val="24"/>
        </w:rPr>
        <w:t> </w:t>
      </w:r>
      <w:r>
        <w:rPr>
          <w:i/>
          <w:color w:val="231F20"/>
          <w:spacing w:val="-4"/>
          <w:sz w:val="24"/>
        </w:rPr>
        <w:t>et</w:t>
      </w:r>
      <w:r>
        <w:rPr>
          <w:i/>
          <w:color w:val="231F20"/>
          <w:spacing w:val="-11"/>
          <w:sz w:val="24"/>
        </w:rPr>
        <w:t> </w:t>
      </w:r>
      <w:r>
        <w:rPr>
          <w:i/>
          <w:color w:val="231F20"/>
          <w:spacing w:val="-4"/>
          <w:sz w:val="24"/>
        </w:rPr>
        <w:t>savoir</w:t>
      </w:r>
      <w:r>
        <w:rPr>
          <w:i/>
          <w:color w:val="231F20"/>
          <w:spacing w:val="-11"/>
          <w:sz w:val="24"/>
        </w:rPr>
        <w:t> </w:t>
      </w:r>
      <w:r>
        <w:rPr>
          <w:i/>
          <w:color w:val="231F20"/>
          <w:spacing w:val="-4"/>
          <w:sz w:val="24"/>
        </w:rPr>
        <w:t>ce</w:t>
      </w:r>
      <w:r>
        <w:rPr>
          <w:i/>
          <w:color w:val="231F20"/>
          <w:spacing w:val="-10"/>
          <w:sz w:val="24"/>
        </w:rPr>
        <w:t> </w:t>
      </w:r>
      <w:r>
        <w:rPr>
          <w:i/>
          <w:color w:val="231F20"/>
          <w:spacing w:val="-4"/>
          <w:sz w:val="24"/>
        </w:rPr>
        <w:t>que</w:t>
      </w:r>
      <w:r>
        <w:rPr>
          <w:i/>
          <w:color w:val="231F20"/>
          <w:spacing w:val="-11"/>
          <w:sz w:val="24"/>
        </w:rPr>
        <w:t> </w:t>
      </w:r>
      <w:r>
        <w:rPr>
          <w:i/>
          <w:color w:val="231F20"/>
          <w:spacing w:val="-4"/>
          <w:sz w:val="24"/>
        </w:rPr>
        <w:t>le</w:t>
      </w:r>
      <w:r>
        <w:rPr>
          <w:i/>
          <w:color w:val="231F20"/>
          <w:spacing w:val="-10"/>
          <w:sz w:val="24"/>
        </w:rPr>
        <w:t> </w:t>
      </w:r>
      <w:r>
        <w:rPr>
          <w:i/>
          <w:color w:val="231F20"/>
          <w:spacing w:val="-4"/>
          <w:sz w:val="24"/>
        </w:rPr>
        <w:t>paysan</w:t>
      </w:r>
      <w:r>
        <w:rPr>
          <w:i/>
          <w:color w:val="231F20"/>
          <w:spacing w:val="-10"/>
          <w:sz w:val="24"/>
        </w:rPr>
        <w:t> </w:t>
      </w:r>
      <w:r>
        <w:rPr>
          <w:i/>
          <w:color w:val="231F20"/>
          <w:spacing w:val="-4"/>
          <w:sz w:val="24"/>
        </w:rPr>
        <w:t>dans</w:t>
      </w:r>
      <w:r>
        <w:rPr>
          <w:i/>
          <w:color w:val="231F20"/>
          <w:spacing w:val="-11"/>
          <w:sz w:val="24"/>
        </w:rPr>
        <w:t> </w:t>
      </w:r>
      <w:r>
        <w:rPr>
          <w:i/>
          <w:color w:val="231F20"/>
          <w:spacing w:val="-4"/>
          <w:sz w:val="24"/>
        </w:rPr>
        <w:t>sa</w:t>
      </w:r>
      <w:r>
        <w:rPr>
          <w:i/>
          <w:color w:val="231F20"/>
          <w:spacing w:val="-10"/>
          <w:sz w:val="24"/>
        </w:rPr>
        <w:t> </w:t>
      </w:r>
      <w:r>
        <w:rPr>
          <w:i/>
          <w:color w:val="231F20"/>
          <w:spacing w:val="-4"/>
          <w:sz w:val="24"/>
        </w:rPr>
        <w:t>case</w:t>
      </w:r>
      <w:r>
        <w:rPr>
          <w:i/>
          <w:color w:val="231F20"/>
          <w:spacing w:val="-11"/>
          <w:sz w:val="24"/>
        </w:rPr>
        <w:t> </w:t>
      </w:r>
      <w:r>
        <w:rPr>
          <w:i/>
          <w:color w:val="231F20"/>
          <w:spacing w:val="-4"/>
          <w:sz w:val="24"/>
        </w:rPr>
        <w:t>non</w:t>
      </w:r>
      <w:r>
        <w:rPr>
          <w:i/>
          <w:color w:val="231F20"/>
          <w:spacing w:val="-10"/>
          <w:sz w:val="24"/>
        </w:rPr>
        <w:t> </w:t>
      </w:r>
      <w:r>
        <w:rPr>
          <w:i/>
          <w:color w:val="231F20"/>
          <w:spacing w:val="-4"/>
          <w:sz w:val="24"/>
        </w:rPr>
        <w:t>climatisée</w:t>
      </w:r>
      <w:r>
        <w:rPr>
          <w:i/>
          <w:color w:val="231F20"/>
          <w:spacing w:val="-10"/>
          <w:sz w:val="24"/>
        </w:rPr>
        <w:t> </w:t>
      </w:r>
      <w:r>
        <w:rPr>
          <w:i/>
          <w:color w:val="231F20"/>
          <w:spacing w:val="-4"/>
          <w:sz w:val="24"/>
        </w:rPr>
        <w:t>vit</w:t>
      </w:r>
      <w:r>
        <w:rPr>
          <w:i/>
          <w:color w:val="231F20"/>
          <w:spacing w:val="-11"/>
          <w:sz w:val="24"/>
        </w:rPr>
        <w:t> </w:t>
      </w:r>
      <w:r>
        <w:rPr>
          <w:i/>
          <w:color w:val="231F20"/>
          <w:spacing w:val="-4"/>
          <w:sz w:val="24"/>
        </w:rPr>
        <w:t>?</w:t>
      </w:r>
      <w:r>
        <w:rPr>
          <w:i/>
          <w:color w:val="231F20"/>
          <w:spacing w:val="-8"/>
          <w:sz w:val="24"/>
        </w:rPr>
        <w:t> </w:t>
      </w:r>
      <w:r>
        <w:rPr>
          <w:i/>
          <w:color w:val="231F20"/>
          <w:spacing w:val="-4"/>
          <w:sz w:val="24"/>
        </w:rPr>
        <w:t>(…) </w:t>
      </w:r>
      <w:r>
        <w:rPr>
          <w:i/>
          <w:color w:val="231F20"/>
          <w:sz w:val="24"/>
        </w:rPr>
        <w:t>Nous, hommes politiques, sommes des menteurs. (…) Quand on vient nous</w:t>
      </w:r>
      <w:r>
        <w:rPr>
          <w:i/>
          <w:color w:val="231F20"/>
          <w:spacing w:val="-11"/>
          <w:sz w:val="24"/>
        </w:rPr>
        <w:t> </w:t>
      </w:r>
      <w:r>
        <w:rPr>
          <w:i/>
          <w:color w:val="231F20"/>
          <w:sz w:val="24"/>
        </w:rPr>
        <w:t>dire</w:t>
      </w:r>
      <w:r>
        <w:rPr>
          <w:i/>
          <w:color w:val="231F20"/>
          <w:spacing w:val="-11"/>
          <w:sz w:val="24"/>
        </w:rPr>
        <w:t> </w:t>
      </w:r>
      <w:r>
        <w:rPr>
          <w:i/>
          <w:color w:val="231F20"/>
          <w:sz w:val="24"/>
        </w:rPr>
        <w:t>qu’on</w:t>
      </w:r>
      <w:r>
        <w:rPr>
          <w:i/>
          <w:color w:val="231F20"/>
          <w:spacing w:val="-11"/>
          <w:sz w:val="24"/>
        </w:rPr>
        <w:t> </w:t>
      </w:r>
      <w:r>
        <w:rPr>
          <w:i/>
          <w:color w:val="231F20"/>
          <w:sz w:val="24"/>
        </w:rPr>
        <w:t>est</w:t>
      </w:r>
      <w:r>
        <w:rPr>
          <w:i/>
          <w:color w:val="231F20"/>
          <w:spacing w:val="-11"/>
          <w:sz w:val="24"/>
        </w:rPr>
        <w:t> </w:t>
      </w:r>
      <w:r>
        <w:rPr>
          <w:i/>
          <w:color w:val="231F20"/>
          <w:sz w:val="24"/>
        </w:rPr>
        <w:t>premier</w:t>
      </w:r>
      <w:r>
        <w:rPr>
          <w:i/>
          <w:color w:val="231F20"/>
          <w:spacing w:val="-10"/>
          <w:sz w:val="24"/>
        </w:rPr>
        <w:t> </w:t>
      </w:r>
      <w:r>
        <w:rPr>
          <w:i/>
          <w:color w:val="231F20"/>
          <w:sz w:val="24"/>
        </w:rPr>
        <w:t>en</w:t>
      </w:r>
      <w:r>
        <w:rPr>
          <w:i/>
          <w:color w:val="231F20"/>
          <w:spacing w:val="-11"/>
          <w:sz w:val="24"/>
        </w:rPr>
        <w:t> </w:t>
      </w:r>
      <w:r>
        <w:rPr>
          <w:i/>
          <w:color w:val="231F20"/>
          <w:sz w:val="24"/>
        </w:rPr>
        <w:t>Afrique.</w:t>
      </w:r>
      <w:r>
        <w:rPr>
          <w:i/>
          <w:color w:val="231F20"/>
          <w:spacing w:val="-11"/>
          <w:sz w:val="24"/>
        </w:rPr>
        <w:t> </w:t>
      </w:r>
      <w:r>
        <w:rPr>
          <w:i/>
          <w:color w:val="231F20"/>
          <w:sz w:val="24"/>
        </w:rPr>
        <w:t>Pardonnez</w:t>
      </w:r>
      <w:r>
        <w:rPr>
          <w:i/>
          <w:color w:val="231F20"/>
          <w:spacing w:val="-13"/>
          <w:sz w:val="24"/>
        </w:rPr>
        <w:t> </w:t>
      </w:r>
      <w:r>
        <w:rPr>
          <w:i/>
          <w:color w:val="231F20"/>
          <w:sz w:val="24"/>
        </w:rPr>
        <w:t>dites-nous</w:t>
      </w:r>
      <w:r>
        <w:rPr>
          <w:i/>
          <w:color w:val="231F20"/>
          <w:spacing w:val="-11"/>
          <w:sz w:val="24"/>
        </w:rPr>
        <w:t> </w:t>
      </w:r>
      <w:r>
        <w:rPr>
          <w:i/>
          <w:color w:val="231F20"/>
          <w:sz w:val="24"/>
        </w:rPr>
        <w:t>un</w:t>
      </w:r>
      <w:r>
        <w:rPr>
          <w:i/>
          <w:color w:val="231F20"/>
          <w:spacing w:val="-11"/>
          <w:sz w:val="24"/>
        </w:rPr>
        <w:t> </w:t>
      </w:r>
      <w:r>
        <w:rPr>
          <w:i/>
          <w:color w:val="231F20"/>
          <w:sz w:val="24"/>
        </w:rPr>
        <w:t>peu</w:t>
      </w:r>
      <w:r>
        <w:rPr>
          <w:i/>
          <w:color w:val="231F20"/>
          <w:spacing w:val="-11"/>
          <w:sz w:val="24"/>
        </w:rPr>
        <w:t> </w:t>
      </w:r>
      <w:r>
        <w:rPr>
          <w:i/>
          <w:color w:val="231F20"/>
          <w:sz w:val="24"/>
        </w:rPr>
        <w:t>la </w:t>
      </w:r>
      <w:r>
        <w:rPr>
          <w:i/>
          <w:color w:val="231F20"/>
          <w:spacing w:val="-2"/>
          <w:sz w:val="24"/>
        </w:rPr>
        <w:t>vérité.</w:t>
      </w:r>
      <w:r>
        <w:rPr>
          <w:i/>
          <w:color w:val="231F20"/>
          <w:spacing w:val="-8"/>
          <w:sz w:val="24"/>
        </w:rPr>
        <w:t> </w:t>
      </w:r>
      <w:r>
        <w:rPr>
          <w:i/>
          <w:color w:val="231F20"/>
          <w:spacing w:val="-2"/>
          <w:sz w:val="24"/>
        </w:rPr>
        <w:t>Peut-être</w:t>
      </w:r>
      <w:r>
        <w:rPr>
          <w:i/>
          <w:color w:val="231F20"/>
          <w:spacing w:val="-8"/>
          <w:sz w:val="24"/>
        </w:rPr>
        <w:t> </w:t>
      </w:r>
      <w:r>
        <w:rPr>
          <w:i/>
          <w:color w:val="231F20"/>
          <w:spacing w:val="-2"/>
          <w:sz w:val="24"/>
        </w:rPr>
        <w:t>que</w:t>
      </w:r>
      <w:r>
        <w:rPr>
          <w:i/>
          <w:color w:val="231F20"/>
          <w:spacing w:val="-8"/>
          <w:sz w:val="24"/>
        </w:rPr>
        <w:t> </w:t>
      </w:r>
      <w:r>
        <w:rPr>
          <w:i/>
          <w:color w:val="231F20"/>
          <w:spacing w:val="-2"/>
          <w:sz w:val="24"/>
        </w:rPr>
        <w:t>si</w:t>
      </w:r>
      <w:r>
        <w:rPr>
          <w:i/>
          <w:color w:val="231F20"/>
          <w:spacing w:val="-7"/>
          <w:sz w:val="24"/>
        </w:rPr>
        <w:t> </w:t>
      </w:r>
      <w:r>
        <w:rPr>
          <w:i/>
          <w:color w:val="231F20"/>
          <w:spacing w:val="-2"/>
          <w:sz w:val="24"/>
        </w:rPr>
        <w:t>on</w:t>
      </w:r>
      <w:r>
        <w:rPr>
          <w:i/>
          <w:color w:val="231F20"/>
          <w:spacing w:val="-10"/>
          <w:sz w:val="24"/>
        </w:rPr>
        <w:t> </w:t>
      </w:r>
      <w:r>
        <w:rPr>
          <w:i/>
          <w:color w:val="231F20"/>
          <w:spacing w:val="-2"/>
          <w:sz w:val="24"/>
        </w:rPr>
        <w:t>dit</w:t>
      </w:r>
      <w:r>
        <w:rPr>
          <w:i/>
          <w:color w:val="231F20"/>
          <w:spacing w:val="-10"/>
          <w:sz w:val="24"/>
        </w:rPr>
        <w:t> </w:t>
      </w:r>
      <w:r>
        <w:rPr>
          <w:i/>
          <w:color w:val="231F20"/>
          <w:spacing w:val="-2"/>
          <w:sz w:val="24"/>
        </w:rPr>
        <w:t>la</w:t>
      </w:r>
      <w:r>
        <w:rPr>
          <w:i/>
          <w:color w:val="231F20"/>
          <w:spacing w:val="-8"/>
          <w:sz w:val="24"/>
        </w:rPr>
        <w:t> </w:t>
      </w:r>
      <w:r>
        <w:rPr>
          <w:i/>
          <w:color w:val="231F20"/>
          <w:spacing w:val="-2"/>
          <w:sz w:val="24"/>
        </w:rPr>
        <w:t>vérité,</w:t>
      </w:r>
      <w:r>
        <w:rPr>
          <w:i/>
          <w:color w:val="231F20"/>
          <w:spacing w:val="-10"/>
          <w:sz w:val="24"/>
        </w:rPr>
        <w:t> </w:t>
      </w:r>
      <w:r>
        <w:rPr>
          <w:i/>
          <w:color w:val="231F20"/>
          <w:spacing w:val="-2"/>
          <w:sz w:val="24"/>
        </w:rPr>
        <w:t>les</w:t>
      </w:r>
      <w:r>
        <w:rPr>
          <w:i/>
          <w:color w:val="231F20"/>
          <w:spacing w:val="-10"/>
          <w:sz w:val="24"/>
        </w:rPr>
        <w:t> </w:t>
      </w:r>
      <w:r>
        <w:rPr>
          <w:i/>
          <w:color w:val="231F20"/>
          <w:spacing w:val="-2"/>
          <w:sz w:val="24"/>
        </w:rPr>
        <w:t>ivoiriens</w:t>
      </w:r>
      <w:r>
        <w:rPr>
          <w:i/>
          <w:color w:val="231F20"/>
          <w:spacing w:val="-10"/>
          <w:sz w:val="24"/>
        </w:rPr>
        <w:t> </w:t>
      </w:r>
      <w:r>
        <w:rPr>
          <w:i/>
          <w:color w:val="231F20"/>
          <w:spacing w:val="-2"/>
          <w:sz w:val="24"/>
        </w:rPr>
        <w:t>vont</w:t>
      </w:r>
      <w:r>
        <w:rPr>
          <w:i/>
          <w:color w:val="231F20"/>
          <w:spacing w:val="-8"/>
          <w:sz w:val="24"/>
        </w:rPr>
        <w:t> </w:t>
      </w:r>
      <w:r>
        <w:rPr>
          <w:i/>
          <w:color w:val="231F20"/>
          <w:spacing w:val="-2"/>
          <w:sz w:val="24"/>
        </w:rPr>
        <w:t>nous</w:t>
      </w:r>
      <w:r>
        <w:rPr>
          <w:i/>
          <w:color w:val="231F20"/>
          <w:spacing w:val="-8"/>
          <w:sz w:val="24"/>
        </w:rPr>
        <w:t> </w:t>
      </w:r>
      <w:r>
        <w:rPr>
          <w:i/>
          <w:color w:val="231F20"/>
          <w:spacing w:val="-2"/>
          <w:sz w:val="24"/>
        </w:rPr>
        <w:t>pardonner </w:t>
      </w:r>
      <w:r>
        <w:rPr>
          <w:i/>
          <w:color w:val="231F20"/>
          <w:sz w:val="24"/>
        </w:rPr>
        <w:t>(…)</w:t>
      </w:r>
      <w:r>
        <w:rPr>
          <w:color w:val="76787A"/>
          <w:sz w:val="24"/>
          <w:vertAlign w:val="superscript"/>
        </w:rPr>
        <w:t>221</w:t>
      </w:r>
      <w:r>
        <w:rPr>
          <w:color w:val="76787A"/>
          <w:sz w:val="24"/>
          <w:vertAlign w:val="baseline"/>
        </w:rPr>
        <w:t> </w:t>
      </w:r>
      <w:r>
        <w:rPr>
          <w:i/>
          <w:color w:val="231F20"/>
          <w:sz w:val="24"/>
          <w:vertAlign w:val="baseline"/>
        </w:rPr>
        <w:t>»</w:t>
      </w:r>
    </w:p>
    <w:p>
      <w:pPr>
        <w:spacing w:before="120"/>
        <w:ind w:left="111" w:right="104" w:firstLine="283"/>
        <w:jc w:val="both"/>
        <w:rPr>
          <w:sz w:val="24"/>
        </w:rPr>
      </w:pPr>
      <w:r>
        <w:rPr>
          <w:color w:val="231F20"/>
          <w:spacing w:val="-2"/>
          <w:sz w:val="24"/>
        </w:rPr>
        <w:t>En</w:t>
      </w:r>
      <w:r>
        <w:rPr>
          <w:color w:val="231F20"/>
          <w:spacing w:val="-15"/>
          <w:sz w:val="24"/>
        </w:rPr>
        <w:t> </w:t>
      </w:r>
      <w:r>
        <w:rPr>
          <w:color w:val="231F20"/>
          <w:spacing w:val="-2"/>
          <w:sz w:val="24"/>
        </w:rPr>
        <w:t>exil</w:t>
      </w:r>
      <w:r>
        <w:rPr>
          <w:color w:val="231F20"/>
          <w:spacing w:val="-13"/>
          <w:sz w:val="24"/>
        </w:rPr>
        <w:t> </w:t>
      </w:r>
      <w:r>
        <w:rPr>
          <w:color w:val="231F20"/>
          <w:spacing w:val="-2"/>
          <w:sz w:val="24"/>
        </w:rPr>
        <w:t>en</w:t>
      </w:r>
      <w:r>
        <w:rPr>
          <w:color w:val="231F20"/>
          <w:spacing w:val="-13"/>
          <w:sz w:val="24"/>
        </w:rPr>
        <w:t> </w:t>
      </w:r>
      <w:r>
        <w:rPr>
          <w:color w:val="231F20"/>
          <w:spacing w:val="-2"/>
          <w:sz w:val="24"/>
        </w:rPr>
        <w:t>France,</w:t>
      </w:r>
      <w:r>
        <w:rPr>
          <w:color w:val="231F20"/>
          <w:spacing w:val="-13"/>
          <w:sz w:val="24"/>
        </w:rPr>
        <w:t> </w:t>
      </w:r>
      <w:r>
        <w:rPr>
          <w:color w:val="231F20"/>
          <w:spacing w:val="-2"/>
          <w:sz w:val="24"/>
        </w:rPr>
        <w:t>Guillaume</w:t>
      </w:r>
      <w:r>
        <w:rPr>
          <w:color w:val="231F20"/>
          <w:spacing w:val="-13"/>
          <w:sz w:val="24"/>
        </w:rPr>
        <w:t> </w:t>
      </w:r>
      <w:r>
        <w:rPr>
          <w:color w:val="231F20"/>
          <w:spacing w:val="-2"/>
          <w:sz w:val="24"/>
        </w:rPr>
        <w:t>Soro</w:t>
      </w:r>
      <w:r>
        <w:rPr>
          <w:color w:val="231F20"/>
          <w:spacing w:val="-13"/>
          <w:sz w:val="24"/>
        </w:rPr>
        <w:t> </w:t>
      </w:r>
      <w:r>
        <w:rPr>
          <w:color w:val="231F20"/>
          <w:spacing w:val="-2"/>
          <w:sz w:val="24"/>
        </w:rPr>
        <w:t>est</w:t>
      </w:r>
      <w:r>
        <w:rPr>
          <w:color w:val="231F20"/>
          <w:spacing w:val="-13"/>
          <w:sz w:val="24"/>
        </w:rPr>
        <w:t> </w:t>
      </w:r>
      <w:r>
        <w:rPr>
          <w:color w:val="231F20"/>
          <w:spacing w:val="-2"/>
          <w:sz w:val="24"/>
        </w:rPr>
        <w:t>condamné</w:t>
      </w:r>
      <w:r>
        <w:rPr>
          <w:color w:val="231F20"/>
          <w:spacing w:val="-13"/>
          <w:sz w:val="24"/>
        </w:rPr>
        <w:t> </w:t>
      </w:r>
      <w:r>
        <w:rPr>
          <w:color w:val="231F20"/>
          <w:spacing w:val="-2"/>
          <w:sz w:val="24"/>
        </w:rPr>
        <w:t>à</w:t>
      </w:r>
      <w:r>
        <w:rPr>
          <w:color w:val="231F20"/>
          <w:spacing w:val="-13"/>
          <w:sz w:val="24"/>
        </w:rPr>
        <w:t> </w:t>
      </w:r>
      <w:r>
        <w:rPr>
          <w:color w:val="231F20"/>
          <w:spacing w:val="-2"/>
          <w:sz w:val="24"/>
        </w:rPr>
        <w:t>Abidjan</w:t>
      </w:r>
      <w:r>
        <w:rPr>
          <w:color w:val="231F20"/>
          <w:spacing w:val="-13"/>
          <w:sz w:val="24"/>
        </w:rPr>
        <w:t> </w:t>
      </w:r>
      <w:r>
        <w:rPr>
          <w:color w:val="231F20"/>
          <w:spacing w:val="-2"/>
          <w:sz w:val="24"/>
        </w:rPr>
        <w:t>:</w:t>
      </w:r>
      <w:r>
        <w:rPr>
          <w:color w:val="231F20"/>
          <w:spacing w:val="-13"/>
          <w:sz w:val="24"/>
        </w:rPr>
        <w:t> </w:t>
      </w:r>
      <w:r>
        <w:rPr>
          <w:color w:val="231F20"/>
          <w:spacing w:val="-2"/>
          <w:sz w:val="24"/>
        </w:rPr>
        <w:t>20</w:t>
      </w:r>
      <w:r>
        <w:rPr>
          <w:color w:val="231F20"/>
          <w:spacing w:val="-13"/>
          <w:sz w:val="24"/>
        </w:rPr>
        <w:t> </w:t>
      </w:r>
      <w:r>
        <w:rPr>
          <w:color w:val="231F20"/>
          <w:spacing w:val="-2"/>
          <w:sz w:val="24"/>
        </w:rPr>
        <w:t>ans</w:t>
      </w:r>
      <w:r>
        <w:rPr>
          <w:color w:val="231F20"/>
          <w:spacing w:val="-13"/>
          <w:sz w:val="24"/>
        </w:rPr>
        <w:t> </w:t>
      </w:r>
      <w:r>
        <w:rPr>
          <w:color w:val="231F20"/>
          <w:spacing w:val="-2"/>
          <w:sz w:val="24"/>
        </w:rPr>
        <w:t>de </w:t>
      </w:r>
      <w:r>
        <w:rPr>
          <w:color w:val="231F20"/>
          <w:sz w:val="24"/>
        </w:rPr>
        <w:t>prison</w:t>
      </w:r>
      <w:r>
        <w:rPr>
          <w:color w:val="231F20"/>
          <w:spacing w:val="-7"/>
          <w:sz w:val="24"/>
        </w:rPr>
        <w:t> </w:t>
      </w:r>
      <w:r>
        <w:rPr>
          <w:color w:val="231F20"/>
          <w:sz w:val="24"/>
        </w:rPr>
        <w:t>et</w:t>
      </w:r>
      <w:r>
        <w:rPr>
          <w:color w:val="231F20"/>
          <w:spacing w:val="-5"/>
          <w:sz w:val="24"/>
        </w:rPr>
        <w:t> </w:t>
      </w:r>
      <w:r>
        <w:rPr>
          <w:color w:val="231F20"/>
          <w:sz w:val="24"/>
        </w:rPr>
        <w:t>à</w:t>
      </w:r>
      <w:r>
        <w:rPr>
          <w:color w:val="231F20"/>
          <w:spacing w:val="-7"/>
          <w:sz w:val="24"/>
        </w:rPr>
        <w:t> </w:t>
      </w:r>
      <w:r>
        <w:rPr>
          <w:color w:val="231F20"/>
          <w:sz w:val="24"/>
        </w:rPr>
        <w:t>la</w:t>
      </w:r>
      <w:r>
        <w:rPr>
          <w:color w:val="231F20"/>
          <w:spacing w:val="-5"/>
          <w:sz w:val="24"/>
        </w:rPr>
        <w:t> </w:t>
      </w:r>
      <w:r>
        <w:rPr>
          <w:color w:val="231F20"/>
          <w:sz w:val="24"/>
        </w:rPr>
        <w:t>privation</w:t>
      </w:r>
      <w:r>
        <w:rPr>
          <w:color w:val="231F20"/>
          <w:spacing w:val="-7"/>
          <w:sz w:val="24"/>
        </w:rPr>
        <w:t> </w:t>
      </w:r>
      <w:r>
        <w:rPr>
          <w:color w:val="231F20"/>
          <w:sz w:val="24"/>
        </w:rPr>
        <w:t>de</w:t>
      </w:r>
      <w:r>
        <w:rPr>
          <w:color w:val="231F20"/>
          <w:spacing w:val="-7"/>
          <w:sz w:val="24"/>
        </w:rPr>
        <w:t> </w:t>
      </w:r>
      <w:r>
        <w:rPr>
          <w:color w:val="231F20"/>
          <w:sz w:val="24"/>
        </w:rPr>
        <w:t>ses</w:t>
      </w:r>
      <w:r>
        <w:rPr>
          <w:color w:val="231F20"/>
          <w:spacing w:val="-5"/>
          <w:sz w:val="24"/>
        </w:rPr>
        <w:t> </w:t>
      </w:r>
      <w:r>
        <w:rPr>
          <w:color w:val="231F20"/>
          <w:sz w:val="24"/>
        </w:rPr>
        <w:t>droits</w:t>
      </w:r>
      <w:r>
        <w:rPr>
          <w:color w:val="231F20"/>
          <w:spacing w:val="-5"/>
          <w:sz w:val="24"/>
        </w:rPr>
        <w:t> </w:t>
      </w:r>
      <w:r>
        <w:rPr>
          <w:color w:val="231F20"/>
          <w:sz w:val="24"/>
        </w:rPr>
        <w:t>civiques</w:t>
      </w:r>
      <w:r>
        <w:rPr>
          <w:color w:val="231F20"/>
          <w:spacing w:val="-5"/>
          <w:sz w:val="24"/>
        </w:rPr>
        <w:t> </w:t>
      </w:r>
      <w:r>
        <w:rPr>
          <w:color w:val="231F20"/>
          <w:sz w:val="24"/>
        </w:rPr>
        <w:t>pendant</w:t>
      </w:r>
      <w:r>
        <w:rPr>
          <w:color w:val="231F20"/>
          <w:spacing w:val="-5"/>
          <w:sz w:val="24"/>
        </w:rPr>
        <w:t> </w:t>
      </w:r>
      <w:r>
        <w:rPr>
          <w:color w:val="231F20"/>
          <w:sz w:val="24"/>
        </w:rPr>
        <w:t>cinq</w:t>
      </w:r>
      <w:r>
        <w:rPr>
          <w:color w:val="231F20"/>
          <w:spacing w:val="-5"/>
          <w:sz w:val="24"/>
        </w:rPr>
        <w:t> </w:t>
      </w:r>
      <w:r>
        <w:rPr>
          <w:color w:val="231F20"/>
          <w:sz w:val="24"/>
        </w:rPr>
        <w:t>ans.</w:t>
      </w:r>
      <w:r>
        <w:rPr>
          <w:color w:val="231F20"/>
          <w:spacing w:val="-6"/>
          <w:sz w:val="24"/>
        </w:rPr>
        <w:t> </w:t>
      </w:r>
      <w:r>
        <w:rPr>
          <w:color w:val="231F20"/>
          <w:sz w:val="24"/>
        </w:rPr>
        <w:t>Selon</w:t>
      </w:r>
      <w:r>
        <w:rPr>
          <w:color w:val="231F20"/>
          <w:spacing w:val="-5"/>
          <w:sz w:val="24"/>
        </w:rPr>
        <w:t> </w:t>
      </w:r>
      <w:r>
        <w:rPr>
          <w:color w:val="231F20"/>
          <w:sz w:val="24"/>
        </w:rPr>
        <w:t>le procureur Richard Adou, </w:t>
      </w:r>
      <w:r>
        <w:rPr>
          <w:i/>
          <w:color w:val="231F20"/>
          <w:sz w:val="24"/>
        </w:rPr>
        <w:t>«</w:t>
      </w:r>
      <w:r>
        <w:rPr>
          <w:i/>
          <w:color w:val="231F20"/>
          <w:spacing w:val="-15"/>
          <w:sz w:val="24"/>
        </w:rPr>
        <w:t> </w:t>
      </w:r>
      <w:r>
        <w:rPr>
          <w:i/>
          <w:color w:val="231F20"/>
          <w:sz w:val="24"/>
        </w:rPr>
        <w:t>Guillaume Soro projetait d’attenter à la</w:t>
      </w:r>
      <w:r>
        <w:rPr>
          <w:i/>
          <w:color w:val="231F20"/>
          <w:sz w:val="24"/>
        </w:rPr>
        <w:t> </w:t>
      </w:r>
      <w:r>
        <w:rPr>
          <w:i/>
          <w:color w:val="231F20"/>
          <w:spacing w:val="-4"/>
          <w:sz w:val="24"/>
        </w:rPr>
        <w:t>sécurité</w:t>
      </w:r>
      <w:r>
        <w:rPr>
          <w:i/>
          <w:color w:val="231F20"/>
          <w:spacing w:val="-11"/>
          <w:sz w:val="24"/>
        </w:rPr>
        <w:t> </w:t>
      </w:r>
      <w:r>
        <w:rPr>
          <w:i/>
          <w:color w:val="231F20"/>
          <w:spacing w:val="-4"/>
          <w:sz w:val="24"/>
        </w:rPr>
        <w:t>de</w:t>
      </w:r>
      <w:r>
        <w:rPr>
          <w:i/>
          <w:color w:val="231F20"/>
          <w:spacing w:val="-11"/>
          <w:sz w:val="24"/>
        </w:rPr>
        <w:t> </w:t>
      </w:r>
      <w:r>
        <w:rPr>
          <w:i/>
          <w:color w:val="231F20"/>
          <w:spacing w:val="-4"/>
          <w:sz w:val="24"/>
        </w:rPr>
        <w:t>l’État</w:t>
      </w:r>
      <w:r>
        <w:rPr>
          <w:i/>
          <w:color w:val="231F20"/>
          <w:spacing w:val="-11"/>
          <w:sz w:val="24"/>
        </w:rPr>
        <w:t> </w:t>
      </w:r>
      <w:r>
        <w:rPr>
          <w:i/>
          <w:color w:val="231F20"/>
          <w:spacing w:val="-4"/>
          <w:sz w:val="24"/>
        </w:rPr>
        <w:t>et</w:t>
      </w:r>
      <w:r>
        <w:rPr>
          <w:i/>
          <w:color w:val="231F20"/>
          <w:spacing w:val="-11"/>
          <w:sz w:val="24"/>
        </w:rPr>
        <w:t> </w:t>
      </w:r>
      <w:r>
        <w:rPr>
          <w:i/>
          <w:color w:val="231F20"/>
          <w:spacing w:val="-4"/>
          <w:sz w:val="24"/>
        </w:rPr>
        <w:t>à</w:t>
      </w:r>
      <w:r>
        <w:rPr>
          <w:i/>
          <w:color w:val="231F20"/>
          <w:spacing w:val="-11"/>
          <w:sz w:val="24"/>
        </w:rPr>
        <w:t> </w:t>
      </w:r>
      <w:r>
        <w:rPr>
          <w:i/>
          <w:color w:val="231F20"/>
          <w:spacing w:val="-4"/>
          <w:sz w:val="24"/>
        </w:rPr>
        <w:t>l’intégrité</w:t>
      </w:r>
      <w:r>
        <w:rPr>
          <w:i/>
          <w:color w:val="231F20"/>
          <w:spacing w:val="-11"/>
          <w:sz w:val="24"/>
        </w:rPr>
        <w:t> </w:t>
      </w:r>
      <w:r>
        <w:rPr>
          <w:i/>
          <w:color w:val="231F20"/>
          <w:spacing w:val="-4"/>
          <w:sz w:val="24"/>
        </w:rPr>
        <w:t>du</w:t>
      </w:r>
      <w:r>
        <w:rPr>
          <w:i/>
          <w:color w:val="231F20"/>
          <w:spacing w:val="-11"/>
          <w:sz w:val="24"/>
        </w:rPr>
        <w:t> </w:t>
      </w:r>
      <w:r>
        <w:rPr>
          <w:i/>
          <w:color w:val="231F20"/>
          <w:spacing w:val="-4"/>
          <w:sz w:val="24"/>
        </w:rPr>
        <w:t>territoire</w:t>
      </w:r>
      <w:r>
        <w:rPr>
          <w:i/>
          <w:color w:val="231F20"/>
          <w:spacing w:val="-11"/>
          <w:sz w:val="24"/>
        </w:rPr>
        <w:t> </w:t>
      </w:r>
      <w:r>
        <w:rPr>
          <w:i/>
          <w:color w:val="231F20"/>
          <w:spacing w:val="-4"/>
          <w:sz w:val="24"/>
        </w:rPr>
        <w:t>national</w:t>
      </w:r>
      <w:r>
        <w:rPr>
          <w:i/>
          <w:color w:val="231F20"/>
          <w:spacing w:val="-11"/>
          <w:sz w:val="24"/>
        </w:rPr>
        <w:t> </w:t>
      </w:r>
      <w:r>
        <w:rPr>
          <w:i/>
          <w:color w:val="231F20"/>
          <w:spacing w:val="-4"/>
          <w:sz w:val="24"/>
        </w:rPr>
        <w:t>».</w:t>
      </w:r>
      <w:r>
        <w:rPr>
          <w:i/>
          <w:color w:val="231F20"/>
          <w:spacing w:val="-11"/>
          <w:sz w:val="24"/>
        </w:rPr>
        <w:t> </w:t>
      </w:r>
      <w:r>
        <w:rPr>
          <w:color w:val="231F20"/>
          <w:spacing w:val="-4"/>
          <w:sz w:val="24"/>
        </w:rPr>
        <w:t>Il</w:t>
      </w:r>
      <w:r>
        <w:rPr>
          <w:color w:val="231F20"/>
          <w:spacing w:val="-11"/>
          <w:sz w:val="24"/>
        </w:rPr>
        <w:t> </w:t>
      </w:r>
      <w:r>
        <w:rPr>
          <w:color w:val="231F20"/>
          <w:spacing w:val="-4"/>
          <w:sz w:val="24"/>
        </w:rPr>
        <w:t>est</w:t>
      </w:r>
      <w:r>
        <w:rPr>
          <w:color w:val="231F20"/>
          <w:spacing w:val="-11"/>
          <w:sz w:val="24"/>
        </w:rPr>
        <w:t> </w:t>
      </w:r>
      <w:r>
        <w:rPr>
          <w:color w:val="231F20"/>
          <w:spacing w:val="-4"/>
          <w:sz w:val="24"/>
        </w:rPr>
        <w:t>aussi</w:t>
      </w:r>
      <w:r>
        <w:rPr>
          <w:color w:val="231F20"/>
          <w:spacing w:val="-11"/>
          <w:sz w:val="24"/>
        </w:rPr>
        <w:t> </w:t>
      </w:r>
      <w:r>
        <w:rPr>
          <w:color w:val="231F20"/>
          <w:spacing w:val="-4"/>
          <w:sz w:val="24"/>
        </w:rPr>
        <w:t>accusé </w:t>
      </w:r>
      <w:r>
        <w:rPr>
          <w:color w:val="231F20"/>
          <w:sz w:val="24"/>
        </w:rPr>
        <w:t>de détournement de deniers publics, recel de détournement de deniers publics et blanchiment de capitaux.</w:t>
      </w:r>
    </w:p>
    <w:p>
      <w:pPr>
        <w:pStyle w:val="BodyText"/>
        <w:spacing w:before="121"/>
        <w:ind w:right="104" w:firstLine="283"/>
      </w:pPr>
      <w:r>
        <w:rPr>
          <w:color w:val="231F20"/>
        </w:rPr>
        <w:t>Le 5 mars 2020, Alassane Ouattara annonce aux parlementaires du Sénat</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l'Assemblée</w:t>
      </w:r>
      <w:r>
        <w:rPr>
          <w:color w:val="231F20"/>
          <w:spacing w:val="-15"/>
        </w:rPr>
        <w:t> </w:t>
      </w:r>
      <w:r>
        <w:rPr>
          <w:color w:val="231F20"/>
        </w:rPr>
        <w:t>nationale</w:t>
      </w:r>
      <w:r>
        <w:rPr>
          <w:color w:val="231F20"/>
          <w:spacing w:val="-15"/>
        </w:rPr>
        <w:t> </w:t>
      </w:r>
      <w:r>
        <w:rPr>
          <w:color w:val="231F20"/>
        </w:rPr>
        <w:t>réunis</w:t>
      </w:r>
      <w:r>
        <w:rPr>
          <w:color w:val="231F20"/>
          <w:spacing w:val="-15"/>
        </w:rPr>
        <w:t> </w:t>
      </w:r>
      <w:r>
        <w:rPr>
          <w:color w:val="231F20"/>
        </w:rPr>
        <w:t>en</w:t>
      </w:r>
      <w:r>
        <w:rPr>
          <w:color w:val="231F20"/>
          <w:spacing w:val="-15"/>
        </w:rPr>
        <w:t> </w:t>
      </w:r>
      <w:r>
        <w:rPr>
          <w:color w:val="231F20"/>
        </w:rPr>
        <w:t>Congrès</w:t>
      </w:r>
      <w:r>
        <w:rPr>
          <w:color w:val="231F20"/>
          <w:spacing w:val="-15"/>
        </w:rPr>
        <w:t> </w:t>
      </w:r>
      <w:r>
        <w:rPr>
          <w:color w:val="231F20"/>
        </w:rPr>
        <w:t>ne</w:t>
      </w:r>
      <w:r>
        <w:rPr>
          <w:color w:val="231F20"/>
          <w:spacing w:val="-15"/>
        </w:rPr>
        <w:t> </w:t>
      </w:r>
      <w:r>
        <w:rPr>
          <w:color w:val="231F20"/>
        </w:rPr>
        <w:t>pas</w:t>
      </w:r>
      <w:r>
        <w:rPr>
          <w:color w:val="231F20"/>
          <w:spacing w:val="-15"/>
        </w:rPr>
        <w:t> </w:t>
      </w:r>
      <w:r>
        <w:rPr>
          <w:color w:val="231F20"/>
        </w:rPr>
        <w:t>être</w:t>
      </w:r>
      <w:r>
        <w:rPr>
          <w:color w:val="231F20"/>
          <w:spacing w:val="-15"/>
        </w:rPr>
        <w:t> </w:t>
      </w:r>
      <w:r>
        <w:rPr>
          <w:color w:val="231F20"/>
        </w:rPr>
        <w:t>candidat </w:t>
      </w:r>
      <w:r>
        <w:rPr>
          <w:color w:val="231F20"/>
          <w:spacing w:val="-4"/>
        </w:rPr>
        <w:t>à</w:t>
      </w:r>
      <w:r>
        <w:rPr>
          <w:color w:val="231F20"/>
          <w:spacing w:val="-11"/>
        </w:rPr>
        <w:t> </w:t>
      </w:r>
      <w:r>
        <w:rPr>
          <w:color w:val="231F20"/>
          <w:spacing w:val="-4"/>
        </w:rPr>
        <w:t>sa</w:t>
      </w:r>
      <w:r>
        <w:rPr>
          <w:color w:val="231F20"/>
          <w:spacing w:val="-11"/>
        </w:rPr>
        <w:t> </w:t>
      </w:r>
      <w:r>
        <w:rPr>
          <w:color w:val="231F20"/>
          <w:spacing w:val="-4"/>
        </w:rPr>
        <w:t>réélection.</w:t>
      </w:r>
      <w:r>
        <w:rPr>
          <w:color w:val="231F20"/>
          <w:spacing w:val="-11"/>
        </w:rPr>
        <w:t> </w:t>
      </w:r>
      <w:r>
        <w:rPr>
          <w:color w:val="231F20"/>
          <w:spacing w:val="-4"/>
        </w:rPr>
        <w:t>Cette</w:t>
      </w:r>
      <w:r>
        <w:rPr>
          <w:color w:val="231F20"/>
          <w:spacing w:val="-11"/>
        </w:rPr>
        <w:t> </w:t>
      </w:r>
      <w:r>
        <w:rPr>
          <w:color w:val="231F20"/>
          <w:spacing w:val="-4"/>
        </w:rPr>
        <w:t>décision</w:t>
      </w:r>
      <w:r>
        <w:rPr>
          <w:color w:val="231F20"/>
          <w:spacing w:val="-11"/>
        </w:rPr>
        <w:t> </w:t>
      </w:r>
      <w:r>
        <w:rPr>
          <w:color w:val="231F20"/>
          <w:spacing w:val="-4"/>
        </w:rPr>
        <w:t>qu'il</w:t>
      </w:r>
      <w:r>
        <w:rPr>
          <w:color w:val="231F20"/>
          <w:spacing w:val="-11"/>
        </w:rPr>
        <w:t> </w:t>
      </w:r>
      <w:r>
        <w:rPr>
          <w:color w:val="231F20"/>
          <w:spacing w:val="-4"/>
        </w:rPr>
        <w:t>affirme</w:t>
      </w:r>
      <w:r>
        <w:rPr>
          <w:color w:val="231F20"/>
          <w:spacing w:val="-11"/>
        </w:rPr>
        <w:t> </w:t>
      </w:r>
      <w:r>
        <w:rPr>
          <w:color w:val="231F20"/>
          <w:spacing w:val="-4"/>
        </w:rPr>
        <w:t>avoir</w:t>
      </w:r>
      <w:r>
        <w:rPr>
          <w:color w:val="231F20"/>
          <w:spacing w:val="-11"/>
        </w:rPr>
        <w:t> </w:t>
      </w:r>
      <w:r>
        <w:rPr>
          <w:color w:val="231F20"/>
          <w:spacing w:val="-4"/>
        </w:rPr>
        <w:t>mûrie</w:t>
      </w:r>
      <w:r>
        <w:rPr>
          <w:color w:val="231F20"/>
          <w:spacing w:val="-11"/>
        </w:rPr>
        <w:t> </w:t>
      </w:r>
      <w:r>
        <w:rPr>
          <w:color w:val="231F20"/>
          <w:spacing w:val="-4"/>
        </w:rPr>
        <w:t>deux</w:t>
      </w:r>
      <w:r>
        <w:rPr>
          <w:color w:val="231F20"/>
          <w:spacing w:val="-11"/>
        </w:rPr>
        <w:t> </w:t>
      </w:r>
      <w:r>
        <w:rPr>
          <w:color w:val="231F20"/>
          <w:spacing w:val="-4"/>
        </w:rPr>
        <w:t>ans</w:t>
      </w:r>
      <w:r>
        <w:rPr>
          <w:color w:val="231F20"/>
          <w:spacing w:val="-11"/>
        </w:rPr>
        <w:t> </w:t>
      </w:r>
      <w:r>
        <w:rPr>
          <w:color w:val="231F20"/>
          <w:spacing w:val="-4"/>
        </w:rPr>
        <w:t>durant</w:t>
      </w:r>
      <w:r>
        <w:rPr>
          <w:color w:val="231F20"/>
          <w:spacing w:val="-11"/>
        </w:rPr>
        <w:t> </w:t>
      </w:r>
      <w:r>
        <w:rPr>
          <w:color w:val="231F20"/>
          <w:spacing w:val="-4"/>
        </w:rPr>
        <w:t>est </w:t>
      </w:r>
      <w:r>
        <w:rPr>
          <w:color w:val="231F20"/>
        </w:rPr>
        <w:t>saluée en Côte d'Ivoire comme à l'étranger.</w:t>
      </w:r>
      <w:r>
        <w:rPr>
          <w:color w:val="231F20"/>
          <w:spacing w:val="-15"/>
        </w:rPr>
        <w:t> </w:t>
      </w:r>
      <w:r>
        <w:rPr>
          <w:color w:val="231F20"/>
        </w:rPr>
        <w:t>Amadou Gon Coulibaly, Premier Ministre en exercice, est alors désigné candidat du Rassemblement des Houphouétistes pour la Démocratie et la Paix (RHDP) pour la présidentielle.</w:t>
      </w:r>
    </w:p>
    <w:p>
      <w:pPr>
        <w:pStyle w:val="BodyText"/>
        <w:spacing w:before="120"/>
        <w:ind w:right="105" w:firstLine="283"/>
      </w:pPr>
      <w:r>
        <w:rPr>
          <w:color w:val="231F20"/>
        </w:rPr>
        <w:t>En mai 2020 cependant, Amadou Gon Coulibaly est évacué vers la </w:t>
      </w:r>
      <w:r>
        <w:rPr>
          <w:color w:val="231F20"/>
          <w:spacing w:val="-2"/>
        </w:rPr>
        <w:t>France</w:t>
      </w:r>
      <w:r>
        <w:rPr>
          <w:color w:val="231F20"/>
          <w:spacing w:val="-7"/>
        </w:rPr>
        <w:t> </w:t>
      </w:r>
      <w:r>
        <w:rPr>
          <w:color w:val="231F20"/>
          <w:spacing w:val="-2"/>
        </w:rPr>
        <w:t>en</w:t>
      </w:r>
      <w:r>
        <w:rPr>
          <w:color w:val="231F20"/>
          <w:spacing w:val="-6"/>
        </w:rPr>
        <w:t> </w:t>
      </w:r>
      <w:r>
        <w:rPr>
          <w:color w:val="231F20"/>
          <w:spacing w:val="-2"/>
        </w:rPr>
        <w:t>raison</w:t>
      </w:r>
      <w:r>
        <w:rPr>
          <w:color w:val="231F20"/>
          <w:spacing w:val="-7"/>
        </w:rPr>
        <w:t> </w:t>
      </w:r>
      <w:r>
        <w:rPr>
          <w:color w:val="231F20"/>
          <w:spacing w:val="-2"/>
        </w:rPr>
        <w:t>de</w:t>
      </w:r>
      <w:r>
        <w:rPr>
          <w:color w:val="231F20"/>
          <w:spacing w:val="-6"/>
        </w:rPr>
        <w:t> </w:t>
      </w:r>
      <w:r>
        <w:rPr>
          <w:color w:val="231F20"/>
          <w:spacing w:val="-2"/>
        </w:rPr>
        <w:t>problèmes</w:t>
      </w:r>
      <w:r>
        <w:rPr>
          <w:color w:val="231F20"/>
          <w:spacing w:val="-7"/>
        </w:rPr>
        <w:t> </w:t>
      </w:r>
      <w:r>
        <w:rPr>
          <w:color w:val="231F20"/>
          <w:spacing w:val="-2"/>
        </w:rPr>
        <w:t>d'ordre</w:t>
      </w:r>
      <w:r>
        <w:rPr>
          <w:color w:val="231F20"/>
          <w:spacing w:val="-6"/>
        </w:rPr>
        <w:t> </w:t>
      </w:r>
      <w:r>
        <w:rPr>
          <w:color w:val="231F20"/>
          <w:spacing w:val="-2"/>
        </w:rPr>
        <w:t>cardiaque.</w:t>
      </w:r>
      <w:r>
        <w:rPr>
          <w:color w:val="231F20"/>
          <w:spacing w:val="-7"/>
        </w:rPr>
        <w:t> </w:t>
      </w:r>
      <w:r>
        <w:rPr>
          <w:color w:val="231F20"/>
          <w:spacing w:val="-2"/>
        </w:rPr>
        <w:t>Il</w:t>
      </w:r>
      <w:r>
        <w:rPr>
          <w:color w:val="231F20"/>
          <w:spacing w:val="-5"/>
        </w:rPr>
        <w:t> </w:t>
      </w:r>
      <w:r>
        <w:rPr>
          <w:color w:val="231F20"/>
          <w:spacing w:val="-2"/>
        </w:rPr>
        <w:t>est</w:t>
      </w:r>
      <w:r>
        <w:rPr>
          <w:color w:val="231F20"/>
          <w:spacing w:val="-6"/>
        </w:rPr>
        <w:t> </w:t>
      </w:r>
      <w:r>
        <w:rPr>
          <w:color w:val="231F20"/>
          <w:spacing w:val="-2"/>
        </w:rPr>
        <w:t>ensuite</w:t>
      </w:r>
      <w:r>
        <w:rPr>
          <w:color w:val="231F20"/>
          <w:spacing w:val="-8"/>
        </w:rPr>
        <w:t> </w:t>
      </w:r>
      <w:r>
        <w:rPr>
          <w:color w:val="231F20"/>
          <w:spacing w:val="-2"/>
        </w:rPr>
        <w:t>opéré</w:t>
      </w:r>
      <w:r>
        <w:rPr>
          <w:color w:val="231F20"/>
          <w:spacing w:val="-6"/>
        </w:rPr>
        <w:t> </w:t>
      </w:r>
      <w:r>
        <w:rPr>
          <w:color w:val="231F20"/>
          <w:spacing w:val="-5"/>
        </w:rPr>
        <w:t>une</w:t>
      </w:r>
    </w:p>
    <w:p>
      <w:pPr>
        <w:pStyle w:val="BodyText"/>
        <w:spacing w:before="88"/>
        <w:ind w:left="0"/>
        <w:jc w:val="left"/>
        <w:rPr>
          <w:sz w:val="20"/>
        </w:rPr>
      </w:pPr>
      <w:r>
        <w:rPr/>
        <mc:AlternateContent>
          <mc:Choice Requires="wps">
            <w:drawing>
              <wp:anchor distT="0" distB="0" distL="0" distR="0" allowOverlap="1" layoutInCell="1" locked="0" behindDoc="1" simplePos="0" relativeHeight="487656448">
                <wp:simplePos x="0" y="0"/>
                <wp:positionH relativeFrom="page">
                  <wp:posOffset>629907</wp:posOffset>
                </wp:positionH>
                <wp:positionV relativeFrom="paragraph">
                  <wp:posOffset>217373</wp:posOffset>
                </wp:positionV>
                <wp:extent cx="1829435" cy="9525"/>
                <wp:effectExtent l="0" t="0" r="0" b="0"/>
                <wp:wrapTopAndBottom/>
                <wp:docPr id="163" name="Graphic 163"/>
                <wp:cNvGraphicFramePr>
                  <a:graphicFrameLocks/>
                </wp:cNvGraphicFramePr>
                <a:graphic>
                  <a:graphicData uri="http://schemas.microsoft.com/office/word/2010/wordprocessingShape">
                    <wps:wsp>
                      <wps:cNvPr id="163" name="Graphic 16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116016pt;width:144.020pt;height:.72pt;mso-position-horizontal-relative:page;mso-position-vertical-relative:paragraph;z-index:-15660032;mso-wrap-distance-left:0;mso-wrap-distance-right:0" id="docshape161" filled="true" fillcolor="#231f20" stroked="false">
                <v:fill type="solid"/>
                <w10:wrap type="topAndBottom"/>
              </v:rect>
            </w:pict>
          </mc:Fallback>
        </mc:AlternateContent>
      </w:r>
    </w:p>
    <w:p>
      <w:pPr>
        <w:spacing w:before="94"/>
        <w:ind w:left="111" w:right="0" w:firstLine="0"/>
        <w:jc w:val="left"/>
        <w:rPr>
          <w:sz w:val="20"/>
        </w:rPr>
      </w:pPr>
      <w:r>
        <w:rPr>
          <w:color w:val="231F20"/>
          <w:spacing w:val="-4"/>
          <w:sz w:val="20"/>
          <w:vertAlign w:val="superscript"/>
        </w:rPr>
        <w:t>221</w:t>
      </w:r>
      <w:r>
        <w:rPr>
          <w:color w:val="231F20"/>
          <w:spacing w:val="-12"/>
          <w:sz w:val="20"/>
          <w:vertAlign w:val="baseline"/>
        </w:rPr>
        <w:t> </w:t>
      </w:r>
      <w:r>
        <w:rPr>
          <w:color w:val="231F20"/>
          <w:spacing w:val="-4"/>
          <w:sz w:val="20"/>
          <w:vertAlign w:val="baseline"/>
        </w:rPr>
        <w:t>Soro Guillaume</w:t>
      </w:r>
      <w:r>
        <w:rPr>
          <w:color w:val="231F20"/>
          <w:spacing w:val="-5"/>
          <w:sz w:val="20"/>
          <w:vertAlign w:val="baseline"/>
        </w:rPr>
        <w:t> </w:t>
      </w:r>
      <w:r>
        <w:rPr>
          <w:color w:val="231F20"/>
          <w:spacing w:val="-4"/>
          <w:sz w:val="20"/>
          <w:vertAlign w:val="baseline"/>
        </w:rPr>
        <w:t>attaque</w:t>
      </w:r>
      <w:r>
        <w:rPr>
          <w:color w:val="231F20"/>
          <w:spacing w:val="-5"/>
          <w:sz w:val="20"/>
          <w:vertAlign w:val="baseline"/>
        </w:rPr>
        <w:t> </w:t>
      </w:r>
      <w:r>
        <w:rPr>
          <w:color w:val="231F20"/>
          <w:spacing w:val="-4"/>
          <w:sz w:val="20"/>
          <w:vertAlign w:val="baseline"/>
        </w:rPr>
        <w:t>Alassane Ouattara,</w:t>
      </w:r>
      <w:r>
        <w:rPr>
          <w:color w:val="231F20"/>
          <w:spacing w:val="-5"/>
          <w:sz w:val="20"/>
          <w:vertAlign w:val="baseline"/>
        </w:rPr>
        <w:t> </w:t>
      </w:r>
      <w:r>
        <w:rPr>
          <w:color w:val="231F20"/>
          <w:spacing w:val="-4"/>
          <w:sz w:val="20"/>
          <w:vertAlign w:val="baseline"/>
        </w:rPr>
        <w:t>depuis l’Espagne,</w:t>
      </w:r>
      <w:r>
        <w:rPr>
          <w:color w:val="231F20"/>
          <w:spacing w:val="-8"/>
          <w:sz w:val="20"/>
          <w:vertAlign w:val="baseline"/>
        </w:rPr>
        <w:t> </w:t>
      </w:r>
      <w:r>
        <w:rPr>
          <w:color w:val="231F20"/>
          <w:spacing w:val="-4"/>
          <w:sz w:val="20"/>
          <w:vertAlign w:val="baseline"/>
        </w:rPr>
        <w:t>africanewsquick.net,</w:t>
      </w:r>
      <w:r>
        <w:rPr>
          <w:color w:val="231F20"/>
          <w:spacing w:val="-8"/>
          <w:sz w:val="20"/>
          <w:vertAlign w:val="baseline"/>
        </w:rPr>
        <w:t> </w:t>
      </w:r>
      <w:r>
        <w:rPr>
          <w:color w:val="231F20"/>
          <w:spacing w:val="-4"/>
          <w:sz w:val="20"/>
          <w:vertAlign w:val="baseline"/>
        </w:rPr>
        <w:t>14 </w:t>
      </w:r>
      <w:r>
        <w:rPr>
          <w:color w:val="231F20"/>
          <w:sz w:val="20"/>
          <w:vertAlign w:val="baseline"/>
        </w:rPr>
        <w:t>octobre</w:t>
      </w:r>
      <w:r>
        <w:rPr>
          <w:color w:val="231F20"/>
          <w:spacing w:val="-5"/>
          <w:sz w:val="20"/>
          <w:vertAlign w:val="baseline"/>
        </w:rPr>
        <w:t> </w:t>
      </w:r>
      <w:r>
        <w:rPr>
          <w:color w:val="231F20"/>
          <w:sz w:val="20"/>
          <w:vertAlign w:val="baseline"/>
        </w:rPr>
        <w:t>2019.</w:t>
      </w:r>
    </w:p>
    <w:p>
      <w:pPr>
        <w:spacing w:after="0"/>
        <w:jc w:val="left"/>
        <w:rPr>
          <w:sz w:val="20"/>
        </w:rPr>
        <w:sectPr>
          <w:pgSz w:w="8790" w:h="13610"/>
          <w:pgMar w:header="0" w:footer="802" w:top="1060" w:bottom="1000" w:left="880" w:right="880"/>
        </w:sectPr>
      </w:pPr>
    </w:p>
    <w:p>
      <w:pPr>
        <w:pStyle w:val="BodyText"/>
        <w:spacing w:before="66"/>
        <w:ind w:right="105"/>
      </w:pPr>
      <w:r>
        <w:rPr>
          <w:color w:val="231F20"/>
        </w:rPr>
        <w:t>seconde fois</w:t>
      </w:r>
      <w:r>
        <w:rPr>
          <w:color w:val="231F20"/>
          <w:spacing w:val="-2"/>
        </w:rPr>
        <w:t> </w:t>
      </w:r>
      <w:r>
        <w:rPr>
          <w:color w:val="231F20"/>
        </w:rPr>
        <w:t>en</w:t>
      </w:r>
      <w:r>
        <w:rPr>
          <w:color w:val="231F20"/>
          <w:spacing w:val="-2"/>
        </w:rPr>
        <w:t> </w:t>
      </w:r>
      <w:r>
        <w:rPr>
          <w:color w:val="231F20"/>
        </w:rPr>
        <w:t>juin</w:t>
      </w:r>
      <w:r>
        <w:rPr>
          <w:color w:val="231F20"/>
          <w:spacing w:val="-2"/>
        </w:rPr>
        <w:t> </w:t>
      </w:r>
      <w:r>
        <w:rPr>
          <w:color w:val="231F20"/>
        </w:rPr>
        <w:t>avant de</w:t>
      </w:r>
      <w:r>
        <w:rPr>
          <w:color w:val="231F20"/>
          <w:spacing w:val="-3"/>
        </w:rPr>
        <w:t> </w:t>
      </w:r>
      <w:r>
        <w:rPr>
          <w:color w:val="231F20"/>
        </w:rPr>
        <w:t>retourner en</w:t>
      </w:r>
      <w:r>
        <w:rPr>
          <w:color w:val="231F20"/>
          <w:spacing w:val="-3"/>
        </w:rPr>
        <w:t> </w:t>
      </w:r>
      <w:r>
        <w:rPr>
          <w:color w:val="231F20"/>
        </w:rPr>
        <w:t>Côte</w:t>
      </w:r>
      <w:r>
        <w:rPr>
          <w:color w:val="231F20"/>
          <w:spacing w:val="-3"/>
        </w:rPr>
        <w:t> </w:t>
      </w:r>
      <w:r>
        <w:rPr>
          <w:color w:val="231F20"/>
        </w:rPr>
        <w:t>d'Ivoire</w:t>
      </w:r>
      <w:r>
        <w:rPr>
          <w:color w:val="231F20"/>
          <w:spacing w:val="-2"/>
        </w:rPr>
        <w:t> </w:t>
      </w:r>
      <w:r>
        <w:rPr>
          <w:color w:val="231F20"/>
        </w:rPr>
        <w:t>le</w:t>
      </w:r>
      <w:r>
        <w:rPr>
          <w:color w:val="231F20"/>
          <w:spacing w:val="-2"/>
        </w:rPr>
        <w:t> </w:t>
      </w:r>
      <w:r>
        <w:rPr>
          <w:color w:val="231F20"/>
        </w:rPr>
        <w:t>2</w:t>
      </w:r>
      <w:r>
        <w:rPr>
          <w:color w:val="231F20"/>
          <w:spacing w:val="-2"/>
        </w:rPr>
        <w:t> </w:t>
      </w:r>
      <w:r>
        <w:rPr>
          <w:color w:val="231F20"/>
        </w:rPr>
        <w:t>juillet.</w:t>
      </w:r>
      <w:r>
        <w:rPr>
          <w:color w:val="231F20"/>
          <w:spacing w:val="-2"/>
        </w:rPr>
        <w:t> </w:t>
      </w:r>
      <w:r>
        <w:rPr>
          <w:color w:val="231F20"/>
        </w:rPr>
        <w:t>Six jours plus tard, le</w:t>
      </w:r>
      <w:r>
        <w:rPr>
          <w:color w:val="231F20"/>
          <w:spacing w:val="-13"/>
        </w:rPr>
        <w:t> </w:t>
      </w:r>
      <w:r>
        <w:rPr>
          <w:color w:val="231F20"/>
        </w:rPr>
        <w:t>8 juillet, il meurt à la suite d’un malaise survenu en Conseil des ministres.</w:t>
      </w:r>
    </w:p>
    <w:p>
      <w:pPr>
        <w:pStyle w:val="BodyText"/>
        <w:spacing w:before="241"/>
        <w:ind w:left="0"/>
        <w:jc w:val="left"/>
      </w:pPr>
    </w:p>
    <w:p>
      <w:pPr>
        <w:spacing w:before="0"/>
        <w:ind w:left="111" w:right="109" w:firstLine="0"/>
        <w:jc w:val="both"/>
        <w:rPr>
          <w:rFonts w:ascii="Trebuchet MS" w:hAnsi="Trebuchet MS"/>
          <w:i/>
          <w:sz w:val="22"/>
        </w:rPr>
      </w:pPr>
      <w:r>
        <w:rPr>
          <w:rFonts w:ascii="Trebuchet MS" w:hAnsi="Trebuchet MS"/>
          <w:i/>
          <w:color w:val="231F20"/>
          <w:sz w:val="22"/>
        </w:rPr>
        <w:t>Le 13 juillet 2020, Daniel Duncan, vice-président de la République,</w:t>
      </w:r>
      <w:r>
        <w:rPr>
          <w:rFonts w:ascii="Trebuchet MS" w:hAnsi="Trebuchet MS"/>
          <w:i/>
          <w:color w:val="231F20"/>
          <w:sz w:val="22"/>
        </w:rPr>
        <w:t> démissionne</w:t>
      </w:r>
      <w:r>
        <w:rPr>
          <w:rFonts w:ascii="Trebuchet MS" w:hAnsi="Trebuchet MS"/>
          <w:i/>
          <w:color w:val="231F20"/>
          <w:spacing w:val="-2"/>
          <w:sz w:val="22"/>
        </w:rPr>
        <w:t> </w:t>
      </w:r>
      <w:r>
        <w:rPr>
          <w:rFonts w:ascii="Trebuchet MS" w:hAnsi="Trebuchet MS"/>
          <w:i/>
          <w:color w:val="231F20"/>
          <w:sz w:val="22"/>
        </w:rPr>
        <w:t>«</w:t>
      </w:r>
      <w:r>
        <w:rPr>
          <w:rFonts w:ascii="Trebuchet MS" w:hAnsi="Trebuchet MS"/>
          <w:i/>
          <w:color w:val="231F20"/>
          <w:spacing w:val="-1"/>
          <w:sz w:val="22"/>
        </w:rPr>
        <w:t> </w:t>
      </w:r>
      <w:r>
        <w:rPr>
          <w:rFonts w:ascii="Trebuchet MS" w:hAnsi="Trebuchet MS"/>
          <w:i/>
          <w:color w:val="231F20"/>
          <w:sz w:val="22"/>
        </w:rPr>
        <w:t>pour</w:t>
      </w:r>
      <w:r>
        <w:rPr>
          <w:rFonts w:ascii="Trebuchet MS" w:hAnsi="Trebuchet MS"/>
          <w:i/>
          <w:color w:val="231F20"/>
          <w:spacing w:val="-1"/>
          <w:sz w:val="22"/>
        </w:rPr>
        <w:t> </w:t>
      </w:r>
      <w:r>
        <w:rPr>
          <w:rFonts w:ascii="Trebuchet MS" w:hAnsi="Trebuchet MS"/>
          <w:i/>
          <w:color w:val="231F20"/>
          <w:sz w:val="22"/>
        </w:rPr>
        <w:t>convenances personnelles</w:t>
      </w:r>
      <w:r>
        <w:rPr>
          <w:rFonts w:ascii="Trebuchet MS" w:hAnsi="Trebuchet MS"/>
          <w:i/>
          <w:color w:val="231F20"/>
          <w:spacing w:val="-1"/>
          <w:sz w:val="22"/>
        </w:rPr>
        <w:t> </w:t>
      </w:r>
      <w:r>
        <w:rPr>
          <w:rFonts w:ascii="Trebuchet MS" w:hAnsi="Trebuchet MS"/>
          <w:i/>
          <w:color w:val="231F20"/>
          <w:sz w:val="22"/>
        </w:rPr>
        <w:t>»</w:t>
      </w:r>
    </w:p>
    <w:p>
      <w:pPr>
        <w:pStyle w:val="BodyText"/>
        <w:ind w:left="0"/>
        <w:jc w:val="left"/>
        <w:rPr>
          <w:rFonts w:ascii="Trebuchet MS"/>
          <w:i/>
          <w:sz w:val="22"/>
        </w:rPr>
      </w:pPr>
    </w:p>
    <w:p>
      <w:pPr>
        <w:pStyle w:val="BodyText"/>
        <w:spacing w:before="1"/>
        <w:ind w:right="104" w:firstLine="283"/>
      </w:pPr>
      <w:r>
        <w:rPr>
          <w:color w:val="231F20"/>
        </w:rPr>
        <w:t>Le 6 août 2020, Alassane Ouattara annonce se porter candidat à l’élection</w:t>
      </w:r>
      <w:r>
        <w:rPr>
          <w:color w:val="231F20"/>
          <w:spacing w:val="-15"/>
        </w:rPr>
        <w:t> </w:t>
      </w:r>
      <w:r>
        <w:rPr>
          <w:color w:val="231F20"/>
        </w:rPr>
        <w:t>présidentielle</w:t>
      </w:r>
      <w:r>
        <w:rPr>
          <w:color w:val="231F20"/>
          <w:spacing w:val="-15"/>
        </w:rPr>
        <w:t> </w:t>
      </w:r>
      <w:r>
        <w:rPr>
          <w:color w:val="231F20"/>
        </w:rPr>
        <w:t>au</w:t>
      </w:r>
      <w:r>
        <w:rPr>
          <w:color w:val="231F20"/>
          <w:spacing w:val="-15"/>
        </w:rPr>
        <w:t> </w:t>
      </w:r>
      <w:r>
        <w:rPr>
          <w:color w:val="231F20"/>
        </w:rPr>
        <w:t>cours</w:t>
      </w:r>
      <w:r>
        <w:rPr>
          <w:color w:val="231F20"/>
          <w:spacing w:val="-15"/>
        </w:rPr>
        <w:t> </w:t>
      </w:r>
      <w:r>
        <w:rPr>
          <w:color w:val="231F20"/>
        </w:rPr>
        <w:t>du</w:t>
      </w:r>
      <w:r>
        <w:rPr>
          <w:color w:val="231F20"/>
          <w:spacing w:val="-15"/>
        </w:rPr>
        <w:t> </w:t>
      </w:r>
      <w:r>
        <w:rPr>
          <w:color w:val="231F20"/>
        </w:rPr>
        <w:t>traditionnel</w:t>
      </w:r>
      <w:r>
        <w:rPr>
          <w:color w:val="231F20"/>
          <w:spacing w:val="-15"/>
        </w:rPr>
        <w:t> </w:t>
      </w:r>
      <w:r>
        <w:rPr>
          <w:color w:val="231F20"/>
        </w:rPr>
        <w:t>discours</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Nation</w:t>
      </w:r>
      <w:r>
        <w:rPr>
          <w:color w:val="231F20"/>
          <w:spacing w:val="-15"/>
        </w:rPr>
        <w:t> </w:t>
      </w:r>
      <w:r>
        <w:rPr>
          <w:color w:val="231F20"/>
        </w:rPr>
        <w:t>à</w:t>
      </w:r>
      <w:r>
        <w:rPr>
          <w:color w:val="231F20"/>
          <w:spacing w:val="-15"/>
        </w:rPr>
        <w:t> </w:t>
      </w:r>
      <w:r>
        <w:rPr>
          <w:color w:val="231F20"/>
        </w:rPr>
        <w:t>la veille de la fête nationale. L'annonce est immédiatement suivie de violences</w:t>
      </w:r>
      <w:r>
        <w:rPr>
          <w:color w:val="231F20"/>
          <w:spacing w:val="-15"/>
        </w:rPr>
        <w:t> </w:t>
      </w:r>
      <w:r>
        <w:rPr>
          <w:color w:val="231F20"/>
        </w:rPr>
        <w:t>:</w:t>
      </w:r>
      <w:r>
        <w:rPr>
          <w:color w:val="231F20"/>
          <w:spacing w:val="-15"/>
        </w:rPr>
        <w:t> </w:t>
      </w:r>
      <w:r>
        <w:rPr>
          <w:color w:val="231F20"/>
        </w:rPr>
        <w:t>des</w:t>
      </w:r>
      <w:r>
        <w:rPr>
          <w:color w:val="231F20"/>
          <w:spacing w:val="-15"/>
        </w:rPr>
        <w:t> </w:t>
      </w:r>
      <w:r>
        <w:rPr>
          <w:color w:val="231F20"/>
        </w:rPr>
        <w:t>affrontements</w:t>
      </w:r>
      <w:r>
        <w:rPr>
          <w:color w:val="231F20"/>
          <w:spacing w:val="-15"/>
        </w:rPr>
        <w:t> </w:t>
      </w:r>
      <w:r>
        <w:rPr>
          <w:color w:val="231F20"/>
        </w:rPr>
        <w:t>ont</w:t>
      </w:r>
      <w:r>
        <w:rPr>
          <w:color w:val="231F20"/>
          <w:spacing w:val="-15"/>
        </w:rPr>
        <w:t> </w:t>
      </w:r>
      <w:r>
        <w:rPr>
          <w:color w:val="231F20"/>
        </w:rPr>
        <w:t>lieu</w:t>
      </w:r>
      <w:r>
        <w:rPr>
          <w:color w:val="231F20"/>
          <w:spacing w:val="-15"/>
        </w:rPr>
        <w:t> </w:t>
      </w:r>
      <w:r>
        <w:rPr>
          <w:color w:val="231F20"/>
        </w:rPr>
        <w:t>entre</w:t>
      </w:r>
      <w:r>
        <w:rPr>
          <w:color w:val="231F20"/>
          <w:spacing w:val="-15"/>
        </w:rPr>
        <w:t> </w:t>
      </w:r>
      <w:r>
        <w:rPr>
          <w:color w:val="231F20"/>
        </w:rPr>
        <w:t>des</w:t>
      </w:r>
      <w:r>
        <w:rPr>
          <w:color w:val="231F20"/>
          <w:spacing w:val="-15"/>
        </w:rPr>
        <w:t> </w:t>
      </w:r>
      <w:r>
        <w:rPr>
          <w:color w:val="231F20"/>
        </w:rPr>
        <w:t>opposants</w:t>
      </w:r>
      <w:r>
        <w:rPr>
          <w:color w:val="231F20"/>
          <w:spacing w:val="-15"/>
        </w:rPr>
        <w:t> </w:t>
      </w:r>
      <w:r>
        <w:rPr>
          <w:color w:val="231F20"/>
        </w:rPr>
        <w:t>à</w:t>
      </w:r>
      <w:r>
        <w:rPr>
          <w:color w:val="231F20"/>
          <w:spacing w:val="-15"/>
        </w:rPr>
        <w:t> </w:t>
      </w:r>
      <w:r>
        <w:rPr>
          <w:color w:val="231F20"/>
        </w:rPr>
        <w:t>un</w:t>
      </w:r>
      <w:r>
        <w:rPr>
          <w:color w:val="231F20"/>
          <w:spacing w:val="-15"/>
        </w:rPr>
        <w:t> </w:t>
      </w:r>
      <w:r>
        <w:rPr>
          <w:color w:val="231F20"/>
        </w:rPr>
        <w:t>troisième mandat du président sortant et des militants de son parti. La</w:t>
      </w:r>
      <w:r>
        <w:rPr>
          <w:color w:val="231F20"/>
          <w:spacing w:val="-15"/>
        </w:rPr>
        <w:t> </w:t>
      </w:r>
      <w:r>
        <w:rPr>
          <w:color w:val="231F20"/>
        </w:rPr>
        <w:t>police</w:t>
      </w:r>
      <w:r>
        <w:rPr>
          <w:color w:val="231F20"/>
          <w:spacing w:val="-15"/>
        </w:rPr>
        <w:t> </w:t>
      </w:r>
      <w:r>
        <w:rPr>
          <w:color w:val="231F20"/>
        </w:rPr>
        <w:t>est </w:t>
      </w:r>
      <w:r>
        <w:rPr>
          <w:color w:val="231F20"/>
          <w:spacing w:val="-2"/>
        </w:rPr>
        <w:t>accusée</w:t>
      </w:r>
      <w:r>
        <w:rPr>
          <w:color w:val="231F20"/>
          <w:spacing w:val="-10"/>
        </w:rPr>
        <w:t> </w:t>
      </w:r>
      <w:r>
        <w:rPr>
          <w:color w:val="231F20"/>
          <w:spacing w:val="-2"/>
        </w:rPr>
        <w:t>par</w:t>
      </w:r>
      <w:r>
        <w:rPr>
          <w:color w:val="231F20"/>
          <w:spacing w:val="-7"/>
        </w:rPr>
        <w:t> </w:t>
      </w:r>
      <w:r>
        <w:rPr>
          <w:color w:val="231F20"/>
          <w:spacing w:val="-2"/>
        </w:rPr>
        <w:t>Amnesty</w:t>
      </w:r>
      <w:r>
        <w:rPr>
          <w:color w:val="231F20"/>
          <w:spacing w:val="-9"/>
        </w:rPr>
        <w:t> </w:t>
      </w:r>
      <w:r>
        <w:rPr>
          <w:color w:val="231F20"/>
          <w:spacing w:val="-2"/>
        </w:rPr>
        <w:t>International</w:t>
      </w:r>
      <w:r>
        <w:rPr>
          <w:color w:val="231F20"/>
          <w:spacing w:val="-13"/>
        </w:rPr>
        <w:t> </w:t>
      </w:r>
      <w:r>
        <w:rPr>
          <w:color w:val="231F20"/>
          <w:spacing w:val="-2"/>
        </w:rPr>
        <w:t>d'organiser</w:t>
      </w:r>
      <w:r>
        <w:rPr>
          <w:color w:val="231F20"/>
          <w:spacing w:val="-9"/>
        </w:rPr>
        <w:t> </w:t>
      </w:r>
      <w:r>
        <w:rPr>
          <w:color w:val="231F20"/>
          <w:spacing w:val="-2"/>
        </w:rPr>
        <w:t>des</w:t>
      </w:r>
      <w:r>
        <w:rPr>
          <w:color w:val="231F20"/>
          <w:spacing w:val="-11"/>
        </w:rPr>
        <w:t> </w:t>
      </w:r>
      <w:r>
        <w:rPr>
          <w:color w:val="231F20"/>
          <w:spacing w:val="-2"/>
        </w:rPr>
        <w:t>contre-manifestations </w:t>
      </w:r>
      <w:r>
        <w:rPr>
          <w:color w:val="231F20"/>
          <w:spacing w:val="-4"/>
        </w:rPr>
        <w:t>violentes</w:t>
      </w:r>
      <w:r>
        <w:rPr>
          <w:color w:val="231F20"/>
          <w:spacing w:val="-10"/>
        </w:rPr>
        <w:t> </w:t>
      </w:r>
      <w:r>
        <w:rPr>
          <w:color w:val="231F20"/>
          <w:spacing w:val="-4"/>
        </w:rPr>
        <w:t>en</w:t>
      </w:r>
      <w:r>
        <w:rPr>
          <w:color w:val="231F20"/>
          <w:spacing w:val="-8"/>
        </w:rPr>
        <w:t> </w:t>
      </w:r>
      <w:r>
        <w:rPr>
          <w:color w:val="231F20"/>
          <w:spacing w:val="-4"/>
        </w:rPr>
        <w:t>armant</w:t>
      </w:r>
      <w:r>
        <w:rPr>
          <w:color w:val="231F20"/>
          <w:spacing w:val="-10"/>
        </w:rPr>
        <w:t> </w:t>
      </w:r>
      <w:r>
        <w:rPr>
          <w:color w:val="231F20"/>
          <w:spacing w:val="-4"/>
        </w:rPr>
        <w:t>de</w:t>
      </w:r>
      <w:r>
        <w:rPr>
          <w:color w:val="231F20"/>
          <w:spacing w:val="-10"/>
        </w:rPr>
        <w:t> </w:t>
      </w:r>
      <w:r>
        <w:rPr>
          <w:color w:val="231F20"/>
          <w:spacing w:val="-4"/>
        </w:rPr>
        <w:t>machettes</w:t>
      </w:r>
      <w:r>
        <w:rPr>
          <w:color w:val="231F20"/>
          <w:spacing w:val="-11"/>
        </w:rPr>
        <w:t> </w:t>
      </w:r>
      <w:r>
        <w:rPr>
          <w:color w:val="231F20"/>
          <w:spacing w:val="-4"/>
        </w:rPr>
        <w:t>des</w:t>
      </w:r>
      <w:r>
        <w:rPr>
          <w:color w:val="231F20"/>
          <w:spacing w:val="-8"/>
        </w:rPr>
        <w:t> </w:t>
      </w:r>
      <w:r>
        <w:rPr>
          <w:color w:val="231F20"/>
          <w:spacing w:val="-4"/>
        </w:rPr>
        <w:t>civils.</w:t>
      </w:r>
      <w:r>
        <w:rPr>
          <w:color w:val="231F20"/>
          <w:spacing w:val="-10"/>
        </w:rPr>
        <w:t> </w:t>
      </w:r>
      <w:r>
        <w:rPr>
          <w:color w:val="231F20"/>
          <w:spacing w:val="-4"/>
        </w:rPr>
        <w:t>Cinq</w:t>
      </w:r>
      <w:r>
        <w:rPr>
          <w:color w:val="231F20"/>
          <w:spacing w:val="-10"/>
        </w:rPr>
        <w:t> </w:t>
      </w:r>
      <w:r>
        <w:rPr>
          <w:color w:val="231F20"/>
          <w:spacing w:val="-4"/>
        </w:rPr>
        <w:t>personnes</w:t>
      </w:r>
      <w:r>
        <w:rPr>
          <w:color w:val="231F20"/>
          <w:spacing w:val="-10"/>
        </w:rPr>
        <w:t> </w:t>
      </w:r>
      <w:r>
        <w:rPr>
          <w:color w:val="231F20"/>
          <w:spacing w:val="-4"/>
        </w:rPr>
        <w:t>trouvent</w:t>
      </w:r>
      <w:r>
        <w:rPr>
          <w:color w:val="231F20"/>
          <w:spacing w:val="-10"/>
        </w:rPr>
        <w:t> </w:t>
      </w:r>
      <w:r>
        <w:rPr>
          <w:color w:val="231F20"/>
          <w:spacing w:val="-4"/>
        </w:rPr>
        <w:t>ainsi </w:t>
      </w:r>
      <w:r>
        <w:rPr>
          <w:color w:val="231F20"/>
        </w:rPr>
        <w:t>la</w:t>
      </w:r>
      <w:r>
        <w:rPr>
          <w:color w:val="231F20"/>
          <w:spacing w:val="-6"/>
        </w:rPr>
        <w:t> </w:t>
      </w:r>
      <w:r>
        <w:rPr>
          <w:color w:val="231F20"/>
        </w:rPr>
        <w:t>mort</w:t>
      </w:r>
      <w:r>
        <w:rPr>
          <w:color w:val="231F20"/>
          <w:spacing w:val="-6"/>
        </w:rPr>
        <w:t> </w:t>
      </w:r>
      <w:r>
        <w:rPr>
          <w:color w:val="231F20"/>
        </w:rPr>
        <w:t>durant</w:t>
      </w:r>
      <w:r>
        <w:rPr>
          <w:color w:val="231F20"/>
          <w:spacing w:val="-9"/>
        </w:rPr>
        <w:t> </w:t>
      </w:r>
      <w:r>
        <w:rPr>
          <w:color w:val="231F20"/>
        </w:rPr>
        <w:t>le</w:t>
      </w:r>
      <w:r>
        <w:rPr>
          <w:color w:val="231F20"/>
          <w:spacing w:val="-6"/>
        </w:rPr>
        <w:t> </w:t>
      </w:r>
      <w:r>
        <w:rPr>
          <w:color w:val="231F20"/>
        </w:rPr>
        <w:t>mois</w:t>
      </w:r>
      <w:r>
        <w:rPr>
          <w:color w:val="231F20"/>
          <w:spacing w:val="-9"/>
        </w:rPr>
        <w:t> </w:t>
      </w:r>
      <w:r>
        <w:rPr>
          <w:color w:val="231F20"/>
        </w:rPr>
        <w:t>d'août</w:t>
      </w:r>
      <w:r>
        <w:rPr>
          <w:color w:val="231F20"/>
          <w:spacing w:val="-6"/>
        </w:rPr>
        <w:t> </w:t>
      </w:r>
      <w:r>
        <w:rPr>
          <w:color w:val="231F20"/>
        </w:rPr>
        <w:t>et</w:t>
      </w:r>
      <w:r>
        <w:rPr>
          <w:color w:val="231F20"/>
          <w:spacing w:val="-6"/>
        </w:rPr>
        <w:t> </w:t>
      </w:r>
      <w:r>
        <w:rPr>
          <w:color w:val="231F20"/>
        </w:rPr>
        <w:t>une</w:t>
      </w:r>
      <w:r>
        <w:rPr>
          <w:color w:val="231F20"/>
          <w:spacing w:val="-6"/>
        </w:rPr>
        <w:t> </w:t>
      </w:r>
      <w:r>
        <w:rPr>
          <w:color w:val="231F20"/>
        </w:rPr>
        <w:t>centaine</w:t>
      </w:r>
      <w:r>
        <w:rPr>
          <w:color w:val="231F20"/>
          <w:spacing w:val="-9"/>
        </w:rPr>
        <w:t> </w:t>
      </w:r>
      <w:r>
        <w:rPr>
          <w:color w:val="231F20"/>
        </w:rPr>
        <w:t>d'autres</w:t>
      </w:r>
      <w:r>
        <w:rPr>
          <w:color w:val="231F20"/>
          <w:spacing w:val="-7"/>
        </w:rPr>
        <w:t> </w:t>
      </w:r>
      <w:r>
        <w:rPr>
          <w:color w:val="231F20"/>
        </w:rPr>
        <w:t>sont</w:t>
      </w:r>
      <w:r>
        <w:rPr>
          <w:color w:val="231F20"/>
          <w:spacing w:val="-6"/>
        </w:rPr>
        <w:t> </w:t>
      </w:r>
      <w:r>
        <w:rPr>
          <w:color w:val="231F20"/>
        </w:rPr>
        <w:t>blessées.</w:t>
      </w:r>
    </w:p>
    <w:p>
      <w:pPr>
        <w:spacing w:before="118"/>
        <w:ind w:left="111" w:right="103" w:firstLine="283"/>
        <w:jc w:val="both"/>
        <w:rPr>
          <w:i/>
          <w:sz w:val="24"/>
        </w:rPr>
      </w:pPr>
      <w:r>
        <w:rPr>
          <w:color w:val="231F20"/>
          <w:sz w:val="24"/>
        </w:rPr>
        <w:t>Des représentants de la société civile sont arrêtés pour</w:t>
      </w:r>
      <w:r>
        <w:rPr>
          <w:color w:val="231F20"/>
          <w:spacing w:val="-15"/>
          <w:sz w:val="24"/>
        </w:rPr>
        <w:t> </w:t>
      </w:r>
      <w:r>
        <w:rPr>
          <w:i/>
          <w:color w:val="231F20"/>
          <w:sz w:val="24"/>
        </w:rPr>
        <w:t>«</w:t>
      </w:r>
      <w:r>
        <w:rPr>
          <w:i/>
          <w:color w:val="231F20"/>
          <w:spacing w:val="-14"/>
          <w:sz w:val="24"/>
        </w:rPr>
        <w:t> </w:t>
      </w:r>
      <w:r>
        <w:rPr>
          <w:i/>
          <w:color w:val="231F20"/>
          <w:sz w:val="24"/>
        </w:rPr>
        <w:t>trouble à</w:t>
      </w:r>
      <w:r>
        <w:rPr>
          <w:i/>
          <w:color w:val="231F20"/>
          <w:sz w:val="24"/>
        </w:rPr>
        <w:t> </w:t>
      </w:r>
      <w:r>
        <w:rPr>
          <w:i/>
          <w:color w:val="231F20"/>
          <w:spacing w:val="-2"/>
          <w:sz w:val="24"/>
        </w:rPr>
        <w:t>l’ordre</w:t>
      </w:r>
      <w:r>
        <w:rPr>
          <w:i/>
          <w:color w:val="231F20"/>
          <w:spacing w:val="-8"/>
          <w:sz w:val="24"/>
        </w:rPr>
        <w:t> </w:t>
      </w:r>
      <w:r>
        <w:rPr>
          <w:i/>
          <w:color w:val="231F20"/>
          <w:spacing w:val="-2"/>
          <w:sz w:val="24"/>
        </w:rPr>
        <w:t>public,</w:t>
      </w:r>
      <w:r>
        <w:rPr>
          <w:i/>
          <w:color w:val="231F20"/>
          <w:spacing w:val="-9"/>
          <w:sz w:val="24"/>
        </w:rPr>
        <w:t> </w:t>
      </w:r>
      <w:r>
        <w:rPr>
          <w:i/>
          <w:color w:val="231F20"/>
          <w:spacing w:val="-2"/>
          <w:sz w:val="24"/>
        </w:rPr>
        <w:t>appel</w:t>
      </w:r>
      <w:r>
        <w:rPr>
          <w:i/>
          <w:color w:val="231F20"/>
          <w:spacing w:val="-9"/>
          <w:sz w:val="24"/>
        </w:rPr>
        <w:t> </w:t>
      </w:r>
      <w:r>
        <w:rPr>
          <w:i/>
          <w:color w:val="231F20"/>
          <w:spacing w:val="-2"/>
          <w:sz w:val="24"/>
        </w:rPr>
        <w:t>à</w:t>
      </w:r>
      <w:r>
        <w:rPr>
          <w:i/>
          <w:color w:val="231F20"/>
          <w:spacing w:val="-9"/>
          <w:sz w:val="24"/>
        </w:rPr>
        <w:t> </w:t>
      </w:r>
      <w:r>
        <w:rPr>
          <w:i/>
          <w:color w:val="231F20"/>
          <w:spacing w:val="-2"/>
          <w:sz w:val="24"/>
        </w:rPr>
        <w:t>l’insurrection,</w:t>
      </w:r>
      <w:r>
        <w:rPr>
          <w:i/>
          <w:color w:val="231F20"/>
          <w:spacing w:val="-9"/>
          <w:sz w:val="24"/>
        </w:rPr>
        <w:t> </w:t>
      </w:r>
      <w:r>
        <w:rPr>
          <w:i/>
          <w:color w:val="231F20"/>
          <w:spacing w:val="-2"/>
          <w:sz w:val="24"/>
        </w:rPr>
        <w:t>incitation</w:t>
      </w:r>
      <w:r>
        <w:rPr>
          <w:i/>
          <w:color w:val="231F20"/>
          <w:spacing w:val="-8"/>
          <w:sz w:val="24"/>
        </w:rPr>
        <w:t> </w:t>
      </w:r>
      <w:r>
        <w:rPr>
          <w:i/>
          <w:color w:val="231F20"/>
          <w:spacing w:val="-2"/>
          <w:sz w:val="24"/>
        </w:rPr>
        <w:t>à</w:t>
      </w:r>
      <w:r>
        <w:rPr>
          <w:i/>
          <w:color w:val="231F20"/>
          <w:spacing w:val="-9"/>
          <w:sz w:val="24"/>
        </w:rPr>
        <w:t> </w:t>
      </w:r>
      <w:r>
        <w:rPr>
          <w:i/>
          <w:color w:val="231F20"/>
          <w:spacing w:val="-2"/>
          <w:sz w:val="24"/>
        </w:rPr>
        <w:t>la</w:t>
      </w:r>
      <w:r>
        <w:rPr>
          <w:i/>
          <w:color w:val="231F20"/>
          <w:spacing w:val="-8"/>
          <w:sz w:val="24"/>
        </w:rPr>
        <w:t> </w:t>
      </w:r>
      <w:r>
        <w:rPr>
          <w:i/>
          <w:color w:val="231F20"/>
          <w:spacing w:val="-2"/>
          <w:sz w:val="24"/>
        </w:rPr>
        <w:t>révolte,</w:t>
      </w:r>
      <w:r>
        <w:rPr>
          <w:i/>
          <w:color w:val="231F20"/>
          <w:spacing w:val="-9"/>
          <w:sz w:val="24"/>
        </w:rPr>
        <w:t> </w:t>
      </w:r>
      <w:r>
        <w:rPr>
          <w:i/>
          <w:color w:val="231F20"/>
          <w:spacing w:val="-2"/>
          <w:sz w:val="24"/>
        </w:rPr>
        <w:t>violences</w:t>
      </w:r>
      <w:r>
        <w:rPr>
          <w:i/>
          <w:color w:val="231F20"/>
          <w:spacing w:val="-8"/>
          <w:sz w:val="24"/>
        </w:rPr>
        <w:t> </w:t>
      </w:r>
      <w:r>
        <w:rPr>
          <w:i/>
          <w:color w:val="231F20"/>
          <w:spacing w:val="-2"/>
          <w:sz w:val="24"/>
        </w:rPr>
        <w:t>et </w:t>
      </w:r>
      <w:r>
        <w:rPr>
          <w:i/>
          <w:color w:val="231F20"/>
          <w:sz w:val="24"/>
        </w:rPr>
        <w:t>voie</w:t>
      </w:r>
      <w:r>
        <w:rPr>
          <w:i/>
          <w:color w:val="231F20"/>
          <w:spacing w:val="-2"/>
          <w:sz w:val="24"/>
        </w:rPr>
        <w:t> </w:t>
      </w:r>
      <w:r>
        <w:rPr>
          <w:i/>
          <w:color w:val="231F20"/>
          <w:sz w:val="24"/>
        </w:rPr>
        <w:t>de</w:t>
      </w:r>
      <w:r>
        <w:rPr>
          <w:i/>
          <w:color w:val="231F20"/>
          <w:spacing w:val="-2"/>
          <w:sz w:val="24"/>
        </w:rPr>
        <w:t> </w:t>
      </w:r>
      <w:r>
        <w:rPr>
          <w:i/>
          <w:color w:val="231F20"/>
          <w:sz w:val="24"/>
        </w:rPr>
        <w:t>fait</w:t>
      </w:r>
      <w:r>
        <w:rPr>
          <w:i/>
          <w:color w:val="231F20"/>
          <w:spacing w:val="-2"/>
          <w:sz w:val="24"/>
        </w:rPr>
        <w:t> </w:t>
      </w:r>
      <w:r>
        <w:rPr>
          <w:i/>
          <w:color w:val="231F20"/>
          <w:sz w:val="24"/>
        </w:rPr>
        <w:t>et</w:t>
      </w:r>
      <w:r>
        <w:rPr>
          <w:i/>
          <w:color w:val="231F20"/>
          <w:spacing w:val="-5"/>
          <w:sz w:val="24"/>
        </w:rPr>
        <w:t> </w:t>
      </w:r>
      <w:r>
        <w:rPr>
          <w:i/>
          <w:color w:val="231F20"/>
          <w:sz w:val="24"/>
        </w:rPr>
        <w:t>destructions</w:t>
      </w:r>
      <w:r>
        <w:rPr>
          <w:i/>
          <w:color w:val="231F20"/>
          <w:spacing w:val="-6"/>
          <w:sz w:val="24"/>
        </w:rPr>
        <w:t> </w:t>
      </w:r>
      <w:r>
        <w:rPr>
          <w:i/>
          <w:color w:val="231F20"/>
          <w:sz w:val="24"/>
        </w:rPr>
        <w:t>de</w:t>
      </w:r>
      <w:r>
        <w:rPr>
          <w:i/>
          <w:color w:val="231F20"/>
          <w:spacing w:val="-2"/>
          <w:sz w:val="24"/>
        </w:rPr>
        <w:t> </w:t>
      </w:r>
      <w:r>
        <w:rPr>
          <w:i/>
          <w:color w:val="231F20"/>
          <w:sz w:val="24"/>
        </w:rPr>
        <w:t>biens</w:t>
      </w:r>
      <w:r>
        <w:rPr>
          <w:i/>
          <w:color w:val="231F20"/>
          <w:spacing w:val="-2"/>
          <w:sz w:val="24"/>
        </w:rPr>
        <w:t> </w:t>
      </w:r>
      <w:r>
        <w:rPr>
          <w:i/>
          <w:color w:val="231F20"/>
          <w:sz w:val="24"/>
        </w:rPr>
        <w:t>publics</w:t>
      </w:r>
      <w:r>
        <w:rPr>
          <w:i/>
          <w:color w:val="231F20"/>
          <w:spacing w:val="-2"/>
          <w:sz w:val="24"/>
        </w:rPr>
        <w:t> </w:t>
      </w:r>
      <w:r>
        <w:rPr>
          <w:i/>
          <w:color w:val="231F20"/>
          <w:sz w:val="24"/>
        </w:rPr>
        <w:t>et</w:t>
      </w:r>
      <w:r>
        <w:rPr>
          <w:i/>
          <w:color w:val="231F20"/>
          <w:spacing w:val="-4"/>
          <w:sz w:val="24"/>
        </w:rPr>
        <w:t> </w:t>
      </w:r>
      <w:r>
        <w:rPr>
          <w:i/>
          <w:color w:val="231F20"/>
          <w:sz w:val="24"/>
        </w:rPr>
        <w:t>privés</w:t>
      </w:r>
      <w:r>
        <w:rPr>
          <w:i/>
          <w:color w:val="231F20"/>
          <w:spacing w:val="-2"/>
          <w:sz w:val="24"/>
        </w:rPr>
        <w:t> </w:t>
      </w:r>
      <w:r>
        <w:rPr>
          <w:i/>
          <w:color w:val="231F20"/>
          <w:sz w:val="24"/>
        </w:rPr>
        <w:t>»</w:t>
      </w:r>
    </w:p>
    <w:p>
      <w:pPr>
        <w:pStyle w:val="BodyText"/>
        <w:spacing w:before="120"/>
        <w:ind w:right="106" w:firstLine="283"/>
      </w:pPr>
      <w:r>
        <w:rPr>
          <w:color w:val="231F20"/>
        </w:rPr>
        <w:t>Sur</w:t>
      </w:r>
      <w:r>
        <w:rPr>
          <w:color w:val="231F20"/>
          <w:spacing w:val="-9"/>
        </w:rPr>
        <w:t> </w:t>
      </w:r>
      <w:r>
        <w:rPr>
          <w:color w:val="231F20"/>
        </w:rPr>
        <w:t>quarante-quatre</w:t>
      </w:r>
      <w:r>
        <w:rPr>
          <w:color w:val="231F20"/>
          <w:spacing w:val="-7"/>
        </w:rPr>
        <w:t> </w:t>
      </w:r>
      <w:r>
        <w:rPr>
          <w:color w:val="231F20"/>
        </w:rPr>
        <w:t>candidatures</w:t>
      </w:r>
      <w:r>
        <w:rPr>
          <w:color w:val="231F20"/>
          <w:spacing w:val="-8"/>
        </w:rPr>
        <w:t> </w:t>
      </w:r>
      <w:r>
        <w:rPr>
          <w:color w:val="231F20"/>
        </w:rPr>
        <w:t>à</w:t>
      </w:r>
      <w:r>
        <w:rPr>
          <w:color w:val="231F20"/>
          <w:spacing w:val="-9"/>
        </w:rPr>
        <w:t> </w:t>
      </w:r>
      <w:r>
        <w:rPr>
          <w:color w:val="231F20"/>
        </w:rPr>
        <w:t>l’élection</w:t>
      </w:r>
      <w:r>
        <w:rPr>
          <w:color w:val="231F20"/>
          <w:spacing w:val="-7"/>
        </w:rPr>
        <w:t> </w:t>
      </w:r>
      <w:r>
        <w:rPr>
          <w:color w:val="231F20"/>
        </w:rPr>
        <w:t>présidentielle</w:t>
      </w:r>
      <w:r>
        <w:rPr>
          <w:color w:val="231F20"/>
          <w:spacing w:val="-9"/>
        </w:rPr>
        <w:t> </w:t>
      </w:r>
      <w:r>
        <w:rPr>
          <w:color w:val="231F20"/>
        </w:rPr>
        <w:t>de</w:t>
      </w:r>
      <w:r>
        <w:rPr>
          <w:color w:val="231F20"/>
          <w:spacing w:val="-8"/>
        </w:rPr>
        <w:t> </w:t>
      </w:r>
      <w:r>
        <w:rPr>
          <w:color w:val="231F20"/>
        </w:rPr>
        <w:t>2020, quatre</w:t>
      </w:r>
      <w:r>
        <w:rPr>
          <w:color w:val="231F20"/>
          <w:spacing w:val="-5"/>
        </w:rPr>
        <w:t> </w:t>
      </w:r>
      <w:r>
        <w:rPr>
          <w:color w:val="231F20"/>
        </w:rPr>
        <w:t>sont validées par le Conseil constitutionnel</w:t>
      </w:r>
      <w:r>
        <w:rPr>
          <w:color w:val="231F20"/>
          <w:spacing w:val="-15"/>
        </w:rPr>
        <w:t> </w:t>
      </w:r>
      <w:r>
        <w:rPr>
          <w:color w:val="231F20"/>
        </w:rPr>
        <w:t>: Alassane Ouattara, </w:t>
      </w:r>
      <w:r>
        <w:rPr>
          <w:color w:val="231F20"/>
          <w:spacing w:val="-2"/>
        </w:rPr>
        <w:t>président</w:t>
      </w:r>
      <w:r>
        <w:rPr>
          <w:color w:val="231F20"/>
          <w:spacing w:val="-7"/>
        </w:rPr>
        <w:t> </w:t>
      </w:r>
      <w:r>
        <w:rPr>
          <w:color w:val="231F20"/>
          <w:spacing w:val="-2"/>
        </w:rPr>
        <w:t>du</w:t>
      </w:r>
      <w:r>
        <w:rPr>
          <w:color w:val="231F20"/>
          <w:spacing w:val="-9"/>
        </w:rPr>
        <w:t> </w:t>
      </w:r>
      <w:r>
        <w:rPr>
          <w:color w:val="231F20"/>
          <w:spacing w:val="-2"/>
        </w:rPr>
        <w:t>RHDP,</w:t>
      </w:r>
      <w:r>
        <w:rPr>
          <w:color w:val="231F20"/>
          <w:spacing w:val="-7"/>
        </w:rPr>
        <w:t> </w:t>
      </w:r>
      <w:r>
        <w:rPr>
          <w:color w:val="231F20"/>
          <w:spacing w:val="-2"/>
        </w:rPr>
        <w:t>Henri</w:t>
      </w:r>
      <w:r>
        <w:rPr>
          <w:color w:val="231F20"/>
          <w:spacing w:val="-7"/>
        </w:rPr>
        <w:t> </w:t>
      </w:r>
      <w:r>
        <w:rPr>
          <w:color w:val="231F20"/>
          <w:spacing w:val="-2"/>
        </w:rPr>
        <w:t>Konan</w:t>
      </w:r>
      <w:r>
        <w:rPr>
          <w:color w:val="231F20"/>
          <w:spacing w:val="-9"/>
        </w:rPr>
        <w:t> </w:t>
      </w:r>
      <w:r>
        <w:rPr>
          <w:color w:val="231F20"/>
          <w:spacing w:val="-2"/>
        </w:rPr>
        <w:t>Bédié,</w:t>
      </w:r>
      <w:r>
        <w:rPr>
          <w:color w:val="231F20"/>
          <w:spacing w:val="-9"/>
        </w:rPr>
        <w:t> </w:t>
      </w:r>
      <w:r>
        <w:rPr>
          <w:color w:val="231F20"/>
          <w:spacing w:val="-2"/>
        </w:rPr>
        <w:t>président</w:t>
      </w:r>
      <w:r>
        <w:rPr>
          <w:color w:val="231F20"/>
          <w:spacing w:val="-8"/>
        </w:rPr>
        <w:t> </w:t>
      </w:r>
      <w:r>
        <w:rPr>
          <w:color w:val="231F20"/>
          <w:spacing w:val="-2"/>
        </w:rPr>
        <w:t>du</w:t>
      </w:r>
      <w:r>
        <w:rPr>
          <w:color w:val="231F20"/>
          <w:spacing w:val="-9"/>
        </w:rPr>
        <w:t> </w:t>
      </w:r>
      <w:r>
        <w:rPr>
          <w:color w:val="231F20"/>
          <w:spacing w:val="-2"/>
        </w:rPr>
        <w:t>PDCI,</w:t>
      </w:r>
      <w:r>
        <w:rPr>
          <w:color w:val="231F20"/>
          <w:spacing w:val="-8"/>
        </w:rPr>
        <w:t> </w:t>
      </w:r>
      <w:r>
        <w:rPr>
          <w:color w:val="231F20"/>
          <w:spacing w:val="-2"/>
        </w:rPr>
        <w:t>Pascal</w:t>
      </w:r>
      <w:r>
        <w:rPr>
          <w:color w:val="231F20"/>
          <w:spacing w:val="-8"/>
        </w:rPr>
        <w:t> </w:t>
      </w:r>
      <w:r>
        <w:rPr>
          <w:color w:val="231F20"/>
          <w:spacing w:val="-2"/>
        </w:rPr>
        <w:t>Affi </w:t>
      </w:r>
      <w:r>
        <w:rPr>
          <w:color w:val="231F20"/>
        </w:rPr>
        <w:t>N'Guessan,</w:t>
      </w:r>
      <w:r>
        <w:rPr>
          <w:color w:val="231F20"/>
          <w:spacing w:val="-1"/>
        </w:rPr>
        <w:t> </w:t>
      </w:r>
      <w:r>
        <w:rPr>
          <w:color w:val="231F20"/>
        </w:rPr>
        <w:t>président</w:t>
      </w:r>
      <w:r>
        <w:rPr>
          <w:color w:val="231F20"/>
          <w:spacing w:val="-1"/>
        </w:rPr>
        <w:t> </w:t>
      </w:r>
      <w:r>
        <w:rPr>
          <w:color w:val="231F20"/>
        </w:rPr>
        <w:t>de</w:t>
      </w:r>
      <w:r>
        <w:rPr>
          <w:color w:val="231F20"/>
          <w:spacing w:val="-1"/>
        </w:rPr>
        <w:t> </w:t>
      </w:r>
      <w:r>
        <w:rPr>
          <w:color w:val="231F20"/>
        </w:rPr>
        <w:t>la</w:t>
      </w:r>
      <w:r>
        <w:rPr>
          <w:color w:val="231F20"/>
          <w:spacing w:val="-1"/>
        </w:rPr>
        <w:t> </w:t>
      </w:r>
      <w:r>
        <w:rPr>
          <w:color w:val="231F20"/>
        </w:rPr>
        <w:t>tendance</w:t>
      </w:r>
      <w:r>
        <w:rPr>
          <w:color w:val="231F20"/>
          <w:spacing w:val="-1"/>
        </w:rPr>
        <w:t> </w:t>
      </w:r>
      <w:r>
        <w:rPr>
          <w:color w:val="231F20"/>
        </w:rPr>
        <w:t>FPI</w:t>
      </w:r>
      <w:r>
        <w:rPr>
          <w:color w:val="231F20"/>
          <w:spacing w:val="-4"/>
        </w:rPr>
        <w:t> </w:t>
      </w:r>
      <w:r>
        <w:rPr>
          <w:color w:val="231F20"/>
        </w:rPr>
        <w:t>reconnu par</w:t>
      </w:r>
      <w:r>
        <w:rPr>
          <w:color w:val="231F20"/>
          <w:spacing w:val="-1"/>
        </w:rPr>
        <w:t> </w:t>
      </w:r>
      <w:r>
        <w:rPr>
          <w:color w:val="231F20"/>
        </w:rPr>
        <w:t>l’État</w:t>
      </w:r>
      <w:r>
        <w:rPr>
          <w:color w:val="231F20"/>
          <w:spacing w:val="-1"/>
        </w:rPr>
        <w:t> </w:t>
      </w:r>
      <w:r>
        <w:rPr>
          <w:color w:val="231F20"/>
        </w:rPr>
        <w:t>et</w:t>
      </w:r>
      <w:r>
        <w:rPr>
          <w:color w:val="231F20"/>
          <w:spacing w:val="-1"/>
        </w:rPr>
        <w:t> </w:t>
      </w:r>
      <w:r>
        <w:rPr>
          <w:color w:val="231F20"/>
        </w:rPr>
        <w:t>Kouadio Konan</w:t>
      </w:r>
      <w:r>
        <w:rPr>
          <w:color w:val="231F20"/>
          <w:spacing w:val="-7"/>
        </w:rPr>
        <w:t> </w:t>
      </w:r>
      <w:r>
        <w:rPr>
          <w:color w:val="231F20"/>
        </w:rPr>
        <w:t>Bertin,</w:t>
      </w:r>
      <w:r>
        <w:rPr>
          <w:color w:val="231F20"/>
          <w:spacing w:val="-7"/>
        </w:rPr>
        <w:t> </w:t>
      </w:r>
      <w:r>
        <w:rPr>
          <w:color w:val="231F20"/>
        </w:rPr>
        <w:t>candidat</w:t>
      </w:r>
      <w:r>
        <w:rPr>
          <w:color w:val="231F20"/>
          <w:spacing w:val="-9"/>
        </w:rPr>
        <w:t> </w:t>
      </w:r>
      <w:r>
        <w:rPr>
          <w:color w:val="231F20"/>
        </w:rPr>
        <w:t>sans</w:t>
      </w:r>
      <w:r>
        <w:rPr>
          <w:color w:val="231F20"/>
          <w:spacing w:val="-7"/>
        </w:rPr>
        <w:t> </w:t>
      </w:r>
      <w:r>
        <w:rPr>
          <w:color w:val="231F20"/>
        </w:rPr>
        <w:t>étiquette,</w:t>
      </w:r>
      <w:r>
        <w:rPr>
          <w:color w:val="231F20"/>
          <w:spacing w:val="-9"/>
        </w:rPr>
        <w:t> </w:t>
      </w:r>
      <w:r>
        <w:rPr>
          <w:color w:val="231F20"/>
        </w:rPr>
        <w:t>membre</w:t>
      </w:r>
      <w:r>
        <w:rPr>
          <w:color w:val="231F20"/>
          <w:spacing w:val="-9"/>
        </w:rPr>
        <w:t> </w:t>
      </w:r>
      <w:r>
        <w:rPr>
          <w:color w:val="231F20"/>
        </w:rPr>
        <w:t>dissident</w:t>
      </w:r>
      <w:r>
        <w:rPr>
          <w:color w:val="231F20"/>
          <w:spacing w:val="-6"/>
        </w:rPr>
        <w:t> </w:t>
      </w:r>
      <w:r>
        <w:rPr>
          <w:color w:val="231F20"/>
        </w:rPr>
        <w:t>du</w:t>
      </w:r>
      <w:r>
        <w:rPr>
          <w:color w:val="231F20"/>
          <w:spacing w:val="-7"/>
        </w:rPr>
        <w:t> </w:t>
      </w:r>
      <w:r>
        <w:rPr>
          <w:color w:val="231F20"/>
        </w:rPr>
        <w:t>PDCI.</w:t>
      </w:r>
    </w:p>
    <w:p>
      <w:pPr>
        <w:pStyle w:val="BodyText"/>
        <w:spacing w:before="121"/>
        <w:ind w:right="108" w:firstLine="283"/>
      </w:pPr>
      <w:r>
        <w:rPr>
          <w:color w:val="231F20"/>
          <w:spacing w:val="-2"/>
        </w:rPr>
        <w:t>En</w:t>
      </w:r>
      <w:r>
        <w:rPr>
          <w:color w:val="231F20"/>
          <w:spacing w:val="-10"/>
        </w:rPr>
        <w:t> </w:t>
      </w:r>
      <w:r>
        <w:rPr>
          <w:color w:val="231F20"/>
          <w:spacing w:val="-2"/>
        </w:rPr>
        <w:t>septembre</w:t>
      </w:r>
      <w:r>
        <w:rPr>
          <w:color w:val="231F20"/>
          <w:spacing w:val="-10"/>
        </w:rPr>
        <w:t> </w:t>
      </w:r>
      <w:r>
        <w:rPr>
          <w:color w:val="231F20"/>
          <w:spacing w:val="-2"/>
        </w:rPr>
        <w:t>2020,</w:t>
      </w:r>
      <w:r>
        <w:rPr>
          <w:color w:val="231F20"/>
          <w:spacing w:val="-12"/>
        </w:rPr>
        <w:t> </w:t>
      </w:r>
      <w:r>
        <w:rPr>
          <w:color w:val="231F20"/>
          <w:spacing w:val="-2"/>
        </w:rPr>
        <w:t>l'opposition</w:t>
      </w:r>
      <w:r>
        <w:rPr>
          <w:color w:val="231F20"/>
          <w:spacing w:val="-13"/>
        </w:rPr>
        <w:t> </w:t>
      </w:r>
      <w:r>
        <w:rPr>
          <w:color w:val="231F20"/>
          <w:spacing w:val="-2"/>
        </w:rPr>
        <w:t>ivoirienne</w:t>
      </w:r>
      <w:r>
        <w:rPr>
          <w:color w:val="231F20"/>
          <w:spacing w:val="-13"/>
        </w:rPr>
        <w:t> </w:t>
      </w:r>
      <w:r>
        <w:rPr>
          <w:color w:val="231F20"/>
          <w:spacing w:val="-2"/>
        </w:rPr>
        <w:t>conduite</w:t>
      </w:r>
      <w:r>
        <w:rPr>
          <w:color w:val="231F20"/>
          <w:spacing w:val="-11"/>
        </w:rPr>
        <w:t> </w:t>
      </w:r>
      <w:r>
        <w:rPr>
          <w:color w:val="231F20"/>
          <w:spacing w:val="-2"/>
        </w:rPr>
        <w:t>par</w:t>
      </w:r>
      <w:r>
        <w:rPr>
          <w:color w:val="231F20"/>
          <w:spacing w:val="-10"/>
        </w:rPr>
        <w:t> </w:t>
      </w:r>
      <w:r>
        <w:rPr>
          <w:color w:val="231F20"/>
          <w:spacing w:val="-2"/>
        </w:rPr>
        <w:t>Henri</w:t>
      </w:r>
      <w:r>
        <w:rPr>
          <w:color w:val="231F20"/>
          <w:spacing w:val="-7"/>
        </w:rPr>
        <w:t> </w:t>
      </w:r>
      <w:r>
        <w:rPr>
          <w:color w:val="231F20"/>
          <w:spacing w:val="-2"/>
        </w:rPr>
        <w:t>Konan </w:t>
      </w:r>
      <w:r>
        <w:rPr>
          <w:color w:val="231F20"/>
        </w:rPr>
        <w:t>Bédié</w:t>
      </w:r>
      <w:r>
        <w:rPr>
          <w:color w:val="231F20"/>
          <w:spacing w:val="-15"/>
        </w:rPr>
        <w:t> </w:t>
      </w:r>
      <w:r>
        <w:rPr>
          <w:color w:val="231F20"/>
        </w:rPr>
        <w:t>lance</w:t>
      </w:r>
      <w:r>
        <w:rPr>
          <w:color w:val="231F20"/>
          <w:spacing w:val="-15"/>
        </w:rPr>
        <w:t> </w:t>
      </w:r>
      <w:r>
        <w:rPr>
          <w:color w:val="231F20"/>
        </w:rPr>
        <w:t>un</w:t>
      </w:r>
      <w:r>
        <w:rPr>
          <w:color w:val="231F20"/>
          <w:spacing w:val="-15"/>
        </w:rPr>
        <w:t> </w:t>
      </w:r>
      <w:r>
        <w:rPr>
          <w:color w:val="231F20"/>
        </w:rPr>
        <w:t>mot</w:t>
      </w:r>
      <w:r>
        <w:rPr>
          <w:color w:val="231F20"/>
          <w:spacing w:val="-15"/>
        </w:rPr>
        <w:t> </w:t>
      </w:r>
      <w:r>
        <w:rPr>
          <w:color w:val="231F20"/>
        </w:rPr>
        <w:t>d'ordre</w:t>
      </w:r>
      <w:r>
        <w:rPr>
          <w:color w:val="231F20"/>
          <w:spacing w:val="-15"/>
        </w:rPr>
        <w:t> </w:t>
      </w:r>
      <w:r>
        <w:rPr>
          <w:color w:val="231F20"/>
        </w:rPr>
        <w:t>de</w:t>
      </w:r>
      <w:r>
        <w:rPr>
          <w:color w:val="231F20"/>
          <w:spacing w:val="-15"/>
        </w:rPr>
        <w:t> </w:t>
      </w:r>
      <w:r>
        <w:rPr>
          <w:color w:val="231F20"/>
        </w:rPr>
        <w:t>désobéissance</w:t>
      </w:r>
      <w:r>
        <w:rPr>
          <w:color w:val="231F20"/>
          <w:spacing w:val="-15"/>
        </w:rPr>
        <w:t> </w:t>
      </w:r>
      <w:r>
        <w:rPr>
          <w:color w:val="231F20"/>
        </w:rPr>
        <w:t>civile</w:t>
      </w:r>
      <w:r>
        <w:rPr>
          <w:color w:val="231F20"/>
          <w:spacing w:val="-15"/>
        </w:rPr>
        <w:t> </w:t>
      </w:r>
      <w:r>
        <w:rPr>
          <w:color w:val="231F20"/>
        </w:rPr>
        <w:t>pour</w:t>
      </w:r>
      <w:r>
        <w:rPr>
          <w:color w:val="231F20"/>
          <w:spacing w:val="-15"/>
        </w:rPr>
        <w:t> </w:t>
      </w:r>
      <w:r>
        <w:rPr>
          <w:color w:val="231F20"/>
        </w:rPr>
        <w:t>faire</w:t>
      </w:r>
      <w:r>
        <w:rPr>
          <w:color w:val="231F20"/>
          <w:spacing w:val="-15"/>
        </w:rPr>
        <w:t> </w:t>
      </w:r>
      <w:r>
        <w:rPr>
          <w:color w:val="231F20"/>
        </w:rPr>
        <w:t>barrage</w:t>
      </w:r>
      <w:r>
        <w:rPr>
          <w:color w:val="231F20"/>
          <w:spacing w:val="-15"/>
        </w:rPr>
        <w:t> </w:t>
      </w:r>
      <w:r>
        <w:rPr>
          <w:color w:val="231F20"/>
        </w:rPr>
        <w:t>au 3</w:t>
      </w:r>
      <w:r>
        <w:rPr>
          <w:color w:val="231F20"/>
          <w:vertAlign w:val="superscript"/>
        </w:rPr>
        <w:t>ème</w:t>
      </w:r>
      <w:r>
        <w:rPr>
          <w:color w:val="231F20"/>
          <w:vertAlign w:val="baseline"/>
        </w:rPr>
        <w:t> mandat d’Alassane Ouattara.</w:t>
      </w:r>
    </w:p>
    <w:p>
      <w:pPr>
        <w:pStyle w:val="BodyText"/>
        <w:spacing w:before="120"/>
        <w:ind w:right="105" w:firstLine="283"/>
      </w:pPr>
      <w:r>
        <w:rPr>
          <w:color w:val="231F20"/>
          <w:spacing w:val="-4"/>
        </w:rPr>
        <w:t>Le</w:t>
      </w:r>
      <w:r>
        <w:rPr>
          <w:color w:val="231F20"/>
          <w:spacing w:val="-7"/>
        </w:rPr>
        <w:t> </w:t>
      </w:r>
      <w:r>
        <w:rPr>
          <w:color w:val="231F20"/>
          <w:spacing w:val="-4"/>
        </w:rPr>
        <w:t>31</w:t>
      </w:r>
      <w:r>
        <w:rPr>
          <w:color w:val="231F20"/>
          <w:spacing w:val="-7"/>
        </w:rPr>
        <w:t> </w:t>
      </w:r>
      <w:r>
        <w:rPr>
          <w:color w:val="231F20"/>
          <w:spacing w:val="-4"/>
        </w:rPr>
        <w:t>octobre</w:t>
      </w:r>
      <w:r>
        <w:rPr>
          <w:color w:val="231F20"/>
          <w:spacing w:val="-7"/>
        </w:rPr>
        <w:t> </w:t>
      </w:r>
      <w:r>
        <w:rPr>
          <w:color w:val="231F20"/>
          <w:spacing w:val="-4"/>
        </w:rPr>
        <w:t>2020,</w:t>
      </w:r>
      <w:r>
        <w:rPr>
          <w:color w:val="231F20"/>
          <w:spacing w:val="-10"/>
        </w:rPr>
        <w:t> </w:t>
      </w:r>
      <w:r>
        <w:rPr>
          <w:color w:val="231F20"/>
          <w:spacing w:val="-4"/>
        </w:rPr>
        <w:t>les</w:t>
      </w:r>
      <w:r>
        <w:rPr>
          <w:color w:val="231F20"/>
          <w:spacing w:val="-7"/>
        </w:rPr>
        <w:t> </w:t>
      </w:r>
      <w:r>
        <w:rPr>
          <w:color w:val="231F20"/>
          <w:spacing w:val="-4"/>
        </w:rPr>
        <w:t>Ivoiriens</w:t>
      </w:r>
      <w:r>
        <w:rPr>
          <w:color w:val="231F20"/>
          <w:spacing w:val="-7"/>
        </w:rPr>
        <w:t> </w:t>
      </w:r>
      <w:r>
        <w:rPr>
          <w:color w:val="231F20"/>
          <w:spacing w:val="-4"/>
        </w:rPr>
        <w:t>sont</w:t>
      </w:r>
      <w:r>
        <w:rPr>
          <w:color w:val="231F20"/>
          <w:spacing w:val="-7"/>
        </w:rPr>
        <w:t> </w:t>
      </w:r>
      <w:r>
        <w:rPr>
          <w:color w:val="231F20"/>
          <w:spacing w:val="-4"/>
        </w:rPr>
        <w:t>appelés</w:t>
      </w:r>
      <w:r>
        <w:rPr>
          <w:color w:val="231F20"/>
          <w:spacing w:val="-7"/>
        </w:rPr>
        <w:t> </w:t>
      </w:r>
      <w:r>
        <w:rPr>
          <w:color w:val="231F20"/>
          <w:spacing w:val="-4"/>
        </w:rPr>
        <w:t>aux</w:t>
      </w:r>
      <w:r>
        <w:rPr>
          <w:color w:val="231F20"/>
          <w:spacing w:val="-6"/>
        </w:rPr>
        <w:t> </w:t>
      </w:r>
      <w:r>
        <w:rPr>
          <w:color w:val="231F20"/>
          <w:spacing w:val="-4"/>
        </w:rPr>
        <w:t>urnes</w:t>
      </w:r>
      <w:r>
        <w:rPr>
          <w:color w:val="231F20"/>
          <w:spacing w:val="-7"/>
        </w:rPr>
        <w:t> </w:t>
      </w:r>
      <w:r>
        <w:rPr>
          <w:color w:val="231F20"/>
          <w:spacing w:val="-4"/>
        </w:rPr>
        <w:t>pour</w:t>
      </w:r>
      <w:r>
        <w:rPr>
          <w:color w:val="231F20"/>
          <w:spacing w:val="-7"/>
        </w:rPr>
        <w:t> </w:t>
      </w:r>
      <w:r>
        <w:rPr>
          <w:color w:val="231F20"/>
          <w:spacing w:val="-4"/>
        </w:rPr>
        <w:t>élire</w:t>
      </w:r>
      <w:r>
        <w:rPr>
          <w:color w:val="231F20"/>
          <w:spacing w:val="-11"/>
        </w:rPr>
        <w:t> </w:t>
      </w:r>
      <w:r>
        <w:rPr>
          <w:color w:val="231F20"/>
          <w:spacing w:val="-4"/>
        </w:rPr>
        <w:t>leur </w:t>
      </w:r>
      <w:r>
        <w:rPr>
          <w:color w:val="231F20"/>
        </w:rPr>
        <w:t>président. Quelque 7,5 millions de votants sur 25 millions d'habitants doivent départager les quatre candidats en lice. Mais sur les quatre candidats,</w:t>
      </w:r>
      <w:r>
        <w:rPr>
          <w:color w:val="231F20"/>
          <w:spacing w:val="-15"/>
        </w:rPr>
        <w:t> </w:t>
      </w:r>
      <w:r>
        <w:rPr>
          <w:color w:val="231F20"/>
        </w:rPr>
        <w:t>deux</w:t>
      </w:r>
      <w:r>
        <w:rPr>
          <w:color w:val="231F20"/>
          <w:spacing w:val="-15"/>
        </w:rPr>
        <w:t> </w:t>
      </w:r>
      <w:r>
        <w:rPr>
          <w:color w:val="231F20"/>
        </w:rPr>
        <w:t>ont</w:t>
      </w:r>
      <w:r>
        <w:rPr>
          <w:color w:val="231F20"/>
          <w:spacing w:val="-15"/>
        </w:rPr>
        <w:t> </w:t>
      </w:r>
      <w:r>
        <w:rPr>
          <w:color w:val="231F20"/>
        </w:rPr>
        <w:t>appelé</w:t>
      </w:r>
      <w:r>
        <w:rPr>
          <w:color w:val="231F20"/>
          <w:spacing w:val="-15"/>
        </w:rPr>
        <w:t> </w:t>
      </w:r>
      <w:r>
        <w:rPr>
          <w:color w:val="231F20"/>
        </w:rPr>
        <w:t>à</w:t>
      </w:r>
      <w:r>
        <w:rPr>
          <w:color w:val="231F20"/>
          <w:spacing w:val="-15"/>
        </w:rPr>
        <w:t> </w:t>
      </w:r>
      <w:r>
        <w:rPr>
          <w:color w:val="231F20"/>
        </w:rPr>
        <w:t>un</w:t>
      </w:r>
      <w:r>
        <w:rPr>
          <w:color w:val="231F20"/>
          <w:spacing w:val="-14"/>
        </w:rPr>
        <w:t> </w:t>
      </w:r>
      <w:r>
        <w:rPr>
          <w:color w:val="231F20"/>
        </w:rPr>
        <w:t>boycot</w:t>
      </w:r>
      <w:r>
        <w:rPr>
          <w:color w:val="231F20"/>
          <w:spacing w:val="-14"/>
        </w:rPr>
        <w:t> </w:t>
      </w:r>
      <w:r>
        <w:rPr>
          <w:color w:val="231F20"/>
        </w:rPr>
        <w:t>du</w:t>
      </w:r>
      <w:r>
        <w:rPr>
          <w:color w:val="231F20"/>
          <w:spacing w:val="-14"/>
        </w:rPr>
        <w:t> </w:t>
      </w:r>
      <w:r>
        <w:rPr>
          <w:color w:val="231F20"/>
        </w:rPr>
        <w:t>scrutin</w:t>
      </w:r>
      <w:r>
        <w:rPr>
          <w:color w:val="231F20"/>
          <w:spacing w:val="-15"/>
        </w:rPr>
        <w:t> </w:t>
      </w:r>
      <w:r>
        <w:rPr>
          <w:color w:val="231F20"/>
        </w:rPr>
        <w:t>qui</w:t>
      </w:r>
      <w:r>
        <w:rPr>
          <w:color w:val="231F20"/>
          <w:spacing w:val="-14"/>
        </w:rPr>
        <w:t> </w:t>
      </w:r>
      <w:r>
        <w:rPr>
          <w:color w:val="231F20"/>
        </w:rPr>
        <w:t>conduit</w:t>
      </w:r>
      <w:r>
        <w:rPr>
          <w:color w:val="231F20"/>
          <w:spacing w:val="-14"/>
        </w:rPr>
        <w:t> </w:t>
      </w:r>
      <w:r>
        <w:rPr>
          <w:color w:val="231F20"/>
        </w:rPr>
        <w:t>également à</w:t>
      </w:r>
      <w:r>
        <w:rPr>
          <w:color w:val="231F20"/>
          <w:spacing w:val="-4"/>
        </w:rPr>
        <w:t> </w:t>
      </w:r>
      <w:r>
        <w:rPr>
          <w:color w:val="231F20"/>
        </w:rPr>
        <w:t>leur</w:t>
      </w:r>
      <w:r>
        <w:rPr>
          <w:color w:val="231F20"/>
          <w:spacing w:val="-4"/>
        </w:rPr>
        <w:t> </w:t>
      </w:r>
      <w:r>
        <w:rPr>
          <w:color w:val="231F20"/>
        </w:rPr>
        <w:t>non-participation</w:t>
      </w:r>
      <w:r>
        <w:rPr>
          <w:color w:val="231F20"/>
          <w:spacing w:val="-2"/>
        </w:rPr>
        <w:t> </w:t>
      </w:r>
      <w:r>
        <w:rPr>
          <w:color w:val="231F20"/>
        </w:rPr>
        <w:t>à</w:t>
      </w:r>
      <w:r>
        <w:rPr>
          <w:color w:val="231F20"/>
          <w:spacing w:val="-4"/>
        </w:rPr>
        <w:t> </w:t>
      </w:r>
      <w:r>
        <w:rPr>
          <w:color w:val="231F20"/>
        </w:rPr>
        <w:t>l'élection</w:t>
      </w:r>
      <w:r>
        <w:rPr>
          <w:color w:val="231F20"/>
          <w:spacing w:val="-2"/>
        </w:rPr>
        <w:t> </w:t>
      </w:r>
      <w:r>
        <w:rPr>
          <w:color w:val="231F20"/>
        </w:rPr>
        <w:t>présidentielle</w:t>
      </w:r>
      <w:r>
        <w:rPr>
          <w:color w:val="231F20"/>
          <w:spacing w:val="-4"/>
        </w:rPr>
        <w:t> </w:t>
      </w:r>
      <w:r>
        <w:rPr>
          <w:color w:val="231F20"/>
        </w:rPr>
        <w:t>du</w:t>
      </w:r>
      <w:r>
        <w:rPr>
          <w:color w:val="231F20"/>
          <w:spacing w:val="-2"/>
        </w:rPr>
        <w:t> </w:t>
      </w:r>
      <w:r>
        <w:rPr>
          <w:color w:val="231F20"/>
        </w:rPr>
        <w:t>31</w:t>
      </w:r>
      <w:r>
        <w:rPr>
          <w:color w:val="231F20"/>
          <w:spacing w:val="-4"/>
        </w:rPr>
        <w:t> </w:t>
      </w:r>
      <w:r>
        <w:rPr>
          <w:color w:val="231F20"/>
        </w:rPr>
        <w:t>octobre</w:t>
      </w:r>
      <w:r>
        <w:rPr>
          <w:color w:val="231F20"/>
          <w:spacing w:val="-15"/>
        </w:rPr>
        <w:t> </w:t>
      </w:r>
      <w:r>
        <w:rPr>
          <w:color w:val="231F20"/>
        </w:rPr>
        <w:t>:</w:t>
      </w:r>
      <w:r>
        <w:rPr>
          <w:color w:val="231F20"/>
          <w:spacing w:val="-3"/>
        </w:rPr>
        <w:t> </w:t>
      </w:r>
      <w:r>
        <w:rPr>
          <w:color w:val="231F20"/>
        </w:rPr>
        <w:t>Henri Konan</w:t>
      </w:r>
      <w:r>
        <w:rPr>
          <w:color w:val="231F20"/>
          <w:spacing w:val="-4"/>
        </w:rPr>
        <w:t> </w:t>
      </w:r>
      <w:r>
        <w:rPr>
          <w:color w:val="231F20"/>
        </w:rPr>
        <w:t>Bédié,</w:t>
      </w:r>
      <w:r>
        <w:rPr>
          <w:color w:val="231F20"/>
          <w:spacing w:val="-7"/>
        </w:rPr>
        <w:t> </w:t>
      </w:r>
      <w:r>
        <w:rPr>
          <w:color w:val="231F20"/>
        </w:rPr>
        <w:t>président</w:t>
      </w:r>
      <w:r>
        <w:rPr>
          <w:color w:val="231F20"/>
          <w:spacing w:val="-4"/>
        </w:rPr>
        <w:t> </w:t>
      </w:r>
      <w:r>
        <w:rPr>
          <w:color w:val="231F20"/>
        </w:rPr>
        <w:t>du</w:t>
      </w:r>
      <w:r>
        <w:rPr>
          <w:color w:val="231F20"/>
          <w:spacing w:val="-4"/>
        </w:rPr>
        <w:t> </w:t>
      </w:r>
      <w:r>
        <w:rPr>
          <w:color w:val="231F20"/>
        </w:rPr>
        <w:t>PDCI</w:t>
      </w:r>
      <w:r>
        <w:rPr>
          <w:color w:val="231F20"/>
          <w:spacing w:val="-8"/>
        </w:rPr>
        <w:t> </w:t>
      </w:r>
      <w:r>
        <w:rPr>
          <w:color w:val="231F20"/>
        </w:rPr>
        <w:t>et</w:t>
      </w:r>
      <w:r>
        <w:rPr>
          <w:color w:val="231F20"/>
          <w:spacing w:val="-4"/>
        </w:rPr>
        <w:t> </w:t>
      </w:r>
      <w:r>
        <w:rPr>
          <w:color w:val="231F20"/>
        </w:rPr>
        <w:t>Pascal</w:t>
      </w:r>
      <w:r>
        <w:rPr>
          <w:color w:val="231F20"/>
          <w:spacing w:val="-6"/>
        </w:rPr>
        <w:t> </w:t>
      </w:r>
      <w:r>
        <w:rPr>
          <w:color w:val="231F20"/>
        </w:rPr>
        <w:t>Affi</w:t>
      </w:r>
      <w:r>
        <w:rPr>
          <w:color w:val="231F20"/>
          <w:spacing w:val="-4"/>
        </w:rPr>
        <w:t> </w:t>
      </w:r>
      <w:r>
        <w:rPr>
          <w:color w:val="231F20"/>
        </w:rPr>
        <w:t>N'Guessan</w:t>
      </w:r>
      <w:r>
        <w:rPr>
          <w:color w:val="231F20"/>
          <w:spacing w:val="-5"/>
        </w:rPr>
        <w:t> </w:t>
      </w:r>
      <w:r>
        <w:rPr>
          <w:color w:val="231F20"/>
        </w:rPr>
        <w:t>du</w:t>
      </w:r>
      <w:r>
        <w:rPr>
          <w:color w:val="231F20"/>
          <w:spacing w:val="-5"/>
        </w:rPr>
        <w:t> </w:t>
      </w:r>
      <w:r>
        <w:rPr>
          <w:color w:val="231F20"/>
        </w:rPr>
        <w:t>FPI.</w:t>
      </w:r>
    </w:p>
    <w:p>
      <w:pPr>
        <w:pStyle w:val="BodyText"/>
        <w:spacing w:before="120"/>
        <w:ind w:right="106" w:firstLine="283"/>
      </w:pPr>
      <w:r>
        <w:rPr>
          <w:color w:val="231F20"/>
        </w:rPr>
        <w:t>Des</w:t>
      </w:r>
      <w:r>
        <w:rPr>
          <w:color w:val="231F20"/>
          <w:spacing w:val="-15"/>
        </w:rPr>
        <w:t> </w:t>
      </w:r>
      <w:r>
        <w:rPr>
          <w:color w:val="231F20"/>
        </w:rPr>
        <w:t>incidents</w:t>
      </w:r>
      <w:r>
        <w:rPr>
          <w:color w:val="231F20"/>
          <w:spacing w:val="-15"/>
        </w:rPr>
        <w:t> </w:t>
      </w:r>
      <w:r>
        <w:rPr>
          <w:color w:val="231F20"/>
        </w:rPr>
        <w:t>ont</w:t>
      </w:r>
      <w:r>
        <w:rPr>
          <w:color w:val="231F20"/>
          <w:spacing w:val="-12"/>
        </w:rPr>
        <w:t> </w:t>
      </w:r>
      <w:r>
        <w:rPr>
          <w:color w:val="231F20"/>
        </w:rPr>
        <w:t>lieu</w:t>
      </w:r>
      <w:r>
        <w:rPr>
          <w:color w:val="231F20"/>
          <w:spacing w:val="-8"/>
        </w:rPr>
        <w:t> </w:t>
      </w:r>
      <w:r>
        <w:rPr>
          <w:color w:val="231F20"/>
        </w:rPr>
        <w:t>à</w:t>
      </w:r>
      <w:r>
        <w:rPr>
          <w:color w:val="231F20"/>
          <w:spacing w:val="-8"/>
        </w:rPr>
        <w:t> </w:t>
      </w:r>
      <w:r>
        <w:rPr>
          <w:color w:val="231F20"/>
        </w:rPr>
        <w:t>différents</w:t>
      </w:r>
      <w:r>
        <w:rPr>
          <w:color w:val="231F20"/>
          <w:spacing w:val="-7"/>
        </w:rPr>
        <w:t> </w:t>
      </w:r>
      <w:r>
        <w:rPr>
          <w:color w:val="231F20"/>
        </w:rPr>
        <w:t>endroits</w:t>
      </w:r>
      <w:r>
        <w:rPr>
          <w:color w:val="231F20"/>
          <w:spacing w:val="-7"/>
        </w:rPr>
        <w:t> </w:t>
      </w:r>
      <w:r>
        <w:rPr>
          <w:color w:val="231F20"/>
        </w:rPr>
        <w:t>du</w:t>
      </w:r>
      <w:r>
        <w:rPr>
          <w:color w:val="231F20"/>
          <w:spacing w:val="-6"/>
        </w:rPr>
        <w:t> </w:t>
      </w:r>
      <w:r>
        <w:rPr>
          <w:color w:val="231F20"/>
        </w:rPr>
        <w:t>pays.</w:t>
      </w:r>
      <w:r>
        <w:rPr>
          <w:color w:val="231F20"/>
          <w:spacing w:val="-8"/>
        </w:rPr>
        <w:t> </w:t>
      </w:r>
      <w:r>
        <w:rPr>
          <w:color w:val="231F20"/>
        </w:rPr>
        <w:t>Des</w:t>
      </w:r>
      <w:r>
        <w:rPr>
          <w:color w:val="231F20"/>
          <w:spacing w:val="-8"/>
        </w:rPr>
        <w:t> </w:t>
      </w:r>
      <w:r>
        <w:rPr>
          <w:color w:val="231F20"/>
        </w:rPr>
        <w:t>morts</w:t>
      </w:r>
      <w:r>
        <w:rPr>
          <w:color w:val="231F20"/>
          <w:spacing w:val="-8"/>
        </w:rPr>
        <w:t> </w:t>
      </w:r>
      <w:r>
        <w:rPr>
          <w:color w:val="231F20"/>
        </w:rPr>
        <w:t>sont</w:t>
      </w:r>
      <w:r>
        <w:rPr>
          <w:color w:val="231F20"/>
          <w:spacing w:val="-6"/>
        </w:rPr>
        <w:t> </w:t>
      </w:r>
      <w:r>
        <w:rPr>
          <w:color w:val="231F20"/>
        </w:rPr>
        <w:t>à déplorer.</w:t>
      </w:r>
      <w:r>
        <w:rPr>
          <w:color w:val="231F20"/>
          <w:spacing w:val="-15"/>
        </w:rPr>
        <w:t> </w:t>
      </w:r>
      <w:r>
        <w:rPr>
          <w:color w:val="231F20"/>
        </w:rPr>
        <w:t>Cependant,</w:t>
      </w:r>
      <w:r>
        <w:rPr>
          <w:color w:val="231F20"/>
          <w:spacing w:val="-15"/>
        </w:rPr>
        <w:t> </w:t>
      </w:r>
      <w:r>
        <w:rPr>
          <w:color w:val="231F20"/>
        </w:rPr>
        <w:t>la</w:t>
      </w:r>
      <w:r>
        <w:rPr>
          <w:color w:val="231F20"/>
          <w:spacing w:val="-15"/>
        </w:rPr>
        <w:t> </w:t>
      </w:r>
      <w:r>
        <w:rPr>
          <w:color w:val="231F20"/>
        </w:rPr>
        <w:t>Commision</w:t>
      </w:r>
      <w:r>
        <w:rPr>
          <w:color w:val="231F20"/>
          <w:spacing w:val="-15"/>
        </w:rPr>
        <w:t> </w:t>
      </w:r>
      <w:r>
        <w:rPr>
          <w:color w:val="231F20"/>
        </w:rPr>
        <w:t>Électorale</w:t>
      </w:r>
      <w:r>
        <w:rPr>
          <w:color w:val="231F20"/>
          <w:spacing w:val="-15"/>
        </w:rPr>
        <w:t> </w:t>
      </w:r>
      <w:r>
        <w:rPr>
          <w:color w:val="231F20"/>
        </w:rPr>
        <w:t>Indépendante</w:t>
      </w:r>
      <w:r>
        <w:rPr>
          <w:color w:val="231F20"/>
          <w:spacing w:val="-15"/>
        </w:rPr>
        <w:t> </w:t>
      </w:r>
      <w:r>
        <w:rPr>
          <w:color w:val="231F20"/>
        </w:rPr>
        <w:t>(CEI)</w:t>
      </w:r>
      <w:r>
        <w:rPr>
          <w:color w:val="231F20"/>
          <w:spacing w:val="-15"/>
        </w:rPr>
        <w:t> </w:t>
      </w:r>
      <w:r>
        <w:rPr>
          <w:color w:val="231F20"/>
        </w:rPr>
        <w:t>juge </w:t>
      </w:r>
      <w:r>
        <w:rPr>
          <w:color w:val="231F20"/>
          <w:spacing w:val="-4"/>
        </w:rPr>
        <w:t>ces</w:t>
      </w:r>
      <w:r>
        <w:rPr>
          <w:color w:val="231F20"/>
          <w:spacing w:val="-11"/>
        </w:rPr>
        <w:t> </w:t>
      </w:r>
      <w:r>
        <w:rPr>
          <w:color w:val="231F20"/>
          <w:spacing w:val="-4"/>
        </w:rPr>
        <w:t>incidents</w:t>
      </w:r>
      <w:r>
        <w:rPr>
          <w:color w:val="231F20"/>
          <w:spacing w:val="-11"/>
        </w:rPr>
        <w:t> </w:t>
      </w:r>
      <w:r>
        <w:rPr>
          <w:color w:val="231F20"/>
          <w:spacing w:val="-4"/>
        </w:rPr>
        <w:t>"insignifiants"</w:t>
      </w:r>
      <w:r>
        <w:rPr>
          <w:color w:val="231F20"/>
          <w:spacing w:val="-11"/>
        </w:rPr>
        <w:t> </w:t>
      </w:r>
      <w:r>
        <w:rPr>
          <w:color w:val="231F20"/>
          <w:spacing w:val="-4"/>
        </w:rPr>
        <w:t>à</w:t>
      </w:r>
      <w:r>
        <w:rPr>
          <w:color w:val="231F20"/>
          <w:spacing w:val="-11"/>
        </w:rPr>
        <w:t> </w:t>
      </w:r>
      <w:r>
        <w:rPr>
          <w:color w:val="231F20"/>
          <w:spacing w:val="-4"/>
        </w:rPr>
        <w:t>l'échelle</w:t>
      </w:r>
      <w:r>
        <w:rPr>
          <w:color w:val="231F20"/>
          <w:spacing w:val="-10"/>
        </w:rPr>
        <w:t> </w:t>
      </w:r>
      <w:r>
        <w:rPr>
          <w:color w:val="231F20"/>
          <w:spacing w:val="-4"/>
        </w:rPr>
        <w:t>des</w:t>
      </w:r>
      <w:r>
        <w:rPr>
          <w:color w:val="231F20"/>
          <w:spacing w:val="-11"/>
        </w:rPr>
        <w:t> </w:t>
      </w:r>
      <w:r>
        <w:rPr>
          <w:color w:val="231F20"/>
          <w:spacing w:val="-4"/>
        </w:rPr>
        <w:t>22</w:t>
      </w:r>
      <w:r>
        <w:rPr>
          <w:color w:val="231F20"/>
          <w:spacing w:val="-11"/>
        </w:rPr>
        <w:t> </w:t>
      </w:r>
      <w:r>
        <w:rPr>
          <w:color w:val="231F20"/>
          <w:spacing w:val="-4"/>
        </w:rPr>
        <w:t>000</w:t>
      </w:r>
      <w:r>
        <w:rPr>
          <w:color w:val="231F20"/>
          <w:spacing w:val="-11"/>
        </w:rPr>
        <w:t> </w:t>
      </w:r>
      <w:r>
        <w:rPr>
          <w:color w:val="231F20"/>
          <w:spacing w:val="-4"/>
        </w:rPr>
        <w:t>bureaux</w:t>
      </w:r>
      <w:r>
        <w:rPr>
          <w:color w:val="231F20"/>
          <w:spacing w:val="-11"/>
        </w:rPr>
        <w:t> </w:t>
      </w:r>
      <w:r>
        <w:rPr>
          <w:color w:val="231F20"/>
          <w:spacing w:val="-4"/>
        </w:rPr>
        <w:t>de</w:t>
      </w:r>
      <w:r>
        <w:rPr>
          <w:color w:val="231F20"/>
          <w:spacing w:val="-11"/>
        </w:rPr>
        <w:t> </w:t>
      </w:r>
      <w:r>
        <w:rPr>
          <w:color w:val="231F20"/>
          <w:spacing w:val="-4"/>
        </w:rPr>
        <w:t>vote</w:t>
      </w:r>
      <w:r>
        <w:rPr>
          <w:color w:val="231F20"/>
          <w:spacing w:val="-10"/>
        </w:rPr>
        <w:t> </w:t>
      </w:r>
      <w:r>
        <w:rPr>
          <w:color w:val="231F20"/>
          <w:spacing w:val="-4"/>
        </w:rPr>
        <w:t>ouverts </w:t>
      </w:r>
      <w:r>
        <w:rPr>
          <w:color w:val="231F20"/>
        </w:rPr>
        <w:t>sur tout le territoire national.</w:t>
      </w:r>
    </w:p>
    <w:p>
      <w:pPr>
        <w:spacing w:after="0"/>
        <w:sectPr>
          <w:pgSz w:w="8790" w:h="13610"/>
          <w:pgMar w:header="0" w:footer="802" w:top="1060" w:bottom="1000" w:left="880" w:right="880"/>
        </w:sectPr>
      </w:pPr>
    </w:p>
    <w:p>
      <w:pPr>
        <w:pStyle w:val="BodyText"/>
        <w:spacing w:before="66"/>
        <w:ind w:right="104" w:firstLine="283"/>
      </w:pPr>
      <w:r>
        <w:rPr>
          <w:color w:val="231F20"/>
        </w:rPr>
        <w:t>Le</w:t>
      </w:r>
      <w:r>
        <w:rPr>
          <w:color w:val="231F20"/>
          <w:spacing w:val="-17"/>
        </w:rPr>
        <w:t> </w:t>
      </w:r>
      <w:r>
        <w:rPr>
          <w:color w:val="231F20"/>
        </w:rPr>
        <w:t>3</w:t>
      </w:r>
      <w:r>
        <w:rPr>
          <w:color w:val="231F20"/>
          <w:spacing w:val="-15"/>
        </w:rPr>
        <w:t> </w:t>
      </w:r>
      <w:r>
        <w:rPr>
          <w:color w:val="231F20"/>
        </w:rPr>
        <w:t>novembre</w:t>
      </w:r>
      <w:r>
        <w:rPr>
          <w:color w:val="231F20"/>
          <w:spacing w:val="-15"/>
        </w:rPr>
        <w:t> </w:t>
      </w:r>
      <w:r>
        <w:rPr>
          <w:color w:val="231F20"/>
        </w:rPr>
        <w:t>2020,</w:t>
      </w:r>
      <w:r>
        <w:rPr>
          <w:color w:val="231F20"/>
          <w:spacing w:val="-15"/>
        </w:rPr>
        <w:t> </w:t>
      </w:r>
      <w:r>
        <w:rPr>
          <w:color w:val="231F20"/>
        </w:rPr>
        <w:t>la</w:t>
      </w:r>
      <w:r>
        <w:rPr>
          <w:color w:val="231F20"/>
          <w:spacing w:val="-15"/>
        </w:rPr>
        <w:t> </w:t>
      </w:r>
      <w:r>
        <w:rPr>
          <w:color w:val="231F20"/>
        </w:rPr>
        <w:t>Commission</w:t>
      </w:r>
      <w:r>
        <w:rPr>
          <w:color w:val="231F20"/>
          <w:spacing w:val="-15"/>
        </w:rPr>
        <w:t> </w:t>
      </w:r>
      <w:r>
        <w:rPr>
          <w:color w:val="231F20"/>
        </w:rPr>
        <w:t>Électorale</w:t>
      </w:r>
      <w:r>
        <w:rPr>
          <w:color w:val="231F20"/>
          <w:spacing w:val="-15"/>
        </w:rPr>
        <w:t> </w:t>
      </w:r>
      <w:r>
        <w:rPr>
          <w:color w:val="231F20"/>
        </w:rPr>
        <w:t>Indépendante</w:t>
      </w:r>
      <w:r>
        <w:rPr>
          <w:color w:val="231F20"/>
          <w:spacing w:val="-8"/>
        </w:rPr>
        <w:t> </w:t>
      </w:r>
      <w:r>
        <w:rPr>
          <w:color w:val="231F20"/>
        </w:rPr>
        <w:t>publie les</w:t>
      </w:r>
      <w:r>
        <w:rPr>
          <w:color w:val="231F20"/>
          <w:spacing w:val="80"/>
        </w:rPr>
        <w:t> </w:t>
      </w:r>
      <w:r>
        <w:rPr>
          <w:color w:val="231F20"/>
        </w:rPr>
        <w:t>résultats</w:t>
      </w:r>
      <w:r>
        <w:rPr>
          <w:color w:val="231F20"/>
          <w:spacing w:val="80"/>
        </w:rPr>
        <w:t> </w:t>
      </w:r>
      <w:r>
        <w:rPr>
          <w:color w:val="231F20"/>
        </w:rPr>
        <w:t>provisoires,</w:t>
      </w:r>
      <w:r>
        <w:rPr>
          <w:color w:val="231F20"/>
          <w:spacing w:val="80"/>
        </w:rPr>
        <w:t> </w:t>
      </w:r>
      <w:r>
        <w:rPr>
          <w:color w:val="231F20"/>
        </w:rPr>
        <w:t>et</w:t>
      </w:r>
      <w:r>
        <w:rPr>
          <w:color w:val="231F20"/>
          <w:spacing w:val="80"/>
        </w:rPr>
        <w:t> </w:t>
      </w:r>
      <w:r>
        <w:rPr>
          <w:color w:val="231F20"/>
        </w:rPr>
        <w:t>annonce</w:t>
      </w:r>
      <w:r>
        <w:rPr>
          <w:color w:val="231F20"/>
          <w:spacing w:val="80"/>
        </w:rPr>
        <w:t> </w:t>
      </w:r>
      <w:r>
        <w:rPr>
          <w:color w:val="231F20"/>
        </w:rPr>
        <w:t>la</w:t>
      </w:r>
      <w:r>
        <w:rPr>
          <w:color w:val="231F20"/>
          <w:spacing w:val="80"/>
        </w:rPr>
        <w:t> </w:t>
      </w:r>
      <w:r>
        <w:rPr>
          <w:color w:val="231F20"/>
        </w:rPr>
        <w:t>victoire</w:t>
      </w:r>
      <w:r>
        <w:rPr>
          <w:color w:val="231F20"/>
          <w:spacing w:val="80"/>
        </w:rPr>
        <w:t> </w:t>
      </w:r>
      <w:r>
        <w:rPr>
          <w:color w:val="231F20"/>
        </w:rPr>
        <w:t>du</w:t>
      </w:r>
      <w:r>
        <w:rPr>
          <w:color w:val="231F20"/>
          <w:spacing w:val="80"/>
        </w:rPr>
        <w:t> </w:t>
      </w:r>
      <w:r>
        <w:rPr>
          <w:color w:val="231F20"/>
        </w:rPr>
        <w:t>président sortant</w:t>
      </w:r>
      <w:r>
        <w:rPr>
          <w:color w:val="231F20"/>
          <w:spacing w:val="-15"/>
        </w:rPr>
        <w:t> </w:t>
      </w:r>
      <w:r>
        <w:rPr>
          <w:color w:val="231F20"/>
        </w:rPr>
        <w:t>Alassane</w:t>
      </w:r>
      <w:r>
        <w:rPr>
          <w:color w:val="231F20"/>
          <w:spacing w:val="-12"/>
        </w:rPr>
        <w:t> </w:t>
      </w:r>
      <w:r>
        <w:rPr>
          <w:color w:val="231F20"/>
        </w:rPr>
        <w:t>Ouattara</w:t>
      </w:r>
      <w:r>
        <w:rPr>
          <w:color w:val="231F20"/>
          <w:spacing w:val="-15"/>
        </w:rPr>
        <w:t> </w:t>
      </w:r>
      <w:r>
        <w:rPr>
          <w:color w:val="231F20"/>
        </w:rPr>
        <w:t>avec</w:t>
      </w:r>
      <w:r>
        <w:rPr>
          <w:color w:val="231F20"/>
          <w:spacing w:val="-5"/>
        </w:rPr>
        <w:t> </w:t>
      </w:r>
      <w:r>
        <w:rPr>
          <w:color w:val="231F20"/>
        </w:rPr>
        <w:t>plus</w:t>
      </w:r>
      <w:r>
        <w:rPr>
          <w:color w:val="231F20"/>
          <w:spacing w:val="-5"/>
        </w:rPr>
        <w:t> </w:t>
      </w:r>
      <w:r>
        <w:rPr>
          <w:color w:val="231F20"/>
        </w:rPr>
        <w:t>de</w:t>
      </w:r>
      <w:r>
        <w:rPr>
          <w:color w:val="231F20"/>
          <w:spacing w:val="-8"/>
        </w:rPr>
        <w:t> </w:t>
      </w:r>
      <w:r>
        <w:rPr>
          <w:color w:val="231F20"/>
        </w:rPr>
        <w:t>94%</w:t>
      </w:r>
      <w:r>
        <w:rPr>
          <w:color w:val="231F20"/>
          <w:spacing w:val="-8"/>
        </w:rPr>
        <w:t> </w:t>
      </w:r>
      <w:r>
        <w:rPr>
          <w:color w:val="231F20"/>
        </w:rPr>
        <w:t>des</w:t>
      </w:r>
      <w:r>
        <w:rPr>
          <w:color w:val="231F20"/>
          <w:spacing w:val="-8"/>
        </w:rPr>
        <w:t> </w:t>
      </w:r>
      <w:r>
        <w:rPr>
          <w:color w:val="231F20"/>
        </w:rPr>
        <w:t>suffrages,</w:t>
      </w:r>
      <w:r>
        <w:rPr>
          <w:color w:val="231F20"/>
          <w:spacing w:val="-5"/>
        </w:rPr>
        <w:t> </w:t>
      </w:r>
      <w:r>
        <w:rPr>
          <w:color w:val="231F20"/>
        </w:rPr>
        <w:t>pour</w:t>
      </w:r>
      <w:r>
        <w:rPr>
          <w:color w:val="231F20"/>
          <w:spacing w:val="-5"/>
        </w:rPr>
        <w:t> </w:t>
      </w:r>
      <w:r>
        <w:rPr>
          <w:color w:val="231F20"/>
        </w:rPr>
        <w:t>un</w:t>
      </w:r>
      <w:r>
        <w:rPr>
          <w:color w:val="231F20"/>
          <w:spacing w:val="-7"/>
        </w:rPr>
        <w:t> </w:t>
      </w:r>
      <w:r>
        <w:rPr>
          <w:color w:val="231F20"/>
        </w:rPr>
        <w:t>taux </w:t>
      </w:r>
      <w:r>
        <w:rPr>
          <w:color w:val="231F20"/>
          <w:spacing w:val="-2"/>
        </w:rPr>
        <w:t>de</w:t>
      </w:r>
      <w:r>
        <w:rPr>
          <w:color w:val="231F20"/>
          <w:spacing w:val="-13"/>
        </w:rPr>
        <w:t> </w:t>
      </w:r>
      <w:r>
        <w:rPr>
          <w:color w:val="231F20"/>
          <w:spacing w:val="-2"/>
        </w:rPr>
        <w:t>participation</w:t>
      </w:r>
      <w:r>
        <w:rPr>
          <w:color w:val="231F20"/>
          <w:spacing w:val="-13"/>
        </w:rPr>
        <w:t> </w:t>
      </w:r>
      <w:r>
        <w:rPr>
          <w:color w:val="231F20"/>
          <w:spacing w:val="-2"/>
        </w:rPr>
        <w:t>de</w:t>
      </w:r>
      <w:r>
        <w:rPr>
          <w:color w:val="231F20"/>
          <w:spacing w:val="-13"/>
        </w:rPr>
        <w:t> </w:t>
      </w:r>
      <w:r>
        <w:rPr>
          <w:color w:val="231F20"/>
          <w:spacing w:val="-2"/>
        </w:rPr>
        <w:t>53,90</w:t>
      </w:r>
      <w:r>
        <w:rPr>
          <w:color w:val="231F20"/>
          <w:spacing w:val="-13"/>
        </w:rPr>
        <w:t> </w:t>
      </w:r>
      <w:r>
        <w:rPr>
          <w:color w:val="231F20"/>
          <w:spacing w:val="-2"/>
        </w:rPr>
        <w:t>%</w:t>
      </w:r>
      <w:r>
        <w:rPr>
          <w:color w:val="231F20"/>
          <w:spacing w:val="-13"/>
        </w:rPr>
        <w:t> </w:t>
      </w:r>
      <w:r>
        <w:rPr>
          <w:color w:val="231F20"/>
          <w:spacing w:val="-2"/>
        </w:rPr>
        <w:t>sur</w:t>
      </w:r>
      <w:r>
        <w:rPr>
          <w:color w:val="231F20"/>
          <w:spacing w:val="-13"/>
        </w:rPr>
        <w:t> </w:t>
      </w:r>
      <w:r>
        <w:rPr>
          <w:color w:val="231F20"/>
          <w:spacing w:val="-2"/>
        </w:rPr>
        <w:t>la</w:t>
      </w:r>
      <w:r>
        <w:rPr>
          <w:color w:val="231F20"/>
          <w:spacing w:val="-13"/>
        </w:rPr>
        <w:t> </w:t>
      </w:r>
      <w:r>
        <w:rPr>
          <w:color w:val="231F20"/>
          <w:spacing w:val="-2"/>
        </w:rPr>
        <w:t>base</w:t>
      </w:r>
      <w:r>
        <w:rPr>
          <w:color w:val="231F20"/>
          <w:spacing w:val="-13"/>
        </w:rPr>
        <w:t> </w:t>
      </w:r>
      <w:r>
        <w:rPr>
          <w:color w:val="231F20"/>
          <w:spacing w:val="-2"/>
        </w:rPr>
        <w:t>des</w:t>
      </w:r>
      <w:r>
        <w:rPr>
          <w:color w:val="231F20"/>
          <w:spacing w:val="-13"/>
        </w:rPr>
        <w:t> </w:t>
      </w:r>
      <w:r>
        <w:rPr>
          <w:color w:val="231F20"/>
          <w:spacing w:val="-2"/>
        </w:rPr>
        <w:t>six</w:t>
      </w:r>
      <w:r>
        <w:rPr>
          <w:color w:val="231F20"/>
          <w:spacing w:val="-13"/>
        </w:rPr>
        <w:t> </w:t>
      </w:r>
      <w:r>
        <w:rPr>
          <w:color w:val="231F20"/>
          <w:spacing w:val="-2"/>
        </w:rPr>
        <w:t>millions</w:t>
      </w:r>
      <w:r>
        <w:rPr>
          <w:color w:val="231F20"/>
          <w:spacing w:val="-13"/>
        </w:rPr>
        <w:t> </w:t>
      </w:r>
      <w:r>
        <w:rPr>
          <w:color w:val="231F20"/>
          <w:spacing w:val="-2"/>
        </w:rPr>
        <w:t>d'inscrits</w:t>
      </w:r>
      <w:r>
        <w:rPr>
          <w:color w:val="231F20"/>
          <w:spacing w:val="-13"/>
        </w:rPr>
        <w:t> </w:t>
      </w:r>
      <w:r>
        <w:rPr>
          <w:color w:val="231F20"/>
          <w:spacing w:val="-2"/>
        </w:rPr>
        <w:t>ayant</w:t>
      </w:r>
      <w:r>
        <w:rPr>
          <w:color w:val="231F20"/>
          <w:spacing w:val="-13"/>
        </w:rPr>
        <w:t> </w:t>
      </w:r>
      <w:r>
        <w:rPr>
          <w:color w:val="231F20"/>
          <w:spacing w:val="-2"/>
        </w:rPr>
        <w:t>pu voter</w:t>
      </w:r>
    </w:p>
    <w:p>
      <w:pPr>
        <w:pStyle w:val="BodyText"/>
        <w:spacing w:before="120"/>
        <w:ind w:right="105" w:firstLine="283"/>
      </w:pPr>
      <w:r>
        <w:rPr>
          <w:color w:val="231F20"/>
          <w:spacing w:val="-4"/>
        </w:rPr>
        <w:t>Le 7 novembre 2020,</w:t>
      </w:r>
      <w:r>
        <w:rPr>
          <w:color w:val="231F20"/>
          <w:spacing w:val="-7"/>
        </w:rPr>
        <w:t> </w:t>
      </w:r>
      <w:r>
        <w:rPr>
          <w:color w:val="231F20"/>
          <w:spacing w:val="-4"/>
        </w:rPr>
        <w:t>les</w:t>
      </w:r>
      <w:r>
        <w:rPr>
          <w:color w:val="231F20"/>
          <w:spacing w:val="-7"/>
        </w:rPr>
        <w:t> </w:t>
      </w:r>
      <w:r>
        <w:rPr>
          <w:color w:val="231F20"/>
          <w:spacing w:val="-4"/>
        </w:rPr>
        <w:t>opposants annoncent la création</w:t>
      </w:r>
      <w:r>
        <w:rPr>
          <w:color w:val="231F20"/>
          <w:spacing w:val="-7"/>
        </w:rPr>
        <w:t> </w:t>
      </w:r>
      <w:r>
        <w:rPr>
          <w:color w:val="231F20"/>
          <w:spacing w:val="-4"/>
        </w:rPr>
        <w:t>d'un</w:t>
      </w:r>
      <w:r>
        <w:rPr>
          <w:color w:val="231F20"/>
          <w:spacing w:val="-6"/>
        </w:rPr>
        <w:t> </w:t>
      </w:r>
      <w:r>
        <w:rPr>
          <w:color w:val="231F20"/>
          <w:spacing w:val="-4"/>
        </w:rPr>
        <w:t>Conseil National de Transition. Les leaders</w:t>
      </w:r>
      <w:r>
        <w:rPr>
          <w:color w:val="231F20"/>
          <w:spacing w:val="-7"/>
        </w:rPr>
        <w:t> </w:t>
      </w:r>
      <w:r>
        <w:rPr>
          <w:color w:val="231F20"/>
          <w:spacing w:val="-4"/>
        </w:rPr>
        <w:t>de l’opposition</w:t>
      </w:r>
      <w:r>
        <w:rPr>
          <w:color w:val="231F20"/>
          <w:spacing w:val="-6"/>
        </w:rPr>
        <w:t> </w:t>
      </w:r>
      <w:r>
        <w:rPr>
          <w:color w:val="231F20"/>
          <w:spacing w:val="-4"/>
        </w:rPr>
        <w:t>sont</w:t>
      </w:r>
      <w:r>
        <w:rPr>
          <w:color w:val="231F20"/>
          <w:spacing w:val="-7"/>
        </w:rPr>
        <w:t> </w:t>
      </w:r>
      <w:r>
        <w:rPr>
          <w:color w:val="231F20"/>
          <w:spacing w:val="-4"/>
        </w:rPr>
        <w:t>traqués,</w:t>
      </w:r>
      <w:r>
        <w:rPr>
          <w:color w:val="231F20"/>
          <w:spacing w:val="-6"/>
        </w:rPr>
        <w:t> </w:t>
      </w:r>
      <w:r>
        <w:rPr>
          <w:color w:val="231F20"/>
          <w:spacing w:val="-4"/>
        </w:rPr>
        <w:t>arrêtés et emprisonnés</w:t>
      </w:r>
      <w:r>
        <w:rPr>
          <w:color w:val="231F20"/>
          <w:spacing w:val="-11"/>
        </w:rPr>
        <w:t> </w:t>
      </w:r>
      <w:r>
        <w:rPr>
          <w:color w:val="231F20"/>
          <w:spacing w:val="-4"/>
        </w:rPr>
        <w:t>notamment</w:t>
      </w:r>
      <w:r>
        <w:rPr>
          <w:color w:val="231F20"/>
          <w:spacing w:val="-11"/>
        </w:rPr>
        <w:t> </w:t>
      </w:r>
      <w:r>
        <w:rPr>
          <w:color w:val="231F20"/>
          <w:spacing w:val="-4"/>
        </w:rPr>
        <w:t>Pascal</w:t>
      </w:r>
      <w:r>
        <w:rPr>
          <w:color w:val="231F20"/>
          <w:spacing w:val="-11"/>
        </w:rPr>
        <w:t> </w:t>
      </w:r>
      <w:r>
        <w:rPr>
          <w:color w:val="231F20"/>
          <w:spacing w:val="-4"/>
        </w:rPr>
        <w:t>Affi</w:t>
      </w:r>
      <w:r>
        <w:rPr>
          <w:color w:val="231F20"/>
          <w:spacing w:val="-11"/>
        </w:rPr>
        <w:t> </w:t>
      </w:r>
      <w:r>
        <w:rPr>
          <w:color w:val="231F20"/>
          <w:spacing w:val="-4"/>
        </w:rPr>
        <w:t>N’Guessan</w:t>
      </w:r>
      <w:r>
        <w:rPr>
          <w:color w:val="231F20"/>
          <w:spacing w:val="-11"/>
        </w:rPr>
        <w:t> </w:t>
      </w:r>
      <w:r>
        <w:rPr>
          <w:color w:val="231F20"/>
          <w:spacing w:val="-4"/>
        </w:rPr>
        <w:t>du</w:t>
      </w:r>
      <w:r>
        <w:rPr>
          <w:color w:val="231F20"/>
          <w:spacing w:val="-11"/>
        </w:rPr>
        <w:t> </w:t>
      </w:r>
      <w:r>
        <w:rPr>
          <w:color w:val="231F20"/>
          <w:spacing w:val="-4"/>
        </w:rPr>
        <w:t>FPI</w:t>
      </w:r>
      <w:r>
        <w:rPr>
          <w:color w:val="231F20"/>
          <w:spacing w:val="-11"/>
        </w:rPr>
        <w:t> </w:t>
      </w:r>
      <w:r>
        <w:rPr>
          <w:color w:val="231F20"/>
          <w:spacing w:val="-4"/>
        </w:rPr>
        <w:t>et</w:t>
      </w:r>
      <w:r>
        <w:rPr>
          <w:color w:val="231F20"/>
          <w:spacing w:val="-11"/>
        </w:rPr>
        <w:t> </w:t>
      </w:r>
      <w:r>
        <w:rPr>
          <w:color w:val="231F20"/>
          <w:spacing w:val="-4"/>
        </w:rPr>
        <w:t>Maurice</w:t>
      </w:r>
      <w:r>
        <w:rPr>
          <w:color w:val="231F20"/>
          <w:spacing w:val="-11"/>
        </w:rPr>
        <w:t> </w:t>
      </w:r>
      <w:r>
        <w:rPr>
          <w:color w:val="231F20"/>
          <w:spacing w:val="-4"/>
        </w:rPr>
        <w:t>Kakou </w:t>
      </w:r>
      <w:r>
        <w:rPr>
          <w:color w:val="231F20"/>
        </w:rPr>
        <w:t>Djikahué,</w:t>
      </w:r>
      <w:r>
        <w:rPr>
          <w:color w:val="231F20"/>
          <w:spacing w:val="-11"/>
        </w:rPr>
        <w:t> </w:t>
      </w:r>
      <w:r>
        <w:rPr>
          <w:color w:val="231F20"/>
        </w:rPr>
        <w:t>Secrétaire</w:t>
      </w:r>
      <w:r>
        <w:rPr>
          <w:color w:val="231F20"/>
          <w:spacing w:val="-11"/>
        </w:rPr>
        <w:t> </w:t>
      </w:r>
      <w:r>
        <w:rPr>
          <w:color w:val="231F20"/>
        </w:rPr>
        <w:t>général</w:t>
      </w:r>
      <w:r>
        <w:rPr>
          <w:color w:val="231F20"/>
          <w:spacing w:val="-10"/>
        </w:rPr>
        <w:t> </w:t>
      </w:r>
      <w:r>
        <w:rPr>
          <w:color w:val="231F20"/>
        </w:rPr>
        <w:t>du</w:t>
      </w:r>
      <w:r>
        <w:rPr>
          <w:color w:val="231F20"/>
          <w:spacing w:val="-12"/>
        </w:rPr>
        <w:t> </w:t>
      </w:r>
      <w:r>
        <w:rPr>
          <w:color w:val="231F20"/>
        </w:rPr>
        <w:t>PDCI.</w:t>
      </w:r>
      <w:r>
        <w:rPr>
          <w:color w:val="231F20"/>
          <w:spacing w:val="-11"/>
        </w:rPr>
        <w:t> </w:t>
      </w:r>
      <w:r>
        <w:rPr>
          <w:color w:val="231F20"/>
        </w:rPr>
        <w:t>Henri</w:t>
      </w:r>
      <w:r>
        <w:rPr>
          <w:color w:val="231F20"/>
          <w:spacing w:val="-11"/>
        </w:rPr>
        <w:t> </w:t>
      </w:r>
      <w:r>
        <w:rPr>
          <w:color w:val="231F20"/>
        </w:rPr>
        <w:t>Konan</w:t>
      </w:r>
      <w:r>
        <w:rPr>
          <w:color w:val="231F20"/>
          <w:spacing w:val="-11"/>
        </w:rPr>
        <w:t> </w:t>
      </w:r>
      <w:r>
        <w:rPr>
          <w:color w:val="231F20"/>
        </w:rPr>
        <w:t>Bédié</w:t>
      </w:r>
      <w:r>
        <w:rPr>
          <w:color w:val="231F20"/>
          <w:spacing w:val="-11"/>
        </w:rPr>
        <w:t> </w:t>
      </w:r>
      <w:r>
        <w:rPr>
          <w:color w:val="231F20"/>
        </w:rPr>
        <w:t>est</w:t>
      </w:r>
      <w:r>
        <w:rPr>
          <w:color w:val="231F20"/>
          <w:spacing w:val="-11"/>
        </w:rPr>
        <w:t> </w:t>
      </w:r>
      <w:r>
        <w:rPr>
          <w:color w:val="231F20"/>
        </w:rPr>
        <w:t>assigné</w:t>
      </w:r>
      <w:r>
        <w:rPr>
          <w:color w:val="231F20"/>
          <w:spacing w:val="-11"/>
        </w:rPr>
        <w:t> </w:t>
      </w:r>
      <w:r>
        <w:rPr>
          <w:color w:val="231F20"/>
        </w:rPr>
        <w:t>à résidence</w:t>
      </w:r>
      <w:r>
        <w:rPr>
          <w:color w:val="231F20"/>
          <w:spacing w:val="-6"/>
        </w:rPr>
        <w:t> </w:t>
      </w:r>
      <w:r>
        <w:rPr>
          <w:color w:val="231F20"/>
        </w:rPr>
        <w:t>ainsi</w:t>
      </w:r>
      <w:r>
        <w:rPr>
          <w:color w:val="231F20"/>
          <w:spacing w:val="-6"/>
        </w:rPr>
        <w:t> </w:t>
      </w:r>
      <w:r>
        <w:rPr>
          <w:color w:val="231F20"/>
        </w:rPr>
        <w:t>que</w:t>
      </w:r>
      <w:r>
        <w:rPr>
          <w:color w:val="231F20"/>
          <w:spacing w:val="-5"/>
        </w:rPr>
        <w:t> </w:t>
      </w:r>
      <w:r>
        <w:rPr>
          <w:color w:val="231F20"/>
        </w:rPr>
        <w:t>d’autres</w:t>
      </w:r>
      <w:r>
        <w:rPr>
          <w:color w:val="231F20"/>
          <w:spacing w:val="-5"/>
        </w:rPr>
        <w:t> </w:t>
      </w:r>
      <w:r>
        <w:rPr>
          <w:color w:val="231F20"/>
        </w:rPr>
        <w:t>dignitaires</w:t>
      </w:r>
      <w:r>
        <w:rPr>
          <w:color w:val="231F20"/>
          <w:spacing w:val="-7"/>
        </w:rPr>
        <w:t> </w:t>
      </w:r>
      <w:r>
        <w:rPr>
          <w:color w:val="231F20"/>
        </w:rPr>
        <w:t>de</w:t>
      </w:r>
      <w:r>
        <w:rPr>
          <w:color w:val="231F20"/>
          <w:spacing w:val="-5"/>
        </w:rPr>
        <w:t> </w:t>
      </w:r>
      <w:r>
        <w:rPr>
          <w:color w:val="231F20"/>
        </w:rPr>
        <w:t>l’opposition.</w:t>
      </w:r>
    </w:p>
    <w:p>
      <w:pPr>
        <w:pStyle w:val="BodyText"/>
        <w:spacing w:before="121"/>
        <w:ind w:right="105" w:firstLine="283"/>
      </w:pPr>
      <w:r>
        <w:rPr>
          <w:color w:val="231F20"/>
          <w:spacing w:val="-2"/>
        </w:rPr>
        <w:t>Le</w:t>
      </w:r>
      <w:r>
        <w:rPr>
          <w:color w:val="231F20"/>
          <w:spacing w:val="-12"/>
        </w:rPr>
        <w:t> </w:t>
      </w:r>
      <w:r>
        <w:rPr>
          <w:color w:val="231F20"/>
          <w:spacing w:val="-2"/>
        </w:rPr>
        <w:t>9</w:t>
      </w:r>
      <w:r>
        <w:rPr>
          <w:color w:val="231F20"/>
          <w:spacing w:val="-7"/>
        </w:rPr>
        <w:t> </w:t>
      </w:r>
      <w:r>
        <w:rPr>
          <w:color w:val="231F20"/>
          <w:spacing w:val="-2"/>
        </w:rPr>
        <w:t>novembre</w:t>
      </w:r>
      <w:r>
        <w:rPr>
          <w:color w:val="231F20"/>
          <w:spacing w:val="-7"/>
        </w:rPr>
        <w:t> </w:t>
      </w:r>
      <w:r>
        <w:rPr>
          <w:color w:val="231F20"/>
          <w:spacing w:val="-2"/>
        </w:rPr>
        <w:t>2020,</w:t>
      </w:r>
      <w:r>
        <w:rPr>
          <w:color w:val="231F20"/>
          <w:spacing w:val="-7"/>
        </w:rPr>
        <w:t> </w:t>
      </w:r>
      <w:r>
        <w:rPr>
          <w:color w:val="231F20"/>
          <w:spacing w:val="-2"/>
        </w:rPr>
        <w:t>le</w:t>
      </w:r>
      <w:r>
        <w:rPr>
          <w:color w:val="231F20"/>
          <w:spacing w:val="-9"/>
        </w:rPr>
        <w:t> </w:t>
      </w:r>
      <w:r>
        <w:rPr>
          <w:color w:val="231F20"/>
          <w:spacing w:val="-2"/>
        </w:rPr>
        <w:t>Conseil</w:t>
      </w:r>
      <w:r>
        <w:rPr>
          <w:color w:val="231F20"/>
          <w:spacing w:val="-7"/>
        </w:rPr>
        <w:t> </w:t>
      </w:r>
      <w:r>
        <w:rPr>
          <w:color w:val="231F20"/>
          <w:spacing w:val="-2"/>
        </w:rPr>
        <w:t>constitutionnel</w:t>
      </w:r>
      <w:r>
        <w:rPr>
          <w:color w:val="231F20"/>
          <w:spacing w:val="-7"/>
        </w:rPr>
        <w:t> </w:t>
      </w:r>
      <w:r>
        <w:rPr>
          <w:color w:val="231F20"/>
          <w:spacing w:val="-2"/>
        </w:rPr>
        <w:t>confirme</w:t>
      </w:r>
      <w:r>
        <w:rPr>
          <w:color w:val="231F20"/>
          <w:spacing w:val="-7"/>
        </w:rPr>
        <w:t> </w:t>
      </w:r>
      <w:r>
        <w:rPr>
          <w:color w:val="231F20"/>
          <w:spacing w:val="-2"/>
        </w:rPr>
        <w:t>les</w:t>
      </w:r>
      <w:r>
        <w:rPr>
          <w:color w:val="231F20"/>
          <w:spacing w:val="-7"/>
        </w:rPr>
        <w:t> </w:t>
      </w:r>
      <w:r>
        <w:rPr>
          <w:color w:val="231F20"/>
          <w:spacing w:val="-2"/>
        </w:rPr>
        <w:t>résultats publiés</w:t>
      </w:r>
      <w:r>
        <w:rPr>
          <w:color w:val="231F20"/>
          <w:spacing w:val="-12"/>
        </w:rPr>
        <w:t> </w:t>
      </w:r>
      <w:r>
        <w:rPr>
          <w:color w:val="231F20"/>
          <w:spacing w:val="-2"/>
        </w:rPr>
        <w:t>par</w:t>
      </w:r>
      <w:r>
        <w:rPr>
          <w:color w:val="231F20"/>
          <w:spacing w:val="-9"/>
        </w:rPr>
        <w:t> </w:t>
      </w:r>
      <w:r>
        <w:rPr>
          <w:color w:val="231F20"/>
          <w:spacing w:val="-2"/>
        </w:rPr>
        <w:t>la</w:t>
      </w:r>
      <w:r>
        <w:rPr>
          <w:color w:val="231F20"/>
          <w:spacing w:val="-12"/>
        </w:rPr>
        <w:t> </w:t>
      </w:r>
      <w:r>
        <w:rPr>
          <w:color w:val="231F20"/>
          <w:spacing w:val="-2"/>
        </w:rPr>
        <w:t>Commission</w:t>
      </w:r>
      <w:r>
        <w:rPr>
          <w:color w:val="231F20"/>
          <w:spacing w:val="-9"/>
        </w:rPr>
        <w:t> </w:t>
      </w:r>
      <w:r>
        <w:rPr>
          <w:color w:val="231F20"/>
          <w:spacing w:val="-2"/>
        </w:rPr>
        <w:t>électorale,</w:t>
      </w:r>
      <w:r>
        <w:rPr>
          <w:color w:val="231F20"/>
          <w:spacing w:val="-11"/>
        </w:rPr>
        <w:t> </w:t>
      </w:r>
      <w:r>
        <w:rPr>
          <w:color w:val="231F20"/>
          <w:spacing w:val="-2"/>
        </w:rPr>
        <w:t>qui</w:t>
      </w:r>
      <w:r>
        <w:rPr>
          <w:color w:val="231F20"/>
          <w:spacing w:val="-11"/>
        </w:rPr>
        <w:t> </w:t>
      </w:r>
      <w:r>
        <w:rPr>
          <w:color w:val="231F20"/>
          <w:spacing w:val="-2"/>
        </w:rPr>
        <w:t>donnent</w:t>
      </w:r>
      <w:r>
        <w:rPr>
          <w:color w:val="231F20"/>
          <w:spacing w:val="-12"/>
        </w:rPr>
        <w:t> </w:t>
      </w:r>
      <w:r>
        <w:rPr>
          <w:color w:val="231F20"/>
          <w:spacing w:val="-2"/>
        </w:rPr>
        <w:t>95,31</w:t>
      </w:r>
      <w:r>
        <w:rPr>
          <w:color w:val="231F20"/>
          <w:spacing w:val="-11"/>
        </w:rPr>
        <w:t> </w:t>
      </w:r>
      <w:r>
        <w:rPr>
          <w:color w:val="231F20"/>
          <w:spacing w:val="-2"/>
        </w:rPr>
        <w:t>%</w:t>
      </w:r>
      <w:r>
        <w:rPr>
          <w:color w:val="231F20"/>
          <w:spacing w:val="-12"/>
        </w:rPr>
        <w:t> </w:t>
      </w:r>
      <w:r>
        <w:rPr>
          <w:color w:val="231F20"/>
          <w:spacing w:val="-2"/>
        </w:rPr>
        <w:t>des</w:t>
      </w:r>
      <w:r>
        <w:rPr>
          <w:color w:val="231F20"/>
          <w:spacing w:val="-11"/>
        </w:rPr>
        <w:t> </w:t>
      </w:r>
      <w:r>
        <w:rPr>
          <w:color w:val="231F20"/>
          <w:spacing w:val="-2"/>
        </w:rPr>
        <w:t>suffrages </w:t>
      </w:r>
      <w:r>
        <w:rPr>
          <w:color w:val="231F20"/>
        </w:rPr>
        <w:t>au président sortant</w:t>
      </w:r>
    </w:p>
    <w:p>
      <w:pPr>
        <w:pStyle w:val="BodyText"/>
        <w:spacing w:before="240"/>
        <w:ind w:left="0"/>
        <w:jc w:val="left"/>
      </w:pPr>
    </w:p>
    <w:p>
      <w:pPr>
        <w:pStyle w:val="Heading3"/>
        <w:spacing w:before="1"/>
        <w:jc w:val="left"/>
      </w:pPr>
      <w:bookmarkStart w:name="_TOC_250012" w:id="31"/>
      <w:r>
        <w:rPr>
          <w:i/>
          <w:color w:val="231F20"/>
          <w:spacing w:val="-2"/>
        </w:rPr>
        <w:t>Le</w:t>
      </w:r>
      <w:r>
        <w:rPr>
          <w:i/>
          <w:color w:val="231F20"/>
          <w:spacing w:val="-12"/>
        </w:rPr>
        <w:t> </w:t>
      </w:r>
      <w:r>
        <w:rPr>
          <w:i/>
          <w:color w:val="231F20"/>
          <w:spacing w:val="-2"/>
        </w:rPr>
        <w:t>14</w:t>
      </w:r>
      <w:r>
        <w:rPr>
          <w:i/>
          <w:color w:val="231F20"/>
          <w:spacing w:val="-11"/>
        </w:rPr>
        <w:t> </w:t>
      </w:r>
      <w:r>
        <w:rPr>
          <w:i/>
          <w:color w:val="231F20"/>
          <w:spacing w:val="-2"/>
        </w:rPr>
        <w:t>décembre</w:t>
      </w:r>
      <w:r>
        <w:rPr>
          <w:i/>
          <w:color w:val="231F20"/>
          <w:spacing w:val="-11"/>
        </w:rPr>
        <w:t> </w:t>
      </w:r>
      <w:r>
        <w:rPr>
          <w:i/>
          <w:color w:val="231F20"/>
          <w:spacing w:val="-2"/>
        </w:rPr>
        <w:t>2020,</w:t>
      </w:r>
      <w:r>
        <w:rPr>
          <w:i/>
          <w:color w:val="231F20"/>
          <w:spacing w:val="-11"/>
        </w:rPr>
        <w:t> </w:t>
      </w:r>
      <w:r>
        <w:rPr>
          <w:i/>
          <w:color w:val="231F20"/>
          <w:spacing w:val="-2"/>
        </w:rPr>
        <w:t>Alassane</w:t>
      </w:r>
      <w:r>
        <w:rPr>
          <w:i/>
          <w:color w:val="231F20"/>
          <w:spacing w:val="-12"/>
        </w:rPr>
        <w:t> </w:t>
      </w:r>
      <w:r>
        <w:rPr>
          <w:i/>
          <w:color w:val="231F20"/>
          <w:spacing w:val="-2"/>
        </w:rPr>
        <w:t>Ouattara</w:t>
      </w:r>
      <w:r>
        <w:rPr>
          <w:i/>
          <w:color w:val="231F20"/>
          <w:spacing w:val="-11"/>
        </w:rPr>
        <w:t> </w:t>
      </w:r>
      <w:r>
        <w:rPr>
          <w:i/>
          <w:color w:val="231F20"/>
          <w:spacing w:val="-2"/>
        </w:rPr>
        <w:t>prête</w:t>
      </w:r>
      <w:r>
        <w:rPr>
          <w:i/>
          <w:color w:val="231F20"/>
          <w:spacing w:val="-11"/>
        </w:rPr>
        <w:t> </w:t>
      </w:r>
      <w:r>
        <w:rPr>
          <w:i/>
          <w:color w:val="231F20"/>
          <w:spacing w:val="-2"/>
        </w:rPr>
        <w:t>serment</w:t>
      </w:r>
      <w:r>
        <w:rPr>
          <w:i/>
          <w:color w:val="231F20"/>
          <w:spacing w:val="-11"/>
        </w:rPr>
        <w:t> </w:t>
      </w:r>
      <w:r>
        <w:rPr>
          <w:i/>
          <w:color w:val="231F20"/>
          <w:spacing w:val="-2"/>
        </w:rPr>
        <w:t>pour</w:t>
      </w:r>
      <w:r>
        <w:rPr>
          <w:i/>
          <w:color w:val="231F20"/>
          <w:spacing w:val="-11"/>
        </w:rPr>
        <w:t> </w:t>
      </w:r>
      <w:r>
        <w:rPr>
          <w:i/>
          <w:color w:val="231F20"/>
          <w:spacing w:val="-2"/>
        </w:rPr>
        <w:t>un</w:t>
      </w:r>
      <w:r>
        <w:rPr>
          <w:color w:val="231F20"/>
          <w:spacing w:val="-2"/>
        </w:rPr>
        <w:t> </w:t>
      </w:r>
      <w:r>
        <w:rPr>
          <w:color w:val="231F20"/>
        </w:rPr>
        <w:t>troisième</w:t>
      </w:r>
      <w:r>
        <w:rPr>
          <w:color w:val="231F20"/>
          <w:spacing w:val="-2"/>
        </w:rPr>
        <w:t> </w:t>
      </w:r>
      <w:bookmarkEnd w:id="31"/>
      <w:r>
        <w:rPr>
          <w:color w:val="231F20"/>
        </w:rPr>
        <w:t>mandat.</w:t>
      </w:r>
    </w:p>
    <w:p>
      <w:pPr>
        <w:pStyle w:val="BodyText"/>
        <w:spacing w:before="255"/>
        <w:ind w:right="107" w:firstLine="283"/>
      </w:pPr>
      <w:r>
        <w:rPr>
          <w:color w:val="231F20"/>
          <w:spacing w:val="-2"/>
        </w:rPr>
        <w:t>85</w:t>
      </w:r>
      <w:r>
        <w:rPr>
          <w:color w:val="231F20"/>
          <w:spacing w:val="-11"/>
        </w:rPr>
        <w:t> </w:t>
      </w:r>
      <w:r>
        <w:rPr>
          <w:color w:val="231F20"/>
          <w:spacing w:val="-2"/>
        </w:rPr>
        <w:t>morts,</w:t>
      </w:r>
      <w:r>
        <w:rPr>
          <w:color w:val="231F20"/>
          <w:spacing w:val="-11"/>
        </w:rPr>
        <w:t> </w:t>
      </w:r>
      <w:r>
        <w:rPr>
          <w:color w:val="231F20"/>
          <w:spacing w:val="-2"/>
        </w:rPr>
        <w:t>484</w:t>
      </w:r>
      <w:r>
        <w:rPr>
          <w:color w:val="231F20"/>
          <w:spacing w:val="-11"/>
        </w:rPr>
        <w:t> </w:t>
      </w:r>
      <w:r>
        <w:rPr>
          <w:color w:val="231F20"/>
          <w:spacing w:val="-2"/>
        </w:rPr>
        <w:t>blessés,</w:t>
      </w:r>
      <w:r>
        <w:rPr>
          <w:color w:val="231F20"/>
          <w:spacing w:val="-11"/>
        </w:rPr>
        <w:t> </w:t>
      </w:r>
      <w:r>
        <w:rPr>
          <w:color w:val="231F20"/>
          <w:spacing w:val="-2"/>
        </w:rPr>
        <w:t>225</w:t>
      </w:r>
      <w:r>
        <w:rPr>
          <w:color w:val="231F20"/>
          <w:spacing w:val="-9"/>
        </w:rPr>
        <w:t> </w:t>
      </w:r>
      <w:r>
        <w:rPr>
          <w:color w:val="231F20"/>
          <w:spacing w:val="-2"/>
        </w:rPr>
        <w:t>personnes</w:t>
      </w:r>
      <w:r>
        <w:rPr>
          <w:color w:val="231F20"/>
          <w:spacing w:val="-11"/>
        </w:rPr>
        <w:t> </w:t>
      </w:r>
      <w:r>
        <w:rPr>
          <w:color w:val="231F20"/>
          <w:spacing w:val="-2"/>
        </w:rPr>
        <w:t>interpellées,</w:t>
      </w:r>
      <w:r>
        <w:rPr>
          <w:color w:val="231F20"/>
          <w:spacing w:val="-13"/>
        </w:rPr>
        <w:t> </w:t>
      </w:r>
      <w:r>
        <w:rPr>
          <w:color w:val="231F20"/>
          <w:spacing w:val="-2"/>
        </w:rPr>
        <w:t>176</w:t>
      </w:r>
      <w:r>
        <w:rPr>
          <w:color w:val="231F20"/>
          <w:spacing w:val="-12"/>
        </w:rPr>
        <w:t> </w:t>
      </w:r>
      <w:r>
        <w:rPr>
          <w:color w:val="231F20"/>
          <w:spacing w:val="-2"/>
        </w:rPr>
        <w:t>inculpées</w:t>
      </w:r>
      <w:r>
        <w:rPr>
          <w:color w:val="231F20"/>
          <w:spacing w:val="-9"/>
        </w:rPr>
        <w:t> </w:t>
      </w:r>
      <w:r>
        <w:rPr>
          <w:color w:val="231F20"/>
          <w:spacing w:val="-2"/>
        </w:rPr>
        <w:t>et</w:t>
      </w:r>
      <w:r>
        <w:rPr>
          <w:color w:val="231F20"/>
          <w:spacing w:val="-11"/>
        </w:rPr>
        <w:t> </w:t>
      </w:r>
      <w:r>
        <w:rPr>
          <w:color w:val="231F20"/>
          <w:spacing w:val="-2"/>
        </w:rPr>
        <w:t>45 </w:t>
      </w:r>
      <w:r>
        <w:rPr>
          <w:color w:val="231F20"/>
        </w:rPr>
        <w:t>placées</w:t>
      </w:r>
      <w:r>
        <w:rPr>
          <w:color w:val="231F20"/>
          <w:spacing w:val="-1"/>
        </w:rPr>
        <w:t> </w:t>
      </w:r>
      <w:r>
        <w:rPr>
          <w:color w:val="231F20"/>
        </w:rPr>
        <w:t>sous</w:t>
      </w:r>
      <w:r>
        <w:rPr>
          <w:color w:val="231F20"/>
          <w:spacing w:val="-3"/>
        </w:rPr>
        <w:t> </w:t>
      </w:r>
      <w:r>
        <w:rPr>
          <w:color w:val="231F20"/>
        </w:rPr>
        <w:t>mandat</w:t>
      </w:r>
      <w:r>
        <w:rPr>
          <w:color w:val="231F20"/>
          <w:spacing w:val="-3"/>
        </w:rPr>
        <w:t> </w:t>
      </w:r>
      <w:r>
        <w:rPr>
          <w:color w:val="231F20"/>
        </w:rPr>
        <w:t>de</w:t>
      </w:r>
      <w:r>
        <w:rPr>
          <w:color w:val="231F20"/>
          <w:spacing w:val="-1"/>
        </w:rPr>
        <w:t> </w:t>
      </w:r>
      <w:r>
        <w:rPr>
          <w:color w:val="231F20"/>
        </w:rPr>
        <w:t>dépôt</w:t>
      </w:r>
      <w:r>
        <w:rPr>
          <w:color w:val="231F20"/>
          <w:spacing w:val="-1"/>
        </w:rPr>
        <w:t> </w:t>
      </w:r>
      <w:r>
        <w:rPr>
          <w:color w:val="231F20"/>
        </w:rPr>
        <w:t>serait</w:t>
      </w:r>
      <w:r>
        <w:rPr>
          <w:color w:val="231F20"/>
          <w:spacing w:val="-3"/>
        </w:rPr>
        <w:t> </w:t>
      </w:r>
      <w:r>
        <w:rPr>
          <w:color w:val="231F20"/>
        </w:rPr>
        <w:t>le bilan</w:t>
      </w:r>
      <w:r>
        <w:rPr>
          <w:color w:val="231F20"/>
          <w:spacing w:val="-3"/>
        </w:rPr>
        <w:t> </w:t>
      </w:r>
      <w:r>
        <w:rPr>
          <w:color w:val="231F20"/>
        </w:rPr>
        <w:t>de la poussée</w:t>
      </w:r>
      <w:r>
        <w:rPr>
          <w:color w:val="231F20"/>
          <w:spacing w:val="-3"/>
        </w:rPr>
        <w:t> </w:t>
      </w:r>
      <w:r>
        <w:rPr>
          <w:color w:val="231F20"/>
        </w:rPr>
        <w:t>de violences enregistrées</w:t>
      </w:r>
      <w:r>
        <w:rPr>
          <w:color w:val="231F20"/>
          <w:spacing w:val="-2"/>
        </w:rPr>
        <w:t> </w:t>
      </w:r>
      <w:r>
        <w:rPr>
          <w:color w:val="231F20"/>
        </w:rPr>
        <w:t>pour les élections de 2020. Ces chiffres seraient</w:t>
      </w:r>
      <w:r>
        <w:rPr>
          <w:color w:val="231F20"/>
          <w:spacing w:val="-1"/>
        </w:rPr>
        <w:t> </w:t>
      </w:r>
      <w:r>
        <w:rPr>
          <w:color w:val="231F20"/>
        </w:rPr>
        <w:t>beaucoup plus élevés selon l’opposition.</w:t>
      </w:r>
    </w:p>
    <w:p>
      <w:pPr>
        <w:pStyle w:val="BodyText"/>
        <w:spacing w:before="120"/>
        <w:ind w:right="105" w:firstLine="283"/>
      </w:pPr>
      <w:r>
        <w:rPr>
          <w:color w:val="231F20"/>
          <w:spacing w:val="-4"/>
        </w:rPr>
        <w:t>À</w:t>
      </w:r>
      <w:r>
        <w:rPr>
          <w:color w:val="231F20"/>
          <w:spacing w:val="-7"/>
        </w:rPr>
        <w:t> </w:t>
      </w:r>
      <w:r>
        <w:rPr>
          <w:color w:val="231F20"/>
          <w:spacing w:val="-4"/>
        </w:rPr>
        <w:t>la</w:t>
      </w:r>
      <w:r>
        <w:rPr>
          <w:color w:val="231F20"/>
          <w:spacing w:val="-7"/>
        </w:rPr>
        <w:t> </w:t>
      </w:r>
      <w:r>
        <w:rPr>
          <w:color w:val="231F20"/>
          <w:spacing w:val="-4"/>
        </w:rPr>
        <w:t>Hayes,</w:t>
      </w:r>
      <w:r>
        <w:rPr>
          <w:color w:val="231F20"/>
          <w:spacing w:val="-5"/>
        </w:rPr>
        <w:t> </w:t>
      </w:r>
      <w:r>
        <w:rPr>
          <w:color w:val="231F20"/>
          <w:spacing w:val="-4"/>
        </w:rPr>
        <w:t>la</w:t>
      </w:r>
      <w:r>
        <w:rPr>
          <w:color w:val="231F20"/>
          <w:spacing w:val="-9"/>
        </w:rPr>
        <w:t> </w:t>
      </w:r>
      <w:r>
        <w:rPr>
          <w:color w:val="231F20"/>
          <w:spacing w:val="-4"/>
        </w:rPr>
        <w:t>Chambre</w:t>
      </w:r>
      <w:r>
        <w:rPr>
          <w:color w:val="231F20"/>
          <w:spacing w:val="-7"/>
        </w:rPr>
        <w:t> </w:t>
      </w:r>
      <w:r>
        <w:rPr>
          <w:color w:val="231F20"/>
          <w:spacing w:val="-4"/>
        </w:rPr>
        <w:t>d'appel</w:t>
      </w:r>
      <w:r>
        <w:rPr>
          <w:color w:val="231F20"/>
          <w:spacing w:val="-7"/>
        </w:rPr>
        <w:t> </w:t>
      </w:r>
      <w:r>
        <w:rPr>
          <w:color w:val="231F20"/>
          <w:spacing w:val="-4"/>
        </w:rPr>
        <w:t>de</w:t>
      </w:r>
      <w:r>
        <w:rPr>
          <w:color w:val="231F20"/>
          <w:spacing w:val="-9"/>
        </w:rPr>
        <w:t> </w:t>
      </w:r>
      <w:r>
        <w:rPr>
          <w:color w:val="231F20"/>
          <w:spacing w:val="-4"/>
        </w:rPr>
        <w:t>la</w:t>
      </w:r>
      <w:r>
        <w:rPr>
          <w:color w:val="231F20"/>
          <w:spacing w:val="-10"/>
        </w:rPr>
        <w:t> </w:t>
      </w:r>
      <w:r>
        <w:rPr>
          <w:color w:val="231F20"/>
          <w:spacing w:val="-4"/>
        </w:rPr>
        <w:t>CPI</w:t>
      </w:r>
      <w:r>
        <w:rPr>
          <w:color w:val="231F20"/>
          <w:spacing w:val="-9"/>
        </w:rPr>
        <w:t> </w:t>
      </w:r>
      <w:r>
        <w:rPr>
          <w:color w:val="231F20"/>
          <w:spacing w:val="-4"/>
        </w:rPr>
        <w:t>acquitte</w:t>
      </w:r>
      <w:r>
        <w:rPr>
          <w:color w:val="231F20"/>
          <w:spacing w:val="-7"/>
        </w:rPr>
        <w:t> </w:t>
      </w:r>
      <w:r>
        <w:rPr>
          <w:color w:val="231F20"/>
          <w:spacing w:val="-4"/>
        </w:rPr>
        <w:t>définitivement</w:t>
      </w:r>
      <w:r>
        <w:rPr>
          <w:color w:val="231F20"/>
          <w:spacing w:val="-9"/>
        </w:rPr>
        <w:t> </w:t>
      </w:r>
      <w:r>
        <w:rPr>
          <w:color w:val="231F20"/>
          <w:spacing w:val="-4"/>
        </w:rPr>
        <w:t>le</w:t>
      </w:r>
      <w:r>
        <w:rPr>
          <w:color w:val="231F20"/>
          <w:spacing w:val="-7"/>
        </w:rPr>
        <w:t> </w:t>
      </w:r>
      <w:r>
        <w:rPr>
          <w:color w:val="231F20"/>
          <w:spacing w:val="-4"/>
        </w:rPr>
        <w:t>31 </w:t>
      </w:r>
      <w:r>
        <w:rPr>
          <w:color w:val="231F20"/>
        </w:rPr>
        <w:t>mars</w:t>
      </w:r>
      <w:r>
        <w:rPr>
          <w:color w:val="231F20"/>
          <w:spacing w:val="-15"/>
        </w:rPr>
        <w:t> </w:t>
      </w:r>
      <w:r>
        <w:rPr>
          <w:color w:val="231F20"/>
        </w:rPr>
        <w:t>2021,</w:t>
      </w:r>
      <w:r>
        <w:rPr>
          <w:color w:val="231F20"/>
          <w:spacing w:val="-15"/>
        </w:rPr>
        <w:t> </w:t>
      </w:r>
      <w:r>
        <w:rPr>
          <w:color w:val="231F20"/>
        </w:rPr>
        <w:t>Laurent</w:t>
      </w:r>
      <w:r>
        <w:rPr>
          <w:color w:val="231F20"/>
          <w:spacing w:val="-15"/>
        </w:rPr>
        <w:t> </w:t>
      </w:r>
      <w:r>
        <w:rPr>
          <w:color w:val="231F20"/>
        </w:rPr>
        <w:t>Gbagbo</w:t>
      </w:r>
      <w:r>
        <w:rPr>
          <w:color w:val="231F20"/>
          <w:spacing w:val="-15"/>
        </w:rPr>
        <w:t> </w:t>
      </w:r>
      <w:r>
        <w:rPr>
          <w:color w:val="231F20"/>
        </w:rPr>
        <w:t>et</w:t>
      </w:r>
      <w:r>
        <w:rPr>
          <w:color w:val="231F20"/>
          <w:spacing w:val="-15"/>
        </w:rPr>
        <w:t> </w:t>
      </w:r>
      <w:r>
        <w:rPr>
          <w:color w:val="231F20"/>
        </w:rPr>
        <w:t>Charles</w:t>
      </w:r>
      <w:r>
        <w:rPr>
          <w:color w:val="231F20"/>
          <w:spacing w:val="-15"/>
        </w:rPr>
        <w:t> </w:t>
      </w:r>
      <w:r>
        <w:rPr>
          <w:color w:val="231F20"/>
        </w:rPr>
        <w:t>Blé</w:t>
      </w:r>
      <w:r>
        <w:rPr>
          <w:color w:val="231F20"/>
          <w:spacing w:val="-15"/>
        </w:rPr>
        <w:t> </w:t>
      </w:r>
      <w:r>
        <w:rPr>
          <w:color w:val="231F20"/>
        </w:rPr>
        <w:t>Goudé.</w:t>
      </w:r>
      <w:r>
        <w:rPr>
          <w:color w:val="231F20"/>
          <w:spacing w:val="-15"/>
        </w:rPr>
        <w:t> </w:t>
      </w:r>
      <w:r>
        <w:rPr>
          <w:color w:val="231F20"/>
        </w:rPr>
        <w:t>Reconnus</w:t>
      </w:r>
      <w:r>
        <w:rPr>
          <w:color w:val="231F20"/>
          <w:spacing w:val="-15"/>
        </w:rPr>
        <w:t> </w:t>
      </w:r>
      <w:r>
        <w:rPr>
          <w:color w:val="231F20"/>
        </w:rPr>
        <w:t>innocents, ils</w:t>
      </w:r>
      <w:r>
        <w:rPr>
          <w:color w:val="231F20"/>
          <w:spacing w:val="-3"/>
        </w:rPr>
        <w:t> </w:t>
      </w:r>
      <w:r>
        <w:rPr>
          <w:color w:val="231F20"/>
        </w:rPr>
        <w:t>sont</w:t>
      </w:r>
      <w:r>
        <w:rPr>
          <w:color w:val="231F20"/>
          <w:spacing w:val="-1"/>
        </w:rPr>
        <w:t> </w:t>
      </w:r>
      <w:r>
        <w:rPr>
          <w:color w:val="231F20"/>
        </w:rPr>
        <w:t>désormais</w:t>
      </w:r>
      <w:r>
        <w:rPr>
          <w:color w:val="231F20"/>
          <w:spacing w:val="-1"/>
        </w:rPr>
        <w:t> </w:t>
      </w:r>
      <w:r>
        <w:rPr>
          <w:color w:val="231F20"/>
        </w:rPr>
        <w:t>libres</w:t>
      </w:r>
      <w:r>
        <w:rPr>
          <w:color w:val="231F20"/>
          <w:spacing w:val="-3"/>
        </w:rPr>
        <w:t> </w:t>
      </w:r>
      <w:r>
        <w:rPr>
          <w:color w:val="231F20"/>
        </w:rPr>
        <w:t>de</w:t>
      </w:r>
      <w:r>
        <w:rPr>
          <w:color w:val="231F20"/>
          <w:spacing w:val="-1"/>
        </w:rPr>
        <w:t> </w:t>
      </w:r>
      <w:r>
        <w:rPr>
          <w:color w:val="231F20"/>
        </w:rPr>
        <w:t>renter</w:t>
      </w:r>
      <w:r>
        <w:rPr>
          <w:color w:val="231F20"/>
          <w:spacing w:val="-1"/>
        </w:rPr>
        <w:t> </w:t>
      </w:r>
      <w:r>
        <w:rPr>
          <w:color w:val="231F20"/>
        </w:rPr>
        <w:t>dans</w:t>
      </w:r>
      <w:r>
        <w:rPr>
          <w:color w:val="231F20"/>
          <w:spacing w:val="-3"/>
        </w:rPr>
        <w:t> </w:t>
      </w:r>
      <w:r>
        <w:rPr>
          <w:color w:val="231F20"/>
        </w:rPr>
        <w:t>leur</w:t>
      </w:r>
      <w:r>
        <w:rPr>
          <w:color w:val="231F20"/>
          <w:spacing w:val="-3"/>
        </w:rPr>
        <w:t> </w:t>
      </w:r>
      <w:r>
        <w:rPr>
          <w:color w:val="231F20"/>
        </w:rPr>
        <w:t>pays.</w:t>
      </w:r>
    </w:p>
    <w:p>
      <w:pPr>
        <w:pStyle w:val="BodyText"/>
        <w:spacing w:before="120"/>
        <w:ind w:right="108" w:firstLine="283"/>
      </w:pPr>
      <w:r>
        <w:rPr>
          <w:color w:val="231F20"/>
        </w:rPr>
        <w:t>Après 10 ans d’absence, Laurent Gbagbo, l’ex-président ivoirien, débarque</w:t>
      </w:r>
      <w:r>
        <w:rPr>
          <w:color w:val="231F20"/>
          <w:spacing w:val="-6"/>
        </w:rPr>
        <w:t> </w:t>
      </w:r>
      <w:r>
        <w:rPr>
          <w:color w:val="231F20"/>
        </w:rPr>
        <w:t>à</w:t>
      </w:r>
      <w:r>
        <w:rPr>
          <w:color w:val="231F20"/>
          <w:spacing w:val="-6"/>
        </w:rPr>
        <w:t> </w:t>
      </w:r>
      <w:r>
        <w:rPr>
          <w:color w:val="231F20"/>
        </w:rPr>
        <w:t>Abidjan</w:t>
      </w:r>
      <w:r>
        <w:rPr>
          <w:color w:val="231F20"/>
          <w:spacing w:val="-8"/>
        </w:rPr>
        <w:t> </w:t>
      </w:r>
      <w:r>
        <w:rPr>
          <w:color w:val="231F20"/>
        </w:rPr>
        <w:t>le</w:t>
      </w:r>
      <w:r>
        <w:rPr>
          <w:color w:val="231F20"/>
          <w:spacing w:val="-9"/>
        </w:rPr>
        <w:t> </w:t>
      </w:r>
      <w:r>
        <w:rPr>
          <w:color w:val="231F20"/>
        </w:rPr>
        <w:t>jeudi</w:t>
      </w:r>
      <w:r>
        <w:rPr>
          <w:color w:val="231F20"/>
          <w:spacing w:val="-5"/>
        </w:rPr>
        <w:t> </w:t>
      </w:r>
      <w:r>
        <w:rPr>
          <w:color w:val="231F20"/>
        </w:rPr>
        <w:t>17</w:t>
      </w:r>
      <w:r>
        <w:rPr>
          <w:color w:val="231F20"/>
          <w:spacing w:val="-8"/>
        </w:rPr>
        <w:t> </w:t>
      </w:r>
      <w:r>
        <w:rPr>
          <w:color w:val="231F20"/>
        </w:rPr>
        <w:t>juin</w:t>
      </w:r>
      <w:r>
        <w:rPr>
          <w:color w:val="231F20"/>
          <w:spacing w:val="-8"/>
        </w:rPr>
        <w:t> </w:t>
      </w:r>
      <w:r>
        <w:rPr>
          <w:color w:val="231F20"/>
        </w:rPr>
        <w:t>2021</w:t>
      </w:r>
      <w:r>
        <w:rPr>
          <w:color w:val="231F20"/>
          <w:spacing w:val="-8"/>
        </w:rPr>
        <w:t> </w:t>
      </w:r>
      <w:r>
        <w:rPr>
          <w:color w:val="231F20"/>
        </w:rPr>
        <w:t>en</w:t>
      </w:r>
      <w:r>
        <w:rPr>
          <w:color w:val="231F20"/>
          <w:spacing w:val="-6"/>
        </w:rPr>
        <w:t> </w:t>
      </w:r>
      <w:r>
        <w:rPr>
          <w:color w:val="231F20"/>
        </w:rPr>
        <w:t>provenance</w:t>
      </w:r>
      <w:r>
        <w:rPr>
          <w:color w:val="231F20"/>
          <w:spacing w:val="-6"/>
        </w:rPr>
        <w:t> </w:t>
      </w:r>
      <w:r>
        <w:rPr>
          <w:color w:val="231F20"/>
        </w:rPr>
        <w:t>de</w:t>
      </w:r>
      <w:r>
        <w:rPr>
          <w:color w:val="231F20"/>
          <w:spacing w:val="-6"/>
        </w:rPr>
        <w:t> </w:t>
      </w:r>
      <w:r>
        <w:rPr>
          <w:color w:val="231F20"/>
        </w:rPr>
        <w:t>Bruxelles.</w:t>
      </w:r>
    </w:p>
    <w:p>
      <w:pPr>
        <w:pStyle w:val="BodyText"/>
        <w:spacing w:before="120"/>
        <w:ind w:right="104" w:firstLine="283"/>
      </w:pPr>
      <w:r>
        <w:rPr>
          <w:color w:val="231F20"/>
        </w:rPr>
        <w:t>L’ex-président</w:t>
      </w:r>
      <w:r>
        <w:rPr>
          <w:color w:val="231F20"/>
          <w:spacing w:val="-9"/>
        </w:rPr>
        <w:t> </w:t>
      </w:r>
      <w:r>
        <w:rPr>
          <w:color w:val="231F20"/>
        </w:rPr>
        <w:t>Henri</w:t>
      </w:r>
      <w:r>
        <w:rPr>
          <w:color w:val="231F20"/>
          <w:spacing w:val="-9"/>
        </w:rPr>
        <w:t> </w:t>
      </w:r>
      <w:r>
        <w:rPr>
          <w:color w:val="231F20"/>
        </w:rPr>
        <w:t>Konan</w:t>
      </w:r>
      <w:r>
        <w:rPr>
          <w:color w:val="231F20"/>
          <w:spacing w:val="-9"/>
        </w:rPr>
        <w:t> </w:t>
      </w:r>
      <w:r>
        <w:rPr>
          <w:color w:val="231F20"/>
        </w:rPr>
        <w:t>Bédié,</w:t>
      </w:r>
      <w:r>
        <w:rPr>
          <w:color w:val="231F20"/>
          <w:spacing w:val="-11"/>
        </w:rPr>
        <w:t> </w:t>
      </w:r>
      <w:r>
        <w:rPr>
          <w:color w:val="231F20"/>
        </w:rPr>
        <w:t>qui</w:t>
      </w:r>
      <w:r>
        <w:rPr>
          <w:color w:val="231F20"/>
          <w:spacing w:val="-10"/>
        </w:rPr>
        <w:t> </w:t>
      </w:r>
      <w:r>
        <w:rPr>
          <w:color w:val="231F20"/>
        </w:rPr>
        <w:t>s’est</w:t>
      </w:r>
      <w:r>
        <w:rPr>
          <w:color w:val="231F20"/>
          <w:spacing w:val="-9"/>
        </w:rPr>
        <w:t> </w:t>
      </w:r>
      <w:r>
        <w:rPr>
          <w:color w:val="231F20"/>
        </w:rPr>
        <w:t>fortement</w:t>
      </w:r>
      <w:r>
        <w:rPr>
          <w:color w:val="231F20"/>
          <w:spacing w:val="-9"/>
        </w:rPr>
        <w:t> </w:t>
      </w:r>
      <w:r>
        <w:rPr>
          <w:color w:val="231F20"/>
        </w:rPr>
        <w:t>rapproché</w:t>
      </w:r>
      <w:r>
        <w:rPr>
          <w:color w:val="231F20"/>
          <w:spacing w:val="-9"/>
        </w:rPr>
        <w:t> </w:t>
      </w:r>
      <w:r>
        <w:rPr>
          <w:color w:val="231F20"/>
        </w:rPr>
        <w:t>de </w:t>
      </w:r>
      <w:r>
        <w:rPr>
          <w:color w:val="231F20"/>
          <w:spacing w:val="-4"/>
        </w:rPr>
        <w:t>Laurent</w:t>
      </w:r>
      <w:r>
        <w:rPr>
          <w:color w:val="231F20"/>
          <w:spacing w:val="-5"/>
        </w:rPr>
        <w:t> </w:t>
      </w:r>
      <w:r>
        <w:rPr>
          <w:color w:val="231F20"/>
          <w:spacing w:val="-4"/>
        </w:rPr>
        <w:t>Gbagbo</w:t>
      </w:r>
      <w:r>
        <w:rPr>
          <w:color w:val="231F20"/>
          <w:spacing w:val="-5"/>
        </w:rPr>
        <w:t> </w:t>
      </w:r>
      <w:r>
        <w:rPr>
          <w:color w:val="231F20"/>
          <w:spacing w:val="-4"/>
        </w:rPr>
        <w:t>après</w:t>
      </w:r>
      <w:r>
        <w:rPr>
          <w:color w:val="231F20"/>
          <w:spacing w:val="-6"/>
        </w:rPr>
        <w:t> </w:t>
      </w:r>
      <w:r>
        <w:rPr>
          <w:color w:val="231F20"/>
          <w:spacing w:val="-4"/>
        </w:rPr>
        <w:t>avoir</w:t>
      </w:r>
      <w:r>
        <w:rPr>
          <w:color w:val="231F20"/>
          <w:spacing w:val="-6"/>
        </w:rPr>
        <w:t> </w:t>
      </w:r>
      <w:r>
        <w:rPr>
          <w:color w:val="231F20"/>
          <w:spacing w:val="-4"/>
        </w:rPr>
        <w:t>été</w:t>
      </w:r>
      <w:r>
        <w:rPr>
          <w:color w:val="231F20"/>
          <w:spacing w:val="-7"/>
        </w:rPr>
        <w:t> </w:t>
      </w:r>
      <w:r>
        <w:rPr>
          <w:color w:val="231F20"/>
          <w:spacing w:val="-4"/>
        </w:rPr>
        <w:t>l’allié</w:t>
      </w:r>
      <w:r>
        <w:rPr>
          <w:color w:val="231F20"/>
          <w:spacing w:val="-6"/>
        </w:rPr>
        <w:t> </w:t>
      </w:r>
      <w:r>
        <w:rPr>
          <w:color w:val="231F20"/>
          <w:spacing w:val="-4"/>
        </w:rPr>
        <w:t>d’Alassane</w:t>
      </w:r>
      <w:r>
        <w:rPr>
          <w:color w:val="231F20"/>
          <w:spacing w:val="-6"/>
        </w:rPr>
        <w:t> </w:t>
      </w:r>
      <w:r>
        <w:rPr>
          <w:color w:val="231F20"/>
          <w:spacing w:val="-4"/>
        </w:rPr>
        <w:t>Ouattara,</w:t>
      </w:r>
      <w:r>
        <w:rPr>
          <w:color w:val="231F20"/>
          <w:spacing w:val="-6"/>
        </w:rPr>
        <w:t> </w:t>
      </w:r>
      <w:r>
        <w:rPr>
          <w:color w:val="231F20"/>
          <w:spacing w:val="-4"/>
        </w:rPr>
        <w:t>estime</w:t>
      </w:r>
      <w:r>
        <w:rPr>
          <w:color w:val="231F20"/>
          <w:spacing w:val="-6"/>
        </w:rPr>
        <w:t> </w:t>
      </w:r>
      <w:r>
        <w:rPr>
          <w:color w:val="231F20"/>
          <w:spacing w:val="-4"/>
        </w:rPr>
        <w:t>que</w:t>
      </w:r>
      <w:r>
        <w:rPr>
          <w:color w:val="231F20"/>
          <w:spacing w:val="-6"/>
        </w:rPr>
        <w:t> </w:t>
      </w:r>
      <w:r>
        <w:rPr>
          <w:color w:val="231F20"/>
          <w:spacing w:val="-4"/>
        </w:rPr>
        <w:t>ce </w:t>
      </w:r>
      <w:r>
        <w:rPr>
          <w:color w:val="231F20"/>
        </w:rPr>
        <w:t>retour va</w:t>
      </w:r>
      <w:r>
        <w:rPr>
          <w:color w:val="231F20"/>
          <w:spacing w:val="-2"/>
        </w:rPr>
        <w:t> </w:t>
      </w:r>
      <w:r>
        <w:rPr>
          <w:color w:val="231F20"/>
        </w:rPr>
        <w:t>décrisper</w:t>
      </w:r>
      <w:r>
        <w:rPr>
          <w:color w:val="231F20"/>
          <w:spacing w:val="-2"/>
        </w:rPr>
        <w:t> </w:t>
      </w:r>
      <w:r>
        <w:rPr>
          <w:color w:val="231F20"/>
        </w:rPr>
        <w:t>l’atmosphère sociopolitique.</w:t>
      </w:r>
    </w:p>
    <w:p>
      <w:pPr>
        <w:spacing w:after="0"/>
        <w:sectPr>
          <w:pgSz w:w="8790" w:h="13610"/>
          <w:pgMar w:header="0" w:footer="802" w:top="1060" w:bottom="1000" w:left="880" w:right="880"/>
        </w:sectPr>
      </w:pPr>
    </w:p>
    <w:p>
      <w:pPr>
        <w:pStyle w:val="BodyText"/>
        <w:spacing w:before="4"/>
        <w:ind w:left="0"/>
        <w:jc w:val="left"/>
        <w:rPr>
          <w:sz w:val="17"/>
        </w:rPr>
      </w:pPr>
    </w:p>
    <w:p>
      <w:pPr>
        <w:spacing w:after="0"/>
        <w:jc w:val="left"/>
        <w:rPr>
          <w:sz w:val="17"/>
        </w:rPr>
        <w:sectPr>
          <w:footerReference w:type="even" r:id="rId48"/>
          <w:pgSz w:w="8790" w:h="13610"/>
          <w:pgMar w:header="0" w:footer="0" w:top="1540" w:bottom="280" w:left="880" w:right="880"/>
        </w:sect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spacing w:before="236"/>
        <w:ind w:left="0"/>
        <w:jc w:val="left"/>
        <w:rPr>
          <w:sz w:val="32"/>
        </w:rPr>
      </w:pPr>
    </w:p>
    <w:p>
      <w:pPr>
        <w:spacing w:before="0"/>
        <w:ind w:left="2001" w:right="1996" w:firstLine="230"/>
        <w:jc w:val="left"/>
        <w:rPr>
          <w:rFonts w:ascii="Cambria" w:hAnsi="Cambria"/>
          <w:b/>
          <w:sz w:val="32"/>
        </w:rPr>
      </w:pPr>
      <w:r>
        <w:rPr>
          <w:rFonts w:ascii="Cambria" w:hAnsi="Cambria"/>
          <w:b/>
          <w:color w:val="231F20"/>
          <w:sz w:val="32"/>
        </w:rPr>
        <w:t>Quatrième partie </w:t>
      </w:r>
      <w:r>
        <w:rPr>
          <w:rFonts w:ascii="Cambria" w:hAnsi="Cambria"/>
          <w:b/>
          <w:color w:val="231F20"/>
          <w:spacing w:val="-2"/>
          <w:sz w:val="32"/>
        </w:rPr>
        <w:t>SE</w:t>
      </w:r>
      <w:r>
        <w:rPr>
          <w:rFonts w:ascii="Cambria" w:hAnsi="Cambria"/>
          <w:b/>
          <w:color w:val="231F20"/>
          <w:spacing w:val="-16"/>
          <w:sz w:val="32"/>
        </w:rPr>
        <w:t> </w:t>
      </w:r>
      <w:r>
        <w:rPr>
          <w:rFonts w:ascii="Cambria" w:hAnsi="Cambria"/>
          <w:b/>
          <w:color w:val="231F20"/>
          <w:spacing w:val="-2"/>
          <w:sz w:val="32"/>
        </w:rPr>
        <w:t>(RE)</w:t>
      </w:r>
      <w:r>
        <w:rPr>
          <w:rFonts w:ascii="Cambria" w:hAnsi="Cambria"/>
          <w:b/>
          <w:color w:val="231F20"/>
          <w:spacing w:val="-16"/>
          <w:sz w:val="32"/>
        </w:rPr>
        <w:t> </w:t>
      </w:r>
      <w:r>
        <w:rPr>
          <w:rFonts w:ascii="Cambria" w:hAnsi="Cambria"/>
          <w:b/>
          <w:color w:val="231F20"/>
          <w:spacing w:val="-2"/>
          <w:sz w:val="32"/>
        </w:rPr>
        <w:t>CONSTRUIRE</w:t>
      </w:r>
    </w:p>
    <w:p>
      <w:pPr>
        <w:pStyle w:val="BodyText"/>
        <w:spacing w:before="275"/>
        <w:ind w:left="0"/>
        <w:jc w:val="left"/>
        <w:rPr>
          <w:rFonts w:ascii="Cambria"/>
          <w:b/>
          <w:sz w:val="32"/>
        </w:rPr>
      </w:pPr>
    </w:p>
    <w:p>
      <w:pPr>
        <w:pStyle w:val="Heading3"/>
        <w:spacing w:line="273" w:lineRule="exact"/>
        <w:ind w:left="0" w:right="108"/>
        <w:jc w:val="right"/>
        <w:rPr>
          <w:rFonts w:ascii="Times New Roman" w:hAnsi="Times New Roman"/>
          <w:b w:val="0"/>
          <w:i/>
        </w:rPr>
      </w:pPr>
      <w:r>
        <w:rPr>
          <w:rFonts w:ascii="Times New Roman" w:hAnsi="Times New Roman"/>
          <w:b w:val="0"/>
          <w:i/>
          <w:color w:val="231F20"/>
          <w:spacing w:val="-2"/>
        </w:rPr>
        <w:t>«</w:t>
      </w:r>
      <w:r>
        <w:rPr>
          <w:rFonts w:ascii="Times New Roman" w:hAnsi="Times New Roman"/>
          <w:b w:val="0"/>
          <w:i/>
          <w:color w:val="231F20"/>
          <w:spacing w:val="-10"/>
        </w:rPr>
        <w:t> </w:t>
      </w:r>
      <w:r>
        <w:rPr>
          <w:rFonts w:ascii="Times New Roman" w:hAnsi="Times New Roman"/>
          <w:i/>
          <w:color w:val="231F20"/>
          <w:spacing w:val="-2"/>
        </w:rPr>
        <w:t>La</w:t>
      </w:r>
      <w:r>
        <w:rPr>
          <w:rFonts w:ascii="Times New Roman" w:hAnsi="Times New Roman"/>
          <w:i/>
          <w:color w:val="231F20"/>
          <w:spacing w:val="-10"/>
        </w:rPr>
        <w:t> </w:t>
      </w:r>
      <w:r>
        <w:rPr>
          <w:rFonts w:ascii="Times New Roman" w:hAnsi="Times New Roman"/>
          <w:i/>
          <w:color w:val="231F20"/>
          <w:spacing w:val="-2"/>
        </w:rPr>
        <w:t>liberté,</w:t>
      </w:r>
      <w:r>
        <w:rPr>
          <w:rFonts w:ascii="Times New Roman" w:hAnsi="Times New Roman"/>
          <w:i/>
          <w:color w:val="231F20"/>
          <w:spacing w:val="-8"/>
        </w:rPr>
        <w:t> </w:t>
      </w:r>
      <w:r>
        <w:rPr>
          <w:rFonts w:ascii="Times New Roman" w:hAnsi="Times New Roman"/>
          <w:i/>
          <w:color w:val="231F20"/>
          <w:spacing w:val="-2"/>
        </w:rPr>
        <w:t>elle</w:t>
      </w:r>
      <w:r>
        <w:rPr>
          <w:rFonts w:ascii="Times New Roman" w:hAnsi="Times New Roman"/>
          <w:i/>
          <w:color w:val="231F20"/>
          <w:spacing w:val="-12"/>
        </w:rPr>
        <w:t> </w:t>
      </w:r>
      <w:r>
        <w:rPr>
          <w:rFonts w:ascii="Times New Roman" w:hAnsi="Times New Roman"/>
          <w:i/>
          <w:color w:val="231F20"/>
          <w:spacing w:val="-2"/>
        </w:rPr>
        <w:t>n’est</w:t>
      </w:r>
      <w:r>
        <w:rPr>
          <w:rFonts w:ascii="Times New Roman" w:hAnsi="Times New Roman"/>
          <w:i/>
          <w:color w:val="231F20"/>
          <w:spacing w:val="-10"/>
        </w:rPr>
        <w:t> </w:t>
      </w:r>
      <w:r>
        <w:rPr>
          <w:rFonts w:ascii="Times New Roman" w:hAnsi="Times New Roman"/>
          <w:i/>
          <w:color w:val="231F20"/>
          <w:spacing w:val="-2"/>
        </w:rPr>
        <w:t>pas</w:t>
      </w:r>
      <w:r>
        <w:rPr>
          <w:rFonts w:ascii="Times New Roman" w:hAnsi="Times New Roman"/>
          <w:i/>
          <w:color w:val="231F20"/>
          <w:spacing w:val="-11"/>
        </w:rPr>
        <w:t> </w:t>
      </w:r>
      <w:r>
        <w:rPr>
          <w:rFonts w:ascii="Times New Roman" w:hAnsi="Times New Roman"/>
          <w:i/>
          <w:color w:val="231F20"/>
          <w:spacing w:val="-2"/>
        </w:rPr>
        <w:t>donnée</w:t>
      </w:r>
      <w:r>
        <w:rPr>
          <w:rFonts w:ascii="Times New Roman" w:hAnsi="Times New Roman"/>
          <w:i/>
          <w:color w:val="231F20"/>
          <w:spacing w:val="-10"/>
        </w:rPr>
        <w:t> </w:t>
      </w:r>
      <w:r>
        <w:rPr>
          <w:rFonts w:ascii="Times New Roman" w:hAnsi="Times New Roman"/>
          <w:i/>
          <w:color w:val="231F20"/>
          <w:spacing w:val="-2"/>
        </w:rPr>
        <w:t>;</w:t>
      </w:r>
      <w:r>
        <w:rPr>
          <w:rFonts w:ascii="Times New Roman" w:hAnsi="Times New Roman"/>
          <w:i/>
          <w:color w:val="231F20"/>
          <w:spacing w:val="-9"/>
        </w:rPr>
        <w:t> </w:t>
      </w:r>
      <w:r>
        <w:rPr>
          <w:rFonts w:ascii="Times New Roman" w:hAnsi="Times New Roman"/>
          <w:i/>
          <w:color w:val="231F20"/>
          <w:spacing w:val="-2"/>
        </w:rPr>
        <w:t>elle</w:t>
      </w:r>
      <w:r>
        <w:rPr>
          <w:rFonts w:ascii="Times New Roman" w:hAnsi="Times New Roman"/>
          <w:i/>
          <w:color w:val="231F20"/>
          <w:spacing w:val="-9"/>
        </w:rPr>
        <w:t> </w:t>
      </w:r>
      <w:r>
        <w:rPr>
          <w:rFonts w:ascii="Times New Roman" w:hAnsi="Times New Roman"/>
          <w:i/>
          <w:color w:val="231F20"/>
          <w:spacing w:val="-2"/>
        </w:rPr>
        <w:t>est</w:t>
      </w:r>
      <w:r>
        <w:rPr>
          <w:rFonts w:ascii="Times New Roman" w:hAnsi="Times New Roman"/>
          <w:i/>
          <w:color w:val="231F20"/>
          <w:spacing w:val="-8"/>
        </w:rPr>
        <w:t> </w:t>
      </w:r>
      <w:r>
        <w:rPr>
          <w:rFonts w:ascii="Times New Roman" w:hAnsi="Times New Roman"/>
          <w:i/>
          <w:color w:val="231F20"/>
          <w:spacing w:val="-2"/>
        </w:rPr>
        <w:t>gagnée</w:t>
      </w:r>
      <w:r>
        <w:rPr>
          <w:rFonts w:ascii="Times New Roman" w:hAnsi="Times New Roman"/>
          <w:b w:val="0"/>
          <w:i/>
          <w:color w:val="231F20"/>
          <w:spacing w:val="-2"/>
        </w:rPr>
        <w:t>»</w:t>
      </w:r>
      <w:r>
        <w:rPr>
          <w:rFonts w:ascii="Times New Roman" w:hAnsi="Times New Roman"/>
          <w:b w:val="0"/>
          <w:i/>
          <w:color w:val="231F20"/>
          <w:spacing w:val="-7"/>
        </w:rPr>
        <w:t> </w:t>
      </w:r>
      <w:r>
        <w:rPr>
          <w:rFonts w:ascii="Times New Roman" w:hAnsi="Times New Roman"/>
          <w:b w:val="0"/>
          <w:i/>
          <w:color w:val="231F20"/>
          <w:spacing w:val="-2"/>
        </w:rPr>
        <w:t>Barbara</w:t>
      </w:r>
    </w:p>
    <w:p>
      <w:pPr>
        <w:spacing w:line="279" w:lineRule="exact" w:before="0"/>
        <w:ind w:left="0" w:right="109" w:firstLine="0"/>
        <w:jc w:val="right"/>
        <w:rPr>
          <w:b/>
          <w:sz w:val="16"/>
        </w:rPr>
      </w:pPr>
      <w:r>
        <w:rPr>
          <w:i/>
          <w:color w:val="231F20"/>
          <w:spacing w:val="-2"/>
          <w:sz w:val="24"/>
        </w:rPr>
        <w:t>Hendricks</w:t>
      </w:r>
      <w:r>
        <w:rPr>
          <w:b/>
          <w:color w:val="231F20"/>
          <w:spacing w:val="-2"/>
          <w:position w:val="8"/>
          <w:sz w:val="16"/>
        </w:rPr>
        <w:t>222</w:t>
      </w: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ind w:left="0"/>
        <w:jc w:val="left"/>
        <w:rPr>
          <w:b/>
          <w:sz w:val="20"/>
        </w:rPr>
      </w:pPr>
    </w:p>
    <w:p>
      <w:pPr>
        <w:pStyle w:val="BodyText"/>
        <w:spacing w:before="67"/>
        <w:ind w:left="0"/>
        <w:jc w:val="left"/>
        <w:rPr>
          <w:b/>
          <w:sz w:val="20"/>
        </w:rPr>
      </w:pPr>
      <w:r>
        <w:rPr/>
        <mc:AlternateContent>
          <mc:Choice Requires="wps">
            <w:drawing>
              <wp:anchor distT="0" distB="0" distL="0" distR="0" allowOverlap="1" layoutInCell="1" locked="0" behindDoc="1" simplePos="0" relativeHeight="487656960">
                <wp:simplePos x="0" y="0"/>
                <wp:positionH relativeFrom="page">
                  <wp:posOffset>629907</wp:posOffset>
                </wp:positionH>
                <wp:positionV relativeFrom="paragraph">
                  <wp:posOffset>204272</wp:posOffset>
                </wp:positionV>
                <wp:extent cx="1829435" cy="9525"/>
                <wp:effectExtent l="0" t="0" r="0" b="0"/>
                <wp:wrapTopAndBottom/>
                <wp:docPr id="165" name="Graphic 165"/>
                <wp:cNvGraphicFramePr>
                  <a:graphicFrameLocks/>
                </wp:cNvGraphicFramePr>
                <a:graphic>
                  <a:graphicData uri="http://schemas.microsoft.com/office/word/2010/wordprocessingShape">
                    <wps:wsp>
                      <wps:cNvPr id="165" name="Graphic 16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084448pt;width:144.020pt;height:.71994pt;mso-position-horizontal-relative:page;mso-position-vertical-relative:paragraph;z-index:-15659520;mso-wrap-distance-left:0;mso-wrap-distance-right:0" id="docshape163" filled="true" fillcolor="#231f20" stroked="false">
                <v:fill type="solid"/>
                <w10:wrap type="topAndBottom"/>
              </v:rect>
            </w:pict>
          </mc:Fallback>
        </mc:AlternateContent>
      </w:r>
    </w:p>
    <w:p>
      <w:pPr>
        <w:spacing w:before="91"/>
        <w:ind w:left="111" w:right="103" w:firstLine="0"/>
        <w:jc w:val="both"/>
        <w:rPr>
          <w:sz w:val="20"/>
        </w:rPr>
      </w:pPr>
      <w:r>
        <w:rPr>
          <w:color w:val="76787A"/>
          <w:sz w:val="20"/>
          <w:vertAlign w:val="superscript"/>
        </w:rPr>
        <w:t>222</w:t>
      </w:r>
      <w:r>
        <w:rPr>
          <w:color w:val="76787A"/>
          <w:spacing w:val="-13"/>
          <w:sz w:val="20"/>
          <w:vertAlign w:val="baseline"/>
        </w:rPr>
        <w:t> </w:t>
      </w:r>
      <w:r>
        <w:rPr>
          <w:color w:val="231F20"/>
          <w:sz w:val="20"/>
          <w:vertAlign w:val="baseline"/>
        </w:rPr>
        <w:t>cantatrice</w:t>
      </w:r>
      <w:r>
        <w:rPr>
          <w:color w:val="231F20"/>
          <w:spacing w:val="-12"/>
          <w:sz w:val="20"/>
          <w:vertAlign w:val="baseline"/>
        </w:rPr>
        <w:t> </w:t>
      </w:r>
      <w:r>
        <w:rPr>
          <w:color w:val="231F20"/>
          <w:sz w:val="20"/>
          <w:vertAlign w:val="baseline"/>
        </w:rPr>
        <w:t>(soprano),</w:t>
      </w:r>
      <w:r>
        <w:rPr>
          <w:color w:val="231F20"/>
          <w:spacing w:val="-13"/>
          <w:sz w:val="20"/>
          <w:vertAlign w:val="baseline"/>
        </w:rPr>
        <w:t> </w:t>
      </w:r>
      <w:r>
        <w:rPr>
          <w:color w:val="231F20"/>
          <w:sz w:val="20"/>
          <w:vertAlign w:val="baseline"/>
        </w:rPr>
        <w:t>Afro-américaine,</w:t>
      </w:r>
      <w:r>
        <w:rPr>
          <w:color w:val="231F20"/>
          <w:spacing w:val="-12"/>
          <w:sz w:val="20"/>
          <w:vertAlign w:val="baseline"/>
        </w:rPr>
        <w:t> </w:t>
      </w:r>
      <w:r>
        <w:rPr>
          <w:color w:val="231F20"/>
          <w:sz w:val="20"/>
          <w:vertAlign w:val="baseline"/>
        </w:rPr>
        <w:t>de</w:t>
      </w:r>
      <w:r>
        <w:rPr>
          <w:color w:val="231F20"/>
          <w:spacing w:val="-13"/>
          <w:sz w:val="20"/>
          <w:vertAlign w:val="baseline"/>
        </w:rPr>
        <w:t> </w:t>
      </w:r>
      <w:r>
        <w:rPr>
          <w:color w:val="231F20"/>
          <w:sz w:val="20"/>
          <w:vertAlign w:val="baseline"/>
        </w:rPr>
        <w:t>nationalité</w:t>
      </w:r>
      <w:r>
        <w:rPr>
          <w:color w:val="231F20"/>
          <w:spacing w:val="-12"/>
          <w:sz w:val="20"/>
          <w:vertAlign w:val="baseline"/>
        </w:rPr>
        <w:t> </w:t>
      </w:r>
      <w:r>
        <w:rPr>
          <w:color w:val="231F20"/>
          <w:sz w:val="20"/>
          <w:vertAlign w:val="baseline"/>
        </w:rPr>
        <w:t>suédoise</w:t>
      </w:r>
      <w:r>
        <w:rPr>
          <w:color w:val="231F20"/>
          <w:spacing w:val="-13"/>
          <w:sz w:val="20"/>
          <w:vertAlign w:val="baseline"/>
        </w:rPr>
        <w:t> </w:t>
      </w:r>
      <w:r>
        <w:rPr>
          <w:color w:val="231F20"/>
          <w:sz w:val="20"/>
          <w:vertAlign w:val="baseline"/>
        </w:rPr>
        <w:t>par</w:t>
      </w:r>
      <w:r>
        <w:rPr>
          <w:color w:val="231F20"/>
          <w:spacing w:val="-12"/>
          <w:sz w:val="20"/>
          <w:vertAlign w:val="baseline"/>
        </w:rPr>
        <w:t> </w:t>
      </w:r>
      <w:r>
        <w:rPr>
          <w:color w:val="231F20"/>
          <w:sz w:val="20"/>
          <w:vertAlign w:val="baseline"/>
        </w:rPr>
        <w:t>mariage.</w:t>
      </w:r>
      <w:r>
        <w:rPr>
          <w:color w:val="231F20"/>
          <w:spacing w:val="-13"/>
          <w:sz w:val="20"/>
          <w:vertAlign w:val="baseline"/>
        </w:rPr>
        <w:t> </w:t>
      </w:r>
      <w:r>
        <w:rPr>
          <w:color w:val="231F20"/>
          <w:sz w:val="20"/>
          <w:vertAlign w:val="baseline"/>
        </w:rPr>
        <w:t>Barbara Hendricks est aussi une personnalité très engagée, puisqu'elle a été nommée en 1987 ambassadrice</w:t>
      </w:r>
      <w:r>
        <w:rPr>
          <w:color w:val="231F20"/>
          <w:spacing w:val="-13"/>
          <w:sz w:val="20"/>
          <w:vertAlign w:val="baseline"/>
        </w:rPr>
        <w:t> </w:t>
      </w:r>
      <w:r>
        <w:rPr>
          <w:color w:val="231F20"/>
          <w:sz w:val="20"/>
          <w:vertAlign w:val="baseline"/>
        </w:rPr>
        <w:t>itinérante</w:t>
      </w:r>
      <w:r>
        <w:rPr>
          <w:color w:val="231F20"/>
          <w:spacing w:val="-12"/>
          <w:sz w:val="20"/>
          <w:vertAlign w:val="baseline"/>
        </w:rPr>
        <w:t> </w:t>
      </w:r>
      <w:r>
        <w:rPr>
          <w:color w:val="231F20"/>
          <w:sz w:val="20"/>
          <w:vertAlign w:val="baseline"/>
        </w:rPr>
        <w:t>du</w:t>
      </w:r>
      <w:r>
        <w:rPr>
          <w:color w:val="231F20"/>
          <w:spacing w:val="-10"/>
          <w:sz w:val="20"/>
          <w:vertAlign w:val="baseline"/>
        </w:rPr>
        <w:t> </w:t>
      </w:r>
      <w:r>
        <w:rPr>
          <w:color w:val="231F20"/>
          <w:sz w:val="20"/>
          <w:vertAlign w:val="baseline"/>
        </w:rPr>
        <w:t>Haut</w:t>
      </w:r>
      <w:r>
        <w:rPr>
          <w:color w:val="231F20"/>
          <w:spacing w:val="-11"/>
          <w:sz w:val="20"/>
          <w:vertAlign w:val="baseline"/>
        </w:rPr>
        <w:t> </w:t>
      </w:r>
      <w:r>
        <w:rPr>
          <w:color w:val="231F20"/>
          <w:sz w:val="20"/>
          <w:vertAlign w:val="baseline"/>
        </w:rPr>
        <w:t>Commissariat</w:t>
      </w:r>
      <w:r>
        <w:rPr>
          <w:color w:val="231F20"/>
          <w:spacing w:val="-13"/>
          <w:sz w:val="20"/>
          <w:vertAlign w:val="baseline"/>
        </w:rPr>
        <w:t> </w:t>
      </w:r>
      <w:r>
        <w:rPr>
          <w:color w:val="231F20"/>
          <w:sz w:val="20"/>
          <w:vertAlign w:val="baseline"/>
        </w:rPr>
        <w:t>des</w:t>
      </w:r>
      <w:r>
        <w:rPr>
          <w:color w:val="231F20"/>
          <w:spacing w:val="-11"/>
          <w:sz w:val="20"/>
          <w:vertAlign w:val="baseline"/>
        </w:rPr>
        <w:t> </w:t>
      </w:r>
      <w:r>
        <w:rPr>
          <w:color w:val="231F20"/>
          <w:sz w:val="20"/>
          <w:vertAlign w:val="baseline"/>
        </w:rPr>
        <w:t>Nations</w:t>
      </w:r>
      <w:r>
        <w:rPr>
          <w:color w:val="231F20"/>
          <w:spacing w:val="-12"/>
          <w:sz w:val="20"/>
          <w:vertAlign w:val="baseline"/>
        </w:rPr>
        <w:t> </w:t>
      </w:r>
      <w:r>
        <w:rPr>
          <w:color w:val="231F20"/>
          <w:sz w:val="20"/>
          <w:vertAlign w:val="baseline"/>
        </w:rPr>
        <w:t>unies</w:t>
      </w:r>
      <w:r>
        <w:rPr>
          <w:color w:val="231F20"/>
          <w:spacing w:val="-11"/>
          <w:sz w:val="20"/>
          <w:vertAlign w:val="baseline"/>
        </w:rPr>
        <w:t> </w:t>
      </w:r>
      <w:r>
        <w:rPr>
          <w:color w:val="231F20"/>
          <w:sz w:val="20"/>
          <w:vertAlign w:val="baseline"/>
        </w:rPr>
        <w:t>pour</w:t>
      </w:r>
      <w:r>
        <w:rPr>
          <w:color w:val="231F20"/>
          <w:spacing w:val="-10"/>
          <w:sz w:val="20"/>
          <w:vertAlign w:val="baseline"/>
        </w:rPr>
        <w:t> </w:t>
      </w:r>
      <w:r>
        <w:rPr>
          <w:color w:val="231F20"/>
          <w:sz w:val="20"/>
          <w:vertAlign w:val="baseline"/>
        </w:rPr>
        <w:t>les</w:t>
      </w:r>
      <w:r>
        <w:rPr>
          <w:color w:val="231F20"/>
          <w:spacing w:val="-13"/>
          <w:sz w:val="20"/>
          <w:vertAlign w:val="baseline"/>
        </w:rPr>
        <w:t> </w:t>
      </w:r>
      <w:r>
        <w:rPr>
          <w:color w:val="231F20"/>
          <w:sz w:val="20"/>
          <w:vertAlign w:val="baseline"/>
        </w:rPr>
        <w:t>réfugiés.</w:t>
      </w:r>
    </w:p>
    <w:p>
      <w:pPr>
        <w:spacing w:after="0"/>
        <w:jc w:val="both"/>
        <w:rPr>
          <w:sz w:val="20"/>
        </w:rPr>
        <w:sectPr>
          <w:footerReference w:type="default" r:id="rId49"/>
          <w:pgSz w:w="8790" w:h="13610"/>
          <w:pgMar w:header="0" w:footer="802" w:top="1540" w:bottom="1000" w:left="880" w:right="880"/>
          <w:pgNumType w:start="215"/>
        </w:sectPr>
      </w:pPr>
    </w:p>
    <w:p>
      <w:pPr>
        <w:pStyle w:val="BodyText"/>
        <w:spacing w:before="4"/>
        <w:ind w:left="0"/>
        <w:jc w:val="left"/>
        <w:rPr>
          <w:sz w:val="17"/>
        </w:rPr>
      </w:pPr>
    </w:p>
    <w:p>
      <w:pPr>
        <w:spacing w:after="0"/>
        <w:jc w:val="left"/>
        <w:rPr>
          <w:sz w:val="17"/>
        </w:rPr>
        <w:sectPr>
          <w:footerReference w:type="even" r:id="rId50"/>
          <w:pgSz w:w="8790" w:h="13610"/>
          <w:pgMar w:header="0" w:footer="0" w:top="1540" w:bottom="280" w:left="880" w:right="880"/>
        </w:sectPr>
      </w:pPr>
    </w:p>
    <w:p>
      <w:pPr>
        <w:pStyle w:val="BodyText"/>
        <w:spacing w:before="57"/>
        <w:ind w:left="0"/>
        <w:jc w:val="left"/>
        <w:rPr>
          <w:sz w:val="32"/>
        </w:rPr>
      </w:pPr>
    </w:p>
    <w:p>
      <w:pPr>
        <w:spacing w:before="0"/>
        <w:ind w:left="64" w:right="125" w:firstLine="0"/>
        <w:jc w:val="center"/>
        <w:rPr>
          <w:rFonts w:ascii="Cambria"/>
          <w:b/>
          <w:sz w:val="32"/>
        </w:rPr>
      </w:pPr>
      <w:r>
        <w:rPr>
          <w:rFonts w:ascii="Cambria"/>
          <w:b/>
          <w:color w:val="231F20"/>
          <w:spacing w:val="-4"/>
          <w:sz w:val="32"/>
        </w:rPr>
        <w:t>Chapitre</w:t>
      </w:r>
      <w:r>
        <w:rPr>
          <w:rFonts w:ascii="Cambria"/>
          <w:b/>
          <w:color w:val="231F20"/>
          <w:spacing w:val="-8"/>
          <w:sz w:val="32"/>
        </w:rPr>
        <w:t> </w:t>
      </w:r>
      <w:r>
        <w:rPr>
          <w:rFonts w:ascii="Cambria"/>
          <w:b/>
          <w:color w:val="231F20"/>
          <w:spacing w:val="-10"/>
          <w:sz w:val="32"/>
        </w:rPr>
        <w:t>1</w:t>
      </w:r>
    </w:p>
    <w:p>
      <w:pPr>
        <w:pStyle w:val="Heading1"/>
        <w:spacing w:before="2"/>
        <w:ind w:left="66"/>
      </w:pPr>
      <w:r>
        <w:rPr>
          <w:color w:val="231F20"/>
        </w:rPr>
        <w:t>SE</w:t>
      </w:r>
      <w:r>
        <w:rPr>
          <w:color w:val="231F20"/>
          <w:spacing w:val="-13"/>
        </w:rPr>
        <w:t> </w:t>
      </w:r>
      <w:r>
        <w:rPr>
          <w:color w:val="231F20"/>
          <w:spacing w:val="-2"/>
        </w:rPr>
        <w:t>DÉCOLONISER</w:t>
      </w:r>
    </w:p>
    <w:p>
      <w:pPr>
        <w:pStyle w:val="BodyText"/>
        <w:ind w:left="0"/>
        <w:jc w:val="left"/>
        <w:rPr>
          <w:rFonts w:ascii="Cambria"/>
          <w:b/>
        </w:rPr>
      </w:pPr>
    </w:p>
    <w:p>
      <w:pPr>
        <w:pStyle w:val="BodyText"/>
        <w:ind w:left="0"/>
        <w:jc w:val="left"/>
        <w:rPr>
          <w:rFonts w:ascii="Cambria"/>
          <w:b/>
        </w:rPr>
      </w:pPr>
    </w:p>
    <w:p>
      <w:pPr>
        <w:pStyle w:val="BodyText"/>
        <w:spacing w:before="47"/>
        <w:ind w:left="0"/>
        <w:jc w:val="left"/>
        <w:rPr>
          <w:rFonts w:ascii="Cambria"/>
          <w:b/>
        </w:rPr>
      </w:pPr>
    </w:p>
    <w:p>
      <w:pPr>
        <w:pStyle w:val="Heading2"/>
        <w:jc w:val="both"/>
      </w:pPr>
      <w:bookmarkStart w:name="_TOC_250011" w:id="32"/>
      <w:r>
        <w:rPr>
          <w:color w:val="231F20"/>
        </w:rPr>
        <w:t>Le</w:t>
      </w:r>
      <w:r>
        <w:rPr>
          <w:color w:val="231F20"/>
          <w:spacing w:val="-9"/>
        </w:rPr>
        <w:t> </w:t>
      </w:r>
      <w:bookmarkEnd w:id="32"/>
      <w:r>
        <w:rPr>
          <w:color w:val="231F20"/>
          <w:spacing w:val="-4"/>
        </w:rPr>
        <w:t>Rêve</w:t>
      </w:r>
    </w:p>
    <w:p>
      <w:pPr>
        <w:pStyle w:val="BodyText"/>
        <w:spacing w:before="120"/>
        <w:ind w:left="0"/>
        <w:jc w:val="left"/>
        <w:rPr>
          <w:b/>
        </w:rPr>
      </w:pPr>
    </w:p>
    <w:p>
      <w:pPr>
        <w:pStyle w:val="BodyText"/>
        <w:ind w:left="395"/>
      </w:pPr>
      <w:r>
        <w:rPr>
          <w:color w:val="231F20"/>
          <w:spacing w:val="-2"/>
        </w:rPr>
        <w:t>Nous</w:t>
      </w:r>
      <w:r>
        <w:rPr>
          <w:color w:val="231F20"/>
          <w:spacing w:val="-10"/>
        </w:rPr>
        <w:t> </w:t>
      </w:r>
      <w:r>
        <w:rPr>
          <w:color w:val="231F20"/>
          <w:spacing w:val="-2"/>
        </w:rPr>
        <w:t>sommes</w:t>
      </w:r>
      <w:r>
        <w:rPr>
          <w:color w:val="231F20"/>
          <w:spacing w:val="-7"/>
        </w:rPr>
        <w:t> </w:t>
      </w:r>
      <w:r>
        <w:rPr>
          <w:color w:val="231F20"/>
          <w:spacing w:val="-2"/>
        </w:rPr>
        <w:t>en</w:t>
      </w:r>
      <w:r>
        <w:rPr>
          <w:color w:val="231F20"/>
          <w:spacing w:val="-10"/>
        </w:rPr>
        <w:t> </w:t>
      </w:r>
      <w:r>
        <w:rPr>
          <w:color w:val="231F20"/>
          <w:spacing w:val="-4"/>
        </w:rPr>
        <w:t>2050.</w:t>
      </w:r>
    </w:p>
    <w:p>
      <w:pPr>
        <w:pStyle w:val="BodyText"/>
        <w:spacing w:before="120"/>
        <w:ind w:right="110" w:firstLine="283"/>
      </w:pPr>
      <w:r>
        <w:rPr>
          <w:color w:val="231F20"/>
        </w:rPr>
        <w:t>La société dans laquelle vivent les populations des États d’Afrique noire</w:t>
      </w:r>
      <w:r>
        <w:rPr>
          <w:color w:val="231F20"/>
          <w:spacing w:val="-5"/>
        </w:rPr>
        <w:t> </w:t>
      </w:r>
      <w:r>
        <w:rPr>
          <w:color w:val="231F20"/>
        </w:rPr>
        <w:t>francophone</w:t>
      </w:r>
      <w:r>
        <w:rPr>
          <w:color w:val="231F20"/>
          <w:spacing w:val="-5"/>
        </w:rPr>
        <w:t> </w:t>
      </w:r>
      <w:r>
        <w:rPr>
          <w:color w:val="231F20"/>
        </w:rPr>
        <w:t>qui</w:t>
      </w:r>
      <w:r>
        <w:rPr>
          <w:color w:val="231F20"/>
          <w:spacing w:val="-6"/>
        </w:rPr>
        <w:t> </w:t>
      </w:r>
      <w:r>
        <w:rPr>
          <w:color w:val="231F20"/>
        </w:rPr>
        <w:t>comptaient</w:t>
      </w:r>
      <w:r>
        <w:rPr>
          <w:color w:val="231F20"/>
          <w:spacing w:val="-6"/>
        </w:rPr>
        <w:t> </w:t>
      </w:r>
      <w:r>
        <w:rPr>
          <w:color w:val="231F20"/>
        </w:rPr>
        <w:t>plus</w:t>
      </w:r>
      <w:r>
        <w:rPr>
          <w:color w:val="231F20"/>
          <w:spacing w:val="-6"/>
        </w:rPr>
        <w:t> </w:t>
      </w:r>
      <w:r>
        <w:rPr>
          <w:color w:val="231F20"/>
        </w:rPr>
        <w:t>de</w:t>
      </w:r>
      <w:r>
        <w:rPr>
          <w:color w:val="231F20"/>
          <w:spacing w:val="-6"/>
        </w:rPr>
        <w:t> </w:t>
      </w:r>
      <w:r>
        <w:rPr>
          <w:color w:val="231F20"/>
        </w:rPr>
        <w:t>60%</w:t>
      </w:r>
      <w:r>
        <w:rPr>
          <w:color w:val="231F20"/>
          <w:spacing w:val="-7"/>
        </w:rPr>
        <w:t> </w:t>
      </w:r>
      <w:r>
        <w:rPr>
          <w:color w:val="231F20"/>
        </w:rPr>
        <w:t>d’analphabètes</w:t>
      </w:r>
      <w:r>
        <w:rPr>
          <w:color w:val="231F20"/>
          <w:spacing w:val="-5"/>
        </w:rPr>
        <w:t> </w:t>
      </w:r>
      <w:r>
        <w:rPr>
          <w:color w:val="231F20"/>
        </w:rPr>
        <w:t>en</w:t>
      </w:r>
      <w:r>
        <w:rPr>
          <w:color w:val="231F20"/>
          <w:spacing w:val="-8"/>
        </w:rPr>
        <w:t> </w:t>
      </w:r>
      <w:r>
        <w:rPr>
          <w:color w:val="231F20"/>
        </w:rPr>
        <w:t>2020 est devenue une société du savoir.</w:t>
      </w:r>
    </w:p>
    <w:p>
      <w:pPr>
        <w:pStyle w:val="BodyText"/>
        <w:spacing w:before="120"/>
        <w:ind w:right="107" w:firstLine="283"/>
      </w:pPr>
      <w:r>
        <w:rPr>
          <w:color w:val="231F20"/>
          <w:spacing w:val="-4"/>
        </w:rPr>
        <w:t>Depuis</w:t>
      </w:r>
      <w:r>
        <w:rPr>
          <w:color w:val="231F20"/>
          <w:spacing w:val="-10"/>
        </w:rPr>
        <w:t> </w:t>
      </w:r>
      <w:r>
        <w:rPr>
          <w:color w:val="231F20"/>
          <w:spacing w:val="-4"/>
        </w:rPr>
        <w:t>25</w:t>
      </w:r>
      <w:r>
        <w:rPr>
          <w:color w:val="231F20"/>
          <w:spacing w:val="-7"/>
        </w:rPr>
        <w:t> </w:t>
      </w:r>
      <w:r>
        <w:rPr>
          <w:color w:val="231F20"/>
          <w:spacing w:val="-4"/>
        </w:rPr>
        <w:t>ans,</w:t>
      </w:r>
      <w:r>
        <w:rPr>
          <w:color w:val="231F20"/>
          <w:spacing w:val="-6"/>
        </w:rPr>
        <w:t> </w:t>
      </w:r>
      <w:r>
        <w:rPr>
          <w:color w:val="231F20"/>
          <w:spacing w:val="-4"/>
        </w:rPr>
        <w:t>les</w:t>
      </w:r>
      <w:r>
        <w:rPr>
          <w:color w:val="231F20"/>
          <w:spacing w:val="-10"/>
        </w:rPr>
        <w:t> </w:t>
      </w:r>
      <w:r>
        <w:rPr>
          <w:color w:val="231F20"/>
          <w:spacing w:val="-4"/>
        </w:rPr>
        <w:t>États</w:t>
      </w:r>
      <w:r>
        <w:rPr>
          <w:color w:val="231F20"/>
          <w:spacing w:val="-7"/>
        </w:rPr>
        <w:t> </w:t>
      </w:r>
      <w:r>
        <w:rPr>
          <w:color w:val="231F20"/>
          <w:spacing w:val="-4"/>
        </w:rPr>
        <w:t>ont</w:t>
      </w:r>
      <w:r>
        <w:rPr>
          <w:color w:val="231F20"/>
          <w:spacing w:val="-6"/>
        </w:rPr>
        <w:t> </w:t>
      </w:r>
      <w:r>
        <w:rPr>
          <w:color w:val="231F20"/>
          <w:spacing w:val="-4"/>
        </w:rPr>
        <w:t>pris</w:t>
      </w:r>
      <w:r>
        <w:rPr>
          <w:color w:val="231F20"/>
          <w:spacing w:val="-7"/>
        </w:rPr>
        <w:t> </w:t>
      </w:r>
      <w:r>
        <w:rPr>
          <w:color w:val="231F20"/>
          <w:spacing w:val="-4"/>
        </w:rPr>
        <w:t>leur</w:t>
      </w:r>
      <w:r>
        <w:rPr>
          <w:color w:val="231F20"/>
          <w:spacing w:val="-10"/>
        </w:rPr>
        <w:t> </w:t>
      </w:r>
      <w:r>
        <w:rPr>
          <w:color w:val="231F20"/>
          <w:spacing w:val="-4"/>
        </w:rPr>
        <w:t>destin</w:t>
      </w:r>
      <w:r>
        <w:rPr>
          <w:color w:val="231F20"/>
          <w:spacing w:val="-7"/>
        </w:rPr>
        <w:t> </w:t>
      </w:r>
      <w:r>
        <w:rPr>
          <w:color w:val="231F20"/>
          <w:spacing w:val="-4"/>
        </w:rPr>
        <w:t>en</w:t>
      </w:r>
      <w:r>
        <w:rPr>
          <w:color w:val="231F20"/>
          <w:spacing w:val="-10"/>
        </w:rPr>
        <w:t> </w:t>
      </w:r>
      <w:r>
        <w:rPr>
          <w:color w:val="231F20"/>
          <w:spacing w:val="-4"/>
        </w:rPr>
        <w:t>main.</w:t>
      </w:r>
      <w:r>
        <w:rPr>
          <w:color w:val="231F20"/>
          <w:spacing w:val="-10"/>
        </w:rPr>
        <w:t> </w:t>
      </w:r>
      <w:r>
        <w:rPr>
          <w:color w:val="231F20"/>
          <w:spacing w:val="-4"/>
        </w:rPr>
        <w:t>Ils</w:t>
      </w:r>
      <w:r>
        <w:rPr>
          <w:color w:val="231F20"/>
          <w:spacing w:val="-7"/>
        </w:rPr>
        <w:t> </w:t>
      </w:r>
      <w:r>
        <w:rPr>
          <w:color w:val="231F20"/>
          <w:spacing w:val="-4"/>
        </w:rPr>
        <w:t>avaient</w:t>
      </w:r>
      <w:r>
        <w:rPr>
          <w:color w:val="231F20"/>
          <w:spacing w:val="-6"/>
        </w:rPr>
        <w:t> </w:t>
      </w:r>
      <w:r>
        <w:rPr>
          <w:color w:val="231F20"/>
          <w:spacing w:val="-4"/>
        </w:rPr>
        <w:t>tiré</w:t>
      </w:r>
      <w:r>
        <w:rPr>
          <w:color w:val="231F20"/>
          <w:spacing w:val="-7"/>
        </w:rPr>
        <w:t> </w:t>
      </w:r>
      <w:r>
        <w:rPr>
          <w:color w:val="231F20"/>
          <w:spacing w:val="-4"/>
        </w:rPr>
        <w:t>dès </w:t>
      </w:r>
      <w:r>
        <w:rPr>
          <w:color w:val="231F20"/>
        </w:rPr>
        <w:t>2025, les leçons de plus de 60 années d’instabilité sociopolitique, de braderie de leurs économies, de lutte pour le pouvoir, de clientélisme politique, de politique de la main tendue.</w:t>
      </w:r>
    </w:p>
    <w:p>
      <w:pPr>
        <w:pStyle w:val="BodyText"/>
        <w:spacing w:before="120"/>
        <w:ind w:left="395"/>
      </w:pPr>
      <w:r>
        <w:rPr>
          <w:color w:val="231F20"/>
          <w:spacing w:val="-2"/>
        </w:rPr>
        <w:t>Face</w:t>
      </w:r>
      <w:r>
        <w:rPr>
          <w:color w:val="231F20"/>
          <w:spacing w:val="-12"/>
        </w:rPr>
        <w:t> </w:t>
      </w:r>
      <w:r>
        <w:rPr>
          <w:color w:val="231F20"/>
          <w:spacing w:val="-2"/>
        </w:rPr>
        <w:t>aux</w:t>
      </w:r>
      <w:r>
        <w:rPr>
          <w:color w:val="231F20"/>
          <w:spacing w:val="-12"/>
        </w:rPr>
        <w:t> </w:t>
      </w:r>
      <w:r>
        <w:rPr>
          <w:color w:val="231F20"/>
          <w:spacing w:val="-2"/>
        </w:rPr>
        <w:t>revendications</w:t>
      </w:r>
      <w:r>
        <w:rPr>
          <w:color w:val="231F20"/>
          <w:spacing w:val="-10"/>
        </w:rPr>
        <w:t> </w:t>
      </w:r>
      <w:r>
        <w:rPr>
          <w:color w:val="231F20"/>
          <w:spacing w:val="-2"/>
        </w:rPr>
        <w:t>de</w:t>
      </w:r>
      <w:r>
        <w:rPr>
          <w:color w:val="231F20"/>
          <w:spacing w:val="-12"/>
        </w:rPr>
        <w:t> </w:t>
      </w:r>
      <w:r>
        <w:rPr>
          <w:color w:val="231F20"/>
          <w:spacing w:val="-2"/>
        </w:rPr>
        <w:t>l’ensemble</w:t>
      </w:r>
      <w:r>
        <w:rPr>
          <w:color w:val="231F20"/>
          <w:spacing w:val="-13"/>
        </w:rPr>
        <w:t> </w:t>
      </w:r>
      <w:r>
        <w:rPr>
          <w:color w:val="231F20"/>
          <w:spacing w:val="-2"/>
        </w:rPr>
        <w:t>des</w:t>
      </w:r>
      <w:r>
        <w:rPr>
          <w:color w:val="231F20"/>
          <w:spacing w:val="-11"/>
        </w:rPr>
        <w:t> </w:t>
      </w:r>
      <w:r>
        <w:rPr>
          <w:color w:val="231F20"/>
          <w:spacing w:val="-2"/>
        </w:rPr>
        <w:t>pays</w:t>
      </w:r>
      <w:r>
        <w:rPr>
          <w:color w:val="231F20"/>
          <w:spacing w:val="-11"/>
        </w:rPr>
        <w:t> </w:t>
      </w:r>
      <w:r>
        <w:rPr>
          <w:color w:val="231F20"/>
          <w:spacing w:val="-2"/>
        </w:rPr>
        <w:t>noirs</w:t>
      </w:r>
      <w:r>
        <w:rPr>
          <w:color w:val="231F20"/>
          <w:spacing w:val="-11"/>
        </w:rPr>
        <w:t> </w:t>
      </w:r>
      <w:r>
        <w:rPr>
          <w:color w:val="231F20"/>
          <w:spacing w:val="-2"/>
        </w:rPr>
        <w:t>francophones</w:t>
      </w:r>
      <w:r>
        <w:rPr>
          <w:color w:val="231F20"/>
          <w:spacing w:val="-12"/>
        </w:rPr>
        <w:t> </w:t>
      </w:r>
      <w:r>
        <w:rPr>
          <w:color w:val="231F20"/>
          <w:spacing w:val="-5"/>
        </w:rPr>
        <w:t>et</w:t>
      </w:r>
    </w:p>
    <w:p>
      <w:pPr>
        <w:pStyle w:val="BodyText"/>
      </w:pPr>
      <w:r>
        <w:rPr>
          <w:color w:val="231F20"/>
        </w:rPr>
        <w:t>aux</w:t>
      </w:r>
      <w:r>
        <w:rPr>
          <w:color w:val="231F20"/>
          <w:spacing w:val="17"/>
        </w:rPr>
        <w:t> </w:t>
      </w:r>
      <w:r>
        <w:rPr>
          <w:color w:val="231F20"/>
        </w:rPr>
        <w:t>nombreuses</w:t>
      </w:r>
      <w:r>
        <w:rPr>
          <w:color w:val="231F20"/>
          <w:spacing w:val="17"/>
        </w:rPr>
        <w:t> </w:t>
      </w:r>
      <w:r>
        <w:rPr>
          <w:color w:val="231F20"/>
        </w:rPr>
        <w:t>critiques</w:t>
      </w:r>
      <w:r>
        <w:rPr>
          <w:color w:val="231F20"/>
          <w:spacing w:val="17"/>
        </w:rPr>
        <w:t> </w:t>
      </w:r>
      <w:r>
        <w:rPr>
          <w:color w:val="231F20"/>
        </w:rPr>
        <w:t>de</w:t>
      </w:r>
      <w:r>
        <w:rPr>
          <w:color w:val="231F20"/>
          <w:spacing w:val="19"/>
        </w:rPr>
        <w:t> </w:t>
      </w:r>
      <w:r>
        <w:rPr>
          <w:color w:val="231F20"/>
        </w:rPr>
        <w:t>la</w:t>
      </w:r>
      <w:r>
        <w:rPr>
          <w:color w:val="231F20"/>
          <w:spacing w:val="18"/>
        </w:rPr>
        <w:t> </w:t>
      </w:r>
      <w:r>
        <w:rPr>
          <w:color w:val="231F20"/>
        </w:rPr>
        <w:t>Russie</w:t>
      </w:r>
      <w:r>
        <w:rPr>
          <w:color w:val="231F20"/>
          <w:spacing w:val="19"/>
        </w:rPr>
        <w:t> </w:t>
      </w:r>
      <w:r>
        <w:rPr>
          <w:color w:val="231F20"/>
        </w:rPr>
        <w:t>et</w:t>
      </w:r>
      <w:r>
        <w:rPr>
          <w:color w:val="231F20"/>
          <w:spacing w:val="19"/>
        </w:rPr>
        <w:t> </w:t>
      </w:r>
      <w:r>
        <w:rPr>
          <w:color w:val="231F20"/>
        </w:rPr>
        <w:t>de</w:t>
      </w:r>
      <w:r>
        <w:rPr>
          <w:color w:val="231F20"/>
          <w:spacing w:val="17"/>
        </w:rPr>
        <w:t> </w:t>
      </w:r>
      <w:r>
        <w:rPr>
          <w:color w:val="231F20"/>
        </w:rPr>
        <w:t>la</w:t>
      </w:r>
      <w:r>
        <w:rPr>
          <w:color w:val="231F20"/>
          <w:spacing w:val="19"/>
        </w:rPr>
        <w:t> </w:t>
      </w:r>
      <w:r>
        <w:rPr>
          <w:color w:val="231F20"/>
        </w:rPr>
        <w:t>Chine,</w:t>
      </w:r>
      <w:r>
        <w:rPr>
          <w:color w:val="231F20"/>
          <w:spacing w:val="17"/>
        </w:rPr>
        <w:t> </w:t>
      </w:r>
      <w:r>
        <w:rPr>
          <w:color w:val="231F20"/>
        </w:rPr>
        <w:t>la</w:t>
      </w:r>
      <w:r>
        <w:rPr>
          <w:color w:val="231F20"/>
          <w:spacing w:val="19"/>
        </w:rPr>
        <w:t> </w:t>
      </w:r>
      <w:r>
        <w:rPr>
          <w:color w:val="231F20"/>
        </w:rPr>
        <w:t>France</w:t>
      </w:r>
      <w:r>
        <w:rPr>
          <w:color w:val="231F20"/>
          <w:spacing w:val="20"/>
        </w:rPr>
        <w:t> </w:t>
      </w:r>
      <w:r>
        <w:rPr>
          <w:color w:val="231F20"/>
          <w:spacing w:val="-2"/>
        </w:rPr>
        <w:t>avait</w:t>
      </w:r>
    </w:p>
    <w:p>
      <w:pPr>
        <w:pStyle w:val="BodyText"/>
        <w:ind w:right="106"/>
      </w:pPr>
      <w:r>
        <w:rPr>
          <w:color w:val="231F20"/>
          <w:spacing w:val="-2"/>
        </w:rPr>
        <w:t>«</w:t>
      </w:r>
      <w:r>
        <w:rPr>
          <w:color w:val="231F20"/>
          <w:spacing w:val="-15"/>
        </w:rPr>
        <w:t> </w:t>
      </w:r>
      <w:r>
        <w:rPr>
          <w:color w:val="231F20"/>
          <w:spacing w:val="-2"/>
        </w:rPr>
        <w:t>déchiré</w:t>
      </w:r>
      <w:r>
        <w:rPr>
          <w:color w:val="231F20"/>
          <w:spacing w:val="-13"/>
        </w:rPr>
        <w:t> </w:t>
      </w:r>
      <w:r>
        <w:rPr>
          <w:color w:val="231F20"/>
          <w:spacing w:val="-2"/>
        </w:rPr>
        <w:t>»</w:t>
      </w:r>
      <w:r>
        <w:rPr>
          <w:color w:val="231F20"/>
          <w:spacing w:val="-13"/>
        </w:rPr>
        <w:t> </w:t>
      </w:r>
      <w:r>
        <w:rPr>
          <w:color w:val="231F20"/>
          <w:spacing w:val="-2"/>
        </w:rPr>
        <w:t>les</w:t>
      </w:r>
      <w:r>
        <w:rPr>
          <w:color w:val="231F20"/>
          <w:spacing w:val="-13"/>
        </w:rPr>
        <w:t> </w:t>
      </w:r>
      <w:r>
        <w:rPr>
          <w:color w:val="231F20"/>
          <w:spacing w:val="-2"/>
        </w:rPr>
        <w:t>fameux</w:t>
      </w:r>
      <w:r>
        <w:rPr>
          <w:color w:val="231F20"/>
          <w:spacing w:val="-13"/>
        </w:rPr>
        <w:t> </w:t>
      </w:r>
      <w:r>
        <w:rPr>
          <w:color w:val="231F20"/>
          <w:spacing w:val="-2"/>
        </w:rPr>
        <w:t>accords</w:t>
      </w:r>
      <w:r>
        <w:rPr>
          <w:color w:val="231F20"/>
          <w:spacing w:val="-13"/>
        </w:rPr>
        <w:t> </w:t>
      </w:r>
      <w:r>
        <w:rPr>
          <w:color w:val="231F20"/>
          <w:spacing w:val="-2"/>
        </w:rPr>
        <w:t>de</w:t>
      </w:r>
      <w:r>
        <w:rPr>
          <w:color w:val="231F20"/>
          <w:spacing w:val="-13"/>
        </w:rPr>
        <w:t> </w:t>
      </w:r>
      <w:r>
        <w:rPr>
          <w:color w:val="231F20"/>
          <w:spacing w:val="-2"/>
        </w:rPr>
        <w:t>dépendance</w:t>
      </w:r>
      <w:r>
        <w:rPr>
          <w:color w:val="231F20"/>
          <w:spacing w:val="-13"/>
        </w:rPr>
        <w:t> </w:t>
      </w:r>
      <w:r>
        <w:rPr>
          <w:color w:val="231F20"/>
          <w:spacing w:val="-2"/>
        </w:rPr>
        <w:t>signés</w:t>
      </w:r>
      <w:r>
        <w:rPr>
          <w:color w:val="231F20"/>
          <w:spacing w:val="-13"/>
        </w:rPr>
        <w:t> </w:t>
      </w:r>
      <w:r>
        <w:rPr>
          <w:color w:val="231F20"/>
          <w:spacing w:val="-2"/>
        </w:rPr>
        <w:t>en</w:t>
      </w:r>
      <w:r>
        <w:rPr>
          <w:color w:val="231F20"/>
          <w:spacing w:val="-13"/>
        </w:rPr>
        <w:t> </w:t>
      </w:r>
      <w:r>
        <w:rPr>
          <w:color w:val="231F20"/>
          <w:spacing w:val="-2"/>
        </w:rPr>
        <w:t>1960</w:t>
      </w:r>
      <w:r>
        <w:rPr>
          <w:color w:val="231F20"/>
          <w:spacing w:val="-13"/>
        </w:rPr>
        <w:t> </w:t>
      </w:r>
      <w:r>
        <w:rPr>
          <w:color w:val="231F20"/>
          <w:spacing w:val="-2"/>
        </w:rPr>
        <w:t>au</w:t>
      </w:r>
      <w:r>
        <w:rPr>
          <w:color w:val="231F20"/>
          <w:spacing w:val="-13"/>
        </w:rPr>
        <w:t> </w:t>
      </w:r>
      <w:r>
        <w:rPr>
          <w:color w:val="231F20"/>
          <w:spacing w:val="-2"/>
        </w:rPr>
        <w:t>moment </w:t>
      </w:r>
      <w:r>
        <w:rPr>
          <w:color w:val="231F20"/>
        </w:rPr>
        <w:t>des</w:t>
      </w:r>
      <w:r>
        <w:rPr>
          <w:color w:val="231F20"/>
          <w:spacing w:val="-11"/>
        </w:rPr>
        <w:t> </w:t>
      </w:r>
      <w:r>
        <w:rPr>
          <w:color w:val="231F20"/>
        </w:rPr>
        <w:t>indépendances</w:t>
      </w:r>
      <w:r>
        <w:rPr>
          <w:color w:val="231F20"/>
          <w:spacing w:val="-11"/>
        </w:rPr>
        <w:t> </w:t>
      </w:r>
      <w:r>
        <w:rPr>
          <w:color w:val="231F20"/>
        </w:rPr>
        <w:t>des</w:t>
      </w:r>
      <w:r>
        <w:rPr>
          <w:color w:val="231F20"/>
          <w:spacing w:val="-10"/>
        </w:rPr>
        <w:t> </w:t>
      </w:r>
      <w:r>
        <w:rPr>
          <w:color w:val="231F20"/>
        </w:rPr>
        <w:t>États</w:t>
      </w:r>
      <w:r>
        <w:rPr>
          <w:color w:val="231F20"/>
          <w:spacing w:val="-11"/>
        </w:rPr>
        <w:t> </w:t>
      </w:r>
      <w:r>
        <w:rPr>
          <w:color w:val="231F20"/>
        </w:rPr>
        <w:t>dont</w:t>
      </w:r>
      <w:r>
        <w:rPr>
          <w:color w:val="231F20"/>
          <w:spacing w:val="-11"/>
        </w:rPr>
        <w:t> </w:t>
      </w:r>
      <w:r>
        <w:rPr>
          <w:color w:val="231F20"/>
        </w:rPr>
        <w:t>elle</w:t>
      </w:r>
      <w:r>
        <w:rPr>
          <w:color w:val="231F20"/>
          <w:spacing w:val="-11"/>
        </w:rPr>
        <w:t> </w:t>
      </w:r>
      <w:r>
        <w:rPr>
          <w:color w:val="231F20"/>
        </w:rPr>
        <w:t>avait</w:t>
      </w:r>
      <w:r>
        <w:rPr>
          <w:color w:val="231F20"/>
          <w:spacing w:val="-11"/>
        </w:rPr>
        <w:t> </w:t>
      </w:r>
      <w:r>
        <w:rPr>
          <w:color w:val="231F20"/>
        </w:rPr>
        <w:t>été</w:t>
      </w:r>
      <w:r>
        <w:rPr>
          <w:color w:val="231F20"/>
          <w:spacing w:val="-14"/>
        </w:rPr>
        <w:t> </w:t>
      </w:r>
      <w:r>
        <w:rPr>
          <w:color w:val="231F20"/>
        </w:rPr>
        <w:t>le</w:t>
      </w:r>
      <w:r>
        <w:rPr>
          <w:color w:val="231F20"/>
          <w:spacing w:val="-11"/>
        </w:rPr>
        <w:t> </w:t>
      </w:r>
      <w:r>
        <w:rPr>
          <w:color w:val="231F20"/>
        </w:rPr>
        <w:t>colonisateur</w:t>
      </w:r>
      <w:r>
        <w:rPr>
          <w:color w:val="231F20"/>
          <w:spacing w:val="-14"/>
        </w:rPr>
        <w:t> </w:t>
      </w:r>
      <w:r>
        <w:rPr>
          <w:color w:val="231F20"/>
        </w:rPr>
        <w:t>près</w:t>
      </w:r>
      <w:r>
        <w:rPr>
          <w:color w:val="231F20"/>
          <w:spacing w:val="-13"/>
        </w:rPr>
        <w:t> </w:t>
      </w:r>
      <w:r>
        <w:rPr>
          <w:color w:val="231F20"/>
        </w:rPr>
        <w:t>d’un </w:t>
      </w:r>
      <w:r>
        <w:rPr>
          <w:color w:val="231F20"/>
          <w:spacing w:val="-2"/>
        </w:rPr>
        <w:t>siècle</w:t>
      </w:r>
      <w:r>
        <w:rPr>
          <w:color w:val="231F20"/>
          <w:spacing w:val="-6"/>
        </w:rPr>
        <w:t> </w:t>
      </w:r>
      <w:r>
        <w:rPr>
          <w:color w:val="231F20"/>
          <w:spacing w:val="-2"/>
        </w:rPr>
        <w:t>durant,</w:t>
      </w:r>
      <w:r>
        <w:rPr>
          <w:color w:val="231F20"/>
          <w:spacing w:val="-5"/>
        </w:rPr>
        <w:t> </w:t>
      </w:r>
      <w:r>
        <w:rPr>
          <w:color w:val="231F20"/>
          <w:spacing w:val="-2"/>
        </w:rPr>
        <w:t>puis</w:t>
      </w:r>
      <w:r>
        <w:rPr>
          <w:color w:val="231F20"/>
          <w:spacing w:val="-6"/>
        </w:rPr>
        <w:t> </w:t>
      </w:r>
      <w:r>
        <w:rPr>
          <w:color w:val="231F20"/>
          <w:spacing w:val="-2"/>
        </w:rPr>
        <w:t>le</w:t>
      </w:r>
      <w:r>
        <w:rPr>
          <w:color w:val="231F20"/>
          <w:spacing w:val="-4"/>
        </w:rPr>
        <w:t> </w:t>
      </w:r>
      <w:r>
        <w:rPr>
          <w:color w:val="231F20"/>
          <w:spacing w:val="-2"/>
        </w:rPr>
        <w:t>gestionnaire</w:t>
      </w:r>
      <w:r>
        <w:rPr>
          <w:color w:val="231F20"/>
          <w:spacing w:val="-6"/>
        </w:rPr>
        <w:t> </w:t>
      </w:r>
      <w:r>
        <w:rPr>
          <w:color w:val="231F20"/>
          <w:spacing w:val="-2"/>
        </w:rPr>
        <w:t>de</w:t>
      </w:r>
      <w:r>
        <w:rPr>
          <w:color w:val="231F20"/>
          <w:spacing w:val="-4"/>
        </w:rPr>
        <w:t> </w:t>
      </w:r>
      <w:r>
        <w:rPr>
          <w:color w:val="231F20"/>
          <w:spacing w:val="-2"/>
        </w:rPr>
        <w:t>certains</w:t>
      </w:r>
      <w:r>
        <w:rPr>
          <w:color w:val="231F20"/>
          <w:spacing w:val="-5"/>
        </w:rPr>
        <w:t> </w:t>
      </w:r>
      <w:r>
        <w:rPr>
          <w:color w:val="231F20"/>
          <w:spacing w:val="-2"/>
        </w:rPr>
        <w:t>domaines</w:t>
      </w:r>
      <w:r>
        <w:rPr>
          <w:color w:val="231F20"/>
          <w:spacing w:val="-4"/>
        </w:rPr>
        <w:t> </w:t>
      </w:r>
      <w:r>
        <w:rPr>
          <w:color w:val="231F20"/>
          <w:spacing w:val="-2"/>
        </w:rPr>
        <w:t>stratégiques</w:t>
      </w:r>
      <w:r>
        <w:rPr>
          <w:color w:val="231F20"/>
          <w:spacing w:val="-5"/>
        </w:rPr>
        <w:t> </w:t>
      </w:r>
      <w:r>
        <w:rPr>
          <w:color w:val="231F20"/>
          <w:spacing w:val="-2"/>
        </w:rPr>
        <w:t>plus </w:t>
      </w:r>
      <w:r>
        <w:rPr>
          <w:color w:val="231F20"/>
        </w:rPr>
        <w:t>de quatre-vingts ans après.</w:t>
      </w:r>
    </w:p>
    <w:p>
      <w:pPr>
        <w:pStyle w:val="BodyText"/>
        <w:spacing w:before="121"/>
        <w:ind w:right="105" w:firstLine="283"/>
      </w:pPr>
      <w:r>
        <w:rPr>
          <w:color w:val="231F20"/>
          <w:spacing w:val="-4"/>
        </w:rPr>
        <w:t>Et</w:t>
      </w:r>
      <w:r>
        <w:rPr>
          <w:color w:val="231F20"/>
          <w:spacing w:val="-8"/>
        </w:rPr>
        <w:t> </w:t>
      </w:r>
      <w:r>
        <w:rPr>
          <w:color w:val="231F20"/>
          <w:spacing w:val="-4"/>
        </w:rPr>
        <w:t>depuis,</w:t>
      </w:r>
      <w:r>
        <w:rPr>
          <w:color w:val="231F20"/>
          <w:spacing w:val="-9"/>
        </w:rPr>
        <w:t> </w:t>
      </w:r>
      <w:r>
        <w:rPr>
          <w:color w:val="231F20"/>
          <w:spacing w:val="-4"/>
        </w:rPr>
        <w:t>les</w:t>
      </w:r>
      <w:r>
        <w:rPr>
          <w:color w:val="231F20"/>
          <w:spacing w:val="-9"/>
        </w:rPr>
        <w:t> </w:t>
      </w:r>
      <w:r>
        <w:rPr>
          <w:color w:val="231F20"/>
          <w:spacing w:val="-4"/>
        </w:rPr>
        <w:t>dirigeants</w:t>
      </w:r>
      <w:r>
        <w:rPr>
          <w:color w:val="231F20"/>
          <w:spacing w:val="-9"/>
        </w:rPr>
        <w:t> </w:t>
      </w:r>
      <w:r>
        <w:rPr>
          <w:color w:val="231F20"/>
          <w:spacing w:val="-4"/>
        </w:rPr>
        <w:t>de</w:t>
      </w:r>
      <w:r>
        <w:rPr>
          <w:color w:val="231F20"/>
          <w:spacing w:val="-10"/>
        </w:rPr>
        <w:t> </w:t>
      </w:r>
      <w:r>
        <w:rPr>
          <w:color w:val="231F20"/>
          <w:spacing w:val="-4"/>
        </w:rPr>
        <w:t>ces</w:t>
      </w:r>
      <w:r>
        <w:rPr>
          <w:color w:val="231F20"/>
          <w:spacing w:val="-9"/>
        </w:rPr>
        <w:t> </w:t>
      </w:r>
      <w:r>
        <w:rPr>
          <w:color w:val="231F20"/>
          <w:spacing w:val="-4"/>
        </w:rPr>
        <w:t>États</w:t>
      </w:r>
      <w:r>
        <w:rPr>
          <w:color w:val="231F20"/>
          <w:spacing w:val="-9"/>
        </w:rPr>
        <w:t> </w:t>
      </w:r>
      <w:r>
        <w:rPr>
          <w:color w:val="231F20"/>
          <w:spacing w:val="-4"/>
        </w:rPr>
        <w:t>ne</w:t>
      </w:r>
      <w:r>
        <w:rPr>
          <w:color w:val="231F20"/>
          <w:spacing w:val="-10"/>
        </w:rPr>
        <w:t> </w:t>
      </w:r>
      <w:r>
        <w:rPr>
          <w:color w:val="231F20"/>
          <w:spacing w:val="-4"/>
        </w:rPr>
        <w:t>font</w:t>
      </w:r>
      <w:r>
        <w:rPr>
          <w:color w:val="231F20"/>
          <w:spacing w:val="-8"/>
        </w:rPr>
        <w:t> </w:t>
      </w:r>
      <w:r>
        <w:rPr>
          <w:color w:val="231F20"/>
          <w:spacing w:val="-4"/>
        </w:rPr>
        <w:t>plus</w:t>
      </w:r>
      <w:r>
        <w:rPr>
          <w:color w:val="231F20"/>
          <w:spacing w:val="-11"/>
        </w:rPr>
        <w:t> </w:t>
      </w:r>
      <w:r>
        <w:rPr>
          <w:color w:val="231F20"/>
          <w:spacing w:val="-4"/>
        </w:rPr>
        <w:t>le</w:t>
      </w:r>
      <w:r>
        <w:rPr>
          <w:color w:val="231F20"/>
          <w:spacing w:val="-10"/>
        </w:rPr>
        <w:t> </w:t>
      </w:r>
      <w:r>
        <w:rPr>
          <w:color w:val="231F20"/>
          <w:spacing w:val="-4"/>
        </w:rPr>
        <w:t>pied</w:t>
      </w:r>
      <w:r>
        <w:rPr>
          <w:color w:val="231F20"/>
          <w:spacing w:val="-9"/>
        </w:rPr>
        <w:t> </w:t>
      </w:r>
      <w:r>
        <w:rPr>
          <w:color w:val="231F20"/>
          <w:spacing w:val="-4"/>
        </w:rPr>
        <w:t>de</w:t>
      </w:r>
      <w:r>
        <w:rPr>
          <w:color w:val="231F20"/>
          <w:spacing w:val="-11"/>
        </w:rPr>
        <w:t> </w:t>
      </w:r>
      <w:r>
        <w:rPr>
          <w:color w:val="231F20"/>
          <w:spacing w:val="-4"/>
        </w:rPr>
        <w:t>grue</w:t>
      </w:r>
      <w:r>
        <w:rPr>
          <w:color w:val="231F20"/>
          <w:spacing w:val="-9"/>
        </w:rPr>
        <w:t> </w:t>
      </w:r>
      <w:r>
        <w:rPr>
          <w:color w:val="231F20"/>
          <w:spacing w:val="-4"/>
        </w:rPr>
        <w:t>devant </w:t>
      </w:r>
      <w:r>
        <w:rPr>
          <w:color w:val="231F20"/>
        </w:rPr>
        <w:t>l’Elysée pour obtenir un blanc-seing de l’ex-puissance coloniale. Les bases militaires françaises dans les anciennes colonies sont un lointain </w:t>
      </w:r>
      <w:r>
        <w:rPr>
          <w:color w:val="231F20"/>
          <w:spacing w:val="-2"/>
        </w:rPr>
        <w:t>souvenir.</w:t>
      </w:r>
    </w:p>
    <w:p>
      <w:pPr>
        <w:pStyle w:val="BodyText"/>
        <w:spacing w:before="120"/>
        <w:ind w:right="105" w:firstLine="283"/>
      </w:pPr>
      <w:r>
        <w:rPr>
          <w:color w:val="231F20"/>
          <w:spacing w:val="-2"/>
        </w:rPr>
        <w:t>La</w:t>
      </w:r>
      <w:r>
        <w:rPr>
          <w:color w:val="231F20"/>
          <w:spacing w:val="-15"/>
        </w:rPr>
        <w:t> </w:t>
      </w:r>
      <w:r>
        <w:rPr>
          <w:color w:val="231F20"/>
          <w:spacing w:val="-2"/>
        </w:rPr>
        <w:t>classe</w:t>
      </w:r>
      <w:r>
        <w:rPr>
          <w:color w:val="231F20"/>
          <w:spacing w:val="-13"/>
        </w:rPr>
        <w:t> </w:t>
      </w:r>
      <w:r>
        <w:rPr>
          <w:color w:val="231F20"/>
          <w:spacing w:val="-2"/>
        </w:rPr>
        <w:t>politique</w:t>
      </w:r>
      <w:r>
        <w:rPr>
          <w:color w:val="231F20"/>
          <w:spacing w:val="-13"/>
        </w:rPr>
        <w:t> </w:t>
      </w:r>
      <w:r>
        <w:rPr>
          <w:color w:val="231F20"/>
          <w:spacing w:val="-2"/>
        </w:rPr>
        <w:t>s’est</w:t>
      </w:r>
      <w:r>
        <w:rPr>
          <w:color w:val="231F20"/>
          <w:spacing w:val="-13"/>
        </w:rPr>
        <w:t> </w:t>
      </w:r>
      <w:r>
        <w:rPr>
          <w:color w:val="231F20"/>
          <w:spacing w:val="-2"/>
        </w:rPr>
        <w:t>considérablement</w:t>
      </w:r>
      <w:r>
        <w:rPr>
          <w:color w:val="231F20"/>
          <w:spacing w:val="-13"/>
        </w:rPr>
        <w:t> </w:t>
      </w:r>
      <w:r>
        <w:rPr>
          <w:color w:val="231F20"/>
          <w:spacing w:val="-2"/>
        </w:rPr>
        <w:t>renouvelée</w:t>
      </w:r>
      <w:r>
        <w:rPr>
          <w:color w:val="231F20"/>
          <w:spacing w:val="-13"/>
        </w:rPr>
        <w:t> </w:t>
      </w:r>
      <w:r>
        <w:rPr>
          <w:color w:val="231F20"/>
          <w:spacing w:val="-2"/>
        </w:rPr>
        <w:t>dans</w:t>
      </w:r>
      <w:r>
        <w:rPr>
          <w:color w:val="231F20"/>
          <w:spacing w:val="-13"/>
        </w:rPr>
        <w:t> </w:t>
      </w:r>
      <w:r>
        <w:rPr>
          <w:color w:val="231F20"/>
          <w:spacing w:val="-2"/>
        </w:rPr>
        <w:t>la</w:t>
      </w:r>
      <w:r>
        <w:rPr>
          <w:color w:val="231F20"/>
          <w:spacing w:val="-13"/>
        </w:rPr>
        <w:t> </w:t>
      </w:r>
      <w:r>
        <w:rPr>
          <w:color w:val="231F20"/>
          <w:spacing w:val="-2"/>
        </w:rPr>
        <w:t>pensée</w:t>
      </w:r>
      <w:r>
        <w:rPr>
          <w:color w:val="231F20"/>
          <w:spacing w:val="-13"/>
        </w:rPr>
        <w:t> </w:t>
      </w:r>
      <w:r>
        <w:rPr>
          <w:color w:val="231F20"/>
          <w:spacing w:val="-2"/>
        </w:rPr>
        <w:t>: </w:t>
      </w:r>
      <w:r>
        <w:rPr>
          <w:color w:val="231F20"/>
        </w:rPr>
        <w:t>les dirigeants ont pris conscience de leur rôle de gestionnaires dans la construction des États. La démocratie, compatible avec des sociétés multicommunautaires comme les leurs, leur a donné les outils </w:t>
      </w:r>
      <w:r>
        <w:rPr>
          <w:color w:val="231F20"/>
          <w:spacing w:val="-4"/>
        </w:rPr>
        <w:t>d’émancipation</w:t>
      </w:r>
      <w:r>
        <w:rPr>
          <w:color w:val="231F20"/>
          <w:spacing w:val="-9"/>
        </w:rPr>
        <w:t> </w:t>
      </w:r>
      <w:r>
        <w:rPr>
          <w:color w:val="231F20"/>
          <w:spacing w:val="-4"/>
        </w:rPr>
        <w:t>et</w:t>
      </w:r>
      <w:r>
        <w:rPr>
          <w:color w:val="231F20"/>
          <w:spacing w:val="-8"/>
        </w:rPr>
        <w:t> </w:t>
      </w:r>
      <w:r>
        <w:rPr>
          <w:color w:val="231F20"/>
          <w:spacing w:val="-4"/>
        </w:rPr>
        <w:t>de</w:t>
      </w:r>
      <w:r>
        <w:rPr>
          <w:color w:val="231F20"/>
          <w:spacing w:val="-9"/>
        </w:rPr>
        <w:t> </w:t>
      </w:r>
      <w:r>
        <w:rPr>
          <w:color w:val="231F20"/>
          <w:spacing w:val="-4"/>
        </w:rPr>
        <w:t>gestion</w:t>
      </w:r>
      <w:r>
        <w:rPr>
          <w:color w:val="231F20"/>
          <w:spacing w:val="-9"/>
        </w:rPr>
        <w:t> </w:t>
      </w:r>
      <w:r>
        <w:rPr>
          <w:color w:val="231F20"/>
          <w:spacing w:val="-4"/>
        </w:rPr>
        <w:t>de</w:t>
      </w:r>
      <w:r>
        <w:rPr>
          <w:color w:val="231F20"/>
          <w:spacing w:val="-9"/>
        </w:rPr>
        <w:t> </w:t>
      </w:r>
      <w:r>
        <w:rPr>
          <w:color w:val="231F20"/>
          <w:spacing w:val="-4"/>
        </w:rPr>
        <w:t>la</w:t>
      </w:r>
      <w:r>
        <w:rPr>
          <w:color w:val="231F20"/>
          <w:spacing w:val="-9"/>
        </w:rPr>
        <w:t> </w:t>
      </w:r>
      <w:r>
        <w:rPr>
          <w:color w:val="231F20"/>
          <w:spacing w:val="-4"/>
        </w:rPr>
        <w:t>diversité.</w:t>
      </w:r>
      <w:r>
        <w:rPr>
          <w:color w:val="231F20"/>
        </w:rPr>
        <w:t> </w:t>
      </w:r>
      <w:r>
        <w:rPr>
          <w:color w:val="231F20"/>
          <w:spacing w:val="-4"/>
        </w:rPr>
        <w:t>C’est</w:t>
      </w:r>
      <w:r>
        <w:rPr>
          <w:color w:val="231F20"/>
          <w:spacing w:val="-9"/>
        </w:rPr>
        <w:t> </w:t>
      </w:r>
      <w:r>
        <w:rPr>
          <w:color w:val="231F20"/>
          <w:spacing w:val="-4"/>
        </w:rPr>
        <w:t>une</w:t>
      </w:r>
      <w:r>
        <w:rPr>
          <w:color w:val="231F20"/>
          <w:spacing w:val="-10"/>
        </w:rPr>
        <w:t> </w:t>
      </w:r>
      <w:r>
        <w:rPr>
          <w:color w:val="231F20"/>
          <w:spacing w:val="-4"/>
        </w:rPr>
        <w:t>classe</w:t>
      </w:r>
      <w:r>
        <w:rPr>
          <w:color w:val="231F20"/>
          <w:spacing w:val="-9"/>
        </w:rPr>
        <w:t> </w:t>
      </w:r>
      <w:r>
        <w:rPr>
          <w:color w:val="231F20"/>
          <w:spacing w:val="-4"/>
        </w:rPr>
        <w:t>politique</w:t>
      </w:r>
      <w:r>
        <w:rPr>
          <w:color w:val="231F20"/>
          <w:spacing w:val="-9"/>
        </w:rPr>
        <w:t> </w:t>
      </w:r>
      <w:r>
        <w:rPr>
          <w:color w:val="231F20"/>
          <w:spacing w:val="-4"/>
        </w:rPr>
        <w:t>qui place</w:t>
      </w:r>
      <w:r>
        <w:rPr>
          <w:color w:val="231F20"/>
          <w:spacing w:val="-11"/>
        </w:rPr>
        <w:t> </w:t>
      </w:r>
      <w:r>
        <w:rPr>
          <w:color w:val="231F20"/>
          <w:spacing w:val="-4"/>
        </w:rPr>
        <w:t>l’intérêt</w:t>
      </w:r>
      <w:r>
        <w:rPr>
          <w:color w:val="231F20"/>
          <w:spacing w:val="-9"/>
        </w:rPr>
        <w:t> </w:t>
      </w:r>
      <w:r>
        <w:rPr>
          <w:color w:val="231F20"/>
          <w:spacing w:val="-4"/>
        </w:rPr>
        <w:t>générale</w:t>
      </w:r>
      <w:r>
        <w:rPr>
          <w:color w:val="231F20"/>
          <w:spacing w:val="-11"/>
        </w:rPr>
        <w:t> </w:t>
      </w:r>
      <w:r>
        <w:rPr>
          <w:color w:val="231F20"/>
          <w:spacing w:val="-4"/>
        </w:rPr>
        <w:t>au</w:t>
      </w:r>
      <w:r>
        <w:rPr>
          <w:color w:val="231F20"/>
          <w:spacing w:val="-11"/>
        </w:rPr>
        <w:t> </w:t>
      </w:r>
      <w:r>
        <w:rPr>
          <w:color w:val="231F20"/>
          <w:spacing w:val="-4"/>
        </w:rPr>
        <w:t>centre</w:t>
      </w:r>
      <w:r>
        <w:rPr>
          <w:color w:val="231F20"/>
          <w:spacing w:val="-10"/>
        </w:rPr>
        <w:t> </w:t>
      </w:r>
      <w:r>
        <w:rPr>
          <w:color w:val="231F20"/>
          <w:spacing w:val="-4"/>
        </w:rPr>
        <w:t>de</w:t>
      </w:r>
      <w:r>
        <w:rPr>
          <w:color w:val="231F20"/>
          <w:spacing w:val="-10"/>
        </w:rPr>
        <w:t> </w:t>
      </w:r>
      <w:r>
        <w:rPr>
          <w:color w:val="231F20"/>
          <w:spacing w:val="-4"/>
        </w:rPr>
        <w:t>ses</w:t>
      </w:r>
      <w:r>
        <w:rPr>
          <w:color w:val="231F20"/>
          <w:spacing w:val="-9"/>
        </w:rPr>
        <w:t> </w:t>
      </w:r>
      <w:r>
        <w:rPr>
          <w:color w:val="231F20"/>
          <w:spacing w:val="-4"/>
        </w:rPr>
        <w:t>préoccupations</w:t>
      </w:r>
      <w:r>
        <w:rPr>
          <w:color w:val="231F20"/>
          <w:spacing w:val="-10"/>
        </w:rPr>
        <w:t> </w:t>
      </w:r>
      <w:r>
        <w:rPr>
          <w:color w:val="231F20"/>
          <w:spacing w:val="-4"/>
        </w:rPr>
        <w:t>et</w:t>
      </w:r>
      <w:r>
        <w:rPr>
          <w:color w:val="231F20"/>
          <w:spacing w:val="-10"/>
        </w:rPr>
        <w:t> </w:t>
      </w:r>
      <w:r>
        <w:rPr>
          <w:color w:val="231F20"/>
          <w:spacing w:val="-4"/>
        </w:rPr>
        <w:t>qui</w:t>
      </w:r>
      <w:r>
        <w:rPr>
          <w:color w:val="231F20"/>
          <w:spacing w:val="-10"/>
        </w:rPr>
        <w:t> </w:t>
      </w:r>
      <w:r>
        <w:rPr>
          <w:color w:val="231F20"/>
          <w:spacing w:val="-4"/>
        </w:rPr>
        <w:t>rend</w:t>
      </w:r>
      <w:r>
        <w:rPr>
          <w:color w:val="231F20"/>
          <w:spacing w:val="-11"/>
        </w:rPr>
        <w:t> </w:t>
      </w:r>
      <w:r>
        <w:rPr>
          <w:color w:val="231F20"/>
          <w:spacing w:val="-4"/>
        </w:rPr>
        <w:t>compte </w:t>
      </w:r>
      <w:r>
        <w:rPr>
          <w:color w:val="231F20"/>
        </w:rPr>
        <w:t>de ses actions à la population.</w:t>
      </w:r>
    </w:p>
    <w:p>
      <w:pPr>
        <w:spacing w:after="0"/>
        <w:sectPr>
          <w:footerReference w:type="default" r:id="rId51"/>
          <w:footerReference w:type="even" r:id="rId52"/>
          <w:pgSz w:w="8790" w:h="13610"/>
          <w:pgMar w:header="0" w:footer="802" w:top="1540" w:bottom="1000" w:left="880" w:right="880"/>
          <w:pgNumType w:start="217"/>
        </w:sectPr>
      </w:pPr>
    </w:p>
    <w:p>
      <w:pPr>
        <w:spacing w:before="66"/>
        <w:ind w:left="111" w:right="106" w:firstLine="283"/>
        <w:jc w:val="both"/>
        <w:rPr>
          <w:sz w:val="24"/>
        </w:rPr>
      </w:pPr>
      <w:r>
        <w:rPr>
          <w:color w:val="231F20"/>
          <w:spacing w:val="-4"/>
          <w:sz w:val="24"/>
        </w:rPr>
        <w:t>La Constitution,</w:t>
      </w:r>
      <w:r>
        <w:rPr>
          <w:color w:val="231F20"/>
          <w:spacing w:val="-7"/>
          <w:sz w:val="24"/>
        </w:rPr>
        <w:t> </w:t>
      </w:r>
      <w:r>
        <w:rPr>
          <w:i/>
          <w:color w:val="231F20"/>
          <w:spacing w:val="-4"/>
          <w:sz w:val="24"/>
        </w:rPr>
        <w:t>«acte politique et</w:t>
      </w:r>
      <w:r>
        <w:rPr>
          <w:i/>
          <w:color w:val="231F20"/>
          <w:spacing w:val="-6"/>
          <w:sz w:val="24"/>
        </w:rPr>
        <w:t> </w:t>
      </w:r>
      <w:r>
        <w:rPr>
          <w:i/>
          <w:color w:val="231F20"/>
          <w:spacing w:val="-4"/>
          <w:sz w:val="24"/>
        </w:rPr>
        <w:t>loi</w:t>
      </w:r>
      <w:r>
        <w:rPr>
          <w:i/>
          <w:color w:val="231F20"/>
          <w:spacing w:val="-9"/>
          <w:sz w:val="24"/>
        </w:rPr>
        <w:t> </w:t>
      </w:r>
      <w:r>
        <w:rPr>
          <w:i/>
          <w:color w:val="231F20"/>
          <w:spacing w:val="-4"/>
          <w:sz w:val="24"/>
        </w:rPr>
        <w:t>fondamentale</w:t>
      </w:r>
      <w:r>
        <w:rPr>
          <w:i/>
          <w:color w:val="231F20"/>
          <w:spacing w:val="-7"/>
          <w:sz w:val="24"/>
        </w:rPr>
        <w:t> </w:t>
      </w:r>
      <w:r>
        <w:rPr>
          <w:i/>
          <w:color w:val="231F20"/>
          <w:spacing w:val="-4"/>
          <w:sz w:val="24"/>
        </w:rPr>
        <w:t>qui</w:t>
      </w:r>
      <w:r>
        <w:rPr>
          <w:i/>
          <w:color w:val="231F20"/>
          <w:spacing w:val="-6"/>
          <w:sz w:val="24"/>
        </w:rPr>
        <w:t> </w:t>
      </w:r>
      <w:r>
        <w:rPr>
          <w:i/>
          <w:color w:val="231F20"/>
          <w:spacing w:val="-4"/>
          <w:sz w:val="24"/>
        </w:rPr>
        <w:t>unit</w:t>
      </w:r>
      <w:r>
        <w:rPr>
          <w:i/>
          <w:color w:val="231F20"/>
          <w:spacing w:val="-6"/>
          <w:sz w:val="24"/>
        </w:rPr>
        <w:t> </w:t>
      </w:r>
      <w:r>
        <w:rPr>
          <w:i/>
          <w:color w:val="231F20"/>
          <w:spacing w:val="-4"/>
          <w:sz w:val="24"/>
        </w:rPr>
        <w:t>et</w:t>
      </w:r>
      <w:r>
        <w:rPr>
          <w:i/>
          <w:color w:val="231F20"/>
          <w:spacing w:val="-6"/>
          <w:sz w:val="24"/>
        </w:rPr>
        <w:t> </w:t>
      </w:r>
      <w:r>
        <w:rPr>
          <w:i/>
          <w:color w:val="231F20"/>
          <w:spacing w:val="-4"/>
          <w:sz w:val="24"/>
        </w:rPr>
        <w:t>régit</w:t>
      </w:r>
      <w:r>
        <w:rPr>
          <w:i/>
          <w:color w:val="231F20"/>
          <w:spacing w:val="-6"/>
          <w:sz w:val="24"/>
        </w:rPr>
        <w:t> </w:t>
      </w:r>
      <w:r>
        <w:rPr>
          <w:i/>
          <w:color w:val="231F20"/>
          <w:spacing w:val="-4"/>
          <w:sz w:val="24"/>
        </w:rPr>
        <w:t>de</w:t>
      </w:r>
      <w:r>
        <w:rPr>
          <w:i/>
          <w:color w:val="231F20"/>
          <w:spacing w:val="-4"/>
          <w:sz w:val="24"/>
        </w:rPr>
        <w:t> </w:t>
      </w:r>
      <w:r>
        <w:rPr>
          <w:i/>
          <w:color w:val="231F20"/>
          <w:sz w:val="24"/>
        </w:rPr>
        <w:t>manière organisée et hiérarchisée l’ensemble des rapports entre gouvernants et gouvernés au sein de l’État, en tant qu'unité d'espace </w:t>
      </w:r>
      <w:r>
        <w:rPr>
          <w:i/>
          <w:color w:val="231F20"/>
          <w:spacing w:val="-2"/>
          <w:sz w:val="24"/>
        </w:rPr>
        <w:t>géographique</w:t>
      </w:r>
      <w:r>
        <w:rPr>
          <w:i/>
          <w:color w:val="231F20"/>
          <w:spacing w:val="-13"/>
          <w:sz w:val="24"/>
        </w:rPr>
        <w:t> </w:t>
      </w:r>
      <w:r>
        <w:rPr>
          <w:i/>
          <w:color w:val="231F20"/>
          <w:spacing w:val="-2"/>
          <w:sz w:val="24"/>
        </w:rPr>
        <w:t>et</w:t>
      </w:r>
      <w:r>
        <w:rPr>
          <w:i/>
          <w:color w:val="231F20"/>
          <w:spacing w:val="-13"/>
          <w:sz w:val="24"/>
        </w:rPr>
        <w:t> </w:t>
      </w:r>
      <w:r>
        <w:rPr>
          <w:i/>
          <w:color w:val="231F20"/>
          <w:spacing w:val="-2"/>
          <w:sz w:val="24"/>
        </w:rPr>
        <w:t>humain</w:t>
      </w:r>
      <w:r>
        <w:rPr>
          <w:color w:val="76787A"/>
          <w:spacing w:val="-2"/>
          <w:sz w:val="24"/>
          <w:vertAlign w:val="superscript"/>
        </w:rPr>
        <w:t>223</w:t>
      </w:r>
      <w:r>
        <w:rPr>
          <w:i/>
          <w:color w:val="231F20"/>
          <w:spacing w:val="-2"/>
          <w:sz w:val="24"/>
          <w:vertAlign w:val="baseline"/>
        </w:rPr>
        <w:t>(…)</w:t>
      </w:r>
      <w:r>
        <w:rPr>
          <w:i/>
          <w:color w:val="231F20"/>
          <w:spacing w:val="-13"/>
          <w:sz w:val="24"/>
          <w:vertAlign w:val="baseline"/>
        </w:rPr>
        <w:t> </w:t>
      </w:r>
      <w:r>
        <w:rPr>
          <w:color w:val="231F20"/>
          <w:spacing w:val="-2"/>
          <w:sz w:val="24"/>
          <w:vertAlign w:val="baseline"/>
        </w:rPr>
        <w:t>»</w:t>
      </w:r>
      <w:r>
        <w:rPr>
          <w:color w:val="231F20"/>
          <w:spacing w:val="-13"/>
          <w:sz w:val="24"/>
          <w:vertAlign w:val="baseline"/>
        </w:rPr>
        <w:t> </w:t>
      </w:r>
      <w:r>
        <w:rPr>
          <w:color w:val="231F20"/>
          <w:spacing w:val="-2"/>
          <w:sz w:val="24"/>
          <w:vertAlign w:val="baseline"/>
        </w:rPr>
        <w:t>n’est</w:t>
      </w:r>
      <w:r>
        <w:rPr>
          <w:color w:val="231F20"/>
          <w:spacing w:val="-13"/>
          <w:sz w:val="24"/>
          <w:vertAlign w:val="baseline"/>
        </w:rPr>
        <w:t> </w:t>
      </w:r>
      <w:r>
        <w:rPr>
          <w:color w:val="231F20"/>
          <w:spacing w:val="-2"/>
          <w:sz w:val="24"/>
          <w:vertAlign w:val="baseline"/>
        </w:rPr>
        <w:t>plus</w:t>
      </w:r>
      <w:r>
        <w:rPr>
          <w:color w:val="231F20"/>
          <w:spacing w:val="-13"/>
          <w:sz w:val="24"/>
          <w:vertAlign w:val="baseline"/>
        </w:rPr>
        <w:t> </w:t>
      </w:r>
      <w:r>
        <w:rPr>
          <w:color w:val="231F20"/>
          <w:spacing w:val="-2"/>
          <w:sz w:val="24"/>
          <w:vertAlign w:val="baseline"/>
        </w:rPr>
        <w:t>tripatouillée</w:t>
      </w:r>
      <w:r>
        <w:rPr>
          <w:color w:val="231F20"/>
          <w:spacing w:val="-13"/>
          <w:sz w:val="24"/>
          <w:vertAlign w:val="baseline"/>
        </w:rPr>
        <w:t> </w:t>
      </w:r>
      <w:r>
        <w:rPr>
          <w:color w:val="231F20"/>
          <w:spacing w:val="-2"/>
          <w:sz w:val="24"/>
          <w:vertAlign w:val="baseline"/>
        </w:rPr>
        <w:t>par</w:t>
      </w:r>
      <w:r>
        <w:rPr>
          <w:color w:val="231F20"/>
          <w:spacing w:val="-13"/>
          <w:sz w:val="24"/>
          <w:vertAlign w:val="baseline"/>
        </w:rPr>
        <w:t> </w:t>
      </w:r>
      <w:r>
        <w:rPr>
          <w:color w:val="231F20"/>
          <w:spacing w:val="-2"/>
          <w:sz w:val="24"/>
          <w:vertAlign w:val="baseline"/>
        </w:rPr>
        <w:t>les</w:t>
      </w:r>
      <w:r>
        <w:rPr>
          <w:color w:val="231F20"/>
          <w:spacing w:val="-13"/>
          <w:sz w:val="24"/>
          <w:vertAlign w:val="baseline"/>
        </w:rPr>
        <w:t> </w:t>
      </w:r>
      <w:r>
        <w:rPr>
          <w:color w:val="231F20"/>
          <w:spacing w:val="-2"/>
          <w:sz w:val="24"/>
          <w:vertAlign w:val="baseline"/>
        </w:rPr>
        <w:t>dirigeants </w:t>
      </w:r>
      <w:r>
        <w:rPr>
          <w:color w:val="231F20"/>
          <w:spacing w:val="-4"/>
          <w:sz w:val="24"/>
          <w:vertAlign w:val="baseline"/>
        </w:rPr>
        <w:t>dont</w:t>
      </w:r>
      <w:r>
        <w:rPr>
          <w:color w:val="231F20"/>
          <w:spacing w:val="-9"/>
          <w:sz w:val="24"/>
          <w:vertAlign w:val="baseline"/>
        </w:rPr>
        <w:t> </w:t>
      </w:r>
      <w:r>
        <w:rPr>
          <w:color w:val="231F20"/>
          <w:spacing w:val="-4"/>
          <w:sz w:val="24"/>
          <w:vertAlign w:val="baseline"/>
        </w:rPr>
        <w:t>l’ambition</w:t>
      </w:r>
      <w:r>
        <w:rPr>
          <w:color w:val="231F20"/>
          <w:spacing w:val="-8"/>
          <w:sz w:val="24"/>
          <w:vertAlign w:val="baseline"/>
        </w:rPr>
        <w:t> </w:t>
      </w:r>
      <w:r>
        <w:rPr>
          <w:color w:val="231F20"/>
          <w:spacing w:val="-4"/>
          <w:sz w:val="24"/>
          <w:vertAlign w:val="baseline"/>
        </w:rPr>
        <w:t>n’est</w:t>
      </w:r>
      <w:r>
        <w:rPr>
          <w:color w:val="231F20"/>
          <w:spacing w:val="-10"/>
          <w:sz w:val="24"/>
          <w:vertAlign w:val="baseline"/>
        </w:rPr>
        <w:t> </w:t>
      </w:r>
      <w:r>
        <w:rPr>
          <w:color w:val="231F20"/>
          <w:spacing w:val="-4"/>
          <w:sz w:val="24"/>
          <w:vertAlign w:val="baseline"/>
        </w:rPr>
        <w:t>plus</w:t>
      </w:r>
      <w:r>
        <w:rPr>
          <w:color w:val="231F20"/>
          <w:spacing w:val="-10"/>
          <w:sz w:val="24"/>
          <w:vertAlign w:val="baseline"/>
        </w:rPr>
        <w:t> </w:t>
      </w:r>
      <w:r>
        <w:rPr>
          <w:color w:val="231F20"/>
          <w:spacing w:val="-4"/>
          <w:sz w:val="24"/>
          <w:vertAlign w:val="baseline"/>
        </w:rPr>
        <w:t>de</w:t>
      </w:r>
      <w:r>
        <w:rPr>
          <w:color w:val="231F20"/>
          <w:spacing w:val="-8"/>
          <w:sz w:val="24"/>
          <w:vertAlign w:val="baseline"/>
        </w:rPr>
        <w:t> </w:t>
      </w:r>
      <w:r>
        <w:rPr>
          <w:color w:val="231F20"/>
          <w:spacing w:val="-4"/>
          <w:sz w:val="24"/>
          <w:vertAlign w:val="baseline"/>
        </w:rPr>
        <w:t>vouloir</w:t>
      </w:r>
      <w:r>
        <w:rPr>
          <w:color w:val="231F20"/>
          <w:spacing w:val="-8"/>
          <w:sz w:val="24"/>
          <w:vertAlign w:val="baseline"/>
        </w:rPr>
        <w:t> </w:t>
      </w:r>
      <w:r>
        <w:rPr>
          <w:color w:val="231F20"/>
          <w:spacing w:val="-4"/>
          <w:sz w:val="24"/>
          <w:vertAlign w:val="baseline"/>
        </w:rPr>
        <w:t>coûte</w:t>
      </w:r>
      <w:r>
        <w:rPr>
          <w:color w:val="231F20"/>
          <w:spacing w:val="-8"/>
          <w:sz w:val="24"/>
          <w:vertAlign w:val="baseline"/>
        </w:rPr>
        <w:t> </w:t>
      </w:r>
      <w:r>
        <w:rPr>
          <w:color w:val="231F20"/>
          <w:spacing w:val="-4"/>
          <w:sz w:val="24"/>
          <w:vertAlign w:val="baseline"/>
        </w:rPr>
        <w:t>que</w:t>
      </w:r>
      <w:r>
        <w:rPr>
          <w:color w:val="231F20"/>
          <w:spacing w:val="-8"/>
          <w:sz w:val="24"/>
          <w:vertAlign w:val="baseline"/>
        </w:rPr>
        <w:t> </w:t>
      </w:r>
      <w:r>
        <w:rPr>
          <w:color w:val="231F20"/>
          <w:spacing w:val="-4"/>
          <w:sz w:val="24"/>
          <w:vertAlign w:val="baseline"/>
        </w:rPr>
        <w:t>coûte</w:t>
      </w:r>
      <w:r>
        <w:rPr>
          <w:color w:val="231F20"/>
          <w:spacing w:val="-11"/>
          <w:sz w:val="24"/>
          <w:vertAlign w:val="baseline"/>
        </w:rPr>
        <w:t> </w:t>
      </w:r>
      <w:r>
        <w:rPr>
          <w:color w:val="231F20"/>
          <w:spacing w:val="-4"/>
          <w:sz w:val="24"/>
          <w:vertAlign w:val="baseline"/>
        </w:rPr>
        <w:t>rester</w:t>
      </w:r>
      <w:r>
        <w:rPr>
          <w:color w:val="231F20"/>
          <w:spacing w:val="-8"/>
          <w:sz w:val="24"/>
          <w:vertAlign w:val="baseline"/>
        </w:rPr>
        <w:t> </w:t>
      </w:r>
      <w:r>
        <w:rPr>
          <w:color w:val="231F20"/>
          <w:spacing w:val="-4"/>
          <w:sz w:val="24"/>
          <w:vertAlign w:val="baseline"/>
        </w:rPr>
        <w:t>au</w:t>
      </w:r>
      <w:r>
        <w:rPr>
          <w:color w:val="231F20"/>
          <w:spacing w:val="-9"/>
          <w:sz w:val="24"/>
          <w:vertAlign w:val="baseline"/>
        </w:rPr>
        <w:t> </w:t>
      </w:r>
      <w:r>
        <w:rPr>
          <w:color w:val="231F20"/>
          <w:spacing w:val="-4"/>
          <w:sz w:val="24"/>
          <w:vertAlign w:val="baseline"/>
        </w:rPr>
        <w:t>pouvoir</w:t>
      </w:r>
      <w:r>
        <w:rPr>
          <w:color w:val="231F20"/>
          <w:spacing w:val="-6"/>
          <w:sz w:val="24"/>
          <w:vertAlign w:val="baseline"/>
        </w:rPr>
        <w:t> </w:t>
      </w:r>
      <w:r>
        <w:rPr>
          <w:color w:val="231F20"/>
          <w:spacing w:val="-4"/>
          <w:sz w:val="24"/>
          <w:vertAlign w:val="baseline"/>
        </w:rPr>
        <w:t>Ad </w:t>
      </w:r>
      <w:r>
        <w:rPr>
          <w:color w:val="231F20"/>
          <w:sz w:val="24"/>
          <w:vertAlign w:val="baseline"/>
        </w:rPr>
        <w:t>vitam</w:t>
      </w:r>
      <w:r>
        <w:rPr>
          <w:color w:val="231F20"/>
          <w:spacing w:val="-7"/>
          <w:sz w:val="24"/>
          <w:vertAlign w:val="baseline"/>
        </w:rPr>
        <w:t> </w:t>
      </w:r>
      <w:r>
        <w:rPr>
          <w:color w:val="231F20"/>
          <w:sz w:val="24"/>
          <w:vertAlign w:val="baseline"/>
        </w:rPr>
        <w:t>æternam.</w:t>
      </w:r>
      <w:r>
        <w:rPr>
          <w:color w:val="231F20"/>
          <w:spacing w:val="-15"/>
          <w:sz w:val="24"/>
          <w:vertAlign w:val="baseline"/>
        </w:rPr>
        <w:t> </w:t>
      </w:r>
      <w:r>
        <w:rPr>
          <w:color w:val="231F20"/>
          <w:sz w:val="24"/>
          <w:vertAlign w:val="baseline"/>
        </w:rPr>
        <w:t>Elle</w:t>
      </w:r>
      <w:r>
        <w:rPr>
          <w:color w:val="231F20"/>
          <w:spacing w:val="-5"/>
          <w:sz w:val="24"/>
          <w:vertAlign w:val="baseline"/>
        </w:rPr>
        <w:t> </w:t>
      </w:r>
      <w:r>
        <w:rPr>
          <w:color w:val="231F20"/>
          <w:sz w:val="24"/>
          <w:vertAlign w:val="baseline"/>
        </w:rPr>
        <w:t>garantit</w:t>
      </w:r>
      <w:r>
        <w:rPr>
          <w:color w:val="231F20"/>
          <w:spacing w:val="-4"/>
          <w:sz w:val="24"/>
          <w:vertAlign w:val="baseline"/>
        </w:rPr>
        <w:t> </w:t>
      </w:r>
      <w:r>
        <w:rPr>
          <w:color w:val="231F20"/>
          <w:sz w:val="24"/>
          <w:vertAlign w:val="baseline"/>
        </w:rPr>
        <w:t>les</w:t>
      </w:r>
      <w:r>
        <w:rPr>
          <w:color w:val="231F20"/>
          <w:spacing w:val="-4"/>
          <w:sz w:val="24"/>
          <w:vertAlign w:val="baseline"/>
        </w:rPr>
        <w:t> </w:t>
      </w:r>
      <w:r>
        <w:rPr>
          <w:color w:val="231F20"/>
          <w:sz w:val="24"/>
          <w:vertAlign w:val="baseline"/>
        </w:rPr>
        <w:t>droits</w:t>
      </w:r>
      <w:r>
        <w:rPr>
          <w:color w:val="231F20"/>
          <w:spacing w:val="-4"/>
          <w:sz w:val="24"/>
          <w:vertAlign w:val="baseline"/>
        </w:rPr>
        <w:t> </w:t>
      </w:r>
      <w:r>
        <w:rPr>
          <w:color w:val="231F20"/>
          <w:sz w:val="24"/>
          <w:vertAlign w:val="baseline"/>
        </w:rPr>
        <w:t>et</w:t>
      </w:r>
      <w:r>
        <w:rPr>
          <w:color w:val="231F20"/>
          <w:spacing w:val="-4"/>
          <w:sz w:val="24"/>
          <w:vertAlign w:val="baseline"/>
        </w:rPr>
        <w:t> </w:t>
      </w:r>
      <w:r>
        <w:rPr>
          <w:color w:val="231F20"/>
          <w:sz w:val="24"/>
          <w:vertAlign w:val="baseline"/>
        </w:rPr>
        <w:t>les</w:t>
      </w:r>
      <w:r>
        <w:rPr>
          <w:color w:val="231F20"/>
          <w:spacing w:val="-6"/>
          <w:sz w:val="24"/>
          <w:vertAlign w:val="baseline"/>
        </w:rPr>
        <w:t> </w:t>
      </w:r>
      <w:r>
        <w:rPr>
          <w:color w:val="231F20"/>
          <w:sz w:val="24"/>
          <w:vertAlign w:val="baseline"/>
        </w:rPr>
        <w:t>libertés</w:t>
      </w:r>
      <w:r>
        <w:rPr>
          <w:color w:val="231F20"/>
          <w:spacing w:val="-4"/>
          <w:sz w:val="24"/>
          <w:vertAlign w:val="baseline"/>
        </w:rPr>
        <w:t> </w:t>
      </w:r>
      <w:r>
        <w:rPr>
          <w:color w:val="231F20"/>
          <w:sz w:val="24"/>
          <w:vertAlign w:val="baseline"/>
        </w:rPr>
        <w:t>de</w:t>
      </w:r>
      <w:r>
        <w:rPr>
          <w:color w:val="231F20"/>
          <w:spacing w:val="-5"/>
          <w:sz w:val="24"/>
          <w:vertAlign w:val="baseline"/>
        </w:rPr>
        <w:t> </w:t>
      </w:r>
      <w:r>
        <w:rPr>
          <w:color w:val="231F20"/>
          <w:sz w:val="24"/>
          <w:vertAlign w:val="baseline"/>
        </w:rPr>
        <w:t>tous</w:t>
      </w:r>
      <w:r>
        <w:rPr>
          <w:color w:val="231F20"/>
          <w:spacing w:val="-4"/>
          <w:sz w:val="24"/>
          <w:vertAlign w:val="baseline"/>
        </w:rPr>
        <w:t> </w:t>
      </w:r>
      <w:r>
        <w:rPr>
          <w:color w:val="231F20"/>
          <w:sz w:val="24"/>
          <w:vertAlign w:val="baseline"/>
        </w:rPr>
        <w:t>dans</w:t>
      </w:r>
      <w:r>
        <w:rPr>
          <w:color w:val="231F20"/>
          <w:spacing w:val="-4"/>
          <w:sz w:val="24"/>
          <w:vertAlign w:val="baseline"/>
        </w:rPr>
        <w:t> </w:t>
      </w:r>
      <w:r>
        <w:rPr>
          <w:color w:val="231F20"/>
          <w:sz w:val="24"/>
          <w:vertAlign w:val="baseline"/>
        </w:rPr>
        <w:t>l’État tout</w:t>
      </w:r>
      <w:r>
        <w:rPr>
          <w:color w:val="231F20"/>
          <w:spacing w:val="-8"/>
          <w:sz w:val="24"/>
          <w:vertAlign w:val="baseline"/>
        </w:rPr>
        <w:t> </w:t>
      </w:r>
      <w:r>
        <w:rPr>
          <w:color w:val="231F20"/>
          <w:sz w:val="24"/>
          <w:vertAlign w:val="baseline"/>
        </w:rPr>
        <w:t>en</w:t>
      </w:r>
      <w:r>
        <w:rPr>
          <w:color w:val="231F20"/>
          <w:spacing w:val="-6"/>
          <w:sz w:val="24"/>
          <w:vertAlign w:val="baseline"/>
        </w:rPr>
        <w:t> </w:t>
      </w:r>
      <w:r>
        <w:rPr>
          <w:color w:val="231F20"/>
          <w:sz w:val="24"/>
          <w:vertAlign w:val="baseline"/>
        </w:rPr>
        <w:t>limitant</w:t>
      </w:r>
      <w:r>
        <w:rPr>
          <w:color w:val="231F20"/>
          <w:spacing w:val="-8"/>
          <w:sz w:val="24"/>
          <w:vertAlign w:val="baseline"/>
        </w:rPr>
        <w:t> </w:t>
      </w:r>
      <w:r>
        <w:rPr>
          <w:color w:val="231F20"/>
          <w:sz w:val="24"/>
          <w:vertAlign w:val="baseline"/>
        </w:rPr>
        <w:t>le</w:t>
      </w:r>
      <w:r>
        <w:rPr>
          <w:color w:val="231F20"/>
          <w:spacing w:val="-6"/>
          <w:sz w:val="24"/>
          <w:vertAlign w:val="baseline"/>
        </w:rPr>
        <w:t> </w:t>
      </w:r>
      <w:r>
        <w:rPr>
          <w:color w:val="231F20"/>
          <w:sz w:val="24"/>
          <w:vertAlign w:val="baseline"/>
        </w:rPr>
        <w:t>pouvoir</w:t>
      </w:r>
      <w:r>
        <w:rPr>
          <w:color w:val="231F20"/>
          <w:spacing w:val="-9"/>
          <w:sz w:val="24"/>
          <w:vertAlign w:val="baseline"/>
        </w:rPr>
        <w:t> </w:t>
      </w:r>
      <w:r>
        <w:rPr>
          <w:color w:val="231F20"/>
          <w:sz w:val="24"/>
          <w:vertAlign w:val="baseline"/>
        </w:rPr>
        <w:t>des</w:t>
      </w:r>
      <w:r>
        <w:rPr>
          <w:color w:val="231F20"/>
          <w:spacing w:val="-6"/>
          <w:sz w:val="24"/>
          <w:vertAlign w:val="baseline"/>
        </w:rPr>
        <w:t> </w:t>
      </w:r>
      <w:r>
        <w:rPr>
          <w:color w:val="231F20"/>
          <w:sz w:val="24"/>
          <w:vertAlign w:val="baseline"/>
        </w:rPr>
        <w:t>élus</w:t>
      </w:r>
      <w:r>
        <w:rPr>
          <w:color w:val="231F20"/>
          <w:spacing w:val="-7"/>
          <w:sz w:val="24"/>
          <w:vertAlign w:val="baseline"/>
        </w:rPr>
        <w:t> </w:t>
      </w:r>
      <w:r>
        <w:rPr>
          <w:color w:val="231F20"/>
          <w:sz w:val="24"/>
          <w:vertAlign w:val="baseline"/>
        </w:rPr>
        <w:t>et</w:t>
      </w:r>
      <w:r>
        <w:rPr>
          <w:color w:val="231F20"/>
          <w:spacing w:val="-8"/>
          <w:sz w:val="24"/>
          <w:vertAlign w:val="baseline"/>
        </w:rPr>
        <w:t> </w:t>
      </w:r>
      <w:r>
        <w:rPr>
          <w:color w:val="231F20"/>
          <w:sz w:val="24"/>
          <w:vertAlign w:val="baseline"/>
        </w:rPr>
        <w:t>autres</w:t>
      </w:r>
      <w:r>
        <w:rPr>
          <w:color w:val="231F20"/>
          <w:spacing w:val="-9"/>
          <w:sz w:val="24"/>
          <w:vertAlign w:val="baseline"/>
        </w:rPr>
        <w:t> </w:t>
      </w:r>
      <w:r>
        <w:rPr>
          <w:color w:val="231F20"/>
          <w:sz w:val="24"/>
          <w:vertAlign w:val="baseline"/>
        </w:rPr>
        <w:t>représentants</w:t>
      </w:r>
      <w:r>
        <w:rPr>
          <w:color w:val="231F20"/>
          <w:spacing w:val="-6"/>
          <w:sz w:val="24"/>
          <w:vertAlign w:val="baseline"/>
        </w:rPr>
        <w:t> </w:t>
      </w:r>
      <w:r>
        <w:rPr>
          <w:color w:val="231F20"/>
          <w:sz w:val="24"/>
          <w:vertAlign w:val="baseline"/>
        </w:rPr>
        <w:t>du</w:t>
      </w:r>
      <w:r>
        <w:rPr>
          <w:color w:val="231F20"/>
          <w:spacing w:val="-9"/>
          <w:sz w:val="24"/>
          <w:vertAlign w:val="baseline"/>
        </w:rPr>
        <w:t> </w:t>
      </w:r>
      <w:r>
        <w:rPr>
          <w:color w:val="231F20"/>
          <w:sz w:val="24"/>
          <w:vertAlign w:val="baseline"/>
        </w:rPr>
        <w:t>peuple.</w:t>
      </w:r>
    </w:p>
    <w:p>
      <w:pPr>
        <w:pStyle w:val="BodyText"/>
        <w:spacing w:before="120"/>
        <w:ind w:right="105" w:firstLine="283"/>
      </w:pPr>
      <w:r>
        <w:rPr>
          <w:color w:val="231F20"/>
        </w:rPr>
        <w:t>Toute</w:t>
      </w:r>
      <w:r>
        <w:rPr>
          <w:color w:val="231F20"/>
          <w:spacing w:val="-6"/>
        </w:rPr>
        <w:t> </w:t>
      </w:r>
      <w:r>
        <w:rPr>
          <w:color w:val="231F20"/>
        </w:rPr>
        <w:t>la</w:t>
      </w:r>
      <w:r>
        <w:rPr>
          <w:color w:val="231F20"/>
          <w:spacing w:val="-4"/>
        </w:rPr>
        <w:t> </w:t>
      </w:r>
      <w:r>
        <w:rPr>
          <w:color w:val="231F20"/>
        </w:rPr>
        <w:t>classe</w:t>
      </w:r>
      <w:r>
        <w:rPr>
          <w:color w:val="231F20"/>
          <w:spacing w:val="-4"/>
        </w:rPr>
        <w:t> </w:t>
      </w:r>
      <w:r>
        <w:rPr>
          <w:color w:val="231F20"/>
        </w:rPr>
        <w:t>politique</w:t>
      </w:r>
      <w:r>
        <w:rPr>
          <w:color w:val="231F20"/>
          <w:spacing w:val="-6"/>
        </w:rPr>
        <w:t> </w:t>
      </w:r>
      <w:r>
        <w:rPr>
          <w:color w:val="231F20"/>
        </w:rPr>
        <w:t>admet</w:t>
      </w:r>
      <w:r>
        <w:rPr>
          <w:color w:val="231F20"/>
          <w:spacing w:val="-4"/>
        </w:rPr>
        <w:t> </w:t>
      </w:r>
      <w:r>
        <w:rPr>
          <w:color w:val="231F20"/>
        </w:rPr>
        <w:t>que</w:t>
      </w:r>
      <w:r>
        <w:rPr>
          <w:color w:val="231F20"/>
          <w:spacing w:val="-4"/>
        </w:rPr>
        <w:t> </w:t>
      </w:r>
      <w:r>
        <w:rPr>
          <w:color w:val="231F20"/>
        </w:rPr>
        <w:t>les</w:t>
      </w:r>
      <w:r>
        <w:rPr>
          <w:color w:val="231F20"/>
          <w:spacing w:val="-4"/>
        </w:rPr>
        <w:t> </w:t>
      </w:r>
      <w:r>
        <w:rPr>
          <w:color w:val="231F20"/>
        </w:rPr>
        <w:t>élections</w:t>
      </w:r>
      <w:r>
        <w:rPr>
          <w:color w:val="231F20"/>
          <w:spacing w:val="-6"/>
        </w:rPr>
        <w:t> </w:t>
      </w:r>
      <w:r>
        <w:rPr>
          <w:color w:val="231F20"/>
        </w:rPr>
        <w:t>doivent</w:t>
      </w:r>
      <w:r>
        <w:rPr>
          <w:color w:val="231F20"/>
          <w:spacing w:val="-4"/>
        </w:rPr>
        <w:t> </w:t>
      </w:r>
      <w:r>
        <w:rPr>
          <w:color w:val="231F20"/>
        </w:rPr>
        <w:t>se</w:t>
      </w:r>
      <w:r>
        <w:rPr>
          <w:color w:val="231F20"/>
          <w:spacing w:val="-4"/>
        </w:rPr>
        <w:t> </w:t>
      </w:r>
      <w:r>
        <w:rPr>
          <w:color w:val="231F20"/>
        </w:rPr>
        <w:t>dérouler </w:t>
      </w:r>
      <w:r>
        <w:rPr>
          <w:color w:val="231F20"/>
          <w:spacing w:val="-2"/>
        </w:rPr>
        <w:t>dans</w:t>
      </w:r>
      <w:r>
        <w:rPr>
          <w:color w:val="231F20"/>
          <w:spacing w:val="-6"/>
        </w:rPr>
        <w:t> </w:t>
      </w:r>
      <w:r>
        <w:rPr>
          <w:color w:val="231F20"/>
          <w:spacing w:val="-2"/>
        </w:rPr>
        <w:t>la</w:t>
      </w:r>
      <w:r>
        <w:rPr>
          <w:color w:val="231F20"/>
          <w:spacing w:val="-8"/>
        </w:rPr>
        <w:t> </w:t>
      </w:r>
      <w:r>
        <w:rPr>
          <w:color w:val="231F20"/>
          <w:spacing w:val="-2"/>
        </w:rPr>
        <w:t>transparence,</w:t>
      </w:r>
      <w:r>
        <w:rPr>
          <w:color w:val="231F20"/>
          <w:spacing w:val="-8"/>
        </w:rPr>
        <w:t> </w:t>
      </w:r>
      <w:r>
        <w:rPr>
          <w:color w:val="231F20"/>
          <w:spacing w:val="-2"/>
        </w:rPr>
        <w:t>sans</w:t>
      </w:r>
      <w:r>
        <w:rPr>
          <w:color w:val="231F20"/>
          <w:spacing w:val="-8"/>
        </w:rPr>
        <w:t> </w:t>
      </w:r>
      <w:r>
        <w:rPr>
          <w:color w:val="231F20"/>
          <w:spacing w:val="-2"/>
        </w:rPr>
        <w:t>mort</w:t>
      </w:r>
      <w:r>
        <w:rPr>
          <w:color w:val="231F20"/>
          <w:spacing w:val="-6"/>
        </w:rPr>
        <w:t> </w:t>
      </w:r>
      <w:r>
        <w:rPr>
          <w:color w:val="231F20"/>
          <w:spacing w:val="-2"/>
        </w:rPr>
        <w:t>d’hommes</w:t>
      </w:r>
      <w:r>
        <w:rPr>
          <w:color w:val="231F20"/>
          <w:spacing w:val="-9"/>
        </w:rPr>
        <w:t> </w:t>
      </w:r>
      <w:r>
        <w:rPr>
          <w:color w:val="231F20"/>
          <w:spacing w:val="-2"/>
        </w:rPr>
        <w:t>:</w:t>
      </w:r>
      <w:r>
        <w:rPr>
          <w:color w:val="231F20"/>
          <w:spacing w:val="-8"/>
        </w:rPr>
        <w:t> </w:t>
      </w:r>
      <w:r>
        <w:rPr>
          <w:color w:val="231F20"/>
          <w:spacing w:val="-2"/>
        </w:rPr>
        <w:t>les</w:t>
      </w:r>
      <w:r>
        <w:rPr>
          <w:color w:val="231F20"/>
          <w:spacing w:val="-6"/>
        </w:rPr>
        <w:t> </w:t>
      </w:r>
      <w:r>
        <w:rPr>
          <w:color w:val="231F20"/>
          <w:spacing w:val="-2"/>
        </w:rPr>
        <w:t>populations</w:t>
      </w:r>
      <w:r>
        <w:rPr>
          <w:color w:val="231F20"/>
          <w:spacing w:val="-8"/>
        </w:rPr>
        <w:t> </w:t>
      </w:r>
      <w:r>
        <w:rPr>
          <w:color w:val="231F20"/>
          <w:spacing w:val="-2"/>
        </w:rPr>
        <w:t>ont</w:t>
      </w:r>
      <w:r>
        <w:rPr>
          <w:color w:val="231F20"/>
          <w:spacing w:val="-8"/>
        </w:rPr>
        <w:t> </w:t>
      </w:r>
      <w:r>
        <w:rPr>
          <w:color w:val="231F20"/>
          <w:spacing w:val="-2"/>
        </w:rPr>
        <w:t>la</w:t>
      </w:r>
      <w:r>
        <w:rPr>
          <w:color w:val="231F20"/>
          <w:spacing w:val="-8"/>
        </w:rPr>
        <w:t> </w:t>
      </w:r>
      <w:r>
        <w:rPr>
          <w:color w:val="231F20"/>
          <w:spacing w:val="-2"/>
        </w:rPr>
        <w:t>liberté de</w:t>
      </w:r>
      <w:r>
        <w:rPr>
          <w:color w:val="231F20"/>
          <w:spacing w:val="-8"/>
        </w:rPr>
        <w:t> </w:t>
      </w:r>
      <w:r>
        <w:rPr>
          <w:color w:val="231F20"/>
          <w:spacing w:val="-2"/>
        </w:rPr>
        <w:t>choisir</w:t>
      </w:r>
      <w:r>
        <w:rPr>
          <w:color w:val="231F20"/>
          <w:spacing w:val="-8"/>
        </w:rPr>
        <w:t> </w:t>
      </w:r>
      <w:r>
        <w:rPr>
          <w:color w:val="231F20"/>
          <w:spacing w:val="-2"/>
        </w:rPr>
        <w:t>leurs</w:t>
      </w:r>
      <w:r>
        <w:rPr>
          <w:color w:val="231F20"/>
          <w:spacing w:val="-9"/>
        </w:rPr>
        <w:t> </w:t>
      </w:r>
      <w:r>
        <w:rPr>
          <w:color w:val="231F20"/>
          <w:spacing w:val="-2"/>
        </w:rPr>
        <w:t>dirigeants.</w:t>
      </w:r>
      <w:r>
        <w:rPr>
          <w:color w:val="231F20"/>
          <w:spacing w:val="-8"/>
        </w:rPr>
        <w:t> </w:t>
      </w:r>
      <w:r>
        <w:rPr>
          <w:color w:val="231F20"/>
          <w:spacing w:val="-2"/>
        </w:rPr>
        <w:t>Les</w:t>
      </w:r>
      <w:r>
        <w:rPr>
          <w:color w:val="231F20"/>
          <w:spacing w:val="-8"/>
        </w:rPr>
        <w:t> </w:t>
      </w:r>
      <w:r>
        <w:rPr>
          <w:color w:val="231F20"/>
          <w:spacing w:val="-2"/>
        </w:rPr>
        <w:t>dirigeants</w:t>
      </w:r>
      <w:r>
        <w:rPr>
          <w:color w:val="231F20"/>
          <w:spacing w:val="-8"/>
        </w:rPr>
        <w:t> </w:t>
      </w:r>
      <w:r>
        <w:rPr>
          <w:color w:val="231F20"/>
          <w:spacing w:val="-2"/>
        </w:rPr>
        <w:t>élus</w:t>
      </w:r>
      <w:r>
        <w:rPr>
          <w:color w:val="231F20"/>
          <w:spacing w:val="-8"/>
        </w:rPr>
        <w:t> </w:t>
      </w:r>
      <w:r>
        <w:rPr>
          <w:color w:val="231F20"/>
          <w:spacing w:val="-2"/>
        </w:rPr>
        <w:t>exécutent</w:t>
      </w:r>
      <w:r>
        <w:rPr>
          <w:color w:val="231F20"/>
          <w:spacing w:val="-9"/>
        </w:rPr>
        <w:t> </w:t>
      </w:r>
      <w:r>
        <w:rPr>
          <w:color w:val="231F20"/>
          <w:spacing w:val="-2"/>
        </w:rPr>
        <w:t>leur</w:t>
      </w:r>
      <w:r>
        <w:rPr>
          <w:color w:val="231F20"/>
          <w:spacing w:val="-9"/>
        </w:rPr>
        <w:t> </w:t>
      </w:r>
      <w:r>
        <w:rPr>
          <w:color w:val="231F20"/>
          <w:spacing w:val="-2"/>
        </w:rPr>
        <w:t>programme </w:t>
      </w:r>
      <w:r>
        <w:rPr>
          <w:color w:val="231F20"/>
        </w:rPr>
        <w:t>de</w:t>
      </w:r>
      <w:r>
        <w:rPr>
          <w:color w:val="231F20"/>
          <w:spacing w:val="-12"/>
        </w:rPr>
        <w:t> </w:t>
      </w:r>
      <w:r>
        <w:rPr>
          <w:color w:val="231F20"/>
        </w:rPr>
        <w:t>gouvernement</w:t>
      </w:r>
      <w:r>
        <w:rPr>
          <w:color w:val="231F20"/>
          <w:spacing w:val="-13"/>
        </w:rPr>
        <w:t> </w:t>
      </w:r>
      <w:r>
        <w:rPr>
          <w:color w:val="231F20"/>
        </w:rPr>
        <w:t>sous</w:t>
      </w:r>
      <w:r>
        <w:rPr>
          <w:color w:val="231F20"/>
          <w:spacing w:val="-14"/>
        </w:rPr>
        <w:t> </w:t>
      </w:r>
      <w:r>
        <w:rPr>
          <w:color w:val="231F20"/>
        </w:rPr>
        <w:t>l’œil</w:t>
      </w:r>
      <w:r>
        <w:rPr>
          <w:color w:val="231F20"/>
          <w:spacing w:val="-12"/>
        </w:rPr>
        <w:t> </w:t>
      </w:r>
      <w:r>
        <w:rPr>
          <w:color w:val="231F20"/>
        </w:rPr>
        <w:t>avisé</w:t>
      </w:r>
      <w:r>
        <w:rPr>
          <w:color w:val="231F20"/>
          <w:spacing w:val="-14"/>
        </w:rPr>
        <w:t> </w:t>
      </w:r>
      <w:r>
        <w:rPr>
          <w:color w:val="231F20"/>
        </w:rPr>
        <w:t>des</w:t>
      </w:r>
      <w:r>
        <w:rPr>
          <w:color w:val="231F20"/>
          <w:spacing w:val="-12"/>
        </w:rPr>
        <w:t> </w:t>
      </w:r>
      <w:r>
        <w:rPr>
          <w:color w:val="231F20"/>
        </w:rPr>
        <w:t>représentants</w:t>
      </w:r>
      <w:r>
        <w:rPr>
          <w:color w:val="231F20"/>
          <w:spacing w:val="-12"/>
        </w:rPr>
        <w:t> </w:t>
      </w:r>
      <w:r>
        <w:rPr>
          <w:color w:val="231F20"/>
        </w:rPr>
        <w:t>des</w:t>
      </w:r>
      <w:r>
        <w:rPr>
          <w:color w:val="231F20"/>
          <w:spacing w:val="-13"/>
        </w:rPr>
        <w:t> </w:t>
      </w:r>
      <w:r>
        <w:rPr>
          <w:color w:val="231F20"/>
        </w:rPr>
        <w:t>populations</w:t>
      </w:r>
      <w:r>
        <w:rPr>
          <w:color w:val="231F20"/>
          <w:spacing w:val="-12"/>
        </w:rPr>
        <w:t> </w:t>
      </w:r>
      <w:r>
        <w:rPr>
          <w:color w:val="231F20"/>
        </w:rPr>
        <w:t>que sont</w:t>
      </w:r>
      <w:r>
        <w:rPr>
          <w:color w:val="231F20"/>
          <w:spacing w:val="-10"/>
        </w:rPr>
        <w:t> </w:t>
      </w:r>
      <w:r>
        <w:rPr>
          <w:color w:val="231F20"/>
        </w:rPr>
        <w:t>les</w:t>
      </w:r>
      <w:r>
        <w:rPr>
          <w:color w:val="231F20"/>
          <w:spacing w:val="-8"/>
        </w:rPr>
        <w:t> </w:t>
      </w:r>
      <w:r>
        <w:rPr>
          <w:color w:val="231F20"/>
        </w:rPr>
        <w:t>députés.</w:t>
      </w:r>
      <w:r>
        <w:rPr>
          <w:color w:val="231F20"/>
          <w:spacing w:val="-8"/>
        </w:rPr>
        <w:t> </w:t>
      </w:r>
      <w:r>
        <w:rPr>
          <w:color w:val="231F20"/>
        </w:rPr>
        <w:t>La</w:t>
      </w:r>
      <w:r>
        <w:rPr>
          <w:color w:val="231F20"/>
          <w:spacing w:val="-11"/>
        </w:rPr>
        <w:t> </w:t>
      </w:r>
      <w:r>
        <w:rPr>
          <w:color w:val="231F20"/>
        </w:rPr>
        <w:t>corruption</w:t>
      </w:r>
      <w:r>
        <w:rPr>
          <w:color w:val="231F20"/>
          <w:spacing w:val="-8"/>
        </w:rPr>
        <w:t> </w:t>
      </w:r>
      <w:r>
        <w:rPr>
          <w:color w:val="231F20"/>
        </w:rPr>
        <w:t>est</w:t>
      </w:r>
      <w:r>
        <w:rPr>
          <w:color w:val="231F20"/>
          <w:spacing w:val="-11"/>
        </w:rPr>
        <w:t> </w:t>
      </w:r>
      <w:r>
        <w:rPr>
          <w:color w:val="231F20"/>
        </w:rPr>
        <w:t>sévèrement</w:t>
      </w:r>
      <w:r>
        <w:rPr>
          <w:color w:val="231F20"/>
          <w:spacing w:val="-8"/>
        </w:rPr>
        <w:t> </w:t>
      </w:r>
      <w:r>
        <w:rPr>
          <w:color w:val="231F20"/>
        </w:rPr>
        <w:t>réprimée.</w:t>
      </w:r>
      <w:r>
        <w:rPr>
          <w:color w:val="231F20"/>
          <w:spacing w:val="-8"/>
        </w:rPr>
        <w:t> </w:t>
      </w:r>
      <w:r>
        <w:rPr>
          <w:color w:val="231F20"/>
        </w:rPr>
        <w:t>La</w:t>
      </w:r>
      <w:r>
        <w:rPr>
          <w:color w:val="231F20"/>
          <w:spacing w:val="-11"/>
        </w:rPr>
        <w:t> </w:t>
      </w:r>
      <w:r>
        <w:rPr>
          <w:color w:val="231F20"/>
        </w:rPr>
        <w:t>justice</w:t>
      </w:r>
      <w:r>
        <w:rPr>
          <w:color w:val="231F20"/>
          <w:spacing w:val="-10"/>
        </w:rPr>
        <w:t> </w:t>
      </w:r>
      <w:r>
        <w:rPr>
          <w:color w:val="231F20"/>
        </w:rPr>
        <w:t>et</w:t>
      </w:r>
      <w:r>
        <w:rPr>
          <w:color w:val="231F20"/>
          <w:spacing w:val="-10"/>
        </w:rPr>
        <w:t> </w:t>
      </w:r>
      <w:r>
        <w:rPr>
          <w:color w:val="231F20"/>
        </w:rPr>
        <w:t>la Presse inféodées aux partis au pouvoir, sont libres, respectueux de la déontologie qui fixe leurs droits et devoirs</w:t>
      </w:r>
      <w:r>
        <w:rPr>
          <w:color w:val="231F20"/>
          <w:spacing w:val="-13"/>
        </w:rPr>
        <w:t> </w:t>
      </w:r>
      <w:r>
        <w:rPr>
          <w:color w:val="231F20"/>
        </w:rPr>
        <w:t>: les populations leur font confiance. L’Armée, la Police et la Gendarmerie, loin des arènes politiques,</w:t>
      </w:r>
      <w:r>
        <w:rPr>
          <w:color w:val="231F20"/>
          <w:spacing w:val="-12"/>
        </w:rPr>
        <w:t> </w:t>
      </w:r>
      <w:r>
        <w:rPr>
          <w:color w:val="231F20"/>
        </w:rPr>
        <w:t>se</w:t>
      </w:r>
      <w:r>
        <w:rPr>
          <w:color w:val="231F20"/>
          <w:spacing w:val="-10"/>
        </w:rPr>
        <w:t> </w:t>
      </w:r>
      <w:r>
        <w:rPr>
          <w:color w:val="231F20"/>
        </w:rPr>
        <w:t>consacrent</w:t>
      </w:r>
      <w:r>
        <w:rPr>
          <w:color w:val="231F20"/>
          <w:spacing w:val="-10"/>
        </w:rPr>
        <w:t> </w:t>
      </w:r>
      <w:r>
        <w:rPr>
          <w:color w:val="231F20"/>
        </w:rPr>
        <w:t>exclusivement</w:t>
      </w:r>
      <w:r>
        <w:rPr>
          <w:color w:val="231F20"/>
          <w:spacing w:val="-10"/>
        </w:rPr>
        <w:t> </w:t>
      </w:r>
      <w:r>
        <w:rPr>
          <w:color w:val="231F20"/>
        </w:rPr>
        <w:t>à</w:t>
      </w:r>
      <w:r>
        <w:rPr>
          <w:color w:val="231F20"/>
          <w:spacing w:val="-12"/>
        </w:rPr>
        <w:t> </w:t>
      </w:r>
      <w:r>
        <w:rPr>
          <w:color w:val="231F20"/>
        </w:rPr>
        <w:t>la</w:t>
      </w:r>
      <w:r>
        <w:rPr>
          <w:color w:val="231F20"/>
          <w:spacing w:val="-10"/>
        </w:rPr>
        <w:t> </w:t>
      </w:r>
      <w:r>
        <w:rPr>
          <w:color w:val="231F20"/>
        </w:rPr>
        <w:t>protection</w:t>
      </w:r>
      <w:r>
        <w:rPr>
          <w:color w:val="231F20"/>
          <w:spacing w:val="-10"/>
        </w:rPr>
        <w:t> </w:t>
      </w:r>
      <w:r>
        <w:rPr>
          <w:color w:val="231F20"/>
        </w:rPr>
        <w:t>des</w:t>
      </w:r>
      <w:r>
        <w:rPr>
          <w:color w:val="231F20"/>
          <w:spacing w:val="-12"/>
        </w:rPr>
        <w:t> </w:t>
      </w:r>
      <w:r>
        <w:rPr>
          <w:color w:val="231F20"/>
        </w:rPr>
        <w:t>populations.</w:t>
      </w:r>
    </w:p>
    <w:p>
      <w:pPr>
        <w:pStyle w:val="BodyText"/>
        <w:spacing w:before="121"/>
        <w:ind w:left="395"/>
      </w:pPr>
      <w:r>
        <w:rPr>
          <w:color w:val="231F20"/>
        </w:rPr>
        <w:t>La</w:t>
      </w:r>
      <w:r>
        <w:rPr>
          <w:color w:val="231F20"/>
          <w:spacing w:val="9"/>
        </w:rPr>
        <w:t> </w:t>
      </w:r>
      <w:r>
        <w:rPr>
          <w:color w:val="231F20"/>
        </w:rPr>
        <w:t>démocratie</w:t>
      </w:r>
      <w:r>
        <w:rPr>
          <w:color w:val="231F20"/>
          <w:spacing w:val="8"/>
        </w:rPr>
        <w:t> </w:t>
      </w:r>
      <w:r>
        <w:rPr>
          <w:color w:val="231F20"/>
        </w:rPr>
        <w:t>s’est</w:t>
      </w:r>
      <w:r>
        <w:rPr>
          <w:color w:val="231F20"/>
          <w:spacing w:val="9"/>
        </w:rPr>
        <w:t> </w:t>
      </w:r>
      <w:r>
        <w:rPr>
          <w:color w:val="231F20"/>
        </w:rPr>
        <w:t>véritablement</w:t>
      </w:r>
      <w:r>
        <w:rPr>
          <w:color w:val="231F20"/>
          <w:spacing w:val="7"/>
        </w:rPr>
        <w:t> </w:t>
      </w:r>
      <w:r>
        <w:rPr>
          <w:color w:val="231F20"/>
        </w:rPr>
        <w:t>installée</w:t>
      </w:r>
      <w:r>
        <w:rPr>
          <w:color w:val="231F20"/>
          <w:spacing w:val="8"/>
        </w:rPr>
        <w:t> </w:t>
      </w:r>
      <w:r>
        <w:rPr>
          <w:color w:val="231F20"/>
        </w:rPr>
        <w:t>dans</w:t>
      </w:r>
      <w:r>
        <w:rPr>
          <w:color w:val="231F20"/>
          <w:spacing w:val="9"/>
        </w:rPr>
        <w:t> </w:t>
      </w:r>
      <w:r>
        <w:rPr>
          <w:color w:val="231F20"/>
        </w:rPr>
        <w:t>les</w:t>
      </w:r>
      <w:r>
        <w:rPr>
          <w:color w:val="231F20"/>
          <w:spacing w:val="10"/>
        </w:rPr>
        <w:t> </w:t>
      </w:r>
      <w:r>
        <w:rPr>
          <w:color w:val="231F20"/>
        </w:rPr>
        <w:t>différents</w:t>
      </w:r>
      <w:r>
        <w:rPr>
          <w:color w:val="231F20"/>
          <w:spacing w:val="9"/>
        </w:rPr>
        <w:t> </w:t>
      </w:r>
      <w:r>
        <w:rPr>
          <w:color w:val="231F20"/>
          <w:spacing w:val="-4"/>
        </w:rPr>
        <w:t>pays</w:t>
      </w:r>
    </w:p>
    <w:p>
      <w:pPr>
        <w:pStyle w:val="BodyText"/>
      </w:pPr>
      <w:r>
        <w:rPr>
          <w:color w:val="231F20"/>
          <w:spacing w:val="-4"/>
        </w:rPr>
        <w:t>devenus</w:t>
      </w:r>
      <w:r>
        <w:rPr>
          <w:color w:val="231F20"/>
          <w:spacing w:val="3"/>
        </w:rPr>
        <w:t> </w:t>
      </w:r>
      <w:r>
        <w:rPr>
          <w:color w:val="231F20"/>
          <w:spacing w:val="-4"/>
        </w:rPr>
        <w:t>véritablement</w:t>
      </w:r>
      <w:r>
        <w:rPr>
          <w:color w:val="231F20"/>
          <w:spacing w:val="6"/>
        </w:rPr>
        <w:t> </w:t>
      </w:r>
      <w:r>
        <w:rPr>
          <w:color w:val="231F20"/>
          <w:spacing w:val="-4"/>
        </w:rPr>
        <w:t>indépendants.</w:t>
      </w:r>
    </w:p>
    <w:p>
      <w:pPr>
        <w:pStyle w:val="BodyText"/>
        <w:spacing w:before="120"/>
        <w:ind w:right="106" w:firstLine="283"/>
      </w:pPr>
      <w:r>
        <w:rPr>
          <w:color w:val="231F20"/>
        </w:rPr>
        <w:t>Dans</w:t>
      </w:r>
      <w:r>
        <w:rPr>
          <w:color w:val="231F20"/>
          <w:spacing w:val="-10"/>
        </w:rPr>
        <w:t> </w:t>
      </w:r>
      <w:r>
        <w:rPr>
          <w:color w:val="231F20"/>
        </w:rPr>
        <w:t>tous</w:t>
      </w:r>
      <w:r>
        <w:rPr>
          <w:color w:val="231F20"/>
          <w:spacing w:val="-11"/>
        </w:rPr>
        <w:t> </w:t>
      </w:r>
      <w:r>
        <w:rPr>
          <w:color w:val="231F20"/>
        </w:rPr>
        <w:t>les</w:t>
      </w:r>
      <w:r>
        <w:rPr>
          <w:color w:val="231F20"/>
          <w:spacing w:val="-11"/>
        </w:rPr>
        <w:t> </w:t>
      </w:r>
      <w:r>
        <w:rPr>
          <w:color w:val="231F20"/>
        </w:rPr>
        <w:t>villages,</w:t>
      </w:r>
      <w:r>
        <w:rPr>
          <w:color w:val="231F20"/>
          <w:spacing w:val="-11"/>
        </w:rPr>
        <w:t> </w:t>
      </w:r>
      <w:r>
        <w:rPr>
          <w:color w:val="231F20"/>
        </w:rPr>
        <w:t>existent</w:t>
      </w:r>
      <w:r>
        <w:rPr>
          <w:color w:val="231F20"/>
          <w:spacing w:val="-11"/>
        </w:rPr>
        <w:t> </w:t>
      </w:r>
      <w:r>
        <w:rPr>
          <w:color w:val="231F20"/>
        </w:rPr>
        <w:t>des</w:t>
      </w:r>
      <w:r>
        <w:rPr>
          <w:color w:val="231F20"/>
          <w:spacing w:val="-10"/>
        </w:rPr>
        <w:t> </w:t>
      </w:r>
      <w:r>
        <w:rPr>
          <w:color w:val="231F20"/>
        </w:rPr>
        <w:t>établissements</w:t>
      </w:r>
      <w:r>
        <w:rPr>
          <w:color w:val="231F20"/>
          <w:spacing w:val="-11"/>
        </w:rPr>
        <w:t> </w:t>
      </w:r>
      <w:r>
        <w:rPr>
          <w:color w:val="231F20"/>
        </w:rPr>
        <w:t>scolaires</w:t>
      </w:r>
      <w:r>
        <w:rPr>
          <w:color w:val="231F20"/>
          <w:spacing w:val="-11"/>
        </w:rPr>
        <w:t> </w:t>
      </w:r>
      <w:r>
        <w:rPr>
          <w:color w:val="231F20"/>
        </w:rPr>
        <w:t>allant</w:t>
      </w:r>
      <w:r>
        <w:rPr>
          <w:color w:val="231F20"/>
          <w:spacing w:val="-11"/>
        </w:rPr>
        <w:t> </w:t>
      </w:r>
      <w:r>
        <w:rPr>
          <w:color w:val="231F20"/>
        </w:rPr>
        <w:t>du préscolaire au secondaire. Grâce aux banques nationales de </w:t>
      </w:r>
      <w:r>
        <w:rPr>
          <w:color w:val="231F20"/>
          <w:spacing w:val="-4"/>
        </w:rPr>
        <w:t>développement,</w:t>
      </w:r>
      <w:r>
        <w:rPr>
          <w:color w:val="231F20"/>
          <w:spacing w:val="-8"/>
        </w:rPr>
        <w:t> </w:t>
      </w:r>
      <w:r>
        <w:rPr>
          <w:color w:val="231F20"/>
          <w:spacing w:val="-4"/>
        </w:rPr>
        <w:t>les</w:t>
      </w:r>
      <w:r>
        <w:rPr>
          <w:color w:val="231F20"/>
          <w:spacing w:val="-8"/>
        </w:rPr>
        <w:t> </w:t>
      </w:r>
      <w:r>
        <w:rPr>
          <w:color w:val="231F20"/>
          <w:spacing w:val="-4"/>
        </w:rPr>
        <w:t>architectes</w:t>
      </w:r>
      <w:r>
        <w:rPr>
          <w:color w:val="231F20"/>
          <w:spacing w:val="-6"/>
        </w:rPr>
        <w:t> </w:t>
      </w:r>
      <w:r>
        <w:rPr>
          <w:color w:val="231F20"/>
          <w:spacing w:val="-4"/>
        </w:rPr>
        <w:t>nationaux</w:t>
      </w:r>
      <w:r>
        <w:rPr>
          <w:color w:val="231F20"/>
          <w:spacing w:val="-8"/>
        </w:rPr>
        <w:t> </w:t>
      </w:r>
      <w:r>
        <w:rPr>
          <w:color w:val="231F20"/>
          <w:spacing w:val="-4"/>
        </w:rPr>
        <w:t>ont</w:t>
      </w:r>
      <w:r>
        <w:rPr>
          <w:color w:val="231F20"/>
          <w:spacing w:val="-5"/>
        </w:rPr>
        <w:t> </w:t>
      </w:r>
      <w:r>
        <w:rPr>
          <w:color w:val="231F20"/>
          <w:spacing w:val="-4"/>
        </w:rPr>
        <w:t>construit</w:t>
      </w:r>
      <w:r>
        <w:rPr>
          <w:color w:val="231F20"/>
          <w:spacing w:val="-7"/>
        </w:rPr>
        <w:t> </w:t>
      </w:r>
      <w:r>
        <w:rPr>
          <w:color w:val="231F20"/>
          <w:spacing w:val="-4"/>
        </w:rPr>
        <w:t>à</w:t>
      </w:r>
      <w:r>
        <w:rPr>
          <w:color w:val="231F20"/>
          <w:spacing w:val="-9"/>
        </w:rPr>
        <w:t> </w:t>
      </w:r>
      <w:r>
        <w:rPr>
          <w:color w:val="231F20"/>
          <w:spacing w:val="-4"/>
        </w:rPr>
        <w:t>moindre</w:t>
      </w:r>
      <w:r>
        <w:rPr>
          <w:color w:val="231F20"/>
          <w:spacing w:val="-9"/>
        </w:rPr>
        <w:t> </w:t>
      </w:r>
      <w:r>
        <w:rPr>
          <w:color w:val="231F20"/>
          <w:spacing w:val="-4"/>
        </w:rPr>
        <w:t>coût,</w:t>
      </w:r>
      <w:r>
        <w:rPr>
          <w:color w:val="231F20"/>
          <w:spacing w:val="-8"/>
        </w:rPr>
        <w:t> </w:t>
      </w:r>
      <w:r>
        <w:rPr>
          <w:color w:val="231F20"/>
          <w:spacing w:val="-4"/>
        </w:rPr>
        <w:t>les </w:t>
      </w:r>
      <w:r>
        <w:rPr>
          <w:color w:val="231F20"/>
        </w:rPr>
        <w:t>écoles avec des matériaux locaux.</w:t>
      </w:r>
    </w:p>
    <w:p>
      <w:pPr>
        <w:pStyle w:val="BodyText"/>
        <w:spacing w:before="120"/>
        <w:ind w:right="105" w:firstLine="283"/>
      </w:pPr>
      <w:r>
        <w:rPr>
          <w:color w:val="231F20"/>
        </w:rPr>
        <w:t>Formés</w:t>
      </w:r>
      <w:r>
        <w:rPr>
          <w:color w:val="231F20"/>
          <w:spacing w:val="-4"/>
        </w:rPr>
        <w:t> </w:t>
      </w:r>
      <w:r>
        <w:rPr>
          <w:color w:val="231F20"/>
        </w:rPr>
        <w:t>en</w:t>
      </w:r>
      <w:r>
        <w:rPr>
          <w:color w:val="231F20"/>
          <w:spacing w:val="-6"/>
        </w:rPr>
        <w:t> </w:t>
      </w:r>
      <w:r>
        <w:rPr>
          <w:color w:val="231F20"/>
        </w:rPr>
        <w:t>grand</w:t>
      </w:r>
      <w:r>
        <w:rPr>
          <w:color w:val="231F20"/>
          <w:spacing w:val="-4"/>
        </w:rPr>
        <w:t> </w:t>
      </w:r>
      <w:r>
        <w:rPr>
          <w:color w:val="231F20"/>
        </w:rPr>
        <w:t>nombre,</w:t>
      </w:r>
      <w:r>
        <w:rPr>
          <w:color w:val="231F20"/>
          <w:spacing w:val="-4"/>
        </w:rPr>
        <w:t> </w:t>
      </w:r>
      <w:r>
        <w:rPr>
          <w:color w:val="231F20"/>
        </w:rPr>
        <w:t>bien</w:t>
      </w:r>
      <w:r>
        <w:rPr>
          <w:color w:val="231F20"/>
          <w:spacing w:val="-5"/>
        </w:rPr>
        <w:t> </w:t>
      </w:r>
      <w:r>
        <w:rPr>
          <w:color w:val="231F20"/>
        </w:rPr>
        <w:t>rémunérés</w:t>
      </w:r>
      <w:r>
        <w:rPr>
          <w:color w:val="231F20"/>
          <w:spacing w:val="-4"/>
        </w:rPr>
        <w:t> </w:t>
      </w:r>
      <w:r>
        <w:rPr>
          <w:color w:val="231F20"/>
        </w:rPr>
        <w:t>par</w:t>
      </w:r>
      <w:r>
        <w:rPr>
          <w:color w:val="231F20"/>
          <w:spacing w:val="-6"/>
        </w:rPr>
        <w:t> </w:t>
      </w:r>
      <w:r>
        <w:rPr>
          <w:color w:val="231F20"/>
        </w:rPr>
        <w:t>l’État,</w:t>
      </w:r>
      <w:r>
        <w:rPr>
          <w:color w:val="231F20"/>
          <w:spacing w:val="-4"/>
        </w:rPr>
        <w:t> </w:t>
      </w:r>
      <w:r>
        <w:rPr>
          <w:color w:val="231F20"/>
        </w:rPr>
        <w:t>les</w:t>
      </w:r>
      <w:r>
        <w:rPr>
          <w:color w:val="231F20"/>
          <w:spacing w:val="-4"/>
        </w:rPr>
        <w:t> </w:t>
      </w:r>
      <w:r>
        <w:rPr>
          <w:color w:val="231F20"/>
        </w:rPr>
        <w:t>enseignants affectés hors de la Capitale, ont pour feuille de route, l’instruction des </w:t>
      </w:r>
      <w:r>
        <w:rPr>
          <w:color w:val="231F20"/>
          <w:spacing w:val="-4"/>
        </w:rPr>
        <w:t>enfants</w:t>
      </w:r>
      <w:r>
        <w:rPr>
          <w:color w:val="231F20"/>
          <w:spacing w:val="-11"/>
        </w:rPr>
        <w:t> </w:t>
      </w:r>
      <w:r>
        <w:rPr>
          <w:color w:val="231F20"/>
          <w:spacing w:val="-4"/>
        </w:rPr>
        <w:t>pendant</w:t>
      </w:r>
      <w:r>
        <w:rPr>
          <w:color w:val="231F20"/>
          <w:spacing w:val="-11"/>
        </w:rPr>
        <w:t> </w:t>
      </w:r>
      <w:r>
        <w:rPr>
          <w:color w:val="231F20"/>
          <w:spacing w:val="-4"/>
        </w:rPr>
        <w:t>la</w:t>
      </w:r>
      <w:r>
        <w:rPr>
          <w:color w:val="231F20"/>
          <w:spacing w:val="-11"/>
        </w:rPr>
        <w:t> </w:t>
      </w:r>
      <w:r>
        <w:rPr>
          <w:color w:val="231F20"/>
          <w:spacing w:val="-4"/>
        </w:rPr>
        <w:t>journée</w:t>
      </w:r>
      <w:r>
        <w:rPr>
          <w:color w:val="231F20"/>
          <w:spacing w:val="-11"/>
        </w:rPr>
        <w:t> </w:t>
      </w:r>
      <w:r>
        <w:rPr>
          <w:color w:val="231F20"/>
          <w:spacing w:val="-4"/>
        </w:rPr>
        <w:t>et</w:t>
      </w:r>
      <w:r>
        <w:rPr>
          <w:color w:val="231F20"/>
          <w:spacing w:val="-11"/>
        </w:rPr>
        <w:t> </w:t>
      </w:r>
      <w:r>
        <w:rPr>
          <w:color w:val="231F20"/>
          <w:spacing w:val="-4"/>
        </w:rPr>
        <w:t>l’alphabétisation</w:t>
      </w:r>
      <w:r>
        <w:rPr>
          <w:color w:val="231F20"/>
          <w:spacing w:val="-11"/>
        </w:rPr>
        <w:t> </w:t>
      </w:r>
      <w:r>
        <w:rPr>
          <w:color w:val="231F20"/>
          <w:spacing w:val="-4"/>
        </w:rPr>
        <w:t>des</w:t>
      </w:r>
      <w:r>
        <w:rPr>
          <w:color w:val="231F20"/>
          <w:spacing w:val="-11"/>
        </w:rPr>
        <w:t> </w:t>
      </w:r>
      <w:r>
        <w:rPr>
          <w:color w:val="231F20"/>
          <w:spacing w:val="-4"/>
        </w:rPr>
        <w:t>adultes</w:t>
      </w:r>
      <w:r>
        <w:rPr>
          <w:color w:val="231F20"/>
          <w:spacing w:val="-11"/>
        </w:rPr>
        <w:t> </w:t>
      </w:r>
      <w:r>
        <w:rPr>
          <w:color w:val="231F20"/>
          <w:spacing w:val="-4"/>
        </w:rPr>
        <w:t>en</w:t>
      </w:r>
      <w:r>
        <w:rPr>
          <w:color w:val="231F20"/>
          <w:spacing w:val="-11"/>
        </w:rPr>
        <w:t> </w:t>
      </w:r>
      <w:r>
        <w:rPr>
          <w:color w:val="231F20"/>
          <w:spacing w:val="-4"/>
        </w:rPr>
        <w:t>cours</w:t>
      </w:r>
      <w:r>
        <w:rPr>
          <w:color w:val="231F20"/>
          <w:spacing w:val="-11"/>
        </w:rPr>
        <w:t> </w:t>
      </w:r>
      <w:r>
        <w:rPr>
          <w:color w:val="231F20"/>
          <w:spacing w:val="-4"/>
        </w:rPr>
        <w:t>du</w:t>
      </w:r>
      <w:r>
        <w:rPr>
          <w:color w:val="231F20"/>
          <w:spacing w:val="-11"/>
        </w:rPr>
        <w:t> </w:t>
      </w:r>
      <w:r>
        <w:rPr>
          <w:color w:val="231F20"/>
          <w:spacing w:val="-4"/>
        </w:rPr>
        <w:t>soir, </w:t>
      </w:r>
      <w:r>
        <w:rPr>
          <w:color w:val="231F20"/>
        </w:rPr>
        <w:t>2 heures par jour.</w:t>
      </w:r>
    </w:p>
    <w:p>
      <w:pPr>
        <w:pStyle w:val="BodyText"/>
        <w:spacing w:before="121"/>
        <w:ind w:right="106" w:firstLine="283"/>
      </w:pPr>
      <w:r>
        <w:rPr>
          <w:color w:val="231F20"/>
        </w:rPr>
        <w:t>Des</w:t>
      </w:r>
      <w:r>
        <w:rPr>
          <w:color w:val="231F20"/>
          <w:spacing w:val="-15"/>
        </w:rPr>
        <w:t> </w:t>
      </w:r>
      <w:r>
        <w:rPr>
          <w:color w:val="231F20"/>
        </w:rPr>
        <w:t>efforts</w:t>
      </w:r>
      <w:r>
        <w:rPr>
          <w:color w:val="231F20"/>
          <w:spacing w:val="-15"/>
        </w:rPr>
        <w:t> </w:t>
      </w:r>
      <w:r>
        <w:rPr>
          <w:color w:val="231F20"/>
        </w:rPr>
        <w:t>conséquents</w:t>
      </w:r>
      <w:r>
        <w:rPr>
          <w:color w:val="231F20"/>
          <w:spacing w:val="-15"/>
        </w:rPr>
        <w:t> </w:t>
      </w:r>
      <w:r>
        <w:rPr>
          <w:color w:val="231F20"/>
        </w:rPr>
        <w:t>en</w:t>
      </w:r>
      <w:r>
        <w:rPr>
          <w:color w:val="231F20"/>
          <w:spacing w:val="-15"/>
        </w:rPr>
        <w:t> </w:t>
      </w:r>
      <w:r>
        <w:rPr>
          <w:color w:val="231F20"/>
        </w:rPr>
        <w:t>termes</w:t>
      </w:r>
      <w:r>
        <w:rPr>
          <w:color w:val="231F20"/>
          <w:spacing w:val="-15"/>
        </w:rPr>
        <w:t> </w:t>
      </w:r>
      <w:r>
        <w:rPr>
          <w:color w:val="231F20"/>
        </w:rPr>
        <w:t>de</w:t>
      </w:r>
      <w:r>
        <w:rPr>
          <w:color w:val="231F20"/>
          <w:spacing w:val="-15"/>
        </w:rPr>
        <w:t> </w:t>
      </w:r>
      <w:r>
        <w:rPr>
          <w:color w:val="231F20"/>
        </w:rPr>
        <w:t>moyens</w:t>
      </w:r>
      <w:r>
        <w:rPr>
          <w:color w:val="231F20"/>
          <w:spacing w:val="-15"/>
        </w:rPr>
        <w:t> </w:t>
      </w:r>
      <w:r>
        <w:rPr>
          <w:color w:val="231F20"/>
        </w:rPr>
        <w:t>matériels</w:t>
      </w:r>
      <w:r>
        <w:rPr>
          <w:color w:val="231F20"/>
          <w:spacing w:val="-15"/>
        </w:rPr>
        <w:t> </w:t>
      </w:r>
      <w:r>
        <w:rPr>
          <w:color w:val="231F20"/>
        </w:rPr>
        <w:t>mais</w:t>
      </w:r>
      <w:r>
        <w:rPr>
          <w:color w:val="231F20"/>
          <w:spacing w:val="-15"/>
        </w:rPr>
        <w:t> </w:t>
      </w:r>
      <w:r>
        <w:rPr>
          <w:color w:val="231F20"/>
        </w:rPr>
        <w:t>aussi</w:t>
      </w:r>
      <w:r>
        <w:rPr>
          <w:color w:val="231F20"/>
          <w:spacing w:val="-15"/>
        </w:rPr>
        <w:t> </w:t>
      </w:r>
      <w:r>
        <w:rPr>
          <w:color w:val="231F20"/>
        </w:rPr>
        <w:t>de méthodes</w:t>
      </w:r>
      <w:r>
        <w:rPr>
          <w:color w:val="231F20"/>
          <w:spacing w:val="-5"/>
        </w:rPr>
        <w:t> </w:t>
      </w:r>
      <w:r>
        <w:rPr>
          <w:color w:val="231F20"/>
        </w:rPr>
        <w:t>pédagogiques</w:t>
      </w:r>
      <w:r>
        <w:rPr>
          <w:color w:val="231F20"/>
          <w:spacing w:val="-5"/>
        </w:rPr>
        <w:t> </w:t>
      </w:r>
      <w:r>
        <w:rPr>
          <w:color w:val="231F20"/>
        </w:rPr>
        <w:t>ont</w:t>
      </w:r>
      <w:r>
        <w:rPr>
          <w:color w:val="231F20"/>
          <w:spacing w:val="-5"/>
        </w:rPr>
        <w:t> </w:t>
      </w:r>
      <w:r>
        <w:rPr>
          <w:color w:val="231F20"/>
        </w:rPr>
        <w:t>doté</w:t>
      </w:r>
      <w:r>
        <w:rPr>
          <w:color w:val="231F20"/>
          <w:spacing w:val="-6"/>
        </w:rPr>
        <w:t> </w:t>
      </w:r>
      <w:r>
        <w:rPr>
          <w:color w:val="231F20"/>
        </w:rPr>
        <w:t>les</w:t>
      </w:r>
      <w:r>
        <w:rPr>
          <w:color w:val="231F20"/>
          <w:spacing w:val="-5"/>
        </w:rPr>
        <w:t> </w:t>
      </w:r>
      <w:r>
        <w:rPr>
          <w:color w:val="231F20"/>
        </w:rPr>
        <w:t>élèves</w:t>
      </w:r>
      <w:r>
        <w:rPr>
          <w:color w:val="231F20"/>
          <w:spacing w:val="-5"/>
        </w:rPr>
        <w:t> </w:t>
      </w:r>
      <w:r>
        <w:rPr>
          <w:color w:val="231F20"/>
        </w:rPr>
        <w:t>dans</w:t>
      </w:r>
      <w:r>
        <w:rPr>
          <w:color w:val="231F20"/>
          <w:spacing w:val="-5"/>
        </w:rPr>
        <w:t> </w:t>
      </w:r>
      <w:r>
        <w:rPr>
          <w:color w:val="231F20"/>
        </w:rPr>
        <w:t>les</w:t>
      </w:r>
      <w:r>
        <w:rPr>
          <w:color w:val="231F20"/>
          <w:spacing w:val="-5"/>
        </w:rPr>
        <w:t> </w:t>
      </w:r>
      <w:r>
        <w:rPr>
          <w:color w:val="231F20"/>
        </w:rPr>
        <w:t>différents</w:t>
      </w:r>
      <w:r>
        <w:rPr>
          <w:color w:val="231F20"/>
          <w:spacing w:val="-3"/>
        </w:rPr>
        <w:t> </w:t>
      </w:r>
      <w:r>
        <w:rPr>
          <w:color w:val="231F20"/>
        </w:rPr>
        <w:t>États,</w:t>
      </w:r>
      <w:r>
        <w:rPr>
          <w:color w:val="231F20"/>
          <w:spacing w:val="-7"/>
        </w:rPr>
        <w:t> </w:t>
      </w:r>
      <w:r>
        <w:rPr>
          <w:color w:val="231F20"/>
        </w:rPr>
        <w:t>de compétences</w:t>
      </w:r>
      <w:r>
        <w:rPr>
          <w:color w:val="231F20"/>
          <w:spacing w:val="-12"/>
        </w:rPr>
        <w:t> </w:t>
      </w:r>
      <w:r>
        <w:rPr>
          <w:color w:val="231F20"/>
        </w:rPr>
        <w:t>essentielles</w:t>
      </w:r>
      <w:r>
        <w:rPr>
          <w:color w:val="231F20"/>
          <w:spacing w:val="-13"/>
        </w:rPr>
        <w:t> </w:t>
      </w:r>
      <w:r>
        <w:rPr>
          <w:color w:val="231F20"/>
        </w:rPr>
        <w:t>pour</w:t>
      </w:r>
      <w:r>
        <w:rPr>
          <w:color w:val="231F20"/>
          <w:spacing w:val="-12"/>
        </w:rPr>
        <w:t> </w:t>
      </w:r>
      <w:r>
        <w:rPr>
          <w:color w:val="231F20"/>
        </w:rPr>
        <w:t>la</w:t>
      </w:r>
      <w:r>
        <w:rPr>
          <w:color w:val="231F20"/>
          <w:spacing w:val="-12"/>
        </w:rPr>
        <w:t> </w:t>
      </w:r>
      <w:r>
        <w:rPr>
          <w:color w:val="231F20"/>
        </w:rPr>
        <w:t>maîtrise</w:t>
      </w:r>
      <w:r>
        <w:rPr>
          <w:color w:val="231F20"/>
          <w:spacing w:val="-13"/>
        </w:rPr>
        <w:t> </w:t>
      </w:r>
      <w:r>
        <w:rPr>
          <w:color w:val="231F20"/>
        </w:rPr>
        <w:t>des</w:t>
      </w:r>
      <w:r>
        <w:rPr>
          <w:color w:val="231F20"/>
          <w:spacing w:val="-12"/>
        </w:rPr>
        <w:t> </w:t>
      </w:r>
      <w:r>
        <w:rPr>
          <w:color w:val="231F20"/>
        </w:rPr>
        <w:t>leviers</w:t>
      </w:r>
      <w:r>
        <w:rPr>
          <w:color w:val="231F20"/>
          <w:spacing w:val="-10"/>
        </w:rPr>
        <w:t> </w:t>
      </w:r>
      <w:r>
        <w:rPr>
          <w:color w:val="231F20"/>
        </w:rPr>
        <w:t>du</w:t>
      </w:r>
      <w:r>
        <w:rPr>
          <w:color w:val="231F20"/>
          <w:spacing w:val="-12"/>
        </w:rPr>
        <w:t> </w:t>
      </w:r>
      <w:r>
        <w:rPr>
          <w:color w:val="231F20"/>
        </w:rPr>
        <w:t>développement de leur pays.</w:t>
      </w:r>
    </w:p>
    <w:p>
      <w:pPr>
        <w:pStyle w:val="BodyText"/>
        <w:spacing w:before="120"/>
        <w:ind w:right="108" w:firstLine="283"/>
      </w:pPr>
      <w:r>
        <w:rPr>
          <w:color w:val="231F20"/>
        </w:rPr>
        <w:t>L’École en adéquation avec le marché du travail, forme de jeunes diplômés de l’enseignement classique ou professionnel ayant les deux pieds</w:t>
      </w:r>
      <w:r>
        <w:rPr>
          <w:color w:val="231F20"/>
          <w:spacing w:val="-1"/>
        </w:rPr>
        <w:t> </w:t>
      </w:r>
      <w:r>
        <w:rPr>
          <w:color w:val="231F20"/>
        </w:rPr>
        <w:t>dans leur</w:t>
      </w:r>
      <w:r>
        <w:rPr>
          <w:color w:val="231F20"/>
          <w:spacing w:val="-1"/>
        </w:rPr>
        <w:t> </w:t>
      </w:r>
      <w:r>
        <w:rPr>
          <w:color w:val="231F20"/>
        </w:rPr>
        <w:t>culture</w:t>
      </w:r>
      <w:r>
        <w:rPr>
          <w:color w:val="231F20"/>
          <w:spacing w:val="-1"/>
        </w:rPr>
        <w:t> </w:t>
      </w:r>
      <w:r>
        <w:rPr>
          <w:color w:val="231F20"/>
        </w:rPr>
        <w:t>et</w:t>
      </w:r>
      <w:r>
        <w:rPr>
          <w:color w:val="231F20"/>
          <w:spacing w:val="-1"/>
        </w:rPr>
        <w:t> </w:t>
      </w:r>
      <w:r>
        <w:rPr>
          <w:color w:val="231F20"/>
        </w:rPr>
        <w:t>la</w:t>
      </w:r>
      <w:r>
        <w:rPr>
          <w:color w:val="231F20"/>
          <w:spacing w:val="-1"/>
        </w:rPr>
        <w:t> </w:t>
      </w:r>
      <w:r>
        <w:rPr>
          <w:color w:val="231F20"/>
        </w:rPr>
        <w:t>tête</w:t>
      </w:r>
      <w:r>
        <w:rPr>
          <w:color w:val="231F20"/>
          <w:spacing w:val="-1"/>
        </w:rPr>
        <w:t> </w:t>
      </w:r>
      <w:r>
        <w:rPr>
          <w:color w:val="231F20"/>
        </w:rPr>
        <w:t>pleine</w:t>
      </w:r>
      <w:r>
        <w:rPr>
          <w:color w:val="231F20"/>
          <w:spacing w:val="-1"/>
        </w:rPr>
        <w:t> </w:t>
      </w:r>
      <w:r>
        <w:rPr>
          <w:color w:val="231F20"/>
        </w:rPr>
        <w:t>de</w:t>
      </w:r>
      <w:r>
        <w:rPr>
          <w:color w:val="231F20"/>
          <w:spacing w:val="-1"/>
        </w:rPr>
        <w:t> </w:t>
      </w:r>
      <w:r>
        <w:rPr>
          <w:color w:val="231F20"/>
        </w:rPr>
        <w:t>l’enseignement occidental, à même d’affronter dans tous les domaines d’activités, les défis de la </w:t>
      </w:r>
      <w:r>
        <w:rPr>
          <w:color w:val="231F20"/>
          <w:spacing w:val="-2"/>
        </w:rPr>
        <w:t>mondialisation.</w:t>
      </w:r>
    </w:p>
    <w:p>
      <w:pPr>
        <w:pStyle w:val="BodyText"/>
        <w:spacing w:before="198"/>
        <w:ind w:left="0"/>
        <w:jc w:val="left"/>
        <w:rPr>
          <w:sz w:val="20"/>
        </w:rPr>
      </w:pPr>
      <w:r>
        <w:rPr/>
        <mc:AlternateContent>
          <mc:Choice Requires="wps">
            <w:drawing>
              <wp:anchor distT="0" distB="0" distL="0" distR="0" allowOverlap="1" layoutInCell="1" locked="0" behindDoc="1" simplePos="0" relativeHeight="487657472">
                <wp:simplePos x="0" y="0"/>
                <wp:positionH relativeFrom="page">
                  <wp:posOffset>629907</wp:posOffset>
                </wp:positionH>
                <wp:positionV relativeFrom="paragraph">
                  <wp:posOffset>287477</wp:posOffset>
                </wp:positionV>
                <wp:extent cx="1829435" cy="9525"/>
                <wp:effectExtent l="0" t="0" r="0" b="0"/>
                <wp:wrapTopAndBottom/>
                <wp:docPr id="168" name="Graphic 168"/>
                <wp:cNvGraphicFramePr>
                  <a:graphicFrameLocks/>
                </wp:cNvGraphicFramePr>
                <a:graphic>
                  <a:graphicData uri="http://schemas.microsoft.com/office/word/2010/wordprocessingShape">
                    <wps:wsp>
                      <wps:cNvPr id="168" name="Graphic 16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2.636015pt;width:144.020pt;height:.72pt;mso-position-horizontal-relative:page;mso-position-vertical-relative:paragraph;z-index:-15659008;mso-wrap-distance-left:0;mso-wrap-distance-right:0" id="docshape166"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223</w:t>
      </w:r>
      <w:r>
        <w:rPr>
          <w:color w:val="76787A"/>
          <w:spacing w:val="-15"/>
          <w:sz w:val="20"/>
          <w:vertAlign w:val="baseline"/>
        </w:rPr>
        <w:t> </w:t>
      </w:r>
      <w:r>
        <w:rPr>
          <w:color w:val="231F20"/>
          <w:spacing w:val="-4"/>
          <w:sz w:val="20"/>
          <w:vertAlign w:val="baseline"/>
        </w:rPr>
        <w:t>Définition</w:t>
      </w:r>
      <w:r>
        <w:rPr>
          <w:color w:val="231F20"/>
          <w:spacing w:val="4"/>
          <w:sz w:val="20"/>
          <w:vertAlign w:val="baseline"/>
        </w:rPr>
        <w:t> </w:t>
      </w:r>
      <w:r>
        <w:rPr>
          <w:color w:val="231F20"/>
          <w:spacing w:val="-4"/>
          <w:sz w:val="20"/>
          <w:vertAlign w:val="baseline"/>
        </w:rPr>
        <w:t>Encyclopédique.</w:t>
      </w:r>
    </w:p>
    <w:p>
      <w:pPr>
        <w:spacing w:after="0"/>
        <w:jc w:val="left"/>
        <w:rPr>
          <w:sz w:val="20"/>
        </w:rPr>
        <w:sectPr>
          <w:pgSz w:w="8790" w:h="13610"/>
          <w:pgMar w:header="0" w:footer="802" w:top="1060" w:bottom="1000" w:left="880" w:right="880"/>
        </w:sectPr>
      </w:pPr>
    </w:p>
    <w:p>
      <w:pPr>
        <w:pStyle w:val="BodyText"/>
        <w:spacing w:before="66"/>
        <w:ind w:right="108" w:firstLine="340"/>
      </w:pPr>
      <w:r>
        <w:rPr>
          <w:color w:val="231F20"/>
        </w:rPr>
        <w:t>Les investissements effectués pendant trois décennies dans la connaissance des cultures des différentes communautés ont balayé les incompréhensions et clichés entre les communautés. Les Africains ont retrouvé la fierté d’être des Africains,</w:t>
      </w:r>
    </w:p>
    <w:p>
      <w:pPr>
        <w:pStyle w:val="BodyText"/>
        <w:spacing w:before="120"/>
        <w:ind w:right="106" w:firstLine="283"/>
      </w:pPr>
      <w:r>
        <w:rPr>
          <w:color w:val="231F20"/>
        </w:rPr>
        <w:t>À cause de la faible rémunération, du manque d'équipements de recherche, beaucoup d’experts nationaux qualifiés et de chercheurs avaient fui l’Afrique pour l’Occident. Depuis quelques années, ils ont retrouvé</w:t>
      </w:r>
      <w:r>
        <w:rPr>
          <w:color w:val="231F20"/>
          <w:spacing w:val="-13"/>
        </w:rPr>
        <w:t> </w:t>
      </w:r>
      <w:r>
        <w:rPr>
          <w:color w:val="231F20"/>
        </w:rPr>
        <w:t>le</w:t>
      </w:r>
      <w:r>
        <w:rPr>
          <w:color w:val="231F20"/>
          <w:spacing w:val="-11"/>
        </w:rPr>
        <w:t> </w:t>
      </w:r>
      <w:r>
        <w:rPr>
          <w:color w:val="231F20"/>
        </w:rPr>
        <w:t>chemin</w:t>
      </w:r>
      <w:r>
        <w:rPr>
          <w:color w:val="231F20"/>
          <w:spacing w:val="-13"/>
        </w:rPr>
        <w:t> </w:t>
      </w:r>
      <w:r>
        <w:rPr>
          <w:color w:val="231F20"/>
        </w:rPr>
        <w:t>de</w:t>
      </w:r>
      <w:r>
        <w:rPr>
          <w:color w:val="231F20"/>
          <w:spacing w:val="-13"/>
        </w:rPr>
        <w:t> </w:t>
      </w:r>
      <w:r>
        <w:rPr>
          <w:color w:val="231F20"/>
        </w:rPr>
        <w:t>leur</w:t>
      </w:r>
      <w:r>
        <w:rPr>
          <w:color w:val="231F20"/>
          <w:spacing w:val="-11"/>
        </w:rPr>
        <w:t> </w:t>
      </w:r>
      <w:r>
        <w:rPr>
          <w:color w:val="231F20"/>
        </w:rPr>
        <w:t>pays.</w:t>
      </w:r>
      <w:r>
        <w:rPr>
          <w:color w:val="231F20"/>
          <w:spacing w:val="-13"/>
        </w:rPr>
        <w:t> </w:t>
      </w:r>
      <w:r>
        <w:rPr>
          <w:color w:val="231F20"/>
        </w:rPr>
        <w:t>Le</w:t>
      </w:r>
      <w:r>
        <w:rPr>
          <w:color w:val="231F20"/>
          <w:spacing w:val="-13"/>
        </w:rPr>
        <w:t> </w:t>
      </w:r>
      <w:r>
        <w:rPr>
          <w:color w:val="231F20"/>
        </w:rPr>
        <w:t>retour</w:t>
      </w:r>
      <w:r>
        <w:rPr>
          <w:color w:val="231F20"/>
          <w:spacing w:val="-13"/>
        </w:rPr>
        <w:t> </w:t>
      </w:r>
      <w:r>
        <w:rPr>
          <w:color w:val="231F20"/>
        </w:rPr>
        <w:t>sur</w:t>
      </w:r>
      <w:r>
        <w:rPr>
          <w:color w:val="231F20"/>
          <w:spacing w:val="-13"/>
        </w:rPr>
        <w:t> </w:t>
      </w:r>
      <w:r>
        <w:rPr>
          <w:color w:val="231F20"/>
        </w:rPr>
        <w:t>la</w:t>
      </w:r>
      <w:r>
        <w:rPr>
          <w:color w:val="231F20"/>
          <w:spacing w:val="-13"/>
        </w:rPr>
        <w:t> </w:t>
      </w:r>
      <w:r>
        <w:rPr>
          <w:color w:val="231F20"/>
        </w:rPr>
        <w:t>terre</w:t>
      </w:r>
      <w:r>
        <w:rPr>
          <w:color w:val="231F20"/>
          <w:spacing w:val="-11"/>
        </w:rPr>
        <w:t> </w:t>
      </w:r>
      <w:r>
        <w:rPr>
          <w:color w:val="231F20"/>
        </w:rPr>
        <w:t>de</w:t>
      </w:r>
      <w:r>
        <w:rPr>
          <w:color w:val="231F20"/>
          <w:spacing w:val="-13"/>
        </w:rPr>
        <w:t> </w:t>
      </w:r>
      <w:r>
        <w:rPr>
          <w:color w:val="231F20"/>
        </w:rPr>
        <w:t>leurs</w:t>
      </w:r>
      <w:r>
        <w:rPr>
          <w:color w:val="231F20"/>
          <w:spacing w:val="-11"/>
        </w:rPr>
        <w:t> </w:t>
      </w:r>
      <w:r>
        <w:rPr>
          <w:color w:val="231F20"/>
        </w:rPr>
        <w:t>ancêtres</w:t>
      </w:r>
      <w:r>
        <w:rPr>
          <w:color w:val="231F20"/>
          <w:spacing w:val="-11"/>
        </w:rPr>
        <w:t> </w:t>
      </w:r>
      <w:r>
        <w:rPr>
          <w:color w:val="231F20"/>
        </w:rPr>
        <w:t>a considérablement amélioré la performance technologique et le </w:t>
      </w:r>
      <w:r>
        <w:rPr>
          <w:color w:val="231F20"/>
          <w:spacing w:val="-2"/>
        </w:rPr>
        <w:t>développement</w:t>
      </w:r>
      <w:r>
        <w:rPr>
          <w:color w:val="231F20"/>
          <w:spacing w:val="-15"/>
        </w:rPr>
        <w:t> </w:t>
      </w:r>
      <w:r>
        <w:rPr>
          <w:color w:val="231F20"/>
          <w:spacing w:val="-2"/>
        </w:rPr>
        <w:t>des</w:t>
      </w:r>
      <w:r>
        <w:rPr>
          <w:color w:val="231F20"/>
          <w:spacing w:val="-13"/>
        </w:rPr>
        <w:t> </w:t>
      </w:r>
      <w:r>
        <w:rPr>
          <w:color w:val="231F20"/>
          <w:spacing w:val="-2"/>
        </w:rPr>
        <w:t>institutions</w:t>
      </w:r>
      <w:r>
        <w:rPr>
          <w:color w:val="231F20"/>
          <w:spacing w:val="-13"/>
        </w:rPr>
        <w:t> </w:t>
      </w:r>
      <w:r>
        <w:rPr>
          <w:color w:val="231F20"/>
          <w:spacing w:val="-2"/>
        </w:rPr>
        <w:t>en</w:t>
      </w:r>
      <w:r>
        <w:rPr>
          <w:color w:val="231F20"/>
          <w:spacing w:val="-13"/>
        </w:rPr>
        <w:t> </w:t>
      </w:r>
      <w:r>
        <w:rPr>
          <w:color w:val="231F20"/>
          <w:spacing w:val="-2"/>
        </w:rPr>
        <w:t>matière</w:t>
      </w:r>
      <w:r>
        <w:rPr>
          <w:color w:val="231F20"/>
          <w:spacing w:val="-13"/>
        </w:rPr>
        <w:t> </w:t>
      </w:r>
      <w:r>
        <w:rPr>
          <w:color w:val="231F20"/>
          <w:spacing w:val="-2"/>
        </w:rPr>
        <w:t>de</w:t>
      </w:r>
      <w:r>
        <w:rPr>
          <w:color w:val="231F20"/>
          <w:spacing w:val="-13"/>
        </w:rPr>
        <w:t> </w:t>
      </w:r>
      <w:r>
        <w:rPr>
          <w:color w:val="231F20"/>
          <w:spacing w:val="-2"/>
        </w:rPr>
        <w:t>sciences,</w:t>
      </w:r>
      <w:r>
        <w:rPr>
          <w:color w:val="231F20"/>
          <w:spacing w:val="-13"/>
        </w:rPr>
        <w:t> </w:t>
      </w:r>
      <w:r>
        <w:rPr>
          <w:color w:val="231F20"/>
          <w:spacing w:val="-2"/>
        </w:rPr>
        <w:t>de</w:t>
      </w:r>
      <w:r>
        <w:rPr>
          <w:color w:val="231F20"/>
          <w:spacing w:val="-13"/>
        </w:rPr>
        <w:t> </w:t>
      </w:r>
      <w:r>
        <w:rPr>
          <w:color w:val="231F20"/>
          <w:spacing w:val="-2"/>
        </w:rPr>
        <w:t>technologies</w:t>
      </w:r>
      <w:r>
        <w:rPr>
          <w:color w:val="231F20"/>
          <w:spacing w:val="-13"/>
        </w:rPr>
        <w:t> </w:t>
      </w:r>
      <w:r>
        <w:rPr>
          <w:color w:val="231F20"/>
          <w:spacing w:val="-2"/>
        </w:rPr>
        <w:t>et d'innovation.</w:t>
      </w:r>
    </w:p>
    <w:p>
      <w:pPr>
        <w:pStyle w:val="BodyText"/>
        <w:spacing w:before="121"/>
        <w:ind w:right="105" w:firstLine="283"/>
      </w:pPr>
      <w:r>
        <w:rPr>
          <w:color w:val="231F20"/>
        </w:rPr>
        <w:t>Les</w:t>
      </w:r>
      <w:r>
        <w:rPr>
          <w:color w:val="231F20"/>
          <w:spacing w:val="-9"/>
        </w:rPr>
        <w:t> </w:t>
      </w:r>
      <w:r>
        <w:rPr>
          <w:color w:val="231F20"/>
        </w:rPr>
        <w:t>budgets</w:t>
      </w:r>
      <w:r>
        <w:rPr>
          <w:color w:val="231F20"/>
          <w:spacing w:val="-10"/>
        </w:rPr>
        <w:t> </w:t>
      </w:r>
      <w:r>
        <w:rPr>
          <w:color w:val="231F20"/>
        </w:rPr>
        <w:t>publics</w:t>
      </w:r>
      <w:r>
        <w:rPr>
          <w:color w:val="231F20"/>
          <w:spacing w:val="-10"/>
        </w:rPr>
        <w:t> </w:t>
      </w:r>
      <w:r>
        <w:rPr>
          <w:color w:val="231F20"/>
        </w:rPr>
        <w:t>ont</w:t>
      </w:r>
      <w:r>
        <w:rPr>
          <w:color w:val="231F20"/>
          <w:spacing w:val="-9"/>
        </w:rPr>
        <w:t> </w:t>
      </w:r>
      <w:r>
        <w:rPr>
          <w:color w:val="231F20"/>
        </w:rPr>
        <w:t>permis</w:t>
      </w:r>
      <w:r>
        <w:rPr>
          <w:color w:val="231F20"/>
          <w:spacing w:val="-10"/>
        </w:rPr>
        <w:t> </w:t>
      </w:r>
      <w:r>
        <w:rPr>
          <w:color w:val="231F20"/>
        </w:rPr>
        <w:t>d’améliorer</w:t>
      </w:r>
      <w:r>
        <w:rPr>
          <w:color w:val="231F20"/>
          <w:spacing w:val="-9"/>
        </w:rPr>
        <w:t> </w:t>
      </w:r>
      <w:r>
        <w:rPr>
          <w:color w:val="231F20"/>
        </w:rPr>
        <w:t>le</w:t>
      </w:r>
      <w:r>
        <w:rPr>
          <w:color w:val="231F20"/>
          <w:spacing w:val="-11"/>
        </w:rPr>
        <w:t> </w:t>
      </w:r>
      <w:r>
        <w:rPr>
          <w:color w:val="231F20"/>
        </w:rPr>
        <w:t>système</w:t>
      </w:r>
      <w:r>
        <w:rPr>
          <w:color w:val="231F20"/>
          <w:spacing w:val="-9"/>
        </w:rPr>
        <w:t> </w:t>
      </w:r>
      <w:r>
        <w:rPr>
          <w:color w:val="231F20"/>
        </w:rPr>
        <w:t>de</w:t>
      </w:r>
      <w:r>
        <w:rPr>
          <w:color w:val="231F20"/>
          <w:spacing w:val="-9"/>
        </w:rPr>
        <w:t> </w:t>
      </w:r>
      <w:r>
        <w:rPr>
          <w:color w:val="231F20"/>
        </w:rPr>
        <w:t>santé</w:t>
      </w:r>
      <w:r>
        <w:rPr>
          <w:color w:val="231F20"/>
          <w:spacing w:val="-10"/>
        </w:rPr>
        <w:t> </w:t>
      </w:r>
      <w:r>
        <w:rPr>
          <w:color w:val="231F20"/>
        </w:rPr>
        <w:t>et</w:t>
      </w:r>
      <w:r>
        <w:rPr>
          <w:color w:val="231F20"/>
          <w:spacing w:val="-10"/>
        </w:rPr>
        <w:t> </w:t>
      </w:r>
      <w:r>
        <w:rPr>
          <w:color w:val="231F20"/>
        </w:rPr>
        <w:t>de sécurité</w:t>
      </w:r>
      <w:r>
        <w:rPr>
          <w:color w:val="231F20"/>
          <w:spacing w:val="-15"/>
        </w:rPr>
        <w:t> </w:t>
      </w:r>
      <w:r>
        <w:rPr>
          <w:color w:val="231F20"/>
        </w:rPr>
        <w:t>sociale.</w:t>
      </w:r>
      <w:r>
        <w:rPr>
          <w:color w:val="231F20"/>
          <w:spacing w:val="-15"/>
        </w:rPr>
        <w:t> </w:t>
      </w:r>
      <w:r>
        <w:rPr>
          <w:color w:val="231F20"/>
        </w:rPr>
        <w:t>Le</w:t>
      </w:r>
      <w:r>
        <w:rPr>
          <w:color w:val="231F20"/>
          <w:spacing w:val="-15"/>
        </w:rPr>
        <w:t> </w:t>
      </w:r>
      <w:r>
        <w:rPr>
          <w:color w:val="231F20"/>
        </w:rPr>
        <w:t>temps</w:t>
      </w:r>
      <w:r>
        <w:rPr>
          <w:color w:val="231F20"/>
          <w:spacing w:val="-15"/>
        </w:rPr>
        <w:t> </w:t>
      </w:r>
      <w:r>
        <w:rPr>
          <w:color w:val="231F20"/>
        </w:rPr>
        <w:t>des</w:t>
      </w:r>
      <w:r>
        <w:rPr>
          <w:color w:val="231F20"/>
          <w:spacing w:val="-15"/>
        </w:rPr>
        <w:t> </w:t>
      </w:r>
      <w:r>
        <w:rPr>
          <w:color w:val="231F20"/>
        </w:rPr>
        <w:t>évacuations</w:t>
      </w:r>
      <w:r>
        <w:rPr>
          <w:color w:val="231F20"/>
          <w:spacing w:val="-15"/>
        </w:rPr>
        <w:t> </w:t>
      </w:r>
      <w:r>
        <w:rPr>
          <w:color w:val="231F20"/>
        </w:rPr>
        <w:t>de</w:t>
      </w:r>
      <w:r>
        <w:rPr>
          <w:color w:val="231F20"/>
          <w:spacing w:val="-15"/>
        </w:rPr>
        <w:t> </w:t>
      </w:r>
      <w:r>
        <w:rPr>
          <w:color w:val="231F20"/>
        </w:rPr>
        <w:t>malades</w:t>
      </w:r>
      <w:r>
        <w:rPr>
          <w:color w:val="231F20"/>
          <w:spacing w:val="-15"/>
        </w:rPr>
        <w:t> </w:t>
      </w:r>
      <w:r>
        <w:rPr>
          <w:color w:val="231F20"/>
        </w:rPr>
        <w:t>de</w:t>
      </w:r>
      <w:r>
        <w:rPr>
          <w:color w:val="231F20"/>
          <w:spacing w:val="-15"/>
        </w:rPr>
        <w:t> </w:t>
      </w:r>
      <w:r>
        <w:rPr>
          <w:color w:val="231F20"/>
        </w:rPr>
        <w:t>l’intérieur</w:t>
      </w:r>
      <w:r>
        <w:rPr>
          <w:color w:val="231F20"/>
          <w:spacing w:val="-15"/>
        </w:rPr>
        <w:t> </w:t>
      </w:r>
      <w:r>
        <w:rPr>
          <w:color w:val="231F20"/>
        </w:rPr>
        <w:t>vers la capitale et de l’Afrique pour l’Occident est un vieux souvenir</w:t>
      </w:r>
      <w:r>
        <w:rPr>
          <w:color w:val="231F20"/>
          <w:spacing w:val="-11"/>
        </w:rPr>
        <w:t> </w:t>
      </w:r>
      <w:r>
        <w:rPr>
          <w:color w:val="231F20"/>
        </w:rPr>
        <w:t>: les hôpitaux</w:t>
      </w:r>
      <w:r>
        <w:rPr>
          <w:color w:val="231F20"/>
          <w:spacing w:val="-2"/>
        </w:rPr>
        <w:t> </w:t>
      </w:r>
      <w:r>
        <w:rPr>
          <w:color w:val="231F20"/>
        </w:rPr>
        <w:t>disposent de</w:t>
      </w:r>
      <w:r>
        <w:rPr>
          <w:color w:val="231F20"/>
          <w:spacing w:val="-2"/>
        </w:rPr>
        <w:t> </w:t>
      </w:r>
      <w:r>
        <w:rPr>
          <w:color w:val="231F20"/>
        </w:rPr>
        <w:t>plateaux</w:t>
      </w:r>
      <w:r>
        <w:rPr>
          <w:color w:val="231F20"/>
          <w:spacing w:val="-2"/>
        </w:rPr>
        <w:t> </w:t>
      </w:r>
      <w:r>
        <w:rPr>
          <w:color w:val="231F20"/>
        </w:rPr>
        <w:t>techniques de dernière génération et</w:t>
      </w:r>
      <w:r>
        <w:rPr>
          <w:color w:val="231F20"/>
          <w:spacing w:val="-1"/>
        </w:rPr>
        <w:t> </w:t>
      </w:r>
      <w:r>
        <w:rPr>
          <w:color w:val="231F20"/>
        </w:rPr>
        <w:t>de </w:t>
      </w:r>
      <w:r>
        <w:rPr>
          <w:color w:val="231F20"/>
          <w:spacing w:val="-4"/>
        </w:rPr>
        <w:t>professionnels hautement qualifiés ; les laboratoires pharmaceutiques ont </w:t>
      </w:r>
      <w:r>
        <w:rPr>
          <w:color w:val="231F20"/>
        </w:rPr>
        <w:t>mis au service des populations, des produits bio fabriqués à partir des plantes</w:t>
      </w:r>
      <w:r>
        <w:rPr>
          <w:color w:val="231F20"/>
          <w:spacing w:val="-4"/>
        </w:rPr>
        <w:t> </w:t>
      </w:r>
      <w:r>
        <w:rPr>
          <w:color w:val="231F20"/>
        </w:rPr>
        <w:t>médicinales.</w:t>
      </w:r>
      <w:r>
        <w:rPr>
          <w:color w:val="231F20"/>
          <w:spacing w:val="-3"/>
        </w:rPr>
        <w:t> </w:t>
      </w:r>
      <w:r>
        <w:rPr>
          <w:color w:val="231F20"/>
        </w:rPr>
        <w:t>Les</w:t>
      </w:r>
      <w:r>
        <w:rPr>
          <w:color w:val="231F20"/>
          <w:spacing w:val="-4"/>
        </w:rPr>
        <w:t> </w:t>
      </w:r>
      <w:r>
        <w:rPr>
          <w:color w:val="231F20"/>
        </w:rPr>
        <w:t>scientifiques</w:t>
      </w:r>
      <w:r>
        <w:rPr>
          <w:color w:val="231F20"/>
          <w:spacing w:val="-3"/>
        </w:rPr>
        <w:t> </w:t>
      </w:r>
      <w:r>
        <w:rPr>
          <w:color w:val="231F20"/>
        </w:rPr>
        <w:t>se</w:t>
      </w:r>
      <w:r>
        <w:rPr>
          <w:color w:val="231F20"/>
          <w:spacing w:val="-4"/>
        </w:rPr>
        <w:t> </w:t>
      </w:r>
      <w:r>
        <w:rPr>
          <w:color w:val="231F20"/>
        </w:rPr>
        <w:t>sont</w:t>
      </w:r>
      <w:r>
        <w:rPr>
          <w:color w:val="231F20"/>
          <w:spacing w:val="-2"/>
        </w:rPr>
        <w:t> </w:t>
      </w:r>
      <w:r>
        <w:rPr>
          <w:color w:val="231F20"/>
        </w:rPr>
        <w:t>davantage</w:t>
      </w:r>
      <w:r>
        <w:rPr>
          <w:color w:val="231F20"/>
          <w:spacing w:val="-3"/>
        </w:rPr>
        <w:t> </w:t>
      </w:r>
      <w:r>
        <w:rPr>
          <w:color w:val="231F20"/>
        </w:rPr>
        <w:t>penchés</w:t>
      </w:r>
      <w:r>
        <w:rPr>
          <w:color w:val="231F20"/>
          <w:spacing w:val="-3"/>
        </w:rPr>
        <w:t> </w:t>
      </w:r>
      <w:r>
        <w:rPr>
          <w:color w:val="231F20"/>
        </w:rPr>
        <w:t>sur</w:t>
      </w:r>
      <w:r>
        <w:rPr>
          <w:color w:val="231F20"/>
          <w:spacing w:val="-4"/>
        </w:rPr>
        <w:t> </w:t>
      </w:r>
      <w:r>
        <w:rPr>
          <w:color w:val="231F20"/>
        </w:rPr>
        <w:t>le </w:t>
      </w:r>
      <w:r>
        <w:rPr>
          <w:color w:val="231F20"/>
          <w:spacing w:val="-2"/>
        </w:rPr>
        <w:t>traitement</w:t>
      </w:r>
      <w:r>
        <w:rPr>
          <w:color w:val="231F20"/>
          <w:spacing w:val="-15"/>
        </w:rPr>
        <w:t> </w:t>
      </w:r>
      <w:r>
        <w:rPr>
          <w:color w:val="231F20"/>
          <w:spacing w:val="-2"/>
        </w:rPr>
        <w:t>des</w:t>
      </w:r>
      <w:r>
        <w:rPr>
          <w:color w:val="231F20"/>
          <w:spacing w:val="-13"/>
        </w:rPr>
        <w:t> </w:t>
      </w:r>
      <w:r>
        <w:rPr>
          <w:color w:val="231F20"/>
          <w:spacing w:val="-2"/>
        </w:rPr>
        <w:t>maladies</w:t>
      </w:r>
      <w:r>
        <w:rPr>
          <w:color w:val="231F20"/>
          <w:spacing w:val="-13"/>
        </w:rPr>
        <w:t> </w:t>
      </w:r>
      <w:r>
        <w:rPr>
          <w:color w:val="231F20"/>
          <w:spacing w:val="-2"/>
        </w:rPr>
        <w:t>tropicales</w:t>
      </w:r>
      <w:r>
        <w:rPr>
          <w:color w:val="231F20"/>
          <w:spacing w:val="-13"/>
        </w:rPr>
        <w:t> </w:t>
      </w:r>
      <w:r>
        <w:rPr>
          <w:color w:val="231F20"/>
          <w:spacing w:val="-2"/>
        </w:rPr>
        <w:t>comme</w:t>
      </w:r>
      <w:r>
        <w:rPr>
          <w:color w:val="231F20"/>
          <w:spacing w:val="-13"/>
        </w:rPr>
        <w:t> </w:t>
      </w:r>
      <w:r>
        <w:rPr>
          <w:color w:val="231F20"/>
          <w:spacing w:val="-2"/>
        </w:rPr>
        <w:t>le</w:t>
      </w:r>
      <w:r>
        <w:rPr>
          <w:color w:val="231F20"/>
          <w:spacing w:val="-13"/>
        </w:rPr>
        <w:t> </w:t>
      </w:r>
      <w:r>
        <w:rPr>
          <w:color w:val="231F20"/>
          <w:spacing w:val="-2"/>
        </w:rPr>
        <w:t>paludisme</w:t>
      </w:r>
      <w:r>
        <w:rPr>
          <w:color w:val="231F20"/>
          <w:spacing w:val="-13"/>
        </w:rPr>
        <w:t> </w:t>
      </w:r>
      <w:r>
        <w:rPr>
          <w:color w:val="231F20"/>
          <w:spacing w:val="-2"/>
        </w:rPr>
        <w:t>mais</w:t>
      </w:r>
      <w:r>
        <w:rPr>
          <w:color w:val="231F20"/>
          <w:spacing w:val="-13"/>
        </w:rPr>
        <w:t> </w:t>
      </w:r>
      <w:r>
        <w:rPr>
          <w:color w:val="231F20"/>
          <w:spacing w:val="-2"/>
        </w:rPr>
        <w:t>ils</w:t>
      </w:r>
      <w:r>
        <w:rPr>
          <w:color w:val="231F20"/>
          <w:spacing w:val="-13"/>
        </w:rPr>
        <w:t> </w:t>
      </w:r>
      <w:r>
        <w:rPr>
          <w:color w:val="231F20"/>
          <w:spacing w:val="-2"/>
        </w:rPr>
        <w:t>n’ont</w:t>
      </w:r>
      <w:r>
        <w:rPr>
          <w:color w:val="231F20"/>
          <w:spacing w:val="-13"/>
        </w:rPr>
        <w:t> </w:t>
      </w:r>
      <w:r>
        <w:rPr>
          <w:color w:val="231F20"/>
          <w:spacing w:val="-2"/>
        </w:rPr>
        <w:t>pas négligé</w:t>
      </w:r>
      <w:r>
        <w:rPr>
          <w:color w:val="231F20"/>
          <w:spacing w:val="-10"/>
        </w:rPr>
        <w:t> </w:t>
      </w:r>
      <w:r>
        <w:rPr>
          <w:color w:val="231F20"/>
          <w:spacing w:val="-2"/>
        </w:rPr>
        <w:t>des</w:t>
      </w:r>
      <w:r>
        <w:rPr>
          <w:color w:val="231F20"/>
          <w:spacing w:val="-12"/>
        </w:rPr>
        <w:t> </w:t>
      </w:r>
      <w:r>
        <w:rPr>
          <w:color w:val="231F20"/>
          <w:spacing w:val="-2"/>
        </w:rPr>
        <w:t>maladies</w:t>
      </w:r>
      <w:r>
        <w:rPr>
          <w:color w:val="231F20"/>
          <w:spacing w:val="-10"/>
        </w:rPr>
        <w:t> </w:t>
      </w:r>
      <w:r>
        <w:rPr>
          <w:color w:val="231F20"/>
          <w:spacing w:val="-2"/>
        </w:rPr>
        <w:t>comme</w:t>
      </w:r>
      <w:r>
        <w:rPr>
          <w:color w:val="231F20"/>
          <w:spacing w:val="-10"/>
        </w:rPr>
        <w:t> </w:t>
      </w:r>
      <w:r>
        <w:rPr>
          <w:color w:val="231F20"/>
          <w:spacing w:val="-2"/>
        </w:rPr>
        <w:t>le</w:t>
      </w:r>
      <w:r>
        <w:rPr>
          <w:color w:val="231F20"/>
          <w:spacing w:val="-12"/>
        </w:rPr>
        <w:t> </w:t>
      </w:r>
      <w:r>
        <w:rPr>
          <w:color w:val="231F20"/>
          <w:spacing w:val="-2"/>
        </w:rPr>
        <w:t>diabète</w:t>
      </w:r>
      <w:r>
        <w:rPr>
          <w:color w:val="231F20"/>
          <w:spacing w:val="-12"/>
        </w:rPr>
        <w:t> </w:t>
      </w:r>
      <w:r>
        <w:rPr>
          <w:color w:val="231F20"/>
          <w:spacing w:val="-2"/>
        </w:rPr>
        <w:t>ou</w:t>
      </w:r>
      <w:r>
        <w:rPr>
          <w:color w:val="231F20"/>
          <w:spacing w:val="-12"/>
        </w:rPr>
        <w:t> </w:t>
      </w:r>
      <w:r>
        <w:rPr>
          <w:color w:val="231F20"/>
          <w:spacing w:val="-2"/>
        </w:rPr>
        <w:t>le</w:t>
      </w:r>
      <w:r>
        <w:rPr>
          <w:color w:val="231F20"/>
          <w:spacing w:val="-10"/>
        </w:rPr>
        <w:t> </w:t>
      </w:r>
      <w:r>
        <w:rPr>
          <w:color w:val="231F20"/>
          <w:spacing w:val="-2"/>
        </w:rPr>
        <w:t>cancer</w:t>
      </w:r>
      <w:r>
        <w:rPr>
          <w:color w:val="231F20"/>
          <w:spacing w:val="-11"/>
        </w:rPr>
        <w:t> </w:t>
      </w:r>
      <w:r>
        <w:rPr>
          <w:color w:val="231F20"/>
          <w:spacing w:val="-2"/>
        </w:rPr>
        <w:t>:</w:t>
      </w:r>
      <w:r>
        <w:rPr>
          <w:color w:val="231F20"/>
          <w:spacing w:val="-10"/>
        </w:rPr>
        <w:t> </w:t>
      </w:r>
      <w:r>
        <w:rPr>
          <w:color w:val="231F20"/>
          <w:spacing w:val="-2"/>
        </w:rPr>
        <w:t>grâce</w:t>
      </w:r>
      <w:r>
        <w:rPr>
          <w:color w:val="231F20"/>
          <w:spacing w:val="-10"/>
        </w:rPr>
        <w:t> </w:t>
      </w:r>
      <w:r>
        <w:rPr>
          <w:color w:val="231F20"/>
          <w:spacing w:val="-2"/>
        </w:rPr>
        <w:t>à</w:t>
      </w:r>
      <w:r>
        <w:rPr>
          <w:color w:val="231F20"/>
          <w:spacing w:val="-12"/>
        </w:rPr>
        <w:t> </w:t>
      </w:r>
      <w:r>
        <w:rPr>
          <w:color w:val="231F20"/>
          <w:spacing w:val="-2"/>
        </w:rPr>
        <w:t>des</w:t>
      </w:r>
      <w:r>
        <w:rPr>
          <w:color w:val="231F20"/>
          <w:spacing w:val="-9"/>
        </w:rPr>
        <w:t> </w:t>
      </w:r>
      <w:r>
        <w:rPr>
          <w:color w:val="231F20"/>
          <w:spacing w:val="-2"/>
        </w:rPr>
        <w:t>plantes, </w:t>
      </w:r>
      <w:r>
        <w:rPr>
          <w:color w:val="231F20"/>
        </w:rPr>
        <w:t>les</w:t>
      </w:r>
      <w:r>
        <w:rPr>
          <w:color w:val="231F20"/>
          <w:spacing w:val="-4"/>
        </w:rPr>
        <w:t> </w:t>
      </w:r>
      <w:r>
        <w:rPr>
          <w:color w:val="231F20"/>
        </w:rPr>
        <w:t>chercheurs</w:t>
      </w:r>
      <w:r>
        <w:rPr>
          <w:color w:val="231F20"/>
          <w:spacing w:val="-6"/>
        </w:rPr>
        <w:t> </w:t>
      </w:r>
      <w:r>
        <w:rPr>
          <w:color w:val="231F20"/>
        </w:rPr>
        <w:t>ont</w:t>
      </w:r>
      <w:r>
        <w:rPr>
          <w:color w:val="231F20"/>
          <w:spacing w:val="-3"/>
        </w:rPr>
        <w:t> </w:t>
      </w:r>
      <w:r>
        <w:rPr>
          <w:color w:val="231F20"/>
        </w:rPr>
        <w:t>trouvé</w:t>
      </w:r>
      <w:r>
        <w:rPr>
          <w:color w:val="231F20"/>
          <w:spacing w:val="-4"/>
        </w:rPr>
        <w:t> </w:t>
      </w:r>
      <w:r>
        <w:rPr>
          <w:color w:val="231F20"/>
        </w:rPr>
        <w:t>des</w:t>
      </w:r>
      <w:r>
        <w:rPr>
          <w:color w:val="231F20"/>
          <w:spacing w:val="-3"/>
        </w:rPr>
        <w:t> </w:t>
      </w:r>
      <w:r>
        <w:rPr>
          <w:color w:val="231F20"/>
        </w:rPr>
        <w:t>remèdes</w:t>
      </w:r>
      <w:r>
        <w:rPr>
          <w:color w:val="231F20"/>
          <w:spacing w:val="-6"/>
        </w:rPr>
        <w:t> </w:t>
      </w:r>
      <w:r>
        <w:rPr>
          <w:color w:val="231F20"/>
        </w:rPr>
        <w:t>qui</w:t>
      </w:r>
      <w:r>
        <w:rPr>
          <w:color w:val="231F20"/>
          <w:spacing w:val="-4"/>
        </w:rPr>
        <w:t> </w:t>
      </w:r>
      <w:r>
        <w:rPr>
          <w:color w:val="231F20"/>
        </w:rPr>
        <w:t>les</w:t>
      </w:r>
      <w:r>
        <w:rPr>
          <w:color w:val="231F20"/>
          <w:spacing w:val="-6"/>
        </w:rPr>
        <w:t> </w:t>
      </w:r>
      <w:r>
        <w:rPr>
          <w:color w:val="231F20"/>
        </w:rPr>
        <w:t>font</w:t>
      </w:r>
      <w:r>
        <w:rPr>
          <w:color w:val="231F20"/>
          <w:spacing w:val="-3"/>
        </w:rPr>
        <w:t> </w:t>
      </w:r>
      <w:r>
        <w:rPr>
          <w:color w:val="231F20"/>
        </w:rPr>
        <w:t>disparaître.</w:t>
      </w:r>
    </w:p>
    <w:p>
      <w:pPr>
        <w:pStyle w:val="BodyText"/>
        <w:spacing w:before="120"/>
        <w:ind w:right="111" w:firstLine="283"/>
      </w:pPr>
      <w:r>
        <w:rPr>
          <w:color w:val="231F20"/>
        </w:rPr>
        <w:t>Tous les villages en Afrique noire francophone ont accès à l’eau potable et à l’électricité.</w:t>
      </w:r>
    </w:p>
    <w:p>
      <w:pPr>
        <w:pStyle w:val="BodyText"/>
        <w:spacing w:before="120"/>
        <w:ind w:right="105" w:firstLine="283"/>
      </w:pPr>
      <w:r>
        <w:rPr>
          <w:color w:val="231F20"/>
          <w:spacing w:val="-2"/>
        </w:rPr>
        <w:t>En</w:t>
      </w:r>
      <w:r>
        <w:rPr>
          <w:color w:val="231F20"/>
          <w:spacing w:val="-13"/>
        </w:rPr>
        <w:t> </w:t>
      </w:r>
      <w:r>
        <w:rPr>
          <w:color w:val="231F20"/>
          <w:spacing w:val="-2"/>
        </w:rPr>
        <w:t>effet,</w:t>
      </w:r>
      <w:r>
        <w:rPr>
          <w:color w:val="231F20"/>
          <w:spacing w:val="-13"/>
        </w:rPr>
        <w:t> </w:t>
      </w:r>
      <w:r>
        <w:rPr>
          <w:color w:val="231F20"/>
          <w:spacing w:val="-2"/>
        </w:rPr>
        <w:t>pour</w:t>
      </w:r>
      <w:r>
        <w:rPr>
          <w:color w:val="231F20"/>
          <w:spacing w:val="-13"/>
        </w:rPr>
        <w:t> </w:t>
      </w:r>
      <w:r>
        <w:rPr>
          <w:color w:val="231F20"/>
          <w:spacing w:val="-2"/>
        </w:rPr>
        <w:t>résorber</w:t>
      </w:r>
      <w:r>
        <w:rPr>
          <w:color w:val="231F20"/>
          <w:spacing w:val="-13"/>
        </w:rPr>
        <w:t> </w:t>
      </w:r>
      <w:r>
        <w:rPr>
          <w:color w:val="231F20"/>
          <w:spacing w:val="-2"/>
        </w:rPr>
        <w:t>le</w:t>
      </w:r>
      <w:r>
        <w:rPr>
          <w:color w:val="231F20"/>
          <w:spacing w:val="-13"/>
        </w:rPr>
        <w:t> </w:t>
      </w:r>
      <w:r>
        <w:rPr>
          <w:color w:val="231F20"/>
          <w:spacing w:val="-2"/>
        </w:rPr>
        <w:t>déficit</w:t>
      </w:r>
      <w:r>
        <w:rPr>
          <w:color w:val="231F20"/>
          <w:spacing w:val="-13"/>
        </w:rPr>
        <w:t> </w:t>
      </w:r>
      <w:r>
        <w:rPr>
          <w:color w:val="231F20"/>
          <w:spacing w:val="-2"/>
        </w:rPr>
        <w:t>énergétique</w:t>
      </w:r>
      <w:r>
        <w:rPr>
          <w:color w:val="231F20"/>
          <w:spacing w:val="-13"/>
        </w:rPr>
        <w:t> </w:t>
      </w:r>
      <w:r>
        <w:rPr>
          <w:color w:val="231F20"/>
          <w:spacing w:val="-2"/>
        </w:rPr>
        <w:t>dans</w:t>
      </w:r>
      <w:r>
        <w:rPr>
          <w:color w:val="231F20"/>
          <w:spacing w:val="-13"/>
        </w:rPr>
        <w:t> </w:t>
      </w:r>
      <w:r>
        <w:rPr>
          <w:color w:val="231F20"/>
          <w:spacing w:val="-2"/>
        </w:rPr>
        <w:t>des</w:t>
      </w:r>
      <w:r>
        <w:rPr>
          <w:color w:val="231F20"/>
          <w:spacing w:val="-13"/>
        </w:rPr>
        <w:t> </w:t>
      </w:r>
      <w:r>
        <w:rPr>
          <w:color w:val="231F20"/>
          <w:spacing w:val="-2"/>
        </w:rPr>
        <w:t>États</w:t>
      </w:r>
      <w:r>
        <w:rPr>
          <w:color w:val="231F20"/>
          <w:spacing w:val="-13"/>
        </w:rPr>
        <w:t> </w:t>
      </w:r>
      <w:r>
        <w:rPr>
          <w:color w:val="231F20"/>
          <w:spacing w:val="-2"/>
        </w:rPr>
        <w:t>ensoleillés </w:t>
      </w:r>
      <w:r>
        <w:rPr>
          <w:color w:val="231F20"/>
        </w:rPr>
        <w:t>12</w:t>
      </w:r>
      <w:r>
        <w:rPr>
          <w:color w:val="231F20"/>
          <w:spacing w:val="-15"/>
        </w:rPr>
        <w:t> </w:t>
      </w:r>
      <w:r>
        <w:rPr>
          <w:color w:val="231F20"/>
        </w:rPr>
        <w:t>mois</w:t>
      </w:r>
      <w:r>
        <w:rPr>
          <w:color w:val="231F20"/>
          <w:spacing w:val="-15"/>
        </w:rPr>
        <w:t> </w:t>
      </w:r>
      <w:r>
        <w:rPr>
          <w:color w:val="231F20"/>
        </w:rPr>
        <w:t>sur</w:t>
      </w:r>
      <w:r>
        <w:rPr>
          <w:color w:val="231F20"/>
          <w:spacing w:val="-14"/>
        </w:rPr>
        <w:t> </w:t>
      </w:r>
      <w:r>
        <w:rPr>
          <w:color w:val="231F20"/>
        </w:rPr>
        <w:t>12,</w:t>
      </w:r>
      <w:r>
        <w:rPr>
          <w:color w:val="231F20"/>
          <w:spacing w:val="-15"/>
        </w:rPr>
        <w:t> </w:t>
      </w:r>
      <w:r>
        <w:rPr>
          <w:color w:val="231F20"/>
        </w:rPr>
        <w:t>les</w:t>
      </w:r>
      <w:r>
        <w:rPr>
          <w:color w:val="231F20"/>
          <w:spacing w:val="-14"/>
        </w:rPr>
        <w:t> </w:t>
      </w:r>
      <w:r>
        <w:rPr>
          <w:color w:val="231F20"/>
        </w:rPr>
        <w:t>dirigeants</w:t>
      </w:r>
      <w:r>
        <w:rPr>
          <w:color w:val="231F20"/>
          <w:spacing w:val="-14"/>
        </w:rPr>
        <w:t> </w:t>
      </w:r>
      <w:r>
        <w:rPr>
          <w:color w:val="231F20"/>
        </w:rPr>
        <w:t>de</w:t>
      </w:r>
      <w:r>
        <w:rPr>
          <w:color w:val="231F20"/>
          <w:spacing w:val="-14"/>
        </w:rPr>
        <w:t> </w:t>
      </w:r>
      <w:r>
        <w:rPr>
          <w:color w:val="231F20"/>
        </w:rPr>
        <w:t>ces</w:t>
      </w:r>
      <w:r>
        <w:rPr>
          <w:color w:val="231F20"/>
          <w:spacing w:val="-13"/>
        </w:rPr>
        <w:t> </w:t>
      </w:r>
      <w:r>
        <w:rPr>
          <w:color w:val="231F20"/>
        </w:rPr>
        <w:t>États</w:t>
      </w:r>
      <w:r>
        <w:rPr>
          <w:color w:val="231F20"/>
          <w:spacing w:val="-15"/>
        </w:rPr>
        <w:t> </w:t>
      </w:r>
      <w:r>
        <w:rPr>
          <w:color w:val="231F20"/>
        </w:rPr>
        <w:t>ont</w:t>
      </w:r>
      <w:r>
        <w:rPr>
          <w:color w:val="231F20"/>
          <w:spacing w:val="-15"/>
        </w:rPr>
        <w:t> </w:t>
      </w:r>
      <w:r>
        <w:rPr>
          <w:color w:val="231F20"/>
        </w:rPr>
        <w:t>opté</w:t>
      </w:r>
      <w:r>
        <w:rPr>
          <w:color w:val="231F20"/>
          <w:spacing w:val="-15"/>
        </w:rPr>
        <w:t> </w:t>
      </w:r>
      <w:r>
        <w:rPr>
          <w:color w:val="231F20"/>
        </w:rPr>
        <w:t>pour</w:t>
      </w:r>
      <w:r>
        <w:rPr>
          <w:color w:val="231F20"/>
          <w:spacing w:val="-14"/>
        </w:rPr>
        <w:t> </w:t>
      </w:r>
      <w:r>
        <w:rPr>
          <w:color w:val="231F20"/>
        </w:rPr>
        <w:t>l’énergie</w:t>
      </w:r>
      <w:r>
        <w:rPr>
          <w:color w:val="231F20"/>
          <w:spacing w:val="-14"/>
        </w:rPr>
        <w:t> </w:t>
      </w:r>
      <w:r>
        <w:rPr>
          <w:color w:val="231F20"/>
        </w:rPr>
        <w:t>solaire aux lieu et place des barrages hydroélectriques soumis aux aléas climatiques. Des entreprises nationales ont investi dans le domaine et connecté plus de 99% des ménages.</w:t>
      </w:r>
    </w:p>
    <w:p>
      <w:pPr>
        <w:pStyle w:val="BodyText"/>
        <w:spacing w:before="121"/>
        <w:ind w:right="107" w:firstLine="283"/>
      </w:pPr>
      <w:r>
        <w:rPr>
          <w:color w:val="231F20"/>
        </w:rPr>
        <w:t>Les pays sahéliens ne souffrent plus de la famine</w:t>
      </w:r>
      <w:r>
        <w:rPr>
          <w:color w:val="231F20"/>
          <w:spacing w:val="-12"/>
        </w:rPr>
        <w:t> </w:t>
      </w:r>
      <w:r>
        <w:rPr>
          <w:color w:val="231F20"/>
        </w:rPr>
        <w:t>: les ingénieurs locaux</w:t>
      </w:r>
      <w:r>
        <w:rPr>
          <w:color w:val="231F20"/>
          <w:spacing w:val="-10"/>
        </w:rPr>
        <w:t> </w:t>
      </w:r>
      <w:r>
        <w:rPr>
          <w:color w:val="231F20"/>
        </w:rPr>
        <w:t>font</w:t>
      </w:r>
      <w:r>
        <w:rPr>
          <w:color w:val="231F20"/>
          <w:spacing w:val="-10"/>
        </w:rPr>
        <w:t> </w:t>
      </w:r>
      <w:r>
        <w:rPr>
          <w:color w:val="231F20"/>
        </w:rPr>
        <w:t>jaillir</w:t>
      </w:r>
      <w:r>
        <w:rPr>
          <w:color w:val="231F20"/>
          <w:spacing w:val="-10"/>
        </w:rPr>
        <w:t> </w:t>
      </w:r>
      <w:r>
        <w:rPr>
          <w:color w:val="231F20"/>
        </w:rPr>
        <w:t>des</w:t>
      </w:r>
      <w:r>
        <w:rPr>
          <w:color w:val="231F20"/>
          <w:spacing w:val="-10"/>
        </w:rPr>
        <w:t> </w:t>
      </w:r>
      <w:r>
        <w:rPr>
          <w:color w:val="231F20"/>
        </w:rPr>
        <w:t>profondeurs</w:t>
      </w:r>
      <w:r>
        <w:rPr>
          <w:color w:val="231F20"/>
          <w:spacing w:val="-10"/>
        </w:rPr>
        <w:t> </w:t>
      </w:r>
      <w:r>
        <w:rPr>
          <w:color w:val="231F20"/>
        </w:rPr>
        <w:t>du</w:t>
      </w:r>
      <w:r>
        <w:rPr>
          <w:color w:val="231F20"/>
          <w:spacing w:val="-10"/>
        </w:rPr>
        <w:t> </w:t>
      </w:r>
      <w:r>
        <w:rPr>
          <w:color w:val="231F20"/>
        </w:rPr>
        <w:t>désert,</w:t>
      </w:r>
      <w:r>
        <w:rPr>
          <w:color w:val="231F20"/>
          <w:spacing w:val="-10"/>
        </w:rPr>
        <w:t> </w:t>
      </w:r>
      <w:r>
        <w:rPr>
          <w:color w:val="231F20"/>
        </w:rPr>
        <w:t>l’eau</w:t>
      </w:r>
      <w:r>
        <w:rPr>
          <w:color w:val="231F20"/>
          <w:spacing w:val="-12"/>
        </w:rPr>
        <w:t> </w:t>
      </w:r>
      <w:r>
        <w:rPr>
          <w:color w:val="231F20"/>
        </w:rPr>
        <w:t>qui</w:t>
      </w:r>
      <w:r>
        <w:rPr>
          <w:color w:val="231F20"/>
          <w:spacing w:val="-10"/>
        </w:rPr>
        <w:t> </w:t>
      </w:r>
      <w:r>
        <w:rPr>
          <w:color w:val="231F20"/>
        </w:rPr>
        <w:t>s’y</w:t>
      </w:r>
      <w:r>
        <w:rPr>
          <w:color w:val="231F20"/>
          <w:spacing w:val="-10"/>
        </w:rPr>
        <w:t> </w:t>
      </w:r>
      <w:r>
        <w:rPr>
          <w:color w:val="231F20"/>
        </w:rPr>
        <w:t>trouve</w:t>
      </w:r>
      <w:r>
        <w:rPr>
          <w:color w:val="231F20"/>
          <w:spacing w:val="-10"/>
        </w:rPr>
        <w:t> </w:t>
      </w:r>
      <w:r>
        <w:rPr>
          <w:color w:val="231F20"/>
        </w:rPr>
        <w:t>depuis des centaines voire des milliers d’années ; des systèmes de drainage et d’irrigation arrosent les champs devenus de grandes exploitations </w:t>
      </w:r>
      <w:r>
        <w:rPr>
          <w:color w:val="231F20"/>
          <w:spacing w:val="-2"/>
        </w:rPr>
        <w:t>mécanisées.</w:t>
      </w:r>
    </w:p>
    <w:p>
      <w:pPr>
        <w:pStyle w:val="BodyText"/>
        <w:spacing w:before="120"/>
        <w:ind w:right="106" w:firstLine="283"/>
      </w:pPr>
      <w:r>
        <w:rPr>
          <w:color w:val="231F20"/>
        </w:rPr>
        <w:t>La</w:t>
      </w:r>
      <w:r>
        <w:rPr>
          <w:color w:val="231F20"/>
          <w:spacing w:val="-14"/>
        </w:rPr>
        <w:t> </w:t>
      </w:r>
      <w:r>
        <w:rPr>
          <w:color w:val="231F20"/>
        </w:rPr>
        <w:t>cohésion</w:t>
      </w:r>
      <w:r>
        <w:rPr>
          <w:color w:val="231F20"/>
          <w:spacing w:val="-15"/>
        </w:rPr>
        <w:t> </w:t>
      </w:r>
      <w:r>
        <w:rPr>
          <w:color w:val="231F20"/>
        </w:rPr>
        <w:t>sociale</w:t>
      </w:r>
      <w:r>
        <w:rPr>
          <w:color w:val="231F20"/>
          <w:spacing w:val="-13"/>
        </w:rPr>
        <w:t> </w:t>
      </w:r>
      <w:r>
        <w:rPr>
          <w:color w:val="231F20"/>
        </w:rPr>
        <w:t>existe</w:t>
      </w:r>
      <w:r>
        <w:rPr>
          <w:color w:val="231F20"/>
          <w:spacing w:val="-13"/>
        </w:rPr>
        <w:t> </w:t>
      </w:r>
      <w:r>
        <w:rPr>
          <w:color w:val="231F20"/>
        </w:rPr>
        <w:t>à</w:t>
      </w:r>
      <w:r>
        <w:rPr>
          <w:color w:val="231F20"/>
          <w:spacing w:val="-13"/>
        </w:rPr>
        <w:t> </w:t>
      </w:r>
      <w:r>
        <w:rPr>
          <w:color w:val="231F20"/>
        </w:rPr>
        <w:t>l’intérieur</w:t>
      </w:r>
      <w:r>
        <w:rPr>
          <w:color w:val="231F20"/>
          <w:spacing w:val="-15"/>
        </w:rPr>
        <w:t> </w:t>
      </w:r>
      <w:r>
        <w:rPr>
          <w:color w:val="231F20"/>
        </w:rPr>
        <w:t>des</w:t>
      </w:r>
      <w:r>
        <w:rPr>
          <w:color w:val="231F20"/>
          <w:spacing w:val="-13"/>
        </w:rPr>
        <w:t> </w:t>
      </w:r>
      <w:r>
        <w:rPr>
          <w:color w:val="231F20"/>
        </w:rPr>
        <w:t>frontières.</w:t>
      </w:r>
      <w:r>
        <w:rPr>
          <w:color w:val="231F20"/>
          <w:spacing w:val="-13"/>
        </w:rPr>
        <w:t> </w:t>
      </w:r>
      <w:r>
        <w:rPr>
          <w:color w:val="231F20"/>
        </w:rPr>
        <w:t>Entre</w:t>
      </w:r>
      <w:r>
        <w:rPr>
          <w:color w:val="231F20"/>
          <w:spacing w:val="-15"/>
        </w:rPr>
        <w:t> </w:t>
      </w:r>
      <w:r>
        <w:rPr>
          <w:color w:val="231F20"/>
        </w:rPr>
        <w:t>les</w:t>
      </w:r>
      <w:r>
        <w:rPr>
          <w:color w:val="231F20"/>
          <w:spacing w:val="-15"/>
        </w:rPr>
        <w:t> </w:t>
      </w:r>
      <w:r>
        <w:rPr>
          <w:color w:val="231F20"/>
        </w:rPr>
        <w:t>États, les</w:t>
      </w:r>
      <w:r>
        <w:rPr>
          <w:color w:val="231F20"/>
          <w:spacing w:val="-4"/>
        </w:rPr>
        <w:t> </w:t>
      </w:r>
      <w:r>
        <w:rPr>
          <w:color w:val="231F20"/>
        </w:rPr>
        <w:t>relations</w:t>
      </w:r>
      <w:r>
        <w:rPr>
          <w:color w:val="231F20"/>
          <w:spacing w:val="-4"/>
        </w:rPr>
        <w:t> </w:t>
      </w:r>
      <w:r>
        <w:rPr>
          <w:color w:val="231F20"/>
        </w:rPr>
        <w:t>sont</w:t>
      </w:r>
      <w:r>
        <w:rPr>
          <w:color w:val="231F20"/>
          <w:spacing w:val="-4"/>
        </w:rPr>
        <w:t> </w:t>
      </w:r>
      <w:r>
        <w:rPr>
          <w:color w:val="231F20"/>
        </w:rPr>
        <w:t>excellentes.</w:t>
      </w:r>
      <w:r>
        <w:rPr>
          <w:color w:val="231F20"/>
          <w:spacing w:val="-4"/>
        </w:rPr>
        <w:t> </w:t>
      </w:r>
      <w:r>
        <w:rPr>
          <w:color w:val="231F20"/>
        </w:rPr>
        <w:t>Conscients</w:t>
      </w:r>
      <w:r>
        <w:rPr>
          <w:color w:val="231F20"/>
          <w:spacing w:val="-3"/>
        </w:rPr>
        <w:t> </w:t>
      </w:r>
      <w:r>
        <w:rPr>
          <w:color w:val="231F20"/>
        </w:rPr>
        <w:t>des</w:t>
      </w:r>
      <w:r>
        <w:rPr>
          <w:color w:val="231F20"/>
          <w:spacing w:val="-3"/>
        </w:rPr>
        <w:t> </w:t>
      </w:r>
      <w:r>
        <w:rPr>
          <w:color w:val="231F20"/>
        </w:rPr>
        <w:t>enjeux</w:t>
      </w:r>
      <w:r>
        <w:rPr>
          <w:color w:val="231F20"/>
          <w:spacing w:val="-3"/>
        </w:rPr>
        <w:t> </w:t>
      </w:r>
      <w:r>
        <w:rPr>
          <w:color w:val="231F20"/>
        </w:rPr>
        <w:t>liés</w:t>
      </w:r>
      <w:r>
        <w:rPr>
          <w:color w:val="231F20"/>
          <w:spacing w:val="-3"/>
        </w:rPr>
        <w:t> </w:t>
      </w:r>
      <w:r>
        <w:rPr>
          <w:color w:val="231F20"/>
        </w:rPr>
        <w:t>à</w:t>
      </w:r>
      <w:r>
        <w:rPr>
          <w:color w:val="231F20"/>
          <w:spacing w:val="-4"/>
        </w:rPr>
        <w:t> </w:t>
      </w:r>
      <w:r>
        <w:rPr>
          <w:color w:val="231F20"/>
        </w:rPr>
        <w:t>l’intégration </w:t>
      </w:r>
      <w:r>
        <w:rPr>
          <w:color w:val="231F20"/>
          <w:spacing w:val="-4"/>
        </w:rPr>
        <w:t>d’un</w:t>
      </w:r>
      <w:r>
        <w:rPr>
          <w:color w:val="231F20"/>
          <w:spacing w:val="-2"/>
        </w:rPr>
        <w:t> </w:t>
      </w:r>
      <w:r>
        <w:rPr>
          <w:color w:val="231F20"/>
          <w:spacing w:val="-4"/>
        </w:rPr>
        <w:t>espace</w:t>
      </w:r>
      <w:r>
        <w:rPr>
          <w:color w:val="231F20"/>
          <w:spacing w:val="-2"/>
        </w:rPr>
        <w:t> </w:t>
      </w:r>
      <w:r>
        <w:rPr>
          <w:color w:val="231F20"/>
          <w:spacing w:val="-4"/>
        </w:rPr>
        <w:t>de</w:t>
      </w:r>
      <w:r>
        <w:rPr>
          <w:color w:val="231F20"/>
          <w:spacing w:val="-2"/>
        </w:rPr>
        <w:t> </w:t>
      </w:r>
      <w:r>
        <w:rPr>
          <w:color w:val="231F20"/>
          <w:spacing w:val="-4"/>
        </w:rPr>
        <w:t>près</w:t>
      </w:r>
      <w:r>
        <w:rPr>
          <w:color w:val="231F20"/>
          <w:spacing w:val="-6"/>
        </w:rPr>
        <w:t> </w:t>
      </w:r>
      <w:r>
        <w:rPr>
          <w:color w:val="231F20"/>
          <w:spacing w:val="-4"/>
        </w:rPr>
        <w:t>d’un</w:t>
      </w:r>
      <w:r>
        <w:rPr>
          <w:color w:val="231F20"/>
          <w:spacing w:val="-5"/>
        </w:rPr>
        <w:t> </w:t>
      </w:r>
      <w:r>
        <w:rPr>
          <w:color w:val="231F20"/>
          <w:spacing w:val="-4"/>
        </w:rPr>
        <w:t>milliard</w:t>
      </w:r>
      <w:r>
        <w:rPr>
          <w:color w:val="231F20"/>
          <w:spacing w:val="-6"/>
        </w:rPr>
        <w:t> </w:t>
      </w:r>
      <w:r>
        <w:rPr>
          <w:color w:val="231F20"/>
          <w:spacing w:val="-4"/>
        </w:rPr>
        <w:t>de</w:t>
      </w:r>
      <w:r>
        <w:rPr>
          <w:color w:val="231F20"/>
          <w:spacing w:val="-2"/>
        </w:rPr>
        <w:t> </w:t>
      </w:r>
      <w:r>
        <w:rPr>
          <w:color w:val="231F20"/>
          <w:spacing w:val="-4"/>
        </w:rPr>
        <w:t>consommateurs,</w:t>
      </w:r>
      <w:r>
        <w:rPr>
          <w:color w:val="231F20"/>
          <w:spacing w:val="-2"/>
        </w:rPr>
        <w:t> </w:t>
      </w:r>
      <w:r>
        <w:rPr>
          <w:color w:val="231F20"/>
          <w:spacing w:val="-4"/>
        </w:rPr>
        <w:t>les</w:t>
      </w:r>
      <w:r>
        <w:rPr>
          <w:color w:val="231F20"/>
          <w:spacing w:val="-5"/>
        </w:rPr>
        <w:t> </w:t>
      </w:r>
      <w:r>
        <w:rPr>
          <w:color w:val="231F20"/>
          <w:spacing w:val="-4"/>
        </w:rPr>
        <w:t>gouvernants </w:t>
      </w:r>
      <w:r>
        <w:rPr>
          <w:color w:val="231F20"/>
          <w:spacing w:val="-5"/>
        </w:rPr>
        <w:t>des</w:t>
      </w:r>
    </w:p>
    <w:p>
      <w:pPr>
        <w:spacing w:after="0"/>
        <w:sectPr>
          <w:pgSz w:w="8790" w:h="13610"/>
          <w:pgMar w:header="0" w:footer="802" w:top="1060" w:bottom="1000" w:left="880" w:right="880"/>
        </w:sectPr>
      </w:pPr>
    </w:p>
    <w:p>
      <w:pPr>
        <w:pStyle w:val="BodyText"/>
        <w:spacing w:before="66"/>
      </w:pPr>
      <w:r>
        <w:rPr>
          <w:color w:val="231F20"/>
          <w:spacing w:val="-4"/>
        </w:rPr>
        <w:t>États</w:t>
      </w:r>
      <w:r>
        <w:rPr>
          <w:color w:val="231F20"/>
          <w:spacing w:val="-13"/>
        </w:rPr>
        <w:t> </w:t>
      </w:r>
      <w:r>
        <w:rPr>
          <w:color w:val="231F20"/>
          <w:spacing w:val="-4"/>
        </w:rPr>
        <w:t>noirs</w:t>
      </w:r>
      <w:r>
        <w:rPr>
          <w:color w:val="231F20"/>
          <w:spacing w:val="-9"/>
        </w:rPr>
        <w:t> </w:t>
      </w:r>
      <w:r>
        <w:rPr>
          <w:color w:val="231F20"/>
          <w:spacing w:val="-4"/>
        </w:rPr>
        <w:t>francophones</w:t>
      </w:r>
      <w:r>
        <w:rPr>
          <w:color w:val="231F20"/>
          <w:spacing w:val="-12"/>
        </w:rPr>
        <w:t> </w:t>
      </w:r>
      <w:r>
        <w:rPr>
          <w:color w:val="231F20"/>
          <w:spacing w:val="-4"/>
        </w:rPr>
        <w:t>bâtissent</w:t>
      </w:r>
      <w:r>
        <w:rPr>
          <w:color w:val="231F20"/>
          <w:spacing w:val="-12"/>
        </w:rPr>
        <w:t> </w:t>
      </w:r>
      <w:r>
        <w:rPr>
          <w:color w:val="231F20"/>
          <w:spacing w:val="-4"/>
        </w:rPr>
        <w:t>des</w:t>
      </w:r>
      <w:r>
        <w:rPr>
          <w:color w:val="231F20"/>
          <w:spacing w:val="-9"/>
        </w:rPr>
        <w:t> </w:t>
      </w:r>
      <w:r>
        <w:rPr>
          <w:color w:val="231F20"/>
          <w:spacing w:val="-4"/>
        </w:rPr>
        <w:t>projets</w:t>
      </w:r>
      <w:r>
        <w:rPr>
          <w:color w:val="231F20"/>
          <w:spacing w:val="-9"/>
        </w:rPr>
        <w:t> </w:t>
      </w:r>
      <w:r>
        <w:rPr>
          <w:color w:val="231F20"/>
          <w:spacing w:val="-4"/>
        </w:rPr>
        <w:t>autour</w:t>
      </w:r>
      <w:r>
        <w:rPr>
          <w:color w:val="231F20"/>
          <w:spacing w:val="-12"/>
        </w:rPr>
        <w:t> </w:t>
      </w:r>
      <w:r>
        <w:rPr>
          <w:color w:val="231F20"/>
          <w:spacing w:val="-4"/>
        </w:rPr>
        <w:t>d’objectifs</w:t>
      </w:r>
      <w:r>
        <w:rPr>
          <w:color w:val="231F20"/>
          <w:spacing w:val="-10"/>
        </w:rPr>
        <w:t> </w:t>
      </w:r>
      <w:r>
        <w:rPr>
          <w:color w:val="231F20"/>
          <w:spacing w:val="-4"/>
        </w:rPr>
        <w:t>communs</w:t>
      </w:r>
    </w:p>
    <w:p>
      <w:pPr>
        <w:pStyle w:val="BodyText"/>
      </w:pPr>
      <w:r>
        <w:rPr>
          <w:color w:val="231F20"/>
        </w:rPr>
        <w:t>et</w:t>
      </w:r>
      <w:r>
        <w:rPr>
          <w:color w:val="231F20"/>
          <w:spacing w:val="-8"/>
        </w:rPr>
        <w:t> </w:t>
      </w:r>
      <w:r>
        <w:rPr>
          <w:color w:val="231F20"/>
          <w:spacing w:val="-2"/>
        </w:rPr>
        <w:t>fédérateurs.</w:t>
      </w:r>
    </w:p>
    <w:p>
      <w:pPr>
        <w:pStyle w:val="BodyText"/>
        <w:spacing w:before="120"/>
        <w:ind w:right="108" w:firstLine="283"/>
      </w:pPr>
      <w:r>
        <w:rPr>
          <w:color w:val="231F20"/>
          <w:spacing w:val="-2"/>
        </w:rPr>
        <w:t>Propriétaires</w:t>
      </w:r>
      <w:r>
        <w:rPr>
          <w:color w:val="231F20"/>
          <w:spacing w:val="-13"/>
        </w:rPr>
        <w:t> </w:t>
      </w:r>
      <w:r>
        <w:rPr>
          <w:color w:val="231F20"/>
          <w:spacing w:val="-2"/>
        </w:rPr>
        <w:t>des</w:t>
      </w:r>
      <w:r>
        <w:rPr>
          <w:color w:val="231F20"/>
          <w:spacing w:val="-13"/>
        </w:rPr>
        <w:t> </w:t>
      </w:r>
      <w:r>
        <w:rPr>
          <w:color w:val="231F20"/>
          <w:spacing w:val="-2"/>
        </w:rPr>
        <w:t>ressources</w:t>
      </w:r>
      <w:r>
        <w:rPr>
          <w:color w:val="231F20"/>
          <w:spacing w:val="-13"/>
        </w:rPr>
        <w:t> </w:t>
      </w:r>
      <w:r>
        <w:rPr>
          <w:color w:val="231F20"/>
          <w:spacing w:val="-2"/>
        </w:rPr>
        <w:t>immenses</w:t>
      </w:r>
      <w:r>
        <w:rPr>
          <w:color w:val="231F20"/>
          <w:spacing w:val="-13"/>
        </w:rPr>
        <w:t> </w:t>
      </w:r>
      <w:r>
        <w:rPr>
          <w:color w:val="231F20"/>
          <w:spacing w:val="-2"/>
        </w:rPr>
        <w:t>enfouies</w:t>
      </w:r>
      <w:r>
        <w:rPr>
          <w:color w:val="231F20"/>
          <w:spacing w:val="-13"/>
        </w:rPr>
        <w:t> </w:t>
      </w:r>
      <w:r>
        <w:rPr>
          <w:color w:val="231F20"/>
          <w:spacing w:val="-2"/>
        </w:rPr>
        <w:t>dans</w:t>
      </w:r>
      <w:r>
        <w:rPr>
          <w:color w:val="231F20"/>
          <w:spacing w:val="-13"/>
        </w:rPr>
        <w:t> </w:t>
      </w:r>
      <w:r>
        <w:rPr>
          <w:color w:val="231F20"/>
          <w:spacing w:val="-2"/>
        </w:rPr>
        <w:t>leur</w:t>
      </w:r>
      <w:r>
        <w:rPr>
          <w:color w:val="231F20"/>
          <w:spacing w:val="-13"/>
        </w:rPr>
        <w:t> </w:t>
      </w:r>
      <w:r>
        <w:rPr>
          <w:color w:val="231F20"/>
          <w:spacing w:val="-2"/>
        </w:rPr>
        <w:t>sous-sol,</w:t>
      </w:r>
      <w:r>
        <w:rPr>
          <w:color w:val="231F20"/>
          <w:spacing w:val="-13"/>
        </w:rPr>
        <w:t> </w:t>
      </w:r>
      <w:r>
        <w:rPr>
          <w:color w:val="231F20"/>
          <w:spacing w:val="-2"/>
        </w:rPr>
        <w:t>les </w:t>
      </w:r>
      <w:r>
        <w:rPr>
          <w:color w:val="231F20"/>
        </w:rPr>
        <w:t>Etats ont construit des usines de transformation en fonction du type de produit qu’ils produisent</w:t>
      </w:r>
      <w:r>
        <w:rPr>
          <w:color w:val="231F20"/>
          <w:spacing w:val="-4"/>
        </w:rPr>
        <w:t> </w:t>
      </w:r>
      <w:r>
        <w:rPr>
          <w:color w:val="231F20"/>
        </w:rPr>
        <w:t>en grande quantité.</w:t>
      </w:r>
    </w:p>
    <w:p>
      <w:pPr>
        <w:pStyle w:val="BodyText"/>
        <w:spacing w:before="120"/>
        <w:ind w:right="103" w:firstLine="283"/>
      </w:pPr>
      <w:r>
        <w:rPr>
          <w:color w:val="231F20"/>
        </w:rPr>
        <w:t>Les minerais</w:t>
      </w:r>
      <w:r>
        <w:rPr>
          <w:color w:val="231F20"/>
          <w:spacing w:val="-15"/>
        </w:rPr>
        <w:t> </w:t>
      </w:r>
      <w:r>
        <w:rPr>
          <w:color w:val="231F20"/>
        </w:rPr>
        <w:t>: diamant, or, cuivre, étain, colombo tantalite (coltan), bauxite, fer, manganèse, charbon, pétrole, gaz méthane, schistes bitumeux</w:t>
      </w:r>
      <w:r>
        <w:rPr>
          <w:color w:val="231F20"/>
          <w:spacing w:val="-15"/>
        </w:rPr>
        <w:t> </w:t>
      </w:r>
      <w:r>
        <w:rPr>
          <w:color w:val="231F20"/>
        </w:rPr>
        <w:t>et</w:t>
      </w:r>
      <w:r>
        <w:rPr>
          <w:color w:val="231F20"/>
          <w:spacing w:val="-10"/>
        </w:rPr>
        <w:t> </w:t>
      </w:r>
      <w:r>
        <w:rPr>
          <w:color w:val="231F20"/>
        </w:rPr>
        <w:t>cobalt,</w:t>
      </w:r>
      <w:r>
        <w:rPr>
          <w:color w:val="231F20"/>
          <w:spacing w:val="-7"/>
        </w:rPr>
        <w:t> </w:t>
      </w:r>
      <w:r>
        <w:rPr>
          <w:color w:val="231F20"/>
        </w:rPr>
        <w:t>produits</w:t>
      </w:r>
      <w:r>
        <w:rPr>
          <w:color w:val="231F20"/>
          <w:spacing w:val="-7"/>
        </w:rPr>
        <w:t> </w:t>
      </w:r>
      <w:r>
        <w:rPr>
          <w:color w:val="231F20"/>
        </w:rPr>
        <w:t>et</w:t>
      </w:r>
      <w:r>
        <w:rPr>
          <w:color w:val="231F20"/>
          <w:spacing w:val="-9"/>
        </w:rPr>
        <w:t> </w:t>
      </w:r>
      <w:r>
        <w:rPr>
          <w:color w:val="231F20"/>
        </w:rPr>
        <w:t>transformés</w:t>
      </w:r>
      <w:r>
        <w:rPr>
          <w:color w:val="231F20"/>
          <w:spacing w:val="-7"/>
        </w:rPr>
        <w:t> </w:t>
      </w:r>
      <w:r>
        <w:rPr>
          <w:color w:val="231F20"/>
        </w:rPr>
        <w:t>en</w:t>
      </w:r>
      <w:r>
        <w:rPr>
          <w:color w:val="231F20"/>
          <w:spacing w:val="-7"/>
        </w:rPr>
        <w:t> </w:t>
      </w:r>
      <w:r>
        <w:rPr>
          <w:color w:val="231F20"/>
        </w:rPr>
        <w:t>RDC,</w:t>
      </w:r>
      <w:r>
        <w:rPr>
          <w:color w:val="231F20"/>
          <w:spacing w:val="-7"/>
        </w:rPr>
        <w:t> </w:t>
      </w:r>
      <w:r>
        <w:rPr>
          <w:color w:val="231F20"/>
        </w:rPr>
        <w:t>sont</w:t>
      </w:r>
      <w:r>
        <w:rPr>
          <w:color w:val="231F20"/>
          <w:spacing w:val="-6"/>
        </w:rPr>
        <w:t> </w:t>
      </w:r>
      <w:r>
        <w:rPr>
          <w:color w:val="231F20"/>
        </w:rPr>
        <w:t>exportés</w:t>
      </w:r>
      <w:r>
        <w:rPr>
          <w:color w:val="231F20"/>
          <w:spacing w:val="-7"/>
        </w:rPr>
        <w:t> </w:t>
      </w:r>
      <w:r>
        <w:rPr>
          <w:color w:val="231F20"/>
        </w:rPr>
        <w:t>dans toute</w:t>
      </w:r>
      <w:r>
        <w:rPr>
          <w:color w:val="231F20"/>
          <w:spacing w:val="-14"/>
        </w:rPr>
        <w:t> </w:t>
      </w:r>
      <w:r>
        <w:rPr>
          <w:color w:val="231F20"/>
        </w:rPr>
        <w:t>l’Afrique</w:t>
      </w:r>
      <w:r>
        <w:rPr>
          <w:color w:val="231F20"/>
          <w:spacing w:val="-12"/>
        </w:rPr>
        <w:t> </w:t>
      </w:r>
      <w:r>
        <w:rPr>
          <w:color w:val="231F20"/>
        </w:rPr>
        <w:t>francophone</w:t>
      </w:r>
      <w:r>
        <w:rPr>
          <w:color w:val="231F20"/>
          <w:spacing w:val="-12"/>
        </w:rPr>
        <w:t> </w:t>
      </w:r>
      <w:r>
        <w:rPr>
          <w:color w:val="231F20"/>
        </w:rPr>
        <w:t>et</w:t>
      </w:r>
      <w:r>
        <w:rPr>
          <w:color w:val="231F20"/>
          <w:spacing w:val="-12"/>
        </w:rPr>
        <w:t> </w:t>
      </w:r>
      <w:r>
        <w:rPr>
          <w:color w:val="231F20"/>
        </w:rPr>
        <w:t>au-delà</w:t>
      </w:r>
      <w:r>
        <w:rPr>
          <w:color w:val="231F20"/>
          <w:spacing w:val="-14"/>
        </w:rPr>
        <w:t> </w:t>
      </w:r>
      <w:r>
        <w:rPr>
          <w:color w:val="231F20"/>
        </w:rPr>
        <w:t>des</w:t>
      </w:r>
      <w:r>
        <w:rPr>
          <w:color w:val="231F20"/>
          <w:spacing w:val="-13"/>
        </w:rPr>
        <w:t> </w:t>
      </w:r>
      <w:r>
        <w:rPr>
          <w:color w:val="231F20"/>
        </w:rPr>
        <w:t>frontières</w:t>
      </w:r>
      <w:r>
        <w:rPr>
          <w:color w:val="231F20"/>
          <w:spacing w:val="-13"/>
        </w:rPr>
        <w:t> </w:t>
      </w:r>
      <w:r>
        <w:rPr>
          <w:color w:val="231F20"/>
        </w:rPr>
        <w:t>régionales,</w:t>
      </w:r>
      <w:r>
        <w:rPr>
          <w:color w:val="231F20"/>
          <w:spacing w:val="-14"/>
        </w:rPr>
        <w:t> </w:t>
      </w:r>
      <w:r>
        <w:rPr>
          <w:color w:val="231F20"/>
        </w:rPr>
        <w:t>dans</w:t>
      </w:r>
      <w:r>
        <w:rPr>
          <w:color w:val="231F20"/>
          <w:spacing w:val="-14"/>
        </w:rPr>
        <w:t> </w:t>
      </w:r>
      <w:r>
        <w:rPr>
          <w:color w:val="231F20"/>
        </w:rPr>
        <w:t>le reste de l’Afrique et en Europe. Au Mali, l’accent est mis sur la transformation du coton, des céréales et de l’or ; le Niger propose ses produits du bétail</w:t>
      </w:r>
      <w:r>
        <w:rPr>
          <w:color w:val="231F20"/>
          <w:spacing w:val="-11"/>
        </w:rPr>
        <w:t> </w:t>
      </w:r>
      <w:r>
        <w:rPr>
          <w:color w:val="231F20"/>
        </w:rPr>
        <w:t>: lait, fromage mais aussi, les produits tirés de </w:t>
      </w:r>
      <w:r>
        <w:rPr>
          <w:color w:val="231F20"/>
          <w:spacing w:val="-4"/>
        </w:rPr>
        <w:t>l’uranium.</w:t>
      </w:r>
      <w:r>
        <w:rPr>
          <w:color w:val="231F20"/>
          <w:spacing w:val="-8"/>
        </w:rPr>
        <w:t> </w:t>
      </w:r>
      <w:r>
        <w:rPr>
          <w:color w:val="231F20"/>
          <w:spacing w:val="-4"/>
        </w:rPr>
        <w:t>Tout</w:t>
      </w:r>
      <w:r>
        <w:rPr>
          <w:color w:val="231F20"/>
          <w:spacing w:val="-11"/>
        </w:rPr>
        <w:t> </w:t>
      </w:r>
      <w:r>
        <w:rPr>
          <w:color w:val="231F20"/>
          <w:spacing w:val="-4"/>
        </w:rPr>
        <w:t>l’espace</w:t>
      </w:r>
      <w:r>
        <w:rPr>
          <w:color w:val="231F20"/>
          <w:spacing w:val="-8"/>
        </w:rPr>
        <w:t> </w:t>
      </w:r>
      <w:r>
        <w:rPr>
          <w:color w:val="231F20"/>
          <w:spacing w:val="-4"/>
        </w:rPr>
        <w:t>noir</w:t>
      </w:r>
      <w:r>
        <w:rPr>
          <w:color w:val="231F20"/>
          <w:spacing w:val="-10"/>
        </w:rPr>
        <w:t> </w:t>
      </w:r>
      <w:r>
        <w:rPr>
          <w:color w:val="231F20"/>
          <w:spacing w:val="-4"/>
        </w:rPr>
        <w:t>francophone</w:t>
      </w:r>
      <w:r>
        <w:rPr>
          <w:color w:val="231F20"/>
          <w:spacing w:val="-8"/>
        </w:rPr>
        <w:t> </w:t>
      </w:r>
      <w:r>
        <w:rPr>
          <w:color w:val="231F20"/>
          <w:spacing w:val="-4"/>
        </w:rPr>
        <w:t>boit</w:t>
      </w:r>
      <w:r>
        <w:rPr>
          <w:color w:val="231F20"/>
          <w:spacing w:val="-8"/>
        </w:rPr>
        <w:t> </w:t>
      </w:r>
      <w:r>
        <w:rPr>
          <w:color w:val="231F20"/>
          <w:spacing w:val="-4"/>
        </w:rPr>
        <w:t>le</w:t>
      </w:r>
      <w:r>
        <w:rPr>
          <w:color w:val="231F20"/>
          <w:spacing w:val="-8"/>
        </w:rPr>
        <w:t> </w:t>
      </w:r>
      <w:r>
        <w:rPr>
          <w:color w:val="231F20"/>
          <w:spacing w:val="-4"/>
        </w:rPr>
        <w:t>café,</w:t>
      </w:r>
      <w:r>
        <w:rPr>
          <w:color w:val="231F20"/>
          <w:spacing w:val="-8"/>
        </w:rPr>
        <w:t> </w:t>
      </w:r>
      <w:r>
        <w:rPr>
          <w:color w:val="231F20"/>
          <w:spacing w:val="-4"/>
        </w:rPr>
        <w:t>le</w:t>
      </w:r>
      <w:r>
        <w:rPr>
          <w:color w:val="231F20"/>
          <w:spacing w:val="-8"/>
        </w:rPr>
        <w:t> </w:t>
      </w:r>
      <w:r>
        <w:rPr>
          <w:color w:val="231F20"/>
          <w:spacing w:val="-4"/>
        </w:rPr>
        <w:t>cacao,</w:t>
      </w:r>
      <w:r>
        <w:rPr>
          <w:color w:val="231F20"/>
          <w:spacing w:val="-8"/>
        </w:rPr>
        <w:t> </w:t>
      </w:r>
      <w:r>
        <w:rPr>
          <w:color w:val="231F20"/>
          <w:spacing w:val="-4"/>
        </w:rPr>
        <w:t>utilise</w:t>
      </w:r>
      <w:r>
        <w:rPr>
          <w:color w:val="231F20"/>
          <w:spacing w:val="-8"/>
        </w:rPr>
        <w:t> </w:t>
      </w:r>
      <w:r>
        <w:rPr>
          <w:color w:val="231F20"/>
          <w:spacing w:val="-4"/>
        </w:rPr>
        <w:t>les </w:t>
      </w:r>
      <w:r>
        <w:rPr>
          <w:color w:val="231F20"/>
        </w:rPr>
        <w:t>pneus de véhicules fabriqués en Côte d’Ivoire, consomme les jus de </w:t>
      </w:r>
      <w:r>
        <w:rPr>
          <w:color w:val="231F20"/>
          <w:spacing w:val="-2"/>
        </w:rPr>
        <w:t>mangue</w:t>
      </w:r>
      <w:r>
        <w:rPr>
          <w:color w:val="231F20"/>
          <w:spacing w:val="-15"/>
        </w:rPr>
        <w:t> </w:t>
      </w:r>
      <w:r>
        <w:rPr>
          <w:color w:val="231F20"/>
          <w:spacing w:val="-2"/>
        </w:rPr>
        <w:t>et</w:t>
      </w:r>
      <w:r>
        <w:rPr>
          <w:color w:val="231F20"/>
          <w:spacing w:val="-13"/>
        </w:rPr>
        <w:t> </w:t>
      </w:r>
      <w:r>
        <w:rPr>
          <w:color w:val="231F20"/>
          <w:spacing w:val="-2"/>
        </w:rPr>
        <w:t>autres</w:t>
      </w:r>
      <w:r>
        <w:rPr>
          <w:color w:val="231F20"/>
          <w:spacing w:val="-13"/>
        </w:rPr>
        <w:t> </w:t>
      </w:r>
      <w:r>
        <w:rPr>
          <w:color w:val="231F20"/>
          <w:spacing w:val="-2"/>
        </w:rPr>
        <w:t>fruitiers</w:t>
      </w:r>
      <w:r>
        <w:rPr>
          <w:color w:val="231F20"/>
          <w:spacing w:val="-13"/>
        </w:rPr>
        <w:t> </w:t>
      </w:r>
      <w:r>
        <w:rPr>
          <w:color w:val="231F20"/>
          <w:spacing w:val="-2"/>
        </w:rPr>
        <w:t>du</w:t>
      </w:r>
      <w:r>
        <w:rPr>
          <w:color w:val="231F20"/>
          <w:spacing w:val="-13"/>
        </w:rPr>
        <w:t> </w:t>
      </w:r>
      <w:r>
        <w:rPr>
          <w:color w:val="231F20"/>
          <w:spacing w:val="-2"/>
        </w:rPr>
        <w:t>Burkina</w:t>
      </w:r>
      <w:r>
        <w:rPr>
          <w:color w:val="231F20"/>
          <w:spacing w:val="-13"/>
        </w:rPr>
        <w:t> </w:t>
      </w:r>
      <w:r>
        <w:rPr>
          <w:color w:val="231F20"/>
          <w:spacing w:val="-2"/>
        </w:rPr>
        <w:t>Faso,</w:t>
      </w:r>
      <w:r>
        <w:rPr>
          <w:color w:val="231F20"/>
          <w:spacing w:val="-13"/>
        </w:rPr>
        <w:t> </w:t>
      </w:r>
      <w:r>
        <w:rPr>
          <w:color w:val="231F20"/>
          <w:spacing w:val="-2"/>
        </w:rPr>
        <w:t>etc.</w:t>
      </w:r>
      <w:r>
        <w:rPr>
          <w:color w:val="231F20"/>
          <w:spacing w:val="-13"/>
        </w:rPr>
        <w:t> </w:t>
      </w:r>
      <w:r>
        <w:rPr>
          <w:color w:val="231F20"/>
          <w:spacing w:val="-2"/>
        </w:rPr>
        <w:t>Presque</w:t>
      </w:r>
      <w:r>
        <w:rPr>
          <w:color w:val="231F20"/>
          <w:spacing w:val="-13"/>
        </w:rPr>
        <w:t> </w:t>
      </w:r>
      <w:r>
        <w:rPr>
          <w:color w:val="231F20"/>
          <w:spacing w:val="-2"/>
        </w:rPr>
        <w:t>tous</w:t>
      </w:r>
      <w:r>
        <w:rPr>
          <w:color w:val="231F20"/>
          <w:spacing w:val="-13"/>
        </w:rPr>
        <w:t> </w:t>
      </w:r>
      <w:r>
        <w:rPr>
          <w:color w:val="231F20"/>
          <w:spacing w:val="-2"/>
        </w:rPr>
        <w:t>les</w:t>
      </w:r>
      <w:r>
        <w:rPr>
          <w:color w:val="231F20"/>
          <w:spacing w:val="-13"/>
        </w:rPr>
        <w:t> </w:t>
      </w:r>
      <w:r>
        <w:rPr>
          <w:color w:val="231F20"/>
          <w:spacing w:val="-2"/>
        </w:rPr>
        <w:t>États</w:t>
      </w:r>
      <w:r>
        <w:rPr>
          <w:color w:val="231F20"/>
          <w:spacing w:val="-13"/>
        </w:rPr>
        <w:t> </w:t>
      </w:r>
      <w:r>
        <w:rPr>
          <w:color w:val="231F20"/>
          <w:spacing w:val="-2"/>
        </w:rPr>
        <w:t>ont </w:t>
      </w:r>
      <w:r>
        <w:rPr>
          <w:color w:val="231F20"/>
        </w:rPr>
        <w:t>du pétrole. Ils sont incontournables sur le marché mondial où leurs représentants discutent âprement pour sauvegarder les intérêts de leur peuple.</w:t>
      </w:r>
      <w:r>
        <w:rPr>
          <w:color w:val="231F20"/>
          <w:spacing w:val="-15"/>
        </w:rPr>
        <w:t> </w:t>
      </w:r>
      <w:r>
        <w:rPr>
          <w:color w:val="231F20"/>
        </w:rPr>
        <w:t>Ils</w:t>
      </w:r>
      <w:r>
        <w:rPr>
          <w:color w:val="231F20"/>
          <w:spacing w:val="-11"/>
        </w:rPr>
        <w:t> </w:t>
      </w:r>
      <w:r>
        <w:rPr>
          <w:color w:val="231F20"/>
        </w:rPr>
        <w:t>sont</w:t>
      </w:r>
      <w:r>
        <w:rPr>
          <w:color w:val="231F20"/>
          <w:spacing w:val="-9"/>
        </w:rPr>
        <w:t> </w:t>
      </w:r>
      <w:r>
        <w:rPr>
          <w:color w:val="231F20"/>
        </w:rPr>
        <w:t>les</w:t>
      </w:r>
      <w:r>
        <w:rPr>
          <w:color w:val="231F20"/>
          <w:spacing w:val="-11"/>
        </w:rPr>
        <w:t> </w:t>
      </w:r>
      <w:r>
        <w:rPr>
          <w:color w:val="231F20"/>
        </w:rPr>
        <w:t>seuls</w:t>
      </w:r>
      <w:r>
        <w:rPr>
          <w:color w:val="231F20"/>
          <w:spacing w:val="-11"/>
        </w:rPr>
        <w:t> </w:t>
      </w:r>
      <w:r>
        <w:rPr>
          <w:color w:val="231F20"/>
        </w:rPr>
        <w:t>maîtres</w:t>
      </w:r>
      <w:r>
        <w:rPr>
          <w:color w:val="231F20"/>
          <w:spacing w:val="-11"/>
        </w:rPr>
        <w:t> </w:t>
      </w:r>
      <w:r>
        <w:rPr>
          <w:color w:val="231F20"/>
        </w:rPr>
        <w:t>de</w:t>
      </w:r>
      <w:r>
        <w:rPr>
          <w:color w:val="231F20"/>
          <w:spacing w:val="-9"/>
        </w:rPr>
        <w:t> </w:t>
      </w:r>
      <w:r>
        <w:rPr>
          <w:color w:val="231F20"/>
        </w:rPr>
        <w:t>la</w:t>
      </w:r>
      <w:r>
        <w:rPr>
          <w:color w:val="231F20"/>
          <w:spacing w:val="-10"/>
        </w:rPr>
        <w:t> </w:t>
      </w:r>
      <w:r>
        <w:rPr>
          <w:color w:val="231F20"/>
        </w:rPr>
        <w:t>fixation</w:t>
      </w:r>
      <w:r>
        <w:rPr>
          <w:color w:val="231F20"/>
          <w:spacing w:val="-9"/>
        </w:rPr>
        <w:t> </w:t>
      </w:r>
      <w:r>
        <w:rPr>
          <w:color w:val="231F20"/>
        </w:rPr>
        <w:t>des</w:t>
      </w:r>
      <w:r>
        <w:rPr>
          <w:color w:val="231F20"/>
          <w:spacing w:val="-11"/>
        </w:rPr>
        <w:t> </w:t>
      </w:r>
      <w:r>
        <w:rPr>
          <w:color w:val="231F20"/>
        </w:rPr>
        <w:t>prix</w:t>
      </w:r>
      <w:r>
        <w:rPr>
          <w:color w:val="231F20"/>
          <w:spacing w:val="-9"/>
        </w:rPr>
        <w:t> </w:t>
      </w:r>
      <w:r>
        <w:rPr>
          <w:color w:val="231F20"/>
        </w:rPr>
        <w:t>de</w:t>
      </w:r>
      <w:r>
        <w:rPr>
          <w:color w:val="231F20"/>
          <w:spacing w:val="-10"/>
        </w:rPr>
        <w:t> </w:t>
      </w:r>
      <w:r>
        <w:rPr>
          <w:color w:val="231F20"/>
        </w:rPr>
        <w:t>leurs</w:t>
      </w:r>
      <w:r>
        <w:rPr>
          <w:color w:val="231F20"/>
          <w:spacing w:val="-9"/>
        </w:rPr>
        <w:t> </w:t>
      </w:r>
      <w:r>
        <w:rPr>
          <w:color w:val="231F20"/>
        </w:rPr>
        <w:t>produits </w:t>
      </w:r>
      <w:r>
        <w:rPr>
          <w:color w:val="231F20"/>
          <w:spacing w:val="-2"/>
        </w:rPr>
        <w:t>finis.</w:t>
      </w:r>
    </w:p>
    <w:p>
      <w:pPr>
        <w:pStyle w:val="BodyText"/>
        <w:spacing w:before="121"/>
        <w:ind w:right="105" w:firstLine="283"/>
      </w:pPr>
      <w:r>
        <w:rPr>
          <w:color w:val="231F20"/>
        </w:rPr>
        <w:t>Les</w:t>
      </w:r>
      <w:r>
        <w:rPr>
          <w:color w:val="231F20"/>
          <w:spacing w:val="-5"/>
        </w:rPr>
        <w:t> </w:t>
      </w:r>
      <w:r>
        <w:rPr>
          <w:color w:val="231F20"/>
        </w:rPr>
        <w:t>États</w:t>
      </w:r>
      <w:r>
        <w:rPr>
          <w:color w:val="231F20"/>
          <w:spacing w:val="-7"/>
        </w:rPr>
        <w:t> </w:t>
      </w:r>
      <w:r>
        <w:rPr>
          <w:color w:val="231F20"/>
        </w:rPr>
        <w:t>ont</w:t>
      </w:r>
      <w:r>
        <w:rPr>
          <w:color w:val="231F20"/>
          <w:spacing w:val="-7"/>
        </w:rPr>
        <w:t> </w:t>
      </w:r>
      <w:r>
        <w:rPr>
          <w:color w:val="231F20"/>
        </w:rPr>
        <w:t>des</w:t>
      </w:r>
      <w:r>
        <w:rPr>
          <w:color w:val="231F20"/>
          <w:spacing w:val="-7"/>
        </w:rPr>
        <w:t> </w:t>
      </w:r>
      <w:r>
        <w:rPr>
          <w:color w:val="231F20"/>
        </w:rPr>
        <w:t>banques</w:t>
      </w:r>
      <w:r>
        <w:rPr>
          <w:color w:val="231F20"/>
          <w:spacing w:val="-5"/>
        </w:rPr>
        <w:t> </w:t>
      </w:r>
      <w:r>
        <w:rPr>
          <w:color w:val="231F20"/>
        </w:rPr>
        <w:t>nationales</w:t>
      </w:r>
      <w:r>
        <w:rPr>
          <w:color w:val="231F20"/>
          <w:spacing w:val="-5"/>
        </w:rPr>
        <w:t> </w:t>
      </w:r>
      <w:r>
        <w:rPr>
          <w:color w:val="231F20"/>
        </w:rPr>
        <w:t>dans</w:t>
      </w:r>
      <w:r>
        <w:rPr>
          <w:color w:val="231F20"/>
          <w:spacing w:val="-7"/>
        </w:rPr>
        <w:t> </w:t>
      </w:r>
      <w:r>
        <w:rPr>
          <w:color w:val="231F20"/>
        </w:rPr>
        <w:t>toute</w:t>
      </w:r>
      <w:r>
        <w:rPr>
          <w:color w:val="231F20"/>
          <w:spacing w:val="-7"/>
        </w:rPr>
        <w:t> </w:t>
      </w:r>
      <w:r>
        <w:rPr>
          <w:color w:val="231F20"/>
        </w:rPr>
        <w:t>l’Europe</w:t>
      </w:r>
      <w:r>
        <w:rPr>
          <w:color w:val="231F20"/>
          <w:spacing w:val="-15"/>
        </w:rPr>
        <w:t> </w:t>
      </w:r>
      <w:r>
        <w:rPr>
          <w:color w:val="231F20"/>
        </w:rPr>
        <w:t>:</w:t>
      </w:r>
      <w:r>
        <w:rPr>
          <w:color w:val="231F20"/>
          <w:spacing w:val="-7"/>
        </w:rPr>
        <w:t> </w:t>
      </w:r>
      <w:r>
        <w:rPr>
          <w:color w:val="231F20"/>
        </w:rPr>
        <w:t>loin</w:t>
      </w:r>
      <w:r>
        <w:rPr>
          <w:color w:val="231F20"/>
          <w:spacing w:val="-7"/>
        </w:rPr>
        <w:t> </w:t>
      </w:r>
      <w:r>
        <w:rPr>
          <w:color w:val="231F20"/>
        </w:rPr>
        <w:t>est</w:t>
      </w:r>
      <w:r>
        <w:rPr>
          <w:color w:val="231F20"/>
          <w:spacing w:val="-7"/>
        </w:rPr>
        <w:t> </w:t>
      </w:r>
      <w:r>
        <w:rPr>
          <w:color w:val="231F20"/>
        </w:rPr>
        <w:t>le </w:t>
      </w:r>
      <w:r>
        <w:rPr>
          <w:color w:val="231F20"/>
          <w:spacing w:val="-2"/>
        </w:rPr>
        <w:t>temps</w:t>
      </w:r>
      <w:r>
        <w:rPr>
          <w:color w:val="231F20"/>
          <w:spacing w:val="-8"/>
        </w:rPr>
        <w:t> </w:t>
      </w:r>
      <w:r>
        <w:rPr>
          <w:color w:val="231F20"/>
          <w:spacing w:val="-2"/>
        </w:rPr>
        <w:t>où</w:t>
      </w:r>
      <w:r>
        <w:rPr>
          <w:color w:val="231F20"/>
          <w:spacing w:val="-8"/>
        </w:rPr>
        <w:t> </w:t>
      </w:r>
      <w:r>
        <w:rPr>
          <w:color w:val="231F20"/>
          <w:spacing w:val="-2"/>
        </w:rPr>
        <w:t>ils</w:t>
      </w:r>
      <w:r>
        <w:rPr>
          <w:color w:val="231F20"/>
          <w:spacing w:val="-8"/>
        </w:rPr>
        <w:t> </w:t>
      </w:r>
      <w:r>
        <w:rPr>
          <w:color w:val="231F20"/>
          <w:spacing w:val="-2"/>
        </w:rPr>
        <w:t>faisaient</w:t>
      </w:r>
      <w:r>
        <w:rPr>
          <w:color w:val="231F20"/>
          <w:spacing w:val="-5"/>
        </w:rPr>
        <w:t> </w:t>
      </w:r>
      <w:r>
        <w:rPr>
          <w:color w:val="231F20"/>
          <w:spacing w:val="-2"/>
        </w:rPr>
        <w:t>appel</w:t>
      </w:r>
      <w:r>
        <w:rPr>
          <w:color w:val="231F20"/>
          <w:spacing w:val="-5"/>
        </w:rPr>
        <w:t> </w:t>
      </w:r>
      <w:r>
        <w:rPr>
          <w:color w:val="231F20"/>
          <w:spacing w:val="-2"/>
        </w:rPr>
        <w:t>à</w:t>
      </w:r>
      <w:r>
        <w:rPr>
          <w:color w:val="231F20"/>
          <w:spacing w:val="-7"/>
        </w:rPr>
        <w:t> </w:t>
      </w:r>
      <w:r>
        <w:rPr>
          <w:color w:val="231F20"/>
          <w:spacing w:val="-2"/>
        </w:rPr>
        <w:t>l’assistance</w:t>
      </w:r>
      <w:r>
        <w:rPr>
          <w:color w:val="231F20"/>
          <w:spacing w:val="-6"/>
        </w:rPr>
        <w:t> </w:t>
      </w:r>
      <w:r>
        <w:rPr>
          <w:color w:val="231F20"/>
          <w:spacing w:val="-2"/>
        </w:rPr>
        <w:t>financière</w:t>
      </w:r>
      <w:r>
        <w:rPr>
          <w:color w:val="231F20"/>
          <w:spacing w:val="-7"/>
        </w:rPr>
        <w:t> </w:t>
      </w:r>
      <w:r>
        <w:rPr>
          <w:color w:val="231F20"/>
          <w:spacing w:val="-2"/>
        </w:rPr>
        <w:t>internationale</w:t>
      </w:r>
      <w:r>
        <w:rPr>
          <w:color w:val="231F20"/>
          <w:spacing w:val="-7"/>
        </w:rPr>
        <w:t> </w:t>
      </w:r>
      <w:r>
        <w:rPr>
          <w:color w:val="231F20"/>
          <w:spacing w:val="-2"/>
        </w:rPr>
        <w:t>et</w:t>
      </w:r>
      <w:r>
        <w:rPr>
          <w:color w:val="231F20"/>
          <w:spacing w:val="-5"/>
        </w:rPr>
        <w:t> </w:t>
      </w:r>
      <w:r>
        <w:rPr>
          <w:color w:val="231F20"/>
          <w:spacing w:val="-2"/>
        </w:rPr>
        <w:t>à</w:t>
      </w:r>
      <w:r>
        <w:rPr>
          <w:color w:val="231F20"/>
          <w:spacing w:val="-8"/>
        </w:rPr>
        <w:t> </w:t>
      </w:r>
      <w:r>
        <w:rPr>
          <w:color w:val="231F20"/>
          <w:spacing w:val="-2"/>
        </w:rPr>
        <w:t>la </w:t>
      </w:r>
      <w:r>
        <w:rPr>
          <w:color w:val="231F20"/>
        </w:rPr>
        <w:t>remise de dettes.</w:t>
      </w:r>
    </w:p>
    <w:p>
      <w:pPr>
        <w:pStyle w:val="BodyText"/>
        <w:spacing w:before="120"/>
        <w:ind w:right="105" w:firstLine="283"/>
      </w:pPr>
      <w:r>
        <w:rPr>
          <w:color w:val="231F20"/>
          <w:spacing w:val="-2"/>
        </w:rPr>
        <w:t>Rêver</w:t>
      </w:r>
      <w:r>
        <w:rPr>
          <w:color w:val="231F20"/>
          <w:spacing w:val="-11"/>
        </w:rPr>
        <w:t> </w:t>
      </w:r>
      <w:r>
        <w:rPr>
          <w:color w:val="231F20"/>
          <w:spacing w:val="-2"/>
        </w:rPr>
        <w:t>d’une</w:t>
      </w:r>
      <w:r>
        <w:rPr>
          <w:color w:val="231F20"/>
          <w:spacing w:val="-11"/>
        </w:rPr>
        <w:t> </w:t>
      </w:r>
      <w:r>
        <w:rPr>
          <w:color w:val="231F20"/>
          <w:spacing w:val="-2"/>
        </w:rPr>
        <w:t>Afrique</w:t>
      </w:r>
      <w:r>
        <w:rPr>
          <w:color w:val="231F20"/>
          <w:spacing w:val="-11"/>
        </w:rPr>
        <w:t> </w:t>
      </w:r>
      <w:r>
        <w:rPr>
          <w:color w:val="231F20"/>
          <w:spacing w:val="-2"/>
        </w:rPr>
        <w:t>noire</w:t>
      </w:r>
      <w:r>
        <w:rPr>
          <w:color w:val="231F20"/>
          <w:spacing w:val="-11"/>
        </w:rPr>
        <w:t> </w:t>
      </w:r>
      <w:r>
        <w:rPr>
          <w:color w:val="231F20"/>
          <w:spacing w:val="-2"/>
        </w:rPr>
        <w:t>francophone</w:t>
      </w:r>
      <w:r>
        <w:rPr>
          <w:color w:val="231F20"/>
          <w:spacing w:val="-11"/>
        </w:rPr>
        <w:t> </w:t>
      </w:r>
      <w:r>
        <w:rPr>
          <w:color w:val="231F20"/>
          <w:spacing w:val="-2"/>
        </w:rPr>
        <w:t>forte</w:t>
      </w:r>
      <w:r>
        <w:rPr>
          <w:color w:val="231F20"/>
          <w:spacing w:val="-11"/>
        </w:rPr>
        <w:t> </w:t>
      </w:r>
      <w:r>
        <w:rPr>
          <w:color w:val="231F20"/>
          <w:spacing w:val="-2"/>
        </w:rPr>
        <w:t>dans</w:t>
      </w:r>
      <w:r>
        <w:rPr>
          <w:color w:val="231F20"/>
          <w:spacing w:val="-10"/>
        </w:rPr>
        <w:t> </w:t>
      </w:r>
      <w:r>
        <w:rPr>
          <w:color w:val="231F20"/>
          <w:spacing w:val="-2"/>
        </w:rPr>
        <w:t>tous</w:t>
      </w:r>
      <w:r>
        <w:rPr>
          <w:color w:val="231F20"/>
          <w:spacing w:val="-11"/>
        </w:rPr>
        <w:t> </w:t>
      </w:r>
      <w:r>
        <w:rPr>
          <w:color w:val="231F20"/>
          <w:spacing w:val="-2"/>
        </w:rPr>
        <w:t>les</w:t>
      </w:r>
      <w:r>
        <w:rPr>
          <w:color w:val="231F20"/>
          <w:spacing w:val="-13"/>
        </w:rPr>
        <w:t> </w:t>
      </w:r>
      <w:r>
        <w:rPr>
          <w:color w:val="231F20"/>
          <w:spacing w:val="-2"/>
        </w:rPr>
        <w:t>secteurs</w:t>
      </w:r>
      <w:r>
        <w:rPr>
          <w:color w:val="231F20"/>
          <w:spacing w:val="-11"/>
        </w:rPr>
        <w:t> </w:t>
      </w:r>
      <w:r>
        <w:rPr>
          <w:color w:val="231F20"/>
          <w:spacing w:val="-2"/>
        </w:rPr>
        <w:t>de </w:t>
      </w:r>
      <w:r>
        <w:rPr>
          <w:color w:val="231F20"/>
        </w:rPr>
        <w:t>développement, rivalisant sur les marchés mondiaux avec le reste du monde, ce n’est pas poursuivre des chimères. L’Afrique en général et </w:t>
      </w:r>
      <w:r>
        <w:rPr>
          <w:color w:val="231F20"/>
          <w:spacing w:val="-2"/>
        </w:rPr>
        <w:t>francophone</w:t>
      </w:r>
      <w:r>
        <w:rPr>
          <w:color w:val="231F20"/>
          <w:spacing w:val="-15"/>
        </w:rPr>
        <w:t> </w:t>
      </w:r>
      <w:r>
        <w:rPr>
          <w:color w:val="231F20"/>
          <w:spacing w:val="-2"/>
        </w:rPr>
        <w:t>en</w:t>
      </w:r>
      <w:r>
        <w:rPr>
          <w:color w:val="231F20"/>
          <w:spacing w:val="-13"/>
        </w:rPr>
        <w:t> </w:t>
      </w:r>
      <w:r>
        <w:rPr>
          <w:color w:val="231F20"/>
          <w:spacing w:val="-2"/>
        </w:rPr>
        <w:t>particulier</w:t>
      </w:r>
      <w:r>
        <w:rPr>
          <w:color w:val="231F20"/>
          <w:spacing w:val="-13"/>
        </w:rPr>
        <w:t> </w:t>
      </w:r>
      <w:r>
        <w:rPr>
          <w:color w:val="231F20"/>
          <w:spacing w:val="-2"/>
        </w:rPr>
        <w:t>n’est</w:t>
      </w:r>
      <w:r>
        <w:rPr>
          <w:color w:val="231F20"/>
          <w:spacing w:val="-13"/>
        </w:rPr>
        <w:t> </w:t>
      </w:r>
      <w:r>
        <w:rPr>
          <w:color w:val="231F20"/>
          <w:spacing w:val="-2"/>
        </w:rPr>
        <w:t>ni</w:t>
      </w:r>
      <w:r>
        <w:rPr>
          <w:color w:val="231F20"/>
          <w:spacing w:val="-13"/>
        </w:rPr>
        <w:t> </w:t>
      </w:r>
      <w:r>
        <w:rPr>
          <w:color w:val="231F20"/>
          <w:spacing w:val="-2"/>
        </w:rPr>
        <w:t>maudite</w:t>
      </w:r>
      <w:r>
        <w:rPr>
          <w:color w:val="231F20"/>
          <w:spacing w:val="-13"/>
        </w:rPr>
        <w:t> </w:t>
      </w:r>
      <w:r>
        <w:rPr>
          <w:color w:val="231F20"/>
          <w:spacing w:val="-2"/>
        </w:rPr>
        <w:t>ni</w:t>
      </w:r>
      <w:r>
        <w:rPr>
          <w:color w:val="231F20"/>
          <w:spacing w:val="-13"/>
        </w:rPr>
        <w:t> </w:t>
      </w:r>
      <w:r>
        <w:rPr>
          <w:color w:val="231F20"/>
          <w:spacing w:val="-2"/>
        </w:rPr>
        <w:t>perdue</w:t>
      </w:r>
      <w:r>
        <w:rPr>
          <w:color w:val="231F20"/>
          <w:spacing w:val="-13"/>
        </w:rPr>
        <w:t> </w:t>
      </w:r>
      <w:r>
        <w:rPr>
          <w:color w:val="231F20"/>
          <w:spacing w:val="-2"/>
        </w:rPr>
        <w:t>!</w:t>
      </w:r>
      <w:r>
        <w:rPr>
          <w:color w:val="231F20"/>
          <w:spacing w:val="-13"/>
        </w:rPr>
        <w:t> </w:t>
      </w:r>
      <w:r>
        <w:rPr>
          <w:color w:val="231F20"/>
          <w:spacing w:val="-2"/>
        </w:rPr>
        <w:t>C’est</w:t>
      </w:r>
      <w:r>
        <w:rPr>
          <w:color w:val="231F20"/>
          <w:spacing w:val="-13"/>
        </w:rPr>
        <w:t> </w:t>
      </w:r>
      <w:r>
        <w:rPr>
          <w:color w:val="231F20"/>
          <w:spacing w:val="-2"/>
        </w:rPr>
        <w:t>un</w:t>
      </w:r>
      <w:r>
        <w:rPr>
          <w:color w:val="231F20"/>
          <w:spacing w:val="-13"/>
        </w:rPr>
        <w:t> </w:t>
      </w:r>
      <w:r>
        <w:rPr>
          <w:color w:val="231F20"/>
          <w:spacing w:val="-2"/>
        </w:rPr>
        <w:t>continent </w:t>
      </w:r>
      <w:r>
        <w:rPr>
          <w:color w:val="231F20"/>
        </w:rPr>
        <w:t>jeune avec d’énormes potentialités. Mais pour que le rêve devienne réalité,</w:t>
      </w:r>
      <w:r>
        <w:rPr>
          <w:color w:val="231F20"/>
          <w:spacing w:val="-11"/>
        </w:rPr>
        <w:t> </w:t>
      </w:r>
      <w:r>
        <w:rPr>
          <w:color w:val="231F20"/>
        </w:rPr>
        <w:t>les</w:t>
      </w:r>
      <w:r>
        <w:rPr>
          <w:color w:val="231F20"/>
          <w:spacing w:val="-12"/>
        </w:rPr>
        <w:t> </w:t>
      </w:r>
      <w:r>
        <w:rPr>
          <w:color w:val="231F20"/>
        </w:rPr>
        <w:t>peuples</w:t>
      </w:r>
      <w:r>
        <w:rPr>
          <w:color w:val="231F20"/>
          <w:spacing w:val="-10"/>
        </w:rPr>
        <w:t> </w:t>
      </w:r>
      <w:r>
        <w:rPr>
          <w:color w:val="231F20"/>
        </w:rPr>
        <w:t>et</w:t>
      </w:r>
      <w:r>
        <w:rPr>
          <w:color w:val="231F20"/>
          <w:spacing w:val="-11"/>
        </w:rPr>
        <w:t> </w:t>
      </w:r>
      <w:r>
        <w:rPr>
          <w:color w:val="231F20"/>
        </w:rPr>
        <w:t>les</w:t>
      </w:r>
      <w:r>
        <w:rPr>
          <w:color w:val="231F20"/>
          <w:spacing w:val="-12"/>
        </w:rPr>
        <w:t> </w:t>
      </w:r>
      <w:r>
        <w:rPr>
          <w:color w:val="231F20"/>
        </w:rPr>
        <w:t>dirigeants</w:t>
      </w:r>
      <w:r>
        <w:rPr>
          <w:color w:val="231F20"/>
          <w:spacing w:val="-10"/>
        </w:rPr>
        <w:t> </w:t>
      </w:r>
      <w:r>
        <w:rPr>
          <w:color w:val="231F20"/>
        </w:rPr>
        <w:t>doivent</w:t>
      </w:r>
      <w:r>
        <w:rPr>
          <w:color w:val="231F20"/>
          <w:spacing w:val="-10"/>
        </w:rPr>
        <w:t> </w:t>
      </w:r>
      <w:r>
        <w:rPr>
          <w:color w:val="231F20"/>
        </w:rPr>
        <w:t>refonder</w:t>
      </w:r>
      <w:r>
        <w:rPr>
          <w:color w:val="231F20"/>
          <w:spacing w:val="-11"/>
        </w:rPr>
        <w:t> </w:t>
      </w:r>
      <w:r>
        <w:rPr>
          <w:color w:val="231F20"/>
        </w:rPr>
        <w:t>leurs</w:t>
      </w:r>
      <w:r>
        <w:rPr>
          <w:color w:val="231F20"/>
          <w:spacing w:val="-12"/>
        </w:rPr>
        <w:t> </w:t>
      </w:r>
      <w:r>
        <w:rPr>
          <w:color w:val="231F20"/>
        </w:rPr>
        <w:t>mentalités.</w:t>
      </w:r>
    </w:p>
    <w:p>
      <w:pPr>
        <w:pStyle w:val="BodyText"/>
        <w:spacing w:before="121"/>
        <w:ind w:right="105" w:firstLine="283"/>
      </w:pPr>
      <w:r>
        <w:rPr>
          <w:color w:val="231F20"/>
          <w:spacing w:val="-4"/>
        </w:rPr>
        <w:t>Ils</w:t>
      </w:r>
      <w:r>
        <w:rPr>
          <w:color w:val="231F20"/>
          <w:spacing w:val="-9"/>
        </w:rPr>
        <w:t> </w:t>
      </w:r>
      <w:r>
        <w:rPr>
          <w:color w:val="231F20"/>
          <w:spacing w:val="-4"/>
        </w:rPr>
        <w:t>doivent</w:t>
      </w:r>
      <w:r>
        <w:rPr>
          <w:color w:val="231F20"/>
          <w:spacing w:val="-7"/>
        </w:rPr>
        <w:t> </w:t>
      </w:r>
      <w:r>
        <w:rPr>
          <w:color w:val="231F20"/>
          <w:spacing w:val="-4"/>
        </w:rPr>
        <w:t>se</w:t>
      </w:r>
      <w:r>
        <w:rPr>
          <w:color w:val="231F20"/>
          <w:spacing w:val="-11"/>
        </w:rPr>
        <w:t> </w:t>
      </w:r>
      <w:r>
        <w:rPr>
          <w:color w:val="231F20"/>
          <w:spacing w:val="-4"/>
        </w:rPr>
        <w:t>débarrasser</w:t>
      </w:r>
      <w:r>
        <w:rPr>
          <w:color w:val="231F20"/>
          <w:spacing w:val="-11"/>
        </w:rPr>
        <w:t> </w:t>
      </w:r>
      <w:r>
        <w:rPr>
          <w:color w:val="231F20"/>
          <w:spacing w:val="-4"/>
        </w:rPr>
        <w:t>de</w:t>
      </w:r>
      <w:r>
        <w:rPr>
          <w:color w:val="231F20"/>
          <w:spacing w:val="-8"/>
        </w:rPr>
        <w:t> </w:t>
      </w:r>
      <w:r>
        <w:rPr>
          <w:color w:val="231F20"/>
          <w:spacing w:val="-4"/>
        </w:rPr>
        <w:t>l’hydre</w:t>
      </w:r>
      <w:r>
        <w:rPr>
          <w:color w:val="231F20"/>
          <w:spacing w:val="-8"/>
        </w:rPr>
        <w:t> </w:t>
      </w:r>
      <w:r>
        <w:rPr>
          <w:color w:val="231F20"/>
          <w:spacing w:val="-4"/>
        </w:rPr>
        <w:t>du</w:t>
      </w:r>
      <w:r>
        <w:rPr>
          <w:color w:val="231F20"/>
          <w:spacing w:val="-11"/>
        </w:rPr>
        <w:t> </w:t>
      </w:r>
      <w:r>
        <w:rPr>
          <w:color w:val="231F20"/>
          <w:spacing w:val="-4"/>
        </w:rPr>
        <w:t>mal</w:t>
      </w:r>
      <w:r>
        <w:rPr>
          <w:color w:val="231F20"/>
          <w:spacing w:val="-11"/>
        </w:rPr>
        <w:t> </w:t>
      </w:r>
      <w:r>
        <w:rPr>
          <w:color w:val="231F20"/>
          <w:spacing w:val="-4"/>
        </w:rPr>
        <w:t>développement</w:t>
      </w:r>
      <w:r>
        <w:rPr>
          <w:color w:val="231F20"/>
          <w:spacing w:val="-11"/>
        </w:rPr>
        <w:t> </w:t>
      </w:r>
      <w:r>
        <w:rPr>
          <w:color w:val="231F20"/>
          <w:spacing w:val="-4"/>
        </w:rPr>
        <w:t>qui</w:t>
      </w:r>
      <w:r>
        <w:rPr>
          <w:color w:val="231F20"/>
          <w:spacing w:val="-11"/>
        </w:rPr>
        <w:t> </w:t>
      </w:r>
      <w:r>
        <w:rPr>
          <w:color w:val="231F20"/>
          <w:spacing w:val="-4"/>
        </w:rPr>
        <w:t>étouffe </w:t>
      </w:r>
      <w:r>
        <w:rPr>
          <w:color w:val="231F20"/>
        </w:rPr>
        <w:t>les ex-colonies. Ce grand serpent qui emprisonne le développement présente deux grosses têtes sur lesquelles poussent plusieurs antennes </w:t>
      </w:r>
      <w:r>
        <w:rPr>
          <w:color w:val="231F20"/>
          <w:spacing w:val="-2"/>
        </w:rPr>
        <w:t>voraces.</w:t>
      </w:r>
    </w:p>
    <w:p>
      <w:pPr>
        <w:pStyle w:val="BodyText"/>
        <w:spacing w:before="120"/>
        <w:ind w:right="106"/>
      </w:pPr>
      <w:r>
        <w:rPr>
          <w:color w:val="231F20"/>
          <w:spacing w:val="-4"/>
        </w:rPr>
        <w:t>La</w:t>
      </w:r>
      <w:r>
        <w:rPr>
          <w:color w:val="231F20"/>
          <w:spacing w:val="-10"/>
        </w:rPr>
        <w:t> </w:t>
      </w:r>
      <w:r>
        <w:rPr>
          <w:color w:val="231F20"/>
          <w:spacing w:val="-4"/>
        </w:rPr>
        <w:t>première</w:t>
      </w:r>
      <w:r>
        <w:rPr>
          <w:color w:val="231F20"/>
          <w:spacing w:val="-10"/>
        </w:rPr>
        <w:t> </w:t>
      </w:r>
      <w:r>
        <w:rPr>
          <w:color w:val="231F20"/>
          <w:spacing w:val="-4"/>
        </w:rPr>
        <w:t>tête</w:t>
      </w:r>
      <w:r>
        <w:rPr>
          <w:color w:val="231F20"/>
          <w:spacing w:val="-10"/>
        </w:rPr>
        <w:t> </w:t>
      </w:r>
      <w:r>
        <w:rPr>
          <w:color w:val="231F20"/>
          <w:spacing w:val="-4"/>
        </w:rPr>
        <w:t>est</w:t>
      </w:r>
      <w:r>
        <w:rPr>
          <w:color w:val="231F20"/>
          <w:spacing w:val="-11"/>
        </w:rPr>
        <w:t> </w:t>
      </w:r>
      <w:r>
        <w:rPr>
          <w:color w:val="231F20"/>
          <w:spacing w:val="-4"/>
        </w:rPr>
        <w:t>le</w:t>
      </w:r>
      <w:r>
        <w:rPr>
          <w:color w:val="231F20"/>
          <w:spacing w:val="-10"/>
        </w:rPr>
        <w:t> </w:t>
      </w:r>
      <w:r>
        <w:rPr>
          <w:color w:val="231F20"/>
          <w:spacing w:val="-4"/>
        </w:rPr>
        <w:t>néocolonialisme</w:t>
      </w:r>
      <w:r>
        <w:rPr>
          <w:color w:val="231F20"/>
          <w:spacing w:val="-10"/>
        </w:rPr>
        <w:t> </w:t>
      </w:r>
      <w:r>
        <w:rPr>
          <w:color w:val="231F20"/>
          <w:spacing w:val="-4"/>
        </w:rPr>
        <w:t>à</w:t>
      </w:r>
      <w:r>
        <w:rPr>
          <w:color w:val="231F20"/>
          <w:spacing w:val="-10"/>
        </w:rPr>
        <w:t> </w:t>
      </w:r>
      <w:r>
        <w:rPr>
          <w:color w:val="231F20"/>
          <w:spacing w:val="-4"/>
        </w:rPr>
        <w:t>travers</w:t>
      </w:r>
      <w:r>
        <w:rPr>
          <w:color w:val="231F20"/>
          <w:spacing w:val="-9"/>
        </w:rPr>
        <w:t> </w:t>
      </w:r>
      <w:r>
        <w:rPr>
          <w:color w:val="231F20"/>
          <w:spacing w:val="-4"/>
        </w:rPr>
        <w:t>la</w:t>
      </w:r>
      <w:r>
        <w:rPr>
          <w:color w:val="231F20"/>
          <w:spacing w:val="-10"/>
        </w:rPr>
        <w:t> </w:t>
      </w:r>
      <w:r>
        <w:rPr>
          <w:color w:val="231F20"/>
          <w:spacing w:val="-4"/>
        </w:rPr>
        <w:t>françafrique</w:t>
      </w:r>
      <w:r>
        <w:rPr>
          <w:color w:val="231F20"/>
          <w:spacing w:val="-9"/>
        </w:rPr>
        <w:t> </w:t>
      </w:r>
      <w:r>
        <w:rPr>
          <w:color w:val="231F20"/>
          <w:spacing w:val="-4"/>
        </w:rPr>
        <w:t>:</w:t>
      </w:r>
      <w:r>
        <w:rPr>
          <w:color w:val="231F20"/>
          <w:spacing w:val="-11"/>
        </w:rPr>
        <w:t> </w:t>
      </w:r>
      <w:r>
        <w:rPr>
          <w:color w:val="231F20"/>
          <w:spacing w:val="-4"/>
        </w:rPr>
        <w:t>le</w:t>
      </w:r>
      <w:r>
        <w:rPr>
          <w:color w:val="231F20"/>
          <w:spacing w:val="-9"/>
        </w:rPr>
        <w:t> </w:t>
      </w:r>
      <w:r>
        <w:rPr>
          <w:color w:val="231F20"/>
          <w:spacing w:val="-4"/>
        </w:rPr>
        <w:t>maître </w:t>
      </w:r>
      <w:r>
        <w:rPr>
          <w:color w:val="231F20"/>
        </w:rPr>
        <w:t>d’hier</w:t>
      </w:r>
      <w:r>
        <w:rPr>
          <w:color w:val="231F20"/>
          <w:spacing w:val="-15"/>
        </w:rPr>
        <w:t> </w:t>
      </w:r>
      <w:r>
        <w:rPr>
          <w:color w:val="231F20"/>
        </w:rPr>
        <w:t>ne</w:t>
      </w:r>
      <w:r>
        <w:rPr>
          <w:color w:val="231F20"/>
          <w:spacing w:val="-14"/>
        </w:rPr>
        <w:t> </w:t>
      </w:r>
      <w:r>
        <w:rPr>
          <w:color w:val="231F20"/>
        </w:rPr>
        <w:t>lâche</w:t>
      </w:r>
      <w:r>
        <w:rPr>
          <w:color w:val="231F20"/>
          <w:spacing w:val="-14"/>
        </w:rPr>
        <w:t> </w:t>
      </w:r>
      <w:r>
        <w:rPr>
          <w:color w:val="231F20"/>
        </w:rPr>
        <w:t>pas</w:t>
      </w:r>
      <w:r>
        <w:rPr>
          <w:color w:val="231F20"/>
          <w:spacing w:val="-15"/>
        </w:rPr>
        <w:t> </w:t>
      </w:r>
      <w:r>
        <w:rPr>
          <w:color w:val="231F20"/>
        </w:rPr>
        <w:t>la</w:t>
      </w:r>
      <w:r>
        <w:rPr>
          <w:color w:val="231F20"/>
          <w:spacing w:val="-15"/>
        </w:rPr>
        <w:t> </w:t>
      </w:r>
      <w:r>
        <w:rPr>
          <w:color w:val="231F20"/>
        </w:rPr>
        <w:t>bride.</w:t>
      </w:r>
      <w:r>
        <w:rPr>
          <w:color w:val="231F20"/>
          <w:spacing w:val="-14"/>
        </w:rPr>
        <w:t> </w:t>
      </w:r>
      <w:r>
        <w:rPr>
          <w:color w:val="231F20"/>
        </w:rPr>
        <w:t>Au</w:t>
      </w:r>
      <w:r>
        <w:rPr>
          <w:color w:val="231F20"/>
          <w:spacing w:val="-14"/>
        </w:rPr>
        <w:t> </w:t>
      </w:r>
      <w:r>
        <w:rPr>
          <w:color w:val="231F20"/>
        </w:rPr>
        <w:t>commencement,</w:t>
      </w:r>
      <w:r>
        <w:rPr>
          <w:color w:val="231F20"/>
          <w:spacing w:val="-15"/>
        </w:rPr>
        <w:t> </w:t>
      </w:r>
      <w:r>
        <w:rPr>
          <w:color w:val="231F20"/>
        </w:rPr>
        <w:t>les</w:t>
      </w:r>
      <w:r>
        <w:rPr>
          <w:color w:val="231F20"/>
          <w:spacing w:val="-15"/>
        </w:rPr>
        <w:t> </w:t>
      </w:r>
      <w:r>
        <w:rPr>
          <w:color w:val="231F20"/>
        </w:rPr>
        <w:t>Africains</w:t>
      </w:r>
      <w:r>
        <w:rPr>
          <w:color w:val="231F20"/>
          <w:spacing w:val="-14"/>
        </w:rPr>
        <w:t> </w:t>
      </w:r>
      <w:r>
        <w:rPr>
          <w:color w:val="231F20"/>
        </w:rPr>
        <w:t>au</w:t>
      </w:r>
      <w:r>
        <w:rPr>
          <w:color w:val="231F20"/>
          <w:spacing w:val="-15"/>
        </w:rPr>
        <w:t> </w:t>
      </w:r>
      <w:r>
        <w:rPr>
          <w:color w:val="231F20"/>
        </w:rPr>
        <w:t>Sud</w:t>
      </w:r>
      <w:r>
        <w:rPr>
          <w:color w:val="231F20"/>
          <w:spacing w:val="-14"/>
        </w:rPr>
        <w:t> </w:t>
      </w:r>
      <w:r>
        <w:rPr>
          <w:color w:val="231F20"/>
        </w:rPr>
        <w:t>du Sahara</w:t>
      </w:r>
      <w:r>
        <w:rPr>
          <w:color w:val="231F20"/>
          <w:spacing w:val="-2"/>
        </w:rPr>
        <w:t> </w:t>
      </w:r>
      <w:r>
        <w:rPr>
          <w:color w:val="231F20"/>
        </w:rPr>
        <w:t>étaient pour</w:t>
      </w:r>
      <w:r>
        <w:rPr>
          <w:color w:val="231F20"/>
          <w:spacing w:val="-1"/>
        </w:rPr>
        <w:t> </w:t>
      </w:r>
      <w:r>
        <w:rPr>
          <w:color w:val="231F20"/>
        </w:rPr>
        <w:t>les</w:t>
      </w:r>
      <w:r>
        <w:rPr>
          <w:color w:val="231F20"/>
          <w:spacing w:val="-1"/>
        </w:rPr>
        <w:t> </w:t>
      </w:r>
      <w:r>
        <w:rPr>
          <w:color w:val="231F20"/>
        </w:rPr>
        <w:t>Européens,</w:t>
      </w:r>
      <w:r>
        <w:rPr>
          <w:color w:val="231F20"/>
          <w:spacing w:val="-1"/>
        </w:rPr>
        <w:t> </w:t>
      </w:r>
      <w:r>
        <w:rPr>
          <w:color w:val="231F20"/>
        </w:rPr>
        <w:t>de</w:t>
      </w:r>
      <w:r>
        <w:rPr>
          <w:color w:val="231F20"/>
          <w:spacing w:val="-2"/>
        </w:rPr>
        <w:t> </w:t>
      </w:r>
      <w:r>
        <w:rPr>
          <w:color w:val="231F20"/>
        </w:rPr>
        <w:t>la</w:t>
      </w:r>
      <w:r>
        <w:rPr>
          <w:color w:val="231F20"/>
          <w:spacing w:val="-2"/>
        </w:rPr>
        <w:t> </w:t>
      </w:r>
      <w:r>
        <w:rPr>
          <w:color w:val="231F20"/>
        </w:rPr>
        <w:t>«</w:t>
      </w:r>
      <w:r>
        <w:rPr>
          <w:color w:val="231F20"/>
          <w:spacing w:val="-1"/>
        </w:rPr>
        <w:t> </w:t>
      </w:r>
      <w:r>
        <w:rPr>
          <w:color w:val="231F20"/>
        </w:rPr>
        <w:t>marchandise</w:t>
      </w:r>
      <w:r>
        <w:rPr>
          <w:color w:val="231F20"/>
          <w:spacing w:val="-2"/>
        </w:rPr>
        <w:t> </w:t>
      </w:r>
      <w:r>
        <w:rPr>
          <w:color w:val="231F20"/>
        </w:rPr>
        <w:t>»</w:t>
      </w:r>
      <w:r>
        <w:rPr>
          <w:color w:val="231F20"/>
          <w:spacing w:val="-1"/>
        </w:rPr>
        <w:t> </w:t>
      </w:r>
      <w:r>
        <w:rPr>
          <w:color w:val="231F20"/>
        </w:rPr>
        <w:t>et ils</w:t>
      </w:r>
      <w:r>
        <w:rPr>
          <w:color w:val="231F20"/>
          <w:spacing w:val="-2"/>
        </w:rPr>
        <w:t> </w:t>
      </w:r>
      <w:r>
        <w:rPr>
          <w:color w:val="231F20"/>
        </w:rPr>
        <w:t>leur</w:t>
      </w:r>
      <w:r>
        <w:rPr>
          <w:color w:val="231F20"/>
          <w:spacing w:val="-1"/>
        </w:rPr>
        <w:t> </w:t>
      </w:r>
      <w:r>
        <w:rPr>
          <w:color w:val="231F20"/>
        </w:rPr>
        <w:t>ont mis</w:t>
      </w:r>
      <w:r>
        <w:rPr>
          <w:color w:val="231F20"/>
          <w:spacing w:val="-3"/>
        </w:rPr>
        <w:t> </w:t>
      </w:r>
      <w:r>
        <w:rPr>
          <w:color w:val="231F20"/>
        </w:rPr>
        <w:t>le</w:t>
      </w:r>
      <w:r>
        <w:rPr>
          <w:color w:val="231F20"/>
          <w:spacing w:val="-4"/>
        </w:rPr>
        <w:t> </w:t>
      </w:r>
      <w:r>
        <w:rPr>
          <w:color w:val="231F20"/>
        </w:rPr>
        <w:t>fer</w:t>
      </w:r>
      <w:r>
        <w:rPr>
          <w:color w:val="231F20"/>
          <w:spacing w:val="-2"/>
        </w:rPr>
        <w:t> </w:t>
      </w:r>
      <w:r>
        <w:rPr>
          <w:color w:val="231F20"/>
        </w:rPr>
        <w:t>aux</w:t>
      </w:r>
      <w:r>
        <w:rPr>
          <w:color w:val="231F20"/>
          <w:spacing w:val="-4"/>
        </w:rPr>
        <w:t> </w:t>
      </w:r>
      <w:r>
        <w:rPr>
          <w:color w:val="231F20"/>
        </w:rPr>
        <w:t>pieds</w:t>
      </w:r>
      <w:r>
        <w:rPr>
          <w:color w:val="231F20"/>
          <w:spacing w:val="-2"/>
        </w:rPr>
        <w:t> </w:t>
      </w:r>
      <w:r>
        <w:rPr>
          <w:color w:val="231F20"/>
        </w:rPr>
        <w:t>et</w:t>
      </w:r>
      <w:r>
        <w:rPr>
          <w:color w:val="231F20"/>
          <w:spacing w:val="-1"/>
        </w:rPr>
        <w:t> </w:t>
      </w:r>
      <w:r>
        <w:rPr>
          <w:color w:val="231F20"/>
        </w:rPr>
        <w:t>au</w:t>
      </w:r>
      <w:r>
        <w:rPr>
          <w:color w:val="231F20"/>
          <w:spacing w:val="-1"/>
        </w:rPr>
        <w:t> </w:t>
      </w:r>
      <w:r>
        <w:rPr>
          <w:color w:val="231F20"/>
        </w:rPr>
        <w:t>cou</w:t>
      </w:r>
      <w:r>
        <w:rPr>
          <w:color w:val="231F20"/>
          <w:spacing w:val="-4"/>
        </w:rPr>
        <w:t> </w:t>
      </w:r>
      <w:r>
        <w:rPr>
          <w:color w:val="231F20"/>
        </w:rPr>
        <w:t>;</w:t>
      </w:r>
      <w:r>
        <w:rPr>
          <w:color w:val="231F20"/>
          <w:spacing w:val="-2"/>
        </w:rPr>
        <w:t> </w:t>
      </w:r>
      <w:r>
        <w:rPr>
          <w:color w:val="231F20"/>
        </w:rPr>
        <w:t>devenus</w:t>
      </w:r>
      <w:r>
        <w:rPr>
          <w:color w:val="231F20"/>
          <w:spacing w:val="-3"/>
        </w:rPr>
        <w:t> </w:t>
      </w:r>
      <w:r>
        <w:rPr>
          <w:color w:val="231F20"/>
        </w:rPr>
        <w:t>des</w:t>
      </w:r>
      <w:r>
        <w:rPr>
          <w:color w:val="231F20"/>
          <w:spacing w:val="-3"/>
        </w:rPr>
        <w:t> </w:t>
      </w:r>
      <w:r>
        <w:rPr>
          <w:color w:val="231F20"/>
        </w:rPr>
        <w:t>bêtes</w:t>
      </w:r>
      <w:r>
        <w:rPr>
          <w:color w:val="231F20"/>
          <w:spacing w:val="-5"/>
        </w:rPr>
        <w:t> </w:t>
      </w:r>
      <w:r>
        <w:rPr>
          <w:color w:val="231F20"/>
        </w:rPr>
        <w:t>de</w:t>
      </w:r>
      <w:r>
        <w:rPr>
          <w:color w:val="231F20"/>
          <w:spacing w:val="-2"/>
        </w:rPr>
        <w:t> </w:t>
      </w:r>
      <w:r>
        <w:rPr>
          <w:color w:val="231F20"/>
        </w:rPr>
        <w:t>somme</w:t>
      </w:r>
      <w:r>
        <w:rPr>
          <w:color w:val="231F20"/>
          <w:spacing w:val="-4"/>
        </w:rPr>
        <w:t> </w:t>
      </w:r>
      <w:r>
        <w:rPr>
          <w:color w:val="231F20"/>
        </w:rPr>
        <w:t>pendant</w:t>
      </w:r>
      <w:r>
        <w:rPr>
          <w:color w:val="231F20"/>
          <w:spacing w:val="-3"/>
        </w:rPr>
        <w:t> </w:t>
      </w:r>
      <w:r>
        <w:rPr>
          <w:color w:val="231F20"/>
        </w:rPr>
        <w:t>la </w:t>
      </w:r>
      <w:r>
        <w:rPr>
          <w:color w:val="231F20"/>
          <w:spacing w:val="-4"/>
        </w:rPr>
        <w:t>colonisation,</w:t>
      </w:r>
      <w:r>
        <w:rPr>
          <w:color w:val="231F20"/>
          <w:spacing w:val="-17"/>
        </w:rPr>
        <w:t> </w:t>
      </w:r>
      <w:r>
        <w:rPr>
          <w:color w:val="231F20"/>
          <w:spacing w:val="-4"/>
        </w:rPr>
        <w:t>les</w:t>
      </w:r>
      <w:r>
        <w:rPr>
          <w:color w:val="231F20"/>
          <w:spacing w:val="-13"/>
        </w:rPr>
        <w:t> </w:t>
      </w:r>
      <w:r>
        <w:rPr>
          <w:color w:val="231F20"/>
          <w:spacing w:val="-4"/>
        </w:rPr>
        <w:t>«</w:t>
      </w:r>
      <w:r>
        <w:rPr>
          <w:color w:val="231F20"/>
          <w:spacing w:val="-14"/>
        </w:rPr>
        <w:t> </w:t>
      </w:r>
      <w:r>
        <w:rPr>
          <w:color w:val="231F20"/>
          <w:spacing w:val="-4"/>
        </w:rPr>
        <w:t>sales</w:t>
      </w:r>
      <w:r>
        <w:rPr>
          <w:color w:val="231F20"/>
          <w:spacing w:val="-14"/>
        </w:rPr>
        <w:t> </w:t>
      </w:r>
      <w:r>
        <w:rPr>
          <w:color w:val="231F20"/>
          <w:spacing w:val="-4"/>
        </w:rPr>
        <w:t>nègres</w:t>
      </w:r>
      <w:r>
        <w:rPr>
          <w:color w:val="231F20"/>
          <w:spacing w:val="-13"/>
        </w:rPr>
        <w:t> </w:t>
      </w:r>
      <w:r>
        <w:rPr>
          <w:color w:val="231F20"/>
          <w:spacing w:val="-4"/>
        </w:rPr>
        <w:t>et</w:t>
      </w:r>
      <w:r>
        <w:rPr>
          <w:color w:val="231F20"/>
          <w:spacing w:val="-14"/>
        </w:rPr>
        <w:t> </w:t>
      </w:r>
      <w:r>
        <w:rPr>
          <w:color w:val="231F20"/>
          <w:spacing w:val="-4"/>
        </w:rPr>
        <w:t>bougnouls</w:t>
      </w:r>
      <w:r>
        <w:rPr>
          <w:color w:val="231F20"/>
          <w:spacing w:val="-14"/>
        </w:rPr>
        <w:t> </w:t>
      </w:r>
      <w:r>
        <w:rPr>
          <w:color w:val="231F20"/>
          <w:spacing w:val="-4"/>
        </w:rPr>
        <w:t>»</w:t>
      </w:r>
      <w:r>
        <w:rPr>
          <w:color w:val="231F20"/>
          <w:spacing w:val="-14"/>
        </w:rPr>
        <w:t> </w:t>
      </w:r>
      <w:r>
        <w:rPr>
          <w:color w:val="231F20"/>
          <w:spacing w:val="-4"/>
        </w:rPr>
        <w:t>ont</w:t>
      </w:r>
      <w:r>
        <w:rPr>
          <w:color w:val="231F20"/>
          <w:spacing w:val="-12"/>
        </w:rPr>
        <w:t> </w:t>
      </w:r>
      <w:r>
        <w:rPr>
          <w:color w:val="231F20"/>
          <w:spacing w:val="-4"/>
        </w:rPr>
        <w:t>connu</w:t>
      </w:r>
      <w:r>
        <w:rPr>
          <w:color w:val="231F20"/>
          <w:spacing w:val="-14"/>
        </w:rPr>
        <w:t> </w:t>
      </w:r>
      <w:r>
        <w:rPr>
          <w:color w:val="231F20"/>
          <w:spacing w:val="-4"/>
        </w:rPr>
        <w:t>les</w:t>
      </w:r>
      <w:r>
        <w:rPr>
          <w:color w:val="231F20"/>
          <w:spacing w:val="-16"/>
        </w:rPr>
        <w:t> </w:t>
      </w:r>
      <w:r>
        <w:rPr>
          <w:color w:val="231F20"/>
          <w:spacing w:val="-4"/>
        </w:rPr>
        <w:t>travaux</w:t>
      </w:r>
      <w:r>
        <w:rPr>
          <w:color w:val="231F20"/>
          <w:spacing w:val="-12"/>
        </w:rPr>
        <w:t> </w:t>
      </w:r>
      <w:r>
        <w:rPr>
          <w:color w:val="231F20"/>
          <w:spacing w:val="-4"/>
        </w:rPr>
        <w:t>forcés</w:t>
      </w:r>
    </w:p>
    <w:p>
      <w:pPr>
        <w:spacing w:after="0"/>
        <w:sectPr>
          <w:pgSz w:w="8790" w:h="13610"/>
          <w:pgMar w:header="0" w:footer="802" w:top="1060" w:bottom="1000" w:left="880" w:right="880"/>
        </w:sectPr>
      </w:pPr>
    </w:p>
    <w:p>
      <w:pPr>
        <w:pStyle w:val="BodyText"/>
        <w:spacing w:before="66"/>
        <w:ind w:right="108"/>
      </w:pPr>
      <w:r>
        <w:rPr>
          <w:color w:val="231F20"/>
        </w:rPr>
        <w:t>;</w:t>
      </w:r>
      <w:r>
        <w:rPr>
          <w:color w:val="231F20"/>
          <w:spacing w:val="-12"/>
        </w:rPr>
        <w:t> </w:t>
      </w:r>
      <w:r>
        <w:rPr>
          <w:color w:val="231F20"/>
        </w:rPr>
        <w:t>avec</w:t>
      </w:r>
      <w:r>
        <w:rPr>
          <w:color w:val="231F20"/>
          <w:spacing w:val="-14"/>
        </w:rPr>
        <w:t> </w:t>
      </w:r>
      <w:r>
        <w:rPr>
          <w:color w:val="231F20"/>
        </w:rPr>
        <w:t>l’évolution</w:t>
      </w:r>
      <w:r>
        <w:rPr>
          <w:color w:val="231F20"/>
          <w:spacing w:val="-14"/>
        </w:rPr>
        <w:t> </w:t>
      </w:r>
      <w:r>
        <w:rPr>
          <w:color w:val="231F20"/>
        </w:rPr>
        <w:t>des</w:t>
      </w:r>
      <w:r>
        <w:rPr>
          <w:color w:val="231F20"/>
          <w:spacing w:val="-14"/>
        </w:rPr>
        <w:t> </w:t>
      </w:r>
      <w:r>
        <w:rPr>
          <w:color w:val="231F20"/>
        </w:rPr>
        <w:t>temps,</w:t>
      </w:r>
      <w:r>
        <w:rPr>
          <w:color w:val="231F20"/>
          <w:spacing w:val="-14"/>
        </w:rPr>
        <w:t> </w:t>
      </w:r>
      <w:r>
        <w:rPr>
          <w:color w:val="231F20"/>
        </w:rPr>
        <w:t>la</w:t>
      </w:r>
      <w:r>
        <w:rPr>
          <w:color w:val="231F20"/>
          <w:spacing w:val="-13"/>
        </w:rPr>
        <w:t> </w:t>
      </w:r>
      <w:r>
        <w:rPr>
          <w:color w:val="231F20"/>
        </w:rPr>
        <w:t>France</w:t>
      </w:r>
      <w:r>
        <w:rPr>
          <w:color w:val="231F20"/>
          <w:spacing w:val="-14"/>
        </w:rPr>
        <w:t> </w:t>
      </w:r>
      <w:r>
        <w:rPr>
          <w:color w:val="231F20"/>
        </w:rPr>
        <w:t>leur</w:t>
      </w:r>
      <w:r>
        <w:rPr>
          <w:color w:val="231F20"/>
          <w:spacing w:val="-13"/>
        </w:rPr>
        <w:t> </w:t>
      </w:r>
      <w:r>
        <w:rPr>
          <w:color w:val="231F20"/>
        </w:rPr>
        <w:t>a</w:t>
      </w:r>
      <w:r>
        <w:rPr>
          <w:color w:val="231F20"/>
          <w:spacing w:val="-15"/>
        </w:rPr>
        <w:t> </w:t>
      </w:r>
      <w:r>
        <w:rPr>
          <w:color w:val="231F20"/>
        </w:rPr>
        <w:t>retiré</w:t>
      </w:r>
      <w:r>
        <w:rPr>
          <w:color w:val="231F20"/>
          <w:spacing w:val="-14"/>
        </w:rPr>
        <w:t> </w:t>
      </w:r>
      <w:r>
        <w:rPr>
          <w:color w:val="231F20"/>
        </w:rPr>
        <w:t>les</w:t>
      </w:r>
      <w:r>
        <w:rPr>
          <w:color w:val="231F20"/>
          <w:spacing w:val="-13"/>
        </w:rPr>
        <w:t> </w:t>
      </w:r>
      <w:r>
        <w:rPr>
          <w:color w:val="231F20"/>
        </w:rPr>
        <w:t>chaînes</w:t>
      </w:r>
      <w:r>
        <w:rPr>
          <w:color w:val="231F20"/>
          <w:spacing w:val="-14"/>
        </w:rPr>
        <w:t> </w:t>
      </w:r>
      <w:r>
        <w:rPr>
          <w:color w:val="231F20"/>
        </w:rPr>
        <w:t>aux</w:t>
      </w:r>
      <w:r>
        <w:rPr>
          <w:color w:val="231F20"/>
          <w:spacing w:val="-14"/>
        </w:rPr>
        <w:t> </w:t>
      </w:r>
      <w:r>
        <w:rPr>
          <w:color w:val="231F20"/>
        </w:rPr>
        <w:t>pieds mais</w:t>
      </w:r>
      <w:r>
        <w:rPr>
          <w:color w:val="231F20"/>
          <w:spacing w:val="-9"/>
        </w:rPr>
        <w:t> </w:t>
      </w:r>
      <w:r>
        <w:rPr>
          <w:color w:val="231F20"/>
        </w:rPr>
        <w:t>emprisonné</w:t>
      </w:r>
      <w:r>
        <w:rPr>
          <w:color w:val="231F20"/>
          <w:spacing w:val="-9"/>
        </w:rPr>
        <w:t> </w:t>
      </w:r>
      <w:r>
        <w:rPr>
          <w:color w:val="231F20"/>
        </w:rPr>
        <w:t>la</w:t>
      </w:r>
      <w:r>
        <w:rPr>
          <w:color w:val="231F20"/>
          <w:spacing w:val="-9"/>
        </w:rPr>
        <w:t> </w:t>
      </w:r>
      <w:r>
        <w:rPr>
          <w:color w:val="231F20"/>
        </w:rPr>
        <w:t>pensée</w:t>
      </w:r>
      <w:r>
        <w:rPr>
          <w:color w:val="231F20"/>
          <w:spacing w:val="-10"/>
        </w:rPr>
        <w:t> </w:t>
      </w:r>
      <w:r>
        <w:rPr>
          <w:color w:val="231F20"/>
        </w:rPr>
        <w:t>grâce</w:t>
      </w:r>
      <w:r>
        <w:rPr>
          <w:color w:val="231F20"/>
          <w:spacing w:val="-9"/>
        </w:rPr>
        <w:t> </w:t>
      </w:r>
      <w:r>
        <w:rPr>
          <w:color w:val="231F20"/>
        </w:rPr>
        <w:t>à</w:t>
      </w:r>
      <w:r>
        <w:rPr>
          <w:color w:val="231F20"/>
          <w:spacing w:val="-10"/>
        </w:rPr>
        <w:t> </w:t>
      </w:r>
      <w:r>
        <w:rPr>
          <w:color w:val="231F20"/>
        </w:rPr>
        <w:t>un</w:t>
      </w:r>
      <w:r>
        <w:rPr>
          <w:color w:val="231F20"/>
          <w:spacing w:val="-9"/>
        </w:rPr>
        <w:t> </w:t>
      </w:r>
      <w:r>
        <w:rPr>
          <w:color w:val="231F20"/>
        </w:rPr>
        <w:t>lavage</w:t>
      </w:r>
      <w:r>
        <w:rPr>
          <w:color w:val="231F20"/>
          <w:spacing w:val="-9"/>
        </w:rPr>
        <w:t> </w:t>
      </w:r>
      <w:r>
        <w:rPr>
          <w:color w:val="231F20"/>
        </w:rPr>
        <w:t>de</w:t>
      </w:r>
      <w:r>
        <w:rPr>
          <w:color w:val="231F20"/>
          <w:spacing w:val="-9"/>
        </w:rPr>
        <w:t> </w:t>
      </w:r>
      <w:r>
        <w:rPr>
          <w:color w:val="231F20"/>
        </w:rPr>
        <w:t>cerveau</w:t>
      </w:r>
      <w:r>
        <w:rPr>
          <w:color w:val="231F20"/>
          <w:spacing w:val="-9"/>
        </w:rPr>
        <w:t> </w:t>
      </w:r>
      <w:r>
        <w:rPr>
          <w:color w:val="231F20"/>
        </w:rPr>
        <w:t>réussi.</w:t>
      </w:r>
      <w:r>
        <w:rPr>
          <w:color w:val="231F20"/>
          <w:spacing w:val="40"/>
        </w:rPr>
        <w:t> </w:t>
      </w:r>
      <w:r>
        <w:rPr>
          <w:color w:val="231F20"/>
        </w:rPr>
        <w:t>Et,</w:t>
      </w:r>
      <w:r>
        <w:rPr>
          <w:color w:val="231F20"/>
          <w:spacing w:val="-9"/>
        </w:rPr>
        <w:t> </w:t>
      </w:r>
      <w:r>
        <w:rPr>
          <w:color w:val="231F20"/>
        </w:rPr>
        <w:t>elle installe à la tête des Etats des Hommes de paille. Les antennes de ce néocolonialisme s’appuient sur trois solides piliers : la coopération militaire, l’aide publique au développement et le franc CFA qui permettent le soutien aux dictatures, aux coups d’Etat et assassinats politiques</w:t>
      </w:r>
      <w:r>
        <w:rPr>
          <w:color w:val="231F20"/>
          <w:spacing w:val="-2"/>
        </w:rPr>
        <w:t> </w:t>
      </w:r>
      <w:r>
        <w:rPr>
          <w:color w:val="231F20"/>
        </w:rPr>
        <w:t>mais</w:t>
      </w:r>
      <w:r>
        <w:rPr>
          <w:color w:val="231F20"/>
          <w:spacing w:val="-2"/>
        </w:rPr>
        <w:t> </w:t>
      </w:r>
      <w:r>
        <w:rPr>
          <w:color w:val="231F20"/>
        </w:rPr>
        <w:t>aussi aux</w:t>
      </w:r>
      <w:r>
        <w:rPr>
          <w:color w:val="231F20"/>
          <w:spacing w:val="-5"/>
        </w:rPr>
        <w:t> </w:t>
      </w:r>
      <w:r>
        <w:rPr>
          <w:color w:val="231F20"/>
        </w:rPr>
        <w:t>détournements de fonds.</w:t>
      </w:r>
    </w:p>
    <w:p>
      <w:pPr>
        <w:pStyle w:val="BodyText"/>
        <w:spacing w:before="240"/>
        <w:ind w:right="104"/>
      </w:pPr>
      <w:r>
        <w:rPr>
          <w:color w:val="231F20"/>
        </w:rPr>
        <w:t>L’autre</w:t>
      </w:r>
      <w:r>
        <w:rPr>
          <w:color w:val="231F20"/>
          <w:spacing w:val="-9"/>
        </w:rPr>
        <w:t> </w:t>
      </w:r>
      <w:r>
        <w:rPr>
          <w:color w:val="231F20"/>
        </w:rPr>
        <w:t>tête</w:t>
      </w:r>
      <w:r>
        <w:rPr>
          <w:color w:val="231F20"/>
          <w:spacing w:val="-9"/>
        </w:rPr>
        <w:t> </w:t>
      </w:r>
      <w:r>
        <w:rPr>
          <w:color w:val="231F20"/>
        </w:rPr>
        <w:t>est</w:t>
      </w:r>
      <w:r>
        <w:rPr>
          <w:color w:val="231F20"/>
          <w:spacing w:val="-11"/>
        </w:rPr>
        <w:t> </w:t>
      </w:r>
      <w:r>
        <w:rPr>
          <w:color w:val="231F20"/>
        </w:rPr>
        <w:t>la</w:t>
      </w:r>
      <w:r>
        <w:rPr>
          <w:color w:val="231F20"/>
          <w:spacing w:val="-9"/>
        </w:rPr>
        <w:t> </w:t>
      </w:r>
      <w:r>
        <w:rPr>
          <w:color w:val="231F20"/>
        </w:rPr>
        <w:t>mauvaise</w:t>
      </w:r>
      <w:r>
        <w:rPr>
          <w:color w:val="231F20"/>
          <w:spacing w:val="-9"/>
        </w:rPr>
        <w:t> </w:t>
      </w:r>
      <w:r>
        <w:rPr>
          <w:color w:val="231F20"/>
        </w:rPr>
        <w:t>gouvernance</w:t>
      </w:r>
      <w:r>
        <w:rPr>
          <w:color w:val="231F20"/>
          <w:spacing w:val="-9"/>
        </w:rPr>
        <w:t> </w:t>
      </w:r>
      <w:r>
        <w:rPr>
          <w:color w:val="231F20"/>
        </w:rPr>
        <w:t>des</w:t>
      </w:r>
      <w:r>
        <w:rPr>
          <w:color w:val="231F20"/>
          <w:spacing w:val="-9"/>
        </w:rPr>
        <w:t> </w:t>
      </w:r>
      <w:r>
        <w:rPr>
          <w:color w:val="231F20"/>
        </w:rPr>
        <w:t>dirigeants</w:t>
      </w:r>
      <w:r>
        <w:rPr>
          <w:color w:val="231F20"/>
          <w:spacing w:val="-9"/>
        </w:rPr>
        <w:t> </w:t>
      </w:r>
      <w:r>
        <w:rPr>
          <w:color w:val="231F20"/>
        </w:rPr>
        <w:t>locaux</w:t>
      </w:r>
      <w:r>
        <w:rPr>
          <w:color w:val="231F20"/>
          <w:spacing w:val="-11"/>
        </w:rPr>
        <w:t> </w:t>
      </w:r>
      <w:r>
        <w:rPr>
          <w:color w:val="231F20"/>
        </w:rPr>
        <w:t>installés avec l’appui de la France : utilisation des ressources du pays pour satisfaire</w:t>
      </w:r>
      <w:r>
        <w:rPr>
          <w:color w:val="231F20"/>
          <w:spacing w:val="-14"/>
        </w:rPr>
        <w:t> </w:t>
      </w:r>
      <w:r>
        <w:rPr>
          <w:color w:val="231F20"/>
        </w:rPr>
        <w:t>des</w:t>
      </w:r>
      <w:r>
        <w:rPr>
          <w:color w:val="231F20"/>
          <w:spacing w:val="-14"/>
        </w:rPr>
        <w:t> </w:t>
      </w:r>
      <w:r>
        <w:rPr>
          <w:color w:val="231F20"/>
        </w:rPr>
        <w:t>intérêts</w:t>
      </w:r>
      <w:r>
        <w:rPr>
          <w:color w:val="231F20"/>
          <w:spacing w:val="-14"/>
        </w:rPr>
        <w:t> </w:t>
      </w:r>
      <w:r>
        <w:rPr>
          <w:color w:val="231F20"/>
        </w:rPr>
        <w:t>personnels</w:t>
      </w:r>
      <w:r>
        <w:rPr>
          <w:color w:val="231F20"/>
          <w:spacing w:val="-14"/>
        </w:rPr>
        <w:t> </w:t>
      </w:r>
      <w:r>
        <w:rPr>
          <w:color w:val="231F20"/>
        </w:rPr>
        <w:t>et</w:t>
      </w:r>
      <w:r>
        <w:rPr>
          <w:color w:val="231F20"/>
          <w:spacing w:val="-14"/>
        </w:rPr>
        <w:t> </w:t>
      </w:r>
      <w:r>
        <w:rPr>
          <w:color w:val="231F20"/>
        </w:rPr>
        <w:t>égoïstes,</w:t>
      </w:r>
      <w:r>
        <w:rPr>
          <w:color w:val="231F20"/>
          <w:spacing w:val="-14"/>
        </w:rPr>
        <w:t> </w:t>
      </w:r>
      <w:r>
        <w:rPr>
          <w:color w:val="231F20"/>
        </w:rPr>
        <w:t>mauvais</w:t>
      </w:r>
      <w:r>
        <w:rPr>
          <w:color w:val="231F20"/>
          <w:spacing w:val="-14"/>
        </w:rPr>
        <w:t> </w:t>
      </w:r>
      <w:r>
        <w:rPr>
          <w:color w:val="231F20"/>
        </w:rPr>
        <w:t>choix</w:t>
      </w:r>
      <w:r>
        <w:rPr>
          <w:color w:val="231F20"/>
          <w:spacing w:val="-14"/>
        </w:rPr>
        <w:t> </w:t>
      </w:r>
      <w:r>
        <w:rPr>
          <w:color w:val="231F20"/>
        </w:rPr>
        <w:t>stratégiques de</w:t>
      </w:r>
      <w:r>
        <w:rPr>
          <w:color w:val="231F20"/>
          <w:spacing w:val="-15"/>
        </w:rPr>
        <w:t> </w:t>
      </w:r>
      <w:r>
        <w:rPr>
          <w:color w:val="231F20"/>
        </w:rPr>
        <w:t>développement,</w:t>
      </w:r>
      <w:r>
        <w:rPr>
          <w:color w:val="231F20"/>
          <w:spacing w:val="-15"/>
        </w:rPr>
        <w:t> </w:t>
      </w:r>
      <w:r>
        <w:rPr>
          <w:color w:val="231F20"/>
        </w:rPr>
        <w:t>surendettement,</w:t>
      </w:r>
      <w:r>
        <w:rPr>
          <w:color w:val="231F20"/>
          <w:spacing w:val="-15"/>
        </w:rPr>
        <w:t> </w:t>
      </w:r>
      <w:r>
        <w:rPr>
          <w:color w:val="231F20"/>
        </w:rPr>
        <w:t>incompétence</w:t>
      </w:r>
      <w:r>
        <w:rPr>
          <w:color w:val="231F20"/>
          <w:spacing w:val="-15"/>
        </w:rPr>
        <w:t> </w:t>
      </w:r>
      <w:r>
        <w:rPr>
          <w:color w:val="231F20"/>
        </w:rPr>
        <w:t>d'une</w:t>
      </w:r>
      <w:r>
        <w:rPr>
          <w:color w:val="231F20"/>
          <w:spacing w:val="-15"/>
        </w:rPr>
        <w:t> </w:t>
      </w:r>
      <w:r>
        <w:rPr>
          <w:color w:val="231F20"/>
        </w:rPr>
        <w:t>Administration tatillonne et bureaucrate, réseaux de corruption et détournement dans toute l’Administration publique. Ces Chefs d'Etat font des Forces de l’ordre, de la Justice, de l’achat des consciences, du maintien d'un analphabétisme élevé de la population, leurs outils pour diriger d’une main de fer, le peuple.</w:t>
      </w:r>
    </w:p>
    <w:p>
      <w:pPr>
        <w:pStyle w:val="BodyText"/>
        <w:spacing w:before="80"/>
        <w:ind w:left="0"/>
        <w:jc w:val="left"/>
      </w:pPr>
    </w:p>
    <w:p>
      <w:pPr>
        <w:pStyle w:val="Heading2"/>
        <w:jc w:val="both"/>
      </w:pPr>
      <w:bookmarkStart w:name="_TOC_250010" w:id="33"/>
      <w:r>
        <w:rPr>
          <w:color w:val="231F20"/>
          <w:spacing w:val="-2"/>
        </w:rPr>
        <w:t>Se</w:t>
      </w:r>
      <w:r>
        <w:rPr>
          <w:color w:val="231F20"/>
          <w:spacing w:val="-11"/>
        </w:rPr>
        <w:t> </w:t>
      </w:r>
      <w:r>
        <w:rPr>
          <w:color w:val="231F20"/>
          <w:spacing w:val="-2"/>
        </w:rPr>
        <w:t>regarder</w:t>
      </w:r>
      <w:r>
        <w:rPr>
          <w:color w:val="231F20"/>
          <w:spacing w:val="-10"/>
        </w:rPr>
        <w:t> </w:t>
      </w:r>
      <w:r>
        <w:rPr>
          <w:color w:val="231F20"/>
          <w:spacing w:val="-2"/>
        </w:rPr>
        <w:t>dans</w:t>
      </w:r>
      <w:r>
        <w:rPr>
          <w:color w:val="231F20"/>
          <w:spacing w:val="-11"/>
        </w:rPr>
        <w:t> </w:t>
      </w:r>
      <w:r>
        <w:rPr>
          <w:color w:val="231F20"/>
          <w:spacing w:val="-2"/>
        </w:rPr>
        <w:t>son</w:t>
      </w:r>
      <w:r>
        <w:rPr>
          <w:color w:val="231F20"/>
          <w:spacing w:val="-9"/>
        </w:rPr>
        <w:t> </w:t>
      </w:r>
      <w:r>
        <w:rPr>
          <w:color w:val="231F20"/>
          <w:spacing w:val="-2"/>
        </w:rPr>
        <w:t>propre</w:t>
      </w:r>
      <w:r>
        <w:rPr>
          <w:color w:val="231F20"/>
          <w:spacing w:val="-10"/>
        </w:rPr>
        <w:t> </w:t>
      </w:r>
      <w:bookmarkEnd w:id="33"/>
      <w:r>
        <w:rPr>
          <w:color w:val="231F20"/>
          <w:spacing w:val="-2"/>
        </w:rPr>
        <w:t>miroir</w:t>
      </w:r>
    </w:p>
    <w:p>
      <w:pPr>
        <w:pStyle w:val="BodyText"/>
        <w:spacing w:before="120"/>
        <w:ind w:left="0"/>
        <w:jc w:val="left"/>
        <w:rPr>
          <w:b/>
        </w:rPr>
      </w:pPr>
    </w:p>
    <w:p>
      <w:pPr>
        <w:pStyle w:val="BodyText"/>
        <w:ind w:right="102" w:firstLine="283"/>
      </w:pPr>
      <w:r>
        <w:rPr>
          <w:color w:val="231F20"/>
        </w:rPr>
        <w:t>À</w:t>
      </w:r>
      <w:r>
        <w:rPr>
          <w:color w:val="231F20"/>
          <w:spacing w:val="-15"/>
        </w:rPr>
        <w:t> </w:t>
      </w:r>
      <w:r>
        <w:rPr>
          <w:color w:val="231F20"/>
        </w:rPr>
        <w:t>la</w:t>
      </w:r>
      <w:r>
        <w:rPr>
          <w:color w:val="231F20"/>
          <w:spacing w:val="-14"/>
        </w:rPr>
        <w:t> </w:t>
      </w:r>
      <w:r>
        <w:rPr>
          <w:color w:val="231F20"/>
        </w:rPr>
        <w:t>fin</w:t>
      </w:r>
      <w:r>
        <w:rPr>
          <w:color w:val="231F20"/>
          <w:spacing w:val="-15"/>
        </w:rPr>
        <w:t> </w:t>
      </w:r>
      <w:r>
        <w:rPr>
          <w:color w:val="231F20"/>
        </w:rPr>
        <w:t>des</w:t>
      </w:r>
      <w:r>
        <w:rPr>
          <w:color w:val="231F20"/>
          <w:spacing w:val="-14"/>
        </w:rPr>
        <w:t> </w:t>
      </w:r>
      <w:r>
        <w:rPr>
          <w:color w:val="231F20"/>
        </w:rPr>
        <w:t>années</w:t>
      </w:r>
      <w:r>
        <w:rPr>
          <w:color w:val="231F20"/>
          <w:spacing w:val="-15"/>
        </w:rPr>
        <w:t> </w:t>
      </w:r>
      <w:r>
        <w:rPr>
          <w:color w:val="231F20"/>
        </w:rPr>
        <w:t>1980,</w:t>
      </w:r>
      <w:r>
        <w:rPr>
          <w:color w:val="231F20"/>
          <w:spacing w:val="-15"/>
        </w:rPr>
        <w:t> </w:t>
      </w:r>
      <w:r>
        <w:rPr>
          <w:color w:val="231F20"/>
        </w:rPr>
        <w:t>j’ai</w:t>
      </w:r>
      <w:r>
        <w:rPr>
          <w:color w:val="231F20"/>
          <w:spacing w:val="-14"/>
        </w:rPr>
        <w:t> </w:t>
      </w:r>
      <w:r>
        <w:rPr>
          <w:color w:val="231F20"/>
        </w:rPr>
        <w:t>rencontré</w:t>
      </w:r>
      <w:r>
        <w:rPr>
          <w:color w:val="231F20"/>
          <w:spacing w:val="-15"/>
        </w:rPr>
        <w:t> </w:t>
      </w:r>
      <w:r>
        <w:rPr>
          <w:color w:val="231F20"/>
        </w:rPr>
        <w:t>en</w:t>
      </w:r>
      <w:r>
        <w:rPr>
          <w:color w:val="231F20"/>
          <w:spacing w:val="-14"/>
        </w:rPr>
        <w:t> </w:t>
      </w:r>
      <w:r>
        <w:rPr>
          <w:color w:val="231F20"/>
        </w:rPr>
        <w:t>France,</w:t>
      </w:r>
      <w:r>
        <w:rPr>
          <w:color w:val="231F20"/>
          <w:spacing w:val="-15"/>
        </w:rPr>
        <w:t> </w:t>
      </w:r>
      <w:r>
        <w:rPr>
          <w:color w:val="231F20"/>
        </w:rPr>
        <w:t>de</w:t>
      </w:r>
      <w:r>
        <w:rPr>
          <w:color w:val="231F20"/>
          <w:spacing w:val="-14"/>
        </w:rPr>
        <w:t> </w:t>
      </w:r>
      <w:r>
        <w:rPr>
          <w:color w:val="231F20"/>
        </w:rPr>
        <w:t>jeunes</w:t>
      </w:r>
      <w:r>
        <w:rPr>
          <w:color w:val="231F20"/>
          <w:spacing w:val="-15"/>
        </w:rPr>
        <w:t> </w:t>
      </w:r>
      <w:r>
        <w:rPr>
          <w:color w:val="231F20"/>
        </w:rPr>
        <w:t>Français qui</w:t>
      </w:r>
      <w:r>
        <w:rPr>
          <w:color w:val="231F20"/>
          <w:spacing w:val="-9"/>
        </w:rPr>
        <w:t> </w:t>
      </w:r>
      <w:r>
        <w:rPr>
          <w:color w:val="231F20"/>
        </w:rPr>
        <w:t>ne</w:t>
      </w:r>
      <w:r>
        <w:rPr>
          <w:color w:val="231F20"/>
          <w:spacing w:val="-7"/>
        </w:rPr>
        <w:t> </w:t>
      </w:r>
      <w:r>
        <w:rPr>
          <w:color w:val="231F20"/>
        </w:rPr>
        <w:t>voyaient</w:t>
      </w:r>
      <w:r>
        <w:rPr>
          <w:color w:val="231F20"/>
          <w:spacing w:val="-9"/>
        </w:rPr>
        <w:t> </w:t>
      </w:r>
      <w:r>
        <w:rPr>
          <w:color w:val="231F20"/>
        </w:rPr>
        <w:t>pas</w:t>
      </w:r>
      <w:r>
        <w:rPr>
          <w:color w:val="231F20"/>
          <w:spacing w:val="-10"/>
        </w:rPr>
        <w:t> </w:t>
      </w:r>
      <w:r>
        <w:rPr>
          <w:color w:val="231F20"/>
        </w:rPr>
        <w:t>la</w:t>
      </w:r>
      <w:r>
        <w:rPr>
          <w:color w:val="231F20"/>
          <w:spacing w:val="-7"/>
        </w:rPr>
        <w:t> </w:t>
      </w:r>
      <w:r>
        <w:rPr>
          <w:color w:val="231F20"/>
        </w:rPr>
        <w:t>couleur</w:t>
      </w:r>
      <w:r>
        <w:rPr>
          <w:color w:val="231F20"/>
          <w:spacing w:val="-10"/>
        </w:rPr>
        <w:t> </w:t>
      </w:r>
      <w:r>
        <w:rPr>
          <w:color w:val="231F20"/>
        </w:rPr>
        <w:t>de</w:t>
      </w:r>
      <w:r>
        <w:rPr>
          <w:color w:val="231F20"/>
          <w:spacing w:val="-7"/>
        </w:rPr>
        <w:t> </w:t>
      </w:r>
      <w:r>
        <w:rPr>
          <w:color w:val="231F20"/>
        </w:rPr>
        <w:t>ma</w:t>
      </w:r>
      <w:r>
        <w:rPr>
          <w:color w:val="231F20"/>
          <w:spacing w:val="-10"/>
        </w:rPr>
        <w:t> </w:t>
      </w:r>
      <w:r>
        <w:rPr>
          <w:color w:val="231F20"/>
        </w:rPr>
        <w:t>peau</w:t>
      </w:r>
      <w:r>
        <w:rPr>
          <w:color w:val="231F20"/>
          <w:spacing w:val="-9"/>
        </w:rPr>
        <w:t> </w:t>
      </w:r>
      <w:r>
        <w:rPr>
          <w:color w:val="231F20"/>
        </w:rPr>
        <w:t>tout</w:t>
      </w:r>
      <w:r>
        <w:rPr>
          <w:color w:val="231F20"/>
          <w:spacing w:val="-9"/>
        </w:rPr>
        <w:t> </w:t>
      </w:r>
      <w:r>
        <w:rPr>
          <w:color w:val="231F20"/>
        </w:rPr>
        <w:t>comme</w:t>
      </w:r>
      <w:r>
        <w:rPr>
          <w:color w:val="231F20"/>
          <w:spacing w:val="-10"/>
        </w:rPr>
        <w:t> </w:t>
      </w:r>
      <w:r>
        <w:rPr>
          <w:color w:val="231F20"/>
        </w:rPr>
        <w:t>moi</w:t>
      </w:r>
      <w:r>
        <w:rPr>
          <w:color w:val="231F20"/>
          <w:spacing w:val="-6"/>
        </w:rPr>
        <w:t> </w:t>
      </w:r>
      <w:r>
        <w:rPr>
          <w:color w:val="231F20"/>
        </w:rPr>
        <w:t>non</w:t>
      </w:r>
      <w:r>
        <w:rPr>
          <w:color w:val="231F20"/>
          <w:spacing w:val="-6"/>
        </w:rPr>
        <w:t> </w:t>
      </w:r>
      <w:r>
        <w:rPr>
          <w:color w:val="231F20"/>
        </w:rPr>
        <w:t>plus,</w:t>
      </w:r>
      <w:r>
        <w:rPr>
          <w:color w:val="231F20"/>
          <w:spacing w:val="-9"/>
        </w:rPr>
        <w:t> </w:t>
      </w:r>
      <w:r>
        <w:rPr>
          <w:color w:val="231F20"/>
        </w:rPr>
        <w:t>ne voyais la leur</w:t>
      </w:r>
      <w:r>
        <w:rPr>
          <w:color w:val="231F20"/>
          <w:spacing w:val="-12"/>
        </w:rPr>
        <w:t> </w:t>
      </w:r>
      <w:r>
        <w:rPr>
          <w:color w:val="231F20"/>
        </w:rPr>
        <w:t>: nous étions tout simplement des jeunes</w:t>
      </w:r>
      <w:r>
        <w:rPr>
          <w:color w:val="231F20"/>
          <w:spacing w:val="-12"/>
        </w:rPr>
        <w:t> </w:t>
      </w:r>
      <w:r>
        <w:rPr>
          <w:color w:val="231F20"/>
        </w:rPr>
        <w:t>! Mais j’ai rencontré</w:t>
      </w:r>
      <w:r>
        <w:rPr>
          <w:color w:val="231F20"/>
          <w:spacing w:val="-14"/>
        </w:rPr>
        <w:t> </w:t>
      </w:r>
      <w:r>
        <w:rPr>
          <w:color w:val="231F20"/>
        </w:rPr>
        <w:t>à</w:t>
      </w:r>
      <w:r>
        <w:rPr>
          <w:color w:val="231F20"/>
          <w:spacing w:val="-14"/>
        </w:rPr>
        <w:t> </w:t>
      </w:r>
      <w:r>
        <w:rPr>
          <w:color w:val="231F20"/>
        </w:rPr>
        <w:t>St</w:t>
      </w:r>
      <w:r>
        <w:rPr>
          <w:color w:val="231F20"/>
          <w:spacing w:val="-13"/>
        </w:rPr>
        <w:t> </w:t>
      </w:r>
      <w:r>
        <w:rPr>
          <w:color w:val="231F20"/>
        </w:rPr>
        <w:t>Denis</w:t>
      </w:r>
      <w:r>
        <w:rPr>
          <w:color w:val="76787A"/>
          <w:vertAlign w:val="superscript"/>
        </w:rPr>
        <w:t>224</w:t>
      </w:r>
      <w:r>
        <w:rPr>
          <w:color w:val="76787A"/>
          <w:spacing w:val="-13"/>
          <w:vertAlign w:val="baseline"/>
        </w:rPr>
        <w:t> </w:t>
      </w:r>
      <w:r>
        <w:rPr>
          <w:color w:val="231F20"/>
          <w:vertAlign w:val="baseline"/>
        </w:rPr>
        <w:t>des</w:t>
      </w:r>
      <w:r>
        <w:rPr>
          <w:color w:val="231F20"/>
          <w:spacing w:val="-14"/>
          <w:vertAlign w:val="baseline"/>
        </w:rPr>
        <w:t> </w:t>
      </w:r>
      <w:r>
        <w:rPr>
          <w:color w:val="231F20"/>
          <w:vertAlign w:val="baseline"/>
        </w:rPr>
        <w:t>motards</w:t>
      </w:r>
      <w:r>
        <w:rPr>
          <w:color w:val="231F20"/>
          <w:spacing w:val="-12"/>
          <w:vertAlign w:val="baseline"/>
        </w:rPr>
        <w:t> </w:t>
      </w:r>
      <w:r>
        <w:rPr>
          <w:color w:val="231F20"/>
          <w:vertAlign w:val="baseline"/>
        </w:rPr>
        <w:t>«</w:t>
      </w:r>
      <w:r>
        <w:rPr>
          <w:color w:val="231F20"/>
          <w:spacing w:val="-15"/>
          <w:vertAlign w:val="baseline"/>
        </w:rPr>
        <w:t> </w:t>
      </w:r>
      <w:r>
        <w:rPr>
          <w:color w:val="231F20"/>
          <w:vertAlign w:val="baseline"/>
        </w:rPr>
        <w:t>hors</w:t>
      </w:r>
      <w:r>
        <w:rPr>
          <w:color w:val="231F20"/>
          <w:spacing w:val="-13"/>
          <w:vertAlign w:val="baseline"/>
        </w:rPr>
        <w:t> </w:t>
      </w:r>
      <w:r>
        <w:rPr>
          <w:color w:val="231F20"/>
          <w:vertAlign w:val="baseline"/>
        </w:rPr>
        <w:t>la</w:t>
      </w:r>
      <w:r>
        <w:rPr>
          <w:color w:val="231F20"/>
          <w:spacing w:val="-15"/>
          <w:vertAlign w:val="baseline"/>
        </w:rPr>
        <w:t> </w:t>
      </w:r>
      <w:r>
        <w:rPr>
          <w:color w:val="231F20"/>
          <w:vertAlign w:val="baseline"/>
        </w:rPr>
        <w:t>loi</w:t>
      </w:r>
      <w:r>
        <w:rPr>
          <w:color w:val="231F20"/>
          <w:spacing w:val="-15"/>
          <w:vertAlign w:val="baseline"/>
        </w:rPr>
        <w:t> </w:t>
      </w:r>
      <w:r>
        <w:rPr>
          <w:color w:val="231F20"/>
          <w:vertAlign w:val="baseline"/>
        </w:rPr>
        <w:t>»</w:t>
      </w:r>
      <w:r>
        <w:rPr>
          <w:color w:val="231F20"/>
          <w:spacing w:val="-12"/>
          <w:vertAlign w:val="baseline"/>
        </w:rPr>
        <w:t> </w:t>
      </w:r>
      <w:r>
        <w:rPr>
          <w:color w:val="231F20"/>
          <w:vertAlign w:val="baseline"/>
        </w:rPr>
        <w:t>qui</w:t>
      </w:r>
      <w:r>
        <w:rPr>
          <w:color w:val="231F20"/>
          <w:spacing w:val="-12"/>
          <w:vertAlign w:val="baseline"/>
        </w:rPr>
        <w:t> </w:t>
      </w:r>
      <w:r>
        <w:rPr>
          <w:color w:val="231F20"/>
          <w:vertAlign w:val="baseline"/>
        </w:rPr>
        <w:t>voulaient</w:t>
      </w:r>
      <w:r>
        <w:rPr>
          <w:color w:val="231F20"/>
          <w:spacing w:val="-12"/>
          <w:vertAlign w:val="baseline"/>
        </w:rPr>
        <w:t> </w:t>
      </w:r>
      <w:r>
        <w:rPr>
          <w:color w:val="231F20"/>
          <w:vertAlign w:val="baseline"/>
        </w:rPr>
        <w:t>me</w:t>
      </w:r>
      <w:r>
        <w:rPr>
          <w:color w:val="231F20"/>
          <w:spacing w:val="-14"/>
          <w:vertAlign w:val="baseline"/>
        </w:rPr>
        <w:t> </w:t>
      </w:r>
      <w:r>
        <w:rPr>
          <w:color w:val="231F20"/>
          <w:vertAlign w:val="baseline"/>
        </w:rPr>
        <w:t>faire la peau au motif que je suis Noir.</w:t>
      </w:r>
    </w:p>
    <w:p>
      <w:pPr>
        <w:pStyle w:val="BodyText"/>
        <w:spacing w:before="121"/>
        <w:ind w:right="103" w:firstLine="283"/>
      </w:pPr>
      <w:r>
        <w:rPr>
          <w:color w:val="231F20"/>
          <w:spacing w:val="-2"/>
        </w:rPr>
        <w:t>À</w:t>
      </w:r>
      <w:r>
        <w:rPr>
          <w:color w:val="231F20"/>
          <w:spacing w:val="-8"/>
        </w:rPr>
        <w:t> </w:t>
      </w:r>
      <w:r>
        <w:rPr>
          <w:color w:val="231F20"/>
          <w:spacing w:val="-2"/>
        </w:rPr>
        <w:t>Eastbourne</w:t>
      </w:r>
      <w:r>
        <w:rPr>
          <w:color w:val="76787A"/>
          <w:spacing w:val="-2"/>
          <w:vertAlign w:val="superscript"/>
        </w:rPr>
        <w:t>225</w:t>
      </w:r>
      <w:r>
        <w:rPr>
          <w:color w:val="76787A"/>
          <w:spacing w:val="-7"/>
          <w:vertAlign w:val="baseline"/>
        </w:rPr>
        <w:t> </w:t>
      </w:r>
      <w:r>
        <w:rPr>
          <w:color w:val="231F20"/>
          <w:spacing w:val="-2"/>
          <w:vertAlign w:val="baseline"/>
        </w:rPr>
        <w:t>en</w:t>
      </w:r>
      <w:r>
        <w:rPr>
          <w:color w:val="231F20"/>
          <w:spacing w:val="-8"/>
          <w:vertAlign w:val="baseline"/>
        </w:rPr>
        <w:t> </w:t>
      </w:r>
      <w:r>
        <w:rPr>
          <w:color w:val="231F20"/>
          <w:spacing w:val="-2"/>
          <w:vertAlign w:val="baseline"/>
        </w:rPr>
        <w:t>Grande</w:t>
      </w:r>
      <w:r>
        <w:rPr>
          <w:color w:val="231F20"/>
          <w:spacing w:val="-9"/>
          <w:vertAlign w:val="baseline"/>
        </w:rPr>
        <w:t> </w:t>
      </w:r>
      <w:r>
        <w:rPr>
          <w:color w:val="231F20"/>
          <w:spacing w:val="-2"/>
          <w:vertAlign w:val="baseline"/>
        </w:rPr>
        <w:t>Bretagne</w:t>
      </w:r>
      <w:r>
        <w:rPr>
          <w:color w:val="231F20"/>
          <w:spacing w:val="-9"/>
          <w:vertAlign w:val="baseline"/>
        </w:rPr>
        <w:t> </w:t>
      </w:r>
      <w:r>
        <w:rPr>
          <w:color w:val="231F20"/>
          <w:spacing w:val="-2"/>
          <w:vertAlign w:val="baseline"/>
        </w:rPr>
        <w:t>pour</w:t>
      </w:r>
      <w:r>
        <w:rPr>
          <w:color w:val="231F20"/>
          <w:spacing w:val="-9"/>
          <w:vertAlign w:val="baseline"/>
        </w:rPr>
        <w:t> </w:t>
      </w:r>
      <w:r>
        <w:rPr>
          <w:color w:val="231F20"/>
          <w:spacing w:val="-2"/>
          <w:vertAlign w:val="baseline"/>
        </w:rPr>
        <w:t>des</w:t>
      </w:r>
      <w:r>
        <w:rPr>
          <w:color w:val="231F20"/>
          <w:spacing w:val="-8"/>
          <w:vertAlign w:val="baseline"/>
        </w:rPr>
        <w:t> </w:t>
      </w:r>
      <w:r>
        <w:rPr>
          <w:color w:val="231F20"/>
          <w:spacing w:val="-2"/>
          <w:vertAlign w:val="baseline"/>
        </w:rPr>
        <w:t>cours</w:t>
      </w:r>
      <w:r>
        <w:rPr>
          <w:color w:val="231F20"/>
          <w:spacing w:val="-8"/>
          <w:vertAlign w:val="baseline"/>
        </w:rPr>
        <w:t> </w:t>
      </w:r>
      <w:r>
        <w:rPr>
          <w:color w:val="231F20"/>
          <w:spacing w:val="-2"/>
          <w:vertAlign w:val="baseline"/>
        </w:rPr>
        <w:t>d’été</w:t>
      </w:r>
      <w:r>
        <w:rPr>
          <w:color w:val="231F20"/>
          <w:spacing w:val="-9"/>
          <w:vertAlign w:val="baseline"/>
        </w:rPr>
        <w:t> </w:t>
      </w:r>
      <w:r>
        <w:rPr>
          <w:color w:val="231F20"/>
          <w:spacing w:val="-2"/>
          <w:vertAlign w:val="baseline"/>
        </w:rPr>
        <w:t>en</w:t>
      </w:r>
      <w:r>
        <w:rPr>
          <w:color w:val="231F20"/>
          <w:spacing w:val="-8"/>
          <w:vertAlign w:val="baseline"/>
        </w:rPr>
        <w:t> </w:t>
      </w:r>
      <w:r>
        <w:rPr>
          <w:color w:val="231F20"/>
          <w:spacing w:val="-2"/>
          <w:vertAlign w:val="baseline"/>
        </w:rPr>
        <w:t>Anglais, </w:t>
      </w:r>
      <w:r>
        <w:rPr>
          <w:color w:val="231F20"/>
          <w:spacing w:val="-4"/>
          <w:vertAlign w:val="baseline"/>
        </w:rPr>
        <w:t>l’une</w:t>
      </w:r>
      <w:r>
        <w:rPr>
          <w:color w:val="231F20"/>
          <w:spacing w:val="-9"/>
          <w:vertAlign w:val="baseline"/>
        </w:rPr>
        <w:t> </w:t>
      </w:r>
      <w:r>
        <w:rPr>
          <w:color w:val="231F20"/>
          <w:spacing w:val="-4"/>
          <w:vertAlign w:val="baseline"/>
        </w:rPr>
        <w:t>de</w:t>
      </w:r>
      <w:r>
        <w:rPr>
          <w:color w:val="231F20"/>
          <w:spacing w:val="-9"/>
          <w:vertAlign w:val="baseline"/>
        </w:rPr>
        <w:t> </w:t>
      </w:r>
      <w:r>
        <w:rPr>
          <w:color w:val="231F20"/>
          <w:spacing w:val="-4"/>
          <w:vertAlign w:val="baseline"/>
        </w:rPr>
        <w:t>mes</w:t>
      </w:r>
      <w:r>
        <w:rPr>
          <w:color w:val="231F20"/>
          <w:spacing w:val="-9"/>
          <w:vertAlign w:val="baseline"/>
        </w:rPr>
        <w:t> </w:t>
      </w:r>
      <w:r>
        <w:rPr>
          <w:color w:val="231F20"/>
          <w:spacing w:val="-4"/>
          <w:vertAlign w:val="baseline"/>
        </w:rPr>
        <w:t>camarades</w:t>
      </w:r>
      <w:r>
        <w:rPr>
          <w:color w:val="231F20"/>
          <w:spacing w:val="-9"/>
          <w:vertAlign w:val="baseline"/>
        </w:rPr>
        <w:t> </w:t>
      </w:r>
      <w:r>
        <w:rPr>
          <w:color w:val="231F20"/>
          <w:spacing w:val="-4"/>
          <w:vertAlign w:val="baseline"/>
        </w:rPr>
        <w:t>de</w:t>
      </w:r>
      <w:r>
        <w:rPr>
          <w:color w:val="231F20"/>
          <w:spacing w:val="-9"/>
          <w:vertAlign w:val="baseline"/>
        </w:rPr>
        <w:t> </w:t>
      </w:r>
      <w:r>
        <w:rPr>
          <w:color w:val="231F20"/>
          <w:spacing w:val="-4"/>
          <w:vertAlign w:val="baseline"/>
        </w:rPr>
        <w:t>classe,</w:t>
      </w:r>
      <w:r>
        <w:rPr>
          <w:color w:val="231F20"/>
          <w:spacing w:val="-9"/>
          <w:vertAlign w:val="baseline"/>
        </w:rPr>
        <w:t> </w:t>
      </w:r>
      <w:r>
        <w:rPr>
          <w:color w:val="231F20"/>
          <w:spacing w:val="-4"/>
          <w:vertAlign w:val="baseline"/>
        </w:rPr>
        <w:t>une</w:t>
      </w:r>
      <w:r>
        <w:rPr>
          <w:color w:val="231F20"/>
          <w:spacing w:val="-9"/>
          <w:vertAlign w:val="baseline"/>
        </w:rPr>
        <w:t> </w:t>
      </w:r>
      <w:r>
        <w:rPr>
          <w:color w:val="231F20"/>
          <w:spacing w:val="-4"/>
          <w:vertAlign w:val="baseline"/>
        </w:rPr>
        <w:t>Française,</w:t>
      </w:r>
      <w:r>
        <w:rPr>
          <w:color w:val="231F20"/>
          <w:spacing w:val="-9"/>
          <w:vertAlign w:val="baseline"/>
        </w:rPr>
        <w:t> </w:t>
      </w:r>
      <w:r>
        <w:rPr>
          <w:color w:val="231F20"/>
          <w:spacing w:val="-4"/>
          <w:vertAlign w:val="baseline"/>
        </w:rPr>
        <w:t>étudiante</w:t>
      </w:r>
      <w:r>
        <w:rPr>
          <w:color w:val="231F20"/>
          <w:spacing w:val="-10"/>
          <w:vertAlign w:val="baseline"/>
        </w:rPr>
        <w:t> </w:t>
      </w:r>
      <w:r>
        <w:rPr>
          <w:color w:val="231F20"/>
          <w:spacing w:val="-4"/>
          <w:vertAlign w:val="baseline"/>
        </w:rPr>
        <w:t>dans</w:t>
      </w:r>
      <w:r>
        <w:rPr>
          <w:color w:val="231F20"/>
          <w:spacing w:val="-10"/>
          <w:vertAlign w:val="baseline"/>
        </w:rPr>
        <w:t> </w:t>
      </w:r>
      <w:r>
        <w:rPr>
          <w:color w:val="231F20"/>
          <w:spacing w:val="-4"/>
          <w:vertAlign w:val="baseline"/>
        </w:rPr>
        <w:t>son</w:t>
      </w:r>
      <w:r>
        <w:rPr>
          <w:color w:val="231F20"/>
          <w:spacing w:val="-9"/>
          <w:vertAlign w:val="baseline"/>
        </w:rPr>
        <w:t> </w:t>
      </w:r>
      <w:r>
        <w:rPr>
          <w:color w:val="231F20"/>
          <w:spacing w:val="-4"/>
          <w:vertAlign w:val="baseline"/>
        </w:rPr>
        <w:t>pays, </w:t>
      </w:r>
      <w:r>
        <w:rPr>
          <w:color w:val="231F20"/>
          <w:vertAlign w:val="baseline"/>
        </w:rPr>
        <w:t>me</w:t>
      </w:r>
      <w:r>
        <w:rPr>
          <w:color w:val="231F20"/>
          <w:spacing w:val="-1"/>
          <w:vertAlign w:val="baseline"/>
        </w:rPr>
        <w:t> </w:t>
      </w:r>
      <w:r>
        <w:rPr>
          <w:color w:val="231F20"/>
          <w:vertAlign w:val="baseline"/>
        </w:rPr>
        <w:t>demande,</w:t>
      </w:r>
      <w:r>
        <w:rPr>
          <w:color w:val="231F20"/>
          <w:spacing w:val="-1"/>
          <w:vertAlign w:val="baseline"/>
        </w:rPr>
        <w:t> </w:t>
      </w:r>
      <w:r>
        <w:rPr>
          <w:color w:val="231F20"/>
          <w:vertAlign w:val="baseline"/>
        </w:rPr>
        <w:t>un</w:t>
      </w:r>
      <w:r>
        <w:rPr>
          <w:color w:val="231F20"/>
          <w:spacing w:val="-5"/>
          <w:vertAlign w:val="baseline"/>
        </w:rPr>
        <w:t> </w:t>
      </w:r>
      <w:r>
        <w:rPr>
          <w:color w:val="231F20"/>
          <w:vertAlign w:val="baseline"/>
        </w:rPr>
        <w:t>jour,</w:t>
      </w:r>
      <w:r>
        <w:rPr>
          <w:color w:val="231F20"/>
          <w:spacing w:val="-1"/>
          <w:vertAlign w:val="baseline"/>
        </w:rPr>
        <w:t> </w:t>
      </w:r>
      <w:r>
        <w:rPr>
          <w:color w:val="231F20"/>
          <w:vertAlign w:val="baseline"/>
        </w:rPr>
        <w:t>pendant</w:t>
      </w:r>
      <w:r>
        <w:rPr>
          <w:color w:val="231F20"/>
          <w:spacing w:val="-5"/>
          <w:vertAlign w:val="baseline"/>
        </w:rPr>
        <w:t> </w:t>
      </w:r>
      <w:r>
        <w:rPr>
          <w:color w:val="231F20"/>
          <w:vertAlign w:val="baseline"/>
        </w:rPr>
        <w:t>la</w:t>
      </w:r>
      <w:r>
        <w:rPr>
          <w:color w:val="231F20"/>
          <w:spacing w:val="-5"/>
          <w:vertAlign w:val="baseline"/>
        </w:rPr>
        <w:t> </w:t>
      </w:r>
      <w:r>
        <w:rPr>
          <w:color w:val="231F20"/>
          <w:vertAlign w:val="baseline"/>
        </w:rPr>
        <w:t>pause</w:t>
      </w:r>
      <w:r>
        <w:rPr>
          <w:color w:val="231F20"/>
          <w:spacing w:val="-2"/>
          <w:vertAlign w:val="baseline"/>
        </w:rPr>
        <w:t> </w:t>
      </w:r>
      <w:r>
        <w:rPr>
          <w:color w:val="231F20"/>
          <w:vertAlign w:val="baseline"/>
        </w:rPr>
        <w:t>entre</w:t>
      </w:r>
      <w:r>
        <w:rPr>
          <w:color w:val="231F20"/>
          <w:spacing w:val="-2"/>
          <w:vertAlign w:val="baseline"/>
        </w:rPr>
        <w:t> </w:t>
      </w:r>
      <w:r>
        <w:rPr>
          <w:color w:val="231F20"/>
          <w:vertAlign w:val="baseline"/>
        </w:rPr>
        <w:t>deux</w:t>
      </w:r>
      <w:r>
        <w:rPr>
          <w:color w:val="231F20"/>
          <w:spacing w:val="-2"/>
          <w:vertAlign w:val="baseline"/>
        </w:rPr>
        <w:t> </w:t>
      </w:r>
      <w:r>
        <w:rPr>
          <w:color w:val="231F20"/>
          <w:vertAlign w:val="baseline"/>
        </w:rPr>
        <w:t>cours</w:t>
      </w:r>
      <w:r>
        <w:rPr>
          <w:color w:val="231F20"/>
          <w:spacing w:val="-2"/>
          <w:vertAlign w:val="baseline"/>
        </w:rPr>
        <w:t> </w:t>
      </w:r>
      <w:r>
        <w:rPr>
          <w:color w:val="231F20"/>
          <w:vertAlign w:val="baseline"/>
        </w:rPr>
        <w:t>:</w:t>
      </w:r>
    </w:p>
    <w:p>
      <w:pPr>
        <w:pStyle w:val="BodyText"/>
        <w:spacing w:before="120"/>
        <w:ind w:left="395"/>
      </w:pPr>
      <w:r>
        <w:rPr>
          <w:color w:val="231F20"/>
        </w:rPr>
        <w:t>«</w:t>
      </w:r>
      <w:r>
        <w:rPr>
          <w:color w:val="231F20"/>
          <w:spacing w:val="-15"/>
        </w:rPr>
        <w:t> </w:t>
      </w:r>
      <w:r>
        <w:rPr>
          <w:color w:val="231F20"/>
        </w:rPr>
        <w:t>…Tu</w:t>
      </w:r>
      <w:r>
        <w:rPr>
          <w:color w:val="231F20"/>
          <w:spacing w:val="-13"/>
        </w:rPr>
        <w:t> </w:t>
      </w:r>
      <w:r>
        <w:rPr>
          <w:color w:val="231F20"/>
        </w:rPr>
        <w:t>as</w:t>
      </w:r>
      <w:r>
        <w:rPr>
          <w:color w:val="231F20"/>
          <w:spacing w:val="-13"/>
        </w:rPr>
        <w:t> </w:t>
      </w:r>
      <w:r>
        <w:rPr>
          <w:color w:val="231F20"/>
        </w:rPr>
        <w:t>dit</w:t>
      </w:r>
      <w:r>
        <w:rPr>
          <w:color w:val="231F20"/>
          <w:spacing w:val="-13"/>
        </w:rPr>
        <w:t> </w:t>
      </w:r>
      <w:r>
        <w:rPr>
          <w:color w:val="231F20"/>
        </w:rPr>
        <w:t>au</w:t>
      </w:r>
      <w:r>
        <w:rPr>
          <w:color w:val="231F20"/>
          <w:spacing w:val="-15"/>
        </w:rPr>
        <w:t> </w:t>
      </w:r>
      <w:r>
        <w:rPr>
          <w:color w:val="231F20"/>
        </w:rPr>
        <w:t>prof</w:t>
      </w:r>
      <w:r>
        <w:rPr>
          <w:color w:val="231F20"/>
          <w:spacing w:val="-13"/>
        </w:rPr>
        <w:t> </w:t>
      </w:r>
      <w:r>
        <w:rPr>
          <w:color w:val="231F20"/>
        </w:rPr>
        <w:t>que</w:t>
      </w:r>
      <w:r>
        <w:rPr>
          <w:color w:val="231F20"/>
          <w:spacing w:val="-14"/>
        </w:rPr>
        <w:t> </w:t>
      </w:r>
      <w:r>
        <w:rPr>
          <w:color w:val="231F20"/>
        </w:rPr>
        <w:t>tu</w:t>
      </w:r>
      <w:r>
        <w:rPr>
          <w:color w:val="231F20"/>
          <w:spacing w:val="-13"/>
        </w:rPr>
        <w:t> </w:t>
      </w:r>
      <w:r>
        <w:rPr>
          <w:color w:val="231F20"/>
        </w:rPr>
        <w:t>n’es</w:t>
      </w:r>
      <w:r>
        <w:rPr>
          <w:color w:val="231F20"/>
          <w:spacing w:val="-15"/>
        </w:rPr>
        <w:t> </w:t>
      </w:r>
      <w:r>
        <w:rPr>
          <w:color w:val="231F20"/>
        </w:rPr>
        <w:t>pas</w:t>
      </w:r>
      <w:r>
        <w:rPr>
          <w:color w:val="231F20"/>
          <w:spacing w:val="-13"/>
        </w:rPr>
        <w:t> </w:t>
      </w:r>
      <w:r>
        <w:rPr>
          <w:color w:val="231F20"/>
        </w:rPr>
        <w:t>Français</w:t>
      </w:r>
      <w:r>
        <w:rPr>
          <w:color w:val="231F20"/>
          <w:spacing w:val="-12"/>
        </w:rPr>
        <w:t> </w:t>
      </w:r>
      <w:r>
        <w:rPr>
          <w:color w:val="231F20"/>
        </w:rPr>
        <w:t>;</w:t>
      </w:r>
      <w:r>
        <w:rPr>
          <w:color w:val="231F20"/>
          <w:spacing w:val="-12"/>
        </w:rPr>
        <w:t> </w:t>
      </w:r>
      <w:r>
        <w:rPr>
          <w:color w:val="231F20"/>
        </w:rPr>
        <w:t>chez</w:t>
      </w:r>
      <w:r>
        <w:rPr>
          <w:color w:val="231F20"/>
          <w:spacing w:val="-14"/>
        </w:rPr>
        <w:t> </w:t>
      </w:r>
      <w:r>
        <w:rPr>
          <w:color w:val="231F20"/>
        </w:rPr>
        <w:t>toi</w:t>
      </w:r>
      <w:r>
        <w:rPr>
          <w:color w:val="231F20"/>
          <w:spacing w:val="-13"/>
        </w:rPr>
        <w:t> </w:t>
      </w:r>
      <w:r>
        <w:rPr>
          <w:color w:val="231F20"/>
        </w:rPr>
        <w:t>c’est</w:t>
      </w:r>
      <w:r>
        <w:rPr>
          <w:color w:val="231F20"/>
          <w:spacing w:val="-13"/>
        </w:rPr>
        <w:t> </w:t>
      </w:r>
      <w:r>
        <w:rPr>
          <w:color w:val="231F20"/>
        </w:rPr>
        <w:t>où</w:t>
      </w:r>
      <w:r>
        <w:rPr>
          <w:color w:val="231F20"/>
          <w:spacing w:val="-13"/>
        </w:rPr>
        <w:t> </w:t>
      </w:r>
      <w:r>
        <w:rPr>
          <w:color w:val="231F20"/>
          <w:spacing w:val="-10"/>
        </w:rPr>
        <w:t>?</w:t>
      </w:r>
    </w:p>
    <w:p>
      <w:pPr>
        <w:pStyle w:val="ListParagraph"/>
        <w:numPr>
          <w:ilvl w:val="0"/>
          <w:numId w:val="5"/>
        </w:numPr>
        <w:tabs>
          <w:tab w:pos="528" w:val="left" w:leader="none"/>
        </w:tabs>
        <w:spacing w:line="240" w:lineRule="auto" w:before="120" w:after="0"/>
        <w:ind w:left="528" w:right="0" w:hanging="133"/>
        <w:jc w:val="both"/>
        <w:rPr>
          <w:sz w:val="24"/>
        </w:rPr>
      </w:pPr>
      <w:r>
        <w:rPr>
          <w:color w:val="231F20"/>
          <w:spacing w:val="-2"/>
          <w:sz w:val="24"/>
        </w:rPr>
        <w:t>Côte</w:t>
      </w:r>
      <w:r>
        <w:rPr>
          <w:color w:val="231F20"/>
          <w:spacing w:val="-11"/>
          <w:sz w:val="24"/>
        </w:rPr>
        <w:t> </w:t>
      </w:r>
      <w:r>
        <w:rPr>
          <w:color w:val="231F20"/>
          <w:spacing w:val="-2"/>
          <w:sz w:val="24"/>
        </w:rPr>
        <w:t>d’Ivoire</w:t>
      </w:r>
    </w:p>
    <w:p>
      <w:pPr>
        <w:pStyle w:val="ListParagraph"/>
        <w:numPr>
          <w:ilvl w:val="0"/>
          <w:numId w:val="5"/>
        </w:numPr>
        <w:tabs>
          <w:tab w:pos="528" w:val="left" w:leader="none"/>
        </w:tabs>
        <w:spacing w:line="240" w:lineRule="auto" w:before="120" w:after="0"/>
        <w:ind w:left="528" w:right="0" w:hanging="133"/>
        <w:jc w:val="both"/>
        <w:rPr>
          <w:sz w:val="24"/>
        </w:rPr>
      </w:pPr>
      <w:r>
        <w:rPr>
          <w:color w:val="231F20"/>
          <w:sz w:val="24"/>
        </w:rPr>
        <w:t>C’est</w:t>
      </w:r>
      <w:r>
        <w:rPr>
          <w:color w:val="231F20"/>
          <w:spacing w:val="-15"/>
          <w:sz w:val="24"/>
        </w:rPr>
        <w:t> </w:t>
      </w:r>
      <w:r>
        <w:rPr>
          <w:color w:val="231F20"/>
          <w:sz w:val="24"/>
        </w:rPr>
        <w:t>où</w:t>
      </w:r>
      <w:r>
        <w:rPr>
          <w:color w:val="231F20"/>
          <w:spacing w:val="-12"/>
          <w:sz w:val="24"/>
        </w:rPr>
        <w:t> </w:t>
      </w:r>
      <w:r>
        <w:rPr>
          <w:color w:val="231F20"/>
          <w:spacing w:val="-10"/>
          <w:sz w:val="24"/>
        </w:rPr>
        <w:t>?</w:t>
      </w:r>
    </w:p>
    <w:p>
      <w:pPr>
        <w:pStyle w:val="ListParagraph"/>
        <w:numPr>
          <w:ilvl w:val="0"/>
          <w:numId w:val="5"/>
        </w:numPr>
        <w:tabs>
          <w:tab w:pos="528" w:val="left" w:leader="none"/>
        </w:tabs>
        <w:spacing w:line="240" w:lineRule="auto" w:before="120" w:after="0"/>
        <w:ind w:left="528" w:right="0" w:hanging="133"/>
        <w:jc w:val="both"/>
        <w:rPr>
          <w:sz w:val="24"/>
        </w:rPr>
      </w:pPr>
      <w:r>
        <w:rPr>
          <w:color w:val="231F20"/>
          <w:spacing w:val="-2"/>
          <w:sz w:val="24"/>
        </w:rPr>
        <w:t>En</w:t>
      </w:r>
      <w:r>
        <w:rPr>
          <w:color w:val="231F20"/>
          <w:spacing w:val="-8"/>
          <w:sz w:val="24"/>
        </w:rPr>
        <w:t> </w:t>
      </w:r>
      <w:r>
        <w:rPr>
          <w:color w:val="231F20"/>
          <w:spacing w:val="-2"/>
          <w:sz w:val="24"/>
        </w:rPr>
        <w:t>Afrique</w:t>
      </w:r>
      <w:r>
        <w:rPr>
          <w:color w:val="231F20"/>
          <w:spacing w:val="-7"/>
          <w:sz w:val="24"/>
        </w:rPr>
        <w:t> </w:t>
      </w:r>
      <w:r>
        <w:rPr>
          <w:color w:val="231F20"/>
          <w:spacing w:val="-2"/>
          <w:sz w:val="24"/>
        </w:rPr>
        <w:t>de</w:t>
      </w:r>
      <w:r>
        <w:rPr>
          <w:color w:val="231F20"/>
          <w:spacing w:val="-9"/>
          <w:sz w:val="24"/>
        </w:rPr>
        <w:t> </w:t>
      </w:r>
      <w:r>
        <w:rPr>
          <w:color w:val="231F20"/>
          <w:spacing w:val="-2"/>
          <w:sz w:val="24"/>
        </w:rPr>
        <w:t>l’Ouest</w:t>
      </w:r>
    </w:p>
    <w:p>
      <w:pPr>
        <w:pStyle w:val="BodyText"/>
        <w:ind w:left="0"/>
        <w:jc w:val="left"/>
        <w:rPr>
          <w:sz w:val="20"/>
        </w:rPr>
      </w:pPr>
    </w:p>
    <w:p>
      <w:pPr>
        <w:pStyle w:val="BodyText"/>
        <w:spacing w:before="64"/>
        <w:ind w:left="0"/>
        <w:jc w:val="left"/>
        <w:rPr>
          <w:sz w:val="20"/>
        </w:rPr>
      </w:pPr>
      <w:r>
        <w:rPr/>
        <mc:AlternateContent>
          <mc:Choice Requires="wps">
            <w:drawing>
              <wp:anchor distT="0" distB="0" distL="0" distR="0" allowOverlap="1" layoutInCell="1" locked="0" behindDoc="1" simplePos="0" relativeHeight="487657984">
                <wp:simplePos x="0" y="0"/>
                <wp:positionH relativeFrom="page">
                  <wp:posOffset>629907</wp:posOffset>
                </wp:positionH>
                <wp:positionV relativeFrom="paragraph">
                  <wp:posOffset>202467</wp:posOffset>
                </wp:positionV>
                <wp:extent cx="1829435" cy="9525"/>
                <wp:effectExtent l="0" t="0" r="0" b="0"/>
                <wp:wrapTopAndBottom/>
                <wp:docPr id="169" name="Graphic 169"/>
                <wp:cNvGraphicFramePr>
                  <a:graphicFrameLocks/>
                </wp:cNvGraphicFramePr>
                <a:graphic>
                  <a:graphicData uri="http://schemas.microsoft.com/office/word/2010/wordprocessingShape">
                    <wps:wsp>
                      <wps:cNvPr id="169" name="Graphic 16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942305pt;width:144.020pt;height:.72pt;mso-position-horizontal-relative:page;mso-position-vertical-relative:paragraph;z-index:-15658496;mso-wrap-distance-left:0;mso-wrap-distance-right:0" id="docshape167" filled="true" fillcolor="#231f20" stroked="false">
                <v:fill type="solid"/>
                <w10:wrap type="topAndBottom"/>
              </v:rect>
            </w:pict>
          </mc:Fallback>
        </mc:AlternateContent>
      </w:r>
    </w:p>
    <w:p>
      <w:pPr>
        <w:spacing w:before="91"/>
        <w:ind w:left="111" w:right="0" w:firstLine="0"/>
        <w:jc w:val="left"/>
        <w:rPr>
          <w:sz w:val="20"/>
        </w:rPr>
      </w:pPr>
      <w:r>
        <w:rPr>
          <w:color w:val="76787A"/>
          <w:sz w:val="20"/>
          <w:vertAlign w:val="superscript"/>
        </w:rPr>
        <w:t>224</w:t>
      </w:r>
      <w:r>
        <w:rPr>
          <w:color w:val="76787A"/>
          <w:spacing w:val="-19"/>
          <w:sz w:val="20"/>
          <w:vertAlign w:val="baseline"/>
        </w:rPr>
        <w:t> </w:t>
      </w:r>
      <w:r>
        <w:rPr>
          <w:color w:val="4D5155"/>
          <w:sz w:val="20"/>
          <w:vertAlign w:val="baseline"/>
        </w:rPr>
        <w:t>commune</w:t>
      </w:r>
      <w:r>
        <w:rPr>
          <w:color w:val="4D5155"/>
          <w:spacing w:val="-13"/>
          <w:sz w:val="20"/>
          <w:vertAlign w:val="baseline"/>
        </w:rPr>
        <w:t> </w:t>
      </w:r>
      <w:r>
        <w:rPr>
          <w:color w:val="4D5155"/>
          <w:sz w:val="20"/>
          <w:vertAlign w:val="baseline"/>
        </w:rPr>
        <w:t>française</w:t>
      </w:r>
      <w:r>
        <w:rPr>
          <w:color w:val="4D5155"/>
          <w:spacing w:val="-12"/>
          <w:sz w:val="20"/>
          <w:vertAlign w:val="baseline"/>
        </w:rPr>
        <w:t> </w:t>
      </w:r>
      <w:r>
        <w:rPr>
          <w:color w:val="4D5155"/>
          <w:sz w:val="20"/>
          <w:vertAlign w:val="baseline"/>
        </w:rPr>
        <w:t>limitrophe</w:t>
      </w:r>
      <w:r>
        <w:rPr>
          <w:color w:val="4D5155"/>
          <w:spacing w:val="-13"/>
          <w:sz w:val="20"/>
          <w:vertAlign w:val="baseline"/>
        </w:rPr>
        <w:t> </w:t>
      </w:r>
      <w:r>
        <w:rPr>
          <w:color w:val="4D5155"/>
          <w:sz w:val="20"/>
          <w:vertAlign w:val="baseline"/>
        </w:rPr>
        <w:t>de</w:t>
      </w:r>
      <w:r>
        <w:rPr>
          <w:color w:val="4D5155"/>
          <w:spacing w:val="-12"/>
          <w:sz w:val="20"/>
          <w:vertAlign w:val="baseline"/>
        </w:rPr>
        <w:t> </w:t>
      </w:r>
      <w:r>
        <w:rPr>
          <w:color w:val="4D5155"/>
          <w:sz w:val="20"/>
          <w:vertAlign w:val="baseline"/>
        </w:rPr>
        <w:t>Paris,</w:t>
      </w:r>
      <w:r>
        <w:rPr>
          <w:color w:val="4D5155"/>
          <w:spacing w:val="-13"/>
          <w:sz w:val="20"/>
          <w:vertAlign w:val="baseline"/>
        </w:rPr>
        <w:t> </w:t>
      </w:r>
      <w:r>
        <w:rPr>
          <w:color w:val="4D5155"/>
          <w:sz w:val="20"/>
          <w:vertAlign w:val="baseline"/>
        </w:rPr>
        <w:t>au</w:t>
      </w:r>
      <w:r>
        <w:rPr>
          <w:color w:val="4D5155"/>
          <w:spacing w:val="-12"/>
          <w:sz w:val="20"/>
          <w:vertAlign w:val="baseline"/>
        </w:rPr>
        <w:t> </w:t>
      </w:r>
      <w:r>
        <w:rPr>
          <w:color w:val="4D5155"/>
          <w:sz w:val="20"/>
          <w:vertAlign w:val="baseline"/>
        </w:rPr>
        <w:t>Nord</w:t>
      </w:r>
      <w:r>
        <w:rPr>
          <w:color w:val="4D5155"/>
          <w:spacing w:val="-12"/>
          <w:sz w:val="20"/>
          <w:vertAlign w:val="baseline"/>
        </w:rPr>
        <w:t> </w:t>
      </w:r>
      <w:r>
        <w:rPr>
          <w:color w:val="4D5155"/>
          <w:sz w:val="20"/>
          <w:vertAlign w:val="baseline"/>
        </w:rPr>
        <w:t>de</w:t>
      </w:r>
      <w:r>
        <w:rPr>
          <w:color w:val="4D5155"/>
          <w:spacing w:val="-12"/>
          <w:sz w:val="20"/>
          <w:vertAlign w:val="baseline"/>
        </w:rPr>
        <w:t> </w:t>
      </w:r>
      <w:r>
        <w:rPr>
          <w:color w:val="4D5155"/>
          <w:sz w:val="20"/>
          <w:vertAlign w:val="baseline"/>
        </w:rPr>
        <w:t>la</w:t>
      </w:r>
      <w:r>
        <w:rPr>
          <w:color w:val="4D5155"/>
          <w:spacing w:val="-10"/>
          <w:sz w:val="20"/>
          <w:vertAlign w:val="baseline"/>
        </w:rPr>
        <w:t> </w:t>
      </w:r>
      <w:r>
        <w:rPr>
          <w:color w:val="4D5155"/>
          <w:sz w:val="20"/>
          <w:vertAlign w:val="baseline"/>
        </w:rPr>
        <w:t>capitale,</w:t>
      </w:r>
      <w:r>
        <w:rPr>
          <w:color w:val="4D5155"/>
          <w:spacing w:val="-13"/>
          <w:sz w:val="20"/>
          <w:vertAlign w:val="baseline"/>
        </w:rPr>
        <w:t> </w:t>
      </w:r>
      <w:r>
        <w:rPr>
          <w:color w:val="4D5155"/>
          <w:sz w:val="20"/>
          <w:vertAlign w:val="baseline"/>
        </w:rPr>
        <w:t>dans</w:t>
      </w:r>
      <w:r>
        <w:rPr>
          <w:color w:val="4D5155"/>
          <w:spacing w:val="-11"/>
          <w:sz w:val="20"/>
          <w:vertAlign w:val="baseline"/>
        </w:rPr>
        <w:t> </w:t>
      </w:r>
      <w:r>
        <w:rPr>
          <w:color w:val="4D5155"/>
          <w:sz w:val="20"/>
          <w:vertAlign w:val="baseline"/>
        </w:rPr>
        <w:t>le</w:t>
      </w:r>
      <w:r>
        <w:rPr>
          <w:color w:val="4D5155"/>
          <w:spacing w:val="-12"/>
          <w:sz w:val="20"/>
          <w:vertAlign w:val="baseline"/>
        </w:rPr>
        <w:t> </w:t>
      </w:r>
      <w:r>
        <w:rPr>
          <w:color w:val="4D5155"/>
          <w:sz w:val="20"/>
          <w:vertAlign w:val="baseline"/>
        </w:rPr>
        <w:t>département de la Seine-Saint-Denis.</w:t>
      </w:r>
    </w:p>
    <w:p>
      <w:pPr>
        <w:spacing w:before="1"/>
        <w:ind w:left="111" w:right="0" w:firstLine="0"/>
        <w:jc w:val="left"/>
        <w:rPr>
          <w:sz w:val="20"/>
        </w:rPr>
      </w:pPr>
      <w:r>
        <w:rPr>
          <w:color w:val="76787A"/>
          <w:spacing w:val="-4"/>
          <w:sz w:val="20"/>
          <w:vertAlign w:val="superscript"/>
        </w:rPr>
        <w:t>225</w:t>
      </w:r>
      <w:r>
        <w:rPr>
          <w:color w:val="76787A"/>
          <w:sz w:val="20"/>
          <w:vertAlign w:val="baseline"/>
        </w:rPr>
        <w:t> </w:t>
      </w:r>
      <w:r>
        <w:rPr>
          <w:color w:val="231F20"/>
          <w:spacing w:val="-4"/>
          <w:sz w:val="20"/>
          <w:vertAlign w:val="baseline"/>
        </w:rPr>
        <w:t>Eastbourne</w:t>
      </w:r>
      <w:r>
        <w:rPr>
          <w:color w:val="231F20"/>
          <w:spacing w:val="-7"/>
          <w:sz w:val="20"/>
          <w:vertAlign w:val="baseline"/>
        </w:rPr>
        <w:t> </w:t>
      </w:r>
      <w:r>
        <w:rPr>
          <w:color w:val="231F20"/>
          <w:spacing w:val="-4"/>
          <w:sz w:val="20"/>
          <w:vertAlign w:val="baseline"/>
        </w:rPr>
        <w:t>est</w:t>
      </w:r>
      <w:r>
        <w:rPr>
          <w:color w:val="231F20"/>
          <w:spacing w:val="-6"/>
          <w:sz w:val="20"/>
          <w:vertAlign w:val="baseline"/>
        </w:rPr>
        <w:t> </w:t>
      </w:r>
      <w:r>
        <w:rPr>
          <w:color w:val="231F20"/>
          <w:spacing w:val="-4"/>
          <w:sz w:val="20"/>
          <w:vertAlign w:val="baseline"/>
        </w:rPr>
        <w:t>une</w:t>
      </w:r>
      <w:r>
        <w:rPr>
          <w:color w:val="231F20"/>
          <w:spacing w:val="-7"/>
          <w:sz w:val="20"/>
          <w:vertAlign w:val="baseline"/>
        </w:rPr>
        <w:t> </w:t>
      </w:r>
      <w:r>
        <w:rPr>
          <w:color w:val="231F20"/>
          <w:spacing w:val="-4"/>
          <w:sz w:val="20"/>
          <w:vertAlign w:val="baseline"/>
        </w:rPr>
        <w:t>ville</w:t>
      </w:r>
      <w:r>
        <w:rPr>
          <w:color w:val="231F20"/>
          <w:spacing w:val="-6"/>
          <w:sz w:val="20"/>
          <w:vertAlign w:val="baseline"/>
        </w:rPr>
        <w:t> </w:t>
      </w:r>
      <w:r>
        <w:rPr>
          <w:color w:val="231F20"/>
          <w:spacing w:val="-4"/>
          <w:sz w:val="20"/>
          <w:vertAlign w:val="baseline"/>
        </w:rPr>
        <w:t>britannique, importante</w:t>
      </w:r>
      <w:r>
        <w:rPr>
          <w:color w:val="231F20"/>
          <w:spacing w:val="-5"/>
          <w:sz w:val="20"/>
          <w:vertAlign w:val="baseline"/>
        </w:rPr>
        <w:t> </w:t>
      </w:r>
      <w:r>
        <w:rPr>
          <w:color w:val="231F20"/>
          <w:spacing w:val="-4"/>
          <w:sz w:val="20"/>
          <w:vertAlign w:val="baseline"/>
        </w:rPr>
        <w:t>station</w:t>
      </w:r>
      <w:r>
        <w:rPr>
          <w:color w:val="231F20"/>
          <w:spacing w:val="-5"/>
          <w:sz w:val="20"/>
          <w:vertAlign w:val="baseline"/>
        </w:rPr>
        <w:t> </w:t>
      </w:r>
      <w:r>
        <w:rPr>
          <w:color w:val="231F20"/>
          <w:spacing w:val="-4"/>
          <w:sz w:val="20"/>
          <w:vertAlign w:val="baseline"/>
        </w:rPr>
        <w:t>balnéaire</w:t>
      </w:r>
      <w:r>
        <w:rPr>
          <w:color w:val="231F20"/>
          <w:spacing w:val="-6"/>
          <w:sz w:val="20"/>
          <w:vertAlign w:val="baseline"/>
        </w:rPr>
        <w:t> </w:t>
      </w:r>
      <w:r>
        <w:rPr>
          <w:color w:val="231F20"/>
          <w:spacing w:val="-4"/>
          <w:sz w:val="20"/>
          <w:vertAlign w:val="baseline"/>
        </w:rPr>
        <w:t>du</w:t>
      </w:r>
      <w:r>
        <w:rPr>
          <w:color w:val="231F20"/>
          <w:spacing w:val="-2"/>
          <w:sz w:val="20"/>
          <w:vertAlign w:val="baseline"/>
        </w:rPr>
        <w:t> </w:t>
      </w:r>
      <w:r>
        <w:rPr>
          <w:color w:val="231F20"/>
          <w:spacing w:val="-4"/>
          <w:sz w:val="20"/>
          <w:vertAlign w:val="baseline"/>
        </w:rPr>
        <w:t>comté</w:t>
      </w:r>
      <w:r>
        <w:rPr>
          <w:color w:val="231F20"/>
          <w:spacing w:val="-6"/>
          <w:sz w:val="20"/>
          <w:vertAlign w:val="baseline"/>
        </w:rPr>
        <w:t> </w:t>
      </w:r>
      <w:r>
        <w:rPr>
          <w:color w:val="231F20"/>
          <w:spacing w:val="-4"/>
          <w:sz w:val="20"/>
          <w:vertAlign w:val="baseline"/>
        </w:rPr>
        <w:t>de</w:t>
      </w:r>
      <w:r>
        <w:rPr>
          <w:color w:val="231F20"/>
          <w:spacing w:val="-6"/>
          <w:sz w:val="20"/>
          <w:vertAlign w:val="baseline"/>
        </w:rPr>
        <w:t> </w:t>
      </w:r>
      <w:r>
        <w:rPr>
          <w:color w:val="231F20"/>
          <w:spacing w:val="-4"/>
          <w:sz w:val="20"/>
          <w:vertAlign w:val="baseline"/>
        </w:rPr>
        <w:t>Sussex</w:t>
      </w:r>
    </w:p>
    <w:p>
      <w:pPr>
        <w:spacing w:before="1"/>
        <w:ind w:left="111" w:right="0" w:firstLine="0"/>
        <w:jc w:val="left"/>
        <w:rPr>
          <w:sz w:val="20"/>
        </w:rPr>
      </w:pPr>
      <w:r>
        <w:rPr>
          <w:color w:val="231F20"/>
          <w:spacing w:val="-2"/>
          <w:sz w:val="20"/>
        </w:rPr>
        <w:t>de</w:t>
      </w:r>
      <w:r>
        <w:rPr>
          <w:color w:val="231F20"/>
          <w:spacing w:val="-9"/>
          <w:sz w:val="20"/>
        </w:rPr>
        <w:t> </w:t>
      </w:r>
      <w:r>
        <w:rPr>
          <w:color w:val="231F20"/>
          <w:spacing w:val="-2"/>
          <w:sz w:val="20"/>
        </w:rPr>
        <w:t>l'Est,</w:t>
      </w:r>
      <w:r>
        <w:rPr>
          <w:color w:val="231F20"/>
          <w:spacing w:val="-10"/>
          <w:sz w:val="20"/>
        </w:rPr>
        <w:t> </w:t>
      </w:r>
      <w:r>
        <w:rPr>
          <w:color w:val="231F20"/>
          <w:spacing w:val="-2"/>
          <w:sz w:val="20"/>
        </w:rPr>
        <w:t>sur</w:t>
      </w:r>
      <w:r>
        <w:rPr>
          <w:color w:val="231F20"/>
          <w:spacing w:val="-8"/>
          <w:sz w:val="20"/>
        </w:rPr>
        <w:t> </w:t>
      </w:r>
      <w:r>
        <w:rPr>
          <w:color w:val="231F20"/>
          <w:spacing w:val="-2"/>
          <w:sz w:val="20"/>
        </w:rPr>
        <w:t>la</w:t>
      </w:r>
      <w:r>
        <w:rPr>
          <w:color w:val="231F20"/>
          <w:spacing w:val="-10"/>
          <w:sz w:val="20"/>
        </w:rPr>
        <w:t> </w:t>
      </w:r>
      <w:r>
        <w:rPr>
          <w:color w:val="231F20"/>
          <w:spacing w:val="-2"/>
          <w:sz w:val="20"/>
        </w:rPr>
        <w:t>côte</w:t>
      </w:r>
      <w:r>
        <w:rPr>
          <w:color w:val="231F20"/>
          <w:spacing w:val="-9"/>
          <w:sz w:val="20"/>
        </w:rPr>
        <w:t> </w:t>
      </w:r>
      <w:r>
        <w:rPr>
          <w:color w:val="231F20"/>
          <w:spacing w:val="-2"/>
          <w:sz w:val="20"/>
        </w:rPr>
        <w:t>sud</w:t>
      </w:r>
      <w:r>
        <w:rPr>
          <w:color w:val="231F20"/>
          <w:spacing w:val="-9"/>
          <w:sz w:val="20"/>
        </w:rPr>
        <w:t> </w:t>
      </w:r>
      <w:r>
        <w:rPr>
          <w:color w:val="231F20"/>
          <w:spacing w:val="-2"/>
          <w:sz w:val="20"/>
        </w:rPr>
        <w:t>de</w:t>
      </w:r>
      <w:r>
        <w:rPr>
          <w:color w:val="231F20"/>
          <w:spacing w:val="-8"/>
          <w:sz w:val="20"/>
        </w:rPr>
        <w:t> </w:t>
      </w:r>
      <w:r>
        <w:rPr>
          <w:color w:val="231F20"/>
          <w:spacing w:val="-2"/>
          <w:sz w:val="20"/>
        </w:rPr>
        <w:t>l’Angleterre.</w:t>
      </w:r>
    </w:p>
    <w:p>
      <w:pPr>
        <w:spacing w:after="0"/>
        <w:jc w:val="left"/>
        <w:rPr>
          <w:sz w:val="20"/>
        </w:rPr>
        <w:sectPr>
          <w:pgSz w:w="8790" w:h="13610"/>
          <w:pgMar w:header="0" w:footer="802" w:top="1060" w:bottom="1000" w:left="880" w:right="880"/>
        </w:sectPr>
      </w:pPr>
    </w:p>
    <w:p>
      <w:pPr>
        <w:pStyle w:val="ListParagraph"/>
        <w:numPr>
          <w:ilvl w:val="0"/>
          <w:numId w:val="5"/>
        </w:numPr>
        <w:tabs>
          <w:tab w:pos="529" w:val="left" w:leader="none"/>
        </w:tabs>
        <w:spacing w:line="240" w:lineRule="auto" w:before="86" w:after="0"/>
        <w:ind w:left="529" w:right="0" w:hanging="134"/>
        <w:jc w:val="both"/>
        <w:rPr>
          <w:sz w:val="24"/>
        </w:rPr>
      </w:pPr>
      <w:r>
        <w:rPr>
          <w:color w:val="231F20"/>
          <w:spacing w:val="-2"/>
          <w:sz w:val="24"/>
        </w:rPr>
        <w:t>Connais</w:t>
      </w:r>
      <w:r>
        <w:rPr>
          <w:color w:val="231F20"/>
          <w:spacing w:val="-10"/>
          <w:sz w:val="24"/>
        </w:rPr>
        <w:t> </w:t>
      </w:r>
      <w:r>
        <w:rPr>
          <w:color w:val="231F20"/>
          <w:spacing w:val="-2"/>
          <w:sz w:val="24"/>
        </w:rPr>
        <w:t>pas</w:t>
      </w:r>
      <w:r>
        <w:rPr>
          <w:color w:val="231F20"/>
          <w:spacing w:val="-9"/>
          <w:sz w:val="24"/>
        </w:rPr>
        <w:t> </w:t>
      </w:r>
      <w:r>
        <w:rPr>
          <w:color w:val="231F20"/>
          <w:spacing w:val="-2"/>
          <w:sz w:val="24"/>
        </w:rPr>
        <w:t>;</w:t>
      </w:r>
      <w:r>
        <w:rPr>
          <w:color w:val="231F20"/>
          <w:spacing w:val="-6"/>
          <w:sz w:val="24"/>
        </w:rPr>
        <w:t> </w:t>
      </w:r>
      <w:r>
        <w:rPr>
          <w:color w:val="231F20"/>
          <w:spacing w:val="-2"/>
          <w:sz w:val="24"/>
        </w:rPr>
        <w:t>y</w:t>
      </w:r>
      <w:r>
        <w:rPr>
          <w:color w:val="231F20"/>
          <w:spacing w:val="-6"/>
          <w:sz w:val="24"/>
        </w:rPr>
        <w:t> </w:t>
      </w:r>
      <w:r>
        <w:rPr>
          <w:color w:val="231F20"/>
          <w:spacing w:val="-2"/>
          <w:sz w:val="24"/>
        </w:rPr>
        <w:t>a-t-il</w:t>
      </w:r>
      <w:r>
        <w:rPr>
          <w:color w:val="231F20"/>
          <w:spacing w:val="-8"/>
          <w:sz w:val="24"/>
        </w:rPr>
        <w:t> </w:t>
      </w:r>
      <w:r>
        <w:rPr>
          <w:color w:val="231F20"/>
          <w:spacing w:val="-2"/>
          <w:sz w:val="24"/>
        </w:rPr>
        <w:t>des</w:t>
      </w:r>
      <w:r>
        <w:rPr>
          <w:color w:val="231F20"/>
          <w:spacing w:val="-9"/>
          <w:sz w:val="24"/>
        </w:rPr>
        <w:t> </w:t>
      </w:r>
      <w:r>
        <w:rPr>
          <w:color w:val="231F20"/>
          <w:spacing w:val="-2"/>
          <w:sz w:val="24"/>
        </w:rPr>
        <w:t>boîtes</w:t>
      </w:r>
      <w:r>
        <w:rPr>
          <w:color w:val="76787A"/>
          <w:spacing w:val="-2"/>
          <w:sz w:val="24"/>
          <w:vertAlign w:val="superscript"/>
        </w:rPr>
        <w:t>226</w:t>
      </w:r>
      <w:r>
        <w:rPr>
          <w:color w:val="76787A"/>
          <w:spacing w:val="-3"/>
          <w:sz w:val="24"/>
          <w:vertAlign w:val="baseline"/>
        </w:rPr>
        <w:t> </w:t>
      </w:r>
      <w:r>
        <w:rPr>
          <w:color w:val="231F20"/>
          <w:spacing w:val="-2"/>
          <w:sz w:val="24"/>
          <w:vertAlign w:val="baseline"/>
        </w:rPr>
        <w:t>chez</w:t>
      </w:r>
      <w:r>
        <w:rPr>
          <w:color w:val="231F20"/>
          <w:spacing w:val="-7"/>
          <w:sz w:val="24"/>
          <w:vertAlign w:val="baseline"/>
        </w:rPr>
        <w:t> </w:t>
      </w:r>
      <w:r>
        <w:rPr>
          <w:color w:val="231F20"/>
          <w:spacing w:val="-2"/>
          <w:sz w:val="24"/>
          <w:vertAlign w:val="baseline"/>
        </w:rPr>
        <w:t>vous</w:t>
      </w:r>
      <w:r>
        <w:rPr>
          <w:color w:val="231F20"/>
          <w:spacing w:val="-7"/>
          <w:sz w:val="24"/>
          <w:vertAlign w:val="baseline"/>
        </w:rPr>
        <w:t> </w:t>
      </w:r>
      <w:r>
        <w:rPr>
          <w:color w:val="231F20"/>
          <w:spacing w:val="-10"/>
          <w:sz w:val="24"/>
          <w:vertAlign w:val="baseline"/>
        </w:rPr>
        <w:t>?</w:t>
      </w:r>
    </w:p>
    <w:p>
      <w:pPr>
        <w:pStyle w:val="ListParagraph"/>
        <w:numPr>
          <w:ilvl w:val="0"/>
          <w:numId w:val="5"/>
        </w:numPr>
        <w:tabs>
          <w:tab w:pos="528" w:val="left" w:leader="none"/>
        </w:tabs>
        <w:spacing w:line="240" w:lineRule="auto" w:before="120" w:after="0"/>
        <w:ind w:left="528" w:right="0" w:hanging="133"/>
        <w:jc w:val="both"/>
        <w:rPr>
          <w:sz w:val="24"/>
        </w:rPr>
      </w:pPr>
      <w:r>
        <w:rPr>
          <w:color w:val="231F20"/>
          <w:spacing w:val="-2"/>
          <w:sz w:val="24"/>
        </w:rPr>
        <w:t>Oui,</w:t>
      </w:r>
      <w:r>
        <w:rPr>
          <w:color w:val="231F20"/>
          <w:spacing w:val="-13"/>
          <w:sz w:val="24"/>
        </w:rPr>
        <w:t> </w:t>
      </w:r>
      <w:r>
        <w:rPr>
          <w:color w:val="231F20"/>
          <w:spacing w:val="-2"/>
          <w:sz w:val="24"/>
        </w:rPr>
        <w:t>mais</w:t>
      </w:r>
      <w:r>
        <w:rPr>
          <w:color w:val="231F20"/>
          <w:spacing w:val="-11"/>
          <w:sz w:val="24"/>
        </w:rPr>
        <w:t> </w:t>
      </w:r>
      <w:r>
        <w:rPr>
          <w:color w:val="231F20"/>
          <w:spacing w:val="-2"/>
          <w:sz w:val="24"/>
        </w:rPr>
        <w:t>pourquoi</w:t>
      </w:r>
      <w:r>
        <w:rPr>
          <w:color w:val="231F20"/>
          <w:spacing w:val="-10"/>
          <w:sz w:val="24"/>
        </w:rPr>
        <w:t> </w:t>
      </w:r>
      <w:r>
        <w:rPr>
          <w:color w:val="231F20"/>
          <w:spacing w:val="-2"/>
          <w:sz w:val="24"/>
        </w:rPr>
        <w:t>cette</w:t>
      </w:r>
      <w:r>
        <w:rPr>
          <w:color w:val="231F20"/>
          <w:spacing w:val="-11"/>
          <w:sz w:val="24"/>
        </w:rPr>
        <w:t> </w:t>
      </w:r>
      <w:r>
        <w:rPr>
          <w:color w:val="231F20"/>
          <w:spacing w:val="-2"/>
          <w:sz w:val="24"/>
        </w:rPr>
        <w:t>question</w:t>
      </w:r>
      <w:r>
        <w:rPr>
          <w:color w:val="231F20"/>
          <w:spacing w:val="-11"/>
          <w:sz w:val="24"/>
        </w:rPr>
        <w:t> </w:t>
      </w:r>
      <w:r>
        <w:rPr>
          <w:color w:val="231F20"/>
          <w:spacing w:val="-10"/>
          <w:sz w:val="24"/>
        </w:rPr>
        <w:t>?</w:t>
      </w:r>
    </w:p>
    <w:p>
      <w:pPr>
        <w:pStyle w:val="BodyText"/>
        <w:spacing w:before="120"/>
        <w:ind w:right="105" w:firstLine="283"/>
      </w:pPr>
      <w:r>
        <w:rPr>
          <w:color w:val="231F20"/>
        </w:rPr>
        <w:t>-Avec tous ces animaux que vous avez...en fait, comme c’est la </w:t>
      </w:r>
      <w:r>
        <w:rPr>
          <w:color w:val="231F20"/>
          <w:spacing w:val="-2"/>
        </w:rPr>
        <w:t>jungle…</w:t>
      </w:r>
    </w:p>
    <w:p>
      <w:pPr>
        <w:pStyle w:val="ListParagraph"/>
        <w:numPr>
          <w:ilvl w:val="0"/>
          <w:numId w:val="5"/>
        </w:numPr>
        <w:tabs>
          <w:tab w:pos="594" w:val="left" w:leader="none"/>
        </w:tabs>
        <w:spacing w:line="240" w:lineRule="auto" w:before="120" w:after="0"/>
        <w:ind w:left="111" w:right="108" w:firstLine="283"/>
        <w:jc w:val="both"/>
        <w:rPr>
          <w:sz w:val="24"/>
        </w:rPr>
      </w:pPr>
      <w:r>
        <w:rPr>
          <w:color w:val="231F20"/>
          <w:sz w:val="24"/>
        </w:rPr>
        <w:t>Ah</w:t>
      </w:r>
      <w:r>
        <w:rPr>
          <w:color w:val="231F20"/>
          <w:spacing w:val="-12"/>
          <w:sz w:val="24"/>
        </w:rPr>
        <w:t> </w:t>
      </w:r>
      <w:r>
        <w:rPr>
          <w:color w:val="231F20"/>
          <w:sz w:val="24"/>
        </w:rPr>
        <w:t>! mais il fallait être plus direct</w:t>
      </w:r>
      <w:r>
        <w:rPr>
          <w:strike/>
          <w:color w:val="231F20"/>
          <w:sz w:val="24"/>
        </w:rPr>
        <w:t>e</w:t>
      </w:r>
      <w:r>
        <w:rPr>
          <w:strike w:val="0"/>
          <w:color w:val="231F20"/>
          <w:sz w:val="24"/>
        </w:rPr>
        <w:t>. Nos</w:t>
      </w:r>
      <w:r>
        <w:rPr>
          <w:strike w:val="0"/>
          <w:color w:val="231F20"/>
          <w:spacing w:val="-12"/>
          <w:sz w:val="24"/>
        </w:rPr>
        <w:t> </w:t>
      </w:r>
      <w:r>
        <w:rPr>
          <w:strike w:val="0"/>
          <w:color w:val="231F20"/>
          <w:sz w:val="24"/>
        </w:rPr>
        <w:t>boîtes sont dans des cavernes</w:t>
      </w:r>
      <w:r>
        <w:rPr>
          <w:strike w:val="0"/>
          <w:color w:val="231F20"/>
          <w:spacing w:val="-15"/>
          <w:sz w:val="24"/>
        </w:rPr>
        <w:t> </w:t>
      </w:r>
      <w:r>
        <w:rPr>
          <w:strike w:val="0"/>
          <w:color w:val="231F20"/>
          <w:sz w:val="24"/>
        </w:rPr>
        <w:t>; des batteurs de tamtams sont perchés sur les arbres et sous l’éclairage de la lune, on danse.</w:t>
      </w:r>
    </w:p>
    <w:p>
      <w:pPr>
        <w:pStyle w:val="BodyText"/>
        <w:spacing w:before="121"/>
        <w:ind w:right="108" w:firstLine="283"/>
      </w:pPr>
      <w:r>
        <w:rPr>
          <w:color w:val="231F20"/>
        </w:rPr>
        <w:t>-Tu</w:t>
      </w:r>
      <w:r>
        <w:rPr>
          <w:color w:val="231F20"/>
          <w:spacing w:val="-10"/>
        </w:rPr>
        <w:t> </w:t>
      </w:r>
      <w:r>
        <w:rPr>
          <w:color w:val="231F20"/>
        </w:rPr>
        <w:t>ne</w:t>
      </w:r>
      <w:r>
        <w:rPr>
          <w:color w:val="231F20"/>
          <w:spacing w:val="-11"/>
        </w:rPr>
        <w:t> </w:t>
      </w:r>
      <w:r>
        <w:rPr>
          <w:color w:val="231F20"/>
        </w:rPr>
        <w:t>vois</w:t>
      </w:r>
      <w:r>
        <w:rPr>
          <w:color w:val="231F20"/>
          <w:spacing w:val="-10"/>
        </w:rPr>
        <w:t> </w:t>
      </w:r>
      <w:r>
        <w:rPr>
          <w:color w:val="231F20"/>
        </w:rPr>
        <w:t>pas</w:t>
      </w:r>
      <w:r>
        <w:rPr>
          <w:color w:val="231F20"/>
          <w:spacing w:val="-12"/>
        </w:rPr>
        <w:t> </w:t>
      </w:r>
      <w:r>
        <w:rPr>
          <w:color w:val="231F20"/>
        </w:rPr>
        <w:t>qu’il</w:t>
      </w:r>
      <w:r>
        <w:rPr>
          <w:color w:val="231F20"/>
          <w:spacing w:val="-10"/>
        </w:rPr>
        <w:t> </w:t>
      </w:r>
      <w:r>
        <w:rPr>
          <w:color w:val="231F20"/>
        </w:rPr>
        <w:t>se</w:t>
      </w:r>
      <w:r>
        <w:rPr>
          <w:color w:val="231F20"/>
          <w:spacing w:val="-11"/>
        </w:rPr>
        <w:t> </w:t>
      </w:r>
      <w:r>
        <w:rPr>
          <w:color w:val="231F20"/>
        </w:rPr>
        <w:t>paie</w:t>
      </w:r>
      <w:r>
        <w:rPr>
          <w:color w:val="231F20"/>
          <w:spacing w:val="-11"/>
        </w:rPr>
        <w:t> </w:t>
      </w:r>
      <w:r>
        <w:rPr>
          <w:color w:val="231F20"/>
        </w:rPr>
        <w:t>ta</w:t>
      </w:r>
      <w:r>
        <w:rPr>
          <w:color w:val="231F20"/>
          <w:spacing w:val="-11"/>
        </w:rPr>
        <w:t> </w:t>
      </w:r>
      <w:r>
        <w:rPr>
          <w:color w:val="231F20"/>
        </w:rPr>
        <w:t>tête</w:t>
      </w:r>
      <w:r>
        <w:rPr>
          <w:color w:val="231F20"/>
          <w:spacing w:val="-15"/>
        </w:rPr>
        <w:t> </w:t>
      </w:r>
      <w:r>
        <w:rPr>
          <w:color w:val="231F20"/>
        </w:rPr>
        <w:t>?</w:t>
      </w:r>
      <w:r>
        <w:rPr>
          <w:color w:val="231F20"/>
          <w:spacing w:val="-11"/>
        </w:rPr>
        <w:t> </w:t>
      </w:r>
      <w:r>
        <w:rPr>
          <w:color w:val="231F20"/>
        </w:rPr>
        <w:t>il</w:t>
      </w:r>
      <w:r>
        <w:rPr>
          <w:color w:val="231F20"/>
          <w:spacing w:val="-10"/>
        </w:rPr>
        <w:t> </w:t>
      </w:r>
      <w:r>
        <w:rPr>
          <w:color w:val="231F20"/>
        </w:rPr>
        <w:t>est</w:t>
      </w:r>
      <w:r>
        <w:rPr>
          <w:color w:val="231F20"/>
          <w:spacing w:val="-10"/>
        </w:rPr>
        <w:t> </w:t>
      </w:r>
      <w:r>
        <w:rPr>
          <w:color w:val="231F20"/>
        </w:rPr>
        <w:t>français</w:t>
      </w:r>
      <w:r>
        <w:rPr>
          <w:color w:val="231F20"/>
          <w:spacing w:val="-12"/>
        </w:rPr>
        <w:t> </w:t>
      </w:r>
      <w:r>
        <w:rPr>
          <w:color w:val="231F20"/>
        </w:rPr>
        <w:t>comme</w:t>
      </w:r>
      <w:r>
        <w:rPr>
          <w:color w:val="231F20"/>
          <w:spacing w:val="-11"/>
        </w:rPr>
        <w:t> </w:t>
      </w:r>
      <w:r>
        <w:rPr>
          <w:color w:val="231F20"/>
        </w:rPr>
        <w:t>toi</w:t>
      </w:r>
      <w:r>
        <w:rPr>
          <w:color w:val="231F20"/>
          <w:spacing w:val="-10"/>
        </w:rPr>
        <w:t> </w:t>
      </w:r>
      <w:r>
        <w:rPr>
          <w:color w:val="231F20"/>
        </w:rPr>
        <w:t>et</w:t>
      </w:r>
      <w:r>
        <w:rPr>
          <w:color w:val="231F20"/>
          <w:spacing w:val="-12"/>
        </w:rPr>
        <w:t> </w:t>
      </w:r>
      <w:r>
        <w:rPr>
          <w:color w:val="231F20"/>
        </w:rPr>
        <w:t>moi, intervient un autre camarade. »</w:t>
      </w:r>
    </w:p>
    <w:p>
      <w:pPr>
        <w:pStyle w:val="BodyText"/>
        <w:spacing w:before="120"/>
        <w:ind w:right="107" w:firstLine="283"/>
      </w:pPr>
      <w:r>
        <w:rPr>
          <w:color w:val="231F20"/>
          <w:spacing w:val="-4"/>
        </w:rPr>
        <w:t>Plus</w:t>
      </w:r>
      <w:r>
        <w:rPr>
          <w:color w:val="231F20"/>
          <w:spacing w:val="-11"/>
        </w:rPr>
        <w:t> </w:t>
      </w:r>
      <w:r>
        <w:rPr>
          <w:color w:val="231F20"/>
          <w:spacing w:val="-4"/>
        </w:rPr>
        <w:t>je</w:t>
      </w:r>
      <w:r>
        <w:rPr>
          <w:color w:val="231F20"/>
          <w:spacing w:val="-11"/>
        </w:rPr>
        <w:t> </w:t>
      </w:r>
      <w:r>
        <w:rPr>
          <w:color w:val="231F20"/>
          <w:spacing w:val="-4"/>
        </w:rPr>
        <w:t>m’évertuais</w:t>
      </w:r>
      <w:r>
        <w:rPr>
          <w:color w:val="231F20"/>
          <w:spacing w:val="-9"/>
        </w:rPr>
        <w:t> </w:t>
      </w:r>
      <w:r>
        <w:rPr>
          <w:color w:val="231F20"/>
          <w:spacing w:val="-4"/>
        </w:rPr>
        <w:t>à</w:t>
      </w:r>
      <w:r>
        <w:rPr>
          <w:color w:val="231F20"/>
          <w:spacing w:val="-11"/>
        </w:rPr>
        <w:t> </w:t>
      </w:r>
      <w:r>
        <w:rPr>
          <w:color w:val="231F20"/>
          <w:spacing w:val="-4"/>
        </w:rPr>
        <w:t>leur</w:t>
      </w:r>
      <w:r>
        <w:rPr>
          <w:color w:val="231F20"/>
          <w:spacing w:val="-11"/>
        </w:rPr>
        <w:t> </w:t>
      </w:r>
      <w:r>
        <w:rPr>
          <w:color w:val="231F20"/>
          <w:spacing w:val="-4"/>
        </w:rPr>
        <w:t>expliquer</w:t>
      </w:r>
      <w:r>
        <w:rPr>
          <w:color w:val="231F20"/>
          <w:spacing w:val="-9"/>
        </w:rPr>
        <w:t> </w:t>
      </w:r>
      <w:r>
        <w:rPr>
          <w:color w:val="231F20"/>
          <w:spacing w:val="-4"/>
        </w:rPr>
        <w:t>que</w:t>
      </w:r>
      <w:r>
        <w:rPr>
          <w:color w:val="231F20"/>
          <w:spacing w:val="-11"/>
        </w:rPr>
        <w:t> </w:t>
      </w:r>
      <w:r>
        <w:rPr>
          <w:color w:val="231F20"/>
          <w:spacing w:val="-4"/>
        </w:rPr>
        <w:t>je</w:t>
      </w:r>
      <w:r>
        <w:rPr>
          <w:color w:val="231F20"/>
          <w:spacing w:val="-9"/>
        </w:rPr>
        <w:t> </w:t>
      </w:r>
      <w:r>
        <w:rPr>
          <w:color w:val="231F20"/>
          <w:spacing w:val="-4"/>
        </w:rPr>
        <w:t>suis</w:t>
      </w:r>
      <w:r>
        <w:rPr>
          <w:color w:val="231F20"/>
          <w:spacing w:val="-9"/>
        </w:rPr>
        <w:t> </w:t>
      </w:r>
      <w:r>
        <w:rPr>
          <w:color w:val="231F20"/>
          <w:spacing w:val="-4"/>
        </w:rPr>
        <w:t>africain,</w:t>
      </w:r>
      <w:r>
        <w:rPr>
          <w:color w:val="231F20"/>
          <w:spacing w:val="-9"/>
        </w:rPr>
        <w:t> </w:t>
      </w:r>
      <w:r>
        <w:rPr>
          <w:color w:val="231F20"/>
          <w:spacing w:val="-4"/>
        </w:rPr>
        <w:t>natif</w:t>
      </w:r>
      <w:r>
        <w:rPr>
          <w:color w:val="231F20"/>
          <w:spacing w:val="-9"/>
        </w:rPr>
        <w:t> </w:t>
      </w:r>
      <w:r>
        <w:rPr>
          <w:color w:val="231F20"/>
          <w:spacing w:val="-4"/>
        </w:rPr>
        <w:t>de</w:t>
      </w:r>
      <w:r>
        <w:rPr>
          <w:color w:val="231F20"/>
          <w:spacing w:val="-11"/>
        </w:rPr>
        <w:t> </w:t>
      </w:r>
      <w:r>
        <w:rPr>
          <w:color w:val="231F20"/>
          <w:spacing w:val="-4"/>
        </w:rPr>
        <w:t>la</w:t>
      </w:r>
      <w:r>
        <w:rPr>
          <w:color w:val="231F20"/>
          <w:spacing w:val="-9"/>
        </w:rPr>
        <w:t> </w:t>
      </w:r>
      <w:r>
        <w:rPr>
          <w:color w:val="231F20"/>
          <w:spacing w:val="-4"/>
        </w:rPr>
        <w:t>Côte </w:t>
      </w:r>
      <w:r>
        <w:rPr>
          <w:color w:val="231F20"/>
        </w:rPr>
        <w:t>d’Ivoire donc Ivoirien, plus mes camarades, étaient persuadés que je plaisantais…Cette conversation montre à l’époque des faits, qu’autant </w:t>
      </w:r>
      <w:r>
        <w:rPr>
          <w:color w:val="231F20"/>
          <w:spacing w:val="-2"/>
        </w:rPr>
        <w:t>moi,</w:t>
      </w:r>
      <w:r>
        <w:rPr>
          <w:color w:val="231F20"/>
          <w:spacing w:val="-13"/>
        </w:rPr>
        <w:t> </w:t>
      </w:r>
      <w:r>
        <w:rPr>
          <w:color w:val="231F20"/>
          <w:spacing w:val="-2"/>
        </w:rPr>
        <w:t>jeune</w:t>
      </w:r>
      <w:r>
        <w:rPr>
          <w:color w:val="231F20"/>
          <w:spacing w:val="-13"/>
        </w:rPr>
        <w:t> </w:t>
      </w:r>
      <w:r>
        <w:rPr>
          <w:color w:val="231F20"/>
          <w:spacing w:val="-2"/>
        </w:rPr>
        <w:t>africain,</w:t>
      </w:r>
      <w:r>
        <w:rPr>
          <w:color w:val="231F20"/>
          <w:spacing w:val="-13"/>
        </w:rPr>
        <w:t> </w:t>
      </w:r>
      <w:r>
        <w:rPr>
          <w:color w:val="231F20"/>
          <w:spacing w:val="-2"/>
        </w:rPr>
        <w:t>jeune</w:t>
      </w:r>
      <w:r>
        <w:rPr>
          <w:color w:val="231F20"/>
          <w:spacing w:val="-13"/>
        </w:rPr>
        <w:t> </w:t>
      </w:r>
      <w:r>
        <w:rPr>
          <w:color w:val="231F20"/>
          <w:spacing w:val="-2"/>
        </w:rPr>
        <w:t>ivoirien,</w:t>
      </w:r>
      <w:r>
        <w:rPr>
          <w:color w:val="231F20"/>
          <w:spacing w:val="-13"/>
        </w:rPr>
        <w:t> </w:t>
      </w:r>
      <w:r>
        <w:rPr>
          <w:color w:val="231F20"/>
          <w:spacing w:val="-2"/>
        </w:rPr>
        <w:t>avait</w:t>
      </w:r>
      <w:r>
        <w:rPr>
          <w:color w:val="231F20"/>
          <w:spacing w:val="-13"/>
        </w:rPr>
        <w:t> </w:t>
      </w:r>
      <w:r>
        <w:rPr>
          <w:color w:val="231F20"/>
          <w:spacing w:val="-2"/>
        </w:rPr>
        <w:t>appris</w:t>
      </w:r>
      <w:r>
        <w:rPr>
          <w:color w:val="231F20"/>
          <w:spacing w:val="-13"/>
        </w:rPr>
        <w:t> </w:t>
      </w:r>
      <w:r>
        <w:rPr>
          <w:color w:val="231F20"/>
          <w:spacing w:val="-2"/>
        </w:rPr>
        <w:t>à</w:t>
      </w:r>
      <w:r>
        <w:rPr>
          <w:color w:val="231F20"/>
          <w:spacing w:val="-13"/>
        </w:rPr>
        <w:t> </w:t>
      </w:r>
      <w:r>
        <w:rPr>
          <w:color w:val="231F20"/>
          <w:spacing w:val="-2"/>
        </w:rPr>
        <w:t>l’école,</w:t>
      </w:r>
      <w:r>
        <w:rPr>
          <w:color w:val="231F20"/>
          <w:spacing w:val="-13"/>
        </w:rPr>
        <w:t> </w:t>
      </w:r>
      <w:r>
        <w:rPr>
          <w:color w:val="231F20"/>
          <w:spacing w:val="-2"/>
        </w:rPr>
        <w:t>dans</w:t>
      </w:r>
      <w:r>
        <w:rPr>
          <w:color w:val="231F20"/>
          <w:spacing w:val="-13"/>
        </w:rPr>
        <w:t> </w:t>
      </w:r>
      <w:r>
        <w:rPr>
          <w:color w:val="231F20"/>
          <w:spacing w:val="-2"/>
        </w:rPr>
        <w:t>la</w:t>
      </w:r>
      <w:r>
        <w:rPr>
          <w:color w:val="231F20"/>
          <w:spacing w:val="-13"/>
        </w:rPr>
        <w:t> </w:t>
      </w:r>
      <w:r>
        <w:rPr>
          <w:color w:val="231F20"/>
          <w:spacing w:val="-2"/>
        </w:rPr>
        <w:t>première </w:t>
      </w:r>
      <w:r>
        <w:rPr>
          <w:color w:val="231F20"/>
        </w:rPr>
        <w:t>décennie de l’indépendance de mon pays, l’histoire passée et contemporaine</w:t>
      </w:r>
      <w:r>
        <w:rPr>
          <w:color w:val="231F20"/>
          <w:spacing w:val="-15"/>
        </w:rPr>
        <w:t> </w:t>
      </w:r>
      <w:r>
        <w:rPr>
          <w:color w:val="231F20"/>
        </w:rPr>
        <w:t>et,</w:t>
      </w:r>
      <w:r>
        <w:rPr>
          <w:color w:val="231F20"/>
          <w:spacing w:val="-15"/>
        </w:rPr>
        <w:t> </w:t>
      </w:r>
      <w:r>
        <w:rPr>
          <w:color w:val="231F20"/>
        </w:rPr>
        <w:t>même</w:t>
      </w:r>
      <w:r>
        <w:rPr>
          <w:color w:val="231F20"/>
          <w:spacing w:val="-15"/>
        </w:rPr>
        <w:t> </w:t>
      </w:r>
      <w:r>
        <w:rPr>
          <w:color w:val="231F20"/>
        </w:rPr>
        <w:t>les</w:t>
      </w:r>
      <w:r>
        <w:rPr>
          <w:color w:val="231F20"/>
          <w:spacing w:val="-15"/>
        </w:rPr>
        <w:t> </w:t>
      </w:r>
      <w:r>
        <w:rPr>
          <w:color w:val="231F20"/>
        </w:rPr>
        <w:t>cours</w:t>
      </w:r>
      <w:r>
        <w:rPr>
          <w:color w:val="231F20"/>
          <w:spacing w:val="-15"/>
        </w:rPr>
        <w:t> </w:t>
      </w:r>
      <w:r>
        <w:rPr>
          <w:color w:val="231F20"/>
        </w:rPr>
        <w:t>d’eau</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France,</w:t>
      </w:r>
      <w:r>
        <w:rPr>
          <w:color w:val="231F20"/>
          <w:spacing w:val="-15"/>
        </w:rPr>
        <w:t> </w:t>
      </w:r>
      <w:r>
        <w:rPr>
          <w:color w:val="231F20"/>
        </w:rPr>
        <w:t>connaissances</w:t>
      </w:r>
      <w:r>
        <w:rPr>
          <w:color w:val="231F20"/>
          <w:spacing w:val="-15"/>
        </w:rPr>
        <w:t> </w:t>
      </w:r>
      <w:r>
        <w:rPr>
          <w:color w:val="231F20"/>
        </w:rPr>
        <w:t>qui me permettent de tenir la discussion d’égal à égal avec eux, autant un jeune</w:t>
      </w:r>
      <w:r>
        <w:rPr>
          <w:color w:val="231F20"/>
          <w:spacing w:val="-9"/>
        </w:rPr>
        <w:t> </w:t>
      </w:r>
      <w:r>
        <w:rPr>
          <w:color w:val="231F20"/>
        </w:rPr>
        <w:t>français,</w:t>
      </w:r>
      <w:r>
        <w:rPr>
          <w:color w:val="231F20"/>
          <w:spacing w:val="-9"/>
        </w:rPr>
        <w:t> </w:t>
      </w:r>
      <w:r>
        <w:rPr>
          <w:color w:val="231F20"/>
        </w:rPr>
        <w:t>universitaire</w:t>
      </w:r>
      <w:r>
        <w:rPr>
          <w:color w:val="231F20"/>
          <w:spacing w:val="-9"/>
        </w:rPr>
        <w:t> </w:t>
      </w:r>
      <w:r>
        <w:rPr>
          <w:color w:val="231F20"/>
        </w:rPr>
        <w:t>de</w:t>
      </w:r>
      <w:r>
        <w:rPr>
          <w:color w:val="231F20"/>
          <w:spacing w:val="-9"/>
        </w:rPr>
        <w:t> </w:t>
      </w:r>
      <w:r>
        <w:rPr>
          <w:color w:val="231F20"/>
        </w:rPr>
        <w:t>surcroit,</w:t>
      </w:r>
      <w:r>
        <w:rPr>
          <w:color w:val="231F20"/>
          <w:spacing w:val="-11"/>
        </w:rPr>
        <w:t> </w:t>
      </w:r>
      <w:r>
        <w:rPr>
          <w:color w:val="231F20"/>
        </w:rPr>
        <w:t>ignorait</w:t>
      </w:r>
      <w:r>
        <w:rPr>
          <w:color w:val="231F20"/>
          <w:spacing w:val="-10"/>
        </w:rPr>
        <w:t> </w:t>
      </w:r>
      <w:r>
        <w:rPr>
          <w:color w:val="231F20"/>
        </w:rPr>
        <w:t>tout</w:t>
      </w:r>
      <w:r>
        <w:rPr>
          <w:color w:val="231F20"/>
          <w:spacing w:val="-8"/>
        </w:rPr>
        <w:t> </w:t>
      </w:r>
      <w:r>
        <w:rPr>
          <w:color w:val="231F20"/>
        </w:rPr>
        <w:t>de</w:t>
      </w:r>
      <w:r>
        <w:rPr>
          <w:color w:val="231F20"/>
          <w:spacing w:val="-11"/>
        </w:rPr>
        <w:t> </w:t>
      </w:r>
      <w:r>
        <w:rPr>
          <w:color w:val="231F20"/>
        </w:rPr>
        <w:t>l’Afrique.</w:t>
      </w:r>
    </w:p>
    <w:p>
      <w:pPr>
        <w:pStyle w:val="BodyText"/>
        <w:spacing w:before="120"/>
        <w:ind w:right="102" w:firstLine="283"/>
      </w:pPr>
      <w:r>
        <w:rPr>
          <w:color w:val="231F20"/>
        </w:rPr>
        <w:t>Ajouter à cela, mon autonomie financière lors de nos virées au </w:t>
      </w:r>
      <w:r>
        <w:rPr>
          <w:color w:val="231F20"/>
          <w:spacing w:val="-2"/>
        </w:rPr>
        <w:t>restaurant</w:t>
      </w:r>
      <w:r>
        <w:rPr>
          <w:color w:val="231F20"/>
          <w:spacing w:val="-9"/>
        </w:rPr>
        <w:t> </w:t>
      </w:r>
      <w:r>
        <w:rPr>
          <w:color w:val="231F20"/>
          <w:spacing w:val="-2"/>
        </w:rPr>
        <w:t>et</w:t>
      </w:r>
      <w:r>
        <w:rPr>
          <w:color w:val="231F20"/>
          <w:spacing w:val="-9"/>
        </w:rPr>
        <w:t> </w:t>
      </w:r>
      <w:r>
        <w:rPr>
          <w:color w:val="231F20"/>
          <w:spacing w:val="-2"/>
        </w:rPr>
        <w:t>dans</w:t>
      </w:r>
      <w:r>
        <w:rPr>
          <w:color w:val="231F20"/>
          <w:spacing w:val="-8"/>
        </w:rPr>
        <w:t> </w:t>
      </w:r>
      <w:r>
        <w:rPr>
          <w:color w:val="231F20"/>
          <w:spacing w:val="-2"/>
        </w:rPr>
        <w:t>les</w:t>
      </w:r>
      <w:r>
        <w:rPr>
          <w:color w:val="231F20"/>
          <w:spacing w:val="-11"/>
        </w:rPr>
        <w:t> </w:t>
      </w:r>
      <w:r>
        <w:rPr>
          <w:color w:val="231F20"/>
          <w:spacing w:val="-2"/>
        </w:rPr>
        <w:t>pubs</w:t>
      </w:r>
      <w:r>
        <w:rPr>
          <w:color w:val="76787A"/>
          <w:spacing w:val="-2"/>
          <w:vertAlign w:val="superscript"/>
        </w:rPr>
        <w:t>227</w:t>
      </w:r>
      <w:r>
        <w:rPr>
          <w:color w:val="231F20"/>
          <w:spacing w:val="-2"/>
          <w:vertAlign w:val="baseline"/>
        </w:rPr>
        <w:t>,</w:t>
      </w:r>
      <w:r>
        <w:rPr>
          <w:color w:val="231F20"/>
          <w:spacing w:val="-9"/>
          <w:vertAlign w:val="baseline"/>
        </w:rPr>
        <w:t> </w:t>
      </w:r>
      <w:r>
        <w:rPr>
          <w:color w:val="231F20"/>
          <w:spacing w:val="-2"/>
          <w:vertAlign w:val="baseline"/>
        </w:rPr>
        <w:t>ne</w:t>
      </w:r>
      <w:r>
        <w:rPr>
          <w:color w:val="231F20"/>
          <w:spacing w:val="-9"/>
          <w:vertAlign w:val="baseline"/>
        </w:rPr>
        <w:t> </w:t>
      </w:r>
      <w:r>
        <w:rPr>
          <w:color w:val="231F20"/>
          <w:spacing w:val="-2"/>
          <w:vertAlign w:val="baseline"/>
        </w:rPr>
        <w:t>pouvait</w:t>
      </w:r>
      <w:r>
        <w:rPr>
          <w:color w:val="231F20"/>
          <w:spacing w:val="-10"/>
          <w:vertAlign w:val="baseline"/>
        </w:rPr>
        <w:t> </w:t>
      </w:r>
      <w:r>
        <w:rPr>
          <w:color w:val="231F20"/>
          <w:spacing w:val="-2"/>
          <w:vertAlign w:val="baseline"/>
        </w:rPr>
        <w:t>que</w:t>
      </w:r>
      <w:r>
        <w:rPr>
          <w:color w:val="231F20"/>
          <w:spacing w:val="-11"/>
          <w:vertAlign w:val="baseline"/>
        </w:rPr>
        <w:t> </w:t>
      </w:r>
      <w:r>
        <w:rPr>
          <w:color w:val="231F20"/>
          <w:spacing w:val="-2"/>
          <w:vertAlign w:val="baseline"/>
        </w:rPr>
        <w:t>les</w:t>
      </w:r>
      <w:r>
        <w:rPr>
          <w:color w:val="231F20"/>
          <w:spacing w:val="-9"/>
          <w:vertAlign w:val="baseline"/>
        </w:rPr>
        <w:t> </w:t>
      </w:r>
      <w:r>
        <w:rPr>
          <w:color w:val="231F20"/>
          <w:spacing w:val="-2"/>
          <w:vertAlign w:val="baseline"/>
        </w:rPr>
        <w:t>conforter</w:t>
      </w:r>
      <w:r>
        <w:rPr>
          <w:color w:val="231F20"/>
          <w:spacing w:val="-9"/>
          <w:vertAlign w:val="baseline"/>
        </w:rPr>
        <w:t> </w:t>
      </w:r>
      <w:r>
        <w:rPr>
          <w:color w:val="231F20"/>
          <w:spacing w:val="-2"/>
          <w:vertAlign w:val="baseline"/>
        </w:rPr>
        <w:t>dans</w:t>
      </w:r>
      <w:r>
        <w:rPr>
          <w:color w:val="231F20"/>
          <w:spacing w:val="-11"/>
          <w:vertAlign w:val="baseline"/>
        </w:rPr>
        <w:t> </w:t>
      </w:r>
      <w:r>
        <w:rPr>
          <w:color w:val="231F20"/>
          <w:spacing w:val="-2"/>
          <w:vertAlign w:val="baseline"/>
        </w:rPr>
        <w:t>leur</w:t>
      </w:r>
      <w:r>
        <w:rPr>
          <w:color w:val="231F20"/>
          <w:spacing w:val="-9"/>
          <w:vertAlign w:val="baseline"/>
        </w:rPr>
        <w:t> </w:t>
      </w:r>
      <w:r>
        <w:rPr>
          <w:color w:val="231F20"/>
          <w:spacing w:val="-2"/>
          <w:vertAlign w:val="baseline"/>
        </w:rPr>
        <w:t>désir </w:t>
      </w:r>
      <w:r>
        <w:rPr>
          <w:color w:val="231F20"/>
          <w:vertAlign w:val="baseline"/>
        </w:rPr>
        <w:t>de croire que suis aussi un Français. Pour eux, tout dans mon attitude </w:t>
      </w:r>
      <w:r>
        <w:rPr>
          <w:color w:val="231F20"/>
          <w:spacing w:val="-2"/>
          <w:vertAlign w:val="baseline"/>
        </w:rPr>
        <w:t>montrait</w:t>
      </w:r>
      <w:r>
        <w:rPr>
          <w:color w:val="231F20"/>
          <w:spacing w:val="-15"/>
          <w:vertAlign w:val="baseline"/>
        </w:rPr>
        <w:t> </w:t>
      </w:r>
      <w:r>
        <w:rPr>
          <w:color w:val="231F20"/>
          <w:spacing w:val="-2"/>
          <w:vertAlign w:val="baseline"/>
        </w:rPr>
        <w:t>que</w:t>
      </w:r>
      <w:r>
        <w:rPr>
          <w:color w:val="231F20"/>
          <w:spacing w:val="-13"/>
          <w:vertAlign w:val="baseline"/>
        </w:rPr>
        <w:t> </w:t>
      </w:r>
      <w:r>
        <w:rPr>
          <w:color w:val="231F20"/>
          <w:spacing w:val="-2"/>
          <w:vertAlign w:val="baseline"/>
        </w:rPr>
        <w:t>je</w:t>
      </w:r>
      <w:r>
        <w:rPr>
          <w:color w:val="231F20"/>
          <w:spacing w:val="-13"/>
          <w:vertAlign w:val="baseline"/>
        </w:rPr>
        <w:t> </w:t>
      </w:r>
      <w:r>
        <w:rPr>
          <w:color w:val="231F20"/>
          <w:spacing w:val="-2"/>
          <w:vertAlign w:val="baseline"/>
        </w:rPr>
        <w:t>suis</w:t>
      </w:r>
      <w:r>
        <w:rPr>
          <w:color w:val="231F20"/>
          <w:spacing w:val="-13"/>
          <w:vertAlign w:val="baseline"/>
        </w:rPr>
        <w:t> </w:t>
      </w:r>
      <w:r>
        <w:rPr>
          <w:color w:val="231F20"/>
          <w:spacing w:val="-2"/>
          <w:vertAlign w:val="baseline"/>
        </w:rPr>
        <w:t>un</w:t>
      </w:r>
      <w:r>
        <w:rPr>
          <w:color w:val="231F20"/>
          <w:spacing w:val="-13"/>
          <w:vertAlign w:val="baseline"/>
        </w:rPr>
        <w:t> </w:t>
      </w:r>
      <w:r>
        <w:rPr>
          <w:color w:val="231F20"/>
          <w:spacing w:val="-2"/>
          <w:vertAlign w:val="baseline"/>
        </w:rPr>
        <w:t>des</w:t>
      </w:r>
      <w:r>
        <w:rPr>
          <w:color w:val="231F20"/>
          <w:spacing w:val="-13"/>
          <w:vertAlign w:val="baseline"/>
        </w:rPr>
        <w:t> </w:t>
      </w:r>
      <w:r>
        <w:rPr>
          <w:color w:val="231F20"/>
          <w:spacing w:val="-2"/>
          <w:vertAlign w:val="baseline"/>
        </w:rPr>
        <w:t>leurs</w:t>
      </w:r>
      <w:r>
        <w:rPr>
          <w:color w:val="231F20"/>
          <w:spacing w:val="-13"/>
          <w:vertAlign w:val="baseline"/>
        </w:rPr>
        <w:t> </w:t>
      </w:r>
      <w:r>
        <w:rPr>
          <w:color w:val="231F20"/>
          <w:spacing w:val="-2"/>
          <w:vertAlign w:val="baseline"/>
        </w:rPr>
        <w:t>et</w:t>
      </w:r>
      <w:r>
        <w:rPr>
          <w:color w:val="231F20"/>
          <w:spacing w:val="-13"/>
          <w:vertAlign w:val="baseline"/>
        </w:rPr>
        <w:t> </w:t>
      </w:r>
      <w:r>
        <w:rPr>
          <w:color w:val="231F20"/>
          <w:spacing w:val="-2"/>
          <w:vertAlign w:val="baseline"/>
        </w:rPr>
        <w:t>non</w:t>
      </w:r>
      <w:r>
        <w:rPr>
          <w:color w:val="231F20"/>
          <w:spacing w:val="-13"/>
          <w:vertAlign w:val="baseline"/>
        </w:rPr>
        <w:t> </w:t>
      </w:r>
      <w:r>
        <w:rPr>
          <w:color w:val="231F20"/>
          <w:spacing w:val="-2"/>
          <w:vertAlign w:val="baseline"/>
        </w:rPr>
        <w:t>un</w:t>
      </w:r>
      <w:r>
        <w:rPr>
          <w:color w:val="231F20"/>
          <w:spacing w:val="-13"/>
          <w:vertAlign w:val="baseline"/>
        </w:rPr>
        <w:t> </w:t>
      </w:r>
      <w:r>
        <w:rPr>
          <w:color w:val="231F20"/>
          <w:spacing w:val="-2"/>
          <w:vertAlign w:val="baseline"/>
        </w:rPr>
        <w:t>africain</w:t>
      </w:r>
      <w:r>
        <w:rPr>
          <w:color w:val="231F20"/>
          <w:spacing w:val="-13"/>
          <w:vertAlign w:val="baseline"/>
        </w:rPr>
        <w:t> </w:t>
      </w:r>
      <w:r>
        <w:rPr>
          <w:color w:val="231F20"/>
          <w:spacing w:val="-2"/>
          <w:vertAlign w:val="baseline"/>
        </w:rPr>
        <w:t>qui</w:t>
      </w:r>
      <w:r>
        <w:rPr>
          <w:color w:val="231F20"/>
          <w:spacing w:val="-13"/>
          <w:vertAlign w:val="baseline"/>
        </w:rPr>
        <w:t> </w:t>
      </w:r>
      <w:r>
        <w:rPr>
          <w:color w:val="231F20"/>
          <w:spacing w:val="-2"/>
          <w:vertAlign w:val="baseline"/>
        </w:rPr>
        <w:t>dans</w:t>
      </w:r>
      <w:r>
        <w:rPr>
          <w:color w:val="231F20"/>
          <w:spacing w:val="-13"/>
          <w:vertAlign w:val="baseline"/>
        </w:rPr>
        <w:t> </w:t>
      </w:r>
      <w:r>
        <w:rPr>
          <w:color w:val="231F20"/>
          <w:spacing w:val="-2"/>
          <w:vertAlign w:val="baseline"/>
        </w:rPr>
        <w:t>leur</w:t>
      </w:r>
      <w:r>
        <w:rPr>
          <w:color w:val="231F20"/>
          <w:spacing w:val="-13"/>
          <w:vertAlign w:val="baseline"/>
        </w:rPr>
        <w:t> </w:t>
      </w:r>
      <w:r>
        <w:rPr>
          <w:color w:val="231F20"/>
          <w:spacing w:val="-2"/>
          <w:vertAlign w:val="baseline"/>
        </w:rPr>
        <w:t>esprit,</w:t>
      </w:r>
      <w:r>
        <w:rPr>
          <w:color w:val="231F20"/>
          <w:spacing w:val="-13"/>
          <w:vertAlign w:val="baseline"/>
        </w:rPr>
        <w:t> </w:t>
      </w:r>
      <w:r>
        <w:rPr>
          <w:color w:val="231F20"/>
          <w:spacing w:val="-2"/>
          <w:vertAlign w:val="baseline"/>
        </w:rPr>
        <w:t>est </w:t>
      </w:r>
      <w:r>
        <w:rPr>
          <w:color w:val="231F20"/>
          <w:spacing w:val="-4"/>
          <w:vertAlign w:val="baseline"/>
        </w:rPr>
        <w:t>synonyme</w:t>
      </w:r>
      <w:r>
        <w:rPr>
          <w:color w:val="231F20"/>
          <w:spacing w:val="-11"/>
          <w:vertAlign w:val="baseline"/>
        </w:rPr>
        <w:t> </w:t>
      </w:r>
      <w:r>
        <w:rPr>
          <w:color w:val="231F20"/>
          <w:spacing w:val="-4"/>
          <w:vertAlign w:val="baseline"/>
        </w:rPr>
        <w:t>de</w:t>
      </w:r>
      <w:r>
        <w:rPr>
          <w:color w:val="231F20"/>
          <w:spacing w:val="-11"/>
          <w:vertAlign w:val="baseline"/>
        </w:rPr>
        <w:t> </w:t>
      </w:r>
      <w:r>
        <w:rPr>
          <w:color w:val="231F20"/>
          <w:spacing w:val="-4"/>
          <w:vertAlign w:val="baseline"/>
        </w:rPr>
        <w:t>miséreux,</w:t>
      </w:r>
      <w:r>
        <w:rPr>
          <w:color w:val="231F20"/>
          <w:spacing w:val="-11"/>
          <w:vertAlign w:val="baseline"/>
        </w:rPr>
        <w:t> </w:t>
      </w:r>
      <w:r>
        <w:rPr>
          <w:color w:val="231F20"/>
          <w:spacing w:val="-4"/>
          <w:vertAlign w:val="baseline"/>
        </w:rPr>
        <w:t>sans</w:t>
      </w:r>
      <w:r>
        <w:rPr>
          <w:color w:val="231F20"/>
          <w:spacing w:val="-11"/>
          <w:vertAlign w:val="baseline"/>
        </w:rPr>
        <w:t> </w:t>
      </w:r>
      <w:r>
        <w:rPr>
          <w:color w:val="231F20"/>
          <w:spacing w:val="-4"/>
          <w:vertAlign w:val="baseline"/>
        </w:rPr>
        <w:t>culture.</w:t>
      </w:r>
      <w:r>
        <w:rPr>
          <w:color w:val="231F20"/>
          <w:spacing w:val="-11"/>
          <w:vertAlign w:val="baseline"/>
        </w:rPr>
        <w:t> </w:t>
      </w:r>
      <w:r>
        <w:rPr>
          <w:color w:val="231F20"/>
          <w:spacing w:val="-4"/>
          <w:vertAlign w:val="baseline"/>
        </w:rPr>
        <w:t>En</w:t>
      </w:r>
      <w:r>
        <w:rPr>
          <w:color w:val="231F20"/>
          <w:spacing w:val="-11"/>
          <w:vertAlign w:val="baseline"/>
        </w:rPr>
        <w:t> </w:t>
      </w:r>
      <w:r>
        <w:rPr>
          <w:color w:val="231F20"/>
          <w:spacing w:val="-4"/>
          <w:vertAlign w:val="baseline"/>
        </w:rPr>
        <w:t>leur</w:t>
      </w:r>
      <w:r>
        <w:rPr>
          <w:color w:val="231F20"/>
          <w:spacing w:val="-11"/>
          <w:vertAlign w:val="baseline"/>
        </w:rPr>
        <w:t> </w:t>
      </w:r>
      <w:r>
        <w:rPr>
          <w:color w:val="231F20"/>
          <w:spacing w:val="-4"/>
          <w:vertAlign w:val="baseline"/>
        </w:rPr>
        <w:t>compagnie,</w:t>
      </w:r>
      <w:r>
        <w:rPr>
          <w:color w:val="231F20"/>
          <w:spacing w:val="-11"/>
          <w:vertAlign w:val="baseline"/>
        </w:rPr>
        <w:t> </w:t>
      </w:r>
      <w:r>
        <w:rPr>
          <w:color w:val="231F20"/>
          <w:spacing w:val="-4"/>
          <w:vertAlign w:val="baseline"/>
        </w:rPr>
        <w:t>j’ai</w:t>
      </w:r>
      <w:r>
        <w:rPr>
          <w:color w:val="231F20"/>
          <w:spacing w:val="-11"/>
          <w:vertAlign w:val="baseline"/>
        </w:rPr>
        <w:t> </w:t>
      </w:r>
      <w:r>
        <w:rPr>
          <w:color w:val="231F20"/>
          <w:spacing w:val="-4"/>
          <w:vertAlign w:val="baseline"/>
        </w:rPr>
        <w:t>dû</w:t>
      </w:r>
      <w:r>
        <w:rPr>
          <w:color w:val="231F20"/>
          <w:spacing w:val="-11"/>
          <w:vertAlign w:val="baseline"/>
        </w:rPr>
        <w:t> </w:t>
      </w:r>
      <w:r>
        <w:rPr>
          <w:color w:val="231F20"/>
          <w:spacing w:val="-4"/>
          <w:vertAlign w:val="baseline"/>
        </w:rPr>
        <w:t>mon</w:t>
      </w:r>
      <w:r>
        <w:rPr>
          <w:color w:val="231F20"/>
          <w:spacing w:val="-11"/>
          <w:vertAlign w:val="baseline"/>
        </w:rPr>
        <w:t> </w:t>
      </w:r>
      <w:r>
        <w:rPr>
          <w:color w:val="231F20"/>
          <w:spacing w:val="-4"/>
          <w:vertAlign w:val="baseline"/>
        </w:rPr>
        <w:t>salut </w:t>
      </w:r>
      <w:r>
        <w:rPr>
          <w:color w:val="231F20"/>
          <w:vertAlign w:val="baseline"/>
        </w:rPr>
        <w:t>dans un café, en ressortant rapidement. À peine y étais-je entré, que quelqu’un</w:t>
      </w:r>
      <w:r>
        <w:rPr>
          <w:color w:val="231F20"/>
          <w:spacing w:val="-15"/>
          <w:vertAlign w:val="baseline"/>
        </w:rPr>
        <w:t> </w:t>
      </w:r>
      <w:r>
        <w:rPr>
          <w:color w:val="231F20"/>
          <w:vertAlign w:val="baseline"/>
        </w:rPr>
        <w:t>cria</w:t>
      </w:r>
      <w:r>
        <w:rPr>
          <w:color w:val="231F20"/>
          <w:spacing w:val="-15"/>
          <w:vertAlign w:val="baseline"/>
        </w:rPr>
        <w:t> </w:t>
      </w:r>
      <w:r>
        <w:rPr>
          <w:color w:val="231F20"/>
          <w:vertAlign w:val="baseline"/>
        </w:rPr>
        <w:t>:</w:t>
      </w:r>
      <w:r>
        <w:rPr>
          <w:color w:val="231F20"/>
          <w:spacing w:val="-15"/>
          <w:vertAlign w:val="baseline"/>
        </w:rPr>
        <w:t> </w:t>
      </w:r>
      <w:r>
        <w:rPr>
          <w:color w:val="231F20"/>
          <w:vertAlign w:val="baseline"/>
        </w:rPr>
        <w:t>«</w:t>
      </w:r>
      <w:r>
        <w:rPr>
          <w:color w:val="231F20"/>
          <w:spacing w:val="-15"/>
          <w:vertAlign w:val="baseline"/>
        </w:rPr>
        <w:t> </w:t>
      </w:r>
      <w:r>
        <w:rPr>
          <w:color w:val="231F20"/>
          <w:vertAlign w:val="baseline"/>
        </w:rPr>
        <w:t>ça</w:t>
      </w:r>
      <w:r>
        <w:rPr>
          <w:color w:val="231F20"/>
          <w:spacing w:val="-15"/>
          <w:vertAlign w:val="baseline"/>
        </w:rPr>
        <w:t> </w:t>
      </w:r>
      <w:r>
        <w:rPr>
          <w:color w:val="231F20"/>
          <w:vertAlign w:val="baseline"/>
        </w:rPr>
        <w:t>pue</w:t>
      </w:r>
      <w:r>
        <w:rPr>
          <w:color w:val="231F20"/>
          <w:spacing w:val="-15"/>
          <w:vertAlign w:val="baseline"/>
        </w:rPr>
        <w:t> </w:t>
      </w:r>
      <w:r>
        <w:rPr>
          <w:color w:val="231F20"/>
          <w:vertAlign w:val="baseline"/>
        </w:rPr>
        <w:t>le</w:t>
      </w:r>
      <w:r>
        <w:rPr>
          <w:color w:val="231F20"/>
          <w:spacing w:val="-15"/>
          <w:vertAlign w:val="baseline"/>
        </w:rPr>
        <w:t> </w:t>
      </w:r>
      <w:r>
        <w:rPr>
          <w:color w:val="231F20"/>
          <w:vertAlign w:val="baseline"/>
        </w:rPr>
        <w:t>nègre</w:t>
      </w:r>
      <w:r>
        <w:rPr>
          <w:color w:val="231F20"/>
          <w:spacing w:val="-15"/>
          <w:vertAlign w:val="baseline"/>
        </w:rPr>
        <w:t> </w:t>
      </w:r>
      <w:r>
        <w:rPr>
          <w:color w:val="231F20"/>
          <w:vertAlign w:val="baseline"/>
        </w:rPr>
        <w:t>par</w:t>
      </w:r>
      <w:r>
        <w:rPr>
          <w:color w:val="231F20"/>
          <w:spacing w:val="-15"/>
          <w:vertAlign w:val="baseline"/>
        </w:rPr>
        <w:t> </w:t>
      </w:r>
      <w:r>
        <w:rPr>
          <w:color w:val="231F20"/>
          <w:vertAlign w:val="baseline"/>
        </w:rPr>
        <w:t>ici</w:t>
      </w:r>
      <w:r>
        <w:rPr>
          <w:color w:val="231F20"/>
          <w:spacing w:val="-15"/>
          <w:vertAlign w:val="baseline"/>
        </w:rPr>
        <w:t> </w:t>
      </w:r>
      <w:r>
        <w:rPr>
          <w:color w:val="231F20"/>
          <w:vertAlign w:val="baseline"/>
        </w:rPr>
        <w:t>»</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aussitôt,</w:t>
      </w:r>
      <w:r>
        <w:rPr>
          <w:color w:val="231F20"/>
          <w:spacing w:val="-15"/>
          <w:vertAlign w:val="baseline"/>
        </w:rPr>
        <w:t> </w:t>
      </w:r>
      <w:r>
        <w:rPr>
          <w:color w:val="231F20"/>
          <w:vertAlign w:val="baseline"/>
        </w:rPr>
        <w:t>quatre</w:t>
      </w:r>
      <w:r>
        <w:rPr>
          <w:color w:val="231F20"/>
          <w:spacing w:val="-15"/>
          <w:vertAlign w:val="baseline"/>
        </w:rPr>
        <w:t> </w:t>
      </w:r>
      <w:r>
        <w:rPr>
          <w:color w:val="231F20"/>
          <w:vertAlign w:val="baseline"/>
        </w:rPr>
        <w:t>individus</w:t>
      </w:r>
      <w:r>
        <w:rPr>
          <w:color w:val="231F20"/>
          <w:spacing w:val="-15"/>
          <w:vertAlign w:val="baseline"/>
        </w:rPr>
        <w:t> </w:t>
      </w:r>
      <w:r>
        <w:rPr>
          <w:color w:val="231F20"/>
          <w:vertAlign w:val="baseline"/>
        </w:rPr>
        <w:t>se mirent</w:t>
      </w:r>
      <w:r>
        <w:rPr>
          <w:color w:val="231F20"/>
          <w:spacing w:val="-7"/>
          <w:vertAlign w:val="baseline"/>
        </w:rPr>
        <w:t> </w:t>
      </w:r>
      <w:r>
        <w:rPr>
          <w:color w:val="231F20"/>
          <w:vertAlign w:val="baseline"/>
        </w:rPr>
        <w:t>à</w:t>
      </w:r>
      <w:r>
        <w:rPr>
          <w:color w:val="231F20"/>
          <w:spacing w:val="-7"/>
          <w:vertAlign w:val="baseline"/>
        </w:rPr>
        <w:t> </w:t>
      </w:r>
      <w:r>
        <w:rPr>
          <w:color w:val="231F20"/>
          <w:vertAlign w:val="baseline"/>
        </w:rPr>
        <w:t>avancer</w:t>
      </w:r>
      <w:r>
        <w:rPr>
          <w:color w:val="231F20"/>
          <w:spacing w:val="-7"/>
          <w:vertAlign w:val="baseline"/>
        </w:rPr>
        <w:t> </w:t>
      </w:r>
      <w:r>
        <w:rPr>
          <w:color w:val="231F20"/>
          <w:vertAlign w:val="baseline"/>
        </w:rPr>
        <w:t>dans</w:t>
      </w:r>
      <w:r>
        <w:rPr>
          <w:color w:val="231F20"/>
          <w:spacing w:val="-7"/>
          <w:vertAlign w:val="baseline"/>
        </w:rPr>
        <w:t> </w:t>
      </w:r>
      <w:r>
        <w:rPr>
          <w:color w:val="231F20"/>
          <w:vertAlign w:val="baseline"/>
        </w:rPr>
        <w:t>ma</w:t>
      </w:r>
      <w:r>
        <w:rPr>
          <w:color w:val="231F20"/>
          <w:spacing w:val="-9"/>
          <w:vertAlign w:val="baseline"/>
        </w:rPr>
        <w:t> </w:t>
      </w:r>
      <w:r>
        <w:rPr>
          <w:color w:val="231F20"/>
          <w:vertAlign w:val="baseline"/>
        </w:rPr>
        <w:t>direction.</w:t>
      </w:r>
      <w:r>
        <w:rPr>
          <w:color w:val="231F20"/>
          <w:spacing w:val="-8"/>
          <w:vertAlign w:val="baseline"/>
        </w:rPr>
        <w:t> </w:t>
      </w:r>
      <w:r>
        <w:rPr>
          <w:color w:val="231F20"/>
          <w:vertAlign w:val="baseline"/>
        </w:rPr>
        <w:t>Les</w:t>
      </w:r>
      <w:r>
        <w:rPr>
          <w:color w:val="231F20"/>
          <w:spacing w:val="-7"/>
          <w:vertAlign w:val="baseline"/>
        </w:rPr>
        <w:t> </w:t>
      </w:r>
      <w:r>
        <w:rPr>
          <w:color w:val="231F20"/>
          <w:vertAlign w:val="baseline"/>
        </w:rPr>
        <w:t>camarades</w:t>
      </w:r>
      <w:r>
        <w:rPr>
          <w:color w:val="231F20"/>
          <w:spacing w:val="-8"/>
          <w:vertAlign w:val="baseline"/>
        </w:rPr>
        <w:t> </w:t>
      </w:r>
      <w:r>
        <w:rPr>
          <w:color w:val="231F20"/>
          <w:vertAlign w:val="baseline"/>
        </w:rPr>
        <w:t>Français</w:t>
      </w:r>
      <w:r>
        <w:rPr>
          <w:color w:val="231F20"/>
          <w:spacing w:val="-7"/>
          <w:vertAlign w:val="baseline"/>
        </w:rPr>
        <w:t> </w:t>
      </w:r>
      <w:r>
        <w:rPr>
          <w:color w:val="231F20"/>
          <w:vertAlign w:val="baseline"/>
        </w:rPr>
        <w:t>qui</w:t>
      </w:r>
      <w:r>
        <w:rPr>
          <w:color w:val="231F20"/>
          <w:spacing w:val="-7"/>
          <w:vertAlign w:val="baseline"/>
        </w:rPr>
        <w:t> </w:t>
      </w:r>
      <w:r>
        <w:rPr>
          <w:color w:val="231F20"/>
          <w:vertAlign w:val="baseline"/>
        </w:rPr>
        <w:t>étaient avec moi, ont alors murmuré</w:t>
      </w:r>
      <w:r>
        <w:rPr>
          <w:color w:val="231F20"/>
          <w:spacing w:val="-11"/>
          <w:vertAlign w:val="baseline"/>
        </w:rPr>
        <w:t> </w:t>
      </w:r>
      <w:r>
        <w:rPr>
          <w:color w:val="231F20"/>
          <w:vertAlign w:val="baseline"/>
        </w:rPr>
        <w:t>:</w:t>
      </w:r>
      <w:r>
        <w:rPr>
          <w:color w:val="231F20"/>
          <w:spacing w:val="-12"/>
          <w:vertAlign w:val="baseline"/>
        </w:rPr>
        <w:t> </w:t>
      </w:r>
      <w:r>
        <w:rPr>
          <w:color w:val="231F20"/>
          <w:vertAlign w:val="baseline"/>
        </w:rPr>
        <w:t>«</w:t>
      </w:r>
      <w:r>
        <w:rPr>
          <w:color w:val="231F20"/>
          <w:spacing w:val="-11"/>
          <w:vertAlign w:val="baseline"/>
        </w:rPr>
        <w:t> </w:t>
      </w:r>
      <w:r>
        <w:rPr>
          <w:color w:val="231F20"/>
          <w:vertAlign w:val="baseline"/>
        </w:rPr>
        <w:t>sortons vite</w:t>
      </w:r>
      <w:r>
        <w:rPr>
          <w:color w:val="231F20"/>
          <w:spacing w:val="-13"/>
          <w:vertAlign w:val="baseline"/>
        </w:rPr>
        <w:t> </w:t>
      </w:r>
      <w:r>
        <w:rPr>
          <w:color w:val="231F20"/>
          <w:vertAlign w:val="baseline"/>
        </w:rPr>
        <w:t>». Nous venions de rencontrer</w:t>
      </w:r>
      <w:r>
        <w:rPr>
          <w:color w:val="231F20"/>
          <w:spacing w:val="-7"/>
          <w:vertAlign w:val="baseline"/>
        </w:rPr>
        <w:t> </w:t>
      </w:r>
      <w:r>
        <w:rPr>
          <w:color w:val="231F20"/>
          <w:vertAlign w:val="baseline"/>
        </w:rPr>
        <w:t>dans</w:t>
      </w:r>
      <w:r>
        <w:rPr>
          <w:color w:val="231F20"/>
          <w:spacing w:val="-7"/>
          <w:vertAlign w:val="baseline"/>
        </w:rPr>
        <w:t> </w:t>
      </w:r>
      <w:r>
        <w:rPr>
          <w:color w:val="231F20"/>
          <w:vertAlign w:val="baseline"/>
        </w:rPr>
        <w:t>ce</w:t>
      </w:r>
      <w:r>
        <w:rPr>
          <w:color w:val="231F20"/>
          <w:spacing w:val="-7"/>
          <w:vertAlign w:val="baseline"/>
        </w:rPr>
        <w:t> </w:t>
      </w:r>
      <w:r>
        <w:rPr>
          <w:color w:val="231F20"/>
          <w:vertAlign w:val="baseline"/>
        </w:rPr>
        <w:t>café,</w:t>
      </w:r>
      <w:r>
        <w:rPr>
          <w:color w:val="231F20"/>
          <w:spacing w:val="-7"/>
          <w:vertAlign w:val="baseline"/>
        </w:rPr>
        <w:t> </w:t>
      </w:r>
      <w:r>
        <w:rPr>
          <w:color w:val="231F20"/>
          <w:vertAlign w:val="baseline"/>
        </w:rPr>
        <w:t>des</w:t>
      </w:r>
      <w:r>
        <w:rPr>
          <w:color w:val="231F20"/>
          <w:spacing w:val="-7"/>
          <w:vertAlign w:val="baseline"/>
        </w:rPr>
        <w:t> </w:t>
      </w:r>
      <w:r>
        <w:rPr>
          <w:color w:val="231F20"/>
          <w:vertAlign w:val="baseline"/>
        </w:rPr>
        <w:t>marginaux…</w:t>
      </w:r>
      <w:r>
        <w:rPr>
          <w:color w:val="231F20"/>
          <w:spacing w:val="-9"/>
          <w:vertAlign w:val="baseline"/>
        </w:rPr>
        <w:t> </w:t>
      </w:r>
      <w:r>
        <w:rPr>
          <w:color w:val="231F20"/>
          <w:vertAlign w:val="baseline"/>
        </w:rPr>
        <w:t>certainement,</w:t>
      </w:r>
      <w:r>
        <w:rPr>
          <w:color w:val="231F20"/>
          <w:spacing w:val="-9"/>
          <w:vertAlign w:val="baseline"/>
        </w:rPr>
        <w:t> </w:t>
      </w:r>
      <w:r>
        <w:rPr>
          <w:color w:val="231F20"/>
          <w:vertAlign w:val="baseline"/>
        </w:rPr>
        <w:t>des</w:t>
      </w:r>
      <w:r>
        <w:rPr>
          <w:color w:val="231F20"/>
          <w:spacing w:val="-9"/>
          <w:vertAlign w:val="baseline"/>
        </w:rPr>
        <w:t> </w:t>
      </w:r>
      <w:r>
        <w:rPr>
          <w:color w:val="231F20"/>
          <w:vertAlign w:val="baseline"/>
        </w:rPr>
        <w:t>ignorants.</w:t>
      </w:r>
    </w:p>
    <w:p>
      <w:pPr>
        <w:pStyle w:val="BodyText"/>
        <w:spacing w:before="121"/>
        <w:ind w:right="101" w:firstLine="283"/>
      </w:pPr>
      <w:r>
        <w:rPr>
          <w:color w:val="231F20"/>
        </w:rPr>
        <w:t>Autre anecdote, toujours à Eastbourne. Une fois par semaine, </w:t>
      </w:r>
      <w:r>
        <w:rPr>
          <w:color w:val="231F20"/>
          <w:spacing w:val="-2"/>
        </w:rPr>
        <w:t>généralement</w:t>
      </w:r>
      <w:r>
        <w:rPr>
          <w:color w:val="231F20"/>
          <w:spacing w:val="-13"/>
        </w:rPr>
        <w:t> </w:t>
      </w:r>
      <w:r>
        <w:rPr>
          <w:color w:val="231F20"/>
          <w:spacing w:val="-2"/>
        </w:rPr>
        <w:t>le</w:t>
      </w:r>
      <w:r>
        <w:rPr>
          <w:color w:val="231F20"/>
          <w:spacing w:val="-13"/>
        </w:rPr>
        <w:t> </w:t>
      </w:r>
      <w:r>
        <w:rPr>
          <w:color w:val="231F20"/>
          <w:spacing w:val="-2"/>
        </w:rPr>
        <w:t>samedi,</w:t>
      </w:r>
      <w:r>
        <w:rPr>
          <w:color w:val="231F20"/>
          <w:spacing w:val="-13"/>
        </w:rPr>
        <w:t> </w:t>
      </w:r>
      <w:r>
        <w:rPr>
          <w:color w:val="231F20"/>
          <w:spacing w:val="-2"/>
        </w:rPr>
        <w:t>je</w:t>
      </w:r>
      <w:r>
        <w:rPr>
          <w:color w:val="231F20"/>
          <w:spacing w:val="-13"/>
        </w:rPr>
        <w:t> </w:t>
      </w:r>
      <w:r>
        <w:rPr>
          <w:color w:val="231F20"/>
          <w:spacing w:val="-2"/>
        </w:rPr>
        <w:t>téléphone</w:t>
      </w:r>
      <w:r>
        <w:rPr>
          <w:color w:val="231F20"/>
          <w:spacing w:val="-13"/>
        </w:rPr>
        <w:t> </w:t>
      </w:r>
      <w:r>
        <w:rPr>
          <w:color w:val="231F20"/>
          <w:spacing w:val="-2"/>
        </w:rPr>
        <w:t>à</w:t>
      </w:r>
      <w:r>
        <w:rPr>
          <w:color w:val="231F20"/>
          <w:spacing w:val="-13"/>
        </w:rPr>
        <w:t> </w:t>
      </w:r>
      <w:r>
        <w:rPr>
          <w:color w:val="231F20"/>
          <w:spacing w:val="-2"/>
        </w:rPr>
        <w:t>mes</w:t>
      </w:r>
      <w:r>
        <w:rPr>
          <w:color w:val="231F20"/>
          <w:spacing w:val="-13"/>
        </w:rPr>
        <w:t> </w:t>
      </w:r>
      <w:r>
        <w:rPr>
          <w:color w:val="231F20"/>
          <w:spacing w:val="-2"/>
        </w:rPr>
        <w:t>parents</w:t>
      </w:r>
      <w:r>
        <w:rPr>
          <w:color w:val="231F20"/>
          <w:spacing w:val="-13"/>
        </w:rPr>
        <w:t> </w:t>
      </w:r>
      <w:r>
        <w:rPr>
          <w:color w:val="231F20"/>
          <w:spacing w:val="-2"/>
        </w:rPr>
        <w:t>et</w:t>
      </w:r>
      <w:r>
        <w:rPr>
          <w:color w:val="231F20"/>
          <w:spacing w:val="-13"/>
        </w:rPr>
        <w:t> </w:t>
      </w:r>
      <w:r>
        <w:rPr>
          <w:color w:val="231F20"/>
          <w:spacing w:val="-2"/>
        </w:rPr>
        <w:t>amis</w:t>
      </w:r>
      <w:r>
        <w:rPr>
          <w:color w:val="231F20"/>
          <w:spacing w:val="-12"/>
        </w:rPr>
        <w:t> </w:t>
      </w:r>
      <w:r>
        <w:rPr>
          <w:color w:val="231F20"/>
          <w:spacing w:val="-2"/>
        </w:rPr>
        <w:t>à</w:t>
      </w:r>
      <w:r>
        <w:rPr>
          <w:color w:val="231F20"/>
          <w:spacing w:val="-11"/>
        </w:rPr>
        <w:t> </w:t>
      </w:r>
      <w:r>
        <w:rPr>
          <w:color w:val="231F20"/>
          <w:spacing w:val="-2"/>
        </w:rPr>
        <w:t>Abidjan.</w:t>
      </w:r>
      <w:r>
        <w:rPr>
          <w:color w:val="231F20"/>
          <w:spacing w:val="-13"/>
        </w:rPr>
        <w:t> </w:t>
      </w:r>
      <w:r>
        <w:rPr>
          <w:color w:val="231F20"/>
          <w:spacing w:val="-2"/>
        </w:rPr>
        <w:t>Ce </w:t>
      </w:r>
      <w:r>
        <w:rPr>
          <w:color w:val="231F20"/>
        </w:rPr>
        <w:t>samedi,</w:t>
      </w:r>
      <w:r>
        <w:rPr>
          <w:color w:val="231F20"/>
          <w:spacing w:val="-7"/>
        </w:rPr>
        <w:t> </w:t>
      </w:r>
      <w:r>
        <w:rPr>
          <w:color w:val="231F20"/>
        </w:rPr>
        <w:t>au</w:t>
      </w:r>
      <w:r>
        <w:rPr>
          <w:color w:val="231F20"/>
          <w:spacing w:val="-7"/>
        </w:rPr>
        <w:t> </w:t>
      </w:r>
      <w:r>
        <w:rPr>
          <w:color w:val="231F20"/>
        </w:rPr>
        <w:t>moment</w:t>
      </w:r>
      <w:r>
        <w:rPr>
          <w:color w:val="231F20"/>
          <w:spacing w:val="-6"/>
        </w:rPr>
        <w:t> </w:t>
      </w:r>
      <w:r>
        <w:rPr>
          <w:color w:val="231F20"/>
        </w:rPr>
        <w:t>où</w:t>
      </w:r>
      <w:r>
        <w:rPr>
          <w:color w:val="231F20"/>
          <w:spacing w:val="-7"/>
        </w:rPr>
        <w:t> </w:t>
      </w:r>
      <w:r>
        <w:rPr>
          <w:color w:val="231F20"/>
        </w:rPr>
        <w:t>je</w:t>
      </w:r>
      <w:r>
        <w:rPr>
          <w:color w:val="231F20"/>
          <w:spacing w:val="-9"/>
        </w:rPr>
        <w:t> </w:t>
      </w:r>
      <w:r>
        <w:rPr>
          <w:color w:val="231F20"/>
        </w:rPr>
        <w:t>m’apprête</w:t>
      </w:r>
      <w:r>
        <w:rPr>
          <w:color w:val="231F20"/>
          <w:spacing w:val="-5"/>
        </w:rPr>
        <w:t> </w:t>
      </w:r>
      <w:r>
        <w:rPr>
          <w:color w:val="231F20"/>
        </w:rPr>
        <w:t>à</w:t>
      </w:r>
      <w:r>
        <w:rPr>
          <w:color w:val="231F20"/>
          <w:spacing w:val="-8"/>
        </w:rPr>
        <w:t> </w:t>
      </w:r>
      <w:r>
        <w:rPr>
          <w:color w:val="231F20"/>
        </w:rPr>
        <w:t>sortir</w:t>
      </w:r>
      <w:r>
        <w:rPr>
          <w:color w:val="231F20"/>
          <w:spacing w:val="-8"/>
        </w:rPr>
        <w:t> </w:t>
      </w:r>
      <w:r>
        <w:rPr>
          <w:color w:val="231F20"/>
        </w:rPr>
        <w:t>de</w:t>
      </w:r>
      <w:r>
        <w:rPr>
          <w:color w:val="231F20"/>
          <w:spacing w:val="-7"/>
        </w:rPr>
        <w:t> </w:t>
      </w:r>
      <w:r>
        <w:rPr>
          <w:color w:val="231F20"/>
        </w:rPr>
        <w:t>la</w:t>
      </w:r>
      <w:r>
        <w:rPr>
          <w:color w:val="231F20"/>
          <w:spacing w:val="-7"/>
        </w:rPr>
        <w:t> </w:t>
      </w:r>
      <w:r>
        <w:rPr>
          <w:color w:val="231F20"/>
        </w:rPr>
        <w:t>maison</w:t>
      </w:r>
      <w:r>
        <w:rPr>
          <w:color w:val="231F20"/>
          <w:spacing w:val="-7"/>
        </w:rPr>
        <w:t> </w:t>
      </w:r>
      <w:r>
        <w:rPr>
          <w:color w:val="231F20"/>
        </w:rPr>
        <w:t>pour</w:t>
      </w:r>
      <w:r>
        <w:rPr>
          <w:color w:val="231F20"/>
          <w:spacing w:val="-8"/>
        </w:rPr>
        <w:t> </w:t>
      </w:r>
      <w:r>
        <w:rPr>
          <w:color w:val="231F20"/>
        </w:rPr>
        <w:t>la</w:t>
      </w:r>
      <w:r>
        <w:rPr>
          <w:color w:val="231F20"/>
          <w:spacing w:val="-7"/>
        </w:rPr>
        <w:t> </w:t>
      </w:r>
      <w:r>
        <w:rPr>
          <w:color w:val="231F20"/>
        </w:rPr>
        <w:t>cabine </w:t>
      </w:r>
      <w:r>
        <w:rPr>
          <w:color w:val="231F20"/>
          <w:spacing w:val="-2"/>
        </w:rPr>
        <w:t>téléphonique</w:t>
      </w:r>
      <w:r>
        <w:rPr>
          <w:color w:val="231F20"/>
          <w:spacing w:val="-15"/>
        </w:rPr>
        <w:t> </w:t>
      </w:r>
      <w:r>
        <w:rPr>
          <w:color w:val="231F20"/>
          <w:spacing w:val="-2"/>
        </w:rPr>
        <w:t>distante</w:t>
      </w:r>
      <w:r>
        <w:rPr>
          <w:color w:val="231F20"/>
          <w:spacing w:val="-13"/>
        </w:rPr>
        <w:t> </w:t>
      </w:r>
      <w:r>
        <w:rPr>
          <w:color w:val="231F20"/>
          <w:spacing w:val="-2"/>
        </w:rPr>
        <w:t>de</w:t>
      </w:r>
      <w:r>
        <w:rPr>
          <w:color w:val="231F20"/>
          <w:spacing w:val="-13"/>
        </w:rPr>
        <w:t> </w:t>
      </w:r>
      <w:r>
        <w:rPr>
          <w:color w:val="231F20"/>
          <w:spacing w:val="-2"/>
        </w:rPr>
        <w:t>quelques</w:t>
      </w:r>
      <w:r>
        <w:rPr>
          <w:color w:val="231F20"/>
          <w:spacing w:val="-13"/>
        </w:rPr>
        <w:t> </w:t>
      </w:r>
      <w:r>
        <w:rPr>
          <w:color w:val="231F20"/>
          <w:spacing w:val="-2"/>
        </w:rPr>
        <w:t>200m,</w:t>
      </w:r>
      <w:r>
        <w:rPr>
          <w:color w:val="231F20"/>
          <w:spacing w:val="-13"/>
        </w:rPr>
        <w:t> </w:t>
      </w:r>
      <w:r>
        <w:rPr>
          <w:color w:val="231F20"/>
          <w:spacing w:val="-2"/>
        </w:rPr>
        <w:t>ma</w:t>
      </w:r>
      <w:r>
        <w:rPr>
          <w:color w:val="231F20"/>
          <w:spacing w:val="-13"/>
        </w:rPr>
        <w:t> </w:t>
      </w:r>
      <w:r>
        <w:rPr>
          <w:color w:val="231F20"/>
          <w:spacing w:val="-2"/>
        </w:rPr>
        <w:t>logeuse,</w:t>
      </w:r>
      <w:r>
        <w:rPr>
          <w:color w:val="231F20"/>
          <w:spacing w:val="-13"/>
        </w:rPr>
        <w:t> </w:t>
      </w:r>
      <w:r>
        <w:rPr>
          <w:color w:val="231F20"/>
          <w:spacing w:val="-2"/>
        </w:rPr>
        <w:t>m’invite</w:t>
      </w:r>
      <w:r>
        <w:rPr>
          <w:color w:val="231F20"/>
          <w:spacing w:val="-13"/>
        </w:rPr>
        <w:t> </w:t>
      </w:r>
      <w:r>
        <w:rPr>
          <w:color w:val="231F20"/>
          <w:spacing w:val="-2"/>
        </w:rPr>
        <w:t>à</w:t>
      </w:r>
      <w:r>
        <w:rPr>
          <w:color w:val="231F20"/>
          <w:spacing w:val="-13"/>
        </w:rPr>
        <w:t> </w:t>
      </w:r>
      <w:r>
        <w:rPr>
          <w:color w:val="231F20"/>
          <w:spacing w:val="-2"/>
        </w:rPr>
        <w:t>utiliser</w:t>
      </w:r>
      <w:r>
        <w:rPr>
          <w:color w:val="231F20"/>
          <w:spacing w:val="-13"/>
        </w:rPr>
        <w:t> </w:t>
      </w:r>
      <w:r>
        <w:rPr>
          <w:color w:val="231F20"/>
          <w:spacing w:val="-2"/>
        </w:rPr>
        <w:t>à ma</w:t>
      </w:r>
      <w:r>
        <w:rPr>
          <w:color w:val="231F20"/>
          <w:spacing w:val="-7"/>
        </w:rPr>
        <w:t> </w:t>
      </w:r>
      <w:r>
        <w:rPr>
          <w:color w:val="231F20"/>
          <w:spacing w:val="-2"/>
        </w:rPr>
        <w:t>grande</w:t>
      </w:r>
      <w:r>
        <w:rPr>
          <w:color w:val="231F20"/>
          <w:spacing w:val="-7"/>
        </w:rPr>
        <w:t> </w:t>
      </w:r>
      <w:r>
        <w:rPr>
          <w:color w:val="231F20"/>
          <w:spacing w:val="-2"/>
        </w:rPr>
        <w:t>surprise,</w:t>
      </w:r>
      <w:r>
        <w:rPr>
          <w:color w:val="231F20"/>
          <w:spacing w:val="-10"/>
        </w:rPr>
        <w:t> </w:t>
      </w:r>
      <w:r>
        <w:rPr>
          <w:color w:val="231F20"/>
          <w:spacing w:val="-2"/>
        </w:rPr>
        <w:t>le</w:t>
      </w:r>
      <w:r>
        <w:rPr>
          <w:color w:val="231F20"/>
          <w:spacing w:val="-10"/>
        </w:rPr>
        <w:t> </w:t>
      </w:r>
      <w:r>
        <w:rPr>
          <w:color w:val="231F20"/>
          <w:spacing w:val="-2"/>
        </w:rPr>
        <w:t>téléphone</w:t>
      </w:r>
      <w:r>
        <w:rPr>
          <w:color w:val="231F20"/>
          <w:spacing w:val="-10"/>
        </w:rPr>
        <w:t> </w:t>
      </w:r>
      <w:r>
        <w:rPr>
          <w:color w:val="231F20"/>
          <w:spacing w:val="-2"/>
        </w:rPr>
        <w:t>de</w:t>
      </w:r>
      <w:r>
        <w:rPr>
          <w:color w:val="231F20"/>
          <w:spacing w:val="-11"/>
        </w:rPr>
        <w:t> </w:t>
      </w:r>
      <w:r>
        <w:rPr>
          <w:color w:val="231F20"/>
          <w:spacing w:val="-2"/>
        </w:rPr>
        <w:t>la</w:t>
      </w:r>
      <w:r>
        <w:rPr>
          <w:color w:val="231F20"/>
          <w:spacing w:val="-10"/>
        </w:rPr>
        <w:t> </w:t>
      </w:r>
      <w:r>
        <w:rPr>
          <w:color w:val="231F20"/>
          <w:spacing w:val="-2"/>
        </w:rPr>
        <w:t>maison</w:t>
      </w:r>
      <w:r>
        <w:rPr>
          <w:color w:val="231F20"/>
          <w:spacing w:val="-7"/>
        </w:rPr>
        <w:t> </w:t>
      </w:r>
      <w:r>
        <w:rPr>
          <w:color w:val="231F20"/>
          <w:spacing w:val="-2"/>
        </w:rPr>
        <w:t>à</w:t>
      </w:r>
      <w:r>
        <w:rPr>
          <w:color w:val="231F20"/>
          <w:spacing w:val="-10"/>
        </w:rPr>
        <w:t> </w:t>
      </w:r>
      <w:r>
        <w:rPr>
          <w:color w:val="231F20"/>
          <w:spacing w:val="-2"/>
        </w:rPr>
        <w:t>cause</w:t>
      </w:r>
      <w:r>
        <w:rPr>
          <w:color w:val="231F20"/>
          <w:spacing w:val="-7"/>
        </w:rPr>
        <w:t> </w:t>
      </w:r>
      <w:r>
        <w:rPr>
          <w:color w:val="231F20"/>
          <w:spacing w:val="-2"/>
        </w:rPr>
        <w:t>du</w:t>
      </w:r>
      <w:r>
        <w:rPr>
          <w:color w:val="231F20"/>
          <w:spacing w:val="-9"/>
        </w:rPr>
        <w:t> </w:t>
      </w:r>
      <w:r>
        <w:rPr>
          <w:color w:val="231F20"/>
          <w:spacing w:val="-2"/>
        </w:rPr>
        <w:t>mauvais</w:t>
      </w:r>
      <w:r>
        <w:rPr>
          <w:color w:val="231F20"/>
          <w:spacing w:val="-9"/>
        </w:rPr>
        <w:t> </w:t>
      </w:r>
      <w:r>
        <w:rPr>
          <w:color w:val="231F20"/>
          <w:spacing w:val="-2"/>
        </w:rPr>
        <w:t>temps. </w:t>
      </w:r>
      <w:r>
        <w:rPr>
          <w:color w:val="231F20"/>
        </w:rPr>
        <w:t>Je vis chez elle depuis deux mois… le temps est toujours le même</w:t>
      </w:r>
      <w:r>
        <w:rPr>
          <w:color w:val="231F20"/>
          <w:spacing w:val="-9"/>
        </w:rPr>
        <w:t> </w:t>
      </w:r>
      <w:r>
        <w:rPr>
          <w:color w:val="231F20"/>
        </w:rPr>
        <w:t>: maussade…</w:t>
      </w:r>
      <w:r>
        <w:rPr>
          <w:color w:val="231F20"/>
          <w:spacing w:val="-15"/>
        </w:rPr>
        <w:t> </w:t>
      </w:r>
      <w:r>
        <w:rPr>
          <w:color w:val="231F20"/>
        </w:rPr>
        <w:t>J’appelle</w:t>
      </w:r>
      <w:r>
        <w:rPr>
          <w:color w:val="231F20"/>
          <w:spacing w:val="-15"/>
        </w:rPr>
        <w:t> </w:t>
      </w:r>
      <w:r>
        <w:rPr>
          <w:color w:val="231F20"/>
        </w:rPr>
        <w:t>donc</w:t>
      </w:r>
      <w:r>
        <w:rPr>
          <w:color w:val="231F20"/>
          <w:spacing w:val="-13"/>
        </w:rPr>
        <w:t> </w:t>
      </w:r>
      <w:r>
        <w:rPr>
          <w:color w:val="231F20"/>
        </w:rPr>
        <w:t>de</w:t>
      </w:r>
      <w:r>
        <w:rPr>
          <w:color w:val="231F20"/>
          <w:spacing w:val="-14"/>
        </w:rPr>
        <w:t> </w:t>
      </w:r>
      <w:r>
        <w:rPr>
          <w:color w:val="231F20"/>
        </w:rPr>
        <w:t>chez</w:t>
      </w:r>
      <w:r>
        <w:rPr>
          <w:color w:val="231F20"/>
          <w:spacing w:val="-13"/>
        </w:rPr>
        <w:t> </w:t>
      </w:r>
      <w:r>
        <w:rPr>
          <w:color w:val="231F20"/>
        </w:rPr>
        <w:t>elle.</w:t>
      </w:r>
      <w:r>
        <w:rPr>
          <w:color w:val="231F20"/>
          <w:spacing w:val="-13"/>
        </w:rPr>
        <w:t> </w:t>
      </w:r>
      <w:r>
        <w:rPr>
          <w:color w:val="231F20"/>
        </w:rPr>
        <w:t>La</w:t>
      </w:r>
      <w:r>
        <w:rPr>
          <w:color w:val="231F20"/>
          <w:spacing w:val="-14"/>
        </w:rPr>
        <w:t> </w:t>
      </w:r>
      <w:r>
        <w:rPr>
          <w:color w:val="231F20"/>
        </w:rPr>
        <w:t>Dame</w:t>
      </w:r>
      <w:r>
        <w:rPr>
          <w:color w:val="231F20"/>
          <w:spacing w:val="-15"/>
        </w:rPr>
        <w:t> </w:t>
      </w:r>
      <w:r>
        <w:rPr>
          <w:color w:val="231F20"/>
        </w:rPr>
        <w:t>assise</w:t>
      </w:r>
      <w:r>
        <w:rPr>
          <w:color w:val="231F20"/>
          <w:spacing w:val="-13"/>
        </w:rPr>
        <w:t> </w:t>
      </w:r>
      <w:r>
        <w:rPr>
          <w:color w:val="231F20"/>
        </w:rPr>
        <w:t>en</w:t>
      </w:r>
      <w:r>
        <w:rPr>
          <w:color w:val="231F20"/>
          <w:spacing w:val="-13"/>
        </w:rPr>
        <w:t> </w:t>
      </w:r>
      <w:r>
        <w:rPr>
          <w:color w:val="231F20"/>
        </w:rPr>
        <w:t>face</w:t>
      </w:r>
      <w:r>
        <w:rPr>
          <w:color w:val="231F20"/>
          <w:spacing w:val="-13"/>
        </w:rPr>
        <w:t> </w:t>
      </w:r>
      <w:r>
        <w:rPr>
          <w:color w:val="231F20"/>
        </w:rPr>
        <w:t>de</w:t>
      </w:r>
      <w:r>
        <w:rPr>
          <w:color w:val="231F20"/>
          <w:spacing w:val="-14"/>
        </w:rPr>
        <w:t> </w:t>
      </w:r>
      <w:r>
        <w:rPr>
          <w:color w:val="231F20"/>
          <w:spacing w:val="-4"/>
        </w:rPr>
        <w:t>moi,</w:t>
      </w:r>
    </w:p>
    <w:p>
      <w:pPr>
        <w:pStyle w:val="BodyText"/>
        <w:spacing w:before="124"/>
        <w:ind w:left="0"/>
        <w:jc w:val="left"/>
        <w:rPr>
          <w:sz w:val="20"/>
        </w:rPr>
      </w:pPr>
      <w:r>
        <w:rPr/>
        <mc:AlternateContent>
          <mc:Choice Requires="wps">
            <w:drawing>
              <wp:anchor distT="0" distB="0" distL="0" distR="0" allowOverlap="1" layoutInCell="1" locked="0" behindDoc="1" simplePos="0" relativeHeight="487658496">
                <wp:simplePos x="0" y="0"/>
                <wp:positionH relativeFrom="page">
                  <wp:posOffset>629907</wp:posOffset>
                </wp:positionH>
                <wp:positionV relativeFrom="paragraph">
                  <wp:posOffset>240218</wp:posOffset>
                </wp:positionV>
                <wp:extent cx="1829435" cy="9525"/>
                <wp:effectExtent l="0" t="0" r="0" b="0"/>
                <wp:wrapTopAndBottom/>
                <wp:docPr id="170" name="Graphic 170"/>
                <wp:cNvGraphicFramePr>
                  <a:graphicFrameLocks/>
                </wp:cNvGraphicFramePr>
                <a:graphic>
                  <a:graphicData uri="http://schemas.microsoft.com/office/word/2010/wordprocessingShape">
                    <wps:wsp>
                      <wps:cNvPr id="170" name="Graphic 17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8.914845pt;width:144.020pt;height:.72pt;mso-position-horizontal-relative:page;mso-position-vertical-relative:paragraph;z-index:-15657984;mso-wrap-distance-left:0;mso-wrap-distance-right:0" id="docshape168"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226</w:t>
      </w:r>
      <w:r>
        <w:rPr>
          <w:color w:val="76787A"/>
          <w:spacing w:val="-19"/>
          <w:sz w:val="20"/>
          <w:vertAlign w:val="baseline"/>
        </w:rPr>
        <w:t> </w:t>
      </w:r>
      <w:r>
        <w:rPr>
          <w:color w:val="231F20"/>
          <w:spacing w:val="-2"/>
          <w:sz w:val="20"/>
          <w:vertAlign w:val="baseline"/>
        </w:rPr>
        <w:t>Night</w:t>
      </w:r>
      <w:r>
        <w:rPr>
          <w:color w:val="231F20"/>
          <w:spacing w:val="-11"/>
          <w:sz w:val="20"/>
          <w:vertAlign w:val="baseline"/>
        </w:rPr>
        <w:t> </w:t>
      </w:r>
      <w:r>
        <w:rPr>
          <w:color w:val="231F20"/>
          <w:spacing w:val="-2"/>
          <w:sz w:val="20"/>
          <w:vertAlign w:val="baseline"/>
        </w:rPr>
        <w:t>club,</w:t>
      </w:r>
      <w:r>
        <w:rPr>
          <w:color w:val="231F20"/>
          <w:spacing w:val="-10"/>
          <w:sz w:val="20"/>
          <w:vertAlign w:val="baseline"/>
        </w:rPr>
        <w:t> </w:t>
      </w:r>
      <w:r>
        <w:rPr>
          <w:color w:val="231F20"/>
          <w:spacing w:val="-2"/>
          <w:sz w:val="20"/>
          <w:vertAlign w:val="baseline"/>
        </w:rPr>
        <w:t>discothèque.</w:t>
      </w:r>
    </w:p>
    <w:p>
      <w:pPr>
        <w:spacing w:before="0"/>
        <w:ind w:left="111" w:right="0" w:firstLine="0"/>
        <w:jc w:val="left"/>
        <w:rPr>
          <w:sz w:val="20"/>
        </w:rPr>
      </w:pPr>
      <w:r>
        <w:rPr>
          <w:color w:val="76787A"/>
          <w:spacing w:val="-2"/>
          <w:sz w:val="20"/>
          <w:vertAlign w:val="superscript"/>
        </w:rPr>
        <w:t>227</w:t>
      </w:r>
      <w:r>
        <w:rPr>
          <w:color w:val="76787A"/>
          <w:spacing w:val="-19"/>
          <w:sz w:val="20"/>
          <w:vertAlign w:val="baseline"/>
        </w:rPr>
        <w:t> </w:t>
      </w:r>
      <w:r>
        <w:rPr>
          <w:color w:val="231F20"/>
          <w:spacing w:val="-2"/>
          <w:sz w:val="20"/>
          <w:vertAlign w:val="baseline"/>
        </w:rPr>
        <w:t>Bars</w:t>
      </w:r>
      <w:r>
        <w:rPr>
          <w:color w:val="231F20"/>
          <w:spacing w:val="-8"/>
          <w:sz w:val="20"/>
          <w:vertAlign w:val="baseline"/>
        </w:rPr>
        <w:t> </w:t>
      </w:r>
      <w:r>
        <w:rPr>
          <w:color w:val="231F20"/>
          <w:spacing w:val="-2"/>
          <w:sz w:val="20"/>
          <w:vertAlign w:val="baseline"/>
        </w:rPr>
        <w:t>anglais.</w:t>
      </w:r>
    </w:p>
    <w:p>
      <w:pPr>
        <w:spacing w:after="0"/>
        <w:jc w:val="left"/>
        <w:rPr>
          <w:sz w:val="20"/>
        </w:rPr>
        <w:sectPr>
          <w:pgSz w:w="8790" w:h="13610"/>
          <w:pgMar w:header="0" w:footer="802" w:top="1040" w:bottom="1000" w:left="880" w:right="880"/>
        </w:sectPr>
      </w:pPr>
    </w:p>
    <w:p>
      <w:pPr>
        <w:pStyle w:val="BodyText"/>
        <w:spacing w:before="66"/>
        <w:ind w:right="103"/>
      </w:pPr>
      <w:r>
        <w:rPr>
          <w:color w:val="231F20"/>
        </w:rPr>
        <w:t>son minuteur en main. Je discute pendant un quart d’heure avec mes </w:t>
      </w:r>
      <w:r>
        <w:rPr>
          <w:color w:val="231F20"/>
          <w:spacing w:val="-2"/>
        </w:rPr>
        <w:t>interlocuteurs.</w:t>
      </w:r>
      <w:r>
        <w:rPr>
          <w:color w:val="231F20"/>
          <w:spacing w:val="-15"/>
        </w:rPr>
        <w:t> </w:t>
      </w:r>
      <w:r>
        <w:rPr>
          <w:color w:val="231F20"/>
          <w:spacing w:val="-2"/>
        </w:rPr>
        <w:t>Le</w:t>
      </w:r>
      <w:r>
        <w:rPr>
          <w:color w:val="231F20"/>
          <w:spacing w:val="-13"/>
        </w:rPr>
        <w:t> </w:t>
      </w:r>
      <w:r>
        <w:rPr>
          <w:color w:val="231F20"/>
          <w:spacing w:val="-2"/>
        </w:rPr>
        <w:t>téléphone</w:t>
      </w:r>
      <w:r>
        <w:rPr>
          <w:color w:val="231F20"/>
          <w:spacing w:val="-13"/>
        </w:rPr>
        <w:t> </w:t>
      </w:r>
      <w:r>
        <w:rPr>
          <w:color w:val="231F20"/>
          <w:spacing w:val="-2"/>
        </w:rPr>
        <w:t>aussitôt</w:t>
      </w:r>
      <w:r>
        <w:rPr>
          <w:color w:val="231F20"/>
          <w:spacing w:val="-13"/>
        </w:rPr>
        <w:t> </w:t>
      </w:r>
      <w:r>
        <w:rPr>
          <w:color w:val="231F20"/>
          <w:spacing w:val="-2"/>
        </w:rPr>
        <w:t>raccroché,</w:t>
      </w:r>
      <w:r>
        <w:rPr>
          <w:color w:val="231F20"/>
          <w:spacing w:val="-13"/>
        </w:rPr>
        <w:t> </w:t>
      </w:r>
      <w:r>
        <w:rPr>
          <w:color w:val="231F20"/>
          <w:spacing w:val="-2"/>
        </w:rPr>
        <w:t>la</w:t>
      </w:r>
      <w:r>
        <w:rPr>
          <w:color w:val="231F20"/>
          <w:spacing w:val="-13"/>
        </w:rPr>
        <w:t> </w:t>
      </w:r>
      <w:r>
        <w:rPr>
          <w:color w:val="231F20"/>
          <w:spacing w:val="-2"/>
        </w:rPr>
        <w:t>dame</w:t>
      </w:r>
      <w:r>
        <w:rPr>
          <w:color w:val="231F20"/>
          <w:spacing w:val="-13"/>
        </w:rPr>
        <w:t> </w:t>
      </w:r>
      <w:r>
        <w:rPr>
          <w:color w:val="231F20"/>
          <w:spacing w:val="-2"/>
        </w:rPr>
        <w:t>me</w:t>
      </w:r>
      <w:r>
        <w:rPr>
          <w:color w:val="231F20"/>
          <w:spacing w:val="-13"/>
        </w:rPr>
        <w:t> </w:t>
      </w:r>
      <w:r>
        <w:rPr>
          <w:color w:val="231F20"/>
          <w:spacing w:val="-2"/>
        </w:rPr>
        <w:t>donne</w:t>
      </w:r>
      <w:r>
        <w:rPr>
          <w:color w:val="231F20"/>
          <w:spacing w:val="-13"/>
        </w:rPr>
        <w:t> </w:t>
      </w:r>
      <w:r>
        <w:rPr>
          <w:color w:val="231F20"/>
          <w:spacing w:val="-2"/>
        </w:rPr>
        <w:t>le</w:t>
      </w:r>
      <w:r>
        <w:rPr>
          <w:color w:val="231F20"/>
          <w:spacing w:val="-13"/>
        </w:rPr>
        <w:t> </w:t>
      </w:r>
      <w:r>
        <w:rPr>
          <w:color w:val="231F20"/>
          <w:spacing w:val="-2"/>
        </w:rPr>
        <w:t>coût à</w:t>
      </w:r>
      <w:r>
        <w:rPr>
          <w:color w:val="231F20"/>
          <w:spacing w:val="-9"/>
        </w:rPr>
        <w:t> </w:t>
      </w:r>
      <w:r>
        <w:rPr>
          <w:color w:val="231F20"/>
          <w:spacing w:val="-2"/>
        </w:rPr>
        <w:t>payer.</w:t>
      </w:r>
      <w:r>
        <w:rPr>
          <w:color w:val="231F20"/>
          <w:spacing w:val="-11"/>
        </w:rPr>
        <w:t> </w:t>
      </w:r>
      <w:r>
        <w:rPr>
          <w:color w:val="231F20"/>
          <w:spacing w:val="-2"/>
        </w:rPr>
        <w:t>La</w:t>
      </w:r>
      <w:r>
        <w:rPr>
          <w:color w:val="231F20"/>
          <w:spacing w:val="-9"/>
        </w:rPr>
        <w:t> </w:t>
      </w:r>
      <w:r>
        <w:rPr>
          <w:color w:val="231F20"/>
          <w:spacing w:val="-2"/>
        </w:rPr>
        <w:t>note</w:t>
      </w:r>
      <w:r>
        <w:rPr>
          <w:color w:val="231F20"/>
          <w:spacing w:val="-12"/>
        </w:rPr>
        <w:t> </w:t>
      </w:r>
      <w:r>
        <w:rPr>
          <w:color w:val="231F20"/>
          <w:spacing w:val="-2"/>
        </w:rPr>
        <w:t>est</w:t>
      </w:r>
      <w:r>
        <w:rPr>
          <w:color w:val="231F20"/>
          <w:spacing w:val="-10"/>
        </w:rPr>
        <w:t> </w:t>
      </w:r>
      <w:r>
        <w:rPr>
          <w:color w:val="231F20"/>
          <w:spacing w:val="-2"/>
        </w:rPr>
        <w:t>salée</w:t>
      </w:r>
      <w:r>
        <w:rPr>
          <w:color w:val="231F20"/>
          <w:spacing w:val="-11"/>
        </w:rPr>
        <w:t> </w:t>
      </w:r>
      <w:r>
        <w:rPr>
          <w:color w:val="231F20"/>
          <w:spacing w:val="-2"/>
        </w:rPr>
        <w:t>par</w:t>
      </w:r>
      <w:r>
        <w:rPr>
          <w:color w:val="231F20"/>
          <w:spacing w:val="-9"/>
        </w:rPr>
        <w:t> </w:t>
      </w:r>
      <w:r>
        <w:rPr>
          <w:color w:val="231F20"/>
          <w:spacing w:val="-2"/>
        </w:rPr>
        <w:t>rapport</w:t>
      </w:r>
      <w:r>
        <w:rPr>
          <w:color w:val="231F20"/>
          <w:spacing w:val="-8"/>
        </w:rPr>
        <w:t> </w:t>
      </w:r>
      <w:r>
        <w:rPr>
          <w:color w:val="231F20"/>
          <w:spacing w:val="-2"/>
        </w:rPr>
        <w:t>à</w:t>
      </w:r>
      <w:r>
        <w:rPr>
          <w:color w:val="231F20"/>
          <w:spacing w:val="-12"/>
        </w:rPr>
        <w:t> </w:t>
      </w:r>
      <w:r>
        <w:rPr>
          <w:color w:val="231F20"/>
          <w:spacing w:val="-2"/>
        </w:rPr>
        <w:t>la</w:t>
      </w:r>
      <w:r>
        <w:rPr>
          <w:color w:val="231F20"/>
          <w:spacing w:val="-12"/>
        </w:rPr>
        <w:t> </w:t>
      </w:r>
      <w:r>
        <w:rPr>
          <w:color w:val="231F20"/>
          <w:spacing w:val="-2"/>
        </w:rPr>
        <w:t>cabine</w:t>
      </w:r>
      <w:r>
        <w:rPr>
          <w:color w:val="231F20"/>
          <w:spacing w:val="-12"/>
        </w:rPr>
        <w:t> </w:t>
      </w:r>
      <w:r>
        <w:rPr>
          <w:color w:val="231F20"/>
          <w:spacing w:val="-2"/>
        </w:rPr>
        <w:t>mais</w:t>
      </w:r>
      <w:r>
        <w:rPr>
          <w:color w:val="231F20"/>
          <w:spacing w:val="-11"/>
        </w:rPr>
        <w:t> </w:t>
      </w:r>
      <w:r>
        <w:rPr>
          <w:color w:val="231F20"/>
          <w:spacing w:val="-2"/>
        </w:rPr>
        <w:t>je</w:t>
      </w:r>
      <w:r>
        <w:rPr>
          <w:color w:val="231F20"/>
          <w:spacing w:val="-11"/>
        </w:rPr>
        <w:t> </w:t>
      </w:r>
      <w:r>
        <w:rPr>
          <w:color w:val="231F20"/>
          <w:spacing w:val="-2"/>
        </w:rPr>
        <w:t>m’y</w:t>
      </w:r>
      <w:r>
        <w:rPr>
          <w:color w:val="231F20"/>
          <w:spacing w:val="-12"/>
        </w:rPr>
        <w:t> </w:t>
      </w:r>
      <w:r>
        <w:rPr>
          <w:color w:val="231F20"/>
          <w:spacing w:val="-2"/>
        </w:rPr>
        <w:t>attendais.</w:t>
      </w:r>
      <w:r>
        <w:rPr>
          <w:color w:val="231F20"/>
          <w:spacing w:val="-9"/>
        </w:rPr>
        <w:t> </w:t>
      </w:r>
      <w:r>
        <w:rPr>
          <w:color w:val="231F20"/>
          <w:spacing w:val="-2"/>
        </w:rPr>
        <w:t>Je </w:t>
      </w:r>
      <w:r>
        <w:rPr>
          <w:color w:val="231F20"/>
          <w:spacing w:val="-4"/>
        </w:rPr>
        <w:t>paie...illico presto.</w:t>
      </w:r>
      <w:r>
        <w:rPr>
          <w:color w:val="231F20"/>
          <w:spacing w:val="-9"/>
        </w:rPr>
        <w:t> </w:t>
      </w:r>
      <w:r>
        <w:rPr>
          <w:color w:val="231F20"/>
          <w:spacing w:val="-4"/>
        </w:rPr>
        <w:t>Alors,</w:t>
      </w:r>
      <w:r>
        <w:rPr>
          <w:color w:val="231F20"/>
          <w:spacing w:val="-11"/>
        </w:rPr>
        <w:t> </w:t>
      </w:r>
      <w:r>
        <w:rPr>
          <w:color w:val="231F20"/>
          <w:spacing w:val="-4"/>
        </w:rPr>
        <w:t>elle</w:t>
      </w:r>
      <w:r>
        <w:rPr>
          <w:color w:val="231F20"/>
          <w:spacing w:val="-11"/>
        </w:rPr>
        <w:t> </w:t>
      </w:r>
      <w:r>
        <w:rPr>
          <w:color w:val="231F20"/>
          <w:spacing w:val="-4"/>
        </w:rPr>
        <w:t>me</w:t>
      </w:r>
      <w:r>
        <w:rPr>
          <w:color w:val="231F20"/>
          <w:spacing w:val="-10"/>
        </w:rPr>
        <w:t> </w:t>
      </w:r>
      <w:r>
        <w:rPr>
          <w:color w:val="231F20"/>
          <w:spacing w:val="-4"/>
        </w:rPr>
        <w:t>demande :</w:t>
      </w:r>
      <w:r>
        <w:rPr>
          <w:color w:val="231F20"/>
          <w:spacing w:val="-11"/>
        </w:rPr>
        <w:t> </w:t>
      </w:r>
      <w:r>
        <w:rPr>
          <w:color w:val="231F20"/>
          <w:spacing w:val="-4"/>
        </w:rPr>
        <w:t>«</w:t>
      </w:r>
      <w:r>
        <w:rPr>
          <w:color w:val="231F20"/>
        </w:rPr>
        <w:t> </w:t>
      </w:r>
      <w:r>
        <w:rPr>
          <w:color w:val="231F20"/>
          <w:spacing w:val="-4"/>
        </w:rPr>
        <w:t>que</w:t>
      </w:r>
      <w:r>
        <w:rPr>
          <w:color w:val="231F20"/>
          <w:spacing w:val="-11"/>
        </w:rPr>
        <w:t> </w:t>
      </w:r>
      <w:r>
        <w:rPr>
          <w:color w:val="231F20"/>
          <w:spacing w:val="-4"/>
        </w:rPr>
        <w:t>font</w:t>
      </w:r>
      <w:r>
        <w:rPr>
          <w:color w:val="231F20"/>
          <w:spacing w:val="-11"/>
        </w:rPr>
        <w:t> </w:t>
      </w:r>
      <w:r>
        <w:rPr>
          <w:color w:val="231F20"/>
          <w:spacing w:val="-4"/>
        </w:rPr>
        <w:t>tes</w:t>
      </w:r>
      <w:r>
        <w:rPr>
          <w:color w:val="231F20"/>
          <w:spacing w:val="-11"/>
        </w:rPr>
        <w:t> </w:t>
      </w:r>
      <w:r>
        <w:rPr>
          <w:color w:val="231F20"/>
          <w:spacing w:val="-4"/>
        </w:rPr>
        <w:t>parents…</w:t>
      </w:r>
      <w:r>
        <w:rPr>
          <w:color w:val="231F20"/>
          <w:spacing w:val="-11"/>
        </w:rPr>
        <w:t> </w:t>
      </w:r>
      <w:r>
        <w:rPr>
          <w:color w:val="231F20"/>
          <w:spacing w:val="-4"/>
        </w:rPr>
        <w:t>leurs </w:t>
      </w:r>
      <w:r>
        <w:rPr>
          <w:color w:val="231F20"/>
        </w:rPr>
        <w:t>activités… qu’est-ce que tu fais dans la vie</w:t>
      </w:r>
      <w:r>
        <w:rPr>
          <w:color w:val="231F20"/>
          <w:spacing w:val="-12"/>
        </w:rPr>
        <w:t> </w:t>
      </w:r>
      <w:r>
        <w:rPr>
          <w:color w:val="231F20"/>
        </w:rPr>
        <w:t>?</w:t>
      </w:r>
      <w:r>
        <w:rPr>
          <w:color w:val="231F20"/>
          <w:spacing w:val="-14"/>
        </w:rPr>
        <w:t> </w:t>
      </w:r>
      <w:r>
        <w:rPr>
          <w:color w:val="231F20"/>
        </w:rPr>
        <w:t>» Je lui réponds que mes parents</w:t>
      </w:r>
      <w:r>
        <w:rPr>
          <w:color w:val="231F20"/>
          <w:spacing w:val="-12"/>
        </w:rPr>
        <w:t> </w:t>
      </w:r>
      <w:r>
        <w:rPr>
          <w:color w:val="231F20"/>
        </w:rPr>
        <w:t>sont</w:t>
      </w:r>
      <w:r>
        <w:rPr>
          <w:color w:val="231F20"/>
          <w:spacing w:val="-14"/>
        </w:rPr>
        <w:t> </w:t>
      </w:r>
      <w:r>
        <w:rPr>
          <w:color w:val="231F20"/>
        </w:rPr>
        <w:t>des</w:t>
      </w:r>
      <w:r>
        <w:rPr>
          <w:color w:val="231F20"/>
          <w:spacing w:val="-12"/>
        </w:rPr>
        <w:t> </w:t>
      </w:r>
      <w:r>
        <w:rPr>
          <w:color w:val="231F20"/>
        </w:rPr>
        <w:t>agriculteurs,</w:t>
      </w:r>
      <w:r>
        <w:rPr>
          <w:color w:val="231F20"/>
          <w:spacing w:val="-13"/>
        </w:rPr>
        <w:t> </w:t>
      </w:r>
      <w:r>
        <w:rPr>
          <w:color w:val="231F20"/>
        </w:rPr>
        <w:t>que</w:t>
      </w:r>
      <w:r>
        <w:rPr>
          <w:color w:val="231F20"/>
          <w:spacing w:val="-15"/>
        </w:rPr>
        <w:t> </w:t>
      </w:r>
      <w:r>
        <w:rPr>
          <w:color w:val="231F20"/>
        </w:rPr>
        <w:t>ma</w:t>
      </w:r>
      <w:r>
        <w:rPr>
          <w:color w:val="231F20"/>
          <w:spacing w:val="-14"/>
        </w:rPr>
        <w:t> </w:t>
      </w:r>
      <w:r>
        <w:rPr>
          <w:color w:val="231F20"/>
        </w:rPr>
        <w:t>mère</w:t>
      </w:r>
      <w:r>
        <w:rPr>
          <w:color w:val="231F20"/>
          <w:spacing w:val="-13"/>
        </w:rPr>
        <w:t> </w:t>
      </w:r>
      <w:r>
        <w:rPr>
          <w:color w:val="231F20"/>
        </w:rPr>
        <w:t>a</w:t>
      </w:r>
      <w:r>
        <w:rPr>
          <w:color w:val="231F20"/>
          <w:spacing w:val="-13"/>
        </w:rPr>
        <w:t> </w:t>
      </w:r>
      <w:r>
        <w:rPr>
          <w:color w:val="231F20"/>
        </w:rPr>
        <w:t>une</w:t>
      </w:r>
      <w:r>
        <w:rPr>
          <w:color w:val="231F20"/>
          <w:spacing w:val="-13"/>
        </w:rPr>
        <w:t> </w:t>
      </w:r>
      <w:r>
        <w:rPr>
          <w:color w:val="231F20"/>
        </w:rPr>
        <w:t>cacaoyère,</w:t>
      </w:r>
      <w:r>
        <w:rPr>
          <w:color w:val="231F20"/>
          <w:spacing w:val="-13"/>
        </w:rPr>
        <w:t> </w:t>
      </w:r>
      <w:r>
        <w:rPr>
          <w:color w:val="231F20"/>
        </w:rPr>
        <w:t>que</w:t>
      </w:r>
      <w:r>
        <w:rPr>
          <w:color w:val="231F20"/>
          <w:spacing w:val="-14"/>
        </w:rPr>
        <w:t> </w:t>
      </w:r>
      <w:r>
        <w:rPr>
          <w:color w:val="231F20"/>
        </w:rPr>
        <w:t>j’ai</w:t>
      </w:r>
      <w:r>
        <w:rPr>
          <w:color w:val="231F20"/>
          <w:spacing w:val="-14"/>
        </w:rPr>
        <w:t> </w:t>
      </w:r>
      <w:r>
        <w:rPr>
          <w:color w:val="231F20"/>
        </w:rPr>
        <w:t>une formation en journalisme. Dès cet instant, l’attitude réservée voire </w:t>
      </w:r>
      <w:r>
        <w:rPr>
          <w:color w:val="231F20"/>
          <w:spacing w:val="-4"/>
        </w:rPr>
        <w:t>méfiante</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Dame</w:t>
      </w:r>
      <w:r>
        <w:rPr>
          <w:color w:val="231F20"/>
          <w:spacing w:val="-11"/>
        </w:rPr>
        <w:t> </w:t>
      </w:r>
      <w:r>
        <w:rPr>
          <w:color w:val="231F20"/>
          <w:spacing w:val="-4"/>
        </w:rPr>
        <w:t>disparaît.</w:t>
      </w:r>
      <w:r>
        <w:rPr>
          <w:color w:val="231F20"/>
          <w:spacing w:val="-11"/>
        </w:rPr>
        <w:t> </w:t>
      </w:r>
      <w:r>
        <w:rPr>
          <w:color w:val="231F20"/>
          <w:spacing w:val="-4"/>
        </w:rPr>
        <w:t>Elle</w:t>
      </w:r>
      <w:r>
        <w:rPr>
          <w:color w:val="231F20"/>
          <w:spacing w:val="-11"/>
        </w:rPr>
        <w:t> </w:t>
      </w:r>
      <w:r>
        <w:rPr>
          <w:color w:val="231F20"/>
          <w:spacing w:val="-4"/>
        </w:rPr>
        <w:t>me</w:t>
      </w:r>
      <w:r>
        <w:rPr>
          <w:color w:val="231F20"/>
          <w:spacing w:val="-11"/>
        </w:rPr>
        <w:t> </w:t>
      </w:r>
      <w:r>
        <w:rPr>
          <w:color w:val="231F20"/>
          <w:spacing w:val="-4"/>
        </w:rPr>
        <w:t>propose</w:t>
      </w:r>
      <w:r>
        <w:rPr>
          <w:color w:val="231F20"/>
          <w:spacing w:val="-11"/>
        </w:rPr>
        <w:t> </w:t>
      </w:r>
      <w:r>
        <w:rPr>
          <w:color w:val="231F20"/>
          <w:spacing w:val="-4"/>
        </w:rPr>
        <w:t>de</w:t>
      </w:r>
      <w:r>
        <w:rPr>
          <w:color w:val="231F20"/>
          <w:spacing w:val="-11"/>
        </w:rPr>
        <w:t> </w:t>
      </w:r>
      <w:r>
        <w:rPr>
          <w:color w:val="231F20"/>
          <w:spacing w:val="-4"/>
        </w:rPr>
        <w:t>donner</w:t>
      </w:r>
      <w:r>
        <w:rPr>
          <w:color w:val="231F20"/>
          <w:spacing w:val="-11"/>
        </w:rPr>
        <w:t> </w:t>
      </w:r>
      <w:r>
        <w:rPr>
          <w:color w:val="231F20"/>
          <w:spacing w:val="-4"/>
        </w:rPr>
        <w:t>dorénavant</w:t>
      </w:r>
      <w:r>
        <w:rPr>
          <w:color w:val="231F20"/>
          <w:spacing w:val="-11"/>
        </w:rPr>
        <w:t> </w:t>
      </w:r>
      <w:r>
        <w:rPr>
          <w:color w:val="231F20"/>
          <w:spacing w:val="-4"/>
        </w:rPr>
        <w:t>mes </w:t>
      </w:r>
      <w:r>
        <w:rPr>
          <w:color w:val="231F20"/>
        </w:rPr>
        <w:t>habits</w:t>
      </w:r>
      <w:r>
        <w:rPr>
          <w:color w:val="231F20"/>
          <w:spacing w:val="-13"/>
        </w:rPr>
        <w:t> </w:t>
      </w:r>
      <w:r>
        <w:rPr>
          <w:color w:val="231F20"/>
        </w:rPr>
        <w:t>sales</w:t>
      </w:r>
      <w:r>
        <w:rPr>
          <w:color w:val="231F20"/>
          <w:spacing w:val="-15"/>
        </w:rPr>
        <w:t> </w:t>
      </w:r>
      <w:r>
        <w:rPr>
          <w:color w:val="231F20"/>
        </w:rPr>
        <w:t>pour</w:t>
      </w:r>
      <w:r>
        <w:rPr>
          <w:color w:val="231F20"/>
          <w:spacing w:val="-15"/>
        </w:rPr>
        <w:t> </w:t>
      </w:r>
      <w:r>
        <w:rPr>
          <w:color w:val="231F20"/>
        </w:rPr>
        <w:t>qu’elle</w:t>
      </w:r>
      <w:r>
        <w:rPr>
          <w:color w:val="231F20"/>
          <w:spacing w:val="-15"/>
        </w:rPr>
        <w:t> </w:t>
      </w:r>
      <w:r>
        <w:rPr>
          <w:color w:val="231F20"/>
        </w:rPr>
        <w:t>les</w:t>
      </w:r>
      <w:r>
        <w:rPr>
          <w:color w:val="231F20"/>
          <w:spacing w:val="-13"/>
        </w:rPr>
        <w:t> </w:t>
      </w:r>
      <w:r>
        <w:rPr>
          <w:color w:val="231F20"/>
        </w:rPr>
        <w:t>mette</w:t>
      </w:r>
      <w:r>
        <w:rPr>
          <w:color w:val="231F20"/>
          <w:spacing w:val="-13"/>
        </w:rPr>
        <w:t> </w:t>
      </w:r>
      <w:r>
        <w:rPr>
          <w:color w:val="231F20"/>
        </w:rPr>
        <w:t>à</w:t>
      </w:r>
      <w:r>
        <w:rPr>
          <w:color w:val="231F20"/>
          <w:spacing w:val="-15"/>
        </w:rPr>
        <w:t> </w:t>
      </w:r>
      <w:r>
        <w:rPr>
          <w:color w:val="231F20"/>
        </w:rPr>
        <w:t>la</w:t>
      </w:r>
      <w:r>
        <w:rPr>
          <w:color w:val="231F20"/>
          <w:spacing w:val="-15"/>
        </w:rPr>
        <w:t> </w:t>
      </w:r>
      <w:r>
        <w:rPr>
          <w:color w:val="231F20"/>
        </w:rPr>
        <w:t>machine</w:t>
      </w:r>
      <w:r>
        <w:rPr>
          <w:color w:val="231F20"/>
          <w:spacing w:val="-15"/>
        </w:rPr>
        <w:t> </w:t>
      </w:r>
      <w:r>
        <w:rPr>
          <w:color w:val="231F20"/>
        </w:rPr>
        <w:t>à</w:t>
      </w:r>
      <w:r>
        <w:rPr>
          <w:color w:val="231F20"/>
          <w:spacing w:val="-15"/>
        </w:rPr>
        <w:t> </w:t>
      </w:r>
      <w:r>
        <w:rPr>
          <w:color w:val="231F20"/>
        </w:rPr>
        <w:t>laver</w:t>
      </w:r>
      <w:r>
        <w:rPr>
          <w:color w:val="231F20"/>
          <w:spacing w:val="-14"/>
        </w:rPr>
        <w:t> </w:t>
      </w:r>
      <w:r>
        <w:rPr>
          <w:color w:val="231F20"/>
        </w:rPr>
        <w:t>;</w:t>
      </w:r>
      <w:r>
        <w:rPr>
          <w:color w:val="231F20"/>
          <w:spacing w:val="-13"/>
        </w:rPr>
        <w:t> </w:t>
      </w:r>
      <w:r>
        <w:rPr>
          <w:color w:val="231F20"/>
        </w:rPr>
        <w:t>alors</w:t>
      </w:r>
      <w:r>
        <w:rPr>
          <w:color w:val="231F20"/>
          <w:spacing w:val="-15"/>
        </w:rPr>
        <w:t> </w:t>
      </w:r>
      <w:r>
        <w:rPr>
          <w:color w:val="231F20"/>
        </w:rPr>
        <w:t>que</w:t>
      </w:r>
      <w:r>
        <w:rPr>
          <w:color w:val="231F20"/>
          <w:spacing w:val="-15"/>
        </w:rPr>
        <w:t> </w:t>
      </w:r>
      <w:r>
        <w:rPr>
          <w:color w:val="231F20"/>
        </w:rPr>
        <w:t>depuis </w:t>
      </w:r>
      <w:r>
        <w:rPr>
          <w:color w:val="231F20"/>
          <w:spacing w:val="-4"/>
        </w:rPr>
        <w:t>deux</w:t>
      </w:r>
      <w:r>
        <w:rPr>
          <w:color w:val="231F20"/>
          <w:spacing w:val="-11"/>
        </w:rPr>
        <w:t> </w:t>
      </w:r>
      <w:r>
        <w:rPr>
          <w:color w:val="231F20"/>
          <w:spacing w:val="-4"/>
        </w:rPr>
        <w:t>mois,</w:t>
      </w:r>
      <w:r>
        <w:rPr>
          <w:color w:val="231F20"/>
          <w:spacing w:val="-11"/>
        </w:rPr>
        <w:t> </w:t>
      </w:r>
      <w:r>
        <w:rPr>
          <w:color w:val="231F20"/>
          <w:spacing w:val="-4"/>
        </w:rPr>
        <w:t>notre</w:t>
      </w:r>
      <w:r>
        <w:rPr>
          <w:color w:val="231F20"/>
          <w:spacing w:val="-11"/>
        </w:rPr>
        <w:t> </w:t>
      </w:r>
      <w:r>
        <w:rPr>
          <w:color w:val="231F20"/>
          <w:spacing w:val="-4"/>
        </w:rPr>
        <w:t>conversation</w:t>
      </w:r>
      <w:r>
        <w:rPr>
          <w:color w:val="231F20"/>
          <w:spacing w:val="-11"/>
        </w:rPr>
        <w:t> </w:t>
      </w:r>
      <w:r>
        <w:rPr>
          <w:color w:val="231F20"/>
          <w:spacing w:val="-4"/>
        </w:rPr>
        <w:t>s’arrêtait</w:t>
      </w:r>
      <w:r>
        <w:rPr>
          <w:color w:val="231F20"/>
          <w:spacing w:val="-11"/>
        </w:rPr>
        <w:t> </w:t>
      </w:r>
      <w:r>
        <w:rPr>
          <w:color w:val="231F20"/>
          <w:spacing w:val="-4"/>
        </w:rPr>
        <w:t>à</w:t>
      </w:r>
      <w:r>
        <w:rPr>
          <w:color w:val="231F20"/>
          <w:spacing w:val="-10"/>
        </w:rPr>
        <w:t> </w:t>
      </w:r>
      <w:r>
        <w:rPr>
          <w:color w:val="231F20"/>
          <w:spacing w:val="-4"/>
        </w:rPr>
        <w:t>« bonjour</w:t>
      </w:r>
      <w:r>
        <w:rPr>
          <w:color w:val="231F20"/>
          <w:spacing w:val="-11"/>
        </w:rPr>
        <w:t> </w:t>
      </w:r>
      <w:r>
        <w:rPr>
          <w:color w:val="231F20"/>
          <w:spacing w:val="-4"/>
        </w:rPr>
        <w:t>et</w:t>
      </w:r>
      <w:r>
        <w:rPr>
          <w:color w:val="231F20"/>
          <w:spacing w:val="-8"/>
        </w:rPr>
        <w:t> </w:t>
      </w:r>
      <w:r>
        <w:rPr>
          <w:color w:val="231F20"/>
          <w:spacing w:val="-4"/>
        </w:rPr>
        <w:t>bonsoir</w:t>
      </w:r>
      <w:r>
        <w:rPr>
          <w:color w:val="231F20"/>
        </w:rPr>
        <w:t> </w:t>
      </w:r>
      <w:r>
        <w:rPr>
          <w:color w:val="231F20"/>
          <w:spacing w:val="-4"/>
        </w:rPr>
        <w:t>»,</w:t>
      </w:r>
      <w:r>
        <w:rPr>
          <w:color w:val="231F20"/>
          <w:spacing w:val="-11"/>
        </w:rPr>
        <w:t> </w:t>
      </w:r>
      <w:r>
        <w:rPr>
          <w:color w:val="231F20"/>
          <w:spacing w:val="-4"/>
        </w:rPr>
        <w:t>que</w:t>
      </w:r>
      <w:r>
        <w:rPr>
          <w:color w:val="231F20"/>
          <w:spacing w:val="-11"/>
        </w:rPr>
        <w:t> </w:t>
      </w:r>
      <w:r>
        <w:rPr>
          <w:color w:val="231F20"/>
          <w:spacing w:val="-4"/>
        </w:rPr>
        <w:t>c’est </w:t>
      </w:r>
      <w:r>
        <w:rPr>
          <w:color w:val="231F20"/>
          <w:spacing w:val="-2"/>
        </w:rPr>
        <w:t>le</w:t>
      </w:r>
      <w:r>
        <w:rPr>
          <w:color w:val="231F20"/>
          <w:spacing w:val="-13"/>
        </w:rPr>
        <w:t> </w:t>
      </w:r>
      <w:r>
        <w:rPr>
          <w:color w:val="231F20"/>
          <w:spacing w:val="-2"/>
        </w:rPr>
        <w:t>même</w:t>
      </w:r>
      <w:r>
        <w:rPr>
          <w:color w:val="231F20"/>
          <w:spacing w:val="-13"/>
        </w:rPr>
        <w:t> </w:t>
      </w:r>
      <w:r>
        <w:rPr>
          <w:color w:val="231F20"/>
          <w:spacing w:val="-2"/>
        </w:rPr>
        <w:t>céréale</w:t>
      </w:r>
      <w:r>
        <w:rPr>
          <w:color w:val="231F20"/>
          <w:spacing w:val="-13"/>
        </w:rPr>
        <w:t> </w:t>
      </w:r>
      <w:r>
        <w:rPr>
          <w:color w:val="231F20"/>
          <w:spacing w:val="-2"/>
        </w:rPr>
        <w:t>de</w:t>
      </w:r>
      <w:r>
        <w:rPr>
          <w:color w:val="231F20"/>
          <w:spacing w:val="-13"/>
        </w:rPr>
        <w:t> </w:t>
      </w:r>
      <w:r>
        <w:rPr>
          <w:color w:val="231F20"/>
          <w:spacing w:val="-2"/>
        </w:rPr>
        <w:t>corn</w:t>
      </w:r>
      <w:r>
        <w:rPr>
          <w:color w:val="231F20"/>
          <w:spacing w:val="-11"/>
        </w:rPr>
        <w:t> </w:t>
      </w:r>
      <w:r>
        <w:rPr>
          <w:color w:val="231F20"/>
          <w:spacing w:val="-2"/>
        </w:rPr>
        <w:t>flakes</w:t>
      </w:r>
      <w:r>
        <w:rPr>
          <w:color w:val="231F20"/>
          <w:spacing w:val="-12"/>
        </w:rPr>
        <w:t> </w:t>
      </w:r>
      <w:r>
        <w:rPr>
          <w:color w:val="231F20"/>
          <w:spacing w:val="-2"/>
        </w:rPr>
        <w:t>qui</w:t>
      </w:r>
      <w:r>
        <w:rPr>
          <w:color w:val="231F20"/>
          <w:spacing w:val="-13"/>
        </w:rPr>
        <w:t> </w:t>
      </w:r>
      <w:r>
        <w:rPr>
          <w:color w:val="231F20"/>
          <w:spacing w:val="-2"/>
        </w:rPr>
        <w:t>m’est</w:t>
      </w:r>
      <w:r>
        <w:rPr>
          <w:color w:val="231F20"/>
          <w:spacing w:val="-11"/>
        </w:rPr>
        <w:t> </w:t>
      </w:r>
      <w:r>
        <w:rPr>
          <w:color w:val="231F20"/>
          <w:spacing w:val="-2"/>
        </w:rPr>
        <w:t>servi</w:t>
      </w:r>
      <w:r>
        <w:rPr>
          <w:color w:val="231F20"/>
          <w:spacing w:val="-11"/>
        </w:rPr>
        <w:t> </w:t>
      </w:r>
      <w:r>
        <w:rPr>
          <w:color w:val="231F20"/>
          <w:spacing w:val="-2"/>
        </w:rPr>
        <w:t>au</w:t>
      </w:r>
      <w:r>
        <w:rPr>
          <w:color w:val="231F20"/>
          <w:spacing w:val="-11"/>
        </w:rPr>
        <w:t> </w:t>
      </w:r>
      <w:r>
        <w:rPr>
          <w:color w:val="231F20"/>
          <w:spacing w:val="-2"/>
        </w:rPr>
        <w:t>petit</w:t>
      </w:r>
      <w:r>
        <w:rPr>
          <w:color w:val="231F20"/>
          <w:spacing w:val="-13"/>
        </w:rPr>
        <w:t> </w:t>
      </w:r>
      <w:r>
        <w:rPr>
          <w:color w:val="231F20"/>
          <w:spacing w:val="-2"/>
        </w:rPr>
        <w:t>déjeuner</w:t>
      </w:r>
      <w:r>
        <w:rPr>
          <w:color w:val="231F20"/>
          <w:spacing w:val="-9"/>
        </w:rPr>
        <w:t> </w:t>
      </w:r>
      <w:r>
        <w:rPr>
          <w:color w:val="231F20"/>
          <w:spacing w:val="-2"/>
        </w:rPr>
        <w:t>alors</w:t>
      </w:r>
      <w:r>
        <w:rPr>
          <w:color w:val="231F20"/>
          <w:spacing w:val="-12"/>
        </w:rPr>
        <w:t> </w:t>
      </w:r>
      <w:r>
        <w:rPr>
          <w:color w:val="231F20"/>
          <w:spacing w:val="-2"/>
        </w:rPr>
        <w:t>que </w:t>
      </w:r>
      <w:r>
        <w:rPr>
          <w:color w:val="231F20"/>
        </w:rPr>
        <w:t>mon</w:t>
      </w:r>
      <w:r>
        <w:rPr>
          <w:color w:val="231F20"/>
          <w:spacing w:val="-9"/>
        </w:rPr>
        <w:t> </w:t>
      </w:r>
      <w:r>
        <w:rPr>
          <w:color w:val="231F20"/>
        </w:rPr>
        <w:t>hébergement</w:t>
      </w:r>
      <w:r>
        <w:rPr>
          <w:color w:val="231F20"/>
          <w:spacing w:val="-9"/>
        </w:rPr>
        <w:t> </w:t>
      </w:r>
      <w:r>
        <w:rPr>
          <w:color w:val="231F20"/>
        </w:rPr>
        <w:t>et</w:t>
      </w:r>
      <w:r>
        <w:rPr>
          <w:color w:val="231F20"/>
          <w:spacing w:val="-11"/>
        </w:rPr>
        <w:t> </w:t>
      </w:r>
      <w:r>
        <w:rPr>
          <w:color w:val="231F20"/>
        </w:rPr>
        <w:t>mes</w:t>
      </w:r>
      <w:r>
        <w:rPr>
          <w:color w:val="231F20"/>
          <w:spacing w:val="-12"/>
        </w:rPr>
        <w:t> </w:t>
      </w:r>
      <w:r>
        <w:rPr>
          <w:color w:val="231F20"/>
        </w:rPr>
        <w:t>frais</w:t>
      </w:r>
      <w:r>
        <w:rPr>
          <w:color w:val="231F20"/>
          <w:spacing w:val="-9"/>
        </w:rPr>
        <w:t> </w:t>
      </w:r>
      <w:r>
        <w:rPr>
          <w:color w:val="231F20"/>
        </w:rPr>
        <w:t>de</w:t>
      </w:r>
      <w:r>
        <w:rPr>
          <w:color w:val="231F20"/>
          <w:spacing w:val="-9"/>
        </w:rPr>
        <w:t> </w:t>
      </w:r>
      <w:r>
        <w:rPr>
          <w:color w:val="231F20"/>
        </w:rPr>
        <w:t>nourriture</w:t>
      </w:r>
      <w:r>
        <w:rPr>
          <w:color w:val="231F20"/>
          <w:spacing w:val="-9"/>
        </w:rPr>
        <w:t> </w:t>
      </w:r>
      <w:r>
        <w:rPr>
          <w:color w:val="231F20"/>
        </w:rPr>
        <w:t>ont</w:t>
      </w:r>
      <w:r>
        <w:rPr>
          <w:color w:val="231F20"/>
          <w:spacing w:val="-9"/>
        </w:rPr>
        <w:t> </w:t>
      </w:r>
      <w:r>
        <w:rPr>
          <w:color w:val="231F20"/>
        </w:rPr>
        <w:t>été</w:t>
      </w:r>
      <w:r>
        <w:rPr>
          <w:color w:val="231F20"/>
          <w:spacing w:val="-12"/>
        </w:rPr>
        <w:t> </w:t>
      </w:r>
      <w:r>
        <w:rPr>
          <w:color w:val="231F20"/>
        </w:rPr>
        <w:t>payés</w:t>
      </w:r>
      <w:r>
        <w:rPr>
          <w:color w:val="231F20"/>
          <w:spacing w:val="-10"/>
        </w:rPr>
        <w:t> </w:t>
      </w:r>
      <w:r>
        <w:rPr>
          <w:color w:val="231F20"/>
        </w:rPr>
        <w:t>par</w:t>
      </w:r>
      <w:r>
        <w:rPr>
          <w:color w:val="231F20"/>
          <w:spacing w:val="-9"/>
        </w:rPr>
        <w:t> </w:t>
      </w:r>
      <w:r>
        <w:rPr>
          <w:color w:val="231F20"/>
        </w:rPr>
        <w:t>le</w:t>
      </w:r>
      <w:r>
        <w:rPr>
          <w:color w:val="231F20"/>
          <w:spacing w:val="-11"/>
        </w:rPr>
        <w:t> </w:t>
      </w:r>
      <w:r>
        <w:rPr>
          <w:color w:val="231F20"/>
        </w:rPr>
        <w:t>britisch Council</w:t>
      </w:r>
      <w:r>
        <w:rPr>
          <w:color w:val="76787A"/>
          <w:vertAlign w:val="superscript"/>
        </w:rPr>
        <w:t>228</w:t>
      </w:r>
      <w:r>
        <w:rPr>
          <w:color w:val="231F20"/>
          <w:vertAlign w:val="baseline"/>
        </w:rPr>
        <w:t>. J’ai droit désormais à d’autres céréales de la marque… et même du bacon</w:t>
      </w:r>
      <w:r>
        <w:rPr>
          <w:color w:val="76787A"/>
          <w:vertAlign w:val="superscript"/>
        </w:rPr>
        <w:t>229</w:t>
      </w:r>
      <w:r>
        <w:rPr>
          <w:color w:val="76787A"/>
          <w:spacing w:val="-8"/>
          <w:vertAlign w:val="baseline"/>
        </w:rPr>
        <w:t> </w:t>
      </w:r>
      <w:r>
        <w:rPr>
          <w:color w:val="231F20"/>
          <w:vertAlign w:val="baseline"/>
        </w:rPr>
        <w:t>au petit déjeuner en fin de semaine. Savoir que ma mère</w:t>
      </w:r>
      <w:r>
        <w:rPr>
          <w:color w:val="231F20"/>
          <w:spacing w:val="-5"/>
          <w:vertAlign w:val="baseline"/>
        </w:rPr>
        <w:t> </w:t>
      </w:r>
      <w:r>
        <w:rPr>
          <w:color w:val="231F20"/>
          <w:vertAlign w:val="baseline"/>
        </w:rPr>
        <w:t>a</w:t>
      </w:r>
      <w:r>
        <w:rPr>
          <w:color w:val="231F20"/>
          <w:spacing w:val="-5"/>
          <w:vertAlign w:val="baseline"/>
        </w:rPr>
        <w:t> </w:t>
      </w:r>
      <w:r>
        <w:rPr>
          <w:color w:val="231F20"/>
          <w:vertAlign w:val="baseline"/>
        </w:rPr>
        <w:t>une</w:t>
      </w:r>
      <w:r>
        <w:rPr>
          <w:color w:val="231F20"/>
          <w:spacing w:val="-5"/>
          <w:vertAlign w:val="baseline"/>
        </w:rPr>
        <w:t> </w:t>
      </w:r>
      <w:r>
        <w:rPr>
          <w:color w:val="231F20"/>
          <w:vertAlign w:val="baseline"/>
        </w:rPr>
        <w:t>cacaoyère</w:t>
      </w:r>
      <w:r>
        <w:rPr>
          <w:color w:val="231F20"/>
          <w:spacing w:val="-5"/>
          <w:vertAlign w:val="baseline"/>
        </w:rPr>
        <w:t> </w:t>
      </w:r>
      <w:r>
        <w:rPr>
          <w:color w:val="231F20"/>
          <w:vertAlign w:val="baseline"/>
        </w:rPr>
        <w:t>m’apporte</w:t>
      </w:r>
      <w:r>
        <w:rPr>
          <w:color w:val="231F20"/>
          <w:spacing w:val="-4"/>
          <w:vertAlign w:val="baseline"/>
        </w:rPr>
        <w:t> </w:t>
      </w:r>
      <w:r>
        <w:rPr>
          <w:color w:val="231F20"/>
          <w:vertAlign w:val="baseline"/>
        </w:rPr>
        <w:t>le</w:t>
      </w:r>
      <w:r>
        <w:rPr>
          <w:color w:val="231F20"/>
          <w:spacing w:val="-4"/>
          <w:vertAlign w:val="baseline"/>
        </w:rPr>
        <w:t> </w:t>
      </w:r>
      <w:r>
        <w:rPr>
          <w:color w:val="231F20"/>
          <w:vertAlign w:val="baseline"/>
        </w:rPr>
        <w:t>respect</w:t>
      </w:r>
      <w:r>
        <w:rPr>
          <w:color w:val="231F20"/>
          <w:spacing w:val="-4"/>
          <w:vertAlign w:val="baseline"/>
        </w:rPr>
        <w:t> </w:t>
      </w:r>
      <w:r>
        <w:rPr>
          <w:color w:val="231F20"/>
          <w:vertAlign w:val="baseline"/>
        </w:rPr>
        <w:t>et</w:t>
      </w:r>
      <w:r>
        <w:rPr>
          <w:color w:val="231F20"/>
          <w:spacing w:val="-7"/>
          <w:vertAlign w:val="baseline"/>
        </w:rPr>
        <w:t> </w:t>
      </w:r>
      <w:r>
        <w:rPr>
          <w:color w:val="231F20"/>
          <w:vertAlign w:val="baseline"/>
        </w:rPr>
        <w:t>même,</w:t>
      </w:r>
      <w:r>
        <w:rPr>
          <w:color w:val="231F20"/>
          <w:spacing w:val="-5"/>
          <w:vertAlign w:val="baseline"/>
        </w:rPr>
        <w:t> </w:t>
      </w:r>
      <w:r>
        <w:rPr>
          <w:color w:val="231F20"/>
          <w:vertAlign w:val="baseline"/>
        </w:rPr>
        <w:t>la</w:t>
      </w:r>
      <w:r>
        <w:rPr>
          <w:color w:val="231F20"/>
          <w:spacing w:val="-5"/>
          <w:vertAlign w:val="baseline"/>
        </w:rPr>
        <w:t> </w:t>
      </w:r>
      <w:r>
        <w:rPr>
          <w:color w:val="231F20"/>
          <w:vertAlign w:val="baseline"/>
        </w:rPr>
        <w:t>sympathie</w:t>
      </w:r>
      <w:r>
        <w:rPr>
          <w:color w:val="231F20"/>
          <w:spacing w:val="-5"/>
          <w:vertAlign w:val="baseline"/>
        </w:rPr>
        <w:t> </w:t>
      </w:r>
      <w:r>
        <w:rPr>
          <w:color w:val="231F20"/>
          <w:vertAlign w:val="baseline"/>
        </w:rPr>
        <w:t>de</w:t>
      </w:r>
      <w:r>
        <w:rPr>
          <w:color w:val="231F20"/>
          <w:spacing w:val="-5"/>
          <w:vertAlign w:val="baseline"/>
        </w:rPr>
        <w:t> </w:t>
      </w:r>
      <w:r>
        <w:rPr>
          <w:color w:val="231F20"/>
          <w:vertAlign w:val="baseline"/>
        </w:rPr>
        <w:t>la Dame, de son mari et de ses deux filles. Devenue</w:t>
      </w:r>
      <w:r>
        <w:rPr>
          <w:color w:val="231F20"/>
          <w:spacing w:val="-9"/>
          <w:vertAlign w:val="baseline"/>
        </w:rPr>
        <w:t> </w:t>
      </w:r>
      <w:r>
        <w:rPr>
          <w:color w:val="231F20"/>
          <w:vertAlign w:val="baseline"/>
        </w:rPr>
        <w:t>une personne </w:t>
      </w:r>
      <w:r>
        <w:rPr>
          <w:color w:val="231F20"/>
          <w:spacing w:val="-2"/>
          <w:vertAlign w:val="baseline"/>
        </w:rPr>
        <w:t>fréquentable</w:t>
      </w:r>
      <w:r>
        <w:rPr>
          <w:color w:val="231F20"/>
          <w:spacing w:val="-15"/>
          <w:vertAlign w:val="baseline"/>
        </w:rPr>
        <w:t> </w:t>
      </w:r>
      <w:r>
        <w:rPr>
          <w:color w:val="231F20"/>
          <w:spacing w:val="-2"/>
          <w:vertAlign w:val="baseline"/>
        </w:rPr>
        <w:t>en</w:t>
      </w:r>
      <w:r>
        <w:rPr>
          <w:color w:val="231F20"/>
          <w:spacing w:val="-13"/>
          <w:vertAlign w:val="baseline"/>
        </w:rPr>
        <w:t> </w:t>
      </w:r>
      <w:r>
        <w:rPr>
          <w:color w:val="231F20"/>
          <w:spacing w:val="-2"/>
          <w:vertAlign w:val="baseline"/>
        </w:rPr>
        <w:t>qui</w:t>
      </w:r>
      <w:r>
        <w:rPr>
          <w:color w:val="231F20"/>
          <w:spacing w:val="-13"/>
          <w:vertAlign w:val="baseline"/>
        </w:rPr>
        <w:t> </w:t>
      </w:r>
      <w:r>
        <w:rPr>
          <w:color w:val="231F20"/>
          <w:spacing w:val="-2"/>
          <w:vertAlign w:val="baseline"/>
        </w:rPr>
        <w:t>l’on</w:t>
      </w:r>
      <w:r>
        <w:rPr>
          <w:color w:val="231F20"/>
          <w:spacing w:val="-13"/>
          <w:vertAlign w:val="baseline"/>
        </w:rPr>
        <w:t> </w:t>
      </w:r>
      <w:r>
        <w:rPr>
          <w:color w:val="231F20"/>
          <w:spacing w:val="-2"/>
          <w:vertAlign w:val="baseline"/>
        </w:rPr>
        <w:t>peut</w:t>
      </w:r>
      <w:r>
        <w:rPr>
          <w:color w:val="231F20"/>
          <w:spacing w:val="-13"/>
          <w:vertAlign w:val="baseline"/>
        </w:rPr>
        <w:t> </w:t>
      </w:r>
      <w:r>
        <w:rPr>
          <w:color w:val="231F20"/>
          <w:spacing w:val="-2"/>
          <w:vertAlign w:val="baseline"/>
        </w:rPr>
        <w:t>faire</w:t>
      </w:r>
      <w:r>
        <w:rPr>
          <w:color w:val="231F20"/>
          <w:spacing w:val="-13"/>
          <w:vertAlign w:val="baseline"/>
        </w:rPr>
        <w:t> </w:t>
      </w:r>
      <w:r>
        <w:rPr>
          <w:color w:val="231F20"/>
          <w:spacing w:val="-2"/>
          <w:vertAlign w:val="baseline"/>
        </w:rPr>
        <w:t>confiance,</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Dame</w:t>
      </w:r>
      <w:r>
        <w:rPr>
          <w:color w:val="231F20"/>
          <w:spacing w:val="-13"/>
          <w:vertAlign w:val="baseline"/>
        </w:rPr>
        <w:t> </w:t>
      </w:r>
      <w:r>
        <w:rPr>
          <w:color w:val="231F20"/>
          <w:spacing w:val="-2"/>
          <w:vertAlign w:val="baseline"/>
        </w:rPr>
        <w:t>me</w:t>
      </w:r>
      <w:r>
        <w:rPr>
          <w:color w:val="231F20"/>
          <w:spacing w:val="-13"/>
          <w:vertAlign w:val="baseline"/>
        </w:rPr>
        <w:t> </w:t>
      </w:r>
      <w:r>
        <w:rPr>
          <w:color w:val="231F20"/>
          <w:spacing w:val="-2"/>
          <w:vertAlign w:val="baseline"/>
        </w:rPr>
        <w:t>remet</w:t>
      </w:r>
      <w:r>
        <w:rPr>
          <w:color w:val="231F20"/>
          <w:spacing w:val="-13"/>
          <w:vertAlign w:val="baseline"/>
        </w:rPr>
        <w:t> </w:t>
      </w:r>
      <w:r>
        <w:rPr>
          <w:color w:val="231F20"/>
          <w:spacing w:val="-2"/>
          <w:vertAlign w:val="baseline"/>
        </w:rPr>
        <w:t>un</w:t>
      </w:r>
      <w:r>
        <w:rPr>
          <w:color w:val="231F20"/>
          <w:spacing w:val="-13"/>
          <w:vertAlign w:val="baseline"/>
        </w:rPr>
        <w:t> </w:t>
      </w:r>
      <w:r>
        <w:rPr>
          <w:color w:val="231F20"/>
          <w:spacing w:val="-2"/>
          <w:vertAlign w:val="baseline"/>
        </w:rPr>
        <w:t>jeu</w:t>
      </w:r>
      <w:r>
        <w:rPr>
          <w:color w:val="231F20"/>
          <w:spacing w:val="-13"/>
          <w:vertAlign w:val="baseline"/>
        </w:rPr>
        <w:t> </w:t>
      </w:r>
      <w:r>
        <w:rPr>
          <w:color w:val="231F20"/>
          <w:spacing w:val="-2"/>
          <w:vertAlign w:val="baseline"/>
        </w:rPr>
        <w:t>de </w:t>
      </w:r>
      <w:r>
        <w:rPr>
          <w:color w:val="231F20"/>
          <w:vertAlign w:val="baseline"/>
        </w:rPr>
        <w:t>clés</w:t>
      </w:r>
      <w:r>
        <w:rPr>
          <w:color w:val="231F20"/>
          <w:spacing w:val="-1"/>
          <w:vertAlign w:val="baseline"/>
        </w:rPr>
        <w:t> </w:t>
      </w:r>
      <w:r>
        <w:rPr>
          <w:color w:val="231F20"/>
          <w:vertAlign w:val="baseline"/>
        </w:rPr>
        <w:t>de</w:t>
      </w:r>
      <w:r>
        <w:rPr>
          <w:color w:val="231F20"/>
          <w:spacing w:val="-3"/>
          <w:vertAlign w:val="baseline"/>
        </w:rPr>
        <w:t> </w:t>
      </w:r>
      <w:r>
        <w:rPr>
          <w:color w:val="231F20"/>
          <w:vertAlign w:val="baseline"/>
        </w:rPr>
        <w:t>la</w:t>
      </w:r>
      <w:r>
        <w:rPr>
          <w:color w:val="231F20"/>
          <w:spacing w:val="-1"/>
          <w:vertAlign w:val="baseline"/>
        </w:rPr>
        <w:t> </w:t>
      </w:r>
      <w:r>
        <w:rPr>
          <w:color w:val="231F20"/>
          <w:vertAlign w:val="baseline"/>
        </w:rPr>
        <w:t>maison</w:t>
      </w:r>
      <w:r>
        <w:rPr>
          <w:color w:val="231F20"/>
          <w:spacing w:val="-3"/>
          <w:vertAlign w:val="baseline"/>
        </w:rPr>
        <w:t> </w:t>
      </w:r>
      <w:r>
        <w:rPr>
          <w:color w:val="231F20"/>
          <w:vertAlign w:val="baseline"/>
        </w:rPr>
        <w:t>pour</w:t>
      </w:r>
      <w:r>
        <w:rPr>
          <w:color w:val="231F20"/>
          <w:spacing w:val="-3"/>
          <w:vertAlign w:val="baseline"/>
        </w:rPr>
        <w:t> </w:t>
      </w:r>
      <w:r>
        <w:rPr>
          <w:color w:val="231F20"/>
          <w:vertAlign w:val="baseline"/>
        </w:rPr>
        <w:t>sortir</w:t>
      </w:r>
      <w:r>
        <w:rPr>
          <w:color w:val="231F20"/>
          <w:spacing w:val="-1"/>
          <w:vertAlign w:val="baseline"/>
        </w:rPr>
        <w:t> </w:t>
      </w:r>
      <w:r>
        <w:rPr>
          <w:color w:val="231F20"/>
          <w:vertAlign w:val="baseline"/>
        </w:rPr>
        <w:t>et</w:t>
      </w:r>
      <w:r>
        <w:rPr>
          <w:color w:val="231F20"/>
          <w:spacing w:val="-2"/>
          <w:vertAlign w:val="baseline"/>
        </w:rPr>
        <w:t> </w:t>
      </w:r>
      <w:r>
        <w:rPr>
          <w:color w:val="231F20"/>
          <w:vertAlign w:val="baseline"/>
        </w:rPr>
        <w:t>rentrer</w:t>
      </w:r>
      <w:r>
        <w:rPr>
          <w:color w:val="231F20"/>
          <w:spacing w:val="-1"/>
          <w:vertAlign w:val="baseline"/>
        </w:rPr>
        <w:t> </w:t>
      </w:r>
      <w:r>
        <w:rPr>
          <w:color w:val="231F20"/>
          <w:vertAlign w:val="baseline"/>
        </w:rPr>
        <w:t>à</w:t>
      </w:r>
      <w:r>
        <w:rPr>
          <w:color w:val="231F20"/>
          <w:spacing w:val="-3"/>
          <w:vertAlign w:val="baseline"/>
        </w:rPr>
        <w:t> </w:t>
      </w:r>
      <w:r>
        <w:rPr>
          <w:color w:val="231F20"/>
          <w:vertAlign w:val="baseline"/>
        </w:rPr>
        <w:t>ma</w:t>
      </w:r>
      <w:r>
        <w:rPr>
          <w:color w:val="231F20"/>
          <w:spacing w:val="-1"/>
          <w:vertAlign w:val="baseline"/>
        </w:rPr>
        <w:t> </w:t>
      </w:r>
      <w:r>
        <w:rPr>
          <w:color w:val="231F20"/>
          <w:vertAlign w:val="baseline"/>
        </w:rPr>
        <w:t>guise.</w:t>
      </w:r>
    </w:p>
    <w:p>
      <w:pPr>
        <w:pStyle w:val="BodyText"/>
        <w:spacing w:before="121"/>
        <w:ind w:right="105" w:firstLine="283"/>
      </w:pPr>
      <w:r>
        <w:rPr>
          <w:color w:val="231F20"/>
          <w:spacing w:val="-4"/>
        </w:rPr>
        <w:t>À</w:t>
      </w:r>
      <w:r>
        <w:rPr>
          <w:color w:val="231F20"/>
          <w:spacing w:val="-8"/>
        </w:rPr>
        <w:t> </w:t>
      </w:r>
      <w:r>
        <w:rPr>
          <w:color w:val="231F20"/>
          <w:spacing w:val="-4"/>
        </w:rPr>
        <w:t>la</w:t>
      </w:r>
      <w:r>
        <w:rPr>
          <w:color w:val="231F20"/>
          <w:spacing w:val="-8"/>
        </w:rPr>
        <w:t> </w:t>
      </w:r>
      <w:r>
        <w:rPr>
          <w:color w:val="231F20"/>
          <w:spacing w:val="-4"/>
        </w:rPr>
        <w:t>vérité,</w:t>
      </w:r>
      <w:r>
        <w:rPr>
          <w:color w:val="231F20"/>
          <w:spacing w:val="-8"/>
        </w:rPr>
        <w:t> </w:t>
      </w:r>
      <w:r>
        <w:rPr>
          <w:color w:val="231F20"/>
          <w:spacing w:val="-4"/>
        </w:rPr>
        <w:t>peut-on</w:t>
      </w:r>
      <w:r>
        <w:rPr>
          <w:color w:val="231F20"/>
          <w:spacing w:val="-10"/>
        </w:rPr>
        <w:t> </w:t>
      </w:r>
      <w:r>
        <w:rPr>
          <w:color w:val="231F20"/>
          <w:spacing w:val="-4"/>
        </w:rPr>
        <w:t>reprocher</w:t>
      </w:r>
      <w:r>
        <w:rPr>
          <w:color w:val="231F20"/>
          <w:spacing w:val="-8"/>
        </w:rPr>
        <w:t> </w:t>
      </w:r>
      <w:r>
        <w:rPr>
          <w:color w:val="231F20"/>
          <w:spacing w:val="-4"/>
        </w:rPr>
        <w:t>à</w:t>
      </w:r>
      <w:r>
        <w:rPr>
          <w:color w:val="231F20"/>
          <w:spacing w:val="-8"/>
        </w:rPr>
        <w:t> </w:t>
      </w:r>
      <w:r>
        <w:rPr>
          <w:color w:val="231F20"/>
          <w:spacing w:val="-4"/>
        </w:rPr>
        <w:t>mes</w:t>
      </w:r>
      <w:r>
        <w:rPr>
          <w:color w:val="231F20"/>
          <w:spacing w:val="-8"/>
        </w:rPr>
        <w:t> </w:t>
      </w:r>
      <w:r>
        <w:rPr>
          <w:color w:val="231F20"/>
          <w:spacing w:val="-4"/>
        </w:rPr>
        <w:t>copains</w:t>
      </w:r>
      <w:r>
        <w:rPr>
          <w:color w:val="231F20"/>
          <w:spacing w:val="-9"/>
        </w:rPr>
        <w:t> </w:t>
      </w:r>
      <w:r>
        <w:rPr>
          <w:color w:val="231F20"/>
          <w:spacing w:val="-4"/>
        </w:rPr>
        <w:t>Français</w:t>
      </w:r>
      <w:r>
        <w:rPr>
          <w:color w:val="231F20"/>
          <w:spacing w:val="-8"/>
        </w:rPr>
        <w:t> </w:t>
      </w:r>
      <w:r>
        <w:rPr>
          <w:color w:val="231F20"/>
          <w:spacing w:val="-4"/>
        </w:rPr>
        <w:t>et</w:t>
      </w:r>
      <w:r>
        <w:rPr>
          <w:color w:val="231F20"/>
          <w:spacing w:val="-6"/>
        </w:rPr>
        <w:t> </w:t>
      </w:r>
      <w:r>
        <w:rPr>
          <w:color w:val="231F20"/>
          <w:spacing w:val="-4"/>
        </w:rPr>
        <w:t>à</w:t>
      </w:r>
      <w:r>
        <w:rPr>
          <w:color w:val="231F20"/>
          <w:spacing w:val="-11"/>
        </w:rPr>
        <w:t> </w:t>
      </w:r>
      <w:r>
        <w:rPr>
          <w:color w:val="231F20"/>
          <w:spacing w:val="-4"/>
        </w:rPr>
        <w:t>la</w:t>
      </w:r>
      <w:r>
        <w:rPr>
          <w:color w:val="231F20"/>
          <w:spacing w:val="-8"/>
        </w:rPr>
        <w:t> </w:t>
      </w:r>
      <w:r>
        <w:rPr>
          <w:color w:val="231F20"/>
          <w:spacing w:val="-4"/>
        </w:rPr>
        <w:t>Dame</w:t>
      </w:r>
      <w:r>
        <w:rPr>
          <w:color w:val="231F20"/>
          <w:spacing w:val="-11"/>
        </w:rPr>
        <w:t> </w:t>
      </w:r>
      <w:r>
        <w:rPr>
          <w:color w:val="231F20"/>
          <w:spacing w:val="-4"/>
        </w:rPr>
        <w:t>leur </w:t>
      </w:r>
      <w:r>
        <w:rPr>
          <w:color w:val="231F20"/>
        </w:rPr>
        <w:t>attitude</w:t>
      </w:r>
      <w:r>
        <w:rPr>
          <w:color w:val="231F20"/>
          <w:spacing w:val="-15"/>
        </w:rPr>
        <w:t> </w:t>
      </w:r>
      <w:r>
        <w:rPr>
          <w:color w:val="231F20"/>
        </w:rPr>
        <w:t>?</w:t>
      </w:r>
      <w:r>
        <w:rPr>
          <w:color w:val="231F20"/>
          <w:spacing w:val="-15"/>
        </w:rPr>
        <w:t> </w:t>
      </w:r>
      <w:r>
        <w:rPr>
          <w:color w:val="231F20"/>
        </w:rPr>
        <w:t>Ils</w:t>
      </w:r>
      <w:r>
        <w:rPr>
          <w:color w:val="231F20"/>
          <w:spacing w:val="-15"/>
        </w:rPr>
        <w:t> </w:t>
      </w:r>
      <w:r>
        <w:rPr>
          <w:color w:val="231F20"/>
        </w:rPr>
        <w:t>ne</w:t>
      </w:r>
      <w:r>
        <w:rPr>
          <w:color w:val="231F20"/>
          <w:spacing w:val="-15"/>
        </w:rPr>
        <w:t> </w:t>
      </w:r>
      <w:r>
        <w:rPr>
          <w:color w:val="231F20"/>
        </w:rPr>
        <w:t>connaissent</w:t>
      </w:r>
      <w:r>
        <w:rPr>
          <w:color w:val="231F20"/>
          <w:spacing w:val="-15"/>
        </w:rPr>
        <w:t> </w:t>
      </w:r>
      <w:r>
        <w:rPr>
          <w:color w:val="231F20"/>
        </w:rPr>
        <w:t>de</w:t>
      </w:r>
      <w:r>
        <w:rPr>
          <w:color w:val="231F20"/>
          <w:spacing w:val="-15"/>
        </w:rPr>
        <w:t> </w:t>
      </w:r>
      <w:r>
        <w:rPr>
          <w:color w:val="231F20"/>
        </w:rPr>
        <w:t>l’Afrique</w:t>
      </w:r>
      <w:r>
        <w:rPr>
          <w:color w:val="231F20"/>
          <w:spacing w:val="-15"/>
        </w:rPr>
        <w:t> </w:t>
      </w:r>
      <w:r>
        <w:rPr>
          <w:color w:val="231F20"/>
        </w:rPr>
        <w:t>et</w:t>
      </w:r>
      <w:r>
        <w:rPr>
          <w:color w:val="231F20"/>
          <w:spacing w:val="-15"/>
        </w:rPr>
        <w:t> </w:t>
      </w:r>
      <w:r>
        <w:rPr>
          <w:color w:val="231F20"/>
        </w:rPr>
        <w:t>des</w:t>
      </w:r>
      <w:r>
        <w:rPr>
          <w:color w:val="231F20"/>
          <w:spacing w:val="-15"/>
        </w:rPr>
        <w:t> </w:t>
      </w:r>
      <w:r>
        <w:rPr>
          <w:color w:val="231F20"/>
        </w:rPr>
        <w:t>Africains</w:t>
      </w:r>
      <w:r>
        <w:rPr>
          <w:color w:val="231F20"/>
          <w:spacing w:val="-15"/>
        </w:rPr>
        <w:t> </w:t>
      </w:r>
      <w:r>
        <w:rPr>
          <w:color w:val="231F20"/>
        </w:rPr>
        <w:t>que</w:t>
      </w:r>
      <w:r>
        <w:rPr>
          <w:color w:val="231F20"/>
          <w:spacing w:val="-15"/>
        </w:rPr>
        <w:t> </w:t>
      </w:r>
      <w:r>
        <w:rPr>
          <w:color w:val="231F20"/>
        </w:rPr>
        <w:t>ce</w:t>
      </w:r>
      <w:r>
        <w:rPr>
          <w:color w:val="231F20"/>
          <w:spacing w:val="-15"/>
        </w:rPr>
        <w:t> </w:t>
      </w:r>
      <w:r>
        <w:rPr>
          <w:color w:val="231F20"/>
        </w:rPr>
        <w:t>que</w:t>
      </w:r>
      <w:r>
        <w:rPr>
          <w:color w:val="231F20"/>
          <w:spacing w:val="-15"/>
        </w:rPr>
        <w:t> </w:t>
      </w:r>
      <w:r>
        <w:rPr>
          <w:color w:val="231F20"/>
        </w:rPr>
        <w:t>leur montrent</w:t>
      </w:r>
      <w:r>
        <w:rPr>
          <w:color w:val="231F20"/>
          <w:spacing w:val="-1"/>
        </w:rPr>
        <w:t> </w:t>
      </w:r>
      <w:r>
        <w:rPr>
          <w:color w:val="231F20"/>
        </w:rPr>
        <w:t>leurs</w:t>
      </w:r>
      <w:r>
        <w:rPr>
          <w:color w:val="231F20"/>
          <w:spacing w:val="-1"/>
        </w:rPr>
        <w:t> </w:t>
      </w:r>
      <w:r>
        <w:rPr>
          <w:color w:val="231F20"/>
        </w:rPr>
        <w:t>médias.</w:t>
      </w:r>
      <w:r>
        <w:rPr>
          <w:color w:val="231F20"/>
          <w:spacing w:val="-1"/>
        </w:rPr>
        <w:t> </w:t>
      </w:r>
      <w:r>
        <w:rPr>
          <w:color w:val="231F20"/>
        </w:rPr>
        <w:t>Et,</w:t>
      </w:r>
      <w:r>
        <w:rPr>
          <w:color w:val="231F20"/>
          <w:spacing w:val="-1"/>
        </w:rPr>
        <w:t> </w:t>
      </w:r>
      <w:r>
        <w:rPr>
          <w:color w:val="231F20"/>
        </w:rPr>
        <w:t>ce</w:t>
      </w:r>
      <w:r>
        <w:rPr>
          <w:color w:val="231F20"/>
          <w:spacing w:val="-2"/>
        </w:rPr>
        <w:t> </w:t>
      </w:r>
      <w:r>
        <w:rPr>
          <w:color w:val="231F20"/>
        </w:rPr>
        <w:t>serait</w:t>
      </w:r>
      <w:r>
        <w:rPr>
          <w:color w:val="231F20"/>
          <w:spacing w:val="-2"/>
        </w:rPr>
        <w:t> </w:t>
      </w:r>
      <w:r>
        <w:rPr>
          <w:color w:val="231F20"/>
        </w:rPr>
        <w:t>faire</w:t>
      </w:r>
      <w:r>
        <w:rPr>
          <w:color w:val="231F20"/>
          <w:spacing w:val="-2"/>
        </w:rPr>
        <w:t> </w:t>
      </w:r>
      <w:r>
        <w:rPr>
          <w:color w:val="231F20"/>
        </w:rPr>
        <w:t>un</w:t>
      </w:r>
      <w:r>
        <w:rPr>
          <w:color w:val="231F20"/>
          <w:spacing w:val="-1"/>
        </w:rPr>
        <w:t> </w:t>
      </w:r>
      <w:r>
        <w:rPr>
          <w:color w:val="231F20"/>
        </w:rPr>
        <w:t>faux</w:t>
      </w:r>
      <w:r>
        <w:rPr>
          <w:color w:val="231F20"/>
          <w:spacing w:val="-2"/>
        </w:rPr>
        <w:t> </w:t>
      </w:r>
      <w:r>
        <w:rPr>
          <w:color w:val="231F20"/>
        </w:rPr>
        <w:t>procès</w:t>
      </w:r>
      <w:r>
        <w:rPr>
          <w:color w:val="231F20"/>
          <w:spacing w:val="-14"/>
        </w:rPr>
        <w:t> </w:t>
      </w:r>
      <w:r>
        <w:rPr>
          <w:color w:val="231F20"/>
        </w:rPr>
        <w:t>aux</w:t>
      </w:r>
      <w:r>
        <w:rPr>
          <w:color w:val="231F20"/>
          <w:spacing w:val="-2"/>
        </w:rPr>
        <w:t> </w:t>
      </w:r>
      <w:r>
        <w:rPr>
          <w:color w:val="231F20"/>
        </w:rPr>
        <w:t>médias</w:t>
      </w:r>
      <w:r>
        <w:rPr>
          <w:color w:val="231F20"/>
          <w:spacing w:val="-1"/>
        </w:rPr>
        <w:t> </w:t>
      </w:r>
      <w:r>
        <w:rPr>
          <w:color w:val="231F20"/>
        </w:rPr>
        <w:t>du choix</w:t>
      </w:r>
      <w:r>
        <w:rPr>
          <w:color w:val="231F20"/>
          <w:spacing w:val="-9"/>
        </w:rPr>
        <w:t> </w:t>
      </w:r>
      <w:r>
        <w:rPr>
          <w:color w:val="231F20"/>
        </w:rPr>
        <w:t>de</w:t>
      </w:r>
      <w:r>
        <w:rPr>
          <w:color w:val="231F20"/>
          <w:spacing w:val="-10"/>
        </w:rPr>
        <w:t> </w:t>
      </w:r>
      <w:r>
        <w:rPr>
          <w:color w:val="231F20"/>
        </w:rPr>
        <w:t>l’angle</w:t>
      </w:r>
      <w:r>
        <w:rPr>
          <w:color w:val="231F20"/>
          <w:spacing w:val="-10"/>
        </w:rPr>
        <w:t> </w:t>
      </w:r>
      <w:r>
        <w:rPr>
          <w:color w:val="231F20"/>
        </w:rPr>
        <w:t>sous</w:t>
      </w:r>
      <w:r>
        <w:rPr>
          <w:color w:val="231F20"/>
          <w:spacing w:val="-9"/>
        </w:rPr>
        <w:t> </w:t>
      </w:r>
      <w:r>
        <w:rPr>
          <w:color w:val="231F20"/>
        </w:rPr>
        <w:t>lequel</w:t>
      </w:r>
      <w:r>
        <w:rPr>
          <w:color w:val="231F20"/>
          <w:spacing w:val="-7"/>
        </w:rPr>
        <w:t> </w:t>
      </w:r>
      <w:r>
        <w:rPr>
          <w:color w:val="231F20"/>
        </w:rPr>
        <w:t>ils</w:t>
      </w:r>
      <w:r>
        <w:rPr>
          <w:color w:val="231F20"/>
          <w:spacing w:val="-7"/>
        </w:rPr>
        <w:t> </w:t>
      </w:r>
      <w:r>
        <w:rPr>
          <w:color w:val="231F20"/>
        </w:rPr>
        <w:t>présentent</w:t>
      </w:r>
      <w:r>
        <w:rPr>
          <w:color w:val="231F20"/>
          <w:spacing w:val="-10"/>
        </w:rPr>
        <w:t> </w:t>
      </w:r>
      <w:r>
        <w:rPr>
          <w:color w:val="231F20"/>
        </w:rPr>
        <w:t>l’Afrique</w:t>
      </w:r>
      <w:r>
        <w:rPr>
          <w:color w:val="231F20"/>
          <w:spacing w:val="-15"/>
        </w:rPr>
        <w:t> </w:t>
      </w:r>
      <w:r>
        <w:rPr>
          <w:color w:val="231F20"/>
        </w:rPr>
        <w:t>:</w:t>
      </w:r>
      <w:r>
        <w:rPr>
          <w:color w:val="231F20"/>
          <w:spacing w:val="-7"/>
        </w:rPr>
        <w:t> </w:t>
      </w:r>
      <w:r>
        <w:rPr>
          <w:color w:val="231F20"/>
        </w:rPr>
        <w:t>en</w:t>
      </w:r>
      <w:r>
        <w:rPr>
          <w:color w:val="231F20"/>
          <w:spacing w:val="-7"/>
        </w:rPr>
        <w:t> </w:t>
      </w:r>
      <w:r>
        <w:rPr>
          <w:color w:val="231F20"/>
        </w:rPr>
        <w:t>journalisme</w:t>
      </w:r>
      <w:r>
        <w:rPr>
          <w:color w:val="231F20"/>
          <w:spacing w:val="-10"/>
        </w:rPr>
        <w:t> </w:t>
      </w:r>
      <w:r>
        <w:rPr>
          <w:color w:val="231F20"/>
        </w:rPr>
        <w:t>on </w:t>
      </w:r>
      <w:r>
        <w:rPr>
          <w:color w:val="231F20"/>
          <w:spacing w:val="-4"/>
        </w:rPr>
        <w:t>apprend</w:t>
      </w:r>
      <w:r>
        <w:rPr>
          <w:color w:val="231F20"/>
          <w:spacing w:val="-9"/>
        </w:rPr>
        <w:t> </w:t>
      </w:r>
      <w:r>
        <w:rPr>
          <w:color w:val="231F20"/>
          <w:spacing w:val="-4"/>
        </w:rPr>
        <w:t>qu’un</w:t>
      </w:r>
      <w:r>
        <w:rPr>
          <w:color w:val="231F20"/>
          <w:spacing w:val="-11"/>
        </w:rPr>
        <w:t> </w:t>
      </w:r>
      <w:r>
        <w:rPr>
          <w:color w:val="231F20"/>
          <w:spacing w:val="-4"/>
        </w:rPr>
        <w:t>train</w:t>
      </w:r>
      <w:r>
        <w:rPr>
          <w:color w:val="231F20"/>
          <w:spacing w:val="-9"/>
        </w:rPr>
        <w:t> </w:t>
      </w:r>
      <w:r>
        <w:rPr>
          <w:color w:val="231F20"/>
          <w:spacing w:val="-4"/>
        </w:rPr>
        <w:t>à</w:t>
      </w:r>
      <w:r>
        <w:rPr>
          <w:color w:val="231F20"/>
          <w:spacing w:val="-9"/>
        </w:rPr>
        <w:t> </w:t>
      </w:r>
      <w:r>
        <w:rPr>
          <w:color w:val="231F20"/>
          <w:spacing w:val="-4"/>
        </w:rPr>
        <w:t>l’heure,</w:t>
      </w:r>
      <w:r>
        <w:rPr>
          <w:color w:val="231F20"/>
          <w:spacing w:val="-9"/>
        </w:rPr>
        <w:t> </w:t>
      </w:r>
      <w:r>
        <w:rPr>
          <w:color w:val="231F20"/>
          <w:spacing w:val="-4"/>
        </w:rPr>
        <w:t>cela</w:t>
      </w:r>
      <w:r>
        <w:rPr>
          <w:color w:val="231F20"/>
          <w:spacing w:val="-9"/>
        </w:rPr>
        <w:t> </w:t>
      </w:r>
      <w:r>
        <w:rPr>
          <w:color w:val="231F20"/>
          <w:spacing w:val="-4"/>
        </w:rPr>
        <w:t>ne</w:t>
      </w:r>
      <w:r>
        <w:rPr>
          <w:color w:val="231F20"/>
          <w:spacing w:val="-10"/>
        </w:rPr>
        <w:t> </w:t>
      </w:r>
      <w:r>
        <w:rPr>
          <w:color w:val="231F20"/>
          <w:spacing w:val="-4"/>
        </w:rPr>
        <w:t>constitue</w:t>
      </w:r>
      <w:r>
        <w:rPr>
          <w:color w:val="231F20"/>
          <w:spacing w:val="-9"/>
        </w:rPr>
        <w:t> </w:t>
      </w:r>
      <w:r>
        <w:rPr>
          <w:color w:val="231F20"/>
          <w:spacing w:val="-4"/>
        </w:rPr>
        <w:t>pas</w:t>
      </w:r>
      <w:r>
        <w:rPr>
          <w:color w:val="231F20"/>
          <w:spacing w:val="-11"/>
        </w:rPr>
        <w:t> </w:t>
      </w:r>
      <w:r>
        <w:rPr>
          <w:color w:val="231F20"/>
          <w:spacing w:val="-4"/>
        </w:rPr>
        <w:t>une</w:t>
      </w:r>
      <w:r>
        <w:rPr>
          <w:color w:val="231F20"/>
          <w:spacing w:val="-9"/>
        </w:rPr>
        <w:t> </w:t>
      </w:r>
      <w:r>
        <w:rPr>
          <w:color w:val="231F20"/>
          <w:spacing w:val="-4"/>
        </w:rPr>
        <w:t>nouvelle,</w:t>
      </w:r>
      <w:r>
        <w:rPr>
          <w:color w:val="231F20"/>
          <w:spacing w:val="-9"/>
        </w:rPr>
        <w:t> </w:t>
      </w:r>
      <w:r>
        <w:rPr>
          <w:color w:val="231F20"/>
          <w:spacing w:val="-4"/>
        </w:rPr>
        <w:t>un</w:t>
      </w:r>
      <w:r>
        <w:rPr>
          <w:color w:val="231F20"/>
          <w:spacing w:val="-9"/>
        </w:rPr>
        <w:t> </w:t>
      </w:r>
      <w:r>
        <w:rPr>
          <w:color w:val="231F20"/>
          <w:spacing w:val="-4"/>
        </w:rPr>
        <w:t>chien </w:t>
      </w:r>
      <w:r>
        <w:rPr>
          <w:color w:val="231F20"/>
        </w:rPr>
        <w:t>qui mord son maître, cela n’a rien d’important. Par contre, un train en retard,</w:t>
      </w:r>
      <w:r>
        <w:rPr>
          <w:color w:val="231F20"/>
          <w:spacing w:val="-7"/>
        </w:rPr>
        <w:t> </w:t>
      </w:r>
      <w:r>
        <w:rPr>
          <w:color w:val="231F20"/>
        </w:rPr>
        <w:t>un</w:t>
      </w:r>
      <w:r>
        <w:rPr>
          <w:color w:val="231F20"/>
          <w:spacing w:val="-9"/>
        </w:rPr>
        <w:t> </w:t>
      </w:r>
      <w:r>
        <w:rPr>
          <w:color w:val="231F20"/>
        </w:rPr>
        <w:t>maître</w:t>
      </w:r>
      <w:r>
        <w:rPr>
          <w:color w:val="231F20"/>
          <w:spacing w:val="-7"/>
        </w:rPr>
        <w:t> </w:t>
      </w:r>
      <w:r>
        <w:rPr>
          <w:color w:val="231F20"/>
        </w:rPr>
        <w:t>qui</w:t>
      </w:r>
      <w:r>
        <w:rPr>
          <w:color w:val="231F20"/>
          <w:spacing w:val="-9"/>
        </w:rPr>
        <w:t> </w:t>
      </w:r>
      <w:r>
        <w:rPr>
          <w:color w:val="231F20"/>
        </w:rPr>
        <w:t>mord</w:t>
      </w:r>
      <w:r>
        <w:rPr>
          <w:color w:val="231F20"/>
          <w:spacing w:val="-9"/>
        </w:rPr>
        <w:t> </w:t>
      </w:r>
      <w:r>
        <w:rPr>
          <w:color w:val="231F20"/>
        </w:rPr>
        <w:t>son</w:t>
      </w:r>
      <w:r>
        <w:rPr>
          <w:color w:val="231F20"/>
          <w:spacing w:val="-7"/>
        </w:rPr>
        <w:t> </w:t>
      </w:r>
      <w:r>
        <w:rPr>
          <w:color w:val="231F20"/>
        </w:rPr>
        <w:t>chien,</w:t>
      </w:r>
      <w:r>
        <w:rPr>
          <w:color w:val="231F20"/>
          <w:spacing w:val="-7"/>
        </w:rPr>
        <w:t> </w:t>
      </w:r>
      <w:r>
        <w:rPr>
          <w:color w:val="231F20"/>
        </w:rPr>
        <w:t>cela</w:t>
      </w:r>
      <w:r>
        <w:rPr>
          <w:color w:val="231F20"/>
          <w:spacing w:val="-7"/>
        </w:rPr>
        <w:t> </w:t>
      </w:r>
      <w:r>
        <w:rPr>
          <w:color w:val="231F20"/>
        </w:rPr>
        <w:t>devient</w:t>
      </w:r>
      <w:r>
        <w:rPr>
          <w:color w:val="231F20"/>
          <w:spacing w:val="-9"/>
        </w:rPr>
        <w:t> </w:t>
      </w:r>
      <w:r>
        <w:rPr>
          <w:color w:val="231F20"/>
        </w:rPr>
        <w:t>des</w:t>
      </w:r>
      <w:r>
        <w:rPr>
          <w:color w:val="231F20"/>
          <w:spacing w:val="-7"/>
        </w:rPr>
        <w:t> </w:t>
      </w:r>
      <w:r>
        <w:rPr>
          <w:color w:val="231F20"/>
        </w:rPr>
        <w:t>titres</w:t>
      </w:r>
      <w:r>
        <w:rPr>
          <w:color w:val="231F20"/>
          <w:spacing w:val="-9"/>
        </w:rPr>
        <w:t> </w:t>
      </w:r>
      <w:r>
        <w:rPr>
          <w:color w:val="231F20"/>
        </w:rPr>
        <w:t>vendables.</w:t>
      </w:r>
    </w:p>
    <w:p>
      <w:pPr>
        <w:spacing w:before="121"/>
        <w:ind w:left="111" w:right="102" w:firstLine="283"/>
        <w:jc w:val="both"/>
        <w:rPr>
          <w:i/>
          <w:sz w:val="24"/>
        </w:rPr>
      </w:pPr>
      <w:r>
        <w:rPr>
          <w:color w:val="231F20"/>
          <w:sz w:val="24"/>
        </w:rPr>
        <w:t>De</w:t>
      </w:r>
      <w:r>
        <w:rPr>
          <w:color w:val="231F20"/>
          <w:spacing w:val="-5"/>
          <w:sz w:val="24"/>
        </w:rPr>
        <w:t> </w:t>
      </w:r>
      <w:r>
        <w:rPr>
          <w:color w:val="231F20"/>
          <w:sz w:val="24"/>
        </w:rPr>
        <w:t>la</w:t>
      </w:r>
      <w:r>
        <w:rPr>
          <w:color w:val="231F20"/>
          <w:spacing w:val="-5"/>
          <w:sz w:val="24"/>
        </w:rPr>
        <w:t> </w:t>
      </w:r>
      <w:r>
        <w:rPr>
          <w:color w:val="231F20"/>
          <w:sz w:val="24"/>
        </w:rPr>
        <w:t>traite</w:t>
      </w:r>
      <w:r>
        <w:rPr>
          <w:color w:val="231F20"/>
          <w:spacing w:val="-6"/>
          <w:sz w:val="24"/>
        </w:rPr>
        <w:t> </w:t>
      </w:r>
      <w:r>
        <w:rPr>
          <w:color w:val="231F20"/>
          <w:sz w:val="24"/>
        </w:rPr>
        <w:t>négrière</w:t>
      </w:r>
      <w:r>
        <w:rPr>
          <w:color w:val="231F20"/>
          <w:spacing w:val="-5"/>
          <w:sz w:val="24"/>
        </w:rPr>
        <w:t> </w:t>
      </w:r>
      <w:r>
        <w:rPr>
          <w:color w:val="231F20"/>
          <w:sz w:val="24"/>
        </w:rPr>
        <w:t>à</w:t>
      </w:r>
      <w:r>
        <w:rPr>
          <w:color w:val="231F20"/>
          <w:spacing w:val="-6"/>
          <w:sz w:val="24"/>
        </w:rPr>
        <w:t> </w:t>
      </w:r>
      <w:r>
        <w:rPr>
          <w:color w:val="231F20"/>
          <w:sz w:val="24"/>
        </w:rPr>
        <w:t>la</w:t>
      </w:r>
      <w:r>
        <w:rPr>
          <w:color w:val="231F20"/>
          <w:spacing w:val="-6"/>
          <w:sz w:val="24"/>
        </w:rPr>
        <w:t> </w:t>
      </w:r>
      <w:r>
        <w:rPr>
          <w:color w:val="231F20"/>
          <w:sz w:val="24"/>
        </w:rPr>
        <w:t>colonisation</w:t>
      </w:r>
      <w:r>
        <w:rPr>
          <w:color w:val="231F20"/>
          <w:spacing w:val="-5"/>
          <w:sz w:val="24"/>
        </w:rPr>
        <w:t> </w:t>
      </w:r>
      <w:r>
        <w:rPr>
          <w:color w:val="231F20"/>
          <w:sz w:val="24"/>
        </w:rPr>
        <w:t>française,</w:t>
      </w:r>
      <w:r>
        <w:rPr>
          <w:color w:val="231F20"/>
          <w:spacing w:val="-5"/>
          <w:sz w:val="24"/>
        </w:rPr>
        <w:t> </w:t>
      </w:r>
      <w:r>
        <w:rPr>
          <w:color w:val="231F20"/>
          <w:sz w:val="24"/>
        </w:rPr>
        <w:t>l'homme</w:t>
      </w:r>
      <w:r>
        <w:rPr>
          <w:color w:val="231F20"/>
          <w:spacing w:val="-6"/>
          <w:sz w:val="24"/>
        </w:rPr>
        <w:t> </w:t>
      </w:r>
      <w:r>
        <w:rPr>
          <w:color w:val="231F20"/>
          <w:sz w:val="24"/>
        </w:rPr>
        <w:t>Blanc</w:t>
      </w:r>
      <w:r>
        <w:rPr>
          <w:color w:val="231F20"/>
          <w:spacing w:val="-5"/>
          <w:sz w:val="24"/>
        </w:rPr>
        <w:t> </w:t>
      </w:r>
      <w:r>
        <w:rPr>
          <w:color w:val="231F20"/>
          <w:sz w:val="24"/>
        </w:rPr>
        <w:t>a</w:t>
      </w:r>
      <w:r>
        <w:rPr>
          <w:color w:val="231F20"/>
          <w:spacing w:val="-5"/>
          <w:sz w:val="24"/>
        </w:rPr>
        <w:t> </w:t>
      </w:r>
      <w:r>
        <w:rPr>
          <w:color w:val="231F20"/>
          <w:sz w:val="24"/>
        </w:rPr>
        <w:t>été perçu</w:t>
      </w:r>
      <w:r>
        <w:rPr>
          <w:color w:val="231F20"/>
          <w:spacing w:val="-2"/>
          <w:sz w:val="24"/>
        </w:rPr>
        <w:t> </w:t>
      </w:r>
      <w:r>
        <w:rPr>
          <w:color w:val="231F20"/>
          <w:sz w:val="24"/>
        </w:rPr>
        <w:t>comme</w:t>
      </w:r>
      <w:r>
        <w:rPr>
          <w:color w:val="231F20"/>
          <w:spacing w:val="-4"/>
          <w:sz w:val="24"/>
        </w:rPr>
        <w:t> </w:t>
      </w:r>
      <w:r>
        <w:rPr>
          <w:color w:val="231F20"/>
          <w:sz w:val="24"/>
        </w:rPr>
        <w:t>un</w:t>
      </w:r>
      <w:r>
        <w:rPr>
          <w:color w:val="231F20"/>
          <w:spacing w:val="-4"/>
          <w:sz w:val="24"/>
        </w:rPr>
        <w:t> </w:t>
      </w:r>
      <w:r>
        <w:rPr>
          <w:color w:val="231F20"/>
          <w:sz w:val="24"/>
        </w:rPr>
        <w:t>être</w:t>
      </w:r>
      <w:r>
        <w:rPr>
          <w:color w:val="231F20"/>
          <w:spacing w:val="-3"/>
          <w:sz w:val="24"/>
        </w:rPr>
        <w:t> </w:t>
      </w:r>
      <w:r>
        <w:rPr>
          <w:color w:val="231F20"/>
          <w:sz w:val="24"/>
        </w:rPr>
        <w:t>au-dessus</w:t>
      </w:r>
      <w:r>
        <w:rPr>
          <w:color w:val="231F20"/>
          <w:spacing w:val="-3"/>
          <w:sz w:val="24"/>
        </w:rPr>
        <w:t> </w:t>
      </w:r>
      <w:r>
        <w:rPr>
          <w:color w:val="231F20"/>
          <w:sz w:val="24"/>
        </w:rPr>
        <w:t>du</w:t>
      </w:r>
      <w:r>
        <w:rPr>
          <w:color w:val="231F20"/>
          <w:spacing w:val="-2"/>
          <w:sz w:val="24"/>
        </w:rPr>
        <w:t> </w:t>
      </w:r>
      <w:r>
        <w:rPr>
          <w:color w:val="231F20"/>
          <w:sz w:val="24"/>
        </w:rPr>
        <w:t>Noir</w:t>
      </w:r>
      <w:r>
        <w:rPr>
          <w:color w:val="231F20"/>
          <w:spacing w:val="-4"/>
          <w:sz w:val="24"/>
        </w:rPr>
        <w:t> </w:t>
      </w:r>
      <w:r>
        <w:rPr>
          <w:color w:val="231F20"/>
          <w:sz w:val="24"/>
        </w:rPr>
        <w:t>et</w:t>
      </w:r>
      <w:r>
        <w:rPr>
          <w:color w:val="231F20"/>
          <w:spacing w:val="-3"/>
          <w:sz w:val="24"/>
        </w:rPr>
        <w:t> </w:t>
      </w:r>
      <w:r>
        <w:rPr>
          <w:color w:val="231F20"/>
          <w:sz w:val="24"/>
        </w:rPr>
        <w:t>lui-même</w:t>
      </w:r>
      <w:r>
        <w:rPr>
          <w:color w:val="231F20"/>
          <w:spacing w:val="-2"/>
          <w:sz w:val="24"/>
        </w:rPr>
        <w:t> </w:t>
      </w:r>
      <w:r>
        <w:rPr>
          <w:color w:val="231F20"/>
          <w:sz w:val="24"/>
        </w:rPr>
        <w:t>a</w:t>
      </w:r>
      <w:r>
        <w:rPr>
          <w:color w:val="231F20"/>
          <w:spacing w:val="-4"/>
          <w:sz w:val="24"/>
        </w:rPr>
        <w:t> </w:t>
      </w:r>
      <w:r>
        <w:rPr>
          <w:color w:val="231F20"/>
          <w:sz w:val="24"/>
        </w:rPr>
        <w:t>souvent</w:t>
      </w:r>
      <w:r>
        <w:rPr>
          <w:color w:val="231F20"/>
          <w:spacing w:val="-3"/>
          <w:sz w:val="24"/>
        </w:rPr>
        <w:t> </w:t>
      </w:r>
      <w:r>
        <w:rPr>
          <w:color w:val="231F20"/>
          <w:sz w:val="24"/>
        </w:rPr>
        <w:t>cherché délibérément</w:t>
      </w:r>
      <w:r>
        <w:rPr>
          <w:color w:val="231F20"/>
          <w:spacing w:val="-13"/>
          <w:sz w:val="24"/>
        </w:rPr>
        <w:t> </w:t>
      </w:r>
      <w:r>
        <w:rPr>
          <w:color w:val="231F20"/>
          <w:sz w:val="24"/>
        </w:rPr>
        <w:t>à</w:t>
      </w:r>
      <w:r>
        <w:rPr>
          <w:color w:val="231F20"/>
          <w:spacing w:val="-11"/>
          <w:sz w:val="24"/>
        </w:rPr>
        <w:t> </w:t>
      </w:r>
      <w:r>
        <w:rPr>
          <w:color w:val="231F20"/>
          <w:sz w:val="24"/>
        </w:rPr>
        <w:t>passer</w:t>
      </w:r>
      <w:r>
        <w:rPr>
          <w:color w:val="231F20"/>
          <w:spacing w:val="-12"/>
          <w:sz w:val="24"/>
        </w:rPr>
        <w:t> </w:t>
      </w:r>
      <w:r>
        <w:rPr>
          <w:color w:val="231F20"/>
          <w:sz w:val="24"/>
        </w:rPr>
        <w:t>pour</w:t>
      </w:r>
      <w:r>
        <w:rPr>
          <w:color w:val="231F20"/>
          <w:spacing w:val="-12"/>
          <w:sz w:val="24"/>
        </w:rPr>
        <w:t> </w:t>
      </w:r>
      <w:r>
        <w:rPr>
          <w:color w:val="231F20"/>
          <w:sz w:val="24"/>
        </w:rPr>
        <w:t>tel</w:t>
      </w:r>
      <w:r>
        <w:rPr>
          <w:color w:val="231F20"/>
          <w:spacing w:val="-15"/>
          <w:sz w:val="24"/>
        </w:rPr>
        <w:t> </w:t>
      </w:r>
      <w:r>
        <w:rPr>
          <w:color w:val="231F20"/>
          <w:sz w:val="24"/>
        </w:rPr>
        <w:t>:</w:t>
      </w:r>
      <w:r>
        <w:rPr>
          <w:color w:val="231F20"/>
          <w:spacing w:val="-12"/>
          <w:sz w:val="24"/>
        </w:rPr>
        <w:t> </w:t>
      </w:r>
      <w:r>
        <w:rPr>
          <w:i/>
          <w:color w:val="231F20"/>
          <w:sz w:val="24"/>
        </w:rPr>
        <w:t>«</w:t>
      </w:r>
      <w:r>
        <w:rPr>
          <w:i/>
          <w:color w:val="231F20"/>
          <w:spacing w:val="-15"/>
          <w:sz w:val="24"/>
        </w:rPr>
        <w:t> </w:t>
      </w:r>
      <w:r>
        <w:rPr>
          <w:i/>
          <w:color w:val="231F20"/>
          <w:sz w:val="24"/>
        </w:rPr>
        <w:t>Ces</w:t>
      </w:r>
      <w:r>
        <w:rPr>
          <w:i/>
          <w:color w:val="231F20"/>
          <w:spacing w:val="-11"/>
          <w:sz w:val="24"/>
        </w:rPr>
        <w:t> </w:t>
      </w:r>
      <w:r>
        <w:rPr>
          <w:i/>
          <w:color w:val="231F20"/>
          <w:sz w:val="24"/>
        </w:rPr>
        <w:t>gens-là</w:t>
      </w:r>
      <w:r>
        <w:rPr>
          <w:i/>
          <w:color w:val="231F20"/>
          <w:spacing w:val="-11"/>
          <w:sz w:val="24"/>
        </w:rPr>
        <w:t> </w:t>
      </w:r>
      <w:r>
        <w:rPr>
          <w:i/>
          <w:color w:val="231F20"/>
          <w:sz w:val="24"/>
        </w:rPr>
        <w:t>s'imaginent</w:t>
      </w:r>
      <w:r>
        <w:rPr>
          <w:i/>
          <w:color w:val="231F20"/>
          <w:spacing w:val="-11"/>
          <w:sz w:val="24"/>
        </w:rPr>
        <w:t> </w:t>
      </w:r>
      <w:r>
        <w:rPr>
          <w:i/>
          <w:color w:val="231F20"/>
          <w:sz w:val="24"/>
        </w:rPr>
        <w:t>que</w:t>
      </w:r>
      <w:r>
        <w:rPr>
          <w:i/>
          <w:color w:val="231F20"/>
          <w:spacing w:val="-11"/>
          <w:sz w:val="24"/>
        </w:rPr>
        <w:t> </w:t>
      </w:r>
      <w:r>
        <w:rPr>
          <w:i/>
          <w:color w:val="231F20"/>
          <w:sz w:val="24"/>
        </w:rPr>
        <w:t>je</w:t>
      </w:r>
      <w:r>
        <w:rPr>
          <w:i/>
          <w:color w:val="231F20"/>
          <w:spacing w:val="-11"/>
          <w:sz w:val="24"/>
        </w:rPr>
        <w:t> </w:t>
      </w:r>
      <w:r>
        <w:rPr>
          <w:i/>
          <w:color w:val="231F20"/>
          <w:sz w:val="24"/>
        </w:rPr>
        <w:t>voyage</w:t>
      </w:r>
      <w:r>
        <w:rPr>
          <w:i/>
          <w:color w:val="231F20"/>
          <w:sz w:val="24"/>
        </w:rPr>
        <w:t> escorté de fétiches et que je suis revêtu d'une puissance surnaturelle</w:t>
      </w:r>
      <w:r>
        <w:rPr>
          <w:i/>
          <w:color w:val="231F20"/>
          <w:spacing w:val="-15"/>
          <w:sz w:val="24"/>
        </w:rPr>
        <w:t> </w:t>
      </w:r>
      <w:r>
        <w:rPr>
          <w:i/>
          <w:color w:val="231F20"/>
          <w:sz w:val="24"/>
        </w:rPr>
        <w:t>; croyance</w:t>
      </w:r>
      <w:r>
        <w:rPr>
          <w:i/>
          <w:color w:val="231F20"/>
          <w:spacing w:val="-15"/>
          <w:sz w:val="24"/>
        </w:rPr>
        <w:t> </w:t>
      </w:r>
      <w:r>
        <w:rPr>
          <w:i/>
          <w:color w:val="231F20"/>
          <w:sz w:val="24"/>
        </w:rPr>
        <w:t>que</w:t>
      </w:r>
      <w:r>
        <w:rPr>
          <w:i/>
          <w:color w:val="231F20"/>
          <w:spacing w:val="-15"/>
          <w:sz w:val="24"/>
        </w:rPr>
        <w:t> </w:t>
      </w:r>
      <w:r>
        <w:rPr>
          <w:i/>
          <w:color w:val="231F20"/>
          <w:sz w:val="24"/>
        </w:rPr>
        <w:t>je</w:t>
      </w:r>
      <w:r>
        <w:rPr>
          <w:i/>
          <w:color w:val="231F20"/>
          <w:spacing w:val="-15"/>
          <w:sz w:val="24"/>
        </w:rPr>
        <w:t> </w:t>
      </w:r>
      <w:r>
        <w:rPr>
          <w:i/>
          <w:color w:val="231F20"/>
          <w:sz w:val="24"/>
        </w:rPr>
        <w:t>me</w:t>
      </w:r>
      <w:r>
        <w:rPr>
          <w:i/>
          <w:color w:val="231F20"/>
          <w:spacing w:val="-15"/>
          <w:sz w:val="24"/>
        </w:rPr>
        <w:t> </w:t>
      </w:r>
      <w:r>
        <w:rPr>
          <w:i/>
          <w:color w:val="231F20"/>
          <w:sz w:val="24"/>
        </w:rPr>
        <w:t>garde</w:t>
      </w:r>
      <w:r>
        <w:rPr>
          <w:i/>
          <w:color w:val="231F20"/>
          <w:spacing w:val="-15"/>
          <w:sz w:val="24"/>
        </w:rPr>
        <w:t> </w:t>
      </w:r>
      <w:r>
        <w:rPr>
          <w:i/>
          <w:color w:val="231F20"/>
          <w:sz w:val="24"/>
        </w:rPr>
        <w:t>bien</w:t>
      </w:r>
      <w:r>
        <w:rPr>
          <w:i/>
          <w:color w:val="231F20"/>
          <w:spacing w:val="-15"/>
          <w:sz w:val="24"/>
        </w:rPr>
        <w:t> </w:t>
      </w:r>
      <w:r>
        <w:rPr>
          <w:i/>
          <w:color w:val="231F20"/>
          <w:sz w:val="24"/>
        </w:rPr>
        <w:t>de</w:t>
      </w:r>
      <w:r>
        <w:rPr>
          <w:i/>
          <w:color w:val="231F20"/>
          <w:spacing w:val="-15"/>
          <w:sz w:val="24"/>
        </w:rPr>
        <w:t> </w:t>
      </w:r>
      <w:r>
        <w:rPr>
          <w:i/>
          <w:color w:val="231F20"/>
          <w:sz w:val="24"/>
        </w:rPr>
        <w:t>détruire,</w:t>
      </w:r>
      <w:r>
        <w:rPr>
          <w:i/>
          <w:color w:val="231F20"/>
          <w:spacing w:val="-15"/>
          <w:sz w:val="24"/>
        </w:rPr>
        <w:t> </w:t>
      </w:r>
      <w:r>
        <w:rPr>
          <w:i/>
          <w:color w:val="231F20"/>
          <w:sz w:val="24"/>
        </w:rPr>
        <w:t>car</w:t>
      </w:r>
      <w:r>
        <w:rPr>
          <w:i/>
          <w:color w:val="231F20"/>
          <w:spacing w:val="-15"/>
          <w:sz w:val="24"/>
        </w:rPr>
        <w:t> </w:t>
      </w:r>
      <w:r>
        <w:rPr>
          <w:i/>
          <w:color w:val="231F20"/>
          <w:sz w:val="24"/>
        </w:rPr>
        <w:t>elle</w:t>
      </w:r>
      <w:r>
        <w:rPr>
          <w:i/>
          <w:color w:val="231F20"/>
          <w:spacing w:val="-15"/>
          <w:sz w:val="24"/>
        </w:rPr>
        <w:t> </w:t>
      </w:r>
      <w:r>
        <w:rPr>
          <w:i/>
          <w:color w:val="231F20"/>
          <w:sz w:val="24"/>
        </w:rPr>
        <w:t>sert</w:t>
      </w:r>
      <w:r>
        <w:rPr>
          <w:i/>
          <w:color w:val="231F20"/>
          <w:spacing w:val="-15"/>
          <w:sz w:val="24"/>
        </w:rPr>
        <w:t> </w:t>
      </w:r>
      <w:r>
        <w:rPr>
          <w:i/>
          <w:color w:val="231F20"/>
          <w:sz w:val="24"/>
        </w:rPr>
        <w:t>à</w:t>
      </w:r>
      <w:r>
        <w:rPr>
          <w:i/>
          <w:color w:val="231F20"/>
          <w:spacing w:val="-15"/>
          <w:sz w:val="24"/>
        </w:rPr>
        <w:t> </w:t>
      </w:r>
      <w:r>
        <w:rPr>
          <w:i/>
          <w:color w:val="231F20"/>
          <w:sz w:val="24"/>
        </w:rPr>
        <w:t>maintenir</w:t>
      </w:r>
      <w:r>
        <w:rPr>
          <w:i/>
          <w:color w:val="231F20"/>
          <w:spacing w:val="-15"/>
          <w:sz w:val="24"/>
        </w:rPr>
        <w:t> </w:t>
      </w:r>
      <w:r>
        <w:rPr>
          <w:i/>
          <w:color w:val="231F20"/>
          <w:sz w:val="24"/>
        </w:rPr>
        <w:t>mon prestige parmi eux</w:t>
      </w:r>
      <w:r>
        <w:rPr>
          <w:color w:val="76787A"/>
          <w:sz w:val="24"/>
          <w:vertAlign w:val="superscript"/>
        </w:rPr>
        <w:t>230</w:t>
      </w:r>
      <w:r>
        <w:rPr>
          <w:color w:val="231F20"/>
          <w:sz w:val="24"/>
          <w:vertAlign w:val="baseline"/>
        </w:rPr>
        <w:t>. </w:t>
      </w:r>
      <w:r>
        <w:rPr>
          <w:i/>
          <w:color w:val="231F20"/>
          <w:sz w:val="24"/>
          <w:vertAlign w:val="baseline"/>
        </w:rPr>
        <w:t>»</w:t>
      </w:r>
    </w:p>
    <w:p>
      <w:pPr>
        <w:pStyle w:val="BodyText"/>
        <w:spacing w:before="120"/>
        <w:ind w:left="395"/>
      </w:pPr>
      <w:r>
        <w:rPr>
          <w:color w:val="231F20"/>
          <w:spacing w:val="-4"/>
        </w:rPr>
        <w:t>Paul</w:t>
      </w:r>
      <w:r>
        <w:rPr>
          <w:color w:val="231F20"/>
          <w:spacing w:val="-11"/>
        </w:rPr>
        <w:t> </w:t>
      </w:r>
      <w:r>
        <w:rPr>
          <w:color w:val="231F20"/>
          <w:spacing w:val="-4"/>
        </w:rPr>
        <w:t>du</w:t>
      </w:r>
      <w:r>
        <w:rPr>
          <w:color w:val="231F20"/>
          <w:spacing w:val="-7"/>
        </w:rPr>
        <w:t> </w:t>
      </w:r>
      <w:r>
        <w:rPr>
          <w:color w:val="231F20"/>
          <w:spacing w:val="-4"/>
        </w:rPr>
        <w:t>Chaillu</w:t>
      </w:r>
      <w:r>
        <w:rPr>
          <w:color w:val="231F20"/>
          <w:spacing w:val="-8"/>
        </w:rPr>
        <w:t> </w:t>
      </w:r>
      <w:r>
        <w:rPr>
          <w:color w:val="231F20"/>
          <w:spacing w:val="-4"/>
        </w:rPr>
        <w:t>et</w:t>
      </w:r>
      <w:r>
        <w:rPr>
          <w:color w:val="231F20"/>
          <w:spacing w:val="-10"/>
        </w:rPr>
        <w:t> </w:t>
      </w:r>
      <w:r>
        <w:rPr>
          <w:color w:val="231F20"/>
          <w:spacing w:val="-4"/>
        </w:rPr>
        <w:t>beaucoup</w:t>
      </w:r>
      <w:r>
        <w:rPr>
          <w:color w:val="231F20"/>
          <w:spacing w:val="-8"/>
        </w:rPr>
        <w:t> </w:t>
      </w:r>
      <w:r>
        <w:rPr>
          <w:color w:val="231F20"/>
          <w:spacing w:val="-4"/>
        </w:rPr>
        <w:t>de</w:t>
      </w:r>
      <w:r>
        <w:rPr>
          <w:color w:val="231F20"/>
          <w:spacing w:val="-8"/>
        </w:rPr>
        <w:t> </w:t>
      </w:r>
      <w:r>
        <w:rPr>
          <w:color w:val="231F20"/>
          <w:spacing w:val="-4"/>
        </w:rPr>
        <w:t>ses</w:t>
      </w:r>
      <w:r>
        <w:rPr>
          <w:color w:val="231F20"/>
          <w:spacing w:val="-11"/>
        </w:rPr>
        <w:t> </w:t>
      </w:r>
      <w:r>
        <w:rPr>
          <w:color w:val="231F20"/>
          <w:spacing w:val="-4"/>
        </w:rPr>
        <w:t>semblables</w:t>
      </w:r>
      <w:r>
        <w:rPr>
          <w:color w:val="231F20"/>
          <w:spacing w:val="-11"/>
        </w:rPr>
        <w:t> </w:t>
      </w:r>
      <w:r>
        <w:rPr>
          <w:color w:val="231F20"/>
          <w:spacing w:val="-4"/>
        </w:rPr>
        <w:t>qui</w:t>
      </w:r>
      <w:r>
        <w:rPr>
          <w:color w:val="231F20"/>
          <w:spacing w:val="-10"/>
        </w:rPr>
        <w:t> </w:t>
      </w:r>
      <w:r>
        <w:rPr>
          <w:color w:val="231F20"/>
          <w:spacing w:val="-4"/>
        </w:rPr>
        <w:t>continuent</w:t>
      </w:r>
      <w:r>
        <w:rPr>
          <w:color w:val="231F20"/>
          <w:spacing w:val="-10"/>
        </w:rPr>
        <w:t> </w:t>
      </w:r>
      <w:r>
        <w:rPr>
          <w:color w:val="231F20"/>
          <w:spacing w:val="-4"/>
        </w:rPr>
        <w:t>de</w:t>
      </w:r>
      <w:r>
        <w:rPr>
          <w:color w:val="231F20"/>
          <w:spacing w:val="-10"/>
        </w:rPr>
        <w:t> </w:t>
      </w:r>
      <w:r>
        <w:rPr>
          <w:color w:val="231F20"/>
          <w:spacing w:val="-4"/>
        </w:rPr>
        <w:t>traiter</w:t>
      </w:r>
    </w:p>
    <w:p>
      <w:pPr>
        <w:pStyle w:val="BodyText"/>
      </w:pPr>
      <w:r>
        <w:rPr>
          <w:color w:val="231F20"/>
        </w:rPr>
        <w:t>les</w:t>
      </w:r>
      <w:r>
        <w:rPr>
          <w:color w:val="231F20"/>
          <w:spacing w:val="27"/>
        </w:rPr>
        <w:t> </w:t>
      </w:r>
      <w:r>
        <w:rPr>
          <w:color w:val="231F20"/>
        </w:rPr>
        <w:t>Africains</w:t>
      </w:r>
      <w:r>
        <w:rPr>
          <w:color w:val="231F20"/>
          <w:spacing w:val="27"/>
        </w:rPr>
        <w:t> </w:t>
      </w:r>
      <w:r>
        <w:rPr>
          <w:color w:val="231F20"/>
        </w:rPr>
        <w:t>de</w:t>
      </w:r>
      <w:r>
        <w:rPr>
          <w:color w:val="231F20"/>
          <w:spacing w:val="27"/>
        </w:rPr>
        <w:t> </w:t>
      </w:r>
      <w:r>
        <w:rPr>
          <w:color w:val="231F20"/>
        </w:rPr>
        <w:t>sauvages,</w:t>
      </w:r>
      <w:r>
        <w:rPr>
          <w:color w:val="231F20"/>
          <w:spacing w:val="27"/>
        </w:rPr>
        <w:t> </w:t>
      </w:r>
      <w:r>
        <w:rPr>
          <w:color w:val="231F20"/>
        </w:rPr>
        <w:t>d’ignorants</w:t>
      </w:r>
      <w:r>
        <w:rPr>
          <w:color w:val="231F20"/>
          <w:spacing w:val="27"/>
        </w:rPr>
        <w:t> </w:t>
      </w:r>
      <w:r>
        <w:rPr>
          <w:color w:val="231F20"/>
        </w:rPr>
        <w:t>sans</w:t>
      </w:r>
      <w:r>
        <w:rPr>
          <w:color w:val="231F20"/>
          <w:spacing w:val="27"/>
        </w:rPr>
        <w:t> </w:t>
      </w:r>
      <w:r>
        <w:rPr>
          <w:color w:val="231F20"/>
        </w:rPr>
        <w:t>culture,</w:t>
      </w:r>
      <w:r>
        <w:rPr>
          <w:color w:val="231F20"/>
          <w:spacing w:val="27"/>
        </w:rPr>
        <w:t> </w:t>
      </w:r>
      <w:r>
        <w:rPr>
          <w:color w:val="231F20"/>
        </w:rPr>
        <w:t>font</w:t>
      </w:r>
      <w:r>
        <w:rPr>
          <w:color w:val="231F20"/>
          <w:spacing w:val="27"/>
        </w:rPr>
        <w:t> </w:t>
      </w:r>
      <w:r>
        <w:rPr>
          <w:color w:val="231F20"/>
        </w:rPr>
        <w:t>preuve</w:t>
      </w:r>
      <w:r>
        <w:rPr>
          <w:color w:val="231F20"/>
          <w:spacing w:val="27"/>
        </w:rPr>
        <w:t> </w:t>
      </w:r>
      <w:r>
        <w:rPr>
          <w:color w:val="231F20"/>
          <w:spacing w:val="-4"/>
        </w:rPr>
        <w:t>eux-</w:t>
      </w:r>
    </w:p>
    <w:p>
      <w:pPr>
        <w:pStyle w:val="BodyText"/>
        <w:spacing w:before="7"/>
        <w:ind w:left="0"/>
        <w:jc w:val="left"/>
        <w:rPr>
          <w:sz w:val="16"/>
        </w:rPr>
      </w:pPr>
      <w:r>
        <w:rPr/>
        <mc:AlternateContent>
          <mc:Choice Requires="wps">
            <w:drawing>
              <wp:anchor distT="0" distB="0" distL="0" distR="0" allowOverlap="1" layoutInCell="1" locked="0" behindDoc="1" simplePos="0" relativeHeight="487659008">
                <wp:simplePos x="0" y="0"/>
                <wp:positionH relativeFrom="page">
                  <wp:posOffset>629907</wp:posOffset>
                </wp:positionH>
                <wp:positionV relativeFrom="paragraph">
                  <wp:posOffset>136571</wp:posOffset>
                </wp:positionV>
                <wp:extent cx="1829435" cy="9525"/>
                <wp:effectExtent l="0" t="0" r="0" b="0"/>
                <wp:wrapTopAndBottom/>
                <wp:docPr id="171" name="Graphic 171"/>
                <wp:cNvGraphicFramePr>
                  <a:graphicFrameLocks/>
                </wp:cNvGraphicFramePr>
                <a:graphic>
                  <a:graphicData uri="http://schemas.microsoft.com/office/word/2010/wordprocessingShape">
                    <wps:wsp>
                      <wps:cNvPr id="171" name="Graphic 171"/>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0.753672pt;width:144.020pt;height:.72pt;mso-position-horizontal-relative:page;mso-position-vertical-relative:paragraph;z-index:-15657472;mso-wrap-distance-left:0;mso-wrap-distance-right:0" id="docshape169" filled="true" fillcolor="#231f20" stroked="false">
                <v:fill type="solid"/>
                <w10:wrap type="topAndBottom"/>
              </v:rect>
            </w:pict>
          </mc:Fallback>
        </mc:AlternateContent>
      </w:r>
    </w:p>
    <w:p>
      <w:pPr>
        <w:spacing w:before="91"/>
        <w:ind w:left="111" w:right="107" w:firstLine="0"/>
        <w:jc w:val="both"/>
        <w:rPr>
          <w:sz w:val="20"/>
        </w:rPr>
      </w:pPr>
      <w:r>
        <w:rPr>
          <w:color w:val="76787A"/>
          <w:sz w:val="20"/>
          <w:vertAlign w:val="superscript"/>
        </w:rPr>
        <w:t>228</w:t>
      </w:r>
      <w:r>
        <w:rPr>
          <w:color w:val="76787A"/>
          <w:spacing w:val="-4"/>
          <w:sz w:val="20"/>
          <w:vertAlign w:val="baseline"/>
        </w:rPr>
        <w:t> </w:t>
      </w:r>
      <w:r>
        <w:rPr>
          <w:color w:val="231F20"/>
          <w:sz w:val="20"/>
          <w:vertAlign w:val="baseline"/>
        </w:rPr>
        <w:t>Institution gouvernementale du Royaume-Uni.</w:t>
      </w:r>
      <w:r>
        <w:rPr>
          <w:color w:val="231F20"/>
          <w:spacing w:val="-13"/>
          <w:sz w:val="20"/>
          <w:vertAlign w:val="baseline"/>
        </w:rPr>
        <w:t> </w:t>
      </w:r>
      <w:r>
        <w:rPr>
          <w:color w:val="231F20"/>
          <w:sz w:val="20"/>
          <w:vertAlign w:val="baseline"/>
        </w:rPr>
        <w:t>Son but est d'établir des relations culturelles entre le Royaume-Uni et d'autres pays, en particulier, promouvoir l'apprentissage de la langue anglaise.</w:t>
      </w:r>
    </w:p>
    <w:p>
      <w:pPr>
        <w:spacing w:before="2"/>
        <w:ind w:left="111" w:right="0" w:firstLine="0"/>
        <w:jc w:val="both"/>
        <w:rPr>
          <w:i/>
          <w:sz w:val="20"/>
        </w:rPr>
      </w:pPr>
      <w:r>
        <w:rPr>
          <w:color w:val="76787A"/>
          <w:sz w:val="20"/>
          <w:vertAlign w:val="superscript"/>
        </w:rPr>
        <w:t>229</w:t>
      </w:r>
      <w:r>
        <w:rPr>
          <w:color w:val="76787A"/>
          <w:spacing w:val="-4"/>
          <w:sz w:val="20"/>
          <w:vertAlign w:val="baseline"/>
        </w:rPr>
        <w:t> </w:t>
      </w:r>
      <w:r>
        <w:rPr>
          <w:i/>
          <w:color w:val="231F20"/>
          <w:spacing w:val="-4"/>
          <w:sz w:val="20"/>
          <w:vertAlign w:val="baseline"/>
        </w:rPr>
        <w:t>Lard.</w:t>
      </w:r>
    </w:p>
    <w:p>
      <w:pPr>
        <w:spacing w:before="0"/>
        <w:ind w:left="111" w:right="106" w:firstLine="0"/>
        <w:jc w:val="both"/>
        <w:rPr>
          <w:sz w:val="20"/>
        </w:rPr>
      </w:pPr>
      <w:r>
        <w:rPr>
          <w:color w:val="76787A"/>
          <w:spacing w:val="-4"/>
          <w:sz w:val="20"/>
          <w:vertAlign w:val="superscript"/>
        </w:rPr>
        <w:t>230</w:t>
      </w:r>
      <w:r>
        <w:rPr>
          <w:color w:val="231F20"/>
          <w:spacing w:val="-4"/>
          <w:sz w:val="20"/>
          <w:vertAlign w:val="baseline"/>
        </w:rPr>
        <w:t>Julien</w:t>
      </w:r>
      <w:r>
        <w:rPr>
          <w:color w:val="231F20"/>
          <w:sz w:val="20"/>
          <w:vertAlign w:val="baseline"/>
        </w:rPr>
        <w:t> </w:t>
      </w:r>
      <w:r>
        <w:rPr>
          <w:color w:val="231F20"/>
          <w:spacing w:val="-4"/>
          <w:sz w:val="20"/>
          <w:vertAlign w:val="baseline"/>
        </w:rPr>
        <w:t>Bonhomme, Les tribulations</w:t>
      </w:r>
      <w:r>
        <w:rPr>
          <w:color w:val="231F20"/>
          <w:spacing w:val="-6"/>
          <w:sz w:val="20"/>
          <w:vertAlign w:val="baseline"/>
        </w:rPr>
        <w:t> </w:t>
      </w:r>
      <w:r>
        <w:rPr>
          <w:color w:val="231F20"/>
          <w:spacing w:val="-4"/>
          <w:sz w:val="20"/>
          <w:vertAlign w:val="baseline"/>
        </w:rPr>
        <w:t>de l'esprit</w:t>
      </w:r>
      <w:r>
        <w:rPr>
          <w:color w:val="231F20"/>
          <w:spacing w:val="-5"/>
          <w:sz w:val="20"/>
          <w:vertAlign w:val="baseline"/>
        </w:rPr>
        <w:t> </w:t>
      </w:r>
      <w:r>
        <w:rPr>
          <w:color w:val="231F20"/>
          <w:spacing w:val="-4"/>
          <w:sz w:val="20"/>
          <w:vertAlign w:val="baseline"/>
        </w:rPr>
        <w:t>blanc</w:t>
      </w:r>
      <w:r>
        <w:rPr>
          <w:color w:val="231F20"/>
          <w:spacing w:val="-7"/>
          <w:sz w:val="20"/>
          <w:vertAlign w:val="baseline"/>
        </w:rPr>
        <w:t> </w:t>
      </w:r>
      <w:r>
        <w:rPr>
          <w:color w:val="231F20"/>
          <w:spacing w:val="-4"/>
          <w:sz w:val="20"/>
          <w:vertAlign w:val="baseline"/>
        </w:rPr>
        <w:t>(et</w:t>
      </w:r>
      <w:r>
        <w:rPr>
          <w:color w:val="231F20"/>
          <w:spacing w:val="-5"/>
          <w:sz w:val="20"/>
          <w:vertAlign w:val="baseline"/>
        </w:rPr>
        <w:t> </w:t>
      </w:r>
      <w:r>
        <w:rPr>
          <w:color w:val="231F20"/>
          <w:spacing w:val="-4"/>
          <w:sz w:val="20"/>
          <w:vertAlign w:val="baseline"/>
        </w:rPr>
        <w:t>de ses</w:t>
      </w:r>
      <w:r>
        <w:rPr>
          <w:color w:val="231F20"/>
          <w:spacing w:val="-7"/>
          <w:sz w:val="20"/>
          <w:vertAlign w:val="baseline"/>
        </w:rPr>
        <w:t> </w:t>
      </w:r>
      <w:r>
        <w:rPr>
          <w:color w:val="231F20"/>
          <w:spacing w:val="-4"/>
          <w:sz w:val="20"/>
          <w:vertAlign w:val="baseline"/>
        </w:rPr>
        <w:t>marchandises), Voyages </w:t>
      </w:r>
      <w:r>
        <w:rPr>
          <w:color w:val="231F20"/>
          <w:sz w:val="20"/>
          <w:vertAlign w:val="baseline"/>
        </w:rPr>
        <w:t>et</w:t>
      </w:r>
      <w:r>
        <w:rPr>
          <w:color w:val="231F20"/>
          <w:spacing w:val="-1"/>
          <w:sz w:val="20"/>
          <w:vertAlign w:val="baseline"/>
        </w:rPr>
        <w:t> </w:t>
      </w:r>
      <w:r>
        <w:rPr>
          <w:color w:val="231F20"/>
          <w:sz w:val="20"/>
          <w:vertAlign w:val="baseline"/>
        </w:rPr>
        <w:t>aventures</w:t>
      </w:r>
      <w:r>
        <w:rPr>
          <w:color w:val="231F20"/>
          <w:spacing w:val="-6"/>
          <w:sz w:val="20"/>
          <w:vertAlign w:val="baseline"/>
        </w:rPr>
        <w:t> </w:t>
      </w:r>
      <w:r>
        <w:rPr>
          <w:color w:val="231F20"/>
          <w:sz w:val="20"/>
          <w:vertAlign w:val="baseline"/>
        </w:rPr>
        <w:t>de</w:t>
      </w:r>
      <w:r>
        <w:rPr>
          <w:color w:val="231F20"/>
          <w:spacing w:val="-1"/>
          <w:sz w:val="20"/>
          <w:vertAlign w:val="baseline"/>
        </w:rPr>
        <w:t> </w:t>
      </w:r>
      <w:r>
        <w:rPr>
          <w:color w:val="231F20"/>
          <w:sz w:val="20"/>
          <w:vertAlign w:val="baseline"/>
        </w:rPr>
        <w:t>Paul</w:t>
      </w:r>
      <w:r>
        <w:rPr>
          <w:color w:val="231F20"/>
          <w:spacing w:val="-5"/>
          <w:sz w:val="20"/>
          <w:vertAlign w:val="baseline"/>
        </w:rPr>
        <w:t> </w:t>
      </w:r>
      <w:r>
        <w:rPr>
          <w:color w:val="231F20"/>
          <w:sz w:val="20"/>
          <w:vertAlign w:val="baseline"/>
        </w:rPr>
        <w:t>du</w:t>
      </w:r>
      <w:r>
        <w:rPr>
          <w:color w:val="231F20"/>
          <w:spacing w:val="-1"/>
          <w:sz w:val="20"/>
          <w:vertAlign w:val="baseline"/>
        </w:rPr>
        <w:t> </w:t>
      </w:r>
      <w:r>
        <w:rPr>
          <w:color w:val="231F20"/>
          <w:sz w:val="20"/>
          <w:vertAlign w:val="baseline"/>
        </w:rPr>
        <w:t>Chaillu</w:t>
      </w:r>
      <w:r>
        <w:rPr>
          <w:color w:val="231F20"/>
          <w:spacing w:val="-5"/>
          <w:sz w:val="20"/>
          <w:vertAlign w:val="baseline"/>
        </w:rPr>
        <w:t> </w:t>
      </w:r>
      <w:r>
        <w:rPr>
          <w:color w:val="231F20"/>
          <w:sz w:val="20"/>
          <w:vertAlign w:val="baseline"/>
        </w:rPr>
        <w:t>en</w:t>
      </w:r>
      <w:r>
        <w:rPr>
          <w:color w:val="231F20"/>
          <w:spacing w:val="-1"/>
          <w:sz w:val="20"/>
          <w:vertAlign w:val="baseline"/>
        </w:rPr>
        <w:t> </w:t>
      </w:r>
      <w:r>
        <w:rPr>
          <w:color w:val="231F20"/>
          <w:sz w:val="20"/>
          <w:vertAlign w:val="baseline"/>
        </w:rPr>
        <w:t>Afrique</w:t>
      </w:r>
      <w:r>
        <w:rPr>
          <w:color w:val="231F20"/>
          <w:spacing w:val="-1"/>
          <w:sz w:val="20"/>
          <w:vertAlign w:val="baseline"/>
        </w:rPr>
        <w:t> </w:t>
      </w:r>
      <w:r>
        <w:rPr>
          <w:color w:val="231F20"/>
          <w:sz w:val="20"/>
          <w:vertAlign w:val="baseline"/>
        </w:rPr>
        <w:t>équatoriale.</w:t>
      </w:r>
    </w:p>
    <w:p>
      <w:pPr>
        <w:spacing w:after="0"/>
        <w:jc w:val="both"/>
        <w:rPr>
          <w:sz w:val="20"/>
        </w:rPr>
        <w:sectPr>
          <w:pgSz w:w="8790" w:h="13610"/>
          <w:pgMar w:header="0" w:footer="802" w:top="1060" w:bottom="1000" w:left="880" w:right="880"/>
        </w:sectPr>
      </w:pPr>
    </w:p>
    <w:p>
      <w:pPr>
        <w:spacing w:before="66"/>
        <w:ind w:left="111" w:right="105" w:firstLine="0"/>
        <w:jc w:val="both"/>
        <w:rPr>
          <w:sz w:val="24"/>
        </w:rPr>
      </w:pPr>
      <w:r>
        <w:rPr>
          <w:color w:val="231F20"/>
          <w:sz w:val="24"/>
        </w:rPr>
        <w:t>mêmes</w:t>
      </w:r>
      <w:r>
        <w:rPr>
          <w:color w:val="231F20"/>
          <w:spacing w:val="-15"/>
          <w:sz w:val="24"/>
        </w:rPr>
        <w:t> </w:t>
      </w:r>
      <w:r>
        <w:rPr>
          <w:color w:val="231F20"/>
          <w:sz w:val="24"/>
        </w:rPr>
        <w:t>d’ignorance</w:t>
      </w:r>
      <w:r>
        <w:rPr>
          <w:color w:val="231F20"/>
          <w:spacing w:val="-15"/>
          <w:sz w:val="24"/>
        </w:rPr>
        <w:t> </w:t>
      </w:r>
      <w:r>
        <w:rPr>
          <w:color w:val="231F20"/>
          <w:sz w:val="24"/>
        </w:rPr>
        <w:t>:</w:t>
      </w:r>
      <w:r>
        <w:rPr>
          <w:i/>
          <w:color w:val="231F20"/>
          <w:sz w:val="24"/>
        </w:rPr>
        <w:t>«</w:t>
      </w:r>
      <w:r>
        <w:rPr>
          <w:i/>
          <w:color w:val="231F20"/>
          <w:spacing w:val="-15"/>
          <w:sz w:val="24"/>
        </w:rPr>
        <w:t> </w:t>
      </w:r>
      <w:r>
        <w:rPr>
          <w:i/>
          <w:color w:val="231F20"/>
          <w:sz w:val="24"/>
        </w:rPr>
        <w:t>l’ignorance,</w:t>
      </w:r>
      <w:r>
        <w:rPr>
          <w:i/>
          <w:color w:val="231F20"/>
          <w:spacing w:val="-15"/>
          <w:sz w:val="24"/>
        </w:rPr>
        <w:t> </w:t>
      </w:r>
      <w:r>
        <w:rPr>
          <w:i/>
          <w:color w:val="231F20"/>
          <w:sz w:val="24"/>
        </w:rPr>
        <w:t>c’est</w:t>
      </w:r>
      <w:r>
        <w:rPr>
          <w:i/>
          <w:color w:val="231F20"/>
          <w:spacing w:val="-15"/>
          <w:sz w:val="24"/>
        </w:rPr>
        <w:t> </w:t>
      </w:r>
      <w:r>
        <w:rPr>
          <w:i/>
          <w:color w:val="231F20"/>
          <w:sz w:val="24"/>
        </w:rPr>
        <w:t>le</w:t>
      </w:r>
      <w:r>
        <w:rPr>
          <w:i/>
          <w:color w:val="231F20"/>
          <w:spacing w:val="-15"/>
          <w:sz w:val="24"/>
        </w:rPr>
        <w:t> </w:t>
      </w:r>
      <w:r>
        <w:rPr>
          <w:i/>
          <w:color w:val="231F20"/>
          <w:sz w:val="24"/>
        </w:rPr>
        <w:t>fait</w:t>
      </w:r>
      <w:r>
        <w:rPr>
          <w:i/>
          <w:color w:val="231F20"/>
          <w:spacing w:val="-15"/>
          <w:sz w:val="24"/>
        </w:rPr>
        <w:t> </w:t>
      </w:r>
      <w:r>
        <w:rPr>
          <w:i/>
          <w:color w:val="231F20"/>
          <w:sz w:val="24"/>
        </w:rPr>
        <w:t>de</w:t>
      </w:r>
      <w:r>
        <w:rPr>
          <w:i/>
          <w:color w:val="231F20"/>
          <w:spacing w:val="-15"/>
          <w:sz w:val="24"/>
        </w:rPr>
        <w:t> </w:t>
      </w:r>
      <w:r>
        <w:rPr>
          <w:i/>
          <w:color w:val="231F20"/>
          <w:sz w:val="24"/>
        </w:rPr>
        <w:t>ne</w:t>
      </w:r>
      <w:r>
        <w:rPr>
          <w:i/>
          <w:color w:val="231F20"/>
          <w:spacing w:val="-15"/>
          <w:sz w:val="24"/>
        </w:rPr>
        <w:t> </w:t>
      </w:r>
      <w:r>
        <w:rPr>
          <w:i/>
          <w:color w:val="231F20"/>
          <w:sz w:val="24"/>
        </w:rPr>
        <w:t>pas</w:t>
      </w:r>
      <w:r>
        <w:rPr>
          <w:i/>
          <w:color w:val="231F20"/>
          <w:spacing w:val="-15"/>
          <w:sz w:val="24"/>
        </w:rPr>
        <w:t> </w:t>
      </w:r>
      <w:r>
        <w:rPr>
          <w:i/>
          <w:color w:val="231F20"/>
          <w:sz w:val="24"/>
        </w:rPr>
        <w:t>savoir</w:t>
      </w:r>
      <w:r>
        <w:rPr>
          <w:i/>
          <w:color w:val="231F20"/>
          <w:spacing w:val="-15"/>
          <w:sz w:val="24"/>
        </w:rPr>
        <w:t> </w:t>
      </w:r>
      <w:r>
        <w:rPr>
          <w:i/>
          <w:color w:val="231F20"/>
          <w:sz w:val="24"/>
        </w:rPr>
        <w:t>quelque</w:t>
      </w:r>
      <w:r>
        <w:rPr>
          <w:i/>
          <w:color w:val="231F20"/>
          <w:sz w:val="24"/>
        </w:rPr>
        <w:t> chose, de ne pas être au courant de quelque chose,</w:t>
      </w:r>
      <w:r>
        <w:rPr>
          <w:i/>
          <w:color w:val="231F20"/>
          <w:sz w:val="24"/>
          <w:shd w:fill="F7F6FB" w:color="auto" w:val="clear"/>
        </w:rPr>
        <w:t> c’est un d</w:t>
      </w:r>
      <w:r>
        <w:rPr>
          <w:i/>
          <w:color w:val="231F20"/>
          <w:sz w:val="24"/>
        </w:rPr>
        <w:t>éfaut de connaissances</w:t>
      </w:r>
      <w:r>
        <w:rPr>
          <w:i/>
          <w:color w:val="231F20"/>
          <w:spacing w:val="-4"/>
          <w:sz w:val="24"/>
        </w:rPr>
        <w:t> </w:t>
      </w:r>
      <w:r>
        <w:rPr>
          <w:i/>
          <w:color w:val="231F20"/>
          <w:sz w:val="24"/>
        </w:rPr>
        <w:t>ou</w:t>
      </w:r>
      <w:r>
        <w:rPr>
          <w:i/>
          <w:color w:val="231F20"/>
          <w:spacing w:val="-4"/>
          <w:sz w:val="24"/>
        </w:rPr>
        <w:t> </w:t>
      </w:r>
      <w:r>
        <w:rPr>
          <w:i/>
          <w:color w:val="231F20"/>
          <w:sz w:val="24"/>
        </w:rPr>
        <w:t>manque</w:t>
      </w:r>
      <w:r>
        <w:rPr>
          <w:i/>
          <w:color w:val="231F20"/>
          <w:spacing w:val="-4"/>
          <w:sz w:val="24"/>
        </w:rPr>
        <w:t> </w:t>
      </w:r>
      <w:r>
        <w:rPr>
          <w:i/>
          <w:color w:val="231F20"/>
          <w:sz w:val="24"/>
        </w:rPr>
        <w:t>d'expérience</w:t>
      </w:r>
      <w:r>
        <w:rPr>
          <w:i/>
          <w:color w:val="231F20"/>
          <w:spacing w:val="-4"/>
          <w:sz w:val="24"/>
        </w:rPr>
        <w:t> </w:t>
      </w:r>
      <w:r>
        <w:rPr>
          <w:i/>
          <w:color w:val="231F20"/>
          <w:sz w:val="24"/>
        </w:rPr>
        <w:t>portant</w:t>
      </w:r>
      <w:r>
        <w:rPr>
          <w:i/>
          <w:color w:val="231F20"/>
          <w:spacing w:val="-4"/>
          <w:sz w:val="24"/>
        </w:rPr>
        <w:t> </w:t>
      </w:r>
      <w:r>
        <w:rPr>
          <w:i/>
          <w:color w:val="231F20"/>
          <w:sz w:val="24"/>
        </w:rPr>
        <w:t>sur</w:t>
      </w:r>
      <w:r>
        <w:rPr>
          <w:i/>
          <w:color w:val="231F20"/>
          <w:spacing w:val="-4"/>
          <w:sz w:val="24"/>
        </w:rPr>
        <w:t> </w:t>
      </w:r>
      <w:r>
        <w:rPr>
          <w:i/>
          <w:color w:val="231F20"/>
          <w:sz w:val="24"/>
        </w:rPr>
        <w:t>un</w:t>
      </w:r>
      <w:r>
        <w:rPr>
          <w:i/>
          <w:color w:val="231F20"/>
          <w:spacing w:val="-4"/>
          <w:sz w:val="24"/>
        </w:rPr>
        <w:t> </w:t>
      </w:r>
      <w:r>
        <w:rPr>
          <w:i/>
          <w:color w:val="231F20"/>
          <w:sz w:val="24"/>
        </w:rPr>
        <w:t>domaine</w:t>
      </w:r>
      <w:r>
        <w:rPr>
          <w:i/>
          <w:color w:val="231F20"/>
          <w:spacing w:val="-4"/>
          <w:sz w:val="24"/>
        </w:rPr>
        <w:t> </w:t>
      </w:r>
      <w:r>
        <w:rPr>
          <w:i/>
          <w:color w:val="231F20"/>
          <w:sz w:val="24"/>
        </w:rPr>
        <w:t>donné, </w:t>
      </w:r>
      <w:r>
        <w:rPr>
          <w:i/>
          <w:color w:val="231F20"/>
          <w:spacing w:val="-4"/>
          <w:sz w:val="24"/>
        </w:rPr>
        <w:t>c’est</w:t>
      </w:r>
      <w:r>
        <w:rPr>
          <w:i/>
          <w:color w:val="231F20"/>
          <w:spacing w:val="-6"/>
          <w:sz w:val="24"/>
        </w:rPr>
        <w:t> </w:t>
      </w:r>
      <w:r>
        <w:rPr>
          <w:i/>
          <w:color w:val="231F20"/>
          <w:spacing w:val="-4"/>
          <w:sz w:val="24"/>
        </w:rPr>
        <w:t>une</w:t>
      </w:r>
      <w:r>
        <w:rPr>
          <w:i/>
          <w:color w:val="231F20"/>
          <w:spacing w:val="-7"/>
          <w:sz w:val="24"/>
        </w:rPr>
        <w:t> </w:t>
      </w:r>
      <w:r>
        <w:rPr>
          <w:i/>
          <w:color w:val="231F20"/>
          <w:spacing w:val="-4"/>
          <w:sz w:val="24"/>
        </w:rPr>
        <w:t>insuffisance</w:t>
      </w:r>
      <w:r>
        <w:rPr>
          <w:i/>
          <w:color w:val="231F20"/>
          <w:spacing w:val="-7"/>
          <w:sz w:val="24"/>
        </w:rPr>
        <w:t> </w:t>
      </w:r>
      <w:r>
        <w:rPr>
          <w:i/>
          <w:color w:val="231F20"/>
          <w:spacing w:val="-4"/>
          <w:sz w:val="24"/>
        </w:rPr>
        <w:t>générale</w:t>
      </w:r>
      <w:r>
        <w:rPr>
          <w:i/>
          <w:color w:val="231F20"/>
          <w:spacing w:val="-7"/>
          <w:sz w:val="24"/>
        </w:rPr>
        <w:t> </w:t>
      </w:r>
      <w:r>
        <w:rPr>
          <w:i/>
          <w:color w:val="231F20"/>
          <w:spacing w:val="-4"/>
          <w:sz w:val="24"/>
        </w:rPr>
        <w:t>de</w:t>
      </w:r>
      <w:r>
        <w:rPr>
          <w:i/>
          <w:color w:val="231F20"/>
          <w:spacing w:val="-7"/>
          <w:sz w:val="24"/>
        </w:rPr>
        <w:t> </w:t>
      </w:r>
      <w:r>
        <w:rPr>
          <w:i/>
          <w:color w:val="231F20"/>
          <w:spacing w:val="-4"/>
          <w:sz w:val="24"/>
        </w:rPr>
        <w:t>l'instruction,</w:t>
      </w:r>
      <w:r>
        <w:rPr>
          <w:i/>
          <w:color w:val="231F20"/>
          <w:spacing w:val="-6"/>
          <w:sz w:val="24"/>
        </w:rPr>
        <w:t> </w:t>
      </w:r>
      <w:r>
        <w:rPr>
          <w:i/>
          <w:color w:val="231F20"/>
          <w:spacing w:val="-4"/>
          <w:sz w:val="24"/>
        </w:rPr>
        <w:t>du</w:t>
      </w:r>
      <w:r>
        <w:rPr>
          <w:i/>
          <w:color w:val="231F20"/>
          <w:spacing w:val="-6"/>
          <w:sz w:val="24"/>
        </w:rPr>
        <w:t> </w:t>
      </w:r>
      <w:r>
        <w:rPr>
          <w:i/>
          <w:color w:val="231F20"/>
          <w:spacing w:val="-4"/>
          <w:sz w:val="24"/>
        </w:rPr>
        <w:t>savoir</w:t>
      </w:r>
      <w:r>
        <w:rPr>
          <w:i/>
          <w:color w:val="231F20"/>
          <w:spacing w:val="-6"/>
          <w:sz w:val="24"/>
        </w:rPr>
        <w:t> </w:t>
      </w:r>
      <w:r>
        <w:rPr>
          <w:i/>
          <w:color w:val="231F20"/>
          <w:spacing w:val="-4"/>
          <w:sz w:val="24"/>
        </w:rPr>
        <w:t>intellectuel »</w:t>
      </w:r>
      <w:r>
        <w:rPr>
          <w:color w:val="76787A"/>
          <w:spacing w:val="-4"/>
          <w:sz w:val="24"/>
          <w:vertAlign w:val="superscript"/>
        </w:rPr>
        <w:t>231</w:t>
      </w:r>
      <w:r>
        <w:rPr>
          <w:color w:val="231F20"/>
          <w:spacing w:val="-4"/>
          <w:sz w:val="24"/>
          <w:vertAlign w:val="baseline"/>
        </w:rPr>
        <w:t>.</w:t>
      </w:r>
    </w:p>
    <w:p>
      <w:pPr>
        <w:pStyle w:val="BodyText"/>
        <w:spacing w:before="120"/>
        <w:ind w:right="105" w:firstLine="283"/>
      </w:pPr>
      <w:r>
        <w:rPr>
          <w:color w:val="231F20"/>
          <w:spacing w:val="-2"/>
        </w:rPr>
        <w:t>Chaque</w:t>
      </w:r>
      <w:r>
        <w:rPr>
          <w:color w:val="231F20"/>
          <w:spacing w:val="-13"/>
        </w:rPr>
        <w:t> </w:t>
      </w:r>
      <w:r>
        <w:rPr>
          <w:color w:val="231F20"/>
          <w:spacing w:val="-2"/>
        </w:rPr>
        <w:t>peuple</w:t>
      </w:r>
      <w:r>
        <w:rPr>
          <w:color w:val="231F20"/>
          <w:spacing w:val="-13"/>
        </w:rPr>
        <w:t> </w:t>
      </w:r>
      <w:r>
        <w:rPr>
          <w:color w:val="231F20"/>
          <w:spacing w:val="-2"/>
        </w:rPr>
        <w:t>a</w:t>
      </w:r>
      <w:r>
        <w:rPr>
          <w:color w:val="231F20"/>
          <w:spacing w:val="-13"/>
        </w:rPr>
        <w:t> </w:t>
      </w:r>
      <w:r>
        <w:rPr>
          <w:color w:val="231F20"/>
          <w:spacing w:val="-2"/>
        </w:rPr>
        <w:t>une</w:t>
      </w:r>
      <w:r>
        <w:rPr>
          <w:color w:val="231F20"/>
          <w:spacing w:val="-13"/>
        </w:rPr>
        <w:t> </w:t>
      </w:r>
      <w:r>
        <w:rPr>
          <w:color w:val="231F20"/>
          <w:spacing w:val="-2"/>
        </w:rPr>
        <w:t>histoire.</w:t>
      </w:r>
      <w:r>
        <w:rPr>
          <w:color w:val="231F20"/>
          <w:spacing w:val="-13"/>
        </w:rPr>
        <w:t> </w:t>
      </w:r>
      <w:r>
        <w:rPr>
          <w:color w:val="231F20"/>
          <w:spacing w:val="-2"/>
        </w:rPr>
        <w:t>Raconter</w:t>
      </w:r>
      <w:r>
        <w:rPr>
          <w:color w:val="231F20"/>
          <w:spacing w:val="-13"/>
        </w:rPr>
        <w:t> </w:t>
      </w:r>
      <w:r>
        <w:rPr>
          <w:color w:val="231F20"/>
          <w:spacing w:val="-2"/>
        </w:rPr>
        <w:t>cette</w:t>
      </w:r>
      <w:r>
        <w:rPr>
          <w:color w:val="231F20"/>
          <w:spacing w:val="-13"/>
        </w:rPr>
        <w:t> </w:t>
      </w:r>
      <w:r>
        <w:rPr>
          <w:color w:val="231F20"/>
          <w:spacing w:val="-2"/>
        </w:rPr>
        <w:t>histoire</w:t>
      </w:r>
      <w:r>
        <w:rPr>
          <w:color w:val="231F20"/>
          <w:spacing w:val="-13"/>
        </w:rPr>
        <w:t> </w:t>
      </w:r>
      <w:r>
        <w:rPr>
          <w:color w:val="231F20"/>
          <w:spacing w:val="-2"/>
        </w:rPr>
        <w:t>est</w:t>
      </w:r>
      <w:r>
        <w:rPr>
          <w:color w:val="231F20"/>
          <w:spacing w:val="-13"/>
        </w:rPr>
        <w:t> </w:t>
      </w:r>
      <w:r>
        <w:rPr>
          <w:color w:val="231F20"/>
          <w:spacing w:val="-2"/>
        </w:rPr>
        <w:t>du</w:t>
      </w:r>
      <w:r>
        <w:rPr>
          <w:color w:val="231F20"/>
          <w:spacing w:val="-13"/>
        </w:rPr>
        <w:t> </w:t>
      </w:r>
      <w:r>
        <w:rPr>
          <w:color w:val="231F20"/>
          <w:spacing w:val="-2"/>
        </w:rPr>
        <w:t>ressort</w:t>
      </w:r>
      <w:r>
        <w:rPr>
          <w:color w:val="231F20"/>
          <w:spacing w:val="-13"/>
        </w:rPr>
        <w:t> </w:t>
      </w:r>
      <w:r>
        <w:rPr>
          <w:color w:val="231F20"/>
          <w:spacing w:val="-2"/>
        </w:rPr>
        <w:t>des </w:t>
      </w:r>
      <w:r>
        <w:rPr>
          <w:color w:val="231F20"/>
        </w:rPr>
        <w:t>Historiens.</w:t>
      </w:r>
      <w:r>
        <w:rPr>
          <w:color w:val="231F20"/>
          <w:spacing w:val="-7"/>
        </w:rPr>
        <w:t> </w:t>
      </w:r>
      <w:r>
        <w:rPr>
          <w:color w:val="231F20"/>
        </w:rPr>
        <w:t>L’Afrique</w:t>
      </w:r>
      <w:r>
        <w:rPr>
          <w:color w:val="231F20"/>
          <w:spacing w:val="-9"/>
        </w:rPr>
        <w:t> </w:t>
      </w:r>
      <w:r>
        <w:rPr>
          <w:color w:val="231F20"/>
        </w:rPr>
        <w:t>noire</w:t>
      </w:r>
      <w:r>
        <w:rPr>
          <w:color w:val="231F20"/>
          <w:spacing w:val="-7"/>
        </w:rPr>
        <w:t> </w:t>
      </w:r>
      <w:r>
        <w:rPr>
          <w:color w:val="231F20"/>
        </w:rPr>
        <w:t>a</w:t>
      </w:r>
      <w:r>
        <w:rPr>
          <w:color w:val="231F20"/>
          <w:spacing w:val="-8"/>
        </w:rPr>
        <w:t> </w:t>
      </w:r>
      <w:r>
        <w:rPr>
          <w:color w:val="231F20"/>
        </w:rPr>
        <w:t>toujours</w:t>
      </w:r>
      <w:r>
        <w:rPr>
          <w:color w:val="231F20"/>
          <w:spacing w:val="-8"/>
        </w:rPr>
        <w:t> </w:t>
      </w:r>
      <w:r>
        <w:rPr>
          <w:color w:val="231F20"/>
        </w:rPr>
        <w:t>été</w:t>
      </w:r>
      <w:r>
        <w:rPr>
          <w:color w:val="231F20"/>
          <w:spacing w:val="-8"/>
        </w:rPr>
        <w:t> </w:t>
      </w:r>
      <w:r>
        <w:rPr>
          <w:color w:val="231F20"/>
        </w:rPr>
        <w:t>de</w:t>
      </w:r>
      <w:r>
        <w:rPr>
          <w:color w:val="231F20"/>
          <w:spacing w:val="-8"/>
        </w:rPr>
        <w:t> </w:t>
      </w:r>
      <w:r>
        <w:rPr>
          <w:color w:val="231F20"/>
        </w:rPr>
        <w:t>tradition</w:t>
      </w:r>
      <w:r>
        <w:rPr>
          <w:color w:val="231F20"/>
          <w:spacing w:val="-7"/>
        </w:rPr>
        <w:t> </w:t>
      </w:r>
      <w:r>
        <w:rPr>
          <w:color w:val="231F20"/>
        </w:rPr>
        <w:t>orale</w:t>
      </w:r>
      <w:r>
        <w:rPr>
          <w:color w:val="231F20"/>
          <w:spacing w:val="-7"/>
        </w:rPr>
        <w:t> </w:t>
      </w:r>
      <w:r>
        <w:rPr>
          <w:color w:val="231F20"/>
        </w:rPr>
        <w:t>et</w:t>
      </w:r>
      <w:r>
        <w:rPr>
          <w:color w:val="231F20"/>
          <w:spacing w:val="-8"/>
        </w:rPr>
        <w:t> </w:t>
      </w:r>
      <w:r>
        <w:rPr>
          <w:color w:val="231F20"/>
        </w:rPr>
        <w:t>les</w:t>
      </w:r>
      <w:r>
        <w:rPr>
          <w:color w:val="231F20"/>
          <w:spacing w:val="-6"/>
        </w:rPr>
        <w:t> </w:t>
      </w:r>
      <w:r>
        <w:rPr>
          <w:color w:val="231F20"/>
        </w:rPr>
        <w:t>griots ont</w:t>
      </w:r>
      <w:r>
        <w:rPr>
          <w:color w:val="231F20"/>
          <w:spacing w:val="-3"/>
        </w:rPr>
        <w:t> </w:t>
      </w:r>
      <w:r>
        <w:rPr>
          <w:color w:val="231F20"/>
        </w:rPr>
        <w:t>toujours</w:t>
      </w:r>
      <w:r>
        <w:rPr>
          <w:color w:val="231F20"/>
          <w:spacing w:val="-3"/>
        </w:rPr>
        <w:t> </w:t>
      </w:r>
      <w:r>
        <w:rPr>
          <w:color w:val="231F20"/>
        </w:rPr>
        <w:t>été</w:t>
      </w:r>
      <w:r>
        <w:rPr>
          <w:color w:val="231F20"/>
          <w:spacing w:val="-4"/>
        </w:rPr>
        <w:t> </w:t>
      </w:r>
      <w:r>
        <w:rPr>
          <w:color w:val="231F20"/>
        </w:rPr>
        <w:t>présents</w:t>
      </w:r>
      <w:r>
        <w:rPr>
          <w:color w:val="231F20"/>
          <w:spacing w:val="-5"/>
        </w:rPr>
        <w:t> </w:t>
      </w:r>
      <w:r>
        <w:rPr>
          <w:color w:val="231F20"/>
        </w:rPr>
        <w:t>dans</w:t>
      </w:r>
      <w:r>
        <w:rPr>
          <w:color w:val="231F20"/>
          <w:spacing w:val="-3"/>
        </w:rPr>
        <w:t> </w:t>
      </w:r>
      <w:r>
        <w:rPr>
          <w:color w:val="231F20"/>
        </w:rPr>
        <w:t>cette</w:t>
      </w:r>
      <w:r>
        <w:rPr>
          <w:color w:val="231F20"/>
          <w:spacing w:val="-4"/>
        </w:rPr>
        <w:t> </w:t>
      </w:r>
      <w:r>
        <w:rPr>
          <w:color w:val="231F20"/>
        </w:rPr>
        <w:t>culture</w:t>
      </w:r>
      <w:r>
        <w:rPr>
          <w:color w:val="231F20"/>
          <w:spacing w:val="-4"/>
        </w:rPr>
        <w:t> </w:t>
      </w:r>
      <w:r>
        <w:rPr>
          <w:color w:val="231F20"/>
        </w:rPr>
        <w:t>de</w:t>
      </w:r>
      <w:r>
        <w:rPr>
          <w:color w:val="231F20"/>
          <w:spacing w:val="-4"/>
        </w:rPr>
        <w:t> </w:t>
      </w:r>
      <w:r>
        <w:rPr>
          <w:color w:val="231F20"/>
        </w:rPr>
        <w:t>l’oralité.</w:t>
      </w:r>
      <w:r>
        <w:rPr>
          <w:color w:val="231F20"/>
          <w:spacing w:val="-5"/>
        </w:rPr>
        <w:t> </w:t>
      </w:r>
      <w:r>
        <w:rPr>
          <w:color w:val="231F20"/>
        </w:rPr>
        <w:t>Leur</w:t>
      </w:r>
      <w:r>
        <w:rPr>
          <w:color w:val="231F20"/>
          <w:spacing w:val="-4"/>
        </w:rPr>
        <w:t> </w:t>
      </w:r>
      <w:r>
        <w:rPr>
          <w:color w:val="231F20"/>
        </w:rPr>
        <w:t>rôle</w:t>
      </w:r>
      <w:r>
        <w:rPr>
          <w:color w:val="231F20"/>
          <w:spacing w:val="-5"/>
        </w:rPr>
        <w:t> </w:t>
      </w:r>
      <w:r>
        <w:rPr>
          <w:color w:val="231F20"/>
        </w:rPr>
        <w:t>social peut</w:t>
      </w:r>
      <w:r>
        <w:rPr>
          <w:color w:val="231F20"/>
          <w:spacing w:val="-10"/>
        </w:rPr>
        <w:t> </w:t>
      </w:r>
      <w:r>
        <w:rPr>
          <w:color w:val="231F20"/>
        </w:rPr>
        <w:t>être</w:t>
      </w:r>
      <w:r>
        <w:rPr>
          <w:color w:val="231F20"/>
          <w:spacing w:val="-13"/>
        </w:rPr>
        <w:t> </w:t>
      </w:r>
      <w:r>
        <w:rPr>
          <w:color w:val="231F20"/>
        </w:rPr>
        <w:t>différent</w:t>
      </w:r>
      <w:r>
        <w:rPr>
          <w:color w:val="231F20"/>
          <w:spacing w:val="-12"/>
        </w:rPr>
        <w:t> </w:t>
      </w:r>
      <w:r>
        <w:rPr>
          <w:color w:val="231F20"/>
        </w:rPr>
        <w:t>selon</w:t>
      </w:r>
      <w:r>
        <w:rPr>
          <w:color w:val="231F20"/>
          <w:spacing w:val="-11"/>
        </w:rPr>
        <w:t> </w:t>
      </w:r>
      <w:r>
        <w:rPr>
          <w:color w:val="231F20"/>
        </w:rPr>
        <w:t>le</w:t>
      </w:r>
      <w:r>
        <w:rPr>
          <w:color w:val="231F20"/>
          <w:spacing w:val="-12"/>
        </w:rPr>
        <w:t> </w:t>
      </w:r>
      <w:r>
        <w:rPr>
          <w:color w:val="231F20"/>
        </w:rPr>
        <w:t>type</w:t>
      </w:r>
      <w:r>
        <w:rPr>
          <w:color w:val="231F20"/>
          <w:spacing w:val="-12"/>
        </w:rPr>
        <w:t> </w:t>
      </w:r>
      <w:r>
        <w:rPr>
          <w:color w:val="231F20"/>
        </w:rPr>
        <w:t>de</w:t>
      </w:r>
      <w:r>
        <w:rPr>
          <w:color w:val="231F20"/>
          <w:spacing w:val="-13"/>
        </w:rPr>
        <w:t> </w:t>
      </w:r>
      <w:r>
        <w:rPr>
          <w:color w:val="231F20"/>
        </w:rPr>
        <w:t>société</w:t>
      </w:r>
      <w:r>
        <w:rPr>
          <w:color w:val="231F20"/>
          <w:spacing w:val="-12"/>
        </w:rPr>
        <w:t> </w:t>
      </w:r>
      <w:r>
        <w:rPr>
          <w:color w:val="231F20"/>
        </w:rPr>
        <w:t>mais</w:t>
      </w:r>
      <w:r>
        <w:rPr>
          <w:color w:val="231F20"/>
          <w:spacing w:val="-11"/>
        </w:rPr>
        <w:t> </w:t>
      </w:r>
      <w:r>
        <w:rPr>
          <w:color w:val="231F20"/>
        </w:rPr>
        <w:t>généralement,</w:t>
      </w:r>
      <w:r>
        <w:rPr>
          <w:color w:val="231F20"/>
          <w:spacing w:val="-11"/>
        </w:rPr>
        <w:t> </w:t>
      </w:r>
      <w:r>
        <w:rPr>
          <w:color w:val="231F20"/>
        </w:rPr>
        <w:t>ils</w:t>
      </w:r>
      <w:r>
        <w:rPr>
          <w:color w:val="231F20"/>
          <w:spacing w:val="-13"/>
        </w:rPr>
        <w:t> </w:t>
      </w:r>
      <w:r>
        <w:rPr>
          <w:color w:val="231F20"/>
        </w:rPr>
        <w:t>sont</w:t>
      </w:r>
      <w:r>
        <w:rPr>
          <w:color w:val="231F20"/>
          <w:spacing w:val="-13"/>
        </w:rPr>
        <w:t> </w:t>
      </w:r>
      <w:r>
        <w:rPr>
          <w:color w:val="231F20"/>
        </w:rPr>
        <w:t>la mémoire</w:t>
      </w:r>
      <w:r>
        <w:rPr>
          <w:color w:val="231F20"/>
          <w:spacing w:val="-10"/>
        </w:rPr>
        <w:t> </w:t>
      </w:r>
      <w:r>
        <w:rPr>
          <w:color w:val="231F20"/>
        </w:rPr>
        <w:t>des</w:t>
      </w:r>
      <w:r>
        <w:rPr>
          <w:color w:val="231F20"/>
          <w:spacing w:val="-8"/>
        </w:rPr>
        <w:t> </w:t>
      </w:r>
      <w:r>
        <w:rPr>
          <w:color w:val="231F20"/>
        </w:rPr>
        <w:t>peuples</w:t>
      </w:r>
      <w:r>
        <w:rPr>
          <w:color w:val="231F20"/>
          <w:spacing w:val="-8"/>
        </w:rPr>
        <w:t> </w:t>
      </w:r>
      <w:r>
        <w:rPr>
          <w:color w:val="231F20"/>
        </w:rPr>
        <w:t>et</w:t>
      </w:r>
      <w:r>
        <w:rPr>
          <w:color w:val="231F20"/>
          <w:spacing w:val="-8"/>
        </w:rPr>
        <w:t> </w:t>
      </w:r>
      <w:r>
        <w:rPr>
          <w:color w:val="231F20"/>
        </w:rPr>
        <w:t>des</w:t>
      </w:r>
      <w:r>
        <w:rPr>
          <w:color w:val="231F20"/>
          <w:spacing w:val="-8"/>
        </w:rPr>
        <w:t> </w:t>
      </w:r>
      <w:r>
        <w:rPr>
          <w:color w:val="231F20"/>
        </w:rPr>
        <w:t>familles.</w:t>
      </w:r>
      <w:r>
        <w:rPr>
          <w:color w:val="231F20"/>
          <w:spacing w:val="-9"/>
        </w:rPr>
        <w:t> </w:t>
      </w:r>
      <w:r>
        <w:rPr>
          <w:color w:val="231F20"/>
        </w:rPr>
        <w:t>Par</w:t>
      </w:r>
      <w:r>
        <w:rPr>
          <w:color w:val="231F20"/>
          <w:spacing w:val="-9"/>
        </w:rPr>
        <w:t> </w:t>
      </w:r>
      <w:r>
        <w:rPr>
          <w:color w:val="231F20"/>
        </w:rPr>
        <w:t>ailleurs,</w:t>
      </w:r>
      <w:r>
        <w:rPr>
          <w:color w:val="231F20"/>
          <w:spacing w:val="-8"/>
        </w:rPr>
        <w:t> </w:t>
      </w:r>
      <w:r>
        <w:rPr>
          <w:color w:val="231F20"/>
        </w:rPr>
        <w:t>tous</w:t>
      </w:r>
      <w:r>
        <w:rPr>
          <w:color w:val="231F20"/>
          <w:spacing w:val="-8"/>
        </w:rPr>
        <w:t> </w:t>
      </w:r>
      <w:r>
        <w:rPr>
          <w:color w:val="231F20"/>
        </w:rPr>
        <w:t>les</w:t>
      </w:r>
      <w:r>
        <w:rPr>
          <w:color w:val="231F20"/>
          <w:spacing w:val="-8"/>
        </w:rPr>
        <w:t> </w:t>
      </w:r>
      <w:r>
        <w:rPr>
          <w:color w:val="231F20"/>
        </w:rPr>
        <w:t>Africains</w:t>
      </w:r>
      <w:r>
        <w:rPr>
          <w:color w:val="231F20"/>
          <w:spacing w:val="-8"/>
        </w:rPr>
        <w:t> </w:t>
      </w:r>
      <w:r>
        <w:rPr>
          <w:color w:val="231F20"/>
        </w:rPr>
        <w:t>nés </w:t>
      </w:r>
      <w:r>
        <w:rPr>
          <w:color w:val="231F20"/>
          <w:spacing w:val="-2"/>
        </w:rPr>
        <w:t>avant</w:t>
      </w:r>
      <w:r>
        <w:rPr>
          <w:color w:val="231F20"/>
          <w:spacing w:val="-9"/>
        </w:rPr>
        <w:t> </w:t>
      </w:r>
      <w:r>
        <w:rPr>
          <w:color w:val="231F20"/>
          <w:spacing w:val="-2"/>
        </w:rPr>
        <w:t>1960,</w:t>
      </w:r>
      <w:r>
        <w:rPr>
          <w:color w:val="231F20"/>
          <w:spacing w:val="-9"/>
        </w:rPr>
        <w:t> </w:t>
      </w:r>
      <w:r>
        <w:rPr>
          <w:color w:val="231F20"/>
          <w:spacing w:val="-2"/>
        </w:rPr>
        <w:t>ont</w:t>
      </w:r>
      <w:r>
        <w:rPr>
          <w:color w:val="231F20"/>
          <w:spacing w:val="-11"/>
        </w:rPr>
        <w:t> </w:t>
      </w:r>
      <w:r>
        <w:rPr>
          <w:color w:val="231F20"/>
          <w:spacing w:val="-2"/>
        </w:rPr>
        <w:t>pris</w:t>
      </w:r>
      <w:r>
        <w:rPr>
          <w:color w:val="231F20"/>
          <w:spacing w:val="-9"/>
        </w:rPr>
        <w:t> </w:t>
      </w:r>
      <w:r>
        <w:rPr>
          <w:color w:val="231F20"/>
          <w:spacing w:val="-2"/>
        </w:rPr>
        <w:t>part,</w:t>
      </w:r>
      <w:r>
        <w:rPr>
          <w:color w:val="231F20"/>
          <w:spacing w:val="-11"/>
        </w:rPr>
        <w:t> </w:t>
      </w:r>
      <w:r>
        <w:rPr>
          <w:color w:val="231F20"/>
          <w:spacing w:val="-2"/>
        </w:rPr>
        <w:t>chaque</w:t>
      </w:r>
      <w:r>
        <w:rPr>
          <w:color w:val="231F20"/>
          <w:spacing w:val="-9"/>
        </w:rPr>
        <w:t> </w:t>
      </w:r>
      <w:r>
        <w:rPr>
          <w:color w:val="231F20"/>
          <w:spacing w:val="-2"/>
        </w:rPr>
        <w:t>soir,</w:t>
      </w:r>
      <w:r>
        <w:rPr>
          <w:color w:val="231F20"/>
          <w:spacing w:val="-9"/>
        </w:rPr>
        <w:t> </w:t>
      </w:r>
      <w:r>
        <w:rPr>
          <w:color w:val="231F20"/>
          <w:spacing w:val="-2"/>
        </w:rPr>
        <w:t>assis</w:t>
      </w:r>
      <w:r>
        <w:rPr>
          <w:color w:val="231F20"/>
          <w:spacing w:val="-9"/>
        </w:rPr>
        <w:t> </w:t>
      </w:r>
      <w:r>
        <w:rPr>
          <w:color w:val="231F20"/>
          <w:spacing w:val="-2"/>
        </w:rPr>
        <w:t>autour</w:t>
      </w:r>
      <w:r>
        <w:rPr>
          <w:color w:val="231F20"/>
          <w:spacing w:val="-9"/>
        </w:rPr>
        <w:t> </w:t>
      </w:r>
      <w:r>
        <w:rPr>
          <w:color w:val="231F20"/>
          <w:spacing w:val="-2"/>
        </w:rPr>
        <w:t>du</w:t>
      </w:r>
      <w:r>
        <w:rPr>
          <w:color w:val="231F20"/>
          <w:spacing w:val="-9"/>
        </w:rPr>
        <w:t> </w:t>
      </w:r>
      <w:r>
        <w:rPr>
          <w:color w:val="231F20"/>
          <w:spacing w:val="-2"/>
        </w:rPr>
        <w:t>feu</w:t>
      </w:r>
      <w:r>
        <w:rPr>
          <w:color w:val="76787A"/>
          <w:spacing w:val="-2"/>
          <w:vertAlign w:val="superscript"/>
        </w:rPr>
        <w:t>232</w:t>
      </w:r>
      <w:r>
        <w:rPr>
          <w:color w:val="76787A"/>
          <w:spacing w:val="-5"/>
          <w:vertAlign w:val="baseline"/>
        </w:rPr>
        <w:t> </w:t>
      </w:r>
      <w:r>
        <w:rPr>
          <w:color w:val="231F20"/>
          <w:spacing w:val="-2"/>
          <w:vertAlign w:val="baseline"/>
        </w:rPr>
        <w:t>qui</w:t>
      </w:r>
      <w:r>
        <w:rPr>
          <w:color w:val="231F20"/>
          <w:spacing w:val="-9"/>
          <w:vertAlign w:val="baseline"/>
        </w:rPr>
        <w:t> </w:t>
      </w:r>
      <w:r>
        <w:rPr>
          <w:color w:val="231F20"/>
          <w:spacing w:val="-2"/>
          <w:vertAlign w:val="baseline"/>
        </w:rPr>
        <w:t>éclaire</w:t>
      </w:r>
      <w:r>
        <w:rPr>
          <w:color w:val="231F20"/>
          <w:spacing w:val="-11"/>
          <w:vertAlign w:val="baseline"/>
        </w:rPr>
        <w:t> </w:t>
      </w:r>
      <w:r>
        <w:rPr>
          <w:color w:val="231F20"/>
          <w:spacing w:val="-2"/>
          <w:vertAlign w:val="baseline"/>
        </w:rPr>
        <w:t>et </w:t>
      </w:r>
      <w:r>
        <w:rPr>
          <w:color w:val="231F20"/>
          <w:vertAlign w:val="baseline"/>
        </w:rPr>
        <w:t>réchauffe,</w:t>
      </w:r>
      <w:r>
        <w:rPr>
          <w:color w:val="231F20"/>
          <w:spacing w:val="-8"/>
          <w:vertAlign w:val="baseline"/>
        </w:rPr>
        <w:t> </w:t>
      </w:r>
      <w:r>
        <w:rPr>
          <w:color w:val="231F20"/>
          <w:vertAlign w:val="baseline"/>
        </w:rPr>
        <w:t>à</w:t>
      </w:r>
      <w:r>
        <w:rPr>
          <w:color w:val="231F20"/>
          <w:spacing w:val="-8"/>
          <w:vertAlign w:val="baseline"/>
        </w:rPr>
        <w:t> </w:t>
      </w:r>
      <w:r>
        <w:rPr>
          <w:color w:val="231F20"/>
          <w:vertAlign w:val="baseline"/>
        </w:rPr>
        <w:t>la</w:t>
      </w:r>
      <w:r>
        <w:rPr>
          <w:color w:val="231F20"/>
          <w:spacing w:val="-8"/>
          <w:vertAlign w:val="baseline"/>
        </w:rPr>
        <w:t> </w:t>
      </w:r>
      <w:r>
        <w:rPr>
          <w:color w:val="231F20"/>
          <w:vertAlign w:val="baseline"/>
        </w:rPr>
        <w:t>narration</w:t>
      </w:r>
      <w:r>
        <w:rPr>
          <w:color w:val="231F20"/>
          <w:spacing w:val="-8"/>
          <w:vertAlign w:val="baseline"/>
        </w:rPr>
        <w:t> </w:t>
      </w:r>
      <w:r>
        <w:rPr>
          <w:color w:val="231F20"/>
          <w:vertAlign w:val="baseline"/>
        </w:rPr>
        <w:t>de</w:t>
      </w:r>
      <w:r>
        <w:rPr>
          <w:color w:val="231F20"/>
          <w:spacing w:val="-8"/>
          <w:vertAlign w:val="baseline"/>
        </w:rPr>
        <w:t> </w:t>
      </w:r>
      <w:r>
        <w:rPr>
          <w:color w:val="231F20"/>
          <w:vertAlign w:val="baseline"/>
        </w:rPr>
        <w:t>contes</w:t>
      </w:r>
      <w:r>
        <w:rPr>
          <w:color w:val="231F20"/>
          <w:spacing w:val="-8"/>
          <w:vertAlign w:val="baseline"/>
        </w:rPr>
        <w:t> </w:t>
      </w:r>
      <w:r>
        <w:rPr>
          <w:color w:val="231F20"/>
          <w:vertAlign w:val="baseline"/>
        </w:rPr>
        <w:t>et</w:t>
      </w:r>
      <w:r>
        <w:rPr>
          <w:color w:val="231F20"/>
          <w:spacing w:val="-8"/>
          <w:vertAlign w:val="baseline"/>
        </w:rPr>
        <w:t> </w:t>
      </w:r>
      <w:r>
        <w:rPr>
          <w:color w:val="231F20"/>
          <w:vertAlign w:val="baseline"/>
        </w:rPr>
        <w:t>légendes.</w:t>
      </w:r>
      <w:r>
        <w:rPr>
          <w:color w:val="231F20"/>
          <w:spacing w:val="-8"/>
          <w:vertAlign w:val="baseline"/>
        </w:rPr>
        <w:t> </w:t>
      </w:r>
      <w:r>
        <w:rPr>
          <w:color w:val="231F20"/>
          <w:vertAlign w:val="baseline"/>
        </w:rPr>
        <w:t>Les</w:t>
      </w:r>
      <w:r>
        <w:rPr>
          <w:color w:val="231F20"/>
          <w:spacing w:val="-8"/>
          <w:vertAlign w:val="baseline"/>
        </w:rPr>
        <w:t> </w:t>
      </w:r>
      <w:r>
        <w:rPr>
          <w:color w:val="231F20"/>
          <w:vertAlign w:val="baseline"/>
        </w:rPr>
        <w:t>veillées</w:t>
      </w:r>
      <w:r>
        <w:rPr>
          <w:color w:val="231F20"/>
          <w:spacing w:val="-8"/>
          <w:vertAlign w:val="baseline"/>
        </w:rPr>
        <w:t> </w:t>
      </w:r>
      <w:r>
        <w:rPr>
          <w:color w:val="231F20"/>
          <w:vertAlign w:val="baseline"/>
        </w:rPr>
        <w:t>de</w:t>
      </w:r>
      <w:r>
        <w:rPr>
          <w:color w:val="231F20"/>
          <w:spacing w:val="-8"/>
          <w:vertAlign w:val="baseline"/>
        </w:rPr>
        <w:t> </w:t>
      </w:r>
      <w:r>
        <w:rPr>
          <w:color w:val="231F20"/>
          <w:vertAlign w:val="baseline"/>
        </w:rPr>
        <w:t>narration sont</w:t>
      </w:r>
      <w:r>
        <w:rPr>
          <w:color w:val="231F20"/>
          <w:spacing w:val="-11"/>
          <w:vertAlign w:val="baseline"/>
        </w:rPr>
        <w:t> </w:t>
      </w:r>
      <w:r>
        <w:rPr>
          <w:color w:val="231F20"/>
          <w:vertAlign w:val="baseline"/>
        </w:rPr>
        <w:t>un</w:t>
      </w:r>
      <w:r>
        <w:rPr>
          <w:color w:val="231F20"/>
          <w:spacing w:val="-11"/>
          <w:vertAlign w:val="baseline"/>
        </w:rPr>
        <w:t> </w:t>
      </w:r>
      <w:r>
        <w:rPr>
          <w:color w:val="231F20"/>
          <w:vertAlign w:val="baseline"/>
        </w:rPr>
        <w:t>temps</w:t>
      </w:r>
      <w:r>
        <w:rPr>
          <w:color w:val="231F20"/>
          <w:spacing w:val="-11"/>
          <w:vertAlign w:val="baseline"/>
        </w:rPr>
        <w:t> </w:t>
      </w:r>
      <w:r>
        <w:rPr>
          <w:color w:val="231F20"/>
          <w:vertAlign w:val="baseline"/>
        </w:rPr>
        <w:t>pour</w:t>
      </w:r>
      <w:r>
        <w:rPr>
          <w:color w:val="231F20"/>
          <w:spacing w:val="-11"/>
          <w:vertAlign w:val="baseline"/>
        </w:rPr>
        <w:t> </w:t>
      </w:r>
      <w:r>
        <w:rPr>
          <w:color w:val="231F20"/>
          <w:vertAlign w:val="baseline"/>
        </w:rPr>
        <w:t>instruire</w:t>
      </w:r>
      <w:r>
        <w:rPr>
          <w:color w:val="231F20"/>
          <w:spacing w:val="-11"/>
          <w:vertAlign w:val="baseline"/>
        </w:rPr>
        <w:t> </w:t>
      </w:r>
      <w:r>
        <w:rPr>
          <w:color w:val="231F20"/>
          <w:vertAlign w:val="baseline"/>
        </w:rPr>
        <w:t>les</w:t>
      </w:r>
      <w:r>
        <w:rPr>
          <w:color w:val="231F20"/>
          <w:spacing w:val="-11"/>
          <w:vertAlign w:val="baseline"/>
        </w:rPr>
        <w:t> </w:t>
      </w:r>
      <w:r>
        <w:rPr>
          <w:color w:val="231F20"/>
          <w:vertAlign w:val="baseline"/>
        </w:rPr>
        <w:t>jeunes</w:t>
      </w:r>
      <w:r>
        <w:rPr>
          <w:color w:val="231F20"/>
          <w:spacing w:val="-13"/>
          <w:vertAlign w:val="baseline"/>
        </w:rPr>
        <w:t> </w:t>
      </w:r>
      <w:r>
        <w:rPr>
          <w:color w:val="231F20"/>
          <w:vertAlign w:val="baseline"/>
        </w:rPr>
        <w:t>sur</w:t>
      </w:r>
      <w:r>
        <w:rPr>
          <w:color w:val="231F20"/>
          <w:spacing w:val="-11"/>
          <w:vertAlign w:val="baseline"/>
        </w:rPr>
        <w:t> </w:t>
      </w:r>
      <w:r>
        <w:rPr>
          <w:color w:val="231F20"/>
          <w:vertAlign w:val="baseline"/>
        </w:rPr>
        <w:t>les</w:t>
      </w:r>
      <w:r>
        <w:rPr>
          <w:color w:val="231F20"/>
          <w:spacing w:val="-11"/>
          <w:vertAlign w:val="baseline"/>
        </w:rPr>
        <w:t> </w:t>
      </w:r>
      <w:r>
        <w:rPr>
          <w:color w:val="231F20"/>
          <w:vertAlign w:val="baseline"/>
        </w:rPr>
        <w:t>mythes</w:t>
      </w:r>
      <w:r>
        <w:rPr>
          <w:color w:val="231F20"/>
          <w:spacing w:val="-11"/>
          <w:vertAlign w:val="baseline"/>
        </w:rPr>
        <w:t> </w:t>
      </w:r>
      <w:r>
        <w:rPr>
          <w:color w:val="231F20"/>
          <w:vertAlign w:val="baseline"/>
        </w:rPr>
        <w:t>de</w:t>
      </w:r>
      <w:r>
        <w:rPr>
          <w:color w:val="231F20"/>
          <w:spacing w:val="-11"/>
          <w:vertAlign w:val="baseline"/>
        </w:rPr>
        <w:t> </w:t>
      </w:r>
      <w:r>
        <w:rPr>
          <w:color w:val="231F20"/>
          <w:vertAlign w:val="baseline"/>
        </w:rPr>
        <w:t>la</w:t>
      </w:r>
      <w:r>
        <w:rPr>
          <w:color w:val="231F20"/>
          <w:spacing w:val="-11"/>
          <w:vertAlign w:val="baseline"/>
        </w:rPr>
        <w:t> </w:t>
      </w:r>
      <w:r>
        <w:rPr>
          <w:color w:val="231F20"/>
          <w:vertAlign w:val="baseline"/>
        </w:rPr>
        <w:t>fondation</w:t>
      </w:r>
      <w:r>
        <w:rPr>
          <w:color w:val="231F20"/>
          <w:spacing w:val="-11"/>
          <w:vertAlign w:val="baseline"/>
        </w:rPr>
        <w:t> </w:t>
      </w:r>
      <w:r>
        <w:rPr>
          <w:color w:val="231F20"/>
          <w:vertAlign w:val="baseline"/>
        </w:rPr>
        <w:t>de leur tribu, de leur clan, les légendes sur tel roi ou chef de leur </w:t>
      </w:r>
      <w:r>
        <w:rPr>
          <w:color w:val="231F20"/>
          <w:spacing w:val="-4"/>
          <w:vertAlign w:val="baseline"/>
        </w:rPr>
        <w:t>Communauté</w:t>
      </w:r>
      <w:r>
        <w:rPr>
          <w:color w:val="231F20"/>
          <w:spacing w:val="-8"/>
          <w:vertAlign w:val="baseline"/>
        </w:rPr>
        <w:t> </w:t>
      </w:r>
      <w:r>
        <w:rPr>
          <w:color w:val="231F20"/>
          <w:spacing w:val="-4"/>
          <w:vertAlign w:val="baseline"/>
        </w:rPr>
        <w:t>ayant</w:t>
      </w:r>
      <w:r>
        <w:rPr>
          <w:color w:val="231F20"/>
          <w:spacing w:val="-7"/>
          <w:vertAlign w:val="baseline"/>
        </w:rPr>
        <w:t> </w:t>
      </w:r>
      <w:r>
        <w:rPr>
          <w:color w:val="231F20"/>
          <w:spacing w:val="-4"/>
          <w:vertAlign w:val="baseline"/>
        </w:rPr>
        <w:t>des</w:t>
      </w:r>
      <w:r>
        <w:rPr>
          <w:color w:val="231F20"/>
          <w:spacing w:val="-10"/>
          <w:vertAlign w:val="baseline"/>
        </w:rPr>
        <w:t> </w:t>
      </w:r>
      <w:r>
        <w:rPr>
          <w:color w:val="231F20"/>
          <w:spacing w:val="-4"/>
          <w:vertAlign w:val="baseline"/>
        </w:rPr>
        <w:t>pouvoirs</w:t>
      </w:r>
      <w:r>
        <w:rPr>
          <w:color w:val="231F20"/>
          <w:spacing w:val="-10"/>
          <w:vertAlign w:val="baseline"/>
        </w:rPr>
        <w:t> </w:t>
      </w:r>
      <w:r>
        <w:rPr>
          <w:color w:val="231F20"/>
          <w:spacing w:val="-4"/>
          <w:vertAlign w:val="baseline"/>
        </w:rPr>
        <w:t>surnaturels</w:t>
      </w:r>
      <w:r>
        <w:rPr>
          <w:color w:val="231F20"/>
          <w:spacing w:val="-7"/>
          <w:vertAlign w:val="baseline"/>
        </w:rPr>
        <w:t> </w:t>
      </w:r>
      <w:r>
        <w:rPr>
          <w:color w:val="231F20"/>
          <w:spacing w:val="-4"/>
          <w:vertAlign w:val="baseline"/>
        </w:rPr>
        <w:t>grâce</w:t>
      </w:r>
      <w:r>
        <w:rPr>
          <w:color w:val="231F20"/>
          <w:spacing w:val="-8"/>
          <w:vertAlign w:val="baseline"/>
        </w:rPr>
        <w:t> </w:t>
      </w:r>
      <w:r>
        <w:rPr>
          <w:color w:val="231F20"/>
          <w:spacing w:val="-4"/>
          <w:vertAlign w:val="baseline"/>
        </w:rPr>
        <w:t>à</w:t>
      </w:r>
      <w:r>
        <w:rPr>
          <w:color w:val="231F20"/>
          <w:spacing w:val="-11"/>
          <w:vertAlign w:val="baseline"/>
        </w:rPr>
        <w:t> </w:t>
      </w:r>
      <w:r>
        <w:rPr>
          <w:color w:val="231F20"/>
          <w:spacing w:val="-4"/>
          <w:vertAlign w:val="baseline"/>
        </w:rPr>
        <w:t>de</w:t>
      </w:r>
      <w:r>
        <w:rPr>
          <w:color w:val="231F20"/>
          <w:spacing w:val="-7"/>
          <w:vertAlign w:val="baseline"/>
        </w:rPr>
        <w:t> </w:t>
      </w:r>
      <w:r>
        <w:rPr>
          <w:color w:val="231F20"/>
          <w:spacing w:val="-4"/>
          <w:vertAlign w:val="baseline"/>
        </w:rPr>
        <w:t>puissants</w:t>
      </w:r>
      <w:r>
        <w:rPr>
          <w:color w:val="231F20"/>
          <w:spacing w:val="-7"/>
          <w:vertAlign w:val="baseline"/>
        </w:rPr>
        <w:t> </w:t>
      </w:r>
      <w:r>
        <w:rPr>
          <w:color w:val="231F20"/>
          <w:spacing w:val="-4"/>
          <w:vertAlign w:val="baseline"/>
        </w:rPr>
        <w:t>fétiches.</w:t>
      </w:r>
    </w:p>
    <w:p>
      <w:pPr>
        <w:pStyle w:val="BodyText"/>
        <w:spacing w:before="121"/>
        <w:ind w:right="105" w:firstLine="283"/>
      </w:pPr>
      <w:r>
        <w:rPr>
          <w:color w:val="231F20"/>
        </w:rPr>
        <w:t>Autour du feu, au clair de lune, les enfants et jeunes apprennent </w:t>
      </w:r>
      <w:r>
        <w:rPr>
          <w:color w:val="231F20"/>
          <w:spacing w:val="-4"/>
        </w:rPr>
        <w:t>l’histoire</w:t>
      </w:r>
      <w:r>
        <w:rPr>
          <w:color w:val="231F20"/>
          <w:spacing w:val="-7"/>
        </w:rPr>
        <w:t> </w:t>
      </w:r>
      <w:r>
        <w:rPr>
          <w:color w:val="231F20"/>
          <w:spacing w:val="-4"/>
        </w:rPr>
        <w:t>des</w:t>
      </w:r>
      <w:r>
        <w:rPr>
          <w:color w:val="231F20"/>
          <w:spacing w:val="-6"/>
        </w:rPr>
        <w:t> </w:t>
      </w:r>
      <w:r>
        <w:rPr>
          <w:color w:val="231F20"/>
          <w:spacing w:val="-4"/>
        </w:rPr>
        <w:t>familles</w:t>
      </w:r>
      <w:r>
        <w:rPr>
          <w:color w:val="231F20"/>
          <w:spacing w:val="-6"/>
        </w:rPr>
        <w:t> </w:t>
      </w:r>
      <w:r>
        <w:rPr>
          <w:color w:val="231F20"/>
          <w:spacing w:val="-4"/>
        </w:rPr>
        <w:t>qui</w:t>
      </w:r>
      <w:r>
        <w:rPr>
          <w:color w:val="231F20"/>
          <w:spacing w:val="-9"/>
        </w:rPr>
        <w:t> </w:t>
      </w:r>
      <w:r>
        <w:rPr>
          <w:color w:val="231F20"/>
          <w:spacing w:val="-4"/>
        </w:rPr>
        <w:t>composent</w:t>
      </w:r>
      <w:r>
        <w:rPr>
          <w:color w:val="231F20"/>
          <w:spacing w:val="-6"/>
        </w:rPr>
        <w:t> </w:t>
      </w:r>
      <w:r>
        <w:rPr>
          <w:color w:val="231F20"/>
          <w:spacing w:val="-4"/>
        </w:rPr>
        <w:t>le</w:t>
      </w:r>
      <w:r>
        <w:rPr>
          <w:color w:val="231F20"/>
          <w:spacing w:val="-7"/>
        </w:rPr>
        <w:t> </w:t>
      </w:r>
      <w:r>
        <w:rPr>
          <w:color w:val="231F20"/>
          <w:spacing w:val="-4"/>
        </w:rPr>
        <w:t>clan</w:t>
      </w:r>
      <w:r>
        <w:rPr>
          <w:color w:val="231F20"/>
          <w:spacing w:val="-6"/>
        </w:rPr>
        <w:t> </w:t>
      </w:r>
      <w:r>
        <w:rPr>
          <w:color w:val="231F20"/>
          <w:spacing w:val="-4"/>
        </w:rPr>
        <w:t>mais</w:t>
      </w:r>
      <w:r>
        <w:rPr>
          <w:color w:val="231F20"/>
          <w:spacing w:val="-6"/>
        </w:rPr>
        <w:t> </w:t>
      </w:r>
      <w:r>
        <w:rPr>
          <w:color w:val="231F20"/>
          <w:spacing w:val="-4"/>
        </w:rPr>
        <w:t>aussi</w:t>
      </w:r>
      <w:r>
        <w:rPr>
          <w:color w:val="231F20"/>
          <w:spacing w:val="-9"/>
        </w:rPr>
        <w:t> </w:t>
      </w:r>
      <w:r>
        <w:rPr>
          <w:color w:val="231F20"/>
          <w:spacing w:val="-4"/>
        </w:rPr>
        <w:t>les</w:t>
      </w:r>
      <w:r>
        <w:rPr>
          <w:color w:val="231F20"/>
          <w:spacing w:val="-6"/>
        </w:rPr>
        <w:t> </w:t>
      </w:r>
      <w:r>
        <w:rPr>
          <w:color w:val="231F20"/>
          <w:spacing w:val="-4"/>
        </w:rPr>
        <w:t>us</w:t>
      </w:r>
      <w:r>
        <w:rPr>
          <w:color w:val="231F20"/>
          <w:spacing w:val="-9"/>
        </w:rPr>
        <w:t> </w:t>
      </w:r>
      <w:r>
        <w:rPr>
          <w:color w:val="231F20"/>
          <w:spacing w:val="-4"/>
        </w:rPr>
        <w:t>et</w:t>
      </w:r>
      <w:r>
        <w:rPr>
          <w:color w:val="231F20"/>
          <w:spacing w:val="-7"/>
        </w:rPr>
        <w:t> </w:t>
      </w:r>
      <w:r>
        <w:rPr>
          <w:color w:val="231F20"/>
          <w:spacing w:val="-4"/>
        </w:rPr>
        <w:t>coutumes </w:t>
      </w:r>
      <w:r>
        <w:rPr>
          <w:color w:val="231F20"/>
          <w:spacing w:val="-2"/>
        </w:rPr>
        <w:t>légués</w:t>
      </w:r>
      <w:r>
        <w:rPr>
          <w:color w:val="231F20"/>
          <w:spacing w:val="-13"/>
        </w:rPr>
        <w:t> </w:t>
      </w:r>
      <w:r>
        <w:rPr>
          <w:color w:val="231F20"/>
          <w:spacing w:val="-2"/>
        </w:rPr>
        <w:t>par</w:t>
      </w:r>
      <w:r>
        <w:rPr>
          <w:color w:val="231F20"/>
          <w:spacing w:val="-13"/>
        </w:rPr>
        <w:t> </w:t>
      </w:r>
      <w:r>
        <w:rPr>
          <w:color w:val="231F20"/>
          <w:spacing w:val="-2"/>
        </w:rPr>
        <w:t>les</w:t>
      </w:r>
      <w:r>
        <w:rPr>
          <w:color w:val="231F20"/>
          <w:spacing w:val="-13"/>
        </w:rPr>
        <w:t> </w:t>
      </w:r>
      <w:r>
        <w:rPr>
          <w:color w:val="231F20"/>
          <w:spacing w:val="-2"/>
        </w:rPr>
        <w:t>générations</w:t>
      </w:r>
      <w:r>
        <w:rPr>
          <w:color w:val="231F20"/>
          <w:spacing w:val="-13"/>
        </w:rPr>
        <w:t> </w:t>
      </w:r>
      <w:r>
        <w:rPr>
          <w:color w:val="231F20"/>
          <w:spacing w:val="-2"/>
        </w:rPr>
        <w:t>antérieures.</w:t>
      </w:r>
      <w:r>
        <w:rPr>
          <w:color w:val="231F20"/>
          <w:spacing w:val="-13"/>
        </w:rPr>
        <w:t> </w:t>
      </w:r>
      <w:r>
        <w:rPr>
          <w:color w:val="231F20"/>
          <w:spacing w:val="-2"/>
        </w:rPr>
        <w:t>C’était</w:t>
      </w:r>
      <w:r>
        <w:rPr>
          <w:color w:val="231F20"/>
          <w:spacing w:val="-13"/>
        </w:rPr>
        <w:t> </w:t>
      </w:r>
      <w:r>
        <w:rPr>
          <w:color w:val="231F20"/>
          <w:spacing w:val="-2"/>
        </w:rPr>
        <w:t>un</w:t>
      </w:r>
      <w:r>
        <w:rPr>
          <w:color w:val="231F20"/>
          <w:spacing w:val="-13"/>
        </w:rPr>
        <w:t> </w:t>
      </w:r>
      <w:r>
        <w:rPr>
          <w:color w:val="231F20"/>
          <w:spacing w:val="-2"/>
        </w:rPr>
        <w:t>moment</w:t>
      </w:r>
      <w:r>
        <w:rPr>
          <w:color w:val="231F20"/>
          <w:spacing w:val="-13"/>
        </w:rPr>
        <w:t> </w:t>
      </w:r>
      <w:r>
        <w:rPr>
          <w:color w:val="231F20"/>
          <w:spacing w:val="-2"/>
        </w:rPr>
        <w:t>très</w:t>
      </w:r>
      <w:r>
        <w:rPr>
          <w:color w:val="231F20"/>
          <w:spacing w:val="-13"/>
        </w:rPr>
        <w:t> </w:t>
      </w:r>
      <w:r>
        <w:rPr>
          <w:color w:val="231F20"/>
          <w:spacing w:val="-2"/>
        </w:rPr>
        <w:t>attendu</w:t>
      </w:r>
      <w:r>
        <w:rPr>
          <w:color w:val="231F20"/>
          <w:spacing w:val="-13"/>
        </w:rPr>
        <w:t> </w:t>
      </w:r>
      <w:r>
        <w:rPr>
          <w:color w:val="231F20"/>
          <w:spacing w:val="-2"/>
        </w:rPr>
        <w:t>par </w:t>
      </w:r>
      <w:r>
        <w:rPr>
          <w:color w:val="231F20"/>
        </w:rPr>
        <w:t>les enfants dans les différentes cours familiales. Les thèmes abordés </w:t>
      </w:r>
      <w:r>
        <w:rPr>
          <w:color w:val="231F20"/>
          <w:spacing w:val="-2"/>
        </w:rPr>
        <w:t>tournaient</w:t>
      </w:r>
      <w:r>
        <w:rPr>
          <w:color w:val="231F20"/>
          <w:spacing w:val="-12"/>
        </w:rPr>
        <w:t> </w:t>
      </w:r>
      <w:r>
        <w:rPr>
          <w:color w:val="231F20"/>
          <w:spacing w:val="-2"/>
        </w:rPr>
        <w:t>autour</w:t>
      </w:r>
      <w:r>
        <w:rPr>
          <w:color w:val="231F20"/>
          <w:spacing w:val="-10"/>
        </w:rPr>
        <w:t> </w:t>
      </w:r>
      <w:r>
        <w:rPr>
          <w:color w:val="231F20"/>
          <w:spacing w:val="-2"/>
        </w:rPr>
        <w:t>du</w:t>
      </w:r>
      <w:r>
        <w:rPr>
          <w:color w:val="231F20"/>
          <w:spacing w:val="-10"/>
        </w:rPr>
        <w:t> </w:t>
      </w:r>
      <w:r>
        <w:rPr>
          <w:color w:val="231F20"/>
          <w:spacing w:val="-2"/>
        </w:rPr>
        <w:t>Dieu</w:t>
      </w:r>
      <w:r>
        <w:rPr>
          <w:color w:val="231F20"/>
          <w:spacing w:val="-12"/>
        </w:rPr>
        <w:t> </w:t>
      </w:r>
      <w:r>
        <w:rPr>
          <w:color w:val="231F20"/>
          <w:spacing w:val="-2"/>
        </w:rPr>
        <w:t>créateur,</w:t>
      </w:r>
      <w:r>
        <w:rPr>
          <w:color w:val="231F20"/>
          <w:spacing w:val="-12"/>
        </w:rPr>
        <w:t> </w:t>
      </w:r>
      <w:r>
        <w:rPr>
          <w:color w:val="231F20"/>
          <w:spacing w:val="-2"/>
        </w:rPr>
        <w:t>des</w:t>
      </w:r>
      <w:r>
        <w:rPr>
          <w:color w:val="231F20"/>
          <w:spacing w:val="-12"/>
        </w:rPr>
        <w:t> </w:t>
      </w:r>
      <w:r>
        <w:rPr>
          <w:color w:val="231F20"/>
          <w:spacing w:val="-2"/>
        </w:rPr>
        <w:t>génies,</w:t>
      </w:r>
      <w:r>
        <w:rPr>
          <w:color w:val="231F20"/>
          <w:spacing w:val="-10"/>
        </w:rPr>
        <w:t> </w:t>
      </w:r>
      <w:r>
        <w:rPr>
          <w:color w:val="231F20"/>
          <w:spacing w:val="-2"/>
        </w:rPr>
        <w:t>du</w:t>
      </w:r>
      <w:r>
        <w:rPr>
          <w:color w:val="231F20"/>
          <w:spacing w:val="-10"/>
        </w:rPr>
        <w:t> </w:t>
      </w:r>
      <w:r>
        <w:rPr>
          <w:color w:val="231F20"/>
          <w:spacing w:val="-2"/>
        </w:rPr>
        <w:t>vécu</w:t>
      </w:r>
      <w:r>
        <w:rPr>
          <w:color w:val="231F20"/>
          <w:spacing w:val="-10"/>
        </w:rPr>
        <w:t> </w:t>
      </w:r>
      <w:r>
        <w:rPr>
          <w:color w:val="231F20"/>
          <w:spacing w:val="-2"/>
        </w:rPr>
        <w:t>des</w:t>
      </w:r>
      <w:r>
        <w:rPr>
          <w:color w:val="231F20"/>
          <w:spacing w:val="-10"/>
        </w:rPr>
        <w:t> </w:t>
      </w:r>
      <w:r>
        <w:rPr>
          <w:color w:val="231F20"/>
          <w:spacing w:val="-2"/>
        </w:rPr>
        <w:t>ancêtres…du </w:t>
      </w:r>
      <w:r>
        <w:rPr>
          <w:color w:val="231F20"/>
        </w:rPr>
        <w:t>Bien</w:t>
      </w:r>
      <w:r>
        <w:rPr>
          <w:color w:val="231F20"/>
          <w:spacing w:val="-9"/>
        </w:rPr>
        <w:t> </w:t>
      </w:r>
      <w:r>
        <w:rPr>
          <w:color w:val="231F20"/>
        </w:rPr>
        <w:t>et</w:t>
      </w:r>
      <w:r>
        <w:rPr>
          <w:color w:val="231F20"/>
          <w:spacing w:val="-10"/>
        </w:rPr>
        <w:t> </w:t>
      </w:r>
      <w:r>
        <w:rPr>
          <w:color w:val="231F20"/>
        </w:rPr>
        <w:t>du</w:t>
      </w:r>
      <w:r>
        <w:rPr>
          <w:color w:val="231F20"/>
          <w:spacing w:val="-9"/>
        </w:rPr>
        <w:t> </w:t>
      </w:r>
      <w:r>
        <w:rPr>
          <w:color w:val="231F20"/>
        </w:rPr>
        <w:t>Mal.</w:t>
      </w:r>
      <w:r>
        <w:rPr>
          <w:color w:val="231F20"/>
          <w:spacing w:val="-9"/>
        </w:rPr>
        <w:t> </w:t>
      </w:r>
      <w:r>
        <w:rPr>
          <w:color w:val="231F20"/>
        </w:rPr>
        <w:t>Les</w:t>
      </w:r>
      <w:r>
        <w:rPr>
          <w:color w:val="231F20"/>
          <w:spacing w:val="-9"/>
        </w:rPr>
        <w:t> </w:t>
      </w:r>
      <w:r>
        <w:rPr>
          <w:color w:val="231F20"/>
        </w:rPr>
        <w:t>personnages</w:t>
      </w:r>
      <w:r>
        <w:rPr>
          <w:color w:val="231F20"/>
          <w:spacing w:val="-9"/>
        </w:rPr>
        <w:t> </w:t>
      </w:r>
      <w:r>
        <w:rPr>
          <w:color w:val="231F20"/>
        </w:rPr>
        <w:t>étaient</w:t>
      </w:r>
      <w:r>
        <w:rPr>
          <w:color w:val="231F20"/>
          <w:spacing w:val="-9"/>
        </w:rPr>
        <w:t> </w:t>
      </w:r>
      <w:r>
        <w:rPr>
          <w:color w:val="231F20"/>
        </w:rPr>
        <w:t>des</w:t>
      </w:r>
      <w:r>
        <w:rPr>
          <w:color w:val="231F20"/>
          <w:spacing w:val="-9"/>
        </w:rPr>
        <w:t> </w:t>
      </w:r>
      <w:r>
        <w:rPr>
          <w:color w:val="231F20"/>
        </w:rPr>
        <w:t>hommes,</w:t>
      </w:r>
      <w:r>
        <w:rPr>
          <w:color w:val="231F20"/>
          <w:spacing w:val="-9"/>
        </w:rPr>
        <w:t> </w:t>
      </w:r>
      <w:r>
        <w:rPr>
          <w:color w:val="231F20"/>
        </w:rPr>
        <w:t>des</w:t>
      </w:r>
      <w:r>
        <w:rPr>
          <w:color w:val="231F20"/>
          <w:spacing w:val="-9"/>
        </w:rPr>
        <w:t> </w:t>
      </w:r>
      <w:r>
        <w:rPr>
          <w:color w:val="231F20"/>
        </w:rPr>
        <w:t>animaux,</w:t>
      </w:r>
      <w:r>
        <w:rPr>
          <w:color w:val="231F20"/>
          <w:spacing w:val="-9"/>
        </w:rPr>
        <w:t> </w:t>
      </w:r>
      <w:r>
        <w:rPr>
          <w:color w:val="231F20"/>
        </w:rPr>
        <w:t>des génies, des revenants, des esprits bons ou méchants … les esprits </w:t>
      </w:r>
      <w:r>
        <w:rPr>
          <w:color w:val="231F20"/>
          <w:spacing w:val="-4"/>
        </w:rPr>
        <w:t>viennent,</w:t>
      </w:r>
      <w:r>
        <w:rPr>
          <w:color w:val="231F20"/>
          <w:spacing w:val="-7"/>
        </w:rPr>
        <w:t> </w:t>
      </w:r>
      <w:r>
        <w:rPr>
          <w:color w:val="231F20"/>
          <w:spacing w:val="-4"/>
        </w:rPr>
        <w:t>la</w:t>
      </w:r>
      <w:r>
        <w:rPr>
          <w:color w:val="231F20"/>
          <w:spacing w:val="-7"/>
        </w:rPr>
        <w:t> </w:t>
      </w:r>
      <w:r>
        <w:rPr>
          <w:color w:val="231F20"/>
          <w:spacing w:val="-4"/>
        </w:rPr>
        <w:t>plupart</w:t>
      </w:r>
      <w:r>
        <w:rPr>
          <w:color w:val="231F20"/>
          <w:spacing w:val="-7"/>
        </w:rPr>
        <w:t> </w:t>
      </w:r>
      <w:r>
        <w:rPr>
          <w:color w:val="231F20"/>
          <w:spacing w:val="-4"/>
        </w:rPr>
        <w:t>du</w:t>
      </w:r>
      <w:r>
        <w:rPr>
          <w:color w:val="231F20"/>
          <w:spacing w:val="-7"/>
        </w:rPr>
        <w:t> </w:t>
      </w:r>
      <w:r>
        <w:rPr>
          <w:color w:val="231F20"/>
          <w:spacing w:val="-4"/>
        </w:rPr>
        <w:t>temps,</w:t>
      </w:r>
      <w:r>
        <w:rPr>
          <w:color w:val="231F20"/>
          <w:spacing w:val="-7"/>
        </w:rPr>
        <w:t> </w:t>
      </w:r>
      <w:r>
        <w:rPr>
          <w:color w:val="231F20"/>
          <w:spacing w:val="-4"/>
        </w:rPr>
        <w:t>des</w:t>
      </w:r>
      <w:r>
        <w:rPr>
          <w:color w:val="231F20"/>
          <w:spacing w:val="-6"/>
        </w:rPr>
        <w:t> </w:t>
      </w:r>
      <w:r>
        <w:rPr>
          <w:color w:val="231F20"/>
          <w:spacing w:val="-4"/>
        </w:rPr>
        <w:t>eaux</w:t>
      </w:r>
      <w:r>
        <w:rPr>
          <w:color w:val="231F20"/>
          <w:spacing w:val="-7"/>
        </w:rPr>
        <w:t> </w:t>
      </w:r>
      <w:r>
        <w:rPr>
          <w:color w:val="231F20"/>
          <w:spacing w:val="-4"/>
        </w:rPr>
        <w:t>(mer,</w:t>
      </w:r>
      <w:r>
        <w:rPr>
          <w:color w:val="231F20"/>
          <w:spacing w:val="-7"/>
        </w:rPr>
        <w:t> </w:t>
      </w:r>
      <w:r>
        <w:rPr>
          <w:color w:val="231F20"/>
          <w:spacing w:val="-4"/>
        </w:rPr>
        <w:t>rivière,</w:t>
      </w:r>
      <w:r>
        <w:rPr>
          <w:color w:val="231F20"/>
          <w:spacing w:val="-7"/>
        </w:rPr>
        <w:t> </w:t>
      </w:r>
      <w:r>
        <w:rPr>
          <w:color w:val="231F20"/>
          <w:spacing w:val="-4"/>
        </w:rPr>
        <w:t>lac)</w:t>
      </w:r>
      <w:r>
        <w:rPr>
          <w:color w:val="231F20"/>
          <w:spacing w:val="-7"/>
        </w:rPr>
        <w:t> </w:t>
      </w:r>
      <w:r>
        <w:rPr>
          <w:color w:val="231F20"/>
          <w:spacing w:val="-4"/>
        </w:rPr>
        <w:t>ou</w:t>
      </w:r>
      <w:r>
        <w:rPr>
          <w:color w:val="231F20"/>
          <w:spacing w:val="-8"/>
        </w:rPr>
        <w:t> </w:t>
      </w:r>
      <w:r>
        <w:rPr>
          <w:color w:val="231F20"/>
          <w:spacing w:val="-4"/>
        </w:rPr>
        <w:t>du</w:t>
      </w:r>
      <w:r>
        <w:rPr>
          <w:color w:val="231F20"/>
          <w:spacing w:val="-7"/>
        </w:rPr>
        <w:t> </w:t>
      </w:r>
      <w:r>
        <w:rPr>
          <w:color w:val="231F20"/>
          <w:spacing w:val="-4"/>
        </w:rPr>
        <w:t>séjour</w:t>
      </w:r>
      <w:r>
        <w:rPr>
          <w:color w:val="231F20"/>
          <w:spacing w:val="-7"/>
        </w:rPr>
        <w:t> </w:t>
      </w:r>
      <w:r>
        <w:rPr>
          <w:color w:val="231F20"/>
          <w:spacing w:val="-4"/>
        </w:rPr>
        <w:t>des morts</w:t>
      </w:r>
      <w:r>
        <w:rPr>
          <w:color w:val="231F20"/>
          <w:spacing w:val="-11"/>
        </w:rPr>
        <w:t> </w:t>
      </w:r>
      <w:r>
        <w:rPr>
          <w:color w:val="231F20"/>
          <w:spacing w:val="-4"/>
        </w:rPr>
        <w:t>et</w:t>
      </w:r>
      <w:r>
        <w:rPr>
          <w:color w:val="231F20"/>
          <w:spacing w:val="-11"/>
        </w:rPr>
        <w:t> </w:t>
      </w:r>
      <w:r>
        <w:rPr>
          <w:color w:val="231F20"/>
          <w:spacing w:val="-4"/>
        </w:rPr>
        <w:t>peuvent</w:t>
      </w:r>
      <w:r>
        <w:rPr>
          <w:color w:val="231F20"/>
          <w:spacing w:val="-11"/>
        </w:rPr>
        <w:t> </w:t>
      </w:r>
      <w:r>
        <w:rPr>
          <w:color w:val="231F20"/>
          <w:spacing w:val="-4"/>
        </w:rPr>
        <w:t>apporter</w:t>
      </w:r>
      <w:r>
        <w:rPr>
          <w:color w:val="231F20"/>
          <w:spacing w:val="-11"/>
        </w:rPr>
        <w:t> </w:t>
      </w:r>
      <w:r>
        <w:rPr>
          <w:color w:val="231F20"/>
          <w:spacing w:val="-4"/>
        </w:rPr>
        <w:t>la</w:t>
      </w:r>
      <w:r>
        <w:rPr>
          <w:color w:val="231F20"/>
          <w:spacing w:val="-9"/>
        </w:rPr>
        <w:t> </w:t>
      </w:r>
      <w:r>
        <w:rPr>
          <w:color w:val="231F20"/>
          <w:spacing w:val="-4"/>
        </w:rPr>
        <w:t>richesse,</w:t>
      </w:r>
      <w:r>
        <w:rPr>
          <w:color w:val="231F20"/>
          <w:spacing w:val="-11"/>
        </w:rPr>
        <w:t> </w:t>
      </w:r>
      <w:r>
        <w:rPr>
          <w:color w:val="231F20"/>
          <w:spacing w:val="-4"/>
        </w:rPr>
        <w:t>la</w:t>
      </w:r>
      <w:r>
        <w:rPr>
          <w:color w:val="231F20"/>
          <w:spacing w:val="-11"/>
        </w:rPr>
        <w:t> </w:t>
      </w:r>
      <w:r>
        <w:rPr>
          <w:color w:val="231F20"/>
          <w:spacing w:val="-4"/>
        </w:rPr>
        <w:t>fécondité,</w:t>
      </w:r>
      <w:r>
        <w:rPr>
          <w:color w:val="231F20"/>
          <w:spacing w:val="-10"/>
        </w:rPr>
        <w:t> </w:t>
      </w:r>
      <w:r>
        <w:rPr>
          <w:color w:val="231F20"/>
          <w:spacing w:val="-4"/>
        </w:rPr>
        <w:t>la</w:t>
      </w:r>
      <w:r>
        <w:rPr>
          <w:color w:val="231F20"/>
          <w:spacing w:val="-11"/>
        </w:rPr>
        <w:t> </w:t>
      </w:r>
      <w:r>
        <w:rPr>
          <w:color w:val="231F20"/>
          <w:spacing w:val="-4"/>
        </w:rPr>
        <w:t>pluie</w:t>
      </w:r>
      <w:r>
        <w:rPr>
          <w:color w:val="231F20"/>
          <w:spacing w:val="-11"/>
        </w:rPr>
        <w:t> </w:t>
      </w:r>
      <w:r>
        <w:rPr>
          <w:color w:val="231F20"/>
          <w:spacing w:val="-4"/>
        </w:rPr>
        <w:t>ou</w:t>
      </w:r>
      <w:r>
        <w:rPr>
          <w:color w:val="231F20"/>
          <w:spacing w:val="-11"/>
        </w:rPr>
        <w:t> </w:t>
      </w:r>
      <w:r>
        <w:rPr>
          <w:color w:val="231F20"/>
          <w:spacing w:val="-4"/>
        </w:rPr>
        <w:t>au</w:t>
      </w:r>
      <w:r>
        <w:rPr>
          <w:color w:val="231F20"/>
          <w:spacing w:val="-10"/>
        </w:rPr>
        <w:t> </w:t>
      </w:r>
      <w:r>
        <w:rPr>
          <w:color w:val="231F20"/>
          <w:spacing w:val="-4"/>
        </w:rPr>
        <w:t>contraire, </w:t>
      </w:r>
      <w:r>
        <w:rPr>
          <w:color w:val="231F20"/>
        </w:rPr>
        <w:t>affliger</w:t>
      </w:r>
      <w:r>
        <w:rPr>
          <w:color w:val="231F20"/>
          <w:spacing w:val="-3"/>
        </w:rPr>
        <w:t> </w:t>
      </w:r>
      <w:r>
        <w:rPr>
          <w:color w:val="231F20"/>
        </w:rPr>
        <w:t>les</w:t>
      </w:r>
      <w:r>
        <w:rPr>
          <w:color w:val="231F20"/>
          <w:spacing w:val="-5"/>
        </w:rPr>
        <w:t> </w:t>
      </w:r>
      <w:r>
        <w:rPr>
          <w:color w:val="231F20"/>
        </w:rPr>
        <w:t>humains</w:t>
      </w:r>
      <w:r>
        <w:rPr>
          <w:color w:val="231F20"/>
          <w:spacing w:val="-5"/>
        </w:rPr>
        <w:t> </w:t>
      </w:r>
      <w:r>
        <w:rPr>
          <w:color w:val="231F20"/>
        </w:rPr>
        <w:t>s’ils</w:t>
      </w:r>
      <w:r>
        <w:rPr>
          <w:color w:val="231F20"/>
          <w:spacing w:val="-5"/>
        </w:rPr>
        <w:t> </w:t>
      </w:r>
      <w:r>
        <w:rPr>
          <w:color w:val="231F20"/>
        </w:rPr>
        <w:t>les</w:t>
      </w:r>
      <w:r>
        <w:rPr>
          <w:color w:val="231F20"/>
          <w:spacing w:val="-3"/>
        </w:rPr>
        <w:t> </w:t>
      </w:r>
      <w:r>
        <w:rPr>
          <w:color w:val="231F20"/>
        </w:rPr>
        <w:t>négligent,</w:t>
      </w:r>
      <w:r>
        <w:rPr>
          <w:color w:val="231F20"/>
          <w:spacing w:val="-5"/>
        </w:rPr>
        <w:t> </w:t>
      </w:r>
      <w:r>
        <w:rPr>
          <w:color w:val="231F20"/>
        </w:rPr>
        <w:t>transgressent</w:t>
      </w:r>
      <w:r>
        <w:rPr>
          <w:color w:val="231F20"/>
          <w:spacing w:val="-3"/>
        </w:rPr>
        <w:t> </w:t>
      </w:r>
      <w:r>
        <w:rPr>
          <w:color w:val="231F20"/>
        </w:rPr>
        <w:t>leur</w:t>
      </w:r>
      <w:r>
        <w:rPr>
          <w:color w:val="231F20"/>
          <w:spacing w:val="-5"/>
        </w:rPr>
        <w:t> </w:t>
      </w:r>
      <w:r>
        <w:rPr>
          <w:color w:val="231F20"/>
        </w:rPr>
        <w:t>loi</w:t>
      </w:r>
      <w:r>
        <w:rPr>
          <w:color w:val="231F20"/>
          <w:spacing w:val="-3"/>
        </w:rPr>
        <w:t> </w:t>
      </w:r>
      <w:r>
        <w:rPr>
          <w:color w:val="231F20"/>
        </w:rPr>
        <w:t>ou</w:t>
      </w:r>
      <w:r>
        <w:rPr>
          <w:color w:val="231F20"/>
          <w:spacing w:val="-3"/>
        </w:rPr>
        <w:t> </w:t>
      </w:r>
      <w:r>
        <w:rPr>
          <w:color w:val="231F20"/>
        </w:rPr>
        <w:t>font</w:t>
      </w:r>
      <w:r>
        <w:rPr>
          <w:color w:val="231F20"/>
          <w:spacing w:val="-5"/>
        </w:rPr>
        <w:t> </w:t>
      </w:r>
      <w:r>
        <w:rPr>
          <w:color w:val="231F20"/>
        </w:rPr>
        <w:t>du </w:t>
      </w:r>
      <w:r>
        <w:rPr>
          <w:color w:val="231F20"/>
          <w:spacing w:val="-2"/>
        </w:rPr>
        <w:t>mal</w:t>
      </w:r>
      <w:r>
        <w:rPr>
          <w:color w:val="231F20"/>
          <w:spacing w:val="-9"/>
        </w:rPr>
        <w:t> </w:t>
      </w:r>
      <w:r>
        <w:rPr>
          <w:color w:val="231F20"/>
          <w:spacing w:val="-2"/>
        </w:rPr>
        <w:t>à</w:t>
      </w:r>
      <w:r>
        <w:rPr>
          <w:color w:val="231F20"/>
          <w:spacing w:val="-10"/>
        </w:rPr>
        <w:t> </w:t>
      </w:r>
      <w:r>
        <w:rPr>
          <w:color w:val="231F20"/>
          <w:spacing w:val="-2"/>
        </w:rPr>
        <w:t>leur</w:t>
      </w:r>
      <w:r>
        <w:rPr>
          <w:color w:val="231F20"/>
          <w:spacing w:val="-10"/>
        </w:rPr>
        <w:t> </w:t>
      </w:r>
      <w:r>
        <w:rPr>
          <w:color w:val="231F20"/>
          <w:spacing w:val="-2"/>
        </w:rPr>
        <w:t>prochain.</w:t>
      </w:r>
      <w:r>
        <w:rPr>
          <w:color w:val="231F20"/>
          <w:spacing w:val="-10"/>
        </w:rPr>
        <w:t> </w:t>
      </w:r>
      <w:r>
        <w:rPr>
          <w:color w:val="231F20"/>
          <w:spacing w:val="-2"/>
        </w:rPr>
        <w:t>Les</w:t>
      </w:r>
      <w:r>
        <w:rPr>
          <w:color w:val="231F20"/>
          <w:spacing w:val="-10"/>
        </w:rPr>
        <w:t> </w:t>
      </w:r>
      <w:r>
        <w:rPr>
          <w:color w:val="231F20"/>
          <w:spacing w:val="-2"/>
        </w:rPr>
        <w:t>histoires</w:t>
      </w:r>
      <w:r>
        <w:rPr>
          <w:color w:val="231F20"/>
          <w:spacing w:val="-10"/>
        </w:rPr>
        <w:t> </w:t>
      </w:r>
      <w:r>
        <w:rPr>
          <w:color w:val="231F20"/>
          <w:spacing w:val="-2"/>
        </w:rPr>
        <w:t>racontées</w:t>
      </w:r>
      <w:r>
        <w:rPr>
          <w:color w:val="231F20"/>
          <w:spacing w:val="-10"/>
        </w:rPr>
        <w:t> </w:t>
      </w:r>
      <w:r>
        <w:rPr>
          <w:color w:val="231F20"/>
          <w:spacing w:val="-2"/>
        </w:rPr>
        <w:t>sont</w:t>
      </w:r>
      <w:r>
        <w:rPr>
          <w:color w:val="231F20"/>
          <w:spacing w:val="-9"/>
        </w:rPr>
        <w:t> </w:t>
      </w:r>
      <w:r>
        <w:rPr>
          <w:color w:val="231F20"/>
          <w:spacing w:val="-2"/>
        </w:rPr>
        <w:t>un</w:t>
      </w:r>
      <w:r>
        <w:rPr>
          <w:color w:val="231F20"/>
          <w:spacing w:val="-12"/>
        </w:rPr>
        <w:t> </w:t>
      </w:r>
      <w:r>
        <w:rPr>
          <w:color w:val="231F20"/>
          <w:spacing w:val="-2"/>
        </w:rPr>
        <w:t>enseignement</w:t>
      </w:r>
      <w:r>
        <w:rPr>
          <w:color w:val="231F20"/>
          <w:spacing w:val="-9"/>
        </w:rPr>
        <w:t> </w:t>
      </w:r>
      <w:r>
        <w:rPr>
          <w:color w:val="231F20"/>
          <w:spacing w:val="-2"/>
        </w:rPr>
        <w:t>pluriel </w:t>
      </w:r>
      <w:r>
        <w:rPr>
          <w:color w:val="231F20"/>
        </w:rPr>
        <w:t>transmis de</w:t>
      </w:r>
      <w:r>
        <w:rPr>
          <w:color w:val="231F20"/>
          <w:spacing w:val="-2"/>
        </w:rPr>
        <w:t> </w:t>
      </w:r>
      <w:r>
        <w:rPr>
          <w:color w:val="231F20"/>
        </w:rPr>
        <w:t>génération en</w:t>
      </w:r>
      <w:r>
        <w:rPr>
          <w:color w:val="231F20"/>
          <w:spacing w:val="-1"/>
        </w:rPr>
        <w:t> </w:t>
      </w:r>
      <w:r>
        <w:rPr>
          <w:color w:val="231F20"/>
        </w:rPr>
        <w:t>génération au moyen de</w:t>
      </w:r>
      <w:r>
        <w:rPr>
          <w:color w:val="231F20"/>
          <w:spacing w:val="-2"/>
        </w:rPr>
        <w:t> </w:t>
      </w:r>
      <w:r>
        <w:rPr>
          <w:color w:val="231F20"/>
        </w:rPr>
        <w:t>la parole.</w:t>
      </w:r>
      <w:r>
        <w:rPr>
          <w:color w:val="231F20"/>
          <w:spacing w:val="-1"/>
        </w:rPr>
        <w:t> </w:t>
      </w:r>
      <w:r>
        <w:rPr>
          <w:color w:val="231F20"/>
        </w:rPr>
        <w:t>Elles sont stockées</w:t>
      </w:r>
      <w:r>
        <w:rPr>
          <w:color w:val="231F20"/>
          <w:spacing w:val="-5"/>
        </w:rPr>
        <w:t> </w:t>
      </w:r>
      <w:r>
        <w:rPr>
          <w:color w:val="231F20"/>
        </w:rPr>
        <w:t>dans</w:t>
      </w:r>
      <w:r>
        <w:rPr>
          <w:color w:val="231F20"/>
          <w:spacing w:val="-5"/>
        </w:rPr>
        <w:t> </w:t>
      </w:r>
      <w:r>
        <w:rPr>
          <w:color w:val="231F20"/>
        </w:rPr>
        <w:t>la</w:t>
      </w:r>
      <w:r>
        <w:rPr>
          <w:color w:val="231F20"/>
          <w:spacing w:val="-3"/>
        </w:rPr>
        <w:t> </w:t>
      </w:r>
      <w:r>
        <w:rPr>
          <w:color w:val="231F20"/>
        </w:rPr>
        <w:t>mémoire</w:t>
      </w:r>
      <w:r>
        <w:rPr>
          <w:color w:val="231F20"/>
          <w:spacing w:val="-5"/>
        </w:rPr>
        <w:t> </w:t>
      </w:r>
      <w:r>
        <w:rPr>
          <w:color w:val="231F20"/>
        </w:rPr>
        <w:t>des</w:t>
      </w:r>
      <w:r>
        <w:rPr>
          <w:color w:val="231F20"/>
          <w:spacing w:val="-3"/>
        </w:rPr>
        <w:t> </w:t>
      </w:r>
      <w:r>
        <w:rPr>
          <w:color w:val="231F20"/>
        </w:rPr>
        <w:t>griots</w:t>
      </w:r>
      <w:r>
        <w:rPr>
          <w:color w:val="231F20"/>
          <w:spacing w:val="-5"/>
        </w:rPr>
        <w:t> </w:t>
      </w:r>
      <w:r>
        <w:rPr>
          <w:color w:val="231F20"/>
        </w:rPr>
        <w:t>ou</w:t>
      </w:r>
      <w:r>
        <w:rPr>
          <w:color w:val="231F20"/>
          <w:spacing w:val="-5"/>
        </w:rPr>
        <w:t> </w:t>
      </w:r>
      <w:r>
        <w:rPr>
          <w:color w:val="231F20"/>
        </w:rPr>
        <w:t>des</w:t>
      </w:r>
      <w:r>
        <w:rPr>
          <w:color w:val="231F20"/>
          <w:spacing w:val="-3"/>
        </w:rPr>
        <w:t> </w:t>
      </w:r>
      <w:r>
        <w:rPr>
          <w:color w:val="231F20"/>
        </w:rPr>
        <w:t>personnes</w:t>
      </w:r>
      <w:r>
        <w:rPr>
          <w:color w:val="231F20"/>
          <w:spacing w:val="-3"/>
        </w:rPr>
        <w:t> </w:t>
      </w:r>
      <w:r>
        <w:rPr>
          <w:color w:val="231F20"/>
        </w:rPr>
        <w:t>âgées.</w:t>
      </w:r>
    </w:p>
    <w:p>
      <w:pPr>
        <w:pStyle w:val="BodyText"/>
        <w:spacing w:before="121"/>
        <w:ind w:right="106" w:firstLine="283"/>
      </w:pPr>
      <w:r>
        <w:rPr>
          <w:color w:val="231F20"/>
        </w:rPr>
        <w:t>Aussi,</w:t>
      </w:r>
      <w:r>
        <w:rPr>
          <w:color w:val="231F20"/>
          <w:spacing w:val="-15"/>
        </w:rPr>
        <w:t> </w:t>
      </w:r>
      <w:r>
        <w:rPr>
          <w:color w:val="231F20"/>
        </w:rPr>
        <w:t>dans</w:t>
      </w:r>
      <w:r>
        <w:rPr>
          <w:color w:val="231F20"/>
          <w:spacing w:val="-15"/>
        </w:rPr>
        <w:t> </w:t>
      </w:r>
      <w:r>
        <w:rPr>
          <w:color w:val="231F20"/>
        </w:rPr>
        <w:t>cette</w:t>
      </w:r>
      <w:r>
        <w:rPr>
          <w:color w:val="231F20"/>
          <w:spacing w:val="-15"/>
        </w:rPr>
        <w:t> </w:t>
      </w:r>
      <w:r>
        <w:rPr>
          <w:color w:val="231F20"/>
        </w:rPr>
        <w:t>culture</w:t>
      </w:r>
      <w:r>
        <w:rPr>
          <w:color w:val="231F20"/>
          <w:spacing w:val="-15"/>
        </w:rPr>
        <w:t> </w:t>
      </w:r>
      <w:r>
        <w:rPr>
          <w:color w:val="231F20"/>
        </w:rPr>
        <w:t>où</w:t>
      </w:r>
      <w:r>
        <w:rPr>
          <w:color w:val="231F20"/>
          <w:spacing w:val="-13"/>
        </w:rPr>
        <w:t> </w:t>
      </w:r>
      <w:r>
        <w:rPr>
          <w:color w:val="231F20"/>
        </w:rPr>
        <w:t>la</w:t>
      </w:r>
      <w:r>
        <w:rPr>
          <w:color w:val="231F20"/>
          <w:spacing w:val="-15"/>
        </w:rPr>
        <w:t> </w:t>
      </w:r>
      <w:r>
        <w:rPr>
          <w:color w:val="231F20"/>
        </w:rPr>
        <w:t>présence</w:t>
      </w:r>
      <w:r>
        <w:rPr>
          <w:color w:val="231F20"/>
          <w:spacing w:val="-15"/>
        </w:rPr>
        <w:t> </w:t>
      </w:r>
      <w:r>
        <w:rPr>
          <w:color w:val="231F20"/>
        </w:rPr>
        <w:t>des</w:t>
      </w:r>
      <w:r>
        <w:rPr>
          <w:color w:val="231F20"/>
          <w:spacing w:val="-14"/>
        </w:rPr>
        <w:t> </w:t>
      </w:r>
      <w:r>
        <w:rPr>
          <w:color w:val="231F20"/>
        </w:rPr>
        <w:t>esprits</w:t>
      </w:r>
      <w:r>
        <w:rPr>
          <w:color w:val="231F20"/>
          <w:spacing w:val="-15"/>
        </w:rPr>
        <w:t> </w:t>
      </w:r>
      <w:r>
        <w:rPr>
          <w:color w:val="231F20"/>
        </w:rPr>
        <w:t>dans</w:t>
      </w:r>
      <w:r>
        <w:rPr>
          <w:color w:val="231F20"/>
          <w:spacing w:val="-15"/>
        </w:rPr>
        <w:t> </w:t>
      </w:r>
      <w:r>
        <w:rPr>
          <w:color w:val="231F20"/>
        </w:rPr>
        <w:t>la</w:t>
      </w:r>
      <w:r>
        <w:rPr>
          <w:color w:val="231F20"/>
          <w:spacing w:val="-14"/>
        </w:rPr>
        <w:t> </w:t>
      </w:r>
      <w:r>
        <w:rPr>
          <w:color w:val="231F20"/>
        </w:rPr>
        <w:t>vie</w:t>
      </w:r>
      <w:r>
        <w:rPr>
          <w:color w:val="231F20"/>
          <w:spacing w:val="-14"/>
        </w:rPr>
        <w:t> </w:t>
      </w:r>
      <w:r>
        <w:rPr>
          <w:color w:val="231F20"/>
        </w:rPr>
        <w:t>de</w:t>
      </w:r>
      <w:r>
        <w:rPr>
          <w:color w:val="231F20"/>
          <w:spacing w:val="-15"/>
        </w:rPr>
        <w:t> </w:t>
      </w:r>
      <w:r>
        <w:rPr>
          <w:color w:val="231F20"/>
        </w:rPr>
        <w:t>tous les jours est rappelée constamment à tous, lorsque l’homme Blanc </w:t>
      </w:r>
      <w:r>
        <w:rPr>
          <w:color w:val="231F20"/>
          <w:spacing w:val="-4"/>
        </w:rPr>
        <w:t>apparaît,</w:t>
      </w:r>
      <w:r>
        <w:rPr>
          <w:color w:val="231F20"/>
          <w:spacing w:val="-11"/>
        </w:rPr>
        <w:t> </w:t>
      </w:r>
      <w:r>
        <w:rPr>
          <w:color w:val="231F20"/>
          <w:spacing w:val="-4"/>
        </w:rPr>
        <w:t>les</w:t>
      </w:r>
      <w:r>
        <w:rPr>
          <w:color w:val="231F20"/>
          <w:spacing w:val="-11"/>
        </w:rPr>
        <w:t> </w:t>
      </w:r>
      <w:r>
        <w:rPr>
          <w:color w:val="231F20"/>
          <w:spacing w:val="-4"/>
        </w:rPr>
        <w:t>habitants</w:t>
      </w:r>
      <w:r>
        <w:rPr>
          <w:color w:val="231F20"/>
          <w:spacing w:val="-11"/>
        </w:rPr>
        <w:t> </w:t>
      </w:r>
      <w:r>
        <w:rPr>
          <w:color w:val="231F20"/>
          <w:spacing w:val="-4"/>
        </w:rPr>
        <w:t>vivant</w:t>
      </w:r>
      <w:r>
        <w:rPr>
          <w:color w:val="231F20"/>
          <w:spacing w:val="-11"/>
        </w:rPr>
        <w:t> </w:t>
      </w:r>
      <w:r>
        <w:rPr>
          <w:color w:val="231F20"/>
          <w:spacing w:val="-4"/>
        </w:rPr>
        <w:t>au</w:t>
      </w:r>
      <w:r>
        <w:rPr>
          <w:color w:val="231F20"/>
          <w:spacing w:val="-11"/>
        </w:rPr>
        <w:t> </w:t>
      </w:r>
      <w:r>
        <w:rPr>
          <w:color w:val="231F20"/>
          <w:spacing w:val="-4"/>
        </w:rPr>
        <w:t>bord</w:t>
      </w:r>
      <w:r>
        <w:rPr>
          <w:color w:val="231F20"/>
          <w:spacing w:val="-11"/>
        </w:rPr>
        <w:t> </w:t>
      </w:r>
      <w:r>
        <w:rPr>
          <w:color w:val="231F20"/>
          <w:spacing w:val="-4"/>
        </w:rPr>
        <w:t>de</w:t>
      </w:r>
      <w:r>
        <w:rPr>
          <w:color w:val="231F20"/>
          <w:spacing w:val="-11"/>
        </w:rPr>
        <w:t> </w:t>
      </w:r>
      <w:r>
        <w:rPr>
          <w:color w:val="231F20"/>
          <w:spacing w:val="-4"/>
        </w:rPr>
        <w:t>l’eau</w:t>
      </w:r>
      <w:r>
        <w:rPr>
          <w:color w:val="231F20"/>
          <w:spacing w:val="-11"/>
        </w:rPr>
        <w:t> </w:t>
      </w:r>
      <w:r>
        <w:rPr>
          <w:color w:val="231F20"/>
          <w:spacing w:val="-4"/>
        </w:rPr>
        <w:t>le</w:t>
      </w:r>
      <w:r>
        <w:rPr>
          <w:color w:val="231F20"/>
          <w:spacing w:val="-11"/>
        </w:rPr>
        <w:t> </w:t>
      </w:r>
      <w:r>
        <w:rPr>
          <w:color w:val="231F20"/>
          <w:spacing w:val="-4"/>
        </w:rPr>
        <w:t>prirent</w:t>
      </w:r>
      <w:r>
        <w:rPr>
          <w:color w:val="231F20"/>
          <w:spacing w:val="-9"/>
        </w:rPr>
        <w:t> </w:t>
      </w:r>
      <w:r>
        <w:rPr>
          <w:color w:val="231F20"/>
          <w:spacing w:val="-4"/>
        </w:rPr>
        <w:t>pour</w:t>
      </w:r>
      <w:r>
        <w:rPr>
          <w:color w:val="231F20"/>
          <w:spacing w:val="-11"/>
        </w:rPr>
        <w:t> </w:t>
      </w:r>
      <w:r>
        <w:rPr>
          <w:color w:val="231F20"/>
          <w:spacing w:val="-4"/>
        </w:rPr>
        <w:t>un</w:t>
      </w:r>
      <w:r>
        <w:rPr>
          <w:color w:val="231F20"/>
          <w:spacing w:val="-9"/>
        </w:rPr>
        <w:t> </w:t>
      </w:r>
      <w:r>
        <w:rPr>
          <w:color w:val="231F20"/>
          <w:spacing w:val="-4"/>
        </w:rPr>
        <w:t>esprit</w:t>
      </w:r>
      <w:r>
        <w:rPr>
          <w:color w:val="231F20"/>
          <w:spacing w:val="-8"/>
        </w:rPr>
        <w:t> </w:t>
      </w:r>
      <w:r>
        <w:rPr>
          <w:color w:val="231F20"/>
          <w:spacing w:val="-4"/>
        </w:rPr>
        <w:t>sorti </w:t>
      </w:r>
      <w:r>
        <w:rPr>
          <w:color w:val="231F20"/>
        </w:rPr>
        <w:t>des eaux sous l’aspect d’un être humain ; ceux de l’hinterland l’ont considéré comme un revenant. Dans tous les cas, ce n’était pas</w:t>
      </w:r>
      <w:r>
        <w:rPr>
          <w:color w:val="231F20"/>
          <w:spacing w:val="-1"/>
        </w:rPr>
        <w:t> </w:t>
      </w:r>
      <w:r>
        <w:rPr>
          <w:color w:val="231F20"/>
        </w:rPr>
        <w:t>un être naturel</w:t>
      </w:r>
      <w:r>
        <w:rPr>
          <w:color w:val="231F20"/>
          <w:spacing w:val="-17"/>
        </w:rPr>
        <w:t> </w:t>
      </w:r>
      <w:r>
        <w:rPr>
          <w:color w:val="231F20"/>
        </w:rPr>
        <w:t>:</w:t>
      </w:r>
      <w:r>
        <w:rPr>
          <w:color w:val="231F20"/>
          <w:spacing w:val="-15"/>
        </w:rPr>
        <w:t> </w:t>
      </w:r>
      <w:r>
        <w:rPr>
          <w:color w:val="231F20"/>
        </w:rPr>
        <w:t>le</w:t>
      </w:r>
      <w:r>
        <w:rPr>
          <w:color w:val="231F20"/>
          <w:spacing w:val="-15"/>
        </w:rPr>
        <w:t> </w:t>
      </w:r>
      <w:r>
        <w:rPr>
          <w:color w:val="231F20"/>
        </w:rPr>
        <w:t>fusil</w:t>
      </w:r>
      <w:r>
        <w:rPr>
          <w:color w:val="231F20"/>
          <w:spacing w:val="-15"/>
        </w:rPr>
        <w:t> </w:t>
      </w:r>
      <w:r>
        <w:rPr>
          <w:color w:val="231F20"/>
        </w:rPr>
        <w:t>qu’il</w:t>
      </w:r>
      <w:r>
        <w:rPr>
          <w:color w:val="231F20"/>
          <w:spacing w:val="-15"/>
        </w:rPr>
        <w:t> </w:t>
      </w:r>
      <w:r>
        <w:rPr>
          <w:color w:val="231F20"/>
        </w:rPr>
        <w:t>portait</w:t>
      </w:r>
      <w:r>
        <w:rPr>
          <w:color w:val="231F20"/>
          <w:spacing w:val="-15"/>
        </w:rPr>
        <w:t> </w:t>
      </w:r>
      <w:r>
        <w:rPr>
          <w:color w:val="231F20"/>
        </w:rPr>
        <w:t>avait</w:t>
      </w:r>
      <w:r>
        <w:rPr>
          <w:color w:val="231F20"/>
          <w:spacing w:val="-14"/>
        </w:rPr>
        <w:t> </w:t>
      </w:r>
      <w:r>
        <w:rPr>
          <w:color w:val="231F20"/>
        </w:rPr>
        <w:t>le</w:t>
      </w:r>
      <w:r>
        <w:rPr>
          <w:color w:val="231F20"/>
          <w:spacing w:val="-14"/>
        </w:rPr>
        <w:t> </w:t>
      </w:r>
      <w:r>
        <w:rPr>
          <w:color w:val="231F20"/>
        </w:rPr>
        <w:t>pouvoir</w:t>
      </w:r>
      <w:r>
        <w:rPr>
          <w:color w:val="231F20"/>
          <w:spacing w:val="-15"/>
        </w:rPr>
        <w:t> </w:t>
      </w:r>
      <w:r>
        <w:rPr>
          <w:color w:val="231F20"/>
        </w:rPr>
        <w:t>de</w:t>
      </w:r>
      <w:r>
        <w:rPr>
          <w:color w:val="231F20"/>
          <w:spacing w:val="-14"/>
        </w:rPr>
        <w:t> </w:t>
      </w:r>
      <w:r>
        <w:rPr>
          <w:color w:val="231F20"/>
        </w:rPr>
        <w:t>tuer</w:t>
      </w:r>
      <w:r>
        <w:rPr>
          <w:color w:val="231F20"/>
          <w:spacing w:val="-14"/>
        </w:rPr>
        <w:t> </w:t>
      </w:r>
      <w:r>
        <w:rPr>
          <w:color w:val="231F20"/>
        </w:rPr>
        <w:t>à</w:t>
      </w:r>
      <w:r>
        <w:rPr>
          <w:color w:val="231F20"/>
          <w:spacing w:val="-14"/>
        </w:rPr>
        <w:t> </w:t>
      </w:r>
      <w:r>
        <w:rPr>
          <w:color w:val="231F20"/>
        </w:rPr>
        <w:t>distance</w:t>
      </w:r>
      <w:r>
        <w:rPr>
          <w:color w:val="231F20"/>
          <w:spacing w:val="-14"/>
        </w:rPr>
        <w:t> </w:t>
      </w:r>
      <w:r>
        <w:rPr>
          <w:color w:val="231F20"/>
        </w:rPr>
        <w:t>en</w:t>
      </w:r>
      <w:r>
        <w:rPr>
          <w:color w:val="231F20"/>
          <w:spacing w:val="-13"/>
        </w:rPr>
        <w:t> </w:t>
      </w:r>
      <w:r>
        <w:rPr>
          <w:color w:val="231F20"/>
          <w:spacing w:val="-2"/>
        </w:rPr>
        <w:t>faisant</w:t>
      </w:r>
    </w:p>
    <w:p>
      <w:pPr>
        <w:pStyle w:val="BodyText"/>
        <w:ind w:right="105"/>
      </w:pPr>
      <w:r>
        <w:rPr>
          <w:color w:val="231F20"/>
          <w:spacing w:val="-2"/>
        </w:rPr>
        <w:t>«</w:t>
      </w:r>
      <w:r>
        <w:rPr>
          <w:color w:val="231F20"/>
          <w:spacing w:val="-13"/>
        </w:rPr>
        <w:t> </w:t>
      </w:r>
      <w:r>
        <w:rPr>
          <w:color w:val="231F20"/>
          <w:spacing w:val="-2"/>
        </w:rPr>
        <w:t>un</w:t>
      </w:r>
      <w:r>
        <w:rPr>
          <w:color w:val="231F20"/>
          <w:spacing w:val="-13"/>
        </w:rPr>
        <w:t> </w:t>
      </w:r>
      <w:r>
        <w:rPr>
          <w:color w:val="231F20"/>
          <w:spacing w:val="-2"/>
        </w:rPr>
        <w:t>grand</w:t>
      </w:r>
      <w:r>
        <w:rPr>
          <w:color w:val="231F20"/>
          <w:spacing w:val="-13"/>
        </w:rPr>
        <w:t> </w:t>
      </w:r>
      <w:r>
        <w:rPr>
          <w:color w:val="231F20"/>
          <w:spacing w:val="-2"/>
        </w:rPr>
        <w:t>bruit</w:t>
      </w:r>
      <w:r>
        <w:rPr>
          <w:color w:val="231F20"/>
          <w:spacing w:val="-8"/>
        </w:rPr>
        <w:t> </w:t>
      </w:r>
      <w:r>
        <w:rPr>
          <w:color w:val="231F20"/>
          <w:spacing w:val="-2"/>
        </w:rPr>
        <w:t>»</w:t>
      </w:r>
      <w:r>
        <w:rPr>
          <w:color w:val="231F20"/>
          <w:spacing w:val="-13"/>
        </w:rPr>
        <w:t> </w:t>
      </w:r>
      <w:r>
        <w:rPr>
          <w:color w:val="231F20"/>
          <w:spacing w:val="-2"/>
        </w:rPr>
        <w:t>comme</w:t>
      </w:r>
      <w:r>
        <w:rPr>
          <w:color w:val="231F20"/>
          <w:spacing w:val="-13"/>
        </w:rPr>
        <w:t> </w:t>
      </w:r>
      <w:r>
        <w:rPr>
          <w:color w:val="231F20"/>
          <w:spacing w:val="-2"/>
        </w:rPr>
        <w:t>celui</w:t>
      </w:r>
      <w:r>
        <w:rPr>
          <w:color w:val="231F20"/>
          <w:spacing w:val="-13"/>
        </w:rPr>
        <w:t> </w:t>
      </w:r>
      <w:r>
        <w:rPr>
          <w:color w:val="231F20"/>
          <w:spacing w:val="-2"/>
        </w:rPr>
        <w:t>du</w:t>
      </w:r>
      <w:r>
        <w:rPr>
          <w:color w:val="231F20"/>
          <w:spacing w:val="-13"/>
        </w:rPr>
        <w:t> </w:t>
      </w:r>
      <w:r>
        <w:rPr>
          <w:color w:val="231F20"/>
          <w:spacing w:val="-2"/>
        </w:rPr>
        <w:t>tonnerre</w:t>
      </w:r>
      <w:r>
        <w:rPr>
          <w:color w:val="231F20"/>
          <w:spacing w:val="-13"/>
        </w:rPr>
        <w:t> </w:t>
      </w:r>
      <w:r>
        <w:rPr>
          <w:color w:val="231F20"/>
          <w:spacing w:val="-2"/>
        </w:rPr>
        <w:t>;</w:t>
      </w:r>
      <w:r>
        <w:rPr>
          <w:color w:val="231F20"/>
          <w:spacing w:val="-13"/>
        </w:rPr>
        <w:t> </w:t>
      </w:r>
      <w:r>
        <w:rPr>
          <w:color w:val="231F20"/>
          <w:spacing w:val="-2"/>
        </w:rPr>
        <w:t>l’alcool</w:t>
      </w:r>
      <w:r>
        <w:rPr>
          <w:color w:val="231F20"/>
          <w:spacing w:val="-11"/>
        </w:rPr>
        <w:t> </w:t>
      </w:r>
      <w:r>
        <w:rPr>
          <w:color w:val="231F20"/>
          <w:spacing w:val="-2"/>
        </w:rPr>
        <w:t>frelaté</w:t>
      </w:r>
      <w:r>
        <w:rPr>
          <w:color w:val="231F20"/>
          <w:spacing w:val="-13"/>
        </w:rPr>
        <w:t> </w:t>
      </w:r>
      <w:r>
        <w:rPr>
          <w:color w:val="231F20"/>
          <w:spacing w:val="-2"/>
        </w:rPr>
        <w:t>qu’il</w:t>
      </w:r>
      <w:r>
        <w:rPr>
          <w:color w:val="231F20"/>
          <w:spacing w:val="-13"/>
        </w:rPr>
        <w:t> </w:t>
      </w:r>
      <w:r>
        <w:rPr>
          <w:color w:val="231F20"/>
          <w:spacing w:val="-2"/>
        </w:rPr>
        <w:t>donnait avait</w:t>
      </w:r>
      <w:r>
        <w:rPr>
          <w:color w:val="231F20"/>
          <w:spacing w:val="-13"/>
        </w:rPr>
        <w:t> </w:t>
      </w:r>
      <w:r>
        <w:rPr>
          <w:color w:val="231F20"/>
          <w:spacing w:val="-2"/>
        </w:rPr>
        <w:t>le</w:t>
      </w:r>
      <w:r>
        <w:rPr>
          <w:color w:val="231F20"/>
          <w:spacing w:val="-13"/>
        </w:rPr>
        <w:t> </w:t>
      </w:r>
      <w:r>
        <w:rPr>
          <w:color w:val="231F20"/>
          <w:spacing w:val="-2"/>
        </w:rPr>
        <w:t>pouvoir</w:t>
      </w:r>
      <w:r>
        <w:rPr>
          <w:color w:val="231F20"/>
          <w:spacing w:val="-13"/>
        </w:rPr>
        <w:t> </w:t>
      </w:r>
      <w:r>
        <w:rPr>
          <w:color w:val="231F20"/>
          <w:spacing w:val="-2"/>
        </w:rPr>
        <w:t>de</w:t>
      </w:r>
      <w:r>
        <w:rPr>
          <w:color w:val="231F20"/>
          <w:spacing w:val="-11"/>
        </w:rPr>
        <w:t> </w:t>
      </w:r>
      <w:r>
        <w:rPr>
          <w:color w:val="231F20"/>
          <w:spacing w:val="-2"/>
        </w:rPr>
        <w:t>rendre</w:t>
      </w:r>
      <w:r>
        <w:rPr>
          <w:color w:val="231F20"/>
          <w:spacing w:val="-13"/>
        </w:rPr>
        <w:t> </w:t>
      </w:r>
      <w:r>
        <w:rPr>
          <w:color w:val="231F20"/>
          <w:spacing w:val="-2"/>
        </w:rPr>
        <w:t>gai</w:t>
      </w:r>
      <w:r>
        <w:rPr>
          <w:color w:val="231F20"/>
          <w:spacing w:val="-13"/>
        </w:rPr>
        <w:t> </w:t>
      </w:r>
      <w:r>
        <w:rPr>
          <w:color w:val="231F20"/>
          <w:spacing w:val="-2"/>
        </w:rPr>
        <w:t>celui</w:t>
      </w:r>
      <w:r>
        <w:rPr>
          <w:color w:val="231F20"/>
          <w:spacing w:val="-10"/>
        </w:rPr>
        <w:t> </w:t>
      </w:r>
      <w:r>
        <w:rPr>
          <w:color w:val="231F20"/>
          <w:spacing w:val="-2"/>
        </w:rPr>
        <w:t>qui</w:t>
      </w:r>
      <w:r>
        <w:rPr>
          <w:color w:val="231F20"/>
          <w:spacing w:val="-11"/>
        </w:rPr>
        <w:t> </w:t>
      </w:r>
      <w:r>
        <w:rPr>
          <w:color w:val="231F20"/>
          <w:spacing w:val="-2"/>
        </w:rPr>
        <w:t>en</w:t>
      </w:r>
      <w:r>
        <w:rPr>
          <w:color w:val="231F20"/>
          <w:spacing w:val="-13"/>
        </w:rPr>
        <w:t> </w:t>
      </w:r>
      <w:r>
        <w:rPr>
          <w:color w:val="231F20"/>
          <w:spacing w:val="-2"/>
        </w:rPr>
        <w:t>buvait,</w:t>
      </w:r>
      <w:r>
        <w:rPr>
          <w:color w:val="231F20"/>
          <w:spacing w:val="-13"/>
        </w:rPr>
        <w:t> </w:t>
      </w:r>
      <w:r>
        <w:rPr>
          <w:color w:val="231F20"/>
          <w:spacing w:val="-2"/>
        </w:rPr>
        <w:t>le</w:t>
      </w:r>
      <w:r>
        <w:rPr>
          <w:color w:val="231F20"/>
          <w:spacing w:val="-13"/>
        </w:rPr>
        <w:t> </w:t>
      </w:r>
      <w:r>
        <w:rPr>
          <w:color w:val="231F20"/>
          <w:spacing w:val="-2"/>
        </w:rPr>
        <w:t>miroir</w:t>
      </w:r>
      <w:r>
        <w:rPr>
          <w:color w:val="231F20"/>
          <w:spacing w:val="-11"/>
        </w:rPr>
        <w:t> </w:t>
      </w:r>
      <w:r>
        <w:rPr>
          <w:color w:val="231F20"/>
          <w:spacing w:val="-2"/>
        </w:rPr>
        <w:t>qu’il</w:t>
      </w:r>
      <w:r>
        <w:rPr>
          <w:color w:val="231F20"/>
          <w:spacing w:val="-13"/>
        </w:rPr>
        <w:t> </w:t>
      </w:r>
      <w:r>
        <w:rPr>
          <w:color w:val="231F20"/>
          <w:spacing w:val="-2"/>
        </w:rPr>
        <w:t>offrait</w:t>
      </w:r>
      <w:r>
        <w:rPr>
          <w:color w:val="231F20"/>
          <w:spacing w:val="-13"/>
        </w:rPr>
        <w:t> </w:t>
      </w:r>
      <w:r>
        <w:rPr>
          <w:color w:val="231F20"/>
          <w:spacing w:val="-2"/>
        </w:rPr>
        <w:t>au </w:t>
      </w:r>
      <w:r>
        <w:rPr>
          <w:color w:val="231F20"/>
        </w:rPr>
        <w:t>chef avait le don de voir son propre visage…</w:t>
      </w:r>
    </w:p>
    <w:p>
      <w:pPr>
        <w:pStyle w:val="BodyText"/>
        <w:spacing w:before="52"/>
        <w:ind w:left="0"/>
        <w:jc w:val="left"/>
        <w:rPr>
          <w:sz w:val="20"/>
        </w:rPr>
      </w:pPr>
      <w:r>
        <w:rPr/>
        <mc:AlternateContent>
          <mc:Choice Requires="wps">
            <w:drawing>
              <wp:anchor distT="0" distB="0" distL="0" distR="0" allowOverlap="1" layoutInCell="1" locked="0" behindDoc="1" simplePos="0" relativeHeight="487659520">
                <wp:simplePos x="0" y="0"/>
                <wp:positionH relativeFrom="page">
                  <wp:posOffset>629907</wp:posOffset>
                </wp:positionH>
                <wp:positionV relativeFrom="paragraph">
                  <wp:posOffset>194528</wp:posOffset>
                </wp:positionV>
                <wp:extent cx="1829435" cy="9525"/>
                <wp:effectExtent l="0" t="0" r="0" b="0"/>
                <wp:wrapTopAndBottom/>
                <wp:docPr id="172" name="Graphic 172"/>
                <wp:cNvGraphicFramePr>
                  <a:graphicFrameLocks/>
                </wp:cNvGraphicFramePr>
                <a:graphic>
                  <a:graphicData uri="http://schemas.microsoft.com/office/word/2010/wordprocessingShape">
                    <wps:wsp>
                      <wps:cNvPr id="172" name="Graphic 172"/>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317187pt;width:144.020pt;height:.72pt;mso-position-horizontal-relative:page;mso-position-vertical-relative:paragraph;z-index:-15656960;mso-wrap-distance-left:0;mso-wrap-distance-right:0" id="docshape170"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231</w:t>
      </w:r>
      <w:r>
        <w:rPr>
          <w:color w:val="76787A"/>
          <w:spacing w:val="-11"/>
          <w:sz w:val="20"/>
          <w:vertAlign w:val="baseline"/>
        </w:rPr>
        <w:t> </w:t>
      </w:r>
      <w:r>
        <w:rPr>
          <w:color w:val="231F20"/>
          <w:spacing w:val="-2"/>
          <w:sz w:val="20"/>
          <w:vertAlign w:val="baseline"/>
        </w:rPr>
        <w:t>Dictionnaire</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la</w:t>
      </w:r>
      <w:r>
        <w:rPr>
          <w:color w:val="231F20"/>
          <w:spacing w:val="-10"/>
          <w:sz w:val="20"/>
          <w:vertAlign w:val="baseline"/>
        </w:rPr>
        <w:t> </w:t>
      </w:r>
      <w:r>
        <w:rPr>
          <w:color w:val="231F20"/>
          <w:spacing w:val="-2"/>
          <w:sz w:val="20"/>
          <w:vertAlign w:val="baseline"/>
        </w:rPr>
        <w:t>langue</w:t>
      </w:r>
      <w:r>
        <w:rPr>
          <w:color w:val="231F20"/>
          <w:spacing w:val="-10"/>
          <w:sz w:val="20"/>
          <w:vertAlign w:val="baseline"/>
        </w:rPr>
        <w:t> </w:t>
      </w:r>
      <w:r>
        <w:rPr>
          <w:color w:val="231F20"/>
          <w:spacing w:val="-2"/>
          <w:sz w:val="20"/>
          <w:vertAlign w:val="baseline"/>
        </w:rPr>
        <w:t>française.</w:t>
      </w:r>
    </w:p>
    <w:p>
      <w:pPr>
        <w:spacing w:before="0"/>
        <w:ind w:left="111" w:right="0" w:firstLine="0"/>
        <w:jc w:val="left"/>
        <w:rPr>
          <w:sz w:val="20"/>
        </w:rPr>
      </w:pPr>
      <w:r>
        <w:rPr>
          <w:color w:val="76787A"/>
          <w:spacing w:val="-4"/>
          <w:sz w:val="20"/>
          <w:vertAlign w:val="superscript"/>
        </w:rPr>
        <w:t>232</w:t>
      </w:r>
      <w:r>
        <w:rPr>
          <w:color w:val="76787A"/>
          <w:spacing w:val="3"/>
          <w:sz w:val="20"/>
          <w:vertAlign w:val="baseline"/>
        </w:rPr>
        <w:t> </w:t>
      </w:r>
      <w:r>
        <w:rPr>
          <w:color w:val="231F20"/>
          <w:spacing w:val="-4"/>
          <w:sz w:val="20"/>
          <w:vertAlign w:val="baseline"/>
        </w:rPr>
        <w:t>Les</w:t>
      </w:r>
      <w:r>
        <w:rPr>
          <w:color w:val="231F20"/>
          <w:spacing w:val="-1"/>
          <w:sz w:val="20"/>
          <w:vertAlign w:val="baseline"/>
        </w:rPr>
        <w:t> </w:t>
      </w:r>
      <w:r>
        <w:rPr>
          <w:color w:val="231F20"/>
          <w:spacing w:val="-4"/>
          <w:sz w:val="20"/>
          <w:vertAlign w:val="baseline"/>
        </w:rPr>
        <w:t>villages</w:t>
      </w:r>
      <w:r>
        <w:rPr>
          <w:color w:val="231F20"/>
          <w:spacing w:val="-2"/>
          <w:sz w:val="20"/>
          <w:vertAlign w:val="baseline"/>
        </w:rPr>
        <w:t> </w:t>
      </w:r>
      <w:r>
        <w:rPr>
          <w:color w:val="231F20"/>
          <w:spacing w:val="-4"/>
          <w:sz w:val="20"/>
          <w:vertAlign w:val="baseline"/>
        </w:rPr>
        <w:t>ne</w:t>
      </w:r>
      <w:r>
        <w:rPr>
          <w:color w:val="231F20"/>
          <w:spacing w:val="-2"/>
          <w:sz w:val="20"/>
          <w:vertAlign w:val="baseline"/>
        </w:rPr>
        <w:t> </w:t>
      </w:r>
      <w:r>
        <w:rPr>
          <w:color w:val="231F20"/>
          <w:spacing w:val="-4"/>
          <w:sz w:val="20"/>
          <w:vertAlign w:val="baseline"/>
        </w:rPr>
        <w:t>bénéfiaient</w:t>
      </w:r>
      <w:r>
        <w:rPr>
          <w:color w:val="231F20"/>
          <w:spacing w:val="-2"/>
          <w:sz w:val="20"/>
          <w:vertAlign w:val="baseline"/>
        </w:rPr>
        <w:t> </w:t>
      </w:r>
      <w:r>
        <w:rPr>
          <w:color w:val="231F20"/>
          <w:spacing w:val="-4"/>
          <w:sz w:val="20"/>
          <w:vertAlign w:val="baseline"/>
        </w:rPr>
        <w:t>d’électricité.</w:t>
      </w:r>
    </w:p>
    <w:p>
      <w:pPr>
        <w:spacing w:after="0"/>
        <w:jc w:val="left"/>
        <w:rPr>
          <w:sz w:val="20"/>
        </w:rPr>
        <w:sectPr>
          <w:pgSz w:w="8790" w:h="13610"/>
          <w:pgMar w:header="0" w:footer="802" w:top="1060" w:bottom="1000" w:left="880" w:right="880"/>
        </w:sectPr>
      </w:pPr>
    </w:p>
    <w:p>
      <w:pPr>
        <w:pStyle w:val="BodyText"/>
        <w:spacing w:before="66"/>
        <w:ind w:right="103" w:firstLine="283"/>
      </w:pPr>
      <w:r>
        <w:rPr>
          <w:color w:val="231F20"/>
        </w:rPr>
        <w:t>Pour rappel, les Occidentaux avant l’avènement du christianisme étaient aussi, polythéistes. Les ancêtres des Français, les Gaulois, adoraient</w:t>
      </w:r>
      <w:r>
        <w:rPr>
          <w:color w:val="231F20"/>
          <w:spacing w:val="-15"/>
        </w:rPr>
        <w:t> </w:t>
      </w:r>
      <w:r>
        <w:rPr>
          <w:color w:val="231F20"/>
        </w:rPr>
        <w:t>et</w:t>
      </w:r>
      <w:r>
        <w:rPr>
          <w:color w:val="231F20"/>
          <w:spacing w:val="-13"/>
        </w:rPr>
        <w:t> </w:t>
      </w:r>
      <w:r>
        <w:rPr>
          <w:color w:val="231F20"/>
        </w:rPr>
        <w:t>craignaient</w:t>
      </w:r>
      <w:r>
        <w:rPr>
          <w:color w:val="231F20"/>
          <w:spacing w:val="-13"/>
        </w:rPr>
        <w:t> </w:t>
      </w:r>
      <w:r>
        <w:rPr>
          <w:color w:val="231F20"/>
        </w:rPr>
        <w:t>tout</w:t>
      </w:r>
      <w:r>
        <w:rPr>
          <w:color w:val="231F20"/>
          <w:spacing w:val="-13"/>
        </w:rPr>
        <w:t> </w:t>
      </w:r>
      <w:r>
        <w:rPr>
          <w:color w:val="231F20"/>
        </w:rPr>
        <w:t>ce</w:t>
      </w:r>
      <w:r>
        <w:rPr>
          <w:color w:val="231F20"/>
          <w:spacing w:val="-14"/>
        </w:rPr>
        <w:t> </w:t>
      </w:r>
      <w:r>
        <w:rPr>
          <w:color w:val="231F20"/>
        </w:rPr>
        <w:t>qui</w:t>
      </w:r>
      <w:r>
        <w:rPr>
          <w:color w:val="231F20"/>
          <w:spacing w:val="-14"/>
        </w:rPr>
        <w:t> </w:t>
      </w:r>
      <w:r>
        <w:rPr>
          <w:color w:val="231F20"/>
        </w:rPr>
        <w:t>leur</w:t>
      </w:r>
      <w:r>
        <w:rPr>
          <w:color w:val="231F20"/>
          <w:spacing w:val="-14"/>
        </w:rPr>
        <w:t> </w:t>
      </w:r>
      <w:r>
        <w:rPr>
          <w:color w:val="231F20"/>
        </w:rPr>
        <w:t>paraissait</w:t>
      </w:r>
      <w:r>
        <w:rPr>
          <w:color w:val="231F20"/>
          <w:spacing w:val="-14"/>
        </w:rPr>
        <w:t> </w:t>
      </w:r>
      <w:r>
        <w:rPr>
          <w:color w:val="231F20"/>
        </w:rPr>
        <w:t>grand</w:t>
      </w:r>
      <w:r>
        <w:rPr>
          <w:color w:val="231F20"/>
          <w:spacing w:val="-14"/>
        </w:rPr>
        <w:t> </w:t>
      </w:r>
      <w:r>
        <w:rPr>
          <w:color w:val="231F20"/>
        </w:rPr>
        <w:t>et</w:t>
      </w:r>
      <w:r>
        <w:rPr>
          <w:color w:val="231F20"/>
          <w:spacing w:val="-14"/>
        </w:rPr>
        <w:t> </w:t>
      </w:r>
      <w:r>
        <w:rPr>
          <w:color w:val="231F20"/>
        </w:rPr>
        <w:t>inexplicable</w:t>
      </w:r>
      <w:r>
        <w:rPr>
          <w:color w:val="231F20"/>
          <w:spacing w:val="-15"/>
        </w:rPr>
        <w:t> </w:t>
      </w:r>
      <w:r>
        <w:rPr>
          <w:color w:val="231F20"/>
        </w:rPr>
        <w:t>: les</w:t>
      </w:r>
      <w:r>
        <w:rPr>
          <w:color w:val="231F20"/>
          <w:spacing w:val="-10"/>
        </w:rPr>
        <w:t> </w:t>
      </w:r>
      <w:r>
        <w:rPr>
          <w:color w:val="231F20"/>
        </w:rPr>
        <w:t>astres,</w:t>
      </w:r>
      <w:r>
        <w:rPr>
          <w:color w:val="231F20"/>
          <w:spacing w:val="-12"/>
        </w:rPr>
        <w:t> </w:t>
      </w:r>
      <w:r>
        <w:rPr>
          <w:color w:val="231F20"/>
        </w:rPr>
        <w:t>le</w:t>
      </w:r>
      <w:r>
        <w:rPr>
          <w:color w:val="231F20"/>
          <w:spacing w:val="-10"/>
        </w:rPr>
        <w:t> </w:t>
      </w:r>
      <w:r>
        <w:rPr>
          <w:color w:val="231F20"/>
        </w:rPr>
        <w:t>feu,</w:t>
      </w:r>
      <w:r>
        <w:rPr>
          <w:color w:val="231F20"/>
          <w:spacing w:val="-11"/>
        </w:rPr>
        <w:t> </w:t>
      </w:r>
      <w:r>
        <w:rPr>
          <w:color w:val="231F20"/>
        </w:rPr>
        <w:t>les</w:t>
      </w:r>
      <w:r>
        <w:rPr>
          <w:color w:val="231F20"/>
          <w:spacing w:val="-11"/>
        </w:rPr>
        <w:t> </w:t>
      </w:r>
      <w:r>
        <w:rPr>
          <w:color w:val="231F20"/>
        </w:rPr>
        <w:t>vents,</w:t>
      </w:r>
      <w:r>
        <w:rPr>
          <w:color w:val="231F20"/>
          <w:spacing w:val="-10"/>
        </w:rPr>
        <w:t> </w:t>
      </w:r>
      <w:r>
        <w:rPr>
          <w:color w:val="231F20"/>
        </w:rPr>
        <w:t>le</w:t>
      </w:r>
      <w:r>
        <w:rPr>
          <w:color w:val="231F20"/>
          <w:spacing w:val="-11"/>
        </w:rPr>
        <w:t> </w:t>
      </w:r>
      <w:r>
        <w:rPr>
          <w:color w:val="231F20"/>
        </w:rPr>
        <w:t>tonnerre.</w:t>
      </w:r>
      <w:r>
        <w:rPr>
          <w:color w:val="231F20"/>
          <w:spacing w:val="-11"/>
        </w:rPr>
        <w:t> </w:t>
      </w:r>
      <w:r>
        <w:rPr>
          <w:color w:val="231F20"/>
        </w:rPr>
        <w:t>Ils</w:t>
      </w:r>
      <w:r>
        <w:rPr>
          <w:color w:val="231F20"/>
          <w:spacing w:val="-10"/>
        </w:rPr>
        <w:t> </w:t>
      </w:r>
      <w:r>
        <w:rPr>
          <w:color w:val="231F20"/>
        </w:rPr>
        <w:t>croyaient</w:t>
      </w:r>
      <w:r>
        <w:rPr>
          <w:color w:val="231F20"/>
          <w:spacing w:val="-11"/>
        </w:rPr>
        <w:t> </w:t>
      </w:r>
      <w:r>
        <w:rPr>
          <w:color w:val="231F20"/>
        </w:rPr>
        <w:t>en</w:t>
      </w:r>
      <w:r>
        <w:rPr>
          <w:color w:val="231F20"/>
          <w:spacing w:val="-10"/>
        </w:rPr>
        <w:t> </w:t>
      </w:r>
      <w:r>
        <w:rPr>
          <w:color w:val="231F20"/>
        </w:rPr>
        <w:t>une</w:t>
      </w:r>
      <w:r>
        <w:rPr>
          <w:color w:val="231F20"/>
          <w:spacing w:val="-14"/>
        </w:rPr>
        <w:t> </w:t>
      </w:r>
      <w:r>
        <w:rPr>
          <w:color w:val="231F20"/>
        </w:rPr>
        <w:t>multitude</w:t>
      </w:r>
      <w:r>
        <w:rPr>
          <w:color w:val="231F20"/>
          <w:spacing w:val="-11"/>
        </w:rPr>
        <w:t> </w:t>
      </w:r>
      <w:r>
        <w:rPr>
          <w:color w:val="231F20"/>
        </w:rPr>
        <w:t>de </w:t>
      </w:r>
      <w:r>
        <w:rPr>
          <w:color w:val="231F20"/>
          <w:spacing w:val="-2"/>
        </w:rPr>
        <w:t>dieux</w:t>
      </w:r>
      <w:r>
        <w:rPr>
          <w:color w:val="231F20"/>
          <w:spacing w:val="-13"/>
        </w:rPr>
        <w:t> </w:t>
      </w:r>
      <w:r>
        <w:rPr>
          <w:color w:val="231F20"/>
          <w:spacing w:val="-2"/>
        </w:rPr>
        <w:t>:</w:t>
      </w:r>
      <w:r>
        <w:rPr>
          <w:color w:val="231F20"/>
          <w:spacing w:val="-13"/>
        </w:rPr>
        <w:t> </w:t>
      </w:r>
      <w:r>
        <w:rPr>
          <w:color w:val="231F20"/>
          <w:spacing w:val="-2"/>
        </w:rPr>
        <w:t>Teutatès,</w:t>
      </w:r>
      <w:r>
        <w:rPr>
          <w:color w:val="231F20"/>
          <w:spacing w:val="-13"/>
        </w:rPr>
        <w:t> </w:t>
      </w:r>
      <w:r>
        <w:rPr>
          <w:color w:val="231F20"/>
          <w:spacing w:val="-2"/>
        </w:rPr>
        <w:t>le</w:t>
      </w:r>
      <w:r>
        <w:rPr>
          <w:color w:val="231F20"/>
          <w:spacing w:val="-13"/>
        </w:rPr>
        <w:t> </w:t>
      </w:r>
      <w:r>
        <w:rPr>
          <w:color w:val="231F20"/>
          <w:spacing w:val="-2"/>
        </w:rPr>
        <w:t>dieu</w:t>
      </w:r>
      <w:r>
        <w:rPr>
          <w:color w:val="231F20"/>
          <w:spacing w:val="-13"/>
        </w:rPr>
        <w:t> </w:t>
      </w:r>
      <w:r>
        <w:rPr>
          <w:color w:val="231F20"/>
          <w:spacing w:val="-2"/>
        </w:rPr>
        <w:t>suprême</w:t>
      </w:r>
      <w:r>
        <w:rPr>
          <w:color w:val="231F20"/>
          <w:spacing w:val="-13"/>
        </w:rPr>
        <w:t> </w:t>
      </w:r>
      <w:r>
        <w:rPr>
          <w:color w:val="231F20"/>
          <w:spacing w:val="-2"/>
        </w:rPr>
        <w:t>;</w:t>
      </w:r>
      <w:r>
        <w:rPr>
          <w:color w:val="231F20"/>
          <w:spacing w:val="-10"/>
        </w:rPr>
        <w:t> </w:t>
      </w:r>
      <w:r>
        <w:rPr>
          <w:color w:val="231F20"/>
          <w:spacing w:val="-2"/>
        </w:rPr>
        <w:t>Taranis,</w:t>
      </w:r>
      <w:r>
        <w:rPr>
          <w:color w:val="231F20"/>
          <w:spacing w:val="-13"/>
        </w:rPr>
        <w:t> </w:t>
      </w:r>
      <w:r>
        <w:rPr>
          <w:color w:val="231F20"/>
          <w:spacing w:val="-2"/>
        </w:rPr>
        <w:t>le</w:t>
      </w:r>
      <w:r>
        <w:rPr>
          <w:color w:val="231F20"/>
          <w:spacing w:val="-13"/>
        </w:rPr>
        <w:t> </w:t>
      </w:r>
      <w:r>
        <w:rPr>
          <w:color w:val="231F20"/>
          <w:spacing w:val="-2"/>
        </w:rPr>
        <w:t>dieu</w:t>
      </w:r>
      <w:r>
        <w:rPr>
          <w:color w:val="231F20"/>
          <w:spacing w:val="-13"/>
        </w:rPr>
        <w:t> </w:t>
      </w:r>
      <w:r>
        <w:rPr>
          <w:color w:val="231F20"/>
          <w:spacing w:val="-2"/>
        </w:rPr>
        <w:t>du</w:t>
      </w:r>
      <w:r>
        <w:rPr>
          <w:color w:val="231F20"/>
          <w:spacing w:val="-13"/>
        </w:rPr>
        <w:t> </w:t>
      </w:r>
      <w:r>
        <w:rPr>
          <w:color w:val="231F20"/>
          <w:spacing w:val="-2"/>
        </w:rPr>
        <w:t>tonnerre</w:t>
      </w:r>
      <w:r>
        <w:rPr>
          <w:color w:val="231F20"/>
          <w:spacing w:val="-9"/>
        </w:rPr>
        <w:t> </w:t>
      </w:r>
      <w:r>
        <w:rPr>
          <w:color w:val="231F20"/>
          <w:spacing w:val="-2"/>
        </w:rPr>
        <w:t>;</w:t>
      </w:r>
      <w:r>
        <w:rPr>
          <w:color w:val="231F20"/>
          <w:spacing w:val="-13"/>
        </w:rPr>
        <w:t> </w:t>
      </w:r>
      <w:r>
        <w:rPr>
          <w:color w:val="231F20"/>
          <w:spacing w:val="-2"/>
        </w:rPr>
        <w:t>Hésus,</w:t>
      </w:r>
      <w:r>
        <w:rPr>
          <w:color w:val="231F20"/>
          <w:spacing w:val="-13"/>
        </w:rPr>
        <w:t> </w:t>
      </w:r>
      <w:r>
        <w:rPr>
          <w:color w:val="231F20"/>
          <w:spacing w:val="-2"/>
        </w:rPr>
        <w:t>le </w:t>
      </w:r>
      <w:r>
        <w:rPr>
          <w:color w:val="231F20"/>
          <w:spacing w:val="-4"/>
        </w:rPr>
        <w:t>dieu</w:t>
      </w:r>
      <w:r>
        <w:rPr>
          <w:color w:val="231F20"/>
          <w:spacing w:val="-7"/>
        </w:rPr>
        <w:t> </w:t>
      </w:r>
      <w:r>
        <w:rPr>
          <w:color w:val="231F20"/>
          <w:spacing w:val="-4"/>
        </w:rPr>
        <w:t>de</w:t>
      </w:r>
      <w:r>
        <w:rPr>
          <w:color w:val="231F20"/>
          <w:spacing w:val="-7"/>
        </w:rPr>
        <w:t> </w:t>
      </w:r>
      <w:r>
        <w:rPr>
          <w:color w:val="231F20"/>
          <w:spacing w:val="-4"/>
        </w:rPr>
        <w:t>la</w:t>
      </w:r>
      <w:r>
        <w:rPr>
          <w:color w:val="231F20"/>
          <w:spacing w:val="-7"/>
        </w:rPr>
        <w:t> </w:t>
      </w:r>
      <w:r>
        <w:rPr>
          <w:color w:val="231F20"/>
          <w:spacing w:val="-4"/>
        </w:rPr>
        <w:t>guerre</w:t>
      </w:r>
      <w:r>
        <w:rPr>
          <w:color w:val="231F20"/>
          <w:spacing w:val="-7"/>
        </w:rPr>
        <w:t> </w:t>
      </w:r>
      <w:r>
        <w:rPr>
          <w:color w:val="231F20"/>
          <w:spacing w:val="-4"/>
        </w:rPr>
        <w:t>et</w:t>
      </w:r>
      <w:r>
        <w:rPr>
          <w:color w:val="231F20"/>
        </w:rPr>
        <w:t> </w:t>
      </w:r>
      <w:r>
        <w:rPr>
          <w:color w:val="231F20"/>
          <w:spacing w:val="-4"/>
        </w:rPr>
        <w:t>Ogmius,</w:t>
      </w:r>
      <w:r>
        <w:rPr>
          <w:color w:val="231F20"/>
          <w:spacing w:val="-7"/>
        </w:rPr>
        <w:t> </w:t>
      </w:r>
      <w:r>
        <w:rPr>
          <w:color w:val="231F20"/>
          <w:spacing w:val="-4"/>
        </w:rPr>
        <w:t>le</w:t>
      </w:r>
      <w:r>
        <w:rPr>
          <w:color w:val="231F20"/>
          <w:spacing w:val="-7"/>
        </w:rPr>
        <w:t> </w:t>
      </w:r>
      <w:r>
        <w:rPr>
          <w:color w:val="231F20"/>
          <w:spacing w:val="-4"/>
        </w:rPr>
        <w:t>dieu</w:t>
      </w:r>
      <w:r>
        <w:rPr>
          <w:color w:val="231F20"/>
          <w:spacing w:val="-7"/>
        </w:rPr>
        <w:t> </w:t>
      </w:r>
      <w:r>
        <w:rPr>
          <w:color w:val="231F20"/>
          <w:spacing w:val="-4"/>
        </w:rPr>
        <w:t>de</w:t>
      </w:r>
      <w:r>
        <w:rPr>
          <w:color w:val="231F20"/>
          <w:spacing w:val="-9"/>
        </w:rPr>
        <w:t> </w:t>
      </w:r>
      <w:r>
        <w:rPr>
          <w:color w:val="231F20"/>
          <w:spacing w:val="-4"/>
        </w:rPr>
        <w:t>l'éloquence…</w:t>
      </w:r>
      <w:r>
        <w:rPr>
          <w:color w:val="231F20"/>
          <w:spacing w:val="-6"/>
        </w:rPr>
        <w:t> </w:t>
      </w:r>
      <w:r>
        <w:rPr>
          <w:color w:val="231F20"/>
          <w:spacing w:val="-4"/>
        </w:rPr>
        <w:t>Leurs</w:t>
      </w:r>
      <w:r>
        <w:rPr>
          <w:color w:val="231F20"/>
          <w:spacing w:val="-7"/>
        </w:rPr>
        <w:t> </w:t>
      </w:r>
      <w:r>
        <w:rPr>
          <w:color w:val="231F20"/>
          <w:spacing w:val="-4"/>
        </w:rPr>
        <w:t>prêtres</w:t>
      </w:r>
      <w:r>
        <w:rPr>
          <w:color w:val="231F20"/>
          <w:spacing w:val="-7"/>
        </w:rPr>
        <w:t> </w:t>
      </w:r>
      <w:r>
        <w:rPr>
          <w:color w:val="231F20"/>
          <w:spacing w:val="-4"/>
        </w:rPr>
        <w:t>païens entouraient</w:t>
      </w:r>
      <w:r>
        <w:rPr>
          <w:color w:val="231F20"/>
          <w:spacing w:val="-6"/>
        </w:rPr>
        <w:t> </w:t>
      </w:r>
      <w:r>
        <w:rPr>
          <w:color w:val="231F20"/>
          <w:spacing w:val="-4"/>
        </w:rPr>
        <w:t>leur</w:t>
      </w:r>
      <w:r>
        <w:rPr>
          <w:color w:val="231F20"/>
          <w:spacing w:val="-11"/>
        </w:rPr>
        <w:t> </w:t>
      </w:r>
      <w:r>
        <w:rPr>
          <w:color w:val="231F20"/>
          <w:spacing w:val="-4"/>
        </w:rPr>
        <w:t>science</w:t>
      </w:r>
      <w:r>
        <w:rPr>
          <w:color w:val="231F20"/>
          <w:spacing w:val="-8"/>
        </w:rPr>
        <w:t> </w:t>
      </w:r>
      <w:r>
        <w:rPr>
          <w:color w:val="231F20"/>
          <w:spacing w:val="-4"/>
        </w:rPr>
        <w:t>de</w:t>
      </w:r>
      <w:r>
        <w:rPr>
          <w:color w:val="231F20"/>
          <w:spacing w:val="-9"/>
        </w:rPr>
        <w:t> </w:t>
      </w:r>
      <w:r>
        <w:rPr>
          <w:color w:val="231F20"/>
          <w:spacing w:val="-4"/>
        </w:rPr>
        <w:t>mystère.</w:t>
      </w:r>
      <w:r>
        <w:rPr>
          <w:color w:val="231F20"/>
          <w:spacing w:val="-8"/>
        </w:rPr>
        <w:t> </w:t>
      </w:r>
      <w:r>
        <w:rPr>
          <w:color w:val="231F20"/>
          <w:spacing w:val="-4"/>
        </w:rPr>
        <w:t>Ils</w:t>
      </w:r>
      <w:r>
        <w:rPr>
          <w:color w:val="231F20"/>
          <w:spacing w:val="-8"/>
        </w:rPr>
        <w:t> </w:t>
      </w:r>
      <w:r>
        <w:rPr>
          <w:color w:val="231F20"/>
          <w:spacing w:val="-4"/>
        </w:rPr>
        <w:t>accomplissaient</w:t>
      </w:r>
      <w:r>
        <w:rPr>
          <w:color w:val="231F20"/>
          <w:spacing w:val="-6"/>
        </w:rPr>
        <w:t> </w:t>
      </w:r>
      <w:r>
        <w:rPr>
          <w:color w:val="231F20"/>
          <w:spacing w:val="-4"/>
        </w:rPr>
        <w:t>les</w:t>
      </w:r>
      <w:r>
        <w:rPr>
          <w:color w:val="231F20"/>
          <w:spacing w:val="-8"/>
        </w:rPr>
        <w:t> </w:t>
      </w:r>
      <w:r>
        <w:rPr>
          <w:color w:val="231F20"/>
          <w:spacing w:val="-4"/>
        </w:rPr>
        <w:t>cérémonies</w:t>
      </w:r>
      <w:r>
        <w:rPr>
          <w:color w:val="231F20"/>
          <w:spacing w:val="-9"/>
        </w:rPr>
        <w:t> </w:t>
      </w:r>
      <w:r>
        <w:rPr>
          <w:color w:val="231F20"/>
          <w:spacing w:val="-4"/>
        </w:rPr>
        <w:t>de </w:t>
      </w:r>
      <w:r>
        <w:rPr>
          <w:color w:val="231F20"/>
        </w:rPr>
        <w:t>leur culte au sommet des montagnes ou dans de profondes forêts. Les </w:t>
      </w:r>
      <w:r>
        <w:rPr>
          <w:color w:val="231F20"/>
          <w:spacing w:val="-2"/>
        </w:rPr>
        <w:t>sacrifices</w:t>
      </w:r>
      <w:r>
        <w:rPr>
          <w:color w:val="231F20"/>
          <w:spacing w:val="-10"/>
        </w:rPr>
        <w:t> </w:t>
      </w:r>
      <w:r>
        <w:rPr>
          <w:color w:val="231F20"/>
          <w:spacing w:val="-2"/>
        </w:rPr>
        <w:t>humains</w:t>
      </w:r>
      <w:r>
        <w:rPr>
          <w:color w:val="231F20"/>
          <w:spacing w:val="-10"/>
        </w:rPr>
        <w:t> </w:t>
      </w:r>
      <w:r>
        <w:rPr>
          <w:color w:val="231F20"/>
          <w:spacing w:val="-2"/>
        </w:rPr>
        <w:t>sont</w:t>
      </w:r>
      <w:r>
        <w:rPr>
          <w:color w:val="231F20"/>
          <w:spacing w:val="-9"/>
        </w:rPr>
        <w:t> </w:t>
      </w:r>
      <w:r>
        <w:rPr>
          <w:color w:val="231F20"/>
          <w:spacing w:val="-2"/>
        </w:rPr>
        <w:t>attestés</w:t>
      </w:r>
      <w:r>
        <w:rPr>
          <w:color w:val="231F20"/>
          <w:spacing w:val="-11"/>
        </w:rPr>
        <w:t> </w:t>
      </w:r>
      <w:r>
        <w:rPr>
          <w:color w:val="231F20"/>
          <w:spacing w:val="-2"/>
        </w:rPr>
        <w:t>chez</w:t>
      </w:r>
      <w:r>
        <w:rPr>
          <w:color w:val="231F20"/>
          <w:spacing w:val="-11"/>
        </w:rPr>
        <w:t> </w:t>
      </w:r>
      <w:r>
        <w:rPr>
          <w:color w:val="231F20"/>
          <w:spacing w:val="-2"/>
        </w:rPr>
        <w:t>les</w:t>
      </w:r>
      <w:r>
        <w:rPr>
          <w:color w:val="231F20"/>
          <w:spacing w:val="-11"/>
        </w:rPr>
        <w:t> </w:t>
      </w:r>
      <w:r>
        <w:rPr>
          <w:color w:val="231F20"/>
          <w:spacing w:val="-2"/>
        </w:rPr>
        <w:t>Gaulois</w:t>
      </w:r>
      <w:r>
        <w:rPr>
          <w:color w:val="231F20"/>
          <w:spacing w:val="-11"/>
        </w:rPr>
        <w:t> </w:t>
      </w:r>
      <w:r>
        <w:rPr>
          <w:color w:val="231F20"/>
          <w:spacing w:val="-2"/>
        </w:rPr>
        <w:t>par</w:t>
      </w:r>
      <w:r>
        <w:rPr>
          <w:color w:val="231F20"/>
          <w:spacing w:val="-13"/>
        </w:rPr>
        <w:t> </w:t>
      </w:r>
      <w:r>
        <w:rPr>
          <w:color w:val="231F20"/>
          <w:spacing w:val="-2"/>
        </w:rPr>
        <w:t>les</w:t>
      </w:r>
      <w:r>
        <w:rPr>
          <w:color w:val="231F20"/>
          <w:spacing w:val="-11"/>
        </w:rPr>
        <w:t> </w:t>
      </w:r>
      <w:r>
        <w:rPr>
          <w:color w:val="231F20"/>
          <w:spacing w:val="-2"/>
        </w:rPr>
        <w:t>fouilles</w:t>
      </w:r>
      <w:r>
        <w:rPr>
          <w:color w:val="231F20"/>
          <w:spacing w:val="-10"/>
        </w:rPr>
        <w:t> </w:t>
      </w:r>
      <w:r>
        <w:rPr>
          <w:color w:val="231F20"/>
          <w:spacing w:val="-2"/>
        </w:rPr>
        <w:t>des</w:t>
      </w:r>
      <w:r>
        <w:rPr>
          <w:color w:val="231F20"/>
          <w:spacing w:val="-10"/>
        </w:rPr>
        <w:t> </w:t>
      </w:r>
      <w:r>
        <w:rPr>
          <w:color w:val="231F20"/>
          <w:spacing w:val="-2"/>
        </w:rPr>
        <w:t>puits sacrificiels.</w:t>
      </w:r>
      <w:r>
        <w:rPr>
          <w:color w:val="231F20"/>
          <w:spacing w:val="-10"/>
        </w:rPr>
        <w:t> </w:t>
      </w:r>
      <w:r>
        <w:rPr>
          <w:color w:val="231F20"/>
          <w:spacing w:val="-2"/>
        </w:rPr>
        <w:t>Les</w:t>
      </w:r>
      <w:r>
        <w:rPr>
          <w:color w:val="231F20"/>
          <w:spacing w:val="-11"/>
        </w:rPr>
        <w:t> </w:t>
      </w:r>
      <w:r>
        <w:rPr>
          <w:color w:val="231F20"/>
          <w:spacing w:val="-2"/>
        </w:rPr>
        <w:t>druides,</w:t>
      </w:r>
      <w:r>
        <w:rPr>
          <w:color w:val="231F20"/>
          <w:spacing w:val="-10"/>
        </w:rPr>
        <w:t> </w:t>
      </w:r>
      <w:r>
        <w:rPr>
          <w:color w:val="231F20"/>
          <w:spacing w:val="-2"/>
        </w:rPr>
        <w:t>prêtres</w:t>
      </w:r>
      <w:r>
        <w:rPr>
          <w:color w:val="231F20"/>
          <w:spacing w:val="-10"/>
        </w:rPr>
        <w:t> </w:t>
      </w:r>
      <w:r>
        <w:rPr>
          <w:color w:val="231F20"/>
          <w:spacing w:val="-2"/>
        </w:rPr>
        <w:t>païens</w:t>
      </w:r>
      <w:r>
        <w:rPr>
          <w:color w:val="231F20"/>
          <w:spacing w:val="-12"/>
        </w:rPr>
        <w:t> </w:t>
      </w:r>
      <w:r>
        <w:rPr>
          <w:color w:val="231F20"/>
          <w:spacing w:val="-2"/>
        </w:rPr>
        <w:t>prédisaient</w:t>
      </w:r>
      <w:r>
        <w:rPr>
          <w:color w:val="231F20"/>
          <w:spacing w:val="-10"/>
        </w:rPr>
        <w:t> </w:t>
      </w:r>
      <w:r>
        <w:rPr>
          <w:color w:val="231F20"/>
          <w:spacing w:val="-2"/>
        </w:rPr>
        <w:t>l'avenir</w:t>
      </w:r>
      <w:r>
        <w:rPr>
          <w:color w:val="231F20"/>
          <w:spacing w:val="-10"/>
        </w:rPr>
        <w:t> </w:t>
      </w:r>
      <w:r>
        <w:rPr>
          <w:color w:val="231F20"/>
          <w:spacing w:val="-2"/>
        </w:rPr>
        <w:t>et</w:t>
      </w:r>
      <w:r>
        <w:rPr>
          <w:color w:val="231F20"/>
          <w:spacing w:val="-9"/>
        </w:rPr>
        <w:t> </w:t>
      </w:r>
      <w:r>
        <w:rPr>
          <w:color w:val="231F20"/>
          <w:spacing w:val="-2"/>
        </w:rPr>
        <w:t>immolaient </w:t>
      </w:r>
      <w:r>
        <w:rPr>
          <w:color w:val="231F20"/>
        </w:rPr>
        <w:t>également des victimes qui étaient souvent des prisonniers de guerre. Jusqu’au triomphe du christianisme sous l’empereur Constantin, les </w:t>
      </w:r>
      <w:r>
        <w:rPr>
          <w:color w:val="231F20"/>
          <w:spacing w:val="-4"/>
        </w:rPr>
        <w:t>Romains</w:t>
      </w:r>
      <w:r>
        <w:rPr>
          <w:color w:val="231F20"/>
          <w:spacing w:val="-11"/>
        </w:rPr>
        <w:t> </w:t>
      </w:r>
      <w:r>
        <w:rPr>
          <w:color w:val="231F20"/>
          <w:spacing w:val="-4"/>
        </w:rPr>
        <w:t>qui</w:t>
      </w:r>
      <w:r>
        <w:rPr>
          <w:color w:val="231F20"/>
          <w:spacing w:val="-11"/>
        </w:rPr>
        <w:t> </w:t>
      </w:r>
      <w:r>
        <w:rPr>
          <w:color w:val="231F20"/>
          <w:spacing w:val="-4"/>
        </w:rPr>
        <w:t>ont</w:t>
      </w:r>
      <w:r>
        <w:rPr>
          <w:color w:val="231F20"/>
          <w:spacing w:val="-11"/>
        </w:rPr>
        <w:t> </w:t>
      </w:r>
      <w:r>
        <w:rPr>
          <w:color w:val="231F20"/>
          <w:spacing w:val="-4"/>
        </w:rPr>
        <w:t>colonisé</w:t>
      </w:r>
      <w:r>
        <w:rPr>
          <w:color w:val="231F20"/>
          <w:spacing w:val="-11"/>
        </w:rPr>
        <w:t> </w:t>
      </w:r>
      <w:r>
        <w:rPr>
          <w:color w:val="231F20"/>
          <w:spacing w:val="-4"/>
        </w:rPr>
        <w:t>les</w:t>
      </w:r>
      <w:r>
        <w:rPr>
          <w:color w:val="231F20"/>
          <w:spacing w:val="-11"/>
        </w:rPr>
        <w:t> </w:t>
      </w:r>
      <w:r>
        <w:rPr>
          <w:color w:val="231F20"/>
          <w:spacing w:val="-4"/>
        </w:rPr>
        <w:t>Gaulois</w:t>
      </w:r>
      <w:r>
        <w:rPr>
          <w:color w:val="231F20"/>
          <w:spacing w:val="-8"/>
        </w:rPr>
        <w:t> </w:t>
      </w:r>
      <w:r>
        <w:rPr>
          <w:color w:val="231F20"/>
          <w:spacing w:val="-4"/>
        </w:rPr>
        <w:t>avaient</w:t>
      </w:r>
      <w:r>
        <w:rPr>
          <w:color w:val="231F20"/>
          <w:spacing w:val="-11"/>
        </w:rPr>
        <w:t> </w:t>
      </w:r>
      <w:r>
        <w:rPr>
          <w:color w:val="231F20"/>
          <w:spacing w:val="-4"/>
        </w:rPr>
        <w:t>aussi</w:t>
      </w:r>
      <w:r>
        <w:rPr>
          <w:color w:val="231F20"/>
          <w:spacing w:val="-11"/>
        </w:rPr>
        <w:t> </w:t>
      </w:r>
      <w:r>
        <w:rPr>
          <w:color w:val="231F20"/>
          <w:spacing w:val="-4"/>
        </w:rPr>
        <w:t>une</w:t>
      </w:r>
      <w:r>
        <w:rPr>
          <w:color w:val="231F20"/>
          <w:spacing w:val="-9"/>
        </w:rPr>
        <w:t> </w:t>
      </w:r>
      <w:r>
        <w:rPr>
          <w:color w:val="231F20"/>
          <w:spacing w:val="-4"/>
        </w:rPr>
        <w:t>multitude</w:t>
      </w:r>
      <w:r>
        <w:rPr>
          <w:color w:val="231F20"/>
          <w:spacing w:val="-11"/>
        </w:rPr>
        <w:t> </w:t>
      </w:r>
      <w:r>
        <w:rPr>
          <w:color w:val="231F20"/>
          <w:spacing w:val="-4"/>
        </w:rPr>
        <w:t>de</w:t>
      </w:r>
      <w:r>
        <w:rPr>
          <w:color w:val="231F20"/>
          <w:spacing w:val="-11"/>
        </w:rPr>
        <w:t> </w:t>
      </w:r>
      <w:r>
        <w:rPr>
          <w:color w:val="231F20"/>
          <w:spacing w:val="-4"/>
        </w:rPr>
        <w:t>dieux </w:t>
      </w:r>
      <w:r>
        <w:rPr>
          <w:color w:val="231F20"/>
        </w:rPr>
        <w:t>dont</w:t>
      </w:r>
      <w:r>
        <w:rPr>
          <w:color w:val="231F20"/>
          <w:spacing w:val="-11"/>
        </w:rPr>
        <w:t> </w:t>
      </w:r>
      <w:r>
        <w:rPr>
          <w:color w:val="231F20"/>
        </w:rPr>
        <w:t>douze,</w:t>
      </w:r>
      <w:r>
        <w:rPr>
          <w:color w:val="231F20"/>
          <w:spacing w:val="-7"/>
        </w:rPr>
        <w:t> </w:t>
      </w:r>
      <w:r>
        <w:rPr>
          <w:color w:val="231F20"/>
        </w:rPr>
        <w:t>les</w:t>
      </w:r>
      <w:r>
        <w:rPr>
          <w:color w:val="231F20"/>
          <w:spacing w:val="-7"/>
        </w:rPr>
        <w:t> </w:t>
      </w:r>
      <w:r>
        <w:rPr>
          <w:color w:val="231F20"/>
        </w:rPr>
        <w:t>plus</w:t>
      </w:r>
      <w:r>
        <w:rPr>
          <w:color w:val="231F20"/>
          <w:spacing w:val="-7"/>
        </w:rPr>
        <w:t> </w:t>
      </w:r>
      <w:r>
        <w:rPr>
          <w:color w:val="231F20"/>
        </w:rPr>
        <w:t>importants,</w:t>
      </w:r>
      <w:r>
        <w:rPr>
          <w:color w:val="231F20"/>
          <w:spacing w:val="-5"/>
        </w:rPr>
        <w:t> </w:t>
      </w:r>
      <w:r>
        <w:rPr>
          <w:color w:val="231F20"/>
        </w:rPr>
        <w:t>avaient</w:t>
      </w:r>
      <w:r>
        <w:rPr>
          <w:color w:val="231F20"/>
          <w:spacing w:val="-7"/>
        </w:rPr>
        <w:t> </w:t>
      </w:r>
      <w:r>
        <w:rPr>
          <w:color w:val="231F20"/>
        </w:rPr>
        <w:t>leur</w:t>
      </w:r>
      <w:r>
        <w:rPr>
          <w:color w:val="231F20"/>
          <w:spacing w:val="-5"/>
        </w:rPr>
        <w:t> </w:t>
      </w:r>
      <w:r>
        <w:rPr>
          <w:color w:val="231F20"/>
        </w:rPr>
        <w:t>siège</w:t>
      </w:r>
      <w:r>
        <w:rPr>
          <w:color w:val="231F20"/>
          <w:spacing w:val="-9"/>
        </w:rPr>
        <w:t> </w:t>
      </w:r>
      <w:r>
        <w:rPr>
          <w:color w:val="231F20"/>
        </w:rPr>
        <w:t>sur</w:t>
      </w:r>
      <w:r>
        <w:rPr>
          <w:color w:val="231F20"/>
          <w:spacing w:val="-5"/>
        </w:rPr>
        <w:t> </w:t>
      </w:r>
      <w:r>
        <w:rPr>
          <w:color w:val="231F20"/>
        </w:rPr>
        <w:t>le</w:t>
      </w:r>
      <w:r>
        <w:rPr>
          <w:color w:val="231F20"/>
          <w:spacing w:val="-15"/>
        </w:rPr>
        <w:t> </w:t>
      </w:r>
      <w:r>
        <w:rPr>
          <w:color w:val="231F20"/>
        </w:rPr>
        <w:t>Mont</w:t>
      </w:r>
      <w:r>
        <w:rPr>
          <w:color w:val="231F20"/>
          <w:spacing w:val="-4"/>
        </w:rPr>
        <w:t> </w:t>
      </w:r>
      <w:r>
        <w:rPr>
          <w:color w:val="231F20"/>
        </w:rPr>
        <w:t>Olympe, leur demeure céleste.</w:t>
      </w:r>
    </w:p>
    <w:p>
      <w:pPr>
        <w:pStyle w:val="BodyText"/>
        <w:spacing w:before="121"/>
        <w:ind w:right="104" w:firstLine="283"/>
      </w:pPr>
      <w:r>
        <w:rPr>
          <w:color w:val="231F20"/>
        </w:rPr>
        <w:t>Dans</w:t>
      </w:r>
      <w:r>
        <w:rPr>
          <w:color w:val="231F20"/>
          <w:spacing w:val="-15"/>
        </w:rPr>
        <w:t> </w:t>
      </w:r>
      <w:r>
        <w:rPr>
          <w:color w:val="231F20"/>
        </w:rPr>
        <w:t>une</w:t>
      </w:r>
      <w:r>
        <w:rPr>
          <w:color w:val="231F20"/>
          <w:spacing w:val="-15"/>
        </w:rPr>
        <w:t> </w:t>
      </w:r>
      <w:r>
        <w:rPr>
          <w:color w:val="231F20"/>
        </w:rPr>
        <w:t>région</w:t>
      </w:r>
      <w:r>
        <w:rPr>
          <w:color w:val="231F20"/>
          <w:spacing w:val="-15"/>
        </w:rPr>
        <w:t> </w:t>
      </w:r>
      <w:r>
        <w:rPr>
          <w:color w:val="231F20"/>
        </w:rPr>
        <w:t>dominée</w:t>
      </w:r>
      <w:r>
        <w:rPr>
          <w:color w:val="231F20"/>
          <w:spacing w:val="-15"/>
        </w:rPr>
        <w:t> </w:t>
      </w:r>
      <w:r>
        <w:rPr>
          <w:color w:val="231F20"/>
        </w:rPr>
        <w:t>par</w:t>
      </w:r>
      <w:r>
        <w:rPr>
          <w:color w:val="231F20"/>
          <w:spacing w:val="-15"/>
        </w:rPr>
        <w:t> </w:t>
      </w:r>
      <w:r>
        <w:rPr>
          <w:color w:val="231F20"/>
        </w:rPr>
        <w:t>Rome,</w:t>
      </w:r>
      <w:r>
        <w:rPr>
          <w:color w:val="231F20"/>
          <w:spacing w:val="-15"/>
        </w:rPr>
        <w:t> </w:t>
      </w:r>
      <w:r>
        <w:rPr>
          <w:color w:val="231F20"/>
        </w:rPr>
        <w:t>en</w:t>
      </w:r>
      <w:r>
        <w:rPr>
          <w:color w:val="231F20"/>
          <w:spacing w:val="-15"/>
        </w:rPr>
        <w:t> </w:t>
      </w:r>
      <w:r>
        <w:rPr>
          <w:color w:val="231F20"/>
        </w:rPr>
        <w:t>Palestine,</w:t>
      </w:r>
      <w:r>
        <w:rPr>
          <w:color w:val="231F20"/>
          <w:spacing w:val="-15"/>
        </w:rPr>
        <w:t> </w:t>
      </w:r>
      <w:r>
        <w:rPr>
          <w:color w:val="231F20"/>
        </w:rPr>
        <w:t>un</w:t>
      </w:r>
      <w:r>
        <w:rPr>
          <w:color w:val="231F20"/>
          <w:spacing w:val="-15"/>
        </w:rPr>
        <w:t> </w:t>
      </w:r>
      <w:r>
        <w:rPr>
          <w:color w:val="231F20"/>
        </w:rPr>
        <w:t>homme</w:t>
      </w:r>
      <w:r>
        <w:rPr>
          <w:color w:val="231F20"/>
          <w:spacing w:val="-15"/>
        </w:rPr>
        <w:t> </w:t>
      </w:r>
      <w:r>
        <w:rPr>
          <w:color w:val="231F20"/>
        </w:rPr>
        <w:t>nommé Jésus</w:t>
      </w:r>
      <w:r>
        <w:rPr>
          <w:color w:val="231F20"/>
          <w:spacing w:val="-11"/>
        </w:rPr>
        <w:t> </w:t>
      </w:r>
      <w:r>
        <w:rPr>
          <w:color w:val="231F20"/>
        </w:rPr>
        <w:t>enseigne</w:t>
      </w:r>
      <w:r>
        <w:rPr>
          <w:color w:val="231F20"/>
          <w:spacing w:val="-11"/>
        </w:rPr>
        <w:t> </w:t>
      </w:r>
      <w:r>
        <w:rPr>
          <w:color w:val="231F20"/>
        </w:rPr>
        <w:t>un</w:t>
      </w:r>
      <w:r>
        <w:rPr>
          <w:color w:val="231F20"/>
          <w:spacing w:val="-11"/>
        </w:rPr>
        <w:t> </w:t>
      </w:r>
      <w:r>
        <w:rPr>
          <w:color w:val="231F20"/>
        </w:rPr>
        <w:t>mode</w:t>
      </w:r>
      <w:r>
        <w:rPr>
          <w:color w:val="231F20"/>
          <w:spacing w:val="-13"/>
        </w:rPr>
        <w:t> </w:t>
      </w:r>
      <w:r>
        <w:rPr>
          <w:color w:val="231F20"/>
        </w:rPr>
        <w:t>de</w:t>
      </w:r>
      <w:r>
        <w:rPr>
          <w:color w:val="231F20"/>
          <w:spacing w:val="-11"/>
        </w:rPr>
        <w:t> </w:t>
      </w:r>
      <w:r>
        <w:rPr>
          <w:color w:val="231F20"/>
        </w:rPr>
        <w:t>vie</w:t>
      </w:r>
      <w:r>
        <w:rPr>
          <w:color w:val="231F20"/>
          <w:spacing w:val="-11"/>
        </w:rPr>
        <w:t> </w:t>
      </w:r>
      <w:r>
        <w:rPr>
          <w:color w:val="231F20"/>
        </w:rPr>
        <w:t>fondé</w:t>
      </w:r>
      <w:r>
        <w:rPr>
          <w:color w:val="231F20"/>
          <w:spacing w:val="-11"/>
        </w:rPr>
        <w:t> </w:t>
      </w:r>
      <w:r>
        <w:rPr>
          <w:color w:val="231F20"/>
        </w:rPr>
        <w:t>sur</w:t>
      </w:r>
      <w:r>
        <w:rPr>
          <w:color w:val="231F20"/>
          <w:spacing w:val="-13"/>
        </w:rPr>
        <w:t> </w:t>
      </w:r>
      <w:r>
        <w:rPr>
          <w:color w:val="231F20"/>
        </w:rPr>
        <w:t>l'égalité</w:t>
      </w:r>
      <w:r>
        <w:rPr>
          <w:color w:val="231F20"/>
          <w:spacing w:val="-11"/>
        </w:rPr>
        <w:t> </w:t>
      </w:r>
      <w:r>
        <w:rPr>
          <w:color w:val="231F20"/>
        </w:rPr>
        <w:t>entre</w:t>
      </w:r>
      <w:r>
        <w:rPr>
          <w:color w:val="231F20"/>
          <w:spacing w:val="-11"/>
        </w:rPr>
        <w:t> </w:t>
      </w:r>
      <w:r>
        <w:rPr>
          <w:color w:val="231F20"/>
        </w:rPr>
        <w:t>les</w:t>
      </w:r>
      <w:r>
        <w:rPr>
          <w:color w:val="231F20"/>
          <w:spacing w:val="-11"/>
        </w:rPr>
        <w:t> </w:t>
      </w:r>
      <w:r>
        <w:rPr>
          <w:color w:val="231F20"/>
        </w:rPr>
        <w:t>hommes</w:t>
      </w:r>
      <w:r>
        <w:rPr>
          <w:color w:val="231F20"/>
          <w:spacing w:val="-11"/>
        </w:rPr>
        <w:t> </w:t>
      </w:r>
      <w:r>
        <w:rPr>
          <w:color w:val="231F20"/>
        </w:rPr>
        <w:t>et</w:t>
      </w:r>
      <w:r>
        <w:rPr>
          <w:color w:val="231F20"/>
          <w:spacing w:val="-11"/>
        </w:rPr>
        <w:t> </w:t>
      </w:r>
      <w:r>
        <w:rPr>
          <w:color w:val="231F20"/>
        </w:rPr>
        <w:t>la fraternité. Il parle d’un Dieu unique. La foi en la résurrection de Jésus après</w:t>
      </w:r>
      <w:r>
        <w:rPr>
          <w:color w:val="231F20"/>
          <w:spacing w:val="-1"/>
        </w:rPr>
        <w:t> </w:t>
      </w:r>
      <w:r>
        <w:rPr>
          <w:color w:val="231F20"/>
        </w:rPr>
        <w:t>sa mort, est</w:t>
      </w:r>
      <w:r>
        <w:rPr>
          <w:color w:val="231F20"/>
          <w:spacing w:val="-15"/>
        </w:rPr>
        <w:t> </w:t>
      </w:r>
      <w:r>
        <w:rPr>
          <w:color w:val="231F20"/>
        </w:rPr>
        <w:t>au cœur de la nouvelle religion, le</w:t>
      </w:r>
      <w:r>
        <w:rPr>
          <w:color w:val="231F20"/>
          <w:spacing w:val="-15"/>
        </w:rPr>
        <w:t> </w:t>
      </w:r>
      <w:r>
        <w:rPr>
          <w:color w:val="231F20"/>
        </w:rPr>
        <w:t>christianisme,</w:t>
      </w:r>
      <w:r>
        <w:rPr>
          <w:color w:val="231F20"/>
          <w:spacing w:val="-15"/>
        </w:rPr>
        <w:t> </w:t>
      </w:r>
      <w:r>
        <w:rPr>
          <w:color w:val="231F20"/>
        </w:rPr>
        <w:t>une religion</w:t>
      </w:r>
      <w:r>
        <w:rPr>
          <w:color w:val="231F20"/>
          <w:spacing w:val="-1"/>
        </w:rPr>
        <w:t> </w:t>
      </w:r>
      <w:r>
        <w:rPr>
          <w:color w:val="231F20"/>
        </w:rPr>
        <w:t>monothéiste</w:t>
      </w:r>
      <w:r>
        <w:rPr>
          <w:color w:val="231F20"/>
          <w:spacing w:val="-1"/>
        </w:rPr>
        <w:t> </w:t>
      </w:r>
      <w:r>
        <w:rPr>
          <w:color w:val="231F20"/>
        </w:rPr>
        <w:t>qui</w:t>
      </w:r>
      <w:r>
        <w:rPr>
          <w:color w:val="231F20"/>
          <w:spacing w:val="-3"/>
        </w:rPr>
        <w:t> </w:t>
      </w:r>
      <w:r>
        <w:rPr>
          <w:color w:val="231F20"/>
        </w:rPr>
        <w:t>donne</w:t>
      </w:r>
      <w:r>
        <w:rPr>
          <w:color w:val="231F20"/>
          <w:spacing w:val="-1"/>
        </w:rPr>
        <w:t> </w:t>
      </w:r>
      <w:r>
        <w:rPr>
          <w:color w:val="231F20"/>
        </w:rPr>
        <w:t>le début d'un espoir d'éternité</w:t>
      </w:r>
      <w:r>
        <w:rPr>
          <w:color w:val="231F20"/>
          <w:spacing w:val="-2"/>
        </w:rPr>
        <w:t> </w:t>
      </w:r>
      <w:r>
        <w:rPr>
          <w:color w:val="231F20"/>
        </w:rPr>
        <w:t>libéré du </w:t>
      </w:r>
      <w:r>
        <w:rPr>
          <w:color w:val="231F20"/>
          <w:spacing w:val="-4"/>
        </w:rPr>
        <w:t>mal.</w:t>
      </w:r>
      <w:r>
        <w:rPr>
          <w:color w:val="231F20"/>
          <w:spacing w:val="-11"/>
        </w:rPr>
        <w:t> </w:t>
      </w:r>
      <w:r>
        <w:rPr>
          <w:color w:val="231F20"/>
          <w:spacing w:val="-4"/>
        </w:rPr>
        <w:t>Du</w:t>
      </w:r>
      <w:r>
        <w:rPr>
          <w:color w:val="231F20"/>
          <w:spacing w:val="-11"/>
        </w:rPr>
        <w:t> </w:t>
      </w:r>
      <w:r>
        <w:rPr>
          <w:color w:val="231F20"/>
          <w:spacing w:val="-4"/>
        </w:rPr>
        <w:t>Ier</w:t>
      </w:r>
      <w:r>
        <w:rPr>
          <w:color w:val="231F20"/>
          <w:spacing w:val="-11"/>
        </w:rPr>
        <w:t> </w:t>
      </w:r>
      <w:r>
        <w:rPr>
          <w:color w:val="231F20"/>
          <w:spacing w:val="-4"/>
        </w:rPr>
        <w:t>au</w:t>
      </w:r>
      <w:r>
        <w:rPr>
          <w:color w:val="231F20"/>
          <w:spacing w:val="-11"/>
        </w:rPr>
        <w:t> </w:t>
      </w:r>
      <w:r>
        <w:rPr>
          <w:color w:val="231F20"/>
          <w:spacing w:val="-4"/>
        </w:rPr>
        <w:t>IIIe siècle,</w:t>
      </w:r>
      <w:r>
        <w:rPr>
          <w:color w:val="231F20"/>
          <w:spacing w:val="-11"/>
        </w:rPr>
        <w:t> </w:t>
      </w:r>
      <w:r>
        <w:rPr>
          <w:color w:val="231F20"/>
          <w:spacing w:val="-4"/>
        </w:rPr>
        <w:t>les</w:t>
      </w:r>
      <w:r>
        <w:rPr>
          <w:color w:val="231F20"/>
        </w:rPr>
        <w:t> </w:t>
      </w:r>
      <w:r>
        <w:rPr>
          <w:color w:val="231F20"/>
          <w:spacing w:val="-4"/>
        </w:rPr>
        <w:t>Romains</w:t>
      </w:r>
      <w:r>
        <w:rPr>
          <w:color w:val="231F20"/>
        </w:rPr>
        <w:t> </w:t>
      </w:r>
      <w:r>
        <w:rPr>
          <w:color w:val="231F20"/>
          <w:spacing w:val="-4"/>
        </w:rPr>
        <w:t>persécutent</w:t>
      </w:r>
      <w:r>
        <w:rPr>
          <w:color w:val="231F20"/>
          <w:spacing w:val="-11"/>
        </w:rPr>
        <w:t> </w:t>
      </w:r>
      <w:r>
        <w:rPr>
          <w:color w:val="231F20"/>
          <w:spacing w:val="-4"/>
        </w:rPr>
        <w:t>les</w:t>
      </w:r>
      <w:r>
        <w:rPr>
          <w:color w:val="231F20"/>
        </w:rPr>
        <w:t> </w:t>
      </w:r>
      <w:r>
        <w:rPr>
          <w:color w:val="231F20"/>
          <w:spacing w:val="-4"/>
        </w:rPr>
        <w:t>chrétiens.</w:t>
      </w:r>
      <w:r>
        <w:rPr>
          <w:color w:val="231F20"/>
          <w:spacing w:val="-11"/>
        </w:rPr>
        <w:t> </w:t>
      </w:r>
      <w:r>
        <w:rPr>
          <w:color w:val="231F20"/>
          <w:spacing w:val="-4"/>
        </w:rPr>
        <w:t>Au</w:t>
      </w:r>
      <w:r>
        <w:rPr>
          <w:color w:val="231F20"/>
          <w:spacing w:val="-11"/>
        </w:rPr>
        <w:t> </w:t>
      </w:r>
      <w:r>
        <w:rPr>
          <w:color w:val="231F20"/>
          <w:spacing w:val="-4"/>
        </w:rPr>
        <w:t>début </w:t>
      </w:r>
      <w:r>
        <w:rPr>
          <w:color w:val="231F20"/>
        </w:rPr>
        <w:t>de l’IVe</w:t>
      </w:r>
      <w:r>
        <w:rPr>
          <w:color w:val="231F20"/>
          <w:spacing w:val="-15"/>
        </w:rPr>
        <w:t> </w:t>
      </w:r>
      <w:r>
        <w:rPr>
          <w:color w:val="231F20"/>
        </w:rPr>
        <w:t>siècle, l'empereur</w:t>
      </w:r>
      <w:r>
        <w:rPr>
          <w:color w:val="231F20"/>
          <w:spacing w:val="-15"/>
        </w:rPr>
        <w:t> </w:t>
      </w:r>
      <w:r>
        <w:rPr>
          <w:color w:val="231F20"/>
        </w:rPr>
        <w:t>Constantin autorise la pratique religieuse chrétienne</w:t>
      </w:r>
      <w:r>
        <w:rPr>
          <w:color w:val="231F20"/>
          <w:spacing w:val="-7"/>
        </w:rPr>
        <w:t> </w:t>
      </w:r>
      <w:r>
        <w:rPr>
          <w:color w:val="231F20"/>
        </w:rPr>
        <w:t>qui</w:t>
      </w:r>
      <w:r>
        <w:rPr>
          <w:color w:val="231F20"/>
          <w:spacing w:val="-6"/>
        </w:rPr>
        <w:t> </w:t>
      </w:r>
      <w:r>
        <w:rPr>
          <w:color w:val="231F20"/>
        </w:rPr>
        <w:t>devient</w:t>
      </w:r>
      <w:r>
        <w:rPr>
          <w:color w:val="231F20"/>
          <w:spacing w:val="-7"/>
        </w:rPr>
        <w:t> </w:t>
      </w:r>
      <w:r>
        <w:rPr>
          <w:color w:val="231F20"/>
        </w:rPr>
        <w:t>la</w:t>
      </w:r>
      <w:r>
        <w:rPr>
          <w:color w:val="231F20"/>
          <w:spacing w:val="-5"/>
        </w:rPr>
        <w:t> </w:t>
      </w:r>
      <w:r>
        <w:rPr>
          <w:color w:val="231F20"/>
        </w:rPr>
        <w:t>religion</w:t>
      </w:r>
      <w:r>
        <w:rPr>
          <w:color w:val="231F20"/>
          <w:spacing w:val="-5"/>
        </w:rPr>
        <w:t> </w:t>
      </w:r>
      <w:r>
        <w:rPr>
          <w:color w:val="231F20"/>
        </w:rPr>
        <w:t>de</w:t>
      </w:r>
      <w:r>
        <w:rPr>
          <w:color w:val="231F20"/>
          <w:spacing w:val="-8"/>
        </w:rPr>
        <w:t> </w:t>
      </w:r>
      <w:r>
        <w:rPr>
          <w:color w:val="231F20"/>
        </w:rPr>
        <w:t>l'Empire</w:t>
      </w:r>
      <w:r>
        <w:rPr>
          <w:color w:val="231F20"/>
          <w:spacing w:val="-5"/>
        </w:rPr>
        <w:t> </w:t>
      </w:r>
      <w:r>
        <w:rPr>
          <w:color w:val="231F20"/>
        </w:rPr>
        <w:t>et</w:t>
      </w:r>
      <w:r>
        <w:rPr>
          <w:color w:val="231F20"/>
          <w:spacing w:val="-5"/>
        </w:rPr>
        <w:t> </w:t>
      </w:r>
      <w:r>
        <w:rPr>
          <w:color w:val="231F20"/>
        </w:rPr>
        <w:t>de</w:t>
      </w:r>
      <w:r>
        <w:rPr>
          <w:color w:val="231F20"/>
          <w:spacing w:val="-8"/>
        </w:rPr>
        <w:t> </w:t>
      </w:r>
      <w:r>
        <w:rPr>
          <w:color w:val="231F20"/>
        </w:rPr>
        <w:t>l’Occident.</w:t>
      </w:r>
    </w:p>
    <w:p>
      <w:pPr>
        <w:pStyle w:val="BodyText"/>
        <w:spacing w:before="120"/>
        <w:ind w:left="395"/>
      </w:pPr>
      <w:r>
        <w:rPr>
          <w:color w:val="231F20"/>
          <w:spacing w:val="-2"/>
        </w:rPr>
        <w:t>La</w:t>
      </w:r>
      <w:r>
        <w:rPr>
          <w:color w:val="231F20"/>
          <w:spacing w:val="-11"/>
        </w:rPr>
        <w:t> </w:t>
      </w:r>
      <w:r>
        <w:rPr>
          <w:color w:val="231F20"/>
          <w:spacing w:val="-2"/>
        </w:rPr>
        <w:t>religion</w:t>
      </w:r>
      <w:r>
        <w:rPr>
          <w:color w:val="231F20"/>
          <w:spacing w:val="-8"/>
        </w:rPr>
        <w:t> </w:t>
      </w:r>
      <w:r>
        <w:rPr>
          <w:color w:val="231F20"/>
          <w:spacing w:val="-2"/>
        </w:rPr>
        <w:t>chrétienne</w:t>
      </w:r>
      <w:r>
        <w:rPr>
          <w:color w:val="231F20"/>
          <w:spacing w:val="-12"/>
        </w:rPr>
        <w:t> </w:t>
      </w:r>
      <w:r>
        <w:rPr>
          <w:color w:val="231F20"/>
          <w:spacing w:val="-2"/>
        </w:rPr>
        <w:t>et</w:t>
      </w:r>
      <w:r>
        <w:rPr>
          <w:color w:val="231F20"/>
          <w:spacing w:val="-10"/>
        </w:rPr>
        <w:t> </w:t>
      </w:r>
      <w:r>
        <w:rPr>
          <w:color w:val="231F20"/>
          <w:spacing w:val="-2"/>
        </w:rPr>
        <w:t>l’écriture</w:t>
      </w:r>
      <w:r>
        <w:rPr>
          <w:color w:val="231F20"/>
          <w:spacing w:val="-8"/>
        </w:rPr>
        <w:t> </w:t>
      </w:r>
      <w:r>
        <w:rPr>
          <w:color w:val="231F20"/>
          <w:spacing w:val="-2"/>
        </w:rPr>
        <w:t>venues</w:t>
      </w:r>
      <w:r>
        <w:rPr>
          <w:color w:val="231F20"/>
          <w:spacing w:val="-11"/>
        </w:rPr>
        <w:t> </w:t>
      </w:r>
      <w:r>
        <w:rPr>
          <w:color w:val="231F20"/>
          <w:spacing w:val="-2"/>
        </w:rPr>
        <w:t>du</w:t>
      </w:r>
      <w:r>
        <w:rPr>
          <w:color w:val="231F20"/>
          <w:spacing w:val="-10"/>
        </w:rPr>
        <w:t> </w:t>
      </w:r>
      <w:r>
        <w:rPr>
          <w:color w:val="231F20"/>
          <w:spacing w:val="-2"/>
        </w:rPr>
        <w:t>Moyen</w:t>
      </w:r>
      <w:r>
        <w:rPr>
          <w:color w:val="231F20"/>
          <w:spacing w:val="-8"/>
        </w:rPr>
        <w:t> </w:t>
      </w:r>
      <w:r>
        <w:rPr>
          <w:color w:val="231F20"/>
          <w:spacing w:val="-2"/>
        </w:rPr>
        <w:t>et</w:t>
      </w:r>
      <w:r>
        <w:rPr>
          <w:color w:val="231F20"/>
          <w:spacing w:val="-10"/>
        </w:rPr>
        <w:t> </w:t>
      </w:r>
      <w:r>
        <w:rPr>
          <w:color w:val="231F20"/>
          <w:spacing w:val="-2"/>
        </w:rPr>
        <w:t>Proche-Orient</w:t>
      </w:r>
    </w:p>
    <w:p>
      <w:pPr>
        <w:pStyle w:val="BodyText"/>
        <w:spacing w:before="1"/>
      </w:pPr>
      <w:r>
        <w:rPr>
          <w:color w:val="231F20"/>
          <w:spacing w:val="-2"/>
        </w:rPr>
        <w:t>sont</w:t>
      </w:r>
      <w:r>
        <w:rPr>
          <w:color w:val="231F20"/>
          <w:spacing w:val="-12"/>
        </w:rPr>
        <w:t> </w:t>
      </w:r>
      <w:r>
        <w:rPr>
          <w:color w:val="231F20"/>
          <w:spacing w:val="-2"/>
        </w:rPr>
        <w:t>peu</w:t>
      </w:r>
      <w:r>
        <w:rPr>
          <w:color w:val="231F20"/>
          <w:spacing w:val="-8"/>
        </w:rPr>
        <w:t> </w:t>
      </w:r>
      <w:r>
        <w:rPr>
          <w:color w:val="231F20"/>
          <w:spacing w:val="-2"/>
        </w:rPr>
        <w:t>à</w:t>
      </w:r>
      <w:r>
        <w:rPr>
          <w:color w:val="231F20"/>
          <w:spacing w:val="-8"/>
        </w:rPr>
        <w:t> </w:t>
      </w:r>
      <w:r>
        <w:rPr>
          <w:color w:val="231F20"/>
          <w:spacing w:val="-2"/>
        </w:rPr>
        <w:t>peu</w:t>
      </w:r>
      <w:r>
        <w:rPr>
          <w:color w:val="231F20"/>
          <w:spacing w:val="-9"/>
        </w:rPr>
        <w:t> </w:t>
      </w:r>
      <w:r>
        <w:rPr>
          <w:color w:val="231F20"/>
          <w:spacing w:val="-2"/>
        </w:rPr>
        <w:t>adoptées</w:t>
      </w:r>
      <w:r>
        <w:rPr>
          <w:color w:val="231F20"/>
          <w:spacing w:val="-8"/>
        </w:rPr>
        <w:t> </w:t>
      </w:r>
      <w:r>
        <w:rPr>
          <w:color w:val="231F20"/>
          <w:spacing w:val="-2"/>
        </w:rPr>
        <w:t>dans</w:t>
      </w:r>
      <w:r>
        <w:rPr>
          <w:color w:val="231F20"/>
          <w:spacing w:val="-8"/>
        </w:rPr>
        <w:t> </w:t>
      </w:r>
      <w:r>
        <w:rPr>
          <w:color w:val="231F20"/>
          <w:spacing w:val="-2"/>
        </w:rPr>
        <w:t>toute</w:t>
      </w:r>
      <w:r>
        <w:rPr>
          <w:color w:val="231F20"/>
          <w:spacing w:val="-10"/>
        </w:rPr>
        <w:t> </w:t>
      </w:r>
      <w:r>
        <w:rPr>
          <w:color w:val="231F20"/>
          <w:spacing w:val="-2"/>
        </w:rPr>
        <w:t>l’Europe.</w:t>
      </w:r>
    </w:p>
    <w:p>
      <w:pPr>
        <w:pStyle w:val="BodyText"/>
        <w:spacing w:before="120"/>
        <w:ind w:right="106" w:firstLine="283"/>
      </w:pPr>
      <w:r>
        <w:rPr>
          <w:color w:val="231F20"/>
        </w:rPr>
        <w:t>Au cours du</w:t>
      </w:r>
      <w:r>
        <w:rPr>
          <w:color w:val="231F20"/>
          <w:spacing w:val="-13"/>
        </w:rPr>
        <w:t> </w:t>
      </w:r>
      <w:r>
        <w:rPr>
          <w:color w:val="231F20"/>
        </w:rPr>
        <w:t>XIXe</w:t>
      </w:r>
      <w:r>
        <w:rPr>
          <w:color w:val="231F20"/>
          <w:spacing w:val="-12"/>
        </w:rPr>
        <w:t> </w:t>
      </w:r>
      <w:r>
        <w:rPr>
          <w:color w:val="231F20"/>
        </w:rPr>
        <w:t>siècle, la plupart des pays s'engagent dans l'alphabétisation</w:t>
      </w:r>
      <w:r>
        <w:rPr>
          <w:color w:val="231F20"/>
          <w:spacing w:val="-15"/>
        </w:rPr>
        <w:t> </w:t>
      </w:r>
      <w:r>
        <w:rPr>
          <w:color w:val="231F20"/>
        </w:rPr>
        <w:t>de la population</w:t>
      </w:r>
      <w:r>
        <w:rPr>
          <w:color w:val="231F20"/>
          <w:spacing w:val="-15"/>
        </w:rPr>
        <w:t> </w:t>
      </w:r>
      <w:r>
        <w:rPr>
          <w:color w:val="231F20"/>
        </w:rPr>
        <w:t>: en France, les</w:t>
      </w:r>
      <w:r>
        <w:rPr>
          <w:color w:val="231F20"/>
          <w:spacing w:val="-15"/>
        </w:rPr>
        <w:t> </w:t>
      </w:r>
      <w:r>
        <w:rPr>
          <w:color w:val="231F20"/>
        </w:rPr>
        <w:t>lois Ferry</w:t>
      </w:r>
      <w:r>
        <w:rPr>
          <w:color w:val="231F20"/>
          <w:spacing w:val="-15"/>
        </w:rPr>
        <w:t> </w:t>
      </w:r>
      <w:r>
        <w:rPr>
          <w:color w:val="231F20"/>
        </w:rPr>
        <w:t>instituent</w:t>
      </w:r>
      <w:r>
        <w:rPr>
          <w:color w:val="231F20"/>
          <w:spacing w:val="40"/>
        </w:rPr>
        <w:t> </w:t>
      </w:r>
      <w:r>
        <w:rPr>
          <w:color w:val="231F20"/>
        </w:rPr>
        <w:t>en 1881, l'instruction</w:t>
      </w:r>
      <w:r>
        <w:rPr>
          <w:color w:val="231F20"/>
          <w:spacing w:val="-3"/>
        </w:rPr>
        <w:t> </w:t>
      </w:r>
      <w:r>
        <w:rPr>
          <w:color w:val="231F20"/>
        </w:rPr>
        <w:t>gratuite et obligatoire.</w:t>
      </w:r>
    </w:p>
    <w:p>
      <w:pPr>
        <w:pStyle w:val="BodyText"/>
        <w:spacing w:before="120"/>
        <w:ind w:right="106" w:firstLine="283"/>
      </w:pPr>
      <w:r>
        <w:rPr>
          <w:color w:val="231F20"/>
        </w:rPr>
        <w:t>L’école ouvre l’esprit</w:t>
      </w:r>
      <w:r>
        <w:rPr>
          <w:color w:val="231F20"/>
          <w:spacing w:val="-13"/>
        </w:rPr>
        <w:t> </w:t>
      </w:r>
      <w:r>
        <w:rPr>
          <w:color w:val="231F20"/>
        </w:rPr>
        <w:t>: l’école dans toute l’Europe, promeut les connaissances</w:t>
      </w:r>
      <w:r>
        <w:rPr>
          <w:color w:val="231F20"/>
          <w:spacing w:val="-6"/>
        </w:rPr>
        <w:t> </w:t>
      </w:r>
      <w:r>
        <w:rPr>
          <w:color w:val="231F20"/>
        </w:rPr>
        <w:t>et</w:t>
      </w:r>
      <w:r>
        <w:rPr>
          <w:color w:val="231F20"/>
          <w:spacing w:val="-6"/>
        </w:rPr>
        <w:t> </w:t>
      </w:r>
      <w:r>
        <w:rPr>
          <w:color w:val="231F20"/>
        </w:rPr>
        <w:t>permet</w:t>
      </w:r>
      <w:r>
        <w:rPr>
          <w:color w:val="231F20"/>
          <w:spacing w:val="-6"/>
        </w:rPr>
        <w:t> </w:t>
      </w:r>
      <w:r>
        <w:rPr>
          <w:color w:val="231F20"/>
        </w:rPr>
        <w:t>d’aboutir</w:t>
      </w:r>
      <w:r>
        <w:rPr>
          <w:color w:val="231F20"/>
          <w:spacing w:val="-6"/>
        </w:rPr>
        <w:t> </w:t>
      </w:r>
      <w:r>
        <w:rPr>
          <w:color w:val="231F20"/>
        </w:rPr>
        <w:t>à</w:t>
      </w:r>
      <w:r>
        <w:rPr>
          <w:color w:val="231F20"/>
          <w:spacing w:val="-6"/>
        </w:rPr>
        <w:t> </w:t>
      </w:r>
      <w:r>
        <w:rPr>
          <w:color w:val="231F20"/>
        </w:rPr>
        <w:t>la</w:t>
      </w:r>
      <w:r>
        <w:rPr>
          <w:color w:val="231F20"/>
          <w:spacing w:val="-6"/>
        </w:rPr>
        <w:t> </w:t>
      </w:r>
      <w:r>
        <w:rPr>
          <w:color w:val="231F20"/>
        </w:rPr>
        <w:t>révolution</w:t>
      </w:r>
      <w:r>
        <w:rPr>
          <w:color w:val="231F20"/>
          <w:spacing w:val="-5"/>
        </w:rPr>
        <w:t> </w:t>
      </w:r>
      <w:r>
        <w:rPr>
          <w:color w:val="231F20"/>
        </w:rPr>
        <w:t>industrielle</w:t>
      </w:r>
      <w:r>
        <w:rPr>
          <w:color w:val="231F20"/>
          <w:spacing w:val="-5"/>
        </w:rPr>
        <w:t> </w:t>
      </w:r>
      <w:r>
        <w:rPr>
          <w:color w:val="231F20"/>
        </w:rPr>
        <w:t>qui</w:t>
      </w:r>
      <w:r>
        <w:rPr>
          <w:color w:val="231F20"/>
          <w:spacing w:val="-7"/>
        </w:rPr>
        <w:t> </w:t>
      </w:r>
      <w:r>
        <w:rPr>
          <w:color w:val="231F20"/>
        </w:rPr>
        <w:t>la</w:t>
      </w:r>
      <w:r>
        <w:rPr>
          <w:color w:val="231F20"/>
          <w:spacing w:val="-5"/>
        </w:rPr>
        <w:t> </w:t>
      </w:r>
      <w:r>
        <w:rPr>
          <w:color w:val="231F20"/>
        </w:rPr>
        <w:t>fait entrer dans le modernisme.</w:t>
      </w:r>
    </w:p>
    <w:p>
      <w:pPr>
        <w:pStyle w:val="BodyText"/>
        <w:spacing w:before="120"/>
        <w:ind w:left="395"/>
      </w:pPr>
      <w:r>
        <w:rPr>
          <w:color w:val="231F20"/>
        </w:rPr>
        <w:t>La</w:t>
      </w:r>
      <w:r>
        <w:rPr>
          <w:color w:val="231F20"/>
          <w:spacing w:val="2"/>
        </w:rPr>
        <w:t> </w:t>
      </w:r>
      <w:r>
        <w:rPr>
          <w:color w:val="231F20"/>
        </w:rPr>
        <w:t>révolution</w:t>
      </w:r>
      <w:r>
        <w:rPr>
          <w:color w:val="231F20"/>
          <w:spacing w:val="1"/>
        </w:rPr>
        <w:t> </w:t>
      </w:r>
      <w:r>
        <w:rPr>
          <w:color w:val="231F20"/>
        </w:rPr>
        <w:t>dans les</w:t>
      </w:r>
      <w:r>
        <w:rPr>
          <w:color w:val="231F20"/>
          <w:spacing w:val="3"/>
        </w:rPr>
        <w:t> </w:t>
      </w:r>
      <w:r>
        <w:rPr>
          <w:color w:val="231F20"/>
        </w:rPr>
        <w:t>transports</w:t>
      </w:r>
      <w:r>
        <w:rPr>
          <w:color w:val="231F20"/>
          <w:spacing w:val="3"/>
        </w:rPr>
        <w:t> </w:t>
      </w:r>
      <w:r>
        <w:rPr>
          <w:color w:val="231F20"/>
        </w:rPr>
        <w:t>maritimes</w:t>
      </w:r>
      <w:r>
        <w:rPr>
          <w:color w:val="231F20"/>
          <w:spacing w:val="2"/>
        </w:rPr>
        <w:t> </w:t>
      </w:r>
      <w:r>
        <w:rPr>
          <w:color w:val="231F20"/>
        </w:rPr>
        <w:t>permet</w:t>
      </w:r>
      <w:r>
        <w:rPr>
          <w:color w:val="231F20"/>
          <w:spacing w:val="2"/>
        </w:rPr>
        <w:t> </w:t>
      </w:r>
      <w:r>
        <w:rPr>
          <w:color w:val="231F20"/>
        </w:rPr>
        <w:t>alors</w:t>
      </w:r>
      <w:r>
        <w:rPr>
          <w:color w:val="231F20"/>
          <w:spacing w:val="3"/>
        </w:rPr>
        <w:t> </w:t>
      </w:r>
      <w:r>
        <w:rPr>
          <w:color w:val="231F20"/>
        </w:rPr>
        <w:t>de</w:t>
      </w:r>
      <w:r>
        <w:rPr>
          <w:color w:val="231F20"/>
          <w:spacing w:val="1"/>
        </w:rPr>
        <w:t> </w:t>
      </w:r>
      <w:r>
        <w:rPr>
          <w:color w:val="231F20"/>
          <w:spacing w:val="-2"/>
        </w:rPr>
        <w:t>grandes</w:t>
      </w:r>
    </w:p>
    <w:p>
      <w:pPr>
        <w:pStyle w:val="BodyText"/>
      </w:pPr>
      <w:r>
        <w:rPr>
          <w:color w:val="231F20"/>
          <w:spacing w:val="-2"/>
        </w:rPr>
        <w:t>traversées</w:t>
      </w:r>
      <w:r>
        <w:rPr>
          <w:color w:val="231F20"/>
          <w:spacing w:val="-10"/>
        </w:rPr>
        <w:t> </w:t>
      </w:r>
      <w:r>
        <w:rPr>
          <w:color w:val="231F20"/>
          <w:spacing w:val="-2"/>
        </w:rPr>
        <w:t>sur</w:t>
      </w:r>
      <w:r>
        <w:rPr>
          <w:color w:val="231F20"/>
          <w:spacing w:val="-9"/>
        </w:rPr>
        <w:t> </w:t>
      </w:r>
      <w:r>
        <w:rPr>
          <w:color w:val="231F20"/>
          <w:spacing w:val="-2"/>
        </w:rPr>
        <w:t>les</w:t>
      </w:r>
      <w:r>
        <w:rPr>
          <w:color w:val="231F20"/>
          <w:spacing w:val="-11"/>
        </w:rPr>
        <w:t> </w:t>
      </w:r>
      <w:r>
        <w:rPr>
          <w:color w:val="231F20"/>
          <w:spacing w:val="-2"/>
        </w:rPr>
        <w:t>mers</w:t>
      </w:r>
      <w:r>
        <w:rPr>
          <w:color w:val="231F20"/>
          <w:spacing w:val="-11"/>
        </w:rPr>
        <w:t> </w:t>
      </w:r>
      <w:r>
        <w:rPr>
          <w:color w:val="231F20"/>
          <w:spacing w:val="-2"/>
        </w:rPr>
        <w:t>notamment</w:t>
      </w:r>
      <w:r>
        <w:rPr>
          <w:color w:val="231F20"/>
          <w:spacing w:val="-10"/>
        </w:rPr>
        <w:t> </w:t>
      </w:r>
      <w:r>
        <w:rPr>
          <w:color w:val="231F20"/>
          <w:spacing w:val="-2"/>
        </w:rPr>
        <w:t>vers</w:t>
      </w:r>
      <w:r>
        <w:rPr>
          <w:color w:val="231F20"/>
          <w:spacing w:val="-11"/>
        </w:rPr>
        <w:t> </w:t>
      </w:r>
      <w:r>
        <w:rPr>
          <w:color w:val="231F20"/>
          <w:spacing w:val="-2"/>
        </w:rPr>
        <w:t>l’Afrique…</w:t>
      </w:r>
    </w:p>
    <w:p>
      <w:pPr>
        <w:pStyle w:val="BodyText"/>
        <w:spacing w:before="120"/>
        <w:ind w:right="107" w:firstLine="283"/>
      </w:pPr>
      <w:r>
        <w:rPr>
          <w:color w:val="231F20"/>
        </w:rPr>
        <w:t>Pendant que l’Europe et d’autres parties du monde trouvaient en </w:t>
      </w:r>
      <w:r>
        <w:rPr>
          <w:color w:val="231F20"/>
          <w:spacing w:val="-4"/>
        </w:rPr>
        <w:t>l’écriture,</w:t>
      </w:r>
      <w:r>
        <w:rPr>
          <w:color w:val="231F20"/>
          <w:spacing w:val="-13"/>
        </w:rPr>
        <w:t> </w:t>
      </w:r>
      <w:r>
        <w:rPr>
          <w:color w:val="231F20"/>
          <w:spacing w:val="-4"/>
        </w:rPr>
        <w:t>une</w:t>
      </w:r>
      <w:r>
        <w:rPr>
          <w:color w:val="231F20"/>
          <w:spacing w:val="-10"/>
        </w:rPr>
        <w:t> </w:t>
      </w:r>
      <w:r>
        <w:rPr>
          <w:color w:val="231F20"/>
          <w:spacing w:val="-4"/>
        </w:rPr>
        <w:t>extension</w:t>
      </w:r>
      <w:r>
        <w:rPr>
          <w:color w:val="231F20"/>
          <w:spacing w:val="-9"/>
        </w:rPr>
        <w:t> </w:t>
      </w:r>
      <w:r>
        <w:rPr>
          <w:color w:val="231F20"/>
          <w:spacing w:val="-4"/>
        </w:rPr>
        <w:t>de</w:t>
      </w:r>
      <w:r>
        <w:rPr>
          <w:color w:val="231F20"/>
          <w:spacing w:val="-11"/>
        </w:rPr>
        <w:t> </w:t>
      </w:r>
      <w:r>
        <w:rPr>
          <w:color w:val="231F20"/>
          <w:spacing w:val="-4"/>
        </w:rPr>
        <w:t>la</w:t>
      </w:r>
      <w:r>
        <w:rPr>
          <w:color w:val="231F20"/>
          <w:spacing w:val="-9"/>
        </w:rPr>
        <w:t> </w:t>
      </w:r>
      <w:r>
        <w:rPr>
          <w:color w:val="231F20"/>
          <w:spacing w:val="-4"/>
        </w:rPr>
        <w:t>mémoire</w:t>
      </w:r>
      <w:r>
        <w:rPr>
          <w:color w:val="76787A"/>
          <w:spacing w:val="-4"/>
          <w:vertAlign w:val="superscript"/>
        </w:rPr>
        <w:t>233</w:t>
      </w:r>
      <w:r>
        <w:rPr>
          <w:color w:val="76787A"/>
          <w:spacing w:val="9"/>
          <w:vertAlign w:val="baseline"/>
        </w:rPr>
        <w:t> </w:t>
      </w:r>
      <w:r>
        <w:rPr>
          <w:color w:val="231F20"/>
          <w:spacing w:val="-4"/>
          <w:vertAlign w:val="baseline"/>
        </w:rPr>
        <w:t>permettant</w:t>
      </w:r>
      <w:r>
        <w:rPr>
          <w:color w:val="231F20"/>
          <w:spacing w:val="-9"/>
          <w:vertAlign w:val="baseline"/>
        </w:rPr>
        <w:t> </w:t>
      </w:r>
      <w:r>
        <w:rPr>
          <w:color w:val="231F20"/>
          <w:spacing w:val="-4"/>
          <w:vertAlign w:val="baseline"/>
        </w:rPr>
        <w:t>de</w:t>
      </w:r>
      <w:r>
        <w:rPr>
          <w:color w:val="231F20"/>
          <w:spacing w:val="-10"/>
          <w:vertAlign w:val="baseline"/>
        </w:rPr>
        <w:t> </w:t>
      </w:r>
      <w:r>
        <w:rPr>
          <w:color w:val="231F20"/>
          <w:spacing w:val="-4"/>
          <w:vertAlign w:val="baseline"/>
        </w:rPr>
        <w:t>conserver</w:t>
      </w:r>
      <w:r>
        <w:rPr>
          <w:color w:val="231F20"/>
          <w:spacing w:val="-11"/>
          <w:vertAlign w:val="baseline"/>
        </w:rPr>
        <w:t> </w:t>
      </w:r>
      <w:r>
        <w:rPr>
          <w:color w:val="231F20"/>
          <w:spacing w:val="-4"/>
          <w:vertAlign w:val="baseline"/>
        </w:rPr>
        <w:t>la</w:t>
      </w:r>
      <w:r>
        <w:rPr>
          <w:color w:val="231F20"/>
          <w:spacing w:val="-14"/>
          <w:vertAlign w:val="baseline"/>
        </w:rPr>
        <w:t> </w:t>
      </w:r>
      <w:r>
        <w:rPr>
          <w:color w:val="231F20"/>
          <w:spacing w:val="-4"/>
          <w:vertAlign w:val="baseline"/>
        </w:rPr>
        <w:t>trace</w:t>
      </w:r>
    </w:p>
    <w:p>
      <w:pPr>
        <w:pStyle w:val="BodyText"/>
        <w:spacing w:before="2"/>
        <w:ind w:left="0"/>
        <w:jc w:val="left"/>
        <w:rPr>
          <w:sz w:val="17"/>
        </w:rPr>
      </w:pPr>
      <w:r>
        <w:rPr/>
        <mc:AlternateContent>
          <mc:Choice Requires="wps">
            <w:drawing>
              <wp:anchor distT="0" distB="0" distL="0" distR="0" allowOverlap="1" layoutInCell="1" locked="0" behindDoc="1" simplePos="0" relativeHeight="487660032">
                <wp:simplePos x="0" y="0"/>
                <wp:positionH relativeFrom="page">
                  <wp:posOffset>629907</wp:posOffset>
                </wp:positionH>
                <wp:positionV relativeFrom="paragraph">
                  <wp:posOffset>141173</wp:posOffset>
                </wp:positionV>
                <wp:extent cx="1829435" cy="9525"/>
                <wp:effectExtent l="0" t="0" r="0" b="0"/>
                <wp:wrapTopAndBottom/>
                <wp:docPr id="173" name="Graphic 173"/>
                <wp:cNvGraphicFramePr>
                  <a:graphicFrameLocks/>
                </wp:cNvGraphicFramePr>
                <a:graphic>
                  <a:graphicData uri="http://schemas.microsoft.com/office/word/2010/wordprocessingShape">
                    <wps:wsp>
                      <wps:cNvPr id="173" name="Graphic 17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1.116015pt;width:144.020pt;height:.72pt;mso-position-horizontal-relative:page;mso-position-vertical-relative:paragraph;z-index:-15656448;mso-wrap-distance-left:0;mso-wrap-distance-right:0" id="docshape171"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233</w:t>
      </w:r>
      <w:r>
        <w:rPr>
          <w:color w:val="76787A"/>
          <w:spacing w:val="-11"/>
          <w:sz w:val="20"/>
          <w:vertAlign w:val="baseline"/>
        </w:rPr>
        <w:t> </w:t>
      </w:r>
      <w:r>
        <w:rPr>
          <w:color w:val="231F20"/>
          <w:spacing w:val="-4"/>
          <w:sz w:val="20"/>
          <w:vertAlign w:val="baseline"/>
        </w:rPr>
        <w:t>Écriture,Origines, Naissance, Premières traces, Hominidés. </w:t>
      </w:r>
      <w:r>
        <w:rPr>
          <w:color w:val="231F20"/>
          <w:spacing w:val="-2"/>
          <w:sz w:val="20"/>
          <w:vertAlign w:val="baseline"/>
        </w:rPr>
        <w:t>http</w:t>
      </w:r>
      <w:hyperlink r:id="rId53">
        <w:r>
          <w:rPr>
            <w:color w:val="231F20"/>
            <w:spacing w:val="-2"/>
            <w:sz w:val="20"/>
            <w:vertAlign w:val="baseline"/>
          </w:rPr>
          <w:t>s//ww</w:t>
        </w:r>
      </w:hyperlink>
      <w:r>
        <w:rPr>
          <w:color w:val="231F20"/>
          <w:spacing w:val="-2"/>
          <w:sz w:val="20"/>
          <w:vertAlign w:val="baseline"/>
        </w:rPr>
        <w:t>w.h</w:t>
      </w:r>
      <w:hyperlink r:id="rId53">
        <w:r>
          <w:rPr>
            <w:color w:val="231F20"/>
            <w:spacing w:val="-2"/>
            <w:sz w:val="20"/>
            <w:vertAlign w:val="baseline"/>
          </w:rPr>
          <w:t>ominidés.com.dossiers.</w:t>
        </w:r>
      </w:hyperlink>
    </w:p>
    <w:p>
      <w:pPr>
        <w:spacing w:after="0"/>
        <w:jc w:val="left"/>
        <w:rPr>
          <w:sz w:val="20"/>
        </w:rPr>
        <w:sectPr>
          <w:pgSz w:w="8790" w:h="13610"/>
          <w:pgMar w:header="0" w:footer="802" w:top="1060" w:bottom="1000" w:left="880" w:right="880"/>
        </w:sectPr>
      </w:pPr>
    </w:p>
    <w:p>
      <w:pPr>
        <w:pStyle w:val="BodyText"/>
        <w:spacing w:before="66"/>
        <w:ind w:right="108"/>
      </w:pPr>
      <w:r>
        <w:rPr>
          <w:color w:val="231F20"/>
          <w:spacing w:val="-4"/>
        </w:rPr>
        <w:t>des</w:t>
      </w:r>
      <w:r>
        <w:rPr>
          <w:color w:val="231F20"/>
          <w:spacing w:val="-5"/>
        </w:rPr>
        <w:t> </w:t>
      </w:r>
      <w:r>
        <w:rPr>
          <w:color w:val="231F20"/>
          <w:spacing w:val="-4"/>
        </w:rPr>
        <w:t>événements</w:t>
      </w:r>
      <w:r>
        <w:rPr>
          <w:color w:val="231F20"/>
          <w:spacing w:val="-6"/>
        </w:rPr>
        <w:t> </w:t>
      </w:r>
      <w:r>
        <w:rPr>
          <w:color w:val="231F20"/>
          <w:spacing w:val="-4"/>
        </w:rPr>
        <w:t>sans</w:t>
      </w:r>
      <w:r>
        <w:rPr>
          <w:color w:val="231F20"/>
          <w:spacing w:val="-6"/>
        </w:rPr>
        <w:t> </w:t>
      </w:r>
      <w:r>
        <w:rPr>
          <w:color w:val="231F20"/>
          <w:spacing w:val="-4"/>
        </w:rPr>
        <w:t>effort,</w:t>
      </w:r>
      <w:r>
        <w:rPr>
          <w:color w:val="231F20"/>
          <w:spacing w:val="-5"/>
        </w:rPr>
        <w:t> </w:t>
      </w:r>
      <w:r>
        <w:rPr>
          <w:color w:val="231F20"/>
          <w:spacing w:val="-4"/>
        </w:rPr>
        <w:t>l’Afrique</w:t>
      </w:r>
      <w:r>
        <w:rPr>
          <w:color w:val="231F20"/>
          <w:spacing w:val="-5"/>
        </w:rPr>
        <w:t> </w:t>
      </w:r>
      <w:r>
        <w:rPr>
          <w:color w:val="231F20"/>
          <w:spacing w:val="-4"/>
        </w:rPr>
        <w:t>en</w:t>
      </w:r>
      <w:r>
        <w:rPr>
          <w:color w:val="231F20"/>
          <w:spacing w:val="-5"/>
        </w:rPr>
        <w:t> </w:t>
      </w:r>
      <w:r>
        <w:rPr>
          <w:color w:val="231F20"/>
          <w:spacing w:val="-4"/>
        </w:rPr>
        <w:t>général</w:t>
      </w:r>
      <w:r>
        <w:rPr>
          <w:color w:val="231F20"/>
          <w:spacing w:val="-5"/>
        </w:rPr>
        <w:t> </w:t>
      </w:r>
      <w:r>
        <w:rPr>
          <w:color w:val="231F20"/>
          <w:spacing w:val="-4"/>
        </w:rPr>
        <w:t>et</w:t>
      </w:r>
      <w:r>
        <w:rPr>
          <w:color w:val="231F20"/>
          <w:spacing w:val="-6"/>
        </w:rPr>
        <w:t> </w:t>
      </w:r>
      <w:r>
        <w:rPr>
          <w:color w:val="231F20"/>
          <w:spacing w:val="-4"/>
        </w:rPr>
        <w:t>subsaharienne pour</w:t>
      </w:r>
      <w:r>
        <w:rPr>
          <w:color w:val="231F20"/>
          <w:spacing w:val="-7"/>
        </w:rPr>
        <w:t> </w:t>
      </w:r>
      <w:r>
        <w:rPr>
          <w:color w:val="231F20"/>
          <w:spacing w:val="-4"/>
        </w:rPr>
        <w:t>ce </w:t>
      </w:r>
      <w:r>
        <w:rPr>
          <w:color w:val="231F20"/>
        </w:rPr>
        <w:t>qui</w:t>
      </w:r>
      <w:r>
        <w:rPr>
          <w:color w:val="231F20"/>
          <w:spacing w:val="-15"/>
        </w:rPr>
        <w:t> </w:t>
      </w:r>
      <w:r>
        <w:rPr>
          <w:color w:val="231F20"/>
        </w:rPr>
        <w:t>nous</w:t>
      </w:r>
      <w:r>
        <w:rPr>
          <w:color w:val="231F20"/>
          <w:spacing w:val="-15"/>
        </w:rPr>
        <w:t> </w:t>
      </w:r>
      <w:r>
        <w:rPr>
          <w:color w:val="231F20"/>
        </w:rPr>
        <w:t>concerne,</w:t>
      </w:r>
      <w:r>
        <w:rPr>
          <w:color w:val="231F20"/>
          <w:spacing w:val="-15"/>
        </w:rPr>
        <w:t> </w:t>
      </w:r>
      <w:r>
        <w:rPr>
          <w:color w:val="231F20"/>
        </w:rPr>
        <w:t>restait</w:t>
      </w:r>
      <w:r>
        <w:rPr>
          <w:color w:val="231F20"/>
          <w:spacing w:val="-15"/>
        </w:rPr>
        <w:t> </w:t>
      </w:r>
      <w:r>
        <w:rPr>
          <w:color w:val="231F20"/>
        </w:rPr>
        <w:t>dans</w:t>
      </w:r>
      <w:r>
        <w:rPr>
          <w:color w:val="231F20"/>
          <w:spacing w:val="-15"/>
        </w:rPr>
        <w:t> </w:t>
      </w:r>
      <w:r>
        <w:rPr>
          <w:color w:val="231F20"/>
        </w:rPr>
        <w:t>l’oralité</w:t>
      </w:r>
      <w:r>
        <w:rPr>
          <w:color w:val="231F20"/>
          <w:spacing w:val="-15"/>
        </w:rPr>
        <w:t> </w:t>
      </w:r>
      <w:r>
        <w:rPr>
          <w:color w:val="231F20"/>
        </w:rPr>
        <w:t>et</w:t>
      </w:r>
      <w:r>
        <w:rPr>
          <w:color w:val="231F20"/>
          <w:spacing w:val="-15"/>
        </w:rPr>
        <w:t> </w:t>
      </w:r>
      <w:r>
        <w:rPr>
          <w:color w:val="231F20"/>
        </w:rPr>
        <w:t>ignorante</w:t>
      </w:r>
      <w:r>
        <w:rPr>
          <w:color w:val="231F20"/>
          <w:spacing w:val="-15"/>
        </w:rPr>
        <w:t> </w:t>
      </w:r>
      <w:r>
        <w:rPr>
          <w:color w:val="231F20"/>
        </w:rPr>
        <w:t>d’un</w:t>
      </w:r>
      <w:r>
        <w:rPr>
          <w:color w:val="231F20"/>
          <w:spacing w:val="-15"/>
        </w:rPr>
        <w:t> </w:t>
      </w:r>
      <w:r>
        <w:rPr>
          <w:color w:val="231F20"/>
        </w:rPr>
        <w:t>autre</w:t>
      </w:r>
      <w:r>
        <w:rPr>
          <w:color w:val="231F20"/>
          <w:spacing w:val="-15"/>
        </w:rPr>
        <w:t> </w:t>
      </w:r>
      <w:r>
        <w:rPr>
          <w:color w:val="231F20"/>
        </w:rPr>
        <w:t>monde</w:t>
      </w:r>
      <w:r>
        <w:rPr>
          <w:color w:val="231F20"/>
          <w:spacing w:val="-15"/>
        </w:rPr>
        <w:t> </w:t>
      </w:r>
      <w:r>
        <w:rPr>
          <w:color w:val="231F20"/>
        </w:rPr>
        <w:t>et d’autres</w:t>
      </w:r>
      <w:r>
        <w:rPr>
          <w:color w:val="231F20"/>
          <w:spacing w:val="-11"/>
        </w:rPr>
        <w:t> </w:t>
      </w:r>
      <w:r>
        <w:rPr>
          <w:color w:val="231F20"/>
        </w:rPr>
        <w:t>cultures…Et,</w:t>
      </w:r>
      <w:r>
        <w:rPr>
          <w:color w:val="231F20"/>
          <w:spacing w:val="-11"/>
        </w:rPr>
        <w:t> </w:t>
      </w:r>
      <w:r>
        <w:rPr>
          <w:color w:val="231F20"/>
        </w:rPr>
        <w:t>à</w:t>
      </w:r>
      <w:r>
        <w:rPr>
          <w:color w:val="231F20"/>
          <w:spacing w:val="-11"/>
        </w:rPr>
        <w:t> </w:t>
      </w:r>
      <w:r>
        <w:rPr>
          <w:color w:val="231F20"/>
        </w:rPr>
        <w:t>l’arrivée</w:t>
      </w:r>
      <w:r>
        <w:rPr>
          <w:color w:val="231F20"/>
          <w:spacing w:val="-9"/>
        </w:rPr>
        <w:t> </w:t>
      </w:r>
      <w:r>
        <w:rPr>
          <w:color w:val="231F20"/>
        </w:rPr>
        <w:t>du</w:t>
      </w:r>
      <w:r>
        <w:rPr>
          <w:color w:val="231F20"/>
          <w:spacing w:val="-11"/>
        </w:rPr>
        <w:t> </w:t>
      </w:r>
      <w:r>
        <w:rPr>
          <w:color w:val="231F20"/>
        </w:rPr>
        <w:t>Blanc,</w:t>
      </w:r>
      <w:r>
        <w:rPr>
          <w:color w:val="231F20"/>
          <w:spacing w:val="-11"/>
        </w:rPr>
        <w:t> </w:t>
      </w:r>
      <w:r>
        <w:rPr>
          <w:color w:val="231F20"/>
        </w:rPr>
        <w:t>le</w:t>
      </w:r>
      <w:r>
        <w:rPr>
          <w:color w:val="231F20"/>
          <w:spacing w:val="-11"/>
        </w:rPr>
        <w:t> </w:t>
      </w:r>
      <w:r>
        <w:rPr>
          <w:color w:val="231F20"/>
        </w:rPr>
        <w:t>choc</w:t>
      </w:r>
      <w:r>
        <w:rPr>
          <w:color w:val="231F20"/>
          <w:spacing w:val="-13"/>
        </w:rPr>
        <w:t> </w:t>
      </w:r>
      <w:r>
        <w:rPr>
          <w:color w:val="231F20"/>
        </w:rPr>
        <w:t>des</w:t>
      </w:r>
      <w:r>
        <w:rPr>
          <w:color w:val="231F20"/>
          <w:spacing w:val="-8"/>
        </w:rPr>
        <w:t> </w:t>
      </w:r>
      <w:r>
        <w:rPr>
          <w:color w:val="231F20"/>
        </w:rPr>
        <w:t>cultures</w:t>
      </w:r>
      <w:r>
        <w:rPr>
          <w:color w:val="231F20"/>
          <w:spacing w:val="-12"/>
        </w:rPr>
        <w:t> </w:t>
      </w:r>
      <w:r>
        <w:rPr>
          <w:color w:val="231F20"/>
        </w:rPr>
        <w:t>lui</w:t>
      </w:r>
      <w:r>
        <w:rPr>
          <w:color w:val="231F20"/>
          <w:spacing w:val="-10"/>
        </w:rPr>
        <w:t> </w:t>
      </w:r>
      <w:r>
        <w:rPr>
          <w:color w:val="231F20"/>
        </w:rPr>
        <w:t>a</w:t>
      </w:r>
      <w:r>
        <w:rPr>
          <w:color w:val="231F20"/>
          <w:spacing w:val="-9"/>
        </w:rPr>
        <w:t> </w:t>
      </w:r>
      <w:r>
        <w:rPr>
          <w:color w:val="231F20"/>
        </w:rPr>
        <w:t>été </w:t>
      </w:r>
      <w:r>
        <w:rPr>
          <w:color w:val="231F20"/>
          <w:spacing w:val="-2"/>
        </w:rPr>
        <w:t>défavorable</w:t>
      </w:r>
      <w:r>
        <w:rPr>
          <w:color w:val="231F20"/>
          <w:spacing w:val="-11"/>
        </w:rPr>
        <w:t> </w:t>
      </w:r>
      <w:r>
        <w:rPr>
          <w:color w:val="231F20"/>
          <w:spacing w:val="-2"/>
        </w:rPr>
        <w:t>:</w:t>
      </w:r>
      <w:r>
        <w:rPr>
          <w:color w:val="231F20"/>
          <w:spacing w:val="-10"/>
        </w:rPr>
        <w:t> </w:t>
      </w:r>
      <w:r>
        <w:rPr>
          <w:color w:val="231F20"/>
          <w:spacing w:val="-2"/>
        </w:rPr>
        <w:t>les</w:t>
      </w:r>
      <w:r>
        <w:rPr>
          <w:color w:val="231F20"/>
          <w:spacing w:val="-6"/>
        </w:rPr>
        <w:t> </w:t>
      </w:r>
      <w:r>
        <w:rPr>
          <w:color w:val="231F20"/>
          <w:spacing w:val="-2"/>
        </w:rPr>
        <w:t>autres</w:t>
      </w:r>
      <w:r>
        <w:rPr>
          <w:color w:val="231F20"/>
          <w:spacing w:val="-8"/>
        </w:rPr>
        <w:t> </w:t>
      </w:r>
      <w:r>
        <w:rPr>
          <w:color w:val="231F20"/>
          <w:spacing w:val="-2"/>
        </w:rPr>
        <w:t>ont</w:t>
      </w:r>
      <w:r>
        <w:rPr>
          <w:color w:val="231F20"/>
          <w:spacing w:val="-5"/>
        </w:rPr>
        <w:t> </w:t>
      </w:r>
      <w:r>
        <w:rPr>
          <w:color w:val="231F20"/>
          <w:spacing w:val="-2"/>
        </w:rPr>
        <w:t>débarqué</w:t>
      </w:r>
      <w:r>
        <w:rPr>
          <w:color w:val="231F20"/>
          <w:spacing w:val="-6"/>
        </w:rPr>
        <w:t> </w:t>
      </w:r>
      <w:r>
        <w:rPr>
          <w:color w:val="231F20"/>
          <w:spacing w:val="-2"/>
        </w:rPr>
        <w:t>avec</w:t>
      </w:r>
      <w:r>
        <w:rPr>
          <w:color w:val="231F20"/>
          <w:spacing w:val="-9"/>
        </w:rPr>
        <w:t> </w:t>
      </w:r>
      <w:r>
        <w:rPr>
          <w:color w:val="231F20"/>
          <w:spacing w:val="-2"/>
        </w:rPr>
        <w:t>des</w:t>
      </w:r>
      <w:r>
        <w:rPr>
          <w:color w:val="231F20"/>
          <w:spacing w:val="-8"/>
        </w:rPr>
        <w:t> </w:t>
      </w:r>
      <w:r>
        <w:rPr>
          <w:color w:val="231F20"/>
          <w:spacing w:val="-2"/>
        </w:rPr>
        <w:t>fusils,</w:t>
      </w:r>
      <w:r>
        <w:rPr>
          <w:color w:val="231F20"/>
          <w:spacing w:val="-6"/>
        </w:rPr>
        <w:t> </w:t>
      </w:r>
      <w:r>
        <w:rPr>
          <w:color w:val="231F20"/>
          <w:spacing w:val="-2"/>
        </w:rPr>
        <w:t>l’écriture</w:t>
      </w:r>
      <w:r>
        <w:rPr>
          <w:color w:val="231F20"/>
          <w:spacing w:val="-9"/>
        </w:rPr>
        <w:t> </w:t>
      </w:r>
      <w:r>
        <w:rPr>
          <w:color w:val="231F20"/>
          <w:spacing w:val="-2"/>
        </w:rPr>
        <w:t>et</w:t>
      </w:r>
      <w:r>
        <w:rPr>
          <w:color w:val="231F20"/>
          <w:spacing w:val="-8"/>
        </w:rPr>
        <w:t> </w:t>
      </w:r>
      <w:r>
        <w:rPr>
          <w:color w:val="231F20"/>
          <w:spacing w:val="-2"/>
        </w:rPr>
        <w:t>la</w:t>
      </w:r>
      <w:r>
        <w:rPr>
          <w:color w:val="231F20"/>
          <w:spacing w:val="-9"/>
        </w:rPr>
        <w:t> </w:t>
      </w:r>
      <w:r>
        <w:rPr>
          <w:color w:val="231F20"/>
          <w:spacing w:val="-2"/>
        </w:rPr>
        <w:t>bible </w:t>
      </w:r>
      <w:r>
        <w:rPr>
          <w:color w:val="231F20"/>
        </w:rPr>
        <w:t>ou le coran.</w:t>
      </w:r>
    </w:p>
    <w:p>
      <w:pPr>
        <w:pStyle w:val="BodyText"/>
        <w:spacing w:before="120"/>
        <w:ind w:right="106" w:firstLine="283"/>
      </w:pPr>
      <w:r>
        <w:rPr>
          <w:color w:val="231F20"/>
        </w:rPr>
        <w:t>La colonisation a été le véritable temps de l’endoctrinement et du lavage</w:t>
      </w:r>
      <w:r>
        <w:rPr>
          <w:color w:val="231F20"/>
          <w:spacing w:val="-8"/>
        </w:rPr>
        <w:t> </w:t>
      </w:r>
      <w:r>
        <w:rPr>
          <w:color w:val="231F20"/>
        </w:rPr>
        <w:t>de</w:t>
      </w:r>
      <w:r>
        <w:rPr>
          <w:color w:val="231F20"/>
          <w:spacing w:val="-8"/>
        </w:rPr>
        <w:t> </w:t>
      </w:r>
      <w:r>
        <w:rPr>
          <w:color w:val="231F20"/>
        </w:rPr>
        <w:t>cerveau</w:t>
      </w:r>
      <w:r>
        <w:rPr>
          <w:color w:val="231F20"/>
          <w:spacing w:val="-8"/>
        </w:rPr>
        <w:t> </w:t>
      </w:r>
      <w:r>
        <w:rPr>
          <w:color w:val="231F20"/>
        </w:rPr>
        <w:t>des</w:t>
      </w:r>
      <w:r>
        <w:rPr>
          <w:color w:val="231F20"/>
          <w:spacing w:val="-8"/>
        </w:rPr>
        <w:t> </w:t>
      </w:r>
      <w:r>
        <w:rPr>
          <w:color w:val="231F20"/>
        </w:rPr>
        <w:t>Africains.</w:t>
      </w:r>
      <w:r>
        <w:rPr>
          <w:color w:val="231F20"/>
          <w:spacing w:val="-11"/>
        </w:rPr>
        <w:t> </w:t>
      </w:r>
      <w:r>
        <w:rPr>
          <w:color w:val="231F20"/>
        </w:rPr>
        <w:t>Elle</w:t>
      </w:r>
      <w:r>
        <w:rPr>
          <w:color w:val="231F20"/>
          <w:spacing w:val="-8"/>
        </w:rPr>
        <w:t> </w:t>
      </w:r>
      <w:r>
        <w:rPr>
          <w:color w:val="231F20"/>
        </w:rPr>
        <w:t>s’est</w:t>
      </w:r>
      <w:r>
        <w:rPr>
          <w:color w:val="231F20"/>
          <w:spacing w:val="-8"/>
        </w:rPr>
        <w:t> </w:t>
      </w:r>
      <w:r>
        <w:rPr>
          <w:color w:val="231F20"/>
        </w:rPr>
        <w:t>employée</w:t>
      </w:r>
      <w:r>
        <w:rPr>
          <w:color w:val="231F20"/>
          <w:spacing w:val="-8"/>
        </w:rPr>
        <w:t> </w:t>
      </w:r>
      <w:r>
        <w:rPr>
          <w:color w:val="231F20"/>
        </w:rPr>
        <w:t>à</w:t>
      </w:r>
      <w:r>
        <w:rPr>
          <w:color w:val="231F20"/>
          <w:spacing w:val="-8"/>
        </w:rPr>
        <w:t> </w:t>
      </w:r>
      <w:r>
        <w:rPr>
          <w:color w:val="231F20"/>
        </w:rPr>
        <w:t>détruire</w:t>
      </w:r>
      <w:r>
        <w:rPr>
          <w:color w:val="231F20"/>
          <w:spacing w:val="-10"/>
        </w:rPr>
        <w:t> </w:t>
      </w:r>
      <w:r>
        <w:rPr>
          <w:color w:val="231F20"/>
        </w:rPr>
        <w:t>la</w:t>
      </w:r>
      <w:r>
        <w:rPr>
          <w:color w:val="231F20"/>
          <w:spacing w:val="-8"/>
        </w:rPr>
        <w:t> </w:t>
      </w:r>
      <w:r>
        <w:rPr>
          <w:color w:val="231F20"/>
        </w:rPr>
        <w:t>foi</w:t>
      </w:r>
      <w:r>
        <w:rPr>
          <w:color w:val="231F20"/>
          <w:spacing w:val="-8"/>
        </w:rPr>
        <w:t> </w:t>
      </w:r>
      <w:r>
        <w:rPr>
          <w:color w:val="231F20"/>
        </w:rPr>
        <w:t>en </w:t>
      </w:r>
      <w:r>
        <w:rPr>
          <w:color w:val="231F20"/>
          <w:spacing w:val="-2"/>
        </w:rPr>
        <w:t>leur</w:t>
      </w:r>
      <w:r>
        <w:rPr>
          <w:color w:val="231F20"/>
          <w:spacing w:val="-11"/>
        </w:rPr>
        <w:t> </w:t>
      </w:r>
      <w:r>
        <w:rPr>
          <w:color w:val="231F20"/>
          <w:spacing w:val="-2"/>
        </w:rPr>
        <w:t>culture,</w:t>
      </w:r>
      <w:r>
        <w:rPr>
          <w:color w:val="231F20"/>
          <w:spacing w:val="-11"/>
        </w:rPr>
        <w:t> </w:t>
      </w:r>
      <w:r>
        <w:rPr>
          <w:color w:val="231F20"/>
          <w:spacing w:val="-2"/>
        </w:rPr>
        <w:t>briser</w:t>
      </w:r>
      <w:r>
        <w:rPr>
          <w:color w:val="231F20"/>
          <w:spacing w:val="-13"/>
        </w:rPr>
        <w:t> </w:t>
      </w:r>
      <w:r>
        <w:rPr>
          <w:color w:val="231F20"/>
          <w:spacing w:val="-2"/>
        </w:rPr>
        <w:t>leurs</w:t>
      </w:r>
      <w:r>
        <w:rPr>
          <w:color w:val="231F20"/>
          <w:spacing w:val="-11"/>
        </w:rPr>
        <w:t> </w:t>
      </w:r>
      <w:r>
        <w:rPr>
          <w:color w:val="231F20"/>
          <w:spacing w:val="-2"/>
        </w:rPr>
        <w:t>forces</w:t>
      </w:r>
      <w:r>
        <w:rPr>
          <w:color w:val="231F20"/>
          <w:spacing w:val="-11"/>
        </w:rPr>
        <w:t> </w:t>
      </w:r>
      <w:r>
        <w:rPr>
          <w:color w:val="231F20"/>
          <w:spacing w:val="-2"/>
        </w:rPr>
        <w:t>de</w:t>
      </w:r>
      <w:r>
        <w:rPr>
          <w:color w:val="231F20"/>
          <w:spacing w:val="-11"/>
        </w:rPr>
        <w:t> </w:t>
      </w:r>
      <w:r>
        <w:rPr>
          <w:color w:val="231F20"/>
          <w:spacing w:val="-2"/>
        </w:rPr>
        <w:t>cohésion</w:t>
      </w:r>
      <w:r>
        <w:rPr>
          <w:color w:val="231F20"/>
          <w:spacing w:val="-11"/>
        </w:rPr>
        <w:t> </w:t>
      </w:r>
      <w:r>
        <w:rPr>
          <w:color w:val="231F20"/>
          <w:spacing w:val="-2"/>
        </w:rPr>
        <w:t>et</w:t>
      </w:r>
      <w:r>
        <w:rPr>
          <w:color w:val="231F20"/>
          <w:spacing w:val="-11"/>
        </w:rPr>
        <w:t> </w:t>
      </w:r>
      <w:r>
        <w:rPr>
          <w:color w:val="231F20"/>
          <w:spacing w:val="-2"/>
        </w:rPr>
        <w:t>les</w:t>
      </w:r>
      <w:r>
        <w:rPr>
          <w:color w:val="231F20"/>
          <w:spacing w:val="-13"/>
        </w:rPr>
        <w:t> </w:t>
      </w:r>
      <w:r>
        <w:rPr>
          <w:color w:val="231F20"/>
          <w:spacing w:val="-2"/>
        </w:rPr>
        <w:t>exposer</w:t>
      </w:r>
      <w:r>
        <w:rPr>
          <w:color w:val="231F20"/>
          <w:spacing w:val="-11"/>
        </w:rPr>
        <w:t> </w:t>
      </w:r>
      <w:r>
        <w:rPr>
          <w:color w:val="231F20"/>
          <w:spacing w:val="-2"/>
        </w:rPr>
        <w:t>à</w:t>
      </w:r>
      <w:r>
        <w:rPr>
          <w:color w:val="231F20"/>
          <w:spacing w:val="-11"/>
        </w:rPr>
        <w:t> </w:t>
      </w:r>
      <w:r>
        <w:rPr>
          <w:color w:val="231F20"/>
          <w:spacing w:val="-2"/>
        </w:rPr>
        <w:t>être</w:t>
      </w:r>
      <w:r>
        <w:rPr>
          <w:color w:val="231F20"/>
          <w:spacing w:val="-11"/>
        </w:rPr>
        <w:t> </w:t>
      </w:r>
      <w:r>
        <w:rPr>
          <w:color w:val="231F20"/>
          <w:spacing w:val="-2"/>
        </w:rPr>
        <w:t>contrôlés </w:t>
      </w:r>
      <w:r>
        <w:rPr>
          <w:color w:val="231F20"/>
        </w:rPr>
        <w:t>de l’extérieur.</w:t>
      </w:r>
    </w:p>
    <w:p>
      <w:pPr>
        <w:pStyle w:val="BodyText"/>
        <w:spacing w:before="121"/>
        <w:ind w:right="106" w:firstLine="283"/>
      </w:pPr>
      <w:r>
        <w:rPr>
          <w:color w:val="231F20"/>
          <w:spacing w:val="-4"/>
        </w:rPr>
        <w:t>En</w:t>
      </w:r>
      <w:r>
        <w:rPr>
          <w:color w:val="231F20"/>
          <w:spacing w:val="-11"/>
        </w:rPr>
        <w:t> </w:t>
      </w:r>
      <w:r>
        <w:rPr>
          <w:color w:val="231F20"/>
          <w:spacing w:val="-4"/>
        </w:rPr>
        <w:t>Afrique</w:t>
      </w:r>
      <w:r>
        <w:rPr>
          <w:color w:val="231F20"/>
          <w:spacing w:val="-11"/>
        </w:rPr>
        <w:t> </w:t>
      </w:r>
      <w:r>
        <w:rPr>
          <w:color w:val="231F20"/>
          <w:spacing w:val="-4"/>
        </w:rPr>
        <w:t>francophone,</w:t>
      </w:r>
      <w:r>
        <w:rPr>
          <w:color w:val="231F20"/>
          <w:spacing w:val="-11"/>
        </w:rPr>
        <w:t> </w:t>
      </w:r>
      <w:r>
        <w:rPr>
          <w:color w:val="231F20"/>
          <w:spacing w:val="-4"/>
        </w:rPr>
        <w:t>les</w:t>
      </w:r>
      <w:r>
        <w:rPr>
          <w:color w:val="231F20"/>
          <w:spacing w:val="-11"/>
        </w:rPr>
        <w:t> </w:t>
      </w:r>
      <w:r>
        <w:rPr>
          <w:color w:val="231F20"/>
          <w:spacing w:val="-4"/>
        </w:rPr>
        <w:t>Noirs</w:t>
      </w:r>
      <w:r>
        <w:rPr>
          <w:color w:val="231F20"/>
          <w:spacing w:val="-11"/>
        </w:rPr>
        <w:t> </w:t>
      </w:r>
      <w:r>
        <w:rPr>
          <w:color w:val="231F20"/>
          <w:spacing w:val="-4"/>
        </w:rPr>
        <w:t>n’ont</w:t>
      </w:r>
      <w:r>
        <w:rPr>
          <w:color w:val="231F20"/>
          <w:spacing w:val="-11"/>
        </w:rPr>
        <w:t> </w:t>
      </w:r>
      <w:r>
        <w:rPr>
          <w:color w:val="231F20"/>
          <w:spacing w:val="-4"/>
        </w:rPr>
        <w:t>pas</w:t>
      </w:r>
      <w:r>
        <w:rPr>
          <w:color w:val="231F20"/>
          <w:spacing w:val="-11"/>
        </w:rPr>
        <w:t> </w:t>
      </w:r>
      <w:r>
        <w:rPr>
          <w:color w:val="231F20"/>
          <w:spacing w:val="-4"/>
        </w:rPr>
        <w:t>catégoriquement</w:t>
      </w:r>
      <w:r>
        <w:rPr>
          <w:color w:val="231F20"/>
          <w:spacing w:val="-11"/>
        </w:rPr>
        <w:t> </w:t>
      </w:r>
      <w:r>
        <w:rPr>
          <w:color w:val="231F20"/>
          <w:spacing w:val="-4"/>
        </w:rPr>
        <w:t>rejeté</w:t>
      </w:r>
      <w:r>
        <w:rPr>
          <w:color w:val="231F20"/>
          <w:spacing w:val="-11"/>
        </w:rPr>
        <w:t> </w:t>
      </w:r>
      <w:r>
        <w:rPr>
          <w:color w:val="231F20"/>
          <w:spacing w:val="-4"/>
        </w:rPr>
        <w:t>les </w:t>
      </w:r>
      <w:r>
        <w:rPr>
          <w:color w:val="231F20"/>
        </w:rPr>
        <w:t>religions</w:t>
      </w:r>
      <w:r>
        <w:rPr>
          <w:color w:val="231F20"/>
          <w:spacing w:val="80"/>
          <w:w w:val="150"/>
        </w:rPr>
        <w:t> </w:t>
      </w:r>
      <w:r>
        <w:rPr>
          <w:color w:val="231F20"/>
        </w:rPr>
        <w:t>de</w:t>
      </w:r>
      <w:r>
        <w:rPr>
          <w:color w:val="231F20"/>
          <w:spacing w:val="80"/>
          <w:w w:val="150"/>
        </w:rPr>
        <w:t> </w:t>
      </w:r>
      <w:r>
        <w:rPr>
          <w:color w:val="231F20"/>
        </w:rPr>
        <w:t>leurs</w:t>
      </w:r>
      <w:r>
        <w:rPr>
          <w:color w:val="231F20"/>
          <w:spacing w:val="80"/>
          <w:w w:val="150"/>
        </w:rPr>
        <w:t> </w:t>
      </w:r>
      <w:r>
        <w:rPr>
          <w:color w:val="231F20"/>
        </w:rPr>
        <w:t>propres</w:t>
      </w:r>
      <w:r>
        <w:rPr>
          <w:color w:val="231F20"/>
          <w:spacing w:val="80"/>
          <w:w w:val="150"/>
        </w:rPr>
        <w:t> </w:t>
      </w:r>
      <w:r>
        <w:rPr>
          <w:color w:val="231F20"/>
        </w:rPr>
        <w:t>ancêtres</w:t>
      </w:r>
      <w:r>
        <w:rPr>
          <w:color w:val="231F20"/>
          <w:spacing w:val="80"/>
          <w:w w:val="150"/>
        </w:rPr>
        <w:t> </w:t>
      </w:r>
      <w:r>
        <w:rPr>
          <w:color w:val="231F20"/>
        </w:rPr>
        <w:t>comme</w:t>
      </w:r>
      <w:r>
        <w:rPr>
          <w:color w:val="231F20"/>
          <w:spacing w:val="80"/>
          <w:w w:val="150"/>
        </w:rPr>
        <w:t> </w:t>
      </w:r>
      <w:r>
        <w:rPr>
          <w:color w:val="231F20"/>
        </w:rPr>
        <w:t>l’insinuent</w:t>
      </w:r>
      <w:r>
        <w:rPr>
          <w:color w:val="231F20"/>
          <w:spacing w:val="80"/>
          <w:w w:val="150"/>
        </w:rPr>
        <w:t> </w:t>
      </w:r>
      <w:r>
        <w:rPr>
          <w:color w:val="231F20"/>
        </w:rPr>
        <w:t>certains</w:t>
      </w:r>
    </w:p>
    <w:p>
      <w:pPr>
        <w:pStyle w:val="BodyText"/>
        <w:ind w:right="106"/>
      </w:pPr>
      <w:r>
        <w:rPr>
          <w:color w:val="231F20"/>
        </w:rPr>
        <w:t>«</w:t>
      </w:r>
      <w:r>
        <w:rPr>
          <w:color w:val="231F20"/>
          <w:spacing w:val="-15"/>
        </w:rPr>
        <w:t> </w:t>
      </w:r>
      <w:r>
        <w:rPr>
          <w:color w:val="231F20"/>
        </w:rPr>
        <w:t>penseurs</w:t>
      </w:r>
      <w:r>
        <w:rPr>
          <w:color w:val="231F20"/>
          <w:spacing w:val="-15"/>
        </w:rPr>
        <w:t> </w:t>
      </w:r>
      <w:r>
        <w:rPr>
          <w:color w:val="231F20"/>
        </w:rPr>
        <w:t>».</w:t>
      </w:r>
      <w:r>
        <w:rPr>
          <w:color w:val="231F20"/>
          <w:spacing w:val="-5"/>
        </w:rPr>
        <w:t> </w:t>
      </w:r>
      <w:r>
        <w:rPr>
          <w:color w:val="231F20"/>
        </w:rPr>
        <w:t>Ils</w:t>
      </w:r>
      <w:r>
        <w:rPr>
          <w:color w:val="231F20"/>
          <w:spacing w:val="-3"/>
        </w:rPr>
        <w:t> </w:t>
      </w:r>
      <w:r>
        <w:rPr>
          <w:color w:val="231F20"/>
        </w:rPr>
        <w:t>y</w:t>
      </w:r>
      <w:r>
        <w:rPr>
          <w:color w:val="231F20"/>
          <w:spacing w:val="-3"/>
        </w:rPr>
        <w:t> </w:t>
      </w:r>
      <w:r>
        <w:rPr>
          <w:color w:val="231F20"/>
        </w:rPr>
        <w:t>ont</w:t>
      </w:r>
      <w:r>
        <w:rPr>
          <w:color w:val="231F20"/>
          <w:spacing w:val="-4"/>
        </w:rPr>
        <w:t> </w:t>
      </w:r>
      <w:r>
        <w:rPr>
          <w:color w:val="231F20"/>
        </w:rPr>
        <w:t>été</w:t>
      </w:r>
      <w:r>
        <w:rPr>
          <w:color w:val="231F20"/>
          <w:spacing w:val="-5"/>
        </w:rPr>
        <w:t> </w:t>
      </w:r>
      <w:r>
        <w:rPr>
          <w:color w:val="231F20"/>
        </w:rPr>
        <w:t>contraints.</w:t>
      </w:r>
      <w:r>
        <w:rPr>
          <w:color w:val="231F20"/>
          <w:spacing w:val="-3"/>
        </w:rPr>
        <w:t> </w:t>
      </w:r>
      <w:r>
        <w:rPr>
          <w:color w:val="231F20"/>
        </w:rPr>
        <w:t>Les</w:t>
      </w:r>
      <w:r>
        <w:rPr>
          <w:color w:val="231F20"/>
          <w:spacing w:val="-4"/>
        </w:rPr>
        <w:t> </w:t>
      </w:r>
      <w:r>
        <w:rPr>
          <w:color w:val="231F20"/>
        </w:rPr>
        <w:t>us</w:t>
      </w:r>
      <w:r>
        <w:rPr>
          <w:color w:val="231F20"/>
          <w:spacing w:val="-4"/>
        </w:rPr>
        <w:t> </w:t>
      </w:r>
      <w:r>
        <w:rPr>
          <w:color w:val="231F20"/>
        </w:rPr>
        <w:t>et</w:t>
      </w:r>
      <w:r>
        <w:rPr>
          <w:color w:val="231F20"/>
          <w:spacing w:val="-3"/>
        </w:rPr>
        <w:t> </w:t>
      </w:r>
      <w:r>
        <w:rPr>
          <w:color w:val="231F20"/>
        </w:rPr>
        <w:t>coutumes,</w:t>
      </w:r>
      <w:r>
        <w:rPr>
          <w:color w:val="231F20"/>
          <w:spacing w:val="-3"/>
        </w:rPr>
        <w:t> </w:t>
      </w:r>
      <w:r>
        <w:rPr>
          <w:color w:val="231F20"/>
        </w:rPr>
        <w:t>expression</w:t>
      </w:r>
      <w:r>
        <w:rPr>
          <w:color w:val="231F20"/>
          <w:spacing w:val="-4"/>
        </w:rPr>
        <w:t> </w:t>
      </w:r>
      <w:r>
        <w:rPr>
          <w:color w:val="231F20"/>
        </w:rPr>
        <w:t>de l’unité</w:t>
      </w:r>
      <w:r>
        <w:rPr>
          <w:color w:val="231F20"/>
          <w:spacing w:val="-3"/>
        </w:rPr>
        <w:t> </w:t>
      </w:r>
      <w:r>
        <w:rPr>
          <w:color w:val="231F20"/>
        </w:rPr>
        <w:t>organique des</w:t>
      </w:r>
      <w:r>
        <w:rPr>
          <w:color w:val="231F20"/>
          <w:spacing w:val="-2"/>
        </w:rPr>
        <w:t> </w:t>
      </w:r>
      <w:r>
        <w:rPr>
          <w:color w:val="231F20"/>
        </w:rPr>
        <w:t>Communautés</w:t>
      </w:r>
      <w:r>
        <w:rPr>
          <w:color w:val="231F20"/>
          <w:spacing w:val="-2"/>
        </w:rPr>
        <w:t> </w:t>
      </w:r>
      <w:r>
        <w:rPr>
          <w:color w:val="231F20"/>
        </w:rPr>
        <w:t>ont</w:t>
      </w:r>
      <w:r>
        <w:rPr>
          <w:color w:val="231F20"/>
          <w:spacing w:val="-1"/>
        </w:rPr>
        <w:t> </w:t>
      </w:r>
      <w:r>
        <w:rPr>
          <w:color w:val="231F20"/>
        </w:rPr>
        <w:t>vu</w:t>
      </w:r>
      <w:r>
        <w:rPr>
          <w:color w:val="231F20"/>
          <w:spacing w:val="-2"/>
        </w:rPr>
        <w:t> </w:t>
      </w:r>
      <w:r>
        <w:rPr>
          <w:color w:val="231F20"/>
        </w:rPr>
        <w:t>leur</w:t>
      </w:r>
      <w:r>
        <w:rPr>
          <w:color w:val="231F20"/>
          <w:spacing w:val="-3"/>
        </w:rPr>
        <w:t> </w:t>
      </w:r>
      <w:r>
        <w:rPr>
          <w:color w:val="231F20"/>
        </w:rPr>
        <w:t>fondation</w:t>
      </w:r>
      <w:r>
        <w:rPr>
          <w:color w:val="231F20"/>
          <w:spacing w:val="-2"/>
        </w:rPr>
        <w:t> </w:t>
      </w:r>
      <w:r>
        <w:rPr>
          <w:color w:val="231F20"/>
        </w:rPr>
        <w:t>détruite</w:t>
      </w:r>
      <w:r>
        <w:rPr>
          <w:color w:val="231F20"/>
          <w:spacing w:val="-15"/>
        </w:rPr>
        <w:t> </w:t>
      </w:r>
      <w:r>
        <w:rPr>
          <w:color w:val="231F20"/>
        </w:rPr>
        <w:t>: les missionnaires ont brûlé les dieux locaux, donné des prénoms français (l’islam fera de même en donnant des prénoms arabes), la médecine occidentale a démystifié les guérisseurs dans les villages, les Administrateurs</w:t>
      </w:r>
      <w:r>
        <w:rPr>
          <w:color w:val="231F20"/>
          <w:spacing w:val="-2"/>
        </w:rPr>
        <w:t> </w:t>
      </w:r>
      <w:r>
        <w:rPr>
          <w:color w:val="231F20"/>
        </w:rPr>
        <w:t>ont assujetti</w:t>
      </w:r>
      <w:r>
        <w:rPr>
          <w:color w:val="231F20"/>
          <w:spacing w:val="-1"/>
        </w:rPr>
        <w:t> </w:t>
      </w:r>
      <w:r>
        <w:rPr>
          <w:color w:val="231F20"/>
        </w:rPr>
        <w:t>les rois</w:t>
      </w:r>
      <w:r>
        <w:rPr>
          <w:color w:val="231F20"/>
          <w:spacing w:val="-2"/>
        </w:rPr>
        <w:t> </w:t>
      </w:r>
      <w:r>
        <w:rPr>
          <w:color w:val="231F20"/>
        </w:rPr>
        <w:t>et chefs.</w:t>
      </w:r>
    </w:p>
    <w:p>
      <w:pPr>
        <w:pStyle w:val="BodyText"/>
        <w:spacing w:before="120"/>
        <w:ind w:left="395"/>
      </w:pPr>
      <w:r>
        <w:rPr>
          <w:color w:val="231F20"/>
        </w:rPr>
        <w:t>Les</w:t>
      </w:r>
      <w:r>
        <w:rPr>
          <w:color w:val="231F20"/>
          <w:spacing w:val="-8"/>
        </w:rPr>
        <w:t> </w:t>
      </w:r>
      <w:r>
        <w:rPr>
          <w:color w:val="231F20"/>
        </w:rPr>
        <w:t>populations</w:t>
      </w:r>
      <w:r>
        <w:rPr>
          <w:color w:val="231F20"/>
          <w:spacing w:val="-7"/>
        </w:rPr>
        <w:t> </w:t>
      </w:r>
      <w:r>
        <w:rPr>
          <w:color w:val="231F20"/>
        </w:rPr>
        <w:t>finissent</w:t>
      </w:r>
      <w:r>
        <w:rPr>
          <w:color w:val="231F20"/>
          <w:spacing w:val="-9"/>
        </w:rPr>
        <w:t> </w:t>
      </w:r>
      <w:r>
        <w:rPr>
          <w:color w:val="231F20"/>
        </w:rPr>
        <w:t>par</w:t>
      </w:r>
      <w:r>
        <w:rPr>
          <w:color w:val="231F20"/>
          <w:spacing w:val="-6"/>
        </w:rPr>
        <w:t> </w:t>
      </w:r>
      <w:r>
        <w:rPr>
          <w:color w:val="231F20"/>
        </w:rPr>
        <w:t>se</w:t>
      </w:r>
      <w:r>
        <w:rPr>
          <w:color w:val="231F20"/>
          <w:spacing w:val="-8"/>
        </w:rPr>
        <w:t> </w:t>
      </w:r>
      <w:r>
        <w:rPr>
          <w:color w:val="231F20"/>
        </w:rPr>
        <w:t>déprécier</w:t>
      </w:r>
      <w:r>
        <w:rPr>
          <w:color w:val="231F20"/>
          <w:spacing w:val="-15"/>
        </w:rPr>
        <w:t> </w:t>
      </w:r>
      <w:r>
        <w:rPr>
          <w:color w:val="231F20"/>
        </w:rPr>
        <w:t>:</w:t>
      </w:r>
      <w:r>
        <w:rPr>
          <w:color w:val="231F20"/>
          <w:spacing w:val="-6"/>
        </w:rPr>
        <w:t> </w:t>
      </w:r>
      <w:r>
        <w:rPr>
          <w:color w:val="231F20"/>
        </w:rPr>
        <w:t>leur</w:t>
      </w:r>
      <w:r>
        <w:rPr>
          <w:color w:val="231F20"/>
          <w:spacing w:val="-7"/>
        </w:rPr>
        <w:t> </w:t>
      </w:r>
      <w:r>
        <w:rPr>
          <w:color w:val="231F20"/>
        </w:rPr>
        <w:t>identité,</w:t>
      </w:r>
      <w:r>
        <w:rPr>
          <w:color w:val="231F20"/>
          <w:spacing w:val="-6"/>
        </w:rPr>
        <w:t> </w:t>
      </w:r>
      <w:r>
        <w:rPr>
          <w:color w:val="231F20"/>
        </w:rPr>
        <w:t>leur</w:t>
      </w:r>
      <w:r>
        <w:rPr>
          <w:color w:val="231F20"/>
          <w:spacing w:val="-7"/>
        </w:rPr>
        <w:t> </w:t>
      </w:r>
      <w:r>
        <w:rPr>
          <w:color w:val="231F20"/>
          <w:spacing w:val="-2"/>
        </w:rPr>
        <w:t>culture,</w:t>
      </w:r>
    </w:p>
    <w:p>
      <w:pPr>
        <w:pStyle w:val="BodyText"/>
      </w:pPr>
      <w:r>
        <w:rPr>
          <w:color w:val="231F20"/>
          <w:spacing w:val="-2"/>
        </w:rPr>
        <w:t>leur</w:t>
      </w:r>
      <w:r>
        <w:rPr>
          <w:color w:val="231F20"/>
          <w:spacing w:val="-13"/>
        </w:rPr>
        <w:t> </w:t>
      </w:r>
      <w:r>
        <w:rPr>
          <w:color w:val="231F20"/>
          <w:spacing w:val="-2"/>
        </w:rPr>
        <w:t>religion</w:t>
      </w:r>
      <w:r>
        <w:rPr>
          <w:color w:val="231F20"/>
          <w:spacing w:val="-11"/>
        </w:rPr>
        <w:t> </w:t>
      </w:r>
      <w:r>
        <w:rPr>
          <w:color w:val="231F20"/>
          <w:spacing w:val="-2"/>
        </w:rPr>
        <w:t>tout</w:t>
      </w:r>
      <w:r>
        <w:rPr>
          <w:color w:val="231F20"/>
          <w:spacing w:val="-12"/>
        </w:rPr>
        <w:t> </w:t>
      </w:r>
      <w:r>
        <w:rPr>
          <w:color w:val="231F20"/>
          <w:spacing w:val="-2"/>
        </w:rPr>
        <w:t>en</w:t>
      </w:r>
      <w:r>
        <w:rPr>
          <w:color w:val="231F20"/>
          <w:spacing w:val="-11"/>
        </w:rPr>
        <w:t> </w:t>
      </w:r>
      <w:r>
        <w:rPr>
          <w:color w:val="231F20"/>
          <w:spacing w:val="-2"/>
        </w:rPr>
        <w:t>déifiant</w:t>
      </w:r>
      <w:r>
        <w:rPr>
          <w:color w:val="231F20"/>
          <w:spacing w:val="-11"/>
        </w:rPr>
        <w:t> </w:t>
      </w:r>
      <w:r>
        <w:rPr>
          <w:color w:val="231F20"/>
          <w:spacing w:val="-2"/>
        </w:rPr>
        <w:t>l’homme</w:t>
      </w:r>
      <w:r>
        <w:rPr>
          <w:color w:val="231F20"/>
          <w:spacing w:val="-10"/>
        </w:rPr>
        <w:t> </w:t>
      </w:r>
      <w:r>
        <w:rPr>
          <w:color w:val="231F20"/>
          <w:spacing w:val="-2"/>
        </w:rPr>
        <w:t>Blanc.</w:t>
      </w:r>
    </w:p>
    <w:p>
      <w:pPr>
        <w:pStyle w:val="BodyText"/>
        <w:spacing w:before="120"/>
        <w:ind w:right="103" w:firstLine="283"/>
      </w:pPr>
      <w:r>
        <w:rPr>
          <w:color w:val="231F20"/>
        </w:rPr>
        <w:t>Les</w:t>
      </w:r>
      <w:r>
        <w:rPr>
          <w:color w:val="231F20"/>
          <w:spacing w:val="-14"/>
        </w:rPr>
        <w:t> </w:t>
      </w:r>
      <w:r>
        <w:rPr>
          <w:color w:val="231F20"/>
        </w:rPr>
        <w:t>«</w:t>
      </w:r>
      <w:r>
        <w:rPr>
          <w:color w:val="231F20"/>
          <w:spacing w:val="-15"/>
        </w:rPr>
        <w:t> </w:t>
      </w:r>
      <w:r>
        <w:rPr>
          <w:color w:val="231F20"/>
        </w:rPr>
        <w:t>élites</w:t>
      </w:r>
      <w:r>
        <w:rPr>
          <w:color w:val="231F20"/>
          <w:spacing w:val="-15"/>
        </w:rPr>
        <w:t> </w:t>
      </w:r>
      <w:r>
        <w:rPr>
          <w:color w:val="231F20"/>
        </w:rPr>
        <w:t>»,</w:t>
      </w:r>
      <w:r>
        <w:rPr>
          <w:color w:val="231F20"/>
          <w:spacing w:val="-4"/>
        </w:rPr>
        <w:t> </w:t>
      </w:r>
      <w:r>
        <w:rPr>
          <w:color w:val="231F20"/>
        </w:rPr>
        <w:t>imprégnées</w:t>
      </w:r>
      <w:r>
        <w:rPr>
          <w:color w:val="231F20"/>
          <w:spacing w:val="-4"/>
        </w:rPr>
        <w:t> </w:t>
      </w:r>
      <w:r>
        <w:rPr>
          <w:color w:val="231F20"/>
        </w:rPr>
        <w:t>du</w:t>
      </w:r>
      <w:r>
        <w:rPr>
          <w:color w:val="231F20"/>
          <w:spacing w:val="-4"/>
        </w:rPr>
        <w:t> </w:t>
      </w:r>
      <w:r>
        <w:rPr>
          <w:color w:val="231F20"/>
        </w:rPr>
        <w:t>discours</w:t>
      </w:r>
      <w:r>
        <w:rPr>
          <w:color w:val="231F20"/>
          <w:spacing w:val="-5"/>
        </w:rPr>
        <w:t> </w:t>
      </w:r>
      <w:r>
        <w:rPr>
          <w:color w:val="231F20"/>
        </w:rPr>
        <w:t>d’assimilation</w:t>
      </w:r>
      <w:r>
        <w:rPr>
          <w:color w:val="231F20"/>
          <w:spacing w:val="-4"/>
        </w:rPr>
        <w:t> </w:t>
      </w:r>
      <w:r>
        <w:rPr>
          <w:color w:val="231F20"/>
        </w:rPr>
        <w:t>culturelle</w:t>
      </w:r>
      <w:r>
        <w:rPr>
          <w:color w:val="231F20"/>
          <w:spacing w:val="-5"/>
        </w:rPr>
        <w:t> </w:t>
      </w:r>
      <w:r>
        <w:rPr>
          <w:color w:val="231F20"/>
        </w:rPr>
        <w:t>de</w:t>
      </w:r>
      <w:r>
        <w:rPr>
          <w:color w:val="231F20"/>
          <w:spacing w:val="-5"/>
        </w:rPr>
        <w:t> </w:t>
      </w:r>
      <w:r>
        <w:rPr>
          <w:color w:val="231F20"/>
        </w:rPr>
        <w:t>la </w:t>
      </w:r>
      <w:r>
        <w:rPr>
          <w:color w:val="231F20"/>
          <w:spacing w:val="-4"/>
        </w:rPr>
        <w:t>France,</w:t>
      </w:r>
      <w:r>
        <w:rPr>
          <w:color w:val="231F20"/>
          <w:spacing w:val="-7"/>
        </w:rPr>
        <w:t> </w:t>
      </w:r>
      <w:r>
        <w:rPr>
          <w:color w:val="231F20"/>
          <w:spacing w:val="-4"/>
        </w:rPr>
        <w:t>ont</w:t>
      </w:r>
      <w:r>
        <w:rPr>
          <w:color w:val="231F20"/>
          <w:spacing w:val="-7"/>
        </w:rPr>
        <w:t> </w:t>
      </w:r>
      <w:r>
        <w:rPr>
          <w:color w:val="231F20"/>
          <w:spacing w:val="-4"/>
        </w:rPr>
        <w:t>été</w:t>
      </w:r>
      <w:r>
        <w:rPr>
          <w:color w:val="231F20"/>
          <w:spacing w:val="-8"/>
        </w:rPr>
        <w:t> </w:t>
      </w:r>
      <w:r>
        <w:rPr>
          <w:color w:val="231F20"/>
          <w:spacing w:val="-4"/>
        </w:rPr>
        <w:t>les</w:t>
      </w:r>
      <w:r>
        <w:rPr>
          <w:color w:val="231F20"/>
          <w:spacing w:val="-7"/>
        </w:rPr>
        <w:t> </w:t>
      </w:r>
      <w:r>
        <w:rPr>
          <w:color w:val="231F20"/>
          <w:spacing w:val="-4"/>
        </w:rPr>
        <w:t>premiers</w:t>
      </w:r>
      <w:r>
        <w:rPr>
          <w:color w:val="231F20"/>
          <w:spacing w:val="-7"/>
        </w:rPr>
        <w:t> </w:t>
      </w:r>
      <w:r>
        <w:rPr>
          <w:color w:val="231F20"/>
          <w:spacing w:val="-4"/>
        </w:rPr>
        <w:t>Noirs</w:t>
      </w:r>
      <w:r>
        <w:rPr>
          <w:color w:val="231F20"/>
          <w:spacing w:val="-7"/>
        </w:rPr>
        <w:t> </w:t>
      </w:r>
      <w:r>
        <w:rPr>
          <w:color w:val="231F20"/>
          <w:spacing w:val="-4"/>
        </w:rPr>
        <w:t>à</w:t>
      </w:r>
      <w:r>
        <w:rPr>
          <w:color w:val="231F20"/>
          <w:spacing w:val="-8"/>
        </w:rPr>
        <w:t> </w:t>
      </w:r>
      <w:r>
        <w:rPr>
          <w:color w:val="231F20"/>
          <w:spacing w:val="-4"/>
        </w:rPr>
        <w:t>se</w:t>
      </w:r>
      <w:r>
        <w:rPr>
          <w:color w:val="231F20"/>
          <w:spacing w:val="-8"/>
        </w:rPr>
        <w:t> </w:t>
      </w:r>
      <w:r>
        <w:rPr>
          <w:color w:val="231F20"/>
          <w:spacing w:val="-4"/>
        </w:rPr>
        <w:t>construire</w:t>
      </w:r>
      <w:r>
        <w:rPr>
          <w:color w:val="231F20"/>
          <w:spacing w:val="-8"/>
        </w:rPr>
        <w:t> </w:t>
      </w:r>
      <w:r>
        <w:rPr>
          <w:color w:val="231F20"/>
          <w:spacing w:val="-4"/>
        </w:rPr>
        <w:t>sur</w:t>
      </w:r>
      <w:r>
        <w:rPr>
          <w:color w:val="231F20"/>
          <w:spacing w:val="-8"/>
        </w:rPr>
        <w:t> </w:t>
      </w:r>
      <w:r>
        <w:rPr>
          <w:color w:val="231F20"/>
          <w:spacing w:val="-4"/>
        </w:rPr>
        <w:t>des</w:t>
      </w:r>
      <w:r>
        <w:rPr>
          <w:color w:val="231F20"/>
          <w:spacing w:val="-7"/>
        </w:rPr>
        <w:t> </w:t>
      </w:r>
      <w:r>
        <w:rPr>
          <w:color w:val="231F20"/>
          <w:spacing w:val="-4"/>
        </w:rPr>
        <w:t>modes</w:t>
      </w:r>
      <w:r>
        <w:rPr>
          <w:color w:val="231F20"/>
          <w:spacing w:val="-5"/>
        </w:rPr>
        <w:t> </w:t>
      </w:r>
      <w:r>
        <w:rPr>
          <w:color w:val="231F20"/>
          <w:spacing w:val="-4"/>
        </w:rPr>
        <w:t>de</w:t>
      </w:r>
      <w:r>
        <w:rPr>
          <w:color w:val="231F20"/>
          <w:spacing w:val="-8"/>
        </w:rPr>
        <w:t> </w:t>
      </w:r>
      <w:r>
        <w:rPr>
          <w:color w:val="231F20"/>
          <w:spacing w:val="-4"/>
        </w:rPr>
        <w:t>pensée du</w:t>
      </w:r>
      <w:r>
        <w:rPr>
          <w:color w:val="231F20"/>
          <w:spacing w:val="-11"/>
        </w:rPr>
        <w:t> </w:t>
      </w:r>
      <w:r>
        <w:rPr>
          <w:color w:val="231F20"/>
          <w:spacing w:val="-4"/>
        </w:rPr>
        <w:t>Blanc.</w:t>
      </w:r>
      <w:r>
        <w:rPr>
          <w:color w:val="231F20"/>
          <w:spacing w:val="-11"/>
        </w:rPr>
        <w:t> </w:t>
      </w:r>
      <w:r>
        <w:rPr>
          <w:color w:val="231F20"/>
          <w:spacing w:val="-4"/>
        </w:rPr>
        <w:t>L’École</w:t>
      </w:r>
      <w:r>
        <w:rPr>
          <w:color w:val="231F20"/>
          <w:spacing w:val="-9"/>
        </w:rPr>
        <w:t> </w:t>
      </w:r>
      <w:r>
        <w:rPr>
          <w:color w:val="231F20"/>
          <w:spacing w:val="-4"/>
        </w:rPr>
        <w:t>William</w:t>
      </w:r>
      <w:r>
        <w:rPr>
          <w:color w:val="231F20"/>
          <w:spacing w:val="-10"/>
        </w:rPr>
        <w:t> </w:t>
      </w:r>
      <w:r>
        <w:rPr>
          <w:color w:val="231F20"/>
          <w:spacing w:val="-4"/>
        </w:rPr>
        <w:t>Ponty</w:t>
      </w:r>
      <w:r>
        <w:rPr>
          <w:color w:val="231F20"/>
          <w:spacing w:val="-11"/>
        </w:rPr>
        <w:t> </w:t>
      </w:r>
      <w:r>
        <w:rPr>
          <w:color w:val="231F20"/>
          <w:spacing w:val="-4"/>
        </w:rPr>
        <w:t>leur</w:t>
      </w:r>
      <w:r>
        <w:rPr>
          <w:color w:val="231F20"/>
          <w:spacing w:val="-11"/>
        </w:rPr>
        <w:t> </w:t>
      </w:r>
      <w:r>
        <w:rPr>
          <w:color w:val="231F20"/>
          <w:spacing w:val="-4"/>
        </w:rPr>
        <w:t>a</w:t>
      </w:r>
      <w:r>
        <w:rPr>
          <w:color w:val="231F20"/>
          <w:spacing w:val="-9"/>
        </w:rPr>
        <w:t> </w:t>
      </w:r>
      <w:r>
        <w:rPr>
          <w:color w:val="231F20"/>
          <w:spacing w:val="-4"/>
        </w:rPr>
        <w:t>forgé</w:t>
      </w:r>
      <w:r>
        <w:rPr>
          <w:color w:val="231F20"/>
          <w:spacing w:val="-11"/>
        </w:rPr>
        <w:t> </w:t>
      </w:r>
      <w:r>
        <w:rPr>
          <w:color w:val="231F20"/>
          <w:spacing w:val="-4"/>
        </w:rPr>
        <w:t>une</w:t>
      </w:r>
      <w:r>
        <w:rPr>
          <w:color w:val="231F20"/>
          <w:spacing w:val="-11"/>
        </w:rPr>
        <w:t> </w:t>
      </w:r>
      <w:r>
        <w:rPr>
          <w:color w:val="231F20"/>
          <w:spacing w:val="-4"/>
        </w:rPr>
        <w:t>mentalité</w:t>
      </w:r>
      <w:r>
        <w:rPr>
          <w:color w:val="231F20"/>
          <w:spacing w:val="-11"/>
        </w:rPr>
        <w:t> </w:t>
      </w:r>
      <w:r>
        <w:rPr>
          <w:color w:val="231F20"/>
          <w:spacing w:val="-4"/>
        </w:rPr>
        <w:t>nouvelle.</w:t>
      </w:r>
      <w:r>
        <w:rPr>
          <w:color w:val="231F20"/>
          <w:spacing w:val="-11"/>
        </w:rPr>
        <w:t> </w:t>
      </w:r>
      <w:r>
        <w:rPr>
          <w:color w:val="231F20"/>
          <w:spacing w:val="-4"/>
        </w:rPr>
        <w:t>Elle </w:t>
      </w:r>
      <w:r>
        <w:rPr>
          <w:color w:val="231F20"/>
        </w:rPr>
        <w:t>leur a inculqué qu’ils n’ont rien en commun avec les villageois analphabètes et sauvages…des bougnouls. Ils sont devenus grâce à la France, des «</w:t>
      </w:r>
      <w:r>
        <w:rPr>
          <w:color w:val="231F20"/>
          <w:spacing w:val="-15"/>
        </w:rPr>
        <w:t> </w:t>
      </w:r>
      <w:r>
        <w:rPr>
          <w:color w:val="231F20"/>
        </w:rPr>
        <w:t>évolués. Ils sont la boussole pour éclairer des indigènes arriérés… aux « rites et coutumes barbares».</w:t>
      </w:r>
    </w:p>
    <w:p>
      <w:pPr>
        <w:pStyle w:val="BodyText"/>
        <w:spacing w:before="121"/>
        <w:ind w:right="110" w:firstLine="283"/>
      </w:pPr>
      <w:r>
        <w:rPr>
          <w:color w:val="231F20"/>
        </w:rPr>
        <w:t>Dans les écoles de la colonie, un élève surpris en train de parler sa langue maternelle, est puni.</w:t>
      </w:r>
    </w:p>
    <w:p>
      <w:pPr>
        <w:pStyle w:val="BodyText"/>
        <w:spacing w:before="120"/>
        <w:ind w:right="104" w:firstLine="283"/>
      </w:pPr>
      <w:r>
        <w:rPr>
          <w:color w:val="231F20"/>
          <w:spacing w:val="-4"/>
        </w:rPr>
        <w:t>Les</w:t>
      </w:r>
      <w:r>
        <w:rPr>
          <w:color w:val="231F20"/>
          <w:spacing w:val="-11"/>
        </w:rPr>
        <w:t> </w:t>
      </w:r>
      <w:r>
        <w:rPr>
          <w:color w:val="231F20"/>
          <w:spacing w:val="-4"/>
        </w:rPr>
        <w:t>femmes</w:t>
      </w:r>
      <w:r>
        <w:rPr>
          <w:color w:val="231F20"/>
          <w:spacing w:val="-7"/>
        </w:rPr>
        <w:t> </w:t>
      </w:r>
      <w:r>
        <w:rPr>
          <w:color w:val="231F20"/>
          <w:spacing w:val="-4"/>
        </w:rPr>
        <w:t>« évoluées</w:t>
      </w:r>
      <w:r>
        <w:rPr>
          <w:color w:val="231F20"/>
        </w:rPr>
        <w:t> </w:t>
      </w:r>
      <w:r>
        <w:rPr>
          <w:color w:val="231F20"/>
          <w:spacing w:val="-4"/>
        </w:rPr>
        <w:t>»</w:t>
      </w:r>
      <w:r>
        <w:rPr>
          <w:color w:val="231F20"/>
          <w:spacing w:val="-11"/>
        </w:rPr>
        <w:t> </w:t>
      </w:r>
      <w:r>
        <w:rPr>
          <w:color w:val="231F20"/>
          <w:spacing w:val="-4"/>
        </w:rPr>
        <w:t>à</w:t>
      </w:r>
      <w:r>
        <w:rPr>
          <w:color w:val="231F20"/>
          <w:spacing w:val="-7"/>
        </w:rPr>
        <w:t> </w:t>
      </w:r>
      <w:r>
        <w:rPr>
          <w:color w:val="231F20"/>
          <w:spacing w:val="-4"/>
        </w:rPr>
        <w:t>savoir</w:t>
      </w:r>
      <w:r>
        <w:rPr>
          <w:color w:val="231F20"/>
          <w:spacing w:val="-11"/>
        </w:rPr>
        <w:t> </w:t>
      </w:r>
      <w:r>
        <w:rPr>
          <w:color w:val="231F20"/>
          <w:spacing w:val="-4"/>
        </w:rPr>
        <w:t>celles</w:t>
      </w:r>
      <w:r>
        <w:rPr>
          <w:color w:val="231F20"/>
          <w:spacing w:val="-7"/>
        </w:rPr>
        <w:t> </w:t>
      </w:r>
      <w:r>
        <w:rPr>
          <w:color w:val="231F20"/>
          <w:spacing w:val="-4"/>
        </w:rPr>
        <w:t>qui</w:t>
      </w:r>
      <w:r>
        <w:rPr>
          <w:color w:val="231F20"/>
          <w:spacing w:val="-10"/>
        </w:rPr>
        <w:t> </w:t>
      </w:r>
      <w:r>
        <w:rPr>
          <w:color w:val="231F20"/>
          <w:spacing w:val="-4"/>
        </w:rPr>
        <w:t>vont</w:t>
      </w:r>
      <w:r>
        <w:rPr>
          <w:color w:val="231F20"/>
          <w:spacing w:val="-8"/>
        </w:rPr>
        <w:t> </w:t>
      </w:r>
      <w:r>
        <w:rPr>
          <w:color w:val="231F20"/>
          <w:spacing w:val="-4"/>
        </w:rPr>
        <w:t>à</w:t>
      </w:r>
      <w:r>
        <w:rPr>
          <w:color w:val="231F20"/>
          <w:spacing w:val="-11"/>
        </w:rPr>
        <w:t> </w:t>
      </w:r>
      <w:r>
        <w:rPr>
          <w:color w:val="231F20"/>
          <w:spacing w:val="-4"/>
        </w:rPr>
        <w:t>l’école</w:t>
      </w:r>
      <w:r>
        <w:rPr>
          <w:color w:val="231F20"/>
          <w:spacing w:val="-8"/>
        </w:rPr>
        <w:t> </w:t>
      </w:r>
      <w:r>
        <w:rPr>
          <w:color w:val="231F20"/>
          <w:spacing w:val="-4"/>
        </w:rPr>
        <w:t>et</w:t>
      </w:r>
      <w:r>
        <w:rPr>
          <w:color w:val="231F20"/>
          <w:spacing w:val="-6"/>
        </w:rPr>
        <w:t> </w:t>
      </w:r>
      <w:r>
        <w:rPr>
          <w:color w:val="231F20"/>
          <w:spacing w:val="-4"/>
        </w:rPr>
        <w:t>autres</w:t>
      </w:r>
      <w:r>
        <w:rPr>
          <w:color w:val="231F20"/>
          <w:spacing w:val="-8"/>
        </w:rPr>
        <w:t> </w:t>
      </w:r>
      <w:r>
        <w:rPr>
          <w:color w:val="231F20"/>
          <w:spacing w:val="-4"/>
        </w:rPr>
        <w:t>des </w:t>
      </w:r>
      <w:r>
        <w:rPr>
          <w:color w:val="231F20"/>
        </w:rPr>
        <w:t>villes</w:t>
      </w:r>
      <w:r>
        <w:rPr>
          <w:color w:val="231F20"/>
          <w:spacing w:val="-13"/>
        </w:rPr>
        <w:t> </w:t>
      </w:r>
      <w:r>
        <w:rPr>
          <w:color w:val="231F20"/>
        </w:rPr>
        <w:t>lissent</w:t>
      </w:r>
      <w:r>
        <w:rPr>
          <w:color w:val="231F20"/>
          <w:spacing w:val="-13"/>
        </w:rPr>
        <w:t> </w:t>
      </w:r>
      <w:r>
        <w:rPr>
          <w:color w:val="231F20"/>
        </w:rPr>
        <w:t>leurs</w:t>
      </w:r>
      <w:r>
        <w:rPr>
          <w:color w:val="231F20"/>
          <w:spacing w:val="-13"/>
        </w:rPr>
        <w:t> </w:t>
      </w:r>
      <w:r>
        <w:rPr>
          <w:color w:val="231F20"/>
        </w:rPr>
        <w:t>cheveux</w:t>
      </w:r>
      <w:r>
        <w:rPr>
          <w:color w:val="231F20"/>
          <w:spacing w:val="-12"/>
        </w:rPr>
        <w:t> </w:t>
      </w:r>
      <w:r>
        <w:rPr>
          <w:color w:val="231F20"/>
        </w:rPr>
        <w:t>à</w:t>
      </w:r>
      <w:r>
        <w:rPr>
          <w:color w:val="231F20"/>
          <w:spacing w:val="-14"/>
        </w:rPr>
        <w:t> </w:t>
      </w:r>
      <w:r>
        <w:rPr>
          <w:color w:val="231F20"/>
        </w:rPr>
        <w:t>l’aide</w:t>
      </w:r>
      <w:r>
        <w:rPr>
          <w:color w:val="231F20"/>
          <w:spacing w:val="-14"/>
        </w:rPr>
        <w:t> </w:t>
      </w:r>
      <w:r>
        <w:rPr>
          <w:color w:val="231F20"/>
        </w:rPr>
        <w:t>d’un</w:t>
      </w:r>
      <w:r>
        <w:rPr>
          <w:color w:val="231F20"/>
          <w:spacing w:val="-13"/>
        </w:rPr>
        <w:t> </w:t>
      </w:r>
      <w:r>
        <w:rPr>
          <w:color w:val="231F20"/>
        </w:rPr>
        <w:t>peigne</w:t>
      </w:r>
      <w:r>
        <w:rPr>
          <w:color w:val="231F20"/>
          <w:spacing w:val="-12"/>
        </w:rPr>
        <w:t> </w:t>
      </w:r>
      <w:r>
        <w:rPr>
          <w:color w:val="231F20"/>
        </w:rPr>
        <w:t>chauffant,</w:t>
      </w:r>
      <w:r>
        <w:rPr>
          <w:color w:val="231F20"/>
          <w:spacing w:val="-13"/>
        </w:rPr>
        <w:t> </w:t>
      </w:r>
      <w:r>
        <w:rPr>
          <w:color w:val="231F20"/>
        </w:rPr>
        <w:t>de</w:t>
      </w:r>
      <w:r>
        <w:rPr>
          <w:color w:val="231F20"/>
          <w:spacing w:val="-12"/>
        </w:rPr>
        <w:t> </w:t>
      </w:r>
      <w:r>
        <w:rPr>
          <w:color w:val="231F20"/>
        </w:rPr>
        <w:t>fer</w:t>
      </w:r>
      <w:r>
        <w:rPr>
          <w:color w:val="231F20"/>
          <w:spacing w:val="-14"/>
        </w:rPr>
        <w:t> </w:t>
      </w:r>
      <w:r>
        <w:rPr>
          <w:color w:val="231F20"/>
        </w:rPr>
        <w:t>à</w:t>
      </w:r>
      <w:r>
        <w:rPr>
          <w:color w:val="231F20"/>
          <w:spacing w:val="-12"/>
        </w:rPr>
        <w:t> </w:t>
      </w:r>
      <w:r>
        <w:rPr>
          <w:color w:val="231F20"/>
        </w:rPr>
        <w:t>lisser </w:t>
      </w:r>
      <w:r>
        <w:rPr>
          <w:color w:val="231F20"/>
          <w:spacing w:val="-4"/>
        </w:rPr>
        <w:t>et</w:t>
      </w:r>
      <w:r>
        <w:rPr>
          <w:color w:val="231F20"/>
          <w:spacing w:val="-11"/>
        </w:rPr>
        <w:t> </w:t>
      </w:r>
      <w:r>
        <w:rPr>
          <w:color w:val="231F20"/>
          <w:spacing w:val="-4"/>
        </w:rPr>
        <w:t>plus</w:t>
      </w:r>
      <w:r>
        <w:rPr>
          <w:color w:val="231F20"/>
          <w:spacing w:val="-11"/>
        </w:rPr>
        <w:t> </w:t>
      </w:r>
      <w:r>
        <w:rPr>
          <w:color w:val="231F20"/>
          <w:spacing w:val="-4"/>
        </w:rPr>
        <w:t>tard</w:t>
      </w:r>
      <w:r>
        <w:rPr>
          <w:color w:val="231F20"/>
          <w:spacing w:val="-11"/>
        </w:rPr>
        <w:t> </w:t>
      </w:r>
      <w:r>
        <w:rPr>
          <w:color w:val="231F20"/>
          <w:spacing w:val="-4"/>
        </w:rPr>
        <w:t>dans</w:t>
      </w:r>
      <w:r>
        <w:rPr>
          <w:color w:val="231F20"/>
          <w:spacing w:val="-11"/>
        </w:rPr>
        <w:t> </w:t>
      </w:r>
      <w:r>
        <w:rPr>
          <w:color w:val="231F20"/>
          <w:spacing w:val="-4"/>
        </w:rPr>
        <w:t>les</w:t>
      </w:r>
      <w:r>
        <w:rPr>
          <w:color w:val="231F20"/>
          <w:spacing w:val="-11"/>
        </w:rPr>
        <w:t> </w:t>
      </w:r>
      <w:r>
        <w:rPr>
          <w:color w:val="231F20"/>
          <w:spacing w:val="-4"/>
        </w:rPr>
        <w:t>années</w:t>
      </w:r>
      <w:r>
        <w:rPr>
          <w:color w:val="231F20"/>
          <w:spacing w:val="-11"/>
        </w:rPr>
        <w:t> </w:t>
      </w:r>
      <w:r>
        <w:rPr>
          <w:color w:val="231F20"/>
          <w:spacing w:val="-4"/>
        </w:rPr>
        <w:t>1960,</w:t>
      </w:r>
      <w:r>
        <w:rPr>
          <w:color w:val="231F20"/>
          <w:spacing w:val="-11"/>
        </w:rPr>
        <w:t> </w:t>
      </w:r>
      <w:r>
        <w:rPr>
          <w:color w:val="231F20"/>
          <w:spacing w:val="-4"/>
        </w:rPr>
        <w:t>de</w:t>
      </w:r>
      <w:r>
        <w:rPr>
          <w:color w:val="231F20"/>
          <w:spacing w:val="-11"/>
        </w:rPr>
        <w:t> </w:t>
      </w:r>
      <w:r>
        <w:rPr>
          <w:color w:val="231F20"/>
          <w:spacing w:val="-4"/>
        </w:rPr>
        <w:t>défrisants</w:t>
      </w:r>
      <w:r>
        <w:rPr>
          <w:color w:val="231F20"/>
          <w:spacing w:val="-11"/>
        </w:rPr>
        <w:t> </w:t>
      </w:r>
      <w:r>
        <w:rPr>
          <w:color w:val="231F20"/>
          <w:spacing w:val="-4"/>
        </w:rPr>
        <w:t>chimiques</w:t>
      </w:r>
      <w:r>
        <w:rPr>
          <w:color w:val="231F20"/>
          <w:spacing w:val="-11"/>
        </w:rPr>
        <w:t> </w:t>
      </w:r>
      <w:r>
        <w:rPr>
          <w:color w:val="231F20"/>
          <w:spacing w:val="-4"/>
        </w:rPr>
        <w:t>quitte</w:t>
      </w:r>
      <w:r>
        <w:rPr>
          <w:color w:val="231F20"/>
          <w:spacing w:val="-11"/>
        </w:rPr>
        <w:t> </w:t>
      </w:r>
      <w:r>
        <w:rPr>
          <w:color w:val="231F20"/>
          <w:spacing w:val="-4"/>
        </w:rPr>
        <w:t>à</w:t>
      </w:r>
      <w:r>
        <w:rPr>
          <w:color w:val="231F20"/>
          <w:spacing w:val="-11"/>
        </w:rPr>
        <w:t> </w:t>
      </w:r>
      <w:r>
        <w:rPr>
          <w:color w:val="231F20"/>
          <w:spacing w:val="-4"/>
        </w:rPr>
        <w:t>se</w:t>
      </w:r>
      <w:r>
        <w:rPr>
          <w:color w:val="231F20"/>
          <w:spacing w:val="-11"/>
        </w:rPr>
        <w:t> </w:t>
      </w:r>
      <w:r>
        <w:rPr>
          <w:color w:val="231F20"/>
          <w:spacing w:val="-4"/>
        </w:rPr>
        <w:t>brûler </w:t>
      </w:r>
      <w:r>
        <w:rPr>
          <w:color w:val="231F20"/>
        </w:rPr>
        <w:t>le</w:t>
      </w:r>
      <w:r>
        <w:rPr>
          <w:color w:val="231F20"/>
          <w:spacing w:val="-15"/>
        </w:rPr>
        <w:t> </w:t>
      </w:r>
      <w:r>
        <w:rPr>
          <w:color w:val="231F20"/>
        </w:rPr>
        <w:t>cuir</w:t>
      </w:r>
      <w:r>
        <w:rPr>
          <w:color w:val="231F20"/>
          <w:spacing w:val="-15"/>
        </w:rPr>
        <w:t> </w:t>
      </w:r>
      <w:r>
        <w:rPr>
          <w:color w:val="231F20"/>
        </w:rPr>
        <w:t>chevelu</w:t>
      </w:r>
      <w:r>
        <w:rPr>
          <w:color w:val="231F20"/>
          <w:spacing w:val="-15"/>
        </w:rPr>
        <w:t> </w:t>
      </w:r>
      <w:r>
        <w:rPr>
          <w:color w:val="231F20"/>
        </w:rPr>
        <w:t>:</w:t>
      </w:r>
      <w:r>
        <w:rPr>
          <w:color w:val="231F20"/>
          <w:spacing w:val="-15"/>
        </w:rPr>
        <w:t> </w:t>
      </w:r>
      <w:r>
        <w:rPr>
          <w:color w:val="231F20"/>
        </w:rPr>
        <w:t>avoir</w:t>
      </w:r>
      <w:r>
        <w:rPr>
          <w:color w:val="231F20"/>
          <w:spacing w:val="-15"/>
        </w:rPr>
        <w:t> </w:t>
      </w:r>
      <w:r>
        <w:rPr>
          <w:color w:val="231F20"/>
        </w:rPr>
        <w:t>des</w:t>
      </w:r>
      <w:r>
        <w:rPr>
          <w:color w:val="231F20"/>
          <w:spacing w:val="-15"/>
        </w:rPr>
        <w:t> </w:t>
      </w:r>
      <w:r>
        <w:rPr>
          <w:color w:val="231F20"/>
        </w:rPr>
        <w:t>cheveux</w:t>
      </w:r>
      <w:r>
        <w:rPr>
          <w:color w:val="231F20"/>
          <w:spacing w:val="-15"/>
        </w:rPr>
        <w:t> </w:t>
      </w:r>
      <w:r>
        <w:rPr>
          <w:color w:val="231F20"/>
        </w:rPr>
        <w:t>crépus,</w:t>
      </w:r>
      <w:r>
        <w:rPr>
          <w:color w:val="231F20"/>
          <w:spacing w:val="-15"/>
        </w:rPr>
        <w:t> </w:t>
      </w:r>
      <w:r>
        <w:rPr>
          <w:color w:val="231F20"/>
        </w:rPr>
        <w:t>c’est</w:t>
      </w:r>
      <w:r>
        <w:rPr>
          <w:color w:val="231F20"/>
          <w:spacing w:val="-15"/>
        </w:rPr>
        <w:t> </w:t>
      </w:r>
      <w:r>
        <w:rPr>
          <w:color w:val="231F20"/>
        </w:rPr>
        <w:t>être</w:t>
      </w:r>
      <w:r>
        <w:rPr>
          <w:color w:val="231F20"/>
          <w:spacing w:val="-15"/>
        </w:rPr>
        <w:t> </w:t>
      </w:r>
      <w:r>
        <w:rPr>
          <w:color w:val="231F20"/>
        </w:rPr>
        <w:t>«</w:t>
      </w:r>
      <w:r>
        <w:rPr>
          <w:color w:val="231F20"/>
          <w:spacing w:val="-15"/>
        </w:rPr>
        <w:t> </w:t>
      </w:r>
      <w:r>
        <w:rPr>
          <w:color w:val="231F20"/>
        </w:rPr>
        <w:t>trop</w:t>
      </w:r>
      <w:r>
        <w:rPr>
          <w:color w:val="231F20"/>
          <w:spacing w:val="-15"/>
        </w:rPr>
        <w:t> </w:t>
      </w:r>
      <w:r>
        <w:rPr>
          <w:color w:val="231F20"/>
        </w:rPr>
        <w:t>nègre</w:t>
      </w:r>
      <w:r>
        <w:rPr>
          <w:color w:val="231F20"/>
          <w:spacing w:val="-15"/>
        </w:rPr>
        <w:t> </w:t>
      </w:r>
      <w:r>
        <w:rPr>
          <w:color w:val="231F20"/>
        </w:rPr>
        <w:t>»</w:t>
      </w:r>
      <w:r>
        <w:rPr>
          <w:color w:val="231F20"/>
          <w:spacing w:val="-15"/>
        </w:rPr>
        <w:t> </w:t>
      </w:r>
      <w:r>
        <w:rPr>
          <w:color w:val="231F20"/>
        </w:rPr>
        <w:t>donc, de</w:t>
      </w:r>
      <w:r>
        <w:rPr>
          <w:color w:val="231F20"/>
          <w:spacing w:val="-12"/>
        </w:rPr>
        <w:t> </w:t>
      </w:r>
      <w:r>
        <w:rPr>
          <w:color w:val="231F20"/>
        </w:rPr>
        <w:t>classe</w:t>
      </w:r>
      <w:r>
        <w:rPr>
          <w:color w:val="231F20"/>
          <w:spacing w:val="-12"/>
        </w:rPr>
        <w:t> </w:t>
      </w:r>
      <w:r>
        <w:rPr>
          <w:color w:val="231F20"/>
        </w:rPr>
        <w:t>sociale</w:t>
      </w:r>
      <w:r>
        <w:rPr>
          <w:color w:val="231F20"/>
          <w:spacing w:val="-12"/>
        </w:rPr>
        <w:t> </w:t>
      </w:r>
      <w:r>
        <w:rPr>
          <w:color w:val="231F20"/>
        </w:rPr>
        <w:t>inférieure.</w:t>
      </w:r>
      <w:r>
        <w:rPr>
          <w:color w:val="231F20"/>
          <w:spacing w:val="-12"/>
        </w:rPr>
        <w:t> </w:t>
      </w:r>
      <w:r>
        <w:rPr>
          <w:color w:val="231F20"/>
        </w:rPr>
        <w:t>Dans</w:t>
      </w:r>
      <w:r>
        <w:rPr>
          <w:color w:val="231F20"/>
          <w:spacing w:val="-12"/>
        </w:rPr>
        <w:t> </w:t>
      </w:r>
      <w:r>
        <w:rPr>
          <w:color w:val="231F20"/>
        </w:rPr>
        <w:t>les</w:t>
      </w:r>
      <w:r>
        <w:rPr>
          <w:color w:val="231F20"/>
          <w:spacing w:val="-12"/>
        </w:rPr>
        <w:t> </w:t>
      </w:r>
      <w:r>
        <w:rPr>
          <w:color w:val="231F20"/>
        </w:rPr>
        <w:t>cercles</w:t>
      </w:r>
      <w:r>
        <w:rPr>
          <w:color w:val="231F20"/>
          <w:spacing w:val="-11"/>
        </w:rPr>
        <w:t> </w:t>
      </w:r>
      <w:r>
        <w:rPr>
          <w:color w:val="231F20"/>
        </w:rPr>
        <w:t>où</w:t>
      </w:r>
      <w:r>
        <w:rPr>
          <w:color w:val="231F20"/>
          <w:spacing w:val="-12"/>
        </w:rPr>
        <w:t> </w:t>
      </w:r>
      <w:r>
        <w:rPr>
          <w:color w:val="231F20"/>
        </w:rPr>
        <w:t>évoluent</w:t>
      </w:r>
      <w:r>
        <w:rPr>
          <w:color w:val="231F20"/>
          <w:spacing w:val="-11"/>
        </w:rPr>
        <w:t> </w:t>
      </w:r>
      <w:r>
        <w:rPr>
          <w:color w:val="231F20"/>
        </w:rPr>
        <w:t>les</w:t>
      </w:r>
      <w:r>
        <w:rPr>
          <w:color w:val="231F20"/>
          <w:spacing w:val="-14"/>
        </w:rPr>
        <w:t> </w:t>
      </w:r>
      <w:r>
        <w:rPr>
          <w:color w:val="231F20"/>
        </w:rPr>
        <w:t>Européens, les jeunes femmes noires à la recherche d’un «</w:t>
      </w:r>
      <w:r>
        <w:rPr>
          <w:color w:val="231F20"/>
          <w:spacing w:val="-15"/>
        </w:rPr>
        <w:t> </w:t>
      </w:r>
      <w:r>
        <w:rPr>
          <w:color w:val="231F20"/>
        </w:rPr>
        <w:t>pigeon</w:t>
      </w:r>
      <w:r>
        <w:rPr>
          <w:color w:val="231F20"/>
          <w:spacing w:val="-13"/>
        </w:rPr>
        <w:t> </w:t>
      </w:r>
      <w:r>
        <w:rPr>
          <w:color w:val="231F20"/>
        </w:rPr>
        <w:t>» blanc dont la compagnie</w:t>
      </w:r>
      <w:r>
        <w:rPr>
          <w:color w:val="231F20"/>
          <w:spacing w:val="-15"/>
        </w:rPr>
        <w:t> </w:t>
      </w:r>
      <w:r>
        <w:rPr>
          <w:color w:val="231F20"/>
        </w:rPr>
        <w:t>les</w:t>
      </w:r>
      <w:r>
        <w:rPr>
          <w:color w:val="231F20"/>
          <w:spacing w:val="-15"/>
        </w:rPr>
        <w:t> </w:t>
      </w:r>
      <w:r>
        <w:rPr>
          <w:color w:val="231F20"/>
        </w:rPr>
        <w:t>hisserait</w:t>
      </w:r>
      <w:r>
        <w:rPr>
          <w:color w:val="231F20"/>
          <w:spacing w:val="-15"/>
        </w:rPr>
        <w:t> </w:t>
      </w:r>
      <w:r>
        <w:rPr>
          <w:color w:val="231F20"/>
        </w:rPr>
        <w:t>à</w:t>
      </w:r>
      <w:r>
        <w:rPr>
          <w:color w:val="231F20"/>
          <w:spacing w:val="-15"/>
        </w:rPr>
        <w:t> </w:t>
      </w:r>
      <w:r>
        <w:rPr>
          <w:color w:val="231F20"/>
        </w:rPr>
        <w:t>un</w:t>
      </w:r>
      <w:r>
        <w:rPr>
          <w:color w:val="231F20"/>
          <w:spacing w:val="-14"/>
        </w:rPr>
        <w:t> </w:t>
      </w:r>
      <w:r>
        <w:rPr>
          <w:color w:val="231F20"/>
        </w:rPr>
        <w:t>«</w:t>
      </w:r>
      <w:r>
        <w:rPr>
          <w:color w:val="231F20"/>
          <w:spacing w:val="-15"/>
        </w:rPr>
        <w:t> </w:t>
      </w:r>
      <w:r>
        <w:rPr>
          <w:color w:val="231F20"/>
        </w:rPr>
        <w:t>certain</w:t>
      </w:r>
      <w:r>
        <w:rPr>
          <w:color w:val="231F20"/>
          <w:spacing w:val="-13"/>
        </w:rPr>
        <w:t> </w:t>
      </w:r>
      <w:r>
        <w:rPr>
          <w:color w:val="231F20"/>
        </w:rPr>
        <w:t>rang</w:t>
      </w:r>
      <w:r>
        <w:rPr>
          <w:color w:val="231F20"/>
          <w:spacing w:val="-13"/>
        </w:rPr>
        <w:t> </w:t>
      </w:r>
      <w:r>
        <w:rPr>
          <w:color w:val="231F20"/>
        </w:rPr>
        <w:t>social</w:t>
      </w:r>
      <w:r>
        <w:rPr>
          <w:color w:val="231F20"/>
          <w:spacing w:val="-15"/>
        </w:rPr>
        <w:t> </w:t>
      </w:r>
      <w:r>
        <w:rPr>
          <w:color w:val="231F20"/>
        </w:rPr>
        <w:t>»,</w:t>
      </w:r>
      <w:r>
        <w:rPr>
          <w:color w:val="231F20"/>
          <w:spacing w:val="-15"/>
        </w:rPr>
        <w:t> </w:t>
      </w:r>
      <w:r>
        <w:rPr>
          <w:color w:val="231F20"/>
        </w:rPr>
        <w:t>n’hésitent</w:t>
      </w:r>
      <w:r>
        <w:rPr>
          <w:color w:val="231F20"/>
          <w:spacing w:val="-13"/>
        </w:rPr>
        <w:t> </w:t>
      </w:r>
      <w:r>
        <w:rPr>
          <w:color w:val="231F20"/>
        </w:rPr>
        <w:t>pas,</w:t>
      </w:r>
      <w:r>
        <w:rPr>
          <w:color w:val="231F20"/>
          <w:spacing w:val="-13"/>
        </w:rPr>
        <w:t> </w:t>
      </w:r>
      <w:r>
        <w:rPr>
          <w:color w:val="231F20"/>
        </w:rPr>
        <w:t>outre le</w:t>
      </w:r>
      <w:r>
        <w:rPr>
          <w:color w:val="231F20"/>
          <w:spacing w:val="-4"/>
        </w:rPr>
        <w:t> </w:t>
      </w:r>
      <w:r>
        <w:rPr>
          <w:color w:val="231F20"/>
        </w:rPr>
        <w:t>défrisage</w:t>
      </w:r>
      <w:r>
        <w:rPr>
          <w:color w:val="231F20"/>
          <w:spacing w:val="-5"/>
        </w:rPr>
        <w:t> </w:t>
      </w:r>
      <w:r>
        <w:rPr>
          <w:color w:val="231F20"/>
        </w:rPr>
        <w:t>des</w:t>
      </w:r>
      <w:r>
        <w:rPr>
          <w:color w:val="231F20"/>
          <w:spacing w:val="-5"/>
        </w:rPr>
        <w:t> </w:t>
      </w:r>
      <w:r>
        <w:rPr>
          <w:color w:val="231F20"/>
        </w:rPr>
        <w:t>cheveux,</w:t>
      </w:r>
      <w:r>
        <w:rPr>
          <w:color w:val="231F20"/>
          <w:spacing w:val="-5"/>
        </w:rPr>
        <w:t> </w:t>
      </w:r>
      <w:r>
        <w:rPr>
          <w:color w:val="231F20"/>
        </w:rPr>
        <w:t>à</w:t>
      </w:r>
      <w:r>
        <w:rPr>
          <w:color w:val="231F20"/>
          <w:spacing w:val="-5"/>
        </w:rPr>
        <w:t> </w:t>
      </w:r>
      <w:r>
        <w:rPr>
          <w:color w:val="231F20"/>
        </w:rPr>
        <w:t>utiliser</w:t>
      </w:r>
      <w:r>
        <w:rPr>
          <w:color w:val="231F20"/>
          <w:spacing w:val="-4"/>
        </w:rPr>
        <w:t> </w:t>
      </w:r>
      <w:r>
        <w:rPr>
          <w:color w:val="231F20"/>
        </w:rPr>
        <w:t>des</w:t>
      </w:r>
      <w:r>
        <w:rPr>
          <w:color w:val="231F20"/>
          <w:spacing w:val="-4"/>
        </w:rPr>
        <w:t> </w:t>
      </w:r>
      <w:r>
        <w:rPr>
          <w:color w:val="231F20"/>
        </w:rPr>
        <w:t>produits</w:t>
      </w:r>
      <w:r>
        <w:rPr>
          <w:color w:val="231F20"/>
          <w:spacing w:val="-5"/>
        </w:rPr>
        <w:t> </w:t>
      </w:r>
      <w:r>
        <w:rPr>
          <w:color w:val="231F20"/>
        </w:rPr>
        <w:t>pour</w:t>
      </w:r>
      <w:r>
        <w:rPr>
          <w:color w:val="231F20"/>
          <w:spacing w:val="-4"/>
        </w:rPr>
        <w:t> </w:t>
      </w:r>
      <w:r>
        <w:rPr>
          <w:color w:val="231F20"/>
        </w:rPr>
        <w:t>éclaircir</w:t>
      </w:r>
      <w:r>
        <w:rPr>
          <w:color w:val="231F20"/>
          <w:spacing w:val="-6"/>
        </w:rPr>
        <w:t> </w:t>
      </w:r>
      <w:r>
        <w:rPr>
          <w:color w:val="231F20"/>
        </w:rPr>
        <w:t>leur</w:t>
      </w:r>
      <w:r>
        <w:rPr>
          <w:color w:val="231F20"/>
          <w:spacing w:val="-6"/>
        </w:rPr>
        <w:t> </w:t>
      </w:r>
      <w:r>
        <w:rPr>
          <w:color w:val="231F20"/>
        </w:rPr>
        <w:t>peau afin</w:t>
      </w:r>
      <w:r>
        <w:rPr>
          <w:color w:val="231F20"/>
          <w:spacing w:val="-15"/>
        </w:rPr>
        <w:t> </w:t>
      </w:r>
      <w:r>
        <w:rPr>
          <w:color w:val="231F20"/>
        </w:rPr>
        <w:t>de</w:t>
      </w:r>
      <w:r>
        <w:rPr>
          <w:color w:val="231F20"/>
          <w:spacing w:val="-14"/>
        </w:rPr>
        <w:t> </w:t>
      </w:r>
      <w:r>
        <w:rPr>
          <w:color w:val="231F20"/>
        </w:rPr>
        <w:t>paraître</w:t>
      </w:r>
      <w:r>
        <w:rPr>
          <w:color w:val="231F20"/>
          <w:spacing w:val="-14"/>
        </w:rPr>
        <w:t> </w:t>
      </w:r>
      <w:r>
        <w:rPr>
          <w:color w:val="231F20"/>
        </w:rPr>
        <w:t>plus</w:t>
      </w:r>
      <w:r>
        <w:rPr>
          <w:color w:val="231F20"/>
          <w:spacing w:val="-12"/>
        </w:rPr>
        <w:t> </w:t>
      </w:r>
      <w:r>
        <w:rPr>
          <w:color w:val="231F20"/>
        </w:rPr>
        <w:t>acceptables</w:t>
      </w:r>
      <w:r>
        <w:rPr>
          <w:color w:val="231F20"/>
          <w:spacing w:val="-14"/>
        </w:rPr>
        <w:t> </w:t>
      </w:r>
      <w:r>
        <w:rPr>
          <w:color w:val="231F20"/>
        </w:rPr>
        <w:t>aux</w:t>
      </w:r>
      <w:r>
        <w:rPr>
          <w:color w:val="231F20"/>
          <w:spacing w:val="-15"/>
        </w:rPr>
        <w:t> </w:t>
      </w:r>
      <w:r>
        <w:rPr>
          <w:color w:val="231F20"/>
        </w:rPr>
        <w:t>yeux</w:t>
      </w:r>
      <w:r>
        <w:rPr>
          <w:color w:val="231F20"/>
          <w:spacing w:val="-13"/>
        </w:rPr>
        <w:t> </w:t>
      </w:r>
      <w:r>
        <w:rPr>
          <w:color w:val="231F20"/>
        </w:rPr>
        <w:t>du</w:t>
      </w:r>
      <w:r>
        <w:rPr>
          <w:color w:val="231F20"/>
          <w:spacing w:val="-15"/>
        </w:rPr>
        <w:t> </w:t>
      </w:r>
      <w:r>
        <w:rPr>
          <w:color w:val="231F20"/>
        </w:rPr>
        <w:t>Blanc.</w:t>
      </w:r>
      <w:r>
        <w:rPr>
          <w:color w:val="231F20"/>
          <w:spacing w:val="-14"/>
        </w:rPr>
        <w:t> </w:t>
      </w:r>
      <w:r>
        <w:rPr>
          <w:color w:val="231F20"/>
        </w:rPr>
        <w:t>Ce</w:t>
      </w:r>
      <w:r>
        <w:rPr>
          <w:color w:val="231F20"/>
          <w:spacing w:val="-13"/>
        </w:rPr>
        <w:t> </w:t>
      </w:r>
      <w:r>
        <w:rPr>
          <w:color w:val="231F20"/>
        </w:rPr>
        <w:t>reniement</w:t>
      </w:r>
      <w:r>
        <w:rPr>
          <w:color w:val="231F20"/>
          <w:spacing w:val="-11"/>
        </w:rPr>
        <w:t> </w:t>
      </w:r>
      <w:r>
        <w:rPr>
          <w:color w:val="231F20"/>
        </w:rPr>
        <w:t>de</w:t>
      </w:r>
      <w:r>
        <w:rPr>
          <w:color w:val="231F20"/>
          <w:spacing w:val="-15"/>
        </w:rPr>
        <w:t> </w:t>
      </w:r>
      <w:r>
        <w:rPr>
          <w:color w:val="231F20"/>
          <w:spacing w:val="-5"/>
        </w:rPr>
        <w:t>soi</w:t>
      </w:r>
    </w:p>
    <w:p>
      <w:pPr>
        <w:spacing w:after="0"/>
        <w:sectPr>
          <w:pgSz w:w="8790" w:h="13610"/>
          <w:pgMar w:header="0" w:footer="802" w:top="1060" w:bottom="1000" w:left="880" w:right="880"/>
        </w:sectPr>
      </w:pPr>
    </w:p>
    <w:p>
      <w:pPr>
        <w:pStyle w:val="BodyText"/>
        <w:spacing w:before="66"/>
        <w:ind w:right="106"/>
      </w:pPr>
      <w:r>
        <w:rPr>
          <w:color w:val="231F20"/>
          <w:spacing w:val="-2"/>
        </w:rPr>
        <w:t>fait</w:t>
      </w:r>
      <w:r>
        <w:rPr>
          <w:color w:val="231F20"/>
          <w:spacing w:val="-15"/>
        </w:rPr>
        <w:t> </w:t>
      </w:r>
      <w:r>
        <w:rPr>
          <w:color w:val="231F20"/>
          <w:spacing w:val="-2"/>
        </w:rPr>
        <w:t>perdre</w:t>
      </w:r>
      <w:r>
        <w:rPr>
          <w:color w:val="231F20"/>
          <w:spacing w:val="-13"/>
        </w:rPr>
        <w:t> </w:t>
      </w:r>
      <w:r>
        <w:rPr>
          <w:color w:val="231F20"/>
          <w:spacing w:val="-2"/>
        </w:rPr>
        <w:t>au</w:t>
      </w:r>
      <w:r>
        <w:rPr>
          <w:color w:val="231F20"/>
          <w:spacing w:val="-13"/>
        </w:rPr>
        <w:t> </w:t>
      </w:r>
      <w:r>
        <w:rPr>
          <w:color w:val="231F20"/>
          <w:spacing w:val="-2"/>
        </w:rPr>
        <w:t>Noir,</w:t>
      </w:r>
      <w:r>
        <w:rPr>
          <w:color w:val="231F20"/>
          <w:spacing w:val="-13"/>
        </w:rPr>
        <w:t> </w:t>
      </w:r>
      <w:r>
        <w:rPr>
          <w:color w:val="231F20"/>
          <w:spacing w:val="-2"/>
        </w:rPr>
        <w:t>toute</w:t>
      </w:r>
      <w:r>
        <w:rPr>
          <w:color w:val="231F20"/>
          <w:spacing w:val="-13"/>
        </w:rPr>
        <w:t> </w:t>
      </w:r>
      <w:r>
        <w:rPr>
          <w:color w:val="231F20"/>
          <w:spacing w:val="-2"/>
        </w:rPr>
        <w:t>confiance</w:t>
      </w:r>
      <w:r>
        <w:rPr>
          <w:color w:val="231F20"/>
          <w:spacing w:val="-13"/>
        </w:rPr>
        <w:t> </w:t>
      </w:r>
      <w:r>
        <w:rPr>
          <w:color w:val="231F20"/>
          <w:spacing w:val="-2"/>
        </w:rPr>
        <w:t>en</w:t>
      </w:r>
      <w:r>
        <w:rPr>
          <w:color w:val="231F20"/>
          <w:spacing w:val="-13"/>
        </w:rPr>
        <w:t> </w:t>
      </w:r>
      <w:r>
        <w:rPr>
          <w:color w:val="231F20"/>
          <w:spacing w:val="-2"/>
        </w:rPr>
        <w:t>ses</w:t>
      </w:r>
      <w:r>
        <w:rPr>
          <w:color w:val="231F20"/>
          <w:spacing w:val="-13"/>
        </w:rPr>
        <w:t> </w:t>
      </w:r>
      <w:r>
        <w:rPr>
          <w:color w:val="231F20"/>
          <w:spacing w:val="-2"/>
        </w:rPr>
        <w:t>capacités</w:t>
      </w:r>
      <w:r>
        <w:rPr>
          <w:color w:val="231F20"/>
          <w:spacing w:val="-13"/>
        </w:rPr>
        <w:t> </w:t>
      </w:r>
      <w:r>
        <w:rPr>
          <w:color w:val="231F20"/>
          <w:spacing w:val="-2"/>
        </w:rPr>
        <w:t>de</w:t>
      </w:r>
      <w:r>
        <w:rPr>
          <w:color w:val="231F20"/>
          <w:spacing w:val="-13"/>
        </w:rPr>
        <w:t> </w:t>
      </w:r>
      <w:r>
        <w:rPr>
          <w:color w:val="231F20"/>
          <w:spacing w:val="-2"/>
        </w:rPr>
        <w:t>penser</w:t>
      </w:r>
      <w:r>
        <w:rPr>
          <w:color w:val="231F20"/>
          <w:spacing w:val="-13"/>
        </w:rPr>
        <w:t> </w:t>
      </w:r>
      <w:r>
        <w:rPr>
          <w:color w:val="231F20"/>
          <w:spacing w:val="-2"/>
        </w:rPr>
        <w:t>et</w:t>
      </w:r>
      <w:r>
        <w:rPr>
          <w:color w:val="231F20"/>
          <w:spacing w:val="-13"/>
        </w:rPr>
        <w:t> </w:t>
      </w:r>
      <w:r>
        <w:rPr>
          <w:color w:val="231F20"/>
          <w:spacing w:val="-2"/>
        </w:rPr>
        <w:t>d’agir</w:t>
      </w:r>
      <w:r>
        <w:rPr>
          <w:color w:val="231F20"/>
          <w:spacing w:val="-13"/>
        </w:rPr>
        <w:t> </w:t>
      </w:r>
      <w:r>
        <w:rPr>
          <w:color w:val="231F20"/>
          <w:spacing w:val="-2"/>
        </w:rPr>
        <w:t>en tant</w:t>
      </w:r>
      <w:r>
        <w:rPr>
          <w:color w:val="231F20"/>
          <w:spacing w:val="-13"/>
        </w:rPr>
        <w:t> </w:t>
      </w:r>
      <w:r>
        <w:rPr>
          <w:color w:val="231F20"/>
          <w:spacing w:val="-2"/>
        </w:rPr>
        <w:t>qu’homme</w:t>
      </w:r>
      <w:r>
        <w:rPr>
          <w:color w:val="231F20"/>
          <w:spacing w:val="-13"/>
        </w:rPr>
        <w:t> </w:t>
      </w:r>
      <w:r>
        <w:rPr>
          <w:color w:val="231F20"/>
          <w:spacing w:val="-2"/>
        </w:rPr>
        <w:t>libre.</w:t>
      </w:r>
      <w:r>
        <w:rPr>
          <w:color w:val="231F20"/>
          <w:spacing w:val="-13"/>
        </w:rPr>
        <w:t> </w:t>
      </w:r>
      <w:r>
        <w:rPr>
          <w:color w:val="231F20"/>
          <w:spacing w:val="-2"/>
        </w:rPr>
        <w:t>Et,</w:t>
      </w:r>
      <w:r>
        <w:rPr>
          <w:color w:val="231F20"/>
          <w:spacing w:val="-13"/>
        </w:rPr>
        <w:t> </w:t>
      </w:r>
      <w:r>
        <w:rPr>
          <w:color w:val="231F20"/>
          <w:spacing w:val="-2"/>
        </w:rPr>
        <w:t>lorsque</w:t>
      </w:r>
      <w:r>
        <w:rPr>
          <w:color w:val="231F20"/>
          <w:spacing w:val="-13"/>
        </w:rPr>
        <w:t> </w:t>
      </w:r>
      <w:r>
        <w:rPr>
          <w:color w:val="231F20"/>
          <w:spacing w:val="-2"/>
        </w:rPr>
        <w:t>le</w:t>
      </w:r>
      <w:r>
        <w:rPr>
          <w:color w:val="231F20"/>
          <w:spacing w:val="-13"/>
        </w:rPr>
        <w:t> </w:t>
      </w:r>
      <w:r>
        <w:rPr>
          <w:color w:val="231F20"/>
          <w:spacing w:val="-2"/>
        </w:rPr>
        <w:t>débat</w:t>
      </w:r>
      <w:r>
        <w:rPr>
          <w:color w:val="231F20"/>
          <w:spacing w:val="-13"/>
        </w:rPr>
        <w:t> </w:t>
      </w:r>
      <w:r>
        <w:rPr>
          <w:color w:val="231F20"/>
          <w:spacing w:val="-2"/>
        </w:rPr>
        <w:t>sur</w:t>
      </w:r>
      <w:r>
        <w:rPr>
          <w:color w:val="231F20"/>
          <w:spacing w:val="-13"/>
        </w:rPr>
        <w:t> </w:t>
      </w:r>
      <w:r>
        <w:rPr>
          <w:color w:val="231F20"/>
          <w:spacing w:val="-2"/>
        </w:rPr>
        <w:t>l’indépendance</w:t>
      </w:r>
      <w:r>
        <w:rPr>
          <w:color w:val="231F20"/>
          <w:spacing w:val="-13"/>
        </w:rPr>
        <w:t> </w:t>
      </w:r>
      <w:r>
        <w:rPr>
          <w:color w:val="231F20"/>
          <w:spacing w:val="-2"/>
        </w:rPr>
        <w:t>des</w:t>
      </w:r>
      <w:r>
        <w:rPr>
          <w:color w:val="231F20"/>
          <w:spacing w:val="-13"/>
        </w:rPr>
        <w:t> </w:t>
      </w:r>
      <w:r>
        <w:rPr>
          <w:color w:val="231F20"/>
          <w:spacing w:val="-2"/>
        </w:rPr>
        <w:t>colonies </w:t>
      </w:r>
      <w:r>
        <w:rPr>
          <w:color w:val="231F20"/>
        </w:rPr>
        <w:t>s’ouvre,</w:t>
      </w:r>
      <w:r>
        <w:rPr>
          <w:color w:val="231F20"/>
          <w:spacing w:val="-15"/>
        </w:rPr>
        <w:t> </w:t>
      </w:r>
      <w:r>
        <w:rPr>
          <w:color w:val="231F20"/>
        </w:rPr>
        <w:t>les</w:t>
      </w:r>
      <w:r>
        <w:rPr>
          <w:color w:val="231F20"/>
          <w:spacing w:val="-15"/>
        </w:rPr>
        <w:t> </w:t>
      </w:r>
      <w:r>
        <w:rPr>
          <w:color w:val="231F20"/>
        </w:rPr>
        <w:t>conditions</w:t>
      </w:r>
      <w:r>
        <w:rPr>
          <w:color w:val="231F20"/>
          <w:spacing w:val="-13"/>
        </w:rPr>
        <w:t> </w:t>
      </w:r>
      <w:r>
        <w:rPr>
          <w:color w:val="231F20"/>
        </w:rPr>
        <w:t>d’une</w:t>
      </w:r>
      <w:r>
        <w:rPr>
          <w:color w:val="231F20"/>
          <w:spacing w:val="-13"/>
        </w:rPr>
        <w:t> </w:t>
      </w:r>
      <w:r>
        <w:rPr>
          <w:color w:val="231F20"/>
        </w:rPr>
        <w:t>prise</w:t>
      </w:r>
      <w:r>
        <w:rPr>
          <w:color w:val="231F20"/>
          <w:spacing w:val="-15"/>
        </w:rPr>
        <w:t> </w:t>
      </w:r>
      <w:r>
        <w:rPr>
          <w:color w:val="231F20"/>
        </w:rPr>
        <w:t>de</w:t>
      </w:r>
      <w:r>
        <w:rPr>
          <w:color w:val="231F20"/>
          <w:spacing w:val="-13"/>
        </w:rPr>
        <w:t> </w:t>
      </w:r>
      <w:r>
        <w:rPr>
          <w:color w:val="231F20"/>
        </w:rPr>
        <w:t>conscience</w:t>
      </w:r>
      <w:r>
        <w:rPr>
          <w:color w:val="231F20"/>
          <w:spacing w:val="-15"/>
        </w:rPr>
        <w:t> </w:t>
      </w:r>
      <w:r>
        <w:rPr>
          <w:color w:val="231F20"/>
        </w:rPr>
        <w:t>n’existent</w:t>
      </w:r>
      <w:r>
        <w:rPr>
          <w:color w:val="231F20"/>
          <w:spacing w:val="-14"/>
        </w:rPr>
        <w:t> </w:t>
      </w:r>
      <w:r>
        <w:rPr>
          <w:color w:val="231F20"/>
        </w:rPr>
        <w:t>pas</w:t>
      </w:r>
      <w:r>
        <w:rPr>
          <w:color w:val="231F20"/>
          <w:spacing w:val="-15"/>
        </w:rPr>
        <w:t> </w:t>
      </w:r>
      <w:r>
        <w:rPr>
          <w:color w:val="231F20"/>
        </w:rPr>
        <w:t>chez</w:t>
      </w:r>
      <w:r>
        <w:rPr>
          <w:color w:val="231F20"/>
          <w:spacing w:val="-15"/>
        </w:rPr>
        <w:t> </w:t>
      </w:r>
      <w:r>
        <w:rPr>
          <w:color w:val="231F20"/>
        </w:rPr>
        <w:t>les </w:t>
      </w:r>
      <w:r>
        <w:rPr>
          <w:color w:val="231F20"/>
          <w:spacing w:val="-2"/>
        </w:rPr>
        <w:t>leaders</w:t>
      </w:r>
      <w:r>
        <w:rPr>
          <w:color w:val="231F20"/>
          <w:spacing w:val="-15"/>
        </w:rPr>
        <w:t> </w:t>
      </w:r>
      <w:r>
        <w:rPr>
          <w:color w:val="231F20"/>
          <w:spacing w:val="-2"/>
        </w:rPr>
        <w:t>de</w:t>
      </w:r>
      <w:r>
        <w:rPr>
          <w:color w:val="231F20"/>
          <w:spacing w:val="-13"/>
        </w:rPr>
        <w:t> </w:t>
      </w:r>
      <w:r>
        <w:rPr>
          <w:color w:val="231F20"/>
          <w:spacing w:val="-2"/>
        </w:rPr>
        <w:t>l’Afrique</w:t>
      </w:r>
      <w:r>
        <w:rPr>
          <w:color w:val="231F20"/>
          <w:spacing w:val="-13"/>
        </w:rPr>
        <w:t> </w:t>
      </w:r>
      <w:r>
        <w:rPr>
          <w:color w:val="231F20"/>
          <w:spacing w:val="-2"/>
        </w:rPr>
        <w:t>noire</w:t>
      </w:r>
      <w:r>
        <w:rPr>
          <w:color w:val="231F20"/>
          <w:spacing w:val="-13"/>
        </w:rPr>
        <w:t> </w:t>
      </w:r>
      <w:r>
        <w:rPr>
          <w:color w:val="231F20"/>
          <w:spacing w:val="-2"/>
        </w:rPr>
        <w:t>francophone,</w:t>
      </w:r>
      <w:r>
        <w:rPr>
          <w:color w:val="231F20"/>
          <w:spacing w:val="-13"/>
        </w:rPr>
        <w:t> </w:t>
      </w:r>
      <w:r>
        <w:rPr>
          <w:color w:val="231F20"/>
          <w:spacing w:val="-2"/>
        </w:rPr>
        <w:t>au</w:t>
      </w:r>
      <w:r>
        <w:rPr>
          <w:color w:val="231F20"/>
          <w:spacing w:val="-13"/>
        </w:rPr>
        <w:t> </w:t>
      </w:r>
      <w:r>
        <w:rPr>
          <w:color w:val="231F20"/>
          <w:spacing w:val="-2"/>
        </w:rPr>
        <w:t>contraire</w:t>
      </w:r>
      <w:r>
        <w:rPr>
          <w:color w:val="231F20"/>
          <w:spacing w:val="-13"/>
        </w:rPr>
        <w:t> </w:t>
      </w:r>
      <w:r>
        <w:rPr>
          <w:color w:val="231F20"/>
          <w:spacing w:val="-2"/>
        </w:rPr>
        <w:t>de</w:t>
      </w:r>
      <w:r>
        <w:rPr>
          <w:color w:val="231F20"/>
          <w:spacing w:val="-13"/>
        </w:rPr>
        <w:t> </w:t>
      </w:r>
      <w:r>
        <w:rPr>
          <w:color w:val="231F20"/>
          <w:spacing w:val="-2"/>
        </w:rPr>
        <w:t>ceux</w:t>
      </w:r>
      <w:r>
        <w:rPr>
          <w:color w:val="231F20"/>
          <w:spacing w:val="-13"/>
        </w:rPr>
        <w:t> </w:t>
      </w:r>
      <w:r>
        <w:rPr>
          <w:color w:val="231F20"/>
          <w:spacing w:val="-2"/>
        </w:rPr>
        <w:t>des</w:t>
      </w:r>
      <w:r>
        <w:rPr>
          <w:color w:val="231F20"/>
          <w:spacing w:val="-13"/>
        </w:rPr>
        <w:t> </w:t>
      </w:r>
      <w:r>
        <w:rPr>
          <w:color w:val="231F20"/>
          <w:spacing w:val="-2"/>
        </w:rPr>
        <w:t>colonies </w:t>
      </w:r>
      <w:r>
        <w:rPr>
          <w:color w:val="231F20"/>
        </w:rPr>
        <w:t>anglophones ou lusophones.</w:t>
      </w:r>
    </w:p>
    <w:p>
      <w:pPr>
        <w:pStyle w:val="BodyText"/>
        <w:spacing w:before="120"/>
        <w:ind w:right="105" w:firstLine="283"/>
      </w:pPr>
      <w:r>
        <w:rPr>
          <w:color w:val="231F20"/>
        </w:rPr>
        <w:t>Dans les colonies francophones, les futurs dirigeants des États éprouvent plutôt de la reconnaissance envers la métropole qui leur a prodigué</w:t>
      </w:r>
      <w:r>
        <w:rPr>
          <w:color w:val="231F20"/>
          <w:spacing w:val="-1"/>
        </w:rPr>
        <w:t> </w:t>
      </w:r>
      <w:r>
        <w:rPr>
          <w:color w:val="231F20"/>
        </w:rPr>
        <w:t>l’éducation</w:t>
      </w:r>
      <w:r>
        <w:rPr>
          <w:color w:val="231F20"/>
          <w:spacing w:val="-1"/>
        </w:rPr>
        <w:t> </w:t>
      </w:r>
      <w:r>
        <w:rPr>
          <w:color w:val="231F20"/>
        </w:rPr>
        <w:t>dans</w:t>
      </w:r>
      <w:r>
        <w:rPr>
          <w:color w:val="231F20"/>
          <w:spacing w:val="-1"/>
        </w:rPr>
        <w:t> </w:t>
      </w:r>
      <w:r>
        <w:rPr>
          <w:color w:val="231F20"/>
        </w:rPr>
        <w:t>les</w:t>
      </w:r>
      <w:r>
        <w:rPr>
          <w:color w:val="231F20"/>
          <w:spacing w:val="-1"/>
        </w:rPr>
        <w:t> </w:t>
      </w:r>
      <w:r>
        <w:rPr>
          <w:color w:val="231F20"/>
        </w:rPr>
        <w:t>écoles.</w:t>
      </w:r>
      <w:r>
        <w:rPr>
          <w:color w:val="231F20"/>
          <w:spacing w:val="-1"/>
        </w:rPr>
        <w:t> </w:t>
      </w:r>
      <w:r>
        <w:rPr>
          <w:color w:val="231F20"/>
        </w:rPr>
        <w:t>Certains</w:t>
      </w:r>
      <w:r>
        <w:rPr>
          <w:color w:val="231F20"/>
          <w:spacing w:val="-1"/>
        </w:rPr>
        <w:t> </w:t>
      </w:r>
      <w:r>
        <w:rPr>
          <w:color w:val="231F20"/>
        </w:rPr>
        <w:t>préfèrent séjourner</w:t>
      </w:r>
      <w:r>
        <w:rPr>
          <w:color w:val="231F20"/>
          <w:spacing w:val="-1"/>
        </w:rPr>
        <w:t> </w:t>
      </w:r>
      <w:r>
        <w:rPr>
          <w:color w:val="231F20"/>
        </w:rPr>
        <w:t>dans l’hexagone</w:t>
      </w:r>
      <w:r>
        <w:rPr>
          <w:color w:val="231F20"/>
          <w:spacing w:val="-15"/>
        </w:rPr>
        <w:t> </w:t>
      </w:r>
      <w:r>
        <w:rPr>
          <w:color w:val="231F20"/>
        </w:rPr>
        <w:t>que</w:t>
      </w:r>
      <w:r>
        <w:rPr>
          <w:color w:val="231F20"/>
          <w:spacing w:val="-15"/>
        </w:rPr>
        <w:t> </w:t>
      </w:r>
      <w:r>
        <w:rPr>
          <w:color w:val="231F20"/>
        </w:rPr>
        <w:t>de</w:t>
      </w:r>
      <w:r>
        <w:rPr>
          <w:color w:val="231F20"/>
          <w:spacing w:val="-15"/>
        </w:rPr>
        <w:t> </w:t>
      </w:r>
      <w:r>
        <w:rPr>
          <w:color w:val="231F20"/>
        </w:rPr>
        <w:t>rester</w:t>
      </w:r>
      <w:r>
        <w:rPr>
          <w:color w:val="231F20"/>
          <w:spacing w:val="-14"/>
        </w:rPr>
        <w:t> </w:t>
      </w:r>
      <w:r>
        <w:rPr>
          <w:color w:val="231F20"/>
        </w:rPr>
        <w:t>sur</w:t>
      </w:r>
      <w:r>
        <w:rPr>
          <w:color w:val="231F20"/>
          <w:spacing w:val="-13"/>
        </w:rPr>
        <w:t> </w:t>
      </w:r>
      <w:r>
        <w:rPr>
          <w:color w:val="231F20"/>
        </w:rPr>
        <w:t>leur</w:t>
      </w:r>
      <w:r>
        <w:rPr>
          <w:color w:val="231F20"/>
          <w:spacing w:val="-13"/>
        </w:rPr>
        <w:t> </w:t>
      </w:r>
      <w:r>
        <w:rPr>
          <w:color w:val="231F20"/>
        </w:rPr>
        <w:t>terre</w:t>
      </w:r>
      <w:r>
        <w:rPr>
          <w:color w:val="231F20"/>
          <w:spacing w:val="-13"/>
        </w:rPr>
        <w:t> </w:t>
      </w:r>
      <w:r>
        <w:rPr>
          <w:color w:val="231F20"/>
        </w:rPr>
        <w:t>d’Afrique</w:t>
      </w:r>
      <w:r>
        <w:rPr>
          <w:color w:val="231F20"/>
          <w:spacing w:val="-13"/>
        </w:rPr>
        <w:t> </w:t>
      </w:r>
      <w:r>
        <w:rPr>
          <w:color w:val="231F20"/>
        </w:rPr>
        <w:t>qu’ils</w:t>
      </w:r>
      <w:r>
        <w:rPr>
          <w:color w:val="231F20"/>
          <w:spacing w:val="-13"/>
        </w:rPr>
        <w:t> </w:t>
      </w:r>
      <w:r>
        <w:rPr>
          <w:color w:val="231F20"/>
        </w:rPr>
        <w:t>«</w:t>
      </w:r>
      <w:r>
        <w:rPr>
          <w:color w:val="231F20"/>
          <w:spacing w:val="-15"/>
        </w:rPr>
        <w:t> </w:t>
      </w:r>
      <w:r>
        <w:rPr>
          <w:color w:val="231F20"/>
        </w:rPr>
        <w:t>redécouvrent</w:t>
      </w:r>
      <w:r>
        <w:rPr>
          <w:color w:val="231F20"/>
          <w:spacing w:val="-15"/>
        </w:rPr>
        <w:t> </w:t>
      </w:r>
      <w:r>
        <w:rPr>
          <w:color w:val="231F20"/>
        </w:rPr>
        <w:t>» avec</w:t>
      </w:r>
      <w:r>
        <w:rPr>
          <w:color w:val="231F20"/>
          <w:spacing w:val="-5"/>
        </w:rPr>
        <w:t> </w:t>
      </w:r>
      <w:r>
        <w:rPr>
          <w:color w:val="231F20"/>
        </w:rPr>
        <w:t>mépris</w:t>
      </w:r>
      <w:r>
        <w:rPr>
          <w:color w:val="231F20"/>
          <w:spacing w:val="-15"/>
        </w:rPr>
        <w:t> </w:t>
      </w:r>
      <w:r>
        <w:rPr>
          <w:color w:val="231F20"/>
        </w:rPr>
        <w:t>:</w:t>
      </w:r>
      <w:r>
        <w:rPr>
          <w:color w:val="231F20"/>
          <w:spacing w:val="-1"/>
        </w:rPr>
        <w:t> </w:t>
      </w:r>
      <w:r>
        <w:rPr>
          <w:color w:val="231F20"/>
        </w:rPr>
        <w:t>trop</w:t>
      </w:r>
      <w:r>
        <w:rPr>
          <w:color w:val="231F20"/>
          <w:spacing w:val="-2"/>
        </w:rPr>
        <w:t> </w:t>
      </w:r>
      <w:r>
        <w:rPr>
          <w:color w:val="231F20"/>
        </w:rPr>
        <w:t>arriérée...</w:t>
      </w:r>
      <w:r>
        <w:rPr>
          <w:color w:val="231F20"/>
          <w:spacing w:val="-2"/>
        </w:rPr>
        <w:t> </w:t>
      </w:r>
      <w:r>
        <w:rPr>
          <w:color w:val="231F20"/>
        </w:rPr>
        <w:t>Très</w:t>
      </w:r>
      <w:r>
        <w:rPr>
          <w:color w:val="231F20"/>
          <w:spacing w:val="-2"/>
        </w:rPr>
        <w:t> </w:t>
      </w:r>
      <w:r>
        <w:rPr>
          <w:color w:val="231F20"/>
        </w:rPr>
        <w:t>épris</w:t>
      </w:r>
      <w:r>
        <w:rPr>
          <w:color w:val="231F20"/>
          <w:spacing w:val="-2"/>
        </w:rPr>
        <w:t> </w:t>
      </w:r>
      <w:r>
        <w:rPr>
          <w:color w:val="231F20"/>
        </w:rPr>
        <w:t>de</w:t>
      </w:r>
      <w:r>
        <w:rPr>
          <w:color w:val="231F20"/>
          <w:spacing w:val="-4"/>
        </w:rPr>
        <w:t> </w:t>
      </w:r>
      <w:r>
        <w:rPr>
          <w:color w:val="231F20"/>
        </w:rPr>
        <w:t>la</w:t>
      </w:r>
      <w:r>
        <w:rPr>
          <w:color w:val="231F20"/>
          <w:spacing w:val="-2"/>
        </w:rPr>
        <w:t> </w:t>
      </w:r>
      <w:r>
        <w:rPr>
          <w:color w:val="231F20"/>
        </w:rPr>
        <w:t>métropole,</w:t>
      </w:r>
      <w:r>
        <w:rPr>
          <w:color w:val="231F20"/>
          <w:spacing w:val="-4"/>
        </w:rPr>
        <w:t> </w:t>
      </w:r>
      <w:r>
        <w:rPr>
          <w:color w:val="231F20"/>
        </w:rPr>
        <w:t>ils</w:t>
      </w:r>
      <w:r>
        <w:rPr>
          <w:color w:val="231F20"/>
          <w:spacing w:val="-1"/>
        </w:rPr>
        <w:t> </w:t>
      </w:r>
      <w:r>
        <w:rPr>
          <w:color w:val="231F20"/>
        </w:rPr>
        <w:t>passent</w:t>
      </w:r>
      <w:r>
        <w:rPr>
          <w:color w:val="231F20"/>
          <w:spacing w:val="-3"/>
        </w:rPr>
        <w:t> </w:t>
      </w:r>
      <w:r>
        <w:rPr>
          <w:color w:val="231F20"/>
        </w:rPr>
        <w:t>leur temps</w:t>
      </w:r>
      <w:r>
        <w:rPr>
          <w:color w:val="231F20"/>
          <w:spacing w:val="-8"/>
        </w:rPr>
        <w:t> </w:t>
      </w:r>
      <w:r>
        <w:rPr>
          <w:color w:val="231F20"/>
        </w:rPr>
        <w:t>à</w:t>
      </w:r>
      <w:r>
        <w:rPr>
          <w:color w:val="231F20"/>
          <w:spacing w:val="-6"/>
        </w:rPr>
        <w:t> </w:t>
      </w:r>
      <w:r>
        <w:rPr>
          <w:color w:val="231F20"/>
        </w:rPr>
        <w:t>en</w:t>
      </w:r>
      <w:r>
        <w:rPr>
          <w:color w:val="231F20"/>
          <w:spacing w:val="-6"/>
        </w:rPr>
        <w:t> </w:t>
      </w:r>
      <w:r>
        <w:rPr>
          <w:color w:val="231F20"/>
        </w:rPr>
        <w:t>admirer</w:t>
      </w:r>
      <w:r>
        <w:rPr>
          <w:color w:val="231F20"/>
          <w:spacing w:val="-8"/>
        </w:rPr>
        <w:t> </w:t>
      </w:r>
      <w:r>
        <w:rPr>
          <w:color w:val="231F20"/>
        </w:rPr>
        <w:t>les</w:t>
      </w:r>
      <w:r>
        <w:rPr>
          <w:color w:val="231F20"/>
          <w:spacing w:val="-6"/>
        </w:rPr>
        <w:t> </w:t>
      </w:r>
      <w:r>
        <w:rPr>
          <w:color w:val="231F20"/>
        </w:rPr>
        <w:t>infrastructures</w:t>
      </w:r>
      <w:r>
        <w:rPr>
          <w:color w:val="231F20"/>
          <w:spacing w:val="-8"/>
        </w:rPr>
        <w:t> </w:t>
      </w:r>
      <w:r>
        <w:rPr>
          <w:color w:val="231F20"/>
        </w:rPr>
        <w:t>et</w:t>
      </w:r>
      <w:r>
        <w:rPr>
          <w:color w:val="231F20"/>
          <w:spacing w:val="-8"/>
        </w:rPr>
        <w:t> </w:t>
      </w:r>
      <w:r>
        <w:rPr>
          <w:color w:val="231F20"/>
        </w:rPr>
        <w:t>les</w:t>
      </w:r>
      <w:r>
        <w:rPr>
          <w:color w:val="231F20"/>
          <w:spacing w:val="-6"/>
        </w:rPr>
        <w:t> </w:t>
      </w:r>
      <w:r>
        <w:rPr>
          <w:color w:val="231F20"/>
        </w:rPr>
        <w:t>bonnes</w:t>
      </w:r>
      <w:r>
        <w:rPr>
          <w:color w:val="231F20"/>
          <w:spacing w:val="-10"/>
        </w:rPr>
        <w:t> </w:t>
      </w:r>
      <w:r>
        <w:rPr>
          <w:color w:val="231F20"/>
        </w:rPr>
        <w:t>conditions</w:t>
      </w:r>
      <w:r>
        <w:rPr>
          <w:color w:val="231F20"/>
          <w:spacing w:val="-5"/>
        </w:rPr>
        <w:t> </w:t>
      </w:r>
      <w:r>
        <w:rPr>
          <w:color w:val="231F20"/>
        </w:rPr>
        <w:t>de</w:t>
      </w:r>
      <w:r>
        <w:rPr>
          <w:color w:val="231F20"/>
          <w:spacing w:val="-8"/>
        </w:rPr>
        <w:t> </w:t>
      </w:r>
      <w:r>
        <w:rPr>
          <w:color w:val="231F20"/>
        </w:rPr>
        <w:t>vie.</w:t>
      </w:r>
    </w:p>
    <w:p>
      <w:pPr>
        <w:pStyle w:val="BodyText"/>
        <w:spacing w:before="121"/>
        <w:ind w:right="105" w:firstLine="283"/>
      </w:pPr>
      <w:r>
        <w:rPr>
          <w:color w:val="231F20"/>
        </w:rPr>
        <w:t>Quelques</w:t>
      </w:r>
      <w:r>
        <w:rPr>
          <w:color w:val="231F20"/>
          <w:spacing w:val="-12"/>
        </w:rPr>
        <w:t> </w:t>
      </w:r>
      <w:r>
        <w:rPr>
          <w:color w:val="231F20"/>
        </w:rPr>
        <w:t>quatre</w:t>
      </w:r>
      <w:r>
        <w:rPr>
          <w:color w:val="231F20"/>
          <w:spacing w:val="-12"/>
        </w:rPr>
        <w:t> </w:t>
      </w:r>
      <w:r>
        <w:rPr>
          <w:color w:val="231F20"/>
        </w:rPr>
        <w:t>siècles</w:t>
      </w:r>
      <w:r>
        <w:rPr>
          <w:color w:val="231F20"/>
          <w:spacing w:val="-12"/>
        </w:rPr>
        <w:t> </w:t>
      </w:r>
      <w:r>
        <w:rPr>
          <w:color w:val="231F20"/>
        </w:rPr>
        <w:t>de</w:t>
      </w:r>
      <w:r>
        <w:rPr>
          <w:color w:val="231F20"/>
          <w:spacing w:val="-10"/>
        </w:rPr>
        <w:t> </w:t>
      </w:r>
      <w:r>
        <w:rPr>
          <w:color w:val="231F20"/>
        </w:rPr>
        <w:t>traite</w:t>
      </w:r>
      <w:r>
        <w:rPr>
          <w:color w:val="231F20"/>
          <w:spacing w:val="-12"/>
        </w:rPr>
        <w:t> </w:t>
      </w:r>
      <w:r>
        <w:rPr>
          <w:color w:val="231F20"/>
        </w:rPr>
        <w:t>des</w:t>
      </w:r>
      <w:r>
        <w:rPr>
          <w:color w:val="231F20"/>
          <w:spacing w:val="-12"/>
        </w:rPr>
        <w:t> </w:t>
      </w:r>
      <w:r>
        <w:rPr>
          <w:color w:val="231F20"/>
        </w:rPr>
        <w:t>noirs,</w:t>
      </w:r>
      <w:r>
        <w:rPr>
          <w:color w:val="231F20"/>
          <w:spacing w:val="-12"/>
        </w:rPr>
        <w:t> </w:t>
      </w:r>
      <w:r>
        <w:rPr>
          <w:color w:val="231F20"/>
        </w:rPr>
        <w:t>près</w:t>
      </w:r>
      <w:r>
        <w:rPr>
          <w:color w:val="231F20"/>
          <w:spacing w:val="-12"/>
        </w:rPr>
        <w:t> </w:t>
      </w:r>
      <w:r>
        <w:rPr>
          <w:color w:val="231F20"/>
        </w:rPr>
        <w:t>d’un</w:t>
      </w:r>
      <w:r>
        <w:rPr>
          <w:color w:val="231F20"/>
          <w:spacing w:val="-10"/>
        </w:rPr>
        <w:t> </w:t>
      </w:r>
      <w:r>
        <w:rPr>
          <w:color w:val="231F20"/>
        </w:rPr>
        <w:t>siècle</w:t>
      </w:r>
      <w:r>
        <w:rPr>
          <w:color w:val="231F20"/>
          <w:spacing w:val="-10"/>
        </w:rPr>
        <w:t> </w:t>
      </w:r>
      <w:r>
        <w:rPr>
          <w:color w:val="231F20"/>
        </w:rPr>
        <w:t>à</w:t>
      </w:r>
      <w:r>
        <w:rPr>
          <w:color w:val="231F20"/>
          <w:spacing w:val="-12"/>
        </w:rPr>
        <w:t> </w:t>
      </w:r>
      <w:r>
        <w:rPr>
          <w:color w:val="231F20"/>
        </w:rPr>
        <w:t>courber </w:t>
      </w:r>
      <w:r>
        <w:rPr>
          <w:color w:val="231F20"/>
          <w:spacing w:val="-2"/>
        </w:rPr>
        <w:t>l’échine,</w:t>
      </w:r>
      <w:r>
        <w:rPr>
          <w:color w:val="231F20"/>
          <w:spacing w:val="-11"/>
        </w:rPr>
        <w:t> </w:t>
      </w:r>
      <w:r>
        <w:rPr>
          <w:color w:val="231F20"/>
          <w:spacing w:val="-2"/>
        </w:rPr>
        <w:t>ça</w:t>
      </w:r>
      <w:r>
        <w:rPr>
          <w:color w:val="231F20"/>
          <w:spacing w:val="-11"/>
        </w:rPr>
        <w:t> </w:t>
      </w:r>
      <w:r>
        <w:rPr>
          <w:color w:val="231F20"/>
          <w:spacing w:val="-2"/>
        </w:rPr>
        <w:t>laisse</w:t>
      </w:r>
      <w:r>
        <w:rPr>
          <w:color w:val="231F20"/>
          <w:spacing w:val="-11"/>
        </w:rPr>
        <w:t> </w:t>
      </w:r>
      <w:r>
        <w:rPr>
          <w:color w:val="231F20"/>
          <w:spacing w:val="-2"/>
        </w:rPr>
        <w:t>des</w:t>
      </w:r>
      <w:r>
        <w:rPr>
          <w:color w:val="231F20"/>
          <w:spacing w:val="-11"/>
        </w:rPr>
        <w:t> </w:t>
      </w:r>
      <w:r>
        <w:rPr>
          <w:color w:val="231F20"/>
          <w:spacing w:val="-2"/>
        </w:rPr>
        <w:t>traces</w:t>
      </w:r>
      <w:r>
        <w:rPr>
          <w:color w:val="231F20"/>
          <w:spacing w:val="-9"/>
        </w:rPr>
        <w:t> </w:t>
      </w:r>
      <w:r>
        <w:rPr>
          <w:color w:val="231F20"/>
          <w:spacing w:val="-2"/>
        </w:rPr>
        <w:t>:</w:t>
      </w:r>
      <w:r>
        <w:rPr>
          <w:color w:val="231F20"/>
          <w:spacing w:val="-11"/>
        </w:rPr>
        <w:t> </w:t>
      </w:r>
      <w:r>
        <w:rPr>
          <w:color w:val="231F20"/>
          <w:spacing w:val="-2"/>
        </w:rPr>
        <w:t>Tous</w:t>
      </w:r>
      <w:r>
        <w:rPr>
          <w:color w:val="231F20"/>
          <w:spacing w:val="-10"/>
        </w:rPr>
        <w:t> </w:t>
      </w:r>
      <w:r>
        <w:rPr>
          <w:color w:val="231F20"/>
          <w:spacing w:val="-2"/>
        </w:rPr>
        <w:t>les</w:t>
      </w:r>
      <w:r>
        <w:rPr>
          <w:color w:val="231F20"/>
          <w:spacing w:val="-11"/>
        </w:rPr>
        <w:t> </w:t>
      </w:r>
      <w:r>
        <w:rPr>
          <w:color w:val="231F20"/>
          <w:spacing w:val="-2"/>
        </w:rPr>
        <w:t>États</w:t>
      </w:r>
      <w:r>
        <w:rPr>
          <w:color w:val="231F20"/>
          <w:spacing w:val="-11"/>
        </w:rPr>
        <w:t> </w:t>
      </w:r>
      <w:r>
        <w:rPr>
          <w:color w:val="231F20"/>
          <w:spacing w:val="-2"/>
        </w:rPr>
        <w:t>africains,</w:t>
      </w:r>
      <w:r>
        <w:rPr>
          <w:color w:val="231F20"/>
          <w:spacing w:val="-11"/>
        </w:rPr>
        <w:t> </w:t>
      </w:r>
      <w:r>
        <w:rPr>
          <w:color w:val="231F20"/>
          <w:spacing w:val="-2"/>
        </w:rPr>
        <w:t>qu’ils</w:t>
      </w:r>
      <w:r>
        <w:rPr>
          <w:color w:val="231F20"/>
          <w:spacing w:val="-11"/>
        </w:rPr>
        <w:t> </w:t>
      </w:r>
      <w:r>
        <w:rPr>
          <w:color w:val="231F20"/>
          <w:spacing w:val="-2"/>
        </w:rPr>
        <w:t>aient</w:t>
      </w:r>
      <w:r>
        <w:rPr>
          <w:color w:val="231F20"/>
          <w:spacing w:val="-11"/>
        </w:rPr>
        <w:t> </w:t>
      </w:r>
      <w:r>
        <w:rPr>
          <w:color w:val="231F20"/>
          <w:spacing w:val="-2"/>
        </w:rPr>
        <w:t>obtenu </w:t>
      </w:r>
      <w:r>
        <w:rPr>
          <w:color w:val="231F20"/>
        </w:rPr>
        <w:t>leur</w:t>
      </w:r>
      <w:r>
        <w:rPr>
          <w:color w:val="231F20"/>
          <w:spacing w:val="-15"/>
        </w:rPr>
        <w:t> </w:t>
      </w:r>
      <w:r>
        <w:rPr>
          <w:color w:val="231F20"/>
        </w:rPr>
        <w:t>indépendance</w:t>
      </w:r>
      <w:r>
        <w:rPr>
          <w:color w:val="231F20"/>
          <w:spacing w:val="-15"/>
        </w:rPr>
        <w:t> </w:t>
      </w:r>
      <w:r>
        <w:rPr>
          <w:color w:val="231F20"/>
        </w:rPr>
        <w:t>de</w:t>
      </w:r>
      <w:r>
        <w:rPr>
          <w:color w:val="231F20"/>
          <w:spacing w:val="-15"/>
        </w:rPr>
        <w:t> </w:t>
      </w:r>
      <w:r>
        <w:rPr>
          <w:color w:val="231F20"/>
        </w:rPr>
        <w:t>façon</w:t>
      </w:r>
      <w:r>
        <w:rPr>
          <w:color w:val="231F20"/>
          <w:spacing w:val="-15"/>
        </w:rPr>
        <w:t> </w:t>
      </w:r>
      <w:r>
        <w:rPr>
          <w:color w:val="231F20"/>
        </w:rPr>
        <w:t>pacifique</w:t>
      </w:r>
      <w:r>
        <w:rPr>
          <w:color w:val="231F20"/>
          <w:spacing w:val="-15"/>
        </w:rPr>
        <w:t> </w:t>
      </w:r>
      <w:r>
        <w:rPr>
          <w:color w:val="231F20"/>
        </w:rPr>
        <w:t>ou</w:t>
      </w:r>
      <w:r>
        <w:rPr>
          <w:color w:val="231F20"/>
          <w:spacing w:val="-15"/>
        </w:rPr>
        <w:t> </w:t>
      </w:r>
      <w:r>
        <w:rPr>
          <w:color w:val="231F20"/>
        </w:rPr>
        <w:t>au</w:t>
      </w:r>
      <w:r>
        <w:rPr>
          <w:color w:val="231F20"/>
          <w:spacing w:val="-15"/>
        </w:rPr>
        <w:t> </w:t>
      </w:r>
      <w:r>
        <w:rPr>
          <w:color w:val="231F20"/>
        </w:rPr>
        <w:t>terme</w:t>
      </w:r>
      <w:r>
        <w:rPr>
          <w:color w:val="231F20"/>
          <w:spacing w:val="-15"/>
        </w:rPr>
        <w:t> </w:t>
      </w:r>
      <w:r>
        <w:rPr>
          <w:color w:val="231F20"/>
        </w:rPr>
        <w:t>de</w:t>
      </w:r>
      <w:r>
        <w:rPr>
          <w:color w:val="231F20"/>
          <w:spacing w:val="-15"/>
        </w:rPr>
        <w:t> </w:t>
      </w:r>
      <w:r>
        <w:rPr>
          <w:color w:val="231F20"/>
        </w:rPr>
        <w:t>combats</w:t>
      </w:r>
      <w:r>
        <w:rPr>
          <w:color w:val="231F20"/>
          <w:spacing w:val="-15"/>
        </w:rPr>
        <w:t> </w:t>
      </w:r>
      <w:r>
        <w:rPr>
          <w:color w:val="231F20"/>
        </w:rPr>
        <w:t>sanglants, demeurent mentalement prisonniers d’un lourd héritage colonial</w:t>
      </w:r>
      <w:r>
        <w:rPr>
          <w:color w:val="231F20"/>
          <w:spacing w:val="-15"/>
        </w:rPr>
        <w:t> </w:t>
      </w:r>
      <w:r>
        <w:rPr>
          <w:color w:val="231F20"/>
        </w:rPr>
        <w:t>: </w:t>
      </w:r>
      <w:r>
        <w:rPr>
          <w:color w:val="231F20"/>
          <w:spacing w:val="-4"/>
        </w:rPr>
        <w:t>complexe</w:t>
      </w:r>
      <w:r>
        <w:rPr>
          <w:color w:val="231F20"/>
          <w:spacing w:val="-15"/>
        </w:rPr>
        <w:t> </w:t>
      </w:r>
      <w:r>
        <w:rPr>
          <w:color w:val="231F20"/>
          <w:spacing w:val="-4"/>
        </w:rPr>
        <w:t>d’infériorité,</w:t>
      </w:r>
      <w:r>
        <w:rPr>
          <w:color w:val="231F20"/>
          <w:spacing w:val="-13"/>
        </w:rPr>
        <w:t> </w:t>
      </w:r>
      <w:r>
        <w:rPr>
          <w:color w:val="231F20"/>
          <w:spacing w:val="-4"/>
        </w:rPr>
        <w:t>négation</w:t>
      </w:r>
      <w:r>
        <w:rPr>
          <w:color w:val="231F20"/>
          <w:spacing w:val="-10"/>
        </w:rPr>
        <w:t> </w:t>
      </w:r>
      <w:r>
        <w:rPr>
          <w:color w:val="231F20"/>
          <w:spacing w:val="-4"/>
        </w:rPr>
        <w:t>de</w:t>
      </w:r>
      <w:r>
        <w:rPr>
          <w:color w:val="231F20"/>
          <w:spacing w:val="-15"/>
        </w:rPr>
        <w:t> </w:t>
      </w:r>
      <w:r>
        <w:rPr>
          <w:color w:val="231F20"/>
          <w:spacing w:val="-4"/>
        </w:rPr>
        <w:t>soi,</w:t>
      </w:r>
      <w:r>
        <w:rPr>
          <w:color w:val="231F20"/>
          <w:spacing w:val="-10"/>
        </w:rPr>
        <w:t> </w:t>
      </w:r>
      <w:r>
        <w:rPr>
          <w:color w:val="231F20"/>
          <w:spacing w:val="-4"/>
        </w:rPr>
        <w:t>rabaissement</w:t>
      </w:r>
      <w:r>
        <w:rPr>
          <w:color w:val="231F20"/>
          <w:spacing w:val="-10"/>
        </w:rPr>
        <w:t> </w:t>
      </w:r>
      <w:r>
        <w:rPr>
          <w:color w:val="231F20"/>
          <w:spacing w:val="-4"/>
        </w:rPr>
        <w:t>de</w:t>
      </w:r>
      <w:r>
        <w:rPr>
          <w:color w:val="231F20"/>
          <w:spacing w:val="-15"/>
        </w:rPr>
        <w:t> </w:t>
      </w:r>
      <w:r>
        <w:rPr>
          <w:color w:val="231F20"/>
          <w:spacing w:val="-4"/>
        </w:rPr>
        <w:t>la</w:t>
      </w:r>
      <w:r>
        <w:rPr>
          <w:color w:val="231F20"/>
          <w:spacing w:val="-10"/>
        </w:rPr>
        <w:t> </w:t>
      </w:r>
      <w:r>
        <w:rPr>
          <w:color w:val="231F20"/>
          <w:spacing w:val="-4"/>
        </w:rPr>
        <w:t>culture</w:t>
      </w:r>
      <w:r>
        <w:rPr>
          <w:color w:val="231F20"/>
          <w:spacing w:val="-11"/>
        </w:rPr>
        <w:t> </w:t>
      </w:r>
      <w:r>
        <w:rPr>
          <w:color w:val="231F20"/>
          <w:spacing w:val="-4"/>
        </w:rPr>
        <w:t>noire…</w:t>
      </w:r>
    </w:p>
    <w:p>
      <w:pPr>
        <w:spacing w:before="120"/>
        <w:ind w:left="111" w:right="102" w:firstLine="283"/>
        <w:jc w:val="both"/>
        <w:rPr>
          <w:i/>
          <w:sz w:val="24"/>
        </w:rPr>
      </w:pPr>
      <w:r>
        <w:rPr>
          <w:color w:val="231F20"/>
          <w:spacing w:val="-2"/>
          <w:sz w:val="24"/>
        </w:rPr>
        <w:t>Ayant</w:t>
      </w:r>
      <w:r>
        <w:rPr>
          <w:color w:val="231F20"/>
          <w:spacing w:val="-13"/>
          <w:sz w:val="24"/>
        </w:rPr>
        <w:t> </w:t>
      </w:r>
      <w:r>
        <w:rPr>
          <w:color w:val="231F20"/>
          <w:spacing w:val="-2"/>
          <w:sz w:val="24"/>
        </w:rPr>
        <w:t>perdu</w:t>
      </w:r>
      <w:r>
        <w:rPr>
          <w:color w:val="231F20"/>
          <w:spacing w:val="-13"/>
          <w:sz w:val="24"/>
        </w:rPr>
        <w:t> </w:t>
      </w:r>
      <w:r>
        <w:rPr>
          <w:color w:val="231F20"/>
          <w:spacing w:val="-2"/>
          <w:sz w:val="24"/>
        </w:rPr>
        <w:t>leur</w:t>
      </w:r>
      <w:r>
        <w:rPr>
          <w:color w:val="231F20"/>
          <w:spacing w:val="-13"/>
          <w:sz w:val="24"/>
        </w:rPr>
        <w:t> </w:t>
      </w:r>
      <w:r>
        <w:rPr>
          <w:color w:val="231F20"/>
          <w:spacing w:val="-2"/>
          <w:sz w:val="24"/>
        </w:rPr>
        <w:t>âme</w:t>
      </w:r>
      <w:r>
        <w:rPr>
          <w:color w:val="231F20"/>
          <w:spacing w:val="-13"/>
          <w:sz w:val="24"/>
        </w:rPr>
        <w:t> </w:t>
      </w:r>
      <w:r>
        <w:rPr>
          <w:color w:val="231F20"/>
          <w:spacing w:val="-2"/>
          <w:sz w:val="24"/>
        </w:rPr>
        <w:t>en</w:t>
      </w:r>
      <w:r>
        <w:rPr>
          <w:color w:val="231F20"/>
          <w:spacing w:val="-13"/>
          <w:sz w:val="24"/>
        </w:rPr>
        <w:t> </w:t>
      </w:r>
      <w:r>
        <w:rPr>
          <w:color w:val="231F20"/>
          <w:spacing w:val="-2"/>
          <w:sz w:val="24"/>
        </w:rPr>
        <w:t>chemin,</w:t>
      </w:r>
      <w:r>
        <w:rPr>
          <w:color w:val="231F20"/>
          <w:spacing w:val="-13"/>
          <w:sz w:val="24"/>
        </w:rPr>
        <w:t> </w:t>
      </w:r>
      <w:r>
        <w:rPr>
          <w:color w:val="231F20"/>
          <w:spacing w:val="-2"/>
          <w:sz w:val="24"/>
        </w:rPr>
        <w:t>les</w:t>
      </w:r>
      <w:r>
        <w:rPr>
          <w:color w:val="231F20"/>
          <w:spacing w:val="-13"/>
          <w:sz w:val="24"/>
        </w:rPr>
        <w:t> </w:t>
      </w:r>
      <w:r>
        <w:rPr>
          <w:color w:val="231F20"/>
          <w:spacing w:val="-2"/>
          <w:sz w:val="24"/>
        </w:rPr>
        <w:t>futurs</w:t>
      </w:r>
      <w:r>
        <w:rPr>
          <w:color w:val="231F20"/>
          <w:spacing w:val="-13"/>
          <w:sz w:val="24"/>
        </w:rPr>
        <w:t> </w:t>
      </w:r>
      <w:r>
        <w:rPr>
          <w:color w:val="231F20"/>
          <w:spacing w:val="-2"/>
          <w:sz w:val="24"/>
        </w:rPr>
        <w:t>«</w:t>
      </w:r>
      <w:r>
        <w:rPr>
          <w:color w:val="231F20"/>
          <w:spacing w:val="-13"/>
          <w:sz w:val="24"/>
        </w:rPr>
        <w:t> </w:t>
      </w:r>
      <w:r>
        <w:rPr>
          <w:color w:val="231F20"/>
          <w:spacing w:val="-2"/>
          <w:sz w:val="24"/>
        </w:rPr>
        <w:t>gouverneurs</w:t>
      </w:r>
      <w:r>
        <w:rPr>
          <w:color w:val="231F20"/>
          <w:spacing w:val="-13"/>
          <w:sz w:val="24"/>
        </w:rPr>
        <w:t> </w:t>
      </w:r>
      <w:r>
        <w:rPr>
          <w:color w:val="231F20"/>
          <w:spacing w:val="-2"/>
          <w:sz w:val="24"/>
        </w:rPr>
        <w:t>nègres</w:t>
      </w:r>
      <w:r>
        <w:rPr>
          <w:color w:val="231F20"/>
          <w:spacing w:val="-13"/>
          <w:sz w:val="24"/>
        </w:rPr>
        <w:t> </w:t>
      </w:r>
      <w:r>
        <w:rPr>
          <w:color w:val="231F20"/>
          <w:spacing w:val="-2"/>
          <w:sz w:val="24"/>
        </w:rPr>
        <w:t>de</w:t>
      </w:r>
      <w:r>
        <w:rPr>
          <w:color w:val="231F20"/>
          <w:spacing w:val="-13"/>
          <w:sz w:val="24"/>
        </w:rPr>
        <w:t> </w:t>
      </w:r>
      <w:r>
        <w:rPr>
          <w:color w:val="231F20"/>
          <w:spacing w:val="-2"/>
          <w:sz w:val="24"/>
        </w:rPr>
        <w:t>la </w:t>
      </w:r>
      <w:r>
        <w:rPr>
          <w:color w:val="231F20"/>
          <w:spacing w:val="-4"/>
          <w:sz w:val="24"/>
        </w:rPr>
        <w:t>France</w:t>
      </w:r>
      <w:r>
        <w:rPr>
          <w:color w:val="231F20"/>
          <w:spacing w:val="-11"/>
          <w:sz w:val="24"/>
        </w:rPr>
        <w:t> </w:t>
      </w:r>
      <w:r>
        <w:rPr>
          <w:color w:val="231F20"/>
          <w:spacing w:val="-4"/>
          <w:sz w:val="24"/>
        </w:rPr>
        <w:t>»</w:t>
      </w:r>
      <w:r>
        <w:rPr>
          <w:color w:val="231F20"/>
          <w:spacing w:val="-11"/>
          <w:sz w:val="24"/>
        </w:rPr>
        <w:t> </w:t>
      </w:r>
      <w:r>
        <w:rPr>
          <w:color w:val="231F20"/>
          <w:spacing w:val="-4"/>
          <w:sz w:val="24"/>
        </w:rPr>
        <w:t>confient</w:t>
      </w:r>
      <w:r>
        <w:rPr>
          <w:color w:val="231F20"/>
          <w:spacing w:val="-11"/>
          <w:sz w:val="24"/>
        </w:rPr>
        <w:t> </w:t>
      </w:r>
      <w:r>
        <w:rPr>
          <w:color w:val="231F20"/>
          <w:spacing w:val="-4"/>
          <w:sz w:val="24"/>
        </w:rPr>
        <w:t>à</w:t>
      </w:r>
      <w:r>
        <w:rPr>
          <w:color w:val="231F20"/>
          <w:spacing w:val="-11"/>
          <w:sz w:val="24"/>
        </w:rPr>
        <w:t> </w:t>
      </w:r>
      <w:r>
        <w:rPr>
          <w:color w:val="231F20"/>
          <w:spacing w:val="-4"/>
          <w:sz w:val="24"/>
        </w:rPr>
        <w:t>la</w:t>
      </w:r>
      <w:r>
        <w:rPr>
          <w:color w:val="231F20"/>
          <w:spacing w:val="-11"/>
          <w:sz w:val="24"/>
        </w:rPr>
        <w:t> </w:t>
      </w:r>
      <w:r>
        <w:rPr>
          <w:color w:val="231F20"/>
          <w:spacing w:val="-4"/>
          <w:sz w:val="24"/>
        </w:rPr>
        <w:t>France</w:t>
      </w:r>
      <w:r>
        <w:rPr>
          <w:color w:val="231F20"/>
          <w:spacing w:val="-11"/>
          <w:sz w:val="24"/>
        </w:rPr>
        <w:t> </w:t>
      </w:r>
      <w:r>
        <w:rPr>
          <w:color w:val="231F20"/>
          <w:spacing w:val="-4"/>
          <w:sz w:val="24"/>
        </w:rPr>
        <w:t>le</w:t>
      </w:r>
      <w:r>
        <w:rPr>
          <w:color w:val="231F20"/>
          <w:spacing w:val="-11"/>
          <w:sz w:val="24"/>
        </w:rPr>
        <w:t> </w:t>
      </w:r>
      <w:r>
        <w:rPr>
          <w:color w:val="231F20"/>
          <w:spacing w:val="-4"/>
          <w:sz w:val="24"/>
        </w:rPr>
        <w:t>soin</w:t>
      </w:r>
      <w:r>
        <w:rPr>
          <w:color w:val="231F20"/>
          <w:spacing w:val="-11"/>
          <w:sz w:val="24"/>
        </w:rPr>
        <w:t> </w:t>
      </w:r>
      <w:r>
        <w:rPr>
          <w:color w:val="231F20"/>
          <w:spacing w:val="-4"/>
          <w:sz w:val="24"/>
        </w:rPr>
        <w:t>de</w:t>
      </w:r>
      <w:r>
        <w:rPr>
          <w:color w:val="231F20"/>
          <w:spacing w:val="-11"/>
          <w:sz w:val="24"/>
        </w:rPr>
        <w:t> </w:t>
      </w:r>
      <w:r>
        <w:rPr>
          <w:color w:val="231F20"/>
          <w:spacing w:val="-4"/>
          <w:sz w:val="24"/>
        </w:rPr>
        <w:t>tracer</w:t>
      </w:r>
      <w:r>
        <w:rPr>
          <w:color w:val="231F20"/>
          <w:spacing w:val="-11"/>
          <w:sz w:val="24"/>
        </w:rPr>
        <w:t> </w:t>
      </w:r>
      <w:r>
        <w:rPr>
          <w:color w:val="231F20"/>
          <w:spacing w:val="-4"/>
          <w:sz w:val="24"/>
        </w:rPr>
        <w:t>les</w:t>
      </w:r>
      <w:r>
        <w:rPr>
          <w:color w:val="231F20"/>
          <w:spacing w:val="-11"/>
          <w:sz w:val="24"/>
        </w:rPr>
        <w:t> </w:t>
      </w:r>
      <w:r>
        <w:rPr>
          <w:color w:val="231F20"/>
          <w:spacing w:val="-4"/>
          <w:sz w:val="24"/>
        </w:rPr>
        <w:t>sillons</w:t>
      </w:r>
      <w:r>
        <w:rPr>
          <w:color w:val="231F20"/>
          <w:spacing w:val="-11"/>
          <w:sz w:val="24"/>
        </w:rPr>
        <w:t> </w:t>
      </w:r>
      <w:r>
        <w:rPr>
          <w:color w:val="231F20"/>
          <w:spacing w:val="-4"/>
          <w:sz w:val="24"/>
        </w:rPr>
        <w:t>de</w:t>
      </w:r>
      <w:r>
        <w:rPr>
          <w:color w:val="231F20"/>
          <w:spacing w:val="-11"/>
          <w:sz w:val="24"/>
        </w:rPr>
        <w:t> </w:t>
      </w:r>
      <w:r>
        <w:rPr>
          <w:color w:val="231F20"/>
          <w:spacing w:val="-4"/>
          <w:sz w:val="24"/>
        </w:rPr>
        <w:t>l’émancipation </w:t>
      </w:r>
      <w:r>
        <w:rPr>
          <w:color w:val="231F20"/>
          <w:sz w:val="24"/>
        </w:rPr>
        <w:t>de</w:t>
      </w:r>
      <w:r>
        <w:rPr>
          <w:color w:val="231F20"/>
          <w:spacing w:val="-15"/>
          <w:sz w:val="24"/>
        </w:rPr>
        <w:t> </w:t>
      </w:r>
      <w:r>
        <w:rPr>
          <w:color w:val="231F20"/>
          <w:sz w:val="24"/>
        </w:rPr>
        <w:t>leurs</w:t>
      </w:r>
      <w:r>
        <w:rPr>
          <w:color w:val="231F20"/>
          <w:spacing w:val="-15"/>
          <w:sz w:val="24"/>
        </w:rPr>
        <w:t> </w:t>
      </w:r>
      <w:r>
        <w:rPr>
          <w:color w:val="231F20"/>
          <w:sz w:val="24"/>
        </w:rPr>
        <w:t>États.</w:t>
      </w:r>
      <w:r>
        <w:rPr>
          <w:color w:val="231F20"/>
          <w:spacing w:val="-15"/>
          <w:sz w:val="24"/>
        </w:rPr>
        <w:t> </w:t>
      </w:r>
      <w:r>
        <w:rPr>
          <w:color w:val="231F20"/>
          <w:sz w:val="24"/>
        </w:rPr>
        <w:t>Toutes</w:t>
      </w:r>
      <w:r>
        <w:rPr>
          <w:color w:val="231F20"/>
          <w:spacing w:val="-15"/>
          <w:sz w:val="24"/>
        </w:rPr>
        <w:t> </w:t>
      </w:r>
      <w:r>
        <w:rPr>
          <w:color w:val="231F20"/>
          <w:sz w:val="24"/>
        </w:rPr>
        <w:t>les</w:t>
      </w:r>
      <w:r>
        <w:rPr>
          <w:color w:val="231F20"/>
          <w:spacing w:val="-15"/>
          <w:sz w:val="24"/>
        </w:rPr>
        <w:t> </w:t>
      </w:r>
      <w:r>
        <w:rPr>
          <w:color w:val="231F20"/>
          <w:sz w:val="24"/>
        </w:rPr>
        <w:t>dispositions</w:t>
      </w:r>
      <w:r>
        <w:rPr>
          <w:color w:val="231F20"/>
          <w:spacing w:val="-15"/>
          <w:sz w:val="24"/>
        </w:rPr>
        <w:t> </w:t>
      </w:r>
      <w:r>
        <w:rPr>
          <w:color w:val="231F20"/>
          <w:sz w:val="24"/>
        </w:rPr>
        <w:t>fondamentales</w:t>
      </w:r>
      <w:r>
        <w:rPr>
          <w:color w:val="231F20"/>
          <w:spacing w:val="-15"/>
          <w:sz w:val="24"/>
        </w:rPr>
        <w:t> </w:t>
      </w:r>
      <w:r>
        <w:rPr>
          <w:color w:val="231F20"/>
          <w:sz w:val="24"/>
        </w:rPr>
        <w:t>pour</w:t>
      </w:r>
      <w:r>
        <w:rPr>
          <w:color w:val="231F20"/>
          <w:spacing w:val="-15"/>
          <w:sz w:val="24"/>
        </w:rPr>
        <w:t> </w:t>
      </w:r>
      <w:r>
        <w:rPr>
          <w:color w:val="231F20"/>
          <w:sz w:val="24"/>
        </w:rPr>
        <w:t>la</w:t>
      </w:r>
      <w:r>
        <w:rPr>
          <w:color w:val="231F20"/>
          <w:spacing w:val="-14"/>
          <w:sz w:val="24"/>
        </w:rPr>
        <w:t> </w:t>
      </w:r>
      <w:r>
        <w:rPr>
          <w:color w:val="231F20"/>
          <w:sz w:val="24"/>
        </w:rPr>
        <w:t>gestion</w:t>
      </w:r>
      <w:r>
        <w:rPr>
          <w:color w:val="231F20"/>
          <w:spacing w:val="-15"/>
          <w:sz w:val="24"/>
        </w:rPr>
        <w:t> </w:t>
      </w:r>
      <w:r>
        <w:rPr>
          <w:color w:val="231F20"/>
          <w:sz w:val="24"/>
        </w:rPr>
        <w:t>des dits États sont prises en compte : démocratie et respect des droits de l’homme, multipartisme, liberté d’expression, liberté de la presse, etc. </w:t>
      </w:r>
      <w:r>
        <w:rPr>
          <w:color w:val="231F20"/>
          <w:spacing w:val="-4"/>
          <w:sz w:val="24"/>
        </w:rPr>
        <w:t>Paradoxalement,</w:t>
      </w:r>
      <w:r>
        <w:rPr>
          <w:color w:val="231F20"/>
          <w:spacing w:val="-7"/>
          <w:sz w:val="24"/>
        </w:rPr>
        <w:t> </w:t>
      </w:r>
      <w:r>
        <w:rPr>
          <w:color w:val="231F20"/>
          <w:spacing w:val="-4"/>
          <w:sz w:val="24"/>
        </w:rPr>
        <w:t>la</w:t>
      </w:r>
      <w:r>
        <w:rPr>
          <w:color w:val="231F20"/>
          <w:spacing w:val="-9"/>
          <w:sz w:val="24"/>
        </w:rPr>
        <w:t> </w:t>
      </w:r>
      <w:r>
        <w:rPr>
          <w:color w:val="231F20"/>
          <w:spacing w:val="-4"/>
          <w:sz w:val="24"/>
        </w:rPr>
        <w:t>Puissance</w:t>
      </w:r>
      <w:r>
        <w:rPr>
          <w:color w:val="231F20"/>
          <w:spacing w:val="-5"/>
          <w:sz w:val="24"/>
        </w:rPr>
        <w:t> </w:t>
      </w:r>
      <w:r>
        <w:rPr>
          <w:color w:val="231F20"/>
          <w:spacing w:val="-4"/>
          <w:sz w:val="24"/>
        </w:rPr>
        <w:t>tutélaire</w:t>
      </w:r>
      <w:r>
        <w:rPr>
          <w:color w:val="231F20"/>
          <w:spacing w:val="-9"/>
          <w:sz w:val="24"/>
        </w:rPr>
        <w:t> </w:t>
      </w:r>
      <w:r>
        <w:rPr>
          <w:color w:val="231F20"/>
          <w:spacing w:val="-4"/>
          <w:sz w:val="24"/>
        </w:rPr>
        <w:t>ressort</w:t>
      </w:r>
      <w:r>
        <w:rPr>
          <w:color w:val="231F20"/>
          <w:spacing w:val="-5"/>
          <w:sz w:val="24"/>
        </w:rPr>
        <w:t> </w:t>
      </w:r>
      <w:r>
        <w:rPr>
          <w:color w:val="231F20"/>
          <w:spacing w:val="-4"/>
          <w:sz w:val="24"/>
        </w:rPr>
        <w:t>des</w:t>
      </w:r>
      <w:r>
        <w:rPr>
          <w:color w:val="231F20"/>
          <w:spacing w:val="-5"/>
          <w:sz w:val="24"/>
        </w:rPr>
        <w:t> </w:t>
      </w:r>
      <w:r>
        <w:rPr>
          <w:color w:val="231F20"/>
          <w:spacing w:val="-4"/>
          <w:sz w:val="24"/>
        </w:rPr>
        <w:t>placards,</w:t>
      </w:r>
      <w:r>
        <w:rPr>
          <w:color w:val="231F20"/>
          <w:spacing w:val="-6"/>
          <w:sz w:val="24"/>
        </w:rPr>
        <w:t> </w:t>
      </w:r>
      <w:r>
        <w:rPr>
          <w:color w:val="231F20"/>
          <w:spacing w:val="-4"/>
          <w:sz w:val="24"/>
        </w:rPr>
        <w:t>des</w:t>
      </w:r>
      <w:r>
        <w:rPr>
          <w:color w:val="231F20"/>
          <w:spacing w:val="-8"/>
          <w:sz w:val="24"/>
        </w:rPr>
        <w:t> </w:t>
      </w:r>
      <w:r>
        <w:rPr>
          <w:color w:val="231F20"/>
          <w:spacing w:val="-4"/>
          <w:sz w:val="24"/>
        </w:rPr>
        <w:t>accords</w:t>
      </w:r>
      <w:r>
        <w:rPr>
          <w:color w:val="231F20"/>
          <w:spacing w:val="-8"/>
          <w:sz w:val="24"/>
        </w:rPr>
        <w:t> </w:t>
      </w:r>
      <w:r>
        <w:rPr>
          <w:color w:val="231F20"/>
          <w:spacing w:val="-4"/>
          <w:sz w:val="24"/>
        </w:rPr>
        <w:t>et </w:t>
      </w:r>
      <w:r>
        <w:rPr>
          <w:color w:val="231F20"/>
          <w:spacing w:val="-2"/>
          <w:sz w:val="24"/>
        </w:rPr>
        <w:t>traités</w:t>
      </w:r>
      <w:r>
        <w:rPr>
          <w:color w:val="231F20"/>
          <w:spacing w:val="-9"/>
          <w:sz w:val="24"/>
        </w:rPr>
        <w:t> </w:t>
      </w:r>
      <w:r>
        <w:rPr>
          <w:color w:val="231F20"/>
          <w:spacing w:val="-2"/>
          <w:sz w:val="24"/>
        </w:rPr>
        <w:t>de</w:t>
      </w:r>
      <w:r>
        <w:rPr>
          <w:color w:val="231F20"/>
          <w:spacing w:val="-7"/>
          <w:sz w:val="24"/>
        </w:rPr>
        <w:t> </w:t>
      </w:r>
      <w:r>
        <w:rPr>
          <w:color w:val="231F20"/>
          <w:spacing w:val="-2"/>
          <w:sz w:val="24"/>
        </w:rPr>
        <w:t>coopération</w:t>
      </w:r>
      <w:r>
        <w:rPr>
          <w:color w:val="231F20"/>
          <w:spacing w:val="-7"/>
          <w:sz w:val="24"/>
        </w:rPr>
        <w:t> </w:t>
      </w:r>
      <w:r>
        <w:rPr>
          <w:color w:val="231F20"/>
          <w:spacing w:val="-2"/>
          <w:sz w:val="24"/>
        </w:rPr>
        <w:t>sur</w:t>
      </w:r>
      <w:r>
        <w:rPr>
          <w:color w:val="231F20"/>
          <w:spacing w:val="-9"/>
          <w:sz w:val="24"/>
        </w:rPr>
        <w:t> </w:t>
      </w:r>
      <w:r>
        <w:rPr>
          <w:color w:val="231F20"/>
          <w:spacing w:val="-2"/>
          <w:sz w:val="24"/>
        </w:rPr>
        <w:t>la</w:t>
      </w:r>
      <w:r>
        <w:rPr>
          <w:color w:val="231F20"/>
          <w:spacing w:val="-7"/>
          <w:sz w:val="24"/>
        </w:rPr>
        <w:t> </w:t>
      </w:r>
      <w:r>
        <w:rPr>
          <w:color w:val="231F20"/>
          <w:spacing w:val="-2"/>
          <w:sz w:val="24"/>
        </w:rPr>
        <w:t>Politique</w:t>
      </w:r>
      <w:r>
        <w:rPr>
          <w:color w:val="231F20"/>
          <w:spacing w:val="-5"/>
          <w:sz w:val="24"/>
        </w:rPr>
        <w:t> </w:t>
      </w:r>
      <w:r>
        <w:rPr>
          <w:color w:val="231F20"/>
          <w:spacing w:val="-2"/>
          <w:sz w:val="24"/>
        </w:rPr>
        <w:t>Étrangère,</w:t>
      </w:r>
      <w:r>
        <w:rPr>
          <w:color w:val="231F20"/>
          <w:spacing w:val="-9"/>
          <w:sz w:val="24"/>
        </w:rPr>
        <w:t> </w:t>
      </w:r>
      <w:r>
        <w:rPr>
          <w:color w:val="231F20"/>
          <w:spacing w:val="-2"/>
          <w:sz w:val="24"/>
        </w:rPr>
        <w:t>la</w:t>
      </w:r>
      <w:r>
        <w:rPr>
          <w:color w:val="231F20"/>
          <w:spacing w:val="-9"/>
          <w:sz w:val="24"/>
        </w:rPr>
        <w:t> </w:t>
      </w:r>
      <w:r>
        <w:rPr>
          <w:color w:val="231F20"/>
          <w:spacing w:val="-2"/>
          <w:sz w:val="24"/>
        </w:rPr>
        <w:t>Défense,</w:t>
      </w:r>
      <w:r>
        <w:rPr>
          <w:color w:val="231F20"/>
          <w:spacing w:val="-8"/>
          <w:sz w:val="24"/>
        </w:rPr>
        <w:t> </w:t>
      </w:r>
      <w:r>
        <w:rPr>
          <w:color w:val="231F20"/>
          <w:spacing w:val="-2"/>
          <w:sz w:val="24"/>
        </w:rPr>
        <w:t>la</w:t>
      </w:r>
      <w:r>
        <w:rPr>
          <w:color w:val="231F20"/>
          <w:spacing w:val="-9"/>
          <w:sz w:val="24"/>
        </w:rPr>
        <w:t> </w:t>
      </w:r>
      <w:r>
        <w:rPr>
          <w:color w:val="231F20"/>
          <w:spacing w:val="-2"/>
          <w:sz w:val="24"/>
        </w:rPr>
        <w:t>Monnaie, </w:t>
      </w:r>
      <w:r>
        <w:rPr>
          <w:color w:val="231F20"/>
          <w:sz w:val="24"/>
        </w:rPr>
        <w:t>la Politique Économique et Financière, les Matières premières stratégiques, la Justice, les Transports, les Télécommunications… des domaines de souveraineté qui faisaient l'objet des compétences communes</w:t>
      </w:r>
      <w:r>
        <w:rPr>
          <w:color w:val="231F20"/>
          <w:spacing w:val="-8"/>
          <w:sz w:val="24"/>
        </w:rPr>
        <w:t> </w:t>
      </w:r>
      <w:r>
        <w:rPr>
          <w:color w:val="231F20"/>
          <w:sz w:val="24"/>
        </w:rPr>
        <w:t>de</w:t>
      </w:r>
      <w:r>
        <w:rPr>
          <w:color w:val="231F20"/>
          <w:spacing w:val="-7"/>
          <w:sz w:val="24"/>
        </w:rPr>
        <w:t> </w:t>
      </w:r>
      <w:r>
        <w:rPr>
          <w:color w:val="231F20"/>
          <w:sz w:val="24"/>
        </w:rPr>
        <w:t>la</w:t>
      </w:r>
      <w:r>
        <w:rPr>
          <w:color w:val="231F20"/>
          <w:spacing w:val="-9"/>
          <w:sz w:val="24"/>
        </w:rPr>
        <w:t> </w:t>
      </w:r>
      <w:r>
        <w:rPr>
          <w:color w:val="231F20"/>
          <w:sz w:val="24"/>
        </w:rPr>
        <w:t>Communauté</w:t>
      </w:r>
      <w:r>
        <w:rPr>
          <w:color w:val="231F20"/>
          <w:spacing w:val="-7"/>
          <w:sz w:val="24"/>
        </w:rPr>
        <w:t> </w:t>
      </w:r>
      <w:r>
        <w:rPr>
          <w:color w:val="231F20"/>
          <w:sz w:val="24"/>
        </w:rPr>
        <w:t>prévue</w:t>
      </w:r>
      <w:r>
        <w:rPr>
          <w:color w:val="231F20"/>
          <w:spacing w:val="-9"/>
          <w:sz w:val="24"/>
        </w:rPr>
        <w:t> </w:t>
      </w:r>
      <w:r>
        <w:rPr>
          <w:color w:val="231F20"/>
          <w:sz w:val="24"/>
        </w:rPr>
        <w:t>par</w:t>
      </w:r>
      <w:r>
        <w:rPr>
          <w:color w:val="231F20"/>
          <w:spacing w:val="-10"/>
          <w:sz w:val="24"/>
        </w:rPr>
        <w:t> </w:t>
      </w:r>
      <w:r>
        <w:rPr>
          <w:color w:val="231F20"/>
          <w:sz w:val="24"/>
        </w:rPr>
        <w:t>la</w:t>
      </w:r>
      <w:r>
        <w:rPr>
          <w:color w:val="231F20"/>
          <w:spacing w:val="-7"/>
          <w:sz w:val="24"/>
        </w:rPr>
        <w:t> </w:t>
      </w:r>
      <w:r>
        <w:rPr>
          <w:color w:val="231F20"/>
          <w:sz w:val="24"/>
        </w:rPr>
        <w:t>Constitution</w:t>
      </w:r>
      <w:r>
        <w:rPr>
          <w:color w:val="231F20"/>
          <w:spacing w:val="-6"/>
          <w:sz w:val="24"/>
        </w:rPr>
        <w:t> </w:t>
      </w:r>
      <w:r>
        <w:rPr>
          <w:color w:val="231F20"/>
          <w:sz w:val="24"/>
        </w:rPr>
        <w:t>de</w:t>
      </w:r>
      <w:r>
        <w:rPr>
          <w:color w:val="231F20"/>
          <w:spacing w:val="-7"/>
          <w:sz w:val="24"/>
        </w:rPr>
        <w:t> </w:t>
      </w:r>
      <w:r>
        <w:rPr>
          <w:color w:val="231F20"/>
          <w:sz w:val="24"/>
        </w:rPr>
        <w:t>1958</w:t>
      </w:r>
      <w:r>
        <w:rPr>
          <w:color w:val="231F20"/>
          <w:spacing w:val="-15"/>
          <w:sz w:val="24"/>
        </w:rPr>
        <w:t> </w:t>
      </w:r>
      <w:r>
        <w:rPr>
          <w:color w:val="231F20"/>
          <w:sz w:val="24"/>
        </w:rPr>
        <w:t>:</w:t>
      </w:r>
      <w:r>
        <w:rPr>
          <w:color w:val="231F20"/>
          <w:spacing w:val="-15"/>
          <w:sz w:val="24"/>
        </w:rPr>
        <w:t> </w:t>
      </w:r>
      <w:r>
        <w:rPr>
          <w:color w:val="231F20"/>
          <w:sz w:val="24"/>
        </w:rPr>
        <w:t>«</w:t>
      </w:r>
      <w:r>
        <w:rPr>
          <w:color w:val="231F20"/>
          <w:spacing w:val="-7"/>
          <w:sz w:val="24"/>
        </w:rPr>
        <w:t> </w:t>
      </w:r>
      <w:r>
        <w:rPr>
          <w:color w:val="231F20"/>
          <w:sz w:val="24"/>
        </w:rPr>
        <w:t>c</w:t>
      </w:r>
      <w:r>
        <w:rPr>
          <w:i/>
          <w:color w:val="231F20"/>
          <w:sz w:val="24"/>
        </w:rPr>
        <w:t>e</w:t>
      </w:r>
      <w:r>
        <w:rPr>
          <w:i/>
          <w:color w:val="231F20"/>
          <w:sz w:val="24"/>
        </w:rPr>
        <w:t> n'est pas le cadre de l'indépendance qui importe, c'est le contenu : le contenu économique, le contenu social, le contenu humain. Si nous </w:t>
      </w:r>
      <w:r>
        <w:rPr>
          <w:i/>
          <w:color w:val="231F20"/>
          <w:spacing w:val="-2"/>
          <w:sz w:val="24"/>
        </w:rPr>
        <w:t>pouvions,</w:t>
      </w:r>
      <w:r>
        <w:rPr>
          <w:i/>
          <w:color w:val="231F20"/>
          <w:spacing w:val="-13"/>
          <w:sz w:val="24"/>
        </w:rPr>
        <w:t> </w:t>
      </w:r>
      <w:r>
        <w:rPr>
          <w:i/>
          <w:color w:val="231F20"/>
          <w:spacing w:val="-2"/>
          <w:sz w:val="24"/>
        </w:rPr>
        <w:t>de</w:t>
      </w:r>
      <w:r>
        <w:rPr>
          <w:i/>
          <w:color w:val="231F20"/>
          <w:spacing w:val="-13"/>
          <w:sz w:val="24"/>
        </w:rPr>
        <w:t> </w:t>
      </w:r>
      <w:r>
        <w:rPr>
          <w:i/>
          <w:color w:val="231F20"/>
          <w:spacing w:val="-2"/>
          <w:sz w:val="24"/>
        </w:rPr>
        <w:t>par</w:t>
      </w:r>
      <w:r>
        <w:rPr>
          <w:i/>
          <w:color w:val="231F20"/>
          <w:spacing w:val="-13"/>
          <w:sz w:val="24"/>
        </w:rPr>
        <w:t> </w:t>
      </w:r>
      <w:r>
        <w:rPr>
          <w:i/>
          <w:color w:val="231F20"/>
          <w:spacing w:val="-2"/>
          <w:sz w:val="24"/>
        </w:rPr>
        <w:t>nos</w:t>
      </w:r>
      <w:r>
        <w:rPr>
          <w:i/>
          <w:color w:val="231F20"/>
          <w:spacing w:val="-10"/>
          <w:sz w:val="24"/>
        </w:rPr>
        <w:t> </w:t>
      </w:r>
      <w:r>
        <w:rPr>
          <w:i/>
          <w:color w:val="231F20"/>
          <w:spacing w:val="-2"/>
          <w:sz w:val="24"/>
        </w:rPr>
        <w:t>seules</w:t>
      </w:r>
      <w:r>
        <w:rPr>
          <w:i/>
          <w:color w:val="231F20"/>
          <w:spacing w:val="-10"/>
          <w:sz w:val="24"/>
        </w:rPr>
        <w:t> </w:t>
      </w:r>
      <w:r>
        <w:rPr>
          <w:i/>
          <w:color w:val="231F20"/>
          <w:spacing w:val="-2"/>
          <w:sz w:val="24"/>
        </w:rPr>
        <w:t>ressources,</w:t>
      </w:r>
      <w:r>
        <w:rPr>
          <w:i/>
          <w:color w:val="231F20"/>
          <w:spacing w:val="-13"/>
          <w:sz w:val="24"/>
        </w:rPr>
        <w:t> </w:t>
      </w:r>
      <w:r>
        <w:rPr>
          <w:i/>
          <w:color w:val="231F20"/>
          <w:spacing w:val="-2"/>
          <w:sz w:val="24"/>
        </w:rPr>
        <w:t>de</w:t>
      </w:r>
      <w:r>
        <w:rPr>
          <w:i/>
          <w:color w:val="231F20"/>
          <w:spacing w:val="-10"/>
          <w:sz w:val="24"/>
        </w:rPr>
        <w:t> </w:t>
      </w:r>
      <w:r>
        <w:rPr>
          <w:i/>
          <w:color w:val="231F20"/>
          <w:spacing w:val="-2"/>
          <w:sz w:val="24"/>
        </w:rPr>
        <w:t>par</w:t>
      </w:r>
      <w:r>
        <w:rPr>
          <w:i/>
          <w:color w:val="231F20"/>
          <w:spacing w:val="-13"/>
          <w:sz w:val="24"/>
        </w:rPr>
        <w:t> </w:t>
      </w:r>
      <w:r>
        <w:rPr>
          <w:i/>
          <w:color w:val="231F20"/>
          <w:spacing w:val="-2"/>
          <w:sz w:val="24"/>
        </w:rPr>
        <w:t>nos</w:t>
      </w:r>
      <w:r>
        <w:rPr>
          <w:i/>
          <w:color w:val="231F20"/>
          <w:spacing w:val="-13"/>
          <w:sz w:val="24"/>
        </w:rPr>
        <w:t> </w:t>
      </w:r>
      <w:r>
        <w:rPr>
          <w:i/>
          <w:color w:val="231F20"/>
          <w:spacing w:val="-2"/>
          <w:sz w:val="24"/>
        </w:rPr>
        <w:t>seuls</w:t>
      </w:r>
      <w:r>
        <w:rPr>
          <w:i/>
          <w:color w:val="231F20"/>
          <w:spacing w:val="-13"/>
          <w:sz w:val="24"/>
        </w:rPr>
        <w:t> </w:t>
      </w:r>
      <w:r>
        <w:rPr>
          <w:i/>
          <w:color w:val="231F20"/>
          <w:spacing w:val="-2"/>
          <w:sz w:val="24"/>
        </w:rPr>
        <w:t>moyens,</w:t>
      </w:r>
      <w:r>
        <w:rPr>
          <w:i/>
          <w:color w:val="231F20"/>
          <w:spacing w:val="-10"/>
          <w:sz w:val="24"/>
        </w:rPr>
        <w:t> </w:t>
      </w:r>
      <w:r>
        <w:rPr>
          <w:i/>
          <w:color w:val="231F20"/>
          <w:spacing w:val="-2"/>
          <w:sz w:val="24"/>
        </w:rPr>
        <w:t>assurer </w:t>
      </w:r>
      <w:r>
        <w:rPr>
          <w:i/>
          <w:color w:val="231F20"/>
          <w:sz w:val="24"/>
        </w:rPr>
        <w:t>à l'homme africain le bonheur que nous lui souhaitons, nous aurions choisi, malgré tout ce qui nous attachait à la France, l'indépendance nominale.</w:t>
      </w:r>
      <w:r>
        <w:rPr>
          <w:color w:val="76787A"/>
          <w:sz w:val="24"/>
          <w:vertAlign w:val="superscript"/>
        </w:rPr>
        <w:t>234</w:t>
      </w:r>
      <w:r>
        <w:rPr>
          <w:color w:val="76787A"/>
          <w:sz w:val="24"/>
          <w:vertAlign w:val="baseline"/>
        </w:rPr>
        <w:t> </w:t>
      </w:r>
      <w:r>
        <w:rPr>
          <w:i/>
          <w:color w:val="231F20"/>
          <w:sz w:val="24"/>
          <w:vertAlign w:val="baseline"/>
        </w:rPr>
        <w:t>»</w:t>
      </w:r>
    </w:p>
    <w:p>
      <w:pPr>
        <w:pStyle w:val="BodyText"/>
        <w:spacing w:before="121"/>
        <w:ind w:right="107" w:firstLine="283"/>
      </w:pPr>
      <w:r>
        <w:rPr>
          <w:color w:val="636466"/>
        </w:rPr>
        <w:t>Les accords économiques signés </w:t>
      </w:r>
      <w:r>
        <w:rPr>
          <w:color w:val="231F20"/>
        </w:rPr>
        <w:t>sont souvent complétés dans les annexes par des accords spéciaux aux termes desquels le pays peut demander</w:t>
      </w:r>
      <w:r>
        <w:rPr>
          <w:color w:val="231F20"/>
          <w:spacing w:val="4"/>
        </w:rPr>
        <w:t> </w:t>
      </w:r>
      <w:r>
        <w:rPr>
          <w:color w:val="231F20"/>
        </w:rPr>
        <w:t>l'aide</w:t>
      </w:r>
      <w:r>
        <w:rPr>
          <w:color w:val="231F20"/>
          <w:spacing w:val="5"/>
        </w:rPr>
        <w:t> </w:t>
      </w:r>
      <w:r>
        <w:rPr>
          <w:color w:val="231F20"/>
        </w:rPr>
        <w:t>de</w:t>
      </w:r>
      <w:r>
        <w:rPr>
          <w:color w:val="231F20"/>
          <w:spacing w:val="5"/>
        </w:rPr>
        <w:t> </w:t>
      </w:r>
      <w:r>
        <w:rPr>
          <w:color w:val="231F20"/>
        </w:rPr>
        <w:t>la</w:t>
      </w:r>
      <w:r>
        <w:rPr>
          <w:color w:val="231F20"/>
          <w:spacing w:val="5"/>
        </w:rPr>
        <w:t> </w:t>
      </w:r>
      <w:r>
        <w:rPr>
          <w:color w:val="231F20"/>
        </w:rPr>
        <w:t>France</w:t>
      </w:r>
      <w:r>
        <w:rPr>
          <w:color w:val="231F20"/>
          <w:spacing w:val="5"/>
        </w:rPr>
        <w:t> </w:t>
      </w:r>
      <w:r>
        <w:rPr>
          <w:color w:val="231F20"/>
        </w:rPr>
        <w:t>en</w:t>
      </w:r>
      <w:r>
        <w:rPr>
          <w:color w:val="231F20"/>
          <w:spacing w:val="5"/>
        </w:rPr>
        <w:t> </w:t>
      </w:r>
      <w:r>
        <w:rPr>
          <w:color w:val="231F20"/>
        </w:rPr>
        <w:t>matière</w:t>
      </w:r>
      <w:r>
        <w:rPr>
          <w:color w:val="231F20"/>
          <w:spacing w:val="4"/>
        </w:rPr>
        <w:t> </w:t>
      </w:r>
      <w:r>
        <w:rPr>
          <w:color w:val="231F20"/>
        </w:rPr>
        <w:t>de</w:t>
      </w:r>
      <w:r>
        <w:rPr>
          <w:color w:val="231F20"/>
          <w:spacing w:val="5"/>
        </w:rPr>
        <w:t> </w:t>
      </w:r>
      <w:r>
        <w:rPr>
          <w:color w:val="231F20"/>
        </w:rPr>
        <w:t>défense.</w:t>
      </w:r>
      <w:r>
        <w:rPr>
          <w:color w:val="231F20"/>
          <w:spacing w:val="5"/>
        </w:rPr>
        <w:t> </w:t>
      </w:r>
      <w:r>
        <w:rPr>
          <w:color w:val="231F20"/>
        </w:rPr>
        <w:t>Autrement</w:t>
      </w:r>
      <w:r>
        <w:rPr>
          <w:color w:val="231F20"/>
          <w:spacing w:val="6"/>
        </w:rPr>
        <w:t> </w:t>
      </w:r>
      <w:r>
        <w:rPr>
          <w:color w:val="231F20"/>
        </w:rPr>
        <w:t>dit,</w:t>
      </w:r>
      <w:r>
        <w:rPr>
          <w:color w:val="231F20"/>
          <w:spacing w:val="5"/>
        </w:rPr>
        <w:t> </w:t>
      </w:r>
      <w:r>
        <w:rPr>
          <w:color w:val="231F20"/>
          <w:spacing w:val="-5"/>
        </w:rPr>
        <w:t>les</w:t>
      </w:r>
    </w:p>
    <w:p>
      <w:pPr>
        <w:pStyle w:val="BodyText"/>
        <w:spacing w:before="162"/>
        <w:ind w:left="0"/>
        <w:jc w:val="left"/>
        <w:rPr>
          <w:sz w:val="20"/>
        </w:rPr>
      </w:pPr>
      <w:r>
        <w:rPr/>
        <mc:AlternateContent>
          <mc:Choice Requires="wps">
            <w:drawing>
              <wp:anchor distT="0" distB="0" distL="0" distR="0" allowOverlap="1" layoutInCell="1" locked="0" behindDoc="1" simplePos="0" relativeHeight="487660544">
                <wp:simplePos x="0" y="0"/>
                <wp:positionH relativeFrom="page">
                  <wp:posOffset>629907</wp:posOffset>
                </wp:positionH>
                <wp:positionV relativeFrom="paragraph">
                  <wp:posOffset>264632</wp:posOffset>
                </wp:positionV>
                <wp:extent cx="1829435" cy="9525"/>
                <wp:effectExtent l="0" t="0" r="0" b="0"/>
                <wp:wrapTopAndBottom/>
                <wp:docPr id="174" name="Graphic 174"/>
                <wp:cNvGraphicFramePr>
                  <a:graphicFrameLocks/>
                </wp:cNvGraphicFramePr>
                <a:graphic>
                  <a:graphicData uri="http://schemas.microsoft.com/office/word/2010/wordprocessingShape">
                    <wps:wsp>
                      <wps:cNvPr id="174" name="Graphic 17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0.837187pt;width:144.020pt;height:.72pt;mso-position-horizontal-relative:page;mso-position-vertical-relative:paragraph;z-index:-15655936;mso-wrap-distance-left:0;mso-wrap-distance-right:0" id="docshape172"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234</w:t>
      </w:r>
      <w:r>
        <w:rPr>
          <w:color w:val="76787A"/>
          <w:spacing w:val="2"/>
          <w:sz w:val="20"/>
          <w:vertAlign w:val="baseline"/>
        </w:rPr>
        <w:t> </w:t>
      </w:r>
      <w:r>
        <w:rPr>
          <w:color w:val="231F20"/>
          <w:spacing w:val="-4"/>
          <w:sz w:val="20"/>
          <w:vertAlign w:val="baseline"/>
        </w:rPr>
        <w:t>Félix</w:t>
      </w:r>
      <w:r>
        <w:rPr>
          <w:color w:val="231F20"/>
          <w:spacing w:val="-3"/>
          <w:sz w:val="20"/>
          <w:vertAlign w:val="baseline"/>
        </w:rPr>
        <w:t> </w:t>
      </w:r>
      <w:r>
        <w:rPr>
          <w:color w:val="231F20"/>
          <w:spacing w:val="-4"/>
          <w:sz w:val="20"/>
          <w:vertAlign w:val="baseline"/>
        </w:rPr>
        <w:t>Houphouët</w:t>
      </w:r>
      <w:r>
        <w:rPr>
          <w:color w:val="231F20"/>
          <w:spacing w:val="-1"/>
          <w:sz w:val="20"/>
          <w:vertAlign w:val="baseline"/>
        </w:rPr>
        <w:t> </w:t>
      </w:r>
      <w:r>
        <w:rPr>
          <w:color w:val="231F20"/>
          <w:spacing w:val="-4"/>
          <w:sz w:val="20"/>
          <w:vertAlign w:val="baseline"/>
        </w:rPr>
        <w:t>Boigny,</w:t>
      </w:r>
      <w:r>
        <w:rPr>
          <w:color w:val="231F20"/>
          <w:sz w:val="20"/>
          <w:vertAlign w:val="baseline"/>
        </w:rPr>
        <w:t> </w:t>
      </w:r>
      <w:r>
        <w:rPr>
          <w:color w:val="231F20"/>
          <w:spacing w:val="-4"/>
          <w:sz w:val="20"/>
          <w:vertAlign w:val="baseline"/>
        </w:rPr>
        <w:t>Conférence</w:t>
      </w:r>
      <w:r>
        <w:rPr>
          <w:color w:val="231F20"/>
          <w:spacing w:val="-3"/>
          <w:sz w:val="20"/>
          <w:vertAlign w:val="baseline"/>
        </w:rPr>
        <w:t> </w:t>
      </w:r>
      <w:r>
        <w:rPr>
          <w:color w:val="231F20"/>
          <w:spacing w:val="-4"/>
          <w:sz w:val="20"/>
          <w:vertAlign w:val="baseline"/>
        </w:rPr>
        <w:t>de</w:t>
      </w:r>
      <w:r>
        <w:rPr>
          <w:color w:val="231F20"/>
          <w:spacing w:val="-2"/>
          <w:sz w:val="20"/>
          <w:vertAlign w:val="baseline"/>
        </w:rPr>
        <w:t> </w:t>
      </w:r>
      <w:r>
        <w:rPr>
          <w:color w:val="231F20"/>
          <w:spacing w:val="-4"/>
          <w:sz w:val="20"/>
          <w:vertAlign w:val="baseline"/>
        </w:rPr>
        <w:t>presse</w:t>
      </w:r>
      <w:r>
        <w:rPr>
          <w:color w:val="231F20"/>
          <w:spacing w:val="-3"/>
          <w:sz w:val="20"/>
          <w:vertAlign w:val="baseline"/>
        </w:rPr>
        <w:t> </w:t>
      </w:r>
      <w:r>
        <w:rPr>
          <w:color w:val="231F20"/>
          <w:spacing w:val="-4"/>
          <w:sz w:val="20"/>
          <w:vertAlign w:val="baseline"/>
        </w:rPr>
        <w:t>à</w:t>
      </w:r>
      <w:r>
        <w:rPr>
          <w:color w:val="231F20"/>
          <w:sz w:val="20"/>
          <w:vertAlign w:val="baseline"/>
        </w:rPr>
        <w:t> </w:t>
      </w:r>
      <w:r>
        <w:rPr>
          <w:color w:val="231F20"/>
          <w:spacing w:val="-4"/>
          <w:sz w:val="20"/>
          <w:vertAlign w:val="baseline"/>
        </w:rPr>
        <w:t>Paris,</w:t>
      </w:r>
      <w:r>
        <w:rPr>
          <w:color w:val="231F20"/>
          <w:spacing w:val="-3"/>
          <w:sz w:val="20"/>
          <w:vertAlign w:val="baseline"/>
        </w:rPr>
        <w:t> </w:t>
      </w:r>
      <w:r>
        <w:rPr>
          <w:color w:val="231F20"/>
          <w:spacing w:val="-4"/>
          <w:sz w:val="20"/>
          <w:vertAlign w:val="baseline"/>
        </w:rPr>
        <w:t>9</w:t>
      </w:r>
      <w:r>
        <w:rPr>
          <w:color w:val="231F20"/>
          <w:spacing w:val="-2"/>
          <w:sz w:val="20"/>
          <w:vertAlign w:val="baseline"/>
        </w:rPr>
        <w:t> </w:t>
      </w:r>
      <w:r>
        <w:rPr>
          <w:color w:val="231F20"/>
          <w:spacing w:val="-4"/>
          <w:sz w:val="20"/>
          <w:vertAlign w:val="baseline"/>
        </w:rPr>
        <w:t>juin</w:t>
      </w:r>
      <w:r>
        <w:rPr>
          <w:color w:val="231F20"/>
          <w:spacing w:val="-2"/>
          <w:sz w:val="20"/>
          <w:vertAlign w:val="baseline"/>
        </w:rPr>
        <w:t> </w:t>
      </w:r>
      <w:r>
        <w:rPr>
          <w:color w:val="231F20"/>
          <w:spacing w:val="-4"/>
          <w:sz w:val="20"/>
          <w:vertAlign w:val="baseline"/>
        </w:rPr>
        <w:t>1959.</w:t>
      </w:r>
    </w:p>
    <w:p>
      <w:pPr>
        <w:spacing w:after="0"/>
        <w:jc w:val="left"/>
        <w:rPr>
          <w:sz w:val="20"/>
        </w:rPr>
        <w:sectPr>
          <w:pgSz w:w="8790" w:h="13610"/>
          <w:pgMar w:header="0" w:footer="802" w:top="1060" w:bottom="1000" w:left="880" w:right="880"/>
        </w:sectPr>
      </w:pPr>
    </w:p>
    <w:p>
      <w:pPr>
        <w:spacing w:before="66"/>
        <w:ind w:left="111" w:right="104" w:firstLine="0"/>
        <w:jc w:val="both"/>
        <w:rPr>
          <w:sz w:val="24"/>
        </w:rPr>
      </w:pPr>
      <w:r>
        <w:rPr>
          <w:color w:val="231F20"/>
          <w:spacing w:val="-2"/>
          <w:sz w:val="24"/>
        </w:rPr>
        <w:t>nouveaux</w:t>
      </w:r>
      <w:r>
        <w:rPr>
          <w:color w:val="231F20"/>
          <w:spacing w:val="-13"/>
          <w:sz w:val="24"/>
        </w:rPr>
        <w:t> </w:t>
      </w:r>
      <w:r>
        <w:rPr>
          <w:color w:val="231F20"/>
          <w:spacing w:val="-2"/>
          <w:sz w:val="24"/>
        </w:rPr>
        <w:t>États</w:t>
      </w:r>
      <w:r>
        <w:rPr>
          <w:color w:val="231F20"/>
          <w:spacing w:val="-12"/>
          <w:sz w:val="24"/>
        </w:rPr>
        <w:t> </w:t>
      </w:r>
      <w:r>
        <w:rPr>
          <w:color w:val="231F20"/>
          <w:spacing w:val="-2"/>
          <w:sz w:val="24"/>
        </w:rPr>
        <w:t>n’ont</w:t>
      </w:r>
      <w:r>
        <w:rPr>
          <w:color w:val="231F20"/>
          <w:spacing w:val="-11"/>
          <w:sz w:val="24"/>
        </w:rPr>
        <w:t> </w:t>
      </w:r>
      <w:r>
        <w:rPr>
          <w:color w:val="231F20"/>
          <w:spacing w:val="-2"/>
          <w:sz w:val="24"/>
        </w:rPr>
        <w:t>pas</w:t>
      </w:r>
      <w:r>
        <w:rPr>
          <w:color w:val="231F20"/>
          <w:spacing w:val="-13"/>
          <w:sz w:val="24"/>
        </w:rPr>
        <w:t> </w:t>
      </w:r>
      <w:r>
        <w:rPr>
          <w:color w:val="231F20"/>
          <w:spacing w:val="-2"/>
          <w:sz w:val="24"/>
        </w:rPr>
        <w:t>besoin</w:t>
      </w:r>
      <w:r>
        <w:rPr>
          <w:color w:val="231F20"/>
          <w:spacing w:val="-12"/>
          <w:sz w:val="24"/>
        </w:rPr>
        <w:t> </w:t>
      </w:r>
      <w:r>
        <w:rPr>
          <w:color w:val="231F20"/>
          <w:spacing w:val="-2"/>
          <w:sz w:val="24"/>
        </w:rPr>
        <w:t>d’une</w:t>
      </w:r>
      <w:r>
        <w:rPr>
          <w:color w:val="231F20"/>
          <w:spacing w:val="-12"/>
          <w:sz w:val="24"/>
        </w:rPr>
        <w:t> </w:t>
      </w:r>
      <w:r>
        <w:rPr>
          <w:color w:val="231F20"/>
          <w:spacing w:val="-2"/>
          <w:sz w:val="24"/>
        </w:rPr>
        <w:t>Armée</w:t>
      </w:r>
      <w:r>
        <w:rPr>
          <w:color w:val="231F20"/>
          <w:spacing w:val="-12"/>
          <w:sz w:val="24"/>
        </w:rPr>
        <w:t> </w:t>
      </w:r>
      <w:r>
        <w:rPr>
          <w:color w:val="231F20"/>
          <w:spacing w:val="-2"/>
          <w:sz w:val="24"/>
        </w:rPr>
        <w:t>de</w:t>
      </w:r>
      <w:r>
        <w:rPr>
          <w:color w:val="231F20"/>
          <w:spacing w:val="-12"/>
          <w:sz w:val="24"/>
        </w:rPr>
        <w:t> </w:t>
      </w:r>
      <w:r>
        <w:rPr>
          <w:color w:val="231F20"/>
          <w:spacing w:val="-2"/>
          <w:sz w:val="24"/>
        </w:rPr>
        <w:t>métier.</w:t>
      </w:r>
      <w:r>
        <w:rPr>
          <w:color w:val="231F20"/>
          <w:spacing w:val="-12"/>
          <w:sz w:val="24"/>
        </w:rPr>
        <w:t> </w:t>
      </w:r>
      <w:r>
        <w:rPr>
          <w:color w:val="231F20"/>
          <w:spacing w:val="-2"/>
          <w:sz w:val="24"/>
        </w:rPr>
        <w:t>La</w:t>
      </w:r>
      <w:r>
        <w:rPr>
          <w:color w:val="231F20"/>
          <w:spacing w:val="-12"/>
          <w:sz w:val="24"/>
        </w:rPr>
        <w:t> </w:t>
      </w:r>
      <w:r>
        <w:rPr>
          <w:color w:val="231F20"/>
          <w:spacing w:val="-2"/>
          <w:sz w:val="24"/>
        </w:rPr>
        <w:t>France</w:t>
      </w:r>
      <w:r>
        <w:rPr>
          <w:color w:val="231F20"/>
          <w:spacing w:val="-12"/>
          <w:sz w:val="24"/>
        </w:rPr>
        <w:t> </w:t>
      </w:r>
      <w:r>
        <w:rPr>
          <w:color w:val="231F20"/>
          <w:spacing w:val="-2"/>
          <w:sz w:val="24"/>
        </w:rPr>
        <w:t>est</w:t>
      </w:r>
      <w:r>
        <w:rPr>
          <w:color w:val="231F20"/>
          <w:spacing w:val="-11"/>
          <w:sz w:val="24"/>
        </w:rPr>
        <w:t> </w:t>
      </w:r>
      <w:r>
        <w:rPr>
          <w:color w:val="231F20"/>
          <w:spacing w:val="-2"/>
          <w:sz w:val="24"/>
        </w:rPr>
        <w:t>là </w:t>
      </w:r>
      <w:r>
        <w:rPr>
          <w:color w:val="231F20"/>
          <w:sz w:val="24"/>
        </w:rPr>
        <w:t>pour leur défense mais ce n’est pas gratuit</w:t>
      </w:r>
      <w:r>
        <w:rPr>
          <w:color w:val="231F20"/>
          <w:spacing w:val="-13"/>
          <w:sz w:val="24"/>
        </w:rPr>
        <w:t> </w:t>
      </w:r>
      <w:r>
        <w:rPr>
          <w:color w:val="231F20"/>
          <w:sz w:val="24"/>
        </w:rPr>
        <w:t>: l’annexe 2 </w:t>
      </w:r>
      <w:r>
        <w:rPr>
          <w:rFonts w:ascii="Cambria" w:hAnsi="Cambria"/>
          <w:color w:val="231F20"/>
          <w:sz w:val="24"/>
        </w:rPr>
        <w:t>d</w:t>
      </w:r>
      <w:r>
        <w:rPr>
          <w:color w:val="636466"/>
          <w:sz w:val="24"/>
        </w:rPr>
        <w:t>e ces accords </w:t>
      </w:r>
      <w:r>
        <w:rPr>
          <w:color w:val="231F20"/>
          <w:sz w:val="24"/>
        </w:rPr>
        <w:t>stipule</w:t>
      </w:r>
      <w:r>
        <w:rPr>
          <w:color w:val="231F20"/>
          <w:spacing w:val="-10"/>
          <w:sz w:val="24"/>
        </w:rPr>
        <w:t> </w:t>
      </w:r>
      <w:r>
        <w:rPr>
          <w:color w:val="231F20"/>
          <w:sz w:val="24"/>
        </w:rPr>
        <w:t>que</w:t>
      </w:r>
      <w:r>
        <w:rPr>
          <w:color w:val="231F20"/>
          <w:spacing w:val="-10"/>
          <w:sz w:val="24"/>
        </w:rPr>
        <w:t> </w:t>
      </w:r>
      <w:r>
        <w:rPr>
          <w:color w:val="231F20"/>
          <w:sz w:val="24"/>
        </w:rPr>
        <w:t>les</w:t>
      </w:r>
      <w:r>
        <w:rPr>
          <w:color w:val="231F20"/>
          <w:spacing w:val="-9"/>
          <w:sz w:val="24"/>
        </w:rPr>
        <w:t> </w:t>
      </w:r>
      <w:r>
        <w:rPr>
          <w:color w:val="231F20"/>
          <w:sz w:val="24"/>
        </w:rPr>
        <w:t>pays</w:t>
      </w:r>
      <w:r>
        <w:rPr>
          <w:color w:val="231F20"/>
          <w:spacing w:val="-9"/>
          <w:sz w:val="24"/>
        </w:rPr>
        <w:t> </w:t>
      </w:r>
      <w:r>
        <w:rPr>
          <w:color w:val="231F20"/>
          <w:sz w:val="24"/>
        </w:rPr>
        <w:t>qui</w:t>
      </w:r>
      <w:r>
        <w:rPr>
          <w:color w:val="231F20"/>
          <w:spacing w:val="-8"/>
          <w:sz w:val="24"/>
        </w:rPr>
        <w:t> </w:t>
      </w:r>
      <w:r>
        <w:rPr>
          <w:color w:val="231F20"/>
          <w:sz w:val="24"/>
        </w:rPr>
        <w:t>ont</w:t>
      </w:r>
      <w:r>
        <w:rPr>
          <w:color w:val="231F20"/>
          <w:spacing w:val="-9"/>
          <w:sz w:val="24"/>
        </w:rPr>
        <w:t> </w:t>
      </w:r>
      <w:r>
        <w:rPr>
          <w:color w:val="231F20"/>
          <w:sz w:val="24"/>
        </w:rPr>
        <w:t>signé</w:t>
      </w:r>
      <w:r>
        <w:rPr>
          <w:color w:val="231F20"/>
          <w:spacing w:val="-9"/>
          <w:sz w:val="24"/>
        </w:rPr>
        <w:t> </w:t>
      </w:r>
      <w:r>
        <w:rPr>
          <w:color w:val="231F20"/>
          <w:sz w:val="24"/>
        </w:rPr>
        <w:t>les</w:t>
      </w:r>
      <w:r>
        <w:rPr>
          <w:color w:val="231F20"/>
          <w:spacing w:val="-7"/>
          <w:sz w:val="24"/>
        </w:rPr>
        <w:t> </w:t>
      </w:r>
      <w:r>
        <w:rPr>
          <w:color w:val="231F20"/>
          <w:sz w:val="24"/>
        </w:rPr>
        <w:t>accords</w:t>
      </w:r>
      <w:r>
        <w:rPr>
          <w:color w:val="231F20"/>
          <w:spacing w:val="-9"/>
          <w:sz w:val="24"/>
        </w:rPr>
        <w:t> </w:t>
      </w:r>
      <w:r>
        <w:rPr>
          <w:color w:val="231F20"/>
          <w:sz w:val="24"/>
        </w:rPr>
        <w:t>de</w:t>
      </w:r>
      <w:r>
        <w:rPr>
          <w:color w:val="231F20"/>
          <w:spacing w:val="-7"/>
          <w:sz w:val="24"/>
        </w:rPr>
        <w:t> </w:t>
      </w:r>
      <w:r>
        <w:rPr>
          <w:color w:val="231F20"/>
          <w:sz w:val="24"/>
        </w:rPr>
        <w:t>défense</w:t>
      </w:r>
      <w:r>
        <w:rPr>
          <w:color w:val="231F20"/>
          <w:spacing w:val="-7"/>
          <w:sz w:val="24"/>
        </w:rPr>
        <w:t> </w:t>
      </w:r>
      <w:r>
        <w:rPr>
          <w:color w:val="231F20"/>
          <w:sz w:val="24"/>
        </w:rPr>
        <w:t>avec</w:t>
      </w:r>
      <w:r>
        <w:rPr>
          <w:color w:val="231F20"/>
          <w:spacing w:val="-9"/>
          <w:sz w:val="24"/>
        </w:rPr>
        <w:t> </w:t>
      </w:r>
      <w:r>
        <w:rPr>
          <w:color w:val="231F20"/>
          <w:sz w:val="24"/>
        </w:rPr>
        <w:t>la</w:t>
      </w:r>
      <w:r>
        <w:rPr>
          <w:color w:val="231F20"/>
          <w:spacing w:val="-7"/>
          <w:sz w:val="24"/>
        </w:rPr>
        <w:t> </w:t>
      </w:r>
      <w:r>
        <w:rPr>
          <w:color w:val="231F20"/>
          <w:sz w:val="24"/>
        </w:rPr>
        <w:t>France, </w:t>
      </w:r>
      <w:r>
        <w:rPr>
          <w:i/>
          <w:color w:val="231F20"/>
          <w:sz w:val="24"/>
        </w:rPr>
        <w:t>réservent par priorité la vente de leurs matières premières et produits</w:t>
      </w:r>
      <w:r>
        <w:rPr>
          <w:i/>
          <w:color w:val="231F20"/>
          <w:sz w:val="24"/>
        </w:rPr>
        <w:t> stratégiques (hydrocarbures, uranium, lithium...) à la République </w:t>
      </w:r>
      <w:r>
        <w:rPr>
          <w:i/>
          <w:color w:val="231F20"/>
          <w:spacing w:val="-2"/>
          <w:sz w:val="24"/>
        </w:rPr>
        <w:t>Française…</w:t>
      </w:r>
      <w:r>
        <w:rPr>
          <w:i/>
          <w:color w:val="231F20"/>
          <w:spacing w:val="-11"/>
          <w:sz w:val="24"/>
        </w:rPr>
        <w:t> </w:t>
      </w:r>
      <w:r>
        <w:rPr>
          <w:i/>
          <w:color w:val="231F20"/>
          <w:spacing w:val="-2"/>
          <w:sz w:val="24"/>
        </w:rPr>
        <w:t>et</w:t>
      </w:r>
      <w:r>
        <w:rPr>
          <w:i/>
          <w:color w:val="231F20"/>
          <w:spacing w:val="-10"/>
          <w:sz w:val="24"/>
        </w:rPr>
        <w:t> </w:t>
      </w:r>
      <w:r>
        <w:rPr>
          <w:i/>
          <w:color w:val="231F20"/>
          <w:spacing w:val="-2"/>
          <w:sz w:val="24"/>
        </w:rPr>
        <w:t>s'approvisionnent</w:t>
      </w:r>
      <w:r>
        <w:rPr>
          <w:i/>
          <w:color w:val="231F20"/>
          <w:spacing w:val="-10"/>
          <w:sz w:val="24"/>
        </w:rPr>
        <w:t> </w:t>
      </w:r>
      <w:r>
        <w:rPr>
          <w:i/>
          <w:color w:val="231F20"/>
          <w:spacing w:val="-2"/>
          <w:sz w:val="24"/>
        </w:rPr>
        <w:t>par</w:t>
      </w:r>
      <w:r>
        <w:rPr>
          <w:i/>
          <w:color w:val="231F20"/>
          <w:spacing w:val="-13"/>
          <w:sz w:val="24"/>
        </w:rPr>
        <w:t> </w:t>
      </w:r>
      <w:r>
        <w:rPr>
          <w:i/>
          <w:color w:val="231F20"/>
          <w:spacing w:val="-2"/>
          <w:sz w:val="24"/>
        </w:rPr>
        <w:t>priorité</w:t>
      </w:r>
      <w:r>
        <w:rPr>
          <w:i/>
          <w:color w:val="231F20"/>
          <w:spacing w:val="-11"/>
          <w:sz w:val="24"/>
        </w:rPr>
        <w:t> </w:t>
      </w:r>
      <w:r>
        <w:rPr>
          <w:i/>
          <w:color w:val="231F20"/>
          <w:spacing w:val="-2"/>
          <w:sz w:val="24"/>
        </w:rPr>
        <w:t>auprès</w:t>
      </w:r>
      <w:r>
        <w:rPr>
          <w:i/>
          <w:color w:val="231F20"/>
          <w:spacing w:val="-11"/>
          <w:sz w:val="24"/>
        </w:rPr>
        <w:t> </w:t>
      </w:r>
      <w:r>
        <w:rPr>
          <w:i/>
          <w:color w:val="231F20"/>
          <w:spacing w:val="-2"/>
          <w:sz w:val="24"/>
        </w:rPr>
        <w:t>d'elle</w:t>
      </w:r>
      <w:r>
        <w:rPr>
          <w:i/>
          <w:color w:val="231F20"/>
          <w:spacing w:val="-11"/>
          <w:sz w:val="24"/>
        </w:rPr>
        <w:t> </w:t>
      </w:r>
      <w:r>
        <w:rPr>
          <w:i/>
          <w:color w:val="231F20"/>
          <w:spacing w:val="-2"/>
          <w:sz w:val="24"/>
        </w:rPr>
        <w:t>et</w:t>
      </w:r>
      <w:r>
        <w:rPr>
          <w:i/>
          <w:color w:val="231F20"/>
          <w:spacing w:val="-13"/>
          <w:sz w:val="24"/>
        </w:rPr>
        <w:t> </w:t>
      </w:r>
      <w:r>
        <w:rPr>
          <w:i/>
          <w:color w:val="231F20"/>
          <w:spacing w:val="-2"/>
          <w:sz w:val="24"/>
        </w:rPr>
        <w:t>lorsque</w:t>
      </w:r>
      <w:r>
        <w:rPr>
          <w:i/>
          <w:color w:val="231F20"/>
          <w:spacing w:val="-13"/>
          <w:sz w:val="24"/>
        </w:rPr>
        <w:t> </w:t>
      </w:r>
      <w:r>
        <w:rPr>
          <w:i/>
          <w:color w:val="231F20"/>
          <w:spacing w:val="-2"/>
          <w:sz w:val="24"/>
        </w:rPr>
        <w:t>les </w:t>
      </w:r>
      <w:r>
        <w:rPr>
          <w:i/>
          <w:color w:val="231F20"/>
          <w:sz w:val="24"/>
        </w:rPr>
        <w:t>intérêts de la Défense l'exigent, elles limitent ou interdisent leur exportation</w:t>
      </w:r>
      <w:r>
        <w:rPr>
          <w:i/>
          <w:color w:val="231F20"/>
          <w:spacing w:val="-15"/>
          <w:sz w:val="24"/>
        </w:rPr>
        <w:t> </w:t>
      </w:r>
      <w:r>
        <w:rPr>
          <w:i/>
          <w:color w:val="231F20"/>
          <w:sz w:val="24"/>
        </w:rPr>
        <w:t>à</w:t>
      </w:r>
      <w:r>
        <w:rPr>
          <w:i/>
          <w:color w:val="231F20"/>
          <w:spacing w:val="-15"/>
          <w:sz w:val="24"/>
        </w:rPr>
        <w:t> </w:t>
      </w:r>
      <w:r>
        <w:rPr>
          <w:i/>
          <w:color w:val="231F20"/>
          <w:sz w:val="24"/>
        </w:rPr>
        <w:t>destination</w:t>
      </w:r>
      <w:r>
        <w:rPr>
          <w:i/>
          <w:color w:val="231F20"/>
          <w:spacing w:val="-15"/>
          <w:sz w:val="24"/>
        </w:rPr>
        <w:t> </w:t>
      </w:r>
      <w:r>
        <w:rPr>
          <w:i/>
          <w:color w:val="231F20"/>
          <w:sz w:val="24"/>
        </w:rPr>
        <w:t>d'autres</w:t>
      </w:r>
      <w:r>
        <w:rPr>
          <w:i/>
          <w:color w:val="231F20"/>
          <w:spacing w:val="-15"/>
          <w:sz w:val="24"/>
        </w:rPr>
        <w:t> </w:t>
      </w:r>
      <w:r>
        <w:rPr>
          <w:i/>
          <w:color w:val="231F20"/>
          <w:sz w:val="24"/>
        </w:rPr>
        <w:t>pays</w:t>
      </w:r>
      <w:r>
        <w:rPr>
          <w:color w:val="231F20"/>
          <w:sz w:val="24"/>
        </w:rPr>
        <w:t>.</w:t>
      </w:r>
      <w:r>
        <w:rPr>
          <w:color w:val="231F20"/>
          <w:spacing w:val="-15"/>
          <w:sz w:val="24"/>
        </w:rPr>
        <w:t> </w:t>
      </w:r>
      <w:r>
        <w:rPr>
          <w:color w:val="231F20"/>
          <w:sz w:val="24"/>
        </w:rPr>
        <w:t>Ainsi,</w:t>
      </w:r>
      <w:r>
        <w:rPr>
          <w:color w:val="231F20"/>
          <w:spacing w:val="-15"/>
          <w:sz w:val="24"/>
        </w:rPr>
        <w:t> </w:t>
      </w:r>
      <w:r>
        <w:rPr>
          <w:color w:val="231F20"/>
          <w:sz w:val="24"/>
        </w:rPr>
        <w:t>c’est</w:t>
      </w:r>
      <w:r>
        <w:rPr>
          <w:color w:val="231F20"/>
          <w:spacing w:val="-15"/>
          <w:sz w:val="24"/>
        </w:rPr>
        <w:t> </w:t>
      </w:r>
      <w:r>
        <w:rPr>
          <w:color w:val="636466"/>
          <w:sz w:val="24"/>
        </w:rPr>
        <w:t>seulement</w:t>
      </w:r>
      <w:r>
        <w:rPr>
          <w:color w:val="636466"/>
          <w:spacing w:val="-15"/>
          <w:sz w:val="24"/>
        </w:rPr>
        <w:t> </w:t>
      </w:r>
      <w:r>
        <w:rPr>
          <w:color w:val="636466"/>
          <w:sz w:val="24"/>
        </w:rPr>
        <w:t>en</w:t>
      </w:r>
      <w:r>
        <w:rPr>
          <w:color w:val="636466"/>
          <w:spacing w:val="-15"/>
          <w:sz w:val="24"/>
        </w:rPr>
        <w:t> </w:t>
      </w:r>
      <w:r>
        <w:rPr>
          <w:color w:val="636466"/>
          <w:sz w:val="24"/>
        </w:rPr>
        <w:t>cas</w:t>
      </w:r>
      <w:r>
        <w:rPr>
          <w:color w:val="636466"/>
          <w:spacing w:val="-15"/>
          <w:sz w:val="24"/>
        </w:rPr>
        <w:t> </w:t>
      </w:r>
      <w:r>
        <w:rPr>
          <w:color w:val="636466"/>
          <w:sz w:val="24"/>
        </w:rPr>
        <w:t>de </w:t>
      </w:r>
      <w:r>
        <w:rPr>
          <w:color w:val="636466"/>
          <w:spacing w:val="-4"/>
          <w:sz w:val="24"/>
        </w:rPr>
        <w:t>refus</w:t>
      </w:r>
      <w:r>
        <w:rPr>
          <w:color w:val="636466"/>
          <w:spacing w:val="-5"/>
          <w:sz w:val="24"/>
        </w:rPr>
        <w:t> </w:t>
      </w:r>
      <w:r>
        <w:rPr>
          <w:color w:val="636466"/>
          <w:spacing w:val="-4"/>
          <w:sz w:val="24"/>
        </w:rPr>
        <w:t>de</w:t>
      </w:r>
      <w:r>
        <w:rPr>
          <w:color w:val="636466"/>
          <w:spacing w:val="-7"/>
          <w:sz w:val="24"/>
        </w:rPr>
        <w:t> </w:t>
      </w:r>
      <w:r>
        <w:rPr>
          <w:color w:val="636466"/>
          <w:spacing w:val="-4"/>
          <w:sz w:val="24"/>
        </w:rPr>
        <w:t>la</w:t>
      </w:r>
      <w:r>
        <w:rPr>
          <w:color w:val="636466"/>
          <w:spacing w:val="-5"/>
          <w:sz w:val="24"/>
        </w:rPr>
        <w:t> </w:t>
      </w:r>
      <w:r>
        <w:rPr>
          <w:color w:val="636466"/>
          <w:spacing w:val="-4"/>
          <w:sz w:val="24"/>
        </w:rPr>
        <w:t>France</w:t>
      </w:r>
      <w:r>
        <w:rPr>
          <w:color w:val="636466"/>
          <w:spacing w:val="-5"/>
          <w:sz w:val="24"/>
        </w:rPr>
        <w:t> </w:t>
      </w:r>
      <w:r>
        <w:rPr>
          <w:color w:val="636466"/>
          <w:spacing w:val="-4"/>
          <w:sz w:val="24"/>
        </w:rPr>
        <w:t>que</w:t>
      </w:r>
      <w:r>
        <w:rPr>
          <w:color w:val="636466"/>
          <w:spacing w:val="-7"/>
          <w:sz w:val="24"/>
        </w:rPr>
        <w:t> </w:t>
      </w:r>
      <w:r>
        <w:rPr>
          <w:color w:val="636466"/>
          <w:spacing w:val="-4"/>
          <w:sz w:val="24"/>
        </w:rPr>
        <w:t>les</w:t>
      </w:r>
      <w:r>
        <w:rPr>
          <w:color w:val="636466"/>
          <w:spacing w:val="-7"/>
          <w:sz w:val="24"/>
        </w:rPr>
        <w:t> </w:t>
      </w:r>
      <w:r>
        <w:rPr>
          <w:color w:val="636466"/>
          <w:spacing w:val="-4"/>
          <w:sz w:val="24"/>
        </w:rPr>
        <w:t>pays</w:t>
      </w:r>
      <w:r>
        <w:rPr>
          <w:color w:val="636466"/>
          <w:spacing w:val="-5"/>
          <w:sz w:val="24"/>
        </w:rPr>
        <w:t> </w:t>
      </w:r>
      <w:r>
        <w:rPr>
          <w:color w:val="636466"/>
          <w:spacing w:val="-4"/>
          <w:sz w:val="24"/>
        </w:rPr>
        <w:t>africains</w:t>
      </w:r>
      <w:r>
        <w:rPr>
          <w:color w:val="636466"/>
          <w:spacing w:val="-7"/>
          <w:sz w:val="24"/>
        </w:rPr>
        <w:t> </w:t>
      </w:r>
      <w:r>
        <w:rPr>
          <w:color w:val="636466"/>
          <w:spacing w:val="-4"/>
          <w:sz w:val="24"/>
        </w:rPr>
        <w:t>sont autorisés</w:t>
      </w:r>
      <w:r>
        <w:rPr>
          <w:color w:val="636466"/>
          <w:spacing w:val="-5"/>
          <w:sz w:val="24"/>
        </w:rPr>
        <w:t> </w:t>
      </w:r>
      <w:r>
        <w:rPr>
          <w:color w:val="636466"/>
          <w:spacing w:val="-4"/>
          <w:sz w:val="24"/>
        </w:rPr>
        <w:t>à</w:t>
      </w:r>
      <w:r>
        <w:rPr>
          <w:color w:val="636466"/>
          <w:spacing w:val="-5"/>
          <w:sz w:val="24"/>
        </w:rPr>
        <w:t> </w:t>
      </w:r>
      <w:r>
        <w:rPr>
          <w:color w:val="636466"/>
          <w:spacing w:val="-4"/>
          <w:sz w:val="24"/>
        </w:rPr>
        <w:t>chercher</w:t>
      </w:r>
      <w:r>
        <w:rPr>
          <w:color w:val="636466"/>
          <w:spacing w:val="-5"/>
          <w:sz w:val="24"/>
        </w:rPr>
        <w:t> </w:t>
      </w:r>
      <w:r>
        <w:rPr>
          <w:color w:val="636466"/>
          <w:spacing w:val="-4"/>
          <w:sz w:val="24"/>
        </w:rPr>
        <w:t>d’autres </w:t>
      </w:r>
      <w:r>
        <w:rPr>
          <w:color w:val="636466"/>
          <w:sz w:val="24"/>
        </w:rPr>
        <w:t>partenaires</w:t>
      </w:r>
      <w:r>
        <w:rPr>
          <w:i/>
          <w:color w:val="636466"/>
          <w:sz w:val="24"/>
        </w:rPr>
        <w:t>.</w:t>
      </w:r>
      <w:r>
        <w:rPr>
          <w:i/>
          <w:color w:val="636466"/>
          <w:spacing w:val="-10"/>
          <w:sz w:val="24"/>
        </w:rPr>
        <w:t> </w:t>
      </w:r>
      <w:r>
        <w:rPr>
          <w:color w:val="231F20"/>
          <w:sz w:val="24"/>
        </w:rPr>
        <w:t>Atteints</w:t>
      </w:r>
      <w:r>
        <w:rPr>
          <w:color w:val="231F20"/>
          <w:spacing w:val="-5"/>
          <w:sz w:val="24"/>
        </w:rPr>
        <w:t> </w:t>
      </w:r>
      <w:r>
        <w:rPr>
          <w:color w:val="231F20"/>
          <w:sz w:val="24"/>
        </w:rPr>
        <w:t>du</w:t>
      </w:r>
      <w:r>
        <w:rPr>
          <w:color w:val="231F20"/>
          <w:spacing w:val="-5"/>
          <w:sz w:val="24"/>
        </w:rPr>
        <w:t> </w:t>
      </w:r>
      <w:r>
        <w:rPr>
          <w:color w:val="231F20"/>
          <w:sz w:val="24"/>
        </w:rPr>
        <w:t>syndrome</w:t>
      </w:r>
      <w:r>
        <w:rPr>
          <w:color w:val="231F20"/>
          <w:spacing w:val="-7"/>
          <w:sz w:val="24"/>
        </w:rPr>
        <w:t> </w:t>
      </w:r>
      <w:r>
        <w:rPr>
          <w:color w:val="231F20"/>
          <w:sz w:val="24"/>
        </w:rPr>
        <w:t>de</w:t>
      </w:r>
      <w:r>
        <w:rPr>
          <w:color w:val="231F20"/>
          <w:spacing w:val="-4"/>
          <w:sz w:val="24"/>
        </w:rPr>
        <w:t> </w:t>
      </w:r>
      <w:r>
        <w:rPr>
          <w:color w:val="231F20"/>
          <w:sz w:val="24"/>
        </w:rPr>
        <w:t>Stockholm</w:t>
      </w:r>
      <w:r>
        <w:rPr>
          <w:color w:val="76787A"/>
          <w:sz w:val="24"/>
          <w:vertAlign w:val="superscript"/>
        </w:rPr>
        <w:t>235</w:t>
      </w:r>
      <w:r>
        <w:rPr>
          <w:color w:val="76787A"/>
          <w:spacing w:val="-15"/>
          <w:sz w:val="24"/>
          <w:vertAlign w:val="baseline"/>
        </w:rPr>
        <w:t> </w:t>
      </w:r>
      <w:r>
        <w:rPr>
          <w:color w:val="231F20"/>
          <w:sz w:val="24"/>
          <w:vertAlign w:val="baseline"/>
        </w:rPr>
        <w:t>développé</w:t>
      </w:r>
      <w:r>
        <w:rPr>
          <w:color w:val="231F20"/>
          <w:spacing w:val="-7"/>
          <w:sz w:val="24"/>
          <w:vertAlign w:val="baseline"/>
        </w:rPr>
        <w:t> </w:t>
      </w:r>
      <w:r>
        <w:rPr>
          <w:color w:val="231F20"/>
          <w:sz w:val="24"/>
          <w:vertAlign w:val="baseline"/>
        </w:rPr>
        <w:t>depuis</w:t>
      </w:r>
      <w:r>
        <w:rPr>
          <w:color w:val="231F20"/>
          <w:spacing w:val="-8"/>
          <w:sz w:val="24"/>
          <w:vertAlign w:val="baseline"/>
        </w:rPr>
        <w:t> </w:t>
      </w:r>
      <w:r>
        <w:rPr>
          <w:color w:val="231F20"/>
          <w:sz w:val="24"/>
          <w:vertAlign w:val="baseline"/>
        </w:rPr>
        <w:t>le temps</w:t>
      </w:r>
      <w:r>
        <w:rPr>
          <w:color w:val="231F20"/>
          <w:spacing w:val="-13"/>
          <w:sz w:val="24"/>
          <w:vertAlign w:val="baseline"/>
        </w:rPr>
        <w:t> </w:t>
      </w:r>
      <w:r>
        <w:rPr>
          <w:color w:val="231F20"/>
          <w:sz w:val="24"/>
          <w:vertAlign w:val="baseline"/>
        </w:rPr>
        <w:t>de</w:t>
      </w:r>
      <w:r>
        <w:rPr>
          <w:color w:val="231F20"/>
          <w:spacing w:val="-13"/>
          <w:sz w:val="24"/>
          <w:vertAlign w:val="baseline"/>
        </w:rPr>
        <w:t> </w:t>
      </w:r>
      <w:r>
        <w:rPr>
          <w:color w:val="231F20"/>
          <w:sz w:val="24"/>
          <w:vertAlign w:val="baseline"/>
        </w:rPr>
        <w:t>la</w:t>
      </w:r>
      <w:r>
        <w:rPr>
          <w:color w:val="231F20"/>
          <w:spacing w:val="-12"/>
          <w:sz w:val="24"/>
          <w:vertAlign w:val="baseline"/>
        </w:rPr>
        <w:t> </w:t>
      </w:r>
      <w:r>
        <w:rPr>
          <w:color w:val="231F20"/>
          <w:sz w:val="24"/>
          <w:vertAlign w:val="baseline"/>
        </w:rPr>
        <w:t>colonisation,</w:t>
      </w:r>
      <w:r>
        <w:rPr>
          <w:color w:val="231F20"/>
          <w:spacing w:val="-11"/>
          <w:sz w:val="24"/>
          <w:vertAlign w:val="baseline"/>
        </w:rPr>
        <w:t> </w:t>
      </w:r>
      <w:r>
        <w:rPr>
          <w:color w:val="231F20"/>
          <w:sz w:val="24"/>
          <w:vertAlign w:val="baseline"/>
        </w:rPr>
        <w:t>les</w:t>
      </w:r>
      <w:r>
        <w:rPr>
          <w:color w:val="231F20"/>
          <w:spacing w:val="-11"/>
          <w:sz w:val="24"/>
          <w:vertAlign w:val="baseline"/>
        </w:rPr>
        <w:t> </w:t>
      </w:r>
      <w:r>
        <w:rPr>
          <w:color w:val="231F20"/>
          <w:sz w:val="24"/>
          <w:vertAlign w:val="baseline"/>
        </w:rPr>
        <w:t>futurs</w:t>
      </w:r>
      <w:r>
        <w:rPr>
          <w:color w:val="231F20"/>
          <w:spacing w:val="-13"/>
          <w:sz w:val="24"/>
          <w:vertAlign w:val="baseline"/>
        </w:rPr>
        <w:t> </w:t>
      </w:r>
      <w:r>
        <w:rPr>
          <w:color w:val="231F20"/>
          <w:sz w:val="24"/>
          <w:vertAlign w:val="baseline"/>
        </w:rPr>
        <w:t>dirigeants</w:t>
      </w:r>
      <w:r>
        <w:rPr>
          <w:color w:val="231F20"/>
          <w:spacing w:val="-11"/>
          <w:sz w:val="24"/>
          <w:vertAlign w:val="baseline"/>
        </w:rPr>
        <w:t> </w:t>
      </w:r>
      <w:r>
        <w:rPr>
          <w:color w:val="231F20"/>
          <w:sz w:val="24"/>
          <w:vertAlign w:val="baseline"/>
        </w:rPr>
        <w:t>africains</w:t>
      </w:r>
      <w:r>
        <w:rPr>
          <w:color w:val="231F20"/>
          <w:spacing w:val="-11"/>
          <w:sz w:val="24"/>
          <w:vertAlign w:val="baseline"/>
        </w:rPr>
        <w:t> </w:t>
      </w:r>
      <w:r>
        <w:rPr>
          <w:color w:val="231F20"/>
          <w:sz w:val="24"/>
          <w:vertAlign w:val="baseline"/>
        </w:rPr>
        <w:t>applaudissent</w:t>
      </w:r>
      <w:r>
        <w:rPr>
          <w:color w:val="231F20"/>
          <w:spacing w:val="-13"/>
          <w:sz w:val="24"/>
          <w:vertAlign w:val="baseline"/>
        </w:rPr>
        <w:t> </w:t>
      </w:r>
      <w:r>
        <w:rPr>
          <w:color w:val="231F20"/>
          <w:sz w:val="24"/>
          <w:vertAlign w:val="baseline"/>
        </w:rPr>
        <w:t>de </w:t>
      </w:r>
      <w:r>
        <w:rPr>
          <w:color w:val="231F20"/>
          <w:spacing w:val="-4"/>
          <w:sz w:val="24"/>
          <w:vertAlign w:val="baseline"/>
        </w:rPr>
        <w:t>joie</w:t>
      </w:r>
      <w:r>
        <w:rPr>
          <w:color w:val="231F20"/>
          <w:sz w:val="24"/>
          <w:vertAlign w:val="baseline"/>
        </w:rPr>
        <w:t> </w:t>
      </w:r>
      <w:r>
        <w:rPr>
          <w:color w:val="231F20"/>
          <w:spacing w:val="-4"/>
          <w:sz w:val="24"/>
          <w:vertAlign w:val="baseline"/>
        </w:rPr>
        <w:t>et</w:t>
      </w:r>
      <w:r>
        <w:rPr>
          <w:color w:val="231F20"/>
          <w:spacing w:val="-7"/>
          <w:sz w:val="24"/>
          <w:vertAlign w:val="baseline"/>
        </w:rPr>
        <w:t> </w:t>
      </w:r>
      <w:r>
        <w:rPr>
          <w:color w:val="231F20"/>
          <w:spacing w:val="-4"/>
          <w:sz w:val="24"/>
          <w:vertAlign w:val="baseline"/>
        </w:rPr>
        <w:t>signent</w:t>
      </w:r>
      <w:r>
        <w:rPr>
          <w:color w:val="231F20"/>
          <w:spacing w:val="-10"/>
          <w:sz w:val="24"/>
          <w:vertAlign w:val="baseline"/>
        </w:rPr>
        <w:t> </w:t>
      </w:r>
      <w:r>
        <w:rPr>
          <w:color w:val="231F20"/>
          <w:spacing w:val="-4"/>
          <w:sz w:val="24"/>
          <w:vertAlign w:val="baseline"/>
        </w:rPr>
        <w:t>dans</w:t>
      </w:r>
      <w:r>
        <w:rPr>
          <w:color w:val="231F20"/>
          <w:spacing w:val="-11"/>
          <w:sz w:val="24"/>
          <w:vertAlign w:val="baseline"/>
        </w:rPr>
        <w:t> </w:t>
      </w:r>
      <w:r>
        <w:rPr>
          <w:color w:val="231F20"/>
          <w:spacing w:val="-4"/>
          <w:sz w:val="24"/>
          <w:vertAlign w:val="baseline"/>
        </w:rPr>
        <w:t>l’enthousiasme,</w:t>
      </w:r>
      <w:r>
        <w:rPr>
          <w:color w:val="231F20"/>
          <w:spacing w:val="-11"/>
          <w:sz w:val="24"/>
          <w:vertAlign w:val="baseline"/>
        </w:rPr>
        <w:t> </w:t>
      </w:r>
      <w:r>
        <w:rPr>
          <w:color w:val="231F20"/>
          <w:spacing w:val="-4"/>
          <w:sz w:val="24"/>
          <w:vertAlign w:val="baseline"/>
        </w:rPr>
        <w:t>les</w:t>
      </w:r>
      <w:r>
        <w:rPr>
          <w:color w:val="231F20"/>
          <w:spacing w:val="-8"/>
          <w:sz w:val="24"/>
          <w:vertAlign w:val="baseline"/>
        </w:rPr>
        <w:t> </w:t>
      </w:r>
      <w:r>
        <w:rPr>
          <w:color w:val="231F20"/>
          <w:spacing w:val="-4"/>
          <w:sz w:val="24"/>
          <w:vertAlign w:val="baseline"/>
        </w:rPr>
        <w:t>différents</w:t>
      </w:r>
      <w:r>
        <w:rPr>
          <w:color w:val="231F20"/>
          <w:spacing w:val="-8"/>
          <w:sz w:val="24"/>
          <w:vertAlign w:val="baseline"/>
        </w:rPr>
        <w:t> </w:t>
      </w:r>
      <w:r>
        <w:rPr>
          <w:color w:val="231F20"/>
          <w:spacing w:val="-4"/>
          <w:sz w:val="24"/>
          <w:vertAlign w:val="baseline"/>
        </w:rPr>
        <w:t>accords</w:t>
      </w:r>
      <w:r>
        <w:rPr>
          <w:color w:val="231F20"/>
          <w:spacing w:val="-8"/>
          <w:sz w:val="24"/>
          <w:vertAlign w:val="baseline"/>
        </w:rPr>
        <w:t> </w:t>
      </w:r>
      <w:r>
        <w:rPr>
          <w:color w:val="231F20"/>
          <w:spacing w:val="-4"/>
          <w:sz w:val="24"/>
          <w:vertAlign w:val="baseline"/>
        </w:rPr>
        <w:t>et</w:t>
      </w:r>
      <w:r>
        <w:rPr>
          <w:color w:val="231F20"/>
          <w:spacing w:val="-7"/>
          <w:sz w:val="24"/>
          <w:vertAlign w:val="baseline"/>
        </w:rPr>
        <w:t> </w:t>
      </w:r>
      <w:r>
        <w:rPr>
          <w:color w:val="231F20"/>
          <w:spacing w:val="-4"/>
          <w:sz w:val="24"/>
          <w:vertAlign w:val="baseline"/>
        </w:rPr>
        <w:t>leurs</w:t>
      </w:r>
      <w:r>
        <w:rPr>
          <w:color w:val="231F20"/>
          <w:spacing w:val="-9"/>
          <w:sz w:val="24"/>
          <w:vertAlign w:val="baseline"/>
        </w:rPr>
        <w:t> </w:t>
      </w:r>
      <w:r>
        <w:rPr>
          <w:color w:val="231F20"/>
          <w:spacing w:val="-4"/>
          <w:sz w:val="24"/>
          <w:vertAlign w:val="baseline"/>
        </w:rPr>
        <w:t>annexes </w:t>
      </w:r>
      <w:r>
        <w:rPr>
          <w:color w:val="231F20"/>
          <w:sz w:val="24"/>
          <w:vertAlign w:val="baseline"/>
        </w:rPr>
        <w:t>qui</w:t>
      </w:r>
      <w:r>
        <w:rPr>
          <w:color w:val="231F20"/>
          <w:spacing w:val="-15"/>
          <w:sz w:val="24"/>
          <w:vertAlign w:val="baseline"/>
        </w:rPr>
        <w:t> </w:t>
      </w:r>
      <w:r>
        <w:rPr>
          <w:color w:val="231F20"/>
          <w:sz w:val="24"/>
          <w:vertAlign w:val="baseline"/>
        </w:rPr>
        <w:t>les</w:t>
      </w:r>
      <w:r>
        <w:rPr>
          <w:color w:val="231F20"/>
          <w:spacing w:val="-15"/>
          <w:sz w:val="24"/>
          <w:vertAlign w:val="baseline"/>
        </w:rPr>
        <w:t> </w:t>
      </w:r>
      <w:r>
        <w:rPr>
          <w:color w:val="231F20"/>
          <w:sz w:val="24"/>
          <w:vertAlign w:val="baseline"/>
        </w:rPr>
        <w:t>maintiennent</w:t>
      </w:r>
      <w:r>
        <w:rPr>
          <w:color w:val="231F20"/>
          <w:spacing w:val="-15"/>
          <w:sz w:val="24"/>
          <w:vertAlign w:val="baseline"/>
        </w:rPr>
        <w:t> </w:t>
      </w:r>
      <w:r>
        <w:rPr>
          <w:color w:val="231F20"/>
          <w:sz w:val="24"/>
          <w:vertAlign w:val="baseline"/>
        </w:rPr>
        <w:t>attachés</w:t>
      </w:r>
      <w:r>
        <w:rPr>
          <w:color w:val="231F20"/>
          <w:spacing w:val="-15"/>
          <w:sz w:val="24"/>
          <w:vertAlign w:val="baseline"/>
        </w:rPr>
        <w:t> </w:t>
      </w:r>
      <w:r>
        <w:rPr>
          <w:color w:val="231F20"/>
          <w:sz w:val="24"/>
          <w:vertAlign w:val="baseline"/>
        </w:rPr>
        <w:t>à</w:t>
      </w:r>
      <w:r>
        <w:rPr>
          <w:color w:val="231F20"/>
          <w:spacing w:val="-15"/>
          <w:sz w:val="24"/>
          <w:vertAlign w:val="baseline"/>
        </w:rPr>
        <w:t> </w:t>
      </w:r>
      <w:r>
        <w:rPr>
          <w:color w:val="231F20"/>
          <w:sz w:val="24"/>
          <w:vertAlign w:val="baseline"/>
        </w:rPr>
        <w:t>la</w:t>
      </w:r>
      <w:r>
        <w:rPr>
          <w:color w:val="231F20"/>
          <w:spacing w:val="-15"/>
          <w:sz w:val="24"/>
          <w:vertAlign w:val="baseline"/>
        </w:rPr>
        <w:t> </w:t>
      </w:r>
      <w:r>
        <w:rPr>
          <w:color w:val="231F20"/>
          <w:sz w:val="24"/>
          <w:vertAlign w:val="baseline"/>
        </w:rPr>
        <w:t>France.</w:t>
      </w:r>
      <w:r>
        <w:rPr>
          <w:color w:val="231F20"/>
          <w:spacing w:val="-15"/>
          <w:sz w:val="24"/>
          <w:vertAlign w:val="baseline"/>
        </w:rPr>
        <w:t> </w:t>
      </w:r>
      <w:r>
        <w:rPr>
          <w:color w:val="231F20"/>
          <w:sz w:val="24"/>
          <w:vertAlign w:val="baseline"/>
        </w:rPr>
        <w:t>Un</w:t>
      </w:r>
      <w:r>
        <w:rPr>
          <w:color w:val="231F20"/>
          <w:spacing w:val="-15"/>
          <w:sz w:val="24"/>
          <w:vertAlign w:val="baseline"/>
        </w:rPr>
        <w:t> </w:t>
      </w:r>
      <w:r>
        <w:rPr>
          <w:color w:val="231F20"/>
          <w:sz w:val="24"/>
          <w:vertAlign w:val="baseline"/>
        </w:rPr>
        <w:t>véritable</w:t>
      </w:r>
      <w:r>
        <w:rPr>
          <w:color w:val="231F20"/>
          <w:spacing w:val="-15"/>
          <w:sz w:val="24"/>
          <w:vertAlign w:val="baseline"/>
        </w:rPr>
        <w:t> </w:t>
      </w:r>
      <w:r>
        <w:rPr>
          <w:color w:val="231F20"/>
          <w:sz w:val="24"/>
          <w:vertAlign w:val="baseline"/>
        </w:rPr>
        <w:t>coup</w:t>
      </w:r>
      <w:r>
        <w:rPr>
          <w:color w:val="231F20"/>
          <w:spacing w:val="-15"/>
          <w:sz w:val="24"/>
          <w:vertAlign w:val="baseline"/>
        </w:rPr>
        <w:t> </w:t>
      </w:r>
      <w:r>
        <w:rPr>
          <w:color w:val="231F20"/>
          <w:sz w:val="24"/>
          <w:vertAlign w:val="baseline"/>
        </w:rPr>
        <w:t>de</w:t>
      </w:r>
      <w:r>
        <w:rPr>
          <w:color w:val="231F20"/>
          <w:spacing w:val="-15"/>
          <w:sz w:val="24"/>
          <w:vertAlign w:val="baseline"/>
        </w:rPr>
        <w:t> </w:t>
      </w:r>
      <w:r>
        <w:rPr>
          <w:color w:val="231F20"/>
          <w:sz w:val="24"/>
          <w:vertAlign w:val="baseline"/>
        </w:rPr>
        <w:t>maître</w:t>
      </w:r>
      <w:r>
        <w:rPr>
          <w:color w:val="231F20"/>
          <w:spacing w:val="-15"/>
          <w:sz w:val="24"/>
          <w:vertAlign w:val="baseline"/>
        </w:rPr>
        <w:t> </w:t>
      </w:r>
      <w:r>
        <w:rPr>
          <w:color w:val="231F20"/>
          <w:sz w:val="24"/>
          <w:vertAlign w:val="baseline"/>
        </w:rPr>
        <w:t>de la part de la France</w:t>
      </w:r>
      <w:r>
        <w:rPr>
          <w:color w:val="231F20"/>
          <w:spacing w:val="-12"/>
          <w:sz w:val="24"/>
          <w:vertAlign w:val="baseline"/>
        </w:rPr>
        <w:t> </w:t>
      </w:r>
      <w:r>
        <w:rPr>
          <w:color w:val="231F20"/>
          <w:sz w:val="24"/>
          <w:vertAlign w:val="baseline"/>
        </w:rPr>
        <w:t>: les nouveaux États acceptent de plein gré de continuer</w:t>
      </w:r>
      <w:r>
        <w:rPr>
          <w:color w:val="231F20"/>
          <w:spacing w:val="-3"/>
          <w:sz w:val="24"/>
          <w:vertAlign w:val="baseline"/>
        </w:rPr>
        <w:t> </w:t>
      </w:r>
      <w:r>
        <w:rPr>
          <w:color w:val="231F20"/>
          <w:sz w:val="24"/>
          <w:vertAlign w:val="baseline"/>
        </w:rPr>
        <w:t>à</w:t>
      </w:r>
      <w:r>
        <w:rPr>
          <w:color w:val="231F20"/>
          <w:spacing w:val="-3"/>
          <w:sz w:val="24"/>
          <w:vertAlign w:val="baseline"/>
        </w:rPr>
        <w:t> </w:t>
      </w:r>
      <w:r>
        <w:rPr>
          <w:color w:val="231F20"/>
          <w:sz w:val="24"/>
          <w:vertAlign w:val="baseline"/>
        </w:rPr>
        <w:t>être</w:t>
      </w:r>
      <w:r>
        <w:rPr>
          <w:color w:val="231F20"/>
          <w:spacing w:val="-5"/>
          <w:sz w:val="24"/>
          <w:vertAlign w:val="baseline"/>
        </w:rPr>
        <w:t> </w:t>
      </w:r>
      <w:r>
        <w:rPr>
          <w:color w:val="231F20"/>
          <w:sz w:val="24"/>
          <w:vertAlign w:val="baseline"/>
        </w:rPr>
        <w:t>dirigés</w:t>
      </w:r>
      <w:r>
        <w:rPr>
          <w:color w:val="231F20"/>
          <w:spacing w:val="-3"/>
          <w:sz w:val="24"/>
          <w:vertAlign w:val="baseline"/>
        </w:rPr>
        <w:t> </w:t>
      </w:r>
      <w:r>
        <w:rPr>
          <w:color w:val="231F20"/>
          <w:sz w:val="24"/>
          <w:vertAlign w:val="baseline"/>
        </w:rPr>
        <w:t>par</w:t>
      </w:r>
      <w:r>
        <w:rPr>
          <w:color w:val="231F20"/>
          <w:spacing w:val="-3"/>
          <w:sz w:val="24"/>
          <w:vertAlign w:val="baseline"/>
        </w:rPr>
        <w:t> </w:t>
      </w:r>
      <w:r>
        <w:rPr>
          <w:color w:val="231F20"/>
          <w:sz w:val="24"/>
          <w:vertAlign w:val="baseline"/>
        </w:rPr>
        <w:t>l’ex</w:t>
      </w:r>
      <w:r>
        <w:rPr>
          <w:color w:val="231F20"/>
          <w:spacing w:val="-3"/>
          <w:sz w:val="24"/>
          <w:vertAlign w:val="baseline"/>
        </w:rPr>
        <w:t> </w:t>
      </w:r>
      <w:r>
        <w:rPr>
          <w:color w:val="231F20"/>
          <w:sz w:val="24"/>
          <w:vertAlign w:val="baseline"/>
        </w:rPr>
        <w:t>puissance</w:t>
      </w:r>
      <w:r>
        <w:rPr>
          <w:color w:val="231F20"/>
          <w:spacing w:val="-3"/>
          <w:sz w:val="24"/>
          <w:vertAlign w:val="baseline"/>
        </w:rPr>
        <w:t> </w:t>
      </w:r>
      <w:r>
        <w:rPr>
          <w:color w:val="231F20"/>
          <w:sz w:val="24"/>
          <w:vertAlign w:val="baseline"/>
        </w:rPr>
        <w:t>coloniale.</w:t>
      </w:r>
    </w:p>
    <w:p>
      <w:pPr>
        <w:pStyle w:val="BodyText"/>
        <w:spacing w:before="120"/>
        <w:ind w:right="105" w:firstLine="340"/>
      </w:pPr>
      <w:r>
        <w:rPr>
          <w:color w:val="231F20"/>
          <w:spacing w:val="-2"/>
        </w:rPr>
        <w:t>La</w:t>
      </w:r>
      <w:r>
        <w:rPr>
          <w:color w:val="231F20"/>
          <w:spacing w:val="-9"/>
        </w:rPr>
        <w:t> </w:t>
      </w:r>
      <w:r>
        <w:rPr>
          <w:color w:val="231F20"/>
          <w:spacing w:val="-2"/>
        </w:rPr>
        <w:t>Communauté</w:t>
      </w:r>
      <w:r>
        <w:rPr>
          <w:color w:val="231F20"/>
          <w:spacing w:val="-10"/>
        </w:rPr>
        <w:t> </w:t>
      </w:r>
      <w:r>
        <w:rPr>
          <w:color w:val="231F20"/>
          <w:spacing w:val="-2"/>
        </w:rPr>
        <w:t>franco-africaine</w:t>
      </w:r>
      <w:r>
        <w:rPr>
          <w:color w:val="231F20"/>
          <w:spacing w:val="-12"/>
        </w:rPr>
        <w:t> </w:t>
      </w:r>
      <w:r>
        <w:rPr>
          <w:color w:val="231F20"/>
          <w:spacing w:val="-2"/>
        </w:rPr>
        <w:t>tant</w:t>
      </w:r>
      <w:r>
        <w:rPr>
          <w:color w:val="231F20"/>
          <w:spacing w:val="-11"/>
        </w:rPr>
        <w:t> </w:t>
      </w:r>
      <w:r>
        <w:rPr>
          <w:color w:val="231F20"/>
          <w:spacing w:val="-2"/>
        </w:rPr>
        <w:t>voulue</w:t>
      </w:r>
      <w:r>
        <w:rPr>
          <w:color w:val="231F20"/>
          <w:spacing w:val="-13"/>
        </w:rPr>
        <w:t> </w:t>
      </w:r>
      <w:r>
        <w:rPr>
          <w:color w:val="231F20"/>
          <w:spacing w:val="-2"/>
        </w:rPr>
        <w:t>par</w:t>
      </w:r>
      <w:r>
        <w:rPr>
          <w:color w:val="231F20"/>
          <w:spacing w:val="-12"/>
        </w:rPr>
        <w:t> </w:t>
      </w:r>
      <w:r>
        <w:rPr>
          <w:color w:val="231F20"/>
          <w:spacing w:val="-2"/>
        </w:rPr>
        <w:t>Houphouët-Boigny </w:t>
      </w:r>
      <w:r>
        <w:rPr>
          <w:color w:val="231F20"/>
        </w:rPr>
        <w:t>mais abandonnée suite à la poussée des indépendantistes laisse aux nouveaux</w:t>
      </w:r>
      <w:r>
        <w:rPr>
          <w:color w:val="231F20"/>
          <w:spacing w:val="-12"/>
        </w:rPr>
        <w:t> </w:t>
      </w:r>
      <w:r>
        <w:rPr>
          <w:color w:val="231F20"/>
        </w:rPr>
        <w:t>dirigeants</w:t>
      </w:r>
      <w:r>
        <w:rPr>
          <w:color w:val="231F20"/>
          <w:spacing w:val="-12"/>
        </w:rPr>
        <w:t> </w:t>
      </w:r>
      <w:r>
        <w:rPr>
          <w:color w:val="231F20"/>
        </w:rPr>
        <w:t>de</w:t>
      </w:r>
      <w:r>
        <w:rPr>
          <w:color w:val="231F20"/>
          <w:spacing w:val="-14"/>
        </w:rPr>
        <w:t> </w:t>
      </w:r>
      <w:r>
        <w:rPr>
          <w:color w:val="231F20"/>
        </w:rPr>
        <w:t>l’Afrique</w:t>
      </w:r>
      <w:r>
        <w:rPr>
          <w:color w:val="231F20"/>
          <w:spacing w:val="-12"/>
        </w:rPr>
        <w:t> </w:t>
      </w:r>
      <w:r>
        <w:rPr>
          <w:color w:val="231F20"/>
        </w:rPr>
        <w:t>francophone,</w:t>
      </w:r>
      <w:r>
        <w:rPr>
          <w:color w:val="231F20"/>
          <w:spacing w:val="-12"/>
        </w:rPr>
        <w:t> </w:t>
      </w:r>
      <w:r>
        <w:rPr>
          <w:color w:val="231F20"/>
        </w:rPr>
        <w:t>l’ensemble</w:t>
      </w:r>
      <w:r>
        <w:rPr>
          <w:color w:val="231F20"/>
          <w:spacing w:val="-12"/>
        </w:rPr>
        <w:t> </w:t>
      </w:r>
      <w:r>
        <w:rPr>
          <w:color w:val="231F20"/>
        </w:rPr>
        <w:t>de</w:t>
      </w:r>
      <w:r>
        <w:rPr>
          <w:color w:val="231F20"/>
          <w:spacing w:val="-12"/>
        </w:rPr>
        <w:t> </w:t>
      </w:r>
      <w:r>
        <w:rPr>
          <w:color w:val="231F20"/>
        </w:rPr>
        <w:t>ses</w:t>
      </w:r>
      <w:r>
        <w:rPr>
          <w:color w:val="231F20"/>
          <w:spacing w:val="-12"/>
        </w:rPr>
        <w:t> </w:t>
      </w:r>
      <w:r>
        <w:rPr>
          <w:color w:val="231F20"/>
        </w:rPr>
        <w:t>textes dont les accords de coopération. Pour eux, ces accords sont un geste amical de la France et de de Gaulle, le </w:t>
      </w:r>
      <w:r>
        <w:rPr>
          <w:i/>
          <w:color w:val="231F20"/>
        </w:rPr>
        <w:t>« bon père de famille » </w:t>
      </w:r>
      <w:r>
        <w:rPr>
          <w:color w:val="231F20"/>
        </w:rPr>
        <w:t>des Africains</w:t>
      </w:r>
      <w:r>
        <w:rPr>
          <w:color w:val="231F20"/>
          <w:spacing w:val="-17"/>
        </w:rPr>
        <w:t> </w:t>
      </w:r>
      <w:r>
        <w:rPr>
          <w:color w:val="231F20"/>
        </w:rPr>
        <w:t>:</w:t>
      </w:r>
      <w:r>
        <w:rPr>
          <w:color w:val="231F20"/>
          <w:spacing w:val="-15"/>
        </w:rPr>
        <w:t> </w:t>
      </w:r>
      <w:r>
        <w:rPr>
          <w:color w:val="231F20"/>
        </w:rPr>
        <w:t>la</w:t>
      </w:r>
      <w:r>
        <w:rPr>
          <w:color w:val="231F20"/>
          <w:spacing w:val="-15"/>
        </w:rPr>
        <w:t> </w:t>
      </w:r>
      <w:r>
        <w:rPr>
          <w:i/>
          <w:color w:val="231F20"/>
        </w:rPr>
        <w:t>«</w:t>
      </w:r>
      <w:r>
        <w:rPr>
          <w:i/>
          <w:color w:val="231F20"/>
          <w:spacing w:val="-15"/>
        </w:rPr>
        <w:t> </w:t>
      </w:r>
      <w:r>
        <w:rPr>
          <w:i/>
          <w:color w:val="231F20"/>
        </w:rPr>
        <w:t>mère-patrie</w:t>
      </w:r>
      <w:r>
        <w:rPr>
          <w:i/>
          <w:color w:val="231F20"/>
          <w:spacing w:val="-15"/>
        </w:rPr>
        <w:t> </w:t>
      </w:r>
      <w:r>
        <w:rPr>
          <w:i/>
          <w:color w:val="231F20"/>
        </w:rPr>
        <w:t>»</w:t>
      </w:r>
      <w:r>
        <w:rPr>
          <w:i/>
          <w:color w:val="231F20"/>
          <w:spacing w:val="-13"/>
        </w:rPr>
        <w:t> </w:t>
      </w:r>
      <w:r>
        <w:rPr>
          <w:color w:val="231F20"/>
        </w:rPr>
        <w:t>ne</w:t>
      </w:r>
      <w:r>
        <w:rPr>
          <w:color w:val="231F20"/>
          <w:spacing w:val="-13"/>
        </w:rPr>
        <w:t> </w:t>
      </w:r>
      <w:r>
        <w:rPr>
          <w:color w:val="231F20"/>
        </w:rPr>
        <w:t>les</w:t>
      </w:r>
      <w:r>
        <w:rPr>
          <w:color w:val="231F20"/>
          <w:spacing w:val="-13"/>
        </w:rPr>
        <w:t> </w:t>
      </w:r>
      <w:r>
        <w:rPr>
          <w:color w:val="231F20"/>
        </w:rPr>
        <w:t>abandonne</w:t>
      </w:r>
      <w:r>
        <w:rPr>
          <w:color w:val="231F20"/>
          <w:spacing w:val="-13"/>
        </w:rPr>
        <w:t> </w:t>
      </w:r>
      <w:r>
        <w:rPr>
          <w:color w:val="231F20"/>
        </w:rPr>
        <w:t>pas,</w:t>
      </w:r>
      <w:r>
        <w:rPr>
          <w:color w:val="231F20"/>
          <w:spacing w:val="-15"/>
        </w:rPr>
        <w:t> </w:t>
      </w:r>
      <w:r>
        <w:rPr>
          <w:color w:val="231F20"/>
        </w:rPr>
        <w:t>elle</w:t>
      </w:r>
      <w:r>
        <w:rPr>
          <w:color w:val="231F20"/>
          <w:spacing w:val="-13"/>
        </w:rPr>
        <w:t> </w:t>
      </w:r>
      <w:r>
        <w:rPr>
          <w:color w:val="231F20"/>
        </w:rPr>
        <w:t>ne</w:t>
      </w:r>
      <w:r>
        <w:rPr>
          <w:color w:val="231F20"/>
          <w:spacing w:val="-13"/>
        </w:rPr>
        <w:t> </w:t>
      </w:r>
      <w:r>
        <w:rPr>
          <w:color w:val="231F20"/>
        </w:rPr>
        <w:t>rompt</w:t>
      </w:r>
      <w:r>
        <w:rPr>
          <w:color w:val="231F20"/>
          <w:spacing w:val="-15"/>
        </w:rPr>
        <w:t> </w:t>
      </w:r>
      <w:r>
        <w:rPr>
          <w:color w:val="231F20"/>
        </w:rPr>
        <w:t>pas</w:t>
      </w:r>
      <w:r>
        <w:rPr>
          <w:color w:val="231F20"/>
          <w:spacing w:val="-13"/>
        </w:rPr>
        <w:t> </w:t>
      </w:r>
      <w:r>
        <w:rPr>
          <w:color w:val="231F20"/>
          <w:spacing w:val="-5"/>
        </w:rPr>
        <w:t>les</w:t>
      </w:r>
    </w:p>
    <w:p>
      <w:pPr>
        <w:spacing w:before="1"/>
        <w:ind w:left="111" w:right="104" w:hanging="1"/>
        <w:jc w:val="both"/>
        <w:rPr>
          <w:sz w:val="24"/>
        </w:rPr>
      </w:pPr>
      <w:r>
        <w:rPr>
          <w:i/>
          <w:color w:val="231F20"/>
          <w:spacing w:val="-2"/>
          <w:sz w:val="24"/>
        </w:rPr>
        <w:t>«</w:t>
      </w:r>
      <w:r>
        <w:rPr>
          <w:i/>
          <w:color w:val="231F20"/>
          <w:spacing w:val="-15"/>
          <w:sz w:val="24"/>
        </w:rPr>
        <w:t> </w:t>
      </w:r>
      <w:r>
        <w:rPr>
          <w:i/>
          <w:color w:val="231F20"/>
          <w:spacing w:val="-2"/>
          <w:sz w:val="24"/>
        </w:rPr>
        <w:t>liens</w:t>
      </w:r>
      <w:r>
        <w:rPr>
          <w:i/>
          <w:color w:val="231F20"/>
          <w:spacing w:val="-13"/>
          <w:sz w:val="24"/>
        </w:rPr>
        <w:t> </w:t>
      </w:r>
      <w:r>
        <w:rPr>
          <w:i/>
          <w:color w:val="231F20"/>
          <w:spacing w:val="-2"/>
          <w:sz w:val="24"/>
        </w:rPr>
        <w:t>familiaux</w:t>
      </w:r>
      <w:r>
        <w:rPr>
          <w:i/>
          <w:color w:val="231F20"/>
          <w:spacing w:val="-13"/>
          <w:sz w:val="24"/>
        </w:rPr>
        <w:t> </w:t>
      </w:r>
      <w:r>
        <w:rPr>
          <w:color w:val="231F20"/>
          <w:spacing w:val="-2"/>
          <w:sz w:val="24"/>
        </w:rPr>
        <w:t>»,</w:t>
      </w:r>
      <w:r>
        <w:rPr>
          <w:color w:val="231F20"/>
          <w:spacing w:val="-13"/>
          <w:sz w:val="24"/>
        </w:rPr>
        <w:t> </w:t>
      </w:r>
      <w:r>
        <w:rPr>
          <w:color w:val="231F20"/>
          <w:spacing w:val="-2"/>
          <w:sz w:val="24"/>
        </w:rPr>
        <w:t>elle</w:t>
      </w:r>
      <w:r>
        <w:rPr>
          <w:color w:val="231F20"/>
          <w:spacing w:val="-13"/>
          <w:sz w:val="24"/>
        </w:rPr>
        <w:t> </w:t>
      </w:r>
      <w:r>
        <w:rPr>
          <w:color w:val="231F20"/>
          <w:spacing w:val="-2"/>
          <w:sz w:val="24"/>
        </w:rPr>
        <w:t>reste</w:t>
      </w:r>
      <w:r>
        <w:rPr>
          <w:color w:val="231F20"/>
          <w:spacing w:val="-13"/>
          <w:sz w:val="24"/>
        </w:rPr>
        <w:t> </w:t>
      </w:r>
      <w:r>
        <w:rPr>
          <w:color w:val="231F20"/>
          <w:spacing w:val="-2"/>
          <w:sz w:val="24"/>
        </w:rPr>
        <w:t>à</w:t>
      </w:r>
      <w:r>
        <w:rPr>
          <w:color w:val="231F20"/>
          <w:spacing w:val="-13"/>
          <w:sz w:val="24"/>
        </w:rPr>
        <w:t> </w:t>
      </w:r>
      <w:r>
        <w:rPr>
          <w:color w:val="231F20"/>
          <w:spacing w:val="-2"/>
          <w:sz w:val="24"/>
        </w:rPr>
        <w:t>leurs</w:t>
      </w:r>
      <w:r>
        <w:rPr>
          <w:color w:val="231F20"/>
          <w:spacing w:val="-13"/>
          <w:sz w:val="24"/>
        </w:rPr>
        <w:t> </w:t>
      </w:r>
      <w:r>
        <w:rPr>
          <w:color w:val="231F20"/>
          <w:spacing w:val="-2"/>
          <w:sz w:val="24"/>
        </w:rPr>
        <w:t>côtés</w:t>
      </w:r>
      <w:r>
        <w:rPr>
          <w:color w:val="231F20"/>
          <w:spacing w:val="-13"/>
          <w:sz w:val="24"/>
        </w:rPr>
        <w:t> </w:t>
      </w:r>
      <w:r>
        <w:rPr>
          <w:color w:val="231F20"/>
          <w:spacing w:val="-2"/>
          <w:sz w:val="24"/>
        </w:rPr>
        <w:t>pour</w:t>
      </w:r>
      <w:r>
        <w:rPr>
          <w:color w:val="231F20"/>
          <w:spacing w:val="-13"/>
          <w:sz w:val="24"/>
        </w:rPr>
        <w:t> </w:t>
      </w:r>
      <w:r>
        <w:rPr>
          <w:color w:val="231F20"/>
          <w:spacing w:val="-2"/>
          <w:sz w:val="24"/>
        </w:rPr>
        <w:t>prendre</w:t>
      </w:r>
      <w:r>
        <w:rPr>
          <w:color w:val="231F20"/>
          <w:spacing w:val="-13"/>
          <w:sz w:val="24"/>
        </w:rPr>
        <w:t> </w:t>
      </w:r>
      <w:r>
        <w:rPr>
          <w:color w:val="231F20"/>
          <w:spacing w:val="-2"/>
          <w:sz w:val="24"/>
        </w:rPr>
        <w:t>en</w:t>
      </w:r>
      <w:r>
        <w:rPr>
          <w:color w:val="231F20"/>
          <w:spacing w:val="-13"/>
          <w:sz w:val="24"/>
        </w:rPr>
        <w:t> </w:t>
      </w:r>
      <w:r>
        <w:rPr>
          <w:color w:val="231F20"/>
          <w:spacing w:val="-2"/>
          <w:sz w:val="24"/>
        </w:rPr>
        <w:t>main</w:t>
      </w:r>
      <w:r>
        <w:rPr>
          <w:color w:val="231F20"/>
          <w:spacing w:val="-13"/>
          <w:sz w:val="24"/>
        </w:rPr>
        <w:t> </w:t>
      </w:r>
      <w:r>
        <w:rPr>
          <w:color w:val="231F20"/>
          <w:spacing w:val="-2"/>
          <w:sz w:val="24"/>
        </w:rPr>
        <w:t>la</w:t>
      </w:r>
      <w:r>
        <w:rPr>
          <w:color w:val="231F20"/>
          <w:spacing w:val="-13"/>
          <w:sz w:val="24"/>
        </w:rPr>
        <w:t> </w:t>
      </w:r>
      <w:r>
        <w:rPr>
          <w:color w:val="231F20"/>
          <w:spacing w:val="-2"/>
          <w:sz w:val="24"/>
        </w:rPr>
        <w:t>gestion </w:t>
      </w:r>
      <w:r>
        <w:rPr>
          <w:color w:val="231F20"/>
          <w:sz w:val="24"/>
        </w:rPr>
        <w:t>de leurs États. En octroyant l’indépendance séparément aux treize territoires membres de l’AOF</w:t>
      </w:r>
      <w:r>
        <w:rPr>
          <w:color w:val="231F20"/>
          <w:spacing w:val="-15"/>
          <w:sz w:val="24"/>
        </w:rPr>
        <w:t> </w:t>
      </w:r>
      <w:r>
        <w:rPr>
          <w:i/>
          <w:color w:val="231F20"/>
          <w:sz w:val="24"/>
        </w:rPr>
        <w:t>(Afrique occidentale française) </w:t>
      </w:r>
      <w:r>
        <w:rPr>
          <w:color w:val="231F20"/>
          <w:sz w:val="24"/>
        </w:rPr>
        <w:t>et de </w:t>
      </w:r>
      <w:r>
        <w:rPr>
          <w:color w:val="231F20"/>
          <w:spacing w:val="-2"/>
          <w:sz w:val="24"/>
        </w:rPr>
        <w:t>l’AEF</w:t>
      </w:r>
      <w:r>
        <w:rPr>
          <w:color w:val="231F20"/>
          <w:spacing w:val="-13"/>
          <w:sz w:val="24"/>
        </w:rPr>
        <w:t> </w:t>
      </w:r>
      <w:r>
        <w:rPr>
          <w:i/>
          <w:color w:val="231F20"/>
          <w:spacing w:val="-2"/>
          <w:sz w:val="24"/>
        </w:rPr>
        <w:t>(Afrique</w:t>
      </w:r>
      <w:r>
        <w:rPr>
          <w:i/>
          <w:color w:val="231F20"/>
          <w:spacing w:val="-8"/>
          <w:sz w:val="24"/>
        </w:rPr>
        <w:t> </w:t>
      </w:r>
      <w:r>
        <w:rPr>
          <w:i/>
          <w:color w:val="231F20"/>
          <w:spacing w:val="-2"/>
          <w:sz w:val="24"/>
        </w:rPr>
        <w:t>équatoriale</w:t>
      </w:r>
      <w:r>
        <w:rPr>
          <w:i/>
          <w:color w:val="231F20"/>
          <w:spacing w:val="-4"/>
          <w:sz w:val="24"/>
        </w:rPr>
        <w:t> </w:t>
      </w:r>
      <w:r>
        <w:rPr>
          <w:i/>
          <w:color w:val="231F20"/>
          <w:spacing w:val="-2"/>
          <w:sz w:val="24"/>
        </w:rPr>
        <w:t>française)</w:t>
      </w:r>
      <w:r>
        <w:rPr>
          <w:i/>
          <w:color w:val="231F20"/>
          <w:spacing w:val="-7"/>
          <w:sz w:val="24"/>
        </w:rPr>
        <w:t> </w:t>
      </w:r>
      <w:r>
        <w:rPr>
          <w:color w:val="231F20"/>
          <w:spacing w:val="-2"/>
          <w:sz w:val="24"/>
        </w:rPr>
        <w:t>le</w:t>
      </w:r>
      <w:r>
        <w:rPr>
          <w:color w:val="231F20"/>
          <w:spacing w:val="-5"/>
          <w:sz w:val="24"/>
        </w:rPr>
        <w:t> </w:t>
      </w:r>
      <w:r>
        <w:rPr>
          <w:color w:val="231F20"/>
          <w:spacing w:val="-2"/>
          <w:sz w:val="24"/>
        </w:rPr>
        <w:t>colonisateur</w:t>
      </w:r>
      <w:r>
        <w:rPr>
          <w:color w:val="231F20"/>
          <w:spacing w:val="-5"/>
          <w:sz w:val="24"/>
        </w:rPr>
        <w:t> </w:t>
      </w:r>
      <w:r>
        <w:rPr>
          <w:color w:val="231F20"/>
          <w:spacing w:val="-2"/>
          <w:sz w:val="24"/>
        </w:rPr>
        <w:t>fait</w:t>
      </w:r>
      <w:r>
        <w:rPr>
          <w:color w:val="231F20"/>
          <w:spacing w:val="-5"/>
          <w:sz w:val="24"/>
        </w:rPr>
        <w:t> </w:t>
      </w:r>
      <w:r>
        <w:rPr>
          <w:color w:val="231F20"/>
          <w:spacing w:val="-2"/>
          <w:sz w:val="24"/>
        </w:rPr>
        <w:t>disparaître</w:t>
      </w:r>
      <w:r>
        <w:rPr>
          <w:color w:val="231F20"/>
          <w:spacing w:val="-7"/>
          <w:sz w:val="24"/>
        </w:rPr>
        <w:t> </w:t>
      </w:r>
      <w:r>
        <w:rPr>
          <w:color w:val="231F20"/>
          <w:spacing w:val="-2"/>
          <w:sz w:val="24"/>
        </w:rPr>
        <w:t>des </w:t>
      </w:r>
      <w:r>
        <w:rPr>
          <w:color w:val="231F20"/>
          <w:sz w:val="24"/>
        </w:rPr>
        <w:t>ensembles qui auraient pu servir de base à l’édification des Etats-Unis d’Afrique voulue par les fédéralistes.</w:t>
      </w:r>
    </w:p>
    <w:p>
      <w:pPr>
        <w:pStyle w:val="BodyText"/>
        <w:spacing w:before="125"/>
        <w:ind w:left="0"/>
        <w:jc w:val="left"/>
      </w:pPr>
    </w:p>
    <w:p>
      <w:pPr>
        <w:spacing w:before="1"/>
        <w:ind w:left="395" w:right="0" w:hanging="284"/>
        <w:jc w:val="left"/>
        <w:rPr>
          <w:rFonts w:ascii="Cambria" w:hAnsi="Cambria"/>
          <w:i/>
          <w:sz w:val="24"/>
        </w:rPr>
      </w:pPr>
      <w:r>
        <w:rPr>
          <w:rFonts w:ascii="Cambria" w:hAnsi="Cambria"/>
          <w:i/>
          <w:color w:val="231F20"/>
          <w:spacing w:val="-4"/>
          <w:sz w:val="24"/>
        </w:rPr>
        <w:t>«</w:t>
      </w:r>
      <w:r>
        <w:rPr>
          <w:rFonts w:ascii="Cambria" w:hAnsi="Cambria"/>
          <w:i/>
          <w:color w:val="231F20"/>
          <w:sz w:val="24"/>
        </w:rPr>
        <w:t> </w:t>
      </w:r>
      <w:r>
        <w:rPr>
          <w:rFonts w:ascii="Cambria" w:hAnsi="Cambria"/>
          <w:i/>
          <w:color w:val="231F20"/>
          <w:spacing w:val="-4"/>
          <w:sz w:val="24"/>
        </w:rPr>
        <w:t>Les</w:t>
      </w:r>
      <w:r>
        <w:rPr>
          <w:rFonts w:ascii="Cambria" w:hAnsi="Cambria"/>
          <w:i/>
          <w:color w:val="231F20"/>
          <w:spacing w:val="-15"/>
          <w:sz w:val="24"/>
        </w:rPr>
        <w:t> </w:t>
      </w:r>
      <w:r>
        <w:rPr>
          <w:rFonts w:ascii="Cambria" w:hAnsi="Cambria"/>
          <w:i/>
          <w:color w:val="231F20"/>
          <w:spacing w:val="-4"/>
          <w:sz w:val="24"/>
        </w:rPr>
        <w:t>États</w:t>
      </w:r>
      <w:r>
        <w:rPr>
          <w:rFonts w:ascii="Cambria" w:hAnsi="Cambria"/>
          <w:i/>
          <w:color w:val="231F20"/>
          <w:spacing w:val="-14"/>
          <w:sz w:val="24"/>
        </w:rPr>
        <w:t> </w:t>
      </w:r>
      <w:r>
        <w:rPr>
          <w:rFonts w:ascii="Cambria" w:hAnsi="Cambria"/>
          <w:i/>
          <w:color w:val="231F20"/>
          <w:spacing w:val="-4"/>
          <w:sz w:val="24"/>
        </w:rPr>
        <w:t>n’ont</w:t>
      </w:r>
      <w:r>
        <w:rPr>
          <w:rFonts w:ascii="Cambria" w:hAnsi="Cambria"/>
          <w:i/>
          <w:color w:val="231F20"/>
          <w:spacing w:val="-13"/>
          <w:sz w:val="24"/>
        </w:rPr>
        <w:t> </w:t>
      </w:r>
      <w:r>
        <w:rPr>
          <w:rFonts w:ascii="Cambria" w:hAnsi="Cambria"/>
          <w:i/>
          <w:color w:val="231F20"/>
          <w:spacing w:val="-4"/>
          <w:sz w:val="24"/>
        </w:rPr>
        <w:t>pas</w:t>
      </w:r>
      <w:r>
        <w:rPr>
          <w:rFonts w:ascii="Cambria" w:hAnsi="Cambria"/>
          <w:i/>
          <w:color w:val="231F20"/>
          <w:spacing w:val="-14"/>
          <w:sz w:val="24"/>
        </w:rPr>
        <w:t> </w:t>
      </w:r>
      <w:r>
        <w:rPr>
          <w:rFonts w:ascii="Cambria" w:hAnsi="Cambria"/>
          <w:i/>
          <w:color w:val="231F20"/>
          <w:spacing w:val="-4"/>
          <w:sz w:val="24"/>
        </w:rPr>
        <w:t>d’amis,</w:t>
      </w:r>
      <w:r>
        <w:rPr>
          <w:rFonts w:ascii="Cambria" w:hAnsi="Cambria"/>
          <w:i/>
          <w:color w:val="231F20"/>
          <w:spacing w:val="-12"/>
          <w:sz w:val="24"/>
        </w:rPr>
        <w:t> </w:t>
      </w:r>
      <w:r>
        <w:rPr>
          <w:rFonts w:ascii="Cambria" w:hAnsi="Cambria"/>
          <w:i/>
          <w:color w:val="231F20"/>
          <w:spacing w:val="-4"/>
          <w:sz w:val="24"/>
        </w:rPr>
        <w:t>ils</w:t>
      </w:r>
      <w:r>
        <w:rPr>
          <w:rFonts w:ascii="Cambria" w:hAnsi="Cambria"/>
          <w:i/>
          <w:color w:val="231F20"/>
          <w:spacing w:val="-14"/>
          <w:sz w:val="24"/>
        </w:rPr>
        <w:t> </w:t>
      </w:r>
      <w:r>
        <w:rPr>
          <w:rFonts w:ascii="Cambria" w:hAnsi="Cambria"/>
          <w:i/>
          <w:color w:val="231F20"/>
          <w:spacing w:val="-4"/>
          <w:sz w:val="24"/>
        </w:rPr>
        <w:t>n’ont</w:t>
      </w:r>
      <w:r>
        <w:rPr>
          <w:rFonts w:ascii="Cambria" w:hAnsi="Cambria"/>
          <w:i/>
          <w:color w:val="231F20"/>
          <w:spacing w:val="-12"/>
          <w:sz w:val="24"/>
        </w:rPr>
        <w:t> </w:t>
      </w:r>
      <w:r>
        <w:rPr>
          <w:rFonts w:ascii="Cambria" w:hAnsi="Cambria"/>
          <w:i/>
          <w:color w:val="231F20"/>
          <w:spacing w:val="-4"/>
          <w:sz w:val="24"/>
        </w:rPr>
        <w:t>que</w:t>
      </w:r>
      <w:r>
        <w:rPr>
          <w:rFonts w:ascii="Cambria" w:hAnsi="Cambria"/>
          <w:i/>
          <w:color w:val="231F20"/>
          <w:spacing w:val="-12"/>
          <w:sz w:val="24"/>
        </w:rPr>
        <w:t> </w:t>
      </w:r>
      <w:r>
        <w:rPr>
          <w:rFonts w:ascii="Cambria" w:hAnsi="Cambria"/>
          <w:i/>
          <w:color w:val="231F20"/>
          <w:spacing w:val="-4"/>
          <w:sz w:val="24"/>
        </w:rPr>
        <w:t>des</w:t>
      </w:r>
      <w:r>
        <w:rPr>
          <w:rFonts w:ascii="Cambria" w:hAnsi="Cambria"/>
          <w:i/>
          <w:color w:val="231F20"/>
          <w:spacing w:val="-12"/>
          <w:sz w:val="24"/>
        </w:rPr>
        <w:t> </w:t>
      </w:r>
      <w:r>
        <w:rPr>
          <w:rFonts w:ascii="Cambria" w:hAnsi="Cambria"/>
          <w:i/>
          <w:color w:val="231F20"/>
          <w:spacing w:val="-4"/>
          <w:sz w:val="24"/>
        </w:rPr>
        <w:t>intérêts</w:t>
      </w:r>
      <w:r>
        <w:rPr>
          <w:rFonts w:ascii="Cambria" w:hAnsi="Cambria"/>
          <w:i/>
          <w:color w:val="231F20"/>
          <w:spacing w:val="2"/>
          <w:sz w:val="24"/>
        </w:rPr>
        <w:t> </w:t>
      </w:r>
      <w:r>
        <w:rPr>
          <w:rFonts w:ascii="Cambria" w:hAnsi="Cambria"/>
          <w:i/>
          <w:color w:val="231F20"/>
          <w:spacing w:val="-4"/>
          <w:sz w:val="24"/>
        </w:rPr>
        <w:t>»</w:t>
      </w:r>
      <w:r>
        <w:rPr>
          <w:rFonts w:ascii="Cambria" w:hAnsi="Cambria"/>
          <w:i/>
          <w:color w:val="231F20"/>
          <w:spacing w:val="-12"/>
          <w:sz w:val="24"/>
        </w:rPr>
        <w:t> </w:t>
      </w:r>
      <w:r>
        <w:rPr>
          <w:rFonts w:ascii="Cambria" w:hAnsi="Cambria"/>
          <w:i/>
          <w:color w:val="231F20"/>
          <w:spacing w:val="-4"/>
          <w:sz w:val="24"/>
        </w:rPr>
        <w:t>Charles</w:t>
      </w:r>
      <w:r>
        <w:rPr>
          <w:rFonts w:ascii="Cambria" w:hAnsi="Cambria"/>
          <w:i/>
          <w:color w:val="231F20"/>
          <w:spacing w:val="-11"/>
          <w:sz w:val="24"/>
        </w:rPr>
        <w:t> </w:t>
      </w:r>
      <w:r>
        <w:rPr>
          <w:rFonts w:ascii="Cambria" w:hAnsi="Cambria"/>
          <w:i/>
          <w:color w:val="231F20"/>
          <w:spacing w:val="-4"/>
          <w:sz w:val="24"/>
        </w:rPr>
        <w:t>de</w:t>
      </w:r>
      <w:r>
        <w:rPr>
          <w:rFonts w:ascii="Cambria" w:hAnsi="Cambria"/>
          <w:i/>
          <w:color w:val="231F20"/>
          <w:spacing w:val="-13"/>
          <w:sz w:val="24"/>
        </w:rPr>
        <w:t> </w:t>
      </w:r>
      <w:r>
        <w:rPr>
          <w:rFonts w:ascii="Cambria" w:hAnsi="Cambria"/>
          <w:i/>
          <w:color w:val="231F20"/>
          <w:spacing w:val="-4"/>
          <w:sz w:val="24"/>
        </w:rPr>
        <w:t>Gaulle</w:t>
      </w:r>
    </w:p>
    <w:p>
      <w:pPr>
        <w:pStyle w:val="BodyText"/>
        <w:spacing w:before="277"/>
        <w:ind w:right="106" w:firstLine="283"/>
      </w:pPr>
      <w:r>
        <w:rPr>
          <w:color w:val="231F20"/>
        </w:rPr>
        <w:t>Étant le «</w:t>
      </w:r>
      <w:r>
        <w:rPr>
          <w:color w:val="231F20"/>
          <w:spacing w:val="-12"/>
        </w:rPr>
        <w:t> </w:t>
      </w:r>
      <w:r>
        <w:rPr>
          <w:color w:val="231F20"/>
        </w:rPr>
        <w:t>tuteur</w:t>
      </w:r>
      <w:r>
        <w:rPr>
          <w:color w:val="231F20"/>
          <w:spacing w:val="-11"/>
        </w:rPr>
        <w:t> </w:t>
      </w:r>
      <w:r>
        <w:rPr>
          <w:color w:val="231F20"/>
        </w:rPr>
        <w:t>», la France a son mot à dire dans le choix des dirigeants de ses anciennes colonies.</w:t>
      </w:r>
      <w:r>
        <w:rPr>
          <w:color w:val="231F20"/>
          <w:spacing w:val="-15"/>
        </w:rPr>
        <w:t> </w:t>
      </w:r>
      <w:r>
        <w:rPr>
          <w:color w:val="231F20"/>
        </w:rPr>
        <w:t>Elle veut des affidés</w:t>
      </w:r>
      <w:r>
        <w:rPr>
          <w:color w:val="231F20"/>
          <w:spacing w:val="-15"/>
        </w:rPr>
        <w:t> </w:t>
      </w:r>
      <w:r>
        <w:rPr>
          <w:color w:val="231F20"/>
        </w:rPr>
        <w:t>: tant pis si l'individu</w:t>
      </w:r>
      <w:r>
        <w:rPr>
          <w:color w:val="231F20"/>
          <w:spacing w:val="14"/>
        </w:rPr>
        <w:t> </w:t>
      </w:r>
      <w:r>
        <w:rPr>
          <w:color w:val="231F20"/>
        </w:rPr>
        <w:t>porté</w:t>
      </w:r>
      <w:r>
        <w:rPr>
          <w:color w:val="231F20"/>
          <w:spacing w:val="16"/>
        </w:rPr>
        <w:t> </w:t>
      </w:r>
      <w:r>
        <w:rPr>
          <w:color w:val="231F20"/>
        </w:rPr>
        <w:t>au</w:t>
      </w:r>
      <w:r>
        <w:rPr>
          <w:color w:val="231F20"/>
          <w:spacing w:val="14"/>
        </w:rPr>
        <w:t> </w:t>
      </w:r>
      <w:r>
        <w:rPr>
          <w:color w:val="231F20"/>
        </w:rPr>
        <w:t>pouvoir</w:t>
      </w:r>
      <w:r>
        <w:rPr>
          <w:color w:val="231F20"/>
          <w:spacing w:val="16"/>
        </w:rPr>
        <w:t> </w:t>
      </w:r>
      <w:r>
        <w:rPr>
          <w:color w:val="231F20"/>
        </w:rPr>
        <w:t>est</w:t>
      </w:r>
      <w:r>
        <w:rPr>
          <w:color w:val="231F20"/>
          <w:spacing w:val="17"/>
        </w:rPr>
        <w:t> </w:t>
      </w:r>
      <w:r>
        <w:rPr>
          <w:color w:val="231F20"/>
        </w:rPr>
        <w:t>un</w:t>
      </w:r>
      <w:r>
        <w:rPr>
          <w:color w:val="231F20"/>
          <w:spacing w:val="14"/>
        </w:rPr>
        <w:t> </w:t>
      </w:r>
      <w:r>
        <w:rPr>
          <w:color w:val="231F20"/>
        </w:rPr>
        <w:t>dictateur sanguinaire,</w:t>
      </w:r>
      <w:r>
        <w:rPr>
          <w:color w:val="231F20"/>
          <w:spacing w:val="16"/>
        </w:rPr>
        <w:t> </w:t>
      </w:r>
      <w:r>
        <w:rPr>
          <w:color w:val="231F20"/>
        </w:rPr>
        <w:t>un</w:t>
      </w:r>
      <w:r>
        <w:rPr>
          <w:color w:val="231F20"/>
          <w:spacing w:val="16"/>
        </w:rPr>
        <w:t> </w:t>
      </w:r>
      <w:r>
        <w:rPr>
          <w:color w:val="231F20"/>
        </w:rPr>
        <w:t>inculte,</w:t>
      </w:r>
      <w:r>
        <w:rPr>
          <w:color w:val="231F20"/>
          <w:spacing w:val="15"/>
        </w:rPr>
        <w:t> </w:t>
      </w:r>
      <w:r>
        <w:rPr>
          <w:color w:val="231F20"/>
        </w:rPr>
        <w:t>et</w:t>
      </w:r>
    </w:p>
    <w:p>
      <w:pPr>
        <w:pStyle w:val="BodyText"/>
        <w:ind w:left="0"/>
        <w:jc w:val="left"/>
        <w:rPr>
          <w:sz w:val="20"/>
        </w:rPr>
      </w:pPr>
    </w:p>
    <w:p>
      <w:pPr>
        <w:pStyle w:val="BodyText"/>
        <w:ind w:left="0"/>
        <w:jc w:val="left"/>
        <w:rPr>
          <w:sz w:val="20"/>
        </w:rPr>
      </w:pPr>
    </w:p>
    <w:p>
      <w:pPr>
        <w:pStyle w:val="BodyText"/>
        <w:spacing w:before="65"/>
        <w:ind w:left="0"/>
        <w:jc w:val="left"/>
        <w:rPr>
          <w:sz w:val="20"/>
        </w:rPr>
      </w:pPr>
      <w:r>
        <w:rPr/>
        <mc:AlternateContent>
          <mc:Choice Requires="wps">
            <w:drawing>
              <wp:anchor distT="0" distB="0" distL="0" distR="0" allowOverlap="1" layoutInCell="1" locked="0" behindDoc="1" simplePos="0" relativeHeight="487661056">
                <wp:simplePos x="0" y="0"/>
                <wp:positionH relativeFrom="page">
                  <wp:posOffset>629907</wp:posOffset>
                </wp:positionH>
                <wp:positionV relativeFrom="paragraph">
                  <wp:posOffset>202633</wp:posOffset>
                </wp:positionV>
                <wp:extent cx="1829435" cy="9525"/>
                <wp:effectExtent l="0" t="0" r="0" b="0"/>
                <wp:wrapTopAndBottom/>
                <wp:docPr id="175" name="Graphic 175"/>
                <wp:cNvGraphicFramePr>
                  <a:graphicFrameLocks/>
                </wp:cNvGraphicFramePr>
                <a:graphic>
                  <a:graphicData uri="http://schemas.microsoft.com/office/word/2010/wordprocessingShape">
                    <wps:wsp>
                      <wps:cNvPr id="175" name="Graphic 17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955391pt;width:144.020pt;height:.72pt;mso-position-horizontal-relative:page;mso-position-vertical-relative:paragraph;z-index:-15655424;mso-wrap-distance-left:0;mso-wrap-distance-right:0" id="docshape173" filled="true" fillcolor="#231f20" stroked="false">
                <v:fill type="solid"/>
                <w10:wrap type="topAndBottom"/>
              </v:rect>
            </w:pict>
          </mc:Fallback>
        </mc:AlternateContent>
      </w:r>
    </w:p>
    <w:p>
      <w:pPr>
        <w:spacing w:before="91"/>
        <w:ind w:left="111" w:right="103" w:firstLine="0"/>
        <w:jc w:val="both"/>
        <w:rPr>
          <w:sz w:val="20"/>
        </w:rPr>
      </w:pPr>
      <w:r>
        <w:rPr>
          <w:color w:val="76787A"/>
          <w:spacing w:val="-4"/>
          <w:sz w:val="20"/>
          <w:vertAlign w:val="superscript"/>
        </w:rPr>
        <w:t>235</w:t>
      </w:r>
      <w:r>
        <w:rPr>
          <w:color w:val="48484A"/>
          <w:spacing w:val="-4"/>
          <w:sz w:val="20"/>
          <w:vertAlign w:val="baseline"/>
        </w:rPr>
        <w:t>Créé</w:t>
      </w:r>
      <w:r>
        <w:rPr>
          <w:color w:val="48484A"/>
          <w:spacing w:val="-9"/>
          <w:sz w:val="20"/>
          <w:vertAlign w:val="baseline"/>
        </w:rPr>
        <w:t> </w:t>
      </w:r>
      <w:r>
        <w:rPr>
          <w:color w:val="48484A"/>
          <w:spacing w:val="-4"/>
          <w:sz w:val="20"/>
          <w:vertAlign w:val="baseline"/>
        </w:rPr>
        <w:t>par</w:t>
      </w:r>
      <w:r>
        <w:rPr>
          <w:color w:val="48484A"/>
          <w:spacing w:val="-8"/>
          <w:sz w:val="20"/>
          <w:vertAlign w:val="baseline"/>
        </w:rPr>
        <w:t> </w:t>
      </w:r>
      <w:r>
        <w:rPr>
          <w:color w:val="48484A"/>
          <w:spacing w:val="-4"/>
          <w:sz w:val="20"/>
          <w:vertAlign w:val="baseline"/>
        </w:rPr>
        <w:t>le</w:t>
      </w:r>
      <w:r>
        <w:rPr>
          <w:color w:val="48484A"/>
          <w:spacing w:val="-9"/>
          <w:sz w:val="20"/>
          <w:vertAlign w:val="baseline"/>
        </w:rPr>
        <w:t> </w:t>
      </w:r>
      <w:r>
        <w:rPr>
          <w:color w:val="48484A"/>
          <w:spacing w:val="-4"/>
          <w:sz w:val="20"/>
          <w:vertAlign w:val="baseline"/>
        </w:rPr>
        <w:t>psychiatre</w:t>
      </w:r>
      <w:r>
        <w:rPr>
          <w:color w:val="48484A"/>
          <w:spacing w:val="-8"/>
          <w:sz w:val="20"/>
          <w:vertAlign w:val="baseline"/>
        </w:rPr>
        <w:t> </w:t>
      </w:r>
      <w:r>
        <w:rPr>
          <w:color w:val="48484A"/>
          <w:spacing w:val="-4"/>
          <w:sz w:val="20"/>
          <w:vertAlign w:val="baseline"/>
        </w:rPr>
        <w:t>Nils</w:t>
      </w:r>
      <w:r>
        <w:rPr>
          <w:color w:val="48484A"/>
          <w:spacing w:val="-9"/>
          <w:sz w:val="20"/>
          <w:vertAlign w:val="baseline"/>
        </w:rPr>
        <w:t> </w:t>
      </w:r>
      <w:r>
        <w:rPr>
          <w:color w:val="48484A"/>
          <w:spacing w:val="-4"/>
          <w:sz w:val="20"/>
          <w:vertAlign w:val="baseline"/>
        </w:rPr>
        <w:t>Bejerot,</w:t>
      </w:r>
      <w:r>
        <w:rPr>
          <w:color w:val="48484A"/>
          <w:spacing w:val="-8"/>
          <w:sz w:val="20"/>
          <w:vertAlign w:val="baseline"/>
        </w:rPr>
        <w:t> </w:t>
      </w:r>
      <w:r>
        <w:rPr>
          <w:color w:val="48484A"/>
          <w:spacing w:val="-4"/>
          <w:sz w:val="20"/>
          <w:vertAlign w:val="baseline"/>
        </w:rPr>
        <w:t>le</w:t>
      </w:r>
      <w:r>
        <w:rPr>
          <w:color w:val="48484A"/>
          <w:spacing w:val="-9"/>
          <w:sz w:val="20"/>
          <w:vertAlign w:val="baseline"/>
        </w:rPr>
        <w:t> </w:t>
      </w:r>
      <w:r>
        <w:rPr>
          <w:color w:val="48484A"/>
          <w:spacing w:val="-4"/>
          <w:sz w:val="20"/>
          <w:vertAlign w:val="baseline"/>
        </w:rPr>
        <w:t>terme</w:t>
      </w:r>
      <w:r>
        <w:rPr>
          <w:color w:val="48484A"/>
          <w:spacing w:val="-8"/>
          <w:sz w:val="20"/>
          <w:vertAlign w:val="baseline"/>
        </w:rPr>
        <w:t> </w:t>
      </w:r>
      <w:r>
        <w:rPr>
          <w:color w:val="48484A"/>
          <w:spacing w:val="-4"/>
          <w:sz w:val="20"/>
          <w:vertAlign w:val="baseline"/>
        </w:rPr>
        <w:t>syndrome</w:t>
      </w:r>
      <w:r>
        <w:rPr>
          <w:color w:val="48484A"/>
          <w:spacing w:val="-9"/>
          <w:sz w:val="20"/>
          <w:vertAlign w:val="baseline"/>
        </w:rPr>
        <w:t> </w:t>
      </w:r>
      <w:r>
        <w:rPr>
          <w:color w:val="48484A"/>
          <w:spacing w:val="-4"/>
          <w:sz w:val="20"/>
          <w:vertAlign w:val="baseline"/>
        </w:rPr>
        <w:t>de</w:t>
      </w:r>
      <w:r>
        <w:rPr>
          <w:color w:val="48484A"/>
          <w:spacing w:val="-8"/>
          <w:sz w:val="20"/>
          <w:vertAlign w:val="baseline"/>
        </w:rPr>
        <w:t> </w:t>
      </w:r>
      <w:r>
        <w:rPr>
          <w:color w:val="48484A"/>
          <w:spacing w:val="-4"/>
          <w:sz w:val="20"/>
          <w:vertAlign w:val="baseline"/>
        </w:rPr>
        <w:t>Stockholm</w:t>
      </w:r>
      <w:r>
        <w:rPr>
          <w:color w:val="48484A"/>
          <w:spacing w:val="-9"/>
          <w:sz w:val="20"/>
          <w:vertAlign w:val="baseline"/>
        </w:rPr>
        <w:t> </w:t>
      </w:r>
      <w:r>
        <w:rPr>
          <w:color w:val="48484A"/>
          <w:spacing w:val="-4"/>
          <w:sz w:val="20"/>
          <w:vertAlign w:val="baseline"/>
        </w:rPr>
        <w:t>est</w:t>
      </w:r>
      <w:r>
        <w:rPr>
          <w:color w:val="48484A"/>
          <w:spacing w:val="-8"/>
          <w:sz w:val="20"/>
          <w:vertAlign w:val="baseline"/>
        </w:rPr>
        <w:t> </w:t>
      </w:r>
      <w:r>
        <w:rPr>
          <w:color w:val="48484A"/>
          <w:spacing w:val="-4"/>
          <w:sz w:val="20"/>
          <w:vertAlign w:val="baseline"/>
        </w:rPr>
        <w:t>un</w:t>
      </w:r>
      <w:r>
        <w:rPr>
          <w:color w:val="48484A"/>
          <w:spacing w:val="-9"/>
          <w:sz w:val="20"/>
          <w:vertAlign w:val="baseline"/>
        </w:rPr>
        <w:t> </w:t>
      </w:r>
      <w:r>
        <w:rPr>
          <w:color w:val="48484A"/>
          <w:spacing w:val="-4"/>
          <w:sz w:val="20"/>
          <w:vertAlign w:val="baseline"/>
        </w:rPr>
        <w:t>phénomène </w:t>
      </w:r>
      <w:r>
        <w:rPr>
          <w:color w:val="48484A"/>
          <w:sz w:val="20"/>
          <w:vertAlign w:val="baseline"/>
        </w:rPr>
        <w:t>psychologique</w:t>
      </w:r>
      <w:r>
        <w:rPr>
          <w:color w:val="48484A"/>
          <w:spacing w:val="-9"/>
          <w:sz w:val="20"/>
          <w:vertAlign w:val="baseline"/>
        </w:rPr>
        <w:t> </w:t>
      </w:r>
      <w:r>
        <w:rPr>
          <w:color w:val="48484A"/>
          <w:sz w:val="20"/>
          <w:vertAlign w:val="baseline"/>
        </w:rPr>
        <w:t>observé</w:t>
      </w:r>
      <w:r>
        <w:rPr>
          <w:color w:val="48484A"/>
          <w:spacing w:val="-7"/>
          <w:sz w:val="20"/>
          <w:vertAlign w:val="baseline"/>
        </w:rPr>
        <w:t> </w:t>
      </w:r>
      <w:r>
        <w:rPr>
          <w:color w:val="48484A"/>
          <w:sz w:val="20"/>
          <w:vertAlign w:val="baseline"/>
        </w:rPr>
        <w:t>chez</w:t>
      </w:r>
      <w:r>
        <w:rPr>
          <w:color w:val="48484A"/>
          <w:spacing w:val="-7"/>
          <w:sz w:val="20"/>
          <w:vertAlign w:val="baseline"/>
        </w:rPr>
        <w:t> </w:t>
      </w:r>
      <w:r>
        <w:rPr>
          <w:color w:val="48484A"/>
          <w:sz w:val="20"/>
          <w:vertAlign w:val="baseline"/>
        </w:rPr>
        <w:t>des</w:t>
      </w:r>
      <w:r>
        <w:rPr>
          <w:color w:val="48484A"/>
          <w:spacing w:val="-8"/>
          <w:sz w:val="20"/>
          <w:vertAlign w:val="baseline"/>
        </w:rPr>
        <w:t> </w:t>
      </w:r>
      <w:r>
        <w:rPr>
          <w:color w:val="48484A"/>
          <w:sz w:val="20"/>
          <w:vertAlign w:val="baseline"/>
        </w:rPr>
        <w:t>otages</w:t>
      </w:r>
      <w:r>
        <w:rPr>
          <w:color w:val="48484A"/>
          <w:spacing w:val="-8"/>
          <w:sz w:val="20"/>
          <w:vertAlign w:val="baseline"/>
        </w:rPr>
        <w:t> </w:t>
      </w:r>
      <w:r>
        <w:rPr>
          <w:color w:val="48484A"/>
          <w:sz w:val="20"/>
          <w:vertAlign w:val="baseline"/>
        </w:rPr>
        <w:t>ayant</w:t>
      </w:r>
      <w:r>
        <w:rPr>
          <w:color w:val="48484A"/>
          <w:spacing w:val="-10"/>
          <w:sz w:val="20"/>
          <w:vertAlign w:val="baseline"/>
        </w:rPr>
        <w:t> </w:t>
      </w:r>
      <w:r>
        <w:rPr>
          <w:color w:val="48484A"/>
          <w:sz w:val="20"/>
          <w:vertAlign w:val="baseline"/>
        </w:rPr>
        <w:t>vécu</w:t>
      </w:r>
      <w:r>
        <w:rPr>
          <w:color w:val="48484A"/>
          <w:spacing w:val="-9"/>
          <w:sz w:val="20"/>
          <w:vertAlign w:val="baseline"/>
        </w:rPr>
        <w:t> </w:t>
      </w:r>
      <w:r>
        <w:rPr>
          <w:color w:val="48484A"/>
          <w:sz w:val="20"/>
          <w:vertAlign w:val="baseline"/>
        </w:rPr>
        <w:t>durant</w:t>
      </w:r>
      <w:r>
        <w:rPr>
          <w:color w:val="48484A"/>
          <w:spacing w:val="-7"/>
          <w:sz w:val="20"/>
          <w:vertAlign w:val="baseline"/>
        </w:rPr>
        <w:t> </w:t>
      </w:r>
      <w:r>
        <w:rPr>
          <w:color w:val="48484A"/>
          <w:sz w:val="20"/>
          <w:vertAlign w:val="baseline"/>
        </w:rPr>
        <w:t>une</w:t>
      </w:r>
      <w:r>
        <w:rPr>
          <w:color w:val="48484A"/>
          <w:spacing w:val="-7"/>
          <w:sz w:val="20"/>
          <w:vertAlign w:val="baseline"/>
        </w:rPr>
        <w:t> </w:t>
      </w:r>
      <w:r>
        <w:rPr>
          <w:color w:val="48484A"/>
          <w:sz w:val="20"/>
          <w:vertAlign w:val="baseline"/>
        </w:rPr>
        <w:t>période</w:t>
      </w:r>
      <w:r>
        <w:rPr>
          <w:color w:val="48484A"/>
          <w:spacing w:val="-9"/>
          <w:sz w:val="20"/>
          <w:vertAlign w:val="baseline"/>
        </w:rPr>
        <w:t> </w:t>
      </w:r>
      <w:r>
        <w:rPr>
          <w:color w:val="48484A"/>
          <w:sz w:val="20"/>
          <w:vertAlign w:val="baseline"/>
        </w:rPr>
        <w:t>prolongée</w:t>
      </w:r>
      <w:r>
        <w:rPr>
          <w:color w:val="48484A"/>
          <w:spacing w:val="-7"/>
          <w:sz w:val="20"/>
          <w:vertAlign w:val="baseline"/>
        </w:rPr>
        <w:t> </w:t>
      </w:r>
      <w:r>
        <w:rPr>
          <w:color w:val="48484A"/>
          <w:sz w:val="20"/>
          <w:vertAlign w:val="baseline"/>
        </w:rPr>
        <w:t>avec </w:t>
      </w:r>
      <w:r>
        <w:rPr>
          <w:color w:val="48484A"/>
          <w:spacing w:val="-2"/>
          <w:sz w:val="20"/>
          <w:vertAlign w:val="baseline"/>
        </w:rPr>
        <w:t>leurs</w:t>
      </w:r>
      <w:r>
        <w:rPr>
          <w:color w:val="48484A"/>
          <w:spacing w:val="-10"/>
          <w:sz w:val="20"/>
          <w:vertAlign w:val="baseline"/>
        </w:rPr>
        <w:t> </w:t>
      </w:r>
      <w:r>
        <w:rPr>
          <w:color w:val="48484A"/>
          <w:spacing w:val="-2"/>
          <w:sz w:val="20"/>
          <w:vertAlign w:val="baseline"/>
        </w:rPr>
        <w:t>geôliers</w:t>
      </w:r>
      <w:r>
        <w:rPr>
          <w:color w:val="48484A"/>
          <w:spacing w:val="-8"/>
          <w:sz w:val="20"/>
          <w:vertAlign w:val="baseline"/>
        </w:rPr>
        <w:t> </w:t>
      </w:r>
      <w:r>
        <w:rPr>
          <w:color w:val="48484A"/>
          <w:spacing w:val="-2"/>
          <w:sz w:val="20"/>
          <w:vertAlign w:val="baseline"/>
        </w:rPr>
        <w:t>et</w:t>
      </w:r>
      <w:r>
        <w:rPr>
          <w:color w:val="48484A"/>
          <w:spacing w:val="-9"/>
          <w:sz w:val="20"/>
          <w:vertAlign w:val="baseline"/>
        </w:rPr>
        <w:t> </w:t>
      </w:r>
      <w:r>
        <w:rPr>
          <w:color w:val="48484A"/>
          <w:spacing w:val="-2"/>
          <w:sz w:val="20"/>
          <w:vertAlign w:val="baseline"/>
        </w:rPr>
        <w:t>qui</w:t>
      </w:r>
      <w:r>
        <w:rPr>
          <w:color w:val="48484A"/>
          <w:spacing w:val="-9"/>
          <w:sz w:val="20"/>
          <w:vertAlign w:val="baseline"/>
        </w:rPr>
        <w:t> </w:t>
      </w:r>
      <w:r>
        <w:rPr>
          <w:color w:val="48484A"/>
          <w:spacing w:val="-2"/>
          <w:sz w:val="20"/>
          <w:vertAlign w:val="baseline"/>
        </w:rPr>
        <w:t>ont</w:t>
      </w:r>
      <w:r>
        <w:rPr>
          <w:color w:val="48484A"/>
          <w:spacing w:val="-9"/>
          <w:sz w:val="20"/>
          <w:vertAlign w:val="baseline"/>
        </w:rPr>
        <w:t> </w:t>
      </w:r>
      <w:r>
        <w:rPr>
          <w:color w:val="48484A"/>
          <w:spacing w:val="-2"/>
          <w:sz w:val="20"/>
          <w:vertAlign w:val="baseline"/>
        </w:rPr>
        <w:t>développé</w:t>
      </w:r>
      <w:r>
        <w:rPr>
          <w:color w:val="48484A"/>
          <w:spacing w:val="-9"/>
          <w:sz w:val="20"/>
          <w:vertAlign w:val="baseline"/>
        </w:rPr>
        <w:t> </w:t>
      </w:r>
      <w:r>
        <w:rPr>
          <w:color w:val="48484A"/>
          <w:spacing w:val="-2"/>
          <w:sz w:val="20"/>
          <w:vertAlign w:val="baseline"/>
        </w:rPr>
        <w:t>une</w:t>
      </w:r>
      <w:r>
        <w:rPr>
          <w:color w:val="48484A"/>
          <w:spacing w:val="-5"/>
          <w:sz w:val="20"/>
          <w:vertAlign w:val="baseline"/>
        </w:rPr>
        <w:t> </w:t>
      </w:r>
      <w:r>
        <w:rPr>
          <w:color w:val="48484A"/>
          <w:spacing w:val="-2"/>
          <w:sz w:val="20"/>
          <w:vertAlign w:val="baseline"/>
        </w:rPr>
        <w:t>sorte</w:t>
      </w:r>
      <w:r>
        <w:rPr>
          <w:color w:val="48484A"/>
          <w:spacing w:val="-7"/>
          <w:sz w:val="20"/>
          <w:vertAlign w:val="baseline"/>
        </w:rPr>
        <w:t> </w:t>
      </w:r>
      <w:r>
        <w:rPr>
          <w:color w:val="48484A"/>
          <w:spacing w:val="-2"/>
          <w:sz w:val="20"/>
          <w:vertAlign w:val="baseline"/>
        </w:rPr>
        <w:t>d'empathie,</w:t>
      </w:r>
      <w:r>
        <w:rPr>
          <w:color w:val="48484A"/>
          <w:spacing w:val="-7"/>
          <w:sz w:val="20"/>
          <w:vertAlign w:val="baseline"/>
        </w:rPr>
        <w:t> </w:t>
      </w:r>
      <w:r>
        <w:rPr>
          <w:color w:val="48484A"/>
          <w:spacing w:val="-2"/>
          <w:sz w:val="20"/>
          <w:vertAlign w:val="baseline"/>
        </w:rPr>
        <w:t>de</w:t>
      </w:r>
      <w:r>
        <w:rPr>
          <w:color w:val="48484A"/>
          <w:spacing w:val="-7"/>
          <w:sz w:val="20"/>
          <w:vertAlign w:val="baseline"/>
        </w:rPr>
        <w:t> </w:t>
      </w:r>
      <w:r>
        <w:rPr>
          <w:color w:val="48484A"/>
          <w:spacing w:val="-2"/>
          <w:sz w:val="20"/>
          <w:vertAlign w:val="baseline"/>
        </w:rPr>
        <w:t>contagion</w:t>
      </w:r>
      <w:r>
        <w:rPr>
          <w:color w:val="48484A"/>
          <w:spacing w:val="-6"/>
          <w:sz w:val="20"/>
          <w:vertAlign w:val="baseline"/>
        </w:rPr>
        <w:t> </w:t>
      </w:r>
      <w:r>
        <w:rPr>
          <w:color w:val="48484A"/>
          <w:spacing w:val="-2"/>
          <w:sz w:val="20"/>
          <w:vertAlign w:val="baseline"/>
        </w:rPr>
        <w:t>émotionnelle</w:t>
      </w:r>
      <w:r>
        <w:rPr>
          <w:color w:val="48484A"/>
          <w:spacing w:val="-9"/>
          <w:sz w:val="20"/>
          <w:vertAlign w:val="baseline"/>
        </w:rPr>
        <w:t> </w:t>
      </w:r>
      <w:r>
        <w:rPr>
          <w:color w:val="48484A"/>
          <w:spacing w:val="-2"/>
          <w:sz w:val="20"/>
          <w:vertAlign w:val="baseline"/>
        </w:rPr>
        <w:t>vis- </w:t>
      </w:r>
      <w:r>
        <w:rPr>
          <w:color w:val="48484A"/>
          <w:sz w:val="20"/>
          <w:vertAlign w:val="baseline"/>
        </w:rPr>
        <w:t>à-vis</w:t>
      </w:r>
      <w:r>
        <w:rPr>
          <w:color w:val="48484A"/>
          <w:spacing w:val="-11"/>
          <w:sz w:val="20"/>
          <w:vertAlign w:val="baseline"/>
        </w:rPr>
        <w:t> </w:t>
      </w:r>
      <w:r>
        <w:rPr>
          <w:color w:val="48484A"/>
          <w:sz w:val="20"/>
          <w:vertAlign w:val="baseline"/>
        </w:rPr>
        <w:t>de</w:t>
      </w:r>
      <w:r>
        <w:rPr>
          <w:color w:val="48484A"/>
          <w:spacing w:val="-10"/>
          <w:sz w:val="20"/>
          <w:vertAlign w:val="baseline"/>
        </w:rPr>
        <w:t> </w:t>
      </w:r>
      <w:r>
        <w:rPr>
          <w:color w:val="48484A"/>
          <w:sz w:val="20"/>
          <w:vertAlign w:val="baseline"/>
        </w:rPr>
        <w:t>ceux-ci,</w:t>
      </w:r>
      <w:r>
        <w:rPr>
          <w:color w:val="48484A"/>
          <w:spacing w:val="-8"/>
          <w:sz w:val="20"/>
          <w:vertAlign w:val="baseline"/>
        </w:rPr>
        <w:t> </w:t>
      </w:r>
      <w:r>
        <w:rPr>
          <w:color w:val="48484A"/>
          <w:sz w:val="20"/>
          <w:vertAlign w:val="baseline"/>
        </w:rPr>
        <w:t>selon</w:t>
      </w:r>
      <w:r>
        <w:rPr>
          <w:color w:val="48484A"/>
          <w:spacing w:val="-9"/>
          <w:sz w:val="20"/>
          <w:vertAlign w:val="baseline"/>
        </w:rPr>
        <w:t> </w:t>
      </w:r>
      <w:r>
        <w:rPr>
          <w:color w:val="48484A"/>
          <w:sz w:val="20"/>
          <w:vertAlign w:val="baseline"/>
        </w:rPr>
        <w:t>des</w:t>
      </w:r>
      <w:r>
        <w:rPr>
          <w:color w:val="48484A"/>
          <w:spacing w:val="-11"/>
          <w:sz w:val="20"/>
          <w:vertAlign w:val="baseline"/>
        </w:rPr>
        <w:t> </w:t>
      </w:r>
      <w:r>
        <w:rPr>
          <w:color w:val="48484A"/>
          <w:sz w:val="20"/>
          <w:vertAlign w:val="baseline"/>
        </w:rPr>
        <w:t>mécanismes</w:t>
      </w:r>
      <w:r>
        <w:rPr>
          <w:color w:val="48484A"/>
          <w:spacing w:val="-11"/>
          <w:sz w:val="20"/>
          <w:vertAlign w:val="baseline"/>
        </w:rPr>
        <w:t> </w:t>
      </w:r>
      <w:r>
        <w:rPr>
          <w:color w:val="48484A"/>
          <w:sz w:val="20"/>
          <w:vertAlign w:val="baseline"/>
        </w:rPr>
        <w:t>complexes</w:t>
      </w:r>
      <w:r>
        <w:rPr>
          <w:color w:val="48484A"/>
          <w:spacing w:val="-11"/>
          <w:sz w:val="20"/>
          <w:vertAlign w:val="baseline"/>
        </w:rPr>
        <w:t> </w:t>
      </w:r>
      <w:r>
        <w:rPr>
          <w:color w:val="48484A"/>
          <w:sz w:val="20"/>
          <w:vertAlign w:val="baseline"/>
        </w:rPr>
        <w:t>d'identification</w:t>
      </w:r>
      <w:r>
        <w:rPr>
          <w:color w:val="48484A"/>
          <w:spacing w:val="-9"/>
          <w:sz w:val="20"/>
          <w:vertAlign w:val="baseline"/>
        </w:rPr>
        <w:t> </w:t>
      </w:r>
      <w:r>
        <w:rPr>
          <w:color w:val="48484A"/>
          <w:sz w:val="20"/>
          <w:vertAlign w:val="baseline"/>
        </w:rPr>
        <w:t>et</w:t>
      </w:r>
      <w:r>
        <w:rPr>
          <w:color w:val="48484A"/>
          <w:spacing w:val="-10"/>
          <w:sz w:val="20"/>
          <w:vertAlign w:val="baseline"/>
        </w:rPr>
        <w:t> </w:t>
      </w:r>
      <w:r>
        <w:rPr>
          <w:color w:val="48484A"/>
          <w:sz w:val="20"/>
          <w:vertAlign w:val="baseline"/>
        </w:rPr>
        <w:t>de</w:t>
      </w:r>
      <w:r>
        <w:rPr>
          <w:color w:val="48484A"/>
          <w:spacing w:val="-9"/>
          <w:sz w:val="20"/>
          <w:vertAlign w:val="baseline"/>
        </w:rPr>
        <w:t> </w:t>
      </w:r>
      <w:r>
        <w:rPr>
          <w:color w:val="48484A"/>
          <w:sz w:val="20"/>
          <w:vertAlign w:val="baseline"/>
        </w:rPr>
        <w:t>survie.</w:t>
      </w:r>
    </w:p>
    <w:p>
      <w:pPr>
        <w:spacing w:after="0"/>
        <w:jc w:val="both"/>
        <w:rPr>
          <w:sz w:val="20"/>
        </w:rPr>
        <w:sectPr>
          <w:pgSz w:w="8790" w:h="13610"/>
          <w:pgMar w:header="0" w:footer="802" w:top="1060" w:bottom="1000" w:left="880" w:right="880"/>
        </w:sectPr>
      </w:pPr>
    </w:p>
    <w:p>
      <w:pPr>
        <w:pStyle w:val="BodyText"/>
        <w:spacing w:before="66"/>
        <w:ind w:right="107"/>
      </w:pPr>
      <w:r>
        <w:rPr>
          <w:color w:val="231F20"/>
        </w:rPr>
        <w:t>même</w:t>
      </w:r>
      <w:r>
        <w:rPr>
          <w:color w:val="231F20"/>
          <w:spacing w:val="-10"/>
        </w:rPr>
        <w:t> </w:t>
      </w:r>
      <w:r>
        <w:rPr>
          <w:color w:val="231F20"/>
        </w:rPr>
        <w:t>un</w:t>
      </w:r>
      <w:r>
        <w:rPr>
          <w:color w:val="231F20"/>
          <w:spacing w:val="-10"/>
        </w:rPr>
        <w:t> </w:t>
      </w:r>
      <w:r>
        <w:rPr>
          <w:color w:val="231F20"/>
        </w:rPr>
        <w:t>bouffon</w:t>
      </w:r>
      <w:r>
        <w:rPr>
          <w:color w:val="231F20"/>
          <w:spacing w:val="-9"/>
        </w:rPr>
        <w:t> </w:t>
      </w:r>
      <w:r>
        <w:rPr>
          <w:color w:val="231F20"/>
        </w:rPr>
        <w:t>…pourvu</w:t>
      </w:r>
      <w:r>
        <w:rPr>
          <w:color w:val="231F20"/>
          <w:spacing w:val="-9"/>
        </w:rPr>
        <w:t> </w:t>
      </w:r>
      <w:r>
        <w:rPr>
          <w:color w:val="231F20"/>
        </w:rPr>
        <w:t>qu'il</w:t>
      </w:r>
      <w:r>
        <w:rPr>
          <w:color w:val="231F20"/>
          <w:spacing w:val="-10"/>
        </w:rPr>
        <w:t> </w:t>
      </w:r>
      <w:r>
        <w:rPr>
          <w:color w:val="231F20"/>
        </w:rPr>
        <w:t>suive</w:t>
      </w:r>
      <w:r>
        <w:rPr>
          <w:color w:val="231F20"/>
          <w:spacing w:val="-10"/>
        </w:rPr>
        <w:t> </w:t>
      </w:r>
      <w:r>
        <w:rPr>
          <w:color w:val="231F20"/>
        </w:rPr>
        <w:t>la</w:t>
      </w:r>
      <w:r>
        <w:rPr>
          <w:color w:val="231F20"/>
          <w:spacing w:val="-9"/>
        </w:rPr>
        <w:t> </w:t>
      </w:r>
      <w:r>
        <w:rPr>
          <w:color w:val="231F20"/>
        </w:rPr>
        <w:t>politique</w:t>
      </w:r>
      <w:r>
        <w:rPr>
          <w:color w:val="231F20"/>
          <w:spacing w:val="-11"/>
        </w:rPr>
        <w:t> </w:t>
      </w:r>
      <w:r>
        <w:rPr>
          <w:color w:val="231F20"/>
        </w:rPr>
        <w:t>qui</w:t>
      </w:r>
      <w:r>
        <w:rPr>
          <w:color w:val="231F20"/>
          <w:spacing w:val="-9"/>
        </w:rPr>
        <w:t> </w:t>
      </w:r>
      <w:r>
        <w:rPr>
          <w:color w:val="231F20"/>
        </w:rPr>
        <w:t>lui</w:t>
      </w:r>
      <w:r>
        <w:rPr>
          <w:color w:val="231F20"/>
          <w:spacing w:val="-9"/>
        </w:rPr>
        <w:t> </w:t>
      </w:r>
      <w:r>
        <w:rPr>
          <w:color w:val="231F20"/>
        </w:rPr>
        <w:t>est</w:t>
      </w:r>
      <w:r>
        <w:rPr>
          <w:color w:val="231F20"/>
          <w:spacing w:val="-9"/>
        </w:rPr>
        <w:t> </w:t>
      </w:r>
      <w:r>
        <w:rPr>
          <w:color w:val="231F20"/>
        </w:rPr>
        <w:t>dictée</w:t>
      </w:r>
      <w:r>
        <w:rPr>
          <w:color w:val="231F20"/>
          <w:spacing w:val="-11"/>
        </w:rPr>
        <w:t> </w:t>
      </w:r>
      <w:r>
        <w:rPr>
          <w:color w:val="231F20"/>
        </w:rPr>
        <w:t>par Paris.</w:t>
      </w:r>
      <w:r>
        <w:rPr>
          <w:color w:val="231F20"/>
          <w:spacing w:val="-8"/>
        </w:rPr>
        <w:t> </w:t>
      </w:r>
      <w:r>
        <w:rPr>
          <w:color w:val="231F20"/>
        </w:rPr>
        <w:t>Malheur</w:t>
      </w:r>
      <w:r>
        <w:rPr>
          <w:color w:val="231F20"/>
          <w:spacing w:val="-6"/>
        </w:rPr>
        <w:t> </w:t>
      </w:r>
      <w:r>
        <w:rPr>
          <w:color w:val="231F20"/>
        </w:rPr>
        <w:t>au</w:t>
      </w:r>
      <w:r>
        <w:rPr>
          <w:color w:val="231F20"/>
          <w:spacing w:val="-8"/>
        </w:rPr>
        <w:t> </w:t>
      </w:r>
      <w:r>
        <w:rPr>
          <w:color w:val="231F20"/>
        </w:rPr>
        <w:t>dirigeant</w:t>
      </w:r>
      <w:r>
        <w:rPr>
          <w:color w:val="231F20"/>
          <w:spacing w:val="-6"/>
        </w:rPr>
        <w:t> </w:t>
      </w:r>
      <w:r>
        <w:rPr>
          <w:color w:val="231F20"/>
        </w:rPr>
        <w:t>africain</w:t>
      </w:r>
      <w:r>
        <w:rPr>
          <w:color w:val="231F20"/>
          <w:spacing w:val="-6"/>
        </w:rPr>
        <w:t> </w:t>
      </w:r>
      <w:r>
        <w:rPr>
          <w:color w:val="231F20"/>
        </w:rPr>
        <w:t>qui</w:t>
      </w:r>
      <w:r>
        <w:rPr>
          <w:color w:val="231F20"/>
          <w:spacing w:val="-6"/>
        </w:rPr>
        <w:t> </w:t>
      </w:r>
      <w:r>
        <w:rPr>
          <w:color w:val="231F20"/>
        </w:rPr>
        <w:t>se</w:t>
      </w:r>
      <w:r>
        <w:rPr>
          <w:color w:val="231F20"/>
          <w:spacing w:val="-6"/>
        </w:rPr>
        <w:t> </w:t>
      </w:r>
      <w:r>
        <w:rPr>
          <w:color w:val="231F20"/>
        </w:rPr>
        <w:t>croit</w:t>
      </w:r>
      <w:r>
        <w:rPr>
          <w:color w:val="231F20"/>
          <w:spacing w:val="-7"/>
        </w:rPr>
        <w:t> </w:t>
      </w:r>
      <w:r>
        <w:rPr>
          <w:color w:val="231F20"/>
        </w:rPr>
        <w:t>indépendant.</w:t>
      </w:r>
    </w:p>
    <w:p>
      <w:pPr>
        <w:pStyle w:val="BodyText"/>
        <w:spacing w:before="120"/>
        <w:ind w:right="104" w:firstLine="283"/>
      </w:pPr>
      <w:r>
        <w:rPr>
          <w:color w:val="231F20"/>
          <w:spacing w:val="-4"/>
        </w:rPr>
        <w:t>Dès</w:t>
      </w:r>
      <w:r>
        <w:rPr>
          <w:color w:val="231F20"/>
          <w:spacing w:val="-10"/>
        </w:rPr>
        <w:t> </w:t>
      </w:r>
      <w:r>
        <w:rPr>
          <w:color w:val="231F20"/>
          <w:spacing w:val="-4"/>
        </w:rPr>
        <w:t>1960,</w:t>
      </w:r>
      <w:r>
        <w:rPr>
          <w:color w:val="231F20"/>
          <w:spacing w:val="-10"/>
        </w:rPr>
        <w:t> </w:t>
      </w:r>
      <w:r>
        <w:rPr>
          <w:color w:val="231F20"/>
          <w:spacing w:val="-4"/>
        </w:rPr>
        <w:t>pour</w:t>
      </w:r>
      <w:r>
        <w:rPr>
          <w:color w:val="231F20"/>
          <w:spacing w:val="-10"/>
        </w:rPr>
        <w:t> </w:t>
      </w:r>
      <w:r>
        <w:rPr>
          <w:color w:val="231F20"/>
          <w:spacing w:val="-4"/>
        </w:rPr>
        <w:t>mieux</w:t>
      </w:r>
      <w:r>
        <w:rPr>
          <w:color w:val="231F20"/>
          <w:spacing w:val="-9"/>
        </w:rPr>
        <w:t> </w:t>
      </w:r>
      <w:r>
        <w:rPr>
          <w:color w:val="231F20"/>
          <w:spacing w:val="-4"/>
        </w:rPr>
        <w:t>contrôler</w:t>
      </w:r>
      <w:r>
        <w:rPr>
          <w:color w:val="231F20"/>
          <w:spacing w:val="-10"/>
        </w:rPr>
        <w:t> </w:t>
      </w:r>
      <w:r>
        <w:rPr>
          <w:color w:val="231F20"/>
          <w:spacing w:val="-4"/>
        </w:rPr>
        <w:t>l’action</w:t>
      </w:r>
      <w:r>
        <w:rPr>
          <w:color w:val="231F20"/>
          <w:spacing w:val="-10"/>
        </w:rPr>
        <w:t> </w:t>
      </w:r>
      <w:r>
        <w:rPr>
          <w:color w:val="231F20"/>
          <w:spacing w:val="-4"/>
        </w:rPr>
        <w:t>des</w:t>
      </w:r>
      <w:r>
        <w:rPr>
          <w:color w:val="231F20"/>
          <w:spacing w:val="-10"/>
        </w:rPr>
        <w:t> </w:t>
      </w:r>
      <w:r>
        <w:rPr>
          <w:color w:val="231F20"/>
          <w:spacing w:val="-4"/>
        </w:rPr>
        <w:t>dirigeants,</w:t>
      </w:r>
      <w:r>
        <w:rPr>
          <w:color w:val="231F20"/>
          <w:spacing w:val="-10"/>
        </w:rPr>
        <w:t> </w:t>
      </w:r>
      <w:r>
        <w:rPr>
          <w:color w:val="231F20"/>
          <w:spacing w:val="-4"/>
        </w:rPr>
        <w:t>Foccart</w:t>
      </w:r>
      <w:r>
        <w:rPr>
          <w:color w:val="231F20"/>
          <w:spacing w:val="-10"/>
        </w:rPr>
        <w:t> </w:t>
      </w:r>
      <w:r>
        <w:rPr>
          <w:color w:val="231F20"/>
          <w:spacing w:val="-4"/>
        </w:rPr>
        <w:t>installe </w:t>
      </w:r>
      <w:r>
        <w:rPr>
          <w:color w:val="231F20"/>
        </w:rPr>
        <w:t>un représentant du service de documentation extérieure et de contre- espionnage</w:t>
      </w:r>
      <w:r>
        <w:rPr>
          <w:color w:val="231F20"/>
          <w:spacing w:val="-1"/>
        </w:rPr>
        <w:t> </w:t>
      </w:r>
      <w:r>
        <w:rPr>
          <w:color w:val="231F20"/>
        </w:rPr>
        <w:t>(SDECE)</w:t>
      </w:r>
      <w:r>
        <w:rPr>
          <w:color w:val="231F20"/>
          <w:spacing w:val="-6"/>
        </w:rPr>
        <w:t> </w:t>
      </w:r>
      <w:r>
        <w:rPr>
          <w:color w:val="231F20"/>
        </w:rPr>
        <w:t>auprès</w:t>
      </w:r>
      <w:r>
        <w:rPr>
          <w:color w:val="231F20"/>
          <w:spacing w:val="-2"/>
        </w:rPr>
        <w:t> </w:t>
      </w:r>
      <w:r>
        <w:rPr>
          <w:color w:val="231F20"/>
        </w:rPr>
        <w:t>de</w:t>
      </w:r>
      <w:r>
        <w:rPr>
          <w:color w:val="231F20"/>
          <w:spacing w:val="-5"/>
        </w:rPr>
        <w:t> </w:t>
      </w:r>
      <w:r>
        <w:rPr>
          <w:color w:val="231F20"/>
        </w:rPr>
        <w:t>chaque</w:t>
      </w:r>
      <w:r>
        <w:rPr>
          <w:color w:val="231F20"/>
          <w:spacing w:val="-5"/>
        </w:rPr>
        <w:t> </w:t>
      </w:r>
      <w:r>
        <w:rPr>
          <w:color w:val="231F20"/>
        </w:rPr>
        <w:t>Président</w:t>
      </w:r>
      <w:r>
        <w:rPr>
          <w:color w:val="231F20"/>
          <w:spacing w:val="-4"/>
        </w:rPr>
        <w:t> </w:t>
      </w:r>
      <w:r>
        <w:rPr>
          <w:color w:val="231F20"/>
        </w:rPr>
        <w:t>africain.</w:t>
      </w:r>
    </w:p>
    <w:p>
      <w:pPr>
        <w:pStyle w:val="BodyText"/>
        <w:spacing w:before="120"/>
        <w:ind w:right="106" w:firstLine="283"/>
      </w:pPr>
      <w:r>
        <w:rPr>
          <w:color w:val="231F20"/>
        </w:rPr>
        <w:t>Pour soutenir</w:t>
      </w:r>
      <w:r>
        <w:rPr>
          <w:color w:val="231F20"/>
          <w:spacing w:val="-2"/>
        </w:rPr>
        <w:t> </w:t>
      </w:r>
      <w:r>
        <w:rPr>
          <w:color w:val="231F20"/>
        </w:rPr>
        <w:t>les Chefs d’État africains "amis", ceux qui coopèrent, Jacques</w:t>
      </w:r>
      <w:r>
        <w:rPr>
          <w:color w:val="231F20"/>
          <w:spacing w:val="-10"/>
        </w:rPr>
        <w:t> </w:t>
      </w:r>
      <w:r>
        <w:rPr>
          <w:color w:val="231F20"/>
        </w:rPr>
        <w:t>Foccart</w:t>
      </w:r>
      <w:r>
        <w:rPr>
          <w:color w:val="231F20"/>
          <w:spacing w:val="-10"/>
        </w:rPr>
        <w:t> </w:t>
      </w:r>
      <w:r>
        <w:rPr>
          <w:color w:val="231F20"/>
        </w:rPr>
        <w:t>préconise</w:t>
      </w:r>
      <w:r>
        <w:rPr>
          <w:color w:val="231F20"/>
          <w:spacing w:val="-11"/>
        </w:rPr>
        <w:t> </w:t>
      </w:r>
      <w:r>
        <w:rPr>
          <w:color w:val="231F20"/>
        </w:rPr>
        <w:t>l’intervention</w:t>
      </w:r>
      <w:r>
        <w:rPr>
          <w:color w:val="231F20"/>
          <w:spacing w:val="-10"/>
        </w:rPr>
        <w:t> </w:t>
      </w:r>
      <w:r>
        <w:rPr>
          <w:color w:val="231F20"/>
        </w:rPr>
        <w:t>française</w:t>
      </w:r>
      <w:r>
        <w:rPr>
          <w:color w:val="231F20"/>
          <w:spacing w:val="-12"/>
        </w:rPr>
        <w:t> </w:t>
      </w:r>
      <w:r>
        <w:rPr>
          <w:color w:val="231F20"/>
        </w:rPr>
        <w:t>en</w:t>
      </w:r>
      <w:r>
        <w:rPr>
          <w:color w:val="231F20"/>
          <w:spacing w:val="-10"/>
        </w:rPr>
        <w:t> </w:t>
      </w:r>
      <w:r>
        <w:rPr>
          <w:color w:val="231F20"/>
        </w:rPr>
        <w:t>cas</w:t>
      </w:r>
      <w:r>
        <w:rPr>
          <w:color w:val="231F20"/>
          <w:spacing w:val="-10"/>
        </w:rPr>
        <w:t> </w:t>
      </w:r>
      <w:r>
        <w:rPr>
          <w:color w:val="231F20"/>
        </w:rPr>
        <w:t>de</w:t>
      </w:r>
      <w:r>
        <w:rPr>
          <w:color w:val="231F20"/>
          <w:spacing w:val="-10"/>
        </w:rPr>
        <w:t> </w:t>
      </w:r>
      <w:r>
        <w:rPr>
          <w:color w:val="231F20"/>
        </w:rPr>
        <w:t>besoin.</w:t>
      </w:r>
      <w:r>
        <w:rPr>
          <w:color w:val="231F20"/>
          <w:spacing w:val="-12"/>
        </w:rPr>
        <w:t> </w:t>
      </w:r>
      <w:r>
        <w:rPr>
          <w:color w:val="231F20"/>
        </w:rPr>
        <w:t>Par contre, il faut se débarrasser de ceux qui gênent. Lorsque l’Armée française ne peut pas officiellement intervenir, Foccard utilise des mercenaires </w:t>
      </w:r>
      <w:r>
        <w:rPr>
          <w:color w:val="231F20"/>
          <w:vertAlign w:val="superscript"/>
        </w:rPr>
        <w:t>236</w:t>
      </w:r>
      <w:r>
        <w:rPr>
          <w:color w:val="231F20"/>
          <w:vertAlign w:val="baseline"/>
        </w:rPr>
        <w:t>.</w:t>
      </w:r>
    </w:p>
    <w:p>
      <w:pPr>
        <w:pStyle w:val="BodyText"/>
        <w:spacing w:before="121"/>
        <w:ind w:left="395"/>
      </w:pPr>
      <w:r>
        <w:rPr>
          <w:color w:val="231F20"/>
          <w:spacing w:val="-2"/>
        </w:rPr>
        <w:t>Le</w:t>
      </w:r>
      <w:r>
        <w:rPr>
          <w:color w:val="231F20"/>
          <w:spacing w:val="-8"/>
        </w:rPr>
        <w:t> </w:t>
      </w:r>
      <w:r>
        <w:rPr>
          <w:color w:val="231F20"/>
          <w:spacing w:val="-2"/>
        </w:rPr>
        <w:t>Cameroun</w:t>
      </w:r>
      <w:r>
        <w:rPr>
          <w:color w:val="231F20"/>
          <w:spacing w:val="-8"/>
        </w:rPr>
        <w:t> </w:t>
      </w:r>
      <w:r>
        <w:rPr>
          <w:color w:val="231F20"/>
          <w:spacing w:val="-2"/>
        </w:rPr>
        <w:t>est</w:t>
      </w:r>
      <w:r>
        <w:rPr>
          <w:color w:val="231F20"/>
          <w:spacing w:val="-6"/>
        </w:rPr>
        <w:t> </w:t>
      </w:r>
      <w:r>
        <w:rPr>
          <w:color w:val="231F20"/>
          <w:spacing w:val="-2"/>
        </w:rPr>
        <w:t>le</w:t>
      </w:r>
      <w:r>
        <w:rPr>
          <w:color w:val="231F20"/>
          <w:spacing w:val="-10"/>
        </w:rPr>
        <w:t> </w:t>
      </w:r>
      <w:r>
        <w:rPr>
          <w:color w:val="231F20"/>
          <w:spacing w:val="-2"/>
        </w:rPr>
        <w:t>premier</w:t>
      </w:r>
      <w:r>
        <w:rPr>
          <w:color w:val="231F20"/>
          <w:spacing w:val="-8"/>
        </w:rPr>
        <w:t> </w:t>
      </w:r>
      <w:r>
        <w:rPr>
          <w:color w:val="231F20"/>
          <w:spacing w:val="-2"/>
        </w:rPr>
        <w:t>à</w:t>
      </w:r>
      <w:r>
        <w:rPr>
          <w:color w:val="231F20"/>
          <w:spacing w:val="-7"/>
        </w:rPr>
        <w:t> </w:t>
      </w:r>
      <w:r>
        <w:rPr>
          <w:color w:val="231F20"/>
          <w:spacing w:val="-2"/>
        </w:rPr>
        <w:t>subir</w:t>
      </w:r>
      <w:r>
        <w:rPr>
          <w:color w:val="231F20"/>
          <w:spacing w:val="-10"/>
        </w:rPr>
        <w:t> </w:t>
      </w:r>
      <w:r>
        <w:rPr>
          <w:color w:val="231F20"/>
          <w:spacing w:val="-2"/>
        </w:rPr>
        <w:t>la</w:t>
      </w:r>
      <w:r>
        <w:rPr>
          <w:color w:val="231F20"/>
          <w:spacing w:val="-8"/>
        </w:rPr>
        <w:t> </w:t>
      </w:r>
      <w:r>
        <w:rPr>
          <w:color w:val="231F20"/>
          <w:spacing w:val="-2"/>
        </w:rPr>
        <w:t>colère</w:t>
      </w:r>
      <w:r>
        <w:rPr>
          <w:color w:val="231F20"/>
          <w:spacing w:val="-7"/>
        </w:rPr>
        <w:t> </w:t>
      </w:r>
      <w:r>
        <w:rPr>
          <w:color w:val="231F20"/>
          <w:spacing w:val="-2"/>
        </w:rPr>
        <w:t>du</w:t>
      </w:r>
      <w:r>
        <w:rPr>
          <w:color w:val="231F20"/>
          <w:spacing w:val="-10"/>
        </w:rPr>
        <w:t> </w:t>
      </w:r>
      <w:r>
        <w:rPr>
          <w:color w:val="231F20"/>
          <w:spacing w:val="-2"/>
        </w:rPr>
        <w:t>«</w:t>
      </w:r>
      <w:r>
        <w:rPr>
          <w:color w:val="231F20"/>
          <w:spacing w:val="-6"/>
        </w:rPr>
        <w:t> </w:t>
      </w:r>
      <w:r>
        <w:rPr>
          <w:color w:val="231F20"/>
          <w:spacing w:val="-2"/>
        </w:rPr>
        <w:t>père</w:t>
      </w:r>
      <w:r>
        <w:rPr>
          <w:color w:val="231F20"/>
          <w:spacing w:val="-7"/>
        </w:rPr>
        <w:t> </w:t>
      </w:r>
      <w:r>
        <w:rPr>
          <w:color w:val="231F20"/>
          <w:spacing w:val="-2"/>
        </w:rPr>
        <w:t>fouettard</w:t>
      </w:r>
      <w:r>
        <w:rPr>
          <w:color w:val="76787A"/>
          <w:spacing w:val="-2"/>
          <w:vertAlign w:val="superscript"/>
        </w:rPr>
        <w:t>237</w:t>
      </w:r>
      <w:r>
        <w:rPr>
          <w:color w:val="76787A"/>
          <w:spacing w:val="-4"/>
          <w:vertAlign w:val="baseline"/>
        </w:rPr>
        <w:t> </w:t>
      </w:r>
      <w:r>
        <w:rPr>
          <w:color w:val="231F20"/>
          <w:spacing w:val="-5"/>
          <w:vertAlign w:val="baseline"/>
        </w:rPr>
        <w:t>».</w:t>
      </w:r>
    </w:p>
    <w:p>
      <w:pPr>
        <w:pStyle w:val="BodyText"/>
        <w:spacing w:before="120"/>
        <w:ind w:right="105" w:firstLine="283"/>
      </w:pPr>
      <w:r>
        <w:rPr>
          <w:color w:val="231F20"/>
        </w:rPr>
        <w:t>Au</w:t>
      </w:r>
      <w:r>
        <w:rPr>
          <w:color w:val="231F20"/>
          <w:spacing w:val="-7"/>
        </w:rPr>
        <w:t> </w:t>
      </w:r>
      <w:r>
        <w:rPr>
          <w:color w:val="231F20"/>
        </w:rPr>
        <w:t>début</w:t>
      </w:r>
      <w:r>
        <w:rPr>
          <w:color w:val="231F20"/>
          <w:spacing w:val="-7"/>
        </w:rPr>
        <w:t> </w:t>
      </w:r>
      <w:r>
        <w:rPr>
          <w:color w:val="231F20"/>
        </w:rPr>
        <w:t>des</w:t>
      </w:r>
      <w:r>
        <w:rPr>
          <w:color w:val="231F20"/>
          <w:spacing w:val="-7"/>
        </w:rPr>
        <w:t> </w:t>
      </w:r>
      <w:r>
        <w:rPr>
          <w:color w:val="231F20"/>
        </w:rPr>
        <w:t>années</w:t>
      </w:r>
      <w:r>
        <w:rPr>
          <w:color w:val="231F20"/>
          <w:spacing w:val="-9"/>
        </w:rPr>
        <w:t> </w:t>
      </w:r>
      <w:r>
        <w:rPr>
          <w:color w:val="231F20"/>
        </w:rPr>
        <w:t>60,</w:t>
      </w:r>
      <w:r>
        <w:rPr>
          <w:color w:val="231F20"/>
          <w:spacing w:val="-9"/>
        </w:rPr>
        <w:t> </w:t>
      </w:r>
      <w:r>
        <w:rPr>
          <w:color w:val="231F20"/>
        </w:rPr>
        <w:t>la</w:t>
      </w:r>
      <w:r>
        <w:rPr>
          <w:color w:val="231F20"/>
          <w:spacing w:val="-7"/>
        </w:rPr>
        <w:t> </w:t>
      </w:r>
      <w:r>
        <w:rPr>
          <w:color w:val="231F20"/>
        </w:rPr>
        <w:t>France</w:t>
      </w:r>
      <w:r>
        <w:rPr>
          <w:color w:val="231F20"/>
          <w:spacing w:val="-7"/>
        </w:rPr>
        <w:t> </w:t>
      </w:r>
      <w:r>
        <w:rPr>
          <w:color w:val="231F20"/>
        </w:rPr>
        <w:t>sème</w:t>
      </w:r>
      <w:r>
        <w:rPr>
          <w:color w:val="231F20"/>
          <w:spacing w:val="-7"/>
        </w:rPr>
        <w:t> </w:t>
      </w:r>
      <w:r>
        <w:rPr>
          <w:color w:val="231F20"/>
        </w:rPr>
        <w:t>la</w:t>
      </w:r>
      <w:r>
        <w:rPr>
          <w:color w:val="231F20"/>
          <w:spacing w:val="-10"/>
        </w:rPr>
        <w:t> </w:t>
      </w:r>
      <w:r>
        <w:rPr>
          <w:color w:val="231F20"/>
        </w:rPr>
        <w:t>terreur</w:t>
      </w:r>
      <w:r>
        <w:rPr>
          <w:color w:val="231F20"/>
          <w:spacing w:val="-7"/>
        </w:rPr>
        <w:t> </w:t>
      </w:r>
      <w:r>
        <w:rPr>
          <w:color w:val="231F20"/>
        </w:rPr>
        <w:t>contre</w:t>
      </w:r>
      <w:r>
        <w:rPr>
          <w:color w:val="231F20"/>
          <w:spacing w:val="-9"/>
        </w:rPr>
        <w:t> </w:t>
      </w:r>
      <w:r>
        <w:rPr>
          <w:color w:val="231F20"/>
        </w:rPr>
        <w:t>les</w:t>
      </w:r>
      <w:r>
        <w:rPr>
          <w:color w:val="231F20"/>
          <w:spacing w:val="-10"/>
        </w:rPr>
        <w:t> </w:t>
      </w:r>
      <w:r>
        <w:rPr>
          <w:color w:val="231F20"/>
        </w:rPr>
        <w:t>"bandes </w:t>
      </w:r>
      <w:r>
        <w:rPr>
          <w:color w:val="231F20"/>
          <w:spacing w:val="-2"/>
        </w:rPr>
        <w:t>rebelles</w:t>
      </w:r>
      <w:r>
        <w:rPr>
          <w:color w:val="231F20"/>
          <w:spacing w:val="-11"/>
        </w:rPr>
        <w:t> </w:t>
      </w:r>
      <w:r>
        <w:rPr>
          <w:color w:val="231F20"/>
          <w:spacing w:val="-2"/>
        </w:rPr>
        <w:t>Bamiléké".</w:t>
      </w:r>
      <w:r>
        <w:rPr>
          <w:color w:val="231F20"/>
          <w:spacing w:val="-11"/>
        </w:rPr>
        <w:t> </w:t>
      </w:r>
      <w:r>
        <w:rPr>
          <w:color w:val="231F20"/>
          <w:spacing w:val="-2"/>
        </w:rPr>
        <w:t>Cela</w:t>
      </w:r>
      <w:r>
        <w:rPr>
          <w:color w:val="231F20"/>
          <w:spacing w:val="-13"/>
        </w:rPr>
        <w:t> </w:t>
      </w:r>
      <w:r>
        <w:rPr>
          <w:color w:val="231F20"/>
          <w:spacing w:val="-2"/>
        </w:rPr>
        <w:t>commence</w:t>
      </w:r>
      <w:r>
        <w:rPr>
          <w:color w:val="231F20"/>
          <w:spacing w:val="-12"/>
        </w:rPr>
        <w:t> </w:t>
      </w:r>
      <w:r>
        <w:rPr>
          <w:color w:val="231F20"/>
          <w:spacing w:val="-2"/>
        </w:rPr>
        <w:t>par</w:t>
      </w:r>
      <w:r>
        <w:rPr>
          <w:color w:val="231F20"/>
          <w:spacing w:val="-9"/>
        </w:rPr>
        <w:t> </w:t>
      </w:r>
      <w:r>
        <w:rPr>
          <w:color w:val="231F20"/>
          <w:spacing w:val="-2"/>
        </w:rPr>
        <w:t>l’</w:t>
      </w:r>
      <w:r>
        <w:rPr>
          <w:color w:val="231F20"/>
          <w:spacing w:val="-12"/>
        </w:rPr>
        <w:t> </w:t>
      </w:r>
      <w:r>
        <w:rPr>
          <w:color w:val="231F20"/>
          <w:spacing w:val="-2"/>
        </w:rPr>
        <w:t>empoisonnement</w:t>
      </w:r>
      <w:r>
        <w:rPr>
          <w:color w:val="231F20"/>
          <w:spacing w:val="-11"/>
        </w:rPr>
        <w:t> </w:t>
      </w:r>
      <w:r>
        <w:rPr>
          <w:color w:val="231F20"/>
          <w:spacing w:val="-2"/>
        </w:rPr>
        <w:t>du</w:t>
      </w:r>
      <w:r>
        <w:rPr>
          <w:color w:val="231F20"/>
          <w:spacing w:val="-11"/>
        </w:rPr>
        <w:t> </w:t>
      </w:r>
      <w:r>
        <w:rPr>
          <w:color w:val="231F20"/>
          <w:spacing w:val="-2"/>
        </w:rPr>
        <w:t>leader</w:t>
      </w:r>
      <w:r>
        <w:rPr>
          <w:color w:val="231F20"/>
          <w:spacing w:val="-12"/>
        </w:rPr>
        <w:t> </w:t>
      </w:r>
      <w:r>
        <w:rPr>
          <w:color w:val="231F20"/>
          <w:spacing w:val="-2"/>
        </w:rPr>
        <w:t>de </w:t>
      </w:r>
      <w:r>
        <w:rPr>
          <w:color w:val="231F20"/>
        </w:rPr>
        <w:t>la lutte pour l'indépendance du Cameroun, Félix-Roland Moumié en 1960</w:t>
      </w:r>
      <w:r>
        <w:rPr>
          <w:color w:val="231F20"/>
          <w:vertAlign w:val="superscript"/>
        </w:rPr>
        <w:t>238</w:t>
      </w:r>
      <w:r>
        <w:rPr>
          <w:color w:val="231F20"/>
          <w:spacing w:val="-15"/>
          <w:vertAlign w:val="baseline"/>
        </w:rPr>
        <w:t> </w:t>
      </w:r>
      <w:r>
        <w:rPr>
          <w:color w:val="231F20"/>
          <w:vertAlign w:val="baseline"/>
        </w:rPr>
        <w:t>et</w:t>
      </w:r>
      <w:r>
        <w:rPr>
          <w:color w:val="231F20"/>
          <w:spacing w:val="-10"/>
          <w:vertAlign w:val="baseline"/>
        </w:rPr>
        <w:t> </w:t>
      </w:r>
      <w:r>
        <w:rPr>
          <w:color w:val="231F20"/>
          <w:vertAlign w:val="baseline"/>
        </w:rPr>
        <w:t>le</w:t>
      </w:r>
      <w:r>
        <w:rPr>
          <w:color w:val="231F20"/>
          <w:spacing w:val="-9"/>
          <w:vertAlign w:val="baseline"/>
        </w:rPr>
        <w:t> </w:t>
      </w:r>
      <w:r>
        <w:rPr>
          <w:color w:val="231F20"/>
          <w:vertAlign w:val="baseline"/>
        </w:rPr>
        <w:t>massacre</w:t>
      </w:r>
      <w:r>
        <w:rPr>
          <w:color w:val="231F20"/>
          <w:spacing w:val="-7"/>
          <w:vertAlign w:val="baseline"/>
        </w:rPr>
        <w:t> </w:t>
      </w:r>
      <w:r>
        <w:rPr>
          <w:color w:val="231F20"/>
          <w:vertAlign w:val="baseline"/>
        </w:rPr>
        <w:t>des</w:t>
      </w:r>
      <w:r>
        <w:rPr>
          <w:color w:val="231F20"/>
          <w:spacing w:val="-7"/>
          <w:vertAlign w:val="baseline"/>
        </w:rPr>
        <w:t> </w:t>
      </w:r>
      <w:r>
        <w:rPr>
          <w:color w:val="231F20"/>
          <w:vertAlign w:val="baseline"/>
        </w:rPr>
        <w:t>indépendantistes</w:t>
      </w:r>
      <w:r>
        <w:rPr>
          <w:color w:val="231F20"/>
          <w:spacing w:val="-8"/>
          <w:vertAlign w:val="baseline"/>
        </w:rPr>
        <w:t> </w:t>
      </w:r>
      <w:r>
        <w:rPr>
          <w:color w:val="231F20"/>
          <w:vertAlign w:val="baseline"/>
        </w:rPr>
        <w:t>Bamilékés</w:t>
      </w:r>
      <w:r>
        <w:rPr>
          <w:color w:val="231F20"/>
          <w:spacing w:val="-6"/>
          <w:vertAlign w:val="baseline"/>
        </w:rPr>
        <w:t> </w:t>
      </w:r>
      <w:r>
        <w:rPr>
          <w:color w:val="231F20"/>
          <w:vertAlign w:val="baseline"/>
        </w:rPr>
        <w:t>acquis</w:t>
      </w:r>
      <w:r>
        <w:rPr>
          <w:color w:val="231F20"/>
          <w:spacing w:val="-9"/>
          <w:vertAlign w:val="baseline"/>
        </w:rPr>
        <w:t> </w:t>
      </w:r>
      <w:r>
        <w:rPr>
          <w:color w:val="231F20"/>
          <w:vertAlign w:val="baseline"/>
        </w:rPr>
        <w:t>à</w:t>
      </w:r>
      <w:r>
        <w:rPr>
          <w:color w:val="231F20"/>
          <w:spacing w:val="-7"/>
          <w:vertAlign w:val="baseline"/>
        </w:rPr>
        <w:t> </w:t>
      </w:r>
      <w:r>
        <w:rPr>
          <w:color w:val="231F20"/>
          <w:vertAlign w:val="baseline"/>
        </w:rPr>
        <w:t>l'Union des populations du</w:t>
      </w:r>
      <w:r>
        <w:rPr>
          <w:color w:val="231F20"/>
          <w:spacing w:val="-2"/>
          <w:vertAlign w:val="baseline"/>
        </w:rPr>
        <w:t> </w:t>
      </w:r>
      <w:r>
        <w:rPr>
          <w:color w:val="231F20"/>
          <w:vertAlign w:val="baseline"/>
        </w:rPr>
        <w:t>Cameroun (UPC)</w:t>
      </w:r>
      <w:r>
        <w:rPr>
          <w:color w:val="231F20"/>
          <w:vertAlign w:val="superscript"/>
        </w:rPr>
        <w:t>239</w:t>
      </w:r>
      <w:r>
        <w:rPr>
          <w:color w:val="231F20"/>
          <w:vertAlign w:val="baseline"/>
        </w:rPr>
        <w:t>, le 2</w:t>
      </w:r>
      <w:r>
        <w:rPr>
          <w:color w:val="231F20"/>
          <w:spacing w:val="-2"/>
          <w:vertAlign w:val="baseline"/>
        </w:rPr>
        <w:t> </w:t>
      </w:r>
      <w:r>
        <w:rPr>
          <w:color w:val="231F20"/>
          <w:vertAlign w:val="baseline"/>
        </w:rPr>
        <w:t>mars</w:t>
      </w:r>
      <w:r>
        <w:rPr>
          <w:color w:val="231F20"/>
          <w:spacing w:val="-2"/>
          <w:vertAlign w:val="baseline"/>
        </w:rPr>
        <w:t> </w:t>
      </w:r>
      <w:r>
        <w:rPr>
          <w:color w:val="231F20"/>
          <w:vertAlign w:val="baseline"/>
        </w:rPr>
        <w:t>1960</w:t>
      </w:r>
      <w:r>
        <w:rPr>
          <w:color w:val="231F20"/>
          <w:vertAlign w:val="superscript"/>
        </w:rPr>
        <w:t>240</w:t>
      </w:r>
      <w:r>
        <w:rPr>
          <w:color w:val="231F20"/>
          <w:vertAlign w:val="baseline"/>
        </w:rPr>
        <w:t>.</w:t>
      </w:r>
    </w:p>
    <w:p>
      <w:pPr>
        <w:spacing w:before="120"/>
        <w:ind w:left="111" w:right="104" w:firstLine="283"/>
        <w:jc w:val="both"/>
        <w:rPr>
          <w:i/>
          <w:sz w:val="24"/>
        </w:rPr>
      </w:pPr>
      <w:r>
        <w:rPr>
          <w:color w:val="231F20"/>
          <w:sz w:val="24"/>
        </w:rPr>
        <w:t>Max Bardet, Adjudant Français du Corps expéditionnaire au </w:t>
      </w:r>
      <w:r>
        <w:rPr>
          <w:color w:val="231F20"/>
          <w:spacing w:val="-4"/>
          <w:sz w:val="24"/>
        </w:rPr>
        <w:t>Cameroun</w:t>
      </w:r>
      <w:r>
        <w:rPr>
          <w:color w:val="231F20"/>
          <w:spacing w:val="-10"/>
          <w:sz w:val="24"/>
        </w:rPr>
        <w:t> </w:t>
      </w:r>
      <w:r>
        <w:rPr>
          <w:color w:val="231F20"/>
          <w:spacing w:val="-4"/>
          <w:sz w:val="24"/>
        </w:rPr>
        <w:t>en</w:t>
      </w:r>
      <w:r>
        <w:rPr>
          <w:color w:val="231F20"/>
          <w:spacing w:val="-8"/>
          <w:sz w:val="24"/>
        </w:rPr>
        <w:t> </w:t>
      </w:r>
      <w:r>
        <w:rPr>
          <w:color w:val="231F20"/>
          <w:spacing w:val="-4"/>
          <w:sz w:val="24"/>
        </w:rPr>
        <w:t>1962-1964,</w:t>
      </w:r>
      <w:r>
        <w:rPr>
          <w:color w:val="231F20"/>
          <w:spacing w:val="-10"/>
          <w:sz w:val="24"/>
        </w:rPr>
        <w:t> </w:t>
      </w:r>
      <w:r>
        <w:rPr>
          <w:color w:val="231F20"/>
          <w:spacing w:val="-4"/>
          <w:sz w:val="24"/>
        </w:rPr>
        <w:t>pilote</w:t>
      </w:r>
      <w:r>
        <w:rPr>
          <w:color w:val="231F20"/>
          <w:spacing w:val="-8"/>
          <w:sz w:val="24"/>
        </w:rPr>
        <w:t> </w:t>
      </w:r>
      <w:r>
        <w:rPr>
          <w:color w:val="231F20"/>
          <w:spacing w:val="-4"/>
          <w:sz w:val="24"/>
        </w:rPr>
        <w:t>d’hélicoptère,</w:t>
      </w:r>
      <w:r>
        <w:rPr>
          <w:color w:val="231F20"/>
          <w:spacing w:val="-8"/>
          <w:sz w:val="24"/>
        </w:rPr>
        <w:t> </w:t>
      </w:r>
      <w:r>
        <w:rPr>
          <w:color w:val="231F20"/>
          <w:spacing w:val="-4"/>
          <w:sz w:val="24"/>
        </w:rPr>
        <w:t>ayant</w:t>
      </w:r>
      <w:r>
        <w:rPr>
          <w:color w:val="231F20"/>
          <w:spacing w:val="-9"/>
          <w:sz w:val="24"/>
        </w:rPr>
        <w:t> </w:t>
      </w:r>
      <w:r>
        <w:rPr>
          <w:color w:val="231F20"/>
          <w:spacing w:val="-4"/>
          <w:sz w:val="24"/>
        </w:rPr>
        <w:t>pris</w:t>
      </w:r>
      <w:r>
        <w:rPr>
          <w:color w:val="231F20"/>
          <w:spacing w:val="-8"/>
          <w:sz w:val="24"/>
        </w:rPr>
        <w:t> </w:t>
      </w:r>
      <w:r>
        <w:rPr>
          <w:color w:val="231F20"/>
          <w:spacing w:val="-4"/>
          <w:sz w:val="24"/>
        </w:rPr>
        <w:t>part</w:t>
      </w:r>
      <w:r>
        <w:rPr>
          <w:color w:val="231F20"/>
          <w:spacing w:val="-7"/>
          <w:sz w:val="24"/>
        </w:rPr>
        <w:t> </w:t>
      </w:r>
      <w:r>
        <w:rPr>
          <w:color w:val="231F20"/>
          <w:spacing w:val="-4"/>
          <w:sz w:val="24"/>
        </w:rPr>
        <w:t>aux</w:t>
      </w:r>
      <w:r>
        <w:rPr>
          <w:color w:val="231F20"/>
          <w:spacing w:val="-9"/>
          <w:sz w:val="24"/>
        </w:rPr>
        <w:t> </w:t>
      </w:r>
      <w:r>
        <w:rPr>
          <w:color w:val="231F20"/>
          <w:spacing w:val="-4"/>
          <w:sz w:val="24"/>
        </w:rPr>
        <w:t>frappes, </w:t>
      </w:r>
      <w:r>
        <w:rPr>
          <w:color w:val="231F20"/>
          <w:sz w:val="24"/>
        </w:rPr>
        <w:t>témoigne</w:t>
      </w:r>
      <w:r>
        <w:rPr>
          <w:color w:val="231F20"/>
          <w:spacing w:val="-15"/>
          <w:sz w:val="24"/>
        </w:rPr>
        <w:t> </w:t>
      </w:r>
      <w:r>
        <w:rPr>
          <w:color w:val="231F20"/>
          <w:sz w:val="24"/>
        </w:rPr>
        <w:t>:</w:t>
      </w:r>
      <w:r>
        <w:rPr>
          <w:color w:val="231F20"/>
          <w:spacing w:val="-1"/>
          <w:sz w:val="24"/>
        </w:rPr>
        <w:t> </w:t>
      </w:r>
      <w:r>
        <w:rPr>
          <w:i/>
          <w:color w:val="231F20"/>
          <w:sz w:val="24"/>
        </w:rPr>
        <w:t>«</w:t>
      </w:r>
      <w:r>
        <w:rPr>
          <w:i/>
          <w:color w:val="231F20"/>
          <w:spacing w:val="-3"/>
          <w:sz w:val="24"/>
        </w:rPr>
        <w:t> </w:t>
      </w:r>
      <w:r>
        <w:rPr>
          <w:i/>
          <w:color w:val="231F20"/>
          <w:sz w:val="24"/>
        </w:rPr>
        <w:t>On</w:t>
      </w:r>
      <w:r>
        <w:rPr>
          <w:i/>
          <w:color w:val="231F20"/>
          <w:spacing w:val="-1"/>
          <w:sz w:val="24"/>
        </w:rPr>
        <w:t> </w:t>
      </w:r>
      <w:r>
        <w:rPr>
          <w:i/>
          <w:color w:val="231F20"/>
          <w:sz w:val="24"/>
        </w:rPr>
        <w:t>a décidé</w:t>
      </w:r>
      <w:r>
        <w:rPr>
          <w:i/>
          <w:color w:val="231F20"/>
          <w:spacing w:val="-3"/>
          <w:sz w:val="24"/>
        </w:rPr>
        <w:t> </w:t>
      </w:r>
      <w:r>
        <w:rPr>
          <w:i/>
          <w:color w:val="231F20"/>
          <w:sz w:val="24"/>
        </w:rPr>
        <w:t>de mettre</w:t>
      </w:r>
      <w:r>
        <w:rPr>
          <w:i/>
          <w:color w:val="231F20"/>
          <w:spacing w:val="-3"/>
          <w:sz w:val="24"/>
        </w:rPr>
        <w:t> </w:t>
      </w:r>
      <w:r>
        <w:rPr>
          <w:i/>
          <w:color w:val="231F20"/>
          <w:sz w:val="24"/>
        </w:rPr>
        <w:t>le</w:t>
      </w:r>
      <w:r>
        <w:rPr>
          <w:i/>
          <w:color w:val="231F20"/>
          <w:spacing w:val="-3"/>
          <w:sz w:val="24"/>
        </w:rPr>
        <w:t> </w:t>
      </w:r>
      <w:r>
        <w:rPr>
          <w:i/>
          <w:color w:val="231F20"/>
          <w:sz w:val="24"/>
        </w:rPr>
        <w:t>feu à</w:t>
      </w:r>
      <w:r>
        <w:rPr>
          <w:i/>
          <w:color w:val="231F20"/>
          <w:spacing w:val="-3"/>
          <w:sz w:val="24"/>
        </w:rPr>
        <w:t> </w:t>
      </w:r>
      <w:r>
        <w:rPr>
          <w:i/>
          <w:color w:val="231F20"/>
          <w:sz w:val="24"/>
        </w:rPr>
        <w:t>la brousse</w:t>
      </w:r>
      <w:r>
        <w:rPr>
          <w:i/>
          <w:color w:val="231F20"/>
          <w:spacing w:val="-1"/>
          <w:sz w:val="24"/>
        </w:rPr>
        <w:t> </w:t>
      </w:r>
      <w:r>
        <w:rPr>
          <w:i/>
          <w:color w:val="231F20"/>
          <w:sz w:val="24"/>
        </w:rPr>
        <w:t>;</w:t>
      </w:r>
      <w:r>
        <w:rPr>
          <w:i/>
          <w:color w:val="231F20"/>
          <w:spacing w:val="-3"/>
          <w:sz w:val="24"/>
        </w:rPr>
        <w:t> </w:t>
      </w:r>
      <w:r>
        <w:rPr>
          <w:i/>
          <w:color w:val="231F20"/>
          <w:sz w:val="24"/>
        </w:rPr>
        <w:t>c’était</w:t>
      </w:r>
      <w:r>
        <w:rPr>
          <w:i/>
          <w:color w:val="231F20"/>
          <w:spacing w:val="-2"/>
          <w:sz w:val="24"/>
        </w:rPr>
        <w:t> </w:t>
      </w:r>
      <w:r>
        <w:rPr>
          <w:i/>
          <w:color w:val="231F20"/>
          <w:sz w:val="24"/>
        </w:rPr>
        <w:t>la</w:t>
      </w:r>
      <w:r>
        <w:rPr>
          <w:i/>
          <w:color w:val="231F20"/>
          <w:spacing w:val="-3"/>
          <w:sz w:val="24"/>
        </w:rPr>
        <w:t> </w:t>
      </w:r>
      <w:r>
        <w:rPr>
          <w:i/>
          <w:color w:val="231F20"/>
          <w:sz w:val="24"/>
        </w:rPr>
        <w:t>seule</w:t>
      </w:r>
      <w:r>
        <w:rPr>
          <w:i/>
          <w:color w:val="231F20"/>
          <w:sz w:val="24"/>
        </w:rPr>
        <w:t> solution pour les avoir. On s’est mis dans le vent et on a balancé des grenades au phosphore dans le ci-sangho (herbe à éléphant). Le ci- sangho s’embrase comme de l’essence. Les rebelles sont partis en courant, mais ils ont vite été rattrapés (…) Sagaies contre armes automatiques.</w:t>
      </w:r>
      <w:r>
        <w:rPr>
          <w:i/>
          <w:color w:val="231F20"/>
          <w:spacing w:val="-13"/>
          <w:sz w:val="24"/>
        </w:rPr>
        <w:t> </w:t>
      </w:r>
      <w:r>
        <w:rPr>
          <w:i/>
          <w:color w:val="231F20"/>
          <w:sz w:val="24"/>
        </w:rPr>
        <w:t>Les</w:t>
      </w:r>
      <w:r>
        <w:rPr>
          <w:i/>
          <w:color w:val="231F20"/>
          <w:spacing w:val="-11"/>
          <w:sz w:val="24"/>
        </w:rPr>
        <w:t> </w:t>
      </w:r>
      <w:r>
        <w:rPr>
          <w:i/>
          <w:color w:val="231F20"/>
          <w:sz w:val="24"/>
        </w:rPr>
        <w:t>Bamilékés</w:t>
      </w:r>
      <w:r>
        <w:rPr>
          <w:i/>
          <w:color w:val="231F20"/>
          <w:spacing w:val="-11"/>
          <w:sz w:val="24"/>
        </w:rPr>
        <w:t> </w:t>
      </w:r>
      <w:r>
        <w:rPr>
          <w:i/>
          <w:color w:val="231F20"/>
          <w:sz w:val="24"/>
        </w:rPr>
        <w:t>n'avaient</w:t>
      </w:r>
      <w:r>
        <w:rPr>
          <w:i/>
          <w:color w:val="231F20"/>
          <w:spacing w:val="-11"/>
          <w:sz w:val="24"/>
        </w:rPr>
        <w:t> </w:t>
      </w:r>
      <w:r>
        <w:rPr>
          <w:i/>
          <w:color w:val="231F20"/>
          <w:sz w:val="24"/>
        </w:rPr>
        <w:t>aucune</w:t>
      </w:r>
      <w:r>
        <w:rPr>
          <w:i/>
          <w:color w:val="231F20"/>
          <w:spacing w:val="-11"/>
          <w:sz w:val="24"/>
        </w:rPr>
        <w:t> </w:t>
      </w:r>
      <w:r>
        <w:rPr>
          <w:i/>
          <w:color w:val="231F20"/>
          <w:sz w:val="24"/>
        </w:rPr>
        <w:t>chance(...)</w:t>
      </w:r>
      <w:r>
        <w:rPr>
          <w:i/>
          <w:color w:val="231F20"/>
          <w:spacing w:val="-11"/>
          <w:sz w:val="24"/>
        </w:rPr>
        <w:t> </w:t>
      </w:r>
      <w:r>
        <w:rPr>
          <w:i/>
          <w:color w:val="231F20"/>
          <w:sz w:val="24"/>
        </w:rPr>
        <w:t>Les</w:t>
      </w:r>
      <w:r>
        <w:rPr>
          <w:i/>
          <w:color w:val="231F20"/>
          <w:spacing w:val="-11"/>
          <w:sz w:val="24"/>
        </w:rPr>
        <w:t> </w:t>
      </w:r>
      <w:r>
        <w:rPr>
          <w:i/>
          <w:color w:val="231F20"/>
          <w:spacing w:val="-2"/>
          <w:sz w:val="24"/>
        </w:rPr>
        <w:t>Français</w:t>
      </w:r>
    </w:p>
    <w:p>
      <w:pPr>
        <w:pStyle w:val="BodyText"/>
        <w:spacing w:before="136"/>
        <w:ind w:left="0"/>
        <w:jc w:val="left"/>
        <w:rPr>
          <w:i/>
          <w:sz w:val="20"/>
        </w:rPr>
      </w:pPr>
      <w:r>
        <w:rPr/>
        <mc:AlternateContent>
          <mc:Choice Requires="wps">
            <w:drawing>
              <wp:anchor distT="0" distB="0" distL="0" distR="0" allowOverlap="1" layoutInCell="1" locked="0" behindDoc="1" simplePos="0" relativeHeight="487661568">
                <wp:simplePos x="0" y="0"/>
                <wp:positionH relativeFrom="page">
                  <wp:posOffset>629907</wp:posOffset>
                </wp:positionH>
                <wp:positionV relativeFrom="paragraph">
                  <wp:posOffset>247943</wp:posOffset>
                </wp:positionV>
                <wp:extent cx="1829435" cy="9525"/>
                <wp:effectExtent l="0" t="0" r="0" b="0"/>
                <wp:wrapTopAndBottom/>
                <wp:docPr id="176" name="Graphic 176"/>
                <wp:cNvGraphicFramePr>
                  <a:graphicFrameLocks/>
                </wp:cNvGraphicFramePr>
                <a:graphic>
                  <a:graphicData uri="http://schemas.microsoft.com/office/word/2010/wordprocessingShape">
                    <wps:wsp>
                      <wps:cNvPr id="176" name="Graphic 176"/>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9.523125pt;width:144.020pt;height:.72pt;mso-position-horizontal-relative:page;mso-position-vertical-relative:paragraph;z-index:-15654912;mso-wrap-distance-left:0;mso-wrap-distance-right:0" id="docshape174" filled="true" fillcolor="#231f20" stroked="false">
                <v:fill type="solid"/>
                <w10:wrap type="topAndBottom"/>
              </v:rect>
            </w:pict>
          </mc:Fallback>
        </mc:AlternateContent>
      </w:r>
    </w:p>
    <w:p>
      <w:pPr>
        <w:spacing w:before="91"/>
        <w:ind w:left="111" w:right="110" w:firstLine="0"/>
        <w:jc w:val="both"/>
        <w:rPr>
          <w:sz w:val="20"/>
        </w:rPr>
      </w:pPr>
      <w:r>
        <w:rPr>
          <w:color w:val="76787A"/>
          <w:sz w:val="20"/>
          <w:vertAlign w:val="superscript"/>
        </w:rPr>
        <w:t>236</w:t>
      </w:r>
      <w:r>
        <w:rPr>
          <w:color w:val="76787A"/>
          <w:spacing w:val="-13"/>
          <w:sz w:val="20"/>
          <w:vertAlign w:val="baseline"/>
        </w:rPr>
        <w:t> </w:t>
      </w:r>
      <w:r>
        <w:rPr>
          <w:color w:val="231F20"/>
          <w:sz w:val="20"/>
          <w:vertAlign w:val="baseline"/>
        </w:rPr>
        <w:t>Source</w:t>
      </w:r>
      <w:r>
        <w:rPr>
          <w:color w:val="231F20"/>
          <w:spacing w:val="-12"/>
          <w:sz w:val="20"/>
          <w:vertAlign w:val="baseline"/>
        </w:rPr>
        <w:t> </w:t>
      </w:r>
      <w:r>
        <w:rPr>
          <w:color w:val="231F20"/>
          <w:sz w:val="20"/>
          <w:vertAlign w:val="baseline"/>
        </w:rPr>
        <w:t>:</w:t>
      </w:r>
      <w:r>
        <w:rPr>
          <w:color w:val="231F20"/>
          <w:spacing w:val="-10"/>
          <w:sz w:val="20"/>
          <w:vertAlign w:val="baseline"/>
        </w:rPr>
        <w:t> </w:t>
      </w:r>
      <w:r>
        <w:rPr>
          <w:color w:val="231F20"/>
          <w:sz w:val="20"/>
          <w:vertAlign w:val="baseline"/>
        </w:rPr>
        <w:t>La Françafrique,</w:t>
      </w:r>
      <w:r>
        <w:rPr>
          <w:color w:val="231F20"/>
          <w:spacing w:val="-1"/>
          <w:sz w:val="20"/>
          <w:vertAlign w:val="baseline"/>
        </w:rPr>
        <w:t> </w:t>
      </w:r>
      <w:r>
        <w:rPr>
          <w:color w:val="231F20"/>
          <w:sz w:val="20"/>
          <w:vertAlign w:val="baseline"/>
        </w:rPr>
        <w:t>le</w:t>
      </w:r>
      <w:r>
        <w:rPr>
          <w:color w:val="231F20"/>
          <w:spacing w:val="-2"/>
          <w:sz w:val="20"/>
          <w:vertAlign w:val="baseline"/>
        </w:rPr>
        <w:t> </w:t>
      </w:r>
      <w:r>
        <w:rPr>
          <w:color w:val="231F20"/>
          <w:sz w:val="20"/>
          <w:vertAlign w:val="baseline"/>
        </w:rPr>
        <w:t>plus long scandale</w:t>
      </w:r>
      <w:r>
        <w:rPr>
          <w:color w:val="231F20"/>
          <w:spacing w:val="-2"/>
          <w:sz w:val="20"/>
          <w:vertAlign w:val="baseline"/>
        </w:rPr>
        <w:t> </w:t>
      </w:r>
      <w:r>
        <w:rPr>
          <w:color w:val="231F20"/>
          <w:sz w:val="20"/>
          <w:vertAlign w:val="baseline"/>
        </w:rPr>
        <w:t>de la</w:t>
      </w:r>
      <w:r>
        <w:rPr>
          <w:color w:val="231F20"/>
          <w:spacing w:val="-1"/>
          <w:sz w:val="20"/>
          <w:vertAlign w:val="baseline"/>
        </w:rPr>
        <w:t> </w:t>
      </w:r>
      <w:r>
        <w:rPr>
          <w:color w:val="231F20"/>
          <w:sz w:val="20"/>
          <w:vertAlign w:val="baseline"/>
        </w:rPr>
        <w:t>République,</w:t>
      </w:r>
      <w:r>
        <w:rPr>
          <w:color w:val="231F20"/>
          <w:spacing w:val="-13"/>
          <w:sz w:val="20"/>
          <w:vertAlign w:val="baseline"/>
        </w:rPr>
        <w:t> </w:t>
      </w:r>
      <w:r>
        <w:rPr>
          <w:color w:val="231F20"/>
          <w:sz w:val="20"/>
          <w:vertAlign w:val="baseline"/>
        </w:rPr>
        <w:t>François-Xavier Verschave ; association Survie.</w:t>
      </w:r>
    </w:p>
    <w:p>
      <w:pPr>
        <w:spacing w:before="1"/>
        <w:ind w:left="111" w:right="104" w:firstLine="0"/>
        <w:jc w:val="both"/>
        <w:rPr>
          <w:sz w:val="20"/>
        </w:rPr>
      </w:pPr>
      <w:r>
        <w:rPr>
          <w:color w:val="76787A"/>
          <w:spacing w:val="-2"/>
          <w:sz w:val="20"/>
          <w:vertAlign w:val="superscript"/>
        </w:rPr>
        <w:t>237</w:t>
      </w:r>
      <w:r>
        <w:rPr>
          <w:color w:val="76787A"/>
          <w:spacing w:val="-6"/>
          <w:sz w:val="20"/>
          <w:vertAlign w:val="baseline"/>
        </w:rPr>
        <w:t> </w:t>
      </w:r>
      <w:r>
        <w:rPr>
          <w:color w:val="231F20"/>
          <w:spacing w:val="-2"/>
          <w:sz w:val="20"/>
          <w:vertAlign w:val="baseline"/>
        </w:rPr>
        <w:t>Personnage</w:t>
      </w:r>
      <w:r>
        <w:rPr>
          <w:color w:val="231F20"/>
          <w:spacing w:val="-6"/>
          <w:sz w:val="20"/>
          <w:vertAlign w:val="baseline"/>
        </w:rPr>
        <w:t> </w:t>
      </w:r>
      <w:r>
        <w:rPr>
          <w:color w:val="231F20"/>
          <w:spacing w:val="-2"/>
          <w:sz w:val="20"/>
          <w:vertAlign w:val="baseline"/>
        </w:rPr>
        <w:t>imaginaire</w:t>
      </w:r>
      <w:r>
        <w:rPr>
          <w:color w:val="231F20"/>
          <w:spacing w:val="-6"/>
          <w:sz w:val="20"/>
          <w:vertAlign w:val="baseline"/>
        </w:rPr>
        <w:t> </w:t>
      </w:r>
      <w:r>
        <w:rPr>
          <w:color w:val="231F20"/>
          <w:spacing w:val="-2"/>
          <w:sz w:val="20"/>
          <w:vertAlign w:val="baseline"/>
        </w:rPr>
        <w:t>que</w:t>
      </w:r>
      <w:r>
        <w:rPr>
          <w:color w:val="231F20"/>
          <w:spacing w:val="-6"/>
          <w:sz w:val="20"/>
          <w:vertAlign w:val="baseline"/>
        </w:rPr>
        <w:t> </w:t>
      </w:r>
      <w:r>
        <w:rPr>
          <w:color w:val="231F20"/>
          <w:spacing w:val="-2"/>
          <w:sz w:val="20"/>
          <w:vertAlign w:val="baseline"/>
        </w:rPr>
        <w:t>la</w:t>
      </w:r>
      <w:r>
        <w:rPr>
          <w:color w:val="231F20"/>
          <w:spacing w:val="-6"/>
          <w:sz w:val="20"/>
          <w:vertAlign w:val="baseline"/>
        </w:rPr>
        <w:t> </w:t>
      </w:r>
      <w:r>
        <w:rPr>
          <w:color w:val="231F20"/>
          <w:spacing w:val="-2"/>
          <w:sz w:val="20"/>
          <w:vertAlign w:val="baseline"/>
        </w:rPr>
        <w:t>légende</w:t>
      </w:r>
      <w:r>
        <w:rPr>
          <w:color w:val="231F20"/>
          <w:spacing w:val="-6"/>
          <w:sz w:val="20"/>
          <w:vertAlign w:val="baseline"/>
        </w:rPr>
        <w:t> </w:t>
      </w:r>
      <w:r>
        <w:rPr>
          <w:color w:val="231F20"/>
          <w:spacing w:val="-2"/>
          <w:sz w:val="20"/>
          <w:vertAlign w:val="baseline"/>
        </w:rPr>
        <w:t>représente</w:t>
      </w:r>
      <w:r>
        <w:rPr>
          <w:color w:val="231F20"/>
          <w:spacing w:val="-6"/>
          <w:sz w:val="20"/>
          <w:vertAlign w:val="baseline"/>
        </w:rPr>
        <w:t> </w:t>
      </w:r>
      <w:r>
        <w:rPr>
          <w:color w:val="231F20"/>
          <w:spacing w:val="-2"/>
          <w:sz w:val="20"/>
          <w:vertAlign w:val="baseline"/>
        </w:rPr>
        <w:t>aux</w:t>
      </w:r>
      <w:r>
        <w:rPr>
          <w:color w:val="231F20"/>
          <w:spacing w:val="-6"/>
          <w:sz w:val="20"/>
          <w:vertAlign w:val="baseline"/>
        </w:rPr>
        <w:t> </w:t>
      </w:r>
      <w:r>
        <w:rPr>
          <w:color w:val="231F20"/>
          <w:spacing w:val="-2"/>
          <w:sz w:val="20"/>
          <w:vertAlign w:val="baseline"/>
        </w:rPr>
        <w:t>côtés</w:t>
      </w:r>
      <w:r>
        <w:rPr>
          <w:color w:val="231F20"/>
          <w:spacing w:val="-8"/>
          <w:sz w:val="20"/>
          <w:vertAlign w:val="baseline"/>
        </w:rPr>
        <w:t> </w:t>
      </w:r>
      <w:r>
        <w:rPr>
          <w:color w:val="231F20"/>
          <w:spacing w:val="-2"/>
          <w:sz w:val="20"/>
          <w:vertAlign w:val="baseline"/>
        </w:rPr>
        <w:t>du</w:t>
      </w:r>
      <w:r>
        <w:rPr>
          <w:color w:val="231F20"/>
          <w:spacing w:val="-6"/>
          <w:sz w:val="20"/>
          <w:vertAlign w:val="baseline"/>
        </w:rPr>
        <w:t> </w:t>
      </w:r>
      <w:r>
        <w:rPr>
          <w:color w:val="231F20"/>
          <w:spacing w:val="-2"/>
          <w:sz w:val="20"/>
          <w:vertAlign w:val="baseline"/>
        </w:rPr>
        <w:t>Père</w:t>
      </w:r>
      <w:r>
        <w:rPr>
          <w:color w:val="231F20"/>
          <w:spacing w:val="-6"/>
          <w:sz w:val="20"/>
          <w:vertAlign w:val="baseline"/>
        </w:rPr>
        <w:t> </w:t>
      </w:r>
      <w:r>
        <w:rPr>
          <w:color w:val="231F20"/>
          <w:spacing w:val="-2"/>
          <w:sz w:val="20"/>
          <w:vertAlign w:val="baseline"/>
        </w:rPr>
        <w:t>Noël</w:t>
      </w:r>
      <w:r>
        <w:rPr>
          <w:color w:val="231F20"/>
          <w:spacing w:val="-7"/>
          <w:sz w:val="20"/>
          <w:vertAlign w:val="baseline"/>
        </w:rPr>
        <w:t> </w:t>
      </w:r>
      <w:r>
        <w:rPr>
          <w:color w:val="231F20"/>
          <w:spacing w:val="-2"/>
          <w:sz w:val="20"/>
          <w:vertAlign w:val="baseline"/>
        </w:rPr>
        <w:t>(</w:t>
      </w:r>
      <w:r>
        <w:rPr>
          <w:color w:val="231F20"/>
          <w:spacing w:val="-6"/>
          <w:sz w:val="20"/>
          <w:vertAlign w:val="baseline"/>
        </w:rPr>
        <w:t> </w:t>
      </w:r>
      <w:r>
        <w:rPr>
          <w:color w:val="231F20"/>
          <w:spacing w:val="-2"/>
          <w:sz w:val="20"/>
          <w:vertAlign w:val="baseline"/>
        </w:rPr>
        <w:t>Père</w:t>
      </w:r>
      <w:r>
        <w:rPr>
          <w:color w:val="231F20"/>
          <w:spacing w:val="-6"/>
          <w:sz w:val="20"/>
          <w:vertAlign w:val="baseline"/>
        </w:rPr>
        <w:t> </w:t>
      </w:r>
      <w:r>
        <w:rPr>
          <w:color w:val="231F20"/>
          <w:spacing w:val="-2"/>
          <w:sz w:val="20"/>
          <w:vertAlign w:val="baseline"/>
        </w:rPr>
        <w:t>Noel </w:t>
      </w:r>
      <w:r>
        <w:rPr>
          <w:color w:val="231F20"/>
          <w:spacing w:val="-4"/>
          <w:sz w:val="20"/>
          <w:vertAlign w:val="baseline"/>
        </w:rPr>
        <w:t>récompense les</w:t>
      </w:r>
      <w:r>
        <w:rPr>
          <w:color w:val="231F20"/>
          <w:spacing w:val="-5"/>
          <w:sz w:val="20"/>
          <w:vertAlign w:val="baseline"/>
        </w:rPr>
        <w:t> </w:t>
      </w:r>
      <w:r>
        <w:rPr>
          <w:color w:val="231F20"/>
          <w:spacing w:val="-4"/>
          <w:sz w:val="20"/>
          <w:vertAlign w:val="baseline"/>
        </w:rPr>
        <w:t>enfants</w:t>
      </w:r>
      <w:r>
        <w:rPr>
          <w:color w:val="231F20"/>
          <w:spacing w:val="-5"/>
          <w:sz w:val="20"/>
          <w:vertAlign w:val="baseline"/>
        </w:rPr>
        <w:t> </w:t>
      </w:r>
      <w:r>
        <w:rPr>
          <w:color w:val="231F20"/>
          <w:spacing w:val="-4"/>
          <w:sz w:val="20"/>
          <w:vertAlign w:val="baseline"/>
        </w:rPr>
        <w:t>sages).</w:t>
      </w:r>
      <w:r>
        <w:rPr>
          <w:color w:val="231F20"/>
          <w:spacing w:val="-6"/>
          <w:sz w:val="20"/>
          <w:vertAlign w:val="baseline"/>
        </w:rPr>
        <w:t> </w:t>
      </w:r>
      <w:r>
        <w:rPr>
          <w:color w:val="231F20"/>
          <w:spacing w:val="-4"/>
          <w:sz w:val="20"/>
          <w:vertAlign w:val="baseline"/>
        </w:rPr>
        <w:t>Armé</w:t>
      </w:r>
      <w:r>
        <w:rPr>
          <w:color w:val="231F20"/>
          <w:spacing w:val="-5"/>
          <w:sz w:val="20"/>
          <w:vertAlign w:val="baseline"/>
        </w:rPr>
        <w:t> </w:t>
      </w:r>
      <w:r>
        <w:rPr>
          <w:color w:val="231F20"/>
          <w:spacing w:val="-4"/>
          <w:sz w:val="20"/>
          <w:vertAlign w:val="baseline"/>
        </w:rPr>
        <w:t>de</w:t>
      </w:r>
      <w:r>
        <w:rPr>
          <w:color w:val="231F20"/>
          <w:spacing w:val="-5"/>
          <w:sz w:val="20"/>
          <w:vertAlign w:val="baseline"/>
        </w:rPr>
        <w:t> </w:t>
      </w:r>
      <w:r>
        <w:rPr>
          <w:color w:val="231F20"/>
          <w:spacing w:val="-4"/>
          <w:sz w:val="20"/>
          <w:vertAlign w:val="baseline"/>
        </w:rPr>
        <w:t>verges,</w:t>
      </w:r>
      <w:r>
        <w:rPr>
          <w:color w:val="231F20"/>
          <w:spacing w:val="-5"/>
          <w:sz w:val="20"/>
          <w:vertAlign w:val="baseline"/>
        </w:rPr>
        <w:t> </w:t>
      </w:r>
      <w:r>
        <w:rPr>
          <w:color w:val="231F20"/>
          <w:spacing w:val="-4"/>
          <w:sz w:val="20"/>
          <w:vertAlign w:val="baseline"/>
        </w:rPr>
        <w:t>le Père fouettard corrige pour sa</w:t>
      </w:r>
      <w:r>
        <w:rPr>
          <w:color w:val="231F20"/>
          <w:spacing w:val="-6"/>
          <w:sz w:val="20"/>
          <w:vertAlign w:val="baseline"/>
        </w:rPr>
        <w:t> </w:t>
      </w:r>
      <w:r>
        <w:rPr>
          <w:color w:val="231F20"/>
          <w:spacing w:val="-4"/>
          <w:sz w:val="20"/>
          <w:vertAlign w:val="baseline"/>
        </w:rPr>
        <w:t>part, les </w:t>
      </w:r>
      <w:r>
        <w:rPr>
          <w:color w:val="231F20"/>
          <w:sz w:val="20"/>
          <w:vertAlign w:val="baseline"/>
        </w:rPr>
        <w:t>enfants</w:t>
      </w:r>
      <w:r>
        <w:rPr>
          <w:color w:val="231F20"/>
          <w:spacing w:val="-5"/>
          <w:sz w:val="20"/>
          <w:vertAlign w:val="baseline"/>
        </w:rPr>
        <w:t> </w:t>
      </w:r>
      <w:r>
        <w:rPr>
          <w:color w:val="231F20"/>
          <w:sz w:val="20"/>
          <w:vertAlign w:val="baseline"/>
        </w:rPr>
        <w:t>indisciplinés.</w:t>
      </w:r>
    </w:p>
    <w:p>
      <w:pPr>
        <w:spacing w:before="0"/>
        <w:ind w:left="111" w:right="103" w:hanging="1"/>
        <w:jc w:val="both"/>
        <w:rPr>
          <w:sz w:val="20"/>
        </w:rPr>
      </w:pPr>
      <w:r>
        <w:rPr>
          <w:color w:val="76787A"/>
          <w:spacing w:val="-2"/>
          <w:sz w:val="20"/>
          <w:vertAlign w:val="superscript"/>
        </w:rPr>
        <w:t>238</w:t>
      </w:r>
      <w:r>
        <w:rPr>
          <w:color w:val="76787A"/>
          <w:spacing w:val="-11"/>
          <w:sz w:val="20"/>
          <w:vertAlign w:val="baseline"/>
        </w:rPr>
        <w:t> </w:t>
      </w:r>
      <w:r>
        <w:rPr>
          <w:color w:val="231F20"/>
          <w:spacing w:val="-2"/>
          <w:sz w:val="20"/>
          <w:vertAlign w:val="baseline"/>
        </w:rPr>
        <w:t>Ce</w:t>
      </w:r>
      <w:r>
        <w:rPr>
          <w:color w:val="231F20"/>
          <w:spacing w:val="-10"/>
          <w:sz w:val="20"/>
          <w:vertAlign w:val="baseline"/>
        </w:rPr>
        <w:t> </w:t>
      </w:r>
      <w:r>
        <w:rPr>
          <w:color w:val="231F20"/>
          <w:spacing w:val="-2"/>
          <w:sz w:val="20"/>
          <w:vertAlign w:val="baseline"/>
        </w:rPr>
        <w:t>jour-là</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le</w:t>
      </w:r>
      <w:r>
        <w:rPr>
          <w:color w:val="231F20"/>
          <w:spacing w:val="-11"/>
          <w:sz w:val="20"/>
          <w:vertAlign w:val="baseline"/>
        </w:rPr>
        <w:t> </w:t>
      </w:r>
      <w:r>
        <w:rPr>
          <w:color w:val="231F20"/>
          <w:spacing w:val="-2"/>
          <w:sz w:val="20"/>
          <w:vertAlign w:val="baseline"/>
        </w:rPr>
        <w:t>3</w:t>
      </w:r>
      <w:r>
        <w:rPr>
          <w:color w:val="231F20"/>
          <w:spacing w:val="-10"/>
          <w:sz w:val="20"/>
          <w:vertAlign w:val="baseline"/>
        </w:rPr>
        <w:t> </w:t>
      </w:r>
      <w:r>
        <w:rPr>
          <w:color w:val="231F20"/>
          <w:spacing w:val="-2"/>
          <w:sz w:val="20"/>
          <w:vertAlign w:val="baseline"/>
        </w:rPr>
        <w:t>novembre</w:t>
      </w:r>
      <w:r>
        <w:rPr>
          <w:color w:val="231F20"/>
          <w:spacing w:val="-11"/>
          <w:sz w:val="20"/>
          <w:vertAlign w:val="baseline"/>
        </w:rPr>
        <w:t> </w:t>
      </w:r>
      <w:r>
        <w:rPr>
          <w:color w:val="231F20"/>
          <w:spacing w:val="-2"/>
          <w:sz w:val="20"/>
          <w:vertAlign w:val="baseline"/>
        </w:rPr>
        <w:t>1960,</w:t>
      </w:r>
      <w:r>
        <w:rPr>
          <w:color w:val="231F20"/>
          <w:spacing w:val="-9"/>
          <w:sz w:val="20"/>
          <w:vertAlign w:val="baseline"/>
        </w:rPr>
        <w:t> </w:t>
      </w:r>
      <w:r>
        <w:rPr>
          <w:color w:val="231F20"/>
          <w:spacing w:val="-2"/>
          <w:sz w:val="20"/>
          <w:vertAlign w:val="baseline"/>
        </w:rPr>
        <w:t>l’indépendantiste</w:t>
      </w:r>
      <w:r>
        <w:rPr>
          <w:color w:val="231F20"/>
          <w:spacing w:val="-10"/>
          <w:sz w:val="20"/>
          <w:vertAlign w:val="baseline"/>
        </w:rPr>
        <w:t> </w:t>
      </w:r>
      <w:r>
        <w:rPr>
          <w:color w:val="231F20"/>
          <w:spacing w:val="-2"/>
          <w:sz w:val="20"/>
          <w:vertAlign w:val="baseline"/>
        </w:rPr>
        <w:t>camerounais</w:t>
      </w:r>
      <w:r>
        <w:rPr>
          <w:color w:val="231F20"/>
          <w:spacing w:val="-10"/>
          <w:sz w:val="20"/>
          <w:vertAlign w:val="baseline"/>
        </w:rPr>
        <w:t> </w:t>
      </w:r>
      <w:r>
        <w:rPr>
          <w:color w:val="231F20"/>
          <w:spacing w:val="-2"/>
          <w:sz w:val="20"/>
          <w:vertAlign w:val="baseline"/>
        </w:rPr>
        <w:t>Félix</w:t>
      </w:r>
      <w:r>
        <w:rPr>
          <w:color w:val="231F20"/>
          <w:spacing w:val="-9"/>
          <w:sz w:val="20"/>
          <w:vertAlign w:val="baseline"/>
        </w:rPr>
        <w:t> </w:t>
      </w:r>
      <w:r>
        <w:rPr>
          <w:color w:val="231F20"/>
          <w:spacing w:val="-2"/>
          <w:sz w:val="20"/>
          <w:vertAlign w:val="baseline"/>
        </w:rPr>
        <w:t>Moumié</w:t>
      </w:r>
      <w:r>
        <w:rPr>
          <w:color w:val="231F20"/>
          <w:spacing w:val="-11"/>
          <w:sz w:val="20"/>
          <w:vertAlign w:val="baseline"/>
        </w:rPr>
        <w:t> </w:t>
      </w:r>
      <w:r>
        <w:rPr>
          <w:color w:val="1C1D1B"/>
          <w:spacing w:val="-2"/>
          <w:sz w:val="20"/>
          <w:vertAlign w:val="baseline"/>
        </w:rPr>
        <w:t>meurt </w:t>
      </w:r>
      <w:r>
        <w:rPr>
          <w:color w:val="1C1D1B"/>
          <w:sz w:val="20"/>
          <w:vertAlign w:val="baseline"/>
        </w:rPr>
        <w:t>empoisonné,.jeune afrique ; </w:t>
      </w:r>
      <w:r>
        <w:rPr>
          <w:color w:val="231F20"/>
          <w:sz w:val="20"/>
          <w:vertAlign w:val="baseline"/>
        </w:rPr>
        <w:t>Pierre Houpert.</w:t>
      </w:r>
    </w:p>
    <w:p>
      <w:pPr>
        <w:spacing w:before="0"/>
        <w:ind w:left="111" w:right="104" w:firstLine="0"/>
        <w:jc w:val="both"/>
        <w:rPr>
          <w:sz w:val="20"/>
        </w:rPr>
      </w:pPr>
      <w:r>
        <w:rPr>
          <w:color w:val="76787A"/>
          <w:sz w:val="20"/>
          <w:vertAlign w:val="superscript"/>
        </w:rPr>
        <w:t>239</w:t>
      </w:r>
      <w:r>
        <w:rPr>
          <w:color w:val="76787A"/>
          <w:spacing w:val="-12"/>
          <w:sz w:val="20"/>
          <w:vertAlign w:val="baseline"/>
        </w:rPr>
        <w:t> </w:t>
      </w:r>
      <w:r>
        <w:rPr>
          <w:color w:val="231F20"/>
          <w:sz w:val="20"/>
          <w:vertAlign w:val="baseline"/>
        </w:rPr>
        <w:t>kamerun, l'indépendance piégée, de la lutte de libération à la lutte contre le néocolonialisme,</w:t>
      </w:r>
      <w:r>
        <w:rPr>
          <w:color w:val="231F20"/>
          <w:spacing w:val="-13"/>
          <w:sz w:val="20"/>
          <w:vertAlign w:val="baseline"/>
        </w:rPr>
        <w:t> </w:t>
      </w:r>
      <w:r>
        <w:rPr>
          <w:color w:val="231F20"/>
          <w:sz w:val="20"/>
          <w:vertAlign w:val="baseline"/>
        </w:rPr>
        <w:t>Augusta</w:t>
      </w:r>
      <w:r>
        <w:rPr>
          <w:color w:val="231F20"/>
          <w:spacing w:val="-12"/>
          <w:sz w:val="20"/>
          <w:vertAlign w:val="baseline"/>
        </w:rPr>
        <w:t> </w:t>
      </w:r>
      <w:r>
        <w:rPr>
          <w:color w:val="231F20"/>
          <w:sz w:val="20"/>
          <w:vertAlign w:val="baseline"/>
        </w:rPr>
        <w:t>Epanya,</w:t>
      </w:r>
      <w:r>
        <w:rPr>
          <w:color w:val="231F20"/>
          <w:spacing w:val="-6"/>
          <w:sz w:val="20"/>
          <w:vertAlign w:val="baseline"/>
        </w:rPr>
        <w:t> </w:t>
      </w:r>
      <w:r>
        <w:rPr>
          <w:color w:val="231F20"/>
          <w:sz w:val="20"/>
          <w:vertAlign w:val="baseline"/>
        </w:rPr>
        <w:t>Jean</w:t>
      </w:r>
      <w:r>
        <w:rPr>
          <w:color w:val="231F20"/>
          <w:spacing w:val="-4"/>
          <w:sz w:val="20"/>
          <w:vertAlign w:val="baseline"/>
        </w:rPr>
        <w:t> </w:t>
      </w:r>
      <w:r>
        <w:rPr>
          <w:color w:val="231F20"/>
          <w:sz w:val="20"/>
          <w:vertAlign w:val="baseline"/>
        </w:rPr>
        <w:t>Chatain,</w:t>
      </w:r>
      <w:r>
        <w:rPr>
          <w:color w:val="231F20"/>
          <w:spacing w:val="-13"/>
          <w:sz w:val="20"/>
          <w:vertAlign w:val="baseline"/>
        </w:rPr>
        <w:t> </w:t>
      </w:r>
      <w:r>
        <w:rPr>
          <w:color w:val="231F20"/>
          <w:sz w:val="20"/>
          <w:vertAlign w:val="baseline"/>
        </w:rPr>
        <w:t>Albert</w:t>
      </w:r>
      <w:r>
        <w:rPr>
          <w:color w:val="231F20"/>
          <w:spacing w:val="-3"/>
          <w:sz w:val="20"/>
          <w:vertAlign w:val="baseline"/>
        </w:rPr>
        <w:t> </w:t>
      </w:r>
      <w:r>
        <w:rPr>
          <w:color w:val="231F20"/>
          <w:sz w:val="20"/>
          <w:vertAlign w:val="baseline"/>
        </w:rPr>
        <w:t>Moutoudou</w:t>
      </w:r>
      <w:r>
        <w:rPr>
          <w:color w:val="231F20"/>
          <w:spacing w:val="-13"/>
          <w:sz w:val="20"/>
          <w:vertAlign w:val="baseline"/>
        </w:rPr>
        <w:t> </w:t>
      </w:r>
      <w:r>
        <w:rPr>
          <w:color w:val="231F20"/>
          <w:sz w:val="20"/>
          <w:vertAlign w:val="baseline"/>
        </w:rPr>
        <w:t>-</w:t>
      </w:r>
      <w:r>
        <w:rPr>
          <w:color w:val="231F20"/>
          <w:spacing w:val="-3"/>
          <w:sz w:val="20"/>
          <w:vertAlign w:val="baseline"/>
        </w:rPr>
        <w:t> </w:t>
      </w:r>
      <w:r>
        <w:rPr>
          <w:color w:val="231F20"/>
          <w:sz w:val="20"/>
          <w:vertAlign w:val="baseline"/>
        </w:rPr>
        <w:t>Préface</w:t>
      </w:r>
      <w:r>
        <w:rPr>
          <w:color w:val="231F20"/>
          <w:spacing w:val="-5"/>
          <w:sz w:val="20"/>
          <w:vertAlign w:val="baseline"/>
        </w:rPr>
        <w:t> </w:t>
      </w:r>
      <w:r>
        <w:rPr>
          <w:color w:val="231F20"/>
          <w:sz w:val="20"/>
          <w:vertAlign w:val="baseline"/>
        </w:rPr>
        <w:t>d'Odile </w:t>
      </w:r>
      <w:r>
        <w:rPr>
          <w:color w:val="231F20"/>
          <w:spacing w:val="-2"/>
          <w:sz w:val="20"/>
          <w:vertAlign w:val="baseline"/>
        </w:rPr>
        <w:t>Tobner.</w:t>
      </w:r>
    </w:p>
    <w:p>
      <w:pPr>
        <w:spacing w:before="0"/>
        <w:ind w:left="111" w:right="105" w:hanging="1"/>
        <w:jc w:val="both"/>
        <w:rPr>
          <w:sz w:val="20"/>
        </w:rPr>
      </w:pPr>
      <w:r>
        <w:rPr>
          <w:color w:val="76787A"/>
          <w:spacing w:val="-2"/>
          <w:sz w:val="20"/>
          <w:vertAlign w:val="superscript"/>
        </w:rPr>
        <w:t>240</w:t>
      </w:r>
      <w:r>
        <w:rPr>
          <w:color w:val="76787A"/>
          <w:spacing w:val="-13"/>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Le</w:t>
      </w:r>
      <w:r>
        <w:rPr>
          <w:color w:val="231F20"/>
          <w:spacing w:val="-11"/>
          <w:sz w:val="20"/>
          <w:vertAlign w:val="baseline"/>
        </w:rPr>
        <w:t> </w:t>
      </w:r>
      <w:r>
        <w:rPr>
          <w:color w:val="231F20"/>
          <w:spacing w:val="-2"/>
          <w:sz w:val="20"/>
          <w:vertAlign w:val="baseline"/>
        </w:rPr>
        <w:t>service</w:t>
      </w:r>
      <w:r>
        <w:rPr>
          <w:color w:val="231F20"/>
          <w:spacing w:val="-10"/>
          <w:sz w:val="20"/>
          <w:vertAlign w:val="baseline"/>
        </w:rPr>
        <w:t> </w:t>
      </w:r>
      <w:r>
        <w:rPr>
          <w:color w:val="231F20"/>
          <w:spacing w:val="-2"/>
          <w:sz w:val="20"/>
          <w:vertAlign w:val="baseline"/>
        </w:rPr>
        <w:t>Afrique</w:t>
      </w:r>
      <w:r>
        <w:rPr>
          <w:color w:val="231F20"/>
          <w:spacing w:val="-11"/>
          <w:sz w:val="20"/>
          <w:vertAlign w:val="baseline"/>
        </w:rPr>
        <w:t> </w:t>
      </w:r>
      <w:r>
        <w:rPr>
          <w:color w:val="231F20"/>
          <w:spacing w:val="-2"/>
          <w:sz w:val="20"/>
          <w:vertAlign w:val="baseline"/>
        </w:rPr>
        <w:t>du</w:t>
      </w:r>
      <w:r>
        <w:rPr>
          <w:color w:val="231F20"/>
          <w:spacing w:val="-10"/>
          <w:sz w:val="20"/>
          <w:vertAlign w:val="baseline"/>
        </w:rPr>
        <w:t> </w:t>
      </w:r>
      <w:r>
        <w:rPr>
          <w:color w:val="231F20"/>
          <w:spacing w:val="-2"/>
          <w:sz w:val="20"/>
          <w:vertAlign w:val="baseline"/>
        </w:rPr>
        <w:t>Sdece</w:t>
      </w:r>
      <w:r>
        <w:rPr>
          <w:color w:val="231F20"/>
          <w:spacing w:val="-11"/>
          <w:sz w:val="20"/>
          <w:vertAlign w:val="baseline"/>
        </w:rPr>
        <w:t> </w:t>
      </w:r>
      <w:r>
        <w:rPr>
          <w:color w:val="231F20"/>
          <w:spacing w:val="-2"/>
          <w:sz w:val="20"/>
          <w:vertAlign w:val="baseline"/>
        </w:rPr>
        <w:t>(services</w:t>
      </w:r>
      <w:r>
        <w:rPr>
          <w:color w:val="231F20"/>
          <w:spacing w:val="-10"/>
          <w:sz w:val="20"/>
          <w:vertAlign w:val="baseline"/>
        </w:rPr>
        <w:t> </w:t>
      </w:r>
      <w:r>
        <w:rPr>
          <w:color w:val="231F20"/>
          <w:spacing w:val="-2"/>
          <w:sz w:val="20"/>
          <w:vertAlign w:val="baseline"/>
        </w:rPr>
        <w:t>secrets</w:t>
      </w:r>
      <w:r>
        <w:rPr>
          <w:color w:val="231F20"/>
          <w:spacing w:val="-11"/>
          <w:sz w:val="20"/>
          <w:vertAlign w:val="baseline"/>
        </w:rPr>
        <w:t> </w:t>
      </w:r>
      <w:r>
        <w:rPr>
          <w:color w:val="231F20"/>
          <w:spacing w:val="-2"/>
          <w:sz w:val="20"/>
          <w:vertAlign w:val="baseline"/>
        </w:rPr>
        <w:t>français)</w:t>
      </w:r>
      <w:r>
        <w:rPr>
          <w:color w:val="231F20"/>
          <w:spacing w:val="-10"/>
          <w:sz w:val="20"/>
          <w:vertAlign w:val="baseline"/>
        </w:rPr>
        <w:t> </w:t>
      </w:r>
      <w:r>
        <w:rPr>
          <w:color w:val="231F20"/>
          <w:spacing w:val="-2"/>
          <w:sz w:val="20"/>
          <w:vertAlign w:val="baseline"/>
        </w:rPr>
        <w:t>enfante</w:t>
      </w:r>
      <w:r>
        <w:rPr>
          <w:color w:val="231F20"/>
          <w:spacing w:val="-11"/>
          <w:sz w:val="20"/>
          <w:vertAlign w:val="baseline"/>
        </w:rPr>
        <w:t> </w:t>
      </w:r>
      <w:r>
        <w:rPr>
          <w:color w:val="231F20"/>
          <w:spacing w:val="-2"/>
          <w:sz w:val="20"/>
          <w:vertAlign w:val="baseline"/>
        </w:rPr>
        <w:t>et</w:t>
      </w:r>
      <w:r>
        <w:rPr>
          <w:color w:val="231F20"/>
          <w:spacing w:val="-10"/>
          <w:sz w:val="20"/>
          <w:vertAlign w:val="baseline"/>
        </w:rPr>
        <w:t> </w:t>
      </w:r>
      <w:r>
        <w:rPr>
          <w:color w:val="231F20"/>
          <w:spacing w:val="-2"/>
          <w:sz w:val="20"/>
          <w:vertAlign w:val="baseline"/>
        </w:rPr>
        <w:t>instruit</w:t>
      </w:r>
      <w:r>
        <w:rPr>
          <w:color w:val="231F20"/>
          <w:spacing w:val="-11"/>
          <w:sz w:val="20"/>
          <w:vertAlign w:val="baseline"/>
        </w:rPr>
        <w:t> </w:t>
      </w:r>
      <w:r>
        <w:rPr>
          <w:color w:val="231F20"/>
          <w:spacing w:val="-2"/>
          <w:sz w:val="20"/>
          <w:vertAlign w:val="baseline"/>
        </w:rPr>
        <w:t>une</w:t>
      </w:r>
      <w:r>
        <w:rPr>
          <w:color w:val="231F20"/>
          <w:spacing w:val="-10"/>
          <w:sz w:val="20"/>
          <w:vertAlign w:val="baseline"/>
        </w:rPr>
        <w:t> </w:t>
      </w:r>
      <w:r>
        <w:rPr>
          <w:color w:val="231F20"/>
          <w:spacing w:val="-2"/>
          <w:sz w:val="20"/>
          <w:vertAlign w:val="baseline"/>
        </w:rPr>
        <w:t>filiale camerounaise,</w:t>
      </w:r>
      <w:r>
        <w:rPr>
          <w:color w:val="231F20"/>
          <w:spacing w:val="-11"/>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Sédoc</w:t>
      </w:r>
      <w:r>
        <w:rPr>
          <w:color w:val="231F20"/>
          <w:spacing w:val="-8"/>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sous</w:t>
      </w:r>
      <w:r>
        <w:rPr>
          <w:color w:val="231F20"/>
          <w:spacing w:val="-10"/>
          <w:sz w:val="20"/>
          <w:vertAlign w:val="baseline"/>
        </w:rPr>
        <w:t> </w:t>
      </w:r>
      <w:r>
        <w:rPr>
          <w:color w:val="231F20"/>
          <w:spacing w:val="-2"/>
          <w:sz w:val="20"/>
          <w:vertAlign w:val="baseline"/>
        </w:rPr>
        <w:t>la</w:t>
      </w:r>
      <w:r>
        <w:rPr>
          <w:color w:val="231F20"/>
          <w:spacing w:val="-10"/>
          <w:sz w:val="20"/>
          <w:vertAlign w:val="baseline"/>
        </w:rPr>
        <w:t> </w:t>
      </w:r>
      <w:r>
        <w:rPr>
          <w:color w:val="231F20"/>
          <w:spacing w:val="-2"/>
          <w:sz w:val="20"/>
          <w:vertAlign w:val="baseline"/>
        </w:rPr>
        <w:t>direction</w:t>
      </w:r>
      <w:r>
        <w:rPr>
          <w:color w:val="231F20"/>
          <w:spacing w:val="-10"/>
          <w:sz w:val="20"/>
          <w:vertAlign w:val="baseline"/>
        </w:rPr>
        <w:t> </w:t>
      </w:r>
      <w:r>
        <w:rPr>
          <w:color w:val="231F20"/>
          <w:spacing w:val="-2"/>
          <w:sz w:val="20"/>
          <w:vertAlign w:val="baseline"/>
        </w:rPr>
        <w:t>de</w:t>
      </w:r>
      <w:r>
        <w:rPr>
          <w:color w:val="231F20"/>
          <w:spacing w:val="-9"/>
          <w:sz w:val="20"/>
          <w:vertAlign w:val="baseline"/>
        </w:rPr>
        <w:t> </w:t>
      </w:r>
      <w:r>
        <w:rPr>
          <w:color w:val="231F20"/>
          <w:spacing w:val="-2"/>
          <w:sz w:val="20"/>
          <w:vertAlign w:val="baseline"/>
        </w:rPr>
        <w:t>Jean</w:t>
      </w:r>
      <w:r>
        <w:rPr>
          <w:color w:val="231F20"/>
          <w:spacing w:val="-9"/>
          <w:sz w:val="20"/>
          <w:vertAlign w:val="baseline"/>
        </w:rPr>
        <w:t> </w:t>
      </w:r>
      <w:r>
        <w:rPr>
          <w:color w:val="231F20"/>
          <w:spacing w:val="-2"/>
          <w:sz w:val="20"/>
          <w:vertAlign w:val="baseline"/>
        </w:rPr>
        <w:t>Fochivé,</w:t>
      </w:r>
      <w:r>
        <w:rPr>
          <w:color w:val="231F20"/>
          <w:spacing w:val="-11"/>
          <w:sz w:val="20"/>
          <w:vertAlign w:val="baseline"/>
        </w:rPr>
        <w:t> </w:t>
      </w:r>
      <w:r>
        <w:rPr>
          <w:color w:val="231F20"/>
          <w:spacing w:val="-2"/>
          <w:sz w:val="20"/>
          <w:vertAlign w:val="baseline"/>
        </w:rPr>
        <w:t>elle</w:t>
      </w:r>
      <w:r>
        <w:rPr>
          <w:color w:val="231F20"/>
          <w:spacing w:val="-10"/>
          <w:sz w:val="20"/>
          <w:vertAlign w:val="baseline"/>
        </w:rPr>
        <w:t> </w:t>
      </w:r>
      <w:r>
        <w:rPr>
          <w:color w:val="231F20"/>
          <w:spacing w:val="-2"/>
          <w:sz w:val="20"/>
          <w:vertAlign w:val="baseline"/>
        </w:rPr>
        <w:t>sera</w:t>
      </w:r>
      <w:r>
        <w:rPr>
          <w:color w:val="231F20"/>
          <w:spacing w:val="-11"/>
          <w:sz w:val="20"/>
          <w:vertAlign w:val="baseline"/>
        </w:rPr>
        <w:t> </w:t>
      </w:r>
      <w:r>
        <w:rPr>
          <w:color w:val="231F20"/>
          <w:spacing w:val="-2"/>
          <w:sz w:val="20"/>
          <w:vertAlign w:val="baseline"/>
        </w:rPr>
        <w:t>vite</w:t>
      </w:r>
      <w:r>
        <w:rPr>
          <w:color w:val="231F20"/>
          <w:spacing w:val="-10"/>
          <w:sz w:val="20"/>
          <w:vertAlign w:val="baseline"/>
        </w:rPr>
        <w:t> </w:t>
      </w:r>
      <w:r>
        <w:rPr>
          <w:color w:val="231F20"/>
          <w:spacing w:val="-2"/>
          <w:sz w:val="20"/>
          <w:vertAlign w:val="baseline"/>
        </w:rPr>
        <w:t>réputée</w:t>
      </w:r>
      <w:r>
        <w:rPr>
          <w:color w:val="231F20"/>
          <w:spacing w:val="-11"/>
          <w:sz w:val="20"/>
          <w:vertAlign w:val="baseline"/>
        </w:rPr>
        <w:t> </w:t>
      </w:r>
      <w:r>
        <w:rPr>
          <w:color w:val="231F20"/>
          <w:spacing w:val="-2"/>
          <w:sz w:val="20"/>
          <w:vertAlign w:val="baseline"/>
        </w:rPr>
        <w:t>pour</w:t>
      </w:r>
      <w:r>
        <w:rPr>
          <w:color w:val="231F20"/>
          <w:spacing w:val="-10"/>
          <w:sz w:val="20"/>
          <w:vertAlign w:val="baseline"/>
        </w:rPr>
        <w:t> </w:t>
      </w:r>
      <w:r>
        <w:rPr>
          <w:color w:val="231F20"/>
          <w:spacing w:val="-2"/>
          <w:sz w:val="20"/>
          <w:vertAlign w:val="baseline"/>
        </w:rPr>
        <w:t>sa </w:t>
      </w:r>
      <w:r>
        <w:rPr>
          <w:color w:val="231F20"/>
          <w:spacing w:val="-4"/>
          <w:sz w:val="20"/>
          <w:vertAlign w:val="baseline"/>
        </w:rPr>
        <w:t>sinistre</w:t>
      </w:r>
      <w:r>
        <w:rPr>
          <w:color w:val="231F20"/>
          <w:spacing w:val="-9"/>
          <w:sz w:val="20"/>
          <w:vertAlign w:val="baseline"/>
        </w:rPr>
        <w:t> </w:t>
      </w:r>
      <w:r>
        <w:rPr>
          <w:color w:val="231F20"/>
          <w:spacing w:val="-4"/>
          <w:sz w:val="20"/>
          <w:vertAlign w:val="baseline"/>
        </w:rPr>
        <w:t>«</w:t>
      </w:r>
      <w:r>
        <w:rPr>
          <w:color w:val="231F20"/>
          <w:spacing w:val="-8"/>
          <w:sz w:val="20"/>
          <w:vertAlign w:val="baseline"/>
        </w:rPr>
        <w:t> </w:t>
      </w:r>
      <w:r>
        <w:rPr>
          <w:color w:val="231F20"/>
          <w:spacing w:val="-4"/>
          <w:sz w:val="20"/>
          <w:vertAlign w:val="baseline"/>
        </w:rPr>
        <w:t>efficacité</w:t>
      </w:r>
      <w:r>
        <w:rPr>
          <w:color w:val="231F20"/>
          <w:spacing w:val="-9"/>
          <w:sz w:val="20"/>
          <w:vertAlign w:val="baseline"/>
        </w:rPr>
        <w:t> </w:t>
      </w:r>
      <w:r>
        <w:rPr>
          <w:color w:val="231F20"/>
          <w:spacing w:val="-4"/>
          <w:sz w:val="20"/>
          <w:vertAlign w:val="baseline"/>
        </w:rPr>
        <w:t>».</w:t>
      </w:r>
      <w:r>
        <w:rPr>
          <w:color w:val="231F20"/>
          <w:spacing w:val="-8"/>
          <w:sz w:val="20"/>
          <w:vertAlign w:val="baseline"/>
        </w:rPr>
        <w:t> </w:t>
      </w:r>
      <w:r>
        <w:rPr>
          <w:color w:val="231F20"/>
          <w:spacing w:val="-4"/>
          <w:sz w:val="20"/>
          <w:vertAlign w:val="baseline"/>
        </w:rPr>
        <w:t>On</w:t>
      </w:r>
      <w:r>
        <w:rPr>
          <w:color w:val="231F20"/>
          <w:spacing w:val="-9"/>
          <w:sz w:val="20"/>
          <w:vertAlign w:val="baseline"/>
        </w:rPr>
        <w:t> </w:t>
      </w:r>
      <w:r>
        <w:rPr>
          <w:color w:val="231F20"/>
          <w:spacing w:val="-4"/>
          <w:sz w:val="20"/>
          <w:vertAlign w:val="baseline"/>
        </w:rPr>
        <w:t>y</w:t>
      </w:r>
      <w:r>
        <w:rPr>
          <w:color w:val="231F20"/>
          <w:spacing w:val="-8"/>
          <w:sz w:val="20"/>
          <w:vertAlign w:val="baseline"/>
        </w:rPr>
        <w:t> </w:t>
      </w:r>
      <w:r>
        <w:rPr>
          <w:color w:val="231F20"/>
          <w:spacing w:val="-4"/>
          <w:sz w:val="20"/>
          <w:vertAlign w:val="baseline"/>
        </w:rPr>
        <w:t>torture</w:t>
      </w:r>
      <w:r>
        <w:rPr>
          <w:color w:val="231F20"/>
          <w:spacing w:val="-9"/>
          <w:sz w:val="20"/>
          <w:vertAlign w:val="baseline"/>
        </w:rPr>
        <w:t> </w:t>
      </w:r>
      <w:r>
        <w:rPr>
          <w:color w:val="231F20"/>
          <w:spacing w:val="-4"/>
          <w:sz w:val="20"/>
          <w:vertAlign w:val="baseline"/>
        </w:rPr>
        <w:t>à</w:t>
      </w:r>
      <w:r>
        <w:rPr>
          <w:color w:val="231F20"/>
          <w:spacing w:val="-8"/>
          <w:sz w:val="20"/>
          <w:vertAlign w:val="baseline"/>
        </w:rPr>
        <w:t> </w:t>
      </w:r>
      <w:r>
        <w:rPr>
          <w:color w:val="231F20"/>
          <w:spacing w:val="-4"/>
          <w:sz w:val="20"/>
          <w:vertAlign w:val="baseline"/>
        </w:rPr>
        <w:t>tour</w:t>
      </w:r>
      <w:r>
        <w:rPr>
          <w:color w:val="231F20"/>
          <w:spacing w:val="-9"/>
          <w:sz w:val="20"/>
          <w:vertAlign w:val="baseline"/>
        </w:rPr>
        <w:t> </w:t>
      </w:r>
      <w:r>
        <w:rPr>
          <w:color w:val="231F20"/>
          <w:spacing w:val="-4"/>
          <w:sz w:val="20"/>
          <w:vertAlign w:val="baseline"/>
        </w:rPr>
        <w:t>de</w:t>
      </w:r>
      <w:r>
        <w:rPr>
          <w:color w:val="231F20"/>
          <w:spacing w:val="-8"/>
          <w:sz w:val="20"/>
          <w:vertAlign w:val="baseline"/>
        </w:rPr>
        <w:t> </w:t>
      </w:r>
      <w:r>
        <w:rPr>
          <w:color w:val="231F20"/>
          <w:spacing w:val="-4"/>
          <w:sz w:val="20"/>
          <w:vertAlign w:val="baseline"/>
        </w:rPr>
        <w:t>bras.</w:t>
      </w:r>
      <w:r>
        <w:rPr>
          <w:color w:val="231F20"/>
          <w:spacing w:val="-9"/>
          <w:sz w:val="20"/>
          <w:vertAlign w:val="baseline"/>
        </w:rPr>
        <w:t> </w:t>
      </w:r>
      <w:r>
        <w:rPr>
          <w:color w:val="231F20"/>
          <w:spacing w:val="-4"/>
          <w:sz w:val="20"/>
          <w:vertAlign w:val="baseline"/>
        </w:rPr>
        <w:t>Côté</w:t>
      </w:r>
      <w:r>
        <w:rPr>
          <w:color w:val="231F20"/>
          <w:spacing w:val="-8"/>
          <w:sz w:val="20"/>
          <w:vertAlign w:val="baseline"/>
        </w:rPr>
        <w:t> </w:t>
      </w:r>
      <w:r>
        <w:rPr>
          <w:color w:val="231F20"/>
          <w:spacing w:val="-4"/>
          <w:sz w:val="20"/>
          <w:vertAlign w:val="baseline"/>
        </w:rPr>
        <w:t>police,</w:t>
      </w:r>
      <w:r>
        <w:rPr>
          <w:color w:val="231F20"/>
          <w:spacing w:val="-9"/>
          <w:sz w:val="20"/>
          <w:vertAlign w:val="baseline"/>
        </w:rPr>
        <w:t> </w:t>
      </w:r>
      <w:r>
        <w:rPr>
          <w:color w:val="231F20"/>
          <w:spacing w:val="-4"/>
          <w:sz w:val="20"/>
          <w:vertAlign w:val="baseline"/>
        </w:rPr>
        <w:t>un</w:t>
      </w:r>
      <w:r>
        <w:rPr>
          <w:color w:val="231F20"/>
          <w:spacing w:val="-8"/>
          <w:sz w:val="20"/>
          <w:vertAlign w:val="baseline"/>
        </w:rPr>
        <w:t> </w:t>
      </w:r>
      <w:r>
        <w:rPr>
          <w:color w:val="231F20"/>
          <w:spacing w:val="-4"/>
          <w:sz w:val="20"/>
          <w:vertAlign w:val="baseline"/>
        </w:rPr>
        <w:t>redoutable</w:t>
      </w:r>
      <w:r>
        <w:rPr>
          <w:color w:val="231F20"/>
          <w:spacing w:val="-9"/>
          <w:sz w:val="20"/>
          <w:vertAlign w:val="baseline"/>
        </w:rPr>
        <w:t> </w:t>
      </w:r>
      <w:r>
        <w:rPr>
          <w:color w:val="231F20"/>
          <w:spacing w:val="-4"/>
          <w:sz w:val="20"/>
          <w:vertAlign w:val="baseline"/>
        </w:rPr>
        <w:t>professionnel </w:t>
      </w:r>
      <w:r>
        <w:rPr>
          <w:color w:val="231F20"/>
          <w:sz w:val="20"/>
          <w:vertAlign w:val="baseline"/>
        </w:rPr>
        <w:t>français, Georges Conan, démontre ses talents - dont celui de multiplier les aveux et dénonciations. François-Xavier Verschave.</w:t>
      </w:r>
    </w:p>
    <w:p>
      <w:pPr>
        <w:spacing w:after="0"/>
        <w:jc w:val="both"/>
        <w:rPr>
          <w:sz w:val="20"/>
        </w:rPr>
        <w:sectPr>
          <w:pgSz w:w="8790" w:h="13610"/>
          <w:pgMar w:header="0" w:footer="802" w:top="1060" w:bottom="1000" w:left="880" w:right="880"/>
        </w:sectPr>
      </w:pPr>
    </w:p>
    <w:p>
      <w:pPr>
        <w:spacing w:before="66"/>
        <w:ind w:left="111" w:right="105" w:firstLine="0"/>
        <w:jc w:val="both"/>
        <w:rPr>
          <w:i/>
          <w:sz w:val="24"/>
        </w:rPr>
      </w:pPr>
      <w:r>
        <w:rPr>
          <w:i/>
          <w:color w:val="231F20"/>
          <w:spacing w:val="-4"/>
          <w:sz w:val="24"/>
        </w:rPr>
        <w:t>aident</w:t>
      </w:r>
      <w:r>
        <w:rPr>
          <w:i/>
          <w:color w:val="231F20"/>
          <w:spacing w:val="-7"/>
          <w:sz w:val="24"/>
        </w:rPr>
        <w:t> </w:t>
      </w:r>
      <w:r>
        <w:rPr>
          <w:i/>
          <w:color w:val="231F20"/>
          <w:spacing w:val="-4"/>
          <w:sz w:val="24"/>
        </w:rPr>
        <w:t>un</w:t>
      </w:r>
      <w:r>
        <w:rPr>
          <w:i/>
          <w:color w:val="231F20"/>
          <w:spacing w:val="-11"/>
          <w:sz w:val="24"/>
        </w:rPr>
        <w:t> </w:t>
      </w:r>
      <w:r>
        <w:rPr>
          <w:i/>
          <w:color w:val="231F20"/>
          <w:spacing w:val="-4"/>
          <w:sz w:val="24"/>
        </w:rPr>
        <w:t>peu</w:t>
      </w:r>
      <w:r>
        <w:rPr>
          <w:i/>
          <w:color w:val="231F20"/>
          <w:spacing w:val="-9"/>
          <w:sz w:val="24"/>
        </w:rPr>
        <w:t> </w:t>
      </w:r>
      <w:r>
        <w:rPr>
          <w:i/>
          <w:color w:val="231F20"/>
          <w:spacing w:val="-4"/>
          <w:sz w:val="24"/>
        </w:rPr>
        <w:t>ces</w:t>
      </w:r>
      <w:r>
        <w:rPr>
          <w:i/>
          <w:color w:val="231F20"/>
          <w:spacing w:val="-9"/>
          <w:sz w:val="24"/>
        </w:rPr>
        <w:t> </w:t>
      </w:r>
      <w:r>
        <w:rPr>
          <w:i/>
          <w:color w:val="231F20"/>
          <w:spacing w:val="-4"/>
          <w:sz w:val="24"/>
        </w:rPr>
        <w:t>pays</w:t>
      </w:r>
      <w:r>
        <w:rPr>
          <w:i/>
          <w:color w:val="231F20"/>
          <w:spacing w:val="-9"/>
          <w:sz w:val="24"/>
        </w:rPr>
        <w:t> </w:t>
      </w:r>
      <w:r>
        <w:rPr>
          <w:i/>
          <w:color w:val="231F20"/>
          <w:spacing w:val="-4"/>
          <w:sz w:val="24"/>
        </w:rPr>
        <w:t>quand</w:t>
      </w:r>
      <w:r>
        <w:rPr>
          <w:i/>
          <w:color w:val="231F20"/>
          <w:spacing w:val="-9"/>
          <w:sz w:val="24"/>
        </w:rPr>
        <w:t> </w:t>
      </w:r>
      <w:r>
        <w:rPr>
          <w:i/>
          <w:color w:val="231F20"/>
          <w:spacing w:val="-4"/>
          <w:sz w:val="24"/>
        </w:rPr>
        <w:t>il</w:t>
      </w:r>
      <w:r>
        <w:rPr>
          <w:i/>
          <w:color w:val="231F20"/>
          <w:spacing w:val="-7"/>
          <w:sz w:val="24"/>
        </w:rPr>
        <w:t> </w:t>
      </w:r>
      <w:r>
        <w:rPr>
          <w:i/>
          <w:color w:val="231F20"/>
          <w:spacing w:val="-4"/>
          <w:sz w:val="24"/>
        </w:rPr>
        <w:t>y</w:t>
      </w:r>
      <w:r>
        <w:rPr>
          <w:i/>
          <w:color w:val="231F20"/>
          <w:spacing w:val="-9"/>
          <w:sz w:val="24"/>
        </w:rPr>
        <w:t> </w:t>
      </w:r>
      <w:r>
        <w:rPr>
          <w:i/>
          <w:color w:val="231F20"/>
          <w:spacing w:val="-4"/>
          <w:sz w:val="24"/>
        </w:rPr>
        <w:t>a</w:t>
      </w:r>
      <w:r>
        <w:rPr>
          <w:i/>
          <w:color w:val="231F20"/>
          <w:spacing w:val="-9"/>
          <w:sz w:val="24"/>
        </w:rPr>
        <w:t> </w:t>
      </w:r>
      <w:r>
        <w:rPr>
          <w:i/>
          <w:color w:val="231F20"/>
          <w:spacing w:val="-4"/>
          <w:sz w:val="24"/>
        </w:rPr>
        <w:t>ce</w:t>
      </w:r>
      <w:r>
        <w:rPr>
          <w:i/>
          <w:color w:val="231F20"/>
          <w:spacing w:val="-9"/>
          <w:sz w:val="24"/>
        </w:rPr>
        <w:t> </w:t>
      </w:r>
      <w:r>
        <w:rPr>
          <w:i/>
          <w:color w:val="231F20"/>
          <w:spacing w:val="-4"/>
          <w:sz w:val="24"/>
        </w:rPr>
        <w:t>genre</w:t>
      </w:r>
      <w:r>
        <w:rPr>
          <w:i/>
          <w:color w:val="231F20"/>
          <w:spacing w:val="-9"/>
          <w:sz w:val="24"/>
        </w:rPr>
        <w:t> </w:t>
      </w:r>
      <w:r>
        <w:rPr>
          <w:i/>
          <w:color w:val="231F20"/>
          <w:spacing w:val="-4"/>
          <w:sz w:val="24"/>
        </w:rPr>
        <w:t>de</w:t>
      </w:r>
      <w:r>
        <w:rPr>
          <w:i/>
          <w:color w:val="231F20"/>
          <w:spacing w:val="-9"/>
          <w:sz w:val="24"/>
        </w:rPr>
        <w:t> </w:t>
      </w:r>
      <w:r>
        <w:rPr>
          <w:i/>
          <w:color w:val="231F20"/>
          <w:spacing w:val="-4"/>
          <w:sz w:val="24"/>
        </w:rPr>
        <w:t>guerre,</w:t>
      </w:r>
      <w:r>
        <w:rPr>
          <w:i/>
          <w:color w:val="231F20"/>
          <w:spacing w:val="-9"/>
          <w:sz w:val="24"/>
        </w:rPr>
        <w:t> </w:t>
      </w:r>
      <w:r>
        <w:rPr>
          <w:i/>
          <w:color w:val="231F20"/>
          <w:spacing w:val="-4"/>
          <w:sz w:val="24"/>
        </w:rPr>
        <w:t>mais</w:t>
      </w:r>
      <w:r>
        <w:rPr>
          <w:i/>
          <w:color w:val="231F20"/>
          <w:spacing w:val="-7"/>
          <w:sz w:val="24"/>
        </w:rPr>
        <w:t> </w:t>
      </w:r>
      <w:r>
        <w:rPr>
          <w:i/>
          <w:color w:val="231F20"/>
          <w:spacing w:val="-4"/>
          <w:sz w:val="24"/>
        </w:rPr>
        <w:t>ils</w:t>
      </w:r>
      <w:r>
        <w:rPr>
          <w:i/>
          <w:color w:val="231F20"/>
          <w:spacing w:val="-9"/>
          <w:sz w:val="24"/>
        </w:rPr>
        <w:t> </w:t>
      </w:r>
      <w:r>
        <w:rPr>
          <w:i/>
          <w:color w:val="231F20"/>
          <w:spacing w:val="-4"/>
          <w:sz w:val="24"/>
        </w:rPr>
        <w:t>ne</w:t>
      </w:r>
      <w:r>
        <w:rPr>
          <w:i/>
          <w:color w:val="231F20"/>
          <w:spacing w:val="-9"/>
          <w:sz w:val="24"/>
        </w:rPr>
        <w:t> </w:t>
      </w:r>
      <w:r>
        <w:rPr>
          <w:i/>
          <w:color w:val="231F20"/>
          <w:spacing w:val="-4"/>
          <w:sz w:val="24"/>
        </w:rPr>
        <w:t>veulent</w:t>
      </w:r>
      <w:r>
        <w:rPr>
          <w:i/>
          <w:color w:val="231F20"/>
          <w:spacing w:val="-4"/>
          <w:sz w:val="24"/>
        </w:rPr>
        <w:t> </w:t>
      </w:r>
      <w:r>
        <w:rPr>
          <w:i/>
          <w:color w:val="231F20"/>
          <w:sz w:val="24"/>
        </w:rPr>
        <w:t>pas savoir exactement ce qui se passe. On faisait plaisir au Président </w:t>
      </w:r>
      <w:r>
        <w:rPr>
          <w:i/>
          <w:color w:val="231F20"/>
          <w:spacing w:val="-4"/>
          <w:sz w:val="24"/>
        </w:rPr>
        <w:t>Ahidjo</w:t>
      </w:r>
      <w:r>
        <w:rPr>
          <w:i/>
          <w:color w:val="231F20"/>
          <w:spacing w:val="-8"/>
          <w:sz w:val="24"/>
        </w:rPr>
        <w:t> </w:t>
      </w:r>
      <w:r>
        <w:rPr>
          <w:i/>
          <w:color w:val="231F20"/>
          <w:spacing w:val="-4"/>
          <w:sz w:val="24"/>
        </w:rPr>
        <w:t>parce</w:t>
      </w:r>
      <w:r>
        <w:rPr>
          <w:i/>
          <w:color w:val="231F20"/>
          <w:spacing w:val="-7"/>
          <w:sz w:val="24"/>
        </w:rPr>
        <w:t> </w:t>
      </w:r>
      <w:r>
        <w:rPr>
          <w:i/>
          <w:color w:val="231F20"/>
          <w:spacing w:val="-4"/>
          <w:sz w:val="24"/>
        </w:rPr>
        <w:t>qu’il</w:t>
      </w:r>
      <w:r>
        <w:rPr>
          <w:i/>
          <w:color w:val="231F20"/>
          <w:spacing w:val="-6"/>
          <w:sz w:val="24"/>
        </w:rPr>
        <w:t> </w:t>
      </w:r>
      <w:r>
        <w:rPr>
          <w:i/>
          <w:color w:val="231F20"/>
          <w:spacing w:val="-4"/>
          <w:sz w:val="24"/>
        </w:rPr>
        <w:t>fallait</w:t>
      </w:r>
      <w:r>
        <w:rPr>
          <w:i/>
          <w:color w:val="231F20"/>
          <w:spacing w:val="-5"/>
          <w:sz w:val="24"/>
        </w:rPr>
        <w:t> </w:t>
      </w:r>
      <w:r>
        <w:rPr>
          <w:i/>
          <w:color w:val="231F20"/>
          <w:spacing w:val="-4"/>
          <w:sz w:val="24"/>
        </w:rPr>
        <w:t>que</w:t>
      </w:r>
      <w:r>
        <w:rPr>
          <w:i/>
          <w:color w:val="231F20"/>
          <w:spacing w:val="-7"/>
          <w:sz w:val="24"/>
        </w:rPr>
        <w:t> </w:t>
      </w:r>
      <w:r>
        <w:rPr>
          <w:i/>
          <w:color w:val="231F20"/>
          <w:spacing w:val="-4"/>
          <w:sz w:val="24"/>
        </w:rPr>
        <w:t>le</w:t>
      </w:r>
      <w:r>
        <w:rPr>
          <w:i/>
          <w:color w:val="231F20"/>
          <w:spacing w:val="-7"/>
          <w:sz w:val="24"/>
        </w:rPr>
        <w:t> </w:t>
      </w:r>
      <w:r>
        <w:rPr>
          <w:i/>
          <w:color w:val="231F20"/>
          <w:spacing w:val="-4"/>
          <w:sz w:val="24"/>
        </w:rPr>
        <w:t>Cameroun</w:t>
      </w:r>
      <w:r>
        <w:rPr>
          <w:i/>
          <w:color w:val="231F20"/>
          <w:spacing w:val="-6"/>
          <w:sz w:val="24"/>
        </w:rPr>
        <w:t> </w:t>
      </w:r>
      <w:r>
        <w:rPr>
          <w:i/>
          <w:color w:val="231F20"/>
          <w:spacing w:val="-4"/>
          <w:sz w:val="24"/>
        </w:rPr>
        <w:t>garde</w:t>
      </w:r>
      <w:r>
        <w:rPr>
          <w:i/>
          <w:color w:val="231F20"/>
          <w:spacing w:val="-6"/>
          <w:sz w:val="24"/>
        </w:rPr>
        <w:t> </w:t>
      </w:r>
      <w:r>
        <w:rPr>
          <w:i/>
          <w:color w:val="231F20"/>
          <w:spacing w:val="-4"/>
          <w:sz w:val="24"/>
        </w:rPr>
        <w:t>ses</w:t>
      </w:r>
      <w:r>
        <w:rPr>
          <w:i/>
          <w:color w:val="231F20"/>
          <w:spacing w:val="-7"/>
          <w:sz w:val="24"/>
        </w:rPr>
        <w:t> </w:t>
      </w:r>
      <w:r>
        <w:rPr>
          <w:i/>
          <w:color w:val="231F20"/>
          <w:spacing w:val="-4"/>
          <w:sz w:val="24"/>
        </w:rPr>
        <w:t>liens</w:t>
      </w:r>
      <w:r>
        <w:rPr>
          <w:i/>
          <w:color w:val="231F20"/>
          <w:spacing w:val="-6"/>
          <w:sz w:val="24"/>
        </w:rPr>
        <w:t> </w:t>
      </w:r>
      <w:r>
        <w:rPr>
          <w:i/>
          <w:color w:val="231F20"/>
          <w:spacing w:val="-4"/>
          <w:sz w:val="24"/>
        </w:rPr>
        <w:t>avec</w:t>
      </w:r>
      <w:r>
        <w:rPr>
          <w:i/>
          <w:color w:val="231F20"/>
          <w:spacing w:val="-7"/>
          <w:sz w:val="24"/>
        </w:rPr>
        <w:t> </w:t>
      </w:r>
      <w:r>
        <w:rPr>
          <w:i/>
          <w:color w:val="231F20"/>
          <w:spacing w:val="-4"/>
          <w:sz w:val="24"/>
        </w:rPr>
        <w:t>la</w:t>
      </w:r>
      <w:r>
        <w:rPr>
          <w:i/>
          <w:color w:val="231F20"/>
          <w:spacing w:val="-5"/>
          <w:sz w:val="24"/>
        </w:rPr>
        <w:t> </w:t>
      </w:r>
      <w:r>
        <w:rPr>
          <w:i/>
          <w:color w:val="231F20"/>
          <w:spacing w:val="-4"/>
          <w:sz w:val="24"/>
        </w:rPr>
        <w:t>France</w:t>
      </w:r>
    </w:p>
    <w:p>
      <w:pPr>
        <w:spacing w:before="0"/>
        <w:ind w:left="111" w:right="103" w:firstLine="0"/>
        <w:jc w:val="both"/>
        <w:rPr>
          <w:i/>
          <w:sz w:val="24"/>
        </w:rPr>
      </w:pPr>
      <w:r>
        <w:rPr>
          <w:color w:val="231F20"/>
          <w:sz w:val="24"/>
        </w:rPr>
        <w:t>»</w:t>
      </w:r>
      <w:r>
        <w:rPr>
          <w:color w:val="231F20"/>
          <w:sz w:val="24"/>
          <w:vertAlign w:val="superscript"/>
        </w:rPr>
        <w:t>241</w:t>
      </w:r>
      <w:r>
        <w:rPr>
          <w:color w:val="231F20"/>
          <w:sz w:val="24"/>
          <w:vertAlign w:val="baseline"/>
        </w:rPr>
        <w:t>.</w:t>
      </w:r>
      <w:r>
        <w:rPr>
          <w:color w:val="231F20"/>
          <w:spacing w:val="-3"/>
          <w:sz w:val="24"/>
          <w:vertAlign w:val="baseline"/>
        </w:rPr>
        <w:t> </w:t>
      </w:r>
      <w:r>
        <w:rPr>
          <w:color w:val="231F20"/>
          <w:sz w:val="24"/>
          <w:vertAlign w:val="baseline"/>
        </w:rPr>
        <w:t>L'écrivain</w:t>
      </w:r>
      <w:r>
        <w:rPr>
          <w:color w:val="231F20"/>
          <w:spacing w:val="-3"/>
          <w:sz w:val="24"/>
          <w:vertAlign w:val="baseline"/>
        </w:rPr>
        <w:t> </w:t>
      </w:r>
      <w:r>
        <w:rPr>
          <w:color w:val="231F20"/>
          <w:sz w:val="24"/>
          <w:vertAlign w:val="baseline"/>
        </w:rPr>
        <w:t>Camerounais</w:t>
      </w:r>
      <w:r>
        <w:rPr>
          <w:color w:val="231F20"/>
          <w:spacing w:val="-2"/>
          <w:sz w:val="24"/>
          <w:vertAlign w:val="baseline"/>
        </w:rPr>
        <w:t> </w:t>
      </w:r>
      <w:r>
        <w:rPr>
          <w:color w:val="231F20"/>
          <w:sz w:val="24"/>
          <w:vertAlign w:val="baseline"/>
        </w:rPr>
        <w:t>Mongo</w:t>
      </w:r>
      <w:r>
        <w:rPr>
          <w:color w:val="231F20"/>
          <w:spacing w:val="-3"/>
          <w:sz w:val="24"/>
          <w:vertAlign w:val="baseline"/>
        </w:rPr>
        <w:t> </w:t>
      </w:r>
      <w:r>
        <w:rPr>
          <w:color w:val="231F20"/>
          <w:sz w:val="24"/>
          <w:vertAlign w:val="baseline"/>
        </w:rPr>
        <w:t>Béti</w:t>
      </w:r>
      <w:r>
        <w:rPr>
          <w:color w:val="231F20"/>
          <w:spacing w:val="-2"/>
          <w:sz w:val="24"/>
          <w:vertAlign w:val="baseline"/>
        </w:rPr>
        <w:t> </w:t>
      </w:r>
      <w:r>
        <w:rPr>
          <w:color w:val="231F20"/>
          <w:sz w:val="24"/>
          <w:vertAlign w:val="baseline"/>
        </w:rPr>
        <w:t>parle</w:t>
      </w:r>
      <w:r>
        <w:rPr>
          <w:color w:val="231F20"/>
          <w:spacing w:val="-3"/>
          <w:sz w:val="24"/>
          <w:vertAlign w:val="baseline"/>
        </w:rPr>
        <w:t> </w:t>
      </w:r>
      <w:r>
        <w:rPr>
          <w:color w:val="231F20"/>
          <w:sz w:val="24"/>
          <w:vertAlign w:val="baseline"/>
        </w:rPr>
        <w:t>de</w:t>
      </w:r>
      <w:r>
        <w:rPr>
          <w:color w:val="231F20"/>
          <w:spacing w:val="-3"/>
          <w:sz w:val="24"/>
          <w:vertAlign w:val="baseline"/>
        </w:rPr>
        <w:t> </w:t>
      </w:r>
      <w:r>
        <w:rPr>
          <w:color w:val="231F20"/>
          <w:sz w:val="24"/>
          <w:vertAlign w:val="baseline"/>
        </w:rPr>
        <w:t>"camps</w:t>
      </w:r>
      <w:r>
        <w:rPr>
          <w:color w:val="231F20"/>
          <w:spacing w:val="-3"/>
          <w:sz w:val="24"/>
          <w:vertAlign w:val="baseline"/>
        </w:rPr>
        <w:t> </w:t>
      </w:r>
      <w:r>
        <w:rPr>
          <w:color w:val="231F20"/>
          <w:sz w:val="24"/>
          <w:vertAlign w:val="baseline"/>
        </w:rPr>
        <w:t>de</w:t>
      </w:r>
      <w:r>
        <w:rPr>
          <w:color w:val="231F20"/>
          <w:spacing w:val="-3"/>
          <w:sz w:val="24"/>
          <w:vertAlign w:val="baseline"/>
        </w:rPr>
        <w:t> </w:t>
      </w:r>
      <w:r>
        <w:rPr>
          <w:color w:val="231F20"/>
          <w:sz w:val="24"/>
          <w:vertAlign w:val="baseline"/>
        </w:rPr>
        <w:t>torture</w:t>
      </w:r>
      <w:r>
        <w:rPr>
          <w:color w:val="231F20"/>
          <w:spacing w:val="-7"/>
          <w:sz w:val="24"/>
          <w:vertAlign w:val="baseline"/>
        </w:rPr>
        <w:t> </w:t>
      </w:r>
      <w:r>
        <w:rPr>
          <w:color w:val="231F20"/>
          <w:sz w:val="24"/>
          <w:vertAlign w:val="baseline"/>
        </w:rPr>
        <w:t>et d'extermination"</w:t>
      </w:r>
      <w:r>
        <w:rPr>
          <w:color w:val="231F20"/>
          <w:spacing w:val="-15"/>
          <w:sz w:val="24"/>
          <w:vertAlign w:val="baseline"/>
        </w:rPr>
        <w:t> </w:t>
      </w:r>
      <w:r>
        <w:rPr>
          <w:color w:val="231F20"/>
          <w:sz w:val="24"/>
          <w:vertAlign w:val="baseline"/>
        </w:rPr>
        <w:t>:</w:t>
      </w:r>
      <w:r>
        <w:rPr>
          <w:color w:val="231F20"/>
          <w:spacing w:val="-15"/>
          <w:sz w:val="24"/>
          <w:vertAlign w:val="baseline"/>
        </w:rPr>
        <w:t> </w:t>
      </w:r>
      <w:r>
        <w:rPr>
          <w:i/>
          <w:color w:val="231F20"/>
          <w:sz w:val="24"/>
          <w:vertAlign w:val="baseline"/>
        </w:rPr>
        <w:t>« En gare de Douala, un groupe de cinquante-deux</w:t>
      </w:r>
      <w:r>
        <w:rPr>
          <w:i/>
          <w:color w:val="231F20"/>
          <w:sz w:val="24"/>
          <w:vertAlign w:val="baseline"/>
        </w:rPr>
        <w:t> détenus, hommes, femmes et enfants est embarqué tôt le matin, le 1er février 1962, dans un wagon métallique dont la porte est verrouillée. Quand</w:t>
      </w:r>
      <w:r>
        <w:rPr>
          <w:i/>
          <w:color w:val="231F20"/>
          <w:spacing w:val="-6"/>
          <w:sz w:val="24"/>
          <w:vertAlign w:val="baseline"/>
        </w:rPr>
        <w:t> </w:t>
      </w:r>
      <w:r>
        <w:rPr>
          <w:i/>
          <w:color w:val="231F20"/>
          <w:sz w:val="24"/>
          <w:vertAlign w:val="baseline"/>
        </w:rPr>
        <w:t>le</w:t>
      </w:r>
      <w:r>
        <w:rPr>
          <w:i/>
          <w:color w:val="231F20"/>
          <w:spacing w:val="-7"/>
          <w:sz w:val="24"/>
          <w:vertAlign w:val="baseline"/>
        </w:rPr>
        <w:t> </w:t>
      </w:r>
      <w:r>
        <w:rPr>
          <w:i/>
          <w:color w:val="231F20"/>
          <w:sz w:val="24"/>
          <w:vertAlign w:val="baseline"/>
        </w:rPr>
        <w:t>train</w:t>
      </w:r>
      <w:r>
        <w:rPr>
          <w:i/>
          <w:color w:val="231F20"/>
          <w:spacing w:val="-6"/>
          <w:sz w:val="24"/>
          <w:vertAlign w:val="baseline"/>
        </w:rPr>
        <w:t> </w:t>
      </w:r>
      <w:r>
        <w:rPr>
          <w:i/>
          <w:color w:val="231F20"/>
          <w:sz w:val="24"/>
          <w:vertAlign w:val="baseline"/>
        </w:rPr>
        <w:t>arrive</w:t>
      </w:r>
      <w:r>
        <w:rPr>
          <w:i/>
          <w:color w:val="231F20"/>
          <w:spacing w:val="-6"/>
          <w:sz w:val="24"/>
          <w:vertAlign w:val="baseline"/>
        </w:rPr>
        <w:t> </w:t>
      </w:r>
      <w:r>
        <w:rPr>
          <w:i/>
          <w:color w:val="231F20"/>
          <w:sz w:val="24"/>
          <w:vertAlign w:val="baseline"/>
        </w:rPr>
        <w:t>à</w:t>
      </w:r>
      <w:r>
        <w:rPr>
          <w:i/>
          <w:color w:val="231F20"/>
          <w:spacing w:val="-6"/>
          <w:sz w:val="24"/>
          <w:vertAlign w:val="baseline"/>
        </w:rPr>
        <w:t> </w:t>
      </w:r>
      <w:r>
        <w:rPr>
          <w:i/>
          <w:color w:val="231F20"/>
          <w:sz w:val="24"/>
          <w:vertAlign w:val="baseline"/>
        </w:rPr>
        <w:t>Yaoundé</w:t>
      </w:r>
      <w:r>
        <w:rPr>
          <w:i/>
          <w:color w:val="231F20"/>
          <w:spacing w:val="-6"/>
          <w:sz w:val="24"/>
          <w:vertAlign w:val="baseline"/>
        </w:rPr>
        <w:t> </w:t>
      </w:r>
      <w:r>
        <w:rPr>
          <w:i/>
          <w:color w:val="231F20"/>
          <w:sz w:val="24"/>
          <w:vertAlign w:val="baseline"/>
        </w:rPr>
        <w:t>au</w:t>
      </w:r>
      <w:r>
        <w:rPr>
          <w:i/>
          <w:color w:val="231F20"/>
          <w:spacing w:val="-7"/>
          <w:sz w:val="24"/>
          <w:vertAlign w:val="baseline"/>
        </w:rPr>
        <w:t> </w:t>
      </w:r>
      <w:r>
        <w:rPr>
          <w:i/>
          <w:color w:val="231F20"/>
          <w:sz w:val="24"/>
          <w:vertAlign w:val="baseline"/>
        </w:rPr>
        <w:t>début</w:t>
      </w:r>
      <w:r>
        <w:rPr>
          <w:i/>
          <w:color w:val="231F20"/>
          <w:spacing w:val="-7"/>
          <w:sz w:val="24"/>
          <w:vertAlign w:val="baseline"/>
        </w:rPr>
        <w:t> </w:t>
      </w:r>
      <w:r>
        <w:rPr>
          <w:i/>
          <w:color w:val="231F20"/>
          <w:sz w:val="24"/>
          <w:vertAlign w:val="baseline"/>
        </w:rPr>
        <w:t>de</w:t>
      </w:r>
      <w:r>
        <w:rPr>
          <w:i/>
          <w:color w:val="231F20"/>
          <w:spacing w:val="-6"/>
          <w:sz w:val="24"/>
          <w:vertAlign w:val="baseline"/>
        </w:rPr>
        <w:t> </w:t>
      </w:r>
      <w:r>
        <w:rPr>
          <w:i/>
          <w:color w:val="231F20"/>
          <w:sz w:val="24"/>
          <w:vertAlign w:val="baseline"/>
        </w:rPr>
        <w:t>la</w:t>
      </w:r>
      <w:r>
        <w:rPr>
          <w:i/>
          <w:color w:val="231F20"/>
          <w:spacing w:val="-6"/>
          <w:sz w:val="24"/>
          <w:vertAlign w:val="baseline"/>
        </w:rPr>
        <w:t> </w:t>
      </w:r>
      <w:r>
        <w:rPr>
          <w:i/>
          <w:color w:val="231F20"/>
          <w:sz w:val="24"/>
          <w:vertAlign w:val="baseline"/>
        </w:rPr>
        <w:t>soirée,</w:t>
      </w:r>
      <w:r>
        <w:rPr>
          <w:i/>
          <w:color w:val="231F20"/>
          <w:spacing w:val="-6"/>
          <w:sz w:val="24"/>
          <w:vertAlign w:val="baseline"/>
        </w:rPr>
        <w:t> </w:t>
      </w:r>
      <w:r>
        <w:rPr>
          <w:i/>
          <w:color w:val="231F20"/>
          <w:sz w:val="24"/>
          <w:vertAlign w:val="baseline"/>
        </w:rPr>
        <w:t>l'asphyxie</w:t>
      </w:r>
      <w:r>
        <w:rPr>
          <w:i/>
          <w:color w:val="231F20"/>
          <w:spacing w:val="-6"/>
          <w:sz w:val="24"/>
          <w:vertAlign w:val="baseline"/>
        </w:rPr>
        <w:t> </w:t>
      </w:r>
      <w:r>
        <w:rPr>
          <w:i/>
          <w:color w:val="231F20"/>
          <w:sz w:val="24"/>
          <w:vertAlign w:val="baseline"/>
        </w:rPr>
        <w:t>a</w:t>
      </w:r>
      <w:r>
        <w:rPr>
          <w:i/>
          <w:color w:val="231F20"/>
          <w:spacing w:val="-7"/>
          <w:sz w:val="24"/>
          <w:vertAlign w:val="baseline"/>
        </w:rPr>
        <w:t> </w:t>
      </w:r>
      <w:r>
        <w:rPr>
          <w:i/>
          <w:color w:val="231F20"/>
          <w:sz w:val="24"/>
          <w:vertAlign w:val="baseline"/>
        </w:rPr>
        <w:t>fait son œuvre : le gendarme qui ouvre le wagon découvre vingt-cinq </w:t>
      </w:r>
      <w:r>
        <w:rPr>
          <w:i/>
          <w:color w:val="231F20"/>
          <w:spacing w:val="-2"/>
          <w:sz w:val="24"/>
          <w:vertAlign w:val="baseline"/>
        </w:rPr>
        <w:t>cadavres.</w:t>
      </w:r>
      <w:r>
        <w:rPr>
          <w:i/>
          <w:color w:val="231F20"/>
          <w:spacing w:val="-13"/>
          <w:sz w:val="24"/>
          <w:vertAlign w:val="baseline"/>
        </w:rPr>
        <w:t> </w:t>
      </w:r>
      <w:r>
        <w:rPr>
          <w:i/>
          <w:color w:val="231F20"/>
          <w:spacing w:val="-2"/>
          <w:sz w:val="24"/>
          <w:vertAlign w:val="baseline"/>
        </w:rPr>
        <w:t>Des</w:t>
      </w:r>
      <w:r>
        <w:rPr>
          <w:i/>
          <w:color w:val="231F20"/>
          <w:spacing w:val="-13"/>
          <w:sz w:val="24"/>
          <w:vertAlign w:val="baseline"/>
        </w:rPr>
        <w:t> </w:t>
      </w:r>
      <w:r>
        <w:rPr>
          <w:i/>
          <w:color w:val="231F20"/>
          <w:spacing w:val="-2"/>
          <w:sz w:val="24"/>
          <w:vertAlign w:val="baseline"/>
        </w:rPr>
        <w:t>officiers</w:t>
      </w:r>
      <w:r>
        <w:rPr>
          <w:i/>
          <w:color w:val="231F20"/>
          <w:spacing w:val="-13"/>
          <w:sz w:val="24"/>
          <w:vertAlign w:val="baseline"/>
        </w:rPr>
        <w:t> </w:t>
      </w:r>
      <w:r>
        <w:rPr>
          <w:i/>
          <w:color w:val="231F20"/>
          <w:spacing w:val="-2"/>
          <w:sz w:val="24"/>
          <w:vertAlign w:val="baseline"/>
        </w:rPr>
        <w:t>français</w:t>
      </w:r>
      <w:r>
        <w:rPr>
          <w:i/>
          <w:color w:val="231F20"/>
          <w:spacing w:val="-13"/>
          <w:sz w:val="24"/>
          <w:vertAlign w:val="baseline"/>
        </w:rPr>
        <w:t> </w:t>
      </w:r>
      <w:r>
        <w:rPr>
          <w:i/>
          <w:color w:val="231F20"/>
          <w:spacing w:val="-2"/>
          <w:sz w:val="24"/>
          <w:vertAlign w:val="baseline"/>
        </w:rPr>
        <w:t>admettront</w:t>
      </w:r>
      <w:r>
        <w:rPr>
          <w:i/>
          <w:color w:val="231F20"/>
          <w:spacing w:val="-12"/>
          <w:sz w:val="24"/>
          <w:vertAlign w:val="baseline"/>
        </w:rPr>
        <w:t> </w:t>
      </w:r>
      <w:r>
        <w:rPr>
          <w:i/>
          <w:color w:val="231F20"/>
          <w:spacing w:val="-2"/>
          <w:sz w:val="24"/>
          <w:vertAlign w:val="baseline"/>
        </w:rPr>
        <w:t>par</w:t>
      </w:r>
      <w:r>
        <w:rPr>
          <w:i/>
          <w:color w:val="231F20"/>
          <w:spacing w:val="-13"/>
          <w:sz w:val="24"/>
          <w:vertAlign w:val="baseline"/>
        </w:rPr>
        <w:t> </w:t>
      </w:r>
      <w:r>
        <w:rPr>
          <w:i/>
          <w:color w:val="231F20"/>
          <w:spacing w:val="-2"/>
          <w:sz w:val="24"/>
          <w:vertAlign w:val="baseline"/>
        </w:rPr>
        <w:t>la</w:t>
      </w:r>
      <w:r>
        <w:rPr>
          <w:i/>
          <w:color w:val="231F20"/>
          <w:spacing w:val="-13"/>
          <w:sz w:val="24"/>
          <w:vertAlign w:val="baseline"/>
        </w:rPr>
        <w:t> </w:t>
      </w:r>
      <w:r>
        <w:rPr>
          <w:i/>
          <w:color w:val="231F20"/>
          <w:spacing w:val="-2"/>
          <w:sz w:val="24"/>
          <w:vertAlign w:val="baseline"/>
        </w:rPr>
        <w:t>suite</w:t>
      </w:r>
      <w:r>
        <w:rPr>
          <w:i/>
          <w:color w:val="231F20"/>
          <w:spacing w:val="-13"/>
          <w:sz w:val="24"/>
          <w:vertAlign w:val="baseline"/>
        </w:rPr>
        <w:t> </w:t>
      </w:r>
      <w:r>
        <w:rPr>
          <w:i/>
          <w:color w:val="231F20"/>
          <w:spacing w:val="-2"/>
          <w:sz w:val="24"/>
          <w:vertAlign w:val="baseline"/>
        </w:rPr>
        <w:t>avoir</w:t>
      </w:r>
      <w:r>
        <w:rPr>
          <w:i/>
          <w:color w:val="231F20"/>
          <w:spacing w:val="-13"/>
          <w:sz w:val="24"/>
          <w:vertAlign w:val="baseline"/>
        </w:rPr>
        <w:t> </w:t>
      </w:r>
      <w:r>
        <w:rPr>
          <w:i/>
          <w:color w:val="231F20"/>
          <w:spacing w:val="-2"/>
          <w:sz w:val="24"/>
          <w:vertAlign w:val="baseline"/>
        </w:rPr>
        <w:t>frappé</w:t>
      </w:r>
      <w:r>
        <w:rPr>
          <w:i/>
          <w:color w:val="231F20"/>
          <w:spacing w:val="-13"/>
          <w:sz w:val="24"/>
          <w:vertAlign w:val="baseline"/>
        </w:rPr>
        <w:t> </w:t>
      </w:r>
      <w:r>
        <w:rPr>
          <w:i/>
          <w:color w:val="231F20"/>
          <w:spacing w:val="-2"/>
          <w:sz w:val="24"/>
          <w:vertAlign w:val="baseline"/>
        </w:rPr>
        <w:t>trop </w:t>
      </w:r>
      <w:r>
        <w:rPr>
          <w:i/>
          <w:color w:val="231F20"/>
          <w:sz w:val="24"/>
          <w:vertAlign w:val="baseline"/>
        </w:rPr>
        <w:t>fort »</w:t>
      </w:r>
      <w:r>
        <w:rPr>
          <w:i/>
          <w:color w:val="231F20"/>
          <w:sz w:val="24"/>
          <w:vertAlign w:val="superscript"/>
        </w:rPr>
        <w:t>242</w:t>
      </w:r>
      <w:r>
        <w:rPr>
          <w:i/>
          <w:color w:val="231F20"/>
          <w:sz w:val="24"/>
          <w:vertAlign w:val="baseline"/>
        </w:rPr>
        <w:t>.</w:t>
      </w:r>
    </w:p>
    <w:p>
      <w:pPr>
        <w:pStyle w:val="BodyText"/>
        <w:spacing w:before="121"/>
        <w:ind w:right="110" w:firstLine="283"/>
      </w:pPr>
      <w:r>
        <w:rPr>
          <w:color w:val="231F20"/>
        </w:rPr>
        <w:t>En 1965 au Gabon, Léon M'ba, qui a été imposé par la fraude, est </w:t>
      </w:r>
      <w:r>
        <w:rPr>
          <w:color w:val="231F20"/>
          <w:spacing w:val="-2"/>
        </w:rPr>
        <w:t>renversé.</w:t>
      </w:r>
      <w:r>
        <w:rPr>
          <w:color w:val="231F20"/>
          <w:spacing w:val="-15"/>
        </w:rPr>
        <w:t> </w:t>
      </w:r>
      <w:r>
        <w:rPr>
          <w:color w:val="231F20"/>
          <w:spacing w:val="-2"/>
        </w:rPr>
        <w:t>La</w:t>
      </w:r>
      <w:r>
        <w:rPr>
          <w:color w:val="231F20"/>
          <w:spacing w:val="-13"/>
        </w:rPr>
        <w:t> </w:t>
      </w:r>
      <w:r>
        <w:rPr>
          <w:color w:val="231F20"/>
          <w:spacing w:val="-2"/>
        </w:rPr>
        <w:t>France</w:t>
      </w:r>
      <w:r>
        <w:rPr>
          <w:color w:val="231F20"/>
          <w:spacing w:val="-13"/>
        </w:rPr>
        <w:t> </w:t>
      </w:r>
      <w:r>
        <w:rPr>
          <w:color w:val="231F20"/>
          <w:spacing w:val="-2"/>
        </w:rPr>
        <w:t>intervient</w:t>
      </w:r>
      <w:r>
        <w:rPr>
          <w:color w:val="231F20"/>
          <w:spacing w:val="-13"/>
        </w:rPr>
        <w:t> </w:t>
      </w:r>
      <w:r>
        <w:rPr>
          <w:color w:val="231F20"/>
          <w:spacing w:val="-2"/>
        </w:rPr>
        <w:t>militairement</w:t>
      </w:r>
      <w:r>
        <w:rPr>
          <w:color w:val="231F20"/>
          <w:spacing w:val="-13"/>
        </w:rPr>
        <w:t> </w:t>
      </w:r>
      <w:r>
        <w:rPr>
          <w:color w:val="231F20"/>
          <w:spacing w:val="-2"/>
        </w:rPr>
        <w:t>pour</w:t>
      </w:r>
      <w:r>
        <w:rPr>
          <w:color w:val="231F20"/>
          <w:spacing w:val="-13"/>
        </w:rPr>
        <w:t> </w:t>
      </w:r>
      <w:r>
        <w:rPr>
          <w:i/>
          <w:color w:val="231F20"/>
          <w:spacing w:val="-2"/>
        </w:rPr>
        <w:t>"sécuriser"</w:t>
      </w:r>
      <w:r>
        <w:rPr>
          <w:i/>
          <w:color w:val="231F20"/>
          <w:spacing w:val="-13"/>
        </w:rPr>
        <w:t> </w:t>
      </w:r>
      <w:r>
        <w:rPr>
          <w:color w:val="231F20"/>
          <w:spacing w:val="-2"/>
        </w:rPr>
        <w:t>le</w:t>
      </w:r>
      <w:r>
        <w:rPr>
          <w:color w:val="231F20"/>
          <w:spacing w:val="-13"/>
        </w:rPr>
        <w:t> </w:t>
      </w:r>
      <w:r>
        <w:rPr>
          <w:color w:val="231F20"/>
          <w:spacing w:val="-2"/>
        </w:rPr>
        <w:t>pays,</w:t>
      </w:r>
      <w:r>
        <w:rPr>
          <w:color w:val="231F20"/>
          <w:spacing w:val="-13"/>
        </w:rPr>
        <w:t> </w:t>
      </w:r>
      <w:r>
        <w:rPr>
          <w:color w:val="231F20"/>
          <w:spacing w:val="-2"/>
        </w:rPr>
        <w:t>fait </w:t>
      </w:r>
      <w:r>
        <w:rPr>
          <w:color w:val="231F20"/>
        </w:rPr>
        <w:t>abattre</w:t>
      </w:r>
      <w:r>
        <w:rPr>
          <w:color w:val="231F20"/>
          <w:spacing w:val="-8"/>
        </w:rPr>
        <w:t> </w:t>
      </w:r>
      <w:r>
        <w:rPr>
          <w:color w:val="231F20"/>
        </w:rPr>
        <w:t>les</w:t>
      </w:r>
      <w:r>
        <w:rPr>
          <w:color w:val="231F20"/>
          <w:spacing w:val="-8"/>
        </w:rPr>
        <w:t> </w:t>
      </w:r>
      <w:r>
        <w:rPr>
          <w:color w:val="231F20"/>
        </w:rPr>
        <w:t>officiers</w:t>
      </w:r>
      <w:r>
        <w:rPr>
          <w:color w:val="231F20"/>
          <w:spacing w:val="-8"/>
        </w:rPr>
        <w:t> </w:t>
      </w:r>
      <w:r>
        <w:rPr>
          <w:color w:val="231F20"/>
        </w:rPr>
        <w:t>Gabonais</w:t>
      </w:r>
      <w:r>
        <w:rPr>
          <w:color w:val="231F20"/>
          <w:spacing w:val="-9"/>
        </w:rPr>
        <w:t> </w:t>
      </w:r>
      <w:r>
        <w:rPr>
          <w:color w:val="231F20"/>
        </w:rPr>
        <w:t>putschistes</w:t>
      </w:r>
      <w:r>
        <w:rPr>
          <w:color w:val="231F20"/>
          <w:spacing w:val="-7"/>
        </w:rPr>
        <w:t> </w:t>
      </w:r>
      <w:r>
        <w:rPr>
          <w:color w:val="231F20"/>
        </w:rPr>
        <w:t>et</w:t>
      </w:r>
      <w:r>
        <w:rPr>
          <w:color w:val="231F20"/>
          <w:spacing w:val="-7"/>
        </w:rPr>
        <w:t> </w:t>
      </w:r>
      <w:r>
        <w:rPr>
          <w:color w:val="231F20"/>
        </w:rPr>
        <w:t>rétablit</w:t>
      </w:r>
      <w:r>
        <w:rPr>
          <w:color w:val="231F20"/>
          <w:spacing w:val="-10"/>
        </w:rPr>
        <w:t> </w:t>
      </w:r>
      <w:r>
        <w:rPr>
          <w:color w:val="231F20"/>
        </w:rPr>
        <w:t>Léon</w:t>
      </w:r>
      <w:r>
        <w:rPr>
          <w:color w:val="231F20"/>
          <w:spacing w:val="-7"/>
        </w:rPr>
        <w:t> </w:t>
      </w:r>
      <w:r>
        <w:rPr>
          <w:color w:val="231F20"/>
        </w:rPr>
        <w:t>M'ba.</w:t>
      </w:r>
    </w:p>
    <w:p>
      <w:pPr>
        <w:pStyle w:val="BodyText"/>
        <w:spacing w:before="241"/>
        <w:ind w:left="0"/>
        <w:jc w:val="left"/>
      </w:pPr>
    </w:p>
    <w:p>
      <w:pPr>
        <w:pStyle w:val="Heading3"/>
        <w:ind w:right="161"/>
      </w:pPr>
      <w:bookmarkStart w:name="_TOC_250009" w:id="34"/>
      <w:r>
        <w:rPr>
          <w:i/>
          <w:color w:val="231F20"/>
          <w:spacing w:val="-2"/>
        </w:rPr>
        <w:t>Au</w:t>
      </w:r>
      <w:r>
        <w:rPr>
          <w:i/>
          <w:color w:val="231F20"/>
          <w:spacing w:val="-12"/>
        </w:rPr>
        <w:t> </w:t>
      </w:r>
      <w:r>
        <w:rPr>
          <w:i/>
          <w:color w:val="231F20"/>
          <w:spacing w:val="-2"/>
        </w:rPr>
        <w:t>Zaïre,</w:t>
      </w:r>
      <w:r>
        <w:rPr>
          <w:i/>
          <w:color w:val="231F20"/>
          <w:spacing w:val="-11"/>
        </w:rPr>
        <w:t> </w:t>
      </w:r>
      <w:r>
        <w:rPr>
          <w:i/>
          <w:color w:val="231F20"/>
          <w:spacing w:val="-2"/>
        </w:rPr>
        <w:t>les</w:t>
      </w:r>
      <w:r>
        <w:rPr>
          <w:i/>
          <w:color w:val="231F20"/>
          <w:spacing w:val="-11"/>
        </w:rPr>
        <w:t> </w:t>
      </w:r>
      <w:r>
        <w:rPr>
          <w:i/>
          <w:color w:val="231F20"/>
          <w:spacing w:val="-2"/>
        </w:rPr>
        <w:t>interventions</w:t>
      </w:r>
      <w:r>
        <w:rPr>
          <w:i/>
          <w:color w:val="231F20"/>
          <w:spacing w:val="-11"/>
        </w:rPr>
        <w:t> </w:t>
      </w:r>
      <w:r>
        <w:rPr>
          <w:i/>
          <w:color w:val="231F20"/>
          <w:spacing w:val="-2"/>
        </w:rPr>
        <w:t>françaises</w:t>
      </w:r>
      <w:r>
        <w:rPr>
          <w:i/>
          <w:color w:val="231F20"/>
          <w:spacing w:val="-12"/>
        </w:rPr>
        <w:t> </w:t>
      </w:r>
      <w:r>
        <w:rPr>
          <w:i/>
          <w:color w:val="231F20"/>
          <w:spacing w:val="-2"/>
        </w:rPr>
        <w:t>sauvent</w:t>
      </w:r>
      <w:r>
        <w:rPr>
          <w:i/>
          <w:color w:val="231F20"/>
          <w:spacing w:val="-11"/>
        </w:rPr>
        <w:t> </w:t>
      </w:r>
      <w:r>
        <w:rPr>
          <w:i/>
          <w:color w:val="231F20"/>
          <w:spacing w:val="-2"/>
        </w:rPr>
        <w:t>Mobutu</w:t>
      </w:r>
      <w:r>
        <w:rPr>
          <w:i/>
          <w:color w:val="231F20"/>
          <w:spacing w:val="-11"/>
        </w:rPr>
        <w:t> </w:t>
      </w:r>
      <w:r>
        <w:rPr>
          <w:i/>
          <w:color w:val="231F20"/>
          <w:spacing w:val="-2"/>
        </w:rPr>
        <w:t>en</w:t>
      </w:r>
      <w:r>
        <w:rPr>
          <w:i/>
          <w:color w:val="231F20"/>
          <w:spacing w:val="-11"/>
        </w:rPr>
        <w:t> </w:t>
      </w:r>
      <w:r>
        <w:rPr>
          <w:i/>
          <w:color w:val="231F20"/>
          <w:spacing w:val="-2"/>
        </w:rPr>
        <w:t>1977</w:t>
      </w:r>
      <w:r>
        <w:rPr>
          <w:i/>
          <w:color w:val="231F20"/>
          <w:spacing w:val="-11"/>
        </w:rPr>
        <w:t> </w:t>
      </w:r>
      <w:r>
        <w:rPr>
          <w:i/>
          <w:color w:val="231F20"/>
          <w:spacing w:val="-2"/>
        </w:rPr>
        <w:t>et</w:t>
      </w:r>
      <w:bookmarkEnd w:id="34"/>
      <w:r>
        <w:rPr>
          <w:color w:val="231F20"/>
          <w:spacing w:val="-2"/>
        </w:rPr>
        <w:t> 1978.</w:t>
      </w:r>
    </w:p>
    <w:p>
      <w:pPr>
        <w:pStyle w:val="BodyText"/>
        <w:spacing w:before="276"/>
        <w:ind w:right="107" w:firstLine="283"/>
      </w:pPr>
      <w:r>
        <w:rPr>
          <w:color w:val="231F20"/>
        </w:rPr>
        <w:t>Depuis</w:t>
      </w:r>
      <w:r>
        <w:rPr>
          <w:color w:val="231F20"/>
          <w:spacing w:val="-13"/>
        </w:rPr>
        <w:t> </w:t>
      </w:r>
      <w:r>
        <w:rPr>
          <w:color w:val="231F20"/>
        </w:rPr>
        <w:t>les</w:t>
      </w:r>
      <w:r>
        <w:rPr>
          <w:color w:val="231F20"/>
          <w:spacing w:val="-13"/>
        </w:rPr>
        <w:t> </w:t>
      </w:r>
      <w:r>
        <w:rPr>
          <w:color w:val="231F20"/>
        </w:rPr>
        <w:t>années</w:t>
      </w:r>
      <w:r>
        <w:rPr>
          <w:color w:val="231F20"/>
          <w:spacing w:val="-13"/>
        </w:rPr>
        <w:t> </w:t>
      </w:r>
      <w:r>
        <w:rPr>
          <w:color w:val="231F20"/>
        </w:rPr>
        <w:t>1990,</w:t>
      </w:r>
      <w:r>
        <w:rPr>
          <w:color w:val="231F20"/>
          <w:spacing w:val="-15"/>
        </w:rPr>
        <w:t> </w:t>
      </w:r>
      <w:r>
        <w:rPr>
          <w:color w:val="231F20"/>
        </w:rPr>
        <w:t>pour</w:t>
      </w:r>
      <w:r>
        <w:rPr>
          <w:color w:val="231F20"/>
          <w:spacing w:val="-13"/>
        </w:rPr>
        <w:t> </w:t>
      </w:r>
      <w:r>
        <w:rPr>
          <w:color w:val="231F20"/>
        </w:rPr>
        <w:t>donner</w:t>
      </w:r>
      <w:r>
        <w:rPr>
          <w:color w:val="231F20"/>
          <w:spacing w:val="-13"/>
        </w:rPr>
        <w:t> </w:t>
      </w:r>
      <w:r>
        <w:rPr>
          <w:color w:val="231F20"/>
        </w:rPr>
        <w:t>une</w:t>
      </w:r>
      <w:r>
        <w:rPr>
          <w:color w:val="231F20"/>
          <w:spacing w:val="-13"/>
        </w:rPr>
        <w:t> </w:t>
      </w:r>
      <w:r>
        <w:rPr>
          <w:color w:val="231F20"/>
        </w:rPr>
        <w:t>plus</w:t>
      </w:r>
      <w:r>
        <w:rPr>
          <w:color w:val="231F20"/>
          <w:spacing w:val="-13"/>
        </w:rPr>
        <w:t> </w:t>
      </w:r>
      <w:r>
        <w:rPr>
          <w:color w:val="231F20"/>
        </w:rPr>
        <w:t>grande</w:t>
      </w:r>
      <w:r>
        <w:rPr>
          <w:color w:val="231F20"/>
          <w:spacing w:val="-11"/>
        </w:rPr>
        <w:t> </w:t>
      </w:r>
      <w:r>
        <w:rPr>
          <w:color w:val="231F20"/>
        </w:rPr>
        <w:t>légitimité</w:t>
      </w:r>
      <w:r>
        <w:rPr>
          <w:color w:val="231F20"/>
          <w:spacing w:val="-15"/>
        </w:rPr>
        <w:t> </w:t>
      </w:r>
      <w:r>
        <w:rPr>
          <w:color w:val="231F20"/>
        </w:rPr>
        <w:t>à</w:t>
      </w:r>
      <w:r>
        <w:rPr>
          <w:color w:val="231F20"/>
          <w:spacing w:val="-11"/>
        </w:rPr>
        <w:t> </w:t>
      </w:r>
      <w:r>
        <w:rPr>
          <w:color w:val="231F20"/>
        </w:rPr>
        <w:t>ses interventions</w:t>
      </w:r>
      <w:r>
        <w:rPr>
          <w:color w:val="231F20"/>
          <w:spacing w:val="-15"/>
        </w:rPr>
        <w:t> </w:t>
      </w:r>
      <w:r>
        <w:rPr>
          <w:color w:val="231F20"/>
        </w:rPr>
        <w:t>dans</w:t>
      </w:r>
      <w:r>
        <w:rPr>
          <w:color w:val="231F20"/>
          <w:spacing w:val="-15"/>
        </w:rPr>
        <w:t> </w:t>
      </w:r>
      <w:r>
        <w:rPr>
          <w:color w:val="231F20"/>
        </w:rPr>
        <w:t>ses</w:t>
      </w:r>
      <w:r>
        <w:rPr>
          <w:color w:val="231F20"/>
          <w:spacing w:val="-15"/>
        </w:rPr>
        <w:t> </w:t>
      </w:r>
      <w:r>
        <w:rPr>
          <w:color w:val="231F20"/>
        </w:rPr>
        <w:t>anciennes</w:t>
      </w:r>
      <w:r>
        <w:rPr>
          <w:color w:val="231F20"/>
          <w:spacing w:val="-15"/>
        </w:rPr>
        <w:t> </w:t>
      </w:r>
      <w:r>
        <w:rPr>
          <w:color w:val="231F20"/>
        </w:rPr>
        <w:t>colonies,</w:t>
      </w:r>
      <w:r>
        <w:rPr>
          <w:color w:val="231F20"/>
          <w:spacing w:val="-15"/>
        </w:rPr>
        <w:t> </w:t>
      </w:r>
      <w:r>
        <w:rPr>
          <w:color w:val="231F20"/>
        </w:rPr>
        <w:t>la</w:t>
      </w:r>
      <w:r>
        <w:rPr>
          <w:color w:val="231F20"/>
          <w:spacing w:val="-15"/>
        </w:rPr>
        <w:t> </w:t>
      </w:r>
      <w:r>
        <w:rPr>
          <w:color w:val="231F20"/>
        </w:rPr>
        <w:t>France</w:t>
      </w:r>
      <w:r>
        <w:rPr>
          <w:color w:val="231F20"/>
          <w:spacing w:val="-15"/>
        </w:rPr>
        <w:t> </w:t>
      </w:r>
      <w:r>
        <w:rPr>
          <w:color w:val="231F20"/>
        </w:rPr>
        <w:t>s’appuie</w:t>
      </w:r>
      <w:r>
        <w:rPr>
          <w:color w:val="231F20"/>
          <w:spacing w:val="-15"/>
        </w:rPr>
        <w:t> </w:t>
      </w:r>
      <w:r>
        <w:rPr>
          <w:color w:val="231F20"/>
        </w:rPr>
        <w:t>sur</w:t>
      </w:r>
      <w:r>
        <w:rPr>
          <w:color w:val="231F20"/>
          <w:spacing w:val="-15"/>
        </w:rPr>
        <w:t> </w:t>
      </w:r>
      <w:r>
        <w:rPr>
          <w:color w:val="231F20"/>
        </w:rPr>
        <w:t>l’ONU ou</w:t>
      </w:r>
      <w:r>
        <w:rPr>
          <w:color w:val="231F20"/>
          <w:spacing w:val="-12"/>
        </w:rPr>
        <w:t> </w:t>
      </w:r>
      <w:r>
        <w:rPr>
          <w:color w:val="231F20"/>
        </w:rPr>
        <w:t>en</w:t>
      </w:r>
      <w:r>
        <w:rPr>
          <w:color w:val="231F20"/>
          <w:spacing w:val="-12"/>
        </w:rPr>
        <w:t> </w:t>
      </w:r>
      <w:r>
        <w:rPr>
          <w:color w:val="231F20"/>
        </w:rPr>
        <w:t>impliquant</w:t>
      </w:r>
      <w:r>
        <w:rPr>
          <w:color w:val="231F20"/>
          <w:spacing w:val="-12"/>
        </w:rPr>
        <w:t> </w:t>
      </w:r>
      <w:r>
        <w:rPr>
          <w:color w:val="231F20"/>
        </w:rPr>
        <w:t>d'autres</w:t>
      </w:r>
      <w:r>
        <w:rPr>
          <w:color w:val="231F20"/>
          <w:spacing w:val="-13"/>
        </w:rPr>
        <w:t> </w:t>
      </w:r>
      <w:r>
        <w:rPr>
          <w:color w:val="231F20"/>
        </w:rPr>
        <w:t>partenaires</w:t>
      </w:r>
      <w:r>
        <w:rPr>
          <w:color w:val="231F20"/>
          <w:spacing w:val="-12"/>
        </w:rPr>
        <w:t> </w:t>
      </w:r>
      <w:r>
        <w:rPr>
          <w:color w:val="231F20"/>
        </w:rPr>
        <w:t>comme</w:t>
      </w:r>
      <w:r>
        <w:rPr>
          <w:color w:val="231F20"/>
          <w:spacing w:val="-12"/>
        </w:rPr>
        <w:t> </w:t>
      </w:r>
      <w:r>
        <w:rPr>
          <w:color w:val="231F20"/>
        </w:rPr>
        <w:t>l’Union</w:t>
      </w:r>
      <w:r>
        <w:rPr>
          <w:color w:val="231F20"/>
          <w:spacing w:val="-12"/>
        </w:rPr>
        <w:t> </w:t>
      </w:r>
      <w:r>
        <w:rPr>
          <w:color w:val="231F20"/>
        </w:rPr>
        <w:t>Africaine</w:t>
      </w:r>
      <w:r>
        <w:rPr>
          <w:color w:val="231F20"/>
          <w:spacing w:val="-12"/>
        </w:rPr>
        <w:t> </w:t>
      </w:r>
      <w:r>
        <w:rPr>
          <w:color w:val="231F20"/>
        </w:rPr>
        <w:t>(UA)</w:t>
      </w:r>
      <w:r>
        <w:rPr>
          <w:color w:val="231F20"/>
          <w:spacing w:val="-12"/>
        </w:rPr>
        <w:t> </w:t>
      </w:r>
      <w:r>
        <w:rPr>
          <w:color w:val="231F20"/>
        </w:rPr>
        <w:t>et les</w:t>
      </w:r>
      <w:r>
        <w:rPr>
          <w:color w:val="231F20"/>
          <w:spacing w:val="-15"/>
        </w:rPr>
        <w:t> </w:t>
      </w:r>
      <w:r>
        <w:rPr>
          <w:color w:val="231F20"/>
        </w:rPr>
        <w:t>organisations</w:t>
      </w:r>
      <w:r>
        <w:rPr>
          <w:color w:val="231F20"/>
          <w:spacing w:val="-15"/>
        </w:rPr>
        <w:t> </w:t>
      </w:r>
      <w:r>
        <w:rPr>
          <w:color w:val="231F20"/>
        </w:rPr>
        <w:t>sous</w:t>
      </w:r>
      <w:r>
        <w:rPr>
          <w:color w:val="231F20"/>
          <w:spacing w:val="-15"/>
        </w:rPr>
        <w:t> </w:t>
      </w:r>
      <w:r>
        <w:rPr>
          <w:color w:val="231F20"/>
        </w:rPr>
        <w:t>régionales</w:t>
      </w:r>
      <w:r>
        <w:rPr>
          <w:color w:val="231F20"/>
          <w:spacing w:val="-15"/>
        </w:rPr>
        <w:t> </w:t>
      </w:r>
      <w:r>
        <w:rPr>
          <w:color w:val="231F20"/>
        </w:rPr>
        <w:t>africaines.</w:t>
      </w:r>
      <w:r>
        <w:rPr>
          <w:color w:val="231F20"/>
          <w:spacing w:val="-15"/>
        </w:rPr>
        <w:t> </w:t>
      </w:r>
      <w:r>
        <w:rPr>
          <w:color w:val="231F20"/>
        </w:rPr>
        <w:t>Les</w:t>
      </w:r>
      <w:r>
        <w:rPr>
          <w:color w:val="231F20"/>
          <w:spacing w:val="-15"/>
        </w:rPr>
        <w:t> </w:t>
      </w:r>
      <w:r>
        <w:rPr>
          <w:color w:val="231F20"/>
        </w:rPr>
        <w:t>interventions</w:t>
      </w:r>
      <w:r>
        <w:rPr>
          <w:color w:val="231F20"/>
          <w:spacing w:val="-15"/>
        </w:rPr>
        <w:t> </w:t>
      </w:r>
      <w:r>
        <w:rPr>
          <w:color w:val="231F20"/>
        </w:rPr>
        <w:t>militaires françaises en Côte d’Ivoire, en Libye, au Mali ou en Centrafrique sont présentées comme exclusivement humanitaires.</w:t>
      </w:r>
    </w:p>
    <w:p>
      <w:pPr>
        <w:pStyle w:val="BodyText"/>
        <w:spacing w:before="118"/>
        <w:ind w:right="102" w:firstLine="283"/>
      </w:pPr>
      <w:r>
        <w:rPr>
          <w:color w:val="231F20"/>
        </w:rPr>
        <w:t>Au</w:t>
      </w:r>
      <w:r>
        <w:rPr>
          <w:color w:val="231F20"/>
          <w:spacing w:val="-6"/>
        </w:rPr>
        <w:t> </w:t>
      </w:r>
      <w:r>
        <w:rPr>
          <w:color w:val="231F20"/>
        </w:rPr>
        <w:t>Rwanda,</w:t>
      </w:r>
      <w:r>
        <w:rPr>
          <w:color w:val="231F20"/>
          <w:spacing w:val="-8"/>
        </w:rPr>
        <w:t> </w:t>
      </w:r>
      <w:r>
        <w:rPr>
          <w:color w:val="231F20"/>
        </w:rPr>
        <w:t>le</w:t>
      </w:r>
      <w:r>
        <w:rPr>
          <w:color w:val="231F20"/>
          <w:spacing w:val="-6"/>
        </w:rPr>
        <w:t> </w:t>
      </w:r>
      <w:r>
        <w:rPr>
          <w:color w:val="231F20"/>
        </w:rPr>
        <w:t>génocide</w:t>
      </w:r>
      <w:r>
        <w:rPr>
          <w:color w:val="231F20"/>
          <w:spacing w:val="-8"/>
        </w:rPr>
        <w:t> </w:t>
      </w:r>
      <w:r>
        <w:rPr>
          <w:color w:val="231F20"/>
        </w:rPr>
        <w:t>de</w:t>
      </w:r>
      <w:r>
        <w:rPr>
          <w:color w:val="231F20"/>
          <w:spacing w:val="-6"/>
        </w:rPr>
        <w:t> </w:t>
      </w:r>
      <w:r>
        <w:rPr>
          <w:color w:val="231F20"/>
        </w:rPr>
        <w:t>1994</w:t>
      </w:r>
      <w:r>
        <w:rPr>
          <w:color w:val="231F20"/>
          <w:spacing w:val="-6"/>
        </w:rPr>
        <w:t> </w:t>
      </w:r>
      <w:r>
        <w:rPr>
          <w:color w:val="231F20"/>
        </w:rPr>
        <w:t>a</w:t>
      </w:r>
      <w:r>
        <w:rPr>
          <w:color w:val="231F20"/>
          <w:spacing w:val="-6"/>
        </w:rPr>
        <w:t> </w:t>
      </w:r>
      <w:r>
        <w:rPr>
          <w:color w:val="231F20"/>
        </w:rPr>
        <w:t>été</w:t>
      </w:r>
      <w:r>
        <w:rPr>
          <w:color w:val="231F20"/>
          <w:spacing w:val="-6"/>
        </w:rPr>
        <w:t> </w:t>
      </w:r>
      <w:r>
        <w:rPr>
          <w:color w:val="231F20"/>
        </w:rPr>
        <w:t>rendu</w:t>
      </w:r>
      <w:r>
        <w:rPr>
          <w:color w:val="231F20"/>
          <w:spacing w:val="-6"/>
        </w:rPr>
        <w:t> </w:t>
      </w:r>
      <w:r>
        <w:rPr>
          <w:color w:val="231F20"/>
        </w:rPr>
        <w:t>possible</w:t>
      </w:r>
      <w:r>
        <w:rPr>
          <w:color w:val="231F20"/>
          <w:spacing w:val="-6"/>
        </w:rPr>
        <w:t> </w:t>
      </w:r>
      <w:r>
        <w:rPr>
          <w:color w:val="231F20"/>
        </w:rPr>
        <w:t>par</w:t>
      </w:r>
      <w:r>
        <w:rPr>
          <w:color w:val="231F20"/>
          <w:spacing w:val="-6"/>
        </w:rPr>
        <w:t> </w:t>
      </w:r>
      <w:r>
        <w:rPr>
          <w:color w:val="231F20"/>
        </w:rPr>
        <w:t>un</w:t>
      </w:r>
      <w:r>
        <w:rPr>
          <w:color w:val="231F20"/>
          <w:spacing w:val="-6"/>
        </w:rPr>
        <w:t> </w:t>
      </w:r>
      <w:r>
        <w:rPr>
          <w:color w:val="231F20"/>
        </w:rPr>
        <w:t>soutien militaire</w:t>
      </w:r>
      <w:r>
        <w:rPr>
          <w:color w:val="231F20"/>
          <w:spacing w:val="-15"/>
        </w:rPr>
        <w:t> </w:t>
      </w:r>
      <w:r>
        <w:rPr>
          <w:color w:val="231F20"/>
        </w:rPr>
        <w:t>constant</w:t>
      </w:r>
      <w:r>
        <w:rPr>
          <w:color w:val="231F20"/>
          <w:spacing w:val="-15"/>
        </w:rPr>
        <w:t> </w:t>
      </w:r>
      <w:r>
        <w:rPr>
          <w:color w:val="231F20"/>
        </w:rPr>
        <w:t>et</w:t>
      </w:r>
      <w:r>
        <w:rPr>
          <w:color w:val="231F20"/>
          <w:spacing w:val="-15"/>
        </w:rPr>
        <w:t> </w:t>
      </w:r>
      <w:r>
        <w:rPr>
          <w:color w:val="231F20"/>
        </w:rPr>
        <w:t>inconditionnel</w:t>
      </w:r>
      <w:r>
        <w:rPr>
          <w:color w:val="231F20"/>
          <w:spacing w:val="-15"/>
        </w:rPr>
        <w:t> </w:t>
      </w:r>
      <w:r>
        <w:rPr>
          <w:color w:val="231F20"/>
        </w:rPr>
        <w:t>au</w:t>
      </w:r>
      <w:r>
        <w:rPr>
          <w:color w:val="231F20"/>
          <w:spacing w:val="-15"/>
        </w:rPr>
        <w:t> </w:t>
      </w:r>
      <w:r>
        <w:rPr>
          <w:color w:val="231F20"/>
        </w:rPr>
        <w:t>régime</w:t>
      </w:r>
      <w:r>
        <w:rPr>
          <w:color w:val="231F20"/>
          <w:spacing w:val="-15"/>
        </w:rPr>
        <w:t> </w:t>
      </w:r>
      <w:r>
        <w:rPr>
          <w:color w:val="231F20"/>
        </w:rPr>
        <w:t>de</w:t>
      </w:r>
      <w:r>
        <w:rPr>
          <w:color w:val="231F20"/>
          <w:spacing w:val="-15"/>
        </w:rPr>
        <w:t> </w:t>
      </w:r>
      <w:r>
        <w:rPr>
          <w:color w:val="231F20"/>
        </w:rPr>
        <w:t>Juvénal</w:t>
      </w:r>
      <w:r>
        <w:rPr>
          <w:color w:val="231F20"/>
          <w:spacing w:val="-15"/>
        </w:rPr>
        <w:t> </w:t>
      </w:r>
      <w:r>
        <w:rPr>
          <w:color w:val="231F20"/>
        </w:rPr>
        <w:t>Habyarimana</w:t>
      </w:r>
      <w:r>
        <w:rPr>
          <w:color w:val="231F20"/>
          <w:spacing w:val="-15"/>
        </w:rPr>
        <w:t> </w:t>
      </w:r>
      <w:r>
        <w:rPr>
          <w:color w:val="231F20"/>
        </w:rPr>
        <w:t>: en 1990</w:t>
      </w:r>
      <w:r>
        <w:rPr>
          <w:color w:val="231F20"/>
          <w:spacing w:val="-13"/>
        </w:rPr>
        <w:t> </w:t>
      </w:r>
      <w:r>
        <w:rPr>
          <w:color w:val="231F20"/>
        </w:rPr>
        <w:t>: elle était intervenue pour repousser les rebelles du Front Patriotique Rwandais (FPR), réorganiser l'Armée rwandaise et fin juin </w:t>
      </w:r>
      <w:r>
        <w:rPr>
          <w:color w:val="231F20"/>
          <w:spacing w:val="-2"/>
        </w:rPr>
        <w:t>1994</w:t>
      </w:r>
      <w:r>
        <w:rPr>
          <w:color w:val="231F20"/>
          <w:spacing w:val="-9"/>
        </w:rPr>
        <w:t> </w:t>
      </w:r>
      <w:r>
        <w:rPr>
          <w:color w:val="231F20"/>
          <w:spacing w:val="-2"/>
        </w:rPr>
        <w:t>revenir</w:t>
      </w:r>
      <w:r>
        <w:rPr>
          <w:color w:val="231F20"/>
          <w:spacing w:val="-10"/>
        </w:rPr>
        <w:t> </w:t>
      </w:r>
      <w:r>
        <w:rPr>
          <w:color w:val="231F20"/>
          <w:spacing w:val="-2"/>
        </w:rPr>
        <w:t>en</w:t>
      </w:r>
      <w:r>
        <w:rPr>
          <w:color w:val="231F20"/>
          <w:spacing w:val="-9"/>
        </w:rPr>
        <w:t> </w:t>
      </w:r>
      <w:r>
        <w:rPr>
          <w:color w:val="231F20"/>
          <w:spacing w:val="-2"/>
        </w:rPr>
        <w:t>tant</w:t>
      </w:r>
      <w:r>
        <w:rPr>
          <w:color w:val="231F20"/>
          <w:spacing w:val="-8"/>
        </w:rPr>
        <w:t> </w:t>
      </w:r>
      <w:r>
        <w:rPr>
          <w:color w:val="231F20"/>
          <w:spacing w:val="-2"/>
        </w:rPr>
        <w:t>que</w:t>
      </w:r>
      <w:r>
        <w:rPr>
          <w:color w:val="231F20"/>
          <w:spacing w:val="-7"/>
        </w:rPr>
        <w:t> </w:t>
      </w:r>
      <w:r>
        <w:rPr>
          <w:color w:val="231F20"/>
          <w:spacing w:val="-2"/>
        </w:rPr>
        <w:t>force</w:t>
      </w:r>
      <w:r>
        <w:rPr>
          <w:color w:val="231F20"/>
          <w:spacing w:val="-7"/>
        </w:rPr>
        <w:t> </w:t>
      </w:r>
      <w:r>
        <w:rPr>
          <w:color w:val="231F20"/>
          <w:spacing w:val="-2"/>
        </w:rPr>
        <w:t>"Turquoise"</w:t>
      </w:r>
      <w:r>
        <w:rPr>
          <w:color w:val="231F20"/>
          <w:spacing w:val="-9"/>
        </w:rPr>
        <w:t> </w:t>
      </w:r>
      <w:r>
        <w:rPr>
          <w:color w:val="231F20"/>
          <w:spacing w:val="-2"/>
        </w:rPr>
        <w:t>dans</w:t>
      </w:r>
      <w:r>
        <w:rPr>
          <w:color w:val="231F20"/>
          <w:spacing w:val="-9"/>
        </w:rPr>
        <w:t> </w:t>
      </w:r>
      <w:r>
        <w:rPr>
          <w:color w:val="231F20"/>
          <w:spacing w:val="-2"/>
        </w:rPr>
        <w:t>les</w:t>
      </w:r>
      <w:r>
        <w:rPr>
          <w:color w:val="231F20"/>
          <w:spacing w:val="-9"/>
        </w:rPr>
        <w:t> </w:t>
      </w:r>
      <w:r>
        <w:rPr>
          <w:color w:val="231F20"/>
          <w:spacing w:val="-2"/>
        </w:rPr>
        <w:t>habits</w:t>
      </w:r>
      <w:r>
        <w:rPr>
          <w:color w:val="231F20"/>
          <w:spacing w:val="-9"/>
        </w:rPr>
        <w:t> </w:t>
      </w:r>
      <w:r>
        <w:rPr>
          <w:color w:val="231F20"/>
          <w:spacing w:val="-2"/>
        </w:rPr>
        <w:t>d’humanitaire </w:t>
      </w:r>
      <w:r>
        <w:rPr>
          <w:color w:val="231F20"/>
        </w:rPr>
        <w:t>sauver les génocidaires défaits militairement.</w:t>
      </w:r>
    </w:p>
    <w:p>
      <w:pPr>
        <w:pStyle w:val="BodyText"/>
        <w:spacing w:before="120"/>
        <w:ind w:right="108" w:firstLine="283"/>
      </w:pPr>
      <w:r>
        <w:rPr>
          <w:color w:val="231F20"/>
        </w:rPr>
        <w:t>En 1998-1999 au Congo-Brazzaville, les forces spéciales et les services</w:t>
      </w:r>
      <w:r>
        <w:rPr>
          <w:color w:val="231F20"/>
          <w:spacing w:val="-8"/>
        </w:rPr>
        <w:t> </w:t>
      </w:r>
      <w:r>
        <w:rPr>
          <w:color w:val="231F20"/>
        </w:rPr>
        <w:t>secrets</w:t>
      </w:r>
      <w:r>
        <w:rPr>
          <w:color w:val="231F20"/>
          <w:spacing w:val="-8"/>
        </w:rPr>
        <w:t> </w:t>
      </w:r>
      <w:r>
        <w:rPr>
          <w:color w:val="231F20"/>
        </w:rPr>
        <w:t>français</w:t>
      </w:r>
      <w:r>
        <w:rPr>
          <w:color w:val="231F20"/>
          <w:spacing w:val="-9"/>
        </w:rPr>
        <w:t> </w:t>
      </w:r>
      <w:r>
        <w:rPr>
          <w:color w:val="231F20"/>
        </w:rPr>
        <w:t>volent</w:t>
      </w:r>
      <w:r>
        <w:rPr>
          <w:color w:val="231F20"/>
          <w:spacing w:val="-7"/>
        </w:rPr>
        <w:t> </w:t>
      </w:r>
      <w:r>
        <w:rPr>
          <w:color w:val="231F20"/>
        </w:rPr>
        <w:t>au</w:t>
      </w:r>
      <w:r>
        <w:rPr>
          <w:color w:val="231F20"/>
          <w:spacing w:val="-8"/>
        </w:rPr>
        <w:t> </w:t>
      </w:r>
      <w:r>
        <w:rPr>
          <w:color w:val="231F20"/>
        </w:rPr>
        <w:t>secours</w:t>
      </w:r>
      <w:r>
        <w:rPr>
          <w:color w:val="231F20"/>
          <w:spacing w:val="-8"/>
        </w:rPr>
        <w:t> </w:t>
      </w:r>
      <w:r>
        <w:rPr>
          <w:color w:val="231F20"/>
        </w:rPr>
        <w:t>de</w:t>
      </w:r>
      <w:r>
        <w:rPr>
          <w:color w:val="231F20"/>
          <w:spacing w:val="-8"/>
        </w:rPr>
        <w:t> </w:t>
      </w:r>
      <w:r>
        <w:rPr>
          <w:color w:val="231F20"/>
        </w:rPr>
        <w:t>Denis</w:t>
      </w:r>
      <w:r>
        <w:rPr>
          <w:color w:val="231F20"/>
          <w:spacing w:val="-9"/>
        </w:rPr>
        <w:t> </w:t>
      </w:r>
      <w:r>
        <w:rPr>
          <w:color w:val="231F20"/>
        </w:rPr>
        <w:t>Sassou</w:t>
      </w:r>
      <w:r>
        <w:rPr>
          <w:color w:val="231F20"/>
          <w:spacing w:val="-8"/>
        </w:rPr>
        <w:t> </w:t>
      </w:r>
      <w:r>
        <w:rPr>
          <w:color w:val="231F20"/>
        </w:rPr>
        <w:t>Nguesso,</w:t>
      </w:r>
      <w:r>
        <w:rPr>
          <w:color w:val="231F20"/>
          <w:spacing w:val="-9"/>
        </w:rPr>
        <w:t> </w:t>
      </w:r>
      <w:r>
        <w:rPr>
          <w:color w:val="231F20"/>
        </w:rPr>
        <w:t>et l'aident à reprendre le pouvoir.</w:t>
      </w:r>
    </w:p>
    <w:p>
      <w:pPr>
        <w:pStyle w:val="BodyText"/>
        <w:ind w:left="0"/>
        <w:jc w:val="left"/>
        <w:rPr>
          <w:sz w:val="20"/>
        </w:rPr>
      </w:pPr>
    </w:p>
    <w:p>
      <w:pPr>
        <w:pStyle w:val="BodyText"/>
        <w:spacing w:before="173"/>
        <w:ind w:left="0"/>
        <w:jc w:val="left"/>
        <w:rPr>
          <w:sz w:val="20"/>
        </w:rPr>
      </w:pPr>
      <w:r>
        <w:rPr/>
        <mc:AlternateContent>
          <mc:Choice Requires="wps">
            <w:drawing>
              <wp:anchor distT="0" distB="0" distL="0" distR="0" allowOverlap="1" layoutInCell="1" locked="0" behindDoc="1" simplePos="0" relativeHeight="487662080">
                <wp:simplePos x="0" y="0"/>
                <wp:positionH relativeFrom="page">
                  <wp:posOffset>629907</wp:posOffset>
                </wp:positionH>
                <wp:positionV relativeFrom="paragraph">
                  <wp:posOffset>271455</wp:posOffset>
                </wp:positionV>
                <wp:extent cx="1829435" cy="9525"/>
                <wp:effectExtent l="0" t="0" r="0" b="0"/>
                <wp:wrapTopAndBottom/>
                <wp:docPr id="177" name="Graphic 177"/>
                <wp:cNvGraphicFramePr>
                  <a:graphicFrameLocks/>
                </wp:cNvGraphicFramePr>
                <a:graphic>
                  <a:graphicData uri="http://schemas.microsoft.com/office/word/2010/wordprocessingShape">
                    <wps:wsp>
                      <wps:cNvPr id="177" name="Graphic 177"/>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1.374474pt;width:144.020pt;height:.71994pt;mso-position-horizontal-relative:page;mso-position-vertical-relative:paragraph;z-index:-15654400;mso-wrap-distance-left:0;mso-wrap-distance-right:0" id="docshape175" filled="true" fillcolor="#231f20" stroked="false">
                <v:fill type="solid"/>
                <w10:wrap type="topAndBottom"/>
              </v:rect>
            </w:pict>
          </mc:Fallback>
        </mc:AlternateContent>
      </w:r>
    </w:p>
    <w:p>
      <w:pPr>
        <w:spacing w:before="91"/>
        <w:ind w:left="111" w:right="0" w:firstLine="0"/>
        <w:jc w:val="left"/>
        <w:rPr>
          <w:sz w:val="20"/>
        </w:rPr>
      </w:pPr>
      <w:r>
        <w:rPr>
          <w:color w:val="76787A"/>
          <w:spacing w:val="-4"/>
          <w:sz w:val="20"/>
          <w:vertAlign w:val="superscript"/>
        </w:rPr>
        <w:t>241</w:t>
      </w:r>
      <w:r>
        <w:rPr>
          <w:color w:val="76787A"/>
          <w:spacing w:val="1"/>
          <w:sz w:val="20"/>
          <w:vertAlign w:val="baseline"/>
        </w:rPr>
        <w:t> </w:t>
      </w:r>
      <w:r>
        <w:rPr>
          <w:color w:val="231F20"/>
          <w:spacing w:val="-4"/>
          <w:sz w:val="20"/>
          <w:vertAlign w:val="baseline"/>
        </w:rPr>
        <w:t>OK</w:t>
      </w:r>
      <w:r>
        <w:rPr>
          <w:color w:val="231F20"/>
          <w:spacing w:val="-1"/>
          <w:sz w:val="20"/>
          <w:vertAlign w:val="baseline"/>
        </w:rPr>
        <w:t> </w:t>
      </w:r>
      <w:r>
        <w:rPr>
          <w:color w:val="231F20"/>
          <w:spacing w:val="-4"/>
          <w:sz w:val="20"/>
          <w:vertAlign w:val="baseline"/>
        </w:rPr>
        <w:t>Cargo,</w:t>
      </w:r>
      <w:r>
        <w:rPr>
          <w:color w:val="231F20"/>
          <w:spacing w:val="-3"/>
          <w:sz w:val="20"/>
          <w:vertAlign w:val="baseline"/>
        </w:rPr>
        <w:t> </w:t>
      </w:r>
      <w:r>
        <w:rPr>
          <w:color w:val="231F20"/>
          <w:spacing w:val="-4"/>
          <w:sz w:val="20"/>
          <w:vertAlign w:val="baseline"/>
        </w:rPr>
        <w:t>de</w:t>
      </w:r>
      <w:r>
        <w:rPr>
          <w:color w:val="231F20"/>
          <w:spacing w:val="-3"/>
          <w:sz w:val="20"/>
          <w:vertAlign w:val="baseline"/>
        </w:rPr>
        <w:t> </w:t>
      </w:r>
      <w:r>
        <w:rPr>
          <w:color w:val="231F20"/>
          <w:spacing w:val="-4"/>
          <w:sz w:val="20"/>
          <w:vertAlign w:val="baseline"/>
        </w:rPr>
        <w:t>Max</w:t>
      </w:r>
      <w:r>
        <w:rPr>
          <w:color w:val="231F20"/>
          <w:sz w:val="20"/>
          <w:vertAlign w:val="baseline"/>
        </w:rPr>
        <w:t> </w:t>
      </w:r>
      <w:r>
        <w:rPr>
          <w:color w:val="231F20"/>
          <w:spacing w:val="-4"/>
          <w:sz w:val="20"/>
          <w:vertAlign w:val="baseline"/>
        </w:rPr>
        <w:t>Bardet et</w:t>
      </w:r>
      <w:r>
        <w:rPr>
          <w:color w:val="231F20"/>
          <w:spacing w:val="-7"/>
          <w:sz w:val="20"/>
          <w:vertAlign w:val="baseline"/>
        </w:rPr>
        <w:t> </w:t>
      </w:r>
      <w:r>
        <w:rPr>
          <w:color w:val="231F20"/>
          <w:spacing w:val="-4"/>
          <w:sz w:val="20"/>
          <w:vertAlign w:val="baseline"/>
        </w:rPr>
        <w:t>Nina</w:t>
      </w:r>
      <w:r>
        <w:rPr>
          <w:color w:val="231F20"/>
          <w:spacing w:val="-3"/>
          <w:sz w:val="20"/>
          <w:vertAlign w:val="baseline"/>
        </w:rPr>
        <w:t> </w:t>
      </w:r>
      <w:r>
        <w:rPr>
          <w:color w:val="231F20"/>
          <w:spacing w:val="-4"/>
          <w:sz w:val="20"/>
          <w:vertAlign w:val="baseline"/>
        </w:rPr>
        <w:t>Thellier,</w:t>
      </w:r>
      <w:r>
        <w:rPr>
          <w:color w:val="231F20"/>
          <w:spacing w:val="-3"/>
          <w:sz w:val="20"/>
          <w:vertAlign w:val="baseline"/>
        </w:rPr>
        <w:t> </w:t>
      </w:r>
      <w:r>
        <w:rPr>
          <w:color w:val="231F20"/>
          <w:spacing w:val="-4"/>
          <w:sz w:val="20"/>
          <w:vertAlign w:val="baseline"/>
        </w:rPr>
        <w:t>(Grasset,</w:t>
      </w:r>
      <w:r>
        <w:rPr>
          <w:color w:val="231F20"/>
          <w:spacing w:val="-3"/>
          <w:sz w:val="20"/>
          <w:vertAlign w:val="baseline"/>
        </w:rPr>
        <w:t> </w:t>
      </w:r>
      <w:r>
        <w:rPr>
          <w:color w:val="231F20"/>
          <w:spacing w:val="-4"/>
          <w:sz w:val="20"/>
          <w:vertAlign w:val="baseline"/>
        </w:rPr>
        <w:t>1988).</w:t>
      </w:r>
    </w:p>
    <w:p>
      <w:pPr>
        <w:spacing w:before="1"/>
        <w:ind w:left="111" w:right="0" w:firstLine="0"/>
        <w:jc w:val="left"/>
        <w:rPr>
          <w:i/>
          <w:sz w:val="20"/>
        </w:rPr>
      </w:pPr>
      <w:r>
        <w:rPr>
          <w:i/>
          <w:color w:val="636466"/>
          <w:sz w:val="20"/>
          <w:vertAlign w:val="superscript"/>
        </w:rPr>
        <w:t>242</w:t>
      </w:r>
      <w:r>
        <w:rPr>
          <w:i/>
          <w:color w:val="636466"/>
          <w:spacing w:val="-13"/>
          <w:sz w:val="20"/>
          <w:vertAlign w:val="baseline"/>
        </w:rPr>
        <w:t> </w:t>
      </w:r>
      <w:r>
        <w:rPr>
          <w:i/>
          <w:color w:val="636466"/>
          <w:sz w:val="20"/>
          <w:vertAlign w:val="baseline"/>
        </w:rPr>
        <w:t>Mongo</w:t>
      </w:r>
      <w:r>
        <w:rPr>
          <w:i/>
          <w:color w:val="636466"/>
          <w:spacing w:val="-11"/>
          <w:sz w:val="20"/>
          <w:vertAlign w:val="baseline"/>
        </w:rPr>
        <w:t> </w:t>
      </w:r>
      <w:r>
        <w:rPr>
          <w:i/>
          <w:color w:val="636466"/>
          <w:sz w:val="20"/>
          <w:vertAlign w:val="baseline"/>
        </w:rPr>
        <w:t>Beti,</w:t>
      </w:r>
      <w:r>
        <w:rPr>
          <w:i/>
          <w:color w:val="636466"/>
          <w:spacing w:val="-12"/>
          <w:sz w:val="20"/>
          <w:vertAlign w:val="baseline"/>
        </w:rPr>
        <w:t> </w:t>
      </w:r>
      <w:r>
        <w:rPr>
          <w:i/>
          <w:color w:val="636466"/>
          <w:sz w:val="20"/>
          <w:vertAlign w:val="baseline"/>
        </w:rPr>
        <w:t>Le</w:t>
      </w:r>
      <w:r>
        <w:rPr>
          <w:i/>
          <w:color w:val="636466"/>
          <w:spacing w:val="-12"/>
          <w:sz w:val="20"/>
          <w:vertAlign w:val="baseline"/>
        </w:rPr>
        <w:t> </w:t>
      </w:r>
      <w:r>
        <w:rPr>
          <w:i/>
          <w:color w:val="636466"/>
          <w:sz w:val="20"/>
          <w:vertAlign w:val="baseline"/>
        </w:rPr>
        <w:t>Cameroun</w:t>
      </w:r>
      <w:r>
        <w:rPr>
          <w:i/>
          <w:color w:val="636466"/>
          <w:spacing w:val="-10"/>
          <w:sz w:val="20"/>
          <w:vertAlign w:val="baseline"/>
        </w:rPr>
        <w:t> </w:t>
      </w:r>
      <w:r>
        <w:rPr>
          <w:i/>
          <w:color w:val="636466"/>
          <w:sz w:val="20"/>
          <w:vertAlign w:val="baseline"/>
        </w:rPr>
        <w:t>d'Ahidjo,</w:t>
      </w:r>
      <w:r>
        <w:rPr>
          <w:i/>
          <w:color w:val="636466"/>
          <w:spacing w:val="-9"/>
          <w:sz w:val="20"/>
          <w:vertAlign w:val="baseline"/>
        </w:rPr>
        <w:t> </w:t>
      </w:r>
      <w:r>
        <w:rPr>
          <w:i/>
          <w:color w:val="636466"/>
          <w:sz w:val="20"/>
          <w:vertAlign w:val="baseline"/>
        </w:rPr>
        <w:t>Les</w:t>
      </w:r>
      <w:r>
        <w:rPr>
          <w:i/>
          <w:color w:val="636466"/>
          <w:spacing w:val="-12"/>
          <w:sz w:val="20"/>
          <w:vertAlign w:val="baseline"/>
        </w:rPr>
        <w:t> </w:t>
      </w:r>
      <w:r>
        <w:rPr>
          <w:i/>
          <w:color w:val="636466"/>
          <w:sz w:val="20"/>
          <w:vertAlign w:val="baseline"/>
        </w:rPr>
        <w:t>Temps</w:t>
      </w:r>
      <w:r>
        <w:rPr>
          <w:i/>
          <w:color w:val="636466"/>
          <w:spacing w:val="-11"/>
          <w:sz w:val="20"/>
          <w:vertAlign w:val="baseline"/>
        </w:rPr>
        <w:t> </w:t>
      </w:r>
      <w:r>
        <w:rPr>
          <w:i/>
          <w:color w:val="636466"/>
          <w:sz w:val="20"/>
          <w:vertAlign w:val="baseline"/>
        </w:rPr>
        <w:t>Modernes,</w:t>
      </w:r>
      <w:r>
        <w:rPr>
          <w:i/>
          <w:color w:val="636466"/>
          <w:spacing w:val="-13"/>
          <w:sz w:val="20"/>
          <w:vertAlign w:val="baseline"/>
        </w:rPr>
        <w:t> </w:t>
      </w:r>
      <w:r>
        <w:rPr>
          <w:i/>
          <w:color w:val="636466"/>
          <w:sz w:val="20"/>
          <w:vertAlign w:val="baseline"/>
        </w:rPr>
        <w:t>novembre</w:t>
      </w:r>
      <w:r>
        <w:rPr>
          <w:i/>
          <w:color w:val="636466"/>
          <w:spacing w:val="-12"/>
          <w:sz w:val="20"/>
          <w:vertAlign w:val="baseline"/>
        </w:rPr>
        <w:t> </w:t>
      </w:r>
      <w:r>
        <w:rPr>
          <w:i/>
          <w:color w:val="636466"/>
          <w:sz w:val="20"/>
          <w:vertAlign w:val="baseline"/>
        </w:rPr>
        <w:t>1972,</w:t>
      </w:r>
      <w:r>
        <w:rPr>
          <w:i/>
          <w:color w:val="636466"/>
          <w:spacing w:val="-11"/>
          <w:sz w:val="20"/>
          <w:vertAlign w:val="baseline"/>
        </w:rPr>
        <w:t> </w:t>
      </w:r>
      <w:r>
        <w:rPr>
          <w:i/>
          <w:color w:val="636466"/>
          <w:sz w:val="20"/>
          <w:vertAlign w:val="baseline"/>
        </w:rPr>
        <w:t>n°316;</w:t>
      </w:r>
      <w:r>
        <w:rPr>
          <w:i/>
          <w:color w:val="636466"/>
          <w:sz w:val="20"/>
          <w:vertAlign w:val="baseline"/>
        </w:rPr>
        <w:t> Mongo</w:t>
      </w:r>
      <w:r>
        <w:rPr>
          <w:i/>
          <w:color w:val="636466"/>
          <w:spacing w:val="-8"/>
          <w:sz w:val="20"/>
          <w:vertAlign w:val="baseline"/>
        </w:rPr>
        <w:t> </w:t>
      </w:r>
      <w:r>
        <w:rPr>
          <w:i/>
          <w:color w:val="636466"/>
          <w:sz w:val="20"/>
          <w:vertAlign w:val="baseline"/>
        </w:rPr>
        <w:t>Beti,</w:t>
      </w:r>
      <w:r>
        <w:rPr>
          <w:i/>
          <w:color w:val="636466"/>
          <w:spacing w:val="-6"/>
          <w:sz w:val="20"/>
          <w:vertAlign w:val="baseline"/>
        </w:rPr>
        <w:t> </w:t>
      </w:r>
      <w:r>
        <w:rPr>
          <w:i/>
          <w:color w:val="636466"/>
          <w:sz w:val="20"/>
          <w:vertAlign w:val="baseline"/>
        </w:rPr>
        <w:t>Main</w:t>
      </w:r>
      <w:r>
        <w:rPr>
          <w:i/>
          <w:color w:val="636466"/>
          <w:spacing w:val="-8"/>
          <w:sz w:val="20"/>
          <w:vertAlign w:val="baseline"/>
        </w:rPr>
        <w:t> </w:t>
      </w:r>
      <w:r>
        <w:rPr>
          <w:i/>
          <w:color w:val="636466"/>
          <w:sz w:val="20"/>
          <w:vertAlign w:val="baseline"/>
        </w:rPr>
        <w:t>basse</w:t>
      </w:r>
      <w:r>
        <w:rPr>
          <w:i/>
          <w:color w:val="636466"/>
          <w:spacing w:val="-6"/>
          <w:sz w:val="20"/>
          <w:vertAlign w:val="baseline"/>
        </w:rPr>
        <w:t> </w:t>
      </w:r>
      <w:r>
        <w:rPr>
          <w:i/>
          <w:color w:val="636466"/>
          <w:sz w:val="20"/>
          <w:vertAlign w:val="baseline"/>
        </w:rPr>
        <w:t>sur</w:t>
      </w:r>
      <w:r>
        <w:rPr>
          <w:i/>
          <w:color w:val="636466"/>
          <w:spacing w:val="-8"/>
          <w:sz w:val="20"/>
          <w:vertAlign w:val="baseline"/>
        </w:rPr>
        <w:t> </w:t>
      </w:r>
      <w:r>
        <w:rPr>
          <w:i/>
          <w:color w:val="636466"/>
          <w:sz w:val="20"/>
          <w:vertAlign w:val="baseline"/>
        </w:rPr>
        <w:t>le</w:t>
      </w:r>
      <w:r>
        <w:rPr>
          <w:i/>
          <w:color w:val="636466"/>
          <w:spacing w:val="-11"/>
          <w:sz w:val="20"/>
          <w:vertAlign w:val="baseline"/>
        </w:rPr>
        <w:t> </w:t>
      </w:r>
      <w:r>
        <w:rPr>
          <w:i/>
          <w:color w:val="636466"/>
          <w:sz w:val="20"/>
          <w:vertAlign w:val="baseline"/>
        </w:rPr>
        <w:t>Cameroun,</w:t>
      </w:r>
      <w:r>
        <w:rPr>
          <w:i/>
          <w:color w:val="636466"/>
          <w:spacing w:val="-6"/>
          <w:sz w:val="20"/>
          <w:vertAlign w:val="baseline"/>
        </w:rPr>
        <w:t> </w:t>
      </w:r>
      <w:r>
        <w:rPr>
          <w:i/>
          <w:color w:val="636466"/>
          <w:sz w:val="20"/>
          <w:vertAlign w:val="baseline"/>
        </w:rPr>
        <w:t>édition</w:t>
      </w:r>
      <w:r>
        <w:rPr>
          <w:i/>
          <w:color w:val="636466"/>
          <w:spacing w:val="-8"/>
          <w:sz w:val="20"/>
          <w:vertAlign w:val="baseline"/>
        </w:rPr>
        <w:t> </w:t>
      </w:r>
      <w:r>
        <w:rPr>
          <w:i/>
          <w:color w:val="636466"/>
          <w:sz w:val="20"/>
          <w:vertAlign w:val="baseline"/>
        </w:rPr>
        <w:t>des</w:t>
      </w:r>
      <w:r>
        <w:rPr>
          <w:i/>
          <w:color w:val="636466"/>
          <w:spacing w:val="-10"/>
          <w:sz w:val="20"/>
          <w:vertAlign w:val="baseline"/>
        </w:rPr>
        <w:t> </w:t>
      </w:r>
      <w:r>
        <w:rPr>
          <w:i/>
          <w:color w:val="636466"/>
          <w:sz w:val="20"/>
          <w:vertAlign w:val="baseline"/>
        </w:rPr>
        <w:t>peuples</w:t>
      </w:r>
      <w:r>
        <w:rPr>
          <w:i/>
          <w:color w:val="636466"/>
          <w:spacing w:val="-10"/>
          <w:sz w:val="20"/>
          <w:vertAlign w:val="baseline"/>
        </w:rPr>
        <w:t> </w:t>
      </w:r>
      <w:r>
        <w:rPr>
          <w:i/>
          <w:color w:val="636466"/>
          <w:sz w:val="20"/>
          <w:vertAlign w:val="baseline"/>
        </w:rPr>
        <w:t>noirs,</w:t>
      </w:r>
      <w:r>
        <w:rPr>
          <w:i/>
          <w:color w:val="636466"/>
          <w:spacing w:val="-8"/>
          <w:sz w:val="20"/>
          <w:vertAlign w:val="baseline"/>
        </w:rPr>
        <w:t> </w:t>
      </w:r>
      <w:r>
        <w:rPr>
          <w:i/>
          <w:color w:val="636466"/>
          <w:sz w:val="20"/>
          <w:vertAlign w:val="baseline"/>
        </w:rPr>
        <w:t>page</w:t>
      </w:r>
      <w:r>
        <w:rPr>
          <w:i/>
          <w:color w:val="636466"/>
          <w:spacing w:val="-9"/>
          <w:sz w:val="20"/>
          <w:vertAlign w:val="baseline"/>
        </w:rPr>
        <w:t> </w:t>
      </w:r>
      <w:r>
        <w:rPr>
          <w:i/>
          <w:color w:val="636466"/>
          <w:sz w:val="20"/>
          <w:vertAlign w:val="baseline"/>
        </w:rPr>
        <w:t>70.</w:t>
      </w:r>
    </w:p>
    <w:p>
      <w:pPr>
        <w:spacing w:after="0"/>
        <w:jc w:val="left"/>
        <w:rPr>
          <w:sz w:val="20"/>
        </w:rPr>
        <w:sectPr>
          <w:pgSz w:w="8790" w:h="13610"/>
          <w:pgMar w:header="0" w:footer="802" w:top="1060" w:bottom="1000" w:left="880" w:right="880"/>
        </w:sectPr>
      </w:pPr>
    </w:p>
    <w:p>
      <w:pPr>
        <w:spacing w:before="66"/>
        <w:ind w:left="111" w:right="103" w:firstLine="283"/>
        <w:jc w:val="both"/>
        <w:rPr>
          <w:sz w:val="24"/>
        </w:rPr>
      </w:pPr>
      <w:r>
        <w:rPr>
          <w:color w:val="231F20"/>
          <w:sz w:val="24"/>
        </w:rPr>
        <w:t>L’organisation non gouvernementale Wikileaks révèle comment la France a organisé la rébellion en Côte d’Ivoire (2002-2010) :</w:t>
      </w:r>
      <w:r>
        <w:rPr>
          <w:color w:val="231F20"/>
          <w:spacing w:val="-11"/>
          <w:sz w:val="24"/>
        </w:rPr>
        <w:t> </w:t>
      </w:r>
      <w:r>
        <w:rPr>
          <w:i/>
          <w:color w:val="231F20"/>
          <w:sz w:val="24"/>
        </w:rPr>
        <w:t>« Le</w:t>
      </w:r>
      <w:r>
        <w:rPr>
          <w:i/>
          <w:color w:val="231F20"/>
          <w:sz w:val="24"/>
        </w:rPr>
        <w:t> Gouvernement de Laurent Gbagbo s’était aperçu qu’il devait libérer </w:t>
      </w:r>
      <w:r>
        <w:rPr>
          <w:i/>
          <w:color w:val="231F20"/>
          <w:spacing w:val="-4"/>
          <w:sz w:val="24"/>
        </w:rPr>
        <w:t>l’économie</w:t>
      </w:r>
      <w:r>
        <w:rPr>
          <w:i/>
          <w:color w:val="231F20"/>
          <w:spacing w:val="-11"/>
          <w:sz w:val="24"/>
        </w:rPr>
        <w:t> </w:t>
      </w:r>
      <w:r>
        <w:rPr>
          <w:i/>
          <w:color w:val="231F20"/>
          <w:spacing w:val="-4"/>
          <w:sz w:val="24"/>
        </w:rPr>
        <w:t>ivoirienne</w:t>
      </w:r>
      <w:r>
        <w:rPr>
          <w:i/>
          <w:color w:val="231F20"/>
          <w:spacing w:val="-11"/>
          <w:sz w:val="24"/>
        </w:rPr>
        <w:t> </w:t>
      </w:r>
      <w:r>
        <w:rPr>
          <w:i/>
          <w:color w:val="231F20"/>
          <w:spacing w:val="-4"/>
          <w:sz w:val="24"/>
        </w:rPr>
        <w:t>en</w:t>
      </w:r>
      <w:r>
        <w:rPr>
          <w:i/>
          <w:color w:val="231F20"/>
          <w:spacing w:val="-11"/>
          <w:sz w:val="24"/>
        </w:rPr>
        <w:t> </w:t>
      </w:r>
      <w:r>
        <w:rPr>
          <w:i/>
          <w:color w:val="231F20"/>
          <w:spacing w:val="-4"/>
          <w:sz w:val="24"/>
        </w:rPr>
        <w:t>faisant</w:t>
      </w:r>
      <w:r>
        <w:rPr>
          <w:i/>
          <w:color w:val="231F20"/>
          <w:spacing w:val="-11"/>
          <w:sz w:val="24"/>
        </w:rPr>
        <w:t> </w:t>
      </w:r>
      <w:r>
        <w:rPr>
          <w:i/>
          <w:color w:val="231F20"/>
          <w:spacing w:val="-4"/>
          <w:sz w:val="24"/>
        </w:rPr>
        <w:t>fi</w:t>
      </w:r>
      <w:r>
        <w:rPr>
          <w:i/>
          <w:color w:val="231F20"/>
          <w:spacing w:val="-11"/>
          <w:sz w:val="24"/>
        </w:rPr>
        <w:t> </w:t>
      </w:r>
      <w:r>
        <w:rPr>
          <w:i/>
          <w:color w:val="231F20"/>
          <w:spacing w:val="-4"/>
          <w:sz w:val="24"/>
        </w:rPr>
        <w:t>de</w:t>
      </w:r>
      <w:r>
        <w:rPr>
          <w:i/>
          <w:color w:val="231F20"/>
          <w:spacing w:val="-11"/>
          <w:sz w:val="24"/>
        </w:rPr>
        <w:t> </w:t>
      </w:r>
      <w:r>
        <w:rPr>
          <w:i/>
          <w:color w:val="231F20"/>
          <w:spacing w:val="-4"/>
          <w:sz w:val="24"/>
        </w:rPr>
        <w:t>la</w:t>
      </w:r>
      <w:r>
        <w:rPr>
          <w:i/>
          <w:color w:val="231F20"/>
          <w:spacing w:val="-11"/>
          <w:sz w:val="24"/>
        </w:rPr>
        <w:t> </w:t>
      </w:r>
      <w:r>
        <w:rPr>
          <w:i/>
          <w:color w:val="231F20"/>
          <w:spacing w:val="-4"/>
          <w:sz w:val="24"/>
        </w:rPr>
        <w:t>domination</w:t>
      </w:r>
      <w:r>
        <w:rPr>
          <w:i/>
          <w:color w:val="231F20"/>
          <w:spacing w:val="-11"/>
          <w:sz w:val="24"/>
        </w:rPr>
        <w:t> </w:t>
      </w:r>
      <w:r>
        <w:rPr>
          <w:i/>
          <w:color w:val="231F20"/>
          <w:spacing w:val="-4"/>
          <w:sz w:val="24"/>
        </w:rPr>
        <w:t>française.</w:t>
      </w:r>
      <w:r>
        <w:rPr>
          <w:i/>
          <w:color w:val="231F20"/>
          <w:spacing w:val="-11"/>
          <w:sz w:val="24"/>
        </w:rPr>
        <w:t> </w:t>
      </w:r>
      <w:r>
        <w:rPr>
          <w:i/>
          <w:color w:val="231F20"/>
          <w:spacing w:val="-4"/>
          <w:sz w:val="24"/>
        </w:rPr>
        <w:t>Cela</w:t>
      </w:r>
      <w:r>
        <w:rPr>
          <w:i/>
          <w:color w:val="231F20"/>
          <w:spacing w:val="-11"/>
          <w:sz w:val="24"/>
        </w:rPr>
        <w:t> </w:t>
      </w:r>
      <w:r>
        <w:rPr>
          <w:i/>
          <w:color w:val="231F20"/>
          <w:spacing w:val="-4"/>
          <w:sz w:val="24"/>
        </w:rPr>
        <w:t>aurait </w:t>
      </w:r>
      <w:r>
        <w:rPr>
          <w:i/>
          <w:color w:val="231F20"/>
          <w:spacing w:val="-2"/>
          <w:sz w:val="24"/>
        </w:rPr>
        <w:t>permis</w:t>
      </w:r>
      <w:r>
        <w:rPr>
          <w:i/>
          <w:color w:val="231F20"/>
          <w:spacing w:val="-13"/>
          <w:sz w:val="24"/>
        </w:rPr>
        <w:t> </w:t>
      </w:r>
      <w:r>
        <w:rPr>
          <w:i/>
          <w:color w:val="231F20"/>
          <w:spacing w:val="-2"/>
          <w:sz w:val="24"/>
        </w:rPr>
        <w:t>à</w:t>
      </w:r>
      <w:r>
        <w:rPr>
          <w:i/>
          <w:color w:val="231F20"/>
          <w:spacing w:val="-13"/>
          <w:sz w:val="24"/>
        </w:rPr>
        <w:t> </w:t>
      </w:r>
      <w:r>
        <w:rPr>
          <w:i/>
          <w:color w:val="231F20"/>
          <w:spacing w:val="-2"/>
          <w:sz w:val="24"/>
        </w:rPr>
        <w:t>la</w:t>
      </w:r>
      <w:r>
        <w:rPr>
          <w:i/>
          <w:color w:val="231F20"/>
          <w:spacing w:val="-13"/>
          <w:sz w:val="24"/>
        </w:rPr>
        <w:t> </w:t>
      </w:r>
      <w:r>
        <w:rPr>
          <w:i/>
          <w:color w:val="231F20"/>
          <w:spacing w:val="-2"/>
          <w:sz w:val="24"/>
        </w:rPr>
        <w:t>Côte</w:t>
      </w:r>
      <w:r>
        <w:rPr>
          <w:i/>
          <w:color w:val="231F20"/>
          <w:spacing w:val="-13"/>
          <w:sz w:val="24"/>
        </w:rPr>
        <w:t> </w:t>
      </w:r>
      <w:r>
        <w:rPr>
          <w:i/>
          <w:color w:val="231F20"/>
          <w:spacing w:val="-2"/>
          <w:sz w:val="24"/>
        </w:rPr>
        <w:t>d’Ivoire</w:t>
      </w:r>
      <w:r>
        <w:rPr>
          <w:i/>
          <w:color w:val="231F20"/>
          <w:spacing w:val="-13"/>
          <w:sz w:val="24"/>
        </w:rPr>
        <w:t> </w:t>
      </w:r>
      <w:r>
        <w:rPr>
          <w:i/>
          <w:color w:val="231F20"/>
          <w:spacing w:val="-2"/>
          <w:sz w:val="24"/>
        </w:rPr>
        <w:t>de</w:t>
      </w:r>
      <w:r>
        <w:rPr>
          <w:i/>
          <w:color w:val="231F20"/>
          <w:spacing w:val="-13"/>
          <w:sz w:val="24"/>
        </w:rPr>
        <w:t> </w:t>
      </w:r>
      <w:r>
        <w:rPr>
          <w:i/>
          <w:color w:val="231F20"/>
          <w:spacing w:val="-2"/>
          <w:sz w:val="24"/>
        </w:rPr>
        <w:t>s’ouvrir</w:t>
      </w:r>
      <w:r>
        <w:rPr>
          <w:i/>
          <w:color w:val="231F20"/>
          <w:spacing w:val="-13"/>
          <w:sz w:val="24"/>
        </w:rPr>
        <w:t> </w:t>
      </w:r>
      <w:r>
        <w:rPr>
          <w:i/>
          <w:color w:val="231F20"/>
          <w:spacing w:val="-2"/>
          <w:sz w:val="24"/>
        </w:rPr>
        <w:t>à</w:t>
      </w:r>
      <w:r>
        <w:rPr>
          <w:i/>
          <w:color w:val="231F20"/>
          <w:spacing w:val="-13"/>
          <w:sz w:val="24"/>
        </w:rPr>
        <w:t> </w:t>
      </w:r>
      <w:r>
        <w:rPr>
          <w:i/>
          <w:color w:val="231F20"/>
          <w:spacing w:val="-2"/>
          <w:sz w:val="24"/>
        </w:rPr>
        <w:t>tous</w:t>
      </w:r>
      <w:r>
        <w:rPr>
          <w:i/>
          <w:color w:val="231F20"/>
          <w:spacing w:val="-13"/>
          <w:sz w:val="24"/>
        </w:rPr>
        <w:t> </w:t>
      </w:r>
      <w:r>
        <w:rPr>
          <w:i/>
          <w:color w:val="231F20"/>
          <w:spacing w:val="-2"/>
          <w:sz w:val="24"/>
        </w:rPr>
        <w:t>ceux</w:t>
      </w:r>
      <w:r>
        <w:rPr>
          <w:i/>
          <w:color w:val="231F20"/>
          <w:spacing w:val="-13"/>
          <w:sz w:val="24"/>
        </w:rPr>
        <w:t> </w:t>
      </w:r>
      <w:r>
        <w:rPr>
          <w:i/>
          <w:color w:val="231F20"/>
          <w:spacing w:val="-2"/>
          <w:sz w:val="24"/>
        </w:rPr>
        <w:t>qui</w:t>
      </w:r>
      <w:r>
        <w:rPr>
          <w:i/>
          <w:color w:val="231F20"/>
          <w:spacing w:val="-13"/>
          <w:sz w:val="24"/>
        </w:rPr>
        <w:t> </w:t>
      </w:r>
      <w:r>
        <w:rPr>
          <w:i/>
          <w:color w:val="231F20"/>
          <w:spacing w:val="-2"/>
          <w:sz w:val="24"/>
        </w:rPr>
        <w:t>souhaitent</w:t>
      </w:r>
      <w:r>
        <w:rPr>
          <w:i/>
          <w:color w:val="231F20"/>
          <w:spacing w:val="-13"/>
          <w:sz w:val="24"/>
        </w:rPr>
        <w:t> </w:t>
      </w:r>
      <w:r>
        <w:rPr>
          <w:i/>
          <w:color w:val="231F20"/>
          <w:spacing w:val="-2"/>
          <w:sz w:val="24"/>
        </w:rPr>
        <w:t>lui</w:t>
      </w:r>
      <w:r>
        <w:rPr>
          <w:i/>
          <w:color w:val="231F20"/>
          <w:spacing w:val="-13"/>
          <w:sz w:val="24"/>
        </w:rPr>
        <w:t> </w:t>
      </w:r>
      <w:r>
        <w:rPr>
          <w:i/>
          <w:color w:val="231F20"/>
          <w:spacing w:val="-2"/>
          <w:sz w:val="24"/>
        </w:rPr>
        <w:t>tendre </w:t>
      </w:r>
      <w:r>
        <w:rPr>
          <w:i/>
          <w:color w:val="231F20"/>
          <w:sz w:val="24"/>
        </w:rPr>
        <w:t>la main pour relever son économie, et de susciter la libre compétition </w:t>
      </w:r>
      <w:r>
        <w:rPr>
          <w:i/>
          <w:color w:val="231F20"/>
          <w:spacing w:val="-4"/>
          <w:sz w:val="24"/>
        </w:rPr>
        <w:t>pour</w:t>
      </w:r>
      <w:r>
        <w:rPr>
          <w:i/>
          <w:color w:val="231F20"/>
          <w:spacing w:val="-6"/>
          <w:sz w:val="24"/>
        </w:rPr>
        <w:t> </w:t>
      </w:r>
      <w:r>
        <w:rPr>
          <w:i/>
          <w:color w:val="231F20"/>
          <w:spacing w:val="-4"/>
          <w:sz w:val="24"/>
        </w:rPr>
        <w:t>l’achat</w:t>
      </w:r>
      <w:r>
        <w:rPr>
          <w:i/>
          <w:color w:val="231F20"/>
          <w:spacing w:val="-6"/>
          <w:sz w:val="24"/>
        </w:rPr>
        <w:t> </w:t>
      </w:r>
      <w:r>
        <w:rPr>
          <w:i/>
          <w:color w:val="231F20"/>
          <w:spacing w:val="-4"/>
          <w:sz w:val="24"/>
        </w:rPr>
        <w:t>du</w:t>
      </w:r>
      <w:r>
        <w:rPr>
          <w:i/>
          <w:color w:val="231F20"/>
          <w:spacing w:val="-5"/>
          <w:sz w:val="24"/>
        </w:rPr>
        <w:t> </w:t>
      </w:r>
      <w:r>
        <w:rPr>
          <w:i/>
          <w:color w:val="231F20"/>
          <w:spacing w:val="-4"/>
          <w:sz w:val="24"/>
        </w:rPr>
        <w:t>cacao</w:t>
      </w:r>
      <w:r>
        <w:rPr>
          <w:i/>
          <w:color w:val="231F20"/>
          <w:spacing w:val="-6"/>
          <w:sz w:val="24"/>
        </w:rPr>
        <w:t> </w:t>
      </w:r>
      <w:r>
        <w:rPr>
          <w:i/>
          <w:color w:val="231F20"/>
          <w:spacing w:val="-4"/>
          <w:sz w:val="24"/>
        </w:rPr>
        <w:t>qui</w:t>
      </w:r>
      <w:r>
        <w:rPr>
          <w:i/>
          <w:color w:val="231F20"/>
          <w:spacing w:val="-6"/>
          <w:sz w:val="24"/>
        </w:rPr>
        <w:t> </w:t>
      </w:r>
      <w:r>
        <w:rPr>
          <w:i/>
          <w:color w:val="231F20"/>
          <w:spacing w:val="-4"/>
          <w:sz w:val="24"/>
        </w:rPr>
        <w:t>demeure</w:t>
      </w:r>
      <w:r>
        <w:rPr>
          <w:i/>
          <w:color w:val="231F20"/>
          <w:spacing w:val="-6"/>
          <w:sz w:val="24"/>
        </w:rPr>
        <w:t> </w:t>
      </w:r>
      <w:r>
        <w:rPr>
          <w:i/>
          <w:color w:val="231F20"/>
          <w:spacing w:val="-4"/>
          <w:sz w:val="24"/>
        </w:rPr>
        <w:t>la</w:t>
      </w:r>
      <w:r>
        <w:rPr>
          <w:i/>
          <w:color w:val="231F20"/>
          <w:spacing w:val="-6"/>
          <w:sz w:val="24"/>
        </w:rPr>
        <w:t> </w:t>
      </w:r>
      <w:r>
        <w:rPr>
          <w:i/>
          <w:color w:val="231F20"/>
          <w:spacing w:val="-4"/>
          <w:sz w:val="24"/>
        </w:rPr>
        <w:t>principale</w:t>
      </w:r>
      <w:r>
        <w:rPr>
          <w:i/>
          <w:color w:val="231F20"/>
          <w:spacing w:val="-6"/>
          <w:sz w:val="24"/>
        </w:rPr>
        <w:t> </w:t>
      </w:r>
      <w:r>
        <w:rPr>
          <w:i/>
          <w:color w:val="231F20"/>
          <w:spacing w:val="-4"/>
          <w:sz w:val="24"/>
        </w:rPr>
        <w:t>culture</w:t>
      </w:r>
      <w:r>
        <w:rPr>
          <w:i/>
          <w:color w:val="231F20"/>
          <w:spacing w:val="-6"/>
          <w:sz w:val="24"/>
        </w:rPr>
        <w:t> </w:t>
      </w:r>
      <w:r>
        <w:rPr>
          <w:i/>
          <w:color w:val="231F20"/>
          <w:spacing w:val="-4"/>
          <w:sz w:val="24"/>
        </w:rPr>
        <w:t>d’exportation</w:t>
      </w:r>
      <w:r>
        <w:rPr>
          <w:i/>
          <w:color w:val="231F20"/>
          <w:spacing w:val="-6"/>
          <w:sz w:val="24"/>
        </w:rPr>
        <w:t> </w:t>
      </w:r>
      <w:r>
        <w:rPr>
          <w:i/>
          <w:color w:val="231F20"/>
          <w:spacing w:val="-4"/>
          <w:sz w:val="24"/>
        </w:rPr>
        <w:t>du </w:t>
      </w:r>
      <w:r>
        <w:rPr>
          <w:i/>
          <w:color w:val="231F20"/>
          <w:sz w:val="24"/>
        </w:rPr>
        <w:t>pays.</w:t>
      </w:r>
      <w:r>
        <w:rPr>
          <w:i/>
          <w:color w:val="231F20"/>
          <w:spacing w:val="-15"/>
          <w:sz w:val="24"/>
        </w:rPr>
        <w:t> </w:t>
      </w:r>
      <w:r>
        <w:rPr>
          <w:i/>
          <w:color w:val="231F20"/>
          <w:sz w:val="24"/>
        </w:rPr>
        <w:t>La</w:t>
      </w:r>
      <w:r>
        <w:rPr>
          <w:i/>
          <w:color w:val="231F20"/>
          <w:spacing w:val="-13"/>
          <w:sz w:val="24"/>
        </w:rPr>
        <w:t> </w:t>
      </w:r>
      <w:r>
        <w:rPr>
          <w:i/>
          <w:color w:val="231F20"/>
          <w:sz w:val="24"/>
        </w:rPr>
        <w:t>France</w:t>
      </w:r>
      <w:r>
        <w:rPr>
          <w:i/>
          <w:color w:val="231F20"/>
          <w:spacing w:val="-13"/>
          <w:sz w:val="24"/>
        </w:rPr>
        <w:t> </w:t>
      </w:r>
      <w:r>
        <w:rPr>
          <w:i/>
          <w:color w:val="231F20"/>
          <w:sz w:val="24"/>
        </w:rPr>
        <w:t>a</w:t>
      </w:r>
      <w:r>
        <w:rPr>
          <w:i/>
          <w:color w:val="231F20"/>
          <w:spacing w:val="-13"/>
          <w:sz w:val="24"/>
        </w:rPr>
        <w:t> </w:t>
      </w:r>
      <w:r>
        <w:rPr>
          <w:i/>
          <w:color w:val="231F20"/>
          <w:sz w:val="24"/>
        </w:rPr>
        <w:t>perçu</w:t>
      </w:r>
      <w:r>
        <w:rPr>
          <w:i/>
          <w:color w:val="231F20"/>
          <w:spacing w:val="-15"/>
          <w:sz w:val="24"/>
        </w:rPr>
        <w:t> </w:t>
      </w:r>
      <w:r>
        <w:rPr>
          <w:i/>
          <w:color w:val="231F20"/>
          <w:sz w:val="24"/>
        </w:rPr>
        <w:t>ce</w:t>
      </w:r>
      <w:r>
        <w:rPr>
          <w:i/>
          <w:color w:val="231F20"/>
          <w:spacing w:val="-13"/>
          <w:sz w:val="24"/>
        </w:rPr>
        <w:t> </w:t>
      </w:r>
      <w:r>
        <w:rPr>
          <w:i/>
          <w:color w:val="231F20"/>
          <w:sz w:val="24"/>
        </w:rPr>
        <w:t>signal</w:t>
      </w:r>
      <w:r>
        <w:rPr>
          <w:i/>
          <w:color w:val="231F20"/>
          <w:spacing w:val="-13"/>
          <w:sz w:val="24"/>
        </w:rPr>
        <w:t> </w:t>
      </w:r>
      <w:r>
        <w:rPr>
          <w:i/>
          <w:color w:val="231F20"/>
          <w:sz w:val="24"/>
        </w:rPr>
        <w:t>d’ouverture</w:t>
      </w:r>
      <w:r>
        <w:rPr>
          <w:i/>
          <w:color w:val="231F20"/>
          <w:spacing w:val="-13"/>
          <w:sz w:val="24"/>
        </w:rPr>
        <w:t> </w:t>
      </w:r>
      <w:r>
        <w:rPr>
          <w:i/>
          <w:color w:val="231F20"/>
          <w:sz w:val="24"/>
        </w:rPr>
        <w:t>comme</w:t>
      </w:r>
      <w:r>
        <w:rPr>
          <w:i/>
          <w:color w:val="231F20"/>
          <w:spacing w:val="-14"/>
          <w:sz w:val="24"/>
        </w:rPr>
        <w:t> </w:t>
      </w:r>
      <w:r>
        <w:rPr>
          <w:i/>
          <w:color w:val="231F20"/>
          <w:sz w:val="24"/>
        </w:rPr>
        <w:t>une</w:t>
      </w:r>
      <w:r>
        <w:rPr>
          <w:i/>
          <w:color w:val="231F20"/>
          <w:spacing w:val="-14"/>
          <w:sz w:val="24"/>
        </w:rPr>
        <w:t> </w:t>
      </w:r>
      <w:r>
        <w:rPr>
          <w:i/>
          <w:color w:val="231F20"/>
          <w:sz w:val="24"/>
        </w:rPr>
        <w:t>menace</w:t>
      </w:r>
      <w:r>
        <w:rPr>
          <w:i/>
          <w:color w:val="231F20"/>
          <w:spacing w:val="-14"/>
          <w:sz w:val="24"/>
        </w:rPr>
        <w:t> </w:t>
      </w:r>
      <w:r>
        <w:rPr>
          <w:i/>
          <w:color w:val="231F20"/>
          <w:sz w:val="24"/>
        </w:rPr>
        <w:t>pour ses intérêts(…)</w:t>
      </w:r>
      <w:r>
        <w:rPr>
          <w:color w:val="76787A"/>
          <w:sz w:val="24"/>
          <w:vertAlign w:val="superscript"/>
        </w:rPr>
        <w:t>»243</w:t>
      </w:r>
      <w:r>
        <w:rPr>
          <w:color w:val="231F20"/>
          <w:sz w:val="24"/>
          <w:vertAlign w:val="baseline"/>
        </w:rPr>
        <w:t>.</w:t>
      </w:r>
    </w:p>
    <w:p>
      <w:pPr>
        <w:spacing w:before="121"/>
        <w:ind w:left="111" w:right="101" w:firstLine="283"/>
        <w:jc w:val="both"/>
        <w:rPr>
          <w:sz w:val="24"/>
        </w:rPr>
      </w:pPr>
      <w:r>
        <w:rPr>
          <w:color w:val="231F20"/>
          <w:spacing w:val="-2"/>
          <w:sz w:val="24"/>
        </w:rPr>
        <w:t>Au</w:t>
      </w:r>
      <w:r>
        <w:rPr>
          <w:color w:val="231F20"/>
          <w:spacing w:val="-11"/>
          <w:sz w:val="24"/>
        </w:rPr>
        <w:t> </w:t>
      </w:r>
      <w:r>
        <w:rPr>
          <w:color w:val="231F20"/>
          <w:spacing w:val="-2"/>
          <w:sz w:val="24"/>
        </w:rPr>
        <w:t>Mali,</w:t>
      </w:r>
      <w:r>
        <w:rPr>
          <w:color w:val="231F20"/>
          <w:spacing w:val="-11"/>
          <w:sz w:val="24"/>
        </w:rPr>
        <w:t> </w:t>
      </w:r>
      <w:r>
        <w:rPr>
          <w:color w:val="231F20"/>
          <w:spacing w:val="-2"/>
          <w:sz w:val="24"/>
        </w:rPr>
        <w:t>les</w:t>
      </w:r>
      <w:r>
        <w:rPr>
          <w:color w:val="231F20"/>
          <w:spacing w:val="-11"/>
          <w:sz w:val="24"/>
        </w:rPr>
        <w:t> </w:t>
      </w:r>
      <w:r>
        <w:rPr>
          <w:color w:val="231F20"/>
          <w:spacing w:val="-2"/>
          <w:sz w:val="24"/>
        </w:rPr>
        <w:t>interventions</w:t>
      </w:r>
      <w:r>
        <w:rPr>
          <w:color w:val="231F20"/>
          <w:spacing w:val="-13"/>
          <w:sz w:val="24"/>
        </w:rPr>
        <w:t> </w:t>
      </w:r>
      <w:r>
        <w:rPr>
          <w:color w:val="231F20"/>
          <w:spacing w:val="-2"/>
          <w:sz w:val="24"/>
        </w:rPr>
        <w:t>militaires</w:t>
      </w:r>
      <w:r>
        <w:rPr>
          <w:color w:val="231F20"/>
          <w:spacing w:val="-11"/>
          <w:sz w:val="24"/>
        </w:rPr>
        <w:t> </w:t>
      </w:r>
      <w:r>
        <w:rPr>
          <w:color w:val="231F20"/>
          <w:spacing w:val="-2"/>
          <w:sz w:val="24"/>
        </w:rPr>
        <w:t>françaises</w:t>
      </w:r>
      <w:r>
        <w:rPr>
          <w:color w:val="231F20"/>
          <w:spacing w:val="-11"/>
          <w:sz w:val="24"/>
        </w:rPr>
        <w:t> </w:t>
      </w:r>
      <w:r>
        <w:rPr>
          <w:color w:val="231F20"/>
          <w:spacing w:val="-2"/>
          <w:sz w:val="24"/>
        </w:rPr>
        <w:t>dès</w:t>
      </w:r>
      <w:r>
        <w:rPr>
          <w:color w:val="231F20"/>
          <w:spacing w:val="-13"/>
          <w:sz w:val="24"/>
        </w:rPr>
        <w:t> </w:t>
      </w:r>
      <w:r>
        <w:rPr>
          <w:color w:val="231F20"/>
          <w:spacing w:val="-2"/>
          <w:sz w:val="24"/>
        </w:rPr>
        <w:t>le</w:t>
      </w:r>
      <w:r>
        <w:rPr>
          <w:color w:val="231F20"/>
          <w:spacing w:val="-12"/>
          <w:sz w:val="24"/>
        </w:rPr>
        <w:t> </w:t>
      </w:r>
      <w:r>
        <w:rPr>
          <w:color w:val="231F20"/>
          <w:spacing w:val="-2"/>
          <w:sz w:val="24"/>
        </w:rPr>
        <w:t>11</w:t>
      </w:r>
      <w:r>
        <w:rPr>
          <w:color w:val="231F20"/>
          <w:spacing w:val="-11"/>
          <w:sz w:val="24"/>
        </w:rPr>
        <w:t> </w:t>
      </w:r>
      <w:r>
        <w:rPr>
          <w:color w:val="231F20"/>
          <w:spacing w:val="-2"/>
          <w:sz w:val="24"/>
        </w:rPr>
        <w:t>janvier</w:t>
      </w:r>
      <w:r>
        <w:rPr>
          <w:color w:val="231F20"/>
          <w:spacing w:val="-12"/>
          <w:sz w:val="24"/>
        </w:rPr>
        <w:t> </w:t>
      </w:r>
      <w:r>
        <w:rPr>
          <w:color w:val="231F20"/>
          <w:spacing w:val="-2"/>
          <w:sz w:val="24"/>
        </w:rPr>
        <w:t>2013, à</w:t>
      </w:r>
      <w:r>
        <w:rPr>
          <w:color w:val="231F20"/>
          <w:spacing w:val="-10"/>
          <w:sz w:val="24"/>
        </w:rPr>
        <w:t> </w:t>
      </w:r>
      <w:r>
        <w:rPr>
          <w:color w:val="231F20"/>
          <w:spacing w:val="-2"/>
          <w:sz w:val="24"/>
        </w:rPr>
        <w:t>la</w:t>
      </w:r>
      <w:r>
        <w:rPr>
          <w:color w:val="231F20"/>
          <w:spacing w:val="-10"/>
          <w:sz w:val="24"/>
        </w:rPr>
        <w:t> </w:t>
      </w:r>
      <w:r>
        <w:rPr>
          <w:color w:val="231F20"/>
          <w:spacing w:val="-2"/>
          <w:sz w:val="24"/>
        </w:rPr>
        <w:t>suite</w:t>
      </w:r>
      <w:r>
        <w:rPr>
          <w:color w:val="231F20"/>
          <w:spacing w:val="-12"/>
          <w:sz w:val="24"/>
        </w:rPr>
        <w:t> </w:t>
      </w:r>
      <w:r>
        <w:rPr>
          <w:color w:val="231F20"/>
          <w:spacing w:val="-2"/>
          <w:sz w:val="24"/>
        </w:rPr>
        <w:t>de</w:t>
      </w:r>
      <w:r>
        <w:rPr>
          <w:color w:val="231F20"/>
          <w:spacing w:val="-10"/>
          <w:sz w:val="24"/>
        </w:rPr>
        <w:t> </w:t>
      </w:r>
      <w:r>
        <w:rPr>
          <w:color w:val="231F20"/>
          <w:spacing w:val="-2"/>
          <w:sz w:val="24"/>
        </w:rPr>
        <w:t>mouvements</w:t>
      </w:r>
      <w:r>
        <w:rPr>
          <w:color w:val="231F20"/>
          <w:spacing w:val="-12"/>
          <w:sz w:val="24"/>
        </w:rPr>
        <w:t> </w:t>
      </w:r>
      <w:r>
        <w:rPr>
          <w:color w:val="231F20"/>
          <w:spacing w:val="-2"/>
          <w:sz w:val="24"/>
        </w:rPr>
        <w:t>de</w:t>
      </w:r>
      <w:r>
        <w:rPr>
          <w:color w:val="231F20"/>
          <w:spacing w:val="-10"/>
          <w:sz w:val="24"/>
        </w:rPr>
        <w:t> </w:t>
      </w:r>
      <w:r>
        <w:rPr>
          <w:color w:val="231F20"/>
          <w:spacing w:val="-2"/>
          <w:sz w:val="24"/>
        </w:rPr>
        <w:t>groupes</w:t>
      </w:r>
      <w:r>
        <w:rPr>
          <w:color w:val="231F20"/>
          <w:spacing w:val="-12"/>
          <w:sz w:val="24"/>
        </w:rPr>
        <w:t> </w:t>
      </w:r>
      <w:r>
        <w:rPr>
          <w:color w:val="231F20"/>
          <w:spacing w:val="-2"/>
          <w:sz w:val="24"/>
        </w:rPr>
        <w:t>armés</w:t>
      </w:r>
      <w:r>
        <w:rPr>
          <w:color w:val="231F20"/>
          <w:spacing w:val="-12"/>
          <w:sz w:val="24"/>
        </w:rPr>
        <w:t> </w:t>
      </w:r>
      <w:r>
        <w:rPr>
          <w:color w:val="231F20"/>
          <w:spacing w:val="-2"/>
          <w:sz w:val="24"/>
        </w:rPr>
        <w:t>islamistes</w:t>
      </w:r>
      <w:r>
        <w:rPr>
          <w:color w:val="231F20"/>
          <w:spacing w:val="-11"/>
          <w:sz w:val="24"/>
        </w:rPr>
        <w:t> </w:t>
      </w:r>
      <w:r>
        <w:rPr>
          <w:color w:val="231F20"/>
          <w:spacing w:val="-2"/>
          <w:sz w:val="24"/>
        </w:rPr>
        <w:t>vers</w:t>
      </w:r>
      <w:r>
        <w:rPr>
          <w:color w:val="231F20"/>
          <w:spacing w:val="-12"/>
          <w:sz w:val="24"/>
        </w:rPr>
        <w:t> </w:t>
      </w:r>
      <w:r>
        <w:rPr>
          <w:color w:val="231F20"/>
          <w:spacing w:val="-2"/>
          <w:sz w:val="24"/>
        </w:rPr>
        <w:t>Bamako,</w:t>
      </w:r>
      <w:r>
        <w:rPr>
          <w:color w:val="231F20"/>
          <w:spacing w:val="-10"/>
          <w:sz w:val="24"/>
        </w:rPr>
        <w:t> </w:t>
      </w:r>
      <w:r>
        <w:rPr>
          <w:color w:val="231F20"/>
          <w:spacing w:val="-2"/>
          <w:sz w:val="24"/>
        </w:rPr>
        <w:t>sont </w:t>
      </w:r>
      <w:r>
        <w:rPr>
          <w:color w:val="231F20"/>
          <w:sz w:val="24"/>
        </w:rPr>
        <w:t>qualifiées d’aide humanitaire</w:t>
      </w:r>
      <w:r>
        <w:rPr>
          <w:color w:val="231F20"/>
          <w:spacing w:val="-15"/>
          <w:sz w:val="24"/>
        </w:rPr>
        <w:t> </w:t>
      </w:r>
      <w:r>
        <w:rPr>
          <w:i/>
          <w:color w:val="231F20"/>
          <w:sz w:val="24"/>
        </w:rPr>
        <w:t>: La France « n’a aucun intérêt au</w:t>
      </w:r>
      <w:r>
        <w:rPr>
          <w:i/>
          <w:color w:val="231F20"/>
          <w:spacing w:val="-15"/>
          <w:sz w:val="24"/>
        </w:rPr>
        <w:t> </w:t>
      </w:r>
      <w:r>
        <w:rPr>
          <w:i/>
          <w:color w:val="231F20"/>
          <w:sz w:val="24"/>
        </w:rPr>
        <w:t>Mali.</w:t>
      </w:r>
      <w:r>
        <w:rPr>
          <w:i/>
          <w:color w:val="231F20"/>
          <w:sz w:val="24"/>
        </w:rPr>
        <w:t> Elle ne défend aucun calcul</w:t>
      </w:r>
      <w:r>
        <w:rPr>
          <w:i/>
          <w:color w:val="231F20"/>
          <w:spacing w:val="-1"/>
          <w:sz w:val="24"/>
        </w:rPr>
        <w:t> </w:t>
      </w:r>
      <w:r>
        <w:rPr>
          <w:i/>
          <w:color w:val="231F20"/>
          <w:sz w:val="24"/>
        </w:rPr>
        <w:t>économique ou politique »</w:t>
      </w:r>
      <w:r>
        <w:rPr>
          <w:color w:val="231F20"/>
          <w:sz w:val="24"/>
        </w:rPr>
        <w:t>,</w:t>
      </w:r>
      <w:r>
        <w:rPr>
          <w:color w:val="231F20"/>
          <w:spacing w:val="-1"/>
          <w:sz w:val="24"/>
        </w:rPr>
        <w:t> </w:t>
      </w:r>
      <w:r>
        <w:rPr>
          <w:color w:val="231F20"/>
          <w:sz w:val="24"/>
        </w:rPr>
        <w:t>avait insisté</w:t>
      </w:r>
      <w:r>
        <w:rPr>
          <w:color w:val="231F20"/>
          <w:spacing w:val="-1"/>
          <w:sz w:val="24"/>
        </w:rPr>
        <w:t> </w:t>
      </w:r>
      <w:r>
        <w:rPr>
          <w:color w:val="231F20"/>
          <w:sz w:val="24"/>
        </w:rPr>
        <w:t>le chef</w:t>
      </w:r>
      <w:r>
        <w:rPr>
          <w:color w:val="231F20"/>
          <w:spacing w:val="-1"/>
          <w:sz w:val="24"/>
        </w:rPr>
        <w:t> </w:t>
      </w:r>
      <w:r>
        <w:rPr>
          <w:color w:val="231F20"/>
          <w:sz w:val="24"/>
        </w:rPr>
        <w:t>de</w:t>
      </w:r>
      <w:r>
        <w:rPr>
          <w:color w:val="231F20"/>
          <w:spacing w:val="-1"/>
          <w:sz w:val="24"/>
        </w:rPr>
        <w:t> </w:t>
      </w:r>
      <w:r>
        <w:rPr>
          <w:color w:val="231F20"/>
          <w:sz w:val="24"/>
        </w:rPr>
        <w:t>l’Etat Français</w:t>
      </w:r>
      <w:r>
        <w:rPr>
          <w:color w:val="231F20"/>
          <w:spacing w:val="-3"/>
          <w:sz w:val="24"/>
        </w:rPr>
        <w:t> </w:t>
      </w:r>
      <w:r>
        <w:rPr>
          <w:color w:val="231F20"/>
          <w:sz w:val="24"/>
        </w:rPr>
        <w:t>d’alors,</w:t>
      </w:r>
      <w:r>
        <w:rPr>
          <w:color w:val="231F20"/>
          <w:spacing w:val="-1"/>
          <w:sz w:val="24"/>
        </w:rPr>
        <w:t> </w:t>
      </w:r>
      <w:r>
        <w:rPr>
          <w:color w:val="231F20"/>
          <w:sz w:val="24"/>
        </w:rPr>
        <w:t>François</w:t>
      </w:r>
      <w:r>
        <w:rPr>
          <w:color w:val="231F20"/>
          <w:spacing w:val="-1"/>
          <w:sz w:val="24"/>
        </w:rPr>
        <w:t> </w:t>
      </w:r>
      <w:r>
        <w:rPr>
          <w:color w:val="231F20"/>
          <w:sz w:val="24"/>
        </w:rPr>
        <w:t>Hollande.</w:t>
      </w:r>
    </w:p>
    <w:p>
      <w:pPr>
        <w:pStyle w:val="BodyText"/>
        <w:spacing w:before="120"/>
        <w:ind w:right="102" w:firstLine="283"/>
      </w:pPr>
      <w:r>
        <w:rPr>
          <w:color w:val="231F20"/>
        </w:rPr>
        <w:t>En réalité, ne s’agirait-il pas de sécuriser l’approvisionnement des </w:t>
      </w:r>
      <w:r>
        <w:rPr>
          <w:color w:val="231F20"/>
          <w:spacing w:val="-2"/>
        </w:rPr>
        <w:t>centrales</w:t>
      </w:r>
      <w:r>
        <w:rPr>
          <w:color w:val="231F20"/>
          <w:spacing w:val="-15"/>
        </w:rPr>
        <w:t> </w:t>
      </w:r>
      <w:r>
        <w:rPr>
          <w:color w:val="231F20"/>
          <w:spacing w:val="-2"/>
        </w:rPr>
        <w:t>nucléaires</w:t>
      </w:r>
      <w:r>
        <w:rPr>
          <w:color w:val="231F20"/>
          <w:spacing w:val="-13"/>
        </w:rPr>
        <w:t> </w:t>
      </w:r>
      <w:r>
        <w:rPr>
          <w:color w:val="231F20"/>
          <w:spacing w:val="-2"/>
        </w:rPr>
        <w:t>françaises</w:t>
      </w:r>
      <w:r>
        <w:rPr>
          <w:color w:val="231F20"/>
          <w:spacing w:val="-13"/>
        </w:rPr>
        <w:t> </w:t>
      </w:r>
      <w:r>
        <w:rPr>
          <w:color w:val="231F20"/>
          <w:spacing w:val="-2"/>
        </w:rPr>
        <w:t>en</w:t>
      </w:r>
      <w:r>
        <w:rPr>
          <w:color w:val="231F20"/>
          <w:spacing w:val="-13"/>
        </w:rPr>
        <w:t> </w:t>
      </w:r>
      <w:r>
        <w:rPr>
          <w:color w:val="231F20"/>
          <w:spacing w:val="-2"/>
        </w:rPr>
        <w:t>uranium</w:t>
      </w:r>
      <w:r>
        <w:rPr>
          <w:color w:val="231F20"/>
          <w:spacing w:val="-13"/>
        </w:rPr>
        <w:t> </w:t>
      </w:r>
      <w:r>
        <w:rPr>
          <w:color w:val="231F20"/>
          <w:spacing w:val="-2"/>
        </w:rPr>
        <w:t>extrait</w:t>
      </w:r>
      <w:r>
        <w:rPr>
          <w:color w:val="231F20"/>
          <w:spacing w:val="-13"/>
        </w:rPr>
        <w:t> </w:t>
      </w:r>
      <w:r>
        <w:rPr>
          <w:color w:val="231F20"/>
          <w:spacing w:val="-2"/>
        </w:rPr>
        <w:t>dans</w:t>
      </w:r>
      <w:r>
        <w:rPr>
          <w:color w:val="231F20"/>
          <w:spacing w:val="-13"/>
        </w:rPr>
        <w:t> </w:t>
      </w:r>
      <w:r>
        <w:rPr>
          <w:color w:val="231F20"/>
          <w:spacing w:val="-2"/>
        </w:rPr>
        <w:t>les</w:t>
      </w:r>
      <w:r>
        <w:rPr>
          <w:color w:val="231F20"/>
          <w:spacing w:val="-13"/>
        </w:rPr>
        <w:t> </w:t>
      </w:r>
      <w:r>
        <w:rPr>
          <w:color w:val="231F20"/>
          <w:spacing w:val="-2"/>
        </w:rPr>
        <w:t>mines</w:t>
      </w:r>
      <w:r>
        <w:rPr>
          <w:color w:val="231F20"/>
          <w:spacing w:val="-13"/>
        </w:rPr>
        <w:t> </w:t>
      </w:r>
      <w:r>
        <w:rPr>
          <w:color w:val="231F20"/>
          <w:spacing w:val="-2"/>
        </w:rPr>
        <w:t>du</w:t>
      </w:r>
      <w:r>
        <w:rPr>
          <w:color w:val="231F20"/>
          <w:spacing w:val="-13"/>
        </w:rPr>
        <w:t> </w:t>
      </w:r>
      <w:r>
        <w:rPr>
          <w:color w:val="231F20"/>
          <w:spacing w:val="-2"/>
        </w:rPr>
        <w:t>Nord </w:t>
      </w:r>
      <w:r>
        <w:rPr>
          <w:color w:val="231F20"/>
        </w:rPr>
        <w:t>du Niger, pays voisin</w:t>
      </w:r>
      <w:r>
        <w:rPr>
          <w:color w:val="231F20"/>
          <w:spacing w:val="-12"/>
        </w:rPr>
        <w:t> </w:t>
      </w:r>
      <w:r>
        <w:rPr>
          <w:color w:val="231F20"/>
        </w:rPr>
        <w:t>? S'agissant des hydrocarbures, la présence française au Mali est minime. Total, la compagnie Française est propriétaire dans ce pays d'une quarantaine de stations-service : son </w:t>
      </w:r>
      <w:r>
        <w:rPr>
          <w:color w:val="231F20"/>
          <w:spacing w:val="-2"/>
        </w:rPr>
        <w:t>activité</w:t>
      </w:r>
      <w:r>
        <w:rPr>
          <w:color w:val="231F20"/>
          <w:spacing w:val="-13"/>
        </w:rPr>
        <w:t> </w:t>
      </w:r>
      <w:r>
        <w:rPr>
          <w:color w:val="231F20"/>
          <w:spacing w:val="-2"/>
        </w:rPr>
        <w:t>s'arrête</w:t>
      </w:r>
      <w:r>
        <w:rPr>
          <w:color w:val="231F20"/>
          <w:spacing w:val="-13"/>
        </w:rPr>
        <w:t> </w:t>
      </w:r>
      <w:r>
        <w:rPr>
          <w:color w:val="231F20"/>
          <w:spacing w:val="-2"/>
        </w:rPr>
        <w:t>là,</w:t>
      </w:r>
      <w:r>
        <w:rPr>
          <w:color w:val="231F20"/>
          <w:spacing w:val="-13"/>
        </w:rPr>
        <w:t> </w:t>
      </w:r>
      <w:r>
        <w:rPr>
          <w:color w:val="231F20"/>
          <w:spacing w:val="-2"/>
        </w:rPr>
        <w:t>elle</w:t>
      </w:r>
      <w:r>
        <w:rPr>
          <w:color w:val="231F20"/>
          <w:spacing w:val="-13"/>
        </w:rPr>
        <w:t> </w:t>
      </w:r>
      <w:r>
        <w:rPr>
          <w:color w:val="231F20"/>
          <w:spacing w:val="-2"/>
        </w:rPr>
        <w:t>n'est</w:t>
      </w:r>
      <w:r>
        <w:rPr>
          <w:color w:val="231F20"/>
          <w:spacing w:val="-13"/>
        </w:rPr>
        <w:t> </w:t>
      </w:r>
      <w:r>
        <w:rPr>
          <w:color w:val="231F20"/>
          <w:spacing w:val="-2"/>
        </w:rPr>
        <w:t>donc</w:t>
      </w:r>
      <w:r>
        <w:rPr>
          <w:color w:val="231F20"/>
          <w:spacing w:val="-13"/>
        </w:rPr>
        <w:t> </w:t>
      </w:r>
      <w:r>
        <w:rPr>
          <w:color w:val="231F20"/>
          <w:spacing w:val="-2"/>
        </w:rPr>
        <w:t>pas</w:t>
      </w:r>
      <w:r>
        <w:rPr>
          <w:color w:val="231F20"/>
          <w:spacing w:val="-13"/>
        </w:rPr>
        <w:t> </w:t>
      </w:r>
      <w:r>
        <w:rPr>
          <w:color w:val="231F20"/>
          <w:spacing w:val="-2"/>
        </w:rPr>
        <w:t>stratégique.</w:t>
      </w:r>
      <w:r>
        <w:rPr>
          <w:color w:val="231F20"/>
          <w:spacing w:val="-13"/>
        </w:rPr>
        <w:t> </w:t>
      </w:r>
      <w:r>
        <w:rPr>
          <w:color w:val="231F20"/>
          <w:spacing w:val="-2"/>
        </w:rPr>
        <w:t>Mais</w:t>
      </w:r>
      <w:r>
        <w:rPr>
          <w:color w:val="231F20"/>
          <w:spacing w:val="-13"/>
        </w:rPr>
        <w:t> </w:t>
      </w:r>
      <w:r>
        <w:rPr>
          <w:color w:val="231F20"/>
          <w:spacing w:val="-2"/>
        </w:rPr>
        <w:t>le</w:t>
      </w:r>
      <w:r>
        <w:rPr>
          <w:color w:val="231F20"/>
          <w:spacing w:val="-13"/>
        </w:rPr>
        <w:t> </w:t>
      </w:r>
      <w:r>
        <w:rPr>
          <w:color w:val="231F20"/>
          <w:spacing w:val="-2"/>
        </w:rPr>
        <w:t>sous-sol</w:t>
      </w:r>
      <w:r>
        <w:rPr>
          <w:color w:val="231F20"/>
          <w:spacing w:val="-12"/>
        </w:rPr>
        <w:t> </w:t>
      </w:r>
      <w:r>
        <w:rPr>
          <w:color w:val="231F20"/>
          <w:spacing w:val="-2"/>
        </w:rPr>
        <w:t>malien </w:t>
      </w:r>
      <w:r>
        <w:rPr>
          <w:color w:val="231F20"/>
          <w:spacing w:val="-4"/>
        </w:rPr>
        <w:t>ferait</w:t>
      </w:r>
      <w:r>
        <w:rPr>
          <w:color w:val="231F20"/>
          <w:spacing w:val="-5"/>
        </w:rPr>
        <w:t> </w:t>
      </w:r>
      <w:r>
        <w:rPr>
          <w:color w:val="231F20"/>
          <w:spacing w:val="-4"/>
        </w:rPr>
        <w:t>partie</w:t>
      </w:r>
      <w:r>
        <w:rPr>
          <w:color w:val="231F20"/>
          <w:spacing w:val="-6"/>
        </w:rPr>
        <w:t> </w:t>
      </w:r>
      <w:r>
        <w:rPr>
          <w:color w:val="231F20"/>
          <w:spacing w:val="-4"/>
        </w:rPr>
        <w:t>des</w:t>
      </w:r>
      <w:r>
        <w:rPr>
          <w:color w:val="231F20"/>
          <w:spacing w:val="-5"/>
        </w:rPr>
        <w:t> </w:t>
      </w:r>
      <w:r>
        <w:rPr>
          <w:color w:val="231F20"/>
          <w:spacing w:val="-4"/>
        </w:rPr>
        <w:t>plus</w:t>
      </w:r>
      <w:r>
        <w:rPr>
          <w:color w:val="231F20"/>
          <w:spacing w:val="-5"/>
        </w:rPr>
        <w:t> </w:t>
      </w:r>
      <w:r>
        <w:rPr>
          <w:color w:val="231F20"/>
          <w:spacing w:val="-4"/>
        </w:rPr>
        <w:t>riches</w:t>
      </w:r>
      <w:r>
        <w:rPr>
          <w:color w:val="231F20"/>
          <w:spacing w:val="-5"/>
        </w:rPr>
        <w:t> </w:t>
      </w:r>
      <w:r>
        <w:rPr>
          <w:color w:val="231F20"/>
          <w:spacing w:val="-4"/>
        </w:rPr>
        <w:t>du</w:t>
      </w:r>
      <w:r>
        <w:rPr>
          <w:color w:val="231F20"/>
          <w:spacing w:val="-5"/>
        </w:rPr>
        <w:t> </w:t>
      </w:r>
      <w:r>
        <w:rPr>
          <w:color w:val="231F20"/>
          <w:spacing w:val="-4"/>
        </w:rPr>
        <w:t>continent</w:t>
      </w:r>
      <w:r>
        <w:rPr>
          <w:color w:val="231F20"/>
          <w:spacing w:val="-5"/>
        </w:rPr>
        <w:t> </w:t>
      </w:r>
      <w:r>
        <w:rPr>
          <w:color w:val="231F20"/>
          <w:spacing w:val="-4"/>
        </w:rPr>
        <w:t>noir</w:t>
      </w:r>
      <w:r>
        <w:rPr>
          <w:color w:val="76787A"/>
          <w:spacing w:val="-4"/>
          <w:vertAlign w:val="superscript"/>
        </w:rPr>
        <w:t>244</w:t>
      </w:r>
      <w:r>
        <w:rPr>
          <w:color w:val="231F20"/>
          <w:spacing w:val="-4"/>
          <w:vertAlign w:val="baseline"/>
        </w:rPr>
        <w:t>.</w:t>
      </w:r>
      <w:r>
        <w:rPr>
          <w:color w:val="231F20"/>
          <w:spacing w:val="-6"/>
          <w:vertAlign w:val="baseline"/>
        </w:rPr>
        <w:t> </w:t>
      </w:r>
      <w:r>
        <w:rPr>
          <w:color w:val="231F20"/>
          <w:spacing w:val="-4"/>
          <w:vertAlign w:val="baseline"/>
        </w:rPr>
        <w:t>Ces</w:t>
      </w:r>
      <w:r>
        <w:rPr>
          <w:color w:val="231F20"/>
          <w:spacing w:val="-6"/>
          <w:vertAlign w:val="baseline"/>
        </w:rPr>
        <w:t> </w:t>
      </w:r>
      <w:r>
        <w:rPr>
          <w:color w:val="231F20"/>
          <w:spacing w:val="-4"/>
          <w:vertAlign w:val="baseline"/>
        </w:rPr>
        <w:t>richesses</w:t>
      </w:r>
      <w:r>
        <w:rPr>
          <w:color w:val="231F20"/>
          <w:spacing w:val="-6"/>
          <w:vertAlign w:val="baseline"/>
        </w:rPr>
        <w:t> </w:t>
      </w:r>
      <w:r>
        <w:rPr>
          <w:color w:val="231F20"/>
          <w:spacing w:val="-4"/>
          <w:vertAlign w:val="baseline"/>
        </w:rPr>
        <w:t>sont</w:t>
      </w:r>
      <w:r>
        <w:rPr>
          <w:color w:val="231F20"/>
          <w:spacing w:val="-5"/>
          <w:vertAlign w:val="baseline"/>
        </w:rPr>
        <w:t> </w:t>
      </w:r>
      <w:r>
        <w:rPr>
          <w:color w:val="231F20"/>
          <w:spacing w:val="-4"/>
          <w:vertAlign w:val="baseline"/>
        </w:rPr>
        <w:t>encore </w:t>
      </w:r>
      <w:r>
        <w:rPr>
          <w:color w:val="231F20"/>
          <w:vertAlign w:val="baseline"/>
        </w:rPr>
        <w:t>largement inexplorées</w:t>
      </w:r>
      <w:r>
        <w:rPr>
          <w:color w:val="231F20"/>
          <w:spacing w:val="-12"/>
          <w:vertAlign w:val="baseline"/>
        </w:rPr>
        <w:t> </w:t>
      </w:r>
      <w:r>
        <w:rPr>
          <w:color w:val="231F20"/>
          <w:vertAlign w:val="baseline"/>
        </w:rPr>
        <w:t>à cause de l'instabilité du Sahel dans son </w:t>
      </w:r>
      <w:r>
        <w:rPr>
          <w:color w:val="231F20"/>
          <w:spacing w:val="-4"/>
          <w:vertAlign w:val="baseline"/>
        </w:rPr>
        <w:t>ensemble</w:t>
      </w:r>
      <w:r>
        <w:rPr>
          <w:color w:val="231F20"/>
          <w:vertAlign w:val="baseline"/>
        </w:rPr>
        <w:t> </w:t>
      </w:r>
      <w:r>
        <w:rPr>
          <w:color w:val="231F20"/>
          <w:spacing w:val="-4"/>
          <w:vertAlign w:val="baseline"/>
        </w:rPr>
        <w:t>:</w:t>
      </w:r>
      <w:r>
        <w:rPr>
          <w:color w:val="231F20"/>
          <w:spacing w:val="-8"/>
          <w:vertAlign w:val="baseline"/>
        </w:rPr>
        <w:t> </w:t>
      </w:r>
      <w:r>
        <w:rPr>
          <w:color w:val="231F20"/>
          <w:spacing w:val="-4"/>
          <w:vertAlign w:val="baseline"/>
        </w:rPr>
        <w:t>les</w:t>
      </w:r>
      <w:r>
        <w:rPr>
          <w:color w:val="231F20"/>
          <w:spacing w:val="-7"/>
          <w:vertAlign w:val="baseline"/>
        </w:rPr>
        <w:t> </w:t>
      </w:r>
      <w:r>
        <w:rPr>
          <w:color w:val="231F20"/>
          <w:spacing w:val="-4"/>
          <w:vertAlign w:val="baseline"/>
        </w:rPr>
        <w:t>groupes</w:t>
      </w:r>
      <w:r>
        <w:rPr>
          <w:color w:val="231F20"/>
          <w:spacing w:val="-8"/>
          <w:vertAlign w:val="baseline"/>
        </w:rPr>
        <w:t> </w:t>
      </w:r>
      <w:r>
        <w:rPr>
          <w:color w:val="231F20"/>
          <w:spacing w:val="-4"/>
          <w:vertAlign w:val="baseline"/>
        </w:rPr>
        <w:t>islamistes</w:t>
      </w:r>
      <w:r>
        <w:rPr>
          <w:color w:val="231F20"/>
          <w:spacing w:val="-10"/>
          <w:vertAlign w:val="baseline"/>
        </w:rPr>
        <w:t> </w:t>
      </w:r>
      <w:r>
        <w:rPr>
          <w:color w:val="231F20"/>
          <w:spacing w:val="-4"/>
          <w:vertAlign w:val="baseline"/>
        </w:rPr>
        <w:t>et</w:t>
      </w:r>
      <w:r>
        <w:rPr>
          <w:color w:val="231F20"/>
          <w:spacing w:val="-8"/>
          <w:vertAlign w:val="baseline"/>
        </w:rPr>
        <w:t> </w:t>
      </w:r>
      <w:r>
        <w:rPr>
          <w:color w:val="231F20"/>
          <w:spacing w:val="-4"/>
          <w:vertAlign w:val="baseline"/>
        </w:rPr>
        <w:t>les</w:t>
      </w:r>
      <w:r>
        <w:rPr>
          <w:color w:val="231F20"/>
          <w:spacing w:val="-8"/>
          <w:vertAlign w:val="baseline"/>
        </w:rPr>
        <w:t> </w:t>
      </w:r>
      <w:r>
        <w:rPr>
          <w:color w:val="231F20"/>
          <w:spacing w:val="-4"/>
          <w:vertAlign w:val="baseline"/>
        </w:rPr>
        <w:t>narcotrafiquants</w:t>
      </w:r>
      <w:r>
        <w:rPr>
          <w:color w:val="231F20"/>
          <w:spacing w:val="-8"/>
          <w:vertAlign w:val="baseline"/>
        </w:rPr>
        <w:t> </w:t>
      </w:r>
      <w:r>
        <w:rPr>
          <w:color w:val="231F20"/>
          <w:spacing w:val="-4"/>
          <w:vertAlign w:val="baseline"/>
        </w:rPr>
        <w:t>trouvent</w:t>
      </w:r>
      <w:r>
        <w:rPr>
          <w:color w:val="231F20"/>
          <w:spacing w:val="-8"/>
          <w:vertAlign w:val="baseline"/>
        </w:rPr>
        <w:t> </w:t>
      </w:r>
      <w:r>
        <w:rPr>
          <w:color w:val="231F20"/>
          <w:spacing w:val="-4"/>
          <w:vertAlign w:val="baseline"/>
        </w:rPr>
        <w:t>là,</w:t>
      </w:r>
      <w:r>
        <w:rPr>
          <w:color w:val="231F20"/>
          <w:spacing w:val="-8"/>
          <w:vertAlign w:val="baseline"/>
        </w:rPr>
        <w:t> </w:t>
      </w:r>
      <w:r>
        <w:rPr>
          <w:color w:val="231F20"/>
          <w:spacing w:val="-4"/>
          <w:vertAlign w:val="baseline"/>
        </w:rPr>
        <w:t>un</w:t>
      </w:r>
      <w:r>
        <w:rPr>
          <w:color w:val="231F20"/>
          <w:spacing w:val="-11"/>
          <w:vertAlign w:val="baseline"/>
        </w:rPr>
        <w:t> </w:t>
      </w:r>
      <w:r>
        <w:rPr>
          <w:color w:val="231F20"/>
          <w:spacing w:val="-4"/>
          <w:vertAlign w:val="baseline"/>
        </w:rPr>
        <w:t>no man’s</w:t>
      </w:r>
      <w:r>
        <w:rPr>
          <w:color w:val="231F20"/>
          <w:spacing w:val="-11"/>
          <w:vertAlign w:val="baseline"/>
        </w:rPr>
        <w:t> </w:t>
      </w:r>
      <w:r>
        <w:rPr>
          <w:color w:val="231F20"/>
          <w:spacing w:val="-4"/>
          <w:vertAlign w:val="baseline"/>
        </w:rPr>
        <w:t>land</w:t>
      </w:r>
      <w:r>
        <w:rPr>
          <w:color w:val="231F20"/>
          <w:spacing w:val="-11"/>
          <w:vertAlign w:val="baseline"/>
        </w:rPr>
        <w:t> </w:t>
      </w:r>
      <w:r>
        <w:rPr>
          <w:color w:val="231F20"/>
          <w:spacing w:val="-4"/>
          <w:vertAlign w:val="baseline"/>
        </w:rPr>
        <w:t>favorable</w:t>
      </w:r>
      <w:r>
        <w:rPr>
          <w:color w:val="231F20"/>
          <w:spacing w:val="-11"/>
          <w:vertAlign w:val="baseline"/>
        </w:rPr>
        <w:t> </w:t>
      </w:r>
      <w:r>
        <w:rPr>
          <w:color w:val="231F20"/>
          <w:spacing w:val="-4"/>
          <w:vertAlign w:val="baseline"/>
        </w:rPr>
        <w:t>aux</w:t>
      </w:r>
      <w:r>
        <w:rPr>
          <w:color w:val="231F20"/>
          <w:spacing w:val="-11"/>
          <w:vertAlign w:val="baseline"/>
        </w:rPr>
        <w:t> </w:t>
      </w:r>
      <w:r>
        <w:rPr>
          <w:color w:val="231F20"/>
          <w:spacing w:val="-4"/>
          <w:vertAlign w:val="baseline"/>
        </w:rPr>
        <w:t>divers</w:t>
      </w:r>
      <w:r>
        <w:rPr>
          <w:color w:val="231F20"/>
          <w:spacing w:val="-11"/>
          <w:vertAlign w:val="baseline"/>
        </w:rPr>
        <w:t> </w:t>
      </w:r>
      <w:r>
        <w:rPr>
          <w:color w:val="231F20"/>
          <w:spacing w:val="-4"/>
          <w:vertAlign w:val="baseline"/>
        </w:rPr>
        <w:t>trafics</w:t>
      </w:r>
      <w:r>
        <w:rPr>
          <w:color w:val="231F20"/>
          <w:spacing w:val="-11"/>
          <w:vertAlign w:val="baseline"/>
        </w:rPr>
        <w:t> </w:t>
      </w:r>
      <w:r>
        <w:rPr>
          <w:color w:val="231F20"/>
          <w:spacing w:val="-4"/>
          <w:vertAlign w:val="baseline"/>
        </w:rPr>
        <w:t>(armes,</w:t>
      </w:r>
      <w:r>
        <w:rPr>
          <w:color w:val="231F20"/>
          <w:spacing w:val="-11"/>
          <w:vertAlign w:val="baseline"/>
        </w:rPr>
        <w:t> </w:t>
      </w:r>
      <w:r>
        <w:rPr>
          <w:color w:val="231F20"/>
          <w:spacing w:val="-4"/>
          <w:vertAlign w:val="baseline"/>
        </w:rPr>
        <w:t>drogue),</w:t>
      </w:r>
      <w:r>
        <w:rPr>
          <w:color w:val="231F20"/>
          <w:spacing w:val="-11"/>
          <w:vertAlign w:val="baseline"/>
        </w:rPr>
        <w:t> </w:t>
      </w:r>
      <w:r>
        <w:rPr>
          <w:color w:val="231F20"/>
          <w:spacing w:val="-4"/>
          <w:vertAlign w:val="baseline"/>
        </w:rPr>
        <w:t>à</w:t>
      </w:r>
      <w:r>
        <w:rPr>
          <w:color w:val="231F20"/>
          <w:spacing w:val="-11"/>
          <w:vertAlign w:val="baseline"/>
        </w:rPr>
        <w:t> </w:t>
      </w:r>
      <w:r>
        <w:rPr>
          <w:color w:val="231F20"/>
          <w:spacing w:val="-4"/>
          <w:vertAlign w:val="baseline"/>
        </w:rPr>
        <w:t>la</w:t>
      </w:r>
      <w:r>
        <w:rPr>
          <w:color w:val="231F20"/>
          <w:spacing w:val="-11"/>
          <w:vertAlign w:val="baseline"/>
        </w:rPr>
        <w:t> </w:t>
      </w:r>
      <w:r>
        <w:rPr>
          <w:color w:val="231F20"/>
          <w:spacing w:val="-4"/>
          <w:vertAlign w:val="baseline"/>
        </w:rPr>
        <w:t>prise</w:t>
      </w:r>
      <w:r>
        <w:rPr>
          <w:color w:val="231F20"/>
          <w:spacing w:val="-11"/>
          <w:vertAlign w:val="baseline"/>
        </w:rPr>
        <w:t> </w:t>
      </w:r>
      <w:r>
        <w:rPr>
          <w:color w:val="231F20"/>
          <w:spacing w:val="-4"/>
          <w:vertAlign w:val="baseline"/>
        </w:rPr>
        <w:t>d’otages </w:t>
      </w:r>
      <w:r>
        <w:rPr>
          <w:color w:val="231F20"/>
          <w:vertAlign w:val="baseline"/>
        </w:rPr>
        <w:t>et aux entraînements de djihadistes. Les combats armés entre groupes rebelles</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forces</w:t>
      </w:r>
      <w:r>
        <w:rPr>
          <w:color w:val="231F20"/>
          <w:spacing w:val="-15"/>
          <w:vertAlign w:val="baseline"/>
        </w:rPr>
        <w:t> </w:t>
      </w:r>
      <w:r>
        <w:rPr>
          <w:color w:val="231F20"/>
          <w:vertAlign w:val="baseline"/>
        </w:rPr>
        <w:t>armées</w:t>
      </w:r>
      <w:r>
        <w:rPr>
          <w:color w:val="231F20"/>
          <w:spacing w:val="-15"/>
          <w:vertAlign w:val="baseline"/>
        </w:rPr>
        <w:t> </w:t>
      </w:r>
      <w:r>
        <w:rPr>
          <w:color w:val="231F20"/>
          <w:vertAlign w:val="baseline"/>
        </w:rPr>
        <w:t>Maliennes</w:t>
      </w:r>
      <w:r>
        <w:rPr>
          <w:color w:val="231F20"/>
          <w:spacing w:val="-15"/>
          <w:vertAlign w:val="baseline"/>
        </w:rPr>
        <w:t> </w:t>
      </w:r>
      <w:r>
        <w:rPr>
          <w:color w:val="231F20"/>
          <w:vertAlign w:val="baseline"/>
        </w:rPr>
        <w:t>dans</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régions</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nord</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pays</w:t>
      </w:r>
      <w:r>
        <w:rPr>
          <w:color w:val="231F20"/>
          <w:spacing w:val="-15"/>
          <w:vertAlign w:val="baseline"/>
        </w:rPr>
        <w:t> </w:t>
      </w:r>
      <w:r>
        <w:rPr>
          <w:color w:val="231F20"/>
          <w:vertAlign w:val="baseline"/>
        </w:rPr>
        <w:t>ont un</w:t>
      </w:r>
      <w:r>
        <w:rPr>
          <w:color w:val="231F20"/>
          <w:spacing w:val="-15"/>
          <w:vertAlign w:val="baseline"/>
        </w:rPr>
        <w:t> </w:t>
      </w:r>
      <w:r>
        <w:rPr>
          <w:color w:val="231F20"/>
          <w:vertAlign w:val="baseline"/>
        </w:rPr>
        <w:t>impact</w:t>
      </w:r>
      <w:r>
        <w:rPr>
          <w:color w:val="231F20"/>
          <w:spacing w:val="-15"/>
          <w:vertAlign w:val="baseline"/>
        </w:rPr>
        <w:t> </w:t>
      </w:r>
      <w:r>
        <w:rPr>
          <w:color w:val="231F20"/>
          <w:vertAlign w:val="baseline"/>
        </w:rPr>
        <w:t>sur</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projets</w:t>
      </w:r>
      <w:r>
        <w:rPr>
          <w:color w:val="231F20"/>
          <w:spacing w:val="-15"/>
          <w:vertAlign w:val="baseline"/>
        </w:rPr>
        <w:t> </w:t>
      </w:r>
      <w:r>
        <w:rPr>
          <w:color w:val="231F20"/>
          <w:vertAlign w:val="baseline"/>
        </w:rPr>
        <w:t>économiques</w:t>
      </w:r>
      <w:r>
        <w:rPr>
          <w:color w:val="231F20"/>
          <w:spacing w:val="-15"/>
          <w:vertAlign w:val="baseline"/>
        </w:rPr>
        <w:t> </w:t>
      </w:r>
      <w:r>
        <w:rPr>
          <w:color w:val="231F20"/>
          <w:vertAlign w:val="baseline"/>
        </w:rPr>
        <w:t>dans</w:t>
      </w:r>
      <w:r>
        <w:rPr>
          <w:color w:val="231F20"/>
          <w:spacing w:val="-15"/>
          <w:vertAlign w:val="baseline"/>
        </w:rPr>
        <w:t> </w:t>
      </w:r>
      <w:r>
        <w:rPr>
          <w:color w:val="231F20"/>
          <w:vertAlign w:val="baseline"/>
        </w:rPr>
        <w:t>toute</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région</w:t>
      </w:r>
      <w:r>
        <w:rPr>
          <w:color w:val="231F20"/>
          <w:spacing w:val="-15"/>
          <w:vertAlign w:val="baseline"/>
        </w:rPr>
        <w:t> </w:t>
      </w:r>
      <w:r>
        <w:rPr>
          <w:color w:val="231F20"/>
          <w:vertAlign w:val="baseline"/>
        </w:rPr>
        <w:t>du</w:t>
      </w:r>
      <w:r>
        <w:rPr>
          <w:color w:val="231F20"/>
          <w:spacing w:val="-15"/>
          <w:vertAlign w:val="baseline"/>
        </w:rPr>
        <w:t> </w:t>
      </w:r>
      <w:r>
        <w:rPr>
          <w:color w:val="231F20"/>
          <w:vertAlign w:val="baseline"/>
        </w:rPr>
        <w:t>Sahel,</w:t>
      </w:r>
      <w:r>
        <w:rPr>
          <w:color w:val="231F20"/>
          <w:spacing w:val="-15"/>
          <w:vertAlign w:val="baseline"/>
        </w:rPr>
        <w:t> </w:t>
      </w:r>
      <w:r>
        <w:rPr>
          <w:color w:val="231F20"/>
          <w:vertAlign w:val="baseline"/>
        </w:rPr>
        <w:t>une zone</w:t>
      </w:r>
      <w:r>
        <w:rPr>
          <w:color w:val="231F20"/>
          <w:spacing w:val="-15"/>
          <w:vertAlign w:val="baseline"/>
        </w:rPr>
        <w:t> </w:t>
      </w:r>
      <w:r>
        <w:rPr>
          <w:color w:val="231F20"/>
          <w:vertAlign w:val="baseline"/>
        </w:rPr>
        <w:t>très</w:t>
      </w:r>
      <w:r>
        <w:rPr>
          <w:color w:val="231F20"/>
          <w:spacing w:val="-15"/>
          <w:vertAlign w:val="baseline"/>
        </w:rPr>
        <w:t> </w:t>
      </w:r>
      <w:r>
        <w:rPr>
          <w:color w:val="231F20"/>
          <w:vertAlign w:val="baseline"/>
        </w:rPr>
        <w:t>convoitée</w:t>
      </w:r>
      <w:r>
        <w:rPr>
          <w:color w:val="231F20"/>
          <w:spacing w:val="-15"/>
          <w:vertAlign w:val="baseline"/>
        </w:rPr>
        <w:t> </w:t>
      </w:r>
      <w:r>
        <w:rPr>
          <w:color w:val="231F20"/>
          <w:vertAlign w:val="baseline"/>
        </w:rPr>
        <w:t>aussi</w:t>
      </w:r>
      <w:r>
        <w:rPr>
          <w:color w:val="231F20"/>
          <w:spacing w:val="-15"/>
          <w:vertAlign w:val="baseline"/>
        </w:rPr>
        <w:t> </w:t>
      </w:r>
      <w:r>
        <w:rPr>
          <w:color w:val="231F20"/>
          <w:vertAlign w:val="baseline"/>
        </w:rPr>
        <w:t>bien</w:t>
      </w:r>
      <w:r>
        <w:rPr>
          <w:color w:val="231F20"/>
          <w:spacing w:val="-15"/>
          <w:vertAlign w:val="baseline"/>
        </w:rPr>
        <w:t> </w:t>
      </w:r>
      <w:r>
        <w:rPr>
          <w:color w:val="231F20"/>
          <w:vertAlign w:val="baseline"/>
        </w:rPr>
        <w:t>sur</w:t>
      </w:r>
      <w:r>
        <w:rPr>
          <w:color w:val="231F20"/>
          <w:spacing w:val="-15"/>
          <w:vertAlign w:val="baseline"/>
        </w:rPr>
        <w:t> </w:t>
      </w:r>
      <w:r>
        <w:rPr>
          <w:color w:val="231F20"/>
          <w:vertAlign w:val="baseline"/>
        </w:rPr>
        <w:t>le</w:t>
      </w:r>
      <w:r>
        <w:rPr>
          <w:color w:val="231F20"/>
          <w:spacing w:val="-15"/>
          <w:vertAlign w:val="baseline"/>
        </w:rPr>
        <w:t> </w:t>
      </w:r>
      <w:r>
        <w:rPr>
          <w:color w:val="231F20"/>
          <w:vertAlign w:val="baseline"/>
        </w:rPr>
        <w:t>plan</w:t>
      </w:r>
      <w:r>
        <w:rPr>
          <w:color w:val="231F20"/>
          <w:spacing w:val="-15"/>
          <w:vertAlign w:val="baseline"/>
        </w:rPr>
        <w:t> </w:t>
      </w:r>
      <w:r>
        <w:rPr>
          <w:color w:val="231F20"/>
          <w:vertAlign w:val="baseline"/>
        </w:rPr>
        <w:t>stratégique</w:t>
      </w:r>
      <w:r>
        <w:rPr>
          <w:color w:val="231F20"/>
          <w:spacing w:val="-15"/>
          <w:vertAlign w:val="baseline"/>
        </w:rPr>
        <w:t> </w:t>
      </w:r>
      <w:r>
        <w:rPr>
          <w:color w:val="231F20"/>
          <w:vertAlign w:val="baseline"/>
        </w:rPr>
        <w:t>qu’économique,</w:t>
      </w:r>
      <w:r>
        <w:rPr>
          <w:color w:val="231F20"/>
          <w:spacing w:val="-15"/>
          <w:vertAlign w:val="baseline"/>
        </w:rPr>
        <w:t> </w:t>
      </w:r>
      <w:r>
        <w:rPr>
          <w:color w:val="231F20"/>
          <w:vertAlign w:val="baseline"/>
        </w:rPr>
        <w:t>au regard</w:t>
      </w:r>
      <w:r>
        <w:rPr>
          <w:color w:val="231F20"/>
          <w:spacing w:val="-9"/>
          <w:vertAlign w:val="baseline"/>
        </w:rPr>
        <w:t> </w:t>
      </w:r>
      <w:r>
        <w:rPr>
          <w:color w:val="231F20"/>
          <w:vertAlign w:val="baseline"/>
        </w:rPr>
        <w:t>des</w:t>
      </w:r>
      <w:r>
        <w:rPr>
          <w:color w:val="231F20"/>
          <w:spacing w:val="-9"/>
          <w:vertAlign w:val="baseline"/>
        </w:rPr>
        <w:t> </w:t>
      </w:r>
      <w:r>
        <w:rPr>
          <w:color w:val="231F20"/>
          <w:vertAlign w:val="baseline"/>
        </w:rPr>
        <w:t>richesses</w:t>
      </w:r>
      <w:r>
        <w:rPr>
          <w:color w:val="231F20"/>
          <w:spacing w:val="-11"/>
          <w:vertAlign w:val="baseline"/>
        </w:rPr>
        <w:t> </w:t>
      </w:r>
      <w:r>
        <w:rPr>
          <w:color w:val="231F20"/>
          <w:vertAlign w:val="baseline"/>
        </w:rPr>
        <w:t>minières</w:t>
      </w:r>
      <w:r>
        <w:rPr>
          <w:color w:val="231F20"/>
          <w:spacing w:val="-9"/>
          <w:vertAlign w:val="baseline"/>
        </w:rPr>
        <w:t> </w:t>
      </w:r>
      <w:r>
        <w:rPr>
          <w:color w:val="231F20"/>
          <w:vertAlign w:val="baseline"/>
        </w:rPr>
        <w:t>et</w:t>
      </w:r>
      <w:r>
        <w:rPr>
          <w:color w:val="231F20"/>
          <w:spacing w:val="-9"/>
          <w:vertAlign w:val="baseline"/>
        </w:rPr>
        <w:t> </w:t>
      </w:r>
      <w:r>
        <w:rPr>
          <w:color w:val="231F20"/>
          <w:vertAlign w:val="baseline"/>
        </w:rPr>
        <w:t>énergétiques</w:t>
      </w:r>
      <w:r>
        <w:rPr>
          <w:color w:val="231F20"/>
          <w:spacing w:val="-9"/>
          <w:vertAlign w:val="baseline"/>
        </w:rPr>
        <w:t> </w:t>
      </w:r>
      <w:r>
        <w:rPr>
          <w:color w:val="231F20"/>
          <w:vertAlign w:val="baseline"/>
        </w:rPr>
        <w:t>dont</w:t>
      </w:r>
      <w:r>
        <w:rPr>
          <w:color w:val="231F20"/>
          <w:spacing w:val="-9"/>
          <w:vertAlign w:val="baseline"/>
        </w:rPr>
        <w:t> </w:t>
      </w:r>
      <w:r>
        <w:rPr>
          <w:color w:val="231F20"/>
          <w:vertAlign w:val="baseline"/>
        </w:rPr>
        <w:t>elle</w:t>
      </w:r>
      <w:r>
        <w:rPr>
          <w:color w:val="231F20"/>
          <w:spacing w:val="-9"/>
          <w:vertAlign w:val="baseline"/>
        </w:rPr>
        <w:t> </w:t>
      </w:r>
      <w:r>
        <w:rPr>
          <w:color w:val="231F20"/>
          <w:vertAlign w:val="baseline"/>
        </w:rPr>
        <w:t>regorgerait.</w:t>
      </w:r>
    </w:p>
    <w:p>
      <w:pPr>
        <w:pStyle w:val="BodyText"/>
        <w:spacing w:before="121"/>
        <w:ind w:right="105" w:firstLine="283"/>
      </w:pPr>
      <w:r>
        <w:rPr>
          <w:color w:val="231F20"/>
        </w:rPr>
        <w:t>Compte</w:t>
      </w:r>
      <w:r>
        <w:rPr>
          <w:color w:val="231F20"/>
          <w:spacing w:val="-8"/>
        </w:rPr>
        <w:t> </w:t>
      </w:r>
      <w:r>
        <w:rPr>
          <w:color w:val="231F20"/>
        </w:rPr>
        <w:t>tenu</w:t>
      </w:r>
      <w:r>
        <w:rPr>
          <w:color w:val="231F20"/>
          <w:spacing w:val="-7"/>
        </w:rPr>
        <w:t> </w:t>
      </w:r>
      <w:r>
        <w:rPr>
          <w:color w:val="231F20"/>
        </w:rPr>
        <w:t>de</w:t>
      </w:r>
      <w:r>
        <w:rPr>
          <w:color w:val="231F20"/>
          <w:spacing w:val="-8"/>
        </w:rPr>
        <w:t> </w:t>
      </w:r>
      <w:r>
        <w:rPr>
          <w:color w:val="231F20"/>
        </w:rPr>
        <w:t>l’instabilité</w:t>
      </w:r>
      <w:r>
        <w:rPr>
          <w:color w:val="231F20"/>
          <w:spacing w:val="-8"/>
        </w:rPr>
        <w:t> </w:t>
      </w:r>
      <w:r>
        <w:rPr>
          <w:color w:val="231F20"/>
        </w:rPr>
        <w:t>politique</w:t>
      </w:r>
      <w:r>
        <w:rPr>
          <w:color w:val="231F20"/>
          <w:spacing w:val="-8"/>
        </w:rPr>
        <w:t> </w:t>
      </w:r>
      <w:r>
        <w:rPr>
          <w:color w:val="231F20"/>
        </w:rPr>
        <w:t>du</w:t>
      </w:r>
      <w:r>
        <w:rPr>
          <w:color w:val="231F20"/>
          <w:spacing w:val="-7"/>
        </w:rPr>
        <w:t> </w:t>
      </w:r>
      <w:r>
        <w:rPr>
          <w:color w:val="231F20"/>
        </w:rPr>
        <w:t>pays</w:t>
      </w:r>
      <w:r>
        <w:rPr>
          <w:color w:val="231F20"/>
          <w:spacing w:val="-7"/>
        </w:rPr>
        <w:t> </w:t>
      </w:r>
      <w:r>
        <w:rPr>
          <w:color w:val="231F20"/>
        </w:rPr>
        <w:t>depuis</w:t>
      </w:r>
      <w:r>
        <w:rPr>
          <w:color w:val="231F20"/>
          <w:spacing w:val="-7"/>
        </w:rPr>
        <w:t> </w:t>
      </w:r>
      <w:r>
        <w:rPr>
          <w:color w:val="231F20"/>
        </w:rPr>
        <w:t>1960,</w:t>
      </w:r>
      <w:r>
        <w:rPr>
          <w:color w:val="231F20"/>
          <w:spacing w:val="-7"/>
        </w:rPr>
        <w:t> </w:t>
      </w:r>
      <w:r>
        <w:rPr>
          <w:color w:val="231F20"/>
        </w:rPr>
        <w:t>le</w:t>
      </w:r>
      <w:r>
        <w:rPr>
          <w:color w:val="231F20"/>
          <w:spacing w:val="-9"/>
        </w:rPr>
        <w:t> </w:t>
      </w:r>
      <w:r>
        <w:rPr>
          <w:color w:val="231F20"/>
        </w:rPr>
        <w:t>Tchad </w:t>
      </w:r>
      <w:r>
        <w:rPr>
          <w:color w:val="231F20"/>
          <w:spacing w:val="-2"/>
        </w:rPr>
        <w:t>est</w:t>
      </w:r>
      <w:r>
        <w:rPr>
          <w:color w:val="231F20"/>
          <w:spacing w:val="-15"/>
        </w:rPr>
        <w:t> </w:t>
      </w:r>
      <w:r>
        <w:rPr>
          <w:color w:val="231F20"/>
          <w:spacing w:val="-2"/>
        </w:rPr>
        <w:t>le</w:t>
      </w:r>
      <w:r>
        <w:rPr>
          <w:color w:val="231F20"/>
          <w:spacing w:val="-13"/>
        </w:rPr>
        <w:t> </w:t>
      </w:r>
      <w:r>
        <w:rPr>
          <w:color w:val="231F20"/>
          <w:spacing w:val="-2"/>
        </w:rPr>
        <w:t>pays</w:t>
      </w:r>
      <w:r>
        <w:rPr>
          <w:color w:val="231F20"/>
          <w:spacing w:val="-13"/>
        </w:rPr>
        <w:t> </w:t>
      </w:r>
      <w:r>
        <w:rPr>
          <w:color w:val="231F20"/>
          <w:spacing w:val="-2"/>
        </w:rPr>
        <w:t>d’Afrique</w:t>
      </w:r>
      <w:r>
        <w:rPr>
          <w:color w:val="231F20"/>
          <w:spacing w:val="-13"/>
        </w:rPr>
        <w:t> </w:t>
      </w:r>
      <w:r>
        <w:rPr>
          <w:color w:val="231F20"/>
          <w:spacing w:val="-2"/>
        </w:rPr>
        <w:t>qui</w:t>
      </w:r>
      <w:r>
        <w:rPr>
          <w:color w:val="231F20"/>
          <w:spacing w:val="-13"/>
        </w:rPr>
        <w:t> </w:t>
      </w:r>
      <w:r>
        <w:rPr>
          <w:color w:val="231F20"/>
          <w:spacing w:val="-2"/>
        </w:rPr>
        <w:t>a</w:t>
      </w:r>
      <w:r>
        <w:rPr>
          <w:color w:val="231F20"/>
          <w:spacing w:val="-13"/>
        </w:rPr>
        <w:t> </w:t>
      </w:r>
      <w:r>
        <w:rPr>
          <w:color w:val="231F20"/>
          <w:spacing w:val="-2"/>
        </w:rPr>
        <w:t>connu</w:t>
      </w:r>
      <w:r>
        <w:rPr>
          <w:color w:val="231F20"/>
          <w:spacing w:val="-13"/>
        </w:rPr>
        <w:t> </w:t>
      </w:r>
      <w:r>
        <w:rPr>
          <w:color w:val="231F20"/>
          <w:spacing w:val="-2"/>
        </w:rPr>
        <w:t>le</w:t>
      </w:r>
      <w:r>
        <w:rPr>
          <w:color w:val="231F20"/>
          <w:spacing w:val="-13"/>
        </w:rPr>
        <w:t> </w:t>
      </w:r>
      <w:r>
        <w:rPr>
          <w:color w:val="231F20"/>
          <w:spacing w:val="-2"/>
        </w:rPr>
        <w:t>plus</w:t>
      </w:r>
      <w:r>
        <w:rPr>
          <w:color w:val="231F20"/>
          <w:spacing w:val="-13"/>
        </w:rPr>
        <w:t> </w:t>
      </w:r>
      <w:r>
        <w:rPr>
          <w:color w:val="231F20"/>
          <w:spacing w:val="-2"/>
        </w:rPr>
        <w:t>grand</w:t>
      </w:r>
      <w:r>
        <w:rPr>
          <w:color w:val="231F20"/>
          <w:spacing w:val="-13"/>
        </w:rPr>
        <w:t> </w:t>
      </w:r>
      <w:r>
        <w:rPr>
          <w:color w:val="231F20"/>
          <w:spacing w:val="-2"/>
        </w:rPr>
        <w:t>nombre</w:t>
      </w:r>
      <w:r>
        <w:rPr>
          <w:color w:val="231F20"/>
          <w:spacing w:val="-13"/>
        </w:rPr>
        <w:t> </w:t>
      </w:r>
      <w:r>
        <w:rPr>
          <w:color w:val="231F20"/>
          <w:spacing w:val="-2"/>
        </w:rPr>
        <w:t>d’interventions</w:t>
      </w:r>
      <w:r>
        <w:rPr>
          <w:color w:val="231F20"/>
          <w:spacing w:val="-13"/>
        </w:rPr>
        <w:t> </w:t>
      </w:r>
      <w:r>
        <w:rPr>
          <w:color w:val="231F20"/>
          <w:spacing w:val="-2"/>
        </w:rPr>
        <w:t>de </w:t>
      </w:r>
      <w:r>
        <w:rPr>
          <w:color w:val="231F20"/>
        </w:rPr>
        <w:t>l’Armée française depuis l’indépendance.</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7"/>
        <w:ind w:left="0"/>
        <w:jc w:val="left"/>
        <w:rPr>
          <w:sz w:val="20"/>
        </w:rPr>
      </w:pPr>
      <w:r>
        <w:rPr/>
        <mc:AlternateContent>
          <mc:Choice Requires="wps">
            <w:drawing>
              <wp:anchor distT="0" distB="0" distL="0" distR="0" allowOverlap="1" layoutInCell="1" locked="0" behindDoc="1" simplePos="0" relativeHeight="487662592">
                <wp:simplePos x="0" y="0"/>
                <wp:positionH relativeFrom="page">
                  <wp:posOffset>629907</wp:posOffset>
                </wp:positionH>
                <wp:positionV relativeFrom="paragraph">
                  <wp:posOffset>166311</wp:posOffset>
                </wp:positionV>
                <wp:extent cx="1829435" cy="9525"/>
                <wp:effectExtent l="0" t="0" r="0" b="0"/>
                <wp:wrapTopAndBottom/>
                <wp:docPr id="178" name="Graphic 178"/>
                <wp:cNvGraphicFramePr>
                  <a:graphicFrameLocks/>
                </wp:cNvGraphicFramePr>
                <a:graphic>
                  <a:graphicData uri="http://schemas.microsoft.com/office/word/2010/wordprocessingShape">
                    <wps:wsp>
                      <wps:cNvPr id="178" name="Graphic 17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095429pt;width:144.020pt;height:.72pt;mso-position-horizontal-relative:page;mso-position-vertical-relative:paragraph;z-index:-15653888;mso-wrap-distance-left:0;mso-wrap-distance-right:0" id="docshape176" filled="true" fillcolor="#231f20" stroked="false">
                <v:fill type="solid"/>
                <w10:wrap type="topAndBottom"/>
              </v:rect>
            </w:pict>
          </mc:Fallback>
        </mc:AlternateContent>
      </w:r>
    </w:p>
    <w:p>
      <w:pPr>
        <w:spacing w:before="91"/>
        <w:ind w:left="111" w:right="0" w:firstLine="0"/>
        <w:jc w:val="left"/>
        <w:rPr>
          <w:sz w:val="20"/>
        </w:rPr>
      </w:pPr>
      <w:r>
        <w:rPr>
          <w:color w:val="76787A"/>
          <w:sz w:val="20"/>
          <w:vertAlign w:val="superscript"/>
        </w:rPr>
        <w:t>243</w:t>
      </w:r>
      <w:r>
        <w:rPr>
          <w:color w:val="76787A"/>
          <w:spacing w:val="-10"/>
          <w:sz w:val="20"/>
          <w:vertAlign w:val="baseline"/>
        </w:rPr>
        <w:t> </w:t>
      </w:r>
      <w:r>
        <w:rPr>
          <w:color w:val="231F20"/>
          <w:sz w:val="20"/>
          <w:vertAlign w:val="baseline"/>
        </w:rPr>
        <w:t>ONG</w:t>
      </w:r>
      <w:r>
        <w:rPr>
          <w:color w:val="231F20"/>
          <w:spacing w:val="-11"/>
          <w:sz w:val="20"/>
          <w:vertAlign w:val="baseline"/>
        </w:rPr>
        <w:t> </w:t>
      </w:r>
      <w:r>
        <w:rPr>
          <w:color w:val="231F20"/>
          <w:spacing w:val="-2"/>
          <w:sz w:val="20"/>
          <w:vertAlign w:val="baseline"/>
        </w:rPr>
        <w:t>WikiLeaks.</w:t>
      </w:r>
    </w:p>
    <w:p>
      <w:pPr>
        <w:spacing w:before="1"/>
        <w:ind w:left="111" w:right="0" w:firstLine="0"/>
        <w:jc w:val="left"/>
        <w:rPr>
          <w:sz w:val="20"/>
        </w:rPr>
      </w:pPr>
      <w:r>
        <w:rPr>
          <w:color w:val="76787A"/>
          <w:spacing w:val="-2"/>
          <w:sz w:val="20"/>
          <w:vertAlign w:val="superscript"/>
        </w:rPr>
        <w:t>244</w:t>
      </w:r>
      <w:r>
        <w:rPr>
          <w:color w:val="76787A"/>
          <w:spacing w:val="-11"/>
          <w:sz w:val="20"/>
          <w:vertAlign w:val="baseline"/>
        </w:rPr>
        <w:t> </w:t>
      </w:r>
      <w:r>
        <w:rPr>
          <w:color w:val="231F20"/>
          <w:spacing w:val="-2"/>
          <w:sz w:val="20"/>
          <w:vertAlign w:val="baseline"/>
        </w:rPr>
        <w:t>source</w:t>
      </w:r>
      <w:r>
        <w:rPr>
          <w:color w:val="231F20"/>
          <w:spacing w:val="-10"/>
          <w:sz w:val="20"/>
          <w:vertAlign w:val="baseline"/>
        </w:rPr>
        <w:t> </w:t>
      </w:r>
      <w:r>
        <w:rPr>
          <w:color w:val="231F20"/>
          <w:spacing w:val="-2"/>
          <w:sz w:val="20"/>
          <w:vertAlign w:val="baseline"/>
        </w:rPr>
        <w:t>:</w:t>
      </w:r>
      <w:r>
        <w:rPr>
          <w:color w:val="231F20"/>
          <w:spacing w:val="-11"/>
          <w:sz w:val="20"/>
          <w:vertAlign w:val="baseline"/>
        </w:rPr>
        <w:t> </w:t>
      </w:r>
      <w:r>
        <w:rPr>
          <w:color w:val="231F20"/>
          <w:spacing w:val="-2"/>
          <w:sz w:val="20"/>
          <w:vertAlign w:val="baseline"/>
        </w:rPr>
        <w:t>Agence</w:t>
      </w:r>
      <w:r>
        <w:rPr>
          <w:color w:val="231F20"/>
          <w:spacing w:val="-10"/>
          <w:sz w:val="20"/>
          <w:vertAlign w:val="baseline"/>
        </w:rPr>
        <w:t> </w:t>
      </w:r>
      <w:r>
        <w:rPr>
          <w:color w:val="231F20"/>
          <w:spacing w:val="-2"/>
          <w:sz w:val="20"/>
          <w:vertAlign w:val="baseline"/>
        </w:rPr>
        <w:t>pour</w:t>
      </w:r>
      <w:r>
        <w:rPr>
          <w:color w:val="231F20"/>
          <w:spacing w:val="-11"/>
          <w:sz w:val="20"/>
          <w:vertAlign w:val="baseline"/>
        </w:rPr>
        <w:t> </w:t>
      </w:r>
      <w:r>
        <w:rPr>
          <w:color w:val="231F20"/>
          <w:spacing w:val="-2"/>
          <w:sz w:val="20"/>
          <w:vertAlign w:val="baseline"/>
        </w:rPr>
        <w:t>la</w:t>
      </w:r>
      <w:r>
        <w:rPr>
          <w:color w:val="231F20"/>
          <w:spacing w:val="-10"/>
          <w:sz w:val="20"/>
          <w:vertAlign w:val="baseline"/>
        </w:rPr>
        <w:t> </w:t>
      </w:r>
      <w:r>
        <w:rPr>
          <w:color w:val="231F20"/>
          <w:spacing w:val="-2"/>
          <w:sz w:val="20"/>
          <w:vertAlign w:val="baseline"/>
        </w:rPr>
        <w:t>promotion</w:t>
      </w:r>
      <w:r>
        <w:rPr>
          <w:color w:val="231F20"/>
          <w:spacing w:val="-11"/>
          <w:sz w:val="20"/>
          <w:vertAlign w:val="baseline"/>
        </w:rPr>
        <w:t> </w:t>
      </w:r>
      <w:r>
        <w:rPr>
          <w:color w:val="231F20"/>
          <w:spacing w:val="-2"/>
          <w:sz w:val="20"/>
          <w:vertAlign w:val="baseline"/>
        </w:rPr>
        <w:t>des</w:t>
      </w:r>
      <w:r>
        <w:rPr>
          <w:color w:val="231F20"/>
          <w:spacing w:val="-10"/>
          <w:sz w:val="20"/>
          <w:vertAlign w:val="baseline"/>
        </w:rPr>
        <w:t> </w:t>
      </w:r>
      <w:r>
        <w:rPr>
          <w:color w:val="231F20"/>
          <w:spacing w:val="-2"/>
          <w:sz w:val="20"/>
          <w:vertAlign w:val="baseline"/>
        </w:rPr>
        <w:t>investissements</w:t>
      </w:r>
      <w:r>
        <w:rPr>
          <w:color w:val="231F20"/>
          <w:spacing w:val="-11"/>
          <w:sz w:val="20"/>
          <w:vertAlign w:val="baseline"/>
        </w:rPr>
        <w:t> </w:t>
      </w:r>
      <w:r>
        <w:rPr>
          <w:color w:val="231F20"/>
          <w:spacing w:val="-2"/>
          <w:sz w:val="20"/>
          <w:vertAlign w:val="baseline"/>
        </w:rPr>
        <w:t>au</w:t>
      </w:r>
      <w:r>
        <w:rPr>
          <w:color w:val="231F20"/>
          <w:spacing w:val="-10"/>
          <w:sz w:val="20"/>
          <w:vertAlign w:val="baseline"/>
        </w:rPr>
        <w:t> </w:t>
      </w:r>
      <w:r>
        <w:rPr>
          <w:color w:val="231F20"/>
          <w:spacing w:val="-2"/>
          <w:sz w:val="20"/>
          <w:vertAlign w:val="baseline"/>
        </w:rPr>
        <w:t>Mali. </w:t>
      </w:r>
      <w:hyperlink r:id="rId54">
        <w:r>
          <w:rPr>
            <w:color w:val="231F20"/>
            <w:spacing w:val="-2"/>
            <w:sz w:val="20"/>
            <w:vertAlign w:val="baseline"/>
          </w:rPr>
          <w:t>http://www.apimali.gov.ml/uploads/profil_secteurs/mines.pdf.</w:t>
        </w:r>
      </w:hyperlink>
    </w:p>
    <w:p>
      <w:pPr>
        <w:spacing w:before="1"/>
        <w:ind w:left="111" w:right="0" w:firstLine="0"/>
        <w:jc w:val="left"/>
        <w:rPr>
          <w:sz w:val="20"/>
        </w:rPr>
      </w:pPr>
      <w:r>
        <w:rPr>
          <w:color w:val="231F20"/>
          <w:spacing w:val="-4"/>
          <w:sz w:val="20"/>
        </w:rPr>
        <w:t>Sources Fred</w:t>
      </w:r>
      <w:r>
        <w:rPr>
          <w:color w:val="231F20"/>
          <w:spacing w:val="-2"/>
          <w:sz w:val="20"/>
        </w:rPr>
        <w:t> </w:t>
      </w:r>
      <w:r>
        <w:rPr>
          <w:color w:val="231F20"/>
          <w:spacing w:val="-4"/>
          <w:sz w:val="20"/>
        </w:rPr>
        <w:t>Méon</w:t>
      </w:r>
      <w:r>
        <w:rPr>
          <w:color w:val="231F20"/>
          <w:spacing w:val="-3"/>
          <w:sz w:val="20"/>
        </w:rPr>
        <w:t> </w:t>
      </w:r>
      <w:r>
        <w:rPr>
          <w:color w:val="231F20"/>
          <w:spacing w:val="-4"/>
          <w:sz w:val="20"/>
        </w:rPr>
        <w:t>pour Arte.TV.</w:t>
      </w:r>
    </w:p>
    <w:p>
      <w:pPr>
        <w:spacing w:after="0"/>
        <w:jc w:val="left"/>
        <w:rPr>
          <w:sz w:val="20"/>
        </w:rPr>
        <w:sectPr>
          <w:pgSz w:w="8790" w:h="13610"/>
          <w:pgMar w:header="0" w:footer="802" w:top="1060" w:bottom="1000" w:left="880" w:right="880"/>
        </w:sectPr>
      </w:pPr>
    </w:p>
    <w:p>
      <w:pPr>
        <w:pStyle w:val="BodyText"/>
        <w:spacing w:before="66"/>
        <w:ind w:right="106" w:firstLine="283"/>
      </w:pPr>
      <w:r>
        <w:rPr>
          <w:color w:val="231F20"/>
          <w:spacing w:val="-4"/>
        </w:rPr>
        <w:t>Les</w:t>
      </w:r>
      <w:r>
        <w:rPr>
          <w:color w:val="231F20"/>
          <w:spacing w:val="-11"/>
        </w:rPr>
        <w:t> </w:t>
      </w:r>
      <w:r>
        <w:rPr>
          <w:color w:val="231F20"/>
          <w:spacing w:val="-4"/>
        </w:rPr>
        <w:t>premières</w:t>
      </w:r>
      <w:r>
        <w:rPr>
          <w:color w:val="231F20"/>
          <w:spacing w:val="-11"/>
        </w:rPr>
        <w:t> </w:t>
      </w:r>
      <w:r>
        <w:rPr>
          <w:color w:val="231F20"/>
          <w:spacing w:val="-4"/>
        </w:rPr>
        <w:t>troupes</w:t>
      </w:r>
      <w:r>
        <w:rPr>
          <w:color w:val="231F20"/>
          <w:spacing w:val="-11"/>
        </w:rPr>
        <w:t> </w:t>
      </w:r>
      <w:r>
        <w:rPr>
          <w:color w:val="231F20"/>
          <w:spacing w:val="-4"/>
        </w:rPr>
        <w:t>françaises</w:t>
      </w:r>
      <w:r>
        <w:rPr>
          <w:color w:val="231F20"/>
          <w:spacing w:val="-11"/>
        </w:rPr>
        <w:t> </w:t>
      </w:r>
      <w:r>
        <w:rPr>
          <w:color w:val="231F20"/>
          <w:spacing w:val="-4"/>
        </w:rPr>
        <w:t>arrivent</w:t>
      </w:r>
      <w:r>
        <w:rPr>
          <w:color w:val="231F20"/>
          <w:spacing w:val="-11"/>
        </w:rPr>
        <w:t> </w:t>
      </w:r>
      <w:r>
        <w:rPr>
          <w:color w:val="231F20"/>
          <w:spacing w:val="-4"/>
        </w:rPr>
        <w:t>le</w:t>
      </w:r>
      <w:r>
        <w:rPr>
          <w:color w:val="231F20"/>
          <w:spacing w:val="-6"/>
        </w:rPr>
        <w:t> </w:t>
      </w:r>
      <w:r>
        <w:rPr>
          <w:color w:val="231F20"/>
          <w:spacing w:val="-4"/>
        </w:rPr>
        <w:t>25</w:t>
      </w:r>
      <w:r>
        <w:rPr>
          <w:color w:val="231F20"/>
          <w:spacing w:val="-11"/>
        </w:rPr>
        <w:t> </w:t>
      </w:r>
      <w:r>
        <w:rPr>
          <w:color w:val="231F20"/>
          <w:spacing w:val="-4"/>
        </w:rPr>
        <w:t>août</w:t>
      </w:r>
      <w:r>
        <w:rPr>
          <w:color w:val="231F20"/>
          <w:spacing w:val="-11"/>
        </w:rPr>
        <w:t> </w:t>
      </w:r>
      <w:r>
        <w:rPr>
          <w:color w:val="231F20"/>
          <w:spacing w:val="-4"/>
        </w:rPr>
        <w:t>1968</w:t>
      </w:r>
      <w:r>
        <w:rPr>
          <w:color w:val="231F20"/>
          <w:spacing w:val="3"/>
        </w:rPr>
        <w:t> </w:t>
      </w:r>
      <w:r>
        <w:rPr>
          <w:color w:val="231F20"/>
          <w:spacing w:val="-4"/>
        </w:rPr>
        <w:t>pour</w:t>
      </w:r>
      <w:r>
        <w:rPr>
          <w:color w:val="231F20"/>
          <w:spacing w:val="-11"/>
        </w:rPr>
        <w:t> </w:t>
      </w:r>
      <w:r>
        <w:rPr>
          <w:color w:val="231F20"/>
          <w:spacing w:val="-4"/>
        </w:rPr>
        <w:t>soutenir </w:t>
      </w:r>
      <w:r>
        <w:rPr>
          <w:color w:val="231F20"/>
        </w:rPr>
        <w:t>le régime de Tombalbaye contre les troupes du Front de Libération Nationale du Tchad (FROLINAT).</w:t>
      </w:r>
    </w:p>
    <w:p>
      <w:pPr>
        <w:pStyle w:val="BodyText"/>
        <w:spacing w:before="241"/>
        <w:ind w:left="0"/>
        <w:jc w:val="left"/>
      </w:pPr>
    </w:p>
    <w:p>
      <w:pPr>
        <w:pStyle w:val="Heading3"/>
        <w:ind w:right="309"/>
        <w:jc w:val="left"/>
      </w:pPr>
      <w:r>
        <w:rPr>
          <w:i/>
          <w:color w:val="231F20"/>
          <w:spacing w:val="-2"/>
        </w:rPr>
        <w:t>Le</w:t>
      </w:r>
      <w:r>
        <w:rPr>
          <w:i/>
          <w:color w:val="231F20"/>
          <w:spacing w:val="-12"/>
        </w:rPr>
        <w:t> </w:t>
      </w:r>
      <w:r>
        <w:rPr>
          <w:i/>
          <w:color w:val="231F20"/>
          <w:spacing w:val="-2"/>
        </w:rPr>
        <w:t>18</w:t>
      </w:r>
      <w:r>
        <w:rPr>
          <w:i/>
          <w:color w:val="231F20"/>
          <w:spacing w:val="-11"/>
        </w:rPr>
        <w:t> </w:t>
      </w:r>
      <w:r>
        <w:rPr>
          <w:i/>
          <w:color w:val="231F20"/>
          <w:spacing w:val="-2"/>
        </w:rPr>
        <w:t>mars</w:t>
      </w:r>
      <w:r>
        <w:rPr>
          <w:i/>
          <w:color w:val="231F20"/>
          <w:spacing w:val="-11"/>
        </w:rPr>
        <w:t> </w:t>
      </w:r>
      <w:r>
        <w:rPr>
          <w:i/>
          <w:color w:val="231F20"/>
          <w:spacing w:val="-2"/>
        </w:rPr>
        <w:t>1969,</w:t>
      </w:r>
      <w:r>
        <w:rPr>
          <w:i/>
          <w:color w:val="231F20"/>
          <w:spacing w:val="-11"/>
        </w:rPr>
        <w:t> </w:t>
      </w:r>
      <w:r>
        <w:rPr>
          <w:i/>
          <w:color w:val="231F20"/>
          <w:spacing w:val="-2"/>
        </w:rPr>
        <w:t>l’Armée</w:t>
      </w:r>
      <w:r>
        <w:rPr>
          <w:i/>
          <w:color w:val="231F20"/>
          <w:spacing w:val="-12"/>
        </w:rPr>
        <w:t> </w:t>
      </w:r>
      <w:r>
        <w:rPr>
          <w:i/>
          <w:color w:val="231F20"/>
          <w:spacing w:val="-2"/>
        </w:rPr>
        <w:t>française</w:t>
      </w:r>
      <w:r>
        <w:rPr>
          <w:i/>
          <w:color w:val="231F20"/>
          <w:spacing w:val="-11"/>
        </w:rPr>
        <w:t> </w:t>
      </w:r>
      <w:r>
        <w:rPr>
          <w:i/>
          <w:color w:val="231F20"/>
          <w:spacing w:val="-2"/>
        </w:rPr>
        <w:t>revient</w:t>
      </w:r>
      <w:r>
        <w:rPr>
          <w:i/>
          <w:color w:val="231F20"/>
          <w:spacing w:val="-11"/>
        </w:rPr>
        <w:t> </w:t>
      </w:r>
      <w:r>
        <w:rPr>
          <w:i/>
          <w:color w:val="231F20"/>
          <w:spacing w:val="-2"/>
        </w:rPr>
        <w:t>au</w:t>
      </w:r>
      <w:r>
        <w:rPr>
          <w:i/>
          <w:color w:val="231F20"/>
          <w:spacing w:val="-11"/>
        </w:rPr>
        <w:t> </w:t>
      </w:r>
      <w:r>
        <w:rPr>
          <w:i/>
          <w:color w:val="231F20"/>
          <w:spacing w:val="-2"/>
        </w:rPr>
        <w:t>Tchad</w:t>
      </w:r>
      <w:r>
        <w:rPr>
          <w:i/>
          <w:color w:val="231F20"/>
          <w:spacing w:val="-11"/>
        </w:rPr>
        <w:t> </w:t>
      </w:r>
      <w:r>
        <w:rPr>
          <w:i/>
          <w:color w:val="231F20"/>
          <w:spacing w:val="-2"/>
        </w:rPr>
        <w:t>pour</w:t>
      </w:r>
      <w:r>
        <w:rPr>
          <w:color w:val="231F20"/>
          <w:spacing w:val="-2"/>
        </w:rPr>
        <w:t> </w:t>
      </w:r>
      <w:r>
        <w:rPr>
          <w:color w:val="231F20"/>
        </w:rPr>
        <w:t>rétablir</w:t>
      </w:r>
      <w:r>
        <w:rPr>
          <w:color w:val="231F20"/>
          <w:spacing w:val="-4"/>
        </w:rPr>
        <w:t> </w:t>
      </w:r>
      <w:r>
        <w:rPr>
          <w:color w:val="231F20"/>
        </w:rPr>
        <w:t>la</w:t>
      </w:r>
      <w:r>
        <w:rPr>
          <w:color w:val="231F20"/>
          <w:spacing w:val="-2"/>
        </w:rPr>
        <w:t> </w:t>
      </w:r>
      <w:r>
        <w:rPr>
          <w:color w:val="231F20"/>
        </w:rPr>
        <w:t>sécurité</w:t>
      </w:r>
      <w:r>
        <w:rPr>
          <w:color w:val="231F20"/>
          <w:spacing w:val="-4"/>
        </w:rPr>
        <w:t> </w:t>
      </w:r>
      <w:r>
        <w:rPr>
          <w:color w:val="231F20"/>
        </w:rPr>
        <w:t>dans</w:t>
      </w:r>
      <w:r>
        <w:rPr>
          <w:color w:val="231F20"/>
          <w:spacing w:val="-3"/>
        </w:rPr>
        <w:t> </w:t>
      </w:r>
      <w:r>
        <w:rPr>
          <w:color w:val="231F20"/>
        </w:rPr>
        <w:t>les</w:t>
      </w:r>
      <w:r>
        <w:rPr>
          <w:color w:val="231F20"/>
          <w:spacing w:val="-5"/>
        </w:rPr>
        <w:t> </w:t>
      </w:r>
      <w:r>
        <w:rPr>
          <w:color w:val="231F20"/>
        </w:rPr>
        <w:t>régions</w:t>
      </w:r>
      <w:r>
        <w:rPr>
          <w:color w:val="231F20"/>
          <w:spacing w:val="-3"/>
        </w:rPr>
        <w:t> </w:t>
      </w:r>
      <w:r>
        <w:rPr>
          <w:color w:val="231F20"/>
        </w:rPr>
        <w:t>troublées</w:t>
      </w:r>
      <w:r>
        <w:rPr>
          <w:color w:val="231F20"/>
          <w:spacing w:val="-5"/>
        </w:rPr>
        <w:t> </w:t>
      </w:r>
      <w:r>
        <w:rPr>
          <w:color w:val="231F20"/>
        </w:rPr>
        <w:t>du</w:t>
      </w:r>
      <w:r>
        <w:rPr>
          <w:color w:val="231F20"/>
          <w:spacing w:val="-4"/>
        </w:rPr>
        <w:t> </w:t>
      </w:r>
      <w:r>
        <w:rPr>
          <w:color w:val="231F20"/>
        </w:rPr>
        <w:t>Nord.</w:t>
      </w:r>
    </w:p>
    <w:p>
      <w:pPr>
        <w:spacing w:before="277"/>
        <w:ind w:left="111" w:right="107" w:firstLine="283"/>
        <w:jc w:val="both"/>
        <w:rPr>
          <w:i/>
          <w:sz w:val="24"/>
        </w:rPr>
      </w:pPr>
      <w:r>
        <w:rPr>
          <w:color w:val="231F20"/>
          <w:sz w:val="24"/>
        </w:rPr>
        <w:t>Quel</w:t>
      </w:r>
      <w:r>
        <w:rPr>
          <w:color w:val="231F20"/>
          <w:spacing w:val="-4"/>
          <w:sz w:val="24"/>
        </w:rPr>
        <w:t> </w:t>
      </w:r>
      <w:r>
        <w:rPr>
          <w:color w:val="231F20"/>
          <w:sz w:val="24"/>
        </w:rPr>
        <w:t>que</w:t>
      </w:r>
      <w:r>
        <w:rPr>
          <w:color w:val="231F20"/>
          <w:spacing w:val="-4"/>
          <w:sz w:val="24"/>
        </w:rPr>
        <w:t> </w:t>
      </w:r>
      <w:r>
        <w:rPr>
          <w:color w:val="231F20"/>
          <w:sz w:val="24"/>
        </w:rPr>
        <w:t>soit</w:t>
      </w:r>
      <w:r>
        <w:rPr>
          <w:color w:val="231F20"/>
          <w:spacing w:val="-4"/>
          <w:sz w:val="24"/>
        </w:rPr>
        <w:t> </w:t>
      </w:r>
      <w:r>
        <w:rPr>
          <w:color w:val="231F20"/>
          <w:sz w:val="24"/>
        </w:rPr>
        <w:t>le</w:t>
      </w:r>
      <w:r>
        <w:rPr>
          <w:color w:val="231F20"/>
          <w:spacing w:val="-4"/>
          <w:sz w:val="24"/>
        </w:rPr>
        <w:t> </w:t>
      </w:r>
      <w:r>
        <w:rPr>
          <w:color w:val="231F20"/>
          <w:sz w:val="24"/>
        </w:rPr>
        <w:t>mode</w:t>
      </w:r>
      <w:r>
        <w:rPr>
          <w:color w:val="231F20"/>
          <w:spacing w:val="-4"/>
          <w:sz w:val="24"/>
        </w:rPr>
        <w:t> </w:t>
      </w:r>
      <w:r>
        <w:rPr>
          <w:color w:val="231F20"/>
          <w:sz w:val="24"/>
        </w:rPr>
        <w:t>de</w:t>
      </w:r>
      <w:r>
        <w:rPr>
          <w:color w:val="231F20"/>
          <w:spacing w:val="-6"/>
          <w:sz w:val="24"/>
        </w:rPr>
        <w:t> </w:t>
      </w:r>
      <w:r>
        <w:rPr>
          <w:color w:val="231F20"/>
          <w:sz w:val="24"/>
        </w:rPr>
        <w:t>la</w:t>
      </w:r>
      <w:r>
        <w:rPr>
          <w:color w:val="231F20"/>
          <w:spacing w:val="-4"/>
          <w:sz w:val="24"/>
        </w:rPr>
        <w:t> </w:t>
      </w:r>
      <w:r>
        <w:rPr>
          <w:color w:val="231F20"/>
          <w:sz w:val="24"/>
        </w:rPr>
        <w:t>prise</w:t>
      </w:r>
      <w:r>
        <w:rPr>
          <w:color w:val="231F20"/>
          <w:spacing w:val="-4"/>
          <w:sz w:val="24"/>
        </w:rPr>
        <w:t> </w:t>
      </w:r>
      <w:r>
        <w:rPr>
          <w:color w:val="231F20"/>
          <w:sz w:val="24"/>
        </w:rPr>
        <w:t>du</w:t>
      </w:r>
      <w:r>
        <w:rPr>
          <w:color w:val="231F20"/>
          <w:spacing w:val="-4"/>
          <w:sz w:val="24"/>
        </w:rPr>
        <w:t> </w:t>
      </w:r>
      <w:r>
        <w:rPr>
          <w:color w:val="231F20"/>
          <w:sz w:val="24"/>
        </w:rPr>
        <w:t>pouvoir</w:t>
      </w:r>
      <w:r>
        <w:rPr>
          <w:color w:val="231F20"/>
          <w:spacing w:val="-4"/>
          <w:sz w:val="24"/>
        </w:rPr>
        <w:t> </w:t>
      </w:r>
      <w:r>
        <w:rPr>
          <w:color w:val="231F20"/>
          <w:sz w:val="24"/>
        </w:rPr>
        <w:t>au</w:t>
      </w:r>
      <w:r>
        <w:rPr>
          <w:color w:val="231F20"/>
          <w:spacing w:val="-4"/>
          <w:sz w:val="24"/>
        </w:rPr>
        <w:t> </w:t>
      </w:r>
      <w:r>
        <w:rPr>
          <w:color w:val="231F20"/>
          <w:sz w:val="24"/>
        </w:rPr>
        <w:t>sommet</w:t>
      </w:r>
      <w:r>
        <w:rPr>
          <w:color w:val="231F20"/>
          <w:spacing w:val="-4"/>
          <w:sz w:val="24"/>
        </w:rPr>
        <w:t> </w:t>
      </w:r>
      <w:r>
        <w:rPr>
          <w:color w:val="231F20"/>
          <w:sz w:val="24"/>
        </w:rPr>
        <w:t>de</w:t>
      </w:r>
      <w:r>
        <w:rPr>
          <w:color w:val="231F20"/>
          <w:spacing w:val="-4"/>
          <w:sz w:val="24"/>
        </w:rPr>
        <w:t> </w:t>
      </w:r>
      <w:r>
        <w:rPr>
          <w:color w:val="231F20"/>
          <w:sz w:val="24"/>
        </w:rPr>
        <w:t>l’</w:t>
      </w:r>
      <w:r>
        <w:rPr>
          <w:color w:val="231F20"/>
          <w:sz w:val="24"/>
          <w:shd w:fill="FCFCFC" w:color="auto" w:val="clear"/>
        </w:rPr>
        <w:t>É</w:t>
      </w:r>
      <w:r>
        <w:rPr>
          <w:color w:val="231F20"/>
          <w:sz w:val="24"/>
        </w:rPr>
        <w:t>tat,</w:t>
      </w:r>
      <w:r>
        <w:rPr>
          <w:color w:val="231F20"/>
          <w:spacing w:val="-4"/>
          <w:sz w:val="24"/>
        </w:rPr>
        <w:t> </w:t>
      </w:r>
      <w:r>
        <w:rPr>
          <w:color w:val="231F20"/>
          <w:sz w:val="24"/>
        </w:rPr>
        <w:t>la </w:t>
      </w:r>
      <w:r>
        <w:rPr>
          <w:color w:val="231F20"/>
          <w:spacing w:val="-4"/>
          <w:sz w:val="24"/>
        </w:rPr>
        <w:t>France</w:t>
      </w:r>
      <w:r>
        <w:rPr>
          <w:color w:val="231F20"/>
          <w:spacing w:val="-11"/>
          <w:sz w:val="24"/>
        </w:rPr>
        <w:t> </w:t>
      </w:r>
      <w:r>
        <w:rPr>
          <w:color w:val="231F20"/>
          <w:spacing w:val="-4"/>
          <w:sz w:val="24"/>
        </w:rPr>
        <w:t>vole</w:t>
      </w:r>
      <w:r>
        <w:rPr>
          <w:color w:val="231F20"/>
          <w:spacing w:val="-11"/>
          <w:sz w:val="24"/>
        </w:rPr>
        <w:t> </w:t>
      </w:r>
      <w:r>
        <w:rPr>
          <w:color w:val="231F20"/>
          <w:spacing w:val="-4"/>
          <w:sz w:val="24"/>
        </w:rPr>
        <w:t>au</w:t>
      </w:r>
      <w:r>
        <w:rPr>
          <w:color w:val="231F20"/>
          <w:spacing w:val="-11"/>
          <w:sz w:val="24"/>
        </w:rPr>
        <w:t> </w:t>
      </w:r>
      <w:r>
        <w:rPr>
          <w:color w:val="231F20"/>
          <w:spacing w:val="-4"/>
          <w:sz w:val="24"/>
        </w:rPr>
        <w:t>secours</w:t>
      </w:r>
      <w:r>
        <w:rPr>
          <w:color w:val="231F20"/>
          <w:spacing w:val="-11"/>
          <w:sz w:val="24"/>
        </w:rPr>
        <w:t> </w:t>
      </w:r>
      <w:r>
        <w:rPr>
          <w:color w:val="231F20"/>
          <w:spacing w:val="-4"/>
          <w:sz w:val="24"/>
        </w:rPr>
        <w:t>de</w:t>
      </w:r>
      <w:r>
        <w:rPr>
          <w:color w:val="231F20"/>
          <w:spacing w:val="-11"/>
          <w:sz w:val="24"/>
        </w:rPr>
        <w:t> </w:t>
      </w:r>
      <w:r>
        <w:rPr>
          <w:color w:val="231F20"/>
          <w:spacing w:val="-4"/>
          <w:sz w:val="24"/>
        </w:rPr>
        <w:t>la</w:t>
      </w:r>
      <w:r>
        <w:rPr>
          <w:color w:val="231F20"/>
          <w:spacing w:val="-11"/>
          <w:sz w:val="24"/>
        </w:rPr>
        <w:t> </w:t>
      </w:r>
      <w:r>
        <w:rPr>
          <w:color w:val="231F20"/>
          <w:spacing w:val="-4"/>
          <w:sz w:val="24"/>
        </w:rPr>
        <w:t>personnalité</w:t>
      </w:r>
      <w:r>
        <w:rPr>
          <w:color w:val="231F20"/>
          <w:spacing w:val="-11"/>
          <w:sz w:val="24"/>
        </w:rPr>
        <w:t> </w:t>
      </w:r>
      <w:r>
        <w:rPr>
          <w:color w:val="231F20"/>
          <w:spacing w:val="-4"/>
          <w:sz w:val="24"/>
        </w:rPr>
        <w:t>en</w:t>
      </w:r>
      <w:r>
        <w:rPr>
          <w:color w:val="231F20"/>
          <w:spacing w:val="-11"/>
          <w:sz w:val="24"/>
        </w:rPr>
        <w:t> </w:t>
      </w:r>
      <w:r>
        <w:rPr>
          <w:color w:val="231F20"/>
          <w:spacing w:val="-4"/>
          <w:sz w:val="24"/>
        </w:rPr>
        <w:t>place</w:t>
      </w:r>
      <w:r>
        <w:rPr>
          <w:color w:val="231F20"/>
          <w:spacing w:val="-11"/>
          <w:sz w:val="24"/>
        </w:rPr>
        <w:t> </w:t>
      </w:r>
      <w:r>
        <w:rPr>
          <w:color w:val="231F20"/>
          <w:spacing w:val="-4"/>
          <w:sz w:val="24"/>
        </w:rPr>
        <w:t>:</w:t>
      </w:r>
      <w:r>
        <w:rPr>
          <w:color w:val="231F20"/>
          <w:spacing w:val="-11"/>
          <w:sz w:val="24"/>
        </w:rPr>
        <w:t> </w:t>
      </w:r>
      <w:r>
        <w:rPr>
          <w:color w:val="231F20"/>
          <w:spacing w:val="-4"/>
          <w:sz w:val="24"/>
        </w:rPr>
        <w:t>«</w:t>
      </w:r>
      <w:r>
        <w:rPr>
          <w:color w:val="231F20"/>
          <w:spacing w:val="-3"/>
          <w:sz w:val="24"/>
        </w:rPr>
        <w:t> </w:t>
      </w:r>
      <w:r>
        <w:rPr>
          <w:i/>
          <w:color w:val="231F20"/>
          <w:spacing w:val="-4"/>
          <w:sz w:val="24"/>
        </w:rPr>
        <w:t>«</w:t>
      </w:r>
      <w:r>
        <w:rPr>
          <w:i/>
          <w:color w:val="231F20"/>
          <w:spacing w:val="1"/>
          <w:sz w:val="24"/>
        </w:rPr>
        <w:t> </w:t>
      </w:r>
      <w:r>
        <w:rPr>
          <w:i/>
          <w:color w:val="231F20"/>
          <w:spacing w:val="-4"/>
          <w:sz w:val="24"/>
        </w:rPr>
        <w:t>Un</w:t>
      </w:r>
      <w:r>
        <w:rPr>
          <w:i/>
          <w:color w:val="231F20"/>
          <w:spacing w:val="-11"/>
          <w:sz w:val="24"/>
        </w:rPr>
        <w:t> </w:t>
      </w:r>
      <w:r>
        <w:rPr>
          <w:i/>
          <w:color w:val="231F20"/>
          <w:spacing w:val="-4"/>
          <w:sz w:val="24"/>
        </w:rPr>
        <w:t>grand</w:t>
      </w:r>
      <w:r>
        <w:rPr>
          <w:i/>
          <w:color w:val="231F20"/>
          <w:spacing w:val="-11"/>
          <w:sz w:val="24"/>
        </w:rPr>
        <w:t> </w:t>
      </w:r>
      <w:r>
        <w:rPr>
          <w:i/>
          <w:color w:val="231F20"/>
          <w:spacing w:val="-4"/>
          <w:sz w:val="24"/>
        </w:rPr>
        <w:t>pays</w:t>
      </w:r>
      <w:r>
        <w:rPr>
          <w:i/>
          <w:color w:val="231F20"/>
          <w:spacing w:val="-11"/>
          <w:sz w:val="24"/>
        </w:rPr>
        <w:t> </w:t>
      </w:r>
      <w:r>
        <w:rPr>
          <w:i/>
          <w:color w:val="231F20"/>
          <w:spacing w:val="-4"/>
          <w:sz w:val="24"/>
        </w:rPr>
        <w:t>n’a</w:t>
      </w:r>
      <w:r>
        <w:rPr>
          <w:i/>
          <w:color w:val="231F20"/>
          <w:spacing w:val="-4"/>
          <w:sz w:val="24"/>
        </w:rPr>
        <w:t> </w:t>
      </w:r>
      <w:r>
        <w:rPr>
          <w:i/>
          <w:color w:val="231F20"/>
          <w:sz w:val="24"/>
        </w:rPr>
        <w:t>pas d’amis. Les hommes peuvent avoir des amis, pas les Hommes d’État.</w:t>
      </w:r>
      <w:r>
        <w:rPr>
          <w:color w:val="76787A"/>
          <w:sz w:val="24"/>
          <w:vertAlign w:val="superscript"/>
        </w:rPr>
        <w:t>245</w:t>
      </w:r>
      <w:r>
        <w:rPr>
          <w:i/>
          <w:color w:val="231F20"/>
          <w:sz w:val="24"/>
          <w:vertAlign w:val="superscript"/>
        </w:rPr>
        <w:t>.</w:t>
      </w:r>
      <w:r>
        <w:rPr>
          <w:i/>
          <w:color w:val="231F20"/>
          <w:sz w:val="24"/>
          <w:vertAlign w:val="baseline"/>
        </w:rPr>
        <w:t> »</w:t>
      </w:r>
    </w:p>
    <w:p>
      <w:pPr>
        <w:pStyle w:val="BodyText"/>
        <w:spacing w:before="120"/>
        <w:ind w:right="102" w:firstLine="283"/>
      </w:pPr>
      <w:r>
        <w:rPr>
          <w:color w:val="231F20"/>
        </w:rPr>
        <w:t>Les</w:t>
      </w:r>
      <w:r>
        <w:rPr>
          <w:color w:val="231F20"/>
          <w:spacing w:val="-10"/>
        </w:rPr>
        <w:t> </w:t>
      </w:r>
      <w:r>
        <w:rPr>
          <w:color w:val="231F20"/>
        </w:rPr>
        <w:t>groupes</w:t>
      </w:r>
      <w:r>
        <w:rPr>
          <w:color w:val="231F20"/>
          <w:spacing w:val="-12"/>
        </w:rPr>
        <w:t> </w:t>
      </w:r>
      <w:r>
        <w:rPr>
          <w:color w:val="231F20"/>
        </w:rPr>
        <w:t>djihadistes</w:t>
      </w:r>
      <w:r>
        <w:rPr>
          <w:color w:val="231F20"/>
          <w:spacing w:val="-12"/>
        </w:rPr>
        <w:t> </w:t>
      </w:r>
      <w:r>
        <w:rPr>
          <w:color w:val="231F20"/>
        </w:rPr>
        <w:t>pullulent</w:t>
      </w:r>
      <w:r>
        <w:rPr>
          <w:color w:val="231F20"/>
          <w:spacing w:val="-13"/>
        </w:rPr>
        <w:t> </w:t>
      </w:r>
      <w:r>
        <w:rPr>
          <w:color w:val="231F20"/>
        </w:rPr>
        <w:t>dans</w:t>
      </w:r>
      <w:r>
        <w:rPr>
          <w:color w:val="231F20"/>
          <w:spacing w:val="-10"/>
        </w:rPr>
        <w:t> </w:t>
      </w:r>
      <w:r>
        <w:rPr>
          <w:color w:val="231F20"/>
        </w:rPr>
        <w:t>cette</w:t>
      </w:r>
      <w:r>
        <w:rPr>
          <w:color w:val="231F20"/>
          <w:spacing w:val="-10"/>
        </w:rPr>
        <w:t> </w:t>
      </w:r>
      <w:r>
        <w:rPr>
          <w:color w:val="231F20"/>
        </w:rPr>
        <w:t>zone.</w:t>
      </w:r>
      <w:r>
        <w:rPr>
          <w:color w:val="231F20"/>
          <w:spacing w:val="-13"/>
        </w:rPr>
        <w:t> </w:t>
      </w:r>
      <w:r>
        <w:rPr>
          <w:color w:val="231F20"/>
        </w:rPr>
        <w:t>C’est</w:t>
      </w:r>
      <w:r>
        <w:rPr>
          <w:color w:val="231F20"/>
          <w:spacing w:val="-10"/>
        </w:rPr>
        <w:t> </w:t>
      </w:r>
      <w:r>
        <w:rPr>
          <w:color w:val="231F20"/>
        </w:rPr>
        <w:t>au</w:t>
      </w:r>
      <w:r>
        <w:rPr>
          <w:color w:val="231F20"/>
          <w:spacing w:val="-10"/>
        </w:rPr>
        <w:t> </w:t>
      </w:r>
      <w:r>
        <w:rPr>
          <w:color w:val="231F20"/>
        </w:rPr>
        <w:t>nom</w:t>
      </w:r>
      <w:r>
        <w:rPr>
          <w:color w:val="231F20"/>
          <w:spacing w:val="-11"/>
        </w:rPr>
        <w:t> </w:t>
      </w:r>
      <w:r>
        <w:rPr>
          <w:color w:val="231F20"/>
        </w:rPr>
        <w:t>de</w:t>
      </w:r>
      <w:r>
        <w:rPr>
          <w:color w:val="231F20"/>
          <w:spacing w:val="-13"/>
        </w:rPr>
        <w:t> </w:t>
      </w:r>
      <w:r>
        <w:rPr>
          <w:color w:val="231F20"/>
        </w:rPr>
        <w:t>la nécessaire construction de cet espace en «verrou stratégique» que la </w:t>
      </w:r>
      <w:r>
        <w:rPr>
          <w:color w:val="231F20"/>
          <w:spacing w:val="-4"/>
        </w:rPr>
        <w:t>France</w:t>
      </w:r>
      <w:r>
        <w:rPr>
          <w:color w:val="231F20"/>
          <w:spacing w:val="-11"/>
        </w:rPr>
        <w:t> </w:t>
      </w:r>
      <w:r>
        <w:rPr>
          <w:color w:val="231F20"/>
          <w:spacing w:val="-4"/>
        </w:rPr>
        <w:t>dit</w:t>
      </w:r>
      <w:r>
        <w:rPr>
          <w:color w:val="231F20"/>
          <w:spacing w:val="-11"/>
        </w:rPr>
        <w:t> </w:t>
      </w:r>
      <w:r>
        <w:rPr>
          <w:color w:val="231F20"/>
          <w:spacing w:val="-4"/>
        </w:rPr>
        <w:t>apporter</w:t>
      </w:r>
      <w:r>
        <w:rPr>
          <w:color w:val="231F20"/>
          <w:spacing w:val="-11"/>
        </w:rPr>
        <w:t> </w:t>
      </w:r>
      <w:r>
        <w:rPr>
          <w:color w:val="231F20"/>
          <w:spacing w:val="-4"/>
        </w:rPr>
        <w:t>son</w:t>
      </w:r>
      <w:r>
        <w:rPr>
          <w:color w:val="231F20"/>
          <w:spacing w:val="-11"/>
        </w:rPr>
        <w:t> </w:t>
      </w:r>
      <w:r>
        <w:rPr>
          <w:color w:val="231F20"/>
          <w:spacing w:val="-4"/>
        </w:rPr>
        <w:t>soutien</w:t>
      </w:r>
      <w:r>
        <w:rPr>
          <w:color w:val="231F20"/>
          <w:spacing w:val="-11"/>
        </w:rPr>
        <w:t> </w:t>
      </w:r>
      <w:r>
        <w:rPr>
          <w:color w:val="231F20"/>
          <w:spacing w:val="-4"/>
        </w:rPr>
        <w:t>aux</w:t>
      </w:r>
      <w:r>
        <w:rPr>
          <w:color w:val="231F20"/>
          <w:spacing w:val="-10"/>
        </w:rPr>
        <w:t> </w:t>
      </w:r>
      <w:r>
        <w:rPr>
          <w:color w:val="231F20"/>
          <w:spacing w:val="-4"/>
        </w:rPr>
        <w:t>régimes</w:t>
      </w:r>
      <w:r>
        <w:rPr>
          <w:color w:val="231F20"/>
          <w:spacing w:val="-11"/>
        </w:rPr>
        <w:t> </w:t>
      </w:r>
      <w:r>
        <w:rPr>
          <w:color w:val="231F20"/>
          <w:spacing w:val="-4"/>
        </w:rPr>
        <w:t>en</w:t>
      </w:r>
      <w:r>
        <w:rPr>
          <w:color w:val="231F20"/>
          <w:spacing w:val="-10"/>
        </w:rPr>
        <w:t> </w:t>
      </w:r>
      <w:r>
        <w:rPr>
          <w:color w:val="231F20"/>
          <w:spacing w:val="-4"/>
        </w:rPr>
        <w:t>place</w:t>
      </w:r>
      <w:r>
        <w:rPr>
          <w:color w:val="231F20"/>
        </w:rPr>
        <w:t> </w:t>
      </w:r>
      <w:r>
        <w:rPr>
          <w:color w:val="231F20"/>
          <w:spacing w:val="-4"/>
        </w:rPr>
        <w:t>:</w:t>
      </w:r>
      <w:r>
        <w:rPr>
          <w:color w:val="231F20"/>
          <w:spacing w:val="-9"/>
        </w:rPr>
        <w:t> </w:t>
      </w:r>
      <w:r>
        <w:rPr>
          <w:color w:val="231F20"/>
          <w:spacing w:val="-4"/>
        </w:rPr>
        <w:t>opération</w:t>
      </w:r>
      <w:r>
        <w:rPr>
          <w:color w:val="231F20"/>
        </w:rPr>
        <w:t> </w:t>
      </w:r>
      <w:r>
        <w:rPr>
          <w:i/>
          <w:color w:val="231F20"/>
          <w:spacing w:val="-4"/>
        </w:rPr>
        <w:t>Manta</w:t>
      </w:r>
      <w:r>
        <w:rPr>
          <w:i/>
          <w:color w:val="231F20"/>
          <w:spacing w:val="-9"/>
        </w:rPr>
        <w:t> </w:t>
      </w:r>
      <w:r>
        <w:rPr>
          <w:color w:val="231F20"/>
          <w:spacing w:val="-4"/>
        </w:rPr>
        <w:t>en </w:t>
      </w:r>
      <w:r>
        <w:rPr>
          <w:color w:val="231F20"/>
          <w:spacing w:val="-2"/>
        </w:rPr>
        <w:t>1983-1984;</w:t>
      </w:r>
      <w:r>
        <w:rPr>
          <w:color w:val="231F20"/>
          <w:spacing w:val="-15"/>
        </w:rPr>
        <w:t> </w:t>
      </w:r>
      <w:r>
        <w:rPr>
          <w:color w:val="231F20"/>
          <w:spacing w:val="-2"/>
        </w:rPr>
        <w:t>opération</w:t>
      </w:r>
      <w:r>
        <w:rPr>
          <w:color w:val="231F20"/>
          <w:spacing w:val="-13"/>
        </w:rPr>
        <w:t> </w:t>
      </w:r>
      <w:r>
        <w:rPr>
          <w:i/>
          <w:color w:val="231F20"/>
          <w:spacing w:val="-2"/>
        </w:rPr>
        <w:t>Épervier</w:t>
      </w:r>
      <w:r>
        <w:rPr>
          <w:i/>
          <w:color w:val="231F20"/>
          <w:spacing w:val="-13"/>
        </w:rPr>
        <w:t> </w:t>
      </w:r>
      <w:r>
        <w:rPr>
          <w:color w:val="231F20"/>
          <w:spacing w:val="-2"/>
        </w:rPr>
        <w:t>début</w:t>
      </w:r>
      <w:r>
        <w:rPr>
          <w:color w:val="231F20"/>
          <w:spacing w:val="-13"/>
        </w:rPr>
        <w:t> </w:t>
      </w:r>
      <w:r>
        <w:rPr>
          <w:color w:val="231F20"/>
          <w:spacing w:val="-2"/>
        </w:rPr>
        <w:t>février</w:t>
      </w:r>
      <w:r>
        <w:rPr>
          <w:color w:val="231F20"/>
          <w:spacing w:val="-13"/>
        </w:rPr>
        <w:t> </w:t>
      </w:r>
      <w:r>
        <w:rPr>
          <w:color w:val="231F20"/>
          <w:spacing w:val="-2"/>
        </w:rPr>
        <w:t>1986;</w:t>
      </w:r>
      <w:r>
        <w:rPr>
          <w:color w:val="231F20"/>
          <w:spacing w:val="-13"/>
        </w:rPr>
        <w:t> </w:t>
      </w:r>
      <w:r>
        <w:rPr>
          <w:color w:val="231F20"/>
          <w:spacing w:val="-2"/>
        </w:rPr>
        <w:t>opération</w:t>
      </w:r>
      <w:r>
        <w:rPr>
          <w:color w:val="231F20"/>
          <w:spacing w:val="-13"/>
        </w:rPr>
        <w:t> </w:t>
      </w:r>
      <w:r>
        <w:rPr>
          <w:color w:val="231F20"/>
          <w:spacing w:val="-2"/>
        </w:rPr>
        <w:t>Serval</w:t>
      </w:r>
      <w:r>
        <w:rPr>
          <w:color w:val="76787A"/>
          <w:spacing w:val="-2"/>
          <w:vertAlign w:val="superscript"/>
        </w:rPr>
        <w:t>246</w:t>
      </w:r>
      <w:r>
        <w:rPr>
          <w:color w:val="76787A"/>
          <w:spacing w:val="-13"/>
          <w:vertAlign w:val="baseline"/>
        </w:rPr>
        <w:t> </w:t>
      </w:r>
      <w:r>
        <w:rPr>
          <w:color w:val="231F20"/>
          <w:spacing w:val="-2"/>
          <w:vertAlign w:val="baseline"/>
        </w:rPr>
        <w:t>en </w:t>
      </w:r>
      <w:r>
        <w:rPr>
          <w:color w:val="231F20"/>
          <w:vertAlign w:val="baseline"/>
        </w:rPr>
        <w:t>2013</w:t>
      </w:r>
      <w:r>
        <w:rPr>
          <w:color w:val="231F20"/>
          <w:spacing w:val="-6"/>
          <w:vertAlign w:val="baseline"/>
        </w:rPr>
        <w:t> </w:t>
      </w:r>
      <w:r>
        <w:rPr>
          <w:color w:val="231F20"/>
          <w:vertAlign w:val="baseline"/>
        </w:rPr>
        <w:t>;</w:t>
      </w:r>
      <w:r>
        <w:rPr>
          <w:color w:val="231F20"/>
          <w:spacing w:val="-2"/>
          <w:vertAlign w:val="baseline"/>
        </w:rPr>
        <w:t> </w:t>
      </w:r>
      <w:r>
        <w:rPr>
          <w:color w:val="231F20"/>
          <w:vertAlign w:val="baseline"/>
        </w:rPr>
        <w:t>opération</w:t>
      </w:r>
      <w:r>
        <w:rPr>
          <w:color w:val="231F20"/>
          <w:spacing w:val="-2"/>
          <w:vertAlign w:val="baseline"/>
        </w:rPr>
        <w:t> </w:t>
      </w:r>
      <w:r>
        <w:rPr>
          <w:i/>
          <w:color w:val="231F20"/>
          <w:vertAlign w:val="baseline"/>
        </w:rPr>
        <w:t>Dorca</w:t>
      </w:r>
      <w:r>
        <w:rPr>
          <w:i/>
          <w:color w:val="231F20"/>
          <w:spacing w:val="-6"/>
          <w:vertAlign w:val="baseline"/>
        </w:rPr>
        <w:t> </w:t>
      </w:r>
      <w:r>
        <w:rPr>
          <w:color w:val="231F20"/>
          <w:vertAlign w:val="baseline"/>
        </w:rPr>
        <w:t>du</w:t>
      </w:r>
      <w:r>
        <w:rPr>
          <w:color w:val="231F20"/>
          <w:spacing w:val="-2"/>
          <w:vertAlign w:val="baseline"/>
        </w:rPr>
        <w:t> </w:t>
      </w:r>
      <w:r>
        <w:rPr>
          <w:color w:val="231F20"/>
          <w:vertAlign w:val="baseline"/>
        </w:rPr>
        <w:t>31</w:t>
      </w:r>
      <w:r>
        <w:rPr>
          <w:color w:val="231F20"/>
          <w:spacing w:val="-6"/>
          <w:vertAlign w:val="baseline"/>
        </w:rPr>
        <w:t> </w:t>
      </w:r>
      <w:r>
        <w:rPr>
          <w:color w:val="231F20"/>
          <w:vertAlign w:val="baseline"/>
        </w:rPr>
        <w:t>juillet</w:t>
      </w:r>
      <w:r>
        <w:rPr>
          <w:color w:val="231F20"/>
          <w:spacing w:val="-2"/>
          <w:vertAlign w:val="baseline"/>
        </w:rPr>
        <w:t> </w:t>
      </w:r>
      <w:r>
        <w:rPr>
          <w:color w:val="231F20"/>
          <w:vertAlign w:val="baseline"/>
        </w:rPr>
        <w:t>au</w:t>
      </w:r>
      <w:r>
        <w:rPr>
          <w:color w:val="231F20"/>
          <w:spacing w:val="-5"/>
          <w:vertAlign w:val="baseline"/>
        </w:rPr>
        <w:t> </w:t>
      </w:r>
      <w:r>
        <w:rPr>
          <w:color w:val="231F20"/>
          <w:vertAlign w:val="baseline"/>
        </w:rPr>
        <w:t>11</w:t>
      </w:r>
      <w:r>
        <w:rPr>
          <w:color w:val="231F20"/>
          <w:spacing w:val="-2"/>
          <w:vertAlign w:val="baseline"/>
        </w:rPr>
        <w:t> </w:t>
      </w:r>
      <w:r>
        <w:rPr>
          <w:color w:val="231F20"/>
          <w:vertAlign w:val="baseline"/>
        </w:rPr>
        <w:t>septembre</w:t>
      </w:r>
      <w:r>
        <w:rPr>
          <w:color w:val="231F20"/>
          <w:spacing w:val="-2"/>
          <w:vertAlign w:val="baseline"/>
        </w:rPr>
        <w:t> </w:t>
      </w:r>
      <w:r>
        <w:rPr>
          <w:color w:val="231F20"/>
          <w:vertAlign w:val="baseline"/>
        </w:rPr>
        <w:t>2004.</w:t>
      </w:r>
    </w:p>
    <w:p>
      <w:pPr>
        <w:pStyle w:val="BodyText"/>
        <w:spacing w:before="120"/>
        <w:ind w:right="105" w:firstLine="283"/>
      </w:pPr>
      <w:r>
        <w:rPr>
          <w:color w:val="231F20"/>
          <w:spacing w:val="-2"/>
        </w:rPr>
        <w:t>En</w:t>
      </w:r>
      <w:r>
        <w:rPr>
          <w:color w:val="231F20"/>
          <w:spacing w:val="-13"/>
        </w:rPr>
        <w:t> </w:t>
      </w:r>
      <w:r>
        <w:rPr>
          <w:color w:val="231F20"/>
          <w:spacing w:val="-2"/>
        </w:rPr>
        <w:t>janvier</w:t>
      </w:r>
      <w:r>
        <w:rPr>
          <w:color w:val="231F20"/>
          <w:spacing w:val="-13"/>
        </w:rPr>
        <w:t> </w:t>
      </w:r>
      <w:r>
        <w:rPr>
          <w:color w:val="231F20"/>
          <w:spacing w:val="-2"/>
        </w:rPr>
        <w:t>2013,</w:t>
      </w:r>
      <w:r>
        <w:rPr>
          <w:color w:val="231F20"/>
          <w:spacing w:val="-13"/>
        </w:rPr>
        <w:t> </w:t>
      </w:r>
      <w:r>
        <w:rPr>
          <w:color w:val="231F20"/>
          <w:spacing w:val="-2"/>
        </w:rPr>
        <w:t>Idriss</w:t>
      </w:r>
      <w:r>
        <w:rPr>
          <w:color w:val="231F20"/>
          <w:spacing w:val="-13"/>
        </w:rPr>
        <w:t> </w:t>
      </w:r>
      <w:r>
        <w:rPr>
          <w:color w:val="231F20"/>
          <w:spacing w:val="-2"/>
        </w:rPr>
        <w:t>Déby</w:t>
      </w:r>
      <w:r>
        <w:rPr>
          <w:color w:val="231F20"/>
          <w:spacing w:val="-13"/>
        </w:rPr>
        <w:t> </w:t>
      </w:r>
      <w:r>
        <w:rPr>
          <w:color w:val="231F20"/>
          <w:spacing w:val="-2"/>
        </w:rPr>
        <w:t>envoie</w:t>
      </w:r>
      <w:r>
        <w:rPr>
          <w:color w:val="231F20"/>
          <w:spacing w:val="-13"/>
        </w:rPr>
        <w:t> </w:t>
      </w:r>
      <w:r>
        <w:rPr>
          <w:color w:val="231F20"/>
          <w:spacing w:val="-2"/>
        </w:rPr>
        <w:t>des</w:t>
      </w:r>
      <w:r>
        <w:rPr>
          <w:color w:val="231F20"/>
          <w:spacing w:val="-13"/>
        </w:rPr>
        <w:t> </w:t>
      </w:r>
      <w:r>
        <w:rPr>
          <w:color w:val="231F20"/>
          <w:spacing w:val="-2"/>
        </w:rPr>
        <w:t>troupes</w:t>
      </w:r>
      <w:r>
        <w:rPr>
          <w:color w:val="231F20"/>
          <w:spacing w:val="-13"/>
        </w:rPr>
        <w:t> </w:t>
      </w:r>
      <w:r>
        <w:rPr>
          <w:color w:val="231F20"/>
          <w:spacing w:val="-2"/>
        </w:rPr>
        <w:t>au</w:t>
      </w:r>
      <w:r>
        <w:rPr>
          <w:color w:val="231F20"/>
          <w:spacing w:val="-13"/>
        </w:rPr>
        <w:t> </w:t>
      </w:r>
      <w:r>
        <w:rPr>
          <w:color w:val="231F20"/>
          <w:spacing w:val="-2"/>
        </w:rPr>
        <w:t>Nord</w:t>
      </w:r>
      <w:r>
        <w:rPr>
          <w:color w:val="231F20"/>
          <w:spacing w:val="-13"/>
        </w:rPr>
        <w:t> </w:t>
      </w:r>
      <w:r>
        <w:rPr>
          <w:color w:val="231F20"/>
          <w:spacing w:val="-2"/>
        </w:rPr>
        <w:t>du</w:t>
      </w:r>
      <w:r>
        <w:rPr>
          <w:color w:val="231F20"/>
          <w:spacing w:val="-13"/>
        </w:rPr>
        <w:t> </w:t>
      </w:r>
      <w:r>
        <w:rPr>
          <w:color w:val="231F20"/>
          <w:spacing w:val="-2"/>
        </w:rPr>
        <w:t>Mali</w:t>
      </w:r>
      <w:r>
        <w:rPr>
          <w:color w:val="231F20"/>
          <w:spacing w:val="-13"/>
        </w:rPr>
        <w:t> </w:t>
      </w:r>
      <w:r>
        <w:rPr>
          <w:color w:val="231F20"/>
          <w:spacing w:val="-2"/>
        </w:rPr>
        <w:t>pour participer</w:t>
      </w:r>
      <w:r>
        <w:rPr>
          <w:color w:val="231F20"/>
          <w:spacing w:val="-15"/>
        </w:rPr>
        <w:t> </w:t>
      </w:r>
      <w:r>
        <w:rPr>
          <w:color w:val="231F20"/>
          <w:spacing w:val="-2"/>
        </w:rPr>
        <w:t>à</w:t>
      </w:r>
      <w:r>
        <w:rPr>
          <w:color w:val="231F20"/>
          <w:spacing w:val="-13"/>
        </w:rPr>
        <w:t> </w:t>
      </w:r>
      <w:r>
        <w:rPr>
          <w:color w:val="231F20"/>
          <w:spacing w:val="-2"/>
        </w:rPr>
        <w:t>l’Opération</w:t>
      </w:r>
      <w:r>
        <w:rPr>
          <w:color w:val="231F20"/>
          <w:spacing w:val="-13"/>
        </w:rPr>
        <w:t> </w:t>
      </w:r>
      <w:r>
        <w:rPr>
          <w:color w:val="231F20"/>
          <w:spacing w:val="-2"/>
        </w:rPr>
        <w:t>Serval.</w:t>
      </w:r>
      <w:r>
        <w:rPr>
          <w:color w:val="231F20"/>
          <w:spacing w:val="-13"/>
        </w:rPr>
        <w:t> </w:t>
      </w:r>
      <w:r>
        <w:rPr>
          <w:color w:val="231F20"/>
          <w:spacing w:val="-2"/>
        </w:rPr>
        <w:t>Il</w:t>
      </w:r>
      <w:r>
        <w:rPr>
          <w:color w:val="231F20"/>
          <w:spacing w:val="-13"/>
        </w:rPr>
        <w:t> </w:t>
      </w:r>
      <w:r>
        <w:rPr>
          <w:color w:val="231F20"/>
          <w:spacing w:val="-2"/>
        </w:rPr>
        <w:t>décrit</w:t>
      </w:r>
      <w:r>
        <w:rPr>
          <w:color w:val="231F20"/>
          <w:spacing w:val="-13"/>
        </w:rPr>
        <w:t> </w:t>
      </w:r>
      <w:r>
        <w:rPr>
          <w:color w:val="231F20"/>
          <w:spacing w:val="-2"/>
        </w:rPr>
        <w:t>alors</w:t>
      </w:r>
      <w:r>
        <w:rPr>
          <w:color w:val="231F20"/>
          <w:spacing w:val="-13"/>
        </w:rPr>
        <w:t> </w:t>
      </w:r>
      <w:r>
        <w:rPr>
          <w:color w:val="231F20"/>
          <w:spacing w:val="-2"/>
        </w:rPr>
        <w:t>ce</w:t>
      </w:r>
      <w:r>
        <w:rPr>
          <w:color w:val="231F20"/>
          <w:spacing w:val="-13"/>
        </w:rPr>
        <w:t> </w:t>
      </w:r>
      <w:r>
        <w:rPr>
          <w:color w:val="231F20"/>
          <w:spacing w:val="-2"/>
        </w:rPr>
        <w:t>qui</w:t>
      </w:r>
      <w:r>
        <w:rPr>
          <w:color w:val="231F20"/>
          <w:spacing w:val="-13"/>
        </w:rPr>
        <w:t> </w:t>
      </w:r>
      <w:r>
        <w:rPr>
          <w:color w:val="231F20"/>
          <w:spacing w:val="-2"/>
        </w:rPr>
        <w:t>se</w:t>
      </w:r>
      <w:r>
        <w:rPr>
          <w:color w:val="231F20"/>
          <w:spacing w:val="-13"/>
        </w:rPr>
        <w:t> </w:t>
      </w:r>
      <w:r>
        <w:rPr>
          <w:color w:val="231F20"/>
          <w:spacing w:val="-2"/>
        </w:rPr>
        <w:t>passe</w:t>
      </w:r>
      <w:r>
        <w:rPr>
          <w:color w:val="231F20"/>
          <w:spacing w:val="-13"/>
        </w:rPr>
        <w:t> </w:t>
      </w:r>
      <w:r>
        <w:rPr>
          <w:color w:val="231F20"/>
          <w:spacing w:val="-2"/>
        </w:rPr>
        <w:t>dans</w:t>
      </w:r>
      <w:r>
        <w:rPr>
          <w:color w:val="231F20"/>
          <w:spacing w:val="-13"/>
        </w:rPr>
        <w:t> </w:t>
      </w:r>
      <w:r>
        <w:rPr>
          <w:color w:val="231F20"/>
          <w:spacing w:val="-2"/>
        </w:rPr>
        <w:t>le</w:t>
      </w:r>
      <w:r>
        <w:rPr>
          <w:color w:val="231F20"/>
          <w:spacing w:val="-13"/>
        </w:rPr>
        <w:t> </w:t>
      </w:r>
      <w:r>
        <w:rPr>
          <w:color w:val="231F20"/>
          <w:spacing w:val="-2"/>
        </w:rPr>
        <w:t>Nord </w:t>
      </w:r>
      <w:r>
        <w:rPr>
          <w:color w:val="231F20"/>
        </w:rPr>
        <w:t>du</w:t>
      </w:r>
      <w:r>
        <w:rPr>
          <w:color w:val="231F20"/>
          <w:spacing w:val="-9"/>
        </w:rPr>
        <w:t> </w:t>
      </w:r>
      <w:r>
        <w:rPr>
          <w:color w:val="231F20"/>
        </w:rPr>
        <w:t>Mali</w:t>
      </w:r>
      <w:r>
        <w:rPr>
          <w:color w:val="231F20"/>
          <w:spacing w:val="-7"/>
        </w:rPr>
        <w:t> </w:t>
      </w:r>
      <w:r>
        <w:rPr>
          <w:color w:val="231F20"/>
        </w:rPr>
        <w:t>comme</w:t>
      </w:r>
      <w:r>
        <w:rPr>
          <w:color w:val="231F20"/>
          <w:spacing w:val="-10"/>
        </w:rPr>
        <w:t> </w:t>
      </w:r>
      <w:r>
        <w:rPr>
          <w:color w:val="231F20"/>
        </w:rPr>
        <w:t>la</w:t>
      </w:r>
      <w:r>
        <w:rPr>
          <w:color w:val="231F20"/>
          <w:spacing w:val="-6"/>
        </w:rPr>
        <w:t> </w:t>
      </w:r>
      <w:r>
        <w:rPr>
          <w:color w:val="231F20"/>
        </w:rPr>
        <w:t>conséquence</w:t>
      </w:r>
      <w:r>
        <w:rPr>
          <w:color w:val="231F20"/>
          <w:spacing w:val="-8"/>
        </w:rPr>
        <w:t> </w:t>
      </w:r>
      <w:r>
        <w:rPr>
          <w:color w:val="231F20"/>
        </w:rPr>
        <w:t>de</w:t>
      </w:r>
      <w:r>
        <w:rPr>
          <w:color w:val="231F20"/>
          <w:spacing w:val="-8"/>
        </w:rPr>
        <w:t> </w:t>
      </w:r>
      <w:r>
        <w:rPr>
          <w:color w:val="231F20"/>
        </w:rPr>
        <w:t>«</w:t>
      </w:r>
      <w:r>
        <w:rPr>
          <w:color w:val="231F20"/>
          <w:spacing w:val="-14"/>
        </w:rPr>
        <w:t> </w:t>
      </w:r>
      <w:r>
        <w:rPr>
          <w:color w:val="231F20"/>
        </w:rPr>
        <w:t>la</w:t>
      </w:r>
      <w:r>
        <w:rPr>
          <w:color w:val="231F20"/>
          <w:spacing w:val="-8"/>
        </w:rPr>
        <w:t> </w:t>
      </w:r>
      <w:r>
        <w:rPr>
          <w:color w:val="231F20"/>
        </w:rPr>
        <w:t>dislocation</w:t>
      </w:r>
      <w:r>
        <w:rPr>
          <w:color w:val="231F20"/>
          <w:spacing w:val="-10"/>
        </w:rPr>
        <w:t> </w:t>
      </w:r>
      <w:r>
        <w:rPr>
          <w:color w:val="231F20"/>
        </w:rPr>
        <w:t>de</w:t>
      </w:r>
      <w:r>
        <w:rPr>
          <w:color w:val="231F20"/>
          <w:spacing w:val="-8"/>
        </w:rPr>
        <w:t> </w:t>
      </w:r>
      <w:r>
        <w:rPr>
          <w:color w:val="231F20"/>
        </w:rPr>
        <w:t>la</w:t>
      </w:r>
      <w:r>
        <w:rPr>
          <w:color w:val="231F20"/>
          <w:spacing w:val="-7"/>
        </w:rPr>
        <w:t> </w:t>
      </w:r>
      <w:r>
        <w:rPr>
          <w:color w:val="231F20"/>
        </w:rPr>
        <w:t>Libye</w:t>
      </w:r>
      <w:r>
        <w:rPr>
          <w:color w:val="231F20"/>
          <w:spacing w:val="-15"/>
        </w:rPr>
        <w:t> </w:t>
      </w:r>
      <w:r>
        <w:rPr>
          <w:color w:val="231F20"/>
        </w:rPr>
        <w:t>»</w:t>
      </w:r>
      <w:r>
        <w:rPr>
          <w:color w:val="231F20"/>
          <w:spacing w:val="-7"/>
        </w:rPr>
        <w:t> </w:t>
      </w:r>
      <w:r>
        <w:rPr>
          <w:color w:val="231F20"/>
        </w:rPr>
        <w:t>et</w:t>
      </w:r>
      <w:r>
        <w:rPr>
          <w:color w:val="231F20"/>
          <w:spacing w:val="-8"/>
        </w:rPr>
        <w:t> </w:t>
      </w:r>
      <w:r>
        <w:rPr>
          <w:color w:val="231F20"/>
        </w:rPr>
        <w:t>de</w:t>
      </w:r>
      <w:r>
        <w:rPr>
          <w:color w:val="231F20"/>
          <w:spacing w:val="-10"/>
        </w:rPr>
        <w:t> </w:t>
      </w:r>
      <w:r>
        <w:rPr>
          <w:color w:val="231F20"/>
          <w:spacing w:val="-5"/>
        </w:rPr>
        <w:t>la</w:t>
      </w:r>
    </w:p>
    <w:p>
      <w:pPr>
        <w:pStyle w:val="BodyText"/>
        <w:spacing w:before="1"/>
      </w:pPr>
      <w:r>
        <w:rPr>
          <w:color w:val="231F20"/>
          <w:spacing w:val="-2"/>
        </w:rPr>
        <w:t>«</w:t>
      </w:r>
      <w:r>
        <w:rPr>
          <w:color w:val="231F20"/>
          <w:spacing w:val="-14"/>
        </w:rPr>
        <w:t> </w:t>
      </w:r>
      <w:r>
        <w:rPr>
          <w:color w:val="231F20"/>
          <w:spacing w:val="-2"/>
        </w:rPr>
        <w:t>dissémination</w:t>
      </w:r>
      <w:r>
        <w:rPr>
          <w:color w:val="231F20"/>
          <w:spacing w:val="-13"/>
        </w:rPr>
        <w:t> </w:t>
      </w:r>
      <w:r>
        <w:rPr>
          <w:color w:val="231F20"/>
          <w:spacing w:val="-2"/>
        </w:rPr>
        <w:t>de</w:t>
      </w:r>
      <w:r>
        <w:rPr>
          <w:color w:val="231F20"/>
          <w:spacing w:val="-11"/>
        </w:rPr>
        <w:t> </w:t>
      </w:r>
      <w:r>
        <w:rPr>
          <w:color w:val="231F20"/>
          <w:spacing w:val="-2"/>
        </w:rPr>
        <w:t>son</w:t>
      </w:r>
      <w:r>
        <w:rPr>
          <w:color w:val="231F20"/>
          <w:spacing w:val="-11"/>
        </w:rPr>
        <w:t> </w:t>
      </w:r>
      <w:r>
        <w:rPr>
          <w:color w:val="231F20"/>
          <w:spacing w:val="-2"/>
        </w:rPr>
        <w:t>matériel</w:t>
      </w:r>
      <w:r>
        <w:rPr>
          <w:color w:val="231F20"/>
          <w:spacing w:val="-13"/>
        </w:rPr>
        <w:t> </w:t>
      </w:r>
      <w:r>
        <w:rPr>
          <w:color w:val="231F20"/>
          <w:spacing w:val="-2"/>
        </w:rPr>
        <w:t>militaire</w:t>
      </w:r>
      <w:r>
        <w:rPr>
          <w:color w:val="231F20"/>
          <w:spacing w:val="-10"/>
        </w:rPr>
        <w:t> </w:t>
      </w:r>
      <w:r>
        <w:rPr>
          <w:color w:val="231F20"/>
          <w:spacing w:val="-2"/>
        </w:rPr>
        <w:t>»</w:t>
      </w:r>
      <w:r>
        <w:rPr>
          <w:color w:val="76787A"/>
          <w:spacing w:val="-2"/>
          <w:vertAlign w:val="superscript"/>
        </w:rPr>
        <w:t>247</w:t>
      </w:r>
      <w:r>
        <w:rPr>
          <w:color w:val="231F20"/>
          <w:spacing w:val="-2"/>
          <w:vertAlign w:val="superscript"/>
        </w:rPr>
        <w:t>.</w:t>
      </w:r>
    </w:p>
    <w:p>
      <w:pPr>
        <w:pStyle w:val="BodyText"/>
        <w:spacing w:before="120"/>
        <w:ind w:left="395"/>
      </w:pPr>
      <w:r>
        <w:rPr>
          <w:color w:val="231F20"/>
        </w:rPr>
        <w:t>Depuis,</w:t>
      </w:r>
      <w:r>
        <w:rPr>
          <w:color w:val="231F20"/>
          <w:spacing w:val="44"/>
        </w:rPr>
        <w:t> </w:t>
      </w:r>
      <w:r>
        <w:rPr>
          <w:color w:val="231F20"/>
        </w:rPr>
        <w:t>les</w:t>
      </w:r>
      <w:r>
        <w:rPr>
          <w:color w:val="231F20"/>
          <w:spacing w:val="44"/>
        </w:rPr>
        <w:t> </w:t>
      </w:r>
      <w:r>
        <w:rPr>
          <w:color w:val="231F20"/>
        </w:rPr>
        <w:t>opérations</w:t>
      </w:r>
      <w:r>
        <w:rPr>
          <w:color w:val="231F20"/>
          <w:spacing w:val="42"/>
        </w:rPr>
        <w:t> </w:t>
      </w:r>
      <w:r>
        <w:rPr>
          <w:color w:val="231F20"/>
        </w:rPr>
        <w:t>Épervier</w:t>
      </w:r>
      <w:r>
        <w:rPr>
          <w:color w:val="231F20"/>
          <w:spacing w:val="46"/>
        </w:rPr>
        <w:t> </w:t>
      </w:r>
      <w:r>
        <w:rPr>
          <w:color w:val="231F20"/>
        </w:rPr>
        <w:t>et</w:t>
      </w:r>
      <w:r>
        <w:rPr>
          <w:color w:val="231F20"/>
          <w:spacing w:val="45"/>
        </w:rPr>
        <w:t> </w:t>
      </w:r>
      <w:r>
        <w:rPr>
          <w:color w:val="231F20"/>
        </w:rPr>
        <w:t>Serval</w:t>
      </w:r>
      <w:r>
        <w:rPr>
          <w:color w:val="231F20"/>
          <w:spacing w:val="46"/>
        </w:rPr>
        <w:t> </w:t>
      </w:r>
      <w:r>
        <w:rPr>
          <w:color w:val="231F20"/>
        </w:rPr>
        <w:t>ont</w:t>
      </w:r>
      <w:r>
        <w:rPr>
          <w:color w:val="231F20"/>
          <w:spacing w:val="44"/>
        </w:rPr>
        <w:t> </w:t>
      </w:r>
      <w:r>
        <w:rPr>
          <w:color w:val="231F20"/>
        </w:rPr>
        <w:t>été</w:t>
      </w:r>
      <w:r>
        <w:rPr>
          <w:color w:val="231F20"/>
          <w:spacing w:val="45"/>
        </w:rPr>
        <w:t> </w:t>
      </w:r>
      <w:r>
        <w:rPr>
          <w:color w:val="231F20"/>
        </w:rPr>
        <w:t>prolongées</w:t>
      </w:r>
      <w:r>
        <w:rPr>
          <w:color w:val="231F20"/>
          <w:spacing w:val="45"/>
        </w:rPr>
        <w:t> </w:t>
      </w:r>
      <w:r>
        <w:rPr>
          <w:color w:val="231F20"/>
          <w:spacing w:val="-5"/>
        </w:rPr>
        <w:t>par</w:t>
      </w:r>
    </w:p>
    <w:p>
      <w:pPr>
        <w:spacing w:before="0"/>
        <w:ind w:left="111" w:right="0" w:firstLine="0"/>
        <w:jc w:val="left"/>
        <w:rPr>
          <w:sz w:val="24"/>
        </w:rPr>
      </w:pPr>
      <w:r>
        <w:rPr>
          <w:i/>
          <w:color w:val="231F20"/>
          <w:spacing w:val="-2"/>
          <w:sz w:val="24"/>
        </w:rPr>
        <w:t>Barkhane</w:t>
      </w:r>
      <w:r>
        <w:rPr>
          <w:color w:val="76787A"/>
          <w:spacing w:val="-2"/>
          <w:sz w:val="24"/>
          <w:vertAlign w:val="superscript"/>
        </w:rPr>
        <w:t>248</w:t>
      </w:r>
      <w:r>
        <w:rPr>
          <w:color w:val="231F20"/>
          <w:spacing w:val="-2"/>
          <w:sz w:val="24"/>
          <w:vertAlign w:val="baseline"/>
        </w:rPr>
        <w:t>.</w:t>
      </w:r>
    </w:p>
    <w:p>
      <w:pPr>
        <w:pStyle w:val="BodyText"/>
        <w:spacing w:before="120"/>
        <w:ind w:right="104" w:firstLine="283"/>
      </w:pPr>
      <w:r>
        <w:rPr>
          <w:color w:val="231F20"/>
        </w:rPr>
        <w:t>En Centrafrique, c’est le même refrain d’aide humanitaire que la </w:t>
      </w:r>
      <w:r>
        <w:rPr>
          <w:color w:val="231F20"/>
          <w:spacing w:val="-2"/>
        </w:rPr>
        <w:t>France</w:t>
      </w:r>
      <w:r>
        <w:rPr>
          <w:color w:val="231F20"/>
          <w:spacing w:val="-13"/>
        </w:rPr>
        <w:t> </w:t>
      </w:r>
      <w:r>
        <w:rPr>
          <w:color w:val="231F20"/>
          <w:spacing w:val="-2"/>
        </w:rPr>
        <w:t>sert</w:t>
      </w:r>
      <w:r>
        <w:rPr>
          <w:color w:val="231F20"/>
          <w:spacing w:val="-10"/>
        </w:rPr>
        <w:t> </w:t>
      </w:r>
      <w:r>
        <w:rPr>
          <w:color w:val="231F20"/>
          <w:spacing w:val="-2"/>
        </w:rPr>
        <w:t>au</w:t>
      </w:r>
      <w:r>
        <w:rPr>
          <w:color w:val="231F20"/>
          <w:spacing w:val="-11"/>
        </w:rPr>
        <w:t> </w:t>
      </w:r>
      <w:r>
        <w:rPr>
          <w:color w:val="231F20"/>
          <w:spacing w:val="-2"/>
        </w:rPr>
        <w:t>monde.</w:t>
      </w:r>
      <w:r>
        <w:rPr>
          <w:color w:val="231F20"/>
          <w:spacing w:val="-13"/>
        </w:rPr>
        <w:t> </w:t>
      </w:r>
      <w:r>
        <w:rPr>
          <w:color w:val="231F20"/>
          <w:spacing w:val="-2"/>
        </w:rPr>
        <w:t>Les</w:t>
      </w:r>
      <w:r>
        <w:rPr>
          <w:color w:val="231F20"/>
          <w:spacing w:val="-12"/>
        </w:rPr>
        <w:t> </w:t>
      </w:r>
      <w:r>
        <w:rPr>
          <w:color w:val="231F20"/>
          <w:spacing w:val="-2"/>
        </w:rPr>
        <w:t>intérêts</w:t>
      </w:r>
      <w:r>
        <w:rPr>
          <w:color w:val="231F20"/>
          <w:spacing w:val="-10"/>
        </w:rPr>
        <w:t> </w:t>
      </w:r>
      <w:r>
        <w:rPr>
          <w:color w:val="231F20"/>
          <w:spacing w:val="-2"/>
        </w:rPr>
        <w:t>économiques</w:t>
      </w:r>
      <w:r>
        <w:rPr>
          <w:color w:val="231F20"/>
          <w:spacing w:val="-10"/>
        </w:rPr>
        <w:t> </w:t>
      </w:r>
      <w:r>
        <w:rPr>
          <w:color w:val="231F20"/>
          <w:spacing w:val="-2"/>
        </w:rPr>
        <w:t>français</w:t>
      </w:r>
      <w:r>
        <w:rPr>
          <w:color w:val="231F20"/>
          <w:spacing w:val="-10"/>
        </w:rPr>
        <w:t> </w:t>
      </w:r>
      <w:r>
        <w:rPr>
          <w:color w:val="231F20"/>
          <w:spacing w:val="-2"/>
        </w:rPr>
        <w:t>en</w:t>
      </w:r>
      <w:r>
        <w:rPr>
          <w:color w:val="231F20"/>
          <w:spacing w:val="-13"/>
        </w:rPr>
        <w:t> </w:t>
      </w:r>
      <w:r>
        <w:rPr>
          <w:color w:val="231F20"/>
          <w:spacing w:val="-2"/>
        </w:rPr>
        <w:t>Centrafrique </w:t>
      </w:r>
      <w:r>
        <w:rPr>
          <w:color w:val="231F20"/>
        </w:rPr>
        <w:t>sont</w:t>
      </w:r>
      <w:r>
        <w:rPr>
          <w:color w:val="231F20"/>
          <w:spacing w:val="-7"/>
        </w:rPr>
        <w:t> </w:t>
      </w:r>
      <w:r>
        <w:rPr>
          <w:color w:val="231F20"/>
        </w:rPr>
        <w:t>peu</w:t>
      </w:r>
      <w:r>
        <w:rPr>
          <w:color w:val="231F20"/>
          <w:spacing w:val="-7"/>
        </w:rPr>
        <w:t> </w:t>
      </w:r>
      <w:r>
        <w:rPr>
          <w:color w:val="231F20"/>
        </w:rPr>
        <w:t>importants</w:t>
      </w:r>
      <w:r>
        <w:rPr>
          <w:color w:val="231F20"/>
          <w:spacing w:val="-7"/>
        </w:rPr>
        <w:t> </w:t>
      </w:r>
      <w:r>
        <w:rPr>
          <w:color w:val="231F20"/>
        </w:rPr>
        <w:t>mais</w:t>
      </w:r>
      <w:r>
        <w:rPr>
          <w:color w:val="231F20"/>
          <w:spacing w:val="-8"/>
        </w:rPr>
        <w:t> </w:t>
      </w:r>
      <w:r>
        <w:rPr>
          <w:color w:val="231F20"/>
        </w:rPr>
        <w:t>le</w:t>
      </w:r>
      <w:r>
        <w:rPr>
          <w:color w:val="231F20"/>
          <w:spacing w:val="-6"/>
        </w:rPr>
        <w:t> </w:t>
      </w:r>
      <w:r>
        <w:rPr>
          <w:color w:val="231F20"/>
        </w:rPr>
        <w:t>pays</w:t>
      </w:r>
      <w:r>
        <w:rPr>
          <w:color w:val="231F20"/>
          <w:spacing w:val="-7"/>
        </w:rPr>
        <w:t> </w:t>
      </w:r>
      <w:r>
        <w:rPr>
          <w:color w:val="231F20"/>
        </w:rPr>
        <w:t>se</w:t>
      </w:r>
      <w:r>
        <w:rPr>
          <w:color w:val="231F20"/>
          <w:spacing w:val="-8"/>
        </w:rPr>
        <w:t> </w:t>
      </w:r>
      <w:r>
        <w:rPr>
          <w:color w:val="231F20"/>
        </w:rPr>
        <w:t>situe</w:t>
      </w:r>
      <w:r>
        <w:rPr>
          <w:color w:val="231F20"/>
          <w:spacing w:val="-6"/>
        </w:rPr>
        <w:t> </w:t>
      </w:r>
      <w:r>
        <w:rPr>
          <w:color w:val="231F20"/>
        </w:rPr>
        <w:t>au</w:t>
      </w:r>
      <w:r>
        <w:rPr>
          <w:color w:val="231F20"/>
          <w:spacing w:val="-6"/>
        </w:rPr>
        <w:t> </w:t>
      </w:r>
      <w:r>
        <w:rPr>
          <w:color w:val="231F20"/>
        </w:rPr>
        <w:t>carrefour</w:t>
      </w:r>
      <w:r>
        <w:rPr>
          <w:color w:val="231F20"/>
          <w:spacing w:val="-6"/>
        </w:rPr>
        <w:t> </w:t>
      </w:r>
      <w:r>
        <w:rPr>
          <w:color w:val="231F20"/>
        </w:rPr>
        <w:t>de</w:t>
      </w:r>
      <w:r>
        <w:rPr>
          <w:color w:val="231F20"/>
          <w:spacing w:val="-8"/>
        </w:rPr>
        <w:t> </w:t>
      </w:r>
      <w:r>
        <w:rPr>
          <w:color w:val="231F20"/>
        </w:rPr>
        <w:t>plusieurs</w:t>
      </w:r>
      <w:r>
        <w:rPr>
          <w:color w:val="231F20"/>
          <w:spacing w:val="-6"/>
        </w:rPr>
        <w:t> </w:t>
      </w:r>
      <w:r>
        <w:rPr>
          <w:color w:val="231F20"/>
        </w:rPr>
        <w:t>pays où la France a beaucoup de ressortissants et des intérêts économiques </w:t>
      </w:r>
      <w:r>
        <w:rPr>
          <w:color w:val="231F20"/>
          <w:spacing w:val="-4"/>
        </w:rPr>
        <w:t>importants (Cameroun,</w:t>
      </w:r>
      <w:r>
        <w:rPr>
          <w:color w:val="231F20"/>
          <w:spacing w:val="-9"/>
        </w:rPr>
        <w:t> </w:t>
      </w:r>
      <w:r>
        <w:rPr>
          <w:color w:val="231F20"/>
          <w:spacing w:val="-4"/>
        </w:rPr>
        <w:t>Tchad,</w:t>
      </w:r>
      <w:r>
        <w:rPr>
          <w:color w:val="231F20"/>
          <w:spacing w:val="-9"/>
        </w:rPr>
        <w:t> </w:t>
      </w:r>
      <w:r>
        <w:rPr>
          <w:color w:val="231F20"/>
          <w:spacing w:val="-4"/>
        </w:rPr>
        <w:t>Congo,</w:t>
      </w:r>
      <w:r>
        <w:rPr>
          <w:color w:val="231F20"/>
          <w:spacing w:val="-9"/>
        </w:rPr>
        <w:t> </w:t>
      </w:r>
      <w:r>
        <w:rPr>
          <w:color w:val="231F20"/>
          <w:spacing w:val="-4"/>
        </w:rPr>
        <w:t>Gabon)</w:t>
      </w:r>
      <w:r>
        <w:rPr>
          <w:color w:val="231F20"/>
          <w:spacing w:val="-9"/>
        </w:rPr>
        <w:t> </w:t>
      </w:r>
      <w:r>
        <w:rPr>
          <w:color w:val="231F20"/>
          <w:spacing w:val="-4"/>
        </w:rPr>
        <w:t>sans</w:t>
      </w:r>
      <w:r>
        <w:rPr>
          <w:color w:val="231F20"/>
          <w:spacing w:val="-13"/>
        </w:rPr>
        <w:t> </w:t>
      </w:r>
      <w:r>
        <w:rPr>
          <w:color w:val="231F20"/>
          <w:spacing w:val="-4"/>
        </w:rPr>
        <w:t>oublier</w:t>
      </w:r>
      <w:r>
        <w:rPr>
          <w:color w:val="231F20"/>
          <w:spacing w:val="-11"/>
        </w:rPr>
        <w:t> </w:t>
      </w:r>
      <w:r>
        <w:rPr>
          <w:color w:val="231F20"/>
          <w:spacing w:val="-4"/>
        </w:rPr>
        <w:t>qu’il</w:t>
      </w:r>
      <w:r>
        <w:rPr>
          <w:color w:val="231F20"/>
          <w:spacing w:val="-12"/>
        </w:rPr>
        <w:t> </w:t>
      </w:r>
      <w:r>
        <w:rPr>
          <w:color w:val="231F20"/>
          <w:spacing w:val="-4"/>
        </w:rPr>
        <w:t>pourrait,</w:t>
      </w:r>
    </w:p>
    <w:p>
      <w:pPr>
        <w:pStyle w:val="BodyText"/>
        <w:ind w:left="0"/>
        <w:jc w:val="left"/>
        <w:rPr>
          <w:sz w:val="20"/>
        </w:rPr>
      </w:pPr>
    </w:p>
    <w:p>
      <w:pPr>
        <w:pStyle w:val="BodyText"/>
        <w:spacing w:before="95"/>
        <w:ind w:left="0"/>
        <w:jc w:val="left"/>
        <w:rPr>
          <w:sz w:val="20"/>
        </w:rPr>
      </w:pPr>
      <w:r>
        <w:rPr/>
        <mc:AlternateContent>
          <mc:Choice Requires="wps">
            <w:drawing>
              <wp:anchor distT="0" distB="0" distL="0" distR="0" allowOverlap="1" layoutInCell="1" locked="0" behindDoc="1" simplePos="0" relativeHeight="487663104">
                <wp:simplePos x="0" y="0"/>
                <wp:positionH relativeFrom="page">
                  <wp:posOffset>629907</wp:posOffset>
                </wp:positionH>
                <wp:positionV relativeFrom="paragraph">
                  <wp:posOffset>221835</wp:posOffset>
                </wp:positionV>
                <wp:extent cx="1829435" cy="9525"/>
                <wp:effectExtent l="0" t="0" r="0" b="0"/>
                <wp:wrapTopAndBottom/>
                <wp:docPr id="179" name="Graphic 179"/>
                <wp:cNvGraphicFramePr>
                  <a:graphicFrameLocks/>
                </wp:cNvGraphicFramePr>
                <a:graphic>
                  <a:graphicData uri="http://schemas.microsoft.com/office/word/2010/wordprocessingShape">
                    <wps:wsp>
                      <wps:cNvPr id="179" name="Graphic 179"/>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467382pt;width:144.020pt;height:.72pt;mso-position-horizontal-relative:page;mso-position-vertical-relative:paragraph;z-index:-15653376;mso-wrap-distance-left:0;mso-wrap-distance-right:0" id="docshape177" filled="true" fillcolor="#231f20" stroked="false">
                <v:fill type="solid"/>
                <w10:wrap type="topAndBottom"/>
              </v:rect>
            </w:pict>
          </mc:Fallback>
        </mc:AlternateContent>
      </w:r>
    </w:p>
    <w:p>
      <w:pPr>
        <w:spacing w:before="91"/>
        <w:ind w:left="111" w:right="0" w:firstLine="0"/>
        <w:jc w:val="both"/>
        <w:rPr>
          <w:sz w:val="20"/>
        </w:rPr>
      </w:pPr>
      <w:r>
        <w:rPr>
          <w:color w:val="76787A"/>
          <w:spacing w:val="-4"/>
          <w:sz w:val="20"/>
          <w:vertAlign w:val="superscript"/>
        </w:rPr>
        <w:t>245</w:t>
      </w:r>
      <w:r>
        <w:rPr>
          <w:color w:val="76787A"/>
          <w:spacing w:val="3"/>
          <w:sz w:val="20"/>
          <w:vertAlign w:val="baseline"/>
        </w:rPr>
        <w:t> </w:t>
      </w:r>
      <w:r>
        <w:rPr>
          <w:color w:val="231F20"/>
          <w:spacing w:val="-4"/>
          <w:sz w:val="20"/>
          <w:vertAlign w:val="baseline"/>
        </w:rPr>
        <w:t>Charles</w:t>
      </w:r>
      <w:r>
        <w:rPr>
          <w:color w:val="231F20"/>
          <w:spacing w:val="-3"/>
          <w:sz w:val="20"/>
          <w:vertAlign w:val="baseline"/>
        </w:rPr>
        <w:t> </w:t>
      </w:r>
      <w:r>
        <w:rPr>
          <w:color w:val="231F20"/>
          <w:spacing w:val="-4"/>
          <w:sz w:val="20"/>
          <w:vertAlign w:val="baseline"/>
        </w:rPr>
        <w:t>de</w:t>
      </w:r>
      <w:r>
        <w:rPr>
          <w:color w:val="231F20"/>
          <w:spacing w:val="2"/>
          <w:sz w:val="20"/>
          <w:vertAlign w:val="baseline"/>
        </w:rPr>
        <w:t> </w:t>
      </w:r>
      <w:r>
        <w:rPr>
          <w:color w:val="231F20"/>
          <w:spacing w:val="-4"/>
          <w:sz w:val="20"/>
          <w:vertAlign w:val="baseline"/>
        </w:rPr>
        <w:t>Gaulle,</w:t>
      </w:r>
      <w:r>
        <w:rPr>
          <w:color w:val="231F20"/>
          <w:spacing w:val="-2"/>
          <w:sz w:val="20"/>
          <w:vertAlign w:val="baseline"/>
        </w:rPr>
        <w:t> </w:t>
      </w:r>
      <w:r>
        <w:rPr>
          <w:color w:val="231F20"/>
          <w:spacing w:val="-4"/>
          <w:sz w:val="20"/>
          <w:vertAlign w:val="baseline"/>
        </w:rPr>
        <w:t>extrait</w:t>
      </w:r>
      <w:r>
        <w:rPr>
          <w:color w:val="231F20"/>
          <w:spacing w:val="-1"/>
          <w:sz w:val="20"/>
          <w:vertAlign w:val="baseline"/>
        </w:rPr>
        <w:t> </w:t>
      </w:r>
      <w:r>
        <w:rPr>
          <w:color w:val="231F20"/>
          <w:spacing w:val="-4"/>
          <w:sz w:val="20"/>
          <w:vertAlign w:val="baseline"/>
        </w:rPr>
        <w:t>magazine</w:t>
      </w:r>
      <w:r>
        <w:rPr>
          <w:color w:val="231F20"/>
          <w:spacing w:val="-2"/>
          <w:sz w:val="20"/>
          <w:vertAlign w:val="baseline"/>
        </w:rPr>
        <w:t> </w:t>
      </w:r>
      <w:r>
        <w:rPr>
          <w:color w:val="231F20"/>
          <w:spacing w:val="-4"/>
          <w:sz w:val="20"/>
          <w:vertAlign w:val="baseline"/>
        </w:rPr>
        <w:t>Paris</w:t>
      </w:r>
      <w:r>
        <w:rPr>
          <w:color w:val="231F20"/>
          <w:spacing w:val="-1"/>
          <w:sz w:val="20"/>
          <w:vertAlign w:val="baseline"/>
        </w:rPr>
        <w:t> </w:t>
      </w:r>
      <w:r>
        <w:rPr>
          <w:color w:val="231F20"/>
          <w:spacing w:val="-4"/>
          <w:sz w:val="20"/>
          <w:vertAlign w:val="baseline"/>
        </w:rPr>
        <w:t>Match,</w:t>
      </w:r>
      <w:r>
        <w:rPr>
          <w:color w:val="231F20"/>
          <w:spacing w:val="-2"/>
          <w:sz w:val="20"/>
          <w:vertAlign w:val="baseline"/>
        </w:rPr>
        <w:t> </w:t>
      </w:r>
      <w:r>
        <w:rPr>
          <w:color w:val="231F20"/>
          <w:spacing w:val="-4"/>
          <w:sz w:val="20"/>
          <w:vertAlign w:val="baseline"/>
        </w:rPr>
        <w:t>9</w:t>
      </w:r>
      <w:r>
        <w:rPr>
          <w:color w:val="231F20"/>
          <w:spacing w:val="-1"/>
          <w:sz w:val="20"/>
          <w:vertAlign w:val="baseline"/>
        </w:rPr>
        <w:t> </w:t>
      </w:r>
      <w:r>
        <w:rPr>
          <w:color w:val="231F20"/>
          <w:spacing w:val="-4"/>
          <w:sz w:val="20"/>
          <w:vertAlign w:val="baseline"/>
        </w:rPr>
        <w:t>décembre 1967.</w:t>
      </w:r>
    </w:p>
    <w:p>
      <w:pPr>
        <w:spacing w:before="1"/>
        <w:ind w:left="111" w:right="104" w:firstLine="0"/>
        <w:jc w:val="both"/>
        <w:rPr>
          <w:sz w:val="20"/>
        </w:rPr>
      </w:pPr>
      <w:r>
        <w:rPr>
          <w:color w:val="76787A"/>
          <w:spacing w:val="-2"/>
          <w:sz w:val="20"/>
          <w:vertAlign w:val="superscript"/>
        </w:rPr>
        <w:t>246</w:t>
      </w:r>
      <w:r>
        <w:rPr>
          <w:color w:val="76787A"/>
          <w:spacing w:val="-13"/>
          <w:sz w:val="20"/>
          <w:vertAlign w:val="baseline"/>
        </w:rPr>
        <w:t> </w:t>
      </w:r>
      <w:r>
        <w:rPr>
          <w:color w:val="231F20"/>
          <w:spacing w:val="-2"/>
          <w:sz w:val="20"/>
          <w:vertAlign w:val="baseline"/>
        </w:rPr>
        <w:t>Lancée</w:t>
      </w:r>
      <w:r>
        <w:rPr>
          <w:color w:val="231F20"/>
          <w:spacing w:val="-10"/>
          <w:sz w:val="20"/>
          <w:vertAlign w:val="baseline"/>
        </w:rPr>
        <w:t> </w:t>
      </w:r>
      <w:r>
        <w:rPr>
          <w:color w:val="231F20"/>
          <w:spacing w:val="-2"/>
          <w:sz w:val="20"/>
          <w:vertAlign w:val="baseline"/>
        </w:rPr>
        <w:t>en</w:t>
      </w:r>
      <w:r>
        <w:rPr>
          <w:color w:val="231F20"/>
          <w:spacing w:val="-11"/>
          <w:sz w:val="20"/>
          <w:vertAlign w:val="baseline"/>
        </w:rPr>
        <w:t> </w:t>
      </w:r>
      <w:r>
        <w:rPr>
          <w:color w:val="231F20"/>
          <w:spacing w:val="-2"/>
          <w:sz w:val="20"/>
          <w:vertAlign w:val="baseline"/>
        </w:rPr>
        <w:t>janvier</w:t>
      </w:r>
      <w:r>
        <w:rPr>
          <w:color w:val="231F20"/>
          <w:spacing w:val="-10"/>
          <w:sz w:val="20"/>
          <w:vertAlign w:val="baseline"/>
        </w:rPr>
        <w:t> </w:t>
      </w:r>
      <w:r>
        <w:rPr>
          <w:color w:val="231F20"/>
          <w:spacing w:val="-2"/>
          <w:sz w:val="20"/>
          <w:vertAlign w:val="baseline"/>
        </w:rPr>
        <w:t>2013</w:t>
      </w:r>
      <w:r>
        <w:rPr>
          <w:color w:val="231F20"/>
          <w:spacing w:val="-11"/>
          <w:sz w:val="20"/>
          <w:vertAlign w:val="baseline"/>
        </w:rPr>
        <w:t> </w:t>
      </w:r>
      <w:r>
        <w:rPr>
          <w:color w:val="231F20"/>
          <w:spacing w:val="-2"/>
          <w:sz w:val="20"/>
          <w:vertAlign w:val="baseline"/>
        </w:rPr>
        <w:t>et</w:t>
      </w:r>
      <w:r>
        <w:rPr>
          <w:color w:val="231F20"/>
          <w:spacing w:val="-10"/>
          <w:sz w:val="20"/>
          <w:vertAlign w:val="baseline"/>
        </w:rPr>
        <w:t> </w:t>
      </w:r>
      <w:r>
        <w:rPr>
          <w:color w:val="231F20"/>
          <w:spacing w:val="-2"/>
          <w:sz w:val="20"/>
          <w:vertAlign w:val="baseline"/>
        </w:rPr>
        <w:t>menée</w:t>
      </w:r>
      <w:r>
        <w:rPr>
          <w:color w:val="231F20"/>
          <w:spacing w:val="-11"/>
          <w:sz w:val="20"/>
          <w:vertAlign w:val="baseline"/>
        </w:rPr>
        <w:t> </w:t>
      </w:r>
      <w:r>
        <w:rPr>
          <w:color w:val="231F20"/>
          <w:spacing w:val="-2"/>
          <w:sz w:val="20"/>
          <w:vertAlign w:val="baseline"/>
        </w:rPr>
        <w:t>par</w:t>
      </w:r>
      <w:r>
        <w:rPr>
          <w:color w:val="231F20"/>
          <w:spacing w:val="-10"/>
          <w:sz w:val="20"/>
          <w:vertAlign w:val="baseline"/>
        </w:rPr>
        <w:t> </w:t>
      </w:r>
      <w:r>
        <w:rPr>
          <w:color w:val="231F20"/>
          <w:spacing w:val="-2"/>
          <w:sz w:val="20"/>
          <w:vertAlign w:val="baseline"/>
        </w:rPr>
        <w:t>l'armée</w:t>
      </w:r>
      <w:r>
        <w:rPr>
          <w:color w:val="231F20"/>
          <w:spacing w:val="-11"/>
          <w:sz w:val="20"/>
          <w:vertAlign w:val="baseline"/>
        </w:rPr>
        <w:t> </w:t>
      </w:r>
      <w:r>
        <w:rPr>
          <w:color w:val="231F20"/>
          <w:spacing w:val="-2"/>
          <w:sz w:val="20"/>
          <w:vertAlign w:val="baseline"/>
        </w:rPr>
        <w:t>française.</w:t>
      </w:r>
      <w:r>
        <w:rPr>
          <w:color w:val="231F20"/>
          <w:spacing w:val="-10"/>
          <w:sz w:val="20"/>
          <w:vertAlign w:val="baseline"/>
        </w:rPr>
        <w:t> </w:t>
      </w:r>
      <w:r>
        <w:rPr>
          <w:color w:val="231F20"/>
          <w:spacing w:val="-2"/>
          <w:sz w:val="20"/>
          <w:vertAlign w:val="baseline"/>
        </w:rPr>
        <w:t>dans</w:t>
      </w:r>
      <w:r>
        <w:rPr>
          <w:color w:val="231F20"/>
          <w:spacing w:val="-11"/>
          <w:sz w:val="20"/>
          <w:vertAlign w:val="baseline"/>
        </w:rPr>
        <w:t> </w:t>
      </w:r>
      <w:r>
        <w:rPr>
          <w:color w:val="231F20"/>
          <w:spacing w:val="-2"/>
          <w:sz w:val="20"/>
          <w:vertAlign w:val="baseline"/>
        </w:rPr>
        <w:t>le</w:t>
      </w:r>
      <w:r>
        <w:rPr>
          <w:color w:val="231F20"/>
          <w:spacing w:val="-10"/>
          <w:sz w:val="20"/>
          <w:vertAlign w:val="baseline"/>
        </w:rPr>
        <w:t> </w:t>
      </w:r>
      <w:r>
        <w:rPr>
          <w:color w:val="231F20"/>
          <w:spacing w:val="-2"/>
          <w:sz w:val="20"/>
          <w:vertAlign w:val="baseline"/>
        </w:rPr>
        <w:t>cadre</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l'intervention militaire</w:t>
      </w:r>
      <w:r>
        <w:rPr>
          <w:color w:val="231F20"/>
          <w:spacing w:val="-11"/>
          <w:sz w:val="20"/>
          <w:vertAlign w:val="baseline"/>
        </w:rPr>
        <w:t> </w:t>
      </w:r>
      <w:r>
        <w:rPr>
          <w:color w:val="231F20"/>
          <w:spacing w:val="-2"/>
          <w:sz w:val="20"/>
          <w:vertAlign w:val="baseline"/>
        </w:rPr>
        <w:t>au</w:t>
      </w:r>
      <w:r>
        <w:rPr>
          <w:color w:val="231F20"/>
          <w:spacing w:val="-9"/>
          <w:sz w:val="20"/>
          <w:vertAlign w:val="baseline"/>
        </w:rPr>
        <w:t> </w:t>
      </w:r>
      <w:r>
        <w:rPr>
          <w:color w:val="231F20"/>
          <w:spacing w:val="-2"/>
          <w:sz w:val="20"/>
          <w:vertAlign w:val="baseline"/>
        </w:rPr>
        <w:t>Mali,</w:t>
      </w:r>
      <w:r>
        <w:rPr>
          <w:color w:val="231F20"/>
          <w:spacing w:val="-9"/>
          <w:sz w:val="20"/>
          <w:vertAlign w:val="baseline"/>
        </w:rPr>
        <w:t> </w:t>
      </w:r>
      <w:r>
        <w:rPr>
          <w:color w:val="231F20"/>
          <w:spacing w:val="-2"/>
          <w:sz w:val="20"/>
          <w:vertAlign w:val="baseline"/>
        </w:rPr>
        <w:t>l’opération</w:t>
      </w:r>
      <w:r>
        <w:rPr>
          <w:color w:val="231F20"/>
          <w:spacing w:val="-9"/>
          <w:sz w:val="20"/>
          <w:vertAlign w:val="baseline"/>
        </w:rPr>
        <w:t> </w:t>
      </w:r>
      <w:r>
        <w:rPr>
          <w:color w:val="231F20"/>
          <w:spacing w:val="-2"/>
          <w:sz w:val="20"/>
          <w:vertAlign w:val="baseline"/>
        </w:rPr>
        <w:t>militaire</w:t>
      </w:r>
      <w:r>
        <w:rPr>
          <w:color w:val="231F20"/>
          <w:spacing w:val="-10"/>
          <w:sz w:val="20"/>
          <w:vertAlign w:val="baseline"/>
        </w:rPr>
        <w:t> </w:t>
      </w:r>
      <w:r>
        <w:rPr>
          <w:color w:val="231F20"/>
          <w:spacing w:val="-2"/>
          <w:sz w:val="20"/>
          <w:vertAlign w:val="baseline"/>
        </w:rPr>
        <w:t>s'est</w:t>
      </w:r>
      <w:r>
        <w:rPr>
          <w:color w:val="231F20"/>
          <w:spacing w:val="-8"/>
          <w:sz w:val="20"/>
          <w:vertAlign w:val="baseline"/>
        </w:rPr>
        <w:t> </w:t>
      </w:r>
      <w:r>
        <w:rPr>
          <w:color w:val="231F20"/>
          <w:spacing w:val="-2"/>
          <w:sz w:val="20"/>
          <w:vertAlign w:val="baseline"/>
        </w:rPr>
        <w:t>achevée</w:t>
      </w:r>
      <w:r>
        <w:rPr>
          <w:color w:val="231F20"/>
          <w:spacing w:val="-10"/>
          <w:sz w:val="20"/>
          <w:vertAlign w:val="baseline"/>
        </w:rPr>
        <w:t> </w:t>
      </w:r>
      <w:r>
        <w:rPr>
          <w:color w:val="231F20"/>
          <w:spacing w:val="-2"/>
          <w:sz w:val="20"/>
          <w:vertAlign w:val="baseline"/>
        </w:rPr>
        <w:t>en</w:t>
      </w:r>
      <w:r>
        <w:rPr>
          <w:color w:val="231F20"/>
          <w:spacing w:val="-9"/>
          <w:sz w:val="20"/>
          <w:vertAlign w:val="baseline"/>
        </w:rPr>
        <w:t> </w:t>
      </w:r>
      <w:r>
        <w:rPr>
          <w:color w:val="231F20"/>
          <w:spacing w:val="-2"/>
          <w:sz w:val="20"/>
          <w:vertAlign w:val="baseline"/>
        </w:rPr>
        <w:t>juillet</w:t>
      </w:r>
      <w:r>
        <w:rPr>
          <w:color w:val="231F20"/>
          <w:spacing w:val="-9"/>
          <w:sz w:val="20"/>
          <w:vertAlign w:val="baseline"/>
        </w:rPr>
        <w:t> </w:t>
      </w:r>
      <w:r>
        <w:rPr>
          <w:color w:val="231F20"/>
          <w:spacing w:val="-2"/>
          <w:sz w:val="20"/>
          <w:vertAlign w:val="baseline"/>
        </w:rPr>
        <w:t>2014.</w:t>
      </w:r>
      <w:r>
        <w:rPr>
          <w:color w:val="231F20"/>
          <w:spacing w:val="-9"/>
          <w:sz w:val="20"/>
          <w:vertAlign w:val="baseline"/>
        </w:rPr>
        <w:t> </w:t>
      </w:r>
      <w:r>
        <w:rPr>
          <w:color w:val="231F20"/>
          <w:spacing w:val="-2"/>
          <w:sz w:val="20"/>
          <w:vertAlign w:val="baseline"/>
        </w:rPr>
        <w:t>Les</w:t>
      </w:r>
      <w:r>
        <w:rPr>
          <w:color w:val="231F20"/>
          <w:spacing w:val="-11"/>
          <w:sz w:val="20"/>
          <w:vertAlign w:val="baseline"/>
        </w:rPr>
        <w:t> </w:t>
      </w:r>
      <w:r>
        <w:rPr>
          <w:color w:val="231F20"/>
          <w:spacing w:val="-2"/>
          <w:sz w:val="20"/>
          <w:vertAlign w:val="baseline"/>
        </w:rPr>
        <w:t>forces</w:t>
      </w:r>
      <w:r>
        <w:rPr>
          <w:color w:val="231F20"/>
          <w:spacing w:val="-10"/>
          <w:sz w:val="20"/>
          <w:vertAlign w:val="baseline"/>
        </w:rPr>
        <w:t> </w:t>
      </w:r>
      <w:r>
        <w:rPr>
          <w:color w:val="231F20"/>
          <w:spacing w:val="-2"/>
          <w:sz w:val="20"/>
          <w:vertAlign w:val="baseline"/>
        </w:rPr>
        <w:t>engagées </w:t>
      </w:r>
      <w:r>
        <w:rPr>
          <w:color w:val="231F20"/>
          <w:sz w:val="20"/>
          <w:vertAlign w:val="baseline"/>
        </w:rPr>
        <w:t>dans</w:t>
      </w:r>
      <w:r>
        <w:rPr>
          <w:color w:val="231F20"/>
          <w:spacing w:val="-13"/>
          <w:sz w:val="20"/>
          <w:vertAlign w:val="baseline"/>
        </w:rPr>
        <w:t> </w:t>
      </w:r>
      <w:r>
        <w:rPr>
          <w:color w:val="231F20"/>
          <w:sz w:val="20"/>
          <w:vertAlign w:val="baseline"/>
        </w:rPr>
        <w:t>le</w:t>
      </w:r>
      <w:r>
        <w:rPr>
          <w:color w:val="231F20"/>
          <w:spacing w:val="-12"/>
          <w:sz w:val="20"/>
          <w:vertAlign w:val="baseline"/>
        </w:rPr>
        <w:t> </w:t>
      </w:r>
      <w:r>
        <w:rPr>
          <w:color w:val="231F20"/>
          <w:sz w:val="20"/>
          <w:vertAlign w:val="baseline"/>
        </w:rPr>
        <w:t>pays</w:t>
      </w:r>
      <w:r>
        <w:rPr>
          <w:color w:val="231F20"/>
          <w:spacing w:val="-13"/>
          <w:sz w:val="20"/>
          <w:vertAlign w:val="baseline"/>
        </w:rPr>
        <w:t> </w:t>
      </w:r>
      <w:r>
        <w:rPr>
          <w:color w:val="231F20"/>
          <w:sz w:val="20"/>
          <w:vertAlign w:val="baseline"/>
        </w:rPr>
        <w:t>ont</w:t>
      </w:r>
      <w:r>
        <w:rPr>
          <w:color w:val="231F20"/>
          <w:spacing w:val="-11"/>
          <w:sz w:val="20"/>
          <w:vertAlign w:val="baseline"/>
        </w:rPr>
        <w:t> </w:t>
      </w:r>
      <w:r>
        <w:rPr>
          <w:color w:val="231F20"/>
          <w:sz w:val="20"/>
          <w:vertAlign w:val="baseline"/>
        </w:rPr>
        <w:t>depuis</w:t>
      </w:r>
      <w:r>
        <w:rPr>
          <w:color w:val="231F20"/>
          <w:spacing w:val="-11"/>
          <w:sz w:val="20"/>
          <w:vertAlign w:val="baseline"/>
        </w:rPr>
        <w:t> </w:t>
      </w:r>
      <w:r>
        <w:rPr>
          <w:color w:val="231F20"/>
          <w:sz w:val="20"/>
          <w:vertAlign w:val="baseline"/>
        </w:rPr>
        <w:t>intégré</w:t>
      </w:r>
      <w:r>
        <w:rPr>
          <w:color w:val="231F20"/>
          <w:spacing w:val="-13"/>
          <w:sz w:val="20"/>
          <w:vertAlign w:val="baseline"/>
        </w:rPr>
        <w:t> </w:t>
      </w:r>
      <w:r>
        <w:rPr>
          <w:color w:val="231F20"/>
          <w:sz w:val="20"/>
          <w:vertAlign w:val="baseline"/>
        </w:rPr>
        <w:t>un</w:t>
      </w:r>
      <w:r>
        <w:rPr>
          <w:color w:val="231F20"/>
          <w:spacing w:val="-11"/>
          <w:sz w:val="20"/>
          <w:vertAlign w:val="baseline"/>
        </w:rPr>
        <w:t> </w:t>
      </w:r>
      <w:r>
        <w:rPr>
          <w:color w:val="231F20"/>
          <w:sz w:val="20"/>
          <w:vertAlign w:val="baseline"/>
        </w:rPr>
        <w:t>dispositif</w:t>
      </w:r>
      <w:r>
        <w:rPr>
          <w:color w:val="231F20"/>
          <w:spacing w:val="-11"/>
          <w:sz w:val="20"/>
          <w:vertAlign w:val="baseline"/>
        </w:rPr>
        <w:t> </w:t>
      </w:r>
      <w:r>
        <w:rPr>
          <w:color w:val="231F20"/>
          <w:sz w:val="20"/>
          <w:vertAlign w:val="baseline"/>
        </w:rPr>
        <w:t>régional,</w:t>
      </w:r>
      <w:r>
        <w:rPr>
          <w:color w:val="231F20"/>
          <w:spacing w:val="-9"/>
          <w:sz w:val="20"/>
          <w:vertAlign w:val="baseline"/>
        </w:rPr>
        <w:t> </w:t>
      </w:r>
      <w:r>
        <w:rPr>
          <w:color w:val="231F20"/>
          <w:sz w:val="20"/>
          <w:vertAlign w:val="baseline"/>
        </w:rPr>
        <w:t>intitulé</w:t>
      </w:r>
      <w:r>
        <w:rPr>
          <w:color w:val="231F20"/>
          <w:spacing w:val="-11"/>
          <w:sz w:val="20"/>
          <w:vertAlign w:val="baseline"/>
        </w:rPr>
        <w:t> </w:t>
      </w:r>
      <w:r>
        <w:rPr>
          <w:color w:val="231F20"/>
          <w:sz w:val="20"/>
          <w:vertAlign w:val="baseline"/>
        </w:rPr>
        <w:t>opération</w:t>
      </w:r>
      <w:r>
        <w:rPr>
          <w:color w:val="231F20"/>
          <w:spacing w:val="-9"/>
          <w:sz w:val="20"/>
          <w:vertAlign w:val="baseline"/>
        </w:rPr>
        <w:t> </w:t>
      </w:r>
      <w:r>
        <w:rPr>
          <w:color w:val="231F20"/>
          <w:sz w:val="20"/>
          <w:vertAlign w:val="baseline"/>
        </w:rPr>
        <w:t>Barkhane.</w:t>
      </w:r>
    </w:p>
    <w:p>
      <w:pPr>
        <w:spacing w:before="0"/>
        <w:ind w:left="111" w:right="104" w:firstLine="0"/>
        <w:jc w:val="both"/>
        <w:rPr>
          <w:sz w:val="20"/>
        </w:rPr>
      </w:pPr>
      <w:r>
        <w:rPr>
          <w:color w:val="76787A"/>
          <w:spacing w:val="-2"/>
          <w:sz w:val="20"/>
          <w:vertAlign w:val="superscript"/>
        </w:rPr>
        <w:t>247</w:t>
      </w:r>
      <w:r>
        <w:rPr>
          <w:color w:val="231F20"/>
          <w:spacing w:val="-2"/>
          <w:sz w:val="20"/>
          <w:vertAlign w:val="baseline"/>
        </w:rPr>
        <w:t>François</w:t>
      </w:r>
      <w:r>
        <w:rPr>
          <w:color w:val="231F20"/>
          <w:spacing w:val="-10"/>
          <w:sz w:val="20"/>
          <w:vertAlign w:val="baseline"/>
        </w:rPr>
        <w:t> </w:t>
      </w:r>
      <w:r>
        <w:rPr>
          <w:color w:val="231F20"/>
          <w:spacing w:val="-2"/>
          <w:sz w:val="20"/>
          <w:vertAlign w:val="baseline"/>
        </w:rPr>
        <w:t>Soudan,</w:t>
      </w:r>
      <w:r>
        <w:rPr>
          <w:color w:val="231F20"/>
          <w:spacing w:val="-8"/>
          <w:sz w:val="20"/>
          <w:vertAlign w:val="baseline"/>
        </w:rPr>
        <w:t> </w:t>
      </w:r>
      <w:r>
        <w:rPr>
          <w:color w:val="231F20"/>
          <w:spacing w:val="-2"/>
          <w:sz w:val="20"/>
          <w:vertAlign w:val="baseline"/>
        </w:rPr>
        <w:t>«</w:t>
      </w:r>
      <w:r>
        <w:rPr>
          <w:color w:val="231F20"/>
          <w:spacing w:val="-9"/>
          <w:sz w:val="20"/>
          <w:vertAlign w:val="baseline"/>
        </w:rPr>
        <w:t> </w:t>
      </w:r>
      <w:r>
        <w:rPr>
          <w:i/>
          <w:color w:val="231F20"/>
          <w:spacing w:val="-2"/>
          <w:sz w:val="20"/>
          <w:vertAlign w:val="baseline"/>
        </w:rPr>
        <w:t>Idriss</w:t>
      </w:r>
      <w:r>
        <w:rPr>
          <w:i/>
          <w:color w:val="231F20"/>
          <w:spacing w:val="-8"/>
          <w:sz w:val="20"/>
          <w:vertAlign w:val="baseline"/>
        </w:rPr>
        <w:t> </w:t>
      </w:r>
      <w:r>
        <w:rPr>
          <w:i/>
          <w:color w:val="231F20"/>
          <w:spacing w:val="-2"/>
          <w:sz w:val="20"/>
          <w:vertAlign w:val="baseline"/>
        </w:rPr>
        <w:t>Déby</w:t>
      </w:r>
      <w:r>
        <w:rPr>
          <w:i/>
          <w:color w:val="231F20"/>
          <w:spacing w:val="-9"/>
          <w:sz w:val="20"/>
          <w:vertAlign w:val="baseline"/>
        </w:rPr>
        <w:t> </w:t>
      </w:r>
      <w:r>
        <w:rPr>
          <w:i/>
          <w:color w:val="231F20"/>
          <w:spacing w:val="-2"/>
          <w:sz w:val="20"/>
          <w:vertAlign w:val="baseline"/>
        </w:rPr>
        <w:t>Itno</w:t>
      </w:r>
      <w:r>
        <w:rPr>
          <w:i/>
          <w:color w:val="231F20"/>
          <w:spacing w:val="-7"/>
          <w:sz w:val="20"/>
          <w:vertAlign w:val="baseline"/>
        </w:rPr>
        <w:t> </w:t>
      </w:r>
      <w:r>
        <w:rPr>
          <w:i/>
          <w:color w:val="231F20"/>
          <w:spacing w:val="-2"/>
          <w:sz w:val="20"/>
          <w:vertAlign w:val="baseline"/>
        </w:rPr>
        <w:t>:</w:t>
      </w:r>
      <w:r>
        <w:rPr>
          <w:i/>
          <w:color w:val="231F20"/>
          <w:spacing w:val="-10"/>
          <w:sz w:val="20"/>
          <w:vertAlign w:val="baseline"/>
        </w:rPr>
        <w:t> </w:t>
      </w:r>
      <w:r>
        <w:rPr>
          <w:i/>
          <w:color w:val="231F20"/>
          <w:spacing w:val="-2"/>
          <w:sz w:val="20"/>
          <w:vertAlign w:val="baseline"/>
        </w:rPr>
        <w:t>"J'ai</w:t>
      </w:r>
      <w:r>
        <w:rPr>
          <w:i/>
          <w:color w:val="231F20"/>
          <w:spacing w:val="-9"/>
          <w:sz w:val="20"/>
          <w:vertAlign w:val="baseline"/>
        </w:rPr>
        <w:t> </w:t>
      </w:r>
      <w:r>
        <w:rPr>
          <w:i/>
          <w:color w:val="231F20"/>
          <w:spacing w:val="-2"/>
          <w:sz w:val="20"/>
          <w:vertAlign w:val="baseline"/>
        </w:rPr>
        <w:t>trop</w:t>
      </w:r>
      <w:r>
        <w:rPr>
          <w:i/>
          <w:color w:val="231F20"/>
          <w:spacing w:val="-8"/>
          <w:sz w:val="20"/>
          <w:vertAlign w:val="baseline"/>
        </w:rPr>
        <w:t> </w:t>
      </w:r>
      <w:r>
        <w:rPr>
          <w:i/>
          <w:color w:val="231F20"/>
          <w:spacing w:val="-2"/>
          <w:sz w:val="20"/>
          <w:vertAlign w:val="baseline"/>
        </w:rPr>
        <w:t>longtemps</w:t>
      </w:r>
      <w:r>
        <w:rPr>
          <w:i/>
          <w:color w:val="231F20"/>
          <w:spacing w:val="-11"/>
          <w:sz w:val="20"/>
          <w:vertAlign w:val="baseline"/>
        </w:rPr>
        <w:t> </w:t>
      </w:r>
      <w:r>
        <w:rPr>
          <w:i/>
          <w:color w:val="231F20"/>
          <w:spacing w:val="-2"/>
          <w:sz w:val="20"/>
          <w:vertAlign w:val="baseline"/>
        </w:rPr>
        <w:t>prêché</w:t>
      </w:r>
      <w:r>
        <w:rPr>
          <w:i/>
          <w:color w:val="231F20"/>
          <w:spacing w:val="-8"/>
          <w:sz w:val="20"/>
          <w:vertAlign w:val="baseline"/>
        </w:rPr>
        <w:t> </w:t>
      </w:r>
      <w:r>
        <w:rPr>
          <w:i/>
          <w:color w:val="231F20"/>
          <w:spacing w:val="-2"/>
          <w:sz w:val="20"/>
          <w:vertAlign w:val="baseline"/>
        </w:rPr>
        <w:t>dans</w:t>
      </w:r>
      <w:r>
        <w:rPr>
          <w:i/>
          <w:color w:val="231F20"/>
          <w:spacing w:val="-8"/>
          <w:sz w:val="20"/>
          <w:vertAlign w:val="baseline"/>
        </w:rPr>
        <w:t> </w:t>
      </w:r>
      <w:r>
        <w:rPr>
          <w:i/>
          <w:color w:val="231F20"/>
          <w:spacing w:val="-2"/>
          <w:sz w:val="20"/>
          <w:vertAlign w:val="baseline"/>
        </w:rPr>
        <w:t>le</w:t>
      </w:r>
      <w:r>
        <w:rPr>
          <w:i/>
          <w:color w:val="231F20"/>
          <w:spacing w:val="-8"/>
          <w:sz w:val="20"/>
          <w:vertAlign w:val="baseline"/>
        </w:rPr>
        <w:t> </w:t>
      </w:r>
      <w:r>
        <w:rPr>
          <w:i/>
          <w:color w:val="231F20"/>
          <w:spacing w:val="-2"/>
          <w:sz w:val="20"/>
          <w:vertAlign w:val="baseline"/>
        </w:rPr>
        <w:t>désert"</w:t>
      </w:r>
      <w:r>
        <w:rPr>
          <w:i/>
          <w:color w:val="231F20"/>
          <w:spacing w:val="-9"/>
          <w:sz w:val="20"/>
          <w:vertAlign w:val="baseline"/>
        </w:rPr>
        <w:t> </w:t>
      </w:r>
      <w:r>
        <w:rPr>
          <w:color w:val="231F20"/>
          <w:spacing w:val="-2"/>
          <w:sz w:val="20"/>
          <w:vertAlign w:val="baseline"/>
        </w:rPr>
        <w:t>»,</w:t>
      </w:r>
      <w:r>
        <w:rPr>
          <w:color w:val="231F20"/>
          <w:spacing w:val="-8"/>
          <w:sz w:val="20"/>
          <w:vertAlign w:val="baseline"/>
        </w:rPr>
        <w:t> </w:t>
      </w:r>
      <w:r>
        <w:rPr>
          <w:color w:val="231F20"/>
          <w:spacing w:val="-2"/>
          <w:sz w:val="20"/>
          <w:vertAlign w:val="baseline"/>
        </w:rPr>
        <w:t>J </w:t>
      </w:r>
      <w:r>
        <w:rPr>
          <w:color w:val="231F20"/>
          <w:sz w:val="20"/>
          <w:vertAlign w:val="baseline"/>
        </w:rPr>
        <w:t>A, 23 juillet 2012.</w:t>
      </w:r>
    </w:p>
    <w:p>
      <w:pPr>
        <w:spacing w:before="0"/>
        <w:ind w:left="111" w:right="106" w:firstLine="0"/>
        <w:jc w:val="both"/>
        <w:rPr>
          <w:sz w:val="20"/>
        </w:rPr>
      </w:pPr>
      <w:r>
        <w:rPr>
          <w:color w:val="76787A"/>
          <w:sz w:val="20"/>
          <w:vertAlign w:val="superscript"/>
        </w:rPr>
        <w:t>248</w:t>
      </w:r>
      <w:r>
        <w:rPr>
          <w:color w:val="76787A"/>
          <w:sz w:val="20"/>
          <w:vertAlign w:val="baseline"/>
        </w:rPr>
        <w:t> </w:t>
      </w:r>
      <w:r>
        <w:rPr>
          <w:color w:val="231F20"/>
          <w:sz w:val="20"/>
          <w:vertAlign w:val="baseline"/>
        </w:rPr>
        <w:t>Officiellement,</w:t>
      </w:r>
      <w:r>
        <w:rPr>
          <w:color w:val="231F20"/>
          <w:spacing w:val="40"/>
          <w:sz w:val="20"/>
          <w:vertAlign w:val="baseline"/>
        </w:rPr>
        <w:t> </w:t>
      </w:r>
      <w:r>
        <w:rPr>
          <w:color w:val="231F20"/>
          <w:sz w:val="20"/>
          <w:vertAlign w:val="baseline"/>
        </w:rPr>
        <w:t>l'opération</w:t>
      </w:r>
      <w:r>
        <w:rPr>
          <w:color w:val="231F20"/>
          <w:spacing w:val="-13"/>
          <w:sz w:val="20"/>
          <w:vertAlign w:val="baseline"/>
        </w:rPr>
        <w:t> </w:t>
      </w:r>
      <w:r>
        <w:rPr>
          <w:i/>
          <w:color w:val="231F20"/>
          <w:sz w:val="20"/>
          <w:vertAlign w:val="baseline"/>
        </w:rPr>
        <w:t>Barkhane</w:t>
      </w:r>
      <w:r>
        <w:rPr>
          <w:i/>
          <w:color w:val="231F20"/>
          <w:spacing w:val="40"/>
          <w:sz w:val="20"/>
          <w:vertAlign w:val="baseline"/>
        </w:rPr>
        <w:t> </w:t>
      </w:r>
      <w:r>
        <w:rPr>
          <w:color w:val="231F20"/>
          <w:sz w:val="20"/>
          <w:vertAlign w:val="baseline"/>
        </w:rPr>
        <w:t>menée</w:t>
      </w:r>
      <w:r>
        <w:rPr>
          <w:color w:val="231F20"/>
          <w:spacing w:val="40"/>
          <w:sz w:val="20"/>
          <w:vertAlign w:val="baseline"/>
        </w:rPr>
        <w:t> </w:t>
      </w:r>
      <w:r>
        <w:rPr>
          <w:color w:val="231F20"/>
          <w:sz w:val="20"/>
          <w:vertAlign w:val="baseline"/>
        </w:rPr>
        <w:t>au</w:t>
      </w:r>
      <w:r>
        <w:rPr>
          <w:color w:val="231F20"/>
          <w:spacing w:val="-13"/>
          <w:sz w:val="20"/>
          <w:vertAlign w:val="baseline"/>
        </w:rPr>
        <w:t> </w:t>
      </w:r>
      <w:r>
        <w:rPr>
          <w:color w:val="231F20"/>
          <w:sz w:val="20"/>
          <w:vertAlign w:val="baseline"/>
        </w:rPr>
        <w:t>Sahel</w:t>
      </w:r>
      <w:r>
        <w:rPr>
          <w:color w:val="231F20"/>
          <w:spacing w:val="-12"/>
          <w:sz w:val="20"/>
          <w:vertAlign w:val="baseline"/>
        </w:rPr>
        <w:t> </w:t>
      </w:r>
      <w:r>
        <w:rPr>
          <w:color w:val="231F20"/>
          <w:sz w:val="20"/>
          <w:vertAlign w:val="baseline"/>
        </w:rPr>
        <w:t>et</w:t>
      </w:r>
      <w:r>
        <w:rPr>
          <w:color w:val="231F20"/>
          <w:spacing w:val="40"/>
          <w:sz w:val="20"/>
          <w:vertAlign w:val="baseline"/>
        </w:rPr>
        <w:t> </w:t>
      </w:r>
      <w:r>
        <w:rPr>
          <w:color w:val="231F20"/>
          <w:sz w:val="20"/>
          <w:vertAlign w:val="baseline"/>
        </w:rPr>
        <w:t>au</w:t>
      </w:r>
      <w:r>
        <w:rPr>
          <w:color w:val="231F20"/>
          <w:spacing w:val="-13"/>
          <w:sz w:val="20"/>
          <w:vertAlign w:val="baseline"/>
        </w:rPr>
        <w:t> </w:t>
      </w:r>
      <w:r>
        <w:rPr>
          <w:color w:val="231F20"/>
          <w:sz w:val="20"/>
          <w:vertAlign w:val="baseline"/>
        </w:rPr>
        <w:t>Sahara</w:t>
      </w:r>
      <w:r>
        <w:rPr>
          <w:color w:val="231F20"/>
          <w:spacing w:val="-12"/>
          <w:sz w:val="20"/>
          <w:vertAlign w:val="baseline"/>
        </w:rPr>
        <w:t> </w:t>
      </w:r>
      <w:r>
        <w:rPr>
          <w:color w:val="231F20"/>
          <w:sz w:val="20"/>
          <w:vertAlign w:val="baseline"/>
        </w:rPr>
        <w:t>par</w:t>
      </w:r>
      <w:r>
        <w:rPr>
          <w:color w:val="231F20"/>
          <w:spacing w:val="40"/>
          <w:sz w:val="20"/>
          <w:vertAlign w:val="baseline"/>
        </w:rPr>
        <w:t> </w:t>
      </w:r>
      <w:r>
        <w:rPr>
          <w:color w:val="231F20"/>
          <w:sz w:val="20"/>
          <w:vertAlign w:val="baseline"/>
        </w:rPr>
        <w:t>l'Armée française, avec une aide secondaire d'armées alliées, vise à lutter contre les groupes armés</w:t>
      </w:r>
      <w:r>
        <w:rPr>
          <w:color w:val="231F20"/>
          <w:spacing w:val="-13"/>
          <w:sz w:val="20"/>
          <w:vertAlign w:val="baseline"/>
        </w:rPr>
        <w:t> </w:t>
      </w:r>
      <w:r>
        <w:rPr>
          <w:color w:val="231F20"/>
          <w:sz w:val="20"/>
          <w:vertAlign w:val="baseline"/>
        </w:rPr>
        <w:t>salafistes</w:t>
      </w:r>
      <w:r>
        <w:rPr>
          <w:color w:val="231F20"/>
          <w:spacing w:val="-12"/>
          <w:sz w:val="20"/>
          <w:vertAlign w:val="baseline"/>
        </w:rPr>
        <w:t> </w:t>
      </w:r>
      <w:r>
        <w:rPr>
          <w:color w:val="231F20"/>
          <w:sz w:val="20"/>
          <w:vertAlign w:val="baseline"/>
        </w:rPr>
        <w:t>djihadistes</w:t>
      </w:r>
      <w:r>
        <w:rPr>
          <w:color w:val="231F20"/>
          <w:spacing w:val="-13"/>
          <w:sz w:val="20"/>
          <w:vertAlign w:val="baseline"/>
        </w:rPr>
        <w:t> </w:t>
      </w:r>
      <w:r>
        <w:rPr>
          <w:color w:val="231F20"/>
          <w:sz w:val="20"/>
          <w:vertAlign w:val="baseline"/>
        </w:rPr>
        <w:t>dans</w:t>
      </w:r>
      <w:r>
        <w:rPr>
          <w:color w:val="231F20"/>
          <w:spacing w:val="-8"/>
          <w:sz w:val="20"/>
          <w:vertAlign w:val="baseline"/>
        </w:rPr>
        <w:t> </w:t>
      </w:r>
      <w:r>
        <w:rPr>
          <w:color w:val="231F20"/>
          <w:sz w:val="20"/>
          <w:vertAlign w:val="baseline"/>
        </w:rPr>
        <w:t>toute</w:t>
      </w:r>
      <w:r>
        <w:rPr>
          <w:color w:val="231F20"/>
          <w:spacing w:val="-6"/>
          <w:sz w:val="20"/>
          <w:vertAlign w:val="baseline"/>
        </w:rPr>
        <w:t> </w:t>
      </w:r>
      <w:r>
        <w:rPr>
          <w:color w:val="231F20"/>
          <w:sz w:val="20"/>
          <w:vertAlign w:val="baseline"/>
        </w:rPr>
        <w:t>la</w:t>
      </w:r>
      <w:r>
        <w:rPr>
          <w:color w:val="231F20"/>
          <w:spacing w:val="-6"/>
          <w:sz w:val="20"/>
          <w:vertAlign w:val="baseline"/>
        </w:rPr>
        <w:t> </w:t>
      </w:r>
      <w:r>
        <w:rPr>
          <w:color w:val="231F20"/>
          <w:sz w:val="20"/>
          <w:vertAlign w:val="baseline"/>
        </w:rPr>
        <w:t>région</w:t>
      </w:r>
      <w:r>
        <w:rPr>
          <w:color w:val="231F20"/>
          <w:spacing w:val="-6"/>
          <w:sz w:val="20"/>
          <w:vertAlign w:val="baseline"/>
        </w:rPr>
        <w:t> </w:t>
      </w:r>
      <w:r>
        <w:rPr>
          <w:color w:val="231F20"/>
          <w:sz w:val="20"/>
          <w:vertAlign w:val="baseline"/>
        </w:rPr>
        <w:t>du</w:t>
      </w:r>
      <w:r>
        <w:rPr>
          <w:color w:val="231F20"/>
          <w:spacing w:val="-3"/>
          <w:sz w:val="20"/>
          <w:vertAlign w:val="baseline"/>
        </w:rPr>
        <w:t> </w:t>
      </w:r>
      <w:r>
        <w:rPr>
          <w:color w:val="231F20"/>
          <w:sz w:val="20"/>
          <w:vertAlign w:val="baseline"/>
        </w:rPr>
        <w:t>Sahel</w:t>
      </w:r>
      <w:r>
        <w:rPr>
          <w:color w:val="231F20"/>
          <w:spacing w:val="-4"/>
          <w:sz w:val="20"/>
          <w:vertAlign w:val="baseline"/>
        </w:rPr>
        <w:t> </w:t>
      </w:r>
      <w:r>
        <w:rPr>
          <w:color w:val="231F20"/>
          <w:sz w:val="20"/>
          <w:vertAlign w:val="baseline"/>
        </w:rPr>
        <w:t>…</w:t>
      </w:r>
      <w:r>
        <w:rPr>
          <w:color w:val="231F20"/>
          <w:spacing w:val="-6"/>
          <w:sz w:val="20"/>
          <w:vertAlign w:val="baseline"/>
        </w:rPr>
        <w:t> </w:t>
      </w:r>
      <w:r>
        <w:rPr>
          <w:color w:val="231F20"/>
          <w:sz w:val="20"/>
          <w:vertAlign w:val="baseline"/>
        </w:rPr>
        <w:t>mais</w:t>
      </w:r>
      <w:r>
        <w:rPr>
          <w:color w:val="231F20"/>
          <w:spacing w:val="-4"/>
          <w:sz w:val="20"/>
          <w:vertAlign w:val="baseline"/>
        </w:rPr>
        <w:t> </w:t>
      </w:r>
      <w:r>
        <w:rPr>
          <w:color w:val="231F20"/>
          <w:sz w:val="20"/>
          <w:vertAlign w:val="baseline"/>
        </w:rPr>
        <w:t>aussi</w:t>
      </w:r>
      <w:r>
        <w:rPr>
          <w:color w:val="231F20"/>
          <w:spacing w:val="-6"/>
          <w:sz w:val="20"/>
          <w:vertAlign w:val="baseline"/>
        </w:rPr>
        <w:t> </w:t>
      </w:r>
      <w:r>
        <w:rPr>
          <w:color w:val="231F20"/>
          <w:sz w:val="20"/>
          <w:vertAlign w:val="baseline"/>
        </w:rPr>
        <w:t>en</w:t>
      </w:r>
      <w:r>
        <w:rPr>
          <w:color w:val="231F20"/>
          <w:spacing w:val="-6"/>
          <w:sz w:val="20"/>
          <w:vertAlign w:val="baseline"/>
        </w:rPr>
        <w:t> </w:t>
      </w:r>
      <w:r>
        <w:rPr>
          <w:color w:val="231F20"/>
          <w:sz w:val="20"/>
          <w:vertAlign w:val="baseline"/>
        </w:rPr>
        <w:t>réalité</w:t>
      </w:r>
      <w:r>
        <w:rPr>
          <w:color w:val="231F20"/>
          <w:spacing w:val="-6"/>
          <w:sz w:val="20"/>
          <w:vertAlign w:val="baseline"/>
        </w:rPr>
        <w:t> </w:t>
      </w:r>
      <w:r>
        <w:rPr>
          <w:color w:val="231F20"/>
          <w:sz w:val="20"/>
          <w:vertAlign w:val="baseline"/>
        </w:rPr>
        <w:t>pour sauvegarder</w:t>
      </w:r>
      <w:r>
        <w:rPr>
          <w:color w:val="231F20"/>
          <w:spacing w:val="-6"/>
          <w:sz w:val="20"/>
          <w:vertAlign w:val="baseline"/>
        </w:rPr>
        <w:t> </w:t>
      </w:r>
      <w:r>
        <w:rPr>
          <w:color w:val="231F20"/>
          <w:sz w:val="20"/>
          <w:vertAlign w:val="baseline"/>
        </w:rPr>
        <w:t>des</w:t>
      </w:r>
      <w:r>
        <w:rPr>
          <w:color w:val="231F20"/>
          <w:spacing w:val="-9"/>
          <w:sz w:val="20"/>
          <w:vertAlign w:val="baseline"/>
        </w:rPr>
        <w:t> </w:t>
      </w:r>
      <w:r>
        <w:rPr>
          <w:color w:val="231F20"/>
          <w:sz w:val="20"/>
          <w:vertAlign w:val="baseline"/>
        </w:rPr>
        <w:t>intérêts</w:t>
      </w:r>
      <w:r>
        <w:rPr>
          <w:color w:val="231F20"/>
          <w:spacing w:val="-4"/>
          <w:sz w:val="20"/>
          <w:vertAlign w:val="baseline"/>
        </w:rPr>
        <w:t> </w:t>
      </w:r>
      <w:r>
        <w:rPr>
          <w:color w:val="231F20"/>
          <w:sz w:val="20"/>
          <w:vertAlign w:val="baseline"/>
        </w:rPr>
        <w:t>économiques</w:t>
      </w:r>
      <w:r>
        <w:rPr>
          <w:color w:val="231F20"/>
          <w:spacing w:val="-4"/>
          <w:sz w:val="20"/>
          <w:vertAlign w:val="baseline"/>
        </w:rPr>
        <w:t> </w:t>
      </w:r>
      <w:r>
        <w:rPr>
          <w:color w:val="231F20"/>
          <w:sz w:val="20"/>
          <w:vertAlign w:val="baseline"/>
        </w:rPr>
        <w:t>et</w:t>
      </w:r>
      <w:r>
        <w:rPr>
          <w:color w:val="231F20"/>
          <w:spacing w:val="-6"/>
          <w:sz w:val="20"/>
          <w:vertAlign w:val="baseline"/>
        </w:rPr>
        <w:t> </w:t>
      </w:r>
      <w:r>
        <w:rPr>
          <w:color w:val="231F20"/>
          <w:sz w:val="20"/>
          <w:vertAlign w:val="baseline"/>
        </w:rPr>
        <w:t>géopolitiques.</w:t>
      </w:r>
    </w:p>
    <w:p>
      <w:pPr>
        <w:spacing w:after="0"/>
        <w:jc w:val="both"/>
        <w:rPr>
          <w:sz w:val="20"/>
        </w:rPr>
        <w:sectPr>
          <w:pgSz w:w="8790" w:h="13610"/>
          <w:pgMar w:header="0" w:footer="802" w:top="1060" w:bottom="1000" w:left="880" w:right="880"/>
        </w:sectPr>
      </w:pPr>
    </w:p>
    <w:p>
      <w:pPr>
        <w:pStyle w:val="BodyText"/>
        <w:spacing w:before="66"/>
        <w:ind w:right="109"/>
      </w:pPr>
      <w:r>
        <w:rPr>
          <w:color w:val="231F20"/>
        </w:rPr>
        <w:t>si l’anarchie s’y installe, servir de plaque tournante aux groupes djihadistes</w:t>
      </w:r>
      <w:r>
        <w:rPr>
          <w:color w:val="231F20"/>
          <w:spacing w:val="-1"/>
        </w:rPr>
        <w:t> </w:t>
      </w:r>
      <w:r>
        <w:rPr>
          <w:color w:val="231F20"/>
        </w:rPr>
        <w:t>venus</w:t>
      </w:r>
      <w:r>
        <w:rPr>
          <w:color w:val="231F20"/>
          <w:spacing w:val="-4"/>
        </w:rPr>
        <w:t> </w:t>
      </w:r>
      <w:r>
        <w:rPr>
          <w:color w:val="231F20"/>
        </w:rPr>
        <w:t>du</w:t>
      </w:r>
      <w:r>
        <w:rPr>
          <w:color w:val="231F20"/>
          <w:spacing w:val="-1"/>
        </w:rPr>
        <w:t> </w:t>
      </w:r>
      <w:r>
        <w:rPr>
          <w:color w:val="231F20"/>
        </w:rPr>
        <w:t>Nord</w:t>
      </w:r>
      <w:r>
        <w:rPr>
          <w:color w:val="231F20"/>
          <w:spacing w:val="-4"/>
        </w:rPr>
        <w:t> </w:t>
      </w:r>
      <w:r>
        <w:rPr>
          <w:color w:val="231F20"/>
        </w:rPr>
        <w:t>et</w:t>
      </w:r>
      <w:r>
        <w:rPr>
          <w:color w:val="231F20"/>
          <w:spacing w:val="-1"/>
        </w:rPr>
        <w:t> </w:t>
      </w:r>
      <w:r>
        <w:rPr>
          <w:color w:val="231F20"/>
        </w:rPr>
        <w:t>de</w:t>
      </w:r>
      <w:r>
        <w:rPr>
          <w:color w:val="231F20"/>
          <w:spacing w:val="-4"/>
        </w:rPr>
        <w:t> </w:t>
      </w:r>
      <w:r>
        <w:rPr>
          <w:color w:val="231F20"/>
        </w:rPr>
        <w:t>l’Est</w:t>
      </w:r>
      <w:r>
        <w:rPr>
          <w:color w:val="231F20"/>
          <w:spacing w:val="-1"/>
        </w:rPr>
        <w:t> </w:t>
      </w:r>
      <w:r>
        <w:rPr>
          <w:color w:val="231F20"/>
        </w:rPr>
        <w:t>du</w:t>
      </w:r>
      <w:r>
        <w:rPr>
          <w:color w:val="231F20"/>
          <w:spacing w:val="-4"/>
        </w:rPr>
        <w:t> </w:t>
      </w:r>
      <w:r>
        <w:rPr>
          <w:color w:val="231F20"/>
        </w:rPr>
        <w:t>continent.</w:t>
      </w:r>
    </w:p>
    <w:p>
      <w:pPr>
        <w:pStyle w:val="BodyText"/>
        <w:spacing w:before="120"/>
        <w:ind w:right="102" w:firstLine="283"/>
      </w:pPr>
      <w:r>
        <w:rPr>
          <w:color w:val="231F20"/>
        </w:rPr>
        <w:t>En Côte d’ivoire, ce sont prè</w:t>
      </w:r>
      <w:r>
        <w:rPr>
          <w:b/>
          <w:color w:val="231F20"/>
        </w:rPr>
        <w:t>s </w:t>
      </w:r>
      <w:r>
        <w:rPr>
          <w:color w:val="231F20"/>
        </w:rPr>
        <w:t>de 210 filiales de Multinationales françaises qui ont pignon sur rue</w:t>
      </w:r>
      <w:r>
        <w:rPr>
          <w:b/>
          <w:color w:val="76787A"/>
          <w:position w:val="8"/>
          <w:sz w:val="16"/>
        </w:rPr>
        <w:t>249</w:t>
      </w:r>
      <w:r>
        <w:rPr>
          <w:b/>
          <w:color w:val="76787A"/>
          <w:spacing w:val="-10"/>
          <w:position w:val="8"/>
          <w:sz w:val="16"/>
        </w:rPr>
        <w:t> </w:t>
      </w:r>
      <w:r>
        <w:rPr>
          <w:color w:val="231F20"/>
          <w:position w:val="9"/>
          <w:sz w:val="16"/>
        </w:rPr>
        <w:t>,</w:t>
      </w:r>
      <w:r>
        <w:rPr>
          <w:color w:val="231F20"/>
          <w:spacing w:val="40"/>
          <w:position w:val="9"/>
          <w:sz w:val="16"/>
        </w:rPr>
        <w:t> </w:t>
      </w:r>
      <w:r>
        <w:rPr>
          <w:color w:val="231F20"/>
        </w:rPr>
        <w:t>lorsque Laurent Gbagbo est élu Président de la République. Les Français contrôlent les secteurs </w:t>
      </w:r>
      <w:r>
        <w:rPr>
          <w:color w:val="231F20"/>
          <w:spacing w:val="-2"/>
        </w:rPr>
        <w:t>stratégiques (énergie, télécommunication, eau, transport, banques, BTP, </w:t>
      </w:r>
      <w:r>
        <w:rPr>
          <w:color w:val="231F20"/>
        </w:rPr>
        <w:t>agro-industrie,</w:t>
      </w:r>
      <w:r>
        <w:rPr>
          <w:color w:val="231F20"/>
          <w:spacing w:val="-13"/>
        </w:rPr>
        <w:t> </w:t>
      </w:r>
      <w:r>
        <w:rPr>
          <w:color w:val="231F20"/>
        </w:rPr>
        <w:t>propriétés</w:t>
      </w:r>
      <w:r>
        <w:rPr>
          <w:color w:val="231F20"/>
          <w:spacing w:val="-14"/>
        </w:rPr>
        <w:t> </w:t>
      </w:r>
      <w:r>
        <w:rPr>
          <w:color w:val="231F20"/>
        </w:rPr>
        <w:t>foncières,</w:t>
      </w:r>
      <w:r>
        <w:rPr>
          <w:color w:val="231F20"/>
          <w:spacing w:val="-13"/>
        </w:rPr>
        <w:t> </w:t>
      </w:r>
      <w:r>
        <w:rPr>
          <w:color w:val="231F20"/>
        </w:rPr>
        <w:t>etc.).</w:t>
      </w:r>
      <w:r>
        <w:rPr>
          <w:color w:val="231F20"/>
          <w:spacing w:val="-13"/>
        </w:rPr>
        <w:t> </w:t>
      </w:r>
      <w:r>
        <w:rPr>
          <w:color w:val="231F20"/>
        </w:rPr>
        <w:t>Le</w:t>
      </w:r>
      <w:r>
        <w:rPr>
          <w:color w:val="231F20"/>
          <w:spacing w:val="-13"/>
        </w:rPr>
        <w:t> </w:t>
      </w:r>
      <w:r>
        <w:rPr>
          <w:color w:val="231F20"/>
        </w:rPr>
        <w:t>pays</w:t>
      </w:r>
      <w:r>
        <w:rPr>
          <w:color w:val="231F20"/>
          <w:spacing w:val="-13"/>
        </w:rPr>
        <w:t> </w:t>
      </w:r>
      <w:r>
        <w:rPr>
          <w:color w:val="231F20"/>
        </w:rPr>
        <w:t>compte</w:t>
      </w:r>
      <w:r>
        <w:rPr>
          <w:color w:val="231F20"/>
          <w:spacing w:val="-13"/>
        </w:rPr>
        <w:t> </w:t>
      </w:r>
      <w:r>
        <w:rPr>
          <w:color w:val="231F20"/>
        </w:rPr>
        <w:t>aussi</w:t>
      </w:r>
      <w:r>
        <w:rPr>
          <w:color w:val="231F20"/>
          <w:spacing w:val="-13"/>
        </w:rPr>
        <w:t> </w:t>
      </w:r>
      <w:r>
        <w:rPr>
          <w:color w:val="231F20"/>
        </w:rPr>
        <w:t>environ </w:t>
      </w:r>
      <w:r>
        <w:rPr>
          <w:color w:val="231F20"/>
          <w:spacing w:val="-4"/>
        </w:rPr>
        <w:t>un</w:t>
      </w:r>
      <w:r>
        <w:rPr>
          <w:color w:val="231F20"/>
          <w:spacing w:val="-6"/>
        </w:rPr>
        <w:t> </w:t>
      </w:r>
      <w:r>
        <w:rPr>
          <w:color w:val="231F20"/>
          <w:spacing w:val="-4"/>
        </w:rPr>
        <w:t>millier</w:t>
      </w:r>
      <w:r>
        <w:rPr>
          <w:color w:val="231F20"/>
          <w:spacing w:val="-9"/>
        </w:rPr>
        <w:t> </w:t>
      </w:r>
      <w:r>
        <w:rPr>
          <w:color w:val="231F20"/>
          <w:spacing w:val="-4"/>
        </w:rPr>
        <w:t>de</w:t>
      </w:r>
      <w:r>
        <w:rPr>
          <w:color w:val="231F20"/>
          <w:spacing w:val="-8"/>
        </w:rPr>
        <w:t> </w:t>
      </w:r>
      <w:r>
        <w:rPr>
          <w:color w:val="231F20"/>
          <w:spacing w:val="-4"/>
        </w:rPr>
        <w:t>PME-PMI</w:t>
      </w:r>
      <w:r>
        <w:rPr>
          <w:color w:val="231F20"/>
          <w:spacing w:val="-9"/>
        </w:rPr>
        <w:t> </w:t>
      </w:r>
      <w:r>
        <w:rPr>
          <w:color w:val="231F20"/>
          <w:spacing w:val="-4"/>
        </w:rPr>
        <w:t>de</w:t>
      </w:r>
      <w:r>
        <w:rPr>
          <w:color w:val="231F20"/>
          <w:spacing w:val="-6"/>
        </w:rPr>
        <w:t> </w:t>
      </w:r>
      <w:r>
        <w:rPr>
          <w:color w:val="231F20"/>
          <w:spacing w:val="-4"/>
        </w:rPr>
        <w:t>droit</w:t>
      </w:r>
      <w:r>
        <w:rPr>
          <w:color w:val="231F20"/>
          <w:spacing w:val="-7"/>
        </w:rPr>
        <w:t> </w:t>
      </w:r>
      <w:r>
        <w:rPr>
          <w:color w:val="231F20"/>
          <w:spacing w:val="-4"/>
        </w:rPr>
        <w:t>local,</w:t>
      </w:r>
      <w:r>
        <w:rPr>
          <w:color w:val="231F20"/>
          <w:spacing w:val="-8"/>
        </w:rPr>
        <w:t> </w:t>
      </w:r>
      <w:r>
        <w:rPr>
          <w:color w:val="231F20"/>
          <w:spacing w:val="-4"/>
        </w:rPr>
        <w:t>contrôlées</w:t>
      </w:r>
      <w:r>
        <w:rPr>
          <w:color w:val="231F20"/>
          <w:spacing w:val="-8"/>
        </w:rPr>
        <w:t> </w:t>
      </w:r>
      <w:r>
        <w:rPr>
          <w:color w:val="231F20"/>
          <w:spacing w:val="-4"/>
        </w:rPr>
        <w:t>par</w:t>
      </w:r>
      <w:r>
        <w:rPr>
          <w:color w:val="231F20"/>
          <w:spacing w:val="-6"/>
        </w:rPr>
        <w:t> </w:t>
      </w:r>
      <w:r>
        <w:rPr>
          <w:color w:val="231F20"/>
          <w:spacing w:val="-4"/>
        </w:rPr>
        <w:t>des</w:t>
      </w:r>
      <w:r>
        <w:rPr>
          <w:color w:val="231F20"/>
          <w:spacing w:val="-9"/>
        </w:rPr>
        <w:t> </w:t>
      </w:r>
      <w:r>
        <w:rPr>
          <w:color w:val="231F20"/>
          <w:spacing w:val="-4"/>
        </w:rPr>
        <w:t>intérêts</w:t>
      </w:r>
      <w:r>
        <w:rPr>
          <w:color w:val="231F20"/>
          <w:spacing w:val="-6"/>
        </w:rPr>
        <w:t> </w:t>
      </w:r>
      <w:r>
        <w:rPr>
          <w:color w:val="231F20"/>
          <w:spacing w:val="-4"/>
        </w:rPr>
        <w:t>français, </w:t>
      </w:r>
      <w:r>
        <w:rPr>
          <w:color w:val="231F20"/>
        </w:rPr>
        <w:t>représentant</w:t>
      </w:r>
      <w:r>
        <w:rPr>
          <w:color w:val="231F20"/>
          <w:spacing w:val="-7"/>
        </w:rPr>
        <w:t> </w:t>
      </w:r>
      <w:r>
        <w:rPr>
          <w:color w:val="231F20"/>
        </w:rPr>
        <w:t>entre</w:t>
      </w:r>
      <w:r>
        <w:rPr>
          <w:color w:val="231F20"/>
          <w:spacing w:val="-8"/>
        </w:rPr>
        <w:t> </w:t>
      </w:r>
      <w:r>
        <w:rPr>
          <w:color w:val="231F20"/>
        </w:rPr>
        <w:t>la</w:t>
      </w:r>
      <w:r>
        <w:rPr>
          <w:color w:val="231F20"/>
          <w:spacing w:val="-8"/>
        </w:rPr>
        <w:t> </w:t>
      </w:r>
      <w:r>
        <w:rPr>
          <w:color w:val="231F20"/>
        </w:rPr>
        <w:t>moitié</w:t>
      </w:r>
      <w:r>
        <w:rPr>
          <w:color w:val="231F20"/>
          <w:spacing w:val="-5"/>
        </w:rPr>
        <w:t> </w:t>
      </w:r>
      <w:r>
        <w:rPr>
          <w:color w:val="231F20"/>
        </w:rPr>
        <w:t>et</w:t>
      </w:r>
      <w:r>
        <w:rPr>
          <w:color w:val="231F20"/>
          <w:spacing w:val="-7"/>
        </w:rPr>
        <w:t> </w:t>
      </w:r>
      <w:r>
        <w:rPr>
          <w:color w:val="231F20"/>
        </w:rPr>
        <w:t>les</w:t>
      </w:r>
      <w:r>
        <w:rPr>
          <w:color w:val="231F20"/>
          <w:spacing w:val="-7"/>
        </w:rPr>
        <w:t> </w:t>
      </w:r>
      <w:r>
        <w:rPr>
          <w:color w:val="231F20"/>
        </w:rPr>
        <w:t>deux</w:t>
      </w:r>
      <w:r>
        <w:rPr>
          <w:color w:val="231F20"/>
          <w:spacing w:val="-8"/>
        </w:rPr>
        <w:t> </w:t>
      </w:r>
      <w:r>
        <w:rPr>
          <w:color w:val="231F20"/>
        </w:rPr>
        <w:t>tiers</w:t>
      </w:r>
      <w:r>
        <w:rPr>
          <w:color w:val="231F20"/>
          <w:spacing w:val="-8"/>
        </w:rPr>
        <w:t> </w:t>
      </w:r>
      <w:r>
        <w:rPr>
          <w:color w:val="231F20"/>
        </w:rPr>
        <w:t>du</w:t>
      </w:r>
      <w:r>
        <w:rPr>
          <w:color w:val="231F20"/>
          <w:spacing w:val="-8"/>
        </w:rPr>
        <w:t> </w:t>
      </w:r>
      <w:r>
        <w:rPr>
          <w:color w:val="231F20"/>
        </w:rPr>
        <w:t>secteur</w:t>
      </w:r>
      <w:r>
        <w:rPr>
          <w:color w:val="231F20"/>
          <w:spacing w:val="-5"/>
        </w:rPr>
        <w:t> </w:t>
      </w:r>
      <w:r>
        <w:rPr>
          <w:color w:val="231F20"/>
        </w:rPr>
        <w:t>privé</w:t>
      </w:r>
      <w:r>
        <w:rPr>
          <w:color w:val="231F20"/>
          <w:spacing w:val="-8"/>
        </w:rPr>
        <w:t> </w:t>
      </w:r>
      <w:r>
        <w:rPr>
          <w:color w:val="231F20"/>
        </w:rPr>
        <w:t>formel.</w:t>
      </w:r>
      <w:r>
        <w:rPr>
          <w:color w:val="231F20"/>
          <w:spacing w:val="-8"/>
        </w:rPr>
        <w:t> </w:t>
      </w:r>
      <w:r>
        <w:rPr>
          <w:color w:val="231F20"/>
        </w:rPr>
        <w:t>En octobre 2000, Laurent Gbagbo veut ouvrir le pays à de nouveaux partenaires. Il critique l’existence du franc CFA, compte revoir les conditions</w:t>
      </w:r>
      <w:r>
        <w:rPr>
          <w:color w:val="231F20"/>
          <w:spacing w:val="-9"/>
        </w:rPr>
        <w:t> </w:t>
      </w:r>
      <w:r>
        <w:rPr>
          <w:color w:val="231F20"/>
        </w:rPr>
        <w:t>d’attribution</w:t>
      </w:r>
      <w:r>
        <w:rPr>
          <w:color w:val="231F20"/>
          <w:spacing w:val="-8"/>
        </w:rPr>
        <w:t> </w:t>
      </w:r>
      <w:r>
        <w:rPr>
          <w:color w:val="231F20"/>
        </w:rPr>
        <w:t>de</w:t>
      </w:r>
      <w:r>
        <w:rPr>
          <w:color w:val="231F20"/>
          <w:spacing w:val="-8"/>
        </w:rPr>
        <w:t> </w:t>
      </w:r>
      <w:r>
        <w:rPr>
          <w:color w:val="231F20"/>
        </w:rPr>
        <w:t>marchés</w:t>
      </w:r>
      <w:r>
        <w:rPr>
          <w:color w:val="231F20"/>
          <w:spacing w:val="-9"/>
        </w:rPr>
        <w:t> </w:t>
      </w:r>
      <w:r>
        <w:rPr>
          <w:color w:val="231F20"/>
        </w:rPr>
        <w:t>publics.</w:t>
      </w:r>
      <w:r>
        <w:rPr>
          <w:color w:val="231F20"/>
          <w:spacing w:val="-9"/>
        </w:rPr>
        <w:t> </w:t>
      </w:r>
      <w:r>
        <w:rPr>
          <w:color w:val="231F20"/>
        </w:rPr>
        <w:t>Il</w:t>
      </w:r>
      <w:r>
        <w:rPr>
          <w:color w:val="231F20"/>
          <w:spacing w:val="-8"/>
        </w:rPr>
        <w:t> </w:t>
      </w:r>
      <w:r>
        <w:rPr>
          <w:color w:val="231F20"/>
        </w:rPr>
        <w:t>veut</w:t>
      </w:r>
      <w:r>
        <w:rPr>
          <w:color w:val="231F20"/>
          <w:spacing w:val="-9"/>
        </w:rPr>
        <w:t> </w:t>
      </w:r>
      <w:r>
        <w:rPr>
          <w:color w:val="231F20"/>
        </w:rPr>
        <w:t>aussi</w:t>
      </w:r>
      <w:r>
        <w:rPr>
          <w:color w:val="231F20"/>
          <w:spacing w:val="-7"/>
        </w:rPr>
        <w:t> </w:t>
      </w:r>
      <w:r>
        <w:rPr>
          <w:color w:val="231F20"/>
        </w:rPr>
        <w:t>fermer</w:t>
      </w:r>
      <w:r>
        <w:rPr>
          <w:color w:val="231F20"/>
          <w:spacing w:val="-10"/>
        </w:rPr>
        <w:t> </w:t>
      </w:r>
      <w:r>
        <w:rPr>
          <w:color w:val="231F20"/>
        </w:rPr>
        <w:t>la</w:t>
      </w:r>
      <w:r>
        <w:rPr>
          <w:color w:val="231F20"/>
          <w:spacing w:val="-10"/>
        </w:rPr>
        <w:t> </w:t>
      </w:r>
      <w:r>
        <w:rPr>
          <w:color w:val="231F20"/>
        </w:rPr>
        <w:t>base militaire française d’Abidjan. Après avoir fait entrer les entreprises </w:t>
      </w:r>
      <w:r>
        <w:rPr>
          <w:color w:val="231F20"/>
          <w:spacing w:val="-4"/>
        </w:rPr>
        <w:t>américaines</w:t>
      </w:r>
      <w:r>
        <w:rPr>
          <w:color w:val="231F20"/>
          <w:spacing w:val="-5"/>
        </w:rPr>
        <w:t> </w:t>
      </w:r>
      <w:r>
        <w:rPr>
          <w:color w:val="231F20"/>
          <w:spacing w:val="-4"/>
        </w:rPr>
        <w:t>dans</w:t>
      </w:r>
      <w:r>
        <w:rPr>
          <w:color w:val="231F20"/>
          <w:spacing w:val="-5"/>
        </w:rPr>
        <w:t> </w:t>
      </w:r>
      <w:r>
        <w:rPr>
          <w:color w:val="231F20"/>
          <w:spacing w:val="-4"/>
        </w:rPr>
        <w:t>la filière cacao, le Gouvernement</w:t>
      </w:r>
      <w:r>
        <w:rPr>
          <w:color w:val="231F20"/>
          <w:spacing w:val="-6"/>
        </w:rPr>
        <w:t> </w:t>
      </w:r>
      <w:r>
        <w:rPr>
          <w:color w:val="231F20"/>
          <w:spacing w:val="-4"/>
        </w:rPr>
        <w:t>annonce son</w:t>
      </w:r>
      <w:r>
        <w:rPr>
          <w:color w:val="231F20"/>
          <w:spacing w:val="-8"/>
        </w:rPr>
        <w:t> </w:t>
      </w:r>
      <w:r>
        <w:rPr>
          <w:color w:val="231F20"/>
          <w:spacing w:val="-4"/>
        </w:rPr>
        <w:t>intention </w:t>
      </w:r>
      <w:r>
        <w:rPr>
          <w:color w:val="231F20"/>
          <w:spacing w:val="-2"/>
        </w:rPr>
        <w:t>de</w:t>
      </w:r>
      <w:r>
        <w:rPr>
          <w:color w:val="231F20"/>
          <w:spacing w:val="-9"/>
        </w:rPr>
        <w:t> </w:t>
      </w:r>
      <w:r>
        <w:rPr>
          <w:color w:val="231F20"/>
          <w:spacing w:val="-2"/>
        </w:rPr>
        <w:t>faire</w:t>
      </w:r>
      <w:r>
        <w:rPr>
          <w:color w:val="231F20"/>
          <w:spacing w:val="-9"/>
        </w:rPr>
        <w:t> </w:t>
      </w:r>
      <w:r>
        <w:rPr>
          <w:color w:val="231F20"/>
          <w:spacing w:val="-2"/>
        </w:rPr>
        <w:t>désormais</w:t>
      </w:r>
      <w:r>
        <w:rPr>
          <w:color w:val="231F20"/>
          <w:spacing w:val="-9"/>
        </w:rPr>
        <w:t> </w:t>
      </w:r>
      <w:r>
        <w:rPr>
          <w:color w:val="231F20"/>
          <w:spacing w:val="-2"/>
        </w:rPr>
        <w:t>jouer</w:t>
      </w:r>
      <w:r>
        <w:rPr>
          <w:color w:val="231F20"/>
          <w:spacing w:val="-9"/>
        </w:rPr>
        <w:t> </w:t>
      </w:r>
      <w:r>
        <w:rPr>
          <w:color w:val="231F20"/>
          <w:spacing w:val="-2"/>
        </w:rPr>
        <w:t>la</w:t>
      </w:r>
      <w:r>
        <w:rPr>
          <w:color w:val="231F20"/>
          <w:spacing w:val="-9"/>
        </w:rPr>
        <w:t> </w:t>
      </w:r>
      <w:r>
        <w:rPr>
          <w:color w:val="231F20"/>
          <w:spacing w:val="-2"/>
        </w:rPr>
        <w:t>concurrence</w:t>
      </w:r>
      <w:r>
        <w:rPr>
          <w:color w:val="231F20"/>
          <w:spacing w:val="-9"/>
        </w:rPr>
        <w:t> </w:t>
      </w:r>
      <w:r>
        <w:rPr>
          <w:color w:val="231F20"/>
          <w:spacing w:val="-2"/>
        </w:rPr>
        <w:t>entre</w:t>
      </w:r>
      <w:r>
        <w:rPr>
          <w:color w:val="231F20"/>
          <w:spacing w:val="-9"/>
        </w:rPr>
        <w:t> </w:t>
      </w:r>
      <w:r>
        <w:rPr>
          <w:color w:val="231F20"/>
          <w:spacing w:val="-2"/>
        </w:rPr>
        <w:t>les</w:t>
      </w:r>
      <w:r>
        <w:rPr>
          <w:color w:val="231F20"/>
          <w:spacing w:val="-9"/>
        </w:rPr>
        <w:t> </w:t>
      </w:r>
      <w:r>
        <w:rPr>
          <w:color w:val="231F20"/>
          <w:spacing w:val="-2"/>
        </w:rPr>
        <w:t>entreprises</w:t>
      </w:r>
      <w:r>
        <w:rPr>
          <w:color w:val="231F20"/>
          <w:spacing w:val="-9"/>
        </w:rPr>
        <w:t> </w:t>
      </w:r>
      <w:r>
        <w:rPr>
          <w:color w:val="231F20"/>
          <w:spacing w:val="-2"/>
        </w:rPr>
        <w:t>françaises</w:t>
      </w:r>
      <w:r>
        <w:rPr>
          <w:color w:val="231F20"/>
          <w:spacing w:val="-10"/>
        </w:rPr>
        <w:t> </w:t>
      </w:r>
      <w:r>
        <w:rPr>
          <w:color w:val="231F20"/>
          <w:spacing w:val="-2"/>
        </w:rPr>
        <w:t>et </w:t>
      </w:r>
      <w:r>
        <w:rPr>
          <w:color w:val="231F20"/>
        </w:rPr>
        <w:t>les autres, notamment en ce qui concerne d'énormes contrats auxquels Bouygues</w:t>
      </w:r>
      <w:r>
        <w:rPr>
          <w:color w:val="231F20"/>
          <w:spacing w:val="-15"/>
        </w:rPr>
        <w:t> </w:t>
      </w:r>
      <w:r>
        <w:rPr>
          <w:color w:val="231F20"/>
        </w:rPr>
        <w:t>prétendait.</w:t>
      </w:r>
      <w:r>
        <w:rPr>
          <w:color w:val="231F20"/>
          <w:spacing w:val="-15"/>
        </w:rPr>
        <w:t> </w:t>
      </w:r>
      <w:r>
        <w:rPr>
          <w:color w:val="231F20"/>
        </w:rPr>
        <w:t>Ses</w:t>
      </w:r>
      <w:r>
        <w:rPr>
          <w:color w:val="231F20"/>
          <w:spacing w:val="-15"/>
        </w:rPr>
        <w:t> </w:t>
      </w:r>
      <w:r>
        <w:rPr>
          <w:color w:val="231F20"/>
        </w:rPr>
        <w:t>projets</w:t>
      </w:r>
      <w:r>
        <w:rPr>
          <w:color w:val="231F20"/>
          <w:spacing w:val="-15"/>
        </w:rPr>
        <w:t> </w:t>
      </w:r>
      <w:r>
        <w:rPr>
          <w:color w:val="231F20"/>
        </w:rPr>
        <w:t>bousculent</w:t>
      </w:r>
      <w:r>
        <w:rPr>
          <w:color w:val="231F20"/>
          <w:spacing w:val="-15"/>
        </w:rPr>
        <w:t> </w:t>
      </w:r>
      <w:r>
        <w:rPr>
          <w:color w:val="231F20"/>
        </w:rPr>
        <w:t>les</w:t>
      </w:r>
      <w:r>
        <w:rPr>
          <w:color w:val="231F20"/>
          <w:spacing w:val="-15"/>
        </w:rPr>
        <w:t> </w:t>
      </w:r>
      <w:r>
        <w:rPr>
          <w:color w:val="231F20"/>
        </w:rPr>
        <w:t>intérêts</w:t>
      </w:r>
      <w:r>
        <w:rPr>
          <w:color w:val="231F20"/>
          <w:spacing w:val="-15"/>
        </w:rPr>
        <w:t> </w:t>
      </w:r>
      <w:r>
        <w:rPr>
          <w:color w:val="231F20"/>
        </w:rPr>
        <w:t>économiques</w:t>
      </w:r>
      <w:r>
        <w:rPr>
          <w:color w:val="231F20"/>
          <w:spacing w:val="-15"/>
        </w:rPr>
        <w:t> </w:t>
      </w:r>
      <w:r>
        <w:rPr>
          <w:color w:val="231F20"/>
        </w:rPr>
        <w:t>et militaires français en Côte-d’Ivoire.</w:t>
      </w:r>
    </w:p>
    <w:p>
      <w:pPr>
        <w:pStyle w:val="BodyText"/>
        <w:spacing w:before="106"/>
        <w:ind w:right="105" w:firstLine="283"/>
      </w:pPr>
      <w:r>
        <w:rPr>
          <w:color w:val="231F20"/>
          <w:spacing w:val="-2"/>
        </w:rPr>
        <w:t>Trois</w:t>
      </w:r>
      <w:r>
        <w:rPr>
          <w:color w:val="231F20"/>
          <w:spacing w:val="-12"/>
        </w:rPr>
        <w:t> </w:t>
      </w:r>
      <w:r>
        <w:rPr>
          <w:color w:val="231F20"/>
          <w:spacing w:val="-2"/>
        </w:rPr>
        <w:t>mois</w:t>
      </w:r>
      <w:r>
        <w:rPr>
          <w:color w:val="231F20"/>
          <w:spacing w:val="-10"/>
        </w:rPr>
        <w:t> </w:t>
      </w:r>
      <w:r>
        <w:rPr>
          <w:color w:val="231F20"/>
          <w:spacing w:val="-2"/>
        </w:rPr>
        <w:t>après</w:t>
      </w:r>
      <w:r>
        <w:rPr>
          <w:color w:val="231F20"/>
          <w:spacing w:val="-12"/>
        </w:rPr>
        <w:t> </w:t>
      </w:r>
      <w:r>
        <w:rPr>
          <w:color w:val="231F20"/>
          <w:spacing w:val="-2"/>
        </w:rPr>
        <w:t>son</w:t>
      </w:r>
      <w:r>
        <w:rPr>
          <w:color w:val="231F20"/>
          <w:spacing w:val="-12"/>
        </w:rPr>
        <w:t> </w:t>
      </w:r>
      <w:r>
        <w:rPr>
          <w:color w:val="231F20"/>
          <w:spacing w:val="-2"/>
        </w:rPr>
        <w:t>élection,</w:t>
      </w:r>
      <w:r>
        <w:rPr>
          <w:color w:val="231F20"/>
          <w:spacing w:val="-12"/>
        </w:rPr>
        <w:t> </w:t>
      </w:r>
      <w:r>
        <w:rPr>
          <w:color w:val="231F20"/>
          <w:spacing w:val="-2"/>
        </w:rPr>
        <w:t>il</w:t>
      </w:r>
      <w:r>
        <w:rPr>
          <w:color w:val="231F20"/>
          <w:spacing w:val="-11"/>
        </w:rPr>
        <w:t> </w:t>
      </w:r>
      <w:r>
        <w:rPr>
          <w:color w:val="231F20"/>
          <w:spacing w:val="-2"/>
        </w:rPr>
        <w:t>essuie</w:t>
      </w:r>
      <w:r>
        <w:rPr>
          <w:color w:val="231F20"/>
          <w:spacing w:val="-9"/>
        </w:rPr>
        <w:t> </w:t>
      </w:r>
      <w:r>
        <w:rPr>
          <w:color w:val="231F20"/>
          <w:spacing w:val="-2"/>
        </w:rPr>
        <w:t>une</w:t>
      </w:r>
      <w:r>
        <w:rPr>
          <w:color w:val="231F20"/>
          <w:spacing w:val="-13"/>
        </w:rPr>
        <w:t> </w:t>
      </w:r>
      <w:r>
        <w:rPr>
          <w:color w:val="231F20"/>
          <w:spacing w:val="-2"/>
        </w:rPr>
        <w:t>première</w:t>
      </w:r>
      <w:r>
        <w:rPr>
          <w:color w:val="231F20"/>
          <w:spacing w:val="-9"/>
        </w:rPr>
        <w:t> </w:t>
      </w:r>
      <w:r>
        <w:rPr>
          <w:color w:val="231F20"/>
          <w:spacing w:val="-2"/>
        </w:rPr>
        <w:t>tentative</w:t>
      </w:r>
      <w:r>
        <w:rPr>
          <w:color w:val="231F20"/>
          <w:spacing w:val="-13"/>
        </w:rPr>
        <w:t> </w:t>
      </w:r>
      <w:r>
        <w:rPr>
          <w:color w:val="231F20"/>
          <w:spacing w:val="-2"/>
        </w:rPr>
        <w:t>de</w:t>
      </w:r>
      <w:r>
        <w:rPr>
          <w:color w:val="231F20"/>
          <w:spacing w:val="-10"/>
        </w:rPr>
        <w:t> </w:t>
      </w:r>
      <w:r>
        <w:rPr>
          <w:color w:val="231F20"/>
          <w:spacing w:val="-2"/>
        </w:rPr>
        <w:t>coup </w:t>
      </w:r>
      <w:r>
        <w:rPr>
          <w:color w:val="231F20"/>
        </w:rPr>
        <w:t>d’Etat dans la nuit du 7 au 8 Janvier 2001. Une seconde tentative</w:t>
      </w:r>
      <w:r>
        <w:rPr>
          <w:color w:val="231F20"/>
          <w:spacing w:val="-1"/>
        </w:rPr>
        <w:t> </w:t>
      </w:r>
      <w:r>
        <w:rPr>
          <w:color w:val="231F20"/>
        </w:rPr>
        <w:t>le</w:t>
      </w:r>
      <w:r>
        <w:rPr>
          <w:color w:val="231F20"/>
          <w:spacing w:val="-1"/>
        </w:rPr>
        <w:t> </w:t>
      </w:r>
      <w:r>
        <w:rPr>
          <w:color w:val="231F20"/>
        </w:rPr>
        <w:t>22 septembre 2002, se mue en rébellion armée scinde le pays en deux et permet l'installation durable de contingents français, sous mandat de </w:t>
      </w:r>
      <w:r>
        <w:rPr>
          <w:color w:val="231F20"/>
          <w:spacing w:val="-2"/>
        </w:rPr>
        <w:t>l'ONU,</w:t>
      </w:r>
      <w:r>
        <w:rPr>
          <w:color w:val="231F20"/>
          <w:spacing w:val="-13"/>
        </w:rPr>
        <w:t> </w:t>
      </w:r>
      <w:r>
        <w:rPr>
          <w:color w:val="231F20"/>
          <w:spacing w:val="-2"/>
        </w:rPr>
        <w:t>pour</w:t>
      </w:r>
      <w:r>
        <w:rPr>
          <w:color w:val="231F20"/>
          <w:spacing w:val="-13"/>
        </w:rPr>
        <w:t> </w:t>
      </w:r>
      <w:r>
        <w:rPr>
          <w:color w:val="231F20"/>
          <w:spacing w:val="-2"/>
        </w:rPr>
        <w:t>veiller</w:t>
      </w:r>
      <w:r>
        <w:rPr>
          <w:color w:val="231F20"/>
          <w:spacing w:val="-13"/>
        </w:rPr>
        <w:t> </w:t>
      </w:r>
      <w:r>
        <w:rPr>
          <w:color w:val="231F20"/>
          <w:spacing w:val="-2"/>
        </w:rPr>
        <w:t>aux</w:t>
      </w:r>
      <w:r>
        <w:rPr>
          <w:color w:val="231F20"/>
          <w:spacing w:val="-13"/>
        </w:rPr>
        <w:t> </w:t>
      </w:r>
      <w:r>
        <w:rPr>
          <w:color w:val="231F20"/>
          <w:spacing w:val="-2"/>
        </w:rPr>
        <w:t>intérêts</w:t>
      </w:r>
      <w:r>
        <w:rPr>
          <w:color w:val="231F20"/>
          <w:spacing w:val="-13"/>
        </w:rPr>
        <w:t> </w:t>
      </w:r>
      <w:r>
        <w:rPr>
          <w:color w:val="231F20"/>
          <w:spacing w:val="-2"/>
        </w:rPr>
        <w:t>français.</w:t>
      </w:r>
      <w:r>
        <w:rPr>
          <w:color w:val="231F20"/>
          <w:spacing w:val="-13"/>
        </w:rPr>
        <w:t> </w:t>
      </w:r>
      <w:r>
        <w:rPr>
          <w:color w:val="231F20"/>
          <w:spacing w:val="-2"/>
        </w:rPr>
        <w:t>Laurent</w:t>
      </w:r>
      <w:r>
        <w:rPr>
          <w:color w:val="231F20"/>
          <w:spacing w:val="-13"/>
        </w:rPr>
        <w:t> </w:t>
      </w:r>
      <w:r>
        <w:rPr>
          <w:color w:val="231F20"/>
          <w:spacing w:val="-2"/>
        </w:rPr>
        <w:t>Gbagbo</w:t>
      </w:r>
      <w:r>
        <w:rPr>
          <w:color w:val="231F20"/>
          <w:spacing w:val="-13"/>
        </w:rPr>
        <w:t> </w:t>
      </w:r>
      <w:r>
        <w:rPr>
          <w:color w:val="231F20"/>
          <w:spacing w:val="-2"/>
        </w:rPr>
        <w:t>n’est</w:t>
      </w:r>
      <w:r>
        <w:rPr>
          <w:color w:val="231F20"/>
          <w:spacing w:val="-13"/>
        </w:rPr>
        <w:t> </w:t>
      </w:r>
      <w:r>
        <w:rPr>
          <w:color w:val="231F20"/>
          <w:spacing w:val="-2"/>
        </w:rPr>
        <w:t>pas</w:t>
      </w:r>
      <w:r>
        <w:rPr>
          <w:color w:val="231F20"/>
          <w:spacing w:val="-13"/>
        </w:rPr>
        <w:t> </w:t>
      </w:r>
      <w:r>
        <w:rPr>
          <w:color w:val="231F20"/>
          <w:spacing w:val="-2"/>
        </w:rPr>
        <w:t>dupe. </w:t>
      </w:r>
      <w:r>
        <w:rPr>
          <w:color w:val="231F20"/>
          <w:spacing w:val="-4"/>
        </w:rPr>
        <w:t>Il</w:t>
      </w:r>
      <w:r>
        <w:rPr>
          <w:color w:val="231F20"/>
          <w:spacing w:val="-11"/>
        </w:rPr>
        <w:t> </w:t>
      </w:r>
      <w:r>
        <w:rPr>
          <w:color w:val="231F20"/>
          <w:spacing w:val="-4"/>
        </w:rPr>
        <w:t>sait</w:t>
      </w:r>
      <w:r>
        <w:rPr>
          <w:color w:val="231F20"/>
          <w:spacing w:val="-8"/>
        </w:rPr>
        <w:t> </w:t>
      </w:r>
      <w:r>
        <w:rPr>
          <w:color w:val="231F20"/>
          <w:spacing w:val="-4"/>
        </w:rPr>
        <w:t>d’où</w:t>
      </w:r>
      <w:r>
        <w:rPr>
          <w:color w:val="231F20"/>
          <w:spacing w:val="-11"/>
        </w:rPr>
        <w:t> </w:t>
      </w:r>
      <w:r>
        <w:rPr>
          <w:color w:val="231F20"/>
          <w:spacing w:val="-4"/>
        </w:rPr>
        <w:t>vient</w:t>
      </w:r>
      <w:r>
        <w:rPr>
          <w:color w:val="231F20"/>
          <w:spacing w:val="-8"/>
        </w:rPr>
        <w:t> </w:t>
      </w:r>
      <w:r>
        <w:rPr>
          <w:color w:val="231F20"/>
          <w:spacing w:val="-4"/>
        </w:rPr>
        <w:t>ses</w:t>
      </w:r>
      <w:r>
        <w:rPr>
          <w:color w:val="231F20"/>
          <w:spacing w:val="-11"/>
        </w:rPr>
        <w:t> </w:t>
      </w:r>
      <w:r>
        <w:rPr>
          <w:color w:val="231F20"/>
          <w:spacing w:val="-4"/>
        </w:rPr>
        <w:t>ennuis.</w:t>
      </w:r>
      <w:r>
        <w:rPr>
          <w:color w:val="231F20"/>
          <w:spacing w:val="-9"/>
        </w:rPr>
        <w:t> </w:t>
      </w:r>
      <w:r>
        <w:rPr>
          <w:color w:val="231F20"/>
          <w:spacing w:val="-4"/>
        </w:rPr>
        <w:t>Espérant</w:t>
      </w:r>
      <w:r>
        <w:rPr>
          <w:color w:val="231F20"/>
          <w:spacing w:val="-8"/>
        </w:rPr>
        <w:t> </w:t>
      </w:r>
      <w:r>
        <w:rPr>
          <w:color w:val="231F20"/>
          <w:spacing w:val="-4"/>
        </w:rPr>
        <w:t>amadouer</w:t>
      </w:r>
      <w:r>
        <w:rPr>
          <w:color w:val="231F20"/>
          <w:spacing w:val="-10"/>
        </w:rPr>
        <w:t> </w:t>
      </w:r>
      <w:r>
        <w:rPr>
          <w:color w:val="231F20"/>
          <w:spacing w:val="-4"/>
        </w:rPr>
        <w:t>les</w:t>
      </w:r>
      <w:r>
        <w:rPr>
          <w:color w:val="231F20"/>
          <w:spacing w:val="-11"/>
        </w:rPr>
        <w:t> </w:t>
      </w:r>
      <w:r>
        <w:rPr>
          <w:color w:val="231F20"/>
          <w:spacing w:val="-4"/>
        </w:rPr>
        <w:t>Français,</w:t>
      </w:r>
      <w:r>
        <w:rPr>
          <w:color w:val="231F20"/>
          <w:spacing w:val="-10"/>
        </w:rPr>
        <w:t> </w:t>
      </w:r>
      <w:r>
        <w:rPr>
          <w:color w:val="231F20"/>
          <w:spacing w:val="-4"/>
        </w:rPr>
        <w:t>il</w:t>
      </w:r>
      <w:r>
        <w:rPr>
          <w:color w:val="231F20"/>
          <w:spacing w:val="-9"/>
        </w:rPr>
        <w:t> </w:t>
      </w:r>
      <w:r>
        <w:rPr>
          <w:color w:val="231F20"/>
          <w:spacing w:val="-4"/>
        </w:rPr>
        <w:t>leur</w:t>
      </w:r>
      <w:r>
        <w:rPr>
          <w:color w:val="231F20"/>
          <w:spacing w:val="-10"/>
        </w:rPr>
        <w:t> </w:t>
      </w:r>
      <w:r>
        <w:rPr>
          <w:color w:val="231F20"/>
          <w:spacing w:val="-4"/>
        </w:rPr>
        <w:t>achète </w:t>
      </w:r>
      <w:r>
        <w:rPr>
          <w:color w:val="231F20"/>
        </w:rPr>
        <w:t>fin</w:t>
      </w:r>
      <w:r>
        <w:rPr>
          <w:color w:val="231F20"/>
          <w:spacing w:val="-4"/>
        </w:rPr>
        <w:t> </w:t>
      </w:r>
      <w:r>
        <w:rPr>
          <w:color w:val="231F20"/>
        </w:rPr>
        <w:t>2003</w:t>
      </w:r>
      <w:r>
        <w:rPr>
          <w:color w:val="231F20"/>
          <w:spacing w:val="-4"/>
        </w:rPr>
        <w:t> </w:t>
      </w:r>
      <w:r>
        <w:rPr>
          <w:color w:val="231F20"/>
        </w:rPr>
        <w:t>et</w:t>
      </w:r>
      <w:r>
        <w:rPr>
          <w:color w:val="231F20"/>
          <w:spacing w:val="-4"/>
        </w:rPr>
        <w:t> </w:t>
      </w:r>
      <w:r>
        <w:rPr>
          <w:color w:val="231F20"/>
        </w:rPr>
        <w:t>début</w:t>
      </w:r>
      <w:r>
        <w:rPr>
          <w:color w:val="231F20"/>
          <w:spacing w:val="-6"/>
        </w:rPr>
        <w:t> </w:t>
      </w:r>
      <w:r>
        <w:rPr>
          <w:color w:val="231F20"/>
        </w:rPr>
        <w:t>2004</w:t>
      </w:r>
      <w:r>
        <w:rPr>
          <w:color w:val="231F20"/>
          <w:spacing w:val="-6"/>
        </w:rPr>
        <w:t> </w:t>
      </w:r>
      <w:r>
        <w:rPr>
          <w:color w:val="231F20"/>
        </w:rPr>
        <w:t>des</w:t>
      </w:r>
      <w:r>
        <w:rPr>
          <w:color w:val="231F20"/>
          <w:spacing w:val="-4"/>
        </w:rPr>
        <w:t> </w:t>
      </w:r>
      <w:r>
        <w:rPr>
          <w:color w:val="231F20"/>
        </w:rPr>
        <w:t>armes</w:t>
      </w:r>
      <w:r>
        <w:rPr>
          <w:color w:val="231F20"/>
          <w:spacing w:val="-4"/>
        </w:rPr>
        <w:t> </w:t>
      </w:r>
      <w:r>
        <w:rPr>
          <w:color w:val="231F20"/>
        </w:rPr>
        <w:t>et</w:t>
      </w:r>
      <w:r>
        <w:rPr>
          <w:color w:val="231F20"/>
          <w:spacing w:val="-6"/>
        </w:rPr>
        <w:t> </w:t>
      </w:r>
      <w:r>
        <w:rPr>
          <w:color w:val="231F20"/>
        </w:rPr>
        <w:t>leur</w:t>
      </w:r>
      <w:r>
        <w:rPr>
          <w:color w:val="231F20"/>
          <w:spacing w:val="-4"/>
        </w:rPr>
        <w:t> </w:t>
      </w:r>
      <w:r>
        <w:rPr>
          <w:color w:val="231F20"/>
        </w:rPr>
        <w:t>accorde</w:t>
      </w:r>
      <w:r>
        <w:rPr>
          <w:color w:val="231F20"/>
          <w:spacing w:val="-6"/>
        </w:rPr>
        <w:t> </w:t>
      </w:r>
      <w:r>
        <w:rPr>
          <w:color w:val="231F20"/>
        </w:rPr>
        <w:t>des</w:t>
      </w:r>
      <w:r>
        <w:rPr>
          <w:color w:val="231F20"/>
          <w:spacing w:val="-4"/>
        </w:rPr>
        <w:t> </w:t>
      </w:r>
      <w:r>
        <w:rPr>
          <w:color w:val="231F20"/>
        </w:rPr>
        <w:t>marchés</w:t>
      </w:r>
      <w:r>
        <w:rPr>
          <w:color w:val="231F20"/>
          <w:spacing w:val="-14"/>
        </w:rPr>
        <w:t> </w:t>
      </w:r>
      <w:r>
        <w:rPr>
          <w:color w:val="231F20"/>
        </w:rPr>
        <w:t>:</w:t>
      </w:r>
      <w:r>
        <w:rPr>
          <w:color w:val="231F20"/>
          <w:spacing w:val="-4"/>
        </w:rPr>
        <w:t> </w:t>
      </w:r>
      <w:r>
        <w:rPr>
          <w:color w:val="231F20"/>
        </w:rPr>
        <w:t>Alcatel, Technip et Bivac et surtout la scandaleuse concession à Bolloré, pour quinze ans, du Terminal à conteneurs de Vridi, au Port Autonome d’Abidjan.</w:t>
      </w:r>
      <w:r>
        <w:rPr>
          <w:color w:val="231F20"/>
          <w:spacing w:val="-5"/>
        </w:rPr>
        <w:t> </w:t>
      </w:r>
      <w:r>
        <w:rPr>
          <w:color w:val="231F20"/>
        </w:rPr>
        <w:t>C’est</w:t>
      </w:r>
      <w:r>
        <w:rPr>
          <w:color w:val="231F20"/>
          <w:spacing w:val="-5"/>
        </w:rPr>
        <w:t> </w:t>
      </w:r>
      <w:r>
        <w:rPr>
          <w:color w:val="231F20"/>
        </w:rPr>
        <w:t>une</w:t>
      </w:r>
      <w:r>
        <w:rPr>
          <w:color w:val="231F20"/>
          <w:spacing w:val="-5"/>
        </w:rPr>
        <w:t> </w:t>
      </w:r>
      <w:r>
        <w:rPr>
          <w:color w:val="231F20"/>
        </w:rPr>
        <w:t>situation</w:t>
      </w:r>
      <w:r>
        <w:rPr>
          <w:color w:val="231F20"/>
          <w:spacing w:val="-5"/>
        </w:rPr>
        <w:t> </w:t>
      </w:r>
      <w:r>
        <w:rPr>
          <w:color w:val="231F20"/>
        </w:rPr>
        <w:t>de</w:t>
      </w:r>
      <w:r>
        <w:rPr>
          <w:color w:val="231F20"/>
          <w:spacing w:val="-4"/>
        </w:rPr>
        <w:t> </w:t>
      </w:r>
      <w:r>
        <w:rPr>
          <w:color w:val="231F20"/>
        </w:rPr>
        <w:t>quasi-monopole</w:t>
      </w:r>
      <w:r>
        <w:rPr>
          <w:color w:val="231F20"/>
          <w:spacing w:val="-6"/>
        </w:rPr>
        <w:t> </w:t>
      </w:r>
      <w:r>
        <w:rPr>
          <w:color w:val="231F20"/>
        </w:rPr>
        <w:t>sur</w:t>
      </w:r>
      <w:r>
        <w:rPr>
          <w:color w:val="231F20"/>
          <w:spacing w:val="-4"/>
        </w:rPr>
        <w:t> </w:t>
      </w:r>
      <w:r>
        <w:rPr>
          <w:color w:val="231F20"/>
        </w:rPr>
        <w:t>le</w:t>
      </w:r>
      <w:r>
        <w:rPr>
          <w:color w:val="231F20"/>
          <w:spacing w:val="-4"/>
        </w:rPr>
        <w:t> </w:t>
      </w:r>
      <w:r>
        <w:rPr>
          <w:color w:val="231F20"/>
        </w:rPr>
        <w:t>deuxième</w:t>
      </w:r>
      <w:r>
        <w:rPr>
          <w:color w:val="231F20"/>
          <w:spacing w:val="-6"/>
        </w:rPr>
        <w:t> </w:t>
      </w:r>
      <w:r>
        <w:rPr>
          <w:color w:val="231F20"/>
        </w:rPr>
        <w:t>port africain,</w:t>
      </w:r>
      <w:r>
        <w:rPr>
          <w:color w:val="231F20"/>
          <w:spacing w:val="-2"/>
        </w:rPr>
        <w:t> </w:t>
      </w:r>
      <w:r>
        <w:rPr>
          <w:color w:val="231F20"/>
        </w:rPr>
        <w:t>après</w:t>
      </w:r>
      <w:r>
        <w:rPr>
          <w:color w:val="231F20"/>
          <w:spacing w:val="-2"/>
        </w:rPr>
        <w:t> </w:t>
      </w:r>
      <w:r>
        <w:rPr>
          <w:color w:val="231F20"/>
        </w:rPr>
        <w:t>celui</w:t>
      </w:r>
      <w:r>
        <w:rPr>
          <w:color w:val="231F20"/>
          <w:spacing w:val="-4"/>
        </w:rPr>
        <w:t> </w:t>
      </w:r>
      <w:r>
        <w:rPr>
          <w:color w:val="231F20"/>
        </w:rPr>
        <w:t>de</w:t>
      </w:r>
      <w:r>
        <w:rPr>
          <w:color w:val="231F20"/>
          <w:spacing w:val="-2"/>
        </w:rPr>
        <w:t> </w:t>
      </w:r>
      <w:r>
        <w:rPr>
          <w:color w:val="231F20"/>
        </w:rPr>
        <w:t>Durban</w:t>
      </w:r>
      <w:r>
        <w:rPr>
          <w:color w:val="231F20"/>
          <w:spacing w:val="-2"/>
        </w:rPr>
        <w:t> </w:t>
      </w:r>
      <w:r>
        <w:rPr>
          <w:color w:val="231F20"/>
        </w:rPr>
        <w:t>en</w:t>
      </w:r>
      <w:r>
        <w:rPr>
          <w:color w:val="231F20"/>
          <w:spacing w:val="-2"/>
        </w:rPr>
        <w:t> </w:t>
      </w:r>
      <w:r>
        <w:rPr>
          <w:color w:val="231F20"/>
        </w:rPr>
        <w:t>Afrique</w:t>
      </w:r>
      <w:r>
        <w:rPr>
          <w:color w:val="231F20"/>
          <w:spacing w:val="-2"/>
        </w:rPr>
        <w:t> </w:t>
      </w:r>
      <w:r>
        <w:rPr>
          <w:color w:val="231F20"/>
        </w:rPr>
        <w:t>du</w:t>
      </w:r>
      <w:r>
        <w:rPr>
          <w:color w:val="231F20"/>
          <w:spacing w:val="-4"/>
        </w:rPr>
        <w:t> </w:t>
      </w:r>
      <w:r>
        <w:rPr>
          <w:color w:val="231F20"/>
        </w:rPr>
        <w:t>Sud.</w:t>
      </w:r>
      <w:r>
        <w:rPr>
          <w:color w:val="231F20"/>
          <w:spacing w:val="-4"/>
        </w:rPr>
        <w:t> </w:t>
      </w:r>
      <w:r>
        <w:rPr>
          <w:color w:val="231F20"/>
        </w:rPr>
        <w:t>Ainsi,</w:t>
      </w:r>
      <w:r>
        <w:rPr>
          <w:color w:val="231F20"/>
          <w:spacing w:val="-2"/>
        </w:rPr>
        <w:t> </w:t>
      </w:r>
      <w:r>
        <w:rPr>
          <w:color w:val="231F20"/>
        </w:rPr>
        <w:t>Gbagbo</w:t>
      </w:r>
      <w:r>
        <w:rPr>
          <w:color w:val="231F20"/>
          <w:spacing w:val="-2"/>
        </w:rPr>
        <w:t> </w:t>
      </w:r>
      <w:r>
        <w:rPr>
          <w:color w:val="231F20"/>
        </w:rPr>
        <w:t>s’est plié</w:t>
      </w:r>
      <w:r>
        <w:rPr>
          <w:color w:val="231F20"/>
          <w:spacing w:val="-1"/>
        </w:rPr>
        <w:t> </w:t>
      </w:r>
      <w:r>
        <w:rPr>
          <w:color w:val="231F20"/>
        </w:rPr>
        <w:t>aux</w:t>
      </w:r>
      <w:r>
        <w:rPr>
          <w:color w:val="231F20"/>
          <w:spacing w:val="-1"/>
        </w:rPr>
        <w:t> </w:t>
      </w:r>
      <w:r>
        <w:rPr>
          <w:color w:val="231F20"/>
        </w:rPr>
        <w:t>procédés</w:t>
      </w:r>
      <w:r>
        <w:rPr>
          <w:color w:val="231F20"/>
          <w:spacing w:val="-3"/>
        </w:rPr>
        <w:t> </w:t>
      </w:r>
      <w:r>
        <w:rPr>
          <w:color w:val="231F20"/>
        </w:rPr>
        <w:t>traditionnels</w:t>
      </w:r>
      <w:r>
        <w:rPr>
          <w:color w:val="231F20"/>
          <w:spacing w:val="-3"/>
        </w:rPr>
        <w:t> </w:t>
      </w:r>
      <w:r>
        <w:rPr>
          <w:color w:val="231F20"/>
        </w:rPr>
        <w:t>de</w:t>
      </w:r>
      <w:r>
        <w:rPr>
          <w:color w:val="231F20"/>
          <w:spacing w:val="-1"/>
        </w:rPr>
        <w:t> </w:t>
      </w:r>
      <w:r>
        <w:rPr>
          <w:color w:val="231F20"/>
        </w:rPr>
        <w:t>la</w:t>
      </w:r>
      <w:r>
        <w:rPr>
          <w:color w:val="231F20"/>
          <w:spacing w:val="-1"/>
        </w:rPr>
        <w:t> </w:t>
      </w:r>
      <w:r>
        <w:rPr>
          <w:color w:val="231F20"/>
        </w:rPr>
        <w:t>Françafrique.</w:t>
      </w:r>
    </w:p>
    <w:p>
      <w:pPr>
        <w:pStyle w:val="BodyText"/>
        <w:spacing w:before="120"/>
        <w:ind w:right="104" w:firstLine="283"/>
      </w:pPr>
      <w:r>
        <w:rPr>
          <w:color w:val="231F20"/>
          <w:spacing w:val="-4"/>
        </w:rPr>
        <w:t>L’Afrique,</w:t>
      </w:r>
      <w:r>
        <w:rPr>
          <w:color w:val="231F20"/>
          <w:spacing w:val="-11"/>
        </w:rPr>
        <w:t> </w:t>
      </w:r>
      <w:r>
        <w:rPr>
          <w:color w:val="231F20"/>
          <w:spacing w:val="-4"/>
        </w:rPr>
        <w:t>est</w:t>
      </w:r>
      <w:r>
        <w:rPr>
          <w:color w:val="231F20"/>
          <w:spacing w:val="-11"/>
        </w:rPr>
        <w:t> </w:t>
      </w:r>
      <w:r>
        <w:rPr>
          <w:color w:val="231F20"/>
          <w:spacing w:val="-4"/>
        </w:rPr>
        <w:t>encore</w:t>
      </w:r>
      <w:r>
        <w:rPr>
          <w:color w:val="231F20"/>
          <w:spacing w:val="-11"/>
        </w:rPr>
        <w:t> </w:t>
      </w:r>
      <w:r>
        <w:rPr>
          <w:color w:val="231F20"/>
          <w:spacing w:val="-4"/>
        </w:rPr>
        <w:t>un</w:t>
      </w:r>
      <w:r>
        <w:rPr>
          <w:color w:val="231F20"/>
          <w:spacing w:val="-11"/>
        </w:rPr>
        <w:t> </w:t>
      </w:r>
      <w:r>
        <w:rPr>
          <w:color w:val="231F20"/>
          <w:spacing w:val="-4"/>
        </w:rPr>
        <w:t>producteur</w:t>
      </w:r>
      <w:r>
        <w:rPr>
          <w:color w:val="231F20"/>
          <w:spacing w:val="-11"/>
        </w:rPr>
        <w:t> </w:t>
      </w:r>
      <w:r>
        <w:rPr>
          <w:color w:val="231F20"/>
          <w:spacing w:val="-4"/>
        </w:rPr>
        <w:t>modeste</w:t>
      </w:r>
      <w:r>
        <w:rPr>
          <w:color w:val="231F20"/>
          <w:spacing w:val="-6"/>
        </w:rPr>
        <w:t> </w:t>
      </w:r>
      <w:r>
        <w:rPr>
          <w:color w:val="231F20"/>
          <w:spacing w:val="-4"/>
        </w:rPr>
        <w:t>au</w:t>
      </w:r>
      <w:r>
        <w:rPr>
          <w:color w:val="231F20"/>
          <w:spacing w:val="-11"/>
        </w:rPr>
        <w:t> </w:t>
      </w:r>
      <w:r>
        <w:rPr>
          <w:color w:val="231F20"/>
          <w:spacing w:val="-4"/>
        </w:rPr>
        <w:t>niveau</w:t>
      </w:r>
      <w:r>
        <w:rPr>
          <w:color w:val="231F20"/>
          <w:spacing w:val="-11"/>
        </w:rPr>
        <w:t> </w:t>
      </w:r>
      <w:r>
        <w:rPr>
          <w:color w:val="231F20"/>
          <w:spacing w:val="-4"/>
        </w:rPr>
        <w:t>du</w:t>
      </w:r>
      <w:r>
        <w:rPr>
          <w:color w:val="231F20"/>
          <w:spacing w:val="-11"/>
        </w:rPr>
        <w:t> </w:t>
      </w:r>
      <w:r>
        <w:rPr>
          <w:color w:val="231F20"/>
          <w:spacing w:val="-4"/>
        </w:rPr>
        <w:t>pétrole</w:t>
      </w:r>
      <w:r>
        <w:rPr>
          <w:color w:val="231F20"/>
          <w:spacing w:val="-11"/>
        </w:rPr>
        <w:t> </w:t>
      </w:r>
      <w:r>
        <w:rPr>
          <w:color w:val="231F20"/>
          <w:spacing w:val="-4"/>
        </w:rPr>
        <w:t>:</w:t>
      </w:r>
      <w:r>
        <w:rPr>
          <w:color w:val="231F20"/>
          <w:spacing w:val="-9"/>
        </w:rPr>
        <w:t> </w:t>
      </w:r>
      <w:r>
        <w:rPr>
          <w:color w:val="231F20"/>
          <w:spacing w:val="-4"/>
        </w:rPr>
        <w:t>6% </w:t>
      </w:r>
      <w:r>
        <w:rPr>
          <w:color w:val="231F20"/>
        </w:rPr>
        <w:t>des réserves mondiales en 2000. Mais les spécialistes de l’industrie </w:t>
      </w:r>
      <w:r>
        <w:rPr>
          <w:color w:val="231F20"/>
          <w:spacing w:val="-4"/>
        </w:rPr>
        <w:t>énergétique</w:t>
      </w:r>
      <w:r>
        <w:rPr>
          <w:color w:val="231F20"/>
          <w:spacing w:val="-11"/>
        </w:rPr>
        <w:t> </w:t>
      </w:r>
      <w:r>
        <w:rPr>
          <w:color w:val="231F20"/>
          <w:spacing w:val="-4"/>
        </w:rPr>
        <w:t>sont</w:t>
      </w:r>
      <w:r>
        <w:rPr>
          <w:color w:val="231F20"/>
          <w:spacing w:val="-11"/>
        </w:rPr>
        <w:t> </w:t>
      </w:r>
      <w:r>
        <w:rPr>
          <w:color w:val="231F20"/>
          <w:spacing w:val="-4"/>
        </w:rPr>
        <w:t>formels</w:t>
      </w:r>
      <w:r>
        <w:rPr>
          <w:color w:val="231F20"/>
          <w:spacing w:val="2"/>
        </w:rPr>
        <w:t> </w:t>
      </w:r>
      <w:r>
        <w:rPr>
          <w:color w:val="231F20"/>
          <w:spacing w:val="-4"/>
        </w:rPr>
        <w:t>:</w:t>
      </w:r>
      <w:r>
        <w:rPr>
          <w:color w:val="231F20"/>
          <w:spacing w:val="-11"/>
        </w:rPr>
        <w:t> </w:t>
      </w:r>
      <w:r>
        <w:rPr>
          <w:color w:val="231F20"/>
          <w:spacing w:val="-4"/>
        </w:rPr>
        <w:t>la</w:t>
      </w:r>
      <w:r>
        <w:rPr>
          <w:color w:val="231F20"/>
          <w:spacing w:val="-10"/>
        </w:rPr>
        <w:t> </w:t>
      </w:r>
      <w:r>
        <w:rPr>
          <w:color w:val="231F20"/>
          <w:spacing w:val="-4"/>
        </w:rPr>
        <w:t>découverte</w:t>
      </w:r>
      <w:r>
        <w:rPr>
          <w:color w:val="231F20"/>
          <w:spacing w:val="-10"/>
        </w:rPr>
        <w:t> </w:t>
      </w:r>
      <w:r>
        <w:rPr>
          <w:color w:val="231F20"/>
          <w:spacing w:val="-4"/>
        </w:rPr>
        <w:t>de</w:t>
      </w:r>
      <w:r>
        <w:rPr>
          <w:color w:val="231F20"/>
          <w:spacing w:val="-10"/>
        </w:rPr>
        <w:t> </w:t>
      </w:r>
      <w:r>
        <w:rPr>
          <w:color w:val="231F20"/>
          <w:spacing w:val="-4"/>
        </w:rPr>
        <w:t>nouveaux</w:t>
      </w:r>
      <w:r>
        <w:rPr>
          <w:color w:val="231F20"/>
          <w:spacing w:val="-11"/>
        </w:rPr>
        <w:t> </w:t>
      </w:r>
      <w:r>
        <w:rPr>
          <w:color w:val="231F20"/>
          <w:spacing w:val="-4"/>
        </w:rPr>
        <w:t>gisements</w:t>
      </w:r>
      <w:r>
        <w:rPr>
          <w:color w:val="231F20"/>
          <w:spacing w:val="-11"/>
        </w:rPr>
        <w:t> </w:t>
      </w:r>
      <w:r>
        <w:rPr>
          <w:color w:val="231F20"/>
          <w:spacing w:val="-4"/>
        </w:rPr>
        <w:t>pétroliers </w:t>
      </w:r>
      <w:r>
        <w:rPr>
          <w:color w:val="231F20"/>
        </w:rPr>
        <w:t>en Afrique de l’Ouest suscite la convoitise de l’Occident et celle des puissances</w:t>
      </w:r>
      <w:r>
        <w:rPr>
          <w:color w:val="231F20"/>
          <w:spacing w:val="-12"/>
        </w:rPr>
        <w:t> </w:t>
      </w:r>
      <w:r>
        <w:rPr>
          <w:color w:val="231F20"/>
        </w:rPr>
        <w:t>émergentes</w:t>
      </w:r>
      <w:r>
        <w:rPr>
          <w:color w:val="231F20"/>
          <w:spacing w:val="-15"/>
        </w:rPr>
        <w:t> </w:t>
      </w:r>
      <w:r>
        <w:rPr>
          <w:color w:val="231F20"/>
        </w:rPr>
        <w:t>:</w:t>
      </w:r>
      <w:r>
        <w:rPr>
          <w:color w:val="231F20"/>
          <w:spacing w:val="-5"/>
        </w:rPr>
        <w:t> </w:t>
      </w:r>
      <w:r>
        <w:rPr>
          <w:color w:val="231F20"/>
        </w:rPr>
        <w:t>le</w:t>
      </w:r>
      <w:r>
        <w:rPr>
          <w:color w:val="231F20"/>
          <w:spacing w:val="-6"/>
        </w:rPr>
        <w:t> </w:t>
      </w:r>
      <w:r>
        <w:rPr>
          <w:color w:val="231F20"/>
        </w:rPr>
        <w:t>pétrole</w:t>
      </w:r>
      <w:r>
        <w:rPr>
          <w:color w:val="231F20"/>
          <w:spacing w:val="-6"/>
        </w:rPr>
        <w:t> </w:t>
      </w:r>
      <w:r>
        <w:rPr>
          <w:color w:val="231F20"/>
        </w:rPr>
        <w:t>africain</w:t>
      </w:r>
      <w:r>
        <w:rPr>
          <w:color w:val="231F20"/>
          <w:spacing w:val="-6"/>
        </w:rPr>
        <w:t> </w:t>
      </w:r>
      <w:r>
        <w:rPr>
          <w:color w:val="231F20"/>
        </w:rPr>
        <w:t>serait</w:t>
      </w:r>
      <w:r>
        <w:rPr>
          <w:color w:val="231F20"/>
          <w:spacing w:val="-5"/>
        </w:rPr>
        <w:t> </w:t>
      </w:r>
      <w:r>
        <w:rPr>
          <w:color w:val="231F20"/>
        </w:rPr>
        <w:t>de</w:t>
      </w:r>
      <w:r>
        <w:rPr>
          <w:color w:val="231F20"/>
          <w:spacing w:val="-6"/>
        </w:rPr>
        <w:t> </w:t>
      </w:r>
      <w:r>
        <w:rPr>
          <w:color w:val="231F20"/>
        </w:rPr>
        <w:t>bonne</w:t>
      </w:r>
      <w:r>
        <w:rPr>
          <w:color w:val="231F20"/>
          <w:spacing w:val="-6"/>
        </w:rPr>
        <w:t> </w:t>
      </w:r>
      <w:r>
        <w:rPr>
          <w:color w:val="231F20"/>
        </w:rPr>
        <w:t>qualité,</w:t>
      </w:r>
      <w:r>
        <w:rPr>
          <w:color w:val="231F20"/>
          <w:spacing w:val="-5"/>
        </w:rPr>
        <w:t> </w:t>
      </w:r>
      <w:r>
        <w:rPr>
          <w:color w:val="231F20"/>
        </w:rPr>
        <w:t>avec des</w:t>
      </w:r>
      <w:r>
        <w:rPr>
          <w:color w:val="231F20"/>
          <w:spacing w:val="30"/>
        </w:rPr>
        <w:t> </w:t>
      </w:r>
      <w:r>
        <w:rPr>
          <w:color w:val="231F20"/>
        </w:rPr>
        <w:t>coûts</w:t>
      </w:r>
      <w:r>
        <w:rPr>
          <w:color w:val="231F20"/>
          <w:spacing w:val="28"/>
        </w:rPr>
        <w:t> </w:t>
      </w:r>
      <w:r>
        <w:rPr>
          <w:color w:val="231F20"/>
        </w:rPr>
        <w:t>d’exploitation</w:t>
      </w:r>
      <w:r>
        <w:rPr>
          <w:color w:val="231F20"/>
          <w:spacing w:val="27"/>
        </w:rPr>
        <w:t> </w:t>
      </w:r>
      <w:r>
        <w:rPr>
          <w:color w:val="231F20"/>
        </w:rPr>
        <w:t>compétitifs.</w:t>
      </w:r>
      <w:r>
        <w:rPr>
          <w:color w:val="231F20"/>
          <w:spacing w:val="29"/>
        </w:rPr>
        <w:t> </w:t>
      </w:r>
      <w:r>
        <w:rPr>
          <w:color w:val="231F20"/>
        </w:rPr>
        <w:t>Or,</w:t>
      </w:r>
      <w:r>
        <w:rPr>
          <w:color w:val="231F20"/>
          <w:spacing w:val="31"/>
        </w:rPr>
        <w:t> </w:t>
      </w:r>
      <w:r>
        <w:rPr>
          <w:color w:val="231F20"/>
        </w:rPr>
        <w:t>en</w:t>
      </w:r>
      <w:r>
        <w:rPr>
          <w:color w:val="231F20"/>
          <w:spacing w:val="28"/>
        </w:rPr>
        <w:t> </w:t>
      </w:r>
      <w:r>
        <w:rPr>
          <w:color w:val="231F20"/>
        </w:rPr>
        <w:t>Côte</w:t>
      </w:r>
      <w:r>
        <w:rPr>
          <w:color w:val="231F20"/>
          <w:spacing w:val="28"/>
        </w:rPr>
        <w:t> </w:t>
      </w:r>
      <w:r>
        <w:rPr>
          <w:color w:val="231F20"/>
        </w:rPr>
        <w:t>d’Ivoire,</w:t>
      </w:r>
      <w:r>
        <w:rPr>
          <w:color w:val="231F20"/>
          <w:spacing w:val="22"/>
        </w:rPr>
        <w:t> </w:t>
      </w:r>
      <w:r>
        <w:rPr>
          <w:color w:val="231F20"/>
        </w:rPr>
        <w:t>les</w:t>
      </w:r>
      <w:r>
        <w:rPr>
          <w:color w:val="231F20"/>
          <w:spacing w:val="29"/>
        </w:rPr>
        <w:t> </w:t>
      </w:r>
      <w:r>
        <w:rPr>
          <w:color w:val="231F20"/>
          <w:spacing w:val="-2"/>
        </w:rPr>
        <w:t>divers</w:t>
      </w:r>
    </w:p>
    <w:p>
      <w:pPr>
        <w:pStyle w:val="BodyText"/>
        <w:spacing w:before="53"/>
        <w:ind w:left="0"/>
        <w:jc w:val="left"/>
        <w:rPr>
          <w:sz w:val="20"/>
        </w:rPr>
      </w:pPr>
      <w:r>
        <w:rPr/>
        <mc:AlternateContent>
          <mc:Choice Requires="wps">
            <w:drawing>
              <wp:anchor distT="0" distB="0" distL="0" distR="0" allowOverlap="1" layoutInCell="1" locked="0" behindDoc="1" simplePos="0" relativeHeight="487663616">
                <wp:simplePos x="0" y="0"/>
                <wp:positionH relativeFrom="page">
                  <wp:posOffset>629907</wp:posOffset>
                </wp:positionH>
                <wp:positionV relativeFrom="paragraph">
                  <wp:posOffset>194964</wp:posOffset>
                </wp:positionV>
                <wp:extent cx="1829435" cy="9525"/>
                <wp:effectExtent l="0" t="0" r="0" b="0"/>
                <wp:wrapTopAndBottom/>
                <wp:docPr id="180" name="Graphic 180"/>
                <wp:cNvGraphicFramePr>
                  <a:graphicFrameLocks/>
                </wp:cNvGraphicFramePr>
                <a:graphic>
                  <a:graphicData uri="http://schemas.microsoft.com/office/word/2010/wordprocessingShape">
                    <wps:wsp>
                      <wps:cNvPr id="180" name="Graphic 18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351562pt;width:144.020pt;height:.72pt;mso-position-horizontal-relative:page;mso-position-vertical-relative:paragraph;z-index:-15652864;mso-wrap-distance-left:0;mso-wrap-distance-right:0" id="docshape178"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249</w:t>
      </w:r>
      <w:r>
        <w:rPr>
          <w:color w:val="76787A"/>
          <w:spacing w:val="-19"/>
          <w:sz w:val="20"/>
          <w:vertAlign w:val="baseline"/>
        </w:rPr>
        <w:t> </w:t>
      </w:r>
      <w:r>
        <w:rPr>
          <w:color w:val="231F20"/>
          <w:spacing w:val="-2"/>
          <w:sz w:val="20"/>
          <w:vertAlign w:val="baseline"/>
        </w:rPr>
        <w:t>Chiffres</w:t>
      </w:r>
      <w:r>
        <w:rPr>
          <w:color w:val="231F20"/>
          <w:spacing w:val="-7"/>
          <w:sz w:val="20"/>
          <w:vertAlign w:val="baseline"/>
        </w:rPr>
        <w:t> </w:t>
      </w:r>
      <w:r>
        <w:rPr>
          <w:color w:val="231F20"/>
          <w:spacing w:val="-2"/>
          <w:sz w:val="20"/>
          <w:vertAlign w:val="baseline"/>
        </w:rPr>
        <w:t>de la Direction des relations économiques</w:t>
      </w:r>
      <w:r>
        <w:rPr>
          <w:color w:val="231F20"/>
          <w:spacing w:val="-3"/>
          <w:sz w:val="20"/>
          <w:vertAlign w:val="baseline"/>
        </w:rPr>
        <w:t> </w:t>
      </w:r>
      <w:r>
        <w:rPr>
          <w:color w:val="231F20"/>
          <w:spacing w:val="-2"/>
          <w:sz w:val="20"/>
          <w:vertAlign w:val="baseline"/>
        </w:rPr>
        <w:t>extérieures du ministère</w:t>
      </w:r>
      <w:r>
        <w:rPr>
          <w:color w:val="231F20"/>
          <w:spacing w:val="-3"/>
          <w:sz w:val="20"/>
          <w:vertAlign w:val="baseline"/>
        </w:rPr>
        <w:t> </w:t>
      </w:r>
      <w:r>
        <w:rPr>
          <w:color w:val="231F20"/>
          <w:spacing w:val="-2"/>
          <w:sz w:val="20"/>
          <w:vertAlign w:val="baseline"/>
        </w:rPr>
        <w:t>français </w:t>
      </w:r>
      <w:r>
        <w:rPr>
          <w:color w:val="231F20"/>
          <w:sz w:val="20"/>
          <w:vertAlign w:val="baseline"/>
        </w:rPr>
        <w:t>de l'Economie.</w:t>
      </w:r>
    </w:p>
    <w:p>
      <w:pPr>
        <w:spacing w:after="0"/>
        <w:jc w:val="left"/>
        <w:rPr>
          <w:sz w:val="20"/>
        </w:rPr>
        <w:sectPr>
          <w:pgSz w:w="8790" w:h="13610"/>
          <w:pgMar w:header="0" w:footer="802" w:top="1060" w:bottom="1000" w:left="880" w:right="880"/>
        </w:sectPr>
      </w:pPr>
    </w:p>
    <w:p>
      <w:pPr>
        <w:pStyle w:val="BodyText"/>
        <w:spacing w:before="66"/>
        <w:ind w:right="103"/>
      </w:pPr>
      <w:r>
        <w:rPr>
          <w:color w:val="231F20"/>
          <w:spacing w:val="-2"/>
        </w:rPr>
        <w:t>investisseurs</w:t>
      </w:r>
      <w:r>
        <w:rPr>
          <w:color w:val="231F20"/>
          <w:spacing w:val="-15"/>
        </w:rPr>
        <w:t> </w:t>
      </w:r>
      <w:r>
        <w:rPr>
          <w:color w:val="231F20"/>
          <w:spacing w:val="-2"/>
        </w:rPr>
        <w:t>sont</w:t>
      </w:r>
      <w:r>
        <w:rPr>
          <w:color w:val="231F20"/>
          <w:spacing w:val="-13"/>
        </w:rPr>
        <w:t> </w:t>
      </w:r>
      <w:r>
        <w:rPr>
          <w:color w:val="231F20"/>
          <w:spacing w:val="-2"/>
        </w:rPr>
        <w:t>européens,</w:t>
      </w:r>
      <w:r>
        <w:rPr>
          <w:color w:val="231F20"/>
          <w:spacing w:val="-13"/>
        </w:rPr>
        <w:t> </w:t>
      </w:r>
      <w:r>
        <w:rPr>
          <w:color w:val="231F20"/>
          <w:spacing w:val="-2"/>
        </w:rPr>
        <w:t>américains,</w:t>
      </w:r>
      <w:r>
        <w:rPr>
          <w:color w:val="231F20"/>
          <w:spacing w:val="-13"/>
        </w:rPr>
        <w:t> </w:t>
      </w:r>
      <w:r>
        <w:rPr>
          <w:color w:val="231F20"/>
          <w:spacing w:val="-2"/>
        </w:rPr>
        <w:t>mais</w:t>
      </w:r>
      <w:r>
        <w:rPr>
          <w:color w:val="231F20"/>
          <w:spacing w:val="-13"/>
        </w:rPr>
        <w:t> </w:t>
      </w:r>
      <w:r>
        <w:rPr>
          <w:color w:val="231F20"/>
          <w:spacing w:val="-2"/>
        </w:rPr>
        <w:t>aussi</w:t>
      </w:r>
      <w:r>
        <w:rPr>
          <w:color w:val="231F20"/>
          <w:spacing w:val="-13"/>
        </w:rPr>
        <w:t> </w:t>
      </w:r>
      <w:r>
        <w:rPr>
          <w:color w:val="231F20"/>
          <w:spacing w:val="-2"/>
        </w:rPr>
        <w:t>australiens,</w:t>
      </w:r>
      <w:r>
        <w:rPr>
          <w:color w:val="231F20"/>
          <w:spacing w:val="-13"/>
        </w:rPr>
        <w:t> </w:t>
      </w:r>
      <w:r>
        <w:rPr>
          <w:color w:val="231F20"/>
          <w:spacing w:val="-2"/>
        </w:rPr>
        <w:t>russes</w:t>
      </w:r>
      <w:r>
        <w:rPr>
          <w:color w:val="231F20"/>
          <w:spacing w:val="-13"/>
        </w:rPr>
        <w:t> </w:t>
      </w:r>
      <w:r>
        <w:rPr>
          <w:color w:val="231F20"/>
          <w:spacing w:val="-2"/>
        </w:rPr>
        <w:t>et </w:t>
      </w:r>
      <w:r>
        <w:rPr>
          <w:color w:val="231F20"/>
        </w:rPr>
        <w:t>chinois.</w:t>
      </w:r>
      <w:r>
        <w:rPr>
          <w:color w:val="231F20"/>
          <w:spacing w:val="-3"/>
        </w:rPr>
        <w:t> </w:t>
      </w:r>
      <w:r>
        <w:rPr>
          <w:color w:val="231F20"/>
        </w:rPr>
        <w:t>De</w:t>
      </w:r>
      <w:r>
        <w:rPr>
          <w:color w:val="231F20"/>
          <w:spacing w:val="-3"/>
        </w:rPr>
        <w:t> </w:t>
      </w:r>
      <w:r>
        <w:rPr>
          <w:color w:val="231F20"/>
        </w:rPr>
        <w:t>2000</w:t>
      </w:r>
      <w:r>
        <w:rPr>
          <w:color w:val="231F20"/>
          <w:spacing w:val="-3"/>
        </w:rPr>
        <w:t> </w:t>
      </w:r>
      <w:r>
        <w:rPr>
          <w:color w:val="231F20"/>
        </w:rPr>
        <w:t>à</w:t>
      </w:r>
      <w:r>
        <w:rPr>
          <w:color w:val="231F20"/>
          <w:spacing w:val="-3"/>
        </w:rPr>
        <w:t> </w:t>
      </w:r>
      <w:r>
        <w:rPr>
          <w:color w:val="231F20"/>
        </w:rPr>
        <w:t>2003</w:t>
      </w:r>
      <w:r>
        <w:rPr>
          <w:color w:val="231F20"/>
          <w:spacing w:val="-5"/>
        </w:rPr>
        <w:t> </w:t>
      </w:r>
      <w:r>
        <w:rPr>
          <w:color w:val="231F20"/>
        </w:rPr>
        <w:t>la</w:t>
      </w:r>
      <w:r>
        <w:rPr>
          <w:color w:val="231F20"/>
          <w:spacing w:val="-3"/>
        </w:rPr>
        <w:t> </w:t>
      </w:r>
      <w:r>
        <w:rPr>
          <w:color w:val="231F20"/>
        </w:rPr>
        <w:t>production</w:t>
      </w:r>
      <w:r>
        <w:rPr>
          <w:color w:val="231F20"/>
          <w:spacing w:val="-3"/>
        </w:rPr>
        <w:t> </w:t>
      </w:r>
      <w:r>
        <w:rPr>
          <w:color w:val="231F20"/>
        </w:rPr>
        <w:t>pétrolière</w:t>
      </w:r>
      <w:r>
        <w:rPr>
          <w:color w:val="231F20"/>
          <w:spacing w:val="-3"/>
        </w:rPr>
        <w:t> </w:t>
      </w:r>
      <w:r>
        <w:rPr>
          <w:color w:val="231F20"/>
        </w:rPr>
        <w:t>qui</w:t>
      </w:r>
      <w:r>
        <w:rPr>
          <w:color w:val="231F20"/>
          <w:spacing w:val="-3"/>
        </w:rPr>
        <w:t> </w:t>
      </w:r>
      <w:r>
        <w:rPr>
          <w:color w:val="231F20"/>
        </w:rPr>
        <w:t>a</w:t>
      </w:r>
      <w:r>
        <w:rPr>
          <w:color w:val="231F20"/>
          <w:spacing w:val="-4"/>
        </w:rPr>
        <w:t> </w:t>
      </w:r>
      <w:r>
        <w:rPr>
          <w:color w:val="231F20"/>
        </w:rPr>
        <w:t>triplé,</w:t>
      </w:r>
      <w:r>
        <w:rPr>
          <w:color w:val="231F20"/>
          <w:spacing w:val="-3"/>
        </w:rPr>
        <w:t> </w:t>
      </w:r>
      <w:r>
        <w:rPr>
          <w:color w:val="231F20"/>
        </w:rPr>
        <w:t>devient</w:t>
      </w:r>
      <w:r>
        <w:rPr>
          <w:color w:val="231F20"/>
          <w:spacing w:val="-3"/>
        </w:rPr>
        <w:t> </w:t>
      </w:r>
      <w:r>
        <w:rPr>
          <w:color w:val="231F20"/>
        </w:rPr>
        <w:t>le </w:t>
      </w:r>
      <w:r>
        <w:rPr>
          <w:color w:val="231F20"/>
          <w:spacing w:val="-4"/>
        </w:rPr>
        <w:t>second</w:t>
      </w:r>
      <w:r>
        <w:rPr>
          <w:color w:val="231F20"/>
          <w:spacing w:val="-11"/>
        </w:rPr>
        <w:t> </w:t>
      </w:r>
      <w:r>
        <w:rPr>
          <w:color w:val="231F20"/>
          <w:spacing w:val="-4"/>
        </w:rPr>
        <w:t>produit</w:t>
      </w:r>
      <w:r>
        <w:rPr>
          <w:color w:val="231F20"/>
          <w:spacing w:val="-11"/>
        </w:rPr>
        <w:t> </w:t>
      </w:r>
      <w:r>
        <w:rPr>
          <w:color w:val="231F20"/>
          <w:spacing w:val="-4"/>
        </w:rPr>
        <w:t>d’exportation</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Côte</w:t>
      </w:r>
      <w:r>
        <w:rPr>
          <w:color w:val="231F20"/>
          <w:spacing w:val="-11"/>
        </w:rPr>
        <w:t> </w:t>
      </w:r>
      <w:r>
        <w:rPr>
          <w:color w:val="231F20"/>
          <w:spacing w:val="-4"/>
        </w:rPr>
        <w:t>d’Ivoire.</w:t>
      </w:r>
      <w:r>
        <w:rPr>
          <w:color w:val="231F20"/>
          <w:spacing w:val="-11"/>
        </w:rPr>
        <w:t> </w:t>
      </w:r>
      <w:r>
        <w:rPr>
          <w:color w:val="231F20"/>
          <w:spacing w:val="-4"/>
        </w:rPr>
        <w:t>Total</w:t>
      </w:r>
      <w:r>
        <w:rPr>
          <w:color w:val="231F20"/>
          <w:spacing w:val="-11"/>
        </w:rPr>
        <w:t> </w:t>
      </w:r>
      <w:r>
        <w:rPr>
          <w:color w:val="231F20"/>
          <w:spacing w:val="-4"/>
        </w:rPr>
        <w:t>ne</w:t>
      </w:r>
      <w:r>
        <w:rPr>
          <w:color w:val="231F20"/>
          <w:spacing w:val="-11"/>
        </w:rPr>
        <w:t> </w:t>
      </w:r>
      <w:r>
        <w:rPr>
          <w:color w:val="231F20"/>
          <w:spacing w:val="-4"/>
        </w:rPr>
        <w:t>détient</w:t>
      </w:r>
      <w:r>
        <w:rPr>
          <w:color w:val="231F20"/>
          <w:spacing w:val="-11"/>
        </w:rPr>
        <w:t> </w:t>
      </w:r>
      <w:r>
        <w:rPr>
          <w:color w:val="231F20"/>
          <w:spacing w:val="-4"/>
        </w:rPr>
        <w:t>que</w:t>
      </w:r>
      <w:r>
        <w:rPr>
          <w:color w:val="231F20"/>
          <w:spacing w:val="-11"/>
        </w:rPr>
        <w:t> </w:t>
      </w:r>
      <w:r>
        <w:rPr>
          <w:color w:val="231F20"/>
          <w:spacing w:val="-4"/>
        </w:rPr>
        <w:t>25% </w:t>
      </w:r>
      <w:r>
        <w:rPr>
          <w:color w:val="231F20"/>
        </w:rPr>
        <w:t>dans</w:t>
      </w:r>
      <w:r>
        <w:rPr>
          <w:color w:val="231F20"/>
          <w:spacing w:val="-11"/>
        </w:rPr>
        <w:t> </w:t>
      </w:r>
      <w:r>
        <w:rPr>
          <w:color w:val="231F20"/>
        </w:rPr>
        <w:t>la</w:t>
      </w:r>
      <w:r>
        <w:rPr>
          <w:color w:val="231F20"/>
          <w:spacing w:val="-12"/>
        </w:rPr>
        <w:t> </w:t>
      </w:r>
      <w:r>
        <w:rPr>
          <w:color w:val="231F20"/>
        </w:rPr>
        <w:t>Société</w:t>
      </w:r>
      <w:r>
        <w:rPr>
          <w:color w:val="231F20"/>
          <w:spacing w:val="-11"/>
        </w:rPr>
        <w:t> </w:t>
      </w:r>
      <w:r>
        <w:rPr>
          <w:color w:val="231F20"/>
        </w:rPr>
        <w:t>Ivoirienne</w:t>
      </w:r>
      <w:r>
        <w:rPr>
          <w:color w:val="231F20"/>
          <w:spacing w:val="-13"/>
        </w:rPr>
        <w:t> </w:t>
      </w:r>
      <w:r>
        <w:rPr>
          <w:color w:val="231F20"/>
        </w:rPr>
        <w:t>de</w:t>
      </w:r>
      <w:r>
        <w:rPr>
          <w:color w:val="231F20"/>
          <w:spacing w:val="-11"/>
        </w:rPr>
        <w:t> </w:t>
      </w:r>
      <w:r>
        <w:rPr>
          <w:color w:val="231F20"/>
        </w:rPr>
        <w:t>Raffinage</w:t>
      </w:r>
      <w:r>
        <w:rPr>
          <w:color w:val="231F20"/>
          <w:spacing w:val="-11"/>
        </w:rPr>
        <w:t> </w:t>
      </w:r>
      <w:r>
        <w:rPr>
          <w:color w:val="231F20"/>
        </w:rPr>
        <w:t>et</w:t>
      </w:r>
      <w:r>
        <w:rPr>
          <w:color w:val="231F20"/>
          <w:spacing w:val="-11"/>
        </w:rPr>
        <w:t> </w:t>
      </w:r>
      <w:r>
        <w:rPr>
          <w:color w:val="231F20"/>
        </w:rPr>
        <w:t>rien</w:t>
      </w:r>
      <w:r>
        <w:rPr>
          <w:color w:val="231F20"/>
          <w:spacing w:val="-13"/>
        </w:rPr>
        <w:t> </w:t>
      </w:r>
      <w:r>
        <w:rPr>
          <w:color w:val="231F20"/>
        </w:rPr>
        <w:t>ne</w:t>
      </w:r>
      <w:r>
        <w:rPr>
          <w:color w:val="231F20"/>
          <w:spacing w:val="-11"/>
        </w:rPr>
        <w:t> </w:t>
      </w:r>
      <w:r>
        <w:rPr>
          <w:color w:val="231F20"/>
        </w:rPr>
        <w:t>dit</w:t>
      </w:r>
      <w:r>
        <w:rPr>
          <w:color w:val="231F20"/>
          <w:spacing w:val="-11"/>
        </w:rPr>
        <w:t> </w:t>
      </w:r>
      <w:r>
        <w:rPr>
          <w:color w:val="231F20"/>
        </w:rPr>
        <w:t>qu’il</w:t>
      </w:r>
      <w:r>
        <w:rPr>
          <w:color w:val="231F20"/>
          <w:spacing w:val="-11"/>
        </w:rPr>
        <w:t> </w:t>
      </w:r>
      <w:r>
        <w:rPr>
          <w:color w:val="231F20"/>
        </w:rPr>
        <w:t>remportera</w:t>
      </w:r>
      <w:r>
        <w:rPr>
          <w:color w:val="231F20"/>
          <w:spacing w:val="-11"/>
        </w:rPr>
        <w:t> </w:t>
      </w:r>
      <w:r>
        <w:rPr>
          <w:color w:val="231F20"/>
        </w:rPr>
        <w:t>la mise en concession suspendue en 1999-2000, pour non-respect de la procédure et de son parc de stations-service.</w:t>
      </w:r>
    </w:p>
    <w:p>
      <w:pPr>
        <w:spacing w:before="120"/>
        <w:ind w:left="111" w:right="104" w:firstLine="283"/>
        <w:jc w:val="both"/>
        <w:rPr>
          <w:sz w:val="24"/>
        </w:rPr>
      </w:pPr>
      <w:r>
        <w:rPr>
          <w:color w:val="231F20"/>
          <w:sz w:val="24"/>
        </w:rPr>
        <w:t>Le rapport de la Commission d’enquête internationale sur les allégations de violations</w:t>
      </w:r>
      <w:r>
        <w:rPr>
          <w:color w:val="231F20"/>
          <w:spacing w:val="-2"/>
          <w:sz w:val="24"/>
        </w:rPr>
        <w:t> </w:t>
      </w:r>
      <w:r>
        <w:rPr>
          <w:color w:val="231F20"/>
          <w:sz w:val="24"/>
        </w:rPr>
        <w:t>des droits de l’homme en</w:t>
      </w:r>
      <w:r>
        <w:rPr>
          <w:color w:val="231F20"/>
          <w:spacing w:val="-1"/>
          <w:sz w:val="24"/>
        </w:rPr>
        <w:t> </w:t>
      </w:r>
      <w:r>
        <w:rPr>
          <w:color w:val="231F20"/>
          <w:sz w:val="24"/>
        </w:rPr>
        <w:t>Côte d’Ivoire du 19 </w:t>
      </w:r>
      <w:r>
        <w:rPr>
          <w:color w:val="231F20"/>
          <w:spacing w:val="-2"/>
          <w:sz w:val="24"/>
        </w:rPr>
        <w:t>septembre</w:t>
      </w:r>
      <w:r>
        <w:rPr>
          <w:color w:val="231F20"/>
          <w:spacing w:val="-13"/>
          <w:sz w:val="24"/>
        </w:rPr>
        <w:t> </w:t>
      </w:r>
      <w:r>
        <w:rPr>
          <w:color w:val="231F20"/>
          <w:spacing w:val="-2"/>
          <w:sz w:val="24"/>
        </w:rPr>
        <w:t>au</w:t>
      </w:r>
      <w:r>
        <w:rPr>
          <w:color w:val="231F20"/>
          <w:spacing w:val="-13"/>
          <w:sz w:val="24"/>
        </w:rPr>
        <w:t> </w:t>
      </w:r>
      <w:r>
        <w:rPr>
          <w:color w:val="231F20"/>
          <w:spacing w:val="-2"/>
          <w:sz w:val="24"/>
        </w:rPr>
        <w:t>15</w:t>
      </w:r>
      <w:r>
        <w:rPr>
          <w:color w:val="231F20"/>
          <w:spacing w:val="-13"/>
          <w:sz w:val="24"/>
        </w:rPr>
        <w:t> </w:t>
      </w:r>
      <w:r>
        <w:rPr>
          <w:color w:val="231F20"/>
          <w:spacing w:val="-2"/>
          <w:sz w:val="24"/>
        </w:rPr>
        <w:t>octobre</w:t>
      </w:r>
      <w:r>
        <w:rPr>
          <w:color w:val="231F20"/>
          <w:spacing w:val="-13"/>
          <w:sz w:val="24"/>
        </w:rPr>
        <w:t> </w:t>
      </w:r>
      <w:r>
        <w:rPr>
          <w:color w:val="231F20"/>
          <w:spacing w:val="-2"/>
          <w:sz w:val="24"/>
        </w:rPr>
        <w:t>2004</w:t>
      </w:r>
      <w:r>
        <w:rPr>
          <w:color w:val="231F20"/>
          <w:spacing w:val="-13"/>
          <w:sz w:val="24"/>
        </w:rPr>
        <w:t> </w:t>
      </w:r>
      <w:r>
        <w:rPr>
          <w:color w:val="231F20"/>
          <w:spacing w:val="-2"/>
          <w:sz w:val="24"/>
        </w:rPr>
        <w:t>souligne</w:t>
      </w:r>
      <w:r>
        <w:rPr>
          <w:color w:val="231F20"/>
          <w:spacing w:val="-13"/>
          <w:sz w:val="24"/>
        </w:rPr>
        <w:t> </w:t>
      </w:r>
      <w:r>
        <w:rPr>
          <w:color w:val="231F20"/>
          <w:spacing w:val="-2"/>
          <w:sz w:val="24"/>
        </w:rPr>
        <w:t>plutôt</w:t>
      </w:r>
      <w:r>
        <w:rPr>
          <w:color w:val="231F20"/>
          <w:spacing w:val="-13"/>
          <w:sz w:val="24"/>
        </w:rPr>
        <w:t> </w:t>
      </w:r>
      <w:r>
        <w:rPr>
          <w:color w:val="231F20"/>
          <w:spacing w:val="-2"/>
          <w:sz w:val="24"/>
        </w:rPr>
        <w:t>l’intérêt</w:t>
      </w:r>
      <w:r>
        <w:rPr>
          <w:color w:val="231F20"/>
          <w:spacing w:val="-13"/>
          <w:sz w:val="24"/>
        </w:rPr>
        <w:t> </w:t>
      </w:r>
      <w:r>
        <w:rPr>
          <w:color w:val="231F20"/>
          <w:spacing w:val="-2"/>
          <w:sz w:val="24"/>
        </w:rPr>
        <w:t>financier</w:t>
      </w:r>
      <w:r>
        <w:rPr>
          <w:color w:val="231F20"/>
          <w:spacing w:val="-13"/>
          <w:sz w:val="24"/>
        </w:rPr>
        <w:t> </w:t>
      </w:r>
      <w:r>
        <w:rPr>
          <w:color w:val="231F20"/>
          <w:spacing w:val="-2"/>
          <w:sz w:val="24"/>
        </w:rPr>
        <w:t>:</w:t>
      </w:r>
      <w:r>
        <w:rPr>
          <w:color w:val="231F20"/>
          <w:spacing w:val="-13"/>
          <w:sz w:val="24"/>
        </w:rPr>
        <w:t> </w:t>
      </w:r>
      <w:r>
        <w:rPr>
          <w:color w:val="231F20"/>
          <w:spacing w:val="-2"/>
          <w:sz w:val="24"/>
        </w:rPr>
        <w:t>«</w:t>
      </w:r>
      <w:r>
        <w:rPr>
          <w:color w:val="231F20"/>
          <w:spacing w:val="-13"/>
          <w:sz w:val="24"/>
        </w:rPr>
        <w:t> </w:t>
      </w:r>
      <w:r>
        <w:rPr>
          <w:i/>
          <w:color w:val="231F20"/>
          <w:spacing w:val="-2"/>
          <w:sz w:val="24"/>
        </w:rPr>
        <w:t>(…)</w:t>
      </w:r>
      <w:r>
        <w:rPr>
          <w:i/>
          <w:color w:val="231F20"/>
          <w:spacing w:val="-13"/>
          <w:sz w:val="24"/>
        </w:rPr>
        <w:t> </w:t>
      </w:r>
      <w:r>
        <w:rPr>
          <w:i/>
          <w:color w:val="231F20"/>
          <w:spacing w:val="-2"/>
          <w:sz w:val="24"/>
        </w:rPr>
        <w:t>Il</w:t>
      </w:r>
      <w:r>
        <w:rPr>
          <w:i/>
          <w:color w:val="231F20"/>
          <w:spacing w:val="-2"/>
          <w:sz w:val="24"/>
        </w:rPr>
        <w:t> </w:t>
      </w:r>
      <w:r>
        <w:rPr>
          <w:i/>
          <w:color w:val="231F20"/>
          <w:sz w:val="24"/>
        </w:rPr>
        <w:t>serait notamment question de découvertes de puits de pétrole dont la réserve serait proche de celle du Koweїt et qu’ainsi, la Côte d’Ivoire pourrait devenir le deuxième producteur africain de pétrole après le </w:t>
      </w:r>
      <w:r>
        <w:rPr>
          <w:i/>
          <w:color w:val="231F20"/>
          <w:spacing w:val="-2"/>
          <w:sz w:val="24"/>
        </w:rPr>
        <w:t>Nigeria.</w:t>
      </w:r>
      <w:r>
        <w:rPr>
          <w:i/>
          <w:color w:val="231F20"/>
          <w:spacing w:val="-13"/>
          <w:sz w:val="24"/>
        </w:rPr>
        <w:t> </w:t>
      </w:r>
      <w:r>
        <w:rPr>
          <w:i/>
          <w:color w:val="231F20"/>
          <w:spacing w:val="-2"/>
          <w:sz w:val="24"/>
        </w:rPr>
        <w:t>Au</w:t>
      </w:r>
      <w:r>
        <w:rPr>
          <w:i/>
          <w:color w:val="231F20"/>
          <w:spacing w:val="-13"/>
          <w:sz w:val="24"/>
        </w:rPr>
        <w:t> </w:t>
      </w:r>
      <w:r>
        <w:rPr>
          <w:i/>
          <w:color w:val="231F20"/>
          <w:spacing w:val="-2"/>
          <w:sz w:val="24"/>
        </w:rPr>
        <w:t>surplus</w:t>
      </w:r>
      <w:r>
        <w:rPr>
          <w:i/>
          <w:color w:val="231F20"/>
          <w:spacing w:val="-13"/>
          <w:sz w:val="24"/>
        </w:rPr>
        <w:t> </w:t>
      </w:r>
      <w:r>
        <w:rPr>
          <w:i/>
          <w:color w:val="231F20"/>
          <w:spacing w:val="-2"/>
          <w:sz w:val="24"/>
        </w:rPr>
        <w:t>il</w:t>
      </w:r>
      <w:r>
        <w:rPr>
          <w:i/>
          <w:color w:val="231F20"/>
          <w:spacing w:val="-13"/>
          <w:sz w:val="24"/>
        </w:rPr>
        <w:t> </w:t>
      </w:r>
      <w:r>
        <w:rPr>
          <w:i/>
          <w:color w:val="231F20"/>
          <w:spacing w:val="-2"/>
          <w:sz w:val="24"/>
        </w:rPr>
        <w:t>serait</w:t>
      </w:r>
      <w:r>
        <w:rPr>
          <w:i/>
          <w:color w:val="231F20"/>
          <w:spacing w:val="-13"/>
          <w:sz w:val="24"/>
        </w:rPr>
        <w:t> </w:t>
      </w:r>
      <w:r>
        <w:rPr>
          <w:i/>
          <w:color w:val="231F20"/>
          <w:spacing w:val="-2"/>
          <w:sz w:val="24"/>
        </w:rPr>
        <w:t>question,</w:t>
      </w:r>
      <w:r>
        <w:rPr>
          <w:i/>
          <w:color w:val="231F20"/>
          <w:spacing w:val="-13"/>
          <w:sz w:val="24"/>
        </w:rPr>
        <w:t> </w:t>
      </w:r>
      <w:r>
        <w:rPr>
          <w:i/>
          <w:color w:val="231F20"/>
          <w:spacing w:val="-2"/>
          <w:sz w:val="24"/>
        </w:rPr>
        <w:t>toujours</w:t>
      </w:r>
      <w:r>
        <w:rPr>
          <w:i/>
          <w:color w:val="231F20"/>
          <w:spacing w:val="-13"/>
          <w:sz w:val="24"/>
        </w:rPr>
        <w:t> </w:t>
      </w:r>
      <w:r>
        <w:rPr>
          <w:i/>
          <w:color w:val="231F20"/>
          <w:spacing w:val="-2"/>
          <w:sz w:val="24"/>
        </w:rPr>
        <w:t>selon</w:t>
      </w:r>
      <w:r>
        <w:rPr>
          <w:i/>
          <w:color w:val="231F20"/>
          <w:spacing w:val="-13"/>
          <w:sz w:val="24"/>
        </w:rPr>
        <w:t> </w:t>
      </w:r>
      <w:r>
        <w:rPr>
          <w:i/>
          <w:color w:val="231F20"/>
          <w:spacing w:val="-2"/>
          <w:sz w:val="24"/>
        </w:rPr>
        <w:t>ces</w:t>
      </w:r>
      <w:r>
        <w:rPr>
          <w:i/>
          <w:color w:val="231F20"/>
          <w:spacing w:val="-13"/>
          <w:sz w:val="24"/>
        </w:rPr>
        <w:t> </w:t>
      </w:r>
      <w:r>
        <w:rPr>
          <w:i/>
          <w:color w:val="231F20"/>
          <w:spacing w:val="-2"/>
          <w:sz w:val="24"/>
        </w:rPr>
        <w:t>témoignages,</w:t>
      </w:r>
      <w:r>
        <w:rPr>
          <w:i/>
          <w:color w:val="231F20"/>
          <w:spacing w:val="-13"/>
          <w:sz w:val="24"/>
        </w:rPr>
        <w:t> </w:t>
      </w:r>
      <w:r>
        <w:rPr>
          <w:i/>
          <w:color w:val="231F20"/>
          <w:spacing w:val="-2"/>
          <w:sz w:val="24"/>
        </w:rPr>
        <w:t>du </w:t>
      </w:r>
      <w:r>
        <w:rPr>
          <w:i/>
          <w:color w:val="231F20"/>
          <w:sz w:val="24"/>
        </w:rPr>
        <w:t>pétrole ‘’ vert’’, très prisé. A côté du pétrole on aurait également </w:t>
      </w:r>
      <w:r>
        <w:rPr>
          <w:i/>
          <w:color w:val="231F20"/>
          <w:spacing w:val="-2"/>
          <w:sz w:val="24"/>
        </w:rPr>
        <w:t>découvert,</w:t>
      </w:r>
      <w:r>
        <w:rPr>
          <w:i/>
          <w:color w:val="231F20"/>
          <w:spacing w:val="-13"/>
          <w:sz w:val="24"/>
        </w:rPr>
        <w:t> </w:t>
      </w:r>
      <w:r>
        <w:rPr>
          <w:i/>
          <w:color w:val="231F20"/>
          <w:spacing w:val="-2"/>
          <w:sz w:val="24"/>
        </w:rPr>
        <w:t>selon</w:t>
      </w:r>
      <w:r>
        <w:rPr>
          <w:i/>
          <w:color w:val="231F20"/>
          <w:spacing w:val="-13"/>
          <w:sz w:val="24"/>
        </w:rPr>
        <w:t> </w:t>
      </w:r>
      <w:r>
        <w:rPr>
          <w:i/>
          <w:color w:val="231F20"/>
          <w:spacing w:val="-2"/>
          <w:sz w:val="24"/>
        </w:rPr>
        <w:t>des</w:t>
      </w:r>
      <w:r>
        <w:rPr>
          <w:i/>
          <w:color w:val="231F20"/>
          <w:spacing w:val="-13"/>
          <w:sz w:val="24"/>
        </w:rPr>
        <w:t> </w:t>
      </w:r>
      <w:r>
        <w:rPr>
          <w:i/>
          <w:color w:val="231F20"/>
          <w:spacing w:val="-2"/>
          <w:sz w:val="24"/>
        </w:rPr>
        <w:t>témoignages,</w:t>
      </w:r>
      <w:r>
        <w:rPr>
          <w:i/>
          <w:color w:val="231F20"/>
          <w:spacing w:val="-13"/>
          <w:sz w:val="24"/>
        </w:rPr>
        <w:t> </w:t>
      </w:r>
      <w:r>
        <w:rPr>
          <w:i/>
          <w:color w:val="231F20"/>
          <w:spacing w:val="-2"/>
          <w:sz w:val="24"/>
        </w:rPr>
        <w:t>du</w:t>
      </w:r>
      <w:r>
        <w:rPr>
          <w:i/>
          <w:color w:val="231F20"/>
          <w:spacing w:val="-13"/>
          <w:sz w:val="24"/>
        </w:rPr>
        <w:t> </w:t>
      </w:r>
      <w:r>
        <w:rPr>
          <w:i/>
          <w:color w:val="231F20"/>
          <w:spacing w:val="-2"/>
          <w:sz w:val="24"/>
        </w:rPr>
        <w:t>gaz</w:t>
      </w:r>
      <w:r>
        <w:rPr>
          <w:i/>
          <w:color w:val="231F20"/>
          <w:spacing w:val="-13"/>
          <w:sz w:val="24"/>
        </w:rPr>
        <w:t> </w:t>
      </w:r>
      <w:r>
        <w:rPr>
          <w:i/>
          <w:color w:val="231F20"/>
          <w:spacing w:val="-2"/>
          <w:sz w:val="24"/>
        </w:rPr>
        <w:t>entre</w:t>
      </w:r>
      <w:r>
        <w:rPr>
          <w:i/>
          <w:color w:val="231F20"/>
          <w:spacing w:val="-13"/>
          <w:sz w:val="24"/>
        </w:rPr>
        <w:t> </w:t>
      </w:r>
      <w:r>
        <w:rPr>
          <w:i/>
          <w:color w:val="231F20"/>
          <w:spacing w:val="-2"/>
          <w:sz w:val="24"/>
        </w:rPr>
        <w:t>San</w:t>
      </w:r>
      <w:r>
        <w:rPr>
          <w:i/>
          <w:color w:val="231F20"/>
          <w:spacing w:val="-13"/>
          <w:sz w:val="24"/>
        </w:rPr>
        <w:t> </w:t>
      </w:r>
      <w:r>
        <w:rPr>
          <w:i/>
          <w:color w:val="231F20"/>
          <w:spacing w:val="-2"/>
          <w:sz w:val="24"/>
        </w:rPr>
        <w:t>Pedro</w:t>
      </w:r>
      <w:r>
        <w:rPr>
          <w:i/>
          <w:color w:val="231F20"/>
          <w:spacing w:val="-13"/>
          <w:sz w:val="24"/>
        </w:rPr>
        <w:t> </w:t>
      </w:r>
      <w:r>
        <w:rPr>
          <w:i/>
          <w:color w:val="231F20"/>
          <w:spacing w:val="-2"/>
          <w:sz w:val="24"/>
        </w:rPr>
        <w:t>et</w:t>
      </w:r>
      <w:r>
        <w:rPr>
          <w:i/>
          <w:color w:val="231F20"/>
          <w:spacing w:val="-12"/>
          <w:sz w:val="24"/>
        </w:rPr>
        <w:t> </w:t>
      </w:r>
      <w:r>
        <w:rPr>
          <w:i/>
          <w:color w:val="231F20"/>
          <w:spacing w:val="-2"/>
          <w:sz w:val="24"/>
        </w:rPr>
        <w:t>Sassandra</w:t>
      </w:r>
      <w:r>
        <w:rPr>
          <w:i/>
          <w:color w:val="231F20"/>
          <w:spacing w:val="-9"/>
          <w:sz w:val="24"/>
        </w:rPr>
        <w:t> </w:t>
      </w:r>
      <w:r>
        <w:rPr>
          <w:i/>
          <w:color w:val="231F20"/>
          <w:spacing w:val="-2"/>
          <w:sz w:val="24"/>
        </w:rPr>
        <w:t>: </w:t>
      </w:r>
      <w:r>
        <w:rPr>
          <w:i/>
          <w:color w:val="231F20"/>
          <w:sz w:val="24"/>
        </w:rPr>
        <w:t>la réserve en permettrait l’exploitation pendant un siècle. D’autres ressources existeraient aussi tels l’or, les diamants, outre des métaux rares</w:t>
      </w:r>
      <w:r>
        <w:rPr>
          <w:i/>
          <w:color w:val="231F20"/>
          <w:spacing w:val="-9"/>
          <w:sz w:val="24"/>
        </w:rPr>
        <w:t> </w:t>
      </w:r>
      <w:r>
        <w:rPr>
          <w:i/>
          <w:color w:val="231F20"/>
          <w:sz w:val="24"/>
        </w:rPr>
        <w:t>actuellement</w:t>
      </w:r>
      <w:r>
        <w:rPr>
          <w:i/>
          <w:color w:val="231F20"/>
          <w:spacing w:val="-8"/>
          <w:sz w:val="24"/>
        </w:rPr>
        <w:t> </w:t>
      </w:r>
      <w:r>
        <w:rPr>
          <w:i/>
          <w:color w:val="231F20"/>
          <w:sz w:val="24"/>
        </w:rPr>
        <w:t>utilisés</w:t>
      </w:r>
      <w:r>
        <w:rPr>
          <w:i/>
          <w:color w:val="231F20"/>
          <w:spacing w:val="-9"/>
          <w:sz w:val="24"/>
        </w:rPr>
        <w:t> </w:t>
      </w:r>
      <w:r>
        <w:rPr>
          <w:i/>
          <w:color w:val="231F20"/>
          <w:sz w:val="24"/>
        </w:rPr>
        <w:t>dans</w:t>
      </w:r>
      <w:r>
        <w:rPr>
          <w:i/>
          <w:color w:val="231F20"/>
          <w:spacing w:val="-8"/>
          <w:sz w:val="24"/>
        </w:rPr>
        <w:t> </w:t>
      </w:r>
      <w:r>
        <w:rPr>
          <w:i/>
          <w:color w:val="231F20"/>
          <w:sz w:val="24"/>
        </w:rPr>
        <w:t>la</w:t>
      </w:r>
      <w:r>
        <w:rPr>
          <w:i/>
          <w:color w:val="231F20"/>
          <w:spacing w:val="-9"/>
          <w:sz w:val="24"/>
        </w:rPr>
        <w:t> </w:t>
      </w:r>
      <w:r>
        <w:rPr>
          <w:i/>
          <w:color w:val="231F20"/>
          <w:sz w:val="24"/>
        </w:rPr>
        <w:t>fabrication</w:t>
      </w:r>
      <w:r>
        <w:rPr>
          <w:i/>
          <w:color w:val="231F20"/>
          <w:spacing w:val="-6"/>
          <w:sz w:val="24"/>
        </w:rPr>
        <w:t> </w:t>
      </w:r>
      <w:r>
        <w:rPr>
          <w:i/>
          <w:color w:val="231F20"/>
          <w:sz w:val="24"/>
        </w:rPr>
        <w:t>des</w:t>
      </w:r>
      <w:r>
        <w:rPr>
          <w:i/>
          <w:color w:val="231F20"/>
          <w:spacing w:val="-8"/>
          <w:sz w:val="24"/>
        </w:rPr>
        <w:t> </w:t>
      </w:r>
      <w:r>
        <w:rPr>
          <w:i/>
          <w:color w:val="231F20"/>
          <w:sz w:val="24"/>
        </w:rPr>
        <w:t>satellites.</w:t>
      </w:r>
      <w:r>
        <w:rPr>
          <w:i/>
          <w:color w:val="231F20"/>
          <w:spacing w:val="-8"/>
          <w:sz w:val="24"/>
        </w:rPr>
        <w:t> </w:t>
      </w:r>
      <w:r>
        <w:rPr>
          <w:color w:val="231F20"/>
          <w:sz w:val="24"/>
        </w:rPr>
        <w:t>»</w:t>
      </w:r>
    </w:p>
    <w:p>
      <w:pPr>
        <w:spacing w:before="121"/>
        <w:ind w:left="111" w:right="108" w:firstLine="283"/>
        <w:jc w:val="both"/>
        <w:rPr>
          <w:sz w:val="24"/>
        </w:rPr>
      </w:pPr>
      <w:r>
        <w:rPr>
          <w:color w:val="231F20"/>
          <w:sz w:val="24"/>
        </w:rPr>
        <w:t>Le</w:t>
      </w:r>
      <w:r>
        <w:rPr>
          <w:color w:val="231F20"/>
          <w:spacing w:val="-15"/>
          <w:sz w:val="24"/>
        </w:rPr>
        <w:t> </w:t>
      </w:r>
      <w:r>
        <w:rPr>
          <w:color w:val="231F20"/>
          <w:sz w:val="24"/>
        </w:rPr>
        <w:t>Président</w:t>
      </w:r>
      <w:r>
        <w:rPr>
          <w:color w:val="231F20"/>
          <w:spacing w:val="-15"/>
          <w:sz w:val="24"/>
        </w:rPr>
        <w:t> </w:t>
      </w:r>
      <w:r>
        <w:rPr>
          <w:color w:val="231F20"/>
          <w:sz w:val="24"/>
        </w:rPr>
        <w:t>français</w:t>
      </w:r>
      <w:r>
        <w:rPr>
          <w:color w:val="231F20"/>
          <w:spacing w:val="-15"/>
          <w:sz w:val="24"/>
        </w:rPr>
        <w:t> </w:t>
      </w:r>
      <w:r>
        <w:rPr>
          <w:color w:val="231F20"/>
          <w:sz w:val="24"/>
        </w:rPr>
        <w:t>Nicolas</w:t>
      </w:r>
      <w:r>
        <w:rPr>
          <w:color w:val="231F20"/>
          <w:spacing w:val="-15"/>
          <w:sz w:val="24"/>
        </w:rPr>
        <w:t> </w:t>
      </w:r>
      <w:r>
        <w:rPr>
          <w:color w:val="231F20"/>
          <w:sz w:val="24"/>
        </w:rPr>
        <w:t>Sarkozy</w:t>
      </w:r>
      <w:r>
        <w:rPr>
          <w:color w:val="231F20"/>
          <w:spacing w:val="-15"/>
          <w:sz w:val="24"/>
        </w:rPr>
        <w:t> </w:t>
      </w:r>
      <w:r>
        <w:rPr>
          <w:color w:val="231F20"/>
          <w:sz w:val="24"/>
        </w:rPr>
        <w:t>affirmera</w:t>
      </w:r>
      <w:r>
        <w:rPr>
          <w:color w:val="231F20"/>
          <w:spacing w:val="-13"/>
          <w:sz w:val="24"/>
        </w:rPr>
        <w:t> </w:t>
      </w:r>
      <w:r>
        <w:rPr>
          <w:color w:val="231F20"/>
          <w:sz w:val="24"/>
        </w:rPr>
        <w:t>fièrement</w:t>
      </w:r>
      <w:r>
        <w:rPr>
          <w:color w:val="231F20"/>
          <w:spacing w:val="-15"/>
          <w:sz w:val="24"/>
        </w:rPr>
        <w:t> </w:t>
      </w:r>
      <w:r>
        <w:rPr>
          <w:color w:val="231F20"/>
          <w:sz w:val="24"/>
        </w:rPr>
        <w:t>:</w:t>
      </w:r>
      <w:r>
        <w:rPr>
          <w:color w:val="231F20"/>
          <w:spacing w:val="-13"/>
          <w:sz w:val="24"/>
        </w:rPr>
        <w:t> </w:t>
      </w:r>
      <w:r>
        <w:rPr>
          <w:color w:val="231F20"/>
          <w:sz w:val="24"/>
        </w:rPr>
        <w:t>«</w:t>
      </w:r>
      <w:r>
        <w:rPr>
          <w:color w:val="231F20"/>
          <w:spacing w:val="-15"/>
          <w:sz w:val="24"/>
        </w:rPr>
        <w:t> </w:t>
      </w:r>
      <w:r>
        <w:rPr>
          <w:i/>
          <w:color w:val="231F20"/>
          <w:sz w:val="24"/>
        </w:rPr>
        <w:t>Quand</w:t>
      </w:r>
      <w:r>
        <w:rPr>
          <w:i/>
          <w:color w:val="231F20"/>
          <w:sz w:val="24"/>
        </w:rPr>
        <w:t> je vois le soin que j’ai mis à intervenir en Côte d’Ivoire… On a sorti Laurent Gbagbo, on a installé Alassane Ouattara, sans aucune polémique, sans rien</w:t>
      </w:r>
      <w:r>
        <w:rPr>
          <w:color w:val="76787A"/>
          <w:sz w:val="24"/>
          <w:vertAlign w:val="superscript"/>
        </w:rPr>
        <w:t>250</w:t>
      </w:r>
      <w:r>
        <w:rPr>
          <w:color w:val="76787A"/>
          <w:sz w:val="24"/>
          <w:vertAlign w:val="baseline"/>
        </w:rPr>
        <w:t> </w:t>
      </w:r>
      <w:r>
        <w:rPr>
          <w:color w:val="231F20"/>
          <w:sz w:val="24"/>
          <w:vertAlign w:val="baseline"/>
        </w:rPr>
        <w:t>»</w:t>
      </w:r>
    </w:p>
    <w:p>
      <w:pPr>
        <w:pStyle w:val="BodyText"/>
        <w:spacing w:before="121"/>
        <w:ind w:right="108" w:firstLine="283"/>
        <w:rPr>
          <w:rFonts w:ascii="Cambria"/>
        </w:rPr>
      </w:pPr>
      <w:r>
        <w:rPr>
          <w:rFonts w:ascii="Cambria"/>
          <w:color w:val="231F20"/>
          <w:spacing w:val="-2"/>
        </w:rPr>
        <w:t>L'un</w:t>
      </w:r>
      <w:r>
        <w:rPr>
          <w:rFonts w:ascii="Cambria"/>
          <w:color w:val="231F20"/>
          <w:spacing w:val="-6"/>
        </w:rPr>
        <w:t> </w:t>
      </w:r>
      <w:r>
        <w:rPr>
          <w:rFonts w:ascii="Cambria"/>
          <w:color w:val="231F20"/>
          <w:spacing w:val="-2"/>
        </w:rPr>
        <w:t>des</w:t>
      </w:r>
      <w:r>
        <w:rPr>
          <w:rFonts w:ascii="Cambria"/>
          <w:color w:val="231F20"/>
          <w:spacing w:val="-6"/>
        </w:rPr>
        <w:t> </w:t>
      </w:r>
      <w:r>
        <w:rPr>
          <w:rFonts w:ascii="Cambria"/>
          <w:color w:val="231F20"/>
          <w:spacing w:val="-2"/>
        </w:rPr>
        <w:t>drames</w:t>
      </w:r>
      <w:r>
        <w:rPr>
          <w:rFonts w:ascii="Cambria"/>
          <w:color w:val="231F20"/>
          <w:spacing w:val="-6"/>
        </w:rPr>
        <w:t> </w:t>
      </w:r>
      <w:r>
        <w:rPr>
          <w:rFonts w:ascii="Cambria"/>
          <w:color w:val="231F20"/>
          <w:spacing w:val="-2"/>
        </w:rPr>
        <w:t>de</w:t>
      </w:r>
      <w:r>
        <w:rPr>
          <w:rFonts w:ascii="Cambria"/>
          <w:color w:val="231F20"/>
          <w:spacing w:val="-4"/>
        </w:rPr>
        <w:t> </w:t>
      </w:r>
      <w:r>
        <w:rPr>
          <w:rFonts w:ascii="Cambria"/>
          <w:color w:val="231F20"/>
          <w:spacing w:val="-2"/>
        </w:rPr>
        <w:t>l'Afrique</w:t>
      </w:r>
      <w:r>
        <w:rPr>
          <w:rFonts w:ascii="Cambria"/>
          <w:color w:val="231F20"/>
          <w:spacing w:val="-4"/>
        </w:rPr>
        <w:t> </w:t>
      </w:r>
      <w:r>
        <w:rPr>
          <w:rFonts w:ascii="Cambria"/>
          <w:color w:val="231F20"/>
          <w:spacing w:val="-2"/>
        </w:rPr>
        <w:t>est</w:t>
      </w:r>
      <w:r>
        <w:rPr>
          <w:rFonts w:ascii="Cambria"/>
          <w:color w:val="231F20"/>
          <w:spacing w:val="-5"/>
        </w:rPr>
        <w:t> </w:t>
      </w:r>
      <w:r>
        <w:rPr>
          <w:rFonts w:ascii="Cambria"/>
          <w:color w:val="231F20"/>
          <w:spacing w:val="-2"/>
        </w:rPr>
        <w:t>l'infantilisation</w:t>
      </w:r>
      <w:r>
        <w:rPr>
          <w:rFonts w:ascii="Cambria"/>
          <w:color w:val="231F20"/>
          <w:spacing w:val="-6"/>
        </w:rPr>
        <w:t> </w:t>
      </w:r>
      <w:r>
        <w:rPr>
          <w:rFonts w:ascii="Cambria"/>
          <w:color w:val="231F20"/>
          <w:spacing w:val="-2"/>
        </w:rPr>
        <w:t>du</w:t>
      </w:r>
      <w:r>
        <w:rPr>
          <w:rFonts w:ascii="Cambria"/>
          <w:color w:val="231F20"/>
          <w:spacing w:val="-5"/>
        </w:rPr>
        <w:t> </w:t>
      </w:r>
      <w:r>
        <w:rPr>
          <w:rFonts w:ascii="Cambria"/>
          <w:color w:val="231F20"/>
          <w:spacing w:val="-2"/>
        </w:rPr>
        <w:t>continent</w:t>
      </w:r>
      <w:r>
        <w:rPr>
          <w:rFonts w:ascii="Cambria"/>
          <w:color w:val="231F20"/>
          <w:spacing w:val="-5"/>
        </w:rPr>
        <w:t> </w:t>
      </w:r>
      <w:r>
        <w:rPr>
          <w:rFonts w:ascii="Cambria"/>
          <w:color w:val="231F20"/>
          <w:spacing w:val="-2"/>
        </w:rPr>
        <w:t>par </w:t>
      </w:r>
      <w:r>
        <w:rPr>
          <w:rFonts w:ascii="Cambria"/>
          <w:color w:val="231F20"/>
        </w:rPr>
        <w:t>les Africains eux-memes.</w:t>
      </w:r>
    </w:p>
    <w:p>
      <w:pPr>
        <w:pStyle w:val="BodyText"/>
        <w:spacing w:before="118"/>
        <w:ind w:right="104" w:firstLine="283"/>
      </w:pPr>
      <w:r>
        <w:rPr>
          <w:color w:val="231F20"/>
          <w:spacing w:val="-4"/>
        </w:rPr>
        <w:t>Les</w:t>
      </w:r>
      <w:r>
        <w:rPr>
          <w:color w:val="231F20"/>
          <w:spacing w:val="-9"/>
        </w:rPr>
        <w:t> </w:t>
      </w:r>
      <w:r>
        <w:rPr>
          <w:color w:val="231F20"/>
          <w:spacing w:val="-4"/>
        </w:rPr>
        <w:t>chefs</w:t>
      </w:r>
      <w:r>
        <w:rPr>
          <w:color w:val="231F20"/>
          <w:spacing w:val="-9"/>
        </w:rPr>
        <w:t> </w:t>
      </w:r>
      <w:r>
        <w:rPr>
          <w:color w:val="231F20"/>
          <w:spacing w:val="-4"/>
        </w:rPr>
        <w:t>d’Etats</w:t>
      </w:r>
      <w:r>
        <w:rPr>
          <w:color w:val="231F20"/>
          <w:spacing w:val="-9"/>
        </w:rPr>
        <w:t> </w:t>
      </w:r>
      <w:r>
        <w:rPr>
          <w:color w:val="231F20"/>
          <w:spacing w:val="-4"/>
        </w:rPr>
        <w:t>champions</w:t>
      </w:r>
      <w:r>
        <w:rPr>
          <w:color w:val="231F20"/>
          <w:spacing w:val="-9"/>
        </w:rPr>
        <w:t> </w:t>
      </w:r>
      <w:r>
        <w:rPr>
          <w:color w:val="231F20"/>
          <w:spacing w:val="-4"/>
        </w:rPr>
        <w:t>de</w:t>
      </w:r>
      <w:r>
        <w:rPr>
          <w:color w:val="231F20"/>
          <w:spacing w:val="-9"/>
        </w:rPr>
        <w:t> </w:t>
      </w:r>
      <w:r>
        <w:rPr>
          <w:color w:val="231F20"/>
          <w:spacing w:val="-4"/>
        </w:rPr>
        <w:t>la</w:t>
      </w:r>
      <w:r>
        <w:rPr>
          <w:color w:val="231F20"/>
          <w:spacing w:val="-9"/>
        </w:rPr>
        <w:t> </w:t>
      </w:r>
      <w:r>
        <w:rPr>
          <w:color w:val="231F20"/>
          <w:spacing w:val="-4"/>
        </w:rPr>
        <w:t>mal-gouvernance</w:t>
      </w:r>
      <w:r>
        <w:rPr>
          <w:color w:val="231F20"/>
          <w:spacing w:val="-9"/>
        </w:rPr>
        <w:t> </w:t>
      </w:r>
      <w:r>
        <w:rPr>
          <w:color w:val="231F20"/>
          <w:spacing w:val="-4"/>
        </w:rPr>
        <w:t>sont</w:t>
      </w:r>
      <w:r>
        <w:rPr>
          <w:color w:val="231F20"/>
          <w:spacing w:val="-9"/>
        </w:rPr>
        <w:t> </w:t>
      </w:r>
      <w:r>
        <w:rPr>
          <w:color w:val="231F20"/>
          <w:spacing w:val="-4"/>
        </w:rPr>
        <w:t>aux</w:t>
      </w:r>
      <w:r>
        <w:rPr>
          <w:color w:val="231F20"/>
          <w:spacing w:val="-9"/>
        </w:rPr>
        <w:t> </w:t>
      </w:r>
      <w:r>
        <w:rPr>
          <w:color w:val="231F20"/>
          <w:spacing w:val="-4"/>
        </w:rPr>
        <w:t>ordres</w:t>
      </w:r>
      <w:r>
        <w:rPr>
          <w:color w:val="231F20"/>
          <w:spacing w:val="-9"/>
        </w:rPr>
        <w:t> </w:t>
      </w:r>
      <w:r>
        <w:rPr>
          <w:color w:val="231F20"/>
          <w:spacing w:val="-4"/>
        </w:rPr>
        <w:t>de </w:t>
      </w:r>
      <w:r>
        <w:rPr>
          <w:color w:val="231F20"/>
          <w:spacing w:val="-2"/>
        </w:rPr>
        <w:t>Paris</w:t>
      </w:r>
      <w:r>
        <w:rPr>
          <w:color w:val="231F20"/>
          <w:spacing w:val="-12"/>
        </w:rPr>
        <w:t> </w:t>
      </w:r>
      <w:r>
        <w:rPr>
          <w:color w:val="231F20"/>
          <w:spacing w:val="-2"/>
        </w:rPr>
        <w:t>pour</w:t>
      </w:r>
      <w:r>
        <w:rPr>
          <w:color w:val="231F20"/>
          <w:spacing w:val="-10"/>
        </w:rPr>
        <w:t> </w:t>
      </w:r>
      <w:r>
        <w:rPr>
          <w:color w:val="231F20"/>
          <w:spacing w:val="-2"/>
        </w:rPr>
        <w:t>rester</w:t>
      </w:r>
      <w:r>
        <w:rPr>
          <w:color w:val="231F20"/>
          <w:spacing w:val="-12"/>
        </w:rPr>
        <w:t> </w:t>
      </w:r>
      <w:r>
        <w:rPr>
          <w:color w:val="231F20"/>
          <w:spacing w:val="-2"/>
        </w:rPr>
        <w:t>au</w:t>
      </w:r>
      <w:r>
        <w:rPr>
          <w:color w:val="231F20"/>
          <w:spacing w:val="-12"/>
        </w:rPr>
        <w:t> </w:t>
      </w:r>
      <w:r>
        <w:rPr>
          <w:color w:val="231F20"/>
          <w:spacing w:val="-2"/>
        </w:rPr>
        <w:t>pouvoir</w:t>
      </w:r>
      <w:r>
        <w:rPr>
          <w:color w:val="231F20"/>
          <w:spacing w:val="-10"/>
        </w:rPr>
        <w:t> </w:t>
      </w:r>
      <w:r>
        <w:rPr>
          <w:color w:val="231F20"/>
          <w:spacing w:val="-2"/>
        </w:rPr>
        <w:t>et</w:t>
      </w:r>
      <w:r>
        <w:rPr>
          <w:color w:val="231F20"/>
          <w:spacing w:val="-11"/>
        </w:rPr>
        <w:t> </w:t>
      </w:r>
      <w:r>
        <w:rPr>
          <w:color w:val="231F20"/>
          <w:spacing w:val="-2"/>
        </w:rPr>
        <w:t>partager</w:t>
      </w:r>
      <w:r>
        <w:rPr>
          <w:color w:val="231F20"/>
          <w:spacing w:val="-13"/>
        </w:rPr>
        <w:t> </w:t>
      </w:r>
      <w:r>
        <w:rPr>
          <w:color w:val="231F20"/>
          <w:spacing w:val="-2"/>
        </w:rPr>
        <w:t>les</w:t>
      </w:r>
      <w:r>
        <w:rPr>
          <w:color w:val="231F20"/>
          <w:spacing w:val="-9"/>
        </w:rPr>
        <w:t> </w:t>
      </w:r>
      <w:r>
        <w:rPr>
          <w:color w:val="231F20"/>
          <w:spacing w:val="-2"/>
        </w:rPr>
        <w:t>richesses</w:t>
      </w:r>
      <w:r>
        <w:rPr>
          <w:color w:val="231F20"/>
          <w:spacing w:val="-12"/>
        </w:rPr>
        <w:t> </w:t>
      </w:r>
      <w:r>
        <w:rPr>
          <w:color w:val="231F20"/>
          <w:spacing w:val="-2"/>
        </w:rPr>
        <w:t>de</w:t>
      </w:r>
      <w:r>
        <w:rPr>
          <w:color w:val="231F20"/>
          <w:spacing w:val="-10"/>
        </w:rPr>
        <w:t> </w:t>
      </w:r>
      <w:r>
        <w:rPr>
          <w:color w:val="231F20"/>
          <w:spacing w:val="-2"/>
        </w:rPr>
        <w:t>leur</w:t>
      </w:r>
      <w:r>
        <w:rPr>
          <w:color w:val="231F20"/>
          <w:spacing w:val="-13"/>
        </w:rPr>
        <w:t> </w:t>
      </w:r>
      <w:r>
        <w:rPr>
          <w:color w:val="231F20"/>
          <w:spacing w:val="-2"/>
        </w:rPr>
        <w:t>pays</w:t>
      </w:r>
      <w:r>
        <w:rPr>
          <w:color w:val="231F20"/>
          <w:spacing w:val="-12"/>
        </w:rPr>
        <w:t> </w:t>
      </w:r>
      <w:r>
        <w:rPr>
          <w:color w:val="231F20"/>
          <w:spacing w:val="-2"/>
        </w:rPr>
        <w:t>avec</w:t>
      </w:r>
      <w:r>
        <w:rPr>
          <w:color w:val="231F20"/>
          <w:spacing w:val="-12"/>
        </w:rPr>
        <w:t> </w:t>
      </w:r>
      <w:r>
        <w:rPr>
          <w:color w:val="231F20"/>
          <w:spacing w:val="-2"/>
        </w:rPr>
        <w:t>les </w:t>
      </w:r>
      <w:r>
        <w:rPr>
          <w:color w:val="231F20"/>
        </w:rPr>
        <w:t>Multinationales</w:t>
      </w:r>
      <w:r>
        <w:rPr>
          <w:color w:val="231F20"/>
          <w:spacing w:val="-15"/>
        </w:rPr>
        <w:t> </w:t>
      </w:r>
      <w:r>
        <w:rPr>
          <w:color w:val="231F20"/>
        </w:rPr>
        <w:t>; les intellectuels s’adonnent aux clientélisme pour espérer</w:t>
      </w:r>
      <w:r>
        <w:rPr>
          <w:color w:val="231F20"/>
          <w:spacing w:val="-8"/>
        </w:rPr>
        <w:t> </w:t>
      </w:r>
      <w:r>
        <w:rPr>
          <w:color w:val="231F20"/>
        </w:rPr>
        <w:t>obtenir</w:t>
      </w:r>
      <w:r>
        <w:rPr>
          <w:color w:val="231F20"/>
          <w:spacing w:val="-7"/>
        </w:rPr>
        <w:t> </w:t>
      </w:r>
      <w:r>
        <w:rPr>
          <w:color w:val="231F20"/>
        </w:rPr>
        <w:t>un</w:t>
      </w:r>
      <w:r>
        <w:rPr>
          <w:color w:val="231F20"/>
          <w:spacing w:val="-7"/>
        </w:rPr>
        <w:t> </w:t>
      </w:r>
      <w:r>
        <w:rPr>
          <w:color w:val="231F20"/>
        </w:rPr>
        <w:t>poste</w:t>
      </w:r>
      <w:r>
        <w:rPr>
          <w:color w:val="231F20"/>
          <w:spacing w:val="-9"/>
        </w:rPr>
        <w:t> </w:t>
      </w:r>
      <w:r>
        <w:rPr>
          <w:color w:val="231F20"/>
        </w:rPr>
        <w:t>de</w:t>
      </w:r>
      <w:r>
        <w:rPr>
          <w:color w:val="231F20"/>
          <w:spacing w:val="-7"/>
        </w:rPr>
        <w:t> </w:t>
      </w:r>
      <w:r>
        <w:rPr>
          <w:color w:val="231F20"/>
        </w:rPr>
        <w:t>responsabilité</w:t>
      </w:r>
      <w:r>
        <w:rPr>
          <w:color w:val="231F20"/>
          <w:spacing w:val="-15"/>
        </w:rPr>
        <w:t> </w:t>
      </w:r>
      <w:r>
        <w:rPr>
          <w:color w:val="231F20"/>
        </w:rPr>
        <w:t>;</w:t>
      </w:r>
      <w:r>
        <w:rPr>
          <w:color w:val="231F20"/>
          <w:spacing w:val="-6"/>
        </w:rPr>
        <w:t> </w:t>
      </w:r>
      <w:r>
        <w:rPr>
          <w:color w:val="231F20"/>
        </w:rPr>
        <w:t>ceux</w:t>
      </w:r>
      <w:r>
        <w:rPr>
          <w:color w:val="231F20"/>
          <w:spacing w:val="-7"/>
        </w:rPr>
        <w:t> </w:t>
      </w:r>
      <w:r>
        <w:rPr>
          <w:color w:val="231F20"/>
        </w:rPr>
        <w:t>qui</w:t>
      </w:r>
      <w:r>
        <w:rPr>
          <w:color w:val="231F20"/>
          <w:spacing w:val="-7"/>
        </w:rPr>
        <w:t> </w:t>
      </w:r>
      <w:r>
        <w:rPr>
          <w:color w:val="231F20"/>
        </w:rPr>
        <w:t>ne</w:t>
      </w:r>
      <w:r>
        <w:rPr>
          <w:color w:val="231F20"/>
          <w:spacing w:val="-7"/>
        </w:rPr>
        <w:t> </w:t>
      </w:r>
      <w:r>
        <w:rPr>
          <w:color w:val="231F20"/>
        </w:rPr>
        <w:t>sont</w:t>
      </w:r>
      <w:r>
        <w:rPr>
          <w:color w:val="231F20"/>
          <w:spacing w:val="-7"/>
        </w:rPr>
        <w:t> </w:t>
      </w:r>
      <w:r>
        <w:rPr>
          <w:color w:val="231F20"/>
        </w:rPr>
        <w:t>pas</w:t>
      </w:r>
      <w:r>
        <w:rPr>
          <w:color w:val="231F20"/>
          <w:spacing w:val="-9"/>
        </w:rPr>
        <w:t> </w:t>
      </w:r>
      <w:r>
        <w:rPr>
          <w:color w:val="231F20"/>
        </w:rPr>
        <w:t>du</w:t>
      </w:r>
      <w:r>
        <w:rPr>
          <w:color w:val="231F20"/>
          <w:spacing w:val="-7"/>
        </w:rPr>
        <w:t> </w:t>
      </w:r>
      <w:r>
        <w:rPr>
          <w:color w:val="231F20"/>
        </w:rPr>
        <w:t>clan au pouvoir n’ont qu’une obsession</w:t>
      </w:r>
      <w:r>
        <w:rPr>
          <w:color w:val="231F20"/>
          <w:spacing w:val="-14"/>
        </w:rPr>
        <w:t> </w:t>
      </w:r>
      <w:r>
        <w:rPr>
          <w:color w:val="231F20"/>
        </w:rPr>
        <w:t>: comment renverser le pouvoir en place</w:t>
      </w:r>
      <w:r>
        <w:rPr>
          <w:color w:val="231F20"/>
          <w:spacing w:val="-15"/>
        </w:rPr>
        <w:t> </w:t>
      </w:r>
      <w:r>
        <w:rPr>
          <w:color w:val="231F20"/>
        </w:rPr>
        <w:t>; les populations des villages, analphabètes, résignées, oubliées, attendent sur le trottoir des lendemains meilleurs. Tous sont d’éternels enfants qui ne veulent pas grandir.</w:t>
      </w:r>
    </w:p>
    <w:p>
      <w:pPr>
        <w:pStyle w:val="BodyText"/>
        <w:ind w:left="0"/>
        <w:jc w:val="left"/>
        <w:rPr>
          <w:sz w:val="20"/>
        </w:rPr>
      </w:pPr>
    </w:p>
    <w:p>
      <w:pPr>
        <w:pStyle w:val="BodyText"/>
        <w:ind w:left="0"/>
        <w:jc w:val="left"/>
        <w:rPr>
          <w:sz w:val="20"/>
        </w:rPr>
      </w:pPr>
    </w:p>
    <w:p>
      <w:pPr>
        <w:pStyle w:val="BodyText"/>
        <w:spacing w:before="109"/>
        <w:ind w:left="0"/>
        <w:jc w:val="left"/>
        <w:rPr>
          <w:sz w:val="20"/>
        </w:rPr>
      </w:pPr>
      <w:r>
        <w:rPr/>
        <mc:AlternateContent>
          <mc:Choice Requires="wps">
            <w:drawing>
              <wp:anchor distT="0" distB="0" distL="0" distR="0" allowOverlap="1" layoutInCell="1" locked="0" behindDoc="1" simplePos="0" relativeHeight="487664128">
                <wp:simplePos x="0" y="0"/>
                <wp:positionH relativeFrom="page">
                  <wp:posOffset>629907</wp:posOffset>
                </wp:positionH>
                <wp:positionV relativeFrom="paragraph">
                  <wp:posOffset>230573</wp:posOffset>
                </wp:positionV>
                <wp:extent cx="1829435" cy="9525"/>
                <wp:effectExtent l="0" t="0" r="0" b="0"/>
                <wp:wrapTopAndBottom/>
                <wp:docPr id="181" name="Graphic 181"/>
                <wp:cNvGraphicFramePr>
                  <a:graphicFrameLocks/>
                </wp:cNvGraphicFramePr>
                <a:graphic>
                  <a:graphicData uri="http://schemas.microsoft.com/office/word/2010/wordprocessingShape">
                    <wps:wsp>
                      <wps:cNvPr id="181" name="Graphic 18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8.15539pt;width:144.020pt;height:.72pt;mso-position-horizontal-relative:page;mso-position-vertical-relative:paragraph;z-index:-15652352;mso-wrap-distance-left:0;mso-wrap-distance-right:0" id="docshape179" filled="true" fillcolor="#231f20" stroked="false">
                <v:fill type="solid"/>
                <w10:wrap type="topAndBottom"/>
              </v:rect>
            </w:pict>
          </mc:Fallback>
        </mc:AlternateContent>
      </w:r>
    </w:p>
    <w:p>
      <w:pPr>
        <w:spacing w:before="91"/>
        <w:ind w:left="111" w:right="106" w:firstLine="0"/>
        <w:jc w:val="both"/>
        <w:rPr>
          <w:sz w:val="20"/>
        </w:rPr>
      </w:pPr>
      <w:r>
        <w:rPr>
          <w:color w:val="76787A"/>
          <w:spacing w:val="-4"/>
          <w:sz w:val="20"/>
          <w:vertAlign w:val="superscript"/>
        </w:rPr>
        <w:t>250</w:t>
      </w:r>
      <w:r>
        <w:rPr>
          <w:color w:val="48484A"/>
          <w:spacing w:val="-4"/>
          <w:sz w:val="20"/>
          <w:vertAlign w:val="baseline"/>
        </w:rPr>
        <w:t>«</w:t>
      </w:r>
      <w:r>
        <w:rPr>
          <w:color w:val="48484A"/>
          <w:spacing w:val="3"/>
          <w:sz w:val="20"/>
          <w:vertAlign w:val="baseline"/>
        </w:rPr>
        <w:t> </w:t>
      </w:r>
      <w:r>
        <w:rPr>
          <w:color w:val="48484A"/>
          <w:spacing w:val="-4"/>
          <w:sz w:val="20"/>
          <w:vertAlign w:val="baseline"/>
        </w:rPr>
        <w:t>Ça</w:t>
      </w:r>
      <w:r>
        <w:rPr>
          <w:color w:val="48484A"/>
          <w:spacing w:val="-8"/>
          <w:sz w:val="20"/>
          <w:vertAlign w:val="baseline"/>
        </w:rPr>
        <w:t> </w:t>
      </w:r>
      <w:r>
        <w:rPr>
          <w:color w:val="48484A"/>
          <w:spacing w:val="-4"/>
          <w:sz w:val="20"/>
          <w:vertAlign w:val="baseline"/>
        </w:rPr>
        <w:t>reste</w:t>
      </w:r>
      <w:r>
        <w:rPr>
          <w:color w:val="48484A"/>
          <w:spacing w:val="-8"/>
          <w:sz w:val="20"/>
          <w:vertAlign w:val="baseline"/>
        </w:rPr>
        <w:t> </w:t>
      </w:r>
      <w:r>
        <w:rPr>
          <w:color w:val="48484A"/>
          <w:spacing w:val="-4"/>
          <w:sz w:val="20"/>
          <w:vertAlign w:val="baseline"/>
        </w:rPr>
        <w:t>entre</w:t>
      </w:r>
      <w:r>
        <w:rPr>
          <w:color w:val="48484A"/>
          <w:spacing w:val="-8"/>
          <w:sz w:val="20"/>
          <w:vertAlign w:val="baseline"/>
        </w:rPr>
        <w:t> </w:t>
      </w:r>
      <w:r>
        <w:rPr>
          <w:color w:val="48484A"/>
          <w:spacing w:val="-4"/>
          <w:sz w:val="20"/>
          <w:vertAlign w:val="baseline"/>
        </w:rPr>
        <w:t>nous,</w:t>
      </w:r>
      <w:r>
        <w:rPr>
          <w:color w:val="48484A"/>
          <w:spacing w:val="-8"/>
          <w:sz w:val="20"/>
          <w:vertAlign w:val="baseline"/>
        </w:rPr>
        <w:t> </w:t>
      </w:r>
      <w:r>
        <w:rPr>
          <w:color w:val="48484A"/>
          <w:spacing w:val="-4"/>
          <w:sz w:val="20"/>
          <w:vertAlign w:val="baseline"/>
        </w:rPr>
        <w:t>hein</w:t>
      </w:r>
      <w:r>
        <w:rPr>
          <w:color w:val="48484A"/>
          <w:spacing w:val="-5"/>
          <w:sz w:val="20"/>
          <w:vertAlign w:val="baseline"/>
        </w:rPr>
        <w:t> </w:t>
      </w:r>
      <w:r>
        <w:rPr>
          <w:color w:val="48484A"/>
          <w:spacing w:val="-4"/>
          <w:sz w:val="20"/>
          <w:vertAlign w:val="baseline"/>
        </w:rPr>
        <w:t>?</w:t>
      </w:r>
      <w:r>
        <w:rPr>
          <w:color w:val="48484A"/>
          <w:spacing w:val="-8"/>
          <w:sz w:val="20"/>
          <w:vertAlign w:val="baseline"/>
        </w:rPr>
        <w:t> </w:t>
      </w:r>
      <w:r>
        <w:rPr>
          <w:color w:val="48484A"/>
          <w:spacing w:val="-4"/>
          <w:sz w:val="20"/>
          <w:vertAlign w:val="baseline"/>
        </w:rPr>
        <w:t>Deux</w:t>
      </w:r>
      <w:r>
        <w:rPr>
          <w:color w:val="48484A"/>
          <w:spacing w:val="-7"/>
          <w:sz w:val="20"/>
          <w:vertAlign w:val="baseline"/>
        </w:rPr>
        <w:t> </w:t>
      </w:r>
      <w:r>
        <w:rPr>
          <w:color w:val="48484A"/>
          <w:spacing w:val="-4"/>
          <w:sz w:val="20"/>
          <w:vertAlign w:val="baseline"/>
        </w:rPr>
        <w:t>ans</w:t>
      </w:r>
      <w:r>
        <w:rPr>
          <w:color w:val="48484A"/>
          <w:spacing w:val="-9"/>
          <w:sz w:val="20"/>
          <w:vertAlign w:val="baseline"/>
        </w:rPr>
        <w:t> </w:t>
      </w:r>
      <w:r>
        <w:rPr>
          <w:color w:val="48484A"/>
          <w:spacing w:val="-4"/>
          <w:sz w:val="20"/>
          <w:vertAlign w:val="baseline"/>
        </w:rPr>
        <w:t>de</w:t>
      </w:r>
      <w:r>
        <w:rPr>
          <w:color w:val="48484A"/>
          <w:spacing w:val="-8"/>
          <w:sz w:val="20"/>
          <w:vertAlign w:val="baseline"/>
        </w:rPr>
        <w:t> </w:t>
      </w:r>
      <w:r>
        <w:rPr>
          <w:color w:val="48484A"/>
          <w:spacing w:val="-4"/>
          <w:sz w:val="20"/>
          <w:vertAlign w:val="baseline"/>
        </w:rPr>
        <w:t>confidences</w:t>
      </w:r>
      <w:r>
        <w:rPr>
          <w:color w:val="48484A"/>
          <w:spacing w:val="-9"/>
          <w:sz w:val="20"/>
          <w:vertAlign w:val="baseline"/>
        </w:rPr>
        <w:t> </w:t>
      </w:r>
      <w:r>
        <w:rPr>
          <w:color w:val="48484A"/>
          <w:spacing w:val="-4"/>
          <w:sz w:val="20"/>
          <w:vertAlign w:val="baseline"/>
        </w:rPr>
        <w:t>de Nicolas</w:t>
      </w:r>
      <w:r>
        <w:rPr>
          <w:color w:val="48484A"/>
          <w:spacing w:val="-7"/>
          <w:sz w:val="20"/>
          <w:vertAlign w:val="baseline"/>
        </w:rPr>
        <w:t> </w:t>
      </w:r>
      <w:r>
        <w:rPr>
          <w:color w:val="48484A"/>
          <w:spacing w:val="-4"/>
          <w:sz w:val="20"/>
          <w:vertAlign w:val="baseline"/>
        </w:rPr>
        <w:t>Sarkozy</w:t>
      </w:r>
      <w:r>
        <w:rPr>
          <w:color w:val="48484A"/>
          <w:sz w:val="20"/>
          <w:vertAlign w:val="baseline"/>
        </w:rPr>
        <w:t> </w:t>
      </w:r>
      <w:r>
        <w:rPr>
          <w:color w:val="48484A"/>
          <w:spacing w:val="-4"/>
          <w:sz w:val="20"/>
          <w:vertAlign w:val="baseline"/>
        </w:rPr>
        <w:t>»,</w:t>
      </w:r>
      <w:r>
        <w:rPr>
          <w:color w:val="48484A"/>
          <w:spacing w:val="-8"/>
          <w:sz w:val="20"/>
          <w:vertAlign w:val="baseline"/>
        </w:rPr>
        <w:t> </w:t>
      </w:r>
      <w:r>
        <w:rPr>
          <w:color w:val="48484A"/>
          <w:spacing w:val="-4"/>
          <w:sz w:val="20"/>
          <w:vertAlign w:val="baseline"/>
        </w:rPr>
        <w:t>publié</w:t>
      </w:r>
      <w:r>
        <w:rPr>
          <w:color w:val="48484A"/>
          <w:spacing w:val="-8"/>
          <w:sz w:val="20"/>
          <w:vertAlign w:val="baseline"/>
        </w:rPr>
        <w:t> </w:t>
      </w:r>
      <w:r>
        <w:rPr>
          <w:color w:val="48484A"/>
          <w:spacing w:val="-4"/>
          <w:sz w:val="20"/>
          <w:vertAlign w:val="baseline"/>
        </w:rPr>
        <w:t>par </w:t>
      </w:r>
      <w:r>
        <w:rPr>
          <w:color w:val="48484A"/>
          <w:sz w:val="20"/>
          <w:vertAlign w:val="baseline"/>
        </w:rPr>
        <w:t>Nathalie</w:t>
      </w:r>
      <w:r>
        <w:rPr>
          <w:color w:val="48484A"/>
          <w:spacing w:val="33"/>
          <w:sz w:val="20"/>
          <w:vertAlign w:val="baseline"/>
        </w:rPr>
        <w:t> </w:t>
      </w:r>
      <w:r>
        <w:rPr>
          <w:color w:val="48484A"/>
          <w:sz w:val="20"/>
          <w:vertAlign w:val="baseline"/>
        </w:rPr>
        <w:t>Schuck</w:t>
      </w:r>
      <w:r>
        <w:rPr>
          <w:color w:val="48484A"/>
          <w:spacing w:val="31"/>
          <w:sz w:val="20"/>
          <w:vertAlign w:val="baseline"/>
        </w:rPr>
        <w:t> </w:t>
      </w:r>
      <w:r>
        <w:rPr>
          <w:color w:val="48484A"/>
          <w:sz w:val="20"/>
          <w:vertAlign w:val="baseline"/>
        </w:rPr>
        <w:t>et</w:t>
      </w:r>
      <w:r>
        <w:rPr>
          <w:color w:val="48484A"/>
          <w:spacing w:val="30"/>
          <w:sz w:val="20"/>
          <w:vertAlign w:val="baseline"/>
        </w:rPr>
        <w:t> </w:t>
      </w:r>
      <w:r>
        <w:rPr>
          <w:color w:val="48484A"/>
          <w:sz w:val="20"/>
          <w:vertAlign w:val="baseline"/>
        </w:rPr>
        <w:t>Frédéric</w:t>
      </w:r>
      <w:r>
        <w:rPr>
          <w:color w:val="48484A"/>
          <w:spacing w:val="29"/>
          <w:sz w:val="20"/>
          <w:vertAlign w:val="baseline"/>
        </w:rPr>
        <w:t> </w:t>
      </w:r>
      <w:r>
        <w:rPr>
          <w:color w:val="48484A"/>
          <w:sz w:val="20"/>
          <w:vertAlign w:val="baseline"/>
        </w:rPr>
        <w:t>Gerschel,</w:t>
      </w:r>
      <w:r>
        <w:rPr>
          <w:color w:val="48484A"/>
          <w:spacing w:val="31"/>
          <w:sz w:val="20"/>
          <w:vertAlign w:val="baseline"/>
        </w:rPr>
        <w:t> </w:t>
      </w:r>
      <w:r>
        <w:rPr>
          <w:color w:val="48484A"/>
          <w:sz w:val="20"/>
          <w:vertAlign w:val="baseline"/>
        </w:rPr>
        <w:t>page</w:t>
      </w:r>
      <w:r>
        <w:rPr>
          <w:color w:val="48484A"/>
          <w:spacing w:val="31"/>
          <w:sz w:val="20"/>
          <w:vertAlign w:val="baseline"/>
        </w:rPr>
        <w:t> </w:t>
      </w:r>
      <w:r>
        <w:rPr>
          <w:color w:val="48484A"/>
          <w:sz w:val="20"/>
          <w:vertAlign w:val="baseline"/>
        </w:rPr>
        <w:t>39</w:t>
      </w:r>
      <w:r>
        <w:rPr>
          <w:color w:val="231F20"/>
          <w:sz w:val="20"/>
          <w:vertAlign w:val="baseline"/>
        </w:rPr>
        <w:t>.</w:t>
      </w:r>
      <w:r>
        <w:rPr>
          <w:color w:val="231F20"/>
          <w:spacing w:val="31"/>
          <w:sz w:val="20"/>
          <w:vertAlign w:val="baseline"/>
        </w:rPr>
        <w:t> </w:t>
      </w:r>
      <w:r>
        <w:rPr>
          <w:color w:val="1F2021"/>
          <w:sz w:val="20"/>
          <w:vertAlign w:val="baseline"/>
        </w:rPr>
        <w:t>Nicolas</w:t>
      </w:r>
      <w:r>
        <w:rPr>
          <w:color w:val="1F2021"/>
          <w:spacing w:val="30"/>
          <w:sz w:val="20"/>
          <w:vertAlign w:val="baseline"/>
        </w:rPr>
        <w:t> </w:t>
      </w:r>
      <w:r>
        <w:rPr>
          <w:color w:val="1F2021"/>
          <w:sz w:val="20"/>
          <w:vertAlign w:val="baseline"/>
        </w:rPr>
        <w:t>Sarközy</w:t>
      </w:r>
      <w:r>
        <w:rPr>
          <w:color w:val="1F2021"/>
          <w:spacing w:val="31"/>
          <w:sz w:val="20"/>
          <w:vertAlign w:val="baseline"/>
        </w:rPr>
        <w:t> </w:t>
      </w:r>
      <w:r>
        <w:rPr>
          <w:color w:val="1F2021"/>
          <w:sz w:val="20"/>
          <w:vertAlign w:val="baseline"/>
        </w:rPr>
        <w:t>de</w:t>
      </w:r>
      <w:r>
        <w:rPr>
          <w:color w:val="1F2021"/>
          <w:spacing w:val="31"/>
          <w:sz w:val="20"/>
          <w:vertAlign w:val="baseline"/>
        </w:rPr>
        <w:t> </w:t>
      </w:r>
      <w:r>
        <w:rPr>
          <w:color w:val="1F2021"/>
          <w:sz w:val="20"/>
          <w:vertAlign w:val="baseline"/>
        </w:rPr>
        <w:t>Nagy-Bocsa, </w:t>
      </w:r>
      <w:r>
        <w:rPr>
          <w:color w:val="1F2021"/>
          <w:spacing w:val="-2"/>
          <w:sz w:val="20"/>
          <w:vertAlign w:val="baseline"/>
        </w:rPr>
        <w:t>dit</w:t>
      </w:r>
      <w:r>
        <w:rPr>
          <w:color w:val="1F2021"/>
          <w:spacing w:val="-11"/>
          <w:sz w:val="20"/>
          <w:vertAlign w:val="baseline"/>
        </w:rPr>
        <w:t> </w:t>
      </w:r>
      <w:r>
        <w:rPr>
          <w:color w:val="231F20"/>
          <w:spacing w:val="-2"/>
          <w:sz w:val="20"/>
          <w:vertAlign w:val="baseline"/>
        </w:rPr>
        <w:t>Nicolas</w:t>
      </w:r>
      <w:r>
        <w:rPr>
          <w:color w:val="231F20"/>
          <w:spacing w:val="-10"/>
          <w:sz w:val="20"/>
          <w:vertAlign w:val="baseline"/>
        </w:rPr>
        <w:t> </w:t>
      </w:r>
      <w:r>
        <w:rPr>
          <w:color w:val="231F20"/>
          <w:spacing w:val="-2"/>
          <w:sz w:val="20"/>
          <w:vertAlign w:val="baseline"/>
        </w:rPr>
        <w:t>Sarkozy</w:t>
      </w:r>
      <w:r>
        <w:rPr>
          <w:color w:val="231F20"/>
          <w:spacing w:val="-11"/>
          <w:sz w:val="20"/>
          <w:vertAlign w:val="baseline"/>
        </w:rPr>
        <w:t> </w:t>
      </w:r>
      <w:r>
        <w:rPr>
          <w:color w:val="231F20"/>
          <w:spacing w:val="-2"/>
          <w:sz w:val="20"/>
          <w:vertAlign w:val="baseline"/>
        </w:rPr>
        <w:t>a</w:t>
      </w:r>
      <w:r>
        <w:rPr>
          <w:color w:val="231F20"/>
          <w:spacing w:val="-10"/>
          <w:sz w:val="20"/>
          <w:vertAlign w:val="baseline"/>
        </w:rPr>
        <w:t> </w:t>
      </w:r>
      <w:r>
        <w:rPr>
          <w:color w:val="231F20"/>
          <w:spacing w:val="-2"/>
          <w:sz w:val="20"/>
          <w:vertAlign w:val="baseline"/>
        </w:rPr>
        <w:t>été</w:t>
      </w:r>
      <w:r>
        <w:rPr>
          <w:color w:val="231F20"/>
          <w:spacing w:val="-11"/>
          <w:sz w:val="20"/>
          <w:vertAlign w:val="baseline"/>
        </w:rPr>
        <w:t> </w:t>
      </w:r>
      <w:r>
        <w:rPr>
          <w:color w:val="231F20"/>
          <w:spacing w:val="-2"/>
          <w:sz w:val="20"/>
          <w:vertAlign w:val="baseline"/>
        </w:rPr>
        <w:t>président</w:t>
      </w:r>
      <w:r>
        <w:rPr>
          <w:color w:val="231F20"/>
          <w:spacing w:val="-10"/>
          <w:sz w:val="20"/>
          <w:vertAlign w:val="baseline"/>
        </w:rPr>
        <w:t> </w:t>
      </w:r>
      <w:r>
        <w:rPr>
          <w:color w:val="231F20"/>
          <w:spacing w:val="-2"/>
          <w:sz w:val="20"/>
          <w:vertAlign w:val="baseline"/>
        </w:rPr>
        <w:t>de</w:t>
      </w:r>
      <w:r>
        <w:rPr>
          <w:color w:val="231F20"/>
          <w:spacing w:val="-11"/>
          <w:sz w:val="20"/>
          <w:vertAlign w:val="baseline"/>
        </w:rPr>
        <w:t> </w:t>
      </w:r>
      <w:r>
        <w:rPr>
          <w:color w:val="231F20"/>
          <w:spacing w:val="-2"/>
          <w:sz w:val="20"/>
          <w:vertAlign w:val="baseline"/>
        </w:rPr>
        <w:t>la</w:t>
      </w:r>
      <w:r>
        <w:rPr>
          <w:color w:val="231F20"/>
          <w:spacing w:val="-10"/>
          <w:sz w:val="20"/>
          <w:vertAlign w:val="baseline"/>
        </w:rPr>
        <w:t> </w:t>
      </w:r>
      <w:r>
        <w:rPr>
          <w:color w:val="231F20"/>
          <w:spacing w:val="-2"/>
          <w:sz w:val="20"/>
          <w:vertAlign w:val="baseline"/>
        </w:rPr>
        <w:t>République</w:t>
      </w:r>
      <w:r>
        <w:rPr>
          <w:color w:val="231F20"/>
          <w:spacing w:val="-11"/>
          <w:sz w:val="20"/>
          <w:vertAlign w:val="baseline"/>
        </w:rPr>
        <w:t> </w:t>
      </w:r>
      <w:r>
        <w:rPr>
          <w:color w:val="231F20"/>
          <w:spacing w:val="-2"/>
          <w:sz w:val="20"/>
          <w:vertAlign w:val="baseline"/>
        </w:rPr>
        <w:t>française</w:t>
      </w:r>
      <w:r>
        <w:rPr>
          <w:color w:val="231F20"/>
          <w:spacing w:val="-10"/>
          <w:sz w:val="20"/>
          <w:vertAlign w:val="baseline"/>
        </w:rPr>
        <w:t> </w:t>
      </w:r>
      <w:r>
        <w:rPr>
          <w:color w:val="1F2021"/>
          <w:spacing w:val="-2"/>
          <w:sz w:val="20"/>
          <w:vertAlign w:val="baseline"/>
        </w:rPr>
        <w:t>du</w:t>
      </w:r>
      <w:r>
        <w:rPr>
          <w:color w:val="1F2021"/>
          <w:spacing w:val="-11"/>
          <w:sz w:val="20"/>
          <w:vertAlign w:val="baseline"/>
        </w:rPr>
        <w:t> </w:t>
      </w:r>
      <w:r>
        <w:rPr>
          <w:color w:val="231F20"/>
          <w:spacing w:val="-2"/>
          <w:sz w:val="20"/>
          <w:vertAlign w:val="baseline"/>
        </w:rPr>
        <w:t>16</w:t>
      </w:r>
      <w:r>
        <w:rPr>
          <w:color w:val="231F20"/>
          <w:spacing w:val="-10"/>
          <w:sz w:val="20"/>
          <w:vertAlign w:val="baseline"/>
        </w:rPr>
        <w:t> </w:t>
      </w:r>
      <w:r>
        <w:rPr>
          <w:color w:val="231F20"/>
          <w:spacing w:val="-2"/>
          <w:sz w:val="20"/>
          <w:vertAlign w:val="baseline"/>
        </w:rPr>
        <w:t>mai</w:t>
      </w:r>
      <w:r>
        <w:rPr>
          <w:color w:val="231F20"/>
          <w:spacing w:val="-11"/>
          <w:sz w:val="20"/>
          <w:vertAlign w:val="baseline"/>
        </w:rPr>
        <w:t> </w:t>
      </w:r>
      <w:r>
        <w:rPr>
          <w:color w:val="231F20"/>
          <w:spacing w:val="-2"/>
          <w:sz w:val="20"/>
          <w:vertAlign w:val="baseline"/>
        </w:rPr>
        <w:t>2007</w:t>
      </w:r>
      <w:r>
        <w:rPr>
          <w:color w:val="231F20"/>
          <w:spacing w:val="-10"/>
          <w:sz w:val="20"/>
          <w:vertAlign w:val="baseline"/>
        </w:rPr>
        <w:t> </w:t>
      </w:r>
      <w:r>
        <w:rPr>
          <w:color w:val="1F2021"/>
          <w:spacing w:val="-2"/>
          <w:sz w:val="20"/>
          <w:vertAlign w:val="baseline"/>
        </w:rPr>
        <w:t>au</w:t>
      </w:r>
      <w:r>
        <w:rPr>
          <w:color w:val="1F2021"/>
          <w:spacing w:val="-11"/>
          <w:sz w:val="20"/>
          <w:vertAlign w:val="baseline"/>
        </w:rPr>
        <w:t> </w:t>
      </w:r>
      <w:r>
        <w:rPr>
          <w:color w:val="231F20"/>
          <w:spacing w:val="-2"/>
          <w:sz w:val="20"/>
          <w:vertAlign w:val="baseline"/>
        </w:rPr>
        <w:t>15</w:t>
      </w:r>
      <w:r>
        <w:rPr>
          <w:color w:val="231F20"/>
          <w:spacing w:val="-10"/>
          <w:sz w:val="20"/>
          <w:vertAlign w:val="baseline"/>
        </w:rPr>
        <w:t> </w:t>
      </w:r>
      <w:r>
        <w:rPr>
          <w:color w:val="231F20"/>
          <w:spacing w:val="-2"/>
          <w:sz w:val="20"/>
          <w:vertAlign w:val="baseline"/>
        </w:rPr>
        <w:t>mai 2012</w:t>
      </w:r>
      <w:r>
        <w:rPr>
          <w:color w:val="1F2021"/>
          <w:spacing w:val="-2"/>
          <w:sz w:val="20"/>
          <w:vertAlign w:val="baseline"/>
        </w:rPr>
        <w:t>.</w:t>
      </w:r>
    </w:p>
    <w:p>
      <w:pPr>
        <w:spacing w:after="0"/>
        <w:jc w:val="both"/>
        <w:rPr>
          <w:sz w:val="20"/>
        </w:rPr>
        <w:sectPr>
          <w:pgSz w:w="8790" w:h="13610"/>
          <w:pgMar w:header="0" w:footer="802" w:top="1060" w:bottom="1000" w:left="880" w:right="880"/>
        </w:sectPr>
      </w:pPr>
    </w:p>
    <w:p>
      <w:pPr>
        <w:pStyle w:val="BodyText"/>
        <w:spacing w:before="66"/>
        <w:ind w:right="108" w:firstLine="283"/>
      </w:pPr>
      <w:r>
        <w:rPr>
          <w:color w:val="231F20"/>
        </w:rPr>
        <w:t>Pendant</w:t>
      </w:r>
      <w:r>
        <w:rPr>
          <w:color w:val="231F20"/>
          <w:spacing w:val="-11"/>
        </w:rPr>
        <w:t> </w:t>
      </w:r>
      <w:r>
        <w:rPr>
          <w:color w:val="231F20"/>
        </w:rPr>
        <w:t>que</w:t>
      </w:r>
      <w:r>
        <w:rPr>
          <w:color w:val="231F20"/>
          <w:spacing w:val="-12"/>
        </w:rPr>
        <w:t> </w:t>
      </w:r>
      <w:r>
        <w:rPr>
          <w:color w:val="231F20"/>
        </w:rPr>
        <w:t>les</w:t>
      </w:r>
      <w:r>
        <w:rPr>
          <w:color w:val="231F20"/>
          <w:spacing w:val="-11"/>
        </w:rPr>
        <w:t> </w:t>
      </w:r>
      <w:r>
        <w:rPr>
          <w:color w:val="231F20"/>
        </w:rPr>
        <w:t>jeunes</w:t>
      </w:r>
      <w:r>
        <w:rPr>
          <w:color w:val="231F20"/>
          <w:spacing w:val="-11"/>
        </w:rPr>
        <w:t> </w:t>
      </w:r>
      <w:r>
        <w:rPr>
          <w:color w:val="231F20"/>
        </w:rPr>
        <w:t>crient</w:t>
      </w:r>
      <w:r>
        <w:rPr>
          <w:color w:val="231F20"/>
          <w:spacing w:val="-9"/>
        </w:rPr>
        <w:t> </w:t>
      </w:r>
      <w:r>
        <w:rPr>
          <w:color w:val="231F20"/>
        </w:rPr>
        <w:t>à</w:t>
      </w:r>
      <w:r>
        <w:rPr>
          <w:color w:val="231F20"/>
          <w:spacing w:val="-12"/>
        </w:rPr>
        <w:t> </w:t>
      </w:r>
      <w:r>
        <w:rPr>
          <w:color w:val="231F20"/>
        </w:rPr>
        <w:t>hui</w:t>
      </w:r>
      <w:r>
        <w:rPr>
          <w:color w:val="231F20"/>
          <w:spacing w:val="-11"/>
        </w:rPr>
        <w:t> </w:t>
      </w:r>
      <w:r>
        <w:rPr>
          <w:color w:val="231F20"/>
        </w:rPr>
        <w:t>et</w:t>
      </w:r>
      <w:r>
        <w:rPr>
          <w:color w:val="231F20"/>
          <w:spacing w:val="-11"/>
        </w:rPr>
        <w:t> </w:t>
      </w:r>
      <w:r>
        <w:rPr>
          <w:color w:val="231F20"/>
        </w:rPr>
        <w:t>à</w:t>
      </w:r>
      <w:r>
        <w:rPr>
          <w:color w:val="231F20"/>
          <w:spacing w:val="-12"/>
        </w:rPr>
        <w:t> </w:t>
      </w:r>
      <w:r>
        <w:rPr>
          <w:color w:val="231F20"/>
        </w:rPr>
        <w:t>dia</w:t>
      </w:r>
      <w:r>
        <w:rPr>
          <w:color w:val="231F20"/>
          <w:spacing w:val="-12"/>
        </w:rPr>
        <w:t> </w:t>
      </w:r>
      <w:r>
        <w:rPr>
          <w:color w:val="231F20"/>
        </w:rPr>
        <w:t>sur</w:t>
      </w:r>
      <w:r>
        <w:rPr>
          <w:color w:val="231F20"/>
          <w:spacing w:val="-12"/>
        </w:rPr>
        <w:t> </w:t>
      </w:r>
      <w:r>
        <w:rPr>
          <w:color w:val="231F20"/>
        </w:rPr>
        <w:t>la</w:t>
      </w:r>
      <w:r>
        <w:rPr>
          <w:color w:val="231F20"/>
          <w:spacing w:val="-12"/>
        </w:rPr>
        <w:t> </w:t>
      </w:r>
      <w:r>
        <w:rPr>
          <w:color w:val="231F20"/>
        </w:rPr>
        <w:t>France</w:t>
      </w:r>
      <w:r>
        <w:rPr>
          <w:color w:val="231F20"/>
          <w:spacing w:val="-9"/>
        </w:rPr>
        <w:t> </w:t>
      </w:r>
      <w:r>
        <w:rPr>
          <w:color w:val="231F20"/>
        </w:rPr>
        <w:t>impérialiste, ils se bousculent devant son consulat dès 03h du matin pour espérer obtenir</w:t>
      </w:r>
      <w:r>
        <w:rPr>
          <w:color w:val="231F20"/>
          <w:spacing w:val="-4"/>
        </w:rPr>
        <w:t> </w:t>
      </w:r>
      <w:r>
        <w:rPr>
          <w:color w:val="231F20"/>
        </w:rPr>
        <w:t>un</w:t>
      </w:r>
      <w:r>
        <w:rPr>
          <w:color w:val="231F20"/>
          <w:spacing w:val="-6"/>
        </w:rPr>
        <w:t> </w:t>
      </w:r>
      <w:r>
        <w:rPr>
          <w:color w:val="231F20"/>
        </w:rPr>
        <w:t>visa</w:t>
      </w:r>
      <w:r>
        <w:rPr>
          <w:color w:val="231F20"/>
          <w:spacing w:val="-7"/>
        </w:rPr>
        <w:t> </w:t>
      </w:r>
      <w:r>
        <w:rPr>
          <w:color w:val="231F20"/>
        </w:rPr>
        <w:t>pour</w:t>
      </w:r>
      <w:r>
        <w:rPr>
          <w:color w:val="231F20"/>
          <w:spacing w:val="-7"/>
        </w:rPr>
        <w:t> </w:t>
      </w:r>
      <w:r>
        <w:rPr>
          <w:color w:val="231F20"/>
        </w:rPr>
        <w:t>s’y</w:t>
      </w:r>
      <w:r>
        <w:rPr>
          <w:color w:val="231F20"/>
          <w:spacing w:val="-4"/>
        </w:rPr>
        <w:t> </w:t>
      </w:r>
      <w:r>
        <w:rPr>
          <w:color w:val="231F20"/>
        </w:rPr>
        <w:t>rendre</w:t>
      </w:r>
      <w:r>
        <w:rPr>
          <w:color w:val="231F20"/>
          <w:spacing w:val="-4"/>
        </w:rPr>
        <w:t> </w:t>
      </w:r>
      <w:r>
        <w:rPr>
          <w:color w:val="231F20"/>
        </w:rPr>
        <w:t>et</w:t>
      </w:r>
      <w:r>
        <w:rPr>
          <w:color w:val="231F20"/>
          <w:spacing w:val="-2"/>
        </w:rPr>
        <w:t> </w:t>
      </w:r>
      <w:r>
        <w:rPr>
          <w:color w:val="231F20"/>
        </w:rPr>
        <w:t>fuir</w:t>
      </w:r>
      <w:r>
        <w:rPr>
          <w:color w:val="231F20"/>
          <w:spacing w:val="-4"/>
        </w:rPr>
        <w:t> </w:t>
      </w:r>
      <w:r>
        <w:rPr>
          <w:color w:val="231F20"/>
        </w:rPr>
        <w:t>leur</w:t>
      </w:r>
      <w:r>
        <w:rPr>
          <w:color w:val="231F20"/>
          <w:spacing w:val="-4"/>
        </w:rPr>
        <w:t> </w:t>
      </w:r>
      <w:r>
        <w:rPr>
          <w:color w:val="231F20"/>
        </w:rPr>
        <w:t>pays</w:t>
      </w:r>
      <w:r>
        <w:rPr>
          <w:color w:val="231F20"/>
          <w:spacing w:val="-6"/>
        </w:rPr>
        <w:t> </w:t>
      </w:r>
      <w:r>
        <w:rPr>
          <w:color w:val="231F20"/>
        </w:rPr>
        <w:t>en</w:t>
      </w:r>
      <w:r>
        <w:rPr>
          <w:color w:val="231F20"/>
          <w:spacing w:val="-4"/>
        </w:rPr>
        <w:t> </w:t>
      </w:r>
      <w:r>
        <w:rPr>
          <w:color w:val="231F20"/>
        </w:rPr>
        <w:t>lambeaux.</w:t>
      </w:r>
    </w:p>
    <w:p>
      <w:pPr>
        <w:pStyle w:val="BodyText"/>
        <w:spacing w:before="240"/>
        <w:ind w:left="0"/>
        <w:jc w:val="left"/>
      </w:pPr>
    </w:p>
    <w:p>
      <w:pPr>
        <w:pStyle w:val="Heading2"/>
      </w:pPr>
      <w:bookmarkStart w:name="_TOC_250008" w:id="35"/>
      <w:r>
        <w:rPr>
          <w:color w:val="231F20"/>
          <w:spacing w:val="-4"/>
        </w:rPr>
        <w:t>Des</w:t>
      </w:r>
      <w:r>
        <w:rPr>
          <w:color w:val="231F20"/>
          <w:spacing w:val="-1"/>
        </w:rPr>
        <w:t> </w:t>
      </w:r>
      <w:r>
        <w:rPr>
          <w:color w:val="231F20"/>
          <w:spacing w:val="-4"/>
        </w:rPr>
        <w:t>dirigeants</w:t>
      </w:r>
      <w:r>
        <w:rPr>
          <w:color w:val="231F20"/>
          <w:spacing w:val="-1"/>
        </w:rPr>
        <w:t> </w:t>
      </w:r>
      <w:bookmarkEnd w:id="35"/>
      <w:r>
        <w:rPr>
          <w:color w:val="231F20"/>
          <w:spacing w:val="-4"/>
        </w:rPr>
        <w:t>mercenaires</w:t>
      </w:r>
    </w:p>
    <w:p>
      <w:pPr>
        <w:pStyle w:val="BodyText"/>
        <w:spacing w:before="120"/>
        <w:ind w:left="0"/>
        <w:jc w:val="left"/>
        <w:rPr>
          <w:b/>
        </w:rPr>
      </w:pPr>
    </w:p>
    <w:p>
      <w:pPr>
        <w:pStyle w:val="BodyText"/>
        <w:ind w:right="109" w:firstLine="283"/>
      </w:pPr>
      <w:r>
        <w:rPr>
          <w:color w:val="231F20"/>
          <w:spacing w:val="-2"/>
        </w:rPr>
        <w:t>À</w:t>
      </w:r>
      <w:r>
        <w:rPr>
          <w:color w:val="231F20"/>
          <w:spacing w:val="-7"/>
        </w:rPr>
        <w:t> </w:t>
      </w:r>
      <w:r>
        <w:rPr>
          <w:color w:val="231F20"/>
          <w:spacing w:val="-2"/>
        </w:rPr>
        <w:t>l’indépendance</w:t>
      </w:r>
      <w:r>
        <w:rPr>
          <w:color w:val="231F20"/>
          <w:spacing w:val="-7"/>
        </w:rPr>
        <w:t> </w:t>
      </w:r>
      <w:r>
        <w:rPr>
          <w:color w:val="231F20"/>
          <w:spacing w:val="-2"/>
        </w:rPr>
        <w:t>de</w:t>
      </w:r>
      <w:r>
        <w:rPr>
          <w:color w:val="231F20"/>
          <w:spacing w:val="-10"/>
        </w:rPr>
        <w:t> </w:t>
      </w:r>
      <w:r>
        <w:rPr>
          <w:color w:val="231F20"/>
          <w:spacing w:val="-2"/>
        </w:rPr>
        <w:t>leurs</w:t>
      </w:r>
      <w:r>
        <w:rPr>
          <w:color w:val="231F20"/>
          <w:spacing w:val="-9"/>
        </w:rPr>
        <w:t> </w:t>
      </w:r>
      <w:r>
        <w:rPr>
          <w:color w:val="231F20"/>
          <w:spacing w:val="-2"/>
        </w:rPr>
        <w:t>ex-colonies,</w:t>
      </w:r>
      <w:r>
        <w:rPr>
          <w:color w:val="231F20"/>
          <w:spacing w:val="-9"/>
        </w:rPr>
        <w:t> </w:t>
      </w:r>
      <w:r>
        <w:rPr>
          <w:color w:val="231F20"/>
          <w:spacing w:val="-2"/>
        </w:rPr>
        <w:t>la</w:t>
      </w:r>
      <w:r>
        <w:rPr>
          <w:color w:val="231F20"/>
          <w:spacing w:val="-10"/>
        </w:rPr>
        <w:t> </w:t>
      </w:r>
      <w:r>
        <w:rPr>
          <w:color w:val="231F20"/>
          <w:spacing w:val="-2"/>
        </w:rPr>
        <w:t>France</w:t>
      </w:r>
      <w:r>
        <w:rPr>
          <w:color w:val="231F20"/>
          <w:spacing w:val="-7"/>
        </w:rPr>
        <w:t> </w:t>
      </w:r>
      <w:r>
        <w:rPr>
          <w:color w:val="231F20"/>
          <w:spacing w:val="-2"/>
        </w:rPr>
        <w:t>leur</w:t>
      </w:r>
      <w:r>
        <w:rPr>
          <w:color w:val="231F20"/>
          <w:spacing w:val="-7"/>
        </w:rPr>
        <w:t> </w:t>
      </w:r>
      <w:r>
        <w:rPr>
          <w:color w:val="231F20"/>
          <w:spacing w:val="-2"/>
        </w:rPr>
        <w:t>a</w:t>
      </w:r>
      <w:r>
        <w:rPr>
          <w:color w:val="231F20"/>
          <w:spacing w:val="-8"/>
        </w:rPr>
        <w:t> </w:t>
      </w:r>
      <w:r>
        <w:rPr>
          <w:color w:val="231F20"/>
          <w:spacing w:val="-2"/>
        </w:rPr>
        <w:t>fait</w:t>
      </w:r>
      <w:r>
        <w:rPr>
          <w:color w:val="231F20"/>
          <w:spacing w:val="-9"/>
        </w:rPr>
        <w:t> </w:t>
      </w:r>
      <w:r>
        <w:rPr>
          <w:color w:val="231F20"/>
          <w:spacing w:val="-2"/>
        </w:rPr>
        <w:t>signer</w:t>
      </w:r>
      <w:r>
        <w:rPr>
          <w:color w:val="231F20"/>
          <w:spacing w:val="-10"/>
        </w:rPr>
        <w:t> </w:t>
      </w:r>
      <w:r>
        <w:rPr>
          <w:color w:val="231F20"/>
          <w:spacing w:val="-2"/>
        </w:rPr>
        <w:t>des </w:t>
      </w:r>
      <w:r>
        <w:rPr>
          <w:color w:val="231F20"/>
        </w:rPr>
        <w:t>accords</w:t>
      </w:r>
      <w:r>
        <w:rPr>
          <w:color w:val="231F20"/>
          <w:spacing w:val="-7"/>
        </w:rPr>
        <w:t> </w:t>
      </w:r>
      <w:r>
        <w:rPr>
          <w:color w:val="231F20"/>
        </w:rPr>
        <w:t>dont</w:t>
      </w:r>
      <w:r>
        <w:rPr>
          <w:color w:val="231F20"/>
          <w:spacing w:val="-7"/>
        </w:rPr>
        <w:t> </w:t>
      </w:r>
      <w:r>
        <w:rPr>
          <w:color w:val="231F20"/>
        </w:rPr>
        <w:t>certains</w:t>
      </w:r>
      <w:r>
        <w:rPr>
          <w:color w:val="231F20"/>
          <w:spacing w:val="-9"/>
        </w:rPr>
        <w:t> </w:t>
      </w:r>
      <w:r>
        <w:rPr>
          <w:color w:val="231F20"/>
        </w:rPr>
        <w:t>très</w:t>
      </w:r>
      <w:r>
        <w:rPr>
          <w:color w:val="231F20"/>
          <w:spacing w:val="-9"/>
        </w:rPr>
        <w:t> </w:t>
      </w:r>
      <w:r>
        <w:rPr>
          <w:color w:val="231F20"/>
        </w:rPr>
        <w:t>secrets</w:t>
      </w:r>
      <w:r>
        <w:rPr>
          <w:color w:val="231F20"/>
          <w:spacing w:val="-7"/>
        </w:rPr>
        <w:t> </w:t>
      </w:r>
      <w:r>
        <w:rPr>
          <w:color w:val="231F20"/>
        </w:rPr>
        <w:t>ne</w:t>
      </w:r>
      <w:r>
        <w:rPr>
          <w:color w:val="231F20"/>
          <w:spacing w:val="-9"/>
        </w:rPr>
        <w:t> </w:t>
      </w:r>
      <w:r>
        <w:rPr>
          <w:color w:val="231F20"/>
        </w:rPr>
        <w:t>sont</w:t>
      </w:r>
      <w:r>
        <w:rPr>
          <w:color w:val="231F20"/>
          <w:spacing w:val="-7"/>
        </w:rPr>
        <w:t> </w:t>
      </w:r>
      <w:r>
        <w:rPr>
          <w:color w:val="231F20"/>
        </w:rPr>
        <w:t>pas</w:t>
      </w:r>
      <w:r>
        <w:rPr>
          <w:color w:val="231F20"/>
          <w:spacing w:val="-7"/>
        </w:rPr>
        <w:t> </w:t>
      </w:r>
      <w:r>
        <w:rPr>
          <w:color w:val="231F20"/>
        </w:rPr>
        <w:t>connus</w:t>
      </w:r>
      <w:r>
        <w:rPr>
          <w:color w:val="231F20"/>
          <w:spacing w:val="-9"/>
        </w:rPr>
        <w:t> </w:t>
      </w:r>
      <w:r>
        <w:rPr>
          <w:color w:val="231F20"/>
        </w:rPr>
        <w:t>du</w:t>
      </w:r>
      <w:r>
        <w:rPr>
          <w:color w:val="231F20"/>
          <w:spacing w:val="-7"/>
        </w:rPr>
        <w:t> </w:t>
      </w:r>
      <w:r>
        <w:rPr>
          <w:color w:val="231F20"/>
        </w:rPr>
        <w:t>grand</w:t>
      </w:r>
      <w:r>
        <w:rPr>
          <w:color w:val="231F20"/>
          <w:spacing w:val="-7"/>
        </w:rPr>
        <w:t> </w:t>
      </w:r>
      <w:r>
        <w:rPr>
          <w:color w:val="231F20"/>
        </w:rPr>
        <w:t>public.</w:t>
      </w:r>
    </w:p>
    <w:p>
      <w:pPr>
        <w:pStyle w:val="BodyText"/>
        <w:spacing w:before="121"/>
        <w:ind w:right="112" w:firstLine="283"/>
      </w:pPr>
      <w:r>
        <w:rPr>
          <w:color w:val="231F20"/>
        </w:rPr>
        <w:t>La</w:t>
      </w:r>
      <w:r>
        <w:rPr>
          <w:color w:val="231F20"/>
          <w:spacing w:val="-15"/>
        </w:rPr>
        <w:t> </w:t>
      </w:r>
      <w:r>
        <w:rPr>
          <w:color w:val="231F20"/>
        </w:rPr>
        <w:t>France</w:t>
      </w:r>
      <w:r>
        <w:rPr>
          <w:color w:val="231F20"/>
          <w:spacing w:val="-15"/>
        </w:rPr>
        <w:t> </w:t>
      </w:r>
      <w:r>
        <w:rPr>
          <w:color w:val="231F20"/>
        </w:rPr>
        <w:t>fait-elle</w:t>
      </w:r>
      <w:r>
        <w:rPr>
          <w:color w:val="231F20"/>
          <w:spacing w:val="-15"/>
        </w:rPr>
        <w:t> </w:t>
      </w:r>
      <w:r>
        <w:rPr>
          <w:color w:val="231F20"/>
        </w:rPr>
        <w:t>payer</w:t>
      </w:r>
      <w:r>
        <w:rPr>
          <w:color w:val="231F20"/>
          <w:spacing w:val="-15"/>
        </w:rPr>
        <w:t> </w:t>
      </w:r>
      <w:r>
        <w:rPr>
          <w:color w:val="231F20"/>
        </w:rPr>
        <w:t>à</w:t>
      </w:r>
      <w:r>
        <w:rPr>
          <w:color w:val="231F20"/>
          <w:spacing w:val="-15"/>
        </w:rPr>
        <w:t> </w:t>
      </w:r>
      <w:r>
        <w:rPr>
          <w:color w:val="231F20"/>
        </w:rPr>
        <w:t>l’Afrique</w:t>
      </w:r>
      <w:r>
        <w:rPr>
          <w:color w:val="231F20"/>
          <w:spacing w:val="-15"/>
        </w:rPr>
        <w:t> </w:t>
      </w:r>
      <w:r>
        <w:rPr>
          <w:color w:val="231F20"/>
        </w:rPr>
        <w:t>noire</w:t>
      </w:r>
      <w:r>
        <w:rPr>
          <w:color w:val="231F20"/>
          <w:spacing w:val="-15"/>
        </w:rPr>
        <w:t> </w:t>
      </w:r>
      <w:r>
        <w:rPr>
          <w:color w:val="231F20"/>
        </w:rPr>
        <w:t>francophone</w:t>
      </w:r>
      <w:r>
        <w:rPr>
          <w:color w:val="231F20"/>
          <w:spacing w:val="-15"/>
        </w:rPr>
        <w:t> </w:t>
      </w:r>
      <w:r>
        <w:rPr>
          <w:color w:val="231F20"/>
        </w:rPr>
        <w:t>les</w:t>
      </w:r>
      <w:r>
        <w:rPr>
          <w:color w:val="231F20"/>
          <w:spacing w:val="-15"/>
        </w:rPr>
        <w:t> </w:t>
      </w:r>
      <w:r>
        <w:rPr>
          <w:color w:val="231F20"/>
        </w:rPr>
        <w:t>routes,</w:t>
      </w:r>
      <w:r>
        <w:rPr>
          <w:color w:val="231F20"/>
          <w:spacing w:val="-15"/>
        </w:rPr>
        <w:t> </w:t>
      </w:r>
      <w:r>
        <w:rPr>
          <w:color w:val="231F20"/>
        </w:rPr>
        <w:t>les ponts, les bâtiments administratifs, les écoles et autres infrastructures construites au temps de la colonisation ?</w:t>
      </w:r>
    </w:p>
    <w:p>
      <w:pPr>
        <w:pStyle w:val="BodyText"/>
        <w:spacing w:before="120"/>
        <w:ind w:right="107" w:firstLine="283"/>
      </w:pPr>
      <w:r>
        <w:rPr>
          <w:color w:val="231F20"/>
        </w:rPr>
        <w:t>En</w:t>
      </w:r>
      <w:r>
        <w:rPr>
          <w:color w:val="231F20"/>
          <w:spacing w:val="-11"/>
        </w:rPr>
        <w:t> </w:t>
      </w:r>
      <w:r>
        <w:rPr>
          <w:color w:val="231F20"/>
        </w:rPr>
        <w:t>1825,</w:t>
      </w:r>
      <w:r>
        <w:rPr>
          <w:color w:val="231F20"/>
          <w:spacing w:val="-11"/>
        </w:rPr>
        <w:t> </w:t>
      </w:r>
      <w:r>
        <w:rPr>
          <w:color w:val="231F20"/>
        </w:rPr>
        <w:t>la</w:t>
      </w:r>
      <w:r>
        <w:rPr>
          <w:color w:val="231F20"/>
          <w:spacing w:val="-11"/>
        </w:rPr>
        <w:t> </w:t>
      </w:r>
      <w:r>
        <w:rPr>
          <w:color w:val="231F20"/>
        </w:rPr>
        <w:t>France</w:t>
      </w:r>
      <w:r>
        <w:rPr>
          <w:color w:val="231F20"/>
          <w:spacing w:val="-11"/>
        </w:rPr>
        <w:t> </w:t>
      </w:r>
      <w:r>
        <w:rPr>
          <w:color w:val="231F20"/>
        </w:rPr>
        <w:t>a</w:t>
      </w:r>
      <w:r>
        <w:rPr>
          <w:color w:val="231F20"/>
          <w:spacing w:val="-11"/>
        </w:rPr>
        <w:t> </w:t>
      </w:r>
      <w:r>
        <w:rPr>
          <w:color w:val="231F20"/>
        </w:rPr>
        <w:t>fait</w:t>
      </w:r>
      <w:r>
        <w:rPr>
          <w:color w:val="231F20"/>
          <w:spacing w:val="-11"/>
        </w:rPr>
        <w:t> </w:t>
      </w:r>
      <w:r>
        <w:rPr>
          <w:color w:val="231F20"/>
        </w:rPr>
        <w:t>payer</w:t>
      </w:r>
      <w:r>
        <w:rPr>
          <w:color w:val="231F20"/>
          <w:spacing w:val="-11"/>
        </w:rPr>
        <w:t> </w:t>
      </w:r>
      <w:r>
        <w:rPr>
          <w:color w:val="231F20"/>
        </w:rPr>
        <w:t>à</w:t>
      </w:r>
      <w:r>
        <w:rPr>
          <w:color w:val="231F20"/>
          <w:spacing w:val="-9"/>
        </w:rPr>
        <w:t> </w:t>
      </w:r>
      <w:r>
        <w:rPr>
          <w:color w:val="231F20"/>
        </w:rPr>
        <w:t>Haïti,</w:t>
      </w:r>
      <w:r>
        <w:rPr>
          <w:color w:val="231F20"/>
          <w:spacing w:val="-11"/>
        </w:rPr>
        <w:t> </w:t>
      </w:r>
      <w:r>
        <w:rPr>
          <w:color w:val="231F20"/>
        </w:rPr>
        <w:t>à</w:t>
      </w:r>
      <w:r>
        <w:rPr>
          <w:color w:val="231F20"/>
          <w:spacing w:val="-10"/>
        </w:rPr>
        <w:t> </w:t>
      </w:r>
      <w:r>
        <w:rPr>
          <w:color w:val="231F20"/>
        </w:rPr>
        <w:t>prix</w:t>
      </w:r>
      <w:r>
        <w:rPr>
          <w:color w:val="231F20"/>
          <w:spacing w:val="-11"/>
        </w:rPr>
        <w:t> </w:t>
      </w:r>
      <w:r>
        <w:rPr>
          <w:color w:val="231F20"/>
        </w:rPr>
        <w:t>d’or,</w:t>
      </w:r>
      <w:r>
        <w:rPr>
          <w:color w:val="231F20"/>
          <w:spacing w:val="-13"/>
        </w:rPr>
        <w:t> </w:t>
      </w:r>
      <w:r>
        <w:rPr>
          <w:color w:val="231F20"/>
        </w:rPr>
        <w:t>son</w:t>
      </w:r>
      <w:r>
        <w:rPr>
          <w:color w:val="231F20"/>
          <w:spacing w:val="-11"/>
        </w:rPr>
        <w:t> </w:t>
      </w:r>
      <w:r>
        <w:rPr>
          <w:color w:val="231F20"/>
        </w:rPr>
        <w:t>indépendance et l’abolition de l’esclavage.</w:t>
      </w:r>
    </w:p>
    <w:p>
      <w:pPr>
        <w:pStyle w:val="BodyText"/>
        <w:spacing w:before="120"/>
        <w:ind w:right="105" w:firstLine="283"/>
      </w:pPr>
      <w:r>
        <w:rPr>
          <w:color w:val="231F20"/>
        </w:rPr>
        <w:t>Proclamée le 1er janvier 1804 après une longue guerre contre la France,</w:t>
      </w:r>
      <w:r>
        <w:rPr>
          <w:color w:val="231F20"/>
          <w:spacing w:val="-15"/>
        </w:rPr>
        <w:t> </w:t>
      </w:r>
      <w:r>
        <w:rPr>
          <w:color w:val="231F20"/>
        </w:rPr>
        <w:t>c’est</w:t>
      </w:r>
      <w:r>
        <w:rPr>
          <w:color w:val="231F20"/>
          <w:spacing w:val="-15"/>
        </w:rPr>
        <w:t> </w:t>
      </w:r>
      <w:r>
        <w:rPr>
          <w:color w:val="231F20"/>
        </w:rPr>
        <w:t>seulement</w:t>
      </w:r>
      <w:r>
        <w:rPr>
          <w:color w:val="231F20"/>
          <w:spacing w:val="-15"/>
        </w:rPr>
        <w:t> </w:t>
      </w:r>
      <w:r>
        <w:rPr>
          <w:color w:val="231F20"/>
        </w:rPr>
        <w:t>en</w:t>
      </w:r>
      <w:r>
        <w:rPr>
          <w:color w:val="231F20"/>
          <w:spacing w:val="-15"/>
        </w:rPr>
        <w:t> </w:t>
      </w:r>
      <w:r>
        <w:rPr>
          <w:color w:val="231F20"/>
        </w:rPr>
        <w:t>1825,</w:t>
      </w:r>
      <w:r>
        <w:rPr>
          <w:color w:val="231F20"/>
          <w:spacing w:val="-15"/>
        </w:rPr>
        <w:t> </w:t>
      </w:r>
      <w:r>
        <w:rPr>
          <w:color w:val="231F20"/>
        </w:rPr>
        <w:t>le</w:t>
      </w:r>
      <w:r>
        <w:rPr>
          <w:color w:val="231F20"/>
          <w:spacing w:val="-15"/>
        </w:rPr>
        <w:t> </w:t>
      </w:r>
      <w:r>
        <w:rPr>
          <w:color w:val="231F20"/>
        </w:rPr>
        <w:t>17</w:t>
      </w:r>
      <w:r>
        <w:rPr>
          <w:color w:val="231F20"/>
          <w:spacing w:val="-15"/>
        </w:rPr>
        <w:t> </w:t>
      </w:r>
      <w:r>
        <w:rPr>
          <w:color w:val="231F20"/>
        </w:rPr>
        <w:t>avril</w:t>
      </w:r>
      <w:r>
        <w:rPr>
          <w:color w:val="231F20"/>
          <w:spacing w:val="-15"/>
        </w:rPr>
        <w:t> </w:t>
      </w:r>
      <w:r>
        <w:rPr>
          <w:color w:val="231F20"/>
        </w:rPr>
        <w:t>que</w:t>
      </w:r>
      <w:r>
        <w:rPr>
          <w:color w:val="231F20"/>
          <w:spacing w:val="-15"/>
        </w:rPr>
        <w:t> </w:t>
      </w:r>
      <w:r>
        <w:rPr>
          <w:color w:val="231F20"/>
        </w:rPr>
        <w:t>dans</w:t>
      </w:r>
      <w:r>
        <w:rPr>
          <w:color w:val="231F20"/>
          <w:spacing w:val="-15"/>
        </w:rPr>
        <w:t> </w:t>
      </w:r>
      <w:r>
        <w:rPr>
          <w:color w:val="231F20"/>
        </w:rPr>
        <w:t>une</w:t>
      </w:r>
      <w:r>
        <w:rPr>
          <w:color w:val="231F20"/>
          <w:spacing w:val="-15"/>
        </w:rPr>
        <w:t> </w:t>
      </w:r>
      <w:r>
        <w:rPr>
          <w:color w:val="231F20"/>
        </w:rPr>
        <w:t>ordonnance</w:t>
      </w:r>
      <w:r>
        <w:rPr>
          <w:color w:val="231F20"/>
          <w:spacing w:val="-15"/>
        </w:rPr>
        <w:t> </w:t>
      </w:r>
      <w:r>
        <w:rPr>
          <w:color w:val="231F20"/>
        </w:rPr>
        <w:t>de Charles X, que la France « concède » l'indépendance</w:t>
      </w:r>
      <w:r>
        <w:rPr>
          <w:color w:val="231F20"/>
          <w:spacing w:val="-13"/>
        </w:rPr>
        <w:t> </w:t>
      </w:r>
      <w:r>
        <w:rPr>
          <w:color w:val="231F20"/>
        </w:rPr>
        <w:t>pleine à Haïti, </w:t>
      </w:r>
      <w:r>
        <w:rPr>
          <w:color w:val="231F20"/>
          <w:spacing w:val="-4"/>
        </w:rPr>
        <w:t>moyennant</w:t>
      </w:r>
      <w:r>
        <w:rPr>
          <w:color w:val="231F20"/>
          <w:spacing w:val="-7"/>
        </w:rPr>
        <w:t> </w:t>
      </w:r>
      <w:r>
        <w:rPr>
          <w:color w:val="231F20"/>
          <w:spacing w:val="-4"/>
        </w:rPr>
        <w:t>le paiement d'une indemnité</w:t>
      </w:r>
      <w:r>
        <w:rPr>
          <w:color w:val="231F20"/>
          <w:spacing w:val="-8"/>
        </w:rPr>
        <w:t> </w:t>
      </w:r>
      <w:r>
        <w:rPr>
          <w:color w:val="231F20"/>
          <w:spacing w:val="-4"/>
        </w:rPr>
        <w:t>de</w:t>
      </w:r>
      <w:r>
        <w:rPr>
          <w:color w:val="231F20"/>
          <w:spacing w:val="-8"/>
        </w:rPr>
        <w:t> </w:t>
      </w:r>
      <w:r>
        <w:rPr>
          <w:color w:val="231F20"/>
          <w:spacing w:val="-4"/>
        </w:rPr>
        <w:t>150</w:t>
      </w:r>
      <w:r>
        <w:rPr>
          <w:color w:val="231F20"/>
          <w:spacing w:val="-7"/>
        </w:rPr>
        <w:t> </w:t>
      </w:r>
      <w:r>
        <w:rPr>
          <w:color w:val="231F20"/>
          <w:spacing w:val="-4"/>
        </w:rPr>
        <w:t>millions</w:t>
      </w:r>
      <w:r>
        <w:rPr>
          <w:color w:val="231F20"/>
          <w:spacing w:val="-7"/>
        </w:rPr>
        <w:t> </w:t>
      </w:r>
      <w:r>
        <w:rPr>
          <w:color w:val="231F20"/>
          <w:spacing w:val="-4"/>
        </w:rPr>
        <w:t>de francs</w:t>
      </w:r>
      <w:r>
        <w:rPr>
          <w:color w:val="231F20"/>
          <w:spacing w:val="-6"/>
        </w:rPr>
        <w:t> </w:t>
      </w:r>
      <w:r>
        <w:rPr>
          <w:color w:val="231F20"/>
          <w:spacing w:val="-4"/>
        </w:rPr>
        <w:t>or</w:t>
      </w:r>
      <w:r>
        <w:rPr>
          <w:color w:val="231F20"/>
          <w:spacing w:val="-8"/>
        </w:rPr>
        <w:t> </w:t>
      </w:r>
      <w:r>
        <w:rPr>
          <w:color w:val="231F20"/>
          <w:spacing w:val="-4"/>
        </w:rPr>
        <w:t>pour </w:t>
      </w:r>
      <w:r>
        <w:rPr>
          <w:color w:val="231F20"/>
        </w:rPr>
        <w:t>dédommager</w:t>
      </w:r>
      <w:r>
        <w:rPr>
          <w:color w:val="231F20"/>
          <w:spacing w:val="-11"/>
        </w:rPr>
        <w:t> </w:t>
      </w:r>
      <w:r>
        <w:rPr>
          <w:color w:val="231F20"/>
        </w:rPr>
        <w:t>les</w:t>
      </w:r>
      <w:r>
        <w:rPr>
          <w:color w:val="231F20"/>
          <w:spacing w:val="-11"/>
        </w:rPr>
        <w:t> </w:t>
      </w:r>
      <w:r>
        <w:rPr>
          <w:color w:val="231F20"/>
        </w:rPr>
        <w:t>anciens</w:t>
      </w:r>
      <w:r>
        <w:rPr>
          <w:color w:val="231F20"/>
          <w:spacing w:val="-13"/>
        </w:rPr>
        <w:t> </w:t>
      </w:r>
      <w:r>
        <w:rPr>
          <w:color w:val="231F20"/>
        </w:rPr>
        <w:t>colons</w:t>
      </w:r>
      <w:r>
        <w:rPr>
          <w:color w:val="231F20"/>
          <w:spacing w:val="-12"/>
        </w:rPr>
        <w:t> </w:t>
      </w:r>
      <w:r>
        <w:rPr>
          <w:color w:val="231F20"/>
        </w:rPr>
        <w:t>et</w:t>
      </w:r>
      <w:r>
        <w:rPr>
          <w:color w:val="231F20"/>
          <w:spacing w:val="-13"/>
        </w:rPr>
        <w:t> </w:t>
      </w:r>
      <w:r>
        <w:rPr>
          <w:color w:val="231F20"/>
        </w:rPr>
        <w:t>l'assurance</w:t>
      </w:r>
      <w:r>
        <w:rPr>
          <w:color w:val="231F20"/>
          <w:spacing w:val="-11"/>
        </w:rPr>
        <w:t> </w:t>
      </w:r>
      <w:r>
        <w:rPr>
          <w:color w:val="231F20"/>
        </w:rPr>
        <w:t>d'échanges</w:t>
      </w:r>
      <w:r>
        <w:rPr>
          <w:color w:val="231F20"/>
          <w:spacing w:val="-9"/>
        </w:rPr>
        <w:t> </w:t>
      </w:r>
      <w:r>
        <w:rPr>
          <w:color w:val="231F20"/>
        </w:rPr>
        <w:t>commerciaux privilégiés en faveur de la France.</w:t>
      </w:r>
    </w:p>
    <w:p>
      <w:pPr>
        <w:pStyle w:val="BodyText"/>
        <w:spacing w:before="120"/>
        <w:ind w:right="103" w:firstLine="283"/>
      </w:pPr>
      <w:r>
        <w:rPr>
          <w:color w:val="231F20"/>
        </w:rPr>
        <w:t>La</w:t>
      </w:r>
      <w:r>
        <w:rPr>
          <w:color w:val="231F20"/>
          <w:spacing w:val="-11"/>
        </w:rPr>
        <w:t> </w:t>
      </w:r>
      <w:r>
        <w:rPr>
          <w:color w:val="231F20"/>
        </w:rPr>
        <w:t>somme</w:t>
      </w:r>
      <w:r>
        <w:rPr>
          <w:color w:val="231F20"/>
          <w:spacing w:val="-11"/>
        </w:rPr>
        <w:t> </w:t>
      </w:r>
      <w:r>
        <w:rPr>
          <w:color w:val="231F20"/>
        </w:rPr>
        <w:t>requise</w:t>
      </w:r>
      <w:r>
        <w:rPr>
          <w:color w:val="231F20"/>
          <w:spacing w:val="-11"/>
        </w:rPr>
        <w:t> </w:t>
      </w:r>
      <w:r>
        <w:rPr>
          <w:color w:val="231F20"/>
        </w:rPr>
        <w:t>dépasse</w:t>
      </w:r>
      <w:r>
        <w:rPr>
          <w:color w:val="231F20"/>
          <w:spacing w:val="-11"/>
        </w:rPr>
        <w:t> </w:t>
      </w:r>
      <w:r>
        <w:rPr>
          <w:color w:val="231F20"/>
        </w:rPr>
        <w:t>de</w:t>
      </w:r>
      <w:r>
        <w:rPr>
          <w:color w:val="231F20"/>
          <w:spacing w:val="-11"/>
        </w:rPr>
        <w:t> </w:t>
      </w:r>
      <w:r>
        <w:rPr>
          <w:color w:val="231F20"/>
        </w:rPr>
        <w:t>loin</w:t>
      </w:r>
      <w:r>
        <w:rPr>
          <w:color w:val="231F20"/>
          <w:spacing w:val="-12"/>
        </w:rPr>
        <w:t> </w:t>
      </w:r>
      <w:r>
        <w:rPr>
          <w:color w:val="231F20"/>
        </w:rPr>
        <w:t>la</w:t>
      </w:r>
      <w:r>
        <w:rPr>
          <w:color w:val="231F20"/>
          <w:spacing w:val="-11"/>
        </w:rPr>
        <w:t> </w:t>
      </w:r>
      <w:r>
        <w:rPr>
          <w:color w:val="231F20"/>
        </w:rPr>
        <w:t>réalité</w:t>
      </w:r>
      <w:r>
        <w:rPr>
          <w:color w:val="231F20"/>
          <w:spacing w:val="-11"/>
        </w:rPr>
        <w:t> </w:t>
      </w:r>
      <w:r>
        <w:rPr>
          <w:color w:val="231F20"/>
        </w:rPr>
        <w:t>financière</w:t>
      </w:r>
      <w:r>
        <w:rPr>
          <w:color w:val="231F20"/>
          <w:spacing w:val="-11"/>
        </w:rPr>
        <w:t> </w:t>
      </w:r>
      <w:r>
        <w:rPr>
          <w:color w:val="231F20"/>
        </w:rPr>
        <w:t>du</w:t>
      </w:r>
      <w:r>
        <w:rPr>
          <w:color w:val="231F20"/>
          <w:spacing w:val="-11"/>
        </w:rPr>
        <w:t> </w:t>
      </w:r>
      <w:r>
        <w:rPr>
          <w:color w:val="231F20"/>
        </w:rPr>
        <w:t>pays,</w:t>
      </w:r>
      <w:r>
        <w:rPr>
          <w:color w:val="231F20"/>
          <w:spacing w:val="-11"/>
        </w:rPr>
        <w:t> </w:t>
      </w:r>
      <w:r>
        <w:rPr>
          <w:color w:val="231F20"/>
        </w:rPr>
        <w:t>ruiné </w:t>
      </w:r>
      <w:r>
        <w:rPr>
          <w:color w:val="231F20"/>
          <w:spacing w:val="-4"/>
        </w:rPr>
        <w:t>par</w:t>
      </w:r>
      <w:r>
        <w:rPr>
          <w:color w:val="231F20"/>
          <w:spacing w:val="-10"/>
        </w:rPr>
        <w:t> </w:t>
      </w:r>
      <w:r>
        <w:rPr>
          <w:color w:val="231F20"/>
          <w:spacing w:val="-4"/>
        </w:rPr>
        <w:t>des</w:t>
      </w:r>
      <w:r>
        <w:rPr>
          <w:color w:val="231F20"/>
          <w:spacing w:val="-9"/>
        </w:rPr>
        <w:t> </w:t>
      </w:r>
      <w:r>
        <w:rPr>
          <w:color w:val="231F20"/>
          <w:spacing w:val="-4"/>
        </w:rPr>
        <w:t>années</w:t>
      </w:r>
      <w:r>
        <w:rPr>
          <w:color w:val="231F20"/>
          <w:spacing w:val="-9"/>
        </w:rPr>
        <w:t> </w:t>
      </w:r>
      <w:r>
        <w:rPr>
          <w:color w:val="231F20"/>
          <w:spacing w:val="-4"/>
        </w:rPr>
        <w:t>de</w:t>
      </w:r>
      <w:r>
        <w:rPr>
          <w:color w:val="231F20"/>
          <w:spacing w:val="-9"/>
        </w:rPr>
        <w:t> </w:t>
      </w:r>
      <w:r>
        <w:rPr>
          <w:color w:val="231F20"/>
          <w:spacing w:val="-4"/>
        </w:rPr>
        <w:t>guerre.</w:t>
      </w:r>
      <w:r>
        <w:rPr>
          <w:color w:val="231F20"/>
          <w:spacing w:val="-9"/>
        </w:rPr>
        <w:t> </w:t>
      </w:r>
      <w:r>
        <w:rPr>
          <w:color w:val="231F20"/>
          <w:spacing w:val="-4"/>
        </w:rPr>
        <w:t>Paris</w:t>
      </w:r>
      <w:r>
        <w:rPr>
          <w:color w:val="231F20"/>
          <w:spacing w:val="-9"/>
        </w:rPr>
        <w:t> </w:t>
      </w:r>
      <w:r>
        <w:rPr>
          <w:color w:val="231F20"/>
          <w:spacing w:val="-4"/>
        </w:rPr>
        <w:t>propose</w:t>
      </w:r>
      <w:r>
        <w:rPr>
          <w:color w:val="231F20"/>
          <w:spacing w:val="-9"/>
        </w:rPr>
        <w:t> </w:t>
      </w:r>
      <w:r>
        <w:rPr>
          <w:color w:val="231F20"/>
          <w:spacing w:val="-4"/>
        </w:rPr>
        <w:t>son</w:t>
      </w:r>
      <w:r>
        <w:rPr>
          <w:color w:val="231F20"/>
          <w:spacing w:val="-9"/>
        </w:rPr>
        <w:t> </w:t>
      </w:r>
      <w:r>
        <w:rPr>
          <w:color w:val="231F20"/>
          <w:spacing w:val="-4"/>
        </w:rPr>
        <w:t>aide</w:t>
      </w:r>
      <w:r>
        <w:rPr>
          <w:color w:val="231F20"/>
          <w:spacing w:val="-9"/>
        </w:rPr>
        <w:t> </w:t>
      </w:r>
      <w:r>
        <w:rPr>
          <w:color w:val="231F20"/>
          <w:spacing w:val="-4"/>
        </w:rPr>
        <w:t>au</w:t>
      </w:r>
      <w:r>
        <w:rPr>
          <w:color w:val="231F20"/>
          <w:spacing w:val="-11"/>
        </w:rPr>
        <w:t> </w:t>
      </w:r>
      <w:r>
        <w:rPr>
          <w:color w:val="231F20"/>
          <w:spacing w:val="-4"/>
        </w:rPr>
        <w:t>Gouvernement</w:t>
      </w:r>
      <w:r>
        <w:rPr>
          <w:color w:val="231F20"/>
          <w:spacing w:val="-8"/>
        </w:rPr>
        <w:t> </w:t>
      </w:r>
      <w:r>
        <w:rPr>
          <w:color w:val="231F20"/>
          <w:spacing w:val="-4"/>
        </w:rPr>
        <w:t>haïtien </w:t>
      </w:r>
      <w:r>
        <w:rPr>
          <w:color w:val="231F20"/>
        </w:rPr>
        <w:t>pour trouver en France un emprunt.</w:t>
      </w:r>
      <w:r>
        <w:rPr>
          <w:color w:val="231F20"/>
          <w:spacing w:val="-11"/>
        </w:rPr>
        <w:t> </w:t>
      </w:r>
      <w:r>
        <w:rPr>
          <w:color w:val="231F20"/>
        </w:rPr>
        <w:t>Pour amener les Haïtiens à accepter,</w:t>
      </w:r>
      <w:r>
        <w:rPr>
          <w:color w:val="231F20"/>
          <w:spacing w:val="-12"/>
        </w:rPr>
        <w:t> </w:t>
      </w:r>
      <w:r>
        <w:rPr>
          <w:color w:val="231F20"/>
        </w:rPr>
        <w:t>la</w:t>
      </w:r>
      <w:r>
        <w:rPr>
          <w:color w:val="231F20"/>
          <w:spacing w:val="80"/>
        </w:rPr>
        <w:t> </w:t>
      </w:r>
      <w:r>
        <w:rPr>
          <w:color w:val="231F20"/>
        </w:rPr>
        <w:t>France</w:t>
      </w:r>
      <w:r>
        <w:rPr>
          <w:color w:val="231F20"/>
          <w:spacing w:val="80"/>
        </w:rPr>
        <w:t> </w:t>
      </w:r>
      <w:r>
        <w:rPr>
          <w:color w:val="231F20"/>
        </w:rPr>
        <w:t>fait</w:t>
      </w:r>
      <w:r>
        <w:rPr>
          <w:color w:val="231F20"/>
          <w:spacing w:val="80"/>
        </w:rPr>
        <w:t> </w:t>
      </w:r>
      <w:r>
        <w:rPr>
          <w:color w:val="231F20"/>
        </w:rPr>
        <w:t>escorter</w:t>
      </w:r>
      <w:r>
        <w:rPr>
          <w:color w:val="231F20"/>
          <w:spacing w:val="80"/>
        </w:rPr>
        <w:t> </w:t>
      </w:r>
      <w:r>
        <w:rPr>
          <w:color w:val="231F20"/>
        </w:rPr>
        <w:t>l'ordonnance</w:t>
      </w:r>
      <w:r>
        <w:rPr>
          <w:color w:val="231F20"/>
          <w:spacing w:val="80"/>
        </w:rPr>
        <w:t> </w:t>
      </w:r>
      <w:r>
        <w:rPr>
          <w:color w:val="231F20"/>
        </w:rPr>
        <w:t>par</w:t>
      </w:r>
      <w:r>
        <w:rPr>
          <w:color w:val="231F20"/>
          <w:spacing w:val="80"/>
        </w:rPr>
        <w:t> </w:t>
      </w:r>
      <w:r>
        <w:rPr>
          <w:color w:val="231F20"/>
        </w:rPr>
        <w:t>une</w:t>
      </w:r>
      <w:r>
        <w:rPr>
          <w:color w:val="231F20"/>
          <w:spacing w:val="80"/>
        </w:rPr>
        <w:t> </w:t>
      </w:r>
      <w:r>
        <w:rPr>
          <w:color w:val="231F20"/>
        </w:rPr>
        <w:t>armada</w:t>
      </w:r>
      <w:r>
        <w:rPr>
          <w:color w:val="231F20"/>
          <w:spacing w:val="80"/>
        </w:rPr>
        <w:t> </w:t>
      </w:r>
      <w:r>
        <w:rPr>
          <w:color w:val="231F20"/>
        </w:rPr>
        <w:t>de </w:t>
      </w:r>
      <w:r>
        <w:rPr>
          <w:color w:val="231F20"/>
          <w:spacing w:val="-2"/>
        </w:rPr>
        <w:t>14</w:t>
      </w:r>
      <w:r>
        <w:rPr>
          <w:color w:val="231F20"/>
          <w:spacing w:val="-9"/>
        </w:rPr>
        <w:t> </w:t>
      </w:r>
      <w:r>
        <w:rPr>
          <w:color w:val="231F20"/>
          <w:spacing w:val="-2"/>
        </w:rPr>
        <w:t>bâtiments</w:t>
      </w:r>
      <w:r>
        <w:rPr>
          <w:color w:val="231F20"/>
          <w:spacing w:val="-13"/>
        </w:rPr>
        <w:t> </w:t>
      </w:r>
      <w:r>
        <w:rPr>
          <w:color w:val="231F20"/>
          <w:spacing w:val="-2"/>
        </w:rPr>
        <w:t>de</w:t>
      </w:r>
      <w:r>
        <w:rPr>
          <w:color w:val="231F20"/>
          <w:spacing w:val="-13"/>
        </w:rPr>
        <w:t> </w:t>
      </w:r>
      <w:r>
        <w:rPr>
          <w:color w:val="231F20"/>
          <w:spacing w:val="-2"/>
        </w:rPr>
        <w:t>guerre</w:t>
      </w:r>
      <w:r>
        <w:rPr>
          <w:color w:val="231F20"/>
          <w:spacing w:val="-13"/>
        </w:rPr>
        <w:t> </w:t>
      </w:r>
      <w:r>
        <w:rPr>
          <w:color w:val="231F20"/>
          <w:spacing w:val="-2"/>
        </w:rPr>
        <w:t>armés</w:t>
      </w:r>
      <w:r>
        <w:rPr>
          <w:color w:val="231F20"/>
          <w:spacing w:val="-13"/>
        </w:rPr>
        <w:t> </w:t>
      </w:r>
      <w:r>
        <w:rPr>
          <w:color w:val="231F20"/>
          <w:spacing w:val="-2"/>
        </w:rPr>
        <w:t>de</w:t>
      </w:r>
      <w:r>
        <w:rPr>
          <w:color w:val="231F20"/>
          <w:spacing w:val="-13"/>
        </w:rPr>
        <w:t> </w:t>
      </w:r>
      <w:r>
        <w:rPr>
          <w:color w:val="231F20"/>
          <w:spacing w:val="-2"/>
        </w:rPr>
        <w:t>528</w:t>
      </w:r>
      <w:r>
        <w:rPr>
          <w:color w:val="231F20"/>
          <w:spacing w:val="-9"/>
        </w:rPr>
        <w:t> </w:t>
      </w:r>
      <w:r>
        <w:rPr>
          <w:color w:val="231F20"/>
          <w:spacing w:val="-2"/>
        </w:rPr>
        <w:t>canons.</w:t>
      </w:r>
      <w:r>
        <w:rPr>
          <w:color w:val="231F20"/>
          <w:spacing w:val="-13"/>
        </w:rPr>
        <w:t> </w:t>
      </w:r>
      <w:r>
        <w:rPr>
          <w:color w:val="231F20"/>
          <w:spacing w:val="-2"/>
        </w:rPr>
        <w:t>En</w:t>
      </w:r>
      <w:r>
        <w:rPr>
          <w:color w:val="231F20"/>
          <w:spacing w:val="-13"/>
        </w:rPr>
        <w:t> </w:t>
      </w:r>
      <w:r>
        <w:rPr>
          <w:color w:val="231F20"/>
          <w:spacing w:val="-2"/>
        </w:rPr>
        <w:t>cas</w:t>
      </w:r>
      <w:r>
        <w:rPr>
          <w:color w:val="231F20"/>
          <w:spacing w:val="-13"/>
        </w:rPr>
        <w:t> </w:t>
      </w:r>
      <w:r>
        <w:rPr>
          <w:color w:val="231F20"/>
          <w:spacing w:val="-2"/>
        </w:rPr>
        <w:t>de</w:t>
      </w:r>
      <w:r>
        <w:rPr>
          <w:color w:val="231F20"/>
          <w:spacing w:val="-13"/>
        </w:rPr>
        <w:t> </w:t>
      </w:r>
      <w:r>
        <w:rPr>
          <w:color w:val="231F20"/>
          <w:spacing w:val="-2"/>
        </w:rPr>
        <w:t>refus,</w:t>
      </w:r>
      <w:r>
        <w:rPr>
          <w:color w:val="231F20"/>
          <w:spacing w:val="-13"/>
        </w:rPr>
        <w:t> </w:t>
      </w:r>
      <w:r>
        <w:rPr>
          <w:color w:val="231F20"/>
          <w:spacing w:val="-2"/>
        </w:rPr>
        <w:t>Haïti</w:t>
      </w:r>
      <w:r>
        <w:rPr>
          <w:color w:val="231F20"/>
          <w:spacing w:val="-13"/>
        </w:rPr>
        <w:t> </w:t>
      </w:r>
      <w:r>
        <w:rPr>
          <w:color w:val="231F20"/>
          <w:spacing w:val="-2"/>
        </w:rPr>
        <w:t>sera</w:t>
      </w:r>
      <w:r>
        <w:rPr>
          <w:color w:val="231F20"/>
          <w:spacing w:val="-13"/>
        </w:rPr>
        <w:t> </w:t>
      </w:r>
      <w:r>
        <w:rPr>
          <w:color w:val="231F20"/>
          <w:spacing w:val="-2"/>
        </w:rPr>
        <w:t>« </w:t>
      </w:r>
      <w:r>
        <w:rPr>
          <w:color w:val="231F20"/>
        </w:rPr>
        <w:t>traité en ennemi » par la France.</w:t>
      </w:r>
    </w:p>
    <w:p>
      <w:pPr>
        <w:pStyle w:val="BodyText"/>
        <w:spacing w:before="121"/>
        <w:ind w:right="104" w:firstLine="283"/>
      </w:pPr>
      <w:r>
        <w:rPr>
          <w:color w:val="231F20"/>
        </w:rPr>
        <w:t>Il</w:t>
      </w:r>
      <w:r>
        <w:rPr>
          <w:color w:val="231F20"/>
          <w:spacing w:val="-8"/>
        </w:rPr>
        <w:t> </w:t>
      </w:r>
      <w:r>
        <w:rPr>
          <w:color w:val="231F20"/>
        </w:rPr>
        <w:t>est</w:t>
      </w:r>
      <w:r>
        <w:rPr>
          <w:color w:val="231F20"/>
          <w:spacing w:val="-7"/>
        </w:rPr>
        <w:t> </w:t>
      </w:r>
      <w:r>
        <w:rPr>
          <w:color w:val="231F20"/>
        </w:rPr>
        <w:t>convenu</w:t>
      </w:r>
      <w:r>
        <w:rPr>
          <w:color w:val="231F20"/>
          <w:spacing w:val="-10"/>
        </w:rPr>
        <w:t> </w:t>
      </w:r>
      <w:r>
        <w:rPr>
          <w:color w:val="231F20"/>
        </w:rPr>
        <w:t>de</w:t>
      </w:r>
      <w:r>
        <w:rPr>
          <w:color w:val="231F20"/>
          <w:spacing w:val="-8"/>
        </w:rPr>
        <w:t> </w:t>
      </w:r>
      <w:r>
        <w:rPr>
          <w:color w:val="231F20"/>
        </w:rPr>
        <w:t>régler,</w:t>
      </w:r>
      <w:r>
        <w:rPr>
          <w:color w:val="231F20"/>
          <w:spacing w:val="-11"/>
        </w:rPr>
        <w:t> </w:t>
      </w:r>
      <w:r>
        <w:rPr>
          <w:color w:val="231F20"/>
        </w:rPr>
        <w:t>en</w:t>
      </w:r>
      <w:r>
        <w:rPr>
          <w:color w:val="231F20"/>
          <w:spacing w:val="-8"/>
        </w:rPr>
        <w:t> </w:t>
      </w:r>
      <w:r>
        <w:rPr>
          <w:color w:val="231F20"/>
        </w:rPr>
        <w:t>cinq</w:t>
      </w:r>
      <w:r>
        <w:rPr>
          <w:color w:val="231F20"/>
          <w:spacing w:val="-10"/>
        </w:rPr>
        <w:t> </w:t>
      </w:r>
      <w:r>
        <w:rPr>
          <w:color w:val="231F20"/>
        </w:rPr>
        <w:t>annuités</w:t>
      </w:r>
      <w:r>
        <w:rPr>
          <w:color w:val="231F20"/>
          <w:spacing w:val="-10"/>
        </w:rPr>
        <w:t> </w:t>
      </w:r>
      <w:r>
        <w:rPr>
          <w:color w:val="231F20"/>
        </w:rPr>
        <w:t>de</w:t>
      </w:r>
      <w:r>
        <w:rPr>
          <w:color w:val="231F20"/>
          <w:spacing w:val="-8"/>
        </w:rPr>
        <w:t> </w:t>
      </w:r>
      <w:r>
        <w:rPr>
          <w:color w:val="231F20"/>
        </w:rPr>
        <w:t>30</w:t>
      </w:r>
      <w:r>
        <w:rPr>
          <w:color w:val="231F20"/>
          <w:spacing w:val="-15"/>
        </w:rPr>
        <w:t> </w:t>
      </w:r>
      <w:r>
        <w:rPr>
          <w:color w:val="231F20"/>
        </w:rPr>
        <w:t>millions,</w:t>
      </w:r>
      <w:r>
        <w:rPr>
          <w:color w:val="231F20"/>
          <w:spacing w:val="-10"/>
        </w:rPr>
        <w:t> </w:t>
      </w:r>
      <w:r>
        <w:rPr>
          <w:color w:val="231F20"/>
        </w:rPr>
        <w:t>l’indemnité doublée</w:t>
      </w:r>
      <w:r>
        <w:rPr>
          <w:color w:val="231F20"/>
          <w:spacing w:val="-6"/>
        </w:rPr>
        <w:t> </w:t>
      </w:r>
      <w:r>
        <w:rPr>
          <w:color w:val="231F20"/>
        </w:rPr>
        <w:t>d’une</w:t>
      </w:r>
      <w:r>
        <w:rPr>
          <w:color w:val="231F20"/>
          <w:spacing w:val="-6"/>
        </w:rPr>
        <w:t> </w:t>
      </w:r>
      <w:r>
        <w:rPr>
          <w:color w:val="231F20"/>
        </w:rPr>
        <w:t>remise</w:t>
      </w:r>
      <w:r>
        <w:rPr>
          <w:color w:val="231F20"/>
          <w:spacing w:val="-3"/>
        </w:rPr>
        <w:t> </w:t>
      </w:r>
      <w:r>
        <w:rPr>
          <w:color w:val="231F20"/>
        </w:rPr>
        <w:t>de</w:t>
      </w:r>
      <w:r>
        <w:rPr>
          <w:color w:val="231F20"/>
          <w:spacing w:val="-8"/>
        </w:rPr>
        <w:t> </w:t>
      </w:r>
      <w:r>
        <w:rPr>
          <w:color w:val="231F20"/>
        </w:rPr>
        <w:t>50</w:t>
      </w:r>
      <w:r>
        <w:rPr>
          <w:color w:val="231F20"/>
          <w:spacing w:val="-3"/>
        </w:rPr>
        <w:t> </w:t>
      </w:r>
      <w:r>
        <w:rPr>
          <w:color w:val="231F20"/>
        </w:rPr>
        <w:t>%</w:t>
      </w:r>
      <w:r>
        <w:rPr>
          <w:color w:val="231F20"/>
          <w:spacing w:val="-6"/>
        </w:rPr>
        <w:t> </w:t>
      </w:r>
      <w:r>
        <w:rPr>
          <w:color w:val="231F20"/>
        </w:rPr>
        <w:t>sur</w:t>
      </w:r>
      <w:r>
        <w:rPr>
          <w:color w:val="231F20"/>
          <w:spacing w:val="-6"/>
        </w:rPr>
        <w:t> </w:t>
      </w:r>
      <w:r>
        <w:rPr>
          <w:color w:val="231F20"/>
        </w:rPr>
        <w:t>les</w:t>
      </w:r>
      <w:r>
        <w:rPr>
          <w:color w:val="231F20"/>
          <w:spacing w:val="-6"/>
        </w:rPr>
        <w:t> </w:t>
      </w:r>
      <w:r>
        <w:rPr>
          <w:color w:val="231F20"/>
        </w:rPr>
        <w:t>droits</w:t>
      </w:r>
      <w:r>
        <w:rPr>
          <w:color w:val="231F20"/>
          <w:spacing w:val="-5"/>
        </w:rPr>
        <w:t> </w:t>
      </w:r>
      <w:r>
        <w:rPr>
          <w:color w:val="231F20"/>
        </w:rPr>
        <w:t>de</w:t>
      </w:r>
      <w:r>
        <w:rPr>
          <w:color w:val="231F20"/>
          <w:spacing w:val="-3"/>
        </w:rPr>
        <w:t> </w:t>
      </w:r>
      <w:r>
        <w:rPr>
          <w:color w:val="231F20"/>
        </w:rPr>
        <w:t>douane</w:t>
      </w:r>
      <w:r>
        <w:rPr>
          <w:color w:val="231F20"/>
          <w:spacing w:val="-3"/>
        </w:rPr>
        <w:t> </w:t>
      </w:r>
      <w:r>
        <w:rPr>
          <w:color w:val="231F20"/>
        </w:rPr>
        <w:t>pour</w:t>
      </w:r>
      <w:r>
        <w:rPr>
          <w:color w:val="231F20"/>
          <w:spacing w:val="-6"/>
        </w:rPr>
        <w:t> </w:t>
      </w:r>
      <w:r>
        <w:rPr>
          <w:color w:val="231F20"/>
        </w:rPr>
        <w:t>tout</w:t>
      </w:r>
      <w:r>
        <w:rPr>
          <w:color w:val="231F20"/>
          <w:spacing w:val="-4"/>
        </w:rPr>
        <w:t> </w:t>
      </w:r>
      <w:r>
        <w:rPr>
          <w:color w:val="231F20"/>
        </w:rPr>
        <w:t>navire battant pavillon français. Cette somme de 150</w:t>
      </w:r>
      <w:r>
        <w:rPr>
          <w:color w:val="231F20"/>
          <w:spacing w:val="-14"/>
        </w:rPr>
        <w:t> </w:t>
      </w:r>
      <w:r>
        <w:rPr>
          <w:color w:val="231F20"/>
        </w:rPr>
        <w:t>millions de franc-or représente</w:t>
      </w:r>
      <w:r>
        <w:rPr>
          <w:color w:val="231F20"/>
          <w:spacing w:val="-8"/>
        </w:rPr>
        <w:t> </w:t>
      </w:r>
      <w:r>
        <w:rPr>
          <w:color w:val="231F20"/>
        </w:rPr>
        <w:t>en</w:t>
      </w:r>
      <w:r>
        <w:rPr>
          <w:color w:val="231F20"/>
          <w:spacing w:val="-10"/>
        </w:rPr>
        <w:t> </w:t>
      </w:r>
      <w:r>
        <w:rPr>
          <w:color w:val="231F20"/>
        </w:rPr>
        <w:t>fait</w:t>
      </w:r>
      <w:r>
        <w:rPr>
          <w:color w:val="231F20"/>
          <w:spacing w:val="-9"/>
        </w:rPr>
        <w:t> </w:t>
      </w:r>
      <w:r>
        <w:rPr>
          <w:color w:val="231F20"/>
        </w:rPr>
        <w:t>l’équivalent</w:t>
      </w:r>
      <w:r>
        <w:rPr>
          <w:color w:val="231F20"/>
          <w:spacing w:val="-9"/>
        </w:rPr>
        <w:t> </w:t>
      </w:r>
      <w:r>
        <w:rPr>
          <w:color w:val="231F20"/>
        </w:rPr>
        <w:t>d’une</w:t>
      </w:r>
      <w:r>
        <w:rPr>
          <w:color w:val="231F20"/>
          <w:spacing w:val="-10"/>
        </w:rPr>
        <w:t> </w:t>
      </w:r>
      <w:r>
        <w:rPr>
          <w:color w:val="231F20"/>
        </w:rPr>
        <w:t>année</w:t>
      </w:r>
      <w:r>
        <w:rPr>
          <w:color w:val="231F20"/>
          <w:spacing w:val="-10"/>
        </w:rPr>
        <w:t> </w:t>
      </w:r>
      <w:r>
        <w:rPr>
          <w:color w:val="231F20"/>
        </w:rPr>
        <w:t>de</w:t>
      </w:r>
      <w:r>
        <w:rPr>
          <w:color w:val="231F20"/>
          <w:spacing w:val="-8"/>
        </w:rPr>
        <w:t> </w:t>
      </w:r>
      <w:r>
        <w:rPr>
          <w:color w:val="231F20"/>
        </w:rPr>
        <w:t>revenus</w:t>
      </w:r>
      <w:r>
        <w:rPr>
          <w:color w:val="231F20"/>
          <w:spacing w:val="-10"/>
        </w:rPr>
        <w:t> </w:t>
      </w:r>
      <w:r>
        <w:rPr>
          <w:color w:val="231F20"/>
        </w:rPr>
        <w:t>de</w:t>
      </w:r>
      <w:r>
        <w:rPr>
          <w:color w:val="231F20"/>
          <w:spacing w:val="-10"/>
        </w:rPr>
        <w:t> </w:t>
      </w:r>
      <w:r>
        <w:rPr>
          <w:color w:val="231F20"/>
        </w:rPr>
        <w:t>la</w:t>
      </w:r>
      <w:r>
        <w:rPr>
          <w:color w:val="231F20"/>
          <w:spacing w:val="-8"/>
        </w:rPr>
        <w:t> </w:t>
      </w:r>
      <w:r>
        <w:rPr>
          <w:color w:val="231F20"/>
        </w:rPr>
        <w:t>colonie</w:t>
      </w:r>
      <w:r>
        <w:rPr>
          <w:color w:val="231F20"/>
          <w:spacing w:val="-9"/>
        </w:rPr>
        <w:t> </w:t>
      </w:r>
      <w:r>
        <w:rPr>
          <w:color w:val="231F20"/>
        </w:rPr>
        <w:t>aux alentours</w:t>
      </w:r>
      <w:r>
        <w:rPr>
          <w:color w:val="231F20"/>
          <w:spacing w:val="-6"/>
        </w:rPr>
        <w:t> </w:t>
      </w:r>
      <w:r>
        <w:rPr>
          <w:color w:val="231F20"/>
        </w:rPr>
        <w:t>de</w:t>
      </w:r>
      <w:r>
        <w:rPr>
          <w:color w:val="231F20"/>
          <w:spacing w:val="-9"/>
        </w:rPr>
        <w:t> </w:t>
      </w:r>
      <w:r>
        <w:rPr>
          <w:color w:val="231F20"/>
        </w:rPr>
        <w:t>la</w:t>
      </w:r>
      <w:r>
        <w:rPr>
          <w:color w:val="231F20"/>
          <w:spacing w:val="-6"/>
        </w:rPr>
        <w:t> </w:t>
      </w:r>
      <w:r>
        <w:rPr>
          <w:color w:val="231F20"/>
        </w:rPr>
        <w:t>Révolution,</w:t>
      </w:r>
      <w:r>
        <w:rPr>
          <w:color w:val="231F20"/>
          <w:spacing w:val="-6"/>
        </w:rPr>
        <w:t> </w:t>
      </w:r>
      <w:r>
        <w:rPr>
          <w:color w:val="231F20"/>
        </w:rPr>
        <w:t>soit</w:t>
      </w:r>
      <w:r>
        <w:rPr>
          <w:color w:val="231F20"/>
          <w:spacing w:val="-6"/>
        </w:rPr>
        <w:t> </w:t>
      </w:r>
      <w:r>
        <w:rPr>
          <w:color w:val="231F20"/>
        </w:rPr>
        <w:t>15</w:t>
      </w:r>
      <w:r>
        <w:rPr>
          <w:color w:val="231F20"/>
          <w:spacing w:val="-6"/>
        </w:rPr>
        <w:t> </w:t>
      </w:r>
      <w:r>
        <w:rPr>
          <w:color w:val="231F20"/>
        </w:rPr>
        <w:t>%</w:t>
      </w:r>
      <w:r>
        <w:rPr>
          <w:color w:val="231F20"/>
          <w:spacing w:val="-6"/>
        </w:rPr>
        <w:t> </w:t>
      </w:r>
      <w:r>
        <w:rPr>
          <w:color w:val="231F20"/>
        </w:rPr>
        <w:t>du</w:t>
      </w:r>
      <w:r>
        <w:rPr>
          <w:color w:val="231F20"/>
          <w:spacing w:val="-6"/>
        </w:rPr>
        <w:t> </w:t>
      </w:r>
      <w:r>
        <w:rPr>
          <w:color w:val="231F20"/>
        </w:rPr>
        <w:t>budget</w:t>
      </w:r>
      <w:r>
        <w:rPr>
          <w:color w:val="231F20"/>
          <w:spacing w:val="-6"/>
        </w:rPr>
        <w:t> </w:t>
      </w:r>
      <w:r>
        <w:rPr>
          <w:color w:val="231F20"/>
        </w:rPr>
        <w:t>annuel</w:t>
      </w:r>
      <w:r>
        <w:rPr>
          <w:color w:val="231F20"/>
          <w:spacing w:val="-6"/>
        </w:rPr>
        <w:t> </w:t>
      </w:r>
      <w:r>
        <w:rPr>
          <w:color w:val="231F20"/>
        </w:rPr>
        <w:t>de</w:t>
      </w:r>
      <w:r>
        <w:rPr>
          <w:color w:val="231F20"/>
          <w:spacing w:val="-9"/>
        </w:rPr>
        <w:t> </w:t>
      </w:r>
      <w:r>
        <w:rPr>
          <w:color w:val="231F20"/>
        </w:rPr>
        <w:t>la</w:t>
      </w:r>
      <w:r>
        <w:rPr>
          <w:color w:val="231F20"/>
          <w:spacing w:val="-6"/>
        </w:rPr>
        <w:t> </w:t>
      </w:r>
      <w:r>
        <w:rPr>
          <w:color w:val="231F20"/>
        </w:rPr>
        <w:t>France.</w:t>
      </w:r>
    </w:p>
    <w:p>
      <w:pPr>
        <w:pStyle w:val="BodyText"/>
        <w:spacing w:before="120"/>
        <w:ind w:right="105" w:firstLine="283"/>
      </w:pPr>
      <w:r>
        <w:rPr>
          <w:color w:val="231F20"/>
        </w:rPr>
        <w:t>Les divers emprunts et intérêts auprès des banques françaises, puis étasuniennes, pour régler «la double dette de l’indépendance » : celle envers</w:t>
      </w:r>
      <w:r>
        <w:rPr>
          <w:color w:val="231F20"/>
          <w:spacing w:val="-12"/>
        </w:rPr>
        <w:t> </w:t>
      </w:r>
      <w:r>
        <w:rPr>
          <w:color w:val="231F20"/>
        </w:rPr>
        <w:t>l’Etat</w:t>
      </w:r>
      <w:r>
        <w:rPr>
          <w:color w:val="231F20"/>
          <w:spacing w:val="-12"/>
        </w:rPr>
        <w:t> </w:t>
      </w:r>
      <w:r>
        <w:rPr>
          <w:color w:val="231F20"/>
        </w:rPr>
        <w:t>français</w:t>
      </w:r>
      <w:r>
        <w:rPr>
          <w:color w:val="231F20"/>
          <w:spacing w:val="-12"/>
        </w:rPr>
        <w:t> </w:t>
      </w:r>
      <w:r>
        <w:rPr>
          <w:color w:val="231F20"/>
        </w:rPr>
        <w:t>pour</w:t>
      </w:r>
      <w:r>
        <w:rPr>
          <w:color w:val="231F20"/>
          <w:spacing w:val="-12"/>
        </w:rPr>
        <w:t> </w:t>
      </w:r>
      <w:r>
        <w:rPr>
          <w:color w:val="231F20"/>
        </w:rPr>
        <w:t>indemniser</w:t>
      </w:r>
      <w:r>
        <w:rPr>
          <w:color w:val="231F20"/>
          <w:spacing w:val="-12"/>
        </w:rPr>
        <w:t> </w:t>
      </w:r>
      <w:r>
        <w:rPr>
          <w:color w:val="231F20"/>
        </w:rPr>
        <w:t>les</w:t>
      </w:r>
      <w:r>
        <w:rPr>
          <w:color w:val="231F20"/>
          <w:spacing w:val="-12"/>
        </w:rPr>
        <w:t> </w:t>
      </w:r>
      <w:r>
        <w:rPr>
          <w:color w:val="231F20"/>
        </w:rPr>
        <w:t>anciens</w:t>
      </w:r>
      <w:r>
        <w:rPr>
          <w:color w:val="231F20"/>
          <w:spacing w:val="-12"/>
        </w:rPr>
        <w:t> </w:t>
      </w:r>
      <w:r>
        <w:rPr>
          <w:color w:val="231F20"/>
        </w:rPr>
        <w:t>colons</w:t>
      </w:r>
      <w:r>
        <w:rPr>
          <w:color w:val="231F20"/>
          <w:spacing w:val="-12"/>
        </w:rPr>
        <w:t> </w:t>
      </w:r>
      <w:r>
        <w:rPr>
          <w:color w:val="231F20"/>
        </w:rPr>
        <w:t>et</w:t>
      </w:r>
      <w:r>
        <w:rPr>
          <w:color w:val="231F20"/>
          <w:spacing w:val="-12"/>
        </w:rPr>
        <w:t> </w:t>
      </w:r>
      <w:r>
        <w:rPr>
          <w:color w:val="231F20"/>
        </w:rPr>
        <w:t>celle</w:t>
      </w:r>
      <w:r>
        <w:rPr>
          <w:color w:val="231F20"/>
          <w:spacing w:val="-12"/>
        </w:rPr>
        <w:t> </w:t>
      </w:r>
      <w:r>
        <w:rPr>
          <w:color w:val="231F20"/>
        </w:rPr>
        <w:t>auprès </w:t>
      </w:r>
      <w:r>
        <w:rPr>
          <w:color w:val="231F20"/>
          <w:spacing w:val="-2"/>
        </w:rPr>
        <w:t>des</w:t>
      </w:r>
      <w:r>
        <w:rPr>
          <w:color w:val="231F20"/>
          <w:spacing w:val="-10"/>
        </w:rPr>
        <w:t> </w:t>
      </w:r>
      <w:r>
        <w:rPr>
          <w:color w:val="231F20"/>
          <w:spacing w:val="-2"/>
        </w:rPr>
        <w:t>banquiers</w:t>
      </w:r>
      <w:r>
        <w:rPr>
          <w:color w:val="231F20"/>
          <w:spacing w:val="-9"/>
        </w:rPr>
        <w:t> </w:t>
      </w:r>
      <w:r>
        <w:rPr>
          <w:color w:val="231F20"/>
          <w:spacing w:val="-2"/>
        </w:rPr>
        <w:t>parisiens</w:t>
      </w:r>
      <w:r>
        <w:rPr>
          <w:color w:val="231F20"/>
          <w:spacing w:val="-9"/>
        </w:rPr>
        <w:t> </w:t>
      </w:r>
      <w:r>
        <w:rPr>
          <w:color w:val="231F20"/>
          <w:spacing w:val="-2"/>
        </w:rPr>
        <w:t>ne</w:t>
      </w:r>
      <w:r>
        <w:rPr>
          <w:color w:val="231F20"/>
          <w:spacing w:val="-8"/>
        </w:rPr>
        <w:t> </w:t>
      </w:r>
      <w:r>
        <w:rPr>
          <w:color w:val="231F20"/>
          <w:spacing w:val="-2"/>
        </w:rPr>
        <w:t>seront</w:t>
      </w:r>
      <w:r>
        <w:rPr>
          <w:color w:val="231F20"/>
          <w:spacing w:val="-7"/>
        </w:rPr>
        <w:t> </w:t>
      </w:r>
      <w:r>
        <w:rPr>
          <w:color w:val="231F20"/>
          <w:spacing w:val="-2"/>
        </w:rPr>
        <w:t>définitivement</w:t>
      </w:r>
      <w:r>
        <w:rPr>
          <w:color w:val="231F20"/>
          <w:spacing w:val="-9"/>
        </w:rPr>
        <w:t> </w:t>
      </w:r>
      <w:r>
        <w:rPr>
          <w:color w:val="231F20"/>
          <w:spacing w:val="-2"/>
        </w:rPr>
        <w:t>soldés</w:t>
      </w:r>
      <w:r>
        <w:rPr>
          <w:color w:val="231F20"/>
          <w:spacing w:val="-8"/>
        </w:rPr>
        <w:t> </w:t>
      </w:r>
      <w:r>
        <w:rPr>
          <w:color w:val="231F20"/>
          <w:spacing w:val="-2"/>
        </w:rPr>
        <w:t>qu'en</w:t>
      </w:r>
      <w:r>
        <w:rPr>
          <w:color w:val="231F20"/>
          <w:spacing w:val="-9"/>
        </w:rPr>
        <w:t> </w:t>
      </w:r>
      <w:r>
        <w:rPr>
          <w:color w:val="231F20"/>
          <w:spacing w:val="-2"/>
        </w:rPr>
        <w:t>1952.</w:t>
      </w:r>
      <w:r>
        <w:rPr>
          <w:color w:val="231F20"/>
          <w:spacing w:val="-8"/>
        </w:rPr>
        <w:t> </w:t>
      </w:r>
      <w:r>
        <w:rPr>
          <w:color w:val="231F20"/>
          <w:spacing w:val="-2"/>
        </w:rPr>
        <w:t>Haïti</w:t>
      </w:r>
    </w:p>
    <w:p>
      <w:pPr>
        <w:spacing w:after="0"/>
        <w:sectPr>
          <w:pgSz w:w="8790" w:h="13610"/>
          <w:pgMar w:header="0" w:footer="802" w:top="1060" w:bottom="1000" w:left="880" w:right="880"/>
        </w:sectPr>
      </w:pPr>
    </w:p>
    <w:p>
      <w:pPr>
        <w:pStyle w:val="BodyText"/>
        <w:spacing w:before="66"/>
      </w:pPr>
      <w:r>
        <w:rPr>
          <w:color w:val="231F20"/>
        </w:rPr>
        <w:t>a</w:t>
      </w:r>
      <w:r>
        <w:rPr>
          <w:color w:val="231F20"/>
          <w:spacing w:val="47"/>
        </w:rPr>
        <w:t> </w:t>
      </w:r>
      <w:r>
        <w:rPr>
          <w:color w:val="231F20"/>
        </w:rPr>
        <w:t>mis</w:t>
      </w:r>
      <w:r>
        <w:rPr>
          <w:color w:val="231F20"/>
          <w:spacing w:val="47"/>
        </w:rPr>
        <w:t> </w:t>
      </w:r>
      <w:r>
        <w:rPr>
          <w:color w:val="231F20"/>
        </w:rPr>
        <w:t>plus</w:t>
      </w:r>
      <w:r>
        <w:rPr>
          <w:color w:val="231F20"/>
          <w:spacing w:val="47"/>
        </w:rPr>
        <w:t> </w:t>
      </w:r>
      <w:r>
        <w:rPr>
          <w:color w:val="231F20"/>
        </w:rPr>
        <w:t>de</w:t>
      </w:r>
      <w:r>
        <w:rPr>
          <w:color w:val="231F20"/>
          <w:spacing w:val="49"/>
        </w:rPr>
        <w:t> </w:t>
      </w:r>
      <w:r>
        <w:rPr>
          <w:color w:val="231F20"/>
        </w:rPr>
        <w:t>cent</w:t>
      </w:r>
      <w:r>
        <w:rPr>
          <w:color w:val="231F20"/>
          <w:spacing w:val="48"/>
        </w:rPr>
        <w:t> </w:t>
      </w:r>
      <w:r>
        <w:rPr>
          <w:color w:val="231F20"/>
        </w:rPr>
        <w:t>ans</w:t>
      </w:r>
      <w:r>
        <w:rPr>
          <w:color w:val="231F20"/>
          <w:spacing w:val="47"/>
        </w:rPr>
        <w:t> </w:t>
      </w:r>
      <w:r>
        <w:rPr>
          <w:color w:val="231F20"/>
        </w:rPr>
        <w:t>pour</w:t>
      </w:r>
      <w:r>
        <w:rPr>
          <w:color w:val="231F20"/>
          <w:spacing w:val="48"/>
        </w:rPr>
        <w:t> </w:t>
      </w:r>
      <w:r>
        <w:rPr>
          <w:color w:val="231F20"/>
        </w:rPr>
        <w:t>honorer</w:t>
      </w:r>
      <w:r>
        <w:rPr>
          <w:color w:val="231F20"/>
          <w:spacing w:val="47"/>
        </w:rPr>
        <w:t> </w:t>
      </w:r>
      <w:r>
        <w:rPr>
          <w:color w:val="231F20"/>
        </w:rPr>
        <w:t>sa</w:t>
      </w:r>
      <w:r>
        <w:rPr>
          <w:color w:val="231F20"/>
          <w:spacing w:val="49"/>
        </w:rPr>
        <w:t> </w:t>
      </w:r>
      <w:r>
        <w:rPr>
          <w:color w:val="231F20"/>
        </w:rPr>
        <w:t>dette</w:t>
      </w:r>
      <w:r>
        <w:rPr>
          <w:color w:val="231F20"/>
          <w:spacing w:val="44"/>
        </w:rPr>
        <w:t> </w:t>
      </w:r>
      <w:r>
        <w:rPr>
          <w:color w:val="231F20"/>
        </w:rPr>
        <w:t>d’indépendance.</w:t>
      </w:r>
      <w:r>
        <w:rPr>
          <w:color w:val="231F20"/>
          <w:spacing w:val="48"/>
        </w:rPr>
        <w:t> </w:t>
      </w:r>
      <w:r>
        <w:rPr>
          <w:color w:val="231F20"/>
          <w:spacing w:val="-5"/>
        </w:rPr>
        <w:t>Son</w:t>
      </w:r>
    </w:p>
    <w:p>
      <w:pPr>
        <w:pStyle w:val="BodyText"/>
      </w:pPr>
      <w:r>
        <w:rPr>
          <w:color w:val="231F20"/>
          <w:spacing w:val="-2"/>
        </w:rPr>
        <w:t>économie</w:t>
      </w:r>
      <w:r>
        <w:rPr>
          <w:color w:val="231F20"/>
          <w:spacing w:val="-11"/>
        </w:rPr>
        <w:t> </w:t>
      </w:r>
      <w:r>
        <w:rPr>
          <w:color w:val="231F20"/>
          <w:spacing w:val="-2"/>
        </w:rPr>
        <w:t>en</w:t>
      </w:r>
      <w:r>
        <w:rPr>
          <w:color w:val="231F20"/>
          <w:spacing w:val="-9"/>
        </w:rPr>
        <w:t> </w:t>
      </w:r>
      <w:r>
        <w:rPr>
          <w:color w:val="231F20"/>
          <w:spacing w:val="-2"/>
        </w:rPr>
        <w:t>souffre</w:t>
      </w:r>
      <w:r>
        <w:rPr>
          <w:color w:val="231F20"/>
          <w:spacing w:val="-9"/>
        </w:rPr>
        <w:t> </w:t>
      </w:r>
      <w:r>
        <w:rPr>
          <w:color w:val="231F20"/>
          <w:spacing w:val="-2"/>
        </w:rPr>
        <w:t>encore.</w:t>
      </w:r>
      <w:r>
        <w:rPr>
          <w:color w:val="76787A"/>
          <w:spacing w:val="-2"/>
          <w:vertAlign w:val="superscript"/>
        </w:rPr>
        <w:t>251</w:t>
      </w:r>
    </w:p>
    <w:p>
      <w:pPr>
        <w:pStyle w:val="BodyText"/>
        <w:spacing w:before="120"/>
        <w:ind w:right="102" w:firstLine="283"/>
      </w:pPr>
      <w:r>
        <w:rPr>
          <w:color w:val="231F20"/>
        </w:rPr>
        <w:t>Toute chose étant égale par ailleurs, la France ne fait-elle pas à l’Afrique</w:t>
      </w:r>
      <w:r>
        <w:rPr>
          <w:color w:val="231F20"/>
          <w:spacing w:val="-15"/>
        </w:rPr>
        <w:t> </w:t>
      </w:r>
      <w:r>
        <w:rPr>
          <w:color w:val="231F20"/>
        </w:rPr>
        <w:t>ce</w:t>
      </w:r>
      <w:r>
        <w:rPr>
          <w:color w:val="231F20"/>
          <w:spacing w:val="-15"/>
        </w:rPr>
        <w:t> </w:t>
      </w:r>
      <w:r>
        <w:rPr>
          <w:color w:val="231F20"/>
        </w:rPr>
        <w:t>qu’elle</w:t>
      </w:r>
      <w:r>
        <w:rPr>
          <w:color w:val="231F20"/>
          <w:spacing w:val="-15"/>
        </w:rPr>
        <w:t> </w:t>
      </w:r>
      <w:r>
        <w:rPr>
          <w:color w:val="231F20"/>
        </w:rPr>
        <w:t>a</w:t>
      </w:r>
      <w:r>
        <w:rPr>
          <w:color w:val="231F20"/>
          <w:spacing w:val="-15"/>
        </w:rPr>
        <w:t> </w:t>
      </w:r>
      <w:r>
        <w:rPr>
          <w:color w:val="231F20"/>
        </w:rPr>
        <w:t>fait</w:t>
      </w:r>
      <w:r>
        <w:rPr>
          <w:color w:val="231F20"/>
          <w:spacing w:val="-15"/>
        </w:rPr>
        <w:t> </w:t>
      </w:r>
      <w:r>
        <w:rPr>
          <w:color w:val="231F20"/>
        </w:rPr>
        <w:t>à</w:t>
      </w:r>
      <w:r>
        <w:rPr>
          <w:color w:val="231F20"/>
          <w:spacing w:val="-13"/>
        </w:rPr>
        <w:t> </w:t>
      </w:r>
      <w:r>
        <w:rPr>
          <w:color w:val="231F20"/>
        </w:rPr>
        <w:t>Haïti</w:t>
      </w:r>
      <w:r>
        <w:rPr>
          <w:color w:val="231F20"/>
          <w:spacing w:val="-15"/>
        </w:rPr>
        <w:t> </w:t>
      </w:r>
      <w:r>
        <w:rPr>
          <w:color w:val="231F20"/>
        </w:rPr>
        <w:t>?</w:t>
      </w:r>
      <w:r>
        <w:rPr>
          <w:color w:val="231F20"/>
          <w:spacing w:val="-13"/>
        </w:rPr>
        <w:t> </w:t>
      </w:r>
      <w:r>
        <w:rPr>
          <w:color w:val="231F20"/>
        </w:rPr>
        <w:t>Outre</w:t>
      </w:r>
      <w:r>
        <w:rPr>
          <w:color w:val="231F20"/>
          <w:spacing w:val="-14"/>
        </w:rPr>
        <w:t> </w:t>
      </w:r>
      <w:r>
        <w:rPr>
          <w:color w:val="231F20"/>
        </w:rPr>
        <w:t>des</w:t>
      </w:r>
      <w:r>
        <w:rPr>
          <w:color w:val="231F20"/>
          <w:spacing w:val="-14"/>
        </w:rPr>
        <w:t> </w:t>
      </w:r>
      <w:r>
        <w:rPr>
          <w:color w:val="231F20"/>
        </w:rPr>
        <w:t>accords</w:t>
      </w:r>
      <w:r>
        <w:rPr>
          <w:color w:val="231F20"/>
          <w:spacing w:val="-14"/>
        </w:rPr>
        <w:t> </w:t>
      </w:r>
      <w:r>
        <w:rPr>
          <w:color w:val="231F20"/>
        </w:rPr>
        <w:t>très</w:t>
      </w:r>
      <w:r>
        <w:rPr>
          <w:color w:val="231F20"/>
          <w:spacing w:val="-15"/>
        </w:rPr>
        <w:t> </w:t>
      </w:r>
      <w:r>
        <w:rPr>
          <w:color w:val="231F20"/>
        </w:rPr>
        <w:t>secrets,</w:t>
      </w:r>
      <w:r>
        <w:rPr>
          <w:color w:val="231F20"/>
          <w:spacing w:val="-15"/>
        </w:rPr>
        <w:t> </w:t>
      </w:r>
      <w:r>
        <w:rPr>
          <w:color w:val="231F20"/>
        </w:rPr>
        <w:t>sur</w:t>
      </w:r>
      <w:r>
        <w:rPr>
          <w:color w:val="231F20"/>
          <w:spacing w:val="-15"/>
        </w:rPr>
        <w:t> </w:t>
      </w:r>
      <w:r>
        <w:rPr>
          <w:color w:val="231F20"/>
        </w:rPr>
        <w:t>ses conseils, plusieurs de ses ex-colonies</w:t>
      </w:r>
      <w:r>
        <w:rPr>
          <w:color w:val="231F20"/>
          <w:spacing w:val="-15"/>
        </w:rPr>
        <w:t> </w:t>
      </w:r>
      <w:r>
        <w:rPr>
          <w:color w:val="231F20"/>
        </w:rPr>
        <w:t>se sont endettées auprès de la communauté</w:t>
      </w:r>
      <w:r>
        <w:rPr>
          <w:color w:val="231F20"/>
          <w:spacing w:val="-15"/>
        </w:rPr>
        <w:t> </w:t>
      </w:r>
      <w:r>
        <w:rPr>
          <w:color w:val="231F20"/>
        </w:rPr>
        <w:t>internationale</w:t>
      </w:r>
      <w:r>
        <w:rPr>
          <w:color w:val="231F20"/>
          <w:spacing w:val="-15"/>
        </w:rPr>
        <w:t> </w:t>
      </w:r>
      <w:r>
        <w:rPr>
          <w:color w:val="231F20"/>
        </w:rPr>
        <w:t>pour</w:t>
      </w:r>
      <w:r>
        <w:rPr>
          <w:color w:val="231F20"/>
          <w:spacing w:val="-15"/>
        </w:rPr>
        <w:t> </w:t>
      </w:r>
      <w:r>
        <w:rPr>
          <w:color w:val="231F20"/>
        </w:rPr>
        <w:t>bâtir</w:t>
      </w:r>
      <w:r>
        <w:rPr>
          <w:color w:val="231F20"/>
          <w:spacing w:val="-15"/>
        </w:rPr>
        <w:t> </w:t>
      </w:r>
      <w:r>
        <w:rPr>
          <w:color w:val="231F20"/>
        </w:rPr>
        <w:t>leurs</w:t>
      </w:r>
      <w:r>
        <w:rPr>
          <w:color w:val="231F20"/>
          <w:spacing w:val="-15"/>
        </w:rPr>
        <w:t> </w:t>
      </w:r>
      <w:r>
        <w:rPr>
          <w:color w:val="231F20"/>
        </w:rPr>
        <w:t>nouveaux</w:t>
      </w:r>
      <w:r>
        <w:rPr>
          <w:color w:val="231F20"/>
          <w:spacing w:val="-15"/>
        </w:rPr>
        <w:t> </w:t>
      </w:r>
      <w:r>
        <w:rPr>
          <w:color w:val="231F20"/>
        </w:rPr>
        <w:t>États.</w:t>
      </w:r>
      <w:r>
        <w:rPr>
          <w:color w:val="231F20"/>
          <w:spacing w:val="-15"/>
        </w:rPr>
        <w:t> </w:t>
      </w:r>
      <w:r>
        <w:rPr>
          <w:color w:val="231F20"/>
        </w:rPr>
        <w:t>Ces</w:t>
      </w:r>
      <w:r>
        <w:rPr>
          <w:color w:val="231F20"/>
          <w:spacing w:val="-15"/>
        </w:rPr>
        <w:t> </w:t>
      </w:r>
      <w:r>
        <w:rPr>
          <w:color w:val="231F20"/>
        </w:rPr>
        <w:t>pays</w:t>
      </w:r>
      <w:r>
        <w:rPr>
          <w:color w:val="231F20"/>
          <w:spacing w:val="-15"/>
        </w:rPr>
        <w:t> </w:t>
      </w:r>
      <w:r>
        <w:rPr>
          <w:color w:val="231F20"/>
        </w:rPr>
        <w:t>se </w:t>
      </w:r>
      <w:r>
        <w:rPr>
          <w:color w:val="231F20"/>
          <w:spacing w:val="-2"/>
        </w:rPr>
        <w:t>sont</w:t>
      </w:r>
      <w:r>
        <w:rPr>
          <w:color w:val="231F20"/>
          <w:spacing w:val="-10"/>
        </w:rPr>
        <w:t> </w:t>
      </w:r>
      <w:r>
        <w:rPr>
          <w:color w:val="231F20"/>
          <w:spacing w:val="-2"/>
        </w:rPr>
        <w:t>retrouvés</w:t>
      </w:r>
      <w:r>
        <w:rPr>
          <w:color w:val="231F20"/>
          <w:spacing w:val="-10"/>
        </w:rPr>
        <w:t> </w:t>
      </w:r>
      <w:r>
        <w:rPr>
          <w:color w:val="231F20"/>
          <w:spacing w:val="-2"/>
        </w:rPr>
        <w:t>à</w:t>
      </w:r>
      <w:r>
        <w:rPr>
          <w:color w:val="231F20"/>
          <w:spacing w:val="-10"/>
        </w:rPr>
        <w:t> </w:t>
      </w:r>
      <w:r>
        <w:rPr>
          <w:color w:val="231F20"/>
          <w:spacing w:val="-2"/>
        </w:rPr>
        <w:t>rembourser</w:t>
      </w:r>
      <w:r>
        <w:rPr>
          <w:color w:val="231F20"/>
          <w:spacing w:val="-10"/>
        </w:rPr>
        <w:t> </w:t>
      </w:r>
      <w:r>
        <w:rPr>
          <w:color w:val="231F20"/>
          <w:spacing w:val="-2"/>
        </w:rPr>
        <w:t>à</w:t>
      </w:r>
      <w:r>
        <w:rPr>
          <w:color w:val="231F20"/>
          <w:spacing w:val="-10"/>
        </w:rPr>
        <w:t> </w:t>
      </w:r>
      <w:r>
        <w:rPr>
          <w:color w:val="231F20"/>
          <w:spacing w:val="-2"/>
        </w:rPr>
        <w:t>des</w:t>
      </w:r>
      <w:r>
        <w:rPr>
          <w:color w:val="231F20"/>
          <w:spacing w:val="-10"/>
        </w:rPr>
        <w:t> </w:t>
      </w:r>
      <w:r>
        <w:rPr>
          <w:color w:val="231F20"/>
          <w:spacing w:val="-2"/>
        </w:rPr>
        <w:t>taux</w:t>
      </w:r>
      <w:r>
        <w:rPr>
          <w:color w:val="231F20"/>
          <w:spacing w:val="-10"/>
        </w:rPr>
        <w:t> </w:t>
      </w:r>
      <w:r>
        <w:rPr>
          <w:color w:val="231F20"/>
          <w:spacing w:val="-2"/>
        </w:rPr>
        <w:t>très</w:t>
      </w:r>
      <w:r>
        <w:rPr>
          <w:color w:val="231F20"/>
          <w:spacing w:val="-10"/>
        </w:rPr>
        <w:t> </w:t>
      </w:r>
      <w:r>
        <w:rPr>
          <w:color w:val="231F20"/>
          <w:spacing w:val="-2"/>
        </w:rPr>
        <w:t>élevés</w:t>
      </w:r>
      <w:r>
        <w:rPr>
          <w:color w:val="231F20"/>
          <w:spacing w:val="-10"/>
        </w:rPr>
        <w:t> </w:t>
      </w:r>
      <w:r>
        <w:rPr>
          <w:color w:val="231F20"/>
          <w:spacing w:val="-2"/>
        </w:rPr>
        <w:t>une</w:t>
      </w:r>
      <w:r>
        <w:rPr>
          <w:color w:val="231F20"/>
          <w:spacing w:val="-10"/>
        </w:rPr>
        <w:t> </w:t>
      </w:r>
      <w:r>
        <w:rPr>
          <w:color w:val="231F20"/>
          <w:spacing w:val="-2"/>
        </w:rPr>
        <w:t>dette</w:t>
      </w:r>
      <w:r>
        <w:rPr>
          <w:color w:val="231F20"/>
          <w:spacing w:val="-10"/>
        </w:rPr>
        <w:t> </w:t>
      </w:r>
      <w:r>
        <w:rPr>
          <w:color w:val="231F20"/>
          <w:spacing w:val="-2"/>
        </w:rPr>
        <w:t>qu'ils</w:t>
      </w:r>
      <w:r>
        <w:rPr>
          <w:color w:val="231F20"/>
          <w:spacing w:val="-9"/>
        </w:rPr>
        <w:t> </w:t>
      </w:r>
      <w:r>
        <w:rPr>
          <w:color w:val="231F20"/>
          <w:spacing w:val="-2"/>
        </w:rPr>
        <w:t>avaient contractée</w:t>
      </w:r>
      <w:r>
        <w:rPr>
          <w:color w:val="231F20"/>
          <w:spacing w:val="-10"/>
        </w:rPr>
        <w:t> </w:t>
      </w:r>
      <w:r>
        <w:rPr>
          <w:color w:val="231F20"/>
          <w:spacing w:val="-2"/>
        </w:rPr>
        <w:t>à</w:t>
      </w:r>
      <w:r>
        <w:rPr>
          <w:color w:val="231F20"/>
          <w:spacing w:val="-12"/>
        </w:rPr>
        <w:t> </w:t>
      </w:r>
      <w:r>
        <w:rPr>
          <w:color w:val="231F20"/>
          <w:spacing w:val="-2"/>
        </w:rPr>
        <w:t>des</w:t>
      </w:r>
      <w:r>
        <w:rPr>
          <w:color w:val="231F20"/>
          <w:spacing w:val="-12"/>
        </w:rPr>
        <w:t> </w:t>
      </w:r>
      <w:r>
        <w:rPr>
          <w:color w:val="231F20"/>
          <w:spacing w:val="-2"/>
        </w:rPr>
        <w:t>taux</w:t>
      </w:r>
      <w:r>
        <w:rPr>
          <w:color w:val="231F20"/>
          <w:spacing w:val="-12"/>
        </w:rPr>
        <w:t> </w:t>
      </w:r>
      <w:r>
        <w:rPr>
          <w:color w:val="231F20"/>
          <w:spacing w:val="-2"/>
        </w:rPr>
        <w:t>très</w:t>
      </w:r>
      <w:r>
        <w:rPr>
          <w:color w:val="231F20"/>
          <w:spacing w:val="-13"/>
        </w:rPr>
        <w:t> </w:t>
      </w:r>
      <w:r>
        <w:rPr>
          <w:color w:val="231F20"/>
          <w:spacing w:val="-2"/>
        </w:rPr>
        <w:t>faibles.</w:t>
      </w:r>
      <w:r>
        <w:rPr>
          <w:color w:val="231F20"/>
          <w:spacing w:val="-12"/>
        </w:rPr>
        <w:t> </w:t>
      </w:r>
      <w:r>
        <w:rPr>
          <w:color w:val="231F20"/>
          <w:spacing w:val="-2"/>
        </w:rPr>
        <w:t>Les</w:t>
      </w:r>
      <w:r>
        <w:rPr>
          <w:color w:val="231F20"/>
          <w:spacing w:val="-12"/>
        </w:rPr>
        <w:t> </w:t>
      </w:r>
      <w:r>
        <w:rPr>
          <w:color w:val="231F20"/>
          <w:spacing w:val="-2"/>
        </w:rPr>
        <w:t>Chefs</w:t>
      </w:r>
      <w:r>
        <w:rPr>
          <w:color w:val="231F20"/>
          <w:spacing w:val="-10"/>
        </w:rPr>
        <w:t> </w:t>
      </w:r>
      <w:r>
        <w:rPr>
          <w:color w:val="231F20"/>
          <w:spacing w:val="-2"/>
        </w:rPr>
        <w:t>d’États</w:t>
      </w:r>
      <w:r>
        <w:rPr>
          <w:color w:val="231F20"/>
          <w:spacing w:val="-12"/>
        </w:rPr>
        <w:t> </w:t>
      </w:r>
      <w:r>
        <w:rPr>
          <w:color w:val="231F20"/>
          <w:spacing w:val="-2"/>
        </w:rPr>
        <w:t>qui</w:t>
      </w:r>
      <w:r>
        <w:rPr>
          <w:color w:val="231F20"/>
          <w:spacing w:val="-12"/>
        </w:rPr>
        <w:t> </w:t>
      </w:r>
      <w:r>
        <w:rPr>
          <w:color w:val="231F20"/>
          <w:spacing w:val="-2"/>
        </w:rPr>
        <w:t>ont</w:t>
      </w:r>
      <w:r>
        <w:rPr>
          <w:color w:val="231F20"/>
          <w:spacing w:val="-11"/>
        </w:rPr>
        <w:t> </w:t>
      </w:r>
      <w:r>
        <w:rPr>
          <w:color w:val="231F20"/>
          <w:spacing w:val="-2"/>
        </w:rPr>
        <w:t>voulu</w:t>
      </w:r>
      <w:r>
        <w:rPr>
          <w:color w:val="231F20"/>
          <w:spacing w:val="-12"/>
        </w:rPr>
        <w:t> </w:t>
      </w:r>
      <w:r>
        <w:rPr>
          <w:color w:val="231F20"/>
          <w:spacing w:val="-2"/>
        </w:rPr>
        <w:t>rompre </w:t>
      </w:r>
      <w:r>
        <w:rPr>
          <w:color w:val="231F20"/>
        </w:rPr>
        <w:t>avec ce pacte ont été éliminés.</w:t>
      </w:r>
    </w:p>
    <w:p>
      <w:pPr>
        <w:pStyle w:val="BodyText"/>
        <w:spacing w:before="121"/>
        <w:ind w:right="106" w:firstLine="283"/>
      </w:pPr>
      <w:r>
        <w:rPr>
          <w:color w:val="231F20"/>
        </w:rPr>
        <w:t>Le franc CFA est au cœur des débats actuels. Il est reconnu par de </w:t>
      </w:r>
      <w:r>
        <w:rPr>
          <w:color w:val="231F20"/>
          <w:spacing w:val="-4"/>
        </w:rPr>
        <w:t>nombreux</w:t>
      </w:r>
      <w:r>
        <w:rPr>
          <w:color w:val="231F20"/>
          <w:spacing w:val="-9"/>
        </w:rPr>
        <w:t> </w:t>
      </w:r>
      <w:r>
        <w:rPr>
          <w:color w:val="231F20"/>
          <w:spacing w:val="-4"/>
        </w:rPr>
        <w:t>Économistes</w:t>
      </w:r>
      <w:r>
        <w:rPr>
          <w:color w:val="231F20"/>
          <w:spacing w:val="-9"/>
        </w:rPr>
        <w:t> </w:t>
      </w:r>
      <w:r>
        <w:rPr>
          <w:color w:val="231F20"/>
          <w:spacing w:val="-4"/>
        </w:rPr>
        <w:t>comme</w:t>
      </w:r>
      <w:r>
        <w:rPr>
          <w:color w:val="231F20"/>
          <w:spacing w:val="-9"/>
        </w:rPr>
        <w:t> </w:t>
      </w:r>
      <w:r>
        <w:rPr>
          <w:color w:val="231F20"/>
          <w:spacing w:val="-4"/>
        </w:rPr>
        <w:t>un</w:t>
      </w:r>
      <w:r>
        <w:rPr>
          <w:color w:val="231F20"/>
          <w:spacing w:val="-6"/>
        </w:rPr>
        <w:t> </w:t>
      </w:r>
      <w:r>
        <w:rPr>
          <w:color w:val="231F20"/>
          <w:spacing w:val="-4"/>
        </w:rPr>
        <w:t>outil</w:t>
      </w:r>
      <w:r>
        <w:rPr>
          <w:color w:val="231F20"/>
          <w:spacing w:val="-9"/>
        </w:rPr>
        <w:t> </w:t>
      </w:r>
      <w:r>
        <w:rPr>
          <w:color w:val="231F20"/>
          <w:spacing w:val="-4"/>
        </w:rPr>
        <w:t>de</w:t>
      </w:r>
      <w:r>
        <w:rPr>
          <w:color w:val="231F20"/>
          <w:spacing w:val="-6"/>
        </w:rPr>
        <w:t> </w:t>
      </w:r>
      <w:r>
        <w:rPr>
          <w:color w:val="231F20"/>
          <w:spacing w:val="-4"/>
        </w:rPr>
        <w:t>la</w:t>
      </w:r>
      <w:r>
        <w:rPr>
          <w:color w:val="231F20"/>
          <w:spacing w:val="-9"/>
        </w:rPr>
        <w:t> </w:t>
      </w:r>
      <w:r>
        <w:rPr>
          <w:color w:val="231F20"/>
          <w:spacing w:val="-4"/>
        </w:rPr>
        <w:t>domination</w:t>
      </w:r>
      <w:r>
        <w:rPr>
          <w:color w:val="231F20"/>
          <w:spacing w:val="-6"/>
        </w:rPr>
        <w:t> </w:t>
      </w:r>
      <w:r>
        <w:rPr>
          <w:color w:val="231F20"/>
          <w:spacing w:val="-4"/>
        </w:rPr>
        <w:t>néocoloniale</w:t>
      </w:r>
      <w:r>
        <w:rPr>
          <w:color w:val="231F20"/>
          <w:spacing w:val="-6"/>
        </w:rPr>
        <w:t> </w:t>
      </w:r>
      <w:r>
        <w:rPr>
          <w:color w:val="231F20"/>
          <w:spacing w:val="-4"/>
        </w:rPr>
        <w:t>au </w:t>
      </w:r>
      <w:r>
        <w:rPr>
          <w:color w:val="231F20"/>
        </w:rPr>
        <w:t>même titre que sont le système de la dette, les plans d’ajustement structurel, les accords de partenariat économique, l’aide publique au développement,</w:t>
      </w:r>
      <w:r>
        <w:rPr>
          <w:color w:val="231F20"/>
          <w:spacing w:val="-9"/>
        </w:rPr>
        <w:t> </w:t>
      </w:r>
      <w:r>
        <w:rPr>
          <w:color w:val="231F20"/>
        </w:rPr>
        <w:t>qui</w:t>
      </w:r>
      <w:r>
        <w:rPr>
          <w:color w:val="231F20"/>
          <w:spacing w:val="-9"/>
        </w:rPr>
        <w:t> </w:t>
      </w:r>
      <w:r>
        <w:rPr>
          <w:color w:val="231F20"/>
        </w:rPr>
        <w:t>renforcent</w:t>
      </w:r>
      <w:r>
        <w:rPr>
          <w:color w:val="231F20"/>
          <w:spacing w:val="-9"/>
        </w:rPr>
        <w:t> </w:t>
      </w:r>
      <w:r>
        <w:rPr>
          <w:color w:val="231F20"/>
        </w:rPr>
        <w:t>la</w:t>
      </w:r>
      <w:r>
        <w:rPr>
          <w:color w:val="231F20"/>
          <w:spacing w:val="-9"/>
        </w:rPr>
        <w:t> </w:t>
      </w:r>
      <w:r>
        <w:rPr>
          <w:color w:val="231F20"/>
        </w:rPr>
        <w:t>dépendance</w:t>
      </w:r>
      <w:r>
        <w:rPr>
          <w:color w:val="231F20"/>
          <w:spacing w:val="-9"/>
        </w:rPr>
        <w:t> </w:t>
      </w:r>
      <w:r>
        <w:rPr>
          <w:color w:val="231F20"/>
        </w:rPr>
        <w:t>des</w:t>
      </w:r>
      <w:r>
        <w:rPr>
          <w:color w:val="231F20"/>
          <w:spacing w:val="-11"/>
        </w:rPr>
        <w:t> </w:t>
      </w:r>
      <w:r>
        <w:rPr>
          <w:color w:val="231F20"/>
        </w:rPr>
        <w:t>anciennes</w:t>
      </w:r>
      <w:r>
        <w:rPr>
          <w:color w:val="231F20"/>
          <w:spacing w:val="-9"/>
        </w:rPr>
        <w:t> </w:t>
      </w:r>
      <w:r>
        <w:rPr>
          <w:color w:val="231F20"/>
        </w:rPr>
        <w:t>colonies.</w:t>
      </w:r>
    </w:p>
    <w:p>
      <w:pPr>
        <w:pStyle w:val="BodyText"/>
        <w:spacing w:before="120"/>
        <w:ind w:right="105" w:firstLine="283"/>
      </w:pPr>
      <w:r>
        <w:rPr>
          <w:color w:val="231F20"/>
        </w:rPr>
        <w:t>Pour</w:t>
      </w:r>
      <w:r>
        <w:rPr>
          <w:color w:val="231F20"/>
          <w:spacing w:val="-3"/>
        </w:rPr>
        <w:t> </w:t>
      </w:r>
      <w:r>
        <w:rPr>
          <w:color w:val="231F20"/>
        </w:rPr>
        <w:t>les</w:t>
      </w:r>
      <w:r>
        <w:rPr>
          <w:color w:val="231F20"/>
          <w:spacing w:val="-4"/>
        </w:rPr>
        <w:t> </w:t>
      </w:r>
      <w:r>
        <w:rPr>
          <w:color w:val="231F20"/>
        </w:rPr>
        <w:t>besoins</w:t>
      </w:r>
      <w:r>
        <w:rPr>
          <w:color w:val="231F20"/>
          <w:spacing w:val="-4"/>
        </w:rPr>
        <w:t> </w:t>
      </w:r>
      <w:r>
        <w:rPr>
          <w:color w:val="231F20"/>
        </w:rPr>
        <w:t>de</w:t>
      </w:r>
      <w:r>
        <w:rPr>
          <w:color w:val="231F20"/>
          <w:spacing w:val="-1"/>
        </w:rPr>
        <w:t> </w:t>
      </w:r>
      <w:r>
        <w:rPr>
          <w:color w:val="231F20"/>
        </w:rPr>
        <w:t>la</w:t>
      </w:r>
      <w:r>
        <w:rPr>
          <w:color w:val="231F20"/>
          <w:spacing w:val="-1"/>
        </w:rPr>
        <w:t> </w:t>
      </w:r>
      <w:r>
        <w:rPr>
          <w:color w:val="231F20"/>
        </w:rPr>
        <w:t>colonie,</w:t>
      </w:r>
      <w:r>
        <w:rPr>
          <w:color w:val="231F20"/>
          <w:spacing w:val="-3"/>
        </w:rPr>
        <w:t> </w:t>
      </w:r>
      <w:r>
        <w:rPr>
          <w:color w:val="231F20"/>
        </w:rPr>
        <w:t>la</w:t>
      </w:r>
      <w:r>
        <w:rPr>
          <w:color w:val="231F20"/>
          <w:spacing w:val="-1"/>
        </w:rPr>
        <w:t> </w:t>
      </w:r>
      <w:r>
        <w:rPr>
          <w:color w:val="231F20"/>
        </w:rPr>
        <w:t>France</w:t>
      </w:r>
      <w:r>
        <w:rPr>
          <w:color w:val="231F20"/>
          <w:spacing w:val="-1"/>
        </w:rPr>
        <w:t> </w:t>
      </w:r>
      <w:r>
        <w:rPr>
          <w:color w:val="231F20"/>
        </w:rPr>
        <w:t>avait créé</w:t>
      </w:r>
      <w:r>
        <w:rPr>
          <w:color w:val="231F20"/>
          <w:spacing w:val="-1"/>
        </w:rPr>
        <w:t> </w:t>
      </w:r>
      <w:r>
        <w:rPr>
          <w:color w:val="231F20"/>
        </w:rPr>
        <w:t>en</w:t>
      </w:r>
      <w:r>
        <w:rPr>
          <w:color w:val="231F20"/>
          <w:spacing w:val="-1"/>
        </w:rPr>
        <w:t> </w:t>
      </w:r>
      <w:r>
        <w:rPr>
          <w:color w:val="231F20"/>
        </w:rPr>
        <w:t>1939,</w:t>
      </w:r>
      <w:r>
        <w:rPr>
          <w:color w:val="231F20"/>
          <w:spacing w:val="-3"/>
        </w:rPr>
        <w:t> </w:t>
      </w:r>
      <w:r>
        <w:rPr>
          <w:color w:val="231F20"/>
        </w:rPr>
        <w:t>le</w:t>
      </w:r>
      <w:r>
        <w:rPr>
          <w:color w:val="231F20"/>
          <w:spacing w:val="-1"/>
        </w:rPr>
        <w:t> </w:t>
      </w:r>
      <w:r>
        <w:rPr>
          <w:color w:val="231F20"/>
        </w:rPr>
        <w:t>franc CFA</w:t>
      </w:r>
      <w:r>
        <w:rPr>
          <w:color w:val="231F20"/>
          <w:spacing w:val="-15"/>
        </w:rPr>
        <w:t> </w:t>
      </w:r>
      <w:r>
        <w:rPr>
          <w:color w:val="231F20"/>
        </w:rPr>
        <w:t>:</w:t>
      </w:r>
      <w:r>
        <w:rPr>
          <w:color w:val="231F20"/>
          <w:spacing w:val="-15"/>
        </w:rPr>
        <w:t> </w:t>
      </w:r>
      <w:r>
        <w:rPr>
          <w:color w:val="231F20"/>
        </w:rPr>
        <w:t>Colonies</w:t>
      </w:r>
      <w:r>
        <w:rPr>
          <w:color w:val="231F20"/>
          <w:spacing w:val="-15"/>
        </w:rPr>
        <w:t> </w:t>
      </w:r>
      <w:r>
        <w:rPr>
          <w:color w:val="231F20"/>
        </w:rPr>
        <w:t>Françaises</w:t>
      </w:r>
      <w:r>
        <w:rPr>
          <w:color w:val="231F20"/>
          <w:spacing w:val="-15"/>
        </w:rPr>
        <w:t> </w:t>
      </w:r>
      <w:r>
        <w:rPr>
          <w:color w:val="231F20"/>
        </w:rPr>
        <w:t>d'Afrique.</w:t>
      </w:r>
      <w:r>
        <w:rPr>
          <w:color w:val="231F20"/>
          <w:spacing w:val="-15"/>
        </w:rPr>
        <w:t> </w:t>
      </w:r>
      <w:r>
        <w:rPr>
          <w:color w:val="231F20"/>
        </w:rPr>
        <w:t>À</w:t>
      </w:r>
      <w:r>
        <w:rPr>
          <w:color w:val="231F20"/>
          <w:spacing w:val="-15"/>
        </w:rPr>
        <w:t> </w:t>
      </w:r>
      <w:r>
        <w:rPr>
          <w:color w:val="231F20"/>
        </w:rPr>
        <w:t>l’indépendance,</w:t>
      </w:r>
      <w:r>
        <w:rPr>
          <w:color w:val="231F20"/>
          <w:spacing w:val="-15"/>
        </w:rPr>
        <w:t> </w:t>
      </w:r>
      <w:r>
        <w:rPr>
          <w:color w:val="231F20"/>
        </w:rPr>
        <w:t>les</w:t>
      </w:r>
      <w:r>
        <w:rPr>
          <w:color w:val="231F20"/>
          <w:spacing w:val="-15"/>
        </w:rPr>
        <w:t> </w:t>
      </w:r>
      <w:r>
        <w:rPr>
          <w:color w:val="231F20"/>
        </w:rPr>
        <w:t>ex-colonies françaises conservent le franc CFA dont les pièces et les billets sont frappés</w:t>
      </w:r>
      <w:r>
        <w:rPr>
          <w:color w:val="231F20"/>
          <w:spacing w:val="-5"/>
        </w:rPr>
        <w:t> </w:t>
      </w:r>
      <w:r>
        <w:rPr>
          <w:color w:val="231F20"/>
        </w:rPr>
        <w:t>dans</w:t>
      </w:r>
      <w:r>
        <w:rPr>
          <w:color w:val="231F20"/>
          <w:spacing w:val="-3"/>
        </w:rPr>
        <w:t> </w:t>
      </w:r>
      <w:r>
        <w:rPr>
          <w:color w:val="231F20"/>
        </w:rPr>
        <w:t>une</w:t>
      </w:r>
      <w:r>
        <w:rPr>
          <w:color w:val="231F20"/>
          <w:spacing w:val="-3"/>
        </w:rPr>
        <w:t> </w:t>
      </w:r>
      <w:r>
        <w:rPr>
          <w:color w:val="231F20"/>
        </w:rPr>
        <w:t>imprimerie</w:t>
      </w:r>
      <w:r>
        <w:rPr>
          <w:color w:val="231F20"/>
          <w:spacing w:val="-3"/>
        </w:rPr>
        <w:t> </w:t>
      </w:r>
      <w:r>
        <w:rPr>
          <w:color w:val="231F20"/>
        </w:rPr>
        <w:t>de</w:t>
      </w:r>
      <w:r>
        <w:rPr>
          <w:color w:val="231F20"/>
          <w:spacing w:val="-3"/>
        </w:rPr>
        <w:t> </w:t>
      </w:r>
      <w:r>
        <w:rPr>
          <w:color w:val="231F20"/>
        </w:rPr>
        <w:t>la</w:t>
      </w:r>
      <w:r>
        <w:rPr>
          <w:color w:val="231F20"/>
          <w:spacing w:val="-3"/>
        </w:rPr>
        <w:t> </w:t>
      </w:r>
      <w:r>
        <w:rPr>
          <w:color w:val="231F20"/>
        </w:rPr>
        <w:t>Banque</w:t>
      </w:r>
      <w:r>
        <w:rPr>
          <w:color w:val="231F20"/>
          <w:spacing w:val="-3"/>
        </w:rPr>
        <w:t> </w:t>
      </w:r>
      <w:r>
        <w:rPr>
          <w:color w:val="231F20"/>
        </w:rPr>
        <w:t>de</w:t>
      </w:r>
      <w:r>
        <w:rPr>
          <w:color w:val="231F20"/>
          <w:spacing w:val="-15"/>
        </w:rPr>
        <w:t> </w:t>
      </w:r>
      <w:r>
        <w:rPr>
          <w:color w:val="231F20"/>
        </w:rPr>
        <w:t>France</w:t>
      </w:r>
      <w:r>
        <w:rPr>
          <w:color w:val="231F20"/>
          <w:spacing w:val="-15"/>
        </w:rPr>
        <w:t> </w:t>
      </w:r>
      <w:r>
        <w:rPr>
          <w:color w:val="231F20"/>
        </w:rPr>
        <w:t>à</w:t>
      </w:r>
      <w:r>
        <w:rPr>
          <w:color w:val="231F20"/>
          <w:spacing w:val="-3"/>
        </w:rPr>
        <w:t> </w:t>
      </w:r>
      <w:r>
        <w:rPr>
          <w:color w:val="231F20"/>
        </w:rPr>
        <w:t>Chamalières,</w:t>
      </w:r>
      <w:r>
        <w:rPr>
          <w:color w:val="231F20"/>
          <w:spacing w:val="-2"/>
        </w:rPr>
        <w:t> </w:t>
      </w:r>
      <w:r>
        <w:rPr>
          <w:color w:val="231F20"/>
        </w:rPr>
        <w:t>en banlieue</w:t>
      </w:r>
      <w:r>
        <w:rPr>
          <w:color w:val="231F20"/>
          <w:spacing w:val="-5"/>
        </w:rPr>
        <w:t> </w:t>
      </w:r>
      <w:r>
        <w:rPr>
          <w:color w:val="231F20"/>
        </w:rPr>
        <w:t>de</w:t>
      </w:r>
      <w:r>
        <w:rPr>
          <w:color w:val="231F20"/>
          <w:spacing w:val="-3"/>
        </w:rPr>
        <w:t> </w:t>
      </w:r>
      <w:r>
        <w:rPr>
          <w:color w:val="231F20"/>
        </w:rPr>
        <w:t>Clermont-Ferrand,</w:t>
      </w:r>
      <w:r>
        <w:rPr>
          <w:color w:val="231F20"/>
          <w:spacing w:val="-3"/>
        </w:rPr>
        <w:t> </w:t>
      </w:r>
      <w:r>
        <w:rPr>
          <w:color w:val="231F20"/>
        </w:rPr>
        <w:t>dans</w:t>
      </w:r>
      <w:r>
        <w:rPr>
          <w:color w:val="231F20"/>
          <w:spacing w:val="-5"/>
        </w:rPr>
        <w:t> </w:t>
      </w:r>
      <w:r>
        <w:rPr>
          <w:color w:val="231F20"/>
        </w:rPr>
        <w:t>le</w:t>
      </w:r>
      <w:r>
        <w:rPr>
          <w:color w:val="231F20"/>
          <w:spacing w:val="-3"/>
        </w:rPr>
        <w:t> </w:t>
      </w:r>
      <w:r>
        <w:rPr>
          <w:color w:val="231F20"/>
        </w:rPr>
        <w:t>centre</w:t>
      </w:r>
      <w:r>
        <w:rPr>
          <w:color w:val="231F20"/>
          <w:spacing w:val="-3"/>
        </w:rPr>
        <w:t> </w:t>
      </w:r>
      <w:r>
        <w:rPr>
          <w:color w:val="231F20"/>
        </w:rPr>
        <w:t>de</w:t>
      </w:r>
      <w:r>
        <w:rPr>
          <w:color w:val="231F20"/>
          <w:spacing w:val="-5"/>
        </w:rPr>
        <w:t> </w:t>
      </w:r>
      <w:r>
        <w:rPr>
          <w:color w:val="231F20"/>
        </w:rPr>
        <w:t>la</w:t>
      </w:r>
      <w:r>
        <w:rPr>
          <w:color w:val="231F20"/>
          <w:spacing w:val="-5"/>
        </w:rPr>
        <w:t> </w:t>
      </w:r>
      <w:r>
        <w:rPr>
          <w:color w:val="231F20"/>
        </w:rPr>
        <w:t>France.</w:t>
      </w:r>
    </w:p>
    <w:p>
      <w:pPr>
        <w:pStyle w:val="BodyText"/>
        <w:spacing w:before="120"/>
        <w:ind w:right="104" w:firstLine="283"/>
      </w:pPr>
      <w:r>
        <w:rPr>
          <w:color w:val="231F20"/>
        </w:rPr>
        <w:t>Deux sous-ensembles composent la zone franc CFA : l'Union </w:t>
      </w:r>
      <w:r>
        <w:rPr>
          <w:color w:val="231F20"/>
          <w:spacing w:val="-2"/>
        </w:rPr>
        <w:t>Economique</w:t>
      </w:r>
      <w:r>
        <w:rPr>
          <w:color w:val="231F20"/>
          <w:spacing w:val="-15"/>
        </w:rPr>
        <w:t> </w:t>
      </w:r>
      <w:r>
        <w:rPr>
          <w:color w:val="231F20"/>
          <w:spacing w:val="-2"/>
        </w:rPr>
        <w:t>et</w:t>
      </w:r>
      <w:r>
        <w:rPr>
          <w:color w:val="231F20"/>
          <w:spacing w:val="-13"/>
        </w:rPr>
        <w:t> </w:t>
      </w:r>
      <w:r>
        <w:rPr>
          <w:color w:val="231F20"/>
          <w:spacing w:val="-2"/>
        </w:rPr>
        <w:t>Monétaire</w:t>
      </w:r>
      <w:r>
        <w:rPr>
          <w:color w:val="231F20"/>
          <w:spacing w:val="-13"/>
        </w:rPr>
        <w:t> </w:t>
      </w:r>
      <w:r>
        <w:rPr>
          <w:color w:val="231F20"/>
          <w:spacing w:val="-2"/>
        </w:rPr>
        <w:t>Ouest</w:t>
      </w:r>
      <w:r>
        <w:rPr>
          <w:color w:val="231F20"/>
          <w:spacing w:val="-13"/>
        </w:rPr>
        <w:t> </w:t>
      </w:r>
      <w:r>
        <w:rPr>
          <w:color w:val="231F20"/>
          <w:spacing w:val="-2"/>
        </w:rPr>
        <w:t>Africaine</w:t>
      </w:r>
      <w:r>
        <w:rPr>
          <w:color w:val="231F20"/>
          <w:spacing w:val="-13"/>
        </w:rPr>
        <w:t> </w:t>
      </w:r>
      <w:r>
        <w:rPr>
          <w:color w:val="231F20"/>
          <w:spacing w:val="-2"/>
        </w:rPr>
        <w:t>(UEMOA)</w:t>
      </w:r>
      <w:r>
        <w:rPr>
          <w:color w:val="231F20"/>
          <w:spacing w:val="-13"/>
        </w:rPr>
        <w:t> </w:t>
      </w:r>
      <w:r>
        <w:rPr>
          <w:color w:val="231F20"/>
          <w:spacing w:val="-2"/>
        </w:rPr>
        <w:t>et</w:t>
      </w:r>
      <w:r>
        <w:rPr>
          <w:color w:val="231F20"/>
          <w:spacing w:val="-13"/>
        </w:rPr>
        <w:t> </w:t>
      </w:r>
      <w:r>
        <w:rPr>
          <w:color w:val="231F20"/>
          <w:spacing w:val="-2"/>
        </w:rPr>
        <w:t>la</w:t>
      </w:r>
      <w:r>
        <w:rPr>
          <w:color w:val="231F20"/>
          <w:spacing w:val="-13"/>
        </w:rPr>
        <w:t> </w:t>
      </w:r>
      <w:r>
        <w:rPr>
          <w:color w:val="231F20"/>
          <w:spacing w:val="-2"/>
        </w:rPr>
        <w:t>Communauté </w:t>
      </w:r>
      <w:r>
        <w:rPr>
          <w:color w:val="231F20"/>
          <w:spacing w:val="-4"/>
        </w:rPr>
        <w:t>Economique</w:t>
      </w:r>
      <w:r>
        <w:rPr>
          <w:color w:val="231F20"/>
          <w:spacing w:val="-9"/>
        </w:rPr>
        <w:t> </w:t>
      </w:r>
      <w:r>
        <w:rPr>
          <w:color w:val="231F20"/>
          <w:spacing w:val="-4"/>
        </w:rPr>
        <w:t>et</w:t>
      </w:r>
      <w:r>
        <w:rPr>
          <w:color w:val="231F20"/>
          <w:spacing w:val="-7"/>
        </w:rPr>
        <w:t> </w:t>
      </w:r>
      <w:r>
        <w:rPr>
          <w:color w:val="231F20"/>
          <w:spacing w:val="-4"/>
        </w:rPr>
        <w:t>Monétaire</w:t>
      </w:r>
      <w:r>
        <w:rPr>
          <w:color w:val="231F20"/>
          <w:spacing w:val="-11"/>
        </w:rPr>
        <w:t> </w:t>
      </w:r>
      <w:r>
        <w:rPr>
          <w:color w:val="231F20"/>
          <w:spacing w:val="-4"/>
        </w:rPr>
        <w:t>de</w:t>
      </w:r>
      <w:r>
        <w:rPr>
          <w:color w:val="231F20"/>
          <w:spacing w:val="-6"/>
        </w:rPr>
        <w:t> </w:t>
      </w:r>
      <w:r>
        <w:rPr>
          <w:color w:val="231F20"/>
          <w:spacing w:val="-4"/>
        </w:rPr>
        <w:t>l'Afrique</w:t>
      </w:r>
      <w:r>
        <w:rPr>
          <w:color w:val="231F20"/>
          <w:spacing w:val="-9"/>
        </w:rPr>
        <w:t> </w:t>
      </w:r>
      <w:r>
        <w:rPr>
          <w:color w:val="231F20"/>
          <w:spacing w:val="-4"/>
        </w:rPr>
        <w:t>Centrale</w:t>
      </w:r>
      <w:r>
        <w:rPr>
          <w:color w:val="231F20"/>
          <w:spacing w:val="-9"/>
        </w:rPr>
        <w:t> </w:t>
      </w:r>
      <w:r>
        <w:rPr>
          <w:color w:val="231F20"/>
          <w:spacing w:val="-4"/>
        </w:rPr>
        <w:t>(CEMAC).</w:t>
      </w:r>
      <w:r>
        <w:rPr>
          <w:color w:val="231F20"/>
          <w:spacing w:val="-8"/>
        </w:rPr>
        <w:t> </w:t>
      </w:r>
      <w:r>
        <w:rPr>
          <w:color w:val="231F20"/>
          <w:spacing w:val="-4"/>
        </w:rPr>
        <w:t>La</w:t>
      </w:r>
      <w:r>
        <w:rPr>
          <w:color w:val="231F20"/>
          <w:spacing w:val="-9"/>
        </w:rPr>
        <w:t> </w:t>
      </w:r>
      <w:r>
        <w:rPr>
          <w:color w:val="231F20"/>
          <w:spacing w:val="-4"/>
        </w:rPr>
        <w:t>zone</w:t>
      </w:r>
      <w:r>
        <w:rPr>
          <w:color w:val="231F20"/>
          <w:spacing w:val="-6"/>
        </w:rPr>
        <w:t> </w:t>
      </w:r>
      <w:r>
        <w:rPr>
          <w:color w:val="231F20"/>
          <w:spacing w:val="-4"/>
        </w:rPr>
        <w:t>franc </w:t>
      </w:r>
      <w:r>
        <w:rPr>
          <w:color w:val="231F20"/>
        </w:rPr>
        <w:t>comprend 14 pays d'Afrique subsaharienne: 8 membres de l'UEMOA (Bénin,</w:t>
      </w:r>
      <w:r>
        <w:rPr>
          <w:color w:val="231F20"/>
          <w:spacing w:val="-15"/>
        </w:rPr>
        <w:t> </w:t>
      </w:r>
      <w:r>
        <w:rPr>
          <w:color w:val="231F20"/>
        </w:rPr>
        <w:t>Burkina</w:t>
      </w:r>
      <w:r>
        <w:rPr>
          <w:color w:val="231F20"/>
          <w:spacing w:val="-15"/>
        </w:rPr>
        <w:t> </w:t>
      </w:r>
      <w:r>
        <w:rPr>
          <w:color w:val="231F20"/>
        </w:rPr>
        <w:t>Faso,</w:t>
      </w:r>
      <w:r>
        <w:rPr>
          <w:color w:val="231F20"/>
          <w:spacing w:val="-15"/>
        </w:rPr>
        <w:t> </w:t>
      </w:r>
      <w:r>
        <w:rPr>
          <w:color w:val="231F20"/>
        </w:rPr>
        <w:t>Côte</w:t>
      </w:r>
      <w:r>
        <w:rPr>
          <w:color w:val="231F20"/>
          <w:spacing w:val="-15"/>
        </w:rPr>
        <w:t> </w:t>
      </w:r>
      <w:r>
        <w:rPr>
          <w:color w:val="231F20"/>
        </w:rPr>
        <w:t>d'Ivoire,</w:t>
      </w:r>
      <w:r>
        <w:rPr>
          <w:color w:val="231F20"/>
          <w:spacing w:val="-15"/>
        </w:rPr>
        <w:t> </w:t>
      </w:r>
      <w:r>
        <w:rPr>
          <w:color w:val="231F20"/>
        </w:rPr>
        <w:t>Mali,</w:t>
      </w:r>
      <w:r>
        <w:rPr>
          <w:color w:val="231F20"/>
          <w:spacing w:val="-15"/>
        </w:rPr>
        <w:t> </w:t>
      </w:r>
      <w:r>
        <w:rPr>
          <w:color w:val="231F20"/>
        </w:rPr>
        <w:t>Niger,</w:t>
      </w:r>
      <w:r>
        <w:rPr>
          <w:color w:val="231F20"/>
          <w:spacing w:val="-15"/>
        </w:rPr>
        <w:t> </w:t>
      </w:r>
      <w:r>
        <w:rPr>
          <w:color w:val="231F20"/>
        </w:rPr>
        <w:t>Sénégal,</w:t>
      </w:r>
      <w:r>
        <w:rPr>
          <w:color w:val="231F20"/>
          <w:spacing w:val="-15"/>
        </w:rPr>
        <w:t> </w:t>
      </w:r>
      <w:r>
        <w:rPr>
          <w:color w:val="231F20"/>
        </w:rPr>
        <w:t>Togo)</w:t>
      </w:r>
      <w:r>
        <w:rPr>
          <w:color w:val="231F20"/>
          <w:spacing w:val="-15"/>
        </w:rPr>
        <w:t> </w:t>
      </w:r>
      <w:r>
        <w:rPr>
          <w:color w:val="231F20"/>
        </w:rPr>
        <w:t>et</w:t>
      </w:r>
      <w:r>
        <w:rPr>
          <w:color w:val="231F20"/>
          <w:spacing w:val="-15"/>
        </w:rPr>
        <w:t> </w:t>
      </w:r>
      <w:r>
        <w:rPr>
          <w:color w:val="231F20"/>
        </w:rPr>
        <w:t>6</w:t>
      </w:r>
      <w:r>
        <w:rPr>
          <w:color w:val="231F20"/>
          <w:spacing w:val="-15"/>
        </w:rPr>
        <w:t> </w:t>
      </w:r>
      <w:r>
        <w:rPr>
          <w:color w:val="231F20"/>
        </w:rPr>
        <w:t>de la CEMAC (Cameroun, Centrafrique, Congo, Gabon, Guinée- </w:t>
      </w:r>
      <w:r>
        <w:rPr>
          <w:color w:val="231F20"/>
          <w:spacing w:val="-2"/>
        </w:rPr>
        <w:t>équatoriale</w:t>
      </w:r>
      <w:r>
        <w:rPr>
          <w:color w:val="76787A"/>
          <w:spacing w:val="-2"/>
          <w:vertAlign w:val="superscript"/>
        </w:rPr>
        <w:t>252</w:t>
      </w:r>
      <w:r>
        <w:rPr>
          <w:color w:val="231F20"/>
          <w:spacing w:val="-2"/>
          <w:vertAlign w:val="baseline"/>
        </w:rPr>
        <w:t>,</w:t>
      </w:r>
      <w:r>
        <w:rPr>
          <w:color w:val="231F20"/>
          <w:spacing w:val="-10"/>
          <w:vertAlign w:val="baseline"/>
        </w:rPr>
        <w:t> </w:t>
      </w:r>
      <w:r>
        <w:rPr>
          <w:color w:val="231F20"/>
          <w:spacing w:val="-2"/>
          <w:vertAlign w:val="baseline"/>
        </w:rPr>
        <w:t>Tchad).</w:t>
      </w:r>
      <w:r>
        <w:rPr>
          <w:color w:val="231F20"/>
          <w:spacing w:val="-11"/>
          <w:vertAlign w:val="baseline"/>
        </w:rPr>
        <w:t> </w:t>
      </w:r>
      <w:r>
        <w:rPr>
          <w:color w:val="231F20"/>
          <w:spacing w:val="-2"/>
          <w:vertAlign w:val="baseline"/>
        </w:rPr>
        <w:t>Ces</w:t>
      </w:r>
      <w:r>
        <w:rPr>
          <w:color w:val="231F20"/>
          <w:spacing w:val="-11"/>
          <w:vertAlign w:val="baseline"/>
        </w:rPr>
        <w:t> </w:t>
      </w:r>
      <w:r>
        <w:rPr>
          <w:color w:val="231F20"/>
          <w:spacing w:val="-2"/>
          <w:vertAlign w:val="baseline"/>
        </w:rPr>
        <w:t>deux</w:t>
      </w:r>
      <w:r>
        <w:rPr>
          <w:color w:val="231F20"/>
          <w:spacing w:val="-10"/>
          <w:vertAlign w:val="baseline"/>
        </w:rPr>
        <w:t> </w:t>
      </w:r>
      <w:r>
        <w:rPr>
          <w:color w:val="231F20"/>
          <w:spacing w:val="-2"/>
          <w:vertAlign w:val="baseline"/>
        </w:rPr>
        <w:t>zones</w:t>
      </w:r>
      <w:r>
        <w:rPr>
          <w:color w:val="231F20"/>
          <w:spacing w:val="-12"/>
          <w:vertAlign w:val="baseline"/>
        </w:rPr>
        <w:t> </w:t>
      </w:r>
      <w:r>
        <w:rPr>
          <w:color w:val="231F20"/>
          <w:spacing w:val="-2"/>
          <w:vertAlign w:val="baseline"/>
        </w:rPr>
        <w:t>ont</w:t>
      </w:r>
      <w:r>
        <w:rPr>
          <w:color w:val="231F20"/>
          <w:spacing w:val="-11"/>
          <w:vertAlign w:val="baseline"/>
        </w:rPr>
        <w:t> </w:t>
      </w:r>
      <w:r>
        <w:rPr>
          <w:color w:val="231F20"/>
          <w:spacing w:val="-2"/>
          <w:vertAlign w:val="baseline"/>
        </w:rPr>
        <w:t>chacune</w:t>
      </w:r>
      <w:r>
        <w:rPr>
          <w:color w:val="231F20"/>
          <w:spacing w:val="-12"/>
          <w:vertAlign w:val="baseline"/>
        </w:rPr>
        <w:t> </w:t>
      </w:r>
      <w:r>
        <w:rPr>
          <w:color w:val="231F20"/>
          <w:spacing w:val="-2"/>
          <w:vertAlign w:val="baseline"/>
        </w:rPr>
        <w:t>leur</w:t>
      </w:r>
      <w:r>
        <w:rPr>
          <w:color w:val="231F20"/>
          <w:spacing w:val="-10"/>
          <w:vertAlign w:val="baseline"/>
        </w:rPr>
        <w:t> </w:t>
      </w:r>
      <w:r>
        <w:rPr>
          <w:color w:val="231F20"/>
          <w:spacing w:val="-2"/>
          <w:vertAlign w:val="baseline"/>
        </w:rPr>
        <w:t>banque</w:t>
      </w:r>
      <w:r>
        <w:rPr>
          <w:color w:val="231F20"/>
          <w:spacing w:val="-12"/>
          <w:vertAlign w:val="baseline"/>
        </w:rPr>
        <w:t> </w:t>
      </w:r>
      <w:r>
        <w:rPr>
          <w:color w:val="231F20"/>
          <w:spacing w:val="-2"/>
          <w:vertAlign w:val="baseline"/>
        </w:rPr>
        <w:t>centrale, </w:t>
      </w:r>
      <w:r>
        <w:rPr>
          <w:color w:val="231F20"/>
          <w:vertAlign w:val="baseline"/>
        </w:rPr>
        <w:t>basées</w:t>
      </w:r>
      <w:r>
        <w:rPr>
          <w:color w:val="231F20"/>
          <w:spacing w:val="-15"/>
          <w:vertAlign w:val="baseline"/>
        </w:rPr>
        <w:t> </w:t>
      </w:r>
      <w:r>
        <w:rPr>
          <w:color w:val="231F20"/>
          <w:vertAlign w:val="baseline"/>
        </w:rPr>
        <w:t>à</w:t>
      </w:r>
      <w:r>
        <w:rPr>
          <w:color w:val="231F20"/>
          <w:spacing w:val="-15"/>
          <w:vertAlign w:val="baseline"/>
        </w:rPr>
        <w:t> </w:t>
      </w:r>
      <w:r>
        <w:rPr>
          <w:color w:val="231F20"/>
          <w:vertAlign w:val="baseline"/>
        </w:rPr>
        <w:t>Dakar</w:t>
      </w:r>
      <w:r>
        <w:rPr>
          <w:color w:val="231F20"/>
          <w:spacing w:val="-15"/>
          <w:vertAlign w:val="baseline"/>
        </w:rPr>
        <w:t> </w:t>
      </w:r>
      <w:r>
        <w:rPr>
          <w:color w:val="231F20"/>
          <w:vertAlign w:val="baseline"/>
        </w:rPr>
        <w:t>(BCEAO)</w:t>
      </w:r>
      <w:r>
        <w:rPr>
          <w:color w:val="231F20"/>
          <w:spacing w:val="-15"/>
          <w:vertAlign w:val="baseline"/>
        </w:rPr>
        <w:t> </w:t>
      </w:r>
      <w:r>
        <w:rPr>
          <w:color w:val="231F20"/>
          <w:vertAlign w:val="baseline"/>
        </w:rPr>
        <w:t>et</w:t>
      </w:r>
      <w:r>
        <w:rPr>
          <w:color w:val="231F20"/>
          <w:spacing w:val="-15"/>
          <w:vertAlign w:val="baseline"/>
        </w:rPr>
        <w:t> </w:t>
      </w:r>
      <w:r>
        <w:rPr>
          <w:color w:val="231F20"/>
          <w:vertAlign w:val="baseline"/>
        </w:rPr>
        <w:t>Yaoundé</w:t>
      </w:r>
      <w:r>
        <w:rPr>
          <w:color w:val="231F20"/>
          <w:spacing w:val="-15"/>
          <w:vertAlign w:val="baseline"/>
        </w:rPr>
        <w:t> </w:t>
      </w:r>
      <w:r>
        <w:rPr>
          <w:color w:val="231F20"/>
          <w:vertAlign w:val="baseline"/>
        </w:rPr>
        <w:t>(BEAC).</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monnaie</w:t>
      </w:r>
      <w:r>
        <w:rPr>
          <w:color w:val="231F20"/>
          <w:spacing w:val="-15"/>
          <w:vertAlign w:val="baseline"/>
        </w:rPr>
        <w:t> </w:t>
      </w:r>
      <w:r>
        <w:rPr>
          <w:color w:val="231F20"/>
          <w:vertAlign w:val="baseline"/>
        </w:rPr>
        <w:t>commune</w:t>
      </w:r>
      <w:r>
        <w:rPr>
          <w:color w:val="231F20"/>
          <w:spacing w:val="-15"/>
          <w:vertAlign w:val="baseline"/>
        </w:rPr>
        <w:t> </w:t>
      </w:r>
      <w:r>
        <w:rPr>
          <w:color w:val="231F20"/>
          <w:vertAlign w:val="baseline"/>
        </w:rPr>
        <w:t>à cette zone est depuis 1945 le "franc CFA"</w:t>
      </w:r>
      <w:r>
        <w:rPr>
          <w:color w:val="231F20"/>
          <w:spacing w:val="-15"/>
          <w:vertAlign w:val="baseline"/>
        </w:rPr>
        <w:t> </w:t>
      </w:r>
      <w:r>
        <w:rPr>
          <w:color w:val="231F20"/>
          <w:vertAlign w:val="baseline"/>
        </w:rPr>
        <w:t>:"Franc de la Communauté Financière Africaine" dans l'UEMOA et "Franc de la Coopération Financière en Afrique Centrale" dans la CEMAC.</w:t>
      </w:r>
    </w:p>
    <w:p>
      <w:pPr>
        <w:pStyle w:val="BodyText"/>
        <w:spacing w:before="121"/>
        <w:ind w:right="105" w:firstLine="283"/>
        <w:rPr>
          <w:i/>
        </w:rPr>
      </w:pPr>
      <w:r>
        <w:rPr>
          <w:color w:val="231F20"/>
        </w:rPr>
        <w:t>La France conserve des relations commerciales et financières très étroites</w:t>
      </w:r>
      <w:r>
        <w:rPr>
          <w:color w:val="231F20"/>
          <w:spacing w:val="-6"/>
        </w:rPr>
        <w:t> </w:t>
      </w:r>
      <w:r>
        <w:rPr>
          <w:color w:val="231F20"/>
        </w:rPr>
        <w:t>avec</w:t>
      </w:r>
      <w:r>
        <w:rPr>
          <w:color w:val="231F20"/>
          <w:spacing w:val="-6"/>
        </w:rPr>
        <w:t> </w:t>
      </w:r>
      <w:r>
        <w:rPr>
          <w:color w:val="231F20"/>
        </w:rPr>
        <w:t>ses</w:t>
      </w:r>
      <w:r>
        <w:rPr>
          <w:color w:val="231F20"/>
          <w:spacing w:val="-6"/>
        </w:rPr>
        <w:t> </w:t>
      </w:r>
      <w:r>
        <w:rPr>
          <w:color w:val="231F20"/>
        </w:rPr>
        <w:t>anciennes</w:t>
      </w:r>
      <w:r>
        <w:rPr>
          <w:color w:val="231F20"/>
          <w:spacing w:val="-4"/>
        </w:rPr>
        <w:t> </w:t>
      </w:r>
      <w:r>
        <w:rPr>
          <w:color w:val="231F20"/>
        </w:rPr>
        <w:t>colonies</w:t>
      </w:r>
      <w:r>
        <w:rPr>
          <w:color w:val="231F20"/>
          <w:spacing w:val="-6"/>
        </w:rPr>
        <w:t> </w:t>
      </w:r>
      <w:r>
        <w:rPr>
          <w:color w:val="231F20"/>
        </w:rPr>
        <w:t>;</w:t>
      </w:r>
      <w:r>
        <w:rPr>
          <w:color w:val="231F20"/>
          <w:spacing w:val="-4"/>
        </w:rPr>
        <w:t> </w:t>
      </w:r>
      <w:r>
        <w:rPr>
          <w:color w:val="231F20"/>
        </w:rPr>
        <w:t>elle</w:t>
      </w:r>
      <w:r>
        <w:rPr>
          <w:color w:val="231F20"/>
          <w:spacing w:val="-6"/>
        </w:rPr>
        <w:t> </w:t>
      </w:r>
      <w:r>
        <w:rPr>
          <w:color w:val="231F20"/>
        </w:rPr>
        <w:t>garantit</w:t>
      </w:r>
      <w:r>
        <w:rPr>
          <w:color w:val="231F20"/>
          <w:spacing w:val="-5"/>
        </w:rPr>
        <w:t> </w:t>
      </w:r>
      <w:r>
        <w:rPr>
          <w:color w:val="231F20"/>
        </w:rPr>
        <w:t>la</w:t>
      </w:r>
      <w:r>
        <w:rPr>
          <w:color w:val="231F20"/>
          <w:spacing w:val="-6"/>
        </w:rPr>
        <w:t> </w:t>
      </w:r>
      <w:r>
        <w:rPr>
          <w:color w:val="231F20"/>
        </w:rPr>
        <w:t>stabilité</w:t>
      </w:r>
      <w:r>
        <w:rPr>
          <w:color w:val="231F20"/>
          <w:spacing w:val="-8"/>
        </w:rPr>
        <w:t> </w:t>
      </w:r>
      <w:r>
        <w:rPr>
          <w:color w:val="231F20"/>
        </w:rPr>
        <w:t>monétaire entre les deux zones. Cette stabilité est assurée par le lien fixe entre le </w:t>
      </w:r>
      <w:r>
        <w:rPr>
          <w:color w:val="231F20"/>
          <w:spacing w:val="-2"/>
        </w:rPr>
        <w:t>franc</w:t>
      </w:r>
      <w:r>
        <w:rPr>
          <w:color w:val="231F20"/>
          <w:spacing w:val="-13"/>
        </w:rPr>
        <w:t> </w:t>
      </w:r>
      <w:r>
        <w:rPr>
          <w:color w:val="231F20"/>
          <w:spacing w:val="-2"/>
        </w:rPr>
        <w:t>français</w:t>
      </w:r>
      <w:r>
        <w:rPr>
          <w:color w:val="231F20"/>
          <w:spacing w:val="-13"/>
        </w:rPr>
        <w:t> </w:t>
      </w:r>
      <w:r>
        <w:rPr>
          <w:color w:val="231F20"/>
          <w:spacing w:val="-2"/>
        </w:rPr>
        <w:t>et</w:t>
      </w:r>
      <w:r>
        <w:rPr>
          <w:color w:val="231F20"/>
          <w:spacing w:val="-13"/>
        </w:rPr>
        <w:t> </w:t>
      </w:r>
      <w:r>
        <w:rPr>
          <w:color w:val="231F20"/>
          <w:spacing w:val="-2"/>
        </w:rPr>
        <w:t>la</w:t>
      </w:r>
      <w:r>
        <w:rPr>
          <w:color w:val="231F20"/>
          <w:spacing w:val="-13"/>
        </w:rPr>
        <w:t> </w:t>
      </w:r>
      <w:r>
        <w:rPr>
          <w:color w:val="231F20"/>
          <w:spacing w:val="-2"/>
        </w:rPr>
        <w:t>zone</w:t>
      </w:r>
      <w:r>
        <w:rPr>
          <w:color w:val="231F20"/>
          <w:spacing w:val="-13"/>
        </w:rPr>
        <w:t> </w:t>
      </w:r>
      <w:r>
        <w:rPr>
          <w:color w:val="231F20"/>
          <w:spacing w:val="-2"/>
        </w:rPr>
        <w:t>CFA.</w:t>
      </w:r>
      <w:r>
        <w:rPr>
          <w:color w:val="231F20"/>
          <w:spacing w:val="-13"/>
        </w:rPr>
        <w:t> </w:t>
      </w:r>
      <w:r>
        <w:rPr>
          <w:color w:val="231F20"/>
          <w:spacing w:val="-2"/>
        </w:rPr>
        <w:t>Le</w:t>
      </w:r>
      <w:r>
        <w:rPr>
          <w:color w:val="231F20"/>
          <w:spacing w:val="-13"/>
        </w:rPr>
        <w:t> </w:t>
      </w:r>
      <w:r>
        <w:rPr>
          <w:color w:val="231F20"/>
          <w:spacing w:val="-2"/>
        </w:rPr>
        <w:t>contrôle</w:t>
      </w:r>
      <w:r>
        <w:rPr>
          <w:color w:val="231F20"/>
          <w:spacing w:val="-13"/>
        </w:rPr>
        <w:t> </w:t>
      </w:r>
      <w:r>
        <w:rPr>
          <w:color w:val="231F20"/>
          <w:spacing w:val="-2"/>
        </w:rPr>
        <w:t>économique</w:t>
      </w:r>
      <w:r>
        <w:rPr>
          <w:color w:val="231F20"/>
          <w:spacing w:val="-13"/>
        </w:rPr>
        <w:t> </w:t>
      </w:r>
      <w:r>
        <w:rPr>
          <w:color w:val="231F20"/>
          <w:spacing w:val="-2"/>
        </w:rPr>
        <w:t>est</w:t>
      </w:r>
      <w:r>
        <w:rPr>
          <w:color w:val="231F20"/>
          <w:spacing w:val="-13"/>
        </w:rPr>
        <w:t> </w:t>
      </w:r>
      <w:r>
        <w:rPr>
          <w:color w:val="231F20"/>
          <w:spacing w:val="-2"/>
        </w:rPr>
        <w:t>renforcé</w:t>
      </w:r>
      <w:r>
        <w:rPr>
          <w:color w:val="231F20"/>
          <w:spacing w:val="-13"/>
        </w:rPr>
        <w:t> </w:t>
      </w:r>
      <w:r>
        <w:rPr>
          <w:color w:val="231F20"/>
          <w:spacing w:val="-2"/>
        </w:rPr>
        <w:t>par</w:t>
      </w:r>
      <w:r>
        <w:rPr>
          <w:color w:val="231F20"/>
          <w:spacing w:val="-13"/>
        </w:rPr>
        <w:t> </w:t>
      </w:r>
      <w:r>
        <w:rPr>
          <w:color w:val="231F20"/>
          <w:spacing w:val="-2"/>
        </w:rPr>
        <w:t>le </w:t>
      </w:r>
      <w:r>
        <w:rPr>
          <w:color w:val="231F20"/>
        </w:rPr>
        <w:t>fonctionnement</w:t>
      </w:r>
      <w:r>
        <w:rPr>
          <w:color w:val="231F20"/>
          <w:spacing w:val="-14"/>
        </w:rPr>
        <w:t> </w:t>
      </w:r>
      <w:r>
        <w:rPr>
          <w:color w:val="231F20"/>
        </w:rPr>
        <w:t>des</w:t>
      </w:r>
      <w:r>
        <w:rPr>
          <w:color w:val="231F20"/>
          <w:spacing w:val="-11"/>
        </w:rPr>
        <w:t> </w:t>
      </w:r>
      <w:r>
        <w:rPr>
          <w:color w:val="231F20"/>
        </w:rPr>
        <w:t>banques</w:t>
      </w:r>
      <w:r>
        <w:rPr>
          <w:color w:val="231F20"/>
          <w:spacing w:val="-11"/>
        </w:rPr>
        <w:t> </w:t>
      </w:r>
      <w:r>
        <w:rPr>
          <w:color w:val="231F20"/>
        </w:rPr>
        <w:t>centrales</w:t>
      </w:r>
      <w:r>
        <w:rPr>
          <w:color w:val="231F20"/>
          <w:spacing w:val="-11"/>
        </w:rPr>
        <w:t> </w:t>
      </w:r>
      <w:r>
        <w:rPr>
          <w:color w:val="231F20"/>
        </w:rPr>
        <w:t>:</w:t>
      </w:r>
      <w:r>
        <w:rPr>
          <w:color w:val="231F20"/>
          <w:spacing w:val="-12"/>
        </w:rPr>
        <w:t> </w:t>
      </w:r>
      <w:r>
        <w:rPr>
          <w:i/>
          <w:color w:val="231F20"/>
        </w:rPr>
        <w:t>«</w:t>
      </w:r>
      <w:r>
        <w:rPr>
          <w:i/>
          <w:color w:val="231F20"/>
          <w:spacing w:val="-15"/>
        </w:rPr>
        <w:t> </w:t>
      </w:r>
      <w:r>
        <w:rPr>
          <w:i/>
          <w:color w:val="231F20"/>
        </w:rPr>
        <w:t>les</w:t>
      </w:r>
      <w:r>
        <w:rPr>
          <w:i/>
          <w:color w:val="231F20"/>
          <w:spacing w:val="-11"/>
        </w:rPr>
        <w:t> </w:t>
      </w:r>
      <w:r>
        <w:rPr>
          <w:i/>
          <w:color w:val="231F20"/>
        </w:rPr>
        <w:t>pays</w:t>
      </w:r>
      <w:r>
        <w:rPr>
          <w:i/>
          <w:color w:val="231F20"/>
          <w:spacing w:val="-13"/>
        </w:rPr>
        <w:t> </w:t>
      </w:r>
      <w:r>
        <w:rPr>
          <w:i/>
          <w:color w:val="231F20"/>
        </w:rPr>
        <w:t>ne</w:t>
      </w:r>
      <w:r>
        <w:rPr>
          <w:i/>
          <w:color w:val="231F20"/>
          <w:spacing w:val="-10"/>
        </w:rPr>
        <w:t> </w:t>
      </w:r>
      <w:r>
        <w:rPr>
          <w:i/>
          <w:color w:val="231F20"/>
        </w:rPr>
        <w:t>savent</w:t>
      </w:r>
      <w:r>
        <w:rPr>
          <w:i/>
          <w:color w:val="231F20"/>
          <w:spacing w:val="-13"/>
        </w:rPr>
        <w:t> </w:t>
      </w:r>
      <w:r>
        <w:rPr>
          <w:i/>
          <w:color w:val="231F20"/>
        </w:rPr>
        <w:t>pas,</w:t>
      </w:r>
      <w:r>
        <w:rPr>
          <w:i/>
          <w:color w:val="231F20"/>
          <w:spacing w:val="-10"/>
        </w:rPr>
        <w:t> </w:t>
      </w:r>
      <w:r>
        <w:rPr>
          <w:i/>
          <w:color w:val="231F20"/>
        </w:rPr>
        <w:t>ne</w:t>
      </w:r>
      <w:r>
        <w:rPr>
          <w:i/>
          <w:color w:val="231F20"/>
          <w:spacing w:val="-13"/>
        </w:rPr>
        <w:t> </w:t>
      </w:r>
      <w:r>
        <w:rPr>
          <w:i/>
          <w:color w:val="231F20"/>
          <w:spacing w:val="-4"/>
        </w:rPr>
        <w:t>sont</w:t>
      </w:r>
    </w:p>
    <w:p>
      <w:pPr>
        <w:pStyle w:val="BodyText"/>
        <w:spacing w:before="88"/>
        <w:ind w:left="0"/>
        <w:jc w:val="left"/>
        <w:rPr>
          <w:i/>
          <w:sz w:val="20"/>
        </w:rPr>
      </w:pPr>
      <w:r>
        <w:rPr/>
        <mc:AlternateContent>
          <mc:Choice Requires="wps">
            <w:drawing>
              <wp:anchor distT="0" distB="0" distL="0" distR="0" allowOverlap="1" layoutInCell="1" locked="0" behindDoc="1" simplePos="0" relativeHeight="487664640">
                <wp:simplePos x="0" y="0"/>
                <wp:positionH relativeFrom="page">
                  <wp:posOffset>629907</wp:posOffset>
                </wp:positionH>
                <wp:positionV relativeFrom="paragraph">
                  <wp:posOffset>217373</wp:posOffset>
                </wp:positionV>
                <wp:extent cx="1829435" cy="9525"/>
                <wp:effectExtent l="0" t="0" r="0" b="0"/>
                <wp:wrapTopAndBottom/>
                <wp:docPr id="182" name="Graphic 182"/>
                <wp:cNvGraphicFramePr>
                  <a:graphicFrameLocks/>
                </wp:cNvGraphicFramePr>
                <a:graphic>
                  <a:graphicData uri="http://schemas.microsoft.com/office/word/2010/wordprocessingShape">
                    <wps:wsp>
                      <wps:cNvPr id="182" name="Graphic 182"/>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116016pt;width:144.020pt;height:.72pt;mso-position-horizontal-relative:page;mso-position-vertical-relative:paragraph;z-index:-15651840;mso-wrap-distance-left:0;mso-wrap-distance-right:0" id="docshape180"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251</w:t>
      </w:r>
      <w:r>
        <w:rPr>
          <w:color w:val="76787A"/>
          <w:spacing w:val="-16"/>
          <w:sz w:val="20"/>
          <w:vertAlign w:val="baseline"/>
        </w:rPr>
        <w:t> </w:t>
      </w:r>
      <w:r>
        <w:rPr>
          <w:color w:val="231F20"/>
          <w:spacing w:val="-4"/>
          <w:sz w:val="20"/>
          <w:vertAlign w:val="baseline"/>
        </w:rPr>
        <w:t>Source</w:t>
      </w:r>
      <w:r>
        <w:rPr>
          <w:color w:val="231F20"/>
          <w:spacing w:val="1"/>
          <w:sz w:val="20"/>
          <w:vertAlign w:val="baseline"/>
        </w:rPr>
        <w:t> </w:t>
      </w:r>
      <w:r>
        <w:rPr>
          <w:color w:val="231F20"/>
          <w:spacing w:val="-4"/>
          <w:sz w:val="20"/>
          <w:vertAlign w:val="baseline"/>
        </w:rPr>
        <w:t>:</w:t>
      </w:r>
      <w:r>
        <w:rPr>
          <w:color w:val="231F20"/>
          <w:spacing w:val="-2"/>
          <w:sz w:val="20"/>
          <w:vertAlign w:val="baseline"/>
        </w:rPr>
        <w:t> </w:t>
      </w:r>
      <w:r>
        <w:rPr>
          <w:color w:val="414142"/>
          <w:spacing w:val="-4"/>
          <w:sz w:val="20"/>
          <w:vertAlign w:val="baseline"/>
        </w:rPr>
        <w:t>Haïti,la</w:t>
      </w:r>
      <w:r>
        <w:rPr>
          <w:color w:val="414142"/>
          <w:spacing w:val="-2"/>
          <w:sz w:val="20"/>
          <w:vertAlign w:val="baseline"/>
        </w:rPr>
        <w:t> </w:t>
      </w:r>
      <w:r>
        <w:rPr>
          <w:color w:val="414142"/>
          <w:spacing w:val="-4"/>
          <w:sz w:val="20"/>
          <w:vertAlign w:val="baseline"/>
        </w:rPr>
        <w:t>dette</w:t>
      </w:r>
      <w:r>
        <w:rPr>
          <w:color w:val="414142"/>
          <w:spacing w:val="-2"/>
          <w:sz w:val="20"/>
          <w:vertAlign w:val="baseline"/>
        </w:rPr>
        <w:t> </w:t>
      </w:r>
      <w:r>
        <w:rPr>
          <w:color w:val="414142"/>
          <w:spacing w:val="-4"/>
          <w:sz w:val="20"/>
          <w:vertAlign w:val="baseline"/>
        </w:rPr>
        <w:t>originelle,</w:t>
      </w:r>
      <w:r>
        <w:rPr>
          <w:color w:val="414142"/>
          <w:sz w:val="20"/>
          <w:vertAlign w:val="baseline"/>
        </w:rPr>
        <w:t> </w:t>
      </w:r>
      <w:r>
        <w:rPr>
          <w:color w:val="404041"/>
          <w:spacing w:val="-4"/>
          <w:sz w:val="20"/>
          <w:shd w:fill="F6F7F7" w:color="auto" w:val="clear"/>
          <w:vertAlign w:val="baseline"/>
        </w:rPr>
        <w:t>Louis-Philippe</w:t>
      </w:r>
      <w:r>
        <w:rPr>
          <w:color w:val="404041"/>
          <w:spacing w:val="-1"/>
          <w:sz w:val="20"/>
          <w:shd w:fill="F6F7F7" w:color="auto" w:val="clear"/>
          <w:vertAlign w:val="baseline"/>
        </w:rPr>
        <w:t> </w:t>
      </w:r>
      <w:r>
        <w:rPr>
          <w:color w:val="404041"/>
          <w:spacing w:val="-4"/>
          <w:sz w:val="20"/>
          <w:shd w:fill="F6F7F7" w:color="auto" w:val="clear"/>
          <w:vertAlign w:val="baseline"/>
        </w:rPr>
        <w:t>Dalembert.</w:t>
      </w:r>
    </w:p>
    <w:p>
      <w:pPr>
        <w:spacing w:before="0"/>
        <w:ind w:left="111" w:right="0" w:firstLine="0"/>
        <w:jc w:val="left"/>
        <w:rPr>
          <w:sz w:val="20"/>
        </w:rPr>
      </w:pPr>
      <w:r>
        <w:rPr>
          <w:color w:val="76787A"/>
          <w:spacing w:val="-2"/>
          <w:sz w:val="20"/>
          <w:vertAlign w:val="superscript"/>
        </w:rPr>
        <w:t>252</w:t>
      </w:r>
      <w:r>
        <w:rPr>
          <w:color w:val="76787A"/>
          <w:spacing w:val="-9"/>
          <w:sz w:val="20"/>
          <w:vertAlign w:val="baseline"/>
        </w:rPr>
        <w:t> </w:t>
      </w:r>
      <w:r>
        <w:rPr>
          <w:color w:val="231F20"/>
          <w:spacing w:val="-2"/>
          <w:sz w:val="20"/>
          <w:vertAlign w:val="baseline"/>
        </w:rPr>
        <w:t>Pays</w:t>
      </w:r>
      <w:r>
        <w:rPr>
          <w:color w:val="231F20"/>
          <w:spacing w:val="-9"/>
          <w:sz w:val="20"/>
          <w:vertAlign w:val="baseline"/>
        </w:rPr>
        <w:t> </w:t>
      </w:r>
      <w:r>
        <w:rPr>
          <w:color w:val="231F20"/>
          <w:spacing w:val="-2"/>
          <w:sz w:val="20"/>
          <w:vertAlign w:val="baseline"/>
        </w:rPr>
        <w:t>lusophone,</w:t>
      </w:r>
      <w:r>
        <w:rPr>
          <w:color w:val="231F20"/>
          <w:spacing w:val="-10"/>
          <w:sz w:val="20"/>
          <w:vertAlign w:val="baseline"/>
        </w:rPr>
        <w:t> </w:t>
      </w:r>
      <w:r>
        <w:rPr>
          <w:color w:val="231F20"/>
          <w:spacing w:val="-2"/>
          <w:sz w:val="20"/>
          <w:vertAlign w:val="baseline"/>
        </w:rPr>
        <w:t>à</w:t>
      </w:r>
      <w:r>
        <w:rPr>
          <w:color w:val="231F20"/>
          <w:spacing w:val="-10"/>
          <w:sz w:val="20"/>
          <w:vertAlign w:val="baseline"/>
        </w:rPr>
        <w:t> </w:t>
      </w:r>
      <w:r>
        <w:rPr>
          <w:color w:val="231F20"/>
          <w:spacing w:val="-2"/>
          <w:sz w:val="20"/>
          <w:vertAlign w:val="baseline"/>
        </w:rPr>
        <w:t>sa</w:t>
      </w:r>
      <w:r>
        <w:rPr>
          <w:color w:val="231F20"/>
          <w:spacing w:val="-10"/>
          <w:sz w:val="20"/>
          <w:vertAlign w:val="baseline"/>
        </w:rPr>
        <w:t> </w:t>
      </w:r>
      <w:r>
        <w:rPr>
          <w:color w:val="231F20"/>
          <w:spacing w:val="-2"/>
          <w:sz w:val="20"/>
          <w:vertAlign w:val="baseline"/>
        </w:rPr>
        <w:t>demande.</w:t>
      </w:r>
    </w:p>
    <w:p>
      <w:pPr>
        <w:spacing w:after="0"/>
        <w:jc w:val="left"/>
        <w:rPr>
          <w:sz w:val="20"/>
        </w:rPr>
        <w:sectPr>
          <w:pgSz w:w="8790" w:h="13610"/>
          <w:pgMar w:header="0" w:footer="802" w:top="1060" w:bottom="1000" w:left="880" w:right="880"/>
        </w:sectPr>
      </w:pPr>
    </w:p>
    <w:p>
      <w:pPr>
        <w:spacing w:line="240" w:lineRule="auto" w:before="66"/>
        <w:ind w:left="111" w:right="105" w:firstLine="0"/>
        <w:jc w:val="both"/>
        <w:rPr>
          <w:b/>
          <w:sz w:val="16"/>
        </w:rPr>
      </w:pPr>
      <w:r>
        <w:rPr>
          <w:i/>
          <w:color w:val="231F20"/>
          <w:sz w:val="24"/>
        </w:rPr>
        <w:t>pas</w:t>
      </w:r>
      <w:r>
        <w:rPr>
          <w:i/>
          <w:color w:val="231F20"/>
          <w:spacing w:val="-14"/>
          <w:sz w:val="24"/>
        </w:rPr>
        <w:t> </w:t>
      </w:r>
      <w:r>
        <w:rPr>
          <w:i/>
          <w:color w:val="231F20"/>
          <w:sz w:val="24"/>
        </w:rPr>
        <w:t>informés,</w:t>
      </w:r>
      <w:r>
        <w:rPr>
          <w:i/>
          <w:color w:val="231F20"/>
          <w:spacing w:val="-14"/>
          <w:sz w:val="24"/>
        </w:rPr>
        <w:t> </w:t>
      </w:r>
      <w:r>
        <w:rPr>
          <w:i/>
          <w:color w:val="231F20"/>
          <w:sz w:val="24"/>
        </w:rPr>
        <w:t>à</w:t>
      </w:r>
      <w:r>
        <w:rPr>
          <w:i/>
          <w:color w:val="231F20"/>
          <w:spacing w:val="-12"/>
          <w:sz w:val="24"/>
        </w:rPr>
        <w:t> </w:t>
      </w:r>
      <w:r>
        <w:rPr>
          <w:i/>
          <w:color w:val="231F20"/>
          <w:sz w:val="24"/>
        </w:rPr>
        <w:t>hauteur</w:t>
      </w:r>
      <w:r>
        <w:rPr>
          <w:i/>
          <w:color w:val="231F20"/>
          <w:spacing w:val="-12"/>
          <w:sz w:val="24"/>
        </w:rPr>
        <w:t> </w:t>
      </w:r>
      <w:r>
        <w:rPr>
          <w:i/>
          <w:color w:val="231F20"/>
          <w:sz w:val="24"/>
        </w:rPr>
        <w:t>de</w:t>
      </w:r>
      <w:r>
        <w:rPr>
          <w:i/>
          <w:color w:val="231F20"/>
          <w:spacing w:val="-13"/>
          <w:sz w:val="24"/>
        </w:rPr>
        <w:t> </w:t>
      </w:r>
      <w:r>
        <w:rPr>
          <w:i/>
          <w:color w:val="231F20"/>
          <w:sz w:val="24"/>
        </w:rPr>
        <w:t>combien</w:t>
      </w:r>
      <w:r>
        <w:rPr>
          <w:i/>
          <w:color w:val="231F20"/>
          <w:spacing w:val="-14"/>
          <w:sz w:val="24"/>
        </w:rPr>
        <w:t> </w:t>
      </w:r>
      <w:r>
        <w:rPr>
          <w:i/>
          <w:color w:val="231F20"/>
          <w:sz w:val="24"/>
        </w:rPr>
        <w:t>la</w:t>
      </w:r>
      <w:r>
        <w:rPr>
          <w:i/>
          <w:color w:val="231F20"/>
          <w:spacing w:val="-14"/>
          <w:sz w:val="24"/>
        </w:rPr>
        <w:t> </w:t>
      </w:r>
      <w:r>
        <w:rPr>
          <w:i/>
          <w:color w:val="231F20"/>
          <w:sz w:val="24"/>
        </w:rPr>
        <w:t>réserve</w:t>
      </w:r>
      <w:r>
        <w:rPr>
          <w:i/>
          <w:color w:val="231F20"/>
          <w:spacing w:val="-13"/>
          <w:sz w:val="24"/>
        </w:rPr>
        <w:t> </w:t>
      </w:r>
      <w:r>
        <w:rPr>
          <w:i/>
          <w:color w:val="231F20"/>
          <w:sz w:val="24"/>
        </w:rPr>
        <w:t>de</w:t>
      </w:r>
      <w:r>
        <w:rPr>
          <w:i/>
          <w:color w:val="231F20"/>
          <w:spacing w:val="-13"/>
          <w:sz w:val="24"/>
        </w:rPr>
        <w:t> </w:t>
      </w:r>
      <w:r>
        <w:rPr>
          <w:i/>
          <w:color w:val="231F20"/>
          <w:sz w:val="24"/>
        </w:rPr>
        <w:t>change</w:t>
      </w:r>
      <w:r>
        <w:rPr>
          <w:i/>
          <w:color w:val="231F20"/>
          <w:spacing w:val="-13"/>
          <w:sz w:val="24"/>
        </w:rPr>
        <w:t> </w:t>
      </w:r>
      <w:r>
        <w:rPr>
          <w:i/>
          <w:color w:val="231F20"/>
          <w:sz w:val="24"/>
        </w:rPr>
        <w:t>détenue</w:t>
      </w:r>
      <w:r>
        <w:rPr>
          <w:i/>
          <w:color w:val="231F20"/>
          <w:spacing w:val="-12"/>
          <w:sz w:val="24"/>
        </w:rPr>
        <w:t> </w:t>
      </w:r>
      <w:r>
        <w:rPr>
          <w:i/>
          <w:color w:val="231F20"/>
          <w:sz w:val="24"/>
        </w:rPr>
        <w:t>par</w:t>
      </w:r>
      <w:r>
        <w:rPr>
          <w:i/>
          <w:color w:val="231F20"/>
          <w:spacing w:val="-14"/>
          <w:sz w:val="24"/>
        </w:rPr>
        <w:t> </w:t>
      </w:r>
      <w:r>
        <w:rPr>
          <w:i/>
          <w:color w:val="231F20"/>
          <w:sz w:val="24"/>
        </w:rPr>
        <w:t>le</w:t>
      </w:r>
      <w:r>
        <w:rPr>
          <w:i/>
          <w:color w:val="231F20"/>
          <w:sz w:val="24"/>
        </w:rPr>
        <w:t> Trésor</w:t>
      </w:r>
      <w:r>
        <w:rPr>
          <w:i/>
          <w:color w:val="231F20"/>
          <w:spacing w:val="-12"/>
          <w:sz w:val="24"/>
        </w:rPr>
        <w:t> </w:t>
      </w:r>
      <w:r>
        <w:rPr>
          <w:i/>
          <w:color w:val="231F20"/>
          <w:sz w:val="24"/>
        </w:rPr>
        <w:t>français</w:t>
      </w:r>
      <w:r>
        <w:rPr>
          <w:i/>
          <w:color w:val="231F20"/>
          <w:spacing w:val="-12"/>
          <w:sz w:val="24"/>
        </w:rPr>
        <w:t> </w:t>
      </w:r>
      <w:r>
        <w:rPr>
          <w:i/>
          <w:color w:val="231F20"/>
          <w:sz w:val="24"/>
        </w:rPr>
        <w:t>leur</w:t>
      </w:r>
      <w:r>
        <w:rPr>
          <w:i/>
          <w:color w:val="231F20"/>
          <w:spacing w:val="-12"/>
          <w:sz w:val="24"/>
        </w:rPr>
        <w:t> </w:t>
      </w:r>
      <w:r>
        <w:rPr>
          <w:i/>
          <w:color w:val="231F20"/>
          <w:sz w:val="24"/>
        </w:rPr>
        <w:t>appartient</w:t>
      </w:r>
      <w:r>
        <w:rPr>
          <w:i/>
          <w:color w:val="231F20"/>
          <w:spacing w:val="-12"/>
          <w:sz w:val="24"/>
        </w:rPr>
        <w:t> </w:t>
      </w:r>
      <w:r>
        <w:rPr>
          <w:i/>
          <w:color w:val="231F20"/>
          <w:sz w:val="24"/>
        </w:rPr>
        <w:t>en</w:t>
      </w:r>
      <w:r>
        <w:rPr>
          <w:i/>
          <w:color w:val="231F20"/>
          <w:spacing w:val="-12"/>
          <w:sz w:val="24"/>
        </w:rPr>
        <w:t> </w:t>
      </w:r>
      <w:r>
        <w:rPr>
          <w:i/>
          <w:color w:val="231F20"/>
          <w:sz w:val="24"/>
        </w:rPr>
        <w:t>tant</w:t>
      </w:r>
      <w:r>
        <w:rPr>
          <w:i/>
          <w:color w:val="231F20"/>
          <w:spacing w:val="-13"/>
          <w:sz w:val="24"/>
        </w:rPr>
        <w:t> </w:t>
      </w:r>
      <w:r>
        <w:rPr>
          <w:i/>
          <w:color w:val="231F20"/>
          <w:sz w:val="24"/>
        </w:rPr>
        <w:t>que</w:t>
      </w:r>
      <w:r>
        <w:rPr>
          <w:i/>
          <w:color w:val="231F20"/>
          <w:spacing w:val="-12"/>
          <w:sz w:val="24"/>
        </w:rPr>
        <w:t> </w:t>
      </w:r>
      <w:r>
        <w:rPr>
          <w:i/>
          <w:color w:val="231F20"/>
          <w:sz w:val="24"/>
        </w:rPr>
        <w:t>groupe</w:t>
      </w:r>
      <w:r>
        <w:rPr>
          <w:i/>
          <w:color w:val="231F20"/>
          <w:spacing w:val="-14"/>
          <w:sz w:val="24"/>
        </w:rPr>
        <w:t> </w:t>
      </w:r>
      <w:r>
        <w:rPr>
          <w:i/>
          <w:color w:val="231F20"/>
          <w:sz w:val="24"/>
        </w:rPr>
        <w:t>ou</w:t>
      </w:r>
      <w:r>
        <w:rPr>
          <w:i/>
          <w:color w:val="231F20"/>
          <w:spacing w:val="-12"/>
          <w:sz w:val="24"/>
        </w:rPr>
        <w:t> </w:t>
      </w:r>
      <w:r>
        <w:rPr>
          <w:i/>
          <w:color w:val="231F20"/>
          <w:sz w:val="24"/>
        </w:rPr>
        <w:t>individuellement. Seul un groupe restreint de hauts fonctionnaires du Trésor français </w:t>
      </w:r>
      <w:r>
        <w:rPr>
          <w:i/>
          <w:color w:val="231F20"/>
          <w:spacing w:val="-2"/>
          <w:sz w:val="24"/>
        </w:rPr>
        <w:t>connaît</w:t>
      </w:r>
      <w:r>
        <w:rPr>
          <w:i/>
          <w:color w:val="231F20"/>
          <w:spacing w:val="-13"/>
          <w:sz w:val="24"/>
        </w:rPr>
        <w:t> </w:t>
      </w:r>
      <w:r>
        <w:rPr>
          <w:i/>
          <w:color w:val="231F20"/>
          <w:spacing w:val="-2"/>
          <w:sz w:val="24"/>
        </w:rPr>
        <w:t>les</w:t>
      </w:r>
      <w:r>
        <w:rPr>
          <w:i/>
          <w:color w:val="231F20"/>
          <w:spacing w:val="-13"/>
          <w:sz w:val="24"/>
        </w:rPr>
        <w:t> </w:t>
      </w:r>
      <w:r>
        <w:rPr>
          <w:i/>
          <w:color w:val="231F20"/>
          <w:spacing w:val="-2"/>
          <w:sz w:val="24"/>
        </w:rPr>
        <w:t>montants</w:t>
      </w:r>
      <w:r>
        <w:rPr>
          <w:i/>
          <w:color w:val="231F20"/>
          <w:spacing w:val="-13"/>
          <w:sz w:val="24"/>
        </w:rPr>
        <w:t> </w:t>
      </w:r>
      <w:r>
        <w:rPr>
          <w:i/>
          <w:color w:val="231F20"/>
          <w:spacing w:val="-2"/>
          <w:sz w:val="24"/>
        </w:rPr>
        <w:t>figurant</w:t>
      </w:r>
      <w:r>
        <w:rPr>
          <w:i/>
          <w:color w:val="231F20"/>
          <w:spacing w:val="-13"/>
          <w:sz w:val="24"/>
        </w:rPr>
        <w:t> </w:t>
      </w:r>
      <w:r>
        <w:rPr>
          <w:i/>
          <w:color w:val="231F20"/>
          <w:spacing w:val="-2"/>
          <w:sz w:val="24"/>
        </w:rPr>
        <w:t>dans</w:t>
      </w:r>
      <w:r>
        <w:rPr>
          <w:i/>
          <w:color w:val="231F20"/>
          <w:spacing w:val="-13"/>
          <w:sz w:val="24"/>
        </w:rPr>
        <w:t> </w:t>
      </w:r>
      <w:r>
        <w:rPr>
          <w:i/>
          <w:color w:val="231F20"/>
          <w:spacing w:val="-2"/>
          <w:sz w:val="24"/>
        </w:rPr>
        <w:t>les</w:t>
      </w:r>
      <w:r>
        <w:rPr>
          <w:i/>
          <w:color w:val="231F20"/>
          <w:spacing w:val="-13"/>
          <w:sz w:val="24"/>
        </w:rPr>
        <w:t> </w:t>
      </w:r>
      <w:r>
        <w:rPr>
          <w:i/>
          <w:color w:val="231F20"/>
          <w:spacing w:val="-2"/>
          <w:sz w:val="24"/>
        </w:rPr>
        <w:t>comptes</w:t>
      </w:r>
      <w:r>
        <w:rPr>
          <w:i/>
          <w:color w:val="231F20"/>
          <w:spacing w:val="-13"/>
          <w:sz w:val="24"/>
        </w:rPr>
        <w:t> </w:t>
      </w:r>
      <w:r>
        <w:rPr>
          <w:i/>
          <w:color w:val="231F20"/>
          <w:spacing w:val="-2"/>
          <w:sz w:val="24"/>
        </w:rPr>
        <w:t>d’opérations</w:t>
      </w:r>
      <w:r>
        <w:rPr>
          <w:i/>
          <w:color w:val="231F20"/>
          <w:spacing w:val="-13"/>
          <w:sz w:val="24"/>
        </w:rPr>
        <w:t> </w:t>
      </w:r>
      <w:r>
        <w:rPr>
          <w:i/>
          <w:color w:val="231F20"/>
          <w:spacing w:val="-2"/>
          <w:sz w:val="24"/>
        </w:rPr>
        <w:t>où</w:t>
      </w:r>
      <w:r>
        <w:rPr>
          <w:i/>
          <w:color w:val="231F20"/>
          <w:spacing w:val="-13"/>
          <w:sz w:val="24"/>
        </w:rPr>
        <w:t> </w:t>
      </w:r>
      <w:r>
        <w:rPr>
          <w:i/>
          <w:color w:val="231F20"/>
          <w:spacing w:val="-2"/>
          <w:sz w:val="24"/>
        </w:rPr>
        <w:t>ces</w:t>
      </w:r>
      <w:r>
        <w:rPr>
          <w:i/>
          <w:color w:val="231F20"/>
          <w:spacing w:val="-13"/>
          <w:sz w:val="24"/>
        </w:rPr>
        <w:t> </w:t>
      </w:r>
      <w:r>
        <w:rPr>
          <w:i/>
          <w:color w:val="231F20"/>
          <w:spacing w:val="-2"/>
          <w:sz w:val="24"/>
        </w:rPr>
        <w:t>fonds </w:t>
      </w:r>
      <w:r>
        <w:rPr>
          <w:i/>
          <w:color w:val="231F20"/>
          <w:sz w:val="24"/>
        </w:rPr>
        <w:t>sont investis</w:t>
      </w:r>
      <w:r>
        <w:rPr>
          <w:i/>
          <w:color w:val="231F20"/>
          <w:spacing w:val="-12"/>
          <w:sz w:val="24"/>
        </w:rPr>
        <w:t> </w:t>
      </w:r>
      <w:r>
        <w:rPr>
          <w:i/>
          <w:color w:val="231F20"/>
          <w:sz w:val="24"/>
        </w:rPr>
        <w:t>; s’il y a un bénéfice sur ces investissements, ils ont interdiction de divulguer ces informations aux banques CFA ou aux banques centrales des États africains. »</w:t>
      </w:r>
      <w:r>
        <w:rPr>
          <w:b/>
          <w:color w:val="76787A"/>
          <w:position w:val="8"/>
          <w:sz w:val="16"/>
        </w:rPr>
        <w:t>253</w:t>
      </w:r>
    </w:p>
    <w:p>
      <w:pPr>
        <w:pStyle w:val="BodyText"/>
        <w:spacing w:before="115"/>
        <w:ind w:right="105" w:firstLine="283"/>
      </w:pPr>
      <w:r>
        <w:rPr>
          <w:color w:val="231F20"/>
        </w:rPr>
        <w:t>La France conserve un droit de veto à l'intérieur de celles-ci et peut </w:t>
      </w:r>
      <w:r>
        <w:rPr>
          <w:color w:val="231F20"/>
          <w:spacing w:val="-4"/>
        </w:rPr>
        <w:t>donc</w:t>
      </w:r>
      <w:r>
        <w:rPr>
          <w:color w:val="231F20"/>
          <w:spacing w:val="-11"/>
        </w:rPr>
        <w:t> </w:t>
      </w:r>
      <w:r>
        <w:rPr>
          <w:color w:val="231F20"/>
          <w:spacing w:val="-4"/>
        </w:rPr>
        <w:t>légalement</w:t>
      </w:r>
      <w:r>
        <w:rPr>
          <w:color w:val="231F20"/>
          <w:spacing w:val="-11"/>
        </w:rPr>
        <w:t> </w:t>
      </w:r>
      <w:r>
        <w:rPr>
          <w:color w:val="231F20"/>
          <w:spacing w:val="-4"/>
        </w:rPr>
        <w:t>bloquer</w:t>
      </w:r>
      <w:r>
        <w:rPr>
          <w:color w:val="231F20"/>
          <w:spacing w:val="-11"/>
        </w:rPr>
        <w:t> </w:t>
      </w:r>
      <w:r>
        <w:rPr>
          <w:color w:val="231F20"/>
          <w:spacing w:val="-4"/>
        </w:rPr>
        <w:t>toute</w:t>
      </w:r>
      <w:r>
        <w:rPr>
          <w:color w:val="231F20"/>
          <w:spacing w:val="-11"/>
        </w:rPr>
        <w:t> </w:t>
      </w:r>
      <w:r>
        <w:rPr>
          <w:color w:val="231F20"/>
          <w:spacing w:val="-4"/>
        </w:rPr>
        <w:t>décision</w:t>
      </w:r>
      <w:r>
        <w:rPr>
          <w:color w:val="231F20"/>
          <w:spacing w:val="-11"/>
        </w:rPr>
        <w:t> </w:t>
      </w:r>
      <w:r>
        <w:rPr>
          <w:color w:val="231F20"/>
          <w:spacing w:val="-4"/>
        </w:rPr>
        <w:t>monétaire</w:t>
      </w:r>
      <w:r>
        <w:rPr>
          <w:color w:val="231F20"/>
          <w:spacing w:val="-11"/>
        </w:rPr>
        <w:t> </w:t>
      </w:r>
      <w:r>
        <w:rPr>
          <w:color w:val="231F20"/>
          <w:spacing w:val="-4"/>
        </w:rPr>
        <w:t>au</w:t>
      </w:r>
      <w:r>
        <w:rPr>
          <w:color w:val="231F20"/>
          <w:spacing w:val="-11"/>
        </w:rPr>
        <w:t> </w:t>
      </w:r>
      <w:r>
        <w:rPr>
          <w:color w:val="231F20"/>
          <w:spacing w:val="-4"/>
        </w:rPr>
        <w:t>sein</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zone</w:t>
      </w:r>
      <w:r>
        <w:rPr>
          <w:color w:val="231F20"/>
          <w:spacing w:val="-11"/>
        </w:rPr>
        <w:t> </w:t>
      </w:r>
      <w:r>
        <w:rPr>
          <w:color w:val="231F20"/>
          <w:spacing w:val="-4"/>
        </w:rPr>
        <w:t>CFA. </w:t>
      </w:r>
      <w:r>
        <w:rPr>
          <w:color w:val="231F20"/>
        </w:rPr>
        <w:t>Elle</w:t>
      </w:r>
      <w:r>
        <w:rPr>
          <w:color w:val="231F20"/>
          <w:spacing w:val="-15"/>
        </w:rPr>
        <w:t> </w:t>
      </w:r>
      <w:r>
        <w:rPr>
          <w:color w:val="231F20"/>
        </w:rPr>
        <w:t>peut</w:t>
      </w:r>
      <w:r>
        <w:rPr>
          <w:color w:val="231F20"/>
          <w:spacing w:val="-15"/>
        </w:rPr>
        <w:t> </w:t>
      </w:r>
      <w:r>
        <w:rPr>
          <w:color w:val="231F20"/>
        </w:rPr>
        <w:t>imposer</w:t>
      </w:r>
      <w:r>
        <w:rPr>
          <w:color w:val="231F20"/>
          <w:spacing w:val="-15"/>
        </w:rPr>
        <w:t> </w:t>
      </w:r>
      <w:r>
        <w:rPr>
          <w:color w:val="231F20"/>
        </w:rPr>
        <w:t>la</w:t>
      </w:r>
      <w:r>
        <w:rPr>
          <w:color w:val="231F20"/>
          <w:spacing w:val="-15"/>
        </w:rPr>
        <w:t> </w:t>
      </w:r>
      <w:r>
        <w:rPr>
          <w:color w:val="231F20"/>
        </w:rPr>
        <w:t>dévaluation</w:t>
      </w:r>
      <w:r>
        <w:rPr>
          <w:color w:val="231F20"/>
          <w:spacing w:val="-15"/>
        </w:rPr>
        <w:t> </w:t>
      </w:r>
      <w:r>
        <w:rPr>
          <w:color w:val="231F20"/>
        </w:rPr>
        <w:t>du</w:t>
      </w:r>
      <w:r>
        <w:rPr>
          <w:color w:val="231F20"/>
          <w:spacing w:val="-15"/>
        </w:rPr>
        <w:t> </w:t>
      </w:r>
      <w:r>
        <w:rPr>
          <w:color w:val="231F20"/>
        </w:rPr>
        <w:t>Franc</w:t>
      </w:r>
      <w:r>
        <w:rPr>
          <w:color w:val="231F20"/>
          <w:spacing w:val="-15"/>
        </w:rPr>
        <w:t> </w:t>
      </w:r>
      <w:r>
        <w:rPr>
          <w:color w:val="231F20"/>
        </w:rPr>
        <w:t>CFA</w:t>
      </w:r>
      <w:r>
        <w:rPr>
          <w:color w:val="231F20"/>
          <w:spacing w:val="-15"/>
        </w:rPr>
        <w:t> </w:t>
      </w:r>
      <w:r>
        <w:rPr>
          <w:color w:val="231F20"/>
        </w:rPr>
        <w:t>si</w:t>
      </w:r>
      <w:r>
        <w:rPr>
          <w:color w:val="231F20"/>
          <w:spacing w:val="-15"/>
        </w:rPr>
        <w:t> </w:t>
      </w:r>
      <w:r>
        <w:rPr>
          <w:color w:val="231F20"/>
        </w:rPr>
        <w:t>elle</w:t>
      </w:r>
      <w:r>
        <w:rPr>
          <w:color w:val="231F20"/>
          <w:spacing w:val="-15"/>
        </w:rPr>
        <w:t> </w:t>
      </w:r>
      <w:r>
        <w:rPr>
          <w:color w:val="231F20"/>
        </w:rPr>
        <w:t>le</w:t>
      </w:r>
      <w:r>
        <w:rPr>
          <w:color w:val="231F20"/>
          <w:spacing w:val="-15"/>
        </w:rPr>
        <w:t> </w:t>
      </w:r>
      <w:r>
        <w:rPr>
          <w:color w:val="231F20"/>
        </w:rPr>
        <w:t>juge</w:t>
      </w:r>
      <w:r>
        <w:rPr>
          <w:color w:val="231F20"/>
          <w:spacing w:val="-15"/>
        </w:rPr>
        <w:t> </w:t>
      </w:r>
      <w:r>
        <w:rPr>
          <w:color w:val="231F20"/>
        </w:rPr>
        <w:t>nécessaire.</w:t>
      </w:r>
    </w:p>
    <w:p>
      <w:pPr>
        <w:pStyle w:val="BodyText"/>
        <w:spacing w:before="120"/>
        <w:ind w:right="103" w:firstLine="283"/>
      </w:pPr>
      <w:r>
        <w:rPr>
          <w:color w:val="231F20"/>
          <w:spacing w:val="-2"/>
        </w:rPr>
        <w:t>Battre</w:t>
      </w:r>
      <w:r>
        <w:rPr>
          <w:color w:val="231F20"/>
          <w:spacing w:val="-10"/>
        </w:rPr>
        <w:t> </w:t>
      </w:r>
      <w:r>
        <w:rPr>
          <w:color w:val="231F20"/>
          <w:spacing w:val="-2"/>
        </w:rPr>
        <w:t>monnaie</w:t>
      </w:r>
      <w:r>
        <w:rPr>
          <w:color w:val="231F20"/>
          <w:spacing w:val="-8"/>
        </w:rPr>
        <w:t> </w:t>
      </w:r>
      <w:r>
        <w:rPr>
          <w:color w:val="231F20"/>
          <w:spacing w:val="-2"/>
        </w:rPr>
        <w:t>fait</w:t>
      </w:r>
      <w:r>
        <w:rPr>
          <w:color w:val="231F20"/>
          <w:spacing w:val="-10"/>
        </w:rPr>
        <w:t> </w:t>
      </w:r>
      <w:r>
        <w:rPr>
          <w:color w:val="231F20"/>
          <w:spacing w:val="-2"/>
        </w:rPr>
        <w:t>partie</w:t>
      </w:r>
      <w:r>
        <w:rPr>
          <w:color w:val="231F20"/>
          <w:spacing w:val="-10"/>
        </w:rPr>
        <w:t> </w:t>
      </w:r>
      <w:r>
        <w:rPr>
          <w:color w:val="231F20"/>
          <w:spacing w:val="-2"/>
        </w:rPr>
        <w:t>des</w:t>
      </w:r>
      <w:r>
        <w:rPr>
          <w:color w:val="231F20"/>
          <w:spacing w:val="-8"/>
        </w:rPr>
        <w:t> </w:t>
      </w:r>
      <w:r>
        <w:rPr>
          <w:color w:val="231F20"/>
          <w:spacing w:val="-2"/>
        </w:rPr>
        <w:t>droits</w:t>
      </w:r>
      <w:r>
        <w:rPr>
          <w:color w:val="231F20"/>
          <w:spacing w:val="-8"/>
        </w:rPr>
        <w:t> </w:t>
      </w:r>
      <w:r>
        <w:rPr>
          <w:color w:val="231F20"/>
          <w:spacing w:val="-2"/>
        </w:rPr>
        <w:t>fondamentaux</w:t>
      </w:r>
      <w:r>
        <w:rPr>
          <w:color w:val="231F20"/>
          <w:spacing w:val="-11"/>
        </w:rPr>
        <w:t> </w:t>
      </w:r>
      <w:r>
        <w:rPr>
          <w:color w:val="231F20"/>
          <w:spacing w:val="-2"/>
        </w:rPr>
        <w:t>d’un</w:t>
      </w:r>
      <w:r>
        <w:rPr>
          <w:color w:val="231F20"/>
          <w:spacing w:val="-8"/>
        </w:rPr>
        <w:t> </w:t>
      </w:r>
      <w:r>
        <w:rPr>
          <w:color w:val="231F20"/>
          <w:spacing w:val="-2"/>
        </w:rPr>
        <w:t>État.</w:t>
      </w:r>
      <w:r>
        <w:rPr>
          <w:color w:val="231F20"/>
          <w:spacing w:val="-8"/>
        </w:rPr>
        <w:t> </w:t>
      </w:r>
      <w:r>
        <w:rPr>
          <w:color w:val="231F20"/>
          <w:spacing w:val="-2"/>
        </w:rPr>
        <w:t>Cela</w:t>
      </w:r>
      <w:r>
        <w:rPr>
          <w:color w:val="231F20"/>
          <w:spacing w:val="-9"/>
        </w:rPr>
        <w:t> </w:t>
      </w:r>
      <w:r>
        <w:rPr>
          <w:color w:val="231F20"/>
          <w:spacing w:val="-2"/>
        </w:rPr>
        <w:t>lui </w:t>
      </w:r>
      <w:r>
        <w:rPr>
          <w:color w:val="231F20"/>
        </w:rPr>
        <w:t>permet</w:t>
      </w:r>
      <w:r>
        <w:rPr>
          <w:color w:val="231F20"/>
          <w:spacing w:val="-6"/>
        </w:rPr>
        <w:t> </w:t>
      </w:r>
      <w:r>
        <w:rPr>
          <w:color w:val="231F20"/>
        </w:rPr>
        <w:t>de</w:t>
      </w:r>
      <w:r>
        <w:rPr>
          <w:color w:val="231F20"/>
          <w:spacing w:val="-8"/>
        </w:rPr>
        <w:t> </w:t>
      </w:r>
      <w:r>
        <w:rPr>
          <w:color w:val="231F20"/>
        </w:rPr>
        <w:t>pouvoir</w:t>
      </w:r>
      <w:r>
        <w:rPr>
          <w:color w:val="231F20"/>
          <w:spacing w:val="-7"/>
        </w:rPr>
        <w:t> </w:t>
      </w:r>
      <w:r>
        <w:rPr>
          <w:color w:val="231F20"/>
        </w:rPr>
        <w:t>emprunter</w:t>
      </w:r>
      <w:r>
        <w:rPr>
          <w:color w:val="231F20"/>
          <w:spacing w:val="-7"/>
        </w:rPr>
        <w:t> </w:t>
      </w:r>
      <w:r>
        <w:rPr>
          <w:color w:val="231F20"/>
        </w:rPr>
        <w:t>à</w:t>
      </w:r>
      <w:r>
        <w:rPr>
          <w:color w:val="231F20"/>
          <w:spacing w:val="-6"/>
        </w:rPr>
        <w:t> </w:t>
      </w:r>
      <w:r>
        <w:rPr>
          <w:color w:val="231F20"/>
        </w:rPr>
        <w:t>sa</w:t>
      </w:r>
      <w:r>
        <w:rPr>
          <w:color w:val="231F20"/>
          <w:spacing w:val="-8"/>
        </w:rPr>
        <w:t> </w:t>
      </w:r>
      <w:r>
        <w:rPr>
          <w:color w:val="231F20"/>
        </w:rPr>
        <w:t>propre</w:t>
      </w:r>
      <w:r>
        <w:rPr>
          <w:color w:val="231F20"/>
          <w:spacing w:val="-8"/>
        </w:rPr>
        <w:t> </w:t>
      </w:r>
      <w:r>
        <w:rPr>
          <w:color w:val="231F20"/>
        </w:rPr>
        <w:t>Banque</w:t>
      </w:r>
      <w:r>
        <w:rPr>
          <w:color w:val="231F20"/>
          <w:spacing w:val="-8"/>
        </w:rPr>
        <w:t> </w:t>
      </w:r>
      <w:r>
        <w:rPr>
          <w:color w:val="231F20"/>
        </w:rPr>
        <w:t>Centrale,</w:t>
      </w:r>
      <w:r>
        <w:rPr>
          <w:color w:val="231F20"/>
          <w:spacing w:val="-8"/>
        </w:rPr>
        <w:t> </w:t>
      </w:r>
      <w:r>
        <w:rPr>
          <w:color w:val="231F20"/>
        </w:rPr>
        <w:t>à</w:t>
      </w:r>
      <w:r>
        <w:rPr>
          <w:color w:val="231F20"/>
          <w:spacing w:val="-7"/>
        </w:rPr>
        <w:t> </w:t>
      </w:r>
      <w:r>
        <w:rPr>
          <w:color w:val="231F20"/>
        </w:rPr>
        <w:t>taux</w:t>
      </w:r>
      <w:r>
        <w:rPr>
          <w:color w:val="231F20"/>
          <w:spacing w:val="-5"/>
        </w:rPr>
        <w:t> </w:t>
      </w:r>
      <w:r>
        <w:rPr>
          <w:color w:val="231F20"/>
        </w:rPr>
        <w:t>quasi nul,</w:t>
      </w:r>
      <w:r>
        <w:rPr>
          <w:color w:val="231F20"/>
          <w:spacing w:val="-15"/>
        </w:rPr>
        <w:t> </w:t>
      </w:r>
      <w:r>
        <w:rPr>
          <w:color w:val="231F20"/>
        </w:rPr>
        <w:t>autrement</w:t>
      </w:r>
      <w:r>
        <w:rPr>
          <w:color w:val="231F20"/>
          <w:spacing w:val="-15"/>
        </w:rPr>
        <w:t> </w:t>
      </w:r>
      <w:r>
        <w:rPr>
          <w:color w:val="231F20"/>
        </w:rPr>
        <w:t>dit</w:t>
      </w:r>
      <w:r>
        <w:rPr>
          <w:color w:val="231F20"/>
          <w:spacing w:val="-15"/>
        </w:rPr>
        <w:t> </w:t>
      </w:r>
      <w:r>
        <w:rPr>
          <w:color w:val="231F20"/>
        </w:rPr>
        <w:t>sans</w:t>
      </w:r>
      <w:r>
        <w:rPr>
          <w:color w:val="231F20"/>
          <w:spacing w:val="-13"/>
        </w:rPr>
        <w:t> </w:t>
      </w:r>
      <w:r>
        <w:rPr>
          <w:color w:val="231F20"/>
        </w:rPr>
        <w:t>intérêt</w:t>
      </w:r>
      <w:r>
        <w:rPr>
          <w:color w:val="231F20"/>
          <w:spacing w:val="-13"/>
        </w:rPr>
        <w:t> </w:t>
      </w:r>
      <w:r>
        <w:rPr>
          <w:color w:val="231F20"/>
        </w:rPr>
        <w:t>et</w:t>
      </w:r>
      <w:r>
        <w:rPr>
          <w:color w:val="231F20"/>
          <w:spacing w:val="-13"/>
        </w:rPr>
        <w:t> </w:t>
      </w:r>
      <w:r>
        <w:rPr>
          <w:color w:val="231F20"/>
        </w:rPr>
        <w:t>assurer</w:t>
      </w:r>
      <w:r>
        <w:rPr>
          <w:color w:val="231F20"/>
          <w:spacing w:val="-13"/>
        </w:rPr>
        <w:t> </w:t>
      </w:r>
      <w:r>
        <w:rPr>
          <w:color w:val="231F20"/>
        </w:rPr>
        <w:t>les</w:t>
      </w:r>
      <w:r>
        <w:rPr>
          <w:color w:val="231F20"/>
          <w:spacing w:val="-13"/>
        </w:rPr>
        <w:t> </w:t>
      </w:r>
      <w:r>
        <w:rPr>
          <w:color w:val="231F20"/>
        </w:rPr>
        <w:t>financements</w:t>
      </w:r>
      <w:r>
        <w:rPr>
          <w:color w:val="231F20"/>
          <w:spacing w:val="-15"/>
        </w:rPr>
        <w:t> </w:t>
      </w:r>
      <w:r>
        <w:rPr>
          <w:color w:val="231F20"/>
        </w:rPr>
        <w:t>nécessaires</w:t>
      </w:r>
      <w:r>
        <w:rPr>
          <w:color w:val="231F20"/>
          <w:spacing w:val="-13"/>
        </w:rPr>
        <w:t> </w:t>
      </w:r>
      <w:r>
        <w:rPr>
          <w:color w:val="231F20"/>
        </w:rPr>
        <w:t>au bon fonctionnement de l’État</w:t>
      </w:r>
      <w:r>
        <w:rPr>
          <w:color w:val="231F20"/>
          <w:spacing w:val="-15"/>
        </w:rPr>
        <w:t> </w:t>
      </w:r>
      <w:r>
        <w:rPr>
          <w:color w:val="231F20"/>
        </w:rPr>
        <w:t>: investir librement et pérenniser son développement</w:t>
      </w:r>
      <w:r>
        <w:rPr>
          <w:color w:val="231F20"/>
          <w:spacing w:val="-14"/>
        </w:rPr>
        <w:t> </w:t>
      </w:r>
      <w:r>
        <w:rPr>
          <w:color w:val="231F20"/>
        </w:rPr>
        <w:t>dans le progrès social : hôpitaux, écoles, routes, </w:t>
      </w:r>
      <w:r>
        <w:rPr>
          <w:color w:val="231F20"/>
          <w:spacing w:val="-2"/>
        </w:rPr>
        <w:t>recherche.</w:t>
      </w:r>
      <w:r>
        <w:rPr>
          <w:color w:val="231F20"/>
          <w:spacing w:val="-13"/>
        </w:rPr>
        <w:t> </w:t>
      </w:r>
      <w:r>
        <w:rPr>
          <w:color w:val="231F20"/>
          <w:spacing w:val="-2"/>
        </w:rPr>
        <w:t>Déléguer</w:t>
      </w:r>
      <w:r>
        <w:rPr>
          <w:color w:val="231F20"/>
          <w:spacing w:val="-13"/>
        </w:rPr>
        <w:t> </w:t>
      </w:r>
      <w:r>
        <w:rPr>
          <w:color w:val="231F20"/>
          <w:spacing w:val="-2"/>
        </w:rPr>
        <w:t>ce</w:t>
      </w:r>
      <w:r>
        <w:rPr>
          <w:color w:val="231F20"/>
          <w:spacing w:val="-13"/>
        </w:rPr>
        <w:t> </w:t>
      </w:r>
      <w:r>
        <w:rPr>
          <w:color w:val="231F20"/>
          <w:spacing w:val="-2"/>
        </w:rPr>
        <w:t>droit</w:t>
      </w:r>
      <w:r>
        <w:rPr>
          <w:color w:val="231F20"/>
          <w:spacing w:val="-13"/>
        </w:rPr>
        <w:t> </w:t>
      </w:r>
      <w:r>
        <w:rPr>
          <w:color w:val="231F20"/>
          <w:spacing w:val="-2"/>
        </w:rPr>
        <w:t>à</w:t>
      </w:r>
      <w:r>
        <w:rPr>
          <w:color w:val="231F20"/>
          <w:spacing w:val="-13"/>
        </w:rPr>
        <w:t> </w:t>
      </w:r>
      <w:r>
        <w:rPr>
          <w:color w:val="231F20"/>
          <w:spacing w:val="-2"/>
        </w:rPr>
        <w:t>des</w:t>
      </w:r>
      <w:r>
        <w:rPr>
          <w:color w:val="231F20"/>
          <w:spacing w:val="-13"/>
        </w:rPr>
        <w:t> </w:t>
      </w:r>
      <w:r>
        <w:rPr>
          <w:color w:val="231F20"/>
          <w:spacing w:val="-2"/>
        </w:rPr>
        <w:t>instances</w:t>
      </w:r>
      <w:r>
        <w:rPr>
          <w:color w:val="231F20"/>
          <w:spacing w:val="-13"/>
        </w:rPr>
        <w:t> </w:t>
      </w:r>
      <w:r>
        <w:rPr>
          <w:color w:val="231F20"/>
          <w:spacing w:val="-2"/>
        </w:rPr>
        <w:t>privées</w:t>
      </w:r>
      <w:r>
        <w:rPr>
          <w:color w:val="231F20"/>
          <w:spacing w:val="-13"/>
        </w:rPr>
        <w:t> </w:t>
      </w:r>
      <w:r>
        <w:rPr>
          <w:color w:val="231F20"/>
          <w:spacing w:val="-2"/>
        </w:rPr>
        <w:t>fait</w:t>
      </w:r>
      <w:r>
        <w:rPr>
          <w:color w:val="231F20"/>
          <w:spacing w:val="-13"/>
        </w:rPr>
        <w:t> </w:t>
      </w:r>
      <w:r>
        <w:rPr>
          <w:color w:val="231F20"/>
          <w:spacing w:val="-2"/>
        </w:rPr>
        <w:t>disparaitre</w:t>
      </w:r>
      <w:r>
        <w:rPr>
          <w:color w:val="231F20"/>
          <w:spacing w:val="-13"/>
        </w:rPr>
        <w:t> </w:t>
      </w:r>
      <w:r>
        <w:rPr>
          <w:color w:val="231F20"/>
          <w:spacing w:val="-2"/>
        </w:rPr>
        <w:t>toutes </w:t>
      </w:r>
      <w:r>
        <w:rPr>
          <w:color w:val="231F20"/>
        </w:rPr>
        <w:t>notions</w:t>
      </w:r>
      <w:r>
        <w:rPr>
          <w:color w:val="231F20"/>
          <w:spacing w:val="-8"/>
        </w:rPr>
        <w:t> </w:t>
      </w:r>
      <w:r>
        <w:rPr>
          <w:color w:val="231F20"/>
        </w:rPr>
        <w:t>de souveraineté</w:t>
      </w:r>
      <w:r>
        <w:rPr>
          <w:color w:val="231F20"/>
          <w:spacing w:val="-15"/>
        </w:rPr>
        <w:t> </w:t>
      </w:r>
      <w:r>
        <w:rPr>
          <w:color w:val="231F20"/>
        </w:rPr>
        <w:t>: «</w:t>
      </w:r>
      <w:r>
        <w:rPr>
          <w:color w:val="231F20"/>
          <w:spacing w:val="-15"/>
        </w:rPr>
        <w:t> </w:t>
      </w:r>
      <w:r>
        <w:rPr>
          <w:color w:val="231F20"/>
        </w:rPr>
        <w:t>lorsqu’un Gouvernement est dépendant des banquiers pour l’argent, ce sont ces derniers, et non les dirigeants du gouvernement</w:t>
      </w:r>
      <w:r>
        <w:rPr>
          <w:color w:val="231F20"/>
          <w:spacing w:val="-10"/>
        </w:rPr>
        <w:t> </w:t>
      </w:r>
      <w:r>
        <w:rPr>
          <w:color w:val="231F20"/>
        </w:rPr>
        <w:t>qui</w:t>
      </w:r>
      <w:r>
        <w:rPr>
          <w:color w:val="231F20"/>
          <w:spacing w:val="-10"/>
        </w:rPr>
        <w:t> </w:t>
      </w:r>
      <w:r>
        <w:rPr>
          <w:color w:val="231F20"/>
        </w:rPr>
        <w:t>contrôlent</w:t>
      </w:r>
      <w:r>
        <w:rPr>
          <w:color w:val="231F20"/>
          <w:spacing w:val="-10"/>
        </w:rPr>
        <w:t> </w:t>
      </w:r>
      <w:r>
        <w:rPr>
          <w:color w:val="231F20"/>
        </w:rPr>
        <w:t>la</w:t>
      </w:r>
      <w:r>
        <w:rPr>
          <w:color w:val="231F20"/>
          <w:spacing w:val="-12"/>
        </w:rPr>
        <w:t> </w:t>
      </w:r>
      <w:r>
        <w:rPr>
          <w:color w:val="231F20"/>
        </w:rPr>
        <w:t>situation,</w:t>
      </w:r>
      <w:r>
        <w:rPr>
          <w:color w:val="231F20"/>
          <w:spacing w:val="-10"/>
        </w:rPr>
        <w:t> </w:t>
      </w:r>
      <w:r>
        <w:rPr>
          <w:color w:val="231F20"/>
        </w:rPr>
        <w:t>puisque</w:t>
      </w:r>
      <w:r>
        <w:rPr>
          <w:color w:val="231F20"/>
          <w:spacing w:val="-10"/>
        </w:rPr>
        <w:t> </w:t>
      </w:r>
      <w:r>
        <w:rPr>
          <w:color w:val="231F20"/>
        </w:rPr>
        <w:t>la</w:t>
      </w:r>
      <w:r>
        <w:rPr>
          <w:color w:val="231F20"/>
          <w:spacing w:val="-10"/>
        </w:rPr>
        <w:t> </w:t>
      </w:r>
      <w:r>
        <w:rPr>
          <w:color w:val="231F20"/>
        </w:rPr>
        <w:t>main</w:t>
      </w:r>
      <w:r>
        <w:rPr>
          <w:color w:val="231F20"/>
          <w:spacing w:val="-12"/>
        </w:rPr>
        <w:t> </w:t>
      </w:r>
      <w:r>
        <w:rPr>
          <w:color w:val="231F20"/>
        </w:rPr>
        <w:t>qui</w:t>
      </w:r>
      <w:r>
        <w:rPr>
          <w:color w:val="231F20"/>
          <w:spacing w:val="-11"/>
        </w:rPr>
        <w:t> </w:t>
      </w:r>
      <w:r>
        <w:rPr>
          <w:color w:val="231F20"/>
        </w:rPr>
        <w:t>donne</w:t>
      </w:r>
      <w:r>
        <w:rPr>
          <w:color w:val="231F20"/>
          <w:spacing w:val="-10"/>
        </w:rPr>
        <w:t> </w:t>
      </w:r>
      <w:r>
        <w:rPr>
          <w:color w:val="231F20"/>
        </w:rPr>
        <w:t>est au-dessus de la main qui reçoit (...) l’argent n’a pas de patrie ; les financiers</w:t>
      </w:r>
      <w:r>
        <w:rPr>
          <w:color w:val="231F20"/>
          <w:spacing w:val="-11"/>
        </w:rPr>
        <w:t> </w:t>
      </w:r>
      <w:r>
        <w:rPr>
          <w:color w:val="231F20"/>
        </w:rPr>
        <w:t>n’ont</w:t>
      </w:r>
      <w:r>
        <w:rPr>
          <w:color w:val="231F20"/>
          <w:spacing w:val="-9"/>
        </w:rPr>
        <w:t> </w:t>
      </w:r>
      <w:r>
        <w:rPr>
          <w:color w:val="231F20"/>
        </w:rPr>
        <w:t>pas</w:t>
      </w:r>
      <w:r>
        <w:rPr>
          <w:color w:val="231F20"/>
          <w:spacing w:val="-11"/>
        </w:rPr>
        <w:t> </w:t>
      </w:r>
      <w:r>
        <w:rPr>
          <w:color w:val="231F20"/>
        </w:rPr>
        <w:t>de</w:t>
      </w:r>
      <w:r>
        <w:rPr>
          <w:color w:val="231F20"/>
          <w:spacing w:val="-11"/>
        </w:rPr>
        <w:t> </w:t>
      </w:r>
      <w:r>
        <w:rPr>
          <w:color w:val="231F20"/>
        </w:rPr>
        <w:t>patriotisme</w:t>
      </w:r>
      <w:r>
        <w:rPr>
          <w:color w:val="231F20"/>
          <w:spacing w:val="-9"/>
        </w:rPr>
        <w:t> </w:t>
      </w:r>
      <w:r>
        <w:rPr>
          <w:color w:val="231F20"/>
        </w:rPr>
        <w:t>et</w:t>
      </w:r>
      <w:r>
        <w:rPr>
          <w:color w:val="231F20"/>
          <w:spacing w:val="-10"/>
        </w:rPr>
        <w:t> </w:t>
      </w:r>
      <w:r>
        <w:rPr>
          <w:color w:val="231F20"/>
        </w:rPr>
        <w:t>n’ont</w:t>
      </w:r>
      <w:r>
        <w:rPr>
          <w:color w:val="231F20"/>
          <w:spacing w:val="-10"/>
        </w:rPr>
        <w:t> </w:t>
      </w:r>
      <w:r>
        <w:rPr>
          <w:color w:val="231F20"/>
        </w:rPr>
        <w:t>pas</w:t>
      </w:r>
      <w:r>
        <w:rPr>
          <w:color w:val="231F20"/>
          <w:spacing w:val="-11"/>
        </w:rPr>
        <w:t> </w:t>
      </w:r>
      <w:r>
        <w:rPr>
          <w:color w:val="231F20"/>
        </w:rPr>
        <w:t>de</w:t>
      </w:r>
      <w:r>
        <w:rPr>
          <w:color w:val="231F20"/>
          <w:spacing w:val="-11"/>
        </w:rPr>
        <w:t> </w:t>
      </w:r>
      <w:r>
        <w:rPr>
          <w:color w:val="231F20"/>
        </w:rPr>
        <w:t>décence</w:t>
      </w:r>
      <w:r>
        <w:rPr>
          <w:color w:val="231F20"/>
          <w:spacing w:val="-9"/>
        </w:rPr>
        <w:t> </w:t>
      </w:r>
      <w:r>
        <w:rPr>
          <w:color w:val="231F20"/>
        </w:rPr>
        <w:t>;</w:t>
      </w:r>
      <w:r>
        <w:rPr>
          <w:color w:val="231F20"/>
          <w:spacing w:val="-10"/>
        </w:rPr>
        <w:t> </w:t>
      </w:r>
      <w:r>
        <w:rPr>
          <w:color w:val="231F20"/>
        </w:rPr>
        <w:t>leur</w:t>
      </w:r>
      <w:r>
        <w:rPr>
          <w:color w:val="231F20"/>
          <w:spacing w:val="-11"/>
        </w:rPr>
        <w:t> </w:t>
      </w:r>
      <w:r>
        <w:rPr>
          <w:color w:val="231F20"/>
        </w:rPr>
        <w:t>unique objectif</w:t>
      </w:r>
      <w:r>
        <w:rPr>
          <w:color w:val="231F20"/>
          <w:spacing w:val="-14"/>
        </w:rPr>
        <w:t> </w:t>
      </w:r>
      <w:r>
        <w:rPr>
          <w:color w:val="231F20"/>
        </w:rPr>
        <w:t>est</w:t>
      </w:r>
      <w:r>
        <w:rPr>
          <w:color w:val="231F20"/>
          <w:spacing w:val="-10"/>
        </w:rPr>
        <w:t> </w:t>
      </w:r>
      <w:r>
        <w:rPr>
          <w:color w:val="231F20"/>
        </w:rPr>
        <w:t>le</w:t>
      </w:r>
      <w:r>
        <w:rPr>
          <w:color w:val="231F20"/>
          <w:spacing w:val="-11"/>
        </w:rPr>
        <w:t> </w:t>
      </w:r>
      <w:r>
        <w:rPr>
          <w:color w:val="231F20"/>
        </w:rPr>
        <w:t>gain.</w:t>
      </w:r>
      <w:r>
        <w:rPr>
          <w:color w:val="76787A"/>
          <w:vertAlign w:val="superscript"/>
        </w:rPr>
        <w:t>254</w:t>
      </w:r>
      <w:r>
        <w:rPr>
          <w:color w:val="76787A"/>
          <w:spacing w:val="-14"/>
          <w:vertAlign w:val="baseline"/>
        </w:rPr>
        <w:t> </w:t>
      </w:r>
      <w:r>
        <w:rPr>
          <w:color w:val="231F20"/>
          <w:vertAlign w:val="baseline"/>
        </w:rPr>
        <w:t>».</w:t>
      </w:r>
      <w:r>
        <w:rPr>
          <w:color w:val="231F20"/>
          <w:spacing w:val="-9"/>
          <w:vertAlign w:val="baseline"/>
        </w:rPr>
        <w:t> </w:t>
      </w:r>
      <w:r>
        <w:rPr>
          <w:color w:val="231F20"/>
          <w:vertAlign w:val="baseline"/>
        </w:rPr>
        <w:t>Le</w:t>
      </w:r>
      <w:r>
        <w:rPr>
          <w:color w:val="231F20"/>
          <w:spacing w:val="-13"/>
          <w:vertAlign w:val="baseline"/>
        </w:rPr>
        <w:t> </w:t>
      </w:r>
      <w:r>
        <w:rPr>
          <w:color w:val="231F20"/>
          <w:vertAlign w:val="baseline"/>
        </w:rPr>
        <w:t>banquier</w:t>
      </w:r>
      <w:r>
        <w:rPr>
          <w:color w:val="231F20"/>
          <w:spacing w:val="-11"/>
          <w:vertAlign w:val="baseline"/>
        </w:rPr>
        <w:t> </w:t>
      </w:r>
      <w:r>
        <w:rPr>
          <w:color w:val="231F20"/>
          <w:vertAlign w:val="baseline"/>
        </w:rPr>
        <w:t>Rothschild,</w:t>
      </w:r>
      <w:r>
        <w:rPr>
          <w:color w:val="231F20"/>
          <w:spacing w:val="-10"/>
          <w:vertAlign w:val="baseline"/>
        </w:rPr>
        <w:t> </w:t>
      </w:r>
      <w:r>
        <w:rPr>
          <w:color w:val="231F20"/>
          <w:vertAlign w:val="baseline"/>
        </w:rPr>
        <w:t>ne</w:t>
      </w:r>
      <w:r>
        <w:rPr>
          <w:color w:val="231F20"/>
          <w:spacing w:val="-11"/>
          <w:vertAlign w:val="baseline"/>
        </w:rPr>
        <w:t> </w:t>
      </w:r>
      <w:r>
        <w:rPr>
          <w:color w:val="231F20"/>
          <w:vertAlign w:val="baseline"/>
        </w:rPr>
        <w:t>dit</w:t>
      </w:r>
      <w:r>
        <w:rPr>
          <w:color w:val="231F20"/>
          <w:spacing w:val="-11"/>
          <w:vertAlign w:val="baseline"/>
        </w:rPr>
        <w:t> </w:t>
      </w:r>
      <w:r>
        <w:rPr>
          <w:color w:val="231F20"/>
          <w:vertAlign w:val="baseline"/>
        </w:rPr>
        <w:t>pas</w:t>
      </w:r>
      <w:r>
        <w:rPr>
          <w:color w:val="231F20"/>
          <w:spacing w:val="-10"/>
          <w:vertAlign w:val="baseline"/>
        </w:rPr>
        <w:t> </w:t>
      </w:r>
      <w:r>
        <w:rPr>
          <w:color w:val="231F20"/>
          <w:vertAlign w:val="baseline"/>
        </w:rPr>
        <w:t>le</w:t>
      </w:r>
      <w:r>
        <w:rPr>
          <w:color w:val="231F20"/>
          <w:spacing w:val="-11"/>
          <w:vertAlign w:val="baseline"/>
        </w:rPr>
        <w:t> </w:t>
      </w:r>
      <w:r>
        <w:rPr>
          <w:color w:val="231F20"/>
          <w:vertAlign w:val="baseline"/>
        </w:rPr>
        <w:t>contraire</w:t>
      </w:r>
      <w:r>
        <w:rPr>
          <w:color w:val="231F20"/>
          <w:spacing w:val="-15"/>
          <w:vertAlign w:val="baseline"/>
        </w:rPr>
        <w:t> </w:t>
      </w:r>
      <w:r>
        <w:rPr>
          <w:color w:val="231F20"/>
          <w:spacing w:val="-10"/>
          <w:vertAlign w:val="baseline"/>
        </w:rPr>
        <w:t>:</w:t>
      </w:r>
    </w:p>
    <w:p>
      <w:pPr>
        <w:pStyle w:val="BodyText"/>
        <w:spacing w:before="1"/>
      </w:pPr>
      <w:r>
        <w:rPr>
          <w:color w:val="231F20"/>
          <w:spacing w:val="-2"/>
        </w:rPr>
        <w:t>«</w:t>
      </w:r>
      <w:r>
        <w:rPr>
          <w:color w:val="231F20"/>
          <w:spacing w:val="-12"/>
        </w:rPr>
        <w:t> </w:t>
      </w:r>
      <w:r>
        <w:rPr>
          <w:color w:val="231F20"/>
          <w:spacing w:val="-2"/>
        </w:rPr>
        <w:t>Permettez-moi</w:t>
      </w:r>
      <w:r>
        <w:rPr>
          <w:color w:val="231F20"/>
          <w:spacing w:val="-11"/>
        </w:rPr>
        <w:t> </w:t>
      </w:r>
      <w:r>
        <w:rPr>
          <w:color w:val="231F20"/>
          <w:spacing w:val="-2"/>
        </w:rPr>
        <w:t>d’émettre</w:t>
      </w:r>
      <w:r>
        <w:rPr>
          <w:color w:val="231F20"/>
          <w:spacing w:val="-11"/>
        </w:rPr>
        <w:t> </w:t>
      </w:r>
      <w:r>
        <w:rPr>
          <w:color w:val="231F20"/>
          <w:spacing w:val="-2"/>
        </w:rPr>
        <w:t>et</w:t>
      </w:r>
      <w:r>
        <w:rPr>
          <w:color w:val="231F20"/>
          <w:spacing w:val="-11"/>
        </w:rPr>
        <w:t> </w:t>
      </w:r>
      <w:r>
        <w:rPr>
          <w:color w:val="231F20"/>
          <w:spacing w:val="-2"/>
        </w:rPr>
        <w:t>de</w:t>
      </w:r>
      <w:r>
        <w:rPr>
          <w:color w:val="231F20"/>
          <w:spacing w:val="-11"/>
        </w:rPr>
        <w:t> </w:t>
      </w:r>
      <w:r>
        <w:rPr>
          <w:color w:val="231F20"/>
          <w:spacing w:val="-2"/>
        </w:rPr>
        <w:t>contrôler</w:t>
      </w:r>
      <w:r>
        <w:rPr>
          <w:color w:val="231F20"/>
          <w:spacing w:val="-13"/>
        </w:rPr>
        <w:t> </w:t>
      </w:r>
      <w:r>
        <w:rPr>
          <w:color w:val="231F20"/>
          <w:spacing w:val="-2"/>
        </w:rPr>
        <w:t>les</w:t>
      </w:r>
      <w:r>
        <w:rPr>
          <w:color w:val="231F20"/>
          <w:spacing w:val="-11"/>
        </w:rPr>
        <w:t> </w:t>
      </w:r>
      <w:r>
        <w:rPr>
          <w:color w:val="231F20"/>
          <w:spacing w:val="-2"/>
        </w:rPr>
        <w:t>ressources</w:t>
      </w:r>
      <w:r>
        <w:rPr>
          <w:color w:val="231F20"/>
          <w:spacing w:val="-12"/>
        </w:rPr>
        <w:t> </w:t>
      </w:r>
      <w:r>
        <w:rPr>
          <w:color w:val="231F20"/>
          <w:spacing w:val="-2"/>
        </w:rPr>
        <w:t>monétaires</w:t>
      </w:r>
      <w:r>
        <w:rPr>
          <w:color w:val="231F20"/>
          <w:spacing w:val="-12"/>
        </w:rPr>
        <w:t> </w:t>
      </w:r>
      <w:r>
        <w:rPr>
          <w:color w:val="231F20"/>
          <w:spacing w:val="-4"/>
        </w:rPr>
        <w:t>d’un</w:t>
      </w:r>
    </w:p>
    <w:p>
      <w:pPr>
        <w:pStyle w:val="BodyText"/>
      </w:pPr>
      <w:r>
        <w:rPr>
          <w:color w:val="231F20"/>
        </w:rPr>
        <w:t>pays</w:t>
      </w:r>
      <w:r>
        <w:rPr>
          <w:color w:val="231F20"/>
          <w:spacing w:val="-17"/>
        </w:rPr>
        <w:t> </w:t>
      </w:r>
      <w:r>
        <w:rPr>
          <w:color w:val="231F20"/>
        </w:rPr>
        <w:t>et</w:t>
      </w:r>
      <w:r>
        <w:rPr>
          <w:color w:val="231F20"/>
          <w:spacing w:val="-15"/>
        </w:rPr>
        <w:t> </w:t>
      </w:r>
      <w:r>
        <w:rPr>
          <w:color w:val="231F20"/>
        </w:rPr>
        <w:t>je</w:t>
      </w:r>
      <w:r>
        <w:rPr>
          <w:color w:val="231F20"/>
          <w:spacing w:val="-15"/>
        </w:rPr>
        <w:t> </w:t>
      </w:r>
      <w:r>
        <w:rPr>
          <w:color w:val="231F20"/>
        </w:rPr>
        <w:t>me</w:t>
      </w:r>
      <w:r>
        <w:rPr>
          <w:color w:val="231F20"/>
          <w:spacing w:val="-15"/>
        </w:rPr>
        <w:t> </w:t>
      </w:r>
      <w:r>
        <w:rPr>
          <w:color w:val="231F20"/>
        </w:rPr>
        <w:t>moque</w:t>
      </w:r>
      <w:r>
        <w:rPr>
          <w:color w:val="231F20"/>
          <w:spacing w:val="-15"/>
        </w:rPr>
        <w:t> </w:t>
      </w:r>
      <w:r>
        <w:rPr>
          <w:color w:val="231F20"/>
        </w:rPr>
        <w:t>de</w:t>
      </w:r>
      <w:r>
        <w:rPr>
          <w:color w:val="231F20"/>
          <w:spacing w:val="-14"/>
        </w:rPr>
        <w:t> </w:t>
      </w:r>
      <w:r>
        <w:rPr>
          <w:color w:val="231F20"/>
        </w:rPr>
        <w:t>celui</w:t>
      </w:r>
      <w:r>
        <w:rPr>
          <w:color w:val="231F20"/>
          <w:spacing w:val="-15"/>
        </w:rPr>
        <w:t> </w:t>
      </w:r>
      <w:r>
        <w:rPr>
          <w:color w:val="231F20"/>
        </w:rPr>
        <w:t>qui</w:t>
      </w:r>
      <w:r>
        <w:rPr>
          <w:color w:val="231F20"/>
          <w:spacing w:val="-13"/>
        </w:rPr>
        <w:t> </w:t>
      </w:r>
      <w:r>
        <w:rPr>
          <w:color w:val="231F20"/>
        </w:rPr>
        <w:t>écrit</w:t>
      </w:r>
      <w:r>
        <w:rPr>
          <w:color w:val="231F20"/>
          <w:spacing w:val="-15"/>
        </w:rPr>
        <w:t> </w:t>
      </w:r>
      <w:r>
        <w:rPr>
          <w:color w:val="231F20"/>
        </w:rPr>
        <w:t>ses</w:t>
      </w:r>
      <w:r>
        <w:rPr>
          <w:color w:val="231F20"/>
          <w:spacing w:val="-15"/>
        </w:rPr>
        <w:t> </w:t>
      </w:r>
      <w:r>
        <w:rPr>
          <w:color w:val="231F20"/>
        </w:rPr>
        <w:t>lois</w:t>
      </w:r>
      <w:r>
        <w:rPr>
          <w:color w:val="231F20"/>
          <w:spacing w:val="-12"/>
        </w:rPr>
        <w:t> </w:t>
      </w:r>
      <w:r>
        <w:rPr>
          <w:color w:val="231F20"/>
          <w:spacing w:val="-7"/>
        </w:rPr>
        <w:t>».</w:t>
      </w:r>
    </w:p>
    <w:p>
      <w:pPr>
        <w:pStyle w:val="BodyText"/>
        <w:spacing w:before="120"/>
        <w:ind w:right="103" w:firstLine="283"/>
      </w:pPr>
      <w:r>
        <w:rPr>
          <w:color w:val="231F20"/>
        </w:rPr>
        <w:t>Le rêve du premier président du Togo, Sylvanus Olympio était de </w:t>
      </w:r>
      <w:r>
        <w:rPr>
          <w:color w:val="231F20"/>
          <w:spacing w:val="-2"/>
        </w:rPr>
        <w:t>construire</w:t>
      </w:r>
      <w:r>
        <w:rPr>
          <w:color w:val="231F20"/>
          <w:spacing w:val="-11"/>
        </w:rPr>
        <w:t> </w:t>
      </w:r>
      <w:r>
        <w:rPr>
          <w:color w:val="231F20"/>
          <w:spacing w:val="-2"/>
        </w:rPr>
        <w:t>un</w:t>
      </w:r>
      <w:r>
        <w:rPr>
          <w:color w:val="231F20"/>
          <w:spacing w:val="-11"/>
        </w:rPr>
        <w:t> </w:t>
      </w:r>
      <w:r>
        <w:rPr>
          <w:color w:val="231F20"/>
          <w:spacing w:val="-2"/>
        </w:rPr>
        <w:t>pays</w:t>
      </w:r>
      <w:r>
        <w:rPr>
          <w:color w:val="231F20"/>
          <w:spacing w:val="-10"/>
        </w:rPr>
        <w:t> </w:t>
      </w:r>
      <w:r>
        <w:rPr>
          <w:color w:val="231F20"/>
          <w:spacing w:val="-2"/>
        </w:rPr>
        <w:t>indépendant</w:t>
      </w:r>
      <w:r>
        <w:rPr>
          <w:color w:val="231F20"/>
          <w:spacing w:val="-11"/>
        </w:rPr>
        <w:t> </w:t>
      </w:r>
      <w:r>
        <w:rPr>
          <w:color w:val="231F20"/>
          <w:spacing w:val="-2"/>
        </w:rPr>
        <w:t>et</w:t>
      </w:r>
      <w:r>
        <w:rPr>
          <w:color w:val="231F20"/>
          <w:spacing w:val="-11"/>
        </w:rPr>
        <w:t> </w:t>
      </w:r>
      <w:r>
        <w:rPr>
          <w:color w:val="231F20"/>
          <w:spacing w:val="-2"/>
        </w:rPr>
        <w:t>autonome.</w:t>
      </w:r>
      <w:r>
        <w:rPr>
          <w:color w:val="231F20"/>
          <w:spacing w:val="-11"/>
        </w:rPr>
        <w:t> </w:t>
      </w:r>
      <w:r>
        <w:rPr>
          <w:color w:val="231F20"/>
          <w:spacing w:val="-2"/>
        </w:rPr>
        <w:t>Il</w:t>
      </w:r>
      <w:r>
        <w:rPr>
          <w:color w:val="231F20"/>
          <w:spacing w:val="-11"/>
        </w:rPr>
        <w:t> </w:t>
      </w:r>
      <w:r>
        <w:rPr>
          <w:color w:val="231F20"/>
          <w:spacing w:val="-2"/>
        </w:rPr>
        <w:t>décide</w:t>
      </w:r>
      <w:r>
        <w:rPr>
          <w:color w:val="231F20"/>
          <w:spacing w:val="-11"/>
        </w:rPr>
        <w:t> </w:t>
      </w:r>
      <w:r>
        <w:rPr>
          <w:color w:val="231F20"/>
          <w:spacing w:val="-2"/>
        </w:rPr>
        <w:t>donc</w:t>
      </w:r>
      <w:r>
        <w:rPr>
          <w:color w:val="231F20"/>
          <w:spacing w:val="-11"/>
        </w:rPr>
        <w:t> </w:t>
      </w:r>
      <w:r>
        <w:rPr>
          <w:color w:val="231F20"/>
          <w:spacing w:val="-2"/>
        </w:rPr>
        <w:t>de</w:t>
      </w:r>
      <w:r>
        <w:rPr>
          <w:color w:val="231F20"/>
          <w:spacing w:val="-11"/>
        </w:rPr>
        <w:t> </w:t>
      </w:r>
      <w:r>
        <w:rPr>
          <w:color w:val="231F20"/>
          <w:spacing w:val="-2"/>
        </w:rPr>
        <w:t>battre</w:t>
      </w:r>
      <w:r>
        <w:rPr>
          <w:color w:val="231F20"/>
          <w:spacing w:val="-11"/>
        </w:rPr>
        <w:t> </w:t>
      </w:r>
      <w:r>
        <w:rPr>
          <w:color w:val="231F20"/>
          <w:spacing w:val="-2"/>
        </w:rPr>
        <w:t>une </w:t>
      </w:r>
      <w:r>
        <w:rPr>
          <w:color w:val="231F20"/>
        </w:rPr>
        <w:t>monnaie pour son pays. Le 13 Janvier 1963, trois jours après, qu’il ait commencé</w:t>
      </w:r>
      <w:r>
        <w:rPr>
          <w:color w:val="231F20"/>
          <w:spacing w:val="-8"/>
        </w:rPr>
        <w:t> </w:t>
      </w:r>
      <w:r>
        <w:rPr>
          <w:color w:val="231F20"/>
        </w:rPr>
        <w:t>à</w:t>
      </w:r>
      <w:r>
        <w:rPr>
          <w:color w:val="231F20"/>
          <w:spacing w:val="-10"/>
        </w:rPr>
        <w:t> </w:t>
      </w:r>
      <w:r>
        <w:rPr>
          <w:color w:val="231F20"/>
        </w:rPr>
        <w:t>imprimer</w:t>
      </w:r>
      <w:r>
        <w:rPr>
          <w:color w:val="231F20"/>
          <w:spacing w:val="-10"/>
        </w:rPr>
        <w:t> </w:t>
      </w:r>
      <w:r>
        <w:rPr>
          <w:color w:val="231F20"/>
        </w:rPr>
        <w:t>les</w:t>
      </w:r>
      <w:r>
        <w:rPr>
          <w:color w:val="231F20"/>
          <w:spacing w:val="-8"/>
        </w:rPr>
        <w:t> </w:t>
      </w:r>
      <w:r>
        <w:rPr>
          <w:color w:val="231F20"/>
        </w:rPr>
        <w:t>nouveaux</w:t>
      </w:r>
      <w:r>
        <w:rPr>
          <w:color w:val="231F20"/>
          <w:spacing w:val="-7"/>
        </w:rPr>
        <w:t> </w:t>
      </w:r>
      <w:r>
        <w:rPr>
          <w:color w:val="231F20"/>
        </w:rPr>
        <w:t>billets</w:t>
      </w:r>
      <w:r>
        <w:rPr>
          <w:color w:val="231F20"/>
          <w:spacing w:val="-10"/>
        </w:rPr>
        <w:t> </w:t>
      </w:r>
      <w:r>
        <w:rPr>
          <w:color w:val="231F20"/>
        </w:rPr>
        <w:t>de</w:t>
      </w:r>
      <w:r>
        <w:rPr>
          <w:color w:val="231F20"/>
          <w:spacing w:val="-8"/>
        </w:rPr>
        <w:t> </w:t>
      </w:r>
      <w:r>
        <w:rPr>
          <w:color w:val="231F20"/>
        </w:rPr>
        <w:t>banque,</w:t>
      </w:r>
      <w:r>
        <w:rPr>
          <w:color w:val="231F20"/>
          <w:spacing w:val="-8"/>
        </w:rPr>
        <w:t> </w:t>
      </w:r>
      <w:r>
        <w:rPr>
          <w:color w:val="231F20"/>
        </w:rPr>
        <w:t>une</w:t>
      </w:r>
      <w:r>
        <w:rPr>
          <w:color w:val="231F20"/>
          <w:spacing w:val="-8"/>
        </w:rPr>
        <w:t> </w:t>
      </w:r>
      <w:r>
        <w:rPr>
          <w:color w:val="231F20"/>
        </w:rPr>
        <w:t>escouade</w:t>
      </w:r>
      <w:r>
        <w:rPr>
          <w:color w:val="231F20"/>
          <w:spacing w:val="-9"/>
        </w:rPr>
        <w:t> </w:t>
      </w:r>
      <w:r>
        <w:rPr>
          <w:color w:val="231F20"/>
        </w:rPr>
        <w:t>de soldats</w:t>
      </w:r>
      <w:r>
        <w:rPr>
          <w:color w:val="231F20"/>
          <w:spacing w:val="-4"/>
        </w:rPr>
        <w:t> </w:t>
      </w:r>
      <w:r>
        <w:rPr>
          <w:color w:val="231F20"/>
        </w:rPr>
        <w:t>s’empare</w:t>
      </w:r>
      <w:r>
        <w:rPr>
          <w:color w:val="231F20"/>
          <w:spacing w:val="-5"/>
        </w:rPr>
        <w:t> </w:t>
      </w:r>
      <w:r>
        <w:rPr>
          <w:color w:val="231F20"/>
        </w:rPr>
        <w:t>de</w:t>
      </w:r>
      <w:r>
        <w:rPr>
          <w:color w:val="231F20"/>
          <w:spacing w:val="-5"/>
        </w:rPr>
        <w:t> </w:t>
      </w:r>
      <w:r>
        <w:rPr>
          <w:color w:val="231F20"/>
        </w:rPr>
        <w:t>lui.</w:t>
      </w:r>
      <w:r>
        <w:rPr>
          <w:color w:val="231F20"/>
          <w:spacing w:val="-5"/>
        </w:rPr>
        <w:t> </w:t>
      </w:r>
      <w:r>
        <w:rPr>
          <w:color w:val="231F20"/>
        </w:rPr>
        <w:t>Il</w:t>
      </w:r>
      <w:r>
        <w:rPr>
          <w:color w:val="231F20"/>
          <w:spacing w:val="-5"/>
        </w:rPr>
        <w:t> </w:t>
      </w:r>
      <w:r>
        <w:rPr>
          <w:color w:val="231F20"/>
        </w:rPr>
        <w:t>est</w:t>
      </w:r>
      <w:r>
        <w:rPr>
          <w:color w:val="231F20"/>
          <w:spacing w:val="-5"/>
        </w:rPr>
        <w:t> </w:t>
      </w:r>
      <w:r>
        <w:rPr>
          <w:color w:val="231F20"/>
        </w:rPr>
        <w:t>froidement</w:t>
      </w:r>
      <w:r>
        <w:rPr>
          <w:color w:val="231F20"/>
          <w:spacing w:val="-5"/>
        </w:rPr>
        <w:t> </w:t>
      </w:r>
      <w:r>
        <w:rPr>
          <w:color w:val="231F20"/>
        </w:rPr>
        <w:t>exécuté</w:t>
      </w:r>
      <w:r>
        <w:rPr>
          <w:color w:val="231F20"/>
          <w:spacing w:val="-6"/>
        </w:rPr>
        <w:t> </w:t>
      </w:r>
      <w:r>
        <w:rPr>
          <w:color w:val="231F20"/>
        </w:rPr>
        <w:t>par</w:t>
      </w:r>
      <w:r>
        <w:rPr>
          <w:color w:val="231F20"/>
          <w:spacing w:val="-5"/>
        </w:rPr>
        <w:t> </w:t>
      </w:r>
      <w:r>
        <w:rPr>
          <w:color w:val="231F20"/>
        </w:rPr>
        <w:t>un</w:t>
      </w:r>
      <w:r>
        <w:rPr>
          <w:color w:val="231F20"/>
          <w:spacing w:val="-5"/>
        </w:rPr>
        <w:t> </w:t>
      </w:r>
      <w:r>
        <w:rPr>
          <w:color w:val="231F20"/>
        </w:rPr>
        <w:t>ex-légionnaire français, le Sergent Etienne Gnassingbé.</w:t>
      </w:r>
    </w:p>
    <w:p>
      <w:pPr>
        <w:pStyle w:val="BodyText"/>
        <w:spacing w:before="120"/>
        <w:ind w:right="108" w:firstLine="283"/>
      </w:pPr>
      <w:r>
        <w:rPr>
          <w:color w:val="231F20"/>
          <w:spacing w:val="-2"/>
        </w:rPr>
        <w:t>Le</w:t>
      </w:r>
      <w:r>
        <w:rPr>
          <w:color w:val="231F20"/>
          <w:spacing w:val="-13"/>
        </w:rPr>
        <w:t> </w:t>
      </w:r>
      <w:r>
        <w:rPr>
          <w:color w:val="231F20"/>
          <w:spacing w:val="-2"/>
        </w:rPr>
        <w:t>30</w:t>
      </w:r>
      <w:r>
        <w:rPr>
          <w:color w:val="231F20"/>
          <w:spacing w:val="-13"/>
        </w:rPr>
        <w:t> </w:t>
      </w:r>
      <w:r>
        <w:rPr>
          <w:color w:val="231F20"/>
          <w:spacing w:val="-2"/>
        </w:rPr>
        <w:t>Juin</w:t>
      </w:r>
      <w:r>
        <w:rPr>
          <w:color w:val="231F20"/>
          <w:spacing w:val="-13"/>
        </w:rPr>
        <w:t> </w:t>
      </w:r>
      <w:r>
        <w:rPr>
          <w:color w:val="231F20"/>
          <w:spacing w:val="-2"/>
        </w:rPr>
        <w:t>1962,</w:t>
      </w:r>
      <w:r>
        <w:rPr>
          <w:color w:val="231F20"/>
          <w:spacing w:val="-12"/>
        </w:rPr>
        <w:t> </w:t>
      </w:r>
      <w:r>
        <w:rPr>
          <w:color w:val="231F20"/>
          <w:spacing w:val="-2"/>
        </w:rPr>
        <w:t>Modiba</w:t>
      </w:r>
      <w:r>
        <w:rPr>
          <w:color w:val="231F20"/>
          <w:spacing w:val="-13"/>
        </w:rPr>
        <w:t> </w:t>
      </w:r>
      <w:r>
        <w:rPr>
          <w:color w:val="231F20"/>
          <w:spacing w:val="-2"/>
        </w:rPr>
        <w:t>Keita,</w:t>
      </w:r>
      <w:r>
        <w:rPr>
          <w:color w:val="231F20"/>
          <w:spacing w:val="-13"/>
        </w:rPr>
        <w:t> </w:t>
      </w:r>
      <w:r>
        <w:rPr>
          <w:color w:val="231F20"/>
          <w:spacing w:val="-2"/>
        </w:rPr>
        <w:t>le</w:t>
      </w:r>
      <w:r>
        <w:rPr>
          <w:color w:val="231F20"/>
          <w:spacing w:val="-13"/>
        </w:rPr>
        <w:t> </w:t>
      </w:r>
      <w:r>
        <w:rPr>
          <w:color w:val="231F20"/>
          <w:spacing w:val="-2"/>
        </w:rPr>
        <w:t>premier</w:t>
      </w:r>
      <w:r>
        <w:rPr>
          <w:color w:val="231F20"/>
          <w:spacing w:val="-12"/>
        </w:rPr>
        <w:t> </w:t>
      </w:r>
      <w:r>
        <w:rPr>
          <w:color w:val="231F20"/>
          <w:spacing w:val="-2"/>
        </w:rPr>
        <w:t>Président</w:t>
      </w:r>
      <w:r>
        <w:rPr>
          <w:color w:val="231F20"/>
          <w:spacing w:val="-13"/>
        </w:rPr>
        <w:t> </w:t>
      </w:r>
      <w:r>
        <w:rPr>
          <w:color w:val="231F20"/>
          <w:spacing w:val="-2"/>
        </w:rPr>
        <w:t>de</w:t>
      </w:r>
      <w:r>
        <w:rPr>
          <w:color w:val="231F20"/>
          <w:spacing w:val="-12"/>
        </w:rPr>
        <w:t> </w:t>
      </w:r>
      <w:r>
        <w:rPr>
          <w:color w:val="231F20"/>
          <w:spacing w:val="-2"/>
        </w:rPr>
        <w:t>la</w:t>
      </w:r>
      <w:r>
        <w:rPr>
          <w:color w:val="231F20"/>
          <w:spacing w:val="-13"/>
        </w:rPr>
        <w:t> </w:t>
      </w:r>
      <w:r>
        <w:rPr>
          <w:color w:val="231F20"/>
          <w:spacing w:val="-2"/>
        </w:rPr>
        <w:t>République </w:t>
      </w:r>
      <w:r>
        <w:rPr>
          <w:color w:val="231F20"/>
        </w:rPr>
        <w:t>du Mali, fait connaitre sa volonté de se retirer du système monétaire </w:t>
      </w:r>
      <w:r>
        <w:rPr>
          <w:color w:val="231F20"/>
          <w:spacing w:val="-2"/>
        </w:rPr>
        <w:t>FCFA.</w:t>
      </w:r>
    </w:p>
    <w:p>
      <w:pPr>
        <w:pStyle w:val="BodyText"/>
        <w:spacing w:before="121"/>
        <w:ind w:right="108" w:firstLine="283"/>
      </w:pPr>
      <w:r>
        <w:rPr>
          <w:color w:val="231F20"/>
          <w:spacing w:val="-2"/>
        </w:rPr>
        <w:t>Le</w:t>
      </w:r>
      <w:r>
        <w:rPr>
          <w:color w:val="231F20"/>
          <w:spacing w:val="-13"/>
        </w:rPr>
        <w:t> </w:t>
      </w:r>
      <w:r>
        <w:rPr>
          <w:color w:val="231F20"/>
          <w:spacing w:val="-2"/>
        </w:rPr>
        <w:t>19</w:t>
      </w:r>
      <w:r>
        <w:rPr>
          <w:color w:val="231F20"/>
          <w:spacing w:val="-13"/>
        </w:rPr>
        <w:t> </w:t>
      </w:r>
      <w:r>
        <w:rPr>
          <w:color w:val="231F20"/>
          <w:spacing w:val="-2"/>
        </w:rPr>
        <w:t>Novembre</w:t>
      </w:r>
      <w:r>
        <w:rPr>
          <w:color w:val="231F20"/>
          <w:spacing w:val="-13"/>
        </w:rPr>
        <w:t> </w:t>
      </w:r>
      <w:r>
        <w:rPr>
          <w:color w:val="231F20"/>
          <w:spacing w:val="-2"/>
        </w:rPr>
        <w:t>1968,</w:t>
      </w:r>
      <w:r>
        <w:rPr>
          <w:color w:val="231F20"/>
          <w:spacing w:val="-13"/>
        </w:rPr>
        <w:t> </w:t>
      </w:r>
      <w:r>
        <w:rPr>
          <w:color w:val="231F20"/>
          <w:spacing w:val="-2"/>
        </w:rPr>
        <w:t>comme,</w:t>
      </w:r>
      <w:r>
        <w:rPr>
          <w:color w:val="231F20"/>
          <w:spacing w:val="-13"/>
        </w:rPr>
        <w:t> </w:t>
      </w:r>
      <w:r>
        <w:rPr>
          <w:color w:val="231F20"/>
          <w:spacing w:val="-2"/>
        </w:rPr>
        <w:t>Olympio,</w:t>
      </w:r>
      <w:r>
        <w:rPr>
          <w:color w:val="231F20"/>
          <w:spacing w:val="-13"/>
        </w:rPr>
        <w:t> </w:t>
      </w:r>
      <w:r>
        <w:rPr>
          <w:color w:val="231F20"/>
          <w:spacing w:val="-2"/>
        </w:rPr>
        <w:t>Keita</w:t>
      </w:r>
      <w:r>
        <w:rPr>
          <w:color w:val="231F20"/>
          <w:spacing w:val="-13"/>
        </w:rPr>
        <w:t> </w:t>
      </w:r>
      <w:r>
        <w:rPr>
          <w:color w:val="231F20"/>
          <w:spacing w:val="-2"/>
        </w:rPr>
        <w:t>est</w:t>
      </w:r>
      <w:r>
        <w:rPr>
          <w:color w:val="231F20"/>
          <w:spacing w:val="-13"/>
        </w:rPr>
        <w:t> </w:t>
      </w:r>
      <w:r>
        <w:rPr>
          <w:color w:val="231F20"/>
          <w:spacing w:val="-2"/>
        </w:rPr>
        <w:t>victime</w:t>
      </w:r>
      <w:r>
        <w:rPr>
          <w:color w:val="231F20"/>
          <w:spacing w:val="-13"/>
        </w:rPr>
        <w:t> </w:t>
      </w:r>
      <w:r>
        <w:rPr>
          <w:color w:val="231F20"/>
          <w:spacing w:val="-2"/>
        </w:rPr>
        <w:t>d’un</w:t>
      </w:r>
      <w:r>
        <w:rPr>
          <w:color w:val="231F20"/>
          <w:spacing w:val="-13"/>
        </w:rPr>
        <w:t> </w:t>
      </w:r>
      <w:r>
        <w:rPr>
          <w:color w:val="231F20"/>
          <w:spacing w:val="-2"/>
        </w:rPr>
        <w:t>coup </w:t>
      </w:r>
      <w:r>
        <w:rPr>
          <w:color w:val="231F20"/>
        </w:rPr>
        <w:t>d’État</w:t>
      </w:r>
      <w:r>
        <w:rPr>
          <w:color w:val="231F20"/>
          <w:spacing w:val="-6"/>
        </w:rPr>
        <w:t> </w:t>
      </w:r>
      <w:r>
        <w:rPr>
          <w:color w:val="231F20"/>
        </w:rPr>
        <w:t>mené</w:t>
      </w:r>
      <w:r>
        <w:rPr>
          <w:color w:val="231F20"/>
          <w:spacing w:val="-4"/>
        </w:rPr>
        <w:t> </w:t>
      </w:r>
      <w:r>
        <w:rPr>
          <w:color w:val="231F20"/>
        </w:rPr>
        <w:t>par</w:t>
      </w:r>
      <w:r>
        <w:rPr>
          <w:color w:val="231F20"/>
          <w:spacing w:val="-2"/>
        </w:rPr>
        <w:t> </w:t>
      </w:r>
      <w:r>
        <w:rPr>
          <w:color w:val="231F20"/>
        </w:rPr>
        <w:t>un</w:t>
      </w:r>
      <w:r>
        <w:rPr>
          <w:color w:val="231F20"/>
          <w:spacing w:val="-2"/>
        </w:rPr>
        <w:t> </w:t>
      </w:r>
      <w:r>
        <w:rPr>
          <w:color w:val="231F20"/>
        </w:rPr>
        <w:t>autre</w:t>
      </w:r>
      <w:r>
        <w:rPr>
          <w:color w:val="231F20"/>
          <w:spacing w:val="-4"/>
        </w:rPr>
        <w:t> </w:t>
      </w:r>
      <w:r>
        <w:rPr>
          <w:color w:val="231F20"/>
        </w:rPr>
        <w:t>ex-légionnaire</w:t>
      </w:r>
      <w:r>
        <w:rPr>
          <w:color w:val="231F20"/>
          <w:spacing w:val="-2"/>
        </w:rPr>
        <w:t> </w:t>
      </w:r>
      <w:r>
        <w:rPr>
          <w:color w:val="231F20"/>
        </w:rPr>
        <w:t>français,</w:t>
      </w:r>
      <w:r>
        <w:rPr>
          <w:color w:val="231F20"/>
          <w:spacing w:val="-4"/>
        </w:rPr>
        <w:t> </w:t>
      </w:r>
      <w:r>
        <w:rPr>
          <w:color w:val="231F20"/>
        </w:rPr>
        <w:t>le</w:t>
      </w:r>
      <w:r>
        <w:rPr>
          <w:color w:val="231F20"/>
          <w:spacing w:val="-1"/>
        </w:rPr>
        <w:t> </w:t>
      </w:r>
      <w:r>
        <w:rPr>
          <w:color w:val="231F20"/>
        </w:rPr>
        <w:t>Lieutenant</w:t>
      </w:r>
      <w:r>
        <w:rPr>
          <w:color w:val="231F20"/>
          <w:spacing w:val="-3"/>
        </w:rPr>
        <w:t> </w:t>
      </w:r>
      <w:r>
        <w:rPr>
          <w:color w:val="231F20"/>
          <w:spacing w:val="-2"/>
        </w:rPr>
        <w:t>Moussa</w:t>
      </w:r>
    </w:p>
    <w:p>
      <w:pPr>
        <w:pStyle w:val="BodyText"/>
        <w:spacing w:before="88"/>
        <w:ind w:left="0"/>
        <w:jc w:val="left"/>
        <w:rPr>
          <w:sz w:val="20"/>
        </w:rPr>
      </w:pPr>
      <w:r>
        <w:rPr/>
        <mc:AlternateContent>
          <mc:Choice Requires="wps">
            <w:drawing>
              <wp:anchor distT="0" distB="0" distL="0" distR="0" allowOverlap="1" layoutInCell="1" locked="0" behindDoc="1" simplePos="0" relativeHeight="487665152">
                <wp:simplePos x="0" y="0"/>
                <wp:positionH relativeFrom="page">
                  <wp:posOffset>629907</wp:posOffset>
                </wp:positionH>
                <wp:positionV relativeFrom="paragraph">
                  <wp:posOffset>217174</wp:posOffset>
                </wp:positionV>
                <wp:extent cx="1829435" cy="9525"/>
                <wp:effectExtent l="0" t="0" r="0" b="0"/>
                <wp:wrapTopAndBottom/>
                <wp:docPr id="183" name="Graphic 183"/>
                <wp:cNvGraphicFramePr>
                  <a:graphicFrameLocks/>
                </wp:cNvGraphicFramePr>
                <a:graphic>
                  <a:graphicData uri="http://schemas.microsoft.com/office/word/2010/wordprocessingShape">
                    <wps:wsp>
                      <wps:cNvPr id="183" name="Graphic 18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100391pt;width:144.020pt;height:.72pt;mso-position-horizontal-relative:page;mso-position-vertical-relative:paragraph;z-index:-15651328;mso-wrap-distance-left:0;mso-wrap-distance-right:0" id="docshape181"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253</w:t>
      </w:r>
      <w:r>
        <w:rPr>
          <w:color w:val="231F20"/>
          <w:spacing w:val="-4"/>
          <w:sz w:val="20"/>
          <w:vertAlign w:val="baseline"/>
        </w:rPr>
        <w:t>Le</w:t>
      </w:r>
      <w:r>
        <w:rPr>
          <w:color w:val="231F20"/>
          <w:spacing w:val="-3"/>
          <w:sz w:val="20"/>
          <w:vertAlign w:val="baseline"/>
        </w:rPr>
        <w:t> </w:t>
      </w:r>
      <w:r>
        <w:rPr>
          <w:color w:val="231F20"/>
          <w:spacing w:val="-4"/>
          <w:sz w:val="20"/>
          <w:vertAlign w:val="baseline"/>
        </w:rPr>
        <w:t>dernier</w:t>
      </w:r>
      <w:r>
        <w:rPr>
          <w:color w:val="231F20"/>
          <w:sz w:val="20"/>
          <w:vertAlign w:val="baseline"/>
        </w:rPr>
        <w:t> </w:t>
      </w:r>
      <w:r>
        <w:rPr>
          <w:color w:val="231F20"/>
          <w:spacing w:val="-4"/>
          <w:sz w:val="20"/>
          <w:vertAlign w:val="baseline"/>
        </w:rPr>
        <w:t>souffle</w:t>
      </w:r>
      <w:r>
        <w:rPr>
          <w:color w:val="231F20"/>
          <w:spacing w:val="-2"/>
          <w:sz w:val="20"/>
          <w:vertAlign w:val="baseline"/>
        </w:rPr>
        <w:t> </w:t>
      </w:r>
      <w:r>
        <w:rPr>
          <w:color w:val="231F20"/>
          <w:spacing w:val="-4"/>
          <w:sz w:val="20"/>
          <w:vertAlign w:val="baseline"/>
        </w:rPr>
        <w:t>de</w:t>
      </w:r>
      <w:r>
        <w:rPr>
          <w:color w:val="231F20"/>
          <w:sz w:val="20"/>
          <w:vertAlign w:val="baseline"/>
        </w:rPr>
        <w:t> </w:t>
      </w:r>
      <w:r>
        <w:rPr>
          <w:color w:val="231F20"/>
          <w:spacing w:val="-4"/>
          <w:sz w:val="20"/>
          <w:vertAlign w:val="baseline"/>
        </w:rPr>
        <w:t>France-</w:t>
      </w:r>
      <w:r>
        <w:rPr>
          <w:color w:val="231F20"/>
          <w:spacing w:val="-2"/>
          <w:sz w:val="20"/>
          <w:vertAlign w:val="baseline"/>
        </w:rPr>
        <w:t> </w:t>
      </w:r>
      <w:r>
        <w:rPr>
          <w:color w:val="231F20"/>
          <w:spacing w:val="-4"/>
          <w:sz w:val="20"/>
          <w:vertAlign w:val="baseline"/>
        </w:rPr>
        <w:t>Afrique,</w:t>
      </w:r>
      <w:r>
        <w:rPr>
          <w:color w:val="231F20"/>
          <w:sz w:val="20"/>
          <w:vertAlign w:val="baseline"/>
        </w:rPr>
        <w:t> </w:t>
      </w:r>
      <w:r>
        <w:rPr>
          <w:color w:val="231F20"/>
          <w:spacing w:val="-4"/>
          <w:sz w:val="20"/>
          <w:vertAlign w:val="baseline"/>
        </w:rPr>
        <w:t>Dr</w:t>
      </w:r>
      <w:r>
        <w:rPr>
          <w:color w:val="231F20"/>
          <w:sz w:val="20"/>
          <w:vertAlign w:val="baseline"/>
        </w:rPr>
        <w:t> </w:t>
      </w:r>
      <w:r>
        <w:rPr>
          <w:color w:val="231F20"/>
          <w:spacing w:val="-4"/>
          <w:sz w:val="20"/>
          <w:vertAlign w:val="baseline"/>
        </w:rPr>
        <w:t>Gary</w:t>
      </w:r>
      <w:r>
        <w:rPr>
          <w:color w:val="231F20"/>
          <w:sz w:val="20"/>
          <w:vertAlign w:val="baseline"/>
        </w:rPr>
        <w:t> </w:t>
      </w:r>
      <w:r>
        <w:rPr>
          <w:color w:val="231F20"/>
          <w:spacing w:val="-4"/>
          <w:sz w:val="20"/>
          <w:vertAlign w:val="baseline"/>
        </w:rPr>
        <w:t>K.</w:t>
      </w:r>
      <w:r>
        <w:rPr>
          <w:color w:val="231F20"/>
          <w:spacing w:val="-1"/>
          <w:sz w:val="20"/>
          <w:vertAlign w:val="baseline"/>
        </w:rPr>
        <w:t> </w:t>
      </w:r>
      <w:r>
        <w:rPr>
          <w:color w:val="231F20"/>
          <w:spacing w:val="-4"/>
          <w:sz w:val="20"/>
          <w:vertAlign w:val="baseline"/>
        </w:rPr>
        <w:t>Busch.</w:t>
      </w:r>
    </w:p>
    <w:p>
      <w:pPr>
        <w:spacing w:before="0"/>
        <w:ind w:left="111" w:right="0" w:firstLine="0"/>
        <w:jc w:val="left"/>
        <w:rPr>
          <w:sz w:val="20"/>
        </w:rPr>
      </w:pPr>
      <w:r>
        <w:rPr>
          <w:color w:val="76787A"/>
          <w:spacing w:val="-4"/>
          <w:sz w:val="20"/>
          <w:vertAlign w:val="superscript"/>
        </w:rPr>
        <w:t>254</w:t>
      </w:r>
      <w:r>
        <w:rPr>
          <w:color w:val="76787A"/>
          <w:spacing w:val="2"/>
          <w:sz w:val="20"/>
          <w:vertAlign w:val="baseline"/>
        </w:rPr>
        <w:t> </w:t>
      </w:r>
      <w:r>
        <w:rPr>
          <w:color w:val="231F20"/>
          <w:spacing w:val="-4"/>
          <w:sz w:val="20"/>
          <w:vertAlign w:val="baseline"/>
        </w:rPr>
        <w:t>Napoléon</w:t>
      </w:r>
      <w:r>
        <w:rPr>
          <w:color w:val="231F20"/>
          <w:spacing w:val="-2"/>
          <w:sz w:val="20"/>
          <w:vertAlign w:val="baseline"/>
        </w:rPr>
        <w:t> </w:t>
      </w:r>
      <w:r>
        <w:rPr>
          <w:color w:val="231F20"/>
          <w:spacing w:val="-4"/>
          <w:sz w:val="20"/>
          <w:vertAlign w:val="baseline"/>
        </w:rPr>
        <w:t>Bonaparte,</w:t>
      </w:r>
      <w:r>
        <w:rPr>
          <w:color w:val="231F20"/>
          <w:spacing w:val="-2"/>
          <w:sz w:val="20"/>
          <w:vertAlign w:val="baseline"/>
        </w:rPr>
        <w:t> </w:t>
      </w:r>
      <w:r>
        <w:rPr>
          <w:color w:val="231F20"/>
          <w:spacing w:val="-4"/>
          <w:sz w:val="20"/>
          <w:vertAlign w:val="baseline"/>
        </w:rPr>
        <w:t>créateur</w:t>
      </w:r>
      <w:r>
        <w:rPr>
          <w:color w:val="231F20"/>
          <w:spacing w:val="-5"/>
          <w:sz w:val="20"/>
          <w:vertAlign w:val="baseline"/>
        </w:rPr>
        <w:t> </w:t>
      </w:r>
      <w:r>
        <w:rPr>
          <w:color w:val="231F20"/>
          <w:spacing w:val="-4"/>
          <w:sz w:val="20"/>
          <w:vertAlign w:val="baseline"/>
        </w:rPr>
        <w:t>de</w:t>
      </w:r>
      <w:r>
        <w:rPr>
          <w:color w:val="231F20"/>
          <w:sz w:val="20"/>
          <w:vertAlign w:val="baseline"/>
        </w:rPr>
        <w:t> </w:t>
      </w:r>
      <w:r>
        <w:rPr>
          <w:color w:val="231F20"/>
          <w:spacing w:val="-4"/>
          <w:sz w:val="20"/>
          <w:vertAlign w:val="baseline"/>
        </w:rPr>
        <w:t>la</w:t>
      </w:r>
      <w:r>
        <w:rPr>
          <w:color w:val="231F20"/>
          <w:sz w:val="20"/>
          <w:vertAlign w:val="baseline"/>
        </w:rPr>
        <w:t> </w:t>
      </w:r>
      <w:r>
        <w:rPr>
          <w:color w:val="231F20"/>
          <w:spacing w:val="-4"/>
          <w:sz w:val="20"/>
          <w:vertAlign w:val="baseline"/>
        </w:rPr>
        <w:t>Banque</w:t>
      </w:r>
      <w:r>
        <w:rPr>
          <w:color w:val="231F20"/>
          <w:spacing w:val="-3"/>
          <w:sz w:val="20"/>
          <w:vertAlign w:val="baseline"/>
        </w:rPr>
        <w:t> </w:t>
      </w:r>
      <w:r>
        <w:rPr>
          <w:color w:val="231F20"/>
          <w:spacing w:val="-4"/>
          <w:sz w:val="20"/>
          <w:vertAlign w:val="baseline"/>
        </w:rPr>
        <w:t>de</w:t>
      </w:r>
      <w:r>
        <w:rPr>
          <w:color w:val="231F20"/>
          <w:spacing w:val="-3"/>
          <w:sz w:val="20"/>
          <w:vertAlign w:val="baseline"/>
        </w:rPr>
        <w:t> </w:t>
      </w:r>
      <w:r>
        <w:rPr>
          <w:color w:val="231F20"/>
          <w:spacing w:val="-4"/>
          <w:sz w:val="20"/>
          <w:vertAlign w:val="baseline"/>
        </w:rPr>
        <w:t>France.</w:t>
      </w:r>
    </w:p>
    <w:p>
      <w:pPr>
        <w:spacing w:after="0"/>
        <w:jc w:val="left"/>
        <w:rPr>
          <w:sz w:val="20"/>
        </w:rPr>
        <w:sectPr>
          <w:pgSz w:w="8790" w:h="13610"/>
          <w:pgMar w:header="0" w:footer="802" w:top="1060" w:bottom="1000" w:left="880" w:right="880"/>
        </w:sectPr>
      </w:pPr>
    </w:p>
    <w:p>
      <w:pPr>
        <w:pStyle w:val="BodyText"/>
        <w:spacing w:before="66"/>
        <w:ind w:right="106"/>
      </w:pPr>
      <w:r>
        <w:rPr>
          <w:color w:val="231F20"/>
          <w:spacing w:val="-2"/>
        </w:rPr>
        <w:t>Traoré.</w:t>
      </w:r>
      <w:r>
        <w:rPr>
          <w:color w:val="231F20"/>
          <w:spacing w:val="-12"/>
        </w:rPr>
        <w:t> </w:t>
      </w:r>
      <w:r>
        <w:rPr>
          <w:color w:val="231F20"/>
          <w:spacing w:val="-2"/>
        </w:rPr>
        <w:t>Aïchatou,</w:t>
      </w:r>
      <w:r>
        <w:rPr>
          <w:color w:val="231F20"/>
          <w:spacing w:val="-13"/>
        </w:rPr>
        <w:t> </w:t>
      </w:r>
      <w:r>
        <w:rPr>
          <w:color w:val="231F20"/>
          <w:spacing w:val="-2"/>
        </w:rPr>
        <w:t>l’épouse</w:t>
      </w:r>
      <w:r>
        <w:rPr>
          <w:color w:val="231F20"/>
          <w:spacing w:val="-12"/>
        </w:rPr>
        <w:t> </w:t>
      </w:r>
      <w:r>
        <w:rPr>
          <w:color w:val="231F20"/>
          <w:spacing w:val="-2"/>
        </w:rPr>
        <w:t>du</w:t>
      </w:r>
      <w:r>
        <w:rPr>
          <w:color w:val="231F20"/>
          <w:spacing w:val="-13"/>
        </w:rPr>
        <w:t> </w:t>
      </w:r>
      <w:r>
        <w:rPr>
          <w:color w:val="231F20"/>
          <w:spacing w:val="-2"/>
        </w:rPr>
        <w:t>Président</w:t>
      </w:r>
      <w:r>
        <w:rPr>
          <w:color w:val="231F20"/>
          <w:spacing w:val="-11"/>
        </w:rPr>
        <w:t> </w:t>
      </w:r>
      <w:r>
        <w:rPr>
          <w:color w:val="231F20"/>
          <w:spacing w:val="-2"/>
        </w:rPr>
        <w:t>Hamani</w:t>
      </w:r>
      <w:r>
        <w:rPr>
          <w:color w:val="231F20"/>
          <w:spacing w:val="-13"/>
        </w:rPr>
        <w:t> </w:t>
      </w:r>
      <w:r>
        <w:rPr>
          <w:color w:val="231F20"/>
          <w:spacing w:val="-2"/>
        </w:rPr>
        <w:t>Diori</w:t>
      </w:r>
      <w:r>
        <w:rPr>
          <w:color w:val="231F20"/>
          <w:spacing w:val="-11"/>
        </w:rPr>
        <w:t> </w:t>
      </w:r>
      <w:r>
        <w:rPr>
          <w:color w:val="231F20"/>
          <w:spacing w:val="-2"/>
        </w:rPr>
        <w:t>est</w:t>
      </w:r>
      <w:r>
        <w:rPr>
          <w:color w:val="231F20"/>
          <w:spacing w:val="-13"/>
        </w:rPr>
        <w:t> </w:t>
      </w:r>
      <w:r>
        <w:rPr>
          <w:color w:val="231F20"/>
          <w:spacing w:val="-2"/>
        </w:rPr>
        <w:t>assassinée</w:t>
      </w:r>
      <w:r>
        <w:rPr>
          <w:color w:val="231F20"/>
          <w:spacing w:val="-13"/>
        </w:rPr>
        <w:t> </w:t>
      </w:r>
      <w:r>
        <w:rPr>
          <w:color w:val="231F20"/>
          <w:spacing w:val="-2"/>
        </w:rPr>
        <w:t>lors </w:t>
      </w:r>
      <w:r>
        <w:rPr>
          <w:color w:val="231F20"/>
        </w:rPr>
        <w:t>du coup</w:t>
      </w:r>
      <w:r>
        <w:rPr>
          <w:color w:val="231F20"/>
          <w:spacing w:val="-3"/>
        </w:rPr>
        <w:t> </w:t>
      </w:r>
      <w:r>
        <w:rPr>
          <w:color w:val="231F20"/>
        </w:rPr>
        <w:t>d’État. Hamani Diori</w:t>
      </w:r>
      <w:r>
        <w:rPr>
          <w:color w:val="231F20"/>
          <w:spacing w:val="-3"/>
        </w:rPr>
        <w:t> </w:t>
      </w:r>
      <w:r>
        <w:rPr>
          <w:color w:val="231F20"/>
        </w:rPr>
        <w:t>se</w:t>
      </w:r>
      <w:r>
        <w:rPr>
          <w:color w:val="231F20"/>
          <w:spacing w:val="-1"/>
        </w:rPr>
        <w:t> </w:t>
      </w:r>
      <w:r>
        <w:rPr>
          <w:color w:val="231F20"/>
        </w:rPr>
        <w:t>retrouve</w:t>
      </w:r>
      <w:r>
        <w:rPr>
          <w:color w:val="231F20"/>
          <w:spacing w:val="-1"/>
        </w:rPr>
        <w:t> </w:t>
      </w:r>
      <w:r>
        <w:rPr>
          <w:color w:val="231F20"/>
        </w:rPr>
        <w:t>en</w:t>
      </w:r>
      <w:r>
        <w:rPr>
          <w:color w:val="231F20"/>
          <w:spacing w:val="-1"/>
        </w:rPr>
        <w:t> </w:t>
      </w:r>
      <w:r>
        <w:rPr>
          <w:color w:val="231F20"/>
        </w:rPr>
        <w:t>prison.</w:t>
      </w:r>
    </w:p>
    <w:p>
      <w:pPr>
        <w:pStyle w:val="BodyText"/>
        <w:spacing w:before="120"/>
        <w:ind w:right="107" w:firstLine="283"/>
      </w:pPr>
      <w:r>
        <w:rPr>
          <w:color w:val="231F20"/>
          <w:spacing w:val="-2"/>
        </w:rPr>
        <w:t>Laurent</w:t>
      </w:r>
      <w:r>
        <w:rPr>
          <w:color w:val="231F20"/>
          <w:spacing w:val="-13"/>
        </w:rPr>
        <w:t> </w:t>
      </w:r>
      <w:r>
        <w:rPr>
          <w:color w:val="231F20"/>
          <w:spacing w:val="-2"/>
        </w:rPr>
        <w:t>Gbagbo,</w:t>
      </w:r>
      <w:r>
        <w:rPr>
          <w:color w:val="231F20"/>
          <w:spacing w:val="-13"/>
        </w:rPr>
        <w:t> </w:t>
      </w:r>
      <w:r>
        <w:rPr>
          <w:color w:val="231F20"/>
          <w:spacing w:val="-2"/>
        </w:rPr>
        <w:t>au</w:t>
      </w:r>
      <w:r>
        <w:rPr>
          <w:color w:val="231F20"/>
          <w:spacing w:val="-13"/>
        </w:rPr>
        <w:t> </w:t>
      </w:r>
      <w:r>
        <w:rPr>
          <w:color w:val="231F20"/>
          <w:spacing w:val="-2"/>
        </w:rPr>
        <w:t>pouvoir</w:t>
      </w:r>
      <w:r>
        <w:rPr>
          <w:color w:val="231F20"/>
          <w:spacing w:val="-13"/>
        </w:rPr>
        <w:t> </w:t>
      </w:r>
      <w:r>
        <w:rPr>
          <w:color w:val="231F20"/>
          <w:spacing w:val="-2"/>
        </w:rPr>
        <w:t>en</w:t>
      </w:r>
      <w:r>
        <w:rPr>
          <w:color w:val="231F20"/>
          <w:spacing w:val="-13"/>
        </w:rPr>
        <w:t> </w:t>
      </w:r>
      <w:r>
        <w:rPr>
          <w:color w:val="231F20"/>
          <w:spacing w:val="-2"/>
        </w:rPr>
        <w:t>2000</w:t>
      </w:r>
      <w:r>
        <w:rPr>
          <w:color w:val="231F20"/>
          <w:spacing w:val="-13"/>
        </w:rPr>
        <w:t> </w:t>
      </w:r>
      <w:r>
        <w:rPr>
          <w:color w:val="231F20"/>
          <w:spacing w:val="-2"/>
        </w:rPr>
        <w:t>en</w:t>
      </w:r>
      <w:r>
        <w:rPr>
          <w:color w:val="231F20"/>
          <w:spacing w:val="-13"/>
        </w:rPr>
        <w:t> </w:t>
      </w:r>
      <w:r>
        <w:rPr>
          <w:color w:val="231F20"/>
          <w:spacing w:val="-2"/>
        </w:rPr>
        <w:t>Côte</w:t>
      </w:r>
      <w:r>
        <w:rPr>
          <w:color w:val="231F20"/>
          <w:spacing w:val="-13"/>
        </w:rPr>
        <w:t> </w:t>
      </w:r>
      <w:r>
        <w:rPr>
          <w:color w:val="231F20"/>
          <w:spacing w:val="-2"/>
        </w:rPr>
        <w:t>d’ivoire,</w:t>
      </w:r>
      <w:r>
        <w:rPr>
          <w:color w:val="231F20"/>
          <w:spacing w:val="-13"/>
        </w:rPr>
        <w:t> </w:t>
      </w:r>
      <w:r>
        <w:rPr>
          <w:color w:val="231F20"/>
          <w:spacing w:val="-2"/>
        </w:rPr>
        <w:t>n’entendait</w:t>
      </w:r>
      <w:r>
        <w:rPr>
          <w:color w:val="231F20"/>
          <w:spacing w:val="-13"/>
        </w:rPr>
        <w:t> </w:t>
      </w:r>
      <w:r>
        <w:rPr>
          <w:color w:val="231F20"/>
          <w:spacing w:val="-2"/>
        </w:rPr>
        <w:t>pas </w:t>
      </w:r>
      <w:r>
        <w:rPr>
          <w:color w:val="231F20"/>
        </w:rPr>
        <w:t>perpétuer la dépendance économique du pays à l’égard de l’ancienne métropole au travers de la Communauté Financière Africaine et de sa zone Franc CFA. Ses partisans militaient pour une monnaie nationale, régionale ou continentale. Les performances économiques de la Côte d’Ivoire, plus importantes que celles d’autres pays africains pourvus d’une monnaie nationale, le permettrait selon Mamadou Koulibaly Économiste</w:t>
      </w:r>
      <w:r>
        <w:rPr>
          <w:color w:val="231F20"/>
          <w:spacing w:val="-4"/>
        </w:rPr>
        <w:t> </w:t>
      </w:r>
      <w:r>
        <w:rPr>
          <w:color w:val="231F20"/>
        </w:rPr>
        <w:t>et</w:t>
      </w:r>
      <w:r>
        <w:rPr>
          <w:color w:val="231F20"/>
          <w:spacing w:val="-3"/>
        </w:rPr>
        <w:t> </w:t>
      </w:r>
      <w:r>
        <w:rPr>
          <w:color w:val="231F20"/>
        </w:rPr>
        <w:t>Président</w:t>
      </w:r>
      <w:r>
        <w:rPr>
          <w:color w:val="231F20"/>
          <w:spacing w:val="-3"/>
        </w:rPr>
        <w:t> </w:t>
      </w:r>
      <w:r>
        <w:rPr>
          <w:color w:val="231F20"/>
        </w:rPr>
        <w:t>de</w:t>
      </w:r>
      <w:r>
        <w:rPr>
          <w:color w:val="231F20"/>
          <w:spacing w:val="-1"/>
        </w:rPr>
        <w:t> </w:t>
      </w:r>
      <w:r>
        <w:rPr>
          <w:color w:val="231F20"/>
        </w:rPr>
        <w:t>l’Assemblée Nationale.</w:t>
      </w:r>
    </w:p>
    <w:p>
      <w:pPr>
        <w:pStyle w:val="BodyText"/>
        <w:spacing w:before="121"/>
        <w:ind w:right="105" w:firstLine="283"/>
      </w:pPr>
      <w:r>
        <w:rPr>
          <w:color w:val="231F20"/>
          <w:spacing w:val="-4"/>
        </w:rPr>
        <w:t>En</w:t>
      </w:r>
      <w:r>
        <w:rPr>
          <w:color w:val="231F20"/>
          <w:spacing w:val="-7"/>
        </w:rPr>
        <w:t> </w:t>
      </w:r>
      <w:r>
        <w:rPr>
          <w:color w:val="231F20"/>
          <w:spacing w:val="-4"/>
        </w:rPr>
        <w:t>2003,</w:t>
      </w:r>
      <w:r>
        <w:rPr>
          <w:color w:val="231F20"/>
          <w:spacing w:val="-7"/>
        </w:rPr>
        <w:t> </w:t>
      </w:r>
      <w:r>
        <w:rPr>
          <w:color w:val="231F20"/>
          <w:spacing w:val="-4"/>
        </w:rPr>
        <w:t>alors</w:t>
      </w:r>
      <w:r>
        <w:rPr>
          <w:color w:val="231F20"/>
          <w:spacing w:val="-9"/>
        </w:rPr>
        <w:t> </w:t>
      </w:r>
      <w:r>
        <w:rPr>
          <w:color w:val="231F20"/>
          <w:spacing w:val="-4"/>
        </w:rPr>
        <w:t>que</w:t>
      </w:r>
      <w:r>
        <w:rPr>
          <w:color w:val="231F20"/>
          <w:spacing w:val="-9"/>
        </w:rPr>
        <w:t> </w:t>
      </w:r>
      <w:r>
        <w:rPr>
          <w:color w:val="231F20"/>
          <w:spacing w:val="-4"/>
        </w:rPr>
        <w:t>60%</w:t>
      </w:r>
      <w:r>
        <w:rPr>
          <w:color w:val="231F20"/>
          <w:spacing w:val="-7"/>
        </w:rPr>
        <w:t> </w:t>
      </w:r>
      <w:r>
        <w:rPr>
          <w:color w:val="231F20"/>
          <w:spacing w:val="-4"/>
        </w:rPr>
        <w:t>du</w:t>
      </w:r>
      <w:r>
        <w:rPr>
          <w:color w:val="231F20"/>
          <w:spacing w:val="-7"/>
        </w:rPr>
        <w:t> </w:t>
      </w:r>
      <w:r>
        <w:rPr>
          <w:color w:val="231F20"/>
          <w:spacing w:val="-4"/>
        </w:rPr>
        <w:t>territoire</w:t>
      </w:r>
      <w:r>
        <w:rPr>
          <w:color w:val="231F20"/>
          <w:spacing w:val="-11"/>
        </w:rPr>
        <w:t> </w:t>
      </w:r>
      <w:r>
        <w:rPr>
          <w:color w:val="231F20"/>
          <w:spacing w:val="-4"/>
        </w:rPr>
        <w:t>aux</w:t>
      </w:r>
      <w:r>
        <w:rPr>
          <w:color w:val="231F20"/>
          <w:spacing w:val="-9"/>
        </w:rPr>
        <w:t> </w:t>
      </w:r>
      <w:r>
        <w:rPr>
          <w:color w:val="231F20"/>
          <w:spacing w:val="-4"/>
        </w:rPr>
        <w:t>mains</w:t>
      </w:r>
      <w:r>
        <w:rPr>
          <w:color w:val="231F20"/>
          <w:spacing w:val="-7"/>
        </w:rPr>
        <w:t> </w:t>
      </w:r>
      <w:r>
        <w:rPr>
          <w:color w:val="231F20"/>
          <w:spacing w:val="-4"/>
        </w:rPr>
        <w:t>de</w:t>
      </w:r>
      <w:r>
        <w:rPr>
          <w:color w:val="231F20"/>
          <w:spacing w:val="-11"/>
        </w:rPr>
        <w:t> </w:t>
      </w:r>
      <w:r>
        <w:rPr>
          <w:color w:val="231F20"/>
          <w:spacing w:val="-4"/>
        </w:rPr>
        <w:t>la</w:t>
      </w:r>
      <w:r>
        <w:rPr>
          <w:color w:val="231F20"/>
          <w:spacing w:val="-6"/>
        </w:rPr>
        <w:t> </w:t>
      </w:r>
      <w:r>
        <w:rPr>
          <w:color w:val="231F20"/>
          <w:spacing w:val="-4"/>
        </w:rPr>
        <w:t>rébellion</w:t>
      </w:r>
      <w:r>
        <w:rPr>
          <w:color w:val="231F20"/>
          <w:spacing w:val="-9"/>
        </w:rPr>
        <w:t> </w:t>
      </w:r>
      <w:r>
        <w:rPr>
          <w:color w:val="231F20"/>
          <w:spacing w:val="-4"/>
        </w:rPr>
        <w:t>échappe </w:t>
      </w:r>
      <w:r>
        <w:rPr>
          <w:color w:val="231F20"/>
        </w:rPr>
        <w:t>à</w:t>
      </w:r>
      <w:r>
        <w:rPr>
          <w:color w:val="231F20"/>
          <w:spacing w:val="-10"/>
        </w:rPr>
        <w:t> </w:t>
      </w:r>
      <w:r>
        <w:rPr>
          <w:color w:val="231F20"/>
        </w:rPr>
        <w:t>l’autorité</w:t>
      </w:r>
      <w:r>
        <w:rPr>
          <w:color w:val="231F20"/>
          <w:spacing w:val="-13"/>
        </w:rPr>
        <w:t> </w:t>
      </w:r>
      <w:r>
        <w:rPr>
          <w:color w:val="231F20"/>
        </w:rPr>
        <w:t>d’Abidjan,</w:t>
      </w:r>
      <w:r>
        <w:rPr>
          <w:color w:val="231F20"/>
          <w:spacing w:val="-13"/>
        </w:rPr>
        <w:t> </w:t>
      </w:r>
      <w:r>
        <w:rPr>
          <w:color w:val="231F20"/>
        </w:rPr>
        <w:t>la</w:t>
      </w:r>
      <w:r>
        <w:rPr>
          <w:color w:val="231F20"/>
          <w:spacing w:val="-13"/>
        </w:rPr>
        <w:t> </w:t>
      </w:r>
      <w:r>
        <w:rPr>
          <w:color w:val="231F20"/>
        </w:rPr>
        <w:t>Côte</w:t>
      </w:r>
      <w:r>
        <w:rPr>
          <w:color w:val="231F20"/>
          <w:spacing w:val="-13"/>
        </w:rPr>
        <w:t> </w:t>
      </w:r>
      <w:r>
        <w:rPr>
          <w:color w:val="231F20"/>
        </w:rPr>
        <w:t>d’Ivoire</w:t>
      </w:r>
      <w:r>
        <w:rPr>
          <w:color w:val="231F20"/>
          <w:spacing w:val="-10"/>
        </w:rPr>
        <w:t> </w:t>
      </w:r>
      <w:r>
        <w:rPr>
          <w:color w:val="231F20"/>
        </w:rPr>
        <w:t>produit</w:t>
      </w:r>
      <w:r>
        <w:rPr>
          <w:color w:val="231F20"/>
          <w:spacing w:val="-10"/>
        </w:rPr>
        <w:t> </w:t>
      </w:r>
      <w:r>
        <w:rPr>
          <w:color w:val="231F20"/>
        </w:rPr>
        <w:t>38,5%</w:t>
      </w:r>
      <w:r>
        <w:rPr>
          <w:color w:val="231F20"/>
          <w:spacing w:val="-10"/>
        </w:rPr>
        <w:t> </w:t>
      </w:r>
      <w:r>
        <w:rPr>
          <w:color w:val="231F20"/>
        </w:rPr>
        <w:t>du</w:t>
      </w:r>
      <w:r>
        <w:rPr>
          <w:color w:val="231F20"/>
          <w:spacing w:val="-12"/>
        </w:rPr>
        <w:t> </w:t>
      </w:r>
      <w:r>
        <w:rPr>
          <w:color w:val="231F20"/>
        </w:rPr>
        <w:t>PIB</w:t>
      </w:r>
      <w:r>
        <w:rPr>
          <w:color w:val="231F20"/>
          <w:spacing w:val="-9"/>
        </w:rPr>
        <w:t> </w:t>
      </w:r>
      <w:r>
        <w:rPr>
          <w:color w:val="231F20"/>
        </w:rPr>
        <w:t>et</w:t>
      </w:r>
      <w:r>
        <w:rPr>
          <w:color w:val="231F20"/>
          <w:spacing w:val="-12"/>
        </w:rPr>
        <w:t> </w:t>
      </w:r>
      <w:r>
        <w:rPr>
          <w:color w:val="231F20"/>
        </w:rPr>
        <w:t>45%</w:t>
      </w:r>
      <w:r>
        <w:rPr>
          <w:color w:val="231F20"/>
          <w:spacing w:val="-13"/>
        </w:rPr>
        <w:t> </w:t>
      </w:r>
      <w:r>
        <w:rPr>
          <w:color w:val="231F20"/>
        </w:rPr>
        <w:t>de </w:t>
      </w:r>
      <w:r>
        <w:rPr>
          <w:color w:val="231F20"/>
          <w:spacing w:val="-2"/>
        </w:rPr>
        <w:t>la</w:t>
      </w:r>
      <w:r>
        <w:rPr>
          <w:color w:val="231F20"/>
          <w:spacing w:val="-10"/>
        </w:rPr>
        <w:t> </w:t>
      </w:r>
      <w:r>
        <w:rPr>
          <w:color w:val="231F20"/>
          <w:spacing w:val="-2"/>
        </w:rPr>
        <w:t>masse</w:t>
      </w:r>
      <w:r>
        <w:rPr>
          <w:color w:val="231F20"/>
          <w:spacing w:val="-10"/>
        </w:rPr>
        <w:t> </w:t>
      </w:r>
      <w:r>
        <w:rPr>
          <w:color w:val="231F20"/>
          <w:spacing w:val="-2"/>
        </w:rPr>
        <w:t>monétaire</w:t>
      </w:r>
      <w:r>
        <w:rPr>
          <w:color w:val="231F20"/>
          <w:spacing w:val="-10"/>
        </w:rPr>
        <w:t> </w:t>
      </w:r>
      <w:r>
        <w:rPr>
          <w:color w:val="231F20"/>
          <w:spacing w:val="-2"/>
        </w:rPr>
        <w:t>des</w:t>
      </w:r>
      <w:r>
        <w:rPr>
          <w:color w:val="231F20"/>
          <w:spacing w:val="-11"/>
        </w:rPr>
        <w:t> </w:t>
      </w:r>
      <w:r>
        <w:rPr>
          <w:color w:val="231F20"/>
          <w:spacing w:val="-2"/>
        </w:rPr>
        <w:t>huit</w:t>
      </w:r>
      <w:r>
        <w:rPr>
          <w:color w:val="231F20"/>
          <w:spacing w:val="-11"/>
        </w:rPr>
        <w:t> </w:t>
      </w:r>
      <w:r>
        <w:rPr>
          <w:color w:val="231F20"/>
          <w:spacing w:val="-2"/>
        </w:rPr>
        <w:t>pays</w:t>
      </w:r>
      <w:r>
        <w:rPr>
          <w:color w:val="231F20"/>
          <w:spacing w:val="-11"/>
        </w:rPr>
        <w:t> </w:t>
      </w:r>
      <w:r>
        <w:rPr>
          <w:color w:val="231F20"/>
          <w:spacing w:val="-2"/>
        </w:rPr>
        <w:t>de</w:t>
      </w:r>
      <w:r>
        <w:rPr>
          <w:color w:val="231F20"/>
          <w:spacing w:val="-9"/>
        </w:rPr>
        <w:t> </w:t>
      </w:r>
      <w:r>
        <w:rPr>
          <w:color w:val="231F20"/>
          <w:spacing w:val="-2"/>
        </w:rPr>
        <w:t>la</w:t>
      </w:r>
      <w:r>
        <w:rPr>
          <w:color w:val="231F20"/>
          <w:spacing w:val="-11"/>
        </w:rPr>
        <w:t> </w:t>
      </w:r>
      <w:r>
        <w:rPr>
          <w:color w:val="231F20"/>
          <w:spacing w:val="-2"/>
        </w:rPr>
        <w:t>sous-région,</w:t>
      </w:r>
      <w:r>
        <w:rPr>
          <w:color w:val="231F20"/>
          <w:spacing w:val="-11"/>
        </w:rPr>
        <w:t> </w:t>
      </w:r>
      <w:r>
        <w:rPr>
          <w:color w:val="231F20"/>
          <w:spacing w:val="-2"/>
        </w:rPr>
        <w:t>l’Union</w:t>
      </w:r>
      <w:r>
        <w:rPr>
          <w:color w:val="231F20"/>
          <w:spacing w:val="-11"/>
        </w:rPr>
        <w:t> </w:t>
      </w:r>
      <w:r>
        <w:rPr>
          <w:color w:val="231F20"/>
          <w:spacing w:val="-2"/>
        </w:rPr>
        <w:t>Economique </w:t>
      </w:r>
      <w:r>
        <w:rPr>
          <w:color w:val="231F20"/>
        </w:rPr>
        <w:t>et</w:t>
      </w:r>
      <w:r>
        <w:rPr>
          <w:color w:val="231F20"/>
          <w:spacing w:val="-9"/>
        </w:rPr>
        <w:t> </w:t>
      </w:r>
      <w:r>
        <w:rPr>
          <w:color w:val="231F20"/>
        </w:rPr>
        <w:t>Monétaire</w:t>
      </w:r>
      <w:r>
        <w:rPr>
          <w:color w:val="231F20"/>
          <w:spacing w:val="-11"/>
        </w:rPr>
        <w:t> </w:t>
      </w:r>
      <w:r>
        <w:rPr>
          <w:color w:val="231F20"/>
        </w:rPr>
        <w:t>Ouest</w:t>
      </w:r>
      <w:r>
        <w:rPr>
          <w:color w:val="231F20"/>
          <w:spacing w:val="-9"/>
        </w:rPr>
        <w:t> </w:t>
      </w:r>
      <w:r>
        <w:rPr>
          <w:color w:val="231F20"/>
        </w:rPr>
        <w:t>Africaine</w:t>
      </w:r>
      <w:r>
        <w:rPr>
          <w:color w:val="231F20"/>
          <w:spacing w:val="-11"/>
        </w:rPr>
        <w:t> </w:t>
      </w:r>
      <w:r>
        <w:rPr>
          <w:color w:val="231F20"/>
        </w:rPr>
        <w:t>(UEMOA)</w:t>
      </w:r>
      <w:r>
        <w:rPr>
          <w:color w:val="231F20"/>
          <w:spacing w:val="-10"/>
        </w:rPr>
        <w:t> </w:t>
      </w:r>
      <w:r>
        <w:rPr>
          <w:color w:val="231F20"/>
        </w:rPr>
        <w:t>de</w:t>
      </w:r>
      <w:r>
        <w:rPr>
          <w:color w:val="231F20"/>
          <w:spacing w:val="-11"/>
        </w:rPr>
        <w:t> </w:t>
      </w:r>
      <w:r>
        <w:rPr>
          <w:color w:val="231F20"/>
        </w:rPr>
        <w:t>la</w:t>
      </w:r>
      <w:r>
        <w:rPr>
          <w:color w:val="231F20"/>
          <w:spacing w:val="-11"/>
        </w:rPr>
        <w:t> </w:t>
      </w:r>
      <w:r>
        <w:rPr>
          <w:color w:val="231F20"/>
        </w:rPr>
        <w:t>Communauté</w:t>
      </w:r>
      <w:r>
        <w:rPr>
          <w:color w:val="231F20"/>
          <w:spacing w:val="-11"/>
        </w:rPr>
        <w:t> </w:t>
      </w:r>
      <w:r>
        <w:rPr>
          <w:color w:val="231F20"/>
        </w:rPr>
        <w:t>Financière </w:t>
      </w:r>
      <w:r>
        <w:rPr>
          <w:color w:val="231F20"/>
          <w:spacing w:val="-2"/>
        </w:rPr>
        <w:t>Africaine.</w:t>
      </w:r>
    </w:p>
    <w:p>
      <w:pPr>
        <w:spacing w:before="120"/>
        <w:ind w:left="111" w:right="105" w:firstLine="283"/>
        <w:jc w:val="both"/>
        <w:rPr>
          <w:i/>
          <w:sz w:val="24"/>
        </w:rPr>
      </w:pPr>
      <w:r>
        <w:rPr>
          <w:color w:val="231F20"/>
          <w:spacing w:val="-4"/>
          <w:sz w:val="24"/>
        </w:rPr>
        <w:t>Cette</w:t>
      </w:r>
      <w:r>
        <w:rPr>
          <w:color w:val="231F20"/>
          <w:spacing w:val="-6"/>
          <w:sz w:val="24"/>
        </w:rPr>
        <w:t> </w:t>
      </w:r>
      <w:r>
        <w:rPr>
          <w:color w:val="231F20"/>
          <w:spacing w:val="-4"/>
          <w:sz w:val="24"/>
        </w:rPr>
        <w:t>importance économico-monétaire de la</w:t>
      </w:r>
      <w:r>
        <w:rPr>
          <w:color w:val="231F20"/>
          <w:spacing w:val="-6"/>
          <w:sz w:val="24"/>
        </w:rPr>
        <w:t> </w:t>
      </w:r>
      <w:r>
        <w:rPr>
          <w:color w:val="231F20"/>
          <w:spacing w:val="-4"/>
          <w:sz w:val="24"/>
        </w:rPr>
        <w:t>Côte</w:t>
      </w:r>
      <w:r>
        <w:rPr>
          <w:color w:val="231F20"/>
          <w:spacing w:val="-6"/>
          <w:sz w:val="24"/>
        </w:rPr>
        <w:t> </w:t>
      </w:r>
      <w:r>
        <w:rPr>
          <w:color w:val="231F20"/>
          <w:spacing w:val="-4"/>
          <w:sz w:val="24"/>
        </w:rPr>
        <w:t>d’Ivoire est aussi la </w:t>
      </w:r>
      <w:r>
        <w:rPr>
          <w:color w:val="231F20"/>
          <w:sz w:val="24"/>
        </w:rPr>
        <w:t>raison</w:t>
      </w:r>
      <w:r>
        <w:rPr>
          <w:color w:val="231F20"/>
          <w:spacing w:val="-9"/>
          <w:sz w:val="24"/>
        </w:rPr>
        <w:t> </w:t>
      </w:r>
      <w:r>
        <w:rPr>
          <w:color w:val="231F20"/>
          <w:sz w:val="24"/>
        </w:rPr>
        <w:t>pour</w:t>
      </w:r>
      <w:r>
        <w:rPr>
          <w:color w:val="231F20"/>
          <w:spacing w:val="-9"/>
          <w:sz w:val="24"/>
        </w:rPr>
        <w:t> </w:t>
      </w:r>
      <w:r>
        <w:rPr>
          <w:color w:val="231F20"/>
          <w:sz w:val="24"/>
        </w:rPr>
        <w:t>laquelle</w:t>
      </w:r>
      <w:r>
        <w:rPr>
          <w:color w:val="231F20"/>
          <w:spacing w:val="-9"/>
          <w:sz w:val="24"/>
        </w:rPr>
        <w:t> </w:t>
      </w:r>
      <w:r>
        <w:rPr>
          <w:color w:val="231F20"/>
          <w:sz w:val="24"/>
        </w:rPr>
        <w:t>le</w:t>
      </w:r>
      <w:r>
        <w:rPr>
          <w:color w:val="231F20"/>
          <w:spacing w:val="-9"/>
          <w:sz w:val="24"/>
        </w:rPr>
        <w:t> </w:t>
      </w:r>
      <w:r>
        <w:rPr>
          <w:color w:val="231F20"/>
          <w:sz w:val="24"/>
        </w:rPr>
        <w:t>projet</w:t>
      </w:r>
      <w:r>
        <w:rPr>
          <w:color w:val="231F20"/>
          <w:spacing w:val="-9"/>
          <w:sz w:val="24"/>
        </w:rPr>
        <w:t> </w:t>
      </w:r>
      <w:r>
        <w:rPr>
          <w:color w:val="231F20"/>
          <w:sz w:val="24"/>
        </w:rPr>
        <w:t>de</w:t>
      </w:r>
      <w:r>
        <w:rPr>
          <w:color w:val="231F20"/>
          <w:spacing w:val="-9"/>
          <w:sz w:val="24"/>
        </w:rPr>
        <w:t> </w:t>
      </w:r>
      <w:r>
        <w:rPr>
          <w:color w:val="231F20"/>
          <w:sz w:val="24"/>
        </w:rPr>
        <w:t>souveraineté</w:t>
      </w:r>
      <w:r>
        <w:rPr>
          <w:color w:val="231F20"/>
          <w:spacing w:val="-9"/>
          <w:sz w:val="24"/>
        </w:rPr>
        <w:t> </w:t>
      </w:r>
      <w:r>
        <w:rPr>
          <w:color w:val="231F20"/>
          <w:sz w:val="24"/>
        </w:rPr>
        <w:t>de</w:t>
      </w:r>
      <w:r>
        <w:rPr>
          <w:color w:val="231F20"/>
          <w:spacing w:val="-9"/>
          <w:sz w:val="24"/>
        </w:rPr>
        <w:t> </w:t>
      </w:r>
      <w:r>
        <w:rPr>
          <w:color w:val="231F20"/>
          <w:sz w:val="24"/>
        </w:rPr>
        <w:t>Gbagbo</w:t>
      </w:r>
      <w:r>
        <w:rPr>
          <w:color w:val="231F20"/>
          <w:spacing w:val="-9"/>
          <w:sz w:val="24"/>
        </w:rPr>
        <w:t> </w:t>
      </w:r>
      <w:r>
        <w:rPr>
          <w:color w:val="231F20"/>
          <w:sz w:val="24"/>
        </w:rPr>
        <w:t>ne</w:t>
      </w:r>
      <w:r>
        <w:rPr>
          <w:color w:val="231F20"/>
          <w:spacing w:val="-9"/>
          <w:sz w:val="24"/>
        </w:rPr>
        <w:t> </w:t>
      </w:r>
      <w:r>
        <w:rPr>
          <w:color w:val="231F20"/>
          <w:sz w:val="24"/>
        </w:rPr>
        <w:t>pouvait</w:t>
      </w:r>
      <w:r>
        <w:rPr>
          <w:color w:val="231F20"/>
          <w:spacing w:val="-9"/>
          <w:sz w:val="24"/>
        </w:rPr>
        <w:t> </w:t>
      </w:r>
      <w:r>
        <w:rPr>
          <w:color w:val="231F20"/>
          <w:sz w:val="24"/>
        </w:rPr>
        <w:t>pas être</w:t>
      </w:r>
      <w:r>
        <w:rPr>
          <w:color w:val="231F20"/>
          <w:spacing w:val="-11"/>
          <w:sz w:val="24"/>
        </w:rPr>
        <w:t> </w:t>
      </w:r>
      <w:r>
        <w:rPr>
          <w:color w:val="231F20"/>
          <w:sz w:val="24"/>
        </w:rPr>
        <w:t>accepté</w:t>
      </w:r>
      <w:r>
        <w:rPr>
          <w:color w:val="231F20"/>
          <w:spacing w:val="-10"/>
          <w:sz w:val="24"/>
        </w:rPr>
        <w:t> </w:t>
      </w:r>
      <w:r>
        <w:rPr>
          <w:color w:val="231F20"/>
          <w:sz w:val="24"/>
        </w:rPr>
        <w:t>par</w:t>
      </w:r>
      <w:r>
        <w:rPr>
          <w:color w:val="231F20"/>
          <w:spacing w:val="-10"/>
          <w:sz w:val="24"/>
        </w:rPr>
        <w:t> </w:t>
      </w:r>
      <w:r>
        <w:rPr>
          <w:color w:val="231F20"/>
          <w:sz w:val="24"/>
        </w:rPr>
        <w:t>la</w:t>
      </w:r>
      <w:r>
        <w:rPr>
          <w:color w:val="231F20"/>
          <w:spacing w:val="-10"/>
          <w:sz w:val="24"/>
        </w:rPr>
        <w:t> </w:t>
      </w:r>
      <w:r>
        <w:rPr>
          <w:color w:val="231F20"/>
          <w:sz w:val="24"/>
        </w:rPr>
        <w:t>France</w:t>
      </w:r>
      <w:r>
        <w:rPr>
          <w:color w:val="231F20"/>
          <w:spacing w:val="-15"/>
          <w:sz w:val="24"/>
        </w:rPr>
        <w:t> </w:t>
      </w:r>
      <w:r>
        <w:rPr>
          <w:color w:val="231F20"/>
          <w:sz w:val="24"/>
        </w:rPr>
        <w:t>:</w:t>
      </w:r>
      <w:r>
        <w:rPr>
          <w:color w:val="231F20"/>
          <w:spacing w:val="-9"/>
          <w:sz w:val="24"/>
        </w:rPr>
        <w:t> </w:t>
      </w:r>
      <w:r>
        <w:rPr>
          <w:color w:val="231F20"/>
          <w:sz w:val="24"/>
        </w:rPr>
        <w:t>«</w:t>
      </w:r>
      <w:r>
        <w:rPr>
          <w:color w:val="231F20"/>
          <w:spacing w:val="-15"/>
          <w:sz w:val="24"/>
        </w:rPr>
        <w:t> </w:t>
      </w:r>
      <w:r>
        <w:rPr>
          <w:i/>
          <w:color w:val="231F20"/>
          <w:sz w:val="24"/>
        </w:rPr>
        <w:t>nous</w:t>
      </w:r>
      <w:r>
        <w:rPr>
          <w:i/>
          <w:color w:val="231F20"/>
          <w:spacing w:val="-12"/>
          <w:sz w:val="24"/>
        </w:rPr>
        <w:t> </w:t>
      </w:r>
      <w:r>
        <w:rPr>
          <w:i/>
          <w:color w:val="231F20"/>
          <w:sz w:val="24"/>
        </w:rPr>
        <w:t>avons</w:t>
      </w:r>
      <w:r>
        <w:rPr>
          <w:i/>
          <w:color w:val="231F20"/>
          <w:spacing w:val="-10"/>
          <w:sz w:val="24"/>
        </w:rPr>
        <w:t> </w:t>
      </w:r>
      <w:r>
        <w:rPr>
          <w:i/>
          <w:color w:val="231F20"/>
          <w:sz w:val="24"/>
        </w:rPr>
        <w:t>du</w:t>
      </w:r>
      <w:r>
        <w:rPr>
          <w:i/>
          <w:color w:val="231F20"/>
          <w:spacing w:val="-9"/>
          <w:sz w:val="24"/>
        </w:rPr>
        <w:t> </w:t>
      </w:r>
      <w:r>
        <w:rPr>
          <w:i/>
          <w:color w:val="231F20"/>
          <w:sz w:val="24"/>
        </w:rPr>
        <w:t>mal</w:t>
      </w:r>
      <w:r>
        <w:rPr>
          <w:i/>
          <w:color w:val="231F20"/>
          <w:spacing w:val="-12"/>
          <w:sz w:val="24"/>
        </w:rPr>
        <w:t> </w:t>
      </w:r>
      <w:r>
        <w:rPr>
          <w:i/>
          <w:color w:val="231F20"/>
          <w:sz w:val="24"/>
        </w:rPr>
        <w:t>à</w:t>
      </w:r>
      <w:r>
        <w:rPr>
          <w:i/>
          <w:color w:val="231F20"/>
          <w:spacing w:val="-12"/>
          <w:sz w:val="24"/>
        </w:rPr>
        <w:t> </w:t>
      </w:r>
      <w:r>
        <w:rPr>
          <w:i/>
          <w:color w:val="231F20"/>
          <w:sz w:val="24"/>
        </w:rPr>
        <w:t>croire</w:t>
      </w:r>
      <w:r>
        <w:rPr>
          <w:i/>
          <w:color w:val="231F20"/>
          <w:spacing w:val="-9"/>
          <w:sz w:val="24"/>
        </w:rPr>
        <w:t> </w:t>
      </w:r>
      <w:r>
        <w:rPr>
          <w:i/>
          <w:color w:val="231F20"/>
          <w:sz w:val="24"/>
        </w:rPr>
        <w:t>que,</w:t>
      </w:r>
      <w:r>
        <w:rPr>
          <w:i/>
          <w:color w:val="231F20"/>
          <w:spacing w:val="-10"/>
          <w:sz w:val="24"/>
        </w:rPr>
        <w:t> </w:t>
      </w:r>
      <w:r>
        <w:rPr>
          <w:i/>
          <w:color w:val="231F20"/>
          <w:sz w:val="24"/>
        </w:rPr>
        <w:t>seulement</w:t>
      </w:r>
      <w:r>
        <w:rPr>
          <w:i/>
          <w:color w:val="231F20"/>
          <w:sz w:val="24"/>
        </w:rPr>
        <w:t> une semaine après la Conférence Internationale d’Abidjan pour la Réforme de la Zone Franc, l’Armée française ouvre le feu sur les Symboles visibles de la souveraineté de la Côte d’Ivoire de manière violente et</w:t>
      </w:r>
      <w:r>
        <w:rPr>
          <w:i/>
          <w:color w:val="231F20"/>
          <w:spacing w:val="-2"/>
          <w:sz w:val="24"/>
        </w:rPr>
        <w:t> </w:t>
      </w:r>
      <w:r>
        <w:rPr>
          <w:i/>
          <w:color w:val="231F20"/>
          <w:sz w:val="24"/>
        </w:rPr>
        <w:t>barbare,</w:t>
      </w:r>
      <w:r>
        <w:rPr>
          <w:i/>
          <w:color w:val="231F20"/>
          <w:spacing w:val="-2"/>
          <w:sz w:val="24"/>
        </w:rPr>
        <w:t> </w:t>
      </w:r>
      <w:r>
        <w:rPr>
          <w:i/>
          <w:color w:val="231F20"/>
          <w:sz w:val="24"/>
        </w:rPr>
        <w:t>haineuse et</w:t>
      </w:r>
      <w:r>
        <w:rPr>
          <w:i/>
          <w:color w:val="231F20"/>
          <w:spacing w:val="-2"/>
          <w:sz w:val="24"/>
        </w:rPr>
        <w:t> </w:t>
      </w:r>
      <w:r>
        <w:rPr>
          <w:i/>
          <w:color w:val="231F20"/>
          <w:sz w:val="24"/>
        </w:rPr>
        <w:t>sanguinaire</w:t>
      </w:r>
      <w:r>
        <w:rPr>
          <w:color w:val="76787A"/>
          <w:sz w:val="24"/>
          <w:vertAlign w:val="superscript"/>
        </w:rPr>
        <w:t>255</w:t>
      </w:r>
      <w:r>
        <w:rPr>
          <w:color w:val="76787A"/>
          <w:sz w:val="24"/>
          <w:vertAlign w:val="baseline"/>
        </w:rPr>
        <w:t> </w:t>
      </w:r>
      <w:r>
        <w:rPr>
          <w:i/>
          <w:color w:val="231F20"/>
          <w:sz w:val="24"/>
          <w:vertAlign w:val="baseline"/>
        </w:rPr>
        <w:t>».</w:t>
      </w:r>
    </w:p>
    <w:p>
      <w:pPr>
        <w:pStyle w:val="BodyText"/>
        <w:spacing w:before="120"/>
        <w:ind w:right="105" w:firstLine="283"/>
      </w:pPr>
      <w:r>
        <w:rPr>
          <w:color w:val="231F20"/>
        </w:rPr>
        <w:t>Condamnés à ne vivre que de l’exportation des matières premières dont la fixation des prix leur échappe, les États subissent les cours du marché mondial. D’année en année, l’économie de traite fragilise ces </w:t>
      </w:r>
      <w:r>
        <w:rPr>
          <w:color w:val="231F20"/>
          <w:spacing w:val="-4"/>
        </w:rPr>
        <w:t>États</w:t>
      </w:r>
      <w:r>
        <w:rPr>
          <w:color w:val="231F20"/>
          <w:spacing w:val="-6"/>
        </w:rPr>
        <w:t> </w:t>
      </w:r>
      <w:r>
        <w:rPr>
          <w:color w:val="231F20"/>
          <w:spacing w:val="-4"/>
        </w:rPr>
        <w:t>dépourvus de</w:t>
      </w:r>
      <w:r>
        <w:rPr>
          <w:color w:val="231F20"/>
          <w:spacing w:val="-6"/>
        </w:rPr>
        <w:t> </w:t>
      </w:r>
      <w:r>
        <w:rPr>
          <w:color w:val="231F20"/>
          <w:spacing w:val="-4"/>
        </w:rPr>
        <w:t>grandes industries de</w:t>
      </w:r>
      <w:r>
        <w:rPr>
          <w:color w:val="231F20"/>
          <w:spacing w:val="-6"/>
        </w:rPr>
        <w:t> </w:t>
      </w:r>
      <w:r>
        <w:rPr>
          <w:color w:val="231F20"/>
          <w:spacing w:val="-4"/>
        </w:rPr>
        <w:t>transformation et</w:t>
      </w:r>
      <w:r>
        <w:rPr>
          <w:color w:val="231F20"/>
          <w:spacing w:val="-6"/>
        </w:rPr>
        <w:t> </w:t>
      </w:r>
      <w:r>
        <w:rPr>
          <w:color w:val="231F20"/>
          <w:spacing w:val="-4"/>
        </w:rPr>
        <w:t>qui</w:t>
      </w:r>
      <w:r>
        <w:rPr>
          <w:color w:val="231F20"/>
          <w:spacing w:val="-6"/>
        </w:rPr>
        <w:t> </w:t>
      </w:r>
      <w:r>
        <w:rPr>
          <w:color w:val="231F20"/>
          <w:spacing w:val="-4"/>
        </w:rPr>
        <w:t>demeurent </w:t>
      </w:r>
      <w:r>
        <w:rPr>
          <w:color w:val="231F20"/>
        </w:rPr>
        <w:t>d’éternels consommateurs de tout produit manufacturé venant de l’extérieur</w:t>
      </w:r>
      <w:r>
        <w:rPr>
          <w:color w:val="231F20"/>
          <w:spacing w:val="-15"/>
        </w:rPr>
        <w:t> </w:t>
      </w:r>
      <w:r>
        <w:rPr>
          <w:color w:val="231F20"/>
        </w:rPr>
        <w:t>: France d’abord et autres pays d’Europe et d’Asie ensuite. Quand bien même de petites industries de transformation locales produisent</w:t>
      </w:r>
      <w:r>
        <w:rPr>
          <w:color w:val="231F20"/>
          <w:spacing w:val="27"/>
        </w:rPr>
        <w:t> </w:t>
      </w:r>
      <w:r>
        <w:rPr>
          <w:color w:val="231F20"/>
        </w:rPr>
        <w:t>quelques</w:t>
      </w:r>
      <w:r>
        <w:rPr>
          <w:color w:val="231F20"/>
          <w:spacing w:val="32"/>
        </w:rPr>
        <w:t> </w:t>
      </w:r>
      <w:r>
        <w:rPr>
          <w:color w:val="231F20"/>
        </w:rPr>
        <w:t>biens</w:t>
      </w:r>
      <w:r>
        <w:rPr>
          <w:color w:val="231F20"/>
          <w:spacing w:val="31"/>
        </w:rPr>
        <w:t> </w:t>
      </w:r>
      <w:r>
        <w:rPr>
          <w:color w:val="231F20"/>
        </w:rPr>
        <w:t>finis</w:t>
      </w:r>
      <w:r>
        <w:rPr>
          <w:color w:val="231F20"/>
          <w:spacing w:val="32"/>
        </w:rPr>
        <w:t> </w:t>
      </w:r>
      <w:r>
        <w:rPr>
          <w:color w:val="231F20"/>
        </w:rPr>
        <w:t>de</w:t>
      </w:r>
      <w:r>
        <w:rPr>
          <w:color w:val="231F20"/>
          <w:spacing w:val="30"/>
        </w:rPr>
        <w:t> </w:t>
      </w:r>
      <w:r>
        <w:rPr>
          <w:color w:val="231F20"/>
        </w:rPr>
        <w:t>bonne</w:t>
      </w:r>
      <w:r>
        <w:rPr>
          <w:color w:val="231F20"/>
          <w:spacing w:val="29"/>
        </w:rPr>
        <w:t> </w:t>
      </w:r>
      <w:r>
        <w:rPr>
          <w:color w:val="231F20"/>
        </w:rPr>
        <w:t>qualité,</w:t>
      </w:r>
      <w:r>
        <w:rPr>
          <w:color w:val="231F20"/>
          <w:spacing w:val="30"/>
        </w:rPr>
        <w:t> </w:t>
      </w:r>
      <w:r>
        <w:rPr>
          <w:color w:val="231F20"/>
        </w:rPr>
        <w:t>les</w:t>
      </w:r>
      <w:r>
        <w:rPr>
          <w:color w:val="231F20"/>
          <w:spacing w:val="32"/>
        </w:rPr>
        <w:t> </w:t>
      </w:r>
      <w:r>
        <w:rPr>
          <w:color w:val="231F20"/>
          <w:spacing w:val="-2"/>
        </w:rPr>
        <w:t>consommateurs</w:t>
      </w:r>
    </w:p>
    <w:p>
      <w:pPr>
        <w:pStyle w:val="BodyText"/>
        <w:spacing w:before="1"/>
      </w:pPr>
      <w:r>
        <w:rPr>
          <w:color w:val="231F20"/>
          <w:spacing w:val="-2"/>
        </w:rPr>
        <w:t>«</w:t>
      </w:r>
      <w:r>
        <w:rPr>
          <w:color w:val="231F20"/>
          <w:spacing w:val="-10"/>
        </w:rPr>
        <w:t> </w:t>
      </w:r>
      <w:r>
        <w:rPr>
          <w:color w:val="231F20"/>
          <w:spacing w:val="-2"/>
        </w:rPr>
        <w:t>conditionnés</w:t>
      </w:r>
      <w:r>
        <w:rPr>
          <w:color w:val="231F20"/>
          <w:spacing w:val="-11"/>
        </w:rPr>
        <w:t> </w:t>
      </w:r>
      <w:r>
        <w:rPr>
          <w:color w:val="231F20"/>
          <w:spacing w:val="-2"/>
        </w:rPr>
        <w:t>»</w:t>
      </w:r>
      <w:r>
        <w:rPr>
          <w:color w:val="231F20"/>
          <w:spacing w:val="-10"/>
        </w:rPr>
        <w:t> </w:t>
      </w:r>
      <w:r>
        <w:rPr>
          <w:color w:val="231F20"/>
          <w:spacing w:val="-2"/>
        </w:rPr>
        <w:t>préfèrent</w:t>
      </w:r>
      <w:r>
        <w:rPr>
          <w:color w:val="231F20"/>
          <w:spacing w:val="-11"/>
        </w:rPr>
        <w:t> </w:t>
      </w:r>
      <w:r>
        <w:rPr>
          <w:color w:val="231F20"/>
          <w:spacing w:val="-2"/>
        </w:rPr>
        <w:t>le</w:t>
      </w:r>
      <w:r>
        <w:rPr>
          <w:color w:val="231F20"/>
          <w:spacing w:val="-9"/>
        </w:rPr>
        <w:t> </w:t>
      </w:r>
      <w:r>
        <w:rPr>
          <w:color w:val="231F20"/>
          <w:spacing w:val="-2"/>
        </w:rPr>
        <w:t>produit</w:t>
      </w:r>
      <w:r>
        <w:rPr>
          <w:color w:val="231F20"/>
          <w:spacing w:val="-9"/>
        </w:rPr>
        <w:t> </w:t>
      </w:r>
      <w:r>
        <w:rPr>
          <w:color w:val="231F20"/>
          <w:spacing w:val="-2"/>
        </w:rPr>
        <w:t>importé.</w:t>
      </w:r>
    </w:p>
    <w:p>
      <w:pPr>
        <w:pStyle w:val="BodyText"/>
        <w:spacing w:before="120"/>
        <w:ind w:right="107" w:firstLine="283"/>
        <w:rPr>
          <w:i/>
        </w:rPr>
      </w:pPr>
      <w:r>
        <w:rPr>
          <w:color w:val="231F20"/>
        </w:rPr>
        <w:t>En</w:t>
      </w:r>
      <w:r>
        <w:rPr>
          <w:color w:val="231F20"/>
          <w:spacing w:val="-15"/>
        </w:rPr>
        <w:t> </w:t>
      </w:r>
      <w:r>
        <w:rPr>
          <w:color w:val="636466"/>
        </w:rPr>
        <w:t>dépendance</w:t>
      </w:r>
      <w:r>
        <w:rPr>
          <w:color w:val="636466"/>
          <w:spacing w:val="-15"/>
        </w:rPr>
        <w:t> </w:t>
      </w:r>
      <w:r>
        <w:rPr>
          <w:color w:val="636466"/>
        </w:rPr>
        <w:t>exclusive</w:t>
      </w:r>
      <w:r>
        <w:rPr>
          <w:color w:val="636466"/>
          <w:spacing w:val="-15"/>
        </w:rPr>
        <w:t> </w:t>
      </w:r>
      <w:r>
        <w:rPr>
          <w:color w:val="636466"/>
        </w:rPr>
        <w:t>vis</w:t>
      </w:r>
      <w:r>
        <w:rPr>
          <w:color w:val="636466"/>
          <w:spacing w:val="-15"/>
        </w:rPr>
        <w:t> </w:t>
      </w:r>
      <w:r>
        <w:rPr>
          <w:color w:val="636466"/>
        </w:rPr>
        <w:t>à</w:t>
      </w:r>
      <w:r>
        <w:rPr>
          <w:color w:val="636466"/>
          <w:spacing w:val="-15"/>
        </w:rPr>
        <w:t> </w:t>
      </w:r>
      <w:r>
        <w:rPr>
          <w:color w:val="636466"/>
        </w:rPr>
        <w:t>vis</w:t>
      </w:r>
      <w:r>
        <w:rPr>
          <w:color w:val="636466"/>
          <w:spacing w:val="-15"/>
        </w:rPr>
        <w:t> </w:t>
      </w:r>
      <w:r>
        <w:rPr>
          <w:color w:val="636466"/>
        </w:rPr>
        <w:t>du</w:t>
      </w:r>
      <w:r>
        <w:rPr>
          <w:color w:val="636466"/>
          <w:spacing w:val="-15"/>
        </w:rPr>
        <w:t> </w:t>
      </w:r>
      <w:r>
        <w:rPr>
          <w:color w:val="636466"/>
        </w:rPr>
        <w:t>marché</w:t>
      </w:r>
      <w:r>
        <w:rPr>
          <w:color w:val="636466"/>
          <w:spacing w:val="-15"/>
        </w:rPr>
        <w:t> </w:t>
      </w:r>
      <w:r>
        <w:rPr>
          <w:color w:val="636466"/>
        </w:rPr>
        <w:t>extérieur</w:t>
      </w:r>
      <w:r>
        <w:rPr>
          <w:i/>
          <w:color w:val="636466"/>
        </w:rPr>
        <w:t>,</w:t>
      </w:r>
      <w:r>
        <w:rPr>
          <w:i/>
          <w:color w:val="636466"/>
          <w:spacing w:val="-15"/>
        </w:rPr>
        <w:t> </w:t>
      </w:r>
      <w:r>
        <w:rPr>
          <w:color w:val="231F20"/>
        </w:rPr>
        <w:t>il</w:t>
      </w:r>
      <w:r>
        <w:rPr>
          <w:color w:val="231F20"/>
          <w:spacing w:val="-15"/>
        </w:rPr>
        <w:t> </w:t>
      </w:r>
      <w:r>
        <w:rPr>
          <w:color w:val="231F20"/>
        </w:rPr>
        <w:t>suffit</w:t>
      </w:r>
      <w:r>
        <w:rPr>
          <w:color w:val="231F20"/>
          <w:spacing w:val="-15"/>
        </w:rPr>
        <w:t> </w:t>
      </w:r>
      <w:r>
        <w:rPr>
          <w:color w:val="231F20"/>
        </w:rPr>
        <w:t>d’une chute des cours du café, cacao, coton ou des minéraux pour plomber financièrement l’économie des États qui se voient dans le besoin de contracter</w:t>
      </w:r>
      <w:r>
        <w:rPr>
          <w:color w:val="231F20"/>
          <w:spacing w:val="-3"/>
        </w:rPr>
        <w:t> </w:t>
      </w:r>
      <w:r>
        <w:rPr>
          <w:color w:val="231F20"/>
        </w:rPr>
        <w:t>des</w:t>
      </w:r>
      <w:r>
        <w:rPr>
          <w:color w:val="231F20"/>
          <w:spacing w:val="-2"/>
        </w:rPr>
        <w:t> </w:t>
      </w:r>
      <w:r>
        <w:rPr>
          <w:color w:val="231F20"/>
        </w:rPr>
        <w:t>dettes</w:t>
      </w:r>
      <w:r>
        <w:rPr>
          <w:color w:val="231F20"/>
          <w:spacing w:val="-1"/>
        </w:rPr>
        <w:t> </w:t>
      </w:r>
      <w:r>
        <w:rPr>
          <w:color w:val="231F20"/>
        </w:rPr>
        <w:t>auprès</w:t>
      </w:r>
      <w:r>
        <w:rPr>
          <w:color w:val="231F20"/>
          <w:spacing w:val="-2"/>
        </w:rPr>
        <w:t> </w:t>
      </w:r>
      <w:r>
        <w:rPr>
          <w:color w:val="231F20"/>
        </w:rPr>
        <w:t>des</w:t>
      </w:r>
      <w:r>
        <w:rPr>
          <w:color w:val="231F20"/>
          <w:spacing w:val="-2"/>
        </w:rPr>
        <w:t> </w:t>
      </w:r>
      <w:r>
        <w:rPr>
          <w:color w:val="231F20"/>
        </w:rPr>
        <w:t>financiers</w:t>
      </w:r>
      <w:r>
        <w:rPr>
          <w:color w:val="231F20"/>
          <w:spacing w:val="-1"/>
        </w:rPr>
        <w:t> </w:t>
      </w:r>
      <w:r>
        <w:rPr>
          <w:color w:val="231F20"/>
        </w:rPr>
        <w:t>internationaux</w:t>
      </w:r>
      <w:r>
        <w:rPr>
          <w:color w:val="231F20"/>
          <w:spacing w:val="-15"/>
        </w:rPr>
        <w:t> </w:t>
      </w:r>
      <w:r>
        <w:rPr>
          <w:color w:val="231F20"/>
        </w:rPr>
        <w:t>:</w:t>
      </w:r>
      <w:r>
        <w:rPr>
          <w:color w:val="231F20"/>
          <w:spacing w:val="-4"/>
        </w:rPr>
        <w:t> </w:t>
      </w:r>
      <w:r>
        <w:rPr>
          <w:i/>
          <w:color w:val="231F20"/>
        </w:rPr>
        <w:t>«</w:t>
      </w:r>
      <w:r>
        <w:rPr>
          <w:i/>
          <w:color w:val="231F20"/>
          <w:spacing w:val="-15"/>
        </w:rPr>
        <w:t> </w:t>
      </w:r>
      <w:r>
        <w:rPr>
          <w:i/>
          <w:color w:val="231F20"/>
        </w:rPr>
        <w:t>Il</w:t>
      </w:r>
      <w:r>
        <w:rPr>
          <w:i/>
          <w:color w:val="231F20"/>
          <w:spacing w:val="-3"/>
        </w:rPr>
        <w:t> </w:t>
      </w:r>
      <w:r>
        <w:rPr>
          <w:i/>
          <w:color w:val="231F20"/>
        </w:rPr>
        <w:t>y</w:t>
      </w:r>
      <w:r>
        <w:rPr>
          <w:i/>
          <w:color w:val="231F20"/>
          <w:spacing w:val="-2"/>
        </w:rPr>
        <w:t> </w:t>
      </w:r>
      <w:r>
        <w:rPr>
          <w:i/>
          <w:color w:val="231F20"/>
        </w:rPr>
        <w:t>a</w:t>
      </w:r>
      <w:r>
        <w:rPr>
          <w:i/>
          <w:color w:val="231F20"/>
          <w:spacing w:val="-1"/>
        </w:rPr>
        <w:t> </w:t>
      </w:r>
      <w:r>
        <w:rPr>
          <w:i/>
          <w:color w:val="231F20"/>
          <w:spacing w:val="-4"/>
        </w:rPr>
        <w:t>deux</w:t>
      </w:r>
    </w:p>
    <w:p>
      <w:pPr>
        <w:pStyle w:val="BodyText"/>
        <w:ind w:left="0"/>
        <w:jc w:val="left"/>
        <w:rPr>
          <w:i/>
          <w:sz w:val="20"/>
        </w:rPr>
      </w:pPr>
    </w:p>
    <w:p>
      <w:pPr>
        <w:pStyle w:val="BodyText"/>
        <w:spacing w:before="88"/>
        <w:ind w:left="0"/>
        <w:jc w:val="left"/>
        <w:rPr>
          <w:i/>
          <w:sz w:val="20"/>
        </w:rPr>
      </w:pPr>
      <w:r>
        <w:rPr/>
        <mc:AlternateContent>
          <mc:Choice Requires="wps">
            <w:drawing>
              <wp:anchor distT="0" distB="0" distL="0" distR="0" allowOverlap="1" layoutInCell="1" locked="0" behindDoc="1" simplePos="0" relativeHeight="487665664">
                <wp:simplePos x="0" y="0"/>
                <wp:positionH relativeFrom="page">
                  <wp:posOffset>629907</wp:posOffset>
                </wp:positionH>
                <wp:positionV relativeFrom="paragraph">
                  <wp:posOffset>217639</wp:posOffset>
                </wp:positionV>
                <wp:extent cx="1829435" cy="9525"/>
                <wp:effectExtent l="0" t="0" r="0" b="0"/>
                <wp:wrapTopAndBottom/>
                <wp:docPr id="184" name="Graphic 184"/>
                <wp:cNvGraphicFramePr>
                  <a:graphicFrameLocks/>
                </wp:cNvGraphicFramePr>
                <a:graphic>
                  <a:graphicData uri="http://schemas.microsoft.com/office/word/2010/wordprocessingShape">
                    <wps:wsp>
                      <wps:cNvPr id="184" name="Graphic 18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136992pt;width:144.020pt;height:.72pt;mso-position-horizontal-relative:page;mso-position-vertical-relative:paragraph;z-index:-15650816;mso-wrap-distance-left:0;mso-wrap-distance-right:0" id="docshape182"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255</w:t>
      </w:r>
      <w:r>
        <w:rPr>
          <w:color w:val="76787A"/>
          <w:spacing w:val="4"/>
          <w:sz w:val="20"/>
          <w:vertAlign w:val="baseline"/>
        </w:rPr>
        <w:t> </w:t>
      </w:r>
      <w:r>
        <w:rPr>
          <w:color w:val="231F20"/>
          <w:spacing w:val="-4"/>
          <w:sz w:val="20"/>
          <w:vertAlign w:val="baseline"/>
        </w:rPr>
        <w:t>Comité</w:t>
      </w:r>
      <w:r>
        <w:rPr>
          <w:color w:val="231F20"/>
          <w:spacing w:val="-2"/>
          <w:sz w:val="20"/>
          <w:vertAlign w:val="baseline"/>
        </w:rPr>
        <w:t> </w:t>
      </w:r>
      <w:r>
        <w:rPr>
          <w:color w:val="231F20"/>
          <w:spacing w:val="-4"/>
          <w:sz w:val="20"/>
          <w:vertAlign w:val="baseline"/>
        </w:rPr>
        <w:t>d’Initiative</w:t>
      </w:r>
      <w:r>
        <w:rPr>
          <w:color w:val="231F20"/>
          <w:spacing w:val="-1"/>
          <w:sz w:val="20"/>
          <w:vertAlign w:val="baseline"/>
        </w:rPr>
        <w:t> </w:t>
      </w:r>
      <w:r>
        <w:rPr>
          <w:color w:val="231F20"/>
          <w:spacing w:val="-4"/>
          <w:sz w:val="20"/>
          <w:vertAlign w:val="baseline"/>
        </w:rPr>
        <w:t>des</w:t>
      </w:r>
      <w:r>
        <w:rPr>
          <w:color w:val="231F20"/>
          <w:spacing w:val="-2"/>
          <w:sz w:val="20"/>
          <w:vertAlign w:val="baseline"/>
        </w:rPr>
        <w:t> </w:t>
      </w:r>
      <w:r>
        <w:rPr>
          <w:color w:val="231F20"/>
          <w:spacing w:val="-4"/>
          <w:sz w:val="20"/>
          <w:vertAlign w:val="baseline"/>
        </w:rPr>
        <w:t>Intellectuels</w:t>
      </w:r>
      <w:r>
        <w:rPr>
          <w:color w:val="231F20"/>
          <w:spacing w:val="-1"/>
          <w:sz w:val="20"/>
          <w:vertAlign w:val="baseline"/>
        </w:rPr>
        <w:t> </w:t>
      </w:r>
      <w:r>
        <w:rPr>
          <w:color w:val="231F20"/>
          <w:spacing w:val="-4"/>
          <w:sz w:val="20"/>
          <w:vertAlign w:val="baseline"/>
        </w:rPr>
        <w:t>du</w:t>
      </w:r>
      <w:r>
        <w:rPr>
          <w:color w:val="231F20"/>
          <w:spacing w:val="-1"/>
          <w:sz w:val="20"/>
          <w:vertAlign w:val="baseline"/>
        </w:rPr>
        <w:t> </w:t>
      </w:r>
      <w:r>
        <w:rPr>
          <w:color w:val="231F20"/>
          <w:spacing w:val="-4"/>
          <w:sz w:val="20"/>
          <w:vertAlign w:val="baseline"/>
        </w:rPr>
        <w:t>Sénégal.</w:t>
      </w:r>
    </w:p>
    <w:p>
      <w:pPr>
        <w:spacing w:after="0"/>
        <w:jc w:val="left"/>
        <w:rPr>
          <w:sz w:val="20"/>
        </w:rPr>
        <w:sectPr>
          <w:pgSz w:w="8790" w:h="13610"/>
          <w:pgMar w:header="0" w:footer="802" w:top="1060" w:bottom="1000" w:left="880" w:right="880"/>
        </w:sectPr>
      </w:pPr>
    </w:p>
    <w:p>
      <w:pPr>
        <w:spacing w:before="66"/>
        <w:ind w:left="111" w:right="104" w:firstLine="0"/>
        <w:jc w:val="both"/>
        <w:rPr>
          <w:i/>
          <w:sz w:val="24"/>
        </w:rPr>
      </w:pPr>
      <w:r>
        <w:rPr>
          <w:i/>
          <w:color w:val="231F20"/>
          <w:spacing w:val="-2"/>
          <w:sz w:val="24"/>
        </w:rPr>
        <w:t>manières</w:t>
      </w:r>
      <w:r>
        <w:rPr>
          <w:i/>
          <w:color w:val="231F20"/>
          <w:spacing w:val="-13"/>
          <w:sz w:val="24"/>
        </w:rPr>
        <w:t> </w:t>
      </w:r>
      <w:r>
        <w:rPr>
          <w:i/>
          <w:color w:val="231F20"/>
          <w:spacing w:val="-2"/>
          <w:sz w:val="24"/>
        </w:rPr>
        <w:t>de</w:t>
      </w:r>
      <w:r>
        <w:rPr>
          <w:i/>
          <w:color w:val="231F20"/>
          <w:spacing w:val="-13"/>
          <w:sz w:val="24"/>
        </w:rPr>
        <w:t> </w:t>
      </w:r>
      <w:r>
        <w:rPr>
          <w:i/>
          <w:color w:val="231F20"/>
          <w:spacing w:val="-2"/>
          <w:sz w:val="24"/>
        </w:rPr>
        <w:t>conquérir</w:t>
      </w:r>
      <w:r>
        <w:rPr>
          <w:i/>
          <w:color w:val="231F20"/>
          <w:spacing w:val="-13"/>
          <w:sz w:val="24"/>
        </w:rPr>
        <w:t> </w:t>
      </w:r>
      <w:r>
        <w:rPr>
          <w:i/>
          <w:color w:val="231F20"/>
          <w:spacing w:val="-2"/>
          <w:sz w:val="24"/>
        </w:rPr>
        <w:t>et</w:t>
      </w:r>
      <w:r>
        <w:rPr>
          <w:i/>
          <w:color w:val="231F20"/>
          <w:spacing w:val="-13"/>
          <w:sz w:val="24"/>
        </w:rPr>
        <w:t> </w:t>
      </w:r>
      <w:r>
        <w:rPr>
          <w:i/>
          <w:color w:val="231F20"/>
          <w:spacing w:val="-2"/>
          <w:sz w:val="24"/>
        </w:rPr>
        <w:t>d'asservir</w:t>
      </w:r>
      <w:r>
        <w:rPr>
          <w:i/>
          <w:color w:val="231F20"/>
          <w:spacing w:val="-13"/>
          <w:sz w:val="24"/>
        </w:rPr>
        <w:t> </w:t>
      </w:r>
      <w:r>
        <w:rPr>
          <w:i/>
          <w:color w:val="231F20"/>
          <w:spacing w:val="-2"/>
          <w:sz w:val="24"/>
        </w:rPr>
        <w:t>une</w:t>
      </w:r>
      <w:r>
        <w:rPr>
          <w:i/>
          <w:color w:val="231F20"/>
          <w:spacing w:val="-13"/>
          <w:sz w:val="24"/>
        </w:rPr>
        <w:t> </w:t>
      </w:r>
      <w:r>
        <w:rPr>
          <w:i/>
          <w:color w:val="231F20"/>
          <w:spacing w:val="-2"/>
          <w:sz w:val="24"/>
        </w:rPr>
        <w:t>nation,</w:t>
      </w:r>
      <w:r>
        <w:rPr>
          <w:i/>
          <w:color w:val="231F20"/>
          <w:spacing w:val="-13"/>
          <w:sz w:val="24"/>
        </w:rPr>
        <w:t> </w:t>
      </w:r>
      <w:r>
        <w:rPr>
          <w:i/>
          <w:color w:val="231F20"/>
          <w:spacing w:val="-2"/>
          <w:sz w:val="24"/>
        </w:rPr>
        <w:t>une</w:t>
      </w:r>
      <w:r>
        <w:rPr>
          <w:i/>
          <w:color w:val="231F20"/>
          <w:spacing w:val="-13"/>
          <w:sz w:val="24"/>
        </w:rPr>
        <w:t> </w:t>
      </w:r>
      <w:r>
        <w:rPr>
          <w:i/>
          <w:color w:val="231F20"/>
          <w:spacing w:val="-2"/>
          <w:sz w:val="24"/>
        </w:rPr>
        <w:t>par</w:t>
      </w:r>
      <w:r>
        <w:rPr>
          <w:i/>
          <w:color w:val="231F20"/>
          <w:spacing w:val="-13"/>
          <w:sz w:val="24"/>
        </w:rPr>
        <w:t> </w:t>
      </w:r>
      <w:r>
        <w:rPr>
          <w:i/>
          <w:color w:val="231F20"/>
          <w:spacing w:val="-2"/>
          <w:sz w:val="24"/>
        </w:rPr>
        <w:t>les</w:t>
      </w:r>
      <w:r>
        <w:rPr>
          <w:i/>
          <w:color w:val="231F20"/>
          <w:spacing w:val="-13"/>
          <w:sz w:val="24"/>
        </w:rPr>
        <w:t> </w:t>
      </w:r>
      <w:r>
        <w:rPr>
          <w:i/>
          <w:color w:val="231F20"/>
          <w:spacing w:val="-2"/>
          <w:sz w:val="24"/>
        </w:rPr>
        <w:t>armes,</w:t>
      </w:r>
      <w:r>
        <w:rPr>
          <w:i/>
          <w:color w:val="231F20"/>
          <w:spacing w:val="-13"/>
          <w:sz w:val="24"/>
        </w:rPr>
        <w:t> </w:t>
      </w:r>
      <w:r>
        <w:rPr>
          <w:i/>
          <w:color w:val="231F20"/>
          <w:spacing w:val="-2"/>
          <w:sz w:val="24"/>
        </w:rPr>
        <w:t>l'autre</w:t>
      </w:r>
      <w:r>
        <w:rPr>
          <w:i/>
          <w:color w:val="231F20"/>
          <w:spacing w:val="-2"/>
          <w:sz w:val="24"/>
        </w:rPr>
        <w:t> </w:t>
      </w:r>
      <w:r>
        <w:rPr>
          <w:i/>
          <w:color w:val="231F20"/>
          <w:sz w:val="24"/>
        </w:rPr>
        <w:t>par la dette. »</w:t>
      </w:r>
      <w:r>
        <w:rPr>
          <w:color w:val="76787A"/>
          <w:sz w:val="24"/>
          <w:vertAlign w:val="superscript"/>
        </w:rPr>
        <w:t>256</w:t>
      </w:r>
      <w:r>
        <w:rPr>
          <w:i/>
          <w:color w:val="231F20"/>
          <w:sz w:val="24"/>
          <w:vertAlign w:val="baseline"/>
        </w:rPr>
        <w:t>.</w:t>
      </w:r>
    </w:p>
    <w:p>
      <w:pPr>
        <w:spacing w:before="120"/>
        <w:ind w:left="111" w:right="100" w:firstLine="283"/>
        <w:jc w:val="both"/>
        <w:rPr>
          <w:sz w:val="24"/>
        </w:rPr>
      </w:pPr>
      <w:r>
        <w:rPr>
          <w:color w:val="231F20"/>
          <w:sz w:val="24"/>
        </w:rPr>
        <w:t>En Côte d’Ivoire, le 22 décembre 1999, le Président Henri Konan </w:t>
      </w:r>
      <w:r>
        <w:rPr>
          <w:color w:val="231F20"/>
          <w:spacing w:val="-2"/>
          <w:sz w:val="24"/>
        </w:rPr>
        <w:t>Bédié,</w:t>
      </w:r>
      <w:r>
        <w:rPr>
          <w:color w:val="231F20"/>
          <w:spacing w:val="-11"/>
          <w:sz w:val="24"/>
        </w:rPr>
        <w:t> </w:t>
      </w:r>
      <w:r>
        <w:rPr>
          <w:color w:val="231F20"/>
          <w:spacing w:val="-2"/>
          <w:sz w:val="24"/>
        </w:rPr>
        <w:t>de</w:t>
      </w:r>
      <w:r>
        <w:rPr>
          <w:color w:val="231F20"/>
          <w:spacing w:val="-9"/>
          <w:sz w:val="24"/>
        </w:rPr>
        <w:t> </w:t>
      </w:r>
      <w:r>
        <w:rPr>
          <w:color w:val="231F20"/>
          <w:spacing w:val="-2"/>
          <w:sz w:val="24"/>
        </w:rPr>
        <w:t>surcroît,</w:t>
      </w:r>
      <w:r>
        <w:rPr>
          <w:color w:val="231F20"/>
          <w:spacing w:val="-10"/>
          <w:sz w:val="24"/>
        </w:rPr>
        <w:t> </w:t>
      </w:r>
      <w:r>
        <w:rPr>
          <w:color w:val="231F20"/>
          <w:spacing w:val="-2"/>
          <w:sz w:val="24"/>
        </w:rPr>
        <w:t>Docteur</w:t>
      </w:r>
      <w:r>
        <w:rPr>
          <w:color w:val="231F20"/>
          <w:spacing w:val="-10"/>
          <w:sz w:val="24"/>
        </w:rPr>
        <w:t> </w:t>
      </w:r>
      <w:r>
        <w:rPr>
          <w:color w:val="231F20"/>
          <w:spacing w:val="-2"/>
          <w:sz w:val="24"/>
        </w:rPr>
        <w:t>en</w:t>
      </w:r>
      <w:r>
        <w:rPr>
          <w:color w:val="231F20"/>
          <w:spacing w:val="-9"/>
          <w:sz w:val="24"/>
        </w:rPr>
        <w:t> </w:t>
      </w:r>
      <w:r>
        <w:rPr>
          <w:color w:val="231F20"/>
          <w:spacing w:val="-2"/>
          <w:sz w:val="24"/>
        </w:rPr>
        <w:t>économie,</w:t>
      </w:r>
      <w:r>
        <w:rPr>
          <w:color w:val="231F20"/>
          <w:spacing w:val="-9"/>
          <w:sz w:val="24"/>
        </w:rPr>
        <w:t> </w:t>
      </w:r>
      <w:r>
        <w:rPr>
          <w:color w:val="231F20"/>
          <w:spacing w:val="-2"/>
          <w:sz w:val="24"/>
        </w:rPr>
        <w:t>annonce</w:t>
      </w:r>
      <w:r>
        <w:rPr>
          <w:color w:val="231F20"/>
          <w:spacing w:val="-10"/>
          <w:sz w:val="24"/>
        </w:rPr>
        <w:t> </w:t>
      </w:r>
      <w:r>
        <w:rPr>
          <w:color w:val="231F20"/>
          <w:spacing w:val="-2"/>
          <w:sz w:val="24"/>
        </w:rPr>
        <w:t>dans</w:t>
      </w:r>
      <w:r>
        <w:rPr>
          <w:color w:val="231F20"/>
          <w:spacing w:val="-9"/>
          <w:sz w:val="24"/>
        </w:rPr>
        <w:t> </w:t>
      </w:r>
      <w:r>
        <w:rPr>
          <w:color w:val="231F20"/>
          <w:spacing w:val="-2"/>
          <w:sz w:val="24"/>
        </w:rPr>
        <w:t>son</w:t>
      </w:r>
      <w:r>
        <w:rPr>
          <w:color w:val="231F20"/>
          <w:spacing w:val="-10"/>
          <w:sz w:val="24"/>
        </w:rPr>
        <w:t> </w:t>
      </w:r>
      <w:r>
        <w:rPr>
          <w:color w:val="231F20"/>
          <w:spacing w:val="-2"/>
          <w:sz w:val="24"/>
        </w:rPr>
        <w:t>allocution</w:t>
      </w:r>
      <w:r>
        <w:rPr>
          <w:color w:val="231F20"/>
          <w:spacing w:val="-9"/>
          <w:sz w:val="24"/>
        </w:rPr>
        <w:t> </w:t>
      </w:r>
      <w:r>
        <w:rPr>
          <w:color w:val="231F20"/>
          <w:spacing w:val="-2"/>
          <w:sz w:val="24"/>
        </w:rPr>
        <w:t>de </w:t>
      </w:r>
      <w:r>
        <w:rPr>
          <w:color w:val="231F20"/>
          <w:sz w:val="24"/>
        </w:rPr>
        <w:t>fin d’année : </w:t>
      </w:r>
      <w:r>
        <w:rPr>
          <w:i/>
          <w:color w:val="231F20"/>
          <w:sz w:val="24"/>
        </w:rPr>
        <w:t>«</w:t>
      </w:r>
      <w:r>
        <w:rPr>
          <w:i/>
          <w:color w:val="231F20"/>
          <w:spacing w:val="-15"/>
          <w:sz w:val="24"/>
        </w:rPr>
        <w:t> </w:t>
      </w:r>
      <w:r>
        <w:rPr>
          <w:i/>
          <w:color w:val="231F20"/>
          <w:sz w:val="24"/>
        </w:rPr>
        <w:t>la Côte d’Ivoire remplit les critères de Maastricht en</w:t>
      </w:r>
      <w:r>
        <w:rPr>
          <w:i/>
          <w:color w:val="231F20"/>
          <w:sz w:val="24"/>
        </w:rPr>
        <w:t> employant</w:t>
      </w:r>
      <w:r>
        <w:rPr>
          <w:i/>
          <w:color w:val="231F20"/>
          <w:spacing w:val="-12"/>
          <w:sz w:val="24"/>
        </w:rPr>
        <w:t> </w:t>
      </w:r>
      <w:r>
        <w:rPr>
          <w:i/>
          <w:color w:val="231F20"/>
          <w:sz w:val="24"/>
        </w:rPr>
        <w:t>52%</w:t>
      </w:r>
      <w:r>
        <w:rPr>
          <w:i/>
          <w:color w:val="231F20"/>
          <w:spacing w:val="-12"/>
          <w:sz w:val="24"/>
        </w:rPr>
        <w:t> </w:t>
      </w:r>
      <w:r>
        <w:rPr>
          <w:i/>
          <w:color w:val="231F20"/>
          <w:sz w:val="24"/>
        </w:rPr>
        <w:t>de</w:t>
      </w:r>
      <w:r>
        <w:rPr>
          <w:i/>
          <w:color w:val="231F20"/>
          <w:spacing w:val="-14"/>
          <w:sz w:val="24"/>
        </w:rPr>
        <w:t> </w:t>
      </w:r>
      <w:r>
        <w:rPr>
          <w:i/>
          <w:color w:val="231F20"/>
          <w:sz w:val="24"/>
        </w:rPr>
        <w:t>ses</w:t>
      </w:r>
      <w:r>
        <w:rPr>
          <w:i/>
          <w:color w:val="231F20"/>
          <w:spacing w:val="-13"/>
          <w:sz w:val="24"/>
        </w:rPr>
        <w:t> </w:t>
      </w:r>
      <w:r>
        <w:rPr>
          <w:i/>
          <w:color w:val="231F20"/>
          <w:sz w:val="24"/>
        </w:rPr>
        <w:t>ressources</w:t>
      </w:r>
      <w:r>
        <w:rPr>
          <w:i/>
          <w:color w:val="231F20"/>
          <w:spacing w:val="-13"/>
          <w:sz w:val="24"/>
        </w:rPr>
        <w:t> </w:t>
      </w:r>
      <w:r>
        <w:rPr>
          <w:i/>
          <w:color w:val="231F20"/>
          <w:sz w:val="24"/>
        </w:rPr>
        <w:t>budgétaires</w:t>
      </w:r>
      <w:r>
        <w:rPr>
          <w:i/>
          <w:color w:val="231F20"/>
          <w:spacing w:val="-12"/>
          <w:sz w:val="24"/>
        </w:rPr>
        <w:t> </w:t>
      </w:r>
      <w:r>
        <w:rPr>
          <w:i/>
          <w:color w:val="231F20"/>
          <w:sz w:val="24"/>
        </w:rPr>
        <w:t>au</w:t>
      </w:r>
      <w:r>
        <w:rPr>
          <w:i/>
          <w:color w:val="231F20"/>
          <w:spacing w:val="-15"/>
          <w:sz w:val="24"/>
        </w:rPr>
        <w:t> </w:t>
      </w:r>
      <w:r>
        <w:rPr>
          <w:i/>
          <w:color w:val="231F20"/>
          <w:sz w:val="24"/>
        </w:rPr>
        <w:t>remboursement</w:t>
      </w:r>
      <w:r>
        <w:rPr>
          <w:i/>
          <w:color w:val="231F20"/>
          <w:spacing w:val="-12"/>
          <w:sz w:val="24"/>
        </w:rPr>
        <w:t> </w:t>
      </w:r>
      <w:r>
        <w:rPr>
          <w:i/>
          <w:color w:val="231F20"/>
          <w:sz w:val="24"/>
        </w:rPr>
        <w:t>d’une dette extérieure plusieurs fois amortie selon certains analystes. Ce </w:t>
      </w:r>
      <w:r>
        <w:rPr>
          <w:i/>
          <w:color w:val="231F20"/>
          <w:spacing w:val="-2"/>
          <w:sz w:val="24"/>
        </w:rPr>
        <w:t>fardeau</w:t>
      </w:r>
      <w:r>
        <w:rPr>
          <w:i/>
          <w:color w:val="231F20"/>
          <w:spacing w:val="-13"/>
          <w:sz w:val="24"/>
        </w:rPr>
        <w:t> </w:t>
      </w:r>
      <w:r>
        <w:rPr>
          <w:i/>
          <w:color w:val="231F20"/>
          <w:spacing w:val="-2"/>
          <w:sz w:val="24"/>
        </w:rPr>
        <w:t>est</w:t>
      </w:r>
      <w:r>
        <w:rPr>
          <w:i/>
          <w:color w:val="231F20"/>
          <w:spacing w:val="-13"/>
          <w:sz w:val="24"/>
        </w:rPr>
        <w:t> </w:t>
      </w:r>
      <w:r>
        <w:rPr>
          <w:i/>
          <w:color w:val="231F20"/>
          <w:spacing w:val="-2"/>
          <w:sz w:val="24"/>
        </w:rPr>
        <w:t>trop</w:t>
      </w:r>
      <w:r>
        <w:rPr>
          <w:i/>
          <w:color w:val="231F20"/>
          <w:spacing w:val="-13"/>
          <w:sz w:val="24"/>
        </w:rPr>
        <w:t> </w:t>
      </w:r>
      <w:r>
        <w:rPr>
          <w:i/>
          <w:color w:val="231F20"/>
          <w:spacing w:val="-2"/>
          <w:sz w:val="24"/>
        </w:rPr>
        <w:t>lourd,</w:t>
      </w:r>
      <w:r>
        <w:rPr>
          <w:i/>
          <w:color w:val="231F20"/>
          <w:spacing w:val="-13"/>
          <w:sz w:val="24"/>
        </w:rPr>
        <w:t> </w:t>
      </w:r>
      <w:r>
        <w:rPr>
          <w:i/>
          <w:color w:val="231F20"/>
          <w:spacing w:val="-2"/>
          <w:sz w:val="24"/>
        </w:rPr>
        <w:t>trop</w:t>
      </w:r>
      <w:r>
        <w:rPr>
          <w:i/>
          <w:color w:val="231F20"/>
          <w:spacing w:val="-13"/>
          <w:sz w:val="24"/>
        </w:rPr>
        <w:t> </w:t>
      </w:r>
      <w:r>
        <w:rPr>
          <w:i/>
          <w:color w:val="231F20"/>
          <w:spacing w:val="-2"/>
          <w:sz w:val="24"/>
        </w:rPr>
        <w:t>injuste,</w:t>
      </w:r>
      <w:r>
        <w:rPr>
          <w:i/>
          <w:color w:val="231F20"/>
          <w:spacing w:val="-13"/>
          <w:sz w:val="24"/>
        </w:rPr>
        <w:t> </w:t>
      </w:r>
      <w:r>
        <w:rPr>
          <w:i/>
          <w:color w:val="231F20"/>
          <w:spacing w:val="-2"/>
          <w:sz w:val="24"/>
        </w:rPr>
        <w:t>trop</w:t>
      </w:r>
      <w:r>
        <w:rPr>
          <w:i/>
          <w:color w:val="231F20"/>
          <w:spacing w:val="-13"/>
          <w:sz w:val="24"/>
        </w:rPr>
        <w:t> </w:t>
      </w:r>
      <w:r>
        <w:rPr>
          <w:i/>
          <w:color w:val="231F20"/>
          <w:spacing w:val="-2"/>
          <w:sz w:val="24"/>
        </w:rPr>
        <w:t>aliénant.</w:t>
      </w:r>
      <w:r>
        <w:rPr>
          <w:i/>
          <w:color w:val="231F20"/>
          <w:spacing w:val="-13"/>
          <w:sz w:val="24"/>
        </w:rPr>
        <w:t> </w:t>
      </w:r>
      <w:r>
        <w:rPr>
          <w:i/>
          <w:color w:val="231F20"/>
          <w:spacing w:val="-2"/>
          <w:sz w:val="24"/>
        </w:rPr>
        <w:t>Il</w:t>
      </w:r>
      <w:r>
        <w:rPr>
          <w:i/>
          <w:color w:val="231F20"/>
          <w:spacing w:val="-13"/>
          <w:sz w:val="24"/>
        </w:rPr>
        <w:t> </w:t>
      </w:r>
      <w:r>
        <w:rPr>
          <w:i/>
          <w:color w:val="231F20"/>
          <w:spacing w:val="-2"/>
          <w:sz w:val="24"/>
        </w:rPr>
        <w:t>constitue</w:t>
      </w:r>
      <w:r>
        <w:rPr>
          <w:i/>
          <w:color w:val="231F20"/>
          <w:spacing w:val="-13"/>
          <w:sz w:val="24"/>
        </w:rPr>
        <w:t> </w:t>
      </w:r>
      <w:r>
        <w:rPr>
          <w:i/>
          <w:color w:val="231F20"/>
          <w:spacing w:val="-2"/>
          <w:sz w:val="24"/>
        </w:rPr>
        <w:t>un</w:t>
      </w:r>
      <w:r>
        <w:rPr>
          <w:i/>
          <w:color w:val="231F20"/>
          <w:spacing w:val="-13"/>
          <w:sz w:val="24"/>
        </w:rPr>
        <w:t> </w:t>
      </w:r>
      <w:r>
        <w:rPr>
          <w:i/>
          <w:color w:val="231F20"/>
          <w:spacing w:val="-2"/>
          <w:sz w:val="24"/>
        </w:rPr>
        <w:t>obstacle </w:t>
      </w:r>
      <w:r>
        <w:rPr>
          <w:i/>
          <w:color w:val="231F20"/>
          <w:spacing w:val="-4"/>
          <w:sz w:val="24"/>
        </w:rPr>
        <w:t>à</w:t>
      </w:r>
      <w:r>
        <w:rPr>
          <w:i/>
          <w:color w:val="231F20"/>
          <w:spacing w:val="-11"/>
          <w:sz w:val="24"/>
        </w:rPr>
        <w:t> </w:t>
      </w:r>
      <w:r>
        <w:rPr>
          <w:i/>
          <w:color w:val="231F20"/>
          <w:spacing w:val="-4"/>
          <w:sz w:val="24"/>
        </w:rPr>
        <w:t>la</w:t>
      </w:r>
      <w:r>
        <w:rPr>
          <w:i/>
          <w:color w:val="231F20"/>
          <w:spacing w:val="-11"/>
          <w:sz w:val="24"/>
        </w:rPr>
        <w:t> </w:t>
      </w:r>
      <w:r>
        <w:rPr>
          <w:i/>
          <w:color w:val="231F20"/>
          <w:spacing w:val="-4"/>
          <w:sz w:val="24"/>
        </w:rPr>
        <w:t>bonne</w:t>
      </w:r>
      <w:r>
        <w:rPr>
          <w:i/>
          <w:color w:val="231F20"/>
          <w:spacing w:val="-11"/>
          <w:sz w:val="24"/>
        </w:rPr>
        <w:t> </w:t>
      </w:r>
      <w:r>
        <w:rPr>
          <w:i/>
          <w:color w:val="231F20"/>
          <w:spacing w:val="-4"/>
          <w:sz w:val="24"/>
        </w:rPr>
        <w:t>gouvernance</w:t>
      </w:r>
      <w:r>
        <w:rPr>
          <w:i/>
          <w:color w:val="231F20"/>
          <w:spacing w:val="-10"/>
          <w:sz w:val="24"/>
        </w:rPr>
        <w:t> </w:t>
      </w:r>
      <w:r>
        <w:rPr>
          <w:i/>
          <w:color w:val="231F20"/>
          <w:spacing w:val="-4"/>
          <w:sz w:val="24"/>
        </w:rPr>
        <w:t>et</w:t>
      </w:r>
      <w:r>
        <w:rPr>
          <w:i/>
          <w:color w:val="231F20"/>
          <w:spacing w:val="-11"/>
          <w:sz w:val="24"/>
        </w:rPr>
        <w:t> </w:t>
      </w:r>
      <w:r>
        <w:rPr>
          <w:i/>
          <w:color w:val="231F20"/>
          <w:spacing w:val="-4"/>
          <w:sz w:val="24"/>
        </w:rPr>
        <w:t>à</w:t>
      </w:r>
      <w:r>
        <w:rPr>
          <w:i/>
          <w:color w:val="231F20"/>
          <w:spacing w:val="-11"/>
          <w:sz w:val="24"/>
        </w:rPr>
        <w:t> </w:t>
      </w:r>
      <w:r>
        <w:rPr>
          <w:i/>
          <w:color w:val="231F20"/>
          <w:spacing w:val="-4"/>
          <w:sz w:val="24"/>
        </w:rPr>
        <w:t>notre</w:t>
      </w:r>
      <w:r>
        <w:rPr>
          <w:i/>
          <w:color w:val="231F20"/>
          <w:spacing w:val="-11"/>
          <w:sz w:val="24"/>
        </w:rPr>
        <w:t> </w:t>
      </w:r>
      <w:r>
        <w:rPr>
          <w:i/>
          <w:color w:val="231F20"/>
          <w:spacing w:val="-4"/>
          <w:sz w:val="24"/>
        </w:rPr>
        <w:t>lutte</w:t>
      </w:r>
      <w:r>
        <w:rPr>
          <w:i/>
          <w:color w:val="231F20"/>
          <w:spacing w:val="-10"/>
          <w:sz w:val="24"/>
        </w:rPr>
        <w:t> </w:t>
      </w:r>
      <w:r>
        <w:rPr>
          <w:i/>
          <w:color w:val="231F20"/>
          <w:spacing w:val="-4"/>
          <w:sz w:val="24"/>
        </w:rPr>
        <w:t>contre</w:t>
      </w:r>
      <w:r>
        <w:rPr>
          <w:i/>
          <w:color w:val="231F20"/>
          <w:spacing w:val="-11"/>
          <w:sz w:val="24"/>
        </w:rPr>
        <w:t> </w:t>
      </w:r>
      <w:r>
        <w:rPr>
          <w:i/>
          <w:color w:val="231F20"/>
          <w:spacing w:val="-4"/>
          <w:sz w:val="24"/>
        </w:rPr>
        <w:t>la</w:t>
      </w:r>
      <w:r>
        <w:rPr>
          <w:i/>
          <w:color w:val="231F20"/>
          <w:spacing w:val="-11"/>
          <w:sz w:val="24"/>
        </w:rPr>
        <w:t> </w:t>
      </w:r>
      <w:r>
        <w:rPr>
          <w:i/>
          <w:color w:val="231F20"/>
          <w:spacing w:val="-4"/>
          <w:sz w:val="24"/>
        </w:rPr>
        <w:t>pauvreté.</w:t>
      </w:r>
      <w:r>
        <w:rPr>
          <w:i/>
          <w:color w:val="231F20"/>
          <w:spacing w:val="2"/>
          <w:sz w:val="24"/>
        </w:rPr>
        <w:t> </w:t>
      </w:r>
      <w:r>
        <w:rPr>
          <w:i/>
          <w:color w:val="231F20"/>
          <w:spacing w:val="-4"/>
          <w:sz w:val="24"/>
        </w:rPr>
        <w:t>»</w:t>
      </w:r>
      <w:r>
        <w:rPr>
          <w:i/>
          <w:color w:val="231F20"/>
          <w:spacing w:val="-11"/>
          <w:sz w:val="24"/>
        </w:rPr>
        <w:t> </w:t>
      </w:r>
      <w:r>
        <w:rPr>
          <w:color w:val="231F20"/>
          <w:spacing w:val="-4"/>
          <w:sz w:val="24"/>
        </w:rPr>
        <w:t>Henri</w:t>
      </w:r>
      <w:r>
        <w:rPr>
          <w:color w:val="231F20"/>
          <w:spacing w:val="-11"/>
          <w:sz w:val="24"/>
        </w:rPr>
        <w:t> </w:t>
      </w:r>
      <w:r>
        <w:rPr>
          <w:color w:val="231F20"/>
          <w:spacing w:val="-4"/>
          <w:sz w:val="24"/>
        </w:rPr>
        <w:t>Konan </w:t>
      </w:r>
      <w:r>
        <w:rPr>
          <w:color w:val="231F20"/>
          <w:sz w:val="24"/>
        </w:rPr>
        <w:t>Bédié</w:t>
      </w:r>
      <w:r>
        <w:rPr>
          <w:color w:val="231F20"/>
          <w:spacing w:val="-11"/>
          <w:sz w:val="24"/>
        </w:rPr>
        <w:t> </w:t>
      </w:r>
      <w:r>
        <w:rPr>
          <w:color w:val="231F20"/>
          <w:sz w:val="24"/>
        </w:rPr>
        <w:t>mettait</w:t>
      </w:r>
      <w:r>
        <w:rPr>
          <w:color w:val="231F20"/>
          <w:spacing w:val="-8"/>
          <w:sz w:val="24"/>
        </w:rPr>
        <w:t> </w:t>
      </w:r>
      <w:r>
        <w:rPr>
          <w:color w:val="231F20"/>
          <w:sz w:val="24"/>
        </w:rPr>
        <w:t>en</w:t>
      </w:r>
      <w:r>
        <w:rPr>
          <w:color w:val="231F20"/>
          <w:spacing w:val="-10"/>
          <w:sz w:val="24"/>
        </w:rPr>
        <w:t> </w:t>
      </w:r>
      <w:r>
        <w:rPr>
          <w:color w:val="231F20"/>
          <w:sz w:val="24"/>
        </w:rPr>
        <w:t>évidence</w:t>
      </w:r>
      <w:r>
        <w:rPr>
          <w:color w:val="231F20"/>
          <w:spacing w:val="-10"/>
          <w:sz w:val="24"/>
        </w:rPr>
        <w:t> </w:t>
      </w:r>
      <w:r>
        <w:rPr>
          <w:color w:val="231F20"/>
          <w:sz w:val="24"/>
        </w:rPr>
        <w:t>sa</w:t>
      </w:r>
      <w:r>
        <w:rPr>
          <w:color w:val="231F20"/>
          <w:spacing w:val="-10"/>
          <w:sz w:val="24"/>
        </w:rPr>
        <w:t> </w:t>
      </w:r>
      <w:r>
        <w:rPr>
          <w:color w:val="231F20"/>
          <w:sz w:val="24"/>
        </w:rPr>
        <w:t>volonté</w:t>
      </w:r>
      <w:r>
        <w:rPr>
          <w:color w:val="231F20"/>
          <w:spacing w:val="-11"/>
          <w:sz w:val="24"/>
        </w:rPr>
        <w:t> </w:t>
      </w:r>
      <w:r>
        <w:rPr>
          <w:color w:val="231F20"/>
          <w:sz w:val="24"/>
        </w:rPr>
        <w:t>d’en</w:t>
      </w:r>
      <w:r>
        <w:rPr>
          <w:color w:val="231F20"/>
          <w:spacing w:val="-10"/>
          <w:sz w:val="24"/>
        </w:rPr>
        <w:t> </w:t>
      </w:r>
      <w:r>
        <w:rPr>
          <w:color w:val="231F20"/>
          <w:sz w:val="24"/>
        </w:rPr>
        <w:t>finir</w:t>
      </w:r>
      <w:r>
        <w:rPr>
          <w:color w:val="231F20"/>
          <w:spacing w:val="-10"/>
          <w:sz w:val="24"/>
        </w:rPr>
        <w:t> </w:t>
      </w:r>
      <w:r>
        <w:rPr>
          <w:color w:val="231F20"/>
          <w:sz w:val="24"/>
        </w:rPr>
        <w:t>avec</w:t>
      </w:r>
      <w:r>
        <w:rPr>
          <w:color w:val="231F20"/>
          <w:spacing w:val="-10"/>
          <w:sz w:val="24"/>
        </w:rPr>
        <w:t> </w:t>
      </w:r>
      <w:r>
        <w:rPr>
          <w:color w:val="231F20"/>
          <w:sz w:val="24"/>
        </w:rPr>
        <w:t>la</w:t>
      </w:r>
      <w:r>
        <w:rPr>
          <w:color w:val="231F20"/>
          <w:spacing w:val="-10"/>
          <w:sz w:val="24"/>
        </w:rPr>
        <w:t> </w:t>
      </w:r>
      <w:r>
        <w:rPr>
          <w:color w:val="231F20"/>
          <w:sz w:val="24"/>
        </w:rPr>
        <w:t>dette</w:t>
      </w:r>
      <w:r>
        <w:rPr>
          <w:color w:val="231F20"/>
          <w:spacing w:val="-10"/>
          <w:sz w:val="24"/>
        </w:rPr>
        <w:t> </w:t>
      </w:r>
      <w:r>
        <w:rPr>
          <w:color w:val="231F20"/>
          <w:sz w:val="24"/>
        </w:rPr>
        <w:t>et</w:t>
      </w:r>
      <w:r>
        <w:rPr>
          <w:color w:val="231F20"/>
          <w:spacing w:val="-8"/>
          <w:sz w:val="24"/>
        </w:rPr>
        <w:t> </w:t>
      </w:r>
      <w:r>
        <w:rPr>
          <w:color w:val="231F20"/>
          <w:sz w:val="24"/>
        </w:rPr>
        <w:t>de</w:t>
      </w:r>
      <w:r>
        <w:rPr>
          <w:color w:val="231F20"/>
          <w:spacing w:val="-10"/>
          <w:sz w:val="24"/>
        </w:rPr>
        <w:t> </w:t>
      </w:r>
      <w:r>
        <w:rPr>
          <w:color w:val="231F20"/>
          <w:sz w:val="24"/>
        </w:rPr>
        <w:t>revoir certains</w:t>
      </w:r>
      <w:r>
        <w:rPr>
          <w:color w:val="231F20"/>
          <w:spacing w:val="-10"/>
          <w:sz w:val="24"/>
        </w:rPr>
        <w:t> </w:t>
      </w:r>
      <w:r>
        <w:rPr>
          <w:color w:val="231F20"/>
          <w:sz w:val="24"/>
        </w:rPr>
        <w:t>accords</w:t>
      </w:r>
      <w:r>
        <w:rPr>
          <w:color w:val="231F20"/>
          <w:spacing w:val="-6"/>
          <w:sz w:val="24"/>
        </w:rPr>
        <w:t> </w:t>
      </w:r>
      <w:r>
        <w:rPr>
          <w:color w:val="231F20"/>
          <w:sz w:val="24"/>
        </w:rPr>
        <w:t>avec</w:t>
      </w:r>
      <w:r>
        <w:rPr>
          <w:color w:val="231F20"/>
          <w:spacing w:val="-7"/>
          <w:sz w:val="24"/>
        </w:rPr>
        <w:t> </w:t>
      </w:r>
      <w:r>
        <w:rPr>
          <w:color w:val="231F20"/>
          <w:sz w:val="24"/>
        </w:rPr>
        <w:t>l’ancienne</w:t>
      </w:r>
      <w:r>
        <w:rPr>
          <w:color w:val="231F20"/>
          <w:spacing w:val="-5"/>
          <w:sz w:val="24"/>
        </w:rPr>
        <w:t> </w:t>
      </w:r>
      <w:r>
        <w:rPr>
          <w:color w:val="231F20"/>
          <w:sz w:val="24"/>
        </w:rPr>
        <w:t>puissance</w:t>
      </w:r>
      <w:r>
        <w:rPr>
          <w:color w:val="231F20"/>
          <w:spacing w:val="-5"/>
          <w:sz w:val="24"/>
        </w:rPr>
        <w:t> </w:t>
      </w:r>
      <w:r>
        <w:rPr>
          <w:color w:val="231F20"/>
          <w:sz w:val="24"/>
        </w:rPr>
        <w:t>coloniale</w:t>
      </w:r>
      <w:r>
        <w:rPr>
          <w:color w:val="231F20"/>
          <w:spacing w:val="-15"/>
          <w:sz w:val="24"/>
        </w:rPr>
        <w:t> </w:t>
      </w:r>
      <w:r>
        <w:rPr>
          <w:color w:val="231F20"/>
          <w:sz w:val="24"/>
        </w:rPr>
        <w:t>afin</w:t>
      </w:r>
      <w:r>
        <w:rPr>
          <w:color w:val="231F20"/>
          <w:spacing w:val="-6"/>
          <w:sz w:val="24"/>
        </w:rPr>
        <w:t> </w:t>
      </w:r>
      <w:r>
        <w:rPr>
          <w:color w:val="231F20"/>
          <w:sz w:val="24"/>
        </w:rPr>
        <w:t>d’aller</w:t>
      </w:r>
      <w:r>
        <w:rPr>
          <w:color w:val="231F20"/>
          <w:spacing w:val="-5"/>
          <w:sz w:val="24"/>
        </w:rPr>
        <w:t> </w:t>
      </w:r>
      <w:r>
        <w:rPr>
          <w:color w:val="231F20"/>
          <w:sz w:val="24"/>
        </w:rPr>
        <w:t>vers</w:t>
      </w:r>
      <w:r>
        <w:rPr>
          <w:color w:val="231F20"/>
          <w:spacing w:val="-7"/>
          <w:sz w:val="24"/>
        </w:rPr>
        <w:t> </w:t>
      </w:r>
      <w:r>
        <w:rPr>
          <w:color w:val="231F20"/>
          <w:sz w:val="24"/>
        </w:rPr>
        <w:t>la </w:t>
      </w:r>
      <w:r>
        <w:rPr>
          <w:color w:val="231F20"/>
          <w:spacing w:val="-4"/>
          <w:sz w:val="24"/>
        </w:rPr>
        <w:t>libération</w:t>
      </w:r>
      <w:r>
        <w:rPr>
          <w:color w:val="231F20"/>
          <w:spacing w:val="-9"/>
          <w:sz w:val="24"/>
        </w:rPr>
        <w:t> </w:t>
      </w:r>
      <w:r>
        <w:rPr>
          <w:color w:val="231F20"/>
          <w:spacing w:val="-4"/>
          <w:sz w:val="24"/>
        </w:rPr>
        <w:t>politique</w:t>
      </w:r>
      <w:r>
        <w:rPr>
          <w:color w:val="231F20"/>
          <w:spacing w:val="-9"/>
          <w:sz w:val="24"/>
        </w:rPr>
        <w:t> </w:t>
      </w:r>
      <w:r>
        <w:rPr>
          <w:color w:val="231F20"/>
          <w:spacing w:val="-4"/>
          <w:sz w:val="24"/>
        </w:rPr>
        <w:t>et</w:t>
      </w:r>
      <w:r>
        <w:rPr>
          <w:color w:val="231F20"/>
          <w:spacing w:val="-9"/>
          <w:sz w:val="24"/>
        </w:rPr>
        <w:t> </w:t>
      </w:r>
      <w:r>
        <w:rPr>
          <w:color w:val="231F20"/>
          <w:spacing w:val="-4"/>
          <w:sz w:val="24"/>
        </w:rPr>
        <w:t>économique</w:t>
      </w:r>
      <w:r>
        <w:rPr>
          <w:color w:val="231F20"/>
          <w:spacing w:val="-9"/>
          <w:sz w:val="24"/>
        </w:rPr>
        <w:t> </w:t>
      </w:r>
      <w:r>
        <w:rPr>
          <w:color w:val="231F20"/>
          <w:spacing w:val="-4"/>
          <w:sz w:val="24"/>
        </w:rPr>
        <w:t>de</w:t>
      </w:r>
      <w:r>
        <w:rPr>
          <w:color w:val="231F20"/>
          <w:spacing w:val="-9"/>
          <w:sz w:val="24"/>
        </w:rPr>
        <w:t> </w:t>
      </w:r>
      <w:r>
        <w:rPr>
          <w:color w:val="231F20"/>
          <w:spacing w:val="-4"/>
          <w:sz w:val="24"/>
        </w:rPr>
        <w:t>son</w:t>
      </w:r>
      <w:r>
        <w:rPr>
          <w:color w:val="231F20"/>
          <w:spacing w:val="-9"/>
          <w:sz w:val="24"/>
        </w:rPr>
        <w:t> </w:t>
      </w:r>
      <w:r>
        <w:rPr>
          <w:color w:val="231F20"/>
          <w:spacing w:val="-4"/>
          <w:sz w:val="24"/>
        </w:rPr>
        <w:t>pays.</w:t>
      </w:r>
      <w:r>
        <w:rPr>
          <w:color w:val="231F20"/>
          <w:spacing w:val="-8"/>
          <w:sz w:val="24"/>
        </w:rPr>
        <w:t> </w:t>
      </w:r>
      <w:r>
        <w:rPr>
          <w:color w:val="231F20"/>
          <w:spacing w:val="-4"/>
          <w:sz w:val="24"/>
        </w:rPr>
        <w:t>Deux</w:t>
      </w:r>
      <w:r>
        <w:rPr>
          <w:color w:val="231F20"/>
          <w:spacing w:val="-9"/>
          <w:sz w:val="24"/>
        </w:rPr>
        <w:t> </w:t>
      </w:r>
      <w:r>
        <w:rPr>
          <w:color w:val="231F20"/>
          <w:spacing w:val="-4"/>
          <w:sz w:val="24"/>
        </w:rPr>
        <w:t>jours</w:t>
      </w:r>
      <w:r>
        <w:rPr>
          <w:color w:val="231F20"/>
          <w:spacing w:val="-9"/>
          <w:sz w:val="24"/>
        </w:rPr>
        <w:t> </w:t>
      </w:r>
      <w:r>
        <w:rPr>
          <w:color w:val="231F20"/>
          <w:spacing w:val="-4"/>
          <w:sz w:val="24"/>
        </w:rPr>
        <w:t>plus</w:t>
      </w:r>
      <w:r>
        <w:rPr>
          <w:color w:val="231F20"/>
          <w:spacing w:val="-11"/>
          <w:sz w:val="24"/>
        </w:rPr>
        <w:t> </w:t>
      </w:r>
      <w:r>
        <w:rPr>
          <w:color w:val="231F20"/>
          <w:spacing w:val="-4"/>
          <w:sz w:val="24"/>
        </w:rPr>
        <w:t>tard,</w:t>
      </w:r>
      <w:r>
        <w:rPr>
          <w:color w:val="231F20"/>
          <w:spacing w:val="-8"/>
          <w:sz w:val="24"/>
        </w:rPr>
        <w:t> </w:t>
      </w:r>
      <w:r>
        <w:rPr>
          <w:color w:val="231F20"/>
          <w:spacing w:val="-4"/>
          <w:sz w:val="24"/>
        </w:rPr>
        <w:t>il</w:t>
      </w:r>
      <w:r>
        <w:rPr>
          <w:color w:val="231F20"/>
          <w:spacing w:val="-8"/>
          <w:sz w:val="24"/>
        </w:rPr>
        <w:t> </w:t>
      </w:r>
      <w:r>
        <w:rPr>
          <w:color w:val="231F20"/>
          <w:spacing w:val="-4"/>
          <w:sz w:val="24"/>
        </w:rPr>
        <w:t>est </w:t>
      </w:r>
      <w:r>
        <w:rPr>
          <w:color w:val="231F20"/>
          <w:sz w:val="24"/>
        </w:rPr>
        <w:t>victime d’un coup d’État.</w:t>
      </w:r>
    </w:p>
    <w:p>
      <w:pPr>
        <w:pStyle w:val="BodyText"/>
        <w:spacing w:before="121"/>
        <w:ind w:right="105" w:firstLine="283"/>
      </w:pPr>
      <w:r>
        <w:rPr>
          <w:color w:val="231F20"/>
        </w:rPr>
        <w:t>La dette contractée par les États de l’Afrique subsaharienne a été multipliée par quatre</w:t>
      </w:r>
      <w:r>
        <w:rPr>
          <w:color w:val="76787A"/>
          <w:vertAlign w:val="superscript"/>
        </w:rPr>
        <w:t>257</w:t>
      </w:r>
      <w:r>
        <w:rPr>
          <w:color w:val="76787A"/>
          <w:spacing w:val="-8"/>
          <w:vertAlign w:val="baseline"/>
        </w:rPr>
        <w:t> </w:t>
      </w:r>
      <w:r>
        <w:rPr>
          <w:color w:val="231F20"/>
          <w:vertAlign w:val="baseline"/>
        </w:rPr>
        <w:t>entre 1980 et 2003, passant de 45 milliards de </w:t>
      </w:r>
      <w:r>
        <w:rPr>
          <w:color w:val="231F20"/>
          <w:spacing w:val="-4"/>
          <w:vertAlign w:val="baseline"/>
        </w:rPr>
        <w:t>dollars</w:t>
      </w:r>
      <w:r>
        <w:rPr>
          <w:color w:val="231F20"/>
          <w:spacing w:val="-11"/>
          <w:vertAlign w:val="baseline"/>
        </w:rPr>
        <w:t> </w:t>
      </w:r>
      <w:r>
        <w:rPr>
          <w:color w:val="231F20"/>
          <w:spacing w:val="-4"/>
          <w:vertAlign w:val="baseline"/>
        </w:rPr>
        <w:t>à</w:t>
      </w:r>
      <w:r>
        <w:rPr>
          <w:color w:val="231F20"/>
          <w:spacing w:val="-11"/>
          <w:vertAlign w:val="baseline"/>
        </w:rPr>
        <w:t> </w:t>
      </w:r>
      <w:r>
        <w:rPr>
          <w:color w:val="231F20"/>
          <w:spacing w:val="-4"/>
          <w:vertAlign w:val="baseline"/>
        </w:rPr>
        <w:t>175</w:t>
      </w:r>
      <w:r>
        <w:rPr>
          <w:color w:val="231F20"/>
          <w:spacing w:val="-11"/>
          <w:vertAlign w:val="baseline"/>
        </w:rPr>
        <w:t> </w:t>
      </w:r>
      <w:r>
        <w:rPr>
          <w:color w:val="231F20"/>
          <w:spacing w:val="-4"/>
          <w:vertAlign w:val="baseline"/>
        </w:rPr>
        <w:t>milliards.</w:t>
      </w:r>
      <w:r>
        <w:rPr>
          <w:color w:val="231F20"/>
          <w:spacing w:val="-11"/>
          <w:vertAlign w:val="baseline"/>
        </w:rPr>
        <w:t> </w:t>
      </w:r>
      <w:r>
        <w:rPr>
          <w:color w:val="231F20"/>
          <w:spacing w:val="-4"/>
          <w:vertAlign w:val="baseline"/>
        </w:rPr>
        <w:t>Entre</w:t>
      </w:r>
      <w:r>
        <w:rPr>
          <w:color w:val="231F20"/>
          <w:spacing w:val="-11"/>
          <w:vertAlign w:val="baseline"/>
        </w:rPr>
        <w:t> </w:t>
      </w:r>
      <w:r>
        <w:rPr>
          <w:color w:val="231F20"/>
          <w:spacing w:val="-4"/>
          <w:vertAlign w:val="baseline"/>
        </w:rPr>
        <w:t>2008</w:t>
      </w:r>
      <w:r>
        <w:rPr>
          <w:color w:val="231F20"/>
          <w:spacing w:val="-11"/>
          <w:vertAlign w:val="baseline"/>
        </w:rPr>
        <w:t> </w:t>
      </w:r>
      <w:r>
        <w:rPr>
          <w:color w:val="231F20"/>
          <w:spacing w:val="-4"/>
          <w:vertAlign w:val="baseline"/>
        </w:rPr>
        <w:t>et</w:t>
      </w:r>
      <w:r>
        <w:rPr>
          <w:color w:val="231F20"/>
          <w:spacing w:val="-9"/>
          <w:vertAlign w:val="baseline"/>
        </w:rPr>
        <w:t> </w:t>
      </w:r>
      <w:r>
        <w:rPr>
          <w:color w:val="231F20"/>
          <w:spacing w:val="-4"/>
          <w:vertAlign w:val="baseline"/>
        </w:rPr>
        <w:t>2018,</w:t>
      </w:r>
      <w:r>
        <w:rPr>
          <w:color w:val="231F20"/>
          <w:spacing w:val="-11"/>
          <w:vertAlign w:val="baseline"/>
        </w:rPr>
        <w:t> </w:t>
      </w:r>
      <w:r>
        <w:rPr>
          <w:color w:val="231F20"/>
          <w:spacing w:val="-4"/>
          <w:vertAlign w:val="baseline"/>
        </w:rPr>
        <w:t>la</w:t>
      </w:r>
      <w:r>
        <w:rPr>
          <w:color w:val="231F20"/>
          <w:spacing w:val="-11"/>
          <w:vertAlign w:val="baseline"/>
        </w:rPr>
        <w:t> </w:t>
      </w:r>
      <w:r>
        <w:rPr>
          <w:color w:val="231F20"/>
          <w:spacing w:val="-4"/>
          <w:vertAlign w:val="baseline"/>
        </w:rPr>
        <w:t>dette</w:t>
      </w:r>
      <w:r>
        <w:rPr>
          <w:color w:val="231F20"/>
          <w:spacing w:val="-9"/>
          <w:vertAlign w:val="baseline"/>
        </w:rPr>
        <w:t> </w:t>
      </w:r>
      <w:r>
        <w:rPr>
          <w:color w:val="231F20"/>
          <w:spacing w:val="-4"/>
          <w:vertAlign w:val="baseline"/>
        </w:rPr>
        <w:t>a</w:t>
      </w:r>
      <w:r>
        <w:rPr>
          <w:color w:val="231F20"/>
          <w:spacing w:val="-11"/>
          <w:vertAlign w:val="baseline"/>
        </w:rPr>
        <w:t> </w:t>
      </w:r>
      <w:r>
        <w:rPr>
          <w:color w:val="231F20"/>
          <w:spacing w:val="-4"/>
          <w:vertAlign w:val="baseline"/>
        </w:rPr>
        <w:t>plus</w:t>
      </w:r>
      <w:r>
        <w:rPr>
          <w:color w:val="231F20"/>
          <w:spacing w:val="-11"/>
          <w:vertAlign w:val="baseline"/>
        </w:rPr>
        <w:t> </w:t>
      </w:r>
      <w:r>
        <w:rPr>
          <w:color w:val="231F20"/>
          <w:spacing w:val="-4"/>
          <w:vertAlign w:val="baseline"/>
        </w:rPr>
        <w:t>que</w:t>
      </w:r>
      <w:r>
        <w:rPr>
          <w:color w:val="231F20"/>
          <w:spacing w:val="-11"/>
          <w:vertAlign w:val="baseline"/>
        </w:rPr>
        <w:t> </w:t>
      </w:r>
      <w:r>
        <w:rPr>
          <w:color w:val="231F20"/>
          <w:spacing w:val="-4"/>
          <w:vertAlign w:val="baseline"/>
        </w:rPr>
        <w:t>doublé</w:t>
      </w:r>
      <w:r>
        <w:rPr>
          <w:color w:val="231F20"/>
          <w:spacing w:val="-11"/>
          <w:vertAlign w:val="baseline"/>
        </w:rPr>
        <w:t> </w:t>
      </w:r>
      <w:r>
        <w:rPr>
          <w:color w:val="231F20"/>
          <w:spacing w:val="-4"/>
          <w:vertAlign w:val="baseline"/>
        </w:rPr>
        <w:t>dans </w:t>
      </w:r>
      <w:r>
        <w:rPr>
          <w:color w:val="231F20"/>
          <w:vertAlign w:val="baseline"/>
        </w:rPr>
        <w:t>les</w:t>
      </w:r>
      <w:r>
        <w:rPr>
          <w:color w:val="231F20"/>
          <w:spacing w:val="-9"/>
          <w:vertAlign w:val="baseline"/>
        </w:rPr>
        <w:t> </w:t>
      </w:r>
      <w:r>
        <w:rPr>
          <w:color w:val="231F20"/>
          <w:vertAlign w:val="baseline"/>
        </w:rPr>
        <w:t>pays</w:t>
      </w:r>
      <w:r>
        <w:rPr>
          <w:color w:val="231F20"/>
          <w:spacing w:val="-7"/>
          <w:vertAlign w:val="baseline"/>
        </w:rPr>
        <w:t> </w:t>
      </w:r>
      <w:r>
        <w:rPr>
          <w:color w:val="231F20"/>
          <w:vertAlign w:val="baseline"/>
        </w:rPr>
        <w:t>à</w:t>
      </w:r>
      <w:r>
        <w:rPr>
          <w:color w:val="231F20"/>
          <w:spacing w:val="-8"/>
          <w:vertAlign w:val="baseline"/>
        </w:rPr>
        <w:t> </w:t>
      </w:r>
      <w:r>
        <w:rPr>
          <w:color w:val="231F20"/>
          <w:vertAlign w:val="baseline"/>
        </w:rPr>
        <w:t>bas</w:t>
      </w:r>
      <w:r>
        <w:rPr>
          <w:color w:val="231F20"/>
          <w:spacing w:val="-7"/>
          <w:vertAlign w:val="baseline"/>
        </w:rPr>
        <w:t> </w:t>
      </w:r>
      <w:r>
        <w:rPr>
          <w:color w:val="231F20"/>
          <w:vertAlign w:val="baseline"/>
        </w:rPr>
        <w:t>et</w:t>
      </w:r>
      <w:r>
        <w:rPr>
          <w:color w:val="231F20"/>
          <w:spacing w:val="-9"/>
          <w:vertAlign w:val="baseline"/>
        </w:rPr>
        <w:t> </w:t>
      </w:r>
      <w:r>
        <w:rPr>
          <w:color w:val="231F20"/>
          <w:vertAlign w:val="baseline"/>
        </w:rPr>
        <w:t>moyens</w:t>
      </w:r>
      <w:r>
        <w:rPr>
          <w:color w:val="231F20"/>
          <w:spacing w:val="-9"/>
          <w:vertAlign w:val="baseline"/>
        </w:rPr>
        <w:t> </w:t>
      </w:r>
      <w:r>
        <w:rPr>
          <w:color w:val="231F20"/>
          <w:vertAlign w:val="baseline"/>
        </w:rPr>
        <w:t>revenus</w:t>
      </w:r>
      <w:r>
        <w:rPr>
          <w:color w:val="231F20"/>
          <w:spacing w:val="-7"/>
          <w:vertAlign w:val="baseline"/>
        </w:rPr>
        <w:t> </w:t>
      </w:r>
      <w:r>
        <w:rPr>
          <w:color w:val="231F20"/>
          <w:vertAlign w:val="baseline"/>
        </w:rPr>
        <w:t>passant</w:t>
      </w:r>
      <w:r>
        <w:rPr>
          <w:color w:val="231F20"/>
          <w:spacing w:val="-7"/>
          <w:vertAlign w:val="baseline"/>
        </w:rPr>
        <w:t> </w:t>
      </w:r>
      <w:r>
        <w:rPr>
          <w:color w:val="231F20"/>
          <w:vertAlign w:val="baseline"/>
        </w:rPr>
        <w:t>de</w:t>
      </w:r>
      <w:r>
        <w:rPr>
          <w:color w:val="231F20"/>
          <w:spacing w:val="-7"/>
          <w:vertAlign w:val="baseline"/>
        </w:rPr>
        <w:t> </w:t>
      </w:r>
      <w:r>
        <w:rPr>
          <w:color w:val="231F20"/>
          <w:vertAlign w:val="baseline"/>
        </w:rPr>
        <w:t>3</w:t>
      </w:r>
      <w:r>
        <w:rPr>
          <w:color w:val="231F20"/>
          <w:spacing w:val="-15"/>
          <w:vertAlign w:val="baseline"/>
        </w:rPr>
        <w:t> </w:t>
      </w:r>
      <w:r>
        <w:rPr>
          <w:color w:val="231F20"/>
          <w:vertAlign w:val="baseline"/>
        </w:rPr>
        <w:t>462</w:t>
      </w:r>
      <w:r>
        <w:rPr>
          <w:color w:val="231F20"/>
          <w:spacing w:val="-15"/>
          <w:vertAlign w:val="baseline"/>
        </w:rPr>
        <w:t> </w:t>
      </w:r>
      <w:r>
        <w:rPr>
          <w:color w:val="231F20"/>
          <w:vertAlign w:val="baseline"/>
        </w:rPr>
        <w:t>milliards</w:t>
      </w:r>
      <w:r>
        <w:rPr>
          <w:color w:val="231F20"/>
          <w:spacing w:val="-7"/>
          <w:vertAlign w:val="baseline"/>
        </w:rPr>
        <w:t> </w:t>
      </w:r>
      <w:r>
        <w:rPr>
          <w:color w:val="231F20"/>
          <w:vertAlign w:val="baseline"/>
        </w:rPr>
        <w:t>de</w:t>
      </w:r>
      <w:r>
        <w:rPr>
          <w:color w:val="231F20"/>
          <w:spacing w:val="-7"/>
          <w:vertAlign w:val="baseline"/>
        </w:rPr>
        <w:t> </w:t>
      </w:r>
      <w:r>
        <w:rPr>
          <w:color w:val="231F20"/>
          <w:vertAlign w:val="baseline"/>
        </w:rPr>
        <w:t>dollars</w:t>
      </w:r>
      <w:r>
        <w:rPr>
          <w:color w:val="231F20"/>
          <w:spacing w:val="-7"/>
          <w:vertAlign w:val="baseline"/>
        </w:rPr>
        <w:t> </w:t>
      </w:r>
      <w:r>
        <w:rPr>
          <w:color w:val="231F20"/>
          <w:vertAlign w:val="baseline"/>
        </w:rPr>
        <w:t>à 7</w:t>
      </w:r>
      <w:r>
        <w:rPr>
          <w:color w:val="231F20"/>
          <w:spacing w:val="-3"/>
          <w:vertAlign w:val="baseline"/>
        </w:rPr>
        <w:t> </w:t>
      </w:r>
      <w:r>
        <w:rPr>
          <w:color w:val="231F20"/>
          <w:vertAlign w:val="baseline"/>
        </w:rPr>
        <w:t>810</w:t>
      </w:r>
      <w:r>
        <w:rPr>
          <w:color w:val="231F20"/>
          <w:spacing w:val="-7"/>
          <w:vertAlign w:val="baseline"/>
        </w:rPr>
        <w:t> </w:t>
      </w:r>
      <w:r>
        <w:rPr>
          <w:color w:val="231F20"/>
          <w:vertAlign w:val="baseline"/>
        </w:rPr>
        <w:t>milliards</w:t>
      </w:r>
      <w:r>
        <w:rPr>
          <w:color w:val="231F20"/>
          <w:spacing w:val="-7"/>
          <w:vertAlign w:val="baseline"/>
        </w:rPr>
        <w:t> </w:t>
      </w:r>
      <w:r>
        <w:rPr>
          <w:color w:val="231F20"/>
          <w:vertAlign w:val="baseline"/>
        </w:rPr>
        <w:t>de</w:t>
      </w:r>
      <w:r>
        <w:rPr>
          <w:color w:val="231F20"/>
          <w:spacing w:val="-3"/>
          <w:vertAlign w:val="baseline"/>
        </w:rPr>
        <w:t> </w:t>
      </w:r>
      <w:r>
        <w:rPr>
          <w:color w:val="231F20"/>
          <w:vertAlign w:val="baseline"/>
        </w:rPr>
        <w:t>dollars</w:t>
      </w:r>
      <w:r>
        <w:rPr>
          <w:color w:val="231F20"/>
          <w:spacing w:val="-9"/>
          <w:vertAlign w:val="baseline"/>
        </w:rPr>
        <w:t> </w:t>
      </w:r>
      <w:r>
        <w:rPr>
          <w:color w:val="231F20"/>
          <w:vertAlign w:val="baseline"/>
        </w:rPr>
        <w:t>(environ</w:t>
      </w:r>
      <w:r>
        <w:rPr>
          <w:color w:val="231F20"/>
          <w:spacing w:val="-7"/>
          <w:vertAlign w:val="baseline"/>
        </w:rPr>
        <w:t> </w:t>
      </w:r>
      <w:r>
        <w:rPr>
          <w:color w:val="231F20"/>
          <w:vertAlign w:val="baseline"/>
        </w:rPr>
        <w:t>7</w:t>
      </w:r>
      <w:r>
        <w:rPr>
          <w:color w:val="231F20"/>
          <w:spacing w:val="-3"/>
          <w:vertAlign w:val="baseline"/>
        </w:rPr>
        <w:t> </w:t>
      </w:r>
      <w:r>
        <w:rPr>
          <w:color w:val="231F20"/>
          <w:vertAlign w:val="baseline"/>
        </w:rPr>
        <w:t>010</w:t>
      </w:r>
      <w:r>
        <w:rPr>
          <w:color w:val="231F20"/>
          <w:spacing w:val="-4"/>
          <w:vertAlign w:val="baseline"/>
        </w:rPr>
        <w:t> </w:t>
      </w:r>
      <w:r>
        <w:rPr>
          <w:color w:val="231F20"/>
          <w:vertAlign w:val="baseline"/>
        </w:rPr>
        <w:t>milliards</w:t>
      </w:r>
      <w:r>
        <w:rPr>
          <w:color w:val="231F20"/>
          <w:spacing w:val="-5"/>
          <w:vertAlign w:val="baseline"/>
        </w:rPr>
        <w:t> </w:t>
      </w:r>
      <w:r>
        <w:rPr>
          <w:color w:val="231F20"/>
          <w:vertAlign w:val="baseline"/>
        </w:rPr>
        <w:t>d’euros)</w:t>
      </w:r>
      <w:r>
        <w:rPr>
          <w:color w:val="76787A"/>
          <w:vertAlign w:val="superscript"/>
        </w:rPr>
        <w:t>258</w:t>
      </w:r>
      <w:r>
        <w:rPr>
          <w:color w:val="231F20"/>
          <w:vertAlign w:val="baseline"/>
        </w:rPr>
        <w:t>.</w:t>
      </w:r>
    </w:p>
    <w:p>
      <w:pPr>
        <w:pStyle w:val="BodyText"/>
        <w:spacing w:before="241"/>
        <w:ind w:left="0"/>
        <w:jc w:val="left"/>
      </w:pPr>
    </w:p>
    <w:p>
      <w:pPr>
        <w:pStyle w:val="Heading3"/>
        <w:ind w:right="109" w:firstLine="283"/>
        <w:rPr>
          <w:rFonts w:ascii="Times New Roman" w:hAnsi="Times New Roman"/>
          <w:b w:val="0"/>
          <w:i w:val="0"/>
        </w:rPr>
      </w:pPr>
      <w:r>
        <w:rPr>
          <w:i/>
          <w:color w:val="231F20"/>
        </w:rPr>
        <w:t>Le service de la dette absorbe en moyenne 40</w:t>
      </w:r>
      <w:r>
        <w:rPr>
          <w:i/>
          <w:color w:val="231F20"/>
          <w:spacing w:val="-13"/>
        </w:rPr>
        <w:t> </w:t>
      </w:r>
      <w:r>
        <w:rPr>
          <w:i/>
          <w:color w:val="231F20"/>
        </w:rPr>
        <w:t>% des recettes</w:t>
      </w:r>
      <w:r>
        <w:rPr>
          <w:color w:val="231F20"/>
        </w:rPr>
        <w:t> budgétaires des pays francophones à</w:t>
      </w:r>
      <w:r>
        <w:rPr>
          <w:color w:val="231F20"/>
          <w:spacing w:val="-1"/>
        </w:rPr>
        <w:t> </w:t>
      </w:r>
      <w:r>
        <w:rPr>
          <w:color w:val="231F20"/>
        </w:rPr>
        <w:t>bas</w:t>
      </w:r>
      <w:r>
        <w:rPr>
          <w:color w:val="231F20"/>
          <w:spacing w:val="-1"/>
        </w:rPr>
        <w:t> </w:t>
      </w:r>
      <w:r>
        <w:rPr>
          <w:color w:val="231F20"/>
        </w:rPr>
        <w:t>revenus</w:t>
      </w:r>
      <w:r>
        <w:rPr>
          <w:rFonts w:ascii="Times New Roman" w:hAnsi="Times New Roman"/>
          <w:b w:val="0"/>
          <w:i w:val="0"/>
          <w:color w:val="76787A"/>
          <w:vertAlign w:val="superscript"/>
        </w:rPr>
        <w:t>259</w:t>
      </w:r>
      <w:r>
        <w:rPr>
          <w:rFonts w:ascii="Times New Roman" w:hAnsi="Times New Roman"/>
          <w:b w:val="0"/>
          <w:i w:val="0"/>
          <w:color w:val="231F20"/>
          <w:vertAlign w:val="baseline"/>
        </w:rPr>
        <w:t>.</w:t>
      </w:r>
    </w:p>
    <w:p>
      <w:pPr>
        <w:pStyle w:val="BodyText"/>
        <w:spacing w:before="240"/>
        <w:ind w:left="0"/>
        <w:jc w:val="left"/>
      </w:pPr>
    </w:p>
    <w:p>
      <w:pPr>
        <w:spacing w:line="240" w:lineRule="auto" w:before="1"/>
        <w:ind w:left="111" w:right="102" w:firstLine="283"/>
        <w:jc w:val="both"/>
        <w:rPr>
          <w:sz w:val="24"/>
        </w:rPr>
      </w:pPr>
      <w:r>
        <w:rPr>
          <w:color w:val="231F20"/>
          <w:sz w:val="24"/>
        </w:rPr>
        <w:t>En</w:t>
      </w:r>
      <w:r>
        <w:rPr>
          <w:color w:val="231F20"/>
          <w:spacing w:val="-13"/>
          <w:sz w:val="24"/>
        </w:rPr>
        <w:t> </w:t>
      </w:r>
      <w:r>
        <w:rPr>
          <w:color w:val="231F20"/>
          <w:sz w:val="24"/>
        </w:rPr>
        <w:t>2019,</w:t>
      </w:r>
      <w:r>
        <w:rPr>
          <w:color w:val="231F20"/>
          <w:spacing w:val="-15"/>
          <w:sz w:val="24"/>
        </w:rPr>
        <w:t> </w:t>
      </w:r>
      <w:r>
        <w:rPr>
          <w:color w:val="231F20"/>
          <w:sz w:val="24"/>
        </w:rPr>
        <w:t>à</w:t>
      </w:r>
      <w:r>
        <w:rPr>
          <w:color w:val="231F20"/>
          <w:spacing w:val="-15"/>
          <w:sz w:val="24"/>
        </w:rPr>
        <w:t> </w:t>
      </w:r>
      <w:r>
        <w:rPr>
          <w:color w:val="231F20"/>
          <w:sz w:val="24"/>
        </w:rPr>
        <w:t>Toumodi,</w:t>
      </w:r>
      <w:r>
        <w:rPr>
          <w:color w:val="231F20"/>
          <w:spacing w:val="-15"/>
          <w:sz w:val="24"/>
        </w:rPr>
        <w:t> </w:t>
      </w:r>
      <w:r>
        <w:rPr>
          <w:color w:val="231F20"/>
          <w:sz w:val="24"/>
        </w:rPr>
        <w:t>une</w:t>
      </w:r>
      <w:r>
        <w:rPr>
          <w:color w:val="231F20"/>
          <w:spacing w:val="-15"/>
          <w:sz w:val="24"/>
        </w:rPr>
        <w:t> </w:t>
      </w:r>
      <w:r>
        <w:rPr>
          <w:color w:val="231F20"/>
          <w:sz w:val="24"/>
        </w:rPr>
        <w:t>petite</w:t>
      </w:r>
      <w:r>
        <w:rPr>
          <w:color w:val="231F20"/>
          <w:spacing w:val="-15"/>
          <w:sz w:val="24"/>
        </w:rPr>
        <w:t> </w:t>
      </w:r>
      <w:r>
        <w:rPr>
          <w:color w:val="231F20"/>
          <w:sz w:val="24"/>
        </w:rPr>
        <w:t>ville</w:t>
      </w:r>
      <w:r>
        <w:rPr>
          <w:color w:val="231F20"/>
          <w:spacing w:val="-13"/>
          <w:sz w:val="24"/>
        </w:rPr>
        <w:t> </w:t>
      </w:r>
      <w:r>
        <w:rPr>
          <w:color w:val="231F20"/>
          <w:sz w:val="24"/>
        </w:rPr>
        <w:t>du</w:t>
      </w:r>
      <w:r>
        <w:rPr>
          <w:color w:val="231F20"/>
          <w:spacing w:val="-15"/>
          <w:sz w:val="24"/>
        </w:rPr>
        <w:t> </w:t>
      </w:r>
      <w:r>
        <w:rPr>
          <w:color w:val="231F20"/>
          <w:sz w:val="24"/>
        </w:rPr>
        <w:t>Centre</w:t>
      </w:r>
      <w:r>
        <w:rPr>
          <w:color w:val="231F20"/>
          <w:spacing w:val="-15"/>
          <w:sz w:val="24"/>
        </w:rPr>
        <w:t> </w:t>
      </w:r>
      <w:r>
        <w:rPr>
          <w:color w:val="231F20"/>
          <w:sz w:val="24"/>
        </w:rPr>
        <w:t>de</w:t>
      </w:r>
      <w:r>
        <w:rPr>
          <w:color w:val="231F20"/>
          <w:spacing w:val="-15"/>
          <w:sz w:val="24"/>
        </w:rPr>
        <w:t> </w:t>
      </w:r>
      <w:r>
        <w:rPr>
          <w:color w:val="231F20"/>
          <w:sz w:val="24"/>
        </w:rPr>
        <w:t>la</w:t>
      </w:r>
      <w:r>
        <w:rPr>
          <w:color w:val="231F20"/>
          <w:spacing w:val="-14"/>
          <w:sz w:val="24"/>
        </w:rPr>
        <w:t> </w:t>
      </w:r>
      <w:r>
        <w:rPr>
          <w:color w:val="231F20"/>
          <w:sz w:val="24"/>
        </w:rPr>
        <w:t>Côte</w:t>
      </w:r>
      <w:r>
        <w:rPr>
          <w:color w:val="231F20"/>
          <w:spacing w:val="-15"/>
          <w:sz w:val="24"/>
        </w:rPr>
        <w:t> </w:t>
      </w:r>
      <w:r>
        <w:rPr>
          <w:color w:val="231F20"/>
          <w:sz w:val="24"/>
        </w:rPr>
        <w:t>d’Ivoire,</w:t>
      </w:r>
      <w:r>
        <w:rPr>
          <w:color w:val="231F20"/>
          <w:spacing w:val="-15"/>
          <w:sz w:val="24"/>
        </w:rPr>
        <w:t> </w:t>
      </w:r>
      <w:r>
        <w:rPr>
          <w:color w:val="231F20"/>
          <w:sz w:val="24"/>
        </w:rPr>
        <w:t>le Président du Sénat, Jeannot Ahoussou- Kouadio rend hommage à Alassane</w:t>
      </w:r>
      <w:r>
        <w:rPr>
          <w:color w:val="231F20"/>
          <w:spacing w:val="-1"/>
          <w:sz w:val="24"/>
        </w:rPr>
        <w:t> </w:t>
      </w:r>
      <w:r>
        <w:rPr>
          <w:color w:val="231F20"/>
          <w:sz w:val="24"/>
        </w:rPr>
        <w:t>Ouattara,</w:t>
      </w:r>
      <w:r>
        <w:rPr>
          <w:color w:val="231F20"/>
          <w:spacing w:val="-4"/>
          <w:sz w:val="24"/>
        </w:rPr>
        <w:t> </w:t>
      </w:r>
      <w:r>
        <w:rPr>
          <w:color w:val="231F20"/>
          <w:sz w:val="24"/>
        </w:rPr>
        <w:t>Président</w:t>
      </w:r>
      <w:r>
        <w:rPr>
          <w:color w:val="231F20"/>
          <w:spacing w:val="-1"/>
          <w:sz w:val="24"/>
        </w:rPr>
        <w:t> </w:t>
      </w:r>
      <w:r>
        <w:rPr>
          <w:color w:val="231F20"/>
          <w:sz w:val="24"/>
        </w:rPr>
        <w:t>de</w:t>
      </w:r>
      <w:r>
        <w:rPr>
          <w:color w:val="231F20"/>
          <w:spacing w:val="-4"/>
          <w:sz w:val="24"/>
        </w:rPr>
        <w:t> </w:t>
      </w:r>
      <w:r>
        <w:rPr>
          <w:color w:val="231F20"/>
          <w:sz w:val="24"/>
        </w:rPr>
        <w:t>la</w:t>
      </w:r>
      <w:r>
        <w:rPr>
          <w:color w:val="231F20"/>
          <w:spacing w:val="-1"/>
          <w:sz w:val="24"/>
        </w:rPr>
        <w:t> </w:t>
      </w:r>
      <w:r>
        <w:rPr>
          <w:color w:val="231F20"/>
          <w:sz w:val="24"/>
        </w:rPr>
        <w:t>République</w:t>
      </w:r>
      <w:r>
        <w:rPr>
          <w:color w:val="231F20"/>
          <w:spacing w:val="-4"/>
          <w:sz w:val="24"/>
        </w:rPr>
        <w:t> </w:t>
      </w:r>
      <w:r>
        <w:rPr>
          <w:color w:val="231F20"/>
          <w:sz w:val="24"/>
        </w:rPr>
        <w:t>depuis</w:t>
      </w:r>
      <w:r>
        <w:rPr>
          <w:color w:val="231F20"/>
          <w:spacing w:val="-1"/>
          <w:sz w:val="24"/>
        </w:rPr>
        <w:t> </w:t>
      </w:r>
      <w:r>
        <w:rPr>
          <w:color w:val="231F20"/>
          <w:sz w:val="24"/>
        </w:rPr>
        <w:t>2011</w:t>
      </w:r>
      <w:r>
        <w:rPr>
          <w:color w:val="231F20"/>
          <w:spacing w:val="-4"/>
          <w:sz w:val="24"/>
        </w:rPr>
        <w:t> </w:t>
      </w:r>
      <w:r>
        <w:rPr>
          <w:color w:val="231F20"/>
          <w:sz w:val="24"/>
        </w:rPr>
        <w:t>:</w:t>
      </w:r>
      <w:r>
        <w:rPr>
          <w:color w:val="231F20"/>
          <w:spacing w:val="-3"/>
          <w:sz w:val="24"/>
        </w:rPr>
        <w:t> </w:t>
      </w:r>
      <w:r>
        <w:rPr>
          <w:i/>
          <w:color w:val="231F20"/>
          <w:sz w:val="24"/>
        </w:rPr>
        <w:t>«</w:t>
      </w:r>
      <w:r>
        <w:rPr>
          <w:i/>
          <w:color w:val="231F20"/>
          <w:spacing w:val="-2"/>
          <w:sz w:val="24"/>
        </w:rPr>
        <w:t> </w:t>
      </w:r>
      <w:r>
        <w:rPr>
          <w:i/>
          <w:color w:val="231F20"/>
          <w:sz w:val="24"/>
        </w:rPr>
        <w:t>On</w:t>
      </w:r>
      <w:r>
        <w:rPr>
          <w:i/>
          <w:color w:val="231F20"/>
          <w:spacing w:val="-2"/>
          <w:sz w:val="24"/>
        </w:rPr>
        <w:t> </w:t>
      </w:r>
      <w:r>
        <w:rPr>
          <w:i/>
          <w:color w:val="231F20"/>
          <w:sz w:val="24"/>
        </w:rPr>
        <w:t>veut</w:t>
      </w:r>
      <w:r>
        <w:rPr>
          <w:i/>
          <w:color w:val="231F20"/>
          <w:sz w:val="24"/>
        </w:rPr>
        <w:t> </w:t>
      </w:r>
      <w:r>
        <w:rPr>
          <w:i/>
          <w:color w:val="231F20"/>
          <w:spacing w:val="-4"/>
          <w:sz w:val="24"/>
        </w:rPr>
        <w:t>ouvrir</w:t>
      </w:r>
      <w:r>
        <w:rPr>
          <w:i/>
          <w:color w:val="231F20"/>
          <w:spacing w:val="-9"/>
          <w:sz w:val="24"/>
        </w:rPr>
        <w:t> </w:t>
      </w:r>
      <w:r>
        <w:rPr>
          <w:i/>
          <w:color w:val="231F20"/>
          <w:spacing w:val="-4"/>
          <w:sz w:val="24"/>
        </w:rPr>
        <w:t>un</w:t>
      </w:r>
      <w:r>
        <w:rPr>
          <w:i/>
          <w:color w:val="231F20"/>
          <w:spacing w:val="-9"/>
          <w:sz w:val="24"/>
        </w:rPr>
        <w:t> </w:t>
      </w:r>
      <w:r>
        <w:rPr>
          <w:i/>
          <w:color w:val="231F20"/>
          <w:spacing w:val="-4"/>
          <w:sz w:val="24"/>
        </w:rPr>
        <w:t>faux</w:t>
      </w:r>
      <w:r>
        <w:rPr>
          <w:i/>
          <w:color w:val="231F20"/>
          <w:spacing w:val="-5"/>
          <w:sz w:val="24"/>
        </w:rPr>
        <w:t> </w:t>
      </w:r>
      <w:r>
        <w:rPr>
          <w:i/>
          <w:color w:val="231F20"/>
          <w:spacing w:val="-4"/>
          <w:sz w:val="24"/>
        </w:rPr>
        <w:t>débat</w:t>
      </w:r>
      <w:r>
        <w:rPr>
          <w:i/>
          <w:color w:val="231F20"/>
          <w:spacing w:val="-5"/>
          <w:sz w:val="24"/>
        </w:rPr>
        <w:t> </w:t>
      </w:r>
      <w:r>
        <w:rPr>
          <w:i/>
          <w:color w:val="231F20"/>
          <w:spacing w:val="-4"/>
          <w:sz w:val="24"/>
        </w:rPr>
        <w:t>sur</w:t>
      </w:r>
      <w:r>
        <w:rPr>
          <w:i/>
          <w:color w:val="231F20"/>
          <w:spacing w:val="-9"/>
          <w:sz w:val="24"/>
        </w:rPr>
        <w:t> </w:t>
      </w:r>
      <w:r>
        <w:rPr>
          <w:i/>
          <w:color w:val="231F20"/>
          <w:spacing w:val="-4"/>
          <w:sz w:val="24"/>
        </w:rPr>
        <w:t>l’endettement</w:t>
      </w:r>
      <w:r>
        <w:rPr>
          <w:i/>
          <w:color w:val="231F20"/>
          <w:spacing w:val="-5"/>
          <w:sz w:val="24"/>
        </w:rPr>
        <w:t> </w:t>
      </w:r>
      <w:r>
        <w:rPr>
          <w:i/>
          <w:color w:val="231F20"/>
          <w:spacing w:val="-4"/>
          <w:sz w:val="24"/>
        </w:rPr>
        <w:t>de</w:t>
      </w:r>
      <w:r>
        <w:rPr>
          <w:i/>
          <w:color w:val="231F20"/>
          <w:spacing w:val="-7"/>
          <w:sz w:val="24"/>
        </w:rPr>
        <w:t> </w:t>
      </w:r>
      <w:r>
        <w:rPr>
          <w:i/>
          <w:color w:val="231F20"/>
          <w:spacing w:val="-4"/>
          <w:sz w:val="24"/>
        </w:rPr>
        <w:t>la</w:t>
      </w:r>
      <w:r>
        <w:rPr>
          <w:i/>
          <w:color w:val="231F20"/>
          <w:spacing w:val="-5"/>
          <w:sz w:val="24"/>
        </w:rPr>
        <w:t> </w:t>
      </w:r>
      <w:r>
        <w:rPr>
          <w:i/>
          <w:color w:val="231F20"/>
          <w:spacing w:val="-4"/>
          <w:sz w:val="24"/>
        </w:rPr>
        <w:t>Côte</w:t>
      </w:r>
      <w:r>
        <w:rPr>
          <w:i/>
          <w:color w:val="231F20"/>
          <w:spacing w:val="-8"/>
          <w:sz w:val="24"/>
        </w:rPr>
        <w:t> </w:t>
      </w:r>
      <w:r>
        <w:rPr>
          <w:i/>
          <w:color w:val="231F20"/>
          <w:spacing w:val="-4"/>
          <w:sz w:val="24"/>
        </w:rPr>
        <w:t>d’Ivoire.</w:t>
      </w:r>
      <w:r>
        <w:rPr>
          <w:i/>
          <w:color w:val="231F20"/>
          <w:spacing w:val="-7"/>
          <w:sz w:val="24"/>
        </w:rPr>
        <w:t> </w:t>
      </w:r>
      <w:r>
        <w:rPr>
          <w:i/>
          <w:color w:val="231F20"/>
          <w:spacing w:val="-4"/>
          <w:sz w:val="24"/>
        </w:rPr>
        <w:t>(…).</w:t>
      </w:r>
      <w:r>
        <w:rPr>
          <w:i/>
          <w:color w:val="231F20"/>
          <w:spacing w:val="-5"/>
          <w:sz w:val="24"/>
        </w:rPr>
        <w:t> </w:t>
      </w:r>
      <w:r>
        <w:rPr>
          <w:i/>
          <w:color w:val="231F20"/>
          <w:spacing w:val="-4"/>
          <w:sz w:val="24"/>
        </w:rPr>
        <w:t>Endettez- vous</w:t>
      </w:r>
      <w:r>
        <w:rPr>
          <w:i/>
          <w:color w:val="231F20"/>
          <w:spacing w:val="-11"/>
          <w:sz w:val="24"/>
        </w:rPr>
        <w:t> </w:t>
      </w:r>
      <w:r>
        <w:rPr>
          <w:i/>
          <w:color w:val="231F20"/>
          <w:spacing w:val="-4"/>
          <w:sz w:val="24"/>
        </w:rPr>
        <w:t>pour</w:t>
      </w:r>
      <w:r>
        <w:rPr>
          <w:i/>
          <w:color w:val="231F20"/>
          <w:spacing w:val="-11"/>
          <w:sz w:val="24"/>
        </w:rPr>
        <w:t> </w:t>
      </w:r>
      <w:r>
        <w:rPr>
          <w:i/>
          <w:color w:val="231F20"/>
          <w:spacing w:val="-4"/>
          <w:sz w:val="24"/>
        </w:rPr>
        <w:t>construire</w:t>
      </w:r>
      <w:r>
        <w:rPr>
          <w:i/>
          <w:color w:val="231F20"/>
          <w:spacing w:val="-8"/>
          <w:sz w:val="24"/>
        </w:rPr>
        <w:t> </w:t>
      </w:r>
      <w:r>
        <w:rPr>
          <w:i/>
          <w:color w:val="231F20"/>
          <w:spacing w:val="-4"/>
          <w:sz w:val="24"/>
        </w:rPr>
        <w:t>la</w:t>
      </w:r>
      <w:r>
        <w:rPr>
          <w:i/>
          <w:color w:val="231F20"/>
          <w:spacing w:val="-10"/>
          <w:sz w:val="24"/>
        </w:rPr>
        <w:t> </w:t>
      </w:r>
      <w:r>
        <w:rPr>
          <w:i/>
          <w:color w:val="231F20"/>
          <w:spacing w:val="-4"/>
          <w:sz w:val="24"/>
        </w:rPr>
        <w:t>Côte</w:t>
      </w:r>
      <w:r>
        <w:rPr>
          <w:i/>
          <w:color w:val="231F20"/>
          <w:spacing w:val="-8"/>
          <w:sz w:val="24"/>
        </w:rPr>
        <w:t> </w:t>
      </w:r>
      <w:r>
        <w:rPr>
          <w:i/>
          <w:color w:val="231F20"/>
          <w:spacing w:val="-4"/>
          <w:sz w:val="24"/>
        </w:rPr>
        <w:t>d’Ivoire.</w:t>
      </w:r>
      <w:r>
        <w:rPr>
          <w:i/>
          <w:color w:val="231F20"/>
          <w:spacing w:val="-11"/>
          <w:sz w:val="24"/>
        </w:rPr>
        <w:t> </w:t>
      </w:r>
      <w:r>
        <w:rPr>
          <w:i/>
          <w:color w:val="231F20"/>
          <w:spacing w:val="-4"/>
          <w:sz w:val="24"/>
        </w:rPr>
        <w:t>Celui</w:t>
      </w:r>
      <w:r>
        <w:rPr>
          <w:i/>
          <w:color w:val="231F20"/>
          <w:spacing w:val="-8"/>
          <w:sz w:val="24"/>
        </w:rPr>
        <w:t> </w:t>
      </w:r>
      <w:r>
        <w:rPr>
          <w:i/>
          <w:color w:val="231F20"/>
          <w:spacing w:val="-4"/>
          <w:sz w:val="24"/>
        </w:rPr>
        <w:t>qui</w:t>
      </w:r>
      <w:r>
        <w:rPr>
          <w:i/>
          <w:color w:val="231F20"/>
          <w:spacing w:val="-10"/>
          <w:sz w:val="24"/>
        </w:rPr>
        <w:t> </w:t>
      </w:r>
      <w:r>
        <w:rPr>
          <w:i/>
          <w:color w:val="231F20"/>
          <w:spacing w:val="-4"/>
          <w:sz w:val="24"/>
        </w:rPr>
        <w:t>endette</w:t>
      </w:r>
      <w:r>
        <w:rPr>
          <w:i/>
          <w:color w:val="231F20"/>
          <w:spacing w:val="-10"/>
          <w:sz w:val="24"/>
        </w:rPr>
        <w:t> </w:t>
      </w:r>
      <w:r>
        <w:rPr>
          <w:i/>
          <w:color w:val="231F20"/>
          <w:spacing w:val="-4"/>
          <w:sz w:val="24"/>
        </w:rPr>
        <w:t>aujourd’hui,</w:t>
      </w:r>
      <w:r>
        <w:rPr>
          <w:i/>
          <w:color w:val="231F20"/>
          <w:spacing w:val="-10"/>
          <w:sz w:val="24"/>
        </w:rPr>
        <w:t> </w:t>
      </w:r>
      <w:r>
        <w:rPr>
          <w:i/>
          <w:color w:val="231F20"/>
          <w:spacing w:val="-4"/>
          <w:sz w:val="24"/>
        </w:rPr>
        <w:t>c’est </w:t>
      </w:r>
      <w:r>
        <w:rPr>
          <w:i/>
          <w:color w:val="231F20"/>
          <w:sz w:val="24"/>
        </w:rPr>
        <w:t>celui qui aime les Ivoiriens. Il n’y a pas de honte à s’endetter. Oui, </w:t>
      </w:r>
      <w:r>
        <w:rPr>
          <w:i/>
          <w:color w:val="231F20"/>
          <w:spacing w:val="-2"/>
          <w:sz w:val="24"/>
        </w:rPr>
        <w:t>Président</w:t>
      </w:r>
      <w:r>
        <w:rPr>
          <w:i/>
          <w:color w:val="231F20"/>
          <w:spacing w:val="-8"/>
          <w:sz w:val="24"/>
        </w:rPr>
        <w:t> </w:t>
      </w:r>
      <w:r>
        <w:rPr>
          <w:i/>
          <w:color w:val="231F20"/>
          <w:spacing w:val="-2"/>
          <w:sz w:val="24"/>
        </w:rPr>
        <w:t>Ouattara,</w:t>
      </w:r>
      <w:r>
        <w:rPr>
          <w:i/>
          <w:color w:val="231F20"/>
          <w:spacing w:val="-8"/>
          <w:sz w:val="24"/>
        </w:rPr>
        <w:t> </w:t>
      </w:r>
      <w:r>
        <w:rPr>
          <w:i/>
          <w:color w:val="231F20"/>
          <w:spacing w:val="-2"/>
          <w:sz w:val="24"/>
        </w:rPr>
        <w:t>endettez,</w:t>
      </w:r>
      <w:r>
        <w:rPr>
          <w:i/>
          <w:color w:val="231F20"/>
          <w:spacing w:val="-10"/>
          <w:sz w:val="24"/>
        </w:rPr>
        <w:t> </w:t>
      </w:r>
      <w:r>
        <w:rPr>
          <w:i/>
          <w:color w:val="231F20"/>
          <w:spacing w:val="-2"/>
          <w:sz w:val="24"/>
        </w:rPr>
        <w:t>on</w:t>
      </w:r>
      <w:r>
        <w:rPr>
          <w:i/>
          <w:color w:val="231F20"/>
          <w:spacing w:val="-8"/>
          <w:sz w:val="24"/>
        </w:rPr>
        <w:t> </w:t>
      </w:r>
      <w:r>
        <w:rPr>
          <w:i/>
          <w:color w:val="231F20"/>
          <w:spacing w:val="-2"/>
          <w:sz w:val="24"/>
        </w:rPr>
        <w:t>va</w:t>
      </w:r>
      <w:r>
        <w:rPr>
          <w:i/>
          <w:color w:val="231F20"/>
          <w:spacing w:val="-10"/>
          <w:sz w:val="24"/>
        </w:rPr>
        <w:t> </w:t>
      </w:r>
      <w:r>
        <w:rPr>
          <w:i/>
          <w:color w:val="231F20"/>
          <w:spacing w:val="-2"/>
          <w:sz w:val="24"/>
        </w:rPr>
        <w:t>payer.</w:t>
      </w:r>
      <w:r>
        <w:rPr>
          <w:i/>
          <w:color w:val="231F20"/>
          <w:spacing w:val="-8"/>
          <w:sz w:val="24"/>
        </w:rPr>
        <w:t> </w:t>
      </w:r>
      <w:r>
        <w:rPr>
          <w:i/>
          <w:color w:val="231F20"/>
          <w:spacing w:val="-2"/>
          <w:sz w:val="24"/>
        </w:rPr>
        <w:t>On</w:t>
      </w:r>
      <w:r>
        <w:rPr>
          <w:i/>
          <w:color w:val="231F20"/>
          <w:spacing w:val="-10"/>
          <w:sz w:val="24"/>
        </w:rPr>
        <w:t> </w:t>
      </w:r>
      <w:r>
        <w:rPr>
          <w:i/>
          <w:color w:val="231F20"/>
          <w:spacing w:val="-2"/>
          <w:sz w:val="24"/>
        </w:rPr>
        <w:t>est</w:t>
      </w:r>
      <w:r>
        <w:rPr>
          <w:i/>
          <w:color w:val="231F20"/>
          <w:spacing w:val="-10"/>
          <w:sz w:val="24"/>
        </w:rPr>
        <w:t> </w:t>
      </w:r>
      <w:r>
        <w:rPr>
          <w:i/>
          <w:color w:val="231F20"/>
          <w:spacing w:val="-2"/>
          <w:sz w:val="24"/>
        </w:rPr>
        <w:t>là</w:t>
      </w:r>
      <w:r>
        <w:rPr>
          <w:i/>
          <w:color w:val="231F20"/>
          <w:spacing w:val="-10"/>
          <w:sz w:val="24"/>
        </w:rPr>
        <w:t> </w:t>
      </w:r>
      <w:r>
        <w:rPr>
          <w:i/>
          <w:color w:val="231F20"/>
          <w:spacing w:val="-2"/>
          <w:sz w:val="24"/>
        </w:rPr>
        <w:t>pour</w:t>
      </w:r>
      <w:r>
        <w:rPr>
          <w:i/>
          <w:color w:val="231F20"/>
          <w:spacing w:val="-10"/>
          <w:sz w:val="24"/>
        </w:rPr>
        <w:t> </w:t>
      </w:r>
      <w:r>
        <w:rPr>
          <w:i/>
          <w:color w:val="231F20"/>
          <w:spacing w:val="-2"/>
          <w:sz w:val="24"/>
        </w:rPr>
        <w:t>travailler</w:t>
      </w:r>
      <w:r>
        <w:rPr>
          <w:i/>
          <w:color w:val="231F20"/>
          <w:spacing w:val="-8"/>
          <w:sz w:val="24"/>
        </w:rPr>
        <w:t> </w:t>
      </w:r>
      <w:r>
        <w:rPr>
          <w:i/>
          <w:color w:val="231F20"/>
          <w:spacing w:val="-2"/>
          <w:sz w:val="24"/>
        </w:rPr>
        <w:t>pour </w:t>
      </w:r>
      <w:r>
        <w:rPr>
          <w:i/>
          <w:color w:val="231F20"/>
          <w:sz w:val="24"/>
        </w:rPr>
        <w:t>payer… »</w:t>
      </w:r>
      <w:r>
        <w:rPr>
          <w:color w:val="231F20"/>
          <w:sz w:val="24"/>
        </w:rPr>
        <w:t>.</w:t>
      </w:r>
    </w:p>
    <w:p>
      <w:pPr>
        <w:pStyle w:val="BodyText"/>
        <w:spacing w:before="117"/>
        <w:ind w:left="0" w:right="109"/>
        <w:jc w:val="right"/>
      </w:pPr>
      <w:r>
        <w:rPr>
          <w:color w:val="231F20"/>
        </w:rPr>
        <w:t>Le</w:t>
      </w:r>
      <w:r>
        <w:rPr>
          <w:color w:val="231F20"/>
          <w:spacing w:val="55"/>
        </w:rPr>
        <w:t> </w:t>
      </w:r>
      <w:r>
        <w:rPr>
          <w:color w:val="231F20"/>
        </w:rPr>
        <w:t>recours</w:t>
      </w:r>
      <w:r>
        <w:rPr>
          <w:color w:val="231F20"/>
          <w:spacing w:val="56"/>
        </w:rPr>
        <w:t> </w:t>
      </w:r>
      <w:r>
        <w:rPr>
          <w:color w:val="231F20"/>
        </w:rPr>
        <w:t>à</w:t>
      </w:r>
      <w:r>
        <w:rPr>
          <w:color w:val="231F20"/>
          <w:spacing w:val="56"/>
        </w:rPr>
        <w:t> </w:t>
      </w:r>
      <w:r>
        <w:rPr>
          <w:color w:val="231F20"/>
        </w:rPr>
        <w:t>l’endettement</w:t>
      </w:r>
      <w:r>
        <w:rPr>
          <w:color w:val="231F20"/>
          <w:spacing w:val="56"/>
        </w:rPr>
        <w:t> </w:t>
      </w:r>
      <w:r>
        <w:rPr>
          <w:color w:val="231F20"/>
        </w:rPr>
        <w:t>joue</w:t>
      </w:r>
      <w:r>
        <w:rPr>
          <w:color w:val="231F20"/>
          <w:spacing w:val="56"/>
        </w:rPr>
        <w:t> </w:t>
      </w:r>
      <w:r>
        <w:rPr>
          <w:color w:val="231F20"/>
        </w:rPr>
        <w:t>selon</w:t>
      </w:r>
      <w:r>
        <w:rPr>
          <w:color w:val="231F20"/>
          <w:spacing w:val="54"/>
        </w:rPr>
        <w:t> </w:t>
      </w:r>
      <w:r>
        <w:rPr>
          <w:color w:val="231F20"/>
        </w:rPr>
        <w:t>les</w:t>
      </w:r>
      <w:r>
        <w:rPr>
          <w:color w:val="231F20"/>
          <w:spacing w:val="56"/>
        </w:rPr>
        <w:t> </w:t>
      </w:r>
      <w:r>
        <w:rPr>
          <w:color w:val="231F20"/>
        </w:rPr>
        <w:t>Économistes,</w:t>
      </w:r>
      <w:r>
        <w:rPr>
          <w:color w:val="231F20"/>
          <w:spacing w:val="54"/>
        </w:rPr>
        <w:t> </w:t>
      </w:r>
      <w:r>
        <w:rPr>
          <w:color w:val="231F20"/>
        </w:rPr>
        <w:t>un</w:t>
      </w:r>
      <w:r>
        <w:rPr>
          <w:color w:val="231F20"/>
          <w:spacing w:val="56"/>
        </w:rPr>
        <w:t> </w:t>
      </w:r>
      <w:r>
        <w:rPr>
          <w:color w:val="231F20"/>
          <w:spacing w:val="-4"/>
        </w:rPr>
        <w:t>rôle</w:t>
      </w:r>
    </w:p>
    <w:p>
      <w:pPr>
        <w:pStyle w:val="BodyText"/>
        <w:spacing w:before="1"/>
        <w:ind w:left="0" w:right="107"/>
        <w:jc w:val="right"/>
      </w:pPr>
      <w:r>
        <w:rPr>
          <w:color w:val="231F20"/>
        </w:rPr>
        <w:t>essentiel</w:t>
      </w:r>
      <w:r>
        <w:rPr>
          <w:color w:val="231F20"/>
          <w:spacing w:val="4"/>
        </w:rPr>
        <w:t> </w:t>
      </w:r>
      <w:r>
        <w:rPr>
          <w:color w:val="231F20"/>
        </w:rPr>
        <w:t>pour</w:t>
      </w:r>
      <w:r>
        <w:rPr>
          <w:color w:val="231F20"/>
          <w:spacing w:val="5"/>
        </w:rPr>
        <w:t> </w:t>
      </w:r>
      <w:r>
        <w:rPr>
          <w:color w:val="231F20"/>
        </w:rPr>
        <w:t>le</w:t>
      </w:r>
      <w:r>
        <w:rPr>
          <w:color w:val="231F20"/>
          <w:spacing w:val="5"/>
        </w:rPr>
        <w:t> </w:t>
      </w:r>
      <w:r>
        <w:rPr>
          <w:color w:val="231F20"/>
        </w:rPr>
        <w:t>développement,</w:t>
      </w:r>
      <w:r>
        <w:rPr>
          <w:color w:val="231F20"/>
          <w:spacing w:val="3"/>
        </w:rPr>
        <w:t> </w:t>
      </w:r>
      <w:r>
        <w:rPr>
          <w:color w:val="231F20"/>
        </w:rPr>
        <w:t>mais</w:t>
      </w:r>
      <w:r>
        <w:rPr>
          <w:color w:val="231F20"/>
          <w:spacing w:val="5"/>
        </w:rPr>
        <w:t> </w:t>
      </w:r>
      <w:r>
        <w:rPr>
          <w:color w:val="231F20"/>
        </w:rPr>
        <w:t>des</w:t>
      </w:r>
      <w:r>
        <w:rPr>
          <w:color w:val="231F20"/>
          <w:spacing w:val="5"/>
        </w:rPr>
        <w:t> </w:t>
      </w:r>
      <w:r>
        <w:rPr>
          <w:color w:val="231F20"/>
        </w:rPr>
        <w:t>niveaux</w:t>
      </w:r>
      <w:r>
        <w:rPr>
          <w:color w:val="231F20"/>
          <w:spacing w:val="4"/>
        </w:rPr>
        <w:t> </w:t>
      </w:r>
      <w:r>
        <w:rPr>
          <w:color w:val="231F20"/>
        </w:rPr>
        <w:t>insoutenables</w:t>
      </w:r>
      <w:r>
        <w:rPr>
          <w:color w:val="231F20"/>
          <w:spacing w:val="5"/>
        </w:rPr>
        <w:t> </w:t>
      </w:r>
      <w:r>
        <w:rPr>
          <w:color w:val="231F20"/>
        </w:rPr>
        <w:t>de</w:t>
      </w:r>
      <w:r>
        <w:rPr>
          <w:color w:val="231F20"/>
          <w:spacing w:val="3"/>
        </w:rPr>
        <w:t> </w:t>
      </w:r>
      <w:r>
        <w:rPr>
          <w:color w:val="231F20"/>
          <w:spacing w:val="-5"/>
        </w:rPr>
        <w:t>la</w:t>
      </w:r>
    </w:p>
    <w:p>
      <w:pPr>
        <w:pStyle w:val="BodyText"/>
        <w:ind w:left="0"/>
        <w:jc w:val="left"/>
        <w:rPr>
          <w:sz w:val="18"/>
        </w:rPr>
      </w:pPr>
      <w:r>
        <w:rPr/>
        <mc:AlternateContent>
          <mc:Choice Requires="wps">
            <w:drawing>
              <wp:anchor distT="0" distB="0" distL="0" distR="0" allowOverlap="1" layoutInCell="1" locked="0" behindDoc="1" simplePos="0" relativeHeight="487666176">
                <wp:simplePos x="0" y="0"/>
                <wp:positionH relativeFrom="page">
                  <wp:posOffset>629907</wp:posOffset>
                </wp:positionH>
                <wp:positionV relativeFrom="paragraph">
                  <wp:posOffset>147109</wp:posOffset>
                </wp:positionV>
                <wp:extent cx="1829435" cy="9525"/>
                <wp:effectExtent l="0" t="0" r="0" b="0"/>
                <wp:wrapTopAndBottom/>
                <wp:docPr id="185" name="Graphic 185"/>
                <wp:cNvGraphicFramePr>
                  <a:graphicFrameLocks/>
                </wp:cNvGraphicFramePr>
                <a:graphic>
                  <a:graphicData uri="http://schemas.microsoft.com/office/word/2010/wordprocessingShape">
                    <wps:wsp>
                      <wps:cNvPr id="185" name="Graphic 185"/>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1.583438pt;width:144.020pt;height:.72pt;mso-position-horizontal-relative:page;mso-position-vertical-relative:paragraph;z-index:-15650304;mso-wrap-distance-left:0;mso-wrap-distance-right:0" id="docshape183" filled="true" fillcolor="#231f20" stroked="false">
                <v:fill type="solid"/>
                <w10:wrap type="topAndBottom"/>
              </v:rect>
            </w:pict>
          </mc:Fallback>
        </mc:AlternateContent>
      </w:r>
    </w:p>
    <w:p>
      <w:pPr>
        <w:spacing w:before="91"/>
        <w:ind w:left="111" w:right="0" w:firstLine="0"/>
        <w:jc w:val="left"/>
        <w:rPr>
          <w:sz w:val="20"/>
        </w:rPr>
      </w:pPr>
      <w:r>
        <w:rPr>
          <w:color w:val="76787A"/>
          <w:spacing w:val="-4"/>
          <w:sz w:val="20"/>
          <w:vertAlign w:val="superscript"/>
        </w:rPr>
        <w:t>256</w:t>
      </w:r>
      <w:r>
        <w:rPr>
          <w:color w:val="76787A"/>
          <w:spacing w:val="-17"/>
          <w:sz w:val="20"/>
          <w:vertAlign w:val="baseline"/>
        </w:rPr>
        <w:t> </w:t>
      </w:r>
      <w:r>
        <w:rPr>
          <w:color w:val="231F20"/>
          <w:spacing w:val="-4"/>
          <w:sz w:val="20"/>
          <w:vertAlign w:val="baseline"/>
        </w:rPr>
        <w:t>JohnAdams,</w:t>
      </w:r>
      <w:r>
        <w:rPr>
          <w:color w:val="231F20"/>
          <w:sz w:val="20"/>
          <w:vertAlign w:val="baseline"/>
        </w:rPr>
        <w:t> </w:t>
      </w:r>
      <w:r>
        <w:rPr>
          <w:color w:val="231F20"/>
          <w:spacing w:val="-4"/>
          <w:sz w:val="20"/>
          <w:vertAlign w:val="baseline"/>
        </w:rPr>
        <w:t>second</w:t>
      </w:r>
      <w:r>
        <w:rPr>
          <w:color w:val="231F20"/>
          <w:spacing w:val="-2"/>
          <w:sz w:val="20"/>
          <w:vertAlign w:val="baseline"/>
        </w:rPr>
        <w:t> </w:t>
      </w:r>
      <w:r>
        <w:rPr>
          <w:color w:val="231F20"/>
          <w:spacing w:val="-4"/>
          <w:sz w:val="20"/>
          <w:vertAlign w:val="baseline"/>
        </w:rPr>
        <w:t>Président</w:t>
      </w:r>
      <w:r>
        <w:rPr>
          <w:color w:val="231F20"/>
          <w:spacing w:val="-3"/>
          <w:sz w:val="20"/>
          <w:vertAlign w:val="baseline"/>
        </w:rPr>
        <w:t> </w:t>
      </w:r>
      <w:r>
        <w:rPr>
          <w:color w:val="231F20"/>
          <w:spacing w:val="-4"/>
          <w:sz w:val="20"/>
          <w:vertAlign w:val="baseline"/>
        </w:rPr>
        <w:t>des</w:t>
      </w:r>
      <w:r>
        <w:rPr>
          <w:color w:val="231F20"/>
          <w:spacing w:val="-2"/>
          <w:sz w:val="20"/>
          <w:vertAlign w:val="baseline"/>
        </w:rPr>
        <w:t> </w:t>
      </w:r>
      <w:r>
        <w:rPr>
          <w:color w:val="231F20"/>
          <w:spacing w:val="-4"/>
          <w:sz w:val="20"/>
          <w:vertAlign w:val="baseline"/>
        </w:rPr>
        <w:t>États-Unis de</w:t>
      </w:r>
      <w:r>
        <w:rPr>
          <w:color w:val="231F20"/>
          <w:spacing w:val="-3"/>
          <w:sz w:val="20"/>
          <w:vertAlign w:val="baseline"/>
        </w:rPr>
        <w:t> </w:t>
      </w:r>
      <w:r>
        <w:rPr>
          <w:color w:val="231F20"/>
          <w:spacing w:val="-4"/>
          <w:sz w:val="20"/>
          <w:vertAlign w:val="baseline"/>
        </w:rPr>
        <w:t>1797</w:t>
      </w:r>
      <w:r>
        <w:rPr>
          <w:color w:val="231F20"/>
          <w:sz w:val="20"/>
          <w:vertAlign w:val="baseline"/>
        </w:rPr>
        <w:t> </w:t>
      </w:r>
      <w:r>
        <w:rPr>
          <w:color w:val="231F20"/>
          <w:spacing w:val="-4"/>
          <w:sz w:val="20"/>
          <w:vertAlign w:val="baseline"/>
        </w:rPr>
        <w:t>à</w:t>
      </w:r>
      <w:r>
        <w:rPr>
          <w:color w:val="231F20"/>
          <w:spacing w:val="-3"/>
          <w:sz w:val="20"/>
          <w:vertAlign w:val="baseline"/>
        </w:rPr>
        <w:t> </w:t>
      </w:r>
      <w:r>
        <w:rPr>
          <w:color w:val="231F20"/>
          <w:spacing w:val="-4"/>
          <w:sz w:val="20"/>
          <w:vertAlign w:val="baseline"/>
        </w:rPr>
        <w:t>1801.</w:t>
      </w:r>
    </w:p>
    <w:p>
      <w:pPr>
        <w:spacing w:before="1"/>
        <w:ind w:left="111" w:right="0" w:firstLine="0"/>
        <w:jc w:val="left"/>
        <w:rPr>
          <w:sz w:val="20"/>
        </w:rPr>
      </w:pPr>
      <w:r>
        <w:rPr>
          <w:color w:val="76787A"/>
          <w:spacing w:val="-4"/>
          <w:sz w:val="20"/>
          <w:vertAlign w:val="superscript"/>
        </w:rPr>
        <w:t>257</w:t>
      </w:r>
      <w:r>
        <w:rPr>
          <w:color w:val="76787A"/>
          <w:spacing w:val="2"/>
          <w:sz w:val="20"/>
          <w:vertAlign w:val="baseline"/>
        </w:rPr>
        <w:t> </w:t>
      </w:r>
      <w:r>
        <w:rPr>
          <w:color w:val="231F20"/>
          <w:spacing w:val="-4"/>
          <w:sz w:val="20"/>
          <w:vertAlign w:val="baseline"/>
        </w:rPr>
        <w:t>Jacques</w:t>
      </w:r>
      <w:r>
        <w:rPr>
          <w:color w:val="231F20"/>
          <w:spacing w:val="-3"/>
          <w:sz w:val="20"/>
          <w:vertAlign w:val="baseline"/>
        </w:rPr>
        <w:t> </w:t>
      </w:r>
      <w:r>
        <w:rPr>
          <w:color w:val="231F20"/>
          <w:spacing w:val="-4"/>
          <w:sz w:val="20"/>
          <w:vertAlign w:val="baseline"/>
        </w:rPr>
        <w:t>Berthelot,</w:t>
      </w:r>
      <w:r>
        <w:rPr>
          <w:color w:val="231F20"/>
          <w:spacing w:val="-3"/>
          <w:sz w:val="20"/>
          <w:vertAlign w:val="baseline"/>
        </w:rPr>
        <w:t> </w:t>
      </w:r>
      <w:r>
        <w:rPr>
          <w:color w:val="231F20"/>
          <w:spacing w:val="-4"/>
          <w:sz w:val="20"/>
          <w:vertAlign w:val="baseline"/>
        </w:rPr>
        <w:t>Économiste</w:t>
      </w:r>
      <w:r>
        <w:rPr>
          <w:color w:val="231F20"/>
          <w:spacing w:val="-3"/>
          <w:sz w:val="20"/>
          <w:vertAlign w:val="baseline"/>
        </w:rPr>
        <w:t> </w:t>
      </w:r>
      <w:r>
        <w:rPr>
          <w:color w:val="231F20"/>
          <w:spacing w:val="-4"/>
          <w:sz w:val="20"/>
          <w:vertAlign w:val="baseline"/>
        </w:rPr>
        <w:t>français.</w:t>
      </w:r>
    </w:p>
    <w:p>
      <w:pPr>
        <w:spacing w:before="0"/>
        <w:ind w:left="111" w:right="0" w:firstLine="0"/>
        <w:jc w:val="left"/>
        <w:rPr>
          <w:sz w:val="20"/>
        </w:rPr>
      </w:pPr>
      <w:r>
        <w:rPr>
          <w:color w:val="76787A"/>
          <w:spacing w:val="-4"/>
          <w:sz w:val="20"/>
          <w:vertAlign w:val="superscript"/>
        </w:rPr>
        <w:t>258</w:t>
      </w:r>
      <w:r>
        <w:rPr>
          <w:color w:val="76787A"/>
          <w:spacing w:val="2"/>
          <w:sz w:val="20"/>
          <w:vertAlign w:val="baseline"/>
        </w:rPr>
        <w:t> </w:t>
      </w:r>
      <w:r>
        <w:rPr>
          <w:color w:val="231F20"/>
          <w:spacing w:val="-4"/>
          <w:sz w:val="20"/>
          <w:vertAlign w:val="baseline"/>
        </w:rPr>
        <w:t>Source</w:t>
      </w:r>
      <w:r>
        <w:rPr>
          <w:color w:val="231F20"/>
          <w:spacing w:val="-3"/>
          <w:sz w:val="20"/>
          <w:vertAlign w:val="baseline"/>
        </w:rPr>
        <w:t> </w:t>
      </w:r>
      <w:r>
        <w:rPr>
          <w:color w:val="231F20"/>
          <w:spacing w:val="-4"/>
          <w:sz w:val="20"/>
          <w:vertAlign w:val="baseline"/>
        </w:rPr>
        <w:t>:</w:t>
      </w:r>
      <w:r>
        <w:rPr>
          <w:color w:val="231F20"/>
          <w:spacing w:val="-1"/>
          <w:sz w:val="20"/>
          <w:vertAlign w:val="baseline"/>
        </w:rPr>
        <w:t> </w:t>
      </w:r>
      <w:r>
        <w:rPr>
          <w:color w:val="231F20"/>
          <w:spacing w:val="-4"/>
          <w:sz w:val="20"/>
          <w:vertAlign w:val="baseline"/>
        </w:rPr>
        <w:t>Fonds</w:t>
      </w:r>
      <w:r>
        <w:rPr>
          <w:color w:val="231F20"/>
          <w:spacing w:val="-1"/>
          <w:sz w:val="20"/>
          <w:vertAlign w:val="baseline"/>
        </w:rPr>
        <w:t> </w:t>
      </w:r>
      <w:r>
        <w:rPr>
          <w:color w:val="231F20"/>
          <w:spacing w:val="-4"/>
          <w:sz w:val="20"/>
          <w:vertAlign w:val="baseline"/>
        </w:rPr>
        <w:t>Monétaire</w:t>
      </w:r>
      <w:r>
        <w:rPr>
          <w:color w:val="231F20"/>
          <w:spacing w:val="-3"/>
          <w:sz w:val="20"/>
          <w:vertAlign w:val="baseline"/>
        </w:rPr>
        <w:t> </w:t>
      </w:r>
      <w:r>
        <w:rPr>
          <w:color w:val="231F20"/>
          <w:spacing w:val="-4"/>
          <w:sz w:val="20"/>
          <w:vertAlign w:val="baseline"/>
        </w:rPr>
        <w:t>International</w:t>
      </w:r>
      <w:r>
        <w:rPr>
          <w:color w:val="231F20"/>
          <w:spacing w:val="-3"/>
          <w:sz w:val="20"/>
          <w:vertAlign w:val="baseline"/>
        </w:rPr>
        <w:t> </w:t>
      </w:r>
      <w:r>
        <w:rPr>
          <w:color w:val="231F20"/>
          <w:spacing w:val="-4"/>
          <w:sz w:val="20"/>
          <w:vertAlign w:val="baseline"/>
        </w:rPr>
        <w:t>(FMI).</w:t>
      </w:r>
    </w:p>
    <w:p>
      <w:pPr>
        <w:spacing w:before="1"/>
        <w:ind w:left="111" w:right="0" w:firstLine="0"/>
        <w:jc w:val="left"/>
        <w:rPr>
          <w:sz w:val="20"/>
        </w:rPr>
      </w:pPr>
      <w:r>
        <w:rPr>
          <w:color w:val="76787A"/>
          <w:spacing w:val="-4"/>
          <w:position w:val="6"/>
          <w:sz w:val="12"/>
        </w:rPr>
        <w:t>259</w:t>
      </w:r>
      <w:r>
        <w:rPr>
          <w:color w:val="76787A"/>
          <w:spacing w:val="6"/>
          <w:position w:val="6"/>
          <w:sz w:val="12"/>
        </w:rPr>
        <w:t> </w:t>
      </w:r>
      <w:r>
        <w:rPr>
          <w:color w:val="231F20"/>
          <w:spacing w:val="-4"/>
          <w:sz w:val="20"/>
        </w:rPr>
        <w:t>« L’Afrique souffre</w:t>
      </w:r>
      <w:r>
        <w:rPr>
          <w:color w:val="231F20"/>
          <w:spacing w:val="-5"/>
          <w:sz w:val="20"/>
        </w:rPr>
        <w:t> </w:t>
      </w:r>
      <w:r>
        <w:rPr>
          <w:color w:val="231F20"/>
          <w:spacing w:val="-4"/>
          <w:sz w:val="20"/>
        </w:rPr>
        <w:t>de</w:t>
      </w:r>
      <w:r>
        <w:rPr>
          <w:color w:val="231F20"/>
          <w:spacing w:val="-5"/>
          <w:sz w:val="20"/>
        </w:rPr>
        <w:t> </w:t>
      </w:r>
      <w:r>
        <w:rPr>
          <w:color w:val="231F20"/>
          <w:spacing w:val="-4"/>
          <w:sz w:val="20"/>
        </w:rPr>
        <w:t>surendettement à</w:t>
      </w:r>
      <w:r>
        <w:rPr>
          <w:color w:val="231F20"/>
          <w:spacing w:val="-5"/>
          <w:sz w:val="20"/>
        </w:rPr>
        <w:t> </w:t>
      </w:r>
      <w:r>
        <w:rPr>
          <w:color w:val="231F20"/>
          <w:spacing w:val="-4"/>
          <w:sz w:val="20"/>
        </w:rPr>
        <w:t>cause</w:t>
      </w:r>
      <w:r>
        <w:rPr>
          <w:color w:val="231F20"/>
          <w:spacing w:val="-5"/>
          <w:sz w:val="20"/>
        </w:rPr>
        <w:t> </w:t>
      </w:r>
      <w:r>
        <w:rPr>
          <w:color w:val="231F20"/>
          <w:spacing w:val="-4"/>
          <w:sz w:val="20"/>
        </w:rPr>
        <w:t>de</w:t>
      </w:r>
      <w:r>
        <w:rPr>
          <w:color w:val="231F20"/>
          <w:spacing w:val="-5"/>
          <w:sz w:val="20"/>
        </w:rPr>
        <w:t> </w:t>
      </w:r>
      <w:r>
        <w:rPr>
          <w:color w:val="231F20"/>
          <w:spacing w:val="-4"/>
          <w:sz w:val="20"/>
        </w:rPr>
        <w:t>la</w:t>
      </w:r>
      <w:r>
        <w:rPr>
          <w:color w:val="231F20"/>
          <w:spacing w:val="-5"/>
          <w:sz w:val="20"/>
        </w:rPr>
        <w:t> </w:t>
      </w:r>
      <w:r>
        <w:rPr>
          <w:color w:val="231F20"/>
          <w:spacing w:val="-4"/>
          <w:sz w:val="20"/>
        </w:rPr>
        <w:t>corruption » Uzziel</w:t>
      </w:r>
      <w:r>
        <w:rPr>
          <w:color w:val="231F20"/>
          <w:spacing w:val="-5"/>
          <w:sz w:val="20"/>
        </w:rPr>
        <w:t> </w:t>
      </w:r>
      <w:r>
        <w:rPr>
          <w:color w:val="231F20"/>
          <w:spacing w:val="-4"/>
          <w:sz w:val="20"/>
        </w:rPr>
        <w:t>Ndagijimana, </w:t>
      </w:r>
      <w:r>
        <w:rPr>
          <w:color w:val="231F20"/>
          <w:sz w:val="20"/>
        </w:rPr>
        <w:t>Ministre rwandais des finances, Le Monde.</w:t>
      </w:r>
    </w:p>
    <w:p>
      <w:pPr>
        <w:spacing w:after="0"/>
        <w:jc w:val="left"/>
        <w:rPr>
          <w:sz w:val="20"/>
        </w:rPr>
        <w:sectPr>
          <w:pgSz w:w="8790" w:h="13610"/>
          <w:pgMar w:header="0" w:footer="802" w:top="1060" w:bottom="1000" w:left="880" w:right="880"/>
        </w:sectPr>
      </w:pPr>
    </w:p>
    <w:p>
      <w:pPr>
        <w:pStyle w:val="BodyText"/>
        <w:spacing w:before="66"/>
        <w:ind w:right="105"/>
      </w:pPr>
      <w:r>
        <w:rPr>
          <w:color w:val="231F20"/>
        </w:rPr>
        <w:t>dette fragilisent la croissance, freinent les investissements privés, accroissent la pression budgétaire, réduisent les dépenses sociales, limitent</w:t>
      </w:r>
      <w:r>
        <w:rPr>
          <w:color w:val="231F20"/>
          <w:spacing w:val="-10"/>
        </w:rPr>
        <w:t> </w:t>
      </w:r>
      <w:r>
        <w:rPr>
          <w:color w:val="231F20"/>
        </w:rPr>
        <w:t>les</w:t>
      </w:r>
      <w:r>
        <w:rPr>
          <w:color w:val="231F20"/>
          <w:spacing w:val="-11"/>
        </w:rPr>
        <w:t> </w:t>
      </w:r>
      <w:r>
        <w:rPr>
          <w:color w:val="231F20"/>
        </w:rPr>
        <w:t>capacités</w:t>
      </w:r>
      <w:r>
        <w:rPr>
          <w:color w:val="231F20"/>
          <w:spacing w:val="-11"/>
        </w:rPr>
        <w:t> </w:t>
      </w:r>
      <w:r>
        <w:rPr>
          <w:color w:val="231F20"/>
        </w:rPr>
        <w:t>du</w:t>
      </w:r>
      <w:r>
        <w:rPr>
          <w:color w:val="231F20"/>
          <w:spacing w:val="-12"/>
        </w:rPr>
        <w:t> </w:t>
      </w:r>
      <w:r>
        <w:rPr>
          <w:color w:val="231F20"/>
        </w:rPr>
        <w:t>Gouvernement</w:t>
      </w:r>
      <w:r>
        <w:rPr>
          <w:color w:val="231F20"/>
          <w:spacing w:val="-11"/>
        </w:rPr>
        <w:t> </w:t>
      </w:r>
      <w:r>
        <w:rPr>
          <w:color w:val="231F20"/>
        </w:rPr>
        <w:t>à</w:t>
      </w:r>
      <w:r>
        <w:rPr>
          <w:color w:val="231F20"/>
          <w:spacing w:val="-11"/>
        </w:rPr>
        <w:t> </w:t>
      </w:r>
      <w:r>
        <w:rPr>
          <w:color w:val="231F20"/>
        </w:rPr>
        <w:t>mettre</w:t>
      </w:r>
      <w:r>
        <w:rPr>
          <w:color w:val="231F20"/>
          <w:spacing w:val="-11"/>
        </w:rPr>
        <w:t> </w:t>
      </w:r>
      <w:r>
        <w:rPr>
          <w:color w:val="231F20"/>
        </w:rPr>
        <w:t>en</w:t>
      </w:r>
      <w:r>
        <w:rPr>
          <w:color w:val="231F20"/>
          <w:spacing w:val="-11"/>
        </w:rPr>
        <w:t> </w:t>
      </w:r>
      <w:r>
        <w:rPr>
          <w:color w:val="231F20"/>
        </w:rPr>
        <w:t>œuvre</w:t>
      </w:r>
      <w:r>
        <w:rPr>
          <w:color w:val="231F20"/>
          <w:spacing w:val="-11"/>
        </w:rPr>
        <w:t> </w:t>
      </w:r>
      <w:r>
        <w:rPr>
          <w:color w:val="231F20"/>
        </w:rPr>
        <w:t>des</w:t>
      </w:r>
      <w:r>
        <w:rPr>
          <w:color w:val="231F20"/>
          <w:spacing w:val="-11"/>
        </w:rPr>
        <w:t> </w:t>
      </w:r>
      <w:r>
        <w:rPr>
          <w:color w:val="231F20"/>
        </w:rPr>
        <w:t>réformes et pénalisent les pauvres.</w:t>
      </w:r>
    </w:p>
    <w:p>
      <w:pPr>
        <w:spacing w:line="240" w:lineRule="auto" w:before="120"/>
        <w:ind w:left="111" w:right="104" w:firstLine="283"/>
        <w:jc w:val="both"/>
        <w:rPr>
          <w:i/>
          <w:sz w:val="24"/>
        </w:rPr>
      </w:pPr>
      <w:r>
        <w:rPr>
          <w:color w:val="231F20"/>
          <w:spacing w:val="-4"/>
          <w:sz w:val="24"/>
        </w:rPr>
        <w:t>Les États</w:t>
      </w:r>
      <w:r>
        <w:rPr>
          <w:color w:val="231F20"/>
          <w:spacing w:val="-6"/>
          <w:sz w:val="24"/>
        </w:rPr>
        <w:t> </w:t>
      </w:r>
      <w:r>
        <w:rPr>
          <w:color w:val="231F20"/>
          <w:spacing w:val="-4"/>
          <w:sz w:val="24"/>
        </w:rPr>
        <w:t>africains</w:t>
      </w:r>
      <w:r>
        <w:rPr>
          <w:color w:val="231F20"/>
          <w:spacing w:val="-6"/>
          <w:sz w:val="24"/>
        </w:rPr>
        <w:t> </w:t>
      </w:r>
      <w:r>
        <w:rPr>
          <w:color w:val="231F20"/>
          <w:spacing w:val="-4"/>
          <w:sz w:val="24"/>
        </w:rPr>
        <w:t>francophones,</w:t>
      </w:r>
      <w:r>
        <w:rPr>
          <w:color w:val="231F20"/>
          <w:spacing w:val="-6"/>
          <w:sz w:val="24"/>
        </w:rPr>
        <w:t> </w:t>
      </w:r>
      <w:r>
        <w:rPr>
          <w:color w:val="231F20"/>
          <w:spacing w:val="-4"/>
          <w:sz w:val="24"/>
        </w:rPr>
        <w:t>privés</w:t>
      </w:r>
      <w:r>
        <w:rPr>
          <w:color w:val="231F20"/>
          <w:spacing w:val="-6"/>
          <w:sz w:val="24"/>
        </w:rPr>
        <w:t> </w:t>
      </w:r>
      <w:r>
        <w:rPr>
          <w:color w:val="231F20"/>
          <w:spacing w:val="-4"/>
          <w:sz w:val="24"/>
        </w:rPr>
        <w:t>de</w:t>
      </w:r>
      <w:r>
        <w:rPr>
          <w:color w:val="231F20"/>
          <w:spacing w:val="-7"/>
          <w:sz w:val="24"/>
        </w:rPr>
        <w:t> </w:t>
      </w:r>
      <w:r>
        <w:rPr>
          <w:color w:val="231F20"/>
          <w:spacing w:val="-4"/>
          <w:sz w:val="24"/>
        </w:rPr>
        <w:t>véritables guides</w:t>
      </w:r>
      <w:r>
        <w:rPr>
          <w:color w:val="231F20"/>
          <w:spacing w:val="-6"/>
          <w:sz w:val="24"/>
        </w:rPr>
        <w:t> </w:t>
      </w:r>
      <w:r>
        <w:rPr>
          <w:color w:val="231F20"/>
          <w:spacing w:val="-4"/>
          <w:sz w:val="24"/>
        </w:rPr>
        <w:t>ayant</w:t>
      </w:r>
      <w:r>
        <w:rPr>
          <w:color w:val="231F20"/>
          <w:spacing w:val="-6"/>
          <w:sz w:val="24"/>
        </w:rPr>
        <w:t> </w:t>
      </w:r>
      <w:r>
        <w:rPr>
          <w:color w:val="231F20"/>
          <w:spacing w:val="-4"/>
          <w:sz w:val="24"/>
        </w:rPr>
        <w:t>une </w:t>
      </w:r>
      <w:r>
        <w:rPr>
          <w:color w:val="231F20"/>
          <w:sz w:val="24"/>
        </w:rPr>
        <w:t>vision</w:t>
      </w:r>
      <w:r>
        <w:rPr>
          <w:color w:val="231F20"/>
          <w:spacing w:val="-7"/>
          <w:sz w:val="24"/>
        </w:rPr>
        <w:t> </w:t>
      </w:r>
      <w:r>
        <w:rPr>
          <w:color w:val="231F20"/>
          <w:sz w:val="24"/>
        </w:rPr>
        <w:t>pour</w:t>
      </w:r>
      <w:r>
        <w:rPr>
          <w:color w:val="231F20"/>
          <w:spacing w:val="-7"/>
          <w:sz w:val="24"/>
        </w:rPr>
        <w:t> </w:t>
      </w:r>
      <w:r>
        <w:rPr>
          <w:color w:val="231F20"/>
          <w:sz w:val="24"/>
        </w:rPr>
        <w:t>hisser</w:t>
      </w:r>
      <w:r>
        <w:rPr>
          <w:color w:val="231F20"/>
          <w:spacing w:val="-7"/>
          <w:sz w:val="24"/>
        </w:rPr>
        <w:t> </w:t>
      </w:r>
      <w:r>
        <w:rPr>
          <w:color w:val="231F20"/>
          <w:sz w:val="24"/>
        </w:rPr>
        <w:t>leurs</w:t>
      </w:r>
      <w:r>
        <w:rPr>
          <w:color w:val="231F20"/>
          <w:spacing w:val="-9"/>
          <w:sz w:val="24"/>
        </w:rPr>
        <w:t> </w:t>
      </w:r>
      <w:r>
        <w:rPr>
          <w:color w:val="231F20"/>
          <w:sz w:val="24"/>
        </w:rPr>
        <w:t>populations</w:t>
      </w:r>
      <w:r>
        <w:rPr>
          <w:color w:val="231F20"/>
          <w:spacing w:val="-7"/>
          <w:sz w:val="24"/>
        </w:rPr>
        <w:t> </w:t>
      </w:r>
      <w:r>
        <w:rPr>
          <w:color w:val="231F20"/>
          <w:sz w:val="24"/>
        </w:rPr>
        <w:t>sur</w:t>
      </w:r>
      <w:r>
        <w:rPr>
          <w:color w:val="231F20"/>
          <w:spacing w:val="-8"/>
          <w:sz w:val="24"/>
        </w:rPr>
        <w:t> </w:t>
      </w:r>
      <w:r>
        <w:rPr>
          <w:color w:val="231F20"/>
          <w:sz w:val="24"/>
        </w:rPr>
        <w:t>les</w:t>
      </w:r>
      <w:r>
        <w:rPr>
          <w:color w:val="231F20"/>
          <w:spacing w:val="-9"/>
          <w:sz w:val="24"/>
        </w:rPr>
        <w:t> </w:t>
      </w:r>
      <w:r>
        <w:rPr>
          <w:color w:val="231F20"/>
          <w:sz w:val="24"/>
        </w:rPr>
        <w:t>marches</w:t>
      </w:r>
      <w:r>
        <w:rPr>
          <w:color w:val="231F20"/>
          <w:spacing w:val="-7"/>
          <w:sz w:val="24"/>
        </w:rPr>
        <w:t> </w:t>
      </w:r>
      <w:r>
        <w:rPr>
          <w:color w:val="231F20"/>
          <w:sz w:val="24"/>
        </w:rPr>
        <w:t>du</w:t>
      </w:r>
      <w:r>
        <w:rPr>
          <w:color w:val="231F20"/>
          <w:spacing w:val="-9"/>
          <w:sz w:val="24"/>
        </w:rPr>
        <w:t> </w:t>
      </w:r>
      <w:r>
        <w:rPr>
          <w:color w:val="231F20"/>
          <w:sz w:val="24"/>
        </w:rPr>
        <w:t>développement, </w:t>
      </w:r>
      <w:r>
        <w:rPr>
          <w:color w:val="231F20"/>
          <w:spacing w:val="-2"/>
          <w:sz w:val="24"/>
        </w:rPr>
        <w:t>ont</w:t>
      </w:r>
      <w:r>
        <w:rPr>
          <w:color w:val="231F20"/>
          <w:spacing w:val="-10"/>
          <w:sz w:val="24"/>
        </w:rPr>
        <w:t> </w:t>
      </w:r>
      <w:r>
        <w:rPr>
          <w:color w:val="231F20"/>
          <w:spacing w:val="-2"/>
          <w:sz w:val="24"/>
        </w:rPr>
        <w:t>trouvé</w:t>
      </w:r>
      <w:r>
        <w:rPr>
          <w:color w:val="231F20"/>
          <w:spacing w:val="-11"/>
          <w:sz w:val="24"/>
        </w:rPr>
        <w:t> </w:t>
      </w:r>
      <w:r>
        <w:rPr>
          <w:color w:val="231F20"/>
          <w:spacing w:val="-2"/>
          <w:sz w:val="24"/>
        </w:rPr>
        <w:t>dans</w:t>
      </w:r>
      <w:r>
        <w:rPr>
          <w:color w:val="231F20"/>
          <w:spacing w:val="-10"/>
          <w:sz w:val="24"/>
        </w:rPr>
        <w:t> </w:t>
      </w:r>
      <w:r>
        <w:rPr>
          <w:color w:val="231F20"/>
          <w:spacing w:val="-2"/>
          <w:sz w:val="24"/>
        </w:rPr>
        <w:t>l’aide</w:t>
      </w:r>
      <w:r>
        <w:rPr>
          <w:color w:val="231F20"/>
          <w:spacing w:val="-11"/>
          <w:sz w:val="24"/>
        </w:rPr>
        <w:t> </w:t>
      </w:r>
      <w:r>
        <w:rPr>
          <w:color w:val="231F20"/>
          <w:spacing w:val="-2"/>
          <w:sz w:val="24"/>
        </w:rPr>
        <w:t>au</w:t>
      </w:r>
      <w:r>
        <w:rPr>
          <w:color w:val="231F20"/>
          <w:spacing w:val="-11"/>
          <w:sz w:val="24"/>
        </w:rPr>
        <w:t> </w:t>
      </w:r>
      <w:r>
        <w:rPr>
          <w:color w:val="231F20"/>
          <w:spacing w:val="-2"/>
          <w:sz w:val="24"/>
        </w:rPr>
        <w:t>développement</w:t>
      </w:r>
      <w:r>
        <w:rPr>
          <w:color w:val="231F20"/>
          <w:spacing w:val="-13"/>
          <w:sz w:val="24"/>
        </w:rPr>
        <w:t> </w:t>
      </w:r>
      <w:r>
        <w:rPr>
          <w:color w:val="231F20"/>
          <w:spacing w:val="-2"/>
          <w:sz w:val="24"/>
        </w:rPr>
        <w:t>une</w:t>
      </w:r>
      <w:r>
        <w:rPr>
          <w:color w:val="231F20"/>
          <w:spacing w:val="-11"/>
          <w:sz w:val="24"/>
        </w:rPr>
        <w:t> </w:t>
      </w:r>
      <w:r>
        <w:rPr>
          <w:color w:val="231F20"/>
          <w:spacing w:val="-2"/>
          <w:sz w:val="24"/>
        </w:rPr>
        <w:t>panacée.</w:t>
      </w:r>
      <w:r>
        <w:rPr>
          <w:color w:val="231F20"/>
          <w:spacing w:val="-11"/>
          <w:sz w:val="24"/>
        </w:rPr>
        <w:t> </w:t>
      </w:r>
      <w:r>
        <w:rPr>
          <w:color w:val="231F20"/>
          <w:spacing w:val="-2"/>
          <w:sz w:val="24"/>
        </w:rPr>
        <w:t>Ils</w:t>
      </w:r>
      <w:r>
        <w:rPr>
          <w:color w:val="231F20"/>
          <w:spacing w:val="-11"/>
          <w:sz w:val="24"/>
        </w:rPr>
        <w:t> </w:t>
      </w:r>
      <w:r>
        <w:rPr>
          <w:color w:val="231F20"/>
          <w:spacing w:val="-2"/>
          <w:sz w:val="24"/>
        </w:rPr>
        <w:t>se</w:t>
      </w:r>
      <w:r>
        <w:rPr>
          <w:color w:val="231F20"/>
          <w:spacing w:val="-11"/>
          <w:sz w:val="24"/>
        </w:rPr>
        <w:t> </w:t>
      </w:r>
      <w:r>
        <w:rPr>
          <w:color w:val="231F20"/>
          <w:spacing w:val="-2"/>
          <w:sz w:val="24"/>
        </w:rPr>
        <w:t>pressent</w:t>
      </w:r>
      <w:r>
        <w:rPr>
          <w:color w:val="231F20"/>
          <w:spacing w:val="-10"/>
          <w:sz w:val="24"/>
        </w:rPr>
        <w:t> </w:t>
      </w:r>
      <w:r>
        <w:rPr>
          <w:color w:val="231F20"/>
          <w:spacing w:val="-2"/>
          <w:sz w:val="24"/>
        </w:rPr>
        <w:t>aux quatre</w:t>
      </w:r>
      <w:r>
        <w:rPr>
          <w:color w:val="231F20"/>
          <w:spacing w:val="-12"/>
          <w:sz w:val="24"/>
        </w:rPr>
        <w:t> </w:t>
      </w:r>
      <w:r>
        <w:rPr>
          <w:color w:val="231F20"/>
          <w:spacing w:val="-2"/>
          <w:sz w:val="24"/>
        </w:rPr>
        <w:t>coins</w:t>
      </w:r>
      <w:r>
        <w:rPr>
          <w:color w:val="231F20"/>
          <w:spacing w:val="-13"/>
          <w:sz w:val="24"/>
        </w:rPr>
        <w:t> </w:t>
      </w:r>
      <w:r>
        <w:rPr>
          <w:color w:val="231F20"/>
          <w:spacing w:val="-2"/>
          <w:sz w:val="24"/>
        </w:rPr>
        <w:t>du</w:t>
      </w:r>
      <w:r>
        <w:rPr>
          <w:color w:val="231F20"/>
          <w:spacing w:val="-13"/>
          <w:sz w:val="24"/>
        </w:rPr>
        <w:t> </w:t>
      </w:r>
      <w:r>
        <w:rPr>
          <w:color w:val="231F20"/>
          <w:spacing w:val="-2"/>
          <w:sz w:val="24"/>
        </w:rPr>
        <w:t>monde</w:t>
      </w:r>
      <w:r>
        <w:rPr>
          <w:color w:val="231F20"/>
          <w:spacing w:val="-13"/>
          <w:sz w:val="24"/>
        </w:rPr>
        <w:t> </w:t>
      </w:r>
      <w:r>
        <w:rPr>
          <w:color w:val="231F20"/>
          <w:spacing w:val="-2"/>
          <w:sz w:val="24"/>
        </w:rPr>
        <w:t>pour</w:t>
      </w:r>
      <w:r>
        <w:rPr>
          <w:color w:val="231F20"/>
          <w:spacing w:val="-11"/>
          <w:sz w:val="24"/>
        </w:rPr>
        <w:t> </w:t>
      </w:r>
      <w:r>
        <w:rPr>
          <w:color w:val="231F20"/>
          <w:spacing w:val="-2"/>
          <w:sz w:val="24"/>
        </w:rPr>
        <w:t>demander</w:t>
      </w:r>
      <w:r>
        <w:rPr>
          <w:color w:val="231F20"/>
          <w:spacing w:val="-11"/>
          <w:sz w:val="24"/>
        </w:rPr>
        <w:t> </w:t>
      </w:r>
      <w:r>
        <w:rPr>
          <w:color w:val="231F20"/>
          <w:spacing w:val="-2"/>
          <w:sz w:val="24"/>
        </w:rPr>
        <w:t>aux</w:t>
      </w:r>
      <w:r>
        <w:rPr>
          <w:color w:val="231F20"/>
          <w:spacing w:val="-13"/>
          <w:sz w:val="24"/>
        </w:rPr>
        <w:t> </w:t>
      </w:r>
      <w:r>
        <w:rPr>
          <w:color w:val="231F20"/>
          <w:spacing w:val="-2"/>
          <w:sz w:val="24"/>
        </w:rPr>
        <w:t>autres,</w:t>
      </w:r>
      <w:r>
        <w:rPr>
          <w:color w:val="231F20"/>
          <w:spacing w:val="-13"/>
          <w:sz w:val="24"/>
        </w:rPr>
        <w:t> </w:t>
      </w:r>
      <w:r>
        <w:rPr>
          <w:color w:val="231F20"/>
          <w:spacing w:val="-2"/>
          <w:sz w:val="24"/>
        </w:rPr>
        <w:t>de</w:t>
      </w:r>
      <w:r>
        <w:rPr>
          <w:color w:val="231F20"/>
          <w:spacing w:val="-11"/>
          <w:sz w:val="24"/>
        </w:rPr>
        <w:t> </w:t>
      </w:r>
      <w:r>
        <w:rPr>
          <w:color w:val="231F20"/>
          <w:spacing w:val="-2"/>
          <w:sz w:val="24"/>
        </w:rPr>
        <w:t>l’aide</w:t>
      </w:r>
      <w:r>
        <w:rPr>
          <w:color w:val="231F20"/>
          <w:spacing w:val="-13"/>
          <w:sz w:val="24"/>
        </w:rPr>
        <w:t> </w:t>
      </w:r>
      <w:r>
        <w:rPr>
          <w:color w:val="231F20"/>
          <w:spacing w:val="-2"/>
          <w:sz w:val="24"/>
        </w:rPr>
        <w:t>pour</w:t>
      </w:r>
      <w:r>
        <w:rPr>
          <w:color w:val="231F20"/>
          <w:spacing w:val="-11"/>
          <w:sz w:val="24"/>
        </w:rPr>
        <w:t> </w:t>
      </w:r>
      <w:r>
        <w:rPr>
          <w:color w:val="231F20"/>
          <w:spacing w:val="-2"/>
          <w:sz w:val="24"/>
        </w:rPr>
        <w:t>financer </w:t>
      </w:r>
      <w:r>
        <w:rPr>
          <w:color w:val="231F20"/>
          <w:spacing w:val="-4"/>
          <w:sz w:val="24"/>
        </w:rPr>
        <w:t>l’accès</w:t>
      </w:r>
      <w:r>
        <w:rPr>
          <w:color w:val="231F20"/>
          <w:spacing w:val="-11"/>
          <w:sz w:val="24"/>
        </w:rPr>
        <w:t> </w:t>
      </w:r>
      <w:r>
        <w:rPr>
          <w:color w:val="231F20"/>
          <w:spacing w:val="-4"/>
          <w:sz w:val="24"/>
        </w:rPr>
        <w:t>à</w:t>
      </w:r>
      <w:r>
        <w:rPr>
          <w:color w:val="231F20"/>
          <w:spacing w:val="-10"/>
          <w:sz w:val="24"/>
        </w:rPr>
        <w:t> </w:t>
      </w:r>
      <w:r>
        <w:rPr>
          <w:color w:val="231F20"/>
          <w:spacing w:val="-4"/>
          <w:sz w:val="24"/>
        </w:rPr>
        <w:t>l’eau,</w:t>
      </w:r>
      <w:r>
        <w:rPr>
          <w:color w:val="231F20"/>
          <w:sz w:val="24"/>
        </w:rPr>
        <w:t> </w:t>
      </w:r>
      <w:r>
        <w:rPr>
          <w:color w:val="231F20"/>
          <w:spacing w:val="-4"/>
          <w:sz w:val="24"/>
        </w:rPr>
        <w:t>la</w:t>
      </w:r>
      <w:r>
        <w:rPr>
          <w:color w:val="231F20"/>
          <w:spacing w:val="-9"/>
          <w:sz w:val="24"/>
        </w:rPr>
        <w:t> </w:t>
      </w:r>
      <w:r>
        <w:rPr>
          <w:color w:val="231F20"/>
          <w:spacing w:val="-4"/>
          <w:sz w:val="24"/>
        </w:rPr>
        <w:t>construction</w:t>
      </w:r>
      <w:r>
        <w:rPr>
          <w:color w:val="231F20"/>
          <w:spacing w:val="-9"/>
          <w:sz w:val="24"/>
        </w:rPr>
        <w:t> </w:t>
      </w:r>
      <w:r>
        <w:rPr>
          <w:color w:val="231F20"/>
          <w:spacing w:val="-4"/>
          <w:sz w:val="24"/>
        </w:rPr>
        <w:t>de</w:t>
      </w:r>
      <w:r>
        <w:rPr>
          <w:color w:val="231F20"/>
          <w:spacing w:val="-9"/>
          <w:sz w:val="24"/>
        </w:rPr>
        <w:t> </w:t>
      </w:r>
      <w:r>
        <w:rPr>
          <w:color w:val="231F20"/>
          <w:spacing w:val="-4"/>
          <w:sz w:val="24"/>
        </w:rPr>
        <w:t>routes,</w:t>
      </w:r>
      <w:r>
        <w:rPr>
          <w:color w:val="231F20"/>
          <w:spacing w:val="-9"/>
          <w:sz w:val="24"/>
        </w:rPr>
        <w:t> </w:t>
      </w:r>
      <w:r>
        <w:rPr>
          <w:color w:val="231F20"/>
          <w:spacing w:val="-4"/>
          <w:sz w:val="24"/>
        </w:rPr>
        <w:t>de</w:t>
      </w:r>
      <w:r>
        <w:rPr>
          <w:color w:val="231F20"/>
          <w:spacing w:val="-9"/>
          <w:sz w:val="24"/>
        </w:rPr>
        <w:t> </w:t>
      </w:r>
      <w:r>
        <w:rPr>
          <w:color w:val="231F20"/>
          <w:spacing w:val="-4"/>
          <w:sz w:val="24"/>
        </w:rPr>
        <w:t>ponts,</w:t>
      </w:r>
      <w:r>
        <w:rPr>
          <w:color w:val="231F20"/>
          <w:spacing w:val="-9"/>
          <w:sz w:val="24"/>
        </w:rPr>
        <w:t> </w:t>
      </w:r>
      <w:r>
        <w:rPr>
          <w:color w:val="231F20"/>
          <w:spacing w:val="-4"/>
          <w:sz w:val="24"/>
        </w:rPr>
        <w:t>de</w:t>
      </w:r>
      <w:r>
        <w:rPr>
          <w:color w:val="231F20"/>
          <w:spacing w:val="-11"/>
          <w:sz w:val="24"/>
        </w:rPr>
        <w:t> </w:t>
      </w:r>
      <w:r>
        <w:rPr>
          <w:color w:val="231F20"/>
          <w:spacing w:val="-4"/>
          <w:sz w:val="24"/>
        </w:rPr>
        <w:t>centres</w:t>
      </w:r>
      <w:r>
        <w:rPr>
          <w:color w:val="231F20"/>
          <w:spacing w:val="-9"/>
          <w:sz w:val="24"/>
        </w:rPr>
        <w:t> </w:t>
      </w:r>
      <w:r>
        <w:rPr>
          <w:color w:val="231F20"/>
          <w:spacing w:val="-4"/>
          <w:sz w:val="24"/>
        </w:rPr>
        <w:t>de</w:t>
      </w:r>
      <w:r>
        <w:rPr>
          <w:color w:val="231F20"/>
          <w:spacing w:val="-9"/>
          <w:sz w:val="24"/>
        </w:rPr>
        <w:t> </w:t>
      </w:r>
      <w:r>
        <w:rPr>
          <w:color w:val="231F20"/>
          <w:spacing w:val="-4"/>
          <w:sz w:val="24"/>
        </w:rPr>
        <w:t>soins,</w:t>
      </w:r>
      <w:r>
        <w:rPr>
          <w:color w:val="231F20"/>
          <w:spacing w:val="-9"/>
          <w:sz w:val="24"/>
        </w:rPr>
        <w:t> </w:t>
      </w:r>
      <w:r>
        <w:rPr>
          <w:color w:val="231F20"/>
          <w:spacing w:val="-4"/>
          <w:sz w:val="24"/>
        </w:rPr>
        <w:t>des </w:t>
      </w:r>
      <w:r>
        <w:rPr>
          <w:color w:val="231F20"/>
          <w:sz w:val="24"/>
        </w:rPr>
        <w:t>écoles ou encore…des latrines</w:t>
      </w:r>
      <w:r>
        <w:rPr>
          <w:color w:val="231F20"/>
          <w:spacing w:val="-13"/>
          <w:sz w:val="24"/>
        </w:rPr>
        <w:t> </w:t>
      </w:r>
      <w:r>
        <w:rPr>
          <w:b/>
          <w:color w:val="231F20"/>
          <w:sz w:val="24"/>
        </w:rPr>
        <w:t>: </w:t>
      </w:r>
      <w:r>
        <w:rPr>
          <w:i/>
          <w:color w:val="231F20"/>
          <w:sz w:val="24"/>
        </w:rPr>
        <w:t>«</w:t>
      </w:r>
      <w:r>
        <w:rPr>
          <w:i/>
          <w:color w:val="231F20"/>
          <w:spacing w:val="-15"/>
          <w:sz w:val="24"/>
        </w:rPr>
        <w:t> </w:t>
      </w:r>
      <w:r>
        <w:rPr>
          <w:i/>
          <w:color w:val="231F20"/>
          <w:sz w:val="24"/>
        </w:rPr>
        <w:t>ces aides (…) installent dans nos</w:t>
      </w:r>
      <w:r>
        <w:rPr>
          <w:i/>
          <w:color w:val="231F20"/>
          <w:sz w:val="24"/>
        </w:rPr>
        <w:t> </w:t>
      </w:r>
      <w:r>
        <w:rPr>
          <w:i/>
          <w:color w:val="231F20"/>
          <w:spacing w:val="-4"/>
          <w:sz w:val="24"/>
        </w:rPr>
        <w:t>esprits</w:t>
      </w:r>
      <w:r>
        <w:rPr>
          <w:i/>
          <w:color w:val="231F20"/>
          <w:spacing w:val="-9"/>
          <w:sz w:val="24"/>
        </w:rPr>
        <w:t> </w:t>
      </w:r>
      <w:r>
        <w:rPr>
          <w:i/>
          <w:color w:val="231F20"/>
          <w:spacing w:val="-4"/>
          <w:sz w:val="24"/>
        </w:rPr>
        <w:t>des</w:t>
      </w:r>
      <w:r>
        <w:rPr>
          <w:i/>
          <w:color w:val="231F20"/>
          <w:spacing w:val="-11"/>
          <w:sz w:val="24"/>
        </w:rPr>
        <w:t> </w:t>
      </w:r>
      <w:r>
        <w:rPr>
          <w:i/>
          <w:color w:val="231F20"/>
          <w:spacing w:val="-4"/>
          <w:sz w:val="24"/>
        </w:rPr>
        <w:t>réflexes</w:t>
      </w:r>
      <w:r>
        <w:rPr>
          <w:i/>
          <w:color w:val="231F20"/>
          <w:spacing w:val="-9"/>
          <w:sz w:val="24"/>
        </w:rPr>
        <w:t> </w:t>
      </w:r>
      <w:r>
        <w:rPr>
          <w:i/>
          <w:color w:val="231F20"/>
          <w:spacing w:val="-4"/>
          <w:sz w:val="24"/>
        </w:rPr>
        <w:t>de</w:t>
      </w:r>
      <w:r>
        <w:rPr>
          <w:i/>
          <w:color w:val="231F20"/>
          <w:spacing w:val="-9"/>
          <w:sz w:val="24"/>
        </w:rPr>
        <w:t> </w:t>
      </w:r>
      <w:r>
        <w:rPr>
          <w:i/>
          <w:color w:val="231F20"/>
          <w:spacing w:val="-4"/>
          <w:sz w:val="24"/>
        </w:rPr>
        <w:t>mendiant,</w:t>
      </w:r>
      <w:r>
        <w:rPr>
          <w:i/>
          <w:color w:val="231F20"/>
          <w:spacing w:val="-11"/>
          <w:sz w:val="24"/>
        </w:rPr>
        <w:t> </w:t>
      </w:r>
      <w:r>
        <w:rPr>
          <w:i/>
          <w:color w:val="231F20"/>
          <w:spacing w:val="-4"/>
          <w:sz w:val="24"/>
        </w:rPr>
        <w:t>d’assisté,</w:t>
      </w:r>
      <w:r>
        <w:rPr>
          <w:i/>
          <w:color w:val="231F20"/>
          <w:spacing w:val="-11"/>
          <w:sz w:val="24"/>
        </w:rPr>
        <w:t> </w:t>
      </w:r>
      <w:r>
        <w:rPr>
          <w:i/>
          <w:color w:val="231F20"/>
          <w:spacing w:val="-4"/>
          <w:sz w:val="24"/>
        </w:rPr>
        <w:t>nous</w:t>
      </w:r>
      <w:r>
        <w:rPr>
          <w:i/>
          <w:color w:val="231F20"/>
          <w:spacing w:val="-11"/>
          <w:sz w:val="24"/>
        </w:rPr>
        <w:t> </w:t>
      </w:r>
      <w:r>
        <w:rPr>
          <w:i/>
          <w:color w:val="231F20"/>
          <w:spacing w:val="-4"/>
          <w:sz w:val="24"/>
        </w:rPr>
        <w:t>n’en</w:t>
      </w:r>
      <w:r>
        <w:rPr>
          <w:i/>
          <w:color w:val="231F20"/>
          <w:spacing w:val="-11"/>
          <w:sz w:val="24"/>
        </w:rPr>
        <w:t> </w:t>
      </w:r>
      <w:r>
        <w:rPr>
          <w:i/>
          <w:color w:val="231F20"/>
          <w:spacing w:val="-4"/>
          <w:sz w:val="24"/>
        </w:rPr>
        <w:t>voulons</w:t>
      </w:r>
      <w:r>
        <w:rPr>
          <w:i/>
          <w:color w:val="231F20"/>
          <w:spacing w:val="-9"/>
          <w:sz w:val="24"/>
        </w:rPr>
        <w:t> </w:t>
      </w:r>
      <w:r>
        <w:rPr>
          <w:i/>
          <w:color w:val="231F20"/>
          <w:spacing w:val="-4"/>
          <w:sz w:val="24"/>
        </w:rPr>
        <w:t>plus</w:t>
      </w:r>
      <w:r>
        <w:rPr>
          <w:i/>
          <w:color w:val="231F20"/>
          <w:sz w:val="24"/>
        </w:rPr>
        <w:t> </w:t>
      </w:r>
      <w:r>
        <w:rPr>
          <w:i/>
          <w:color w:val="231F20"/>
          <w:spacing w:val="-4"/>
          <w:sz w:val="24"/>
        </w:rPr>
        <w:t>!</w:t>
      </w:r>
      <w:r>
        <w:rPr>
          <w:i/>
          <w:color w:val="231F20"/>
          <w:spacing w:val="-9"/>
          <w:sz w:val="24"/>
        </w:rPr>
        <w:t> </w:t>
      </w:r>
      <w:r>
        <w:rPr>
          <w:i/>
          <w:color w:val="231F20"/>
          <w:spacing w:val="-4"/>
          <w:sz w:val="24"/>
        </w:rPr>
        <w:t>Il</w:t>
      </w:r>
      <w:r>
        <w:rPr>
          <w:i/>
          <w:color w:val="231F20"/>
          <w:spacing w:val="-7"/>
          <w:sz w:val="24"/>
        </w:rPr>
        <w:t> </w:t>
      </w:r>
      <w:r>
        <w:rPr>
          <w:i/>
          <w:color w:val="231F20"/>
          <w:spacing w:val="-4"/>
          <w:sz w:val="24"/>
        </w:rPr>
        <w:t>faut </w:t>
      </w:r>
      <w:r>
        <w:rPr>
          <w:i/>
          <w:color w:val="231F20"/>
          <w:sz w:val="24"/>
        </w:rPr>
        <w:t>produire</w:t>
      </w:r>
      <w:r>
        <w:rPr>
          <w:i/>
          <w:color w:val="231F20"/>
          <w:spacing w:val="-12"/>
          <w:sz w:val="24"/>
        </w:rPr>
        <w:t> </w:t>
      </w:r>
      <w:r>
        <w:rPr>
          <w:i/>
          <w:color w:val="231F20"/>
          <w:sz w:val="24"/>
        </w:rPr>
        <w:t>plus</w:t>
      </w:r>
      <w:r>
        <w:rPr>
          <w:i/>
          <w:color w:val="231F20"/>
          <w:spacing w:val="-14"/>
          <w:sz w:val="24"/>
        </w:rPr>
        <w:t> </w:t>
      </w:r>
      <w:r>
        <w:rPr>
          <w:i/>
          <w:color w:val="231F20"/>
          <w:sz w:val="24"/>
        </w:rPr>
        <w:t>parce</w:t>
      </w:r>
      <w:r>
        <w:rPr>
          <w:i/>
          <w:color w:val="231F20"/>
          <w:spacing w:val="-12"/>
          <w:sz w:val="24"/>
        </w:rPr>
        <w:t> </w:t>
      </w:r>
      <w:r>
        <w:rPr>
          <w:i/>
          <w:color w:val="231F20"/>
          <w:sz w:val="24"/>
        </w:rPr>
        <w:t>qu’il</w:t>
      </w:r>
      <w:r>
        <w:rPr>
          <w:i/>
          <w:color w:val="231F20"/>
          <w:spacing w:val="-14"/>
          <w:sz w:val="24"/>
        </w:rPr>
        <w:t> </w:t>
      </w:r>
      <w:r>
        <w:rPr>
          <w:i/>
          <w:color w:val="231F20"/>
          <w:sz w:val="24"/>
        </w:rPr>
        <w:t>est</w:t>
      </w:r>
      <w:r>
        <w:rPr>
          <w:i/>
          <w:color w:val="231F20"/>
          <w:spacing w:val="-12"/>
          <w:sz w:val="24"/>
        </w:rPr>
        <w:t> </w:t>
      </w:r>
      <w:r>
        <w:rPr>
          <w:i/>
          <w:color w:val="231F20"/>
          <w:sz w:val="24"/>
        </w:rPr>
        <w:t>normal</w:t>
      </w:r>
      <w:r>
        <w:rPr>
          <w:i/>
          <w:color w:val="231F20"/>
          <w:spacing w:val="-14"/>
          <w:sz w:val="24"/>
        </w:rPr>
        <w:t> </w:t>
      </w:r>
      <w:r>
        <w:rPr>
          <w:i/>
          <w:color w:val="231F20"/>
          <w:sz w:val="24"/>
        </w:rPr>
        <w:t>que</w:t>
      </w:r>
      <w:r>
        <w:rPr>
          <w:i/>
          <w:color w:val="231F20"/>
          <w:spacing w:val="-12"/>
          <w:sz w:val="24"/>
        </w:rPr>
        <w:t> </w:t>
      </w:r>
      <w:r>
        <w:rPr>
          <w:i/>
          <w:color w:val="231F20"/>
          <w:sz w:val="24"/>
        </w:rPr>
        <w:t>celui</w:t>
      </w:r>
      <w:r>
        <w:rPr>
          <w:i/>
          <w:color w:val="231F20"/>
          <w:spacing w:val="-12"/>
          <w:sz w:val="24"/>
        </w:rPr>
        <w:t> </w:t>
      </w:r>
      <w:r>
        <w:rPr>
          <w:i/>
          <w:color w:val="231F20"/>
          <w:sz w:val="24"/>
        </w:rPr>
        <w:t>qui</w:t>
      </w:r>
      <w:r>
        <w:rPr>
          <w:i/>
          <w:color w:val="231F20"/>
          <w:spacing w:val="-12"/>
          <w:sz w:val="24"/>
        </w:rPr>
        <w:t> </w:t>
      </w:r>
      <w:r>
        <w:rPr>
          <w:i/>
          <w:color w:val="231F20"/>
          <w:sz w:val="24"/>
        </w:rPr>
        <w:t>vous</w:t>
      </w:r>
      <w:r>
        <w:rPr>
          <w:i/>
          <w:color w:val="231F20"/>
          <w:spacing w:val="-12"/>
          <w:sz w:val="24"/>
        </w:rPr>
        <w:t> </w:t>
      </w:r>
      <w:r>
        <w:rPr>
          <w:i/>
          <w:color w:val="231F20"/>
          <w:sz w:val="24"/>
        </w:rPr>
        <w:t>donne</w:t>
      </w:r>
      <w:r>
        <w:rPr>
          <w:i/>
          <w:color w:val="231F20"/>
          <w:spacing w:val="-12"/>
          <w:sz w:val="24"/>
        </w:rPr>
        <w:t> </w:t>
      </w:r>
      <w:r>
        <w:rPr>
          <w:i/>
          <w:color w:val="231F20"/>
          <w:sz w:val="24"/>
        </w:rPr>
        <w:t>à</w:t>
      </w:r>
      <w:r>
        <w:rPr>
          <w:i/>
          <w:color w:val="231F20"/>
          <w:spacing w:val="-12"/>
          <w:sz w:val="24"/>
        </w:rPr>
        <w:t> </w:t>
      </w:r>
      <w:r>
        <w:rPr>
          <w:i/>
          <w:color w:val="231F20"/>
          <w:sz w:val="24"/>
        </w:rPr>
        <w:t>manger vous dicte également ses volontés.</w:t>
      </w:r>
      <w:r>
        <w:rPr>
          <w:b/>
          <w:color w:val="76787A"/>
          <w:position w:val="8"/>
          <w:sz w:val="16"/>
        </w:rPr>
        <w:t>260</w:t>
      </w:r>
      <w:r>
        <w:rPr>
          <w:i/>
          <w:color w:val="231F20"/>
          <w:sz w:val="24"/>
        </w:rPr>
        <w:t>»</w:t>
      </w:r>
    </w:p>
    <w:p>
      <w:pPr>
        <w:pStyle w:val="BodyText"/>
        <w:spacing w:before="236"/>
        <w:ind w:left="0"/>
        <w:jc w:val="left"/>
        <w:rPr>
          <w:i/>
        </w:rPr>
      </w:pPr>
    </w:p>
    <w:p>
      <w:pPr>
        <w:pStyle w:val="Heading3"/>
        <w:rPr>
          <w:i/>
        </w:rPr>
      </w:pPr>
      <w:bookmarkStart w:name="_TOC_250007" w:id="36"/>
      <w:r>
        <w:rPr>
          <w:i/>
          <w:color w:val="231F20"/>
          <w:spacing w:val="-2"/>
        </w:rPr>
        <w:t>Depuis</w:t>
      </w:r>
      <w:r>
        <w:rPr>
          <w:i/>
          <w:color w:val="231F20"/>
          <w:spacing w:val="-14"/>
        </w:rPr>
        <w:t> </w:t>
      </w:r>
      <w:r>
        <w:rPr>
          <w:i/>
          <w:color w:val="231F20"/>
          <w:spacing w:val="-2"/>
        </w:rPr>
        <w:t>1960,</w:t>
      </w:r>
      <w:r>
        <w:rPr>
          <w:i/>
          <w:color w:val="231F20"/>
          <w:spacing w:val="-10"/>
        </w:rPr>
        <w:t> </w:t>
      </w:r>
      <w:r>
        <w:rPr>
          <w:i/>
          <w:color w:val="231F20"/>
          <w:spacing w:val="-2"/>
        </w:rPr>
        <w:t>l’Afrique</w:t>
      </w:r>
      <w:r>
        <w:rPr>
          <w:i/>
          <w:color w:val="231F20"/>
          <w:spacing w:val="-11"/>
        </w:rPr>
        <w:t> </w:t>
      </w:r>
      <w:r>
        <w:rPr>
          <w:i/>
          <w:color w:val="231F20"/>
          <w:spacing w:val="-2"/>
        </w:rPr>
        <w:t>reçoit</w:t>
      </w:r>
      <w:r>
        <w:rPr>
          <w:i/>
          <w:color w:val="231F20"/>
          <w:spacing w:val="-11"/>
        </w:rPr>
        <w:t> </w:t>
      </w:r>
      <w:r>
        <w:rPr>
          <w:i/>
          <w:color w:val="231F20"/>
          <w:spacing w:val="-2"/>
        </w:rPr>
        <w:t>des</w:t>
      </w:r>
      <w:r>
        <w:rPr>
          <w:i/>
          <w:color w:val="231F20"/>
          <w:spacing w:val="-12"/>
        </w:rPr>
        <w:t> </w:t>
      </w:r>
      <w:r>
        <w:rPr>
          <w:i/>
          <w:color w:val="231F20"/>
          <w:spacing w:val="-2"/>
        </w:rPr>
        <w:t>aides</w:t>
      </w:r>
      <w:r>
        <w:rPr>
          <w:i/>
          <w:color w:val="231F20"/>
          <w:spacing w:val="-11"/>
        </w:rPr>
        <w:t> </w:t>
      </w:r>
      <w:r>
        <w:rPr>
          <w:i/>
          <w:color w:val="231F20"/>
          <w:spacing w:val="-2"/>
        </w:rPr>
        <w:t>dans</w:t>
      </w:r>
      <w:r>
        <w:rPr>
          <w:i/>
          <w:color w:val="231F20"/>
          <w:spacing w:val="-10"/>
        </w:rPr>
        <w:t> </w:t>
      </w:r>
      <w:r>
        <w:rPr>
          <w:i/>
          <w:color w:val="231F20"/>
          <w:spacing w:val="-2"/>
        </w:rPr>
        <w:t>différents</w:t>
      </w:r>
      <w:r>
        <w:rPr>
          <w:i/>
          <w:color w:val="231F20"/>
          <w:spacing w:val="-9"/>
        </w:rPr>
        <w:t> </w:t>
      </w:r>
      <w:bookmarkEnd w:id="36"/>
      <w:r>
        <w:rPr>
          <w:i/>
          <w:color w:val="231F20"/>
          <w:spacing w:val="-2"/>
        </w:rPr>
        <w:t>domaines.</w:t>
      </w:r>
    </w:p>
    <w:p>
      <w:pPr>
        <w:pStyle w:val="BodyText"/>
        <w:spacing w:before="275"/>
        <w:ind w:right="105" w:firstLine="283"/>
      </w:pPr>
      <w:r>
        <w:rPr>
          <w:color w:val="231F20"/>
        </w:rPr>
        <w:t>Alors que l'agriculture emploie plus de 60</w:t>
      </w:r>
      <w:r>
        <w:rPr>
          <w:color w:val="231F20"/>
          <w:spacing w:val="-12"/>
        </w:rPr>
        <w:t> </w:t>
      </w:r>
      <w:r>
        <w:rPr>
          <w:color w:val="231F20"/>
        </w:rPr>
        <w:t>% de la main-d’œuvre africaine,</w:t>
      </w:r>
      <w:r>
        <w:rPr>
          <w:color w:val="231F20"/>
          <w:spacing w:val="-11"/>
        </w:rPr>
        <w:t> </w:t>
      </w:r>
      <w:r>
        <w:rPr>
          <w:color w:val="231F20"/>
        </w:rPr>
        <w:t>les</w:t>
      </w:r>
      <w:r>
        <w:rPr>
          <w:color w:val="231F20"/>
          <w:spacing w:val="-11"/>
        </w:rPr>
        <w:t> </w:t>
      </w:r>
      <w:r>
        <w:rPr>
          <w:color w:val="231F20"/>
        </w:rPr>
        <w:t>agriculteurs</w:t>
      </w:r>
      <w:r>
        <w:rPr>
          <w:color w:val="231F20"/>
          <w:spacing w:val="-11"/>
        </w:rPr>
        <w:t> </w:t>
      </w:r>
      <w:r>
        <w:rPr>
          <w:color w:val="231F20"/>
        </w:rPr>
        <w:t>à</w:t>
      </w:r>
      <w:r>
        <w:rPr>
          <w:color w:val="231F20"/>
          <w:spacing w:val="-10"/>
        </w:rPr>
        <w:t> </w:t>
      </w:r>
      <w:r>
        <w:rPr>
          <w:color w:val="231F20"/>
        </w:rPr>
        <w:t>l’aide</w:t>
      </w:r>
      <w:r>
        <w:rPr>
          <w:color w:val="231F20"/>
          <w:spacing w:val="-12"/>
        </w:rPr>
        <w:t> </w:t>
      </w:r>
      <w:r>
        <w:rPr>
          <w:color w:val="231F20"/>
        </w:rPr>
        <w:t>d’outils</w:t>
      </w:r>
      <w:r>
        <w:rPr>
          <w:color w:val="231F20"/>
          <w:spacing w:val="-11"/>
        </w:rPr>
        <w:t> </w:t>
      </w:r>
      <w:r>
        <w:rPr>
          <w:color w:val="231F20"/>
        </w:rPr>
        <w:t>du</w:t>
      </w:r>
      <w:r>
        <w:rPr>
          <w:color w:val="231F20"/>
          <w:spacing w:val="-11"/>
        </w:rPr>
        <w:t> </w:t>
      </w:r>
      <w:r>
        <w:rPr>
          <w:color w:val="231F20"/>
        </w:rPr>
        <w:t>siècle</w:t>
      </w:r>
      <w:r>
        <w:rPr>
          <w:color w:val="231F20"/>
          <w:spacing w:val="-14"/>
        </w:rPr>
        <w:t> </w:t>
      </w:r>
      <w:r>
        <w:rPr>
          <w:color w:val="231F20"/>
        </w:rPr>
        <w:t>dernier,</w:t>
      </w:r>
      <w:r>
        <w:rPr>
          <w:color w:val="231F20"/>
          <w:spacing w:val="-11"/>
        </w:rPr>
        <w:t> </w:t>
      </w:r>
      <w:r>
        <w:rPr>
          <w:color w:val="231F20"/>
        </w:rPr>
        <w:t>la</w:t>
      </w:r>
      <w:r>
        <w:rPr>
          <w:color w:val="231F20"/>
          <w:spacing w:val="-12"/>
        </w:rPr>
        <w:t> </w:t>
      </w:r>
      <w:r>
        <w:rPr>
          <w:color w:val="231F20"/>
        </w:rPr>
        <w:t>daba</w:t>
      </w:r>
      <w:r>
        <w:rPr>
          <w:color w:val="231F20"/>
          <w:spacing w:val="-10"/>
        </w:rPr>
        <w:t> </w:t>
      </w:r>
      <w:r>
        <w:rPr>
          <w:color w:val="231F20"/>
        </w:rPr>
        <w:t>et</w:t>
      </w:r>
      <w:r>
        <w:rPr>
          <w:color w:val="231F20"/>
          <w:spacing w:val="-11"/>
        </w:rPr>
        <w:t> </w:t>
      </w:r>
      <w:r>
        <w:rPr>
          <w:color w:val="231F20"/>
        </w:rPr>
        <w:t>la </w:t>
      </w:r>
      <w:r>
        <w:rPr>
          <w:color w:val="231F20"/>
          <w:spacing w:val="-2"/>
        </w:rPr>
        <w:t>machette,</w:t>
      </w:r>
      <w:r>
        <w:rPr>
          <w:color w:val="231F20"/>
          <w:spacing w:val="-15"/>
        </w:rPr>
        <w:t> </w:t>
      </w:r>
      <w:r>
        <w:rPr>
          <w:color w:val="231F20"/>
          <w:spacing w:val="-2"/>
        </w:rPr>
        <w:t>pratiquent</w:t>
      </w:r>
      <w:r>
        <w:rPr>
          <w:color w:val="231F20"/>
          <w:spacing w:val="-13"/>
        </w:rPr>
        <w:t> </w:t>
      </w:r>
      <w:r>
        <w:rPr>
          <w:color w:val="231F20"/>
          <w:spacing w:val="-2"/>
        </w:rPr>
        <w:t>encore</w:t>
      </w:r>
      <w:r>
        <w:rPr>
          <w:color w:val="231F20"/>
          <w:spacing w:val="-13"/>
        </w:rPr>
        <w:t> </w:t>
      </w:r>
      <w:r>
        <w:rPr>
          <w:color w:val="231F20"/>
          <w:spacing w:val="-2"/>
        </w:rPr>
        <w:t>une</w:t>
      </w:r>
      <w:r>
        <w:rPr>
          <w:color w:val="231F20"/>
          <w:spacing w:val="-13"/>
        </w:rPr>
        <w:t> </w:t>
      </w:r>
      <w:r>
        <w:rPr>
          <w:color w:val="231F20"/>
          <w:spacing w:val="-2"/>
        </w:rPr>
        <w:t>agriculture</w:t>
      </w:r>
      <w:r>
        <w:rPr>
          <w:color w:val="231F20"/>
          <w:spacing w:val="-13"/>
        </w:rPr>
        <w:t> </w:t>
      </w:r>
      <w:r>
        <w:rPr>
          <w:color w:val="231F20"/>
          <w:spacing w:val="-2"/>
        </w:rPr>
        <w:t>de</w:t>
      </w:r>
      <w:r>
        <w:rPr>
          <w:color w:val="231F20"/>
          <w:spacing w:val="-13"/>
        </w:rPr>
        <w:t> </w:t>
      </w:r>
      <w:r>
        <w:rPr>
          <w:color w:val="231F20"/>
          <w:spacing w:val="-2"/>
        </w:rPr>
        <w:t>subsistance</w:t>
      </w:r>
      <w:r>
        <w:rPr>
          <w:color w:val="231F20"/>
          <w:spacing w:val="-13"/>
        </w:rPr>
        <w:t> </w:t>
      </w:r>
      <w:r>
        <w:rPr>
          <w:color w:val="231F20"/>
          <w:spacing w:val="-2"/>
        </w:rPr>
        <w:t>sur</w:t>
      </w:r>
      <w:r>
        <w:rPr>
          <w:color w:val="231F20"/>
          <w:spacing w:val="-13"/>
        </w:rPr>
        <w:t> </w:t>
      </w:r>
      <w:r>
        <w:rPr>
          <w:color w:val="231F20"/>
          <w:spacing w:val="-2"/>
        </w:rPr>
        <w:t>des</w:t>
      </w:r>
      <w:r>
        <w:rPr>
          <w:color w:val="231F20"/>
          <w:spacing w:val="-13"/>
        </w:rPr>
        <w:t> </w:t>
      </w:r>
      <w:r>
        <w:rPr>
          <w:color w:val="231F20"/>
          <w:spacing w:val="-2"/>
        </w:rPr>
        <w:t>petites </w:t>
      </w:r>
      <w:r>
        <w:rPr>
          <w:color w:val="231F20"/>
        </w:rPr>
        <w:t>parcelles de moins d’un hectare. Les efforts mis en œuvre par les </w:t>
      </w:r>
      <w:r>
        <w:rPr>
          <w:color w:val="231F20"/>
          <w:spacing w:val="-2"/>
        </w:rPr>
        <w:t>partenaires</w:t>
      </w:r>
      <w:r>
        <w:rPr>
          <w:color w:val="231F20"/>
          <w:spacing w:val="-10"/>
        </w:rPr>
        <w:t> </w:t>
      </w:r>
      <w:r>
        <w:rPr>
          <w:color w:val="231F20"/>
          <w:spacing w:val="-2"/>
        </w:rPr>
        <w:t>au</w:t>
      </w:r>
      <w:r>
        <w:rPr>
          <w:color w:val="231F20"/>
          <w:spacing w:val="-10"/>
        </w:rPr>
        <w:t> </w:t>
      </w:r>
      <w:r>
        <w:rPr>
          <w:color w:val="231F20"/>
          <w:spacing w:val="-2"/>
        </w:rPr>
        <w:t>développement</w:t>
      </w:r>
      <w:r>
        <w:rPr>
          <w:color w:val="231F20"/>
          <w:spacing w:val="-10"/>
        </w:rPr>
        <w:t> </w:t>
      </w:r>
      <w:r>
        <w:rPr>
          <w:color w:val="231F20"/>
          <w:spacing w:val="-2"/>
        </w:rPr>
        <w:t>français,</w:t>
      </w:r>
      <w:r>
        <w:rPr>
          <w:color w:val="231F20"/>
          <w:spacing w:val="-12"/>
        </w:rPr>
        <w:t> </w:t>
      </w:r>
      <w:r>
        <w:rPr>
          <w:color w:val="231F20"/>
          <w:spacing w:val="-2"/>
        </w:rPr>
        <w:t>chinois,</w:t>
      </w:r>
      <w:r>
        <w:rPr>
          <w:color w:val="231F20"/>
          <w:spacing w:val="-10"/>
        </w:rPr>
        <w:t> </w:t>
      </w:r>
      <w:r>
        <w:rPr>
          <w:color w:val="231F20"/>
          <w:spacing w:val="-2"/>
        </w:rPr>
        <w:t>israéliens,</w:t>
      </w:r>
      <w:r>
        <w:rPr>
          <w:color w:val="231F20"/>
          <w:spacing w:val="-10"/>
        </w:rPr>
        <w:t> </w:t>
      </w:r>
      <w:r>
        <w:rPr>
          <w:color w:val="231F20"/>
          <w:spacing w:val="-2"/>
        </w:rPr>
        <w:t>etc.,</w:t>
      </w:r>
      <w:r>
        <w:rPr>
          <w:color w:val="231F20"/>
          <w:spacing w:val="-12"/>
        </w:rPr>
        <w:t> </w:t>
      </w:r>
      <w:r>
        <w:rPr>
          <w:color w:val="231F20"/>
          <w:spacing w:val="-2"/>
        </w:rPr>
        <w:t>n’ont</w:t>
      </w:r>
      <w:r>
        <w:rPr>
          <w:color w:val="231F20"/>
          <w:spacing w:val="-10"/>
        </w:rPr>
        <w:t> </w:t>
      </w:r>
      <w:r>
        <w:rPr>
          <w:color w:val="231F20"/>
          <w:spacing w:val="-2"/>
        </w:rPr>
        <w:t>pas </w:t>
      </w:r>
      <w:r>
        <w:rPr>
          <w:color w:val="231F20"/>
        </w:rPr>
        <w:t>suffi à garantir la sécurité alimentaire des États. L'agriculture dépend toujours des pluies, ce qui la rend vulnérable aux conditions </w:t>
      </w:r>
      <w:r>
        <w:rPr>
          <w:color w:val="231F20"/>
          <w:spacing w:val="-2"/>
        </w:rPr>
        <w:t>météorologiques.</w:t>
      </w:r>
      <w:r>
        <w:rPr>
          <w:color w:val="231F20"/>
          <w:spacing w:val="-8"/>
        </w:rPr>
        <w:t> </w:t>
      </w:r>
      <w:r>
        <w:rPr>
          <w:color w:val="231F20"/>
          <w:spacing w:val="-2"/>
        </w:rPr>
        <w:t>Aux</w:t>
      </w:r>
      <w:r>
        <w:rPr>
          <w:color w:val="231F20"/>
          <w:spacing w:val="-7"/>
        </w:rPr>
        <w:t> </w:t>
      </w:r>
      <w:r>
        <w:rPr>
          <w:color w:val="231F20"/>
          <w:spacing w:val="-2"/>
        </w:rPr>
        <w:t>yeux</w:t>
      </w:r>
      <w:r>
        <w:rPr>
          <w:color w:val="231F20"/>
          <w:spacing w:val="-7"/>
        </w:rPr>
        <w:t> </w:t>
      </w:r>
      <w:r>
        <w:rPr>
          <w:color w:val="231F20"/>
          <w:spacing w:val="-2"/>
        </w:rPr>
        <w:t>des</w:t>
      </w:r>
      <w:r>
        <w:rPr>
          <w:color w:val="231F20"/>
          <w:spacing w:val="-13"/>
        </w:rPr>
        <w:t> </w:t>
      </w:r>
      <w:r>
        <w:rPr>
          <w:color w:val="231F20"/>
          <w:spacing w:val="-2"/>
        </w:rPr>
        <w:t>dirigeants</w:t>
      </w:r>
      <w:r>
        <w:rPr>
          <w:color w:val="231F20"/>
          <w:spacing w:val="-7"/>
        </w:rPr>
        <w:t> </w:t>
      </w:r>
      <w:r>
        <w:rPr>
          <w:color w:val="231F20"/>
          <w:spacing w:val="-2"/>
        </w:rPr>
        <w:t>africains,</w:t>
      </w:r>
      <w:r>
        <w:rPr>
          <w:color w:val="231F20"/>
          <w:spacing w:val="-7"/>
        </w:rPr>
        <w:t> </w:t>
      </w:r>
      <w:r>
        <w:rPr>
          <w:color w:val="231F20"/>
          <w:spacing w:val="-2"/>
        </w:rPr>
        <w:t>il</w:t>
      </w:r>
      <w:r>
        <w:rPr>
          <w:color w:val="231F20"/>
          <w:spacing w:val="-7"/>
        </w:rPr>
        <w:t> </w:t>
      </w:r>
      <w:r>
        <w:rPr>
          <w:color w:val="231F20"/>
          <w:spacing w:val="-2"/>
        </w:rPr>
        <w:t>faut</w:t>
      </w:r>
      <w:r>
        <w:rPr>
          <w:color w:val="231F20"/>
          <w:spacing w:val="-6"/>
        </w:rPr>
        <w:t> </w:t>
      </w:r>
      <w:r>
        <w:rPr>
          <w:color w:val="231F20"/>
          <w:spacing w:val="-2"/>
        </w:rPr>
        <w:t>que</w:t>
      </w:r>
      <w:r>
        <w:rPr>
          <w:color w:val="231F20"/>
          <w:spacing w:val="-10"/>
        </w:rPr>
        <w:t> </w:t>
      </w:r>
      <w:r>
        <w:rPr>
          <w:color w:val="231F20"/>
          <w:spacing w:val="-2"/>
        </w:rPr>
        <w:t>le</w:t>
      </w:r>
      <w:r>
        <w:rPr>
          <w:color w:val="231F20"/>
          <w:spacing w:val="-7"/>
        </w:rPr>
        <w:t> </w:t>
      </w:r>
      <w:r>
        <w:rPr>
          <w:color w:val="231F20"/>
          <w:spacing w:val="-2"/>
        </w:rPr>
        <w:t>monde </w:t>
      </w:r>
      <w:r>
        <w:rPr>
          <w:color w:val="231F20"/>
        </w:rPr>
        <w:t>développé aide davantage à améliorer la productivité agricole et la sécurité alimentaire du continent.</w:t>
      </w:r>
    </w:p>
    <w:p>
      <w:pPr>
        <w:spacing w:before="121"/>
        <w:ind w:left="111" w:right="104" w:firstLine="283"/>
        <w:jc w:val="both"/>
        <w:rPr>
          <w:i/>
          <w:sz w:val="24"/>
        </w:rPr>
      </w:pPr>
      <w:r>
        <w:rPr>
          <w:color w:val="231F20"/>
          <w:sz w:val="24"/>
        </w:rPr>
        <w:t>L’aide,</w:t>
      </w:r>
      <w:r>
        <w:rPr>
          <w:color w:val="231F20"/>
          <w:spacing w:val="-7"/>
          <w:sz w:val="24"/>
        </w:rPr>
        <w:t> </w:t>
      </w:r>
      <w:r>
        <w:rPr>
          <w:color w:val="231F20"/>
          <w:sz w:val="24"/>
        </w:rPr>
        <w:t>une</w:t>
      </w:r>
      <w:r>
        <w:rPr>
          <w:color w:val="231F20"/>
          <w:spacing w:val="-7"/>
          <w:sz w:val="24"/>
        </w:rPr>
        <w:t> </w:t>
      </w:r>
      <w:r>
        <w:rPr>
          <w:color w:val="231F20"/>
          <w:sz w:val="24"/>
        </w:rPr>
        <w:t>fois</w:t>
      </w:r>
      <w:r>
        <w:rPr>
          <w:color w:val="231F20"/>
          <w:spacing w:val="-7"/>
          <w:sz w:val="24"/>
        </w:rPr>
        <w:t> </w:t>
      </w:r>
      <w:r>
        <w:rPr>
          <w:color w:val="231F20"/>
          <w:sz w:val="24"/>
        </w:rPr>
        <w:t>obtenue</w:t>
      </w:r>
      <w:r>
        <w:rPr>
          <w:color w:val="231F20"/>
          <w:spacing w:val="-10"/>
          <w:sz w:val="24"/>
        </w:rPr>
        <w:t> </w:t>
      </w:r>
      <w:r>
        <w:rPr>
          <w:color w:val="231F20"/>
          <w:sz w:val="24"/>
        </w:rPr>
        <w:t>sous</w:t>
      </w:r>
      <w:r>
        <w:rPr>
          <w:color w:val="231F20"/>
          <w:spacing w:val="-7"/>
          <w:sz w:val="24"/>
        </w:rPr>
        <w:t> </w:t>
      </w:r>
      <w:r>
        <w:rPr>
          <w:color w:val="231F20"/>
          <w:sz w:val="24"/>
        </w:rPr>
        <w:t>forme</w:t>
      </w:r>
      <w:r>
        <w:rPr>
          <w:color w:val="231F20"/>
          <w:spacing w:val="-7"/>
          <w:sz w:val="24"/>
        </w:rPr>
        <w:t> </w:t>
      </w:r>
      <w:r>
        <w:rPr>
          <w:color w:val="231F20"/>
          <w:sz w:val="24"/>
        </w:rPr>
        <w:t>de</w:t>
      </w:r>
      <w:r>
        <w:rPr>
          <w:color w:val="231F20"/>
          <w:spacing w:val="-7"/>
          <w:sz w:val="24"/>
        </w:rPr>
        <w:t> </w:t>
      </w:r>
      <w:r>
        <w:rPr>
          <w:color w:val="231F20"/>
          <w:sz w:val="24"/>
        </w:rPr>
        <w:t>prêt</w:t>
      </w:r>
      <w:r>
        <w:rPr>
          <w:color w:val="231F20"/>
          <w:spacing w:val="-6"/>
          <w:sz w:val="24"/>
        </w:rPr>
        <w:t> </w:t>
      </w:r>
      <w:r>
        <w:rPr>
          <w:color w:val="231F20"/>
          <w:sz w:val="24"/>
        </w:rPr>
        <w:t>ou</w:t>
      </w:r>
      <w:r>
        <w:rPr>
          <w:color w:val="231F20"/>
          <w:spacing w:val="-9"/>
          <w:sz w:val="24"/>
        </w:rPr>
        <w:t> </w:t>
      </w:r>
      <w:r>
        <w:rPr>
          <w:color w:val="231F20"/>
          <w:sz w:val="24"/>
        </w:rPr>
        <w:t>de</w:t>
      </w:r>
      <w:r>
        <w:rPr>
          <w:color w:val="231F20"/>
          <w:spacing w:val="-7"/>
          <w:sz w:val="24"/>
        </w:rPr>
        <w:t> </w:t>
      </w:r>
      <w:r>
        <w:rPr>
          <w:color w:val="231F20"/>
          <w:sz w:val="24"/>
        </w:rPr>
        <w:t>don</w:t>
      </w:r>
      <w:r>
        <w:rPr>
          <w:color w:val="231F20"/>
          <w:spacing w:val="-7"/>
          <w:sz w:val="24"/>
        </w:rPr>
        <w:t> </w:t>
      </w:r>
      <w:r>
        <w:rPr>
          <w:color w:val="231F20"/>
          <w:sz w:val="24"/>
        </w:rPr>
        <w:t>à</w:t>
      </w:r>
      <w:r>
        <w:rPr>
          <w:color w:val="231F20"/>
          <w:spacing w:val="-7"/>
          <w:sz w:val="24"/>
        </w:rPr>
        <w:t> </w:t>
      </w:r>
      <w:r>
        <w:rPr>
          <w:color w:val="231F20"/>
          <w:sz w:val="24"/>
        </w:rPr>
        <w:t>la</w:t>
      </w:r>
      <w:r>
        <w:rPr>
          <w:color w:val="231F20"/>
          <w:spacing w:val="-10"/>
          <w:sz w:val="24"/>
        </w:rPr>
        <w:t> </w:t>
      </w:r>
      <w:r>
        <w:rPr>
          <w:color w:val="231F20"/>
          <w:sz w:val="24"/>
        </w:rPr>
        <w:t>suite</w:t>
      </w:r>
      <w:r>
        <w:rPr>
          <w:color w:val="231F20"/>
          <w:spacing w:val="-7"/>
          <w:sz w:val="24"/>
        </w:rPr>
        <w:t> </w:t>
      </w:r>
      <w:r>
        <w:rPr>
          <w:color w:val="231F20"/>
          <w:sz w:val="24"/>
        </w:rPr>
        <w:t>d’un long plaidoyer, est saluée chaleureusement par les dirigeants. Ils </w:t>
      </w:r>
      <w:r>
        <w:rPr>
          <w:color w:val="231F20"/>
          <w:spacing w:val="-4"/>
          <w:sz w:val="24"/>
        </w:rPr>
        <w:t>insisteront</w:t>
      </w:r>
      <w:r>
        <w:rPr>
          <w:color w:val="231F20"/>
          <w:spacing w:val="-11"/>
          <w:sz w:val="24"/>
        </w:rPr>
        <w:t> </w:t>
      </w:r>
      <w:r>
        <w:rPr>
          <w:color w:val="231F20"/>
          <w:spacing w:val="-4"/>
          <w:sz w:val="24"/>
        </w:rPr>
        <w:t>à</w:t>
      </w:r>
      <w:r>
        <w:rPr>
          <w:color w:val="231F20"/>
          <w:spacing w:val="-11"/>
          <w:sz w:val="24"/>
        </w:rPr>
        <w:t> </w:t>
      </w:r>
      <w:r>
        <w:rPr>
          <w:color w:val="231F20"/>
          <w:spacing w:val="-4"/>
          <w:sz w:val="24"/>
        </w:rPr>
        <w:t>la</w:t>
      </w:r>
      <w:r>
        <w:rPr>
          <w:color w:val="231F20"/>
          <w:spacing w:val="-11"/>
          <w:sz w:val="24"/>
        </w:rPr>
        <w:t> </w:t>
      </w:r>
      <w:r>
        <w:rPr>
          <w:color w:val="231F20"/>
          <w:spacing w:val="-4"/>
          <w:sz w:val="24"/>
        </w:rPr>
        <w:t>télévision</w:t>
      </w:r>
      <w:r>
        <w:rPr>
          <w:color w:val="231F20"/>
          <w:spacing w:val="-11"/>
          <w:sz w:val="24"/>
        </w:rPr>
        <w:t> </w:t>
      </w:r>
      <w:r>
        <w:rPr>
          <w:color w:val="231F20"/>
          <w:spacing w:val="-4"/>
          <w:sz w:val="24"/>
        </w:rPr>
        <w:t>d’État</w:t>
      </w:r>
      <w:r>
        <w:rPr>
          <w:color w:val="231F20"/>
          <w:spacing w:val="-11"/>
          <w:sz w:val="24"/>
        </w:rPr>
        <w:t> </w:t>
      </w:r>
      <w:r>
        <w:rPr>
          <w:color w:val="231F20"/>
          <w:spacing w:val="-4"/>
          <w:sz w:val="24"/>
        </w:rPr>
        <w:t>de</w:t>
      </w:r>
      <w:r>
        <w:rPr>
          <w:color w:val="231F20"/>
          <w:spacing w:val="-11"/>
          <w:sz w:val="24"/>
        </w:rPr>
        <w:t> </w:t>
      </w:r>
      <w:r>
        <w:rPr>
          <w:color w:val="231F20"/>
          <w:spacing w:val="-4"/>
          <w:sz w:val="24"/>
        </w:rPr>
        <w:t>leur</w:t>
      </w:r>
      <w:r>
        <w:rPr>
          <w:color w:val="231F20"/>
          <w:spacing w:val="-11"/>
          <w:sz w:val="24"/>
        </w:rPr>
        <w:t> </w:t>
      </w:r>
      <w:r>
        <w:rPr>
          <w:color w:val="231F20"/>
          <w:spacing w:val="-4"/>
          <w:sz w:val="24"/>
        </w:rPr>
        <w:t>pays,</w:t>
      </w:r>
      <w:r>
        <w:rPr>
          <w:color w:val="231F20"/>
          <w:spacing w:val="-11"/>
          <w:sz w:val="24"/>
        </w:rPr>
        <w:t> </w:t>
      </w:r>
      <w:r>
        <w:rPr>
          <w:color w:val="231F20"/>
          <w:spacing w:val="-4"/>
          <w:sz w:val="24"/>
        </w:rPr>
        <w:t>sur</w:t>
      </w:r>
      <w:r>
        <w:rPr>
          <w:color w:val="231F20"/>
          <w:spacing w:val="-11"/>
          <w:sz w:val="24"/>
        </w:rPr>
        <w:t> </w:t>
      </w:r>
      <w:r>
        <w:rPr>
          <w:color w:val="231F20"/>
          <w:spacing w:val="-4"/>
          <w:sz w:val="24"/>
        </w:rPr>
        <w:t>la</w:t>
      </w:r>
      <w:r>
        <w:rPr>
          <w:color w:val="231F20"/>
          <w:spacing w:val="-11"/>
          <w:sz w:val="24"/>
        </w:rPr>
        <w:t> </w:t>
      </w:r>
      <w:r>
        <w:rPr>
          <w:color w:val="231F20"/>
          <w:spacing w:val="-4"/>
          <w:sz w:val="24"/>
        </w:rPr>
        <w:t>«</w:t>
      </w:r>
      <w:r>
        <w:rPr>
          <w:color w:val="231F20"/>
          <w:spacing w:val="-11"/>
          <w:sz w:val="24"/>
        </w:rPr>
        <w:t> </w:t>
      </w:r>
      <w:r>
        <w:rPr>
          <w:color w:val="231F20"/>
          <w:spacing w:val="-4"/>
          <w:sz w:val="24"/>
        </w:rPr>
        <w:t>générosité</w:t>
      </w:r>
      <w:r>
        <w:rPr>
          <w:color w:val="231F20"/>
          <w:spacing w:val="-11"/>
          <w:sz w:val="24"/>
        </w:rPr>
        <w:t> </w:t>
      </w:r>
      <w:r>
        <w:rPr>
          <w:color w:val="231F20"/>
          <w:spacing w:val="-4"/>
          <w:sz w:val="24"/>
        </w:rPr>
        <w:t>»</w:t>
      </w:r>
      <w:r>
        <w:rPr>
          <w:color w:val="231F20"/>
          <w:spacing w:val="-11"/>
          <w:sz w:val="24"/>
        </w:rPr>
        <w:t> </w:t>
      </w:r>
      <w:r>
        <w:rPr>
          <w:color w:val="231F20"/>
          <w:spacing w:val="-4"/>
          <w:sz w:val="24"/>
        </w:rPr>
        <w:t>des</w:t>
      </w:r>
      <w:r>
        <w:rPr>
          <w:color w:val="231F20"/>
          <w:spacing w:val="-11"/>
          <w:sz w:val="24"/>
        </w:rPr>
        <w:t> </w:t>
      </w:r>
      <w:r>
        <w:rPr>
          <w:color w:val="231F20"/>
          <w:spacing w:val="-4"/>
          <w:sz w:val="24"/>
        </w:rPr>
        <w:t>pays </w:t>
      </w:r>
      <w:r>
        <w:rPr>
          <w:color w:val="231F20"/>
          <w:sz w:val="24"/>
        </w:rPr>
        <w:t>riches. Or, l’efficacité de l’aide est très discutable selon un ancien Président</w:t>
      </w:r>
      <w:r>
        <w:rPr>
          <w:color w:val="231F20"/>
          <w:spacing w:val="-6"/>
          <w:sz w:val="24"/>
        </w:rPr>
        <w:t> </w:t>
      </w:r>
      <w:r>
        <w:rPr>
          <w:color w:val="231F20"/>
          <w:sz w:val="24"/>
        </w:rPr>
        <w:t>de</w:t>
      </w:r>
      <w:r>
        <w:rPr>
          <w:color w:val="231F20"/>
          <w:spacing w:val="-7"/>
          <w:sz w:val="24"/>
        </w:rPr>
        <w:t> </w:t>
      </w:r>
      <w:r>
        <w:rPr>
          <w:color w:val="231F20"/>
          <w:sz w:val="24"/>
        </w:rPr>
        <w:t>la</w:t>
      </w:r>
      <w:r>
        <w:rPr>
          <w:color w:val="231F20"/>
          <w:spacing w:val="-6"/>
          <w:sz w:val="24"/>
        </w:rPr>
        <w:t> </w:t>
      </w:r>
      <w:r>
        <w:rPr>
          <w:color w:val="231F20"/>
          <w:sz w:val="24"/>
        </w:rPr>
        <w:t>Banque</w:t>
      </w:r>
      <w:r>
        <w:rPr>
          <w:color w:val="231F20"/>
          <w:spacing w:val="-7"/>
          <w:sz w:val="24"/>
        </w:rPr>
        <w:t> </w:t>
      </w:r>
      <w:r>
        <w:rPr>
          <w:color w:val="231F20"/>
          <w:sz w:val="24"/>
        </w:rPr>
        <w:t>Mondiale:</w:t>
      </w:r>
      <w:r>
        <w:rPr>
          <w:color w:val="231F20"/>
          <w:spacing w:val="-13"/>
          <w:sz w:val="24"/>
        </w:rPr>
        <w:t> </w:t>
      </w:r>
      <w:r>
        <w:rPr>
          <w:color w:val="231F20"/>
          <w:sz w:val="24"/>
        </w:rPr>
        <w:t>«</w:t>
      </w:r>
      <w:r>
        <w:rPr>
          <w:color w:val="231F20"/>
          <w:spacing w:val="-7"/>
          <w:sz w:val="24"/>
        </w:rPr>
        <w:t> </w:t>
      </w:r>
      <w:r>
        <w:rPr>
          <w:i/>
          <w:color w:val="231F20"/>
          <w:sz w:val="24"/>
        </w:rPr>
        <w:t>il</w:t>
      </w:r>
      <w:r>
        <w:rPr>
          <w:i/>
          <w:color w:val="231F20"/>
          <w:spacing w:val="-5"/>
          <w:sz w:val="24"/>
        </w:rPr>
        <w:t> </w:t>
      </w:r>
      <w:r>
        <w:rPr>
          <w:i/>
          <w:color w:val="231F20"/>
          <w:sz w:val="24"/>
        </w:rPr>
        <w:t>y</w:t>
      </w:r>
      <w:r>
        <w:rPr>
          <w:i/>
          <w:color w:val="231F20"/>
          <w:spacing w:val="-8"/>
          <w:sz w:val="24"/>
        </w:rPr>
        <w:t> </w:t>
      </w:r>
      <w:r>
        <w:rPr>
          <w:i/>
          <w:color w:val="231F20"/>
          <w:sz w:val="24"/>
        </w:rPr>
        <w:t>a</w:t>
      </w:r>
      <w:r>
        <w:rPr>
          <w:i/>
          <w:color w:val="231F20"/>
          <w:spacing w:val="-6"/>
          <w:sz w:val="24"/>
        </w:rPr>
        <w:t> </w:t>
      </w:r>
      <w:r>
        <w:rPr>
          <w:i/>
          <w:color w:val="231F20"/>
          <w:sz w:val="24"/>
        </w:rPr>
        <w:t>plus</w:t>
      </w:r>
      <w:r>
        <w:rPr>
          <w:i/>
          <w:color w:val="231F20"/>
          <w:spacing w:val="-5"/>
          <w:sz w:val="24"/>
        </w:rPr>
        <w:t> </w:t>
      </w:r>
      <w:r>
        <w:rPr>
          <w:i/>
          <w:color w:val="231F20"/>
          <w:sz w:val="24"/>
        </w:rPr>
        <w:t>de</w:t>
      </w:r>
      <w:r>
        <w:rPr>
          <w:i/>
          <w:color w:val="231F20"/>
          <w:spacing w:val="-8"/>
          <w:sz w:val="24"/>
        </w:rPr>
        <w:t> </w:t>
      </w:r>
      <w:r>
        <w:rPr>
          <w:i/>
          <w:color w:val="231F20"/>
          <w:sz w:val="24"/>
        </w:rPr>
        <w:t>1500</w:t>
      </w:r>
      <w:r>
        <w:rPr>
          <w:i/>
          <w:color w:val="231F20"/>
          <w:spacing w:val="-6"/>
          <w:sz w:val="24"/>
        </w:rPr>
        <w:t> </w:t>
      </w:r>
      <w:r>
        <w:rPr>
          <w:i/>
          <w:color w:val="231F20"/>
          <w:sz w:val="24"/>
        </w:rPr>
        <w:t>projets</w:t>
      </w:r>
      <w:r>
        <w:rPr>
          <w:i/>
          <w:color w:val="231F20"/>
          <w:spacing w:val="-7"/>
          <w:sz w:val="24"/>
        </w:rPr>
        <w:t> </w:t>
      </w:r>
      <w:r>
        <w:rPr>
          <w:i/>
          <w:color w:val="231F20"/>
          <w:sz w:val="24"/>
        </w:rPr>
        <w:t>en</w:t>
      </w:r>
      <w:r>
        <w:rPr>
          <w:i/>
          <w:color w:val="231F20"/>
          <w:spacing w:val="-6"/>
          <w:sz w:val="24"/>
        </w:rPr>
        <w:t> </w:t>
      </w:r>
      <w:r>
        <w:rPr>
          <w:i/>
          <w:color w:val="231F20"/>
          <w:sz w:val="24"/>
        </w:rPr>
        <w:t>cours</w:t>
      </w:r>
      <w:r>
        <w:rPr>
          <w:i/>
          <w:color w:val="231F20"/>
          <w:sz w:val="24"/>
        </w:rPr>
        <w:t> </w:t>
      </w:r>
      <w:r>
        <w:rPr>
          <w:i/>
          <w:color w:val="231F20"/>
          <w:spacing w:val="-2"/>
          <w:sz w:val="24"/>
        </w:rPr>
        <w:t>au</w:t>
      </w:r>
      <w:r>
        <w:rPr>
          <w:i/>
          <w:color w:val="231F20"/>
          <w:spacing w:val="-13"/>
          <w:sz w:val="24"/>
        </w:rPr>
        <w:t> </w:t>
      </w:r>
      <w:r>
        <w:rPr>
          <w:i/>
          <w:color w:val="231F20"/>
          <w:spacing w:val="-2"/>
          <w:sz w:val="24"/>
        </w:rPr>
        <w:t>Burkina</w:t>
      </w:r>
      <w:r>
        <w:rPr>
          <w:i/>
          <w:color w:val="231F20"/>
          <w:spacing w:val="-13"/>
          <w:sz w:val="24"/>
        </w:rPr>
        <w:t> </w:t>
      </w:r>
      <w:r>
        <w:rPr>
          <w:i/>
          <w:color w:val="231F20"/>
          <w:spacing w:val="-2"/>
          <w:sz w:val="24"/>
        </w:rPr>
        <w:t>Faso,</w:t>
      </w:r>
      <w:r>
        <w:rPr>
          <w:i/>
          <w:color w:val="231F20"/>
          <w:spacing w:val="-13"/>
          <w:sz w:val="24"/>
        </w:rPr>
        <w:t> </w:t>
      </w:r>
      <w:r>
        <w:rPr>
          <w:i/>
          <w:color w:val="231F20"/>
          <w:spacing w:val="-2"/>
          <w:sz w:val="24"/>
        </w:rPr>
        <w:t>et</w:t>
      </w:r>
      <w:r>
        <w:rPr>
          <w:i/>
          <w:color w:val="231F20"/>
          <w:spacing w:val="-13"/>
          <w:sz w:val="24"/>
        </w:rPr>
        <w:t> </w:t>
      </w:r>
      <w:r>
        <w:rPr>
          <w:i/>
          <w:color w:val="231F20"/>
          <w:spacing w:val="-2"/>
          <w:sz w:val="24"/>
        </w:rPr>
        <w:t>63</w:t>
      </w:r>
      <w:r>
        <w:rPr>
          <w:i/>
          <w:color w:val="231F20"/>
          <w:spacing w:val="-13"/>
          <w:sz w:val="24"/>
        </w:rPr>
        <w:t> </w:t>
      </w:r>
      <w:r>
        <w:rPr>
          <w:i/>
          <w:color w:val="231F20"/>
          <w:spacing w:val="-2"/>
          <w:sz w:val="24"/>
        </w:rPr>
        <w:t>000</w:t>
      </w:r>
      <w:r>
        <w:rPr>
          <w:i/>
          <w:color w:val="231F20"/>
          <w:spacing w:val="-13"/>
          <w:sz w:val="24"/>
        </w:rPr>
        <w:t> </w:t>
      </w:r>
      <w:r>
        <w:rPr>
          <w:i/>
          <w:color w:val="231F20"/>
          <w:spacing w:val="-2"/>
          <w:sz w:val="24"/>
        </w:rPr>
        <w:t>dans</w:t>
      </w:r>
      <w:r>
        <w:rPr>
          <w:i/>
          <w:color w:val="231F20"/>
          <w:spacing w:val="-13"/>
          <w:sz w:val="24"/>
        </w:rPr>
        <w:t> </w:t>
      </w:r>
      <w:r>
        <w:rPr>
          <w:i/>
          <w:color w:val="231F20"/>
          <w:spacing w:val="-2"/>
          <w:sz w:val="24"/>
        </w:rPr>
        <w:t>l’ensemble</w:t>
      </w:r>
      <w:r>
        <w:rPr>
          <w:i/>
          <w:color w:val="231F20"/>
          <w:spacing w:val="-13"/>
          <w:sz w:val="24"/>
        </w:rPr>
        <w:t> </w:t>
      </w:r>
      <w:r>
        <w:rPr>
          <w:i/>
          <w:color w:val="231F20"/>
          <w:spacing w:val="-2"/>
          <w:sz w:val="24"/>
        </w:rPr>
        <w:t>des</w:t>
      </w:r>
      <w:r>
        <w:rPr>
          <w:i/>
          <w:color w:val="231F20"/>
          <w:spacing w:val="-13"/>
          <w:sz w:val="24"/>
        </w:rPr>
        <w:t> </w:t>
      </w:r>
      <w:r>
        <w:rPr>
          <w:i/>
          <w:color w:val="231F20"/>
          <w:spacing w:val="-2"/>
          <w:sz w:val="24"/>
        </w:rPr>
        <w:t>pays</w:t>
      </w:r>
      <w:r>
        <w:rPr>
          <w:i/>
          <w:color w:val="231F20"/>
          <w:spacing w:val="-13"/>
          <w:sz w:val="24"/>
        </w:rPr>
        <w:t> </w:t>
      </w:r>
      <w:r>
        <w:rPr>
          <w:i/>
          <w:color w:val="231F20"/>
          <w:spacing w:val="-2"/>
          <w:sz w:val="24"/>
        </w:rPr>
        <w:t>en</w:t>
      </w:r>
      <w:r>
        <w:rPr>
          <w:i/>
          <w:color w:val="231F20"/>
          <w:spacing w:val="-13"/>
          <w:sz w:val="24"/>
        </w:rPr>
        <w:t> </w:t>
      </w:r>
      <w:r>
        <w:rPr>
          <w:i/>
          <w:color w:val="231F20"/>
          <w:spacing w:val="-2"/>
          <w:sz w:val="24"/>
        </w:rPr>
        <w:t>développement</w:t>
      </w:r>
      <w:r>
        <w:rPr>
          <w:i/>
          <w:color w:val="231F20"/>
          <w:spacing w:val="-12"/>
          <w:sz w:val="24"/>
        </w:rPr>
        <w:t> </w:t>
      </w:r>
      <w:r>
        <w:rPr>
          <w:i/>
          <w:color w:val="231F20"/>
          <w:spacing w:val="-2"/>
          <w:sz w:val="24"/>
        </w:rPr>
        <w:t>; </w:t>
      </w:r>
      <w:r>
        <w:rPr>
          <w:i/>
          <w:color w:val="231F20"/>
          <w:sz w:val="24"/>
        </w:rPr>
        <w:t>mais</w:t>
      </w:r>
      <w:r>
        <w:rPr>
          <w:i/>
          <w:color w:val="231F20"/>
          <w:spacing w:val="-3"/>
          <w:sz w:val="24"/>
        </w:rPr>
        <w:t> </w:t>
      </w:r>
      <w:r>
        <w:rPr>
          <w:i/>
          <w:color w:val="231F20"/>
          <w:sz w:val="24"/>
        </w:rPr>
        <w:t>les frais d’étude, de</w:t>
      </w:r>
      <w:r>
        <w:rPr>
          <w:i/>
          <w:color w:val="231F20"/>
          <w:spacing w:val="-1"/>
          <w:sz w:val="24"/>
        </w:rPr>
        <w:t> </w:t>
      </w:r>
      <w:r>
        <w:rPr>
          <w:i/>
          <w:color w:val="231F20"/>
          <w:sz w:val="24"/>
        </w:rPr>
        <w:t>voyage</w:t>
      </w:r>
      <w:r>
        <w:rPr>
          <w:i/>
          <w:color w:val="231F20"/>
          <w:spacing w:val="2"/>
          <w:sz w:val="24"/>
        </w:rPr>
        <w:t> </w:t>
      </w:r>
      <w:r>
        <w:rPr>
          <w:i/>
          <w:color w:val="231F20"/>
          <w:sz w:val="24"/>
        </w:rPr>
        <w:t>et</w:t>
      </w:r>
      <w:r>
        <w:rPr>
          <w:i/>
          <w:color w:val="231F20"/>
          <w:spacing w:val="1"/>
          <w:sz w:val="24"/>
        </w:rPr>
        <w:t> </w:t>
      </w:r>
      <w:r>
        <w:rPr>
          <w:i/>
          <w:color w:val="231F20"/>
          <w:sz w:val="24"/>
        </w:rPr>
        <w:t>de séjour d’experts originaires </w:t>
      </w:r>
      <w:r>
        <w:rPr>
          <w:i/>
          <w:color w:val="231F20"/>
          <w:spacing w:val="-5"/>
          <w:sz w:val="24"/>
        </w:rPr>
        <w:t>des</w:t>
      </w:r>
    </w:p>
    <w:p>
      <w:pPr>
        <w:pStyle w:val="BodyText"/>
        <w:ind w:left="0"/>
        <w:jc w:val="left"/>
        <w:rPr>
          <w:i/>
          <w:sz w:val="20"/>
        </w:rPr>
      </w:pPr>
    </w:p>
    <w:p>
      <w:pPr>
        <w:pStyle w:val="BodyText"/>
        <w:ind w:left="0"/>
        <w:jc w:val="left"/>
        <w:rPr>
          <w:i/>
          <w:sz w:val="20"/>
        </w:rPr>
      </w:pPr>
    </w:p>
    <w:p>
      <w:pPr>
        <w:pStyle w:val="BodyText"/>
        <w:ind w:left="0"/>
        <w:jc w:val="left"/>
        <w:rPr>
          <w:i/>
          <w:sz w:val="20"/>
        </w:rPr>
      </w:pPr>
    </w:p>
    <w:p>
      <w:pPr>
        <w:pStyle w:val="BodyText"/>
        <w:spacing w:before="65"/>
        <w:ind w:left="0"/>
        <w:jc w:val="left"/>
        <w:rPr>
          <w:i/>
          <w:sz w:val="20"/>
        </w:rPr>
      </w:pPr>
      <w:r>
        <w:rPr/>
        <mc:AlternateContent>
          <mc:Choice Requires="wps">
            <w:drawing>
              <wp:anchor distT="0" distB="0" distL="0" distR="0" allowOverlap="1" layoutInCell="1" locked="0" behindDoc="1" simplePos="0" relativeHeight="487666688">
                <wp:simplePos x="0" y="0"/>
                <wp:positionH relativeFrom="page">
                  <wp:posOffset>629907</wp:posOffset>
                </wp:positionH>
                <wp:positionV relativeFrom="paragraph">
                  <wp:posOffset>202949</wp:posOffset>
                </wp:positionV>
                <wp:extent cx="1829435" cy="9525"/>
                <wp:effectExtent l="0" t="0" r="0" b="0"/>
                <wp:wrapTopAndBottom/>
                <wp:docPr id="186" name="Graphic 186"/>
                <wp:cNvGraphicFramePr>
                  <a:graphicFrameLocks/>
                </wp:cNvGraphicFramePr>
                <a:graphic>
                  <a:graphicData uri="http://schemas.microsoft.com/office/word/2010/wordprocessingShape">
                    <wps:wsp>
                      <wps:cNvPr id="186" name="Graphic 18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980273pt;width:144.020pt;height:.72pt;mso-position-horizontal-relative:page;mso-position-vertical-relative:paragraph;z-index:-15649792;mso-wrap-distance-left:0;mso-wrap-distance-right:0" id="docshape184"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260</w:t>
      </w:r>
      <w:r>
        <w:rPr>
          <w:color w:val="231F20"/>
          <w:spacing w:val="-2"/>
          <w:sz w:val="20"/>
          <w:vertAlign w:val="baseline"/>
        </w:rPr>
        <w:t>Thomas</w:t>
      </w:r>
      <w:r>
        <w:rPr>
          <w:color w:val="231F20"/>
          <w:spacing w:val="-8"/>
          <w:sz w:val="20"/>
          <w:vertAlign w:val="baseline"/>
        </w:rPr>
        <w:t> </w:t>
      </w:r>
      <w:r>
        <w:rPr>
          <w:color w:val="231F20"/>
          <w:spacing w:val="-2"/>
          <w:sz w:val="20"/>
          <w:vertAlign w:val="baseline"/>
        </w:rPr>
        <w:t>Sankara</w:t>
      </w:r>
      <w:r>
        <w:rPr>
          <w:color w:val="231F20"/>
          <w:spacing w:val="-8"/>
          <w:sz w:val="20"/>
          <w:vertAlign w:val="baseline"/>
        </w:rPr>
        <w:t> </w:t>
      </w:r>
      <w:r>
        <w:rPr>
          <w:color w:val="231F20"/>
          <w:spacing w:val="-2"/>
          <w:sz w:val="20"/>
          <w:vertAlign w:val="baseline"/>
        </w:rPr>
        <w:t>(</w:t>
      </w:r>
      <w:r>
        <w:rPr>
          <w:color w:val="48484A"/>
          <w:spacing w:val="-2"/>
          <w:sz w:val="20"/>
          <w:vertAlign w:val="baseline"/>
        </w:rPr>
        <w:t>21</w:t>
      </w:r>
      <w:r>
        <w:rPr>
          <w:color w:val="48484A"/>
          <w:spacing w:val="-6"/>
          <w:sz w:val="20"/>
          <w:vertAlign w:val="baseline"/>
        </w:rPr>
        <w:t> </w:t>
      </w:r>
      <w:r>
        <w:rPr>
          <w:color w:val="48484A"/>
          <w:spacing w:val="-2"/>
          <w:sz w:val="20"/>
          <w:vertAlign w:val="baseline"/>
        </w:rPr>
        <w:t>décembre</w:t>
      </w:r>
      <w:r>
        <w:rPr>
          <w:color w:val="48484A"/>
          <w:spacing w:val="-8"/>
          <w:sz w:val="20"/>
          <w:vertAlign w:val="baseline"/>
        </w:rPr>
        <w:t> </w:t>
      </w:r>
      <w:r>
        <w:rPr>
          <w:color w:val="48484A"/>
          <w:spacing w:val="-2"/>
          <w:sz w:val="20"/>
          <w:vertAlign w:val="baseline"/>
        </w:rPr>
        <w:t>1949-15</w:t>
      </w:r>
      <w:r>
        <w:rPr>
          <w:color w:val="48484A"/>
          <w:spacing w:val="-6"/>
          <w:sz w:val="20"/>
          <w:vertAlign w:val="baseline"/>
        </w:rPr>
        <w:t> </w:t>
      </w:r>
      <w:r>
        <w:rPr>
          <w:color w:val="48484A"/>
          <w:spacing w:val="-2"/>
          <w:sz w:val="20"/>
          <w:vertAlign w:val="baseline"/>
        </w:rPr>
        <w:t>octobre</w:t>
      </w:r>
      <w:r>
        <w:rPr>
          <w:color w:val="48484A"/>
          <w:spacing w:val="-7"/>
          <w:sz w:val="20"/>
          <w:vertAlign w:val="baseline"/>
        </w:rPr>
        <w:t> </w:t>
      </w:r>
      <w:r>
        <w:rPr>
          <w:color w:val="48484A"/>
          <w:spacing w:val="-2"/>
          <w:sz w:val="20"/>
          <w:vertAlign w:val="baseline"/>
        </w:rPr>
        <w:t>1987)</w:t>
      </w:r>
      <w:r>
        <w:rPr>
          <w:color w:val="231F20"/>
          <w:spacing w:val="-2"/>
          <w:sz w:val="20"/>
          <w:vertAlign w:val="baseline"/>
        </w:rPr>
        <w:t>,</w:t>
      </w:r>
      <w:r>
        <w:rPr>
          <w:color w:val="231F20"/>
          <w:spacing w:val="-6"/>
          <w:sz w:val="20"/>
          <w:vertAlign w:val="baseline"/>
        </w:rPr>
        <w:t> </w:t>
      </w:r>
      <w:r>
        <w:rPr>
          <w:color w:val="231F20"/>
          <w:spacing w:val="-2"/>
          <w:sz w:val="20"/>
          <w:vertAlign w:val="baseline"/>
        </w:rPr>
        <w:t>Ancien</w:t>
      </w:r>
      <w:r>
        <w:rPr>
          <w:color w:val="231F20"/>
          <w:spacing w:val="-6"/>
          <w:sz w:val="20"/>
          <w:vertAlign w:val="baseline"/>
        </w:rPr>
        <w:t> </w:t>
      </w:r>
      <w:r>
        <w:rPr>
          <w:color w:val="231F20"/>
          <w:spacing w:val="-2"/>
          <w:sz w:val="20"/>
          <w:vertAlign w:val="baseline"/>
        </w:rPr>
        <w:t>Président</w:t>
      </w:r>
      <w:r>
        <w:rPr>
          <w:color w:val="231F20"/>
          <w:spacing w:val="-7"/>
          <w:sz w:val="20"/>
          <w:vertAlign w:val="baseline"/>
        </w:rPr>
        <w:t> </w:t>
      </w:r>
      <w:r>
        <w:rPr>
          <w:color w:val="231F20"/>
          <w:spacing w:val="-2"/>
          <w:sz w:val="20"/>
          <w:vertAlign w:val="baseline"/>
        </w:rPr>
        <w:t>du</w:t>
      </w:r>
      <w:r>
        <w:rPr>
          <w:color w:val="231F20"/>
          <w:spacing w:val="-6"/>
          <w:sz w:val="20"/>
          <w:vertAlign w:val="baseline"/>
        </w:rPr>
        <w:t> </w:t>
      </w:r>
      <w:r>
        <w:rPr>
          <w:color w:val="231F20"/>
          <w:spacing w:val="-2"/>
          <w:sz w:val="20"/>
          <w:vertAlign w:val="baseline"/>
        </w:rPr>
        <w:t>Burkina </w:t>
      </w:r>
      <w:r>
        <w:rPr>
          <w:color w:val="231F20"/>
          <w:sz w:val="20"/>
          <w:vertAlign w:val="baseline"/>
        </w:rPr>
        <w:t>Faso,</w:t>
      </w:r>
      <w:r>
        <w:rPr>
          <w:color w:val="231F20"/>
          <w:spacing w:val="-5"/>
          <w:sz w:val="20"/>
          <w:vertAlign w:val="baseline"/>
        </w:rPr>
        <w:t> </w:t>
      </w:r>
      <w:r>
        <w:rPr>
          <w:color w:val="231F20"/>
          <w:sz w:val="20"/>
          <w:vertAlign w:val="baseline"/>
        </w:rPr>
        <w:t>assassiné.</w:t>
      </w:r>
    </w:p>
    <w:p>
      <w:pPr>
        <w:spacing w:after="0"/>
        <w:jc w:val="left"/>
        <w:rPr>
          <w:sz w:val="20"/>
        </w:rPr>
        <w:sectPr>
          <w:pgSz w:w="8790" w:h="13610"/>
          <w:pgMar w:header="0" w:footer="802" w:top="1060" w:bottom="1000" w:left="880" w:right="880"/>
        </w:sectPr>
      </w:pPr>
    </w:p>
    <w:p>
      <w:pPr>
        <w:spacing w:before="66"/>
        <w:ind w:left="111" w:right="104" w:firstLine="0"/>
        <w:jc w:val="both"/>
        <w:rPr>
          <w:sz w:val="24"/>
        </w:rPr>
      </w:pPr>
      <w:r>
        <w:rPr>
          <w:i/>
          <w:color w:val="231F20"/>
          <w:spacing w:val="-4"/>
          <w:sz w:val="24"/>
        </w:rPr>
        <w:t>pays</w:t>
      </w:r>
      <w:r>
        <w:rPr>
          <w:i/>
          <w:color w:val="231F20"/>
          <w:spacing w:val="-10"/>
          <w:sz w:val="24"/>
        </w:rPr>
        <w:t> </w:t>
      </w:r>
      <w:r>
        <w:rPr>
          <w:i/>
          <w:color w:val="231F20"/>
          <w:spacing w:val="-4"/>
          <w:sz w:val="24"/>
        </w:rPr>
        <w:t>industrialisés</w:t>
      </w:r>
      <w:r>
        <w:rPr>
          <w:i/>
          <w:color w:val="231F20"/>
          <w:spacing w:val="-10"/>
          <w:sz w:val="24"/>
        </w:rPr>
        <w:t> </w:t>
      </w:r>
      <w:r>
        <w:rPr>
          <w:i/>
          <w:color w:val="231F20"/>
          <w:spacing w:val="-4"/>
          <w:sz w:val="24"/>
        </w:rPr>
        <w:t>sont</w:t>
      </w:r>
      <w:r>
        <w:rPr>
          <w:i/>
          <w:color w:val="231F20"/>
          <w:spacing w:val="-9"/>
          <w:sz w:val="24"/>
        </w:rPr>
        <w:t> </w:t>
      </w:r>
      <w:r>
        <w:rPr>
          <w:i/>
          <w:color w:val="231F20"/>
          <w:spacing w:val="-4"/>
          <w:sz w:val="24"/>
        </w:rPr>
        <w:t>très</w:t>
      </w:r>
      <w:r>
        <w:rPr>
          <w:i/>
          <w:color w:val="231F20"/>
          <w:spacing w:val="-8"/>
          <w:sz w:val="24"/>
        </w:rPr>
        <w:t> </w:t>
      </w:r>
      <w:r>
        <w:rPr>
          <w:i/>
          <w:color w:val="231F20"/>
          <w:spacing w:val="-4"/>
          <w:sz w:val="24"/>
        </w:rPr>
        <w:t>élevés</w:t>
      </w:r>
      <w:r>
        <w:rPr>
          <w:i/>
          <w:color w:val="231F20"/>
          <w:spacing w:val="-10"/>
          <w:sz w:val="24"/>
        </w:rPr>
        <w:t> </w:t>
      </w:r>
      <w:r>
        <w:rPr>
          <w:i/>
          <w:color w:val="231F20"/>
          <w:spacing w:val="-4"/>
          <w:sz w:val="24"/>
        </w:rPr>
        <w:t>et</w:t>
      </w:r>
      <w:r>
        <w:rPr>
          <w:i/>
          <w:color w:val="231F20"/>
          <w:spacing w:val="-9"/>
          <w:sz w:val="24"/>
        </w:rPr>
        <w:t> </w:t>
      </w:r>
      <w:r>
        <w:rPr>
          <w:i/>
          <w:color w:val="231F20"/>
          <w:spacing w:val="-4"/>
          <w:sz w:val="24"/>
        </w:rPr>
        <w:t>absorbent</w:t>
      </w:r>
      <w:r>
        <w:rPr>
          <w:i/>
          <w:color w:val="231F20"/>
          <w:spacing w:val="-7"/>
          <w:sz w:val="24"/>
        </w:rPr>
        <w:t> </w:t>
      </w:r>
      <w:r>
        <w:rPr>
          <w:i/>
          <w:color w:val="231F20"/>
          <w:spacing w:val="-4"/>
          <w:sz w:val="24"/>
        </w:rPr>
        <w:t>entre</w:t>
      </w:r>
      <w:r>
        <w:rPr>
          <w:i/>
          <w:color w:val="231F20"/>
          <w:spacing w:val="-8"/>
          <w:sz w:val="24"/>
        </w:rPr>
        <w:t> </w:t>
      </w:r>
      <w:r>
        <w:rPr>
          <w:i/>
          <w:color w:val="231F20"/>
          <w:spacing w:val="-4"/>
          <w:sz w:val="24"/>
        </w:rPr>
        <w:t>20</w:t>
      </w:r>
      <w:r>
        <w:rPr>
          <w:i/>
          <w:color w:val="231F20"/>
          <w:spacing w:val="-8"/>
          <w:sz w:val="24"/>
        </w:rPr>
        <w:t> </w:t>
      </w:r>
      <w:r>
        <w:rPr>
          <w:i/>
          <w:color w:val="231F20"/>
          <w:spacing w:val="-4"/>
          <w:sz w:val="24"/>
        </w:rPr>
        <w:t>et</w:t>
      </w:r>
      <w:r>
        <w:rPr>
          <w:i/>
          <w:color w:val="231F20"/>
          <w:spacing w:val="-9"/>
          <w:sz w:val="24"/>
        </w:rPr>
        <w:t> </w:t>
      </w:r>
      <w:r>
        <w:rPr>
          <w:i/>
          <w:color w:val="231F20"/>
          <w:spacing w:val="-4"/>
          <w:sz w:val="24"/>
        </w:rPr>
        <w:t>25</w:t>
      </w:r>
      <w:r>
        <w:rPr>
          <w:i/>
          <w:color w:val="231F20"/>
          <w:sz w:val="24"/>
        </w:rPr>
        <w:t> </w:t>
      </w:r>
      <w:r>
        <w:rPr>
          <w:i/>
          <w:color w:val="231F20"/>
          <w:spacing w:val="-4"/>
          <w:sz w:val="24"/>
        </w:rPr>
        <w:t>%</w:t>
      </w:r>
      <w:r>
        <w:rPr>
          <w:i/>
          <w:color w:val="231F20"/>
          <w:spacing w:val="-8"/>
          <w:sz w:val="24"/>
        </w:rPr>
        <w:t> </w:t>
      </w:r>
      <w:r>
        <w:rPr>
          <w:i/>
          <w:color w:val="231F20"/>
          <w:spacing w:val="-4"/>
          <w:sz w:val="24"/>
        </w:rPr>
        <w:t>de</w:t>
      </w:r>
      <w:r>
        <w:rPr>
          <w:i/>
          <w:color w:val="231F20"/>
          <w:spacing w:val="-10"/>
          <w:sz w:val="24"/>
        </w:rPr>
        <w:t> </w:t>
      </w:r>
      <w:r>
        <w:rPr>
          <w:i/>
          <w:color w:val="231F20"/>
          <w:spacing w:val="-4"/>
          <w:sz w:val="24"/>
        </w:rPr>
        <w:t>l’aide</w:t>
      </w:r>
      <w:r>
        <w:rPr>
          <w:i/>
          <w:color w:val="231F20"/>
          <w:spacing w:val="-4"/>
          <w:sz w:val="24"/>
        </w:rPr>
        <w:t> </w:t>
      </w:r>
      <w:r>
        <w:rPr>
          <w:i/>
          <w:color w:val="231F20"/>
          <w:sz w:val="24"/>
        </w:rPr>
        <w:t>totale »</w:t>
      </w:r>
      <w:r>
        <w:rPr>
          <w:color w:val="76787A"/>
          <w:sz w:val="24"/>
          <w:vertAlign w:val="superscript"/>
        </w:rPr>
        <w:t>261</w:t>
      </w:r>
    </w:p>
    <w:p>
      <w:pPr>
        <w:pStyle w:val="BodyText"/>
        <w:spacing w:before="120"/>
        <w:ind w:right="109" w:firstLine="283"/>
      </w:pPr>
      <w:r>
        <w:rPr>
          <w:color w:val="231F20"/>
        </w:rPr>
        <w:t>En</w:t>
      </w:r>
      <w:r>
        <w:rPr>
          <w:color w:val="231F20"/>
          <w:spacing w:val="-15"/>
        </w:rPr>
        <w:t> </w:t>
      </w:r>
      <w:r>
        <w:rPr>
          <w:color w:val="231F20"/>
        </w:rPr>
        <w:t>définitive,</w:t>
      </w:r>
      <w:r>
        <w:rPr>
          <w:color w:val="231F20"/>
          <w:spacing w:val="-15"/>
        </w:rPr>
        <w:t> </w:t>
      </w:r>
      <w:r>
        <w:rPr>
          <w:color w:val="231F20"/>
        </w:rPr>
        <w:t>l’aide</w:t>
      </w:r>
      <w:r>
        <w:rPr>
          <w:color w:val="231F20"/>
          <w:spacing w:val="-15"/>
        </w:rPr>
        <w:t> </w:t>
      </w:r>
      <w:r>
        <w:rPr>
          <w:color w:val="231F20"/>
        </w:rPr>
        <w:t>reçue</w:t>
      </w:r>
      <w:r>
        <w:rPr>
          <w:color w:val="231F20"/>
          <w:spacing w:val="-15"/>
        </w:rPr>
        <w:t> </w:t>
      </w:r>
      <w:r>
        <w:rPr>
          <w:color w:val="231F20"/>
        </w:rPr>
        <w:t>sous</w:t>
      </w:r>
      <w:r>
        <w:rPr>
          <w:color w:val="231F20"/>
          <w:spacing w:val="-15"/>
        </w:rPr>
        <w:t> </w:t>
      </w:r>
      <w:r>
        <w:rPr>
          <w:color w:val="231F20"/>
        </w:rPr>
        <w:t>forme</w:t>
      </w:r>
      <w:r>
        <w:rPr>
          <w:color w:val="231F20"/>
          <w:spacing w:val="-15"/>
        </w:rPr>
        <w:t> </w:t>
      </w:r>
      <w:r>
        <w:rPr>
          <w:color w:val="231F20"/>
        </w:rPr>
        <w:t>de</w:t>
      </w:r>
      <w:r>
        <w:rPr>
          <w:color w:val="231F20"/>
          <w:spacing w:val="-15"/>
        </w:rPr>
        <w:t> </w:t>
      </w:r>
      <w:r>
        <w:rPr>
          <w:color w:val="231F20"/>
        </w:rPr>
        <w:t>prêt</w:t>
      </w:r>
      <w:r>
        <w:rPr>
          <w:color w:val="231F20"/>
          <w:spacing w:val="-15"/>
        </w:rPr>
        <w:t> </w:t>
      </w:r>
      <w:r>
        <w:rPr>
          <w:color w:val="231F20"/>
        </w:rPr>
        <w:t>devient</w:t>
      </w:r>
      <w:r>
        <w:rPr>
          <w:color w:val="231F20"/>
          <w:spacing w:val="-15"/>
        </w:rPr>
        <w:t> </w:t>
      </w:r>
      <w:r>
        <w:rPr>
          <w:color w:val="231F20"/>
        </w:rPr>
        <w:t>un</w:t>
      </w:r>
      <w:r>
        <w:rPr>
          <w:color w:val="231F20"/>
          <w:spacing w:val="-15"/>
        </w:rPr>
        <w:t> </w:t>
      </w:r>
      <w:r>
        <w:rPr>
          <w:color w:val="231F20"/>
        </w:rPr>
        <w:t>fardeau</w:t>
      </w:r>
      <w:r>
        <w:rPr>
          <w:color w:val="231F20"/>
          <w:spacing w:val="-15"/>
        </w:rPr>
        <w:t> </w:t>
      </w:r>
      <w:r>
        <w:rPr>
          <w:color w:val="231F20"/>
        </w:rPr>
        <w:t>pour l’État</w:t>
      </w:r>
      <w:r>
        <w:rPr>
          <w:color w:val="231F20"/>
          <w:spacing w:val="-5"/>
        </w:rPr>
        <w:t> </w:t>
      </w:r>
      <w:r>
        <w:rPr>
          <w:color w:val="231F20"/>
        </w:rPr>
        <w:t>emprunteur</w:t>
      </w:r>
      <w:r>
        <w:rPr>
          <w:color w:val="231F20"/>
          <w:spacing w:val="-5"/>
        </w:rPr>
        <w:t> </w:t>
      </w:r>
      <w:r>
        <w:rPr>
          <w:color w:val="231F20"/>
        </w:rPr>
        <w:t>qui</w:t>
      </w:r>
      <w:r>
        <w:rPr>
          <w:color w:val="231F20"/>
          <w:spacing w:val="-5"/>
        </w:rPr>
        <w:t> </w:t>
      </w:r>
      <w:r>
        <w:rPr>
          <w:color w:val="231F20"/>
        </w:rPr>
        <w:t>a</w:t>
      </w:r>
      <w:r>
        <w:rPr>
          <w:color w:val="231F20"/>
          <w:spacing w:val="-5"/>
        </w:rPr>
        <w:t> </w:t>
      </w:r>
      <w:r>
        <w:rPr>
          <w:color w:val="231F20"/>
        </w:rPr>
        <w:t>des</w:t>
      </w:r>
      <w:r>
        <w:rPr>
          <w:color w:val="231F20"/>
          <w:spacing w:val="-5"/>
        </w:rPr>
        <w:t> </w:t>
      </w:r>
      <w:r>
        <w:rPr>
          <w:color w:val="231F20"/>
        </w:rPr>
        <w:t>problèmes</w:t>
      </w:r>
      <w:r>
        <w:rPr>
          <w:color w:val="231F20"/>
          <w:spacing w:val="-5"/>
        </w:rPr>
        <w:t> </w:t>
      </w:r>
      <w:r>
        <w:rPr>
          <w:color w:val="231F20"/>
        </w:rPr>
        <w:t>de</w:t>
      </w:r>
      <w:r>
        <w:rPr>
          <w:color w:val="231F20"/>
          <w:spacing w:val="-5"/>
        </w:rPr>
        <w:t> </w:t>
      </w:r>
      <w:r>
        <w:rPr>
          <w:color w:val="231F20"/>
        </w:rPr>
        <w:t>trésorerie</w:t>
      </w:r>
      <w:r>
        <w:rPr>
          <w:color w:val="231F20"/>
          <w:spacing w:val="-5"/>
        </w:rPr>
        <w:t> </w:t>
      </w:r>
      <w:r>
        <w:rPr>
          <w:color w:val="231F20"/>
        </w:rPr>
        <w:t>pour</w:t>
      </w:r>
      <w:r>
        <w:rPr>
          <w:color w:val="231F20"/>
          <w:spacing w:val="-5"/>
        </w:rPr>
        <w:t> </w:t>
      </w:r>
      <w:r>
        <w:rPr>
          <w:color w:val="231F20"/>
        </w:rPr>
        <w:t>rembourser</w:t>
      </w:r>
      <w:r>
        <w:rPr>
          <w:color w:val="231F20"/>
          <w:spacing w:val="-5"/>
        </w:rPr>
        <w:t> </w:t>
      </w:r>
      <w:r>
        <w:rPr>
          <w:color w:val="231F20"/>
        </w:rPr>
        <w:t>et </w:t>
      </w:r>
      <w:r>
        <w:rPr>
          <w:color w:val="231F20"/>
          <w:spacing w:val="-4"/>
        </w:rPr>
        <w:t>l’aide</w:t>
      </w:r>
      <w:r>
        <w:rPr>
          <w:color w:val="231F20"/>
          <w:spacing w:val="-11"/>
        </w:rPr>
        <w:t> </w:t>
      </w:r>
      <w:r>
        <w:rPr>
          <w:color w:val="231F20"/>
          <w:spacing w:val="-4"/>
        </w:rPr>
        <w:t>sous</w:t>
      </w:r>
      <w:r>
        <w:rPr>
          <w:color w:val="231F20"/>
          <w:spacing w:val="-8"/>
        </w:rPr>
        <w:t> </w:t>
      </w:r>
      <w:r>
        <w:rPr>
          <w:color w:val="231F20"/>
          <w:spacing w:val="-4"/>
        </w:rPr>
        <w:t>forme</w:t>
      </w:r>
      <w:r>
        <w:rPr>
          <w:color w:val="231F20"/>
          <w:spacing w:val="-10"/>
        </w:rPr>
        <w:t> </w:t>
      </w:r>
      <w:r>
        <w:rPr>
          <w:color w:val="231F20"/>
          <w:spacing w:val="-4"/>
        </w:rPr>
        <w:t>de</w:t>
      </w:r>
      <w:r>
        <w:rPr>
          <w:color w:val="231F20"/>
          <w:spacing w:val="-8"/>
        </w:rPr>
        <w:t> </w:t>
      </w:r>
      <w:r>
        <w:rPr>
          <w:color w:val="231F20"/>
          <w:spacing w:val="-4"/>
        </w:rPr>
        <w:t>don</w:t>
      </w:r>
      <w:r>
        <w:rPr>
          <w:color w:val="231F20"/>
          <w:spacing w:val="-10"/>
        </w:rPr>
        <w:t> </w:t>
      </w:r>
      <w:r>
        <w:rPr>
          <w:color w:val="231F20"/>
          <w:spacing w:val="-4"/>
        </w:rPr>
        <w:t>rend</w:t>
      </w:r>
      <w:r>
        <w:rPr>
          <w:color w:val="231F20"/>
          <w:spacing w:val="-8"/>
        </w:rPr>
        <w:t> </w:t>
      </w:r>
      <w:r>
        <w:rPr>
          <w:color w:val="231F20"/>
          <w:spacing w:val="-4"/>
        </w:rPr>
        <w:t>moralement</w:t>
      </w:r>
      <w:r>
        <w:rPr>
          <w:color w:val="231F20"/>
          <w:spacing w:val="-9"/>
        </w:rPr>
        <w:t> </w:t>
      </w:r>
      <w:r>
        <w:rPr>
          <w:color w:val="231F20"/>
          <w:spacing w:val="-4"/>
        </w:rPr>
        <w:t>débiteur</w:t>
      </w:r>
      <w:r>
        <w:rPr>
          <w:color w:val="231F20"/>
          <w:spacing w:val="-11"/>
        </w:rPr>
        <w:t> </w:t>
      </w:r>
      <w:r>
        <w:rPr>
          <w:color w:val="231F20"/>
          <w:spacing w:val="-4"/>
        </w:rPr>
        <w:t>et</w:t>
      </w:r>
      <w:r>
        <w:rPr>
          <w:color w:val="231F20"/>
          <w:spacing w:val="-7"/>
        </w:rPr>
        <w:t> </w:t>
      </w:r>
      <w:r>
        <w:rPr>
          <w:color w:val="231F20"/>
          <w:spacing w:val="-4"/>
        </w:rPr>
        <w:t>vulnérable</w:t>
      </w:r>
      <w:r>
        <w:rPr>
          <w:color w:val="231F20"/>
          <w:spacing w:val="-8"/>
        </w:rPr>
        <w:t> </w:t>
      </w:r>
      <w:r>
        <w:rPr>
          <w:color w:val="231F20"/>
          <w:spacing w:val="-4"/>
        </w:rPr>
        <w:t>celui</w:t>
      </w:r>
      <w:r>
        <w:rPr>
          <w:color w:val="231F20"/>
          <w:spacing w:val="-9"/>
        </w:rPr>
        <w:t> </w:t>
      </w:r>
      <w:r>
        <w:rPr>
          <w:color w:val="231F20"/>
          <w:spacing w:val="-4"/>
        </w:rPr>
        <w:t>qui </w:t>
      </w:r>
      <w:r>
        <w:rPr>
          <w:color w:val="231F20"/>
          <w:spacing w:val="-2"/>
        </w:rPr>
        <w:t>reçoit.</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64"/>
        <w:ind w:left="0"/>
        <w:jc w:val="left"/>
        <w:rPr>
          <w:sz w:val="20"/>
        </w:rPr>
      </w:pPr>
      <w:r>
        <w:rPr/>
        <mc:AlternateContent>
          <mc:Choice Requires="wps">
            <w:drawing>
              <wp:anchor distT="0" distB="0" distL="0" distR="0" allowOverlap="1" layoutInCell="1" locked="0" behindDoc="1" simplePos="0" relativeHeight="487667200">
                <wp:simplePos x="0" y="0"/>
                <wp:positionH relativeFrom="page">
                  <wp:posOffset>629907</wp:posOffset>
                </wp:positionH>
                <wp:positionV relativeFrom="paragraph">
                  <wp:posOffset>202427</wp:posOffset>
                </wp:positionV>
                <wp:extent cx="1829435" cy="9525"/>
                <wp:effectExtent l="0" t="0" r="0" b="0"/>
                <wp:wrapTopAndBottom/>
                <wp:docPr id="187" name="Graphic 187"/>
                <wp:cNvGraphicFramePr>
                  <a:graphicFrameLocks/>
                </wp:cNvGraphicFramePr>
                <a:graphic>
                  <a:graphicData uri="http://schemas.microsoft.com/office/word/2010/wordprocessingShape">
                    <wps:wsp>
                      <wps:cNvPr id="187" name="Graphic 187"/>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93914pt;width:144.020pt;height:.72pt;mso-position-horizontal-relative:page;mso-position-vertical-relative:paragraph;z-index:-15649280;mso-wrap-distance-left:0;mso-wrap-distance-right:0" id="docshape185"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261</w:t>
      </w:r>
      <w:r>
        <w:rPr>
          <w:color w:val="231F20"/>
          <w:spacing w:val="-4"/>
          <w:sz w:val="20"/>
          <w:vertAlign w:val="baseline"/>
        </w:rPr>
        <w:t>James</w:t>
      </w:r>
      <w:r>
        <w:rPr>
          <w:color w:val="231F20"/>
          <w:spacing w:val="-3"/>
          <w:sz w:val="20"/>
          <w:vertAlign w:val="baseline"/>
        </w:rPr>
        <w:t> </w:t>
      </w:r>
      <w:r>
        <w:rPr>
          <w:color w:val="231F20"/>
          <w:spacing w:val="-4"/>
          <w:sz w:val="20"/>
          <w:vertAlign w:val="baseline"/>
        </w:rPr>
        <w:t>Wolfensohn,</w:t>
      </w:r>
      <w:r>
        <w:rPr>
          <w:color w:val="231F20"/>
          <w:sz w:val="20"/>
          <w:vertAlign w:val="baseline"/>
        </w:rPr>
        <w:t> </w:t>
      </w:r>
      <w:r>
        <w:rPr>
          <w:color w:val="231F20"/>
          <w:spacing w:val="-4"/>
          <w:sz w:val="20"/>
          <w:vertAlign w:val="baseline"/>
        </w:rPr>
        <w:t>Président</w:t>
      </w:r>
      <w:r>
        <w:rPr>
          <w:color w:val="231F20"/>
          <w:spacing w:val="-3"/>
          <w:sz w:val="20"/>
          <w:vertAlign w:val="baseline"/>
        </w:rPr>
        <w:t> </w:t>
      </w:r>
      <w:r>
        <w:rPr>
          <w:color w:val="231F20"/>
          <w:spacing w:val="-4"/>
          <w:sz w:val="20"/>
          <w:vertAlign w:val="baseline"/>
        </w:rPr>
        <w:t>Banque</w:t>
      </w:r>
      <w:r>
        <w:rPr>
          <w:color w:val="231F20"/>
          <w:sz w:val="20"/>
          <w:vertAlign w:val="baseline"/>
        </w:rPr>
        <w:t> </w:t>
      </w:r>
      <w:r>
        <w:rPr>
          <w:color w:val="231F20"/>
          <w:spacing w:val="-4"/>
          <w:sz w:val="20"/>
          <w:vertAlign w:val="baseline"/>
        </w:rPr>
        <w:t>Mondiale</w:t>
      </w:r>
      <w:r>
        <w:rPr>
          <w:color w:val="231F20"/>
          <w:spacing w:val="-2"/>
          <w:sz w:val="20"/>
          <w:vertAlign w:val="baseline"/>
        </w:rPr>
        <w:t> </w:t>
      </w:r>
      <w:r>
        <w:rPr>
          <w:color w:val="231F20"/>
          <w:spacing w:val="-4"/>
          <w:sz w:val="20"/>
          <w:vertAlign w:val="baseline"/>
        </w:rPr>
        <w:t>1995-2005</w:t>
      </w:r>
      <w:r>
        <w:rPr>
          <w:color w:val="231F20"/>
          <w:spacing w:val="-2"/>
          <w:sz w:val="20"/>
          <w:vertAlign w:val="baseline"/>
        </w:rPr>
        <w:t> </w:t>
      </w:r>
      <w:r>
        <w:rPr>
          <w:color w:val="231F20"/>
          <w:spacing w:val="-4"/>
          <w:sz w:val="20"/>
          <w:vertAlign w:val="baseline"/>
        </w:rPr>
        <w:t>in</w:t>
      </w:r>
      <w:r>
        <w:rPr>
          <w:color w:val="231F20"/>
          <w:spacing w:val="1"/>
          <w:sz w:val="20"/>
          <w:vertAlign w:val="baseline"/>
        </w:rPr>
        <w:t> </w:t>
      </w:r>
      <w:r>
        <w:rPr>
          <w:color w:val="231F20"/>
          <w:spacing w:val="-4"/>
          <w:sz w:val="20"/>
          <w:vertAlign w:val="baseline"/>
        </w:rPr>
        <w:t>JAI,</w:t>
      </w:r>
      <w:r>
        <w:rPr>
          <w:color w:val="231F20"/>
          <w:spacing w:val="-2"/>
          <w:sz w:val="20"/>
          <w:vertAlign w:val="baseline"/>
        </w:rPr>
        <w:t> </w:t>
      </w:r>
      <w:r>
        <w:rPr>
          <w:color w:val="231F20"/>
          <w:spacing w:val="-4"/>
          <w:sz w:val="20"/>
          <w:vertAlign w:val="baseline"/>
        </w:rPr>
        <w:t>2</w:t>
      </w:r>
      <w:r>
        <w:rPr>
          <w:color w:val="231F20"/>
          <w:spacing w:val="-3"/>
          <w:sz w:val="20"/>
          <w:vertAlign w:val="baseline"/>
        </w:rPr>
        <w:t> </w:t>
      </w:r>
      <w:r>
        <w:rPr>
          <w:color w:val="231F20"/>
          <w:spacing w:val="-4"/>
          <w:sz w:val="20"/>
          <w:vertAlign w:val="baseline"/>
        </w:rPr>
        <w:t>mars 2003.</w:t>
      </w:r>
    </w:p>
    <w:p>
      <w:pPr>
        <w:spacing w:after="0"/>
        <w:jc w:val="left"/>
        <w:rPr>
          <w:sz w:val="20"/>
        </w:rPr>
        <w:sectPr>
          <w:pgSz w:w="8790" w:h="13610"/>
          <w:pgMar w:header="0" w:footer="802" w:top="1060" w:bottom="1000" w:left="880" w:right="880"/>
        </w:sectPr>
      </w:pPr>
    </w:p>
    <w:p>
      <w:pPr>
        <w:pStyle w:val="BodyText"/>
        <w:spacing w:before="4"/>
        <w:ind w:left="0"/>
        <w:jc w:val="left"/>
        <w:rPr>
          <w:sz w:val="17"/>
        </w:rPr>
      </w:pPr>
    </w:p>
    <w:p>
      <w:pPr>
        <w:spacing w:after="0"/>
        <w:jc w:val="left"/>
        <w:rPr>
          <w:sz w:val="17"/>
        </w:rPr>
        <w:sectPr>
          <w:footerReference w:type="even" r:id="rId55"/>
          <w:pgSz w:w="8790" w:h="13610"/>
          <w:pgMar w:header="0" w:footer="0" w:top="1540" w:bottom="280" w:left="880" w:right="880"/>
        </w:sectPr>
      </w:pPr>
    </w:p>
    <w:p>
      <w:pPr>
        <w:spacing w:before="260"/>
        <w:ind w:left="70" w:right="67" w:firstLine="0"/>
        <w:jc w:val="center"/>
        <w:rPr>
          <w:rFonts w:ascii="Cambria" w:hAnsi="Cambria"/>
          <w:b/>
          <w:sz w:val="32"/>
        </w:rPr>
      </w:pPr>
      <w:r>
        <w:rPr>
          <w:rFonts w:ascii="Cambria" w:hAnsi="Cambria"/>
          <w:b/>
          <w:color w:val="231F20"/>
          <w:spacing w:val="-4"/>
          <w:sz w:val="32"/>
        </w:rPr>
        <w:t>Chapître</w:t>
      </w:r>
      <w:r>
        <w:rPr>
          <w:rFonts w:ascii="Cambria" w:hAnsi="Cambria"/>
          <w:b/>
          <w:color w:val="231F20"/>
          <w:spacing w:val="-7"/>
          <w:sz w:val="32"/>
        </w:rPr>
        <w:t> </w:t>
      </w:r>
      <w:r>
        <w:rPr>
          <w:rFonts w:ascii="Cambria" w:hAnsi="Cambria"/>
          <w:b/>
          <w:color w:val="231F20"/>
          <w:spacing w:val="-10"/>
          <w:sz w:val="32"/>
        </w:rPr>
        <w:t>2</w:t>
      </w:r>
    </w:p>
    <w:p>
      <w:pPr>
        <w:pStyle w:val="Heading1"/>
        <w:spacing w:before="1"/>
        <w:ind w:left="129"/>
      </w:pPr>
      <w:r>
        <w:rPr>
          <w:color w:val="231F20"/>
          <w:spacing w:val="-4"/>
        </w:rPr>
        <w:t>SE</w:t>
      </w:r>
      <w:r>
        <w:rPr>
          <w:color w:val="231F20"/>
          <w:spacing w:val="-8"/>
        </w:rPr>
        <w:t> </w:t>
      </w:r>
      <w:r>
        <w:rPr>
          <w:color w:val="231F20"/>
          <w:spacing w:val="-4"/>
        </w:rPr>
        <w:t>CONSTRUIRE</w:t>
      </w:r>
      <w:r>
        <w:rPr>
          <w:color w:val="231F20"/>
          <w:spacing w:val="-10"/>
        </w:rPr>
        <w:t> </w:t>
      </w:r>
      <w:r>
        <w:rPr>
          <w:color w:val="231F20"/>
          <w:spacing w:val="-4"/>
        </w:rPr>
        <w:t>ET</w:t>
      </w:r>
      <w:r>
        <w:rPr>
          <w:color w:val="231F20"/>
          <w:spacing w:val="-7"/>
        </w:rPr>
        <w:t> </w:t>
      </w:r>
      <w:r>
        <w:rPr>
          <w:color w:val="231F20"/>
          <w:spacing w:val="-4"/>
        </w:rPr>
        <w:t>CONSTRUIRE</w:t>
      </w:r>
      <w:r>
        <w:rPr>
          <w:color w:val="231F20"/>
          <w:spacing w:val="-10"/>
        </w:rPr>
        <w:t> </w:t>
      </w:r>
      <w:r>
        <w:rPr>
          <w:color w:val="231F20"/>
          <w:spacing w:val="-4"/>
        </w:rPr>
        <w:t>LES</w:t>
      </w:r>
      <w:r>
        <w:rPr>
          <w:color w:val="231F20"/>
          <w:spacing w:val="-7"/>
        </w:rPr>
        <w:t> </w:t>
      </w:r>
      <w:r>
        <w:rPr>
          <w:color w:val="231F20"/>
          <w:spacing w:val="-4"/>
        </w:rPr>
        <w:t>ÉTATS</w:t>
      </w:r>
    </w:p>
    <w:p>
      <w:pPr>
        <w:pStyle w:val="BodyText"/>
        <w:ind w:left="0"/>
        <w:jc w:val="left"/>
        <w:rPr>
          <w:rFonts w:ascii="Cambria"/>
          <w:b/>
          <w:sz w:val="32"/>
        </w:rPr>
      </w:pPr>
    </w:p>
    <w:p>
      <w:pPr>
        <w:pStyle w:val="BodyText"/>
        <w:spacing w:before="186"/>
        <w:ind w:left="0"/>
        <w:jc w:val="left"/>
        <w:rPr>
          <w:rFonts w:ascii="Cambria"/>
          <w:b/>
          <w:sz w:val="32"/>
        </w:rPr>
      </w:pPr>
    </w:p>
    <w:p>
      <w:pPr>
        <w:pStyle w:val="Heading2"/>
        <w:spacing w:before="1"/>
      </w:pPr>
      <w:bookmarkStart w:name="_TOC_250006" w:id="37"/>
      <w:r>
        <w:rPr>
          <w:color w:val="231F20"/>
        </w:rPr>
        <w:t>À</w:t>
      </w:r>
      <w:r>
        <w:rPr>
          <w:color w:val="231F20"/>
          <w:spacing w:val="-17"/>
        </w:rPr>
        <w:t> </w:t>
      </w:r>
      <w:r>
        <w:rPr>
          <w:color w:val="231F20"/>
        </w:rPr>
        <w:t>quand</w:t>
      </w:r>
      <w:r>
        <w:rPr>
          <w:color w:val="231F20"/>
          <w:spacing w:val="-15"/>
        </w:rPr>
        <w:t> </w:t>
      </w:r>
      <w:r>
        <w:rPr>
          <w:color w:val="231F20"/>
        </w:rPr>
        <w:t>le</w:t>
      </w:r>
      <w:r>
        <w:rPr>
          <w:color w:val="231F20"/>
          <w:spacing w:val="-15"/>
        </w:rPr>
        <w:t> </w:t>
      </w:r>
      <w:r>
        <w:rPr>
          <w:color w:val="231F20"/>
        </w:rPr>
        <w:t>Réveil</w:t>
      </w:r>
      <w:r>
        <w:rPr>
          <w:color w:val="231F20"/>
          <w:spacing w:val="-12"/>
        </w:rPr>
        <w:t> </w:t>
      </w:r>
      <w:bookmarkEnd w:id="37"/>
      <w:r>
        <w:rPr>
          <w:color w:val="231F20"/>
          <w:spacing w:val="-10"/>
        </w:rPr>
        <w:t>?</w:t>
      </w:r>
    </w:p>
    <w:p>
      <w:pPr>
        <w:pStyle w:val="BodyText"/>
        <w:spacing w:before="119"/>
        <w:ind w:left="0"/>
        <w:jc w:val="left"/>
        <w:rPr>
          <w:b/>
        </w:rPr>
      </w:pPr>
    </w:p>
    <w:p>
      <w:pPr>
        <w:pStyle w:val="BodyText"/>
        <w:spacing w:before="1"/>
        <w:ind w:right="105" w:firstLine="283"/>
      </w:pPr>
      <w:r>
        <w:rPr>
          <w:color w:val="231F20"/>
        </w:rPr>
        <w:t>En</w:t>
      </w:r>
      <w:r>
        <w:rPr>
          <w:color w:val="231F20"/>
          <w:spacing w:val="-15"/>
        </w:rPr>
        <w:t> </w:t>
      </w:r>
      <w:r>
        <w:rPr>
          <w:color w:val="231F20"/>
        </w:rPr>
        <w:t>1992,</w:t>
      </w:r>
      <w:r>
        <w:rPr>
          <w:color w:val="231F20"/>
          <w:spacing w:val="-15"/>
        </w:rPr>
        <w:t> </w:t>
      </w:r>
      <w:r>
        <w:rPr>
          <w:color w:val="231F20"/>
        </w:rPr>
        <w:t>en</w:t>
      </w:r>
      <w:r>
        <w:rPr>
          <w:color w:val="231F20"/>
          <w:spacing w:val="-15"/>
        </w:rPr>
        <w:t> </w:t>
      </w:r>
      <w:r>
        <w:rPr>
          <w:color w:val="231F20"/>
        </w:rPr>
        <w:t>mission</w:t>
      </w:r>
      <w:r>
        <w:rPr>
          <w:color w:val="231F20"/>
          <w:spacing w:val="-15"/>
        </w:rPr>
        <w:t> </w:t>
      </w:r>
      <w:r>
        <w:rPr>
          <w:color w:val="231F20"/>
        </w:rPr>
        <w:t>à</w:t>
      </w:r>
      <w:r>
        <w:rPr>
          <w:color w:val="231F20"/>
          <w:spacing w:val="-15"/>
        </w:rPr>
        <w:t> </w:t>
      </w:r>
      <w:r>
        <w:rPr>
          <w:color w:val="231F20"/>
        </w:rPr>
        <w:t>Douentza</w:t>
      </w:r>
      <w:r>
        <w:rPr>
          <w:color w:val="231F20"/>
          <w:spacing w:val="-15"/>
        </w:rPr>
        <w:t> </w:t>
      </w:r>
      <w:r>
        <w:rPr>
          <w:color w:val="231F20"/>
        </w:rPr>
        <w:t>à</w:t>
      </w:r>
      <w:r>
        <w:rPr>
          <w:color w:val="231F20"/>
          <w:spacing w:val="-15"/>
        </w:rPr>
        <w:t> </w:t>
      </w:r>
      <w:r>
        <w:rPr>
          <w:color w:val="231F20"/>
        </w:rPr>
        <w:t>400</w:t>
      </w:r>
      <w:r>
        <w:rPr>
          <w:color w:val="231F20"/>
          <w:spacing w:val="-15"/>
        </w:rPr>
        <w:t> </w:t>
      </w:r>
      <w:r>
        <w:rPr>
          <w:color w:val="231F20"/>
        </w:rPr>
        <w:t>kilomètres</w:t>
      </w:r>
      <w:r>
        <w:rPr>
          <w:color w:val="231F20"/>
          <w:spacing w:val="-15"/>
        </w:rPr>
        <w:t> </w:t>
      </w:r>
      <w:r>
        <w:rPr>
          <w:color w:val="231F20"/>
        </w:rPr>
        <w:t>de</w:t>
      </w:r>
      <w:r>
        <w:rPr>
          <w:color w:val="231F20"/>
          <w:spacing w:val="-15"/>
        </w:rPr>
        <w:t> </w:t>
      </w:r>
      <w:r>
        <w:rPr>
          <w:color w:val="231F20"/>
        </w:rPr>
        <w:t>Bamako,</w:t>
      </w:r>
      <w:r>
        <w:rPr>
          <w:color w:val="231F20"/>
          <w:spacing w:val="-15"/>
        </w:rPr>
        <w:t> </w:t>
      </w:r>
      <w:r>
        <w:rPr>
          <w:color w:val="231F20"/>
        </w:rPr>
        <w:t>j’ai</w:t>
      </w:r>
      <w:r>
        <w:rPr>
          <w:color w:val="231F20"/>
          <w:spacing w:val="-15"/>
        </w:rPr>
        <w:t> </w:t>
      </w:r>
      <w:r>
        <w:rPr>
          <w:color w:val="231F20"/>
        </w:rPr>
        <w:t>été invité</w:t>
      </w:r>
      <w:r>
        <w:rPr>
          <w:color w:val="231F20"/>
          <w:spacing w:val="-15"/>
        </w:rPr>
        <w:t> </w:t>
      </w:r>
      <w:r>
        <w:rPr>
          <w:color w:val="231F20"/>
        </w:rPr>
        <w:t>par</w:t>
      </w:r>
      <w:r>
        <w:rPr>
          <w:color w:val="231F20"/>
          <w:spacing w:val="-15"/>
        </w:rPr>
        <w:t> </w:t>
      </w:r>
      <w:r>
        <w:rPr>
          <w:color w:val="231F20"/>
        </w:rPr>
        <w:t>le</w:t>
      </w:r>
      <w:r>
        <w:rPr>
          <w:color w:val="231F20"/>
          <w:spacing w:val="-15"/>
        </w:rPr>
        <w:t> </w:t>
      </w:r>
      <w:r>
        <w:rPr>
          <w:color w:val="231F20"/>
        </w:rPr>
        <w:t>Médecin-chef</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localité</w:t>
      </w:r>
      <w:r>
        <w:rPr>
          <w:color w:val="231F20"/>
          <w:spacing w:val="-15"/>
        </w:rPr>
        <w:t> </w:t>
      </w:r>
      <w:r>
        <w:rPr>
          <w:color w:val="231F20"/>
        </w:rPr>
        <w:t>pour</w:t>
      </w:r>
      <w:r>
        <w:rPr>
          <w:color w:val="231F20"/>
          <w:spacing w:val="-15"/>
        </w:rPr>
        <w:t> </w:t>
      </w:r>
      <w:r>
        <w:rPr>
          <w:color w:val="231F20"/>
        </w:rPr>
        <w:t>partager</w:t>
      </w:r>
      <w:r>
        <w:rPr>
          <w:color w:val="231F20"/>
          <w:spacing w:val="-15"/>
        </w:rPr>
        <w:t> </w:t>
      </w:r>
      <w:r>
        <w:rPr>
          <w:color w:val="231F20"/>
        </w:rPr>
        <w:t>son</w:t>
      </w:r>
      <w:r>
        <w:rPr>
          <w:color w:val="231F20"/>
          <w:spacing w:val="-15"/>
        </w:rPr>
        <w:t> </w:t>
      </w:r>
      <w:r>
        <w:rPr>
          <w:color w:val="231F20"/>
        </w:rPr>
        <w:t>déjeuner</w:t>
      </w:r>
      <w:r>
        <w:rPr>
          <w:color w:val="231F20"/>
          <w:spacing w:val="-15"/>
        </w:rPr>
        <w:t> </w:t>
      </w:r>
      <w:r>
        <w:rPr>
          <w:color w:val="231F20"/>
        </w:rPr>
        <w:t>chez lui. A la vue de la cour de son domicile, là où nous devions prendre le repas, mon appétit a été coupé</w:t>
      </w:r>
      <w:r>
        <w:rPr>
          <w:color w:val="231F20"/>
          <w:spacing w:val="-13"/>
        </w:rPr>
        <w:t> </w:t>
      </w:r>
      <w:r>
        <w:rPr>
          <w:color w:val="231F20"/>
        </w:rPr>
        <w:t>:</w:t>
      </w:r>
      <w:r>
        <w:rPr>
          <w:color w:val="231F20"/>
          <w:spacing w:val="-15"/>
        </w:rPr>
        <w:t> </w:t>
      </w:r>
      <w:r>
        <w:rPr>
          <w:color w:val="231F20"/>
        </w:rPr>
        <w:t>la cour était couverte de moisissures verdâtres. Comment, un médecin pouvait-il vivre dans un tel environnement,</w:t>
      </w:r>
      <w:r>
        <w:rPr>
          <w:color w:val="231F20"/>
          <w:spacing w:val="-5"/>
        </w:rPr>
        <w:t> </w:t>
      </w:r>
      <w:r>
        <w:rPr>
          <w:color w:val="231F20"/>
        </w:rPr>
        <w:t>s’y</w:t>
      </w:r>
      <w:r>
        <w:rPr>
          <w:color w:val="231F20"/>
          <w:spacing w:val="-7"/>
        </w:rPr>
        <w:t> </w:t>
      </w:r>
      <w:r>
        <w:rPr>
          <w:color w:val="231F20"/>
        </w:rPr>
        <w:t>complaire</w:t>
      </w:r>
      <w:r>
        <w:rPr>
          <w:color w:val="231F20"/>
          <w:spacing w:val="-5"/>
        </w:rPr>
        <w:t> </w:t>
      </w:r>
      <w:r>
        <w:rPr>
          <w:color w:val="231F20"/>
        </w:rPr>
        <w:t>pour</w:t>
      </w:r>
      <w:r>
        <w:rPr>
          <w:color w:val="231F20"/>
          <w:spacing w:val="-7"/>
        </w:rPr>
        <w:t> </w:t>
      </w:r>
      <w:r>
        <w:rPr>
          <w:color w:val="231F20"/>
        </w:rPr>
        <w:t>y</w:t>
      </w:r>
      <w:r>
        <w:rPr>
          <w:color w:val="231F20"/>
          <w:spacing w:val="-5"/>
        </w:rPr>
        <w:t> </w:t>
      </w:r>
      <w:r>
        <w:rPr>
          <w:color w:val="231F20"/>
        </w:rPr>
        <w:t>inviter</w:t>
      </w:r>
      <w:r>
        <w:rPr>
          <w:color w:val="231F20"/>
          <w:spacing w:val="-5"/>
        </w:rPr>
        <w:t> </w:t>
      </w:r>
      <w:r>
        <w:rPr>
          <w:color w:val="231F20"/>
        </w:rPr>
        <w:t>des</w:t>
      </w:r>
      <w:r>
        <w:rPr>
          <w:color w:val="231F20"/>
          <w:spacing w:val="-5"/>
        </w:rPr>
        <w:t> </w:t>
      </w:r>
      <w:r>
        <w:rPr>
          <w:color w:val="231F20"/>
        </w:rPr>
        <w:t>étrangers</w:t>
      </w:r>
      <w:r>
        <w:rPr>
          <w:color w:val="231F20"/>
          <w:spacing w:val="-2"/>
        </w:rPr>
        <w:t> </w:t>
      </w:r>
      <w:r>
        <w:rPr>
          <w:color w:val="231F20"/>
        </w:rPr>
        <w:t>?</w:t>
      </w:r>
    </w:p>
    <w:p>
      <w:pPr>
        <w:pStyle w:val="BodyText"/>
        <w:spacing w:before="120"/>
        <w:ind w:right="105" w:firstLine="283"/>
      </w:pPr>
      <w:r>
        <w:rPr>
          <w:color w:val="231F20"/>
        </w:rPr>
        <w:t>En 2021, j’étais au CHU de Treichville à Abidjan où l’un de mes </w:t>
      </w:r>
      <w:r>
        <w:rPr>
          <w:color w:val="231F20"/>
          <w:spacing w:val="-2"/>
        </w:rPr>
        <w:t>enfants</w:t>
      </w:r>
      <w:r>
        <w:rPr>
          <w:color w:val="231F20"/>
          <w:spacing w:val="-13"/>
        </w:rPr>
        <w:t> </w:t>
      </w:r>
      <w:r>
        <w:rPr>
          <w:color w:val="231F20"/>
          <w:spacing w:val="-2"/>
        </w:rPr>
        <w:t>avait</w:t>
      </w:r>
      <w:r>
        <w:rPr>
          <w:color w:val="231F20"/>
          <w:spacing w:val="-12"/>
        </w:rPr>
        <w:t> </w:t>
      </w:r>
      <w:r>
        <w:rPr>
          <w:color w:val="231F20"/>
          <w:spacing w:val="-2"/>
        </w:rPr>
        <w:t>été</w:t>
      </w:r>
      <w:r>
        <w:rPr>
          <w:color w:val="231F20"/>
          <w:spacing w:val="-12"/>
        </w:rPr>
        <w:t> </w:t>
      </w:r>
      <w:r>
        <w:rPr>
          <w:color w:val="231F20"/>
          <w:spacing w:val="-2"/>
        </w:rPr>
        <w:t>admis</w:t>
      </w:r>
      <w:r>
        <w:rPr>
          <w:color w:val="231F20"/>
          <w:spacing w:val="-13"/>
        </w:rPr>
        <w:t> </w:t>
      </w:r>
      <w:r>
        <w:rPr>
          <w:color w:val="231F20"/>
          <w:spacing w:val="-2"/>
        </w:rPr>
        <w:t>pour</w:t>
      </w:r>
      <w:r>
        <w:rPr>
          <w:color w:val="231F20"/>
          <w:spacing w:val="-12"/>
        </w:rPr>
        <w:t> </w:t>
      </w:r>
      <w:r>
        <w:rPr>
          <w:color w:val="231F20"/>
          <w:spacing w:val="-2"/>
        </w:rPr>
        <w:t>une</w:t>
      </w:r>
      <w:r>
        <w:rPr>
          <w:color w:val="231F20"/>
          <w:spacing w:val="-12"/>
        </w:rPr>
        <w:t> </w:t>
      </w:r>
      <w:r>
        <w:rPr>
          <w:color w:val="231F20"/>
          <w:spacing w:val="-2"/>
        </w:rPr>
        <w:t>fracture</w:t>
      </w:r>
      <w:r>
        <w:rPr>
          <w:color w:val="231F20"/>
          <w:spacing w:val="-12"/>
        </w:rPr>
        <w:t> </w:t>
      </w:r>
      <w:r>
        <w:rPr>
          <w:color w:val="231F20"/>
          <w:spacing w:val="-2"/>
        </w:rPr>
        <w:t>des</w:t>
      </w:r>
      <w:r>
        <w:rPr>
          <w:color w:val="231F20"/>
          <w:spacing w:val="-12"/>
        </w:rPr>
        <w:t> </w:t>
      </w:r>
      <w:r>
        <w:rPr>
          <w:color w:val="231F20"/>
          <w:spacing w:val="-2"/>
        </w:rPr>
        <w:t>deux</w:t>
      </w:r>
      <w:r>
        <w:rPr>
          <w:color w:val="231F20"/>
          <w:spacing w:val="-12"/>
        </w:rPr>
        <w:t> </w:t>
      </w:r>
      <w:r>
        <w:rPr>
          <w:color w:val="231F20"/>
          <w:spacing w:val="-2"/>
        </w:rPr>
        <w:t>os</w:t>
      </w:r>
      <w:r>
        <w:rPr>
          <w:color w:val="231F20"/>
          <w:spacing w:val="-12"/>
        </w:rPr>
        <w:t> </w:t>
      </w:r>
      <w:r>
        <w:rPr>
          <w:color w:val="231F20"/>
          <w:spacing w:val="-2"/>
        </w:rPr>
        <w:t>de</w:t>
      </w:r>
      <w:r>
        <w:rPr>
          <w:color w:val="231F20"/>
          <w:spacing w:val="-12"/>
        </w:rPr>
        <w:t> </w:t>
      </w:r>
      <w:r>
        <w:rPr>
          <w:color w:val="231F20"/>
          <w:spacing w:val="-2"/>
        </w:rPr>
        <w:t>l’avant-bras.</w:t>
      </w:r>
      <w:r>
        <w:rPr>
          <w:color w:val="231F20"/>
          <w:spacing w:val="39"/>
        </w:rPr>
        <w:t> </w:t>
      </w:r>
      <w:r>
        <w:rPr>
          <w:color w:val="231F20"/>
          <w:spacing w:val="-2"/>
        </w:rPr>
        <w:t>J’y </w:t>
      </w:r>
      <w:r>
        <w:rPr>
          <w:color w:val="231F20"/>
        </w:rPr>
        <w:t>ai vu à partir de 19h, des souris aussi grosses que des rats sortir des caniveaux et se promener tranquillement dans la cour du Centre Hospitalier Universitaire.</w:t>
      </w:r>
    </w:p>
    <w:p>
      <w:pPr>
        <w:pStyle w:val="BodyText"/>
        <w:spacing w:before="120"/>
        <w:ind w:right="106" w:firstLine="283"/>
      </w:pPr>
      <w:r>
        <w:rPr>
          <w:color w:val="231F20"/>
          <w:spacing w:val="-4"/>
        </w:rPr>
        <w:t>Voir</w:t>
      </w:r>
      <w:r>
        <w:rPr>
          <w:color w:val="231F20"/>
          <w:spacing w:val="-5"/>
        </w:rPr>
        <w:t> </w:t>
      </w:r>
      <w:r>
        <w:rPr>
          <w:color w:val="231F20"/>
          <w:spacing w:val="-4"/>
        </w:rPr>
        <w:t>de</w:t>
      </w:r>
      <w:r>
        <w:rPr>
          <w:color w:val="231F20"/>
          <w:spacing w:val="-7"/>
        </w:rPr>
        <w:t> </w:t>
      </w:r>
      <w:r>
        <w:rPr>
          <w:color w:val="231F20"/>
          <w:spacing w:val="-4"/>
        </w:rPr>
        <w:t>telles images</w:t>
      </w:r>
      <w:r>
        <w:rPr>
          <w:color w:val="231F20"/>
          <w:spacing w:val="-6"/>
        </w:rPr>
        <w:t> </w:t>
      </w:r>
      <w:r>
        <w:rPr>
          <w:color w:val="231F20"/>
          <w:spacing w:val="-4"/>
        </w:rPr>
        <w:t>ou celles de</w:t>
      </w:r>
      <w:r>
        <w:rPr>
          <w:color w:val="231F20"/>
          <w:spacing w:val="-7"/>
        </w:rPr>
        <w:t> </w:t>
      </w:r>
      <w:r>
        <w:rPr>
          <w:color w:val="231F20"/>
          <w:spacing w:val="-4"/>
        </w:rPr>
        <w:t>bidonvilles et</w:t>
      </w:r>
      <w:r>
        <w:rPr>
          <w:color w:val="231F20"/>
          <w:spacing w:val="-6"/>
        </w:rPr>
        <w:t> </w:t>
      </w:r>
      <w:r>
        <w:rPr>
          <w:color w:val="231F20"/>
          <w:spacing w:val="-4"/>
        </w:rPr>
        <w:t>leurs lots</w:t>
      </w:r>
      <w:r>
        <w:rPr>
          <w:color w:val="231F20"/>
          <w:spacing w:val="-6"/>
        </w:rPr>
        <w:t> </w:t>
      </w:r>
      <w:r>
        <w:rPr>
          <w:color w:val="231F20"/>
          <w:spacing w:val="-4"/>
        </w:rPr>
        <w:t>d’insalubrité et</w:t>
      </w:r>
      <w:r>
        <w:rPr>
          <w:color w:val="231F20"/>
          <w:spacing w:val="-9"/>
        </w:rPr>
        <w:t> </w:t>
      </w:r>
      <w:r>
        <w:rPr>
          <w:color w:val="231F20"/>
          <w:spacing w:val="-4"/>
        </w:rPr>
        <w:t>même</w:t>
      </w:r>
      <w:r>
        <w:rPr>
          <w:color w:val="231F20"/>
          <w:spacing w:val="-9"/>
        </w:rPr>
        <w:t> </w:t>
      </w:r>
      <w:r>
        <w:rPr>
          <w:color w:val="231F20"/>
          <w:spacing w:val="-4"/>
        </w:rPr>
        <w:t>un</w:t>
      </w:r>
      <w:r>
        <w:rPr>
          <w:color w:val="231F20"/>
          <w:spacing w:val="-9"/>
        </w:rPr>
        <w:t> </w:t>
      </w:r>
      <w:r>
        <w:rPr>
          <w:color w:val="231F20"/>
          <w:spacing w:val="-4"/>
        </w:rPr>
        <w:t>Chef</w:t>
      </w:r>
      <w:r>
        <w:rPr>
          <w:color w:val="231F20"/>
          <w:spacing w:val="-10"/>
        </w:rPr>
        <w:t> </w:t>
      </w:r>
      <w:r>
        <w:rPr>
          <w:color w:val="231F20"/>
          <w:spacing w:val="-4"/>
        </w:rPr>
        <w:t>d’État</w:t>
      </w:r>
      <w:r>
        <w:rPr>
          <w:color w:val="231F20"/>
          <w:spacing w:val="-8"/>
        </w:rPr>
        <w:t> </w:t>
      </w:r>
      <w:r>
        <w:rPr>
          <w:color w:val="231F20"/>
          <w:spacing w:val="-4"/>
        </w:rPr>
        <w:t>africain</w:t>
      </w:r>
      <w:r>
        <w:rPr>
          <w:color w:val="231F20"/>
          <w:spacing w:val="-10"/>
        </w:rPr>
        <w:t> </w:t>
      </w:r>
      <w:r>
        <w:rPr>
          <w:color w:val="231F20"/>
          <w:spacing w:val="-4"/>
        </w:rPr>
        <w:t>déshabillé,</w:t>
      </w:r>
      <w:r>
        <w:rPr>
          <w:color w:val="231F20"/>
          <w:spacing w:val="-10"/>
        </w:rPr>
        <w:t> </w:t>
      </w:r>
      <w:r>
        <w:rPr>
          <w:color w:val="231F20"/>
          <w:spacing w:val="-4"/>
        </w:rPr>
        <w:t>frappé,</w:t>
      </w:r>
      <w:r>
        <w:rPr>
          <w:color w:val="231F20"/>
          <w:spacing w:val="-10"/>
        </w:rPr>
        <w:t> </w:t>
      </w:r>
      <w:r>
        <w:rPr>
          <w:color w:val="231F20"/>
          <w:spacing w:val="-4"/>
        </w:rPr>
        <w:t>humilié</w:t>
      </w:r>
      <w:r>
        <w:rPr>
          <w:color w:val="231F20"/>
          <w:spacing w:val="-10"/>
        </w:rPr>
        <w:t> </w:t>
      </w:r>
      <w:r>
        <w:rPr>
          <w:color w:val="231F20"/>
          <w:spacing w:val="-4"/>
        </w:rPr>
        <w:t>comme</w:t>
      </w:r>
      <w:r>
        <w:rPr>
          <w:color w:val="231F20"/>
          <w:spacing w:val="-11"/>
        </w:rPr>
        <w:t> </w:t>
      </w:r>
      <w:r>
        <w:rPr>
          <w:color w:val="231F20"/>
          <w:spacing w:val="-4"/>
        </w:rPr>
        <w:t>l’a</w:t>
      </w:r>
      <w:r>
        <w:rPr>
          <w:color w:val="231F20"/>
          <w:spacing w:val="-10"/>
        </w:rPr>
        <w:t> </w:t>
      </w:r>
      <w:r>
        <w:rPr>
          <w:color w:val="231F20"/>
          <w:spacing w:val="-4"/>
        </w:rPr>
        <w:t>été </w:t>
      </w:r>
      <w:r>
        <w:rPr>
          <w:color w:val="231F20"/>
        </w:rPr>
        <w:t>Laurent Gbagbo en Côte d’ivoire, n’émeut pas outre mesure le téléspectateur africain.</w:t>
      </w:r>
    </w:p>
    <w:p>
      <w:pPr>
        <w:pStyle w:val="BodyText"/>
        <w:spacing w:before="120"/>
        <w:ind w:right="104" w:firstLine="283"/>
      </w:pPr>
      <w:r>
        <w:rPr>
          <w:color w:val="231F20"/>
        </w:rPr>
        <w:t>Le sous-développement du continent noir fait les choux gras des journaux occidentaux</w:t>
      </w:r>
      <w:r>
        <w:rPr>
          <w:color w:val="231F20"/>
          <w:spacing w:val="-15"/>
        </w:rPr>
        <w:t> </w:t>
      </w:r>
      <w:r>
        <w:rPr>
          <w:color w:val="231F20"/>
        </w:rPr>
        <w:t>: le laxisme des responsables administratifs, la nonchalance</w:t>
      </w:r>
      <w:r>
        <w:rPr>
          <w:color w:val="231F20"/>
          <w:spacing w:val="-1"/>
        </w:rPr>
        <w:t> </w:t>
      </w:r>
      <w:r>
        <w:rPr>
          <w:color w:val="231F20"/>
        </w:rPr>
        <w:t>des</w:t>
      </w:r>
      <w:r>
        <w:rPr>
          <w:color w:val="231F20"/>
          <w:spacing w:val="-3"/>
        </w:rPr>
        <w:t> </w:t>
      </w:r>
      <w:r>
        <w:rPr>
          <w:color w:val="231F20"/>
        </w:rPr>
        <w:t>peuples</w:t>
      </w:r>
      <w:r>
        <w:rPr>
          <w:color w:val="231F20"/>
          <w:spacing w:val="-3"/>
        </w:rPr>
        <w:t> </w:t>
      </w:r>
      <w:r>
        <w:rPr>
          <w:color w:val="231F20"/>
        </w:rPr>
        <w:t>et</w:t>
      </w:r>
      <w:r>
        <w:rPr>
          <w:color w:val="231F20"/>
          <w:spacing w:val="-1"/>
        </w:rPr>
        <w:t> </w:t>
      </w:r>
      <w:r>
        <w:rPr>
          <w:color w:val="231F20"/>
        </w:rPr>
        <w:t>la</w:t>
      </w:r>
      <w:r>
        <w:rPr>
          <w:color w:val="231F20"/>
          <w:spacing w:val="-1"/>
        </w:rPr>
        <w:t> </w:t>
      </w:r>
      <w:r>
        <w:rPr>
          <w:color w:val="231F20"/>
        </w:rPr>
        <w:t>malgouvernance</w:t>
      </w:r>
      <w:r>
        <w:rPr>
          <w:color w:val="231F20"/>
          <w:spacing w:val="-1"/>
        </w:rPr>
        <w:t> </w:t>
      </w:r>
      <w:r>
        <w:rPr>
          <w:color w:val="231F20"/>
        </w:rPr>
        <w:t>des États</w:t>
      </w:r>
      <w:r>
        <w:rPr>
          <w:color w:val="231F20"/>
          <w:spacing w:val="-3"/>
        </w:rPr>
        <w:t> </w:t>
      </w:r>
      <w:r>
        <w:rPr>
          <w:color w:val="231F20"/>
        </w:rPr>
        <w:t>leur</w:t>
      </w:r>
      <w:r>
        <w:rPr>
          <w:color w:val="231F20"/>
          <w:spacing w:val="-1"/>
        </w:rPr>
        <w:t> </w:t>
      </w:r>
      <w:r>
        <w:rPr>
          <w:color w:val="231F20"/>
        </w:rPr>
        <w:t>donne</w:t>
      </w:r>
      <w:r>
        <w:rPr>
          <w:color w:val="231F20"/>
          <w:spacing w:val="-1"/>
        </w:rPr>
        <w:t> </w:t>
      </w:r>
      <w:r>
        <w:rPr>
          <w:color w:val="231F20"/>
        </w:rPr>
        <w:t>du grain à moudre. Et, ils peuvent se permettre le type de jugement ci- </w:t>
      </w:r>
      <w:r>
        <w:rPr>
          <w:color w:val="231F20"/>
          <w:spacing w:val="-2"/>
        </w:rPr>
        <w:t>dessous</w:t>
      </w:r>
      <w:r>
        <w:rPr>
          <w:color w:val="231F20"/>
          <w:spacing w:val="-11"/>
        </w:rPr>
        <w:t> </w:t>
      </w:r>
      <w:r>
        <w:rPr>
          <w:color w:val="231F20"/>
          <w:spacing w:val="-2"/>
        </w:rPr>
        <w:t>:</w:t>
      </w:r>
      <w:r>
        <w:rPr>
          <w:color w:val="231F20"/>
          <w:spacing w:val="-10"/>
        </w:rPr>
        <w:t> </w:t>
      </w:r>
      <w:r>
        <w:rPr>
          <w:color w:val="231F20"/>
          <w:spacing w:val="-2"/>
        </w:rPr>
        <w:t>ce</w:t>
      </w:r>
      <w:r>
        <w:rPr>
          <w:color w:val="231F20"/>
          <w:spacing w:val="-10"/>
        </w:rPr>
        <w:t> </w:t>
      </w:r>
      <w:r>
        <w:rPr>
          <w:color w:val="231F20"/>
          <w:spacing w:val="-2"/>
        </w:rPr>
        <w:t>post</w:t>
      </w:r>
      <w:r>
        <w:rPr>
          <w:color w:val="231F20"/>
          <w:spacing w:val="-11"/>
        </w:rPr>
        <w:t> </w:t>
      </w:r>
      <w:r>
        <w:rPr>
          <w:color w:val="231F20"/>
          <w:spacing w:val="-2"/>
        </w:rPr>
        <w:t>a</w:t>
      </w:r>
      <w:r>
        <w:rPr>
          <w:color w:val="231F20"/>
          <w:spacing w:val="-13"/>
        </w:rPr>
        <w:t> </w:t>
      </w:r>
      <w:r>
        <w:rPr>
          <w:color w:val="231F20"/>
          <w:spacing w:val="-2"/>
        </w:rPr>
        <w:t>été</w:t>
      </w:r>
      <w:r>
        <w:rPr>
          <w:color w:val="231F20"/>
          <w:spacing w:val="-13"/>
        </w:rPr>
        <w:t> </w:t>
      </w:r>
      <w:r>
        <w:rPr>
          <w:color w:val="231F20"/>
          <w:spacing w:val="-2"/>
        </w:rPr>
        <w:t>largement</w:t>
      </w:r>
      <w:r>
        <w:rPr>
          <w:color w:val="231F20"/>
          <w:spacing w:val="-11"/>
        </w:rPr>
        <w:t> </w:t>
      </w:r>
      <w:r>
        <w:rPr>
          <w:color w:val="231F20"/>
          <w:spacing w:val="-2"/>
        </w:rPr>
        <w:t>partagé</w:t>
      </w:r>
      <w:r>
        <w:rPr>
          <w:color w:val="231F20"/>
          <w:spacing w:val="-13"/>
        </w:rPr>
        <w:t> </w:t>
      </w:r>
      <w:r>
        <w:rPr>
          <w:color w:val="231F20"/>
          <w:spacing w:val="-2"/>
        </w:rPr>
        <w:t>sur</w:t>
      </w:r>
      <w:r>
        <w:rPr>
          <w:color w:val="231F20"/>
          <w:spacing w:val="-12"/>
        </w:rPr>
        <w:t> </w:t>
      </w:r>
      <w:r>
        <w:rPr>
          <w:color w:val="231F20"/>
          <w:spacing w:val="-2"/>
        </w:rPr>
        <w:t>les</w:t>
      </w:r>
      <w:r>
        <w:rPr>
          <w:color w:val="231F20"/>
          <w:spacing w:val="-12"/>
        </w:rPr>
        <w:t> </w:t>
      </w:r>
      <w:r>
        <w:rPr>
          <w:color w:val="231F20"/>
          <w:spacing w:val="-2"/>
        </w:rPr>
        <w:t>réseaux</w:t>
      </w:r>
      <w:r>
        <w:rPr>
          <w:color w:val="231F20"/>
          <w:spacing w:val="-12"/>
        </w:rPr>
        <w:t> </w:t>
      </w:r>
      <w:r>
        <w:rPr>
          <w:color w:val="231F20"/>
          <w:spacing w:val="-2"/>
        </w:rPr>
        <w:t>sociaux</w:t>
      </w:r>
      <w:r>
        <w:rPr>
          <w:color w:val="231F20"/>
          <w:spacing w:val="-12"/>
        </w:rPr>
        <w:t> </w:t>
      </w:r>
      <w:r>
        <w:rPr>
          <w:color w:val="231F20"/>
          <w:spacing w:val="-2"/>
        </w:rPr>
        <w:t>au</w:t>
      </w:r>
      <w:r>
        <w:rPr>
          <w:color w:val="231F20"/>
          <w:spacing w:val="-12"/>
        </w:rPr>
        <w:t> </w:t>
      </w:r>
      <w:r>
        <w:rPr>
          <w:color w:val="231F20"/>
          <w:spacing w:val="-2"/>
        </w:rPr>
        <w:t>début </w:t>
      </w:r>
      <w:r>
        <w:rPr>
          <w:color w:val="231F20"/>
        </w:rPr>
        <w:t>des</w:t>
      </w:r>
      <w:r>
        <w:rPr>
          <w:color w:val="231F20"/>
          <w:spacing w:val="-3"/>
        </w:rPr>
        <w:t> </w:t>
      </w:r>
      <w:r>
        <w:rPr>
          <w:color w:val="231F20"/>
        </w:rPr>
        <w:t>années</w:t>
      </w:r>
      <w:r>
        <w:rPr>
          <w:color w:val="231F20"/>
          <w:spacing w:val="-5"/>
        </w:rPr>
        <w:t> </w:t>
      </w:r>
      <w:r>
        <w:rPr>
          <w:color w:val="231F20"/>
        </w:rPr>
        <w:t>2000.</w:t>
      </w:r>
      <w:r>
        <w:rPr>
          <w:color w:val="231F20"/>
          <w:spacing w:val="-2"/>
        </w:rPr>
        <w:t> </w:t>
      </w:r>
      <w:r>
        <w:rPr>
          <w:color w:val="231F20"/>
        </w:rPr>
        <w:t>«</w:t>
      </w:r>
      <w:r>
        <w:rPr>
          <w:color w:val="231F20"/>
          <w:spacing w:val="-5"/>
        </w:rPr>
        <w:t> </w:t>
      </w:r>
      <w:r>
        <w:rPr>
          <w:i/>
          <w:color w:val="231F20"/>
        </w:rPr>
        <w:t>l'objectivité</w:t>
      </w:r>
      <w:r>
        <w:rPr>
          <w:i/>
          <w:color w:val="231F20"/>
          <w:spacing w:val="-3"/>
        </w:rPr>
        <w:t> </w:t>
      </w:r>
      <w:r>
        <w:rPr>
          <w:i/>
          <w:color w:val="231F20"/>
        </w:rPr>
        <w:t>de</w:t>
      </w:r>
      <w:r>
        <w:rPr>
          <w:i/>
          <w:color w:val="231F20"/>
          <w:spacing w:val="-6"/>
        </w:rPr>
        <w:t> </w:t>
      </w:r>
      <w:r>
        <w:rPr>
          <w:i/>
          <w:color w:val="231F20"/>
        </w:rPr>
        <w:t>la</w:t>
      </w:r>
      <w:r>
        <w:rPr>
          <w:i/>
          <w:color w:val="231F20"/>
          <w:spacing w:val="-2"/>
        </w:rPr>
        <w:t> </w:t>
      </w:r>
      <w:r>
        <w:rPr>
          <w:i/>
          <w:color w:val="231F20"/>
        </w:rPr>
        <w:t>vision</w:t>
      </w:r>
      <w:r>
        <w:rPr>
          <w:i/>
          <w:color w:val="231F20"/>
          <w:spacing w:val="-2"/>
        </w:rPr>
        <w:t> </w:t>
      </w:r>
      <w:r>
        <w:rPr>
          <w:i/>
          <w:color w:val="231F20"/>
        </w:rPr>
        <w:t>partiale</w:t>
      </w:r>
      <w:r>
        <w:rPr>
          <w:i/>
          <w:color w:val="231F20"/>
          <w:spacing w:val="-8"/>
        </w:rPr>
        <w:t> </w:t>
      </w:r>
      <w:r>
        <w:rPr>
          <w:i/>
          <w:color w:val="231F20"/>
        </w:rPr>
        <w:t>»</w:t>
      </w:r>
      <w:r>
        <w:rPr>
          <w:color w:val="76787A"/>
          <w:vertAlign w:val="superscript"/>
        </w:rPr>
        <w:t>262</w:t>
      </w:r>
    </w:p>
    <w:p>
      <w:pPr>
        <w:spacing w:before="121"/>
        <w:ind w:left="111" w:right="104" w:firstLine="340"/>
        <w:jc w:val="both"/>
        <w:rPr>
          <w:i/>
          <w:sz w:val="24"/>
        </w:rPr>
      </w:pPr>
      <w:r>
        <w:rPr>
          <w:i/>
          <w:color w:val="231F20"/>
          <w:sz w:val="24"/>
        </w:rPr>
        <w:t>«</w:t>
      </w:r>
      <w:r>
        <w:rPr>
          <w:i/>
          <w:color w:val="231F20"/>
          <w:spacing w:val="-14"/>
          <w:sz w:val="24"/>
        </w:rPr>
        <w:t> </w:t>
      </w:r>
      <w:r>
        <w:rPr>
          <w:i/>
          <w:color w:val="231F20"/>
          <w:sz w:val="24"/>
        </w:rPr>
        <w:t>Les Noirs ne lisent pas et resteront toujours nos esclaves. Nous</w:t>
      </w:r>
      <w:r>
        <w:rPr>
          <w:i/>
          <w:color w:val="231F20"/>
          <w:sz w:val="24"/>
        </w:rPr>
        <w:t> pouvons</w:t>
      </w:r>
      <w:r>
        <w:rPr>
          <w:i/>
          <w:color w:val="231F20"/>
          <w:spacing w:val="18"/>
          <w:sz w:val="24"/>
        </w:rPr>
        <w:t> </w:t>
      </w:r>
      <w:r>
        <w:rPr>
          <w:i/>
          <w:color w:val="231F20"/>
          <w:sz w:val="24"/>
        </w:rPr>
        <w:t>encore</w:t>
      </w:r>
      <w:r>
        <w:rPr>
          <w:i/>
          <w:color w:val="231F20"/>
          <w:spacing w:val="20"/>
          <w:sz w:val="24"/>
        </w:rPr>
        <w:t> </w:t>
      </w:r>
      <w:r>
        <w:rPr>
          <w:i/>
          <w:color w:val="231F20"/>
          <w:sz w:val="24"/>
        </w:rPr>
        <w:t>continuer</w:t>
      </w:r>
      <w:r>
        <w:rPr>
          <w:i/>
          <w:color w:val="231F20"/>
          <w:spacing w:val="20"/>
          <w:sz w:val="24"/>
        </w:rPr>
        <w:t> </w:t>
      </w:r>
      <w:r>
        <w:rPr>
          <w:i/>
          <w:color w:val="231F20"/>
          <w:sz w:val="24"/>
        </w:rPr>
        <w:t>à</w:t>
      </w:r>
      <w:r>
        <w:rPr>
          <w:i/>
          <w:color w:val="231F20"/>
          <w:spacing w:val="19"/>
          <w:sz w:val="24"/>
        </w:rPr>
        <w:t> </w:t>
      </w:r>
      <w:r>
        <w:rPr>
          <w:i/>
          <w:color w:val="231F20"/>
          <w:sz w:val="24"/>
        </w:rPr>
        <w:t>récolter</w:t>
      </w:r>
      <w:r>
        <w:rPr>
          <w:i/>
          <w:color w:val="231F20"/>
          <w:spacing w:val="19"/>
          <w:sz w:val="24"/>
        </w:rPr>
        <w:t> </w:t>
      </w:r>
      <w:r>
        <w:rPr>
          <w:i/>
          <w:color w:val="231F20"/>
          <w:sz w:val="24"/>
        </w:rPr>
        <w:t>des</w:t>
      </w:r>
      <w:r>
        <w:rPr>
          <w:i/>
          <w:color w:val="231F20"/>
          <w:spacing w:val="20"/>
          <w:sz w:val="24"/>
        </w:rPr>
        <w:t> </w:t>
      </w:r>
      <w:r>
        <w:rPr>
          <w:i/>
          <w:color w:val="231F20"/>
          <w:sz w:val="24"/>
        </w:rPr>
        <w:t>profits</w:t>
      </w:r>
      <w:r>
        <w:rPr>
          <w:i/>
          <w:color w:val="231F20"/>
          <w:spacing w:val="18"/>
          <w:sz w:val="24"/>
        </w:rPr>
        <w:t> </w:t>
      </w:r>
      <w:r>
        <w:rPr>
          <w:i/>
          <w:color w:val="231F20"/>
          <w:sz w:val="24"/>
        </w:rPr>
        <w:t>des</w:t>
      </w:r>
      <w:r>
        <w:rPr>
          <w:i/>
          <w:color w:val="231F20"/>
          <w:spacing w:val="20"/>
          <w:sz w:val="24"/>
        </w:rPr>
        <w:t> </w:t>
      </w:r>
      <w:r>
        <w:rPr>
          <w:i/>
          <w:color w:val="231F20"/>
          <w:sz w:val="24"/>
        </w:rPr>
        <w:t>Noirs</w:t>
      </w:r>
      <w:r>
        <w:rPr>
          <w:i/>
          <w:color w:val="231F20"/>
          <w:spacing w:val="20"/>
          <w:sz w:val="24"/>
        </w:rPr>
        <w:t> </w:t>
      </w:r>
      <w:r>
        <w:rPr>
          <w:i/>
          <w:color w:val="231F20"/>
          <w:sz w:val="24"/>
        </w:rPr>
        <w:t>sans</w:t>
      </w:r>
      <w:r>
        <w:rPr>
          <w:i/>
          <w:color w:val="231F20"/>
          <w:spacing w:val="20"/>
          <w:sz w:val="24"/>
        </w:rPr>
        <w:t> </w:t>
      </w:r>
      <w:r>
        <w:rPr>
          <w:i/>
          <w:color w:val="231F20"/>
          <w:spacing w:val="-2"/>
          <w:sz w:val="24"/>
        </w:rPr>
        <w:t>effort</w:t>
      </w:r>
    </w:p>
    <w:p>
      <w:pPr>
        <w:pStyle w:val="BodyText"/>
        <w:ind w:left="0"/>
        <w:jc w:val="left"/>
        <w:rPr>
          <w:i/>
          <w:sz w:val="20"/>
        </w:rPr>
      </w:pPr>
    </w:p>
    <w:p>
      <w:pPr>
        <w:pStyle w:val="BodyText"/>
        <w:ind w:left="0"/>
        <w:jc w:val="left"/>
        <w:rPr>
          <w:i/>
          <w:sz w:val="20"/>
        </w:rPr>
      </w:pPr>
    </w:p>
    <w:p>
      <w:pPr>
        <w:pStyle w:val="BodyText"/>
        <w:spacing w:before="26"/>
        <w:ind w:left="0"/>
        <w:jc w:val="left"/>
        <w:rPr>
          <w:i/>
          <w:sz w:val="20"/>
        </w:rPr>
      </w:pPr>
      <w:r>
        <w:rPr/>
        <mc:AlternateContent>
          <mc:Choice Requires="wps">
            <w:drawing>
              <wp:anchor distT="0" distB="0" distL="0" distR="0" allowOverlap="1" layoutInCell="1" locked="0" behindDoc="1" simplePos="0" relativeHeight="487667712">
                <wp:simplePos x="0" y="0"/>
                <wp:positionH relativeFrom="page">
                  <wp:posOffset>629907</wp:posOffset>
                </wp:positionH>
                <wp:positionV relativeFrom="paragraph">
                  <wp:posOffset>178117</wp:posOffset>
                </wp:positionV>
                <wp:extent cx="1829435" cy="9525"/>
                <wp:effectExtent l="0" t="0" r="0" b="0"/>
                <wp:wrapTopAndBottom/>
                <wp:docPr id="190" name="Graphic 190"/>
                <wp:cNvGraphicFramePr>
                  <a:graphicFrameLocks/>
                </wp:cNvGraphicFramePr>
                <a:graphic>
                  <a:graphicData uri="http://schemas.microsoft.com/office/word/2010/wordprocessingShape">
                    <wps:wsp>
                      <wps:cNvPr id="190" name="Graphic 19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025pt;width:144.020pt;height:.72pt;mso-position-horizontal-relative:page;mso-position-vertical-relative:paragraph;z-index:-15648768;mso-wrap-distance-left:0;mso-wrap-distance-right:0" id="docshape188"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262</w:t>
      </w:r>
      <w:r>
        <w:rPr>
          <w:color w:val="76787A"/>
          <w:spacing w:val="-15"/>
          <w:sz w:val="20"/>
          <w:vertAlign w:val="baseline"/>
        </w:rPr>
        <w:t> </w:t>
      </w:r>
      <w:r>
        <w:rPr>
          <w:color w:val="231F20"/>
          <w:spacing w:val="-4"/>
          <w:sz w:val="20"/>
          <w:vertAlign w:val="baseline"/>
        </w:rPr>
        <w:t>Titre</w:t>
      </w:r>
      <w:r>
        <w:rPr>
          <w:color w:val="231F20"/>
          <w:spacing w:val="-9"/>
          <w:sz w:val="20"/>
          <w:vertAlign w:val="baseline"/>
        </w:rPr>
        <w:t> </w:t>
      </w:r>
      <w:r>
        <w:rPr>
          <w:color w:val="231F20"/>
          <w:spacing w:val="-4"/>
          <w:sz w:val="20"/>
          <w:vertAlign w:val="baseline"/>
        </w:rPr>
        <w:t>de</w:t>
      </w:r>
      <w:r>
        <w:rPr>
          <w:color w:val="231F20"/>
          <w:spacing w:val="-9"/>
          <w:sz w:val="20"/>
          <w:vertAlign w:val="baseline"/>
        </w:rPr>
        <w:t> </w:t>
      </w:r>
      <w:r>
        <w:rPr>
          <w:color w:val="231F20"/>
          <w:spacing w:val="-4"/>
          <w:sz w:val="20"/>
          <w:vertAlign w:val="baseline"/>
        </w:rPr>
        <w:t>l'article</w:t>
      </w:r>
      <w:r>
        <w:rPr>
          <w:color w:val="231F20"/>
          <w:spacing w:val="-9"/>
          <w:sz w:val="20"/>
          <w:vertAlign w:val="baseline"/>
        </w:rPr>
        <w:t> </w:t>
      </w:r>
      <w:r>
        <w:rPr>
          <w:color w:val="231F20"/>
          <w:spacing w:val="-4"/>
          <w:sz w:val="20"/>
          <w:vertAlign w:val="baseline"/>
        </w:rPr>
        <w:t>que</w:t>
      </w:r>
      <w:r>
        <w:rPr>
          <w:color w:val="231F20"/>
          <w:spacing w:val="-9"/>
          <w:sz w:val="20"/>
          <w:vertAlign w:val="baseline"/>
        </w:rPr>
        <w:t> </w:t>
      </w:r>
      <w:r>
        <w:rPr>
          <w:color w:val="231F20"/>
          <w:spacing w:val="-4"/>
          <w:sz w:val="20"/>
          <w:vertAlign w:val="baseline"/>
        </w:rPr>
        <w:t>Dee</w:t>
      </w:r>
      <w:r>
        <w:rPr>
          <w:color w:val="231F20"/>
          <w:spacing w:val="-9"/>
          <w:sz w:val="20"/>
          <w:vertAlign w:val="baseline"/>
        </w:rPr>
        <w:t> </w:t>
      </w:r>
      <w:r>
        <w:rPr>
          <w:color w:val="231F20"/>
          <w:spacing w:val="-4"/>
          <w:sz w:val="20"/>
          <w:vertAlign w:val="baseline"/>
        </w:rPr>
        <w:t>Lee,</w:t>
      </w:r>
      <w:r>
        <w:rPr>
          <w:color w:val="231F20"/>
          <w:spacing w:val="-9"/>
          <w:sz w:val="20"/>
          <w:vertAlign w:val="baseline"/>
        </w:rPr>
        <w:t> </w:t>
      </w:r>
      <w:r>
        <w:rPr>
          <w:color w:val="231F20"/>
          <w:spacing w:val="-4"/>
          <w:sz w:val="20"/>
          <w:vertAlign w:val="baseline"/>
        </w:rPr>
        <w:t>un</w:t>
      </w:r>
      <w:r>
        <w:rPr>
          <w:color w:val="231F20"/>
          <w:spacing w:val="-5"/>
          <w:sz w:val="20"/>
          <w:vertAlign w:val="baseline"/>
        </w:rPr>
        <w:t> </w:t>
      </w:r>
      <w:r>
        <w:rPr>
          <w:color w:val="231F20"/>
          <w:spacing w:val="-4"/>
          <w:sz w:val="20"/>
          <w:vertAlign w:val="baseline"/>
        </w:rPr>
        <w:t>Américain</w:t>
      </w:r>
      <w:r>
        <w:rPr>
          <w:color w:val="231F20"/>
          <w:spacing w:val="-9"/>
          <w:sz w:val="20"/>
          <w:vertAlign w:val="baseline"/>
        </w:rPr>
        <w:t> </w:t>
      </w:r>
      <w:r>
        <w:rPr>
          <w:color w:val="231F20"/>
          <w:spacing w:val="-4"/>
          <w:sz w:val="20"/>
          <w:vertAlign w:val="baseline"/>
        </w:rPr>
        <w:t>blanc</w:t>
      </w:r>
      <w:r>
        <w:rPr>
          <w:color w:val="231F20"/>
          <w:spacing w:val="-9"/>
          <w:sz w:val="20"/>
          <w:vertAlign w:val="baseline"/>
        </w:rPr>
        <w:t> </w:t>
      </w:r>
      <w:r>
        <w:rPr>
          <w:color w:val="231F20"/>
          <w:spacing w:val="-4"/>
          <w:sz w:val="20"/>
          <w:vertAlign w:val="baseline"/>
        </w:rPr>
        <w:t>avait</w:t>
      </w:r>
      <w:r>
        <w:rPr>
          <w:color w:val="231F20"/>
          <w:spacing w:val="-10"/>
          <w:sz w:val="20"/>
          <w:vertAlign w:val="baseline"/>
        </w:rPr>
        <w:t> </w:t>
      </w:r>
      <w:r>
        <w:rPr>
          <w:color w:val="231F20"/>
          <w:spacing w:val="-4"/>
          <w:sz w:val="20"/>
          <w:vertAlign w:val="baseline"/>
        </w:rPr>
        <w:t>lu</w:t>
      </w:r>
      <w:r>
        <w:rPr>
          <w:color w:val="231F20"/>
          <w:spacing w:val="-8"/>
          <w:sz w:val="20"/>
          <w:vertAlign w:val="baseline"/>
        </w:rPr>
        <w:t> </w:t>
      </w:r>
      <w:r>
        <w:rPr>
          <w:color w:val="231F20"/>
          <w:spacing w:val="-4"/>
          <w:sz w:val="20"/>
          <w:vertAlign w:val="baseline"/>
        </w:rPr>
        <w:t>un</w:t>
      </w:r>
      <w:r>
        <w:rPr>
          <w:color w:val="231F20"/>
          <w:spacing w:val="-8"/>
          <w:sz w:val="20"/>
          <w:vertAlign w:val="baseline"/>
        </w:rPr>
        <w:t> </w:t>
      </w:r>
      <w:r>
        <w:rPr>
          <w:color w:val="231F20"/>
          <w:spacing w:val="-4"/>
          <w:sz w:val="20"/>
          <w:vertAlign w:val="baseline"/>
        </w:rPr>
        <w:t>matin</w:t>
      </w:r>
      <w:r>
        <w:rPr>
          <w:color w:val="231F20"/>
          <w:spacing w:val="-8"/>
          <w:sz w:val="20"/>
          <w:vertAlign w:val="baseline"/>
        </w:rPr>
        <w:t> </w:t>
      </w:r>
      <w:r>
        <w:rPr>
          <w:color w:val="231F20"/>
          <w:spacing w:val="-4"/>
          <w:sz w:val="20"/>
          <w:vertAlign w:val="baseline"/>
        </w:rPr>
        <w:t>sur</w:t>
      </w:r>
      <w:r>
        <w:rPr>
          <w:color w:val="231F20"/>
          <w:spacing w:val="-5"/>
          <w:sz w:val="20"/>
          <w:vertAlign w:val="baseline"/>
        </w:rPr>
        <w:t> </w:t>
      </w:r>
      <w:r>
        <w:rPr>
          <w:color w:val="231F20"/>
          <w:spacing w:val="-4"/>
          <w:sz w:val="20"/>
          <w:vertAlign w:val="baseline"/>
        </w:rPr>
        <w:t>les</w:t>
      </w:r>
      <w:r>
        <w:rPr>
          <w:color w:val="231F20"/>
          <w:spacing w:val="-10"/>
          <w:sz w:val="20"/>
          <w:vertAlign w:val="baseline"/>
        </w:rPr>
        <w:t> </w:t>
      </w:r>
      <w:r>
        <w:rPr>
          <w:color w:val="231F20"/>
          <w:spacing w:val="-4"/>
          <w:sz w:val="20"/>
          <w:vertAlign w:val="baseline"/>
        </w:rPr>
        <w:t>ondes</w:t>
      </w:r>
      <w:r>
        <w:rPr>
          <w:color w:val="231F20"/>
          <w:spacing w:val="-10"/>
          <w:sz w:val="20"/>
          <w:vertAlign w:val="baseline"/>
        </w:rPr>
        <w:t> </w:t>
      </w:r>
      <w:r>
        <w:rPr>
          <w:color w:val="231F20"/>
          <w:spacing w:val="-4"/>
          <w:sz w:val="20"/>
          <w:vertAlign w:val="baseline"/>
        </w:rPr>
        <w:t>d'une </w:t>
      </w:r>
      <w:r>
        <w:rPr>
          <w:color w:val="231F20"/>
          <w:sz w:val="20"/>
          <w:vertAlign w:val="baseline"/>
        </w:rPr>
        <w:t>station de radio de new York.</w:t>
      </w:r>
    </w:p>
    <w:p>
      <w:pPr>
        <w:spacing w:after="0"/>
        <w:jc w:val="left"/>
        <w:rPr>
          <w:sz w:val="20"/>
        </w:rPr>
        <w:sectPr>
          <w:footerReference w:type="default" r:id="rId56"/>
          <w:footerReference w:type="even" r:id="rId57"/>
          <w:pgSz w:w="8790" w:h="13610"/>
          <w:pgMar w:header="0" w:footer="802" w:top="1540" w:bottom="1000" w:left="880" w:right="880"/>
          <w:pgNumType w:start="243"/>
        </w:sectPr>
      </w:pPr>
    </w:p>
    <w:p>
      <w:pPr>
        <w:spacing w:before="66"/>
        <w:ind w:left="111" w:right="110" w:firstLine="0"/>
        <w:jc w:val="both"/>
        <w:rPr>
          <w:i/>
          <w:sz w:val="24"/>
        </w:rPr>
      </w:pPr>
      <w:r>
        <w:rPr>
          <w:i/>
          <w:color w:val="231F20"/>
          <w:spacing w:val="-4"/>
          <w:sz w:val="24"/>
        </w:rPr>
        <w:t>physique</w:t>
      </w:r>
      <w:r>
        <w:rPr>
          <w:i/>
          <w:color w:val="231F20"/>
          <w:spacing w:val="-6"/>
          <w:sz w:val="24"/>
        </w:rPr>
        <w:t> </w:t>
      </w:r>
      <w:r>
        <w:rPr>
          <w:i/>
          <w:color w:val="231F20"/>
          <w:spacing w:val="-4"/>
          <w:sz w:val="24"/>
        </w:rPr>
        <w:t>de</w:t>
      </w:r>
      <w:r>
        <w:rPr>
          <w:i/>
          <w:color w:val="231F20"/>
          <w:spacing w:val="-10"/>
          <w:sz w:val="24"/>
        </w:rPr>
        <w:t> </w:t>
      </w:r>
      <w:r>
        <w:rPr>
          <w:i/>
          <w:color w:val="231F20"/>
          <w:spacing w:val="-4"/>
          <w:sz w:val="24"/>
        </w:rPr>
        <w:t>notre</w:t>
      </w:r>
      <w:r>
        <w:rPr>
          <w:i/>
          <w:color w:val="231F20"/>
          <w:spacing w:val="-10"/>
          <w:sz w:val="24"/>
        </w:rPr>
        <w:t> </w:t>
      </w:r>
      <w:r>
        <w:rPr>
          <w:i/>
          <w:color w:val="231F20"/>
          <w:spacing w:val="-4"/>
          <w:sz w:val="24"/>
        </w:rPr>
        <w:t>part.</w:t>
      </w:r>
      <w:r>
        <w:rPr>
          <w:i/>
          <w:color w:val="231F20"/>
          <w:spacing w:val="-9"/>
          <w:sz w:val="24"/>
        </w:rPr>
        <w:t> </w:t>
      </w:r>
      <w:r>
        <w:rPr>
          <w:i/>
          <w:color w:val="231F20"/>
          <w:spacing w:val="-4"/>
          <w:sz w:val="24"/>
        </w:rPr>
        <w:t>Regardez</w:t>
      </w:r>
      <w:r>
        <w:rPr>
          <w:i/>
          <w:color w:val="231F20"/>
          <w:spacing w:val="-9"/>
          <w:sz w:val="24"/>
        </w:rPr>
        <w:t> </w:t>
      </w:r>
      <w:r>
        <w:rPr>
          <w:i/>
          <w:color w:val="231F20"/>
          <w:spacing w:val="-4"/>
          <w:sz w:val="24"/>
        </w:rPr>
        <w:t>les</w:t>
      </w:r>
      <w:r>
        <w:rPr>
          <w:i/>
          <w:color w:val="231F20"/>
          <w:spacing w:val="-7"/>
          <w:sz w:val="24"/>
        </w:rPr>
        <w:t> </w:t>
      </w:r>
      <w:r>
        <w:rPr>
          <w:i/>
          <w:color w:val="231F20"/>
          <w:spacing w:val="-4"/>
          <w:sz w:val="24"/>
        </w:rPr>
        <w:t>méthodes</w:t>
      </w:r>
      <w:r>
        <w:rPr>
          <w:i/>
          <w:color w:val="231F20"/>
          <w:spacing w:val="-9"/>
          <w:sz w:val="24"/>
        </w:rPr>
        <w:t> </w:t>
      </w:r>
      <w:r>
        <w:rPr>
          <w:i/>
          <w:color w:val="231F20"/>
          <w:spacing w:val="-4"/>
          <w:sz w:val="24"/>
        </w:rPr>
        <w:t>actuelles</w:t>
      </w:r>
      <w:r>
        <w:rPr>
          <w:i/>
          <w:color w:val="231F20"/>
          <w:spacing w:val="-9"/>
          <w:sz w:val="24"/>
        </w:rPr>
        <w:t> </w:t>
      </w:r>
      <w:r>
        <w:rPr>
          <w:i/>
          <w:color w:val="231F20"/>
          <w:spacing w:val="-4"/>
          <w:sz w:val="24"/>
        </w:rPr>
        <w:t>de</w:t>
      </w:r>
      <w:r>
        <w:rPr>
          <w:i/>
          <w:color w:val="231F20"/>
          <w:spacing w:val="-7"/>
          <w:sz w:val="24"/>
        </w:rPr>
        <w:t> </w:t>
      </w:r>
      <w:r>
        <w:rPr>
          <w:i/>
          <w:color w:val="231F20"/>
          <w:spacing w:val="-4"/>
          <w:sz w:val="24"/>
        </w:rPr>
        <w:t>maintien</w:t>
      </w:r>
      <w:r>
        <w:rPr>
          <w:i/>
          <w:color w:val="231F20"/>
          <w:spacing w:val="-9"/>
          <w:sz w:val="24"/>
        </w:rPr>
        <w:t> </w:t>
      </w:r>
      <w:r>
        <w:rPr>
          <w:i/>
          <w:color w:val="231F20"/>
          <w:spacing w:val="-4"/>
          <w:sz w:val="24"/>
        </w:rPr>
        <w:t>dans</w:t>
      </w:r>
      <w:r>
        <w:rPr>
          <w:i/>
          <w:color w:val="231F20"/>
          <w:spacing w:val="-4"/>
          <w:sz w:val="24"/>
        </w:rPr>
        <w:t> </w:t>
      </w:r>
      <w:r>
        <w:rPr>
          <w:i/>
          <w:color w:val="231F20"/>
          <w:spacing w:val="-2"/>
          <w:sz w:val="24"/>
        </w:rPr>
        <w:t>l'esclavage</w:t>
      </w:r>
      <w:r>
        <w:rPr>
          <w:i/>
          <w:color w:val="231F20"/>
          <w:spacing w:val="-7"/>
          <w:sz w:val="24"/>
        </w:rPr>
        <w:t> </w:t>
      </w:r>
      <w:r>
        <w:rPr>
          <w:i/>
          <w:color w:val="231F20"/>
          <w:spacing w:val="-2"/>
          <w:sz w:val="24"/>
        </w:rPr>
        <w:t>qu'ils</w:t>
      </w:r>
      <w:r>
        <w:rPr>
          <w:i/>
          <w:color w:val="231F20"/>
          <w:spacing w:val="-6"/>
          <w:sz w:val="24"/>
        </w:rPr>
        <w:t> </w:t>
      </w:r>
      <w:r>
        <w:rPr>
          <w:i/>
          <w:color w:val="231F20"/>
          <w:spacing w:val="-2"/>
          <w:sz w:val="24"/>
        </w:rPr>
        <w:t>s'imposent</w:t>
      </w:r>
      <w:r>
        <w:rPr>
          <w:i/>
          <w:color w:val="231F20"/>
          <w:spacing w:val="-3"/>
          <w:sz w:val="24"/>
        </w:rPr>
        <w:t> </w:t>
      </w:r>
      <w:r>
        <w:rPr>
          <w:i/>
          <w:color w:val="231F20"/>
          <w:spacing w:val="-2"/>
          <w:sz w:val="24"/>
        </w:rPr>
        <w:t>eux-mêmes</w:t>
      </w:r>
      <w:r>
        <w:rPr>
          <w:i/>
          <w:color w:val="231F20"/>
          <w:spacing w:val="-3"/>
          <w:sz w:val="24"/>
        </w:rPr>
        <w:t> </w:t>
      </w:r>
      <w:r>
        <w:rPr>
          <w:i/>
          <w:color w:val="231F20"/>
          <w:spacing w:val="-2"/>
          <w:sz w:val="24"/>
        </w:rPr>
        <w:t>:</w:t>
      </w:r>
      <w:r>
        <w:rPr>
          <w:i/>
          <w:color w:val="231F20"/>
          <w:spacing w:val="-6"/>
          <w:sz w:val="24"/>
        </w:rPr>
        <w:t> </w:t>
      </w:r>
      <w:r>
        <w:rPr>
          <w:i/>
          <w:color w:val="231F20"/>
          <w:spacing w:val="-2"/>
          <w:sz w:val="24"/>
        </w:rPr>
        <w:t>ignorance,</w:t>
      </w:r>
      <w:r>
        <w:rPr>
          <w:i/>
          <w:color w:val="231F20"/>
          <w:spacing w:val="-3"/>
          <w:sz w:val="24"/>
        </w:rPr>
        <w:t> </w:t>
      </w:r>
      <w:r>
        <w:rPr>
          <w:i/>
          <w:color w:val="231F20"/>
          <w:spacing w:val="-2"/>
          <w:sz w:val="24"/>
        </w:rPr>
        <w:t>avidité</w:t>
      </w:r>
      <w:r>
        <w:rPr>
          <w:i/>
          <w:color w:val="231F20"/>
          <w:spacing w:val="-3"/>
          <w:sz w:val="24"/>
        </w:rPr>
        <w:t> </w:t>
      </w:r>
      <w:r>
        <w:rPr>
          <w:i/>
          <w:color w:val="231F20"/>
          <w:spacing w:val="-2"/>
          <w:sz w:val="24"/>
        </w:rPr>
        <w:t>et</w:t>
      </w:r>
      <w:r>
        <w:rPr>
          <w:i/>
          <w:color w:val="231F20"/>
          <w:spacing w:val="-3"/>
          <w:sz w:val="24"/>
        </w:rPr>
        <w:t> </w:t>
      </w:r>
      <w:r>
        <w:rPr>
          <w:i/>
          <w:color w:val="231F20"/>
          <w:spacing w:val="-2"/>
          <w:sz w:val="24"/>
        </w:rPr>
        <w:t>égoïsme.</w:t>
      </w:r>
    </w:p>
    <w:p>
      <w:pPr>
        <w:spacing w:before="120"/>
        <w:ind w:left="111" w:right="104" w:firstLine="283"/>
        <w:jc w:val="both"/>
        <w:rPr>
          <w:i/>
          <w:sz w:val="24"/>
        </w:rPr>
      </w:pPr>
      <w:r>
        <w:rPr>
          <w:i/>
          <w:color w:val="231F20"/>
          <w:sz w:val="24"/>
        </w:rPr>
        <w:t>Leur ignorance constitue la première arme de ce maintien en</w:t>
      </w:r>
      <w:r>
        <w:rPr>
          <w:i/>
          <w:color w:val="231F20"/>
          <w:sz w:val="24"/>
        </w:rPr>
        <w:t> esclavage. Un grand homme une fois déclara « la meilleure façon de </w:t>
      </w:r>
      <w:r>
        <w:rPr>
          <w:i/>
          <w:color w:val="231F20"/>
          <w:spacing w:val="-2"/>
          <w:sz w:val="24"/>
        </w:rPr>
        <w:t>cacher</w:t>
      </w:r>
      <w:r>
        <w:rPr>
          <w:i/>
          <w:color w:val="231F20"/>
          <w:spacing w:val="-9"/>
          <w:sz w:val="24"/>
        </w:rPr>
        <w:t> </w:t>
      </w:r>
      <w:r>
        <w:rPr>
          <w:i/>
          <w:color w:val="231F20"/>
          <w:spacing w:val="-2"/>
          <w:sz w:val="24"/>
        </w:rPr>
        <w:t>quelque</w:t>
      </w:r>
      <w:r>
        <w:rPr>
          <w:i/>
          <w:color w:val="231F20"/>
          <w:spacing w:val="-9"/>
          <w:sz w:val="24"/>
        </w:rPr>
        <w:t> </w:t>
      </w:r>
      <w:r>
        <w:rPr>
          <w:i/>
          <w:color w:val="231F20"/>
          <w:spacing w:val="-2"/>
          <w:sz w:val="24"/>
        </w:rPr>
        <w:t>chose</w:t>
      </w:r>
      <w:r>
        <w:rPr>
          <w:i/>
          <w:color w:val="231F20"/>
          <w:spacing w:val="-9"/>
          <w:sz w:val="24"/>
        </w:rPr>
        <w:t> </w:t>
      </w:r>
      <w:r>
        <w:rPr>
          <w:i/>
          <w:color w:val="231F20"/>
          <w:spacing w:val="-2"/>
          <w:sz w:val="24"/>
        </w:rPr>
        <w:t>à</w:t>
      </w:r>
      <w:r>
        <w:rPr>
          <w:i/>
          <w:color w:val="231F20"/>
          <w:spacing w:val="-12"/>
          <w:sz w:val="24"/>
        </w:rPr>
        <w:t> </w:t>
      </w:r>
      <w:r>
        <w:rPr>
          <w:i/>
          <w:color w:val="231F20"/>
          <w:spacing w:val="-2"/>
          <w:sz w:val="24"/>
        </w:rPr>
        <w:t>un</w:t>
      </w:r>
      <w:r>
        <w:rPr>
          <w:i/>
          <w:color w:val="231F20"/>
          <w:spacing w:val="-9"/>
          <w:sz w:val="24"/>
        </w:rPr>
        <w:t> </w:t>
      </w:r>
      <w:r>
        <w:rPr>
          <w:i/>
          <w:color w:val="231F20"/>
          <w:spacing w:val="-2"/>
          <w:sz w:val="24"/>
        </w:rPr>
        <w:t>Noir</w:t>
      </w:r>
      <w:r>
        <w:rPr>
          <w:i/>
          <w:color w:val="231F20"/>
          <w:spacing w:val="-9"/>
          <w:sz w:val="24"/>
        </w:rPr>
        <w:t> </w:t>
      </w:r>
      <w:r>
        <w:rPr>
          <w:i/>
          <w:color w:val="231F20"/>
          <w:spacing w:val="-2"/>
          <w:sz w:val="24"/>
        </w:rPr>
        <w:t>est</w:t>
      </w:r>
      <w:r>
        <w:rPr>
          <w:i/>
          <w:color w:val="231F20"/>
          <w:spacing w:val="-12"/>
          <w:sz w:val="24"/>
        </w:rPr>
        <w:t> </w:t>
      </w:r>
      <w:r>
        <w:rPr>
          <w:i/>
          <w:color w:val="231F20"/>
          <w:spacing w:val="-2"/>
          <w:sz w:val="24"/>
        </w:rPr>
        <w:t>de</w:t>
      </w:r>
      <w:r>
        <w:rPr>
          <w:i/>
          <w:color w:val="231F20"/>
          <w:spacing w:val="-9"/>
          <w:sz w:val="24"/>
        </w:rPr>
        <w:t> </w:t>
      </w:r>
      <w:r>
        <w:rPr>
          <w:i/>
          <w:color w:val="231F20"/>
          <w:spacing w:val="-2"/>
          <w:sz w:val="24"/>
        </w:rPr>
        <w:t>le</w:t>
      </w:r>
      <w:r>
        <w:rPr>
          <w:i/>
          <w:color w:val="231F20"/>
          <w:spacing w:val="-9"/>
          <w:sz w:val="24"/>
        </w:rPr>
        <w:t> </w:t>
      </w:r>
      <w:r>
        <w:rPr>
          <w:i/>
          <w:color w:val="231F20"/>
          <w:spacing w:val="-2"/>
          <w:sz w:val="24"/>
        </w:rPr>
        <w:t>mettre</w:t>
      </w:r>
      <w:r>
        <w:rPr>
          <w:i/>
          <w:color w:val="231F20"/>
          <w:spacing w:val="-13"/>
          <w:sz w:val="24"/>
        </w:rPr>
        <w:t> </w:t>
      </w:r>
      <w:r>
        <w:rPr>
          <w:i/>
          <w:color w:val="231F20"/>
          <w:spacing w:val="-2"/>
          <w:sz w:val="24"/>
        </w:rPr>
        <w:t>dans</w:t>
      </w:r>
      <w:r>
        <w:rPr>
          <w:i/>
          <w:color w:val="231F20"/>
          <w:spacing w:val="-9"/>
          <w:sz w:val="24"/>
        </w:rPr>
        <w:t> </w:t>
      </w:r>
      <w:r>
        <w:rPr>
          <w:i/>
          <w:color w:val="231F20"/>
          <w:spacing w:val="-2"/>
          <w:sz w:val="24"/>
        </w:rPr>
        <w:t>un</w:t>
      </w:r>
      <w:r>
        <w:rPr>
          <w:i/>
          <w:color w:val="231F20"/>
          <w:spacing w:val="-12"/>
          <w:sz w:val="24"/>
        </w:rPr>
        <w:t> </w:t>
      </w:r>
      <w:r>
        <w:rPr>
          <w:i/>
          <w:color w:val="231F20"/>
          <w:spacing w:val="-2"/>
          <w:sz w:val="24"/>
        </w:rPr>
        <w:t>livre».</w:t>
      </w:r>
      <w:r>
        <w:rPr>
          <w:i/>
          <w:color w:val="231F20"/>
          <w:spacing w:val="-9"/>
          <w:sz w:val="24"/>
        </w:rPr>
        <w:t> </w:t>
      </w:r>
      <w:r>
        <w:rPr>
          <w:i/>
          <w:color w:val="231F20"/>
          <w:spacing w:val="-2"/>
          <w:sz w:val="24"/>
        </w:rPr>
        <w:t>(…)</w:t>
      </w:r>
      <w:r>
        <w:rPr>
          <w:i/>
          <w:color w:val="231F20"/>
          <w:spacing w:val="-9"/>
          <w:sz w:val="24"/>
        </w:rPr>
        <w:t> </w:t>
      </w:r>
      <w:r>
        <w:rPr>
          <w:i/>
          <w:color w:val="231F20"/>
          <w:spacing w:val="-2"/>
          <w:sz w:val="24"/>
        </w:rPr>
        <w:t>mais </w:t>
      </w:r>
      <w:r>
        <w:rPr>
          <w:i/>
          <w:color w:val="231F20"/>
          <w:sz w:val="24"/>
        </w:rPr>
        <w:t>peu</w:t>
      </w:r>
      <w:r>
        <w:rPr>
          <w:i/>
          <w:color w:val="231F20"/>
          <w:spacing w:val="-12"/>
          <w:sz w:val="24"/>
        </w:rPr>
        <w:t> </w:t>
      </w:r>
      <w:r>
        <w:rPr>
          <w:i/>
          <w:color w:val="231F20"/>
          <w:sz w:val="24"/>
        </w:rPr>
        <w:t>d'entre</w:t>
      </w:r>
      <w:r>
        <w:rPr>
          <w:i/>
          <w:color w:val="231F20"/>
          <w:spacing w:val="-10"/>
          <w:sz w:val="24"/>
        </w:rPr>
        <w:t> </w:t>
      </w:r>
      <w:r>
        <w:rPr>
          <w:i/>
          <w:color w:val="231F20"/>
          <w:sz w:val="24"/>
        </w:rPr>
        <w:t>eux</w:t>
      </w:r>
      <w:r>
        <w:rPr>
          <w:i/>
          <w:color w:val="231F20"/>
          <w:spacing w:val="-12"/>
          <w:sz w:val="24"/>
        </w:rPr>
        <w:t> </w:t>
      </w:r>
      <w:r>
        <w:rPr>
          <w:i/>
          <w:color w:val="231F20"/>
          <w:sz w:val="24"/>
        </w:rPr>
        <w:t>lisent</w:t>
      </w:r>
      <w:r>
        <w:rPr>
          <w:i/>
          <w:color w:val="231F20"/>
          <w:spacing w:val="-12"/>
          <w:sz w:val="24"/>
        </w:rPr>
        <w:t> </w:t>
      </w:r>
      <w:r>
        <w:rPr>
          <w:i/>
          <w:color w:val="231F20"/>
          <w:sz w:val="24"/>
        </w:rPr>
        <w:t>de</w:t>
      </w:r>
      <w:r>
        <w:rPr>
          <w:i/>
          <w:color w:val="231F20"/>
          <w:spacing w:val="-10"/>
          <w:sz w:val="24"/>
        </w:rPr>
        <w:t> </w:t>
      </w:r>
      <w:r>
        <w:rPr>
          <w:i/>
          <w:color w:val="231F20"/>
          <w:sz w:val="24"/>
        </w:rPr>
        <w:t>façon</w:t>
      </w:r>
      <w:r>
        <w:rPr>
          <w:i/>
          <w:color w:val="231F20"/>
          <w:spacing w:val="-10"/>
          <w:sz w:val="24"/>
        </w:rPr>
        <w:t> </w:t>
      </w:r>
      <w:r>
        <w:rPr>
          <w:i/>
          <w:color w:val="231F20"/>
          <w:sz w:val="24"/>
        </w:rPr>
        <w:t>soutenue</w:t>
      </w:r>
      <w:r>
        <w:rPr>
          <w:i/>
          <w:color w:val="231F20"/>
          <w:spacing w:val="-15"/>
          <w:sz w:val="24"/>
        </w:rPr>
        <w:t> </w:t>
      </w:r>
      <w:r>
        <w:rPr>
          <w:i/>
          <w:color w:val="231F20"/>
          <w:sz w:val="24"/>
        </w:rPr>
        <w:t>;</w:t>
      </w:r>
      <w:r>
        <w:rPr>
          <w:i/>
          <w:color w:val="231F20"/>
          <w:spacing w:val="-10"/>
          <w:sz w:val="24"/>
        </w:rPr>
        <w:t> </w:t>
      </w:r>
      <w:r>
        <w:rPr>
          <w:i/>
          <w:color w:val="231F20"/>
          <w:sz w:val="24"/>
        </w:rPr>
        <w:t>si</w:t>
      </w:r>
      <w:r>
        <w:rPr>
          <w:i/>
          <w:color w:val="231F20"/>
          <w:spacing w:val="-12"/>
          <w:sz w:val="24"/>
        </w:rPr>
        <w:t> </w:t>
      </w:r>
      <w:r>
        <w:rPr>
          <w:i/>
          <w:color w:val="231F20"/>
          <w:sz w:val="24"/>
        </w:rPr>
        <w:t>jamais</w:t>
      </w:r>
      <w:r>
        <w:rPr>
          <w:i/>
          <w:color w:val="231F20"/>
          <w:spacing w:val="-12"/>
          <w:sz w:val="24"/>
        </w:rPr>
        <w:t> </w:t>
      </w:r>
      <w:r>
        <w:rPr>
          <w:i/>
          <w:color w:val="231F20"/>
          <w:sz w:val="24"/>
        </w:rPr>
        <w:t>ils</w:t>
      </w:r>
      <w:r>
        <w:rPr>
          <w:i/>
          <w:color w:val="231F20"/>
          <w:spacing w:val="-10"/>
          <w:sz w:val="24"/>
        </w:rPr>
        <w:t> </w:t>
      </w:r>
      <w:r>
        <w:rPr>
          <w:i/>
          <w:color w:val="231F20"/>
          <w:sz w:val="24"/>
        </w:rPr>
        <w:t>lisent,</w:t>
      </w:r>
      <w:r>
        <w:rPr>
          <w:i/>
          <w:color w:val="231F20"/>
          <w:spacing w:val="-12"/>
          <w:sz w:val="24"/>
        </w:rPr>
        <w:t> </w:t>
      </w:r>
      <w:r>
        <w:rPr>
          <w:i/>
          <w:color w:val="231F20"/>
          <w:sz w:val="24"/>
        </w:rPr>
        <w:t>ils</w:t>
      </w:r>
      <w:r>
        <w:rPr>
          <w:i/>
          <w:color w:val="231F20"/>
          <w:spacing w:val="-10"/>
          <w:sz w:val="24"/>
        </w:rPr>
        <w:t> </w:t>
      </w:r>
      <w:r>
        <w:rPr>
          <w:i/>
          <w:color w:val="231F20"/>
          <w:sz w:val="24"/>
        </w:rPr>
        <w:t>gardent les</w:t>
      </w:r>
      <w:r>
        <w:rPr>
          <w:i/>
          <w:color w:val="231F20"/>
          <w:spacing w:val="-5"/>
          <w:sz w:val="24"/>
        </w:rPr>
        <w:t> </w:t>
      </w:r>
      <w:r>
        <w:rPr>
          <w:i/>
          <w:color w:val="231F20"/>
          <w:sz w:val="24"/>
        </w:rPr>
        <w:t>informations</w:t>
      </w:r>
      <w:r>
        <w:rPr>
          <w:i/>
          <w:color w:val="231F20"/>
          <w:spacing w:val="-4"/>
          <w:sz w:val="24"/>
        </w:rPr>
        <w:t> </w:t>
      </w:r>
      <w:r>
        <w:rPr>
          <w:i/>
          <w:color w:val="231F20"/>
          <w:sz w:val="24"/>
        </w:rPr>
        <w:t>pour</w:t>
      </w:r>
      <w:r>
        <w:rPr>
          <w:i/>
          <w:color w:val="231F20"/>
          <w:spacing w:val="-4"/>
          <w:sz w:val="24"/>
        </w:rPr>
        <w:t> </w:t>
      </w:r>
      <w:r>
        <w:rPr>
          <w:i/>
          <w:color w:val="231F20"/>
          <w:sz w:val="24"/>
        </w:rPr>
        <w:t>eux-mêmes</w:t>
      </w:r>
      <w:r>
        <w:rPr>
          <w:i/>
          <w:color w:val="231F20"/>
          <w:spacing w:val="-2"/>
          <w:sz w:val="24"/>
        </w:rPr>
        <w:t> </w:t>
      </w:r>
      <w:r>
        <w:rPr>
          <w:i/>
          <w:color w:val="231F20"/>
          <w:sz w:val="24"/>
        </w:rPr>
        <w:t>et</w:t>
      </w:r>
      <w:r>
        <w:rPr>
          <w:i/>
          <w:color w:val="231F20"/>
          <w:spacing w:val="-4"/>
          <w:sz w:val="24"/>
        </w:rPr>
        <w:t> </w:t>
      </w:r>
      <w:r>
        <w:rPr>
          <w:i/>
          <w:color w:val="231F20"/>
          <w:sz w:val="24"/>
        </w:rPr>
        <w:t>ensuite</w:t>
      </w:r>
      <w:r>
        <w:rPr>
          <w:i/>
          <w:color w:val="231F20"/>
          <w:spacing w:val="-5"/>
          <w:sz w:val="24"/>
        </w:rPr>
        <w:t> </w:t>
      </w:r>
      <w:r>
        <w:rPr>
          <w:i/>
          <w:color w:val="231F20"/>
          <w:sz w:val="24"/>
        </w:rPr>
        <w:t>ils</w:t>
      </w:r>
      <w:r>
        <w:rPr>
          <w:i/>
          <w:color w:val="231F20"/>
          <w:spacing w:val="-4"/>
          <w:sz w:val="24"/>
        </w:rPr>
        <w:t> </w:t>
      </w:r>
      <w:r>
        <w:rPr>
          <w:i/>
          <w:color w:val="231F20"/>
          <w:sz w:val="24"/>
        </w:rPr>
        <w:t>n'écrivent</w:t>
      </w:r>
      <w:r>
        <w:rPr>
          <w:i/>
          <w:color w:val="231F20"/>
          <w:spacing w:val="-4"/>
          <w:sz w:val="24"/>
        </w:rPr>
        <w:t> </w:t>
      </w:r>
      <w:r>
        <w:rPr>
          <w:i/>
          <w:color w:val="231F20"/>
          <w:sz w:val="24"/>
        </w:rPr>
        <w:t>pas</w:t>
      </w:r>
      <w:r>
        <w:rPr>
          <w:i/>
          <w:color w:val="231F20"/>
          <w:spacing w:val="-5"/>
          <w:sz w:val="24"/>
        </w:rPr>
        <w:t> </w:t>
      </w:r>
      <w:r>
        <w:rPr>
          <w:i/>
          <w:color w:val="231F20"/>
          <w:sz w:val="24"/>
        </w:rPr>
        <w:t>pour</w:t>
      </w:r>
      <w:r>
        <w:rPr>
          <w:i/>
          <w:color w:val="231F20"/>
          <w:spacing w:val="-5"/>
          <w:sz w:val="24"/>
        </w:rPr>
        <w:t> </w:t>
      </w:r>
      <w:r>
        <w:rPr>
          <w:i/>
          <w:color w:val="231F20"/>
          <w:sz w:val="24"/>
        </w:rPr>
        <w:t>leur </w:t>
      </w:r>
      <w:r>
        <w:rPr>
          <w:i/>
          <w:color w:val="231F20"/>
          <w:spacing w:val="-2"/>
          <w:sz w:val="24"/>
        </w:rPr>
        <w:t>progéniture</w:t>
      </w:r>
      <w:r>
        <w:rPr>
          <w:i/>
          <w:color w:val="231F20"/>
          <w:spacing w:val="-13"/>
          <w:sz w:val="24"/>
        </w:rPr>
        <w:t> </w:t>
      </w:r>
      <w:r>
        <w:rPr>
          <w:i/>
          <w:color w:val="231F20"/>
          <w:spacing w:val="-2"/>
          <w:sz w:val="24"/>
        </w:rPr>
        <w:t>{ceux</w:t>
      </w:r>
      <w:r>
        <w:rPr>
          <w:i/>
          <w:color w:val="231F20"/>
          <w:spacing w:val="-13"/>
          <w:sz w:val="24"/>
        </w:rPr>
        <w:t> </w:t>
      </w:r>
      <w:r>
        <w:rPr>
          <w:i/>
          <w:color w:val="231F20"/>
          <w:spacing w:val="-2"/>
          <w:sz w:val="24"/>
        </w:rPr>
        <w:t>d'Afrique</w:t>
      </w:r>
      <w:r>
        <w:rPr>
          <w:i/>
          <w:color w:val="231F20"/>
          <w:spacing w:val="-13"/>
          <w:sz w:val="24"/>
        </w:rPr>
        <w:t> </w:t>
      </w:r>
      <w:r>
        <w:rPr>
          <w:i/>
          <w:color w:val="231F20"/>
          <w:spacing w:val="-2"/>
          <w:sz w:val="24"/>
        </w:rPr>
        <w:t>cachent</w:t>
      </w:r>
      <w:r>
        <w:rPr>
          <w:i/>
          <w:color w:val="231F20"/>
          <w:spacing w:val="-13"/>
          <w:sz w:val="24"/>
        </w:rPr>
        <w:t> </w:t>
      </w:r>
      <w:r>
        <w:rPr>
          <w:i/>
          <w:color w:val="231F20"/>
          <w:spacing w:val="-2"/>
          <w:sz w:val="24"/>
        </w:rPr>
        <w:t>les</w:t>
      </w:r>
      <w:r>
        <w:rPr>
          <w:i/>
          <w:color w:val="231F20"/>
          <w:spacing w:val="-13"/>
          <w:sz w:val="24"/>
        </w:rPr>
        <w:t> </w:t>
      </w:r>
      <w:r>
        <w:rPr>
          <w:i/>
          <w:color w:val="231F20"/>
          <w:spacing w:val="-2"/>
          <w:sz w:val="24"/>
        </w:rPr>
        <w:t>recettes</w:t>
      </w:r>
      <w:r>
        <w:rPr>
          <w:i/>
          <w:color w:val="231F20"/>
          <w:spacing w:val="-13"/>
          <w:sz w:val="24"/>
        </w:rPr>
        <w:t> </w:t>
      </w:r>
      <w:r>
        <w:rPr>
          <w:i/>
          <w:color w:val="231F20"/>
          <w:spacing w:val="-2"/>
          <w:sz w:val="24"/>
        </w:rPr>
        <w:t>de</w:t>
      </w:r>
      <w:r>
        <w:rPr>
          <w:i/>
          <w:color w:val="231F20"/>
          <w:spacing w:val="-13"/>
          <w:sz w:val="24"/>
        </w:rPr>
        <w:t> </w:t>
      </w:r>
      <w:r>
        <w:rPr>
          <w:i/>
          <w:color w:val="231F20"/>
          <w:spacing w:val="-2"/>
          <w:sz w:val="24"/>
        </w:rPr>
        <w:t>leurs</w:t>
      </w:r>
      <w:r>
        <w:rPr>
          <w:i/>
          <w:color w:val="231F20"/>
          <w:spacing w:val="-13"/>
          <w:sz w:val="24"/>
        </w:rPr>
        <w:t> </w:t>
      </w:r>
      <w:r>
        <w:rPr>
          <w:i/>
          <w:color w:val="231F20"/>
          <w:spacing w:val="-2"/>
          <w:sz w:val="24"/>
        </w:rPr>
        <w:t>ancêtres</w:t>
      </w:r>
      <w:r>
        <w:rPr>
          <w:i/>
          <w:color w:val="231F20"/>
          <w:spacing w:val="-13"/>
          <w:sz w:val="24"/>
        </w:rPr>
        <w:t> </w:t>
      </w:r>
      <w:r>
        <w:rPr>
          <w:i/>
          <w:color w:val="231F20"/>
          <w:spacing w:val="-2"/>
          <w:sz w:val="24"/>
        </w:rPr>
        <w:t>à</w:t>
      </w:r>
      <w:r>
        <w:rPr>
          <w:i/>
          <w:color w:val="231F20"/>
          <w:spacing w:val="-13"/>
          <w:sz w:val="24"/>
        </w:rPr>
        <w:t> </w:t>
      </w:r>
      <w:r>
        <w:rPr>
          <w:i/>
          <w:color w:val="231F20"/>
          <w:spacing w:val="-2"/>
          <w:sz w:val="24"/>
        </w:rPr>
        <w:t>leurs </w:t>
      </w:r>
      <w:r>
        <w:rPr>
          <w:i/>
          <w:color w:val="231F20"/>
          <w:sz w:val="24"/>
        </w:rPr>
        <w:t>descendants</w:t>
      </w:r>
      <w:r>
        <w:rPr>
          <w:i/>
          <w:color w:val="231F20"/>
          <w:spacing w:val="-15"/>
          <w:sz w:val="24"/>
        </w:rPr>
        <w:t> </w:t>
      </w:r>
      <w:r>
        <w:rPr>
          <w:i/>
          <w:color w:val="231F20"/>
          <w:sz w:val="24"/>
        </w:rPr>
        <w:t>préférant</w:t>
      </w:r>
      <w:r>
        <w:rPr>
          <w:i/>
          <w:color w:val="231F20"/>
          <w:spacing w:val="-15"/>
          <w:sz w:val="24"/>
        </w:rPr>
        <w:t> </w:t>
      </w:r>
      <w:r>
        <w:rPr>
          <w:i/>
          <w:color w:val="231F20"/>
          <w:sz w:val="24"/>
        </w:rPr>
        <w:t>mourir</w:t>
      </w:r>
      <w:r>
        <w:rPr>
          <w:i/>
          <w:color w:val="231F20"/>
          <w:spacing w:val="-15"/>
          <w:sz w:val="24"/>
        </w:rPr>
        <w:t> </w:t>
      </w:r>
      <w:r>
        <w:rPr>
          <w:i/>
          <w:color w:val="231F20"/>
          <w:sz w:val="24"/>
        </w:rPr>
        <w:t>avec.</w:t>
      </w:r>
      <w:r>
        <w:rPr>
          <w:i/>
          <w:color w:val="231F20"/>
          <w:spacing w:val="-15"/>
          <w:sz w:val="24"/>
        </w:rPr>
        <w:t> </w:t>
      </w:r>
      <w:r>
        <w:rPr>
          <w:i/>
          <w:color w:val="231F20"/>
          <w:sz w:val="24"/>
        </w:rPr>
        <w:t>Les</w:t>
      </w:r>
      <w:r>
        <w:rPr>
          <w:i/>
          <w:color w:val="231F20"/>
          <w:spacing w:val="-15"/>
          <w:sz w:val="24"/>
        </w:rPr>
        <w:t> </w:t>
      </w:r>
      <w:r>
        <w:rPr>
          <w:i/>
          <w:color w:val="231F20"/>
          <w:sz w:val="24"/>
        </w:rPr>
        <w:t>Noirs</w:t>
      </w:r>
      <w:r>
        <w:rPr>
          <w:i/>
          <w:color w:val="231F20"/>
          <w:spacing w:val="-15"/>
          <w:sz w:val="24"/>
        </w:rPr>
        <w:t> </w:t>
      </w:r>
      <w:r>
        <w:rPr>
          <w:i/>
          <w:color w:val="231F20"/>
          <w:sz w:val="24"/>
        </w:rPr>
        <w:t>refusent</w:t>
      </w:r>
      <w:r>
        <w:rPr>
          <w:i/>
          <w:color w:val="231F20"/>
          <w:spacing w:val="-15"/>
          <w:sz w:val="24"/>
        </w:rPr>
        <w:t> </w:t>
      </w:r>
      <w:r>
        <w:rPr>
          <w:i/>
          <w:color w:val="231F20"/>
          <w:sz w:val="24"/>
        </w:rPr>
        <w:t>catégoriquement </w:t>
      </w:r>
      <w:r>
        <w:rPr>
          <w:i/>
          <w:color w:val="231F20"/>
          <w:spacing w:val="-4"/>
          <w:sz w:val="24"/>
        </w:rPr>
        <w:t>les</w:t>
      </w:r>
      <w:r>
        <w:rPr>
          <w:i/>
          <w:color w:val="231F20"/>
          <w:spacing w:val="-6"/>
          <w:sz w:val="24"/>
        </w:rPr>
        <w:t> </w:t>
      </w:r>
      <w:r>
        <w:rPr>
          <w:i/>
          <w:color w:val="231F20"/>
          <w:spacing w:val="-4"/>
          <w:sz w:val="24"/>
        </w:rPr>
        <w:t>religions</w:t>
      </w:r>
      <w:r>
        <w:rPr>
          <w:i/>
          <w:color w:val="231F20"/>
          <w:spacing w:val="-6"/>
          <w:sz w:val="24"/>
        </w:rPr>
        <w:t> </w:t>
      </w:r>
      <w:r>
        <w:rPr>
          <w:i/>
          <w:color w:val="231F20"/>
          <w:spacing w:val="-4"/>
          <w:sz w:val="24"/>
        </w:rPr>
        <w:t>de</w:t>
      </w:r>
      <w:r>
        <w:rPr>
          <w:i/>
          <w:color w:val="231F20"/>
          <w:spacing w:val="-6"/>
          <w:sz w:val="24"/>
        </w:rPr>
        <w:t> </w:t>
      </w:r>
      <w:r>
        <w:rPr>
          <w:i/>
          <w:color w:val="231F20"/>
          <w:spacing w:val="-4"/>
          <w:sz w:val="24"/>
        </w:rPr>
        <w:t>leurs</w:t>
      </w:r>
      <w:r>
        <w:rPr>
          <w:i/>
          <w:color w:val="231F20"/>
          <w:spacing w:val="-6"/>
          <w:sz w:val="24"/>
        </w:rPr>
        <w:t> </w:t>
      </w:r>
      <w:r>
        <w:rPr>
          <w:i/>
          <w:color w:val="231F20"/>
          <w:spacing w:val="-4"/>
          <w:sz w:val="24"/>
        </w:rPr>
        <w:t>propres</w:t>
      </w:r>
      <w:r>
        <w:rPr>
          <w:i/>
          <w:color w:val="231F20"/>
          <w:spacing w:val="-6"/>
          <w:sz w:val="24"/>
        </w:rPr>
        <w:t> </w:t>
      </w:r>
      <w:r>
        <w:rPr>
          <w:i/>
          <w:color w:val="231F20"/>
          <w:spacing w:val="-4"/>
          <w:sz w:val="24"/>
        </w:rPr>
        <w:t>ancêtres</w:t>
      </w:r>
      <w:r>
        <w:rPr>
          <w:i/>
          <w:color w:val="231F20"/>
          <w:spacing w:val="-6"/>
          <w:sz w:val="24"/>
        </w:rPr>
        <w:t> </w:t>
      </w:r>
      <w:r>
        <w:rPr>
          <w:i/>
          <w:color w:val="231F20"/>
          <w:spacing w:val="-4"/>
          <w:sz w:val="24"/>
        </w:rPr>
        <w:t>;</w:t>
      </w:r>
      <w:r>
        <w:rPr>
          <w:i/>
          <w:color w:val="231F20"/>
          <w:spacing w:val="-5"/>
          <w:sz w:val="24"/>
        </w:rPr>
        <w:t> </w:t>
      </w:r>
      <w:r>
        <w:rPr>
          <w:i/>
          <w:color w:val="231F20"/>
          <w:spacing w:val="-4"/>
          <w:sz w:val="24"/>
        </w:rPr>
        <w:t>leurs</w:t>
      </w:r>
      <w:r>
        <w:rPr>
          <w:i/>
          <w:color w:val="231F20"/>
          <w:spacing w:val="-6"/>
          <w:sz w:val="24"/>
        </w:rPr>
        <w:t> </w:t>
      </w:r>
      <w:r>
        <w:rPr>
          <w:i/>
          <w:color w:val="231F20"/>
          <w:spacing w:val="-4"/>
          <w:sz w:val="24"/>
        </w:rPr>
        <w:t>propres</w:t>
      </w:r>
      <w:r>
        <w:rPr>
          <w:i/>
          <w:color w:val="231F20"/>
          <w:spacing w:val="-6"/>
          <w:sz w:val="24"/>
        </w:rPr>
        <w:t> </w:t>
      </w:r>
      <w:r>
        <w:rPr>
          <w:i/>
          <w:color w:val="231F20"/>
          <w:spacing w:val="-4"/>
          <w:sz w:val="24"/>
        </w:rPr>
        <w:t>prophètes</w:t>
      </w:r>
      <w:r>
        <w:rPr>
          <w:i/>
          <w:color w:val="231F20"/>
          <w:spacing w:val="-6"/>
          <w:sz w:val="24"/>
        </w:rPr>
        <w:t> </w:t>
      </w:r>
      <w:r>
        <w:rPr>
          <w:i/>
          <w:color w:val="231F20"/>
          <w:spacing w:val="-4"/>
          <w:sz w:val="24"/>
        </w:rPr>
        <w:t>oubliés}.</w:t>
      </w:r>
    </w:p>
    <w:p>
      <w:pPr>
        <w:pStyle w:val="ListParagraph"/>
        <w:numPr>
          <w:ilvl w:val="0"/>
          <w:numId w:val="6"/>
        </w:numPr>
        <w:tabs>
          <w:tab w:pos="666" w:val="left" w:leader="none"/>
        </w:tabs>
        <w:spacing w:line="240" w:lineRule="auto" w:before="121" w:after="0"/>
        <w:ind w:left="111" w:right="102" w:firstLine="283"/>
        <w:jc w:val="both"/>
        <w:rPr>
          <w:i/>
          <w:sz w:val="24"/>
        </w:rPr>
      </w:pPr>
      <w:r>
        <w:rPr>
          <w:i/>
          <w:color w:val="231F20"/>
          <w:sz w:val="24"/>
        </w:rPr>
        <w:t>L'avidité est une autre puissante arme de contention. (…) étant</w:t>
      </w:r>
      <w:r>
        <w:rPr>
          <w:i/>
          <w:color w:val="231F20"/>
          <w:sz w:val="24"/>
        </w:rPr>
        <w:t> </w:t>
      </w:r>
      <w:r>
        <w:rPr>
          <w:i/>
          <w:color w:val="231F20"/>
          <w:spacing w:val="-2"/>
          <w:sz w:val="24"/>
        </w:rPr>
        <w:t>principalement</w:t>
      </w:r>
      <w:r>
        <w:rPr>
          <w:i/>
          <w:color w:val="231F20"/>
          <w:spacing w:val="-9"/>
          <w:sz w:val="24"/>
        </w:rPr>
        <w:t> </w:t>
      </w:r>
      <w:r>
        <w:rPr>
          <w:i/>
          <w:color w:val="231F20"/>
          <w:spacing w:val="-2"/>
          <w:sz w:val="24"/>
        </w:rPr>
        <w:t>des</w:t>
      </w:r>
      <w:r>
        <w:rPr>
          <w:i/>
          <w:color w:val="231F20"/>
          <w:spacing w:val="-6"/>
          <w:sz w:val="24"/>
        </w:rPr>
        <w:t> </w:t>
      </w:r>
      <w:r>
        <w:rPr>
          <w:i/>
          <w:color w:val="231F20"/>
          <w:spacing w:val="-2"/>
          <w:sz w:val="24"/>
        </w:rPr>
        <w:t>consommateurs,</w:t>
      </w:r>
      <w:r>
        <w:rPr>
          <w:i/>
          <w:color w:val="231F20"/>
          <w:spacing w:val="-9"/>
          <w:sz w:val="24"/>
        </w:rPr>
        <w:t> </w:t>
      </w:r>
      <w:r>
        <w:rPr>
          <w:i/>
          <w:color w:val="231F20"/>
          <w:spacing w:val="-2"/>
          <w:sz w:val="24"/>
        </w:rPr>
        <w:t>ils</w:t>
      </w:r>
      <w:r>
        <w:rPr>
          <w:i/>
          <w:color w:val="231F20"/>
          <w:spacing w:val="-9"/>
          <w:sz w:val="24"/>
        </w:rPr>
        <w:t> </w:t>
      </w:r>
      <w:r>
        <w:rPr>
          <w:i/>
          <w:color w:val="231F20"/>
          <w:spacing w:val="-2"/>
          <w:sz w:val="24"/>
        </w:rPr>
        <w:t>agissent</w:t>
      </w:r>
      <w:r>
        <w:rPr>
          <w:i/>
          <w:color w:val="231F20"/>
          <w:spacing w:val="-8"/>
          <w:sz w:val="24"/>
        </w:rPr>
        <w:t> </w:t>
      </w:r>
      <w:r>
        <w:rPr>
          <w:i/>
          <w:color w:val="231F20"/>
          <w:spacing w:val="-2"/>
          <w:sz w:val="24"/>
        </w:rPr>
        <w:t>par</w:t>
      </w:r>
      <w:r>
        <w:rPr>
          <w:i/>
          <w:color w:val="231F20"/>
          <w:spacing w:val="-6"/>
          <w:sz w:val="24"/>
        </w:rPr>
        <w:t> </w:t>
      </w:r>
      <w:r>
        <w:rPr>
          <w:i/>
          <w:color w:val="231F20"/>
          <w:spacing w:val="-2"/>
          <w:sz w:val="24"/>
        </w:rPr>
        <w:t>avidité,</w:t>
      </w:r>
      <w:r>
        <w:rPr>
          <w:i/>
          <w:color w:val="231F20"/>
          <w:spacing w:val="-6"/>
          <w:sz w:val="24"/>
        </w:rPr>
        <w:t> </w:t>
      </w:r>
      <w:r>
        <w:rPr>
          <w:i/>
          <w:color w:val="231F20"/>
          <w:spacing w:val="-2"/>
          <w:sz w:val="24"/>
        </w:rPr>
        <w:t>poussés</w:t>
      </w:r>
      <w:r>
        <w:rPr>
          <w:i/>
          <w:color w:val="231F20"/>
          <w:spacing w:val="-6"/>
          <w:sz w:val="24"/>
        </w:rPr>
        <w:t> </w:t>
      </w:r>
      <w:r>
        <w:rPr>
          <w:i/>
          <w:color w:val="231F20"/>
          <w:spacing w:val="-2"/>
          <w:sz w:val="24"/>
        </w:rPr>
        <w:t>par </w:t>
      </w:r>
      <w:r>
        <w:rPr>
          <w:i/>
          <w:color w:val="231F20"/>
          <w:spacing w:val="-4"/>
          <w:sz w:val="24"/>
        </w:rPr>
        <w:t>le</w:t>
      </w:r>
      <w:r>
        <w:rPr>
          <w:i/>
          <w:color w:val="231F20"/>
          <w:spacing w:val="-5"/>
          <w:sz w:val="24"/>
        </w:rPr>
        <w:t> </w:t>
      </w:r>
      <w:r>
        <w:rPr>
          <w:i/>
          <w:color w:val="231F20"/>
          <w:spacing w:val="-4"/>
          <w:sz w:val="24"/>
        </w:rPr>
        <w:t>plaisir</w:t>
      </w:r>
      <w:r>
        <w:rPr>
          <w:i/>
          <w:color w:val="231F20"/>
          <w:spacing w:val="-6"/>
          <w:sz w:val="24"/>
        </w:rPr>
        <w:t> </w:t>
      </w:r>
      <w:r>
        <w:rPr>
          <w:i/>
          <w:color w:val="231F20"/>
          <w:spacing w:val="-4"/>
          <w:sz w:val="24"/>
        </w:rPr>
        <w:t>et</w:t>
      </w:r>
      <w:r>
        <w:rPr>
          <w:i/>
          <w:color w:val="231F20"/>
          <w:spacing w:val="-6"/>
          <w:sz w:val="24"/>
        </w:rPr>
        <w:t> </w:t>
      </w:r>
      <w:r>
        <w:rPr>
          <w:i/>
          <w:color w:val="231F20"/>
          <w:spacing w:val="-4"/>
          <w:sz w:val="24"/>
        </w:rPr>
        <w:t>le</w:t>
      </w:r>
      <w:r>
        <w:rPr>
          <w:i/>
          <w:color w:val="231F20"/>
          <w:spacing w:val="-7"/>
          <w:sz w:val="24"/>
        </w:rPr>
        <w:t> </w:t>
      </w:r>
      <w:r>
        <w:rPr>
          <w:i/>
          <w:color w:val="231F20"/>
          <w:spacing w:val="-4"/>
          <w:sz w:val="24"/>
        </w:rPr>
        <w:t>désir</w:t>
      </w:r>
      <w:r>
        <w:rPr>
          <w:i/>
          <w:color w:val="231F20"/>
          <w:spacing w:val="-6"/>
          <w:sz w:val="24"/>
        </w:rPr>
        <w:t> </w:t>
      </w:r>
      <w:r>
        <w:rPr>
          <w:i/>
          <w:color w:val="231F20"/>
          <w:spacing w:val="-4"/>
          <w:sz w:val="24"/>
        </w:rPr>
        <w:t>de</w:t>
      </w:r>
      <w:r>
        <w:rPr>
          <w:i/>
          <w:color w:val="231F20"/>
          <w:spacing w:val="-7"/>
          <w:sz w:val="24"/>
        </w:rPr>
        <w:t> </w:t>
      </w:r>
      <w:r>
        <w:rPr>
          <w:i/>
          <w:color w:val="231F20"/>
          <w:spacing w:val="-4"/>
          <w:sz w:val="24"/>
        </w:rPr>
        <w:t>toujours posséder. Ils</w:t>
      </w:r>
      <w:r>
        <w:rPr>
          <w:i/>
          <w:color w:val="231F20"/>
          <w:spacing w:val="-6"/>
          <w:sz w:val="24"/>
        </w:rPr>
        <w:t> </w:t>
      </w:r>
      <w:r>
        <w:rPr>
          <w:i/>
          <w:color w:val="231F20"/>
          <w:spacing w:val="-4"/>
          <w:sz w:val="24"/>
        </w:rPr>
        <w:t>veulent</w:t>
      </w:r>
      <w:r>
        <w:rPr>
          <w:i/>
          <w:color w:val="231F20"/>
          <w:spacing w:val="-6"/>
          <w:sz w:val="24"/>
        </w:rPr>
        <w:t> </w:t>
      </w:r>
      <w:r>
        <w:rPr>
          <w:i/>
          <w:color w:val="231F20"/>
          <w:spacing w:val="-4"/>
          <w:sz w:val="24"/>
        </w:rPr>
        <w:t>toujours</w:t>
      </w:r>
      <w:r>
        <w:rPr>
          <w:i/>
          <w:color w:val="231F20"/>
          <w:spacing w:val="-6"/>
          <w:sz w:val="24"/>
        </w:rPr>
        <w:t> </w:t>
      </w:r>
      <w:r>
        <w:rPr>
          <w:i/>
          <w:color w:val="231F20"/>
          <w:spacing w:val="-4"/>
          <w:sz w:val="24"/>
        </w:rPr>
        <w:t>en</w:t>
      </w:r>
      <w:r>
        <w:rPr>
          <w:i/>
          <w:color w:val="231F20"/>
          <w:spacing w:val="-7"/>
          <w:sz w:val="24"/>
        </w:rPr>
        <w:t> </w:t>
      </w:r>
      <w:r>
        <w:rPr>
          <w:i/>
          <w:color w:val="231F20"/>
          <w:spacing w:val="-4"/>
          <w:sz w:val="24"/>
        </w:rPr>
        <w:t>posséder davantage</w:t>
      </w:r>
      <w:r>
        <w:rPr>
          <w:i/>
          <w:color w:val="231F20"/>
          <w:spacing w:val="-11"/>
          <w:sz w:val="24"/>
        </w:rPr>
        <w:t> </w:t>
      </w:r>
      <w:r>
        <w:rPr>
          <w:i/>
          <w:color w:val="231F20"/>
          <w:spacing w:val="-4"/>
          <w:sz w:val="24"/>
        </w:rPr>
        <w:t>sans</w:t>
      </w:r>
      <w:r>
        <w:rPr>
          <w:i/>
          <w:color w:val="231F20"/>
          <w:spacing w:val="-11"/>
          <w:sz w:val="24"/>
        </w:rPr>
        <w:t> </w:t>
      </w:r>
      <w:r>
        <w:rPr>
          <w:i/>
          <w:color w:val="231F20"/>
          <w:spacing w:val="-4"/>
          <w:sz w:val="24"/>
        </w:rPr>
        <w:t>penser</w:t>
      </w:r>
      <w:r>
        <w:rPr>
          <w:i/>
          <w:color w:val="231F20"/>
          <w:spacing w:val="-11"/>
          <w:sz w:val="24"/>
        </w:rPr>
        <w:t> </w:t>
      </w:r>
      <w:r>
        <w:rPr>
          <w:i/>
          <w:color w:val="231F20"/>
          <w:spacing w:val="-4"/>
          <w:sz w:val="24"/>
        </w:rPr>
        <w:t>le</w:t>
      </w:r>
      <w:r>
        <w:rPr>
          <w:i/>
          <w:color w:val="231F20"/>
          <w:spacing w:val="-11"/>
          <w:sz w:val="24"/>
        </w:rPr>
        <w:t> </w:t>
      </w:r>
      <w:r>
        <w:rPr>
          <w:i/>
          <w:color w:val="231F20"/>
          <w:spacing w:val="-4"/>
          <w:sz w:val="24"/>
        </w:rPr>
        <w:t>moins</w:t>
      </w:r>
      <w:r>
        <w:rPr>
          <w:i/>
          <w:color w:val="231F20"/>
          <w:spacing w:val="-11"/>
          <w:sz w:val="24"/>
        </w:rPr>
        <w:t> </w:t>
      </w:r>
      <w:r>
        <w:rPr>
          <w:i/>
          <w:color w:val="231F20"/>
          <w:spacing w:val="-4"/>
          <w:sz w:val="24"/>
        </w:rPr>
        <w:t>du</w:t>
      </w:r>
      <w:r>
        <w:rPr>
          <w:i/>
          <w:color w:val="231F20"/>
          <w:spacing w:val="-11"/>
          <w:sz w:val="24"/>
        </w:rPr>
        <w:t> </w:t>
      </w:r>
      <w:r>
        <w:rPr>
          <w:i/>
          <w:color w:val="231F20"/>
          <w:spacing w:val="-4"/>
          <w:sz w:val="24"/>
        </w:rPr>
        <w:t>monde</w:t>
      </w:r>
      <w:r>
        <w:rPr>
          <w:i/>
          <w:color w:val="231F20"/>
          <w:spacing w:val="-9"/>
          <w:sz w:val="24"/>
        </w:rPr>
        <w:t> </w:t>
      </w:r>
      <w:r>
        <w:rPr>
          <w:i/>
          <w:color w:val="231F20"/>
          <w:spacing w:val="-4"/>
          <w:sz w:val="24"/>
        </w:rPr>
        <w:t>à</w:t>
      </w:r>
      <w:r>
        <w:rPr>
          <w:i/>
          <w:color w:val="231F20"/>
          <w:spacing w:val="-11"/>
          <w:sz w:val="24"/>
        </w:rPr>
        <w:t> </w:t>
      </w:r>
      <w:r>
        <w:rPr>
          <w:i/>
          <w:color w:val="231F20"/>
          <w:spacing w:val="-4"/>
          <w:sz w:val="24"/>
        </w:rPr>
        <w:t>épargner</w:t>
      </w:r>
      <w:r>
        <w:rPr>
          <w:i/>
          <w:color w:val="231F20"/>
          <w:spacing w:val="-9"/>
          <w:sz w:val="24"/>
        </w:rPr>
        <w:t> </w:t>
      </w:r>
      <w:r>
        <w:rPr>
          <w:i/>
          <w:color w:val="231F20"/>
          <w:spacing w:val="-4"/>
          <w:sz w:val="24"/>
        </w:rPr>
        <w:t>pour</w:t>
      </w:r>
      <w:r>
        <w:rPr>
          <w:i/>
          <w:color w:val="231F20"/>
          <w:spacing w:val="-11"/>
          <w:sz w:val="24"/>
        </w:rPr>
        <w:t> </w:t>
      </w:r>
      <w:r>
        <w:rPr>
          <w:i/>
          <w:color w:val="231F20"/>
          <w:spacing w:val="-4"/>
          <w:sz w:val="24"/>
        </w:rPr>
        <w:t>la</w:t>
      </w:r>
      <w:r>
        <w:rPr>
          <w:i/>
          <w:color w:val="231F20"/>
          <w:spacing w:val="-11"/>
          <w:sz w:val="24"/>
        </w:rPr>
        <w:t> </w:t>
      </w:r>
      <w:r>
        <w:rPr>
          <w:i/>
          <w:color w:val="231F20"/>
          <w:spacing w:val="-4"/>
          <w:sz w:val="24"/>
        </w:rPr>
        <w:t>progéniture </w:t>
      </w:r>
      <w:r>
        <w:rPr>
          <w:i/>
          <w:color w:val="231F20"/>
          <w:sz w:val="24"/>
        </w:rPr>
        <w:t>ou à investir pour les générations suivantes. Au lieu de démarrer une entreprise</w:t>
      </w:r>
      <w:r>
        <w:rPr>
          <w:i/>
          <w:color w:val="231F20"/>
          <w:spacing w:val="-15"/>
          <w:sz w:val="24"/>
        </w:rPr>
        <w:t> </w:t>
      </w:r>
      <w:r>
        <w:rPr>
          <w:i/>
          <w:color w:val="231F20"/>
          <w:sz w:val="24"/>
        </w:rPr>
        <w:t>ils</w:t>
      </w:r>
      <w:r>
        <w:rPr>
          <w:i/>
          <w:color w:val="231F20"/>
          <w:spacing w:val="-15"/>
          <w:sz w:val="24"/>
        </w:rPr>
        <w:t> </w:t>
      </w:r>
      <w:r>
        <w:rPr>
          <w:i/>
          <w:color w:val="231F20"/>
          <w:sz w:val="24"/>
        </w:rPr>
        <w:t>penseront</w:t>
      </w:r>
      <w:r>
        <w:rPr>
          <w:i/>
          <w:color w:val="231F20"/>
          <w:spacing w:val="-15"/>
          <w:sz w:val="24"/>
        </w:rPr>
        <w:t> </w:t>
      </w:r>
      <w:r>
        <w:rPr>
          <w:i/>
          <w:color w:val="231F20"/>
          <w:sz w:val="24"/>
        </w:rPr>
        <w:t>de</w:t>
      </w:r>
      <w:r>
        <w:rPr>
          <w:i/>
          <w:color w:val="231F20"/>
          <w:spacing w:val="-15"/>
          <w:sz w:val="24"/>
        </w:rPr>
        <w:t> </w:t>
      </w:r>
      <w:r>
        <w:rPr>
          <w:i/>
          <w:color w:val="231F20"/>
          <w:sz w:val="24"/>
        </w:rPr>
        <w:t>préférence</w:t>
      </w:r>
      <w:r>
        <w:rPr>
          <w:i/>
          <w:color w:val="231F20"/>
          <w:spacing w:val="-15"/>
          <w:sz w:val="24"/>
        </w:rPr>
        <w:t> </w:t>
      </w:r>
      <w:r>
        <w:rPr>
          <w:i/>
          <w:color w:val="231F20"/>
          <w:sz w:val="24"/>
        </w:rPr>
        <w:t>à</w:t>
      </w:r>
      <w:r>
        <w:rPr>
          <w:i/>
          <w:color w:val="231F20"/>
          <w:spacing w:val="-15"/>
          <w:sz w:val="24"/>
        </w:rPr>
        <w:t> </w:t>
      </w:r>
      <w:r>
        <w:rPr>
          <w:i/>
          <w:color w:val="231F20"/>
          <w:sz w:val="24"/>
        </w:rPr>
        <w:t>s'acheter</w:t>
      </w:r>
      <w:r>
        <w:rPr>
          <w:i/>
          <w:color w:val="231F20"/>
          <w:spacing w:val="-15"/>
          <w:sz w:val="24"/>
        </w:rPr>
        <w:t> </w:t>
      </w:r>
      <w:r>
        <w:rPr>
          <w:i/>
          <w:color w:val="231F20"/>
          <w:sz w:val="24"/>
        </w:rPr>
        <w:t>de</w:t>
      </w:r>
      <w:r>
        <w:rPr>
          <w:i/>
          <w:color w:val="231F20"/>
          <w:spacing w:val="-15"/>
          <w:sz w:val="24"/>
        </w:rPr>
        <w:t> </w:t>
      </w:r>
      <w:r>
        <w:rPr>
          <w:i/>
          <w:color w:val="231F20"/>
          <w:sz w:val="24"/>
        </w:rPr>
        <w:t>nouvelles</w:t>
      </w:r>
      <w:r>
        <w:rPr>
          <w:i/>
          <w:color w:val="231F20"/>
          <w:spacing w:val="-15"/>
          <w:sz w:val="24"/>
        </w:rPr>
        <w:t> </w:t>
      </w:r>
      <w:r>
        <w:rPr>
          <w:i/>
          <w:color w:val="231F20"/>
          <w:sz w:val="24"/>
        </w:rPr>
        <w:t>paires</w:t>
      </w:r>
      <w:r>
        <w:rPr>
          <w:i/>
          <w:color w:val="231F20"/>
          <w:spacing w:val="-15"/>
          <w:sz w:val="24"/>
        </w:rPr>
        <w:t> </w:t>
      </w:r>
      <w:r>
        <w:rPr>
          <w:i/>
          <w:color w:val="231F20"/>
          <w:sz w:val="24"/>
        </w:rPr>
        <w:t>de chaussures très chères. (…) ils pensent jusqu'à présent que rouler en </w:t>
      </w:r>
      <w:r>
        <w:rPr>
          <w:i/>
          <w:color w:val="231F20"/>
          <w:spacing w:val="-4"/>
          <w:sz w:val="24"/>
        </w:rPr>
        <w:t>mercedès</w:t>
      </w:r>
      <w:r>
        <w:rPr>
          <w:i/>
          <w:color w:val="231F20"/>
          <w:spacing w:val="-11"/>
          <w:sz w:val="24"/>
        </w:rPr>
        <w:t> </w:t>
      </w:r>
      <w:r>
        <w:rPr>
          <w:i/>
          <w:color w:val="231F20"/>
          <w:spacing w:val="-4"/>
          <w:sz w:val="24"/>
        </w:rPr>
        <w:t>et</w:t>
      </w:r>
      <w:r>
        <w:rPr>
          <w:i/>
          <w:color w:val="231F20"/>
          <w:spacing w:val="-11"/>
          <w:sz w:val="24"/>
        </w:rPr>
        <w:t> </w:t>
      </w:r>
      <w:r>
        <w:rPr>
          <w:i/>
          <w:color w:val="231F20"/>
          <w:spacing w:val="-4"/>
          <w:sz w:val="24"/>
        </w:rPr>
        <w:t>vivre</w:t>
      </w:r>
      <w:r>
        <w:rPr>
          <w:i/>
          <w:color w:val="231F20"/>
          <w:spacing w:val="-11"/>
          <w:sz w:val="24"/>
        </w:rPr>
        <w:t> </w:t>
      </w:r>
      <w:r>
        <w:rPr>
          <w:i/>
          <w:color w:val="231F20"/>
          <w:spacing w:val="-4"/>
          <w:sz w:val="24"/>
        </w:rPr>
        <w:t>dans</w:t>
      </w:r>
      <w:r>
        <w:rPr>
          <w:i/>
          <w:color w:val="231F20"/>
          <w:spacing w:val="-11"/>
          <w:sz w:val="24"/>
        </w:rPr>
        <w:t> </w:t>
      </w:r>
      <w:r>
        <w:rPr>
          <w:i/>
          <w:color w:val="231F20"/>
          <w:spacing w:val="-4"/>
          <w:sz w:val="24"/>
        </w:rPr>
        <w:t>une</w:t>
      </w:r>
      <w:r>
        <w:rPr>
          <w:i/>
          <w:color w:val="231F20"/>
          <w:spacing w:val="-11"/>
          <w:sz w:val="24"/>
        </w:rPr>
        <w:t> </w:t>
      </w:r>
      <w:r>
        <w:rPr>
          <w:i/>
          <w:color w:val="231F20"/>
          <w:spacing w:val="-4"/>
          <w:sz w:val="24"/>
        </w:rPr>
        <w:t>grande</w:t>
      </w:r>
      <w:r>
        <w:rPr>
          <w:i/>
          <w:color w:val="231F20"/>
          <w:spacing w:val="-11"/>
          <w:sz w:val="24"/>
        </w:rPr>
        <w:t> </w:t>
      </w:r>
      <w:r>
        <w:rPr>
          <w:i/>
          <w:color w:val="231F20"/>
          <w:spacing w:val="-4"/>
          <w:sz w:val="24"/>
        </w:rPr>
        <w:t>maison</w:t>
      </w:r>
      <w:r>
        <w:rPr>
          <w:i/>
          <w:color w:val="231F20"/>
          <w:spacing w:val="-11"/>
          <w:sz w:val="24"/>
        </w:rPr>
        <w:t> </w:t>
      </w:r>
      <w:r>
        <w:rPr>
          <w:i/>
          <w:color w:val="231F20"/>
          <w:spacing w:val="-4"/>
          <w:sz w:val="24"/>
        </w:rPr>
        <w:t>leur</w:t>
      </w:r>
      <w:r>
        <w:rPr>
          <w:i/>
          <w:color w:val="231F20"/>
          <w:spacing w:val="-11"/>
          <w:sz w:val="24"/>
        </w:rPr>
        <w:t> </w:t>
      </w:r>
      <w:r>
        <w:rPr>
          <w:i/>
          <w:color w:val="231F20"/>
          <w:spacing w:val="-4"/>
          <w:sz w:val="24"/>
        </w:rPr>
        <w:t>octroie</w:t>
      </w:r>
      <w:r>
        <w:rPr>
          <w:i/>
          <w:color w:val="231F20"/>
          <w:spacing w:val="-11"/>
          <w:sz w:val="24"/>
        </w:rPr>
        <w:t> </w:t>
      </w:r>
      <w:r>
        <w:rPr>
          <w:i/>
          <w:color w:val="231F20"/>
          <w:spacing w:val="-4"/>
          <w:sz w:val="24"/>
        </w:rPr>
        <w:t>un</w:t>
      </w:r>
      <w:r>
        <w:rPr>
          <w:i/>
          <w:color w:val="231F20"/>
          <w:spacing w:val="-11"/>
          <w:sz w:val="24"/>
        </w:rPr>
        <w:t> </w:t>
      </w:r>
      <w:r>
        <w:rPr>
          <w:i/>
          <w:color w:val="231F20"/>
          <w:spacing w:val="-4"/>
          <w:sz w:val="24"/>
        </w:rPr>
        <w:t>certain</w:t>
      </w:r>
      <w:r>
        <w:rPr>
          <w:i/>
          <w:color w:val="231F20"/>
          <w:spacing w:val="-11"/>
          <w:sz w:val="24"/>
        </w:rPr>
        <w:t> </w:t>
      </w:r>
      <w:r>
        <w:rPr>
          <w:i/>
          <w:color w:val="231F20"/>
          <w:spacing w:val="-4"/>
          <w:sz w:val="24"/>
        </w:rPr>
        <w:t>«statut» </w:t>
      </w:r>
      <w:r>
        <w:rPr>
          <w:i/>
          <w:color w:val="231F20"/>
          <w:sz w:val="24"/>
        </w:rPr>
        <w:t>(…) ils sont fous ! De l'Europe, des USA, d'Afrique ...ils sont tous les mêmes ! La majorité de</w:t>
      </w:r>
      <w:r>
        <w:rPr>
          <w:i/>
          <w:color w:val="231F20"/>
          <w:spacing w:val="-2"/>
          <w:sz w:val="24"/>
        </w:rPr>
        <w:t> </w:t>
      </w:r>
      <w:r>
        <w:rPr>
          <w:i/>
          <w:color w:val="231F20"/>
          <w:sz w:val="24"/>
        </w:rPr>
        <w:t>leurs frères croupissent encore dans la misère </w:t>
      </w:r>
      <w:r>
        <w:rPr>
          <w:i/>
          <w:color w:val="231F20"/>
          <w:spacing w:val="-2"/>
          <w:sz w:val="24"/>
        </w:rPr>
        <w:t>parce</w:t>
      </w:r>
      <w:r>
        <w:rPr>
          <w:i/>
          <w:color w:val="231F20"/>
          <w:spacing w:val="-9"/>
          <w:sz w:val="24"/>
        </w:rPr>
        <w:t> </w:t>
      </w:r>
      <w:r>
        <w:rPr>
          <w:i/>
          <w:color w:val="231F20"/>
          <w:spacing w:val="-2"/>
          <w:sz w:val="24"/>
        </w:rPr>
        <w:t>que</w:t>
      </w:r>
      <w:r>
        <w:rPr>
          <w:i/>
          <w:color w:val="231F20"/>
          <w:spacing w:val="-9"/>
          <w:sz w:val="24"/>
        </w:rPr>
        <w:t> </w:t>
      </w:r>
      <w:r>
        <w:rPr>
          <w:i/>
          <w:color w:val="231F20"/>
          <w:spacing w:val="-2"/>
          <w:sz w:val="24"/>
        </w:rPr>
        <w:t>leur</w:t>
      </w:r>
      <w:r>
        <w:rPr>
          <w:i/>
          <w:color w:val="231F20"/>
          <w:spacing w:val="-10"/>
          <w:sz w:val="24"/>
        </w:rPr>
        <w:t> </w:t>
      </w:r>
      <w:r>
        <w:rPr>
          <w:i/>
          <w:color w:val="231F20"/>
          <w:spacing w:val="-2"/>
          <w:sz w:val="24"/>
        </w:rPr>
        <w:t>avidité</w:t>
      </w:r>
      <w:r>
        <w:rPr>
          <w:i/>
          <w:color w:val="231F20"/>
          <w:spacing w:val="-9"/>
          <w:sz w:val="24"/>
        </w:rPr>
        <w:t> </w:t>
      </w:r>
      <w:r>
        <w:rPr>
          <w:i/>
          <w:color w:val="231F20"/>
          <w:spacing w:val="-2"/>
          <w:sz w:val="24"/>
        </w:rPr>
        <w:t>les</w:t>
      </w:r>
      <w:r>
        <w:rPr>
          <w:i/>
          <w:color w:val="231F20"/>
          <w:spacing w:val="-10"/>
          <w:sz w:val="24"/>
        </w:rPr>
        <w:t> </w:t>
      </w:r>
      <w:r>
        <w:rPr>
          <w:i/>
          <w:color w:val="231F20"/>
          <w:spacing w:val="-2"/>
          <w:sz w:val="24"/>
        </w:rPr>
        <w:t>empêche</w:t>
      </w:r>
      <w:r>
        <w:rPr>
          <w:i/>
          <w:color w:val="231F20"/>
          <w:spacing w:val="-9"/>
          <w:sz w:val="24"/>
        </w:rPr>
        <w:t> </w:t>
      </w:r>
      <w:r>
        <w:rPr>
          <w:i/>
          <w:color w:val="231F20"/>
          <w:spacing w:val="-2"/>
          <w:sz w:val="24"/>
        </w:rPr>
        <w:t>collectivement</w:t>
      </w:r>
      <w:r>
        <w:rPr>
          <w:i/>
          <w:color w:val="231F20"/>
          <w:spacing w:val="-8"/>
          <w:sz w:val="24"/>
        </w:rPr>
        <w:t> </w:t>
      </w:r>
      <w:r>
        <w:rPr>
          <w:i/>
          <w:color w:val="231F20"/>
          <w:spacing w:val="-2"/>
          <w:sz w:val="24"/>
        </w:rPr>
        <w:t>de</w:t>
      </w:r>
      <w:r>
        <w:rPr>
          <w:i/>
          <w:color w:val="231F20"/>
          <w:spacing w:val="-9"/>
          <w:sz w:val="24"/>
        </w:rPr>
        <w:t> </w:t>
      </w:r>
      <w:r>
        <w:rPr>
          <w:i/>
          <w:color w:val="231F20"/>
          <w:spacing w:val="-2"/>
          <w:sz w:val="24"/>
        </w:rPr>
        <w:t>constituer</w:t>
      </w:r>
      <w:r>
        <w:rPr>
          <w:i/>
          <w:color w:val="231F20"/>
          <w:spacing w:val="-8"/>
          <w:sz w:val="24"/>
        </w:rPr>
        <w:t> </w:t>
      </w:r>
      <w:r>
        <w:rPr>
          <w:i/>
          <w:color w:val="231F20"/>
          <w:spacing w:val="-2"/>
          <w:sz w:val="24"/>
        </w:rPr>
        <w:t>un</w:t>
      </w:r>
      <w:r>
        <w:rPr>
          <w:i/>
          <w:color w:val="231F20"/>
          <w:spacing w:val="-8"/>
          <w:sz w:val="24"/>
        </w:rPr>
        <w:t> </w:t>
      </w:r>
      <w:r>
        <w:rPr>
          <w:i/>
          <w:color w:val="231F20"/>
          <w:spacing w:val="-2"/>
          <w:sz w:val="24"/>
        </w:rPr>
        <w:t>lobby financier</w:t>
      </w:r>
      <w:r>
        <w:rPr>
          <w:i/>
          <w:color w:val="231F20"/>
          <w:spacing w:val="-13"/>
          <w:sz w:val="24"/>
        </w:rPr>
        <w:t> </w:t>
      </w:r>
      <w:r>
        <w:rPr>
          <w:i/>
          <w:color w:val="231F20"/>
          <w:spacing w:val="-2"/>
          <w:sz w:val="24"/>
        </w:rPr>
        <w:t>pour</w:t>
      </w:r>
      <w:r>
        <w:rPr>
          <w:i/>
          <w:color w:val="231F20"/>
          <w:spacing w:val="-13"/>
          <w:sz w:val="24"/>
        </w:rPr>
        <w:t> </w:t>
      </w:r>
      <w:r>
        <w:rPr>
          <w:i/>
          <w:color w:val="231F20"/>
          <w:spacing w:val="-2"/>
          <w:sz w:val="24"/>
        </w:rPr>
        <w:t>une</w:t>
      </w:r>
      <w:r>
        <w:rPr>
          <w:i/>
          <w:color w:val="231F20"/>
          <w:spacing w:val="-13"/>
          <w:sz w:val="24"/>
        </w:rPr>
        <w:t> </w:t>
      </w:r>
      <w:r>
        <w:rPr>
          <w:i/>
          <w:color w:val="231F20"/>
          <w:spacing w:val="-2"/>
          <w:sz w:val="24"/>
        </w:rPr>
        <w:t>meilleure</w:t>
      </w:r>
      <w:r>
        <w:rPr>
          <w:i/>
          <w:color w:val="231F20"/>
          <w:spacing w:val="-12"/>
          <w:sz w:val="24"/>
        </w:rPr>
        <w:t> </w:t>
      </w:r>
      <w:r>
        <w:rPr>
          <w:i/>
          <w:color w:val="231F20"/>
          <w:spacing w:val="-2"/>
          <w:sz w:val="24"/>
        </w:rPr>
        <w:t>communauté</w:t>
      </w:r>
      <w:r>
        <w:rPr>
          <w:i/>
          <w:color w:val="231F20"/>
          <w:spacing w:val="-11"/>
          <w:sz w:val="24"/>
        </w:rPr>
        <w:t> </w:t>
      </w:r>
      <w:r>
        <w:rPr>
          <w:i/>
          <w:color w:val="231F20"/>
          <w:spacing w:val="-2"/>
          <w:sz w:val="24"/>
        </w:rPr>
        <w:t>(…)</w:t>
      </w:r>
      <w:r>
        <w:rPr>
          <w:i/>
          <w:color w:val="231F20"/>
          <w:spacing w:val="-13"/>
          <w:sz w:val="24"/>
        </w:rPr>
        <w:t> </w:t>
      </w:r>
      <w:r>
        <w:rPr>
          <w:i/>
          <w:color w:val="231F20"/>
          <w:spacing w:val="-2"/>
          <w:sz w:val="24"/>
        </w:rPr>
        <w:t>Nous</w:t>
      </w:r>
      <w:r>
        <w:rPr>
          <w:i/>
          <w:color w:val="231F20"/>
          <w:spacing w:val="-11"/>
          <w:sz w:val="24"/>
        </w:rPr>
        <w:t> </w:t>
      </w:r>
      <w:r>
        <w:rPr>
          <w:i/>
          <w:color w:val="231F20"/>
          <w:spacing w:val="-2"/>
          <w:sz w:val="24"/>
        </w:rPr>
        <w:t>continuerons</w:t>
      </w:r>
      <w:r>
        <w:rPr>
          <w:i/>
          <w:color w:val="231F20"/>
          <w:spacing w:val="-13"/>
          <w:sz w:val="24"/>
        </w:rPr>
        <w:t> </w:t>
      </w:r>
      <w:r>
        <w:rPr>
          <w:i/>
          <w:color w:val="231F20"/>
          <w:spacing w:val="-2"/>
          <w:sz w:val="24"/>
        </w:rPr>
        <w:t>à</w:t>
      </w:r>
      <w:r>
        <w:rPr>
          <w:i/>
          <w:color w:val="231F20"/>
          <w:spacing w:val="-12"/>
          <w:sz w:val="24"/>
        </w:rPr>
        <w:t> </w:t>
      </w:r>
      <w:r>
        <w:rPr>
          <w:i/>
          <w:color w:val="231F20"/>
          <w:spacing w:val="-2"/>
          <w:sz w:val="24"/>
        </w:rPr>
        <w:t>tirer </w:t>
      </w:r>
      <w:r>
        <w:rPr>
          <w:i/>
          <w:color w:val="231F20"/>
          <w:sz w:val="24"/>
        </w:rPr>
        <w:t>d'eux,</w:t>
      </w:r>
      <w:r>
        <w:rPr>
          <w:i/>
          <w:color w:val="231F20"/>
          <w:spacing w:val="-12"/>
          <w:sz w:val="24"/>
        </w:rPr>
        <w:t> </w:t>
      </w:r>
      <w:r>
        <w:rPr>
          <w:i/>
          <w:color w:val="231F20"/>
          <w:sz w:val="24"/>
        </w:rPr>
        <w:t>d'immenses</w:t>
      </w:r>
      <w:r>
        <w:rPr>
          <w:i/>
          <w:color w:val="231F20"/>
          <w:spacing w:val="-14"/>
          <w:sz w:val="24"/>
        </w:rPr>
        <w:t> </w:t>
      </w:r>
      <w:r>
        <w:rPr>
          <w:i/>
          <w:color w:val="231F20"/>
          <w:sz w:val="24"/>
        </w:rPr>
        <w:t>profits</w:t>
      </w:r>
      <w:r>
        <w:rPr>
          <w:i/>
          <w:color w:val="231F20"/>
          <w:spacing w:val="-14"/>
          <w:sz w:val="24"/>
        </w:rPr>
        <w:t> </w:t>
      </w:r>
      <w:r>
        <w:rPr>
          <w:i/>
          <w:color w:val="231F20"/>
          <w:sz w:val="24"/>
        </w:rPr>
        <w:t>(…)</w:t>
      </w:r>
      <w:r>
        <w:rPr>
          <w:i/>
          <w:color w:val="231F20"/>
          <w:spacing w:val="-12"/>
          <w:sz w:val="24"/>
        </w:rPr>
        <w:t> </w:t>
      </w:r>
      <w:r>
        <w:rPr>
          <w:i/>
          <w:color w:val="231F20"/>
          <w:sz w:val="24"/>
        </w:rPr>
        <w:t>Ils</w:t>
      </w:r>
      <w:r>
        <w:rPr>
          <w:i/>
          <w:color w:val="231F20"/>
          <w:spacing w:val="-12"/>
          <w:sz w:val="24"/>
        </w:rPr>
        <w:t> </w:t>
      </w:r>
      <w:r>
        <w:rPr>
          <w:i/>
          <w:color w:val="231F20"/>
          <w:sz w:val="24"/>
        </w:rPr>
        <w:t>continueront</w:t>
      </w:r>
      <w:r>
        <w:rPr>
          <w:i/>
          <w:color w:val="231F20"/>
          <w:spacing w:val="-12"/>
          <w:sz w:val="24"/>
        </w:rPr>
        <w:t> </w:t>
      </w:r>
      <w:r>
        <w:rPr>
          <w:i/>
          <w:color w:val="231F20"/>
          <w:sz w:val="24"/>
        </w:rPr>
        <w:t>de</w:t>
      </w:r>
      <w:r>
        <w:rPr>
          <w:i/>
          <w:color w:val="231F20"/>
          <w:spacing w:val="-10"/>
          <w:sz w:val="24"/>
        </w:rPr>
        <w:t> </w:t>
      </w:r>
      <w:r>
        <w:rPr>
          <w:i/>
          <w:color w:val="231F20"/>
          <w:sz w:val="24"/>
        </w:rPr>
        <w:t>s'exhiber</w:t>
      </w:r>
      <w:r>
        <w:rPr>
          <w:i/>
          <w:color w:val="231F20"/>
          <w:spacing w:val="-12"/>
          <w:sz w:val="24"/>
        </w:rPr>
        <w:t> </w:t>
      </w:r>
      <w:r>
        <w:rPr>
          <w:i/>
          <w:color w:val="231F20"/>
          <w:sz w:val="24"/>
        </w:rPr>
        <w:t>ainsi</w:t>
      </w:r>
      <w:r>
        <w:rPr>
          <w:i/>
          <w:color w:val="231F20"/>
          <w:spacing w:val="-12"/>
          <w:sz w:val="24"/>
        </w:rPr>
        <w:t> </w:t>
      </w:r>
      <w:r>
        <w:rPr>
          <w:i/>
          <w:color w:val="231F20"/>
          <w:sz w:val="24"/>
        </w:rPr>
        <w:t>les</w:t>
      </w:r>
      <w:r>
        <w:rPr>
          <w:i/>
          <w:color w:val="231F20"/>
          <w:spacing w:val="-12"/>
          <w:sz w:val="24"/>
        </w:rPr>
        <w:t> </w:t>
      </w:r>
      <w:r>
        <w:rPr>
          <w:i/>
          <w:color w:val="231F20"/>
          <w:sz w:val="24"/>
        </w:rPr>
        <w:t>uns </w:t>
      </w:r>
      <w:r>
        <w:rPr>
          <w:i/>
          <w:color w:val="231F20"/>
          <w:spacing w:val="-4"/>
          <w:sz w:val="24"/>
        </w:rPr>
        <w:t>devant</w:t>
      </w:r>
      <w:r>
        <w:rPr>
          <w:i/>
          <w:color w:val="231F20"/>
          <w:spacing w:val="-8"/>
          <w:sz w:val="24"/>
        </w:rPr>
        <w:t> </w:t>
      </w:r>
      <w:r>
        <w:rPr>
          <w:i/>
          <w:color w:val="231F20"/>
          <w:spacing w:val="-4"/>
          <w:sz w:val="24"/>
        </w:rPr>
        <w:t>les</w:t>
      </w:r>
      <w:r>
        <w:rPr>
          <w:i/>
          <w:color w:val="231F20"/>
          <w:spacing w:val="-10"/>
          <w:sz w:val="24"/>
        </w:rPr>
        <w:t> </w:t>
      </w:r>
      <w:r>
        <w:rPr>
          <w:i/>
          <w:color w:val="231F20"/>
          <w:spacing w:val="-4"/>
          <w:sz w:val="24"/>
        </w:rPr>
        <w:t>autres</w:t>
      </w:r>
      <w:r>
        <w:rPr>
          <w:i/>
          <w:color w:val="231F20"/>
          <w:spacing w:val="-8"/>
          <w:sz w:val="24"/>
        </w:rPr>
        <w:t> </w:t>
      </w:r>
      <w:r>
        <w:rPr>
          <w:i/>
          <w:color w:val="231F20"/>
          <w:spacing w:val="-4"/>
          <w:sz w:val="24"/>
        </w:rPr>
        <w:t>pendant</w:t>
      </w:r>
      <w:r>
        <w:rPr>
          <w:i/>
          <w:color w:val="231F20"/>
          <w:spacing w:val="-10"/>
          <w:sz w:val="24"/>
        </w:rPr>
        <w:t> </w:t>
      </w:r>
      <w:r>
        <w:rPr>
          <w:i/>
          <w:color w:val="231F20"/>
          <w:spacing w:val="-4"/>
          <w:sz w:val="24"/>
        </w:rPr>
        <w:t>que</w:t>
      </w:r>
      <w:r>
        <w:rPr>
          <w:i/>
          <w:color w:val="231F20"/>
          <w:spacing w:val="-8"/>
          <w:sz w:val="24"/>
        </w:rPr>
        <w:t> </w:t>
      </w:r>
      <w:r>
        <w:rPr>
          <w:i/>
          <w:color w:val="231F20"/>
          <w:spacing w:val="-4"/>
          <w:sz w:val="24"/>
        </w:rPr>
        <w:t>nous</w:t>
      </w:r>
      <w:r>
        <w:rPr>
          <w:i/>
          <w:color w:val="231F20"/>
          <w:spacing w:val="-8"/>
          <w:sz w:val="24"/>
        </w:rPr>
        <w:t> </w:t>
      </w:r>
      <w:r>
        <w:rPr>
          <w:i/>
          <w:color w:val="231F20"/>
          <w:spacing w:val="-4"/>
          <w:sz w:val="24"/>
        </w:rPr>
        <w:t>autres</w:t>
      </w:r>
      <w:r>
        <w:rPr>
          <w:i/>
          <w:color w:val="231F20"/>
          <w:spacing w:val="-8"/>
          <w:sz w:val="24"/>
        </w:rPr>
        <w:t> </w:t>
      </w:r>
      <w:r>
        <w:rPr>
          <w:i/>
          <w:color w:val="231F20"/>
          <w:spacing w:val="-4"/>
          <w:sz w:val="24"/>
        </w:rPr>
        <w:t>(Blancs)</w:t>
      </w:r>
      <w:r>
        <w:rPr>
          <w:i/>
          <w:color w:val="231F20"/>
          <w:spacing w:val="-10"/>
          <w:sz w:val="24"/>
        </w:rPr>
        <w:t> </w:t>
      </w:r>
      <w:r>
        <w:rPr>
          <w:i/>
          <w:color w:val="231F20"/>
          <w:spacing w:val="-4"/>
          <w:sz w:val="24"/>
        </w:rPr>
        <w:t>nous</w:t>
      </w:r>
      <w:r>
        <w:rPr>
          <w:i/>
          <w:color w:val="231F20"/>
          <w:spacing w:val="-8"/>
          <w:sz w:val="24"/>
        </w:rPr>
        <w:t> </w:t>
      </w:r>
      <w:r>
        <w:rPr>
          <w:i/>
          <w:color w:val="231F20"/>
          <w:spacing w:val="-4"/>
          <w:sz w:val="24"/>
        </w:rPr>
        <w:t>construirons</w:t>
      </w:r>
      <w:r>
        <w:rPr>
          <w:i/>
          <w:color w:val="231F20"/>
          <w:spacing w:val="-8"/>
          <w:sz w:val="24"/>
        </w:rPr>
        <w:t> </w:t>
      </w:r>
      <w:r>
        <w:rPr>
          <w:i/>
          <w:color w:val="231F20"/>
          <w:spacing w:val="-4"/>
          <w:sz w:val="24"/>
        </w:rPr>
        <w:t>une </w:t>
      </w:r>
      <w:r>
        <w:rPr>
          <w:i/>
          <w:color w:val="231F20"/>
          <w:sz w:val="24"/>
        </w:rPr>
        <w:t>communauté</w:t>
      </w:r>
      <w:r>
        <w:rPr>
          <w:i/>
          <w:color w:val="231F20"/>
          <w:spacing w:val="-6"/>
          <w:sz w:val="24"/>
        </w:rPr>
        <w:t> </w:t>
      </w:r>
      <w:r>
        <w:rPr>
          <w:i/>
          <w:color w:val="231F20"/>
          <w:sz w:val="24"/>
        </w:rPr>
        <w:t>plus</w:t>
      </w:r>
      <w:r>
        <w:rPr>
          <w:i/>
          <w:color w:val="231F20"/>
          <w:spacing w:val="-9"/>
          <w:sz w:val="24"/>
        </w:rPr>
        <w:t> </w:t>
      </w:r>
      <w:r>
        <w:rPr>
          <w:i/>
          <w:color w:val="231F20"/>
          <w:sz w:val="24"/>
        </w:rPr>
        <w:t>forte</w:t>
      </w:r>
      <w:r>
        <w:rPr>
          <w:i/>
          <w:color w:val="231F20"/>
          <w:spacing w:val="-6"/>
          <w:sz w:val="24"/>
        </w:rPr>
        <w:t> </w:t>
      </w:r>
      <w:r>
        <w:rPr>
          <w:i/>
          <w:color w:val="231F20"/>
          <w:sz w:val="24"/>
        </w:rPr>
        <w:t>à</w:t>
      </w:r>
      <w:r>
        <w:rPr>
          <w:i/>
          <w:color w:val="231F20"/>
          <w:spacing w:val="-9"/>
          <w:sz w:val="24"/>
        </w:rPr>
        <w:t> </w:t>
      </w:r>
      <w:r>
        <w:rPr>
          <w:i/>
          <w:color w:val="231F20"/>
          <w:sz w:val="24"/>
        </w:rPr>
        <w:t>partir</w:t>
      </w:r>
      <w:r>
        <w:rPr>
          <w:i/>
          <w:color w:val="231F20"/>
          <w:spacing w:val="-9"/>
          <w:sz w:val="24"/>
        </w:rPr>
        <w:t> </w:t>
      </w:r>
      <w:r>
        <w:rPr>
          <w:i/>
          <w:color w:val="231F20"/>
          <w:sz w:val="24"/>
        </w:rPr>
        <w:t>des</w:t>
      </w:r>
      <w:r>
        <w:rPr>
          <w:i/>
          <w:color w:val="231F20"/>
          <w:spacing w:val="-6"/>
          <w:sz w:val="24"/>
        </w:rPr>
        <w:t> </w:t>
      </w:r>
      <w:r>
        <w:rPr>
          <w:i/>
          <w:color w:val="231F20"/>
          <w:sz w:val="24"/>
        </w:rPr>
        <w:t>profits</w:t>
      </w:r>
      <w:r>
        <w:rPr>
          <w:i/>
          <w:color w:val="231F20"/>
          <w:spacing w:val="-6"/>
          <w:sz w:val="24"/>
        </w:rPr>
        <w:t> </w:t>
      </w:r>
      <w:r>
        <w:rPr>
          <w:i/>
          <w:color w:val="231F20"/>
          <w:sz w:val="24"/>
        </w:rPr>
        <w:t>que</w:t>
      </w:r>
      <w:r>
        <w:rPr>
          <w:i/>
          <w:color w:val="231F20"/>
          <w:spacing w:val="-9"/>
          <w:sz w:val="24"/>
        </w:rPr>
        <w:t> </w:t>
      </w:r>
      <w:r>
        <w:rPr>
          <w:i/>
          <w:color w:val="231F20"/>
          <w:sz w:val="24"/>
        </w:rPr>
        <w:t>nous</w:t>
      </w:r>
      <w:r>
        <w:rPr>
          <w:i/>
          <w:color w:val="231F20"/>
          <w:spacing w:val="-6"/>
          <w:sz w:val="24"/>
        </w:rPr>
        <w:t> </w:t>
      </w:r>
      <w:r>
        <w:rPr>
          <w:i/>
          <w:color w:val="231F20"/>
          <w:sz w:val="24"/>
        </w:rPr>
        <w:t>réalisons</w:t>
      </w:r>
      <w:r>
        <w:rPr>
          <w:i/>
          <w:color w:val="231F20"/>
          <w:spacing w:val="-9"/>
          <w:sz w:val="24"/>
        </w:rPr>
        <w:t> </w:t>
      </w:r>
      <w:r>
        <w:rPr>
          <w:i/>
          <w:color w:val="231F20"/>
          <w:sz w:val="24"/>
        </w:rPr>
        <w:t>d'eux...</w:t>
      </w:r>
    </w:p>
    <w:p>
      <w:pPr>
        <w:pStyle w:val="ListParagraph"/>
        <w:numPr>
          <w:ilvl w:val="0"/>
          <w:numId w:val="6"/>
        </w:numPr>
        <w:tabs>
          <w:tab w:pos="654" w:val="left" w:leader="none"/>
        </w:tabs>
        <w:spacing w:line="240" w:lineRule="auto" w:before="121" w:after="0"/>
        <w:ind w:left="111" w:right="106" w:firstLine="283"/>
        <w:jc w:val="both"/>
        <w:rPr>
          <w:i/>
          <w:sz w:val="24"/>
        </w:rPr>
      </w:pPr>
      <w:r>
        <w:rPr>
          <w:i/>
          <w:color w:val="231F20"/>
          <w:sz w:val="24"/>
        </w:rPr>
        <w:t>L'égoïsme est enraciné en eux depuis les temps de l'esclavage et</w:t>
      </w:r>
      <w:r>
        <w:rPr>
          <w:i/>
          <w:color w:val="231F20"/>
          <w:sz w:val="24"/>
        </w:rPr>
        <w:t> l'époque coloniale et c'est l'une des principales manières à travers lesquelles nous continuons à les y maintenir(...). Leur égoïsme ne leur permet pas de travailler ensemble sur des projets pour atteindre des réalisations communes. Ils ne réaliseront jamais ce que nous avons accompli. Quand ils se mettent ensemble ils laissent leur ego dominer leurs</w:t>
      </w:r>
      <w:r>
        <w:rPr>
          <w:i/>
          <w:color w:val="231F20"/>
          <w:spacing w:val="-12"/>
          <w:sz w:val="24"/>
        </w:rPr>
        <w:t> </w:t>
      </w:r>
      <w:r>
        <w:rPr>
          <w:i/>
          <w:color w:val="231F20"/>
          <w:sz w:val="24"/>
        </w:rPr>
        <w:t>objectifs</w:t>
      </w:r>
      <w:r>
        <w:rPr>
          <w:i/>
          <w:color w:val="231F20"/>
          <w:spacing w:val="-12"/>
          <w:sz w:val="24"/>
        </w:rPr>
        <w:t> </w:t>
      </w:r>
      <w:r>
        <w:rPr>
          <w:i/>
          <w:color w:val="231F20"/>
          <w:sz w:val="24"/>
        </w:rPr>
        <w:t>communs.</w:t>
      </w:r>
      <w:r>
        <w:rPr>
          <w:i/>
          <w:color w:val="231F20"/>
          <w:spacing w:val="-14"/>
          <w:sz w:val="24"/>
        </w:rPr>
        <w:t> </w:t>
      </w:r>
      <w:r>
        <w:rPr>
          <w:i/>
          <w:color w:val="231F20"/>
          <w:sz w:val="24"/>
        </w:rPr>
        <w:t>Donc</w:t>
      </w:r>
      <w:r>
        <w:rPr>
          <w:i/>
          <w:color w:val="231F20"/>
          <w:spacing w:val="-12"/>
          <w:sz w:val="24"/>
        </w:rPr>
        <w:t> </w:t>
      </w:r>
      <w:r>
        <w:rPr>
          <w:i/>
          <w:color w:val="231F20"/>
          <w:sz w:val="24"/>
        </w:rPr>
        <w:t>leurs</w:t>
      </w:r>
      <w:r>
        <w:rPr>
          <w:i/>
          <w:color w:val="231F20"/>
          <w:spacing w:val="-14"/>
          <w:sz w:val="24"/>
        </w:rPr>
        <w:t> </w:t>
      </w:r>
      <w:r>
        <w:rPr>
          <w:i/>
          <w:color w:val="231F20"/>
          <w:sz w:val="24"/>
        </w:rPr>
        <w:t>prétendues</w:t>
      </w:r>
      <w:r>
        <w:rPr>
          <w:i/>
          <w:color w:val="231F20"/>
          <w:spacing w:val="-12"/>
          <w:sz w:val="24"/>
        </w:rPr>
        <w:t> </w:t>
      </w:r>
      <w:r>
        <w:rPr>
          <w:i/>
          <w:color w:val="231F20"/>
          <w:sz w:val="24"/>
        </w:rPr>
        <w:t>organisations</w:t>
      </w:r>
      <w:r>
        <w:rPr>
          <w:i/>
          <w:color w:val="231F20"/>
          <w:spacing w:val="-12"/>
          <w:sz w:val="24"/>
        </w:rPr>
        <w:t> </w:t>
      </w:r>
      <w:r>
        <w:rPr>
          <w:i/>
          <w:color w:val="231F20"/>
          <w:sz w:val="24"/>
        </w:rPr>
        <w:t>d'aide</w:t>
      </w:r>
      <w:r>
        <w:rPr>
          <w:i/>
          <w:color w:val="231F20"/>
          <w:spacing w:val="-12"/>
          <w:sz w:val="24"/>
        </w:rPr>
        <w:t> </w:t>
      </w:r>
      <w:r>
        <w:rPr>
          <w:i/>
          <w:color w:val="231F20"/>
          <w:sz w:val="24"/>
        </w:rPr>
        <w:t>et </w:t>
      </w:r>
      <w:r>
        <w:rPr>
          <w:i/>
          <w:color w:val="231F20"/>
          <w:spacing w:val="-2"/>
          <w:sz w:val="24"/>
        </w:rPr>
        <w:t>de</w:t>
      </w:r>
      <w:r>
        <w:rPr>
          <w:i/>
          <w:color w:val="231F20"/>
          <w:spacing w:val="-13"/>
          <w:sz w:val="24"/>
        </w:rPr>
        <w:t> </w:t>
      </w:r>
      <w:r>
        <w:rPr>
          <w:i/>
          <w:color w:val="231F20"/>
          <w:spacing w:val="-2"/>
          <w:sz w:val="24"/>
        </w:rPr>
        <w:t>charité</w:t>
      </w:r>
      <w:r>
        <w:rPr>
          <w:i/>
          <w:color w:val="231F20"/>
          <w:spacing w:val="-13"/>
          <w:sz w:val="24"/>
        </w:rPr>
        <w:t> </w:t>
      </w:r>
      <w:r>
        <w:rPr>
          <w:i/>
          <w:color w:val="231F20"/>
          <w:spacing w:val="-2"/>
          <w:sz w:val="24"/>
        </w:rPr>
        <w:t>(...)</w:t>
      </w:r>
      <w:r>
        <w:rPr>
          <w:i/>
          <w:color w:val="231F20"/>
          <w:spacing w:val="-13"/>
          <w:sz w:val="24"/>
        </w:rPr>
        <w:t> </w:t>
      </w:r>
      <w:r>
        <w:rPr>
          <w:i/>
          <w:color w:val="231F20"/>
          <w:spacing w:val="-2"/>
          <w:sz w:val="24"/>
        </w:rPr>
        <w:t>Semblent</w:t>
      </w:r>
      <w:r>
        <w:rPr>
          <w:i/>
          <w:color w:val="231F20"/>
          <w:spacing w:val="-13"/>
          <w:sz w:val="24"/>
        </w:rPr>
        <w:t> </w:t>
      </w:r>
      <w:r>
        <w:rPr>
          <w:i/>
          <w:color w:val="231F20"/>
          <w:spacing w:val="-2"/>
          <w:sz w:val="24"/>
        </w:rPr>
        <w:t>seulement</w:t>
      </w:r>
      <w:r>
        <w:rPr>
          <w:i/>
          <w:color w:val="231F20"/>
          <w:spacing w:val="-13"/>
          <w:sz w:val="24"/>
        </w:rPr>
        <w:t> </w:t>
      </w:r>
      <w:r>
        <w:rPr>
          <w:i/>
          <w:color w:val="231F20"/>
          <w:spacing w:val="-2"/>
          <w:sz w:val="24"/>
        </w:rPr>
        <w:t>promouvoir</w:t>
      </w:r>
      <w:r>
        <w:rPr>
          <w:i/>
          <w:color w:val="231F20"/>
          <w:spacing w:val="-13"/>
          <w:sz w:val="24"/>
        </w:rPr>
        <w:t> </w:t>
      </w:r>
      <w:r>
        <w:rPr>
          <w:i/>
          <w:color w:val="231F20"/>
          <w:spacing w:val="-2"/>
          <w:sz w:val="24"/>
        </w:rPr>
        <w:t>leurs</w:t>
      </w:r>
      <w:r>
        <w:rPr>
          <w:i/>
          <w:color w:val="231F20"/>
          <w:spacing w:val="-13"/>
          <w:sz w:val="24"/>
        </w:rPr>
        <w:t> </w:t>
      </w:r>
      <w:r>
        <w:rPr>
          <w:i/>
          <w:color w:val="231F20"/>
          <w:spacing w:val="-2"/>
          <w:sz w:val="24"/>
        </w:rPr>
        <w:t>noms</w:t>
      </w:r>
      <w:r>
        <w:rPr>
          <w:i/>
          <w:color w:val="231F20"/>
          <w:spacing w:val="-13"/>
          <w:sz w:val="24"/>
        </w:rPr>
        <w:t> </w:t>
      </w:r>
      <w:r>
        <w:rPr>
          <w:i/>
          <w:color w:val="231F20"/>
          <w:spacing w:val="-2"/>
          <w:sz w:val="24"/>
        </w:rPr>
        <w:t>sans</w:t>
      </w:r>
      <w:r>
        <w:rPr>
          <w:i/>
          <w:color w:val="231F20"/>
          <w:spacing w:val="-12"/>
          <w:sz w:val="24"/>
        </w:rPr>
        <w:t> </w:t>
      </w:r>
      <w:r>
        <w:rPr>
          <w:i/>
          <w:color w:val="231F20"/>
          <w:spacing w:val="-2"/>
          <w:sz w:val="24"/>
        </w:rPr>
        <w:t>apporter </w:t>
      </w:r>
      <w:r>
        <w:rPr>
          <w:i/>
          <w:color w:val="231F20"/>
          <w:sz w:val="24"/>
        </w:rPr>
        <w:t>de réels changements au sein de la communauté. Ils sont heureux de </w:t>
      </w:r>
      <w:r>
        <w:rPr>
          <w:i/>
          <w:color w:val="231F20"/>
          <w:spacing w:val="-4"/>
          <w:sz w:val="24"/>
        </w:rPr>
        <w:t>siéger</w:t>
      </w:r>
      <w:r>
        <w:rPr>
          <w:i/>
          <w:color w:val="231F20"/>
          <w:spacing w:val="-11"/>
          <w:sz w:val="24"/>
        </w:rPr>
        <w:t> </w:t>
      </w:r>
      <w:r>
        <w:rPr>
          <w:i/>
          <w:color w:val="231F20"/>
          <w:spacing w:val="-4"/>
          <w:sz w:val="24"/>
        </w:rPr>
        <w:t>dans</w:t>
      </w:r>
      <w:r>
        <w:rPr>
          <w:i/>
          <w:color w:val="231F20"/>
          <w:spacing w:val="-11"/>
          <w:sz w:val="24"/>
        </w:rPr>
        <w:t> </w:t>
      </w:r>
      <w:r>
        <w:rPr>
          <w:i/>
          <w:color w:val="231F20"/>
          <w:spacing w:val="-4"/>
          <w:sz w:val="24"/>
        </w:rPr>
        <w:t>des</w:t>
      </w:r>
      <w:r>
        <w:rPr>
          <w:i/>
          <w:color w:val="231F20"/>
          <w:spacing w:val="-11"/>
          <w:sz w:val="24"/>
        </w:rPr>
        <w:t> </w:t>
      </w:r>
      <w:r>
        <w:rPr>
          <w:i/>
          <w:color w:val="231F20"/>
          <w:spacing w:val="-4"/>
          <w:sz w:val="24"/>
        </w:rPr>
        <w:t>conférences</w:t>
      </w:r>
      <w:r>
        <w:rPr>
          <w:i/>
          <w:color w:val="231F20"/>
          <w:spacing w:val="-11"/>
          <w:sz w:val="24"/>
        </w:rPr>
        <w:t> </w:t>
      </w:r>
      <w:r>
        <w:rPr>
          <w:i/>
          <w:color w:val="231F20"/>
          <w:spacing w:val="-4"/>
          <w:sz w:val="24"/>
        </w:rPr>
        <w:t>ou</w:t>
      </w:r>
      <w:r>
        <w:rPr>
          <w:i/>
          <w:color w:val="231F20"/>
          <w:spacing w:val="-11"/>
          <w:sz w:val="24"/>
        </w:rPr>
        <w:t> </w:t>
      </w:r>
      <w:r>
        <w:rPr>
          <w:i/>
          <w:color w:val="231F20"/>
          <w:spacing w:val="-4"/>
          <w:sz w:val="24"/>
        </w:rPr>
        <w:t>des</w:t>
      </w:r>
      <w:r>
        <w:rPr>
          <w:i/>
          <w:color w:val="231F20"/>
          <w:spacing w:val="-11"/>
          <w:sz w:val="24"/>
        </w:rPr>
        <w:t> </w:t>
      </w:r>
      <w:r>
        <w:rPr>
          <w:i/>
          <w:color w:val="231F20"/>
          <w:spacing w:val="-4"/>
          <w:sz w:val="24"/>
        </w:rPr>
        <w:t>conventions</w:t>
      </w:r>
      <w:r>
        <w:rPr>
          <w:i/>
          <w:color w:val="231F20"/>
          <w:spacing w:val="-11"/>
          <w:sz w:val="24"/>
        </w:rPr>
        <w:t> </w:t>
      </w:r>
      <w:r>
        <w:rPr>
          <w:i/>
          <w:color w:val="231F20"/>
          <w:spacing w:val="-4"/>
          <w:sz w:val="24"/>
        </w:rPr>
        <w:t>dans</w:t>
      </w:r>
      <w:r>
        <w:rPr>
          <w:i/>
          <w:color w:val="231F20"/>
          <w:spacing w:val="-11"/>
          <w:sz w:val="24"/>
        </w:rPr>
        <w:t> </w:t>
      </w:r>
      <w:r>
        <w:rPr>
          <w:i/>
          <w:color w:val="231F20"/>
          <w:spacing w:val="-4"/>
          <w:sz w:val="24"/>
        </w:rPr>
        <w:t>nos</w:t>
      </w:r>
      <w:r>
        <w:rPr>
          <w:i/>
          <w:color w:val="231F20"/>
          <w:spacing w:val="-11"/>
          <w:sz w:val="24"/>
        </w:rPr>
        <w:t> </w:t>
      </w:r>
      <w:r>
        <w:rPr>
          <w:i/>
          <w:color w:val="231F20"/>
          <w:spacing w:val="-4"/>
          <w:sz w:val="24"/>
        </w:rPr>
        <w:t>hôtels</w:t>
      </w:r>
      <w:r>
        <w:rPr>
          <w:i/>
          <w:color w:val="231F20"/>
          <w:spacing w:val="-11"/>
          <w:sz w:val="24"/>
        </w:rPr>
        <w:t> </w:t>
      </w:r>
      <w:r>
        <w:rPr>
          <w:i/>
          <w:color w:val="231F20"/>
          <w:spacing w:val="-4"/>
          <w:sz w:val="24"/>
        </w:rPr>
        <w:t>(sheraton, intercontinental),</w:t>
      </w:r>
      <w:r>
        <w:rPr>
          <w:i/>
          <w:color w:val="231F20"/>
          <w:spacing w:val="-6"/>
          <w:sz w:val="24"/>
        </w:rPr>
        <w:t> </w:t>
      </w:r>
      <w:r>
        <w:rPr>
          <w:i/>
          <w:color w:val="231F20"/>
          <w:spacing w:val="-4"/>
          <w:sz w:val="24"/>
        </w:rPr>
        <w:t>...,</w:t>
      </w:r>
      <w:r>
        <w:rPr>
          <w:i/>
          <w:color w:val="231F20"/>
          <w:spacing w:val="-5"/>
          <w:sz w:val="24"/>
        </w:rPr>
        <w:t> </w:t>
      </w:r>
      <w:r>
        <w:rPr>
          <w:i/>
          <w:color w:val="231F20"/>
          <w:spacing w:val="-4"/>
          <w:sz w:val="24"/>
        </w:rPr>
        <w:t>discutant</w:t>
      </w:r>
      <w:r>
        <w:rPr>
          <w:i/>
          <w:color w:val="231F20"/>
          <w:spacing w:val="-6"/>
          <w:sz w:val="24"/>
        </w:rPr>
        <w:t> </w:t>
      </w:r>
      <w:r>
        <w:rPr>
          <w:i/>
          <w:color w:val="231F20"/>
          <w:spacing w:val="-4"/>
          <w:sz w:val="24"/>
        </w:rPr>
        <w:t>au sujet</w:t>
      </w:r>
      <w:r>
        <w:rPr>
          <w:i/>
          <w:color w:val="231F20"/>
          <w:spacing w:val="-6"/>
          <w:sz w:val="24"/>
        </w:rPr>
        <w:t> </w:t>
      </w:r>
      <w:r>
        <w:rPr>
          <w:i/>
          <w:color w:val="231F20"/>
          <w:spacing w:val="-4"/>
          <w:sz w:val="24"/>
        </w:rPr>
        <w:t>de ce qu'ils projettent</w:t>
      </w:r>
      <w:r>
        <w:rPr>
          <w:i/>
          <w:color w:val="231F20"/>
          <w:spacing w:val="-6"/>
          <w:sz w:val="24"/>
        </w:rPr>
        <w:t> </w:t>
      </w:r>
      <w:r>
        <w:rPr>
          <w:i/>
          <w:color w:val="231F20"/>
          <w:spacing w:val="-4"/>
          <w:sz w:val="24"/>
        </w:rPr>
        <w:t>de faire</w:t>
      </w:r>
      <w:r>
        <w:rPr>
          <w:i/>
          <w:color w:val="231F20"/>
          <w:spacing w:val="-6"/>
          <w:sz w:val="24"/>
        </w:rPr>
        <w:t> </w:t>
      </w:r>
      <w:r>
        <w:rPr>
          <w:i/>
          <w:color w:val="231F20"/>
          <w:spacing w:val="-4"/>
          <w:sz w:val="24"/>
        </w:rPr>
        <w:t>tout </w:t>
      </w:r>
      <w:r>
        <w:rPr>
          <w:i/>
          <w:color w:val="231F20"/>
          <w:sz w:val="24"/>
        </w:rPr>
        <w:t>en récompensant par des plaques d'honneur et des titres, les meilleurs </w:t>
      </w:r>
      <w:r>
        <w:rPr>
          <w:i/>
          <w:color w:val="231F20"/>
          <w:spacing w:val="-4"/>
          <w:sz w:val="24"/>
        </w:rPr>
        <w:t>orateurs mais</w:t>
      </w:r>
      <w:r>
        <w:rPr>
          <w:i/>
          <w:color w:val="231F20"/>
          <w:spacing w:val="-6"/>
          <w:sz w:val="24"/>
        </w:rPr>
        <w:t> </w:t>
      </w:r>
      <w:r>
        <w:rPr>
          <w:i/>
          <w:color w:val="231F20"/>
          <w:spacing w:val="-4"/>
          <w:sz w:val="24"/>
        </w:rPr>
        <w:t>non les meilleurs</w:t>
      </w:r>
      <w:r>
        <w:rPr>
          <w:i/>
          <w:color w:val="231F20"/>
          <w:spacing w:val="-6"/>
          <w:sz w:val="24"/>
        </w:rPr>
        <w:t> </w:t>
      </w:r>
      <w:r>
        <w:rPr>
          <w:i/>
          <w:color w:val="231F20"/>
          <w:spacing w:val="-4"/>
          <w:sz w:val="24"/>
        </w:rPr>
        <w:t>réalisateurs (ceux</w:t>
      </w:r>
      <w:r>
        <w:rPr>
          <w:i/>
          <w:color w:val="231F20"/>
          <w:spacing w:val="-7"/>
          <w:sz w:val="24"/>
        </w:rPr>
        <w:t> </w:t>
      </w:r>
      <w:r>
        <w:rPr>
          <w:i/>
          <w:color w:val="231F20"/>
          <w:spacing w:val="-4"/>
          <w:sz w:val="24"/>
        </w:rPr>
        <w:t>qui en</w:t>
      </w:r>
      <w:r>
        <w:rPr>
          <w:i/>
          <w:color w:val="231F20"/>
          <w:spacing w:val="-6"/>
          <w:sz w:val="24"/>
        </w:rPr>
        <w:t> </w:t>
      </w:r>
      <w:r>
        <w:rPr>
          <w:i/>
          <w:color w:val="231F20"/>
          <w:spacing w:val="-4"/>
          <w:sz w:val="24"/>
        </w:rPr>
        <w:t>fait,</w:t>
      </w:r>
      <w:r>
        <w:rPr>
          <w:i/>
          <w:color w:val="231F20"/>
          <w:spacing w:val="-6"/>
          <w:sz w:val="24"/>
        </w:rPr>
        <w:t> </w:t>
      </w:r>
      <w:r>
        <w:rPr>
          <w:i/>
          <w:color w:val="231F20"/>
          <w:spacing w:val="-4"/>
          <w:sz w:val="24"/>
        </w:rPr>
        <w:t>agissent).</w:t>
      </w:r>
      <w:r>
        <w:rPr>
          <w:i/>
          <w:color w:val="231F20"/>
          <w:spacing w:val="-6"/>
          <w:sz w:val="24"/>
        </w:rPr>
        <w:t> </w:t>
      </w:r>
      <w:r>
        <w:rPr>
          <w:i/>
          <w:color w:val="231F20"/>
          <w:spacing w:val="-4"/>
          <w:sz w:val="24"/>
        </w:rPr>
        <w:t>Y </w:t>
      </w:r>
      <w:r>
        <w:rPr>
          <w:i/>
          <w:color w:val="231F20"/>
          <w:sz w:val="24"/>
        </w:rPr>
        <w:t>aura-t-il</w:t>
      </w:r>
      <w:r>
        <w:rPr>
          <w:i/>
          <w:color w:val="231F20"/>
          <w:spacing w:val="6"/>
          <w:sz w:val="24"/>
        </w:rPr>
        <w:t> </w:t>
      </w:r>
      <w:r>
        <w:rPr>
          <w:i/>
          <w:color w:val="231F20"/>
          <w:sz w:val="24"/>
        </w:rPr>
        <w:t>une</w:t>
      </w:r>
      <w:r>
        <w:rPr>
          <w:i/>
          <w:color w:val="231F20"/>
          <w:spacing w:val="5"/>
          <w:sz w:val="24"/>
        </w:rPr>
        <w:t> </w:t>
      </w:r>
      <w:r>
        <w:rPr>
          <w:i/>
          <w:color w:val="231F20"/>
          <w:sz w:val="24"/>
        </w:rPr>
        <w:t>fin</w:t>
      </w:r>
      <w:r>
        <w:rPr>
          <w:i/>
          <w:color w:val="231F20"/>
          <w:spacing w:val="5"/>
          <w:sz w:val="24"/>
        </w:rPr>
        <w:t> </w:t>
      </w:r>
      <w:r>
        <w:rPr>
          <w:i/>
          <w:color w:val="231F20"/>
          <w:sz w:val="24"/>
        </w:rPr>
        <w:t>à</w:t>
      </w:r>
      <w:r>
        <w:rPr>
          <w:i/>
          <w:color w:val="231F20"/>
          <w:spacing w:val="5"/>
          <w:sz w:val="24"/>
        </w:rPr>
        <w:t> </w:t>
      </w:r>
      <w:r>
        <w:rPr>
          <w:i/>
          <w:color w:val="231F20"/>
          <w:sz w:val="24"/>
        </w:rPr>
        <w:t>leur</w:t>
      </w:r>
      <w:r>
        <w:rPr>
          <w:i/>
          <w:color w:val="231F20"/>
          <w:spacing w:val="8"/>
          <w:sz w:val="24"/>
        </w:rPr>
        <w:t> </w:t>
      </w:r>
      <w:r>
        <w:rPr>
          <w:i/>
          <w:color w:val="231F20"/>
          <w:sz w:val="24"/>
        </w:rPr>
        <w:t>égoïsme?</w:t>
      </w:r>
      <w:r>
        <w:rPr>
          <w:i/>
          <w:color w:val="231F20"/>
          <w:spacing w:val="5"/>
          <w:sz w:val="24"/>
        </w:rPr>
        <w:t> </w:t>
      </w:r>
      <w:r>
        <w:rPr>
          <w:i/>
          <w:color w:val="231F20"/>
          <w:sz w:val="24"/>
        </w:rPr>
        <w:t>Ils</w:t>
      </w:r>
      <w:r>
        <w:rPr>
          <w:i/>
          <w:color w:val="231F20"/>
          <w:spacing w:val="6"/>
          <w:sz w:val="24"/>
        </w:rPr>
        <w:t> </w:t>
      </w:r>
      <w:r>
        <w:rPr>
          <w:i/>
          <w:color w:val="231F20"/>
          <w:sz w:val="24"/>
        </w:rPr>
        <w:t>refusent</w:t>
      </w:r>
      <w:r>
        <w:rPr>
          <w:i/>
          <w:color w:val="231F20"/>
          <w:spacing w:val="8"/>
          <w:sz w:val="24"/>
        </w:rPr>
        <w:t> </w:t>
      </w:r>
      <w:r>
        <w:rPr>
          <w:i/>
          <w:color w:val="231F20"/>
          <w:sz w:val="24"/>
        </w:rPr>
        <w:t>obstinément</w:t>
      </w:r>
      <w:r>
        <w:rPr>
          <w:i/>
          <w:color w:val="231F20"/>
          <w:spacing w:val="5"/>
          <w:sz w:val="24"/>
        </w:rPr>
        <w:t> </w:t>
      </w:r>
      <w:r>
        <w:rPr>
          <w:i/>
          <w:color w:val="231F20"/>
          <w:sz w:val="24"/>
        </w:rPr>
        <w:t>de</w:t>
      </w:r>
      <w:r>
        <w:rPr>
          <w:i/>
          <w:color w:val="231F20"/>
          <w:spacing w:val="7"/>
          <w:sz w:val="24"/>
        </w:rPr>
        <w:t> </w:t>
      </w:r>
      <w:r>
        <w:rPr>
          <w:i/>
          <w:color w:val="231F20"/>
          <w:sz w:val="24"/>
        </w:rPr>
        <w:t>se</w:t>
      </w:r>
      <w:r>
        <w:rPr>
          <w:i/>
          <w:color w:val="231F20"/>
          <w:spacing w:val="6"/>
          <w:sz w:val="24"/>
        </w:rPr>
        <w:t> </w:t>
      </w:r>
      <w:r>
        <w:rPr>
          <w:i/>
          <w:color w:val="231F20"/>
          <w:spacing w:val="-2"/>
          <w:sz w:val="24"/>
        </w:rPr>
        <w:t>rendre</w:t>
      </w:r>
    </w:p>
    <w:p>
      <w:pPr>
        <w:spacing w:after="0" w:line="240" w:lineRule="auto"/>
        <w:jc w:val="both"/>
        <w:rPr>
          <w:sz w:val="24"/>
        </w:rPr>
        <w:sectPr>
          <w:pgSz w:w="8790" w:h="13610"/>
          <w:pgMar w:header="0" w:footer="802" w:top="1060" w:bottom="1000" w:left="880" w:right="880"/>
        </w:sectPr>
      </w:pPr>
    </w:p>
    <w:p>
      <w:pPr>
        <w:spacing w:before="66"/>
        <w:ind w:left="111" w:right="104" w:firstLine="0"/>
        <w:jc w:val="both"/>
        <w:rPr>
          <w:i/>
          <w:sz w:val="24"/>
        </w:rPr>
      </w:pPr>
      <w:r>
        <w:rPr>
          <w:i/>
          <w:color w:val="231F20"/>
          <w:sz w:val="24"/>
        </w:rPr>
        <w:t>compte qu’unis, ils pourraient accomplir beaucoup plus (...) Ils ne</w:t>
      </w:r>
      <w:r>
        <w:rPr>
          <w:i/>
          <w:color w:val="231F20"/>
          <w:sz w:val="24"/>
        </w:rPr>
        <w:t> </w:t>
      </w:r>
      <w:r>
        <w:rPr>
          <w:i/>
          <w:color w:val="231F20"/>
          <w:spacing w:val="-2"/>
          <w:sz w:val="24"/>
        </w:rPr>
        <w:t>comprennent</w:t>
      </w:r>
      <w:r>
        <w:rPr>
          <w:i/>
          <w:color w:val="231F20"/>
          <w:spacing w:val="-11"/>
          <w:sz w:val="24"/>
        </w:rPr>
        <w:t> </w:t>
      </w:r>
      <w:r>
        <w:rPr>
          <w:i/>
          <w:color w:val="231F20"/>
          <w:spacing w:val="-2"/>
          <w:sz w:val="24"/>
        </w:rPr>
        <w:t>pas</w:t>
      </w:r>
      <w:r>
        <w:rPr>
          <w:i/>
          <w:color w:val="231F20"/>
          <w:spacing w:val="-13"/>
          <w:sz w:val="24"/>
        </w:rPr>
        <w:t> </w:t>
      </w:r>
      <w:r>
        <w:rPr>
          <w:i/>
          <w:color w:val="231F20"/>
          <w:spacing w:val="-2"/>
          <w:sz w:val="24"/>
        </w:rPr>
        <w:t>qu'il</w:t>
      </w:r>
      <w:r>
        <w:rPr>
          <w:i/>
          <w:color w:val="231F20"/>
          <w:spacing w:val="-13"/>
          <w:sz w:val="24"/>
        </w:rPr>
        <w:t> </w:t>
      </w:r>
      <w:r>
        <w:rPr>
          <w:i/>
          <w:color w:val="231F20"/>
          <w:spacing w:val="-2"/>
          <w:sz w:val="24"/>
        </w:rPr>
        <w:t>n'y</w:t>
      </w:r>
      <w:r>
        <w:rPr>
          <w:i/>
          <w:color w:val="231F20"/>
          <w:spacing w:val="-13"/>
          <w:sz w:val="24"/>
        </w:rPr>
        <w:t> </w:t>
      </w:r>
      <w:r>
        <w:rPr>
          <w:i/>
          <w:color w:val="231F20"/>
          <w:spacing w:val="-2"/>
          <w:sz w:val="24"/>
        </w:rPr>
        <w:t>a</w:t>
      </w:r>
      <w:r>
        <w:rPr>
          <w:i/>
          <w:color w:val="231F20"/>
          <w:spacing w:val="-12"/>
          <w:sz w:val="24"/>
        </w:rPr>
        <w:t> </w:t>
      </w:r>
      <w:r>
        <w:rPr>
          <w:i/>
          <w:color w:val="231F20"/>
          <w:spacing w:val="-2"/>
          <w:sz w:val="24"/>
        </w:rPr>
        <w:t>pas</w:t>
      </w:r>
      <w:r>
        <w:rPr>
          <w:i/>
          <w:color w:val="231F20"/>
          <w:spacing w:val="-12"/>
          <w:sz w:val="24"/>
        </w:rPr>
        <w:t> </w:t>
      </w:r>
      <w:r>
        <w:rPr>
          <w:i/>
          <w:color w:val="231F20"/>
          <w:spacing w:val="-2"/>
          <w:sz w:val="24"/>
        </w:rPr>
        <w:t>mieux</w:t>
      </w:r>
      <w:r>
        <w:rPr>
          <w:i/>
          <w:color w:val="231F20"/>
          <w:spacing w:val="-11"/>
          <w:sz w:val="24"/>
        </w:rPr>
        <w:t> </w:t>
      </w:r>
      <w:r>
        <w:rPr>
          <w:i/>
          <w:color w:val="231F20"/>
          <w:spacing w:val="-2"/>
          <w:sz w:val="24"/>
        </w:rPr>
        <w:t>que</w:t>
      </w:r>
      <w:r>
        <w:rPr>
          <w:i/>
          <w:color w:val="231F20"/>
          <w:spacing w:val="-11"/>
          <w:sz w:val="24"/>
        </w:rPr>
        <w:t> </w:t>
      </w:r>
      <w:r>
        <w:rPr>
          <w:i/>
          <w:color w:val="231F20"/>
          <w:spacing w:val="-2"/>
          <w:sz w:val="24"/>
        </w:rPr>
        <w:t>des</w:t>
      </w:r>
      <w:r>
        <w:rPr>
          <w:i/>
          <w:color w:val="231F20"/>
          <w:spacing w:val="-13"/>
          <w:sz w:val="24"/>
        </w:rPr>
        <w:t> </w:t>
      </w:r>
      <w:r>
        <w:rPr>
          <w:i/>
          <w:color w:val="231F20"/>
          <w:spacing w:val="-2"/>
          <w:sz w:val="24"/>
        </w:rPr>
        <w:t>entités</w:t>
      </w:r>
      <w:r>
        <w:rPr>
          <w:i/>
          <w:color w:val="231F20"/>
          <w:spacing w:val="-12"/>
          <w:sz w:val="24"/>
        </w:rPr>
        <w:t> </w:t>
      </w:r>
      <w:r>
        <w:rPr>
          <w:i/>
          <w:color w:val="231F20"/>
          <w:spacing w:val="-2"/>
          <w:sz w:val="24"/>
        </w:rPr>
        <w:t>individuelles</w:t>
      </w:r>
      <w:r>
        <w:rPr>
          <w:i/>
          <w:color w:val="231F20"/>
          <w:spacing w:val="-13"/>
          <w:sz w:val="24"/>
        </w:rPr>
        <w:t> </w:t>
      </w:r>
      <w:r>
        <w:rPr>
          <w:i/>
          <w:color w:val="231F20"/>
          <w:spacing w:val="-2"/>
          <w:sz w:val="24"/>
        </w:rPr>
        <w:t>mises ensemble</w:t>
      </w:r>
      <w:r>
        <w:rPr>
          <w:i/>
          <w:color w:val="231F20"/>
          <w:spacing w:val="-15"/>
          <w:sz w:val="24"/>
        </w:rPr>
        <w:t> </w:t>
      </w:r>
      <w:r>
        <w:rPr>
          <w:i/>
          <w:color w:val="231F20"/>
          <w:spacing w:val="-2"/>
          <w:sz w:val="24"/>
        </w:rPr>
        <w:t>pour</w:t>
      </w:r>
      <w:r>
        <w:rPr>
          <w:i/>
          <w:color w:val="231F20"/>
          <w:spacing w:val="-13"/>
          <w:sz w:val="24"/>
        </w:rPr>
        <w:t> </w:t>
      </w:r>
      <w:r>
        <w:rPr>
          <w:i/>
          <w:color w:val="231F20"/>
          <w:spacing w:val="-2"/>
          <w:sz w:val="24"/>
        </w:rPr>
        <w:t>contribuer</w:t>
      </w:r>
      <w:r>
        <w:rPr>
          <w:i/>
          <w:color w:val="231F20"/>
          <w:spacing w:val="-13"/>
          <w:sz w:val="24"/>
        </w:rPr>
        <w:t> </w:t>
      </w:r>
      <w:r>
        <w:rPr>
          <w:i/>
          <w:color w:val="231F20"/>
          <w:spacing w:val="-2"/>
          <w:sz w:val="24"/>
        </w:rPr>
        <w:t>à</w:t>
      </w:r>
      <w:r>
        <w:rPr>
          <w:i/>
          <w:color w:val="231F20"/>
          <w:spacing w:val="-13"/>
          <w:sz w:val="24"/>
        </w:rPr>
        <w:t> </w:t>
      </w:r>
      <w:r>
        <w:rPr>
          <w:i/>
          <w:color w:val="231F20"/>
          <w:spacing w:val="-2"/>
          <w:sz w:val="24"/>
        </w:rPr>
        <w:t>une</w:t>
      </w:r>
      <w:r>
        <w:rPr>
          <w:i/>
          <w:color w:val="231F20"/>
          <w:spacing w:val="-13"/>
          <w:sz w:val="24"/>
        </w:rPr>
        <w:t> </w:t>
      </w:r>
      <w:r>
        <w:rPr>
          <w:i/>
          <w:color w:val="231F20"/>
          <w:spacing w:val="-2"/>
          <w:sz w:val="24"/>
        </w:rPr>
        <w:t>œuvre</w:t>
      </w:r>
      <w:r>
        <w:rPr>
          <w:i/>
          <w:color w:val="231F20"/>
          <w:spacing w:val="-13"/>
          <w:sz w:val="24"/>
        </w:rPr>
        <w:t> </w:t>
      </w:r>
      <w:r>
        <w:rPr>
          <w:i/>
          <w:color w:val="231F20"/>
          <w:spacing w:val="-2"/>
          <w:sz w:val="24"/>
        </w:rPr>
        <w:t>commune</w:t>
      </w:r>
      <w:r>
        <w:rPr>
          <w:i/>
          <w:color w:val="231F20"/>
          <w:spacing w:val="-13"/>
          <w:sz w:val="24"/>
        </w:rPr>
        <w:t> </w:t>
      </w:r>
      <w:r>
        <w:rPr>
          <w:i/>
          <w:color w:val="231F20"/>
          <w:spacing w:val="-2"/>
          <w:sz w:val="24"/>
        </w:rPr>
        <w:t>(…)</w:t>
      </w:r>
      <w:r>
        <w:rPr>
          <w:i/>
          <w:color w:val="231F20"/>
          <w:spacing w:val="-13"/>
          <w:sz w:val="24"/>
        </w:rPr>
        <w:t> </w:t>
      </w:r>
      <w:r>
        <w:rPr>
          <w:i/>
          <w:color w:val="231F20"/>
          <w:spacing w:val="-2"/>
          <w:sz w:val="24"/>
        </w:rPr>
        <w:t>en</w:t>
      </w:r>
      <w:r>
        <w:rPr>
          <w:i/>
          <w:color w:val="231F20"/>
          <w:spacing w:val="-13"/>
          <w:sz w:val="24"/>
        </w:rPr>
        <w:t> </w:t>
      </w:r>
      <w:r>
        <w:rPr>
          <w:i/>
          <w:color w:val="231F20"/>
          <w:spacing w:val="-2"/>
          <w:sz w:val="24"/>
        </w:rPr>
        <w:t>passant,</w:t>
      </w:r>
      <w:r>
        <w:rPr>
          <w:i/>
          <w:color w:val="231F20"/>
          <w:spacing w:val="-13"/>
          <w:sz w:val="24"/>
        </w:rPr>
        <w:t> </w:t>
      </w:r>
      <w:r>
        <w:rPr>
          <w:i/>
          <w:color w:val="231F20"/>
          <w:spacing w:val="-2"/>
          <w:sz w:val="24"/>
        </w:rPr>
        <w:t>ne</w:t>
      </w:r>
      <w:r>
        <w:rPr>
          <w:i/>
          <w:color w:val="231F20"/>
          <w:spacing w:val="-13"/>
          <w:sz w:val="24"/>
        </w:rPr>
        <w:t> </w:t>
      </w:r>
      <w:r>
        <w:rPr>
          <w:i/>
          <w:color w:val="231F20"/>
          <w:spacing w:val="-2"/>
          <w:sz w:val="24"/>
        </w:rPr>
        <w:t>vous </w:t>
      </w:r>
      <w:r>
        <w:rPr>
          <w:i/>
          <w:color w:val="231F20"/>
          <w:sz w:val="24"/>
        </w:rPr>
        <w:t>inquiétez</w:t>
      </w:r>
      <w:r>
        <w:rPr>
          <w:i/>
          <w:color w:val="231F20"/>
          <w:spacing w:val="-13"/>
          <w:sz w:val="24"/>
        </w:rPr>
        <w:t> </w:t>
      </w:r>
      <w:r>
        <w:rPr>
          <w:i/>
          <w:color w:val="231F20"/>
          <w:sz w:val="24"/>
        </w:rPr>
        <w:t>pas</w:t>
      </w:r>
      <w:r>
        <w:rPr>
          <w:i/>
          <w:color w:val="231F20"/>
          <w:spacing w:val="-13"/>
          <w:sz w:val="24"/>
        </w:rPr>
        <w:t> </w:t>
      </w:r>
      <w:r>
        <w:rPr>
          <w:i/>
          <w:color w:val="231F20"/>
          <w:sz w:val="24"/>
        </w:rPr>
        <w:t>qu'ils</w:t>
      </w:r>
      <w:r>
        <w:rPr>
          <w:i/>
          <w:color w:val="231F20"/>
          <w:spacing w:val="-13"/>
          <w:sz w:val="24"/>
        </w:rPr>
        <w:t> </w:t>
      </w:r>
      <w:r>
        <w:rPr>
          <w:i/>
          <w:color w:val="231F20"/>
          <w:sz w:val="24"/>
        </w:rPr>
        <w:t>puissent</w:t>
      </w:r>
      <w:r>
        <w:rPr>
          <w:i/>
          <w:color w:val="231F20"/>
          <w:spacing w:val="-13"/>
          <w:sz w:val="24"/>
        </w:rPr>
        <w:t> </w:t>
      </w:r>
      <w:r>
        <w:rPr>
          <w:i/>
          <w:color w:val="231F20"/>
          <w:sz w:val="24"/>
        </w:rPr>
        <w:t>lire</w:t>
      </w:r>
      <w:r>
        <w:rPr>
          <w:i/>
          <w:color w:val="231F20"/>
          <w:spacing w:val="-13"/>
          <w:sz w:val="24"/>
        </w:rPr>
        <w:t> </w:t>
      </w:r>
      <w:r>
        <w:rPr>
          <w:i/>
          <w:color w:val="231F20"/>
          <w:sz w:val="24"/>
        </w:rPr>
        <w:t>cet</w:t>
      </w:r>
      <w:r>
        <w:rPr>
          <w:i/>
          <w:color w:val="231F20"/>
          <w:spacing w:val="-14"/>
          <w:sz w:val="24"/>
        </w:rPr>
        <w:t> </w:t>
      </w:r>
      <w:r>
        <w:rPr>
          <w:i/>
          <w:color w:val="231F20"/>
          <w:sz w:val="24"/>
        </w:rPr>
        <w:t>article.</w:t>
      </w:r>
      <w:r>
        <w:rPr>
          <w:i/>
          <w:color w:val="231F20"/>
          <w:spacing w:val="-13"/>
          <w:sz w:val="24"/>
        </w:rPr>
        <w:t> </w:t>
      </w:r>
      <w:r>
        <w:rPr>
          <w:i/>
          <w:color w:val="231F20"/>
          <w:sz w:val="24"/>
        </w:rPr>
        <w:t>Rappelez-vous</w:t>
      </w:r>
      <w:r>
        <w:rPr>
          <w:i/>
          <w:color w:val="231F20"/>
          <w:spacing w:val="-13"/>
          <w:sz w:val="24"/>
        </w:rPr>
        <w:t> </w:t>
      </w:r>
      <w:r>
        <w:rPr>
          <w:i/>
          <w:color w:val="231F20"/>
          <w:sz w:val="24"/>
        </w:rPr>
        <w:t>:</w:t>
      </w:r>
      <w:r>
        <w:rPr>
          <w:i/>
          <w:color w:val="231F20"/>
          <w:spacing w:val="-13"/>
          <w:sz w:val="24"/>
        </w:rPr>
        <w:t> </w:t>
      </w:r>
      <w:r>
        <w:rPr>
          <w:i/>
          <w:color w:val="231F20"/>
          <w:sz w:val="24"/>
        </w:rPr>
        <w:t>ils</w:t>
      </w:r>
      <w:r>
        <w:rPr>
          <w:i/>
          <w:color w:val="231F20"/>
          <w:spacing w:val="-13"/>
          <w:sz w:val="24"/>
        </w:rPr>
        <w:t> </w:t>
      </w:r>
      <w:r>
        <w:rPr>
          <w:i/>
          <w:color w:val="231F20"/>
          <w:sz w:val="24"/>
        </w:rPr>
        <w:t>ne</w:t>
      </w:r>
      <w:r>
        <w:rPr>
          <w:i/>
          <w:color w:val="231F20"/>
          <w:spacing w:val="-13"/>
          <w:sz w:val="24"/>
        </w:rPr>
        <w:t> </w:t>
      </w:r>
      <w:r>
        <w:rPr>
          <w:i/>
          <w:color w:val="231F20"/>
          <w:sz w:val="24"/>
        </w:rPr>
        <w:t>lisent pas</w:t>
      </w:r>
      <w:r>
        <w:rPr>
          <w:i/>
          <w:color w:val="231F20"/>
          <w:spacing w:val="-4"/>
          <w:sz w:val="24"/>
        </w:rPr>
        <w:t> </w:t>
      </w:r>
      <w:r>
        <w:rPr>
          <w:i/>
          <w:color w:val="231F20"/>
          <w:sz w:val="24"/>
        </w:rPr>
        <w:t>;</w:t>
      </w:r>
      <w:r>
        <w:rPr>
          <w:i/>
          <w:color w:val="231F20"/>
          <w:spacing w:val="-7"/>
          <w:sz w:val="24"/>
        </w:rPr>
        <w:t> </w:t>
      </w:r>
      <w:r>
        <w:rPr>
          <w:i/>
          <w:color w:val="231F20"/>
          <w:sz w:val="24"/>
        </w:rPr>
        <w:t>s'ils</w:t>
      </w:r>
      <w:r>
        <w:rPr>
          <w:i/>
          <w:color w:val="231F20"/>
          <w:spacing w:val="-4"/>
          <w:sz w:val="24"/>
        </w:rPr>
        <w:t> </w:t>
      </w:r>
      <w:r>
        <w:rPr>
          <w:i/>
          <w:color w:val="231F20"/>
          <w:sz w:val="24"/>
        </w:rPr>
        <w:t>lisaient</w:t>
      </w:r>
      <w:r>
        <w:rPr>
          <w:i/>
          <w:color w:val="231F20"/>
          <w:spacing w:val="-6"/>
          <w:sz w:val="24"/>
        </w:rPr>
        <w:t> </w:t>
      </w:r>
      <w:r>
        <w:rPr>
          <w:i/>
          <w:color w:val="231F20"/>
          <w:sz w:val="24"/>
        </w:rPr>
        <w:t>ça</w:t>
      </w:r>
      <w:r>
        <w:rPr>
          <w:i/>
          <w:color w:val="231F20"/>
          <w:spacing w:val="-4"/>
          <w:sz w:val="24"/>
        </w:rPr>
        <w:t> </w:t>
      </w:r>
      <w:r>
        <w:rPr>
          <w:i/>
          <w:color w:val="231F20"/>
          <w:sz w:val="24"/>
        </w:rPr>
        <w:t>ne</w:t>
      </w:r>
      <w:r>
        <w:rPr>
          <w:i/>
          <w:color w:val="231F20"/>
          <w:spacing w:val="-7"/>
          <w:sz w:val="24"/>
        </w:rPr>
        <w:t> </w:t>
      </w:r>
      <w:r>
        <w:rPr>
          <w:i/>
          <w:color w:val="231F20"/>
          <w:sz w:val="24"/>
        </w:rPr>
        <w:t>ferait</w:t>
      </w:r>
      <w:r>
        <w:rPr>
          <w:i/>
          <w:color w:val="231F20"/>
          <w:spacing w:val="-5"/>
          <w:sz w:val="24"/>
        </w:rPr>
        <w:t> </w:t>
      </w:r>
      <w:r>
        <w:rPr>
          <w:i/>
          <w:color w:val="231F20"/>
          <w:sz w:val="24"/>
        </w:rPr>
        <w:t>rien,</w:t>
      </w:r>
      <w:r>
        <w:rPr>
          <w:i/>
          <w:color w:val="231F20"/>
          <w:spacing w:val="-7"/>
          <w:sz w:val="24"/>
        </w:rPr>
        <w:t> </w:t>
      </w:r>
      <w:r>
        <w:rPr>
          <w:i/>
          <w:color w:val="231F20"/>
          <w:sz w:val="24"/>
        </w:rPr>
        <w:t>ils</w:t>
      </w:r>
      <w:r>
        <w:rPr>
          <w:i/>
          <w:color w:val="231F20"/>
          <w:spacing w:val="-7"/>
          <w:sz w:val="24"/>
        </w:rPr>
        <w:t> </w:t>
      </w:r>
      <w:r>
        <w:rPr>
          <w:i/>
          <w:color w:val="231F20"/>
          <w:sz w:val="24"/>
        </w:rPr>
        <w:t>sont</w:t>
      </w:r>
      <w:r>
        <w:rPr>
          <w:i/>
          <w:color w:val="231F20"/>
          <w:spacing w:val="-4"/>
          <w:sz w:val="24"/>
        </w:rPr>
        <w:t> </w:t>
      </w:r>
      <w:r>
        <w:rPr>
          <w:i/>
          <w:color w:val="231F20"/>
          <w:sz w:val="24"/>
        </w:rPr>
        <w:t>amnésiques</w:t>
      </w:r>
      <w:r>
        <w:rPr>
          <w:i/>
          <w:color w:val="231F20"/>
          <w:spacing w:val="-4"/>
          <w:sz w:val="24"/>
        </w:rPr>
        <w:t> </w:t>
      </w:r>
      <w:r>
        <w:rPr>
          <w:i/>
          <w:color w:val="231F20"/>
          <w:sz w:val="24"/>
        </w:rPr>
        <w:t>(...)</w:t>
      </w:r>
      <w:r>
        <w:rPr>
          <w:i/>
          <w:color w:val="231F20"/>
          <w:spacing w:val="-6"/>
          <w:sz w:val="24"/>
        </w:rPr>
        <w:t> </w:t>
      </w:r>
      <w:r>
        <w:rPr>
          <w:i/>
          <w:color w:val="231F20"/>
          <w:sz w:val="24"/>
        </w:rPr>
        <w:t>»</w:t>
      </w:r>
    </w:p>
    <w:p>
      <w:pPr>
        <w:pStyle w:val="BodyText"/>
        <w:spacing w:before="101"/>
        <w:ind w:left="0"/>
        <w:jc w:val="left"/>
        <w:rPr>
          <w:i/>
        </w:rPr>
      </w:pPr>
    </w:p>
    <w:p>
      <w:pPr>
        <w:pStyle w:val="BodyText"/>
        <w:ind w:right="104" w:firstLine="283"/>
      </w:pPr>
      <w:r>
        <w:rPr>
          <w:color w:val="231F20"/>
        </w:rPr>
        <w:t>Ce</w:t>
      </w:r>
      <w:r>
        <w:rPr>
          <w:color w:val="231F20"/>
          <w:spacing w:val="-9"/>
        </w:rPr>
        <w:t> </w:t>
      </w:r>
      <w:r>
        <w:rPr>
          <w:color w:val="231F20"/>
        </w:rPr>
        <w:t>post,</w:t>
      </w:r>
      <w:r>
        <w:rPr>
          <w:color w:val="231F20"/>
          <w:spacing w:val="-10"/>
        </w:rPr>
        <w:t> </w:t>
      </w:r>
      <w:r>
        <w:rPr>
          <w:color w:val="231F20"/>
        </w:rPr>
        <w:t>je</w:t>
      </w:r>
      <w:r>
        <w:rPr>
          <w:color w:val="231F20"/>
          <w:spacing w:val="-11"/>
        </w:rPr>
        <w:t> </w:t>
      </w:r>
      <w:r>
        <w:rPr>
          <w:color w:val="231F20"/>
        </w:rPr>
        <w:t>l’ai</w:t>
      </w:r>
      <w:r>
        <w:rPr>
          <w:color w:val="231F20"/>
          <w:spacing w:val="-10"/>
        </w:rPr>
        <w:t> </w:t>
      </w:r>
      <w:r>
        <w:rPr>
          <w:color w:val="231F20"/>
        </w:rPr>
        <w:t>lu</w:t>
      </w:r>
      <w:r>
        <w:rPr>
          <w:color w:val="231F20"/>
          <w:spacing w:val="-10"/>
        </w:rPr>
        <w:t> </w:t>
      </w:r>
      <w:r>
        <w:rPr>
          <w:color w:val="231F20"/>
        </w:rPr>
        <w:t>au</w:t>
      </w:r>
      <w:r>
        <w:rPr>
          <w:color w:val="231F20"/>
          <w:spacing w:val="-10"/>
        </w:rPr>
        <w:t> </w:t>
      </w:r>
      <w:r>
        <w:rPr>
          <w:color w:val="231F20"/>
        </w:rPr>
        <w:t>moment</w:t>
      </w:r>
      <w:r>
        <w:rPr>
          <w:color w:val="231F20"/>
          <w:spacing w:val="-10"/>
        </w:rPr>
        <w:t> </w:t>
      </w:r>
      <w:r>
        <w:rPr>
          <w:color w:val="231F20"/>
        </w:rPr>
        <w:t>de</w:t>
      </w:r>
      <w:r>
        <w:rPr>
          <w:color w:val="231F20"/>
          <w:spacing w:val="-11"/>
        </w:rPr>
        <w:t> </w:t>
      </w:r>
      <w:r>
        <w:rPr>
          <w:color w:val="231F20"/>
        </w:rPr>
        <w:t>sa</w:t>
      </w:r>
      <w:r>
        <w:rPr>
          <w:color w:val="231F20"/>
          <w:spacing w:val="-8"/>
        </w:rPr>
        <w:t> </w:t>
      </w:r>
      <w:r>
        <w:rPr>
          <w:color w:val="231F20"/>
        </w:rPr>
        <w:t>publication.</w:t>
      </w:r>
      <w:r>
        <w:rPr>
          <w:color w:val="231F20"/>
          <w:spacing w:val="-10"/>
        </w:rPr>
        <w:t> </w:t>
      </w:r>
      <w:r>
        <w:rPr>
          <w:color w:val="231F20"/>
        </w:rPr>
        <w:t>Nous</w:t>
      </w:r>
      <w:r>
        <w:rPr>
          <w:color w:val="231F20"/>
          <w:spacing w:val="-8"/>
        </w:rPr>
        <w:t> </w:t>
      </w:r>
      <w:r>
        <w:rPr>
          <w:color w:val="231F20"/>
        </w:rPr>
        <w:t>étions</w:t>
      </w:r>
      <w:r>
        <w:rPr>
          <w:color w:val="231F20"/>
          <w:spacing w:val="-10"/>
        </w:rPr>
        <w:t> </w:t>
      </w:r>
      <w:r>
        <w:rPr>
          <w:color w:val="231F20"/>
        </w:rPr>
        <w:t>en</w:t>
      </w:r>
      <w:r>
        <w:rPr>
          <w:color w:val="231F20"/>
          <w:spacing w:val="-11"/>
        </w:rPr>
        <w:t> </w:t>
      </w:r>
      <w:r>
        <w:rPr>
          <w:color w:val="231F20"/>
        </w:rPr>
        <w:t>2002. Il</w:t>
      </w:r>
      <w:r>
        <w:rPr>
          <w:color w:val="231F20"/>
          <w:spacing w:val="-11"/>
        </w:rPr>
        <w:t> </w:t>
      </w:r>
      <w:r>
        <w:rPr>
          <w:color w:val="231F20"/>
        </w:rPr>
        <w:t>y</w:t>
      </w:r>
      <w:r>
        <w:rPr>
          <w:color w:val="231F20"/>
          <w:spacing w:val="-11"/>
        </w:rPr>
        <w:t> </w:t>
      </w:r>
      <w:r>
        <w:rPr>
          <w:color w:val="231F20"/>
        </w:rPr>
        <w:t>a</w:t>
      </w:r>
      <w:r>
        <w:rPr>
          <w:color w:val="231F20"/>
          <w:spacing w:val="-12"/>
        </w:rPr>
        <w:t> </w:t>
      </w:r>
      <w:r>
        <w:rPr>
          <w:color w:val="231F20"/>
        </w:rPr>
        <w:t>donc</w:t>
      </w:r>
      <w:r>
        <w:rPr>
          <w:color w:val="231F20"/>
          <w:spacing w:val="-11"/>
        </w:rPr>
        <w:t> </w:t>
      </w:r>
      <w:r>
        <w:rPr>
          <w:color w:val="231F20"/>
        </w:rPr>
        <w:t>une</w:t>
      </w:r>
      <w:r>
        <w:rPr>
          <w:color w:val="231F20"/>
          <w:spacing w:val="-11"/>
        </w:rPr>
        <w:t> </w:t>
      </w:r>
      <w:r>
        <w:rPr>
          <w:color w:val="231F20"/>
        </w:rPr>
        <w:t>vingtaine</w:t>
      </w:r>
      <w:r>
        <w:rPr>
          <w:color w:val="231F20"/>
          <w:spacing w:val="-13"/>
        </w:rPr>
        <w:t> </w:t>
      </w:r>
      <w:r>
        <w:rPr>
          <w:color w:val="231F20"/>
        </w:rPr>
        <w:t>d’années.</w:t>
      </w:r>
      <w:r>
        <w:rPr>
          <w:color w:val="231F20"/>
          <w:spacing w:val="-11"/>
        </w:rPr>
        <w:t> </w:t>
      </w:r>
      <w:r>
        <w:rPr>
          <w:color w:val="231F20"/>
        </w:rPr>
        <w:t>Je</w:t>
      </w:r>
      <w:r>
        <w:rPr>
          <w:color w:val="231F20"/>
          <w:spacing w:val="-11"/>
        </w:rPr>
        <w:t> </w:t>
      </w:r>
      <w:r>
        <w:rPr>
          <w:color w:val="231F20"/>
        </w:rPr>
        <w:t>suis</w:t>
      </w:r>
      <w:r>
        <w:rPr>
          <w:color w:val="231F20"/>
          <w:spacing w:val="-11"/>
        </w:rPr>
        <w:t> </w:t>
      </w:r>
      <w:r>
        <w:rPr>
          <w:color w:val="231F20"/>
        </w:rPr>
        <w:t>Noir</w:t>
      </w:r>
      <w:r>
        <w:rPr>
          <w:color w:val="231F20"/>
          <w:spacing w:val="-15"/>
        </w:rPr>
        <w:t> </w:t>
      </w:r>
      <w:r>
        <w:rPr>
          <w:color w:val="231F20"/>
        </w:rPr>
        <w:t>;</w:t>
      </w:r>
      <w:r>
        <w:rPr>
          <w:color w:val="231F20"/>
          <w:spacing w:val="-12"/>
        </w:rPr>
        <w:t> </w:t>
      </w:r>
      <w:r>
        <w:rPr>
          <w:color w:val="231F20"/>
        </w:rPr>
        <w:t>je</w:t>
      </w:r>
      <w:r>
        <w:rPr>
          <w:color w:val="231F20"/>
          <w:spacing w:val="-12"/>
        </w:rPr>
        <w:t> </w:t>
      </w:r>
      <w:r>
        <w:rPr>
          <w:color w:val="231F20"/>
        </w:rPr>
        <w:t>suis</w:t>
      </w:r>
      <w:r>
        <w:rPr>
          <w:color w:val="231F20"/>
          <w:spacing w:val="-13"/>
        </w:rPr>
        <w:t> </w:t>
      </w:r>
      <w:r>
        <w:rPr>
          <w:color w:val="231F20"/>
        </w:rPr>
        <w:t>Africain</w:t>
      </w:r>
      <w:r>
        <w:rPr>
          <w:color w:val="231F20"/>
          <w:spacing w:val="-10"/>
        </w:rPr>
        <w:t> </w:t>
      </w:r>
      <w:r>
        <w:rPr>
          <w:color w:val="231F20"/>
        </w:rPr>
        <w:t>et</w:t>
      </w:r>
      <w:r>
        <w:rPr>
          <w:color w:val="231F20"/>
          <w:spacing w:val="-10"/>
        </w:rPr>
        <w:t> </w:t>
      </w:r>
      <w:r>
        <w:rPr>
          <w:color w:val="231F20"/>
        </w:rPr>
        <w:t>je</w:t>
      </w:r>
      <w:r>
        <w:rPr>
          <w:color w:val="231F20"/>
          <w:spacing w:val="-12"/>
        </w:rPr>
        <w:t> </w:t>
      </w:r>
      <w:r>
        <w:rPr>
          <w:color w:val="231F20"/>
        </w:rPr>
        <w:t>ne suis pas amnésique…comme des millions et des millions d’Africains. L’auteur</w:t>
      </w:r>
      <w:r>
        <w:rPr>
          <w:color w:val="231F20"/>
          <w:spacing w:val="-1"/>
        </w:rPr>
        <w:t> </w:t>
      </w:r>
      <w:r>
        <w:rPr>
          <w:color w:val="231F20"/>
        </w:rPr>
        <w:t>de</w:t>
      </w:r>
      <w:r>
        <w:rPr>
          <w:color w:val="231F20"/>
          <w:spacing w:val="-1"/>
        </w:rPr>
        <w:t> </w:t>
      </w:r>
      <w:r>
        <w:rPr>
          <w:color w:val="231F20"/>
        </w:rPr>
        <w:t>ce</w:t>
      </w:r>
      <w:r>
        <w:rPr>
          <w:color w:val="231F20"/>
          <w:spacing w:val="-1"/>
        </w:rPr>
        <w:t> </w:t>
      </w:r>
      <w:r>
        <w:rPr>
          <w:color w:val="231F20"/>
        </w:rPr>
        <w:t>post est peut-être</w:t>
      </w:r>
      <w:r>
        <w:rPr>
          <w:color w:val="231F20"/>
          <w:spacing w:val="-1"/>
        </w:rPr>
        <w:t> </w:t>
      </w:r>
      <w:r>
        <w:rPr>
          <w:color w:val="231F20"/>
        </w:rPr>
        <w:t>un</w:t>
      </w:r>
      <w:r>
        <w:rPr>
          <w:color w:val="231F20"/>
          <w:spacing w:val="-1"/>
        </w:rPr>
        <w:t> </w:t>
      </w:r>
      <w:r>
        <w:rPr>
          <w:color w:val="231F20"/>
        </w:rPr>
        <w:t>raciste</w:t>
      </w:r>
      <w:r>
        <w:rPr>
          <w:color w:val="231F20"/>
          <w:spacing w:val="-2"/>
        </w:rPr>
        <w:t> </w:t>
      </w:r>
      <w:r>
        <w:rPr>
          <w:color w:val="231F20"/>
        </w:rPr>
        <w:t>–</w:t>
      </w:r>
      <w:r>
        <w:rPr>
          <w:color w:val="231F20"/>
          <w:spacing w:val="-3"/>
        </w:rPr>
        <w:t> </w:t>
      </w:r>
      <w:r>
        <w:rPr>
          <w:color w:val="231F20"/>
        </w:rPr>
        <w:t>je</w:t>
      </w:r>
      <w:r>
        <w:rPr>
          <w:color w:val="231F20"/>
          <w:spacing w:val="-2"/>
        </w:rPr>
        <w:t> </w:t>
      </w:r>
      <w:r>
        <w:rPr>
          <w:color w:val="231F20"/>
        </w:rPr>
        <w:t>n’en</w:t>
      </w:r>
      <w:r>
        <w:rPr>
          <w:color w:val="231F20"/>
          <w:spacing w:val="-1"/>
        </w:rPr>
        <w:t> </w:t>
      </w:r>
      <w:r>
        <w:rPr>
          <w:color w:val="231F20"/>
        </w:rPr>
        <w:t>sais</w:t>
      </w:r>
      <w:r>
        <w:rPr>
          <w:color w:val="231F20"/>
          <w:spacing w:val="-1"/>
        </w:rPr>
        <w:t> </w:t>
      </w:r>
      <w:r>
        <w:rPr>
          <w:color w:val="231F20"/>
        </w:rPr>
        <w:t>rien-</w:t>
      </w:r>
      <w:r>
        <w:rPr>
          <w:color w:val="231F20"/>
          <w:spacing w:val="-1"/>
        </w:rPr>
        <w:t> </w:t>
      </w:r>
      <w:r>
        <w:rPr>
          <w:color w:val="231F20"/>
        </w:rPr>
        <w:t>mais</w:t>
      </w:r>
      <w:r>
        <w:rPr>
          <w:color w:val="231F20"/>
          <w:spacing w:val="-1"/>
        </w:rPr>
        <w:t> </w:t>
      </w:r>
      <w:r>
        <w:rPr>
          <w:color w:val="231F20"/>
        </w:rPr>
        <w:t>ces affirmations</w:t>
      </w:r>
      <w:r>
        <w:rPr>
          <w:color w:val="231F20"/>
          <w:spacing w:val="-11"/>
        </w:rPr>
        <w:t> </w:t>
      </w:r>
      <w:r>
        <w:rPr>
          <w:color w:val="231F20"/>
        </w:rPr>
        <w:t>sont</w:t>
      </w:r>
      <w:r>
        <w:rPr>
          <w:color w:val="231F20"/>
          <w:spacing w:val="-9"/>
        </w:rPr>
        <w:t> </w:t>
      </w:r>
      <w:r>
        <w:rPr>
          <w:color w:val="231F20"/>
        </w:rPr>
        <w:t>proches</w:t>
      </w:r>
      <w:r>
        <w:rPr>
          <w:color w:val="231F20"/>
          <w:spacing w:val="-11"/>
        </w:rPr>
        <w:t> </w:t>
      </w:r>
      <w:r>
        <w:rPr>
          <w:color w:val="231F20"/>
        </w:rPr>
        <w:t>de</w:t>
      </w:r>
      <w:r>
        <w:rPr>
          <w:color w:val="231F20"/>
          <w:spacing w:val="-10"/>
        </w:rPr>
        <w:t> </w:t>
      </w:r>
      <w:r>
        <w:rPr>
          <w:color w:val="231F20"/>
        </w:rPr>
        <w:t>ce</w:t>
      </w:r>
      <w:r>
        <w:rPr>
          <w:color w:val="231F20"/>
          <w:spacing w:val="-9"/>
        </w:rPr>
        <w:t> </w:t>
      </w:r>
      <w:r>
        <w:rPr>
          <w:color w:val="231F20"/>
        </w:rPr>
        <w:t>que</w:t>
      </w:r>
      <w:r>
        <w:rPr>
          <w:color w:val="231F20"/>
          <w:spacing w:val="-9"/>
        </w:rPr>
        <w:t> </w:t>
      </w:r>
      <w:r>
        <w:rPr>
          <w:color w:val="231F20"/>
        </w:rPr>
        <w:t>les</w:t>
      </w:r>
      <w:r>
        <w:rPr>
          <w:color w:val="231F20"/>
          <w:spacing w:val="-8"/>
        </w:rPr>
        <w:t> </w:t>
      </w:r>
      <w:r>
        <w:rPr>
          <w:color w:val="231F20"/>
        </w:rPr>
        <w:t>Noirs</w:t>
      </w:r>
      <w:r>
        <w:rPr>
          <w:color w:val="231F20"/>
          <w:spacing w:val="-9"/>
        </w:rPr>
        <w:t> </w:t>
      </w:r>
      <w:r>
        <w:rPr>
          <w:color w:val="231F20"/>
        </w:rPr>
        <w:t>en</w:t>
      </w:r>
      <w:r>
        <w:rPr>
          <w:color w:val="231F20"/>
          <w:spacing w:val="-11"/>
        </w:rPr>
        <w:t> </w:t>
      </w:r>
      <w:r>
        <w:rPr>
          <w:color w:val="231F20"/>
        </w:rPr>
        <w:t>général</w:t>
      </w:r>
      <w:r>
        <w:rPr>
          <w:color w:val="231F20"/>
          <w:spacing w:val="-9"/>
        </w:rPr>
        <w:t> </w:t>
      </w:r>
      <w:r>
        <w:rPr>
          <w:color w:val="231F20"/>
        </w:rPr>
        <w:t>donnent</w:t>
      </w:r>
      <w:r>
        <w:rPr>
          <w:color w:val="231F20"/>
          <w:spacing w:val="-9"/>
        </w:rPr>
        <w:t> </w:t>
      </w:r>
      <w:r>
        <w:rPr>
          <w:color w:val="231F20"/>
        </w:rPr>
        <w:t>à</w:t>
      </w:r>
      <w:r>
        <w:rPr>
          <w:color w:val="231F20"/>
          <w:spacing w:val="-11"/>
        </w:rPr>
        <w:t> </w:t>
      </w:r>
      <w:r>
        <w:rPr>
          <w:color w:val="231F20"/>
        </w:rPr>
        <w:t>voir.</w:t>
      </w:r>
    </w:p>
    <w:p>
      <w:pPr>
        <w:pStyle w:val="BodyText"/>
        <w:spacing w:before="240"/>
        <w:ind w:left="0"/>
        <w:jc w:val="left"/>
      </w:pPr>
    </w:p>
    <w:p>
      <w:pPr>
        <w:pStyle w:val="Heading2"/>
        <w:spacing w:before="1"/>
        <w:ind w:firstLine="56"/>
      </w:pPr>
      <w:bookmarkStart w:name="_TOC_250005" w:id="38"/>
      <w:r>
        <w:rPr>
          <w:color w:val="231F20"/>
        </w:rPr>
        <w:t>Guerres</w:t>
      </w:r>
      <w:r>
        <w:rPr>
          <w:color w:val="231F20"/>
          <w:spacing w:val="31"/>
        </w:rPr>
        <w:t> </w:t>
      </w:r>
      <w:r>
        <w:rPr>
          <w:color w:val="231F20"/>
        </w:rPr>
        <w:t>de</w:t>
      </w:r>
      <w:r>
        <w:rPr>
          <w:color w:val="231F20"/>
          <w:spacing w:val="32"/>
        </w:rPr>
        <w:t> </w:t>
      </w:r>
      <w:r>
        <w:rPr>
          <w:color w:val="231F20"/>
        </w:rPr>
        <w:t>pouvoir,</w:t>
      </w:r>
      <w:r>
        <w:rPr>
          <w:color w:val="231F20"/>
          <w:spacing w:val="31"/>
        </w:rPr>
        <w:t> </w:t>
      </w:r>
      <w:r>
        <w:rPr>
          <w:color w:val="231F20"/>
        </w:rPr>
        <w:t>instrumentalisation</w:t>
      </w:r>
      <w:r>
        <w:rPr>
          <w:color w:val="231F20"/>
          <w:spacing w:val="34"/>
        </w:rPr>
        <w:t> </w:t>
      </w:r>
      <w:r>
        <w:rPr>
          <w:color w:val="231F20"/>
        </w:rPr>
        <w:t>des</w:t>
      </w:r>
      <w:r>
        <w:rPr>
          <w:color w:val="231F20"/>
          <w:spacing w:val="32"/>
        </w:rPr>
        <w:t> </w:t>
      </w:r>
      <w:r>
        <w:rPr>
          <w:color w:val="231F20"/>
        </w:rPr>
        <w:t>populations</w:t>
      </w:r>
      <w:r>
        <w:rPr>
          <w:color w:val="231F20"/>
          <w:spacing w:val="33"/>
        </w:rPr>
        <w:t> </w:t>
      </w:r>
      <w:r>
        <w:rPr>
          <w:color w:val="231F20"/>
        </w:rPr>
        <w:t>:</w:t>
      </w:r>
      <w:r>
        <w:rPr>
          <w:color w:val="231F20"/>
          <w:spacing w:val="32"/>
        </w:rPr>
        <w:t> </w:t>
      </w:r>
      <w:bookmarkEnd w:id="38"/>
      <w:r>
        <w:rPr>
          <w:color w:val="231F20"/>
        </w:rPr>
        <w:t>ça suffit !</w:t>
      </w:r>
    </w:p>
    <w:p>
      <w:pPr>
        <w:pStyle w:val="BodyText"/>
        <w:spacing w:before="119"/>
        <w:ind w:left="0"/>
        <w:jc w:val="left"/>
        <w:rPr>
          <w:b/>
        </w:rPr>
      </w:pPr>
    </w:p>
    <w:p>
      <w:pPr>
        <w:pStyle w:val="BodyText"/>
        <w:spacing w:before="1"/>
        <w:ind w:right="104" w:firstLine="283"/>
      </w:pPr>
      <w:r>
        <w:rPr>
          <w:color w:val="231F20"/>
        </w:rPr>
        <w:t>Les</w:t>
      </w:r>
      <w:r>
        <w:rPr>
          <w:color w:val="231F20"/>
          <w:spacing w:val="-15"/>
        </w:rPr>
        <w:t> </w:t>
      </w:r>
      <w:r>
        <w:rPr>
          <w:color w:val="231F20"/>
        </w:rPr>
        <w:t>Etats</w:t>
      </w:r>
      <w:r>
        <w:rPr>
          <w:color w:val="231F20"/>
          <w:spacing w:val="-15"/>
        </w:rPr>
        <w:t> </w:t>
      </w:r>
      <w:r>
        <w:rPr>
          <w:color w:val="231F20"/>
        </w:rPr>
        <w:t>Africains</w:t>
      </w:r>
      <w:r>
        <w:rPr>
          <w:color w:val="231F20"/>
          <w:spacing w:val="-15"/>
        </w:rPr>
        <w:t> </w:t>
      </w:r>
      <w:r>
        <w:rPr>
          <w:color w:val="231F20"/>
        </w:rPr>
        <w:t>ont</w:t>
      </w:r>
      <w:r>
        <w:rPr>
          <w:color w:val="231F20"/>
          <w:spacing w:val="-15"/>
        </w:rPr>
        <w:t> </w:t>
      </w:r>
      <w:r>
        <w:rPr>
          <w:color w:val="231F20"/>
        </w:rPr>
        <w:t>hérité</w:t>
      </w:r>
      <w:r>
        <w:rPr>
          <w:color w:val="231F20"/>
          <w:spacing w:val="-15"/>
        </w:rPr>
        <w:t> </w:t>
      </w:r>
      <w:r>
        <w:rPr>
          <w:color w:val="231F20"/>
        </w:rPr>
        <w:t>des</w:t>
      </w:r>
      <w:r>
        <w:rPr>
          <w:color w:val="231F20"/>
          <w:spacing w:val="-15"/>
        </w:rPr>
        <w:t> </w:t>
      </w:r>
      <w:r>
        <w:rPr>
          <w:color w:val="231F20"/>
        </w:rPr>
        <w:t>frontières</w:t>
      </w:r>
      <w:r>
        <w:rPr>
          <w:color w:val="231F20"/>
          <w:spacing w:val="-15"/>
        </w:rPr>
        <w:t> </w:t>
      </w:r>
      <w:r>
        <w:rPr>
          <w:color w:val="231F20"/>
        </w:rPr>
        <w:t>tracées</w:t>
      </w:r>
      <w:r>
        <w:rPr>
          <w:color w:val="231F20"/>
          <w:spacing w:val="-15"/>
        </w:rPr>
        <w:t> </w:t>
      </w:r>
      <w:r>
        <w:rPr>
          <w:color w:val="231F20"/>
        </w:rPr>
        <w:t>lors</w:t>
      </w:r>
      <w:r>
        <w:rPr>
          <w:color w:val="231F20"/>
          <w:spacing w:val="-15"/>
        </w:rPr>
        <w:t> </w:t>
      </w:r>
      <w:r>
        <w:rPr>
          <w:color w:val="231F20"/>
        </w:rPr>
        <w:t>du</w:t>
      </w:r>
      <w:r>
        <w:rPr>
          <w:color w:val="231F20"/>
          <w:spacing w:val="-15"/>
        </w:rPr>
        <w:t> </w:t>
      </w:r>
      <w:r>
        <w:rPr>
          <w:color w:val="231F20"/>
        </w:rPr>
        <w:t>partage</w:t>
      </w:r>
      <w:r>
        <w:rPr>
          <w:color w:val="231F20"/>
          <w:spacing w:val="-15"/>
        </w:rPr>
        <w:t> </w:t>
      </w:r>
      <w:r>
        <w:rPr>
          <w:color w:val="231F20"/>
        </w:rPr>
        <w:t>de l’Afrique</w:t>
      </w:r>
      <w:r>
        <w:rPr>
          <w:color w:val="231F20"/>
          <w:spacing w:val="-1"/>
        </w:rPr>
        <w:t> </w:t>
      </w:r>
      <w:r>
        <w:rPr>
          <w:color w:val="231F20"/>
        </w:rPr>
        <w:t>qui</w:t>
      </w:r>
      <w:r>
        <w:rPr>
          <w:color w:val="231F20"/>
          <w:spacing w:val="-1"/>
        </w:rPr>
        <w:t> </w:t>
      </w:r>
      <w:r>
        <w:rPr>
          <w:color w:val="231F20"/>
        </w:rPr>
        <w:t>n’avaient</w:t>
      </w:r>
      <w:r>
        <w:rPr>
          <w:color w:val="231F20"/>
          <w:spacing w:val="-1"/>
        </w:rPr>
        <w:t> </w:t>
      </w:r>
      <w:r>
        <w:rPr>
          <w:color w:val="231F20"/>
        </w:rPr>
        <w:t>pas tenu</w:t>
      </w:r>
      <w:r>
        <w:rPr>
          <w:color w:val="231F20"/>
          <w:spacing w:val="-1"/>
        </w:rPr>
        <w:t> </w:t>
      </w:r>
      <w:r>
        <w:rPr>
          <w:color w:val="231F20"/>
        </w:rPr>
        <w:t>compte</w:t>
      </w:r>
      <w:r>
        <w:rPr>
          <w:color w:val="231F20"/>
          <w:spacing w:val="-1"/>
        </w:rPr>
        <w:t> </w:t>
      </w:r>
      <w:r>
        <w:rPr>
          <w:color w:val="231F20"/>
        </w:rPr>
        <w:t>de la</w:t>
      </w:r>
      <w:r>
        <w:rPr>
          <w:color w:val="231F20"/>
          <w:spacing w:val="-1"/>
        </w:rPr>
        <w:t> </w:t>
      </w:r>
      <w:r>
        <w:rPr>
          <w:color w:val="231F20"/>
        </w:rPr>
        <w:t>répartition</w:t>
      </w:r>
      <w:r>
        <w:rPr>
          <w:color w:val="231F20"/>
          <w:spacing w:val="-1"/>
        </w:rPr>
        <w:t> </w:t>
      </w:r>
      <w:r>
        <w:rPr>
          <w:color w:val="231F20"/>
        </w:rPr>
        <w:t>géographique des ethnies ou des groupes religieux sur les différents territoires</w:t>
      </w:r>
      <w:r>
        <w:rPr>
          <w:color w:val="231F20"/>
          <w:spacing w:val="-15"/>
        </w:rPr>
        <w:t> </w:t>
      </w:r>
      <w:r>
        <w:rPr>
          <w:color w:val="231F20"/>
        </w:rPr>
        <w:t>: des peuples ennemis ou ne se connaissant pas, se sont</w:t>
      </w:r>
      <w:r>
        <w:rPr>
          <w:color w:val="231F20"/>
          <w:spacing w:val="-1"/>
        </w:rPr>
        <w:t> </w:t>
      </w:r>
      <w:r>
        <w:rPr>
          <w:color w:val="231F20"/>
        </w:rPr>
        <w:t>retrouvés du jour au lendemain</w:t>
      </w:r>
      <w:r>
        <w:rPr>
          <w:color w:val="231F20"/>
          <w:spacing w:val="-11"/>
        </w:rPr>
        <w:t> </w:t>
      </w:r>
      <w:r>
        <w:rPr>
          <w:color w:val="231F20"/>
        </w:rPr>
        <w:t>à</w:t>
      </w:r>
      <w:r>
        <w:rPr>
          <w:color w:val="231F20"/>
          <w:spacing w:val="-8"/>
        </w:rPr>
        <w:t> </w:t>
      </w:r>
      <w:r>
        <w:rPr>
          <w:color w:val="231F20"/>
        </w:rPr>
        <w:t>vivre</w:t>
      </w:r>
      <w:r>
        <w:rPr>
          <w:color w:val="231F20"/>
          <w:spacing w:val="-8"/>
        </w:rPr>
        <w:t> </w:t>
      </w:r>
      <w:r>
        <w:rPr>
          <w:color w:val="231F20"/>
        </w:rPr>
        <w:t>et</w:t>
      </w:r>
      <w:r>
        <w:rPr>
          <w:color w:val="231F20"/>
          <w:spacing w:val="-8"/>
        </w:rPr>
        <w:t> </w:t>
      </w:r>
      <w:r>
        <w:rPr>
          <w:color w:val="231F20"/>
        </w:rPr>
        <w:t>travailler</w:t>
      </w:r>
      <w:r>
        <w:rPr>
          <w:color w:val="231F20"/>
          <w:spacing w:val="-8"/>
        </w:rPr>
        <w:t> </w:t>
      </w:r>
      <w:r>
        <w:rPr>
          <w:color w:val="231F20"/>
        </w:rPr>
        <w:t>sur</w:t>
      </w:r>
      <w:r>
        <w:rPr>
          <w:color w:val="231F20"/>
          <w:spacing w:val="-8"/>
        </w:rPr>
        <w:t> </w:t>
      </w:r>
      <w:r>
        <w:rPr>
          <w:color w:val="231F20"/>
        </w:rPr>
        <w:t>un</w:t>
      </w:r>
      <w:r>
        <w:rPr>
          <w:color w:val="231F20"/>
          <w:spacing w:val="-8"/>
        </w:rPr>
        <w:t> </w:t>
      </w:r>
      <w:r>
        <w:rPr>
          <w:color w:val="231F20"/>
        </w:rPr>
        <w:t>même</w:t>
      </w:r>
      <w:r>
        <w:rPr>
          <w:color w:val="231F20"/>
          <w:spacing w:val="-8"/>
        </w:rPr>
        <w:t> </w:t>
      </w:r>
      <w:r>
        <w:rPr>
          <w:color w:val="231F20"/>
        </w:rPr>
        <w:t>territoire</w:t>
      </w:r>
      <w:r>
        <w:rPr>
          <w:color w:val="231F20"/>
          <w:spacing w:val="-15"/>
        </w:rPr>
        <w:t> </w:t>
      </w:r>
      <w:r>
        <w:rPr>
          <w:color w:val="231F20"/>
        </w:rPr>
        <w:t>:</w:t>
      </w:r>
      <w:r>
        <w:rPr>
          <w:color w:val="231F20"/>
          <w:spacing w:val="-8"/>
        </w:rPr>
        <w:t> </w:t>
      </w:r>
      <w:r>
        <w:rPr>
          <w:color w:val="231F20"/>
        </w:rPr>
        <w:t>chacun</w:t>
      </w:r>
      <w:r>
        <w:rPr>
          <w:color w:val="231F20"/>
          <w:spacing w:val="-10"/>
        </w:rPr>
        <w:t> </w:t>
      </w:r>
      <w:r>
        <w:rPr>
          <w:color w:val="231F20"/>
        </w:rPr>
        <w:t>ayant</w:t>
      </w:r>
      <w:r>
        <w:rPr>
          <w:color w:val="231F20"/>
          <w:spacing w:val="-8"/>
        </w:rPr>
        <w:t> </w:t>
      </w:r>
      <w:r>
        <w:rPr>
          <w:color w:val="231F20"/>
        </w:rPr>
        <w:t>ses us et coutumes, sa langue, sa religion…Ce pluralisme des sociétés (ethnies,</w:t>
      </w:r>
      <w:r>
        <w:rPr>
          <w:color w:val="231F20"/>
          <w:spacing w:val="-5"/>
        </w:rPr>
        <w:t> </w:t>
      </w:r>
      <w:r>
        <w:rPr>
          <w:color w:val="231F20"/>
        </w:rPr>
        <w:t>régions,</w:t>
      </w:r>
      <w:r>
        <w:rPr>
          <w:color w:val="231F20"/>
          <w:spacing w:val="-7"/>
        </w:rPr>
        <w:t> </w:t>
      </w:r>
      <w:r>
        <w:rPr>
          <w:color w:val="231F20"/>
        </w:rPr>
        <w:t>religion,</w:t>
      </w:r>
      <w:r>
        <w:rPr>
          <w:color w:val="231F20"/>
          <w:spacing w:val="-5"/>
        </w:rPr>
        <w:t> </w:t>
      </w:r>
      <w:r>
        <w:rPr>
          <w:color w:val="231F20"/>
        </w:rPr>
        <w:t>etc.)</w:t>
      </w:r>
      <w:r>
        <w:rPr>
          <w:color w:val="231F20"/>
          <w:spacing w:val="-7"/>
        </w:rPr>
        <w:t> </w:t>
      </w:r>
      <w:r>
        <w:rPr>
          <w:color w:val="231F20"/>
        </w:rPr>
        <w:t>exigeait</w:t>
      </w:r>
      <w:r>
        <w:rPr>
          <w:color w:val="231F20"/>
          <w:spacing w:val="-6"/>
        </w:rPr>
        <w:t> </w:t>
      </w:r>
      <w:r>
        <w:rPr>
          <w:color w:val="231F20"/>
        </w:rPr>
        <w:t>donc</w:t>
      </w:r>
      <w:r>
        <w:rPr>
          <w:color w:val="231F20"/>
          <w:spacing w:val="-5"/>
        </w:rPr>
        <w:t> </w:t>
      </w:r>
      <w:r>
        <w:rPr>
          <w:color w:val="231F20"/>
        </w:rPr>
        <w:t>à</w:t>
      </w:r>
      <w:r>
        <w:rPr>
          <w:color w:val="231F20"/>
          <w:spacing w:val="-7"/>
        </w:rPr>
        <w:t> </w:t>
      </w:r>
      <w:r>
        <w:rPr>
          <w:color w:val="231F20"/>
        </w:rPr>
        <w:t>l’indépendance,</w:t>
      </w:r>
      <w:r>
        <w:rPr>
          <w:color w:val="231F20"/>
          <w:spacing w:val="-7"/>
        </w:rPr>
        <w:t> </w:t>
      </w:r>
      <w:r>
        <w:rPr>
          <w:color w:val="231F20"/>
        </w:rPr>
        <w:t>qu’une </w:t>
      </w:r>
      <w:r>
        <w:rPr>
          <w:color w:val="231F20"/>
          <w:spacing w:val="-4"/>
        </w:rPr>
        <w:t>priorité soit accordée à la construction de l’Etat-nation, juxtaposition d'un </w:t>
      </w:r>
      <w:r>
        <w:rPr>
          <w:color w:val="231F20"/>
        </w:rPr>
        <w:t>État, en tant qu'organisation politique à une nation, c'est-à-dire des </w:t>
      </w:r>
      <w:r>
        <w:rPr>
          <w:color w:val="231F20"/>
          <w:spacing w:val="-4"/>
        </w:rPr>
        <w:t>individus</w:t>
      </w:r>
      <w:r>
        <w:rPr>
          <w:color w:val="231F20"/>
          <w:spacing w:val="-14"/>
        </w:rPr>
        <w:t> </w:t>
      </w:r>
      <w:r>
        <w:rPr>
          <w:color w:val="231F20"/>
          <w:spacing w:val="-4"/>
        </w:rPr>
        <w:t>qui</w:t>
      </w:r>
      <w:r>
        <w:rPr>
          <w:color w:val="231F20"/>
          <w:spacing w:val="-13"/>
        </w:rPr>
        <w:t> </w:t>
      </w:r>
      <w:r>
        <w:rPr>
          <w:color w:val="231F20"/>
          <w:spacing w:val="-4"/>
        </w:rPr>
        <w:t>se</w:t>
      </w:r>
      <w:r>
        <w:rPr>
          <w:color w:val="231F20"/>
          <w:spacing w:val="-16"/>
        </w:rPr>
        <w:t> </w:t>
      </w:r>
      <w:r>
        <w:rPr>
          <w:color w:val="231F20"/>
          <w:spacing w:val="-4"/>
        </w:rPr>
        <w:t>considèrent</w:t>
      </w:r>
      <w:r>
        <w:rPr>
          <w:color w:val="231F20"/>
          <w:spacing w:val="-11"/>
        </w:rPr>
        <w:t> </w:t>
      </w:r>
      <w:r>
        <w:rPr>
          <w:color w:val="231F20"/>
          <w:spacing w:val="-4"/>
        </w:rPr>
        <w:t>comme</w:t>
      </w:r>
      <w:r>
        <w:rPr>
          <w:color w:val="231F20"/>
          <w:spacing w:val="-16"/>
        </w:rPr>
        <w:t> </w:t>
      </w:r>
      <w:r>
        <w:rPr>
          <w:color w:val="231F20"/>
          <w:spacing w:val="-4"/>
        </w:rPr>
        <w:t>liés</w:t>
      </w:r>
      <w:r>
        <w:rPr>
          <w:color w:val="231F20"/>
          <w:spacing w:val="-11"/>
        </w:rPr>
        <w:t> </w:t>
      </w:r>
      <w:r>
        <w:rPr>
          <w:color w:val="231F20"/>
          <w:spacing w:val="-4"/>
        </w:rPr>
        <w:t>et</w:t>
      </w:r>
      <w:r>
        <w:rPr>
          <w:color w:val="231F20"/>
          <w:spacing w:val="-11"/>
        </w:rPr>
        <w:t> </w:t>
      </w:r>
      <w:r>
        <w:rPr>
          <w:color w:val="231F20"/>
          <w:spacing w:val="-4"/>
        </w:rPr>
        <w:t>appartenant</w:t>
      </w:r>
      <w:r>
        <w:rPr>
          <w:color w:val="231F20"/>
          <w:spacing w:val="-11"/>
        </w:rPr>
        <w:t> </w:t>
      </w:r>
      <w:r>
        <w:rPr>
          <w:color w:val="231F20"/>
          <w:spacing w:val="-4"/>
        </w:rPr>
        <w:t>à</w:t>
      </w:r>
      <w:r>
        <w:rPr>
          <w:color w:val="231F20"/>
          <w:spacing w:val="-16"/>
        </w:rPr>
        <w:t> </w:t>
      </w:r>
      <w:r>
        <w:rPr>
          <w:color w:val="231F20"/>
          <w:spacing w:val="-4"/>
        </w:rPr>
        <w:t>un</w:t>
      </w:r>
      <w:r>
        <w:rPr>
          <w:color w:val="231F20"/>
          <w:spacing w:val="-14"/>
        </w:rPr>
        <w:t> </w:t>
      </w:r>
      <w:r>
        <w:rPr>
          <w:color w:val="231F20"/>
          <w:spacing w:val="-4"/>
        </w:rPr>
        <w:t>même</w:t>
      </w:r>
      <w:r>
        <w:rPr>
          <w:color w:val="231F20"/>
          <w:spacing w:val="-12"/>
        </w:rPr>
        <w:t> </w:t>
      </w:r>
      <w:r>
        <w:rPr>
          <w:color w:val="231F20"/>
          <w:spacing w:val="-4"/>
        </w:rPr>
        <w:t>groupe.</w:t>
      </w:r>
    </w:p>
    <w:p>
      <w:pPr>
        <w:pStyle w:val="BodyText"/>
        <w:spacing w:before="118"/>
        <w:ind w:right="106" w:firstLine="283"/>
      </w:pPr>
      <w:r>
        <w:rPr>
          <w:color w:val="231F20"/>
        </w:rPr>
        <w:t>Mais</w:t>
      </w:r>
      <w:r>
        <w:rPr>
          <w:color w:val="231F20"/>
          <w:spacing w:val="-11"/>
        </w:rPr>
        <w:t> </w:t>
      </w:r>
      <w:r>
        <w:rPr>
          <w:color w:val="231F20"/>
        </w:rPr>
        <w:t>à</w:t>
      </w:r>
      <w:r>
        <w:rPr>
          <w:color w:val="231F20"/>
          <w:spacing w:val="-12"/>
        </w:rPr>
        <w:t> </w:t>
      </w:r>
      <w:r>
        <w:rPr>
          <w:color w:val="231F20"/>
        </w:rPr>
        <w:t>peine</w:t>
      </w:r>
      <w:r>
        <w:rPr>
          <w:color w:val="231F20"/>
          <w:spacing w:val="-11"/>
        </w:rPr>
        <w:t> </w:t>
      </w:r>
      <w:r>
        <w:rPr>
          <w:color w:val="231F20"/>
        </w:rPr>
        <w:t>sortis</w:t>
      </w:r>
      <w:r>
        <w:rPr>
          <w:color w:val="231F20"/>
          <w:spacing w:val="-11"/>
        </w:rPr>
        <w:t> </w:t>
      </w:r>
      <w:r>
        <w:rPr>
          <w:color w:val="231F20"/>
        </w:rPr>
        <w:t>des</w:t>
      </w:r>
      <w:r>
        <w:rPr>
          <w:color w:val="231F20"/>
          <w:spacing w:val="-11"/>
        </w:rPr>
        <w:t> </w:t>
      </w:r>
      <w:r>
        <w:rPr>
          <w:color w:val="231F20"/>
        </w:rPr>
        <w:t>festivités</w:t>
      </w:r>
      <w:r>
        <w:rPr>
          <w:color w:val="231F20"/>
          <w:spacing w:val="-11"/>
        </w:rPr>
        <w:t> </w:t>
      </w:r>
      <w:r>
        <w:rPr>
          <w:color w:val="231F20"/>
        </w:rPr>
        <w:t>marquant</w:t>
      </w:r>
      <w:r>
        <w:rPr>
          <w:color w:val="231F20"/>
          <w:spacing w:val="-11"/>
        </w:rPr>
        <w:t> </w:t>
      </w:r>
      <w:r>
        <w:rPr>
          <w:color w:val="231F20"/>
        </w:rPr>
        <w:t>l’indépendance</w:t>
      </w:r>
      <w:r>
        <w:rPr>
          <w:color w:val="231F20"/>
          <w:spacing w:val="-11"/>
        </w:rPr>
        <w:t> </w:t>
      </w:r>
      <w:r>
        <w:rPr>
          <w:color w:val="231F20"/>
        </w:rPr>
        <w:t>des</w:t>
      </w:r>
      <w:r>
        <w:rPr>
          <w:color w:val="231F20"/>
          <w:spacing w:val="-12"/>
        </w:rPr>
        <w:t> </w:t>
      </w:r>
      <w:r>
        <w:rPr>
          <w:color w:val="231F20"/>
        </w:rPr>
        <w:t>Etats, le</w:t>
      </w:r>
      <w:r>
        <w:rPr>
          <w:color w:val="231F20"/>
          <w:spacing w:val="-7"/>
        </w:rPr>
        <w:t> </w:t>
      </w:r>
      <w:r>
        <w:rPr>
          <w:color w:val="231F20"/>
        </w:rPr>
        <w:t>souci</w:t>
      </w:r>
      <w:r>
        <w:rPr>
          <w:color w:val="231F20"/>
          <w:spacing w:val="-8"/>
        </w:rPr>
        <w:t> </w:t>
      </w:r>
      <w:r>
        <w:rPr>
          <w:color w:val="231F20"/>
        </w:rPr>
        <w:t>de</w:t>
      </w:r>
      <w:r>
        <w:rPr>
          <w:color w:val="231F20"/>
          <w:spacing w:val="-9"/>
        </w:rPr>
        <w:t> </w:t>
      </w:r>
      <w:r>
        <w:rPr>
          <w:color w:val="231F20"/>
        </w:rPr>
        <w:t>certains</w:t>
      </w:r>
      <w:r>
        <w:rPr>
          <w:color w:val="231F20"/>
          <w:spacing w:val="-9"/>
        </w:rPr>
        <w:t> </w:t>
      </w:r>
      <w:r>
        <w:rPr>
          <w:color w:val="231F20"/>
        </w:rPr>
        <w:t>dirigeants</w:t>
      </w:r>
      <w:r>
        <w:rPr>
          <w:color w:val="231F20"/>
          <w:spacing w:val="-9"/>
        </w:rPr>
        <w:t> </w:t>
      </w:r>
      <w:r>
        <w:rPr>
          <w:color w:val="231F20"/>
        </w:rPr>
        <w:t>est</w:t>
      </w:r>
      <w:r>
        <w:rPr>
          <w:color w:val="231F20"/>
          <w:spacing w:val="-8"/>
        </w:rPr>
        <w:t> </w:t>
      </w:r>
      <w:r>
        <w:rPr>
          <w:color w:val="231F20"/>
        </w:rPr>
        <w:t>plutôt</w:t>
      </w:r>
      <w:r>
        <w:rPr>
          <w:color w:val="231F20"/>
          <w:spacing w:val="-8"/>
        </w:rPr>
        <w:t> </w:t>
      </w:r>
      <w:r>
        <w:rPr>
          <w:color w:val="231F20"/>
        </w:rPr>
        <w:t>porté</w:t>
      </w:r>
      <w:r>
        <w:rPr>
          <w:color w:val="231F20"/>
          <w:spacing w:val="-10"/>
        </w:rPr>
        <w:t> </w:t>
      </w:r>
      <w:r>
        <w:rPr>
          <w:color w:val="231F20"/>
        </w:rPr>
        <w:t>sur</w:t>
      </w:r>
      <w:r>
        <w:rPr>
          <w:color w:val="231F20"/>
          <w:spacing w:val="-10"/>
        </w:rPr>
        <w:t> </w:t>
      </w:r>
      <w:r>
        <w:rPr>
          <w:color w:val="231F20"/>
        </w:rPr>
        <w:t>la</w:t>
      </w:r>
      <w:r>
        <w:rPr>
          <w:color w:val="231F20"/>
          <w:spacing w:val="-10"/>
        </w:rPr>
        <w:t> </w:t>
      </w:r>
      <w:r>
        <w:rPr>
          <w:color w:val="231F20"/>
        </w:rPr>
        <w:t>remise</w:t>
      </w:r>
      <w:r>
        <w:rPr>
          <w:color w:val="231F20"/>
          <w:spacing w:val="-8"/>
        </w:rPr>
        <w:t> </w:t>
      </w:r>
      <w:r>
        <w:rPr>
          <w:color w:val="231F20"/>
        </w:rPr>
        <w:t>en</w:t>
      </w:r>
      <w:r>
        <w:rPr>
          <w:color w:val="231F20"/>
          <w:spacing w:val="-9"/>
        </w:rPr>
        <w:t> </w:t>
      </w:r>
      <w:r>
        <w:rPr>
          <w:color w:val="231F20"/>
        </w:rPr>
        <w:t>cause</w:t>
      </w:r>
      <w:r>
        <w:rPr>
          <w:color w:val="231F20"/>
          <w:spacing w:val="-10"/>
        </w:rPr>
        <w:t> </w:t>
      </w:r>
      <w:r>
        <w:rPr>
          <w:color w:val="231F20"/>
        </w:rPr>
        <w:t>des frontières héritées de la colonisation avec le prétexte de récupérer des </w:t>
      </w:r>
      <w:r>
        <w:rPr>
          <w:color w:val="231F20"/>
          <w:spacing w:val="-2"/>
        </w:rPr>
        <w:t>territoires</w:t>
      </w:r>
      <w:r>
        <w:rPr>
          <w:color w:val="231F20"/>
          <w:spacing w:val="-12"/>
        </w:rPr>
        <w:t> </w:t>
      </w:r>
      <w:r>
        <w:rPr>
          <w:color w:val="231F20"/>
          <w:spacing w:val="-2"/>
        </w:rPr>
        <w:t>où</w:t>
      </w:r>
      <w:r>
        <w:rPr>
          <w:color w:val="231F20"/>
          <w:spacing w:val="-12"/>
        </w:rPr>
        <w:t> </w:t>
      </w:r>
      <w:r>
        <w:rPr>
          <w:color w:val="231F20"/>
          <w:spacing w:val="-2"/>
        </w:rPr>
        <w:t>sont</w:t>
      </w:r>
      <w:r>
        <w:rPr>
          <w:color w:val="231F20"/>
          <w:spacing w:val="-12"/>
        </w:rPr>
        <w:t> </w:t>
      </w:r>
      <w:r>
        <w:rPr>
          <w:color w:val="231F20"/>
          <w:spacing w:val="-2"/>
        </w:rPr>
        <w:t>restés</w:t>
      </w:r>
      <w:r>
        <w:rPr>
          <w:color w:val="231F20"/>
          <w:spacing w:val="-12"/>
        </w:rPr>
        <w:t> </w:t>
      </w:r>
      <w:r>
        <w:rPr>
          <w:color w:val="231F20"/>
          <w:spacing w:val="-2"/>
        </w:rPr>
        <w:t>«</w:t>
      </w:r>
      <w:r>
        <w:rPr>
          <w:color w:val="231F20"/>
          <w:spacing w:val="-11"/>
        </w:rPr>
        <w:t> </w:t>
      </w:r>
      <w:r>
        <w:rPr>
          <w:color w:val="231F20"/>
          <w:spacing w:val="-2"/>
        </w:rPr>
        <w:t>des</w:t>
      </w:r>
      <w:r>
        <w:rPr>
          <w:color w:val="231F20"/>
          <w:spacing w:val="-12"/>
        </w:rPr>
        <w:t> </w:t>
      </w:r>
      <w:r>
        <w:rPr>
          <w:color w:val="231F20"/>
          <w:spacing w:val="-2"/>
        </w:rPr>
        <w:t>frères</w:t>
      </w:r>
      <w:r>
        <w:rPr>
          <w:color w:val="231F20"/>
          <w:spacing w:val="-10"/>
        </w:rPr>
        <w:t> </w:t>
      </w:r>
      <w:r>
        <w:rPr>
          <w:color w:val="231F20"/>
          <w:spacing w:val="-2"/>
        </w:rPr>
        <w:t>».</w:t>
      </w:r>
      <w:r>
        <w:rPr>
          <w:color w:val="231F20"/>
          <w:spacing w:val="-12"/>
        </w:rPr>
        <w:t> </w:t>
      </w:r>
      <w:r>
        <w:rPr>
          <w:color w:val="231F20"/>
          <w:spacing w:val="-2"/>
        </w:rPr>
        <w:t>En</w:t>
      </w:r>
      <w:r>
        <w:rPr>
          <w:color w:val="231F20"/>
          <w:spacing w:val="-12"/>
        </w:rPr>
        <w:t> </w:t>
      </w:r>
      <w:r>
        <w:rPr>
          <w:color w:val="231F20"/>
          <w:spacing w:val="-2"/>
        </w:rPr>
        <w:t>fait,</w:t>
      </w:r>
      <w:r>
        <w:rPr>
          <w:color w:val="231F20"/>
          <w:spacing w:val="-12"/>
        </w:rPr>
        <w:t> </w:t>
      </w:r>
      <w:r>
        <w:rPr>
          <w:color w:val="231F20"/>
          <w:spacing w:val="-2"/>
        </w:rPr>
        <w:t>la</w:t>
      </w:r>
      <w:r>
        <w:rPr>
          <w:color w:val="231F20"/>
          <w:spacing w:val="-12"/>
        </w:rPr>
        <w:t> </w:t>
      </w:r>
      <w:r>
        <w:rPr>
          <w:color w:val="231F20"/>
          <w:spacing w:val="-2"/>
        </w:rPr>
        <w:t>plupart</w:t>
      </w:r>
      <w:r>
        <w:rPr>
          <w:color w:val="231F20"/>
          <w:spacing w:val="-13"/>
        </w:rPr>
        <w:t> </w:t>
      </w:r>
      <w:r>
        <w:rPr>
          <w:color w:val="231F20"/>
          <w:spacing w:val="-2"/>
        </w:rPr>
        <w:t>des</w:t>
      </w:r>
      <w:r>
        <w:rPr>
          <w:color w:val="231F20"/>
          <w:spacing w:val="-12"/>
        </w:rPr>
        <w:t> </w:t>
      </w:r>
      <w:r>
        <w:rPr>
          <w:color w:val="231F20"/>
          <w:spacing w:val="-2"/>
        </w:rPr>
        <w:t>conflits</w:t>
      </w:r>
      <w:r>
        <w:rPr>
          <w:color w:val="231F20"/>
          <w:spacing w:val="-12"/>
        </w:rPr>
        <w:t> </w:t>
      </w:r>
      <w:r>
        <w:rPr>
          <w:color w:val="231F20"/>
          <w:spacing w:val="-2"/>
        </w:rPr>
        <w:t>sont </w:t>
      </w:r>
      <w:r>
        <w:rPr>
          <w:color w:val="231F20"/>
        </w:rPr>
        <w:t>suscités par des intérêts économiques.</w:t>
      </w:r>
    </w:p>
    <w:p>
      <w:pPr>
        <w:pStyle w:val="BodyText"/>
        <w:spacing w:before="120"/>
        <w:ind w:right="108" w:firstLine="283"/>
      </w:pPr>
      <w:r>
        <w:rPr>
          <w:color w:val="231F20"/>
        </w:rPr>
        <w:t>En</w:t>
      </w:r>
      <w:r>
        <w:rPr>
          <w:color w:val="231F20"/>
          <w:spacing w:val="-11"/>
        </w:rPr>
        <w:t> </w:t>
      </w:r>
      <w:r>
        <w:rPr>
          <w:color w:val="231F20"/>
        </w:rPr>
        <w:t>Afrique</w:t>
      </w:r>
      <w:r>
        <w:rPr>
          <w:color w:val="231F20"/>
          <w:spacing w:val="-13"/>
        </w:rPr>
        <w:t> </w:t>
      </w:r>
      <w:r>
        <w:rPr>
          <w:color w:val="231F20"/>
        </w:rPr>
        <w:t>de</w:t>
      </w:r>
      <w:r>
        <w:rPr>
          <w:color w:val="231F20"/>
          <w:spacing w:val="-11"/>
        </w:rPr>
        <w:t> </w:t>
      </w:r>
      <w:r>
        <w:rPr>
          <w:color w:val="231F20"/>
        </w:rPr>
        <w:t>l’Ouest,</w:t>
      </w:r>
      <w:r>
        <w:rPr>
          <w:color w:val="231F20"/>
          <w:spacing w:val="-13"/>
        </w:rPr>
        <w:t> </w:t>
      </w:r>
      <w:r>
        <w:rPr>
          <w:color w:val="231F20"/>
        </w:rPr>
        <w:t>la</w:t>
      </w:r>
      <w:r>
        <w:rPr>
          <w:color w:val="231F20"/>
          <w:spacing w:val="-13"/>
        </w:rPr>
        <w:t> </w:t>
      </w:r>
      <w:r>
        <w:rPr>
          <w:color w:val="231F20"/>
        </w:rPr>
        <w:t>Haute</w:t>
      </w:r>
      <w:r>
        <w:rPr>
          <w:color w:val="231F20"/>
          <w:spacing w:val="-11"/>
        </w:rPr>
        <w:t> </w:t>
      </w:r>
      <w:r>
        <w:rPr>
          <w:color w:val="231F20"/>
        </w:rPr>
        <w:t>Volta</w:t>
      </w:r>
      <w:r>
        <w:rPr>
          <w:color w:val="231F20"/>
          <w:spacing w:val="-11"/>
        </w:rPr>
        <w:t> </w:t>
      </w:r>
      <w:r>
        <w:rPr>
          <w:color w:val="231F20"/>
        </w:rPr>
        <w:t>(Burkina</w:t>
      </w:r>
      <w:r>
        <w:rPr>
          <w:color w:val="231F20"/>
          <w:spacing w:val="-11"/>
        </w:rPr>
        <w:t> </w:t>
      </w:r>
      <w:r>
        <w:rPr>
          <w:color w:val="231F20"/>
        </w:rPr>
        <w:t>Faso</w:t>
      </w:r>
      <w:r>
        <w:rPr>
          <w:color w:val="231F20"/>
          <w:spacing w:val="-11"/>
        </w:rPr>
        <w:t> </w:t>
      </w:r>
      <w:r>
        <w:rPr>
          <w:color w:val="231F20"/>
        </w:rPr>
        <w:t>depuis</w:t>
      </w:r>
      <w:r>
        <w:rPr>
          <w:color w:val="231F20"/>
          <w:spacing w:val="-11"/>
        </w:rPr>
        <w:t> </w:t>
      </w:r>
      <w:r>
        <w:rPr>
          <w:color w:val="231F20"/>
        </w:rPr>
        <w:t>1984)</w:t>
      </w:r>
      <w:r>
        <w:rPr>
          <w:color w:val="231F20"/>
          <w:spacing w:val="-12"/>
        </w:rPr>
        <w:t> </w:t>
      </w:r>
      <w:r>
        <w:rPr>
          <w:color w:val="231F20"/>
        </w:rPr>
        <w:t>et le</w:t>
      </w:r>
      <w:r>
        <w:rPr>
          <w:color w:val="231F20"/>
          <w:spacing w:val="-8"/>
        </w:rPr>
        <w:t> </w:t>
      </w:r>
      <w:r>
        <w:rPr>
          <w:color w:val="231F20"/>
        </w:rPr>
        <w:t>Mali</w:t>
      </w:r>
      <w:r>
        <w:rPr>
          <w:color w:val="231F20"/>
          <w:spacing w:val="-10"/>
        </w:rPr>
        <w:t> </w:t>
      </w:r>
      <w:r>
        <w:rPr>
          <w:color w:val="231F20"/>
        </w:rPr>
        <w:t>ont</w:t>
      </w:r>
      <w:r>
        <w:rPr>
          <w:color w:val="231F20"/>
          <w:spacing w:val="-10"/>
        </w:rPr>
        <w:t> </w:t>
      </w:r>
      <w:r>
        <w:rPr>
          <w:color w:val="231F20"/>
        </w:rPr>
        <w:t>vécu</w:t>
      </w:r>
      <w:r>
        <w:rPr>
          <w:color w:val="231F20"/>
          <w:spacing w:val="-10"/>
        </w:rPr>
        <w:t> </w:t>
      </w:r>
      <w:r>
        <w:rPr>
          <w:color w:val="231F20"/>
        </w:rPr>
        <w:t>deux</w:t>
      </w:r>
      <w:r>
        <w:rPr>
          <w:color w:val="231F20"/>
          <w:spacing w:val="-10"/>
        </w:rPr>
        <w:t> </w:t>
      </w:r>
      <w:r>
        <w:rPr>
          <w:color w:val="231F20"/>
        </w:rPr>
        <w:t>conflits</w:t>
      </w:r>
      <w:r>
        <w:rPr>
          <w:color w:val="231F20"/>
          <w:spacing w:val="-8"/>
        </w:rPr>
        <w:t> </w:t>
      </w:r>
      <w:r>
        <w:rPr>
          <w:color w:val="231F20"/>
        </w:rPr>
        <w:t>armés</w:t>
      </w:r>
      <w:r>
        <w:rPr>
          <w:color w:val="231F20"/>
          <w:spacing w:val="-8"/>
        </w:rPr>
        <w:t> </w:t>
      </w:r>
      <w:r>
        <w:rPr>
          <w:color w:val="231F20"/>
        </w:rPr>
        <w:t>en</w:t>
      </w:r>
      <w:r>
        <w:rPr>
          <w:color w:val="231F20"/>
          <w:spacing w:val="-10"/>
        </w:rPr>
        <w:t> </w:t>
      </w:r>
      <w:r>
        <w:rPr>
          <w:color w:val="231F20"/>
        </w:rPr>
        <w:t>1974</w:t>
      </w:r>
      <w:r>
        <w:rPr>
          <w:color w:val="231F20"/>
          <w:spacing w:val="-8"/>
        </w:rPr>
        <w:t> </w:t>
      </w:r>
      <w:r>
        <w:rPr>
          <w:color w:val="231F20"/>
        </w:rPr>
        <w:t>et</w:t>
      </w:r>
      <w:r>
        <w:rPr>
          <w:color w:val="231F20"/>
          <w:spacing w:val="-7"/>
        </w:rPr>
        <w:t> </w:t>
      </w:r>
      <w:r>
        <w:rPr>
          <w:color w:val="231F20"/>
        </w:rPr>
        <w:t>en</w:t>
      </w:r>
      <w:r>
        <w:rPr>
          <w:color w:val="231F20"/>
          <w:spacing w:val="-10"/>
        </w:rPr>
        <w:t> </w:t>
      </w:r>
      <w:r>
        <w:rPr>
          <w:color w:val="231F20"/>
        </w:rPr>
        <w:t>1985.</w:t>
      </w:r>
      <w:r>
        <w:rPr>
          <w:color w:val="231F20"/>
          <w:spacing w:val="-8"/>
        </w:rPr>
        <w:t> </w:t>
      </w:r>
      <w:r>
        <w:rPr>
          <w:color w:val="231F20"/>
        </w:rPr>
        <w:t>Les</w:t>
      </w:r>
      <w:r>
        <w:rPr>
          <w:color w:val="231F20"/>
          <w:spacing w:val="-8"/>
        </w:rPr>
        <w:t> </w:t>
      </w:r>
      <w:r>
        <w:rPr>
          <w:color w:val="231F20"/>
        </w:rPr>
        <w:t>deux</w:t>
      </w:r>
      <w:r>
        <w:rPr>
          <w:color w:val="231F20"/>
          <w:spacing w:val="-8"/>
        </w:rPr>
        <w:t> </w:t>
      </w:r>
      <w:r>
        <w:rPr>
          <w:color w:val="231F20"/>
        </w:rPr>
        <w:t>pays revendiquaient la zone frontalière de l’Agacher. La bande d'Agacher, longue de 160 kilomètres et large de 20 kilomètres, serait riche en minerais. Des combats aériens et terrestres ont eu lieu du 25 au 30 décembre 1985. Le 30 janvier, un règlement définitif du conflit a été </w:t>
      </w:r>
      <w:r>
        <w:rPr>
          <w:color w:val="231F20"/>
          <w:spacing w:val="-2"/>
        </w:rPr>
        <w:t>conclu.</w:t>
      </w:r>
    </w:p>
    <w:p>
      <w:pPr>
        <w:spacing w:after="0"/>
        <w:sectPr>
          <w:pgSz w:w="8790" w:h="13610"/>
          <w:pgMar w:header="0" w:footer="802" w:top="1060" w:bottom="1000" w:left="880" w:right="880"/>
        </w:sectPr>
      </w:pPr>
    </w:p>
    <w:p>
      <w:pPr>
        <w:pStyle w:val="BodyText"/>
        <w:spacing w:before="66"/>
        <w:ind w:right="104" w:firstLine="283"/>
      </w:pPr>
      <w:r>
        <w:rPr>
          <w:color w:val="231F20"/>
        </w:rPr>
        <w:t>Le</w:t>
      </w:r>
      <w:r>
        <w:rPr>
          <w:color w:val="231F20"/>
          <w:spacing w:val="-12"/>
        </w:rPr>
        <w:t> </w:t>
      </w:r>
      <w:r>
        <w:rPr>
          <w:color w:val="231F20"/>
        </w:rPr>
        <w:t>Burkina</w:t>
      </w:r>
      <w:r>
        <w:rPr>
          <w:color w:val="231F20"/>
          <w:spacing w:val="-12"/>
        </w:rPr>
        <w:t> </w:t>
      </w:r>
      <w:r>
        <w:rPr>
          <w:color w:val="231F20"/>
        </w:rPr>
        <w:t>Faso</w:t>
      </w:r>
      <w:r>
        <w:rPr>
          <w:color w:val="231F20"/>
          <w:spacing w:val="-12"/>
        </w:rPr>
        <w:t> </w:t>
      </w:r>
      <w:r>
        <w:rPr>
          <w:color w:val="231F20"/>
        </w:rPr>
        <w:t>s’est</w:t>
      </w:r>
      <w:r>
        <w:rPr>
          <w:color w:val="231F20"/>
          <w:spacing w:val="-12"/>
        </w:rPr>
        <w:t> </w:t>
      </w:r>
      <w:r>
        <w:rPr>
          <w:color w:val="231F20"/>
        </w:rPr>
        <w:t>disputé</w:t>
      </w:r>
      <w:r>
        <w:rPr>
          <w:color w:val="231F20"/>
          <w:spacing w:val="-12"/>
        </w:rPr>
        <w:t> </w:t>
      </w:r>
      <w:r>
        <w:rPr>
          <w:color w:val="231F20"/>
        </w:rPr>
        <w:t>aussi</w:t>
      </w:r>
      <w:r>
        <w:rPr>
          <w:color w:val="231F20"/>
          <w:spacing w:val="-12"/>
        </w:rPr>
        <w:t> </w:t>
      </w:r>
      <w:r>
        <w:rPr>
          <w:color w:val="231F20"/>
        </w:rPr>
        <w:t>avec</w:t>
      </w:r>
      <w:r>
        <w:rPr>
          <w:color w:val="231F20"/>
          <w:spacing w:val="-12"/>
        </w:rPr>
        <w:t> </w:t>
      </w:r>
      <w:r>
        <w:rPr>
          <w:color w:val="231F20"/>
        </w:rPr>
        <w:t>le</w:t>
      </w:r>
      <w:r>
        <w:rPr>
          <w:color w:val="231F20"/>
          <w:spacing w:val="-12"/>
        </w:rPr>
        <w:t> </w:t>
      </w:r>
      <w:r>
        <w:rPr>
          <w:color w:val="231F20"/>
        </w:rPr>
        <w:t>Bénin</w:t>
      </w:r>
      <w:r>
        <w:rPr>
          <w:color w:val="231F20"/>
          <w:spacing w:val="-11"/>
        </w:rPr>
        <w:t> </w:t>
      </w:r>
      <w:r>
        <w:rPr>
          <w:color w:val="231F20"/>
        </w:rPr>
        <w:t>pour</w:t>
      </w:r>
      <w:r>
        <w:rPr>
          <w:color w:val="231F20"/>
          <w:spacing w:val="-12"/>
        </w:rPr>
        <w:t> </w:t>
      </w:r>
      <w:r>
        <w:rPr>
          <w:color w:val="231F20"/>
        </w:rPr>
        <w:t>le</w:t>
      </w:r>
      <w:r>
        <w:rPr>
          <w:color w:val="231F20"/>
          <w:spacing w:val="-12"/>
        </w:rPr>
        <w:t> </w:t>
      </w:r>
      <w:r>
        <w:rPr>
          <w:color w:val="231F20"/>
        </w:rPr>
        <w:t>contrôle</w:t>
      </w:r>
      <w:r>
        <w:rPr>
          <w:color w:val="231F20"/>
          <w:spacing w:val="-12"/>
        </w:rPr>
        <w:t> </w:t>
      </w:r>
      <w:r>
        <w:rPr>
          <w:color w:val="231F20"/>
        </w:rPr>
        <w:t>de </w:t>
      </w:r>
      <w:r>
        <w:rPr>
          <w:color w:val="231F20"/>
          <w:spacing w:val="-2"/>
        </w:rPr>
        <w:t>la</w:t>
      </w:r>
      <w:r>
        <w:rPr>
          <w:color w:val="231F20"/>
          <w:spacing w:val="-15"/>
        </w:rPr>
        <w:t> </w:t>
      </w:r>
      <w:r>
        <w:rPr>
          <w:color w:val="231F20"/>
          <w:spacing w:val="-2"/>
        </w:rPr>
        <w:t>zone</w:t>
      </w:r>
      <w:r>
        <w:rPr>
          <w:color w:val="231F20"/>
          <w:spacing w:val="-13"/>
        </w:rPr>
        <w:t> </w:t>
      </w:r>
      <w:r>
        <w:rPr>
          <w:color w:val="231F20"/>
          <w:spacing w:val="-2"/>
        </w:rPr>
        <w:t>frontalière</w:t>
      </w:r>
      <w:r>
        <w:rPr>
          <w:color w:val="231F20"/>
          <w:spacing w:val="-13"/>
        </w:rPr>
        <w:t> </w:t>
      </w:r>
      <w:r>
        <w:rPr>
          <w:color w:val="231F20"/>
          <w:spacing w:val="-2"/>
        </w:rPr>
        <w:t>de</w:t>
      </w:r>
      <w:r>
        <w:rPr>
          <w:color w:val="231F20"/>
          <w:spacing w:val="-13"/>
        </w:rPr>
        <w:t> </w:t>
      </w:r>
      <w:r>
        <w:rPr>
          <w:color w:val="231F20"/>
          <w:spacing w:val="-2"/>
        </w:rPr>
        <w:t>Kourou-Koalou.</w:t>
      </w:r>
      <w:r>
        <w:rPr>
          <w:color w:val="231F20"/>
          <w:spacing w:val="-13"/>
        </w:rPr>
        <w:t> </w:t>
      </w:r>
      <w:r>
        <w:rPr>
          <w:color w:val="231F20"/>
          <w:spacing w:val="-2"/>
        </w:rPr>
        <w:t>Certains</w:t>
      </w:r>
      <w:r>
        <w:rPr>
          <w:color w:val="231F20"/>
          <w:spacing w:val="-13"/>
        </w:rPr>
        <w:t> </w:t>
      </w:r>
      <w:r>
        <w:rPr>
          <w:color w:val="231F20"/>
          <w:spacing w:val="-2"/>
        </w:rPr>
        <w:t>habitants</w:t>
      </w:r>
      <w:r>
        <w:rPr>
          <w:color w:val="231F20"/>
          <w:spacing w:val="-13"/>
        </w:rPr>
        <w:t> </w:t>
      </w:r>
      <w:r>
        <w:rPr>
          <w:color w:val="231F20"/>
          <w:spacing w:val="-2"/>
        </w:rPr>
        <w:t>de</w:t>
      </w:r>
      <w:r>
        <w:rPr>
          <w:color w:val="231F20"/>
          <w:spacing w:val="-13"/>
        </w:rPr>
        <w:t> </w:t>
      </w:r>
      <w:r>
        <w:rPr>
          <w:color w:val="231F20"/>
          <w:spacing w:val="-2"/>
        </w:rPr>
        <w:t>cette</w:t>
      </w:r>
      <w:r>
        <w:rPr>
          <w:color w:val="231F20"/>
          <w:spacing w:val="-13"/>
        </w:rPr>
        <w:t> </w:t>
      </w:r>
      <w:r>
        <w:rPr>
          <w:color w:val="231F20"/>
          <w:spacing w:val="-2"/>
        </w:rPr>
        <w:t>localité </w:t>
      </w:r>
      <w:r>
        <w:rPr>
          <w:color w:val="231F20"/>
        </w:rPr>
        <w:t>se</w:t>
      </w:r>
      <w:r>
        <w:rPr>
          <w:color w:val="231F20"/>
          <w:spacing w:val="-8"/>
        </w:rPr>
        <w:t> </w:t>
      </w:r>
      <w:r>
        <w:rPr>
          <w:color w:val="231F20"/>
        </w:rPr>
        <w:t>réclament</w:t>
      </w:r>
      <w:r>
        <w:rPr>
          <w:color w:val="231F20"/>
          <w:spacing w:val="-7"/>
        </w:rPr>
        <w:t> </w:t>
      </w:r>
      <w:r>
        <w:rPr>
          <w:color w:val="231F20"/>
        </w:rPr>
        <w:t>du</w:t>
      </w:r>
      <w:r>
        <w:rPr>
          <w:color w:val="231F20"/>
          <w:spacing w:val="-10"/>
        </w:rPr>
        <w:t> </w:t>
      </w:r>
      <w:r>
        <w:rPr>
          <w:color w:val="231F20"/>
        </w:rPr>
        <w:t>Bénin</w:t>
      </w:r>
      <w:r>
        <w:rPr>
          <w:color w:val="231F20"/>
          <w:spacing w:val="-10"/>
        </w:rPr>
        <w:t> </w:t>
      </w:r>
      <w:r>
        <w:rPr>
          <w:color w:val="231F20"/>
        </w:rPr>
        <w:t>et</w:t>
      </w:r>
      <w:r>
        <w:rPr>
          <w:color w:val="231F20"/>
          <w:spacing w:val="-9"/>
        </w:rPr>
        <w:t> </w:t>
      </w:r>
      <w:r>
        <w:rPr>
          <w:color w:val="231F20"/>
        </w:rPr>
        <w:t>d'autres</w:t>
      </w:r>
      <w:r>
        <w:rPr>
          <w:color w:val="231F20"/>
          <w:spacing w:val="-10"/>
        </w:rPr>
        <w:t> </w:t>
      </w:r>
      <w:r>
        <w:rPr>
          <w:color w:val="231F20"/>
        </w:rPr>
        <w:t>du</w:t>
      </w:r>
      <w:r>
        <w:rPr>
          <w:color w:val="231F20"/>
          <w:spacing w:val="-10"/>
        </w:rPr>
        <w:t> </w:t>
      </w:r>
      <w:r>
        <w:rPr>
          <w:color w:val="231F20"/>
        </w:rPr>
        <w:t>Burkina</w:t>
      </w:r>
      <w:r>
        <w:rPr>
          <w:color w:val="231F20"/>
          <w:spacing w:val="-8"/>
        </w:rPr>
        <w:t> </w:t>
      </w:r>
      <w:r>
        <w:rPr>
          <w:color w:val="231F20"/>
        </w:rPr>
        <w:t>Faso.</w:t>
      </w:r>
      <w:r>
        <w:rPr>
          <w:color w:val="231F20"/>
          <w:spacing w:val="-10"/>
        </w:rPr>
        <w:t> </w:t>
      </w:r>
      <w:r>
        <w:rPr>
          <w:color w:val="231F20"/>
        </w:rPr>
        <w:t>Un</w:t>
      </w:r>
      <w:r>
        <w:rPr>
          <w:color w:val="231F20"/>
          <w:spacing w:val="-8"/>
        </w:rPr>
        <w:t> </w:t>
      </w:r>
      <w:r>
        <w:rPr>
          <w:color w:val="231F20"/>
        </w:rPr>
        <w:t>autre</w:t>
      </w:r>
      <w:r>
        <w:rPr>
          <w:color w:val="231F20"/>
          <w:spacing w:val="-8"/>
        </w:rPr>
        <w:t> </w:t>
      </w:r>
      <w:r>
        <w:rPr>
          <w:color w:val="231F20"/>
        </w:rPr>
        <w:t>différend</w:t>
      </w:r>
      <w:r>
        <w:rPr>
          <w:color w:val="231F20"/>
          <w:spacing w:val="-8"/>
        </w:rPr>
        <w:t> </w:t>
      </w:r>
      <w:r>
        <w:rPr>
          <w:color w:val="231F20"/>
        </w:rPr>
        <w:t>a </w:t>
      </w:r>
      <w:r>
        <w:rPr>
          <w:color w:val="231F20"/>
          <w:spacing w:val="-4"/>
        </w:rPr>
        <w:t>opposé</w:t>
      </w:r>
      <w:r>
        <w:rPr>
          <w:color w:val="231F20"/>
          <w:spacing w:val="-11"/>
        </w:rPr>
        <w:t> </w:t>
      </w:r>
      <w:r>
        <w:rPr>
          <w:color w:val="231F20"/>
          <w:spacing w:val="-4"/>
        </w:rPr>
        <w:t>le</w:t>
      </w:r>
      <w:r>
        <w:rPr>
          <w:color w:val="231F20"/>
          <w:spacing w:val="-11"/>
        </w:rPr>
        <w:t> </w:t>
      </w:r>
      <w:r>
        <w:rPr>
          <w:color w:val="231F20"/>
          <w:spacing w:val="-4"/>
        </w:rPr>
        <w:t>Burkina</w:t>
      </w:r>
      <w:r>
        <w:rPr>
          <w:color w:val="231F20"/>
          <w:spacing w:val="-11"/>
        </w:rPr>
        <w:t> </w:t>
      </w:r>
      <w:r>
        <w:rPr>
          <w:color w:val="231F20"/>
          <w:spacing w:val="-4"/>
        </w:rPr>
        <w:t>Faso</w:t>
      </w:r>
      <w:r>
        <w:rPr>
          <w:color w:val="231F20"/>
          <w:spacing w:val="-11"/>
        </w:rPr>
        <w:t> </w:t>
      </w:r>
      <w:r>
        <w:rPr>
          <w:color w:val="231F20"/>
          <w:spacing w:val="-4"/>
        </w:rPr>
        <w:t>au</w:t>
      </w:r>
      <w:r>
        <w:rPr>
          <w:color w:val="231F20"/>
          <w:spacing w:val="-11"/>
        </w:rPr>
        <w:t> </w:t>
      </w:r>
      <w:r>
        <w:rPr>
          <w:color w:val="231F20"/>
          <w:spacing w:val="-4"/>
        </w:rPr>
        <w:t>Niger.</w:t>
      </w:r>
      <w:r>
        <w:rPr>
          <w:color w:val="231F20"/>
          <w:spacing w:val="-11"/>
        </w:rPr>
        <w:t> </w:t>
      </w:r>
      <w:r>
        <w:rPr>
          <w:color w:val="231F20"/>
          <w:spacing w:val="-4"/>
        </w:rPr>
        <w:t>Ce</w:t>
      </w:r>
      <w:r>
        <w:rPr>
          <w:color w:val="231F20"/>
          <w:spacing w:val="-11"/>
        </w:rPr>
        <w:t> </w:t>
      </w:r>
      <w:r>
        <w:rPr>
          <w:color w:val="231F20"/>
          <w:spacing w:val="-4"/>
        </w:rPr>
        <w:t>contentieux</w:t>
      </w:r>
      <w:r>
        <w:rPr>
          <w:color w:val="231F20"/>
          <w:spacing w:val="-11"/>
        </w:rPr>
        <w:t> </w:t>
      </w:r>
      <w:r>
        <w:rPr>
          <w:color w:val="231F20"/>
          <w:spacing w:val="-4"/>
        </w:rPr>
        <w:t>était</w:t>
      </w:r>
      <w:r>
        <w:rPr>
          <w:color w:val="231F20"/>
          <w:spacing w:val="-11"/>
        </w:rPr>
        <w:t> </w:t>
      </w:r>
      <w:r>
        <w:rPr>
          <w:color w:val="231F20"/>
          <w:spacing w:val="-4"/>
        </w:rPr>
        <w:t>lié</w:t>
      </w:r>
      <w:r>
        <w:rPr>
          <w:color w:val="231F20"/>
          <w:spacing w:val="-11"/>
        </w:rPr>
        <w:t> </w:t>
      </w:r>
      <w:r>
        <w:rPr>
          <w:color w:val="231F20"/>
          <w:spacing w:val="-4"/>
        </w:rPr>
        <w:t>à</w:t>
      </w:r>
      <w:r>
        <w:rPr>
          <w:color w:val="231F20"/>
          <w:spacing w:val="-11"/>
        </w:rPr>
        <w:t> </w:t>
      </w:r>
      <w:r>
        <w:rPr>
          <w:color w:val="231F20"/>
          <w:spacing w:val="-4"/>
        </w:rPr>
        <w:t>une</w:t>
      </w:r>
      <w:r>
        <w:rPr>
          <w:color w:val="231F20"/>
          <w:spacing w:val="-11"/>
        </w:rPr>
        <w:t> </w:t>
      </w:r>
      <w:r>
        <w:rPr>
          <w:color w:val="231F20"/>
          <w:spacing w:val="-4"/>
        </w:rPr>
        <w:t>divergence </w:t>
      </w:r>
      <w:r>
        <w:rPr>
          <w:color w:val="231F20"/>
        </w:rPr>
        <w:t>d’interprétation</w:t>
      </w:r>
      <w:r>
        <w:rPr>
          <w:color w:val="231F20"/>
          <w:spacing w:val="-15"/>
        </w:rPr>
        <w:t> </w:t>
      </w:r>
      <w:r>
        <w:rPr>
          <w:color w:val="231F20"/>
        </w:rPr>
        <w:t>de</w:t>
      </w:r>
      <w:r>
        <w:rPr>
          <w:color w:val="231F20"/>
          <w:spacing w:val="-15"/>
        </w:rPr>
        <w:t> </w:t>
      </w:r>
      <w:r>
        <w:rPr>
          <w:color w:val="231F20"/>
        </w:rPr>
        <w:t>l’amendement</w:t>
      </w:r>
      <w:r>
        <w:rPr>
          <w:color w:val="231F20"/>
          <w:spacing w:val="-15"/>
        </w:rPr>
        <w:t> </w:t>
      </w:r>
      <w:r>
        <w:rPr>
          <w:color w:val="231F20"/>
        </w:rPr>
        <w:t>apporté</w:t>
      </w:r>
      <w:r>
        <w:rPr>
          <w:color w:val="231F20"/>
          <w:spacing w:val="-15"/>
        </w:rPr>
        <w:t> </w:t>
      </w:r>
      <w:r>
        <w:rPr>
          <w:color w:val="231F20"/>
        </w:rPr>
        <w:t>à</w:t>
      </w:r>
      <w:r>
        <w:rPr>
          <w:color w:val="231F20"/>
          <w:spacing w:val="-15"/>
        </w:rPr>
        <w:t> </w:t>
      </w:r>
      <w:r>
        <w:rPr>
          <w:color w:val="231F20"/>
        </w:rPr>
        <w:t>l’arrêté</w:t>
      </w:r>
      <w:r>
        <w:rPr>
          <w:color w:val="231F20"/>
          <w:spacing w:val="-15"/>
        </w:rPr>
        <w:t> </w:t>
      </w:r>
      <w:r>
        <w:rPr>
          <w:color w:val="231F20"/>
        </w:rPr>
        <w:t>colonial</w:t>
      </w:r>
      <w:r>
        <w:rPr>
          <w:color w:val="231F20"/>
          <w:spacing w:val="-15"/>
        </w:rPr>
        <w:t> </w:t>
      </w:r>
      <w:r>
        <w:rPr>
          <w:color w:val="231F20"/>
        </w:rPr>
        <w:t>de</w:t>
      </w:r>
      <w:r>
        <w:rPr>
          <w:color w:val="231F20"/>
          <w:spacing w:val="-15"/>
        </w:rPr>
        <w:t> </w:t>
      </w:r>
      <w:r>
        <w:rPr>
          <w:color w:val="231F20"/>
        </w:rPr>
        <w:t>1927</w:t>
      </w:r>
      <w:r>
        <w:rPr>
          <w:color w:val="231F20"/>
          <w:spacing w:val="-15"/>
        </w:rPr>
        <w:t> </w:t>
      </w:r>
      <w:r>
        <w:rPr>
          <w:color w:val="231F20"/>
        </w:rPr>
        <w:t>sur le tracé frontalier entre les deux territoires.</w:t>
      </w:r>
    </w:p>
    <w:p>
      <w:pPr>
        <w:pStyle w:val="BodyText"/>
        <w:spacing w:before="120"/>
        <w:ind w:right="104" w:firstLine="283"/>
      </w:pPr>
      <w:r>
        <w:rPr>
          <w:color w:val="231F20"/>
        </w:rPr>
        <w:t>En 1963, le Ghana ancienne colonie britannique revendiquait des </w:t>
      </w:r>
      <w:r>
        <w:rPr>
          <w:color w:val="231F20"/>
          <w:spacing w:val="-4"/>
        </w:rPr>
        <w:t>territoires</w:t>
      </w:r>
      <w:r>
        <w:rPr>
          <w:color w:val="231F20"/>
          <w:spacing w:val="-11"/>
        </w:rPr>
        <w:t> </w:t>
      </w:r>
      <w:r>
        <w:rPr>
          <w:color w:val="231F20"/>
          <w:spacing w:val="-4"/>
        </w:rPr>
        <w:t>frontaliers</w:t>
      </w:r>
      <w:r>
        <w:rPr>
          <w:color w:val="231F20"/>
          <w:spacing w:val="-9"/>
        </w:rPr>
        <w:t> </w:t>
      </w:r>
      <w:r>
        <w:rPr>
          <w:color w:val="231F20"/>
          <w:spacing w:val="-4"/>
        </w:rPr>
        <w:t>du</w:t>
      </w:r>
      <w:r>
        <w:rPr>
          <w:color w:val="231F20"/>
          <w:spacing w:val="-10"/>
        </w:rPr>
        <w:t> </w:t>
      </w:r>
      <w:r>
        <w:rPr>
          <w:color w:val="231F20"/>
          <w:spacing w:val="-4"/>
        </w:rPr>
        <w:t>Burkina</w:t>
      </w:r>
      <w:r>
        <w:rPr>
          <w:color w:val="231F20"/>
          <w:spacing w:val="-9"/>
        </w:rPr>
        <w:t> </w:t>
      </w:r>
      <w:r>
        <w:rPr>
          <w:color w:val="231F20"/>
          <w:spacing w:val="-4"/>
        </w:rPr>
        <w:t>Faso</w:t>
      </w:r>
      <w:r>
        <w:rPr>
          <w:color w:val="231F20"/>
          <w:spacing w:val="-7"/>
        </w:rPr>
        <w:t> </w:t>
      </w:r>
      <w:r>
        <w:rPr>
          <w:color w:val="231F20"/>
          <w:spacing w:val="-4"/>
        </w:rPr>
        <w:t>et</w:t>
      </w:r>
      <w:r>
        <w:rPr>
          <w:color w:val="231F20"/>
          <w:spacing w:val="-10"/>
        </w:rPr>
        <w:t> </w:t>
      </w:r>
      <w:r>
        <w:rPr>
          <w:color w:val="231F20"/>
          <w:spacing w:val="-4"/>
        </w:rPr>
        <w:t>avait</w:t>
      </w:r>
      <w:r>
        <w:rPr>
          <w:color w:val="231F20"/>
          <w:spacing w:val="-6"/>
        </w:rPr>
        <w:t> </w:t>
      </w:r>
      <w:r>
        <w:rPr>
          <w:color w:val="231F20"/>
          <w:spacing w:val="-4"/>
        </w:rPr>
        <w:t>fermé</w:t>
      </w:r>
      <w:r>
        <w:rPr>
          <w:color w:val="231F20"/>
          <w:spacing w:val="-11"/>
        </w:rPr>
        <w:t> </w:t>
      </w:r>
      <w:r>
        <w:rPr>
          <w:color w:val="231F20"/>
          <w:spacing w:val="-4"/>
        </w:rPr>
        <w:t>lesdites</w:t>
      </w:r>
      <w:r>
        <w:rPr>
          <w:color w:val="231F20"/>
          <w:spacing w:val="-11"/>
        </w:rPr>
        <w:t> </w:t>
      </w:r>
      <w:r>
        <w:rPr>
          <w:color w:val="231F20"/>
          <w:spacing w:val="-4"/>
        </w:rPr>
        <w:t>frontières.</w:t>
      </w:r>
      <w:r>
        <w:rPr>
          <w:color w:val="231F20"/>
          <w:spacing w:val="-10"/>
        </w:rPr>
        <w:t> </w:t>
      </w:r>
      <w:r>
        <w:rPr>
          <w:color w:val="231F20"/>
          <w:spacing w:val="-4"/>
        </w:rPr>
        <w:t>Le </w:t>
      </w:r>
      <w:r>
        <w:rPr>
          <w:color w:val="231F20"/>
          <w:spacing w:val="-2"/>
        </w:rPr>
        <w:t>conflit</w:t>
      </w:r>
      <w:r>
        <w:rPr>
          <w:color w:val="231F20"/>
          <w:spacing w:val="-9"/>
        </w:rPr>
        <w:t> </w:t>
      </w:r>
      <w:r>
        <w:rPr>
          <w:color w:val="231F20"/>
          <w:spacing w:val="-2"/>
        </w:rPr>
        <w:t>porté</w:t>
      </w:r>
      <w:r>
        <w:rPr>
          <w:color w:val="231F20"/>
          <w:spacing w:val="-9"/>
        </w:rPr>
        <w:t> </w:t>
      </w:r>
      <w:r>
        <w:rPr>
          <w:color w:val="231F20"/>
          <w:spacing w:val="-2"/>
        </w:rPr>
        <w:t>devant</w:t>
      </w:r>
      <w:r>
        <w:rPr>
          <w:color w:val="231F20"/>
          <w:spacing w:val="-11"/>
        </w:rPr>
        <w:t> </w:t>
      </w:r>
      <w:r>
        <w:rPr>
          <w:color w:val="231F20"/>
          <w:spacing w:val="-2"/>
        </w:rPr>
        <w:t>l’OUA</w:t>
      </w:r>
      <w:r>
        <w:rPr>
          <w:color w:val="231F20"/>
          <w:spacing w:val="-9"/>
        </w:rPr>
        <w:t> </w:t>
      </w:r>
      <w:r>
        <w:rPr>
          <w:color w:val="231F20"/>
          <w:spacing w:val="-2"/>
        </w:rPr>
        <w:t>en</w:t>
      </w:r>
      <w:r>
        <w:rPr>
          <w:color w:val="231F20"/>
          <w:spacing w:val="-9"/>
        </w:rPr>
        <w:t> </w:t>
      </w:r>
      <w:r>
        <w:rPr>
          <w:color w:val="231F20"/>
          <w:spacing w:val="-2"/>
        </w:rPr>
        <w:t>juillet</w:t>
      </w:r>
      <w:r>
        <w:rPr>
          <w:color w:val="231F20"/>
          <w:spacing w:val="-11"/>
        </w:rPr>
        <w:t> </w:t>
      </w:r>
      <w:r>
        <w:rPr>
          <w:color w:val="231F20"/>
          <w:spacing w:val="-2"/>
        </w:rPr>
        <w:t>1964,</w:t>
      </w:r>
      <w:r>
        <w:rPr>
          <w:color w:val="231F20"/>
          <w:spacing w:val="-11"/>
        </w:rPr>
        <w:t> </w:t>
      </w:r>
      <w:r>
        <w:rPr>
          <w:color w:val="231F20"/>
          <w:spacing w:val="-2"/>
        </w:rPr>
        <w:t>le</w:t>
      </w:r>
      <w:r>
        <w:rPr>
          <w:color w:val="231F20"/>
          <w:spacing w:val="-9"/>
        </w:rPr>
        <w:t> </w:t>
      </w:r>
      <w:r>
        <w:rPr>
          <w:color w:val="231F20"/>
          <w:spacing w:val="-2"/>
        </w:rPr>
        <w:t>Ghana</w:t>
      </w:r>
      <w:r>
        <w:rPr>
          <w:color w:val="231F20"/>
          <w:spacing w:val="-9"/>
        </w:rPr>
        <w:t> </w:t>
      </w:r>
      <w:r>
        <w:rPr>
          <w:color w:val="231F20"/>
          <w:spacing w:val="-2"/>
        </w:rPr>
        <w:t>fait</w:t>
      </w:r>
      <w:r>
        <w:rPr>
          <w:color w:val="231F20"/>
          <w:spacing w:val="-11"/>
        </w:rPr>
        <w:t> </w:t>
      </w:r>
      <w:r>
        <w:rPr>
          <w:color w:val="231F20"/>
          <w:spacing w:val="-2"/>
        </w:rPr>
        <w:t>des</w:t>
      </w:r>
      <w:r>
        <w:rPr>
          <w:color w:val="231F20"/>
          <w:spacing w:val="-9"/>
        </w:rPr>
        <w:t> </w:t>
      </w:r>
      <w:r>
        <w:rPr>
          <w:color w:val="231F20"/>
          <w:spacing w:val="-2"/>
        </w:rPr>
        <w:t>concessions </w:t>
      </w:r>
      <w:r>
        <w:rPr>
          <w:color w:val="231F20"/>
        </w:rPr>
        <w:t>et</w:t>
      </w:r>
      <w:r>
        <w:rPr>
          <w:color w:val="231F20"/>
          <w:spacing w:val="-15"/>
        </w:rPr>
        <w:t> </w:t>
      </w:r>
      <w:r>
        <w:rPr>
          <w:color w:val="231F20"/>
        </w:rPr>
        <w:t>le</w:t>
      </w:r>
      <w:r>
        <w:rPr>
          <w:color w:val="231F20"/>
          <w:spacing w:val="-15"/>
        </w:rPr>
        <w:t> </w:t>
      </w:r>
      <w:r>
        <w:rPr>
          <w:color w:val="231F20"/>
        </w:rPr>
        <w:t>13</w:t>
      </w:r>
      <w:r>
        <w:rPr>
          <w:color w:val="231F20"/>
          <w:spacing w:val="-15"/>
        </w:rPr>
        <w:t> </w:t>
      </w:r>
      <w:r>
        <w:rPr>
          <w:color w:val="231F20"/>
        </w:rPr>
        <w:t>juin</w:t>
      </w:r>
      <w:r>
        <w:rPr>
          <w:color w:val="231F20"/>
          <w:spacing w:val="-15"/>
        </w:rPr>
        <w:t> </w:t>
      </w:r>
      <w:r>
        <w:rPr>
          <w:color w:val="231F20"/>
        </w:rPr>
        <w:t>1965,</w:t>
      </w:r>
      <w:r>
        <w:rPr>
          <w:color w:val="231F20"/>
          <w:spacing w:val="-15"/>
        </w:rPr>
        <w:t> </w:t>
      </w:r>
      <w:r>
        <w:rPr>
          <w:color w:val="231F20"/>
        </w:rPr>
        <w:t>un</w:t>
      </w:r>
      <w:r>
        <w:rPr>
          <w:color w:val="231F20"/>
          <w:spacing w:val="-15"/>
        </w:rPr>
        <w:t> </w:t>
      </w:r>
      <w:r>
        <w:rPr>
          <w:color w:val="231F20"/>
        </w:rPr>
        <w:t>accord</w:t>
      </w:r>
      <w:r>
        <w:rPr>
          <w:color w:val="231F20"/>
          <w:spacing w:val="-15"/>
        </w:rPr>
        <w:t> </w:t>
      </w:r>
      <w:r>
        <w:rPr>
          <w:color w:val="231F20"/>
        </w:rPr>
        <w:t>est</w:t>
      </w:r>
      <w:r>
        <w:rPr>
          <w:color w:val="231F20"/>
          <w:spacing w:val="-15"/>
        </w:rPr>
        <w:t> </w:t>
      </w:r>
      <w:r>
        <w:rPr>
          <w:color w:val="231F20"/>
        </w:rPr>
        <w:t>signé.</w:t>
      </w:r>
      <w:r>
        <w:rPr>
          <w:color w:val="231F20"/>
          <w:spacing w:val="-15"/>
        </w:rPr>
        <w:t> </w:t>
      </w:r>
      <w:r>
        <w:rPr>
          <w:color w:val="231F20"/>
        </w:rPr>
        <w:t>Outre</w:t>
      </w:r>
      <w:r>
        <w:rPr>
          <w:color w:val="231F20"/>
          <w:spacing w:val="-15"/>
        </w:rPr>
        <w:t> </w:t>
      </w:r>
      <w:r>
        <w:rPr>
          <w:color w:val="231F20"/>
        </w:rPr>
        <w:t>le</w:t>
      </w:r>
      <w:r>
        <w:rPr>
          <w:color w:val="231F20"/>
          <w:spacing w:val="-15"/>
        </w:rPr>
        <w:t> </w:t>
      </w:r>
      <w:r>
        <w:rPr>
          <w:color w:val="231F20"/>
        </w:rPr>
        <w:t>Burkina</w:t>
      </w:r>
      <w:r>
        <w:rPr>
          <w:color w:val="231F20"/>
          <w:spacing w:val="-15"/>
        </w:rPr>
        <w:t> </w:t>
      </w:r>
      <w:r>
        <w:rPr>
          <w:color w:val="231F20"/>
        </w:rPr>
        <w:t>Faso,</w:t>
      </w:r>
      <w:r>
        <w:rPr>
          <w:color w:val="231F20"/>
          <w:spacing w:val="-15"/>
        </w:rPr>
        <w:t> </w:t>
      </w:r>
      <w:r>
        <w:rPr>
          <w:color w:val="231F20"/>
        </w:rPr>
        <w:t>le</w:t>
      </w:r>
      <w:r>
        <w:rPr>
          <w:color w:val="231F20"/>
          <w:spacing w:val="-15"/>
        </w:rPr>
        <w:t> </w:t>
      </w:r>
      <w:r>
        <w:rPr>
          <w:color w:val="231F20"/>
        </w:rPr>
        <w:t>Ghana</w:t>
      </w:r>
      <w:r>
        <w:rPr>
          <w:color w:val="231F20"/>
          <w:spacing w:val="-15"/>
        </w:rPr>
        <w:t> </w:t>
      </w:r>
      <w:r>
        <w:rPr>
          <w:color w:val="231F20"/>
        </w:rPr>
        <w:t>a </w:t>
      </w:r>
      <w:r>
        <w:rPr>
          <w:color w:val="231F20"/>
          <w:spacing w:val="-2"/>
        </w:rPr>
        <w:t>entretenu</w:t>
      </w:r>
      <w:r>
        <w:rPr>
          <w:color w:val="231F20"/>
          <w:spacing w:val="-15"/>
        </w:rPr>
        <w:t> </w:t>
      </w:r>
      <w:r>
        <w:rPr>
          <w:color w:val="231F20"/>
          <w:spacing w:val="-2"/>
        </w:rPr>
        <w:t>des</w:t>
      </w:r>
      <w:r>
        <w:rPr>
          <w:color w:val="231F20"/>
          <w:spacing w:val="-13"/>
        </w:rPr>
        <w:t> </w:t>
      </w:r>
      <w:r>
        <w:rPr>
          <w:color w:val="231F20"/>
          <w:spacing w:val="-2"/>
        </w:rPr>
        <w:t>différends</w:t>
      </w:r>
      <w:r>
        <w:rPr>
          <w:color w:val="231F20"/>
          <w:spacing w:val="-13"/>
        </w:rPr>
        <w:t> </w:t>
      </w:r>
      <w:r>
        <w:rPr>
          <w:color w:val="231F20"/>
          <w:spacing w:val="-2"/>
        </w:rPr>
        <w:t>territoriaux</w:t>
      </w:r>
      <w:r>
        <w:rPr>
          <w:color w:val="231F20"/>
          <w:spacing w:val="-13"/>
        </w:rPr>
        <w:t> </w:t>
      </w:r>
      <w:r>
        <w:rPr>
          <w:color w:val="231F20"/>
          <w:spacing w:val="-2"/>
        </w:rPr>
        <w:t>avec</w:t>
      </w:r>
      <w:r>
        <w:rPr>
          <w:color w:val="231F20"/>
          <w:spacing w:val="-13"/>
        </w:rPr>
        <w:t> </w:t>
      </w:r>
      <w:r>
        <w:rPr>
          <w:color w:val="231F20"/>
          <w:spacing w:val="-2"/>
        </w:rPr>
        <w:t>les</w:t>
      </w:r>
      <w:r>
        <w:rPr>
          <w:color w:val="231F20"/>
          <w:spacing w:val="-13"/>
        </w:rPr>
        <w:t> </w:t>
      </w:r>
      <w:r>
        <w:rPr>
          <w:color w:val="231F20"/>
          <w:spacing w:val="-2"/>
        </w:rPr>
        <w:t>autres</w:t>
      </w:r>
      <w:r>
        <w:rPr>
          <w:color w:val="231F20"/>
          <w:spacing w:val="-13"/>
        </w:rPr>
        <w:t> </w:t>
      </w:r>
      <w:r>
        <w:rPr>
          <w:color w:val="231F20"/>
          <w:spacing w:val="-2"/>
        </w:rPr>
        <w:t>Etats</w:t>
      </w:r>
      <w:r>
        <w:rPr>
          <w:color w:val="231F20"/>
          <w:spacing w:val="-13"/>
        </w:rPr>
        <w:t> </w:t>
      </w:r>
      <w:r>
        <w:rPr>
          <w:color w:val="231F20"/>
          <w:spacing w:val="-2"/>
        </w:rPr>
        <w:t>voisins.</w:t>
      </w:r>
      <w:r>
        <w:rPr>
          <w:color w:val="231F20"/>
          <w:spacing w:val="-13"/>
        </w:rPr>
        <w:t> </w:t>
      </w:r>
      <w:r>
        <w:rPr>
          <w:color w:val="231F20"/>
          <w:spacing w:val="-2"/>
        </w:rPr>
        <w:t>Avec</w:t>
      </w:r>
      <w:r>
        <w:rPr>
          <w:color w:val="231F20"/>
          <w:spacing w:val="-13"/>
        </w:rPr>
        <w:t> </w:t>
      </w:r>
      <w:r>
        <w:rPr>
          <w:color w:val="231F20"/>
          <w:spacing w:val="-2"/>
        </w:rPr>
        <w:t>le </w:t>
      </w:r>
      <w:r>
        <w:rPr>
          <w:color w:val="231F20"/>
          <w:spacing w:val="-4"/>
        </w:rPr>
        <w:t>Togo,</w:t>
      </w:r>
      <w:r>
        <w:rPr>
          <w:color w:val="231F20"/>
          <w:spacing w:val="-9"/>
        </w:rPr>
        <w:t> </w:t>
      </w:r>
      <w:r>
        <w:rPr>
          <w:color w:val="231F20"/>
          <w:spacing w:val="-4"/>
        </w:rPr>
        <w:t>le</w:t>
      </w:r>
      <w:r>
        <w:rPr>
          <w:color w:val="231F20"/>
          <w:spacing w:val="-6"/>
        </w:rPr>
        <w:t> </w:t>
      </w:r>
      <w:r>
        <w:rPr>
          <w:color w:val="231F20"/>
          <w:spacing w:val="-4"/>
        </w:rPr>
        <w:t>différend</w:t>
      </w:r>
      <w:r>
        <w:rPr>
          <w:color w:val="231F20"/>
          <w:spacing w:val="-6"/>
        </w:rPr>
        <w:t> </w:t>
      </w:r>
      <w:r>
        <w:rPr>
          <w:color w:val="231F20"/>
          <w:spacing w:val="-4"/>
        </w:rPr>
        <w:t>portait</w:t>
      </w:r>
      <w:r>
        <w:rPr>
          <w:color w:val="231F20"/>
          <w:spacing w:val="-7"/>
        </w:rPr>
        <w:t> </w:t>
      </w:r>
      <w:r>
        <w:rPr>
          <w:color w:val="231F20"/>
          <w:spacing w:val="-4"/>
        </w:rPr>
        <w:t>sur</w:t>
      </w:r>
      <w:r>
        <w:rPr>
          <w:color w:val="231F20"/>
          <w:spacing w:val="-6"/>
        </w:rPr>
        <w:t> </w:t>
      </w:r>
      <w:r>
        <w:rPr>
          <w:color w:val="231F20"/>
          <w:spacing w:val="-4"/>
        </w:rPr>
        <w:t>les</w:t>
      </w:r>
      <w:r>
        <w:rPr>
          <w:color w:val="231F20"/>
          <w:spacing w:val="-9"/>
        </w:rPr>
        <w:t> </w:t>
      </w:r>
      <w:r>
        <w:rPr>
          <w:color w:val="231F20"/>
          <w:spacing w:val="-4"/>
        </w:rPr>
        <w:t>populations</w:t>
      </w:r>
      <w:r>
        <w:rPr>
          <w:color w:val="231F20"/>
          <w:spacing w:val="-5"/>
        </w:rPr>
        <w:t> </w:t>
      </w:r>
      <w:r>
        <w:rPr>
          <w:color w:val="231F20"/>
          <w:spacing w:val="-4"/>
        </w:rPr>
        <w:t>Ewé</w:t>
      </w:r>
      <w:r>
        <w:rPr>
          <w:color w:val="231F20"/>
          <w:spacing w:val="-6"/>
        </w:rPr>
        <w:t> </w:t>
      </w:r>
      <w:r>
        <w:rPr>
          <w:color w:val="231F20"/>
          <w:spacing w:val="-4"/>
        </w:rPr>
        <w:t>qu’une</w:t>
      </w:r>
      <w:r>
        <w:rPr>
          <w:color w:val="231F20"/>
          <w:spacing w:val="-6"/>
        </w:rPr>
        <w:t> </w:t>
      </w:r>
      <w:r>
        <w:rPr>
          <w:color w:val="231F20"/>
          <w:spacing w:val="-4"/>
        </w:rPr>
        <w:t>ligne</w:t>
      </w:r>
      <w:r>
        <w:rPr>
          <w:color w:val="231F20"/>
          <w:spacing w:val="-7"/>
        </w:rPr>
        <w:t> </w:t>
      </w:r>
      <w:r>
        <w:rPr>
          <w:color w:val="231F20"/>
          <w:spacing w:val="-4"/>
        </w:rPr>
        <w:t>frontalière sépare</w:t>
      </w:r>
      <w:r>
        <w:rPr>
          <w:color w:val="231F20"/>
          <w:spacing w:val="-11"/>
        </w:rPr>
        <w:t> </w:t>
      </w:r>
      <w:r>
        <w:rPr>
          <w:color w:val="231F20"/>
          <w:spacing w:val="-4"/>
        </w:rPr>
        <w:t>en</w:t>
      </w:r>
      <w:r>
        <w:rPr>
          <w:color w:val="231F20"/>
          <w:spacing w:val="-11"/>
        </w:rPr>
        <w:t> </w:t>
      </w:r>
      <w:r>
        <w:rPr>
          <w:color w:val="231F20"/>
          <w:spacing w:val="-4"/>
        </w:rPr>
        <w:t>deux.</w:t>
      </w:r>
      <w:r>
        <w:rPr>
          <w:color w:val="231F20"/>
          <w:spacing w:val="-11"/>
        </w:rPr>
        <w:t> </w:t>
      </w:r>
      <w:r>
        <w:rPr>
          <w:color w:val="231F20"/>
          <w:spacing w:val="-4"/>
        </w:rPr>
        <w:t>De</w:t>
      </w:r>
      <w:r>
        <w:rPr>
          <w:color w:val="231F20"/>
          <w:spacing w:val="-11"/>
        </w:rPr>
        <w:t> </w:t>
      </w:r>
      <w:r>
        <w:rPr>
          <w:color w:val="231F20"/>
          <w:spacing w:val="-4"/>
        </w:rPr>
        <w:t>1959</w:t>
      </w:r>
      <w:r>
        <w:rPr>
          <w:color w:val="231F20"/>
          <w:spacing w:val="-11"/>
        </w:rPr>
        <w:t> </w:t>
      </w:r>
      <w:r>
        <w:rPr>
          <w:color w:val="231F20"/>
          <w:spacing w:val="-4"/>
        </w:rPr>
        <w:t>à</w:t>
      </w:r>
      <w:r>
        <w:rPr>
          <w:color w:val="231F20"/>
          <w:spacing w:val="-11"/>
        </w:rPr>
        <w:t> </w:t>
      </w:r>
      <w:r>
        <w:rPr>
          <w:color w:val="231F20"/>
          <w:spacing w:val="-4"/>
        </w:rPr>
        <w:t>1966,</w:t>
      </w:r>
      <w:r>
        <w:rPr>
          <w:color w:val="231F20"/>
          <w:spacing w:val="-11"/>
        </w:rPr>
        <w:t> </w:t>
      </w:r>
      <w:r>
        <w:rPr>
          <w:color w:val="231F20"/>
          <w:spacing w:val="-4"/>
        </w:rPr>
        <w:t>le</w:t>
      </w:r>
      <w:r>
        <w:rPr>
          <w:color w:val="231F20"/>
          <w:spacing w:val="-11"/>
        </w:rPr>
        <w:t> </w:t>
      </w:r>
      <w:r>
        <w:rPr>
          <w:color w:val="231F20"/>
          <w:spacing w:val="-4"/>
        </w:rPr>
        <w:t>Président</w:t>
      </w:r>
      <w:r>
        <w:rPr>
          <w:color w:val="231F20"/>
          <w:spacing w:val="-11"/>
        </w:rPr>
        <w:t> </w:t>
      </w:r>
      <w:r>
        <w:rPr>
          <w:color w:val="231F20"/>
          <w:spacing w:val="-4"/>
        </w:rPr>
        <w:t>Ghanéen,</w:t>
      </w:r>
      <w:r>
        <w:rPr>
          <w:color w:val="231F20"/>
          <w:spacing w:val="-11"/>
        </w:rPr>
        <w:t> </w:t>
      </w:r>
      <w:r>
        <w:rPr>
          <w:color w:val="231F20"/>
          <w:spacing w:val="-4"/>
        </w:rPr>
        <w:t>Kwamé</w:t>
      </w:r>
      <w:r>
        <w:rPr>
          <w:color w:val="231F20"/>
          <w:spacing w:val="-11"/>
        </w:rPr>
        <w:t> </w:t>
      </w:r>
      <w:r>
        <w:rPr>
          <w:color w:val="231F20"/>
          <w:spacing w:val="-4"/>
        </w:rPr>
        <w:t>N’krumah </w:t>
      </w:r>
      <w:r>
        <w:rPr>
          <w:color w:val="231F20"/>
        </w:rPr>
        <w:t>fait</w:t>
      </w:r>
      <w:r>
        <w:rPr>
          <w:color w:val="231F20"/>
          <w:spacing w:val="-15"/>
        </w:rPr>
        <w:t> </w:t>
      </w:r>
      <w:r>
        <w:rPr>
          <w:color w:val="231F20"/>
        </w:rPr>
        <w:t>même</w:t>
      </w:r>
      <w:r>
        <w:rPr>
          <w:color w:val="231F20"/>
          <w:spacing w:val="-15"/>
        </w:rPr>
        <w:t> </w:t>
      </w:r>
      <w:r>
        <w:rPr>
          <w:color w:val="231F20"/>
        </w:rPr>
        <w:t>pression</w:t>
      </w:r>
      <w:r>
        <w:rPr>
          <w:color w:val="231F20"/>
          <w:spacing w:val="-15"/>
        </w:rPr>
        <w:t> </w:t>
      </w:r>
      <w:r>
        <w:rPr>
          <w:color w:val="231F20"/>
        </w:rPr>
        <w:t>sur</w:t>
      </w:r>
      <w:r>
        <w:rPr>
          <w:color w:val="231F20"/>
          <w:spacing w:val="-15"/>
        </w:rPr>
        <w:t> </w:t>
      </w:r>
      <w:r>
        <w:rPr>
          <w:color w:val="231F20"/>
        </w:rPr>
        <w:t>le</w:t>
      </w:r>
      <w:r>
        <w:rPr>
          <w:color w:val="231F20"/>
          <w:spacing w:val="-15"/>
        </w:rPr>
        <w:t> </w:t>
      </w:r>
      <w:r>
        <w:rPr>
          <w:color w:val="231F20"/>
        </w:rPr>
        <w:t>Togo</w:t>
      </w:r>
      <w:r>
        <w:rPr>
          <w:color w:val="231F20"/>
          <w:spacing w:val="-15"/>
        </w:rPr>
        <w:t> </w:t>
      </w:r>
      <w:r>
        <w:rPr>
          <w:color w:val="231F20"/>
        </w:rPr>
        <w:t>pour</w:t>
      </w:r>
      <w:r>
        <w:rPr>
          <w:color w:val="231F20"/>
          <w:spacing w:val="-15"/>
        </w:rPr>
        <w:t> </w:t>
      </w:r>
      <w:r>
        <w:rPr>
          <w:color w:val="231F20"/>
        </w:rPr>
        <w:t>«</w:t>
      </w:r>
      <w:r>
        <w:rPr>
          <w:color w:val="231F20"/>
          <w:spacing w:val="-15"/>
        </w:rPr>
        <w:t> </w:t>
      </w:r>
      <w:r>
        <w:rPr>
          <w:color w:val="231F20"/>
        </w:rPr>
        <w:t>s’intégrer</w:t>
      </w:r>
      <w:r>
        <w:rPr>
          <w:color w:val="231F20"/>
          <w:spacing w:val="-13"/>
        </w:rPr>
        <w:t> </w:t>
      </w:r>
      <w:r>
        <w:rPr>
          <w:color w:val="231F20"/>
        </w:rPr>
        <w:t>au</w:t>
      </w:r>
      <w:r>
        <w:rPr>
          <w:color w:val="231F20"/>
          <w:spacing w:val="-15"/>
        </w:rPr>
        <w:t> </w:t>
      </w:r>
      <w:r>
        <w:rPr>
          <w:color w:val="231F20"/>
        </w:rPr>
        <w:t>Ghana</w:t>
      </w:r>
      <w:r>
        <w:rPr>
          <w:color w:val="231F20"/>
          <w:spacing w:val="-15"/>
        </w:rPr>
        <w:t> </w:t>
      </w:r>
      <w:r>
        <w:rPr>
          <w:color w:val="231F20"/>
        </w:rPr>
        <w:t>».</w:t>
      </w:r>
      <w:r>
        <w:rPr>
          <w:color w:val="231F20"/>
          <w:spacing w:val="-14"/>
        </w:rPr>
        <w:t> </w:t>
      </w:r>
      <w:r>
        <w:rPr>
          <w:color w:val="231F20"/>
        </w:rPr>
        <w:t>N’Krumah soutient</w:t>
      </w:r>
      <w:r>
        <w:rPr>
          <w:color w:val="231F20"/>
          <w:spacing w:val="-6"/>
        </w:rPr>
        <w:t> </w:t>
      </w:r>
      <w:r>
        <w:rPr>
          <w:color w:val="231F20"/>
        </w:rPr>
        <w:t>également</w:t>
      </w:r>
      <w:r>
        <w:rPr>
          <w:color w:val="231F20"/>
          <w:spacing w:val="-6"/>
        </w:rPr>
        <w:t> </w:t>
      </w:r>
      <w:r>
        <w:rPr>
          <w:color w:val="231F20"/>
        </w:rPr>
        <w:t>le</w:t>
      </w:r>
      <w:r>
        <w:rPr>
          <w:color w:val="231F20"/>
          <w:spacing w:val="-9"/>
        </w:rPr>
        <w:t> </w:t>
      </w:r>
      <w:r>
        <w:rPr>
          <w:color w:val="231F20"/>
        </w:rPr>
        <w:t>détachement</w:t>
      </w:r>
      <w:r>
        <w:rPr>
          <w:color w:val="231F20"/>
          <w:spacing w:val="-6"/>
        </w:rPr>
        <w:t> </w:t>
      </w:r>
      <w:r>
        <w:rPr>
          <w:color w:val="231F20"/>
        </w:rPr>
        <w:t>du</w:t>
      </w:r>
      <w:r>
        <w:rPr>
          <w:color w:val="231F20"/>
          <w:spacing w:val="-8"/>
        </w:rPr>
        <w:t> </w:t>
      </w:r>
      <w:r>
        <w:rPr>
          <w:color w:val="231F20"/>
        </w:rPr>
        <w:t>peuple</w:t>
      </w:r>
      <w:r>
        <w:rPr>
          <w:color w:val="231F20"/>
          <w:spacing w:val="-6"/>
        </w:rPr>
        <w:t> </w:t>
      </w:r>
      <w:r>
        <w:rPr>
          <w:color w:val="231F20"/>
        </w:rPr>
        <w:t>Sanwi</w:t>
      </w:r>
      <w:r>
        <w:rPr>
          <w:color w:val="231F20"/>
          <w:spacing w:val="-6"/>
        </w:rPr>
        <w:t> </w:t>
      </w:r>
      <w:r>
        <w:rPr>
          <w:color w:val="231F20"/>
        </w:rPr>
        <w:t>de</w:t>
      </w:r>
      <w:r>
        <w:rPr>
          <w:color w:val="231F20"/>
          <w:spacing w:val="-6"/>
        </w:rPr>
        <w:t> </w:t>
      </w:r>
      <w:r>
        <w:rPr>
          <w:color w:val="231F20"/>
        </w:rPr>
        <w:t>la</w:t>
      </w:r>
      <w:r>
        <w:rPr>
          <w:color w:val="231F20"/>
          <w:spacing w:val="-9"/>
        </w:rPr>
        <w:t> </w:t>
      </w:r>
      <w:r>
        <w:rPr>
          <w:color w:val="231F20"/>
        </w:rPr>
        <w:t>Côte</w:t>
      </w:r>
      <w:r>
        <w:rPr>
          <w:color w:val="231F20"/>
          <w:spacing w:val="-7"/>
        </w:rPr>
        <w:t> </w:t>
      </w:r>
      <w:r>
        <w:rPr>
          <w:color w:val="231F20"/>
        </w:rPr>
        <w:t>d’Ivoire au</w:t>
      </w:r>
      <w:r>
        <w:rPr>
          <w:color w:val="231F20"/>
          <w:spacing w:val="-7"/>
        </w:rPr>
        <w:t> </w:t>
      </w:r>
      <w:r>
        <w:rPr>
          <w:color w:val="231F20"/>
        </w:rPr>
        <w:t>profit</w:t>
      </w:r>
      <w:r>
        <w:rPr>
          <w:color w:val="231F20"/>
          <w:spacing w:val="-8"/>
        </w:rPr>
        <w:t> </w:t>
      </w:r>
      <w:r>
        <w:rPr>
          <w:color w:val="231F20"/>
        </w:rPr>
        <w:t>du</w:t>
      </w:r>
      <w:r>
        <w:rPr>
          <w:color w:val="231F20"/>
          <w:spacing w:val="-9"/>
        </w:rPr>
        <w:t> </w:t>
      </w:r>
      <w:r>
        <w:rPr>
          <w:color w:val="231F20"/>
        </w:rPr>
        <w:t>Ghana.</w:t>
      </w:r>
      <w:r>
        <w:rPr>
          <w:color w:val="231F20"/>
          <w:spacing w:val="-9"/>
        </w:rPr>
        <w:t> </w:t>
      </w:r>
      <w:r>
        <w:rPr>
          <w:color w:val="231F20"/>
        </w:rPr>
        <w:t>Sur</w:t>
      </w:r>
      <w:r>
        <w:rPr>
          <w:color w:val="231F20"/>
          <w:spacing w:val="-10"/>
        </w:rPr>
        <w:t> </w:t>
      </w:r>
      <w:r>
        <w:rPr>
          <w:color w:val="231F20"/>
        </w:rPr>
        <w:t>la</w:t>
      </w:r>
      <w:r>
        <w:rPr>
          <w:color w:val="231F20"/>
          <w:spacing w:val="-7"/>
        </w:rPr>
        <w:t> </w:t>
      </w:r>
      <w:r>
        <w:rPr>
          <w:color w:val="231F20"/>
        </w:rPr>
        <w:t>base</w:t>
      </w:r>
      <w:r>
        <w:rPr>
          <w:color w:val="231F20"/>
          <w:spacing w:val="-9"/>
        </w:rPr>
        <w:t> </w:t>
      </w:r>
      <w:r>
        <w:rPr>
          <w:color w:val="231F20"/>
        </w:rPr>
        <w:t>de</w:t>
      </w:r>
      <w:r>
        <w:rPr>
          <w:color w:val="231F20"/>
          <w:spacing w:val="-7"/>
        </w:rPr>
        <w:t> </w:t>
      </w:r>
      <w:r>
        <w:rPr>
          <w:color w:val="231F20"/>
        </w:rPr>
        <w:t>la</w:t>
      </w:r>
      <w:r>
        <w:rPr>
          <w:color w:val="231F20"/>
          <w:spacing w:val="-10"/>
        </w:rPr>
        <w:t> </w:t>
      </w:r>
      <w:r>
        <w:rPr>
          <w:color w:val="231F20"/>
        </w:rPr>
        <w:t>signature</w:t>
      </w:r>
      <w:r>
        <w:rPr>
          <w:color w:val="231F20"/>
          <w:spacing w:val="-7"/>
        </w:rPr>
        <w:t> </w:t>
      </w:r>
      <w:r>
        <w:rPr>
          <w:color w:val="231F20"/>
        </w:rPr>
        <w:t>d’un</w:t>
      </w:r>
      <w:r>
        <w:rPr>
          <w:color w:val="231F20"/>
          <w:spacing w:val="-7"/>
        </w:rPr>
        <w:t> </w:t>
      </w:r>
      <w:r>
        <w:rPr>
          <w:color w:val="231F20"/>
        </w:rPr>
        <w:t>traité</w:t>
      </w:r>
      <w:r>
        <w:rPr>
          <w:color w:val="231F20"/>
          <w:spacing w:val="-9"/>
        </w:rPr>
        <w:t> </w:t>
      </w:r>
      <w:r>
        <w:rPr>
          <w:color w:val="231F20"/>
        </w:rPr>
        <w:t>de</w:t>
      </w:r>
      <w:r>
        <w:rPr>
          <w:color w:val="231F20"/>
          <w:spacing w:val="-7"/>
        </w:rPr>
        <w:t> </w:t>
      </w:r>
      <w:r>
        <w:rPr>
          <w:color w:val="231F20"/>
        </w:rPr>
        <w:t>protectorat </w:t>
      </w:r>
      <w:r>
        <w:rPr>
          <w:color w:val="231F20"/>
          <w:spacing w:val="-2"/>
        </w:rPr>
        <w:t>avec</w:t>
      </w:r>
      <w:r>
        <w:rPr>
          <w:color w:val="231F20"/>
          <w:spacing w:val="-9"/>
        </w:rPr>
        <w:t> </w:t>
      </w:r>
      <w:r>
        <w:rPr>
          <w:color w:val="231F20"/>
          <w:spacing w:val="-2"/>
        </w:rPr>
        <w:t>la</w:t>
      </w:r>
      <w:r>
        <w:rPr>
          <w:color w:val="231F20"/>
          <w:spacing w:val="-9"/>
        </w:rPr>
        <w:t> </w:t>
      </w:r>
      <w:r>
        <w:rPr>
          <w:color w:val="231F20"/>
          <w:spacing w:val="-2"/>
        </w:rPr>
        <w:t>France</w:t>
      </w:r>
      <w:r>
        <w:rPr>
          <w:color w:val="231F20"/>
          <w:spacing w:val="-9"/>
        </w:rPr>
        <w:t> </w:t>
      </w:r>
      <w:r>
        <w:rPr>
          <w:color w:val="231F20"/>
          <w:spacing w:val="-2"/>
        </w:rPr>
        <w:t>en</w:t>
      </w:r>
      <w:r>
        <w:rPr>
          <w:color w:val="231F20"/>
          <w:spacing w:val="-9"/>
        </w:rPr>
        <w:t> </w:t>
      </w:r>
      <w:r>
        <w:rPr>
          <w:color w:val="231F20"/>
          <w:spacing w:val="-2"/>
        </w:rPr>
        <w:t>1843,</w:t>
      </w:r>
      <w:r>
        <w:rPr>
          <w:color w:val="231F20"/>
          <w:spacing w:val="-9"/>
        </w:rPr>
        <w:t> </w:t>
      </w:r>
      <w:r>
        <w:rPr>
          <w:color w:val="231F20"/>
          <w:spacing w:val="-2"/>
        </w:rPr>
        <w:t>une</w:t>
      </w:r>
      <w:r>
        <w:rPr>
          <w:color w:val="231F20"/>
          <w:spacing w:val="-9"/>
        </w:rPr>
        <w:t> </w:t>
      </w:r>
      <w:r>
        <w:rPr>
          <w:color w:val="231F20"/>
          <w:spacing w:val="-2"/>
        </w:rPr>
        <w:t>partie</w:t>
      </w:r>
      <w:r>
        <w:rPr>
          <w:color w:val="231F20"/>
          <w:spacing w:val="-13"/>
        </w:rPr>
        <w:t> </w:t>
      </w:r>
      <w:r>
        <w:rPr>
          <w:color w:val="231F20"/>
          <w:spacing w:val="-2"/>
        </w:rPr>
        <w:t>de</w:t>
      </w:r>
      <w:r>
        <w:rPr>
          <w:color w:val="231F20"/>
          <w:spacing w:val="-9"/>
        </w:rPr>
        <w:t> </w:t>
      </w:r>
      <w:r>
        <w:rPr>
          <w:color w:val="231F20"/>
          <w:spacing w:val="-2"/>
        </w:rPr>
        <w:t>l’élite</w:t>
      </w:r>
      <w:r>
        <w:rPr>
          <w:color w:val="231F20"/>
          <w:spacing w:val="-11"/>
        </w:rPr>
        <w:t> </w:t>
      </w:r>
      <w:r>
        <w:rPr>
          <w:color w:val="231F20"/>
          <w:spacing w:val="-2"/>
        </w:rPr>
        <w:t>Sanwi,</w:t>
      </w:r>
      <w:r>
        <w:rPr>
          <w:color w:val="231F20"/>
          <w:spacing w:val="-11"/>
        </w:rPr>
        <w:t> </w:t>
      </w:r>
      <w:r>
        <w:rPr>
          <w:color w:val="231F20"/>
          <w:spacing w:val="-2"/>
        </w:rPr>
        <w:t>dans</w:t>
      </w:r>
      <w:r>
        <w:rPr>
          <w:color w:val="231F20"/>
          <w:spacing w:val="-9"/>
        </w:rPr>
        <w:t> </w:t>
      </w:r>
      <w:r>
        <w:rPr>
          <w:color w:val="231F20"/>
          <w:spacing w:val="-2"/>
        </w:rPr>
        <w:t>la</w:t>
      </w:r>
      <w:r>
        <w:rPr>
          <w:color w:val="231F20"/>
          <w:spacing w:val="-11"/>
        </w:rPr>
        <w:t> </w:t>
      </w:r>
      <w:r>
        <w:rPr>
          <w:color w:val="231F20"/>
          <w:spacing w:val="-2"/>
        </w:rPr>
        <w:t>partie</w:t>
      </w:r>
      <w:r>
        <w:rPr>
          <w:color w:val="231F20"/>
          <w:spacing w:val="-11"/>
        </w:rPr>
        <w:t> </w:t>
      </w:r>
      <w:r>
        <w:rPr>
          <w:color w:val="231F20"/>
          <w:spacing w:val="-2"/>
        </w:rPr>
        <w:t>du</w:t>
      </w:r>
      <w:r>
        <w:rPr>
          <w:color w:val="231F20"/>
          <w:spacing w:val="-8"/>
        </w:rPr>
        <w:t> </w:t>
      </w:r>
      <w:r>
        <w:rPr>
          <w:color w:val="231F20"/>
          <w:spacing w:val="-2"/>
        </w:rPr>
        <w:t>sud- </w:t>
      </w:r>
      <w:r>
        <w:rPr>
          <w:color w:val="231F20"/>
        </w:rPr>
        <w:t>est du pays avait exigé la séparation de leur région en vue de son rattachement au Ghana. En 1963, puis en 1969, les récidivistes </w:t>
      </w:r>
      <w:r>
        <w:rPr>
          <w:color w:val="231F20"/>
          <w:spacing w:val="-2"/>
        </w:rPr>
        <w:t>séparatistes</w:t>
      </w:r>
      <w:r>
        <w:rPr>
          <w:color w:val="231F20"/>
          <w:spacing w:val="-8"/>
        </w:rPr>
        <w:t> </w:t>
      </w:r>
      <w:r>
        <w:rPr>
          <w:color w:val="231F20"/>
          <w:spacing w:val="-2"/>
        </w:rPr>
        <w:t>Sanwi</w:t>
      </w:r>
      <w:r>
        <w:rPr>
          <w:color w:val="231F20"/>
          <w:spacing w:val="-8"/>
        </w:rPr>
        <w:t> </w:t>
      </w:r>
      <w:r>
        <w:rPr>
          <w:color w:val="231F20"/>
          <w:spacing w:val="-2"/>
        </w:rPr>
        <w:t>étaient</w:t>
      </w:r>
      <w:r>
        <w:rPr>
          <w:color w:val="231F20"/>
          <w:spacing w:val="-8"/>
        </w:rPr>
        <w:t> </w:t>
      </w:r>
      <w:r>
        <w:rPr>
          <w:color w:val="231F20"/>
          <w:spacing w:val="-2"/>
        </w:rPr>
        <w:t>revenus</w:t>
      </w:r>
      <w:r>
        <w:rPr>
          <w:color w:val="231F20"/>
          <w:spacing w:val="-7"/>
        </w:rPr>
        <w:t> </w:t>
      </w:r>
      <w:r>
        <w:rPr>
          <w:color w:val="231F20"/>
          <w:spacing w:val="-2"/>
        </w:rPr>
        <w:t>à</w:t>
      </w:r>
      <w:r>
        <w:rPr>
          <w:color w:val="231F20"/>
          <w:spacing w:val="-8"/>
        </w:rPr>
        <w:t> </w:t>
      </w:r>
      <w:r>
        <w:rPr>
          <w:color w:val="231F20"/>
          <w:spacing w:val="-2"/>
        </w:rPr>
        <w:t>la</w:t>
      </w:r>
      <w:r>
        <w:rPr>
          <w:color w:val="231F20"/>
          <w:spacing w:val="-7"/>
        </w:rPr>
        <w:t> </w:t>
      </w:r>
      <w:r>
        <w:rPr>
          <w:color w:val="231F20"/>
          <w:spacing w:val="-2"/>
        </w:rPr>
        <w:t>charge</w:t>
      </w:r>
      <w:r>
        <w:rPr>
          <w:color w:val="231F20"/>
          <w:spacing w:val="-7"/>
        </w:rPr>
        <w:t> </w:t>
      </w:r>
      <w:r>
        <w:rPr>
          <w:color w:val="231F20"/>
          <w:spacing w:val="-2"/>
        </w:rPr>
        <w:t>pour</w:t>
      </w:r>
      <w:r>
        <w:rPr>
          <w:color w:val="231F20"/>
          <w:spacing w:val="-8"/>
        </w:rPr>
        <w:t> </w:t>
      </w:r>
      <w:r>
        <w:rPr>
          <w:color w:val="231F20"/>
          <w:spacing w:val="-2"/>
        </w:rPr>
        <w:t>réclamer</w:t>
      </w:r>
      <w:r>
        <w:rPr>
          <w:color w:val="231F20"/>
          <w:spacing w:val="-7"/>
        </w:rPr>
        <w:t> </w:t>
      </w:r>
      <w:r>
        <w:rPr>
          <w:color w:val="231F20"/>
          <w:spacing w:val="-2"/>
        </w:rPr>
        <w:t>la</w:t>
      </w:r>
      <w:r>
        <w:rPr>
          <w:color w:val="231F20"/>
          <w:spacing w:val="-8"/>
        </w:rPr>
        <w:t> </w:t>
      </w:r>
      <w:r>
        <w:rPr>
          <w:color w:val="231F20"/>
          <w:spacing w:val="-2"/>
        </w:rPr>
        <w:t>sécession </w:t>
      </w:r>
      <w:r>
        <w:rPr>
          <w:color w:val="231F20"/>
        </w:rPr>
        <w:t>et</w:t>
      </w:r>
      <w:r>
        <w:rPr>
          <w:color w:val="231F20"/>
          <w:spacing w:val="-4"/>
        </w:rPr>
        <w:t> </w:t>
      </w:r>
      <w:r>
        <w:rPr>
          <w:color w:val="231F20"/>
        </w:rPr>
        <w:t>l’indépendance.</w:t>
      </w:r>
      <w:r>
        <w:rPr>
          <w:color w:val="231F20"/>
          <w:spacing w:val="-4"/>
        </w:rPr>
        <w:t> </w:t>
      </w:r>
      <w:r>
        <w:rPr>
          <w:color w:val="231F20"/>
        </w:rPr>
        <w:t>Le</w:t>
      </w:r>
      <w:r>
        <w:rPr>
          <w:color w:val="231F20"/>
          <w:spacing w:val="-4"/>
        </w:rPr>
        <w:t> </w:t>
      </w:r>
      <w:r>
        <w:rPr>
          <w:color w:val="231F20"/>
        </w:rPr>
        <w:t>mouvement</w:t>
      </w:r>
      <w:r>
        <w:rPr>
          <w:color w:val="231F20"/>
          <w:spacing w:val="-4"/>
        </w:rPr>
        <w:t> </w:t>
      </w:r>
      <w:r>
        <w:rPr>
          <w:color w:val="231F20"/>
        </w:rPr>
        <w:t>sévèrement</w:t>
      </w:r>
      <w:r>
        <w:rPr>
          <w:color w:val="231F20"/>
          <w:spacing w:val="-4"/>
        </w:rPr>
        <w:t> </w:t>
      </w:r>
      <w:r>
        <w:rPr>
          <w:color w:val="231F20"/>
        </w:rPr>
        <w:t>réprimé</w:t>
      </w:r>
      <w:r>
        <w:rPr>
          <w:color w:val="231F20"/>
          <w:spacing w:val="-4"/>
        </w:rPr>
        <w:t> </w:t>
      </w:r>
      <w:r>
        <w:rPr>
          <w:color w:val="231F20"/>
        </w:rPr>
        <w:t>par</w:t>
      </w:r>
      <w:r>
        <w:rPr>
          <w:color w:val="231F20"/>
          <w:spacing w:val="-4"/>
        </w:rPr>
        <w:t> </w:t>
      </w:r>
      <w:r>
        <w:rPr>
          <w:color w:val="231F20"/>
        </w:rPr>
        <w:t>les</w:t>
      </w:r>
      <w:r>
        <w:rPr>
          <w:color w:val="231F20"/>
          <w:spacing w:val="-4"/>
        </w:rPr>
        <w:t> </w:t>
      </w:r>
      <w:r>
        <w:rPr>
          <w:color w:val="231F20"/>
        </w:rPr>
        <w:t>autorités ivoiriennes, avait occasionné plusieurs morts et la fuite des leaders séparatistes vers le Ghana.</w:t>
      </w:r>
    </w:p>
    <w:p>
      <w:pPr>
        <w:pStyle w:val="BodyText"/>
        <w:spacing w:before="121"/>
        <w:ind w:right="105" w:firstLine="283"/>
      </w:pPr>
      <w:r>
        <w:rPr>
          <w:color w:val="231F20"/>
        </w:rPr>
        <w:t>Entre le Niger et le Dahomey, actuel Bénin, le conflit a porté de </w:t>
      </w:r>
      <w:r>
        <w:rPr>
          <w:color w:val="231F20"/>
          <w:spacing w:val="-2"/>
        </w:rPr>
        <w:t>décembre</w:t>
      </w:r>
      <w:r>
        <w:rPr>
          <w:color w:val="231F20"/>
          <w:spacing w:val="-15"/>
        </w:rPr>
        <w:t> </w:t>
      </w:r>
      <w:r>
        <w:rPr>
          <w:color w:val="231F20"/>
          <w:spacing w:val="-2"/>
        </w:rPr>
        <w:t>1963</w:t>
      </w:r>
      <w:r>
        <w:rPr>
          <w:color w:val="231F20"/>
          <w:spacing w:val="-13"/>
        </w:rPr>
        <w:t> </w:t>
      </w:r>
      <w:r>
        <w:rPr>
          <w:color w:val="231F20"/>
          <w:spacing w:val="-2"/>
        </w:rPr>
        <w:t>à</w:t>
      </w:r>
      <w:r>
        <w:rPr>
          <w:color w:val="231F20"/>
          <w:spacing w:val="-13"/>
        </w:rPr>
        <w:t> </w:t>
      </w:r>
      <w:r>
        <w:rPr>
          <w:color w:val="231F20"/>
          <w:spacing w:val="-2"/>
        </w:rPr>
        <w:t>mars</w:t>
      </w:r>
      <w:r>
        <w:rPr>
          <w:color w:val="231F20"/>
          <w:spacing w:val="-13"/>
        </w:rPr>
        <w:t> </w:t>
      </w:r>
      <w:r>
        <w:rPr>
          <w:color w:val="231F20"/>
          <w:spacing w:val="-2"/>
        </w:rPr>
        <w:t>1964,</w:t>
      </w:r>
      <w:r>
        <w:rPr>
          <w:color w:val="231F20"/>
          <w:spacing w:val="-13"/>
        </w:rPr>
        <w:t> </w:t>
      </w:r>
      <w:r>
        <w:rPr>
          <w:color w:val="231F20"/>
          <w:spacing w:val="-2"/>
        </w:rPr>
        <w:t>sur</w:t>
      </w:r>
      <w:r>
        <w:rPr>
          <w:color w:val="231F20"/>
          <w:spacing w:val="-13"/>
        </w:rPr>
        <w:t> </w:t>
      </w:r>
      <w:r>
        <w:rPr>
          <w:color w:val="231F20"/>
          <w:spacing w:val="-2"/>
        </w:rPr>
        <w:t>un</w:t>
      </w:r>
      <w:r>
        <w:rPr>
          <w:color w:val="231F20"/>
          <w:spacing w:val="-13"/>
        </w:rPr>
        <w:t> </w:t>
      </w:r>
      <w:r>
        <w:rPr>
          <w:color w:val="231F20"/>
          <w:spacing w:val="-2"/>
        </w:rPr>
        <w:t>îlot</w:t>
      </w:r>
      <w:r>
        <w:rPr>
          <w:color w:val="231F20"/>
          <w:spacing w:val="-13"/>
        </w:rPr>
        <w:t> </w:t>
      </w:r>
      <w:r>
        <w:rPr>
          <w:color w:val="231F20"/>
          <w:spacing w:val="-2"/>
        </w:rPr>
        <w:t>du</w:t>
      </w:r>
      <w:r>
        <w:rPr>
          <w:color w:val="231F20"/>
          <w:spacing w:val="-13"/>
        </w:rPr>
        <w:t> </w:t>
      </w:r>
      <w:r>
        <w:rPr>
          <w:color w:val="231F20"/>
          <w:spacing w:val="-2"/>
        </w:rPr>
        <w:t>fleuve</w:t>
      </w:r>
      <w:r>
        <w:rPr>
          <w:color w:val="231F20"/>
          <w:spacing w:val="-13"/>
        </w:rPr>
        <w:t> </w:t>
      </w:r>
      <w:r>
        <w:rPr>
          <w:color w:val="231F20"/>
          <w:spacing w:val="-2"/>
        </w:rPr>
        <w:t>Niger</w:t>
      </w:r>
      <w:r>
        <w:rPr>
          <w:color w:val="231F20"/>
          <w:spacing w:val="-13"/>
        </w:rPr>
        <w:t> </w:t>
      </w:r>
      <w:r>
        <w:rPr>
          <w:color w:val="231F20"/>
          <w:spacing w:val="-2"/>
        </w:rPr>
        <w:t>qui</w:t>
      </w:r>
      <w:r>
        <w:rPr>
          <w:color w:val="231F20"/>
          <w:spacing w:val="-13"/>
        </w:rPr>
        <w:t> </w:t>
      </w:r>
      <w:r>
        <w:rPr>
          <w:color w:val="231F20"/>
          <w:spacing w:val="-2"/>
        </w:rPr>
        <w:t>constitue</w:t>
      </w:r>
      <w:r>
        <w:rPr>
          <w:color w:val="231F20"/>
          <w:spacing w:val="-13"/>
        </w:rPr>
        <w:t> </w:t>
      </w:r>
      <w:r>
        <w:rPr>
          <w:color w:val="231F20"/>
          <w:spacing w:val="-2"/>
        </w:rPr>
        <w:t>une </w:t>
      </w:r>
      <w:r>
        <w:rPr>
          <w:color w:val="231F20"/>
        </w:rPr>
        <w:t>frontière naturelle : quelques 25 000 ressortissants dahoméens dont plusieurs</w:t>
      </w:r>
      <w:r>
        <w:rPr>
          <w:color w:val="231F20"/>
          <w:spacing w:val="-6"/>
        </w:rPr>
        <w:t> </w:t>
      </w:r>
      <w:r>
        <w:rPr>
          <w:color w:val="231F20"/>
        </w:rPr>
        <w:t>centaines</w:t>
      </w:r>
      <w:r>
        <w:rPr>
          <w:color w:val="231F20"/>
          <w:spacing w:val="-5"/>
        </w:rPr>
        <w:t> </w:t>
      </w:r>
      <w:r>
        <w:rPr>
          <w:color w:val="231F20"/>
        </w:rPr>
        <w:t>de</w:t>
      </w:r>
      <w:r>
        <w:rPr>
          <w:color w:val="231F20"/>
          <w:spacing w:val="-6"/>
        </w:rPr>
        <w:t> </w:t>
      </w:r>
      <w:r>
        <w:rPr>
          <w:color w:val="231F20"/>
        </w:rPr>
        <w:t>fonctionnaires</w:t>
      </w:r>
      <w:r>
        <w:rPr>
          <w:color w:val="231F20"/>
          <w:spacing w:val="-8"/>
        </w:rPr>
        <w:t> </w:t>
      </w:r>
      <w:r>
        <w:rPr>
          <w:color w:val="231F20"/>
        </w:rPr>
        <w:t>sont</w:t>
      </w:r>
      <w:r>
        <w:rPr>
          <w:color w:val="231F20"/>
          <w:spacing w:val="-5"/>
        </w:rPr>
        <w:t> </w:t>
      </w:r>
      <w:r>
        <w:rPr>
          <w:color w:val="231F20"/>
        </w:rPr>
        <w:t>expulsés</w:t>
      </w:r>
      <w:r>
        <w:rPr>
          <w:color w:val="231F20"/>
          <w:spacing w:val="-10"/>
        </w:rPr>
        <w:t> </w:t>
      </w:r>
      <w:r>
        <w:rPr>
          <w:color w:val="231F20"/>
        </w:rPr>
        <w:t>du</w:t>
      </w:r>
      <w:r>
        <w:rPr>
          <w:color w:val="231F20"/>
          <w:spacing w:val="-6"/>
        </w:rPr>
        <w:t> </w:t>
      </w:r>
      <w:r>
        <w:rPr>
          <w:color w:val="231F20"/>
        </w:rPr>
        <w:t>Niger.</w:t>
      </w:r>
    </w:p>
    <w:p>
      <w:pPr>
        <w:pStyle w:val="BodyText"/>
        <w:spacing w:before="121"/>
        <w:ind w:right="106" w:firstLine="283"/>
      </w:pPr>
      <w:r>
        <w:rPr>
          <w:color w:val="231F20"/>
          <w:spacing w:val="-4"/>
        </w:rPr>
        <w:t>En</w:t>
      </w:r>
      <w:r>
        <w:rPr>
          <w:color w:val="231F20"/>
          <w:spacing w:val="-7"/>
        </w:rPr>
        <w:t> </w:t>
      </w:r>
      <w:r>
        <w:rPr>
          <w:color w:val="231F20"/>
          <w:spacing w:val="-4"/>
        </w:rPr>
        <w:t>1968,</w:t>
      </w:r>
      <w:r>
        <w:rPr>
          <w:color w:val="231F20"/>
          <w:spacing w:val="-7"/>
        </w:rPr>
        <w:t> </w:t>
      </w:r>
      <w:r>
        <w:rPr>
          <w:color w:val="231F20"/>
          <w:spacing w:val="-4"/>
        </w:rPr>
        <w:t>la</w:t>
      </w:r>
      <w:r>
        <w:rPr>
          <w:color w:val="231F20"/>
          <w:spacing w:val="-7"/>
        </w:rPr>
        <w:t> </w:t>
      </w:r>
      <w:r>
        <w:rPr>
          <w:color w:val="231F20"/>
          <w:spacing w:val="-4"/>
        </w:rPr>
        <w:t>Mauritanie</w:t>
      </w:r>
      <w:r>
        <w:rPr>
          <w:color w:val="231F20"/>
          <w:spacing w:val="-7"/>
        </w:rPr>
        <w:t> </w:t>
      </w:r>
      <w:r>
        <w:rPr>
          <w:color w:val="231F20"/>
          <w:spacing w:val="-4"/>
        </w:rPr>
        <w:t>et</w:t>
      </w:r>
      <w:r>
        <w:rPr>
          <w:color w:val="231F20"/>
          <w:spacing w:val="-10"/>
        </w:rPr>
        <w:t> </w:t>
      </w:r>
      <w:r>
        <w:rPr>
          <w:color w:val="231F20"/>
          <w:spacing w:val="-4"/>
        </w:rPr>
        <w:t>le</w:t>
      </w:r>
      <w:r>
        <w:rPr>
          <w:color w:val="231F20"/>
          <w:spacing w:val="-7"/>
        </w:rPr>
        <w:t> </w:t>
      </w:r>
      <w:r>
        <w:rPr>
          <w:color w:val="231F20"/>
          <w:spacing w:val="-4"/>
        </w:rPr>
        <w:t>Sénégal</w:t>
      </w:r>
      <w:r>
        <w:rPr>
          <w:color w:val="231F20"/>
          <w:spacing w:val="-7"/>
        </w:rPr>
        <w:t> </w:t>
      </w:r>
      <w:r>
        <w:rPr>
          <w:color w:val="231F20"/>
          <w:spacing w:val="-4"/>
        </w:rPr>
        <w:t>ferment</w:t>
      </w:r>
      <w:r>
        <w:rPr>
          <w:color w:val="231F20"/>
          <w:spacing w:val="-7"/>
        </w:rPr>
        <w:t> </w:t>
      </w:r>
      <w:r>
        <w:rPr>
          <w:color w:val="231F20"/>
          <w:spacing w:val="-4"/>
        </w:rPr>
        <w:t>aux</w:t>
      </w:r>
      <w:r>
        <w:rPr>
          <w:color w:val="231F20"/>
          <w:spacing w:val="-7"/>
        </w:rPr>
        <w:t> </w:t>
      </w:r>
      <w:r>
        <w:rPr>
          <w:color w:val="231F20"/>
          <w:spacing w:val="-4"/>
        </w:rPr>
        <w:t>populations</w:t>
      </w:r>
      <w:r>
        <w:rPr>
          <w:color w:val="231F20"/>
          <w:spacing w:val="-6"/>
        </w:rPr>
        <w:t> </w:t>
      </w:r>
      <w:r>
        <w:rPr>
          <w:color w:val="231F20"/>
          <w:spacing w:val="-4"/>
        </w:rPr>
        <w:t>des</w:t>
      </w:r>
      <w:r>
        <w:rPr>
          <w:color w:val="231F20"/>
          <w:spacing w:val="-6"/>
        </w:rPr>
        <w:t> </w:t>
      </w:r>
      <w:r>
        <w:rPr>
          <w:color w:val="231F20"/>
          <w:spacing w:val="-4"/>
        </w:rPr>
        <w:t>deux </w:t>
      </w:r>
      <w:r>
        <w:rPr>
          <w:color w:val="231F20"/>
        </w:rPr>
        <w:t>rives, la traversée du fleuve Sénégal à la suite du</w:t>
      </w:r>
      <w:r>
        <w:rPr>
          <w:color w:val="231F20"/>
          <w:spacing w:val="-2"/>
        </w:rPr>
        <w:t> </w:t>
      </w:r>
      <w:r>
        <w:rPr>
          <w:color w:val="231F20"/>
        </w:rPr>
        <w:t>conflit entre les deux pays. Ce conflit fixe le fleuve comme une frontière et une ligne de </w:t>
      </w:r>
      <w:r>
        <w:rPr>
          <w:color w:val="231F20"/>
          <w:spacing w:val="-4"/>
        </w:rPr>
        <w:t>démarcation</w:t>
      </w:r>
      <w:r>
        <w:rPr>
          <w:color w:val="231F20"/>
          <w:spacing w:val="-7"/>
        </w:rPr>
        <w:t> </w:t>
      </w:r>
      <w:r>
        <w:rPr>
          <w:color w:val="231F20"/>
          <w:spacing w:val="-4"/>
        </w:rPr>
        <w:t>ethnique</w:t>
      </w:r>
      <w:r>
        <w:rPr>
          <w:color w:val="231F20"/>
          <w:spacing w:val="-7"/>
        </w:rPr>
        <w:t> </w:t>
      </w:r>
      <w:r>
        <w:rPr>
          <w:color w:val="231F20"/>
          <w:spacing w:val="-4"/>
        </w:rPr>
        <w:t>entre</w:t>
      </w:r>
      <w:r>
        <w:rPr>
          <w:color w:val="231F20"/>
          <w:spacing w:val="-7"/>
        </w:rPr>
        <w:t> </w:t>
      </w:r>
      <w:r>
        <w:rPr>
          <w:color w:val="231F20"/>
          <w:spacing w:val="-4"/>
        </w:rPr>
        <w:t>les</w:t>
      </w:r>
      <w:r>
        <w:rPr>
          <w:color w:val="231F20"/>
          <w:spacing w:val="-9"/>
        </w:rPr>
        <w:t> </w:t>
      </w:r>
      <w:r>
        <w:rPr>
          <w:color w:val="231F20"/>
          <w:spacing w:val="-4"/>
        </w:rPr>
        <w:t>Maures</w:t>
      </w:r>
      <w:r>
        <w:rPr>
          <w:color w:val="231F20"/>
          <w:spacing w:val="-9"/>
        </w:rPr>
        <w:t> </w:t>
      </w:r>
      <w:r>
        <w:rPr>
          <w:color w:val="231F20"/>
          <w:spacing w:val="-4"/>
        </w:rPr>
        <w:t>et</w:t>
      </w:r>
      <w:r>
        <w:rPr>
          <w:color w:val="231F20"/>
          <w:spacing w:val="-8"/>
        </w:rPr>
        <w:t> </w:t>
      </w:r>
      <w:r>
        <w:rPr>
          <w:color w:val="231F20"/>
          <w:spacing w:val="-4"/>
        </w:rPr>
        <w:t>les</w:t>
      </w:r>
      <w:r>
        <w:rPr>
          <w:color w:val="231F20"/>
          <w:spacing w:val="-9"/>
        </w:rPr>
        <w:t> </w:t>
      </w:r>
      <w:r>
        <w:rPr>
          <w:color w:val="231F20"/>
          <w:spacing w:val="-4"/>
        </w:rPr>
        <w:t>autres</w:t>
      </w:r>
      <w:r>
        <w:rPr>
          <w:color w:val="231F20"/>
          <w:spacing w:val="-9"/>
        </w:rPr>
        <w:t> </w:t>
      </w:r>
      <w:r>
        <w:rPr>
          <w:color w:val="231F20"/>
          <w:spacing w:val="-4"/>
        </w:rPr>
        <w:t>populations</w:t>
      </w:r>
      <w:r>
        <w:rPr>
          <w:color w:val="231F20"/>
          <w:spacing w:val="-8"/>
        </w:rPr>
        <w:t> </w:t>
      </w:r>
      <w:r>
        <w:rPr>
          <w:color w:val="231F20"/>
          <w:spacing w:val="-4"/>
        </w:rPr>
        <w:t>noires</w:t>
      </w:r>
      <w:r>
        <w:rPr>
          <w:color w:val="231F20"/>
          <w:spacing w:val="-7"/>
        </w:rPr>
        <w:t> </w:t>
      </w:r>
      <w:r>
        <w:rPr>
          <w:color w:val="231F20"/>
          <w:spacing w:val="-4"/>
        </w:rPr>
        <w:t>qui </w:t>
      </w:r>
      <w:r>
        <w:rPr>
          <w:color w:val="231F20"/>
        </w:rPr>
        <w:t>sont refoulées au Sénégal.</w:t>
      </w:r>
    </w:p>
    <w:p>
      <w:pPr>
        <w:pStyle w:val="BodyText"/>
        <w:spacing w:before="120"/>
        <w:ind w:right="105" w:firstLine="283"/>
      </w:pPr>
      <w:r>
        <w:rPr>
          <w:color w:val="231F20"/>
          <w:spacing w:val="-2"/>
        </w:rPr>
        <w:t>En</w:t>
      </w:r>
      <w:r>
        <w:rPr>
          <w:color w:val="231F20"/>
          <w:spacing w:val="-15"/>
        </w:rPr>
        <w:t> </w:t>
      </w:r>
      <w:r>
        <w:rPr>
          <w:color w:val="231F20"/>
          <w:spacing w:val="-2"/>
        </w:rPr>
        <w:t>Afrique</w:t>
      </w:r>
      <w:r>
        <w:rPr>
          <w:color w:val="231F20"/>
          <w:spacing w:val="-13"/>
        </w:rPr>
        <w:t> </w:t>
      </w:r>
      <w:r>
        <w:rPr>
          <w:color w:val="231F20"/>
          <w:spacing w:val="-2"/>
        </w:rPr>
        <w:t>Equatoriale,</w:t>
      </w:r>
      <w:r>
        <w:rPr>
          <w:color w:val="231F20"/>
          <w:spacing w:val="-13"/>
        </w:rPr>
        <w:t> </w:t>
      </w:r>
      <w:r>
        <w:rPr>
          <w:color w:val="231F20"/>
          <w:spacing w:val="-2"/>
        </w:rPr>
        <w:t>la</w:t>
      </w:r>
      <w:r>
        <w:rPr>
          <w:color w:val="231F20"/>
          <w:spacing w:val="-13"/>
        </w:rPr>
        <w:t> </w:t>
      </w:r>
      <w:r>
        <w:rPr>
          <w:color w:val="231F20"/>
          <w:spacing w:val="-2"/>
        </w:rPr>
        <w:t>péninsule</w:t>
      </w:r>
      <w:r>
        <w:rPr>
          <w:color w:val="231F20"/>
          <w:spacing w:val="-13"/>
        </w:rPr>
        <w:t> </w:t>
      </w:r>
      <w:r>
        <w:rPr>
          <w:color w:val="231F20"/>
          <w:spacing w:val="-2"/>
        </w:rPr>
        <w:t>de</w:t>
      </w:r>
      <w:r>
        <w:rPr>
          <w:color w:val="231F20"/>
          <w:spacing w:val="-13"/>
        </w:rPr>
        <w:t> </w:t>
      </w:r>
      <w:r>
        <w:rPr>
          <w:color w:val="231F20"/>
          <w:spacing w:val="-2"/>
        </w:rPr>
        <w:t>Bakassi</w:t>
      </w:r>
      <w:r>
        <w:rPr>
          <w:color w:val="231F20"/>
          <w:spacing w:val="-13"/>
        </w:rPr>
        <w:t> </w:t>
      </w:r>
      <w:r>
        <w:rPr>
          <w:color w:val="231F20"/>
          <w:spacing w:val="-2"/>
        </w:rPr>
        <w:t>crée</w:t>
      </w:r>
      <w:r>
        <w:rPr>
          <w:color w:val="231F20"/>
          <w:spacing w:val="-13"/>
        </w:rPr>
        <w:t> </w:t>
      </w:r>
      <w:r>
        <w:rPr>
          <w:color w:val="231F20"/>
          <w:spacing w:val="-2"/>
        </w:rPr>
        <w:t>de</w:t>
      </w:r>
      <w:r>
        <w:rPr>
          <w:color w:val="231F20"/>
          <w:spacing w:val="-13"/>
        </w:rPr>
        <w:t> </w:t>
      </w:r>
      <w:r>
        <w:rPr>
          <w:color w:val="231F20"/>
          <w:spacing w:val="-2"/>
        </w:rPr>
        <w:t>vives</w:t>
      </w:r>
      <w:r>
        <w:rPr>
          <w:color w:val="231F20"/>
          <w:spacing w:val="-13"/>
        </w:rPr>
        <w:t> </w:t>
      </w:r>
      <w:r>
        <w:rPr>
          <w:color w:val="231F20"/>
          <w:spacing w:val="-2"/>
        </w:rPr>
        <w:t>tensions </w:t>
      </w:r>
      <w:r>
        <w:rPr>
          <w:color w:val="231F20"/>
        </w:rPr>
        <w:t>en</w:t>
      </w:r>
      <w:r>
        <w:rPr>
          <w:color w:val="231F20"/>
          <w:spacing w:val="-10"/>
        </w:rPr>
        <w:t> </w:t>
      </w:r>
      <w:r>
        <w:rPr>
          <w:color w:val="231F20"/>
        </w:rPr>
        <w:t>février</w:t>
      </w:r>
      <w:r>
        <w:rPr>
          <w:color w:val="231F20"/>
          <w:spacing w:val="-10"/>
        </w:rPr>
        <w:t> </w:t>
      </w:r>
      <w:r>
        <w:rPr>
          <w:color w:val="231F20"/>
        </w:rPr>
        <w:t>1994,</w:t>
      </w:r>
      <w:r>
        <w:rPr>
          <w:color w:val="231F20"/>
          <w:spacing w:val="-10"/>
        </w:rPr>
        <w:t> </w:t>
      </w:r>
      <w:r>
        <w:rPr>
          <w:color w:val="231F20"/>
        </w:rPr>
        <w:t>entre</w:t>
      </w:r>
      <w:r>
        <w:rPr>
          <w:color w:val="231F20"/>
          <w:spacing w:val="-10"/>
        </w:rPr>
        <w:t> </w:t>
      </w:r>
      <w:r>
        <w:rPr>
          <w:color w:val="231F20"/>
        </w:rPr>
        <w:t>le</w:t>
      </w:r>
      <w:r>
        <w:rPr>
          <w:color w:val="231F20"/>
          <w:spacing w:val="-12"/>
        </w:rPr>
        <w:t> </w:t>
      </w:r>
      <w:r>
        <w:rPr>
          <w:color w:val="231F20"/>
        </w:rPr>
        <w:t>Cameroun</w:t>
      </w:r>
      <w:r>
        <w:rPr>
          <w:color w:val="231F20"/>
          <w:spacing w:val="-12"/>
        </w:rPr>
        <w:t> </w:t>
      </w:r>
      <w:r>
        <w:rPr>
          <w:color w:val="231F20"/>
        </w:rPr>
        <w:t>et</w:t>
      </w:r>
      <w:r>
        <w:rPr>
          <w:color w:val="231F20"/>
          <w:spacing w:val="-12"/>
        </w:rPr>
        <w:t> </w:t>
      </w:r>
      <w:r>
        <w:rPr>
          <w:color w:val="231F20"/>
        </w:rPr>
        <w:t>le</w:t>
      </w:r>
      <w:r>
        <w:rPr>
          <w:color w:val="231F20"/>
          <w:spacing w:val="-10"/>
        </w:rPr>
        <w:t> </w:t>
      </w:r>
      <w:r>
        <w:rPr>
          <w:color w:val="231F20"/>
        </w:rPr>
        <w:t>Nigéria.</w:t>
      </w:r>
      <w:r>
        <w:rPr>
          <w:color w:val="231F20"/>
          <w:spacing w:val="-12"/>
        </w:rPr>
        <w:t> </w:t>
      </w:r>
      <w:r>
        <w:rPr>
          <w:color w:val="231F20"/>
        </w:rPr>
        <w:t>Bakassi</w:t>
      </w:r>
      <w:r>
        <w:rPr>
          <w:color w:val="231F20"/>
          <w:spacing w:val="-10"/>
        </w:rPr>
        <w:t> </w:t>
      </w:r>
      <w:r>
        <w:rPr>
          <w:color w:val="231F20"/>
        </w:rPr>
        <w:t>est</w:t>
      </w:r>
      <w:r>
        <w:rPr>
          <w:color w:val="231F20"/>
          <w:spacing w:val="-11"/>
        </w:rPr>
        <w:t> </w:t>
      </w:r>
      <w:r>
        <w:rPr>
          <w:color w:val="231F20"/>
        </w:rPr>
        <w:t>l'extension </w:t>
      </w:r>
      <w:r>
        <w:rPr>
          <w:color w:val="231F20"/>
          <w:spacing w:val="-2"/>
        </w:rPr>
        <w:t>de</w:t>
      </w:r>
      <w:r>
        <w:rPr>
          <w:color w:val="231F20"/>
          <w:spacing w:val="-15"/>
        </w:rPr>
        <w:t> </w:t>
      </w:r>
      <w:r>
        <w:rPr>
          <w:color w:val="231F20"/>
          <w:spacing w:val="-2"/>
        </w:rPr>
        <w:t>la</w:t>
      </w:r>
      <w:r>
        <w:rPr>
          <w:color w:val="231F20"/>
          <w:spacing w:val="-13"/>
        </w:rPr>
        <w:t> </w:t>
      </w:r>
      <w:r>
        <w:rPr>
          <w:color w:val="231F20"/>
          <w:spacing w:val="-2"/>
        </w:rPr>
        <w:t>péninsule</w:t>
      </w:r>
      <w:r>
        <w:rPr>
          <w:color w:val="231F20"/>
          <w:spacing w:val="-13"/>
        </w:rPr>
        <w:t> </w:t>
      </w:r>
      <w:r>
        <w:rPr>
          <w:color w:val="231F20"/>
          <w:spacing w:val="-2"/>
        </w:rPr>
        <w:t>de</w:t>
      </w:r>
      <w:r>
        <w:rPr>
          <w:color w:val="231F20"/>
          <w:spacing w:val="-13"/>
        </w:rPr>
        <w:t> </w:t>
      </w:r>
      <w:r>
        <w:rPr>
          <w:color w:val="231F20"/>
          <w:spacing w:val="-2"/>
        </w:rPr>
        <w:t>Calabar</w:t>
      </w:r>
      <w:r>
        <w:rPr>
          <w:color w:val="231F20"/>
          <w:spacing w:val="-13"/>
        </w:rPr>
        <w:t> </w:t>
      </w:r>
      <w:r>
        <w:rPr>
          <w:color w:val="231F20"/>
          <w:spacing w:val="-2"/>
        </w:rPr>
        <w:t>dans</w:t>
      </w:r>
      <w:r>
        <w:rPr>
          <w:color w:val="231F20"/>
          <w:spacing w:val="-13"/>
        </w:rPr>
        <w:t> </w:t>
      </w:r>
      <w:r>
        <w:rPr>
          <w:color w:val="231F20"/>
          <w:spacing w:val="-2"/>
        </w:rPr>
        <w:t>le</w:t>
      </w:r>
      <w:r>
        <w:rPr>
          <w:color w:val="231F20"/>
          <w:spacing w:val="-13"/>
        </w:rPr>
        <w:t> </w:t>
      </w:r>
      <w:r>
        <w:rPr>
          <w:color w:val="231F20"/>
          <w:spacing w:val="-2"/>
        </w:rPr>
        <w:t>Golfe</w:t>
      </w:r>
      <w:r>
        <w:rPr>
          <w:color w:val="231F20"/>
          <w:spacing w:val="-13"/>
        </w:rPr>
        <w:t> </w:t>
      </w:r>
      <w:r>
        <w:rPr>
          <w:color w:val="231F20"/>
          <w:spacing w:val="-2"/>
        </w:rPr>
        <w:t>de</w:t>
      </w:r>
      <w:r>
        <w:rPr>
          <w:color w:val="231F20"/>
          <w:spacing w:val="-13"/>
        </w:rPr>
        <w:t> </w:t>
      </w:r>
      <w:r>
        <w:rPr>
          <w:color w:val="231F20"/>
          <w:spacing w:val="-2"/>
        </w:rPr>
        <w:t>Guinée.</w:t>
      </w:r>
      <w:r>
        <w:rPr>
          <w:color w:val="231F20"/>
          <w:spacing w:val="-13"/>
        </w:rPr>
        <w:t> </w:t>
      </w:r>
      <w:r>
        <w:rPr>
          <w:color w:val="231F20"/>
          <w:spacing w:val="-2"/>
        </w:rPr>
        <w:t>Ce</w:t>
      </w:r>
      <w:r>
        <w:rPr>
          <w:color w:val="231F20"/>
          <w:spacing w:val="-13"/>
        </w:rPr>
        <w:t> </w:t>
      </w:r>
      <w:r>
        <w:rPr>
          <w:color w:val="231F20"/>
          <w:spacing w:val="-2"/>
        </w:rPr>
        <w:t>territoire</w:t>
      </w:r>
      <w:r>
        <w:rPr>
          <w:color w:val="231F20"/>
          <w:spacing w:val="-13"/>
        </w:rPr>
        <w:t> </w:t>
      </w:r>
      <w:r>
        <w:rPr>
          <w:color w:val="231F20"/>
          <w:spacing w:val="-2"/>
        </w:rPr>
        <w:t>de</w:t>
      </w:r>
      <w:r>
        <w:rPr>
          <w:color w:val="231F20"/>
          <w:spacing w:val="-13"/>
        </w:rPr>
        <w:t> </w:t>
      </w:r>
      <w:r>
        <w:rPr>
          <w:color w:val="231F20"/>
          <w:spacing w:val="-2"/>
        </w:rPr>
        <w:t>1</w:t>
      </w:r>
      <w:r>
        <w:rPr>
          <w:color w:val="231F20"/>
          <w:spacing w:val="-13"/>
        </w:rPr>
        <w:t> </w:t>
      </w:r>
      <w:r>
        <w:rPr>
          <w:color w:val="231F20"/>
          <w:spacing w:val="-2"/>
        </w:rPr>
        <w:t>000 </w:t>
      </w:r>
      <w:r>
        <w:rPr>
          <w:color w:val="231F20"/>
        </w:rPr>
        <w:t>km²</w:t>
      </w:r>
      <w:r>
        <w:rPr>
          <w:color w:val="231F20"/>
          <w:spacing w:val="-4"/>
        </w:rPr>
        <w:t> </w:t>
      </w:r>
      <w:r>
        <w:rPr>
          <w:color w:val="231F20"/>
        </w:rPr>
        <w:t>est</w:t>
      </w:r>
      <w:r>
        <w:rPr>
          <w:color w:val="231F20"/>
          <w:spacing w:val="-4"/>
        </w:rPr>
        <w:t> </w:t>
      </w:r>
      <w:r>
        <w:rPr>
          <w:color w:val="231F20"/>
        </w:rPr>
        <w:t>situé</w:t>
      </w:r>
      <w:r>
        <w:rPr>
          <w:color w:val="231F20"/>
          <w:spacing w:val="-4"/>
        </w:rPr>
        <w:t> </w:t>
      </w:r>
      <w:r>
        <w:rPr>
          <w:color w:val="231F20"/>
        </w:rPr>
        <w:t>à</w:t>
      </w:r>
      <w:r>
        <w:rPr>
          <w:color w:val="231F20"/>
          <w:spacing w:val="-4"/>
        </w:rPr>
        <w:t> </w:t>
      </w:r>
      <w:r>
        <w:rPr>
          <w:color w:val="231F20"/>
        </w:rPr>
        <w:t>la</w:t>
      </w:r>
      <w:r>
        <w:rPr>
          <w:color w:val="231F20"/>
          <w:spacing w:val="-4"/>
        </w:rPr>
        <w:t> </w:t>
      </w:r>
      <w:r>
        <w:rPr>
          <w:color w:val="231F20"/>
        </w:rPr>
        <w:t>frontière</w:t>
      </w:r>
      <w:r>
        <w:rPr>
          <w:color w:val="231F20"/>
          <w:spacing w:val="-4"/>
        </w:rPr>
        <w:t> </w:t>
      </w:r>
      <w:r>
        <w:rPr>
          <w:color w:val="231F20"/>
        </w:rPr>
        <w:t>entre</w:t>
      </w:r>
      <w:r>
        <w:rPr>
          <w:color w:val="231F20"/>
          <w:spacing w:val="-4"/>
        </w:rPr>
        <w:t> </w:t>
      </w:r>
      <w:r>
        <w:rPr>
          <w:color w:val="231F20"/>
        </w:rPr>
        <w:t>le</w:t>
      </w:r>
      <w:r>
        <w:rPr>
          <w:color w:val="231F20"/>
          <w:spacing w:val="-4"/>
        </w:rPr>
        <w:t> </w:t>
      </w:r>
      <w:r>
        <w:rPr>
          <w:color w:val="231F20"/>
        </w:rPr>
        <w:t>Nigeria</w:t>
      </w:r>
      <w:r>
        <w:rPr>
          <w:color w:val="231F20"/>
          <w:spacing w:val="-7"/>
        </w:rPr>
        <w:t> </w:t>
      </w:r>
      <w:r>
        <w:rPr>
          <w:color w:val="231F20"/>
        </w:rPr>
        <w:t>et</w:t>
      </w:r>
      <w:r>
        <w:rPr>
          <w:color w:val="231F20"/>
          <w:spacing w:val="-6"/>
        </w:rPr>
        <w:t> </w:t>
      </w:r>
      <w:r>
        <w:rPr>
          <w:color w:val="231F20"/>
        </w:rPr>
        <w:t>le</w:t>
      </w:r>
      <w:r>
        <w:rPr>
          <w:color w:val="231F20"/>
          <w:spacing w:val="-4"/>
        </w:rPr>
        <w:t> </w:t>
      </w:r>
      <w:r>
        <w:rPr>
          <w:color w:val="231F20"/>
        </w:rPr>
        <w:t>Cameroun.</w:t>
      </w:r>
    </w:p>
    <w:p>
      <w:pPr>
        <w:pStyle w:val="BodyText"/>
        <w:spacing w:before="120"/>
        <w:ind w:right="107" w:firstLine="283"/>
      </w:pPr>
      <w:r>
        <w:rPr>
          <w:color w:val="231F20"/>
        </w:rPr>
        <w:t>Le</w:t>
      </w:r>
      <w:r>
        <w:rPr>
          <w:color w:val="231F20"/>
          <w:spacing w:val="-12"/>
        </w:rPr>
        <w:t> </w:t>
      </w:r>
      <w:r>
        <w:rPr>
          <w:color w:val="231F20"/>
        </w:rPr>
        <w:t>Gabon</w:t>
      </w:r>
      <w:r>
        <w:rPr>
          <w:color w:val="231F20"/>
          <w:spacing w:val="-13"/>
        </w:rPr>
        <w:t> </w:t>
      </w:r>
      <w:r>
        <w:rPr>
          <w:color w:val="231F20"/>
        </w:rPr>
        <w:t>et</w:t>
      </w:r>
      <w:r>
        <w:rPr>
          <w:color w:val="231F20"/>
          <w:spacing w:val="-13"/>
        </w:rPr>
        <w:t> </w:t>
      </w:r>
      <w:r>
        <w:rPr>
          <w:color w:val="231F20"/>
        </w:rPr>
        <w:t>la</w:t>
      </w:r>
      <w:r>
        <w:rPr>
          <w:color w:val="231F20"/>
          <w:spacing w:val="-14"/>
        </w:rPr>
        <w:t> </w:t>
      </w:r>
      <w:r>
        <w:rPr>
          <w:color w:val="231F20"/>
        </w:rPr>
        <w:t>Guinée</w:t>
      </w:r>
      <w:r>
        <w:rPr>
          <w:color w:val="231F20"/>
          <w:spacing w:val="-12"/>
        </w:rPr>
        <w:t> </w:t>
      </w:r>
      <w:r>
        <w:rPr>
          <w:color w:val="231F20"/>
        </w:rPr>
        <w:t>Equatoriale</w:t>
      </w:r>
      <w:r>
        <w:rPr>
          <w:color w:val="231F20"/>
          <w:spacing w:val="-14"/>
        </w:rPr>
        <w:t> </w:t>
      </w:r>
      <w:r>
        <w:rPr>
          <w:color w:val="231F20"/>
        </w:rPr>
        <w:t>se</w:t>
      </w:r>
      <w:r>
        <w:rPr>
          <w:color w:val="231F20"/>
          <w:spacing w:val="-13"/>
        </w:rPr>
        <w:t> </w:t>
      </w:r>
      <w:r>
        <w:rPr>
          <w:color w:val="231F20"/>
        </w:rPr>
        <w:t>disputent</w:t>
      </w:r>
      <w:r>
        <w:rPr>
          <w:color w:val="231F20"/>
          <w:spacing w:val="-11"/>
        </w:rPr>
        <w:t> </w:t>
      </w:r>
      <w:r>
        <w:rPr>
          <w:color w:val="231F20"/>
        </w:rPr>
        <w:t>depuis</w:t>
      </w:r>
      <w:r>
        <w:rPr>
          <w:color w:val="231F20"/>
          <w:spacing w:val="-13"/>
        </w:rPr>
        <w:t> </w:t>
      </w:r>
      <w:r>
        <w:rPr>
          <w:color w:val="231F20"/>
        </w:rPr>
        <w:t>les</w:t>
      </w:r>
      <w:r>
        <w:rPr>
          <w:color w:val="231F20"/>
          <w:spacing w:val="-12"/>
        </w:rPr>
        <w:t> </w:t>
      </w:r>
      <w:r>
        <w:rPr>
          <w:color w:val="231F20"/>
        </w:rPr>
        <w:t>années</w:t>
      </w:r>
      <w:r>
        <w:rPr>
          <w:color w:val="231F20"/>
          <w:spacing w:val="-13"/>
        </w:rPr>
        <w:t> </w:t>
      </w:r>
      <w:r>
        <w:rPr>
          <w:color w:val="231F20"/>
        </w:rPr>
        <w:t>70, </w:t>
      </w:r>
      <w:r>
        <w:rPr>
          <w:color w:val="231F20"/>
          <w:spacing w:val="-4"/>
        </w:rPr>
        <w:t>la</w:t>
      </w:r>
      <w:r>
        <w:rPr>
          <w:color w:val="231F20"/>
          <w:spacing w:val="-9"/>
        </w:rPr>
        <w:t> </w:t>
      </w:r>
      <w:r>
        <w:rPr>
          <w:color w:val="231F20"/>
          <w:spacing w:val="-4"/>
        </w:rPr>
        <w:t>souveraineté</w:t>
      </w:r>
      <w:r>
        <w:rPr>
          <w:color w:val="231F20"/>
          <w:spacing w:val="-10"/>
        </w:rPr>
        <w:t> </w:t>
      </w:r>
      <w:r>
        <w:rPr>
          <w:color w:val="231F20"/>
          <w:spacing w:val="-4"/>
        </w:rPr>
        <w:t>sur</w:t>
      </w:r>
      <w:r>
        <w:rPr>
          <w:color w:val="231F20"/>
          <w:spacing w:val="-12"/>
        </w:rPr>
        <w:t> </w:t>
      </w:r>
      <w:r>
        <w:rPr>
          <w:color w:val="231F20"/>
          <w:spacing w:val="-4"/>
        </w:rPr>
        <w:t>Mbanié,</w:t>
      </w:r>
      <w:r>
        <w:rPr>
          <w:color w:val="231F20"/>
          <w:spacing w:val="-8"/>
        </w:rPr>
        <w:t> </w:t>
      </w:r>
      <w:r>
        <w:rPr>
          <w:color w:val="231F20"/>
          <w:spacing w:val="-4"/>
        </w:rPr>
        <w:t>Cocotiers</w:t>
      </w:r>
      <w:r>
        <w:rPr>
          <w:color w:val="231F20"/>
          <w:spacing w:val="-8"/>
        </w:rPr>
        <w:t> </w:t>
      </w:r>
      <w:r>
        <w:rPr>
          <w:color w:val="231F20"/>
          <w:spacing w:val="-4"/>
        </w:rPr>
        <w:t>et</w:t>
      </w:r>
      <w:r>
        <w:rPr>
          <w:color w:val="231F20"/>
          <w:spacing w:val="-10"/>
        </w:rPr>
        <w:t> </w:t>
      </w:r>
      <w:r>
        <w:rPr>
          <w:color w:val="231F20"/>
          <w:spacing w:val="-4"/>
        </w:rPr>
        <w:t>Conga,</w:t>
      </w:r>
      <w:r>
        <w:rPr>
          <w:color w:val="231F20"/>
          <w:spacing w:val="-12"/>
        </w:rPr>
        <w:t> </w:t>
      </w:r>
      <w:r>
        <w:rPr>
          <w:color w:val="231F20"/>
          <w:spacing w:val="-4"/>
        </w:rPr>
        <w:t>trois</w:t>
      </w:r>
      <w:r>
        <w:rPr>
          <w:color w:val="231F20"/>
          <w:spacing w:val="-8"/>
        </w:rPr>
        <w:t> </w:t>
      </w:r>
      <w:r>
        <w:rPr>
          <w:color w:val="231F20"/>
          <w:spacing w:val="-4"/>
        </w:rPr>
        <w:t>îlots</w:t>
      </w:r>
      <w:r>
        <w:rPr>
          <w:color w:val="231F20"/>
          <w:spacing w:val="-10"/>
        </w:rPr>
        <w:t> </w:t>
      </w:r>
      <w:r>
        <w:rPr>
          <w:color w:val="231F20"/>
          <w:spacing w:val="-4"/>
        </w:rPr>
        <w:t>supposés</w:t>
      </w:r>
      <w:r>
        <w:rPr>
          <w:color w:val="231F20"/>
          <w:spacing w:val="-10"/>
        </w:rPr>
        <w:t> </w:t>
      </w:r>
      <w:r>
        <w:rPr>
          <w:color w:val="231F20"/>
          <w:spacing w:val="-4"/>
        </w:rPr>
        <w:t>riches</w:t>
      </w:r>
    </w:p>
    <w:p>
      <w:pPr>
        <w:spacing w:after="0"/>
        <w:sectPr>
          <w:pgSz w:w="8790" w:h="13610"/>
          <w:pgMar w:header="0" w:footer="802" w:top="1060" w:bottom="1000" w:left="880" w:right="880"/>
        </w:sectPr>
      </w:pPr>
    </w:p>
    <w:p>
      <w:pPr>
        <w:pStyle w:val="BodyText"/>
        <w:spacing w:before="66"/>
        <w:ind w:right="106"/>
      </w:pPr>
      <w:r>
        <w:rPr>
          <w:color w:val="231F20"/>
        </w:rPr>
        <w:t>en pétrole situés dans le Golfe de Guinée, un héritage de la période coloniale</w:t>
      </w:r>
      <w:r>
        <w:rPr>
          <w:color w:val="231F20"/>
          <w:spacing w:val="-14"/>
        </w:rPr>
        <w:t> </w:t>
      </w:r>
      <w:r>
        <w:rPr>
          <w:color w:val="231F20"/>
        </w:rPr>
        <w:t>: la France et l'Espagne avaient signé le 23 juin 1900, une convention délimitant leurs possessions dans le Golfe de Guinée. </w:t>
      </w:r>
      <w:r>
        <w:rPr>
          <w:color w:val="231F20"/>
          <w:spacing w:val="-4"/>
        </w:rPr>
        <w:t>Cependant,</w:t>
      </w:r>
      <w:r>
        <w:rPr>
          <w:color w:val="231F20"/>
          <w:spacing w:val="-9"/>
        </w:rPr>
        <w:t> </w:t>
      </w:r>
      <w:r>
        <w:rPr>
          <w:color w:val="231F20"/>
          <w:spacing w:val="-4"/>
        </w:rPr>
        <w:t>ladite</w:t>
      </w:r>
      <w:r>
        <w:rPr>
          <w:color w:val="231F20"/>
          <w:spacing w:val="-6"/>
        </w:rPr>
        <w:t> </w:t>
      </w:r>
      <w:r>
        <w:rPr>
          <w:color w:val="231F20"/>
          <w:spacing w:val="-4"/>
        </w:rPr>
        <w:t>convention</w:t>
      </w:r>
      <w:r>
        <w:rPr>
          <w:color w:val="231F20"/>
          <w:spacing w:val="-9"/>
        </w:rPr>
        <w:t> </w:t>
      </w:r>
      <w:r>
        <w:rPr>
          <w:color w:val="231F20"/>
          <w:spacing w:val="-4"/>
        </w:rPr>
        <w:t>ne</w:t>
      </w:r>
      <w:r>
        <w:rPr>
          <w:color w:val="231F20"/>
          <w:spacing w:val="-9"/>
        </w:rPr>
        <w:t> </w:t>
      </w:r>
      <w:r>
        <w:rPr>
          <w:color w:val="231F20"/>
          <w:spacing w:val="-4"/>
        </w:rPr>
        <w:t>statuait</w:t>
      </w:r>
      <w:r>
        <w:rPr>
          <w:color w:val="231F20"/>
          <w:spacing w:val="-7"/>
        </w:rPr>
        <w:t> </w:t>
      </w:r>
      <w:r>
        <w:rPr>
          <w:color w:val="231F20"/>
          <w:spacing w:val="-4"/>
        </w:rPr>
        <w:t>que</w:t>
      </w:r>
      <w:r>
        <w:rPr>
          <w:color w:val="231F20"/>
          <w:spacing w:val="-10"/>
        </w:rPr>
        <w:t> </w:t>
      </w:r>
      <w:r>
        <w:rPr>
          <w:color w:val="231F20"/>
          <w:spacing w:val="-4"/>
        </w:rPr>
        <w:t>sur</w:t>
      </w:r>
      <w:r>
        <w:rPr>
          <w:color w:val="231F20"/>
          <w:spacing w:val="-10"/>
        </w:rPr>
        <w:t> </w:t>
      </w:r>
      <w:r>
        <w:rPr>
          <w:color w:val="231F20"/>
          <w:spacing w:val="-4"/>
        </w:rPr>
        <w:t>l'île</w:t>
      </w:r>
      <w:r>
        <w:rPr>
          <w:color w:val="231F20"/>
          <w:spacing w:val="-9"/>
        </w:rPr>
        <w:t> </w:t>
      </w:r>
      <w:r>
        <w:rPr>
          <w:color w:val="231F20"/>
          <w:spacing w:val="-4"/>
        </w:rPr>
        <w:t>de</w:t>
      </w:r>
      <w:r>
        <w:rPr>
          <w:color w:val="231F20"/>
          <w:spacing w:val="-6"/>
        </w:rPr>
        <w:t> </w:t>
      </w:r>
      <w:r>
        <w:rPr>
          <w:color w:val="231F20"/>
          <w:spacing w:val="-4"/>
        </w:rPr>
        <w:t>Corisco</w:t>
      </w:r>
      <w:r>
        <w:rPr>
          <w:color w:val="231F20"/>
          <w:spacing w:val="-9"/>
        </w:rPr>
        <w:t> </w:t>
      </w:r>
      <w:r>
        <w:rPr>
          <w:color w:val="231F20"/>
          <w:spacing w:val="-4"/>
        </w:rPr>
        <w:t>et</w:t>
      </w:r>
      <w:r>
        <w:rPr>
          <w:color w:val="231F20"/>
          <w:spacing w:val="-7"/>
        </w:rPr>
        <w:t> </w:t>
      </w:r>
      <w:r>
        <w:rPr>
          <w:color w:val="231F20"/>
          <w:spacing w:val="-4"/>
        </w:rPr>
        <w:t>l'île</w:t>
      </w:r>
      <w:r>
        <w:rPr>
          <w:color w:val="231F20"/>
          <w:spacing w:val="-10"/>
        </w:rPr>
        <w:t> </w:t>
      </w:r>
      <w:r>
        <w:rPr>
          <w:color w:val="231F20"/>
          <w:spacing w:val="-4"/>
        </w:rPr>
        <w:t>des </w:t>
      </w:r>
      <w:r>
        <w:rPr>
          <w:color w:val="231F20"/>
        </w:rPr>
        <w:t>Elobeys,</w:t>
      </w:r>
      <w:r>
        <w:rPr>
          <w:color w:val="231F20"/>
          <w:spacing w:val="-5"/>
        </w:rPr>
        <w:t> </w:t>
      </w:r>
      <w:r>
        <w:rPr>
          <w:color w:val="231F20"/>
        </w:rPr>
        <w:t>qui</w:t>
      </w:r>
      <w:r>
        <w:rPr>
          <w:color w:val="231F20"/>
          <w:spacing w:val="-4"/>
        </w:rPr>
        <w:t> </w:t>
      </w:r>
      <w:r>
        <w:rPr>
          <w:color w:val="231F20"/>
        </w:rPr>
        <w:t>sont</w:t>
      </w:r>
      <w:r>
        <w:rPr>
          <w:color w:val="231F20"/>
          <w:spacing w:val="-4"/>
        </w:rPr>
        <w:t> </w:t>
      </w:r>
      <w:r>
        <w:rPr>
          <w:color w:val="231F20"/>
        </w:rPr>
        <w:t>attribuées</w:t>
      </w:r>
      <w:r>
        <w:rPr>
          <w:color w:val="231F20"/>
          <w:spacing w:val="-4"/>
        </w:rPr>
        <w:t> </w:t>
      </w:r>
      <w:r>
        <w:rPr>
          <w:color w:val="231F20"/>
        </w:rPr>
        <w:t>à</w:t>
      </w:r>
      <w:r>
        <w:rPr>
          <w:color w:val="231F20"/>
          <w:spacing w:val="-6"/>
        </w:rPr>
        <w:t> </w:t>
      </w:r>
      <w:r>
        <w:rPr>
          <w:color w:val="231F20"/>
        </w:rPr>
        <w:t>l'Espagne,</w:t>
      </w:r>
      <w:r>
        <w:rPr>
          <w:color w:val="231F20"/>
          <w:spacing w:val="-5"/>
        </w:rPr>
        <w:t> </w:t>
      </w:r>
      <w:r>
        <w:rPr>
          <w:color w:val="231F20"/>
        </w:rPr>
        <w:t>sans</w:t>
      </w:r>
      <w:r>
        <w:rPr>
          <w:color w:val="231F20"/>
          <w:spacing w:val="-5"/>
        </w:rPr>
        <w:t> </w:t>
      </w:r>
      <w:r>
        <w:rPr>
          <w:color w:val="231F20"/>
        </w:rPr>
        <w:t>se</w:t>
      </w:r>
      <w:r>
        <w:rPr>
          <w:color w:val="231F20"/>
          <w:spacing w:val="-5"/>
        </w:rPr>
        <w:t> </w:t>
      </w:r>
      <w:r>
        <w:rPr>
          <w:color w:val="231F20"/>
        </w:rPr>
        <w:t>prononcer</w:t>
      </w:r>
      <w:r>
        <w:rPr>
          <w:color w:val="231F20"/>
          <w:spacing w:val="-5"/>
        </w:rPr>
        <w:t> </w:t>
      </w:r>
      <w:r>
        <w:rPr>
          <w:color w:val="231F20"/>
        </w:rPr>
        <w:t>sur</w:t>
      </w:r>
      <w:r>
        <w:rPr>
          <w:color w:val="231F20"/>
          <w:spacing w:val="-6"/>
        </w:rPr>
        <w:t> </w:t>
      </w:r>
      <w:r>
        <w:rPr>
          <w:color w:val="231F20"/>
        </w:rPr>
        <w:t>ces</w:t>
      </w:r>
      <w:r>
        <w:rPr>
          <w:color w:val="231F20"/>
          <w:spacing w:val="-5"/>
        </w:rPr>
        <w:t> </w:t>
      </w:r>
      <w:r>
        <w:rPr>
          <w:color w:val="231F20"/>
        </w:rPr>
        <w:t>îlots méridionaux</w:t>
      </w:r>
      <w:r>
        <w:rPr>
          <w:color w:val="231F20"/>
          <w:spacing w:val="-5"/>
        </w:rPr>
        <w:t> </w:t>
      </w:r>
      <w:r>
        <w:rPr>
          <w:color w:val="231F20"/>
        </w:rPr>
        <w:t>et</w:t>
      </w:r>
      <w:r>
        <w:rPr>
          <w:color w:val="231F20"/>
          <w:spacing w:val="-3"/>
        </w:rPr>
        <w:t> </w:t>
      </w:r>
      <w:r>
        <w:rPr>
          <w:color w:val="231F20"/>
        </w:rPr>
        <w:t>adjacents</w:t>
      </w:r>
      <w:r>
        <w:rPr>
          <w:color w:val="231F20"/>
          <w:spacing w:val="-7"/>
        </w:rPr>
        <w:t> </w:t>
      </w:r>
      <w:r>
        <w:rPr>
          <w:color w:val="231F20"/>
        </w:rPr>
        <w:t>que</w:t>
      </w:r>
      <w:r>
        <w:rPr>
          <w:color w:val="231F20"/>
          <w:spacing w:val="-4"/>
        </w:rPr>
        <w:t> </w:t>
      </w:r>
      <w:r>
        <w:rPr>
          <w:color w:val="231F20"/>
        </w:rPr>
        <w:t>le</w:t>
      </w:r>
      <w:r>
        <w:rPr>
          <w:color w:val="231F20"/>
          <w:spacing w:val="-3"/>
        </w:rPr>
        <w:t> </w:t>
      </w:r>
      <w:r>
        <w:rPr>
          <w:color w:val="231F20"/>
        </w:rPr>
        <w:t>Gabon</w:t>
      </w:r>
      <w:r>
        <w:rPr>
          <w:color w:val="231F20"/>
          <w:spacing w:val="-3"/>
        </w:rPr>
        <w:t> </w:t>
      </w:r>
      <w:r>
        <w:rPr>
          <w:color w:val="231F20"/>
        </w:rPr>
        <w:t>occupe</w:t>
      </w:r>
      <w:r>
        <w:rPr>
          <w:color w:val="231F20"/>
          <w:spacing w:val="-3"/>
        </w:rPr>
        <w:t> </w:t>
      </w:r>
      <w:r>
        <w:rPr>
          <w:color w:val="231F20"/>
        </w:rPr>
        <w:t>depuis</w:t>
      </w:r>
      <w:r>
        <w:rPr>
          <w:color w:val="231F20"/>
          <w:spacing w:val="-5"/>
        </w:rPr>
        <w:t> </w:t>
      </w:r>
      <w:r>
        <w:rPr>
          <w:color w:val="231F20"/>
        </w:rPr>
        <w:t>1972.</w:t>
      </w:r>
    </w:p>
    <w:p>
      <w:pPr>
        <w:pStyle w:val="BodyText"/>
        <w:spacing w:before="120"/>
        <w:ind w:right="108" w:firstLine="283"/>
      </w:pPr>
      <w:r>
        <w:rPr>
          <w:color w:val="231F20"/>
        </w:rPr>
        <w:t>Les</w:t>
      </w:r>
      <w:r>
        <w:rPr>
          <w:color w:val="231F20"/>
          <w:spacing w:val="-2"/>
        </w:rPr>
        <w:t> </w:t>
      </w:r>
      <w:r>
        <w:rPr>
          <w:color w:val="231F20"/>
        </w:rPr>
        <w:t>guerres</w:t>
      </w:r>
      <w:r>
        <w:rPr>
          <w:color w:val="231F20"/>
          <w:spacing w:val="-4"/>
        </w:rPr>
        <w:t> </w:t>
      </w:r>
      <w:r>
        <w:rPr>
          <w:color w:val="231F20"/>
        </w:rPr>
        <w:t>de</w:t>
      </w:r>
      <w:r>
        <w:rPr>
          <w:color w:val="231F20"/>
          <w:spacing w:val="-2"/>
        </w:rPr>
        <w:t> </w:t>
      </w:r>
      <w:r>
        <w:rPr>
          <w:color w:val="231F20"/>
        </w:rPr>
        <w:t>frontières</w:t>
      </w:r>
      <w:r>
        <w:rPr>
          <w:color w:val="231F20"/>
          <w:spacing w:val="-4"/>
        </w:rPr>
        <w:t> </w:t>
      </w:r>
      <w:r>
        <w:rPr>
          <w:color w:val="231F20"/>
        </w:rPr>
        <w:t>ont</w:t>
      </w:r>
      <w:r>
        <w:rPr>
          <w:color w:val="231F20"/>
          <w:spacing w:val="-4"/>
        </w:rPr>
        <w:t> </w:t>
      </w:r>
      <w:r>
        <w:rPr>
          <w:color w:val="231F20"/>
        </w:rPr>
        <w:t>tendance</w:t>
      </w:r>
      <w:r>
        <w:rPr>
          <w:color w:val="231F20"/>
          <w:spacing w:val="-4"/>
        </w:rPr>
        <w:t> </w:t>
      </w:r>
      <w:r>
        <w:rPr>
          <w:color w:val="231F20"/>
        </w:rPr>
        <w:t>à</w:t>
      </w:r>
      <w:r>
        <w:rPr>
          <w:color w:val="231F20"/>
          <w:spacing w:val="-2"/>
        </w:rPr>
        <w:t> </w:t>
      </w:r>
      <w:r>
        <w:rPr>
          <w:color w:val="231F20"/>
        </w:rPr>
        <w:t>disparaître</w:t>
      </w:r>
      <w:r>
        <w:rPr>
          <w:color w:val="231F20"/>
          <w:spacing w:val="-4"/>
        </w:rPr>
        <w:t> </w:t>
      </w:r>
      <w:r>
        <w:rPr>
          <w:color w:val="231F20"/>
        </w:rPr>
        <w:t>mais</w:t>
      </w:r>
      <w:r>
        <w:rPr>
          <w:color w:val="231F20"/>
          <w:spacing w:val="-4"/>
        </w:rPr>
        <w:t> </w:t>
      </w:r>
      <w:r>
        <w:rPr>
          <w:color w:val="231F20"/>
        </w:rPr>
        <w:t>les</w:t>
      </w:r>
      <w:r>
        <w:rPr>
          <w:color w:val="231F20"/>
          <w:spacing w:val="-3"/>
        </w:rPr>
        <w:t> </w:t>
      </w:r>
      <w:r>
        <w:rPr>
          <w:color w:val="231F20"/>
        </w:rPr>
        <w:t>conflits internes</w:t>
      </w:r>
      <w:r>
        <w:rPr>
          <w:color w:val="231F20"/>
          <w:spacing w:val="-6"/>
        </w:rPr>
        <w:t> </w:t>
      </w:r>
      <w:r>
        <w:rPr>
          <w:color w:val="231F20"/>
        </w:rPr>
        <w:t>accompagnés</w:t>
      </w:r>
      <w:r>
        <w:rPr>
          <w:color w:val="231F20"/>
          <w:spacing w:val="-6"/>
        </w:rPr>
        <w:t> </w:t>
      </w:r>
      <w:r>
        <w:rPr>
          <w:color w:val="231F20"/>
        </w:rPr>
        <w:t>des</w:t>
      </w:r>
      <w:r>
        <w:rPr>
          <w:color w:val="231F20"/>
          <w:spacing w:val="-5"/>
        </w:rPr>
        <w:t> </w:t>
      </w:r>
      <w:r>
        <w:rPr>
          <w:color w:val="231F20"/>
        </w:rPr>
        <w:t>déplacements</w:t>
      </w:r>
      <w:r>
        <w:rPr>
          <w:color w:val="231F20"/>
          <w:spacing w:val="-5"/>
        </w:rPr>
        <w:t> </w:t>
      </w:r>
      <w:r>
        <w:rPr>
          <w:color w:val="231F20"/>
        </w:rPr>
        <w:t>de</w:t>
      </w:r>
      <w:r>
        <w:rPr>
          <w:color w:val="231F20"/>
          <w:spacing w:val="-7"/>
        </w:rPr>
        <w:t> </w:t>
      </w:r>
      <w:r>
        <w:rPr>
          <w:color w:val="231F20"/>
        </w:rPr>
        <w:t>populations</w:t>
      </w:r>
      <w:r>
        <w:rPr>
          <w:color w:val="231F20"/>
          <w:spacing w:val="-6"/>
        </w:rPr>
        <w:t> </w:t>
      </w:r>
      <w:r>
        <w:rPr>
          <w:color w:val="231F20"/>
        </w:rPr>
        <w:t>sont</w:t>
      </w:r>
      <w:r>
        <w:rPr>
          <w:color w:val="231F20"/>
          <w:spacing w:val="-4"/>
        </w:rPr>
        <w:t> </w:t>
      </w:r>
      <w:r>
        <w:rPr>
          <w:color w:val="231F20"/>
        </w:rPr>
        <w:t>de</w:t>
      </w:r>
      <w:r>
        <w:rPr>
          <w:color w:val="231F20"/>
          <w:spacing w:val="-7"/>
        </w:rPr>
        <w:t> </w:t>
      </w:r>
      <w:r>
        <w:rPr>
          <w:color w:val="231F20"/>
        </w:rPr>
        <w:t>plus</w:t>
      </w:r>
      <w:r>
        <w:rPr>
          <w:color w:val="231F20"/>
          <w:spacing w:val="-6"/>
        </w:rPr>
        <w:t> </w:t>
      </w:r>
      <w:r>
        <w:rPr>
          <w:color w:val="231F20"/>
        </w:rPr>
        <w:t>en </w:t>
      </w:r>
      <w:r>
        <w:rPr>
          <w:color w:val="231F20"/>
          <w:spacing w:val="-4"/>
        </w:rPr>
        <w:t>plus</w:t>
      </w:r>
      <w:r>
        <w:rPr>
          <w:color w:val="231F20"/>
          <w:spacing w:val="-11"/>
        </w:rPr>
        <w:t> </w:t>
      </w:r>
      <w:r>
        <w:rPr>
          <w:color w:val="231F20"/>
          <w:spacing w:val="-4"/>
        </w:rPr>
        <w:t>fréquents.</w:t>
      </w:r>
      <w:r>
        <w:rPr>
          <w:color w:val="231F20"/>
          <w:spacing w:val="-11"/>
        </w:rPr>
        <w:t> </w:t>
      </w:r>
      <w:r>
        <w:rPr>
          <w:color w:val="231F20"/>
          <w:spacing w:val="-4"/>
        </w:rPr>
        <w:t>Au-delà</w:t>
      </w:r>
      <w:r>
        <w:rPr>
          <w:color w:val="231F20"/>
          <w:spacing w:val="-11"/>
        </w:rPr>
        <w:t> </w:t>
      </w:r>
      <w:r>
        <w:rPr>
          <w:color w:val="231F20"/>
          <w:spacing w:val="-4"/>
        </w:rPr>
        <w:t>des</w:t>
      </w:r>
      <w:r>
        <w:rPr>
          <w:color w:val="231F20"/>
          <w:spacing w:val="-11"/>
        </w:rPr>
        <w:t> </w:t>
      </w:r>
      <w:r>
        <w:rPr>
          <w:color w:val="231F20"/>
          <w:spacing w:val="-4"/>
        </w:rPr>
        <w:t>souffrances</w:t>
      </w:r>
      <w:r>
        <w:rPr>
          <w:color w:val="231F20"/>
          <w:spacing w:val="-11"/>
        </w:rPr>
        <w:t> </w:t>
      </w:r>
      <w:r>
        <w:rPr>
          <w:color w:val="231F20"/>
          <w:spacing w:val="-4"/>
        </w:rPr>
        <w:t>physiques</w:t>
      </w:r>
      <w:r>
        <w:rPr>
          <w:color w:val="231F20"/>
          <w:spacing w:val="-11"/>
        </w:rPr>
        <w:t> </w:t>
      </w:r>
      <w:r>
        <w:rPr>
          <w:color w:val="231F20"/>
          <w:spacing w:val="-4"/>
        </w:rPr>
        <w:t>et</w:t>
      </w:r>
      <w:r>
        <w:rPr>
          <w:color w:val="231F20"/>
          <w:spacing w:val="-11"/>
        </w:rPr>
        <w:t> </w:t>
      </w:r>
      <w:r>
        <w:rPr>
          <w:color w:val="231F20"/>
          <w:spacing w:val="-4"/>
        </w:rPr>
        <w:t>morales</w:t>
      </w:r>
      <w:r>
        <w:rPr>
          <w:color w:val="231F20"/>
          <w:spacing w:val="-11"/>
        </w:rPr>
        <w:t> </w:t>
      </w:r>
      <w:r>
        <w:rPr>
          <w:color w:val="231F20"/>
          <w:spacing w:val="-4"/>
        </w:rPr>
        <w:t>endurées</w:t>
      </w:r>
      <w:r>
        <w:rPr>
          <w:color w:val="231F20"/>
          <w:spacing w:val="-11"/>
        </w:rPr>
        <w:t> </w:t>
      </w:r>
      <w:r>
        <w:rPr>
          <w:color w:val="231F20"/>
          <w:spacing w:val="-4"/>
        </w:rPr>
        <w:t>par </w:t>
      </w:r>
      <w:r>
        <w:rPr>
          <w:color w:val="231F20"/>
          <w:spacing w:val="-2"/>
        </w:rPr>
        <w:t>les</w:t>
      </w:r>
      <w:r>
        <w:rPr>
          <w:color w:val="231F20"/>
          <w:spacing w:val="-9"/>
        </w:rPr>
        <w:t> </w:t>
      </w:r>
      <w:r>
        <w:rPr>
          <w:color w:val="231F20"/>
          <w:spacing w:val="-2"/>
        </w:rPr>
        <w:t>personnes</w:t>
      </w:r>
      <w:r>
        <w:rPr>
          <w:color w:val="231F20"/>
          <w:spacing w:val="-9"/>
        </w:rPr>
        <w:t> </w:t>
      </w:r>
      <w:r>
        <w:rPr>
          <w:color w:val="231F20"/>
          <w:spacing w:val="-2"/>
        </w:rPr>
        <w:t>déplacées,</w:t>
      </w:r>
      <w:r>
        <w:rPr>
          <w:color w:val="231F20"/>
          <w:spacing w:val="-9"/>
        </w:rPr>
        <w:t> </w:t>
      </w:r>
      <w:r>
        <w:rPr>
          <w:color w:val="231F20"/>
          <w:spacing w:val="-2"/>
        </w:rPr>
        <w:t>c’est</w:t>
      </w:r>
      <w:r>
        <w:rPr>
          <w:color w:val="231F20"/>
          <w:spacing w:val="-11"/>
        </w:rPr>
        <w:t> </w:t>
      </w:r>
      <w:r>
        <w:rPr>
          <w:color w:val="231F20"/>
          <w:spacing w:val="-2"/>
        </w:rPr>
        <w:t>tout</w:t>
      </w:r>
      <w:r>
        <w:rPr>
          <w:color w:val="231F20"/>
          <w:spacing w:val="-9"/>
        </w:rPr>
        <w:t> </w:t>
      </w:r>
      <w:r>
        <w:rPr>
          <w:color w:val="231F20"/>
          <w:spacing w:val="-2"/>
        </w:rPr>
        <w:t>l’appareil</w:t>
      </w:r>
      <w:r>
        <w:rPr>
          <w:color w:val="231F20"/>
          <w:spacing w:val="-9"/>
        </w:rPr>
        <w:t> </w:t>
      </w:r>
      <w:r>
        <w:rPr>
          <w:color w:val="231F20"/>
          <w:spacing w:val="-2"/>
        </w:rPr>
        <w:t>économique</w:t>
      </w:r>
      <w:r>
        <w:rPr>
          <w:color w:val="231F20"/>
          <w:spacing w:val="-11"/>
        </w:rPr>
        <w:t> </w:t>
      </w:r>
      <w:r>
        <w:rPr>
          <w:color w:val="231F20"/>
          <w:spacing w:val="-2"/>
        </w:rPr>
        <w:t>du</w:t>
      </w:r>
      <w:r>
        <w:rPr>
          <w:color w:val="231F20"/>
          <w:spacing w:val="-9"/>
        </w:rPr>
        <w:t> </w:t>
      </w:r>
      <w:r>
        <w:rPr>
          <w:color w:val="231F20"/>
          <w:spacing w:val="-2"/>
        </w:rPr>
        <w:t>pays</w:t>
      </w:r>
      <w:r>
        <w:rPr>
          <w:color w:val="231F20"/>
          <w:spacing w:val="-11"/>
        </w:rPr>
        <w:t> </w:t>
      </w:r>
      <w:r>
        <w:rPr>
          <w:color w:val="231F20"/>
          <w:spacing w:val="-2"/>
        </w:rPr>
        <w:t>qui</w:t>
      </w:r>
      <w:r>
        <w:rPr>
          <w:color w:val="231F20"/>
          <w:spacing w:val="-9"/>
        </w:rPr>
        <w:t> </w:t>
      </w:r>
      <w:r>
        <w:rPr>
          <w:color w:val="231F20"/>
          <w:spacing w:val="-2"/>
        </w:rPr>
        <w:t>est touché.</w:t>
      </w:r>
    </w:p>
    <w:p>
      <w:pPr>
        <w:pStyle w:val="BodyText"/>
        <w:spacing w:before="121"/>
        <w:ind w:right="104" w:firstLine="283"/>
      </w:pPr>
      <w:r>
        <w:rPr>
          <w:color w:val="231F20"/>
          <w:spacing w:val="-4"/>
        </w:rPr>
        <w:t>La</w:t>
      </w:r>
      <w:r>
        <w:rPr>
          <w:color w:val="231F20"/>
          <w:spacing w:val="-11"/>
        </w:rPr>
        <w:t> </w:t>
      </w:r>
      <w:r>
        <w:rPr>
          <w:color w:val="231F20"/>
          <w:spacing w:val="-4"/>
        </w:rPr>
        <w:t>République</w:t>
      </w:r>
      <w:r>
        <w:rPr>
          <w:color w:val="231F20"/>
          <w:spacing w:val="-11"/>
        </w:rPr>
        <w:t> </w:t>
      </w:r>
      <w:r>
        <w:rPr>
          <w:color w:val="231F20"/>
          <w:spacing w:val="-4"/>
        </w:rPr>
        <w:t>Démocratique</w:t>
      </w:r>
      <w:r>
        <w:rPr>
          <w:color w:val="231F20"/>
          <w:spacing w:val="-11"/>
        </w:rPr>
        <w:t> </w:t>
      </w:r>
      <w:r>
        <w:rPr>
          <w:color w:val="231F20"/>
          <w:spacing w:val="-4"/>
        </w:rPr>
        <w:t>du</w:t>
      </w:r>
      <w:r>
        <w:rPr>
          <w:color w:val="231F20"/>
          <w:spacing w:val="-11"/>
        </w:rPr>
        <w:t> </w:t>
      </w:r>
      <w:r>
        <w:rPr>
          <w:color w:val="231F20"/>
          <w:spacing w:val="-4"/>
        </w:rPr>
        <w:t>Congo</w:t>
      </w:r>
      <w:r>
        <w:rPr>
          <w:color w:val="231F20"/>
          <w:spacing w:val="-11"/>
        </w:rPr>
        <w:t> </w:t>
      </w:r>
      <w:r>
        <w:rPr>
          <w:color w:val="231F20"/>
          <w:spacing w:val="-4"/>
        </w:rPr>
        <w:t>(RDC)</w:t>
      </w:r>
      <w:r>
        <w:rPr>
          <w:color w:val="231F20"/>
          <w:spacing w:val="-11"/>
        </w:rPr>
        <w:t> </w:t>
      </w:r>
      <w:r>
        <w:rPr>
          <w:color w:val="231F20"/>
          <w:spacing w:val="-4"/>
        </w:rPr>
        <w:t>est</w:t>
      </w:r>
      <w:r>
        <w:rPr>
          <w:color w:val="231F20"/>
          <w:spacing w:val="-11"/>
        </w:rPr>
        <w:t> </w:t>
      </w:r>
      <w:r>
        <w:rPr>
          <w:color w:val="231F20"/>
          <w:spacing w:val="-4"/>
        </w:rPr>
        <w:t>abonnée</w:t>
      </w:r>
      <w:r>
        <w:rPr>
          <w:color w:val="231F20"/>
          <w:spacing w:val="-11"/>
        </w:rPr>
        <w:t> </w:t>
      </w:r>
      <w:r>
        <w:rPr>
          <w:color w:val="231F20"/>
          <w:spacing w:val="-4"/>
        </w:rPr>
        <w:t>depuis</w:t>
      </w:r>
      <w:r>
        <w:rPr>
          <w:color w:val="231F20"/>
          <w:spacing w:val="-11"/>
        </w:rPr>
        <w:t> </w:t>
      </w:r>
      <w:r>
        <w:rPr>
          <w:color w:val="231F20"/>
          <w:spacing w:val="-4"/>
        </w:rPr>
        <w:t>son indépendance</w:t>
      </w:r>
      <w:r>
        <w:rPr>
          <w:color w:val="231F20"/>
          <w:spacing w:val="-11"/>
        </w:rPr>
        <w:t> </w:t>
      </w:r>
      <w:r>
        <w:rPr>
          <w:color w:val="231F20"/>
          <w:spacing w:val="-4"/>
        </w:rPr>
        <w:t>à</w:t>
      </w:r>
      <w:r>
        <w:rPr>
          <w:color w:val="231F20"/>
          <w:spacing w:val="-11"/>
        </w:rPr>
        <w:t> </w:t>
      </w:r>
      <w:r>
        <w:rPr>
          <w:color w:val="231F20"/>
          <w:spacing w:val="-4"/>
        </w:rPr>
        <w:t>l’instabilité</w:t>
      </w:r>
      <w:r>
        <w:rPr>
          <w:color w:val="231F20"/>
          <w:spacing w:val="-11"/>
        </w:rPr>
        <w:t> </w:t>
      </w:r>
      <w:r>
        <w:rPr>
          <w:color w:val="231F20"/>
          <w:spacing w:val="-4"/>
        </w:rPr>
        <w:t>à</w:t>
      </w:r>
      <w:r>
        <w:rPr>
          <w:color w:val="231F20"/>
          <w:spacing w:val="-10"/>
        </w:rPr>
        <w:t> </w:t>
      </w:r>
      <w:r>
        <w:rPr>
          <w:color w:val="231F20"/>
          <w:spacing w:val="-4"/>
        </w:rPr>
        <w:t>l’intérieur</w:t>
      </w:r>
      <w:r>
        <w:rPr>
          <w:color w:val="231F20"/>
          <w:spacing w:val="-9"/>
        </w:rPr>
        <w:t> </w:t>
      </w:r>
      <w:r>
        <w:rPr>
          <w:color w:val="231F20"/>
          <w:spacing w:val="-4"/>
        </w:rPr>
        <w:t>de</w:t>
      </w:r>
      <w:r>
        <w:rPr>
          <w:color w:val="231F20"/>
          <w:spacing w:val="-11"/>
        </w:rPr>
        <w:t> </w:t>
      </w:r>
      <w:r>
        <w:rPr>
          <w:color w:val="231F20"/>
          <w:spacing w:val="-4"/>
        </w:rPr>
        <w:t>ses</w:t>
      </w:r>
      <w:r>
        <w:rPr>
          <w:color w:val="231F20"/>
          <w:spacing w:val="-11"/>
        </w:rPr>
        <w:t> </w:t>
      </w:r>
      <w:r>
        <w:rPr>
          <w:color w:val="231F20"/>
          <w:spacing w:val="-4"/>
        </w:rPr>
        <w:t>frontières,</w:t>
      </w:r>
      <w:r>
        <w:rPr>
          <w:color w:val="231F20"/>
          <w:spacing w:val="-10"/>
        </w:rPr>
        <w:t> </w:t>
      </w:r>
      <w:r>
        <w:rPr>
          <w:color w:val="231F20"/>
          <w:spacing w:val="-4"/>
        </w:rPr>
        <w:t>particulièrement </w:t>
      </w:r>
      <w:r>
        <w:rPr>
          <w:color w:val="231F20"/>
        </w:rPr>
        <w:t>à l’Est, notamment dans les régions frontalières avec le Burundi, l’Ouganda</w:t>
      </w:r>
      <w:r>
        <w:rPr>
          <w:color w:val="231F20"/>
          <w:spacing w:val="-5"/>
        </w:rPr>
        <w:t> </w:t>
      </w:r>
      <w:r>
        <w:rPr>
          <w:color w:val="231F20"/>
        </w:rPr>
        <w:t>et</w:t>
      </w:r>
      <w:r>
        <w:rPr>
          <w:color w:val="231F20"/>
          <w:spacing w:val="-6"/>
        </w:rPr>
        <w:t> </w:t>
      </w:r>
      <w:r>
        <w:rPr>
          <w:color w:val="231F20"/>
        </w:rPr>
        <w:t>le</w:t>
      </w:r>
      <w:r>
        <w:rPr>
          <w:color w:val="231F20"/>
          <w:spacing w:val="-5"/>
        </w:rPr>
        <w:t> </w:t>
      </w:r>
      <w:r>
        <w:rPr>
          <w:color w:val="231F20"/>
        </w:rPr>
        <w:t>Rwanda.</w:t>
      </w:r>
      <w:r>
        <w:rPr>
          <w:color w:val="231F20"/>
          <w:spacing w:val="-5"/>
        </w:rPr>
        <w:t> </w:t>
      </w:r>
      <w:r>
        <w:rPr>
          <w:color w:val="231F20"/>
        </w:rPr>
        <w:t>Le</w:t>
      </w:r>
      <w:r>
        <w:rPr>
          <w:color w:val="231F20"/>
          <w:spacing w:val="-5"/>
        </w:rPr>
        <w:t> </w:t>
      </w:r>
      <w:r>
        <w:rPr>
          <w:color w:val="231F20"/>
        </w:rPr>
        <w:t>Rwanda</w:t>
      </w:r>
      <w:r>
        <w:rPr>
          <w:color w:val="231F20"/>
          <w:spacing w:val="-5"/>
        </w:rPr>
        <w:t> </w:t>
      </w:r>
      <w:r>
        <w:rPr>
          <w:color w:val="231F20"/>
        </w:rPr>
        <w:t>a</w:t>
      </w:r>
      <w:r>
        <w:rPr>
          <w:color w:val="231F20"/>
          <w:spacing w:val="-5"/>
        </w:rPr>
        <w:t> </w:t>
      </w:r>
      <w:r>
        <w:rPr>
          <w:color w:val="231F20"/>
        </w:rPr>
        <w:t>même</w:t>
      </w:r>
      <w:r>
        <w:rPr>
          <w:color w:val="231F20"/>
          <w:spacing w:val="-5"/>
        </w:rPr>
        <w:t> </w:t>
      </w:r>
      <w:r>
        <w:rPr>
          <w:color w:val="231F20"/>
        </w:rPr>
        <w:t>exprimé</w:t>
      </w:r>
      <w:r>
        <w:rPr>
          <w:color w:val="231F20"/>
          <w:spacing w:val="-5"/>
        </w:rPr>
        <w:t> </w:t>
      </w:r>
      <w:r>
        <w:rPr>
          <w:color w:val="231F20"/>
        </w:rPr>
        <w:t>ouvertement</w:t>
      </w:r>
      <w:r>
        <w:rPr>
          <w:color w:val="231F20"/>
          <w:spacing w:val="-5"/>
        </w:rPr>
        <w:t> </w:t>
      </w:r>
      <w:r>
        <w:rPr>
          <w:color w:val="231F20"/>
        </w:rPr>
        <w:t>ses prétentions annexionnistes sur le Kivu. Par le biais de mouvements </w:t>
      </w:r>
      <w:r>
        <w:rPr>
          <w:color w:val="231F20"/>
          <w:spacing w:val="-4"/>
        </w:rPr>
        <w:t>subversifs</w:t>
      </w:r>
      <w:r>
        <w:rPr>
          <w:color w:val="231F20"/>
          <w:spacing w:val="-11"/>
        </w:rPr>
        <w:t> </w:t>
      </w:r>
      <w:r>
        <w:rPr>
          <w:color w:val="231F20"/>
          <w:spacing w:val="-4"/>
        </w:rPr>
        <w:t>comme</w:t>
      </w:r>
      <w:r>
        <w:rPr>
          <w:color w:val="231F20"/>
          <w:spacing w:val="-11"/>
        </w:rPr>
        <w:t> </w:t>
      </w:r>
      <w:r>
        <w:rPr>
          <w:color w:val="231F20"/>
          <w:spacing w:val="-4"/>
        </w:rPr>
        <w:t>le</w:t>
      </w:r>
      <w:r>
        <w:rPr>
          <w:color w:val="231F20"/>
          <w:spacing w:val="-8"/>
        </w:rPr>
        <w:t> </w:t>
      </w:r>
      <w:r>
        <w:rPr>
          <w:color w:val="231F20"/>
          <w:spacing w:val="-4"/>
        </w:rPr>
        <w:t>Congrès</w:t>
      </w:r>
      <w:r>
        <w:rPr>
          <w:color w:val="231F20"/>
          <w:spacing w:val="-9"/>
        </w:rPr>
        <w:t> </w:t>
      </w:r>
      <w:r>
        <w:rPr>
          <w:color w:val="231F20"/>
          <w:spacing w:val="-4"/>
        </w:rPr>
        <w:t>National</w:t>
      </w:r>
      <w:r>
        <w:rPr>
          <w:color w:val="231F20"/>
          <w:spacing w:val="-11"/>
        </w:rPr>
        <w:t> </w:t>
      </w:r>
      <w:r>
        <w:rPr>
          <w:color w:val="231F20"/>
          <w:spacing w:val="-4"/>
        </w:rPr>
        <w:t>pour</w:t>
      </w:r>
      <w:r>
        <w:rPr>
          <w:color w:val="231F20"/>
          <w:spacing w:val="-11"/>
        </w:rPr>
        <w:t> </w:t>
      </w:r>
      <w:r>
        <w:rPr>
          <w:color w:val="231F20"/>
          <w:spacing w:val="-4"/>
        </w:rPr>
        <w:t>la</w:t>
      </w:r>
      <w:r>
        <w:rPr>
          <w:color w:val="231F20"/>
          <w:spacing w:val="-9"/>
        </w:rPr>
        <w:t> </w:t>
      </w:r>
      <w:r>
        <w:rPr>
          <w:color w:val="231F20"/>
          <w:spacing w:val="-4"/>
        </w:rPr>
        <w:t>défense</w:t>
      </w:r>
      <w:r>
        <w:rPr>
          <w:color w:val="231F20"/>
          <w:spacing w:val="-9"/>
        </w:rPr>
        <w:t> </w:t>
      </w:r>
      <w:r>
        <w:rPr>
          <w:color w:val="231F20"/>
          <w:spacing w:val="-4"/>
        </w:rPr>
        <w:t>du</w:t>
      </w:r>
      <w:r>
        <w:rPr>
          <w:color w:val="231F20"/>
          <w:spacing w:val="-9"/>
        </w:rPr>
        <w:t> </w:t>
      </w:r>
      <w:r>
        <w:rPr>
          <w:color w:val="231F20"/>
          <w:spacing w:val="-4"/>
        </w:rPr>
        <w:t>peuple</w:t>
      </w:r>
      <w:r>
        <w:rPr>
          <w:color w:val="231F20"/>
          <w:spacing w:val="-9"/>
        </w:rPr>
        <w:t> </w:t>
      </w:r>
      <w:r>
        <w:rPr>
          <w:color w:val="231F20"/>
          <w:spacing w:val="-4"/>
        </w:rPr>
        <w:t>(CNDP) </w:t>
      </w:r>
      <w:r>
        <w:rPr>
          <w:color w:val="231F20"/>
          <w:spacing w:val="-2"/>
        </w:rPr>
        <w:t>composé</w:t>
      </w:r>
      <w:r>
        <w:rPr>
          <w:color w:val="231F20"/>
          <w:spacing w:val="-13"/>
        </w:rPr>
        <w:t> </w:t>
      </w:r>
      <w:r>
        <w:rPr>
          <w:color w:val="231F20"/>
          <w:spacing w:val="-2"/>
        </w:rPr>
        <w:t>de</w:t>
      </w:r>
      <w:r>
        <w:rPr>
          <w:color w:val="231F20"/>
          <w:spacing w:val="-11"/>
        </w:rPr>
        <w:t> </w:t>
      </w:r>
      <w:r>
        <w:rPr>
          <w:color w:val="231F20"/>
          <w:spacing w:val="-2"/>
        </w:rPr>
        <w:t>Tutsi</w:t>
      </w:r>
      <w:r>
        <w:rPr>
          <w:color w:val="231F20"/>
          <w:spacing w:val="-11"/>
        </w:rPr>
        <w:t> </w:t>
      </w:r>
      <w:r>
        <w:rPr>
          <w:color w:val="231F20"/>
          <w:spacing w:val="-2"/>
        </w:rPr>
        <w:t>congolais</w:t>
      </w:r>
      <w:r>
        <w:rPr>
          <w:color w:val="231F20"/>
          <w:spacing w:val="-11"/>
        </w:rPr>
        <w:t> </w:t>
      </w:r>
      <w:r>
        <w:rPr>
          <w:color w:val="231F20"/>
          <w:spacing w:val="-2"/>
        </w:rPr>
        <w:t>ou</w:t>
      </w:r>
      <w:r>
        <w:rPr>
          <w:color w:val="231F20"/>
          <w:spacing w:val="-13"/>
        </w:rPr>
        <w:t> </w:t>
      </w:r>
      <w:r>
        <w:rPr>
          <w:color w:val="231F20"/>
          <w:spacing w:val="-2"/>
        </w:rPr>
        <w:t>banyamulenges,</w:t>
      </w:r>
      <w:r>
        <w:rPr>
          <w:color w:val="231F20"/>
          <w:spacing w:val="-11"/>
        </w:rPr>
        <w:t> </w:t>
      </w:r>
      <w:r>
        <w:rPr>
          <w:color w:val="231F20"/>
          <w:spacing w:val="-2"/>
        </w:rPr>
        <w:t>puis</w:t>
      </w:r>
      <w:r>
        <w:rPr>
          <w:color w:val="231F20"/>
          <w:spacing w:val="-11"/>
        </w:rPr>
        <w:t> </w:t>
      </w:r>
      <w:r>
        <w:rPr>
          <w:color w:val="231F20"/>
          <w:spacing w:val="-2"/>
        </w:rPr>
        <w:t>du</w:t>
      </w:r>
      <w:r>
        <w:rPr>
          <w:color w:val="231F20"/>
          <w:spacing w:val="-11"/>
        </w:rPr>
        <w:t> </w:t>
      </w:r>
      <w:r>
        <w:rPr>
          <w:color w:val="231F20"/>
          <w:spacing w:val="-2"/>
        </w:rPr>
        <w:t>M23,</w:t>
      </w:r>
      <w:r>
        <w:rPr>
          <w:color w:val="231F20"/>
          <w:spacing w:val="-13"/>
        </w:rPr>
        <w:t> </w:t>
      </w:r>
      <w:r>
        <w:rPr>
          <w:color w:val="231F20"/>
          <w:spacing w:val="-2"/>
        </w:rPr>
        <w:t>le</w:t>
      </w:r>
      <w:r>
        <w:rPr>
          <w:color w:val="231F20"/>
          <w:spacing w:val="-11"/>
        </w:rPr>
        <w:t> </w:t>
      </w:r>
      <w:r>
        <w:rPr>
          <w:color w:val="231F20"/>
          <w:spacing w:val="-2"/>
        </w:rPr>
        <w:t>Rwanda </w:t>
      </w:r>
      <w:r>
        <w:rPr>
          <w:color w:val="231F20"/>
          <w:spacing w:val="-4"/>
        </w:rPr>
        <w:t>exerce une mainmise sur cette région.</w:t>
      </w:r>
      <w:r>
        <w:rPr>
          <w:color w:val="231F20"/>
          <w:spacing w:val="-7"/>
        </w:rPr>
        <w:t> </w:t>
      </w:r>
      <w:r>
        <w:rPr>
          <w:color w:val="231F20"/>
          <w:spacing w:val="-4"/>
        </w:rPr>
        <w:t>Les enfants</w:t>
      </w:r>
      <w:r>
        <w:rPr>
          <w:color w:val="231F20"/>
          <w:spacing w:val="-8"/>
        </w:rPr>
        <w:t> </w:t>
      </w:r>
      <w:r>
        <w:rPr>
          <w:color w:val="231F20"/>
          <w:spacing w:val="-4"/>
        </w:rPr>
        <w:t>soldats</w:t>
      </w:r>
      <w:r>
        <w:rPr>
          <w:color w:val="231F20"/>
          <w:spacing w:val="-7"/>
        </w:rPr>
        <w:t> </w:t>
      </w:r>
      <w:r>
        <w:rPr>
          <w:color w:val="231F20"/>
          <w:spacing w:val="-4"/>
        </w:rPr>
        <w:t>sont recrutés</w:t>
      </w:r>
      <w:r>
        <w:rPr>
          <w:color w:val="231F20"/>
          <w:spacing w:val="-5"/>
        </w:rPr>
        <w:t> </w:t>
      </w:r>
      <w:r>
        <w:rPr>
          <w:color w:val="231F20"/>
          <w:spacing w:val="-4"/>
        </w:rPr>
        <w:t>de </w:t>
      </w:r>
      <w:r>
        <w:rPr>
          <w:color w:val="231F20"/>
        </w:rPr>
        <w:t>force</w:t>
      </w:r>
      <w:r>
        <w:rPr>
          <w:color w:val="231F20"/>
          <w:spacing w:val="23"/>
        </w:rPr>
        <w:t> </w:t>
      </w:r>
      <w:r>
        <w:rPr>
          <w:color w:val="231F20"/>
        </w:rPr>
        <w:t>par</w:t>
      </w:r>
      <w:r>
        <w:rPr>
          <w:color w:val="231F20"/>
          <w:spacing w:val="23"/>
        </w:rPr>
        <w:t> </w:t>
      </w:r>
      <w:r>
        <w:rPr>
          <w:color w:val="231F20"/>
        </w:rPr>
        <w:t>toutes</w:t>
      </w:r>
      <w:r>
        <w:rPr>
          <w:color w:val="231F20"/>
          <w:spacing w:val="21"/>
        </w:rPr>
        <w:t> </w:t>
      </w:r>
      <w:r>
        <w:rPr>
          <w:color w:val="231F20"/>
        </w:rPr>
        <w:t>les</w:t>
      </w:r>
      <w:r>
        <w:rPr>
          <w:color w:val="231F20"/>
          <w:spacing w:val="23"/>
        </w:rPr>
        <w:t> </w:t>
      </w:r>
      <w:r>
        <w:rPr>
          <w:color w:val="231F20"/>
        </w:rPr>
        <w:t>parties</w:t>
      </w:r>
      <w:r>
        <w:rPr>
          <w:color w:val="231F20"/>
          <w:spacing w:val="23"/>
        </w:rPr>
        <w:t> </w:t>
      </w:r>
      <w:r>
        <w:rPr>
          <w:color w:val="231F20"/>
        </w:rPr>
        <w:t>en</w:t>
      </w:r>
      <w:r>
        <w:rPr>
          <w:color w:val="231F20"/>
          <w:spacing w:val="23"/>
        </w:rPr>
        <w:t> </w:t>
      </w:r>
      <w:r>
        <w:rPr>
          <w:color w:val="231F20"/>
        </w:rPr>
        <w:t>conflit</w:t>
      </w:r>
      <w:r>
        <w:rPr>
          <w:color w:val="231F20"/>
          <w:spacing w:val="-14"/>
        </w:rPr>
        <w:t> </w:t>
      </w:r>
      <w:r>
        <w:rPr>
          <w:color w:val="231F20"/>
        </w:rPr>
        <w:t>:</w:t>
      </w:r>
      <w:r>
        <w:rPr>
          <w:color w:val="231F20"/>
          <w:spacing w:val="22"/>
        </w:rPr>
        <w:t> </w:t>
      </w:r>
      <w:r>
        <w:rPr>
          <w:color w:val="231F20"/>
        </w:rPr>
        <w:t>milices</w:t>
      </w:r>
      <w:r>
        <w:rPr>
          <w:color w:val="231F20"/>
          <w:spacing w:val="23"/>
        </w:rPr>
        <w:t> </w:t>
      </w:r>
      <w:r>
        <w:rPr>
          <w:color w:val="231F20"/>
        </w:rPr>
        <w:t>armées,</w:t>
      </w:r>
      <w:r>
        <w:rPr>
          <w:color w:val="231F20"/>
          <w:spacing w:val="23"/>
        </w:rPr>
        <w:t> </w:t>
      </w:r>
      <w:r>
        <w:rPr>
          <w:color w:val="231F20"/>
        </w:rPr>
        <w:t>forces</w:t>
      </w:r>
      <w:r>
        <w:rPr>
          <w:color w:val="231F20"/>
          <w:spacing w:val="24"/>
        </w:rPr>
        <w:t> </w:t>
      </w:r>
      <w:r>
        <w:rPr>
          <w:color w:val="231F20"/>
        </w:rPr>
        <w:t>armées</w:t>
      </w:r>
    </w:p>
    <w:p>
      <w:pPr>
        <w:pStyle w:val="BodyText"/>
        <w:ind w:right="102"/>
      </w:pPr>
      <w:r>
        <w:rPr>
          <w:color w:val="231F20"/>
        </w:rPr>
        <w:t>«</w:t>
      </w:r>
      <w:r>
        <w:rPr>
          <w:color w:val="231F20"/>
          <w:spacing w:val="-15"/>
        </w:rPr>
        <w:t> </w:t>
      </w:r>
      <w:r>
        <w:rPr>
          <w:color w:val="231F20"/>
        </w:rPr>
        <w:t>officielles</w:t>
      </w:r>
      <w:r>
        <w:rPr>
          <w:color w:val="231F20"/>
          <w:spacing w:val="-15"/>
        </w:rPr>
        <w:t> </w:t>
      </w:r>
      <w:r>
        <w:rPr>
          <w:color w:val="231F20"/>
        </w:rPr>
        <w:t>»,</w:t>
      </w:r>
      <w:r>
        <w:rPr>
          <w:color w:val="231F20"/>
          <w:spacing w:val="-15"/>
        </w:rPr>
        <w:t> </w:t>
      </w:r>
      <w:r>
        <w:rPr>
          <w:color w:val="231F20"/>
        </w:rPr>
        <w:t>etc.</w:t>
      </w:r>
      <w:r>
        <w:rPr>
          <w:color w:val="231F20"/>
          <w:spacing w:val="-11"/>
        </w:rPr>
        <w:t> </w:t>
      </w:r>
      <w:r>
        <w:rPr>
          <w:color w:val="231F20"/>
        </w:rPr>
        <w:t>Une</w:t>
      </w:r>
      <w:r>
        <w:rPr>
          <w:color w:val="231F20"/>
          <w:spacing w:val="-9"/>
        </w:rPr>
        <w:t> </w:t>
      </w:r>
      <w:r>
        <w:rPr>
          <w:color w:val="231F20"/>
        </w:rPr>
        <w:t>fois</w:t>
      </w:r>
      <w:r>
        <w:rPr>
          <w:color w:val="231F20"/>
          <w:spacing w:val="-9"/>
        </w:rPr>
        <w:t> </w:t>
      </w:r>
      <w:r>
        <w:rPr>
          <w:color w:val="231F20"/>
        </w:rPr>
        <w:t>recrutés,</w:t>
      </w:r>
      <w:r>
        <w:rPr>
          <w:color w:val="231F20"/>
          <w:spacing w:val="-9"/>
        </w:rPr>
        <w:t> </w:t>
      </w:r>
      <w:r>
        <w:rPr>
          <w:color w:val="231F20"/>
        </w:rPr>
        <w:t>ces</w:t>
      </w:r>
      <w:r>
        <w:rPr>
          <w:color w:val="231F20"/>
          <w:spacing w:val="-9"/>
        </w:rPr>
        <w:t> </w:t>
      </w:r>
      <w:r>
        <w:rPr>
          <w:color w:val="231F20"/>
        </w:rPr>
        <w:t>enfants,</w:t>
      </w:r>
      <w:r>
        <w:rPr>
          <w:color w:val="231F20"/>
          <w:spacing w:val="-9"/>
        </w:rPr>
        <w:t> </w:t>
      </w:r>
      <w:r>
        <w:rPr>
          <w:color w:val="231F20"/>
        </w:rPr>
        <w:t>filles</w:t>
      </w:r>
      <w:r>
        <w:rPr>
          <w:color w:val="231F20"/>
          <w:spacing w:val="-9"/>
        </w:rPr>
        <w:t> </w:t>
      </w:r>
      <w:r>
        <w:rPr>
          <w:color w:val="231F20"/>
        </w:rPr>
        <w:t>comme</w:t>
      </w:r>
      <w:r>
        <w:rPr>
          <w:color w:val="231F20"/>
          <w:spacing w:val="-9"/>
        </w:rPr>
        <w:t> </w:t>
      </w:r>
      <w:r>
        <w:rPr>
          <w:color w:val="231F20"/>
        </w:rPr>
        <w:t>garçons, parfois âgés de moins de dix ans, sont victimes d’actes de torture, de meurtre et de viols. Pour les filles, outre la brutalité et le traumatisme </w:t>
      </w:r>
      <w:r>
        <w:rPr>
          <w:color w:val="231F20"/>
          <w:spacing w:val="-4"/>
        </w:rPr>
        <w:t>provoqués par</w:t>
      </w:r>
      <w:r>
        <w:rPr>
          <w:color w:val="231F20"/>
          <w:spacing w:val="-6"/>
        </w:rPr>
        <w:t> </w:t>
      </w:r>
      <w:r>
        <w:rPr>
          <w:color w:val="231F20"/>
          <w:spacing w:val="-4"/>
        </w:rPr>
        <w:t>le viol,</w:t>
      </w:r>
      <w:r>
        <w:rPr>
          <w:color w:val="231F20"/>
          <w:spacing w:val="-5"/>
        </w:rPr>
        <w:t> </w:t>
      </w:r>
      <w:r>
        <w:rPr>
          <w:color w:val="231F20"/>
          <w:spacing w:val="-4"/>
        </w:rPr>
        <w:t>les</w:t>
      </w:r>
      <w:r>
        <w:rPr>
          <w:color w:val="231F20"/>
          <w:spacing w:val="-9"/>
        </w:rPr>
        <w:t> </w:t>
      </w:r>
      <w:r>
        <w:rPr>
          <w:color w:val="231F20"/>
          <w:spacing w:val="-4"/>
        </w:rPr>
        <w:t>agressions sexuelles entraînent fréquemment de </w:t>
      </w:r>
      <w:r>
        <w:rPr>
          <w:color w:val="231F20"/>
        </w:rPr>
        <w:t>graves</w:t>
      </w:r>
      <w:r>
        <w:rPr>
          <w:color w:val="231F20"/>
          <w:spacing w:val="-9"/>
        </w:rPr>
        <w:t> </w:t>
      </w:r>
      <w:r>
        <w:rPr>
          <w:color w:val="231F20"/>
        </w:rPr>
        <w:t>lésions</w:t>
      </w:r>
      <w:r>
        <w:rPr>
          <w:color w:val="231F20"/>
          <w:spacing w:val="-9"/>
        </w:rPr>
        <w:t> </w:t>
      </w:r>
      <w:r>
        <w:rPr>
          <w:color w:val="231F20"/>
        </w:rPr>
        <w:t>physiques</w:t>
      </w:r>
      <w:r>
        <w:rPr>
          <w:color w:val="231F20"/>
          <w:spacing w:val="-9"/>
        </w:rPr>
        <w:t> </w:t>
      </w:r>
      <w:r>
        <w:rPr>
          <w:color w:val="231F20"/>
        </w:rPr>
        <w:t>et</w:t>
      </w:r>
      <w:r>
        <w:rPr>
          <w:color w:val="231F20"/>
          <w:spacing w:val="-7"/>
        </w:rPr>
        <w:t> </w:t>
      </w:r>
      <w:r>
        <w:rPr>
          <w:color w:val="231F20"/>
        </w:rPr>
        <w:t>une</w:t>
      </w:r>
      <w:r>
        <w:rPr>
          <w:color w:val="231F20"/>
          <w:spacing w:val="-10"/>
        </w:rPr>
        <w:t> </w:t>
      </w:r>
      <w:r>
        <w:rPr>
          <w:color w:val="231F20"/>
        </w:rPr>
        <w:t>grossesse</w:t>
      </w:r>
      <w:r>
        <w:rPr>
          <w:color w:val="231F20"/>
          <w:spacing w:val="-10"/>
        </w:rPr>
        <w:t> </w:t>
      </w:r>
      <w:r>
        <w:rPr>
          <w:color w:val="231F20"/>
        </w:rPr>
        <w:t>forcée,</w:t>
      </w:r>
      <w:r>
        <w:rPr>
          <w:color w:val="231F20"/>
          <w:spacing w:val="-8"/>
        </w:rPr>
        <w:t> </w:t>
      </w:r>
      <w:r>
        <w:rPr>
          <w:color w:val="231F20"/>
        </w:rPr>
        <w:t>ainsi</w:t>
      </w:r>
      <w:r>
        <w:rPr>
          <w:color w:val="231F20"/>
          <w:spacing w:val="-7"/>
        </w:rPr>
        <w:t> </w:t>
      </w:r>
      <w:r>
        <w:rPr>
          <w:color w:val="231F20"/>
        </w:rPr>
        <w:t>que</w:t>
      </w:r>
      <w:r>
        <w:rPr>
          <w:color w:val="231F20"/>
          <w:spacing w:val="-9"/>
        </w:rPr>
        <w:t> </w:t>
      </w:r>
      <w:r>
        <w:rPr>
          <w:color w:val="231F20"/>
        </w:rPr>
        <w:t>la</w:t>
      </w:r>
      <w:r>
        <w:rPr>
          <w:color w:val="231F20"/>
          <w:spacing w:val="-8"/>
        </w:rPr>
        <w:t> </w:t>
      </w:r>
      <w:r>
        <w:rPr>
          <w:color w:val="231F20"/>
        </w:rPr>
        <w:t>contagion par le VIH/sida ou d’autres maladies sexuellement transmissibles.</w:t>
      </w:r>
      <w:r>
        <w:rPr>
          <w:color w:val="231F20"/>
          <w:spacing w:val="-15"/>
        </w:rPr>
        <w:t> </w:t>
      </w:r>
      <w:r>
        <w:rPr>
          <w:color w:val="231F20"/>
        </w:rPr>
        <w:t>Au combat, sur le front, les enfants soldats sont considérés comme de la simple</w:t>
      </w:r>
      <w:r>
        <w:rPr>
          <w:color w:val="231F20"/>
          <w:spacing w:val="-15"/>
        </w:rPr>
        <w:t> </w:t>
      </w:r>
      <w:r>
        <w:rPr>
          <w:color w:val="231F20"/>
        </w:rPr>
        <w:t>chair</w:t>
      </w:r>
      <w:r>
        <w:rPr>
          <w:color w:val="231F20"/>
          <w:spacing w:val="-15"/>
        </w:rPr>
        <w:t> </w:t>
      </w:r>
      <w:r>
        <w:rPr>
          <w:color w:val="231F20"/>
        </w:rPr>
        <w:t>à</w:t>
      </w:r>
      <w:r>
        <w:rPr>
          <w:color w:val="231F20"/>
          <w:spacing w:val="-14"/>
        </w:rPr>
        <w:t> </w:t>
      </w:r>
      <w:r>
        <w:rPr>
          <w:color w:val="231F20"/>
        </w:rPr>
        <w:t>canon</w:t>
      </w:r>
      <w:r>
        <w:rPr>
          <w:color w:val="231F20"/>
          <w:spacing w:val="-15"/>
        </w:rPr>
        <w:t> </w:t>
      </w:r>
      <w:r>
        <w:rPr>
          <w:color w:val="231F20"/>
        </w:rPr>
        <w:t>par</w:t>
      </w:r>
      <w:r>
        <w:rPr>
          <w:color w:val="231F20"/>
          <w:spacing w:val="-15"/>
        </w:rPr>
        <w:t> </w:t>
      </w:r>
      <w:r>
        <w:rPr>
          <w:color w:val="231F20"/>
        </w:rPr>
        <w:t>leurs</w:t>
      </w:r>
      <w:r>
        <w:rPr>
          <w:color w:val="231F20"/>
          <w:spacing w:val="-14"/>
        </w:rPr>
        <w:t> </w:t>
      </w:r>
      <w:r>
        <w:rPr>
          <w:color w:val="231F20"/>
        </w:rPr>
        <w:t>commandants</w:t>
      </w:r>
      <w:r>
        <w:rPr>
          <w:color w:val="231F20"/>
          <w:spacing w:val="-15"/>
        </w:rPr>
        <w:t> </w:t>
      </w:r>
      <w:r>
        <w:rPr>
          <w:color w:val="231F20"/>
        </w:rPr>
        <w:t>qui</w:t>
      </w:r>
      <w:r>
        <w:rPr>
          <w:color w:val="231F20"/>
          <w:spacing w:val="-15"/>
        </w:rPr>
        <w:t> </w:t>
      </w:r>
      <w:r>
        <w:rPr>
          <w:color w:val="231F20"/>
        </w:rPr>
        <w:t>les</w:t>
      </w:r>
      <w:r>
        <w:rPr>
          <w:color w:val="231F20"/>
          <w:spacing w:val="-15"/>
        </w:rPr>
        <w:t> </w:t>
      </w:r>
      <w:r>
        <w:rPr>
          <w:color w:val="231F20"/>
        </w:rPr>
        <w:t>mettent</w:t>
      </w:r>
      <w:r>
        <w:rPr>
          <w:color w:val="231F20"/>
          <w:spacing w:val="-15"/>
        </w:rPr>
        <w:t> </w:t>
      </w:r>
      <w:r>
        <w:rPr>
          <w:color w:val="231F20"/>
        </w:rPr>
        <w:t>en</w:t>
      </w:r>
      <w:r>
        <w:rPr>
          <w:color w:val="231F20"/>
          <w:spacing w:val="-15"/>
        </w:rPr>
        <w:t> </w:t>
      </w:r>
      <w:r>
        <w:rPr>
          <w:color w:val="231F20"/>
        </w:rPr>
        <w:t>première </w:t>
      </w:r>
      <w:r>
        <w:rPr>
          <w:color w:val="231F20"/>
          <w:spacing w:val="-2"/>
        </w:rPr>
        <w:t>ligne.</w:t>
      </w:r>
    </w:p>
    <w:p>
      <w:pPr>
        <w:pStyle w:val="BodyText"/>
        <w:spacing w:before="121"/>
        <w:ind w:right="104" w:firstLine="283"/>
      </w:pPr>
      <w:r>
        <w:rPr>
          <w:color w:val="231F20"/>
          <w:spacing w:val="-2"/>
        </w:rPr>
        <w:t>Malgré</w:t>
      </w:r>
      <w:r>
        <w:rPr>
          <w:color w:val="231F20"/>
          <w:spacing w:val="-13"/>
        </w:rPr>
        <w:t> </w:t>
      </w:r>
      <w:r>
        <w:rPr>
          <w:color w:val="231F20"/>
          <w:spacing w:val="-2"/>
        </w:rPr>
        <w:t>toutes</w:t>
      </w:r>
      <w:r>
        <w:rPr>
          <w:color w:val="231F20"/>
          <w:spacing w:val="-13"/>
        </w:rPr>
        <w:t> </w:t>
      </w:r>
      <w:r>
        <w:rPr>
          <w:color w:val="231F20"/>
          <w:spacing w:val="-2"/>
        </w:rPr>
        <w:t>ses</w:t>
      </w:r>
      <w:r>
        <w:rPr>
          <w:color w:val="231F20"/>
          <w:spacing w:val="-11"/>
        </w:rPr>
        <w:t> </w:t>
      </w:r>
      <w:r>
        <w:rPr>
          <w:color w:val="231F20"/>
          <w:spacing w:val="-2"/>
        </w:rPr>
        <w:t>richesses,</w:t>
      </w:r>
      <w:r>
        <w:rPr>
          <w:color w:val="231F20"/>
          <w:spacing w:val="-13"/>
        </w:rPr>
        <w:t> </w:t>
      </w:r>
      <w:r>
        <w:rPr>
          <w:color w:val="231F20"/>
          <w:spacing w:val="-2"/>
        </w:rPr>
        <w:t>la</w:t>
      </w:r>
      <w:r>
        <w:rPr>
          <w:color w:val="231F20"/>
          <w:spacing w:val="-11"/>
        </w:rPr>
        <w:t> </w:t>
      </w:r>
      <w:r>
        <w:rPr>
          <w:color w:val="231F20"/>
          <w:spacing w:val="-2"/>
        </w:rPr>
        <w:t>RDC</w:t>
      </w:r>
      <w:r>
        <w:rPr>
          <w:color w:val="231F20"/>
          <w:spacing w:val="-12"/>
        </w:rPr>
        <w:t> </w:t>
      </w:r>
      <w:r>
        <w:rPr>
          <w:color w:val="231F20"/>
          <w:spacing w:val="-2"/>
        </w:rPr>
        <w:t>est</w:t>
      </w:r>
      <w:r>
        <w:rPr>
          <w:color w:val="231F20"/>
          <w:spacing w:val="-12"/>
        </w:rPr>
        <w:t> </w:t>
      </w:r>
      <w:r>
        <w:rPr>
          <w:color w:val="231F20"/>
          <w:spacing w:val="-2"/>
        </w:rPr>
        <w:t>l’un</w:t>
      </w:r>
      <w:r>
        <w:rPr>
          <w:color w:val="231F20"/>
          <w:spacing w:val="-10"/>
        </w:rPr>
        <w:t> </w:t>
      </w:r>
      <w:r>
        <w:rPr>
          <w:color w:val="231F20"/>
          <w:spacing w:val="-2"/>
        </w:rPr>
        <w:t>des</w:t>
      </w:r>
      <w:r>
        <w:rPr>
          <w:color w:val="231F20"/>
          <w:spacing w:val="-10"/>
        </w:rPr>
        <w:t> </w:t>
      </w:r>
      <w:r>
        <w:rPr>
          <w:color w:val="231F20"/>
          <w:spacing w:val="-2"/>
        </w:rPr>
        <w:t>pays</w:t>
      </w:r>
      <w:r>
        <w:rPr>
          <w:color w:val="231F20"/>
          <w:spacing w:val="-10"/>
        </w:rPr>
        <w:t> </w:t>
      </w:r>
      <w:r>
        <w:rPr>
          <w:color w:val="231F20"/>
          <w:spacing w:val="-2"/>
        </w:rPr>
        <w:t>les</w:t>
      </w:r>
      <w:r>
        <w:rPr>
          <w:color w:val="231F20"/>
          <w:spacing w:val="-10"/>
        </w:rPr>
        <w:t> </w:t>
      </w:r>
      <w:r>
        <w:rPr>
          <w:color w:val="231F20"/>
          <w:spacing w:val="-2"/>
        </w:rPr>
        <w:t>plus</w:t>
      </w:r>
      <w:r>
        <w:rPr>
          <w:color w:val="231F20"/>
          <w:spacing w:val="-13"/>
        </w:rPr>
        <w:t> </w:t>
      </w:r>
      <w:r>
        <w:rPr>
          <w:color w:val="231F20"/>
          <w:spacing w:val="-2"/>
        </w:rPr>
        <w:t>endettés d’Afrique.</w:t>
      </w:r>
      <w:r>
        <w:rPr>
          <w:color w:val="231F20"/>
          <w:spacing w:val="-13"/>
        </w:rPr>
        <w:t> </w:t>
      </w:r>
      <w:r>
        <w:rPr>
          <w:color w:val="231F20"/>
          <w:spacing w:val="-2"/>
        </w:rPr>
        <w:t>Depuis</w:t>
      </w:r>
      <w:r>
        <w:rPr>
          <w:color w:val="231F20"/>
          <w:spacing w:val="-13"/>
        </w:rPr>
        <w:t> </w:t>
      </w:r>
      <w:r>
        <w:rPr>
          <w:color w:val="231F20"/>
          <w:spacing w:val="-2"/>
        </w:rPr>
        <w:t>1996,</w:t>
      </w:r>
      <w:r>
        <w:rPr>
          <w:color w:val="231F20"/>
          <w:spacing w:val="-13"/>
        </w:rPr>
        <w:t> </w:t>
      </w:r>
      <w:r>
        <w:rPr>
          <w:color w:val="231F20"/>
          <w:spacing w:val="-2"/>
        </w:rPr>
        <w:t>l’Agriculture</w:t>
      </w:r>
      <w:r>
        <w:rPr>
          <w:color w:val="231F20"/>
          <w:spacing w:val="-13"/>
        </w:rPr>
        <w:t> </w:t>
      </w:r>
      <w:r>
        <w:rPr>
          <w:color w:val="231F20"/>
          <w:spacing w:val="-2"/>
        </w:rPr>
        <w:t>a</w:t>
      </w:r>
      <w:r>
        <w:rPr>
          <w:color w:val="231F20"/>
          <w:spacing w:val="-13"/>
        </w:rPr>
        <w:t> </w:t>
      </w:r>
      <w:r>
        <w:rPr>
          <w:color w:val="231F20"/>
          <w:spacing w:val="-2"/>
        </w:rPr>
        <w:t>été</w:t>
      </w:r>
      <w:r>
        <w:rPr>
          <w:color w:val="231F20"/>
          <w:spacing w:val="-13"/>
        </w:rPr>
        <w:t> </w:t>
      </w:r>
      <w:r>
        <w:rPr>
          <w:color w:val="231F20"/>
          <w:spacing w:val="-2"/>
        </w:rPr>
        <w:t>ruinée</w:t>
      </w:r>
      <w:r>
        <w:rPr>
          <w:color w:val="231F20"/>
          <w:spacing w:val="-12"/>
        </w:rPr>
        <w:t> </w:t>
      </w:r>
      <w:r>
        <w:rPr>
          <w:color w:val="231F20"/>
          <w:spacing w:val="-2"/>
        </w:rPr>
        <w:t>par</w:t>
      </w:r>
      <w:r>
        <w:rPr>
          <w:color w:val="231F20"/>
          <w:spacing w:val="-12"/>
        </w:rPr>
        <w:t> </w:t>
      </w:r>
      <w:r>
        <w:rPr>
          <w:color w:val="231F20"/>
          <w:spacing w:val="-2"/>
        </w:rPr>
        <w:t>les</w:t>
      </w:r>
      <w:r>
        <w:rPr>
          <w:color w:val="231F20"/>
          <w:spacing w:val="-13"/>
        </w:rPr>
        <w:t> </w:t>
      </w:r>
      <w:r>
        <w:rPr>
          <w:color w:val="231F20"/>
          <w:spacing w:val="-2"/>
        </w:rPr>
        <w:t>guerres</w:t>
      </w:r>
      <w:r>
        <w:rPr>
          <w:color w:val="231F20"/>
          <w:spacing w:val="-12"/>
        </w:rPr>
        <w:t> </w:t>
      </w:r>
      <w:r>
        <w:rPr>
          <w:color w:val="231F20"/>
          <w:spacing w:val="-2"/>
        </w:rPr>
        <w:t>civiles, </w:t>
      </w:r>
      <w:r>
        <w:rPr>
          <w:color w:val="231F20"/>
          <w:spacing w:val="-4"/>
        </w:rPr>
        <w:t>des</w:t>
      </w:r>
      <w:r>
        <w:rPr>
          <w:color w:val="231F20"/>
          <w:spacing w:val="-6"/>
        </w:rPr>
        <w:t> </w:t>
      </w:r>
      <w:r>
        <w:rPr>
          <w:color w:val="231F20"/>
          <w:spacing w:val="-4"/>
        </w:rPr>
        <w:t>millions</w:t>
      </w:r>
      <w:r>
        <w:rPr>
          <w:color w:val="231F20"/>
          <w:spacing w:val="-6"/>
        </w:rPr>
        <w:t> </w:t>
      </w:r>
      <w:r>
        <w:rPr>
          <w:color w:val="231F20"/>
          <w:spacing w:val="-4"/>
        </w:rPr>
        <w:t>de</w:t>
      </w:r>
      <w:r>
        <w:rPr>
          <w:color w:val="231F20"/>
          <w:spacing w:val="-7"/>
        </w:rPr>
        <w:t> </w:t>
      </w:r>
      <w:r>
        <w:rPr>
          <w:color w:val="231F20"/>
          <w:spacing w:val="-4"/>
        </w:rPr>
        <w:t>personnes</w:t>
      </w:r>
      <w:r>
        <w:rPr>
          <w:color w:val="231F20"/>
          <w:spacing w:val="-9"/>
        </w:rPr>
        <w:t> </w:t>
      </w:r>
      <w:r>
        <w:rPr>
          <w:color w:val="231F20"/>
          <w:spacing w:val="-4"/>
        </w:rPr>
        <w:t>ont</w:t>
      </w:r>
      <w:r>
        <w:rPr>
          <w:color w:val="231F20"/>
          <w:spacing w:val="-6"/>
        </w:rPr>
        <w:t> </w:t>
      </w:r>
      <w:r>
        <w:rPr>
          <w:color w:val="231F20"/>
          <w:spacing w:val="-4"/>
        </w:rPr>
        <w:t>trouvé</w:t>
      </w:r>
      <w:r>
        <w:rPr>
          <w:color w:val="231F20"/>
          <w:spacing w:val="-6"/>
        </w:rPr>
        <w:t> </w:t>
      </w:r>
      <w:r>
        <w:rPr>
          <w:color w:val="231F20"/>
          <w:spacing w:val="-4"/>
        </w:rPr>
        <w:t>la</w:t>
      </w:r>
      <w:r>
        <w:rPr>
          <w:color w:val="231F20"/>
          <w:spacing w:val="-9"/>
        </w:rPr>
        <w:t> </w:t>
      </w:r>
      <w:r>
        <w:rPr>
          <w:color w:val="231F20"/>
          <w:spacing w:val="-4"/>
        </w:rPr>
        <w:t>mort</w:t>
      </w:r>
      <w:r>
        <w:rPr>
          <w:color w:val="231F20"/>
          <w:spacing w:val="-6"/>
        </w:rPr>
        <w:t> </w:t>
      </w:r>
      <w:r>
        <w:rPr>
          <w:color w:val="231F20"/>
          <w:spacing w:val="-4"/>
        </w:rPr>
        <w:t>et</w:t>
      </w:r>
      <w:r>
        <w:rPr>
          <w:color w:val="231F20"/>
          <w:spacing w:val="-6"/>
        </w:rPr>
        <w:t> </w:t>
      </w:r>
      <w:r>
        <w:rPr>
          <w:color w:val="231F20"/>
          <w:spacing w:val="-4"/>
        </w:rPr>
        <w:t>plusieurs</w:t>
      </w:r>
      <w:r>
        <w:rPr>
          <w:color w:val="231F20"/>
          <w:spacing w:val="-7"/>
        </w:rPr>
        <w:t> </w:t>
      </w:r>
      <w:r>
        <w:rPr>
          <w:color w:val="231F20"/>
          <w:spacing w:val="-4"/>
        </w:rPr>
        <w:t>millions</w:t>
      </w:r>
      <w:r>
        <w:rPr>
          <w:color w:val="231F20"/>
          <w:spacing w:val="-9"/>
        </w:rPr>
        <w:t> </w:t>
      </w:r>
      <w:r>
        <w:rPr>
          <w:color w:val="231F20"/>
          <w:spacing w:val="-4"/>
        </w:rPr>
        <w:t>d’autres </w:t>
      </w:r>
      <w:r>
        <w:rPr>
          <w:color w:val="231F20"/>
        </w:rPr>
        <w:t>ont fui leurs terres.</w:t>
      </w:r>
    </w:p>
    <w:p>
      <w:pPr>
        <w:pStyle w:val="BodyText"/>
        <w:spacing w:before="120"/>
        <w:ind w:right="106" w:firstLine="283"/>
      </w:pPr>
      <w:r>
        <w:rPr>
          <w:color w:val="231F20"/>
        </w:rPr>
        <w:t>En 2007, le Burundi abritait près de 32</w:t>
      </w:r>
      <w:r>
        <w:rPr>
          <w:color w:val="231F20"/>
          <w:spacing w:val="-15"/>
        </w:rPr>
        <w:t> </w:t>
      </w:r>
      <w:r>
        <w:rPr>
          <w:color w:val="231F20"/>
        </w:rPr>
        <w:t>000 réfugiés et demandeurs </w:t>
      </w:r>
      <w:r>
        <w:rPr>
          <w:color w:val="231F20"/>
          <w:spacing w:val="-4"/>
        </w:rPr>
        <w:t>d’asile</w:t>
      </w:r>
      <w:r>
        <w:rPr>
          <w:color w:val="231F20"/>
          <w:spacing w:val="-11"/>
        </w:rPr>
        <w:t> </w:t>
      </w:r>
      <w:r>
        <w:rPr>
          <w:color w:val="231F20"/>
          <w:spacing w:val="-4"/>
        </w:rPr>
        <w:t>et</w:t>
      </w:r>
      <w:r>
        <w:rPr>
          <w:color w:val="231F20"/>
          <w:spacing w:val="-11"/>
        </w:rPr>
        <w:t> </w:t>
      </w:r>
      <w:r>
        <w:rPr>
          <w:color w:val="231F20"/>
          <w:spacing w:val="-4"/>
        </w:rPr>
        <w:t>la</w:t>
      </w:r>
      <w:r>
        <w:rPr>
          <w:color w:val="231F20"/>
          <w:spacing w:val="-11"/>
        </w:rPr>
        <w:t> </w:t>
      </w:r>
      <w:r>
        <w:rPr>
          <w:color w:val="231F20"/>
          <w:spacing w:val="-4"/>
        </w:rPr>
        <w:t>plupart</w:t>
      </w:r>
      <w:r>
        <w:rPr>
          <w:color w:val="231F20"/>
          <w:spacing w:val="-11"/>
        </w:rPr>
        <w:t> </w:t>
      </w:r>
      <w:r>
        <w:rPr>
          <w:color w:val="231F20"/>
          <w:spacing w:val="-4"/>
        </w:rPr>
        <w:t>provenaient</w:t>
      </w:r>
      <w:r>
        <w:rPr>
          <w:color w:val="231F20"/>
          <w:spacing w:val="-11"/>
        </w:rPr>
        <w:t> </w:t>
      </w:r>
      <w:r>
        <w:rPr>
          <w:color w:val="231F20"/>
          <w:spacing w:val="-4"/>
        </w:rPr>
        <w:t>de</w:t>
      </w:r>
      <w:r>
        <w:rPr>
          <w:color w:val="231F20"/>
          <w:spacing w:val="-11"/>
        </w:rPr>
        <w:t> </w:t>
      </w:r>
      <w:r>
        <w:rPr>
          <w:color w:val="231F20"/>
          <w:spacing w:val="-4"/>
        </w:rPr>
        <w:t>la</w:t>
      </w:r>
      <w:r>
        <w:rPr>
          <w:color w:val="231F20"/>
          <w:spacing w:val="-11"/>
        </w:rPr>
        <w:t> </w:t>
      </w:r>
      <w:r>
        <w:rPr>
          <w:color w:val="231F20"/>
          <w:spacing w:val="-4"/>
        </w:rPr>
        <w:t>République</w:t>
      </w:r>
      <w:r>
        <w:rPr>
          <w:color w:val="231F20"/>
          <w:spacing w:val="-11"/>
        </w:rPr>
        <w:t> </w:t>
      </w:r>
      <w:r>
        <w:rPr>
          <w:color w:val="231F20"/>
          <w:spacing w:val="-4"/>
        </w:rPr>
        <w:t>Démocratique</w:t>
      </w:r>
      <w:r>
        <w:rPr>
          <w:color w:val="231F20"/>
          <w:spacing w:val="-11"/>
        </w:rPr>
        <w:t> </w:t>
      </w:r>
      <w:r>
        <w:rPr>
          <w:color w:val="231F20"/>
          <w:spacing w:val="-4"/>
        </w:rPr>
        <w:t>du</w:t>
      </w:r>
      <w:r>
        <w:rPr>
          <w:color w:val="231F20"/>
          <w:spacing w:val="-11"/>
        </w:rPr>
        <w:t> </w:t>
      </w:r>
      <w:r>
        <w:rPr>
          <w:color w:val="231F20"/>
          <w:spacing w:val="-4"/>
        </w:rPr>
        <w:t>Congo </w:t>
      </w:r>
      <w:r>
        <w:rPr>
          <w:color w:val="231F20"/>
        </w:rPr>
        <w:t>et les autres, du Rwanda.</w:t>
      </w:r>
    </w:p>
    <w:p>
      <w:pPr>
        <w:pStyle w:val="BodyText"/>
        <w:spacing w:before="120"/>
        <w:ind w:left="395"/>
      </w:pPr>
      <w:r>
        <w:rPr>
          <w:color w:val="231F20"/>
        </w:rPr>
        <w:t>Le</w:t>
      </w:r>
      <w:r>
        <w:rPr>
          <w:color w:val="231F20"/>
          <w:spacing w:val="10"/>
        </w:rPr>
        <w:t> </w:t>
      </w:r>
      <w:r>
        <w:rPr>
          <w:color w:val="231F20"/>
        </w:rPr>
        <w:t>Cameroun</w:t>
      </w:r>
      <w:r>
        <w:rPr>
          <w:color w:val="231F20"/>
          <w:spacing w:val="13"/>
        </w:rPr>
        <w:t> </w:t>
      </w:r>
      <w:r>
        <w:rPr>
          <w:color w:val="231F20"/>
        </w:rPr>
        <w:t>fait</w:t>
      </w:r>
      <w:r>
        <w:rPr>
          <w:color w:val="231F20"/>
          <w:spacing w:val="13"/>
        </w:rPr>
        <w:t> </w:t>
      </w:r>
      <w:r>
        <w:rPr>
          <w:color w:val="231F20"/>
        </w:rPr>
        <w:t>face</w:t>
      </w:r>
      <w:r>
        <w:rPr>
          <w:color w:val="231F20"/>
          <w:spacing w:val="12"/>
        </w:rPr>
        <w:t> </w:t>
      </w:r>
      <w:r>
        <w:rPr>
          <w:color w:val="231F20"/>
        </w:rPr>
        <w:t>depuis</w:t>
      </w:r>
      <w:r>
        <w:rPr>
          <w:color w:val="231F20"/>
          <w:spacing w:val="11"/>
        </w:rPr>
        <w:t> </w:t>
      </w:r>
      <w:r>
        <w:rPr>
          <w:color w:val="231F20"/>
        </w:rPr>
        <w:t>2013</w:t>
      </w:r>
      <w:r>
        <w:rPr>
          <w:color w:val="231F20"/>
          <w:spacing w:val="12"/>
        </w:rPr>
        <w:t> </w:t>
      </w:r>
      <w:r>
        <w:rPr>
          <w:color w:val="231F20"/>
        </w:rPr>
        <w:t>à</w:t>
      </w:r>
      <w:r>
        <w:rPr>
          <w:color w:val="231F20"/>
          <w:spacing w:val="10"/>
        </w:rPr>
        <w:t> </w:t>
      </w:r>
      <w:r>
        <w:rPr>
          <w:color w:val="231F20"/>
        </w:rPr>
        <w:t>la</w:t>
      </w:r>
      <w:r>
        <w:rPr>
          <w:color w:val="231F20"/>
          <w:spacing w:val="12"/>
        </w:rPr>
        <w:t> </w:t>
      </w:r>
      <w:r>
        <w:rPr>
          <w:color w:val="231F20"/>
        </w:rPr>
        <w:t>dégradation</w:t>
      </w:r>
      <w:r>
        <w:rPr>
          <w:color w:val="231F20"/>
          <w:spacing w:val="12"/>
        </w:rPr>
        <w:t> </w:t>
      </w:r>
      <w:r>
        <w:rPr>
          <w:color w:val="231F20"/>
        </w:rPr>
        <w:t>de</w:t>
      </w:r>
      <w:r>
        <w:rPr>
          <w:color w:val="231F20"/>
          <w:spacing w:val="10"/>
        </w:rPr>
        <w:t> </w:t>
      </w:r>
      <w:r>
        <w:rPr>
          <w:color w:val="231F20"/>
        </w:rPr>
        <w:t>sa</w:t>
      </w:r>
      <w:r>
        <w:rPr>
          <w:color w:val="231F20"/>
          <w:spacing w:val="13"/>
        </w:rPr>
        <w:t> </w:t>
      </w:r>
      <w:r>
        <w:rPr>
          <w:color w:val="231F20"/>
          <w:spacing w:val="-2"/>
        </w:rPr>
        <w:t>situation</w:t>
      </w:r>
    </w:p>
    <w:p>
      <w:pPr>
        <w:pStyle w:val="BodyText"/>
      </w:pPr>
      <w:r>
        <w:rPr>
          <w:color w:val="231F20"/>
          <w:spacing w:val="-2"/>
        </w:rPr>
        <w:t>sécuritaire</w:t>
      </w:r>
      <w:r>
        <w:rPr>
          <w:color w:val="231F20"/>
          <w:spacing w:val="-11"/>
        </w:rPr>
        <w:t> </w:t>
      </w:r>
      <w:r>
        <w:rPr>
          <w:color w:val="231F20"/>
          <w:spacing w:val="-2"/>
        </w:rPr>
        <w:t>dans</w:t>
      </w:r>
      <w:r>
        <w:rPr>
          <w:color w:val="231F20"/>
          <w:spacing w:val="-10"/>
        </w:rPr>
        <w:t> </w:t>
      </w:r>
      <w:r>
        <w:rPr>
          <w:color w:val="231F20"/>
          <w:spacing w:val="-2"/>
        </w:rPr>
        <w:t>l’extrême-nord</w:t>
      </w:r>
      <w:r>
        <w:rPr>
          <w:color w:val="231F20"/>
          <w:spacing w:val="-7"/>
        </w:rPr>
        <w:t> </w:t>
      </w:r>
      <w:r>
        <w:rPr>
          <w:color w:val="231F20"/>
          <w:spacing w:val="-2"/>
        </w:rPr>
        <w:t>de</w:t>
      </w:r>
      <w:r>
        <w:rPr>
          <w:color w:val="231F20"/>
          <w:spacing w:val="-11"/>
        </w:rPr>
        <w:t> </w:t>
      </w:r>
      <w:r>
        <w:rPr>
          <w:color w:val="231F20"/>
          <w:spacing w:val="-2"/>
        </w:rPr>
        <w:t>son</w:t>
      </w:r>
      <w:r>
        <w:rPr>
          <w:color w:val="231F20"/>
          <w:spacing w:val="-11"/>
        </w:rPr>
        <w:t> </w:t>
      </w:r>
      <w:r>
        <w:rPr>
          <w:color w:val="231F20"/>
          <w:spacing w:val="-2"/>
        </w:rPr>
        <w:t>territoire</w:t>
      </w:r>
      <w:r>
        <w:rPr>
          <w:color w:val="231F20"/>
          <w:spacing w:val="-10"/>
        </w:rPr>
        <w:t> </w:t>
      </w:r>
      <w:r>
        <w:rPr>
          <w:color w:val="231F20"/>
          <w:spacing w:val="-2"/>
        </w:rPr>
        <w:t>du</w:t>
      </w:r>
      <w:r>
        <w:rPr>
          <w:color w:val="231F20"/>
          <w:spacing w:val="-11"/>
        </w:rPr>
        <w:t> </w:t>
      </w:r>
      <w:r>
        <w:rPr>
          <w:color w:val="231F20"/>
          <w:spacing w:val="-2"/>
        </w:rPr>
        <w:t>fait</w:t>
      </w:r>
      <w:r>
        <w:rPr>
          <w:color w:val="231F20"/>
          <w:spacing w:val="-7"/>
        </w:rPr>
        <w:t> </w:t>
      </w:r>
      <w:r>
        <w:rPr>
          <w:color w:val="231F20"/>
          <w:spacing w:val="-2"/>
        </w:rPr>
        <w:t>des</w:t>
      </w:r>
      <w:r>
        <w:rPr>
          <w:color w:val="231F20"/>
          <w:spacing w:val="-10"/>
        </w:rPr>
        <w:t> </w:t>
      </w:r>
      <w:r>
        <w:rPr>
          <w:color w:val="231F20"/>
          <w:spacing w:val="-2"/>
        </w:rPr>
        <w:t>attaques</w:t>
      </w:r>
      <w:r>
        <w:rPr>
          <w:color w:val="231F20"/>
          <w:spacing w:val="-10"/>
        </w:rPr>
        <w:t> </w:t>
      </w:r>
      <w:r>
        <w:rPr>
          <w:color w:val="231F20"/>
          <w:spacing w:val="-2"/>
        </w:rPr>
        <w:t>de</w:t>
      </w:r>
      <w:r>
        <w:rPr>
          <w:color w:val="231F20"/>
          <w:spacing w:val="-7"/>
        </w:rPr>
        <w:t> </w:t>
      </w:r>
      <w:r>
        <w:rPr>
          <w:color w:val="231F20"/>
          <w:spacing w:val="-5"/>
        </w:rPr>
        <w:t>la</w:t>
      </w:r>
    </w:p>
    <w:p>
      <w:pPr>
        <w:spacing w:after="0"/>
        <w:sectPr>
          <w:pgSz w:w="8790" w:h="13610"/>
          <w:pgMar w:header="0" w:footer="802" w:top="1060" w:bottom="1000" w:left="880" w:right="880"/>
        </w:sectPr>
      </w:pPr>
    </w:p>
    <w:p>
      <w:pPr>
        <w:pStyle w:val="BodyText"/>
        <w:spacing w:before="66"/>
        <w:ind w:right="103"/>
      </w:pPr>
      <w:r>
        <w:rPr>
          <w:color w:val="231F20"/>
          <w:spacing w:val="-2"/>
        </w:rPr>
        <w:t>secte</w:t>
      </w:r>
      <w:r>
        <w:rPr>
          <w:color w:val="231F20"/>
          <w:spacing w:val="-7"/>
        </w:rPr>
        <w:t> </w:t>
      </w:r>
      <w:r>
        <w:rPr>
          <w:color w:val="231F20"/>
          <w:spacing w:val="-2"/>
        </w:rPr>
        <w:t>Boko</w:t>
      </w:r>
      <w:r>
        <w:rPr>
          <w:color w:val="231F20"/>
          <w:spacing w:val="-7"/>
        </w:rPr>
        <w:t> </w:t>
      </w:r>
      <w:r>
        <w:rPr>
          <w:color w:val="231F20"/>
          <w:spacing w:val="-2"/>
        </w:rPr>
        <w:t>Haram.</w:t>
      </w:r>
      <w:r>
        <w:rPr>
          <w:color w:val="231F20"/>
          <w:spacing w:val="-8"/>
        </w:rPr>
        <w:t> </w:t>
      </w:r>
      <w:r>
        <w:rPr>
          <w:color w:val="231F20"/>
          <w:spacing w:val="-2"/>
        </w:rPr>
        <w:t>Résultat</w:t>
      </w:r>
      <w:r>
        <w:rPr>
          <w:color w:val="231F20"/>
          <w:spacing w:val="-9"/>
        </w:rPr>
        <w:t> </w:t>
      </w:r>
      <w:r>
        <w:rPr>
          <w:color w:val="231F20"/>
          <w:spacing w:val="-2"/>
        </w:rPr>
        <w:t>:</w:t>
      </w:r>
      <w:r>
        <w:rPr>
          <w:color w:val="231F20"/>
          <w:spacing w:val="-7"/>
        </w:rPr>
        <w:t> </w:t>
      </w:r>
      <w:r>
        <w:rPr>
          <w:color w:val="231F20"/>
          <w:spacing w:val="-2"/>
        </w:rPr>
        <w:t>des</w:t>
      </w:r>
      <w:r>
        <w:rPr>
          <w:color w:val="231F20"/>
          <w:spacing w:val="-7"/>
        </w:rPr>
        <w:t> </w:t>
      </w:r>
      <w:r>
        <w:rPr>
          <w:color w:val="231F20"/>
          <w:spacing w:val="-2"/>
        </w:rPr>
        <w:t>déplacements</w:t>
      </w:r>
      <w:r>
        <w:rPr>
          <w:color w:val="231F20"/>
          <w:spacing w:val="-8"/>
        </w:rPr>
        <w:t> </w:t>
      </w:r>
      <w:r>
        <w:rPr>
          <w:color w:val="231F20"/>
          <w:spacing w:val="-2"/>
        </w:rPr>
        <w:t>massifs</w:t>
      </w:r>
      <w:r>
        <w:rPr>
          <w:color w:val="231F20"/>
          <w:spacing w:val="-7"/>
        </w:rPr>
        <w:t> </w:t>
      </w:r>
      <w:r>
        <w:rPr>
          <w:color w:val="231F20"/>
          <w:spacing w:val="-2"/>
        </w:rPr>
        <w:t>de</w:t>
      </w:r>
      <w:r>
        <w:rPr>
          <w:color w:val="231F20"/>
          <w:spacing w:val="-8"/>
        </w:rPr>
        <w:t> </w:t>
      </w:r>
      <w:r>
        <w:rPr>
          <w:color w:val="231F20"/>
          <w:spacing w:val="-2"/>
        </w:rPr>
        <w:t>populations</w:t>
      </w:r>
      <w:r>
        <w:rPr>
          <w:color w:val="231F20"/>
          <w:spacing w:val="-7"/>
        </w:rPr>
        <w:t> </w:t>
      </w:r>
      <w:r>
        <w:rPr>
          <w:color w:val="231F20"/>
          <w:spacing w:val="-2"/>
        </w:rPr>
        <w:t>à </w:t>
      </w:r>
      <w:r>
        <w:rPr>
          <w:color w:val="231F20"/>
        </w:rPr>
        <w:t>l’intérieur du pays et des réfugiés Nigérians au Nord et ceux de la </w:t>
      </w:r>
      <w:r>
        <w:rPr>
          <w:color w:val="231F20"/>
          <w:spacing w:val="-4"/>
        </w:rPr>
        <w:t>République</w:t>
      </w:r>
      <w:r>
        <w:rPr>
          <w:color w:val="231F20"/>
          <w:spacing w:val="-7"/>
        </w:rPr>
        <w:t> </w:t>
      </w:r>
      <w:r>
        <w:rPr>
          <w:color w:val="231F20"/>
          <w:spacing w:val="-4"/>
        </w:rPr>
        <w:t>Centrafricaine</w:t>
      </w:r>
      <w:r>
        <w:rPr>
          <w:color w:val="231F20"/>
          <w:spacing w:val="-7"/>
        </w:rPr>
        <w:t> </w:t>
      </w:r>
      <w:r>
        <w:rPr>
          <w:color w:val="231F20"/>
          <w:spacing w:val="-4"/>
        </w:rPr>
        <w:t>à</w:t>
      </w:r>
      <w:r>
        <w:rPr>
          <w:color w:val="231F20"/>
          <w:spacing w:val="-7"/>
        </w:rPr>
        <w:t> </w:t>
      </w:r>
      <w:r>
        <w:rPr>
          <w:color w:val="231F20"/>
          <w:spacing w:val="-4"/>
        </w:rPr>
        <w:t>l’Est,</w:t>
      </w:r>
      <w:r>
        <w:rPr>
          <w:color w:val="231F20"/>
          <w:spacing w:val="-6"/>
        </w:rPr>
        <w:t> </w:t>
      </w:r>
      <w:r>
        <w:rPr>
          <w:color w:val="231F20"/>
          <w:spacing w:val="-4"/>
        </w:rPr>
        <w:t>fuyant</w:t>
      </w:r>
      <w:r>
        <w:rPr>
          <w:color w:val="231F20"/>
          <w:spacing w:val="-6"/>
        </w:rPr>
        <w:t> </w:t>
      </w:r>
      <w:r>
        <w:rPr>
          <w:color w:val="231F20"/>
          <w:spacing w:val="-4"/>
        </w:rPr>
        <w:t>les</w:t>
      </w:r>
      <w:r>
        <w:rPr>
          <w:color w:val="231F20"/>
          <w:spacing w:val="-6"/>
        </w:rPr>
        <w:t> </w:t>
      </w:r>
      <w:r>
        <w:rPr>
          <w:color w:val="231F20"/>
          <w:spacing w:val="-4"/>
        </w:rPr>
        <w:t>groupes</w:t>
      </w:r>
      <w:r>
        <w:rPr>
          <w:color w:val="231F20"/>
          <w:spacing w:val="-6"/>
        </w:rPr>
        <w:t> </w:t>
      </w:r>
      <w:r>
        <w:rPr>
          <w:color w:val="231F20"/>
          <w:spacing w:val="-4"/>
        </w:rPr>
        <w:t>armés.</w:t>
      </w:r>
      <w:r>
        <w:rPr>
          <w:color w:val="231F20"/>
          <w:spacing w:val="-9"/>
        </w:rPr>
        <w:t> </w:t>
      </w:r>
      <w:r>
        <w:rPr>
          <w:color w:val="231F20"/>
          <w:spacing w:val="-4"/>
        </w:rPr>
        <w:t>Le</w:t>
      </w:r>
      <w:r>
        <w:rPr>
          <w:color w:val="231F20"/>
          <w:spacing w:val="-7"/>
        </w:rPr>
        <w:t> </w:t>
      </w:r>
      <w:r>
        <w:rPr>
          <w:color w:val="231F20"/>
          <w:spacing w:val="-4"/>
        </w:rPr>
        <w:t>Tchad</w:t>
      </w:r>
      <w:r>
        <w:rPr>
          <w:color w:val="231F20"/>
          <w:spacing w:val="-7"/>
        </w:rPr>
        <w:t> </w:t>
      </w:r>
      <w:r>
        <w:rPr>
          <w:color w:val="231F20"/>
          <w:spacing w:val="-4"/>
        </w:rPr>
        <w:t>est </w:t>
      </w:r>
      <w:r>
        <w:rPr>
          <w:color w:val="231F20"/>
        </w:rPr>
        <w:t>cerné</w:t>
      </w:r>
      <w:r>
        <w:rPr>
          <w:color w:val="231F20"/>
          <w:spacing w:val="-15"/>
        </w:rPr>
        <w:t> </w:t>
      </w:r>
      <w:r>
        <w:rPr>
          <w:color w:val="231F20"/>
        </w:rPr>
        <w:t>de</w:t>
      </w:r>
      <w:r>
        <w:rPr>
          <w:color w:val="231F20"/>
          <w:spacing w:val="-15"/>
        </w:rPr>
        <w:t> </w:t>
      </w:r>
      <w:r>
        <w:rPr>
          <w:color w:val="231F20"/>
        </w:rPr>
        <w:t>menaces</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foyers</w:t>
      </w:r>
      <w:r>
        <w:rPr>
          <w:color w:val="231F20"/>
          <w:spacing w:val="-15"/>
        </w:rPr>
        <w:t> </w:t>
      </w:r>
      <w:r>
        <w:rPr>
          <w:color w:val="231F20"/>
        </w:rPr>
        <w:t>d’instabilité</w:t>
      </w:r>
      <w:r>
        <w:rPr>
          <w:color w:val="231F20"/>
          <w:spacing w:val="-15"/>
        </w:rPr>
        <w:t> </w:t>
      </w:r>
      <w:r>
        <w:rPr>
          <w:color w:val="231F20"/>
        </w:rPr>
        <w:t>–</w:t>
      </w:r>
      <w:r>
        <w:rPr>
          <w:color w:val="231F20"/>
          <w:spacing w:val="-15"/>
        </w:rPr>
        <w:t> </w:t>
      </w:r>
      <w:r>
        <w:rPr>
          <w:color w:val="231F20"/>
        </w:rPr>
        <w:t>Libye</w:t>
      </w:r>
      <w:r>
        <w:rPr>
          <w:color w:val="231F20"/>
          <w:spacing w:val="-15"/>
        </w:rPr>
        <w:t> </w:t>
      </w:r>
      <w:r>
        <w:rPr>
          <w:color w:val="231F20"/>
        </w:rPr>
        <w:t>au</w:t>
      </w:r>
      <w:r>
        <w:rPr>
          <w:color w:val="231F20"/>
          <w:spacing w:val="-15"/>
        </w:rPr>
        <w:t> </w:t>
      </w:r>
      <w:r>
        <w:rPr>
          <w:color w:val="231F20"/>
        </w:rPr>
        <w:t>Nord,</w:t>
      </w:r>
      <w:r>
        <w:rPr>
          <w:color w:val="231F20"/>
          <w:spacing w:val="-15"/>
        </w:rPr>
        <w:t> </w:t>
      </w:r>
      <w:r>
        <w:rPr>
          <w:color w:val="231F20"/>
        </w:rPr>
        <w:t>République Centrafricaine et Cameroun au Sud, Soudan à l’Est, Niger et Nigeria à l’Ouest, avec Boko Haram.</w:t>
      </w:r>
    </w:p>
    <w:p>
      <w:pPr>
        <w:pStyle w:val="BodyText"/>
        <w:spacing w:before="120"/>
        <w:ind w:right="106" w:firstLine="283"/>
      </w:pPr>
      <w:r>
        <w:rPr>
          <w:color w:val="231F20"/>
        </w:rPr>
        <w:t>La zone</w:t>
      </w:r>
      <w:r>
        <w:rPr>
          <w:color w:val="231F20"/>
          <w:spacing w:val="-15"/>
        </w:rPr>
        <w:t> </w:t>
      </w:r>
      <w:r>
        <w:rPr>
          <w:color w:val="231F20"/>
        </w:rPr>
        <w:t>Sahélo</w:t>
      </w:r>
      <w:r>
        <w:rPr>
          <w:i/>
          <w:color w:val="231F20"/>
        </w:rPr>
        <w:t>-</w:t>
      </w:r>
      <w:r>
        <w:rPr>
          <w:color w:val="231F20"/>
        </w:rPr>
        <w:t>Saharienne est peuplée de Touaregs qui sont constitués de populations berbères nomades, organisées en tribus. Les frontières</w:t>
      </w:r>
      <w:r>
        <w:rPr>
          <w:color w:val="231F20"/>
          <w:spacing w:val="-15"/>
        </w:rPr>
        <w:t> </w:t>
      </w:r>
      <w:r>
        <w:rPr>
          <w:color w:val="231F20"/>
        </w:rPr>
        <w:t>de</w:t>
      </w:r>
      <w:r>
        <w:rPr>
          <w:color w:val="231F20"/>
          <w:spacing w:val="-14"/>
        </w:rPr>
        <w:t> </w:t>
      </w:r>
      <w:r>
        <w:rPr>
          <w:color w:val="231F20"/>
        </w:rPr>
        <w:t>la</w:t>
      </w:r>
      <w:r>
        <w:rPr>
          <w:color w:val="231F20"/>
          <w:spacing w:val="-14"/>
        </w:rPr>
        <w:t> </w:t>
      </w:r>
      <w:r>
        <w:rPr>
          <w:color w:val="231F20"/>
        </w:rPr>
        <w:t>colonisation</w:t>
      </w:r>
      <w:r>
        <w:rPr>
          <w:color w:val="231F20"/>
          <w:spacing w:val="-14"/>
        </w:rPr>
        <w:t> </w:t>
      </w:r>
      <w:r>
        <w:rPr>
          <w:color w:val="231F20"/>
        </w:rPr>
        <w:t>ont</w:t>
      </w:r>
      <w:r>
        <w:rPr>
          <w:color w:val="231F20"/>
          <w:spacing w:val="-14"/>
        </w:rPr>
        <w:t> </w:t>
      </w:r>
      <w:r>
        <w:rPr>
          <w:color w:val="231F20"/>
        </w:rPr>
        <w:t>réussi</w:t>
      </w:r>
      <w:r>
        <w:rPr>
          <w:color w:val="231F20"/>
          <w:spacing w:val="-13"/>
        </w:rPr>
        <w:t> </w:t>
      </w:r>
      <w:r>
        <w:rPr>
          <w:color w:val="231F20"/>
        </w:rPr>
        <w:t>l’exploit</w:t>
      </w:r>
      <w:r>
        <w:rPr>
          <w:color w:val="231F20"/>
          <w:spacing w:val="-15"/>
        </w:rPr>
        <w:t> </w:t>
      </w:r>
      <w:r>
        <w:rPr>
          <w:color w:val="231F20"/>
        </w:rPr>
        <w:t>de</w:t>
      </w:r>
      <w:r>
        <w:rPr>
          <w:color w:val="231F20"/>
          <w:spacing w:val="-15"/>
        </w:rPr>
        <w:t> </w:t>
      </w:r>
      <w:r>
        <w:rPr>
          <w:color w:val="231F20"/>
        </w:rPr>
        <w:t>les</w:t>
      </w:r>
      <w:r>
        <w:rPr>
          <w:color w:val="231F20"/>
          <w:spacing w:val="-14"/>
        </w:rPr>
        <w:t> </w:t>
      </w:r>
      <w:r>
        <w:rPr>
          <w:color w:val="231F20"/>
        </w:rPr>
        <w:t>répartir</w:t>
      </w:r>
      <w:r>
        <w:rPr>
          <w:color w:val="231F20"/>
          <w:spacing w:val="-14"/>
        </w:rPr>
        <w:t> </w:t>
      </w:r>
      <w:r>
        <w:rPr>
          <w:color w:val="231F20"/>
        </w:rPr>
        <w:t>entre</w:t>
      </w:r>
      <w:r>
        <w:rPr>
          <w:color w:val="231F20"/>
          <w:spacing w:val="-14"/>
        </w:rPr>
        <w:t> </w:t>
      </w:r>
      <w:r>
        <w:rPr>
          <w:color w:val="231F20"/>
        </w:rPr>
        <w:t>cinq Etats</w:t>
      </w:r>
      <w:r>
        <w:rPr>
          <w:color w:val="231F20"/>
          <w:spacing w:val="-14"/>
        </w:rPr>
        <w:t> </w:t>
      </w:r>
      <w:r>
        <w:rPr>
          <w:color w:val="231F20"/>
        </w:rPr>
        <w:t>:</w:t>
      </w:r>
      <w:r>
        <w:rPr>
          <w:color w:val="231F20"/>
          <w:spacing w:val="-11"/>
        </w:rPr>
        <w:t> </w:t>
      </w:r>
      <w:r>
        <w:rPr>
          <w:color w:val="231F20"/>
        </w:rPr>
        <w:t>le</w:t>
      </w:r>
      <w:r>
        <w:rPr>
          <w:color w:val="231F20"/>
          <w:spacing w:val="-13"/>
        </w:rPr>
        <w:t> </w:t>
      </w:r>
      <w:r>
        <w:rPr>
          <w:color w:val="231F20"/>
        </w:rPr>
        <w:t>Niger,</w:t>
      </w:r>
      <w:r>
        <w:rPr>
          <w:color w:val="231F20"/>
          <w:spacing w:val="-14"/>
        </w:rPr>
        <w:t> </w:t>
      </w:r>
      <w:r>
        <w:rPr>
          <w:color w:val="231F20"/>
        </w:rPr>
        <w:t>le</w:t>
      </w:r>
      <w:r>
        <w:rPr>
          <w:color w:val="231F20"/>
          <w:spacing w:val="-13"/>
        </w:rPr>
        <w:t> </w:t>
      </w:r>
      <w:r>
        <w:rPr>
          <w:color w:val="231F20"/>
        </w:rPr>
        <w:t>Mali,</w:t>
      </w:r>
      <w:r>
        <w:rPr>
          <w:color w:val="231F20"/>
          <w:spacing w:val="-12"/>
        </w:rPr>
        <w:t> </w:t>
      </w:r>
      <w:r>
        <w:rPr>
          <w:color w:val="231F20"/>
        </w:rPr>
        <w:t>l’Algérie,</w:t>
      </w:r>
      <w:r>
        <w:rPr>
          <w:color w:val="231F20"/>
          <w:spacing w:val="-11"/>
        </w:rPr>
        <w:t> </w:t>
      </w:r>
      <w:r>
        <w:rPr>
          <w:color w:val="231F20"/>
        </w:rPr>
        <w:t>la</w:t>
      </w:r>
      <w:r>
        <w:rPr>
          <w:color w:val="231F20"/>
          <w:spacing w:val="-13"/>
        </w:rPr>
        <w:t> </w:t>
      </w:r>
      <w:r>
        <w:rPr>
          <w:color w:val="231F20"/>
        </w:rPr>
        <w:t>Libye</w:t>
      </w:r>
      <w:r>
        <w:rPr>
          <w:color w:val="231F20"/>
          <w:spacing w:val="-13"/>
        </w:rPr>
        <w:t> </w:t>
      </w:r>
      <w:r>
        <w:rPr>
          <w:color w:val="231F20"/>
        </w:rPr>
        <w:t>et</w:t>
      </w:r>
      <w:r>
        <w:rPr>
          <w:color w:val="231F20"/>
          <w:spacing w:val="-11"/>
        </w:rPr>
        <w:t> </w:t>
      </w:r>
      <w:r>
        <w:rPr>
          <w:color w:val="231F20"/>
        </w:rPr>
        <w:t>le</w:t>
      </w:r>
      <w:r>
        <w:rPr>
          <w:color w:val="231F20"/>
          <w:spacing w:val="-15"/>
        </w:rPr>
        <w:t> </w:t>
      </w:r>
      <w:r>
        <w:rPr>
          <w:color w:val="231F20"/>
        </w:rPr>
        <w:t>Burkina</w:t>
      </w:r>
      <w:r>
        <w:rPr>
          <w:color w:val="231F20"/>
          <w:spacing w:val="-13"/>
        </w:rPr>
        <w:t> </w:t>
      </w:r>
      <w:r>
        <w:rPr>
          <w:color w:val="231F20"/>
        </w:rPr>
        <w:t>Faso.</w:t>
      </w:r>
      <w:r>
        <w:rPr>
          <w:color w:val="231F20"/>
          <w:spacing w:val="-12"/>
        </w:rPr>
        <w:t> </w:t>
      </w:r>
      <w:r>
        <w:rPr>
          <w:color w:val="231F20"/>
        </w:rPr>
        <w:t>Dans</w:t>
      </w:r>
      <w:r>
        <w:rPr>
          <w:color w:val="231F20"/>
          <w:spacing w:val="-12"/>
        </w:rPr>
        <w:t> </w:t>
      </w:r>
      <w:r>
        <w:rPr>
          <w:color w:val="231F20"/>
        </w:rPr>
        <w:t>ces Etats, ils représentent des minorités homogènes. Depuis toujours, les Touaregs revendiquent leur autonomie. Ils l’ont réclamé au pouvoir </w:t>
      </w:r>
      <w:r>
        <w:rPr>
          <w:color w:val="231F20"/>
          <w:spacing w:val="-4"/>
        </w:rPr>
        <w:t>colonial</w:t>
      </w:r>
      <w:r>
        <w:rPr>
          <w:color w:val="231F20"/>
          <w:spacing w:val="-6"/>
        </w:rPr>
        <w:t> </w:t>
      </w:r>
      <w:r>
        <w:rPr>
          <w:color w:val="231F20"/>
          <w:spacing w:val="-4"/>
        </w:rPr>
        <w:t>par</w:t>
      </w:r>
      <w:r>
        <w:rPr>
          <w:color w:val="231F20"/>
          <w:spacing w:val="-8"/>
        </w:rPr>
        <w:t> </w:t>
      </w:r>
      <w:r>
        <w:rPr>
          <w:color w:val="231F20"/>
          <w:spacing w:val="-4"/>
        </w:rPr>
        <w:t>la</w:t>
      </w:r>
      <w:r>
        <w:rPr>
          <w:color w:val="231F20"/>
          <w:spacing w:val="-6"/>
        </w:rPr>
        <w:t> </w:t>
      </w:r>
      <w:r>
        <w:rPr>
          <w:color w:val="231F20"/>
          <w:spacing w:val="-4"/>
        </w:rPr>
        <w:t>rébellion</w:t>
      </w:r>
      <w:r>
        <w:rPr>
          <w:color w:val="231F20"/>
          <w:spacing w:val="-8"/>
        </w:rPr>
        <w:t> </w:t>
      </w:r>
      <w:r>
        <w:rPr>
          <w:color w:val="231F20"/>
          <w:spacing w:val="-4"/>
        </w:rPr>
        <w:t>de</w:t>
      </w:r>
      <w:r>
        <w:rPr>
          <w:color w:val="231F20"/>
          <w:spacing w:val="-10"/>
        </w:rPr>
        <w:t> </w:t>
      </w:r>
      <w:r>
        <w:rPr>
          <w:color w:val="231F20"/>
          <w:spacing w:val="-4"/>
        </w:rPr>
        <w:t>1916.</w:t>
      </w:r>
      <w:r>
        <w:rPr>
          <w:color w:val="231F20"/>
          <w:spacing w:val="-8"/>
        </w:rPr>
        <w:t> </w:t>
      </w:r>
      <w:r>
        <w:rPr>
          <w:color w:val="231F20"/>
          <w:spacing w:val="-4"/>
        </w:rPr>
        <w:t>Les</w:t>
      </w:r>
      <w:r>
        <w:rPr>
          <w:color w:val="231F20"/>
          <w:spacing w:val="-8"/>
        </w:rPr>
        <w:t> </w:t>
      </w:r>
      <w:r>
        <w:rPr>
          <w:color w:val="231F20"/>
          <w:spacing w:val="-4"/>
        </w:rPr>
        <w:t>indépendances</w:t>
      </w:r>
      <w:r>
        <w:rPr>
          <w:color w:val="231F20"/>
          <w:spacing w:val="-11"/>
        </w:rPr>
        <w:t> </w:t>
      </w:r>
      <w:r>
        <w:rPr>
          <w:color w:val="231F20"/>
          <w:spacing w:val="-4"/>
        </w:rPr>
        <w:t>africaines</w:t>
      </w:r>
      <w:r>
        <w:rPr>
          <w:color w:val="231F20"/>
          <w:spacing w:val="-10"/>
        </w:rPr>
        <w:t> </w:t>
      </w:r>
      <w:r>
        <w:rPr>
          <w:color w:val="231F20"/>
          <w:spacing w:val="-4"/>
        </w:rPr>
        <w:t>scellent</w:t>
      </w:r>
      <w:r>
        <w:rPr>
          <w:color w:val="231F20"/>
          <w:spacing w:val="-7"/>
        </w:rPr>
        <w:t> </w:t>
      </w:r>
      <w:r>
        <w:rPr>
          <w:color w:val="231F20"/>
          <w:spacing w:val="-4"/>
        </w:rPr>
        <w:t>ce </w:t>
      </w:r>
      <w:r>
        <w:rPr>
          <w:color w:val="231F20"/>
        </w:rPr>
        <w:t>qui</w:t>
      </w:r>
      <w:r>
        <w:rPr>
          <w:color w:val="231F20"/>
          <w:spacing w:val="-12"/>
        </w:rPr>
        <w:t> </w:t>
      </w:r>
      <w:r>
        <w:rPr>
          <w:color w:val="231F20"/>
        </w:rPr>
        <w:t>est</w:t>
      </w:r>
      <w:r>
        <w:rPr>
          <w:color w:val="231F20"/>
          <w:spacing w:val="-12"/>
        </w:rPr>
        <w:t> </w:t>
      </w:r>
      <w:r>
        <w:rPr>
          <w:color w:val="231F20"/>
        </w:rPr>
        <w:t>vécu</w:t>
      </w:r>
      <w:r>
        <w:rPr>
          <w:color w:val="231F20"/>
          <w:spacing w:val="-12"/>
        </w:rPr>
        <w:t> </w:t>
      </w:r>
      <w:r>
        <w:rPr>
          <w:color w:val="231F20"/>
        </w:rPr>
        <w:t>par</w:t>
      </w:r>
      <w:r>
        <w:rPr>
          <w:color w:val="231F20"/>
          <w:spacing w:val="-13"/>
        </w:rPr>
        <w:t> </w:t>
      </w:r>
      <w:r>
        <w:rPr>
          <w:color w:val="231F20"/>
        </w:rPr>
        <w:t>eux</w:t>
      </w:r>
      <w:r>
        <w:rPr>
          <w:color w:val="231F20"/>
          <w:spacing w:val="-12"/>
        </w:rPr>
        <w:t> </w:t>
      </w:r>
      <w:r>
        <w:rPr>
          <w:color w:val="231F20"/>
        </w:rPr>
        <w:t>comme</w:t>
      </w:r>
      <w:r>
        <w:rPr>
          <w:color w:val="231F20"/>
          <w:spacing w:val="-13"/>
        </w:rPr>
        <w:t> </w:t>
      </w:r>
      <w:r>
        <w:rPr>
          <w:color w:val="231F20"/>
        </w:rPr>
        <w:t>le</w:t>
      </w:r>
      <w:r>
        <w:rPr>
          <w:color w:val="231F20"/>
          <w:spacing w:val="-13"/>
        </w:rPr>
        <w:t> </w:t>
      </w:r>
      <w:r>
        <w:rPr>
          <w:color w:val="231F20"/>
        </w:rPr>
        <w:t>démembrement</w:t>
      </w:r>
      <w:r>
        <w:rPr>
          <w:color w:val="231F20"/>
          <w:spacing w:val="-10"/>
        </w:rPr>
        <w:t> </w:t>
      </w:r>
      <w:r>
        <w:rPr>
          <w:color w:val="231F20"/>
        </w:rPr>
        <w:t>de</w:t>
      </w:r>
      <w:r>
        <w:rPr>
          <w:color w:val="231F20"/>
          <w:spacing w:val="-13"/>
        </w:rPr>
        <w:t> </w:t>
      </w:r>
      <w:r>
        <w:rPr>
          <w:color w:val="231F20"/>
        </w:rPr>
        <w:t>leur</w:t>
      </w:r>
      <w:r>
        <w:rPr>
          <w:color w:val="231F20"/>
          <w:spacing w:val="-13"/>
        </w:rPr>
        <w:t> </w:t>
      </w:r>
      <w:r>
        <w:rPr>
          <w:color w:val="231F20"/>
        </w:rPr>
        <w:t>corps</w:t>
      </w:r>
      <w:r>
        <w:rPr>
          <w:color w:val="231F20"/>
          <w:spacing w:val="-12"/>
        </w:rPr>
        <w:t> </w:t>
      </w:r>
      <w:r>
        <w:rPr>
          <w:color w:val="231F20"/>
        </w:rPr>
        <w:t>politique</w:t>
      </w:r>
      <w:r>
        <w:rPr>
          <w:color w:val="231F20"/>
          <w:spacing w:val="-13"/>
        </w:rPr>
        <w:t> </w:t>
      </w:r>
      <w:r>
        <w:rPr>
          <w:color w:val="231F20"/>
        </w:rPr>
        <w:t>et social. Leurs rapports avec le pouvoir central des différents Etats demeurent aussi conflictuels qu’ils l’avaient été auparavant avec le pouvoir colonial. De la rébellion de 1916 à celle du Mali en 2012 qui perdure encore, les conflits Touaregs demeurent un frein à la stabilité sociale et politique dans la bande saharo-sahélienne du fait des </w:t>
      </w:r>
      <w:r>
        <w:rPr>
          <w:color w:val="231F20"/>
          <w:spacing w:val="-4"/>
        </w:rPr>
        <w:t>connexions</w:t>
      </w:r>
      <w:r>
        <w:rPr>
          <w:color w:val="231F20"/>
          <w:spacing w:val="-10"/>
        </w:rPr>
        <w:t> </w:t>
      </w:r>
      <w:r>
        <w:rPr>
          <w:color w:val="231F20"/>
          <w:spacing w:val="-4"/>
        </w:rPr>
        <w:t>établies</w:t>
      </w:r>
      <w:r>
        <w:rPr>
          <w:color w:val="231F20"/>
          <w:spacing w:val="-10"/>
        </w:rPr>
        <w:t> </w:t>
      </w:r>
      <w:r>
        <w:rPr>
          <w:color w:val="231F20"/>
          <w:spacing w:val="-4"/>
        </w:rPr>
        <w:t>entre</w:t>
      </w:r>
      <w:r>
        <w:rPr>
          <w:color w:val="231F20"/>
          <w:spacing w:val="-11"/>
        </w:rPr>
        <w:t> </w:t>
      </w:r>
      <w:r>
        <w:rPr>
          <w:color w:val="231F20"/>
          <w:spacing w:val="-4"/>
        </w:rPr>
        <w:t>les</w:t>
      </w:r>
      <w:r>
        <w:rPr>
          <w:color w:val="231F20"/>
          <w:spacing w:val="-8"/>
        </w:rPr>
        <w:t> </w:t>
      </w:r>
      <w:r>
        <w:rPr>
          <w:color w:val="231F20"/>
          <w:spacing w:val="-4"/>
        </w:rPr>
        <w:t>sahraouis</w:t>
      </w:r>
      <w:r>
        <w:rPr>
          <w:color w:val="231F20"/>
          <w:spacing w:val="-10"/>
        </w:rPr>
        <w:t> </w:t>
      </w:r>
      <w:r>
        <w:rPr>
          <w:color w:val="231F20"/>
          <w:spacing w:val="-4"/>
        </w:rPr>
        <w:t>du</w:t>
      </w:r>
      <w:r>
        <w:rPr>
          <w:color w:val="231F20"/>
          <w:spacing w:val="-10"/>
        </w:rPr>
        <w:t> </w:t>
      </w:r>
      <w:r>
        <w:rPr>
          <w:color w:val="231F20"/>
          <w:spacing w:val="-4"/>
        </w:rPr>
        <w:t>front</w:t>
      </w:r>
      <w:r>
        <w:rPr>
          <w:color w:val="231F20"/>
          <w:spacing w:val="-10"/>
        </w:rPr>
        <w:t> </w:t>
      </w:r>
      <w:r>
        <w:rPr>
          <w:color w:val="231F20"/>
          <w:spacing w:val="-4"/>
        </w:rPr>
        <w:t>polisario,</w:t>
      </w:r>
      <w:r>
        <w:rPr>
          <w:color w:val="231F20"/>
          <w:spacing w:val="-10"/>
        </w:rPr>
        <w:t> </w:t>
      </w:r>
      <w:r>
        <w:rPr>
          <w:color w:val="231F20"/>
          <w:spacing w:val="-4"/>
        </w:rPr>
        <w:t>les</w:t>
      </w:r>
      <w:r>
        <w:rPr>
          <w:color w:val="231F20"/>
          <w:spacing w:val="-10"/>
        </w:rPr>
        <w:t> </w:t>
      </w:r>
      <w:r>
        <w:rPr>
          <w:color w:val="231F20"/>
          <w:spacing w:val="-4"/>
        </w:rPr>
        <w:t>mouvements </w:t>
      </w:r>
      <w:r>
        <w:rPr>
          <w:color w:val="231F20"/>
        </w:rPr>
        <w:t>rebelles Touaregs et les éléments de AQMI.</w:t>
      </w:r>
    </w:p>
    <w:p>
      <w:pPr>
        <w:pStyle w:val="BodyText"/>
        <w:spacing w:before="121"/>
        <w:ind w:right="105" w:firstLine="283"/>
      </w:pPr>
      <w:r>
        <w:rPr>
          <w:color w:val="231F20"/>
        </w:rPr>
        <w:t>En Côte d’ivoire, la crise postélectorale de 2010</w:t>
      </w:r>
      <w:r>
        <w:rPr>
          <w:color w:val="76787A"/>
          <w:vertAlign w:val="superscript"/>
        </w:rPr>
        <w:t>263</w:t>
      </w:r>
      <w:r>
        <w:rPr>
          <w:color w:val="76787A"/>
          <w:spacing w:val="-8"/>
          <w:vertAlign w:val="baseline"/>
        </w:rPr>
        <w:t> </w:t>
      </w:r>
      <w:r>
        <w:rPr>
          <w:color w:val="231F20"/>
          <w:vertAlign w:val="baseline"/>
        </w:rPr>
        <w:t>a jeté plus d’un </w:t>
      </w:r>
      <w:r>
        <w:rPr>
          <w:color w:val="231F20"/>
          <w:spacing w:val="-2"/>
          <w:vertAlign w:val="baseline"/>
        </w:rPr>
        <w:t>million</w:t>
      </w:r>
      <w:r>
        <w:rPr>
          <w:color w:val="231F20"/>
          <w:spacing w:val="-15"/>
          <w:vertAlign w:val="baseline"/>
        </w:rPr>
        <w:t> </w:t>
      </w:r>
      <w:r>
        <w:rPr>
          <w:color w:val="231F20"/>
          <w:spacing w:val="-2"/>
          <w:vertAlign w:val="baseline"/>
        </w:rPr>
        <w:t>d’habitants</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ville</w:t>
      </w:r>
      <w:r>
        <w:rPr>
          <w:color w:val="231F20"/>
          <w:spacing w:val="-13"/>
          <w:vertAlign w:val="baseline"/>
        </w:rPr>
        <w:t> </w:t>
      </w:r>
      <w:r>
        <w:rPr>
          <w:color w:val="231F20"/>
          <w:spacing w:val="-2"/>
          <w:vertAlign w:val="baseline"/>
        </w:rPr>
        <w:t>d’Abidjan</w:t>
      </w:r>
      <w:r>
        <w:rPr>
          <w:color w:val="231F20"/>
          <w:spacing w:val="-13"/>
          <w:vertAlign w:val="baseline"/>
        </w:rPr>
        <w:t> </w:t>
      </w:r>
      <w:r>
        <w:rPr>
          <w:color w:val="231F20"/>
          <w:spacing w:val="-2"/>
          <w:vertAlign w:val="baseline"/>
        </w:rPr>
        <w:t>hors</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leurs</w:t>
      </w:r>
      <w:r>
        <w:rPr>
          <w:color w:val="231F20"/>
          <w:spacing w:val="-13"/>
          <w:vertAlign w:val="baseline"/>
        </w:rPr>
        <w:t> </w:t>
      </w:r>
      <w:r>
        <w:rPr>
          <w:color w:val="231F20"/>
          <w:spacing w:val="-2"/>
          <w:vertAlign w:val="baseline"/>
        </w:rPr>
        <w:t>domiciles.</w:t>
      </w:r>
      <w:r>
        <w:rPr>
          <w:color w:val="231F20"/>
          <w:spacing w:val="-13"/>
          <w:vertAlign w:val="baseline"/>
        </w:rPr>
        <w:t> </w:t>
      </w:r>
      <w:r>
        <w:rPr>
          <w:color w:val="231F20"/>
          <w:spacing w:val="-2"/>
          <w:vertAlign w:val="baseline"/>
        </w:rPr>
        <w:t>Certains </w:t>
      </w:r>
      <w:r>
        <w:rPr>
          <w:color w:val="231F20"/>
          <w:spacing w:val="-4"/>
          <w:vertAlign w:val="baseline"/>
        </w:rPr>
        <w:t>ont</w:t>
      </w:r>
      <w:r>
        <w:rPr>
          <w:color w:val="231F20"/>
          <w:spacing w:val="-7"/>
          <w:vertAlign w:val="baseline"/>
        </w:rPr>
        <w:t> </w:t>
      </w:r>
      <w:r>
        <w:rPr>
          <w:color w:val="231F20"/>
          <w:spacing w:val="-4"/>
          <w:vertAlign w:val="baseline"/>
        </w:rPr>
        <w:t>quitté</w:t>
      </w:r>
      <w:r>
        <w:rPr>
          <w:color w:val="231F20"/>
          <w:spacing w:val="-9"/>
          <w:vertAlign w:val="baseline"/>
        </w:rPr>
        <w:t> </w:t>
      </w:r>
      <w:r>
        <w:rPr>
          <w:color w:val="231F20"/>
          <w:spacing w:val="-4"/>
          <w:vertAlign w:val="baseline"/>
        </w:rPr>
        <w:t>le</w:t>
      </w:r>
      <w:r>
        <w:rPr>
          <w:color w:val="231F20"/>
          <w:spacing w:val="-7"/>
          <w:vertAlign w:val="baseline"/>
        </w:rPr>
        <w:t> </w:t>
      </w:r>
      <w:r>
        <w:rPr>
          <w:color w:val="231F20"/>
          <w:spacing w:val="-4"/>
          <w:vertAlign w:val="baseline"/>
        </w:rPr>
        <w:t>pays,</w:t>
      </w:r>
      <w:r>
        <w:rPr>
          <w:color w:val="231F20"/>
          <w:spacing w:val="-9"/>
          <w:vertAlign w:val="baseline"/>
        </w:rPr>
        <w:t> </w:t>
      </w:r>
      <w:r>
        <w:rPr>
          <w:color w:val="231F20"/>
          <w:spacing w:val="-4"/>
          <w:vertAlign w:val="baseline"/>
        </w:rPr>
        <w:t>d’autres</w:t>
      </w:r>
      <w:r>
        <w:rPr>
          <w:color w:val="231F20"/>
          <w:spacing w:val="-9"/>
          <w:vertAlign w:val="baseline"/>
        </w:rPr>
        <w:t> </w:t>
      </w:r>
      <w:r>
        <w:rPr>
          <w:color w:val="231F20"/>
          <w:spacing w:val="-4"/>
          <w:vertAlign w:val="baseline"/>
        </w:rPr>
        <w:t>ont</w:t>
      </w:r>
      <w:r>
        <w:rPr>
          <w:color w:val="231F20"/>
          <w:spacing w:val="-6"/>
          <w:vertAlign w:val="baseline"/>
        </w:rPr>
        <w:t> </w:t>
      </w:r>
      <w:r>
        <w:rPr>
          <w:color w:val="231F20"/>
          <w:spacing w:val="-4"/>
          <w:vertAlign w:val="baseline"/>
        </w:rPr>
        <w:t>changé</w:t>
      </w:r>
      <w:r>
        <w:rPr>
          <w:color w:val="231F20"/>
          <w:spacing w:val="-7"/>
          <w:vertAlign w:val="baseline"/>
        </w:rPr>
        <w:t> </w:t>
      </w:r>
      <w:r>
        <w:rPr>
          <w:color w:val="231F20"/>
          <w:spacing w:val="-4"/>
          <w:vertAlign w:val="baseline"/>
        </w:rPr>
        <w:t>de</w:t>
      </w:r>
      <w:r>
        <w:rPr>
          <w:color w:val="231F20"/>
          <w:spacing w:val="-7"/>
          <w:vertAlign w:val="baseline"/>
        </w:rPr>
        <w:t> </w:t>
      </w:r>
      <w:r>
        <w:rPr>
          <w:color w:val="231F20"/>
          <w:spacing w:val="-4"/>
          <w:vertAlign w:val="baseline"/>
        </w:rPr>
        <w:t>quartier</w:t>
      </w:r>
      <w:r>
        <w:rPr>
          <w:color w:val="231F20"/>
          <w:spacing w:val="-9"/>
          <w:vertAlign w:val="baseline"/>
        </w:rPr>
        <w:t> </w:t>
      </w:r>
      <w:r>
        <w:rPr>
          <w:color w:val="231F20"/>
          <w:spacing w:val="-4"/>
          <w:vertAlign w:val="baseline"/>
        </w:rPr>
        <w:t>ou</w:t>
      </w:r>
      <w:r>
        <w:rPr>
          <w:color w:val="231F20"/>
          <w:spacing w:val="-9"/>
          <w:vertAlign w:val="baseline"/>
        </w:rPr>
        <w:t> </w:t>
      </w:r>
      <w:r>
        <w:rPr>
          <w:color w:val="231F20"/>
          <w:spacing w:val="-4"/>
          <w:vertAlign w:val="baseline"/>
        </w:rPr>
        <w:t>de</w:t>
      </w:r>
      <w:r>
        <w:rPr>
          <w:color w:val="231F20"/>
          <w:spacing w:val="-7"/>
          <w:vertAlign w:val="baseline"/>
        </w:rPr>
        <w:t> </w:t>
      </w:r>
      <w:r>
        <w:rPr>
          <w:color w:val="231F20"/>
          <w:spacing w:val="-4"/>
          <w:vertAlign w:val="baseline"/>
        </w:rPr>
        <w:t>ville</w:t>
      </w:r>
      <w:r>
        <w:rPr>
          <w:color w:val="231F20"/>
          <w:spacing w:val="-9"/>
          <w:vertAlign w:val="baseline"/>
        </w:rPr>
        <w:t> </w:t>
      </w:r>
      <w:r>
        <w:rPr>
          <w:color w:val="231F20"/>
          <w:spacing w:val="-4"/>
          <w:vertAlign w:val="baseline"/>
        </w:rPr>
        <w:t>ou</w:t>
      </w:r>
      <w:r>
        <w:rPr>
          <w:color w:val="231F20"/>
          <w:spacing w:val="-9"/>
          <w:vertAlign w:val="baseline"/>
        </w:rPr>
        <w:t> </w:t>
      </w:r>
      <w:r>
        <w:rPr>
          <w:color w:val="231F20"/>
          <w:spacing w:val="-4"/>
          <w:vertAlign w:val="baseline"/>
        </w:rPr>
        <w:t>de</w:t>
      </w:r>
      <w:r>
        <w:rPr>
          <w:color w:val="231F20"/>
          <w:spacing w:val="-7"/>
          <w:vertAlign w:val="baseline"/>
        </w:rPr>
        <w:t> </w:t>
      </w:r>
      <w:r>
        <w:rPr>
          <w:color w:val="231F20"/>
          <w:spacing w:val="-4"/>
          <w:vertAlign w:val="baseline"/>
        </w:rPr>
        <w:t>région. </w:t>
      </w:r>
      <w:r>
        <w:rPr>
          <w:color w:val="231F20"/>
          <w:vertAlign w:val="baseline"/>
        </w:rPr>
        <w:t>Dans</w:t>
      </w:r>
      <w:r>
        <w:rPr>
          <w:color w:val="231F20"/>
          <w:spacing w:val="-15"/>
          <w:vertAlign w:val="baseline"/>
        </w:rPr>
        <w:t> </w:t>
      </w:r>
      <w:r>
        <w:rPr>
          <w:color w:val="231F20"/>
          <w:vertAlign w:val="baseline"/>
        </w:rPr>
        <w:t>la</w:t>
      </w:r>
      <w:r>
        <w:rPr>
          <w:color w:val="231F20"/>
          <w:spacing w:val="-15"/>
          <w:vertAlign w:val="baseline"/>
        </w:rPr>
        <w:t> </w:t>
      </w:r>
      <w:r>
        <w:rPr>
          <w:color w:val="231F20"/>
          <w:vertAlign w:val="baseline"/>
        </w:rPr>
        <w:t>ville,</w:t>
      </w:r>
      <w:r>
        <w:rPr>
          <w:color w:val="231F20"/>
          <w:spacing w:val="-15"/>
          <w:vertAlign w:val="baseline"/>
        </w:rPr>
        <w:t> </w:t>
      </w:r>
      <w:r>
        <w:rPr>
          <w:color w:val="231F20"/>
          <w:vertAlign w:val="baseline"/>
        </w:rPr>
        <w:t>les</w:t>
      </w:r>
      <w:r>
        <w:rPr>
          <w:color w:val="231F20"/>
          <w:spacing w:val="-15"/>
          <w:vertAlign w:val="baseline"/>
        </w:rPr>
        <w:t> </w:t>
      </w:r>
      <w:r>
        <w:rPr>
          <w:color w:val="231F20"/>
          <w:vertAlign w:val="baseline"/>
        </w:rPr>
        <w:t>ménages</w:t>
      </w:r>
      <w:r>
        <w:rPr>
          <w:color w:val="231F20"/>
          <w:spacing w:val="-15"/>
          <w:vertAlign w:val="baseline"/>
        </w:rPr>
        <w:t> </w:t>
      </w:r>
      <w:r>
        <w:rPr>
          <w:color w:val="231F20"/>
          <w:vertAlign w:val="baseline"/>
        </w:rPr>
        <w:t>n’avaient</w:t>
      </w:r>
      <w:r>
        <w:rPr>
          <w:color w:val="231F20"/>
          <w:spacing w:val="-15"/>
          <w:vertAlign w:val="baseline"/>
        </w:rPr>
        <w:t> </w:t>
      </w:r>
      <w:r>
        <w:rPr>
          <w:color w:val="231F20"/>
          <w:vertAlign w:val="baseline"/>
        </w:rPr>
        <w:t>plus</w:t>
      </w:r>
      <w:r>
        <w:rPr>
          <w:color w:val="231F20"/>
          <w:spacing w:val="-15"/>
          <w:vertAlign w:val="baseline"/>
        </w:rPr>
        <w:t> </w:t>
      </w:r>
      <w:r>
        <w:rPr>
          <w:color w:val="231F20"/>
          <w:vertAlign w:val="baseline"/>
        </w:rPr>
        <w:t>accès</w:t>
      </w:r>
      <w:r>
        <w:rPr>
          <w:color w:val="231F20"/>
          <w:spacing w:val="-15"/>
          <w:vertAlign w:val="baseline"/>
        </w:rPr>
        <w:t> </w:t>
      </w:r>
      <w:r>
        <w:rPr>
          <w:color w:val="231F20"/>
          <w:vertAlign w:val="baseline"/>
        </w:rPr>
        <w:t>aux</w:t>
      </w:r>
      <w:r>
        <w:rPr>
          <w:color w:val="231F20"/>
          <w:spacing w:val="-15"/>
          <w:vertAlign w:val="baseline"/>
        </w:rPr>
        <w:t> </w:t>
      </w:r>
      <w:r>
        <w:rPr>
          <w:color w:val="231F20"/>
          <w:vertAlign w:val="baseline"/>
        </w:rPr>
        <w:t>denrées</w:t>
      </w:r>
      <w:r>
        <w:rPr>
          <w:color w:val="231F20"/>
          <w:spacing w:val="-15"/>
          <w:vertAlign w:val="baseline"/>
        </w:rPr>
        <w:t> </w:t>
      </w:r>
      <w:r>
        <w:rPr>
          <w:color w:val="231F20"/>
          <w:vertAlign w:val="baseline"/>
        </w:rPr>
        <w:t>alimentaires </w:t>
      </w:r>
      <w:r>
        <w:rPr>
          <w:color w:val="231F20"/>
          <w:spacing w:val="-4"/>
          <w:vertAlign w:val="baseline"/>
        </w:rPr>
        <w:t>compte</w:t>
      </w:r>
      <w:r>
        <w:rPr>
          <w:color w:val="231F20"/>
          <w:spacing w:val="-7"/>
          <w:vertAlign w:val="baseline"/>
        </w:rPr>
        <w:t> </w:t>
      </w:r>
      <w:r>
        <w:rPr>
          <w:color w:val="231F20"/>
          <w:spacing w:val="-4"/>
          <w:vertAlign w:val="baseline"/>
        </w:rPr>
        <w:t>tenu</w:t>
      </w:r>
      <w:r>
        <w:rPr>
          <w:color w:val="231F20"/>
          <w:spacing w:val="-7"/>
          <w:vertAlign w:val="baseline"/>
        </w:rPr>
        <w:t> </w:t>
      </w:r>
      <w:r>
        <w:rPr>
          <w:color w:val="231F20"/>
          <w:spacing w:val="-4"/>
          <w:vertAlign w:val="baseline"/>
        </w:rPr>
        <w:t>de</w:t>
      </w:r>
      <w:r>
        <w:rPr>
          <w:color w:val="231F20"/>
          <w:spacing w:val="-7"/>
          <w:vertAlign w:val="baseline"/>
        </w:rPr>
        <w:t> </w:t>
      </w:r>
      <w:r>
        <w:rPr>
          <w:color w:val="231F20"/>
          <w:spacing w:val="-4"/>
          <w:vertAlign w:val="baseline"/>
        </w:rPr>
        <w:t>la</w:t>
      </w:r>
      <w:r>
        <w:rPr>
          <w:color w:val="231F20"/>
          <w:spacing w:val="-7"/>
          <w:vertAlign w:val="baseline"/>
        </w:rPr>
        <w:t> </w:t>
      </w:r>
      <w:r>
        <w:rPr>
          <w:color w:val="231F20"/>
          <w:spacing w:val="-4"/>
          <w:vertAlign w:val="baseline"/>
        </w:rPr>
        <w:t>fermeture</w:t>
      </w:r>
      <w:r>
        <w:rPr>
          <w:color w:val="231F20"/>
          <w:spacing w:val="-7"/>
          <w:vertAlign w:val="baseline"/>
        </w:rPr>
        <w:t> </w:t>
      </w:r>
      <w:r>
        <w:rPr>
          <w:color w:val="231F20"/>
          <w:spacing w:val="-4"/>
          <w:vertAlign w:val="baseline"/>
        </w:rPr>
        <w:t>des</w:t>
      </w:r>
      <w:r>
        <w:rPr>
          <w:color w:val="231F20"/>
          <w:spacing w:val="-7"/>
          <w:vertAlign w:val="baseline"/>
        </w:rPr>
        <w:t> </w:t>
      </w:r>
      <w:r>
        <w:rPr>
          <w:color w:val="231F20"/>
          <w:spacing w:val="-4"/>
          <w:vertAlign w:val="baseline"/>
        </w:rPr>
        <w:t>marchés</w:t>
      </w:r>
      <w:r>
        <w:rPr>
          <w:color w:val="231F20"/>
          <w:spacing w:val="-7"/>
          <w:vertAlign w:val="baseline"/>
        </w:rPr>
        <w:t> </w:t>
      </w:r>
      <w:r>
        <w:rPr>
          <w:color w:val="231F20"/>
          <w:spacing w:val="-4"/>
          <w:vertAlign w:val="baseline"/>
        </w:rPr>
        <w:t>et</w:t>
      </w:r>
      <w:r>
        <w:rPr>
          <w:color w:val="231F20"/>
          <w:spacing w:val="-7"/>
          <w:vertAlign w:val="baseline"/>
        </w:rPr>
        <w:t> </w:t>
      </w:r>
      <w:r>
        <w:rPr>
          <w:color w:val="231F20"/>
          <w:spacing w:val="-4"/>
          <w:vertAlign w:val="baseline"/>
        </w:rPr>
        <w:t>n’avaient</w:t>
      </w:r>
      <w:r>
        <w:rPr>
          <w:color w:val="231F20"/>
          <w:spacing w:val="-6"/>
          <w:vertAlign w:val="baseline"/>
        </w:rPr>
        <w:t> </w:t>
      </w:r>
      <w:r>
        <w:rPr>
          <w:color w:val="231F20"/>
          <w:spacing w:val="-4"/>
          <w:vertAlign w:val="baseline"/>
        </w:rPr>
        <w:t>non</w:t>
      </w:r>
      <w:r>
        <w:rPr>
          <w:color w:val="231F20"/>
          <w:spacing w:val="-7"/>
          <w:vertAlign w:val="baseline"/>
        </w:rPr>
        <w:t> </w:t>
      </w:r>
      <w:r>
        <w:rPr>
          <w:color w:val="231F20"/>
          <w:spacing w:val="-4"/>
          <w:vertAlign w:val="baseline"/>
        </w:rPr>
        <w:t>plus</w:t>
      </w:r>
      <w:r>
        <w:rPr>
          <w:color w:val="231F20"/>
          <w:spacing w:val="-7"/>
          <w:vertAlign w:val="baseline"/>
        </w:rPr>
        <w:t> </w:t>
      </w:r>
      <w:r>
        <w:rPr>
          <w:color w:val="231F20"/>
          <w:spacing w:val="-4"/>
          <w:vertAlign w:val="baseline"/>
        </w:rPr>
        <w:t>de</w:t>
      </w:r>
      <w:r>
        <w:rPr>
          <w:color w:val="231F20"/>
          <w:spacing w:val="-9"/>
          <w:vertAlign w:val="baseline"/>
        </w:rPr>
        <w:t> </w:t>
      </w:r>
      <w:r>
        <w:rPr>
          <w:color w:val="231F20"/>
          <w:spacing w:val="-4"/>
          <w:vertAlign w:val="baseline"/>
        </w:rPr>
        <w:t>moyens </w:t>
      </w:r>
      <w:r>
        <w:rPr>
          <w:color w:val="231F20"/>
          <w:vertAlign w:val="baseline"/>
        </w:rPr>
        <w:t>financiers, les principales banques étant fermées. Les ménages manquaient aussi de médicaments</w:t>
      </w:r>
      <w:r>
        <w:rPr>
          <w:color w:val="231F20"/>
          <w:spacing w:val="-15"/>
          <w:vertAlign w:val="baseline"/>
        </w:rPr>
        <w:t> </w:t>
      </w:r>
      <w:r>
        <w:rPr>
          <w:color w:val="231F20"/>
          <w:vertAlign w:val="baseline"/>
        </w:rPr>
        <w:t>: l’Union Européenne ayant interdit </w:t>
      </w:r>
      <w:r>
        <w:rPr>
          <w:color w:val="231F20"/>
          <w:spacing w:val="-2"/>
          <w:vertAlign w:val="baseline"/>
        </w:rPr>
        <w:t>l’approvisionnement</w:t>
      </w:r>
      <w:r>
        <w:rPr>
          <w:color w:val="231F20"/>
          <w:spacing w:val="-6"/>
          <w:vertAlign w:val="baseline"/>
        </w:rPr>
        <w:t> </w:t>
      </w:r>
      <w:r>
        <w:rPr>
          <w:color w:val="231F20"/>
          <w:spacing w:val="-2"/>
          <w:vertAlign w:val="baseline"/>
        </w:rPr>
        <w:t>du</w:t>
      </w:r>
      <w:r>
        <w:rPr>
          <w:color w:val="231F20"/>
          <w:spacing w:val="-6"/>
          <w:vertAlign w:val="baseline"/>
        </w:rPr>
        <w:t> </w:t>
      </w:r>
      <w:r>
        <w:rPr>
          <w:color w:val="231F20"/>
          <w:spacing w:val="-2"/>
          <w:vertAlign w:val="baseline"/>
        </w:rPr>
        <w:t>pays.</w:t>
      </w:r>
      <w:r>
        <w:rPr>
          <w:color w:val="231F20"/>
          <w:spacing w:val="-6"/>
          <w:vertAlign w:val="baseline"/>
        </w:rPr>
        <w:t> </w:t>
      </w:r>
      <w:r>
        <w:rPr>
          <w:color w:val="231F20"/>
          <w:spacing w:val="-2"/>
          <w:vertAlign w:val="baseline"/>
        </w:rPr>
        <w:t>Dans</w:t>
      </w:r>
      <w:r>
        <w:rPr>
          <w:color w:val="231F20"/>
          <w:spacing w:val="-6"/>
          <w:vertAlign w:val="baseline"/>
        </w:rPr>
        <w:t> </w:t>
      </w:r>
      <w:r>
        <w:rPr>
          <w:color w:val="231F20"/>
          <w:spacing w:val="-2"/>
          <w:vertAlign w:val="baseline"/>
        </w:rPr>
        <w:t>ces</w:t>
      </w:r>
      <w:r>
        <w:rPr>
          <w:color w:val="231F20"/>
          <w:spacing w:val="-6"/>
          <w:vertAlign w:val="baseline"/>
        </w:rPr>
        <w:t> </w:t>
      </w:r>
      <w:r>
        <w:rPr>
          <w:color w:val="231F20"/>
          <w:spacing w:val="-2"/>
          <w:vertAlign w:val="baseline"/>
        </w:rPr>
        <w:t>conditions,</w:t>
      </w:r>
      <w:r>
        <w:rPr>
          <w:color w:val="231F20"/>
          <w:spacing w:val="-6"/>
          <w:vertAlign w:val="baseline"/>
        </w:rPr>
        <w:t> </w:t>
      </w:r>
      <w:r>
        <w:rPr>
          <w:color w:val="231F20"/>
          <w:spacing w:val="-2"/>
          <w:vertAlign w:val="baseline"/>
        </w:rPr>
        <w:t>les</w:t>
      </w:r>
      <w:r>
        <w:rPr>
          <w:color w:val="231F20"/>
          <w:spacing w:val="-7"/>
          <w:vertAlign w:val="baseline"/>
        </w:rPr>
        <w:t> </w:t>
      </w:r>
      <w:r>
        <w:rPr>
          <w:color w:val="231F20"/>
          <w:spacing w:val="-2"/>
          <w:vertAlign w:val="baseline"/>
        </w:rPr>
        <w:t>ménages</w:t>
      </w:r>
      <w:r>
        <w:rPr>
          <w:color w:val="231F20"/>
          <w:spacing w:val="-7"/>
          <w:vertAlign w:val="baseline"/>
        </w:rPr>
        <w:t> </w:t>
      </w:r>
      <w:r>
        <w:rPr>
          <w:color w:val="231F20"/>
          <w:spacing w:val="-2"/>
          <w:vertAlign w:val="baseline"/>
        </w:rPr>
        <w:t>vivaient </w:t>
      </w:r>
      <w:r>
        <w:rPr>
          <w:color w:val="231F20"/>
          <w:vertAlign w:val="baseline"/>
        </w:rPr>
        <w:t>au jour le jour avec ce qui s’offrait à eux. En plus des problèmes </w:t>
      </w:r>
      <w:r>
        <w:rPr>
          <w:color w:val="231F20"/>
          <w:spacing w:val="-2"/>
          <w:vertAlign w:val="baseline"/>
        </w:rPr>
        <w:t>alimentaires</w:t>
      </w:r>
      <w:r>
        <w:rPr>
          <w:color w:val="231F20"/>
          <w:spacing w:val="-15"/>
          <w:vertAlign w:val="baseline"/>
        </w:rPr>
        <w:t> </w:t>
      </w:r>
      <w:r>
        <w:rPr>
          <w:color w:val="231F20"/>
          <w:spacing w:val="-2"/>
          <w:vertAlign w:val="baseline"/>
        </w:rPr>
        <w:t>et</w:t>
      </w:r>
      <w:r>
        <w:rPr>
          <w:color w:val="231F20"/>
          <w:spacing w:val="-13"/>
          <w:vertAlign w:val="baseline"/>
        </w:rPr>
        <w:t> </w:t>
      </w:r>
      <w:r>
        <w:rPr>
          <w:color w:val="231F20"/>
          <w:spacing w:val="-2"/>
          <w:vertAlign w:val="baseline"/>
        </w:rPr>
        <w:t>de</w:t>
      </w:r>
      <w:r>
        <w:rPr>
          <w:color w:val="231F20"/>
          <w:spacing w:val="-13"/>
          <w:vertAlign w:val="baseline"/>
        </w:rPr>
        <w:t> </w:t>
      </w:r>
      <w:r>
        <w:rPr>
          <w:color w:val="231F20"/>
          <w:spacing w:val="-2"/>
          <w:vertAlign w:val="baseline"/>
        </w:rPr>
        <w:t>soins,</w:t>
      </w:r>
      <w:r>
        <w:rPr>
          <w:color w:val="231F20"/>
          <w:spacing w:val="-13"/>
          <w:vertAlign w:val="baseline"/>
        </w:rPr>
        <w:t> </w:t>
      </w:r>
      <w:r>
        <w:rPr>
          <w:color w:val="231F20"/>
          <w:spacing w:val="-2"/>
          <w:vertAlign w:val="baseline"/>
        </w:rPr>
        <w:t>certains</w:t>
      </w:r>
      <w:r>
        <w:rPr>
          <w:color w:val="231F20"/>
          <w:spacing w:val="-13"/>
          <w:vertAlign w:val="baseline"/>
        </w:rPr>
        <w:t> </w:t>
      </w:r>
      <w:r>
        <w:rPr>
          <w:color w:val="231F20"/>
          <w:spacing w:val="-2"/>
          <w:vertAlign w:val="baseline"/>
        </w:rPr>
        <w:t>ménages</w:t>
      </w:r>
      <w:r>
        <w:rPr>
          <w:color w:val="231F20"/>
          <w:spacing w:val="-13"/>
          <w:vertAlign w:val="baseline"/>
        </w:rPr>
        <w:t> </w:t>
      </w:r>
      <w:r>
        <w:rPr>
          <w:color w:val="231F20"/>
          <w:spacing w:val="-2"/>
          <w:vertAlign w:val="baseline"/>
        </w:rPr>
        <w:t>avaient</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faire</w:t>
      </w:r>
      <w:r>
        <w:rPr>
          <w:color w:val="231F20"/>
          <w:spacing w:val="-13"/>
          <w:vertAlign w:val="baseline"/>
        </w:rPr>
        <w:t> </w:t>
      </w:r>
      <w:r>
        <w:rPr>
          <w:color w:val="231F20"/>
          <w:spacing w:val="-2"/>
          <w:vertAlign w:val="baseline"/>
        </w:rPr>
        <w:t>face</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la</w:t>
      </w:r>
      <w:r>
        <w:rPr>
          <w:color w:val="231F20"/>
          <w:spacing w:val="-13"/>
          <w:vertAlign w:val="baseline"/>
        </w:rPr>
        <w:t> </w:t>
      </w:r>
      <w:r>
        <w:rPr>
          <w:color w:val="231F20"/>
          <w:spacing w:val="-2"/>
          <w:vertAlign w:val="baseline"/>
        </w:rPr>
        <w:t>pénurie </w:t>
      </w:r>
      <w:r>
        <w:rPr>
          <w:color w:val="231F20"/>
          <w:vertAlign w:val="baseline"/>
        </w:rPr>
        <w:t>d’eau et d’électricité</w:t>
      </w:r>
      <w:r>
        <w:rPr>
          <w:color w:val="231F20"/>
          <w:spacing w:val="-15"/>
          <w:vertAlign w:val="baseline"/>
        </w:rPr>
        <w:t> </w:t>
      </w:r>
      <w:r>
        <w:rPr>
          <w:color w:val="231F20"/>
          <w:vertAlign w:val="baseline"/>
        </w:rPr>
        <w:t>: dans certains quartiers, les bombardements de </w:t>
      </w:r>
      <w:r>
        <w:rPr>
          <w:color w:val="231F20"/>
          <w:spacing w:val="-4"/>
          <w:vertAlign w:val="baseline"/>
        </w:rPr>
        <w:t>l’Armée</w:t>
      </w:r>
      <w:r>
        <w:rPr>
          <w:color w:val="231F20"/>
          <w:spacing w:val="-12"/>
          <w:vertAlign w:val="baseline"/>
        </w:rPr>
        <w:t> </w:t>
      </w:r>
      <w:r>
        <w:rPr>
          <w:color w:val="231F20"/>
          <w:spacing w:val="-4"/>
          <w:vertAlign w:val="baseline"/>
        </w:rPr>
        <w:t>française</w:t>
      </w:r>
      <w:r>
        <w:rPr>
          <w:color w:val="231F20"/>
          <w:spacing w:val="-12"/>
          <w:vertAlign w:val="baseline"/>
        </w:rPr>
        <w:t> </w:t>
      </w:r>
      <w:r>
        <w:rPr>
          <w:color w:val="231F20"/>
          <w:spacing w:val="-4"/>
          <w:vertAlign w:val="baseline"/>
        </w:rPr>
        <w:t>ont</w:t>
      </w:r>
      <w:r>
        <w:rPr>
          <w:color w:val="231F20"/>
          <w:spacing w:val="-11"/>
          <w:vertAlign w:val="baseline"/>
        </w:rPr>
        <w:t> </w:t>
      </w:r>
      <w:r>
        <w:rPr>
          <w:color w:val="231F20"/>
          <w:spacing w:val="-4"/>
          <w:vertAlign w:val="baseline"/>
        </w:rPr>
        <w:t>endommagé</w:t>
      </w:r>
      <w:r>
        <w:rPr>
          <w:color w:val="231F20"/>
          <w:spacing w:val="-11"/>
          <w:vertAlign w:val="baseline"/>
        </w:rPr>
        <w:t> </w:t>
      </w:r>
      <w:r>
        <w:rPr>
          <w:color w:val="231F20"/>
          <w:spacing w:val="-4"/>
          <w:vertAlign w:val="baseline"/>
        </w:rPr>
        <w:t>des</w:t>
      </w:r>
      <w:r>
        <w:rPr>
          <w:color w:val="231F20"/>
          <w:spacing w:val="-12"/>
          <w:vertAlign w:val="baseline"/>
        </w:rPr>
        <w:t> </w:t>
      </w:r>
      <w:r>
        <w:rPr>
          <w:color w:val="231F20"/>
          <w:spacing w:val="-4"/>
          <w:vertAlign w:val="baseline"/>
        </w:rPr>
        <w:t>canalisations</w:t>
      </w:r>
      <w:r>
        <w:rPr>
          <w:color w:val="231F20"/>
          <w:spacing w:val="-15"/>
          <w:vertAlign w:val="baseline"/>
        </w:rPr>
        <w:t> </w:t>
      </w:r>
      <w:r>
        <w:rPr>
          <w:color w:val="231F20"/>
          <w:spacing w:val="-4"/>
          <w:vertAlign w:val="baseline"/>
        </w:rPr>
        <w:t>et</w:t>
      </w:r>
      <w:r>
        <w:rPr>
          <w:color w:val="231F20"/>
          <w:spacing w:val="-11"/>
          <w:vertAlign w:val="baseline"/>
        </w:rPr>
        <w:t> </w:t>
      </w:r>
      <w:r>
        <w:rPr>
          <w:color w:val="231F20"/>
          <w:spacing w:val="-4"/>
          <w:vertAlign w:val="baseline"/>
        </w:rPr>
        <w:t>des</w:t>
      </w:r>
      <w:r>
        <w:rPr>
          <w:color w:val="231F20"/>
          <w:spacing w:val="-12"/>
          <w:vertAlign w:val="baseline"/>
        </w:rPr>
        <w:t> </w:t>
      </w:r>
      <w:r>
        <w:rPr>
          <w:color w:val="231F20"/>
          <w:spacing w:val="-4"/>
          <w:vertAlign w:val="baseline"/>
        </w:rPr>
        <w:t>fils</w:t>
      </w:r>
      <w:r>
        <w:rPr>
          <w:color w:val="231F20"/>
          <w:spacing w:val="-11"/>
          <w:vertAlign w:val="baseline"/>
        </w:rPr>
        <w:t> </w:t>
      </w:r>
      <w:r>
        <w:rPr>
          <w:color w:val="231F20"/>
          <w:spacing w:val="-4"/>
          <w:vertAlign w:val="baseline"/>
        </w:rPr>
        <w:t>électriques.</w:t>
      </w:r>
    </w:p>
    <w:p>
      <w:pPr>
        <w:pStyle w:val="BodyText"/>
        <w:spacing w:before="121"/>
        <w:ind w:right="104" w:firstLine="283"/>
      </w:pPr>
      <w:r>
        <w:rPr>
          <w:color w:val="231F20"/>
        </w:rPr>
        <w:t>À</w:t>
      </w:r>
      <w:r>
        <w:rPr>
          <w:color w:val="231F20"/>
          <w:spacing w:val="-13"/>
        </w:rPr>
        <w:t> </w:t>
      </w:r>
      <w:r>
        <w:rPr>
          <w:color w:val="231F20"/>
        </w:rPr>
        <w:t>Bouaké,</w:t>
      </w:r>
      <w:r>
        <w:rPr>
          <w:color w:val="231F20"/>
          <w:spacing w:val="-15"/>
        </w:rPr>
        <w:t> </w:t>
      </w:r>
      <w:r>
        <w:rPr>
          <w:color w:val="231F20"/>
        </w:rPr>
        <w:t>les</w:t>
      </w:r>
      <w:r>
        <w:rPr>
          <w:color w:val="231F20"/>
          <w:spacing w:val="-12"/>
        </w:rPr>
        <w:t> </w:t>
      </w:r>
      <w:r>
        <w:rPr>
          <w:color w:val="231F20"/>
        </w:rPr>
        <w:t>rebelles</w:t>
      </w:r>
      <w:r>
        <w:rPr>
          <w:color w:val="231F20"/>
          <w:spacing w:val="-15"/>
        </w:rPr>
        <w:t> </w:t>
      </w:r>
      <w:r>
        <w:rPr>
          <w:color w:val="231F20"/>
        </w:rPr>
        <w:t>ont</w:t>
      </w:r>
      <w:r>
        <w:rPr>
          <w:color w:val="231F20"/>
          <w:spacing w:val="-12"/>
        </w:rPr>
        <w:t> </w:t>
      </w:r>
      <w:r>
        <w:rPr>
          <w:color w:val="231F20"/>
        </w:rPr>
        <w:t>confisqué</w:t>
      </w:r>
      <w:r>
        <w:rPr>
          <w:color w:val="231F20"/>
          <w:spacing w:val="-15"/>
        </w:rPr>
        <w:t> </w:t>
      </w:r>
      <w:r>
        <w:rPr>
          <w:color w:val="231F20"/>
        </w:rPr>
        <w:t>manu</w:t>
      </w:r>
      <w:r>
        <w:rPr>
          <w:color w:val="231F20"/>
          <w:spacing w:val="-12"/>
        </w:rPr>
        <w:t> </w:t>
      </w:r>
      <w:r>
        <w:rPr>
          <w:color w:val="231F20"/>
        </w:rPr>
        <w:t>militari</w:t>
      </w:r>
      <w:r>
        <w:rPr>
          <w:color w:val="231F20"/>
          <w:spacing w:val="-14"/>
        </w:rPr>
        <w:t> </w:t>
      </w:r>
      <w:r>
        <w:rPr>
          <w:color w:val="231F20"/>
        </w:rPr>
        <w:t>des</w:t>
      </w:r>
      <w:r>
        <w:rPr>
          <w:color w:val="231F20"/>
          <w:spacing w:val="-13"/>
        </w:rPr>
        <w:t> </w:t>
      </w:r>
      <w:r>
        <w:rPr>
          <w:color w:val="231F20"/>
        </w:rPr>
        <w:t>maisons</w:t>
      </w:r>
      <w:r>
        <w:rPr>
          <w:color w:val="231F20"/>
          <w:spacing w:val="-15"/>
        </w:rPr>
        <w:t> </w:t>
      </w:r>
      <w:r>
        <w:rPr>
          <w:color w:val="231F20"/>
        </w:rPr>
        <w:t>où</w:t>
      </w:r>
      <w:r>
        <w:rPr>
          <w:color w:val="231F20"/>
          <w:spacing w:val="-15"/>
        </w:rPr>
        <w:t> </w:t>
      </w:r>
      <w:r>
        <w:rPr>
          <w:color w:val="231F20"/>
        </w:rPr>
        <w:t>le </w:t>
      </w:r>
      <w:r>
        <w:rPr>
          <w:color w:val="231F20"/>
          <w:spacing w:val="-2"/>
        </w:rPr>
        <w:t>locataire</w:t>
      </w:r>
      <w:r>
        <w:rPr>
          <w:color w:val="231F20"/>
          <w:spacing w:val="-13"/>
        </w:rPr>
        <w:t> </w:t>
      </w:r>
      <w:r>
        <w:rPr>
          <w:color w:val="231F20"/>
          <w:spacing w:val="-2"/>
        </w:rPr>
        <w:t>ou</w:t>
      </w:r>
      <w:r>
        <w:rPr>
          <w:color w:val="231F20"/>
          <w:spacing w:val="-13"/>
        </w:rPr>
        <w:t> </w:t>
      </w:r>
      <w:r>
        <w:rPr>
          <w:color w:val="231F20"/>
          <w:spacing w:val="-2"/>
        </w:rPr>
        <w:t>le</w:t>
      </w:r>
      <w:r>
        <w:rPr>
          <w:color w:val="231F20"/>
          <w:spacing w:val="-13"/>
        </w:rPr>
        <w:t> </w:t>
      </w:r>
      <w:r>
        <w:rPr>
          <w:color w:val="231F20"/>
          <w:spacing w:val="-2"/>
        </w:rPr>
        <w:t>propriétaire</w:t>
      </w:r>
      <w:r>
        <w:rPr>
          <w:color w:val="231F20"/>
          <w:spacing w:val="-13"/>
        </w:rPr>
        <w:t> </w:t>
      </w:r>
      <w:r>
        <w:rPr>
          <w:color w:val="231F20"/>
          <w:spacing w:val="-2"/>
        </w:rPr>
        <w:t>n’est</w:t>
      </w:r>
      <w:r>
        <w:rPr>
          <w:color w:val="231F20"/>
          <w:spacing w:val="-13"/>
        </w:rPr>
        <w:t> </w:t>
      </w:r>
      <w:r>
        <w:rPr>
          <w:color w:val="231F20"/>
          <w:spacing w:val="-2"/>
        </w:rPr>
        <w:t>pas</w:t>
      </w:r>
      <w:r>
        <w:rPr>
          <w:color w:val="231F20"/>
          <w:spacing w:val="-13"/>
        </w:rPr>
        <w:t> </w:t>
      </w:r>
      <w:r>
        <w:rPr>
          <w:color w:val="231F20"/>
          <w:spacing w:val="-2"/>
        </w:rPr>
        <w:t>natif</w:t>
      </w:r>
      <w:r>
        <w:rPr>
          <w:color w:val="231F20"/>
          <w:spacing w:val="-13"/>
        </w:rPr>
        <w:t> </w:t>
      </w:r>
      <w:r>
        <w:rPr>
          <w:color w:val="231F20"/>
          <w:spacing w:val="-2"/>
        </w:rPr>
        <w:t>du</w:t>
      </w:r>
      <w:r>
        <w:rPr>
          <w:color w:val="231F20"/>
          <w:spacing w:val="-13"/>
        </w:rPr>
        <w:t> </w:t>
      </w:r>
      <w:r>
        <w:rPr>
          <w:color w:val="231F20"/>
          <w:spacing w:val="-2"/>
        </w:rPr>
        <w:t>Nord</w:t>
      </w:r>
      <w:r>
        <w:rPr>
          <w:color w:val="231F20"/>
          <w:spacing w:val="-13"/>
        </w:rPr>
        <w:t> </w:t>
      </w:r>
      <w:r>
        <w:rPr>
          <w:color w:val="231F20"/>
          <w:spacing w:val="-2"/>
        </w:rPr>
        <w:t>et</w:t>
      </w:r>
      <w:r>
        <w:rPr>
          <w:color w:val="231F20"/>
          <w:spacing w:val="-13"/>
        </w:rPr>
        <w:t> </w:t>
      </w:r>
      <w:r>
        <w:rPr>
          <w:color w:val="231F20"/>
          <w:spacing w:val="-2"/>
        </w:rPr>
        <w:t>jeté</w:t>
      </w:r>
      <w:r>
        <w:rPr>
          <w:color w:val="231F20"/>
          <w:spacing w:val="-13"/>
        </w:rPr>
        <w:t> </w:t>
      </w:r>
      <w:r>
        <w:rPr>
          <w:color w:val="231F20"/>
          <w:spacing w:val="-2"/>
        </w:rPr>
        <w:t>des</w:t>
      </w:r>
      <w:r>
        <w:rPr>
          <w:color w:val="231F20"/>
          <w:spacing w:val="-13"/>
        </w:rPr>
        <w:t> </w:t>
      </w:r>
      <w:r>
        <w:rPr>
          <w:color w:val="231F20"/>
          <w:spacing w:val="-2"/>
        </w:rPr>
        <w:t>Ivoiriens</w:t>
      </w:r>
      <w:r>
        <w:rPr>
          <w:color w:val="231F20"/>
          <w:spacing w:val="-13"/>
        </w:rPr>
        <w:t> </w:t>
      </w:r>
      <w:r>
        <w:rPr>
          <w:color w:val="231F20"/>
          <w:spacing w:val="-2"/>
        </w:rPr>
        <w:t>sur </w:t>
      </w:r>
      <w:r>
        <w:rPr>
          <w:color w:val="231F20"/>
        </w:rPr>
        <w:t>les</w:t>
      </w:r>
      <w:r>
        <w:rPr>
          <w:color w:val="231F20"/>
          <w:spacing w:val="-17"/>
        </w:rPr>
        <w:t> </w:t>
      </w:r>
      <w:r>
        <w:rPr>
          <w:color w:val="231F20"/>
        </w:rPr>
        <w:t>routes,</w:t>
      </w:r>
      <w:r>
        <w:rPr>
          <w:color w:val="231F20"/>
          <w:spacing w:val="-15"/>
        </w:rPr>
        <w:t> </w:t>
      </w:r>
      <w:r>
        <w:rPr>
          <w:color w:val="231F20"/>
        </w:rPr>
        <w:t>balluchons</w:t>
      </w:r>
      <w:r>
        <w:rPr>
          <w:color w:val="231F20"/>
          <w:spacing w:val="-15"/>
        </w:rPr>
        <w:t> </w:t>
      </w:r>
      <w:r>
        <w:rPr>
          <w:color w:val="231F20"/>
        </w:rPr>
        <w:t>sur</w:t>
      </w:r>
      <w:r>
        <w:rPr>
          <w:color w:val="231F20"/>
          <w:spacing w:val="-15"/>
        </w:rPr>
        <w:t> </w:t>
      </w:r>
      <w:r>
        <w:rPr>
          <w:color w:val="231F20"/>
        </w:rPr>
        <w:t>la</w:t>
      </w:r>
      <w:r>
        <w:rPr>
          <w:color w:val="231F20"/>
          <w:spacing w:val="-13"/>
        </w:rPr>
        <w:t> </w:t>
      </w:r>
      <w:r>
        <w:rPr>
          <w:color w:val="231F20"/>
        </w:rPr>
        <w:t>tête.</w:t>
      </w:r>
      <w:r>
        <w:rPr>
          <w:color w:val="231F20"/>
          <w:spacing w:val="-15"/>
        </w:rPr>
        <w:t> </w:t>
      </w:r>
      <w:r>
        <w:rPr>
          <w:color w:val="231F20"/>
        </w:rPr>
        <w:t>Craignant</w:t>
      </w:r>
      <w:r>
        <w:rPr>
          <w:color w:val="231F20"/>
          <w:spacing w:val="-13"/>
        </w:rPr>
        <w:t> </w:t>
      </w:r>
      <w:r>
        <w:rPr>
          <w:color w:val="231F20"/>
        </w:rPr>
        <w:t>pour</w:t>
      </w:r>
      <w:r>
        <w:rPr>
          <w:color w:val="231F20"/>
          <w:spacing w:val="-14"/>
        </w:rPr>
        <w:t> </w:t>
      </w:r>
      <w:r>
        <w:rPr>
          <w:color w:val="231F20"/>
        </w:rPr>
        <w:t>leur</w:t>
      </w:r>
      <w:r>
        <w:rPr>
          <w:color w:val="231F20"/>
          <w:spacing w:val="-14"/>
        </w:rPr>
        <w:t> </w:t>
      </w:r>
      <w:r>
        <w:rPr>
          <w:color w:val="231F20"/>
        </w:rPr>
        <w:t>vie,</w:t>
      </w:r>
      <w:r>
        <w:rPr>
          <w:color w:val="231F20"/>
          <w:spacing w:val="-15"/>
        </w:rPr>
        <w:t> </w:t>
      </w:r>
      <w:r>
        <w:rPr>
          <w:color w:val="231F20"/>
        </w:rPr>
        <w:t>de</w:t>
      </w:r>
      <w:r>
        <w:rPr>
          <w:color w:val="231F20"/>
          <w:spacing w:val="-14"/>
        </w:rPr>
        <w:t> </w:t>
      </w:r>
      <w:r>
        <w:rPr>
          <w:color w:val="231F20"/>
          <w:spacing w:val="-2"/>
        </w:rPr>
        <w:t>nombreuses</w:t>
      </w:r>
    </w:p>
    <w:p>
      <w:pPr>
        <w:pStyle w:val="BodyText"/>
        <w:spacing w:before="52"/>
        <w:ind w:left="0"/>
        <w:jc w:val="left"/>
        <w:rPr>
          <w:sz w:val="20"/>
        </w:rPr>
      </w:pPr>
      <w:r>
        <w:rPr/>
        <mc:AlternateContent>
          <mc:Choice Requires="wps">
            <w:drawing>
              <wp:anchor distT="0" distB="0" distL="0" distR="0" allowOverlap="1" layoutInCell="1" locked="0" behindDoc="1" simplePos="0" relativeHeight="487668224">
                <wp:simplePos x="0" y="0"/>
                <wp:positionH relativeFrom="page">
                  <wp:posOffset>629907</wp:posOffset>
                </wp:positionH>
                <wp:positionV relativeFrom="paragraph">
                  <wp:posOffset>194528</wp:posOffset>
                </wp:positionV>
                <wp:extent cx="1829435" cy="9525"/>
                <wp:effectExtent l="0" t="0" r="0" b="0"/>
                <wp:wrapTopAndBottom/>
                <wp:docPr id="191" name="Graphic 191"/>
                <wp:cNvGraphicFramePr>
                  <a:graphicFrameLocks/>
                </wp:cNvGraphicFramePr>
                <a:graphic>
                  <a:graphicData uri="http://schemas.microsoft.com/office/word/2010/wordprocessingShape">
                    <wps:wsp>
                      <wps:cNvPr id="191" name="Graphic 19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317187pt;width:144.020pt;height:.72pt;mso-position-horizontal-relative:page;mso-position-vertical-relative:paragraph;z-index:-15648256;mso-wrap-distance-left:0;mso-wrap-distance-right:0" id="docshape189" filled="true" fillcolor="#231f20" stroked="false">
                <v:fill type="solid"/>
                <w10:wrap type="topAndBottom"/>
              </v:rect>
            </w:pict>
          </mc:Fallback>
        </mc:AlternateContent>
      </w:r>
    </w:p>
    <w:p>
      <w:pPr>
        <w:spacing w:before="94"/>
        <w:ind w:left="111" w:right="0" w:firstLine="0"/>
        <w:jc w:val="left"/>
        <w:rPr>
          <w:sz w:val="20"/>
        </w:rPr>
      </w:pPr>
      <w:r>
        <w:rPr>
          <w:color w:val="76787A"/>
          <w:sz w:val="20"/>
          <w:vertAlign w:val="superscript"/>
        </w:rPr>
        <w:t>263</w:t>
      </w:r>
      <w:r>
        <w:rPr>
          <w:color w:val="76787A"/>
          <w:spacing w:val="-19"/>
          <w:sz w:val="20"/>
          <w:vertAlign w:val="baseline"/>
        </w:rPr>
        <w:t> </w:t>
      </w:r>
      <w:r>
        <w:rPr>
          <w:color w:val="231F20"/>
          <w:sz w:val="20"/>
          <w:vertAlign w:val="baseline"/>
        </w:rPr>
        <w:t>Crise</w:t>
      </w:r>
      <w:r>
        <w:rPr>
          <w:color w:val="231F20"/>
          <w:spacing w:val="-10"/>
          <w:sz w:val="20"/>
          <w:vertAlign w:val="baseline"/>
        </w:rPr>
        <w:t> </w:t>
      </w:r>
      <w:r>
        <w:rPr>
          <w:color w:val="231F20"/>
          <w:sz w:val="20"/>
          <w:vertAlign w:val="baseline"/>
        </w:rPr>
        <w:t>ivoirienne</w:t>
      </w:r>
      <w:r>
        <w:rPr>
          <w:color w:val="231F20"/>
          <w:spacing w:val="-10"/>
          <w:sz w:val="20"/>
          <w:vertAlign w:val="baseline"/>
        </w:rPr>
        <w:t> </w:t>
      </w:r>
      <w:r>
        <w:rPr>
          <w:color w:val="231F20"/>
          <w:sz w:val="20"/>
          <w:vertAlign w:val="baseline"/>
        </w:rPr>
        <w:t>cf</w:t>
      </w:r>
      <w:r>
        <w:rPr>
          <w:color w:val="231F20"/>
          <w:spacing w:val="-12"/>
          <w:sz w:val="20"/>
          <w:vertAlign w:val="baseline"/>
        </w:rPr>
        <w:t> </w:t>
      </w:r>
      <w:r>
        <w:rPr>
          <w:color w:val="231F20"/>
          <w:sz w:val="20"/>
          <w:vertAlign w:val="baseline"/>
        </w:rPr>
        <w:t>:</w:t>
      </w:r>
      <w:r>
        <w:rPr>
          <w:color w:val="231F20"/>
          <w:spacing w:val="-9"/>
          <w:sz w:val="20"/>
          <w:vertAlign w:val="baseline"/>
        </w:rPr>
        <w:t> </w:t>
      </w:r>
      <w:r>
        <w:rPr>
          <w:color w:val="231F20"/>
          <w:sz w:val="20"/>
          <w:vertAlign w:val="baseline"/>
        </w:rPr>
        <w:t>France</w:t>
      </w:r>
      <w:r>
        <w:rPr>
          <w:color w:val="231F20"/>
          <w:spacing w:val="-6"/>
          <w:sz w:val="20"/>
          <w:vertAlign w:val="baseline"/>
        </w:rPr>
        <w:t> </w:t>
      </w:r>
      <w:r>
        <w:rPr>
          <w:color w:val="231F20"/>
          <w:sz w:val="20"/>
          <w:vertAlign w:val="baseline"/>
        </w:rPr>
        <w:t>Côte</w:t>
      </w:r>
      <w:r>
        <w:rPr>
          <w:color w:val="231F20"/>
          <w:spacing w:val="-4"/>
          <w:sz w:val="20"/>
          <w:vertAlign w:val="baseline"/>
        </w:rPr>
        <w:t> </w:t>
      </w:r>
      <w:r>
        <w:rPr>
          <w:color w:val="231F20"/>
          <w:sz w:val="20"/>
          <w:vertAlign w:val="baseline"/>
        </w:rPr>
        <w:t>d’ivoire</w:t>
      </w:r>
      <w:r>
        <w:rPr>
          <w:color w:val="231F20"/>
          <w:spacing w:val="-3"/>
          <w:sz w:val="20"/>
          <w:vertAlign w:val="baseline"/>
        </w:rPr>
        <w:t> </w:t>
      </w:r>
      <w:r>
        <w:rPr>
          <w:color w:val="231F20"/>
          <w:sz w:val="20"/>
          <w:vertAlign w:val="baseline"/>
        </w:rPr>
        <w:t>Une</w:t>
      </w:r>
      <w:r>
        <w:rPr>
          <w:color w:val="231F20"/>
          <w:spacing w:val="-5"/>
          <w:sz w:val="20"/>
          <w:vertAlign w:val="baseline"/>
        </w:rPr>
        <w:t> </w:t>
      </w:r>
      <w:r>
        <w:rPr>
          <w:color w:val="231F20"/>
          <w:sz w:val="20"/>
          <w:vertAlign w:val="baseline"/>
        </w:rPr>
        <w:t>histoire</w:t>
      </w:r>
      <w:r>
        <w:rPr>
          <w:color w:val="231F20"/>
          <w:spacing w:val="-3"/>
          <w:sz w:val="20"/>
          <w:vertAlign w:val="baseline"/>
        </w:rPr>
        <w:t> </w:t>
      </w:r>
      <w:r>
        <w:rPr>
          <w:color w:val="231F20"/>
          <w:sz w:val="20"/>
          <w:vertAlign w:val="baseline"/>
        </w:rPr>
        <w:t>tronquée</w:t>
      </w:r>
      <w:r>
        <w:rPr>
          <w:color w:val="231F20"/>
          <w:spacing w:val="-5"/>
          <w:sz w:val="20"/>
          <w:vertAlign w:val="baseline"/>
        </w:rPr>
        <w:t> </w:t>
      </w:r>
      <w:r>
        <w:rPr>
          <w:color w:val="231F20"/>
          <w:sz w:val="20"/>
          <w:vertAlign w:val="baseline"/>
        </w:rPr>
        <w:t>de</w:t>
      </w:r>
      <w:r>
        <w:rPr>
          <w:color w:val="231F20"/>
          <w:spacing w:val="-6"/>
          <w:sz w:val="20"/>
          <w:vertAlign w:val="baseline"/>
        </w:rPr>
        <w:t> </w:t>
      </w:r>
      <w:r>
        <w:rPr>
          <w:color w:val="231F20"/>
          <w:sz w:val="20"/>
          <w:vertAlign w:val="baseline"/>
        </w:rPr>
        <w:t>Fanny</w:t>
      </w:r>
      <w:r>
        <w:rPr>
          <w:color w:val="231F20"/>
          <w:spacing w:val="-3"/>
          <w:sz w:val="20"/>
          <w:vertAlign w:val="baseline"/>
        </w:rPr>
        <w:t> </w:t>
      </w:r>
      <w:r>
        <w:rPr>
          <w:color w:val="231F20"/>
          <w:spacing w:val="-2"/>
          <w:sz w:val="20"/>
          <w:vertAlign w:val="baseline"/>
        </w:rPr>
        <w:t>Pigeaud,</w:t>
      </w:r>
    </w:p>
    <w:p>
      <w:pPr>
        <w:spacing w:before="0"/>
        <w:ind w:left="111" w:right="0" w:firstLine="0"/>
        <w:jc w:val="left"/>
        <w:rPr>
          <w:sz w:val="20"/>
        </w:rPr>
      </w:pPr>
      <w:r>
        <w:rPr>
          <w:color w:val="231F20"/>
          <w:spacing w:val="-2"/>
          <w:sz w:val="20"/>
        </w:rPr>
        <w:t>journaliste.</w:t>
      </w:r>
    </w:p>
    <w:p>
      <w:pPr>
        <w:spacing w:after="0"/>
        <w:jc w:val="left"/>
        <w:rPr>
          <w:sz w:val="20"/>
        </w:rPr>
        <w:sectPr>
          <w:pgSz w:w="8790" w:h="13610"/>
          <w:pgMar w:header="0" w:footer="802" w:top="1060" w:bottom="1000" w:left="880" w:right="880"/>
        </w:sectPr>
      </w:pPr>
    </w:p>
    <w:p>
      <w:pPr>
        <w:pStyle w:val="BodyText"/>
        <w:spacing w:before="66"/>
        <w:ind w:right="104"/>
      </w:pPr>
      <w:r>
        <w:rPr>
          <w:color w:val="231F20"/>
          <w:spacing w:val="-4"/>
        </w:rPr>
        <w:t>populations</w:t>
      </w:r>
      <w:r>
        <w:rPr>
          <w:color w:val="231F20"/>
          <w:spacing w:val="-9"/>
        </w:rPr>
        <w:t> </w:t>
      </w:r>
      <w:r>
        <w:rPr>
          <w:color w:val="231F20"/>
          <w:spacing w:val="-4"/>
        </w:rPr>
        <w:t>vivant</w:t>
      </w:r>
      <w:r>
        <w:rPr>
          <w:color w:val="231F20"/>
          <w:spacing w:val="-7"/>
        </w:rPr>
        <w:t> </w:t>
      </w:r>
      <w:r>
        <w:rPr>
          <w:color w:val="231F20"/>
          <w:spacing w:val="-4"/>
        </w:rPr>
        <w:t>à</w:t>
      </w:r>
      <w:r>
        <w:rPr>
          <w:color w:val="231F20"/>
          <w:spacing w:val="-9"/>
        </w:rPr>
        <w:t> </w:t>
      </w:r>
      <w:r>
        <w:rPr>
          <w:color w:val="231F20"/>
          <w:spacing w:val="-4"/>
        </w:rPr>
        <w:t>Bouaké</w:t>
      </w:r>
      <w:r>
        <w:rPr>
          <w:color w:val="231F20"/>
          <w:spacing w:val="-7"/>
        </w:rPr>
        <w:t> </w:t>
      </w:r>
      <w:r>
        <w:rPr>
          <w:color w:val="231F20"/>
          <w:spacing w:val="-4"/>
        </w:rPr>
        <w:t>devenu</w:t>
      </w:r>
      <w:r>
        <w:rPr>
          <w:color w:val="231F20"/>
          <w:spacing w:val="-9"/>
        </w:rPr>
        <w:t> </w:t>
      </w:r>
      <w:r>
        <w:rPr>
          <w:color w:val="231F20"/>
          <w:spacing w:val="-4"/>
        </w:rPr>
        <w:t>le</w:t>
      </w:r>
      <w:r>
        <w:rPr>
          <w:color w:val="231F20"/>
          <w:spacing w:val="-7"/>
        </w:rPr>
        <w:t> </w:t>
      </w:r>
      <w:r>
        <w:rPr>
          <w:color w:val="231F20"/>
          <w:spacing w:val="-4"/>
        </w:rPr>
        <w:t>siège</w:t>
      </w:r>
      <w:r>
        <w:rPr>
          <w:color w:val="231F20"/>
          <w:spacing w:val="-7"/>
        </w:rPr>
        <w:t> </w:t>
      </w:r>
      <w:r>
        <w:rPr>
          <w:color w:val="231F20"/>
          <w:spacing w:val="-4"/>
        </w:rPr>
        <w:t>de</w:t>
      </w:r>
      <w:r>
        <w:rPr>
          <w:color w:val="231F20"/>
          <w:spacing w:val="-9"/>
        </w:rPr>
        <w:t> </w:t>
      </w:r>
      <w:r>
        <w:rPr>
          <w:color w:val="231F20"/>
          <w:spacing w:val="-4"/>
        </w:rPr>
        <w:t>la</w:t>
      </w:r>
      <w:r>
        <w:rPr>
          <w:color w:val="231F20"/>
          <w:spacing w:val="-7"/>
        </w:rPr>
        <w:t> </w:t>
      </w:r>
      <w:r>
        <w:rPr>
          <w:color w:val="231F20"/>
          <w:spacing w:val="-4"/>
        </w:rPr>
        <w:t>rébellion</w:t>
      </w:r>
      <w:r>
        <w:rPr>
          <w:color w:val="231F20"/>
          <w:spacing w:val="-7"/>
        </w:rPr>
        <w:t> </w:t>
      </w:r>
      <w:r>
        <w:rPr>
          <w:color w:val="231F20"/>
          <w:spacing w:val="-4"/>
        </w:rPr>
        <w:t>armée,</w:t>
      </w:r>
      <w:r>
        <w:rPr>
          <w:color w:val="231F20"/>
          <w:spacing w:val="-7"/>
        </w:rPr>
        <w:t> </w:t>
      </w:r>
      <w:r>
        <w:rPr>
          <w:color w:val="231F20"/>
          <w:spacing w:val="-4"/>
        </w:rPr>
        <w:t>ont</w:t>
      </w:r>
      <w:r>
        <w:rPr>
          <w:color w:val="231F20"/>
          <w:spacing w:val="-7"/>
        </w:rPr>
        <w:t> </w:t>
      </w:r>
      <w:r>
        <w:rPr>
          <w:color w:val="231F20"/>
          <w:spacing w:val="-4"/>
        </w:rPr>
        <w:t>fui </w:t>
      </w:r>
      <w:r>
        <w:rPr>
          <w:color w:val="231F20"/>
          <w:spacing w:val="-2"/>
        </w:rPr>
        <w:t>leur</w:t>
      </w:r>
      <w:r>
        <w:rPr>
          <w:color w:val="231F20"/>
          <w:spacing w:val="-6"/>
        </w:rPr>
        <w:t> </w:t>
      </w:r>
      <w:r>
        <w:rPr>
          <w:color w:val="231F20"/>
          <w:spacing w:val="-2"/>
        </w:rPr>
        <w:t>lieu</w:t>
      </w:r>
      <w:r>
        <w:rPr>
          <w:color w:val="231F20"/>
          <w:spacing w:val="-6"/>
        </w:rPr>
        <w:t> </w:t>
      </w:r>
      <w:r>
        <w:rPr>
          <w:color w:val="231F20"/>
          <w:spacing w:val="-2"/>
        </w:rPr>
        <w:t>de</w:t>
      </w:r>
      <w:r>
        <w:rPr>
          <w:color w:val="231F20"/>
          <w:spacing w:val="-9"/>
        </w:rPr>
        <w:t> </w:t>
      </w:r>
      <w:r>
        <w:rPr>
          <w:color w:val="231F20"/>
          <w:spacing w:val="-2"/>
        </w:rPr>
        <w:t>résidence,</w:t>
      </w:r>
      <w:r>
        <w:rPr>
          <w:color w:val="231F20"/>
          <w:spacing w:val="-6"/>
        </w:rPr>
        <w:t> </w:t>
      </w:r>
      <w:r>
        <w:rPr>
          <w:color w:val="231F20"/>
          <w:spacing w:val="-2"/>
        </w:rPr>
        <w:t>abandonnant</w:t>
      </w:r>
      <w:r>
        <w:rPr>
          <w:color w:val="231F20"/>
          <w:spacing w:val="-7"/>
        </w:rPr>
        <w:t> </w:t>
      </w:r>
      <w:r>
        <w:rPr>
          <w:color w:val="231F20"/>
          <w:spacing w:val="-2"/>
        </w:rPr>
        <w:t>leur</w:t>
      </w:r>
      <w:r>
        <w:rPr>
          <w:color w:val="231F20"/>
          <w:spacing w:val="-6"/>
        </w:rPr>
        <w:t> </w:t>
      </w:r>
      <w:r>
        <w:rPr>
          <w:color w:val="231F20"/>
          <w:spacing w:val="-2"/>
        </w:rPr>
        <w:t>maison</w:t>
      </w:r>
      <w:r>
        <w:rPr>
          <w:color w:val="231F20"/>
          <w:spacing w:val="-6"/>
        </w:rPr>
        <w:t> </w:t>
      </w:r>
      <w:r>
        <w:rPr>
          <w:color w:val="231F20"/>
          <w:spacing w:val="-2"/>
        </w:rPr>
        <w:t>et</w:t>
      </w:r>
      <w:r>
        <w:rPr>
          <w:color w:val="231F20"/>
          <w:spacing w:val="-8"/>
        </w:rPr>
        <w:t> </w:t>
      </w:r>
      <w:r>
        <w:rPr>
          <w:color w:val="231F20"/>
          <w:spacing w:val="-2"/>
        </w:rPr>
        <w:t>autres</w:t>
      </w:r>
      <w:r>
        <w:rPr>
          <w:color w:val="231F20"/>
          <w:spacing w:val="-6"/>
        </w:rPr>
        <w:t> </w:t>
      </w:r>
      <w:r>
        <w:rPr>
          <w:color w:val="231F20"/>
          <w:spacing w:val="-2"/>
        </w:rPr>
        <w:t>biens</w:t>
      </w:r>
      <w:r>
        <w:rPr>
          <w:color w:val="231F20"/>
          <w:spacing w:val="-9"/>
        </w:rPr>
        <w:t> </w:t>
      </w:r>
      <w:r>
        <w:rPr>
          <w:color w:val="231F20"/>
          <w:spacing w:val="-2"/>
        </w:rPr>
        <w:t>acquis</w:t>
      </w:r>
      <w:r>
        <w:rPr>
          <w:color w:val="231F20"/>
          <w:spacing w:val="-6"/>
        </w:rPr>
        <w:t> </w:t>
      </w:r>
      <w:r>
        <w:rPr>
          <w:color w:val="231F20"/>
          <w:spacing w:val="-2"/>
        </w:rPr>
        <w:t>au </w:t>
      </w:r>
      <w:r>
        <w:rPr>
          <w:color w:val="231F20"/>
        </w:rPr>
        <w:t>fil de longues années de</w:t>
      </w:r>
      <w:r>
        <w:rPr>
          <w:color w:val="231F20"/>
          <w:spacing w:val="-1"/>
        </w:rPr>
        <w:t> </w:t>
      </w:r>
      <w:r>
        <w:rPr>
          <w:color w:val="231F20"/>
        </w:rPr>
        <w:t>travail pour des directions diverses. A pieds à travers</w:t>
      </w:r>
      <w:r>
        <w:rPr>
          <w:color w:val="231F20"/>
          <w:spacing w:val="-15"/>
        </w:rPr>
        <w:t> </w:t>
      </w:r>
      <w:r>
        <w:rPr>
          <w:color w:val="231F20"/>
        </w:rPr>
        <w:t>les</w:t>
      </w:r>
      <w:r>
        <w:rPr>
          <w:color w:val="231F20"/>
          <w:spacing w:val="-14"/>
        </w:rPr>
        <w:t> </w:t>
      </w:r>
      <w:r>
        <w:rPr>
          <w:color w:val="231F20"/>
        </w:rPr>
        <w:t>champs,</w:t>
      </w:r>
      <w:r>
        <w:rPr>
          <w:color w:val="231F20"/>
          <w:spacing w:val="-15"/>
        </w:rPr>
        <w:t> </w:t>
      </w:r>
      <w:r>
        <w:rPr>
          <w:color w:val="231F20"/>
        </w:rPr>
        <w:t>ils</w:t>
      </w:r>
      <w:r>
        <w:rPr>
          <w:color w:val="231F20"/>
          <w:spacing w:val="-14"/>
        </w:rPr>
        <w:t> </w:t>
      </w:r>
      <w:r>
        <w:rPr>
          <w:color w:val="231F20"/>
        </w:rPr>
        <w:t>ont</w:t>
      </w:r>
      <w:r>
        <w:rPr>
          <w:color w:val="231F20"/>
          <w:spacing w:val="-15"/>
        </w:rPr>
        <w:t> </w:t>
      </w:r>
      <w:r>
        <w:rPr>
          <w:color w:val="231F20"/>
        </w:rPr>
        <w:t>parcouru</w:t>
      </w:r>
      <w:r>
        <w:rPr>
          <w:color w:val="231F20"/>
          <w:spacing w:val="-14"/>
        </w:rPr>
        <w:t> </w:t>
      </w:r>
      <w:r>
        <w:rPr>
          <w:color w:val="231F20"/>
        </w:rPr>
        <w:t>des</w:t>
      </w:r>
      <w:r>
        <w:rPr>
          <w:color w:val="231F20"/>
          <w:spacing w:val="-14"/>
        </w:rPr>
        <w:t> </w:t>
      </w:r>
      <w:r>
        <w:rPr>
          <w:color w:val="231F20"/>
        </w:rPr>
        <w:t>centaines</w:t>
      </w:r>
      <w:r>
        <w:rPr>
          <w:color w:val="231F20"/>
          <w:spacing w:val="-14"/>
        </w:rPr>
        <w:t> </w:t>
      </w:r>
      <w:r>
        <w:rPr>
          <w:color w:val="231F20"/>
        </w:rPr>
        <w:t>de</w:t>
      </w:r>
      <w:r>
        <w:rPr>
          <w:color w:val="231F20"/>
          <w:spacing w:val="-15"/>
        </w:rPr>
        <w:t> </w:t>
      </w:r>
      <w:r>
        <w:rPr>
          <w:color w:val="231F20"/>
        </w:rPr>
        <w:t>kilomètres.</w:t>
      </w:r>
      <w:r>
        <w:rPr>
          <w:color w:val="231F20"/>
          <w:spacing w:val="-15"/>
        </w:rPr>
        <w:t> </w:t>
      </w:r>
      <w:r>
        <w:rPr>
          <w:color w:val="231F20"/>
        </w:rPr>
        <w:t>Certain </w:t>
      </w:r>
      <w:r>
        <w:rPr>
          <w:color w:val="231F20"/>
          <w:spacing w:val="-2"/>
        </w:rPr>
        <w:t>ont</w:t>
      </w:r>
      <w:r>
        <w:rPr>
          <w:color w:val="231F20"/>
          <w:spacing w:val="-10"/>
        </w:rPr>
        <w:t> </w:t>
      </w:r>
      <w:r>
        <w:rPr>
          <w:color w:val="231F20"/>
          <w:spacing w:val="-2"/>
        </w:rPr>
        <w:t>effectué</w:t>
      </w:r>
      <w:r>
        <w:rPr>
          <w:color w:val="231F20"/>
          <w:spacing w:val="-11"/>
        </w:rPr>
        <w:t> </w:t>
      </w:r>
      <w:r>
        <w:rPr>
          <w:color w:val="231F20"/>
          <w:spacing w:val="-2"/>
        </w:rPr>
        <w:t>leur</w:t>
      </w:r>
      <w:r>
        <w:rPr>
          <w:color w:val="231F20"/>
          <w:spacing w:val="-11"/>
        </w:rPr>
        <w:t> </w:t>
      </w:r>
      <w:r>
        <w:rPr>
          <w:color w:val="231F20"/>
          <w:spacing w:val="-2"/>
        </w:rPr>
        <w:t>déplacement</w:t>
      </w:r>
      <w:r>
        <w:rPr>
          <w:color w:val="231F20"/>
          <w:spacing w:val="-10"/>
        </w:rPr>
        <w:t> </w:t>
      </w:r>
      <w:r>
        <w:rPr>
          <w:color w:val="231F20"/>
          <w:spacing w:val="-2"/>
        </w:rPr>
        <w:t>à</w:t>
      </w:r>
      <w:r>
        <w:rPr>
          <w:color w:val="231F20"/>
          <w:spacing w:val="-11"/>
        </w:rPr>
        <w:t> </w:t>
      </w:r>
      <w:r>
        <w:rPr>
          <w:color w:val="231F20"/>
          <w:spacing w:val="-2"/>
        </w:rPr>
        <w:t>l’intérieur</w:t>
      </w:r>
      <w:r>
        <w:rPr>
          <w:color w:val="231F20"/>
          <w:spacing w:val="-11"/>
        </w:rPr>
        <w:t> </w:t>
      </w:r>
      <w:r>
        <w:rPr>
          <w:color w:val="231F20"/>
          <w:spacing w:val="-2"/>
        </w:rPr>
        <w:t>du</w:t>
      </w:r>
      <w:r>
        <w:rPr>
          <w:color w:val="231F20"/>
          <w:spacing w:val="-10"/>
        </w:rPr>
        <w:t> </w:t>
      </w:r>
      <w:r>
        <w:rPr>
          <w:color w:val="231F20"/>
          <w:spacing w:val="-2"/>
        </w:rPr>
        <w:t>pays,</w:t>
      </w:r>
      <w:r>
        <w:rPr>
          <w:color w:val="231F20"/>
          <w:spacing w:val="-10"/>
        </w:rPr>
        <w:t> </w:t>
      </w:r>
      <w:r>
        <w:rPr>
          <w:color w:val="231F20"/>
          <w:spacing w:val="-2"/>
        </w:rPr>
        <w:t>d’autres</w:t>
      </w:r>
      <w:r>
        <w:rPr>
          <w:color w:val="231F20"/>
          <w:spacing w:val="-8"/>
        </w:rPr>
        <w:t> </w:t>
      </w:r>
      <w:r>
        <w:rPr>
          <w:color w:val="231F20"/>
          <w:spacing w:val="-2"/>
        </w:rPr>
        <w:t>ont</w:t>
      </w:r>
      <w:r>
        <w:rPr>
          <w:color w:val="231F20"/>
          <w:spacing w:val="-10"/>
        </w:rPr>
        <w:t> </w:t>
      </w:r>
      <w:r>
        <w:rPr>
          <w:color w:val="231F20"/>
          <w:spacing w:val="-2"/>
        </w:rPr>
        <w:t>choisi</w:t>
      </w:r>
      <w:r>
        <w:rPr>
          <w:color w:val="231F20"/>
          <w:spacing w:val="-10"/>
        </w:rPr>
        <w:t> </w:t>
      </w:r>
      <w:r>
        <w:rPr>
          <w:color w:val="231F20"/>
          <w:spacing w:val="-2"/>
        </w:rPr>
        <w:t>de </w:t>
      </w:r>
      <w:r>
        <w:rPr>
          <w:color w:val="231F20"/>
        </w:rPr>
        <w:t>traverser les</w:t>
      </w:r>
      <w:r>
        <w:rPr>
          <w:color w:val="231F20"/>
          <w:spacing w:val="-3"/>
        </w:rPr>
        <w:t> </w:t>
      </w:r>
      <w:r>
        <w:rPr>
          <w:color w:val="231F20"/>
        </w:rPr>
        <w:t>frontières comme ceux</w:t>
      </w:r>
      <w:r>
        <w:rPr>
          <w:color w:val="231F20"/>
          <w:spacing w:val="-3"/>
        </w:rPr>
        <w:t> </w:t>
      </w:r>
      <w:r>
        <w:rPr>
          <w:color w:val="231F20"/>
        </w:rPr>
        <w:t>de l’Ouest.</w:t>
      </w:r>
    </w:p>
    <w:p>
      <w:pPr>
        <w:pStyle w:val="BodyText"/>
        <w:spacing w:before="241"/>
        <w:ind w:left="0"/>
        <w:jc w:val="left"/>
      </w:pPr>
    </w:p>
    <w:p>
      <w:pPr>
        <w:spacing w:before="1"/>
        <w:ind w:left="112" w:right="0" w:firstLine="0"/>
        <w:jc w:val="both"/>
        <w:rPr>
          <w:rFonts w:ascii="Cambria" w:hAnsi="Cambria"/>
          <w:i/>
          <w:sz w:val="24"/>
        </w:rPr>
      </w:pPr>
      <w:r>
        <w:rPr>
          <w:rFonts w:ascii="Cambria" w:hAnsi="Cambria"/>
          <w:i/>
          <w:color w:val="231F20"/>
          <w:spacing w:val="-2"/>
          <w:sz w:val="24"/>
        </w:rPr>
        <w:t>Avidité</w:t>
      </w:r>
      <w:r>
        <w:rPr>
          <w:rFonts w:ascii="Cambria" w:hAnsi="Cambria"/>
          <w:i/>
          <w:color w:val="231F20"/>
          <w:spacing w:val="-11"/>
          <w:sz w:val="24"/>
        </w:rPr>
        <w:t> </w:t>
      </w:r>
      <w:r>
        <w:rPr>
          <w:rFonts w:ascii="Cambria" w:hAnsi="Cambria"/>
          <w:i/>
          <w:color w:val="231F20"/>
          <w:spacing w:val="-2"/>
          <w:sz w:val="24"/>
        </w:rPr>
        <w:t>et</w:t>
      </w:r>
      <w:r>
        <w:rPr>
          <w:rFonts w:ascii="Cambria" w:hAnsi="Cambria"/>
          <w:i/>
          <w:color w:val="231F20"/>
          <w:spacing w:val="-7"/>
          <w:sz w:val="24"/>
        </w:rPr>
        <w:t> </w:t>
      </w:r>
      <w:r>
        <w:rPr>
          <w:rFonts w:ascii="Cambria" w:hAnsi="Cambria"/>
          <w:i/>
          <w:color w:val="231F20"/>
          <w:spacing w:val="-2"/>
          <w:sz w:val="24"/>
        </w:rPr>
        <w:t>Egoïsme</w:t>
      </w:r>
      <w:r>
        <w:rPr>
          <w:rFonts w:ascii="Cambria" w:hAnsi="Cambria"/>
          <w:i/>
          <w:color w:val="231F20"/>
          <w:spacing w:val="-9"/>
          <w:sz w:val="24"/>
        </w:rPr>
        <w:t> </w:t>
      </w:r>
      <w:r>
        <w:rPr>
          <w:rFonts w:ascii="Cambria" w:hAnsi="Cambria"/>
          <w:i/>
          <w:color w:val="231F20"/>
          <w:spacing w:val="-2"/>
          <w:sz w:val="24"/>
        </w:rPr>
        <w:t>:</w:t>
      </w:r>
      <w:r>
        <w:rPr>
          <w:rFonts w:ascii="Cambria" w:hAnsi="Cambria"/>
          <w:i/>
          <w:color w:val="231F20"/>
          <w:spacing w:val="-9"/>
          <w:sz w:val="24"/>
        </w:rPr>
        <w:t> </w:t>
      </w:r>
      <w:r>
        <w:rPr>
          <w:rFonts w:ascii="Cambria" w:hAnsi="Cambria"/>
          <w:i/>
          <w:color w:val="231F20"/>
          <w:spacing w:val="-2"/>
          <w:sz w:val="24"/>
        </w:rPr>
        <w:t>ça</w:t>
      </w:r>
      <w:r>
        <w:rPr>
          <w:rFonts w:ascii="Cambria" w:hAnsi="Cambria"/>
          <w:i/>
          <w:color w:val="231F20"/>
          <w:spacing w:val="-10"/>
          <w:sz w:val="24"/>
        </w:rPr>
        <w:t> </w:t>
      </w:r>
      <w:r>
        <w:rPr>
          <w:rFonts w:ascii="Cambria" w:hAnsi="Cambria"/>
          <w:i/>
          <w:color w:val="231F20"/>
          <w:spacing w:val="-2"/>
          <w:sz w:val="24"/>
        </w:rPr>
        <w:t>suffit</w:t>
      </w:r>
      <w:r>
        <w:rPr>
          <w:rFonts w:ascii="Cambria" w:hAnsi="Cambria"/>
          <w:i/>
          <w:color w:val="231F20"/>
          <w:spacing w:val="-8"/>
          <w:sz w:val="24"/>
        </w:rPr>
        <w:t> </w:t>
      </w:r>
      <w:r>
        <w:rPr>
          <w:rFonts w:ascii="Cambria" w:hAnsi="Cambria"/>
          <w:i/>
          <w:color w:val="231F20"/>
          <w:spacing w:val="-10"/>
          <w:sz w:val="24"/>
        </w:rPr>
        <w:t>!</w:t>
      </w:r>
    </w:p>
    <w:p>
      <w:pPr>
        <w:pStyle w:val="BodyText"/>
        <w:spacing w:before="113"/>
        <w:ind w:left="0"/>
        <w:jc w:val="left"/>
        <w:rPr>
          <w:rFonts w:ascii="Cambria"/>
          <w:i/>
        </w:rPr>
      </w:pPr>
    </w:p>
    <w:p>
      <w:pPr>
        <w:pStyle w:val="BodyText"/>
        <w:ind w:left="112" w:right="110" w:firstLine="283"/>
      </w:pPr>
      <w:r>
        <w:rPr>
          <w:color w:val="231F20"/>
          <w:spacing w:val="-2"/>
        </w:rPr>
        <w:t>J’ai</w:t>
      </w:r>
      <w:r>
        <w:rPr>
          <w:color w:val="231F20"/>
          <w:spacing w:val="-15"/>
        </w:rPr>
        <w:t> </w:t>
      </w:r>
      <w:r>
        <w:rPr>
          <w:color w:val="231F20"/>
          <w:spacing w:val="-2"/>
        </w:rPr>
        <w:t>été</w:t>
      </w:r>
      <w:r>
        <w:rPr>
          <w:color w:val="231F20"/>
          <w:spacing w:val="-13"/>
        </w:rPr>
        <w:t> </w:t>
      </w:r>
      <w:r>
        <w:rPr>
          <w:color w:val="231F20"/>
          <w:spacing w:val="-2"/>
        </w:rPr>
        <w:t>en</w:t>
      </w:r>
      <w:r>
        <w:rPr>
          <w:color w:val="231F20"/>
          <w:spacing w:val="-13"/>
        </w:rPr>
        <w:t> </w:t>
      </w:r>
      <w:r>
        <w:rPr>
          <w:color w:val="231F20"/>
          <w:spacing w:val="-2"/>
        </w:rPr>
        <w:t>2020,</w:t>
      </w:r>
      <w:r>
        <w:rPr>
          <w:color w:val="231F20"/>
          <w:spacing w:val="-13"/>
        </w:rPr>
        <w:t> </w:t>
      </w:r>
      <w:r>
        <w:rPr>
          <w:color w:val="231F20"/>
          <w:spacing w:val="-2"/>
        </w:rPr>
        <w:t>bouleversé</w:t>
      </w:r>
      <w:r>
        <w:rPr>
          <w:color w:val="231F20"/>
          <w:spacing w:val="-13"/>
        </w:rPr>
        <w:t> </w:t>
      </w:r>
      <w:r>
        <w:rPr>
          <w:color w:val="231F20"/>
          <w:spacing w:val="-2"/>
        </w:rPr>
        <w:t>par</w:t>
      </w:r>
      <w:r>
        <w:rPr>
          <w:color w:val="231F20"/>
          <w:spacing w:val="-13"/>
        </w:rPr>
        <w:t> </w:t>
      </w:r>
      <w:r>
        <w:rPr>
          <w:color w:val="231F20"/>
          <w:spacing w:val="-2"/>
        </w:rPr>
        <w:t>l’histoire</w:t>
      </w:r>
      <w:r>
        <w:rPr>
          <w:color w:val="231F20"/>
          <w:spacing w:val="-13"/>
        </w:rPr>
        <w:t> </w:t>
      </w:r>
      <w:r>
        <w:rPr>
          <w:color w:val="231F20"/>
          <w:spacing w:val="-2"/>
        </w:rPr>
        <w:t>des</w:t>
      </w:r>
      <w:r>
        <w:rPr>
          <w:color w:val="231F20"/>
          <w:spacing w:val="-13"/>
        </w:rPr>
        <w:t> </w:t>
      </w:r>
      <w:r>
        <w:rPr>
          <w:color w:val="231F20"/>
          <w:spacing w:val="-2"/>
        </w:rPr>
        <w:t>«</w:t>
      </w:r>
      <w:r>
        <w:rPr>
          <w:color w:val="231F20"/>
          <w:spacing w:val="-13"/>
        </w:rPr>
        <w:t> </w:t>
      </w:r>
      <w:r>
        <w:rPr>
          <w:color w:val="231F20"/>
          <w:spacing w:val="-2"/>
        </w:rPr>
        <w:t>orphelins</w:t>
      </w:r>
      <w:r>
        <w:rPr>
          <w:color w:val="231F20"/>
          <w:spacing w:val="-13"/>
        </w:rPr>
        <w:t> </w:t>
      </w:r>
      <w:r>
        <w:rPr>
          <w:color w:val="231F20"/>
          <w:spacing w:val="-2"/>
        </w:rPr>
        <w:t>de</w:t>
      </w:r>
      <w:r>
        <w:rPr>
          <w:color w:val="231F20"/>
          <w:spacing w:val="-13"/>
        </w:rPr>
        <w:t> </w:t>
      </w:r>
      <w:r>
        <w:rPr>
          <w:color w:val="231F20"/>
          <w:spacing w:val="-2"/>
        </w:rPr>
        <w:t>Sankara», </w:t>
      </w:r>
      <w:r>
        <w:rPr>
          <w:color w:val="231F20"/>
        </w:rPr>
        <w:t>un</w:t>
      </w:r>
      <w:r>
        <w:rPr>
          <w:color w:val="231F20"/>
          <w:spacing w:val="-13"/>
        </w:rPr>
        <w:t> </w:t>
      </w:r>
      <w:r>
        <w:rPr>
          <w:color w:val="231F20"/>
        </w:rPr>
        <w:t>documentaire</w:t>
      </w:r>
      <w:r>
        <w:rPr>
          <w:color w:val="231F20"/>
          <w:spacing w:val="-13"/>
        </w:rPr>
        <w:t> </w:t>
      </w:r>
      <w:r>
        <w:rPr>
          <w:color w:val="231F20"/>
        </w:rPr>
        <w:t>réalisé</w:t>
      </w:r>
      <w:r>
        <w:rPr>
          <w:color w:val="231F20"/>
          <w:spacing w:val="-15"/>
        </w:rPr>
        <w:t> </w:t>
      </w:r>
      <w:r>
        <w:rPr>
          <w:color w:val="231F20"/>
        </w:rPr>
        <w:t>par</w:t>
      </w:r>
      <w:r>
        <w:rPr>
          <w:color w:val="231F20"/>
          <w:spacing w:val="-13"/>
        </w:rPr>
        <w:t> </w:t>
      </w:r>
      <w:r>
        <w:rPr>
          <w:color w:val="231F20"/>
        </w:rPr>
        <w:t>la</w:t>
      </w:r>
      <w:r>
        <w:rPr>
          <w:color w:val="231F20"/>
          <w:spacing w:val="-13"/>
        </w:rPr>
        <w:t> </w:t>
      </w:r>
      <w:r>
        <w:rPr>
          <w:color w:val="231F20"/>
        </w:rPr>
        <w:t>Française</w:t>
      </w:r>
      <w:r>
        <w:rPr>
          <w:color w:val="231F20"/>
          <w:spacing w:val="-15"/>
        </w:rPr>
        <w:t> </w:t>
      </w:r>
      <w:r>
        <w:rPr>
          <w:color w:val="231F20"/>
        </w:rPr>
        <w:t>Géraldine</w:t>
      </w:r>
      <w:r>
        <w:rPr>
          <w:color w:val="231F20"/>
          <w:spacing w:val="-15"/>
        </w:rPr>
        <w:t> </w:t>
      </w:r>
      <w:r>
        <w:rPr>
          <w:color w:val="231F20"/>
        </w:rPr>
        <w:t>Berger</w:t>
      </w:r>
      <w:r>
        <w:rPr>
          <w:color w:val="231F20"/>
          <w:spacing w:val="-13"/>
        </w:rPr>
        <w:t> </w:t>
      </w:r>
      <w:r>
        <w:rPr>
          <w:color w:val="231F20"/>
        </w:rPr>
        <w:t>et</w:t>
      </w:r>
      <w:r>
        <w:rPr>
          <w:color w:val="231F20"/>
          <w:spacing w:val="-13"/>
        </w:rPr>
        <w:t> </w:t>
      </w:r>
      <w:r>
        <w:rPr>
          <w:color w:val="231F20"/>
        </w:rPr>
        <w:t>diffusé</w:t>
      </w:r>
      <w:r>
        <w:rPr>
          <w:color w:val="231F20"/>
          <w:spacing w:val="-15"/>
        </w:rPr>
        <w:t> </w:t>
      </w:r>
      <w:r>
        <w:rPr>
          <w:color w:val="231F20"/>
        </w:rPr>
        <w:t>sur </w:t>
      </w:r>
      <w:r>
        <w:rPr>
          <w:color w:val="231F20"/>
          <w:spacing w:val="-2"/>
        </w:rPr>
        <w:t>canal+.</w:t>
      </w:r>
    </w:p>
    <w:p>
      <w:pPr>
        <w:spacing w:before="120"/>
        <w:ind w:left="112" w:right="105" w:firstLine="283"/>
        <w:jc w:val="both"/>
        <w:rPr>
          <w:sz w:val="24"/>
        </w:rPr>
      </w:pPr>
      <w:r>
        <w:rPr>
          <w:color w:val="231F20"/>
          <w:sz w:val="24"/>
        </w:rPr>
        <w:t>Le</w:t>
      </w:r>
      <w:r>
        <w:rPr>
          <w:color w:val="231F20"/>
          <w:spacing w:val="-15"/>
          <w:sz w:val="24"/>
        </w:rPr>
        <w:t> </w:t>
      </w:r>
      <w:r>
        <w:rPr>
          <w:color w:val="231F20"/>
          <w:sz w:val="24"/>
        </w:rPr>
        <w:t>film</w:t>
      </w:r>
      <w:r>
        <w:rPr>
          <w:color w:val="231F20"/>
          <w:spacing w:val="-15"/>
          <w:sz w:val="24"/>
        </w:rPr>
        <w:t> </w:t>
      </w:r>
      <w:r>
        <w:rPr>
          <w:color w:val="231F20"/>
          <w:sz w:val="24"/>
        </w:rPr>
        <w:t>revenait</w:t>
      </w:r>
      <w:r>
        <w:rPr>
          <w:color w:val="231F20"/>
          <w:spacing w:val="-15"/>
          <w:sz w:val="24"/>
        </w:rPr>
        <w:t> </w:t>
      </w:r>
      <w:r>
        <w:rPr>
          <w:color w:val="231F20"/>
          <w:sz w:val="24"/>
        </w:rPr>
        <w:t>sur</w:t>
      </w:r>
      <w:r>
        <w:rPr>
          <w:color w:val="231F20"/>
          <w:spacing w:val="-15"/>
          <w:sz w:val="24"/>
        </w:rPr>
        <w:t> </w:t>
      </w:r>
      <w:r>
        <w:rPr>
          <w:color w:val="231F20"/>
          <w:sz w:val="24"/>
        </w:rPr>
        <w:t>l'un</w:t>
      </w:r>
      <w:r>
        <w:rPr>
          <w:color w:val="231F20"/>
          <w:spacing w:val="-15"/>
          <w:sz w:val="24"/>
        </w:rPr>
        <w:t> </w:t>
      </w:r>
      <w:r>
        <w:rPr>
          <w:color w:val="231F20"/>
          <w:sz w:val="24"/>
        </w:rPr>
        <w:t>des</w:t>
      </w:r>
      <w:r>
        <w:rPr>
          <w:color w:val="231F20"/>
          <w:spacing w:val="-15"/>
          <w:sz w:val="24"/>
        </w:rPr>
        <w:t> </w:t>
      </w:r>
      <w:r>
        <w:rPr>
          <w:color w:val="231F20"/>
          <w:sz w:val="24"/>
        </w:rPr>
        <w:t>projets</w:t>
      </w:r>
      <w:r>
        <w:rPr>
          <w:color w:val="231F20"/>
          <w:spacing w:val="-15"/>
          <w:sz w:val="24"/>
        </w:rPr>
        <w:t> </w:t>
      </w:r>
      <w:r>
        <w:rPr>
          <w:color w:val="231F20"/>
          <w:sz w:val="24"/>
        </w:rPr>
        <w:t>phares</w:t>
      </w:r>
      <w:r>
        <w:rPr>
          <w:color w:val="231F20"/>
          <w:spacing w:val="-15"/>
          <w:sz w:val="24"/>
        </w:rPr>
        <w:t> </w:t>
      </w:r>
      <w:r>
        <w:rPr>
          <w:color w:val="231F20"/>
          <w:sz w:val="24"/>
        </w:rPr>
        <w:t>du</w:t>
      </w:r>
      <w:r>
        <w:rPr>
          <w:color w:val="231F20"/>
          <w:spacing w:val="-15"/>
          <w:sz w:val="24"/>
        </w:rPr>
        <w:t> </w:t>
      </w:r>
      <w:r>
        <w:rPr>
          <w:color w:val="231F20"/>
          <w:sz w:val="24"/>
        </w:rPr>
        <w:t>régime</w:t>
      </w:r>
      <w:r>
        <w:rPr>
          <w:color w:val="231F20"/>
          <w:spacing w:val="-15"/>
          <w:sz w:val="24"/>
        </w:rPr>
        <w:t> </w:t>
      </w:r>
      <w:r>
        <w:rPr>
          <w:color w:val="231F20"/>
          <w:sz w:val="24"/>
        </w:rPr>
        <w:t>révolutionnaire </w:t>
      </w:r>
      <w:r>
        <w:rPr>
          <w:color w:val="231F20"/>
          <w:spacing w:val="-2"/>
          <w:sz w:val="24"/>
        </w:rPr>
        <w:t>présidé</w:t>
      </w:r>
      <w:r>
        <w:rPr>
          <w:color w:val="231F20"/>
          <w:spacing w:val="-15"/>
          <w:sz w:val="24"/>
        </w:rPr>
        <w:t> </w:t>
      </w:r>
      <w:r>
        <w:rPr>
          <w:color w:val="231F20"/>
          <w:spacing w:val="-2"/>
          <w:sz w:val="24"/>
        </w:rPr>
        <w:t>par</w:t>
      </w:r>
      <w:r>
        <w:rPr>
          <w:color w:val="231F20"/>
          <w:spacing w:val="-13"/>
          <w:sz w:val="24"/>
        </w:rPr>
        <w:t> </w:t>
      </w:r>
      <w:r>
        <w:rPr>
          <w:color w:val="231F20"/>
          <w:spacing w:val="-2"/>
          <w:sz w:val="24"/>
        </w:rPr>
        <w:t>Thomas</w:t>
      </w:r>
      <w:r>
        <w:rPr>
          <w:color w:val="231F20"/>
          <w:spacing w:val="-13"/>
          <w:sz w:val="24"/>
        </w:rPr>
        <w:t> </w:t>
      </w:r>
      <w:r>
        <w:rPr>
          <w:color w:val="231F20"/>
          <w:spacing w:val="-2"/>
          <w:sz w:val="24"/>
        </w:rPr>
        <w:t>Sankara</w:t>
      </w:r>
      <w:r>
        <w:rPr>
          <w:color w:val="231F20"/>
          <w:spacing w:val="-13"/>
          <w:sz w:val="24"/>
        </w:rPr>
        <w:t> </w:t>
      </w:r>
      <w:r>
        <w:rPr>
          <w:color w:val="231F20"/>
          <w:spacing w:val="-2"/>
          <w:sz w:val="24"/>
        </w:rPr>
        <w:t>:</w:t>
      </w:r>
      <w:r>
        <w:rPr>
          <w:color w:val="231F20"/>
          <w:spacing w:val="-13"/>
          <w:sz w:val="24"/>
        </w:rPr>
        <w:t> </w:t>
      </w:r>
      <w:r>
        <w:rPr>
          <w:b/>
          <w:color w:val="231F20"/>
          <w:spacing w:val="-2"/>
          <w:sz w:val="24"/>
        </w:rPr>
        <w:t>«</w:t>
      </w:r>
      <w:r>
        <w:rPr>
          <w:b/>
          <w:color w:val="231F20"/>
          <w:spacing w:val="-13"/>
          <w:sz w:val="24"/>
        </w:rPr>
        <w:t> </w:t>
      </w:r>
      <w:r>
        <w:rPr>
          <w:i/>
          <w:color w:val="231F20"/>
          <w:spacing w:val="-2"/>
          <w:sz w:val="24"/>
        </w:rPr>
        <w:t>Nous</w:t>
      </w:r>
      <w:r>
        <w:rPr>
          <w:i/>
          <w:color w:val="231F20"/>
          <w:spacing w:val="-13"/>
          <w:sz w:val="24"/>
        </w:rPr>
        <w:t> </w:t>
      </w:r>
      <w:r>
        <w:rPr>
          <w:i/>
          <w:color w:val="231F20"/>
          <w:spacing w:val="-2"/>
          <w:sz w:val="24"/>
        </w:rPr>
        <w:t>avons</w:t>
      </w:r>
      <w:r>
        <w:rPr>
          <w:i/>
          <w:color w:val="231F20"/>
          <w:spacing w:val="-13"/>
          <w:sz w:val="24"/>
        </w:rPr>
        <w:t> </w:t>
      </w:r>
      <w:r>
        <w:rPr>
          <w:i/>
          <w:color w:val="231F20"/>
          <w:spacing w:val="-2"/>
          <w:sz w:val="24"/>
        </w:rPr>
        <w:t>suffisamment</w:t>
      </w:r>
      <w:r>
        <w:rPr>
          <w:i/>
          <w:color w:val="231F20"/>
          <w:spacing w:val="-13"/>
          <w:sz w:val="24"/>
        </w:rPr>
        <w:t> </w:t>
      </w:r>
      <w:r>
        <w:rPr>
          <w:i/>
          <w:color w:val="231F20"/>
          <w:spacing w:val="-2"/>
          <w:sz w:val="24"/>
        </w:rPr>
        <w:t>de</w:t>
      </w:r>
      <w:r>
        <w:rPr>
          <w:i/>
          <w:color w:val="231F20"/>
          <w:spacing w:val="-13"/>
          <w:sz w:val="24"/>
        </w:rPr>
        <w:t> </w:t>
      </w:r>
      <w:r>
        <w:rPr>
          <w:i/>
          <w:color w:val="231F20"/>
          <w:spacing w:val="-2"/>
          <w:sz w:val="24"/>
        </w:rPr>
        <w:t>bras</w:t>
      </w:r>
      <w:r>
        <w:rPr>
          <w:i/>
          <w:color w:val="231F20"/>
          <w:spacing w:val="-13"/>
          <w:sz w:val="24"/>
        </w:rPr>
        <w:t> </w:t>
      </w:r>
      <w:r>
        <w:rPr>
          <w:i/>
          <w:color w:val="231F20"/>
          <w:spacing w:val="-2"/>
          <w:sz w:val="24"/>
        </w:rPr>
        <w:t>et</w:t>
      </w:r>
      <w:r>
        <w:rPr>
          <w:i/>
          <w:color w:val="231F20"/>
          <w:spacing w:val="-13"/>
          <w:sz w:val="24"/>
        </w:rPr>
        <w:t> </w:t>
      </w:r>
      <w:r>
        <w:rPr>
          <w:i/>
          <w:color w:val="231F20"/>
          <w:spacing w:val="-2"/>
          <w:sz w:val="24"/>
        </w:rPr>
        <w:t>nous</w:t>
      </w:r>
      <w:r>
        <w:rPr>
          <w:i/>
          <w:color w:val="231F20"/>
          <w:spacing w:val="-2"/>
          <w:sz w:val="24"/>
        </w:rPr>
        <w:t> </w:t>
      </w:r>
      <w:r>
        <w:rPr>
          <w:i/>
          <w:color w:val="231F20"/>
          <w:sz w:val="24"/>
        </w:rPr>
        <w:t>avons</w:t>
      </w:r>
      <w:r>
        <w:rPr>
          <w:i/>
          <w:color w:val="231F20"/>
          <w:spacing w:val="-15"/>
          <w:sz w:val="24"/>
        </w:rPr>
        <w:t> </w:t>
      </w:r>
      <w:r>
        <w:rPr>
          <w:i/>
          <w:color w:val="231F20"/>
          <w:sz w:val="24"/>
        </w:rPr>
        <w:t>un</w:t>
      </w:r>
      <w:r>
        <w:rPr>
          <w:i/>
          <w:color w:val="231F20"/>
          <w:spacing w:val="-14"/>
          <w:sz w:val="24"/>
        </w:rPr>
        <w:t> </w:t>
      </w:r>
      <w:r>
        <w:rPr>
          <w:i/>
          <w:color w:val="231F20"/>
          <w:sz w:val="24"/>
        </w:rPr>
        <w:t>marché</w:t>
      </w:r>
      <w:r>
        <w:rPr>
          <w:i/>
          <w:color w:val="231F20"/>
          <w:spacing w:val="-14"/>
          <w:sz w:val="24"/>
        </w:rPr>
        <w:t> </w:t>
      </w:r>
      <w:r>
        <w:rPr>
          <w:i/>
          <w:color w:val="231F20"/>
          <w:sz w:val="24"/>
        </w:rPr>
        <w:t>immense,</w:t>
      </w:r>
      <w:r>
        <w:rPr>
          <w:i/>
          <w:color w:val="231F20"/>
          <w:spacing w:val="-14"/>
          <w:sz w:val="24"/>
        </w:rPr>
        <w:t> </w:t>
      </w:r>
      <w:r>
        <w:rPr>
          <w:i/>
          <w:color w:val="231F20"/>
          <w:sz w:val="24"/>
        </w:rPr>
        <w:t>très</w:t>
      </w:r>
      <w:r>
        <w:rPr>
          <w:i/>
          <w:color w:val="231F20"/>
          <w:spacing w:val="-15"/>
          <w:sz w:val="24"/>
        </w:rPr>
        <w:t> </w:t>
      </w:r>
      <w:r>
        <w:rPr>
          <w:i/>
          <w:color w:val="231F20"/>
          <w:sz w:val="24"/>
        </w:rPr>
        <w:t>vaste</w:t>
      </w:r>
      <w:r>
        <w:rPr>
          <w:i/>
          <w:color w:val="231F20"/>
          <w:spacing w:val="-14"/>
          <w:sz w:val="24"/>
        </w:rPr>
        <w:t> </w:t>
      </w:r>
      <w:r>
        <w:rPr>
          <w:i/>
          <w:color w:val="231F20"/>
          <w:sz w:val="24"/>
        </w:rPr>
        <w:t>du</w:t>
      </w:r>
      <w:r>
        <w:rPr>
          <w:i/>
          <w:color w:val="231F20"/>
          <w:spacing w:val="-15"/>
          <w:sz w:val="24"/>
        </w:rPr>
        <w:t> </w:t>
      </w:r>
      <w:r>
        <w:rPr>
          <w:i/>
          <w:color w:val="231F20"/>
          <w:sz w:val="24"/>
        </w:rPr>
        <w:t>Nord</w:t>
      </w:r>
      <w:r>
        <w:rPr>
          <w:i/>
          <w:color w:val="231F20"/>
          <w:spacing w:val="-15"/>
          <w:sz w:val="24"/>
        </w:rPr>
        <w:t> </w:t>
      </w:r>
      <w:r>
        <w:rPr>
          <w:i/>
          <w:color w:val="231F20"/>
          <w:sz w:val="24"/>
        </w:rPr>
        <w:t>au</w:t>
      </w:r>
      <w:r>
        <w:rPr>
          <w:i/>
          <w:color w:val="231F20"/>
          <w:spacing w:val="-14"/>
          <w:sz w:val="24"/>
        </w:rPr>
        <w:t> </w:t>
      </w:r>
      <w:r>
        <w:rPr>
          <w:i/>
          <w:color w:val="231F20"/>
          <w:sz w:val="24"/>
        </w:rPr>
        <w:t>Sud,</w:t>
      </w:r>
      <w:r>
        <w:rPr>
          <w:i/>
          <w:color w:val="231F20"/>
          <w:spacing w:val="-14"/>
          <w:sz w:val="24"/>
        </w:rPr>
        <w:t> </w:t>
      </w:r>
      <w:r>
        <w:rPr>
          <w:i/>
          <w:color w:val="231F20"/>
          <w:sz w:val="24"/>
        </w:rPr>
        <w:t>de</w:t>
      </w:r>
      <w:r>
        <w:rPr>
          <w:i/>
          <w:color w:val="231F20"/>
          <w:spacing w:val="-15"/>
          <w:sz w:val="24"/>
        </w:rPr>
        <w:t> </w:t>
      </w:r>
      <w:r>
        <w:rPr>
          <w:i/>
          <w:color w:val="231F20"/>
          <w:sz w:val="24"/>
        </w:rPr>
        <w:t>l'Est</w:t>
      </w:r>
      <w:r>
        <w:rPr>
          <w:i/>
          <w:color w:val="231F20"/>
          <w:spacing w:val="-14"/>
          <w:sz w:val="24"/>
        </w:rPr>
        <w:t> </w:t>
      </w:r>
      <w:r>
        <w:rPr>
          <w:i/>
          <w:color w:val="231F20"/>
          <w:sz w:val="24"/>
        </w:rPr>
        <w:t>à</w:t>
      </w:r>
      <w:r>
        <w:rPr>
          <w:i/>
          <w:color w:val="231F20"/>
          <w:spacing w:val="-15"/>
          <w:sz w:val="24"/>
        </w:rPr>
        <w:t> </w:t>
      </w:r>
      <w:r>
        <w:rPr>
          <w:i/>
          <w:color w:val="231F20"/>
          <w:sz w:val="24"/>
        </w:rPr>
        <w:t>l'Ouest. </w:t>
      </w:r>
      <w:r>
        <w:rPr>
          <w:i/>
          <w:color w:val="231F20"/>
          <w:spacing w:val="-2"/>
          <w:sz w:val="24"/>
        </w:rPr>
        <w:t>Nous</w:t>
      </w:r>
      <w:r>
        <w:rPr>
          <w:i/>
          <w:color w:val="231F20"/>
          <w:spacing w:val="-13"/>
          <w:sz w:val="24"/>
        </w:rPr>
        <w:t> </w:t>
      </w:r>
      <w:r>
        <w:rPr>
          <w:i/>
          <w:color w:val="231F20"/>
          <w:spacing w:val="-2"/>
          <w:sz w:val="24"/>
        </w:rPr>
        <w:t>avons</w:t>
      </w:r>
      <w:r>
        <w:rPr>
          <w:i/>
          <w:color w:val="231F20"/>
          <w:spacing w:val="-13"/>
          <w:sz w:val="24"/>
        </w:rPr>
        <w:t> </w:t>
      </w:r>
      <w:r>
        <w:rPr>
          <w:i/>
          <w:color w:val="231F20"/>
          <w:spacing w:val="-2"/>
          <w:sz w:val="24"/>
        </w:rPr>
        <w:t>suffisamment</w:t>
      </w:r>
      <w:r>
        <w:rPr>
          <w:i/>
          <w:color w:val="231F20"/>
          <w:spacing w:val="-13"/>
          <w:sz w:val="24"/>
        </w:rPr>
        <w:t> </w:t>
      </w:r>
      <w:r>
        <w:rPr>
          <w:i/>
          <w:color w:val="231F20"/>
          <w:spacing w:val="-2"/>
          <w:sz w:val="24"/>
        </w:rPr>
        <w:t>de</w:t>
      </w:r>
      <w:r>
        <w:rPr>
          <w:i/>
          <w:color w:val="231F20"/>
          <w:spacing w:val="-11"/>
          <w:sz w:val="24"/>
        </w:rPr>
        <w:t> </w:t>
      </w:r>
      <w:r>
        <w:rPr>
          <w:i/>
          <w:color w:val="231F20"/>
          <w:spacing w:val="-2"/>
          <w:sz w:val="24"/>
        </w:rPr>
        <w:t>capacité</w:t>
      </w:r>
      <w:r>
        <w:rPr>
          <w:i/>
          <w:color w:val="231F20"/>
          <w:spacing w:val="-13"/>
          <w:sz w:val="24"/>
        </w:rPr>
        <w:t> </w:t>
      </w:r>
      <w:r>
        <w:rPr>
          <w:i/>
          <w:color w:val="231F20"/>
          <w:spacing w:val="-2"/>
          <w:sz w:val="24"/>
        </w:rPr>
        <w:t>intellectuelle</w:t>
      </w:r>
      <w:r>
        <w:rPr>
          <w:i/>
          <w:color w:val="231F20"/>
          <w:spacing w:val="-11"/>
          <w:sz w:val="24"/>
        </w:rPr>
        <w:t> </w:t>
      </w:r>
      <w:r>
        <w:rPr>
          <w:i/>
          <w:color w:val="231F20"/>
          <w:spacing w:val="-2"/>
          <w:sz w:val="24"/>
        </w:rPr>
        <w:t>pour</w:t>
      </w:r>
      <w:r>
        <w:rPr>
          <w:i/>
          <w:color w:val="231F20"/>
          <w:spacing w:val="-11"/>
          <w:sz w:val="24"/>
        </w:rPr>
        <w:t> </w:t>
      </w:r>
      <w:r>
        <w:rPr>
          <w:i/>
          <w:color w:val="231F20"/>
          <w:spacing w:val="-2"/>
          <w:sz w:val="24"/>
        </w:rPr>
        <w:t>créer</w:t>
      </w:r>
      <w:r>
        <w:rPr>
          <w:i/>
          <w:color w:val="231F20"/>
          <w:spacing w:val="-13"/>
          <w:sz w:val="24"/>
        </w:rPr>
        <w:t> </w:t>
      </w:r>
      <w:r>
        <w:rPr>
          <w:i/>
          <w:color w:val="231F20"/>
          <w:spacing w:val="-2"/>
          <w:sz w:val="24"/>
        </w:rPr>
        <w:t>ou</w:t>
      </w:r>
      <w:r>
        <w:rPr>
          <w:i/>
          <w:color w:val="231F20"/>
          <w:spacing w:val="-11"/>
          <w:sz w:val="24"/>
        </w:rPr>
        <w:t> </w:t>
      </w:r>
      <w:r>
        <w:rPr>
          <w:i/>
          <w:color w:val="231F20"/>
          <w:spacing w:val="-2"/>
          <w:sz w:val="24"/>
        </w:rPr>
        <w:t>tout</w:t>
      </w:r>
      <w:r>
        <w:rPr>
          <w:i/>
          <w:color w:val="231F20"/>
          <w:spacing w:val="-11"/>
          <w:sz w:val="24"/>
        </w:rPr>
        <w:t> </w:t>
      </w:r>
      <w:r>
        <w:rPr>
          <w:i/>
          <w:color w:val="231F20"/>
          <w:spacing w:val="-2"/>
          <w:sz w:val="24"/>
        </w:rPr>
        <w:t>au </w:t>
      </w:r>
      <w:r>
        <w:rPr>
          <w:i/>
          <w:color w:val="231F20"/>
          <w:sz w:val="24"/>
        </w:rPr>
        <w:t>moins</w:t>
      </w:r>
      <w:r>
        <w:rPr>
          <w:i/>
          <w:color w:val="231F20"/>
          <w:spacing w:val="-14"/>
          <w:sz w:val="24"/>
        </w:rPr>
        <w:t> </w:t>
      </w:r>
      <w:r>
        <w:rPr>
          <w:i/>
          <w:color w:val="231F20"/>
          <w:sz w:val="24"/>
        </w:rPr>
        <w:t>prendre</w:t>
      </w:r>
      <w:r>
        <w:rPr>
          <w:i/>
          <w:color w:val="231F20"/>
          <w:spacing w:val="-14"/>
          <w:sz w:val="24"/>
        </w:rPr>
        <w:t> </w:t>
      </w:r>
      <w:r>
        <w:rPr>
          <w:i/>
          <w:color w:val="231F20"/>
          <w:sz w:val="24"/>
        </w:rPr>
        <w:t>la</w:t>
      </w:r>
      <w:r>
        <w:rPr>
          <w:i/>
          <w:color w:val="231F20"/>
          <w:spacing w:val="-14"/>
          <w:sz w:val="24"/>
        </w:rPr>
        <w:t> </w:t>
      </w:r>
      <w:r>
        <w:rPr>
          <w:i/>
          <w:color w:val="231F20"/>
          <w:sz w:val="24"/>
        </w:rPr>
        <w:t>technologie</w:t>
      </w:r>
      <w:r>
        <w:rPr>
          <w:i/>
          <w:color w:val="231F20"/>
          <w:spacing w:val="-13"/>
          <w:sz w:val="24"/>
        </w:rPr>
        <w:t> </w:t>
      </w:r>
      <w:r>
        <w:rPr>
          <w:i/>
          <w:color w:val="231F20"/>
          <w:sz w:val="24"/>
        </w:rPr>
        <w:t>et</w:t>
      </w:r>
      <w:r>
        <w:rPr>
          <w:i/>
          <w:color w:val="231F20"/>
          <w:spacing w:val="-12"/>
          <w:sz w:val="24"/>
        </w:rPr>
        <w:t> </w:t>
      </w:r>
      <w:r>
        <w:rPr>
          <w:i/>
          <w:color w:val="231F20"/>
          <w:sz w:val="24"/>
        </w:rPr>
        <w:t>la</w:t>
      </w:r>
      <w:r>
        <w:rPr>
          <w:i/>
          <w:color w:val="231F20"/>
          <w:spacing w:val="-13"/>
          <w:sz w:val="24"/>
        </w:rPr>
        <w:t> </w:t>
      </w:r>
      <w:r>
        <w:rPr>
          <w:i/>
          <w:color w:val="231F20"/>
          <w:sz w:val="24"/>
        </w:rPr>
        <w:t>science</w:t>
      </w:r>
      <w:r>
        <w:rPr>
          <w:i/>
          <w:color w:val="231F20"/>
          <w:spacing w:val="-13"/>
          <w:sz w:val="24"/>
        </w:rPr>
        <w:t> </w:t>
      </w:r>
      <w:r>
        <w:rPr>
          <w:i/>
          <w:color w:val="231F20"/>
          <w:sz w:val="24"/>
        </w:rPr>
        <w:t>partout</w:t>
      </w:r>
      <w:r>
        <w:rPr>
          <w:i/>
          <w:color w:val="231F20"/>
          <w:spacing w:val="-14"/>
          <w:sz w:val="24"/>
        </w:rPr>
        <w:t> </w:t>
      </w:r>
      <w:r>
        <w:rPr>
          <w:i/>
          <w:color w:val="231F20"/>
          <w:sz w:val="24"/>
        </w:rPr>
        <w:t>où</w:t>
      </w:r>
      <w:r>
        <w:rPr>
          <w:i/>
          <w:color w:val="231F20"/>
          <w:spacing w:val="-13"/>
          <w:sz w:val="24"/>
        </w:rPr>
        <w:t> </w:t>
      </w:r>
      <w:r>
        <w:rPr>
          <w:i/>
          <w:color w:val="231F20"/>
          <w:sz w:val="24"/>
        </w:rPr>
        <w:t>nous</w:t>
      </w:r>
      <w:r>
        <w:rPr>
          <w:i/>
          <w:color w:val="231F20"/>
          <w:spacing w:val="-15"/>
          <w:sz w:val="24"/>
        </w:rPr>
        <w:t> </w:t>
      </w:r>
      <w:r>
        <w:rPr>
          <w:i/>
          <w:color w:val="231F20"/>
          <w:sz w:val="24"/>
        </w:rPr>
        <w:t>pourrons</w:t>
      </w:r>
      <w:r>
        <w:rPr>
          <w:i/>
          <w:color w:val="231F20"/>
          <w:spacing w:val="-13"/>
          <w:sz w:val="24"/>
        </w:rPr>
        <w:t> </w:t>
      </w:r>
      <w:r>
        <w:rPr>
          <w:i/>
          <w:color w:val="231F20"/>
          <w:sz w:val="24"/>
        </w:rPr>
        <w:t>les trouver (…) Faisons en sorte également que le marché africain soit le marché des Africains : produire en Afrique, transformer en Afrique et consommer en Afrique. Produisons ce dont nous avons besoin et consommons</w:t>
      </w:r>
      <w:r>
        <w:rPr>
          <w:i/>
          <w:color w:val="231F20"/>
          <w:spacing w:val="-2"/>
          <w:sz w:val="24"/>
        </w:rPr>
        <w:t> </w:t>
      </w:r>
      <w:r>
        <w:rPr>
          <w:i/>
          <w:color w:val="231F20"/>
          <w:sz w:val="24"/>
        </w:rPr>
        <w:t>ce</w:t>
      </w:r>
      <w:r>
        <w:rPr>
          <w:i/>
          <w:color w:val="231F20"/>
          <w:spacing w:val="-2"/>
          <w:sz w:val="24"/>
        </w:rPr>
        <w:t> </w:t>
      </w:r>
      <w:r>
        <w:rPr>
          <w:i/>
          <w:color w:val="231F20"/>
          <w:sz w:val="24"/>
        </w:rPr>
        <w:t>que</w:t>
      </w:r>
      <w:r>
        <w:rPr>
          <w:i/>
          <w:color w:val="231F20"/>
          <w:spacing w:val="-2"/>
          <w:sz w:val="24"/>
        </w:rPr>
        <w:t> </w:t>
      </w:r>
      <w:r>
        <w:rPr>
          <w:i/>
          <w:color w:val="231F20"/>
          <w:sz w:val="24"/>
        </w:rPr>
        <w:t>nous</w:t>
      </w:r>
      <w:r>
        <w:rPr>
          <w:i/>
          <w:color w:val="231F20"/>
          <w:spacing w:val="-6"/>
          <w:sz w:val="24"/>
        </w:rPr>
        <w:t> </w:t>
      </w:r>
      <w:r>
        <w:rPr>
          <w:i/>
          <w:color w:val="231F20"/>
          <w:sz w:val="24"/>
        </w:rPr>
        <w:t>produisons</w:t>
      </w:r>
      <w:r>
        <w:rPr>
          <w:i/>
          <w:color w:val="231F20"/>
          <w:spacing w:val="-2"/>
          <w:sz w:val="24"/>
        </w:rPr>
        <w:t> </w:t>
      </w:r>
      <w:r>
        <w:rPr>
          <w:i/>
          <w:color w:val="231F20"/>
          <w:sz w:val="24"/>
        </w:rPr>
        <w:t>au</w:t>
      </w:r>
      <w:r>
        <w:rPr>
          <w:i/>
          <w:color w:val="231F20"/>
          <w:spacing w:val="-2"/>
          <w:sz w:val="24"/>
        </w:rPr>
        <w:t> </w:t>
      </w:r>
      <w:r>
        <w:rPr>
          <w:i/>
          <w:color w:val="231F20"/>
          <w:sz w:val="24"/>
        </w:rPr>
        <w:t>lieu</w:t>
      </w:r>
      <w:r>
        <w:rPr>
          <w:i/>
          <w:color w:val="231F20"/>
          <w:spacing w:val="-2"/>
          <w:sz w:val="24"/>
        </w:rPr>
        <w:t> </w:t>
      </w:r>
      <w:r>
        <w:rPr>
          <w:i/>
          <w:color w:val="231F20"/>
          <w:sz w:val="24"/>
        </w:rPr>
        <w:t>de</w:t>
      </w:r>
      <w:r>
        <w:rPr>
          <w:i/>
          <w:color w:val="231F20"/>
          <w:spacing w:val="-7"/>
          <w:sz w:val="24"/>
        </w:rPr>
        <w:t> </w:t>
      </w:r>
      <w:r>
        <w:rPr>
          <w:i/>
          <w:color w:val="231F20"/>
          <w:sz w:val="24"/>
        </w:rPr>
        <w:t>l'importer.</w:t>
      </w:r>
      <w:r>
        <w:rPr>
          <w:color w:val="76787A"/>
          <w:sz w:val="24"/>
          <w:vertAlign w:val="superscript"/>
        </w:rPr>
        <w:t>264</w:t>
      </w:r>
      <w:r>
        <w:rPr>
          <w:color w:val="231F20"/>
          <w:sz w:val="24"/>
          <w:vertAlign w:val="baseline"/>
        </w:rPr>
        <w:t>»</w:t>
      </w:r>
    </w:p>
    <w:p>
      <w:pPr>
        <w:pStyle w:val="BodyText"/>
        <w:spacing w:before="120"/>
        <w:ind w:right="103" w:firstLine="283"/>
      </w:pPr>
      <w:r>
        <w:rPr>
          <w:color w:val="231F20"/>
        </w:rPr>
        <w:t>Pour répondre à cette exigence, tout en offrant une perspective à quelques-uns parmi les plus faibles de la population, Sankara décide </w:t>
      </w:r>
      <w:r>
        <w:rPr>
          <w:color w:val="231F20"/>
          <w:spacing w:val="-2"/>
        </w:rPr>
        <w:t>d’envoyer</w:t>
      </w:r>
      <w:r>
        <w:rPr>
          <w:color w:val="231F20"/>
          <w:spacing w:val="-7"/>
        </w:rPr>
        <w:t> </w:t>
      </w:r>
      <w:r>
        <w:rPr>
          <w:color w:val="231F20"/>
          <w:spacing w:val="-2"/>
        </w:rPr>
        <w:t>six</w:t>
      </w:r>
      <w:r>
        <w:rPr>
          <w:color w:val="231F20"/>
          <w:spacing w:val="-7"/>
        </w:rPr>
        <w:t> </w:t>
      </w:r>
      <w:r>
        <w:rPr>
          <w:color w:val="231F20"/>
          <w:spacing w:val="-2"/>
        </w:rPr>
        <w:t>cents</w:t>
      </w:r>
      <w:r>
        <w:rPr>
          <w:color w:val="231F20"/>
          <w:spacing w:val="-9"/>
        </w:rPr>
        <w:t> </w:t>
      </w:r>
      <w:r>
        <w:rPr>
          <w:color w:val="231F20"/>
          <w:spacing w:val="-2"/>
        </w:rPr>
        <w:t>jeunes</w:t>
      </w:r>
      <w:r>
        <w:rPr>
          <w:color w:val="231F20"/>
          <w:spacing w:val="-7"/>
        </w:rPr>
        <w:t> </w:t>
      </w:r>
      <w:r>
        <w:rPr>
          <w:color w:val="231F20"/>
          <w:spacing w:val="-2"/>
        </w:rPr>
        <w:t>Burkinabè,</w:t>
      </w:r>
      <w:r>
        <w:rPr>
          <w:color w:val="231F20"/>
          <w:spacing w:val="-7"/>
        </w:rPr>
        <w:t> </w:t>
      </w:r>
      <w:r>
        <w:rPr>
          <w:color w:val="231F20"/>
          <w:spacing w:val="-2"/>
        </w:rPr>
        <w:t>de</w:t>
      </w:r>
      <w:r>
        <w:rPr>
          <w:color w:val="231F20"/>
          <w:spacing w:val="-9"/>
        </w:rPr>
        <w:t> </w:t>
      </w:r>
      <w:r>
        <w:rPr>
          <w:color w:val="231F20"/>
          <w:spacing w:val="-2"/>
        </w:rPr>
        <w:t>très</w:t>
      </w:r>
      <w:r>
        <w:rPr>
          <w:color w:val="231F20"/>
          <w:spacing w:val="-7"/>
        </w:rPr>
        <w:t> </w:t>
      </w:r>
      <w:r>
        <w:rPr>
          <w:color w:val="231F20"/>
          <w:spacing w:val="-2"/>
        </w:rPr>
        <w:t>jeunes</w:t>
      </w:r>
      <w:r>
        <w:rPr>
          <w:color w:val="231F20"/>
          <w:spacing w:val="-7"/>
        </w:rPr>
        <w:t> </w:t>
      </w:r>
      <w:r>
        <w:rPr>
          <w:color w:val="231F20"/>
          <w:spacing w:val="-2"/>
        </w:rPr>
        <w:t>enfants</w:t>
      </w:r>
      <w:r>
        <w:rPr>
          <w:color w:val="231F20"/>
          <w:spacing w:val="-3"/>
        </w:rPr>
        <w:t> </w:t>
      </w:r>
      <w:r>
        <w:rPr>
          <w:color w:val="231F20"/>
          <w:spacing w:val="-2"/>
        </w:rPr>
        <w:t>orphelins</w:t>
      </w:r>
      <w:r>
        <w:rPr>
          <w:color w:val="231F20"/>
          <w:spacing w:val="-7"/>
        </w:rPr>
        <w:t> </w:t>
      </w:r>
      <w:r>
        <w:rPr>
          <w:color w:val="231F20"/>
          <w:spacing w:val="-2"/>
        </w:rPr>
        <w:t>et </w:t>
      </w:r>
      <w:r>
        <w:rPr>
          <w:color w:val="231F20"/>
        </w:rPr>
        <w:t>ruraux à Cuba, afin qu’ils s’y forment pour apporter au pays des compétences et l’expertise nécessaires dans de nombreux domaines. Thomas Sankara affirmait ainsi le caractère révolutionnaire de son </w:t>
      </w:r>
      <w:r>
        <w:rPr>
          <w:color w:val="231F20"/>
          <w:spacing w:val="-4"/>
        </w:rPr>
        <w:t>régime.</w:t>
      </w:r>
      <w:r>
        <w:rPr>
          <w:color w:val="231F20"/>
          <w:spacing w:val="-8"/>
        </w:rPr>
        <w:t> </w:t>
      </w:r>
      <w:r>
        <w:rPr>
          <w:color w:val="231F20"/>
          <w:spacing w:val="-4"/>
        </w:rPr>
        <w:t>Ce</w:t>
      </w:r>
      <w:r>
        <w:rPr>
          <w:color w:val="231F20"/>
          <w:spacing w:val="-6"/>
        </w:rPr>
        <w:t> </w:t>
      </w:r>
      <w:r>
        <w:rPr>
          <w:color w:val="231F20"/>
          <w:spacing w:val="-4"/>
        </w:rPr>
        <w:t>n’était</w:t>
      </w:r>
      <w:r>
        <w:rPr>
          <w:color w:val="231F20"/>
          <w:spacing w:val="-7"/>
        </w:rPr>
        <w:t> </w:t>
      </w:r>
      <w:r>
        <w:rPr>
          <w:color w:val="231F20"/>
          <w:spacing w:val="-4"/>
        </w:rPr>
        <w:t>donc</w:t>
      </w:r>
      <w:r>
        <w:rPr>
          <w:color w:val="231F20"/>
          <w:spacing w:val="-10"/>
        </w:rPr>
        <w:t> </w:t>
      </w:r>
      <w:r>
        <w:rPr>
          <w:color w:val="231F20"/>
          <w:spacing w:val="-4"/>
        </w:rPr>
        <w:t>pas</w:t>
      </w:r>
      <w:r>
        <w:rPr>
          <w:color w:val="231F20"/>
          <w:spacing w:val="-5"/>
        </w:rPr>
        <w:t> </w:t>
      </w:r>
      <w:r>
        <w:rPr>
          <w:color w:val="231F20"/>
          <w:spacing w:val="-4"/>
        </w:rPr>
        <w:t>seulement</w:t>
      </w:r>
      <w:r>
        <w:rPr>
          <w:color w:val="231F20"/>
          <w:spacing w:val="-7"/>
        </w:rPr>
        <w:t> </w:t>
      </w:r>
      <w:r>
        <w:rPr>
          <w:color w:val="231F20"/>
          <w:spacing w:val="-4"/>
        </w:rPr>
        <w:t>au</w:t>
      </w:r>
      <w:r>
        <w:rPr>
          <w:color w:val="231F20"/>
          <w:spacing w:val="-5"/>
        </w:rPr>
        <w:t> </w:t>
      </w:r>
      <w:r>
        <w:rPr>
          <w:color w:val="231F20"/>
          <w:spacing w:val="-4"/>
        </w:rPr>
        <w:t>sens</w:t>
      </w:r>
      <w:r>
        <w:rPr>
          <w:color w:val="231F20"/>
          <w:spacing w:val="-8"/>
        </w:rPr>
        <w:t> </w:t>
      </w:r>
      <w:r>
        <w:rPr>
          <w:color w:val="231F20"/>
          <w:spacing w:val="-4"/>
        </w:rPr>
        <w:t>idéologique</w:t>
      </w:r>
      <w:r>
        <w:rPr>
          <w:color w:val="231F20"/>
          <w:spacing w:val="-8"/>
        </w:rPr>
        <w:t> </w:t>
      </w:r>
      <w:r>
        <w:rPr>
          <w:color w:val="231F20"/>
          <w:spacing w:val="-4"/>
        </w:rPr>
        <w:t>du</w:t>
      </w:r>
      <w:r>
        <w:rPr>
          <w:color w:val="231F20"/>
          <w:spacing w:val="-8"/>
        </w:rPr>
        <w:t> </w:t>
      </w:r>
      <w:r>
        <w:rPr>
          <w:color w:val="231F20"/>
          <w:spacing w:val="-4"/>
        </w:rPr>
        <w:t>terme,</w:t>
      </w:r>
      <w:r>
        <w:rPr>
          <w:color w:val="231F20"/>
          <w:spacing w:val="-10"/>
        </w:rPr>
        <w:t> </w:t>
      </w:r>
      <w:r>
        <w:rPr>
          <w:color w:val="231F20"/>
          <w:spacing w:val="-4"/>
        </w:rPr>
        <w:t>mais aussi</w:t>
      </w:r>
      <w:r>
        <w:rPr>
          <w:color w:val="231F20"/>
          <w:spacing w:val="-7"/>
        </w:rPr>
        <w:t> </w:t>
      </w:r>
      <w:r>
        <w:rPr>
          <w:color w:val="231F20"/>
          <w:spacing w:val="-4"/>
        </w:rPr>
        <w:t>de</w:t>
      </w:r>
      <w:r>
        <w:rPr>
          <w:color w:val="231F20"/>
          <w:spacing w:val="-6"/>
        </w:rPr>
        <w:t> </w:t>
      </w:r>
      <w:r>
        <w:rPr>
          <w:color w:val="231F20"/>
          <w:spacing w:val="-4"/>
        </w:rPr>
        <w:t>façon</w:t>
      </w:r>
      <w:r>
        <w:rPr>
          <w:color w:val="231F20"/>
          <w:spacing w:val="-6"/>
        </w:rPr>
        <w:t> </w:t>
      </w:r>
      <w:r>
        <w:rPr>
          <w:color w:val="231F20"/>
          <w:spacing w:val="-4"/>
        </w:rPr>
        <w:t>pragmatique,</w:t>
      </w:r>
      <w:r>
        <w:rPr>
          <w:color w:val="231F20"/>
          <w:spacing w:val="-5"/>
        </w:rPr>
        <w:t> </w:t>
      </w:r>
      <w:r>
        <w:rPr>
          <w:color w:val="231F20"/>
          <w:spacing w:val="-4"/>
        </w:rPr>
        <w:t>concrète,</w:t>
      </w:r>
      <w:r>
        <w:rPr>
          <w:color w:val="231F20"/>
          <w:spacing w:val="-8"/>
        </w:rPr>
        <w:t> </w:t>
      </w:r>
      <w:r>
        <w:rPr>
          <w:color w:val="231F20"/>
          <w:spacing w:val="-4"/>
        </w:rPr>
        <w:t>tant</w:t>
      </w:r>
      <w:r>
        <w:rPr>
          <w:color w:val="231F20"/>
          <w:spacing w:val="-8"/>
        </w:rPr>
        <w:t> </w:t>
      </w:r>
      <w:r>
        <w:rPr>
          <w:color w:val="231F20"/>
          <w:spacing w:val="-4"/>
        </w:rPr>
        <w:t>il</w:t>
      </w:r>
      <w:r>
        <w:rPr>
          <w:color w:val="231F20"/>
          <w:spacing w:val="-5"/>
        </w:rPr>
        <w:t> </w:t>
      </w:r>
      <w:r>
        <w:rPr>
          <w:color w:val="231F20"/>
          <w:spacing w:val="-4"/>
        </w:rPr>
        <w:t>était</w:t>
      </w:r>
      <w:r>
        <w:rPr>
          <w:color w:val="231F20"/>
          <w:spacing w:val="-6"/>
        </w:rPr>
        <w:t> </w:t>
      </w:r>
      <w:r>
        <w:rPr>
          <w:color w:val="231F20"/>
          <w:spacing w:val="-4"/>
        </w:rPr>
        <w:t>conscient</w:t>
      </w:r>
      <w:r>
        <w:rPr>
          <w:color w:val="231F20"/>
          <w:spacing w:val="-6"/>
        </w:rPr>
        <w:t> </w:t>
      </w:r>
      <w:r>
        <w:rPr>
          <w:color w:val="231F20"/>
          <w:spacing w:val="-4"/>
        </w:rPr>
        <w:t>que</w:t>
      </w:r>
      <w:r>
        <w:rPr>
          <w:color w:val="231F20"/>
          <w:spacing w:val="-9"/>
        </w:rPr>
        <w:t> </w:t>
      </w:r>
      <w:r>
        <w:rPr>
          <w:color w:val="231F20"/>
          <w:spacing w:val="-4"/>
        </w:rPr>
        <w:t>l’essentiel </w:t>
      </w:r>
      <w:r>
        <w:rPr>
          <w:color w:val="231F20"/>
          <w:spacing w:val="-2"/>
        </w:rPr>
        <w:t>dépendait</w:t>
      </w:r>
      <w:r>
        <w:rPr>
          <w:color w:val="231F20"/>
          <w:spacing w:val="-13"/>
        </w:rPr>
        <w:t> </w:t>
      </w:r>
      <w:r>
        <w:rPr>
          <w:color w:val="231F20"/>
          <w:spacing w:val="-2"/>
        </w:rPr>
        <w:t>en</w:t>
      </w:r>
      <w:r>
        <w:rPr>
          <w:color w:val="231F20"/>
          <w:spacing w:val="-12"/>
        </w:rPr>
        <w:t> </w:t>
      </w:r>
      <w:r>
        <w:rPr>
          <w:color w:val="231F20"/>
          <w:spacing w:val="-2"/>
        </w:rPr>
        <w:t>partie</w:t>
      </w:r>
      <w:r>
        <w:rPr>
          <w:color w:val="231F20"/>
          <w:spacing w:val="-13"/>
        </w:rPr>
        <w:t> </w:t>
      </w:r>
      <w:r>
        <w:rPr>
          <w:color w:val="231F20"/>
          <w:spacing w:val="-2"/>
        </w:rPr>
        <w:t>de</w:t>
      </w:r>
      <w:r>
        <w:rPr>
          <w:color w:val="231F20"/>
          <w:spacing w:val="-13"/>
        </w:rPr>
        <w:t> </w:t>
      </w:r>
      <w:r>
        <w:rPr>
          <w:color w:val="231F20"/>
          <w:spacing w:val="-2"/>
        </w:rPr>
        <w:t>la</w:t>
      </w:r>
      <w:r>
        <w:rPr>
          <w:color w:val="231F20"/>
          <w:spacing w:val="-9"/>
        </w:rPr>
        <w:t> </w:t>
      </w:r>
      <w:r>
        <w:rPr>
          <w:color w:val="231F20"/>
          <w:spacing w:val="-2"/>
        </w:rPr>
        <w:t>capacité</w:t>
      </w:r>
      <w:r>
        <w:rPr>
          <w:color w:val="231F20"/>
          <w:spacing w:val="-9"/>
        </w:rPr>
        <w:t> </w:t>
      </w:r>
      <w:r>
        <w:rPr>
          <w:color w:val="231F20"/>
          <w:spacing w:val="-2"/>
        </w:rPr>
        <w:t>des</w:t>
      </w:r>
      <w:r>
        <w:rPr>
          <w:color w:val="231F20"/>
          <w:spacing w:val="-10"/>
        </w:rPr>
        <w:t> </w:t>
      </w:r>
      <w:r>
        <w:rPr>
          <w:color w:val="231F20"/>
          <w:spacing w:val="-2"/>
        </w:rPr>
        <w:t>populations</w:t>
      </w:r>
      <w:r>
        <w:rPr>
          <w:color w:val="231F20"/>
          <w:spacing w:val="-10"/>
        </w:rPr>
        <w:t> </w:t>
      </w:r>
      <w:r>
        <w:rPr>
          <w:color w:val="231F20"/>
          <w:spacing w:val="-2"/>
        </w:rPr>
        <w:t>à</w:t>
      </w:r>
      <w:r>
        <w:rPr>
          <w:color w:val="231F20"/>
          <w:spacing w:val="-13"/>
        </w:rPr>
        <w:t> </w:t>
      </w:r>
      <w:r>
        <w:rPr>
          <w:color w:val="231F20"/>
          <w:spacing w:val="-2"/>
        </w:rPr>
        <w:t>se</w:t>
      </w:r>
      <w:r>
        <w:rPr>
          <w:color w:val="231F20"/>
          <w:spacing w:val="-9"/>
        </w:rPr>
        <w:t> </w:t>
      </w:r>
      <w:r>
        <w:rPr>
          <w:color w:val="231F20"/>
          <w:spacing w:val="-2"/>
        </w:rPr>
        <w:t>prendre</w:t>
      </w:r>
      <w:r>
        <w:rPr>
          <w:color w:val="231F20"/>
          <w:spacing w:val="-11"/>
        </w:rPr>
        <w:t> </w:t>
      </w:r>
      <w:r>
        <w:rPr>
          <w:color w:val="231F20"/>
          <w:spacing w:val="-2"/>
        </w:rPr>
        <w:t>en</w:t>
      </w:r>
      <w:r>
        <w:rPr>
          <w:color w:val="231F20"/>
          <w:spacing w:val="-9"/>
        </w:rPr>
        <w:t> </w:t>
      </w:r>
      <w:r>
        <w:rPr>
          <w:color w:val="231F20"/>
          <w:spacing w:val="-2"/>
        </w:rPr>
        <w:t>main</w:t>
      </w:r>
      <w:r>
        <w:rPr>
          <w:color w:val="231F20"/>
          <w:spacing w:val="-9"/>
        </w:rPr>
        <w:t> </w:t>
      </w:r>
      <w:r>
        <w:rPr>
          <w:color w:val="231F20"/>
          <w:spacing w:val="-2"/>
        </w:rPr>
        <w:t>et </w:t>
      </w:r>
      <w:r>
        <w:rPr>
          <w:color w:val="231F20"/>
        </w:rPr>
        <w:t>à retrousser leurs manches pour travailler.</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38"/>
        <w:ind w:left="0"/>
        <w:jc w:val="left"/>
        <w:rPr>
          <w:sz w:val="20"/>
        </w:rPr>
      </w:pPr>
      <w:r>
        <w:rPr/>
        <mc:AlternateContent>
          <mc:Choice Requires="wps">
            <w:drawing>
              <wp:anchor distT="0" distB="0" distL="0" distR="0" allowOverlap="1" layoutInCell="1" locked="0" behindDoc="1" simplePos="0" relativeHeight="487668736">
                <wp:simplePos x="0" y="0"/>
                <wp:positionH relativeFrom="page">
                  <wp:posOffset>629907</wp:posOffset>
                </wp:positionH>
                <wp:positionV relativeFrom="paragraph">
                  <wp:posOffset>185764</wp:posOffset>
                </wp:positionV>
                <wp:extent cx="1829435" cy="9525"/>
                <wp:effectExtent l="0" t="0" r="0" b="0"/>
                <wp:wrapTopAndBottom/>
                <wp:docPr id="192" name="Graphic 192"/>
                <wp:cNvGraphicFramePr>
                  <a:graphicFrameLocks/>
                </wp:cNvGraphicFramePr>
                <a:graphic>
                  <a:graphicData uri="http://schemas.microsoft.com/office/word/2010/wordprocessingShape">
                    <wps:wsp>
                      <wps:cNvPr id="192" name="Graphic 192"/>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4.627149pt;width:144.020pt;height:.72pt;mso-position-horizontal-relative:page;mso-position-vertical-relative:paragraph;z-index:-15647744;mso-wrap-distance-left:0;mso-wrap-distance-right:0" id="docshape190" filled="true" fillcolor="#231f20" stroked="false">
                <v:fill type="solid"/>
                <w10:wrap type="topAndBottom"/>
              </v:rect>
            </w:pict>
          </mc:Fallback>
        </mc:AlternateContent>
      </w:r>
    </w:p>
    <w:p>
      <w:pPr>
        <w:spacing w:before="94"/>
        <w:ind w:left="111" w:right="0" w:firstLine="0"/>
        <w:jc w:val="left"/>
        <w:rPr>
          <w:sz w:val="20"/>
        </w:rPr>
      </w:pPr>
      <w:r>
        <w:rPr>
          <w:color w:val="76787A"/>
          <w:sz w:val="20"/>
          <w:vertAlign w:val="superscript"/>
        </w:rPr>
        <w:t>264</w:t>
      </w:r>
      <w:r>
        <w:rPr>
          <w:color w:val="76787A"/>
          <w:sz w:val="20"/>
          <w:vertAlign w:val="baseline"/>
        </w:rPr>
        <w:t> </w:t>
      </w:r>
      <w:r>
        <w:rPr>
          <w:color w:val="231F20"/>
          <w:sz w:val="20"/>
          <w:vertAlign w:val="baseline"/>
        </w:rPr>
        <w:t>Thomas</w:t>
      </w:r>
      <w:r>
        <w:rPr>
          <w:color w:val="231F20"/>
          <w:spacing w:val="28"/>
          <w:sz w:val="20"/>
          <w:vertAlign w:val="baseline"/>
        </w:rPr>
        <w:t> </w:t>
      </w:r>
      <w:r>
        <w:rPr>
          <w:color w:val="231F20"/>
          <w:sz w:val="20"/>
          <w:vertAlign w:val="baseline"/>
        </w:rPr>
        <w:t>Sankara,29</w:t>
      </w:r>
      <w:r>
        <w:rPr>
          <w:color w:val="231F20"/>
          <w:spacing w:val="29"/>
          <w:sz w:val="20"/>
          <w:vertAlign w:val="baseline"/>
        </w:rPr>
        <w:t> </w:t>
      </w:r>
      <w:r>
        <w:rPr>
          <w:color w:val="231F20"/>
          <w:sz w:val="20"/>
          <w:vertAlign w:val="baseline"/>
        </w:rPr>
        <w:t>juillet1987,</w:t>
      </w:r>
      <w:r>
        <w:rPr>
          <w:color w:val="231F20"/>
          <w:spacing w:val="28"/>
          <w:sz w:val="20"/>
          <w:vertAlign w:val="baseline"/>
        </w:rPr>
        <w:t> </w:t>
      </w:r>
      <w:r>
        <w:rPr>
          <w:color w:val="231F20"/>
          <w:sz w:val="20"/>
          <w:vertAlign w:val="baseline"/>
        </w:rPr>
        <w:t>extrait</w:t>
      </w:r>
      <w:r>
        <w:rPr>
          <w:color w:val="231F20"/>
          <w:spacing w:val="27"/>
          <w:sz w:val="20"/>
          <w:vertAlign w:val="baseline"/>
        </w:rPr>
        <w:t> </w:t>
      </w:r>
      <w:r>
        <w:rPr>
          <w:color w:val="231F20"/>
          <w:sz w:val="20"/>
          <w:vertAlign w:val="baseline"/>
        </w:rPr>
        <w:t>dicours</w:t>
      </w:r>
      <w:r>
        <w:rPr>
          <w:color w:val="231F20"/>
          <w:spacing w:val="28"/>
          <w:sz w:val="20"/>
          <w:vertAlign w:val="baseline"/>
        </w:rPr>
        <w:t> </w:t>
      </w:r>
      <w:r>
        <w:rPr>
          <w:color w:val="231F20"/>
          <w:sz w:val="20"/>
          <w:vertAlign w:val="baseline"/>
        </w:rPr>
        <w:t>devant</w:t>
      </w:r>
      <w:r>
        <w:rPr>
          <w:color w:val="231F20"/>
          <w:spacing w:val="30"/>
          <w:sz w:val="20"/>
          <w:vertAlign w:val="baseline"/>
        </w:rPr>
        <w:t> </w:t>
      </w:r>
      <w:r>
        <w:rPr>
          <w:color w:val="231F20"/>
          <w:sz w:val="20"/>
          <w:vertAlign w:val="baseline"/>
        </w:rPr>
        <w:t>l'Organisation</w:t>
      </w:r>
      <w:r>
        <w:rPr>
          <w:color w:val="231F20"/>
          <w:spacing w:val="28"/>
          <w:sz w:val="20"/>
          <w:vertAlign w:val="baseline"/>
        </w:rPr>
        <w:t> </w:t>
      </w:r>
      <w:r>
        <w:rPr>
          <w:color w:val="231F20"/>
          <w:sz w:val="20"/>
          <w:vertAlign w:val="baseline"/>
        </w:rPr>
        <w:t>de</w:t>
      </w:r>
      <w:r>
        <w:rPr>
          <w:color w:val="231F20"/>
          <w:spacing w:val="28"/>
          <w:sz w:val="20"/>
          <w:vertAlign w:val="baseline"/>
        </w:rPr>
        <w:t> </w:t>
      </w:r>
      <w:r>
        <w:rPr>
          <w:color w:val="231F20"/>
          <w:sz w:val="20"/>
          <w:vertAlign w:val="baseline"/>
        </w:rPr>
        <w:t>l'unité africaine(OUA qui deviendra UA).</w:t>
      </w:r>
    </w:p>
    <w:p>
      <w:pPr>
        <w:spacing w:after="0"/>
        <w:jc w:val="left"/>
        <w:rPr>
          <w:sz w:val="20"/>
        </w:rPr>
        <w:sectPr>
          <w:pgSz w:w="8790" w:h="13610"/>
          <w:pgMar w:header="0" w:footer="802" w:top="1060" w:bottom="1000" w:left="880" w:right="880"/>
        </w:sectPr>
      </w:pPr>
    </w:p>
    <w:p>
      <w:pPr>
        <w:pStyle w:val="Heading3"/>
        <w:spacing w:before="87"/>
        <w:rPr>
          <w:i/>
        </w:rPr>
      </w:pPr>
      <w:bookmarkStart w:name="_TOC_250004" w:id="39"/>
      <w:r>
        <w:rPr>
          <w:i/>
          <w:color w:val="231F20"/>
          <w:spacing w:val="-2"/>
        </w:rPr>
        <w:t>En</w:t>
      </w:r>
      <w:r>
        <w:rPr>
          <w:i/>
          <w:color w:val="231F20"/>
          <w:spacing w:val="-10"/>
        </w:rPr>
        <w:t> </w:t>
      </w:r>
      <w:r>
        <w:rPr>
          <w:i/>
          <w:color w:val="231F20"/>
          <w:spacing w:val="-2"/>
        </w:rPr>
        <w:t>octobre</w:t>
      </w:r>
      <w:r>
        <w:rPr>
          <w:i/>
          <w:color w:val="231F20"/>
          <w:spacing w:val="-9"/>
        </w:rPr>
        <w:t> </w:t>
      </w:r>
      <w:r>
        <w:rPr>
          <w:i/>
          <w:color w:val="231F20"/>
          <w:spacing w:val="-2"/>
        </w:rPr>
        <w:t>1987,</w:t>
      </w:r>
      <w:r>
        <w:rPr>
          <w:i/>
          <w:color w:val="231F20"/>
          <w:spacing w:val="-7"/>
        </w:rPr>
        <w:t> </w:t>
      </w:r>
      <w:r>
        <w:rPr>
          <w:i/>
          <w:color w:val="231F20"/>
          <w:spacing w:val="-2"/>
        </w:rPr>
        <w:t>Thomas</w:t>
      </w:r>
      <w:r>
        <w:rPr>
          <w:i/>
          <w:color w:val="231F20"/>
          <w:spacing w:val="-9"/>
        </w:rPr>
        <w:t> </w:t>
      </w:r>
      <w:r>
        <w:rPr>
          <w:i/>
          <w:color w:val="231F20"/>
          <w:spacing w:val="-2"/>
        </w:rPr>
        <w:t>Sankara</w:t>
      </w:r>
      <w:r>
        <w:rPr>
          <w:i/>
          <w:color w:val="231F20"/>
          <w:spacing w:val="-11"/>
        </w:rPr>
        <w:t> </w:t>
      </w:r>
      <w:r>
        <w:rPr>
          <w:i/>
          <w:color w:val="231F20"/>
          <w:spacing w:val="-2"/>
        </w:rPr>
        <w:t>est</w:t>
      </w:r>
      <w:r>
        <w:rPr>
          <w:i/>
          <w:color w:val="231F20"/>
          <w:spacing w:val="-9"/>
        </w:rPr>
        <w:t> </w:t>
      </w:r>
      <w:bookmarkEnd w:id="39"/>
      <w:r>
        <w:rPr>
          <w:i/>
          <w:color w:val="231F20"/>
          <w:spacing w:val="-2"/>
        </w:rPr>
        <w:t>assassiné.</w:t>
      </w:r>
    </w:p>
    <w:p>
      <w:pPr>
        <w:pStyle w:val="BodyText"/>
        <w:spacing w:before="255"/>
        <w:ind w:right="106" w:firstLine="283"/>
      </w:pPr>
      <w:r>
        <w:rPr>
          <w:color w:val="231F20"/>
          <w:spacing w:val="-4"/>
        </w:rPr>
        <w:t>Blaise</w:t>
      </w:r>
      <w:r>
        <w:rPr>
          <w:color w:val="231F20"/>
          <w:spacing w:val="-11"/>
        </w:rPr>
        <w:t> </w:t>
      </w:r>
      <w:r>
        <w:rPr>
          <w:color w:val="231F20"/>
          <w:spacing w:val="-4"/>
        </w:rPr>
        <w:t>Compaoré</w:t>
      </w:r>
      <w:r>
        <w:rPr>
          <w:color w:val="231F20"/>
          <w:spacing w:val="-10"/>
        </w:rPr>
        <w:t> </w:t>
      </w:r>
      <w:r>
        <w:rPr>
          <w:color w:val="231F20"/>
          <w:spacing w:val="-4"/>
        </w:rPr>
        <w:t>qui</w:t>
      </w:r>
      <w:r>
        <w:rPr>
          <w:color w:val="231F20"/>
          <w:spacing w:val="-11"/>
        </w:rPr>
        <w:t> </w:t>
      </w:r>
      <w:r>
        <w:rPr>
          <w:color w:val="231F20"/>
          <w:spacing w:val="-4"/>
        </w:rPr>
        <w:t>avait</w:t>
      </w:r>
      <w:r>
        <w:rPr>
          <w:color w:val="231F20"/>
          <w:spacing w:val="-11"/>
        </w:rPr>
        <w:t> </w:t>
      </w:r>
      <w:r>
        <w:rPr>
          <w:color w:val="231F20"/>
          <w:spacing w:val="-4"/>
        </w:rPr>
        <w:t>pourtant</w:t>
      </w:r>
      <w:r>
        <w:rPr>
          <w:color w:val="231F20"/>
          <w:spacing w:val="-11"/>
        </w:rPr>
        <w:t> </w:t>
      </w:r>
      <w:r>
        <w:rPr>
          <w:color w:val="231F20"/>
          <w:spacing w:val="-4"/>
        </w:rPr>
        <w:t>signé</w:t>
      </w:r>
      <w:r>
        <w:rPr>
          <w:color w:val="231F20"/>
          <w:spacing w:val="-11"/>
        </w:rPr>
        <w:t> </w:t>
      </w:r>
      <w:r>
        <w:rPr>
          <w:color w:val="231F20"/>
          <w:spacing w:val="-4"/>
        </w:rPr>
        <w:t>les</w:t>
      </w:r>
      <w:r>
        <w:rPr>
          <w:color w:val="231F20"/>
          <w:spacing w:val="-11"/>
        </w:rPr>
        <w:t> </w:t>
      </w:r>
      <w:r>
        <w:rPr>
          <w:color w:val="231F20"/>
          <w:spacing w:val="-4"/>
        </w:rPr>
        <w:t>documents</w:t>
      </w:r>
      <w:r>
        <w:rPr>
          <w:color w:val="231F20"/>
          <w:spacing w:val="-11"/>
        </w:rPr>
        <w:t> </w:t>
      </w:r>
      <w:r>
        <w:rPr>
          <w:color w:val="231F20"/>
          <w:spacing w:val="-4"/>
        </w:rPr>
        <w:t>de</w:t>
      </w:r>
      <w:r>
        <w:rPr>
          <w:color w:val="231F20"/>
          <w:spacing w:val="-9"/>
        </w:rPr>
        <w:t> </w:t>
      </w:r>
      <w:r>
        <w:rPr>
          <w:color w:val="231F20"/>
          <w:spacing w:val="-4"/>
        </w:rPr>
        <w:t>voyage</w:t>
      </w:r>
      <w:r>
        <w:rPr>
          <w:color w:val="231F20"/>
          <w:spacing w:val="-11"/>
        </w:rPr>
        <w:t> </w:t>
      </w:r>
      <w:r>
        <w:rPr>
          <w:color w:val="231F20"/>
          <w:spacing w:val="-4"/>
        </w:rPr>
        <w:t>des </w:t>
      </w:r>
      <w:r>
        <w:rPr>
          <w:color w:val="231F20"/>
        </w:rPr>
        <w:t>six</w:t>
      </w:r>
      <w:r>
        <w:rPr>
          <w:color w:val="231F20"/>
          <w:spacing w:val="-14"/>
        </w:rPr>
        <w:t> </w:t>
      </w:r>
      <w:r>
        <w:rPr>
          <w:color w:val="231F20"/>
        </w:rPr>
        <w:t>cents</w:t>
      </w:r>
      <w:r>
        <w:rPr>
          <w:color w:val="231F20"/>
          <w:spacing w:val="-14"/>
        </w:rPr>
        <w:t> </w:t>
      </w:r>
      <w:r>
        <w:rPr>
          <w:color w:val="231F20"/>
        </w:rPr>
        <w:t>jeunes,</w:t>
      </w:r>
      <w:r>
        <w:rPr>
          <w:color w:val="231F20"/>
          <w:spacing w:val="-14"/>
        </w:rPr>
        <w:t> </w:t>
      </w:r>
      <w:r>
        <w:rPr>
          <w:color w:val="231F20"/>
        </w:rPr>
        <w:t>leur</w:t>
      </w:r>
      <w:r>
        <w:rPr>
          <w:color w:val="231F20"/>
          <w:spacing w:val="-14"/>
        </w:rPr>
        <w:t> </w:t>
      </w:r>
      <w:r>
        <w:rPr>
          <w:color w:val="231F20"/>
        </w:rPr>
        <w:t>coupe</w:t>
      </w:r>
      <w:r>
        <w:rPr>
          <w:color w:val="231F20"/>
          <w:spacing w:val="-14"/>
        </w:rPr>
        <w:t> </w:t>
      </w:r>
      <w:r>
        <w:rPr>
          <w:color w:val="231F20"/>
        </w:rPr>
        <w:t>les</w:t>
      </w:r>
      <w:r>
        <w:rPr>
          <w:color w:val="231F20"/>
          <w:spacing w:val="-14"/>
        </w:rPr>
        <w:t> </w:t>
      </w:r>
      <w:r>
        <w:rPr>
          <w:color w:val="231F20"/>
        </w:rPr>
        <w:t>bourses</w:t>
      </w:r>
      <w:r>
        <w:rPr>
          <w:color w:val="231F20"/>
          <w:spacing w:val="-14"/>
        </w:rPr>
        <w:t> </w:t>
      </w:r>
      <w:r>
        <w:rPr>
          <w:color w:val="231F20"/>
        </w:rPr>
        <w:t>au</w:t>
      </w:r>
      <w:r>
        <w:rPr>
          <w:color w:val="231F20"/>
          <w:spacing w:val="-14"/>
        </w:rPr>
        <w:t> </w:t>
      </w:r>
      <w:r>
        <w:rPr>
          <w:color w:val="231F20"/>
        </w:rPr>
        <w:t>motif</w:t>
      </w:r>
      <w:r>
        <w:rPr>
          <w:color w:val="231F20"/>
          <w:spacing w:val="-15"/>
        </w:rPr>
        <w:t> </w:t>
      </w:r>
      <w:r>
        <w:rPr>
          <w:color w:val="231F20"/>
        </w:rPr>
        <w:t>que</w:t>
      </w:r>
      <w:r>
        <w:rPr>
          <w:color w:val="231F20"/>
          <w:spacing w:val="-14"/>
        </w:rPr>
        <w:t> </w:t>
      </w:r>
      <w:r>
        <w:rPr>
          <w:color w:val="231F20"/>
        </w:rPr>
        <w:t>ces</w:t>
      </w:r>
      <w:r>
        <w:rPr>
          <w:color w:val="231F20"/>
          <w:spacing w:val="-14"/>
        </w:rPr>
        <w:t> </w:t>
      </w:r>
      <w:r>
        <w:rPr>
          <w:color w:val="231F20"/>
        </w:rPr>
        <w:t>enfants,</w:t>
      </w:r>
      <w:r>
        <w:rPr>
          <w:color w:val="231F20"/>
          <w:spacing w:val="-14"/>
        </w:rPr>
        <w:t> </w:t>
      </w:r>
      <w:r>
        <w:rPr>
          <w:color w:val="231F20"/>
        </w:rPr>
        <w:t>en</w:t>
      </w:r>
      <w:r>
        <w:rPr>
          <w:color w:val="231F20"/>
          <w:spacing w:val="-14"/>
        </w:rPr>
        <w:t> </w:t>
      </w:r>
      <w:r>
        <w:rPr>
          <w:color w:val="231F20"/>
        </w:rPr>
        <w:t>plus des cours et du travail manuel dans les plantations qui entourent le complexe</w:t>
      </w:r>
      <w:r>
        <w:rPr>
          <w:color w:val="231F20"/>
          <w:spacing w:val="-15"/>
        </w:rPr>
        <w:t> </w:t>
      </w:r>
      <w:r>
        <w:rPr>
          <w:color w:val="231F20"/>
        </w:rPr>
        <w:t>scolaire</w:t>
      </w:r>
      <w:r>
        <w:rPr>
          <w:color w:val="231F20"/>
          <w:spacing w:val="-15"/>
        </w:rPr>
        <w:t> </w:t>
      </w:r>
      <w:r>
        <w:rPr>
          <w:color w:val="231F20"/>
        </w:rPr>
        <w:t>dans</w:t>
      </w:r>
      <w:r>
        <w:rPr>
          <w:color w:val="231F20"/>
          <w:spacing w:val="-15"/>
        </w:rPr>
        <w:t> </w:t>
      </w:r>
      <w:r>
        <w:rPr>
          <w:color w:val="231F20"/>
        </w:rPr>
        <w:t>lequel</w:t>
      </w:r>
      <w:r>
        <w:rPr>
          <w:color w:val="231F20"/>
          <w:spacing w:val="-15"/>
        </w:rPr>
        <w:t> </w:t>
      </w:r>
      <w:r>
        <w:rPr>
          <w:color w:val="231F20"/>
        </w:rPr>
        <w:t>ils</w:t>
      </w:r>
      <w:r>
        <w:rPr>
          <w:color w:val="231F20"/>
          <w:spacing w:val="-14"/>
        </w:rPr>
        <w:t> </w:t>
      </w:r>
      <w:r>
        <w:rPr>
          <w:color w:val="231F20"/>
        </w:rPr>
        <w:t>sont</w:t>
      </w:r>
      <w:r>
        <w:rPr>
          <w:color w:val="231F20"/>
          <w:spacing w:val="-15"/>
        </w:rPr>
        <w:t> </w:t>
      </w:r>
      <w:r>
        <w:rPr>
          <w:color w:val="231F20"/>
        </w:rPr>
        <w:t>installés,</w:t>
      </w:r>
      <w:r>
        <w:rPr>
          <w:color w:val="231F20"/>
          <w:spacing w:val="-15"/>
        </w:rPr>
        <w:t> </w:t>
      </w:r>
      <w:r>
        <w:rPr>
          <w:color w:val="231F20"/>
        </w:rPr>
        <w:t>reçoivent</w:t>
      </w:r>
      <w:r>
        <w:rPr>
          <w:color w:val="231F20"/>
          <w:spacing w:val="-14"/>
        </w:rPr>
        <w:t> </w:t>
      </w:r>
      <w:r>
        <w:rPr>
          <w:color w:val="231F20"/>
        </w:rPr>
        <w:t>une</w:t>
      </w:r>
      <w:r>
        <w:rPr>
          <w:color w:val="231F20"/>
          <w:spacing w:val="-15"/>
        </w:rPr>
        <w:t> </w:t>
      </w:r>
      <w:r>
        <w:rPr>
          <w:color w:val="231F20"/>
        </w:rPr>
        <w:t>formation militaire. Pour lui, ces</w:t>
      </w:r>
      <w:r>
        <w:rPr>
          <w:color w:val="231F20"/>
          <w:spacing w:val="-2"/>
        </w:rPr>
        <w:t> </w:t>
      </w:r>
      <w:r>
        <w:rPr>
          <w:color w:val="231F20"/>
        </w:rPr>
        <w:t>jeunes représentent une</w:t>
      </w:r>
      <w:r>
        <w:rPr>
          <w:color w:val="231F20"/>
          <w:spacing w:val="-2"/>
        </w:rPr>
        <w:t> </w:t>
      </w:r>
      <w:r>
        <w:rPr>
          <w:color w:val="231F20"/>
        </w:rPr>
        <w:t>menace une fois rentrés </w:t>
      </w:r>
      <w:r>
        <w:rPr>
          <w:color w:val="231F20"/>
          <w:spacing w:val="-6"/>
        </w:rPr>
        <w:t>après leurs études. C’est la</w:t>
      </w:r>
      <w:r>
        <w:rPr>
          <w:color w:val="231F20"/>
          <w:spacing w:val="-8"/>
        </w:rPr>
        <w:t> </w:t>
      </w:r>
      <w:r>
        <w:rPr>
          <w:color w:val="231F20"/>
          <w:spacing w:val="-6"/>
        </w:rPr>
        <w:t>fin d’un rêve pour les six cents jeunes orphelins </w:t>
      </w:r>
      <w:r>
        <w:rPr>
          <w:color w:val="231F20"/>
        </w:rPr>
        <w:t>sur</w:t>
      </w:r>
      <w:r>
        <w:rPr>
          <w:color w:val="231F20"/>
          <w:spacing w:val="-11"/>
        </w:rPr>
        <w:t> </w:t>
      </w:r>
      <w:r>
        <w:rPr>
          <w:color w:val="231F20"/>
        </w:rPr>
        <w:t>l’île</w:t>
      </w:r>
      <w:r>
        <w:rPr>
          <w:color w:val="231F20"/>
          <w:spacing w:val="-12"/>
        </w:rPr>
        <w:t> </w:t>
      </w:r>
      <w:r>
        <w:rPr>
          <w:color w:val="231F20"/>
        </w:rPr>
        <w:t>de</w:t>
      </w:r>
      <w:r>
        <w:rPr>
          <w:color w:val="231F20"/>
          <w:spacing w:val="-13"/>
        </w:rPr>
        <w:t> </w:t>
      </w:r>
      <w:r>
        <w:rPr>
          <w:color w:val="231F20"/>
        </w:rPr>
        <w:t>la</w:t>
      </w:r>
      <w:r>
        <w:rPr>
          <w:color w:val="231F20"/>
          <w:spacing w:val="-12"/>
        </w:rPr>
        <w:t> </w:t>
      </w:r>
      <w:r>
        <w:rPr>
          <w:color w:val="231F20"/>
        </w:rPr>
        <w:t>Jeunesse,</w:t>
      </w:r>
      <w:r>
        <w:rPr>
          <w:color w:val="231F20"/>
          <w:spacing w:val="-12"/>
        </w:rPr>
        <w:t> </w:t>
      </w:r>
      <w:r>
        <w:rPr>
          <w:color w:val="231F20"/>
        </w:rPr>
        <w:t>alors</w:t>
      </w:r>
      <w:r>
        <w:rPr>
          <w:color w:val="231F20"/>
          <w:spacing w:val="-11"/>
        </w:rPr>
        <w:t> </w:t>
      </w:r>
      <w:r>
        <w:rPr>
          <w:color w:val="231F20"/>
        </w:rPr>
        <w:t>symbole</w:t>
      </w:r>
      <w:r>
        <w:rPr>
          <w:color w:val="231F20"/>
          <w:spacing w:val="-12"/>
        </w:rPr>
        <w:t> </w:t>
      </w:r>
      <w:r>
        <w:rPr>
          <w:color w:val="231F20"/>
        </w:rPr>
        <w:t>de</w:t>
      </w:r>
      <w:r>
        <w:rPr>
          <w:color w:val="231F20"/>
          <w:spacing w:val="-13"/>
        </w:rPr>
        <w:t> </w:t>
      </w:r>
      <w:r>
        <w:rPr>
          <w:color w:val="231F20"/>
        </w:rPr>
        <w:t>l’éducation</w:t>
      </w:r>
      <w:r>
        <w:rPr>
          <w:color w:val="231F20"/>
          <w:spacing w:val="-12"/>
        </w:rPr>
        <w:t> </w:t>
      </w:r>
      <w:r>
        <w:rPr>
          <w:color w:val="231F20"/>
        </w:rPr>
        <w:t>et</w:t>
      </w:r>
      <w:r>
        <w:rPr>
          <w:color w:val="231F20"/>
          <w:spacing w:val="-10"/>
        </w:rPr>
        <w:t> </w:t>
      </w:r>
      <w:r>
        <w:rPr>
          <w:color w:val="231F20"/>
        </w:rPr>
        <w:t>de</w:t>
      </w:r>
      <w:r>
        <w:rPr>
          <w:color w:val="231F20"/>
          <w:spacing w:val="-13"/>
        </w:rPr>
        <w:t> </w:t>
      </w:r>
      <w:r>
        <w:rPr>
          <w:color w:val="231F20"/>
        </w:rPr>
        <w:t>l’amitié</w:t>
      </w:r>
      <w:r>
        <w:rPr>
          <w:color w:val="231F20"/>
          <w:spacing w:val="-13"/>
        </w:rPr>
        <w:t> </w:t>
      </w:r>
      <w:r>
        <w:rPr>
          <w:color w:val="231F20"/>
        </w:rPr>
        <w:t>entre les</w:t>
      </w:r>
      <w:r>
        <w:rPr>
          <w:color w:val="231F20"/>
          <w:spacing w:val="-11"/>
        </w:rPr>
        <w:t> </w:t>
      </w:r>
      <w:r>
        <w:rPr>
          <w:color w:val="231F20"/>
        </w:rPr>
        <w:t>peuples,</w:t>
      </w:r>
      <w:r>
        <w:rPr>
          <w:color w:val="231F20"/>
          <w:spacing w:val="-11"/>
        </w:rPr>
        <w:t> </w:t>
      </w:r>
      <w:r>
        <w:rPr>
          <w:color w:val="231F20"/>
        </w:rPr>
        <w:t>et</w:t>
      </w:r>
      <w:r>
        <w:rPr>
          <w:color w:val="231F20"/>
          <w:spacing w:val="-11"/>
        </w:rPr>
        <w:t> </w:t>
      </w:r>
      <w:r>
        <w:rPr>
          <w:color w:val="231F20"/>
        </w:rPr>
        <w:t>située</w:t>
      </w:r>
      <w:r>
        <w:rPr>
          <w:color w:val="231F20"/>
          <w:spacing w:val="-12"/>
        </w:rPr>
        <w:t> </w:t>
      </w:r>
      <w:r>
        <w:rPr>
          <w:color w:val="231F20"/>
        </w:rPr>
        <w:t>à</w:t>
      </w:r>
      <w:r>
        <w:rPr>
          <w:color w:val="231F20"/>
          <w:spacing w:val="-12"/>
        </w:rPr>
        <w:t> </w:t>
      </w:r>
      <w:r>
        <w:rPr>
          <w:color w:val="231F20"/>
        </w:rPr>
        <w:t>quelques</w:t>
      </w:r>
      <w:r>
        <w:rPr>
          <w:color w:val="231F20"/>
          <w:spacing w:val="-11"/>
        </w:rPr>
        <w:t> </w:t>
      </w:r>
      <w:r>
        <w:rPr>
          <w:color w:val="231F20"/>
        </w:rPr>
        <w:t>dizaines</w:t>
      </w:r>
      <w:r>
        <w:rPr>
          <w:color w:val="231F20"/>
          <w:spacing w:val="-11"/>
        </w:rPr>
        <w:t> </w:t>
      </w:r>
      <w:r>
        <w:rPr>
          <w:color w:val="231F20"/>
        </w:rPr>
        <w:t>de</w:t>
      </w:r>
      <w:r>
        <w:rPr>
          <w:color w:val="231F20"/>
          <w:spacing w:val="-12"/>
        </w:rPr>
        <w:t> </w:t>
      </w:r>
      <w:r>
        <w:rPr>
          <w:color w:val="231F20"/>
        </w:rPr>
        <w:t>kilomètres</w:t>
      </w:r>
      <w:r>
        <w:rPr>
          <w:color w:val="231F20"/>
          <w:spacing w:val="-11"/>
        </w:rPr>
        <w:t> </w:t>
      </w:r>
      <w:r>
        <w:rPr>
          <w:color w:val="231F20"/>
        </w:rPr>
        <w:t>de</w:t>
      </w:r>
      <w:r>
        <w:rPr>
          <w:color w:val="231F20"/>
          <w:spacing w:val="-12"/>
        </w:rPr>
        <w:t> </w:t>
      </w:r>
      <w:r>
        <w:rPr>
          <w:color w:val="231F20"/>
        </w:rPr>
        <w:t>la</w:t>
      </w:r>
      <w:r>
        <w:rPr>
          <w:color w:val="231F20"/>
          <w:spacing w:val="-14"/>
        </w:rPr>
        <w:t> </w:t>
      </w:r>
      <w:r>
        <w:rPr>
          <w:color w:val="231F20"/>
        </w:rPr>
        <w:t>côte</w:t>
      </w:r>
      <w:r>
        <w:rPr>
          <w:color w:val="231F20"/>
          <w:spacing w:val="-12"/>
        </w:rPr>
        <w:t> </w:t>
      </w:r>
      <w:r>
        <w:rPr>
          <w:color w:val="231F20"/>
        </w:rPr>
        <w:t>sud</w:t>
      </w:r>
      <w:r>
        <w:rPr>
          <w:color w:val="231F20"/>
          <w:spacing w:val="-11"/>
        </w:rPr>
        <w:t> </w:t>
      </w:r>
      <w:r>
        <w:rPr>
          <w:color w:val="231F20"/>
        </w:rPr>
        <w:t>de </w:t>
      </w:r>
      <w:r>
        <w:rPr>
          <w:color w:val="231F20"/>
          <w:spacing w:val="-4"/>
        </w:rPr>
        <w:t>la</w:t>
      </w:r>
      <w:r>
        <w:rPr>
          <w:color w:val="231F20"/>
          <w:spacing w:val="-6"/>
        </w:rPr>
        <w:t> </w:t>
      </w:r>
      <w:r>
        <w:rPr>
          <w:color w:val="231F20"/>
          <w:spacing w:val="-4"/>
        </w:rPr>
        <w:t>province</w:t>
      </w:r>
      <w:r>
        <w:rPr>
          <w:color w:val="231F20"/>
          <w:spacing w:val="-8"/>
        </w:rPr>
        <w:t> </w:t>
      </w:r>
      <w:r>
        <w:rPr>
          <w:color w:val="231F20"/>
          <w:spacing w:val="-4"/>
        </w:rPr>
        <w:t>de</w:t>
      </w:r>
      <w:r>
        <w:rPr>
          <w:color w:val="231F20"/>
          <w:spacing w:val="-6"/>
        </w:rPr>
        <w:t> </w:t>
      </w:r>
      <w:r>
        <w:rPr>
          <w:color w:val="231F20"/>
          <w:spacing w:val="-4"/>
        </w:rPr>
        <w:t>La</w:t>
      </w:r>
      <w:r>
        <w:rPr>
          <w:color w:val="231F20"/>
          <w:spacing w:val="-6"/>
        </w:rPr>
        <w:t> </w:t>
      </w:r>
      <w:r>
        <w:rPr>
          <w:color w:val="231F20"/>
          <w:spacing w:val="-4"/>
        </w:rPr>
        <w:t>Havane.</w:t>
      </w:r>
      <w:r>
        <w:rPr>
          <w:color w:val="231F20"/>
          <w:spacing w:val="-7"/>
        </w:rPr>
        <w:t> </w:t>
      </w:r>
      <w:r>
        <w:rPr>
          <w:color w:val="231F20"/>
          <w:spacing w:val="-4"/>
        </w:rPr>
        <w:t>Sans</w:t>
      </w:r>
      <w:r>
        <w:rPr>
          <w:color w:val="231F20"/>
          <w:spacing w:val="-5"/>
        </w:rPr>
        <w:t> </w:t>
      </w:r>
      <w:r>
        <w:rPr>
          <w:color w:val="231F20"/>
          <w:spacing w:val="-4"/>
        </w:rPr>
        <w:t>bourse,</w:t>
      </w:r>
      <w:r>
        <w:rPr>
          <w:color w:val="231F20"/>
          <w:spacing w:val="-7"/>
        </w:rPr>
        <w:t> </w:t>
      </w:r>
      <w:r>
        <w:rPr>
          <w:color w:val="231F20"/>
          <w:spacing w:val="-4"/>
        </w:rPr>
        <w:t>dans</w:t>
      </w:r>
      <w:r>
        <w:rPr>
          <w:color w:val="231F20"/>
          <w:spacing w:val="-7"/>
        </w:rPr>
        <w:t> </w:t>
      </w:r>
      <w:r>
        <w:rPr>
          <w:color w:val="231F20"/>
          <w:spacing w:val="-4"/>
        </w:rPr>
        <w:t>un</w:t>
      </w:r>
      <w:r>
        <w:rPr>
          <w:color w:val="231F20"/>
          <w:spacing w:val="-7"/>
        </w:rPr>
        <w:t> </w:t>
      </w:r>
      <w:r>
        <w:rPr>
          <w:color w:val="231F20"/>
          <w:spacing w:val="-4"/>
        </w:rPr>
        <w:t>pays</w:t>
      </w:r>
      <w:r>
        <w:rPr>
          <w:color w:val="231F20"/>
          <w:spacing w:val="-6"/>
        </w:rPr>
        <w:t> </w:t>
      </w:r>
      <w:r>
        <w:rPr>
          <w:color w:val="231F20"/>
          <w:spacing w:val="-4"/>
        </w:rPr>
        <w:t>étranger,</w:t>
      </w:r>
      <w:r>
        <w:rPr>
          <w:color w:val="231F20"/>
          <w:spacing w:val="-7"/>
        </w:rPr>
        <w:t> </w:t>
      </w:r>
      <w:r>
        <w:rPr>
          <w:color w:val="231F20"/>
          <w:spacing w:val="-4"/>
        </w:rPr>
        <w:t>les</w:t>
      </w:r>
      <w:r>
        <w:rPr>
          <w:color w:val="231F20"/>
          <w:spacing w:val="-5"/>
        </w:rPr>
        <w:t> </w:t>
      </w:r>
      <w:r>
        <w:rPr>
          <w:color w:val="231F20"/>
          <w:spacing w:val="-4"/>
        </w:rPr>
        <w:t>enfants </w:t>
      </w:r>
      <w:r>
        <w:rPr>
          <w:color w:val="231F20"/>
        </w:rPr>
        <w:t>dont</w:t>
      </w:r>
      <w:r>
        <w:rPr>
          <w:color w:val="231F20"/>
          <w:spacing w:val="-9"/>
        </w:rPr>
        <w:t> </w:t>
      </w:r>
      <w:r>
        <w:rPr>
          <w:color w:val="231F20"/>
        </w:rPr>
        <w:t>certains</w:t>
      </w:r>
      <w:r>
        <w:rPr>
          <w:color w:val="231F20"/>
          <w:spacing w:val="-10"/>
        </w:rPr>
        <w:t> </w:t>
      </w:r>
      <w:r>
        <w:rPr>
          <w:color w:val="231F20"/>
        </w:rPr>
        <w:t>ont</w:t>
      </w:r>
      <w:r>
        <w:rPr>
          <w:color w:val="231F20"/>
          <w:spacing w:val="-9"/>
        </w:rPr>
        <w:t> </w:t>
      </w:r>
      <w:r>
        <w:rPr>
          <w:color w:val="231F20"/>
        </w:rPr>
        <w:t>à</w:t>
      </w:r>
      <w:r>
        <w:rPr>
          <w:color w:val="231F20"/>
          <w:spacing w:val="-11"/>
        </w:rPr>
        <w:t> </w:t>
      </w:r>
      <w:r>
        <w:rPr>
          <w:color w:val="231F20"/>
        </w:rPr>
        <w:t>peine</w:t>
      </w:r>
      <w:r>
        <w:rPr>
          <w:color w:val="231F20"/>
          <w:spacing w:val="-12"/>
        </w:rPr>
        <w:t> </w:t>
      </w:r>
      <w:r>
        <w:rPr>
          <w:color w:val="231F20"/>
        </w:rPr>
        <w:t>dix</w:t>
      </w:r>
      <w:r>
        <w:rPr>
          <w:color w:val="231F20"/>
          <w:spacing w:val="-10"/>
        </w:rPr>
        <w:t> </w:t>
      </w:r>
      <w:r>
        <w:rPr>
          <w:color w:val="231F20"/>
        </w:rPr>
        <w:t>ans,</w:t>
      </w:r>
      <w:r>
        <w:rPr>
          <w:color w:val="231F20"/>
          <w:spacing w:val="-10"/>
        </w:rPr>
        <w:t> </w:t>
      </w:r>
      <w:r>
        <w:rPr>
          <w:color w:val="231F20"/>
        </w:rPr>
        <w:t>vont</w:t>
      </w:r>
      <w:r>
        <w:rPr>
          <w:color w:val="231F20"/>
          <w:spacing w:val="-9"/>
        </w:rPr>
        <w:t> </w:t>
      </w:r>
      <w:r>
        <w:rPr>
          <w:color w:val="231F20"/>
        </w:rPr>
        <w:t>connaître</w:t>
      </w:r>
      <w:r>
        <w:rPr>
          <w:color w:val="231F20"/>
          <w:spacing w:val="-11"/>
        </w:rPr>
        <w:t> </w:t>
      </w:r>
      <w:r>
        <w:rPr>
          <w:color w:val="231F20"/>
        </w:rPr>
        <w:t>le</w:t>
      </w:r>
      <w:r>
        <w:rPr>
          <w:color w:val="231F20"/>
          <w:spacing w:val="-10"/>
        </w:rPr>
        <w:t> </w:t>
      </w:r>
      <w:r>
        <w:rPr>
          <w:color w:val="231F20"/>
        </w:rPr>
        <w:t>calvaire.</w:t>
      </w:r>
      <w:r>
        <w:rPr>
          <w:color w:val="231F20"/>
          <w:spacing w:val="-12"/>
        </w:rPr>
        <w:t> </w:t>
      </w:r>
      <w:r>
        <w:rPr>
          <w:color w:val="231F20"/>
        </w:rPr>
        <w:t>Leur</w:t>
      </w:r>
      <w:r>
        <w:rPr>
          <w:color w:val="231F20"/>
          <w:spacing w:val="-9"/>
        </w:rPr>
        <w:t> </w:t>
      </w:r>
      <w:r>
        <w:rPr>
          <w:color w:val="231F20"/>
        </w:rPr>
        <w:t>renvoi dans</w:t>
      </w:r>
      <w:r>
        <w:rPr>
          <w:color w:val="231F20"/>
          <w:spacing w:val="-7"/>
        </w:rPr>
        <w:t> </w:t>
      </w:r>
      <w:r>
        <w:rPr>
          <w:color w:val="231F20"/>
        </w:rPr>
        <w:t>leur</w:t>
      </w:r>
      <w:r>
        <w:rPr>
          <w:color w:val="231F20"/>
          <w:spacing w:val="-8"/>
        </w:rPr>
        <w:t> </w:t>
      </w:r>
      <w:r>
        <w:rPr>
          <w:color w:val="231F20"/>
        </w:rPr>
        <w:t>pays</w:t>
      </w:r>
      <w:r>
        <w:rPr>
          <w:color w:val="231F20"/>
          <w:spacing w:val="-7"/>
        </w:rPr>
        <w:t> </w:t>
      </w:r>
      <w:r>
        <w:rPr>
          <w:color w:val="231F20"/>
        </w:rPr>
        <w:t>est</w:t>
      </w:r>
      <w:r>
        <w:rPr>
          <w:color w:val="231F20"/>
          <w:spacing w:val="-5"/>
        </w:rPr>
        <w:t> </w:t>
      </w:r>
      <w:r>
        <w:rPr>
          <w:color w:val="231F20"/>
        </w:rPr>
        <w:t>envisagé</w:t>
      </w:r>
      <w:r>
        <w:rPr>
          <w:color w:val="231F20"/>
          <w:spacing w:val="-6"/>
        </w:rPr>
        <w:t> </w:t>
      </w:r>
      <w:r>
        <w:rPr>
          <w:color w:val="231F20"/>
        </w:rPr>
        <w:t>par</w:t>
      </w:r>
      <w:r>
        <w:rPr>
          <w:color w:val="231F20"/>
          <w:spacing w:val="-8"/>
        </w:rPr>
        <w:t> </w:t>
      </w:r>
      <w:r>
        <w:rPr>
          <w:color w:val="231F20"/>
        </w:rPr>
        <w:t>les</w:t>
      </w:r>
      <w:r>
        <w:rPr>
          <w:color w:val="231F20"/>
          <w:spacing w:val="-7"/>
        </w:rPr>
        <w:t> </w:t>
      </w:r>
      <w:r>
        <w:rPr>
          <w:color w:val="231F20"/>
        </w:rPr>
        <w:t>autorités</w:t>
      </w:r>
      <w:r>
        <w:rPr>
          <w:color w:val="231F20"/>
          <w:spacing w:val="-7"/>
        </w:rPr>
        <w:t> </w:t>
      </w:r>
      <w:r>
        <w:rPr>
          <w:color w:val="231F20"/>
        </w:rPr>
        <w:t>de</w:t>
      </w:r>
      <w:r>
        <w:rPr>
          <w:color w:val="231F20"/>
          <w:spacing w:val="-7"/>
        </w:rPr>
        <w:t> </w:t>
      </w:r>
      <w:r>
        <w:rPr>
          <w:color w:val="231F20"/>
        </w:rPr>
        <w:t>Cuba.</w:t>
      </w:r>
      <w:r>
        <w:rPr>
          <w:color w:val="231F20"/>
          <w:spacing w:val="-6"/>
        </w:rPr>
        <w:t> </w:t>
      </w:r>
      <w:r>
        <w:rPr>
          <w:color w:val="231F20"/>
        </w:rPr>
        <w:t>Finalement,</w:t>
      </w:r>
      <w:r>
        <w:rPr>
          <w:color w:val="231F20"/>
          <w:spacing w:val="-7"/>
        </w:rPr>
        <w:t> </w:t>
      </w:r>
      <w:r>
        <w:rPr>
          <w:color w:val="231F20"/>
        </w:rPr>
        <w:t>Fidel Castro,</w:t>
      </w:r>
      <w:r>
        <w:rPr>
          <w:color w:val="231F20"/>
          <w:spacing w:val="-15"/>
        </w:rPr>
        <w:t> </w:t>
      </w:r>
      <w:r>
        <w:rPr>
          <w:color w:val="231F20"/>
        </w:rPr>
        <w:t>en</w:t>
      </w:r>
      <w:r>
        <w:rPr>
          <w:color w:val="231F20"/>
          <w:spacing w:val="-15"/>
        </w:rPr>
        <w:t> </w:t>
      </w:r>
      <w:r>
        <w:rPr>
          <w:color w:val="231F20"/>
        </w:rPr>
        <w:t>souvenir</w:t>
      </w:r>
      <w:r>
        <w:rPr>
          <w:color w:val="231F20"/>
          <w:spacing w:val="-15"/>
        </w:rPr>
        <w:t> </w:t>
      </w:r>
      <w:r>
        <w:rPr>
          <w:color w:val="231F20"/>
        </w:rPr>
        <w:t>de</w:t>
      </w:r>
      <w:r>
        <w:rPr>
          <w:color w:val="231F20"/>
          <w:spacing w:val="-15"/>
        </w:rPr>
        <w:t> </w:t>
      </w:r>
      <w:r>
        <w:rPr>
          <w:color w:val="231F20"/>
        </w:rPr>
        <w:t>son</w:t>
      </w:r>
      <w:r>
        <w:rPr>
          <w:color w:val="231F20"/>
          <w:spacing w:val="-15"/>
        </w:rPr>
        <w:t> </w:t>
      </w:r>
      <w:r>
        <w:rPr>
          <w:color w:val="231F20"/>
        </w:rPr>
        <w:t>amitié</w:t>
      </w:r>
      <w:r>
        <w:rPr>
          <w:color w:val="231F20"/>
          <w:spacing w:val="-15"/>
        </w:rPr>
        <w:t> </w:t>
      </w:r>
      <w:r>
        <w:rPr>
          <w:color w:val="231F20"/>
        </w:rPr>
        <w:t>avec</w:t>
      </w:r>
      <w:r>
        <w:rPr>
          <w:color w:val="231F20"/>
          <w:spacing w:val="-15"/>
        </w:rPr>
        <w:t> </w:t>
      </w:r>
      <w:r>
        <w:rPr>
          <w:color w:val="231F20"/>
        </w:rPr>
        <w:t>Sankara</w:t>
      </w:r>
      <w:r>
        <w:rPr>
          <w:color w:val="231F20"/>
          <w:spacing w:val="-15"/>
        </w:rPr>
        <w:t> </w:t>
      </w:r>
      <w:r>
        <w:rPr>
          <w:color w:val="231F20"/>
        </w:rPr>
        <w:t>leur</w:t>
      </w:r>
      <w:r>
        <w:rPr>
          <w:color w:val="231F20"/>
          <w:spacing w:val="-15"/>
        </w:rPr>
        <w:t> </w:t>
      </w:r>
      <w:r>
        <w:rPr>
          <w:color w:val="231F20"/>
        </w:rPr>
        <w:t>vient</w:t>
      </w:r>
      <w:r>
        <w:rPr>
          <w:color w:val="231F20"/>
          <w:spacing w:val="-15"/>
        </w:rPr>
        <w:t> </w:t>
      </w:r>
      <w:r>
        <w:rPr>
          <w:color w:val="231F20"/>
        </w:rPr>
        <w:t>en</w:t>
      </w:r>
      <w:r>
        <w:rPr>
          <w:color w:val="231F20"/>
          <w:spacing w:val="-15"/>
        </w:rPr>
        <w:t> </w:t>
      </w:r>
      <w:r>
        <w:rPr>
          <w:color w:val="231F20"/>
        </w:rPr>
        <w:t>aide</w:t>
      </w:r>
      <w:r>
        <w:rPr>
          <w:color w:val="231F20"/>
          <w:spacing w:val="-15"/>
        </w:rPr>
        <w:t> </w:t>
      </w:r>
      <w:r>
        <w:rPr>
          <w:color w:val="231F20"/>
        </w:rPr>
        <w:t>en</w:t>
      </w:r>
      <w:r>
        <w:rPr>
          <w:color w:val="231F20"/>
          <w:spacing w:val="-15"/>
        </w:rPr>
        <w:t> </w:t>
      </w:r>
      <w:r>
        <w:rPr>
          <w:color w:val="231F20"/>
        </w:rPr>
        <w:t>leur octroyant</w:t>
      </w:r>
      <w:r>
        <w:rPr>
          <w:color w:val="231F20"/>
          <w:spacing w:val="-9"/>
        </w:rPr>
        <w:t> </w:t>
      </w:r>
      <w:r>
        <w:rPr>
          <w:color w:val="231F20"/>
        </w:rPr>
        <w:t>des</w:t>
      </w:r>
      <w:r>
        <w:rPr>
          <w:color w:val="231F20"/>
          <w:spacing w:val="-8"/>
        </w:rPr>
        <w:t> </w:t>
      </w:r>
      <w:r>
        <w:rPr>
          <w:color w:val="231F20"/>
        </w:rPr>
        <w:t>bourses.</w:t>
      </w:r>
      <w:r>
        <w:rPr>
          <w:color w:val="231F20"/>
          <w:spacing w:val="-10"/>
        </w:rPr>
        <w:t> </w:t>
      </w:r>
      <w:r>
        <w:rPr>
          <w:color w:val="231F20"/>
        </w:rPr>
        <w:t>Mais</w:t>
      </w:r>
      <w:r>
        <w:rPr>
          <w:color w:val="231F20"/>
          <w:spacing w:val="-8"/>
        </w:rPr>
        <w:t> </w:t>
      </w:r>
      <w:r>
        <w:rPr>
          <w:color w:val="231F20"/>
        </w:rPr>
        <w:t>la</w:t>
      </w:r>
      <w:r>
        <w:rPr>
          <w:color w:val="231F20"/>
          <w:spacing w:val="-8"/>
        </w:rPr>
        <w:t> </w:t>
      </w:r>
      <w:r>
        <w:rPr>
          <w:color w:val="231F20"/>
        </w:rPr>
        <w:t>donne</w:t>
      </w:r>
      <w:r>
        <w:rPr>
          <w:color w:val="231F20"/>
          <w:spacing w:val="-8"/>
        </w:rPr>
        <w:t> </w:t>
      </w:r>
      <w:r>
        <w:rPr>
          <w:color w:val="231F20"/>
        </w:rPr>
        <w:t>change</w:t>
      </w:r>
      <w:r>
        <w:rPr>
          <w:color w:val="231F20"/>
          <w:spacing w:val="-15"/>
        </w:rPr>
        <w:t> </w:t>
      </w:r>
      <w:r>
        <w:rPr>
          <w:color w:val="231F20"/>
        </w:rPr>
        <w:t>:</w:t>
      </w:r>
      <w:r>
        <w:rPr>
          <w:color w:val="231F20"/>
          <w:spacing w:val="-7"/>
        </w:rPr>
        <w:t> </w:t>
      </w:r>
      <w:r>
        <w:rPr>
          <w:color w:val="231F20"/>
        </w:rPr>
        <w:t>seuls</w:t>
      </w:r>
      <w:r>
        <w:rPr>
          <w:color w:val="231F20"/>
          <w:spacing w:val="-7"/>
        </w:rPr>
        <w:t> </w:t>
      </w:r>
      <w:r>
        <w:rPr>
          <w:color w:val="231F20"/>
        </w:rPr>
        <w:t>10%</w:t>
      </w:r>
      <w:r>
        <w:rPr>
          <w:color w:val="231F20"/>
          <w:spacing w:val="-8"/>
        </w:rPr>
        <w:t> </w:t>
      </w:r>
      <w:r>
        <w:rPr>
          <w:color w:val="231F20"/>
        </w:rPr>
        <w:t>parmi</w:t>
      </w:r>
      <w:r>
        <w:rPr>
          <w:color w:val="231F20"/>
          <w:spacing w:val="-7"/>
        </w:rPr>
        <w:t> </w:t>
      </w:r>
      <w:r>
        <w:rPr>
          <w:color w:val="231F20"/>
        </w:rPr>
        <w:t>les</w:t>
      </w:r>
      <w:r>
        <w:rPr>
          <w:color w:val="231F20"/>
          <w:spacing w:val="-8"/>
        </w:rPr>
        <w:t> </w:t>
      </w:r>
      <w:r>
        <w:rPr>
          <w:color w:val="231F20"/>
        </w:rPr>
        <w:t>plus méritants</w:t>
      </w:r>
      <w:r>
        <w:rPr>
          <w:color w:val="231F20"/>
          <w:spacing w:val="-10"/>
        </w:rPr>
        <w:t> </w:t>
      </w:r>
      <w:r>
        <w:rPr>
          <w:color w:val="231F20"/>
        </w:rPr>
        <w:t>des</w:t>
      </w:r>
      <w:r>
        <w:rPr>
          <w:color w:val="231F20"/>
          <w:spacing w:val="-12"/>
        </w:rPr>
        <w:t> </w:t>
      </w:r>
      <w:r>
        <w:rPr>
          <w:color w:val="231F20"/>
        </w:rPr>
        <w:t>six</w:t>
      </w:r>
      <w:r>
        <w:rPr>
          <w:color w:val="231F20"/>
          <w:spacing w:val="-10"/>
        </w:rPr>
        <w:t> </w:t>
      </w:r>
      <w:r>
        <w:rPr>
          <w:color w:val="231F20"/>
        </w:rPr>
        <w:t>cents</w:t>
      </w:r>
      <w:r>
        <w:rPr>
          <w:color w:val="231F20"/>
          <w:spacing w:val="-10"/>
        </w:rPr>
        <w:t> </w:t>
      </w:r>
      <w:r>
        <w:rPr>
          <w:color w:val="231F20"/>
        </w:rPr>
        <w:t>sont</w:t>
      </w:r>
      <w:r>
        <w:rPr>
          <w:color w:val="231F20"/>
          <w:spacing w:val="-10"/>
        </w:rPr>
        <w:t> </w:t>
      </w:r>
      <w:r>
        <w:rPr>
          <w:color w:val="231F20"/>
        </w:rPr>
        <w:t>éligibles</w:t>
      </w:r>
      <w:r>
        <w:rPr>
          <w:color w:val="231F20"/>
          <w:spacing w:val="-10"/>
        </w:rPr>
        <w:t> </w:t>
      </w:r>
      <w:r>
        <w:rPr>
          <w:color w:val="231F20"/>
        </w:rPr>
        <w:t>pour</w:t>
      </w:r>
      <w:r>
        <w:rPr>
          <w:color w:val="231F20"/>
          <w:spacing w:val="-11"/>
        </w:rPr>
        <w:t> </w:t>
      </w:r>
      <w:r>
        <w:rPr>
          <w:color w:val="231F20"/>
        </w:rPr>
        <w:t>des</w:t>
      </w:r>
      <w:r>
        <w:rPr>
          <w:color w:val="231F20"/>
          <w:spacing w:val="-10"/>
        </w:rPr>
        <w:t> </w:t>
      </w:r>
      <w:r>
        <w:rPr>
          <w:color w:val="231F20"/>
        </w:rPr>
        <w:t>études</w:t>
      </w:r>
      <w:r>
        <w:rPr>
          <w:color w:val="231F20"/>
          <w:spacing w:val="-10"/>
        </w:rPr>
        <w:t> </w:t>
      </w:r>
      <w:r>
        <w:rPr>
          <w:color w:val="231F20"/>
        </w:rPr>
        <w:t>universitaires.</w:t>
      </w:r>
      <w:r>
        <w:rPr>
          <w:color w:val="231F20"/>
          <w:spacing w:val="-10"/>
        </w:rPr>
        <w:t> </w:t>
      </w:r>
      <w:r>
        <w:rPr>
          <w:color w:val="231F20"/>
        </w:rPr>
        <w:t>Les autres sont orientés en cycle court dans l’enseignement technique et </w:t>
      </w:r>
      <w:r>
        <w:rPr>
          <w:color w:val="231F20"/>
          <w:spacing w:val="-2"/>
        </w:rPr>
        <w:t>professionnel.</w:t>
      </w:r>
    </w:p>
    <w:p>
      <w:pPr>
        <w:pStyle w:val="BodyText"/>
        <w:spacing w:before="121"/>
        <w:ind w:right="103" w:firstLine="283"/>
      </w:pPr>
      <w:r>
        <w:rPr>
          <w:color w:val="231F20"/>
        </w:rPr>
        <w:t>Une fois leur formation achevée, les jeunes rentrent dans leur pays, après 10 ans pour certains et 20 ans pour d’autres. Ils vont user leurs chaussures</w:t>
      </w:r>
      <w:r>
        <w:rPr>
          <w:color w:val="231F20"/>
          <w:spacing w:val="-15"/>
        </w:rPr>
        <w:t> </w:t>
      </w:r>
      <w:r>
        <w:rPr>
          <w:color w:val="231F20"/>
        </w:rPr>
        <w:t>dans</w:t>
      </w:r>
      <w:r>
        <w:rPr>
          <w:color w:val="231F20"/>
          <w:spacing w:val="-15"/>
        </w:rPr>
        <w:t> </w:t>
      </w:r>
      <w:r>
        <w:rPr>
          <w:color w:val="231F20"/>
        </w:rPr>
        <w:t>les</w:t>
      </w:r>
      <w:r>
        <w:rPr>
          <w:color w:val="231F20"/>
          <w:spacing w:val="-15"/>
        </w:rPr>
        <w:t> </w:t>
      </w:r>
      <w:r>
        <w:rPr>
          <w:color w:val="231F20"/>
        </w:rPr>
        <w:t>allées</w:t>
      </w:r>
      <w:r>
        <w:rPr>
          <w:color w:val="231F20"/>
          <w:spacing w:val="-15"/>
        </w:rPr>
        <w:t> </w:t>
      </w:r>
      <w:r>
        <w:rPr>
          <w:color w:val="231F20"/>
        </w:rPr>
        <w:t>des</w:t>
      </w:r>
      <w:r>
        <w:rPr>
          <w:color w:val="231F20"/>
          <w:spacing w:val="-15"/>
        </w:rPr>
        <w:t> </w:t>
      </w:r>
      <w:r>
        <w:rPr>
          <w:color w:val="231F20"/>
        </w:rPr>
        <w:t>Ministères</w:t>
      </w:r>
      <w:r>
        <w:rPr>
          <w:color w:val="231F20"/>
          <w:spacing w:val="-15"/>
        </w:rPr>
        <w:t> </w:t>
      </w:r>
      <w:r>
        <w:rPr>
          <w:color w:val="231F20"/>
        </w:rPr>
        <w:t>:</w:t>
      </w:r>
      <w:r>
        <w:rPr>
          <w:color w:val="231F20"/>
          <w:spacing w:val="-13"/>
        </w:rPr>
        <w:t> </w:t>
      </w:r>
      <w:r>
        <w:rPr>
          <w:color w:val="231F20"/>
        </w:rPr>
        <w:t>ils</w:t>
      </w:r>
      <w:r>
        <w:rPr>
          <w:color w:val="231F20"/>
          <w:spacing w:val="-15"/>
        </w:rPr>
        <w:t> </w:t>
      </w:r>
      <w:r>
        <w:rPr>
          <w:color w:val="231F20"/>
        </w:rPr>
        <w:t>ne</w:t>
      </w:r>
      <w:r>
        <w:rPr>
          <w:color w:val="231F20"/>
          <w:spacing w:val="-13"/>
        </w:rPr>
        <w:t> </w:t>
      </w:r>
      <w:r>
        <w:rPr>
          <w:color w:val="231F20"/>
        </w:rPr>
        <w:t>sont</w:t>
      </w:r>
      <w:r>
        <w:rPr>
          <w:color w:val="231F20"/>
          <w:spacing w:val="-12"/>
        </w:rPr>
        <w:t> </w:t>
      </w:r>
      <w:r>
        <w:rPr>
          <w:color w:val="231F20"/>
        </w:rPr>
        <w:t>pas</w:t>
      </w:r>
      <w:r>
        <w:rPr>
          <w:color w:val="231F20"/>
          <w:spacing w:val="-13"/>
        </w:rPr>
        <w:t> </w:t>
      </w:r>
      <w:r>
        <w:rPr>
          <w:color w:val="231F20"/>
        </w:rPr>
        <w:t>les</w:t>
      </w:r>
      <w:r>
        <w:rPr>
          <w:color w:val="231F20"/>
          <w:spacing w:val="-10"/>
        </w:rPr>
        <w:t> </w:t>
      </w:r>
      <w:r>
        <w:rPr>
          <w:color w:val="231F20"/>
        </w:rPr>
        <w:t>bienvenus</w:t>
      </w:r>
      <w:r>
        <w:rPr>
          <w:color w:val="231F20"/>
          <w:spacing w:val="-15"/>
        </w:rPr>
        <w:t> </w:t>
      </w:r>
      <w:r>
        <w:rPr>
          <w:color w:val="231F20"/>
        </w:rPr>
        <w:t>; il</w:t>
      </w:r>
      <w:r>
        <w:rPr>
          <w:color w:val="231F20"/>
          <w:spacing w:val="-10"/>
        </w:rPr>
        <w:t> </w:t>
      </w:r>
      <w:r>
        <w:rPr>
          <w:color w:val="231F20"/>
        </w:rPr>
        <w:t>n’y</w:t>
      </w:r>
      <w:r>
        <w:rPr>
          <w:color w:val="231F20"/>
          <w:spacing w:val="-11"/>
        </w:rPr>
        <w:t> </w:t>
      </w:r>
      <w:r>
        <w:rPr>
          <w:color w:val="231F20"/>
        </w:rPr>
        <w:t>a</w:t>
      </w:r>
      <w:r>
        <w:rPr>
          <w:color w:val="231F20"/>
          <w:spacing w:val="-10"/>
        </w:rPr>
        <w:t> </w:t>
      </w:r>
      <w:r>
        <w:rPr>
          <w:color w:val="231F20"/>
        </w:rPr>
        <w:t>pas</w:t>
      </w:r>
      <w:r>
        <w:rPr>
          <w:color w:val="231F20"/>
          <w:spacing w:val="-13"/>
        </w:rPr>
        <w:t> </w:t>
      </w:r>
      <w:r>
        <w:rPr>
          <w:color w:val="231F20"/>
        </w:rPr>
        <w:t>de</w:t>
      </w:r>
      <w:r>
        <w:rPr>
          <w:color w:val="231F20"/>
          <w:spacing w:val="-10"/>
        </w:rPr>
        <w:t> </w:t>
      </w:r>
      <w:r>
        <w:rPr>
          <w:color w:val="231F20"/>
        </w:rPr>
        <w:t>travail</w:t>
      </w:r>
      <w:r>
        <w:rPr>
          <w:color w:val="231F20"/>
          <w:spacing w:val="-12"/>
        </w:rPr>
        <w:t> </w:t>
      </w:r>
      <w:r>
        <w:rPr>
          <w:color w:val="231F20"/>
        </w:rPr>
        <w:t>pour</w:t>
      </w:r>
      <w:r>
        <w:rPr>
          <w:color w:val="231F20"/>
          <w:spacing w:val="-14"/>
        </w:rPr>
        <w:t> </w:t>
      </w:r>
      <w:r>
        <w:rPr>
          <w:color w:val="231F20"/>
        </w:rPr>
        <w:t>eux…</w:t>
      </w:r>
      <w:r>
        <w:rPr>
          <w:color w:val="231F20"/>
          <w:spacing w:val="-12"/>
        </w:rPr>
        <w:t> </w:t>
      </w:r>
      <w:r>
        <w:rPr>
          <w:color w:val="231F20"/>
        </w:rPr>
        <w:t>leurs</w:t>
      </w:r>
      <w:r>
        <w:rPr>
          <w:color w:val="231F20"/>
          <w:spacing w:val="-11"/>
        </w:rPr>
        <w:t> </w:t>
      </w:r>
      <w:r>
        <w:rPr>
          <w:color w:val="231F20"/>
        </w:rPr>
        <w:t>diplômes</w:t>
      </w:r>
      <w:r>
        <w:rPr>
          <w:color w:val="231F20"/>
          <w:spacing w:val="-13"/>
        </w:rPr>
        <w:t> </w:t>
      </w:r>
      <w:r>
        <w:rPr>
          <w:color w:val="231F20"/>
        </w:rPr>
        <w:t>ne</w:t>
      </w:r>
      <w:r>
        <w:rPr>
          <w:color w:val="231F20"/>
          <w:spacing w:val="-13"/>
        </w:rPr>
        <w:t> </w:t>
      </w:r>
      <w:r>
        <w:rPr>
          <w:color w:val="231F20"/>
        </w:rPr>
        <w:t>sont</w:t>
      </w:r>
      <w:r>
        <w:rPr>
          <w:color w:val="231F20"/>
          <w:spacing w:val="-12"/>
        </w:rPr>
        <w:t> </w:t>
      </w:r>
      <w:r>
        <w:rPr>
          <w:color w:val="231F20"/>
        </w:rPr>
        <w:t>pas</w:t>
      </w:r>
      <w:r>
        <w:rPr>
          <w:color w:val="231F20"/>
          <w:spacing w:val="-11"/>
        </w:rPr>
        <w:t> </w:t>
      </w:r>
      <w:r>
        <w:rPr>
          <w:color w:val="231F20"/>
        </w:rPr>
        <w:t>reconnus…</w:t>
      </w:r>
    </w:p>
    <w:p>
      <w:pPr>
        <w:pStyle w:val="BodyText"/>
        <w:spacing w:before="121"/>
        <w:ind w:right="105" w:firstLine="283"/>
      </w:pPr>
      <w:r>
        <w:rPr>
          <w:color w:val="231F20"/>
        </w:rPr>
        <w:t>S’il</w:t>
      </w:r>
      <w:r>
        <w:rPr>
          <w:color w:val="231F20"/>
          <w:spacing w:val="-7"/>
        </w:rPr>
        <w:t> </w:t>
      </w:r>
      <w:r>
        <w:rPr>
          <w:color w:val="231F20"/>
        </w:rPr>
        <w:t>est</w:t>
      </w:r>
      <w:r>
        <w:rPr>
          <w:color w:val="231F20"/>
          <w:spacing w:val="-8"/>
        </w:rPr>
        <w:t> </w:t>
      </w:r>
      <w:r>
        <w:rPr>
          <w:color w:val="231F20"/>
        </w:rPr>
        <w:t>vrai</w:t>
      </w:r>
      <w:r>
        <w:rPr>
          <w:color w:val="231F20"/>
          <w:spacing w:val="-7"/>
        </w:rPr>
        <w:t> </w:t>
      </w:r>
      <w:r>
        <w:rPr>
          <w:color w:val="231F20"/>
        </w:rPr>
        <w:t>que</w:t>
      </w:r>
      <w:r>
        <w:rPr>
          <w:color w:val="231F20"/>
          <w:spacing w:val="-8"/>
        </w:rPr>
        <w:t> </w:t>
      </w:r>
      <w:r>
        <w:rPr>
          <w:color w:val="231F20"/>
        </w:rPr>
        <w:t>l’Afrique</w:t>
      </w:r>
      <w:r>
        <w:rPr>
          <w:color w:val="231F20"/>
          <w:spacing w:val="-10"/>
        </w:rPr>
        <w:t> </w:t>
      </w:r>
      <w:r>
        <w:rPr>
          <w:color w:val="231F20"/>
        </w:rPr>
        <w:t>souffre</w:t>
      </w:r>
      <w:r>
        <w:rPr>
          <w:color w:val="231F20"/>
          <w:spacing w:val="-8"/>
        </w:rPr>
        <w:t> </w:t>
      </w:r>
      <w:r>
        <w:rPr>
          <w:color w:val="231F20"/>
        </w:rPr>
        <w:t>des</w:t>
      </w:r>
      <w:r>
        <w:rPr>
          <w:color w:val="231F20"/>
          <w:spacing w:val="-10"/>
        </w:rPr>
        <w:t> </w:t>
      </w:r>
      <w:r>
        <w:rPr>
          <w:color w:val="231F20"/>
        </w:rPr>
        <w:t>pesanteurs</w:t>
      </w:r>
      <w:r>
        <w:rPr>
          <w:color w:val="231F20"/>
          <w:spacing w:val="-8"/>
        </w:rPr>
        <w:t> </w:t>
      </w:r>
      <w:r>
        <w:rPr>
          <w:color w:val="231F20"/>
        </w:rPr>
        <w:t>liées</w:t>
      </w:r>
      <w:r>
        <w:rPr>
          <w:color w:val="231F20"/>
          <w:spacing w:val="-8"/>
        </w:rPr>
        <w:t> </w:t>
      </w:r>
      <w:r>
        <w:rPr>
          <w:color w:val="231F20"/>
        </w:rPr>
        <w:t>à</w:t>
      </w:r>
      <w:r>
        <w:rPr>
          <w:color w:val="231F20"/>
          <w:spacing w:val="-8"/>
        </w:rPr>
        <w:t> </w:t>
      </w:r>
      <w:r>
        <w:rPr>
          <w:color w:val="231F20"/>
        </w:rPr>
        <w:t>son</w:t>
      </w:r>
      <w:r>
        <w:rPr>
          <w:color w:val="231F20"/>
          <w:spacing w:val="-9"/>
        </w:rPr>
        <w:t> </w:t>
      </w:r>
      <w:r>
        <w:rPr>
          <w:color w:val="231F20"/>
        </w:rPr>
        <w:t>passé</w:t>
      </w:r>
      <w:r>
        <w:rPr>
          <w:color w:val="231F20"/>
          <w:spacing w:val="-8"/>
        </w:rPr>
        <w:t> </w:t>
      </w:r>
      <w:r>
        <w:rPr>
          <w:color w:val="231F20"/>
        </w:rPr>
        <w:t>de colonisé,</w:t>
      </w:r>
      <w:r>
        <w:rPr>
          <w:color w:val="231F20"/>
          <w:spacing w:val="-15"/>
        </w:rPr>
        <w:t> </w:t>
      </w:r>
      <w:r>
        <w:rPr>
          <w:color w:val="231F20"/>
        </w:rPr>
        <w:t>il</w:t>
      </w:r>
      <w:r>
        <w:rPr>
          <w:color w:val="231F20"/>
          <w:spacing w:val="-14"/>
        </w:rPr>
        <w:t> </w:t>
      </w:r>
      <w:r>
        <w:rPr>
          <w:color w:val="231F20"/>
        </w:rPr>
        <w:t>est</w:t>
      </w:r>
      <w:r>
        <w:rPr>
          <w:color w:val="231F20"/>
          <w:spacing w:val="-13"/>
        </w:rPr>
        <w:t> </w:t>
      </w:r>
      <w:r>
        <w:rPr>
          <w:color w:val="231F20"/>
        </w:rPr>
        <w:t>aussi</w:t>
      </w:r>
      <w:r>
        <w:rPr>
          <w:color w:val="231F20"/>
          <w:spacing w:val="-15"/>
        </w:rPr>
        <w:t> </w:t>
      </w:r>
      <w:r>
        <w:rPr>
          <w:color w:val="231F20"/>
        </w:rPr>
        <w:t>vrai</w:t>
      </w:r>
      <w:r>
        <w:rPr>
          <w:color w:val="231F20"/>
          <w:spacing w:val="-15"/>
        </w:rPr>
        <w:t> </w:t>
      </w:r>
      <w:r>
        <w:rPr>
          <w:color w:val="231F20"/>
        </w:rPr>
        <w:t>que</w:t>
      </w:r>
      <w:r>
        <w:rPr>
          <w:color w:val="231F20"/>
          <w:spacing w:val="-14"/>
        </w:rPr>
        <w:t> </w:t>
      </w:r>
      <w:r>
        <w:rPr>
          <w:color w:val="231F20"/>
        </w:rPr>
        <w:t>la</w:t>
      </w:r>
      <w:r>
        <w:rPr>
          <w:color w:val="231F20"/>
          <w:spacing w:val="-15"/>
        </w:rPr>
        <w:t> </w:t>
      </w:r>
      <w:r>
        <w:rPr>
          <w:color w:val="231F20"/>
        </w:rPr>
        <w:t>mal</w:t>
      </w:r>
      <w:r>
        <w:rPr>
          <w:color w:val="231F20"/>
          <w:spacing w:val="-15"/>
        </w:rPr>
        <w:t> </w:t>
      </w:r>
      <w:r>
        <w:rPr>
          <w:color w:val="231F20"/>
        </w:rPr>
        <w:t>gouvernance</w:t>
      </w:r>
      <w:r>
        <w:rPr>
          <w:color w:val="231F20"/>
          <w:spacing w:val="-15"/>
        </w:rPr>
        <w:t> </w:t>
      </w:r>
      <w:r>
        <w:rPr>
          <w:color w:val="231F20"/>
        </w:rPr>
        <w:t>des</w:t>
      </w:r>
      <w:r>
        <w:rPr>
          <w:color w:val="231F20"/>
          <w:spacing w:val="-14"/>
        </w:rPr>
        <w:t> </w:t>
      </w:r>
      <w:r>
        <w:rPr>
          <w:color w:val="231F20"/>
        </w:rPr>
        <w:t>dirigeants</w:t>
      </w:r>
      <w:r>
        <w:rPr>
          <w:color w:val="231F20"/>
          <w:spacing w:val="-15"/>
        </w:rPr>
        <w:t> </w:t>
      </w:r>
      <w:r>
        <w:rPr>
          <w:color w:val="231F20"/>
        </w:rPr>
        <w:t>fragilise le</w:t>
      </w:r>
      <w:r>
        <w:rPr>
          <w:color w:val="231F20"/>
          <w:spacing w:val="19"/>
        </w:rPr>
        <w:t> </w:t>
      </w:r>
      <w:r>
        <w:rPr>
          <w:color w:val="231F20"/>
        </w:rPr>
        <w:t>développement</w:t>
      </w:r>
      <w:r>
        <w:rPr>
          <w:color w:val="231F20"/>
          <w:spacing w:val="23"/>
        </w:rPr>
        <w:t> </w:t>
      </w:r>
      <w:r>
        <w:rPr>
          <w:color w:val="231F20"/>
        </w:rPr>
        <w:t>des</w:t>
      </w:r>
      <w:r>
        <w:rPr>
          <w:color w:val="231F20"/>
          <w:spacing w:val="21"/>
        </w:rPr>
        <w:t> </w:t>
      </w:r>
      <w:r>
        <w:rPr>
          <w:color w:val="231F20"/>
        </w:rPr>
        <w:t>États</w:t>
      </w:r>
      <w:r>
        <w:rPr>
          <w:color w:val="231F20"/>
          <w:spacing w:val="21"/>
        </w:rPr>
        <w:t> </w:t>
      </w:r>
      <w:r>
        <w:rPr>
          <w:color w:val="231F20"/>
        </w:rPr>
        <w:t>:</w:t>
      </w:r>
      <w:r>
        <w:rPr>
          <w:color w:val="231F20"/>
          <w:spacing w:val="20"/>
        </w:rPr>
        <w:t> </w:t>
      </w:r>
      <w:r>
        <w:rPr>
          <w:color w:val="231F20"/>
        </w:rPr>
        <w:t>ils</w:t>
      </w:r>
      <w:r>
        <w:rPr>
          <w:color w:val="231F20"/>
          <w:spacing w:val="19"/>
        </w:rPr>
        <w:t> </w:t>
      </w:r>
      <w:r>
        <w:rPr>
          <w:color w:val="231F20"/>
        </w:rPr>
        <w:t>sont</w:t>
      </w:r>
      <w:r>
        <w:rPr>
          <w:color w:val="231F20"/>
          <w:spacing w:val="21"/>
        </w:rPr>
        <w:t> </w:t>
      </w:r>
      <w:r>
        <w:rPr>
          <w:color w:val="231F20"/>
        </w:rPr>
        <w:t>tous</w:t>
      </w:r>
      <w:r>
        <w:rPr>
          <w:color w:val="231F20"/>
          <w:spacing w:val="21"/>
        </w:rPr>
        <w:t> </w:t>
      </w:r>
      <w:r>
        <w:rPr>
          <w:color w:val="231F20"/>
        </w:rPr>
        <w:t>des</w:t>
      </w:r>
      <w:r>
        <w:rPr>
          <w:color w:val="231F20"/>
          <w:spacing w:val="19"/>
        </w:rPr>
        <w:t> </w:t>
      </w:r>
      <w:r>
        <w:rPr>
          <w:color w:val="231F20"/>
        </w:rPr>
        <w:t>«</w:t>
      </w:r>
      <w:r>
        <w:rPr>
          <w:color w:val="231F20"/>
          <w:spacing w:val="-13"/>
        </w:rPr>
        <w:t> </w:t>
      </w:r>
      <w:r>
        <w:rPr>
          <w:color w:val="231F20"/>
        </w:rPr>
        <w:t>monarques</w:t>
      </w:r>
      <w:r>
        <w:rPr>
          <w:color w:val="231F20"/>
          <w:spacing w:val="20"/>
        </w:rPr>
        <w:t> </w:t>
      </w:r>
      <w:r>
        <w:rPr>
          <w:color w:val="231F20"/>
          <w:spacing w:val="-2"/>
        </w:rPr>
        <w:t>dictateurs</w:t>
      </w:r>
    </w:p>
    <w:p>
      <w:pPr>
        <w:spacing w:line="237" w:lineRule="auto" w:before="2"/>
        <w:ind w:left="111" w:right="105" w:firstLine="0"/>
        <w:jc w:val="both"/>
        <w:rPr>
          <w:sz w:val="24"/>
        </w:rPr>
      </w:pPr>
      <w:r>
        <w:rPr>
          <w:color w:val="231F20"/>
          <w:sz w:val="24"/>
        </w:rPr>
        <w:t>»,</w:t>
      </w:r>
      <w:r>
        <w:rPr>
          <w:color w:val="231F20"/>
          <w:spacing w:val="-15"/>
          <w:sz w:val="24"/>
        </w:rPr>
        <w:t> </w:t>
      </w:r>
      <w:r>
        <w:rPr>
          <w:color w:val="231F20"/>
          <w:sz w:val="24"/>
        </w:rPr>
        <w:t>égoïstes,</w:t>
      </w:r>
      <w:r>
        <w:rPr>
          <w:color w:val="231F20"/>
          <w:spacing w:val="-4"/>
          <w:sz w:val="24"/>
        </w:rPr>
        <w:t> </w:t>
      </w:r>
      <w:r>
        <w:rPr>
          <w:color w:val="231F20"/>
          <w:sz w:val="24"/>
        </w:rPr>
        <w:t>avides</w:t>
      </w:r>
      <w:r>
        <w:rPr>
          <w:color w:val="231F20"/>
          <w:spacing w:val="-6"/>
          <w:sz w:val="24"/>
        </w:rPr>
        <w:t> </w:t>
      </w:r>
      <w:r>
        <w:rPr>
          <w:color w:val="231F20"/>
          <w:sz w:val="24"/>
        </w:rPr>
        <w:t>de</w:t>
      </w:r>
      <w:r>
        <w:rPr>
          <w:color w:val="231F20"/>
          <w:spacing w:val="-3"/>
          <w:sz w:val="24"/>
        </w:rPr>
        <w:t> </w:t>
      </w:r>
      <w:r>
        <w:rPr>
          <w:color w:val="231F20"/>
          <w:sz w:val="24"/>
        </w:rPr>
        <w:t>pouvoir.</w:t>
      </w:r>
      <w:r>
        <w:rPr>
          <w:color w:val="231F20"/>
          <w:spacing w:val="-5"/>
          <w:sz w:val="24"/>
        </w:rPr>
        <w:t> </w:t>
      </w:r>
      <w:r>
        <w:rPr>
          <w:color w:val="231F20"/>
          <w:sz w:val="24"/>
        </w:rPr>
        <w:t>Tous</w:t>
      </w:r>
      <w:r>
        <w:rPr>
          <w:color w:val="231F20"/>
          <w:spacing w:val="-6"/>
          <w:sz w:val="24"/>
        </w:rPr>
        <w:t> </w:t>
      </w:r>
      <w:r>
        <w:rPr>
          <w:color w:val="231F20"/>
          <w:sz w:val="24"/>
        </w:rPr>
        <w:t>gèrent</w:t>
      </w:r>
      <w:r>
        <w:rPr>
          <w:color w:val="231F20"/>
          <w:spacing w:val="-5"/>
          <w:sz w:val="24"/>
        </w:rPr>
        <w:t> </w:t>
      </w:r>
      <w:r>
        <w:rPr>
          <w:color w:val="231F20"/>
          <w:sz w:val="24"/>
        </w:rPr>
        <w:t>d’</w:t>
      </w:r>
      <w:r>
        <w:rPr>
          <w:color w:val="231F20"/>
          <w:spacing w:val="-6"/>
          <w:sz w:val="24"/>
        </w:rPr>
        <w:t> </w:t>
      </w:r>
      <w:r>
        <w:rPr>
          <w:color w:val="231F20"/>
          <w:sz w:val="24"/>
        </w:rPr>
        <w:t>une</w:t>
      </w:r>
      <w:r>
        <w:rPr>
          <w:color w:val="231F20"/>
          <w:spacing w:val="-6"/>
          <w:sz w:val="24"/>
        </w:rPr>
        <w:t> </w:t>
      </w:r>
      <w:r>
        <w:rPr>
          <w:color w:val="231F20"/>
          <w:sz w:val="24"/>
        </w:rPr>
        <w:t>main</w:t>
      </w:r>
      <w:r>
        <w:rPr>
          <w:color w:val="231F20"/>
          <w:spacing w:val="-6"/>
          <w:sz w:val="24"/>
        </w:rPr>
        <w:t> </w:t>
      </w:r>
      <w:r>
        <w:rPr>
          <w:color w:val="231F20"/>
          <w:sz w:val="24"/>
        </w:rPr>
        <w:t>de</w:t>
      </w:r>
      <w:r>
        <w:rPr>
          <w:color w:val="231F20"/>
          <w:spacing w:val="-3"/>
          <w:sz w:val="24"/>
        </w:rPr>
        <w:t> </w:t>
      </w:r>
      <w:r>
        <w:rPr>
          <w:color w:val="231F20"/>
          <w:sz w:val="24"/>
        </w:rPr>
        <w:t>fer,</w:t>
      </w:r>
      <w:r>
        <w:rPr>
          <w:color w:val="231F20"/>
          <w:spacing w:val="-4"/>
          <w:sz w:val="24"/>
        </w:rPr>
        <w:t> </w:t>
      </w:r>
      <w:r>
        <w:rPr>
          <w:color w:val="231F20"/>
          <w:sz w:val="24"/>
        </w:rPr>
        <w:t>«</w:t>
      </w:r>
      <w:r>
        <w:rPr>
          <w:color w:val="231F20"/>
          <w:spacing w:val="-15"/>
          <w:sz w:val="24"/>
        </w:rPr>
        <w:t> </w:t>
      </w:r>
      <w:r>
        <w:rPr>
          <w:color w:val="231F20"/>
          <w:sz w:val="24"/>
        </w:rPr>
        <w:t>leurs</w:t>
      </w:r>
      <w:r>
        <w:rPr>
          <w:color w:val="231F20"/>
          <w:spacing w:val="-15"/>
          <w:sz w:val="24"/>
        </w:rPr>
        <w:t> </w:t>
      </w:r>
      <w:r>
        <w:rPr>
          <w:color w:val="231F20"/>
          <w:sz w:val="24"/>
        </w:rPr>
        <w:t>» </w:t>
      </w:r>
      <w:r>
        <w:rPr>
          <w:color w:val="231F20"/>
          <w:spacing w:val="-2"/>
          <w:sz w:val="24"/>
        </w:rPr>
        <w:t>républiques</w:t>
      </w:r>
      <w:r>
        <w:rPr>
          <w:color w:val="231F20"/>
          <w:spacing w:val="-10"/>
          <w:sz w:val="24"/>
        </w:rPr>
        <w:t> </w:t>
      </w:r>
      <w:r>
        <w:rPr>
          <w:color w:val="231F20"/>
          <w:spacing w:val="-2"/>
          <w:sz w:val="24"/>
        </w:rPr>
        <w:t>bananières</w:t>
      </w:r>
      <w:r>
        <w:rPr>
          <w:color w:val="231F20"/>
          <w:spacing w:val="-8"/>
          <w:sz w:val="24"/>
        </w:rPr>
        <w:t> </w:t>
      </w:r>
      <w:r>
        <w:rPr>
          <w:color w:val="231F20"/>
          <w:spacing w:val="-2"/>
          <w:sz w:val="24"/>
        </w:rPr>
        <w:t>en</w:t>
      </w:r>
      <w:r>
        <w:rPr>
          <w:color w:val="231F20"/>
          <w:spacing w:val="-10"/>
          <w:sz w:val="24"/>
        </w:rPr>
        <w:t> </w:t>
      </w:r>
      <w:r>
        <w:rPr>
          <w:color w:val="231F20"/>
          <w:spacing w:val="-2"/>
          <w:sz w:val="24"/>
        </w:rPr>
        <w:t>y</w:t>
      </w:r>
      <w:r>
        <w:rPr>
          <w:color w:val="231F20"/>
          <w:spacing w:val="-8"/>
          <w:sz w:val="24"/>
        </w:rPr>
        <w:t> </w:t>
      </w:r>
      <w:r>
        <w:rPr>
          <w:color w:val="231F20"/>
          <w:spacing w:val="-2"/>
          <w:sz w:val="24"/>
        </w:rPr>
        <w:t>cultivant</w:t>
      </w:r>
      <w:r>
        <w:rPr>
          <w:color w:val="231F20"/>
          <w:spacing w:val="-10"/>
          <w:sz w:val="24"/>
        </w:rPr>
        <w:t> </w:t>
      </w:r>
      <w:r>
        <w:rPr>
          <w:color w:val="231F20"/>
          <w:spacing w:val="-2"/>
          <w:sz w:val="24"/>
        </w:rPr>
        <w:t>la</w:t>
      </w:r>
      <w:r>
        <w:rPr>
          <w:color w:val="231F20"/>
          <w:spacing w:val="-8"/>
          <w:sz w:val="24"/>
        </w:rPr>
        <w:t> </w:t>
      </w:r>
      <w:r>
        <w:rPr>
          <w:color w:val="231F20"/>
          <w:spacing w:val="-2"/>
          <w:sz w:val="24"/>
        </w:rPr>
        <w:t>vertu</w:t>
      </w:r>
      <w:r>
        <w:rPr>
          <w:color w:val="231F20"/>
          <w:spacing w:val="-10"/>
          <w:sz w:val="24"/>
        </w:rPr>
        <w:t> </w:t>
      </w:r>
      <w:r>
        <w:rPr>
          <w:color w:val="231F20"/>
          <w:spacing w:val="-2"/>
          <w:sz w:val="24"/>
        </w:rPr>
        <w:t>de</w:t>
      </w:r>
      <w:r>
        <w:rPr>
          <w:color w:val="231F20"/>
          <w:spacing w:val="-8"/>
          <w:sz w:val="24"/>
        </w:rPr>
        <w:t> </w:t>
      </w:r>
      <w:r>
        <w:rPr>
          <w:color w:val="231F20"/>
          <w:spacing w:val="-2"/>
          <w:sz w:val="24"/>
        </w:rPr>
        <w:t>la</w:t>
      </w:r>
      <w:r>
        <w:rPr>
          <w:color w:val="231F20"/>
          <w:spacing w:val="-13"/>
          <w:sz w:val="24"/>
        </w:rPr>
        <w:t> </w:t>
      </w:r>
      <w:r>
        <w:rPr>
          <w:color w:val="231F20"/>
          <w:spacing w:val="-2"/>
          <w:sz w:val="24"/>
        </w:rPr>
        <w:t>solidarité</w:t>
      </w:r>
      <w:r>
        <w:rPr>
          <w:color w:val="231F20"/>
          <w:spacing w:val="-10"/>
          <w:sz w:val="24"/>
        </w:rPr>
        <w:t> </w:t>
      </w:r>
      <w:r>
        <w:rPr>
          <w:color w:val="231F20"/>
          <w:spacing w:val="-2"/>
          <w:sz w:val="24"/>
        </w:rPr>
        <w:t>clanique</w:t>
      </w:r>
      <w:r>
        <w:rPr>
          <w:color w:val="231F20"/>
          <w:spacing w:val="-11"/>
          <w:sz w:val="24"/>
        </w:rPr>
        <w:t> </w:t>
      </w:r>
      <w:r>
        <w:rPr>
          <w:color w:val="231F20"/>
          <w:spacing w:val="-2"/>
          <w:sz w:val="24"/>
        </w:rPr>
        <w:t>:</w:t>
      </w:r>
      <w:r>
        <w:rPr>
          <w:color w:val="231F20"/>
          <w:spacing w:val="-10"/>
          <w:sz w:val="24"/>
        </w:rPr>
        <w:t> </w:t>
      </w:r>
      <w:r>
        <w:rPr>
          <w:i/>
          <w:color w:val="231F20"/>
          <w:spacing w:val="-2"/>
          <w:sz w:val="24"/>
        </w:rPr>
        <w:t>«</w:t>
      </w:r>
      <w:r>
        <w:rPr>
          <w:i/>
          <w:color w:val="231F20"/>
          <w:spacing w:val="-2"/>
          <w:sz w:val="24"/>
        </w:rPr>
        <w:t> </w:t>
      </w:r>
      <w:r>
        <w:rPr>
          <w:i/>
          <w:color w:val="231F20"/>
          <w:sz w:val="24"/>
        </w:rPr>
        <w:t>dans de trop nombreux pays, les besoins les plus élémentaires des </w:t>
      </w:r>
      <w:r>
        <w:rPr>
          <w:i/>
          <w:color w:val="231F20"/>
          <w:spacing w:val="-2"/>
          <w:sz w:val="24"/>
        </w:rPr>
        <w:t>citoyens</w:t>
      </w:r>
      <w:r>
        <w:rPr>
          <w:i/>
          <w:color w:val="231F20"/>
          <w:spacing w:val="-12"/>
          <w:sz w:val="24"/>
        </w:rPr>
        <w:t> </w:t>
      </w:r>
      <w:r>
        <w:rPr>
          <w:i/>
          <w:color w:val="231F20"/>
          <w:spacing w:val="-2"/>
          <w:sz w:val="24"/>
        </w:rPr>
        <w:t>ne</w:t>
      </w:r>
      <w:r>
        <w:rPr>
          <w:i/>
          <w:color w:val="231F20"/>
          <w:spacing w:val="-9"/>
          <w:sz w:val="24"/>
        </w:rPr>
        <w:t> </w:t>
      </w:r>
      <w:r>
        <w:rPr>
          <w:i/>
          <w:color w:val="231F20"/>
          <w:spacing w:val="-2"/>
          <w:sz w:val="24"/>
        </w:rPr>
        <w:t>sont</w:t>
      </w:r>
      <w:r>
        <w:rPr>
          <w:i/>
          <w:color w:val="231F20"/>
          <w:spacing w:val="-12"/>
          <w:sz w:val="24"/>
        </w:rPr>
        <w:t> </w:t>
      </w:r>
      <w:r>
        <w:rPr>
          <w:i/>
          <w:color w:val="231F20"/>
          <w:spacing w:val="-2"/>
          <w:sz w:val="24"/>
        </w:rPr>
        <w:t>pas</w:t>
      </w:r>
      <w:r>
        <w:rPr>
          <w:i/>
          <w:color w:val="231F20"/>
          <w:spacing w:val="-12"/>
          <w:sz w:val="24"/>
        </w:rPr>
        <w:t> </w:t>
      </w:r>
      <w:r>
        <w:rPr>
          <w:i/>
          <w:color w:val="231F20"/>
          <w:spacing w:val="-2"/>
          <w:sz w:val="24"/>
        </w:rPr>
        <w:t>satisfaits</w:t>
      </w:r>
      <w:r>
        <w:rPr>
          <w:i/>
          <w:color w:val="231F20"/>
          <w:spacing w:val="-9"/>
          <w:sz w:val="24"/>
        </w:rPr>
        <w:t> </w:t>
      </w:r>
      <w:r>
        <w:rPr>
          <w:i/>
          <w:color w:val="231F20"/>
          <w:spacing w:val="-2"/>
          <w:sz w:val="24"/>
        </w:rPr>
        <w:t>et</w:t>
      </w:r>
      <w:r>
        <w:rPr>
          <w:i/>
          <w:color w:val="231F20"/>
          <w:spacing w:val="-9"/>
          <w:sz w:val="24"/>
        </w:rPr>
        <w:t> </w:t>
      </w:r>
      <w:r>
        <w:rPr>
          <w:i/>
          <w:color w:val="231F20"/>
          <w:spacing w:val="-2"/>
          <w:sz w:val="24"/>
        </w:rPr>
        <w:t>ces</w:t>
      </w:r>
      <w:r>
        <w:rPr>
          <w:i/>
          <w:color w:val="231F20"/>
          <w:spacing w:val="-12"/>
          <w:sz w:val="24"/>
        </w:rPr>
        <w:t> </w:t>
      </w:r>
      <w:r>
        <w:rPr>
          <w:i/>
          <w:color w:val="231F20"/>
          <w:spacing w:val="-2"/>
          <w:sz w:val="24"/>
        </w:rPr>
        <w:t>derniers</w:t>
      </w:r>
      <w:r>
        <w:rPr>
          <w:i/>
          <w:color w:val="231F20"/>
          <w:spacing w:val="-12"/>
          <w:sz w:val="24"/>
        </w:rPr>
        <w:t> </w:t>
      </w:r>
      <w:r>
        <w:rPr>
          <w:i/>
          <w:color w:val="231F20"/>
          <w:spacing w:val="-2"/>
          <w:sz w:val="24"/>
        </w:rPr>
        <w:t>se</w:t>
      </w:r>
      <w:r>
        <w:rPr>
          <w:i/>
          <w:color w:val="231F20"/>
          <w:spacing w:val="-9"/>
          <w:sz w:val="24"/>
        </w:rPr>
        <w:t> </w:t>
      </w:r>
      <w:r>
        <w:rPr>
          <w:i/>
          <w:color w:val="231F20"/>
          <w:spacing w:val="-2"/>
          <w:sz w:val="24"/>
        </w:rPr>
        <w:t>couchent</w:t>
      </w:r>
      <w:r>
        <w:rPr>
          <w:i/>
          <w:color w:val="231F20"/>
          <w:spacing w:val="-9"/>
          <w:sz w:val="24"/>
        </w:rPr>
        <w:t> </w:t>
      </w:r>
      <w:r>
        <w:rPr>
          <w:i/>
          <w:color w:val="231F20"/>
          <w:spacing w:val="-2"/>
          <w:sz w:val="24"/>
        </w:rPr>
        <w:t>tous</w:t>
      </w:r>
      <w:r>
        <w:rPr>
          <w:i/>
          <w:color w:val="231F20"/>
          <w:spacing w:val="-12"/>
          <w:sz w:val="24"/>
        </w:rPr>
        <w:t> </w:t>
      </w:r>
      <w:r>
        <w:rPr>
          <w:i/>
          <w:color w:val="231F20"/>
          <w:spacing w:val="-2"/>
          <w:sz w:val="24"/>
        </w:rPr>
        <w:t>les</w:t>
      </w:r>
      <w:r>
        <w:rPr>
          <w:i/>
          <w:color w:val="231F20"/>
          <w:spacing w:val="-12"/>
          <w:sz w:val="24"/>
        </w:rPr>
        <w:t> </w:t>
      </w:r>
      <w:r>
        <w:rPr>
          <w:i/>
          <w:color w:val="231F20"/>
          <w:spacing w:val="-2"/>
          <w:sz w:val="24"/>
        </w:rPr>
        <w:t>soirs</w:t>
      </w:r>
      <w:r>
        <w:rPr>
          <w:i/>
          <w:color w:val="231F20"/>
          <w:spacing w:val="-12"/>
          <w:sz w:val="24"/>
        </w:rPr>
        <w:t> </w:t>
      </w:r>
      <w:r>
        <w:rPr>
          <w:i/>
          <w:color w:val="231F20"/>
          <w:spacing w:val="-2"/>
          <w:sz w:val="24"/>
        </w:rPr>
        <w:t>le </w:t>
      </w:r>
      <w:r>
        <w:rPr>
          <w:i/>
          <w:color w:val="231F20"/>
          <w:sz w:val="24"/>
        </w:rPr>
        <w:t>ventre vide à cause de la corruption, alors que les puissants et les corrompus</w:t>
      </w:r>
      <w:r>
        <w:rPr>
          <w:i/>
          <w:color w:val="231F20"/>
          <w:spacing w:val="-13"/>
          <w:sz w:val="24"/>
        </w:rPr>
        <w:t> </w:t>
      </w:r>
      <w:r>
        <w:rPr>
          <w:i/>
          <w:color w:val="231F20"/>
          <w:sz w:val="24"/>
        </w:rPr>
        <w:t>jouissent</w:t>
      </w:r>
      <w:r>
        <w:rPr>
          <w:i/>
          <w:color w:val="231F20"/>
          <w:spacing w:val="-10"/>
          <w:sz w:val="24"/>
        </w:rPr>
        <w:t> </w:t>
      </w:r>
      <w:r>
        <w:rPr>
          <w:i/>
          <w:color w:val="231F20"/>
          <w:sz w:val="24"/>
        </w:rPr>
        <w:t>d’un</w:t>
      </w:r>
      <w:r>
        <w:rPr>
          <w:i/>
          <w:color w:val="231F20"/>
          <w:spacing w:val="-13"/>
          <w:sz w:val="24"/>
        </w:rPr>
        <w:t> </w:t>
      </w:r>
      <w:r>
        <w:rPr>
          <w:i/>
          <w:color w:val="231F20"/>
          <w:sz w:val="24"/>
        </w:rPr>
        <w:t>mode</w:t>
      </w:r>
      <w:r>
        <w:rPr>
          <w:i/>
          <w:color w:val="231F20"/>
          <w:spacing w:val="-10"/>
          <w:sz w:val="24"/>
        </w:rPr>
        <w:t> </w:t>
      </w:r>
      <w:r>
        <w:rPr>
          <w:i/>
          <w:color w:val="231F20"/>
          <w:sz w:val="24"/>
        </w:rPr>
        <w:t>de</w:t>
      </w:r>
      <w:r>
        <w:rPr>
          <w:i/>
          <w:color w:val="231F20"/>
          <w:spacing w:val="-10"/>
          <w:sz w:val="24"/>
        </w:rPr>
        <w:t> </w:t>
      </w:r>
      <w:r>
        <w:rPr>
          <w:i/>
          <w:color w:val="231F20"/>
          <w:sz w:val="24"/>
        </w:rPr>
        <w:t>vie</w:t>
      </w:r>
      <w:r>
        <w:rPr>
          <w:i/>
          <w:color w:val="231F20"/>
          <w:spacing w:val="-13"/>
          <w:sz w:val="24"/>
        </w:rPr>
        <w:t> </w:t>
      </w:r>
      <w:r>
        <w:rPr>
          <w:i/>
          <w:color w:val="231F20"/>
          <w:sz w:val="24"/>
        </w:rPr>
        <w:t>somptueux</w:t>
      </w:r>
      <w:r>
        <w:rPr>
          <w:i/>
          <w:color w:val="231F20"/>
          <w:spacing w:val="-10"/>
          <w:sz w:val="24"/>
        </w:rPr>
        <w:t> </w:t>
      </w:r>
      <w:r>
        <w:rPr>
          <w:i/>
          <w:color w:val="231F20"/>
          <w:sz w:val="24"/>
        </w:rPr>
        <w:t>en</w:t>
      </w:r>
      <w:r>
        <w:rPr>
          <w:i/>
          <w:color w:val="231F20"/>
          <w:spacing w:val="-13"/>
          <w:sz w:val="24"/>
        </w:rPr>
        <w:t> </w:t>
      </w:r>
      <w:r>
        <w:rPr>
          <w:i/>
          <w:color w:val="231F20"/>
          <w:sz w:val="24"/>
        </w:rPr>
        <w:t>toute</w:t>
      </w:r>
      <w:r>
        <w:rPr>
          <w:i/>
          <w:color w:val="231F20"/>
          <w:spacing w:val="-10"/>
          <w:sz w:val="24"/>
        </w:rPr>
        <w:t> </w:t>
      </w:r>
      <w:r>
        <w:rPr>
          <w:i/>
          <w:color w:val="231F20"/>
          <w:sz w:val="24"/>
        </w:rPr>
        <w:t>impunité</w:t>
      </w:r>
      <w:r>
        <w:rPr>
          <w:b/>
          <w:color w:val="76787A"/>
          <w:position w:val="8"/>
          <w:sz w:val="16"/>
        </w:rPr>
        <w:t>265</w:t>
      </w:r>
      <w:r>
        <w:rPr>
          <w:color w:val="231F20"/>
          <w:position w:val="9"/>
          <w:sz w:val="16"/>
        </w:rPr>
        <w:t>.</w:t>
      </w:r>
      <w:r>
        <w:rPr>
          <w:color w:val="231F20"/>
          <w:sz w:val="24"/>
        </w:rPr>
        <w:t>»</w:t>
      </w:r>
    </w:p>
    <w:p>
      <w:pPr>
        <w:pStyle w:val="BodyText"/>
        <w:spacing w:before="119"/>
        <w:ind w:right="105" w:firstLine="283"/>
      </w:pPr>
      <w:r>
        <w:rPr>
          <w:color w:val="231F20"/>
        </w:rPr>
        <w:t>Dès l’aube des indépendances, une nouvelle race de griots fait son apparition en Afrique. Ce sont des clubs de soutien et des musiciens proches</w:t>
      </w:r>
      <w:r>
        <w:rPr>
          <w:color w:val="231F20"/>
          <w:spacing w:val="-15"/>
        </w:rPr>
        <w:t> </w:t>
      </w:r>
      <w:r>
        <w:rPr>
          <w:color w:val="231F20"/>
        </w:rPr>
        <w:t>du</w:t>
      </w:r>
      <w:r>
        <w:rPr>
          <w:color w:val="231F20"/>
          <w:spacing w:val="-15"/>
        </w:rPr>
        <w:t> </w:t>
      </w:r>
      <w:r>
        <w:rPr>
          <w:color w:val="231F20"/>
        </w:rPr>
        <w:t>Chef</w:t>
      </w:r>
      <w:r>
        <w:rPr>
          <w:color w:val="231F20"/>
          <w:spacing w:val="-15"/>
        </w:rPr>
        <w:t> </w:t>
      </w:r>
      <w:r>
        <w:rPr>
          <w:color w:val="231F20"/>
        </w:rPr>
        <w:t>de</w:t>
      </w:r>
      <w:r>
        <w:rPr>
          <w:color w:val="231F20"/>
          <w:spacing w:val="-15"/>
        </w:rPr>
        <w:t> </w:t>
      </w:r>
      <w:r>
        <w:rPr>
          <w:color w:val="231F20"/>
        </w:rPr>
        <w:t>l’État.</w:t>
      </w:r>
      <w:r>
        <w:rPr>
          <w:color w:val="231F20"/>
          <w:spacing w:val="-15"/>
        </w:rPr>
        <w:t> </w:t>
      </w:r>
      <w:r>
        <w:rPr>
          <w:color w:val="231F20"/>
        </w:rPr>
        <w:t>Les</w:t>
      </w:r>
      <w:r>
        <w:rPr>
          <w:color w:val="231F20"/>
          <w:spacing w:val="-15"/>
        </w:rPr>
        <w:t> </w:t>
      </w:r>
      <w:r>
        <w:rPr>
          <w:color w:val="231F20"/>
        </w:rPr>
        <w:t>qualités</w:t>
      </w:r>
      <w:r>
        <w:rPr>
          <w:color w:val="231F20"/>
          <w:spacing w:val="-15"/>
        </w:rPr>
        <w:t> </w:t>
      </w:r>
      <w:r>
        <w:rPr>
          <w:color w:val="231F20"/>
        </w:rPr>
        <w:t>que</w:t>
      </w:r>
      <w:r>
        <w:rPr>
          <w:color w:val="231F20"/>
          <w:spacing w:val="-15"/>
        </w:rPr>
        <w:t> </w:t>
      </w:r>
      <w:r>
        <w:rPr>
          <w:color w:val="231F20"/>
        </w:rPr>
        <w:t>le</w:t>
      </w:r>
      <w:r>
        <w:rPr>
          <w:color w:val="231F20"/>
          <w:spacing w:val="-15"/>
        </w:rPr>
        <w:t> </w:t>
      </w:r>
      <w:r>
        <w:rPr>
          <w:color w:val="231F20"/>
        </w:rPr>
        <w:t>clientélisme</w:t>
      </w:r>
      <w:r>
        <w:rPr>
          <w:color w:val="231F20"/>
          <w:spacing w:val="-15"/>
        </w:rPr>
        <w:t> </w:t>
      </w:r>
      <w:r>
        <w:rPr>
          <w:color w:val="231F20"/>
        </w:rPr>
        <w:t>des</w:t>
      </w:r>
      <w:r>
        <w:rPr>
          <w:color w:val="231F20"/>
          <w:spacing w:val="-15"/>
        </w:rPr>
        <w:t> </w:t>
      </w:r>
      <w:r>
        <w:rPr>
          <w:color w:val="231F20"/>
        </w:rPr>
        <w:t>uns</w:t>
      </w:r>
      <w:r>
        <w:rPr>
          <w:color w:val="231F20"/>
          <w:spacing w:val="-15"/>
        </w:rPr>
        <w:t> </w:t>
      </w:r>
      <w:r>
        <w:rPr>
          <w:color w:val="231F20"/>
        </w:rPr>
        <w:t>et</w:t>
      </w:r>
      <w:r>
        <w:rPr>
          <w:color w:val="231F20"/>
          <w:spacing w:val="-15"/>
        </w:rPr>
        <w:t> </w:t>
      </w:r>
      <w:r>
        <w:rPr>
          <w:color w:val="231F20"/>
        </w:rPr>
        <w:t>des autres lui attribuent sont exagérément mises en exergue et reprises par d’autres</w:t>
      </w:r>
      <w:r>
        <w:rPr>
          <w:color w:val="231F20"/>
          <w:spacing w:val="-15"/>
        </w:rPr>
        <w:t> </w:t>
      </w:r>
      <w:r>
        <w:rPr>
          <w:color w:val="231F20"/>
        </w:rPr>
        <w:t>laudateurs</w:t>
      </w:r>
      <w:r>
        <w:rPr>
          <w:color w:val="231F20"/>
          <w:spacing w:val="-15"/>
        </w:rPr>
        <w:t> </w:t>
      </w:r>
      <w:r>
        <w:rPr>
          <w:color w:val="231F20"/>
        </w:rPr>
        <w:t>et</w:t>
      </w:r>
      <w:r>
        <w:rPr>
          <w:color w:val="231F20"/>
          <w:spacing w:val="-15"/>
        </w:rPr>
        <w:t> </w:t>
      </w:r>
      <w:r>
        <w:rPr>
          <w:color w:val="231F20"/>
        </w:rPr>
        <w:t>le</w:t>
      </w:r>
      <w:r>
        <w:rPr>
          <w:color w:val="231F20"/>
          <w:spacing w:val="-15"/>
        </w:rPr>
        <w:t> </w:t>
      </w:r>
      <w:r>
        <w:rPr>
          <w:color w:val="231F20"/>
        </w:rPr>
        <w:t>«</w:t>
      </w:r>
      <w:r>
        <w:rPr>
          <w:color w:val="231F20"/>
          <w:spacing w:val="-15"/>
        </w:rPr>
        <w:t> </w:t>
      </w:r>
      <w:r>
        <w:rPr>
          <w:color w:val="231F20"/>
        </w:rPr>
        <w:t>peuple-sujet</w:t>
      </w:r>
      <w:r>
        <w:rPr>
          <w:color w:val="231F20"/>
          <w:spacing w:val="-15"/>
        </w:rPr>
        <w:t> </w:t>
      </w:r>
      <w:r>
        <w:rPr>
          <w:color w:val="231F20"/>
        </w:rPr>
        <w:t>».</w:t>
      </w:r>
      <w:r>
        <w:rPr>
          <w:color w:val="231F20"/>
          <w:spacing w:val="-15"/>
        </w:rPr>
        <w:t> </w:t>
      </w:r>
      <w:r>
        <w:rPr>
          <w:color w:val="231F20"/>
        </w:rPr>
        <w:t>Ils</w:t>
      </w:r>
      <w:r>
        <w:rPr>
          <w:color w:val="231F20"/>
          <w:spacing w:val="-15"/>
        </w:rPr>
        <w:t> </w:t>
      </w:r>
      <w:r>
        <w:rPr>
          <w:color w:val="231F20"/>
        </w:rPr>
        <w:t>attribuent</w:t>
      </w:r>
      <w:r>
        <w:rPr>
          <w:color w:val="231F20"/>
          <w:spacing w:val="-15"/>
        </w:rPr>
        <w:t> </w:t>
      </w:r>
      <w:r>
        <w:rPr>
          <w:color w:val="231F20"/>
        </w:rPr>
        <w:t>au</w:t>
      </w:r>
      <w:r>
        <w:rPr>
          <w:color w:val="231F20"/>
          <w:spacing w:val="-15"/>
        </w:rPr>
        <w:t> </w:t>
      </w:r>
      <w:r>
        <w:rPr>
          <w:color w:val="231F20"/>
        </w:rPr>
        <w:t>Chef</w:t>
      </w:r>
      <w:r>
        <w:rPr>
          <w:color w:val="231F20"/>
          <w:spacing w:val="-15"/>
        </w:rPr>
        <w:t> </w:t>
      </w:r>
      <w:r>
        <w:rPr>
          <w:color w:val="231F20"/>
        </w:rPr>
        <w:t>de</w:t>
      </w:r>
      <w:r>
        <w:rPr>
          <w:color w:val="231F20"/>
          <w:spacing w:val="-15"/>
        </w:rPr>
        <w:t> </w:t>
      </w:r>
      <w:r>
        <w:rPr>
          <w:color w:val="231F20"/>
        </w:rPr>
        <w:t>l’État, </w:t>
      </w:r>
      <w:r>
        <w:rPr>
          <w:color w:val="231F20"/>
          <w:spacing w:val="-4"/>
        </w:rPr>
        <w:t>des</w:t>
      </w:r>
      <w:r>
        <w:rPr>
          <w:color w:val="231F20"/>
          <w:spacing w:val="-10"/>
        </w:rPr>
        <w:t> </w:t>
      </w:r>
      <w:r>
        <w:rPr>
          <w:color w:val="231F20"/>
          <w:spacing w:val="-4"/>
        </w:rPr>
        <w:t>pseudo</w:t>
      </w:r>
      <w:r>
        <w:rPr>
          <w:color w:val="231F20"/>
          <w:spacing w:val="-10"/>
        </w:rPr>
        <w:t> </w:t>
      </w:r>
      <w:r>
        <w:rPr>
          <w:color w:val="231F20"/>
          <w:spacing w:val="-4"/>
        </w:rPr>
        <w:t>vertus</w:t>
      </w:r>
      <w:r>
        <w:rPr>
          <w:color w:val="231F20"/>
          <w:spacing w:val="-13"/>
        </w:rPr>
        <w:t> </w:t>
      </w:r>
      <w:r>
        <w:rPr>
          <w:color w:val="231F20"/>
          <w:spacing w:val="-4"/>
        </w:rPr>
        <w:t>à</w:t>
      </w:r>
      <w:r>
        <w:rPr>
          <w:color w:val="231F20"/>
          <w:spacing w:val="-11"/>
        </w:rPr>
        <w:t> </w:t>
      </w:r>
      <w:r>
        <w:rPr>
          <w:color w:val="231F20"/>
          <w:spacing w:val="-4"/>
        </w:rPr>
        <w:t>l’aide</w:t>
      </w:r>
      <w:r>
        <w:rPr>
          <w:color w:val="231F20"/>
          <w:spacing w:val="-13"/>
        </w:rPr>
        <w:t> </w:t>
      </w:r>
      <w:r>
        <w:rPr>
          <w:color w:val="231F20"/>
          <w:spacing w:val="-4"/>
        </w:rPr>
        <w:t>de</w:t>
      </w:r>
      <w:r>
        <w:rPr>
          <w:color w:val="231F20"/>
          <w:spacing w:val="-9"/>
        </w:rPr>
        <w:t> </w:t>
      </w:r>
      <w:r>
        <w:rPr>
          <w:color w:val="231F20"/>
          <w:spacing w:val="-4"/>
        </w:rPr>
        <w:t>surnoms</w:t>
      </w:r>
      <w:r>
        <w:rPr>
          <w:color w:val="231F20"/>
          <w:spacing w:val="-13"/>
        </w:rPr>
        <w:t> </w:t>
      </w:r>
      <w:r>
        <w:rPr>
          <w:color w:val="231F20"/>
          <w:spacing w:val="-4"/>
        </w:rPr>
        <w:t>symboliques</w:t>
      </w:r>
      <w:r>
        <w:rPr>
          <w:color w:val="231F20"/>
          <w:spacing w:val="-10"/>
        </w:rPr>
        <w:t> </w:t>
      </w:r>
      <w:r>
        <w:rPr>
          <w:color w:val="231F20"/>
          <w:spacing w:val="-4"/>
        </w:rPr>
        <w:t>:</w:t>
      </w:r>
      <w:r>
        <w:rPr>
          <w:color w:val="231F20"/>
          <w:spacing w:val="-15"/>
        </w:rPr>
        <w:t> </w:t>
      </w:r>
      <w:r>
        <w:rPr>
          <w:color w:val="231F20"/>
          <w:spacing w:val="-4"/>
        </w:rPr>
        <w:t>"rédempteur",</w:t>
      </w:r>
      <w:r>
        <w:rPr>
          <w:color w:val="231F20"/>
          <w:spacing w:val="-13"/>
        </w:rPr>
        <w:t> </w:t>
      </w:r>
      <w:r>
        <w:rPr>
          <w:color w:val="231F20"/>
          <w:spacing w:val="-4"/>
        </w:rPr>
        <w:t>"guide</w:t>
      </w:r>
    </w:p>
    <w:p>
      <w:pPr>
        <w:pStyle w:val="BodyText"/>
        <w:spacing w:before="21"/>
        <w:ind w:left="0"/>
        <w:jc w:val="left"/>
        <w:rPr>
          <w:sz w:val="20"/>
        </w:rPr>
      </w:pPr>
      <w:r>
        <w:rPr/>
        <mc:AlternateContent>
          <mc:Choice Requires="wps">
            <w:drawing>
              <wp:anchor distT="0" distB="0" distL="0" distR="0" allowOverlap="1" layoutInCell="1" locked="0" behindDoc="1" simplePos="0" relativeHeight="487669248">
                <wp:simplePos x="0" y="0"/>
                <wp:positionH relativeFrom="page">
                  <wp:posOffset>629907</wp:posOffset>
                </wp:positionH>
                <wp:positionV relativeFrom="paragraph">
                  <wp:posOffset>175005</wp:posOffset>
                </wp:positionV>
                <wp:extent cx="1829435" cy="9525"/>
                <wp:effectExtent l="0" t="0" r="0" b="0"/>
                <wp:wrapTopAndBottom/>
                <wp:docPr id="193" name="Graphic 193"/>
                <wp:cNvGraphicFramePr>
                  <a:graphicFrameLocks/>
                </wp:cNvGraphicFramePr>
                <a:graphic>
                  <a:graphicData uri="http://schemas.microsoft.com/office/word/2010/wordprocessingShape">
                    <wps:wsp>
                      <wps:cNvPr id="193" name="Graphic 19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779961pt;width:144.020pt;height:.72pt;mso-position-horizontal-relative:page;mso-position-vertical-relative:paragraph;z-index:-15647232;mso-wrap-distance-left:0;mso-wrap-distance-right:0" id="docshape191"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265</w:t>
      </w:r>
      <w:r>
        <w:rPr>
          <w:color w:val="76787A"/>
          <w:spacing w:val="2"/>
          <w:sz w:val="20"/>
          <w:vertAlign w:val="baseline"/>
        </w:rPr>
        <w:t> </w:t>
      </w:r>
      <w:r>
        <w:rPr>
          <w:color w:val="231F20"/>
          <w:spacing w:val="-4"/>
          <w:sz w:val="20"/>
          <w:vertAlign w:val="baseline"/>
        </w:rPr>
        <w:t>José</w:t>
      </w:r>
      <w:r>
        <w:rPr>
          <w:color w:val="231F20"/>
          <w:spacing w:val="1"/>
          <w:sz w:val="20"/>
          <w:vertAlign w:val="baseline"/>
        </w:rPr>
        <w:t> </w:t>
      </w:r>
      <w:r>
        <w:rPr>
          <w:color w:val="231F20"/>
          <w:spacing w:val="-4"/>
          <w:sz w:val="20"/>
          <w:vertAlign w:val="baseline"/>
        </w:rPr>
        <w:t>Ugaz,</w:t>
      </w:r>
      <w:r>
        <w:rPr>
          <w:color w:val="231F20"/>
          <w:spacing w:val="-2"/>
          <w:sz w:val="20"/>
          <w:vertAlign w:val="baseline"/>
        </w:rPr>
        <w:t> </w:t>
      </w:r>
      <w:r>
        <w:rPr>
          <w:color w:val="231F20"/>
          <w:spacing w:val="-4"/>
          <w:sz w:val="20"/>
          <w:vertAlign w:val="baseline"/>
        </w:rPr>
        <w:t>président</w:t>
      </w:r>
      <w:r>
        <w:rPr>
          <w:color w:val="231F20"/>
          <w:spacing w:val="-3"/>
          <w:sz w:val="20"/>
          <w:vertAlign w:val="baseline"/>
        </w:rPr>
        <w:t> </w:t>
      </w:r>
      <w:r>
        <w:rPr>
          <w:color w:val="231F20"/>
          <w:spacing w:val="-4"/>
          <w:sz w:val="20"/>
          <w:vertAlign w:val="baseline"/>
        </w:rPr>
        <w:t>de</w:t>
      </w:r>
      <w:r>
        <w:rPr>
          <w:color w:val="231F20"/>
          <w:spacing w:val="-3"/>
          <w:sz w:val="20"/>
          <w:vertAlign w:val="baseline"/>
        </w:rPr>
        <w:t> </w:t>
      </w:r>
      <w:r>
        <w:rPr>
          <w:color w:val="231F20"/>
          <w:spacing w:val="-4"/>
          <w:sz w:val="20"/>
          <w:vertAlign w:val="baseline"/>
        </w:rPr>
        <w:t>Transparency</w:t>
      </w:r>
      <w:r>
        <w:rPr>
          <w:color w:val="231F20"/>
          <w:spacing w:val="-2"/>
          <w:sz w:val="20"/>
          <w:vertAlign w:val="baseline"/>
        </w:rPr>
        <w:t> </w:t>
      </w:r>
      <w:r>
        <w:rPr>
          <w:color w:val="231F20"/>
          <w:spacing w:val="-4"/>
          <w:sz w:val="20"/>
          <w:vertAlign w:val="baseline"/>
        </w:rPr>
        <w:t>International.</w:t>
      </w:r>
    </w:p>
    <w:p>
      <w:pPr>
        <w:spacing w:after="0"/>
        <w:jc w:val="left"/>
        <w:rPr>
          <w:sz w:val="20"/>
        </w:rPr>
        <w:sectPr>
          <w:pgSz w:w="8790" w:h="13610"/>
          <w:pgMar w:header="0" w:footer="802" w:top="1040" w:bottom="1000" w:left="880" w:right="880"/>
        </w:sectPr>
      </w:pPr>
    </w:p>
    <w:p>
      <w:pPr>
        <w:pStyle w:val="BodyText"/>
        <w:spacing w:before="66"/>
        <w:ind w:right="104"/>
      </w:pPr>
      <w:r>
        <w:rPr>
          <w:color w:val="231F20"/>
          <w:spacing w:val="-2"/>
        </w:rPr>
        <w:t>pacificateur",</w:t>
      </w:r>
      <w:r>
        <w:rPr>
          <w:color w:val="231F20"/>
          <w:spacing w:val="-11"/>
        </w:rPr>
        <w:t> </w:t>
      </w:r>
      <w:r>
        <w:rPr>
          <w:color w:val="231F20"/>
          <w:spacing w:val="-2"/>
        </w:rPr>
        <w:t>"guide</w:t>
      </w:r>
      <w:r>
        <w:rPr>
          <w:color w:val="231F20"/>
          <w:spacing w:val="-11"/>
        </w:rPr>
        <w:t> </w:t>
      </w:r>
      <w:r>
        <w:rPr>
          <w:color w:val="231F20"/>
          <w:spacing w:val="-2"/>
        </w:rPr>
        <w:t>éclairé",</w:t>
      </w:r>
      <w:r>
        <w:rPr>
          <w:color w:val="231F20"/>
          <w:spacing w:val="-12"/>
        </w:rPr>
        <w:t> </w:t>
      </w:r>
      <w:r>
        <w:rPr>
          <w:color w:val="231F20"/>
          <w:spacing w:val="-2"/>
        </w:rPr>
        <w:t>"guide</w:t>
      </w:r>
      <w:r>
        <w:rPr>
          <w:color w:val="231F20"/>
          <w:spacing w:val="-11"/>
        </w:rPr>
        <w:t> </w:t>
      </w:r>
      <w:r>
        <w:rPr>
          <w:color w:val="231F20"/>
          <w:spacing w:val="-2"/>
        </w:rPr>
        <w:t>clairvoyant",</w:t>
      </w:r>
      <w:r>
        <w:rPr>
          <w:color w:val="231F20"/>
          <w:spacing w:val="-13"/>
        </w:rPr>
        <w:t> </w:t>
      </w:r>
      <w:r>
        <w:rPr>
          <w:color w:val="231F20"/>
          <w:spacing w:val="-2"/>
        </w:rPr>
        <w:t>"bâtisseur",</w:t>
      </w:r>
      <w:r>
        <w:rPr>
          <w:color w:val="231F20"/>
          <w:spacing w:val="-12"/>
        </w:rPr>
        <w:t> </w:t>
      </w:r>
      <w:r>
        <w:rPr>
          <w:color w:val="231F20"/>
          <w:spacing w:val="-2"/>
        </w:rPr>
        <w:t>le</w:t>
      </w:r>
      <w:r>
        <w:rPr>
          <w:color w:val="231F20"/>
          <w:spacing w:val="-12"/>
        </w:rPr>
        <w:t> </w:t>
      </w:r>
      <w:r>
        <w:rPr>
          <w:color w:val="231F20"/>
          <w:spacing w:val="-2"/>
        </w:rPr>
        <w:t>"bélier, défenseur</w:t>
      </w:r>
      <w:r>
        <w:rPr>
          <w:color w:val="231F20"/>
          <w:spacing w:val="-15"/>
        </w:rPr>
        <w:t> </w:t>
      </w:r>
      <w:r>
        <w:rPr>
          <w:color w:val="231F20"/>
          <w:spacing w:val="-2"/>
        </w:rPr>
        <w:t>du</w:t>
      </w:r>
      <w:r>
        <w:rPr>
          <w:color w:val="231F20"/>
          <w:spacing w:val="-13"/>
        </w:rPr>
        <w:t> </w:t>
      </w:r>
      <w:r>
        <w:rPr>
          <w:color w:val="231F20"/>
          <w:spacing w:val="-2"/>
        </w:rPr>
        <w:t>peuple",</w:t>
      </w:r>
      <w:r>
        <w:rPr>
          <w:color w:val="231F20"/>
          <w:spacing w:val="-13"/>
        </w:rPr>
        <w:t> </w:t>
      </w:r>
      <w:r>
        <w:rPr>
          <w:color w:val="231F20"/>
          <w:spacing w:val="-2"/>
        </w:rPr>
        <w:t>le</w:t>
      </w:r>
      <w:r>
        <w:rPr>
          <w:color w:val="231F20"/>
          <w:spacing w:val="-13"/>
        </w:rPr>
        <w:t> </w:t>
      </w:r>
      <w:r>
        <w:rPr>
          <w:color w:val="231F20"/>
          <w:spacing w:val="-2"/>
        </w:rPr>
        <w:t>"sage",</w:t>
      </w:r>
      <w:r>
        <w:rPr>
          <w:color w:val="231F20"/>
          <w:spacing w:val="-13"/>
        </w:rPr>
        <w:t> </w:t>
      </w:r>
      <w:r>
        <w:rPr>
          <w:color w:val="231F20"/>
          <w:spacing w:val="-2"/>
        </w:rPr>
        <w:t>le</w:t>
      </w:r>
      <w:r>
        <w:rPr>
          <w:color w:val="231F20"/>
          <w:spacing w:val="-13"/>
        </w:rPr>
        <w:t> </w:t>
      </w:r>
      <w:r>
        <w:rPr>
          <w:color w:val="231F20"/>
          <w:spacing w:val="-2"/>
        </w:rPr>
        <w:t>"combattant</w:t>
      </w:r>
      <w:r>
        <w:rPr>
          <w:color w:val="231F20"/>
          <w:spacing w:val="-13"/>
        </w:rPr>
        <w:t> </w:t>
      </w:r>
      <w:r>
        <w:rPr>
          <w:color w:val="231F20"/>
          <w:spacing w:val="-2"/>
        </w:rPr>
        <w:t>suprême</w:t>
      </w:r>
      <w:r>
        <w:rPr>
          <w:color w:val="231F20"/>
          <w:spacing w:val="-13"/>
        </w:rPr>
        <w:t> </w:t>
      </w:r>
      <w:r>
        <w:rPr>
          <w:color w:val="231F20"/>
          <w:spacing w:val="-2"/>
        </w:rPr>
        <w:t>de</w:t>
      </w:r>
      <w:r>
        <w:rPr>
          <w:color w:val="231F20"/>
          <w:spacing w:val="-13"/>
        </w:rPr>
        <w:t> </w:t>
      </w:r>
      <w:r>
        <w:rPr>
          <w:color w:val="231F20"/>
          <w:spacing w:val="-2"/>
        </w:rPr>
        <w:t>la</w:t>
      </w:r>
      <w:r>
        <w:rPr>
          <w:color w:val="231F20"/>
          <w:spacing w:val="-13"/>
        </w:rPr>
        <w:t> </w:t>
      </w:r>
      <w:r>
        <w:rPr>
          <w:color w:val="231F20"/>
          <w:spacing w:val="-2"/>
        </w:rPr>
        <w:t>révolution" </w:t>
      </w:r>
      <w:r>
        <w:rPr>
          <w:color w:val="231F20"/>
        </w:rPr>
        <w:t>ou encore le "grand stratège", le "magicien invincible"… cette </w:t>
      </w:r>
      <w:r>
        <w:rPr>
          <w:color w:val="231F20"/>
          <w:spacing w:val="-2"/>
        </w:rPr>
        <w:t>propagande</w:t>
      </w:r>
      <w:r>
        <w:rPr>
          <w:color w:val="231F20"/>
          <w:spacing w:val="-5"/>
        </w:rPr>
        <w:t> </w:t>
      </w:r>
      <w:r>
        <w:rPr>
          <w:color w:val="231F20"/>
          <w:spacing w:val="-2"/>
        </w:rPr>
        <w:t>aboutit</w:t>
      </w:r>
      <w:r>
        <w:rPr>
          <w:color w:val="231F20"/>
          <w:spacing w:val="-5"/>
        </w:rPr>
        <w:t> </w:t>
      </w:r>
      <w:r>
        <w:rPr>
          <w:color w:val="231F20"/>
          <w:spacing w:val="-2"/>
        </w:rPr>
        <w:t>à</w:t>
      </w:r>
      <w:r>
        <w:rPr>
          <w:color w:val="231F20"/>
          <w:spacing w:val="-5"/>
        </w:rPr>
        <w:t> </w:t>
      </w:r>
      <w:r>
        <w:rPr>
          <w:color w:val="231F20"/>
          <w:spacing w:val="-2"/>
        </w:rPr>
        <w:t>l'instauration</w:t>
      </w:r>
      <w:r>
        <w:rPr>
          <w:color w:val="231F20"/>
          <w:spacing w:val="-6"/>
        </w:rPr>
        <w:t> </w:t>
      </w:r>
      <w:r>
        <w:rPr>
          <w:color w:val="231F20"/>
          <w:spacing w:val="-2"/>
        </w:rPr>
        <w:t>d'un</w:t>
      </w:r>
      <w:r>
        <w:rPr>
          <w:color w:val="231F20"/>
          <w:spacing w:val="-6"/>
        </w:rPr>
        <w:t> </w:t>
      </w:r>
      <w:r>
        <w:rPr>
          <w:color w:val="231F20"/>
          <w:spacing w:val="-2"/>
        </w:rPr>
        <w:t>véritable</w:t>
      </w:r>
      <w:r>
        <w:rPr>
          <w:color w:val="231F20"/>
          <w:spacing w:val="-6"/>
        </w:rPr>
        <w:t> </w:t>
      </w:r>
      <w:r>
        <w:rPr>
          <w:color w:val="231F20"/>
          <w:spacing w:val="-2"/>
        </w:rPr>
        <w:t>culte</w:t>
      </w:r>
      <w:r>
        <w:rPr>
          <w:color w:val="231F20"/>
          <w:spacing w:val="-6"/>
        </w:rPr>
        <w:t> </w:t>
      </w:r>
      <w:r>
        <w:rPr>
          <w:color w:val="231F20"/>
          <w:spacing w:val="-2"/>
        </w:rPr>
        <w:t>de</w:t>
      </w:r>
      <w:r>
        <w:rPr>
          <w:color w:val="231F20"/>
          <w:spacing w:val="-6"/>
        </w:rPr>
        <w:t> </w:t>
      </w:r>
      <w:r>
        <w:rPr>
          <w:color w:val="231F20"/>
          <w:spacing w:val="-2"/>
        </w:rPr>
        <w:t>la</w:t>
      </w:r>
      <w:r>
        <w:rPr>
          <w:color w:val="231F20"/>
          <w:spacing w:val="-7"/>
        </w:rPr>
        <w:t> </w:t>
      </w:r>
      <w:r>
        <w:rPr>
          <w:color w:val="231F20"/>
          <w:spacing w:val="-2"/>
        </w:rPr>
        <w:t>personnalité </w:t>
      </w:r>
      <w:r>
        <w:rPr>
          <w:color w:val="231F20"/>
          <w:spacing w:val="-4"/>
        </w:rPr>
        <w:t>et</w:t>
      </w:r>
      <w:r>
        <w:rPr>
          <w:color w:val="231F20"/>
          <w:spacing w:val="-6"/>
        </w:rPr>
        <w:t> </w:t>
      </w:r>
      <w:r>
        <w:rPr>
          <w:color w:val="231F20"/>
          <w:spacing w:val="-4"/>
        </w:rPr>
        <w:t>à</w:t>
      </w:r>
      <w:r>
        <w:rPr>
          <w:color w:val="231F20"/>
          <w:spacing w:val="-6"/>
        </w:rPr>
        <w:t> </w:t>
      </w:r>
      <w:r>
        <w:rPr>
          <w:color w:val="231F20"/>
          <w:spacing w:val="-4"/>
        </w:rPr>
        <w:t>la</w:t>
      </w:r>
      <w:r>
        <w:rPr>
          <w:color w:val="231F20"/>
          <w:spacing w:val="-6"/>
        </w:rPr>
        <w:t> </w:t>
      </w:r>
      <w:r>
        <w:rPr>
          <w:color w:val="231F20"/>
          <w:spacing w:val="-4"/>
        </w:rPr>
        <w:t>personnalisation</w:t>
      </w:r>
      <w:r>
        <w:rPr>
          <w:color w:val="231F20"/>
          <w:spacing w:val="-8"/>
        </w:rPr>
        <w:t> </w:t>
      </w:r>
      <w:r>
        <w:rPr>
          <w:color w:val="231F20"/>
          <w:spacing w:val="-4"/>
        </w:rPr>
        <w:t>du</w:t>
      </w:r>
      <w:r>
        <w:rPr>
          <w:color w:val="231F20"/>
          <w:spacing w:val="-8"/>
        </w:rPr>
        <w:t> </w:t>
      </w:r>
      <w:r>
        <w:rPr>
          <w:color w:val="231F20"/>
          <w:spacing w:val="-4"/>
        </w:rPr>
        <w:t>pouvoir</w:t>
      </w:r>
      <w:r>
        <w:rPr>
          <w:color w:val="231F20"/>
        </w:rPr>
        <w:t> </w:t>
      </w:r>
      <w:r>
        <w:rPr>
          <w:color w:val="231F20"/>
          <w:spacing w:val="-4"/>
        </w:rPr>
        <w:t>:</w:t>
      </w:r>
      <w:r>
        <w:rPr>
          <w:color w:val="231F20"/>
          <w:spacing w:val="-8"/>
        </w:rPr>
        <w:t> </w:t>
      </w:r>
      <w:r>
        <w:rPr>
          <w:color w:val="231F20"/>
          <w:spacing w:val="-4"/>
        </w:rPr>
        <w:t>Centrale</w:t>
      </w:r>
      <w:r>
        <w:rPr>
          <w:color w:val="231F20"/>
          <w:spacing w:val="-6"/>
        </w:rPr>
        <w:t> </w:t>
      </w:r>
      <w:r>
        <w:rPr>
          <w:color w:val="231F20"/>
          <w:spacing w:val="-4"/>
        </w:rPr>
        <w:t>syndicale</w:t>
      </w:r>
      <w:r>
        <w:rPr>
          <w:color w:val="231F20"/>
          <w:spacing w:val="-6"/>
        </w:rPr>
        <w:t> </w:t>
      </w:r>
      <w:r>
        <w:rPr>
          <w:color w:val="231F20"/>
          <w:spacing w:val="-4"/>
        </w:rPr>
        <w:t>unique,</w:t>
      </w:r>
      <w:r>
        <w:rPr>
          <w:color w:val="231F20"/>
          <w:spacing w:val="-9"/>
        </w:rPr>
        <w:t> </w:t>
      </w:r>
      <w:r>
        <w:rPr>
          <w:color w:val="231F20"/>
          <w:spacing w:val="-4"/>
        </w:rPr>
        <w:t>Parlement </w:t>
      </w:r>
      <w:r>
        <w:rPr>
          <w:color w:val="231F20"/>
          <w:spacing w:val="-2"/>
        </w:rPr>
        <w:t>relégué</w:t>
      </w:r>
      <w:r>
        <w:rPr>
          <w:color w:val="231F20"/>
          <w:spacing w:val="-15"/>
        </w:rPr>
        <w:t> </w:t>
      </w:r>
      <w:r>
        <w:rPr>
          <w:color w:val="231F20"/>
          <w:spacing w:val="-2"/>
        </w:rPr>
        <w:t>au</w:t>
      </w:r>
      <w:r>
        <w:rPr>
          <w:color w:val="231F20"/>
          <w:spacing w:val="-13"/>
        </w:rPr>
        <w:t> </w:t>
      </w:r>
      <w:r>
        <w:rPr>
          <w:color w:val="231F20"/>
          <w:spacing w:val="-2"/>
        </w:rPr>
        <w:t>rôle</w:t>
      </w:r>
      <w:r>
        <w:rPr>
          <w:color w:val="231F20"/>
          <w:spacing w:val="-13"/>
        </w:rPr>
        <w:t> </w:t>
      </w:r>
      <w:r>
        <w:rPr>
          <w:color w:val="231F20"/>
          <w:spacing w:val="-2"/>
        </w:rPr>
        <w:t>de</w:t>
      </w:r>
      <w:r>
        <w:rPr>
          <w:color w:val="231F20"/>
          <w:spacing w:val="-13"/>
        </w:rPr>
        <w:t> </w:t>
      </w:r>
      <w:r>
        <w:rPr>
          <w:color w:val="231F20"/>
          <w:spacing w:val="-2"/>
        </w:rPr>
        <w:t>caisse</w:t>
      </w:r>
      <w:r>
        <w:rPr>
          <w:color w:val="231F20"/>
          <w:spacing w:val="-13"/>
        </w:rPr>
        <w:t> </w:t>
      </w:r>
      <w:r>
        <w:rPr>
          <w:color w:val="231F20"/>
          <w:spacing w:val="-2"/>
        </w:rPr>
        <w:t>d’enregistrement,</w:t>
      </w:r>
      <w:r>
        <w:rPr>
          <w:color w:val="231F20"/>
          <w:spacing w:val="-13"/>
        </w:rPr>
        <w:t> </w:t>
      </w:r>
      <w:r>
        <w:rPr>
          <w:color w:val="231F20"/>
          <w:spacing w:val="-2"/>
        </w:rPr>
        <w:t>Justice</w:t>
      </w:r>
      <w:r>
        <w:rPr>
          <w:color w:val="231F20"/>
          <w:spacing w:val="-13"/>
        </w:rPr>
        <w:t> </w:t>
      </w:r>
      <w:r>
        <w:rPr>
          <w:color w:val="231F20"/>
          <w:spacing w:val="-2"/>
        </w:rPr>
        <w:t>et</w:t>
      </w:r>
      <w:r>
        <w:rPr>
          <w:color w:val="231F20"/>
          <w:spacing w:val="-13"/>
        </w:rPr>
        <w:t> </w:t>
      </w:r>
      <w:r>
        <w:rPr>
          <w:color w:val="231F20"/>
          <w:spacing w:val="-2"/>
        </w:rPr>
        <w:t>Presse</w:t>
      </w:r>
      <w:r>
        <w:rPr>
          <w:color w:val="231F20"/>
          <w:spacing w:val="-13"/>
        </w:rPr>
        <w:t> </w:t>
      </w:r>
      <w:r>
        <w:rPr>
          <w:color w:val="231F20"/>
          <w:spacing w:val="-2"/>
        </w:rPr>
        <w:t>aux</w:t>
      </w:r>
      <w:r>
        <w:rPr>
          <w:color w:val="231F20"/>
          <w:spacing w:val="-13"/>
        </w:rPr>
        <w:t> </w:t>
      </w:r>
      <w:r>
        <w:rPr>
          <w:color w:val="231F20"/>
          <w:spacing w:val="-2"/>
        </w:rPr>
        <w:t>ordres</w:t>
      </w:r>
      <w:r>
        <w:rPr>
          <w:color w:val="231F20"/>
          <w:spacing w:val="-13"/>
        </w:rPr>
        <w:t> </w:t>
      </w:r>
      <w:r>
        <w:rPr>
          <w:color w:val="231F20"/>
          <w:spacing w:val="-2"/>
        </w:rPr>
        <w:t>de </w:t>
      </w:r>
      <w:r>
        <w:rPr>
          <w:color w:val="231F20"/>
        </w:rPr>
        <w:t>l’Exécutif.</w:t>
      </w:r>
      <w:r>
        <w:rPr>
          <w:color w:val="231F20"/>
          <w:spacing w:val="-15"/>
        </w:rPr>
        <w:t> </w:t>
      </w:r>
      <w:r>
        <w:rPr>
          <w:color w:val="231F20"/>
        </w:rPr>
        <w:t>Tous</w:t>
      </w:r>
      <w:r>
        <w:rPr>
          <w:color w:val="231F20"/>
          <w:spacing w:val="-15"/>
        </w:rPr>
        <w:t> </w:t>
      </w:r>
      <w:r>
        <w:rPr>
          <w:color w:val="231F20"/>
        </w:rPr>
        <w:t>les</w:t>
      </w:r>
      <w:r>
        <w:rPr>
          <w:color w:val="231F20"/>
          <w:spacing w:val="-15"/>
        </w:rPr>
        <w:t> </w:t>
      </w:r>
      <w:r>
        <w:rPr>
          <w:color w:val="231F20"/>
        </w:rPr>
        <w:t>faits</w:t>
      </w:r>
      <w:r>
        <w:rPr>
          <w:color w:val="231F20"/>
          <w:spacing w:val="-15"/>
        </w:rPr>
        <w:t> </w:t>
      </w:r>
      <w:r>
        <w:rPr>
          <w:color w:val="231F20"/>
        </w:rPr>
        <w:t>et</w:t>
      </w:r>
      <w:r>
        <w:rPr>
          <w:color w:val="231F20"/>
          <w:spacing w:val="-15"/>
        </w:rPr>
        <w:t> </w:t>
      </w:r>
      <w:r>
        <w:rPr>
          <w:color w:val="231F20"/>
        </w:rPr>
        <w:t>gestes</w:t>
      </w:r>
      <w:r>
        <w:rPr>
          <w:color w:val="231F20"/>
          <w:spacing w:val="-15"/>
        </w:rPr>
        <w:t> </w:t>
      </w:r>
      <w:r>
        <w:rPr>
          <w:color w:val="231F20"/>
        </w:rPr>
        <w:t>du</w:t>
      </w:r>
      <w:r>
        <w:rPr>
          <w:color w:val="231F20"/>
          <w:spacing w:val="-15"/>
        </w:rPr>
        <w:t> </w:t>
      </w:r>
      <w:r>
        <w:rPr>
          <w:color w:val="231F20"/>
        </w:rPr>
        <w:t>Président</w:t>
      </w:r>
      <w:r>
        <w:rPr>
          <w:color w:val="231F20"/>
          <w:spacing w:val="-15"/>
        </w:rPr>
        <w:t> </w:t>
      </w:r>
      <w:r>
        <w:rPr>
          <w:color w:val="231F20"/>
        </w:rPr>
        <w:t>sont</w:t>
      </w:r>
      <w:r>
        <w:rPr>
          <w:color w:val="231F20"/>
          <w:spacing w:val="-15"/>
        </w:rPr>
        <w:t> </w:t>
      </w:r>
      <w:r>
        <w:rPr>
          <w:color w:val="231F20"/>
        </w:rPr>
        <w:t>portés</w:t>
      </w:r>
      <w:r>
        <w:rPr>
          <w:color w:val="231F20"/>
          <w:spacing w:val="-15"/>
        </w:rPr>
        <w:t> </w:t>
      </w:r>
      <w:r>
        <w:rPr>
          <w:color w:val="231F20"/>
        </w:rPr>
        <w:t>aux</w:t>
      </w:r>
      <w:r>
        <w:rPr>
          <w:color w:val="231F20"/>
          <w:spacing w:val="-15"/>
        </w:rPr>
        <w:t> </w:t>
      </w:r>
      <w:r>
        <w:rPr>
          <w:color w:val="231F20"/>
        </w:rPr>
        <w:t>nues.</w:t>
      </w:r>
      <w:r>
        <w:rPr>
          <w:color w:val="231F20"/>
          <w:spacing w:val="-15"/>
        </w:rPr>
        <w:t> </w:t>
      </w:r>
      <w:r>
        <w:rPr>
          <w:color w:val="231F20"/>
        </w:rPr>
        <w:t>Les </w:t>
      </w:r>
      <w:r>
        <w:rPr>
          <w:color w:val="231F20"/>
          <w:spacing w:val="-4"/>
        </w:rPr>
        <w:t>populations</w:t>
      </w:r>
      <w:r>
        <w:rPr>
          <w:color w:val="231F20"/>
          <w:spacing w:val="-8"/>
        </w:rPr>
        <w:t> </w:t>
      </w:r>
      <w:r>
        <w:rPr>
          <w:color w:val="231F20"/>
          <w:spacing w:val="-4"/>
        </w:rPr>
        <w:t>largement</w:t>
      </w:r>
      <w:r>
        <w:rPr>
          <w:color w:val="231F20"/>
          <w:spacing w:val="-7"/>
        </w:rPr>
        <w:t> </w:t>
      </w:r>
      <w:r>
        <w:rPr>
          <w:color w:val="231F20"/>
          <w:spacing w:val="-4"/>
        </w:rPr>
        <w:t>analphabètes,</w:t>
      </w:r>
      <w:r>
        <w:rPr>
          <w:color w:val="231F20"/>
          <w:spacing w:val="-8"/>
        </w:rPr>
        <w:t> </w:t>
      </w:r>
      <w:r>
        <w:rPr>
          <w:color w:val="231F20"/>
          <w:spacing w:val="-4"/>
        </w:rPr>
        <w:t>«</w:t>
      </w:r>
      <w:r>
        <w:rPr>
          <w:color w:val="231F20"/>
        </w:rPr>
        <w:t> </w:t>
      </w:r>
      <w:r>
        <w:rPr>
          <w:color w:val="231F20"/>
          <w:spacing w:val="-4"/>
        </w:rPr>
        <w:t>des</w:t>
      </w:r>
      <w:r>
        <w:rPr>
          <w:color w:val="231F20"/>
          <w:spacing w:val="-8"/>
        </w:rPr>
        <w:t> </w:t>
      </w:r>
      <w:r>
        <w:rPr>
          <w:color w:val="231F20"/>
          <w:spacing w:val="-4"/>
        </w:rPr>
        <w:t>aveugles</w:t>
      </w:r>
      <w:r>
        <w:rPr>
          <w:color w:val="231F20"/>
          <w:spacing w:val="-11"/>
        </w:rPr>
        <w:t> </w:t>
      </w:r>
      <w:r>
        <w:rPr>
          <w:color w:val="231F20"/>
          <w:spacing w:val="-4"/>
        </w:rPr>
        <w:t>perdus</w:t>
      </w:r>
      <w:r>
        <w:rPr>
          <w:color w:val="231F20"/>
          <w:spacing w:val="-8"/>
        </w:rPr>
        <w:t> </w:t>
      </w:r>
      <w:r>
        <w:rPr>
          <w:color w:val="231F20"/>
          <w:spacing w:val="-4"/>
        </w:rPr>
        <w:t>dans</w:t>
      </w:r>
      <w:r>
        <w:rPr>
          <w:color w:val="231F20"/>
          <w:spacing w:val="-8"/>
        </w:rPr>
        <w:t> </w:t>
      </w:r>
      <w:r>
        <w:rPr>
          <w:color w:val="231F20"/>
          <w:spacing w:val="-4"/>
        </w:rPr>
        <w:t>la</w:t>
      </w:r>
      <w:r>
        <w:rPr>
          <w:color w:val="231F20"/>
          <w:spacing w:val="-9"/>
        </w:rPr>
        <w:t> </w:t>
      </w:r>
      <w:r>
        <w:rPr>
          <w:color w:val="231F20"/>
          <w:spacing w:val="-4"/>
        </w:rPr>
        <w:t>forêt</w:t>
      </w:r>
      <w:r>
        <w:rPr>
          <w:color w:val="231F20"/>
        </w:rPr>
        <w:t> </w:t>
      </w:r>
      <w:r>
        <w:rPr>
          <w:color w:val="231F20"/>
          <w:spacing w:val="-4"/>
        </w:rPr>
        <w:t>» </w:t>
      </w:r>
      <w:r>
        <w:rPr>
          <w:color w:val="231F20"/>
        </w:rPr>
        <w:t>suivent les mots d’ordre de leurs guides : leur rôle à la vie sociale, économique et politique se limite exclusivement à la participation militante aux organes du Parti, du Président.</w:t>
      </w:r>
    </w:p>
    <w:p>
      <w:pPr>
        <w:pStyle w:val="BodyText"/>
        <w:spacing w:before="121"/>
        <w:ind w:right="102" w:firstLine="283"/>
      </w:pPr>
      <w:r>
        <w:rPr>
          <w:color w:val="231F20"/>
        </w:rPr>
        <w:t>Essentiellement communautaire, la parenté est le cadre, la base de toute organisation sociale</w:t>
      </w:r>
      <w:r>
        <w:rPr>
          <w:color w:val="231F20"/>
          <w:spacing w:val="-15"/>
        </w:rPr>
        <w:t> </w:t>
      </w:r>
      <w:r>
        <w:rPr>
          <w:color w:val="231F20"/>
        </w:rPr>
        <w:t>africaine. La famille, premier niveau de la structure sociale compte sur le «</w:t>
      </w:r>
      <w:r>
        <w:rPr>
          <w:color w:val="231F20"/>
          <w:spacing w:val="-10"/>
        </w:rPr>
        <w:t> </w:t>
      </w:r>
      <w:r>
        <w:rPr>
          <w:color w:val="231F20"/>
        </w:rPr>
        <w:t>parent</w:t>
      </w:r>
      <w:r>
        <w:rPr>
          <w:color w:val="231F20"/>
          <w:spacing w:val="-12"/>
        </w:rPr>
        <w:t> </w:t>
      </w:r>
      <w:r>
        <w:rPr>
          <w:color w:val="231F20"/>
        </w:rPr>
        <w:t>qui a réussi » pour son épanouissement</w:t>
      </w:r>
      <w:r>
        <w:rPr>
          <w:color w:val="231F20"/>
          <w:spacing w:val="-11"/>
        </w:rPr>
        <w:t> </w:t>
      </w:r>
      <w:r>
        <w:rPr>
          <w:color w:val="231F20"/>
        </w:rPr>
        <w:t>social</w:t>
      </w:r>
      <w:r>
        <w:rPr>
          <w:color w:val="231F20"/>
          <w:spacing w:val="-11"/>
        </w:rPr>
        <w:t> </w:t>
      </w:r>
      <w:r>
        <w:rPr>
          <w:color w:val="231F20"/>
        </w:rPr>
        <w:t>et</w:t>
      </w:r>
      <w:r>
        <w:rPr>
          <w:color w:val="231F20"/>
          <w:spacing w:val="-13"/>
        </w:rPr>
        <w:t> </w:t>
      </w:r>
      <w:r>
        <w:rPr>
          <w:color w:val="231F20"/>
        </w:rPr>
        <w:t>économique.</w:t>
      </w:r>
      <w:r>
        <w:rPr>
          <w:color w:val="231F20"/>
          <w:spacing w:val="-11"/>
        </w:rPr>
        <w:t> </w:t>
      </w:r>
      <w:r>
        <w:rPr>
          <w:color w:val="231F20"/>
        </w:rPr>
        <w:t>Elle</w:t>
      </w:r>
      <w:r>
        <w:rPr>
          <w:color w:val="231F20"/>
          <w:spacing w:val="-11"/>
        </w:rPr>
        <w:t> </w:t>
      </w:r>
      <w:r>
        <w:rPr>
          <w:color w:val="231F20"/>
        </w:rPr>
        <w:t>se</w:t>
      </w:r>
      <w:r>
        <w:rPr>
          <w:color w:val="231F20"/>
          <w:spacing w:val="-11"/>
        </w:rPr>
        <w:t> </w:t>
      </w:r>
      <w:r>
        <w:rPr>
          <w:color w:val="231F20"/>
        </w:rPr>
        <w:t>compose</w:t>
      </w:r>
      <w:r>
        <w:rPr>
          <w:color w:val="231F20"/>
          <w:spacing w:val="-11"/>
        </w:rPr>
        <w:t> </w:t>
      </w:r>
      <w:r>
        <w:rPr>
          <w:color w:val="231F20"/>
        </w:rPr>
        <w:t>des</w:t>
      </w:r>
      <w:r>
        <w:rPr>
          <w:color w:val="231F20"/>
          <w:spacing w:val="-9"/>
        </w:rPr>
        <w:t> </w:t>
      </w:r>
      <w:r>
        <w:rPr>
          <w:color w:val="231F20"/>
        </w:rPr>
        <w:t>parents,</w:t>
      </w:r>
      <w:r>
        <w:rPr>
          <w:color w:val="231F20"/>
          <w:spacing w:val="-11"/>
        </w:rPr>
        <w:t> </w:t>
      </w:r>
      <w:r>
        <w:rPr>
          <w:color w:val="231F20"/>
        </w:rPr>
        <w:t>des </w:t>
      </w:r>
      <w:r>
        <w:rPr>
          <w:color w:val="231F20"/>
          <w:spacing w:val="-2"/>
        </w:rPr>
        <w:t>enfants,</w:t>
      </w:r>
      <w:r>
        <w:rPr>
          <w:color w:val="231F20"/>
          <w:spacing w:val="-8"/>
        </w:rPr>
        <w:t> </w:t>
      </w:r>
      <w:r>
        <w:rPr>
          <w:color w:val="231F20"/>
          <w:spacing w:val="-2"/>
        </w:rPr>
        <w:t>des</w:t>
      </w:r>
      <w:r>
        <w:rPr>
          <w:color w:val="231F20"/>
          <w:spacing w:val="-8"/>
        </w:rPr>
        <w:t> </w:t>
      </w:r>
      <w:r>
        <w:rPr>
          <w:color w:val="231F20"/>
          <w:spacing w:val="-2"/>
        </w:rPr>
        <w:t>grands-parents,</w:t>
      </w:r>
      <w:r>
        <w:rPr>
          <w:color w:val="231F20"/>
          <w:spacing w:val="-8"/>
        </w:rPr>
        <w:t> </w:t>
      </w:r>
      <w:r>
        <w:rPr>
          <w:color w:val="231F20"/>
          <w:spacing w:val="-2"/>
        </w:rPr>
        <w:t>des</w:t>
      </w:r>
      <w:r>
        <w:rPr>
          <w:color w:val="231F20"/>
          <w:spacing w:val="-8"/>
        </w:rPr>
        <w:t> </w:t>
      </w:r>
      <w:r>
        <w:rPr>
          <w:color w:val="231F20"/>
          <w:spacing w:val="-2"/>
        </w:rPr>
        <w:t>oncles</w:t>
      </w:r>
      <w:r>
        <w:rPr>
          <w:color w:val="231F20"/>
          <w:spacing w:val="-8"/>
        </w:rPr>
        <w:t> </w:t>
      </w:r>
      <w:r>
        <w:rPr>
          <w:color w:val="231F20"/>
          <w:spacing w:val="-2"/>
        </w:rPr>
        <w:t>et</w:t>
      </w:r>
      <w:r>
        <w:rPr>
          <w:color w:val="231F20"/>
          <w:spacing w:val="-8"/>
        </w:rPr>
        <w:t> </w:t>
      </w:r>
      <w:r>
        <w:rPr>
          <w:color w:val="231F20"/>
          <w:spacing w:val="-2"/>
        </w:rPr>
        <w:t>tantes,</w:t>
      </w:r>
      <w:r>
        <w:rPr>
          <w:color w:val="231F20"/>
          <w:spacing w:val="-8"/>
        </w:rPr>
        <w:t> </w:t>
      </w:r>
      <w:r>
        <w:rPr>
          <w:color w:val="231F20"/>
          <w:spacing w:val="-2"/>
        </w:rPr>
        <w:t>des</w:t>
      </w:r>
      <w:r>
        <w:rPr>
          <w:color w:val="231F20"/>
          <w:spacing w:val="-10"/>
        </w:rPr>
        <w:t> </w:t>
      </w:r>
      <w:r>
        <w:rPr>
          <w:color w:val="231F20"/>
          <w:spacing w:val="-2"/>
        </w:rPr>
        <w:t>frères</w:t>
      </w:r>
      <w:r>
        <w:rPr>
          <w:color w:val="231F20"/>
          <w:spacing w:val="-8"/>
        </w:rPr>
        <w:t> </w:t>
      </w:r>
      <w:r>
        <w:rPr>
          <w:color w:val="231F20"/>
          <w:spacing w:val="-2"/>
        </w:rPr>
        <w:t>et</w:t>
      </w:r>
      <w:r>
        <w:rPr>
          <w:color w:val="231F20"/>
          <w:spacing w:val="-7"/>
        </w:rPr>
        <w:t> </w:t>
      </w:r>
      <w:r>
        <w:rPr>
          <w:color w:val="231F20"/>
          <w:spacing w:val="-2"/>
        </w:rPr>
        <w:t>sœurs,</w:t>
      </w:r>
      <w:r>
        <w:rPr>
          <w:color w:val="231F20"/>
          <w:spacing w:val="-8"/>
        </w:rPr>
        <w:t> </w:t>
      </w:r>
      <w:r>
        <w:rPr>
          <w:color w:val="231F20"/>
          <w:spacing w:val="-2"/>
        </w:rPr>
        <w:t>tous </w:t>
      </w:r>
      <w:r>
        <w:rPr>
          <w:color w:val="231F20"/>
        </w:rPr>
        <w:t>pouvant</w:t>
      </w:r>
      <w:r>
        <w:rPr>
          <w:color w:val="231F20"/>
          <w:spacing w:val="-15"/>
        </w:rPr>
        <w:t> </w:t>
      </w:r>
      <w:r>
        <w:rPr>
          <w:color w:val="231F20"/>
        </w:rPr>
        <w:t>avoir</w:t>
      </w:r>
      <w:r>
        <w:rPr>
          <w:color w:val="231F20"/>
          <w:spacing w:val="-15"/>
        </w:rPr>
        <w:t> </w:t>
      </w:r>
      <w:r>
        <w:rPr>
          <w:color w:val="231F20"/>
        </w:rPr>
        <w:t>leurs</w:t>
      </w:r>
      <w:r>
        <w:rPr>
          <w:color w:val="231F20"/>
          <w:spacing w:val="-15"/>
        </w:rPr>
        <w:t> </w:t>
      </w:r>
      <w:r>
        <w:rPr>
          <w:color w:val="231F20"/>
        </w:rPr>
        <w:t>propres</w:t>
      </w:r>
      <w:r>
        <w:rPr>
          <w:color w:val="231F20"/>
          <w:spacing w:val="-15"/>
        </w:rPr>
        <w:t> </w:t>
      </w:r>
      <w:r>
        <w:rPr>
          <w:color w:val="231F20"/>
        </w:rPr>
        <w:t>enfants</w:t>
      </w:r>
      <w:r>
        <w:rPr>
          <w:color w:val="231F20"/>
          <w:spacing w:val="-15"/>
        </w:rPr>
        <w:t> </w:t>
      </w:r>
      <w:r>
        <w:rPr>
          <w:color w:val="231F20"/>
        </w:rPr>
        <w:t>et</w:t>
      </w:r>
      <w:r>
        <w:rPr>
          <w:color w:val="231F20"/>
          <w:spacing w:val="-15"/>
        </w:rPr>
        <w:t> </w:t>
      </w:r>
      <w:r>
        <w:rPr>
          <w:color w:val="231F20"/>
        </w:rPr>
        <w:t>d'autres</w:t>
      </w:r>
      <w:r>
        <w:rPr>
          <w:color w:val="231F20"/>
          <w:spacing w:val="-15"/>
        </w:rPr>
        <w:t> </w:t>
      </w:r>
      <w:r>
        <w:rPr>
          <w:color w:val="231F20"/>
        </w:rPr>
        <w:t>personnes</w:t>
      </w:r>
      <w:r>
        <w:rPr>
          <w:color w:val="231F20"/>
          <w:spacing w:val="-15"/>
        </w:rPr>
        <w:t> </w:t>
      </w:r>
      <w:r>
        <w:rPr>
          <w:color w:val="231F20"/>
        </w:rPr>
        <w:t>à</w:t>
      </w:r>
      <w:r>
        <w:rPr>
          <w:color w:val="231F20"/>
          <w:spacing w:val="-15"/>
        </w:rPr>
        <w:t> </w:t>
      </w:r>
      <w:r>
        <w:rPr>
          <w:color w:val="231F20"/>
        </w:rPr>
        <w:t>charge.</w:t>
      </w:r>
      <w:r>
        <w:rPr>
          <w:color w:val="231F20"/>
          <w:spacing w:val="-15"/>
        </w:rPr>
        <w:t> </w:t>
      </w:r>
      <w:r>
        <w:rPr>
          <w:color w:val="231F20"/>
        </w:rPr>
        <w:t>C’est ainsi</w:t>
      </w:r>
      <w:r>
        <w:rPr>
          <w:color w:val="231F20"/>
          <w:spacing w:val="-15"/>
        </w:rPr>
        <w:t> </w:t>
      </w:r>
      <w:r>
        <w:rPr>
          <w:color w:val="231F20"/>
        </w:rPr>
        <w:t>que</w:t>
      </w:r>
      <w:r>
        <w:rPr>
          <w:color w:val="231F20"/>
          <w:spacing w:val="-15"/>
        </w:rPr>
        <w:t> </w:t>
      </w:r>
      <w:r>
        <w:rPr>
          <w:color w:val="231F20"/>
        </w:rPr>
        <w:t>les</w:t>
      </w:r>
      <w:r>
        <w:rPr>
          <w:color w:val="231F20"/>
          <w:spacing w:val="-15"/>
        </w:rPr>
        <w:t> </w:t>
      </w:r>
      <w:r>
        <w:rPr>
          <w:color w:val="231F20"/>
        </w:rPr>
        <w:t>nominations</w:t>
      </w:r>
      <w:r>
        <w:rPr>
          <w:color w:val="231F20"/>
          <w:spacing w:val="-15"/>
        </w:rPr>
        <w:t> </w:t>
      </w:r>
      <w:r>
        <w:rPr>
          <w:color w:val="231F20"/>
        </w:rPr>
        <w:t>à</w:t>
      </w:r>
      <w:r>
        <w:rPr>
          <w:color w:val="231F20"/>
          <w:spacing w:val="-15"/>
        </w:rPr>
        <w:t> </w:t>
      </w:r>
      <w:r>
        <w:rPr>
          <w:color w:val="231F20"/>
        </w:rPr>
        <w:t>un</w:t>
      </w:r>
      <w:r>
        <w:rPr>
          <w:color w:val="231F20"/>
          <w:spacing w:val="-15"/>
        </w:rPr>
        <w:t> </w:t>
      </w:r>
      <w:r>
        <w:rPr>
          <w:color w:val="231F20"/>
        </w:rPr>
        <w:t>poste</w:t>
      </w:r>
      <w:r>
        <w:rPr>
          <w:color w:val="231F20"/>
          <w:spacing w:val="-15"/>
        </w:rPr>
        <w:t> </w:t>
      </w:r>
      <w:r>
        <w:rPr>
          <w:color w:val="231F20"/>
        </w:rPr>
        <w:t>de</w:t>
      </w:r>
      <w:r>
        <w:rPr>
          <w:color w:val="231F20"/>
          <w:spacing w:val="-15"/>
        </w:rPr>
        <w:t> </w:t>
      </w:r>
      <w:r>
        <w:rPr>
          <w:color w:val="231F20"/>
        </w:rPr>
        <w:t>responsabilité</w:t>
      </w:r>
      <w:r>
        <w:rPr>
          <w:color w:val="231F20"/>
          <w:spacing w:val="-15"/>
        </w:rPr>
        <w:t> </w:t>
      </w:r>
      <w:r>
        <w:rPr>
          <w:color w:val="231F20"/>
        </w:rPr>
        <w:t>sont</w:t>
      </w:r>
      <w:r>
        <w:rPr>
          <w:color w:val="231F20"/>
          <w:spacing w:val="-15"/>
        </w:rPr>
        <w:t> </w:t>
      </w:r>
      <w:r>
        <w:rPr>
          <w:color w:val="231F20"/>
        </w:rPr>
        <w:t>«</w:t>
      </w:r>
      <w:r>
        <w:rPr>
          <w:color w:val="231F20"/>
          <w:spacing w:val="-15"/>
        </w:rPr>
        <w:t> </w:t>
      </w:r>
      <w:r>
        <w:rPr>
          <w:color w:val="231F20"/>
        </w:rPr>
        <w:t>un</w:t>
      </w:r>
      <w:r>
        <w:rPr>
          <w:color w:val="231F20"/>
          <w:spacing w:val="-15"/>
        </w:rPr>
        <w:t> </w:t>
      </w:r>
      <w:r>
        <w:rPr>
          <w:color w:val="231F20"/>
        </w:rPr>
        <w:t>cadeau</w:t>
      </w:r>
      <w:r>
        <w:rPr>
          <w:color w:val="231F20"/>
          <w:spacing w:val="-15"/>
        </w:rPr>
        <w:t> </w:t>
      </w:r>
      <w:r>
        <w:rPr>
          <w:color w:val="231F20"/>
        </w:rPr>
        <w:t>» et</w:t>
      </w:r>
      <w:r>
        <w:rPr>
          <w:color w:val="231F20"/>
          <w:spacing w:val="-6"/>
        </w:rPr>
        <w:t> </w:t>
      </w:r>
      <w:r>
        <w:rPr>
          <w:color w:val="231F20"/>
        </w:rPr>
        <w:t>tiennent</w:t>
      </w:r>
      <w:r>
        <w:rPr>
          <w:color w:val="231F20"/>
          <w:spacing w:val="-5"/>
        </w:rPr>
        <w:t> </w:t>
      </w:r>
      <w:r>
        <w:rPr>
          <w:color w:val="231F20"/>
        </w:rPr>
        <w:t>compte</w:t>
      </w:r>
      <w:r>
        <w:rPr>
          <w:color w:val="231F20"/>
          <w:spacing w:val="-6"/>
        </w:rPr>
        <w:t> </w:t>
      </w:r>
      <w:r>
        <w:rPr>
          <w:color w:val="231F20"/>
        </w:rPr>
        <w:t>d’abord</w:t>
      </w:r>
      <w:r>
        <w:rPr>
          <w:color w:val="231F20"/>
          <w:spacing w:val="-6"/>
        </w:rPr>
        <w:t> </w:t>
      </w:r>
      <w:r>
        <w:rPr>
          <w:color w:val="231F20"/>
        </w:rPr>
        <w:t>et</w:t>
      </w:r>
      <w:r>
        <w:rPr>
          <w:color w:val="231F20"/>
          <w:spacing w:val="-7"/>
        </w:rPr>
        <w:t> </w:t>
      </w:r>
      <w:r>
        <w:rPr>
          <w:color w:val="231F20"/>
        </w:rPr>
        <w:t>avant</w:t>
      </w:r>
      <w:r>
        <w:rPr>
          <w:color w:val="231F20"/>
          <w:spacing w:val="-7"/>
        </w:rPr>
        <w:t> </w:t>
      </w:r>
      <w:r>
        <w:rPr>
          <w:color w:val="231F20"/>
        </w:rPr>
        <w:t>tout,</w:t>
      </w:r>
      <w:r>
        <w:rPr>
          <w:color w:val="231F20"/>
          <w:spacing w:val="-6"/>
        </w:rPr>
        <w:t> </w:t>
      </w:r>
      <w:r>
        <w:rPr>
          <w:color w:val="231F20"/>
        </w:rPr>
        <w:t>de</w:t>
      </w:r>
      <w:r>
        <w:rPr>
          <w:color w:val="231F20"/>
          <w:spacing w:val="-8"/>
        </w:rPr>
        <w:t> </w:t>
      </w:r>
      <w:r>
        <w:rPr>
          <w:color w:val="231F20"/>
        </w:rPr>
        <w:t>l’appartenance</w:t>
      </w:r>
      <w:r>
        <w:rPr>
          <w:color w:val="231F20"/>
          <w:spacing w:val="-6"/>
        </w:rPr>
        <w:t> </w:t>
      </w:r>
      <w:r>
        <w:rPr>
          <w:color w:val="231F20"/>
        </w:rPr>
        <w:t>à</w:t>
      </w:r>
      <w:r>
        <w:rPr>
          <w:color w:val="231F20"/>
          <w:spacing w:val="-7"/>
        </w:rPr>
        <w:t> </w:t>
      </w:r>
      <w:r>
        <w:rPr>
          <w:color w:val="231F20"/>
        </w:rPr>
        <w:t>la</w:t>
      </w:r>
      <w:r>
        <w:rPr>
          <w:color w:val="231F20"/>
          <w:spacing w:val="-7"/>
        </w:rPr>
        <w:t> </w:t>
      </w:r>
      <w:r>
        <w:rPr>
          <w:color w:val="231F20"/>
        </w:rPr>
        <w:t>famille, </w:t>
      </w:r>
      <w:r>
        <w:rPr>
          <w:color w:val="231F20"/>
          <w:spacing w:val="-4"/>
        </w:rPr>
        <w:t>au</w:t>
      </w:r>
      <w:r>
        <w:rPr>
          <w:color w:val="231F20"/>
          <w:spacing w:val="-7"/>
        </w:rPr>
        <w:t> </w:t>
      </w:r>
      <w:r>
        <w:rPr>
          <w:color w:val="231F20"/>
          <w:spacing w:val="-4"/>
        </w:rPr>
        <w:t>parti</w:t>
      </w:r>
      <w:r>
        <w:rPr>
          <w:color w:val="231F20"/>
          <w:spacing w:val="-8"/>
        </w:rPr>
        <w:t> </w:t>
      </w:r>
      <w:r>
        <w:rPr>
          <w:color w:val="231F20"/>
          <w:spacing w:val="-4"/>
        </w:rPr>
        <w:t>et</w:t>
      </w:r>
      <w:r>
        <w:rPr>
          <w:color w:val="231F20"/>
          <w:spacing w:val="-8"/>
        </w:rPr>
        <w:t> </w:t>
      </w:r>
      <w:r>
        <w:rPr>
          <w:color w:val="231F20"/>
          <w:spacing w:val="-4"/>
        </w:rPr>
        <w:t>à</w:t>
      </w:r>
      <w:r>
        <w:rPr>
          <w:color w:val="231F20"/>
          <w:spacing w:val="-7"/>
        </w:rPr>
        <w:t> </w:t>
      </w:r>
      <w:r>
        <w:rPr>
          <w:color w:val="231F20"/>
          <w:spacing w:val="-4"/>
        </w:rPr>
        <w:t>la</w:t>
      </w:r>
      <w:r>
        <w:rPr>
          <w:color w:val="231F20"/>
          <w:spacing w:val="-10"/>
        </w:rPr>
        <w:t> </w:t>
      </w:r>
      <w:r>
        <w:rPr>
          <w:color w:val="231F20"/>
          <w:spacing w:val="-4"/>
        </w:rPr>
        <w:t>tribu</w:t>
      </w:r>
      <w:r>
        <w:rPr>
          <w:color w:val="231F20"/>
          <w:spacing w:val="-7"/>
        </w:rPr>
        <w:t> </w:t>
      </w:r>
      <w:r>
        <w:rPr>
          <w:color w:val="231F20"/>
          <w:spacing w:val="-4"/>
        </w:rPr>
        <w:t>bien</w:t>
      </w:r>
      <w:r>
        <w:rPr>
          <w:color w:val="231F20"/>
          <w:spacing w:val="-10"/>
        </w:rPr>
        <w:t> </w:t>
      </w:r>
      <w:r>
        <w:rPr>
          <w:color w:val="231F20"/>
          <w:spacing w:val="-4"/>
        </w:rPr>
        <w:t>plus</w:t>
      </w:r>
      <w:r>
        <w:rPr>
          <w:color w:val="231F20"/>
          <w:spacing w:val="-7"/>
        </w:rPr>
        <w:t> </w:t>
      </w:r>
      <w:r>
        <w:rPr>
          <w:color w:val="231F20"/>
          <w:spacing w:val="-4"/>
        </w:rPr>
        <w:t>que</w:t>
      </w:r>
      <w:r>
        <w:rPr>
          <w:color w:val="231F20"/>
          <w:spacing w:val="-11"/>
        </w:rPr>
        <w:t> </w:t>
      </w:r>
      <w:r>
        <w:rPr>
          <w:color w:val="231F20"/>
          <w:spacing w:val="-4"/>
        </w:rPr>
        <w:t>sur</w:t>
      </w:r>
      <w:r>
        <w:rPr>
          <w:color w:val="231F20"/>
          <w:spacing w:val="-11"/>
        </w:rPr>
        <w:t> </w:t>
      </w:r>
      <w:r>
        <w:rPr>
          <w:color w:val="231F20"/>
          <w:spacing w:val="-4"/>
        </w:rPr>
        <w:t>des</w:t>
      </w:r>
      <w:r>
        <w:rPr>
          <w:color w:val="231F20"/>
          <w:spacing w:val="-10"/>
        </w:rPr>
        <w:t> </w:t>
      </w:r>
      <w:r>
        <w:rPr>
          <w:color w:val="231F20"/>
          <w:spacing w:val="-4"/>
        </w:rPr>
        <w:t>mérites</w:t>
      </w:r>
      <w:r>
        <w:rPr>
          <w:color w:val="231F20"/>
          <w:spacing w:val="-7"/>
        </w:rPr>
        <w:t> </w:t>
      </w:r>
      <w:r>
        <w:rPr>
          <w:color w:val="231F20"/>
          <w:spacing w:val="-4"/>
        </w:rPr>
        <w:t>personnels.</w:t>
      </w:r>
      <w:r>
        <w:rPr>
          <w:color w:val="231F20"/>
          <w:spacing w:val="-7"/>
        </w:rPr>
        <w:t> </w:t>
      </w:r>
      <w:r>
        <w:rPr>
          <w:color w:val="231F20"/>
          <w:spacing w:val="-4"/>
        </w:rPr>
        <w:t>Or,</w:t>
      </w:r>
      <w:r>
        <w:rPr>
          <w:color w:val="231F20"/>
          <w:spacing w:val="-7"/>
        </w:rPr>
        <w:t> </w:t>
      </w:r>
      <w:r>
        <w:rPr>
          <w:color w:val="231F20"/>
          <w:spacing w:val="-4"/>
        </w:rPr>
        <w:t>les</w:t>
      </w:r>
      <w:r>
        <w:rPr>
          <w:color w:val="231F20"/>
          <w:spacing w:val="-7"/>
        </w:rPr>
        <w:t> </w:t>
      </w:r>
      <w:r>
        <w:rPr>
          <w:color w:val="231F20"/>
          <w:spacing w:val="-4"/>
        </w:rPr>
        <w:t>partis </w:t>
      </w:r>
      <w:r>
        <w:rPr>
          <w:color w:val="231F20"/>
        </w:rPr>
        <w:t>politiques</w:t>
      </w:r>
      <w:r>
        <w:rPr>
          <w:color w:val="231F20"/>
          <w:spacing w:val="-6"/>
        </w:rPr>
        <w:t> </w:t>
      </w:r>
      <w:r>
        <w:rPr>
          <w:color w:val="231F20"/>
        </w:rPr>
        <w:t>ont</w:t>
      </w:r>
      <w:r>
        <w:rPr>
          <w:color w:val="231F20"/>
          <w:spacing w:val="-4"/>
        </w:rPr>
        <w:t> </w:t>
      </w:r>
      <w:r>
        <w:rPr>
          <w:color w:val="231F20"/>
        </w:rPr>
        <w:t>pour</w:t>
      </w:r>
      <w:r>
        <w:rPr>
          <w:color w:val="231F20"/>
          <w:spacing w:val="-4"/>
        </w:rPr>
        <w:t> </w:t>
      </w:r>
      <w:r>
        <w:rPr>
          <w:color w:val="231F20"/>
        </w:rPr>
        <w:t>membres,</w:t>
      </w:r>
      <w:r>
        <w:rPr>
          <w:color w:val="231F20"/>
          <w:spacing w:val="-4"/>
        </w:rPr>
        <w:t> </w:t>
      </w:r>
      <w:r>
        <w:rPr>
          <w:color w:val="231F20"/>
        </w:rPr>
        <w:t>d’abord</w:t>
      </w:r>
      <w:r>
        <w:rPr>
          <w:color w:val="231F20"/>
          <w:spacing w:val="-6"/>
        </w:rPr>
        <w:t> </w:t>
      </w:r>
      <w:r>
        <w:rPr>
          <w:color w:val="231F20"/>
        </w:rPr>
        <w:t>le</w:t>
      </w:r>
      <w:r>
        <w:rPr>
          <w:color w:val="231F20"/>
          <w:spacing w:val="-4"/>
        </w:rPr>
        <w:t> </w:t>
      </w:r>
      <w:r>
        <w:rPr>
          <w:color w:val="231F20"/>
        </w:rPr>
        <w:t>clan</w:t>
      </w:r>
      <w:r>
        <w:rPr>
          <w:color w:val="231F20"/>
          <w:spacing w:val="-4"/>
        </w:rPr>
        <w:t> </w:t>
      </w:r>
      <w:r>
        <w:rPr>
          <w:color w:val="231F20"/>
        </w:rPr>
        <w:t>ou</w:t>
      </w:r>
      <w:r>
        <w:rPr>
          <w:color w:val="231F20"/>
          <w:spacing w:val="-4"/>
        </w:rPr>
        <w:t> </w:t>
      </w:r>
      <w:r>
        <w:rPr>
          <w:color w:val="231F20"/>
        </w:rPr>
        <w:t>la</w:t>
      </w:r>
      <w:r>
        <w:rPr>
          <w:color w:val="231F20"/>
          <w:spacing w:val="-6"/>
        </w:rPr>
        <w:t> </w:t>
      </w:r>
      <w:r>
        <w:rPr>
          <w:color w:val="231F20"/>
        </w:rPr>
        <w:t>tribu.</w:t>
      </w:r>
      <w:r>
        <w:rPr>
          <w:color w:val="231F20"/>
          <w:spacing w:val="-4"/>
        </w:rPr>
        <w:t> </w:t>
      </w:r>
      <w:r>
        <w:rPr>
          <w:color w:val="231F20"/>
        </w:rPr>
        <w:t>Pour</w:t>
      </w:r>
      <w:r>
        <w:rPr>
          <w:color w:val="231F20"/>
          <w:spacing w:val="-3"/>
        </w:rPr>
        <w:t> </w:t>
      </w:r>
      <w:r>
        <w:rPr>
          <w:color w:val="231F20"/>
          <w:spacing w:val="-2"/>
        </w:rPr>
        <w:t>satisfaire</w:t>
      </w:r>
    </w:p>
    <w:p>
      <w:pPr>
        <w:pStyle w:val="BodyText"/>
        <w:ind w:right="107"/>
      </w:pPr>
      <w:r>
        <w:rPr>
          <w:color w:val="231F20"/>
        </w:rPr>
        <w:t>«</w:t>
      </w:r>
      <w:r>
        <w:rPr>
          <w:color w:val="231F20"/>
          <w:spacing w:val="-12"/>
        </w:rPr>
        <w:t> </w:t>
      </w:r>
      <w:r>
        <w:rPr>
          <w:color w:val="231F20"/>
        </w:rPr>
        <w:t>la famille</w:t>
      </w:r>
      <w:r>
        <w:rPr>
          <w:color w:val="231F20"/>
          <w:spacing w:val="-12"/>
        </w:rPr>
        <w:t> </w:t>
      </w:r>
      <w:r>
        <w:rPr>
          <w:color w:val="231F20"/>
        </w:rPr>
        <w:t>», la corruption et le népotisme sont érigés en mode de gouvernance dans plusieurs pays.</w:t>
      </w:r>
    </w:p>
    <w:p>
      <w:pPr>
        <w:pStyle w:val="BodyText"/>
        <w:spacing w:before="120"/>
        <w:ind w:right="104" w:firstLine="283"/>
      </w:pPr>
      <w:r>
        <w:rPr>
          <w:color w:val="231F20"/>
        </w:rPr>
        <w:t>Depuis 1990, des élites intellectuelles ont émergé comme force politique.</w:t>
      </w:r>
      <w:r>
        <w:rPr>
          <w:color w:val="231F20"/>
          <w:spacing w:val="-15"/>
        </w:rPr>
        <w:t> </w:t>
      </w:r>
      <w:r>
        <w:rPr>
          <w:color w:val="231F20"/>
        </w:rPr>
        <w:t>Ces</w:t>
      </w:r>
      <w:r>
        <w:rPr>
          <w:color w:val="231F20"/>
          <w:spacing w:val="-15"/>
        </w:rPr>
        <w:t> </w:t>
      </w:r>
      <w:r>
        <w:rPr>
          <w:color w:val="231F20"/>
        </w:rPr>
        <w:t>élites</w:t>
      </w:r>
      <w:r>
        <w:rPr>
          <w:color w:val="231F20"/>
          <w:spacing w:val="-15"/>
        </w:rPr>
        <w:t> </w:t>
      </w:r>
      <w:r>
        <w:rPr>
          <w:color w:val="231F20"/>
        </w:rPr>
        <w:t>sorties</w:t>
      </w:r>
      <w:r>
        <w:rPr>
          <w:color w:val="231F20"/>
          <w:spacing w:val="-15"/>
        </w:rPr>
        <w:t> </w:t>
      </w:r>
      <w:r>
        <w:rPr>
          <w:color w:val="231F20"/>
        </w:rPr>
        <w:t>pour</w:t>
      </w:r>
      <w:r>
        <w:rPr>
          <w:color w:val="231F20"/>
          <w:spacing w:val="-15"/>
        </w:rPr>
        <w:t> </w:t>
      </w:r>
      <w:r>
        <w:rPr>
          <w:color w:val="231F20"/>
        </w:rPr>
        <w:t>la</w:t>
      </w:r>
      <w:r>
        <w:rPr>
          <w:color w:val="231F20"/>
          <w:spacing w:val="-15"/>
        </w:rPr>
        <w:t> </w:t>
      </w:r>
      <w:r>
        <w:rPr>
          <w:color w:val="231F20"/>
        </w:rPr>
        <w:t>plupart</w:t>
      </w:r>
      <w:r>
        <w:rPr>
          <w:color w:val="231F20"/>
          <w:spacing w:val="-15"/>
        </w:rPr>
        <w:t> </w:t>
      </w:r>
      <w:r>
        <w:rPr>
          <w:color w:val="231F20"/>
        </w:rPr>
        <w:t>des</w:t>
      </w:r>
      <w:r>
        <w:rPr>
          <w:color w:val="231F20"/>
          <w:spacing w:val="-15"/>
        </w:rPr>
        <w:t> </w:t>
      </w:r>
      <w:r>
        <w:rPr>
          <w:color w:val="231F20"/>
        </w:rPr>
        <w:t>grandes</w:t>
      </w:r>
      <w:r>
        <w:rPr>
          <w:color w:val="231F20"/>
          <w:spacing w:val="-15"/>
        </w:rPr>
        <w:t> </w:t>
      </w:r>
      <w:r>
        <w:rPr>
          <w:color w:val="231F20"/>
        </w:rPr>
        <w:t>écoles</w:t>
      </w:r>
      <w:r>
        <w:rPr>
          <w:color w:val="231F20"/>
          <w:spacing w:val="-15"/>
        </w:rPr>
        <w:t> </w:t>
      </w:r>
      <w:r>
        <w:rPr>
          <w:color w:val="231F20"/>
        </w:rPr>
        <w:t>françaises </w:t>
      </w:r>
      <w:r>
        <w:rPr>
          <w:color w:val="231F20"/>
          <w:spacing w:val="-2"/>
        </w:rPr>
        <w:t>et</w:t>
      </w:r>
      <w:r>
        <w:rPr>
          <w:color w:val="231F20"/>
          <w:spacing w:val="-9"/>
        </w:rPr>
        <w:t> </w:t>
      </w:r>
      <w:r>
        <w:rPr>
          <w:color w:val="231F20"/>
          <w:spacing w:val="-2"/>
        </w:rPr>
        <w:t>américaines</w:t>
      </w:r>
      <w:r>
        <w:rPr>
          <w:color w:val="231F20"/>
          <w:spacing w:val="-10"/>
        </w:rPr>
        <w:t> </w:t>
      </w:r>
      <w:r>
        <w:rPr>
          <w:color w:val="231F20"/>
          <w:spacing w:val="-2"/>
        </w:rPr>
        <w:t>ont</w:t>
      </w:r>
      <w:r>
        <w:rPr>
          <w:color w:val="231F20"/>
          <w:spacing w:val="-9"/>
        </w:rPr>
        <w:t> </w:t>
      </w:r>
      <w:r>
        <w:rPr>
          <w:color w:val="231F20"/>
          <w:spacing w:val="-2"/>
        </w:rPr>
        <w:t>fait</w:t>
      </w:r>
      <w:r>
        <w:rPr>
          <w:color w:val="231F20"/>
          <w:spacing w:val="-9"/>
        </w:rPr>
        <w:t> </w:t>
      </w:r>
      <w:r>
        <w:rPr>
          <w:color w:val="231F20"/>
          <w:spacing w:val="-2"/>
        </w:rPr>
        <w:t>carrière</w:t>
      </w:r>
      <w:r>
        <w:rPr>
          <w:color w:val="231F20"/>
          <w:spacing w:val="-10"/>
        </w:rPr>
        <w:t> </w:t>
      </w:r>
      <w:r>
        <w:rPr>
          <w:color w:val="231F20"/>
          <w:spacing w:val="-2"/>
        </w:rPr>
        <w:t>dans</w:t>
      </w:r>
      <w:r>
        <w:rPr>
          <w:color w:val="231F20"/>
          <w:spacing w:val="-10"/>
        </w:rPr>
        <w:t> </w:t>
      </w:r>
      <w:r>
        <w:rPr>
          <w:color w:val="231F20"/>
          <w:spacing w:val="-2"/>
        </w:rPr>
        <w:t>des</w:t>
      </w:r>
      <w:r>
        <w:rPr>
          <w:color w:val="231F20"/>
          <w:spacing w:val="-10"/>
        </w:rPr>
        <w:t> </w:t>
      </w:r>
      <w:r>
        <w:rPr>
          <w:color w:val="231F20"/>
          <w:spacing w:val="-2"/>
        </w:rPr>
        <w:t>institutions</w:t>
      </w:r>
      <w:r>
        <w:rPr>
          <w:color w:val="231F20"/>
          <w:spacing w:val="-13"/>
        </w:rPr>
        <w:t> </w:t>
      </w:r>
      <w:r>
        <w:rPr>
          <w:color w:val="231F20"/>
          <w:spacing w:val="-2"/>
        </w:rPr>
        <w:t>internationales.</w:t>
      </w:r>
      <w:r>
        <w:rPr>
          <w:color w:val="231F20"/>
          <w:spacing w:val="-10"/>
        </w:rPr>
        <w:t> </w:t>
      </w:r>
      <w:r>
        <w:rPr>
          <w:color w:val="231F20"/>
          <w:spacing w:val="-2"/>
        </w:rPr>
        <w:t>Mais </w:t>
      </w:r>
      <w:r>
        <w:rPr>
          <w:color w:val="231F20"/>
        </w:rPr>
        <w:t>ni</w:t>
      </w:r>
      <w:r>
        <w:rPr>
          <w:color w:val="231F20"/>
          <w:spacing w:val="-2"/>
        </w:rPr>
        <w:t> </w:t>
      </w:r>
      <w:r>
        <w:rPr>
          <w:color w:val="231F20"/>
        </w:rPr>
        <w:t>l’avènement</w:t>
      </w:r>
      <w:r>
        <w:rPr>
          <w:color w:val="231F20"/>
          <w:spacing w:val="-2"/>
        </w:rPr>
        <w:t> </w:t>
      </w:r>
      <w:r>
        <w:rPr>
          <w:color w:val="231F20"/>
        </w:rPr>
        <w:t>de</w:t>
      </w:r>
      <w:r>
        <w:rPr>
          <w:color w:val="231F20"/>
          <w:spacing w:val="-1"/>
        </w:rPr>
        <w:t> </w:t>
      </w:r>
      <w:r>
        <w:rPr>
          <w:color w:val="231F20"/>
        </w:rPr>
        <w:t>la</w:t>
      </w:r>
      <w:r>
        <w:rPr>
          <w:color w:val="231F20"/>
          <w:spacing w:val="-3"/>
        </w:rPr>
        <w:t> </w:t>
      </w:r>
      <w:r>
        <w:rPr>
          <w:color w:val="231F20"/>
        </w:rPr>
        <w:t>démocratie,</w:t>
      </w:r>
      <w:r>
        <w:rPr>
          <w:color w:val="231F20"/>
          <w:spacing w:val="-2"/>
        </w:rPr>
        <w:t> </w:t>
      </w:r>
      <w:r>
        <w:rPr>
          <w:color w:val="231F20"/>
        </w:rPr>
        <w:t>ni</w:t>
      </w:r>
      <w:r>
        <w:rPr>
          <w:color w:val="231F20"/>
          <w:spacing w:val="-1"/>
        </w:rPr>
        <w:t> </w:t>
      </w:r>
      <w:r>
        <w:rPr>
          <w:color w:val="231F20"/>
        </w:rPr>
        <w:t>la</w:t>
      </w:r>
      <w:r>
        <w:rPr>
          <w:color w:val="231F20"/>
          <w:spacing w:val="-3"/>
        </w:rPr>
        <w:t> </w:t>
      </w:r>
      <w:r>
        <w:rPr>
          <w:color w:val="231F20"/>
        </w:rPr>
        <w:t>présence au</w:t>
      </w:r>
      <w:r>
        <w:rPr>
          <w:color w:val="231F20"/>
          <w:spacing w:val="-2"/>
        </w:rPr>
        <w:t> </w:t>
      </w:r>
      <w:r>
        <w:rPr>
          <w:color w:val="231F20"/>
        </w:rPr>
        <w:t>sommet</w:t>
      </w:r>
      <w:r>
        <w:rPr>
          <w:color w:val="231F20"/>
          <w:spacing w:val="-2"/>
        </w:rPr>
        <w:t> </w:t>
      </w:r>
      <w:r>
        <w:rPr>
          <w:color w:val="231F20"/>
        </w:rPr>
        <w:t>de</w:t>
      </w:r>
      <w:r>
        <w:rPr>
          <w:color w:val="231F20"/>
          <w:spacing w:val="-2"/>
        </w:rPr>
        <w:t> </w:t>
      </w:r>
      <w:r>
        <w:rPr>
          <w:color w:val="231F20"/>
        </w:rPr>
        <w:t>l’État</w:t>
      </w:r>
      <w:r>
        <w:rPr>
          <w:color w:val="231F20"/>
          <w:spacing w:val="-2"/>
        </w:rPr>
        <w:t> </w:t>
      </w:r>
      <w:r>
        <w:rPr>
          <w:color w:val="231F20"/>
        </w:rPr>
        <w:t>de </w:t>
      </w:r>
      <w:r>
        <w:rPr>
          <w:color w:val="231F20"/>
          <w:spacing w:val="-4"/>
        </w:rPr>
        <w:t>ces</w:t>
      </w:r>
      <w:r>
        <w:rPr>
          <w:color w:val="231F20"/>
          <w:spacing w:val="-9"/>
        </w:rPr>
        <w:t> </w:t>
      </w:r>
      <w:r>
        <w:rPr>
          <w:color w:val="231F20"/>
          <w:spacing w:val="-4"/>
        </w:rPr>
        <w:t>technocrates</w:t>
      </w:r>
      <w:r>
        <w:rPr>
          <w:color w:val="231F20"/>
        </w:rPr>
        <w:t> </w:t>
      </w:r>
      <w:r>
        <w:rPr>
          <w:color w:val="231F20"/>
          <w:spacing w:val="-4"/>
        </w:rPr>
        <w:t>bardés</w:t>
      </w:r>
      <w:r>
        <w:rPr>
          <w:color w:val="231F20"/>
        </w:rPr>
        <w:t> </w:t>
      </w:r>
      <w:r>
        <w:rPr>
          <w:color w:val="231F20"/>
          <w:spacing w:val="-4"/>
        </w:rPr>
        <w:t>de</w:t>
      </w:r>
      <w:r>
        <w:rPr>
          <w:color w:val="231F20"/>
          <w:spacing w:val="-11"/>
        </w:rPr>
        <w:t> </w:t>
      </w:r>
      <w:r>
        <w:rPr>
          <w:color w:val="231F20"/>
          <w:spacing w:val="-4"/>
        </w:rPr>
        <w:t>diplômes</w:t>
      </w:r>
      <w:r>
        <w:rPr>
          <w:color w:val="231F20"/>
          <w:spacing w:val="-9"/>
        </w:rPr>
        <w:t> </w:t>
      </w:r>
      <w:r>
        <w:rPr>
          <w:color w:val="231F20"/>
          <w:spacing w:val="-4"/>
        </w:rPr>
        <w:t>n’ont</w:t>
      </w:r>
      <w:r>
        <w:rPr>
          <w:color w:val="231F20"/>
          <w:spacing w:val="-11"/>
        </w:rPr>
        <w:t> </w:t>
      </w:r>
      <w:r>
        <w:rPr>
          <w:color w:val="231F20"/>
          <w:spacing w:val="-4"/>
        </w:rPr>
        <w:t>entraîné</w:t>
      </w:r>
      <w:r>
        <w:rPr>
          <w:color w:val="231F20"/>
          <w:spacing w:val="-11"/>
        </w:rPr>
        <w:t> </w:t>
      </w:r>
      <w:r>
        <w:rPr>
          <w:color w:val="231F20"/>
          <w:spacing w:val="-4"/>
        </w:rPr>
        <w:t>la</w:t>
      </w:r>
      <w:r>
        <w:rPr>
          <w:color w:val="231F20"/>
          <w:spacing w:val="-9"/>
        </w:rPr>
        <w:t> </w:t>
      </w:r>
      <w:r>
        <w:rPr>
          <w:color w:val="231F20"/>
          <w:spacing w:val="-4"/>
        </w:rPr>
        <w:t>transformation</w:t>
      </w:r>
      <w:r>
        <w:rPr>
          <w:color w:val="231F20"/>
          <w:spacing w:val="-11"/>
        </w:rPr>
        <w:t> </w:t>
      </w:r>
      <w:r>
        <w:rPr>
          <w:color w:val="231F20"/>
          <w:spacing w:val="-4"/>
        </w:rPr>
        <w:t>de</w:t>
      </w:r>
      <w:r>
        <w:rPr>
          <w:color w:val="231F20"/>
          <w:spacing w:val="-11"/>
        </w:rPr>
        <w:t> </w:t>
      </w:r>
      <w:r>
        <w:rPr>
          <w:color w:val="231F20"/>
          <w:spacing w:val="-4"/>
        </w:rPr>
        <w:t>la </w:t>
      </w:r>
      <w:r>
        <w:rPr>
          <w:color w:val="231F20"/>
        </w:rPr>
        <w:t>gestion politique et financière des Etats. Le comportement de ces Gouvernants cooptés par la Communauté dite internationale, leur conduite des affaires publiques et de la gestion des biens collectifs </w:t>
      </w:r>
      <w:r>
        <w:rPr>
          <w:color w:val="231F20"/>
          <w:spacing w:val="-4"/>
        </w:rPr>
        <w:t>demeurent</w:t>
      </w:r>
      <w:r>
        <w:rPr>
          <w:color w:val="231F20"/>
          <w:spacing w:val="-9"/>
        </w:rPr>
        <w:t> </w:t>
      </w:r>
      <w:r>
        <w:rPr>
          <w:color w:val="231F20"/>
          <w:spacing w:val="-4"/>
        </w:rPr>
        <w:t>semblables</w:t>
      </w:r>
      <w:r>
        <w:rPr>
          <w:color w:val="231F20"/>
          <w:spacing w:val="-11"/>
        </w:rPr>
        <w:t> </w:t>
      </w:r>
      <w:r>
        <w:rPr>
          <w:color w:val="231F20"/>
          <w:spacing w:val="-4"/>
        </w:rPr>
        <w:t>à</w:t>
      </w:r>
      <w:r>
        <w:rPr>
          <w:color w:val="231F20"/>
          <w:spacing w:val="-10"/>
        </w:rPr>
        <w:t> </w:t>
      </w:r>
      <w:r>
        <w:rPr>
          <w:color w:val="231F20"/>
          <w:spacing w:val="-4"/>
        </w:rPr>
        <w:t>ceux</w:t>
      </w:r>
      <w:r>
        <w:rPr>
          <w:color w:val="231F20"/>
          <w:spacing w:val="-9"/>
        </w:rPr>
        <w:t> </w:t>
      </w:r>
      <w:r>
        <w:rPr>
          <w:color w:val="231F20"/>
          <w:spacing w:val="-4"/>
        </w:rPr>
        <w:t>de</w:t>
      </w:r>
      <w:r>
        <w:rPr>
          <w:color w:val="231F20"/>
          <w:spacing w:val="-11"/>
        </w:rPr>
        <w:t> </w:t>
      </w:r>
      <w:r>
        <w:rPr>
          <w:color w:val="231F20"/>
          <w:spacing w:val="-4"/>
        </w:rPr>
        <w:t>leurs</w:t>
      </w:r>
      <w:r>
        <w:rPr>
          <w:color w:val="231F20"/>
          <w:spacing w:val="-11"/>
        </w:rPr>
        <w:t> </w:t>
      </w:r>
      <w:r>
        <w:rPr>
          <w:color w:val="231F20"/>
          <w:spacing w:val="-4"/>
        </w:rPr>
        <w:t>devanciers</w:t>
      </w:r>
      <w:r>
        <w:rPr>
          <w:color w:val="231F20"/>
          <w:spacing w:val="-11"/>
        </w:rPr>
        <w:t> </w:t>
      </w:r>
      <w:r>
        <w:rPr>
          <w:color w:val="231F20"/>
          <w:spacing w:val="-4"/>
        </w:rPr>
        <w:t>des</w:t>
      </w:r>
      <w:r>
        <w:rPr>
          <w:color w:val="231F20"/>
          <w:spacing w:val="-9"/>
        </w:rPr>
        <w:t> </w:t>
      </w:r>
      <w:r>
        <w:rPr>
          <w:color w:val="231F20"/>
          <w:spacing w:val="-4"/>
        </w:rPr>
        <w:t>premières</w:t>
      </w:r>
      <w:r>
        <w:rPr>
          <w:color w:val="231F20"/>
          <w:spacing w:val="-11"/>
        </w:rPr>
        <w:t> </w:t>
      </w:r>
      <w:r>
        <w:rPr>
          <w:color w:val="231F20"/>
          <w:spacing w:val="-4"/>
        </w:rPr>
        <w:t>décennies </w:t>
      </w:r>
      <w:r>
        <w:rPr>
          <w:color w:val="231F20"/>
        </w:rPr>
        <w:t>de</w:t>
      </w:r>
      <w:r>
        <w:rPr>
          <w:color w:val="231F20"/>
          <w:spacing w:val="-3"/>
        </w:rPr>
        <w:t> </w:t>
      </w:r>
      <w:r>
        <w:rPr>
          <w:color w:val="231F20"/>
        </w:rPr>
        <w:t>l’indépendance.</w:t>
      </w:r>
      <w:r>
        <w:rPr>
          <w:color w:val="231F20"/>
          <w:spacing w:val="-5"/>
        </w:rPr>
        <w:t> </w:t>
      </w:r>
      <w:r>
        <w:rPr>
          <w:color w:val="231F20"/>
        </w:rPr>
        <w:t>Non</w:t>
      </w:r>
      <w:r>
        <w:rPr>
          <w:color w:val="231F20"/>
          <w:spacing w:val="-5"/>
        </w:rPr>
        <w:t> </w:t>
      </w:r>
      <w:r>
        <w:rPr>
          <w:color w:val="231F20"/>
        </w:rPr>
        <w:t>seulement,</w:t>
      </w:r>
      <w:r>
        <w:rPr>
          <w:color w:val="231F20"/>
          <w:spacing w:val="-4"/>
        </w:rPr>
        <w:t> </w:t>
      </w:r>
      <w:r>
        <w:rPr>
          <w:color w:val="231F20"/>
        </w:rPr>
        <w:t>ces</w:t>
      </w:r>
      <w:r>
        <w:rPr>
          <w:color w:val="231F20"/>
          <w:spacing w:val="-4"/>
        </w:rPr>
        <w:t> </w:t>
      </w:r>
      <w:r>
        <w:rPr>
          <w:color w:val="231F20"/>
        </w:rPr>
        <w:t>dirigeants</w:t>
      </w:r>
      <w:r>
        <w:rPr>
          <w:color w:val="231F20"/>
          <w:spacing w:val="-4"/>
        </w:rPr>
        <w:t> </w:t>
      </w:r>
      <w:r>
        <w:rPr>
          <w:color w:val="231F20"/>
        </w:rPr>
        <w:t>parachutés</w:t>
      </w:r>
      <w:r>
        <w:rPr>
          <w:color w:val="231F20"/>
          <w:spacing w:val="-5"/>
        </w:rPr>
        <w:t> </w:t>
      </w:r>
      <w:r>
        <w:rPr>
          <w:color w:val="231F20"/>
        </w:rPr>
        <w:t>par</w:t>
      </w:r>
      <w:r>
        <w:rPr>
          <w:color w:val="231F20"/>
          <w:spacing w:val="-4"/>
        </w:rPr>
        <w:t> </w:t>
      </w:r>
      <w:r>
        <w:rPr>
          <w:color w:val="231F20"/>
        </w:rPr>
        <w:t>Paris, </w:t>
      </w:r>
      <w:r>
        <w:rPr>
          <w:color w:val="231F20"/>
          <w:spacing w:val="-4"/>
        </w:rPr>
        <w:t>Londres</w:t>
      </w:r>
      <w:r>
        <w:rPr>
          <w:color w:val="231F20"/>
          <w:spacing w:val="-7"/>
        </w:rPr>
        <w:t> </w:t>
      </w:r>
      <w:r>
        <w:rPr>
          <w:color w:val="231F20"/>
          <w:spacing w:val="-4"/>
        </w:rPr>
        <w:t>ou</w:t>
      </w:r>
      <w:r>
        <w:rPr>
          <w:color w:val="231F20"/>
          <w:spacing w:val="-7"/>
        </w:rPr>
        <w:t> </w:t>
      </w:r>
      <w:r>
        <w:rPr>
          <w:color w:val="231F20"/>
          <w:spacing w:val="-4"/>
        </w:rPr>
        <w:t>New-York</w:t>
      </w:r>
      <w:r>
        <w:rPr>
          <w:color w:val="231F20"/>
          <w:spacing w:val="-9"/>
        </w:rPr>
        <w:t> </w:t>
      </w:r>
      <w:r>
        <w:rPr>
          <w:color w:val="231F20"/>
          <w:spacing w:val="-4"/>
        </w:rPr>
        <w:t>n’ont</w:t>
      </w:r>
      <w:r>
        <w:rPr>
          <w:color w:val="231F20"/>
          <w:spacing w:val="-6"/>
        </w:rPr>
        <w:t> </w:t>
      </w:r>
      <w:r>
        <w:rPr>
          <w:color w:val="231F20"/>
          <w:spacing w:val="-4"/>
        </w:rPr>
        <w:t>pas</w:t>
      </w:r>
      <w:r>
        <w:rPr>
          <w:color w:val="231F20"/>
          <w:spacing w:val="-6"/>
        </w:rPr>
        <w:t> </w:t>
      </w:r>
      <w:r>
        <w:rPr>
          <w:color w:val="231F20"/>
          <w:spacing w:val="-4"/>
        </w:rPr>
        <w:t>assaini</w:t>
      </w:r>
      <w:r>
        <w:rPr>
          <w:color w:val="231F20"/>
          <w:spacing w:val="-9"/>
        </w:rPr>
        <w:t> </w:t>
      </w:r>
      <w:r>
        <w:rPr>
          <w:color w:val="231F20"/>
          <w:spacing w:val="-4"/>
        </w:rPr>
        <w:t>les</w:t>
      </w:r>
      <w:r>
        <w:rPr>
          <w:color w:val="231F20"/>
          <w:spacing w:val="-7"/>
        </w:rPr>
        <w:t> </w:t>
      </w:r>
      <w:r>
        <w:rPr>
          <w:color w:val="231F20"/>
          <w:spacing w:val="-4"/>
        </w:rPr>
        <w:t>finances</w:t>
      </w:r>
      <w:r>
        <w:rPr>
          <w:color w:val="231F20"/>
          <w:spacing w:val="-6"/>
        </w:rPr>
        <w:t> </w:t>
      </w:r>
      <w:r>
        <w:rPr>
          <w:color w:val="231F20"/>
          <w:spacing w:val="-4"/>
        </w:rPr>
        <w:t>des</w:t>
      </w:r>
      <w:r>
        <w:rPr>
          <w:color w:val="231F20"/>
          <w:spacing w:val="-8"/>
        </w:rPr>
        <w:t> </w:t>
      </w:r>
      <w:r>
        <w:rPr>
          <w:color w:val="231F20"/>
          <w:spacing w:val="-4"/>
        </w:rPr>
        <w:t>États</w:t>
      </w:r>
      <w:r>
        <w:rPr>
          <w:color w:val="231F20"/>
          <w:spacing w:val="-9"/>
        </w:rPr>
        <w:t> </w:t>
      </w:r>
      <w:r>
        <w:rPr>
          <w:color w:val="231F20"/>
          <w:spacing w:val="-4"/>
        </w:rPr>
        <w:t>mais</w:t>
      </w:r>
      <w:r>
        <w:rPr>
          <w:color w:val="231F20"/>
          <w:spacing w:val="-6"/>
        </w:rPr>
        <w:t> </w:t>
      </w:r>
      <w:r>
        <w:rPr>
          <w:color w:val="231F20"/>
          <w:spacing w:val="-4"/>
        </w:rPr>
        <w:t>ils</w:t>
      </w:r>
      <w:r>
        <w:rPr>
          <w:color w:val="231F20"/>
          <w:spacing w:val="-9"/>
        </w:rPr>
        <w:t> </w:t>
      </w:r>
      <w:r>
        <w:rPr>
          <w:color w:val="231F20"/>
          <w:spacing w:val="-4"/>
        </w:rPr>
        <w:t>ont plutôt</w:t>
      </w:r>
      <w:r>
        <w:rPr>
          <w:color w:val="231F20"/>
          <w:spacing w:val="-9"/>
        </w:rPr>
        <w:t> </w:t>
      </w:r>
      <w:r>
        <w:rPr>
          <w:color w:val="231F20"/>
          <w:spacing w:val="-4"/>
        </w:rPr>
        <w:t>«</w:t>
      </w:r>
      <w:r>
        <w:rPr>
          <w:color w:val="231F20"/>
        </w:rPr>
        <w:t> </w:t>
      </w:r>
      <w:r>
        <w:rPr>
          <w:color w:val="231F20"/>
          <w:spacing w:val="-4"/>
        </w:rPr>
        <w:t>vendu</w:t>
      </w:r>
      <w:r>
        <w:rPr>
          <w:color w:val="231F20"/>
        </w:rPr>
        <w:t> </w:t>
      </w:r>
      <w:r>
        <w:rPr>
          <w:color w:val="231F20"/>
          <w:spacing w:val="-4"/>
        </w:rPr>
        <w:t>»</w:t>
      </w:r>
      <w:r>
        <w:rPr>
          <w:color w:val="231F20"/>
          <w:spacing w:val="-9"/>
        </w:rPr>
        <w:t> </w:t>
      </w:r>
      <w:r>
        <w:rPr>
          <w:color w:val="231F20"/>
          <w:spacing w:val="-4"/>
        </w:rPr>
        <w:t>les</w:t>
      </w:r>
      <w:r>
        <w:rPr>
          <w:color w:val="231F20"/>
          <w:spacing w:val="-7"/>
        </w:rPr>
        <w:t> </w:t>
      </w:r>
      <w:r>
        <w:rPr>
          <w:color w:val="231F20"/>
          <w:spacing w:val="-4"/>
        </w:rPr>
        <w:t>États</w:t>
      </w:r>
      <w:r>
        <w:rPr>
          <w:color w:val="231F20"/>
          <w:spacing w:val="-11"/>
        </w:rPr>
        <w:t> </w:t>
      </w:r>
      <w:r>
        <w:rPr>
          <w:color w:val="231F20"/>
          <w:spacing w:val="-4"/>
        </w:rPr>
        <w:t>à</w:t>
      </w:r>
      <w:r>
        <w:rPr>
          <w:color w:val="231F20"/>
          <w:spacing w:val="-7"/>
        </w:rPr>
        <w:t> </w:t>
      </w:r>
      <w:r>
        <w:rPr>
          <w:color w:val="231F20"/>
          <w:spacing w:val="-4"/>
        </w:rPr>
        <w:t>leurs</w:t>
      </w:r>
      <w:r>
        <w:rPr>
          <w:color w:val="231F20"/>
          <w:spacing w:val="-7"/>
        </w:rPr>
        <w:t> </w:t>
      </w:r>
      <w:r>
        <w:rPr>
          <w:color w:val="231F20"/>
          <w:spacing w:val="-4"/>
        </w:rPr>
        <w:t>protecteurs,</w:t>
      </w:r>
      <w:r>
        <w:rPr>
          <w:color w:val="231F20"/>
          <w:spacing w:val="-11"/>
        </w:rPr>
        <w:t> </w:t>
      </w:r>
      <w:r>
        <w:rPr>
          <w:color w:val="231F20"/>
          <w:spacing w:val="-4"/>
        </w:rPr>
        <w:t>le</w:t>
      </w:r>
      <w:r>
        <w:rPr>
          <w:color w:val="231F20"/>
          <w:spacing w:val="-7"/>
        </w:rPr>
        <w:t> </w:t>
      </w:r>
      <w:r>
        <w:rPr>
          <w:color w:val="231F20"/>
          <w:spacing w:val="-4"/>
        </w:rPr>
        <w:t>locataire</w:t>
      </w:r>
      <w:r>
        <w:rPr>
          <w:color w:val="231F20"/>
          <w:spacing w:val="-7"/>
        </w:rPr>
        <w:t> </w:t>
      </w:r>
      <w:r>
        <w:rPr>
          <w:color w:val="231F20"/>
          <w:spacing w:val="-4"/>
        </w:rPr>
        <w:t>de</w:t>
      </w:r>
      <w:r>
        <w:rPr>
          <w:color w:val="231F20"/>
          <w:spacing w:val="-9"/>
        </w:rPr>
        <w:t> </w:t>
      </w:r>
      <w:r>
        <w:rPr>
          <w:color w:val="231F20"/>
          <w:spacing w:val="-4"/>
        </w:rPr>
        <w:t>l’Élysée</w:t>
      </w:r>
      <w:r>
        <w:rPr>
          <w:color w:val="231F20"/>
          <w:spacing w:val="-7"/>
        </w:rPr>
        <w:t> </w:t>
      </w:r>
      <w:r>
        <w:rPr>
          <w:color w:val="231F20"/>
          <w:spacing w:val="-4"/>
        </w:rPr>
        <w:t>et</w:t>
      </w:r>
      <w:r>
        <w:rPr>
          <w:color w:val="231F20"/>
          <w:spacing w:val="-8"/>
        </w:rPr>
        <w:t> </w:t>
      </w:r>
      <w:r>
        <w:rPr>
          <w:color w:val="231F20"/>
          <w:spacing w:val="-4"/>
        </w:rPr>
        <w:t>les </w:t>
      </w:r>
      <w:r>
        <w:rPr>
          <w:color w:val="231F20"/>
        </w:rPr>
        <w:t>institutions internationales, qui prônent sans relâche des réformes économiques pour attirer les investissements privés, à travers des privatisations ou des prises de participation dans des domaines stratégiques (énergie, eau, télécoms, etc.).</w:t>
      </w:r>
    </w:p>
    <w:p>
      <w:pPr>
        <w:spacing w:after="0"/>
        <w:sectPr>
          <w:pgSz w:w="8790" w:h="13610"/>
          <w:pgMar w:header="0" w:footer="802" w:top="1060" w:bottom="1000" w:left="880" w:right="880"/>
        </w:sectPr>
      </w:pPr>
    </w:p>
    <w:p>
      <w:pPr>
        <w:pStyle w:val="BodyText"/>
        <w:spacing w:before="66"/>
        <w:ind w:right="105" w:firstLine="283"/>
      </w:pPr>
      <w:r>
        <w:rPr>
          <w:color w:val="231F20"/>
          <w:spacing w:val="-2"/>
        </w:rPr>
        <w:t>Mais</w:t>
      </w:r>
      <w:r>
        <w:rPr>
          <w:color w:val="231F20"/>
          <w:spacing w:val="-13"/>
        </w:rPr>
        <w:t> </w:t>
      </w:r>
      <w:r>
        <w:rPr>
          <w:color w:val="231F20"/>
          <w:spacing w:val="-2"/>
        </w:rPr>
        <w:t>qu’importe,</w:t>
      </w:r>
      <w:r>
        <w:rPr>
          <w:color w:val="231F20"/>
          <w:spacing w:val="-13"/>
        </w:rPr>
        <w:t> </w:t>
      </w:r>
      <w:r>
        <w:rPr>
          <w:color w:val="231F20"/>
          <w:spacing w:val="-2"/>
        </w:rPr>
        <w:t>plus</w:t>
      </w:r>
      <w:r>
        <w:rPr>
          <w:color w:val="231F20"/>
          <w:spacing w:val="-13"/>
        </w:rPr>
        <w:t> </w:t>
      </w:r>
      <w:r>
        <w:rPr>
          <w:color w:val="231F20"/>
          <w:spacing w:val="-2"/>
        </w:rPr>
        <w:t>préoccupés</w:t>
      </w:r>
      <w:r>
        <w:rPr>
          <w:color w:val="231F20"/>
          <w:spacing w:val="-13"/>
        </w:rPr>
        <w:t> </w:t>
      </w:r>
      <w:r>
        <w:rPr>
          <w:color w:val="231F20"/>
          <w:spacing w:val="-2"/>
        </w:rPr>
        <w:t>à</w:t>
      </w:r>
      <w:r>
        <w:rPr>
          <w:color w:val="231F20"/>
          <w:spacing w:val="-13"/>
        </w:rPr>
        <w:t> </w:t>
      </w:r>
      <w:r>
        <w:rPr>
          <w:color w:val="231F20"/>
          <w:spacing w:val="-2"/>
        </w:rPr>
        <w:t>puiser</w:t>
      </w:r>
      <w:r>
        <w:rPr>
          <w:color w:val="231F20"/>
          <w:spacing w:val="-13"/>
        </w:rPr>
        <w:t> </w:t>
      </w:r>
      <w:r>
        <w:rPr>
          <w:color w:val="231F20"/>
          <w:spacing w:val="-2"/>
        </w:rPr>
        <w:t>dans</w:t>
      </w:r>
      <w:r>
        <w:rPr>
          <w:color w:val="231F20"/>
          <w:spacing w:val="-13"/>
        </w:rPr>
        <w:t> </w:t>
      </w:r>
      <w:r>
        <w:rPr>
          <w:color w:val="231F20"/>
          <w:spacing w:val="-2"/>
        </w:rPr>
        <w:t>les</w:t>
      </w:r>
      <w:r>
        <w:rPr>
          <w:color w:val="231F20"/>
          <w:spacing w:val="-13"/>
        </w:rPr>
        <w:t> </w:t>
      </w:r>
      <w:r>
        <w:rPr>
          <w:color w:val="231F20"/>
          <w:spacing w:val="-2"/>
        </w:rPr>
        <w:t>ressources</w:t>
      </w:r>
      <w:r>
        <w:rPr>
          <w:color w:val="231F20"/>
          <w:spacing w:val="-13"/>
        </w:rPr>
        <w:t> </w:t>
      </w:r>
      <w:r>
        <w:rPr>
          <w:color w:val="231F20"/>
          <w:spacing w:val="-2"/>
        </w:rPr>
        <w:t>propres de</w:t>
      </w:r>
      <w:r>
        <w:rPr>
          <w:color w:val="231F20"/>
          <w:spacing w:val="-13"/>
        </w:rPr>
        <w:t> </w:t>
      </w:r>
      <w:r>
        <w:rPr>
          <w:color w:val="231F20"/>
          <w:spacing w:val="-2"/>
        </w:rPr>
        <w:t>leurs</w:t>
      </w:r>
      <w:r>
        <w:rPr>
          <w:color w:val="231F20"/>
          <w:spacing w:val="-13"/>
        </w:rPr>
        <w:t> </w:t>
      </w:r>
      <w:r>
        <w:rPr>
          <w:color w:val="231F20"/>
          <w:spacing w:val="-2"/>
        </w:rPr>
        <w:t>pays,</w:t>
      </w:r>
      <w:r>
        <w:rPr>
          <w:color w:val="231F20"/>
          <w:spacing w:val="-13"/>
        </w:rPr>
        <w:t> </w:t>
      </w:r>
      <w:r>
        <w:rPr>
          <w:color w:val="231F20"/>
          <w:spacing w:val="-2"/>
        </w:rPr>
        <w:t>une</w:t>
      </w:r>
      <w:r>
        <w:rPr>
          <w:color w:val="231F20"/>
          <w:spacing w:val="-13"/>
        </w:rPr>
        <w:t> </w:t>
      </w:r>
      <w:r>
        <w:rPr>
          <w:color w:val="231F20"/>
          <w:spacing w:val="-2"/>
        </w:rPr>
        <w:t>fois</w:t>
      </w:r>
      <w:r>
        <w:rPr>
          <w:color w:val="231F20"/>
          <w:spacing w:val="-11"/>
        </w:rPr>
        <w:t> </w:t>
      </w:r>
      <w:r>
        <w:rPr>
          <w:color w:val="231F20"/>
          <w:spacing w:val="-2"/>
        </w:rPr>
        <w:t>élus,</w:t>
      </w:r>
      <w:r>
        <w:rPr>
          <w:color w:val="231F20"/>
          <w:spacing w:val="-12"/>
        </w:rPr>
        <w:t> </w:t>
      </w:r>
      <w:r>
        <w:rPr>
          <w:color w:val="231F20"/>
          <w:spacing w:val="-2"/>
        </w:rPr>
        <w:t>les</w:t>
      </w:r>
      <w:r>
        <w:rPr>
          <w:color w:val="231F20"/>
          <w:spacing w:val="-12"/>
        </w:rPr>
        <w:t> </w:t>
      </w:r>
      <w:r>
        <w:rPr>
          <w:color w:val="231F20"/>
          <w:spacing w:val="-2"/>
        </w:rPr>
        <w:t>dirigeants</w:t>
      </w:r>
      <w:r>
        <w:rPr>
          <w:color w:val="231F20"/>
          <w:spacing w:val="-13"/>
        </w:rPr>
        <w:t> </w:t>
      </w:r>
      <w:r>
        <w:rPr>
          <w:color w:val="231F20"/>
          <w:spacing w:val="-2"/>
        </w:rPr>
        <w:t>des</w:t>
      </w:r>
      <w:r>
        <w:rPr>
          <w:color w:val="231F20"/>
          <w:spacing w:val="-11"/>
        </w:rPr>
        <w:t> </w:t>
      </w:r>
      <w:r>
        <w:rPr>
          <w:color w:val="231F20"/>
          <w:spacing w:val="-2"/>
        </w:rPr>
        <w:t>États</w:t>
      </w:r>
      <w:r>
        <w:rPr>
          <w:color w:val="231F20"/>
          <w:spacing w:val="-13"/>
        </w:rPr>
        <w:t> </w:t>
      </w:r>
      <w:r>
        <w:rPr>
          <w:color w:val="231F20"/>
          <w:spacing w:val="-2"/>
        </w:rPr>
        <w:t>«</w:t>
      </w:r>
      <w:r>
        <w:rPr>
          <w:color w:val="231F20"/>
          <w:spacing w:val="-10"/>
        </w:rPr>
        <w:t> </w:t>
      </w:r>
      <w:r>
        <w:rPr>
          <w:color w:val="231F20"/>
          <w:spacing w:val="-2"/>
        </w:rPr>
        <w:t>oublient</w:t>
      </w:r>
      <w:r>
        <w:rPr>
          <w:color w:val="231F20"/>
          <w:spacing w:val="-9"/>
        </w:rPr>
        <w:t> </w:t>
      </w:r>
      <w:r>
        <w:rPr>
          <w:color w:val="231F20"/>
          <w:spacing w:val="-2"/>
        </w:rPr>
        <w:t>»</w:t>
      </w:r>
      <w:r>
        <w:rPr>
          <w:color w:val="231F20"/>
          <w:spacing w:val="-13"/>
        </w:rPr>
        <w:t> </w:t>
      </w:r>
      <w:r>
        <w:rPr>
          <w:color w:val="231F20"/>
          <w:spacing w:val="-2"/>
        </w:rPr>
        <w:t>de</w:t>
      </w:r>
      <w:r>
        <w:rPr>
          <w:color w:val="231F20"/>
          <w:spacing w:val="-13"/>
        </w:rPr>
        <w:t> </w:t>
      </w:r>
      <w:r>
        <w:rPr>
          <w:color w:val="231F20"/>
          <w:spacing w:val="-2"/>
        </w:rPr>
        <w:t>mettre </w:t>
      </w:r>
      <w:r>
        <w:rPr>
          <w:color w:val="231F20"/>
        </w:rPr>
        <w:t>en place la politique économique et sociale promise aux populations pendant</w:t>
      </w:r>
      <w:r>
        <w:rPr>
          <w:color w:val="231F20"/>
          <w:spacing w:val="-15"/>
        </w:rPr>
        <w:t> </w:t>
      </w:r>
      <w:r>
        <w:rPr>
          <w:color w:val="231F20"/>
        </w:rPr>
        <w:t>la</w:t>
      </w:r>
      <w:r>
        <w:rPr>
          <w:color w:val="231F20"/>
          <w:spacing w:val="-15"/>
        </w:rPr>
        <w:t> </w:t>
      </w:r>
      <w:r>
        <w:rPr>
          <w:color w:val="231F20"/>
        </w:rPr>
        <w:t>campagne</w:t>
      </w:r>
      <w:r>
        <w:rPr>
          <w:color w:val="231F20"/>
          <w:spacing w:val="-15"/>
        </w:rPr>
        <w:t> </w:t>
      </w:r>
      <w:r>
        <w:rPr>
          <w:color w:val="231F20"/>
        </w:rPr>
        <w:t>électorale</w:t>
      </w:r>
      <w:r>
        <w:rPr>
          <w:color w:val="231F20"/>
          <w:spacing w:val="-15"/>
        </w:rPr>
        <w:t> </w:t>
      </w:r>
      <w:r>
        <w:rPr>
          <w:color w:val="231F20"/>
        </w:rPr>
        <w:t>et</w:t>
      </w:r>
      <w:r>
        <w:rPr>
          <w:color w:val="231F20"/>
          <w:spacing w:val="-13"/>
        </w:rPr>
        <w:t> </w:t>
      </w:r>
      <w:r>
        <w:rPr>
          <w:color w:val="231F20"/>
        </w:rPr>
        <w:t>se</w:t>
      </w:r>
      <w:r>
        <w:rPr>
          <w:color w:val="231F20"/>
          <w:spacing w:val="-15"/>
        </w:rPr>
        <w:t> </w:t>
      </w:r>
      <w:r>
        <w:rPr>
          <w:color w:val="231F20"/>
        </w:rPr>
        <w:t>préoccupent</w:t>
      </w:r>
      <w:r>
        <w:rPr>
          <w:color w:val="231F20"/>
          <w:spacing w:val="-14"/>
        </w:rPr>
        <w:t> </w:t>
      </w:r>
      <w:r>
        <w:rPr>
          <w:color w:val="231F20"/>
        </w:rPr>
        <w:t>peu</w:t>
      </w:r>
      <w:r>
        <w:rPr>
          <w:color w:val="231F20"/>
          <w:spacing w:val="-15"/>
        </w:rPr>
        <w:t> </w:t>
      </w:r>
      <w:r>
        <w:rPr>
          <w:color w:val="231F20"/>
        </w:rPr>
        <w:t>ou</w:t>
      </w:r>
      <w:r>
        <w:rPr>
          <w:color w:val="231F20"/>
          <w:spacing w:val="-15"/>
        </w:rPr>
        <w:t> </w:t>
      </w:r>
      <w:r>
        <w:rPr>
          <w:color w:val="231F20"/>
        </w:rPr>
        <w:t>pas</w:t>
      </w:r>
      <w:r>
        <w:rPr>
          <w:color w:val="231F20"/>
          <w:spacing w:val="-15"/>
        </w:rPr>
        <w:t> </w:t>
      </w:r>
      <w:r>
        <w:rPr>
          <w:color w:val="231F20"/>
        </w:rPr>
        <w:t>du</w:t>
      </w:r>
      <w:r>
        <w:rPr>
          <w:color w:val="231F20"/>
          <w:spacing w:val="-15"/>
        </w:rPr>
        <w:t> </w:t>
      </w:r>
      <w:r>
        <w:rPr>
          <w:color w:val="231F20"/>
        </w:rPr>
        <w:t>tout</w:t>
      </w:r>
      <w:r>
        <w:rPr>
          <w:color w:val="231F20"/>
          <w:spacing w:val="-14"/>
        </w:rPr>
        <w:t> </w:t>
      </w:r>
      <w:r>
        <w:rPr>
          <w:color w:val="231F20"/>
        </w:rPr>
        <w:t>des conséquences de la dette des États sur le quotidien des populations, Ils </w:t>
      </w:r>
      <w:r>
        <w:rPr>
          <w:color w:val="231F20"/>
          <w:spacing w:val="-4"/>
        </w:rPr>
        <w:t>n’ont</w:t>
      </w:r>
      <w:r>
        <w:rPr>
          <w:color w:val="231F20"/>
          <w:spacing w:val="-11"/>
        </w:rPr>
        <w:t> </w:t>
      </w:r>
      <w:r>
        <w:rPr>
          <w:color w:val="231F20"/>
          <w:spacing w:val="-4"/>
        </w:rPr>
        <w:t>aucun</w:t>
      </w:r>
      <w:r>
        <w:rPr>
          <w:color w:val="231F20"/>
          <w:spacing w:val="-11"/>
        </w:rPr>
        <w:t> </w:t>
      </w:r>
      <w:r>
        <w:rPr>
          <w:color w:val="231F20"/>
          <w:spacing w:val="-4"/>
        </w:rPr>
        <w:t>compte</w:t>
      </w:r>
      <w:r>
        <w:rPr>
          <w:color w:val="231F20"/>
          <w:spacing w:val="-11"/>
        </w:rPr>
        <w:t> </w:t>
      </w:r>
      <w:r>
        <w:rPr>
          <w:color w:val="231F20"/>
          <w:spacing w:val="-4"/>
        </w:rPr>
        <w:t>à</w:t>
      </w:r>
      <w:r>
        <w:rPr>
          <w:color w:val="231F20"/>
          <w:spacing w:val="-11"/>
        </w:rPr>
        <w:t> </w:t>
      </w:r>
      <w:r>
        <w:rPr>
          <w:color w:val="231F20"/>
          <w:spacing w:val="-4"/>
        </w:rPr>
        <w:t>rendre</w:t>
      </w:r>
      <w:r>
        <w:rPr>
          <w:color w:val="231F20"/>
          <w:spacing w:val="-11"/>
        </w:rPr>
        <w:t> </w:t>
      </w:r>
      <w:r>
        <w:rPr>
          <w:color w:val="231F20"/>
          <w:spacing w:val="-4"/>
        </w:rPr>
        <w:t>à</w:t>
      </w:r>
      <w:r>
        <w:rPr>
          <w:color w:val="231F20"/>
          <w:spacing w:val="-11"/>
        </w:rPr>
        <w:t> </w:t>
      </w:r>
      <w:r>
        <w:rPr>
          <w:color w:val="231F20"/>
          <w:spacing w:val="-4"/>
        </w:rPr>
        <w:t>la</w:t>
      </w:r>
      <w:r>
        <w:rPr>
          <w:color w:val="231F20"/>
          <w:spacing w:val="-11"/>
        </w:rPr>
        <w:t> </w:t>
      </w:r>
      <w:r>
        <w:rPr>
          <w:color w:val="231F20"/>
          <w:spacing w:val="-4"/>
        </w:rPr>
        <w:t>population.</w:t>
      </w:r>
      <w:r>
        <w:rPr>
          <w:color w:val="231F20"/>
          <w:spacing w:val="-11"/>
        </w:rPr>
        <w:t> </w:t>
      </w:r>
      <w:r>
        <w:rPr>
          <w:color w:val="231F20"/>
          <w:spacing w:val="-4"/>
        </w:rPr>
        <w:t>Ils</w:t>
      </w:r>
      <w:r>
        <w:rPr>
          <w:color w:val="231F20"/>
          <w:spacing w:val="-11"/>
        </w:rPr>
        <w:t> </w:t>
      </w:r>
      <w:r>
        <w:rPr>
          <w:color w:val="231F20"/>
          <w:spacing w:val="-4"/>
        </w:rPr>
        <w:t>envoient</w:t>
      </w:r>
      <w:r>
        <w:rPr>
          <w:color w:val="231F20"/>
          <w:spacing w:val="-11"/>
        </w:rPr>
        <w:t> </w:t>
      </w:r>
      <w:r>
        <w:rPr>
          <w:color w:val="231F20"/>
          <w:spacing w:val="-4"/>
        </w:rPr>
        <w:t>leurs</w:t>
      </w:r>
      <w:r>
        <w:rPr>
          <w:color w:val="231F20"/>
          <w:spacing w:val="-11"/>
        </w:rPr>
        <w:t> </w:t>
      </w:r>
      <w:r>
        <w:rPr>
          <w:color w:val="231F20"/>
          <w:spacing w:val="-4"/>
        </w:rPr>
        <w:t>enfants</w:t>
      </w:r>
      <w:r>
        <w:rPr>
          <w:color w:val="231F20"/>
          <w:spacing w:val="-11"/>
        </w:rPr>
        <w:t> </w:t>
      </w:r>
      <w:r>
        <w:rPr>
          <w:color w:val="231F20"/>
          <w:spacing w:val="-4"/>
        </w:rPr>
        <w:t>aux </w:t>
      </w:r>
      <w:r>
        <w:rPr>
          <w:color w:val="231F20"/>
        </w:rPr>
        <w:t>études</w:t>
      </w:r>
      <w:r>
        <w:rPr>
          <w:color w:val="231F20"/>
          <w:spacing w:val="-3"/>
        </w:rPr>
        <w:t> </w:t>
      </w:r>
      <w:r>
        <w:rPr>
          <w:color w:val="231F20"/>
        </w:rPr>
        <w:t>en</w:t>
      </w:r>
      <w:r>
        <w:rPr>
          <w:color w:val="231F20"/>
          <w:spacing w:val="-3"/>
        </w:rPr>
        <w:t> </w:t>
      </w:r>
      <w:r>
        <w:rPr>
          <w:color w:val="231F20"/>
        </w:rPr>
        <w:t>Occident</w:t>
      </w:r>
      <w:r>
        <w:rPr>
          <w:color w:val="231F20"/>
          <w:spacing w:val="-2"/>
        </w:rPr>
        <w:t> </w:t>
      </w:r>
      <w:r>
        <w:rPr>
          <w:color w:val="231F20"/>
        </w:rPr>
        <w:t>parce</w:t>
      </w:r>
      <w:r>
        <w:rPr>
          <w:color w:val="231F20"/>
          <w:spacing w:val="-6"/>
        </w:rPr>
        <w:t> </w:t>
      </w:r>
      <w:r>
        <w:rPr>
          <w:color w:val="231F20"/>
        </w:rPr>
        <w:t>qu’ils</w:t>
      </w:r>
      <w:r>
        <w:rPr>
          <w:color w:val="231F20"/>
          <w:spacing w:val="-4"/>
        </w:rPr>
        <w:t> </w:t>
      </w:r>
      <w:r>
        <w:rPr>
          <w:color w:val="231F20"/>
        </w:rPr>
        <w:t>savent</w:t>
      </w:r>
      <w:r>
        <w:rPr>
          <w:color w:val="231F20"/>
          <w:spacing w:val="-2"/>
        </w:rPr>
        <w:t> </w:t>
      </w:r>
      <w:r>
        <w:rPr>
          <w:color w:val="231F20"/>
        </w:rPr>
        <w:t>qu’ils</w:t>
      </w:r>
      <w:r>
        <w:rPr>
          <w:color w:val="231F20"/>
          <w:spacing w:val="-3"/>
        </w:rPr>
        <w:t> </w:t>
      </w:r>
      <w:r>
        <w:rPr>
          <w:color w:val="231F20"/>
        </w:rPr>
        <w:t>n’ont</w:t>
      </w:r>
      <w:r>
        <w:rPr>
          <w:color w:val="231F20"/>
          <w:spacing w:val="-5"/>
        </w:rPr>
        <w:t> </w:t>
      </w:r>
      <w:r>
        <w:rPr>
          <w:color w:val="231F20"/>
        </w:rPr>
        <w:t>rien</w:t>
      </w:r>
      <w:r>
        <w:rPr>
          <w:color w:val="231F20"/>
          <w:spacing w:val="-3"/>
        </w:rPr>
        <w:t> </w:t>
      </w:r>
      <w:r>
        <w:rPr>
          <w:color w:val="231F20"/>
        </w:rPr>
        <w:t>fait</w:t>
      </w:r>
      <w:r>
        <w:rPr>
          <w:color w:val="231F20"/>
          <w:spacing w:val="-3"/>
        </w:rPr>
        <w:t> </w:t>
      </w:r>
      <w:r>
        <w:rPr>
          <w:color w:val="231F20"/>
        </w:rPr>
        <w:t>pour</w:t>
      </w:r>
      <w:r>
        <w:rPr>
          <w:color w:val="231F20"/>
          <w:spacing w:val="-3"/>
        </w:rPr>
        <w:t> </w:t>
      </w:r>
      <w:r>
        <w:rPr>
          <w:color w:val="231F20"/>
        </w:rPr>
        <w:t>que</w:t>
      </w:r>
      <w:r>
        <w:rPr>
          <w:color w:val="231F20"/>
          <w:spacing w:val="-5"/>
        </w:rPr>
        <w:t> </w:t>
      </w:r>
      <w:r>
        <w:rPr>
          <w:color w:val="231F20"/>
        </w:rPr>
        <w:t>le </w:t>
      </w:r>
      <w:r>
        <w:rPr>
          <w:color w:val="231F20"/>
          <w:spacing w:val="-2"/>
        </w:rPr>
        <w:t>système</w:t>
      </w:r>
      <w:r>
        <w:rPr>
          <w:color w:val="231F20"/>
          <w:spacing w:val="-15"/>
        </w:rPr>
        <w:t> </w:t>
      </w:r>
      <w:r>
        <w:rPr>
          <w:color w:val="231F20"/>
          <w:spacing w:val="-2"/>
        </w:rPr>
        <w:t>éducatif</w:t>
      </w:r>
      <w:r>
        <w:rPr>
          <w:color w:val="231F20"/>
          <w:spacing w:val="-13"/>
        </w:rPr>
        <w:t> </w:t>
      </w:r>
      <w:r>
        <w:rPr>
          <w:color w:val="231F20"/>
          <w:spacing w:val="-2"/>
        </w:rPr>
        <w:t>de</w:t>
      </w:r>
      <w:r>
        <w:rPr>
          <w:color w:val="231F20"/>
          <w:spacing w:val="-13"/>
        </w:rPr>
        <w:t> </w:t>
      </w:r>
      <w:r>
        <w:rPr>
          <w:color w:val="231F20"/>
          <w:spacing w:val="-2"/>
        </w:rPr>
        <w:t>leurs</w:t>
      </w:r>
      <w:r>
        <w:rPr>
          <w:color w:val="231F20"/>
          <w:spacing w:val="-13"/>
        </w:rPr>
        <w:t> </w:t>
      </w:r>
      <w:r>
        <w:rPr>
          <w:color w:val="231F20"/>
          <w:spacing w:val="-2"/>
        </w:rPr>
        <w:t>pays</w:t>
      </w:r>
      <w:r>
        <w:rPr>
          <w:color w:val="231F20"/>
          <w:spacing w:val="-13"/>
        </w:rPr>
        <w:t> </w:t>
      </w:r>
      <w:r>
        <w:rPr>
          <w:color w:val="231F20"/>
          <w:spacing w:val="-2"/>
        </w:rPr>
        <w:t>soit</w:t>
      </w:r>
      <w:r>
        <w:rPr>
          <w:color w:val="231F20"/>
          <w:spacing w:val="-13"/>
        </w:rPr>
        <w:t> </w:t>
      </w:r>
      <w:r>
        <w:rPr>
          <w:color w:val="231F20"/>
          <w:spacing w:val="-2"/>
        </w:rPr>
        <w:t>performant.</w:t>
      </w:r>
      <w:r>
        <w:rPr>
          <w:color w:val="231F20"/>
          <w:spacing w:val="-13"/>
        </w:rPr>
        <w:t> </w:t>
      </w:r>
      <w:r>
        <w:rPr>
          <w:color w:val="231F20"/>
          <w:spacing w:val="-2"/>
        </w:rPr>
        <w:t>Ils</w:t>
      </w:r>
      <w:r>
        <w:rPr>
          <w:color w:val="231F20"/>
          <w:spacing w:val="-13"/>
        </w:rPr>
        <w:t> </w:t>
      </w:r>
      <w:r>
        <w:rPr>
          <w:color w:val="231F20"/>
          <w:spacing w:val="-2"/>
        </w:rPr>
        <w:t>se</w:t>
      </w:r>
      <w:r>
        <w:rPr>
          <w:color w:val="231F20"/>
          <w:spacing w:val="-13"/>
        </w:rPr>
        <w:t> </w:t>
      </w:r>
      <w:r>
        <w:rPr>
          <w:color w:val="231F20"/>
          <w:spacing w:val="-2"/>
        </w:rPr>
        <w:t>soignent</w:t>
      </w:r>
      <w:r>
        <w:rPr>
          <w:color w:val="231F20"/>
          <w:spacing w:val="-13"/>
        </w:rPr>
        <w:t> </w:t>
      </w:r>
      <w:r>
        <w:rPr>
          <w:color w:val="231F20"/>
          <w:spacing w:val="-2"/>
        </w:rPr>
        <w:t>en</w:t>
      </w:r>
      <w:r>
        <w:rPr>
          <w:color w:val="231F20"/>
          <w:spacing w:val="-13"/>
        </w:rPr>
        <w:t> </w:t>
      </w:r>
      <w:r>
        <w:rPr>
          <w:color w:val="231F20"/>
          <w:spacing w:val="-2"/>
        </w:rPr>
        <w:t>Europe, </w:t>
      </w:r>
      <w:r>
        <w:rPr>
          <w:color w:val="231F20"/>
        </w:rPr>
        <w:t>aux</w:t>
      </w:r>
      <w:r>
        <w:rPr>
          <w:color w:val="231F20"/>
          <w:spacing w:val="-15"/>
        </w:rPr>
        <w:t> </w:t>
      </w:r>
      <w:r>
        <w:rPr>
          <w:color w:val="231F20"/>
        </w:rPr>
        <w:t>Etats-Unis</w:t>
      </w:r>
      <w:r>
        <w:rPr>
          <w:color w:val="231F20"/>
          <w:spacing w:val="-15"/>
        </w:rPr>
        <w:t> </w:t>
      </w:r>
      <w:r>
        <w:rPr>
          <w:color w:val="231F20"/>
        </w:rPr>
        <w:t>d’Amérique</w:t>
      </w:r>
      <w:r>
        <w:rPr>
          <w:color w:val="231F20"/>
          <w:spacing w:val="-15"/>
        </w:rPr>
        <w:t> </w:t>
      </w:r>
      <w:r>
        <w:rPr>
          <w:color w:val="231F20"/>
        </w:rPr>
        <w:t>ou</w:t>
      </w:r>
      <w:r>
        <w:rPr>
          <w:color w:val="231F20"/>
          <w:spacing w:val="-15"/>
        </w:rPr>
        <w:t> </w:t>
      </w:r>
      <w:r>
        <w:rPr>
          <w:color w:val="231F20"/>
        </w:rPr>
        <w:t>en</w:t>
      </w:r>
      <w:r>
        <w:rPr>
          <w:color w:val="231F20"/>
          <w:spacing w:val="-15"/>
        </w:rPr>
        <w:t> </w:t>
      </w:r>
      <w:r>
        <w:rPr>
          <w:color w:val="231F20"/>
        </w:rPr>
        <w:t>Afrique</w:t>
      </w:r>
      <w:r>
        <w:rPr>
          <w:color w:val="231F20"/>
          <w:spacing w:val="-15"/>
        </w:rPr>
        <w:t> </w:t>
      </w:r>
      <w:r>
        <w:rPr>
          <w:color w:val="231F20"/>
        </w:rPr>
        <w:t>du</w:t>
      </w:r>
      <w:r>
        <w:rPr>
          <w:color w:val="231F20"/>
          <w:spacing w:val="-15"/>
        </w:rPr>
        <w:t> </w:t>
      </w:r>
      <w:r>
        <w:rPr>
          <w:color w:val="231F20"/>
        </w:rPr>
        <w:t>nord</w:t>
      </w:r>
      <w:r>
        <w:rPr>
          <w:color w:val="231F20"/>
          <w:spacing w:val="-15"/>
        </w:rPr>
        <w:t> </w:t>
      </w:r>
      <w:r>
        <w:rPr>
          <w:color w:val="231F20"/>
        </w:rPr>
        <w:t>parce</w:t>
      </w:r>
      <w:r>
        <w:rPr>
          <w:color w:val="231F20"/>
          <w:spacing w:val="-15"/>
        </w:rPr>
        <w:t> </w:t>
      </w:r>
      <w:r>
        <w:rPr>
          <w:color w:val="231F20"/>
        </w:rPr>
        <w:t>qu’ils</w:t>
      </w:r>
      <w:r>
        <w:rPr>
          <w:color w:val="231F20"/>
          <w:spacing w:val="-15"/>
        </w:rPr>
        <w:t> </w:t>
      </w:r>
      <w:r>
        <w:rPr>
          <w:color w:val="231F20"/>
        </w:rPr>
        <w:t>n’ont</w:t>
      </w:r>
      <w:r>
        <w:rPr>
          <w:color w:val="231F20"/>
          <w:spacing w:val="-15"/>
        </w:rPr>
        <w:t> </w:t>
      </w:r>
      <w:r>
        <w:rPr>
          <w:color w:val="231F20"/>
        </w:rPr>
        <w:t>pas </w:t>
      </w:r>
      <w:r>
        <w:rPr>
          <w:color w:val="231F20"/>
          <w:spacing w:val="-2"/>
        </w:rPr>
        <w:t>doté</w:t>
      </w:r>
      <w:r>
        <w:rPr>
          <w:color w:val="231F20"/>
          <w:spacing w:val="-12"/>
        </w:rPr>
        <w:t> </w:t>
      </w:r>
      <w:r>
        <w:rPr>
          <w:color w:val="231F20"/>
          <w:spacing w:val="-2"/>
        </w:rPr>
        <w:t>leurs</w:t>
      </w:r>
      <w:r>
        <w:rPr>
          <w:color w:val="231F20"/>
          <w:spacing w:val="-12"/>
        </w:rPr>
        <w:t> </w:t>
      </w:r>
      <w:r>
        <w:rPr>
          <w:color w:val="231F20"/>
          <w:spacing w:val="-2"/>
        </w:rPr>
        <w:t>États</w:t>
      </w:r>
      <w:r>
        <w:rPr>
          <w:color w:val="231F20"/>
          <w:spacing w:val="-11"/>
        </w:rPr>
        <w:t> </w:t>
      </w:r>
      <w:r>
        <w:rPr>
          <w:color w:val="231F20"/>
          <w:spacing w:val="-2"/>
        </w:rPr>
        <w:t>d’un</w:t>
      </w:r>
      <w:r>
        <w:rPr>
          <w:color w:val="231F20"/>
          <w:spacing w:val="-12"/>
        </w:rPr>
        <w:t> </w:t>
      </w:r>
      <w:r>
        <w:rPr>
          <w:color w:val="231F20"/>
          <w:spacing w:val="-2"/>
        </w:rPr>
        <w:t>système</w:t>
      </w:r>
      <w:r>
        <w:rPr>
          <w:color w:val="231F20"/>
          <w:spacing w:val="-10"/>
        </w:rPr>
        <w:t> </w:t>
      </w:r>
      <w:r>
        <w:rPr>
          <w:color w:val="231F20"/>
          <w:spacing w:val="-2"/>
        </w:rPr>
        <w:t>de</w:t>
      </w:r>
      <w:r>
        <w:rPr>
          <w:color w:val="231F20"/>
          <w:spacing w:val="-13"/>
        </w:rPr>
        <w:t> </w:t>
      </w:r>
      <w:r>
        <w:rPr>
          <w:color w:val="231F20"/>
          <w:spacing w:val="-2"/>
        </w:rPr>
        <w:t>santé</w:t>
      </w:r>
      <w:r>
        <w:rPr>
          <w:color w:val="231F20"/>
          <w:spacing w:val="-12"/>
        </w:rPr>
        <w:t> </w:t>
      </w:r>
      <w:r>
        <w:rPr>
          <w:color w:val="231F20"/>
          <w:spacing w:val="-2"/>
        </w:rPr>
        <w:t>fiable.</w:t>
      </w:r>
      <w:r>
        <w:rPr>
          <w:color w:val="231F20"/>
          <w:spacing w:val="-10"/>
        </w:rPr>
        <w:t> </w:t>
      </w:r>
      <w:r>
        <w:rPr>
          <w:color w:val="231F20"/>
          <w:spacing w:val="-2"/>
        </w:rPr>
        <w:t>Ils</w:t>
      </w:r>
      <w:r>
        <w:rPr>
          <w:color w:val="231F20"/>
          <w:spacing w:val="-12"/>
        </w:rPr>
        <w:t> </w:t>
      </w:r>
      <w:r>
        <w:rPr>
          <w:color w:val="231F20"/>
          <w:spacing w:val="-2"/>
        </w:rPr>
        <w:t>ont</w:t>
      </w:r>
      <w:r>
        <w:rPr>
          <w:color w:val="231F20"/>
          <w:spacing w:val="-12"/>
        </w:rPr>
        <w:t> </w:t>
      </w:r>
      <w:r>
        <w:rPr>
          <w:color w:val="231F20"/>
          <w:spacing w:val="-2"/>
        </w:rPr>
        <w:t>leurs</w:t>
      </w:r>
      <w:r>
        <w:rPr>
          <w:color w:val="231F20"/>
          <w:spacing w:val="-10"/>
        </w:rPr>
        <w:t> </w:t>
      </w:r>
      <w:r>
        <w:rPr>
          <w:color w:val="231F20"/>
          <w:spacing w:val="-2"/>
        </w:rPr>
        <w:t>avoirs</w:t>
      </w:r>
      <w:r>
        <w:rPr>
          <w:color w:val="231F20"/>
          <w:spacing w:val="-12"/>
        </w:rPr>
        <w:t> </w:t>
      </w:r>
      <w:r>
        <w:rPr>
          <w:color w:val="231F20"/>
          <w:spacing w:val="-2"/>
        </w:rPr>
        <w:t>dans</w:t>
      </w:r>
      <w:r>
        <w:rPr>
          <w:color w:val="231F20"/>
          <w:spacing w:val="-9"/>
        </w:rPr>
        <w:t> </w:t>
      </w:r>
      <w:r>
        <w:rPr>
          <w:color w:val="231F20"/>
          <w:spacing w:val="-2"/>
        </w:rPr>
        <w:t>des </w:t>
      </w:r>
      <w:r>
        <w:rPr>
          <w:color w:val="231F20"/>
        </w:rPr>
        <w:t>banques suisses et paradis fiscaux parce qu’ils sont conscients d’avoir volé leurs biens …</w:t>
      </w:r>
    </w:p>
    <w:p>
      <w:pPr>
        <w:pStyle w:val="BodyText"/>
        <w:spacing w:before="121"/>
        <w:ind w:right="108" w:firstLine="283"/>
      </w:pPr>
      <w:r>
        <w:rPr>
          <w:color w:val="231F20"/>
        </w:rPr>
        <w:t>Les pays producteurs de diamants et de métaux rares en Afrique, </w:t>
      </w:r>
      <w:r>
        <w:rPr>
          <w:color w:val="231F20"/>
          <w:spacing w:val="-2"/>
        </w:rPr>
        <w:t>parfois</w:t>
      </w:r>
      <w:r>
        <w:rPr>
          <w:color w:val="231F20"/>
          <w:spacing w:val="-15"/>
        </w:rPr>
        <w:t> </w:t>
      </w:r>
      <w:r>
        <w:rPr>
          <w:color w:val="231F20"/>
          <w:spacing w:val="-2"/>
        </w:rPr>
        <w:t>qualifiés</w:t>
      </w:r>
      <w:r>
        <w:rPr>
          <w:color w:val="231F20"/>
          <w:spacing w:val="-13"/>
        </w:rPr>
        <w:t> </w:t>
      </w:r>
      <w:r>
        <w:rPr>
          <w:color w:val="231F20"/>
          <w:spacing w:val="-2"/>
        </w:rPr>
        <w:t>de</w:t>
      </w:r>
      <w:r>
        <w:rPr>
          <w:color w:val="231F20"/>
          <w:spacing w:val="-13"/>
        </w:rPr>
        <w:t> </w:t>
      </w:r>
      <w:r>
        <w:rPr>
          <w:color w:val="231F20"/>
          <w:spacing w:val="-2"/>
        </w:rPr>
        <w:t>«</w:t>
      </w:r>
      <w:r>
        <w:rPr>
          <w:color w:val="231F20"/>
          <w:spacing w:val="-13"/>
        </w:rPr>
        <w:t> </w:t>
      </w:r>
      <w:r>
        <w:rPr>
          <w:color w:val="231F20"/>
          <w:spacing w:val="-2"/>
        </w:rPr>
        <w:t>scandales</w:t>
      </w:r>
      <w:r>
        <w:rPr>
          <w:color w:val="231F20"/>
          <w:spacing w:val="-13"/>
        </w:rPr>
        <w:t> </w:t>
      </w:r>
      <w:r>
        <w:rPr>
          <w:color w:val="231F20"/>
          <w:spacing w:val="-2"/>
        </w:rPr>
        <w:t>géologiques</w:t>
      </w:r>
      <w:r>
        <w:rPr>
          <w:color w:val="231F20"/>
          <w:spacing w:val="-13"/>
        </w:rPr>
        <w:t> </w:t>
      </w:r>
      <w:r>
        <w:rPr>
          <w:color w:val="231F20"/>
          <w:spacing w:val="-2"/>
        </w:rPr>
        <w:t>»</w:t>
      </w:r>
      <w:r>
        <w:rPr>
          <w:color w:val="231F20"/>
          <w:spacing w:val="-13"/>
        </w:rPr>
        <w:t> </w:t>
      </w:r>
      <w:r>
        <w:rPr>
          <w:color w:val="231F20"/>
          <w:spacing w:val="-2"/>
        </w:rPr>
        <w:t>en</w:t>
      </w:r>
      <w:r>
        <w:rPr>
          <w:color w:val="231F20"/>
          <w:spacing w:val="-13"/>
        </w:rPr>
        <w:t> </w:t>
      </w:r>
      <w:r>
        <w:rPr>
          <w:color w:val="231F20"/>
          <w:spacing w:val="-2"/>
        </w:rPr>
        <w:t>raison</w:t>
      </w:r>
      <w:r>
        <w:rPr>
          <w:color w:val="231F20"/>
          <w:spacing w:val="-13"/>
        </w:rPr>
        <w:t> </w:t>
      </w:r>
      <w:r>
        <w:rPr>
          <w:color w:val="231F20"/>
          <w:spacing w:val="-2"/>
        </w:rPr>
        <w:t>de</w:t>
      </w:r>
      <w:r>
        <w:rPr>
          <w:color w:val="231F20"/>
          <w:spacing w:val="-13"/>
        </w:rPr>
        <w:t> </w:t>
      </w:r>
      <w:r>
        <w:rPr>
          <w:color w:val="231F20"/>
          <w:spacing w:val="-2"/>
        </w:rPr>
        <w:t>l’énormité</w:t>
      </w:r>
      <w:r>
        <w:rPr>
          <w:color w:val="231F20"/>
          <w:spacing w:val="-13"/>
        </w:rPr>
        <w:t> </w:t>
      </w:r>
      <w:r>
        <w:rPr>
          <w:color w:val="231F20"/>
          <w:spacing w:val="-2"/>
        </w:rPr>
        <w:t>des </w:t>
      </w:r>
      <w:r>
        <w:rPr>
          <w:color w:val="231F20"/>
        </w:rPr>
        <w:t>ressources, sont souvent, les moins développés</w:t>
      </w:r>
      <w:r>
        <w:rPr>
          <w:color w:val="231F20"/>
          <w:spacing w:val="-11"/>
        </w:rPr>
        <w:t> </w:t>
      </w:r>
      <w:r>
        <w:rPr>
          <w:color w:val="231F20"/>
        </w:rPr>
        <w:t>: leurs dirigeants consacrent plus d’énergie à s’assurer le contrôle de ces richesses qu’à tenter d’en faire profiter leurs citoyens.</w:t>
      </w:r>
    </w:p>
    <w:p>
      <w:pPr>
        <w:pStyle w:val="BodyText"/>
        <w:spacing w:before="120"/>
        <w:ind w:left="395"/>
      </w:pPr>
      <w:r>
        <w:rPr>
          <w:color w:val="231F20"/>
        </w:rPr>
        <w:t>La</w:t>
      </w:r>
      <w:r>
        <w:rPr>
          <w:color w:val="231F20"/>
          <w:spacing w:val="-7"/>
        </w:rPr>
        <w:t> </w:t>
      </w:r>
      <w:r>
        <w:rPr>
          <w:color w:val="231F20"/>
        </w:rPr>
        <w:t>République</w:t>
      </w:r>
      <w:r>
        <w:rPr>
          <w:color w:val="231F20"/>
          <w:spacing w:val="-5"/>
        </w:rPr>
        <w:t> </w:t>
      </w:r>
      <w:r>
        <w:rPr>
          <w:color w:val="231F20"/>
        </w:rPr>
        <w:t>Démocratique</w:t>
      </w:r>
      <w:r>
        <w:rPr>
          <w:color w:val="231F20"/>
          <w:spacing w:val="-5"/>
        </w:rPr>
        <w:t> </w:t>
      </w:r>
      <w:r>
        <w:rPr>
          <w:color w:val="231F20"/>
        </w:rPr>
        <w:t>du</w:t>
      </w:r>
      <w:r>
        <w:rPr>
          <w:color w:val="231F20"/>
          <w:spacing w:val="-7"/>
        </w:rPr>
        <w:t> </w:t>
      </w:r>
      <w:r>
        <w:rPr>
          <w:color w:val="231F20"/>
        </w:rPr>
        <w:t>Congo</w:t>
      </w:r>
      <w:r>
        <w:rPr>
          <w:color w:val="231F20"/>
          <w:spacing w:val="-5"/>
        </w:rPr>
        <w:t> </w:t>
      </w:r>
      <w:r>
        <w:rPr>
          <w:color w:val="231F20"/>
        </w:rPr>
        <w:t>(RDC)</w:t>
      </w:r>
      <w:r>
        <w:rPr>
          <w:color w:val="231F20"/>
          <w:spacing w:val="-5"/>
        </w:rPr>
        <w:t> </w:t>
      </w:r>
      <w:r>
        <w:rPr>
          <w:color w:val="231F20"/>
        </w:rPr>
        <w:t>a</w:t>
      </w:r>
      <w:r>
        <w:rPr>
          <w:color w:val="231F20"/>
          <w:spacing w:val="-7"/>
        </w:rPr>
        <w:t> </w:t>
      </w:r>
      <w:r>
        <w:rPr>
          <w:color w:val="231F20"/>
        </w:rPr>
        <w:t>tout</w:t>
      </w:r>
      <w:r>
        <w:rPr>
          <w:color w:val="231F20"/>
          <w:spacing w:val="-5"/>
        </w:rPr>
        <w:t> </w:t>
      </w:r>
      <w:r>
        <w:rPr>
          <w:color w:val="231F20"/>
        </w:rPr>
        <w:t>pour</w:t>
      </w:r>
      <w:r>
        <w:rPr>
          <w:color w:val="231F20"/>
          <w:spacing w:val="-4"/>
        </w:rPr>
        <w:t> </w:t>
      </w:r>
      <w:r>
        <w:rPr>
          <w:color w:val="231F20"/>
          <w:spacing w:val="-2"/>
        </w:rPr>
        <w:t>satisfaire</w:t>
      </w:r>
    </w:p>
    <w:p>
      <w:pPr>
        <w:pStyle w:val="BodyText"/>
        <w:ind w:right="104"/>
      </w:pPr>
      <w:r>
        <w:rPr>
          <w:color w:val="231F20"/>
          <w:spacing w:val="-2"/>
        </w:rPr>
        <w:t>«</w:t>
      </w:r>
      <w:r>
        <w:rPr>
          <w:color w:val="231F20"/>
          <w:spacing w:val="-13"/>
        </w:rPr>
        <w:t> </w:t>
      </w:r>
      <w:r>
        <w:rPr>
          <w:color w:val="231F20"/>
          <w:spacing w:val="-2"/>
        </w:rPr>
        <w:t>tous</w:t>
      </w:r>
      <w:r>
        <w:rPr>
          <w:color w:val="231F20"/>
          <w:spacing w:val="-13"/>
        </w:rPr>
        <w:t> </w:t>
      </w:r>
      <w:r>
        <w:rPr>
          <w:color w:val="231F20"/>
          <w:spacing w:val="-2"/>
        </w:rPr>
        <w:t>»</w:t>
      </w:r>
      <w:r>
        <w:rPr>
          <w:color w:val="231F20"/>
          <w:spacing w:val="-13"/>
        </w:rPr>
        <w:t> </w:t>
      </w:r>
      <w:r>
        <w:rPr>
          <w:color w:val="231F20"/>
          <w:spacing w:val="-2"/>
        </w:rPr>
        <w:t>les</w:t>
      </w:r>
      <w:r>
        <w:rPr>
          <w:color w:val="231F20"/>
          <w:spacing w:val="-13"/>
        </w:rPr>
        <w:t> </w:t>
      </w:r>
      <w:r>
        <w:rPr>
          <w:color w:val="231F20"/>
          <w:spacing w:val="-2"/>
        </w:rPr>
        <w:t>besoins</w:t>
      </w:r>
      <w:r>
        <w:rPr>
          <w:color w:val="231F20"/>
          <w:spacing w:val="-13"/>
        </w:rPr>
        <w:t> </w:t>
      </w:r>
      <w:r>
        <w:rPr>
          <w:color w:val="231F20"/>
          <w:spacing w:val="-2"/>
        </w:rPr>
        <w:t>fondamentaux</w:t>
      </w:r>
      <w:r>
        <w:rPr>
          <w:color w:val="231F20"/>
          <w:spacing w:val="-13"/>
        </w:rPr>
        <w:t> </w:t>
      </w:r>
      <w:r>
        <w:rPr>
          <w:color w:val="231F20"/>
          <w:spacing w:val="-2"/>
        </w:rPr>
        <w:t>de</w:t>
      </w:r>
      <w:r>
        <w:rPr>
          <w:color w:val="231F20"/>
          <w:spacing w:val="-13"/>
        </w:rPr>
        <w:t> </w:t>
      </w:r>
      <w:r>
        <w:rPr>
          <w:color w:val="231F20"/>
          <w:spacing w:val="-2"/>
        </w:rPr>
        <w:t>ses</w:t>
      </w:r>
      <w:r>
        <w:rPr>
          <w:color w:val="231F20"/>
          <w:spacing w:val="-13"/>
        </w:rPr>
        <w:t> </w:t>
      </w:r>
      <w:r>
        <w:rPr>
          <w:color w:val="231F20"/>
          <w:spacing w:val="-2"/>
        </w:rPr>
        <w:t>habitants.</w:t>
      </w:r>
      <w:r>
        <w:rPr>
          <w:color w:val="231F20"/>
          <w:spacing w:val="-13"/>
        </w:rPr>
        <w:t> </w:t>
      </w:r>
      <w:r>
        <w:rPr>
          <w:color w:val="231F20"/>
          <w:spacing w:val="-2"/>
        </w:rPr>
        <w:t>Le</w:t>
      </w:r>
      <w:r>
        <w:rPr>
          <w:color w:val="231F20"/>
          <w:spacing w:val="-13"/>
        </w:rPr>
        <w:t> </w:t>
      </w:r>
      <w:r>
        <w:rPr>
          <w:color w:val="231F20"/>
          <w:spacing w:val="-2"/>
        </w:rPr>
        <w:t>pays</w:t>
      </w:r>
      <w:r>
        <w:rPr>
          <w:color w:val="231F20"/>
          <w:spacing w:val="-13"/>
        </w:rPr>
        <w:t> </w:t>
      </w:r>
      <w:r>
        <w:rPr>
          <w:color w:val="231F20"/>
          <w:spacing w:val="-2"/>
        </w:rPr>
        <w:t>est</w:t>
      </w:r>
      <w:r>
        <w:rPr>
          <w:color w:val="231F20"/>
          <w:spacing w:val="-13"/>
        </w:rPr>
        <w:t> </w:t>
      </w:r>
      <w:r>
        <w:rPr>
          <w:color w:val="231F20"/>
          <w:spacing w:val="-2"/>
        </w:rPr>
        <w:t>riche,</w:t>
      </w:r>
      <w:r>
        <w:rPr>
          <w:color w:val="231F20"/>
          <w:spacing w:val="-13"/>
        </w:rPr>
        <w:t> </w:t>
      </w:r>
      <w:r>
        <w:rPr>
          <w:color w:val="231F20"/>
          <w:spacing w:val="-2"/>
        </w:rPr>
        <w:t>très </w:t>
      </w:r>
      <w:r>
        <w:rPr>
          <w:color w:val="231F20"/>
        </w:rPr>
        <w:t>riche</w:t>
      </w:r>
      <w:r>
        <w:rPr>
          <w:color w:val="231F20"/>
          <w:spacing w:val="-9"/>
        </w:rPr>
        <w:t> </w:t>
      </w:r>
      <w:r>
        <w:rPr>
          <w:color w:val="231F20"/>
        </w:rPr>
        <w:t>en</w:t>
      </w:r>
      <w:r>
        <w:rPr>
          <w:color w:val="231F20"/>
          <w:spacing w:val="-7"/>
        </w:rPr>
        <w:t> </w:t>
      </w:r>
      <w:r>
        <w:rPr>
          <w:color w:val="231F20"/>
        </w:rPr>
        <w:t>ressources</w:t>
      </w:r>
      <w:r>
        <w:rPr>
          <w:color w:val="231F20"/>
          <w:spacing w:val="-7"/>
        </w:rPr>
        <w:t> </w:t>
      </w:r>
      <w:r>
        <w:rPr>
          <w:color w:val="231F20"/>
        </w:rPr>
        <w:t>naturelles</w:t>
      </w:r>
      <w:r>
        <w:rPr>
          <w:color w:val="231F20"/>
          <w:spacing w:val="-15"/>
        </w:rPr>
        <w:t> </w:t>
      </w:r>
      <w:r>
        <w:rPr>
          <w:color w:val="231F20"/>
        </w:rPr>
        <w:t>:</w:t>
      </w:r>
      <w:r>
        <w:rPr>
          <w:color w:val="231F20"/>
          <w:spacing w:val="-8"/>
        </w:rPr>
        <w:t> </w:t>
      </w:r>
      <w:r>
        <w:rPr>
          <w:color w:val="231F20"/>
        </w:rPr>
        <w:t>tous</w:t>
      </w:r>
      <w:r>
        <w:rPr>
          <w:color w:val="231F20"/>
          <w:spacing w:val="-8"/>
        </w:rPr>
        <w:t> </w:t>
      </w:r>
      <w:r>
        <w:rPr>
          <w:color w:val="231F20"/>
        </w:rPr>
        <w:t>les</w:t>
      </w:r>
      <w:r>
        <w:rPr>
          <w:color w:val="231F20"/>
          <w:spacing w:val="-8"/>
        </w:rPr>
        <w:t> </w:t>
      </w:r>
      <w:r>
        <w:rPr>
          <w:color w:val="231F20"/>
        </w:rPr>
        <w:t>métaux</w:t>
      </w:r>
      <w:r>
        <w:rPr>
          <w:color w:val="231F20"/>
          <w:spacing w:val="-7"/>
        </w:rPr>
        <w:t> </w:t>
      </w:r>
      <w:r>
        <w:rPr>
          <w:color w:val="231F20"/>
        </w:rPr>
        <w:t>et</w:t>
      </w:r>
      <w:r>
        <w:rPr>
          <w:color w:val="231F20"/>
          <w:spacing w:val="-8"/>
        </w:rPr>
        <w:t> </w:t>
      </w:r>
      <w:r>
        <w:rPr>
          <w:color w:val="231F20"/>
        </w:rPr>
        <w:t>tous</w:t>
      </w:r>
      <w:r>
        <w:rPr>
          <w:color w:val="231F20"/>
          <w:spacing w:val="-7"/>
        </w:rPr>
        <w:t> </w:t>
      </w:r>
      <w:r>
        <w:rPr>
          <w:color w:val="231F20"/>
        </w:rPr>
        <w:t>les</w:t>
      </w:r>
      <w:r>
        <w:rPr>
          <w:color w:val="231F20"/>
          <w:spacing w:val="-6"/>
        </w:rPr>
        <w:t> </w:t>
      </w:r>
      <w:r>
        <w:rPr>
          <w:color w:val="231F20"/>
        </w:rPr>
        <w:t>bois</w:t>
      </w:r>
      <w:r>
        <w:rPr>
          <w:color w:val="231F20"/>
          <w:spacing w:val="-8"/>
        </w:rPr>
        <w:t> </w:t>
      </w:r>
      <w:r>
        <w:rPr>
          <w:color w:val="231F20"/>
        </w:rPr>
        <w:t>précieux </w:t>
      </w:r>
      <w:r>
        <w:rPr>
          <w:color w:val="231F20"/>
          <w:spacing w:val="-2"/>
        </w:rPr>
        <w:t>recherchés</w:t>
      </w:r>
      <w:r>
        <w:rPr>
          <w:color w:val="231F20"/>
          <w:spacing w:val="-15"/>
        </w:rPr>
        <w:t> </w:t>
      </w:r>
      <w:r>
        <w:rPr>
          <w:color w:val="231F20"/>
          <w:spacing w:val="-2"/>
        </w:rPr>
        <w:t>se</w:t>
      </w:r>
      <w:r>
        <w:rPr>
          <w:color w:val="231F20"/>
          <w:spacing w:val="-13"/>
        </w:rPr>
        <w:t> </w:t>
      </w:r>
      <w:r>
        <w:rPr>
          <w:color w:val="231F20"/>
          <w:spacing w:val="-2"/>
        </w:rPr>
        <w:t>sont</w:t>
      </w:r>
      <w:r>
        <w:rPr>
          <w:color w:val="231F20"/>
          <w:spacing w:val="-13"/>
        </w:rPr>
        <w:t> </w:t>
      </w:r>
      <w:r>
        <w:rPr>
          <w:color w:val="231F20"/>
          <w:spacing w:val="-2"/>
        </w:rPr>
        <w:t>donnés</w:t>
      </w:r>
      <w:r>
        <w:rPr>
          <w:color w:val="231F20"/>
          <w:spacing w:val="-13"/>
        </w:rPr>
        <w:t> </w:t>
      </w:r>
      <w:r>
        <w:rPr>
          <w:color w:val="231F20"/>
          <w:spacing w:val="-2"/>
        </w:rPr>
        <w:t>rendez-vous</w:t>
      </w:r>
      <w:r>
        <w:rPr>
          <w:color w:val="231F20"/>
          <w:spacing w:val="-13"/>
        </w:rPr>
        <w:t> </w:t>
      </w:r>
      <w:r>
        <w:rPr>
          <w:color w:val="231F20"/>
          <w:spacing w:val="-2"/>
        </w:rPr>
        <w:t>dans</w:t>
      </w:r>
      <w:r>
        <w:rPr>
          <w:color w:val="231F20"/>
          <w:spacing w:val="-13"/>
        </w:rPr>
        <w:t> </w:t>
      </w:r>
      <w:r>
        <w:rPr>
          <w:color w:val="231F20"/>
          <w:spacing w:val="-2"/>
        </w:rPr>
        <w:t>cette</w:t>
      </w:r>
      <w:r>
        <w:rPr>
          <w:color w:val="231F20"/>
          <w:spacing w:val="-13"/>
        </w:rPr>
        <w:t> </w:t>
      </w:r>
      <w:r>
        <w:rPr>
          <w:color w:val="231F20"/>
          <w:spacing w:val="-2"/>
        </w:rPr>
        <w:t>région</w:t>
      </w:r>
      <w:r>
        <w:rPr>
          <w:color w:val="231F20"/>
          <w:spacing w:val="-13"/>
        </w:rPr>
        <w:t> </w:t>
      </w:r>
      <w:r>
        <w:rPr>
          <w:color w:val="231F20"/>
          <w:spacing w:val="-2"/>
        </w:rPr>
        <w:t>d’un</w:t>
      </w:r>
      <w:r>
        <w:rPr>
          <w:color w:val="231F20"/>
          <w:spacing w:val="-13"/>
        </w:rPr>
        <w:t> </w:t>
      </w:r>
      <w:r>
        <w:rPr>
          <w:color w:val="231F20"/>
          <w:spacing w:val="-2"/>
        </w:rPr>
        <w:t>peu</w:t>
      </w:r>
      <w:r>
        <w:rPr>
          <w:color w:val="231F20"/>
          <w:spacing w:val="-13"/>
        </w:rPr>
        <w:t> </w:t>
      </w:r>
      <w:r>
        <w:rPr>
          <w:color w:val="231F20"/>
          <w:spacing w:val="-2"/>
        </w:rPr>
        <w:t>plus</w:t>
      </w:r>
      <w:r>
        <w:rPr>
          <w:color w:val="231F20"/>
          <w:spacing w:val="-13"/>
        </w:rPr>
        <w:t> </w:t>
      </w:r>
      <w:r>
        <w:rPr>
          <w:color w:val="231F20"/>
          <w:spacing w:val="-2"/>
        </w:rPr>
        <w:t>de 2,3</w:t>
      </w:r>
      <w:r>
        <w:rPr>
          <w:color w:val="231F20"/>
          <w:spacing w:val="-13"/>
        </w:rPr>
        <w:t> </w:t>
      </w:r>
      <w:r>
        <w:rPr>
          <w:color w:val="231F20"/>
          <w:spacing w:val="-2"/>
        </w:rPr>
        <w:t>millions</w:t>
      </w:r>
      <w:r>
        <w:rPr>
          <w:color w:val="231F20"/>
          <w:spacing w:val="-12"/>
        </w:rPr>
        <w:t> </w:t>
      </w:r>
      <w:r>
        <w:rPr>
          <w:color w:val="231F20"/>
          <w:spacing w:val="-2"/>
        </w:rPr>
        <w:t>de</w:t>
      </w:r>
      <w:r>
        <w:rPr>
          <w:color w:val="231F20"/>
          <w:spacing w:val="-12"/>
        </w:rPr>
        <w:t> </w:t>
      </w:r>
      <w:r>
        <w:rPr>
          <w:color w:val="231F20"/>
          <w:spacing w:val="-2"/>
        </w:rPr>
        <w:t>km</w:t>
      </w:r>
      <w:r>
        <w:rPr>
          <w:color w:val="231F20"/>
          <w:spacing w:val="-2"/>
          <w:vertAlign w:val="superscript"/>
        </w:rPr>
        <w:t>2</w:t>
      </w:r>
      <w:r>
        <w:rPr>
          <w:color w:val="231F20"/>
          <w:spacing w:val="-10"/>
          <w:vertAlign w:val="baseline"/>
        </w:rPr>
        <w:t> </w:t>
      </w:r>
      <w:r>
        <w:rPr>
          <w:color w:val="231F20"/>
          <w:spacing w:val="-2"/>
          <w:vertAlign w:val="baseline"/>
        </w:rPr>
        <w:t>qui</w:t>
      </w:r>
      <w:r>
        <w:rPr>
          <w:color w:val="231F20"/>
          <w:spacing w:val="-12"/>
          <w:vertAlign w:val="baseline"/>
        </w:rPr>
        <w:t> </w:t>
      </w:r>
      <w:r>
        <w:rPr>
          <w:color w:val="231F20"/>
          <w:spacing w:val="-2"/>
          <w:vertAlign w:val="baseline"/>
        </w:rPr>
        <w:t>reçoit</w:t>
      </w:r>
      <w:r>
        <w:rPr>
          <w:color w:val="231F20"/>
          <w:spacing w:val="-12"/>
          <w:vertAlign w:val="baseline"/>
        </w:rPr>
        <w:t> </w:t>
      </w:r>
      <w:r>
        <w:rPr>
          <w:color w:val="231F20"/>
          <w:spacing w:val="-2"/>
          <w:vertAlign w:val="baseline"/>
        </w:rPr>
        <w:t>également</w:t>
      </w:r>
      <w:r>
        <w:rPr>
          <w:color w:val="231F20"/>
          <w:spacing w:val="-12"/>
          <w:vertAlign w:val="baseline"/>
        </w:rPr>
        <w:t> </w:t>
      </w:r>
      <w:r>
        <w:rPr>
          <w:color w:val="231F20"/>
          <w:spacing w:val="-2"/>
          <w:vertAlign w:val="baseline"/>
        </w:rPr>
        <w:t>de</w:t>
      </w:r>
      <w:r>
        <w:rPr>
          <w:color w:val="231F20"/>
          <w:spacing w:val="-12"/>
          <w:vertAlign w:val="baseline"/>
        </w:rPr>
        <w:t> </w:t>
      </w:r>
      <w:r>
        <w:rPr>
          <w:color w:val="231F20"/>
          <w:spacing w:val="-2"/>
          <w:vertAlign w:val="baseline"/>
        </w:rPr>
        <w:t>l’eau</w:t>
      </w:r>
      <w:r>
        <w:rPr>
          <w:color w:val="231F20"/>
          <w:spacing w:val="-12"/>
          <w:vertAlign w:val="baseline"/>
        </w:rPr>
        <w:t> </w:t>
      </w:r>
      <w:r>
        <w:rPr>
          <w:color w:val="231F20"/>
          <w:spacing w:val="-2"/>
          <w:vertAlign w:val="baseline"/>
        </w:rPr>
        <w:t>à</w:t>
      </w:r>
      <w:r>
        <w:rPr>
          <w:color w:val="231F20"/>
          <w:spacing w:val="-13"/>
          <w:vertAlign w:val="baseline"/>
        </w:rPr>
        <w:t> </w:t>
      </w:r>
      <w:r>
        <w:rPr>
          <w:color w:val="231F20"/>
          <w:spacing w:val="-2"/>
          <w:vertAlign w:val="baseline"/>
        </w:rPr>
        <w:t>profusion…</w:t>
      </w:r>
      <w:r>
        <w:rPr>
          <w:color w:val="231F20"/>
          <w:spacing w:val="-12"/>
          <w:vertAlign w:val="baseline"/>
        </w:rPr>
        <w:t> </w:t>
      </w:r>
      <w:r>
        <w:rPr>
          <w:color w:val="231F20"/>
          <w:spacing w:val="-2"/>
          <w:vertAlign w:val="baseline"/>
        </w:rPr>
        <w:t>Mais</w:t>
      </w:r>
      <w:r>
        <w:rPr>
          <w:color w:val="231F20"/>
          <w:spacing w:val="-12"/>
          <w:vertAlign w:val="baseline"/>
        </w:rPr>
        <w:t> </w:t>
      </w:r>
      <w:r>
        <w:rPr>
          <w:color w:val="231F20"/>
          <w:spacing w:val="-2"/>
          <w:vertAlign w:val="baseline"/>
        </w:rPr>
        <w:t>des </w:t>
      </w:r>
      <w:r>
        <w:rPr>
          <w:color w:val="231F20"/>
          <w:spacing w:val="-4"/>
          <w:vertAlign w:val="baseline"/>
        </w:rPr>
        <w:t>décennies</w:t>
      </w:r>
      <w:r>
        <w:rPr>
          <w:color w:val="231F20"/>
          <w:vertAlign w:val="baseline"/>
        </w:rPr>
        <w:t> </w:t>
      </w:r>
      <w:r>
        <w:rPr>
          <w:color w:val="231F20"/>
          <w:spacing w:val="-4"/>
          <w:vertAlign w:val="baseline"/>
        </w:rPr>
        <w:t>de</w:t>
      </w:r>
      <w:r>
        <w:rPr>
          <w:color w:val="231F20"/>
          <w:spacing w:val="-11"/>
          <w:vertAlign w:val="baseline"/>
        </w:rPr>
        <w:t> </w:t>
      </w:r>
      <w:r>
        <w:rPr>
          <w:color w:val="231F20"/>
          <w:spacing w:val="-4"/>
          <w:vertAlign w:val="baseline"/>
        </w:rPr>
        <w:t>guerres</w:t>
      </w:r>
      <w:r>
        <w:rPr>
          <w:color w:val="231F20"/>
          <w:spacing w:val="-10"/>
          <w:vertAlign w:val="baseline"/>
        </w:rPr>
        <w:t> </w:t>
      </w:r>
      <w:r>
        <w:rPr>
          <w:color w:val="231F20"/>
          <w:spacing w:val="-4"/>
          <w:vertAlign w:val="baseline"/>
        </w:rPr>
        <w:t>et</w:t>
      </w:r>
      <w:r>
        <w:rPr>
          <w:color w:val="231F20"/>
          <w:spacing w:val="-11"/>
          <w:vertAlign w:val="baseline"/>
        </w:rPr>
        <w:t> </w:t>
      </w:r>
      <w:r>
        <w:rPr>
          <w:color w:val="231F20"/>
          <w:spacing w:val="-4"/>
          <w:vertAlign w:val="baseline"/>
        </w:rPr>
        <w:t>de</w:t>
      </w:r>
      <w:r>
        <w:rPr>
          <w:color w:val="231F20"/>
          <w:spacing w:val="-8"/>
          <w:vertAlign w:val="baseline"/>
        </w:rPr>
        <w:t> </w:t>
      </w:r>
      <w:r>
        <w:rPr>
          <w:color w:val="231F20"/>
          <w:spacing w:val="-4"/>
          <w:vertAlign w:val="baseline"/>
        </w:rPr>
        <w:t>pillages</w:t>
      </w:r>
      <w:r>
        <w:rPr>
          <w:color w:val="231F20"/>
          <w:spacing w:val="-10"/>
          <w:vertAlign w:val="baseline"/>
        </w:rPr>
        <w:t> </w:t>
      </w:r>
      <w:r>
        <w:rPr>
          <w:color w:val="231F20"/>
          <w:spacing w:val="-4"/>
          <w:vertAlign w:val="baseline"/>
        </w:rPr>
        <w:t>depuis</w:t>
      </w:r>
      <w:r>
        <w:rPr>
          <w:color w:val="231F20"/>
          <w:spacing w:val="-10"/>
          <w:vertAlign w:val="baseline"/>
        </w:rPr>
        <w:t> </w:t>
      </w:r>
      <w:r>
        <w:rPr>
          <w:color w:val="231F20"/>
          <w:spacing w:val="-4"/>
          <w:vertAlign w:val="baseline"/>
        </w:rPr>
        <w:t>son</w:t>
      </w:r>
      <w:r>
        <w:rPr>
          <w:color w:val="231F20"/>
          <w:spacing w:val="-10"/>
          <w:vertAlign w:val="baseline"/>
        </w:rPr>
        <w:t> </w:t>
      </w:r>
      <w:r>
        <w:rPr>
          <w:color w:val="231F20"/>
          <w:spacing w:val="-4"/>
          <w:vertAlign w:val="baseline"/>
        </w:rPr>
        <w:t>indépendance</w:t>
      </w:r>
      <w:r>
        <w:rPr>
          <w:color w:val="231F20"/>
          <w:spacing w:val="-8"/>
          <w:vertAlign w:val="baseline"/>
        </w:rPr>
        <w:t> </w:t>
      </w:r>
      <w:r>
        <w:rPr>
          <w:color w:val="231F20"/>
          <w:spacing w:val="-4"/>
          <w:vertAlign w:val="baseline"/>
        </w:rPr>
        <w:t>maintiennent </w:t>
      </w:r>
      <w:r>
        <w:rPr>
          <w:color w:val="231F20"/>
          <w:vertAlign w:val="baseline"/>
        </w:rPr>
        <w:t>les</w:t>
      </w:r>
      <w:r>
        <w:rPr>
          <w:color w:val="231F20"/>
          <w:spacing w:val="-10"/>
          <w:vertAlign w:val="baseline"/>
        </w:rPr>
        <w:t> </w:t>
      </w:r>
      <w:r>
        <w:rPr>
          <w:color w:val="231F20"/>
          <w:vertAlign w:val="baseline"/>
        </w:rPr>
        <w:t>populations</w:t>
      </w:r>
      <w:r>
        <w:rPr>
          <w:color w:val="231F20"/>
          <w:spacing w:val="-10"/>
          <w:vertAlign w:val="baseline"/>
        </w:rPr>
        <w:t> </w:t>
      </w:r>
      <w:r>
        <w:rPr>
          <w:color w:val="231F20"/>
          <w:vertAlign w:val="baseline"/>
        </w:rPr>
        <w:t>dans</w:t>
      </w:r>
      <w:r>
        <w:rPr>
          <w:color w:val="231F20"/>
          <w:spacing w:val="-10"/>
          <w:vertAlign w:val="baseline"/>
        </w:rPr>
        <w:t> </w:t>
      </w:r>
      <w:r>
        <w:rPr>
          <w:color w:val="231F20"/>
          <w:vertAlign w:val="baseline"/>
        </w:rPr>
        <w:t>la</w:t>
      </w:r>
      <w:r>
        <w:rPr>
          <w:color w:val="231F20"/>
          <w:spacing w:val="-9"/>
          <w:vertAlign w:val="baseline"/>
        </w:rPr>
        <w:t> </w:t>
      </w:r>
      <w:r>
        <w:rPr>
          <w:color w:val="231F20"/>
          <w:vertAlign w:val="baseline"/>
        </w:rPr>
        <w:t>pauvreté</w:t>
      </w:r>
      <w:r>
        <w:rPr>
          <w:color w:val="231F20"/>
          <w:spacing w:val="-10"/>
          <w:vertAlign w:val="baseline"/>
        </w:rPr>
        <w:t> </w:t>
      </w:r>
      <w:r>
        <w:rPr>
          <w:color w:val="231F20"/>
          <w:vertAlign w:val="baseline"/>
        </w:rPr>
        <w:t>:</w:t>
      </w:r>
      <w:r>
        <w:rPr>
          <w:color w:val="231F20"/>
          <w:spacing w:val="-12"/>
          <w:vertAlign w:val="baseline"/>
        </w:rPr>
        <w:t> </w:t>
      </w:r>
      <w:r>
        <w:rPr>
          <w:color w:val="231F20"/>
          <w:vertAlign w:val="baseline"/>
        </w:rPr>
        <w:t>la</w:t>
      </w:r>
      <w:r>
        <w:rPr>
          <w:color w:val="231F20"/>
          <w:spacing w:val="-10"/>
          <w:vertAlign w:val="baseline"/>
        </w:rPr>
        <w:t> </w:t>
      </w:r>
      <w:r>
        <w:rPr>
          <w:color w:val="231F20"/>
          <w:vertAlign w:val="baseline"/>
        </w:rPr>
        <w:t>richesse</w:t>
      </w:r>
      <w:r>
        <w:rPr>
          <w:color w:val="231F20"/>
          <w:spacing w:val="-10"/>
          <w:vertAlign w:val="baseline"/>
        </w:rPr>
        <w:t> </w:t>
      </w:r>
      <w:r>
        <w:rPr>
          <w:color w:val="231F20"/>
          <w:vertAlign w:val="baseline"/>
        </w:rPr>
        <w:t>par</w:t>
      </w:r>
      <w:r>
        <w:rPr>
          <w:color w:val="231F20"/>
          <w:spacing w:val="-10"/>
          <w:vertAlign w:val="baseline"/>
        </w:rPr>
        <w:t> </w:t>
      </w:r>
      <w:r>
        <w:rPr>
          <w:color w:val="231F20"/>
          <w:vertAlign w:val="baseline"/>
        </w:rPr>
        <w:t>habitant</w:t>
      </w:r>
      <w:r>
        <w:rPr>
          <w:color w:val="231F20"/>
          <w:spacing w:val="-9"/>
          <w:vertAlign w:val="baseline"/>
        </w:rPr>
        <w:t> </w:t>
      </w:r>
      <w:r>
        <w:rPr>
          <w:color w:val="231F20"/>
          <w:vertAlign w:val="baseline"/>
        </w:rPr>
        <w:t>y</w:t>
      </w:r>
      <w:r>
        <w:rPr>
          <w:color w:val="231F20"/>
          <w:spacing w:val="-10"/>
          <w:vertAlign w:val="baseline"/>
        </w:rPr>
        <w:t> </w:t>
      </w:r>
      <w:r>
        <w:rPr>
          <w:color w:val="231F20"/>
          <w:vertAlign w:val="baseline"/>
        </w:rPr>
        <w:t>est</w:t>
      </w:r>
      <w:r>
        <w:rPr>
          <w:color w:val="231F20"/>
          <w:spacing w:val="-9"/>
          <w:vertAlign w:val="baseline"/>
        </w:rPr>
        <w:t> </w:t>
      </w:r>
      <w:r>
        <w:rPr>
          <w:color w:val="231F20"/>
          <w:vertAlign w:val="baseline"/>
        </w:rPr>
        <w:t>l’une</w:t>
      </w:r>
      <w:r>
        <w:rPr>
          <w:color w:val="231F20"/>
          <w:spacing w:val="-10"/>
          <w:vertAlign w:val="baseline"/>
        </w:rPr>
        <w:t> </w:t>
      </w:r>
      <w:r>
        <w:rPr>
          <w:color w:val="231F20"/>
          <w:vertAlign w:val="baseline"/>
        </w:rPr>
        <w:t>des plus faibles du continent africain.</w:t>
      </w:r>
    </w:p>
    <w:p>
      <w:pPr>
        <w:spacing w:before="121"/>
        <w:ind w:left="111" w:right="104" w:firstLine="283"/>
        <w:jc w:val="both"/>
        <w:rPr>
          <w:i/>
          <w:sz w:val="24"/>
        </w:rPr>
      </w:pPr>
      <w:r>
        <w:rPr>
          <w:color w:val="231F20"/>
          <w:sz w:val="24"/>
        </w:rPr>
        <w:t>Le</w:t>
      </w:r>
      <w:r>
        <w:rPr>
          <w:color w:val="231F20"/>
          <w:spacing w:val="-8"/>
          <w:sz w:val="24"/>
        </w:rPr>
        <w:t> </w:t>
      </w:r>
      <w:r>
        <w:rPr>
          <w:color w:val="231F20"/>
          <w:sz w:val="24"/>
        </w:rPr>
        <w:t>pays</w:t>
      </w:r>
      <w:r>
        <w:rPr>
          <w:color w:val="231F20"/>
          <w:spacing w:val="-8"/>
          <w:sz w:val="24"/>
        </w:rPr>
        <w:t> </w:t>
      </w:r>
      <w:r>
        <w:rPr>
          <w:color w:val="231F20"/>
          <w:sz w:val="24"/>
        </w:rPr>
        <w:t>est</w:t>
      </w:r>
      <w:r>
        <w:rPr>
          <w:color w:val="231F20"/>
          <w:spacing w:val="-7"/>
          <w:sz w:val="24"/>
        </w:rPr>
        <w:t> </w:t>
      </w:r>
      <w:r>
        <w:rPr>
          <w:color w:val="231F20"/>
          <w:sz w:val="24"/>
        </w:rPr>
        <w:t>très</w:t>
      </w:r>
      <w:r>
        <w:rPr>
          <w:color w:val="231F20"/>
          <w:spacing w:val="-8"/>
          <w:sz w:val="24"/>
        </w:rPr>
        <w:t> </w:t>
      </w:r>
      <w:r>
        <w:rPr>
          <w:color w:val="231F20"/>
          <w:sz w:val="24"/>
        </w:rPr>
        <w:t>endetté</w:t>
      </w:r>
      <w:r>
        <w:rPr>
          <w:color w:val="231F20"/>
          <w:spacing w:val="-9"/>
          <w:sz w:val="24"/>
        </w:rPr>
        <w:t> </w:t>
      </w:r>
      <w:r>
        <w:rPr>
          <w:color w:val="231F20"/>
          <w:sz w:val="24"/>
        </w:rPr>
        <w:t>mais</w:t>
      </w:r>
      <w:r>
        <w:rPr>
          <w:color w:val="231F20"/>
          <w:spacing w:val="-8"/>
          <w:sz w:val="24"/>
        </w:rPr>
        <w:t> </w:t>
      </w:r>
      <w:r>
        <w:rPr>
          <w:color w:val="231F20"/>
          <w:sz w:val="24"/>
        </w:rPr>
        <w:t>pas</w:t>
      </w:r>
      <w:r>
        <w:rPr>
          <w:color w:val="231F20"/>
          <w:spacing w:val="-8"/>
          <w:sz w:val="24"/>
        </w:rPr>
        <w:t> </w:t>
      </w:r>
      <w:r>
        <w:rPr>
          <w:color w:val="231F20"/>
          <w:sz w:val="24"/>
        </w:rPr>
        <w:t>ses</w:t>
      </w:r>
      <w:r>
        <w:rPr>
          <w:color w:val="231F20"/>
          <w:spacing w:val="-10"/>
          <w:sz w:val="24"/>
        </w:rPr>
        <w:t> </w:t>
      </w:r>
      <w:r>
        <w:rPr>
          <w:color w:val="231F20"/>
          <w:sz w:val="24"/>
        </w:rPr>
        <w:t>dirigeants</w:t>
      </w:r>
      <w:r>
        <w:rPr>
          <w:color w:val="231F20"/>
          <w:spacing w:val="-14"/>
          <w:sz w:val="24"/>
        </w:rPr>
        <w:t> </w:t>
      </w:r>
      <w:r>
        <w:rPr>
          <w:color w:val="231F20"/>
          <w:sz w:val="24"/>
        </w:rPr>
        <w:t>:</w:t>
      </w:r>
      <w:r>
        <w:rPr>
          <w:color w:val="231F20"/>
          <w:spacing w:val="-7"/>
          <w:sz w:val="24"/>
        </w:rPr>
        <w:t> </w:t>
      </w:r>
      <w:r>
        <w:rPr>
          <w:color w:val="231F20"/>
          <w:sz w:val="24"/>
        </w:rPr>
        <w:t>à</w:t>
      </w:r>
      <w:r>
        <w:rPr>
          <w:color w:val="231F20"/>
          <w:spacing w:val="-10"/>
          <w:sz w:val="24"/>
        </w:rPr>
        <w:t> </w:t>
      </w:r>
      <w:r>
        <w:rPr>
          <w:color w:val="231F20"/>
          <w:sz w:val="24"/>
        </w:rPr>
        <w:t>sa</w:t>
      </w:r>
      <w:r>
        <w:rPr>
          <w:color w:val="231F20"/>
          <w:spacing w:val="-8"/>
          <w:sz w:val="24"/>
        </w:rPr>
        <w:t> </w:t>
      </w:r>
      <w:r>
        <w:rPr>
          <w:color w:val="231F20"/>
          <w:sz w:val="24"/>
        </w:rPr>
        <w:t>mort,</w:t>
      </w:r>
      <w:r>
        <w:rPr>
          <w:color w:val="231F20"/>
          <w:spacing w:val="-8"/>
          <w:sz w:val="24"/>
        </w:rPr>
        <w:t> </w:t>
      </w:r>
      <w:r>
        <w:rPr>
          <w:color w:val="231F20"/>
          <w:sz w:val="24"/>
        </w:rPr>
        <w:t>la</w:t>
      </w:r>
      <w:r>
        <w:rPr>
          <w:color w:val="231F20"/>
          <w:spacing w:val="-8"/>
          <w:sz w:val="24"/>
        </w:rPr>
        <w:t> </w:t>
      </w:r>
      <w:r>
        <w:rPr>
          <w:color w:val="231F20"/>
          <w:sz w:val="24"/>
        </w:rPr>
        <w:t>fortune personnelle</w:t>
      </w:r>
      <w:r>
        <w:rPr>
          <w:color w:val="231F20"/>
          <w:spacing w:val="-1"/>
          <w:sz w:val="24"/>
        </w:rPr>
        <w:t> </w:t>
      </w:r>
      <w:r>
        <w:rPr>
          <w:color w:val="231F20"/>
          <w:sz w:val="24"/>
        </w:rPr>
        <w:t>du</w:t>
      </w:r>
      <w:r>
        <w:rPr>
          <w:color w:val="231F20"/>
          <w:spacing w:val="-1"/>
          <w:sz w:val="24"/>
        </w:rPr>
        <w:t> </w:t>
      </w:r>
      <w:r>
        <w:rPr>
          <w:color w:val="231F20"/>
          <w:sz w:val="24"/>
        </w:rPr>
        <w:t>Président</w:t>
      </w:r>
      <w:r>
        <w:rPr>
          <w:color w:val="231F20"/>
          <w:spacing w:val="-2"/>
          <w:sz w:val="24"/>
        </w:rPr>
        <w:t> </w:t>
      </w:r>
      <w:r>
        <w:rPr>
          <w:color w:val="231F20"/>
          <w:sz w:val="24"/>
        </w:rPr>
        <w:t>Mobutu</w:t>
      </w:r>
      <w:r>
        <w:rPr>
          <w:color w:val="231F20"/>
          <w:spacing w:val="-1"/>
          <w:sz w:val="24"/>
        </w:rPr>
        <w:t> </w:t>
      </w:r>
      <w:r>
        <w:rPr>
          <w:color w:val="231F20"/>
          <w:sz w:val="24"/>
        </w:rPr>
        <w:t>était</w:t>
      </w:r>
      <w:r>
        <w:rPr>
          <w:color w:val="231F20"/>
          <w:spacing w:val="-1"/>
          <w:sz w:val="24"/>
        </w:rPr>
        <w:t> </w:t>
      </w:r>
      <w:r>
        <w:rPr>
          <w:color w:val="231F20"/>
          <w:sz w:val="24"/>
        </w:rPr>
        <w:t>estimée</w:t>
      </w:r>
      <w:r>
        <w:rPr>
          <w:color w:val="231F20"/>
          <w:spacing w:val="-1"/>
          <w:sz w:val="24"/>
        </w:rPr>
        <w:t> </w:t>
      </w:r>
      <w:r>
        <w:rPr>
          <w:color w:val="231F20"/>
          <w:sz w:val="24"/>
        </w:rPr>
        <w:t>entre</w:t>
      </w:r>
      <w:r>
        <w:rPr>
          <w:color w:val="231F20"/>
          <w:spacing w:val="-1"/>
          <w:sz w:val="24"/>
        </w:rPr>
        <w:t> </w:t>
      </w:r>
      <w:r>
        <w:rPr>
          <w:color w:val="231F20"/>
          <w:sz w:val="24"/>
        </w:rPr>
        <w:t>5</w:t>
      </w:r>
      <w:r>
        <w:rPr>
          <w:color w:val="231F20"/>
          <w:spacing w:val="-1"/>
          <w:sz w:val="24"/>
        </w:rPr>
        <w:t> </w:t>
      </w:r>
      <w:r>
        <w:rPr>
          <w:color w:val="231F20"/>
          <w:sz w:val="24"/>
        </w:rPr>
        <w:t>et</w:t>
      </w:r>
      <w:r>
        <w:rPr>
          <w:color w:val="231F20"/>
          <w:spacing w:val="-2"/>
          <w:sz w:val="24"/>
        </w:rPr>
        <w:t> </w:t>
      </w:r>
      <w:r>
        <w:rPr>
          <w:color w:val="231F20"/>
          <w:sz w:val="24"/>
        </w:rPr>
        <w:t>6</w:t>
      </w:r>
      <w:r>
        <w:rPr>
          <w:color w:val="231F20"/>
          <w:spacing w:val="-1"/>
          <w:sz w:val="24"/>
        </w:rPr>
        <w:t> </w:t>
      </w:r>
      <w:r>
        <w:rPr>
          <w:color w:val="231F20"/>
          <w:sz w:val="24"/>
        </w:rPr>
        <w:t>milliards</w:t>
      </w:r>
      <w:r>
        <w:rPr>
          <w:color w:val="231F20"/>
          <w:spacing w:val="-1"/>
          <w:sz w:val="24"/>
        </w:rPr>
        <w:t> </w:t>
      </w:r>
      <w:r>
        <w:rPr>
          <w:color w:val="231F20"/>
          <w:sz w:val="24"/>
        </w:rPr>
        <w:t>de dollars</w:t>
      </w:r>
      <w:r>
        <w:rPr>
          <w:color w:val="231F20"/>
          <w:spacing w:val="-11"/>
          <w:sz w:val="24"/>
        </w:rPr>
        <w:t> </w:t>
      </w:r>
      <w:r>
        <w:rPr>
          <w:color w:val="231F20"/>
          <w:sz w:val="24"/>
        </w:rPr>
        <w:t>pendant</w:t>
      </w:r>
      <w:r>
        <w:rPr>
          <w:color w:val="231F20"/>
          <w:spacing w:val="-10"/>
          <w:sz w:val="24"/>
        </w:rPr>
        <w:t> </w:t>
      </w:r>
      <w:r>
        <w:rPr>
          <w:color w:val="231F20"/>
          <w:sz w:val="24"/>
        </w:rPr>
        <w:t>que</w:t>
      </w:r>
      <w:r>
        <w:rPr>
          <w:color w:val="231F20"/>
          <w:spacing w:val="-12"/>
          <w:sz w:val="24"/>
        </w:rPr>
        <w:t> </w:t>
      </w:r>
      <w:r>
        <w:rPr>
          <w:color w:val="231F20"/>
          <w:sz w:val="24"/>
        </w:rPr>
        <w:t>l’État</w:t>
      </w:r>
      <w:r>
        <w:rPr>
          <w:color w:val="231F20"/>
          <w:spacing w:val="-10"/>
          <w:sz w:val="24"/>
        </w:rPr>
        <w:t> </w:t>
      </w:r>
      <w:r>
        <w:rPr>
          <w:color w:val="231F20"/>
          <w:sz w:val="24"/>
        </w:rPr>
        <w:t>trainait</w:t>
      </w:r>
      <w:r>
        <w:rPr>
          <w:color w:val="231F20"/>
          <w:spacing w:val="-10"/>
          <w:sz w:val="24"/>
        </w:rPr>
        <w:t> </w:t>
      </w:r>
      <w:r>
        <w:rPr>
          <w:color w:val="231F20"/>
          <w:sz w:val="24"/>
        </w:rPr>
        <w:t>une</w:t>
      </w:r>
      <w:r>
        <w:rPr>
          <w:color w:val="231F20"/>
          <w:spacing w:val="-12"/>
          <w:sz w:val="24"/>
        </w:rPr>
        <w:t> </w:t>
      </w:r>
      <w:r>
        <w:rPr>
          <w:color w:val="231F20"/>
          <w:sz w:val="24"/>
        </w:rPr>
        <w:t>dette</w:t>
      </w:r>
      <w:r>
        <w:rPr>
          <w:color w:val="231F20"/>
          <w:spacing w:val="-12"/>
          <w:sz w:val="24"/>
        </w:rPr>
        <w:t> </w:t>
      </w:r>
      <w:r>
        <w:rPr>
          <w:color w:val="231F20"/>
          <w:sz w:val="24"/>
        </w:rPr>
        <w:t>publique</w:t>
      </w:r>
      <w:r>
        <w:rPr>
          <w:color w:val="231F20"/>
          <w:spacing w:val="-10"/>
          <w:sz w:val="24"/>
        </w:rPr>
        <w:t> </w:t>
      </w:r>
      <w:r>
        <w:rPr>
          <w:color w:val="231F20"/>
          <w:sz w:val="24"/>
        </w:rPr>
        <w:t>de</w:t>
      </w:r>
      <w:r>
        <w:rPr>
          <w:color w:val="231F20"/>
          <w:spacing w:val="-10"/>
          <w:sz w:val="24"/>
        </w:rPr>
        <w:t> </w:t>
      </w:r>
      <w:r>
        <w:rPr>
          <w:color w:val="231F20"/>
          <w:sz w:val="24"/>
        </w:rPr>
        <w:t>13</w:t>
      </w:r>
      <w:r>
        <w:rPr>
          <w:color w:val="231F20"/>
          <w:spacing w:val="-11"/>
          <w:sz w:val="24"/>
        </w:rPr>
        <w:t> </w:t>
      </w:r>
      <w:r>
        <w:rPr>
          <w:color w:val="231F20"/>
          <w:sz w:val="24"/>
        </w:rPr>
        <w:t>milliards</w:t>
      </w:r>
      <w:r>
        <w:rPr>
          <w:color w:val="231F20"/>
          <w:spacing w:val="-15"/>
          <w:sz w:val="24"/>
        </w:rPr>
        <w:t> </w:t>
      </w:r>
      <w:r>
        <w:rPr>
          <w:color w:val="231F20"/>
          <w:sz w:val="24"/>
        </w:rPr>
        <w:t>;</w:t>
      </w:r>
      <w:r>
        <w:rPr>
          <w:color w:val="231F20"/>
          <w:spacing w:val="-10"/>
          <w:sz w:val="24"/>
        </w:rPr>
        <w:t> </w:t>
      </w:r>
      <w:r>
        <w:rPr>
          <w:color w:val="231F20"/>
          <w:sz w:val="24"/>
        </w:rPr>
        <w:t>le Président</w:t>
      </w:r>
      <w:r>
        <w:rPr>
          <w:color w:val="231F20"/>
          <w:spacing w:val="-9"/>
          <w:sz w:val="24"/>
        </w:rPr>
        <w:t> </w:t>
      </w:r>
      <w:r>
        <w:rPr>
          <w:color w:val="231F20"/>
          <w:sz w:val="24"/>
        </w:rPr>
        <w:t>Joseph</w:t>
      </w:r>
      <w:r>
        <w:rPr>
          <w:color w:val="231F20"/>
          <w:spacing w:val="-9"/>
          <w:sz w:val="24"/>
        </w:rPr>
        <w:t> </w:t>
      </w:r>
      <w:r>
        <w:rPr>
          <w:color w:val="231F20"/>
          <w:sz w:val="24"/>
        </w:rPr>
        <w:t>Kabila</w:t>
      </w:r>
      <w:r>
        <w:rPr>
          <w:color w:val="231F20"/>
          <w:spacing w:val="-11"/>
          <w:sz w:val="24"/>
        </w:rPr>
        <w:t> </w:t>
      </w:r>
      <w:r>
        <w:rPr>
          <w:color w:val="231F20"/>
          <w:sz w:val="24"/>
        </w:rPr>
        <w:t>qui</w:t>
      </w:r>
      <w:r>
        <w:rPr>
          <w:color w:val="231F20"/>
          <w:spacing w:val="-8"/>
          <w:sz w:val="24"/>
        </w:rPr>
        <w:t> </w:t>
      </w:r>
      <w:r>
        <w:rPr>
          <w:color w:val="231F20"/>
          <w:sz w:val="24"/>
        </w:rPr>
        <w:t>a</w:t>
      </w:r>
      <w:r>
        <w:rPr>
          <w:color w:val="231F20"/>
          <w:spacing w:val="-11"/>
          <w:sz w:val="24"/>
        </w:rPr>
        <w:t> </w:t>
      </w:r>
      <w:r>
        <w:rPr>
          <w:color w:val="231F20"/>
          <w:sz w:val="24"/>
        </w:rPr>
        <w:t>succédé</w:t>
      </w:r>
      <w:r>
        <w:rPr>
          <w:color w:val="231F20"/>
          <w:spacing w:val="-9"/>
          <w:sz w:val="24"/>
        </w:rPr>
        <w:t> </w:t>
      </w:r>
      <w:r>
        <w:rPr>
          <w:color w:val="231F20"/>
          <w:sz w:val="24"/>
        </w:rPr>
        <w:t>à</w:t>
      </w:r>
      <w:r>
        <w:rPr>
          <w:color w:val="231F20"/>
          <w:spacing w:val="-11"/>
          <w:sz w:val="24"/>
        </w:rPr>
        <w:t> </w:t>
      </w:r>
      <w:r>
        <w:rPr>
          <w:color w:val="231F20"/>
          <w:sz w:val="24"/>
        </w:rPr>
        <w:t>son</w:t>
      </w:r>
      <w:r>
        <w:rPr>
          <w:color w:val="231F20"/>
          <w:spacing w:val="-11"/>
          <w:sz w:val="24"/>
        </w:rPr>
        <w:t> </w:t>
      </w:r>
      <w:r>
        <w:rPr>
          <w:color w:val="231F20"/>
          <w:sz w:val="24"/>
        </w:rPr>
        <w:t>père,</w:t>
      </w:r>
      <w:r>
        <w:rPr>
          <w:color w:val="231F20"/>
          <w:spacing w:val="-11"/>
          <w:sz w:val="24"/>
        </w:rPr>
        <w:t> </w:t>
      </w:r>
      <w:r>
        <w:rPr>
          <w:color w:val="231F20"/>
          <w:sz w:val="24"/>
        </w:rPr>
        <w:t>faisait</w:t>
      </w:r>
      <w:r>
        <w:rPr>
          <w:color w:val="231F20"/>
          <w:spacing w:val="-9"/>
          <w:sz w:val="24"/>
        </w:rPr>
        <w:t> </w:t>
      </w:r>
      <w:r>
        <w:rPr>
          <w:color w:val="231F20"/>
          <w:sz w:val="24"/>
        </w:rPr>
        <w:t>partie</w:t>
      </w:r>
      <w:r>
        <w:rPr>
          <w:color w:val="231F20"/>
          <w:spacing w:val="-11"/>
          <w:sz w:val="24"/>
        </w:rPr>
        <w:t> </w:t>
      </w:r>
      <w:r>
        <w:rPr>
          <w:color w:val="231F20"/>
          <w:sz w:val="24"/>
        </w:rPr>
        <w:t>en</w:t>
      </w:r>
      <w:r>
        <w:rPr>
          <w:color w:val="231F20"/>
          <w:spacing w:val="-11"/>
          <w:sz w:val="24"/>
        </w:rPr>
        <w:t> </w:t>
      </w:r>
      <w:r>
        <w:rPr>
          <w:color w:val="231F20"/>
          <w:sz w:val="24"/>
        </w:rPr>
        <w:t>2017, des</w:t>
      </w:r>
      <w:r>
        <w:rPr>
          <w:color w:val="231F20"/>
          <w:spacing w:val="-1"/>
          <w:sz w:val="24"/>
        </w:rPr>
        <w:t> </w:t>
      </w:r>
      <w:r>
        <w:rPr>
          <w:color w:val="231F20"/>
          <w:sz w:val="24"/>
        </w:rPr>
        <w:t>10</w:t>
      </w:r>
      <w:r>
        <w:rPr>
          <w:color w:val="231F20"/>
          <w:spacing w:val="-3"/>
          <w:sz w:val="24"/>
        </w:rPr>
        <w:t> </w:t>
      </w:r>
      <w:r>
        <w:rPr>
          <w:color w:val="231F20"/>
          <w:sz w:val="24"/>
        </w:rPr>
        <w:t>Présidents</w:t>
      </w:r>
      <w:r>
        <w:rPr>
          <w:color w:val="231F20"/>
          <w:spacing w:val="-1"/>
          <w:sz w:val="24"/>
        </w:rPr>
        <w:t> </w:t>
      </w:r>
      <w:r>
        <w:rPr>
          <w:color w:val="231F20"/>
          <w:sz w:val="24"/>
        </w:rPr>
        <w:t>africains</w:t>
      </w:r>
      <w:r>
        <w:rPr>
          <w:color w:val="231F20"/>
          <w:spacing w:val="-1"/>
          <w:sz w:val="24"/>
        </w:rPr>
        <w:t> </w:t>
      </w:r>
      <w:r>
        <w:rPr>
          <w:color w:val="231F20"/>
          <w:sz w:val="24"/>
        </w:rPr>
        <w:t>les</w:t>
      </w:r>
      <w:r>
        <w:rPr>
          <w:color w:val="231F20"/>
          <w:spacing w:val="-4"/>
          <w:sz w:val="24"/>
        </w:rPr>
        <w:t> </w:t>
      </w:r>
      <w:r>
        <w:rPr>
          <w:color w:val="231F20"/>
          <w:sz w:val="24"/>
        </w:rPr>
        <w:t>plus</w:t>
      </w:r>
      <w:r>
        <w:rPr>
          <w:color w:val="231F20"/>
          <w:spacing w:val="-1"/>
          <w:sz w:val="24"/>
        </w:rPr>
        <w:t> </w:t>
      </w:r>
      <w:r>
        <w:rPr>
          <w:color w:val="231F20"/>
          <w:sz w:val="24"/>
        </w:rPr>
        <w:t>riches.</w:t>
      </w:r>
      <w:r>
        <w:rPr>
          <w:color w:val="231F20"/>
          <w:spacing w:val="-3"/>
          <w:sz w:val="24"/>
        </w:rPr>
        <w:t> </w:t>
      </w:r>
      <w:r>
        <w:rPr>
          <w:color w:val="231F20"/>
          <w:sz w:val="24"/>
        </w:rPr>
        <w:t>Sa</w:t>
      </w:r>
      <w:r>
        <w:rPr>
          <w:color w:val="231F20"/>
          <w:spacing w:val="-2"/>
          <w:sz w:val="24"/>
        </w:rPr>
        <w:t> </w:t>
      </w:r>
      <w:r>
        <w:rPr>
          <w:color w:val="231F20"/>
          <w:sz w:val="24"/>
        </w:rPr>
        <w:t>fortune</w:t>
      </w:r>
      <w:r>
        <w:rPr>
          <w:color w:val="231F20"/>
          <w:spacing w:val="-2"/>
          <w:sz w:val="24"/>
        </w:rPr>
        <w:t> </w:t>
      </w:r>
      <w:r>
        <w:rPr>
          <w:color w:val="231F20"/>
          <w:sz w:val="24"/>
        </w:rPr>
        <w:t>est</w:t>
      </w:r>
      <w:r>
        <w:rPr>
          <w:color w:val="231F20"/>
          <w:spacing w:val="-1"/>
          <w:sz w:val="24"/>
        </w:rPr>
        <w:t> </w:t>
      </w:r>
      <w:r>
        <w:rPr>
          <w:color w:val="231F20"/>
          <w:sz w:val="24"/>
        </w:rPr>
        <w:t>évaluée</w:t>
      </w:r>
      <w:r>
        <w:rPr>
          <w:color w:val="231F20"/>
          <w:spacing w:val="-2"/>
          <w:sz w:val="24"/>
        </w:rPr>
        <w:t> </w:t>
      </w:r>
      <w:r>
        <w:rPr>
          <w:color w:val="231F20"/>
          <w:sz w:val="24"/>
        </w:rPr>
        <w:t>à 250 millions</w:t>
      </w:r>
      <w:r>
        <w:rPr>
          <w:color w:val="231F20"/>
          <w:spacing w:val="-10"/>
          <w:sz w:val="24"/>
        </w:rPr>
        <w:t> </w:t>
      </w:r>
      <w:r>
        <w:rPr>
          <w:color w:val="231F20"/>
          <w:sz w:val="24"/>
        </w:rPr>
        <w:t>de</w:t>
      </w:r>
      <w:r>
        <w:rPr>
          <w:color w:val="231F20"/>
          <w:spacing w:val="-10"/>
          <w:sz w:val="24"/>
        </w:rPr>
        <w:t> </w:t>
      </w:r>
      <w:r>
        <w:rPr>
          <w:color w:val="231F20"/>
          <w:sz w:val="24"/>
        </w:rPr>
        <w:t>dollars</w:t>
      </w:r>
      <w:r>
        <w:rPr>
          <w:color w:val="231F20"/>
          <w:spacing w:val="-15"/>
          <w:sz w:val="24"/>
        </w:rPr>
        <w:t> </w:t>
      </w:r>
      <w:r>
        <w:rPr>
          <w:color w:val="231F20"/>
          <w:sz w:val="24"/>
        </w:rPr>
        <w:t>:</w:t>
      </w:r>
      <w:r>
        <w:rPr>
          <w:color w:val="231F20"/>
          <w:spacing w:val="-10"/>
          <w:sz w:val="24"/>
        </w:rPr>
        <w:t> </w:t>
      </w:r>
      <w:r>
        <w:rPr>
          <w:color w:val="231F20"/>
          <w:sz w:val="24"/>
        </w:rPr>
        <w:t>«</w:t>
      </w:r>
      <w:r>
        <w:rPr>
          <w:color w:val="231F20"/>
          <w:spacing w:val="-15"/>
          <w:sz w:val="24"/>
        </w:rPr>
        <w:t> </w:t>
      </w:r>
      <w:r>
        <w:rPr>
          <w:i/>
          <w:color w:val="231F20"/>
          <w:sz w:val="24"/>
        </w:rPr>
        <w:t>fort</w:t>
      </w:r>
      <w:r>
        <w:rPr>
          <w:i/>
          <w:color w:val="231F20"/>
          <w:spacing w:val="-10"/>
          <w:sz w:val="24"/>
        </w:rPr>
        <w:t> </w:t>
      </w:r>
      <w:r>
        <w:rPr>
          <w:i/>
          <w:color w:val="231F20"/>
          <w:sz w:val="24"/>
        </w:rPr>
        <w:t>de</w:t>
      </w:r>
      <w:r>
        <w:rPr>
          <w:i/>
          <w:color w:val="231F20"/>
          <w:spacing w:val="-9"/>
          <w:sz w:val="24"/>
        </w:rPr>
        <w:t> </w:t>
      </w:r>
      <w:r>
        <w:rPr>
          <w:i/>
          <w:color w:val="231F20"/>
          <w:sz w:val="24"/>
        </w:rPr>
        <w:t>deux</w:t>
      </w:r>
      <w:r>
        <w:rPr>
          <w:i/>
          <w:color w:val="231F20"/>
          <w:spacing w:val="-11"/>
          <w:sz w:val="24"/>
        </w:rPr>
        <w:t> </w:t>
      </w:r>
      <w:r>
        <w:rPr>
          <w:i/>
          <w:color w:val="231F20"/>
          <w:sz w:val="24"/>
        </w:rPr>
        <w:t>règnes</w:t>
      </w:r>
      <w:r>
        <w:rPr>
          <w:i/>
          <w:color w:val="231F20"/>
          <w:spacing w:val="-11"/>
          <w:sz w:val="24"/>
        </w:rPr>
        <w:t> </w:t>
      </w:r>
      <w:r>
        <w:rPr>
          <w:i/>
          <w:color w:val="231F20"/>
          <w:sz w:val="24"/>
        </w:rPr>
        <w:t>familiaux</w:t>
      </w:r>
      <w:r>
        <w:rPr>
          <w:i/>
          <w:color w:val="231F20"/>
          <w:spacing w:val="-13"/>
          <w:sz w:val="24"/>
        </w:rPr>
        <w:t> </w:t>
      </w:r>
      <w:r>
        <w:rPr>
          <w:i/>
          <w:color w:val="231F20"/>
          <w:sz w:val="24"/>
        </w:rPr>
        <w:t>à</w:t>
      </w:r>
      <w:r>
        <w:rPr>
          <w:i/>
          <w:color w:val="231F20"/>
          <w:spacing w:val="-9"/>
          <w:sz w:val="24"/>
        </w:rPr>
        <w:t> </w:t>
      </w:r>
      <w:r>
        <w:rPr>
          <w:i/>
          <w:color w:val="231F20"/>
          <w:sz w:val="24"/>
        </w:rPr>
        <w:t>la</w:t>
      </w:r>
      <w:r>
        <w:rPr>
          <w:i/>
          <w:color w:val="231F20"/>
          <w:spacing w:val="-9"/>
          <w:sz w:val="24"/>
        </w:rPr>
        <w:t> </w:t>
      </w:r>
      <w:r>
        <w:rPr>
          <w:i/>
          <w:color w:val="231F20"/>
          <w:sz w:val="24"/>
        </w:rPr>
        <w:t>tête</w:t>
      </w:r>
      <w:r>
        <w:rPr>
          <w:i/>
          <w:color w:val="231F20"/>
          <w:spacing w:val="-10"/>
          <w:sz w:val="24"/>
        </w:rPr>
        <w:t> </w:t>
      </w:r>
      <w:r>
        <w:rPr>
          <w:i/>
          <w:color w:val="231F20"/>
          <w:sz w:val="24"/>
        </w:rPr>
        <w:t>de</w:t>
      </w:r>
      <w:r>
        <w:rPr>
          <w:i/>
          <w:color w:val="231F20"/>
          <w:spacing w:val="-12"/>
          <w:sz w:val="24"/>
        </w:rPr>
        <w:t> </w:t>
      </w:r>
      <w:r>
        <w:rPr>
          <w:i/>
          <w:color w:val="231F20"/>
          <w:sz w:val="24"/>
        </w:rPr>
        <w:t>la</w:t>
      </w:r>
      <w:r>
        <w:rPr>
          <w:i/>
          <w:color w:val="231F20"/>
          <w:spacing w:val="-9"/>
          <w:sz w:val="24"/>
        </w:rPr>
        <w:t> </w:t>
      </w:r>
      <w:r>
        <w:rPr>
          <w:i/>
          <w:color w:val="231F20"/>
          <w:sz w:val="24"/>
        </w:rPr>
        <w:t>RDC,</w:t>
      </w:r>
      <w:r>
        <w:rPr>
          <w:i/>
          <w:color w:val="231F20"/>
          <w:sz w:val="24"/>
        </w:rPr>
        <w:t> Laurent-Désiré entre</w:t>
      </w:r>
      <w:r>
        <w:rPr>
          <w:i/>
          <w:color w:val="231F20"/>
          <w:spacing w:val="-1"/>
          <w:sz w:val="24"/>
        </w:rPr>
        <w:t> </w:t>
      </w:r>
      <w:r>
        <w:rPr>
          <w:i/>
          <w:color w:val="231F20"/>
          <w:sz w:val="24"/>
        </w:rPr>
        <w:t>1997 et 2001, et Joseph à partir de</w:t>
      </w:r>
      <w:r>
        <w:rPr>
          <w:i/>
          <w:color w:val="231F20"/>
          <w:spacing w:val="-1"/>
          <w:sz w:val="24"/>
        </w:rPr>
        <w:t> </w:t>
      </w:r>
      <w:r>
        <w:rPr>
          <w:i/>
          <w:color w:val="231F20"/>
          <w:sz w:val="24"/>
        </w:rPr>
        <w:t>2001, le clan </w:t>
      </w:r>
      <w:r>
        <w:rPr>
          <w:i/>
          <w:color w:val="231F20"/>
          <w:spacing w:val="-4"/>
          <w:sz w:val="24"/>
        </w:rPr>
        <w:t>Kabila</w:t>
      </w:r>
      <w:r>
        <w:rPr>
          <w:i/>
          <w:color w:val="231F20"/>
          <w:spacing w:val="-11"/>
          <w:sz w:val="24"/>
        </w:rPr>
        <w:t> </w:t>
      </w:r>
      <w:r>
        <w:rPr>
          <w:i/>
          <w:color w:val="231F20"/>
          <w:spacing w:val="-4"/>
          <w:sz w:val="24"/>
        </w:rPr>
        <w:t>a</w:t>
      </w:r>
      <w:r>
        <w:rPr>
          <w:i/>
          <w:color w:val="231F20"/>
          <w:spacing w:val="-11"/>
          <w:sz w:val="24"/>
        </w:rPr>
        <w:t> </w:t>
      </w:r>
      <w:r>
        <w:rPr>
          <w:i/>
          <w:color w:val="231F20"/>
          <w:spacing w:val="-4"/>
          <w:sz w:val="24"/>
        </w:rPr>
        <w:t>accumulé</w:t>
      </w:r>
      <w:r>
        <w:rPr>
          <w:i/>
          <w:color w:val="231F20"/>
          <w:spacing w:val="-11"/>
          <w:sz w:val="24"/>
        </w:rPr>
        <w:t> </w:t>
      </w:r>
      <w:r>
        <w:rPr>
          <w:i/>
          <w:color w:val="231F20"/>
          <w:spacing w:val="-4"/>
          <w:sz w:val="24"/>
        </w:rPr>
        <w:t>une</w:t>
      </w:r>
      <w:r>
        <w:rPr>
          <w:i/>
          <w:color w:val="231F20"/>
          <w:spacing w:val="-11"/>
          <w:sz w:val="24"/>
        </w:rPr>
        <w:t> </w:t>
      </w:r>
      <w:r>
        <w:rPr>
          <w:i/>
          <w:color w:val="231F20"/>
          <w:spacing w:val="-4"/>
          <w:sz w:val="24"/>
        </w:rPr>
        <w:t>immense</w:t>
      </w:r>
      <w:r>
        <w:rPr>
          <w:i/>
          <w:color w:val="231F20"/>
          <w:spacing w:val="-9"/>
          <w:sz w:val="24"/>
        </w:rPr>
        <w:t> </w:t>
      </w:r>
      <w:r>
        <w:rPr>
          <w:i/>
          <w:color w:val="231F20"/>
          <w:spacing w:val="-4"/>
          <w:sz w:val="24"/>
        </w:rPr>
        <w:t>fortune</w:t>
      </w:r>
      <w:r>
        <w:rPr>
          <w:i/>
          <w:color w:val="231F20"/>
          <w:spacing w:val="-9"/>
          <w:sz w:val="24"/>
        </w:rPr>
        <w:t> </w:t>
      </w:r>
      <w:r>
        <w:rPr>
          <w:i/>
          <w:color w:val="231F20"/>
          <w:spacing w:val="-4"/>
          <w:sz w:val="24"/>
        </w:rPr>
        <w:t>(...)</w:t>
      </w:r>
      <w:r>
        <w:rPr>
          <w:i/>
          <w:color w:val="231F20"/>
          <w:spacing w:val="-9"/>
          <w:sz w:val="24"/>
        </w:rPr>
        <w:t> </w:t>
      </w:r>
      <w:r>
        <w:rPr>
          <w:i/>
          <w:color w:val="231F20"/>
          <w:spacing w:val="-4"/>
          <w:sz w:val="24"/>
        </w:rPr>
        <w:t>Au</w:t>
      </w:r>
      <w:r>
        <w:rPr>
          <w:i/>
          <w:color w:val="231F20"/>
          <w:spacing w:val="-11"/>
          <w:sz w:val="24"/>
        </w:rPr>
        <w:t> </w:t>
      </w:r>
      <w:r>
        <w:rPr>
          <w:i/>
          <w:color w:val="231F20"/>
          <w:spacing w:val="-4"/>
          <w:sz w:val="24"/>
        </w:rPr>
        <w:t>fil</w:t>
      </w:r>
      <w:r>
        <w:rPr>
          <w:i/>
          <w:color w:val="231F20"/>
          <w:spacing w:val="-11"/>
          <w:sz w:val="24"/>
        </w:rPr>
        <w:t> </w:t>
      </w:r>
      <w:r>
        <w:rPr>
          <w:i/>
          <w:color w:val="231F20"/>
          <w:spacing w:val="-4"/>
          <w:sz w:val="24"/>
        </w:rPr>
        <w:t>des</w:t>
      </w:r>
      <w:r>
        <w:rPr>
          <w:i/>
          <w:color w:val="231F20"/>
          <w:spacing w:val="-9"/>
          <w:sz w:val="24"/>
        </w:rPr>
        <w:t> </w:t>
      </w:r>
      <w:r>
        <w:rPr>
          <w:i/>
          <w:color w:val="231F20"/>
          <w:spacing w:val="-4"/>
          <w:sz w:val="24"/>
        </w:rPr>
        <w:t>ans,</w:t>
      </w:r>
      <w:r>
        <w:rPr>
          <w:i/>
          <w:color w:val="231F20"/>
          <w:spacing w:val="-9"/>
          <w:sz w:val="24"/>
        </w:rPr>
        <w:t> </w:t>
      </w:r>
      <w:r>
        <w:rPr>
          <w:i/>
          <w:color w:val="231F20"/>
          <w:spacing w:val="-4"/>
          <w:sz w:val="24"/>
        </w:rPr>
        <w:t>les</w:t>
      </w:r>
      <w:r>
        <w:rPr>
          <w:i/>
          <w:color w:val="231F20"/>
          <w:spacing w:val="-9"/>
          <w:sz w:val="24"/>
        </w:rPr>
        <w:t> </w:t>
      </w:r>
      <w:r>
        <w:rPr>
          <w:i/>
          <w:color w:val="231F20"/>
          <w:spacing w:val="-4"/>
          <w:sz w:val="24"/>
        </w:rPr>
        <w:t>entreprises </w:t>
      </w:r>
      <w:r>
        <w:rPr>
          <w:i/>
          <w:color w:val="231F20"/>
          <w:sz w:val="24"/>
        </w:rPr>
        <w:t>détenues par le clan Kabila ont bénéficié de contrats avec le Gouvernement Congolais, la Banque Mondiale, l'OPIC (Overseas </w:t>
      </w:r>
      <w:r>
        <w:rPr>
          <w:i/>
          <w:color w:val="231F20"/>
          <w:spacing w:val="-2"/>
          <w:sz w:val="24"/>
        </w:rPr>
        <w:t>Private</w:t>
      </w:r>
      <w:r>
        <w:rPr>
          <w:i/>
          <w:color w:val="231F20"/>
          <w:spacing w:val="-5"/>
          <w:sz w:val="24"/>
        </w:rPr>
        <w:t> </w:t>
      </w:r>
      <w:r>
        <w:rPr>
          <w:i/>
          <w:color w:val="231F20"/>
          <w:spacing w:val="-2"/>
          <w:sz w:val="24"/>
        </w:rPr>
        <w:t>Investment</w:t>
      </w:r>
      <w:r>
        <w:rPr>
          <w:i/>
          <w:color w:val="231F20"/>
          <w:spacing w:val="-3"/>
          <w:sz w:val="24"/>
        </w:rPr>
        <w:t> </w:t>
      </w:r>
      <w:r>
        <w:rPr>
          <w:i/>
          <w:color w:val="231F20"/>
          <w:spacing w:val="-2"/>
          <w:sz w:val="24"/>
        </w:rPr>
        <w:t>Corporation)</w:t>
      </w:r>
      <w:r>
        <w:rPr>
          <w:i/>
          <w:color w:val="231F20"/>
          <w:spacing w:val="-3"/>
          <w:sz w:val="24"/>
        </w:rPr>
        <w:t> </w:t>
      </w:r>
      <w:r>
        <w:rPr>
          <w:i/>
          <w:color w:val="231F20"/>
          <w:spacing w:val="-2"/>
          <w:sz w:val="24"/>
        </w:rPr>
        <w:t>-</w:t>
      </w:r>
      <w:r>
        <w:rPr>
          <w:i/>
          <w:color w:val="231F20"/>
          <w:spacing w:val="-3"/>
          <w:sz w:val="24"/>
        </w:rPr>
        <w:t> </w:t>
      </w:r>
      <w:r>
        <w:rPr>
          <w:i/>
          <w:color w:val="231F20"/>
          <w:spacing w:val="-2"/>
          <w:sz w:val="24"/>
        </w:rPr>
        <w:t>organisme</w:t>
      </w:r>
      <w:r>
        <w:rPr>
          <w:i/>
          <w:color w:val="231F20"/>
          <w:spacing w:val="-3"/>
          <w:sz w:val="24"/>
        </w:rPr>
        <w:t> </w:t>
      </w:r>
      <w:r>
        <w:rPr>
          <w:i/>
          <w:color w:val="231F20"/>
          <w:spacing w:val="-2"/>
          <w:sz w:val="24"/>
        </w:rPr>
        <w:t>d'aide</w:t>
      </w:r>
      <w:r>
        <w:rPr>
          <w:i/>
          <w:color w:val="231F20"/>
          <w:spacing w:val="-3"/>
          <w:sz w:val="24"/>
        </w:rPr>
        <w:t> </w:t>
      </w:r>
      <w:r>
        <w:rPr>
          <w:i/>
          <w:color w:val="231F20"/>
          <w:spacing w:val="-2"/>
          <w:sz w:val="24"/>
        </w:rPr>
        <w:t>publique américain</w:t>
      </w:r>
    </w:p>
    <w:p>
      <w:pPr>
        <w:spacing w:before="0"/>
        <w:ind w:left="111" w:right="108" w:firstLine="0"/>
        <w:jc w:val="both"/>
        <w:rPr>
          <w:i/>
          <w:sz w:val="24"/>
        </w:rPr>
      </w:pPr>
      <w:r>
        <w:rPr>
          <w:i/>
          <w:color w:val="231F20"/>
          <w:sz w:val="24"/>
        </w:rPr>
        <w:t>-,</w:t>
      </w:r>
      <w:r>
        <w:rPr>
          <w:i/>
          <w:color w:val="231F20"/>
          <w:spacing w:val="-11"/>
          <w:sz w:val="24"/>
        </w:rPr>
        <w:t> </w:t>
      </w:r>
      <w:r>
        <w:rPr>
          <w:i/>
          <w:color w:val="231F20"/>
          <w:sz w:val="24"/>
        </w:rPr>
        <w:t>et</w:t>
      </w:r>
      <w:r>
        <w:rPr>
          <w:i/>
          <w:color w:val="231F20"/>
          <w:spacing w:val="-11"/>
          <w:sz w:val="24"/>
        </w:rPr>
        <w:t> </w:t>
      </w:r>
      <w:r>
        <w:rPr>
          <w:i/>
          <w:color w:val="231F20"/>
          <w:sz w:val="24"/>
        </w:rPr>
        <w:t>les</w:t>
      </w:r>
      <w:r>
        <w:rPr>
          <w:i/>
          <w:color w:val="231F20"/>
          <w:spacing w:val="-14"/>
          <w:sz w:val="24"/>
        </w:rPr>
        <w:t> </w:t>
      </w:r>
      <w:r>
        <w:rPr>
          <w:i/>
          <w:color w:val="231F20"/>
          <w:sz w:val="24"/>
        </w:rPr>
        <w:t>Nations</w:t>
      </w:r>
      <w:r>
        <w:rPr>
          <w:i/>
          <w:color w:val="231F20"/>
          <w:spacing w:val="-11"/>
          <w:sz w:val="24"/>
        </w:rPr>
        <w:t> </w:t>
      </w:r>
      <w:r>
        <w:rPr>
          <w:i/>
          <w:color w:val="231F20"/>
          <w:sz w:val="24"/>
        </w:rPr>
        <w:t>Unies,</w:t>
      </w:r>
      <w:r>
        <w:rPr>
          <w:i/>
          <w:color w:val="231F20"/>
          <w:spacing w:val="-11"/>
          <w:sz w:val="24"/>
        </w:rPr>
        <w:t> </w:t>
      </w:r>
      <w:r>
        <w:rPr>
          <w:i/>
          <w:color w:val="231F20"/>
          <w:sz w:val="24"/>
        </w:rPr>
        <w:t>et</w:t>
      </w:r>
      <w:r>
        <w:rPr>
          <w:i/>
          <w:color w:val="231F20"/>
          <w:spacing w:val="-13"/>
          <w:sz w:val="24"/>
        </w:rPr>
        <w:t> </w:t>
      </w:r>
      <w:r>
        <w:rPr>
          <w:i/>
          <w:color w:val="231F20"/>
          <w:sz w:val="24"/>
        </w:rPr>
        <w:t>dont</w:t>
      </w:r>
      <w:r>
        <w:rPr>
          <w:i/>
          <w:color w:val="231F20"/>
          <w:spacing w:val="-14"/>
          <w:sz w:val="24"/>
        </w:rPr>
        <w:t> </w:t>
      </w:r>
      <w:r>
        <w:rPr>
          <w:i/>
          <w:color w:val="231F20"/>
          <w:sz w:val="24"/>
        </w:rPr>
        <w:t>les</w:t>
      </w:r>
      <w:r>
        <w:rPr>
          <w:i/>
          <w:color w:val="231F20"/>
          <w:spacing w:val="-11"/>
          <w:sz w:val="24"/>
        </w:rPr>
        <w:t> </w:t>
      </w:r>
      <w:r>
        <w:rPr>
          <w:i/>
          <w:color w:val="231F20"/>
          <w:sz w:val="24"/>
        </w:rPr>
        <w:t>bénéfices</w:t>
      </w:r>
      <w:r>
        <w:rPr>
          <w:i/>
          <w:color w:val="231F20"/>
          <w:spacing w:val="-14"/>
          <w:sz w:val="24"/>
        </w:rPr>
        <w:t> </w:t>
      </w:r>
      <w:r>
        <w:rPr>
          <w:i/>
          <w:color w:val="231F20"/>
          <w:sz w:val="24"/>
        </w:rPr>
        <w:t>se</w:t>
      </w:r>
      <w:r>
        <w:rPr>
          <w:i/>
          <w:color w:val="231F20"/>
          <w:spacing w:val="-11"/>
          <w:sz w:val="24"/>
        </w:rPr>
        <w:t> </w:t>
      </w:r>
      <w:r>
        <w:rPr>
          <w:i/>
          <w:color w:val="231F20"/>
          <w:sz w:val="24"/>
        </w:rPr>
        <w:t>comptent</w:t>
      </w:r>
      <w:r>
        <w:rPr>
          <w:i/>
          <w:color w:val="231F20"/>
          <w:spacing w:val="-11"/>
          <w:sz w:val="24"/>
        </w:rPr>
        <w:t> </w:t>
      </w:r>
      <w:r>
        <w:rPr>
          <w:i/>
          <w:color w:val="231F20"/>
          <w:sz w:val="24"/>
        </w:rPr>
        <w:t>en</w:t>
      </w:r>
      <w:r>
        <w:rPr>
          <w:i/>
          <w:color w:val="231F20"/>
          <w:spacing w:val="-14"/>
          <w:sz w:val="24"/>
        </w:rPr>
        <w:t> </w:t>
      </w:r>
      <w:r>
        <w:rPr>
          <w:i/>
          <w:color w:val="231F20"/>
          <w:sz w:val="24"/>
        </w:rPr>
        <w:t>centaines</w:t>
      </w:r>
      <w:r>
        <w:rPr>
          <w:i/>
          <w:color w:val="231F20"/>
          <w:spacing w:val="-12"/>
          <w:sz w:val="24"/>
        </w:rPr>
        <w:t> </w:t>
      </w:r>
      <w:r>
        <w:rPr>
          <w:i/>
          <w:color w:val="231F20"/>
          <w:sz w:val="24"/>
        </w:rPr>
        <w:t>de</w:t>
      </w:r>
      <w:r>
        <w:rPr>
          <w:i/>
          <w:color w:val="231F20"/>
          <w:sz w:val="24"/>
        </w:rPr>
        <w:t> </w:t>
      </w:r>
      <w:r>
        <w:rPr>
          <w:i/>
          <w:color w:val="231F20"/>
          <w:spacing w:val="-4"/>
          <w:sz w:val="24"/>
        </w:rPr>
        <w:t>millions</w:t>
      </w:r>
      <w:r>
        <w:rPr>
          <w:i/>
          <w:color w:val="231F20"/>
          <w:spacing w:val="-9"/>
          <w:sz w:val="24"/>
        </w:rPr>
        <w:t> </w:t>
      </w:r>
      <w:r>
        <w:rPr>
          <w:i/>
          <w:color w:val="231F20"/>
          <w:spacing w:val="-4"/>
          <w:sz w:val="24"/>
        </w:rPr>
        <w:t>de</w:t>
      </w:r>
      <w:r>
        <w:rPr>
          <w:i/>
          <w:color w:val="231F20"/>
          <w:spacing w:val="-10"/>
          <w:sz w:val="24"/>
        </w:rPr>
        <w:t> </w:t>
      </w:r>
      <w:r>
        <w:rPr>
          <w:i/>
          <w:color w:val="231F20"/>
          <w:spacing w:val="-4"/>
          <w:sz w:val="24"/>
        </w:rPr>
        <w:t>dollars.</w:t>
      </w:r>
      <w:r>
        <w:rPr>
          <w:i/>
          <w:color w:val="231F20"/>
          <w:spacing w:val="-9"/>
          <w:sz w:val="24"/>
        </w:rPr>
        <w:t> </w:t>
      </w:r>
      <w:r>
        <w:rPr>
          <w:i/>
          <w:color w:val="231F20"/>
          <w:spacing w:val="-4"/>
          <w:sz w:val="24"/>
        </w:rPr>
        <w:t>C'est</w:t>
      </w:r>
      <w:r>
        <w:rPr>
          <w:i/>
          <w:color w:val="231F20"/>
          <w:spacing w:val="-9"/>
          <w:sz w:val="24"/>
        </w:rPr>
        <w:t> </w:t>
      </w:r>
      <w:r>
        <w:rPr>
          <w:i/>
          <w:color w:val="231F20"/>
          <w:spacing w:val="-4"/>
          <w:sz w:val="24"/>
        </w:rPr>
        <w:t>le</w:t>
      </w:r>
      <w:r>
        <w:rPr>
          <w:i/>
          <w:color w:val="231F20"/>
          <w:spacing w:val="-10"/>
          <w:sz w:val="24"/>
        </w:rPr>
        <w:t> </w:t>
      </w:r>
      <w:r>
        <w:rPr>
          <w:i/>
          <w:color w:val="231F20"/>
          <w:spacing w:val="-4"/>
          <w:sz w:val="24"/>
        </w:rPr>
        <w:t>cas</w:t>
      </w:r>
      <w:r>
        <w:rPr>
          <w:i/>
          <w:color w:val="231F20"/>
          <w:spacing w:val="-9"/>
          <w:sz w:val="24"/>
        </w:rPr>
        <w:t> </w:t>
      </w:r>
      <w:r>
        <w:rPr>
          <w:i/>
          <w:color w:val="231F20"/>
          <w:spacing w:val="-4"/>
          <w:sz w:val="24"/>
        </w:rPr>
        <w:t>de</w:t>
      </w:r>
      <w:r>
        <w:rPr>
          <w:i/>
          <w:color w:val="231F20"/>
          <w:spacing w:val="-10"/>
          <w:sz w:val="24"/>
        </w:rPr>
        <w:t> </w:t>
      </w:r>
      <w:r>
        <w:rPr>
          <w:i/>
          <w:color w:val="231F20"/>
          <w:spacing w:val="-4"/>
          <w:sz w:val="24"/>
        </w:rPr>
        <w:t>nombreuses</w:t>
      </w:r>
      <w:r>
        <w:rPr>
          <w:i/>
          <w:color w:val="231F20"/>
          <w:spacing w:val="-9"/>
          <w:sz w:val="24"/>
        </w:rPr>
        <w:t> </w:t>
      </w:r>
      <w:r>
        <w:rPr>
          <w:i/>
          <w:color w:val="231F20"/>
          <w:spacing w:val="-4"/>
          <w:sz w:val="24"/>
        </w:rPr>
        <w:t>entreprises</w:t>
      </w:r>
      <w:r>
        <w:rPr>
          <w:i/>
          <w:color w:val="231F20"/>
          <w:spacing w:val="-9"/>
          <w:sz w:val="24"/>
        </w:rPr>
        <w:t> </w:t>
      </w:r>
      <w:r>
        <w:rPr>
          <w:i/>
          <w:color w:val="231F20"/>
          <w:spacing w:val="-4"/>
          <w:sz w:val="24"/>
        </w:rPr>
        <w:t>de</w:t>
      </w:r>
      <w:r>
        <w:rPr>
          <w:i/>
          <w:color w:val="231F20"/>
          <w:spacing w:val="-9"/>
          <w:sz w:val="24"/>
        </w:rPr>
        <w:t> </w:t>
      </w:r>
      <w:r>
        <w:rPr>
          <w:i/>
          <w:color w:val="231F20"/>
          <w:spacing w:val="-4"/>
          <w:sz w:val="24"/>
        </w:rPr>
        <w:t>la</w:t>
      </w:r>
      <w:r>
        <w:rPr>
          <w:i/>
          <w:color w:val="231F20"/>
          <w:spacing w:val="-9"/>
          <w:sz w:val="24"/>
        </w:rPr>
        <w:t> </w:t>
      </w:r>
      <w:r>
        <w:rPr>
          <w:i/>
          <w:color w:val="231F20"/>
          <w:spacing w:val="-4"/>
          <w:sz w:val="24"/>
        </w:rPr>
        <w:t>Première </w:t>
      </w:r>
      <w:r>
        <w:rPr>
          <w:i/>
          <w:color w:val="231F20"/>
          <w:sz w:val="24"/>
        </w:rPr>
        <w:t>Dame.</w:t>
      </w:r>
      <w:r>
        <w:rPr>
          <w:color w:val="231F20"/>
          <w:sz w:val="24"/>
        </w:rPr>
        <w:t>(…)</w:t>
      </w:r>
      <w:r>
        <w:rPr>
          <w:color w:val="231F20"/>
          <w:spacing w:val="41"/>
          <w:sz w:val="24"/>
        </w:rPr>
        <w:t> </w:t>
      </w:r>
      <w:r>
        <w:rPr>
          <w:i/>
          <w:color w:val="231F20"/>
          <w:sz w:val="24"/>
        </w:rPr>
        <w:t>l'entreprise</w:t>
      </w:r>
      <w:r>
        <w:rPr>
          <w:i/>
          <w:color w:val="231F20"/>
          <w:spacing w:val="42"/>
          <w:sz w:val="24"/>
        </w:rPr>
        <w:t> </w:t>
      </w:r>
      <w:r>
        <w:rPr>
          <w:i/>
          <w:color w:val="231F20"/>
          <w:sz w:val="24"/>
        </w:rPr>
        <w:t>Kwango</w:t>
      </w:r>
      <w:r>
        <w:rPr>
          <w:i/>
          <w:color w:val="231F20"/>
          <w:spacing w:val="44"/>
          <w:sz w:val="24"/>
        </w:rPr>
        <w:t> </w:t>
      </w:r>
      <w:r>
        <w:rPr>
          <w:i/>
          <w:color w:val="231F20"/>
          <w:sz w:val="24"/>
        </w:rPr>
        <w:t>Mines,</w:t>
      </w:r>
      <w:r>
        <w:rPr>
          <w:i/>
          <w:color w:val="231F20"/>
          <w:spacing w:val="44"/>
          <w:sz w:val="24"/>
        </w:rPr>
        <w:t> </w:t>
      </w:r>
      <w:r>
        <w:rPr>
          <w:i/>
          <w:color w:val="231F20"/>
          <w:sz w:val="24"/>
        </w:rPr>
        <w:t>contrôlée</w:t>
      </w:r>
      <w:r>
        <w:rPr>
          <w:i/>
          <w:color w:val="231F20"/>
          <w:spacing w:val="44"/>
          <w:sz w:val="24"/>
        </w:rPr>
        <w:t> </w:t>
      </w:r>
      <w:r>
        <w:rPr>
          <w:i/>
          <w:color w:val="231F20"/>
          <w:sz w:val="24"/>
        </w:rPr>
        <w:t>par</w:t>
      </w:r>
      <w:r>
        <w:rPr>
          <w:i/>
          <w:color w:val="231F20"/>
          <w:spacing w:val="44"/>
          <w:sz w:val="24"/>
        </w:rPr>
        <w:t> </w:t>
      </w:r>
      <w:r>
        <w:rPr>
          <w:i/>
          <w:color w:val="231F20"/>
          <w:sz w:val="24"/>
        </w:rPr>
        <w:t>Excel</w:t>
      </w:r>
      <w:r>
        <w:rPr>
          <w:i/>
          <w:color w:val="231F20"/>
          <w:spacing w:val="45"/>
          <w:sz w:val="24"/>
        </w:rPr>
        <w:t> </w:t>
      </w:r>
      <w:r>
        <w:rPr>
          <w:i/>
          <w:color w:val="231F20"/>
          <w:spacing w:val="-2"/>
          <w:sz w:val="24"/>
        </w:rPr>
        <w:t>holding</w:t>
      </w:r>
    </w:p>
    <w:p>
      <w:pPr>
        <w:spacing w:after="0"/>
        <w:jc w:val="both"/>
        <w:rPr>
          <w:sz w:val="24"/>
        </w:rPr>
        <w:sectPr>
          <w:pgSz w:w="8790" w:h="13610"/>
          <w:pgMar w:header="0" w:footer="802" w:top="1060" w:bottom="1000" w:left="880" w:right="880"/>
        </w:sectPr>
      </w:pPr>
    </w:p>
    <w:p>
      <w:pPr>
        <w:spacing w:before="66"/>
        <w:ind w:left="111" w:right="107" w:firstLine="0"/>
        <w:jc w:val="both"/>
        <w:rPr>
          <w:i/>
          <w:sz w:val="24"/>
        </w:rPr>
      </w:pPr>
      <w:r>
        <w:rPr>
          <w:i/>
          <w:color w:val="231F20"/>
          <w:sz w:val="24"/>
        </w:rPr>
        <w:t>dirigé par la sœur de Kabila, Jaynet, détient à elle seule 53 permis</w:t>
      </w:r>
      <w:r>
        <w:rPr>
          <w:i/>
          <w:color w:val="231F20"/>
          <w:sz w:val="24"/>
        </w:rPr>
        <w:t> d'exploitation</w:t>
      </w:r>
      <w:r>
        <w:rPr>
          <w:i/>
          <w:color w:val="231F20"/>
          <w:spacing w:val="-15"/>
          <w:sz w:val="24"/>
        </w:rPr>
        <w:t> </w:t>
      </w:r>
      <w:r>
        <w:rPr>
          <w:i/>
          <w:color w:val="231F20"/>
          <w:sz w:val="24"/>
        </w:rPr>
        <w:t>minière</w:t>
      </w:r>
      <w:r>
        <w:rPr>
          <w:i/>
          <w:color w:val="231F20"/>
          <w:spacing w:val="-15"/>
          <w:sz w:val="24"/>
        </w:rPr>
        <w:t> </w:t>
      </w:r>
      <w:r>
        <w:rPr>
          <w:i/>
          <w:color w:val="231F20"/>
          <w:sz w:val="24"/>
        </w:rPr>
        <w:t>alors</w:t>
      </w:r>
      <w:r>
        <w:rPr>
          <w:i/>
          <w:color w:val="231F20"/>
          <w:spacing w:val="-15"/>
          <w:sz w:val="24"/>
        </w:rPr>
        <w:t> </w:t>
      </w:r>
      <w:r>
        <w:rPr>
          <w:i/>
          <w:color w:val="231F20"/>
          <w:sz w:val="24"/>
        </w:rPr>
        <w:t>que</w:t>
      </w:r>
      <w:r>
        <w:rPr>
          <w:i/>
          <w:color w:val="231F20"/>
          <w:spacing w:val="-15"/>
          <w:sz w:val="24"/>
        </w:rPr>
        <w:t> </w:t>
      </w:r>
      <w:r>
        <w:rPr>
          <w:i/>
          <w:color w:val="231F20"/>
          <w:sz w:val="24"/>
        </w:rPr>
        <w:t>le</w:t>
      </w:r>
      <w:r>
        <w:rPr>
          <w:i/>
          <w:color w:val="231F20"/>
          <w:spacing w:val="-15"/>
          <w:sz w:val="24"/>
        </w:rPr>
        <w:t> </w:t>
      </w:r>
      <w:r>
        <w:rPr>
          <w:i/>
          <w:color w:val="231F20"/>
          <w:sz w:val="24"/>
        </w:rPr>
        <w:t>code</w:t>
      </w:r>
      <w:r>
        <w:rPr>
          <w:i/>
          <w:color w:val="231F20"/>
          <w:spacing w:val="-15"/>
          <w:sz w:val="24"/>
        </w:rPr>
        <w:t> </w:t>
      </w:r>
      <w:r>
        <w:rPr>
          <w:i/>
          <w:color w:val="231F20"/>
          <w:sz w:val="24"/>
        </w:rPr>
        <w:t>minier</w:t>
      </w:r>
      <w:r>
        <w:rPr>
          <w:i/>
          <w:color w:val="231F20"/>
          <w:spacing w:val="-15"/>
          <w:sz w:val="24"/>
        </w:rPr>
        <w:t> </w:t>
      </w:r>
      <w:r>
        <w:rPr>
          <w:i/>
          <w:color w:val="231F20"/>
          <w:sz w:val="24"/>
        </w:rPr>
        <w:t>interdit</w:t>
      </w:r>
      <w:r>
        <w:rPr>
          <w:i/>
          <w:color w:val="231F20"/>
          <w:spacing w:val="-15"/>
          <w:sz w:val="24"/>
        </w:rPr>
        <w:t> </w:t>
      </w:r>
      <w:r>
        <w:rPr>
          <w:i/>
          <w:color w:val="231F20"/>
          <w:sz w:val="24"/>
        </w:rPr>
        <w:t>d'en</w:t>
      </w:r>
      <w:r>
        <w:rPr>
          <w:i/>
          <w:color w:val="231F20"/>
          <w:spacing w:val="-15"/>
          <w:sz w:val="24"/>
        </w:rPr>
        <w:t> </w:t>
      </w:r>
      <w:r>
        <w:rPr>
          <w:i/>
          <w:color w:val="231F20"/>
          <w:sz w:val="24"/>
        </w:rPr>
        <w:t>détenir</w:t>
      </w:r>
      <w:r>
        <w:rPr>
          <w:i/>
          <w:color w:val="231F20"/>
          <w:spacing w:val="-15"/>
          <w:sz w:val="24"/>
        </w:rPr>
        <w:t> </w:t>
      </w:r>
      <w:r>
        <w:rPr>
          <w:i/>
          <w:color w:val="231F20"/>
          <w:sz w:val="24"/>
        </w:rPr>
        <w:t>plus de 50 »</w:t>
      </w:r>
      <w:r>
        <w:rPr>
          <w:color w:val="76787A"/>
          <w:sz w:val="24"/>
          <w:vertAlign w:val="superscript"/>
        </w:rPr>
        <w:t>266</w:t>
      </w:r>
      <w:r>
        <w:rPr>
          <w:i/>
          <w:color w:val="231F20"/>
          <w:sz w:val="24"/>
          <w:vertAlign w:val="baseline"/>
        </w:rPr>
        <w:t>.</w:t>
      </w:r>
    </w:p>
    <w:p>
      <w:pPr>
        <w:pStyle w:val="BodyText"/>
        <w:spacing w:before="120"/>
        <w:ind w:right="106" w:firstLine="283"/>
      </w:pPr>
      <w:r>
        <w:rPr>
          <w:color w:val="231F20"/>
        </w:rPr>
        <w:t>Au Congo-Brazzaville, selon un rapport</w:t>
      </w:r>
      <w:r>
        <w:rPr>
          <w:color w:val="231F20"/>
          <w:spacing w:val="-15"/>
        </w:rPr>
        <w:t> </w:t>
      </w:r>
      <w:r>
        <w:rPr>
          <w:color w:val="231F20"/>
        </w:rPr>
        <w:t>de l’Organisation Non Gouvernementale britannique Global Witness publié le 6 août 2019, Denis</w:t>
      </w:r>
      <w:r>
        <w:rPr>
          <w:color w:val="231F20"/>
          <w:spacing w:val="-9"/>
        </w:rPr>
        <w:t> </w:t>
      </w:r>
      <w:r>
        <w:rPr>
          <w:color w:val="231F20"/>
        </w:rPr>
        <w:t>Christel</w:t>
      </w:r>
      <w:r>
        <w:rPr>
          <w:color w:val="231F20"/>
          <w:spacing w:val="-8"/>
        </w:rPr>
        <w:t> </w:t>
      </w:r>
      <w:r>
        <w:rPr>
          <w:color w:val="231F20"/>
        </w:rPr>
        <w:t>Sassou</w:t>
      </w:r>
      <w:r>
        <w:rPr>
          <w:color w:val="231F20"/>
          <w:spacing w:val="-9"/>
        </w:rPr>
        <w:t> </w:t>
      </w:r>
      <w:r>
        <w:rPr>
          <w:color w:val="231F20"/>
        </w:rPr>
        <w:t>Nguesso,</w:t>
      </w:r>
      <w:r>
        <w:rPr>
          <w:color w:val="231F20"/>
          <w:spacing w:val="-7"/>
        </w:rPr>
        <w:t> </w:t>
      </w:r>
      <w:r>
        <w:rPr>
          <w:color w:val="231F20"/>
        </w:rPr>
        <w:t>fils</w:t>
      </w:r>
      <w:r>
        <w:rPr>
          <w:color w:val="231F20"/>
          <w:spacing w:val="-7"/>
        </w:rPr>
        <w:t> </w:t>
      </w:r>
      <w:r>
        <w:rPr>
          <w:color w:val="231F20"/>
        </w:rPr>
        <w:t>du</w:t>
      </w:r>
      <w:r>
        <w:rPr>
          <w:color w:val="231F20"/>
          <w:spacing w:val="-9"/>
        </w:rPr>
        <w:t> </w:t>
      </w:r>
      <w:r>
        <w:rPr>
          <w:color w:val="231F20"/>
        </w:rPr>
        <w:t>Président,</w:t>
      </w:r>
      <w:r>
        <w:rPr>
          <w:color w:val="231F20"/>
          <w:spacing w:val="-9"/>
        </w:rPr>
        <w:t> </w:t>
      </w:r>
      <w:r>
        <w:rPr>
          <w:color w:val="231F20"/>
        </w:rPr>
        <w:t>Député</w:t>
      </w:r>
      <w:r>
        <w:rPr>
          <w:color w:val="231F20"/>
          <w:spacing w:val="-7"/>
        </w:rPr>
        <w:t> </w:t>
      </w:r>
      <w:r>
        <w:rPr>
          <w:color w:val="231F20"/>
        </w:rPr>
        <w:t>d'Oyo</w:t>
      </w:r>
      <w:r>
        <w:rPr>
          <w:color w:val="231F20"/>
          <w:spacing w:val="-5"/>
        </w:rPr>
        <w:t> </w:t>
      </w:r>
      <w:r>
        <w:rPr>
          <w:color w:val="231F20"/>
        </w:rPr>
        <w:t>(Nord) fief</w:t>
      </w:r>
      <w:r>
        <w:rPr>
          <w:color w:val="231F20"/>
          <w:spacing w:val="-1"/>
        </w:rPr>
        <w:t> </w:t>
      </w:r>
      <w:r>
        <w:rPr>
          <w:color w:val="231F20"/>
        </w:rPr>
        <w:t>de</w:t>
      </w:r>
      <w:r>
        <w:rPr>
          <w:color w:val="231F20"/>
          <w:spacing w:val="-2"/>
        </w:rPr>
        <w:t> </w:t>
      </w:r>
      <w:r>
        <w:rPr>
          <w:color w:val="231F20"/>
        </w:rPr>
        <w:t>son</w:t>
      </w:r>
      <w:r>
        <w:rPr>
          <w:color w:val="231F20"/>
          <w:spacing w:val="-2"/>
        </w:rPr>
        <w:t> </w:t>
      </w:r>
      <w:r>
        <w:rPr>
          <w:color w:val="231F20"/>
        </w:rPr>
        <w:t>père, Administrateur</w:t>
      </w:r>
      <w:r>
        <w:rPr>
          <w:color w:val="231F20"/>
          <w:spacing w:val="-2"/>
        </w:rPr>
        <w:t> </w:t>
      </w:r>
      <w:r>
        <w:rPr>
          <w:color w:val="231F20"/>
        </w:rPr>
        <w:t>général</w:t>
      </w:r>
      <w:r>
        <w:rPr>
          <w:color w:val="231F20"/>
          <w:spacing w:val="-2"/>
        </w:rPr>
        <w:t> </w:t>
      </w:r>
      <w:r>
        <w:rPr>
          <w:color w:val="231F20"/>
        </w:rPr>
        <w:t>de</w:t>
      </w:r>
      <w:r>
        <w:rPr>
          <w:color w:val="231F20"/>
          <w:spacing w:val="-1"/>
        </w:rPr>
        <w:t> </w:t>
      </w:r>
      <w:r>
        <w:rPr>
          <w:color w:val="231F20"/>
        </w:rPr>
        <w:t>l’unique</w:t>
      </w:r>
      <w:r>
        <w:rPr>
          <w:color w:val="231F20"/>
          <w:spacing w:val="-1"/>
        </w:rPr>
        <w:t> </w:t>
      </w:r>
      <w:r>
        <w:rPr>
          <w:color w:val="231F20"/>
        </w:rPr>
        <w:t>raffinerie</w:t>
      </w:r>
      <w:r>
        <w:rPr>
          <w:color w:val="231F20"/>
          <w:spacing w:val="-2"/>
        </w:rPr>
        <w:t> </w:t>
      </w:r>
      <w:r>
        <w:rPr>
          <w:color w:val="231F20"/>
        </w:rPr>
        <w:t>du</w:t>
      </w:r>
      <w:r>
        <w:rPr>
          <w:color w:val="231F20"/>
          <w:spacing w:val="-2"/>
        </w:rPr>
        <w:t> </w:t>
      </w:r>
      <w:r>
        <w:rPr>
          <w:color w:val="231F20"/>
        </w:rPr>
        <w:t>pays, numéro deux de la Société Nationale des Pétroles du Congo (SNPC) </w:t>
      </w:r>
      <w:r>
        <w:rPr>
          <w:color w:val="231F20"/>
          <w:spacing w:val="-4"/>
        </w:rPr>
        <w:t>jusqu'en</w:t>
      </w:r>
      <w:r>
        <w:rPr>
          <w:color w:val="231F20"/>
          <w:spacing w:val="-9"/>
        </w:rPr>
        <w:t> </w:t>
      </w:r>
      <w:r>
        <w:rPr>
          <w:color w:val="231F20"/>
          <w:spacing w:val="-4"/>
        </w:rPr>
        <w:t>2016,</w:t>
      </w:r>
      <w:r>
        <w:rPr>
          <w:color w:val="231F20"/>
          <w:spacing w:val="-9"/>
        </w:rPr>
        <w:t> </w:t>
      </w:r>
      <w:r>
        <w:rPr>
          <w:color w:val="231F20"/>
          <w:spacing w:val="-4"/>
        </w:rPr>
        <w:t>se</w:t>
      </w:r>
      <w:r>
        <w:rPr>
          <w:color w:val="231F20"/>
          <w:spacing w:val="-9"/>
        </w:rPr>
        <w:t> </w:t>
      </w:r>
      <w:r>
        <w:rPr>
          <w:color w:val="231F20"/>
          <w:spacing w:val="-4"/>
        </w:rPr>
        <w:t>serait</w:t>
      </w:r>
      <w:r>
        <w:rPr>
          <w:color w:val="231F20"/>
          <w:spacing w:val="-9"/>
        </w:rPr>
        <w:t> </w:t>
      </w:r>
      <w:r>
        <w:rPr>
          <w:color w:val="231F20"/>
          <w:spacing w:val="-4"/>
        </w:rPr>
        <w:t>approprié</w:t>
      </w:r>
      <w:r>
        <w:rPr>
          <w:color w:val="231F20"/>
          <w:spacing w:val="-9"/>
        </w:rPr>
        <w:t> </w:t>
      </w:r>
      <w:r>
        <w:rPr>
          <w:color w:val="231F20"/>
          <w:spacing w:val="-4"/>
        </w:rPr>
        <w:t>près</w:t>
      </w:r>
      <w:r>
        <w:rPr>
          <w:color w:val="231F20"/>
          <w:spacing w:val="-9"/>
        </w:rPr>
        <w:t> </w:t>
      </w:r>
      <w:r>
        <w:rPr>
          <w:color w:val="231F20"/>
          <w:spacing w:val="-4"/>
        </w:rPr>
        <w:t>de</w:t>
      </w:r>
      <w:r>
        <w:rPr>
          <w:color w:val="231F20"/>
          <w:spacing w:val="-9"/>
        </w:rPr>
        <w:t> </w:t>
      </w:r>
      <w:r>
        <w:rPr>
          <w:color w:val="231F20"/>
          <w:spacing w:val="-4"/>
        </w:rPr>
        <w:t>50</w:t>
      </w:r>
      <w:r>
        <w:rPr>
          <w:color w:val="231F20"/>
          <w:spacing w:val="-11"/>
        </w:rPr>
        <w:t> </w:t>
      </w:r>
      <w:r>
        <w:rPr>
          <w:color w:val="231F20"/>
          <w:spacing w:val="-4"/>
        </w:rPr>
        <w:t>millions</w:t>
      </w:r>
      <w:r>
        <w:rPr>
          <w:color w:val="231F20"/>
          <w:spacing w:val="-9"/>
        </w:rPr>
        <w:t> </w:t>
      </w:r>
      <w:r>
        <w:rPr>
          <w:color w:val="231F20"/>
          <w:spacing w:val="-4"/>
        </w:rPr>
        <w:t>de</w:t>
      </w:r>
      <w:r>
        <w:rPr>
          <w:color w:val="231F20"/>
          <w:spacing w:val="-9"/>
        </w:rPr>
        <w:t> </w:t>
      </w:r>
      <w:r>
        <w:rPr>
          <w:color w:val="231F20"/>
          <w:spacing w:val="-4"/>
        </w:rPr>
        <w:t>dollars</w:t>
      </w:r>
      <w:r>
        <w:rPr>
          <w:color w:val="231F20"/>
          <w:spacing w:val="-9"/>
        </w:rPr>
        <w:t> </w:t>
      </w:r>
      <w:r>
        <w:rPr>
          <w:color w:val="231F20"/>
          <w:spacing w:val="-4"/>
        </w:rPr>
        <w:t>provenant </w:t>
      </w:r>
      <w:r>
        <w:rPr>
          <w:color w:val="231F20"/>
        </w:rPr>
        <w:t>de</w:t>
      </w:r>
      <w:r>
        <w:rPr>
          <w:color w:val="231F20"/>
          <w:spacing w:val="-2"/>
        </w:rPr>
        <w:t> </w:t>
      </w:r>
      <w:r>
        <w:rPr>
          <w:color w:val="231F20"/>
        </w:rPr>
        <w:t>l’or</w:t>
      </w:r>
      <w:r>
        <w:rPr>
          <w:color w:val="231F20"/>
          <w:spacing w:val="-2"/>
        </w:rPr>
        <w:t> </w:t>
      </w:r>
      <w:r>
        <w:rPr>
          <w:color w:val="231F20"/>
        </w:rPr>
        <w:t>noir</w:t>
      </w:r>
      <w:r>
        <w:rPr>
          <w:color w:val="231F20"/>
          <w:spacing w:val="-4"/>
        </w:rPr>
        <w:t> </w:t>
      </w:r>
      <w:r>
        <w:rPr>
          <w:color w:val="231F20"/>
        </w:rPr>
        <w:t>qui</w:t>
      </w:r>
      <w:r>
        <w:rPr>
          <w:color w:val="231F20"/>
          <w:spacing w:val="-3"/>
        </w:rPr>
        <w:t> </w:t>
      </w:r>
      <w:r>
        <w:rPr>
          <w:color w:val="231F20"/>
        </w:rPr>
        <w:t>représente</w:t>
      </w:r>
      <w:r>
        <w:rPr>
          <w:color w:val="231F20"/>
          <w:spacing w:val="-5"/>
        </w:rPr>
        <w:t> </w:t>
      </w:r>
      <w:r>
        <w:rPr>
          <w:color w:val="231F20"/>
        </w:rPr>
        <w:t>80%</w:t>
      </w:r>
      <w:r>
        <w:rPr>
          <w:color w:val="231F20"/>
          <w:spacing w:val="-2"/>
        </w:rPr>
        <w:t> </w:t>
      </w:r>
      <w:r>
        <w:rPr>
          <w:color w:val="231F20"/>
        </w:rPr>
        <w:t>des</w:t>
      </w:r>
      <w:r>
        <w:rPr>
          <w:color w:val="231F20"/>
          <w:spacing w:val="-4"/>
        </w:rPr>
        <w:t> </w:t>
      </w:r>
      <w:r>
        <w:rPr>
          <w:color w:val="231F20"/>
        </w:rPr>
        <w:t>ressources</w:t>
      </w:r>
      <w:r>
        <w:rPr>
          <w:color w:val="231F20"/>
          <w:spacing w:val="-2"/>
        </w:rPr>
        <w:t> </w:t>
      </w:r>
      <w:r>
        <w:rPr>
          <w:color w:val="231F20"/>
        </w:rPr>
        <w:t>du</w:t>
      </w:r>
      <w:r>
        <w:rPr>
          <w:color w:val="231F20"/>
          <w:spacing w:val="-4"/>
        </w:rPr>
        <w:t> </w:t>
      </w:r>
      <w:r>
        <w:rPr>
          <w:color w:val="231F20"/>
        </w:rPr>
        <w:t>pays.</w:t>
      </w:r>
    </w:p>
    <w:p>
      <w:pPr>
        <w:spacing w:before="121"/>
        <w:ind w:left="111" w:right="106" w:firstLine="283"/>
        <w:jc w:val="both"/>
        <w:rPr>
          <w:i/>
          <w:sz w:val="24"/>
        </w:rPr>
      </w:pPr>
      <w:r>
        <w:rPr>
          <w:color w:val="231F20"/>
          <w:sz w:val="24"/>
        </w:rPr>
        <w:t>Les fonds détournés par Denis Christel, auraient servi à mettre en </w:t>
      </w:r>
      <w:r>
        <w:rPr>
          <w:color w:val="231F20"/>
          <w:spacing w:val="-2"/>
          <w:sz w:val="24"/>
        </w:rPr>
        <w:t>place</w:t>
      </w:r>
      <w:r>
        <w:rPr>
          <w:color w:val="231F20"/>
          <w:spacing w:val="-13"/>
          <w:sz w:val="24"/>
        </w:rPr>
        <w:t> </w:t>
      </w:r>
      <w:r>
        <w:rPr>
          <w:color w:val="231F20"/>
          <w:spacing w:val="-2"/>
          <w:sz w:val="24"/>
        </w:rPr>
        <w:t>une</w:t>
      </w:r>
      <w:r>
        <w:rPr>
          <w:color w:val="231F20"/>
          <w:spacing w:val="-6"/>
          <w:sz w:val="24"/>
        </w:rPr>
        <w:t> </w:t>
      </w:r>
      <w:r>
        <w:rPr>
          <w:color w:val="231F20"/>
          <w:spacing w:val="-2"/>
          <w:sz w:val="24"/>
        </w:rPr>
        <w:t>structure</w:t>
      </w:r>
      <w:r>
        <w:rPr>
          <w:color w:val="231F20"/>
          <w:spacing w:val="-6"/>
          <w:sz w:val="24"/>
        </w:rPr>
        <w:t> </w:t>
      </w:r>
      <w:r>
        <w:rPr>
          <w:color w:val="231F20"/>
          <w:spacing w:val="-2"/>
          <w:sz w:val="24"/>
        </w:rPr>
        <w:t>d'entreprise</w:t>
      </w:r>
      <w:r>
        <w:rPr>
          <w:color w:val="231F20"/>
          <w:spacing w:val="-4"/>
          <w:sz w:val="24"/>
        </w:rPr>
        <w:t> </w:t>
      </w:r>
      <w:r>
        <w:rPr>
          <w:color w:val="231F20"/>
          <w:spacing w:val="-2"/>
          <w:sz w:val="24"/>
        </w:rPr>
        <w:t>complexe</w:t>
      </w:r>
      <w:r>
        <w:rPr>
          <w:color w:val="231F20"/>
          <w:spacing w:val="-4"/>
          <w:sz w:val="24"/>
        </w:rPr>
        <w:t> </w:t>
      </w:r>
      <w:r>
        <w:rPr>
          <w:color w:val="231F20"/>
          <w:spacing w:val="-2"/>
          <w:sz w:val="24"/>
        </w:rPr>
        <w:t>et</w:t>
      </w:r>
      <w:r>
        <w:rPr>
          <w:color w:val="231F20"/>
          <w:spacing w:val="-4"/>
          <w:sz w:val="24"/>
        </w:rPr>
        <w:t> </w:t>
      </w:r>
      <w:r>
        <w:rPr>
          <w:color w:val="231F20"/>
          <w:spacing w:val="-2"/>
          <w:sz w:val="24"/>
        </w:rPr>
        <w:t>opaque</w:t>
      </w:r>
      <w:r>
        <w:rPr>
          <w:color w:val="231F20"/>
          <w:spacing w:val="-6"/>
          <w:sz w:val="24"/>
        </w:rPr>
        <w:t> </w:t>
      </w:r>
      <w:r>
        <w:rPr>
          <w:color w:val="231F20"/>
          <w:spacing w:val="-2"/>
          <w:sz w:val="24"/>
        </w:rPr>
        <w:t>dans</w:t>
      </w:r>
      <w:r>
        <w:rPr>
          <w:color w:val="231F20"/>
          <w:spacing w:val="-5"/>
          <w:sz w:val="24"/>
        </w:rPr>
        <w:t> </w:t>
      </w:r>
      <w:r>
        <w:rPr>
          <w:color w:val="231F20"/>
          <w:spacing w:val="-2"/>
          <w:sz w:val="24"/>
        </w:rPr>
        <w:t>plusieurs</w:t>
      </w:r>
      <w:r>
        <w:rPr>
          <w:color w:val="231F20"/>
          <w:spacing w:val="-5"/>
          <w:sz w:val="24"/>
        </w:rPr>
        <w:t> </w:t>
      </w:r>
      <w:r>
        <w:rPr>
          <w:color w:val="231F20"/>
          <w:spacing w:val="-2"/>
          <w:sz w:val="24"/>
        </w:rPr>
        <w:t>pays. </w:t>
      </w:r>
      <w:r>
        <w:rPr>
          <w:color w:val="231F20"/>
          <w:sz w:val="24"/>
        </w:rPr>
        <w:t>Quant</w:t>
      </w:r>
      <w:r>
        <w:rPr>
          <w:color w:val="231F20"/>
          <w:spacing w:val="-6"/>
          <w:sz w:val="24"/>
        </w:rPr>
        <w:t> </w:t>
      </w:r>
      <w:r>
        <w:rPr>
          <w:color w:val="231F20"/>
          <w:sz w:val="24"/>
        </w:rPr>
        <w:t>à</w:t>
      </w:r>
      <w:r>
        <w:rPr>
          <w:color w:val="231F20"/>
          <w:spacing w:val="-9"/>
          <w:sz w:val="24"/>
        </w:rPr>
        <w:t> </w:t>
      </w:r>
      <w:r>
        <w:rPr>
          <w:color w:val="231F20"/>
          <w:sz w:val="24"/>
        </w:rPr>
        <w:t>Claudia</w:t>
      </w:r>
      <w:r>
        <w:rPr>
          <w:color w:val="231F20"/>
          <w:spacing w:val="-9"/>
          <w:sz w:val="24"/>
        </w:rPr>
        <w:t> </w:t>
      </w:r>
      <w:r>
        <w:rPr>
          <w:color w:val="231F20"/>
          <w:sz w:val="24"/>
        </w:rPr>
        <w:t>Sassou</w:t>
      </w:r>
      <w:r>
        <w:rPr>
          <w:color w:val="231F20"/>
          <w:spacing w:val="-9"/>
          <w:sz w:val="24"/>
        </w:rPr>
        <w:t> </w:t>
      </w:r>
      <w:r>
        <w:rPr>
          <w:color w:val="231F20"/>
          <w:sz w:val="24"/>
        </w:rPr>
        <w:t>Nguesso,</w:t>
      </w:r>
      <w:r>
        <w:rPr>
          <w:color w:val="231F20"/>
          <w:spacing w:val="-6"/>
          <w:sz w:val="24"/>
        </w:rPr>
        <w:t> </w:t>
      </w:r>
      <w:r>
        <w:rPr>
          <w:color w:val="231F20"/>
          <w:sz w:val="24"/>
        </w:rPr>
        <w:t>Directrice</w:t>
      </w:r>
      <w:r>
        <w:rPr>
          <w:color w:val="231F20"/>
          <w:spacing w:val="-9"/>
          <w:sz w:val="24"/>
        </w:rPr>
        <w:t> </w:t>
      </w:r>
      <w:r>
        <w:rPr>
          <w:color w:val="231F20"/>
          <w:sz w:val="24"/>
        </w:rPr>
        <w:t>de</w:t>
      </w:r>
      <w:r>
        <w:rPr>
          <w:color w:val="231F20"/>
          <w:spacing w:val="-6"/>
          <w:sz w:val="24"/>
        </w:rPr>
        <w:t> </w:t>
      </w:r>
      <w:r>
        <w:rPr>
          <w:color w:val="231F20"/>
          <w:sz w:val="24"/>
        </w:rPr>
        <w:t>la</w:t>
      </w:r>
      <w:r>
        <w:rPr>
          <w:color w:val="231F20"/>
          <w:spacing w:val="-9"/>
          <w:sz w:val="24"/>
        </w:rPr>
        <w:t> </w:t>
      </w:r>
      <w:r>
        <w:rPr>
          <w:color w:val="231F20"/>
          <w:sz w:val="24"/>
        </w:rPr>
        <w:t>communication</w:t>
      </w:r>
      <w:r>
        <w:rPr>
          <w:color w:val="231F20"/>
          <w:spacing w:val="-7"/>
          <w:sz w:val="24"/>
        </w:rPr>
        <w:t> </w:t>
      </w:r>
      <w:r>
        <w:rPr>
          <w:color w:val="231F20"/>
          <w:sz w:val="24"/>
        </w:rPr>
        <w:t>de</w:t>
      </w:r>
      <w:r>
        <w:rPr>
          <w:color w:val="231F20"/>
          <w:spacing w:val="-9"/>
          <w:sz w:val="24"/>
        </w:rPr>
        <w:t> </w:t>
      </w:r>
      <w:r>
        <w:rPr>
          <w:color w:val="231F20"/>
          <w:sz w:val="24"/>
        </w:rPr>
        <w:t>la </w:t>
      </w:r>
      <w:r>
        <w:rPr>
          <w:color w:val="231F20"/>
          <w:spacing w:val="-4"/>
          <w:sz w:val="24"/>
        </w:rPr>
        <w:t>Présidence</w:t>
      </w:r>
      <w:r>
        <w:rPr>
          <w:color w:val="231F20"/>
          <w:spacing w:val="-6"/>
          <w:sz w:val="24"/>
        </w:rPr>
        <w:t> </w:t>
      </w:r>
      <w:r>
        <w:rPr>
          <w:color w:val="231F20"/>
          <w:spacing w:val="-4"/>
          <w:sz w:val="24"/>
        </w:rPr>
        <w:t>et</w:t>
      </w:r>
      <w:r>
        <w:rPr>
          <w:color w:val="231F20"/>
          <w:spacing w:val="-7"/>
          <w:sz w:val="24"/>
        </w:rPr>
        <w:t> </w:t>
      </w:r>
      <w:r>
        <w:rPr>
          <w:color w:val="231F20"/>
          <w:spacing w:val="-4"/>
          <w:sz w:val="24"/>
        </w:rPr>
        <w:t>Conseillère</w:t>
      </w:r>
      <w:r>
        <w:rPr>
          <w:color w:val="231F20"/>
          <w:spacing w:val="-10"/>
          <w:sz w:val="24"/>
        </w:rPr>
        <w:t> </w:t>
      </w:r>
      <w:r>
        <w:rPr>
          <w:color w:val="231F20"/>
          <w:spacing w:val="-4"/>
          <w:sz w:val="24"/>
        </w:rPr>
        <w:t>spéciale</w:t>
      </w:r>
      <w:r>
        <w:rPr>
          <w:color w:val="231F20"/>
          <w:spacing w:val="-6"/>
          <w:sz w:val="24"/>
        </w:rPr>
        <w:t> </w:t>
      </w:r>
      <w:r>
        <w:rPr>
          <w:color w:val="231F20"/>
          <w:spacing w:val="-4"/>
          <w:sz w:val="24"/>
        </w:rPr>
        <w:t>de</w:t>
      </w:r>
      <w:r>
        <w:rPr>
          <w:color w:val="231F20"/>
          <w:spacing w:val="-10"/>
          <w:sz w:val="24"/>
        </w:rPr>
        <w:t> </w:t>
      </w:r>
      <w:r>
        <w:rPr>
          <w:color w:val="231F20"/>
          <w:spacing w:val="-4"/>
          <w:sz w:val="24"/>
        </w:rPr>
        <w:t>son</w:t>
      </w:r>
      <w:r>
        <w:rPr>
          <w:color w:val="231F20"/>
          <w:spacing w:val="-9"/>
          <w:sz w:val="24"/>
        </w:rPr>
        <w:t> </w:t>
      </w:r>
      <w:r>
        <w:rPr>
          <w:color w:val="231F20"/>
          <w:spacing w:val="-4"/>
          <w:sz w:val="24"/>
        </w:rPr>
        <w:t>père,</w:t>
      </w:r>
      <w:r>
        <w:rPr>
          <w:color w:val="231F20"/>
          <w:spacing w:val="-6"/>
          <w:sz w:val="24"/>
        </w:rPr>
        <w:t> </w:t>
      </w:r>
      <w:r>
        <w:rPr>
          <w:color w:val="231F20"/>
          <w:spacing w:val="-4"/>
          <w:sz w:val="24"/>
        </w:rPr>
        <w:t>elle </w:t>
      </w:r>
      <w:r>
        <w:rPr>
          <w:i/>
          <w:color w:val="231F20"/>
          <w:spacing w:val="-4"/>
          <w:sz w:val="24"/>
        </w:rPr>
        <w:t>«</w:t>
      </w:r>
      <w:r>
        <w:rPr>
          <w:i/>
          <w:color w:val="231F20"/>
          <w:sz w:val="24"/>
        </w:rPr>
        <w:t> </w:t>
      </w:r>
      <w:r>
        <w:rPr>
          <w:i/>
          <w:color w:val="231F20"/>
          <w:spacing w:val="-4"/>
          <w:sz w:val="24"/>
        </w:rPr>
        <w:t>aurait</w:t>
      </w:r>
      <w:r>
        <w:rPr>
          <w:i/>
          <w:color w:val="231F20"/>
          <w:spacing w:val="-7"/>
          <w:sz w:val="24"/>
        </w:rPr>
        <w:t> </w:t>
      </w:r>
      <w:r>
        <w:rPr>
          <w:i/>
          <w:color w:val="231F20"/>
          <w:spacing w:val="-4"/>
          <w:sz w:val="24"/>
        </w:rPr>
        <w:t>détourné</w:t>
      </w:r>
      <w:r>
        <w:rPr>
          <w:i/>
          <w:color w:val="231F20"/>
          <w:spacing w:val="-9"/>
          <w:sz w:val="24"/>
        </w:rPr>
        <w:t> </w:t>
      </w:r>
      <w:r>
        <w:rPr>
          <w:i/>
          <w:color w:val="231F20"/>
          <w:spacing w:val="-4"/>
          <w:sz w:val="24"/>
        </w:rPr>
        <w:t>près</w:t>
      </w:r>
      <w:r>
        <w:rPr>
          <w:i/>
          <w:color w:val="231F20"/>
          <w:spacing w:val="-4"/>
          <w:sz w:val="24"/>
        </w:rPr>
        <w:t> </w:t>
      </w:r>
      <w:r>
        <w:rPr>
          <w:i/>
          <w:color w:val="231F20"/>
          <w:sz w:val="24"/>
        </w:rPr>
        <w:t>de</w:t>
      </w:r>
      <w:r>
        <w:rPr>
          <w:i/>
          <w:color w:val="231F20"/>
          <w:spacing w:val="-6"/>
          <w:sz w:val="24"/>
        </w:rPr>
        <w:t> </w:t>
      </w:r>
      <w:r>
        <w:rPr>
          <w:i/>
          <w:color w:val="231F20"/>
          <w:sz w:val="24"/>
        </w:rPr>
        <w:t>20</w:t>
      </w:r>
      <w:r>
        <w:rPr>
          <w:i/>
          <w:color w:val="231F20"/>
          <w:spacing w:val="-7"/>
          <w:sz w:val="24"/>
        </w:rPr>
        <w:t> </w:t>
      </w:r>
      <w:r>
        <w:rPr>
          <w:i/>
          <w:color w:val="231F20"/>
          <w:sz w:val="24"/>
        </w:rPr>
        <w:t>millions</w:t>
      </w:r>
      <w:r>
        <w:rPr>
          <w:i/>
          <w:color w:val="231F20"/>
          <w:spacing w:val="-7"/>
          <w:sz w:val="24"/>
        </w:rPr>
        <w:t> </w:t>
      </w:r>
      <w:r>
        <w:rPr>
          <w:i/>
          <w:color w:val="231F20"/>
          <w:sz w:val="24"/>
        </w:rPr>
        <w:t>de</w:t>
      </w:r>
      <w:r>
        <w:rPr>
          <w:i/>
          <w:color w:val="231F20"/>
          <w:spacing w:val="-9"/>
          <w:sz w:val="24"/>
        </w:rPr>
        <w:t> </w:t>
      </w:r>
      <w:r>
        <w:rPr>
          <w:i/>
          <w:color w:val="231F20"/>
          <w:sz w:val="24"/>
        </w:rPr>
        <w:t>dollars</w:t>
      </w:r>
      <w:r>
        <w:rPr>
          <w:i/>
          <w:color w:val="231F20"/>
          <w:spacing w:val="-9"/>
          <w:sz w:val="24"/>
        </w:rPr>
        <w:t> </w:t>
      </w:r>
      <w:r>
        <w:rPr>
          <w:i/>
          <w:color w:val="231F20"/>
          <w:sz w:val="24"/>
        </w:rPr>
        <w:t>de</w:t>
      </w:r>
      <w:r>
        <w:rPr>
          <w:i/>
          <w:color w:val="231F20"/>
          <w:spacing w:val="-6"/>
          <w:sz w:val="24"/>
        </w:rPr>
        <w:t> </w:t>
      </w:r>
      <w:r>
        <w:rPr>
          <w:i/>
          <w:color w:val="231F20"/>
          <w:sz w:val="24"/>
        </w:rPr>
        <w:t>fonds</w:t>
      </w:r>
      <w:r>
        <w:rPr>
          <w:i/>
          <w:color w:val="231F20"/>
          <w:spacing w:val="-7"/>
          <w:sz w:val="24"/>
        </w:rPr>
        <w:t> </w:t>
      </w:r>
      <w:r>
        <w:rPr>
          <w:i/>
          <w:color w:val="231F20"/>
          <w:sz w:val="24"/>
        </w:rPr>
        <w:t>publics</w:t>
      </w:r>
      <w:r>
        <w:rPr>
          <w:i/>
          <w:color w:val="231F20"/>
          <w:spacing w:val="-7"/>
          <w:sz w:val="24"/>
        </w:rPr>
        <w:t> </w:t>
      </w:r>
      <w:r>
        <w:rPr>
          <w:i/>
          <w:color w:val="231F20"/>
          <w:sz w:val="24"/>
        </w:rPr>
        <w:t>et</w:t>
      </w:r>
      <w:r>
        <w:rPr>
          <w:i/>
          <w:color w:val="231F20"/>
          <w:spacing w:val="-6"/>
          <w:sz w:val="24"/>
        </w:rPr>
        <w:t> </w:t>
      </w:r>
      <w:r>
        <w:rPr>
          <w:i/>
          <w:color w:val="231F20"/>
          <w:sz w:val="24"/>
        </w:rPr>
        <w:t>en</w:t>
      </w:r>
      <w:r>
        <w:rPr>
          <w:i/>
          <w:color w:val="231F20"/>
          <w:spacing w:val="-7"/>
          <w:sz w:val="24"/>
        </w:rPr>
        <w:t> </w:t>
      </w:r>
      <w:r>
        <w:rPr>
          <w:i/>
          <w:color w:val="231F20"/>
          <w:sz w:val="24"/>
        </w:rPr>
        <w:t>aurait</w:t>
      </w:r>
      <w:r>
        <w:rPr>
          <w:i/>
          <w:color w:val="231F20"/>
          <w:spacing w:val="-6"/>
          <w:sz w:val="24"/>
        </w:rPr>
        <w:t> </w:t>
      </w:r>
      <w:r>
        <w:rPr>
          <w:i/>
          <w:color w:val="231F20"/>
          <w:sz w:val="24"/>
        </w:rPr>
        <w:t>utilisé</w:t>
      </w:r>
      <w:r>
        <w:rPr>
          <w:i/>
          <w:color w:val="231F20"/>
          <w:spacing w:val="-6"/>
          <w:sz w:val="24"/>
        </w:rPr>
        <w:t> </w:t>
      </w:r>
      <w:r>
        <w:rPr>
          <w:i/>
          <w:color w:val="231F20"/>
          <w:sz w:val="24"/>
        </w:rPr>
        <w:t>une</w:t>
      </w:r>
      <w:r>
        <w:rPr>
          <w:i/>
          <w:color w:val="231F20"/>
          <w:spacing w:val="-6"/>
          <w:sz w:val="24"/>
        </w:rPr>
        <w:t> </w:t>
      </w:r>
      <w:r>
        <w:rPr>
          <w:i/>
          <w:color w:val="231F20"/>
          <w:sz w:val="24"/>
        </w:rPr>
        <w:t>partie pour</w:t>
      </w:r>
      <w:r>
        <w:rPr>
          <w:i/>
          <w:color w:val="231F20"/>
          <w:spacing w:val="-15"/>
          <w:sz w:val="24"/>
        </w:rPr>
        <w:t> </w:t>
      </w:r>
      <w:r>
        <w:rPr>
          <w:i/>
          <w:color w:val="231F20"/>
          <w:sz w:val="24"/>
        </w:rPr>
        <w:t>acheter</w:t>
      </w:r>
      <w:r>
        <w:rPr>
          <w:i/>
          <w:color w:val="231F20"/>
          <w:spacing w:val="-15"/>
          <w:sz w:val="24"/>
        </w:rPr>
        <w:t> </w:t>
      </w:r>
      <w:r>
        <w:rPr>
          <w:i/>
          <w:color w:val="231F20"/>
          <w:sz w:val="24"/>
        </w:rPr>
        <w:t>un</w:t>
      </w:r>
      <w:r>
        <w:rPr>
          <w:i/>
          <w:color w:val="231F20"/>
          <w:spacing w:val="-15"/>
          <w:sz w:val="24"/>
        </w:rPr>
        <w:t> </w:t>
      </w:r>
      <w:r>
        <w:rPr>
          <w:i/>
          <w:color w:val="231F20"/>
          <w:sz w:val="24"/>
        </w:rPr>
        <w:t>appartement</w:t>
      </w:r>
      <w:r>
        <w:rPr>
          <w:i/>
          <w:color w:val="231F20"/>
          <w:spacing w:val="-14"/>
          <w:sz w:val="24"/>
        </w:rPr>
        <w:t> </w:t>
      </w:r>
      <w:r>
        <w:rPr>
          <w:i/>
          <w:color w:val="231F20"/>
          <w:sz w:val="24"/>
        </w:rPr>
        <w:t>de</w:t>
      </w:r>
      <w:r>
        <w:rPr>
          <w:i/>
          <w:color w:val="231F20"/>
          <w:spacing w:val="-15"/>
          <w:sz w:val="24"/>
        </w:rPr>
        <w:t> </w:t>
      </w:r>
      <w:r>
        <w:rPr>
          <w:i/>
          <w:color w:val="231F20"/>
          <w:sz w:val="24"/>
        </w:rPr>
        <w:t>luxe</w:t>
      </w:r>
      <w:r>
        <w:rPr>
          <w:i/>
          <w:color w:val="231F20"/>
          <w:spacing w:val="-15"/>
          <w:sz w:val="24"/>
        </w:rPr>
        <w:t> </w:t>
      </w:r>
      <w:r>
        <w:rPr>
          <w:i/>
          <w:color w:val="231F20"/>
          <w:sz w:val="24"/>
        </w:rPr>
        <w:t>dans</w:t>
      </w:r>
      <w:r>
        <w:rPr>
          <w:i/>
          <w:color w:val="231F20"/>
          <w:spacing w:val="-15"/>
          <w:sz w:val="24"/>
        </w:rPr>
        <w:t> </w:t>
      </w:r>
      <w:r>
        <w:rPr>
          <w:i/>
          <w:color w:val="231F20"/>
          <w:sz w:val="24"/>
        </w:rPr>
        <w:t>le</w:t>
      </w:r>
      <w:r>
        <w:rPr>
          <w:i/>
          <w:color w:val="231F20"/>
          <w:spacing w:val="-15"/>
          <w:sz w:val="24"/>
        </w:rPr>
        <w:t> </w:t>
      </w:r>
      <w:r>
        <w:rPr>
          <w:i/>
          <w:color w:val="231F20"/>
          <w:sz w:val="24"/>
        </w:rPr>
        <w:t>Trump</w:t>
      </w:r>
      <w:r>
        <w:rPr>
          <w:i/>
          <w:color w:val="231F20"/>
          <w:spacing w:val="-13"/>
          <w:sz w:val="24"/>
        </w:rPr>
        <w:t> </w:t>
      </w:r>
      <w:r>
        <w:rPr>
          <w:i/>
          <w:color w:val="231F20"/>
          <w:sz w:val="24"/>
        </w:rPr>
        <w:t>International</w:t>
      </w:r>
      <w:r>
        <w:rPr>
          <w:i/>
          <w:color w:val="231F20"/>
          <w:spacing w:val="-15"/>
          <w:sz w:val="24"/>
        </w:rPr>
        <w:t> </w:t>
      </w:r>
      <w:r>
        <w:rPr>
          <w:i/>
          <w:color w:val="231F20"/>
          <w:sz w:val="24"/>
        </w:rPr>
        <w:t>Hotel and Tower à New York »</w:t>
      </w:r>
      <w:r>
        <w:rPr>
          <w:color w:val="76787A"/>
          <w:sz w:val="24"/>
          <w:vertAlign w:val="superscript"/>
        </w:rPr>
        <w:t>267</w:t>
      </w:r>
      <w:r>
        <w:rPr>
          <w:i/>
          <w:color w:val="231F20"/>
          <w:sz w:val="24"/>
          <w:vertAlign w:val="baseline"/>
        </w:rPr>
        <w:t>.</w:t>
      </w:r>
    </w:p>
    <w:p>
      <w:pPr>
        <w:pStyle w:val="BodyText"/>
        <w:spacing w:before="120"/>
        <w:ind w:right="106" w:firstLine="283"/>
      </w:pPr>
      <w:r>
        <w:rPr>
          <w:color w:val="231F20"/>
          <w:spacing w:val="-2"/>
        </w:rPr>
        <w:t>Le</w:t>
      </w:r>
      <w:r>
        <w:rPr>
          <w:color w:val="231F20"/>
          <w:spacing w:val="-13"/>
        </w:rPr>
        <w:t> </w:t>
      </w:r>
      <w:r>
        <w:rPr>
          <w:color w:val="231F20"/>
          <w:spacing w:val="-2"/>
        </w:rPr>
        <w:t>Fonds</w:t>
      </w:r>
      <w:r>
        <w:rPr>
          <w:color w:val="231F20"/>
          <w:spacing w:val="-13"/>
        </w:rPr>
        <w:t> </w:t>
      </w:r>
      <w:r>
        <w:rPr>
          <w:color w:val="231F20"/>
          <w:spacing w:val="-2"/>
        </w:rPr>
        <w:t>des</w:t>
      </w:r>
      <w:r>
        <w:rPr>
          <w:color w:val="231F20"/>
          <w:spacing w:val="-13"/>
        </w:rPr>
        <w:t> </w:t>
      </w:r>
      <w:r>
        <w:rPr>
          <w:color w:val="231F20"/>
          <w:spacing w:val="-2"/>
        </w:rPr>
        <w:t>Nations</w:t>
      </w:r>
      <w:r>
        <w:rPr>
          <w:color w:val="231F20"/>
          <w:spacing w:val="-13"/>
        </w:rPr>
        <w:t> </w:t>
      </w:r>
      <w:r>
        <w:rPr>
          <w:color w:val="231F20"/>
          <w:spacing w:val="-2"/>
        </w:rPr>
        <w:t>Unies</w:t>
      </w:r>
      <w:r>
        <w:rPr>
          <w:color w:val="231F20"/>
          <w:spacing w:val="-11"/>
        </w:rPr>
        <w:t> </w:t>
      </w:r>
      <w:r>
        <w:rPr>
          <w:color w:val="231F20"/>
          <w:spacing w:val="-2"/>
        </w:rPr>
        <w:t>pour</w:t>
      </w:r>
      <w:r>
        <w:rPr>
          <w:color w:val="231F20"/>
          <w:spacing w:val="-13"/>
        </w:rPr>
        <w:t> </w:t>
      </w:r>
      <w:r>
        <w:rPr>
          <w:color w:val="231F20"/>
          <w:spacing w:val="-2"/>
        </w:rPr>
        <w:t>l'Enfance</w:t>
      </w:r>
      <w:r>
        <w:rPr>
          <w:color w:val="231F20"/>
          <w:spacing w:val="-11"/>
        </w:rPr>
        <w:t> </w:t>
      </w:r>
      <w:r>
        <w:rPr>
          <w:color w:val="231F20"/>
          <w:spacing w:val="-2"/>
        </w:rPr>
        <w:t>(Unicef)</w:t>
      </w:r>
      <w:r>
        <w:rPr>
          <w:color w:val="231F20"/>
          <w:spacing w:val="-11"/>
        </w:rPr>
        <w:t> </w:t>
      </w:r>
      <w:r>
        <w:rPr>
          <w:color w:val="231F20"/>
          <w:spacing w:val="-2"/>
        </w:rPr>
        <w:t>indique</w:t>
      </w:r>
      <w:r>
        <w:rPr>
          <w:color w:val="231F20"/>
          <w:spacing w:val="-13"/>
        </w:rPr>
        <w:t> </w:t>
      </w:r>
      <w:r>
        <w:rPr>
          <w:color w:val="231F20"/>
          <w:spacing w:val="-2"/>
        </w:rPr>
        <w:t>que</w:t>
      </w:r>
      <w:r>
        <w:rPr>
          <w:color w:val="231F20"/>
          <w:spacing w:val="-13"/>
        </w:rPr>
        <w:t> </w:t>
      </w:r>
      <w:r>
        <w:rPr>
          <w:color w:val="231F20"/>
          <w:spacing w:val="-2"/>
        </w:rPr>
        <w:t>26% </w:t>
      </w:r>
      <w:r>
        <w:rPr>
          <w:color w:val="231F20"/>
        </w:rPr>
        <w:t>des enfants congolais de moins de 5 ans sont atteints de</w:t>
      </w:r>
      <w:r>
        <w:rPr>
          <w:color w:val="231F20"/>
          <w:spacing w:val="-15"/>
        </w:rPr>
        <w:t> </w:t>
      </w:r>
      <w:r>
        <w:rPr>
          <w:color w:val="231F20"/>
        </w:rPr>
        <w:t>malnutrition </w:t>
      </w:r>
      <w:r>
        <w:rPr>
          <w:color w:val="231F20"/>
          <w:spacing w:val="-2"/>
        </w:rPr>
        <w:t>chronique.</w:t>
      </w:r>
    </w:p>
    <w:p>
      <w:pPr>
        <w:spacing w:before="120"/>
        <w:ind w:left="111" w:right="105" w:firstLine="283"/>
        <w:jc w:val="both"/>
        <w:rPr>
          <w:sz w:val="24"/>
        </w:rPr>
      </w:pPr>
      <w:r>
        <w:rPr>
          <w:color w:val="231F20"/>
          <w:spacing w:val="-4"/>
          <w:sz w:val="24"/>
        </w:rPr>
        <w:t>Dans</w:t>
      </w:r>
      <w:r>
        <w:rPr>
          <w:color w:val="231F20"/>
          <w:spacing w:val="-11"/>
          <w:sz w:val="24"/>
        </w:rPr>
        <w:t> </w:t>
      </w:r>
      <w:r>
        <w:rPr>
          <w:color w:val="231F20"/>
          <w:spacing w:val="-4"/>
          <w:sz w:val="24"/>
        </w:rPr>
        <w:t>le</w:t>
      </w:r>
      <w:r>
        <w:rPr>
          <w:color w:val="231F20"/>
          <w:spacing w:val="-11"/>
          <w:sz w:val="24"/>
        </w:rPr>
        <w:t> </w:t>
      </w:r>
      <w:r>
        <w:rPr>
          <w:color w:val="231F20"/>
          <w:spacing w:val="-4"/>
          <w:sz w:val="24"/>
        </w:rPr>
        <w:t>petit</w:t>
      </w:r>
      <w:r>
        <w:rPr>
          <w:color w:val="231F20"/>
          <w:spacing w:val="-11"/>
          <w:sz w:val="24"/>
        </w:rPr>
        <w:t> </w:t>
      </w:r>
      <w:r>
        <w:rPr>
          <w:color w:val="231F20"/>
          <w:spacing w:val="-4"/>
          <w:sz w:val="24"/>
        </w:rPr>
        <w:t>mais</w:t>
      </w:r>
      <w:r>
        <w:rPr>
          <w:color w:val="231F20"/>
          <w:spacing w:val="-11"/>
          <w:sz w:val="24"/>
        </w:rPr>
        <w:t> </w:t>
      </w:r>
      <w:r>
        <w:rPr>
          <w:color w:val="231F20"/>
          <w:spacing w:val="-4"/>
          <w:sz w:val="24"/>
        </w:rPr>
        <w:t>riche</w:t>
      </w:r>
      <w:r>
        <w:rPr>
          <w:color w:val="231F20"/>
          <w:spacing w:val="-11"/>
          <w:sz w:val="24"/>
        </w:rPr>
        <w:t> </w:t>
      </w:r>
      <w:r>
        <w:rPr>
          <w:color w:val="231F20"/>
          <w:spacing w:val="-4"/>
          <w:sz w:val="24"/>
        </w:rPr>
        <w:t>État</w:t>
      </w:r>
      <w:r>
        <w:rPr>
          <w:color w:val="231F20"/>
          <w:spacing w:val="-11"/>
          <w:sz w:val="24"/>
        </w:rPr>
        <w:t> </w:t>
      </w:r>
      <w:r>
        <w:rPr>
          <w:color w:val="231F20"/>
          <w:spacing w:val="-4"/>
          <w:sz w:val="24"/>
        </w:rPr>
        <w:t>pétrolier</w:t>
      </w:r>
      <w:r>
        <w:rPr>
          <w:color w:val="231F20"/>
          <w:spacing w:val="-11"/>
          <w:sz w:val="24"/>
        </w:rPr>
        <w:t> </w:t>
      </w:r>
      <w:r>
        <w:rPr>
          <w:color w:val="231F20"/>
          <w:spacing w:val="-4"/>
          <w:sz w:val="24"/>
        </w:rPr>
        <w:t>du</w:t>
      </w:r>
      <w:r>
        <w:rPr>
          <w:color w:val="231F20"/>
          <w:spacing w:val="-11"/>
          <w:sz w:val="24"/>
        </w:rPr>
        <w:t> </w:t>
      </w:r>
      <w:r>
        <w:rPr>
          <w:color w:val="231F20"/>
          <w:spacing w:val="-4"/>
          <w:sz w:val="24"/>
        </w:rPr>
        <w:t>Gabon,</w:t>
      </w:r>
      <w:r>
        <w:rPr>
          <w:color w:val="231F20"/>
          <w:spacing w:val="-11"/>
          <w:sz w:val="24"/>
        </w:rPr>
        <w:t> </w:t>
      </w:r>
      <w:r>
        <w:rPr>
          <w:color w:val="231F20"/>
          <w:spacing w:val="-4"/>
          <w:sz w:val="24"/>
        </w:rPr>
        <w:t>la</w:t>
      </w:r>
      <w:r>
        <w:rPr>
          <w:color w:val="231F20"/>
          <w:spacing w:val="-11"/>
          <w:sz w:val="24"/>
        </w:rPr>
        <w:t> </w:t>
      </w:r>
      <w:r>
        <w:rPr>
          <w:color w:val="231F20"/>
          <w:spacing w:val="-4"/>
          <w:sz w:val="24"/>
        </w:rPr>
        <w:t>famille</w:t>
      </w:r>
      <w:r>
        <w:rPr>
          <w:color w:val="231F20"/>
          <w:spacing w:val="-11"/>
          <w:sz w:val="24"/>
        </w:rPr>
        <w:t> </w:t>
      </w:r>
      <w:r>
        <w:rPr>
          <w:color w:val="231F20"/>
          <w:spacing w:val="-4"/>
          <w:sz w:val="24"/>
        </w:rPr>
        <w:t>du</w:t>
      </w:r>
      <w:r>
        <w:rPr>
          <w:color w:val="231F20"/>
          <w:spacing w:val="-11"/>
          <w:sz w:val="24"/>
        </w:rPr>
        <w:t> </w:t>
      </w:r>
      <w:r>
        <w:rPr>
          <w:color w:val="231F20"/>
          <w:spacing w:val="-4"/>
          <w:sz w:val="24"/>
        </w:rPr>
        <w:t>Président </w:t>
      </w:r>
      <w:r>
        <w:rPr>
          <w:color w:val="231F20"/>
          <w:sz w:val="24"/>
        </w:rPr>
        <w:t>Bongo</w:t>
      </w:r>
      <w:r>
        <w:rPr>
          <w:color w:val="231F20"/>
          <w:spacing w:val="-12"/>
          <w:sz w:val="24"/>
        </w:rPr>
        <w:t> </w:t>
      </w:r>
      <w:r>
        <w:rPr>
          <w:color w:val="231F20"/>
          <w:sz w:val="24"/>
        </w:rPr>
        <w:t>se</w:t>
      </w:r>
      <w:r>
        <w:rPr>
          <w:color w:val="231F20"/>
          <w:spacing w:val="-12"/>
          <w:sz w:val="24"/>
        </w:rPr>
        <w:t> </w:t>
      </w:r>
      <w:r>
        <w:rPr>
          <w:color w:val="231F20"/>
          <w:sz w:val="24"/>
        </w:rPr>
        <w:t>serait</w:t>
      </w:r>
      <w:r>
        <w:rPr>
          <w:color w:val="231F20"/>
          <w:spacing w:val="-12"/>
          <w:sz w:val="24"/>
        </w:rPr>
        <w:t> </w:t>
      </w:r>
      <w:r>
        <w:rPr>
          <w:color w:val="231F20"/>
          <w:sz w:val="24"/>
        </w:rPr>
        <w:t>enrichie</w:t>
      </w:r>
      <w:r>
        <w:rPr>
          <w:color w:val="231F20"/>
          <w:spacing w:val="-14"/>
          <w:sz w:val="24"/>
        </w:rPr>
        <w:t> </w:t>
      </w:r>
      <w:r>
        <w:rPr>
          <w:color w:val="231F20"/>
          <w:sz w:val="24"/>
        </w:rPr>
        <w:t>des</w:t>
      </w:r>
      <w:r>
        <w:rPr>
          <w:color w:val="231F20"/>
          <w:spacing w:val="-12"/>
          <w:sz w:val="24"/>
        </w:rPr>
        <w:t> </w:t>
      </w:r>
      <w:r>
        <w:rPr>
          <w:color w:val="231F20"/>
          <w:sz w:val="24"/>
        </w:rPr>
        <w:t>décennies</w:t>
      </w:r>
      <w:r>
        <w:rPr>
          <w:color w:val="231F20"/>
          <w:spacing w:val="-12"/>
          <w:sz w:val="24"/>
        </w:rPr>
        <w:t> </w:t>
      </w:r>
      <w:r>
        <w:rPr>
          <w:color w:val="231F20"/>
          <w:sz w:val="24"/>
        </w:rPr>
        <w:t>durant,</w:t>
      </w:r>
      <w:r>
        <w:rPr>
          <w:color w:val="231F20"/>
          <w:spacing w:val="-14"/>
          <w:sz w:val="24"/>
        </w:rPr>
        <w:t> </w:t>
      </w:r>
      <w:r>
        <w:rPr>
          <w:color w:val="231F20"/>
          <w:sz w:val="24"/>
        </w:rPr>
        <w:t>grâce</w:t>
      </w:r>
      <w:r>
        <w:rPr>
          <w:color w:val="231F20"/>
          <w:spacing w:val="-12"/>
          <w:sz w:val="24"/>
        </w:rPr>
        <w:t> </w:t>
      </w:r>
      <w:r>
        <w:rPr>
          <w:color w:val="231F20"/>
          <w:sz w:val="24"/>
        </w:rPr>
        <w:t>au</w:t>
      </w:r>
      <w:r>
        <w:rPr>
          <w:color w:val="231F20"/>
          <w:spacing w:val="-12"/>
          <w:sz w:val="24"/>
        </w:rPr>
        <w:t> </w:t>
      </w:r>
      <w:r>
        <w:rPr>
          <w:color w:val="231F20"/>
          <w:sz w:val="24"/>
        </w:rPr>
        <w:t>groupe</w:t>
      </w:r>
      <w:r>
        <w:rPr>
          <w:color w:val="231F20"/>
          <w:spacing w:val="-15"/>
          <w:sz w:val="24"/>
        </w:rPr>
        <w:t> </w:t>
      </w:r>
      <w:r>
        <w:rPr>
          <w:color w:val="231F20"/>
          <w:sz w:val="24"/>
        </w:rPr>
        <w:t>pétrolier Elf</w:t>
      </w:r>
      <w:r>
        <w:rPr>
          <w:color w:val="231F20"/>
          <w:spacing w:val="-14"/>
          <w:sz w:val="24"/>
        </w:rPr>
        <w:t> </w:t>
      </w:r>
      <w:r>
        <w:rPr>
          <w:color w:val="231F20"/>
          <w:sz w:val="24"/>
        </w:rPr>
        <w:t>:</w:t>
      </w:r>
      <w:r>
        <w:rPr>
          <w:i/>
          <w:color w:val="231F20"/>
          <w:sz w:val="24"/>
        </w:rPr>
        <w:t>«</w:t>
      </w:r>
      <w:r>
        <w:rPr>
          <w:i/>
          <w:color w:val="231F20"/>
          <w:spacing w:val="-7"/>
          <w:sz w:val="24"/>
        </w:rPr>
        <w:t> </w:t>
      </w:r>
      <w:r>
        <w:rPr>
          <w:i/>
          <w:color w:val="231F20"/>
          <w:sz w:val="24"/>
        </w:rPr>
        <w:t>Omar</w:t>
      </w:r>
      <w:r>
        <w:rPr>
          <w:i/>
          <w:color w:val="231F20"/>
          <w:spacing w:val="-7"/>
          <w:sz w:val="24"/>
        </w:rPr>
        <w:t> </w:t>
      </w:r>
      <w:r>
        <w:rPr>
          <w:i/>
          <w:color w:val="231F20"/>
          <w:sz w:val="24"/>
        </w:rPr>
        <w:t>Bongo</w:t>
      </w:r>
      <w:r>
        <w:rPr>
          <w:i/>
          <w:color w:val="231F20"/>
          <w:spacing w:val="-7"/>
          <w:sz w:val="24"/>
        </w:rPr>
        <w:t> </w:t>
      </w:r>
      <w:r>
        <w:rPr>
          <w:i/>
          <w:color w:val="231F20"/>
          <w:sz w:val="24"/>
        </w:rPr>
        <w:t>a</w:t>
      </w:r>
      <w:r>
        <w:rPr>
          <w:i/>
          <w:color w:val="231F20"/>
          <w:spacing w:val="-9"/>
          <w:sz w:val="24"/>
        </w:rPr>
        <w:t> </w:t>
      </w:r>
      <w:r>
        <w:rPr>
          <w:i/>
          <w:color w:val="231F20"/>
          <w:sz w:val="24"/>
        </w:rPr>
        <w:t>bien</w:t>
      </w:r>
      <w:r>
        <w:rPr>
          <w:i/>
          <w:color w:val="231F20"/>
          <w:spacing w:val="-7"/>
          <w:sz w:val="24"/>
        </w:rPr>
        <w:t> </w:t>
      </w:r>
      <w:r>
        <w:rPr>
          <w:i/>
          <w:color w:val="231F20"/>
          <w:sz w:val="24"/>
        </w:rPr>
        <w:t>servi</w:t>
      </w:r>
      <w:r>
        <w:rPr>
          <w:i/>
          <w:color w:val="231F20"/>
          <w:spacing w:val="-9"/>
          <w:sz w:val="24"/>
        </w:rPr>
        <w:t> </w:t>
      </w:r>
      <w:r>
        <w:rPr>
          <w:i/>
          <w:color w:val="231F20"/>
          <w:sz w:val="24"/>
        </w:rPr>
        <w:t>les</w:t>
      </w:r>
      <w:r>
        <w:rPr>
          <w:i/>
          <w:color w:val="231F20"/>
          <w:spacing w:val="-7"/>
          <w:sz w:val="24"/>
        </w:rPr>
        <w:t> </w:t>
      </w:r>
      <w:r>
        <w:rPr>
          <w:i/>
          <w:color w:val="231F20"/>
          <w:sz w:val="24"/>
        </w:rPr>
        <w:t>intérêts</w:t>
      </w:r>
      <w:r>
        <w:rPr>
          <w:i/>
          <w:color w:val="231F20"/>
          <w:spacing w:val="-7"/>
          <w:sz w:val="24"/>
        </w:rPr>
        <w:t> </w:t>
      </w:r>
      <w:r>
        <w:rPr>
          <w:i/>
          <w:color w:val="231F20"/>
          <w:sz w:val="24"/>
        </w:rPr>
        <w:t>de</w:t>
      </w:r>
      <w:r>
        <w:rPr>
          <w:i/>
          <w:color w:val="231F20"/>
          <w:spacing w:val="-7"/>
          <w:sz w:val="24"/>
        </w:rPr>
        <w:t> </w:t>
      </w:r>
      <w:r>
        <w:rPr>
          <w:i/>
          <w:color w:val="231F20"/>
          <w:sz w:val="24"/>
        </w:rPr>
        <w:t>la</w:t>
      </w:r>
      <w:r>
        <w:rPr>
          <w:i/>
          <w:color w:val="231F20"/>
          <w:spacing w:val="-9"/>
          <w:sz w:val="24"/>
        </w:rPr>
        <w:t> </w:t>
      </w:r>
      <w:r>
        <w:rPr>
          <w:i/>
          <w:color w:val="231F20"/>
          <w:sz w:val="24"/>
        </w:rPr>
        <w:t>France</w:t>
      </w:r>
      <w:r>
        <w:rPr>
          <w:i/>
          <w:color w:val="231F20"/>
          <w:spacing w:val="-7"/>
          <w:sz w:val="24"/>
        </w:rPr>
        <w:t> </w:t>
      </w:r>
      <w:r>
        <w:rPr>
          <w:i/>
          <w:color w:val="231F20"/>
          <w:sz w:val="24"/>
        </w:rPr>
        <w:t>et</w:t>
      </w:r>
      <w:r>
        <w:rPr>
          <w:i/>
          <w:color w:val="231F20"/>
          <w:spacing w:val="-7"/>
          <w:sz w:val="24"/>
        </w:rPr>
        <w:t> </w:t>
      </w:r>
      <w:r>
        <w:rPr>
          <w:i/>
          <w:color w:val="231F20"/>
          <w:sz w:val="24"/>
        </w:rPr>
        <w:t>des</w:t>
      </w:r>
      <w:r>
        <w:rPr>
          <w:i/>
          <w:color w:val="231F20"/>
          <w:spacing w:val="-9"/>
          <w:sz w:val="24"/>
        </w:rPr>
        <w:t> </w:t>
      </w:r>
      <w:r>
        <w:rPr>
          <w:i/>
          <w:color w:val="231F20"/>
          <w:sz w:val="24"/>
        </w:rPr>
        <w:t>hommes</w:t>
      </w:r>
      <w:r>
        <w:rPr>
          <w:i/>
          <w:color w:val="231F20"/>
          <w:sz w:val="24"/>
        </w:rPr>
        <w:t> </w:t>
      </w:r>
      <w:r>
        <w:rPr>
          <w:i/>
          <w:color w:val="231F20"/>
          <w:spacing w:val="-4"/>
          <w:sz w:val="24"/>
        </w:rPr>
        <w:t>politiques</w:t>
      </w:r>
      <w:r>
        <w:rPr>
          <w:i/>
          <w:color w:val="231F20"/>
          <w:spacing w:val="-9"/>
          <w:sz w:val="24"/>
        </w:rPr>
        <w:t> </w:t>
      </w:r>
      <w:r>
        <w:rPr>
          <w:i/>
          <w:color w:val="231F20"/>
          <w:spacing w:val="-4"/>
          <w:sz w:val="24"/>
        </w:rPr>
        <w:t>français,</w:t>
      </w:r>
      <w:r>
        <w:rPr>
          <w:i/>
          <w:color w:val="231F20"/>
          <w:spacing w:val="-7"/>
          <w:sz w:val="24"/>
        </w:rPr>
        <w:t> </w:t>
      </w:r>
      <w:r>
        <w:rPr>
          <w:i/>
          <w:color w:val="231F20"/>
          <w:spacing w:val="-4"/>
          <w:sz w:val="24"/>
        </w:rPr>
        <w:t>mais</w:t>
      </w:r>
      <w:r>
        <w:rPr>
          <w:i/>
          <w:color w:val="231F20"/>
          <w:spacing w:val="-9"/>
          <w:sz w:val="24"/>
        </w:rPr>
        <w:t> </w:t>
      </w:r>
      <w:r>
        <w:rPr>
          <w:i/>
          <w:color w:val="231F20"/>
          <w:spacing w:val="-4"/>
          <w:sz w:val="24"/>
        </w:rPr>
        <w:t>pas</w:t>
      </w:r>
      <w:r>
        <w:rPr>
          <w:i/>
          <w:color w:val="231F20"/>
          <w:spacing w:val="-7"/>
          <w:sz w:val="24"/>
        </w:rPr>
        <w:t> </w:t>
      </w:r>
      <w:r>
        <w:rPr>
          <w:i/>
          <w:color w:val="231F20"/>
          <w:spacing w:val="-4"/>
          <w:sz w:val="24"/>
        </w:rPr>
        <w:t>les</w:t>
      </w:r>
      <w:r>
        <w:rPr>
          <w:i/>
          <w:color w:val="231F20"/>
          <w:spacing w:val="-7"/>
          <w:sz w:val="24"/>
        </w:rPr>
        <w:t> </w:t>
      </w:r>
      <w:r>
        <w:rPr>
          <w:i/>
          <w:color w:val="231F20"/>
          <w:spacing w:val="-4"/>
          <w:sz w:val="24"/>
        </w:rPr>
        <w:t>Gabonais,</w:t>
      </w:r>
      <w:r>
        <w:rPr>
          <w:i/>
          <w:color w:val="231F20"/>
          <w:spacing w:val="-9"/>
          <w:sz w:val="24"/>
        </w:rPr>
        <w:t> </w:t>
      </w:r>
      <w:r>
        <w:rPr>
          <w:i/>
          <w:color w:val="231F20"/>
          <w:spacing w:val="-4"/>
          <w:sz w:val="24"/>
        </w:rPr>
        <w:t>soulignant</w:t>
      </w:r>
      <w:r>
        <w:rPr>
          <w:i/>
          <w:color w:val="231F20"/>
          <w:spacing w:val="-6"/>
          <w:sz w:val="24"/>
        </w:rPr>
        <w:t> </w:t>
      </w:r>
      <w:r>
        <w:rPr>
          <w:i/>
          <w:color w:val="231F20"/>
          <w:spacing w:val="-4"/>
          <w:sz w:val="24"/>
        </w:rPr>
        <w:t>que</w:t>
      </w:r>
      <w:r>
        <w:rPr>
          <w:i/>
          <w:color w:val="231F20"/>
          <w:spacing w:val="-6"/>
          <w:sz w:val="24"/>
        </w:rPr>
        <w:t> </w:t>
      </w:r>
      <w:r>
        <w:rPr>
          <w:i/>
          <w:color w:val="231F20"/>
          <w:spacing w:val="-4"/>
          <w:sz w:val="24"/>
        </w:rPr>
        <w:t>malgré</w:t>
      </w:r>
      <w:r>
        <w:rPr>
          <w:i/>
          <w:color w:val="231F20"/>
          <w:spacing w:val="-9"/>
          <w:sz w:val="24"/>
        </w:rPr>
        <w:t> </w:t>
      </w:r>
      <w:r>
        <w:rPr>
          <w:i/>
          <w:color w:val="231F20"/>
          <w:spacing w:val="-4"/>
          <w:sz w:val="24"/>
        </w:rPr>
        <w:t>un</w:t>
      </w:r>
      <w:r>
        <w:rPr>
          <w:i/>
          <w:color w:val="231F20"/>
          <w:spacing w:val="-7"/>
          <w:sz w:val="24"/>
        </w:rPr>
        <w:t> </w:t>
      </w:r>
      <w:r>
        <w:rPr>
          <w:i/>
          <w:color w:val="231F20"/>
          <w:spacing w:val="-4"/>
          <w:sz w:val="24"/>
        </w:rPr>
        <w:t>PIB </w:t>
      </w:r>
      <w:r>
        <w:rPr>
          <w:i/>
          <w:color w:val="231F20"/>
          <w:sz w:val="24"/>
        </w:rPr>
        <w:t>équivalent</w:t>
      </w:r>
      <w:r>
        <w:rPr>
          <w:i/>
          <w:color w:val="231F20"/>
          <w:spacing w:val="-15"/>
          <w:sz w:val="24"/>
        </w:rPr>
        <w:t> </w:t>
      </w:r>
      <w:r>
        <w:rPr>
          <w:i/>
          <w:color w:val="231F20"/>
          <w:sz w:val="24"/>
        </w:rPr>
        <w:t>à</w:t>
      </w:r>
      <w:r>
        <w:rPr>
          <w:i/>
          <w:color w:val="231F20"/>
          <w:spacing w:val="-15"/>
          <w:sz w:val="24"/>
        </w:rPr>
        <w:t> </w:t>
      </w:r>
      <w:r>
        <w:rPr>
          <w:i/>
          <w:color w:val="231F20"/>
          <w:sz w:val="24"/>
        </w:rPr>
        <w:t>celui</w:t>
      </w:r>
      <w:r>
        <w:rPr>
          <w:i/>
          <w:color w:val="231F20"/>
          <w:spacing w:val="-15"/>
          <w:sz w:val="24"/>
        </w:rPr>
        <w:t> </w:t>
      </w:r>
      <w:r>
        <w:rPr>
          <w:i/>
          <w:color w:val="231F20"/>
          <w:sz w:val="24"/>
        </w:rPr>
        <w:t>du</w:t>
      </w:r>
      <w:r>
        <w:rPr>
          <w:i/>
          <w:color w:val="231F20"/>
          <w:spacing w:val="-15"/>
          <w:sz w:val="24"/>
        </w:rPr>
        <w:t> </w:t>
      </w:r>
      <w:r>
        <w:rPr>
          <w:i/>
          <w:color w:val="231F20"/>
          <w:sz w:val="24"/>
        </w:rPr>
        <w:t>Portugal,</w:t>
      </w:r>
      <w:r>
        <w:rPr>
          <w:i/>
          <w:color w:val="231F20"/>
          <w:spacing w:val="-15"/>
          <w:sz w:val="24"/>
        </w:rPr>
        <w:t> </w:t>
      </w:r>
      <w:r>
        <w:rPr>
          <w:i/>
          <w:color w:val="231F20"/>
          <w:sz w:val="24"/>
        </w:rPr>
        <w:t>le</w:t>
      </w:r>
      <w:r>
        <w:rPr>
          <w:i/>
          <w:color w:val="231F20"/>
          <w:spacing w:val="-15"/>
          <w:sz w:val="24"/>
        </w:rPr>
        <w:t> </w:t>
      </w:r>
      <w:r>
        <w:rPr>
          <w:i/>
          <w:color w:val="231F20"/>
          <w:sz w:val="24"/>
        </w:rPr>
        <w:t>Gabon</w:t>
      </w:r>
      <w:r>
        <w:rPr>
          <w:i/>
          <w:color w:val="231F20"/>
          <w:spacing w:val="-15"/>
          <w:sz w:val="24"/>
        </w:rPr>
        <w:t> </w:t>
      </w:r>
      <w:r>
        <w:rPr>
          <w:i/>
          <w:color w:val="231F20"/>
          <w:sz w:val="24"/>
        </w:rPr>
        <w:t>ne</w:t>
      </w:r>
      <w:r>
        <w:rPr>
          <w:i/>
          <w:color w:val="231F20"/>
          <w:spacing w:val="-15"/>
          <w:sz w:val="24"/>
        </w:rPr>
        <w:t> </w:t>
      </w:r>
      <w:r>
        <w:rPr>
          <w:i/>
          <w:color w:val="231F20"/>
          <w:sz w:val="24"/>
        </w:rPr>
        <w:t>construit</w:t>
      </w:r>
      <w:r>
        <w:rPr>
          <w:i/>
          <w:color w:val="231F20"/>
          <w:spacing w:val="-15"/>
          <w:sz w:val="24"/>
        </w:rPr>
        <w:t> </w:t>
      </w:r>
      <w:r>
        <w:rPr>
          <w:i/>
          <w:color w:val="231F20"/>
          <w:sz w:val="24"/>
        </w:rPr>
        <w:t>que</w:t>
      </w:r>
      <w:r>
        <w:rPr>
          <w:i/>
          <w:color w:val="231F20"/>
          <w:spacing w:val="-15"/>
          <w:sz w:val="24"/>
        </w:rPr>
        <w:t> </w:t>
      </w:r>
      <w:r>
        <w:rPr>
          <w:i/>
          <w:color w:val="231F20"/>
          <w:sz w:val="24"/>
        </w:rPr>
        <w:t>5</w:t>
      </w:r>
      <w:r>
        <w:rPr>
          <w:i/>
          <w:color w:val="231F20"/>
          <w:spacing w:val="-15"/>
          <w:sz w:val="24"/>
        </w:rPr>
        <w:t> </w:t>
      </w:r>
      <w:r>
        <w:rPr>
          <w:i/>
          <w:color w:val="231F20"/>
          <w:sz w:val="24"/>
        </w:rPr>
        <w:t>km</w:t>
      </w:r>
      <w:r>
        <w:rPr>
          <w:i/>
          <w:color w:val="231F20"/>
          <w:spacing w:val="-15"/>
          <w:sz w:val="24"/>
        </w:rPr>
        <w:t> </w:t>
      </w:r>
      <w:r>
        <w:rPr>
          <w:i/>
          <w:color w:val="231F20"/>
          <w:sz w:val="24"/>
        </w:rPr>
        <w:t>de</w:t>
      </w:r>
      <w:r>
        <w:rPr>
          <w:i/>
          <w:color w:val="231F20"/>
          <w:spacing w:val="-15"/>
          <w:sz w:val="24"/>
        </w:rPr>
        <w:t> </w:t>
      </w:r>
      <w:r>
        <w:rPr>
          <w:i/>
          <w:color w:val="231F20"/>
          <w:sz w:val="24"/>
        </w:rPr>
        <w:t>routes par</w:t>
      </w:r>
      <w:r>
        <w:rPr>
          <w:i/>
          <w:color w:val="231F20"/>
          <w:spacing w:val="-15"/>
          <w:sz w:val="24"/>
        </w:rPr>
        <w:t> </w:t>
      </w:r>
      <w:r>
        <w:rPr>
          <w:i/>
          <w:color w:val="231F20"/>
          <w:sz w:val="24"/>
        </w:rPr>
        <w:t>an</w:t>
      </w:r>
      <w:r>
        <w:rPr>
          <w:i/>
          <w:color w:val="231F20"/>
          <w:spacing w:val="-15"/>
          <w:sz w:val="24"/>
        </w:rPr>
        <w:t> </w:t>
      </w:r>
      <w:r>
        <w:rPr>
          <w:i/>
          <w:color w:val="231F20"/>
          <w:sz w:val="24"/>
        </w:rPr>
        <w:t>et</w:t>
      </w:r>
      <w:r>
        <w:rPr>
          <w:i/>
          <w:color w:val="231F20"/>
          <w:spacing w:val="-15"/>
          <w:sz w:val="24"/>
        </w:rPr>
        <w:t> </w:t>
      </w:r>
      <w:r>
        <w:rPr>
          <w:i/>
          <w:color w:val="231F20"/>
          <w:sz w:val="24"/>
        </w:rPr>
        <w:t>possède</w:t>
      </w:r>
      <w:r>
        <w:rPr>
          <w:i/>
          <w:color w:val="231F20"/>
          <w:spacing w:val="-15"/>
          <w:sz w:val="24"/>
        </w:rPr>
        <w:t> </w:t>
      </w:r>
      <w:r>
        <w:rPr>
          <w:i/>
          <w:color w:val="231F20"/>
          <w:sz w:val="24"/>
        </w:rPr>
        <w:t>un</w:t>
      </w:r>
      <w:r>
        <w:rPr>
          <w:i/>
          <w:color w:val="231F20"/>
          <w:spacing w:val="-15"/>
          <w:sz w:val="24"/>
        </w:rPr>
        <w:t> </w:t>
      </w:r>
      <w:r>
        <w:rPr>
          <w:i/>
          <w:color w:val="231F20"/>
          <w:sz w:val="24"/>
        </w:rPr>
        <w:t>des</w:t>
      </w:r>
      <w:r>
        <w:rPr>
          <w:i/>
          <w:color w:val="231F20"/>
          <w:spacing w:val="-15"/>
          <w:sz w:val="24"/>
        </w:rPr>
        <w:t> </w:t>
      </w:r>
      <w:r>
        <w:rPr>
          <w:i/>
          <w:color w:val="231F20"/>
          <w:sz w:val="24"/>
        </w:rPr>
        <w:t>taux</w:t>
      </w:r>
      <w:r>
        <w:rPr>
          <w:i/>
          <w:color w:val="231F20"/>
          <w:spacing w:val="-15"/>
          <w:sz w:val="24"/>
        </w:rPr>
        <w:t> </w:t>
      </w:r>
      <w:r>
        <w:rPr>
          <w:i/>
          <w:color w:val="231F20"/>
          <w:sz w:val="24"/>
        </w:rPr>
        <w:t>de</w:t>
      </w:r>
      <w:r>
        <w:rPr>
          <w:i/>
          <w:color w:val="231F20"/>
          <w:spacing w:val="-15"/>
          <w:sz w:val="24"/>
        </w:rPr>
        <w:t> </w:t>
      </w:r>
      <w:r>
        <w:rPr>
          <w:i/>
          <w:color w:val="231F20"/>
          <w:sz w:val="24"/>
        </w:rPr>
        <w:t>mortalité</w:t>
      </w:r>
      <w:r>
        <w:rPr>
          <w:i/>
          <w:color w:val="231F20"/>
          <w:spacing w:val="-15"/>
          <w:sz w:val="24"/>
        </w:rPr>
        <w:t> </w:t>
      </w:r>
      <w:r>
        <w:rPr>
          <w:i/>
          <w:color w:val="231F20"/>
          <w:sz w:val="24"/>
        </w:rPr>
        <w:t>infantile</w:t>
      </w:r>
      <w:r>
        <w:rPr>
          <w:i/>
          <w:color w:val="231F20"/>
          <w:spacing w:val="-15"/>
          <w:sz w:val="24"/>
        </w:rPr>
        <w:t> </w:t>
      </w:r>
      <w:r>
        <w:rPr>
          <w:i/>
          <w:color w:val="231F20"/>
          <w:sz w:val="24"/>
        </w:rPr>
        <w:t>parmi</w:t>
      </w:r>
      <w:r>
        <w:rPr>
          <w:i/>
          <w:color w:val="231F20"/>
          <w:spacing w:val="-15"/>
          <w:sz w:val="24"/>
        </w:rPr>
        <w:t> </w:t>
      </w:r>
      <w:r>
        <w:rPr>
          <w:i/>
          <w:color w:val="231F20"/>
          <w:sz w:val="24"/>
        </w:rPr>
        <w:t>les</w:t>
      </w:r>
      <w:r>
        <w:rPr>
          <w:i/>
          <w:color w:val="231F20"/>
          <w:spacing w:val="-15"/>
          <w:sz w:val="24"/>
        </w:rPr>
        <w:t> </w:t>
      </w:r>
      <w:r>
        <w:rPr>
          <w:i/>
          <w:color w:val="231F20"/>
          <w:sz w:val="24"/>
        </w:rPr>
        <w:t>plus</w:t>
      </w:r>
      <w:r>
        <w:rPr>
          <w:i/>
          <w:color w:val="231F20"/>
          <w:spacing w:val="-15"/>
          <w:sz w:val="24"/>
        </w:rPr>
        <w:t> </w:t>
      </w:r>
      <w:r>
        <w:rPr>
          <w:i/>
          <w:color w:val="231F20"/>
          <w:sz w:val="24"/>
        </w:rPr>
        <w:t>élevés </w:t>
      </w:r>
      <w:r>
        <w:rPr>
          <w:i/>
          <w:color w:val="231F20"/>
          <w:spacing w:val="-4"/>
          <w:sz w:val="24"/>
        </w:rPr>
        <w:t>au</w:t>
      </w:r>
      <w:r>
        <w:rPr>
          <w:i/>
          <w:color w:val="231F20"/>
          <w:spacing w:val="-9"/>
          <w:sz w:val="24"/>
        </w:rPr>
        <w:t> </w:t>
      </w:r>
      <w:r>
        <w:rPr>
          <w:i/>
          <w:color w:val="231F20"/>
          <w:spacing w:val="-4"/>
          <w:sz w:val="24"/>
        </w:rPr>
        <w:t>monde(…)</w:t>
      </w:r>
      <w:r>
        <w:rPr>
          <w:i/>
          <w:color w:val="231F20"/>
          <w:spacing w:val="-11"/>
          <w:sz w:val="24"/>
        </w:rPr>
        <w:t> </w:t>
      </w:r>
      <w:r>
        <w:rPr>
          <w:i/>
          <w:color w:val="231F20"/>
          <w:spacing w:val="-4"/>
          <w:sz w:val="24"/>
        </w:rPr>
        <w:t>La</w:t>
      </w:r>
      <w:r>
        <w:rPr>
          <w:i/>
          <w:color w:val="231F20"/>
          <w:spacing w:val="-9"/>
          <w:sz w:val="24"/>
        </w:rPr>
        <w:t> </w:t>
      </w:r>
      <w:r>
        <w:rPr>
          <w:i/>
          <w:color w:val="231F20"/>
          <w:spacing w:val="-4"/>
          <w:sz w:val="24"/>
        </w:rPr>
        <w:t>manne</w:t>
      </w:r>
      <w:r>
        <w:rPr>
          <w:i/>
          <w:color w:val="231F20"/>
          <w:spacing w:val="-9"/>
          <w:sz w:val="24"/>
        </w:rPr>
        <w:t> </w:t>
      </w:r>
      <w:r>
        <w:rPr>
          <w:i/>
          <w:color w:val="231F20"/>
          <w:spacing w:val="-4"/>
          <w:sz w:val="24"/>
        </w:rPr>
        <w:t>pétrolière</w:t>
      </w:r>
      <w:r>
        <w:rPr>
          <w:i/>
          <w:color w:val="231F20"/>
          <w:spacing w:val="-9"/>
          <w:sz w:val="24"/>
        </w:rPr>
        <w:t> </w:t>
      </w:r>
      <w:r>
        <w:rPr>
          <w:i/>
          <w:color w:val="231F20"/>
          <w:spacing w:val="-4"/>
          <w:sz w:val="24"/>
        </w:rPr>
        <w:t>n'a</w:t>
      </w:r>
      <w:r>
        <w:rPr>
          <w:i/>
          <w:color w:val="231F20"/>
          <w:spacing w:val="-9"/>
          <w:sz w:val="24"/>
        </w:rPr>
        <w:t> </w:t>
      </w:r>
      <w:r>
        <w:rPr>
          <w:i/>
          <w:color w:val="231F20"/>
          <w:spacing w:val="-4"/>
          <w:sz w:val="24"/>
        </w:rPr>
        <w:t>pas</w:t>
      </w:r>
      <w:r>
        <w:rPr>
          <w:i/>
          <w:color w:val="231F20"/>
          <w:spacing w:val="-9"/>
          <w:sz w:val="24"/>
        </w:rPr>
        <w:t> </w:t>
      </w:r>
      <w:r>
        <w:rPr>
          <w:i/>
          <w:color w:val="231F20"/>
          <w:spacing w:val="-4"/>
          <w:sz w:val="24"/>
        </w:rPr>
        <w:t>profité"</w:t>
      </w:r>
      <w:r>
        <w:rPr>
          <w:i/>
          <w:color w:val="231F20"/>
          <w:spacing w:val="-9"/>
          <w:sz w:val="24"/>
        </w:rPr>
        <w:t> </w:t>
      </w:r>
      <w:r>
        <w:rPr>
          <w:i/>
          <w:color w:val="231F20"/>
          <w:spacing w:val="-4"/>
          <w:sz w:val="24"/>
        </w:rPr>
        <w:t>aux</w:t>
      </w:r>
      <w:r>
        <w:rPr>
          <w:i/>
          <w:color w:val="231F20"/>
          <w:spacing w:val="-9"/>
          <w:sz w:val="24"/>
        </w:rPr>
        <w:t> </w:t>
      </w:r>
      <w:r>
        <w:rPr>
          <w:i/>
          <w:color w:val="231F20"/>
          <w:spacing w:val="-4"/>
          <w:sz w:val="24"/>
        </w:rPr>
        <w:t>Gabonais</w:t>
      </w:r>
      <w:r>
        <w:rPr>
          <w:i/>
          <w:color w:val="231F20"/>
          <w:spacing w:val="-9"/>
          <w:sz w:val="24"/>
        </w:rPr>
        <w:t> </w:t>
      </w:r>
      <w:r>
        <w:rPr>
          <w:i/>
          <w:color w:val="231F20"/>
          <w:spacing w:val="-4"/>
          <w:sz w:val="24"/>
        </w:rPr>
        <w:t>(...)</w:t>
      </w:r>
      <w:r>
        <w:rPr>
          <w:color w:val="76787A"/>
          <w:spacing w:val="-4"/>
          <w:sz w:val="24"/>
          <w:vertAlign w:val="superscript"/>
        </w:rPr>
        <w:t>268</w:t>
      </w:r>
      <w:r>
        <w:rPr>
          <w:color w:val="76787A"/>
          <w:sz w:val="24"/>
          <w:vertAlign w:val="baseline"/>
        </w:rPr>
        <w:t> </w:t>
      </w:r>
      <w:r>
        <w:rPr>
          <w:i/>
          <w:color w:val="231F20"/>
          <w:spacing w:val="-4"/>
          <w:sz w:val="24"/>
          <w:vertAlign w:val="baseline"/>
        </w:rPr>
        <w:t>»</w:t>
      </w:r>
      <w:r>
        <w:rPr>
          <w:i/>
          <w:color w:val="231F20"/>
          <w:spacing w:val="-4"/>
          <w:sz w:val="24"/>
          <w:vertAlign w:val="baseline"/>
        </w:rPr>
        <w:t> </w:t>
      </w:r>
      <w:r>
        <w:rPr>
          <w:color w:val="231F20"/>
          <w:sz w:val="24"/>
          <w:vertAlign w:val="baseline"/>
        </w:rPr>
        <w:t>Le pétrolier aurait accordé à Omar Bongo 18% des parts de la filiale </w:t>
      </w:r>
      <w:r>
        <w:rPr>
          <w:color w:val="231F20"/>
          <w:spacing w:val="-2"/>
          <w:sz w:val="24"/>
          <w:vertAlign w:val="baseline"/>
        </w:rPr>
        <w:t>gabonaise</w:t>
      </w:r>
      <w:r>
        <w:rPr>
          <w:color w:val="231F20"/>
          <w:spacing w:val="-7"/>
          <w:sz w:val="24"/>
          <w:vertAlign w:val="baseline"/>
        </w:rPr>
        <w:t> </w:t>
      </w:r>
      <w:r>
        <w:rPr>
          <w:color w:val="231F20"/>
          <w:spacing w:val="-2"/>
          <w:sz w:val="24"/>
          <w:vertAlign w:val="baseline"/>
        </w:rPr>
        <w:t>de</w:t>
      </w:r>
      <w:r>
        <w:rPr>
          <w:color w:val="231F20"/>
          <w:spacing w:val="-4"/>
          <w:sz w:val="24"/>
          <w:vertAlign w:val="baseline"/>
        </w:rPr>
        <w:t> </w:t>
      </w:r>
      <w:r>
        <w:rPr>
          <w:color w:val="231F20"/>
          <w:spacing w:val="-2"/>
          <w:sz w:val="24"/>
          <w:vertAlign w:val="baseline"/>
        </w:rPr>
        <w:t>la</w:t>
      </w:r>
      <w:r>
        <w:rPr>
          <w:color w:val="231F20"/>
          <w:spacing w:val="-7"/>
          <w:sz w:val="24"/>
          <w:vertAlign w:val="baseline"/>
        </w:rPr>
        <w:t> </w:t>
      </w:r>
      <w:r>
        <w:rPr>
          <w:color w:val="231F20"/>
          <w:spacing w:val="-2"/>
          <w:sz w:val="24"/>
          <w:vertAlign w:val="baseline"/>
        </w:rPr>
        <w:t>société</w:t>
      </w:r>
      <w:r>
        <w:rPr>
          <w:color w:val="231F20"/>
          <w:spacing w:val="-4"/>
          <w:sz w:val="24"/>
          <w:vertAlign w:val="baseline"/>
        </w:rPr>
        <w:t> </w:t>
      </w:r>
      <w:r>
        <w:rPr>
          <w:color w:val="231F20"/>
          <w:spacing w:val="-2"/>
          <w:sz w:val="24"/>
          <w:vertAlign w:val="baseline"/>
        </w:rPr>
        <w:t>française</w:t>
      </w:r>
      <w:r>
        <w:rPr>
          <w:color w:val="231F20"/>
          <w:spacing w:val="-4"/>
          <w:sz w:val="24"/>
          <w:vertAlign w:val="baseline"/>
        </w:rPr>
        <w:t> </w:t>
      </w:r>
      <w:r>
        <w:rPr>
          <w:color w:val="231F20"/>
          <w:spacing w:val="-2"/>
          <w:sz w:val="24"/>
          <w:vertAlign w:val="baseline"/>
        </w:rPr>
        <w:t>d’exploitation</w:t>
      </w:r>
      <w:r>
        <w:rPr>
          <w:color w:val="231F20"/>
          <w:spacing w:val="-7"/>
          <w:sz w:val="24"/>
          <w:vertAlign w:val="baseline"/>
        </w:rPr>
        <w:t> </w:t>
      </w:r>
      <w:r>
        <w:rPr>
          <w:color w:val="231F20"/>
          <w:spacing w:val="-2"/>
          <w:sz w:val="24"/>
          <w:vertAlign w:val="baseline"/>
        </w:rPr>
        <w:t>pétrolière</w:t>
      </w:r>
      <w:r>
        <w:rPr>
          <w:color w:val="231F20"/>
          <w:spacing w:val="-4"/>
          <w:sz w:val="24"/>
          <w:vertAlign w:val="baseline"/>
        </w:rPr>
        <w:t> </w:t>
      </w:r>
      <w:r>
        <w:rPr>
          <w:color w:val="231F20"/>
          <w:spacing w:val="-2"/>
          <w:sz w:val="24"/>
          <w:vertAlign w:val="baseline"/>
        </w:rPr>
        <w:t>devenue</w:t>
      </w:r>
      <w:r>
        <w:rPr>
          <w:color w:val="231F20"/>
          <w:spacing w:val="-5"/>
          <w:sz w:val="24"/>
          <w:vertAlign w:val="baseline"/>
        </w:rPr>
        <w:t> </w:t>
      </w:r>
      <w:r>
        <w:rPr>
          <w:color w:val="231F20"/>
          <w:spacing w:val="-2"/>
          <w:sz w:val="24"/>
          <w:vertAlign w:val="baseline"/>
        </w:rPr>
        <w:t>Total Gabon</w:t>
      </w:r>
      <w:r>
        <w:rPr>
          <w:color w:val="76787A"/>
          <w:spacing w:val="-2"/>
          <w:sz w:val="24"/>
          <w:vertAlign w:val="superscript"/>
        </w:rPr>
        <w:t>269</w:t>
      </w:r>
      <w:r>
        <w:rPr>
          <w:color w:val="231F20"/>
          <w:spacing w:val="-2"/>
          <w:sz w:val="24"/>
          <w:vertAlign w:val="baseline"/>
        </w:rPr>
        <w:t>.</w:t>
      </w:r>
    </w:p>
    <w:p>
      <w:pPr>
        <w:pStyle w:val="BodyText"/>
        <w:spacing w:before="184"/>
        <w:ind w:left="0"/>
        <w:jc w:val="left"/>
        <w:rPr>
          <w:sz w:val="20"/>
        </w:rPr>
      </w:pPr>
      <w:r>
        <w:rPr/>
        <mc:AlternateContent>
          <mc:Choice Requires="wps">
            <w:drawing>
              <wp:anchor distT="0" distB="0" distL="0" distR="0" allowOverlap="1" layoutInCell="1" locked="0" behindDoc="1" simplePos="0" relativeHeight="487669760">
                <wp:simplePos x="0" y="0"/>
                <wp:positionH relativeFrom="page">
                  <wp:posOffset>629907</wp:posOffset>
                </wp:positionH>
                <wp:positionV relativeFrom="paragraph">
                  <wp:posOffset>278512</wp:posOffset>
                </wp:positionV>
                <wp:extent cx="1829435" cy="9525"/>
                <wp:effectExtent l="0" t="0" r="0" b="0"/>
                <wp:wrapTopAndBottom/>
                <wp:docPr id="194" name="Graphic 194"/>
                <wp:cNvGraphicFramePr>
                  <a:graphicFrameLocks/>
                </wp:cNvGraphicFramePr>
                <a:graphic>
                  <a:graphicData uri="http://schemas.microsoft.com/office/word/2010/wordprocessingShape">
                    <wps:wsp>
                      <wps:cNvPr id="194" name="Graphic 194"/>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1.930157pt;width:144.020pt;height:.72pt;mso-position-horizontal-relative:page;mso-position-vertical-relative:paragraph;z-index:-15646720;mso-wrap-distance-left:0;mso-wrap-distance-right:0" id="docshape192" filled="true" fillcolor="#231f20" stroked="false">
                <v:fill type="solid"/>
                <w10:wrap type="topAndBottom"/>
              </v:rect>
            </w:pict>
          </mc:Fallback>
        </mc:AlternateContent>
      </w:r>
    </w:p>
    <w:p>
      <w:pPr>
        <w:spacing w:before="91"/>
        <w:ind w:left="111" w:right="0" w:firstLine="0"/>
        <w:jc w:val="left"/>
        <w:rPr>
          <w:sz w:val="20"/>
        </w:rPr>
      </w:pPr>
      <w:r>
        <w:rPr>
          <w:color w:val="76787A"/>
          <w:sz w:val="20"/>
          <w:vertAlign w:val="superscript"/>
        </w:rPr>
        <w:t>266</w:t>
      </w:r>
      <w:r>
        <w:rPr>
          <w:color w:val="76787A"/>
          <w:spacing w:val="-8"/>
          <w:sz w:val="20"/>
          <w:vertAlign w:val="baseline"/>
        </w:rPr>
        <w:t> </w:t>
      </w:r>
      <w:r>
        <w:rPr>
          <w:color w:val="231F20"/>
          <w:sz w:val="20"/>
          <w:vertAlign w:val="baseline"/>
        </w:rPr>
        <w:t>RDC:</w:t>
      </w:r>
      <w:r>
        <w:rPr>
          <w:color w:val="231F20"/>
          <w:spacing w:val="12"/>
          <w:sz w:val="20"/>
          <w:vertAlign w:val="baseline"/>
        </w:rPr>
        <w:t> </w:t>
      </w:r>
      <w:r>
        <w:rPr>
          <w:color w:val="231F20"/>
          <w:sz w:val="20"/>
          <w:vertAlign w:val="baseline"/>
        </w:rPr>
        <w:t>révélations</w:t>
      </w:r>
      <w:r>
        <w:rPr>
          <w:color w:val="231F20"/>
          <w:spacing w:val="12"/>
          <w:sz w:val="20"/>
          <w:vertAlign w:val="baseline"/>
        </w:rPr>
        <w:t> </w:t>
      </w:r>
      <w:r>
        <w:rPr>
          <w:color w:val="231F20"/>
          <w:sz w:val="20"/>
          <w:vertAlign w:val="baseline"/>
        </w:rPr>
        <w:t>sur</w:t>
      </w:r>
      <w:r>
        <w:rPr>
          <w:color w:val="231F20"/>
          <w:spacing w:val="11"/>
          <w:sz w:val="20"/>
          <w:vertAlign w:val="baseline"/>
        </w:rPr>
        <w:t> </w:t>
      </w:r>
      <w:r>
        <w:rPr>
          <w:color w:val="231F20"/>
          <w:sz w:val="20"/>
          <w:vertAlign w:val="baseline"/>
        </w:rPr>
        <w:t>la fortune du</w:t>
      </w:r>
      <w:r>
        <w:rPr>
          <w:color w:val="231F20"/>
          <w:spacing w:val="12"/>
          <w:sz w:val="20"/>
          <w:vertAlign w:val="baseline"/>
        </w:rPr>
        <w:t> </w:t>
      </w:r>
      <w:r>
        <w:rPr>
          <w:color w:val="231F20"/>
          <w:sz w:val="20"/>
          <w:vertAlign w:val="baseline"/>
        </w:rPr>
        <w:t>clan</w:t>
      </w:r>
      <w:r>
        <w:rPr>
          <w:color w:val="231F20"/>
          <w:spacing w:val="11"/>
          <w:sz w:val="20"/>
          <w:vertAlign w:val="baseline"/>
        </w:rPr>
        <w:t> </w:t>
      </w:r>
      <w:r>
        <w:rPr>
          <w:color w:val="231F20"/>
          <w:sz w:val="20"/>
          <w:vertAlign w:val="baseline"/>
        </w:rPr>
        <w:t>Kabila</w:t>
      </w:r>
      <w:r>
        <w:rPr>
          <w:color w:val="231F20"/>
          <w:spacing w:val="-13"/>
          <w:sz w:val="20"/>
          <w:vertAlign w:val="baseline"/>
        </w:rPr>
        <w:t> </w:t>
      </w:r>
      <w:r>
        <w:rPr>
          <w:color w:val="231F20"/>
          <w:sz w:val="20"/>
          <w:vertAlign w:val="baseline"/>
        </w:rPr>
        <w:t>; rapport</w:t>
      </w:r>
      <w:r>
        <w:rPr>
          <w:color w:val="231F20"/>
          <w:spacing w:val="-13"/>
          <w:sz w:val="20"/>
          <w:vertAlign w:val="baseline"/>
        </w:rPr>
        <w:t> </w:t>
      </w:r>
      <w:r>
        <w:rPr>
          <w:color w:val="231F20"/>
          <w:sz w:val="20"/>
          <w:vertAlign w:val="baseline"/>
        </w:rPr>
        <w:t>du</w:t>
      </w:r>
      <w:r>
        <w:rPr>
          <w:color w:val="231F20"/>
          <w:spacing w:val="11"/>
          <w:sz w:val="20"/>
          <w:vertAlign w:val="baseline"/>
        </w:rPr>
        <w:t> </w:t>
      </w:r>
      <w:r>
        <w:rPr>
          <w:color w:val="231F20"/>
          <w:sz w:val="20"/>
          <w:vertAlign w:val="baseline"/>
        </w:rPr>
        <w:t>groupe d'étude</w:t>
      </w:r>
      <w:r>
        <w:rPr>
          <w:color w:val="231F20"/>
          <w:spacing w:val="12"/>
          <w:sz w:val="20"/>
          <w:vertAlign w:val="baseline"/>
        </w:rPr>
        <w:t> </w:t>
      </w:r>
      <w:r>
        <w:rPr>
          <w:color w:val="231F20"/>
          <w:sz w:val="20"/>
          <w:vertAlign w:val="baseline"/>
        </w:rPr>
        <w:t>sur</w:t>
      </w:r>
      <w:r>
        <w:rPr>
          <w:color w:val="231F20"/>
          <w:spacing w:val="11"/>
          <w:sz w:val="20"/>
          <w:vertAlign w:val="baseline"/>
        </w:rPr>
        <w:t> </w:t>
      </w:r>
      <w:r>
        <w:rPr>
          <w:color w:val="231F20"/>
          <w:sz w:val="20"/>
          <w:vertAlign w:val="baseline"/>
        </w:rPr>
        <w:t>le Congo et du Pulitzer Center.</w:t>
      </w:r>
    </w:p>
    <w:p>
      <w:pPr>
        <w:spacing w:before="2"/>
        <w:ind w:left="111" w:right="0" w:hanging="1"/>
        <w:jc w:val="left"/>
        <w:rPr>
          <w:sz w:val="20"/>
        </w:rPr>
      </w:pPr>
      <w:r>
        <w:rPr>
          <w:color w:val="76787A"/>
          <w:sz w:val="20"/>
          <w:vertAlign w:val="superscript"/>
        </w:rPr>
        <w:t>267</w:t>
      </w:r>
      <w:r>
        <w:rPr>
          <w:color w:val="76787A"/>
          <w:spacing w:val="-13"/>
          <w:sz w:val="20"/>
          <w:vertAlign w:val="baseline"/>
        </w:rPr>
        <w:t> </w:t>
      </w:r>
      <w:r>
        <w:rPr>
          <w:color w:val="231F20"/>
          <w:sz w:val="20"/>
          <w:vertAlign w:val="baseline"/>
        </w:rPr>
        <w:t>Global</w:t>
      </w:r>
      <w:r>
        <w:rPr>
          <w:color w:val="231F20"/>
          <w:spacing w:val="40"/>
          <w:sz w:val="20"/>
          <w:vertAlign w:val="baseline"/>
        </w:rPr>
        <w:t> </w:t>
      </w:r>
      <w:r>
        <w:rPr>
          <w:color w:val="231F20"/>
          <w:sz w:val="20"/>
          <w:vertAlign w:val="baseline"/>
        </w:rPr>
        <w:t>Witness.FIDH,</w:t>
      </w:r>
      <w:r>
        <w:rPr>
          <w:color w:val="231F20"/>
          <w:spacing w:val="40"/>
          <w:sz w:val="20"/>
          <w:vertAlign w:val="baseline"/>
        </w:rPr>
        <w:t> </w:t>
      </w:r>
      <w:r>
        <w:rPr>
          <w:color w:val="231F20"/>
          <w:sz w:val="20"/>
          <w:vertAlign w:val="baseline"/>
        </w:rPr>
        <w:t>rapport</w:t>
      </w:r>
      <w:r>
        <w:rPr>
          <w:color w:val="231F20"/>
          <w:spacing w:val="40"/>
          <w:sz w:val="20"/>
          <w:vertAlign w:val="baseline"/>
        </w:rPr>
        <w:t> </w:t>
      </w:r>
      <w:r>
        <w:rPr>
          <w:color w:val="231F20"/>
          <w:sz w:val="20"/>
          <w:vertAlign w:val="baseline"/>
        </w:rPr>
        <w:t>sur</w:t>
      </w:r>
      <w:r>
        <w:rPr>
          <w:color w:val="231F20"/>
          <w:spacing w:val="40"/>
          <w:sz w:val="20"/>
          <w:vertAlign w:val="baseline"/>
        </w:rPr>
        <w:t> </w:t>
      </w:r>
      <w:r>
        <w:rPr>
          <w:color w:val="231F20"/>
          <w:sz w:val="20"/>
          <w:vertAlign w:val="baseline"/>
        </w:rPr>
        <w:t>la</w:t>
      </w:r>
      <w:r>
        <w:rPr>
          <w:color w:val="231F20"/>
          <w:spacing w:val="40"/>
          <w:sz w:val="20"/>
          <w:vertAlign w:val="baseline"/>
        </w:rPr>
        <w:t> </w:t>
      </w:r>
      <w:r>
        <w:rPr>
          <w:color w:val="231F20"/>
          <w:sz w:val="20"/>
          <w:vertAlign w:val="baseline"/>
        </w:rPr>
        <w:t>gestion</w:t>
      </w:r>
      <w:r>
        <w:rPr>
          <w:color w:val="231F20"/>
          <w:spacing w:val="40"/>
          <w:sz w:val="20"/>
          <w:vertAlign w:val="baseline"/>
        </w:rPr>
        <w:t> </w:t>
      </w:r>
      <w:r>
        <w:rPr>
          <w:color w:val="231F20"/>
          <w:sz w:val="20"/>
          <w:vertAlign w:val="baseline"/>
        </w:rPr>
        <w:t>de</w:t>
      </w:r>
      <w:r>
        <w:rPr>
          <w:color w:val="231F20"/>
          <w:spacing w:val="40"/>
          <w:sz w:val="20"/>
          <w:vertAlign w:val="baseline"/>
        </w:rPr>
        <w:t> </w:t>
      </w:r>
      <w:r>
        <w:rPr>
          <w:color w:val="231F20"/>
          <w:sz w:val="20"/>
          <w:vertAlign w:val="baseline"/>
        </w:rPr>
        <w:t>la</w:t>
      </w:r>
      <w:r>
        <w:rPr>
          <w:color w:val="231F20"/>
          <w:spacing w:val="40"/>
          <w:sz w:val="20"/>
          <w:vertAlign w:val="baseline"/>
        </w:rPr>
        <w:t> </w:t>
      </w:r>
      <w:r>
        <w:rPr>
          <w:color w:val="231F20"/>
          <w:sz w:val="20"/>
          <w:vertAlign w:val="baseline"/>
        </w:rPr>
        <w:t>rente</w:t>
      </w:r>
      <w:r>
        <w:rPr>
          <w:color w:val="231F20"/>
          <w:spacing w:val="40"/>
          <w:sz w:val="20"/>
          <w:vertAlign w:val="baseline"/>
        </w:rPr>
        <w:t> </w:t>
      </w:r>
      <w:r>
        <w:rPr>
          <w:color w:val="231F20"/>
          <w:sz w:val="20"/>
          <w:vertAlign w:val="baseline"/>
        </w:rPr>
        <w:t>pétrolière</w:t>
      </w:r>
      <w:r>
        <w:rPr>
          <w:color w:val="231F20"/>
          <w:spacing w:val="40"/>
          <w:sz w:val="20"/>
          <w:vertAlign w:val="baseline"/>
        </w:rPr>
        <w:t> </w:t>
      </w:r>
      <w:r>
        <w:rPr>
          <w:color w:val="231F20"/>
          <w:sz w:val="20"/>
          <w:vertAlign w:val="baseline"/>
        </w:rPr>
        <w:t>au</w:t>
      </w:r>
      <w:r>
        <w:rPr>
          <w:color w:val="231F20"/>
          <w:spacing w:val="40"/>
          <w:sz w:val="20"/>
          <w:vertAlign w:val="baseline"/>
        </w:rPr>
        <w:t> </w:t>
      </w:r>
      <w:r>
        <w:rPr>
          <w:color w:val="231F20"/>
          <w:sz w:val="20"/>
          <w:vertAlign w:val="baseline"/>
        </w:rPr>
        <w:t>Congo </w:t>
      </w:r>
      <w:r>
        <w:rPr>
          <w:color w:val="231F20"/>
          <w:spacing w:val="-2"/>
          <w:sz w:val="20"/>
          <w:vertAlign w:val="baseline"/>
        </w:rPr>
        <w:t>Brazzaville.</w:t>
      </w:r>
    </w:p>
    <w:p>
      <w:pPr>
        <w:spacing w:line="228" w:lineRule="exact" w:before="0"/>
        <w:ind w:left="111" w:right="0" w:firstLine="0"/>
        <w:jc w:val="left"/>
        <w:rPr>
          <w:sz w:val="20"/>
        </w:rPr>
      </w:pPr>
      <w:r>
        <w:rPr>
          <w:color w:val="76787A"/>
          <w:spacing w:val="-4"/>
          <w:sz w:val="20"/>
          <w:vertAlign w:val="superscript"/>
        </w:rPr>
        <w:t>268</w:t>
      </w:r>
      <w:r>
        <w:rPr>
          <w:color w:val="231F20"/>
          <w:spacing w:val="-4"/>
          <w:sz w:val="20"/>
          <w:vertAlign w:val="baseline"/>
        </w:rPr>
        <w:t>Eva</w:t>
      </w:r>
      <w:r>
        <w:rPr>
          <w:color w:val="231F20"/>
          <w:spacing w:val="-2"/>
          <w:sz w:val="20"/>
          <w:vertAlign w:val="baseline"/>
        </w:rPr>
        <w:t> </w:t>
      </w:r>
      <w:r>
        <w:rPr>
          <w:color w:val="231F20"/>
          <w:spacing w:val="-4"/>
          <w:sz w:val="20"/>
          <w:vertAlign w:val="baseline"/>
        </w:rPr>
        <w:t>Joly,</w:t>
      </w:r>
      <w:r>
        <w:rPr>
          <w:color w:val="231F20"/>
          <w:spacing w:val="-1"/>
          <w:sz w:val="20"/>
          <w:vertAlign w:val="baseline"/>
        </w:rPr>
        <w:t> </w:t>
      </w:r>
      <w:r>
        <w:rPr>
          <w:color w:val="231F20"/>
          <w:spacing w:val="-4"/>
          <w:sz w:val="20"/>
          <w:vertAlign w:val="baseline"/>
        </w:rPr>
        <w:t>ancienne</w:t>
      </w:r>
      <w:r>
        <w:rPr>
          <w:color w:val="231F20"/>
          <w:spacing w:val="-1"/>
          <w:sz w:val="20"/>
          <w:vertAlign w:val="baseline"/>
        </w:rPr>
        <w:t> </w:t>
      </w:r>
      <w:r>
        <w:rPr>
          <w:color w:val="231F20"/>
          <w:spacing w:val="-4"/>
          <w:sz w:val="20"/>
          <w:vertAlign w:val="baseline"/>
        </w:rPr>
        <w:t>juge</w:t>
      </w:r>
      <w:r>
        <w:rPr>
          <w:color w:val="231F20"/>
          <w:spacing w:val="-1"/>
          <w:sz w:val="20"/>
          <w:vertAlign w:val="baseline"/>
        </w:rPr>
        <w:t> </w:t>
      </w:r>
      <w:r>
        <w:rPr>
          <w:color w:val="231F20"/>
          <w:spacing w:val="-4"/>
          <w:sz w:val="20"/>
          <w:vertAlign w:val="baseline"/>
        </w:rPr>
        <w:t>française</w:t>
      </w:r>
      <w:r>
        <w:rPr>
          <w:color w:val="231F20"/>
          <w:spacing w:val="2"/>
          <w:sz w:val="20"/>
          <w:vertAlign w:val="baseline"/>
        </w:rPr>
        <w:t> </w:t>
      </w:r>
      <w:r>
        <w:rPr>
          <w:color w:val="231F20"/>
          <w:spacing w:val="-4"/>
          <w:sz w:val="20"/>
          <w:vertAlign w:val="baseline"/>
        </w:rPr>
        <w:t>anti-corruption.</w:t>
      </w:r>
    </w:p>
    <w:p>
      <w:pPr>
        <w:spacing w:before="0"/>
        <w:ind w:left="111" w:right="0" w:firstLine="0"/>
        <w:jc w:val="left"/>
        <w:rPr>
          <w:i/>
          <w:sz w:val="20"/>
        </w:rPr>
      </w:pPr>
      <w:r>
        <w:rPr>
          <w:color w:val="76787A"/>
          <w:sz w:val="20"/>
          <w:vertAlign w:val="superscript"/>
        </w:rPr>
        <w:t>269</w:t>
      </w:r>
      <w:r>
        <w:rPr>
          <w:color w:val="231F20"/>
          <w:sz w:val="20"/>
          <w:vertAlign w:val="baseline"/>
        </w:rPr>
        <w:t>«Complément</w:t>
      </w:r>
      <w:r>
        <w:rPr>
          <w:color w:val="231F20"/>
          <w:spacing w:val="-8"/>
          <w:sz w:val="20"/>
          <w:vertAlign w:val="baseline"/>
        </w:rPr>
        <w:t> </w:t>
      </w:r>
      <w:r>
        <w:rPr>
          <w:color w:val="231F20"/>
          <w:sz w:val="20"/>
          <w:vertAlign w:val="baseline"/>
        </w:rPr>
        <w:t>d’enquête»</w:t>
      </w:r>
      <w:r>
        <w:rPr>
          <w:color w:val="231F20"/>
          <w:spacing w:val="-8"/>
          <w:sz w:val="20"/>
          <w:vertAlign w:val="baseline"/>
        </w:rPr>
        <w:t> </w:t>
      </w:r>
      <w:r>
        <w:rPr>
          <w:color w:val="231F20"/>
          <w:sz w:val="20"/>
          <w:vertAlign w:val="baseline"/>
        </w:rPr>
        <w:t>,</w:t>
      </w:r>
      <w:r>
        <w:rPr>
          <w:color w:val="231F20"/>
          <w:spacing w:val="-8"/>
          <w:sz w:val="20"/>
          <w:vertAlign w:val="baseline"/>
        </w:rPr>
        <w:t> </w:t>
      </w:r>
      <w:r>
        <w:rPr>
          <w:color w:val="231F20"/>
          <w:sz w:val="20"/>
          <w:vertAlign w:val="baseline"/>
        </w:rPr>
        <w:t>France</w:t>
      </w:r>
      <w:r>
        <w:rPr>
          <w:color w:val="231F20"/>
          <w:spacing w:val="-10"/>
          <w:sz w:val="20"/>
          <w:vertAlign w:val="baseline"/>
        </w:rPr>
        <w:t> </w:t>
      </w:r>
      <w:r>
        <w:rPr>
          <w:color w:val="231F20"/>
          <w:sz w:val="20"/>
          <w:vertAlign w:val="baseline"/>
        </w:rPr>
        <w:t>2,</w:t>
      </w:r>
      <w:r>
        <w:rPr>
          <w:color w:val="231F20"/>
          <w:spacing w:val="-8"/>
          <w:sz w:val="20"/>
          <w:vertAlign w:val="baseline"/>
        </w:rPr>
        <w:t> </w:t>
      </w:r>
      <w:r>
        <w:rPr>
          <w:color w:val="231F20"/>
          <w:sz w:val="20"/>
          <w:vertAlign w:val="baseline"/>
        </w:rPr>
        <w:t>jeudi</w:t>
      </w:r>
      <w:r>
        <w:rPr>
          <w:color w:val="231F20"/>
          <w:spacing w:val="-9"/>
          <w:sz w:val="20"/>
          <w:vertAlign w:val="baseline"/>
        </w:rPr>
        <w:t> </w:t>
      </w:r>
      <w:r>
        <w:rPr>
          <w:color w:val="231F20"/>
          <w:sz w:val="20"/>
          <w:vertAlign w:val="baseline"/>
        </w:rPr>
        <w:t>6</w:t>
      </w:r>
      <w:r>
        <w:rPr>
          <w:color w:val="231F20"/>
          <w:spacing w:val="-8"/>
          <w:sz w:val="20"/>
          <w:vertAlign w:val="baseline"/>
        </w:rPr>
        <w:t> </w:t>
      </w:r>
      <w:r>
        <w:rPr>
          <w:color w:val="231F20"/>
          <w:sz w:val="20"/>
          <w:vertAlign w:val="baseline"/>
        </w:rPr>
        <w:t>juillet,</w:t>
      </w:r>
      <w:r>
        <w:rPr>
          <w:color w:val="231F20"/>
          <w:spacing w:val="-8"/>
          <w:sz w:val="20"/>
          <w:vertAlign w:val="baseline"/>
        </w:rPr>
        <w:t> </w:t>
      </w:r>
      <w:r>
        <w:rPr>
          <w:color w:val="231F20"/>
          <w:sz w:val="20"/>
          <w:vertAlign w:val="baseline"/>
        </w:rPr>
        <w:t>Fabrice</w:t>
      </w:r>
      <w:r>
        <w:rPr>
          <w:color w:val="231F20"/>
          <w:spacing w:val="-10"/>
          <w:sz w:val="20"/>
          <w:vertAlign w:val="baseline"/>
        </w:rPr>
        <w:t> </w:t>
      </w:r>
      <w:r>
        <w:rPr>
          <w:color w:val="231F20"/>
          <w:sz w:val="20"/>
          <w:vertAlign w:val="baseline"/>
        </w:rPr>
        <w:t>Arfi,</w:t>
      </w:r>
      <w:r>
        <w:rPr>
          <w:color w:val="231F20"/>
          <w:spacing w:val="-8"/>
          <w:sz w:val="20"/>
          <w:vertAlign w:val="baseline"/>
        </w:rPr>
        <w:t> </w:t>
      </w:r>
      <w:r>
        <w:rPr>
          <w:color w:val="231F20"/>
          <w:sz w:val="20"/>
          <w:vertAlign w:val="baseline"/>
        </w:rPr>
        <w:t>journaliste</w:t>
      </w:r>
      <w:r>
        <w:rPr>
          <w:color w:val="231F20"/>
          <w:spacing w:val="-10"/>
          <w:sz w:val="20"/>
          <w:vertAlign w:val="baseline"/>
        </w:rPr>
        <w:t> </w:t>
      </w:r>
      <w:r>
        <w:rPr>
          <w:color w:val="231F20"/>
          <w:sz w:val="20"/>
          <w:vertAlign w:val="baseline"/>
        </w:rPr>
        <w:t>au</w:t>
      </w:r>
      <w:r>
        <w:rPr>
          <w:color w:val="231F20"/>
          <w:spacing w:val="-8"/>
          <w:sz w:val="20"/>
          <w:vertAlign w:val="baseline"/>
        </w:rPr>
        <w:t> </w:t>
      </w:r>
      <w:r>
        <w:rPr>
          <w:color w:val="231F20"/>
          <w:sz w:val="20"/>
          <w:vertAlign w:val="baseline"/>
        </w:rPr>
        <w:t>site Médiapart,</w:t>
      </w:r>
      <w:r>
        <w:rPr>
          <w:color w:val="231F20"/>
          <w:spacing w:val="-12"/>
          <w:sz w:val="20"/>
          <w:vertAlign w:val="baseline"/>
        </w:rPr>
        <w:t> </w:t>
      </w:r>
      <w:r>
        <w:rPr>
          <w:color w:val="231F20"/>
          <w:sz w:val="20"/>
          <w:vertAlign w:val="baseline"/>
        </w:rPr>
        <w:t>révèle</w:t>
      </w:r>
      <w:r>
        <w:rPr>
          <w:color w:val="231F20"/>
          <w:spacing w:val="-11"/>
          <w:sz w:val="20"/>
          <w:vertAlign w:val="baseline"/>
        </w:rPr>
        <w:t> </w:t>
      </w:r>
      <w:r>
        <w:rPr>
          <w:color w:val="231F20"/>
          <w:sz w:val="20"/>
          <w:vertAlign w:val="baseline"/>
        </w:rPr>
        <w:t>une</w:t>
      </w:r>
      <w:r>
        <w:rPr>
          <w:color w:val="231F20"/>
          <w:spacing w:val="-10"/>
          <w:sz w:val="20"/>
          <w:vertAlign w:val="baseline"/>
        </w:rPr>
        <w:t> </w:t>
      </w:r>
      <w:r>
        <w:rPr>
          <w:color w:val="231F20"/>
          <w:sz w:val="20"/>
          <w:vertAlign w:val="baseline"/>
        </w:rPr>
        <w:t>fortune</w:t>
      </w:r>
      <w:r>
        <w:rPr>
          <w:color w:val="231F20"/>
          <w:spacing w:val="-11"/>
          <w:sz w:val="20"/>
          <w:vertAlign w:val="baseline"/>
        </w:rPr>
        <w:t> </w:t>
      </w:r>
      <w:r>
        <w:rPr>
          <w:color w:val="231F20"/>
          <w:sz w:val="20"/>
          <w:vertAlign w:val="baseline"/>
        </w:rPr>
        <w:t>globale</w:t>
      </w:r>
      <w:r>
        <w:rPr>
          <w:color w:val="231F20"/>
          <w:spacing w:val="-12"/>
          <w:sz w:val="20"/>
          <w:vertAlign w:val="baseline"/>
        </w:rPr>
        <w:t> </w:t>
      </w:r>
      <w:r>
        <w:rPr>
          <w:color w:val="231F20"/>
          <w:sz w:val="20"/>
          <w:vertAlign w:val="baseline"/>
        </w:rPr>
        <w:t>estimée</w:t>
      </w:r>
      <w:r>
        <w:rPr>
          <w:color w:val="231F20"/>
          <w:spacing w:val="-9"/>
          <w:sz w:val="20"/>
          <w:vertAlign w:val="baseline"/>
        </w:rPr>
        <w:t> </w:t>
      </w:r>
      <w:r>
        <w:rPr>
          <w:color w:val="231F20"/>
          <w:sz w:val="20"/>
          <w:vertAlign w:val="baseline"/>
        </w:rPr>
        <w:t>à</w:t>
      </w:r>
      <w:r>
        <w:rPr>
          <w:color w:val="231F20"/>
          <w:spacing w:val="-12"/>
          <w:sz w:val="20"/>
          <w:vertAlign w:val="baseline"/>
        </w:rPr>
        <w:t> </w:t>
      </w:r>
      <w:r>
        <w:rPr>
          <w:color w:val="231F20"/>
          <w:sz w:val="20"/>
          <w:vertAlign w:val="baseline"/>
        </w:rPr>
        <w:t>460</w:t>
      </w:r>
      <w:r>
        <w:rPr>
          <w:color w:val="231F20"/>
          <w:spacing w:val="-9"/>
          <w:sz w:val="20"/>
          <w:vertAlign w:val="baseline"/>
        </w:rPr>
        <w:t> </w:t>
      </w:r>
      <w:r>
        <w:rPr>
          <w:color w:val="231F20"/>
          <w:sz w:val="20"/>
          <w:vertAlign w:val="baseline"/>
        </w:rPr>
        <w:t>millions</w:t>
      </w:r>
      <w:r>
        <w:rPr>
          <w:color w:val="231F20"/>
          <w:spacing w:val="-12"/>
          <w:sz w:val="20"/>
          <w:vertAlign w:val="baseline"/>
        </w:rPr>
        <w:t> </w:t>
      </w:r>
      <w:r>
        <w:rPr>
          <w:color w:val="231F20"/>
          <w:sz w:val="20"/>
          <w:vertAlign w:val="baseline"/>
        </w:rPr>
        <w:t>d’euros,</w:t>
      </w:r>
      <w:r>
        <w:rPr>
          <w:color w:val="231F20"/>
          <w:spacing w:val="-10"/>
          <w:sz w:val="20"/>
          <w:vertAlign w:val="baseline"/>
        </w:rPr>
        <w:t> </w:t>
      </w:r>
      <w:r>
        <w:rPr>
          <w:color w:val="231F20"/>
          <w:sz w:val="20"/>
          <w:vertAlign w:val="baseline"/>
        </w:rPr>
        <w:t>soit</w:t>
      </w:r>
      <w:r>
        <w:rPr>
          <w:color w:val="231F20"/>
          <w:spacing w:val="-12"/>
          <w:sz w:val="20"/>
          <w:vertAlign w:val="baseline"/>
        </w:rPr>
        <w:t> </w:t>
      </w:r>
      <w:r>
        <w:rPr>
          <w:color w:val="231F20"/>
          <w:sz w:val="20"/>
          <w:vertAlign w:val="baseline"/>
        </w:rPr>
        <w:t>«</w:t>
      </w:r>
      <w:r>
        <w:rPr>
          <w:i/>
          <w:color w:val="231F20"/>
          <w:sz w:val="20"/>
          <w:vertAlign w:val="baseline"/>
        </w:rPr>
        <w:t>à</w:t>
      </w:r>
      <w:r>
        <w:rPr>
          <w:i/>
          <w:color w:val="231F20"/>
          <w:spacing w:val="-10"/>
          <w:sz w:val="20"/>
          <w:vertAlign w:val="baseline"/>
        </w:rPr>
        <w:t> </w:t>
      </w:r>
      <w:r>
        <w:rPr>
          <w:i/>
          <w:color w:val="231F20"/>
          <w:sz w:val="20"/>
          <w:vertAlign w:val="baseline"/>
        </w:rPr>
        <w:t>peu</w:t>
      </w:r>
      <w:r>
        <w:rPr>
          <w:i/>
          <w:color w:val="231F20"/>
          <w:spacing w:val="-9"/>
          <w:sz w:val="20"/>
          <w:vertAlign w:val="baseline"/>
        </w:rPr>
        <w:t> </w:t>
      </w:r>
      <w:r>
        <w:rPr>
          <w:i/>
          <w:color w:val="231F20"/>
          <w:spacing w:val="-4"/>
          <w:sz w:val="20"/>
          <w:vertAlign w:val="baseline"/>
        </w:rPr>
        <w:t>près</w:t>
      </w:r>
    </w:p>
    <w:p>
      <w:pPr>
        <w:spacing w:after="0"/>
        <w:jc w:val="left"/>
        <w:rPr>
          <w:sz w:val="20"/>
        </w:rPr>
        <w:sectPr>
          <w:pgSz w:w="8790" w:h="13610"/>
          <w:pgMar w:header="0" w:footer="802" w:top="1060" w:bottom="1000" w:left="880" w:right="880"/>
        </w:sectPr>
      </w:pPr>
    </w:p>
    <w:p>
      <w:pPr>
        <w:pStyle w:val="BodyText"/>
        <w:spacing w:before="66"/>
        <w:ind w:right="106" w:firstLine="283"/>
      </w:pPr>
      <w:r>
        <w:rPr>
          <w:color w:val="231F20"/>
          <w:spacing w:val="-4"/>
        </w:rPr>
        <w:t>L’économie</w:t>
      </w:r>
      <w:r>
        <w:rPr>
          <w:color w:val="231F20"/>
          <w:spacing w:val="-11"/>
        </w:rPr>
        <w:t> </w:t>
      </w:r>
      <w:r>
        <w:rPr>
          <w:color w:val="231F20"/>
          <w:spacing w:val="-4"/>
        </w:rPr>
        <w:t>Camerounaise,</w:t>
      </w:r>
      <w:r>
        <w:rPr>
          <w:color w:val="231F20"/>
          <w:spacing w:val="-9"/>
        </w:rPr>
        <w:t> </w:t>
      </w:r>
      <w:r>
        <w:rPr>
          <w:color w:val="231F20"/>
          <w:spacing w:val="-4"/>
        </w:rPr>
        <w:t>moteur</w:t>
      </w:r>
      <w:r>
        <w:rPr>
          <w:color w:val="231F20"/>
          <w:spacing w:val="-8"/>
        </w:rPr>
        <w:t> </w:t>
      </w:r>
      <w:r>
        <w:rPr>
          <w:color w:val="231F20"/>
          <w:spacing w:val="-4"/>
        </w:rPr>
        <w:t>de</w:t>
      </w:r>
      <w:r>
        <w:rPr>
          <w:color w:val="231F20"/>
          <w:spacing w:val="-11"/>
        </w:rPr>
        <w:t> </w:t>
      </w:r>
      <w:r>
        <w:rPr>
          <w:color w:val="231F20"/>
          <w:spacing w:val="-4"/>
        </w:rPr>
        <w:t>la</w:t>
      </w:r>
      <w:r>
        <w:rPr>
          <w:color w:val="231F20"/>
          <w:spacing w:val="-8"/>
        </w:rPr>
        <w:t> </w:t>
      </w:r>
      <w:r>
        <w:rPr>
          <w:color w:val="231F20"/>
          <w:spacing w:val="-4"/>
        </w:rPr>
        <w:t>Communauté</w:t>
      </w:r>
      <w:r>
        <w:rPr>
          <w:color w:val="231F20"/>
          <w:spacing w:val="-8"/>
        </w:rPr>
        <w:t> </w:t>
      </w:r>
      <w:r>
        <w:rPr>
          <w:color w:val="231F20"/>
          <w:spacing w:val="-4"/>
        </w:rPr>
        <w:t>Economique</w:t>
      </w:r>
      <w:r>
        <w:rPr>
          <w:color w:val="231F20"/>
          <w:spacing w:val="-8"/>
        </w:rPr>
        <w:t> </w:t>
      </w:r>
      <w:r>
        <w:rPr>
          <w:color w:val="231F20"/>
          <w:spacing w:val="-4"/>
        </w:rPr>
        <w:t>et </w:t>
      </w:r>
      <w:r>
        <w:rPr>
          <w:color w:val="231F20"/>
          <w:spacing w:val="-2"/>
        </w:rPr>
        <w:t>Monétaire</w:t>
      </w:r>
      <w:r>
        <w:rPr>
          <w:color w:val="231F20"/>
          <w:spacing w:val="-15"/>
        </w:rPr>
        <w:t> </w:t>
      </w:r>
      <w:r>
        <w:rPr>
          <w:color w:val="231F20"/>
          <w:spacing w:val="-2"/>
        </w:rPr>
        <w:t>des</w:t>
      </w:r>
      <w:r>
        <w:rPr>
          <w:color w:val="231F20"/>
          <w:spacing w:val="-13"/>
        </w:rPr>
        <w:t> </w:t>
      </w:r>
      <w:r>
        <w:rPr>
          <w:color w:val="231F20"/>
          <w:spacing w:val="-2"/>
        </w:rPr>
        <w:t>États</w:t>
      </w:r>
      <w:r>
        <w:rPr>
          <w:color w:val="231F20"/>
          <w:spacing w:val="-13"/>
        </w:rPr>
        <w:t> </w:t>
      </w:r>
      <w:r>
        <w:rPr>
          <w:color w:val="231F20"/>
          <w:spacing w:val="-2"/>
        </w:rPr>
        <w:t>de</w:t>
      </w:r>
      <w:r>
        <w:rPr>
          <w:color w:val="231F20"/>
          <w:spacing w:val="-13"/>
        </w:rPr>
        <w:t> </w:t>
      </w:r>
      <w:r>
        <w:rPr>
          <w:color w:val="231F20"/>
          <w:spacing w:val="-2"/>
        </w:rPr>
        <w:t>l’Afrique</w:t>
      </w:r>
      <w:r>
        <w:rPr>
          <w:color w:val="231F20"/>
          <w:spacing w:val="-13"/>
        </w:rPr>
        <w:t> </w:t>
      </w:r>
      <w:r>
        <w:rPr>
          <w:color w:val="231F20"/>
          <w:spacing w:val="-2"/>
        </w:rPr>
        <w:t>Centrale</w:t>
      </w:r>
      <w:r>
        <w:rPr>
          <w:color w:val="231F20"/>
          <w:spacing w:val="-13"/>
        </w:rPr>
        <w:t> </w:t>
      </w:r>
      <w:r>
        <w:rPr>
          <w:color w:val="231F20"/>
          <w:spacing w:val="-2"/>
        </w:rPr>
        <w:t>(CEMAC)</w:t>
      </w:r>
      <w:r>
        <w:rPr>
          <w:color w:val="231F20"/>
          <w:spacing w:val="-13"/>
        </w:rPr>
        <w:t> </w:t>
      </w:r>
      <w:r>
        <w:rPr>
          <w:color w:val="231F20"/>
          <w:spacing w:val="-2"/>
        </w:rPr>
        <w:t>est</w:t>
      </w:r>
      <w:r>
        <w:rPr>
          <w:color w:val="231F20"/>
          <w:spacing w:val="-13"/>
        </w:rPr>
        <w:t> </w:t>
      </w:r>
      <w:r>
        <w:rPr>
          <w:color w:val="231F20"/>
          <w:spacing w:val="-2"/>
        </w:rPr>
        <w:t>richement</w:t>
      </w:r>
      <w:r>
        <w:rPr>
          <w:color w:val="231F20"/>
          <w:spacing w:val="-13"/>
        </w:rPr>
        <w:t> </w:t>
      </w:r>
      <w:r>
        <w:rPr>
          <w:color w:val="231F20"/>
          <w:spacing w:val="-2"/>
        </w:rPr>
        <w:t>dotée </w:t>
      </w:r>
      <w:r>
        <w:rPr>
          <w:color w:val="231F20"/>
        </w:rPr>
        <w:t>en</w:t>
      </w:r>
      <w:r>
        <w:rPr>
          <w:color w:val="231F20"/>
          <w:spacing w:val="-8"/>
        </w:rPr>
        <w:t> </w:t>
      </w:r>
      <w:r>
        <w:rPr>
          <w:color w:val="231F20"/>
        </w:rPr>
        <w:t>ressources</w:t>
      </w:r>
      <w:r>
        <w:rPr>
          <w:color w:val="231F20"/>
          <w:spacing w:val="-8"/>
        </w:rPr>
        <w:t> </w:t>
      </w:r>
      <w:r>
        <w:rPr>
          <w:color w:val="231F20"/>
        </w:rPr>
        <w:t>naturelles</w:t>
      </w:r>
      <w:r>
        <w:rPr>
          <w:color w:val="231F20"/>
          <w:spacing w:val="-8"/>
        </w:rPr>
        <w:t> </w:t>
      </w:r>
      <w:r>
        <w:rPr>
          <w:color w:val="231F20"/>
        </w:rPr>
        <w:t>et</w:t>
      </w:r>
      <w:r>
        <w:rPr>
          <w:color w:val="231F20"/>
          <w:spacing w:val="-8"/>
        </w:rPr>
        <w:t> </w:t>
      </w:r>
      <w:r>
        <w:rPr>
          <w:color w:val="231F20"/>
        </w:rPr>
        <w:t>agricoles.</w:t>
      </w:r>
      <w:r>
        <w:rPr>
          <w:color w:val="231F20"/>
          <w:spacing w:val="-8"/>
        </w:rPr>
        <w:t> </w:t>
      </w:r>
      <w:r>
        <w:rPr>
          <w:color w:val="231F20"/>
        </w:rPr>
        <w:t>Malheureusement,</w:t>
      </w:r>
      <w:r>
        <w:rPr>
          <w:color w:val="231F20"/>
          <w:spacing w:val="-10"/>
        </w:rPr>
        <w:t> </w:t>
      </w:r>
      <w:r>
        <w:rPr>
          <w:color w:val="231F20"/>
        </w:rPr>
        <w:t>le</w:t>
      </w:r>
      <w:r>
        <w:rPr>
          <w:color w:val="231F20"/>
          <w:spacing w:val="-8"/>
        </w:rPr>
        <w:t> </w:t>
      </w:r>
      <w:r>
        <w:rPr>
          <w:color w:val="231F20"/>
        </w:rPr>
        <w:t>pays</w:t>
      </w:r>
      <w:r>
        <w:rPr>
          <w:color w:val="231F20"/>
          <w:spacing w:val="-9"/>
        </w:rPr>
        <w:t> </w:t>
      </w:r>
      <w:r>
        <w:rPr>
          <w:color w:val="231F20"/>
        </w:rPr>
        <w:t>connaît des</w:t>
      </w:r>
      <w:r>
        <w:rPr>
          <w:color w:val="231F20"/>
          <w:spacing w:val="-5"/>
        </w:rPr>
        <w:t> </w:t>
      </w:r>
      <w:r>
        <w:rPr>
          <w:color w:val="231F20"/>
        </w:rPr>
        <w:t>problèmes</w:t>
      </w:r>
      <w:r>
        <w:rPr>
          <w:color w:val="231F20"/>
          <w:spacing w:val="-7"/>
        </w:rPr>
        <w:t> </w:t>
      </w:r>
      <w:r>
        <w:rPr>
          <w:color w:val="231F20"/>
        </w:rPr>
        <w:t>de</w:t>
      </w:r>
      <w:r>
        <w:rPr>
          <w:color w:val="231F20"/>
          <w:spacing w:val="-5"/>
        </w:rPr>
        <w:t> </w:t>
      </w:r>
      <w:r>
        <w:rPr>
          <w:color w:val="231F20"/>
        </w:rPr>
        <w:t>gouvernance</w:t>
      </w:r>
      <w:r>
        <w:rPr>
          <w:color w:val="231F20"/>
          <w:spacing w:val="-5"/>
        </w:rPr>
        <w:t> </w:t>
      </w:r>
      <w:r>
        <w:rPr>
          <w:color w:val="231F20"/>
        </w:rPr>
        <w:t>qui</w:t>
      </w:r>
      <w:r>
        <w:rPr>
          <w:color w:val="231F20"/>
          <w:spacing w:val="-4"/>
        </w:rPr>
        <w:t> </w:t>
      </w:r>
      <w:r>
        <w:rPr>
          <w:color w:val="231F20"/>
        </w:rPr>
        <w:t>freinent</w:t>
      </w:r>
      <w:r>
        <w:rPr>
          <w:color w:val="231F20"/>
          <w:spacing w:val="-6"/>
        </w:rPr>
        <w:t> </w:t>
      </w:r>
      <w:r>
        <w:rPr>
          <w:color w:val="231F20"/>
        </w:rPr>
        <w:t>son</w:t>
      </w:r>
      <w:r>
        <w:rPr>
          <w:color w:val="231F20"/>
          <w:spacing w:val="-7"/>
        </w:rPr>
        <w:t> </w:t>
      </w:r>
      <w:r>
        <w:rPr>
          <w:color w:val="231F20"/>
        </w:rPr>
        <w:t>développement.</w:t>
      </w:r>
    </w:p>
    <w:p>
      <w:pPr>
        <w:pStyle w:val="BodyText"/>
        <w:spacing w:before="120"/>
        <w:ind w:right="107" w:firstLine="283"/>
      </w:pPr>
      <w:r>
        <w:rPr>
          <w:color w:val="231F20"/>
        </w:rPr>
        <w:t>En Centrafrique, pays de diamant, les affrontements intercommunautaires l’ont transformé en une mosaïque de territoires contrôlés par des groupes armés rivaux souvent formés sur des bases religieuses,</w:t>
      </w:r>
      <w:r>
        <w:rPr>
          <w:color w:val="231F20"/>
          <w:spacing w:val="-5"/>
        </w:rPr>
        <w:t> </w:t>
      </w:r>
      <w:r>
        <w:rPr>
          <w:color w:val="231F20"/>
        </w:rPr>
        <w:t>militaires,</w:t>
      </w:r>
      <w:r>
        <w:rPr>
          <w:color w:val="231F20"/>
          <w:spacing w:val="-2"/>
        </w:rPr>
        <w:t> </w:t>
      </w:r>
      <w:r>
        <w:rPr>
          <w:color w:val="231F20"/>
        </w:rPr>
        <w:t>politiques</w:t>
      </w:r>
      <w:r>
        <w:rPr>
          <w:color w:val="231F20"/>
          <w:spacing w:val="-2"/>
        </w:rPr>
        <w:t> </w:t>
      </w:r>
      <w:r>
        <w:rPr>
          <w:color w:val="231F20"/>
        </w:rPr>
        <w:t>et</w:t>
      </w:r>
      <w:r>
        <w:rPr>
          <w:color w:val="231F20"/>
          <w:spacing w:val="-2"/>
        </w:rPr>
        <w:t> </w:t>
      </w:r>
      <w:r>
        <w:rPr>
          <w:color w:val="231F20"/>
        </w:rPr>
        <w:t>ethniques.</w:t>
      </w:r>
    </w:p>
    <w:p>
      <w:pPr>
        <w:spacing w:before="121"/>
        <w:ind w:left="111" w:right="104" w:firstLine="283"/>
        <w:jc w:val="both"/>
        <w:rPr>
          <w:i/>
          <w:sz w:val="24"/>
        </w:rPr>
      </w:pPr>
      <w:r>
        <w:rPr>
          <w:color w:val="231F20"/>
          <w:sz w:val="24"/>
        </w:rPr>
        <w:t>En Côte d’Ivoire, après avoir dénoncé la gestion du pays par ses prédécesseurs, notamment, Henri Konan Bédié, et Laurent Gbagbo comme</w:t>
      </w:r>
      <w:r>
        <w:rPr>
          <w:color w:val="231F20"/>
          <w:spacing w:val="-4"/>
          <w:sz w:val="24"/>
        </w:rPr>
        <w:t> </w:t>
      </w:r>
      <w:r>
        <w:rPr>
          <w:color w:val="231F20"/>
          <w:sz w:val="24"/>
        </w:rPr>
        <w:t>étant</w:t>
      </w:r>
      <w:r>
        <w:rPr>
          <w:color w:val="231F20"/>
          <w:spacing w:val="-3"/>
          <w:sz w:val="24"/>
        </w:rPr>
        <w:t> </w:t>
      </w:r>
      <w:r>
        <w:rPr>
          <w:color w:val="231F20"/>
          <w:sz w:val="24"/>
        </w:rPr>
        <w:t>familiale</w:t>
      </w:r>
      <w:r>
        <w:rPr>
          <w:color w:val="231F20"/>
          <w:spacing w:val="-4"/>
          <w:sz w:val="24"/>
        </w:rPr>
        <w:t> </w:t>
      </w:r>
      <w:r>
        <w:rPr>
          <w:color w:val="231F20"/>
          <w:sz w:val="24"/>
        </w:rPr>
        <w:t>voire</w:t>
      </w:r>
      <w:r>
        <w:rPr>
          <w:color w:val="231F20"/>
          <w:spacing w:val="-2"/>
          <w:sz w:val="24"/>
        </w:rPr>
        <w:t> </w:t>
      </w:r>
      <w:r>
        <w:rPr>
          <w:color w:val="231F20"/>
          <w:sz w:val="24"/>
        </w:rPr>
        <w:t>clanique</w:t>
      </w:r>
      <w:r>
        <w:rPr>
          <w:color w:val="231F20"/>
          <w:spacing w:val="-4"/>
          <w:sz w:val="24"/>
        </w:rPr>
        <w:t> </w:t>
      </w:r>
      <w:r>
        <w:rPr>
          <w:color w:val="231F20"/>
          <w:sz w:val="24"/>
        </w:rPr>
        <w:t>et</w:t>
      </w:r>
      <w:r>
        <w:rPr>
          <w:color w:val="231F20"/>
          <w:spacing w:val="-3"/>
          <w:sz w:val="24"/>
        </w:rPr>
        <w:t> </w:t>
      </w:r>
      <w:r>
        <w:rPr>
          <w:color w:val="231F20"/>
          <w:sz w:val="24"/>
        </w:rPr>
        <w:t>promis</w:t>
      </w:r>
      <w:r>
        <w:rPr>
          <w:color w:val="231F20"/>
          <w:spacing w:val="-4"/>
          <w:sz w:val="24"/>
        </w:rPr>
        <w:t> </w:t>
      </w:r>
      <w:r>
        <w:rPr>
          <w:color w:val="231F20"/>
          <w:sz w:val="24"/>
        </w:rPr>
        <w:t>au</w:t>
      </w:r>
      <w:r>
        <w:rPr>
          <w:color w:val="231F20"/>
          <w:spacing w:val="-5"/>
          <w:sz w:val="24"/>
        </w:rPr>
        <w:t> </w:t>
      </w:r>
      <w:r>
        <w:rPr>
          <w:color w:val="231F20"/>
          <w:sz w:val="24"/>
        </w:rPr>
        <w:t>peuple,</w:t>
      </w:r>
      <w:r>
        <w:rPr>
          <w:color w:val="231F20"/>
          <w:spacing w:val="-4"/>
          <w:sz w:val="24"/>
        </w:rPr>
        <w:t> </w:t>
      </w:r>
      <w:r>
        <w:rPr>
          <w:color w:val="231F20"/>
          <w:sz w:val="24"/>
        </w:rPr>
        <w:t>une</w:t>
      </w:r>
      <w:r>
        <w:rPr>
          <w:color w:val="231F20"/>
          <w:spacing w:val="-4"/>
          <w:sz w:val="24"/>
        </w:rPr>
        <w:t> </w:t>
      </w:r>
      <w:r>
        <w:rPr>
          <w:color w:val="231F20"/>
          <w:sz w:val="24"/>
        </w:rPr>
        <w:t>pluie</w:t>
      </w:r>
      <w:r>
        <w:rPr>
          <w:color w:val="231F20"/>
          <w:spacing w:val="-4"/>
          <w:sz w:val="24"/>
        </w:rPr>
        <w:t> </w:t>
      </w:r>
      <w:r>
        <w:rPr>
          <w:color w:val="231F20"/>
          <w:sz w:val="24"/>
        </w:rPr>
        <w:t>de milliards, Alassane</w:t>
      </w:r>
      <w:r>
        <w:rPr>
          <w:color w:val="231F20"/>
          <w:spacing w:val="-3"/>
          <w:sz w:val="24"/>
        </w:rPr>
        <w:t> </w:t>
      </w:r>
      <w:r>
        <w:rPr>
          <w:color w:val="231F20"/>
          <w:sz w:val="24"/>
        </w:rPr>
        <w:t>Ouattara</w:t>
      </w:r>
      <w:r>
        <w:rPr>
          <w:color w:val="231F20"/>
          <w:spacing w:val="-1"/>
          <w:sz w:val="24"/>
        </w:rPr>
        <w:t> </w:t>
      </w:r>
      <w:r>
        <w:rPr>
          <w:color w:val="231F20"/>
          <w:sz w:val="24"/>
        </w:rPr>
        <w:t>a</w:t>
      </w:r>
      <w:r>
        <w:rPr>
          <w:color w:val="231F20"/>
          <w:spacing w:val="-1"/>
          <w:sz w:val="24"/>
        </w:rPr>
        <w:t> </w:t>
      </w:r>
      <w:r>
        <w:rPr>
          <w:color w:val="231F20"/>
          <w:sz w:val="24"/>
        </w:rPr>
        <w:t>lui</w:t>
      </w:r>
      <w:r>
        <w:rPr>
          <w:color w:val="231F20"/>
          <w:spacing w:val="-2"/>
          <w:sz w:val="24"/>
        </w:rPr>
        <w:t> </w:t>
      </w:r>
      <w:r>
        <w:rPr>
          <w:color w:val="231F20"/>
          <w:sz w:val="24"/>
        </w:rPr>
        <w:t>aussi ouvert</w:t>
      </w:r>
      <w:r>
        <w:rPr>
          <w:color w:val="231F20"/>
          <w:spacing w:val="-2"/>
          <w:sz w:val="24"/>
        </w:rPr>
        <w:t> </w:t>
      </w:r>
      <w:r>
        <w:rPr>
          <w:color w:val="231F20"/>
          <w:sz w:val="24"/>
        </w:rPr>
        <w:t>les</w:t>
      </w:r>
      <w:r>
        <w:rPr>
          <w:color w:val="231F20"/>
          <w:spacing w:val="-2"/>
          <w:sz w:val="24"/>
        </w:rPr>
        <w:t> </w:t>
      </w:r>
      <w:r>
        <w:rPr>
          <w:color w:val="231F20"/>
          <w:sz w:val="24"/>
        </w:rPr>
        <w:t>portes</w:t>
      </w:r>
      <w:r>
        <w:rPr>
          <w:color w:val="231F20"/>
          <w:spacing w:val="-2"/>
          <w:sz w:val="24"/>
        </w:rPr>
        <w:t> </w:t>
      </w:r>
      <w:r>
        <w:rPr>
          <w:color w:val="231F20"/>
          <w:sz w:val="24"/>
        </w:rPr>
        <w:t>de</w:t>
      </w:r>
      <w:r>
        <w:rPr>
          <w:color w:val="231F20"/>
          <w:spacing w:val="-1"/>
          <w:sz w:val="24"/>
        </w:rPr>
        <w:t> </w:t>
      </w:r>
      <w:r>
        <w:rPr>
          <w:color w:val="231F20"/>
          <w:sz w:val="24"/>
        </w:rPr>
        <w:t>l’État</w:t>
      </w:r>
      <w:r>
        <w:rPr>
          <w:color w:val="231F20"/>
          <w:spacing w:val="-2"/>
          <w:sz w:val="24"/>
        </w:rPr>
        <w:t> </w:t>
      </w:r>
      <w:r>
        <w:rPr>
          <w:color w:val="231F20"/>
          <w:sz w:val="24"/>
        </w:rPr>
        <w:t>mais </w:t>
      </w:r>
      <w:r>
        <w:rPr>
          <w:color w:val="231F20"/>
          <w:spacing w:val="-2"/>
          <w:sz w:val="24"/>
        </w:rPr>
        <w:t>aussi</w:t>
      </w:r>
      <w:r>
        <w:rPr>
          <w:color w:val="231F20"/>
          <w:spacing w:val="-15"/>
          <w:sz w:val="24"/>
        </w:rPr>
        <w:t> </w:t>
      </w:r>
      <w:r>
        <w:rPr>
          <w:color w:val="231F20"/>
          <w:spacing w:val="-2"/>
          <w:sz w:val="24"/>
        </w:rPr>
        <w:t>des</w:t>
      </w:r>
      <w:r>
        <w:rPr>
          <w:color w:val="231F20"/>
          <w:spacing w:val="-13"/>
          <w:sz w:val="24"/>
        </w:rPr>
        <w:t> </w:t>
      </w:r>
      <w:r>
        <w:rPr>
          <w:color w:val="231F20"/>
          <w:spacing w:val="-2"/>
          <w:sz w:val="24"/>
        </w:rPr>
        <w:t>sociétés</w:t>
      </w:r>
      <w:r>
        <w:rPr>
          <w:color w:val="231F20"/>
          <w:spacing w:val="-13"/>
          <w:sz w:val="24"/>
        </w:rPr>
        <w:t> </w:t>
      </w:r>
      <w:r>
        <w:rPr>
          <w:color w:val="231F20"/>
          <w:spacing w:val="-2"/>
          <w:sz w:val="24"/>
        </w:rPr>
        <w:t>publiques</w:t>
      </w:r>
      <w:r>
        <w:rPr>
          <w:color w:val="231F20"/>
          <w:spacing w:val="-13"/>
          <w:sz w:val="24"/>
        </w:rPr>
        <w:t> </w:t>
      </w:r>
      <w:r>
        <w:rPr>
          <w:color w:val="231F20"/>
          <w:spacing w:val="-2"/>
          <w:sz w:val="24"/>
        </w:rPr>
        <w:t>et,</w:t>
      </w:r>
      <w:r>
        <w:rPr>
          <w:color w:val="231F20"/>
          <w:spacing w:val="-13"/>
          <w:sz w:val="24"/>
        </w:rPr>
        <w:t> </w:t>
      </w:r>
      <w:r>
        <w:rPr>
          <w:color w:val="231F20"/>
          <w:spacing w:val="-2"/>
          <w:sz w:val="24"/>
        </w:rPr>
        <w:t>plus</w:t>
      </w:r>
      <w:r>
        <w:rPr>
          <w:color w:val="231F20"/>
          <w:spacing w:val="-13"/>
          <w:sz w:val="24"/>
        </w:rPr>
        <w:t> </w:t>
      </w:r>
      <w:r>
        <w:rPr>
          <w:color w:val="231F20"/>
          <w:spacing w:val="-2"/>
          <w:sz w:val="24"/>
        </w:rPr>
        <w:t>largement,</w:t>
      </w:r>
      <w:r>
        <w:rPr>
          <w:color w:val="231F20"/>
          <w:spacing w:val="-13"/>
          <w:sz w:val="24"/>
        </w:rPr>
        <w:t> </w:t>
      </w:r>
      <w:r>
        <w:rPr>
          <w:color w:val="231F20"/>
          <w:spacing w:val="-2"/>
          <w:sz w:val="24"/>
        </w:rPr>
        <w:t>de</w:t>
      </w:r>
      <w:r>
        <w:rPr>
          <w:color w:val="231F20"/>
          <w:spacing w:val="-13"/>
          <w:sz w:val="24"/>
        </w:rPr>
        <w:t> </w:t>
      </w:r>
      <w:r>
        <w:rPr>
          <w:color w:val="231F20"/>
          <w:spacing w:val="-2"/>
          <w:sz w:val="24"/>
        </w:rPr>
        <w:t>l’économie</w:t>
      </w:r>
      <w:r>
        <w:rPr>
          <w:color w:val="231F20"/>
          <w:spacing w:val="-13"/>
          <w:sz w:val="24"/>
        </w:rPr>
        <w:t> </w:t>
      </w:r>
      <w:r>
        <w:rPr>
          <w:color w:val="231F20"/>
          <w:spacing w:val="-2"/>
          <w:sz w:val="24"/>
        </w:rPr>
        <w:t>ivoirienne, </w:t>
      </w:r>
      <w:r>
        <w:rPr>
          <w:color w:val="231F20"/>
          <w:sz w:val="24"/>
        </w:rPr>
        <w:t>à ses proches parents ou amis fidèles</w:t>
      </w:r>
      <w:r>
        <w:rPr>
          <w:color w:val="231F20"/>
          <w:spacing w:val="-11"/>
          <w:sz w:val="24"/>
        </w:rPr>
        <w:t> </w:t>
      </w:r>
      <w:r>
        <w:rPr>
          <w:color w:val="231F20"/>
          <w:sz w:val="24"/>
        </w:rPr>
        <w:t>: </w:t>
      </w:r>
      <w:r>
        <w:rPr>
          <w:i/>
          <w:color w:val="231F20"/>
          <w:sz w:val="24"/>
        </w:rPr>
        <w:t>«</w:t>
      </w:r>
      <w:r>
        <w:rPr>
          <w:i/>
          <w:color w:val="231F20"/>
          <w:spacing w:val="-13"/>
          <w:sz w:val="24"/>
        </w:rPr>
        <w:t> </w:t>
      </w:r>
      <w:r>
        <w:rPr>
          <w:i/>
          <w:color w:val="231F20"/>
          <w:sz w:val="24"/>
        </w:rPr>
        <w:t>Du cacao au marché de</w:t>
      </w:r>
      <w:r>
        <w:rPr>
          <w:i/>
          <w:color w:val="231F20"/>
          <w:sz w:val="24"/>
        </w:rPr>
        <w:t> vérification</w:t>
      </w:r>
      <w:r>
        <w:rPr>
          <w:i/>
          <w:color w:val="231F20"/>
          <w:spacing w:val="-14"/>
          <w:sz w:val="24"/>
        </w:rPr>
        <w:t> </w:t>
      </w:r>
      <w:r>
        <w:rPr>
          <w:i/>
          <w:color w:val="231F20"/>
          <w:sz w:val="24"/>
        </w:rPr>
        <w:t>des</w:t>
      </w:r>
      <w:r>
        <w:rPr>
          <w:i/>
          <w:color w:val="231F20"/>
          <w:spacing w:val="-15"/>
          <w:sz w:val="24"/>
        </w:rPr>
        <w:t> </w:t>
      </w:r>
      <w:r>
        <w:rPr>
          <w:i/>
          <w:color w:val="231F20"/>
          <w:sz w:val="24"/>
        </w:rPr>
        <w:t>importations,</w:t>
      </w:r>
      <w:r>
        <w:rPr>
          <w:i/>
          <w:color w:val="231F20"/>
          <w:spacing w:val="-14"/>
          <w:sz w:val="24"/>
        </w:rPr>
        <w:t> </w:t>
      </w:r>
      <w:r>
        <w:rPr>
          <w:i/>
          <w:color w:val="231F20"/>
          <w:sz w:val="24"/>
        </w:rPr>
        <w:t>en</w:t>
      </w:r>
      <w:r>
        <w:rPr>
          <w:i/>
          <w:color w:val="231F20"/>
          <w:spacing w:val="-15"/>
          <w:sz w:val="24"/>
        </w:rPr>
        <w:t> </w:t>
      </w:r>
      <w:r>
        <w:rPr>
          <w:i/>
          <w:color w:val="231F20"/>
          <w:sz w:val="24"/>
        </w:rPr>
        <w:t>passant</w:t>
      </w:r>
      <w:r>
        <w:rPr>
          <w:i/>
          <w:color w:val="231F20"/>
          <w:spacing w:val="-15"/>
          <w:sz w:val="24"/>
        </w:rPr>
        <w:t> </w:t>
      </w:r>
      <w:r>
        <w:rPr>
          <w:i/>
          <w:color w:val="231F20"/>
          <w:sz w:val="24"/>
        </w:rPr>
        <w:t>par</w:t>
      </w:r>
      <w:r>
        <w:rPr>
          <w:i/>
          <w:color w:val="231F20"/>
          <w:spacing w:val="-15"/>
          <w:sz w:val="24"/>
        </w:rPr>
        <w:t> </w:t>
      </w:r>
      <w:r>
        <w:rPr>
          <w:i/>
          <w:color w:val="231F20"/>
          <w:sz w:val="24"/>
        </w:rPr>
        <w:t>les</w:t>
      </w:r>
      <w:r>
        <w:rPr>
          <w:i/>
          <w:color w:val="231F20"/>
          <w:spacing w:val="-14"/>
          <w:sz w:val="24"/>
        </w:rPr>
        <w:t> </w:t>
      </w:r>
      <w:r>
        <w:rPr>
          <w:i/>
          <w:color w:val="231F20"/>
          <w:sz w:val="24"/>
        </w:rPr>
        <w:t>affaires</w:t>
      </w:r>
      <w:r>
        <w:rPr>
          <w:i/>
          <w:color w:val="231F20"/>
          <w:spacing w:val="-14"/>
          <w:sz w:val="24"/>
        </w:rPr>
        <w:t> </w:t>
      </w:r>
      <w:r>
        <w:rPr>
          <w:i/>
          <w:color w:val="231F20"/>
          <w:sz w:val="24"/>
        </w:rPr>
        <w:t>présidentielles ou</w:t>
      </w:r>
      <w:r>
        <w:rPr>
          <w:i/>
          <w:color w:val="231F20"/>
          <w:spacing w:val="-8"/>
          <w:sz w:val="24"/>
        </w:rPr>
        <w:t> </w:t>
      </w:r>
      <w:r>
        <w:rPr>
          <w:i/>
          <w:color w:val="231F20"/>
          <w:sz w:val="24"/>
        </w:rPr>
        <w:t>bien</w:t>
      </w:r>
      <w:r>
        <w:rPr>
          <w:i/>
          <w:color w:val="231F20"/>
          <w:spacing w:val="-10"/>
          <w:sz w:val="24"/>
        </w:rPr>
        <w:t> </w:t>
      </w:r>
      <w:r>
        <w:rPr>
          <w:i/>
          <w:color w:val="231F20"/>
          <w:sz w:val="24"/>
        </w:rPr>
        <w:t>la</w:t>
      </w:r>
      <w:r>
        <w:rPr>
          <w:i/>
          <w:color w:val="231F20"/>
          <w:spacing w:val="-8"/>
          <w:sz w:val="24"/>
        </w:rPr>
        <w:t> </w:t>
      </w:r>
      <w:r>
        <w:rPr>
          <w:i/>
          <w:color w:val="231F20"/>
          <w:sz w:val="24"/>
        </w:rPr>
        <w:t>communication,</w:t>
      </w:r>
      <w:r>
        <w:rPr>
          <w:i/>
          <w:color w:val="231F20"/>
          <w:spacing w:val="-8"/>
          <w:sz w:val="24"/>
        </w:rPr>
        <w:t> </w:t>
      </w:r>
      <w:r>
        <w:rPr>
          <w:i/>
          <w:color w:val="231F20"/>
          <w:sz w:val="24"/>
        </w:rPr>
        <w:t>le</w:t>
      </w:r>
      <w:r>
        <w:rPr>
          <w:i/>
          <w:color w:val="231F20"/>
          <w:spacing w:val="-8"/>
          <w:sz w:val="24"/>
        </w:rPr>
        <w:t> </w:t>
      </w:r>
      <w:r>
        <w:rPr>
          <w:i/>
          <w:color w:val="231F20"/>
          <w:sz w:val="24"/>
        </w:rPr>
        <w:t>premier</w:t>
      </w:r>
      <w:r>
        <w:rPr>
          <w:i/>
          <w:color w:val="231F20"/>
          <w:spacing w:val="-8"/>
          <w:sz w:val="24"/>
        </w:rPr>
        <w:t> </w:t>
      </w:r>
      <w:r>
        <w:rPr>
          <w:i/>
          <w:color w:val="231F20"/>
          <w:sz w:val="24"/>
        </w:rPr>
        <w:t>cercle</w:t>
      </w:r>
      <w:r>
        <w:rPr>
          <w:i/>
          <w:color w:val="231F20"/>
          <w:spacing w:val="-8"/>
          <w:sz w:val="24"/>
        </w:rPr>
        <w:t> </w:t>
      </w:r>
      <w:r>
        <w:rPr>
          <w:i/>
          <w:color w:val="231F20"/>
          <w:sz w:val="24"/>
        </w:rPr>
        <w:t>du</w:t>
      </w:r>
      <w:r>
        <w:rPr>
          <w:i/>
          <w:color w:val="231F20"/>
          <w:spacing w:val="-11"/>
          <w:sz w:val="24"/>
        </w:rPr>
        <w:t> </w:t>
      </w:r>
      <w:r>
        <w:rPr>
          <w:i/>
          <w:color w:val="231F20"/>
          <w:sz w:val="24"/>
        </w:rPr>
        <w:t>Chef</w:t>
      </w:r>
      <w:r>
        <w:rPr>
          <w:i/>
          <w:color w:val="231F20"/>
          <w:spacing w:val="-7"/>
          <w:sz w:val="24"/>
        </w:rPr>
        <w:t> </w:t>
      </w:r>
      <w:r>
        <w:rPr>
          <w:i/>
          <w:color w:val="231F20"/>
          <w:sz w:val="24"/>
        </w:rPr>
        <w:t>de</w:t>
      </w:r>
      <w:r>
        <w:rPr>
          <w:i/>
          <w:color w:val="231F20"/>
          <w:spacing w:val="-8"/>
          <w:sz w:val="24"/>
        </w:rPr>
        <w:t> </w:t>
      </w:r>
      <w:r>
        <w:rPr>
          <w:i/>
          <w:color w:val="231F20"/>
          <w:sz w:val="24"/>
        </w:rPr>
        <w:t>l’État</w:t>
      </w:r>
      <w:r>
        <w:rPr>
          <w:i/>
          <w:color w:val="231F20"/>
          <w:spacing w:val="-8"/>
          <w:sz w:val="24"/>
        </w:rPr>
        <w:t> </w:t>
      </w:r>
      <w:r>
        <w:rPr>
          <w:i/>
          <w:color w:val="231F20"/>
          <w:sz w:val="24"/>
        </w:rPr>
        <w:t>et</w:t>
      </w:r>
      <w:r>
        <w:rPr>
          <w:i/>
          <w:color w:val="231F20"/>
          <w:spacing w:val="-8"/>
          <w:sz w:val="24"/>
        </w:rPr>
        <w:t> </w:t>
      </w:r>
      <w:r>
        <w:rPr>
          <w:i/>
          <w:color w:val="231F20"/>
          <w:sz w:val="24"/>
        </w:rPr>
        <w:t>de</w:t>
      </w:r>
      <w:r>
        <w:rPr>
          <w:i/>
          <w:color w:val="231F20"/>
          <w:spacing w:val="-10"/>
          <w:sz w:val="24"/>
        </w:rPr>
        <w:t> </w:t>
      </w:r>
      <w:r>
        <w:rPr>
          <w:i/>
          <w:color w:val="231F20"/>
          <w:sz w:val="24"/>
        </w:rPr>
        <w:t>son </w:t>
      </w:r>
      <w:r>
        <w:rPr>
          <w:i/>
          <w:color w:val="231F20"/>
          <w:spacing w:val="-2"/>
          <w:sz w:val="24"/>
        </w:rPr>
        <w:t>épouse</w:t>
      </w:r>
      <w:r>
        <w:rPr>
          <w:i/>
          <w:color w:val="231F20"/>
          <w:spacing w:val="-6"/>
          <w:sz w:val="24"/>
        </w:rPr>
        <w:t> </w:t>
      </w:r>
      <w:r>
        <w:rPr>
          <w:i/>
          <w:color w:val="231F20"/>
          <w:spacing w:val="-2"/>
          <w:sz w:val="24"/>
        </w:rPr>
        <w:t>Dominique</w:t>
      </w:r>
      <w:r>
        <w:rPr>
          <w:i/>
          <w:color w:val="231F20"/>
          <w:spacing w:val="-10"/>
          <w:sz w:val="24"/>
        </w:rPr>
        <w:t> </w:t>
      </w:r>
      <w:r>
        <w:rPr>
          <w:i/>
          <w:color w:val="231F20"/>
          <w:spacing w:val="-2"/>
          <w:sz w:val="24"/>
        </w:rPr>
        <w:t>Ouattara</w:t>
      </w:r>
      <w:r>
        <w:rPr>
          <w:i/>
          <w:color w:val="231F20"/>
          <w:spacing w:val="-9"/>
          <w:sz w:val="24"/>
        </w:rPr>
        <w:t> </w:t>
      </w:r>
      <w:r>
        <w:rPr>
          <w:i/>
          <w:color w:val="231F20"/>
          <w:spacing w:val="-2"/>
          <w:sz w:val="24"/>
        </w:rPr>
        <w:t>rayonne</w:t>
      </w:r>
      <w:r>
        <w:rPr>
          <w:i/>
          <w:color w:val="231F20"/>
          <w:spacing w:val="-6"/>
          <w:sz w:val="24"/>
        </w:rPr>
        <w:t> </w:t>
      </w:r>
      <w:r>
        <w:rPr>
          <w:i/>
          <w:color w:val="231F20"/>
          <w:spacing w:val="-2"/>
          <w:sz w:val="24"/>
        </w:rPr>
        <w:t>dans</w:t>
      </w:r>
      <w:r>
        <w:rPr>
          <w:i/>
          <w:color w:val="231F20"/>
          <w:spacing w:val="-9"/>
          <w:sz w:val="24"/>
        </w:rPr>
        <w:t> </w:t>
      </w:r>
      <w:r>
        <w:rPr>
          <w:i/>
          <w:color w:val="231F20"/>
          <w:spacing w:val="-2"/>
          <w:sz w:val="24"/>
        </w:rPr>
        <w:t>tous</w:t>
      </w:r>
      <w:r>
        <w:rPr>
          <w:i/>
          <w:color w:val="231F20"/>
          <w:spacing w:val="-9"/>
          <w:sz w:val="24"/>
        </w:rPr>
        <w:t> </w:t>
      </w:r>
      <w:r>
        <w:rPr>
          <w:i/>
          <w:color w:val="231F20"/>
          <w:spacing w:val="-2"/>
          <w:sz w:val="24"/>
        </w:rPr>
        <w:t>les</w:t>
      </w:r>
      <w:r>
        <w:rPr>
          <w:i/>
          <w:color w:val="231F20"/>
          <w:spacing w:val="-9"/>
          <w:sz w:val="24"/>
        </w:rPr>
        <w:t> </w:t>
      </w:r>
      <w:r>
        <w:rPr>
          <w:i/>
          <w:color w:val="231F20"/>
          <w:spacing w:val="-2"/>
          <w:sz w:val="24"/>
        </w:rPr>
        <w:t>secteurs</w:t>
      </w:r>
      <w:r>
        <w:rPr>
          <w:i/>
          <w:color w:val="231F20"/>
          <w:spacing w:val="-9"/>
          <w:sz w:val="24"/>
        </w:rPr>
        <w:t> </w:t>
      </w:r>
      <w:r>
        <w:rPr>
          <w:i/>
          <w:color w:val="231F20"/>
          <w:spacing w:val="-2"/>
          <w:sz w:val="24"/>
        </w:rPr>
        <w:t>stratégiques </w:t>
      </w:r>
      <w:r>
        <w:rPr>
          <w:i/>
          <w:color w:val="231F20"/>
          <w:spacing w:val="-4"/>
          <w:sz w:val="24"/>
        </w:rPr>
        <w:t>du</w:t>
      </w:r>
      <w:r>
        <w:rPr>
          <w:i/>
          <w:color w:val="231F20"/>
          <w:spacing w:val="-11"/>
          <w:sz w:val="24"/>
        </w:rPr>
        <w:t> </w:t>
      </w:r>
      <w:r>
        <w:rPr>
          <w:i/>
          <w:color w:val="231F20"/>
          <w:spacing w:val="-4"/>
          <w:sz w:val="24"/>
        </w:rPr>
        <w:t>pays</w:t>
      </w:r>
      <w:r>
        <w:rPr>
          <w:i/>
          <w:color w:val="231F20"/>
          <w:spacing w:val="-11"/>
          <w:sz w:val="24"/>
        </w:rPr>
        <w:t> </w:t>
      </w:r>
      <w:r>
        <w:rPr>
          <w:i/>
          <w:color w:val="231F20"/>
          <w:spacing w:val="-4"/>
          <w:sz w:val="24"/>
        </w:rPr>
        <w:t>(…)</w:t>
      </w:r>
      <w:r>
        <w:rPr>
          <w:i/>
          <w:color w:val="231F20"/>
          <w:spacing w:val="-11"/>
          <w:sz w:val="24"/>
        </w:rPr>
        <w:t> </w:t>
      </w:r>
      <w:r>
        <w:rPr>
          <w:i/>
          <w:color w:val="231F20"/>
          <w:spacing w:val="-4"/>
          <w:sz w:val="24"/>
        </w:rPr>
        <w:t>L’accession</w:t>
      </w:r>
      <w:r>
        <w:rPr>
          <w:i/>
          <w:color w:val="231F20"/>
          <w:spacing w:val="-11"/>
          <w:sz w:val="24"/>
        </w:rPr>
        <w:t> </w:t>
      </w:r>
      <w:r>
        <w:rPr>
          <w:i/>
          <w:color w:val="231F20"/>
          <w:spacing w:val="-4"/>
          <w:sz w:val="24"/>
        </w:rPr>
        <w:t>d’Alassane</w:t>
      </w:r>
      <w:r>
        <w:rPr>
          <w:i/>
          <w:color w:val="231F20"/>
          <w:spacing w:val="-11"/>
          <w:sz w:val="24"/>
        </w:rPr>
        <w:t> </w:t>
      </w:r>
      <w:r>
        <w:rPr>
          <w:i/>
          <w:color w:val="231F20"/>
          <w:spacing w:val="-4"/>
          <w:sz w:val="24"/>
        </w:rPr>
        <w:t>Ouattara</w:t>
      </w:r>
      <w:r>
        <w:rPr>
          <w:i/>
          <w:color w:val="231F20"/>
          <w:spacing w:val="-11"/>
          <w:sz w:val="24"/>
        </w:rPr>
        <w:t> </w:t>
      </w:r>
      <w:r>
        <w:rPr>
          <w:i/>
          <w:color w:val="231F20"/>
          <w:spacing w:val="-4"/>
          <w:sz w:val="24"/>
        </w:rPr>
        <w:t>à</w:t>
      </w:r>
      <w:r>
        <w:rPr>
          <w:i/>
          <w:color w:val="231F20"/>
          <w:spacing w:val="-11"/>
          <w:sz w:val="24"/>
        </w:rPr>
        <w:t> </w:t>
      </w:r>
      <w:r>
        <w:rPr>
          <w:i/>
          <w:color w:val="231F20"/>
          <w:spacing w:val="-4"/>
          <w:sz w:val="24"/>
        </w:rPr>
        <w:t>la</w:t>
      </w:r>
      <w:r>
        <w:rPr>
          <w:i/>
          <w:color w:val="231F20"/>
          <w:spacing w:val="-11"/>
          <w:sz w:val="24"/>
        </w:rPr>
        <w:t> </w:t>
      </w:r>
      <w:r>
        <w:rPr>
          <w:i/>
          <w:color w:val="231F20"/>
          <w:spacing w:val="-4"/>
          <w:sz w:val="24"/>
        </w:rPr>
        <w:t>tête</w:t>
      </w:r>
      <w:r>
        <w:rPr>
          <w:i/>
          <w:color w:val="231F20"/>
          <w:spacing w:val="-11"/>
          <w:sz w:val="24"/>
        </w:rPr>
        <w:t> </w:t>
      </w:r>
      <w:r>
        <w:rPr>
          <w:i/>
          <w:color w:val="231F20"/>
          <w:spacing w:val="-4"/>
          <w:sz w:val="24"/>
        </w:rPr>
        <w:t>de</w:t>
      </w:r>
      <w:r>
        <w:rPr>
          <w:i/>
          <w:color w:val="231F20"/>
          <w:spacing w:val="-11"/>
          <w:sz w:val="24"/>
        </w:rPr>
        <w:t> </w:t>
      </w:r>
      <w:r>
        <w:rPr>
          <w:i/>
          <w:color w:val="231F20"/>
          <w:spacing w:val="-4"/>
          <w:sz w:val="24"/>
        </w:rPr>
        <w:t>la</w:t>
      </w:r>
      <w:r>
        <w:rPr>
          <w:i/>
          <w:color w:val="231F20"/>
          <w:spacing w:val="-11"/>
          <w:sz w:val="24"/>
        </w:rPr>
        <w:t> </w:t>
      </w:r>
      <w:r>
        <w:rPr>
          <w:i/>
          <w:color w:val="231F20"/>
          <w:spacing w:val="-4"/>
          <w:sz w:val="24"/>
        </w:rPr>
        <w:t>Côte</w:t>
      </w:r>
      <w:r>
        <w:rPr>
          <w:i/>
          <w:color w:val="231F20"/>
          <w:spacing w:val="-11"/>
          <w:sz w:val="24"/>
        </w:rPr>
        <w:t> </w:t>
      </w:r>
      <w:r>
        <w:rPr>
          <w:i/>
          <w:color w:val="231F20"/>
          <w:spacing w:val="-4"/>
          <w:sz w:val="24"/>
        </w:rPr>
        <w:t>d’Ivoire </w:t>
      </w:r>
      <w:r>
        <w:rPr>
          <w:i/>
          <w:color w:val="231F20"/>
          <w:sz w:val="24"/>
        </w:rPr>
        <w:t>a</w:t>
      </w:r>
      <w:r>
        <w:rPr>
          <w:i/>
          <w:color w:val="231F20"/>
          <w:spacing w:val="-9"/>
          <w:sz w:val="24"/>
        </w:rPr>
        <w:t> </w:t>
      </w:r>
      <w:r>
        <w:rPr>
          <w:i/>
          <w:color w:val="231F20"/>
          <w:sz w:val="24"/>
        </w:rPr>
        <w:t>mis</w:t>
      </w:r>
      <w:r>
        <w:rPr>
          <w:i/>
          <w:color w:val="231F20"/>
          <w:spacing w:val="-9"/>
          <w:sz w:val="24"/>
        </w:rPr>
        <w:t> </w:t>
      </w:r>
      <w:r>
        <w:rPr>
          <w:i/>
          <w:color w:val="231F20"/>
          <w:sz w:val="24"/>
        </w:rPr>
        <w:t>en</w:t>
      </w:r>
      <w:r>
        <w:rPr>
          <w:i/>
          <w:color w:val="231F20"/>
          <w:spacing w:val="-11"/>
          <w:sz w:val="24"/>
        </w:rPr>
        <w:t> </w:t>
      </w:r>
      <w:r>
        <w:rPr>
          <w:i/>
          <w:color w:val="231F20"/>
          <w:sz w:val="24"/>
        </w:rPr>
        <w:t>lumière</w:t>
      </w:r>
      <w:r>
        <w:rPr>
          <w:i/>
          <w:color w:val="231F20"/>
          <w:spacing w:val="-12"/>
          <w:sz w:val="24"/>
        </w:rPr>
        <w:t> </w:t>
      </w:r>
      <w:r>
        <w:rPr>
          <w:i/>
          <w:color w:val="231F20"/>
          <w:sz w:val="24"/>
        </w:rPr>
        <w:t>le</w:t>
      </w:r>
      <w:r>
        <w:rPr>
          <w:i/>
          <w:color w:val="231F20"/>
          <w:spacing w:val="-12"/>
          <w:sz w:val="24"/>
        </w:rPr>
        <w:t> </w:t>
      </w:r>
      <w:r>
        <w:rPr>
          <w:i/>
          <w:color w:val="231F20"/>
          <w:sz w:val="24"/>
        </w:rPr>
        <w:t>poids</w:t>
      </w:r>
      <w:r>
        <w:rPr>
          <w:i/>
          <w:color w:val="231F20"/>
          <w:spacing w:val="-13"/>
          <w:sz w:val="24"/>
        </w:rPr>
        <w:t> </w:t>
      </w:r>
      <w:r>
        <w:rPr>
          <w:i/>
          <w:color w:val="231F20"/>
          <w:sz w:val="24"/>
        </w:rPr>
        <w:t>des</w:t>
      </w:r>
      <w:r>
        <w:rPr>
          <w:i/>
          <w:color w:val="231F20"/>
          <w:spacing w:val="-9"/>
          <w:sz w:val="24"/>
        </w:rPr>
        <w:t> </w:t>
      </w:r>
      <w:r>
        <w:rPr>
          <w:i/>
          <w:color w:val="231F20"/>
          <w:sz w:val="24"/>
        </w:rPr>
        <w:t>intérêts</w:t>
      </w:r>
      <w:r>
        <w:rPr>
          <w:i/>
          <w:color w:val="231F20"/>
          <w:spacing w:val="-11"/>
          <w:sz w:val="24"/>
        </w:rPr>
        <w:t> </w:t>
      </w:r>
      <w:r>
        <w:rPr>
          <w:i/>
          <w:color w:val="231F20"/>
          <w:sz w:val="24"/>
        </w:rPr>
        <w:t>familiaux</w:t>
      </w:r>
      <w:r>
        <w:rPr>
          <w:i/>
          <w:color w:val="231F20"/>
          <w:spacing w:val="-12"/>
          <w:sz w:val="24"/>
        </w:rPr>
        <w:t> </w:t>
      </w:r>
      <w:r>
        <w:rPr>
          <w:i/>
          <w:color w:val="231F20"/>
          <w:sz w:val="24"/>
        </w:rPr>
        <w:t>dans</w:t>
      </w:r>
      <w:r>
        <w:rPr>
          <w:i/>
          <w:color w:val="231F20"/>
          <w:spacing w:val="-9"/>
          <w:sz w:val="24"/>
        </w:rPr>
        <w:t> </w:t>
      </w:r>
      <w:r>
        <w:rPr>
          <w:i/>
          <w:color w:val="231F20"/>
          <w:sz w:val="24"/>
        </w:rPr>
        <w:t>la</w:t>
      </w:r>
      <w:r>
        <w:rPr>
          <w:i/>
          <w:color w:val="231F20"/>
          <w:spacing w:val="-9"/>
          <w:sz w:val="24"/>
        </w:rPr>
        <w:t> </w:t>
      </w:r>
      <w:r>
        <w:rPr>
          <w:i/>
          <w:color w:val="231F20"/>
          <w:sz w:val="24"/>
        </w:rPr>
        <w:t>gestion</w:t>
      </w:r>
      <w:r>
        <w:rPr>
          <w:i/>
          <w:color w:val="231F20"/>
          <w:spacing w:val="-11"/>
          <w:sz w:val="24"/>
        </w:rPr>
        <w:t> </w:t>
      </w:r>
      <w:r>
        <w:rPr>
          <w:i/>
          <w:color w:val="231F20"/>
          <w:sz w:val="24"/>
        </w:rPr>
        <w:t>du</w:t>
      </w:r>
      <w:r>
        <w:rPr>
          <w:i/>
          <w:color w:val="231F20"/>
          <w:spacing w:val="-8"/>
          <w:sz w:val="24"/>
        </w:rPr>
        <w:t> </w:t>
      </w:r>
      <w:r>
        <w:rPr>
          <w:i/>
          <w:color w:val="231F20"/>
          <w:sz w:val="24"/>
        </w:rPr>
        <w:t>pays. Oncle, frère, nièce, gendre, beau-frère (…)</w:t>
      </w:r>
    </w:p>
    <w:p>
      <w:pPr>
        <w:spacing w:before="120"/>
        <w:ind w:left="111" w:right="105" w:firstLine="283"/>
        <w:jc w:val="both"/>
        <w:rPr>
          <w:i/>
          <w:sz w:val="24"/>
        </w:rPr>
      </w:pPr>
      <w:r>
        <w:rPr>
          <w:i/>
          <w:color w:val="231F20"/>
          <w:sz w:val="24"/>
        </w:rPr>
        <w:t>Ex-Directeur</w:t>
      </w:r>
      <w:r>
        <w:rPr>
          <w:i/>
          <w:color w:val="231F20"/>
          <w:spacing w:val="-15"/>
          <w:sz w:val="24"/>
        </w:rPr>
        <w:t> </w:t>
      </w:r>
      <w:r>
        <w:rPr>
          <w:i/>
          <w:color w:val="231F20"/>
          <w:sz w:val="24"/>
        </w:rPr>
        <w:t>Général</w:t>
      </w:r>
      <w:r>
        <w:rPr>
          <w:i/>
          <w:color w:val="231F20"/>
          <w:spacing w:val="-15"/>
          <w:sz w:val="24"/>
        </w:rPr>
        <w:t> </w:t>
      </w:r>
      <w:r>
        <w:rPr>
          <w:i/>
          <w:color w:val="231F20"/>
          <w:sz w:val="24"/>
        </w:rPr>
        <w:t>Adjoint</w:t>
      </w:r>
      <w:r>
        <w:rPr>
          <w:i/>
          <w:color w:val="231F20"/>
          <w:spacing w:val="-15"/>
          <w:sz w:val="24"/>
        </w:rPr>
        <w:t> </w:t>
      </w:r>
      <w:r>
        <w:rPr>
          <w:i/>
          <w:color w:val="231F20"/>
          <w:sz w:val="24"/>
        </w:rPr>
        <w:t>du</w:t>
      </w:r>
      <w:r>
        <w:rPr>
          <w:i/>
          <w:color w:val="231F20"/>
          <w:spacing w:val="-15"/>
          <w:sz w:val="24"/>
        </w:rPr>
        <w:t> </w:t>
      </w:r>
      <w:r>
        <w:rPr>
          <w:i/>
          <w:color w:val="231F20"/>
          <w:sz w:val="24"/>
        </w:rPr>
        <w:t>FMI,</w:t>
      </w:r>
      <w:r>
        <w:rPr>
          <w:i/>
          <w:color w:val="231F20"/>
          <w:spacing w:val="-15"/>
          <w:sz w:val="24"/>
        </w:rPr>
        <w:t> </w:t>
      </w:r>
      <w:r>
        <w:rPr>
          <w:i/>
          <w:color w:val="231F20"/>
          <w:sz w:val="24"/>
        </w:rPr>
        <w:t>et</w:t>
      </w:r>
      <w:r>
        <w:rPr>
          <w:i/>
          <w:color w:val="231F20"/>
          <w:spacing w:val="-15"/>
          <w:sz w:val="24"/>
        </w:rPr>
        <w:t> </w:t>
      </w:r>
      <w:r>
        <w:rPr>
          <w:i/>
          <w:color w:val="231F20"/>
          <w:sz w:val="24"/>
        </w:rPr>
        <w:t>donc</w:t>
      </w:r>
      <w:r>
        <w:rPr>
          <w:i/>
          <w:color w:val="231F20"/>
          <w:spacing w:val="-15"/>
          <w:sz w:val="24"/>
        </w:rPr>
        <w:t> </w:t>
      </w:r>
      <w:r>
        <w:rPr>
          <w:i/>
          <w:color w:val="231F20"/>
          <w:sz w:val="24"/>
        </w:rPr>
        <w:t>garant</w:t>
      </w:r>
      <w:r>
        <w:rPr>
          <w:i/>
          <w:color w:val="231F20"/>
          <w:spacing w:val="-15"/>
          <w:sz w:val="24"/>
        </w:rPr>
        <w:t> </w:t>
      </w:r>
      <w:r>
        <w:rPr>
          <w:i/>
          <w:color w:val="231F20"/>
          <w:sz w:val="24"/>
        </w:rPr>
        <w:t>d’une</w:t>
      </w:r>
      <w:r>
        <w:rPr>
          <w:i/>
          <w:color w:val="231F20"/>
          <w:spacing w:val="-15"/>
          <w:sz w:val="24"/>
        </w:rPr>
        <w:t> </w:t>
      </w:r>
      <w:r>
        <w:rPr>
          <w:i/>
          <w:color w:val="231F20"/>
          <w:sz w:val="24"/>
        </w:rPr>
        <w:t>certaine</w:t>
      </w:r>
      <w:r>
        <w:rPr>
          <w:i/>
          <w:color w:val="231F20"/>
          <w:sz w:val="24"/>
        </w:rPr>
        <w:t> rigueur, Alassane Ouattara n’hésite pourtant pas à rompre avec les pratiques de transparence érigées comme un sacerdoce par les </w:t>
      </w:r>
      <w:r>
        <w:rPr>
          <w:i/>
          <w:color w:val="231F20"/>
          <w:spacing w:val="-2"/>
          <w:sz w:val="24"/>
        </w:rPr>
        <w:t>institutions</w:t>
      </w:r>
      <w:r>
        <w:rPr>
          <w:i/>
          <w:color w:val="231F20"/>
          <w:spacing w:val="-15"/>
          <w:sz w:val="24"/>
        </w:rPr>
        <w:t> </w:t>
      </w:r>
      <w:r>
        <w:rPr>
          <w:i/>
          <w:color w:val="231F20"/>
          <w:spacing w:val="-2"/>
          <w:sz w:val="24"/>
        </w:rPr>
        <w:t>de</w:t>
      </w:r>
      <w:r>
        <w:rPr>
          <w:i/>
          <w:color w:val="231F20"/>
          <w:spacing w:val="-13"/>
          <w:sz w:val="24"/>
        </w:rPr>
        <w:t> </w:t>
      </w:r>
      <w:r>
        <w:rPr>
          <w:i/>
          <w:color w:val="231F20"/>
          <w:spacing w:val="-2"/>
          <w:sz w:val="24"/>
        </w:rPr>
        <w:t>Bretton</w:t>
      </w:r>
      <w:r>
        <w:rPr>
          <w:i/>
          <w:color w:val="231F20"/>
          <w:spacing w:val="-13"/>
          <w:sz w:val="24"/>
        </w:rPr>
        <w:t> </w:t>
      </w:r>
      <w:r>
        <w:rPr>
          <w:i/>
          <w:color w:val="231F20"/>
          <w:spacing w:val="-2"/>
          <w:sz w:val="24"/>
        </w:rPr>
        <w:t>Woods.</w:t>
      </w:r>
      <w:r>
        <w:rPr>
          <w:i/>
          <w:color w:val="231F20"/>
          <w:spacing w:val="-13"/>
          <w:sz w:val="24"/>
        </w:rPr>
        <w:t> </w:t>
      </w:r>
      <w:r>
        <w:rPr>
          <w:i/>
          <w:color w:val="231F20"/>
          <w:spacing w:val="-2"/>
          <w:sz w:val="24"/>
        </w:rPr>
        <w:t>Depuis</w:t>
      </w:r>
      <w:r>
        <w:rPr>
          <w:i/>
          <w:color w:val="231F20"/>
          <w:spacing w:val="-13"/>
          <w:sz w:val="24"/>
        </w:rPr>
        <w:t> </w:t>
      </w:r>
      <w:r>
        <w:rPr>
          <w:i/>
          <w:color w:val="231F20"/>
          <w:spacing w:val="-2"/>
          <w:sz w:val="24"/>
        </w:rPr>
        <w:t>son</w:t>
      </w:r>
      <w:r>
        <w:rPr>
          <w:i/>
          <w:color w:val="231F20"/>
          <w:spacing w:val="-13"/>
          <w:sz w:val="24"/>
        </w:rPr>
        <w:t> </w:t>
      </w:r>
      <w:r>
        <w:rPr>
          <w:i/>
          <w:color w:val="231F20"/>
          <w:spacing w:val="-2"/>
          <w:sz w:val="24"/>
        </w:rPr>
        <w:t>accession</w:t>
      </w:r>
      <w:r>
        <w:rPr>
          <w:i/>
          <w:color w:val="231F20"/>
          <w:spacing w:val="-13"/>
          <w:sz w:val="24"/>
        </w:rPr>
        <w:t> </w:t>
      </w:r>
      <w:r>
        <w:rPr>
          <w:i/>
          <w:color w:val="231F20"/>
          <w:spacing w:val="-2"/>
          <w:sz w:val="24"/>
        </w:rPr>
        <w:t>au</w:t>
      </w:r>
      <w:r>
        <w:rPr>
          <w:i/>
          <w:color w:val="231F20"/>
          <w:spacing w:val="-13"/>
          <w:sz w:val="24"/>
        </w:rPr>
        <w:t> </w:t>
      </w:r>
      <w:r>
        <w:rPr>
          <w:i/>
          <w:color w:val="231F20"/>
          <w:spacing w:val="-2"/>
          <w:sz w:val="24"/>
        </w:rPr>
        <w:t>pouvoir</w:t>
      </w:r>
      <w:r>
        <w:rPr>
          <w:i/>
          <w:color w:val="231F20"/>
          <w:spacing w:val="-13"/>
          <w:sz w:val="24"/>
        </w:rPr>
        <w:t> </w:t>
      </w:r>
      <w:r>
        <w:rPr>
          <w:i/>
          <w:color w:val="231F20"/>
          <w:spacing w:val="-2"/>
          <w:sz w:val="24"/>
        </w:rPr>
        <w:t>en</w:t>
      </w:r>
      <w:r>
        <w:rPr>
          <w:i/>
          <w:color w:val="231F20"/>
          <w:spacing w:val="-13"/>
          <w:sz w:val="24"/>
        </w:rPr>
        <w:t> </w:t>
      </w:r>
      <w:r>
        <w:rPr>
          <w:i/>
          <w:color w:val="231F20"/>
          <w:spacing w:val="-2"/>
          <w:sz w:val="24"/>
        </w:rPr>
        <w:t>2011, </w:t>
      </w:r>
      <w:r>
        <w:rPr>
          <w:i/>
          <w:color w:val="231F20"/>
          <w:sz w:val="24"/>
        </w:rPr>
        <w:t>les contrats de gré à gré pleuvent (centrale de Singrobo/Ahouaty, </w:t>
      </w:r>
      <w:r>
        <w:rPr>
          <w:i/>
          <w:color w:val="231F20"/>
          <w:spacing w:val="-4"/>
          <w:sz w:val="24"/>
        </w:rPr>
        <w:t>barrages</w:t>
      </w:r>
      <w:r>
        <w:rPr>
          <w:i/>
          <w:color w:val="231F20"/>
          <w:spacing w:val="-11"/>
          <w:sz w:val="24"/>
        </w:rPr>
        <w:t> </w:t>
      </w:r>
      <w:r>
        <w:rPr>
          <w:i/>
          <w:color w:val="231F20"/>
          <w:spacing w:val="-4"/>
          <w:sz w:val="24"/>
        </w:rPr>
        <w:t>sur</w:t>
      </w:r>
      <w:r>
        <w:rPr>
          <w:i/>
          <w:color w:val="231F20"/>
          <w:spacing w:val="-11"/>
          <w:sz w:val="24"/>
        </w:rPr>
        <w:t> </w:t>
      </w:r>
      <w:r>
        <w:rPr>
          <w:i/>
          <w:color w:val="231F20"/>
          <w:spacing w:val="-4"/>
          <w:sz w:val="24"/>
        </w:rPr>
        <w:t>la</w:t>
      </w:r>
      <w:r>
        <w:rPr>
          <w:i/>
          <w:color w:val="231F20"/>
          <w:spacing w:val="-11"/>
          <w:sz w:val="24"/>
        </w:rPr>
        <w:t> </w:t>
      </w:r>
      <w:r>
        <w:rPr>
          <w:i/>
          <w:color w:val="231F20"/>
          <w:spacing w:val="-4"/>
          <w:sz w:val="24"/>
        </w:rPr>
        <w:t>Comoé,</w:t>
      </w:r>
      <w:r>
        <w:rPr>
          <w:i/>
          <w:color w:val="231F20"/>
          <w:spacing w:val="-11"/>
          <w:sz w:val="24"/>
        </w:rPr>
        <w:t> </w:t>
      </w:r>
      <w:r>
        <w:rPr>
          <w:i/>
          <w:color w:val="231F20"/>
          <w:spacing w:val="-4"/>
          <w:sz w:val="24"/>
        </w:rPr>
        <w:t>autoroute</w:t>
      </w:r>
      <w:r>
        <w:rPr>
          <w:i/>
          <w:color w:val="231F20"/>
          <w:spacing w:val="-11"/>
          <w:sz w:val="24"/>
        </w:rPr>
        <w:t> </w:t>
      </w:r>
      <w:r>
        <w:rPr>
          <w:i/>
          <w:color w:val="231F20"/>
          <w:spacing w:val="-4"/>
          <w:sz w:val="24"/>
        </w:rPr>
        <w:t>Abidjan/Bassam…)</w:t>
      </w:r>
      <w:r>
        <w:rPr>
          <w:i/>
          <w:color w:val="231F20"/>
          <w:spacing w:val="-11"/>
          <w:sz w:val="24"/>
        </w:rPr>
        <w:t> </w:t>
      </w:r>
      <w:r>
        <w:rPr>
          <w:i/>
          <w:color w:val="231F20"/>
          <w:spacing w:val="-4"/>
          <w:sz w:val="24"/>
        </w:rPr>
        <w:t>sans</w:t>
      </w:r>
      <w:r>
        <w:rPr>
          <w:i/>
          <w:color w:val="231F20"/>
          <w:spacing w:val="-11"/>
          <w:sz w:val="24"/>
        </w:rPr>
        <w:t> </w:t>
      </w:r>
      <w:r>
        <w:rPr>
          <w:i/>
          <w:color w:val="231F20"/>
          <w:spacing w:val="-4"/>
          <w:sz w:val="24"/>
        </w:rPr>
        <w:t>que</w:t>
      </w:r>
      <w:r>
        <w:rPr>
          <w:i/>
          <w:color w:val="231F20"/>
          <w:spacing w:val="-11"/>
          <w:sz w:val="24"/>
        </w:rPr>
        <w:t> </w:t>
      </w:r>
      <w:r>
        <w:rPr>
          <w:i/>
          <w:color w:val="231F20"/>
          <w:spacing w:val="-4"/>
          <w:sz w:val="24"/>
        </w:rPr>
        <w:t>la</w:t>
      </w:r>
      <w:r>
        <w:rPr>
          <w:i/>
          <w:color w:val="231F20"/>
          <w:spacing w:val="-11"/>
          <w:sz w:val="24"/>
        </w:rPr>
        <w:t> </w:t>
      </w:r>
      <w:r>
        <w:rPr>
          <w:i/>
          <w:color w:val="231F20"/>
          <w:spacing w:val="-4"/>
          <w:sz w:val="24"/>
        </w:rPr>
        <w:t>Banque </w:t>
      </w:r>
      <w:r>
        <w:rPr>
          <w:i/>
          <w:color w:val="231F20"/>
          <w:sz w:val="24"/>
        </w:rPr>
        <w:t>Mondiale,</w:t>
      </w:r>
      <w:r>
        <w:rPr>
          <w:i/>
          <w:color w:val="231F20"/>
          <w:spacing w:val="-5"/>
          <w:sz w:val="24"/>
        </w:rPr>
        <w:t> </w:t>
      </w:r>
      <w:r>
        <w:rPr>
          <w:i/>
          <w:color w:val="231F20"/>
          <w:sz w:val="24"/>
        </w:rPr>
        <w:t>très</w:t>
      </w:r>
      <w:r>
        <w:rPr>
          <w:i/>
          <w:color w:val="231F20"/>
          <w:spacing w:val="-4"/>
          <w:sz w:val="24"/>
        </w:rPr>
        <w:t> </w:t>
      </w:r>
      <w:r>
        <w:rPr>
          <w:i/>
          <w:color w:val="231F20"/>
          <w:sz w:val="24"/>
        </w:rPr>
        <w:t>sourcilleuse</w:t>
      </w:r>
      <w:r>
        <w:rPr>
          <w:i/>
          <w:color w:val="231F20"/>
          <w:spacing w:val="-2"/>
          <w:sz w:val="24"/>
        </w:rPr>
        <w:t> </w:t>
      </w:r>
      <w:r>
        <w:rPr>
          <w:i/>
          <w:color w:val="231F20"/>
          <w:sz w:val="24"/>
        </w:rPr>
        <w:t>sur</w:t>
      </w:r>
      <w:r>
        <w:rPr>
          <w:i/>
          <w:color w:val="231F20"/>
          <w:spacing w:val="-4"/>
          <w:sz w:val="24"/>
        </w:rPr>
        <w:t> </w:t>
      </w:r>
      <w:r>
        <w:rPr>
          <w:i/>
          <w:color w:val="231F20"/>
          <w:sz w:val="24"/>
        </w:rPr>
        <w:t>cette</w:t>
      </w:r>
      <w:r>
        <w:rPr>
          <w:i/>
          <w:color w:val="231F20"/>
          <w:spacing w:val="-2"/>
          <w:sz w:val="24"/>
        </w:rPr>
        <w:t> </w:t>
      </w:r>
      <w:r>
        <w:rPr>
          <w:i/>
          <w:color w:val="231F20"/>
          <w:sz w:val="24"/>
        </w:rPr>
        <w:t>question,</w:t>
      </w:r>
      <w:r>
        <w:rPr>
          <w:i/>
          <w:color w:val="231F20"/>
          <w:spacing w:val="-4"/>
          <w:sz w:val="24"/>
        </w:rPr>
        <w:t> </w:t>
      </w:r>
      <w:r>
        <w:rPr>
          <w:i/>
          <w:color w:val="231F20"/>
          <w:sz w:val="24"/>
        </w:rPr>
        <w:t>ne</w:t>
      </w:r>
      <w:r>
        <w:rPr>
          <w:i/>
          <w:color w:val="231F20"/>
          <w:spacing w:val="-5"/>
          <w:sz w:val="24"/>
        </w:rPr>
        <w:t> </w:t>
      </w:r>
      <w:r>
        <w:rPr>
          <w:i/>
          <w:color w:val="231F20"/>
          <w:sz w:val="24"/>
        </w:rPr>
        <w:t>bronche</w:t>
      </w:r>
      <w:r>
        <w:rPr>
          <w:i/>
          <w:color w:val="231F20"/>
          <w:spacing w:val="-3"/>
          <w:sz w:val="24"/>
        </w:rPr>
        <w:t> </w:t>
      </w:r>
      <w:r>
        <w:rPr>
          <w:i/>
          <w:color w:val="231F20"/>
          <w:sz w:val="24"/>
        </w:rPr>
        <w:t>(...)</w:t>
      </w:r>
      <w:r>
        <w:rPr>
          <w:i/>
          <w:color w:val="231F20"/>
          <w:spacing w:val="-4"/>
          <w:sz w:val="24"/>
        </w:rPr>
        <w:t> </w:t>
      </w:r>
      <w:r>
        <w:rPr>
          <w:i/>
          <w:color w:val="231F20"/>
          <w:sz w:val="24"/>
        </w:rPr>
        <w:t>En</w:t>
      </w:r>
      <w:r>
        <w:rPr>
          <w:i/>
          <w:color w:val="231F20"/>
          <w:spacing w:val="-2"/>
          <w:sz w:val="24"/>
        </w:rPr>
        <w:t> </w:t>
      </w:r>
      <w:r>
        <w:rPr>
          <w:i/>
          <w:color w:val="231F20"/>
          <w:sz w:val="24"/>
        </w:rPr>
        <w:t>Août </w:t>
      </w:r>
      <w:r>
        <w:rPr>
          <w:i/>
          <w:color w:val="231F20"/>
          <w:spacing w:val="-2"/>
          <w:sz w:val="24"/>
        </w:rPr>
        <w:t>2018,</w:t>
      </w:r>
      <w:r>
        <w:rPr>
          <w:i/>
          <w:color w:val="231F20"/>
          <w:spacing w:val="-11"/>
          <w:sz w:val="24"/>
        </w:rPr>
        <w:t> </w:t>
      </w:r>
      <w:r>
        <w:rPr>
          <w:i/>
          <w:color w:val="231F20"/>
          <w:spacing w:val="-2"/>
          <w:sz w:val="24"/>
        </w:rPr>
        <w:t>l’Union</w:t>
      </w:r>
      <w:r>
        <w:rPr>
          <w:i/>
          <w:color w:val="231F20"/>
          <w:spacing w:val="-11"/>
          <w:sz w:val="24"/>
        </w:rPr>
        <w:t> </w:t>
      </w:r>
      <w:r>
        <w:rPr>
          <w:i/>
          <w:color w:val="231F20"/>
          <w:spacing w:val="-2"/>
          <w:sz w:val="24"/>
        </w:rPr>
        <w:t>européenne</w:t>
      </w:r>
      <w:r>
        <w:rPr>
          <w:i/>
          <w:color w:val="231F20"/>
          <w:spacing w:val="-10"/>
          <w:sz w:val="24"/>
        </w:rPr>
        <w:t> </w:t>
      </w:r>
      <w:r>
        <w:rPr>
          <w:i/>
          <w:color w:val="231F20"/>
          <w:spacing w:val="-2"/>
          <w:sz w:val="24"/>
        </w:rPr>
        <w:t>s’est</w:t>
      </w:r>
      <w:r>
        <w:rPr>
          <w:i/>
          <w:color w:val="231F20"/>
          <w:spacing w:val="-11"/>
          <w:sz w:val="24"/>
        </w:rPr>
        <w:t> </w:t>
      </w:r>
      <w:r>
        <w:rPr>
          <w:i/>
          <w:color w:val="231F20"/>
          <w:spacing w:val="-2"/>
          <w:sz w:val="24"/>
        </w:rPr>
        <w:t>penchée</w:t>
      </w:r>
      <w:r>
        <w:rPr>
          <w:i/>
          <w:color w:val="231F20"/>
          <w:spacing w:val="-9"/>
          <w:sz w:val="24"/>
        </w:rPr>
        <w:t> </w:t>
      </w:r>
      <w:r>
        <w:rPr>
          <w:i/>
          <w:color w:val="231F20"/>
          <w:spacing w:val="-2"/>
          <w:sz w:val="24"/>
        </w:rPr>
        <w:t>dans</w:t>
      </w:r>
      <w:r>
        <w:rPr>
          <w:i/>
          <w:color w:val="231F20"/>
          <w:spacing w:val="-11"/>
          <w:sz w:val="24"/>
        </w:rPr>
        <w:t> </w:t>
      </w:r>
      <w:r>
        <w:rPr>
          <w:i/>
          <w:color w:val="231F20"/>
          <w:spacing w:val="-2"/>
          <w:sz w:val="24"/>
        </w:rPr>
        <w:t>un</w:t>
      </w:r>
      <w:r>
        <w:rPr>
          <w:i/>
          <w:color w:val="231F20"/>
          <w:spacing w:val="-9"/>
          <w:sz w:val="24"/>
        </w:rPr>
        <w:t> </w:t>
      </w:r>
      <w:r>
        <w:rPr>
          <w:i/>
          <w:color w:val="231F20"/>
          <w:spacing w:val="-2"/>
          <w:sz w:val="24"/>
        </w:rPr>
        <w:t>rapport</w:t>
      </w:r>
      <w:r>
        <w:rPr>
          <w:i/>
          <w:color w:val="231F20"/>
          <w:spacing w:val="-9"/>
          <w:sz w:val="24"/>
        </w:rPr>
        <w:t> </w:t>
      </w:r>
      <w:r>
        <w:rPr>
          <w:i/>
          <w:color w:val="231F20"/>
          <w:spacing w:val="-2"/>
          <w:sz w:val="24"/>
        </w:rPr>
        <w:t>sur</w:t>
      </w:r>
      <w:r>
        <w:rPr>
          <w:i/>
          <w:color w:val="231F20"/>
          <w:spacing w:val="-11"/>
          <w:sz w:val="24"/>
        </w:rPr>
        <w:t> </w:t>
      </w:r>
      <w:r>
        <w:rPr>
          <w:i/>
          <w:color w:val="231F20"/>
          <w:spacing w:val="-2"/>
          <w:sz w:val="24"/>
        </w:rPr>
        <w:t>la</w:t>
      </w:r>
      <w:r>
        <w:rPr>
          <w:i/>
          <w:color w:val="231F20"/>
          <w:spacing w:val="-11"/>
          <w:sz w:val="24"/>
        </w:rPr>
        <w:t> </w:t>
      </w:r>
      <w:r>
        <w:rPr>
          <w:i/>
          <w:color w:val="231F20"/>
          <w:spacing w:val="-2"/>
          <w:sz w:val="24"/>
        </w:rPr>
        <w:t>situation socio-politique</w:t>
      </w:r>
      <w:r>
        <w:rPr>
          <w:i/>
          <w:color w:val="231F20"/>
          <w:spacing w:val="-15"/>
          <w:sz w:val="24"/>
        </w:rPr>
        <w:t> </w:t>
      </w:r>
      <w:r>
        <w:rPr>
          <w:i/>
          <w:color w:val="231F20"/>
          <w:spacing w:val="-2"/>
          <w:sz w:val="24"/>
        </w:rPr>
        <w:t>et</w:t>
      </w:r>
      <w:r>
        <w:rPr>
          <w:i/>
          <w:color w:val="231F20"/>
          <w:spacing w:val="-13"/>
          <w:sz w:val="24"/>
        </w:rPr>
        <w:t> </w:t>
      </w:r>
      <w:r>
        <w:rPr>
          <w:i/>
          <w:color w:val="231F20"/>
          <w:spacing w:val="-2"/>
          <w:sz w:val="24"/>
        </w:rPr>
        <w:t>économique</w:t>
      </w:r>
      <w:r>
        <w:rPr>
          <w:i/>
          <w:color w:val="231F20"/>
          <w:spacing w:val="-13"/>
          <w:sz w:val="24"/>
        </w:rPr>
        <w:t> </w:t>
      </w:r>
      <w:r>
        <w:rPr>
          <w:i/>
          <w:color w:val="231F20"/>
          <w:spacing w:val="-2"/>
          <w:sz w:val="24"/>
        </w:rPr>
        <w:t>de</w:t>
      </w:r>
      <w:r>
        <w:rPr>
          <w:i/>
          <w:color w:val="231F20"/>
          <w:spacing w:val="-13"/>
          <w:sz w:val="24"/>
        </w:rPr>
        <w:t> </w:t>
      </w:r>
      <w:r>
        <w:rPr>
          <w:i/>
          <w:color w:val="231F20"/>
          <w:spacing w:val="-2"/>
          <w:sz w:val="24"/>
        </w:rPr>
        <w:t>la</w:t>
      </w:r>
      <w:r>
        <w:rPr>
          <w:i/>
          <w:color w:val="231F20"/>
          <w:spacing w:val="-13"/>
          <w:sz w:val="24"/>
        </w:rPr>
        <w:t> </w:t>
      </w:r>
      <w:r>
        <w:rPr>
          <w:i/>
          <w:color w:val="231F20"/>
          <w:spacing w:val="-2"/>
          <w:sz w:val="24"/>
        </w:rPr>
        <w:t>Côte</w:t>
      </w:r>
      <w:r>
        <w:rPr>
          <w:i/>
          <w:color w:val="231F20"/>
          <w:spacing w:val="-13"/>
          <w:sz w:val="24"/>
        </w:rPr>
        <w:t> </w:t>
      </w:r>
      <w:r>
        <w:rPr>
          <w:i/>
          <w:color w:val="231F20"/>
          <w:spacing w:val="-2"/>
          <w:sz w:val="24"/>
        </w:rPr>
        <w:t>d’Ivoire.</w:t>
      </w:r>
      <w:r>
        <w:rPr>
          <w:i/>
          <w:color w:val="231F20"/>
          <w:spacing w:val="-13"/>
          <w:sz w:val="24"/>
        </w:rPr>
        <w:t> </w:t>
      </w:r>
      <w:r>
        <w:rPr>
          <w:i/>
          <w:color w:val="231F20"/>
          <w:spacing w:val="-2"/>
          <w:sz w:val="24"/>
        </w:rPr>
        <w:t>Dans</w:t>
      </w:r>
      <w:r>
        <w:rPr>
          <w:i/>
          <w:color w:val="231F20"/>
          <w:spacing w:val="-13"/>
          <w:sz w:val="24"/>
        </w:rPr>
        <w:t> </w:t>
      </w:r>
      <w:r>
        <w:rPr>
          <w:i/>
          <w:color w:val="231F20"/>
          <w:spacing w:val="-2"/>
          <w:sz w:val="24"/>
        </w:rPr>
        <w:t>son</w:t>
      </w:r>
      <w:r>
        <w:rPr>
          <w:i/>
          <w:color w:val="231F20"/>
          <w:spacing w:val="-13"/>
          <w:sz w:val="24"/>
        </w:rPr>
        <w:t> </w:t>
      </w:r>
      <w:r>
        <w:rPr>
          <w:i/>
          <w:color w:val="231F20"/>
          <w:spacing w:val="-2"/>
          <w:sz w:val="24"/>
        </w:rPr>
        <w:t>rapport,</w:t>
      </w:r>
      <w:r>
        <w:rPr>
          <w:i/>
          <w:color w:val="231F20"/>
          <w:spacing w:val="-13"/>
          <w:sz w:val="24"/>
        </w:rPr>
        <w:t> </w:t>
      </w:r>
      <w:r>
        <w:rPr>
          <w:i/>
          <w:color w:val="231F20"/>
          <w:spacing w:val="-2"/>
          <w:sz w:val="24"/>
        </w:rPr>
        <w:t>elle </w:t>
      </w:r>
      <w:r>
        <w:rPr>
          <w:i/>
          <w:color w:val="231F20"/>
          <w:sz w:val="24"/>
        </w:rPr>
        <w:t>dénonce:</w:t>
      </w:r>
      <w:r>
        <w:rPr>
          <w:i/>
          <w:color w:val="231F20"/>
          <w:spacing w:val="-1"/>
          <w:sz w:val="24"/>
        </w:rPr>
        <w:t> </w:t>
      </w:r>
      <w:r>
        <w:rPr>
          <w:i/>
          <w:color w:val="231F20"/>
          <w:sz w:val="24"/>
        </w:rPr>
        <w:t>«</w:t>
      </w:r>
      <w:r>
        <w:rPr>
          <w:i/>
          <w:color w:val="231F20"/>
          <w:spacing w:val="-15"/>
          <w:sz w:val="24"/>
        </w:rPr>
        <w:t> </w:t>
      </w:r>
      <w:r>
        <w:rPr>
          <w:i/>
          <w:color w:val="231F20"/>
          <w:sz w:val="24"/>
        </w:rPr>
        <w:t>les dérives autoritaires du pouvoir Ouattara, la corruption </w:t>
      </w:r>
      <w:r>
        <w:rPr>
          <w:i/>
          <w:color w:val="231F20"/>
          <w:spacing w:val="-2"/>
          <w:sz w:val="24"/>
        </w:rPr>
        <w:t>érigée</w:t>
      </w:r>
      <w:r>
        <w:rPr>
          <w:i/>
          <w:color w:val="231F20"/>
          <w:spacing w:val="-9"/>
          <w:sz w:val="24"/>
        </w:rPr>
        <w:t> </w:t>
      </w:r>
      <w:r>
        <w:rPr>
          <w:i/>
          <w:color w:val="231F20"/>
          <w:spacing w:val="-2"/>
          <w:sz w:val="24"/>
        </w:rPr>
        <w:t>en</w:t>
      </w:r>
      <w:r>
        <w:rPr>
          <w:i/>
          <w:color w:val="231F20"/>
          <w:spacing w:val="-9"/>
          <w:sz w:val="24"/>
        </w:rPr>
        <w:t> </w:t>
      </w:r>
      <w:r>
        <w:rPr>
          <w:i/>
          <w:color w:val="231F20"/>
          <w:spacing w:val="-2"/>
          <w:sz w:val="24"/>
        </w:rPr>
        <w:t>mode</w:t>
      </w:r>
      <w:r>
        <w:rPr>
          <w:i/>
          <w:color w:val="231F20"/>
          <w:spacing w:val="-9"/>
          <w:sz w:val="24"/>
        </w:rPr>
        <w:t> </w:t>
      </w:r>
      <w:r>
        <w:rPr>
          <w:i/>
          <w:color w:val="231F20"/>
          <w:spacing w:val="-2"/>
          <w:sz w:val="24"/>
        </w:rPr>
        <w:t>de</w:t>
      </w:r>
      <w:r>
        <w:rPr>
          <w:i/>
          <w:color w:val="231F20"/>
          <w:spacing w:val="-9"/>
          <w:sz w:val="24"/>
        </w:rPr>
        <w:t> </w:t>
      </w:r>
      <w:r>
        <w:rPr>
          <w:i/>
          <w:color w:val="231F20"/>
          <w:spacing w:val="-2"/>
          <w:sz w:val="24"/>
        </w:rPr>
        <w:t>gouvernance,</w:t>
      </w:r>
      <w:r>
        <w:rPr>
          <w:i/>
          <w:color w:val="231F20"/>
          <w:spacing w:val="-9"/>
          <w:sz w:val="24"/>
        </w:rPr>
        <w:t> </w:t>
      </w:r>
      <w:r>
        <w:rPr>
          <w:i/>
          <w:color w:val="231F20"/>
          <w:spacing w:val="-2"/>
          <w:sz w:val="24"/>
        </w:rPr>
        <w:t>les</w:t>
      </w:r>
      <w:r>
        <w:rPr>
          <w:i/>
          <w:color w:val="231F20"/>
          <w:spacing w:val="-12"/>
          <w:sz w:val="24"/>
        </w:rPr>
        <w:t> </w:t>
      </w:r>
      <w:r>
        <w:rPr>
          <w:i/>
          <w:color w:val="231F20"/>
          <w:spacing w:val="-2"/>
          <w:sz w:val="24"/>
        </w:rPr>
        <w:t>restrictions</w:t>
      </w:r>
      <w:r>
        <w:rPr>
          <w:i/>
          <w:color w:val="231F20"/>
          <w:spacing w:val="-9"/>
          <w:sz w:val="24"/>
        </w:rPr>
        <w:t> </w:t>
      </w:r>
      <w:r>
        <w:rPr>
          <w:i/>
          <w:color w:val="231F20"/>
          <w:spacing w:val="-2"/>
          <w:sz w:val="24"/>
        </w:rPr>
        <w:t>des</w:t>
      </w:r>
      <w:r>
        <w:rPr>
          <w:i/>
          <w:color w:val="231F20"/>
          <w:spacing w:val="-11"/>
          <w:sz w:val="24"/>
        </w:rPr>
        <w:t> </w:t>
      </w:r>
      <w:r>
        <w:rPr>
          <w:i/>
          <w:color w:val="231F20"/>
          <w:spacing w:val="-2"/>
          <w:sz w:val="24"/>
        </w:rPr>
        <w:t>libertés</w:t>
      </w:r>
      <w:r>
        <w:rPr>
          <w:i/>
          <w:color w:val="231F20"/>
          <w:spacing w:val="-9"/>
          <w:sz w:val="24"/>
        </w:rPr>
        <w:t> </w:t>
      </w:r>
      <w:r>
        <w:rPr>
          <w:i/>
          <w:color w:val="231F20"/>
          <w:spacing w:val="-2"/>
          <w:sz w:val="24"/>
        </w:rPr>
        <w:t>politiques</w:t>
      </w:r>
      <w:r>
        <w:rPr>
          <w:i/>
          <w:color w:val="231F20"/>
          <w:spacing w:val="-9"/>
          <w:sz w:val="24"/>
        </w:rPr>
        <w:t> </w:t>
      </w:r>
      <w:r>
        <w:rPr>
          <w:i/>
          <w:color w:val="231F20"/>
          <w:spacing w:val="-2"/>
          <w:sz w:val="24"/>
        </w:rPr>
        <w:t>et </w:t>
      </w:r>
      <w:r>
        <w:rPr>
          <w:i/>
          <w:color w:val="231F20"/>
          <w:sz w:val="24"/>
        </w:rPr>
        <w:t>les entraves à la liberté d’expression (…) »</w:t>
      </w:r>
      <w:r>
        <w:rPr>
          <w:color w:val="76787A"/>
          <w:sz w:val="24"/>
          <w:vertAlign w:val="superscript"/>
        </w:rPr>
        <w:t>270</w:t>
      </w:r>
      <w:r>
        <w:rPr>
          <w:i/>
          <w:color w:val="231F20"/>
          <w:sz w:val="24"/>
          <w:vertAlign w:val="baseline"/>
        </w:rPr>
        <w:t>.</w:t>
      </w:r>
    </w:p>
    <w:p>
      <w:pPr>
        <w:pStyle w:val="BodyText"/>
        <w:ind w:left="0"/>
        <w:jc w:val="left"/>
        <w:rPr>
          <w:i/>
          <w:sz w:val="20"/>
        </w:rPr>
      </w:pPr>
    </w:p>
    <w:p>
      <w:pPr>
        <w:pStyle w:val="BodyText"/>
        <w:ind w:left="0"/>
        <w:jc w:val="left"/>
        <w:rPr>
          <w:i/>
          <w:sz w:val="20"/>
        </w:rPr>
      </w:pPr>
    </w:p>
    <w:p>
      <w:pPr>
        <w:pStyle w:val="BodyText"/>
        <w:ind w:left="0"/>
        <w:jc w:val="left"/>
        <w:rPr>
          <w:i/>
          <w:sz w:val="20"/>
        </w:rPr>
      </w:pPr>
    </w:p>
    <w:p>
      <w:pPr>
        <w:pStyle w:val="BodyText"/>
        <w:spacing w:before="8"/>
        <w:ind w:left="0"/>
        <w:jc w:val="left"/>
        <w:rPr>
          <w:i/>
          <w:sz w:val="20"/>
        </w:rPr>
      </w:pPr>
      <w:r>
        <w:rPr/>
        <mc:AlternateContent>
          <mc:Choice Requires="wps">
            <w:drawing>
              <wp:anchor distT="0" distB="0" distL="0" distR="0" allowOverlap="1" layoutInCell="1" locked="0" behindDoc="1" simplePos="0" relativeHeight="487670272">
                <wp:simplePos x="0" y="0"/>
                <wp:positionH relativeFrom="page">
                  <wp:posOffset>629907</wp:posOffset>
                </wp:positionH>
                <wp:positionV relativeFrom="paragraph">
                  <wp:posOffset>166946</wp:posOffset>
                </wp:positionV>
                <wp:extent cx="1829435" cy="9525"/>
                <wp:effectExtent l="0" t="0" r="0" b="0"/>
                <wp:wrapTopAndBottom/>
                <wp:docPr id="195" name="Graphic 195"/>
                <wp:cNvGraphicFramePr>
                  <a:graphicFrameLocks/>
                </wp:cNvGraphicFramePr>
                <a:graphic>
                  <a:graphicData uri="http://schemas.microsoft.com/office/word/2010/wordprocessingShape">
                    <wps:wsp>
                      <wps:cNvPr id="195" name="Graphic 195"/>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3.14543pt;width:144.020pt;height:.72pt;mso-position-horizontal-relative:page;mso-position-vertical-relative:paragraph;z-index:-15646208;mso-wrap-distance-left:0;mso-wrap-distance-right:0" id="docshape193" filled="true" fillcolor="#231f20" stroked="false">
                <v:fill type="solid"/>
                <w10:wrap type="topAndBottom"/>
              </v:rect>
            </w:pict>
          </mc:Fallback>
        </mc:AlternateContent>
      </w:r>
    </w:p>
    <w:p>
      <w:pPr>
        <w:spacing w:before="91"/>
        <w:ind w:left="111" w:right="104" w:firstLine="0"/>
        <w:jc w:val="both"/>
        <w:rPr>
          <w:sz w:val="20"/>
        </w:rPr>
      </w:pPr>
      <w:r>
        <w:rPr>
          <w:i/>
          <w:color w:val="231F20"/>
          <w:sz w:val="20"/>
        </w:rPr>
        <w:t>10% du budget de l’Etat»</w:t>
      </w:r>
      <w:r>
        <w:rPr>
          <w:i/>
          <w:color w:val="231F20"/>
          <w:spacing w:val="-13"/>
          <w:sz w:val="20"/>
        </w:rPr>
        <w:t> </w:t>
      </w:r>
      <w:r>
        <w:rPr>
          <w:color w:val="231F20"/>
          <w:sz w:val="20"/>
        </w:rPr>
        <w:t>gabonais. Pour Robert Bourgi, l’avocat franco-libanais </w:t>
      </w:r>
      <w:r>
        <w:rPr>
          <w:color w:val="231F20"/>
          <w:spacing w:val="-2"/>
          <w:sz w:val="20"/>
        </w:rPr>
        <w:t>considéré</w:t>
      </w:r>
      <w:r>
        <w:rPr>
          <w:color w:val="231F20"/>
          <w:spacing w:val="-10"/>
          <w:sz w:val="20"/>
        </w:rPr>
        <w:t> </w:t>
      </w:r>
      <w:r>
        <w:rPr>
          <w:color w:val="231F20"/>
          <w:spacing w:val="-2"/>
          <w:sz w:val="20"/>
        </w:rPr>
        <w:t>comme</w:t>
      </w:r>
      <w:r>
        <w:rPr>
          <w:color w:val="231F20"/>
          <w:spacing w:val="-9"/>
          <w:sz w:val="20"/>
        </w:rPr>
        <w:t> </w:t>
      </w:r>
      <w:r>
        <w:rPr>
          <w:color w:val="231F20"/>
          <w:spacing w:val="-2"/>
          <w:sz w:val="20"/>
        </w:rPr>
        <w:t>un</w:t>
      </w:r>
      <w:r>
        <w:rPr>
          <w:color w:val="231F20"/>
          <w:spacing w:val="-11"/>
          <w:sz w:val="20"/>
        </w:rPr>
        <w:t> </w:t>
      </w:r>
      <w:r>
        <w:rPr>
          <w:color w:val="231F20"/>
          <w:spacing w:val="-2"/>
          <w:sz w:val="20"/>
        </w:rPr>
        <w:t>des</w:t>
      </w:r>
      <w:r>
        <w:rPr>
          <w:color w:val="231F20"/>
          <w:spacing w:val="-10"/>
          <w:sz w:val="20"/>
        </w:rPr>
        <w:t> </w:t>
      </w:r>
      <w:r>
        <w:rPr>
          <w:color w:val="231F20"/>
          <w:spacing w:val="-2"/>
          <w:sz w:val="20"/>
        </w:rPr>
        <w:t>«fils»</w:t>
      </w:r>
      <w:r>
        <w:rPr>
          <w:color w:val="231F20"/>
          <w:spacing w:val="-11"/>
          <w:sz w:val="20"/>
        </w:rPr>
        <w:t> </w:t>
      </w:r>
      <w:r>
        <w:rPr>
          <w:color w:val="231F20"/>
          <w:spacing w:val="-2"/>
          <w:sz w:val="20"/>
        </w:rPr>
        <w:t>d’Omar</w:t>
      </w:r>
      <w:r>
        <w:rPr>
          <w:color w:val="231F20"/>
          <w:spacing w:val="-9"/>
          <w:sz w:val="20"/>
        </w:rPr>
        <w:t> </w:t>
      </w:r>
      <w:r>
        <w:rPr>
          <w:color w:val="231F20"/>
          <w:spacing w:val="-2"/>
          <w:sz w:val="20"/>
        </w:rPr>
        <w:t>Bongo,</w:t>
      </w:r>
      <w:r>
        <w:rPr>
          <w:color w:val="231F20"/>
          <w:spacing w:val="-9"/>
          <w:sz w:val="20"/>
        </w:rPr>
        <w:t> </w:t>
      </w:r>
      <w:r>
        <w:rPr>
          <w:color w:val="231F20"/>
          <w:spacing w:val="-2"/>
          <w:sz w:val="20"/>
        </w:rPr>
        <w:t>cette</w:t>
      </w:r>
      <w:r>
        <w:rPr>
          <w:color w:val="231F20"/>
          <w:spacing w:val="-10"/>
          <w:sz w:val="20"/>
        </w:rPr>
        <w:t> </w:t>
      </w:r>
      <w:r>
        <w:rPr>
          <w:color w:val="231F20"/>
          <w:spacing w:val="-2"/>
          <w:sz w:val="20"/>
        </w:rPr>
        <w:t>estimation</w:t>
      </w:r>
      <w:r>
        <w:rPr>
          <w:color w:val="231F20"/>
          <w:spacing w:val="-9"/>
          <w:sz w:val="20"/>
        </w:rPr>
        <w:t> </w:t>
      </w:r>
      <w:r>
        <w:rPr>
          <w:color w:val="231F20"/>
          <w:spacing w:val="-2"/>
          <w:sz w:val="20"/>
        </w:rPr>
        <w:t>est</w:t>
      </w:r>
      <w:r>
        <w:rPr>
          <w:color w:val="231F20"/>
          <w:spacing w:val="-11"/>
          <w:sz w:val="20"/>
        </w:rPr>
        <w:t> </w:t>
      </w:r>
      <w:r>
        <w:rPr>
          <w:color w:val="231F20"/>
          <w:spacing w:val="-2"/>
          <w:sz w:val="20"/>
        </w:rPr>
        <w:t>loin</w:t>
      </w:r>
      <w:r>
        <w:rPr>
          <w:color w:val="231F20"/>
          <w:spacing w:val="-10"/>
          <w:sz w:val="20"/>
        </w:rPr>
        <w:t> </w:t>
      </w:r>
      <w:r>
        <w:rPr>
          <w:color w:val="231F20"/>
          <w:spacing w:val="-2"/>
          <w:sz w:val="20"/>
        </w:rPr>
        <w:t>du</w:t>
      </w:r>
      <w:r>
        <w:rPr>
          <w:color w:val="231F20"/>
          <w:spacing w:val="-9"/>
          <w:sz w:val="20"/>
        </w:rPr>
        <w:t> </w:t>
      </w:r>
      <w:r>
        <w:rPr>
          <w:color w:val="231F20"/>
          <w:spacing w:val="-2"/>
          <w:sz w:val="20"/>
        </w:rPr>
        <w:t>compte.</w:t>
      </w:r>
      <w:r>
        <w:rPr>
          <w:color w:val="231F20"/>
          <w:spacing w:val="-10"/>
          <w:sz w:val="20"/>
        </w:rPr>
        <w:t> </w:t>
      </w:r>
      <w:r>
        <w:rPr>
          <w:color w:val="231F20"/>
          <w:spacing w:val="-2"/>
          <w:sz w:val="20"/>
        </w:rPr>
        <w:t>Lui, </w:t>
      </w:r>
      <w:r>
        <w:rPr>
          <w:color w:val="231F20"/>
          <w:sz w:val="20"/>
        </w:rPr>
        <w:t>évoque 3 milliards d’euros.</w:t>
      </w:r>
    </w:p>
    <w:p>
      <w:pPr>
        <w:spacing w:before="2"/>
        <w:ind w:left="111" w:right="0" w:firstLine="0"/>
        <w:jc w:val="both"/>
        <w:rPr>
          <w:sz w:val="20"/>
        </w:rPr>
      </w:pPr>
      <w:r>
        <w:rPr>
          <w:color w:val="76787A"/>
          <w:spacing w:val="-4"/>
          <w:sz w:val="20"/>
          <w:vertAlign w:val="superscript"/>
        </w:rPr>
        <w:t>270</w:t>
      </w:r>
      <w:r>
        <w:rPr>
          <w:color w:val="282526"/>
          <w:spacing w:val="-4"/>
          <w:sz w:val="20"/>
          <w:vertAlign w:val="baseline"/>
        </w:rPr>
        <w:t>La</w:t>
      </w:r>
      <w:r>
        <w:rPr>
          <w:color w:val="282526"/>
          <w:spacing w:val="1"/>
          <w:sz w:val="20"/>
          <w:vertAlign w:val="baseline"/>
        </w:rPr>
        <w:t> </w:t>
      </w:r>
      <w:r>
        <w:rPr>
          <w:color w:val="282526"/>
          <w:spacing w:val="-4"/>
          <w:sz w:val="20"/>
          <w:vertAlign w:val="baseline"/>
        </w:rPr>
        <w:t>Lettre</w:t>
      </w:r>
      <w:r>
        <w:rPr>
          <w:color w:val="282526"/>
          <w:spacing w:val="-1"/>
          <w:sz w:val="20"/>
          <w:vertAlign w:val="baseline"/>
        </w:rPr>
        <w:t> </w:t>
      </w:r>
      <w:r>
        <w:rPr>
          <w:color w:val="282526"/>
          <w:spacing w:val="-4"/>
          <w:sz w:val="20"/>
          <w:vertAlign w:val="baseline"/>
        </w:rPr>
        <w:t>du</w:t>
      </w:r>
      <w:r>
        <w:rPr>
          <w:color w:val="282526"/>
          <w:spacing w:val="-2"/>
          <w:sz w:val="20"/>
          <w:vertAlign w:val="baseline"/>
        </w:rPr>
        <w:t> </w:t>
      </w:r>
      <w:r>
        <w:rPr>
          <w:color w:val="282526"/>
          <w:spacing w:val="-4"/>
          <w:sz w:val="20"/>
          <w:vertAlign w:val="baseline"/>
        </w:rPr>
        <w:t>Continent</w:t>
      </w:r>
      <w:r>
        <w:rPr>
          <w:color w:val="282526"/>
          <w:spacing w:val="-2"/>
          <w:sz w:val="20"/>
          <w:vertAlign w:val="baseline"/>
        </w:rPr>
        <w:t> </w:t>
      </w:r>
      <w:r>
        <w:rPr>
          <w:color w:val="282526"/>
          <w:spacing w:val="-4"/>
          <w:sz w:val="20"/>
          <w:vertAlign w:val="baseline"/>
        </w:rPr>
        <w:t>n°</w:t>
      </w:r>
      <w:r>
        <w:rPr>
          <w:color w:val="282526"/>
          <w:spacing w:val="-3"/>
          <w:sz w:val="20"/>
          <w:vertAlign w:val="baseline"/>
        </w:rPr>
        <w:t> </w:t>
      </w:r>
      <w:r>
        <w:rPr>
          <w:color w:val="282526"/>
          <w:spacing w:val="-4"/>
          <w:sz w:val="20"/>
          <w:vertAlign w:val="baseline"/>
        </w:rPr>
        <w:t>692,</w:t>
      </w:r>
      <w:r>
        <w:rPr>
          <w:color w:val="231F20"/>
          <w:spacing w:val="-4"/>
          <w:sz w:val="20"/>
          <w:vertAlign w:val="baseline"/>
        </w:rPr>
        <w:t>22</w:t>
      </w:r>
      <w:r>
        <w:rPr>
          <w:color w:val="231F20"/>
          <w:spacing w:val="-1"/>
          <w:sz w:val="20"/>
          <w:vertAlign w:val="baseline"/>
        </w:rPr>
        <w:t> </w:t>
      </w:r>
      <w:r>
        <w:rPr>
          <w:color w:val="231F20"/>
          <w:spacing w:val="-4"/>
          <w:sz w:val="20"/>
          <w:vertAlign w:val="baseline"/>
        </w:rPr>
        <w:t>octobre</w:t>
      </w:r>
      <w:r>
        <w:rPr>
          <w:color w:val="231F20"/>
          <w:spacing w:val="-3"/>
          <w:sz w:val="20"/>
          <w:vertAlign w:val="baseline"/>
        </w:rPr>
        <w:t> </w:t>
      </w:r>
      <w:r>
        <w:rPr>
          <w:color w:val="231F20"/>
          <w:spacing w:val="-4"/>
          <w:sz w:val="20"/>
          <w:vertAlign w:val="baseline"/>
        </w:rPr>
        <w:t>2014.</w:t>
      </w:r>
    </w:p>
    <w:p>
      <w:pPr>
        <w:spacing w:after="0"/>
        <w:jc w:val="both"/>
        <w:rPr>
          <w:sz w:val="20"/>
        </w:rPr>
        <w:sectPr>
          <w:pgSz w:w="8790" w:h="13610"/>
          <w:pgMar w:header="0" w:footer="802" w:top="1060" w:bottom="1000" w:left="880" w:right="880"/>
        </w:sectPr>
      </w:pPr>
    </w:p>
    <w:p>
      <w:pPr>
        <w:pStyle w:val="Heading2"/>
        <w:spacing w:before="66"/>
        <w:jc w:val="both"/>
      </w:pPr>
      <w:bookmarkStart w:name="_TOC_250003" w:id="40"/>
      <w:r>
        <w:rPr>
          <w:color w:val="231F20"/>
          <w:spacing w:val="-2"/>
        </w:rPr>
        <w:t>Des</w:t>
      </w:r>
      <w:r>
        <w:rPr>
          <w:color w:val="231F20"/>
          <w:spacing w:val="-12"/>
        </w:rPr>
        <w:t> </w:t>
      </w:r>
      <w:r>
        <w:rPr>
          <w:color w:val="231F20"/>
          <w:spacing w:val="-2"/>
        </w:rPr>
        <w:t>contre-pouvoirs</w:t>
      </w:r>
      <w:r>
        <w:rPr>
          <w:color w:val="231F20"/>
          <w:spacing w:val="-12"/>
        </w:rPr>
        <w:t> </w:t>
      </w:r>
      <w:r>
        <w:rPr>
          <w:color w:val="231F20"/>
          <w:spacing w:val="-2"/>
        </w:rPr>
        <w:t>sans</w:t>
      </w:r>
      <w:r>
        <w:rPr>
          <w:color w:val="231F20"/>
          <w:spacing w:val="-10"/>
        </w:rPr>
        <w:t> </w:t>
      </w:r>
      <w:r>
        <w:rPr>
          <w:color w:val="231F20"/>
          <w:spacing w:val="-2"/>
        </w:rPr>
        <w:t>pouvoir</w:t>
      </w:r>
      <w:r>
        <w:rPr>
          <w:color w:val="231F20"/>
          <w:spacing w:val="-10"/>
        </w:rPr>
        <w:t> </w:t>
      </w:r>
      <w:r>
        <w:rPr>
          <w:color w:val="231F20"/>
          <w:spacing w:val="-2"/>
        </w:rPr>
        <w:t>:</w:t>
      </w:r>
      <w:r>
        <w:rPr>
          <w:color w:val="231F20"/>
          <w:spacing w:val="-10"/>
        </w:rPr>
        <w:t> </w:t>
      </w:r>
      <w:r>
        <w:rPr>
          <w:color w:val="231F20"/>
          <w:spacing w:val="-2"/>
        </w:rPr>
        <w:t>ça</w:t>
      </w:r>
      <w:r>
        <w:rPr>
          <w:color w:val="231F20"/>
          <w:spacing w:val="-12"/>
        </w:rPr>
        <w:t> </w:t>
      </w:r>
      <w:r>
        <w:rPr>
          <w:color w:val="231F20"/>
          <w:spacing w:val="-2"/>
        </w:rPr>
        <w:t>suffit</w:t>
      </w:r>
      <w:r>
        <w:rPr>
          <w:color w:val="231F20"/>
          <w:spacing w:val="-9"/>
        </w:rPr>
        <w:t> </w:t>
      </w:r>
      <w:bookmarkEnd w:id="40"/>
      <w:r>
        <w:rPr>
          <w:color w:val="231F20"/>
          <w:spacing w:val="-10"/>
        </w:rPr>
        <w:t>!</w:t>
      </w:r>
    </w:p>
    <w:p>
      <w:pPr>
        <w:pStyle w:val="BodyText"/>
        <w:spacing w:before="120"/>
        <w:ind w:left="0"/>
        <w:jc w:val="left"/>
        <w:rPr>
          <w:b/>
        </w:rPr>
      </w:pPr>
    </w:p>
    <w:p>
      <w:pPr>
        <w:pStyle w:val="BodyText"/>
        <w:ind w:left="395"/>
      </w:pPr>
      <w:r>
        <w:rPr>
          <w:color w:val="231F20"/>
        </w:rPr>
        <w:t>Dans</w:t>
      </w:r>
      <w:r>
        <w:rPr>
          <w:color w:val="231F20"/>
          <w:spacing w:val="50"/>
        </w:rPr>
        <w:t> </w:t>
      </w:r>
      <w:r>
        <w:rPr>
          <w:color w:val="231F20"/>
        </w:rPr>
        <w:t>une</w:t>
      </w:r>
      <w:r>
        <w:rPr>
          <w:color w:val="231F20"/>
          <w:spacing w:val="52"/>
        </w:rPr>
        <w:t> </w:t>
      </w:r>
      <w:r>
        <w:rPr>
          <w:color w:val="231F20"/>
        </w:rPr>
        <w:t>démocratie,</w:t>
      </w:r>
      <w:r>
        <w:rPr>
          <w:color w:val="231F20"/>
          <w:spacing w:val="53"/>
        </w:rPr>
        <w:t> </w:t>
      </w:r>
      <w:r>
        <w:rPr>
          <w:color w:val="231F20"/>
        </w:rPr>
        <w:t>la</w:t>
      </w:r>
      <w:r>
        <w:rPr>
          <w:color w:val="231F20"/>
          <w:spacing w:val="52"/>
        </w:rPr>
        <w:t> </w:t>
      </w:r>
      <w:r>
        <w:rPr>
          <w:color w:val="231F20"/>
        </w:rPr>
        <w:t>séparation</w:t>
      </w:r>
      <w:r>
        <w:rPr>
          <w:color w:val="231F20"/>
          <w:spacing w:val="52"/>
        </w:rPr>
        <w:t> </w:t>
      </w:r>
      <w:r>
        <w:rPr>
          <w:color w:val="231F20"/>
        </w:rPr>
        <w:t>des</w:t>
      </w:r>
      <w:r>
        <w:rPr>
          <w:color w:val="231F20"/>
          <w:spacing w:val="53"/>
        </w:rPr>
        <w:t> </w:t>
      </w:r>
      <w:r>
        <w:rPr>
          <w:color w:val="231F20"/>
        </w:rPr>
        <w:t>pouvoirs</w:t>
      </w:r>
      <w:r>
        <w:rPr>
          <w:color w:val="231F20"/>
          <w:spacing w:val="52"/>
        </w:rPr>
        <w:t> </w:t>
      </w:r>
      <w:r>
        <w:rPr>
          <w:color w:val="231F20"/>
        </w:rPr>
        <w:t>est</w:t>
      </w:r>
      <w:r>
        <w:rPr>
          <w:color w:val="231F20"/>
          <w:spacing w:val="52"/>
        </w:rPr>
        <w:t> </w:t>
      </w:r>
      <w:r>
        <w:rPr>
          <w:color w:val="231F20"/>
        </w:rPr>
        <w:t>le</w:t>
      </w:r>
      <w:r>
        <w:rPr>
          <w:color w:val="231F20"/>
          <w:spacing w:val="53"/>
        </w:rPr>
        <w:t> </w:t>
      </w:r>
      <w:r>
        <w:rPr>
          <w:color w:val="231F20"/>
          <w:spacing w:val="-2"/>
        </w:rPr>
        <w:t>principe</w:t>
      </w:r>
    </w:p>
    <w:p>
      <w:pPr>
        <w:pStyle w:val="BodyText"/>
      </w:pPr>
      <w:r>
        <w:rPr>
          <w:color w:val="231F20"/>
          <w:spacing w:val="-2"/>
        </w:rPr>
        <w:t>politique</w:t>
      </w:r>
      <w:r>
        <w:rPr>
          <w:color w:val="231F20"/>
          <w:spacing w:val="-13"/>
        </w:rPr>
        <w:t> </w:t>
      </w:r>
      <w:r>
        <w:rPr>
          <w:color w:val="231F20"/>
          <w:spacing w:val="-2"/>
        </w:rPr>
        <w:t>qui</w:t>
      </w:r>
      <w:r>
        <w:rPr>
          <w:color w:val="231F20"/>
          <w:spacing w:val="-12"/>
        </w:rPr>
        <w:t> </w:t>
      </w:r>
      <w:r>
        <w:rPr>
          <w:color w:val="231F20"/>
          <w:spacing w:val="-2"/>
        </w:rPr>
        <w:t>organise</w:t>
      </w:r>
      <w:r>
        <w:rPr>
          <w:color w:val="231F20"/>
          <w:spacing w:val="-13"/>
        </w:rPr>
        <w:t> </w:t>
      </w:r>
      <w:r>
        <w:rPr>
          <w:color w:val="231F20"/>
          <w:spacing w:val="-2"/>
        </w:rPr>
        <w:t>l’État.</w:t>
      </w:r>
    </w:p>
    <w:p>
      <w:pPr>
        <w:pStyle w:val="BodyText"/>
        <w:spacing w:before="120"/>
        <w:ind w:right="106" w:firstLine="283"/>
      </w:pPr>
      <w:r>
        <w:rPr>
          <w:color w:val="231F20"/>
        </w:rPr>
        <w:t>Le</w:t>
      </w:r>
      <w:r>
        <w:rPr>
          <w:color w:val="231F20"/>
          <w:spacing w:val="-10"/>
        </w:rPr>
        <w:t> </w:t>
      </w:r>
      <w:r>
        <w:rPr>
          <w:color w:val="231F20"/>
        </w:rPr>
        <w:t>Pouvoir</w:t>
      </w:r>
      <w:r>
        <w:rPr>
          <w:color w:val="231F20"/>
          <w:spacing w:val="-12"/>
        </w:rPr>
        <w:t> </w:t>
      </w:r>
      <w:r>
        <w:rPr>
          <w:color w:val="231F20"/>
        </w:rPr>
        <w:t>Exécutif,</w:t>
      </w:r>
      <w:r>
        <w:rPr>
          <w:color w:val="231F20"/>
          <w:spacing w:val="-9"/>
        </w:rPr>
        <w:t> </w:t>
      </w:r>
      <w:r>
        <w:rPr>
          <w:color w:val="231F20"/>
        </w:rPr>
        <w:t>détenu</w:t>
      </w:r>
      <w:r>
        <w:rPr>
          <w:color w:val="231F20"/>
          <w:spacing w:val="-9"/>
        </w:rPr>
        <w:t> </w:t>
      </w:r>
      <w:r>
        <w:rPr>
          <w:color w:val="231F20"/>
        </w:rPr>
        <w:t>par</w:t>
      </w:r>
      <w:r>
        <w:rPr>
          <w:color w:val="231F20"/>
          <w:spacing w:val="-9"/>
        </w:rPr>
        <w:t> </w:t>
      </w:r>
      <w:r>
        <w:rPr>
          <w:color w:val="231F20"/>
        </w:rPr>
        <w:t>le</w:t>
      </w:r>
      <w:r>
        <w:rPr>
          <w:color w:val="231F20"/>
          <w:spacing w:val="-12"/>
        </w:rPr>
        <w:t> </w:t>
      </w:r>
      <w:r>
        <w:rPr>
          <w:color w:val="231F20"/>
        </w:rPr>
        <w:t>Chef</w:t>
      </w:r>
      <w:r>
        <w:rPr>
          <w:color w:val="231F20"/>
          <w:spacing w:val="-9"/>
        </w:rPr>
        <w:t> </w:t>
      </w:r>
      <w:r>
        <w:rPr>
          <w:color w:val="231F20"/>
        </w:rPr>
        <w:t>de</w:t>
      </w:r>
      <w:r>
        <w:rPr>
          <w:color w:val="231F20"/>
          <w:spacing w:val="-12"/>
        </w:rPr>
        <w:t> </w:t>
      </w:r>
      <w:r>
        <w:rPr>
          <w:color w:val="231F20"/>
        </w:rPr>
        <w:t>l’État</w:t>
      </w:r>
      <w:r>
        <w:rPr>
          <w:color w:val="231F20"/>
          <w:spacing w:val="-9"/>
        </w:rPr>
        <w:t> </w:t>
      </w:r>
      <w:r>
        <w:rPr>
          <w:color w:val="231F20"/>
        </w:rPr>
        <w:t>et</w:t>
      </w:r>
      <w:r>
        <w:rPr>
          <w:color w:val="231F20"/>
          <w:spacing w:val="-9"/>
        </w:rPr>
        <w:t> </w:t>
      </w:r>
      <w:r>
        <w:rPr>
          <w:color w:val="231F20"/>
        </w:rPr>
        <w:t>par</w:t>
      </w:r>
      <w:r>
        <w:rPr>
          <w:color w:val="231F20"/>
          <w:spacing w:val="-9"/>
        </w:rPr>
        <w:t> </w:t>
      </w:r>
      <w:r>
        <w:rPr>
          <w:color w:val="231F20"/>
        </w:rPr>
        <w:t>les</w:t>
      </w:r>
      <w:r>
        <w:rPr>
          <w:color w:val="231F20"/>
          <w:spacing w:val="-9"/>
        </w:rPr>
        <w:t> </w:t>
      </w:r>
      <w:r>
        <w:rPr>
          <w:color w:val="231F20"/>
        </w:rPr>
        <w:t>Membres du Gouvernement, gère la politique courante de l'État, exécute les lois votées au Parlement.</w:t>
      </w:r>
    </w:p>
    <w:p>
      <w:pPr>
        <w:pStyle w:val="BodyText"/>
        <w:spacing w:before="121"/>
        <w:ind w:right="104" w:firstLine="283"/>
      </w:pPr>
      <w:r>
        <w:rPr>
          <w:color w:val="231F20"/>
        </w:rPr>
        <w:t>Le Pouvoir législatif exercé par l’Assemblée Nationale et le Sénat, propose, vote la loi et fait l’évaluation des politiques menées par le Gouvernement ;</w:t>
      </w:r>
    </w:p>
    <w:p>
      <w:pPr>
        <w:pStyle w:val="BodyText"/>
        <w:spacing w:before="120"/>
        <w:ind w:right="107" w:firstLine="283"/>
      </w:pPr>
      <w:r>
        <w:rPr>
          <w:color w:val="231F20"/>
        </w:rPr>
        <w:t>Le</w:t>
      </w:r>
      <w:r>
        <w:rPr>
          <w:color w:val="231F20"/>
          <w:spacing w:val="-13"/>
        </w:rPr>
        <w:t> </w:t>
      </w:r>
      <w:r>
        <w:rPr>
          <w:color w:val="231F20"/>
        </w:rPr>
        <w:t>Pouvoir</w:t>
      </w:r>
      <w:r>
        <w:rPr>
          <w:color w:val="231F20"/>
          <w:spacing w:val="-15"/>
        </w:rPr>
        <w:t> </w:t>
      </w:r>
      <w:r>
        <w:rPr>
          <w:color w:val="231F20"/>
        </w:rPr>
        <w:t>juridictionnel</w:t>
      </w:r>
      <w:r>
        <w:rPr>
          <w:color w:val="231F20"/>
          <w:spacing w:val="-15"/>
        </w:rPr>
        <w:t> </w:t>
      </w:r>
      <w:r>
        <w:rPr>
          <w:color w:val="231F20"/>
        </w:rPr>
        <w:t>tranche</w:t>
      </w:r>
      <w:r>
        <w:rPr>
          <w:color w:val="231F20"/>
          <w:spacing w:val="-15"/>
        </w:rPr>
        <w:t> </w:t>
      </w:r>
      <w:r>
        <w:rPr>
          <w:color w:val="231F20"/>
        </w:rPr>
        <w:t>les</w:t>
      </w:r>
      <w:r>
        <w:rPr>
          <w:color w:val="231F20"/>
          <w:spacing w:val="-14"/>
        </w:rPr>
        <w:t> </w:t>
      </w:r>
      <w:r>
        <w:rPr>
          <w:color w:val="231F20"/>
        </w:rPr>
        <w:t>litiges</w:t>
      </w:r>
      <w:r>
        <w:rPr>
          <w:color w:val="231F20"/>
          <w:spacing w:val="-14"/>
        </w:rPr>
        <w:t> </w:t>
      </w:r>
      <w:r>
        <w:rPr>
          <w:color w:val="231F20"/>
        </w:rPr>
        <w:t>entre</w:t>
      </w:r>
      <w:r>
        <w:rPr>
          <w:color w:val="231F20"/>
          <w:spacing w:val="-15"/>
        </w:rPr>
        <w:t> </w:t>
      </w:r>
      <w:r>
        <w:rPr>
          <w:color w:val="231F20"/>
        </w:rPr>
        <w:t>les</w:t>
      </w:r>
      <w:r>
        <w:rPr>
          <w:color w:val="231F20"/>
          <w:spacing w:val="-13"/>
        </w:rPr>
        <w:t> </w:t>
      </w:r>
      <w:r>
        <w:rPr>
          <w:color w:val="231F20"/>
        </w:rPr>
        <w:t>acteurs</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vie quotidienne entre eux, ou avec les entités publiques, interprète</w:t>
      </w:r>
      <w:r>
        <w:rPr>
          <w:color w:val="231F20"/>
          <w:spacing w:val="-1"/>
        </w:rPr>
        <w:t> </w:t>
      </w:r>
      <w:r>
        <w:rPr>
          <w:color w:val="231F20"/>
        </w:rPr>
        <w:t>la</w:t>
      </w:r>
      <w:r>
        <w:rPr>
          <w:color w:val="231F20"/>
          <w:spacing w:val="-1"/>
        </w:rPr>
        <w:t> </w:t>
      </w:r>
      <w:r>
        <w:rPr>
          <w:color w:val="231F20"/>
        </w:rPr>
        <w:t>loi et évalue</w:t>
      </w:r>
      <w:r>
        <w:rPr>
          <w:color w:val="231F20"/>
          <w:spacing w:val="-6"/>
        </w:rPr>
        <w:t> </w:t>
      </w:r>
      <w:r>
        <w:rPr>
          <w:color w:val="231F20"/>
        </w:rPr>
        <w:t>en</w:t>
      </w:r>
      <w:r>
        <w:rPr>
          <w:color w:val="231F20"/>
          <w:spacing w:val="-8"/>
        </w:rPr>
        <w:t> </w:t>
      </w:r>
      <w:r>
        <w:rPr>
          <w:color w:val="231F20"/>
        </w:rPr>
        <w:t>toute</w:t>
      </w:r>
      <w:r>
        <w:rPr>
          <w:color w:val="231F20"/>
          <w:spacing w:val="-6"/>
        </w:rPr>
        <w:t> </w:t>
      </w:r>
      <w:r>
        <w:rPr>
          <w:color w:val="231F20"/>
        </w:rPr>
        <w:t>impartialité</w:t>
      </w:r>
      <w:r>
        <w:rPr>
          <w:color w:val="231F20"/>
          <w:spacing w:val="-6"/>
        </w:rPr>
        <w:t> </w:t>
      </w:r>
      <w:r>
        <w:rPr>
          <w:color w:val="231F20"/>
        </w:rPr>
        <w:t>les</w:t>
      </w:r>
      <w:r>
        <w:rPr>
          <w:color w:val="231F20"/>
          <w:spacing w:val="-6"/>
        </w:rPr>
        <w:t> </w:t>
      </w:r>
      <w:r>
        <w:rPr>
          <w:color w:val="231F20"/>
        </w:rPr>
        <w:t>affaires</w:t>
      </w:r>
      <w:r>
        <w:rPr>
          <w:color w:val="231F20"/>
          <w:spacing w:val="-8"/>
        </w:rPr>
        <w:t> </w:t>
      </w:r>
      <w:r>
        <w:rPr>
          <w:color w:val="231F20"/>
        </w:rPr>
        <w:t>qui</w:t>
      </w:r>
      <w:r>
        <w:rPr>
          <w:color w:val="231F20"/>
          <w:spacing w:val="-7"/>
        </w:rPr>
        <w:t> </w:t>
      </w:r>
      <w:r>
        <w:rPr>
          <w:color w:val="231F20"/>
        </w:rPr>
        <w:t>lui</w:t>
      </w:r>
      <w:r>
        <w:rPr>
          <w:color w:val="231F20"/>
          <w:spacing w:val="-4"/>
        </w:rPr>
        <w:t> </w:t>
      </w:r>
      <w:r>
        <w:rPr>
          <w:color w:val="231F20"/>
        </w:rPr>
        <w:t>sont</w:t>
      </w:r>
      <w:r>
        <w:rPr>
          <w:color w:val="231F20"/>
          <w:spacing w:val="-7"/>
        </w:rPr>
        <w:t> </w:t>
      </w:r>
      <w:r>
        <w:rPr>
          <w:color w:val="231F20"/>
        </w:rPr>
        <w:t>soumises.</w:t>
      </w:r>
    </w:p>
    <w:p>
      <w:pPr>
        <w:pStyle w:val="BodyText"/>
        <w:spacing w:before="120"/>
        <w:ind w:right="109" w:firstLine="283"/>
      </w:pPr>
      <w:r>
        <w:rPr>
          <w:color w:val="231F20"/>
        </w:rPr>
        <w:t>Cette</w:t>
      </w:r>
      <w:r>
        <w:rPr>
          <w:color w:val="231F20"/>
          <w:spacing w:val="-10"/>
        </w:rPr>
        <w:t> </w:t>
      </w:r>
      <w:r>
        <w:rPr>
          <w:color w:val="231F20"/>
        </w:rPr>
        <w:t>séparation</w:t>
      </w:r>
      <w:r>
        <w:rPr>
          <w:color w:val="231F20"/>
          <w:spacing w:val="-8"/>
        </w:rPr>
        <w:t> </w:t>
      </w:r>
      <w:r>
        <w:rPr>
          <w:color w:val="231F20"/>
        </w:rPr>
        <w:t>des</w:t>
      </w:r>
      <w:r>
        <w:rPr>
          <w:color w:val="231F20"/>
          <w:spacing w:val="-8"/>
        </w:rPr>
        <w:t> </w:t>
      </w:r>
      <w:r>
        <w:rPr>
          <w:color w:val="231F20"/>
        </w:rPr>
        <w:t>pouvoirs</w:t>
      </w:r>
      <w:r>
        <w:rPr>
          <w:color w:val="231F20"/>
          <w:spacing w:val="-8"/>
        </w:rPr>
        <w:t> </w:t>
      </w:r>
      <w:r>
        <w:rPr>
          <w:color w:val="231F20"/>
        </w:rPr>
        <w:t>est</w:t>
      </w:r>
      <w:r>
        <w:rPr>
          <w:color w:val="231F20"/>
          <w:spacing w:val="-9"/>
        </w:rPr>
        <w:t> </w:t>
      </w:r>
      <w:r>
        <w:rPr>
          <w:color w:val="231F20"/>
        </w:rPr>
        <w:t>assurée</w:t>
      </w:r>
      <w:r>
        <w:rPr>
          <w:color w:val="231F20"/>
          <w:spacing w:val="-9"/>
        </w:rPr>
        <w:t> </w:t>
      </w:r>
      <w:r>
        <w:rPr>
          <w:color w:val="231F20"/>
        </w:rPr>
        <w:t>par</w:t>
      </w:r>
      <w:r>
        <w:rPr>
          <w:color w:val="231F20"/>
          <w:spacing w:val="-10"/>
        </w:rPr>
        <w:t> </w:t>
      </w:r>
      <w:r>
        <w:rPr>
          <w:color w:val="231F20"/>
        </w:rPr>
        <w:t>le</w:t>
      </w:r>
      <w:r>
        <w:rPr>
          <w:color w:val="231F20"/>
          <w:spacing w:val="-9"/>
        </w:rPr>
        <w:t> </w:t>
      </w:r>
      <w:r>
        <w:rPr>
          <w:color w:val="231F20"/>
        </w:rPr>
        <w:t>mode</w:t>
      </w:r>
      <w:r>
        <w:rPr>
          <w:color w:val="231F20"/>
          <w:spacing w:val="-9"/>
        </w:rPr>
        <w:t> </w:t>
      </w:r>
      <w:r>
        <w:rPr>
          <w:color w:val="231F20"/>
        </w:rPr>
        <w:t>de</w:t>
      </w:r>
      <w:r>
        <w:rPr>
          <w:color w:val="231F20"/>
          <w:spacing w:val="-9"/>
        </w:rPr>
        <w:t> </w:t>
      </w:r>
      <w:r>
        <w:rPr>
          <w:color w:val="231F20"/>
        </w:rPr>
        <w:t>désignation des membres qui composent les trois fonctions et par les compétences qu'elles exercent.</w:t>
      </w:r>
    </w:p>
    <w:p>
      <w:pPr>
        <w:pStyle w:val="BodyText"/>
        <w:spacing w:before="120"/>
        <w:ind w:right="109" w:firstLine="283"/>
      </w:pPr>
      <w:r>
        <w:rPr>
          <w:color w:val="231F20"/>
          <w:spacing w:val="-2"/>
        </w:rPr>
        <w:t>Les</w:t>
      </w:r>
      <w:r>
        <w:rPr>
          <w:color w:val="231F20"/>
          <w:spacing w:val="-13"/>
        </w:rPr>
        <w:t> </w:t>
      </w:r>
      <w:r>
        <w:rPr>
          <w:color w:val="231F20"/>
          <w:spacing w:val="-2"/>
        </w:rPr>
        <w:t>Députés</w:t>
      </w:r>
      <w:r>
        <w:rPr>
          <w:color w:val="231F20"/>
          <w:spacing w:val="-13"/>
        </w:rPr>
        <w:t> </w:t>
      </w:r>
      <w:r>
        <w:rPr>
          <w:color w:val="231F20"/>
          <w:spacing w:val="-2"/>
        </w:rPr>
        <w:t>ne</w:t>
      </w:r>
      <w:r>
        <w:rPr>
          <w:color w:val="231F20"/>
          <w:spacing w:val="-13"/>
        </w:rPr>
        <w:t> </w:t>
      </w:r>
      <w:r>
        <w:rPr>
          <w:color w:val="231F20"/>
          <w:spacing w:val="-2"/>
        </w:rPr>
        <w:t>sont</w:t>
      </w:r>
      <w:r>
        <w:rPr>
          <w:color w:val="231F20"/>
          <w:spacing w:val="-13"/>
        </w:rPr>
        <w:t> </w:t>
      </w:r>
      <w:r>
        <w:rPr>
          <w:color w:val="231F20"/>
          <w:spacing w:val="-2"/>
        </w:rPr>
        <w:t>pas</w:t>
      </w:r>
      <w:r>
        <w:rPr>
          <w:color w:val="231F20"/>
          <w:spacing w:val="-13"/>
        </w:rPr>
        <w:t> </w:t>
      </w:r>
      <w:r>
        <w:rPr>
          <w:color w:val="231F20"/>
          <w:spacing w:val="-2"/>
        </w:rPr>
        <w:t>choisis</w:t>
      </w:r>
      <w:r>
        <w:rPr>
          <w:color w:val="231F20"/>
          <w:spacing w:val="-13"/>
        </w:rPr>
        <w:t> </w:t>
      </w:r>
      <w:r>
        <w:rPr>
          <w:color w:val="231F20"/>
          <w:spacing w:val="-2"/>
        </w:rPr>
        <w:t>par</w:t>
      </w:r>
      <w:r>
        <w:rPr>
          <w:color w:val="231F20"/>
          <w:spacing w:val="-13"/>
        </w:rPr>
        <w:t> </w:t>
      </w:r>
      <w:r>
        <w:rPr>
          <w:color w:val="231F20"/>
          <w:spacing w:val="-2"/>
        </w:rPr>
        <w:t>le</w:t>
      </w:r>
      <w:r>
        <w:rPr>
          <w:color w:val="231F20"/>
          <w:spacing w:val="-13"/>
        </w:rPr>
        <w:t> </w:t>
      </w:r>
      <w:r>
        <w:rPr>
          <w:color w:val="231F20"/>
          <w:spacing w:val="-2"/>
        </w:rPr>
        <w:t>Gouvernement</w:t>
      </w:r>
      <w:r>
        <w:rPr>
          <w:color w:val="231F20"/>
          <w:spacing w:val="-13"/>
        </w:rPr>
        <w:t> </w:t>
      </w:r>
      <w:r>
        <w:rPr>
          <w:color w:val="231F20"/>
          <w:spacing w:val="-2"/>
        </w:rPr>
        <w:t>mais</w:t>
      </w:r>
      <w:r>
        <w:rPr>
          <w:color w:val="231F20"/>
          <w:spacing w:val="-13"/>
        </w:rPr>
        <w:t> </w:t>
      </w:r>
      <w:r>
        <w:rPr>
          <w:color w:val="231F20"/>
          <w:spacing w:val="-2"/>
        </w:rPr>
        <w:t>élus</w:t>
      </w:r>
      <w:r>
        <w:rPr>
          <w:color w:val="231F20"/>
          <w:spacing w:val="-13"/>
        </w:rPr>
        <w:t> </w:t>
      </w:r>
      <w:r>
        <w:rPr>
          <w:color w:val="231F20"/>
          <w:spacing w:val="-2"/>
        </w:rPr>
        <w:t>par</w:t>
      </w:r>
      <w:r>
        <w:rPr>
          <w:color w:val="231F20"/>
          <w:spacing w:val="-13"/>
        </w:rPr>
        <w:t> </w:t>
      </w:r>
      <w:r>
        <w:rPr>
          <w:color w:val="231F20"/>
          <w:spacing w:val="-2"/>
        </w:rPr>
        <w:t>les citoyens</w:t>
      </w:r>
      <w:r>
        <w:rPr>
          <w:color w:val="231F20"/>
          <w:spacing w:val="-10"/>
        </w:rPr>
        <w:t> </w:t>
      </w:r>
      <w:r>
        <w:rPr>
          <w:color w:val="231F20"/>
          <w:spacing w:val="-2"/>
        </w:rPr>
        <w:t>pour</w:t>
      </w:r>
      <w:r>
        <w:rPr>
          <w:color w:val="231F20"/>
          <w:spacing w:val="-13"/>
        </w:rPr>
        <w:t> </w:t>
      </w:r>
      <w:r>
        <w:rPr>
          <w:color w:val="231F20"/>
          <w:spacing w:val="-2"/>
        </w:rPr>
        <w:t>les</w:t>
      </w:r>
      <w:r>
        <w:rPr>
          <w:color w:val="231F20"/>
          <w:spacing w:val="-11"/>
        </w:rPr>
        <w:t> </w:t>
      </w:r>
      <w:r>
        <w:rPr>
          <w:color w:val="231F20"/>
          <w:spacing w:val="-2"/>
        </w:rPr>
        <w:t>représenter.</w:t>
      </w:r>
      <w:r>
        <w:rPr>
          <w:color w:val="231F20"/>
          <w:spacing w:val="-11"/>
        </w:rPr>
        <w:t> </w:t>
      </w:r>
      <w:r>
        <w:rPr>
          <w:color w:val="231F20"/>
          <w:spacing w:val="-2"/>
        </w:rPr>
        <w:t>De</w:t>
      </w:r>
      <w:r>
        <w:rPr>
          <w:color w:val="231F20"/>
          <w:spacing w:val="-10"/>
        </w:rPr>
        <w:t> </w:t>
      </w:r>
      <w:r>
        <w:rPr>
          <w:color w:val="231F20"/>
          <w:spacing w:val="-2"/>
        </w:rPr>
        <w:t>la</w:t>
      </w:r>
      <w:r>
        <w:rPr>
          <w:color w:val="231F20"/>
          <w:spacing w:val="-11"/>
        </w:rPr>
        <w:t> </w:t>
      </w:r>
      <w:r>
        <w:rPr>
          <w:color w:val="231F20"/>
          <w:spacing w:val="-2"/>
        </w:rPr>
        <w:t>même</w:t>
      </w:r>
      <w:r>
        <w:rPr>
          <w:color w:val="231F20"/>
          <w:spacing w:val="-11"/>
        </w:rPr>
        <w:t> </w:t>
      </w:r>
      <w:r>
        <w:rPr>
          <w:color w:val="231F20"/>
          <w:spacing w:val="-2"/>
        </w:rPr>
        <w:t>manière,</w:t>
      </w:r>
      <w:r>
        <w:rPr>
          <w:color w:val="231F20"/>
          <w:spacing w:val="-13"/>
        </w:rPr>
        <w:t> </w:t>
      </w:r>
      <w:r>
        <w:rPr>
          <w:color w:val="231F20"/>
          <w:spacing w:val="-2"/>
        </w:rPr>
        <w:t>les</w:t>
      </w:r>
      <w:r>
        <w:rPr>
          <w:color w:val="231F20"/>
          <w:spacing w:val="-11"/>
        </w:rPr>
        <w:t> </w:t>
      </w:r>
      <w:r>
        <w:rPr>
          <w:color w:val="231F20"/>
          <w:spacing w:val="-2"/>
        </w:rPr>
        <w:t>Députés</w:t>
      </w:r>
      <w:r>
        <w:rPr>
          <w:color w:val="231F20"/>
          <w:spacing w:val="-11"/>
        </w:rPr>
        <w:t> </w:t>
      </w:r>
      <w:r>
        <w:rPr>
          <w:color w:val="231F20"/>
          <w:spacing w:val="-2"/>
        </w:rPr>
        <w:t>n'ont</w:t>
      </w:r>
      <w:r>
        <w:rPr>
          <w:color w:val="231F20"/>
          <w:spacing w:val="-10"/>
        </w:rPr>
        <w:t> </w:t>
      </w:r>
      <w:r>
        <w:rPr>
          <w:color w:val="231F20"/>
          <w:spacing w:val="-2"/>
        </w:rPr>
        <w:t>pas </w:t>
      </w:r>
      <w:r>
        <w:rPr>
          <w:color w:val="231F20"/>
        </w:rPr>
        <w:t>la prérogative de faire exécuter les lois sur le territoire, fonction qui revient au Gouvernement.</w:t>
      </w:r>
    </w:p>
    <w:p>
      <w:pPr>
        <w:pStyle w:val="BodyText"/>
        <w:spacing w:before="120"/>
        <w:ind w:left="395"/>
      </w:pPr>
      <w:r>
        <w:rPr>
          <w:color w:val="231F20"/>
        </w:rPr>
        <w:t>Dans</w:t>
      </w:r>
      <w:r>
        <w:rPr>
          <w:color w:val="231F20"/>
          <w:spacing w:val="-17"/>
        </w:rPr>
        <w:t> </w:t>
      </w:r>
      <w:r>
        <w:rPr>
          <w:color w:val="231F20"/>
        </w:rPr>
        <w:t>les</w:t>
      </w:r>
      <w:r>
        <w:rPr>
          <w:color w:val="231F20"/>
          <w:spacing w:val="-15"/>
        </w:rPr>
        <w:t> </w:t>
      </w:r>
      <w:r>
        <w:rPr>
          <w:color w:val="231F20"/>
        </w:rPr>
        <w:t>Républiques</w:t>
      </w:r>
      <w:r>
        <w:rPr>
          <w:color w:val="231F20"/>
          <w:spacing w:val="-15"/>
        </w:rPr>
        <w:t> </w:t>
      </w:r>
      <w:r>
        <w:rPr>
          <w:color w:val="231F20"/>
        </w:rPr>
        <w:t>d’Afrique</w:t>
      </w:r>
      <w:r>
        <w:rPr>
          <w:color w:val="231F20"/>
          <w:spacing w:val="-15"/>
        </w:rPr>
        <w:t> </w:t>
      </w:r>
      <w:r>
        <w:rPr>
          <w:color w:val="231F20"/>
        </w:rPr>
        <w:t>Noire</w:t>
      </w:r>
      <w:r>
        <w:rPr>
          <w:color w:val="231F20"/>
          <w:spacing w:val="-12"/>
        </w:rPr>
        <w:t> </w:t>
      </w:r>
      <w:r>
        <w:rPr>
          <w:color w:val="231F20"/>
        </w:rPr>
        <w:t>«</w:t>
      </w:r>
      <w:r>
        <w:rPr>
          <w:color w:val="231F20"/>
          <w:spacing w:val="-15"/>
        </w:rPr>
        <w:t> </w:t>
      </w:r>
      <w:r>
        <w:rPr>
          <w:color w:val="231F20"/>
        </w:rPr>
        <w:t>made</w:t>
      </w:r>
      <w:r>
        <w:rPr>
          <w:color w:val="231F20"/>
          <w:spacing w:val="-14"/>
        </w:rPr>
        <w:t> </w:t>
      </w:r>
      <w:r>
        <w:rPr>
          <w:color w:val="231F20"/>
        </w:rPr>
        <w:t>in</w:t>
      </w:r>
      <w:r>
        <w:rPr>
          <w:color w:val="231F20"/>
          <w:spacing w:val="-13"/>
        </w:rPr>
        <w:t> </w:t>
      </w:r>
      <w:r>
        <w:rPr>
          <w:color w:val="231F20"/>
        </w:rPr>
        <w:t>France</w:t>
      </w:r>
      <w:r>
        <w:rPr>
          <w:color w:val="231F20"/>
          <w:spacing w:val="-15"/>
        </w:rPr>
        <w:t> </w:t>
      </w:r>
      <w:r>
        <w:rPr>
          <w:color w:val="231F20"/>
        </w:rPr>
        <w:t>»,</w:t>
      </w:r>
      <w:r>
        <w:rPr>
          <w:color w:val="231F20"/>
          <w:spacing w:val="-11"/>
        </w:rPr>
        <w:t> </w:t>
      </w:r>
      <w:r>
        <w:rPr>
          <w:color w:val="231F20"/>
          <w:spacing w:val="-2"/>
        </w:rPr>
        <w:t>l’Exécutif</w:t>
      </w:r>
    </w:p>
    <w:p>
      <w:pPr>
        <w:pStyle w:val="BodyText"/>
      </w:pPr>
      <w:r>
        <w:rPr>
          <w:color w:val="231F20"/>
          <w:spacing w:val="-2"/>
        </w:rPr>
        <w:t>dicte</w:t>
      </w:r>
      <w:r>
        <w:rPr>
          <w:color w:val="231F20"/>
          <w:spacing w:val="-10"/>
        </w:rPr>
        <w:t> </w:t>
      </w:r>
      <w:r>
        <w:rPr>
          <w:color w:val="231F20"/>
          <w:spacing w:val="-2"/>
        </w:rPr>
        <w:t>sa</w:t>
      </w:r>
      <w:r>
        <w:rPr>
          <w:color w:val="231F20"/>
          <w:spacing w:val="-12"/>
        </w:rPr>
        <w:t> </w:t>
      </w:r>
      <w:r>
        <w:rPr>
          <w:color w:val="231F20"/>
          <w:spacing w:val="-2"/>
        </w:rPr>
        <w:t>loi</w:t>
      </w:r>
      <w:r>
        <w:rPr>
          <w:color w:val="231F20"/>
          <w:spacing w:val="-8"/>
        </w:rPr>
        <w:t> </w:t>
      </w:r>
      <w:r>
        <w:rPr>
          <w:color w:val="231F20"/>
          <w:spacing w:val="-2"/>
        </w:rPr>
        <w:t>aux</w:t>
      </w:r>
      <w:r>
        <w:rPr>
          <w:color w:val="231F20"/>
          <w:spacing w:val="-10"/>
        </w:rPr>
        <w:t> </w:t>
      </w:r>
      <w:r>
        <w:rPr>
          <w:color w:val="231F20"/>
          <w:spacing w:val="-2"/>
        </w:rPr>
        <w:t>Législateurs</w:t>
      </w:r>
      <w:r>
        <w:rPr>
          <w:color w:val="231F20"/>
          <w:spacing w:val="-9"/>
        </w:rPr>
        <w:t> </w:t>
      </w:r>
      <w:r>
        <w:rPr>
          <w:color w:val="231F20"/>
          <w:spacing w:val="-2"/>
        </w:rPr>
        <w:t>et</w:t>
      </w:r>
      <w:r>
        <w:rPr>
          <w:color w:val="231F20"/>
          <w:spacing w:val="-8"/>
        </w:rPr>
        <w:t> </w:t>
      </w:r>
      <w:r>
        <w:rPr>
          <w:color w:val="231F20"/>
          <w:spacing w:val="-2"/>
        </w:rPr>
        <w:t>aux</w:t>
      </w:r>
      <w:r>
        <w:rPr>
          <w:color w:val="231F20"/>
          <w:spacing w:val="-10"/>
        </w:rPr>
        <w:t> </w:t>
      </w:r>
      <w:r>
        <w:rPr>
          <w:color w:val="231F20"/>
          <w:spacing w:val="-2"/>
        </w:rPr>
        <w:t>Juges.</w:t>
      </w:r>
    </w:p>
    <w:p>
      <w:pPr>
        <w:pStyle w:val="BodyText"/>
        <w:spacing w:before="120"/>
        <w:ind w:right="108" w:firstLine="283"/>
      </w:pPr>
      <w:r>
        <w:rPr>
          <w:color w:val="231F20"/>
          <w:spacing w:val="-2"/>
        </w:rPr>
        <w:t>Le</w:t>
      </w:r>
      <w:r>
        <w:rPr>
          <w:color w:val="231F20"/>
          <w:spacing w:val="-15"/>
        </w:rPr>
        <w:t> </w:t>
      </w:r>
      <w:r>
        <w:rPr>
          <w:color w:val="231F20"/>
          <w:spacing w:val="-2"/>
        </w:rPr>
        <w:t>système</w:t>
      </w:r>
      <w:r>
        <w:rPr>
          <w:color w:val="231F20"/>
          <w:spacing w:val="-13"/>
        </w:rPr>
        <w:t> </w:t>
      </w:r>
      <w:r>
        <w:rPr>
          <w:color w:val="231F20"/>
          <w:spacing w:val="-2"/>
        </w:rPr>
        <w:t>judiciaire</w:t>
      </w:r>
      <w:r>
        <w:rPr>
          <w:color w:val="231F20"/>
          <w:spacing w:val="-13"/>
        </w:rPr>
        <w:t> </w:t>
      </w:r>
      <w:r>
        <w:rPr>
          <w:color w:val="231F20"/>
          <w:spacing w:val="-2"/>
        </w:rPr>
        <w:t>est</w:t>
      </w:r>
      <w:r>
        <w:rPr>
          <w:color w:val="231F20"/>
          <w:spacing w:val="-13"/>
        </w:rPr>
        <w:t> </w:t>
      </w:r>
      <w:r>
        <w:rPr>
          <w:color w:val="231F20"/>
          <w:spacing w:val="-2"/>
        </w:rPr>
        <w:t>au</w:t>
      </w:r>
      <w:r>
        <w:rPr>
          <w:color w:val="231F20"/>
          <w:spacing w:val="-13"/>
        </w:rPr>
        <w:t> </w:t>
      </w:r>
      <w:r>
        <w:rPr>
          <w:color w:val="231F20"/>
          <w:spacing w:val="-2"/>
        </w:rPr>
        <w:t>service</w:t>
      </w:r>
      <w:r>
        <w:rPr>
          <w:color w:val="231F20"/>
          <w:spacing w:val="-13"/>
        </w:rPr>
        <w:t> </w:t>
      </w:r>
      <w:r>
        <w:rPr>
          <w:color w:val="231F20"/>
          <w:spacing w:val="-2"/>
        </w:rPr>
        <w:t>du</w:t>
      </w:r>
      <w:r>
        <w:rPr>
          <w:color w:val="231F20"/>
          <w:spacing w:val="-13"/>
        </w:rPr>
        <w:t> </w:t>
      </w:r>
      <w:r>
        <w:rPr>
          <w:color w:val="231F20"/>
          <w:spacing w:val="-2"/>
        </w:rPr>
        <w:t>régime</w:t>
      </w:r>
      <w:r>
        <w:rPr>
          <w:color w:val="231F20"/>
          <w:spacing w:val="-13"/>
        </w:rPr>
        <w:t> </w:t>
      </w:r>
      <w:r>
        <w:rPr>
          <w:color w:val="231F20"/>
          <w:spacing w:val="-2"/>
        </w:rPr>
        <w:t>politique</w:t>
      </w:r>
      <w:r>
        <w:rPr>
          <w:color w:val="231F20"/>
          <w:spacing w:val="-13"/>
        </w:rPr>
        <w:t> </w:t>
      </w:r>
      <w:r>
        <w:rPr>
          <w:color w:val="231F20"/>
          <w:spacing w:val="-2"/>
        </w:rPr>
        <w:t>en</w:t>
      </w:r>
      <w:r>
        <w:rPr>
          <w:color w:val="231F20"/>
          <w:spacing w:val="-13"/>
        </w:rPr>
        <w:t> </w:t>
      </w:r>
      <w:r>
        <w:rPr>
          <w:color w:val="231F20"/>
          <w:spacing w:val="-2"/>
        </w:rPr>
        <w:t>place.</w:t>
      </w:r>
      <w:r>
        <w:rPr>
          <w:color w:val="231F20"/>
          <w:spacing w:val="-13"/>
        </w:rPr>
        <w:t> </w:t>
      </w:r>
      <w:r>
        <w:rPr>
          <w:color w:val="231F20"/>
          <w:spacing w:val="-2"/>
        </w:rPr>
        <w:t>Il</w:t>
      </w:r>
      <w:r>
        <w:rPr>
          <w:color w:val="231F20"/>
          <w:spacing w:val="-13"/>
        </w:rPr>
        <w:t> </w:t>
      </w:r>
      <w:r>
        <w:rPr>
          <w:color w:val="231F20"/>
          <w:spacing w:val="-2"/>
        </w:rPr>
        <w:t>est </w:t>
      </w:r>
      <w:r>
        <w:rPr>
          <w:color w:val="231F20"/>
        </w:rPr>
        <w:t>traversé par la corruption des Juges</w:t>
      </w:r>
      <w:r>
        <w:rPr>
          <w:color w:val="231F20"/>
          <w:spacing w:val="-11"/>
        </w:rPr>
        <w:t> </w:t>
      </w:r>
      <w:r>
        <w:rPr>
          <w:color w:val="231F20"/>
        </w:rPr>
        <w:t>: le droit se dit selon la couleur politique</w:t>
      </w:r>
      <w:r>
        <w:rPr>
          <w:color w:val="231F20"/>
          <w:spacing w:val="-3"/>
        </w:rPr>
        <w:t> </w:t>
      </w:r>
      <w:r>
        <w:rPr>
          <w:color w:val="231F20"/>
        </w:rPr>
        <w:t>ou</w:t>
      </w:r>
      <w:r>
        <w:rPr>
          <w:color w:val="231F20"/>
          <w:spacing w:val="-5"/>
        </w:rPr>
        <w:t> </w:t>
      </w:r>
      <w:r>
        <w:rPr>
          <w:color w:val="231F20"/>
        </w:rPr>
        <w:t>le</w:t>
      </w:r>
      <w:r>
        <w:rPr>
          <w:color w:val="231F20"/>
          <w:spacing w:val="-5"/>
        </w:rPr>
        <w:t> </w:t>
      </w:r>
      <w:r>
        <w:rPr>
          <w:color w:val="231F20"/>
        </w:rPr>
        <w:t>poids</w:t>
      </w:r>
      <w:r>
        <w:rPr>
          <w:color w:val="231F20"/>
          <w:spacing w:val="-2"/>
        </w:rPr>
        <w:t> </w:t>
      </w:r>
      <w:r>
        <w:rPr>
          <w:color w:val="231F20"/>
        </w:rPr>
        <w:t>du</w:t>
      </w:r>
      <w:r>
        <w:rPr>
          <w:color w:val="231F20"/>
          <w:spacing w:val="-3"/>
        </w:rPr>
        <w:t> </w:t>
      </w:r>
      <w:r>
        <w:rPr>
          <w:color w:val="231F20"/>
        </w:rPr>
        <w:t>portefeuille</w:t>
      </w:r>
      <w:r>
        <w:rPr>
          <w:color w:val="231F20"/>
          <w:spacing w:val="-3"/>
        </w:rPr>
        <w:t> </w:t>
      </w:r>
      <w:r>
        <w:rPr>
          <w:color w:val="231F20"/>
        </w:rPr>
        <w:t>du</w:t>
      </w:r>
      <w:r>
        <w:rPr>
          <w:color w:val="231F20"/>
          <w:spacing w:val="-3"/>
        </w:rPr>
        <w:t> </w:t>
      </w:r>
      <w:r>
        <w:rPr>
          <w:color w:val="231F20"/>
        </w:rPr>
        <w:t>justiciable.</w:t>
      </w:r>
    </w:p>
    <w:p>
      <w:pPr>
        <w:pStyle w:val="BodyText"/>
        <w:spacing w:before="121"/>
        <w:ind w:right="104" w:firstLine="283"/>
      </w:pPr>
      <w:r>
        <w:rPr>
          <w:color w:val="231F20"/>
        </w:rPr>
        <w:t>Le Conseil Constitutionnel qui incarne le pouvoir judiciaire, car il veille à la régularité des consultations électorales, à la légalité et la constitutionnalité des actes administratifs, des lois et règlements, à la </w:t>
      </w:r>
      <w:r>
        <w:rPr>
          <w:color w:val="231F20"/>
          <w:spacing w:val="-2"/>
        </w:rPr>
        <w:t>séparation</w:t>
      </w:r>
      <w:r>
        <w:rPr>
          <w:color w:val="231F20"/>
          <w:spacing w:val="-15"/>
        </w:rPr>
        <w:t> </w:t>
      </w:r>
      <w:r>
        <w:rPr>
          <w:color w:val="231F20"/>
          <w:spacing w:val="-2"/>
        </w:rPr>
        <w:t>du</w:t>
      </w:r>
      <w:r>
        <w:rPr>
          <w:color w:val="231F20"/>
          <w:spacing w:val="-13"/>
        </w:rPr>
        <w:t> </w:t>
      </w:r>
      <w:r>
        <w:rPr>
          <w:color w:val="231F20"/>
          <w:spacing w:val="-2"/>
        </w:rPr>
        <w:t>pouvoir</w:t>
      </w:r>
      <w:r>
        <w:rPr>
          <w:color w:val="231F20"/>
          <w:spacing w:val="-13"/>
        </w:rPr>
        <w:t> </w:t>
      </w:r>
      <w:r>
        <w:rPr>
          <w:color w:val="231F20"/>
          <w:spacing w:val="-2"/>
        </w:rPr>
        <w:t>entre</w:t>
      </w:r>
      <w:r>
        <w:rPr>
          <w:color w:val="231F20"/>
          <w:spacing w:val="-13"/>
        </w:rPr>
        <w:t> </w:t>
      </w:r>
      <w:r>
        <w:rPr>
          <w:color w:val="231F20"/>
          <w:spacing w:val="-2"/>
        </w:rPr>
        <w:t>l’exécutif,</w:t>
      </w:r>
      <w:r>
        <w:rPr>
          <w:color w:val="231F20"/>
          <w:spacing w:val="-13"/>
        </w:rPr>
        <w:t> </w:t>
      </w:r>
      <w:r>
        <w:rPr>
          <w:color w:val="231F20"/>
          <w:spacing w:val="-2"/>
        </w:rPr>
        <w:t>le</w:t>
      </w:r>
      <w:r>
        <w:rPr>
          <w:color w:val="231F20"/>
          <w:spacing w:val="-13"/>
        </w:rPr>
        <w:t> </w:t>
      </w:r>
      <w:r>
        <w:rPr>
          <w:color w:val="231F20"/>
          <w:spacing w:val="-2"/>
        </w:rPr>
        <w:t>législatif</w:t>
      </w:r>
      <w:r>
        <w:rPr>
          <w:color w:val="231F20"/>
          <w:spacing w:val="-13"/>
        </w:rPr>
        <w:t> </w:t>
      </w:r>
      <w:r>
        <w:rPr>
          <w:color w:val="231F20"/>
          <w:spacing w:val="-2"/>
        </w:rPr>
        <w:t>et</w:t>
      </w:r>
      <w:r>
        <w:rPr>
          <w:color w:val="231F20"/>
          <w:spacing w:val="-13"/>
        </w:rPr>
        <w:t> </w:t>
      </w:r>
      <w:r>
        <w:rPr>
          <w:color w:val="231F20"/>
          <w:spacing w:val="-2"/>
        </w:rPr>
        <w:t>le</w:t>
      </w:r>
      <w:r>
        <w:rPr>
          <w:color w:val="231F20"/>
          <w:spacing w:val="-13"/>
        </w:rPr>
        <w:t> </w:t>
      </w:r>
      <w:r>
        <w:rPr>
          <w:color w:val="231F20"/>
          <w:spacing w:val="-2"/>
        </w:rPr>
        <w:t>judiciaire,</w:t>
      </w:r>
      <w:r>
        <w:rPr>
          <w:color w:val="231F20"/>
          <w:spacing w:val="-13"/>
        </w:rPr>
        <w:t> </w:t>
      </w:r>
      <w:r>
        <w:rPr>
          <w:color w:val="231F20"/>
          <w:spacing w:val="-2"/>
        </w:rPr>
        <w:t>a</w:t>
      </w:r>
      <w:r>
        <w:rPr>
          <w:color w:val="231F20"/>
          <w:spacing w:val="-13"/>
        </w:rPr>
        <w:t> </w:t>
      </w:r>
      <w:r>
        <w:rPr>
          <w:color w:val="231F20"/>
          <w:spacing w:val="-2"/>
        </w:rPr>
        <w:t>perdu </w:t>
      </w:r>
      <w:r>
        <w:rPr>
          <w:color w:val="231F20"/>
        </w:rPr>
        <w:t>de sa crédibilité dans tous les États de l’Afrique francophone. À titre d’exemple, la reconnaissance par le Conseil des différents États, de la victoire aux élections présidentielles du candidat du Parti au pouvoir malgré des irrégularités graves dans le décompte des voix et des </w:t>
      </w:r>
      <w:r>
        <w:rPr>
          <w:color w:val="231F20"/>
          <w:spacing w:val="-4"/>
        </w:rPr>
        <w:t>protestations</w:t>
      </w:r>
      <w:r>
        <w:rPr>
          <w:color w:val="231F20"/>
          <w:spacing w:val="-5"/>
        </w:rPr>
        <w:t> </w:t>
      </w:r>
      <w:r>
        <w:rPr>
          <w:color w:val="231F20"/>
          <w:spacing w:val="-4"/>
        </w:rPr>
        <w:t>d’observateurs internationaux. En Côte</w:t>
      </w:r>
      <w:r>
        <w:rPr>
          <w:color w:val="231F20"/>
          <w:spacing w:val="-5"/>
        </w:rPr>
        <w:t> </w:t>
      </w:r>
      <w:r>
        <w:rPr>
          <w:color w:val="231F20"/>
          <w:spacing w:val="-4"/>
        </w:rPr>
        <w:t>d’Ivoire, après avoir déclaré Laurent Gbagbo</w:t>
      </w:r>
      <w:r>
        <w:rPr>
          <w:color w:val="231F20"/>
          <w:spacing w:val="-6"/>
        </w:rPr>
        <w:t> </w:t>
      </w:r>
      <w:r>
        <w:rPr>
          <w:color w:val="231F20"/>
          <w:spacing w:val="-4"/>
        </w:rPr>
        <w:t>vainqueur</w:t>
      </w:r>
      <w:r>
        <w:rPr>
          <w:color w:val="231F20"/>
          <w:spacing w:val="-6"/>
        </w:rPr>
        <w:t> </w:t>
      </w:r>
      <w:r>
        <w:rPr>
          <w:color w:val="231F20"/>
          <w:spacing w:val="-4"/>
        </w:rPr>
        <w:t>de l’élection présidentielle de</w:t>
      </w:r>
      <w:r>
        <w:rPr>
          <w:color w:val="231F20"/>
          <w:spacing w:val="-6"/>
        </w:rPr>
        <w:t> </w:t>
      </w:r>
      <w:r>
        <w:rPr>
          <w:color w:val="231F20"/>
          <w:spacing w:val="-4"/>
        </w:rPr>
        <w:t>2010, et </w:t>
      </w:r>
      <w:r>
        <w:rPr>
          <w:color w:val="231F20"/>
          <w:spacing w:val="-2"/>
        </w:rPr>
        <w:t>l’avoir</w:t>
      </w:r>
      <w:r>
        <w:rPr>
          <w:color w:val="231F20"/>
          <w:spacing w:val="-9"/>
        </w:rPr>
        <w:t> </w:t>
      </w:r>
      <w:r>
        <w:rPr>
          <w:color w:val="231F20"/>
          <w:spacing w:val="-2"/>
        </w:rPr>
        <w:t>investi</w:t>
      </w:r>
      <w:r>
        <w:rPr>
          <w:color w:val="231F20"/>
          <w:spacing w:val="-7"/>
        </w:rPr>
        <w:t> </w:t>
      </w:r>
      <w:r>
        <w:rPr>
          <w:color w:val="231F20"/>
          <w:spacing w:val="-2"/>
        </w:rPr>
        <w:t>Président</w:t>
      </w:r>
      <w:r>
        <w:rPr>
          <w:color w:val="231F20"/>
          <w:spacing w:val="-7"/>
        </w:rPr>
        <w:t> </w:t>
      </w:r>
      <w:r>
        <w:rPr>
          <w:color w:val="231F20"/>
          <w:spacing w:val="-2"/>
        </w:rPr>
        <w:t>de</w:t>
      </w:r>
      <w:r>
        <w:rPr>
          <w:color w:val="231F20"/>
          <w:spacing w:val="-7"/>
        </w:rPr>
        <w:t> </w:t>
      </w:r>
      <w:r>
        <w:rPr>
          <w:color w:val="231F20"/>
          <w:spacing w:val="-2"/>
        </w:rPr>
        <w:t>la</w:t>
      </w:r>
      <w:r>
        <w:rPr>
          <w:color w:val="231F20"/>
          <w:spacing w:val="-7"/>
        </w:rPr>
        <w:t> </w:t>
      </w:r>
      <w:r>
        <w:rPr>
          <w:color w:val="231F20"/>
          <w:spacing w:val="-2"/>
        </w:rPr>
        <w:t>République,</w:t>
      </w:r>
      <w:r>
        <w:rPr>
          <w:color w:val="231F20"/>
          <w:spacing w:val="-5"/>
        </w:rPr>
        <w:t> </w:t>
      </w:r>
      <w:r>
        <w:rPr>
          <w:color w:val="231F20"/>
          <w:spacing w:val="-2"/>
        </w:rPr>
        <w:t>le</w:t>
      </w:r>
      <w:r>
        <w:rPr>
          <w:color w:val="231F20"/>
          <w:spacing w:val="-9"/>
        </w:rPr>
        <w:t> </w:t>
      </w:r>
      <w:r>
        <w:rPr>
          <w:color w:val="231F20"/>
          <w:spacing w:val="-2"/>
        </w:rPr>
        <w:t>même</w:t>
      </w:r>
      <w:r>
        <w:rPr>
          <w:color w:val="231F20"/>
          <w:spacing w:val="-9"/>
        </w:rPr>
        <w:t> </w:t>
      </w:r>
      <w:r>
        <w:rPr>
          <w:color w:val="231F20"/>
          <w:spacing w:val="-2"/>
        </w:rPr>
        <w:t>Président</w:t>
      </w:r>
      <w:r>
        <w:rPr>
          <w:color w:val="231F20"/>
          <w:spacing w:val="-5"/>
        </w:rPr>
        <w:t> </w:t>
      </w:r>
      <w:r>
        <w:rPr>
          <w:color w:val="231F20"/>
          <w:spacing w:val="-2"/>
        </w:rPr>
        <w:t>du</w:t>
      </w:r>
      <w:r>
        <w:rPr>
          <w:color w:val="231F20"/>
          <w:spacing w:val="-6"/>
        </w:rPr>
        <w:t> </w:t>
      </w:r>
      <w:r>
        <w:rPr>
          <w:color w:val="231F20"/>
          <w:spacing w:val="-2"/>
        </w:rPr>
        <w:t>Conseil</w:t>
      </w:r>
    </w:p>
    <w:p>
      <w:pPr>
        <w:spacing w:after="0"/>
        <w:sectPr>
          <w:pgSz w:w="8790" w:h="13610"/>
          <w:pgMar w:header="0" w:footer="802" w:top="1060" w:bottom="1000" w:left="880" w:right="880"/>
        </w:sectPr>
      </w:pPr>
    </w:p>
    <w:p>
      <w:pPr>
        <w:pStyle w:val="BodyText"/>
        <w:spacing w:before="66"/>
        <w:ind w:right="110"/>
      </w:pPr>
      <w:r>
        <w:rPr>
          <w:color w:val="231F20"/>
        </w:rPr>
        <w:t>Constitutionnel</w:t>
      </w:r>
      <w:r>
        <w:rPr>
          <w:color w:val="231F20"/>
          <w:spacing w:val="-13"/>
        </w:rPr>
        <w:t> </w:t>
      </w:r>
      <w:r>
        <w:rPr>
          <w:color w:val="231F20"/>
        </w:rPr>
        <w:t>sera</w:t>
      </w:r>
      <w:r>
        <w:rPr>
          <w:color w:val="231F20"/>
          <w:spacing w:val="-11"/>
        </w:rPr>
        <w:t> </w:t>
      </w:r>
      <w:r>
        <w:rPr>
          <w:color w:val="231F20"/>
        </w:rPr>
        <w:t>ramené</w:t>
      </w:r>
      <w:r>
        <w:rPr>
          <w:color w:val="231F20"/>
          <w:spacing w:val="-11"/>
        </w:rPr>
        <w:t> </w:t>
      </w:r>
      <w:r>
        <w:rPr>
          <w:color w:val="231F20"/>
        </w:rPr>
        <w:t>manu</w:t>
      </w:r>
      <w:r>
        <w:rPr>
          <w:color w:val="231F20"/>
          <w:spacing w:val="-13"/>
        </w:rPr>
        <w:t> </w:t>
      </w:r>
      <w:r>
        <w:rPr>
          <w:color w:val="231F20"/>
        </w:rPr>
        <w:t>militari</w:t>
      </w:r>
      <w:r>
        <w:rPr>
          <w:color w:val="231F20"/>
          <w:spacing w:val="-13"/>
        </w:rPr>
        <w:t> </w:t>
      </w:r>
      <w:r>
        <w:rPr>
          <w:color w:val="231F20"/>
        </w:rPr>
        <w:t>pour</w:t>
      </w:r>
      <w:r>
        <w:rPr>
          <w:color w:val="231F20"/>
          <w:spacing w:val="-13"/>
        </w:rPr>
        <w:t> </w:t>
      </w:r>
      <w:r>
        <w:rPr>
          <w:color w:val="231F20"/>
        </w:rPr>
        <w:t>déclarer</w:t>
      </w:r>
      <w:r>
        <w:rPr>
          <w:color w:val="231F20"/>
          <w:spacing w:val="-12"/>
        </w:rPr>
        <w:t> </w:t>
      </w:r>
      <w:r>
        <w:rPr>
          <w:color w:val="231F20"/>
        </w:rPr>
        <w:t>l’adversaire</w:t>
      </w:r>
      <w:r>
        <w:rPr>
          <w:color w:val="231F20"/>
          <w:spacing w:val="-12"/>
        </w:rPr>
        <w:t> </w:t>
      </w:r>
      <w:r>
        <w:rPr>
          <w:color w:val="231F20"/>
        </w:rPr>
        <w:t>de Gbagbo, comme le véritable vainqueur…</w:t>
      </w:r>
    </w:p>
    <w:p>
      <w:pPr>
        <w:pStyle w:val="BodyText"/>
        <w:spacing w:before="120"/>
        <w:ind w:right="106" w:firstLine="283"/>
      </w:pPr>
      <w:r>
        <w:rPr>
          <w:color w:val="231F20"/>
        </w:rPr>
        <w:t>Les Organisations de la Société Civile (OSC) sont composées d’un large</w:t>
      </w:r>
      <w:r>
        <w:rPr>
          <w:color w:val="231F20"/>
          <w:spacing w:val="-14"/>
        </w:rPr>
        <w:t> </w:t>
      </w:r>
      <w:r>
        <w:rPr>
          <w:color w:val="231F20"/>
        </w:rPr>
        <w:t>éventail</w:t>
      </w:r>
      <w:r>
        <w:rPr>
          <w:color w:val="231F20"/>
          <w:spacing w:val="-14"/>
        </w:rPr>
        <w:t> </w:t>
      </w:r>
      <w:r>
        <w:rPr>
          <w:color w:val="231F20"/>
        </w:rPr>
        <w:t>d'Organisations</w:t>
      </w:r>
      <w:r>
        <w:rPr>
          <w:color w:val="231F20"/>
          <w:spacing w:val="-14"/>
        </w:rPr>
        <w:t> </w:t>
      </w:r>
      <w:r>
        <w:rPr>
          <w:color w:val="231F20"/>
        </w:rPr>
        <w:t>Non</w:t>
      </w:r>
      <w:r>
        <w:rPr>
          <w:color w:val="231F20"/>
          <w:spacing w:val="-14"/>
        </w:rPr>
        <w:t> </w:t>
      </w:r>
      <w:r>
        <w:rPr>
          <w:color w:val="231F20"/>
        </w:rPr>
        <w:t>Gouvernementales</w:t>
      </w:r>
      <w:r>
        <w:rPr>
          <w:color w:val="231F20"/>
          <w:spacing w:val="-14"/>
        </w:rPr>
        <w:t> </w:t>
      </w:r>
      <w:r>
        <w:rPr>
          <w:color w:val="231F20"/>
        </w:rPr>
        <w:t>(ONG)</w:t>
      </w:r>
      <w:r>
        <w:rPr>
          <w:color w:val="231F20"/>
          <w:spacing w:val="-14"/>
        </w:rPr>
        <w:t> </w:t>
      </w:r>
      <w:r>
        <w:rPr>
          <w:color w:val="231F20"/>
        </w:rPr>
        <w:t>à</w:t>
      </w:r>
      <w:r>
        <w:rPr>
          <w:color w:val="231F20"/>
          <w:spacing w:val="-15"/>
        </w:rPr>
        <w:t> </w:t>
      </w:r>
      <w:r>
        <w:rPr>
          <w:color w:val="231F20"/>
        </w:rPr>
        <w:t>but</w:t>
      </w:r>
      <w:r>
        <w:rPr>
          <w:color w:val="231F20"/>
          <w:spacing w:val="-15"/>
        </w:rPr>
        <w:t> </w:t>
      </w:r>
      <w:r>
        <w:rPr>
          <w:color w:val="231F20"/>
        </w:rPr>
        <w:t>non </w:t>
      </w:r>
      <w:r>
        <w:rPr>
          <w:color w:val="231F20"/>
          <w:spacing w:val="-2"/>
        </w:rPr>
        <w:t>lucratif.</w:t>
      </w:r>
      <w:r>
        <w:rPr>
          <w:color w:val="231F20"/>
          <w:spacing w:val="-8"/>
        </w:rPr>
        <w:t> </w:t>
      </w:r>
      <w:r>
        <w:rPr>
          <w:color w:val="231F20"/>
          <w:spacing w:val="-2"/>
        </w:rPr>
        <w:t>Elles</w:t>
      </w:r>
      <w:r>
        <w:rPr>
          <w:color w:val="231F20"/>
          <w:spacing w:val="-8"/>
        </w:rPr>
        <w:t> </w:t>
      </w:r>
      <w:r>
        <w:rPr>
          <w:color w:val="231F20"/>
          <w:spacing w:val="-2"/>
        </w:rPr>
        <w:t>se</w:t>
      </w:r>
      <w:r>
        <w:rPr>
          <w:color w:val="231F20"/>
          <w:spacing w:val="-8"/>
        </w:rPr>
        <w:t> </w:t>
      </w:r>
      <w:r>
        <w:rPr>
          <w:color w:val="231F20"/>
          <w:spacing w:val="-2"/>
        </w:rPr>
        <w:t>donnent</w:t>
      </w:r>
      <w:r>
        <w:rPr>
          <w:color w:val="231F20"/>
          <w:spacing w:val="-7"/>
        </w:rPr>
        <w:t> </w:t>
      </w:r>
      <w:r>
        <w:rPr>
          <w:color w:val="231F20"/>
          <w:spacing w:val="-2"/>
        </w:rPr>
        <w:t>pour</w:t>
      </w:r>
      <w:r>
        <w:rPr>
          <w:color w:val="231F20"/>
          <w:spacing w:val="-8"/>
        </w:rPr>
        <w:t> </w:t>
      </w:r>
      <w:r>
        <w:rPr>
          <w:color w:val="231F20"/>
          <w:spacing w:val="-2"/>
        </w:rPr>
        <w:t>mission,</w:t>
      </w:r>
      <w:r>
        <w:rPr>
          <w:color w:val="231F20"/>
          <w:spacing w:val="-8"/>
        </w:rPr>
        <w:t> </w:t>
      </w:r>
      <w:r>
        <w:rPr>
          <w:color w:val="231F20"/>
          <w:spacing w:val="-2"/>
        </w:rPr>
        <w:t>l’animation</w:t>
      </w:r>
      <w:r>
        <w:rPr>
          <w:color w:val="231F20"/>
          <w:spacing w:val="-8"/>
        </w:rPr>
        <w:t> </w:t>
      </w:r>
      <w:r>
        <w:rPr>
          <w:color w:val="231F20"/>
          <w:spacing w:val="-2"/>
        </w:rPr>
        <w:t>de</w:t>
      </w:r>
      <w:r>
        <w:rPr>
          <w:color w:val="231F20"/>
          <w:spacing w:val="-8"/>
        </w:rPr>
        <w:t> </w:t>
      </w:r>
      <w:r>
        <w:rPr>
          <w:color w:val="231F20"/>
          <w:spacing w:val="-2"/>
        </w:rPr>
        <w:t>la</w:t>
      </w:r>
      <w:r>
        <w:rPr>
          <w:color w:val="231F20"/>
          <w:spacing w:val="-8"/>
        </w:rPr>
        <w:t> </w:t>
      </w:r>
      <w:r>
        <w:rPr>
          <w:color w:val="231F20"/>
          <w:spacing w:val="-2"/>
        </w:rPr>
        <w:t>vie</w:t>
      </w:r>
      <w:r>
        <w:rPr>
          <w:color w:val="231F20"/>
          <w:spacing w:val="-9"/>
        </w:rPr>
        <w:t> </w:t>
      </w:r>
      <w:r>
        <w:rPr>
          <w:color w:val="231F20"/>
          <w:spacing w:val="-2"/>
        </w:rPr>
        <w:t>publique,</w:t>
      </w:r>
      <w:r>
        <w:rPr>
          <w:color w:val="231F20"/>
          <w:spacing w:val="-8"/>
        </w:rPr>
        <w:t> </w:t>
      </w:r>
      <w:r>
        <w:rPr>
          <w:color w:val="231F20"/>
          <w:spacing w:val="-2"/>
        </w:rPr>
        <w:t>la </w:t>
      </w:r>
      <w:r>
        <w:rPr>
          <w:color w:val="231F20"/>
        </w:rPr>
        <w:t>défense</w:t>
      </w:r>
      <w:r>
        <w:rPr>
          <w:color w:val="231F20"/>
          <w:spacing w:val="-8"/>
        </w:rPr>
        <w:t> </w:t>
      </w:r>
      <w:r>
        <w:rPr>
          <w:color w:val="231F20"/>
        </w:rPr>
        <w:t>des</w:t>
      </w:r>
      <w:r>
        <w:rPr>
          <w:color w:val="231F20"/>
          <w:spacing w:val="-8"/>
        </w:rPr>
        <w:t> </w:t>
      </w:r>
      <w:r>
        <w:rPr>
          <w:color w:val="231F20"/>
        </w:rPr>
        <w:t>intérêts</w:t>
      </w:r>
      <w:r>
        <w:rPr>
          <w:color w:val="231F20"/>
          <w:spacing w:val="-8"/>
        </w:rPr>
        <w:t> </w:t>
      </w:r>
      <w:r>
        <w:rPr>
          <w:color w:val="231F20"/>
        </w:rPr>
        <w:t>et</w:t>
      </w:r>
      <w:r>
        <w:rPr>
          <w:color w:val="231F20"/>
          <w:spacing w:val="-6"/>
        </w:rPr>
        <w:t> </w:t>
      </w:r>
      <w:r>
        <w:rPr>
          <w:color w:val="231F20"/>
        </w:rPr>
        <w:t>des</w:t>
      </w:r>
      <w:r>
        <w:rPr>
          <w:color w:val="231F20"/>
          <w:spacing w:val="-8"/>
        </w:rPr>
        <w:t> </w:t>
      </w:r>
      <w:r>
        <w:rPr>
          <w:color w:val="231F20"/>
        </w:rPr>
        <w:t>valeurs</w:t>
      </w:r>
      <w:r>
        <w:rPr>
          <w:color w:val="231F20"/>
          <w:spacing w:val="-8"/>
        </w:rPr>
        <w:t> </w:t>
      </w:r>
      <w:r>
        <w:rPr>
          <w:color w:val="231F20"/>
        </w:rPr>
        <w:t>basées</w:t>
      </w:r>
      <w:r>
        <w:rPr>
          <w:color w:val="231F20"/>
          <w:spacing w:val="-6"/>
        </w:rPr>
        <w:t> </w:t>
      </w:r>
      <w:r>
        <w:rPr>
          <w:color w:val="231F20"/>
        </w:rPr>
        <w:t>sur</w:t>
      </w:r>
      <w:r>
        <w:rPr>
          <w:color w:val="231F20"/>
          <w:spacing w:val="-8"/>
        </w:rPr>
        <w:t> </w:t>
      </w:r>
      <w:r>
        <w:rPr>
          <w:color w:val="231F20"/>
        </w:rPr>
        <w:t>des</w:t>
      </w:r>
      <w:r>
        <w:rPr>
          <w:color w:val="231F20"/>
          <w:spacing w:val="-8"/>
        </w:rPr>
        <w:t> </w:t>
      </w:r>
      <w:r>
        <w:rPr>
          <w:color w:val="231F20"/>
        </w:rPr>
        <w:t>considérations</w:t>
      </w:r>
      <w:r>
        <w:rPr>
          <w:color w:val="231F20"/>
          <w:spacing w:val="-8"/>
        </w:rPr>
        <w:t> </w:t>
      </w:r>
      <w:r>
        <w:rPr>
          <w:color w:val="231F20"/>
        </w:rPr>
        <w:t>d'ordre éthique,</w:t>
      </w:r>
      <w:r>
        <w:rPr>
          <w:color w:val="231F20"/>
          <w:spacing w:val="-15"/>
        </w:rPr>
        <w:t> </w:t>
      </w:r>
      <w:r>
        <w:rPr>
          <w:color w:val="231F20"/>
        </w:rPr>
        <w:t>culturel,</w:t>
      </w:r>
      <w:r>
        <w:rPr>
          <w:color w:val="231F20"/>
          <w:spacing w:val="-15"/>
        </w:rPr>
        <w:t> </w:t>
      </w:r>
      <w:r>
        <w:rPr>
          <w:color w:val="231F20"/>
        </w:rPr>
        <w:t>politique,</w:t>
      </w:r>
      <w:r>
        <w:rPr>
          <w:color w:val="231F20"/>
          <w:spacing w:val="-15"/>
        </w:rPr>
        <w:t> </w:t>
      </w:r>
      <w:r>
        <w:rPr>
          <w:color w:val="231F20"/>
        </w:rPr>
        <w:t>scientifique,</w:t>
      </w:r>
      <w:r>
        <w:rPr>
          <w:color w:val="231F20"/>
          <w:spacing w:val="-15"/>
        </w:rPr>
        <w:t> </w:t>
      </w:r>
      <w:r>
        <w:rPr>
          <w:color w:val="231F20"/>
        </w:rPr>
        <w:t>religieux</w:t>
      </w:r>
      <w:r>
        <w:rPr>
          <w:color w:val="231F20"/>
          <w:spacing w:val="-15"/>
        </w:rPr>
        <w:t> </w:t>
      </w:r>
      <w:r>
        <w:rPr>
          <w:color w:val="231F20"/>
        </w:rPr>
        <w:t>ou</w:t>
      </w:r>
      <w:r>
        <w:rPr>
          <w:color w:val="231F20"/>
          <w:spacing w:val="-15"/>
        </w:rPr>
        <w:t> </w:t>
      </w:r>
      <w:r>
        <w:rPr>
          <w:color w:val="231F20"/>
        </w:rPr>
        <w:t>philanthropique.</w:t>
      </w:r>
    </w:p>
    <w:p>
      <w:pPr>
        <w:pStyle w:val="BodyText"/>
        <w:spacing w:before="120"/>
        <w:ind w:left="395"/>
      </w:pPr>
      <w:r>
        <w:rPr>
          <w:color w:val="231F20"/>
        </w:rPr>
        <w:t>Elles</w:t>
      </w:r>
      <w:r>
        <w:rPr>
          <w:color w:val="231F20"/>
          <w:spacing w:val="-12"/>
        </w:rPr>
        <w:t> </w:t>
      </w:r>
      <w:r>
        <w:rPr>
          <w:color w:val="231F20"/>
        </w:rPr>
        <w:t>auraient</w:t>
      </w:r>
      <w:r>
        <w:rPr>
          <w:color w:val="231F20"/>
          <w:spacing w:val="-12"/>
        </w:rPr>
        <w:t> </w:t>
      </w:r>
      <w:r>
        <w:rPr>
          <w:color w:val="231F20"/>
        </w:rPr>
        <w:t>pu</w:t>
      </w:r>
      <w:r>
        <w:rPr>
          <w:color w:val="231F20"/>
          <w:spacing w:val="-11"/>
        </w:rPr>
        <w:t> </w:t>
      </w:r>
      <w:r>
        <w:rPr>
          <w:color w:val="231F20"/>
        </w:rPr>
        <w:t>jouer</w:t>
      </w:r>
      <w:r>
        <w:rPr>
          <w:color w:val="231F20"/>
          <w:spacing w:val="-13"/>
        </w:rPr>
        <w:t> </w:t>
      </w:r>
      <w:r>
        <w:rPr>
          <w:color w:val="231F20"/>
        </w:rPr>
        <w:t>un</w:t>
      </w:r>
      <w:r>
        <w:rPr>
          <w:color w:val="231F20"/>
          <w:spacing w:val="-11"/>
        </w:rPr>
        <w:t> </w:t>
      </w:r>
      <w:r>
        <w:rPr>
          <w:color w:val="231F20"/>
        </w:rPr>
        <w:t>rôle</w:t>
      </w:r>
      <w:r>
        <w:rPr>
          <w:color w:val="231F20"/>
          <w:spacing w:val="-13"/>
        </w:rPr>
        <w:t> </w:t>
      </w:r>
      <w:r>
        <w:rPr>
          <w:color w:val="231F20"/>
        </w:rPr>
        <w:t>efficace</w:t>
      </w:r>
      <w:r>
        <w:rPr>
          <w:color w:val="231F20"/>
          <w:spacing w:val="-10"/>
        </w:rPr>
        <w:t> </w:t>
      </w:r>
      <w:r>
        <w:rPr>
          <w:color w:val="231F20"/>
        </w:rPr>
        <w:t>dans</w:t>
      </w:r>
      <w:r>
        <w:rPr>
          <w:color w:val="231F20"/>
          <w:spacing w:val="-13"/>
        </w:rPr>
        <w:t> </w:t>
      </w:r>
      <w:r>
        <w:rPr>
          <w:color w:val="231F20"/>
        </w:rPr>
        <w:t>la</w:t>
      </w:r>
      <w:r>
        <w:rPr>
          <w:color w:val="231F20"/>
          <w:spacing w:val="-8"/>
        </w:rPr>
        <w:t> </w:t>
      </w:r>
      <w:r>
        <w:rPr>
          <w:color w:val="231F20"/>
        </w:rPr>
        <w:t>dénonciation</w:t>
      </w:r>
      <w:r>
        <w:rPr>
          <w:color w:val="231F20"/>
          <w:spacing w:val="-12"/>
        </w:rPr>
        <w:t> </w:t>
      </w:r>
      <w:r>
        <w:rPr>
          <w:color w:val="231F20"/>
        </w:rPr>
        <w:t>des</w:t>
      </w:r>
      <w:r>
        <w:rPr>
          <w:color w:val="231F20"/>
          <w:spacing w:val="-11"/>
        </w:rPr>
        <w:t> </w:t>
      </w:r>
      <w:r>
        <w:rPr>
          <w:color w:val="231F20"/>
          <w:spacing w:val="-4"/>
        </w:rPr>
        <w:t>abus</w:t>
      </w:r>
    </w:p>
    <w:p>
      <w:pPr>
        <w:pStyle w:val="BodyText"/>
        <w:spacing w:before="1"/>
      </w:pPr>
      <w:r>
        <w:rPr>
          <w:color w:val="231F20"/>
          <w:spacing w:val="-2"/>
        </w:rPr>
        <w:t>de</w:t>
      </w:r>
      <w:r>
        <w:rPr>
          <w:color w:val="231F20"/>
          <w:spacing w:val="-10"/>
        </w:rPr>
        <w:t> </w:t>
      </w:r>
      <w:r>
        <w:rPr>
          <w:color w:val="231F20"/>
          <w:spacing w:val="-2"/>
        </w:rPr>
        <w:t>pouvoir</w:t>
      </w:r>
      <w:r>
        <w:rPr>
          <w:color w:val="231F20"/>
          <w:spacing w:val="-10"/>
        </w:rPr>
        <w:t> </w:t>
      </w:r>
      <w:r>
        <w:rPr>
          <w:color w:val="231F20"/>
          <w:spacing w:val="-2"/>
        </w:rPr>
        <w:t>mais</w:t>
      </w:r>
      <w:r>
        <w:rPr>
          <w:color w:val="231F20"/>
          <w:spacing w:val="-10"/>
        </w:rPr>
        <w:t> </w:t>
      </w:r>
      <w:r>
        <w:rPr>
          <w:color w:val="231F20"/>
          <w:spacing w:val="-2"/>
        </w:rPr>
        <w:t>elles</w:t>
      </w:r>
      <w:r>
        <w:rPr>
          <w:color w:val="231F20"/>
          <w:spacing w:val="-7"/>
        </w:rPr>
        <w:t> </w:t>
      </w:r>
      <w:r>
        <w:rPr>
          <w:color w:val="231F20"/>
          <w:spacing w:val="-2"/>
        </w:rPr>
        <w:t>n’ont</w:t>
      </w:r>
      <w:r>
        <w:rPr>
          <w:color w:val="231F20"/>
          <w:spacing w:val="-7"/>
        </w:rPr>
        <w:t> </w:t>
      </w:r>
      <w:r>
        <w:rPr>
          <w:color w:val="231F20"/>
          <w:spacing w:val="-2"/>
        </w:rPr>
        <w:t>pas</w:t>
      </w:r>
      <w:r>
        <w:rPr>
          <w:color w:val="231F20"/>
          <w:spacing w:val="-10"/>
        </w:rPr>
        <w:t> </w:t>
      </w:r>
      <w:r>
        <w:rPr>
          <w:color w:val="231F20"/>
          <w:spacing w:val="-2"/>
        </w:rPr>
        <w:t>les</w:t>
      </w:r>
      <w:r>
        <w:rPr>
          <w:color w:val="231F20"/>
          <w:spacing w:val="-10"/>
        </w:rPr>
        <w:t> </w:t>
      </w:r>
      <w:r>
        <w:rPr>
          <w:color w:val="231F20"/>
          <w:spacing w:val="-2"/>
        </w:rPr>
        <w:t>moyens</w:t>
      </w:r>
      <w:r>
        <w:rPr>
          <w:color w:val="231F20"/>
          <w:spacing w:val="-8"/>
        </w:rPr>
        <w:t> </w:t>
      </w:r>
      <w:r>
        <w:rPr>
          <w:color w:val="231F20"/>
          <w:spacing w:val="-2"/>
        </w:rPr>
        <w:t>de</w:t>
      </w:r>
      <w:r>
        <w:rPr>
          <w:color w:val="231F20"/>
          <w:spacing w:val="-11"/>
        </w:rPr>
        <w:t> </w:t>
      </w:r>
      <w:r>
        <w:rPr>
          <w:color w:val="231F20"/>
          <w:spacing w:val="-2"/>
        </w:rPr>
        <w:t>leur</w:t>
      </w:r>
      <w:r>
        <w:rPr>
          <w:color w:val="231F20"/>
          <w:spacing w:val="-10"/>
        </w:rPr>
        <w:t> </w:t>
      </w:r>
      <w:r>
        <w:rPr>
          <w:color w:val="231F20"/>
          <w:spacing w:val="-2"/>
        </w:rPr>
        <w:t>politique.</w:t>
      </w:r>
    </w:p>
    <w:p>
      <w:pPr>
        <w:pStyle w:val="BodyText"/>
        <w:spacing w:before="120"/>
        <w:ind w:right="108" w:firstLine="283"/>
      </w:pPr>
      <w:r>
        <w:rPr>
          <w:color w:val="231F20"/>
          <w:spacing w:val="-2"/>
        </w:rPr>
        <w:t>Les</w:t>
      </w:r>
      <w:r>
        <w:rPr>
          <w:color w:val="231F20"/>
          <w:spacing w:val="-11"/>
        </w:rPr>
        <w:t> </w:t>
      </w:r>
      <w:r>
        <w:rPr>
          <w:color w:val="231F20"/>
          <w:spacing w:val="-2"/>
        </w:rPr>
        <w:t>ONG</w:t>
      </w:r>
      <w:r>
        <w:rPr>
          <w:color w:val="231F20"/>
          <w:spacing w:val="-11"/>
        </w:rPr>
        <w:t> </w:t>
      </w:r>
      <w:r>
        <w:rPr>
          <w:color w:val="231F20"/>
          <w:spacing w:val="-2"/>
        </w:rPr>
        <w:t>et</w:t>
      </w:r>
      <w:r>
        <w:rPr>
          <w:color w:val="231F20"/>
          <w:spacing w:val="-10"/>
        </w:rPr>
        <w:t> </w:t>
      </w:r>
      <w:r>
        <w:rPr>
          <w:color w:val="231F20"/>
          <w:spacing w:val="-2"/>
        </w:rPr>
        <w:t>les</w:t>
      </w:r>
      <w:r>
        <w:rPr>
          <w:color w:val="231F20"/>
          <w:spacing w:val="-11"/>
        </w:rPr>
        <w:t> </w:t>
      </w:r>
      <w:r>
        <w:rPr>
          <w:color w:val="231F20"/>
          <w:spacing w:val="-2"/>
        </w:rPr>
        <w:t>Associations</w:t>
      </w:r>
      <w:r>
        <w:rPr>
          <w:color w:val="231F20"/>
          <w:spacing w:val="-11"/>
        </w:rPr>
        <w:t> </w:t>
      </w:r>
      <w:r>
        <w:rPr>
          <w:color w:val="231F20"/>
          <w:spacing w:val="-2"/>
        </w:rPr>
        <w:t>vivent</w:t>
      </w:r>
      <w:r>
        <w:rPr>
          <w:color w:val="231F20"/>
          <w:spacing w:val="-13"/>
        </w:rPr>
        <w:t> </w:t>
      </w:r>
      <w:r>
        <w:rPr>
          <w:color w:val="231F20"/>
          <w:spacing w:val="-2"/>
        </w:rPr>
        <w:t>le</w:t>
      </w:r>
      <w:r>
        <w:rPr>
          <w:color w:val="231F20"/>
          <w:spacing w:val="-10"/>
        </w:rPr>
        <w:t> </w:t>
      </w:r>
      <w:r>
        <w:rPr>
          <w:color w:val="231F20"/>
          <w:spacing w:val="-2"/>
        </w:rPr>
        <w:t>plus</w:t>
      </w:r>
      <w:r>
        <w:rPr>
          <w:color w:val="231F20"/>
          <w:spacing w:val="-10"/>
        </w:rPr>
        <w:t> </w:t>
      </w:r>
      <w:r>
        <w:rPr>
          <w:color w:val="231F20"/>
          <w:spacing w:val="-2"/>
        </w:rPr>
        <w:t>souvent</w:t>
      </w:r>
      <w:r>
        <w:rPr>
          <w:color w:val="231F20"/>
          <w:spacing w:val="-12"/>
        </w:rPr>
        <w:t> </w:t>
      </w:r>
      <w:r>
        <w:rPr>
          <w:color w:val="231F20"/>
          <w:spacing w:val="-2"/>
        </w:rPr>
        <w:t>de</w:t>
      </w:r>
      <w:r>
        <w:rPr>
          <w:color w:val="231F20"/>
          <w:spacing w:val="-10"/>
        </w:rPr>
        <w:t> </w:t>
      </w:r>
      <w:r>
        <w:rPr>
          <w:color w:val="231F20"/>
          <w:spacing w:val="-2"/>
        </w:rPr>
        <w:t>subventions</w:t>
      </w:r>
      <w:r>
        <w:rPr>
          <w:color w:val="231F20"/>
          <w:spacing w:val="-10"/>
        </w:rPr>
        <w:t> </w:t>
      </w:r>
      <w:r>
        <w:rPr>
          <w:color w:val="231F20"/>
          <w:spacing w:val="-2"/>
        </w:rPr>
        <w:t>de </w:t>
      </w:r>
      <w:r>
        <w:rPr>
          <w:color w:val="231F20"/>
        </w:rPr>
        <w:t>partenaires extérieurs. Sans ressources propres, elles sont dans </w:t>
      </w:r>
      <w:r>
        <w:rPr>
          <w:color w:val="231F20"/>
          <w:spacing w:val="-2"/>
        </w:rPr>
        <w:t>l’incapacité</w:t>
      </w:r>
      <w:r>
        <w:rPr>
          <w:color w:val="231F20"/>
          <w:spacing w:val="-15"/>
        </w:rPr>
        <w:t> </w:t>
      </w:r>
      <w:r>
        <w:rPr>
          <w:color w:val="231F20"/>
          <w:spacing w:val="-2"/>
        </w:rPr>
        <w:t>de</w:t>
      </w:r>
      <w:r>
        <w:rPr>
          <w:color w:val="231F20"/>
          <w:spacing w:val="-13"/>
        </w:rPr>
        <w:t> </w:t>
      </w:r>
      <w:r>
        <w:rPr>
          <w:color w:val="231F20"/>
          <w:spacing w:val="-2"/>
        </w:rPr>
        <w:t>fonctionner</w:t>
      </w:r>
      <w:r>
        <w:rPr>
          <w:color w:val="231F20"/>
          <w:spacing w:val="-13"/>
        </w:rPr>
        <w:t> </w:t>
      </w:r>
      <w:r>
        <w:rPr>
          <w:color w:val="231F20"/>
          <w:spacing w:val="-2"/>
        </w:rPr>
        <w:t>selon</w:t>
      </w:r>
      <w:r>
        <w:rPr>
          <w:color w:val="231F20"/>
          <w:spacing w:val="-13"/>
        </w:rPr>
        <w:t> </w:t>
      </w:r>
      <w:r>
        <w:rPr>
          <w:color w:val="231F20"/>
          <w:spacing w:val="-2"/>
        </w:rPr>
        <w:t>les</w:t>
      </w:r>
      <w:r>
        <w:rPr>
          <w:color w:val="231F20"/>
          <w:spacing w:val="-13"/>
        </w:rPr>
        <w:t> </w:t>
      </w:r>
      <w:r>
        <w:rPr>
          <w:color w:val="231F20"/>
          <w:spacing w:val="-2"/>
        </w:rPr>
        <w:t>règles</w:t>
      </w:r>
      <w:r>
        <w:rPr>
          <w:color w:val="231F20"/>
          <w:spacing w:val="-13"/>
        </w:rPr>
        <w:t> </w:t>
      </w:r>
      <w:r>
        <w:rPr>
          <w:color w:val="231F20"/>
          <w:spacing w:val="-2"/>
        </w:rPr>
        <w:t>démocratiques</w:t>
      </w:r>
      <w:r>
        <w:rPr>
          <w:color w:val="231F20"/>
          <w:spacing w:val="-13"/>
        </w:rPr>
        <w:t> </w:t>
      </w:r>
      <w:r>
        <w:rPr>
          <w:color w:val="231F20"/>
          <w:spacing w:val="-2"/>
        </w:rPr>
        <w:t>et</w:t>
      </w:r>
      <w:r>
        <w:rPr>
          <w:color w:val="231F20"/>
          <w:spacing w:val="-13"/>
        </w:rPr>
        <w:t> </w:t>
      </w:r>
      <w:r>
        <w:rPr>
          <w:color w:val="231F20"/>
          <w:spacing w:val="-2"/>
        </w:rPr>
        <w:t>leur</w:t>
      </w:r>
      <w:r>
        <w:rPr>
          <w:color w:val="231F20"/>
          <w:spacing w:val="-13"/>
        </w:rPr>
        <w:t> </w:t>
      </w:r>
      <w:r>
        <w:rPr>
          <w:color w:val="231F20"/>
          <w:spacing w:val="-2"/>
        </w:rPr>
        <w:t>prise</w:t>
      </w:r>
      <w:r>
        <w:rPr>
          <w:color w:val="231F20"/>
          <w:spacing w:val="-13"/>
        </w:rPr>
        <w:t> </w:t>
      </w:r>
      <w:r>
        <w:rPr>
          <w:color w:val="231F20"/>
          <w:spacing w:val="-2"/>
        </w:rPr>
        <w:t>de </w:t>
      </w:r>
      <w:r>
        <w:rPr>
          <w:color w:val="231F20"/>
        </w:rPr>
        <w:t>position</w:t>
      </w:r>
      <w:r>
        <w:rPr>
          <w:color w:val="231F20"/>
          <w:spacing w:val="-6"/>
        </w:rPr>
        <w:t> </w:t>
      </w:r>
      <w:r>
        <w:rPr>
          <w:color w:val="231F20"/>
        </w:rPr>
        <w:t>manque</w:t>
      </w:r>
      <w:r>
        <w:rPr>
          <w:color w:val="231F20"/>
          <w:spacing w:val="-7"/>
        </w:rPr>
        <w:t> </w:t>
      </w:r>
      <w:r>
        <w:rPr>
          <w:color w:val="231F20"/>
        </w:rPr>
        <w:t>souvent</w:t>
      </w:r>
      <w:r>
        <w:rPr>
          <w:color w:val="231F20"/>
          <w:spacing w:val="-6"/>
        </w:rPr>
        <w:t> </w:t>
      </w:r>
      <w:r>
        <w:rPr>
          <w:color w:val="231F20"/>
        </w:rPr>
        <w:t>d’impartialité.</w:t>
      </w:r>
      <w:r>
        <w:rPr>
          <w:color w:val="231F20"/>
          <w:spacing w:val="-6"/>
        </w:rPr>
        <w:t> </w:t>
      </w:r>
      <w:r>
        <w:rPr>
          <w:color w:val="231F20"/>
        </w:rPr>
        <w:t>Certaines</w:t>
      </w:r>
      <w:r>
        <w:rPr>
          <w:color w:val="231F20"/>
          <w:spacing w:val="-8"/>
        </w:rPr>
        <w:t> </w:t>
      </w:r>
      <w:r>
        <w:rPr>
          <w:color w:val="231F20"/>
        </w:rPr>
        <w:t>sont</w:t>
      </w:r>
      <w:r>
        <w:rPr>
          <w:color w:val="231F20"/>
          <w:spacing w:val="-6"/>
        </w:rPr>
        <w:t> </w:t>
      </w:r>
      <w:r>
        <w:rPr>
          <w:color w:val="231F20"/>
        </w:rPr>
        <w:t>même</w:t>
      </w:r>
      <w:r>
        <w:rPr>
          <w:color w:val="231F20"/>
          <w:spacing w:val="-5"/>
        </w:rPr>
        <w:t> </w:t>
      </w:r>
      <w:r>
        <w:rPr>
          <w:color w:val="231F20"/>
        </w:rPr>
        <w:t>suscitées par le Pouvoir en place.</w:t>
      </w:r>
    </w:p>
    <w:p>
      <w:pPr>
        <w:pStyle w:val="BodyText"/>
        <w:spacing w:before="120"/>
        <w:ind w:right="106" w:firstLine="283"/>
      </w:pPr>
      <w:r>
        <w:rPr>
          <w:color w:val="231F20"/>
        </w:rPr>
        <w:t>La</w:t>
      </w:r>
      <w:r>
        <w:rPr>
          <w:color w:val="231F20"/>
          <w:spacing w:val="-15"/>
        </w:rPr>
        <w:t> </w:t>
      </w:r>
      <w:r>
        <w:rPr>
          <w:color w:val="231F20"/>
        </w:rPr>
        <w:t>contribution</w:t>
      </w:r>
      <w:r>
        <w:rPr>
          <w:color w:val="231F20"/>
          <w:spacing w:val="-14"/>
        </w:rPr>
        <w:t> </w:t>
      </w:r>
      <w:r>
        <w:rPr>
          <w:color w:val="231F20"/>
        </w:rPr>
        <w:t>des</w:t>
      </w:r>
      <w:r>
        <w:rPr>
          <w:color w:val="231F20"/>
          <w:spacing w:val="-14"/>
        </w:rPr>
        <w:t> </w:t>
      </w:r>
      <w:r>
        <w:rPr>
          <w:color w:val="231F20"/>
        </w:rPr>
        <w:t>Syndicats</w:t>
      </w:r>
      <w:r>
        <w:rPr>
          <w:color w:val="231F20"/>
          <w:spacing w:val="-14"/>
        </w:rPr>
        <w:t> </w:t>
      </w:r>
      <w:r>
        <w:rPr>
          <w:color w:val="231F20"/>
        </w:rPr>
        <w:t>est</w:t>
      </w:r>
      <w:r>
        <w:rPr>
          <w:color w:val="231F20"/>
          <w:spacing w:val="-14"/>
        </w:rPr>
        <w:t> </w:t>
      </w:r>
      <w:r>
        <w:rPr>
          <w:color w:val="231F20"/>
        </w:rPr>
        <w:t>réduite</w:t>
      </w:r>
      <w:r>
        <w:rPr>
          <w:color w:val="231F20"/>
          <w:spacing w:val="-15"/>
        </w:rPr>
        <w:t> </w:t>
      </w:r>
      <w:r>
        <w:rPr>
          <w:color w:val="231F20"/>
        </w:rPr>
        <w:t>du</w:t>
      </w:r>
      <w:r>
        <w:rPr>
          <w:color w:val="231F20"/>
          <w:spacing w:val="-14"/>
        </w:rPr>
        <w:t> </w:t>
      </w:r>
      <w:r>
        <w:rPr>
          <w:color w:val="231F20"/>
        </w:rPr>
        <w:t>fait</w:t>
      </w:r>
      <w:r>
        <w:rPr>
          <w:color w:val="231F20"/>
          <w:spacing w:val="-15"/>
        </w:rPr>
        <w:t> </w:t>
      </w:r>
      <w:r>
        <w:rPr>
          <w:color w:val="231F20"/>
        </w:rPr>
        <w:t>que</w:t>
      </w:r>
      <w:r>
        <w:rPr>
          <w:color w:val="231F20"/>
          <w:spacing w:val="-15"/>
        </w:rPr>
        <w:t> </w:t>
      </w:r>
      <w:r>
        <w:rPr>
          <w:color w:val="231F20"/>
        </w:rPr>
        <w:t>certains</w:t>
      </w:r>
      <w:r>
        <w:rPr>
          <w:color w:val="231F20"/>
          <w:spacing w:val="-14"/>
        </w:rPr>
        <w:t> </w:t>
      </w:r>
      <w:r>
        <w:rPr>
          <w:color w:val="231F20"/>
        </w:rPr>
        <w:t>sont</w:t>
      </w:r>
      <w:r>
        <w:rPr>
          <w:color w:val="231F20"/>
          <w:spacing w:val="-14"/>
        </w:rPr>
        <w:t> </w:t>
      </w:r>
      <w:r>
        <w:rPr>
          <w:color w:val="231F20"/>
        </w:rPr>
        <w:t>des antichambres du régime politique en place et ceux qui se veulent indépendants, sont systématiquement indexés comme des outils de </w:t>
      </w:r>
      <w:r>
        <w:rPr>
          <w:color w:val="231F20"/>
          <w:spacing w:val="-2"/>
        </w:rPr>
        <w:t>l’opposition.</w:t>
      </w:r>
    </w:p>
    <w:p>
      <w:pPr>
        <w:pStyle w:val="BodyText"/>
        <w:spacing w:before="120"/>
        <w:ind w:right="111" w:firstLine="283"/>
      </w:pPr>
      <w:r>
        <w:rPr>
          <w:color w:val="231F20"/>
        </w:rPr>
        <w:t>Les médias d’État sont au service du pouvoir et la presse privée au service des</w:t>
      </w:r>
      <w:r>
        <w:rPr>
          <w:color w:val="231F20"/>
          <w:spacing w:val="-1"/>
        </w:rPr>
        <w:t> </w:t>
      </w:r>
      <w:r>
        <w:rPr>
          <w:color w:val="231F20"/>
        </w:rPr>
        <w:t>partis politiques qui la financent.</w:t>
      </w:r>
    </w:p>
    <w:p>
      <w:pPr>
        <w:pStyle w:val="BodyText"/>
        <w:spacing w:before="240"/>
        <w:ind w:left="0"/>
        <w:jc w:val="left"/>
      </w:pPr>
    </w:p>
    <w:p>
      <w:pPr>
        <w:pStyle w:val="Heading2"/>
        <w:jc w:val="both"/>
      </w:pPr>
      <w:bookmarkStart w:name="_TOC_250002" w:id="41"/>
      <w:r>
        <w:rPr>
          <w:color w:val="231F20"/>
          <w:spacing w:val="-2"/>
        </w:rPr>
        <w:t>Une</w:t>
      </w:r>
      <w:r>
        <w:rPr>
          <w:color w:val="231F20"/>
          <w:spacing w:val="-12"/>
        </w:rPr>
        <w:t> </w:t>
      </w:r>
      <w:r>
        <w:rPr>
          <w:color w:val="231F20"/>
          <w:spacing w:val="-2"/>
        </w:rPr>
        <w:t>Administration</w:t>
      </w:r>
      <w:r>
        <w:rPr>
          <w:color w:val="231F20"/>
          <w:spacing w:val="-8"/>
        </w:rPr>
        <w:t> </w:t>
      </w:r>
      <w:r>
        <w:rPr>
          <w:color w:val="231F20"/>
          <w:spacing w:val="-2"/>
        </w:rPr>
        <w:t>sans</w:t>
      </w:r>
      <w:r>
        <w:rPr>
          <w:color w:val="231F20"/>
          <w:spacing w:val="-9"/>
        </w:rPr>
        <w:t> </w:t>
      </w:r>
      <w:r>
        <w:rPr>
          <w:color w:val="231F20"/>
          <w:spacing w:val="-2"/>
        </w:rPr>
        <w:t>souffle</w:t>
      </w:r>
      <w:r>
        <w:rPr>
          <w:color w:val="231F20"/>
          <w:spacing w:val="-10"/>
        </w:rPr>
        <w:t> </w:t>
      </w:r>
      <w:r>
        <w:rPr>
          <w:color w:val="231F20"/>
          <w:spacing w:val="-2"/>
        </w:rPr>
        <w:t>:</w:t>
      </w:r>
      <w:r>
        <w:rPr>
          <w:color w:val="231F20"/>
          <w:spacing w:val="-9"/>
        </w:rPr>
        <w:t> </w:t>
      </w:r>
      <w:r>
        <w:rPr>
          <w:color w:val="231F20"/>
          <w:spacing w:val="-2"/>
        </w:rPr>
        <w:t>ça</w:t>
      </w:r>
      <w:r>
        <w:rPr>
          <w:color w:val="231F20"/>
          <w:spacing w:val="-9"/>
        </w:rPr>
        <w:t> </w:t>
      </w:r>
      <w:r>
        <w:rPr>
          <w:color w:val="231F20"/>
          <w:spacing w:val="-2"/>
        </w:rPr>
        <w:t>suffit</w:t>
      </w:r>
      <w:r>
        <w:rPr>
          <w:color w:val="231F20"/>
          <w:spacing w:val="-9"/>
        </w:rPr>
        <w:t> </w:t>
      </w:r>
      <w:bookmarkEnd w:id="41"/>
      <w:r>
        <w:rPr>
          <w:color w:val="231F20"/>
          <w:spacing w:val="-10"/>
        </w:rPr>
        <w:t>!</w:t>
      </w:r>
    </w:p>
    <w:p>
      <w:pPr>
        <w:pStyle w:val="BodyText"/>
        <w:spacing w:before="120"/>
        <w:ind w:left="0"/>
        <w:jc w:val="left"/>
        <w:rPr>
          <w:b/>
        </w:rPr>
      </w:pPr>
    </w:p>
    <w:p>
      <w:pPr>
        <w:pStyle w:val="BodyText"/>
        <w:ind w:right="105" w:firstLine="283"/>
      </w:pPr>
      <w:r>
        <w:rPr>
          <w:color w:val="231F20"/>
        </w:rPr>
        <w:t>Les circuits administratifs sont lents et complexes, favorisant les </w:t>
      </w:r>
      <w:r>
        <w:rPr>
          <w:color w:val="231F20"/>
          <w:spacing w:val="-4"/>
        </w:rPr>
        <w:t>conflits</w:t>
      </w:r>
      <w:r>
        <w:rPr>
          <w:color w:val="231F20"/>
          <w:spacing w:val="-8"/>
        </w:rPr>
        <w:t> </w:t>
      </w:r>
      <w:r>
        <w:rPr>
          <w:color w:val="231F20"/>
          <w:spacing w:val="-4"/>
        </w:rPr>
        <w:t>de</w:t>
      </w:r>
      <w:r>
        <w:rPr>
          <w:color w:val="231F20"/>
          <w:spacing w:val="-8"/>
        </w:rPr>
        <w:t> </w:t>
      </w:r>
      <w:r>
        <w:rPr>
          <w:color w:val="231F20"/>
          <w:spacing w:val="-4"/>
        </w:rPr>
        <w:t>compétences</w:t>
      </w:r>
      <w:r>
        <w:rPr>
          <w:color w:val="231F20"/>
          <w:spacing w:val="-8"/>
        </w:rPr>
        <w:t> </w:t>
      </w:r>
      <w:r>
        <w:rPr>
          <w:color w:val="231F20"/>
          <w:spacing w:val="-4"/>
        </w:rPr>
        <w:t>entre</w:t>
      </w:r>
      <w:r>
        <w:rPr>
          <w:color w:val="231F20"/>
          <w:spacing w:val="-8"/>
        </w:rPr>
        <w:t> </w:t>
      </w:r>
      <w:r>
        <w:rPr>
          <w:color w:val="231F20"/>
          <w:spacing w:val="-4"/>
        </w:rPr>
        <w:t>les</w:t>
      </w:r>
      <w:r>
        <w:rPr>
          <w:color w:val="231F20"/>
          <w:spacing w:val="-10"/>
        </w:rPr>
        <w:t> </w:t>
      </w:r>
      <w:r>
        <w:rPr>
          <w:color w:val="231F20"/>
          <w:spacing w:val="-4"/>
        </w:rPr>
        <w:t>Institutions.</w:t>
      </w:r>
      <w:r>
        <w:rPr>
          <w:color w:val="231F20"/>
          <w:spacing w:val="-8"/>
        </w:rPr>
        <w:t> </w:t>
      </w:r>
      <w:r>
        <w:rPr>
          <w:color w:val="231F20"/>
          <w:spacing w:val="-4"/>
        </w:rPr>
        <w:t>Cette</w:t>
      </w:r>
      <w:r>
        <w:rPr>
          <w:color w:val="231F20"/>
          <w:spacing w:val="-10"/>
        </w:rPr>
        <w:t> </w:t>
      </w:r>
      <w:r>
        <w:rPr>
          <w:color w:val="231F20"/>
          <w:spacing w:val="-4"/>
        </w:rPr>
        <w:t>situation</w:t>
      </w:r>
      <w:r>
        <w:rPr>
          <w:color w:val="231F20"/>
          <w:spacing w:val="-11"/>
        </w:rPr>
        <w:t> </w:t>
      </w:r>
      <w:r>
        <w:rPr>
          <w:color w:val="231F20"/>
          <w:spacing w:val="-4"/>
        </w:rPr>
        <w:t>est</w:t>
      </w:r>
      <w:r>
        <w:rPr>
          <w:color w:val="231F20"/>
          <w:spacing w:val="-7"/>
        </w:rPr>
        <w:t> </w:t>
      </w:r>
      <w:r>
        <w:rPr>
          <w:color w:val="231F20"/>
          <w:spacing w:val="-4"/>
        </w:rPr>
        <w:t>renforcée </w:t>
      </w:r>
      <w:r>
        <w:rPr>
          <w:color w:val="231F20"/>
        </w:rPr>
        <w:t>par</w:t>
      </w:r>
      <w:r>
        <w:rPr>
          <w:color w:val="231F20"/>
          <w:spacing w:val="-6"/>
        </w:rPr>
        <w:t> </w:t>
      </w:r>
      <w:r>
        <w:rPr>
          <w:color w:val="231F20"/>
        </w:rPr>
        <w:t>l’absence</w:t>
      </w:r>
      <w:r>
        <w:rPr>
          <w:color w:val="231F20"/>
          <w:spacing w:val="-8"/>
        </w:rPr>
        <w:t> </w:t>
      </w:r>
      <w:r>
        <w:rPr>
          <w:color w:val="231F20"/>
        </w:rPr>
        <w:t>de</w:t>
      </w:r>
      <w:r>
        <w:rPr>
          <w:color w:val="231F20"/>
          <w:spacing w:val="-6"/>
        </w:rPr>
        <w:t> </w:t>
      </w:r>
      <w:r>
        <w:rPr>
          <w:color w:val="231F20"/>
        </w:rPr>
        <w:t>coordination</w:t>
      </w:r>
      <w:r>
        <w:rPr>
          <w:color w:val="231F20"/>
          <w:spacing w:val="-8"/>
        </w:rPr>
        <w:t> </w:t>
      </w:r>
      <w:r>
        <w:rPr>
          <w:color w:val="231F20"/>
        </w:rPr>
        <w:t>des</w:t>
      </w:r>
      <w:r>
        <w:rPr>
          <w:color w:val="231F20"/>
          <w:spacing w:val="-6"/>
        </w:rPr>
        <w:t> </w:t>
      </w:r>
      <w:r>
        <w:rPr>
          <w:color w:val="231F20"/>
        </w:rPr>
        <w:t>activités</w:t>
      </w:r>
      <w:r>
        <w:rPr>
          <w:color w:val="231F20"/>
          <w:spacing w:val="-8"/>
        </w:rPr>
        <w:t> </w:t>
      </w:r>
      <w:r>
        <w:rPr>
          <w:color w:val="231F20"/>
        </w:rPr>
        <w:t>des</w:t>
      </w:r>
      <w:r>
        <w:rPr>
          <w:color w:val="231F20"/>
          <w:spacing w:val="-8"/>
        </w:rPr>
        <w:t> </w:t>
      </w:r>
      <w:r>
        <w:rPr>
          <w:color w:val="231F20"/>
        </w:rPr>
        <w:t>différents</w:t>
      </w:r>
      <w:r>
        <w:rPr>
          <w:color w:val="231F20"/>
          <w:spacing w:val="-6"/>
        </w:rPr>
        <w:t> </w:t>
      </w:r>
      <w:r>
        <w:rPr>
          <w:color w:val="231F20"/>
        </w:rPr>
        <w:t>Départements ministériels. Le changement fréquent de dénomination des Ministères suite à chaque remaniement ministériel entraîne chaque fois, des changements de</w:t>
      </w:r>
      <w:r>
        <w:rPr>
          <w:color w:val="231F20"/>
          <w:spacing w:val="-2"/>
        </w:rPr>
        <w:t> </w:t>
      </w:r>
      <w:r>
        <w:rPr>
          <w:color w:val="231F20"/>
        </w:rPr>
        <w:t>tutelle des services</w:t>
      </w:r>
      <w:r>
        <w:rPr>
          <w:color w:val="231F20"/>
          <w:spacing w:val="-1"/>
        </w:rPr>
        <w:t> </w:t>
      </w:r>
      <w:r>
        <w:rPr>
          <w:color w:val="231F20"/>
        </w:rPr>
        <w:t>centraux et de leur organigramme. Les prérogatives et les compétences des structures administratives souvent</w:t>
      </w:r>
      <w:r>
        <w:rPr>
          <w:color w:val="231F20"/>
          <w:spacing w:val="-7"/>
        </w:rPr>
        <w:t> </w:t>
      </w:r>
      <w:r>
        <w:rPr>
          <w:color w:val="231F20"/>
        </w:rPr>
        <w:t>mal</w:t>
      </w:r>
      <w:r>
        <w:rPr>
          <w:color w:val="231F20"/>
          <w:spacing w:val="-7"/>
        </w:rPr>
        <w:t> </w:t>
      </w:r>
      <w:r>
        <w:rPr>
          <w:color w:val="231F20"/>
        </w:rPr>
        <w:t>définies</w:t>
      </w:r>
      <w:r>
        <w:rPr>
          <w:color w:val="231F20"/>
          <w:spacing w:val="-9"/>
        </w:rPr>
        <w:t> </w:t>
      </w:r>
      <w:r>
        <w:rPr>
          <w:color w:val="231F20"/>
        </w:rPr>
        <w:t>ne</w:t>
      </w:r>
      <w:r>
        <w:rPr>
          <w:color w:val="231F20"/>
          <w:spacing w:val="-6"/>
        </w:rPr>
        <w:t> </w:t>
      </w:r>
      <w:r>
        <w:rPr>
          <w:color w:val="231F20"/>
        </w:rPr>
        <w:t>sont</w:t>
      </w:r>
      <w:r>
        <w:rPr>
          <w:color w:val="231F20"/>
          <w:spacing w:val="-8"/>
        </w:rPr>
        <w:t> </w:t>
      </w:r>
      <w:r>
        <w:rPr>
          <w:color w:val="231F20"/>
        </w:rPr>
        <w:t>pas</w:t>
      </w:r>
      <w:r>
        <w:rPr>
          <w:color w:val="231F20"/>
          <w:spacing w:val="-8"/>
        </w:rPr>
        <w:t> </w:t>
      </w:r>
      <w:r>
        <w:rPr>
          <w:color w:val="231F20"/>
        </w:rPr>
        <w:t>toujours</w:t>
      </w:r>
      <w:r>
        <w:rPr>
          <w:color w:val="231F20"/>
          <w:spacing w:val="-8"/>
        </w:rPr>
        <w:t> </w:t>
      </w:r>
      <w:r>
        <w:rPr>
          <w:color w:val="231F20"/>
        </w:rPr>
        <w:t>bien</w:t>
      </w:r>
      <w:r>
        <w:rPr>
          <w:color w:val="231F20"/>
          <w:spacing w:val="-8"/>
        </w:rPr>
        <w:t> </w:t>
      </w:r>
      <w:r>
        <w:rPr>
          <w:color w:val="231F20"/>
        </w:rPr>
        <w:t>respectées.</w:t>
      </w:r>
      <w:r>
        <w:rPr>
          <w:color w:val="231F20"/>
          <w:spacing w:val="-8"/>
        </w:rPr>
        <w:t> </w:t>
      </w:r>
      <w:r>
        <w:rPr>
          <w:color w:val="231F20"/>
        </w:rPr>
        <w:t>Le</w:t>
      </w:r>
      <w:r>
        <w:rPr>
          <w:color w:val="231F20"/>
          <w:spacing w:val="-8"/>
        </w:rPr>
        <w:t> </w:t>
      </w:r>
      <w:r>
        <w:rPr>
          <w:color w:val="231F20"/>
        </w:rPr>
        <w:t>processus de prise de décision est morcelé avec des interventions de plusieurs Départements ministériels et Directions.</w:t>
      </w:r>
    </w:p>
    <w:p>
      <w:pPr>
        <w:pStyle w:val="BodyText"/>
        <w:spacing w:before="121"/>
        <w:ind w:right="102" w:firstLine="283"/>
      </w:pPr>
      <w:r>
        <w:rPr>
          <w:color w:val="231F20"/>
        </w:rPr>
        <w:t>Dans les services de l’Administration, il y a une insuffisance du </w:t>
      </w:r>
      <w:r>
        <w:rPr>
          <w:color w:val="231F20"/>
          <w:spacing w:val="-4"/>
        </w:rPr>
        <w:t>matériel</w:t>
      </w:r>
      <w:r>
        <w:rPr>
          <w:color w:val="231F20"/>
          <w:spacing w:val="-7"/>
        </w:rPr>
        <w:t> </w:t>
      </w:r>
      <w:r>
        <w:rPr>
          <w:color w:val="231F20"/>
          <w:spacing w:val="-4"/>
        </w:rPr>
        <w:t>de</w:t>
      </w:r>
      <w:r>
        <w:rPr>
          <w:color w:val="231F20"/>
          <w:spacing w:val="-6"/>
        </w:rPr>
        <w:t> </w:t>
      </w:r>
      <w:r>
        <w:rPr>
          <w:color w:val="231F20"/>
          <w:spacing w:val="-4"/>
        </w:rPr>
        <w:t>bureau</w:t>
      </w:r>
      <w:r>
        <w:rPr>
          <w:color w:val="231F20"/>
          <w:spacing w:val="-6"/>
        </w:rPr>
        <w:t> </w:t>
      </w:r>
      <w:r>
        <w:rPr>
          <w:color w:val="231F20"/>
          <w:spacing w:val="-4"/>
        </w:rPr>
        <w:t>et</w:t>
      </w:r>
      <w:r>
        <w:rPr>
          <w:color w:val="231F20"/>
          <w:spacing w:val="-5"/>
        </w:rPr>
        <w:t> </w:t>
      </w:r>
      <w:r>
        <w:rPr>
          <w:color w:val="231F20"/>
          <w:spacing w:val="-4"/>
        </w:rPr>
        <w:t>une</w:t>
      </w:r>
      <w:r>
        <w:rPr>
          <w:color w:val="231F20"/>
          <w:spacing w:val="-8"/>
        </w:rPr>
        <w:t> </w:t>
      </w:r>
      <w:r>
        <w:rPr>
          <w:color w:val="231F20"/>
          <w:spacing w:val="-4"/>
        </w:rPr>
        <w:t>absence</w:t>
      </w:r>
      <w:r>
        <w:rPr>
          <w:color w:val="231F20"/>
          <w:spacing w:val="-6"/>
        </w:rPr>
        <w:t> </w:t>
      </w:r>
      <w:r>
        <w:rPr>
          <w:color w:val="231F20"/>
          <w:spacing w:val="-4"/>
        </w:rPr>
        <w:t>totale</w:t>
      </w:r>
      <w:r>
        <w:rPr>
          <w:color w:val="231F20"/>
          <w:spacing w:val="-6"/>
        </w:rPr>
        <w:t> </w:t>
      </w:r>
      <w:r>
        <w:rPr>
          <w:color w:val="231F20"/>
          <w:spacing w:val="-4"/>
        </w:rPr>
        <w:t>de</w:t>
      </w:r>
      <w:r>
        <w:rPr>
          <w:color w:val="231F20"/>
          <w:spacing w:val="-6"/>
        </w:rPr>
        <w:t> </w:t>
      </w:r>
      <w:r>
        <w:rPr>
          <w:color w:val="231F20"/>
          <w:spacing w:val="-4"/>
        </w:rPr>
        <w:t>politiques</w:t>
      </w:r>
      <w:r>
        <w:rPr>
          <w:color w:val="231F20"/>
          <w:spacing w:val="-5"/>
        </w:rPr>
        <w:t> </w:t>
      </w:r>
      <w:r>
        <w:rPr>
          <w:color w:val="231F20"/>
          <w:spacing w:val="-4"/>
        </w:rPr>
        <w:t>globales</w:t>
      </w:r>
      <w:r>
        <w:rPr>
          <w:color w:val="231F20"/>
          <w:spacing w:val="-5"/>
        </w:rPr>
        <w:t> </w:t>
      </w:r>
      <w:r>
        <w:rPr>
          <w:color w:val="231F20"/>
          <w:spacing w:val="-4"/>
        </w:rPr>
        <w:t>d’entretien </w:t>
      </w:r>
      <w:r>
        <w:rPr>
          <w:color w:val="231F20"/>
          <w:spacing w:val="-2"/>
        </w:rPr>
        <w:t>et</w:t>
      </w:r>
      <w:r>
        <w:rPr>
          <w:color w:val="231F20"/>
          <w:spacing w:val="-13"/>
        </w:rPr>
        <w:t> </w:t>
      </w:r>
      <w:r>
        <w:rPr>
          <w:color w:val="231F20"/>
          <w:spacing w:val="-2"/>
        </w:rPr>
        <w:t>d’acquisition</w:t>
      </w:r>
      <w:r>
        <w:rPr>
          <w:color w:val="231F20"/>
          <w:spacing w:val="-13"/>
        </w:rPr>
        <w:t> </w:t>
      </w:r>
      <w:r>
        <w:rPr>
          <w:color w:val="231F20"/>
          <w:spacing w:val="-2"/>
        </w:rPr>
        <w:t>d’équipements</w:t>
      </w:r>
      <w:r>
        <w:rPr>
          <w:color w:val="231F20"/>
          <w:spacing w:val="-12"/>
        </w:rPr>
        <w:t> </w:t>
      </w:r>
      <w:r>
        <w:rPr>
          <w:color w:val="231F20"/>
          <w:spacing w:val="-2"/>
        </w:rPr>
        <w:t>:</w:t>
      </w:r>
      <w:r>
        <w:rPr>
          <w:color w:val="231F20"/>
          <w:spacing w:val="-9"/>
        </w:rPr>
        <w:t> </w:t>
      </w:r>
      <w:r>
        <w:rPr>
          <w:color w:val="231F20"/>
          <w:spacing w:val="-2"/>
        </w:rPr>
        <w:t>les</w:t>
      </w:r>
      <w:r>
        <w:rPr>
          <w:color w:val="231F20"/>
          <w:spacing w:val="-10"/>
        </w:rPr>
        <w:t> </w:t>
      </w:r>
      <w:r>
        <w:rPr>
          <w:color w:val="231F20"/>
          <w:spacing w:val="-2"/>
        </w:rPr>
        <w:t>services</w:t>
      </w:r>
      <w:r>
        <w:rPr>
          <w:color w:val="231F20"/>
          <w:spacing w:val="-10"/>
        </w:rPr>
        <w:t> </w:t>
      </w:r>
      <w:r>
        <w:rPr>
          <w:color w:val="231F20"/>
          <w:spacing w:val="-2"/>
        </w:rPr>
        <w:t>des</w:t>
      </w:r>
      <w:r>
        <w:rPr>
          <w:color w:val="231F20"/>
          <w:spacing w:val="-10"/>
        </w:rPr>
        <w:t> </w:t>
      </w:r>
      <w:r>
        <w:rPr>
          <w:color w:val="231F20"/>
          <w:spacing w:val="-2"/>
        </w:rPr>
        <w:t>Douanes</w:t>
      </w:r>
      <w:r>
        <w:rPr>
          <w:color w:val="231F20"/>
          <w:spacing w:val="-11"/>
        </w:rPr>
        <w:t> </w:t>
      </w:r>
      <w:r>
        <w:rPr>
          <w:color w:val="231F20"/>
          <w:spacing w:val="-2"/>
        </w:rPr>
        <w:t>ne</w:t>
      </w:r>
      <w:r>
        <w:rPr>
          <w:color w:val="231F20"/>
          <w:spacing w:val="-11"/>
        </w:rPr>
        <w:t> </w:t>
      </w:r>
      <w:r>
        <w:rPr>
          <w:color w:val="231F20"/>
          <w:spacing w:val="-2"/>
        </w:rPr>
        <w:t>peuvent</w:t>
      </w:r>
      <w:r>
        <w:rPr>
          <w:color w:val="231F20"/>
          <w:spacing w:val="-9"/>
        </w:rPr>
        <w:t> </w:t>
      </w:r>
      <w:r>
        <w:rPr>
          <w:color w:val="231F20"/>
          <w:spacing w:val="-5"/>
        </w:rPr>
        <w:t>pas</w:t>
      </w:r>
    </w:p>
    <w:p>
      <w:pPr>
        <w:spacing w:after="0"/>
        <w:sectPr>
          <w:pgSz w:w="8790" w:h="13610"/>
          <w:pgMar w:header="0" w:footer="802" w:top="1060" w:bottom="1000" w:left="880" w:right="880"/>
        </w:sectPr>
      </w:pPr>
    </w:p>
    <w:p>
      <w:pPr>
        <w:pStyle w:val="BodyText"/>
        <w:spacing w:before="66"/>
        <w:ind w:right="109"/>
      </w:pPr>
      <w:r>
        <w:rPr>
          <w:color w:val="231F20"/>
        </w:rPr>
        <w:t>être performants sans moyens de déplacement tout comme ceux de la Police avec des véhicules rarement en état de marche et abonnés au manque de carburant.</w:t>
      </w:r>
    </w:p>
    <w:p>
      <w:pPr>
        <w:pStyle w:val="BodyText"/>
        <w:spacing w:before="120"/>
        <w:ind w:right="106" w:firstLine="283"/>
      </w:pPr>
      <w:r>
        <w:rPr>
          <w:color w:val="231F20"/>
        </w:rPr>
        <w:t>Les centres de santé sont inefficaces, sous équipés. Sans matériel </w:t>
      </w:r>
      <w:r>
        <w:rPr>
          <w:color w:val="231F20"/>
          <w:spacing w:val="-4"/>
        </w:rPr>
        <w:t>didactique et pédagogique, les</w:t>
      </w:r>
      <w:r>
        <w:rPr>
          <w:color w:val="231F20"/>
          <w:spacing w:val="-5"/>
        </w:rPr>
        <w:t> </w:t>
      </w:r>
      <w:r>
        <w:rPr>
          <w:color w:val="231F20"/>
          <w:spacing w:val="-4"/>
        </w:rPr>
        <w:t>établissements</w:t>
      </w:r>
      <w:r>
        <w:rPr>
          <w:color w:val="231F20"/>
          <w:spacing w:val="-6"/>
        </w:rPr>
        <w:t> </w:t>
      </w:r>
      <w:r>
        <w:rPr>
          <w:color w:val="231F20"/>
          <w:spacing w:val="-4"/>
        </w:rPr>
        <w:t>d’enseignement ne</w:t>
      </w:r>
      <w:r>
        <w:rPr>
          <w:color w:val="231F20"/>
          <w:spacing w:val="-7"/>
        </w:rPr>
        <w:t> </w:t>
      </w:r>
      <w:r>
        <w:rPr>
          <w:color w:val="231F20"/>
          <w:spacing w:val="-4"/>
        </w:rPr>
        <w:t>peuvent </w:t>
      </w:r>
      <w:r>
        <w:rPr>
          <w:color w:val="231F20"/>
          <w:spacing w:val="-2"/>
        </w:rPr>
        <w:t>pas</w:t>
      </w:r>
      <w:r>
        <w:rPr>
          <w:color w:val="231F20"/>
          <w:spacing w:val="-8"/>
        </w:rPr>
        <w:t> </w:t>
      </w:r>
      <w:r>
        <w:rPr>
          <w:color w:val="231F20"/>
          <w:spacing w:val="-2"/>
        </w:rPr>
        <w:t>être</w:t>
      </w:r>
      <w:r>
        <w:rPr>
          <w:color w:val="231F20"/>
          <w:spacing w:val="-8"/>
        </w:rPr>
        <w:t> </w:t>
      </w:r>
      <w:r>
        <w:rPr>
          <w:color w:val="231F20"/>
          <w:spacing w:val="-2"/>
        </w:rPr>
        <w:t>efficaces</w:t>
      </w:r>
      <w:r>
        <w:rPr>
          <w:color w:val="231F20"/>
          <w:spacing w:val="-11"/>
        </w:rPr>
        <w:t> </w:t>
      </w:r>
      <w:r>
        <w:rPr>
          <w:color w:val="231F20"/>
          <w:spacing w:val="-2"/>
        </w:rPr>
        <w:t>;</w:t>
      </w:r>
      <w:r>
        <w:rPr>
          <w:color w:val="231F20"/>
          <w:spacing w:val="-7"/>
        </w:rPr>
        <w:t> </w:t>
      </w:r>
      <w:r>
        <w:rPr>
          <w:color w:val="231F20"/>
          <w:spacing w:val="-2"/>
        </w:rPr>
        <w:t>avec</w:t>
      </w:r>
      <w:r>
        <w:rPr>
          <w:color w:val="231F20"/>
          <w:spacing w:val="-8"/>
        </w:rPr>
        <w:t> </w:t>
      </w:r>
      <w:r>
        <w:rPr>
          <w:color w:val="231F20"/>
          <w:spacing w:val="-2"/>
        </w:rPr>
        <w:t>des</w:t>
      </w:r>
      <w:r>
        <w:rPr>
          <w:color w:val="231F20"/>
          <w:spacing w:val="-8"/>
        </w:rPr>
        <w:t> </w:t>
      </w:r>
      <w:r>
        <w:rPr>
          <w:color w:val="231F20"/>
          <w:spacing w:val="-2"/>
        </w:rPr>
        <w:t>effectifs</w:t>
      </w:r>
      <w:r>
        <w:rPr>
          <w:color w:val="231F20"/>
          <w:spacing w:val="-10"/>
        </w:rPr>
        <w:t> </w:t>
      </w:r>
      <w:r>
        <w:rPr>
          <w:color w:val="231F20"/>
          <w:spacing w:val="-2"/>
        </w:rPr>
        <w:t>de</w:t>
      </w:r>
      <w:r>
        <w:rPr>
          <w:color w:val="231F20"/>
          <w:spacing w:val="-8"/>
        </w:rPr>
        <w:t> </w:t>
      </w:r>
      <w:r>
        <w:rPr>
          <w:color w:val="231F20"/>
          <w:spacing w:val="-2"/>
        </w:rPr>
        <w:t>100</w:t>
      </w:r>
      <w:r>
        <w:rPr>
          <w:color w:val="231F20"/>
          <w:spacing w:val="-9"/>
        </w:rPr>
        <w:t> </w:t>
      </w:r>
      <w:r>
        <w:rPr>
          <w:color w:val="231F20"/>
          <w:spacing w:val="-2"/>
        </w:rPr>
        <w:t>élèves,</w:t>
      </w:r>
      <w:r>
        <w:rPr>
          <w:color w:val="231F20"/>
          <w:spacing w:val="-9"/>
        </w:rPr>
        <w:t> </w:t>
      </w:r>
      <w:r>
        <w:rPr>
          <w:color w:val="231F20"/>
          <w:spacing w:val="-2"/>
        </w:rPr>
        <w:t>voire</w:t>
      </w:r>
      <w:r>
        <w:rPr>
          <w:color w:val="231F20"/>
          <w:spacing w:val="-8"/>
        </w:rPr>
        <w:t> </w:t>
      </w:r>
      <w:r>
        <w:rPr>
          <w:color w:val="231F20"/>
          <w:spacing w:val="-2"/>
        </w:rPr>
        <w:t>plus</w:t>
      </w:r>
      <w:r>
        <w:rPr>
          <w:color w:val="231F20"/>
          <w:spacing w:val="-9"/>
        </w:rPr>
        <w:t> </w:t>
      </w:r>
      <w:r>
        <w:rPr>
          <w:color w:val="231F20"/>
          <w:spacing w:val="-2"/>
        </w:rPr>
        <w:t>par</w:t>
      </w:r>
      <w:r>
        <w:rPr>
          <w:color w:val="231F20"/>
          <w:spacing w:val="-8"/>
        </w:rPr>
        <w:t> </w:t>
      </w:r>
      <w:r>
        <w:rPr>
          <w:color w:val="231F20"/>
          <w:spacing w:val="-2"/>
        </w:rPr>
        <w:t>classe, </w:t>
      </w:r>
      <w:r>
        <w:rPr>
          <w:color w:val="231F20"/>
        </w:rPr>
        <w:t>l’enseignant</w:t>
      </w:r>
      <w:r>
        <w:rPr>
          <w:color w:val="231F20"/>
          <w:spacing w:val="-10"/>
        </w:rPr>
        <w:t> </w:t>
      </w:r>
      <w:r>
        <w:rPr>
          <w:color w:val="231F20"/>
        </w:rPr>
        <w:t>ne</w:t>
      </w:r>
      <w:r>
        <w:rPr>
          <w:color w:val="231F20"/>
          <w:spacing w:val="-12"/>
        </w:rPr>
        <w:t> </w:t>
      </w:r>
      <w:r>
        <w:rPr>
          <w:color w:val="231F20"/>
        </w:rPr>
        <w:t>peut</w:t>
      </w:r>
      <w:r>
        <w:rPr>
          <w:color w:val="231F20"/>
          <w:spacing w:val="-10"/>
        </w:rPr>
        <w:t> </w:t>
      </w:r>
      <w:r>
        <w:rPr>
          <w:color w:val="231F20"/>
        </w:rPr>
        <w:t>pas</w:t>
      </w:r>
      <w:r>
        <w:rPr>
          <w:color w:val="231F20"/>
          <w:spacing w:val="-11"/>
        </w:rPr>
        <w:t> </w:t>
      </w:r>
      <w:r>
        <w:rPr>
          <w:color w:val="231F20"/>
        </w:rPr>
        <w:t>donner</w:t>
      </w:r>
      <w:r>
        <w:rPr>
          <w:color w:val="231F20"/>
          <w:spacing w:val="-11"/>
        </w:rPr>
        <w:t> </w:t>
      </w:r>
      <w:r>
        <w:rPr>
          <w:color w:val="231F20"/>
        </w:rPr>
        <w:t>le</w:t>
      </w:r>
      <w:r>
        <w:rPr>
          <w:color w:val="231F20"/>
          <w:spacing w:val="-11"/>
        </w:rPr>
        <w:t> </w:t>
      </w:r>
      <w:r>
        <w:rPr>
          <w:color w:val="231F20"/>
        </w:rPr>
        <w:t>meilleur</w:t>
      </w:r>
      <w:r>
        <w:rPr>
          <w:color w:val="231F20"/>
          <w:spacing w:val="-12"/>
        </w:rPr>
        <w:t> </w:t>
      </w:r>
      <w:r>
        <w:rPr>
          <w:color w:val="231F20"/>
        </w:rPr>
        <w:t>de</w:t>
      </w:r>
      <w:r>
        <w:rPr>
          <w:color w:val="231F20"/>
          <w:spacing w:val="-12"/>
        </w:rPr>
        <w:t> </w:t>
      </w:r>
      <w:r>
        <w:rPr>
          <w:color w:val="231F20"/>
        </w:rPr>
        <w:t>lui-même.</w:t>
      </w:r>
      <w:r>
        <w:rPr>
          <w:color w:val="231F20"/>
          <w:spacing w:val="-11"/>
        </w:rPr>
        <w:t> </w:t>
      </w:r>
      <w:r>
        <w:rPr>
          <w:color w:val="231F20"/>
        </w:rPr>
        <w:t>Au</w:t>
      </w:r>
      <w:r>
        <w:rPr>
          <w:color w:val="231F20"/>
          <w:spacing w:val="-11"/>
        </w:rPr>
        <w:t> </w:t>
      </w:r>
      <w:r>
        <w:rPr>
          <w:color w:val="231F20"/>
        </w:rPr>
        <w:t>niveau</w:t>
      </w:r>
      <w:r>
        <w:rPr>
          <w:color w:val="231F20"/>
          <w:spacing w:val="-11"/>
        </w:rPr>
        <w:t> </w:t>
      </w:r>
      <w:r>
        <w:rPr>
          <w:color w:val="231F20"/>
        </w:rPr>
        <w:t>des Greffes, les archives sont partiellement conservées dans des locaux inadaptés et vétustes.</w:t>
      </w:r>
    </w:p>
    <w:p>
      <w:pPr>
        <w:pStyle w:val="BodyText"/>
        <w:spacing w:before="121"/>
        <w:ind w:right="103" w:firstLine="283"/>
      </w:pPr>
      <w:r>
        <w:rPr>
          <w:color w:val="231F20"/>
          <w:spacing w:val="-4"/>
        </w:rPr>
        <w:t>La</w:t>
      </w:r>
      <w:r>
        <w:rPr>
          <w:color w:val="231F20"/>
          <w:spacing w:val="-6"/>
        </w:rPr>
        <w:t> </w:t>
      </w:r>
      <w:r>
        <w:rPr>
          <w:color w:val="231F20"/>
          <w:spacing w:val="-4"/>
        </w:rPr>
        <w:t>faible</w:t>
      </w:r>
      <w:r>
        <w:rPr>
          <w:color w:val="231F20"/>
          <w:spacing w:val="-6"/>
        </w:rPr>
        <w:t> </w:t>
      </w:r>
      <w:r>
        <w:rPr>
          <w:color w:val="231F20"/>
          <w:spacing w:val="-4"/>
        </w:rPr>
        <w:t>décentralisation</w:t>
      </w:r>
      <w:r>
        <w:rPr>
          <w:color w:val="231F20"/>
          <w:spacing w:val="-8"/>
        </w:rPr>
        <w:t> </w:t>
      </w:r>
      <w:r>
        <w:rPr>
          <w:color w:val="231F20"/>
          <w:spacing w:val="-4"/>
        </w:rPr>
        <w:t>des</w:t>
      </w:r>
      <w:r>
        <w:rPr>
          <w:color w:val="231F20"/>
          <w:spacing w:val="-6"/>
        </w:rPr>
        <w:t> </w:t>
      </w:r>
      <w:r>
        <w:rPr>
          <w:color w:val="231F20"/>
          <w:spacing w:val="-4"/>
        </w:rPr>
        <w:t>services</w:t>
      </w:r>
      <w:r>
        <w:rPr>
          <w:color w:val="231F20"/>
          <w:spacing w:val="-8"/>
        </w:rPr>
        <w:t> </w:t>
      </w:r>
      <w:r>
        <w:rPr>
          <w:color w:val="231F20"/>
          <w:spacing w:val="-4"/>
        </w:rPr>
        <w:t>amène</w:t>
      </w:r>
      <w:r>
        <w:rPr>
          <w:color w:val="231F20"/>
          <w:spacing w:val="-6"/>
        </w:rPr>
        <w:t> </w:t>
      </w:r>
      <w:r>
        <w:rPr>
          <w:color w:val="231F20"/>
          <w:spacing w:val="-4"/>
        </w:rPr>
        <w:t>le</w:t>
      </w:r>
      <w:r>
        <w:rPr>
          <w:color w:val="231F20"/>
          <w:spacing w:val="-8"/>
        </w:rPr>
        <w:t> </w:t>
      </w:r>
      <w:r>
        <w:rPr>
          <w:color w:val="231F20"/>
          <w:spacing w:val="-4"/>
        </w:rPr>
        <w:t>demandeur</w:t>
      </w:r>
      <w:r>
        <w:rPr>
          <w:color w:val="231F20"/>
          <w:spacing w:val="-6"/>
        </w:rPr>
        <w:t> </w:t>
      </w:r>
      <w:r>
        <w:rPr>
          <w:color w:val="231F20"/>
          <w:spacing w:val="-4"/>
        </w:rPr>
        <w:t>de</w:t>
      </w:r>
      <w:r>
        <w:rPr>
          <w:color w:val="231F20"/>
          <w:spacing w:val="-6"/>
        </w:rPr>
        <w:t> </w:t>
      </w:r>
      <w:r>
        <w:rPr>
          <w:color w:val="231F20"/>
          <w:spacing w:val="-4"/>
        </w:rPr>
        <w:t>certains </w:t>
      </w:r>
      <w:r>
        <w:rPr>
          <w:color w:val="231F20"/>
          <w:spacing w:val="-2"/>
        </w:rPr>
        <w:t>documents</w:t>
      </w:r>
      <w:r>
        <w:rPr>
          <w:color w:val="231F20"/>
          <w:spacing w:val="-12"/>
        </w:rPr>
        <w:t> </w:t>
      </w:r>
      <w:r>
        <w:rPr>
          <w:color w:val="231F20"/>
          <w:spacing w:val="-2"/>
        </w:rPr>
        <w:t>à</w:t>
      </w:r>
      <w:r>
        <w:rPr>
          <w:color w:val="231F20"/>
          <w:spacing w:val="-13"/>
        </w:rPr>
        <w:t> </w:t>
      </w:r>
      <w:r>
        <w:rPr>
          <w:color w:val="231F20"/>
          <w:spacing w:val="-2"/>
        </w:rPr>
        <w:t>se</w:t>
      </w:r>
      <w:r>
        <w:rPr>
          <w:color w:val="231F20"/>
          <w:spacing w:val="-12"/>
        </w:rPr>
        <w:t> </w:t>
      </w:r>
      <w:r>
        <w:rPr>
          <w:color w:val="231F20"/>
          <w:spacing w:val="-2"/>
        </w:rPr>
        <w:t>déplacer</w:t>
      </w:r>
      <w:r>
        <w:rPr>
          <w:color w:val="231F20"/>
          <w:spacing w:val="-10"/>
        </w:rPr>
        <w:t> </w:t>
      </w:r>
      <w:r>
        <w:rPr>
          <w:color w:val="231F20"/>
          <w:spacing w:val="-2"/>
        </w:rPr>
        <w:t>:</w:t>
      </w:r>
      <w:r>
        <w:rPr>
          <w:color w:val="231F20"/>
          <w:spacing w:val="-11"/>
        </w:rPr>
        <w:t> </w:t>
      </w:r>
      <w:r>
        <w:rPr>
          <w:color w:val="231F20"/>
          <w:spacing w:val="-2"/>
        </w:rPr>
        <w:t>pour</w:t>
      </w:r>
      <w:r>
        <w:rPr>
          <w:color w:val="231F20"/>
          <w:spacing w:val="-12"/>
        </w:rPr>
        <w:t> </w:t>
      </w:r>
      <w:r>
        <w:rPr>
          <w:color w:val="231F20"/>
          <w:spacing w:val="-2"/>
        </w:rPr>
        <w:t>une</w:t>
      </w:r>
      <w:r>
        <w:rPr>
          <w:color w:val="231F20"/>
          <w:spacing w:val="-12"/>
        </w:rPr>
        <w:t> </w:t>
      </w:r>
      <w:r>
        <w:rPr>
          <w:color w:val="231F20"/>
          <w:spacing w:val="-2"/>
        </w:rPr>
        <w:t>copie</w:t>
      </w:r>
      <w:r>
        <w:rPr>
          <w:color w:val="231F20"/>
          <w:spacing w:val="-12"/>
        </w:rPr>
        <w:t> </w:t>
      </w:r>
      <w:r>
        <w:rPr>
          <w:color w:val="231F20"/>
          <w:spacing w:val="-2"/>
        </w:rPr>
        <w:t>d’extrait</w:t>
      </w:r>
      <w:r>
        <w:rPr>
          <w:color w:val="231F20"/>
          <w:spacing w:val="-12"/>
        </w:rPr>
        <w:t> </w:t>
      </w:r>
      <w:r>
        <w:rPr>
          <w:color w:val="231F20"/>
          <w:spacing w:val="-2"/>
        </w:rPr>
        <w:t>d’acte</w:t>
      </w:r>
      <w:r>
        <w:rPr>
          <w:color w:val="231F20"/>
          <w:spacing w:val="-12"/>
        </w:rPr>
        <w:t> </w:t>
      </w:r>
      <w:r>
        <w:rPr>
          <w:color w:val="231F20"/>
          <w:spacing w:val="-2"/>
        </w:rPr>
        <w:t>de</w:t>
      </w:r>
      <w:r>
        <w:rPr>
          <w:color w:val="231F20"/>
          <w:spacing w:val="-12"/>
        </w:rPr>
        <w:t> </w:t>
      </w:r>
      <w:r>
        <w:rPr>
          <w:color w:val="231F20"/>
          <w:spacing w:val="-2"/>
        </w:rPr>
        <w:t>naissance</w:t>
      </w:r>
      <w:r>
        <w:rPr>
          <w:color w:val="231F20"/>
          <w:spacing w:val="-12"/>
        </w:rPr>
        <w:t> </w:t>
      </w:r>
      <w:r>
        <w:rPr>
          <w:color w:val="231F20"/>
          <w:spacing w:val="-2"/>
        </w:rPr>
        <w:t>ou </w:t>
      </w:r>
      <w:r>
        <w:rPr>
          <w:color w:val="231F20"/>
        </w:rPr>
        <w:t>de jugement supplétif, le demandeur devra se rendre dans son lieu de naissance</w:t>
      </w:r>
      <w:r>
        <w:rPr>
          <w:color w:val="231F20"/>
          <w:spacing w:val="-8"/>
        </w:rPr>
        <w:t> </w:t>
      </w:r>
      <w:r>
        <w:rPr>
          <w:color w:val="231F20"/>
        </w:rPr>
        <w:t>qui</w:t>
      </w:r>
      <w:r>
        <w:rPr>
          <w:color w:val="231F20"/>
          <w:spacing w:val="-8"/>
        </w:rPr>
        <w:t> </w:t>
      </w:r>
      <w:r>
        <w:rPr>
          <w:color w:val="231F20"/>
        </w:rPr>
        <w:t>peut</w:t>
      </w:r>
      <w:r>
        <w:rPr>
          <w:color w:val="231F20"/>
          <w:spacing w:val="-8"/>
        </w:rPr>
        <w:t> </w:t>
      </w:r>
      <w:r>
        <w:rPr>
          <w:color w:val="231F20"/>
        </w:rPr>
        <w:t>se</w:t>
      </w:r>
      <w:r>
        <w:rPr>
          <w:color w:val="231F20"/>
          <w:spacing w:val="-8"/>
        </w:rPr>
        <w:t> </w:t>
      </w:r>
      <w:r>
        <w:rPr>
          <w:color w:val="231F20"/>
        </w:rPr>
        <w:t>trouver</w:t>
      </w:r>
      <w:r>
        <w:rPr>
          <w:color w:val="231F20"/>
          <w:spacing w:val="-8"/>
        </w:rPr>
        <w:t> </w:t>
      </w:r>
      <w:r>
        <w:rPr>
          <w:color w:val="231F20"/>
        </w:rPr>
        <w:t>à</w:t>
      </w:r>
      <w:r>
        <w:rPr>
          <w:color w:val="231F20"/>
          <w:spacing w:val="-8"/>
        </w:rPr>
        <w:t> </w:t>
      </w:r>
      <w:r>
        <w:rPr>
          <w:color w:val="231F20"/>
        </w:rPr>
        <w:t>plusieurs</w:t>
      </w:r>
      <w:r>
        <w:rPr>
          <w:color w:val="231F20"/>
          <w:spacing w:val="-8"/>
        </w:rPr>
        <w:t> </w:t>
      </w:r>
      <w:r>
        <w:rPr>
          <w:color w:val="231F20"/>
        </w:rPr>
        <w:t>centaines</w:t>
      </w:r>
      <w:r>
        <w:rPr>
          <w:color w:val="231F20"/>
          <w:spacing w:val="-9"/>
        </w:rPr>
        <w:t> </w:t>
      </w:r>
      <w:r>
        <w:rPr>
          <w:color w:val="231F20"/>
        </w:rPr>
        <w:t>de</w:t>
      </w:r>
      <w:r>
        <w:rPr>
          <w:color w:val="231F20"/>
          <w:spacing w:val="-8"/>
        </w:rPr>
        <w:t> </w:t>
      </w:r>
      <w:r>
        <w:rPr>
          <w:color w:val="231F20"/>
        </w:rPr>
        <w:t>kilomètres</w:t>
      </w:r>
      <w:r>
        <w:rPr>
          <w:color w:val="231F20"/>
          <w:spacing w:val="-8"/>
        </w:rPr>
        <w:t> </w:t>
      </w:r>
      <w:r>
        <w:rPr>
          <w:color w:val="231F20"/>
        </w:rPr>
        <w:t>de</w:t>
      </w:r>
      <w:r>
        <w:rPr>
          <w:color w:val="231F20"/>
          <w:spacing w:val="-8"/>
        </w:rPr>
        <w:t> </w:t>
      </w:r>
      <w:r>
        <w:rPr>
          <w:color w:val="231F20"/>
        </w:rPr>
        <w:t>son lieu d’habitation ou de travail. L’absence de politique rigoureuse d’évaluation du personnel crée des frustrations</w:t>
      </w:r>
      <w:r>
        <w:rPr>
          <w:color w:val="231F20"/>
          <w:spacing w:val="-15"/>
        </w:rPr>
        <w:t> </w:t>
      </w:r>
      <w:r>
        <w:rPr>
          <w:color w:val="231F20"/>
        </w:rPr>
        <w:t>: complaisance dans la </w:t>
      </w:r>
      <w:r>
        <w:rPr>
          <w:color w:val="231F20"/>
          <w:spacing w:val="-4"/>
        </w:rPr>
        <w:t>promotion</w:t>
      </w:r>
      <w:r>
        <w:rPr>
          <w:color w:val="231F20"/>
          <w:spacing w:val="-9"/>
        </w:rPr>
        <w:t> </w:t>
      </w:r>
      <w:r>
        <w:rPr>
          <w:color w:val="231F20"/>
          <w:spacing w:val="-4"/>
        </w:rPr>
        <w:t>du</w:t>
      </w:r>
      <w:r>
        <w:rPr>
          <w:color w:val="231F20"/>
          <w:spacing w:val="-8"/>
        </w:rPr>
        <w:t> </w:t>
      </w:r>
      <w:r>
        <w:rPr>
          <w:color w:val="231F20"/>
          <w:spacing w:val="-4"/>
        </w:rPr>
        <w:t>personnel,</w:t>
      </w:r>
      <w:r>
        <w:rPr>
          <w:color w:val="231F20"/>
          <w:spacing w:val="-8"/>
        </w:rPr>
        <w:t> </w:t>
      </w:r>
      <w:r>
        <w:rPr>
          <w:color w:val="231F20"/>
          <w:spacing w:val="-4"/>
        </w:rPr>
        <w:t>non</w:t>
      </w:r>
      <w:r>
        <w:rPr>
          <w:color w:val="231F20"/>
          <w:spacing w:val="-8"/>
        </w:rPr>
        <w:t> </w:t>
      </w:r>
      <w:r>
        <w:rPr>
          <w:color w:val="231F20"/>
          <w:spacing w:val="-4"/>
        </w:rPr>
        <w:t>responsabilisation</w:t>
      </w:r>
      <w:r>
        <w:rPr>
          <w:color w:val="231F20"/>
          <w:spacing w:val="-8"/>
        </w:rPr>
        <w:t> </w:t>
      </w:r>
      <w:r>
        <w:rPr>
          <w:color w:val="231F20"/>
          <w:spacing w:val="-4"/>
        </w:rPr>
        <w:t>des</w:t>
      </w:r>
      <w:r>
        <w:rPr>
          <w:color w:val="231F20"/>
          <w:spacing w:val="-11"/>
        </w:rPr>
        <w:t> </w:t>
      </w:r>
      <w:r>
        <w:rPr>
          <w:color w:val="231F20"/>
          <w:spacing w:val="-4"/>
        </w:rPr>
        <w:t>cadres</w:t>
      </w:r>
      <w:r>
        <w:rPr>
          <w:color w:val="231F20"/>
          <w:spacing w:val="-8"/>
        </w:rPr>
        <w:t> </w:t>
      </w:r>
      <w:r>
        <w:rPr>
          <w:color w:val="231F20"/>
          <w:spacing w:val="-4"/>
        </w:rPr>
        <w:t>qui</w:t>
      </w:r>
      <w:r>
        <w:rPr>
          <w:color w:val="231F20"/>
          <w:spacing w:val="-8"/>
        </w:rPr>
        <w:t> </w:t>
      </w:r>
      <w:r>
        <w:rPr>
          <w:color w:val="231F20"/>
          <w:spacing w:val="-4"/>
        </w:rPr>
        <w:t>ne</w:t>
      </w:r>
      <w:r>
        <w:rPr>
          <w:color w:val="231F20"/>
          <w:spacing w:val="-11"/>
        </w:rPr>
        <w:t> </w:t>
      </w:r>
      <w:r>
        <w:rPr>
          <w:color w:val="231F20"/>
          <w:spacing w:val="-4"/>
        </w:rPr>
        <w:t>sont</w:t>
      </w:r>
      <w:r>
        <w:rPr>
          <w:color w:val="231F20"/>
          <w:spacing w:val="-7"/>
        </w:rPr>
        <w:t> </w:t>
      </w:r>
      <w:r>
        <w:rPr>
          <w:color w:val="231F20"/>
          <w:spacing w:val="-4"/>
        </w:rPr>
        <w:t>pas du</w:t>
      </w:r>
      <w:r>
        <w:rPr>
          <w:color w:val="231F20"/>
          <w:spacing w:val="-7"/>
        </w:rPr>
        <w:t> </w:t>
      </w:r>
      <w:r>
        <w:rPr>
          <w:color w:val="231F20"/>
          <w:spacing w:val="-4"/>
        </w:rPr>
        <w:t>bord</w:t>
      </w:r>
      <w:r>
        <w:rPr>
          <w:color w:val="231F20"/>
          <w:spacing w:val="-10"/>
        </w:rPr>
        <w:t> </w:t>
      </w:r>
      <w:r>
        <w:rPr>
          <w:color w:val="231F20"/>
          <w:spacing w:val="-4"/>
        </w:rPr>
        <w:t>politique</w:t>
      </w:r>
      <w:r>
        <w:rPr>
          <w:color w:val="231F20"/>
          <w:spacing w:val="-10"/>
        </w:rPr>
        <w:t> </w:t>
      </w:r>
      <w:r>
        <w:rPr>
          <w:color w:val="231F20"/>
          <w:spacing w:val="-4"/>
        </w:rPr>
        <w:t>des</w:t>
      </w:r>
      <w:r>
        <w:rPr>
          <w:color w:val="231F20"/>
          <w:spacing w:val="-7"/>
        </w:rPr>
        <w:t> </w:t>
      </w:r>
      <w:r>
        <w:rPr>
          <w:color w:val="231F20"/>
          <w:spacing w:val="-4"/>
        </w:rPr>
        <w:t>tenants</w:t>
      </w:r>
      <w:r>
        <w:rPr>
          <w:color w:val="231F20"/>
          <w:spacing w:val="-7"/>
        </w:rPr>
        <w:t> </w:t>
      </w:r>
      <w:r>
        <w:rPr>
          <w:color w:val="231F20"/>
          <w:spacing w:val="-4"/>
        </w:rPr>
        <w:t>du</w:t>
      </w:r>
      <w:r>
        <w:rPr>
          <w:color w:val="231F20"/>
          <w:spacing w:val="-7"/>
        </w:rPr>
        <w:t> </w:t>
      </w:r>
      <w:r>
        <w:rPr>
          <w:color w:val="231F20"/>
          <w:spacing w:val="-4"/>
        </w:rPr>
        <w:t>pouvoir,</w:t>
      </w:r>
      <w:r>
        <w:rPr>
          <w:color w:val="231F20"/>
          <w:spacing w:val="-7"/>
        </w:rPr>
        <w:t> </w:t>
      </w:r>
      <w:r>
        <w:rPr>
          <w:color w:val="231F20"/>
          <w:spacing w:val="-4"/>
        </w:rPr>
        <w:t>absence</w:t>
      </w:r>
      <w:r>
        <w:rPr>
          <w:color w:val="231F20"/>
          <w:spacing w:val="-10"/>
        </w:rPr>
        <w:t> </w:t>
      </w:r>
      <w:r>
        <w:rPr>
          <w:color w:val="231F20"/>
          <w:spacing w:val="-4"/>
        </w:rPr>
        <w:t>de</w:t>
      </w:r>
      <w:r>
        <w:rPr>
          <w:color w:val="231F20"/>
          <w:spacing w:val="-7"/>
        </w:rPr>
        <w:t> </w:t>
      </w:r>
      <w:r>
        <w:rPr>
          <w:color w:val="231F20"/>
          <w:spacing w:val="-4"/>
        </w:rPr>
        <w:t>plan</w:t>
      </w:r>
      <w:r>
        <w:rPr>
          <w:color w:val="231F20"/>
          <w:spacing w:val="-7"/>
        </w:rPr>
        <w:t> </w:t>
      </w:r>
      <w:r>
        <w:rPr>
          <w:color w:val="231F20"/>
          <w:spacing w:val="-4"/>
        </w:rPr>
        <w:t>de</w:t>
      </w:r>
      <w:r>
        <w:rPr>
          <w:color w:val="231F20"/>
          <w:spacing w:val="-7"/>
        </w:rPr>
        <w:t> </w:t>
      </w:r>
      <w:r>
        <w:rPr>
          <w:color w:val="231F20"/>
          <w:spacing w:val="-4"/>
        </w:rPr>
        <w:t>carrière</w:t>
      </w:r>
      <w:r>
        <w:rPr>
          <w:color w:val="231F20"/>
          <w:spacing w:val="-7"/>
        </w:rPr>
        <w:t> </w:t>
      </w:r>
      <w:r>
        <w:rPr>
          <w:color w:val="231F20"/>
          <w:spacing w:val="-4"/>
        </w:rPr>
        <w:t>et</w:t>
      </w:r>
      <w:r>
        <w:rPr>
          <w:color w:val="231F20"/>
          <w:spacing w:val="-6"/>
        </w:rPr>
        <w:t> </w:t>
      </w:r>
      <w:r>
        <w:rPr>
          <w:color w:val="231F20"/>
          <w:spacing w:val="-4"/>
        </w:rPr>
        <w:t>de </w:t>
      </w:r>
      <w:r>
        <w:rPr>
          <w:color w:val="231F20"/>
        </w:rPr>
        <w:t>programme de formation</w:t>
      </w:r>
      <w:r>
        <w:rPr>
          <w:color w:val="231F20"/>
          <w:spacing w:val="-1"/>
        </w:rPr>
        <w:t> </w:t>
      </w:r>
      <w:r>
        <w:rPr>
          <w:color w:val="231F20"/>
        </w:rPr>
        <w:t>et de recyclage, etc.</w:t>
      </w:r>
    </w:p>
    <w:p>
      <w:pPr>
        <w:pStyle w:val="BodyText"/>
        <w:spacing w:before="120"/>
        <w:ind w:right="110" w:firstLine="283"/>
      </w:pPr>
      <w:r>
        <w:rPr>
          <w:color w:val="231F20"/>
        </w:rPr>
        <w:t>Au</w:t>
      </w:r>
      <w:r>
        <w:rPr>
          <w:color w:val="231F20"/>
          <w:spacing w:val="-13"/>
        </w:rPr>
        <w:t> </w:t>
      </w:r>
      <w:r>
        <w:rPr>
          <w:color w:val="231F20"/>
        </w:rPr>
        <w:t>manque</w:t>
      </w:r>
      <w:r>
        <w:rPr>
          <w:color w:val="231F20"/>
          <w:spacing w:val="-13"/>
        </w:rPr>
        <w:t> </w:t>
      </w:r>
      <w:r>
        <w:rPr>
          <w:color w:val="231F20"/>
        </w:rPr>
        <w:t>de</w:t>
      </w:r>
      <w:r>
        <w:rPr>
          <w:color w:val="231F20"/>
          <w:spacing w:val="-15"/>
        </w:rPr>
        <w:t> </w:t>
      </w:r>
      <w:r>
        <w:rPr>
          <w:color w:val="231F20"/>
        </w:rPr>
        <w:t>motivation</w:t>
      </w:r>
      <w:r>
        <w:rPr>
          <w:color w:val="231F20"/>
          <w:spacing w:val="-13"/>
        </w:rPr>
        <w:t> </w:t>
      </w:r>
      <w:r>
        <w:rPr>
          <w:color w:val="231F20"/>
        </w:rPr>
        <w:t>pour</w:t>
      </w:r>
      <w:r>
        <w:rPr>
          <w:color w:val="231F20"/>
          <w:spacing w:val="-15"/>
        </w:rPr>
        <w:t> </w:t>
      </w:r>
      <w:r>
        <w:rPr>
          <w:color w:val="231F20"/>
        </w:rPr>
        <w:t>certains,</w:t>
      </w:r>
      <w:r>
        <w:rPr>
          <w:color w:val="231F20"/>
          <w:spacing w:val="-14"/>
        </w:rPr>
        <w:t> </w:t>
      </w:r>
      <w:r>
        <w:rPr>
          <w:color w:val="231F20"/>
        </w:rPr>
        <w:t>il</w:t>
      </w:r>
      <w:r>
        <w:rPr>
          <w:color w:val="231F20"/>
          <w:spacing w:val="-13"/>
        </w:rPr>
        <w:t> </w:t>
      </w:r>
      <w:r>
        <w:rPr>
          <w:color w:val="231F20"/>
        </w:rPr>
        <w:t>faut</w:t>
      </w:r>
      <w:r>
        <w:rPr>
          <w:color w:val="231F20"/>
          <w:spacing w:val="-12"/>
        </w:rPr>
        <w:t> </w:t>
      </w:r>
      <w:r>
        <w:rPr>
          <w:color w:val="231F20"/>
        </w:rPr>
        <w:t>ajouter</w:t>
      </w:r>
      <w:r>
        <w:rPr>
          <w:color w:val="231F20"/>
          <w:spacing w:val="-13"/>
        </w:rPr>
        <w:t> </w:t>
      </w:r>
      <w:r>
        <w:rPr>
          <w:color w:val="231F20"/>
        </w:rPr>
        <w:t>pour</w:t>
      </w:r>
      <w:r>
        <w:rPr>
          <w:color w:val="231F20"/>
          <w:spacing w:val="-13"/>
        </w:rPr>
        <w:t> </w:t>
      </w:r>
      <w:r>
        <w:rPr>
          <w:color w:val="231F20"/>
        </w:rPr>
        <w:t>d’autres, le</w:t>
      </w:r>
      <w:r>
        <w:rPr>
          <w:color w:val="231F20"/>
          <w:spacing w:val="-15"/>
        </w:rPr>
        <w:t> </w:t>
      </w:r>
      <w:r>
        <w:rPr>
          <w:color w:val="231F20"/>
        </w:rPr>
        <w:t>manque</w:t>
      </w:r>
      <w:r>
        <w:rPr>
          <w:color w:val="231F20"/>
          <w:spacing w:val="-15"/>
        </w:rPr>
        <w:t> </w:t>
      </w:r>
      <w:r>
        <w:rPr>
          <w:color w:val="231F20"/>
        </w:rPr>
        <w:t>de</w:t>
      </w:r>
      <w:r>
        <w:rPr>
          <w:color w:val="231F20"/>
          <w:spacing w:val="-15"/>
        </w:rPr>
        <w:t> </w:t>
      </w:r>
      <w:r>
        <w:rPr>
          <w:color w:val="231F20"/>
        </w:rPr>
        <w:t>conscience</w:t>
      </w:r>
      <w:r>
        <w:rPr>
          <w:color w:val="231F20"/>
          <w:spacing w:val="-15"/>
        </w:rPr>
        <w:t> </w:t>
      </w:r>
      <w:r>
        <w:rPr>
          <w:color w:val="231F20"/>
        </w:rPr>
        <w:t>professionnelle</w:t>
      </w:r>
      <w:r>
        <w:rPr>
          <w:color w:val="231F20"/>
          <w:spacing w:val="-15"/>
        </w:rPr>
        <w:t> </w:t>
      </w:r>
      <w:r>
        <w:rPr>
          <w:color w:val="231F20"/>
        </w:rPr>
        <w:t>et</w:t>
      </w:r>
      <w:r>
        <w:rPr>
          <w:color w:val="231F20"/>
          <w:spacing w:val="-15"/>
        </w:rPr>
        <w:t> </w:t>
      </w:r>
      <w:r>
        <w:rPr>
          <w:color w:val="231F20"/>
        </w:rPr>
        <w:t>le</w:t>
      </w:r>
      <w:r>
        <w:rPr>
          <w:color w:val="231F20"/>
          <w:spacing w:val="-15"/>
        </w:rPr>
        <w:t> </w:t>
      </w:r>
      <w:r>
        <w:rPr>
          <w:color w:val="231F20"/>
        </w:rPr>
        <w:t>laxisme</w:t>
      </w:r>
      <w:r>
        <w:rPr>
          <w:color w:val="231F20"/>
          <w:spacing w:val="-15"/>
        </w:rPr>
        <w:t> </w:t>
      </w:r>
      <w:r>
        <w:rPr>
          <w:color w:val="231F20"/>
        </w:rPr>
        <w:t>encouragés</w:t>
      </w:r>
      <w:r>
        <w:rPr>
          <w:color w:val="231F20"/>
          <w:spacing w:val="-15"/>
        </w:rPr>
        <w:t> </w:t>
      </w:r>
      <w:r>
        <w:rPr>
          <w:color w:val="231F20"/>
        </w:rPr>
        <w:t>par</w:t>
      </w:r>
      <w:r>
        <w:rPr>
          <w:color w:val="231F20"/>
          <w:spacing w:val="-15"/>
        </w:rPr>
        <w:t> </w:t>
      </w:r>
      <w:r>
        <w:rPr>
          <w:color w:val="231F20"/>
        </w:rPr>
        <w:t>le manque</w:t>
      </w:r>
      <w:r>
        <w:rPr>
          <w:color w:val="231F20"/>
          <w:spacing w:val="-2"/>
        </w:rPr>
        <w:t> </w:t>
      </w:r>
      <w:r>
        <w:rPr>
          <w:color w:val="231F20"/>
        </w:rPr>
        <w:t>de</w:t>
      </w:r>
      <w:r>
        <w:rPr>
          <w:color w:val="231F20"/>
          <w:spacing w:val="-6"/>
        </w:rPr>
        <w:t> </w:t>
      </w:r>
      <w:r>
        <w:rPr>
          <w:color w:val="231F20"/>
        </w:rPr>
        <w:t>contrôle</w:t>
      </w:r>
      <w:r>
        <w:rPr>
          <w:color w:val="231F20"/>
          <w:spacing w:val="-2"/>
        </w:rPr>
        <w:t> </w:t>
      </w:r>
      <w:r>
        <w:rPr>
          <w:color w:val="231F20"/>
        </w:rPr>
        <w:t>rigoureux</w:t>
      </w:r>
      <w:r>
        <w:rPr>
          <w:color w:val="231F20"/>
          <w:spacing w:val="-3"/>
        </w:rPr>
        <w:t> </w:t>
      </w:r>
      <w:r>
        <w:rPr>
          <w:color w:val="231F20"/>
        </w:rPr>
        <w:t>et</w:t>
      </w:r>
      <w:r>
        <w:rPr>
          <w:color w:val="231F20"/>
          <w:spacing w:val="-5"/>
        </w:rPr>
        <w:t> </w:t>
      </w:r>
      <w:r>
        <w:rPr>
          <w:color w:val="231F20"/>
        </w:rPr>
        <w:t>l’absence</w:t>
      </w:r>
      <w:r>
        <w:rPr>
          <w:color w:val="231F20"/>
          <w:spacing w:val="-3"/>
        </w:rPr>
        <w:t> </w:t>
      </w:r>
      <w:r>
        <w:rPr>
          <w:color w:val="231F20"/>
        </w:rPr>
        <w:t>de</w:t>
      </w:r>
      <w:r>
        <w:rPr>
          <w:color w:val="231F20"/>
          <w:spacing w:val="-5"/>
        </w:rPr>
        <w:t> </w:t>
      </w:r>
      <w:r>
        <w:rPr>
          <w:color w:val="231F20"/>
        </w:rPr>
        <w:t>sanction.</w:t>
      </w:r>
    </w:p>
    <w:p>
      <w:pPr>
        <w:pStyle w:val="BodyText"/>
        <w:spacing w:before="120"/>
        <w:ind w:right="104" w:firstLine="283"/>
      </w:pPr>
      <w:r>
        <w:rPr>
          <w:color w:val="231F20"/>
        </w:rPr>
        <w:t>Dans toutes les Administrations, la fraude, la corruption et le trafic d’influence sont des pratiques «</w:t>
      </w:r>
      <w:r>
        <w:rPr>
          <w:color w:val="231F20"/>
          <w:spacing w:val="-12"/>
        </w:rPr>
        <w:t> </w:t>
      </w:r>
      <w:r>
        <w:rPr>
          <w:color w:val="231F20"/>
        </w:rPr>
        <w:t>normales</w:t>
      </w:r>
      <w:r>
        <w:rPr>
          <w:color w:val="231F20"/>
          <w:spacing w:val="-15"/>
        </w:rPr>
        <w:t> </w:t>
      </w:r>
      <w:r>
        <w:rPr>
          <w:color w:val="231F20"/>
        </w:rPr>
        <w:t>». Ayant pour repère des dirigeants</w:t>
      </w:r>
      <w:r>
        <w:rPr>
          <w:color w:val="231F20"/>
          <w:spacing w:val="-9"/>
        </w:rPr>
        <w:t> </w:t>
      </w:r>
      <w:r>
        <w:rPr>
          <w:color w:val="231F20"/>
        </w:rPr>
        <w:t>corrompus,</w:t>
      </w:r>
      <w:r>
        <w:rPr>
          <w:color w:val="231F20"/>
          <w:spacing w:val="-9"/>
        </w:rPr>
        <w:t> </w:t>
      </w:r>
      <w:r>
        <w:rPr>
          <w:color w:val="231F20"/>
        </w:rPr>
        <w:t>les</w:t>
      </w:r>
      <w:r>
        <w:rPr>
          <w:color w:val="231F20"/>
          <w:spacing w:val="-7"/>
        </w:rPr>
        <w:t> </w:t>
      </w:r>
      <w:r>
        <w:rPr>
          <w:color w:val="231F20"/>
        </w:rPr>
        <w:t>fonctionnaires</w:t>
      </w:r>
      <w:r>
        <w:rPr>
          <w:color w:val="231F20"/>
          <w:spacing w:val="-7"/>
        </w:rPr>
        <w:t> </w:t>
      </w:r>
      <w:r>
        <w:rPr>
          <w:color w:val="231F20"/>
        </w:rPr>
        <w:t>de</w:t>
      </w:r>
      <w:r>
        <w:rPr>
          <w:color w:val="231F20"/>
          <w:spacing w:val="-7"/>
        </w:rPr>
        <w:t> </w:t>
      </w:r>
      <w:r>
        <w:rPr>
          <w:color w:val="231F20"/>
        </w:rPr>
        <w:t>l’État</w:t>
      </w:r>
      <w:r>
        <w:rPr>
          <w:color w:val="231F20"/>
          <w:spacing w:val="-7"/>
        </w:rPr>
        <w:t> </w:t>
      </w:r>
      <w:r>
        <w:rPr>
          <w:color w:val="231F20"/>
        </w:rPr>
        <w:t>ne</w:t>
      </w:r>
      <w:r>
        <w:rPr>
          <w:color w:val="231F20"/>
          <w:spacing w:val="-5"/>
        </w:rPr>
        <w:t> </w:t>
      </w:r>
      <w:r>
        <w:rPr>
          <w:color w:val="231F20"/>
        </w:rPr>
        <w:t>se</w:t>
      </w:r>
      <w:r>
        <w:rPr>
          <w:color w:val="231F20"/>
          <w:spacing w:val="-5"/>
        </w:rPr>
        <w:t> </w:t>
      </w:r>
      <w:r>
        <w:rPr>
          <w:color w:val="231F20"/>
        </w:rPr>
        <w:t>gênent</w:t>
      </w:r>
      <w:r>
        <w:rPr>
          <w:color w:val="231F20"/>
          <w:spacing w:val="-6"/>
        </w:rPr>
        <w:t> </w:t>
      </w:r>
      <w:r>
        <w:rPr>
          <w:color w:val="231F20"/>
        </w:rPr>
        <w:t>pas</w:t>
      </w:r>
      <w:r>
        <w:rPr>
          <w:color w:val="231F20"/>
          <w:spacing w:val="-6"/>
        </w:rPr>
        <w:t> </w:t>
      </w:r>
      <w:r>
        <w:rPr>
          <w:color w:val="231F20"/>
          <w:spacing w:val="-4"/>
        </w:rPr>
        <w:t>pour</w:t>
      </w:r>
    </w:p>
    <w:p>
      <w:pPr>
        <w:pStyle w:val="BodyText"/>
        <w:spacing w:before="1"/>
        <w:ind w:right="105"/>
      </w:pPr>
      <w:r>
        <w:rPr>
          <w:color w:val="231F20"/>
        </w:rPr>
        <w:t>«</w:t>
      </w:r>
      <w:r>
        <w:rPr>
          <w:color w:val="231F20"/>
          <w:spacing w:val="-15"/>
        </w:rPr>
        <w:t> </w:t>
      </w:r>
      <w:r>
        <w:rPr>
          <w:color w:val="231F20"/>
        </w:rPr>
        <w:t>oublier</w:t>
      </w:r>
      <w:r>
        <w:rPr>
          <w:color w:val="231F20"/>
          <w:spacing w:val="-15"/>
        </w:rPr>
        <w:t> </w:t>
      </w:r>
      <w:r>
        <w:rPr>
          <w:color w:val="231F20"/>
        </w:rPr>
        <w:t>»</w:t>
      </w:r>
      <w:r>
        <w:rPr>
          <w:color w:val="231F20"/>
          <w:spacing w:val="-15"/>
        </w:rPr>
        <w:t> </w:t>
      </w:r>
      <w:r>
        <w:rPr>
          <w:color w:val="231F20"/>
        </w:rPr>
        <w:t>la</w:t>
      </w:r>
      <w:r>
        <w:rPr>
          <w:color w:val="231F20"/>
          <w:spacing w:val="-15"/>
        </w:rPr>
        <w:t> </w:t>
      </w:r>
      <w:r>
        <w:rPr>
          <w:color w:val="231F20"/>
        </w:rPr>
        <w:t>déontologie</w:t>
      </w:r>
      <w:r>
        <w:rPr>
          <w:color w:val="231F20"/>
          <w:spacing w:val="-15"/>
        </w:rPr>
        <w:t> </w:t>
      </w:r>
      <w:r>
        <w:rPr>
          <w:color w:val="231F20"/>
        </w:rPr>
        <w:t>à</w:t>
      </w:r>
      <w:r>
        <w:rPr>
          <w:color w:val="231F20"/>
          <w:spacing w:val="-15"/>
        </w:rPr>
        <w:t> </w:t>
      </w:r>
      <w:r>
        <w:rPr>
          <w:color w:val="231F20"/>
        </w:rPr>
        <w:t>respecter</w:t>
      </w:r>
      <w:r>
        <w:rPr>
          <w:color w:val="231F20"/>
          <w:spacing w:val="-15"/>
        </w:rPr>
        <w:t> </w:t>
      </w:r>
      <w:r>
        <w:rPr>
          <w:color w:val="231F20"/>
        </w:rPr>
        <w:t>dans</w:t>
      </w:r>
      <w:r>
        <w:rPr>
          <w:color w:val="231F20"/>
          <w:spacing w:val="-15"/>
        </w:rPr>
        <w:t> </w:t>
      </w:r>
      <w:r>
        <w:rPr>
          <w:color w:val="231F20"/>
        </w:rPr>
        <w:t>l’exercice</w:t>
      </w:r>
      <w:r>
        <w:rPr>
          <w:color w:val="231F20"/>
          <w:spacing w:val="-15"/>
        </w:rPr>
        <w:t> </w:t>
      </w:r>
      <w:r>
        <w:rPr>
          <w:color w:val="231F20"/>
        </w:rPr>
        <w:t>de</w:t>
      </w:r>
      <w:r>
        <w:rPr>
          <w:color w:val="231F20"/>
          <w:spacing w:val="-15"/>
        </w:rPr>
        <w:t> </w:t>
      </w:r>
      <w:r>
        <w:rPr>
          <w:color w:val="231F20"/>
        </w:rPr>
        <w:t>leur</w:t>
      </w:r>
      <w:r>
        <w:rPr>
          <w:color w:val="231F20"/>
          <w:spacing w:val="-15"/>
        </w:rPr>
        <w:t> </w:t>
      </w:r>
      <w:r>
        <w:rPr>
          <w:color w:val="231F20"/>
        </w:rPr>
        <w:t>fonction.</w:t>
      </w:r>
      <w:r>
        <w:rPr>
          <w:color w:val="231F20"/>
          <w:spacing w:val="-15"/>
        </w:rPr>
        <w:t> </w:t>
      </w:r>
      <w:r>
        <w:rPr>
          <w:color w:val="231F20"/>
        </w:rPr>
        <w:t>Si </w:t>
      </w:r>
      <w:r>
        <w:rPr>
          <w:color w:val="231F20"/>
          <w:spacing w:val="-4"/>
        </w:rPr>
        <w:t>dans</w:t>
      </w:r>
      <w:r>
        <w:rPr>
          <w:color w:val="231F20"/>
          <w:spacing w:val="-8"/>
        </w:rPr>
        <w:t> </w:t>
      </w:r>
      <w:r>
        <w:rPr>
          <w:color w:val="231F20"/>
          <w:spacing w:val="-4"/>
        </w:rPr>
        <w:t>la plupart</w:t>
      </w:r>
      <w:r>
        <w:rPr>
          <w:color w:val="231F20"/>
          <w:spacing w:val="-6"/>
        </w:rPr>
        <w:t> </w:t>
      </w:r>
      <w:r>
        <w:rPr>
          <w:color w:val="231F20"/>
          <w:spacing w:val="-4"/>
        </w:rPr>
        <w:t>de ces</w:t>
      </w:r>
      <w:r>
        <w:rPr>
          <w:color w:val="231F20"/>
          <w:spacing w:val="-6"/>
        </w:rPr>
        <w:t> </w:t>
      </w:r>
      <w:r>
        <w:rPr>
          <w:color w:val="231F20"/>
          <w:spacing w:val="-4"/>
        </w:rPr>
        <w:t>États,</w:t>
      </w:r>
      <w:r>
        <w:rPr>
          <w:color w:val="231F20"/>
          <w:spacing w:val="-8"/>
        </w:rPr>
        <w:t> </w:t>
      </w:r>
      <w:r>
        <w:rPr>
          <w:color w:val="231F20"/>
          <w:spacing w:val="-4"/>
        </w:rPr>
        <w:t>les</w:t>
      </w:r>
      <w:r>
        <w:rPr>
          <w:color w:val="231F20"/>
          <w:spacing w:val="-5"/>
        </w:rPr>
        <w:t> </w:t>
      </w:r>
      <w:r>
        <w:rPr>
          <w:color w:val="231F20"/>
          <w:spacing w:val="-4"/>
        </w:rPr>
        <w:t>policiers</w:t>
      </w:r>
      <w:r>
        <w:rPr>
          <w:color w:val="231F20"/>
          <w:spacing w:val="-6"/>
        </w:rPr>
        <w:t> </w:t>
      </w:r>
      <w:r>
        <w:rPr>
          <w:color w:val="231F20"/>
          <w:spacing w:val="-4"/>
        </w:rPr>
        <w:t>sont</w:t>
      </w:r>
      <w:r>
        <w:rPr>
          <w:color w:val="231F20"/>
          <w:spacing w:val="-6"/>
        </w:rPr>
        <w:t> </w:t>
      </w:r>
      <w:r>
        <w:rPr>
          <w:color w:val="231F20"/>
          <w:spacing w:val="-4"/>
        </w:rPr>
        <w:t>les</w:t>
      </w:r>
      <w:r>
        <w:rPr>
          <w:color w:val="231F20"/>
          <w:spacing w:val="-6"/>
        </w:rPr>
        <w:t> </w:t>
      </w:r>
      <w:r>
        <w:rPr>
          <w:color w:val="231F20"/>
          <w:spacing w:val="-4"/>
        </w:rPr>
        <w:t>plus indexés</w:t>
      </w:r>
      <w:r>
        <w:rPr>
          <w:color w:val="231F20"/>
          <w:spacing w:val="-6"/>
        </w:rPr>
        <w:t> </w:t>
      </w:r>
      <w:r>
        <w:rPr>
          <w:color w:val="231F20"/>
          <w:spacing w:val="-4"/>
        </w:rPr>
        <w:t>parce</w:t>
      </w:r>
      <w:r>
        <w:rPr>
          <w:color w:val="231F20"/>
          <w:spacing w:val="-5"/>
        </w:rPr>
        <w:t> </w:t>
      </w:r>
      <w:r>
        <w:rPr>
          <w:color w:val="231F20"/>
          <w:spacing w:val="-4"/>
        </w:rPr>
        <w:t>qu’ils </w:t>
      </w:r>
      <w:r>
        <w:rPr>
          <w:color w:val="231F20"/>
        </w:rPr>
        <w:t>exercent pendant les contrôles routiers an vu de tout le monde, le phénomène touche tous les corps de métiers</w:t>
      </w:r>
      <w:r>
        <w:rPr>
          <w:color w:val="231F20"/>
          <w:spacing w:val="-14"/>
        </w:rPr>
        <w:t> </w:t>
      </w:r>
      <w:r>
        <w:rPr>
          <w:color w:val="231F20"/>
        </w:rPr>
        <w:t>: contrôleurs financiers, douaniers, agents d’état civil, enseignants, juges, journalistes, corps </w:t>
      </w:r>
      <w:r>
        <w:rPr>
          <w:color w:val="231F20"/>
          <w:spacing w:val="-2"/>
        </w:rPr>
        <w:t>médical…</w:t>
      </w:r>
    </w:p>
    <w:p>
      <w:pPr>
        <w:pStyle w:val="BodyText"/>
        <w:spacing w:before="239"/>
        <w:ind w:left="0"/>
        <w:jc w:val="left"/>
      </w:pPr>
    </w:p>
    <w:p>
      <w:pPr>
        <w:pStyle w:val="Heading2"/>
        <w:spacing w:before="1"/>
      </w:pPr>
      <w:bookmarkStart w:name="_TOC_250001" w:id="42"/>
      <w:r>
        <w:rPr>
          <w:color w:val="231F20"/>
          <w:spacing w:val="-2"/>
        </w:rPr>
        <w:t>Un</w:t>
      </w:r>
      <w:r>
        <w:rPr>
          <w:color w:val="231F20"/>
          <w:spacing w:val="-11"/>
        </w:rPr>
        <w:t> </w:t>
      </w:r>
      <w:r>
        <w:rPr>
          <w:color w:val="231F20"/>
          <w:spacing w:val="-2"/>
        </w:rPr>
        <w:t>Système</w:t>
      </w:r>
      <w:r>
        <w:rPr>
          <w:color w:val="231F20"/>
          <w:spacing w:val="-10"/>
        </w:rPr>
        <w:t> </w:t>
      </w:r>
      <w:r>
        <w:rPr>
          <w:color w:val="231F20"/>
          <w:spacing w:val="-2"/>
        </w:rPr>
        <w:t>de</w:t>
      </w:r>
      <w:r>
        <w:rPr>
          <w:color w:val="231F20"/>
          <w:spacing w:val="-7"/>
        </w:rPr>
        <w:t> </w:t>
      </w:r>
      <w:r>
        <w:rPr>
          <w:color w:val="231F20"/>
          <w:spacing w:val="-2"/>
        </w:rPr>
        <w:t>Santé</w:t>
      </w:r>
      <w:r>
        <w:rPr>
          <w:color w:val="231F20"/>
          <w:spacing w:val="-9"/>
        </w:rPr>
        <w:t> </w:t>
      </w:r>
      <w:r>
        <w:rPr>
          <w:color w:val="231F20"/>
          <w:spacing w:val="-2"/>
        </w:rPr>
        <w:t>moribond</w:t>
      </w:r>
      <w:r>
        <w:rPr>
          <w:color w:val="231F20"/>
          <w:spacing w:val="-7"/>
        </w:rPr>
        <w:t> </w:t>
      </w:r>
      <w:r>
        <w:rPr>
          <w:color w:val="231F20"/>
          <w:spacing w:val="-2"/>
        </w:rPr>
        <w:t>:</w:t>
      </w:r>
      <w:r>
        <w:rPr>
          <w:color w:val="231F20"/>
          <w:spacing w:val="-7"/>
        </w:rPr>
        <w:t> </w:t>
      </w:r>
      <w:r>
        <w:rPr>
          <w:color w:val="231F20"/>
          <w:spacing w:val="-2"/>
        </w:rPr>
        <w:t>ça</w:t>
      </w:r>
      <w:r>
        <w:rPr>
          <w:color w:val="231F20"/>
          <w:spacing w:val="-9"/>
        </w:rPr>
        <w:t> </w:t>
      </w:r>
      <w:r>
        <w:rPr>
          <w:color w:val="231F20"/>
          <w:spacing w:val="-2"/>
        </w:rPr>
        <w:t>suffit</w:t>
      </w:r>
      <w:r>
        <w:rPr>
          <w:color w:val="231F20"/>
          <w:spacing w:val="-7"/>
        </w:rPr>
        <w:t> </w:t>
      </w:r>
      <w:bookmarkEnd w:id="42"/>
      <w:r>
        <w:rPr>
          <w:color w:val="231F20"/>
          <w:spacing w:val="-10"/>
        </w:rPr>
        <w:t>!</w:t>
      </w:r>
    </w:p>
    <w:p>
      <w:pPr>
        <w:pStyle w:val="BodyText"/>
        <w:spacing w:before="120"/>
        <w:ind w:left="0"/>
        <w:jc w:val="left"/>
        <w:rPr>
          <w:b/>
        </w:rPr>
      </w:pPr>
    </w:p>
    <w:p>
      <w:pPr>
        <w:pStyle w:val="BodyText"/>
        <w:ind w:right="110" w:firstLine="283"/>
      </w:pPr>
      <w:r>
        <w:rPr>
          <w:color w:val="231F20"/>
        </w:rPr>
        <w:t>Dans la majorité des pays d’Afrique en général et particulièrement dans les républiques bananières de la France, les causes derrière les problèmes de santé sont les mêmes.</w:t>
      </w:r>
    </w:p>
    <w:p>
      <w:pPr>
        <w:spacing w:after="0"/>
        <w:sectPr>
          <w:pgSz w:w="8790" w:h="13610"/>
          <w:pgMar w:header="0" w:footer="802" w:top="1060" w:bottom="1000" w:left="880" w:right="880"/>
        </w:sectPr>
      </w:pPr>
    </w:p>
    <w:p>
      <w:pPr>
        <w:pStyle w:val="BodyText"/>
        <w:spacing w:before="66"/>
        <w:ind w:right="104" w:firstLine="283"/>
      </w:pPr>
      <w:r>
        <w:rPr>
          <w:color w:val="231F20"/>
        </w:rPr>
        <w:t>Dans de nombreux villages, il n’y a ni adduction d’eau potable, ni électricité, ni école,</w:t>
      </w:r>
      <w:r>
        <w:rPr>
          <w:color w:val="231F20"/>
          <w:spacing w:val="-15"/>
        </w:rPr>
        <w:t> </w:t>
      </w:r>
      <w:r>
        <w:rPr>
          <w:color w:val="231F20"/>
        </w:rPr>
        <w:t>ni formation sanitaire de base…la médecine </w:t>
      </w:r>
      <w:r>
        <w:rPr>
          <w:color w:val="231F20"/>
          <w:spacing w:val="-4"/>
        </w:rPr>
        <w:t>occidentale</w:t>
      </w:r>
      <w:r>
        <w:rPr>
          <w:color w:val="231F20"/>
          <w:spacing w:val="-6"/>
        </w:rPr>
        <w:t> </w:t>
      </w:r>
      <w:r>
        <w:rPr>
          <w:color w:val="231F20"/>
          <w:spacing w:val="-4"/>
        </w:rPr>
        <w:t>est</w:t>
      </w:r>
      <w:r>
        <w:rPr>
          <w:color w:val="231F20"/>
          <w:spacing w:val="-7"/>
        </w:rPr>
        <w:t> </w:t>
      </w:r>
      <w:r>
        <w:rPr>
          <w:color w:val="231F20"/>
          <w:spacing w:val="-4"/>
        </w:rPr>
        <w:t>un</w:t>
      </w:r>
      <w:r>
        <w:rPr>
          <w:color w:val="231F20"/>
          <w:spacing w:val="-7"/>
        </w:rPr>
        <w:t> </w:t>
      </w:r>
      <w:r>
        <w:rPr>
          <w:color w:val="231F20"/>
          <w:spacing w:val="-4"/>
        </w:rPr>
        <w:t>luxe</w:t>
      </w:r>
      <w:r>
        <w:rPr>
          <w:color w:val="231F20"/>
          <w:spacing w:val="-8"/>
        </w:rPr>
        <w:t> </w:t>
      </w:r>
      <w:r>
        <w:rPr>
          <w:color w:val="231F20"/>
          <w:spacing w:val="-4"/>
        </w:rPr>
        <w:t>:</w:t>
      </w:r>
      <w:r>
        <w:rPr>
          <w:color w:val="231F20"/>
          <w:spacing w:val="-7"/>
        </w:rPr>
        <w:t> </w:t>
      </w:r>
      <w:r>
        <w:rPr>
          <w:color w:val="231F20"/>
          <w:spacing w:val="-4"/>
        </w:rPr>
        <w:t>longue</w:t>
      </w:r>
      <w:r>
        <w:rPr>
          <w:color w:val="231F20"/>
          <w:spacing w:val="-7"/>
        </w:rPr>
        <w:t> </w:t>
      </w:r>
      <w:r>
        <w:rPr>
          <w:color w:val="231F20"/>
          <w:spacing w:val="-4"/>
        </w:rPr>
        <w:t>distance</w:t>
      </w:r>
      <w:r>
        <w:rPr>
          <w:color w:val="231F20"/>
          <w:spacing w:val="-6"/>
        </w:rPr>
        <w:t> </w:t>
      </w:r>
      <w:r>
        <w:rPr>
          <w:color w:val="231F20"/>
          <w:spacing w:val="-4"/>
        </w:rPr>
        <w:t>à</w:t>
      </w:r>
      <w:r>
        <w:rPr>
          <w:color w:val="231F20"/>
          <w:spacing w:val="-10"/>
        </w:rPr>
        <w:t> </w:t>
      </w:r>
      <w:r>
        <w:rPr>
          <w:color w:val="231F20"/>
          <w:spacing w:val="-4"/>
        </w:rPr>
        <w:t>parcourir</w:t>
      </w:r>
      <w:r>
        <w:rPr>
          <w:color w:val="231F20"/>
          <w:spacing w:val="-11"/>
        </w:rPr>
        <w:t> </w:t>
      </w:r>
      <w:r>
        <w:rPr>
          <w:color w:val="231F20"/>
          <w:spacing w:val="-4"/>
        </w:rPr>
        <w:t>pour</w:t>
      </w:r>
      <w:r>
        <w:rPr>
          <w:color w:val="231F20"/>
          <w:spacing w:val="-6"/>
        </w:rPr>
        <w:t> </w:t>
      </w:r>
      <w:r>
        <w:rPr>
          <w:color w:val="231F20"/>
          <w:spacing w:val="-4"/>
        </w:rPr>
        <w:t>trouver</w:t>
      </w:r>
      <w:r>
        <w:rPr>
          <w:color w:val="231F20"/>
          <w:spacing w:val="-10"/>
        </w:rPr>
        <w:t> </w:t>
      </w:r>
      <w:r>
        <w:rPr>
          <w:color w:val="231F20"/>
          <w:spacing w:val="-4"/>
        </w:rPr>
        <w:t>le</w:t>
      </w:r>
      <w:r>
        <w:rPr>
          <w:color w:val="231F20"/>
          <w:spacing w:val="-6"/>
        </w:rPr>
        <w:t> </w:t>
      </w:r>
      <w:r>
        <w:rPr>
          <w:color w:val="231F20"/>
          <w:spacing w:val="-4"/>
        </w:rPr>
        <w:t>centre </w:t>
      </w:r>
      <w:r>
        <w:rPr>
          <w:color w:val="231F20"/>
        </w:rPr>
        <w:t>de</w:t>
      </w:r>
      <w:r>
        <w:rPr>
          <w:color w:val="231F20"/>
          <w:spacing w:val="-3"/>
        </w:rPr>
        <w:t> </w:t>
      </w:r>
      <w:r>
        <w:rPr>
          <w:color w:val="231F20"/>
        </w:rPr>
        <w:t>santé</w:t>
      </w:r>
      <w:r>
        <w:rPr>
          <w:color w:val="231F20"/>
          <w:spacing w:val="-5"/>
        </w:rPr>
        <w:t> </w:t>
      </w:r>
      <w:r>
        <w:rPr>
          <w:color w:val="231F20"/>
        </w:rPr>
        <w:t>le</w:t>
      </w:r>
      <w:r>
        <w:rPr>
          <w:color w:val="231F20"/>
          <w:spacing w:val="-5"/>
        </w:rPr>
        <w:t> </w:t>
      </w:r>
      <w:r>
        <w:rPr>
          <w:color w:val="231F20"/>
        </w:rPr>
        <w:t>plus</w:t>
      </w:r>
      <w:r>
        <w:rPr>
          <w:color w:val="231F20"/>
          <w:spacing w:val="-3"/>
        </w:rPr>
        <w:t> </w:t>
      </w:r>
      <w:r>
        <w:rPr>
          <w:color w:val="231F20"/>
        </w:rPr>
        <w:t>proche,</w:t>
      </w:r>
      <w:r>
        <w:rPr>
          <w:color w:val="231F20"/>
          <w:spacing w:val="-7"/>
        </w:rPr>
        <w:t> </w:t>
      </w:r>
      <w:r>
        <w:rPr>
          <w:color w:val="231F20"/>
        </w:rPr>
        <w:t>moyen</w:t>
      </w:r>
      <w:r>
        <w:rPr>
          <w:color w:val="231F20"/>
          <w:spacing w:val="-5"/>
        </w:rPr>
        <w:t> </w:t>
      </w:r>
      <w:r>
        <w:rPr>
          <w:color w:val="231F20"/>
        </w:rPr>
        <w:t>de</w:t>
      </w:r>
      <w:r>
        <w:rPr>
          <w:color w:val="231F20"/>
          <w:spacing w:val="-6"/>
        </w:rPr>
        <w:t> </w:t>
      </w:r>
      <w:r>
        <w:rPr>
          <w:color w:val="231F20"/>
        </w:rPr>
        <w:t>transports</w:t>
      </w:r>
      <w:r>
        <w:rPr>
          <w:color w:val="231F20"/>
          <w:spacing w:val="-5"/>
        </w:rPr>
        <w:t> </w:t>
      </w:r>
      <w:r>
        <w:rPr>
          <w:color w:val="231F20"/>
        </w:rPr>
        <w:t>quasi</w:t>
      </w:r>
      <w:r>
        <w:rPr>
          <w:color w:val="231F20"/>
          <w:spacing w:val="-4"/>
        </w:rPr>
        <w:t> </w:t>
      </w:r>
      <w:r>
        <w:rPr>
          <w:color w:val="231F20"/>
        </w:rPr>
        <w:t>inexistant,</w:t>
      </w:r>
      <w:r>
        <w:rPr>
          <w:color w:val="231F20"/>
          <w:spacing w:val="-5"/>
        </w:rPr>
        <w:t> </w:t>
      </w:r>
      <w:r>
        <w:rPr>
          <w:color w:val="231F20"/>
        </w:rPr>
        <w:t>coûts</w:t>
      </w:r>
      <w:r>
        <w:rPr>
          <w:color w:val="231F20"/>
          <w:spacing w:val="-1"/>
        </w:rPr>
        <w:t> </w:t>
      </w:r>
      <w:r>
        <w:rPr>
          <w:color w:val="231F20"/>
        </w:rPr>
        <w:t>des soins élevés, mauvais accueil des malades.</w:t>
      </w:r>
    </w:p>
    <w:p>
      <w:pPr>
        <w:pStyle w:val="BodyText"/>
        <w:spacing w:before="120"/>
        <w:ind w:right="105" w:firstLine="283"/>
      </w:pPr>
      <w:r>
        <w:rPr>
          <w:color w:val="231F20"/>
        </w:rPr>
        <w:t>Dans les villes, il y a également une insuffisance des structures de </w:t>
      </w:r>
      <w:r>
        <w:rPr>
          <w:color w:val="231F20"/>
          <w:spacing w:val="-2"/>
        </w:rPr>
        <w:t>soins,</w:t>
      </w:r>
      <w:r>
        <w:rPr>
          <w:color w:val="231F20"/>
          <w:spacing w:val="-13"/>
        </w:rPr>
        <w:t> </w:t>
      </w:r>
      <w:r>
        <w:rPr>
          <w:color w:val="231F20"/>
          <w:spacing w:val="-2"/>
        </w:rPr>
        <w:t>le</w:t>
      </w:r>
      <w:r>
        <w:rPr>
          <w:color w:val="231F20"/>
          <w:spacing w:val="-13"/>
        </w:rPr>
        <w:t> </w:t>
      </w:r>
      <w:r>
        <w:rPr>
          <w:color w:val="231F20"/>
          <w:spacing w:val="-2"/>
        </w:rPr>
        <w:t>sous-équipement</w:t>
      </w:r>
      <w:r>
        <w:rPr>
          <w:color w:val="231F20"/>
          <w:spacing w:val="-13"/>
        </w:rPr>
        <w:t> </w:t>
      </w:r>
      <w:r>
        <w:rPr>
          <w:color w:val="231F20"/>
          <w:spacing w:val="-2"/>
        </w:rPr>
        <w:t>des</w:t>
      </w:r>
      <w:r>
        <w:rPr>
          <w:color w:val="231F20"/>
          <w:spacing w:val="-13"/>
        </w:rPr>
        <w:t> </w:t>
      </w:r>
      <w:r>
        <w:rPr>
          <w:color w:val="231F20"/>
          <w:spacing w:val="-2"/>
        </w:rPr>
        <w:t>hôpitaux,</w:t>
      </w:r>
      <w:r>
        <w:rPr>
          <w:color w:val="231F20"/>
          <w:spacing w:val="-13"/>
        </w:rPr>
        <w:t> </w:t>
      </w:r>
      <w:r>
        <w:rPr>
          <w:color w:val="231F20"/>
          <w:spacing w:val="-2"/>
        </w:rPr>
        <w:t>le</w:t>
      </w:r>
      <w:r>
        <w:rPr>
          <w:color w:val="231F20"/>
          <w:spacing w:val="-13"/>
        </w:rPr>
        <w:t> </w:t>
      </w:r>
      <w:r>
        <w:rPr>
          <w:color w:val="231F20"/>
          <w:spacing w:val="-2"/>
        </w:rPr>
        <w:t>manque</w:t>
      </w:r>
      <w:r>
        <w:rPr>
          <w:color w:val="231F20"/>
          <w:spacing w:val="-13"/>
        </w:rPr>
        <w:t> </w:t>
      </w:r>
      <w:r>
        <w:rPr>
          <w:color w:val="231F20"/>
          <w:spacing w:val="-2"/>
        </w:rPr>
        <w:t>de</w:t>
      </w:r>
      <w:r>
        <w:rPr>
          <w:color w:val="231F20"/>
          <w:spacing w:val="-13"/>
        </w:rPr>
        <w:t> </w:t>
      </w:r>
      <w:r>
        <w:rPr>
          <w:color w:val="231F20"/>
          <w:spacing w:val="-2"/>
        </w:rPr>
        <w:t>personnel,</w:t>
      </w:r>
      <w:r>
        <w:rPr>
          <w:color w:val="231F20"/>
          <w:spacing w:val="-13"/>
        </w:rPr>
        <w:t> </w:t>
      </w:r>
      <w:r>
        <w:rPr>
          <w:color w:val="231F20"/>
          <w:spacing w:val="-2"/>
        </w:rPr>
        <w:t>la</w:t>
      </w:r>
      <w:r>
        <w:rPr>
          <w:color w:val="231F20"/>
          <w:spacing w:val="-13"/>
        </w:rPr>
        <w:t> </w:t>
      </w:r>
      <w:r>
        <w:rPr>
          <w:color w:val="231F20"/>
          <w:spacing w:val="-2"/>
        </w:rPr>
        <w:t>faible </w:t>
      </w:r>
      <w:r>
        <w:rPr>
          <w:color w:val="231F20"/>
        </w:rPr>
        <w:t>disponibilité</w:t>
      </w:r>
      <w:r>
        <w:rPr>
          <w:color w:val="231F20"/>
          <w:spacing w:val="-15"/>
        </w:rPr>
        <w:t> </w:t>
      </w:r>
      <w:r>
        <w:rPr>
          <w:color w:val="231F20"/>
        </w:rPr>
        <w:t>de</w:t>
      </w:r>
      <w:r>
        <w:rPr>
          <w:color w:val="231F20"/>
          <w:spacing w:val="-15"/>
        </w:rPr>
        <w:t> </w:t>
      </w:r>
      <w:r>
        <w:rPr>
          <w:color w:val="231F20"/>
        </w:rPr>
        <w:t>médicaments</w:t>
      </w:r>
      <w:r>
        <w:rPr>
          <w:color w:val="231F20"/>
          <w:spacing w:val="-15"/>
        </w:rPr>
        <w:t> </w:t>
      </w:r>
      <w:r>
        <w:rPr>
          <w:color w:val="231F20"/>
        </w:rPr>
        <w:t>ou</w:t>
      </w:r>
      <w:r>
        <w:rPr>
          <w:color w:val="231F20"/>
          <w:spacing w:val="-14"/>
        </w:rPr>
        <w:t> </w:t>
      </w:r>
      <w:r>
        <w:rPr>
          <w:color w:val="231F20"/>
        </w:rPr>
        <w:t>simplement</w:t>
      </w:r>
      <w:r>
        <w:rPr>
          <w:color w:val="231F20"/>
          <w:spacing w:val="-14"/>
        </w:rPr>
        <w:t> </w:t>
      </w:r>
      <w:r>
        <w:rPr>
          <w:color w:val="231F20"/>
        </w:rPr>
        <w:t>l’absence</w:t>
      </w:r>
      <w:r>
        <w:rPr>
          <w:color w:val="231F20"/>
          <w:spacing w:val="-14"/>
        </w:rPr>
        <w:t> </w:t>
      </w:r>
      <w:r>
        <w:rPr>
          <w:color w:val="231F20"/>
        </w:rPr>
        <w:t>de</w:t>
      </w:r>
      <w:r>
        <w:rPr>
          <w:color w:val="231F20"/>
          <w:spacing w:val="-14"/>
        </w:rPr>
        <w:t> </w:t>
      </w:r>
      <w:r>
        <w:rPr>
          <w:color w:val="231F20"/>
        </w:rPr>
        <w:t>médicaments </w:t>
      </w:r>
      <w:r>
        <w:rPr>
          <w:color w:val="231F20"/>
          <w:spacing w:val="-2"/>
        </w:rPr>
        <w:t>essentiels,</w:t>
      </w:r>
      <w:r>
        <w:rPr>
          <w:color w:val="231F20"/>
          <w:spacing w:val="-9"/>
        </w:rPr>
        <w:t> </w:t>
      </w:r>
      <w:r>
        <w:rPr>
          <w:color w:val="231F20"/>
          <w:spacing w:val="-2"/>
        </w:rPr>
        <w:t>l’absence</w:t>
      </w:r>
      <w:r>
        <w:rPr>
          <w:color w:val="231F20"/>
          <w:spacing w:val="-10"/>
        </w:rPr>
        <w:t> </w:t>
      </w:r>
      <w:r>
        <w:rPr>
          <w:color w:val="231F20"/>
          <w:spacing w:val="-2"/>
        </w:rPr>
        <w:t>de</w:t>
      </w:r>
      <w:r>
        <w:rPr>
          <w:color w:val="231F20"/>
          <w:spacing w:val="-8"/>
        </w:rPr>
        <w:t> </w:t>
      </w:r>
      <w:r>
        <w:rPr>
          <w:color w:val="231F20"/>
          <w:spacing w:val="-2"/>
        </w:rPr>
        <w:t>la</w:t>
      </w:r>
      <w:r>
        <w:rPr>
          <w:color w:val="231F20"/>
          <w:spacing w:val="-10"/>
        </w:rPr>
        <w:t> </w:t>
      </w:r>
      <w:r>
        <w:rPr>
          <w:color w:val="231F20"/>
          <w:spacing w:val="-2"/>
        </w:rPr>
        <w:t>maintenance</w:t>
      </w:r>
      <w:r>
        <w:rPr>
          <w:color w:val="231F20"/>
          <w:spacing w:val="-10"/>
        </w:rPr>
        <w:t> </w:t>
      </w:r>
      <w:r>
        <w:rPr>
          <w:color w:val="231F20"/>
          <w:spacing w:val="-2"/>
        </w:rPr>
        <w:t>hospitalière,</w:t>
      </w:r>
      <w:r>
        <w:rPr>
          <w:color w:val="231F20"/>
          <w:spacing w:val="-8"/>
        </w:rPr>
        <w:t> </w:t>
      </w:r>
      <w:r>
        <w:rPr>
          <w:color w:val="231F20"/>
          <w:spacing w:val="-2"/>
        </w:rPr>
        <w:t>etc.</w:t>
      </w:r>
      <w:r>
        <w:rPr>
          <w:color w:val="231F20"/>
          <w:spacing w:val="-13"/>
        </w:rPr>
        <w:t> </w:t>
      </w:r>
      <w:r>
        <w:rPr>
          <w:color w:val="231F20"/>
          <w:spacing w:val="-2"/>
        </w:rPr>
        <w:t>:</w:t>
      </w:r>
      <w:r>
        <w:rPr>
          <w:color w:val="231F20"/>
          <w:spacing w:val="-8"/>
        </w:rPr>
        <w:t> </w:t>
      </w:r>
      <w:r>
        <w:rPr>
          <w:color w:val="231F20"/>
          <w:spacing w:val="-2"/>
        </w:rPr>
        <w:t>«</w:t>
      </w:r>
      <w:r>
        <w:rPr>
          <w:color w:val="231F20"/>
          <w:spacing w:val="-7"/>
        </w:rPr>
        <w:t> </w:t>
      </w:r>
      <w:r>
        <w:rPr>
          <w:color w:val="231F20"/>
          <w:spacing w:val="-2"/>
        </w:rPr>
        <w:t>Les</w:t>
      </w:r>
      <w:r>
        <w:rPr>
          <w:color w:val="231F20"/>
          <w:spacing w:val="-9"/>
        </w:rPr>
        <w:t> </w:t>
      </w:r>
      <w:r>
        <w:rPr>
          <w:color w:val="231F20"/>
          <w:spacing w:val="-2"/>
        </w:rPr>
        <w:t>hôpitaux </w:t>
      </w:r>
      <w:r>
        <w:rPr>
          <w:color w:val="231F20"/>
        </w:rPr>
        <w:t>sont</w:t>
      </w:r>
      <w:r>
        <w:rPr>
          <w:color w:val="231F20"/>
          <w:spacing w:val="-13"/>
        </w:rPr>
        <w:t> </w:t>
      </w:r>
      <w:r>
        <w:rPr>
          <w:color w:val="231F20"/>
        </w:rPr>
        <w:t>des</w:t>
      </w:r>
      <w:r>
        <w:rPr>
          <w:color w:val="231F20"/>
          <w:spacing w:val="-12"/>
        </w:rPr>
        <w:t> </w:t>
      </w:r>
      <w:r>
        <w:rPr>
          <w:color w:val="231F20"/>
        </w:rPr>
        <w:t>lieux</w:t>
      </w:r>
      <w:r>
        <w:rPr>
          <w:color w:val="231F20"/>
          <w:spacing w:val="-14"/>
        </w:rPr>
        <w:t> </w:t>
      </w:r>
      <w:r>
        <w:rPr>
          <w:color w:val="231F20"/>
        </w:rPr>
        <w:t>où</w:t>
      </w:r>
      <w:r>
        <w:rPr>
          <w:color w:val="231F20"/>
          <w:spacing w:val="-12"/>
        </w:rPr>
        <w:t> </w:t>
      </w:r>
      <w:r>
        <w:rPr>
          <w:color w:val="231F20"/>
        </w:rPr>
        <w:t>se</w:t>
      </w:r>
      <w:r>
        <w:rPr>
          <w:color w:val="231F20"/>
          <w:spacing w:val="-12"/>
        </w:rPr>
        <w:t> </w:t>
      </w:r>
      <w:r>
        <w:rPr>
          <w:color w:val="231F20"/>
        </w:rPr>
        <w:t>produisent</w:t>
      </w:r>
      <w:r>
        <w:rPr>
          <w:color w:val="231F20"/>
          <w:spacing w:val="-12"/>
        </w:rPr>
        <w:t> </w:t>
      </w:r>
      <w:r>
        <w:rPr>
          <w:color w:val="231F20"/>
        </w:rPr>
        <w:t>des</w:t>
      </w:r>
      <w:r>
        <w:rPr>
          <w:color w:val="231F20"/>
          <w:spacing w:val="-12"/>
        </w:rPr>
        <w:t> </w:t>
      </w:r>
      <w:r>
        <w:rPr>
          <w:color w:val="231F20"/>
        </w:rPr>
        <w:t>drames</w:t>
      </w:r>
      <w:r>
        <w:rPr>
          <w:color w:val="231F20"/>
          <w:spacing w:val="-12"/>
        </w:rPr>
        <w:t> </w:t>
      </w:r>
      <w:r>
        <w:rPr>
          <w:color w:val="231F20"/>
        </w:rPr>
        <w:t>devenus</w:t>
      </w:r>
      <w:r>
        <w:rPr>
          <w:color w:val="231F20"/>
          <w:spacing w:val="-12"/>
        </w:rPr>
        <w:t> </w:t>
      </w:r>
      <w:r>
        <w:rPr>
          <w:color w:val="231F20"/>
        </w:rPr>
        <w:t>ordinaires.</w:t>
      </w:r>
      <w:r>
        <w:rPr>
          <w:color w:val="231F20"/>
          <w:spacing w:val="-14"/>
        </w:rPr>
        <w:t> </w:t>
      </w:r>
      <w:r>
        <w:rPr>
          <w:color w:val="231F20"/>
        </w:rPr>
        <w:t>Très</w:t>
      </w:r>
      <w:r>
        <w:rPr>
          <w:color w:val="231F20"/>
          <w:spacing w:val="-13"/>
        </w:rPr>
        <w:t> </w:t>
      </w:r>
      <w:r>
        <w:rPr>
          <w:color w:val="231F20"/>
        </w:rPr>
        <w:t>peu de services hospitaliers africains disposent de défibrillateurs ou de matériel</w:t>
      </w:r>
      <w:r>
        <w:rPr>
          <w:color w:val="231F20"/>
          <w:spacing w:val="-9"/>
        </w:rPr>
        <w:t> </w:t>
      </w:r>
      <w:r>
        <w:rPr>
          <w:color w:val="231F20"/>
        </w:rPr>
        <w:t>d’urgence</w:t>
      </w:r>
      <w:r>
        <w:rPr>
          <w:color w:val="231F20"/>
          <w:spacing w:val="-8"/>
        </w:rPr>
        <w:t> </w:t>
      </w:r>
      <w:r>
        <w:rPr>
          <w:color w:val="231F20"/>
        </w:rPr>
        <w:t>adapté.</w:t>
      </w:r>
      <w:r>
        <w:rPr>
          <w:color w:val="231F20"/>
          <w:spacing w:val="-8"/>
        </w:rPr>
        <w:t> </w:t>
      </w:r>
      <w:r>
        <w:rPr>
          <w:color w:val="231F20"/>
        </w:rPr>
        <w:t>Or,</w:t>
      </w:r>
      <w:r>
        <w:rPr>
          <w:color w:val="231F20"/>
          <w:spacing w:val="-8"/>
        </w:rPr>
        <w:t> </w:t>
      </w:r>
      <w:r>
        <w:rPr>
          <w:color w:val="231F20"/>
        </w:rPr>
        <w:t>10</w:t>
      </w:r>
      <w:r>
        <w:rPr>
          <w:color w:val="231F20"/>
          <w:spacing w:val="-8"/>
        </w:rPr>
        <w:t> </w:t>
      </w:r>
      <w:r>
        <w:rPr>
          <w:color w:val="231F20"/>
        </w:rPr>
        <w:t>minutes</w:t>
      </w:r>
      <w:r>
        <w:rPr>
          <w:color w:val="231F20"/>
          <w:spacing w:val="-7"/>
        </w:rPr>
        <w:t> </w:t>
      </w:r>
      <w:r>
        <w:rPr>
          <w:color w:val="231F20"/>
        </w:rPr>
        <w:t>de</w:t>
      </w:r>
      <w:r>
        <w:rPr>
          <w:color w:val="231F20"/>
          <w:spacing w:val="-8"/>
        </w:rPr>
        <w:t> </w:t>
      </w:r>
      <w:r>
        <w:rPr>
          <w:color w:val="231F20"/>
        </w:rPr>
        <w:t>retard</w:t>
      </w:r>
      <w:r>
        <w:rPr>
          <w:color w:val="231F20"/>
          <w:spacing w:val="-9"/>
        </w:rPr>
        <w:t> </w:t>
      </w:r>
      <w:r>
        <w:rPr>
          <w:color w:val="231F20"/>
        </w:rPr>
        <w:t>à</w:t>
      </w:r>
      <w:r>
        <w:rPr>
          <w:color w:val="231F20"/>
          <w:spacing w:val="-8"/>
        </w:rPr>
        <w:t> </w:t>
      </w:r>
      <w:r>
        <w:rPr>
          <w:color w:val="231F20"/>
        </w:rPr>
        <w:t>la</w:t>
      </w:r>
      <w:r>
        <w:rPr>
          <w:color w:val="231F20"/>
          <w:spacing w:val="-8"/>
        </w:rPr>
        <w:t> </w:t>
      </w:r>
      <w:r>
        <w:rPr>
          <w:color w:val="231F20"/>
        </w:rPr>
        <w:t>prise</w:t>
      </w:r>
      <w:r>
        <w:rPr>
          <w:color w:val="231F20"/>
          <w:spacing w:val="-8"/>
        </w:rPr>
        <w:t> </w:t>
      </w:r>
      <w:r>
        <w:rPr>
          <w:color w:val="231F20"/>
        </w:rPr>
        <w:t>en</w:t>
      </w:r>
      <w:r>
        <w:rPr>
          <w:color w:val="231F20"/>
          <w:spacing w:val="-8"/>
        </w:rPr>
        <w:t> </w:t>
      </w:r>
      <w:r>
        <w:rPr>
          <w:color w:val="231F20"/>
        </w:rPr>
        <w:t>charge </w:t>
      </w:r>
      <w:r>
        <w:rPr>
          <w:color w:val="231F20"/>
          <w:spacing w:val="-4"/>
        </w:rPr>
        <w:t>d’un</w:t>
      </w:r>
      <w:r>
        <w:rPr>
          <w:color w:val="231F20"/>
          <w:spacing w:val="-11"/>
        </w:rPr>
        <w:t> </w:t>
      </w:r>
      <w:r>
        <w:rPr>
          <w:color w:val="231F20"/>
          <w:spacing w:val="-4"/>
        </w:rPr>
        <w:t>arrêt</w:t>
      </w:r>
      <w:r>
        <w:rPr>
          <w:color w:val="231F20"/>
          <w:spacing w:val="-11"/>
        </w:rPr>
        <w:t> </w:t>
      </w:r>
      <w:r>
        <w:rPr>
          <w:color w:val="231F20"/>
          <w:spacing w:val="-4"/>
        </w:rPr>
        <w:t>cardiaque</w:t>
      </w:r>
      <w:r>
        <w:rPr>
          <w:color w:val="231F20"/>
          <w:spacing w:val="-11"/>
        </w:rPr>
        <w:t> </w:t>
      </w:r>
      <w:r>
        <w:rPr>
          <w:color w:val="231F20"/>
          <w:spacing w:val="-4"/>
        </w:rPr>
        <w:t>fait</w:t>
      </w:r>
      <w:r>
        <w:rPr>
          <w:color w:val="231F20"/>
          <w:spacing w:val="-11"/>
        </w:rPr>
        <w:t> </w:t>
      </w:r>
      <w:r>
        <w:rPr>
          <w:color w:val="231F20"/>
          <w:spacing w:val="-4"/>
        </w:rPr>
        <w:t>perdre</w:t>
      </w:r>
      <w:r>
        <w:rPr>
          <w:color w:val="231F20"/>
          <w:spacing w:val="-11"/>
        </w:rPr>
        <w:t> </w:t>
      </w:r>
      <w:r>
        <w:rPr>
          <w:color w:val="231F20"/>
          <w:spacing w:val="-4"/>
        </w:rPr>
        <w:t>90%</w:t>
      </w:r>
      <w:r>
        <w:rPr>
          <w:color w:val="231F20"/>
          <w:spacing w:val="-11"/>
        </w:rPr>
        <w:t> </w:t>
      </w:r>
      <w:r>
        <w:rPr>
          <w:color w:val="231F20"/>
          <w:spacing w:val="-4"/>
        </w:rPr>
        <w:t>de</w:t>
      </w:r>
      <w:r>
        <w:rPr>
          <w:color w:val="231F20"/>
          <w:spacing w:val="-11"/>
        </w:rPr>
        <w:t> </w:t>
      </w:r>
      <w:r>
        <w:rPr>
          <w:color w:val="231F20"/>
          <w:spacing w:val="-4"/>
        </w:rPr>
        <w:t>chances</w:t>
      </w:r>
      <w:r>
        <w:rPr>
          <w:color w:val="231F20"/>
          <w:spacing w:val="-11"/>
        </w:rPr>
        <w:t> </w:t>
      </w:r>
      <w:r>
        <w:rPr>
          <w:color w:val="231F20"/>
          <w:spacing w:val="-4"/>
        </w:rPr>
        <w:t>de</w:t>
      </w:r>
      <w:r>
        <w:rPr>
          <w:color w:val="231F20"/>
          <w:spacing w:val="-11"/>
        </w:rPr>
        <w:t> </w:t>
      </w:r>
      <w:r>
        <w:rPr>
          <w:color w:val="231F20"/>
          <w:spacing w:val="-4"/>
        </w:rPr>
        <w:t>survie</w:t>
      </w:r>
      <w:r>
        <w:rPr>
          <w:color w:val="231F20"/>
          <w:spacing w:val="-11"/>
        </w:rPr>
        <w:t> </w:t>
      </w:r>
      <w:r>
        <w:rPr>
          <w:color w:val="231F20"/>
          <w:spacing w:val="-4"/>
        </w:rPr>
        <w:t>à</w:t>
      </w:r>
      <w:r>
        <w:rPr>
          <w:color w:val="231F20"/>
          <w:spacing w:val="-11"/>
        </w:rPr>
        <w:t> </w:t>
      </w:r>
      <w:r>
        <w:rPr>
          <w:color w:val="231F20"/>
          <w:spacing w:val="-4"/>
        </w:rPr>
        <w:t>la</w:t>
      </w:r>
      <w:r>
        <w:rPr>
          <w:color w:val="231F20"/>
          <w:spacing w:val="-11"/>
        </w:rPr>
        <w:t> </w:t>
      </w:r>
      <w:r>
        <w:rPr>
          <w:color w:val="231F20"/>
          <w:spacing w:val="-4"/>
        </w:rPr>
        <w:t>victime</w:t>
      </w:r>
      <w:r>
        <w:rPr>
          <w:color w:val="231F20"/>
          <w:spacing w:val="-11"/>
        </w:rPr>
        <w:t> </w:t>
      </w:r>
      <w:r>
        <w:rPr>
          <w:color w:val="231F20"/>
          <w:spacing w:val="-4"/>
        </w:rPr>
        <w:t>(…) </w:t>
      </w:r>
      <w:r>
        <w:rPr>
          <w:color w:val="231F20"/>
          <w:spacing w:val="-2"/>
        </w:rPr>
        <w:t>l’erreur</w:t>
      </w:r>
      <w:r>
        <w:rPr>
          <w:color w:val="231F20"/>
          <w:spacing w:val="-13"/>
        </w:rPr>
        <w:t> </w:t>
      </w:r>
      <w:r>
        <w:rPr>
          <w:color w:val="231F20"/>
          <w:spacing w:val="-2"/>
        </w:rPr>
        <w:t>médicale</w:t>
      </w:r>
      <w:r>
        <w:rPr>
          <w:color w:val="231F20"/>
          <w:spacing w:val="-13"/>
        </w:rPr>
        <w:t> </w:t>
      </w:r>
      <w:r>
        <w:rPr>
          <w:color w:val="231F20"/>
          <w:spacing w:val="-2"/>
        </w:rPr>
        <w:t>existe</w:t>
      </w:r>
      <w:r>
        <w:rPr>
          <w:color w:val="231F20"/>
          <w:spacing w:val="-13"/>
        </w:rPr>
        <w:t> </w:t>
      </w:r>
      <w:r>
        <w:rPr>
          <w:color w:val="231F20"/>
          <w:spacing w:val="-2"/>
        </w:rPr>
        <w:t>et</w:t>
      </w:r>
      <w:r>
        <w:rPr>
          <w:color w:val="231F20"/>
          <w:spacing w:val="-13"/>
        </w:rPr>
        <w:t> </w:t>
      </w:r>
      <w:r>
        <w:rPr>
          <w:color w:val="231F20"/>
          <w:spacing w:val="-2"/>
        </w:rPr>
        <w:t>est</w:t>
      </w:r>
      <w:r>
        <w:rPr>
          <w:color w:val="231F20"/>
          <w:spacing w:val="-13"/>
        </w:rPr>
        <w:t> </w:t>
      </w:r>
      <w:r>
        <w:rPr>
          <w:color w:val="231F20"/>
          <w:spacing w:val="-2"/>
        </w:rPr>
        <w:t>favorisée</w:t>
      </w:r>
      <w:r>
        <w:rPr>
          <w:color w:val="231F20"/>
          <w:spacing w:val="-13"/>
        </w:rPr>
        <w:t> </w:t>
      </w:r>
      <w:r>
        <w:rPr>
          <w:color w:val="231F20"/>
          <w:spacing w:val="-2"/>
        </w:rPr>
        <w:t>par</w:t>
      </w:r>
      <w:r>
        <w:rPr>
          <w:color w:val="231F20"/>
          <w:spacing w:val="-13"/>
        </w:rPr>
        <w:t> </w:t>
      </w:r>
      <w:r>
        <w:rPr>
          <w:color w:val="231F20"/>
          <w:spacing w:val="-2"/>
        </w:rPr>
        <w:t>la</w:t>
      </w:r>
      <w:r>
        <w:rPr>
          <w:color w:val="231F20"/>
          <w:spacing w:val="-13"/>
        </w:rPr>
        <w:t> </w:t>
      </w:r>
      <w:r>
        <w:rPr>
          <w:color w:val="231F20"/>
          <w:spacing w:val="-2"/>
        </w:rPr>
        <w:t>négligence</w:t>
      </w:r>
      <w:r>
        <w:rPr>
          <w:color w:val="231F20"/>
          <w:spacing w:val="-13"/>
        </w:rPr>
        <w:t> </w:t>
      </w:r>
      <w:r>
        <w:rPr>
          <w:color w:val="231F20"/>
          <w:spacing w:val="-2"/>
        </w:rPr>
        <w:t>et</w:t>
      </w:r>
      <w:r>
        <w:rPr>
          <w:color w:val="231F20"/>
          <w:spacing w:val="-12"/>
        </w:rPr>
        <w:t> </w:t>
      </w:r>
      <w:r>
        <w:rPr>
          <w:color w:val="231F20"/>
          <w:spacing w:val="-2"/>
        </w:rPr>
        <w:t>de</w:t>
      </w:r>
      <w:r>
        <w:rPr>
          <w:color w:val="231F20"/>
          <w:spacing w:val="-13"/>
        </w:rPr>
        <w:t> </w:t>
      </w:r>
      <w:r>
        <w:rPr>
          <w:color w:val="231F20"/>
          <w:spacing w:val="-2"/>
        </w:rPr>
        <w:t>mauvaises </w:t>
      </w:r>
      <w:r>
        <w:rPr>
          <w:color w:val="231F20"/>
        </w:rPr>
        <w:t>conditions de travail (…) Les conditions de travail peuvent être très </w:t>
      </w:r>
      <w:r>
        <w:rPr>
          <w:color w:val="231F20"/>
          <w:spacing w:val="-2"/>
        </w:rPr>
        <w:t>difficiles</w:t>
      </w:r>
      <w:r>
        <w:rPr>
          <w:color w:val="231F20"/>
          <w:spacing w:val="-15"/>
        </w:rPr>
        <w:t> </w:t>
      </w:r>
      <w:r>
        <w:rPr>
          <w:color w:val="231F20"/>
          <w:spacing w:val="-2"/>
        </w:rPr>
        <w:t>dans</w:t>
      </w:r>
      <w:r>
        <w:rPr>
          <w:color w:val="231F20"/>
          <w:spacing w:val="-13"/>
        </w:rPr>
        <w:t> </w:t>
      </w:r>
      <w:r>
        <w:rPr>
          <w:color w:val="231F20"/>
          <w:spacing w:val="-2"/>
        </w:rPr>
        <w:t>nos</w:t>
      </w:r>
      <w:r>
        <w:rPr>
          <w:color w:val="231F20"/>
          <w:spacing w:val="-13"/>
        </w:rPr>
        <w:t> </w:t>
      </w:r>
      <w:r>
        <w:rPr>
          <w:color w:val="231F20"/>
          <w:spacing w:val="-2"/>
        </w:rPr>
        <w:t>structures</w:t>
      </w:r>
      <w:r>
        <w:rPr>
          <w:color w:val="231F20"/>
          <w:spacing w:val="-13"/>
        </w:rPr>
        <w:t> </w:t>
      </w:r>
      <w:r>
        <w:rPr>
          <w:color w:val="231F20"/>
          <w:spacing w:val="-2"/>
        </w:rPr>
        <w:t>de</w:t>
      </w:r>
      <w:r>
        <w:rPr>
          <w:color w:val="231F20"/>
          <w:spacing w:val="-13"/>
        </w:rPr>
        <w:t> </w:t>
      </w:r>
      <w:r>
        <w:rPr>
          <w:color w:val="231F20"/>
          <w:spacing w:val="-2"/>
        </w:rPr>
        <w:t>soins,</w:t>
      </w:r>
      <w:r>
        <w:rPr>
          <w:color w:val="231F20"/>
          <w:spacing w:val="-13"/>
        </w:rPr>
        <w:t> </w:t>
      </w:r>
      <w:r>
        <w:rPr>
          <w:color w:val="231F20"/>
          <w:spacing w:val="-2"/>
        </w:rPr>
        <w:t>en</w:t>
      </w:r>
      <w:r>
        <w:rPr>
          <w:color w:val="231F20"/>
          <w:spacing w:val="-13"/>
        </w:rPr>
        <w:t> </w:t>
      </w:r>
      <w:r>
        <w:rPr>
          <w:color w:val="231F20"/>
          <w:spacing w:val="-2"/>
        </w:rPr>
        <w:t>particulier</w:t>
      </w:r>
      <w:r>
        <w:rPr>
          <w:color w:val="231F20"/>
          <w:spacing w:val="-13"/>
        </w:rPr>
        <w:t> </w:t>
      </w:r>
      <w:r>
        <w:rPr>
          <w:color w:val="231F20"/>
          <w:spacing w:val="-2"/>
        </w:rPr>
        <w:t>au</w:t>
      </w:r>
      <w:r>
        <w:rPr>
          <w:color w:val="231F20"/>
          <w:spacing w:val="-13"/>
        </w:rPr>
        <w:t> </w:t>
      </w:r>
      <w:r>
        <w:rPr>
          <w:color w:val="231F20"/>
          <w:spacing w:val="-2"/>
        </w:rPr>
        <w:t>bloc</w:t>
      </w:r>
      <w:r>
        <w:rPr>
          <w:color w:val="231F20"/>
          <w:spacing w:val="-13"/>
        </w:rPr>
        <w:t> </w:t>
      </w:r>
      <w:r>
        <w:rPr>
          <w:color w:val="231F20"/>
          <w:spacing w:val="-2"/>
        </w:rPr>
        <w:t>opératoire</w:t>
      </w:r>
      <w:r>
        <w:rPr>
          <w:color w:val="231F20"/>
          <w:spacing w:val="-13"/>
        </w:rPr>
        <w:t> </w:t>
      </w:r>
      <w:r>
        <w:rPr>
          <w:color w:val="231F20"/>
          <w:spacing w:val="-2"/>
        </w:rPr>
        <w:t>ou </w:t>
      </w:r>
      <w:r>
        <w:rPr>
          <w:color w:val="231F20"/>
          <w:spacing w:val="-4"/>
        </w:rPr>
        <w:t>en</w:t>
      </w:r>
      <w:r>
        <w:rPr>
          <w:color w:val="231F20"/>
          <w:spacing w:val="-11"/>
        </w:rPr>
        <w:t> </w:t>
      </w:r>
      <w:r>
        <w:rPr>
          <w:color w:val="231F20"/>
          <w:spacing w:val="-4"/>
        </w:rPr>
        <w:t>réanimation,</w:t>
      </w:r>
      <w:r>
        <w:rPr>
          <w:color w:val="231F20"/>
          <w:spacing w:val="-11"/>
        </w:rPr>
        <w:t> </w:t>
      </w:r>
      <w:r>
        <w:rPr>
          <w:color w:val="231F20"/>
          <w:spacing w:val="-4"/>
        </w:rPr>
        <w:t>pour</w:t>
      </w:r>
      <w:r>
        <w:rPr>
          <w:color w:val="231F20"/>
          <w:spacing w:val="-11"/>
        </w:rPr>
        <w:t> </w:t>
      </w:r>
      <w:r>
        <w:rPr>
          <w:color w:val="231F20"/>
          <w:spacing w:val="-4"/>
        </w:rPr>
        <w:t>absence</w:t>
      </w:r>
      <w:r>
        <w:rPr>
          <w:color w:val="231F20"/>
          <w:spacing w:val="-11"/>
        </w:rPr>
        <w:t> </w:t>
      </w:r>
      <w:r>
        <w:rPr>
          <w:color w:val="231F20"/>
          <w:spacing w:val="-4"/>
        </w:rPr>
        <w:t>de</w:t>
      </w:r>
      <w:r>
        <w:rPr>
          <w:color w:val="231F20"/>
          <w:spacing w:val="-11"/>
        </w:rPr>
        <w:t> </w:t>
      </w:r>
      <w:r>
        <w:rPr>
          <w:color w:val="231F20"/>
          <w:spacing w:val="-4"/>
        </w:rPr>
        <w:t>consommables</w:t>
      </w:r>
      <w:r>
        <w:rPr>
          <w:color w:val="231F20"/>
          <w:spacing w:val="-11"/>
        </w:rPr>
        <w:t> </w:t>
      </w:r>
      <w:r>
        <w:rPr>
          <w:color w:val="231F20"/>
          <w:spacing w:val="-4"/>
        </w:rPr>
        <w:t>ou</w:t>
      </w:r>
      <w:r>
        <w:rPr>
          <w:color w:val="231F20"/>
          <w:spacing w:val="-11"/>
        </w:rPr>
        <w:t> </w:t>
      </w:r>
      <w:r>
        <w:rPr>
          <w:color w:val="231F20"/>
          <w:spacing w:val="-4"/>
        </w:rPr>
        <w:t>de</w:t>
      </w:r>
      <w:r>
        <w:rPr>
          <w:color w:val="231F20"/>
          <w:spacing w:val="-11"/>
        </w:rPr>
        <w:t> </w:t>
      </w:r>
      <w:r>
        <w:rPr>
          <w:color w:val="231F20"/>
          <w:spacing w:val="-4"/>
        </w:rPr>
        <w:t>linges,</w:t>
      </w:r>
      <w:r>
        <w:rPr>
          <w:color w:val="231F20"/>
          <w:spacing w:val="-11"/>
        </w:rPr>
        <w:t> </w:t>
      </w:r>
      <w:r>
        <w:rPr>
          <w:color w:val="231F20"/>
          <w:spacing w:val="-4"/>
        </w:rPr>
        <w:t>équipements </w:t>
      </w:r>
      <w:r>
        <w:rPr>
          <w:color w:val="231F20"/>
        </w:rPr>
        <w:t>défectueux, non disponibilité de produits anesthésiques. Les inégalités sociales apparaissent clairement dans nos hôpitaux publics ; ceux qui </w:t>
      </w:r>
      <w:r>
        <w:rPr>
          <w:color w:val="231F20"/>
          <w:spacing w:val="-4"/>
        </w:rPr>
        <w:t>n’ont</w:t>
      </w:r>
      <w:r>
        <w:rPr>
          <w:color w:val="231F20"/>
          <w:spacing w:val="-7"/>
        </w:rPr>
        <w:t> </w:t>
      </w:r>
      <w:r>
        <w:rPr>
          <w:color w:val="231F20"/>
          <w:spacing w:val="-4"/>
        </w:rPr>
        <w:t>pas</w:t>
      </w:r>
      <w:r>
        <w:rPr>
          <w:color w:val="231F20"/>
          <w:spacing w:val="-10"/>
        </w:rPr>
        <w:t> </w:t>
      </w:r>
      <w:r>
        <w:rPr>
          <w:color w:val="231F20"/>
          <w:spacing w:val="-4"/>
        </w:rPr>
        <w:t>les</w:t>
      </w:r>
      <w:r>
        <w:rPr>
          <w:color w:val="231F20"/>
          <w:spacing w:val="-7"/>
        </w:rPr>
        <w:t> </w:t>
      </w:r>
      <w:r>
        <w:rPr>
          <w:color w:val="231F20"/>
          <w:spacing w:val="-4"/>
        </w:rPr>
        <w:t>moyens</w:t>
      </w:r>
      <w:r>
        <w:rPr>
          <w:color w:val="231F20"/>
          <w:spacing w:val="-7"/>
        </w:rPr>
        <w:t> </w:t>
      </w:r>
      <w:r>
        <w:rPr>
          <w:color w:val="231F20"/>
          <w:spacing w:val="-4"/>
        </w:rPr>
        <w:t>ont</w:t>
      </w:r>
      <w:r>
        <w:rPr>
          <w:color w:val="231F20"/>
          <w:spacing w:val="-10"/>
        </w:rPr>
        <w:t> </w:t>
      </w:r>
      <w:r>
        <w:rPr>
          <w:color w:val="231F20"/>
          <w:spacing w:val="-4"/>
        </w:rPr>
        <w:t>du</w:t>
      </w:r>
      <w:r>
        <w:rPr>
          <w:color w:val="231F20"/>
          <w:spacing w:val="-7"/>
        </w:rPr>
        <w:t> </w:t>
      </w:r>
      <w:r>
        <w:rPr>
          <w:color w:val="231F20"/>
          <w:spacing w:val="-4"/>
        </w:rPr>
        <w:t>mal</w:t>
      </w:r>
      <w:r>
        <w:rPr>
          <w:color w:val="231F20"/>
          <w:spacing w:val="-7"/>
        </w:rPr>
        <w:t> </w:t>
      </w:r>
      <w:r>
        <w:rPr>
          <w:color w:val="231F20"/>
          <w:spacing w:val="-4"/>
        </w:rPr>
        <w:t>à</w:t>
      </w:r>
      <w:r>
        <w:rPr>
          <w:color w:val="231F20"/>
          <w:spacing w:val="-8"/>
        </w:rPr>
        <w:t> </w:t>
      </w:r>
      <w:r>
        <w:rPr>
          <w:color w:val="231F20"/>
          <w:spacing w:val="-4"/>
        </w:rPr>
        <w:t>avoir</w:t>
      </w:r>
      <w:r>
        <w:rPr>
          <w:color w:val="231F20"/>
          <w:spacing w:val="-8"/>
        </w:rPr>
        <w:t> </w:t>
      </w:r>
      <w:r>
        <w:rPr>
          <w:color w:val="231F20"/>
          <w:spacing w:val="-4"/>
        </w:rPr>
        <w:t>des</w:t>
      </w:r>
      <w:r>
        <w:rPr>
          <w:color w:val="231F20"/>
          <w:spacing w:val="-7"/>
        </w:rPr>
        <w:t> </w:t>
      </w:r>
      <w:r>
        <w:rPr>
          <w:color w:val="231F20"/>
          <w:spacing w:val="-4"/>
        </w:rPr>
        <w:t>soins</w:t>
      </w:r>
      <w:r>
        <w:rPr>
          <w:color w:val="231F20"/>
          <w:spacing w:val="-10"/>
        </w:rPr>
        <w:t> </w:t>
      </w:r>
      <w:r>
        <w:rPr>
          <w:color w:val="231F20"/>
          <w:spacing w:val="-4"/>
        </w:rPr>
        <w:t>de</w:t>
      </w:r>
      <w:r>
        <w:rPr>
          <w:color w:val="231F20"/>
          <w:spacing w:val="-8"/>
        </w:rPr>
        <w:t> </w:t>
      </w:r>
      <w:r>
        <w:rPr>
          <w:color w:val="231F20"/>
          <w:spacing w:val="-4"/>
        </w:rPr>
        <w:t>qualité.</w:t>
      </w:r>
      <w:r>
        <w:rPr>
          <w:color w:val="231F20"/>
          <w:spacing w:val="-7"/>
        </w:rPr>
        <w:t> </w:t>
      </w:r>
      <w:r>
        <w:rPr>
          <w:color w:val="231F20"/>
          <w:spacing w:val="-4"/>
        </w:rPr>
        <w:t>Ceux</w:t>
      </w:r>
      <w:r>
        <w:rPr>
          <w:color w:val="231F20"/>
          <w:spacing w:val="-10"/>
        </w:rPr>
        <w:t> </w:t>
      </w:r>
      <w:r>
        <w:rPr>
          <w:color w:val="231F20"/>
          <w:spacing w:val="-4"/>
        </w:rPr>
        <w:t>qui</w:t>
      </w:r>
      <w:r>
        <w:rPr>
          <w:color w:val="231F20"/>
          <w:spacing w:val="-7"/>
        </w:rPr>
        <w:t> </w:t>
      </w:r>
      <w:r>
        <w:rPr>
          <w:color w:val="231F20"/>
          <w:spacing w:val="-4"/>
        </w:rPr>
        <w:t>ont </w:t>
      </w:r>
      <w:r>
        <w:rPr>
          <w:color w:val="231F20"/>
        </w:rPr>
        <w:t>les</w:t>
      </w:r>
      <w:r>
        <w:rPr>
          <w:color w:val="231F20"/>
          <w:spacing w:val="-11"/>
        </w:rPr>
        <w:t> </w:t>
      </w:r>
      <w:r>
        <w:rPr>
          <w:color w:val="231F20"/>
        </w:rPr>
        <w:t>moyens</w:t>
      </w:r>
      <w:r>
        <w:rPr>
          <w:color w:val="231F20"/>
          <w:spacing w:val="-12"/>
        </w:rPr>
        <w:t> </w:t>
      </w:r>
      <w:r>
        <w:rPr>
          <w:color w:val="231F20"/>
        </w:rPr>
        <w:t>ou</w:t>
      </w:r>
      <w:r>
        <w:rPr>
          <w:color w:val="231F20"/>
          <w:spacing w:val="-12"/>
        </w:rPr>
        <w:t> </w:t>
      </w:r>
      <w:r>
        <w:rPr>
          <w:color w:val="231F20"/>
        </w:rPr>
        <w:t>qui</w:t>
      </w:r>
      <w:r>
        <w:rPr>
          <w:color w:val="231F20"/>
          <w:spacing w:val="-12"/>
        </w:rPr>
        <w:t> </w:t>
      </w:r>
      <w:r>
        <w:rPr>
          <w:color w:val="231F20"/>
        </w:rPr>
        <w:t>sont</w:t>
      </w:r>
      <w:r>
        <w:rPr>
          <w:color w:val="231F20"/>
          <w:spacing w:val="-11"/>
        </w:rPr>
        <w:t> </w:t>
      </w:r>
      <w:r>
        <w:rPr>
          <w:color w:val="231F20"/>
        </w:rPr>
        <w:t>proches</w:t>
      </w:r>
      <w:r>
        <w:rPr>
          <w:color w:val="231F20"/>
          <w:spacing w:val="-12"/>
        </w:rPr>
        <w:t> </w:t>
      </w:r>
      <w:r>
        <w:rPr>
          <w:color w:val="231F20"/>
        </w:rPr>
        <w:t>des</w:t>
      </w:r>
      <w:r>
        <w:rPr>
          <w:color w:val="231F20"/>
          <w:spacing w:val="-11"/>
        </w:rPr>
        <w:t> </w:t>
      </w:r>
      <w:r>
        <w:rPr>
          <w:color w:val="231F20"/>
        </w:rPr>
        <w:t>cercles</w:t>
      </w:r>
      <w:r>
        <w:rPr>
          <w:color w:val="231F20"/>
          <w:spacing w:val="-11"/>
        </w:rPr>
        <w:t> </w:t>
      </w:r>
      <w:r>
        <w:rPr>
          <w:color w:val="231F20"/>
        </w:rPr>
        <w:t>politiques</w:t>
      </w:r>
      <w:r>
        <w:rPr>
          <w:color w:val="231F20"/>
          <w:spacing w:val="-11"/>
        </w:rPr>
        <w:t> </w:t>
      </w:r>
      <w:r>
        <w:rPr>
          <w:color w:val="231F20"/>
        </w:rPr>
        <w:t>ont</w:t>
      </w:r>
      <w:r>
        <w:rPr>
          <w:color w:val="231F20"/>
          <w:spacing w:val="-12"/>
        </w:rPr>
        <w:t> </w:t>
      </w:r>
      <w:r>
        <w:rPr>
          <w:color w:val="231F20"/>
        </w:rPr>
        <w:t>tous</w:t>
      </w:r>
      <w:r>
        <w:rPr>
          <w:color w:val="231F20"/>
          <w:spacing w:val="-12"/>
        </w:rPr>
        <w:t> </w:t>
      </w:r>
      <w:r>
        <w:rPr>
          <w:color w:val="231F20"/>
        </w:rPr>
        <w:t>les</w:t>
      </w:r>
      <w:r>
        <w:rPr>
          <w:color w:val="231F20"/>
          <w:spacing w:val="-11"/>
        </w:rPr>
        <w:t> </w:t>
      </w:r>
      <w:r>
        <w:rPr>
          <w:color w:val="231F20"/>
        </w:rPr>
        <w:t>atouts de leurs côtés(…)</w:t>
      </w:r>
      <w:r>
        <w:rPr>
          <w:color w:val="76787A"/>
          <w:vertAlign w:val="superscript"/>
        </w:rPr>
        <w:t>271</w:t>
      </w:r>
      <w:r>
        <w:rPr>
          <w:color w:val="231F20"/>
          <w:vertAlign w:val="baseline"/>
        </w:rPr>
        <w:t>».</w:t>
      </w:r>
    </w:p>
    <w:p>
      <w:pPr>
        <w:pStyle w:val="BodyText"/>
        <w:spacing w:before="121"/>
        <w:ind w:right="104" w:firstLine="283"/>
      </w:pPr>
      <w:r>
        <w:rPr>
          <w:color w:val="231F20"/>
        </w:rPr>
        <w:t>Souvent</w:t>
      </w:r>
      <w:r>
        <w:rPr>
          <w:color w:val="231F20"/>
          <w:spacing w:val="-15"/>
        </w:rPr>
        <w:t> </w:t>
      </w:r>
      <w:r>
        <w:rPr>
          <w:color w:val="231F20"/>
        </w:rPr>
        <w:t>aux</w:t>
      </w:r>
      <w:r>
        <w:rPr>
          <w:color w:val="231F20"/>
          <w:spacing w:val="-15"/>
        </w:rPr>
        <w:t> </w:t>
      </w:r>
      <w:r>
        <w:rPr>
          <w:color w:val="231F20"/>
        </w:rPr>
        <w:t>antipodes</w:t>
      </w:r>
      <w:r>
        <w:rPr>
          <w:color w:val="231F20"/>
          <w:spacing w:val="-15"/>
        </w:rPr>
        <w:t> </w:t>
      </w:r>
      <w:r>
        <w:rPr>
          <w:color w:val="231F20"/>
        </w:rPr>
        <w:t>de</w:t>
      </w:r>
      <w:r>
        <w:rPr>
          <w:color w:val="231F20"/>
          <w:spacing w:val="-15"/>
        </w:rPr>
        <w:t> </w:t>
      </w:r>
      <w:r>
        <w:rPr>
          <w:color w:val="231F20"/>
        </w:rPr>
        <w:t>ce</w:t>
      </w:r>
      <w:r>
        <w:rPr>
          <w:color w:val="231F20"/>
          <w:spacing w:val="-15"/>
        </w:rPr>
        <w:t> </w:t>
      </w:r>
      <w:r>
        <w:rPr>
          <w:color w:val="231F20"/>
        </w:rPr>
        <w:t>qui</w:t>
      </w:r>
      <w:r>
        <w:rPr>
          <w:color w:val="231F20"/>
          <w:spacing w:val="-15"/>
        </w:rPr>
        <w:t> </w:t>
      </w:r>
      <w:r>
        <w:rPr>
          <w:color w:val="231F20"/>
        </w:rPr>
        <w:t>est</w:t>
      </w:r>
      <w:r>
        <w:rPr>
          <w:color w:val="231F20"/>
          <w:spacing w:val="-15"/>
        </w:rPr>
        <w:t> </w:t>
      </w:r>
      <w:r>
        <w:rPr>
          <w:color w:val="231F20"/>
        </w:rPr>
        <w:t>attendu</w:t>
      </w:r>
      <w:r>
        <w:rPr>
          <w:color w:val="231F20"/>
          <w:spacing w:val="-15"/>
        </w:rPr>
        <w:t> </w:t>
      </w:r>
      <w:r>
        <w:rPr>
          <w:color w:val="231F20"/>
        </w:rPr>
        <w:t>d’eux</w:t>
      </w:r>
      <w:r>
        <w:rPr>
          <w:color w:val="231F20"/>
          <w:spacing w:val="-15"/>
        </w:rPr>
        <w:t> </w:t>
      </w:r>
      <w:r>
        <w:rPr>
          <w:color w:val="231F20"/>
        </w:rPr>
        <w:t>et</w:t>
      </w:r>
      <w:r>
        <w:rPr>
          <w:color w:val="231F20"/>
          <w:spacing w:val="-15"/>
        </w:rPr>
        <w:t> </w:t>
      </w:r>
      <w:r>
        <w:rPr>
          <w:color w:val="231F20"/>
        </w:rPr>
        <w:t>de</w:t>
      </w:r>
      <w:r>
        <w:rPr>
          <w:color w:val="231F20"/>
          <w:spacing w:val="-15"/>
        </w:rPr>
        <w:t> </w:t>
      </w:r>
      <w:r>
        <w:rPr>
          <w:color w:val="231F20"/>
        </w:rPr>
        <w:t>ce</w:t>
      </w:r>
      <w:r>
        <w:rPr>
          <w:color w:val="231F20"/>
          <w:spacing w:val="-15"/>
        </w:rPr>
        <w:t> </w:t>
      </w:r>
      <w:r>
        <w:rPr>
          <w:color w:val="231F20"/>
        </w:rPr>
        <w:t>qui</w:t>
      </w:r>
      <w:r>
        <w:rPr>
          <w:color w:val="231F20"/>
          <w:spacing w:val="-15"/>
        </w:rPr>
        <w:t> </w:t>
      </w:r>
      <w:r>
        <w:rPr>
          <w:color w:val="231F20"/>
        </w:rPr>
        <w:t>leur</w:t>
      </w:r>
      <w:r>
        <w:rPr>
          <w:color w:val="231F20"/>
          <w:spacing w:val="-15"/>
        </w:rPr>
        <w:t> </w:t>
      </w:r>
      <w:r>
        <w:rPr>
          <w:color w:val="231F20"/>
        </w:rPr>
        <w:t>est </w:t>
      </w:r>
      <w:r>
        <w:rPr>
          <w:color w:val="231F20"/>
          <w:spacing w:val="-4"/>
        </w:rPr>
        <w:t>enseigné</w:t>
      </w:r>
      <w:r>
        <w:rPr>
          <w:color w:val="231F20"/>
          <w:spacing w:val="-9"/>
        </w:rPr>
        <w:t> </w:t>
      </w:r>
      <w:r>
        <w:rPr>
          <w:color w:val="231F20"/>
          <w:spacing w:val="-4"/>
        </w:rPr>
        <w:t>dans</w:t>
      </w:r>
      <w:r>
        <w:rPr>
          <w:color w:val="231F20"/>
          <w:spacing w:val="-11"/>
        </w:rPr>
        <w:t> </w:t>
      </w:r>
      <w:r>
        <w:rPr>
          <w:color w:val="231F20"/>
          <w:spacing w:val="-4"/>
        </w:rPr>
        <w:t>les</w:t>
      </w:r>
      <w:r>
        <w:rPr>
          <w:color w:val="231F20"/>
          <w:spacing w:val="-9"/>
        </w:rPr>
        <w:t> </w:t>
      </w:r>
      <w:r>
        <w:rPr>
          <w:color w:val="231F20"/>
          <w:spacing w:val="-4"/>
        </w:rPr>
        <w:t>écoles</w:t>
      </w:r>
      <w:r>
        <w:rPr>
          <w:color w:val="231F20"/>
          <w:spacing w:val="-11"/>
        </w:rPr>
        <w:t> </w:t>
      </w:r>
      <w:r>
        <w:rPr>
          <w:color w:val="231F20"/>
          <w:spacing w:val="-4"/>
        </w:rPr>
        <w:t>de</w:t>
      </w:r>
      <w:r>
        <w:rPr>
          <w:color w:val="231F20"/>
          <w:spacing w:val="-10"/>
        </w:rPr>
        <w:t> </w:t>
      </w:r>
      <w:r>
        <w:rPr>
          <w:color w:val="231F20"/>
          <w:spacing w:val="-4"/>
        </w:rPr>
        <w:t>formation,</w:t>
      </w:r>
      <w:r>
        <w:rPr>
          <w:color w:val="231F20"/>
          <w:spacing w:val="-11"/>
        </w:rPr>
        <w:t> </w:t>
      </w:r>
      <w:r>
        <w:rPr>
          <w:color w:val="231F20"/>
          <w:spacing w:val="-4"/>
        </w:rPr>
        <w:t>le</w:t>
      </w:r>
      <w:r>
        <w:rPr>
          <w:color w:val="231F20"/>
          <w:spacing w:val="-7"/>
        </w:rPr>
        <w:t> </w:t>
      </w:r>
      <w:r>
        <w:rPr>
          <w:color w:val="231F20"/>
          <w:spacing w:val="-4"/>
        </w:rPr>
        <w:t>comportement</w:t>
      </w:r>
      <w:r>
        <w:rPr>
          <w:color w:val="231F20"/>
          <w:spacing w:val="-9"/>
        </w:rPr>
        <w:t> </w:t>
      </w:r>
      <w:r>
        <w:rPr>
          <w:color w:val="231F20"/>
          <w:spacing w:val="-4"/>
        </w:rPr>
        <w:t>des</w:t>
      </w:r>
      <w:r>
        <w:rPr>
          <w:color w:val="231F20"/>
          <w:spacing w:val="-9"/>
        </w:rPr>
        <w:t> </w:t>
      </w:r>
      <w:r>
        <w:rPr>
          <w:color w:val="231F20"/>
          <w:spacing w:val="-4"/>
        </w:rPr>
        <w:t>personnels</w:t>
      </w:r>
      <w:r>
        <w:rPr>
          <w:color w:val="231F20"/>
          <w:spacing w:val="-9"/>
        </w:rPr>
        <w:t> </w:t>
      </w:r>
      <w:r>
        <w:rPr>
          <w:color w:val="231F20"/>
          <w:spacing w:val="-4"/>
        </w:rPr>
        <w:t>de </w:t>
      </w:r>
      <w:r>
        <w:rPr>
          <w:color w:val="231F20"/>
        </w:rPr>
        <w:t>santé</w:t>
      </w:r>
      <w:r>
        <w:rPr>
          <w:color w:val="231F20"/>
          <w:spacing w:val="-10"/>
        </w:rPr>
        <w:t> </w:t>
      </w:r>
      <w:r>
        <w:rPr>
          <w:color w:val="231F20"/>
        </w:rPr>
        <w:t>n’encourage</w:t>
      </w:r>
      <w:r>
        <w:rPr>
          <w:color w:val="231F20"/>
          <w:spacing w:val="-11"/>
        </w:rPr>
        <w:t> </w:t>
      </w:r>
      <w:r>
        <w:rPr>
          <w:color w:val="231F20"/>
        </w:rPr>
        <w:t>pas</w:t>
      </w:r>
      <w:r>
        <w:rPr>
          <w:color w:val="231F20"/>
          <w:spacing w:val="-10"/>
        </w:rPr>
        <w:t> </w:t>
      </w:r>
      <w:r>
        <w:rPr>
          <w:color w:val="231F20"/>
        </w:rPr>
        <w:t>la</w:t>
      </w:r>
      <w:r>
        <w:rPr>
          <w:color w:val="231F20"/>
          <w:spacing w:val="-10"/>
        </w:rPr>
        <w:t> </w:t>
      </w:r>
      <w:r>
        <w:rPr>
          <w:color w:val="231F20"/>
        </w:rPr>
        <w:t>population</w:t>
      </w:r>
      <w:r>
        <w:rPr>
          <w:color w:val="231F20"/>
          <w:spacing w:val="-8"/>
        </w:rPr>
        <w:t> </w:t>
      </w:r>
      <w:r>
        <w:rPr>
          <w:color w:val="231F20"/>
        </w:rPr>
        <w:t>à</w:t>
      </w:r>
      <w:r>
        <w:rPr>
          <w:color w:val="231F20"/>
          <w:spacing w:val="-11"/>
        </w:rPr>
        <w:t> </w:t>
      </w:r>
      <w:r>
        <w:rPr>
          <w:color w:val="231F20"/>
        </w:rPr>
        <w:t>se</w:t>
      </w:r>
      <w:r>
        <w:rPr>
          <w:color w:val="231F20"/>
          <w:spacing w:val="-11"/>
        </w:rPr>
        <w:t> </w:t>
      </w:r>
      <w:r>
        <w:rPr>
          <w:color w:val="231F20"/>
        </w:rPr>
        <w:t>rendre</w:t>
      </w:r>
      <w:r>
        <w:rPr>
          <w:color w:val="231F20"/>
          <w:spacing w:val="-8"/>
        </w:rPr>
        <w:t> </w:t>
      </w:r>
      <w:r>
        <w:rPr>
          <w:color w:val="231F20"/>
        </w:rPr>
        <w:t>dans</w:t>
      </w:r>
      <w:r>
        <w:rPr>
          <w:color w:val="231F20"/>
          <w:spacing w:val="-8"/>
        </w:rPr>
        <w:t> </w:t>
      </w:r>
      <w:r>
        <w:rPr>
          <w:color w:val="231F20"/>
        </w:rPr>
        <w:t>un</w:t>
      </w:r>
      <w:r>
        <w:rPr>
          <w:color w:val="231F20"/>
          <w:spacing w:val="-8"/>
        </w:rPr>
        <w:t> </w:t>
      </w:r>
      <w:r>
        <w:rPr>
          <w:color w:val="231F20"/>
        </w:rPr>
        <w:t>centre</w:t>
      </w:r>
      <w:r>
        <w:rPr>
          <w:color w:val="231F20"/>
          <w:spacing w:val="-8"/>
        </w:rPr>
        <w:t> </w:t>
      </w:r>
      <w:r>
        <w:rPr>
          <w:color w:val="231F20"/>
        </w:rPr>
        <w:t>de</w:t>
      </w:r>
      <w:r>
        <w:rPr>
          <w:color w:val="231F20"/>
          <w:spacing w:val="-11"/>
        </w:rPr>
        <w:t> </w:t>
      </w:r>
      <w:r>
        <w:rPr>
          <w:color w:val="231F20"/>
        </w:rPr>
        <w:t>santé. Dans</w:t>
      </w:r>
      <w:r>
        <w:rPr>
          <w:color w:val="231F20"/>
          <w:spacing w:val="-14"/>
        </w:rPr>
        <w:t> </w:t>
      </w:r>
      <w:r>
        <w:rPr>
          <w:color w:val="231F20"/>
        </w:rPr>
        <w:t>certains</w:t>
      </w:r>
      <w:r>
        <w:rPr>
          <w:color w:val="231F20"/>
          <w:spacing w:val="-14"/>
        </w:rPr>
        <w:t> </w:t>
      </w:r>
      <w:r>
        <w:rPr>
          <w:color w:val="231F20"/>
        </w:rPr>
        <w:t>États,</w:t>
      </w:r>
      <w:r>
        <w:rPr>
          <w:color w:val="231F20"/>
          <w:spacing w:val="-14"/>
        </w:rPr>
        <w:t> </w:t>
      </w:r>
      <w:r>
        <w:rPr>
          <w:color w:val="231F20"/>
        </w:rPr>
        <w:t>un</w:t>
      </w:r>
      <w:r>
        <w:rPr>
          <w:color w:val="231F20"/>
          <w:spacing w:val="-15"/>
        </w:rPr>
        <w:t> </w:t>
      </w:r>
      <w:r>
        <w:rPr>
          <w:color w:val="231F20"/>
        </w:rPr>
        <w:t>malade</w:t>
      </w:r>
      <w:r>
        <w:rPr>
          <w:color w:val="231F20"/>
          <w:spacing w:val="-13"/>
        </w:rPr>
        <w:t> </w:t>
      </w:r>
      <w:r>
        <w:rPr>
          <w:color w:val="231F20"/>
        </w:rPr>
        <w:t>se</w:t>
      </w:r>
      <w:r>
        <w:rPr>
          <w:color w:val="231F20"/>
          <w:spacing w:val="-14"/>
        </w:rPr>
        <w:t> </w:t>
      </w:r>
      <w:r>
        <w:rPr>
          <w:color w:val="231F20"/>
        </w:rPr>
        <w:t>tordra</w:t>
      </w:r>
      <w:r>
        <w:rPr>
          <w:color w:val="231F20"/>
          <w:spacing w:val="-14"/>
        </w:rPr>
        <w:t> </w:t>
      </w:r>
      <w:r>
        <w:rPr>
          <w:color w:val="231F20"/>
        </w:rPr>
        <w:t>de</w:t>
      </w:r>
      <w:r>
        <w:rPr>
          <w:color w:val="231F20"/>
          <w:spacing w:val="-14"/>
        </w:rPr>
        <w:t> </w:t>
      </w:r>
      <w:r>
        <w:rPr>
          <w:color w:val="231F20"/>
        </w:rPr>
        <w:t>douleur</w:t>
      </w:r>
      <w:r>
        <w:rPr>
          <w:color w:val="231F20"/>
          <w:spacing w:val="-15"/>
        </w:rPr>
        <w:t> </w:t>
      </w:r>
      <w:r>
        <w:rPr>
          <w:color w:val="231F20"/>
        </w:rPr>
        <w:t>aux</w:t>
      </w:r>
      <w:r>
        <w:rPr>
          <w:color w:val="231F20"/>
          <w:spacing w:val="-12"/>
        </w:rPr>
        <w:t> </w:t>
      </w:r>
      <w:r>
        <w:rPr>
          <w:color w:val="231F20"/>
        </w:rPr>
        <w:t>urgences,</w:t>
      </w:r>
      <w:r>
        <w:rPr>
          <w:color w:val="231F20"/>
          <w:spacing w:val="-12"/>
        </w:rPr>
        <w:t> </w:t>
      </w:r>
      <w:r>
        <w:rPr>
          <w:color w:val="231F20"/>
        </w:rPr>
        <w:t>face</w:t>
      </w:r>
      <w:r>
        <w:rPr>
          <w:color w:val="231F20"/>
          <w:spacing w:val="-14"/>
        </w:rPr>
        <w:t> </w:t>
      </w:r>
      <w:r>
        <w:rPr>
          <w:color w:val="231F20"/>
        </w:rPr>
        <w:t>à des personnels soignants (médecin, infirmier, sage-femme) mais ne recevra</w:t>
      </w:r>
      <w:r>
        <w:rPr>
          <w:color w:val="231F20"/>
          <w:spacing w:val="-9"/>
        </w:rPr>
        <w:t> </w:t>
      </w:r>
      <w:r>
        <w:rPr>
          <w:color w:val="231F20"/>
        </w:rPr>
        <w:t>aucun</w:t>
      </w:r>
      <w:r>
        <w:rPr>
          <w:color w:val="231F20"/>
          <w:spacing w:val="-9"/>
        </w:rPr>
        <w:t> </w:t>
      </w:r>
      <w:r>
        <w:rPr>
          <w:color w:val="231F20"/>
        </w:rPr>
        <w:t>soin</w:t>
      </w:r>
      <w:r>
        <w:rPr>
          <w:color w:val="231F20"/>
          <w:spacing w:val="-11"/>
        </w:rPr>
        <w:t> </w:t>
      </w:r>
      <w:r>
        <w:rPr>
          <w:color w:val="231F20"/>
        </w:rPr>
        <w:t>même</w:t>
      </w:r>
      <w:r>
        <w:rPr>
          <w:color w:val="231F20"/>
          <w:spacing w:val="-11"/>
        </w:rPr>
        <w:t> </w:t>
      </w:r>
      <w:r>
        <w:rPr>
          <w:color w:val="231F20"/>
        </w:rPr>
        <w:t>le</w:t>
      </w:r>
      <w:r>
        <w:rPr>
          <w:color w:val="231F20"/>
          <w:spacing w:val="-9"/>
        </w:rPr>
        <w:t> </w:t>
      </w:r>
      <w:r>
        <w:rPr>
          <w:color w:val="231F20"/>
        </w:rPr>
        <w:t>plus</w:t>
      </w:r>
      <w:r>
        <w:rPr>
          <w:color w:val="231F20"/>
          <w:spacing w:val="-9"/>
        </w:rPr>
        <w:t> </w:t>
      </w:r>
      <w:r>
        <w:rPr>
          <w:color w:val="231F20"/>
        </w:rPr>
        <w:t>élémentaire,</w:t>
      </w:r>
      <w:r>
        <w:rPr>
          <w:color w:val="231F20"/>
          <w:spacing w:val="-11"/>
        </w:rPr>
        <w:t> </w:t>
      </w:r>
      <w:r>
        <w:rPr>
          <w:color w:val="231F20"/>
        </w:rPr>
        <w:t>tant</w:t>
      </w:r>
      <w:r>
        <w:rPr>
          <w:color w:val="231F20"/>
          <w:spacing w:val="-10"/>
        </w:rPr>
        <w:t> </w:t>
      </w:r>
      <w:r>
        <w:rPr>
          <w:color w:val="231F20"/>
        </w:rPr>
        <w:t>qu’il</w:t>
      </w:r>
      <w:r>
        <w:rPr>
          <w:color w:val="231F20"/>
          <w:spacing w:val="-10"/>
        </w:rPr>
        <w:t> </w:t>
      </w:r>
      <w:r>
        <w:rPr>
          <w:color w:val="231F20"/>
        </w:rPr>
        <w:t>n’aura</w:t>
      </w:r>
      <w:r>
        <w:rPr>
          <w:color w:val="231F20"/>
          <w:spacing w:val="-10"/>
        </w:rPr>
        <w:t> </w:t>
      </w:r>
      <w:r>
        <w:rPr>
          <w:color w:val="231F20"/>
        </w:rPr>
        <w:t>pas</w:t>
      </w:r>
      <w:r>
        <w:rPr>
          <w:color w:val="231F20"/>
          <w:spacing w:val="-9"/>
        </w:rPr>
        <w:t> </w:t>
      </w:r>
      <w:r>
        <w:rPr>
          <w:color w:val="231F20"/>
        </w:rPr>
        <w:t>payé </w:t>
      </w:r>
      <w:r>
        <w:rPr>
          <w:color w:val="231F20"/>
          <w:spacing w:val="-2"/>
        </w:rPr>
        <w:t>ses</w:t>
      </w:r>
      <w:r>
        <w:rPr>
          <w:color w:val="231F20"/>
          <w:spacing w:val="-13"/>
        </w:rPr>
        <w:t> </w:t>
      </w:r>
      <w:r>
        <w:rPr>
          <w:color w:val="231F20"/>
          <w:spacing w:val="-2"/>
        </w:rPr>
        <w:t>frais</w:t>
      </w:r>
      <w:r>
        <w:rPr>
          <w:color w:val="231F20"/>
          <w:spacing w:val="-13"/>
        </w:rPr>
        <w:t> </w:t>
      </w:r>
      <w:r>
        <w:rPr>
          <w:color w:val="231F20"/>
          <w:spacing w:val="-2"/>
        </w:rPr>
        <w:t>de</w:t>
      </w:r>
      <w:r>
        <w:rPr>
          <w:color w:val="231F20"/>
          <w:spacing w:val="-13"/>
        </w:rPr>
        <w:t> </w:t>
      </w:r>
      <w:r>
        <w:rPr>
          <w:color w:val="231F20"/>
          <w:spacing w:val="-2"/>
        </w:rPr>
        <w:t>consultation</w:t>
      </w:r>
      <w:r>
        <w:rPr>
          <w:color w:val="231F20"/>
          <w:spacing w:val="-13"/>
        </w:rPr>
        <w:t> </w:t>
      </w:r>
      <w:r>
        <w:rPr>
          <w:color w:val="231F20"/>
          <w:spacing w:val="-2"/>
        </w:rPr>
        <w:t>et</w:t>
      </w:r>
      <w:r>
        <w:rPr>
          <w:color w:val="231F20"/>
          <w:spacing w:val="-13"/>
        </w:rPr>
        <w:t> </w:t>
      </w:r>
      <w:r>
        <w:rPr>
          <w:color w:val="231F20"/>
          <w:spacing w:val="-2"/>
        </w:rPr>
        <w:t>de</w:t>
      </w:r>
      <w:r>
        <w:rPr>
          <w:color w:val="231F20"/>
          <w:spacing w:val="-13"/>
        </w:rPr>
        <w:t> </w:t>
      </w:r>
      <w:r>
        <w:rPr>
          <w:color w:val="231F20"/>
          <w:spacing w:val="-2"/>
        </w:rPr>
        <w:t>soins.</w:t>
      </w:r>
      <w:r>
        <w:rPr>
          <w:color w:val="231F20"/>
          <w:spacing w:val="-13"/>
        </w:rPr>
        <w:t> </w:t>
      </w:r>
      <w:r>
        <w:rPr>
          <w:color w:val="231F20"/>
          <w:spacing w:val="-2"/>
        </w:rPr>
        <w:t>Tout</w:t>
      </w:r>
      <w:r>
        <w:rPr>
          <w:color w:val="231F20"/>
          <w:spacing w:val="-13"/>
        </w:rPr>
        <w:t> </w:t>
      </w:r>
      <w:r>
        <w:rPr>
          <w:color w:val="231F20"/>
          <w:spacing w:val="-2"/>
        </w:rPr>
        <w:t>se</w:t>
      </w:r>
      <w:r>
        <w:rPr>
          <w:color w:val="231F20"/>
          <w:spacing w:val="-13"/>
        </w:rPr>
        <w:t> </w:t>
      </w:r>
      <w:r>
        <w:rPr>
          <w:color w:val="231F20"/>
          <w:spacing w:val="-2"/>
        </w:rPr>
        <w:t>paie</w:t>
      </w:r>
      <w:r>
        <w:rPr>
          <w:color w:val="231F20"/>
          <w:spacing w:val="-13"/>
        </w:rPr>
        <w:t> </w:t>
      </w:r>
      <w:r>
        <w:rPr>
          <w:color w:val="231F20"/>
          <w:spacing w:val="-2"/>
        </w:rPr>
        <w:t>:</w:t>
      </w:r>
      <w:r>
        <w:rPr>
          <w:color w:val="231F20"/>
          <w:spacing w:val="-13"/>
        </w:rPr>
        <w:t> </w:t>
      </w:r>
      <w:r>
        <w:rPr>
          <w:color w:val="231F20"/>
          <w:spacing w:val="-2"/>
        </w:rPr>
        <w:t>alcool,</w:t>
      </w:r>
      <w:r>
        <w:rPr>
          <w:color w:val="231F20"/>
          <w:spacing w:val="-13"/>
        </w:rPr>
        <w:t> </w:t>
      </w:r>
      <w:r>
        <w:rPr>
          <w:color w:val="231F20"/>
          <w:spacing w:val="-2"/>
        </w:rPr>
        <w:t>seringue,</w:t>
      </w:r>
      <w:r>
        <w:rPr>
          <w:color w:val="231F20"/>
          <w:spacing w:val="-13"/>
        </w:rPr>
        <w:t> </w:t>
      </w:r>
      <w:r>
        <w:rPr>
          <w:color w:val="231F20"/>
          <w:spacing w:val="-2"/>
        </w:rPr>
        <w:t>coton, </w:t>
      </w:r>
      <w:r>
        <w:rPr>
          <w:color w:val="231F20"/>
          <w:spacing w:val="-4"/>
        </w:rPr>
        <w:t>etc.</w:t>
      </w:r>
    </w:p>
    <w:p>
      <w:pPr>
        <w:pStyle w:val="BodyText"/>
        <w:spacing w:before="121"/>
        <w:ind w:right="106" w:firstLine="283"/>
      </w:pPr>
      <w:r>
        <w:rPr>
          <w:color w:val="231F20"/>
        </w:rPr>
        <w:t>L’état</w:t>
      </w:r>
      <w:r>
        <w:rPr>
          <w:color w:val="231F20"/>
          <w:spacing w:val="-12"/>
        </w:rPr>
        <w:t> </w:t>
      </w:r>
      <w:r>
        <w:rPr>
          <w:color w:val="231F20"/>
        </w:rPr>
        <w:t>actuel</w:t>
      </w:r>
      <w:r>
        <w:rPr>
          <w:color w:val="231F20"/>
          <w:spacing w:val="-11"/>
        </w:rPr>
        <w:t> </w:t>
      </w:r>
      <w:r>
        <w:rPr>
          <w:color w:val="231F20"/>
        </w:rPr>
        <w:t>des</w:t>
      </w:r>
      <w:r>
        <w:rPr>
          <w:color w:val="231F20"/>
          <w:spacing w:val="-11"/>
        </w:rPr>
        <w:t> </w:t>
      </w:r>
      <w:r>
        <w:rPr>
          <w:color w:val="231F20"/>
        </w:rPr>
        <w:t>hôpitaux</w:t>
      </w:r>
      <w:r>
        <w:rPr>
          <w:color w:val="231F20"/>
          <w:spacing w:val="-14"/>
        </w:rPr>
        <w:t> </w:t>
      </w:r>
      <w:r>
        <w:rPr>
          <w:color w:val="231F20"/>
        </w:rPr>
        <w:t>et</w:t>
      </w:r>
      <w:r>
        <w:rPr>
          <w:color w:val="231F20"/>
          <w:spacing w:val="-11"/>
        </w:rPr>
        <w:t> </w:t>
      </w:r>
      <w:r>
        <w:rPr>
          <w:color w:val="231F20"/>
        </w:rPr>
        <w:t>des</w:t>
      </w:r>
      <w:r>
        <w:rPr>
          <w:color w:val="231F20"/>
          <w:spacing w:val="-11"/>
        </w:rPr>
        <w:t> </w:t>
      </w:r>
      <w:r>
        <w:rPr>
          <w:color w:val="231F20"/>
        </w:rPr>
        <w:t>systèmes</w:t>
      </w:r>
      <w:r>
        <w:rPr>
          <w:color w:val="231F20"/>
          <w:spacing w:val="-11"/>
        </w:rPr>
        <w:t> </w:t>
      </w:r>
      <w:r>
        <w:rPr>
          <w:color w:val="231F20"/>
        </w:rPr>
        <w:t>de</w:t>
      </w:r>
      <w:r>
        <w:rPr>
          <w:color w:val="231F20"/>
          <w:spacing w:val="-14"/>
        </w:rPr>
        <w:t> </w:t>
      </w:r>
      <w:r>
        <w:rPr>
          <w:color w:val="231F20"/>
        </w:rPr>
        <w:t>santé</w:t>
      </w:r>
      <w:r>
        <w:rPr>
          <w:color w:val="231F20"/>
          <w:spacing w:val="-15"/>
        </w:rPr>
        <w:t> </w:t>
      </w:r>
      <w:r>
        <w:rPr>
          <w:color w:val="231F20"/>
        </w:rPr>
        <w:t>est</w:t>
      </w:r>
      <w:r>
        <w:rPr>
          <w:color w:val="231F20"/>
          <w:spacing w:val="-10"/>
        </w:rPr>
        <w:t> </w:t>
      </w:r>
      <w:r>
        <w:rPr>
          <w:color w:val="231F20"/>
        </w:rPr>
        <w:t>dû,</w:t>
      </w:r>
      <w:r>
        <w:rPr>
          <w:color w:val="231F20"/>
          <w:spacing w:val="-11"/>
        </w:rPr>
        <w:t> </w:t>
      </w:r>
      <w:r>
        <w:rPr>
          <w:color w:val="231F20"/>
        </w:rPr>
        <w:t>non</w:t>
      </w:r>
      <w:r>
        <w:rPr>
          <w:color w:val="231F20"/>
          <w:spacing w:val="-11"/>
        </w:rPr>
        <w:t> </w:t>
      </w:r>
      <w:r>
        <w:rPr>
          <w:color w:val="231F20"/>
        </w:rPr>
        <w:t>pas</w:t>
      </w:r>
      <w:r>
        <w:rPr>
          <w:color w:val="231F20"/>
          <w:spacing w:val="-11"/>
        </w:rPr>
        <w:t> </w:t>
      </w:r>
      <w:r>
        <w:rPr>
          <w:color w:val="231F20"/>
        </w:rPr>
        <w:t>au manque de moyens financiers des États mais au manque de volonté politique, à la méchanceté, à l’égoïsme, à la mal gouvernance des dirigeants</w:t>
      </w:r>
      <w:r>
        <w:rPr>
          <w:color w:val="231F20"/>
          <w:spacing w:val="-15"/>
        </w:rPr>
        <w:t> </w:t>
      </w:r>
      <w:r>
        <w:rPr>
          <w:color w:val="231F20"/>
        </w:rPr>
        <w:t>:</w:t>
      </w:r>
      <w:r>
        <w:rPr>
          <w:color w:val="231F20"/>
          <w:spacing w:val="-15"/>
        </w:rPr>
        <w:t> </w:t>
      </w:r>
      <w:r>
        <w:rPr>
          <w:color w:val="231F20"/>
        </w:rPr>
        <w:t>les</w:t>
      </w:r>
      <w:r>
        <w:rPr>
          <w:color w:val="231F20"/>
          <w:spacing w:val="-11"/>
        </w:rPr>
        <w:t> </w:t>
      </w:r>
      <w:r>
        <w:rPr>
          <w:color w:val="231F20"/>
        </w:rPr>
        <w:t>États</w:t>
      </w:r>
      <w:r>
        <w:rPr>
          <w:color w:val="231F20"/>
          <w:spacing w:val="-11"/>
        </w:rPr>
        <w:t> </w:t>
      </w:r>
      <w:r>
        <w:rPr>
          <w:color w:val="231F20"/>
        </w:rPr>
        <w:t>trouvent</w:t>
      </w:r>
      <w:r>
        <w:rPr>
          <w:color w:val="231F20"/>
          <w:spacing w:val="-8"/>
        </w:rPr>
        <w:t> </w:t>
      </w:r>
      <w:r>
        <w:rPr>
          <w:color w:val="231F20"/>
        </w:rPr>
        <w:t>de</w:t>
      </w:r>
      <w:r>
        <w:rPr>
          <w:color w:val="231F20"/>
          <w:spacing w:val="-11"/>
        </w:rPr>
        <w:t> </w:t>
      </w:r>
      <w:r>
        <w:rPr>
          <w:color w:val="231F20"/>
        </w:rPr>
        <w:t>l’argent</w:t>
      </w:r>
      <w:r>
        <w:rPr>
          <w:color w:val="231F20"/>
          <w:spacing w:val="-8"/>
        </w:rPr>
        <w:t> </w:t>
      </w:r>
      <w:r>
        <w:rPr>
          <w:color w:val="231F20"/>
        </w:rPr>
        <w:t>pour</w:t>
      </w:r>
      <w:r>
        <w:rPr>
          <w:color w:val="231F20"/>
          <w:spacing w:val="-9"/>
        </w:rPr>
        <w:t> </w:t>
      </w:r>
      <w:r>
        <w:rPr>
          <w:color w:val="231F20"/>
        </w:rPr>
        <w:t>les</w:t>
      </w:r>
      <w:r>
        <w:rPr>
          <w:color w:val="231F20"/>
          <w:spacing w:val="-11"/>
        </w:rPr>
        <w:t> </w:t>
      </w:r>
      <w:r>
        <w:rPr>
          <w:color w:val="231F20"/>
        </w:rPr>
        <w:t>évacuations</w:t>
      </w:r>
      <w:r>
        <w:rPr>
          <w:color w:val="231F20"/>
          <w:spacing w:val="-9"/>
        </w:rPr>
        <w:t> </w:t>
      </w:r>
      <w:r>
        <w:rPr>
          <w:color w:val="231F20"/>
        </w:rPr>
        <w:t>sanitaires des personnalités du régime en place.</w:t>
      </w:r>
    </w:p>
    <w:p>
      <w:pPr>
        <w:pStyle w:val="BodyText"/>
        <w:ind w:left="0"/>
        <w:jc w:val="left"/>
        <w:rPr>
          <w:sz w:val="20"/>
        </w:rPr>
      </w:pPr>
    </w:p>
    <w:p>
      <w:pPr>
        <w:pStyle w:val="BodyText"/>
        <w:spacing w:before="98"/>
        <w:ind w:left="0"/>
        <w:jc w:val="left"/>
        <w:rPr>
          <w:sz w:val="20"/>
        </w:rPr>
      </w:pPr>
      <w:r>
        <w:rPr/>
        <mc:AlternateContent>
          <mc:Choice Requires="wps">
            <w:drawing>
              <wp:anchor distT="0" distB="0" distL="0" distR="0" allowOverlap="1" layoutInCell="1" locked="0" behindDoc="1" simplePos="0" relativeHeight="487670784">
                <wp:simplePos x="0" y="0"/>
                <wp:positionH relativeFrom="page">
                  <wp:posOffset>629907</wp:posOffset>
                </wp:positionH>
                <wp:positionV relativeFrom="paragraph">
                  <wp:posOffset>223735</wp:posOffset>
                </wp:positionV>
                <wp:extent cx="1829435" cy="9525"/>
                <wp:effectExtent l="0" t="0" r="0" b="0"/>
                <wp:wrapTopAndBottom/>
                <wp:docPr id="196" name="Graphic 196"/>
                <wp:cNvGraphicFramePr>
                  <a:graphicFrameLocks/>
                </wp:cNvGraphicFramePr>
                <a:graphic>
                  <a:graphicData uri="http://schemas.microsoft.com/office/word/2010/wordprocessingShape">
                    <wps:wsp>
                      <wps:cNvPr id="196" name="Graphic 196"/>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7.616993pt;width:144.020pt;height:.72pt;mso-position-horizontal-relative:page;mso-position-vertical-relative:paragraph;z-index:-15645696;mso-wrap-distance-left:0;mso-wrap-distance-right:0" id="docshape194" filled="true" fillcolor="#231f20" stroked="false">
                <v:fill type="solid"/>
                <w10:wrap type="topAndBottom"/>
              </v:rect>
            </w:pict>
          </mc:Fallback>
        </mc:AlternateContent>
      </w:r>
    </w:p>
    <w:p>
      <w:pPr>
        <w:spacing w:before="94"/>
        <w:ind w:left="111" w:right="0" w:firstLine="0"/>
        <w:jc w:val="left"/>
        <w:rPr>
          <w:sz w:val="20"/>
        </w:rPr>
      </w:pPr>
      <w:r>
        <w:rPr>
          <w:color w:val="76787A"/>
          <w:spacing w:val="-2"/>
          <w:sz w:val="20"/>
          <w:vertAlign w:val="superscript"/>
        </w:rPr>
        <w:t>271</w:t>
      </w:r>
      <w:r>
        <w:rPr>
          <w:color w:val="231F20"/>
          <w:spacing w:val="-2"/>
          <w:sz w:val="20"/>
          <w:vertAlign w:val="baseline"/>
        </w:rPr>
        <w:t>LA</w:t>
      </w:r>
      <w:r>
        <w:rPr>
          <w:color w:val="231F20"/>
          <w:spacing w:val="-7"/>
          <w:sz w:val="20"/>
          <w:vertAlign w:val="baseline"/>
        </w:rPr>
        <w:t> </w:t>
      </w:r>
      <w:r>
        <w:rPr>
          <w:color w:val="231F20"/>
          <w:spacing w:val="-2"/>
          <w:sz w:val="20"/>
          <w:vertAlign w:val="baseline"/>
        </w:rPr>
        <w:t>VIE</w:t>
      </w:r>
      <w:r>
        <w:rPr>
          <w:color w:val="231F20"/>
          <w:spacing w:val="-6"/>
          <w:sz w:val="20"/>
          <w:vertAlign w:val="baseline"/>
        </w:rPr>
        <w:t> </w:t>
      </w:r>
      <w:r>
        <w:rPr>
          <w:color w:val="231F20"/>
          <w:spacing w:val="-2"/>
          <w:sz w:val="20"/>
          <w:vertAlign w:val="baseline"/>
        </w:rPr>
        <w:t>SUR</w:t>
      </w:r>
      <w:r>
        <w:rPr>
          <w:color w:val="231F20"/>
          <w:spacing w:val="-9"/>
          <w:sz w:val="20"/>
          <w:vertAlign w:val="baseline"/>
        </w:rPr>
        <w:t> </w:t>
      </w:r>
      <w:r>
        <w:rPr>
          <w:color w:val="231F20"/>
          <w:spacing w:val="-2"/>
          <w:sz w:val="20"/>
          <w:vertAlign w:val="baseline"/>
        </w:rPr>
        <w:t>UN</w:t>
      </w:r>
      <w:r>
        <w:rPr>
          <w:color w:val="231F20"/>
          <w:spacing w:val="-6"/>
          <w:sz w:val="20"/>
          <w:vertAlign w:val="baseline"/>
        </w:rPr>
        <w:t> </w:t>
      </w:r>
      <w:r>
        <w:rPr>
          <w:color w:val="231F20"/>
          <w:spacing w:val="-2"/>
          <w:sz w:val="20"/>
          <w:vertAlign w:val="baseline"/>
        </w:rPr>
        <w:t>FIL,</w:t>
      </w:r>
      <w:r>
        <w:rPr>
          <w:color w:val="231F20"/>
          <w:spacing w:val="-7"/>
          <w:sz w:val="20"/>
          <w:vertAlign w:val="baseline"/>
        </w:rPr>
        <w:t> </w:t>
      </w:r>
      <w:r>
        <w:rPr>
          <w:color w:val="231F20"/>
          <w:spacing w:val="-2"/>
          <w:sz w:val="20"/>
          <w:vertAlign w:val="baseline"/>
        </w:rPr>
        <w:t>Nouvelles</w:t>
      </w:r>
      <w:r>
        <w:rPr>
          <w:color w:val="231F20"/>
          <w:spacing w:val="-7"/>
          <w:sz w:val="20"/>
          <w:vertAlign w:val="baseline"/>
        </w:rPr>
        <w:t> </w:t>
      </w:r>
      <w:r>
        <w:rPr>
          <w:color w:val="231F20"/>
          <w:spacing w:val="-2"/>
          <w:sz w:val="20"/>
          <w:vertAlign w:val="baseline"/>
        </w:rPr>
        <w:t>de</w:t>
      </w:r>
      <w:r>
        <w:rPr>
          <w:color w:val="231F20"/>
          <w:spacing w:val="-8"/>
          <w:sz w:val="20"/>
          <w:vertAlign w:val="baseline"/>
        </w:rPr>
        <w:t> </w:t>
      </w:r>
      <w:r>
        <w:rPr>
          <w:color w:val="231F20"/>
          <w:spacing w:val="-2"/>
          <w:sz w:val="20"/>
          <w:vertAlign w:val="baseline"/>
        </w:rPr>
        <w:t>mon</w:t>
      </w:r>
      <w:r>
        <w:rPr>
          <w:color w:val="231F20"/>
          <w:spacing w:val="-7"/>
          <w:sz w:val="20"/>
          <w:vertAlign w:val="baseline"/>
        </w:rPr>
        <w:t> </w:t>
      </w:r>
      <w:r>
        <w:rPr>
          <w:color w:val="231F20"/>
          <w:spacing w:val="-2"/>
          <w:sz w:val="20"/>
          <w:vertAlign w:val="baseline"/>
        </w:rPr>
        <w:t>hôpital,</w:t>
      </w:r>
      <w:r>
        <w:rPr>
          <w:color w:val="231F20"/>
          <w:spacing w:val="-5"/>
          <w:sz w:val="20"/>
          <w:vertAlign w:val="baseline"/>
        </w:rPr>
        <w:t> </w:t>
      </w:r>
      <w:r>
        <w:rPr>
          <w:color w:val="58595B"/>
          <w:spacing w:val="-2"/>
          <w:sz w:val="20"/>
          <w:vertAlign w:val="baseline"/>
        </w:rPr>
        <w:t>120</w:t>
      </w:r>
      <w:r>
        <w:rPr>
          <w:color w:val="58595B"/>
          <w:spacing w:val="-10"/>
          <w:sz w:val="20"/>
          <w:vertAlign w:val="baseline"/>
        </w:rPr>
        <w:t> </w:t>
      </w:r>
      <w:r>
        <w:rPr>
          <w:color w:val="58595B"/>
          <w:spacing w:val="-2"/>
          <w:sz w:val="20"/>
          <w:vertAlign w:val="baseline"/>
        </w:rPr>
        <w:t>pages,</w:t>
      </w:r>
      <w:r>
        <w:rPr>
          <w:color w:val="58595B"/>
          <w:spacing w:val="-8"/>
          <w:sz w:val="20"/>
          <w:vertAlign w:val="baseline"/>
        </w:rPr>
        <w:t> </w:t>
      </w:r>
      <w:r>
        <w:rPr>
          <w:color w:val="58595B"/>
          <w:spacing w:val="-2"/>
          <w:sz w:val="20"/>
          <w:vertAlign w:val="baseline"/>
        </w:rPr>
        <w:t>juillet</w:t>
      </w:r>
      <w:r>
        <w:rPr>
          <w:color w:val="58595B"/>
          <w:spacing w:val="-9"/>
          <w:sz w:val="20"/>
          <w:vertAlign w:val="baseline"/>
        </w:rPr>
        <w:t> </w:t>
      </w:r>
      <w:r>
        <w:rPr>
          <w:color w:val="58595B"/>
          <w:spacing w:val="-2"/>
          <w:sz w:val="20"/>
          <w:vertAlign w:val="baseline"/>
        </w:rPr>
        <w:t>2013,</w:t>
      </w:r>
      <w:r>
        <w:rPr>
          <w:color w:val="58595B"/>
          <w:spacing w:val="-8"/>
          <w:sz w:val="20"/>
          <w:vertAlign w:val="baseline"/>
        </w:rPr>
        <w:t> </w:t>
      </w:r>
      <w:r>
        <w:rPr>
          <w:color w:val="231F20"/>
          <w:spacing w:val="-2"/>
          <w:sz w:val="20"/>
          <w:vertAlign w:val="baseline"/>
        </w:rPr>
        <w:t>professeur</w:t>
      </w:r>
    </w:p>
    <w:p>
      <w:pPr>
        <w:spacing w:before="0"/>
        <w:ind w:left="111" w:right="0" w:firstLine="0"/>
        <w:jc w:val="left"/>
        <w:rPr>
          <w:sz w:val="20"/>
        </w:rPr>
      </w:pPr>
      <w:r>
        <w:rPr>
          <w:color w:val="231F20"/>
          <w:spacing w:val="-4"/>
          <w:sz w:val="20"/>
        </w:rPr>
        <w:t>Abdoul Kane,</w:t>
      </w:r>
      <w:r>
        <w:rPr>
          <w:color w:val="231F20"/>
          <w:spacing w:val="-3"/>
          <w:sz w:val="20"/>
        </w:rPr>
        <w:t> </w:t>
      </w:r>
      <w:r>
        <w:rPr>
          <w:color w:val="231F20"/>
          <w:spacing w:val="-4"/>
          <w:sz w:val="20"/>
        </w:rPr>
        <w:t>l’Hôpital</w:t>
      </w:r>
      <w:r>
        <w:rPr>
          <w:color w:val="231F20"/>
          <w:spacing w:val="-3"/>
          <w:sz w:val="20"/>
        </w:rPr>
        <w:t> </w:t>
      </w:r>
      <w:r>
        <w:rPr>
          <w:color w:val="231F20"/>
          <w:spacing w:val="-4"/>
          <w:sz w:val="20"/>
        </w:rPr>
        <w:t>général de Grand-Yoff,</w:t>
      </w:r>
      <w:r>
        <w:rPr>
          <w:color w:val="231F20"/>
          <w:spacing w:val="-2"/>
          <w:sz w:val="20"/>
        </w:rPr>
        <w:t> </w:t>
      </w:r>
      <w:r>
        <w:rPr>
          <w:color w:val="231F20"/>
          <w:spacing w:val="-4"/>
          <w:sz w:val="20"/>
        </w:rPr>
        <w:t>Dakar,</w:t>
      </w:r>
      <w:r>
        <w:rPr>
          <w:color w:val="231F20"/>
          <w:sz w:val="20"/>
        </w:rPr>
        <w:t> </w:t>
      </w:r>
      <w:r>
        <w:rPr>
          <w:color w:val="231F20"/>
          <w:spacing w:val="-4"/>
          <w:sz w:val="20"/>
        </w:rPr>
        <w:t>Collection</w:t>
      </w:r>
      <w:r>
        <w:rPr>
          <w:color w:val="231F20"/>
          <w:spacing w:val="-3"/>
          <w:sz w:val="20"/>
        </w:rPr>
        <w:t> </w:t>
      </w:r>
      <w:r>
        <w:rPr>
          <w:color w:val="231F20"/>
          <w:spacing w:val="-4"/>
          <w:sz w:val="20"/>
        </w:rPr>
        <w:t>:</w:t>
      </w:r>
      <w:r>
        <w:rPr>
          <w:color w:val="231F20"/>
          <w:spacing w:val="-1"/>
          <w:sz w:val="20"/>
        </w:rPr>
        <w:t> </w:t>
      </w:r>
      <w:r>
        <w:rPr>
          <w:color w:val="231F20"/>
          <w:spacing w:val="-4"/>
          <w:sz w:val="20"/>
        </w:rPr>
        <w:t>Harmattan</w:t>
      </w:r>
      <w:r>
        <w:rPr>
          <w:color w:val="231F20"/>
          <w:spacing w:val="-1"/>
          <w:sz w:val="20"/>
        </w:rPr>
        <w:t> </w:t>
      </w:r>
      <w:r>
        <w:rPr>
          <w:color w:val="231F20"/>
          <w:spacing w:val="-4"/>
          <w:sz w:val="20"/>
        </w:rPr>
        <w:t>Sénégal.</w:t>
      </w:r>
    </w:p>
    <w:p>
      <w:pPr>
        <w:spacing w:after="0"/>
        <w:jc w:val="left"/>
        <w:rPr>
          <w:sz w:val="20"/>
        </w:rPr>
        <w:sectPr>
          <w:pgSz w:w="8790" w:h="13610"/>
          <w:pgMar w:header="0" w:footer="802" w:top="1060" w:bottom="1000" w:left="880" w:right="880"/>
        </w:sectPr>
      </w:pPr>
    </w:p>
    <w:p>
      <w:pPr>
        <w:spacing w:before="66"/>
        <w:ind w:left="111" w:right="102" w:firstLine="283"/>
        <w:jc w:val="both"/>
        <w:rPr>
          <w:sz w:val="24"/>
        </w:rPr>
      </w:pPr>
      <w:r>
        <w:rPr>
          <w:color w:val="231F20"/>
          <w:spacing w:val="-2"/>
          <w:sz w:val="24"/>
        </w:rPr>
        <w:t>Conscients</w:t>
      </w:r>
      <w:r>
        <w:rPr>
          <w:color w:val="231F20"/>
          <w:spacing w:val="-9"/>
          <w:sz w:val="24"/>
        </w:rPr>
        <w:t> </w:t>
      </w:r>
      <w:r>
        <w:rPr>
          <w:color w:val="231F20"/>
          <w:spacing w:val="-2"/>
          <w:sz w:val="24"/>
        </w:rPr>
        <w:t>de</w:t>
      </w:r>
      <w:r>
        <w:rPr>
          <w:color w:val="231F20"/>
          <w:spacing w:val="-10"/>
          <w:sz w:val="24"/>
        </w:rPr>
        <w:t> </w:t>
      </w:r>
      <w:r>
        <w:rPr>
          <w:color w:val="231F20"/>
          <w:spacing w:val="-2"/>
          <w:sz w:val="24"/>
        </w:rPr>
        <w:t>l’état</w:t>
      </w:r>
      <w:r>
        <w:rPr>
          <w:color w:val="231F20"/>
          <w:spacing w:val="-8"/>
          <w:sz w:val="24"/>
        </w:rPr>
        <w:t> </w:t>
      </w:r>
      <w:r>
        <w:rPr>
          <w:color w:val="231F20"/>
          <w:spacing w:val="-2"/>
          <w:sz w:val="24"/>
        </w:rPr>
        <w:t>des</w:t>
      </w:r>
      <w:r>
        <w:rPr>
          <w:color w:val="231F20"/>
          <w:spacing w:val="-9"/>
          <w:sz w:val="24"/>
        </w:rPr>
        <w:t> </w:t>
      </w:r>
      <w:r>
        <w:rPr>
          <w:color w:val="231F20"/>
          <w:spacing w:val="-2"/>
          <w:sz w:val="24"/>
        </w:rPr>
        <w:t>établissements</w:t>
      </w:r>
      <w:r>
        <w:rPr>
          <w:color w:val="231F20"/>
          <w:spacing w:val="-9"/>
          <w:sz w:val="24"/>
        </w:rPr>
        <w:t> </w:t>
      </w:r>
      <w:r>
        <w:rPr>
          <w:color w:val="231F20"/>
          <w:spacing w:val="-2"/>
          <w:sz w:val="24"/>
        </w:rPr>
        <w:t>de</w:t>
      </w:r>
      <w:r>
        <w:rPr>
          <w:color w:val="231F20"/>
          <w:spacing w:val="-10"/>
          <w:sz w:val="24"/>
        </w:rPr>
        <w:t> </w:t>
      </w:r>
      <w:r>
        <w:rPr>
          <w:color w:val="231F20"/>
          <w:spacing w:val="-2"/>
          <w:sz w:val="24"/>
        </w:rPr>
        <w:t>soins</w:t>
      </w:r>
      <w:r>
        <w:rPr>
          <w:color w:val="231F20"/>
          <w:spacing w:val="-9"/>
          <w:sz w:val="24"/>
        </w:rPr>
        <w:t> </w:t>
      </w:r>
      <w:r>
        <w:rPr>
          <w:color w:val="231F20"/>
          <w:spacing w:val="-2"/>
          <w:sz w:val="24"/>
        </w:rPr>
        <w:t>dans</w:t>
      </w:r>
      <w:r>
        <w:rPr>
          <w:color w:val="231F20"/>
          <w:spacing w:val="-9"/>
          <w:sz w:val="24"/>
        </w:rPr>
        <w:t> </w:t>
      </w:r>
      <w:r>
        <w:rPr>
          <w:color w:val="231F20"/>
          <w:spacing w:val="-2"/>
          <w:sz w:val="24"/>
        </w:rPr>
        <w:t>leur</w:t>
      </w:r>
      <w:r>
        <w:rPr>
          <w:color w:val="231F20"/>
          <w:spacing w:val="-10"/>
          <w:sz w:val="24"/>
        </w:rPr>
        <w:t> </w:t>
      </w:r>
      <w:r>
        <w:rPr>
          <w:color w:val="231F20"/>
          <w:spacing w:val="-2"/>
          <w:sz w:val="24"/>
        </w:rPr>
        <w:t>pays,</w:t>
      </w:r>
      <w:r>
        <w:rPr>
          <w:color w:val="231F20"/>
          <w:spacing w:val="-9"/>
          <w:sz w:val="24"/>
        </w:rPr>
        <w:t> </w:t>
      </w:r>
      <w:r>
        <w:rPr>
          <w:color w:val="231F20"/>
          <w:spacing w:val="-2"/>
          <w:sz w:val="24"/>
        </w:rPr>
        <w:t>aucun </w:t>
      </w:r>
      <w:r>
        <w:rPr>
          <w:color w:val="231F20"/>
          <w:sz w:val="24"/>
        </w:rPr>
        <w:t>Chef</w:t>
      </w:r>
      <w:r>
        <w:rPr>
          <w:color w:val="231F20"/>
          <w:spacing w:val="-15"/>
          <w:sz w:val="24"/>
        </w:rPr>
        <w:t> </w:t>
      </w:r>
      <w:r>
        <w:rPr>
          <w:color w:val="231F20"/>
          <w:sz w:val="24"/>
        </w:rPr>
        <w:t>d’Etat,</w:t>
      </w:r>
      <w:r>
        <w:rPr>
          <w:color w:val="231F20"/>
          <w:spacing w:val="-15"/>
          <w:sz w:val="24"/>
        </w:rPr>
        <w:t> </w:t>
      </w:r>
      <w:r>
        <w:rPr>
          <w:color w:val="231F20"/>
          <w:sz w:val="24"/>
        </w:rPr>
        <w:t>aucun</w:t>
      </w:r>
      <w:r>
        <w:rPr>
          <w:color w:val="231F20"/>
          <w:spacing w:val="-15"/>
          <w:sz w:val="24"/>
        </w:rPr>
        <w:t> </w:t>
      </w:r>
      <w:r>
        <w:rPr>
          <w:color w:val="231F20"/>
          <w:sz w:val="24"/>
        </w:rPr>
        <w:t>Ministre</w:t>
      </w:r>
      <w:r>
        <w:rPr>
          <w:color w:val="231F20"/>
          <w:spacing w:val="-15"/>
          <w:sz w:val="24"/>
        </w:rPr>
        <w:t> </w:t>
      </w:r>
      <w:r>
        <w:rPr>
          <w:color w:val="231F20"/>
          <w:sz w:val="24"/>
        </w:rPr>
        <w:t>n’ose</w:t>
      </w:r>
      <w:r>
        <w:rPr>
          <w:color w:val="231F20"/>
          <w:spacing w:val="-15"/>
          <w:sz w:val="24"/>
        </w:rPr>
        <w:t> </w:t>
      </w:r>
      <w:r>
        <w:rPr>
          <w:color w:val="231F20"/>
          <w:sz w:val="24"/>
        </w:rPr>
        <w:t>se</w:t>
      </w:r>
      <w:r>
        <w:rPr>
          <w:color w:val="231F20"/>
          <w:spacing w:val="-15"/>
          <w:sz w:val="24"/>
        </w:rPr>
        <w:t> </w:t>
      </w:r>
      <w:r>
        <w:rPr>
          <w:color w:val="231F20"/>
          <w:sz w:val="24"/>
        </w:rPr>
        <w:t>soigner</w:t>
      </w:r>
      <w:r>
        <w:rPr>
          <w:color w:val="231F20"/>
          <w:spacing w:val="-15"/>
          <w:sz w:val="24"/>
        </w:rPr>
        <w:t> </w:t>
      </w:r>
      <w:r>
        <w:rPr>
          <w:color w:val="231F20"/>
          <w:sz w:val="24"/>
        </w:rPr>
        <w:t>sur</w:t>
      </w:r>
      <w:r>
        <w:rPr>
          <w:color w:val="231F20"/>
          <w:spacing w:val="-15"/>
          <w:sz w:val="24"/>
        </w:rPr>
        <w:t> </w:t>
      </w:r>
      <w:r>
        <w:rPr>
          <w:color w:val="231F20"/>
          <w:sz w:val="24"/>
        </w:rPr>
        <w:t>place</w:t>
      </w:r>
      <w:r>
        <w:rPr>
          <w:color w:val="231F20"/>
          <w:spacing w:val="-15"/>
          <w:sz w:val="24"/>
        </w:rPr>
        <w:t> </w:t>
      </w:r>
      <w:r>
        <w:rPr>
          <w:color w:val="231F20"/>
          <w:sz w:val="24"/>
        </w:rPr>
        <w:t>dans</w:t>
      </w:r>
      <w:r>
        <w:rPr>
          <w:color w:val="231F20"/>
          <w:spacing w:val="-15"/>
          <w:sz w:val="24"/>
        </w:rPr>
        <w:t> </w:t>
      </w:r>
      <w:r>
        <w:rPr>
          <w:color w:val="231F20"/>
          <w:sz w:val="24"/>
        </w:rPr>
        <w:t>ces</w:t>
      </w:r>
      <w:r>
        <w:rPr>
          <w:color w:val="231F20"/>
          <w:spacing w:val="-15"/>
          <w:sz w:val="24"/>
        </w:rPr>
        <w:t> </w:t>
      </w:r>
      <w:r>
        <w:rPr>
          <w:color w:val="231F20"/>
          <w:sz w:val="24"/>
        </w:rPr>
        <w:t>hôpitaux de</w:t>
      </w:r>
      <w:r>
        <w:rPr>
          <w:color w:val="231F20"/>
          <w:spacing w:val="-6"/>
          <w:sz w:val="24"/>
        </w:rPr>
        <w:t> </w:t>
      </w:r>
      <w:r>
        <w:rPr>
          <w:color w:val="231F20"/>
          <w:sz w:val="24"/>
        </w:rPr>
        <w:t>fortune</w:t>
      </w:r>
      <w:r>
        <w:rPr>
          <w:color w:val="231F20"/>
          <w:spacing w:val="-6"/>
          <w:sz w:val="24"/>
        </w:rPr>
        <w:t> </w:t>
      </w:r>
      <w:r>
        <w:rPr>
          <w:color w:val="231F20"/>
          <w:sz w:val="24"/>
        </w:rPr>
        <w:t>qui</w:t>
      </w:r>
      <w:r>
        <w:rPr>
          <w:color w:val="231F20"/>
          <w:spacing w:val="-6"/>
          <w:sz w:val="24"/>
        </w:rPr>
        <w:t> </w:t>
      </w:r>
      <w:r>
        <w:rPr>
          <w:color w:val="231F20"/>
          <w:sz w:val="24"/>
        </w:rPr>
        <w:t>manquent</w:t>
      </w:r>
      <w:r>
        <w:rPr>
          <w:color w:val="231F20"/>
          <w:spacing w:val="-9"/>
          <w:sz w:val="24"/>
        </w:rPr>
        <w:t> </w:t>
      </w:r>
      <w:r>
        <w:rPr>
          <w:color w:val="231F20"/>
          <w:sz w:val="24"/>
        </w:rPr>
        <w:t>presque</w:t>
      </w:r>
      <w:r>
        <w:rPr>
          <w:color w:val="231F20"/>
          <w:spacing w:val="-8"/>
          <w:sz w:val="24"/>
        </w:rPr>
        <w:t> </w:t>
      </w:r>
      <w:r>
        <w:rPr>
          <w:color w:val="231F20"/>
          <w:sz w:val="24"/>
        </w:rPr>
        <w:t>de</w:t>
      </w:r>
      <w:r>
        <w:rPr>
          <w:color w:val="231F20"/>
          <w:spacing w:val="-6"/>
          <w:sz w:val="24"/>
        </w:rPr>
        <w:t> </w:t>
      </w:r>
      <w:r>
        <w:rPr>
          <w:color w:val="231F20"/>
          <w:sz w:val="24"/>
        </w:rPr>
        <w:t>tout.</w:t>
      </w:r>
      <w:r>
        <w:rPr>
          <w:color w:val="231F20"/>
          <w:spacing w:val="-6"/>
          <w:sz w:val="24"/>
        </w:rPr>
        <w:t> </w:t>
      </w:r>
      <w:r>
        <w:rPr>
          <w:color w:val="231F20"/>
          <w:sz w:val="24"/>
        </w:rPr>
        <w:t>Aux</w:t>
      </w:r>
      <w:r>
        <w:rPr>
          <w:color w:val="231F20"/>
          <w:spacing w:val="-6"/>
          <w:sz w:val="24"/>
        </w:rPr>
        <w:t> </w:t>
      </w:r>
      <w:r>
        <w:rPr>
          <w:color w:val="231F20"/>
          <w:sz w:val="24"/>
        </w:rPr>
        <w:t>frais</w:t>
      </w:r>
      <w:r>
        <w:rPr>
          <w:color w:val="231F20"/>
          <w:spacing w:val="-6"/>
          <w:sz w:val="24"/>
        </w:rPr>
        <w:t> </w:t>
      </w:r>
      <w:r>
        <w:rPr>
          <w:color w:val="231F20"/>
          <w:sz w:val="24"/>
        </w:rPr>
        <w:t>du</w:t>
      </w:r>
      <w:r>
        <w:rPr>
          <w:color w:val="231F20"/>
          <w:spacing w:val="-6"/>
          <w:sz w:val="24"/>
        </w:rPr>
        <w:t> </w:t>
      </w:r>
      <w:r>
        <w:rPr>
          <w:color w:val="231F20"/>
          <w:sz w:val="24"/>
        </w:rPr>
        <w:t>contribuable,</w:t>
      </w:r>
      <w:r>
        <w:rPr>
          <w:color w:val="231F20"/>
          <w:spacing w:val="-6"/>
          <w:sz w:val="24"/>
        </w:rPr>
        <w:t> </w:t>
      </w:r>
      <w:r>
        <w:rPr>
          <w:color w:val="231F20"/>
          <w:sz w:val="24"/>
        </w:rPr>
        <w:t>les dignitaires</w:t>
      </w:r>
      <w:r>
        <w:rPr>
          <w:color w:val="231F20"/>
          <w:spacing w:val="-8"/>
          <w:sz w:val="24"/>
        </w:rPr>
        <w:t> </w:t>
      </w:r>
      <w:r>
        <w:rPr>
          <w:color w:val="231F20"/>
          <w:sz w:val="24"/>
        </w:rPr>
        <w:t>du</w:t>
      </w:r>
      <w:r>
        <w:rPr>
          <w:color w:val="231F20"/>
          <w:spacing w:val="-7"/>
          <w:sz w:val="24"/>
        </w:rPr>
        <w:t> </w:t>
      </w:r>
      <w:r>
        <w:rPr>
          <w:color w:val="231F20"/>
          <w:sz w:val="24"/>
        </w:rPr>
        <w:t>régime</w:t>
      </w:r>
      <w:r>
        <w:rPr>
          <w:color w:val="231F20"/>
          <w:spacing w:val="-8"/>
          <w:sz w:val="24"/>
        </w:rPr>
        <w:t> </w:t>
      </w:r>
      <w:r>
        <w:rPr>
          <w:color w:val="231F20"/>
          <w:sz w:val="24"/>
        </w:rPr>
        <w:t>en</w:t>
      </w:r>
      <w:r>
        <w:rPr>
          <w:color w:val="231F20"/>
          <w:spacing w:val="-10"/>
          <w:sz w:val="24"/>
        </w:rPr>
        <w:t> </w:t>
      </w:r>
      <w:r>
        <w:rPr>
          <w:color w:val="231F20"/>
          <w:sz w:val="24"/>
        </w:rPr>
        <w:t>place</w:t>
      </w:r>
      <w:r>
        <w:rPr>
          <w:color w:val="231F20"/>
          <w:spacing w:val="-7"/>
          <w:sz w:val="24"/>
        </w:rPr>
        <w:t> </w:t>
      </w:r>
      <w:r>
        <w:rPr>
          <w:color w:val="231F20"/>
          <w:sz w:val="24"/>
        </w:rPr>
        <w:t>et</w:t>
      </w:r>
      <w:r>
        <w:rPr>
          <w:color w:val="231F20"/>
          <w:spacing w:val="-7"/>
          <w:sz w:val="24"/>
        </w:rPr>
        <w:t> </w:t>
      </w:r>
      <w:r>
        <w:rPr>
          <w:color w:val="231F20"/>
          <w:sz w:val="24"/>
        </w:rPr>
        <w:t>leurs</w:t>
      </w:r>
      <w:r>
        <w:rPr>
          <w:color w:val="231F20"/>
          <w:spacing w:val="-8"/>
          <w:sz w:val="24"/>
        </w:rPr>
        <w:t> </w:t>
      </w:r>
      <w:r>
        <w:rPr>
          <w:color w:val="231F20"/>
          <w:sz w:val="24"/>
        </w:rPr>
        <w:t>familles</w:t>
      </w:r>
      <w:r>
        <w:rPr>
          <w:color w:val="231F20"/>
          <w:spacing w:val="-8"/>
          <w:sz w:val="24"/>
        </w:rPr>
        <w:t> </w:t>
      </w:r>
      <w:r>
        <w:rPr>
          <w:color w:val="231F20"/>
          <w:sz w:val="24"/>
        </w:rPr>
        <w:t>confient</w:t>
      </w:r>
      <w:r>
        <w:rPr>
          <w:color w:val="231F20"/>
          <w:spacing w:val="-7"/>
          <w:sz w:val="24"/>
        </w:rPr>
        <w:t> </w:t>
      </w:r>
      <w:r>
        <w:rPr>
          <w:color w:val="231F20"/>
          <w:sz w:val="24"/>
        </w:rPr>
        <w:t>leur</w:t>
      </w:r>
      <w:r>
        <w:rPr>
          <w:color w:val="231F20"/>
          <w:spacing w:val="-11"/>
          <w:sz w:val="24"/>
        </w:rPr>
        <w:t> </w:t>
      </w:r>
      <w:r>
        <w:rPr>
          <w:color w:val="231F20"/>
          <w:sz w:val="24"/>
        </w:rPr>
        <w:t>santé</w:t>
      </w:r>
      <w:r>
        <w:rPr>
          <w:color w:val="231F20"/>
          <w:spacing w:val="-8"/>
          <w:sz w:val="24"/>
        </w:rPr>
        <w:t> </w:t>
      </w:r>
      <w:r>
        <w:rPr>
          <w:color w:val="231F20"/>
          <w:sz w:val="24"/>
        </w:rPr>
        <w:t>à</w:t>
      </w:r>
      <w:r>
        <w:rPr>
          <w:color w:val="231F20"/>
          <w:spacing w:val="-6"/>
          <w:sz w:val="24"/>
        </w:rPr>
        <w:t> </w:t>
      </w:r>
      <w:r>
        <w:rPr>
          <w:color w:val="231F20"/>
          <w:sz w:val="24"/>
        </w:rPr>
        <w:t>des spécialistes</w:t>
      </w:r>
      <w:r>
        <w:rPr>
          <w:color w:val="231F20"/>
          <w:spacing w:val="-4"/>
          <w:sz w:val="24"/>
        </w:rPr>
        <w:t> </w:t>
      </w:r>
      <w:r>
        <w:rPr>
          <w:color w:val="231F20"/>
          <w:sz w:val="24"/>
        </w:rPr>
        <w:t>à l’étranger: </w:t>
      </w:r>
      <w:r>
        <w:rPr>
          <w:i/>
          <w:color w:val="231F20"/>
          <w:sz w:val="24"/>
        </w:rPr>
        <w:t>c’est l’équivalent de 7 hôpitaux</w:t>
      </w:r>
      <w:r>
        <w:rPr>
          <w:i/>
          <w:color w:val="231F20"/>
          <w:spacing w:val="-15"/>
          <w:sz w:val="24"/>
        </w:rPr>
        <w:t> </w:t>
      </w:r>
      <w:r>
        <w:rPr>
          <w:i/>
          <w:color w:val="231F20"/>
          <w:sz w:val="24"/>
        </w:rPr>
        <w:t>high-tech</w:t>
      </w:r>
      <w:r>
        <w:rPr>
          <w:i/>
          <w:color w:val="231F20"/>
          <w:spacing w:val="-15"/>
          <w:sz w:val="24"/>
        </w:rPr>
        <w:t> </w:t>
      </w:r>
      <w:r>
        <w:rPr>
          <w:i/>
          <w:color w:val="231F20"/>
          <w:sz w:val="24"/>
        </w:rPr>
        <w:t>que</w:t>
      </w:r>
      <w:r>
        <w:rPr>
          <w:i/>
          <w:color w:val="231F20"/>
          <w:sz w:val="24"/>
        </w:rPr>
        <w:t> coûtent, chaque année, les évacuations sanitaires pour l’ensemble des pays francophones de l’Afrique subsaharienne. </w:t>
      </w:r>
      <w:r>
        <w:rPr>
          <w:color w:val="76787A"/>
          <w:sz w:val="24"/>
          <w:vertAlign w:val="superscript"/>
        </w:rPr>
        <w:t>272</w:t>
      </w:r>
      <w:r>
        <w:rPr>
          <w:color w:val="76787A"/>
          <w:sz w:val="24"/>
          <w:vertAlign w:val="baseline"/>
        </w:rPr>
        <w:t> </w:t>
      </w:r>
      <w:r>
        <w:rPr>
          <w:i/>
          <w:color w:val="231F20"/>
          <w:sz w:val="24"/>
          <w:vertAlign w:val="baseline"/>
        </w:rPr>
        <w:t>» </w:t>
      </w:r>
      <w:r>
        <w:rPr>
          <w:color w:val="231F20"/>
          <w:sz w:val="24"/>
          <w:vertAlign w:val="baseline"/>
        </w:rPr>
        <w:t>L’évacuation sanitaire,</w:t>
      </w:r>
      <w:r>
        <w:rPr>
          <w:color w:val="231F20"/>
          <w:spacing w:val="-15"/>
          <w:sz w:val="24"/>
          <w:vertAlign w:val="baseline"/>
        </w:rPr>
        <w:t> </w:t>
      </w:r>
      <w:r>
        <w:rPr>
          <w:color w:val="231F20"/>
          <w:sz w:val="24"/>
          <w:vertAlign w:val="baseline"/>
        </w:rPr>
        <w:t>c’est</w:t>
      </w:r>
      <w:r>
        <w:rPr>
          <w:color w:val="231F20"/>
          <w:spacing w:val="-15"/>
          <w:sz w:val="24"/>
          <w:vertAlign w:val="baseline"/>
        </w:rPr>
        <w:t> </w:t>
      </w:r>
      <w:r>
        <w:rPr>
          <w:color w:val="231F20"/>
          <w:sz w:val="24"/>
          <w:vertAlign w:val="baseline"/>
        </w:rPr>
        <w:t>le</w:t>
      </w:r>
      <w:r>
        <w:rPr>
          <w:color w:val="231F20"/>
          <w:spacing w:val="-14"/>
          <w:sz w:val="24"/>
          <w:vertAlign w:val="baseline"/>
        </w:rPr>
        <w:t> </w:t>
      </w:r>
      <w:r>
        <w:rPr>
          <w:color w:val="231F20"/>
          <w:sz w:val="24"/>
          <w:vertAlign w:val="baseline"/>
        </w:rPr>
        <w:t>transport</w:t>
      </w:r>
      <w:r>
        <w:rPr>
          <w:color w:val="231F20"/>
          <w:spacing w:val="-13"/>
          <w:sz w:val="24"/>
          <w:vertAlign w:val="baseline"/>
        </w:rPr>
        <w:t> </w:t>
      </w:r>
      <w:r>
        <w:rPr>
          <w:color w:val="231F20"/>
          <w:sz w:val="24"/>
          <w:vertAlign w:val="baseline"/>
        </w:rPr>
        <w:t>d’un</w:t>
      </w:r>
      <w:r>
        <w:rPr>
          <w:color w:val="231F20"/>
          <w:spacing w:val="-15"/>
          <w:sz w:val="24"/>
          <w:vertAlign w:val="baseline"/>
        </w:rPr>
        <w:t> </w:t>
      </w:r>
      <w:r>
        <w:rPr>
          <w:color w:val="231F20"/>
          <w:sz w:val="24"/>
          <w:vertAlign w:val="baseline"/>
        </w:rPr>
        <w:t>malade</w:t>
      </w:r>
      <w:r>
        <w:rPr>
          <w:color w:val="231F20"/>
          <w:spacing w:val="-15"/>
          <w:sz w:val="24"/>
          <w:vertAlign w:val="baseline"/>
        </w:rPr>
        <w:t> </w:t>
      </w:r>
      <w:r>
        <w:rPr>
          <w:color w:val="231F20"/>
          <w:sz w:val="24"/>
          <w:vertAlign w:val="baseline"/>
        </w:rPr>
        <w:t>depuis</w:t>
      </w:r>
      <w:r>
        <w:rPr>
          <w:color w:val="231F20"/>
          <w:spacing w:val="-15"/>
          <w:sz w:val="24"/>
          <w:vertAlign w:val="baseline"/>
        </w:rPr>
        <w:t> </w:t>
      </w:r>
      <w:r>
        <w:rPr>
          <w:color w:val="231F20"/>
          <w:sz w:val="24"/>
          <w:vertAlign w:val="baseline"/>
        </w:rPr>
        <w:t>son</w:t>
      </w:r>
      <w:r>
        <w:rPr>
          <w:color w:val="231F20"/>
          <w:spacing w:val="-15"/>
          <w:sz w:val="24"/>
          <w:vertAlign w:val="baseline"/>
        </w:rPr>
        <w:t> </w:t>
      </w:r>
      <w:r>
        <w:rPr>
          <w:color w:val="231F20"/>
          <w:sz w:val="24"/>
          <w:vertAlign w:val="baseline"/>
        </w:rPr>
        <w:t>pays</w:t>
      </w:r>
      <w:r>
        <w:rPr>
          <w:color w:val="231F20"/>
          <w:spacing w:val="-15"/>
          <w:sz w:val="24"/>
          <w:vertAlign w:val="baseline"/>
        </w:rPr>
        <w:t> </w:t>
      </w:r>
      <w:r>
        <w:rPr>
          <w:color w:val="231F20"/>
          <w:sz w:val="24"/>
          <w:vertAlign w:val="baseline"/>
        </w:rPr>
        <w:t>vers</w:t>
      </w:r>
      <w:r>
        <w:rPr>
          <w:color w:val="231F20"/>
          <w:spacing w:val="-15"/>
          <w:sz w:val="24"/>
          <w:vertAlign w:val="baseline"/>
        </w:rPr>
        <w:t> </w:t>
      </w:r>
      <w:r>
        <w:rPr>
          <w:color w:val="231F20"/>
          <w:sz w:val="24"/>
          <w:vertAlign w:val="baseline"/>
        </w:rPr>
        <w:t>un</w:t>
      </w:r>
      <w:r>
        <w:rPr>
          <w:color w:val="231F20"/>
          <w:spacing w:val="-15"/>
          <w:sz w:val="24"/>
          <w:vertAlign w:val="baseline"/>
        </w:rPr>
        <w:t> </w:t>
      </w:r>
      <w:r>
        <w:rPr>
          <w:color w:val="231F20"/>
          <w:sz w:val="24"/>
          <w:vertAlign w:val="baseline"/>
        </w:rPr>
        <w:t>autre</w:t>
      </w:r>
      <w:r>
        <w:rPr>
          <w:color w:val="231F20"/>
          <w:spacing w:val="-15"/>
          <w:sz w:val="24"/>
          <w:vertAlign w:val="baseline"/>
        </w:rPr>
        <w:t> </w:t>
      </w:r>
      <w:r>
        <w:rPr>
          <w:color w:val="231F20"/>
          <w:sz w:val="24"/>
          <w:vertAlign w:val="baseline"/>
        </w:rPr>
        <w:t>en raison</w:t>
      </w:r>
      <w:r>
        <w:rPr>
          <w:color w:val="231F20"/>
          <w:spacing w:val="40"/>
          <w:sz w:val="24"/>
          <w:vertAlign w:val="baseline"/>
        </w:rPr>
        <w:t> </w:t>
      </w:r>
      <w:r>
        <w:rPr>
          <w:color w:val="231F20"/>
          <w:sz w:val="24"/>
          <w:vertAlign w:val="baseline"/>
        </w:rPr>
        <w:t>d'un</w:t>
      </w:r>
      <w:r>
        <w:rPr>
          <w:color w:val="231F20"/>
          <w:spacing w:val="-13"/>
          <w:sz w:val="24"/>
          <w:vertAlign w:val="baseline"/>
        </w:rPr>
        <w:t> </w:t>
      </w:r>
      <w:r>
        <w:rPr>
          <w:color w:val="231F20"/>
          <w:sz w:val="24"/>
          <w:vertAlign w:val="baseline"/>
        </w:rPr>
        <w:t>manque</w:t>
      </w:r>
      <w:r>
        <w:rPr>
          <w:color w:val="231F20"/>
          <w:spacing w:val="40"/>
          <w:sz w:val="24"/>
          <w:vertAlign w:val="baseline"/>
        </w:rPr>
        <w:t> </w:t>
      </w:r>
      <w:r>
        <w:rPr>
          <w:color w:val="231F20"/>
          <w:sz w:val="24"/>
          <w:vertAlign w:val="baseline"/>
        </w:rPr>
        <w:t>de compétences</w:t>
      </w:r>
      <w:r>
        <w:rPr>
          <w:color w:val="231F20"/>
          <w:spacing w:val="40"/>
          <w:sz w:val="24"/>
          <w:vertAlign w:val="baseline"/>
        </w:rPr>
        <w:t> </w:t>
      </w:r>
      <w:r>
        <w:rPr>
          <w:color w:val="231F20"/>
          <w:sz w:val="24"/>
          <w:vertAlign w:val="baseline"/>
        </w:rPr>
        <w:t>médicales</w:t>
      </w:r>
      <w:r>
        <w:rPr>
          <w:color w:val="231F20"/>
          <w:spacing w:val="40"/>
          <w:sz w:val="24"/>
          <w:vertAlign w:val="baseline"/>
        </w:rPr>
        <w:t> </w:t>
      </w:r>
      <w:r>
        <w:rPr>
          <w:color w:val="231F20"/>
          <w:sz w:val="24"/>
          <w:vertAlign w:val="baseline"/>
        </w:rPr>
        <w:t>sur</w:t>
      </w:r>
      <w:r>
        <w:rPr>
          <w:color w:val="231F20"/>
          <w:spacing w:val="40"/>
          <w:sz w:val="24"/>
          <w:vertAlign w:val="baseline"/>
        </w:rPr>
        <w:t> </w:t>
      </w:r>
      <w:r>
        <w:rPr>
          <w:color w:val="231F20"/>
          <w:sz w:val="24"/>
          <w:vertAlign w:val="baseline"/>
        </w:rPr>
        <w:t>place:</w:t>
      </w:r>
      <w:r>
        <w:rPr>
          <w:color w:val="231F20"/>
          <w:spacing w:val="-12"/>
          <w:sz w:val="24"/>
          <w:vertAlign w:val="baseline"/>
        </w:rPr>
        <w:t> </w:t>
      </w:r>
      <w:r>
        <w:rPr>
          <w:i/>
          <w:color w:val="231F20"/>
          <w:sz w:val="24"/>
          <w:vertAlign w:val="baseline"/>
        </w:rPr>
        <w:t>«</w:t>
      </w:r>
      <w:r>
        <w:rPr>
          <w:i/>
          <w:color w:val="231F20"/>
          <w:spacing w:val="-11"/>
          <w:sz w:val="24"/>
          <w:vertAlign w:val="baseline"/>
        </w:rPr>
        <w:t> </w:t>
      </w:r>
      <w:r>
        <w:rPr>
          <w:i/>
          <w:color w:val="231F20"/>
          <w:sz w:val="24"/>
          <w:vertAlign w:val="baseline"/>
        </w:rPr>
        <w:t>les</w:t>
      </w:r>
      <w:r>
        <w:rPr>
          <w:i/>
          <w:color w:val="231F20"/>
          <w:sz w:val="24"/>
          <w:vertAlign w:val="baseline"/>
        </w:rPr>
        <w:t> évacuations</w:t>
      </w:r>
      <w:r>
        <w:rPr>
          <w:i/>
          <w:color w:val="231F20"/>
          <w:spacing w:val="-7"/>
          <w:sz w:val="24"/>
          <w:vertAlign w:val="baseline"/>
        </w:rPr>
        <w:t> </w:t>
      </w:r>
      <w:r>
        <w:rPr>
          <w:i/>
          <w:color w:val="231F20"/>
          <w:sz w:val="24"/>
          <w:vertAlign w:val="baseline"/>
        </w:rPr>
        <w:t>sanitaires</w:t>
      </w:r>
      <w:r>
        <w:rPr>
          <w:i/>
          <w:color w:val="231F20"/>
          <w:spacing w:val="-7"/>
          <w:sz w:val="24"/>
          <w:vertAlign w:val="baseline"/>
        </w:rPr>
        <w:t> </w:t>
      </w:r>
      <w:r>
        <w:rPr>
          <w:i/>
          <w:color w:val="231F20"/>
          <w:sz w:val="24"/>
          <w:vertAlign w:val="baseline"/>
        </w:rPr>
        <w:t>coûtent,</w:t>
      </w:r>
      <w:r>
        <w:rPr>
          <w:i/>
          <w:color w:val="231F20"/>
          <w:spacing w:val="-7"/>
          <w:sz w:val="24"/>
          <w:vertAlign w:val="baseline"/>
        </w:rPr>
        <w:t> </w:t>
      </w:r>
      <w:r>
        <w:rPr>
          <w:i/>
          <w:color w:val="231F20"/>
          <w:sz w:val="24"/>
          <w:vertAlign w:val="baseline"/>
        </w:rPr>
        <w:t>au</w:t>
      </w:r>
      <w:r>
        <w:rPr>
          <w:i/>
          <w:color w:val="231F20"/>
          <w:spacing w:val="-7"/>
          <w:sz w:val="24"/>
          <w:vertAlign w:val="baseline"/>
        </w:rPr>
        <w:t> </w:t>
      </w:r>
      <w:r>
        <w:rPr>
          <w:i/>
          <w:color w:val="231F20"/>
          <w:sz w:val="24"/>
          <w:vertAlign w:val="baseline"/>
        </w:rPr>
        <w:t>bas</w:t>
      </w:r>
      <w:r>
        <w:rPr>
          <w:i/>
          <w:color w:val="231F20"/>
          <w:spacing w:val="-7"/>
          <w:sz w:val="24"/>
          <w:vertAlign w:val="baseline"/>
        </w:rPr>
        <w:t> </w:t>
      </w:r>
      <w:r>
        <w:rPr>
          <w:i/>
          <w:color w:val="231F20"/>
          <w:sz w:val="24"/>
          <w:vertAlign w:val="baseline"/>
        </w:rPr>
        <w:t>mot,</w:t>
      </w:r>
      <w:r>
        <w:rPr>
          <w:i/>
          <w:color w:val="231F20"/>
          <w:spacing w:val="-7"/>
          <w:sz w:val="24"/>
          <w:vertAlign w:val="baseline"/>
        </w:rPr>
        <w:t> </w:t>
      </w:r>
      <w:r>
        <w:rPr>
          <w:i/>
          <w:color w:val="231F20"/>
          <w:sz w:val="24"/>
          <w:vertAlign w:val="baseline"/>
        </w:rPr>
        <w:t>24</w:t>
      </w:r>
      <w:r>
        <w:rPr>
          <w:i/>
          <w:color w:val="231F20"/>
          <w:spacing w:val="-7"/>
          <w:sz w:val="24"/>
          <w:vertAlign w:val="baseline"/>
        </w:rPr>
        <w:t> </w:t>
      </w:r>
      <w:r>
        <w:rPr>
          <w:i/>
          <w:color w:val="231F20"/>
          <w:sz w:val="24"/>
          <w:vertAlign w:val="baseline"/>
        </w:rPr>
        <w:t>milliards</w:t>
      </w:r>
      <w:r>
        <w:rPr>
          <w:i/>
          <w:color w:val="231F20"/>
          <w:spacing w:val="-7"/>
          <w:sz w:val="24"/>
          <w:vertAlign w:val="baseline"/>
        </w:rPr>
        <w:t> </w:t>
      </w:r>
      <w:r>
        <w:rPr>
          <w:i/>
          <w:color w:val="231F20"/>
          <w:sz w:val="24"/>
          <w:vertAlign w:val="baseline"/>
        </w:rPr>
        <w:t>de</w:t>
      </w:r>
      <w:r>
        <w:rPr>
          <w:i/>
          <w:color w:val="231F20"/>
          <w:spacing w:val="-7"/>
          <w:sz w:val="24"/>
          <w:vertAlign w:val="baseline"/>
        </w:rPr>
        <w:t> </w:t>
      </w:r>
      <w:r>
        <w:rPr>
          <w:i/>
          <w:color w:val="231F20"/>
          <w:sz w:val="24"/>
          <w:vertAlign w:val="baseline"/>
        </w:rPr>
        <w:t>francs</w:t>
      </w:r>
      <w:r>
        <w:rPr>
          <w:i/>
          <w:color w:val="231F20"/>
          <w:spacing w:val="-8"/>
          <w:sz w:val="24"/>
          <w:vertAlign w:val="baseline"/>
        </w:rPr>
        <w:t> </w:t>
      </w:r>
      <w:r>
        <w:rPr>
          <w:i/>
          <w:color w:val="231F20"/>
          <w:sz w:val="24"/>
          <w:vertAlign w:val="baseline"/>
        </w:rPr>
        <w:t>CFA </w:t>
      </w:r>
      <w:r>
        <w:rPr>
          <w:i/>
          <w:color w:val="231F20"/>
          <w:spacing w:val="-2"/>
          <w:sz w:val="24"/>
          <w:vertAlign w:val="baseline"/>
        </w:rPr>
        <w:t>par</w:t>
      </w:r>
      <w:r>
        <w:rPr>
          <w:i/>
          <w:color w:val="231F20"/>
          <w:spacing w:val="-13"/>
          <w:sz w:val="24"/>
          <w:vertAlign w:val="baseline"/>
        </w:rPr>
        <w:t> </w:t>
      </w:r>
      <w:r>
        <w:rPr>
          <w:i/>
          <w:color w:val="231F20"/>
          <w:spacing w:val="-2"/>
          <w:sz w:val="24"/>
          <w:vertAlign w:val="baseline"/>
        </w:rPr>
        <w:t>année</w:t>
      </w:r>
      <w:r>
        <w:rPr>
          <w:i/>
          <w:color w:val="231F20"/>
          <w:spacing w:val="-13"/>
          <w:sz w:val="24"/>
          <w:vertAlign w:val="baseline"/>
        </w:rPr>
        <w:t> </w:t>
      </w:r>
      <w:r>
        <w:rPr>
          <w:i/>
          <w:color w:val="231F20"/>
          <w:spacing w:val="-2"/>
          <w:sz w:val="24"/>
          <w:vertAlign w:val="baseline"/>
        </w:rPr>
        <w:t>au</w:t>
      </w:r>
      <w:r>
        <w:rPr>
          <w:i/>
          <w:color w:val="231F20"/>
          <w:spacing w:val="-13"/>
          <w:sz w:val="24"/>
          <w:vertAlign w:val="baseline"/>
        </w:rPr>
        <w:t> </w:t>
      </w:r>
      <w:r>
        <w:rPr>
          <w:i/>
          <w:color w:val="231F20"/>
          <w:spacing w:val="-2"/>
          <w:sz w:val="24"/>
          <w:vertAlign w:val="baseline"/>
        </w:rPr>
        <w:t>Trésor</w:t>
      </w:r>
      <w:r>
        <w:rPr>
          <w:i/>
          <w:color w:val="231F20"/>
          <w:spacing w:val="-13"/>
          <w:sz w:val="24"/>
          <w:vertAlign w:val="baseline"/>
        </w:rPr>
        <w:t> </w:t>
      </w:r>
      <w:r>
        <w:rPr>
          <w:i/>
          <w:color w:val="231F20"/>
          <w:spacing w:val="-2"/>
          <w:sz w:val="24"/>
          <w:vertAlign w:val="baseline"/>
        </w:rPr>
        <w:t>public</w:t>
      </w:r>
      <w:r>
        <w:rPr>
          <w:i/>
          <w:color w:val="231F20"/>
          <w:spacing w:val="-13"/>
          <w:sz w:val="24"/>
          <w:vertAlign w:val="baseline"/>
        </w:rPr>
        <w:t> </w:t>
      </w:r>
      <w:r>
        <w:rPr>
          <w:i/>
          <w:color w:val="231F20"/>
          <w:spacing w:val="-2"/>
          <w:sz w:val="24"/>
          <w:vertAlign w:val="baseline"/>
        </w:rPr>
        <w:t>du</w:t>
      </w:r>
      <w:r>
        <w:rPr>
          <w:i/>
          <w:color w:val="231F20"/>
          <w:spacing w:val="-13"/>
          <w:sz w:val="24"/>
          <w:vertAlign w:val="baseline"/>
        </w:rPr>
        <w:t> </w:t>
      </w:r>
      <w:r>
        <w:rPr>
          <w:i/>
          <w:color w:val="231F20"/>
          <w:spacing w:val="-2"/>
          <w:sz w:val="24"/>
          <w:vertAlign w:val="baseline"/>
        </w:rPr>
        <w:t>Sénégal</w:t>
      </w:r>
      <w:r>
        <w:rPr>
          <w:i/>
          <w:color w:val="231F20"/>
          <w:spacing w:val="-13"/>
          <w:sz w:val="24"/>
          <w:vertAlign w:val="baseline"/>
        </w:rPr>
        <w:t> </w:t>
      </w:r>
      <w:r>
        <w:rPr>
          <w:i/>
          <w:color w:val="231F20"/>
          <w:spacing w:val="-2"/>
          <w:sz w:val="24"/>
          <w:vertAlign w:val="baseline"/>
        </w:rPr>
        <w:t>(…)</w:t>
      </w:r>
      <w:r>
        <w:rPr>
          <w:i/>
          <w:color w:val="231F20"/>
          <w:spacing w:val="-13"/>
          <w:sz w:val="24"/>
          <w:vertAlign w:val="baseline"/>
        </w:rPr>
        <w:t> </w:t>
      </w:r>
      <w:r>
        <w:rPr>
          <w:i/>
          <w:color w:val="231F20"/>
          <w:spacing w:val="-2"/>
          <w:sz w:val="24"/>
          <w:vertAlign w:val="baseline"/>
        </w:rPr>
        <w:t>Avec</w:t>
      </w:r>
      <w:r>
        <w:rPr>
          <w:i/>
          <w:color w:val="231F20"/>
          <w:spacing w:val="-13"/>
          <w:sz w:val="24"/>
          <w:vertAlign w:val="baseline"/>
        </w:rPr>
        <w:t> </w:t>
      </w:r>
      <w:r>
        <w:rPr>
          <w:i/>
          <w:color w:val="231F20"/>
          <w:spacing w:val="-2"/>
          <w:sz w:val="24"/>
          <w:vertAlign w:val="baseline"/>
        </w:rPr>
        <w:t>ce</w:t>
      </w:r>
      <w:r>
        <w:rPr>
          <w:i/>
          <w:color w:val="231F20"/>
          <w:spacing w:val="-13"/>
          <w:sz w:val="24"/>
          <w:vertAlign w:val="baseline"/>
        </w:rPr>
        <w:t> </w:t>
      </w:r>
      <w:r>
        <w:rPr>
          <w:i/>
          <w:color w:val="231F20"/>
          <w:spacing w:val="-2"/>
          <w:sz w:val="24"/>
          <w:vertAlign w:val="baseline"/>
        </w:rPr>
        <w:t>montant</w:t>
      </w:r>
      <w:r>
        <w:rPr>
          <w:i/>
          <w:color w:val="231F20"/>
          <w:spacing w:val="-13"/>
          <w:sz w:val="24"/>
          <w:vertAlign w:val="baseline"/>
        </w:rPr>
        <w:t> </w:t>
      </w:r>
      <w:r>
        <w:rPr>
          <w:i/>
          <w:color w:val="231F20"/>
          <w:spacing w:val="-2"/>
          <w:sz w:val="24"/>
          <w:vertAlign w:val="baseline"/>
        </w:rPr>
        <w:t>faramineux, </w:t>
      </w:r>
      <w:r>
        <w:rPr>
          <w:i/>
          <w:color w:val="231F20"/>
          <w:spacing w:val="-4"/>
          <w:sz w:val="24"/>
          <w:vertAlign w:val="baseline"/>
        </w:rPr>
        <w:t>le</w:t>
      </w:r>
      <w:r>
        <w:rPr>
          <w:i/>
          <w:color w:val="231F20"/>
          <w:spacing w:val="-8"/>
          <w:sz w:val="24"/>
          <w:vertAlign w:val="baseline"/>
        </w:rPr>
        <w:t> </w:t>
      </w:r>
      <w:r>
        <w:rPr>
          <w:i/>
          <w:color w:val="231F20"/>
          <w:spacing w:val="-4"/>
          <w:sz w:val="24"/>
          <w:vertAlign w:val="baseline"/>
        </w:rPr>
        <w:t>Sénégal</w:t>
      </w:r>
      <w:r>
        <w:rPr>
          <w:i/>
          <w:color w:val="231F20"/>
          <w:spacing w:val="-8"/>
          <w:sz w:val="24"/>
          <w:vertAlign w:val="baseline"/>
        </w:rPr>
        <w:t> </w:t>
      </w:r>
      <w:r>
        <w:rPr>
          <w:i/>
          <w:color w:val="231F20"/>
          <w:spacing w:val="-4"/>
          <w:sz w:val="24"/>
          <w:vertAlign w:val="baseline"/>
        </w:rPr>
        <w:t>peut,</w:t>
      </w:r>
      <w:r>
        <w:rPr>
          <w:i/>
          <w:color w:val="231F20"/>
          <w:spacing w:val="-8"/>
          <w:sz w:val="24"/>
          <w:vertAlign w:val="baseline"/>
        </w:rPr>
        <w:t> </w:t>
      </w:r>
      <w:r>
        <w:rPr>
          <w:i/>
          <w:color w:val="231F20"/>
          <w:spacing w:val="-4"/>
          <w:sz w:val="24"/>
          <w:vertAlign w:val="baseline"/>
        </w:rPr>
        <w:t>si</w:t>
      </w:r>
      <w:r>
        <w:rPr>
          <w:i/>
          <w:color w:val="231F20"/>
          <w:spacing w:val="-7"/>
          <w:sz w:val="24"/>
          <w:vertAlign w:val="baseline"/>
        </w:rPr>
        <w:t> </w:t>
      </w:r>
      <w:r>
        <w:rPr>
          <w:i/>
          <w:color w:val="231F20"/>
          <w:spacing w:val="-4"/>
          <w:sz w:val="24"/>
          <w:vertAlign w:val="baseline"/>
        </w:rPr>
        <w:t>ses</w:t>
      </w:r>
      <w:r>
        <w:rPr>
          <w:i/>
          <w:color w:val="231F20"/>
          <w:spacing w:val="-8"/>
          <w:sz w:val="24"/>
          <w:vertAlign w:val="baseline"/>
        </w:rPr>
        <w:t> </w:t>
      </w:r>
      <w:r>
        <w:rPr>
          <w:i/>
          <w:color w:val="231F20"/>
          <w:spacing w:val="-4"/>
          <w:sz w:val="24"/>
          <w:vertAlign w:val="baseline"/>
        </w:rPr>
        <w:t>dirigeants</w:t>
      </w:r>
      <w:r>
        <w:rPr>
          <w:i/>
          <w:color w:val="231F20"/>
          <w:spacing w:val="-11"/>
          <w:sz w:val="24"/>
          <w:vertAlign w:val="baseline"/>
        </w:rPr>
        <w:t> </w:t>
      </w:r>
      <w:r>
        <w:rPr>
          <w:i/>
          <w:color w:val="231F20"/>
          <w:spacing w:val="-4"/>
          <w:sz w:val="24"/>
          <w:vertAlign w:val="baseline"/>
        </w:rPr>
        <w:t>le</w:t>
      </w:r>
      <w:r>
        <w:rPr>
          <w:i/>
          <w:color w:val="231F20"/>
          <w:spacing w:val="-8"/>
          <w:sz w:val="24"/>
          <w:vertAlign w:val="baseline"/>
        </w:rPr>
        <w:t> </w:t>
      </w:r>
      <w:r>
        <w:rPr>
          <w:i/>
          <w:color w:val="231F20"/>
          <w:spacing w:val="-4"/>
          <w:sz w:val="24"/>
          <w:vertAlign w:val="baseline"/>
        </w:rPr>
        <w:t>désirent</w:t>
      </w:r>
      <w:r>
        <w:rPr>
          <w:i/>
          <w:color w:val="231F20"/>
          <w:spacing w:val="-8"/>
          <w:sz w:val="24"/>
          <w:vertAlign w:val="baseline"/>
        </w:rPr>
        <w:t> </w:t>
      </w:r>
      <w:r>
        <w:rPr>
          <w:i/>
          <w:color w:val="231F20"/>
          <w:spacing w:val="-4"/>
          <w:sz w:val="24"/>
          <w:vertAlign w:val="baseline"/>
        </w:rPr>
        <w:t>vraiment,</w:t>
      </w:r>
      <w:r>
        <w:rPr>
          <w:i/>
          <w:color w:val="231F20"/>
          <w:spacing w:val="-8"/>
          <w:sz w:val="24"/>
          <w:vertAlign w:val="baseline"/>
        </w:rPr>
        <w:t> </w:t>
      </w:r>
      <w:r>
        <w:rPr>
          <w:i/>
          <w:color w:val="231F20"/>
          <w:spacing w:val="-4"/>
          <w:sz w:val="24"/>
          <w:vertAlign w:val="baseline"/>
        </w:rPr>
        <w:t>relever</w:t>
      </w:r>
      <w:r>
        <w:rPr>
          <w:i/>
          <w:color w:val="231F20"/>
          <w:spacing w:val="-8"/>
          <w:sz w:val="24"/>
          <w:vertAlign w:val="baseline"/>
        </w:rPr>
        <w:t> </w:t>
      </w:r>
      <w:r>
        <w:rPr>
          <w:i/>
          <w:color w:val="231F20"/>
          <w:spacing w:val="-4"/>
          <w:sz w:val="24"/>
          <w:vertAlign w:val="baseline"/>
        </w:rPr>
        <w:t>au</w:t>
      </w:r>
      <w:r>
        <w:rPr>
          <w:i/>
          <w:color w:val="231F20"/>
          <w:spacing w:val="-8"/>
          <w:sz w:val="24"/>
          <w:vertAlign w:val="baseline"/>
        </w:rPr>
        <w:t> </w:t>
      </w:r>
      <w:r>
        <w:rPr>
          <w:i/>
          <w:color w:val="231F20"/>
          <w:spacing w:val="-4"/>
          <w:sz w:val="24"/>
          <w:vertAlign w:val="baseline"/>
        </w:rPr>
        <w:t>standard mondial</w:t>
      </w:r>
      <w:r>
        <w:rPr>
          <w:i/>
          <w:color w:val="231F20"/>
          <w:spacing w:val="-11"/>
          <w:sz w:val="24"/>
          <w:vertAlign w:val="baseline"/>
        </w:rPr>
        <w:t> </w:t>
      </w:r>
      <w:r>
        <w:rPr>
          <w:i/>
          <w:color w:val="231F20"/>
          <w:spacing w:val="-4"/>
          <w:sz w:val="24"/>
          <w:vertAlign w:val="baseline"/>
        </w:rPr>
        <w:t>la</w:t>
      </w:r>
      <w:r>
        <w:rPr>
          <w:i/>
          <w:color w:val="231F20"/>
          <w:spacing w:val="-11"/>
          <w:sz w:val="24"/>
          <w:vertAlign w:val="baseline"/>
        </w:rPr>
        <w:t> </w:t>
      </w:r>
      <w:r>
        <w:rPr>
          <w:i/>
          <w:color w:val="231F20"/>
          <w:spacing w:val="-4"/>
          <w:sz w:val="24"/>
          <w:vertAlign w:val="baseline"/>
        </w:rPr>
        <w:t>qualité</w:t>
      </w:r>
      <w:r>
        <w:rPr>
          <w:i/>
          <w:color w:val="231F20"/>
          <w:spacing w:val="-11"/>
          <w:sz w:val="24"/>
          <w:vertAlign w:val="baseline"/>
        </w:rPr>
        <w:t> </w:t>
      </w:r>
      <w:r>
        <w:rPr>
          <w:i/>
          <w:color w:val="231F20"/>
          <w:spacing w:val="-4"/>
          <w:sz w:val="24"/>
          <w:vertAlign w:val="baseline"/>
        </w:rPr>
        <w:t>technique</w:t>
      </w:r>
      <w:r>
        <w:rPr>
          <w:i/>
          <w:color w:val="231F20"/>
          <w:spacing w:val="-8"/>
          <w:sz w:val="24"/>
          <w:vertAlign w:val="baseline"/>
        </w:rPr>
        <w:t> </w:t>
      </w:r>
      <w:r>
        <w:rPr>
          <w:i/>
          <w:color w:val="231F20"/>
          <w:spacing w:val="-4"/>
          <w:sz w:val="24"/>
          <w:vertAlign w:val="baseline"/>
        </w:rPr>
        <w:t>d’au</w:t>
      </w:r>
      <w:r>
        <w:rPr>
          <w:i/>
          <w:color w:val="231F20"/>
          <w:spacing w:val="-8"/>
          <w:sz w:val="24"/>
          <w:vertAlign w:val="baseline"/>
        </w:rPr>
        <w:t> </w:t>
      </w:r>
      <w:r>
        <w:rPr>
          <w:i/>
          <w:color w:val="231F20"/>
          <w:spacing w:val="-4"/>
          <w:sz w:val="24"/>
          <w:vertAlign w:val="baseline"/>
        </w:rPr>
        <w:t>moins</w:t>
      </w:r>
      <w:r>
        <w:rPr>
          <w:i/>
          <w:color w:val="231F20"/>
          <w:spacing w:val="-8"/>
          <w:sz w:val="24"/>
          <w:vertAlign w:val="baseline"/>
        </w:rPr>
        <w:t> </w:t>
      </w:r>
      <w:r>
        <w:rPr>
          <w:i/>
          <w:color w:val="231F20"/>
          <w:spacing w:val="-4"/>
          <w:sz w:val="24"/>
          <w:vertAlign w:val="baseline"/>
        </w:rPr>
        <w:t>deux</w:t>
      </w:r>
      <w:r>
        <w:rPr>
          <w:i/>
          <w:color w:val="231F20"/>
          <w:spacing w:val="-11"/>
          <w:sz w:val="24"/>
          <w:vertAlign w:val="baseline"/>
        </w:rPr>
        <w:t> </w:t>
      </w:r>
      <w:r>
        <w:rPr>
          <w:i/>
          <w:color w:val="231F20"/>
          <w:spacing w:val="-4"/>
          <w:sz w:val="24"/>
          <w:vertAlign w:val="baseline"/>
        </w:rPr>
        <w:t>de</w:t>
      </w:r>
      <w:r>
        <w:rPr>
          <w:i/>
          <w:color w:val="231F20"/>
          <w:spacing w:val="-8"/>
          <w:sz w:val="24"/>
          <w:vertAlign w:val="baseline"/>
        </w:rPr>
        <w:t> </w:t>
      </w:r>
      <w:r>
        <w:rPr>
          <w:i/>
          <w:color w:val="231F20"/>
          <w:spacing w:val="-4"/>
          <w:sz w:val="24"/>
          <w:vertAlign w:val="baseline"/>
        </w:rPr>
        <w:t>ses</w:t>
      </w:r>
      <w:r>
        <w:rPr>
          <w:i/>
          <w:color w:val="231F20"/>
          <w:spacing w:val="-11"/>
          <w:sz w:val="24"/>
          <w:vertAlign w:val="baseline"/>
        </w:rPr>
        <w:t> </w:t>
      </w:r>
      <w:r>
        <w:rPr>
          <w:i/>
          <w:color w:val="231F20"/>
          <w:spacing w:val="-4"/>
          <w:sz w:val="24"/>
          <w:vertAlign w:val="baseline"/>
        </w:rPr>
        <w:t>plus</w:t>
      </w:r>
      <w:r>
        <w:rPr>
          <w:i/>
          <w:color w:val="231F20"/>
          <w:spacing w:val="-11"/>
          <w:sz w:val="24"/>
          <w:vertAlign w:val="baseline"/>
        </w:rPr>
        <w:t> </w:t>
      </w:r>
      <w:r>
        <w:rPr>
          <w:i/>
          <w:color w:val="231F20"/>
          <w:spacing w:val="-4"/>
          <w:sz w:val="24"/>
          <w:vertAlign w:val="baseline"/>
        </w:rPr>
        <w:t>grands</w:t>
      </w:r>
      <w:r>
        <w:rPr>
          <w:i/>
          <w:color w:val="231F20"/>
          <w:spacing w:val="-11"/>
          <w:sz w:val="24"/>
          <w:vertAlign w:val="baseline"/>
        </w:rPr>
        <w:t> </w:t>
      </w:r>
      <w:r>
        <w:rPr>
          <w:i/>
          <w:color w:val="231F20"/>
          <w:spacing w:val="-4"/>
          <w:sz w:val="24"/>
          <w:vertAlign w:val="baseline"/>
        </w:rPr>
        <w:t>hôpitaux </w:t>
      </w:r>
      <w:r>
        <w:rPr>
          <w:i/>
          <w:color w:val="231F20"/>
          <w:sz w:val="24"/>
          <w:vertAlign w:val="baseline"/>
        </w:rPr>
        <w:t>qui pourraient, ainsi, prendre en charge toutes les formes </w:t>
      </w:r>
      <w:r>
        <w:rPr>
          <w:i/>
          <w:color w:val="231F20"/>
          <w:spacing w:val="-4"/>
          <w:sz w:val="24"/>
          <w:vertAlign w:val="baseline"/>
        </w:rPr>
        <w:t>d’hospitalisation</w:t>
      </w:r>
      <w:r>
        <w:rPr>
          <w:i/>
          <w:color w:val="231F20"/>
          <w:spacing w:val="-5"/>
          <w:sz w:val="24"/>
          <w:vertAlign w:val="baseline"/>
        </w:rPr>
        <w:t> </w:t>
      </w:r>
      <w:r>
        <w:rPr>
          <w:i/>
          <w:color w:val="231F20"/>
          <w:spacing w:val="-4"/>
          <w:sz w:val="24"/>
          <w:vertAlign w:val="baseline"/>
        </w:rPr>
        <w:t>de</w:t>
      </w:r>
      <w:r>
        <w:rPr>
          <w:i/>
          <w:color w:val="231F20"/>
          <w:spacing w:val="-6"/>
          <w:sz w:val="24"/>
          <w:vertAlign w:val="baseline"/>
        </w:rPr>
        <w:t> </w:t>
      </w:r>
      <w:r>
        <w:rPr>
          <w:i/>
          <w:color w:val="231F20"/>
          <w:spacing w:val="-4"/>
          <w:sz w:val="24"/>
          <w:vertAlign w:val="baseline"/>
        </w:rPr>
        <w:t>manière à</w:t>
      </w:r>
      <w:r>
        <w:rPr>
          <w:i/>
          <w:color w:val="231F20"/>
          <w:spacing w:val="-5"/>
          <w:sz w:val="24"/>
          <w:vertAlign w:val="baseline"/>
        </w:rPr>
        <w:t> </w:t>
      </w:r>
      <w:r>
        <w:rPr>
          <w:i/>
          <w:color w:val="231F20"/>
          <w:spacing w:val="-4"/>
          <w:sz w:val="24"/>
          <w:vertAlign w:val="baseline"/>
        </w:rPr>
        <w:t>éviter</w:t>
      </w:r>
      <w:r>
        <w:rPr>
          <w:i/>
          <w:color w:val="231F20"/>
          <w:spacing w:val="-5"/>
          <w:sz w:val="24"/>
          <w:vertAlign w:val="baseline"/>
        </w:rPr>
        <w:t> </w:t>
      </w:r>
      <w:r>
        <w:rPr>
          <w:i/>
          <w:color w:val="231F20"/>
          <w:spacing w:val="-4"/>
          <w:sz w:val="24"/>
          <w:vertAlign w:val="baseline"/>
        </w:rPr>
        <w:t>l’évacuation</w:t>
      </w:r>
      <w:r>
        <w:rPr>
          <w:i/>
          <w:color w:val="231F20"/>
          <w:spacing w:val="-5"/>
          <w:sz w:val="24"/>
          <w:vertAlign w:val="baseline"/>
        </w:rPr>
        <w:t> </w:t>
      </w:r>
      <w:r>
        <w:rPr>
          <w:i/>
          <w:color w:val="231F20"/>
          <w:spacing w:val="-4"/>
          <w:sz w:val="24"/>
          <w:vertAlign w:val="baseline"/>
        </w:rPr>
        <w:t>coûteuse</w:t>
      </w:r>
      <w:r>
        <w:rPr>
          <w:i/>
          <w:color w:val="231F20"/>
          <w:spacing w:val="-6"/>
          <w:sz w:val="24"/>
          <w:vertAlign w:val="baseline"/>
        </w:rPr>
        <w:t> </w:t>
      </w:r>
      <w:r>
        <w:rPr>
          <w:i/>
          <w:color w:val="231F20"/>
          <w:spacing w:val="-4"/>
          <w:sz w:val="24"/>
          <w:vertAlign w:val="baseline"/>
        </w:rPr>
        <w:t>des</w:t>
      </w:r>
      <w:r>
        <w:rPr>
          <w:i/>
          <w:color w:val="231F20"/>
          <w:spacing w:val="-5"/>
          <w:sz w:val="24"/>
          <w:vertAlign w:val="baseline"/>
        </w:rPr>
        <w:t> </w:t>
      </w:r>
      <w:r>
        <w:rPr>
          <w:i/>
          <w:color w:val="231F20"/>
          <w:spacing w:val="-4"/>
          <w:sz w:val="24"/>
          <w:vertAlign w:val="baseline"/>
        </w:rPr>
        <w:t>pontes</w:t>
      </w:r>
      <w:r>
        <w:rPr>
          <w:i/>
          <w:color w:val="231F20"/>
          <w:spacing w:val="-5"/>
          <w:sz w:val="24"/>
          <w:vertAlign w:val="baseline"/>
        </w:rPr>
        <w:t> </w:t>
      </w:r>
      <w:r>
        <w:rPr>
          <w:i/>
          <w:color w:val="231F20"/>
          <w:spacing w:val="-4"/>
          <w:sz w:val="24"/>
          <w:vertAlign w:val="baseline"/>
        </w:rPr>
        <w:t>du </w:t>
      </w:r>
      <w:r>
        <w:rPr>
          <w:i/>
          <w:color w:val="231F20"/>
          <w:sz w:val="24"/>
          <w:vertAlign w:val="baseline"/>
        </w:rPr>
        <w:t>régime</w:t>
      </w:r>
      <w:r>
        <w:rPr>
          <w:i/>
          <w:color w:val="231F20"/>
          <w:spacing w:val="-4"/>
          <w:sz w:val="24"/>
          <w:vertAlign w:val="baseline"/>
        </w:rPr>
        <w:t> </w:t>
      </w:r>
      <w:r>
        <w:rPr>
          <w:i/>
          <w:color w:val="231F20"/>
          <w:sz w:val="24"/>
          <w:vertAlign w:val="baseline"/>
        </w:rPr>
        <w:t>à</w:t>
      </w:r>
      <w:r>
        <w:rPr>
          <w:i/>
          <w:color w:val="231F20"/>
          <w:spacing w:val="-5"/>
          <w:sz w:val="24"/>
          <w:vertAlign w:val="baseline"/>
        </w:rPr>
        <w:t> </w:t>
      </w:r>
      <w:r>
        <w:rPr>
          <w:i/>
          <w:color w:val="231F20"/>
          <w:sz w:val="24"/>
          <w:vertAlign w:val="baseline"/>
        </w:rPr>
        <w:t>l’étranger.</w:t>
      </w:r>
      <w:r>
        <w:rPr>
          <w:i/>
          <w:color w:val="231F20"/>
          <w:spacing w:val="-4"/>
          <w:sz w:val="24"/>
          <w:vertAlign w:val="baseline"/>
        </w:rPr>
        <w:t> </w:t>
      </w:r>
      <w:r>
        <w:rPr>
          <w:i/>
          <w:color w:val="231F20"/>
          <w:sz w:val="24"/>
          <w:vertAlign w:val="baseline"/>
        </w:rPr>
        <w:t>Et</w:t>
      </w:r>
      <w:r>
        <w:rPr>
          <w:i/>
          <w:color w:val="231F20"/>
          <w:spacing w:val="-4"/>
          <w:sz w:val="24"/>
          <w:vertAlign w:val="baseline"/>
        </w:rPr>
        <w:t> </w:t>
      </w:r>
      <w:r>
        <w:rPr>
          <w:i/>
          <w:color w:val="231F20"/>
          <w:sz w:val="24"/>
          <w:vertAlign w:val="baseline"/>
        </w:rPr>
        <w:t>s’il</w:t>
      </w:r>
      <w:r>
        <w:rPr>
          <w:i/>
          <w:color w:val="231F20"/>
          <w:spacing w:val="-4"/>
          <w:sz w:val="24"/>
          <w:vertAlign w:val="baseline"/>
        </w:rPr>
        <w:t> </w:t>
      </w:r>
      <w:r>
        <w:rPr>
          <w:i/>
          <w:color w:val="231F20"/>
          <w:sz w:val="24"/>
          <w:vertAlign w:val="baseline"/>
        </w:rPr>
        <w:t>s’agit</w:t>
      </w:r>
      <w:r>
        <w:rPr>
          <w:i/>
          <w:color w:val="231F20"/>
          <w:spacing w:val="-4"/>
          <w:sz w:val="24"/>
          <w:vertAlign w:val="baseline"/>
        </w:rPr>
        <w:t> </w:t>
      </w:r>
      <w:r>
        <w:rPr>
          <w:i/>
          <w:color w:val="231F20"/>
          <w:sz w:val="24"/>
          <w:vertAlign w:val="baseline"/>
        </w:rPr>
        <w:t>d’un</w:t>
      </w:r>
      <w:r>
        <w:rPr>
          <w:i/>
          <w:color w:val="231F20"/>
          <w:spacing w:val="-5"/>
          <w:sz w:val="24"/>
          <w:vertAlign w:val="baseline"/>
        </w:rPr>
        <w:t> </w:t>
      </w:r>
      <w:r>
        <w:rPr>
          <w:i/>
          <w:color w:val="231F20"/>
          <w:sz w:val="24"/>
          <w:vertAlign w:val="baseline"/>
        </w:rPr>
        <w:t>dignitaire</w:t>
      </w:r>
      <w:r>
        <w:rPr>
          <w:i/>
          <w:color w:val="231F20"/>
          <w:spacing w:val="-3"/>
          <w:sz w:val="24"/>
          <w:vertAlign w:val="baseline"/>
        </w:rPr>
        <w:t> </w:t>
      </w:r>
      <w:r>
        <w:rPr>
          <w:i/>
          <w:color w:val="231F20"/>
          <w:sz w:val="24"/>
          <w:vertAlign w:val="baseline"/>
        </w:rPr>
        <w:t>du</w:t>
      </w:r>
      <w:r>
        <w:rPr>
          <w:i/>
          <w:color w:val="231F20"/>
          <w:spacing w:val="-3"/>
          <w:sz w:val="24"/>
          <w:vertAlign w:val="baseline"/>
        </w:rPr>
        <w:t> </w:t>
      </w:r>
      <w:r>
        <w:rPr>
          <w:i/>
          <w:color w:val="231F20"/>
          <w:sz w:val="24"/>
          <w:vertAlign w:val="baseline"/>
        </w:rPr>
        <w:t>régime</w:t>
      </w:r>
      <w:r>
        <w:rPr>
          <w:i/>
          <w:color w:val="231F20"/>
          <w:spacing w:val="-3"/>
          <w:sz w:val="24"/>
          <w:vertAlign w:val="baseline"/>
        </w:rPr>
        <w:t> </w:t>
      </w:r>
      <w:r>
        <w:rPr>
          <w:i/>
          <w:color w:val="231F20"/>
          <w:sz w:val="24"/>
          <w:vertAlign w:val="baseline"/>
        </w:rPr>
        <w:t>qui</w:t>
      </w:r>
      <w:r>
        <w:rPr>
          <w:i/>
          <w:color w:val="231F20"/>
          <w:spacing w:val="-3"/>
          <w:sz w:val="24"/>
          <w:vertAlign w:val="baseline"/>
        </w:rPr>
        <w:t> </w:t>
      </w:r>
      <w:r>
        <w:rPr>
          <w:i/>
          <w:color w:val="231F20"/>
          <w:sz w:val="24"/>
          <w:vertAlign w:val="baseline"/>
        </w:rPr>
        <w:t>souffre d’une maladie plus complexe comme les maladies cardiovasculaires, celles</w:t>
      </w:r>
      <w:r>
        <w:rPr>
          <w:i/>
          <w:color w:val="231F20"/>
          <w:spacing w:val="-6"/>
          <w:sz w:val="24"/>
          <w:vertAlign w:val="baseline"/>
        </w:rPr>
        <w:t> </w:t>
      </w:r>
      <w:r>
        <w:rPr>
          <w:i/>
          <w:color w:val="231F20"/>
          <w:sz w:val="24"/>
          <w:vertAlign w:val="baseline"/>
        </w:rPr>
        <w:t>liées</w:t>
      </w:r>
      <w:r>
        <w:rPr>
          <w:i/>
          <w:color w:val="231F20"/>
          <w:spacing w:val="-6"/>
          <w:sz w:val="24"/>
          <w:vertAlign w:val="baseline"/>
        </w:rPr>
        <w:t> </w:t>
      </w:r>
      <w:r>
        <w:rPr>
          <w:i/>
          <w:color w:val="231F20"/>
          <w:sz w:val="24"/>
          <w:vertAlign w:val="baseline"/>
        </w:rPr>
        <w:t>aux</w:t>
      </w:r>
      <w:r>
        <w:rPr>
          <w:i/>
          <w:color w:val="231F20"/>
          <w:spacing w:val="-6"/>
          <w:sz w:val="24"/>
          <w:vertAlign w:val="baseline"/>
        </w:rPr>
        <w:t> </w:t>
      </w:r>
      <w:r>
        <w:rPr>
          <w:i/>
          <w:color w:val="231F20"/>
          <w:sz w:val="24"/>
          <w:vertAlign w:val="baseline"/>
        </w:rPr>
        <w:t>traumatologies</w:t>
      </w:r>
      <w:r>
        <w:rPr>
          <w:i/>
          <w:color w:val="231F20"/>
          <w:spacing w:val="-6"/>
          <w:sz w:val="24"/>
          <w:vertAlign w:val="baseline"/>
        </w:rPr>
        <w:t> </w:t>
      </w:r>
      <w:r>
        <w:rPr>
          <w:i/>
          <w:color w:val="231F20"/>
          <w:sz w:val="24"/>
          <w:vertAlign w:val="baseline"/>
        </w:rPr>
        <w:t>graves</w:t>
      </w:r>
      <w:r>
        <w:rPr>
          <w:i/>
          <w:color w:val="231F20"/>
          <w:spacing w:val="-6"/>
          <w:sz w:val="24"/>
          <w:vertAlign w:val="baseline"/>
        </w:rPr>
        <w:t> </w:t>
      </w:r>
      <w:r>
        <w:rPr>
          <w:i/>
          <w:color w:val="231F20"/>
          <w:sz w:val="24"/>
          <w:vertAlign w:val="baseline"/>
        </w:rPr>
        <w:t>ou</w:t>
      </w:r>
      <w:r>
        <w:rPr>
          <w:i/>
          <w:color w:val="231F20"/>
          <w:spacing w:val="-6"/>
          <w:sz w:val="24"/>
          <w:vertAlign w:val="baseline"/>
        </w:rPr>
        <w:t> </w:t>
      </w:r>
      <w:r>
        <w:rPr>
          <w:i/>
          <w:color w:val="231F20"/>
          <w:sz w:val="24"/>
          <w:vertAlign w:val="baseline"/>
        </w:rPr>
        <w:t>aux</w:t>
      </w:r>
      <w:r>
        <w:rPr>
          <w:i/>
          <w:color w:val="231F20"/>
          <w:spacing w:val="-7"/>
          <w:sz w:val="24"/>
          <w:vertAlign w:val="baseline"/>
        </w:rPr>
        <w:t> </w:t>
      </w:r>
      <w:r>
        <w:rPr>
          <w:i/>
          <w:color w:val="231F20"/>
          <w:sz w:val="24"/>
          <w:vertAlign w:val="baseline"/>
        </w:rPr>
        <w:t>cancers,</w:t>
      </w:r>
      <w:r>
        <w:rPr>
          <w:i/>
          <w:color w:val="231F20"/>
          <w:spacing w:val="-6"/>
          <w:sz w:val="24"/>
          <w:vertAlign w:val="baseline"/>
        </w:rPr>
        <w:t> </w:t>
      </w:r>
      <w:r>
        <w:rPr>
          <w:i/>
          <w:color w:val="231F20"/>
          <w:sz w:val="24"/>
          <w:vertAlign w:val="baseline"/>
        </w:rPr>
        <w:t>ce</w:t>
      </w:r>
      <w:r>
        <w:rPr>
          <w:i/>
          <w:color w:val="231F20"/>
          <w:spacing w:val="-5"/>
          <w:sz w:val="24"/>
          <w:vertAlign w:val="baseline"/>
        </w:rPr>
        <w:t> </w:t>
      </w:r>
      <w:r>
        <w:rPr>
          <w:i/>
          <w:color w:val="231F20"/>
          <w:sz w:val="24"/>
          <w:vertAlign w:val="baseline"/>
        </w:rPr>
        <w:t>montant</w:t>
      </w:r>
      <w:r>
        <w:rPr>
          <w:i/>
          <w:color w:val="231F20"/>
          <w:spacing w:val="-5"/>
          <w:sz w:val="24"/>
          <w:vertAlign w:val="baseline"/>
        </w:rPr>
        <w:t> </w:t>
      </w:r>
      <w:r>
        <w:rPr>
          <w:i/>
          <w:color w:val="231F20"/>
          <w:sz w:val="24"/>
          <w:vertAlign w:val="baseline"/>
        </w:rPr>
        <w:t>peut facilement atteindre</w:t>
      </w:r>
      <w:r>
        <w:rPr>
          <w:i/>
          <w:color w:val="231F20"/>
          <w:spacing w:val="-1"/>
          <w:sz w:val="24"/>
          <w:vertAlign w:val="baseline"/>
        </w:rPr>
        <w:t> </w:t>
      </w:r>
      <w:r>
        <w:rPr>
          <w:i/>
          <w:color w:val="231F20"/>
          <w:sz w:val="24"/>
          <w:vertAlign w:val="baseline"/>
        </w:rPr>
        <w:t>100</w:t>
      </w:r>
      <w:r>
        <w:rPr>
          <w:i/>
          <w:color w:val="231F20"/>
          <w:spacing w:val="-5"/>
          <w:sz w:val="24"/>
          <w:vertAlign w:val="baseline"/>
        </w:rPr>
        <w:t> </w:t>
      </w:r>
      <w:r>
        <w:rPr>
          <w:i/>
          <w:color w:val="231F20"/>
          <w:sz w:val="24"/>
          <w:vertAlign w:val="baseline"/>
        </w:rPr>
        <w:t>millions de</w:t>
      </w:r>
      <w:r>
        <w:rPr>
          <w:i/>
          <w:color w:val="231F20"/>
          <w:spacing w:val="-4"/>
          <w:sz w:val="24"/>
          <w:vertAlign w:val="baseline"/>
        </w:rPr>
        <w:t> </w:t>
      </w:r>
      <w:r>
        <w:rPr>
          <w:i/>
          <w:color w:val="231F20"/>
          <w:sz w:val="24"/>
          <w:vertAlign w:val="baseline"/>
        </w:rPr>
        <w:t>francs</w:t>
      </w:r>
      <w:r>
        <w:rPr>
          <w:i/>
          <w:color w:val="231F20"/>
          <w:spacing w:val="-3"/>
          <w:sz w:val="24"/>
          <w:vertAlign w:val="baseline"/>
        </w:rPr>
        <w:t> </w:t>
      </w:r>
      <w:r>
        <w:rPr>
          <w:i/>
          <w:color w:val="231F20"/>
          <w:sz w:val="24"/>
          <w:vertAlign w:val="baseline"/>
        </w:rPr>
        <w:t>CFA</w:t>
      </w:r>
      <w:r>
        <w:rPr>
          <w:color w:val="231F20"/>
          <w:sz w:val="24"/>
          <w:vertAlign w:val="baseline"/>
        </w:rPr>
        <w:t>»</w:t>
      </w:r>
      <w:r>
        <w:rPr>
          <w:i/>
          <w:color w:val="231F20"/>
          <w:sz w:val="24"/>
          <w:vertAlign w:val="baseline"/>
        </w:rPr>
        <w:t>.</w:t>
      </w:r>
      <w:r>
        <w:rPr>
          <w:color w:val="76787A"/>
          <w:sz w:val="24"/>
          <w:vertAlign w:val="superscript"/>
        </w:rPr>
        <w:t>273</w:t>
      </w:r>
    </w:p>
    <w:p>
      <w:pPr>
        <w:pStyle w:val="BodyText"/>
        <w:spacing w:before="207"/>
        <w:ind w:left="0"/>
        <w:jc w:val="left"/>
      </w:pPr>
    </w:p>
    <w:p>
      <w:pPr>
        <w:pStyle w:val="Heading2"/>
      </w:pPr>
      <w:bookmarkStart w:name="_TOC_250000" w:id="43"/>
      <w:r>
        <w:rPr>
          <w:color w:val="231F20"/>
          <w:spacing w:val="-2"/>
        </w:rPr>
        <w:t>Un</w:t>
      </w:r>
      <w:r>
        <w:rPr>
          <w:color w:val="231F20"/>
          <w:spacing w:val="-12"/>
        </w:rPr>
        <w:t> </w:t>
      </w:r>
      <w:r>
        <w:rPr>
          <w:color w:val="231F20"/>
          <w:spacing w:val="-2"/>
        </w:rPr>
        <w:t>système</w:t>
      </w:r>
      <w:r>
        <w:rPr>
          <w:color w:val="231F20"/>
          <w:spacing w:val="-10"/>
        </w:rPr>
        <w:t> </w:t>
      </w:r>
      <w:r>
        <w:rPr>
          <w:color w:val="231F20"/>
          <w:spacing w:val="-2"/>
        </w:rPr>
        <w:t>éducatif</w:t>
      </w:r>
      <w:r>
        <w:rPr>
          <w:color w:val="231F20"/>
          <w:spacing w:val="-12"/>
        </w:rPr>
        <w:t> </w:t>
      </w:r>
      <w:r>
        <w:rPr>
          <w:color w:val="231F20"/>
          <w:spacing w:val="-2"/>
        </w:rPr>
        <w:t>défaillant</w:t>
      </w:r>
      <w:r>
        <w:rPr>
          <w:color w:val="231F20"/>
          <w:spacing w:val="-9"/>
        </w:rPr>
        <w:t> </w:t>
      </w:r>
      <w:r>
        <w:rPr>
          <w:color w:val="231F20"/>
          <w:spacing w:val="-2"/>
        </w:rPr>
        <w:t>:</w:t>
      </w:r>
      <w:r>
        <w:rPr>
          <w:color w:val="231F20"/>
          <w:spacing w:val="-10"/>
        </w:rPr>
        <w:t> </w:t>
      </w:r>
      <w:r>
        <w:rPr>
          <w:color w:val="231F20"/>
          <w:spacing w:val="-2"/>
        </w:rPr>
        <w:t>ça</w:t>
      </w:r>
      <w:r>
        <w:rPr>
          <w:color w:val="231F20"/>
          <w:spacing w:val="-12"/>
        </w:rPr>
        <w:t> </w:t>
      </w:r>
      <w:r>
        <w:rPr>
          <w:color w:val="231F20"/>
          <w:spacing w:val="-2"/>
        </w:rPr>
        <w:t>suffit</w:t>
      </w:r>
      <w:r>
        <w:rPr>
          <w:color w:val="231F20"/>
          <w:spacing w:val="-9"/>
        </w:rPr>
        <w:t> </w:t>
      </w:r>
      <w:bookmarkEnd w:id="43"/>
      <w:r>
        <w:rPr>
          <w:color w:val="231F20"/>
          <w:spacing w:val="-10"/>
        </w:rPr>
        <w:t>!</w:t>
      </w:r>
    </w:p>
    <w:p>
      <w:pPr>
        <w:pStyle w:val="BodyText"/>
        <w:spacing w:before="121"/>
        <w:ind w:left="0"/>
        <w:jc w:val="left"/>
        <w:rPr>
          <w:b/>
        </w:rPr>
      </w:pPr>
    </w:p>
    <w:p>
      <w:pPr>
        <w:spacing w:before="0"/>
        <w:ind w:left="111" w:right="105" w:firstLine="283"/>
        <w:jc w:val="both"/>
        <w:rPr>
          <w:i/>
          <w:sz w:val="24"/>
        </w:rPr>
      </w:pPr>
      <w:r>
        <w:rPr>
          <w:color w:val="231F20"/>
          <w:sz w:val="24"/>
        </w:rPr>
        <w:t>L'école gratuite et obligatoire apparaît</w:t>
      </w:r>
      <w:r>
        <w:rPr>
          <w:color w:val="231F20"/>
          <w:spacing w:val="-2"/>
          <w:sz w:val="24"/>
        </w:rPr>
        <w:t> </w:t>
      </w:r>
      <w:r>
        <w:rPr>
          <w:color w:val="231F20"/>
          <w:sz w:val="24"/>
        </w:rPr>
        <w:t>comme un</w:t>
      </w:r>
      <w:r>
        <w:rPr>
          <w:color w:val="231F20"/>
          <w:spacing w:val="-4"/>
          <w:sz w:val="24"/>
        </w:rPr>
        <w:t> </w:t>
      </w:r>
      <w:r>
        <w:rPr>
          <w:color w:val="231F20"/>
          <w:sz w:val="24"/>
        </w:rPr>
        <w:t>préalable</w:t>
      </w:r>
      <w:r>
        <w:rPr>
          <w:color w:val="231F20"/>
          <w:spacing w:val="-2"/>
          <w:sz w:val="24"/>
        </w:rPr>
        <w:t> </w:t>
      </w:r>
      <w:r>
        <w:rPr>
          <w:color w:val="231F20"/>
          <w:sz w:val="24"/>
        </w:rPr>
        <w:t>pouvant </w:t>
      </w:r>
      <w:r>
        <w:rPr>
          <w:color w:val="231F20"/>
          <w:spacing w:val="-2"/>
          <w:sz w:val="24"/>
        </w:rPr>
        <w:t>constituer</w:t>
      </w:r>
      <w:r>
        <w:rPr>
          <w:color w:val="231F20"/>
          <w:spacing w:val="-15"/>
          <w:sz w:val="24"/>
        </w:rPr>
        <w:t> </w:t>
      </w:r>
      <w:r>
        <w:rPr>
          <w:color w:val="231F20"/>
          <w:spacing w:val="-2"/>
          <w:sz w:val="24"/>
        </w:rPr>
        <w:t>un</w:t>
      </w:r>
      <w:r>
        <w:rPr>
          <w:color w:val="231F20"/>
          <w:spacing w:val="-13"/>
          <w:sz w:val="24"/>
        </w:rPr>
        <w:t> </w:t>
      </w:r>
      <w:r>
        <w:rPr>
          <w:color w:val="231F20"/>
          <w:spacing w:val="-2"/>
          <w:sz w:val="24"/>
        </w:rPr>
        <w:t>puissant</w:t>
      </w:r>
      <w:r>
        <w:rPr>
          <w:color w:val="231F20"/>
          <w:spacing w:val="-13"/>
          <w:sz w:val="24"/>
        </w:rPr>
        <w:t> </w:t>
      </w:r>
      <w:r>
        <w:rPr>
          <w:color w:val="231F20"/>
          <w:spacing w:val="-2"/>
          <w:sz w:val="24"/>
        </w:rPr>
        <w:t>facteur</w:t>
      </w:r>
      <w:r>
        <w:rPr>
          <w:color w:val="231F20"/>
          <w:spacing w:val="-13"/>
          <w:sz w:val="24"/>
        </w:rPr>
        <w:t> </w:t>
      </w:r>
      <w:r>
        <w:rPr>
          <w:color w:val="231F20"/>
          <w:spacing w:val="-2"/>
          <w:sz w:val="24"/>
        </w:rPr>
        <w:t>de</w:t>
      </w:r>
      <w:r>
        <w:rPr>
          <w:color w:val="231F20"/>
          <w:spacing w:val="-13"/>
          <w:sz w:val="24"/>
        </w:rPr>
        <w:t> </w:t>
      </w:r>
      <w:r>
        <w:rPr>
          <w:color w:val="231F20"/>
          <w:spacing w:val="-2"/>
          <w:sz w:val="24"/>
        </w:rPr>
        <w:t>mobilisation</w:t>
      </w:r>
      <w:r>
        <w:rPr>
          <w:color w:val="231F20"/>
          <w:spacing w:val="-13"/>
          <w:sz w:val="24"/>
        </w:rPr>
        <w:t> </w:t>
      </w:r>
      <w:r>
        <w:rPr>
          <w:color w:val="231F20"/>
          <w:spacing w:val="-2"/>
          <w:sz w:val="24"/>
        </w:rPr>
        <w:t>sociale</w:t>
      </w:r>
      <w:r>
        <w:rPr>
          <w:color w:val="231F20"/>
          <w:spacing w:val="-13"/>
          <w:sz w:val="24"/>
        </w:rPr>
        <w:t> </w:t>
      </w:r>
      <w:r>
        <w:rPr>
          <w:color w:val="231F20"/>
          <w:spacing w:val="-2"/>
          <w:sz w:val="24"/>
        </w:rPr>
        <w:t>et</w:t>
      </w:r>
      <w:r>
        <w:rPr>
          <w:color w:val="231F20"/>
          <w:spacing w:val="-13"/>
          <w:sz w:val="24"/>
        </w:rPr>
        <w:t> </w:t>
      </w:r>
      <w:r>
        <w:rPr>
          <w:color w:val="231F20"/>
          <w:spacing w:val="-2"/>
          <w:sz w:val="24"/>
        </w:rPr>
        <w:t>d’impulsion</w:t>
      </w:r>
      <w:r>
        <w:rPr>
          <w:color w:val="231F20"/>
          <w:spacing w:val="-13"/>
          <w:sz w:val="24"/>
        </w:rPr>
        <w:t> </w:t>
      </w:r>
      <w:r>
        <w:rPr>
          <w:color w:val="231F20"/>
          <w:spacing w:val="-2"/>
          <w:sz w:val="24"/>
        </w:rPr>
        <w:t>pour le</w:t>
      </w:r>
      <w:r>
        <w:rPr>
          <w:color w:val="231F20"/>
          <w:spacing w:val="-11"/>
          <w:sz w:val="24"/>
        </w:rPr>
        <w:t> </w:t>
      </w:r>
      <w:r>
        <w:rPr>
          <w:color w:val="231F20"/>
          <w:spacing w:val="-2"/>
          <w:sz w:val="24"/>
        </w:rPr>
        <w:t>développement.</w:t>
      </w:r>
      <w:r>
        <w:rPr>
          <w:color w:val="231F20"/>
          <w:spacing w:val="-11"/>
          <w:sz w:val="24"/>
        </w:rPr>
        <w:t> </w:t>
      </w:r>
      <w:r>
        <w:rPr>
          <w:color w:val="231F20"/>
          <w:spacing w:val="-2"/>
          <w:sz w:val="24"/>
        </w:rPr>
        <w:t>Les</w:t>
      </w:r>
      <w:r>
        <w:rPr>
          <w:color w:val="231F20"/>
          <w:spacing w:val="-11"/>
          <w:sz w:val="24"/>
        </w:rPr>
        <w:t> </w:t>
      </w:r>
      <w:r>
        <w:rPr>
          <w:color w:val="231F20"/>
          <w:spacing w:val="-2"/>
          <w:sz w:val="24"/>
        </w:rPr>
        <w:t>Occidentaux</w:t>
      </w:r>
      <w:r>
        <w:rPr>
          <w:color w:val="231F20"/>
          <w:spacing w:val="-13"/>
          <w:sz w:val="24"/>
        </w:rPr>
        <w:t> </w:t>
      </w:r>
      <w:r>
        <w:rPr>
          <w:color w:val="231F20"/>
          <w:spacing w:val="-2"/>
          <w:sz w:val="24"/>
        </w:rPr>
        <w:t>l’avaient</w:t>
      </w:r>
      <w:r>
        <w:rPr>
          <w:color w:val="231F20"/>
          <w:spacing w:val="-11"/>
          <w:sz w:val="24"/>
        </w:rPr>
        <w:t> </w:t>
      </w:r>
      <w:r>
        <w:rPr>
          <w:color w:val="231F20"/>
          <w:spacing w:val="-2"/>
          <w:sz w:val="24"/>
        </w:rPr>
        <w:t>compris.</w:t>
      </w:r>
      <w:r>
        <w:rPr>
          <w:color w:val="231F20"/>
          <w:spacing w:val="-11"/>
          <w:sz w:val="24"/>
        </w:rPr>
        <w:t> </w:t>
      </w:r>
      <w:r>
        <w:rPr>
          <w:color w:val="231F20"/>
          <w:spacing w:val="-2"/>
          <w:sz w:val="24"/>
        </w:rPr>
        <w:t>L’introduction</w:t>
      </w:r>
      <w:r>
        <w:rPr>
          <w:color w:val="231F20"/>
          <w:spacing w:val="-13"/>
          <w:sz w:val="24"/>
        </w:rPr>
        <w:t> </w:t>
      </w:r>
      <w:r>
        <w:rPr>
          <w:color w:val="231F20"/>
          <w:spacing w:val="-2"/>
          <w:sz w:val="24"/>
        </w:rPr>
        <w:t>de l’éducation</w:t>
      </w:r>
      <w:r>
        <w:rPr>
          <w:color w:val="231F20"/>
          <w:spacing w:val="-12"/>
          <w:sz w:val="24"/>
        </w:rPr>
        <w:t> </w:t>
      </w:r>
      <w:r>
        <w:rPr>
          <w:color w:val="231F20"/>
          <w:spacing w:val="-2"/>
          <w:sz w:val="24"/>
        </w:rPr>
        <w:t>publique</w:t>
      </w:r>
      <w:r>
        <w:rPr>
          <w:color w:val="231F20"/>
          <w:spacing w:val="-12"/>
          <w:sz w:val="24"/>
        </w:rPr>
        <w:t> </w:t>
      </w:r>
      <w:r>
        <w:rPr>
          <w:color w:val="231F20"/>
          <w:spacing w:val="-2"/>
          <w:sz w:val="24"/>
        </w:rPr>
        <w:t>pendant</w:t>
      </w:r>
      <w:r>
        <w:rPr>
          <w:color w:val="231F20"/>
          <w:spacing w:val="-12"/>
          <w:sz w:val="24"/>
        </w:rPr>
        <w:t> </w:t>
      </w:r>
      <w:r>
        <w:rPr>
          <w:color w:val="231F20"/>
          <w:spacing w:val="-2"/>
          <w:sz w:val="24"/>
        </w:rPr>
        <w:t>la</w:t>
      </w:r>
      <w:r>
        <w:rPr>
          <w:color w:val="231F20"/>
          <w:spacing w:val="-10"/>
          <w:sz w:val="24"/>
        </w:rPr>
        <w:t> </w:t>
      </w:r>
      <w:r>
        <w:rPr>
          <w:color w:val="231F20"/>
          <w:spacing w:val="-2"/>
          <w:sz w:val="24"/>
        </w:rPr>
        <w:t>colonisation,</w:t>
      </w:r>
      <w:r>
        <w:rPr>
          <w:color w:val="231F20"/>
          <w:spacing w:val="-9"/>
          <w:sz w:val="24"/>
        </w:rPr>
        <w:t> </w:t>
      </w:r>
      <w:r>
        <w:rPr>
          <w:color w:val="231F20"/>
          <w:spacing w:val="-2"/>
          <w:sz w:val="24"/>
        </w:rPr>
        <w:t>avait</w:t>
      </w:r>
      <w:r>
        <w:rPr>
          <w:color w:val="231F20"/>
          <w:spacing w:val="-13"/>
          <w:sz w:val="24"/>
        </w:rPr>
        <w:t> </w:t>
      </w:r>
      <w:r>
        <w:rPr>
          <w:color w:val="231F20"/>
          <w:spacing w:val="-2"/>
          <w:sz w:val="24"/>
        </w:rPr>
        <w:t>permis</w:t>
      </w:r>
      <w:r>
        <w:rPr>
          <w:color w:val="231F20"/>
          <w:spacing w:val="-12"/>
          <w:sz w:val="24"/>
        </w:rPr>
        <w:t> </w:t>
      </w:r>
      <w:r>
        <w:rPr>
          <w:color w:val="231F20"/>
          <w:spacing w:val="-2"/>
          <w:sz w:val="24"/>
        </w:rPr>
        <w:t>l’apport</w:t>
      </w:r>
      <w:r>
        <w:rPr>
          <w:color w:val="231F20"/>
          <w:spacing w:val="-12"/>
          <w:sz w:val="24"/>
        </w:rPr>
        <w:t> </w:t>
      </w:r>
      <w:r>
        <w:rPr>
          <w:color w:val="231F20"/>
          <w:spacing w:val="-2"/>
          <w:sz w:val="24"/>
        </w:rPr>
        <w:t>d’une </w:t>
      </w:r>
      <w:r>
        <w:rPr>
          <w:color w:val="231F20"/>
          <w:sz w:val="24"/>
        </w:rPr>
        <w:t>certaine</w:t>
      </w:r>
      <w:r>
        <w:rPr>
          <w:color w:val="231F20"/>
          <w:spacing w:val="-15"/>
          <w:sz w:val="24"/>
        </w:rPr>
        <w:t> </w:t>
      </w:r>
      <w:r>
        <w:rPr>
          <w:color w:val="231F20"/>
          <w:sz w:val="24"/>
        </w:rPr>
        <w:t>connaissance</w:t>
      </w:r>
      <w:r>
        <w:rPr>
          <w:color w:val="231F20"/>
          <w:spacing w:val="-15"/>
          <w:sz w:val="24"/>
        </w:rPr>
        <w:t> </w:t>
      </w:r>
      <w:r>
        <w:rPr>
          <w:color w:val="231F20"/>
          <w:sz w:val="24"/>
        </w:rPr>
        <w:t>mais</w:t>
      </w:r>
      <w:r>
        <w:rPr>
          <w:color w:val="231F20"/>
          <w:spacing w:val="-15"/>
          <w:sz w:val="24"/>
        </w:rPr>
        <w:t> </w:t>
      </w:r>
      <w:r>
        <w:rPr>
          <w:color w:val="231F20"/>
          <w:sz w:val="24"/>
        </w:rPr>
        <w:t>orientée</w:t>
      </w:r>
      <w:r>
        <w:rPr>
          <w:color w:val="231F20"/>
          <w:spacing w:val="-15"/>
          <w:sz w:val="24"/>
        </w:rPr>
        <w:t> </w:t>
      </w:r>
      <w:r>
        <w:rPr>
          <w:color w:val="231F20"/>
          <w:sz w:val="24"/>
        </w:rPr>
        <w:t>et</w:t>
      </w:r>
      <w:r>
        <w:rPr>
          <w:color w:val="231F20"/>
          <w:spacing w:val="-15"/>
          <w:sz w:val="24"/>
        </w:rPr>
        <w:t> </w:t>
      </w:r>
      <w:r>
        <w:rPr>
          <w:color w:val="231F20"/>
          <w:sz w:val="24"/>
        </w:rPr>
        <w:t>limitée</w:t>
      </w:r>
      <w:r>
        <w:rPr>
          <w:color w:val="231F20"/>
          <w:spacing w:val="-15"/>
          <w:sz w:val="24"/>
        </w:rPr>
        <w:t> </w:t>
      </w:r>
      <w:r>
        <w:rPr>
          <w:color w:val="231F20"/>
          <w:sz w:val="24"/>
        </w:rPr>
        <w:t>:</w:t>
      </w:r>
      <w:r>
        <w:rPr>
          <w:color w:val="231F20"/>
          <w:spacing w:val="-15"/>
          <w:sz w:val="24"/>
        </w:rPr>
        <w:t> </w:t>
      </w:r>
      <w:r>
        <w:rPr>
          <w:i/>
          <w:color w:val="231F20"/>
          <w:sz w:val="24"/>
        </w:rPr>
        <w:t>«</w:t>
      </w:r>
      <w:r>
        <w:rPr>
          <w:i/>
          <w:color w:val="231F20"/>
          <w:spacing w:val="-15"/>
          <w:sz w:val="24"/>
        </w:rPr>
        <w:t> </w:t>
      </w:r>
      <w:r>
        <w:rPr>
          <w:i/>
          <w:color w:val="231F20"/>
          <w:sz w:val="24"/>
        </w:rPr>
        <w:t>Les</w:t>
      </w:r>
      <w:r>
        <w:rPr>
          <w:i/>
          <w:color w:val="231F20"/>
          <w:spacing w:val="-15"/>
          <w:sz w:val="24"/>
        </w:rPr>
        <w:t> </w:t>
      </w:r>
      <w:r>
        <w:rPr>
          <w:i/>
          <w:color w:val="231F20"/>
          <w:sz w:val="24"/>
        </w:rPr>
        <w:t>colons</w:t>
      </w:r>
      <w:r>
        <w:rPr>
          <w:i/>
          <w:color w:val="231F20"/>
          <w:spacing w:val="-15"/>
          <w:sz w:val="24"/>
        </w:rPr>
        <w:t> </w:t>
      </w:r>
      <w:r>
        <w:rPr>
          <w:i/>
          <w:color w:val="231F20"/>
          <w:sz w:val="24"/>
        </w:rPr>
        <w:t>ont</w:t>
      </w:r>
      <w:r>
        <w:rPr>
          <w:i/>
          <w:color w:val="231F20"/>
          <w:spacing w:val="-15"/>
          <w:sz w:val="24"/>
        </w:rPr>
        <w:t> </w:t>
      </w:r>
      <w:r>
        <w:rPr>
          <w:i/>
          <w:color w:val="231F20"/>
          <w:sz w:val="24"/>
        </w:rPr>
        <w:t>tenté</w:t>
      </w:r>
      <w:r>
        <w:rPr>
          <w:i/>
          <w:color w:val="231F20"/>
          <w:spacing w:val="-15"/>
          <w:sz w:val="24"/>
        </w:rPr>
        <w:t> </w:t>
      </w:r>
      <w:r>
        <w:rPr>
          <w:i/>
          <w:color w:val="231F20"/>
          <w:sz w:val="24"/>
        </w:rPr>
        <w:t>de</w:t>
      </w:r>
      <w:r>
        <w:rPr>
          <w:i/>
          <w:color w:val="231F20"/>
          <w:sz w:val="24"/>
        </w:rPr>
        <w:t> nous</w:t>
      </w:r>
      <w:r>
        <w:rPr>
          <w:i/>
          <w:color w:val="231F20"/>
          <w:spacing w:val="-2"/>
          <w:sz w:val="24"/>
        </w:rPr>
        <w:t> </w:t>
      </w:r>
      <w:r>
        <w:rPr>
          <w:i/>
          <w:color w:val="231F20"/>
          <w:sz w:val="24"/>
        </w:rPr>
        <w:t>faire</w:t>
      </w:r>
      <w:r>
        <w:rPr>
          <w:i/>
          <w:color w:val="231F20"/>
          <w:spacing w:val="-2"/>
          <w:sz w:val="24"/>
        </w:rPr>
        <w:t> </w:t>
      </w:r>
      <w:r>
        <w:rPr>
          <w:i/>
          <w:color w:val="231F20"/>
          <w:sz w:val="24"/>
        </w:rPr>
        <w:t>admettre que</w:t>
      </w:r>
      <w:r>
        <w:rPr>
          <w:i/>
          <w:color w:val="231F20"/>
          <w:spacing w:val="-2"/>
          <w:sz w:val="24"/>
        </w:rPr>
        <w:t> </w:t>
      </w:r>
      <w:r>
        <w:rPr>
          <w:i/>
          <w:color w:val="231F20"/>
          <w:sz w:val="24"/>
        </w:rPr>
        <w:t>nous étions</w:t>
      </w:r>
      <w:r>
        <w:rPr>
          <w:i/>
          <w:color w:val="231F20"/>
          <w:spacing w:val="-2"/>
          <w:sz w:val="24"/>
        </w:rPr>
        <w:t> </w:t>
      </w:r>
      <w:r>
        <w:rPr>
          <w:i/>
          <w:color w:val="231F20"/>
          <w:sz w:val="24"/>
        </w:rPr>
        <w:t>des êtres</w:t>
      </w:r>
      <w:r>
        <w:rPr>
          <w:i/>
          <w:color w:val="231F20"/>
          <w:spacing w:val="-2"/>
          <w:sz w:val="24"/>
        </w:rPr>
        <w:t> </w:t>
      </w:r>
      <w:r>
        <w:rPr>
          <w:i/>
          <w:color w:val="231F20"/>
          <w:sz w:val="24"/>
        </w:rPr>
        <w:t>inférieurs,</w:t>
      </w:r>
      <w:r>
        <w:rPr>
          <w:i/>
          <w:color w:val="231F20"/>
          <w:spacing w:val="-2"/>
          <w:sz w:val="24"/>
        </w:rPr>
        <w:t> </w:t>
      </w:r>
      <w:r>
        <w:rPr>
          <w:i/>
          <w:color w:val="231F20"/>
          <w:sz w:val="24"/>
        </w:rPr>
        <w:t>incapables</w:t>
      </w:r>
      <w:r>
        <w:rPr>
          <w:i/>
          <w:color w:val="231F20"/>
          <w:spacing w:val="-2"/>
          <w:sz w:val="24"/>
        </w:rPr>
        <w:t> </w:t>
      </w:r>
      <w:r>
        <w:rPr>
          <w:i/>
          <w:color w:val="231F20"/>
          <w:sz w:val="24"/>
        </w:rPr>
        <w:t>de faire</w:t>
      </w:r>
      <w:r>
        <w:rPr>
          <w:i/>
          <w:color w:val="231F20"/>
          <w:spacing w:val="-6"/>
          <w:sz w:val="24"/>
        </w:rPr>
        <w:t> </w:t>
      </w:r>
      <w:r>
        <w:rPr>
          <w:i/>
          <w:color w:val="231F20"/>
          <w:sz w:val="24"/>
        </w:rPr>
        <w:t>autant</w:t>
      </w:r>
      <w:r>
        <w:rPr>
          <w:i/>
          <w:color w:val="231F20"/>
          <w:spacing w:val="-4"/>
          <w:sz w:val="24"/>
        </w:rPr>
        <w:t> </w:t>
      </w:r>
      <w:r>
        <w:rPr>
          <w:i/>
          <w:color w:val="231F20"/>
          <w:sz w:val="24"/>
        </w:rPr>
        <w:t>sinon</w:t>
      </w:r>
      <w:r>
        <w:rPr>
          <w:i/>
          <w:color w:val="231F20"/>
          <w:spacing w:val="-6"/>
          <w:sz w:val="24"/>
        </w:rPr>
        <w:t> </w:t>
      </w:r>
      <w:r>
        <w:rPr>
          <w:i/>
          <w:color w:val="231F20"/>
          <w:sz w:val="24"/>
        </w:rPr>
        <w:t>mieux</w:t>
      </w:r>
      <w:r>
        <w:rPr>
          <w:i/>
          <w:color w:val="231F20"/>
          <w:spacing w:val="-6"/>
          <w:sz w:val="24"/>
        </w:rPr>
        <w:t> </w:t>
      </w:r>
      <w:r>
        <w:rPr>
          <w:i/>
          <w:color w:val="231F20"/>
          <w:sz w:val="24"/>
        </w:rPr>
        <w:t>qu’eux.</w:t>
      </w:r>
      <w:r>
        <w:rPr>
          <w:i/>
          <w:color w:val="231F20"/>
          <w:spacing w:val="-4"/>
          <w:sz w:val="24"/>
        </w:rPr>
        <w:t> </w:t>
      </w:r>
      <w:r>
        <w:rPr>
          <w:i/>
          <w:color w:val="231F20"/>
          <w:sz w:val="24"/>
        </w:rPr>
        <w:t>Ils</w:t>
      </w:r>
      <w:r>
        <w:rPr>
          <w:i/>
          <w:color w:val="231F20"/>
          <w:spacing w:val="-4"/>
          <w:sz w:val="24"/>
        </w:rPr>
        <w:t> </w:t>
      </w:r>
      <w:r>
        <w:rPr>
          <w:i/>
          <w:color w:val="231F20"/>
          <w:sz w:val="24"/>
        </w:rPr>
        <w:t>ne</w:t>
      </w:r>
      <w:r>
        <w:rPr>
          <w:i/>
          <w:color w:val="231F20"/>
          <w:spacing w:val="-7"/>
          <w:sz w:val="24"/>
        </w:rPr>
        <w:t> </w:t>
      </w:r>
      <w:r>
        <w:rPr>
          <w:i/>
          <w:color w:val="231F20"/>
          <w:sz w:val="24"/>
        </w:rPr>
        <w:t>s’opposaient</w:t>
      </w:r>
      <w:r>
        <w:rPr>
          <w:i/>
          <w:color w:val="231F20"/>
          <w:spacing w:val="-4"/>
          <w:sz w:val="24"/>
        </w:rPr>
        <w:t> </w:t>
      </w:r>
      <w:r>
        <w:rPr>
          <w:i/>
          <w:color w:val="231F20"/>
          <w:sz w:val="24"/>
        </w:rPr>
        <w:t>pas</w:t>
      </w:r>
      <w:r>
        <w:rPr>
          <w:i/>
          <w:color w:val="231F20"/>
          <w:spacing w:val="-4"/>
          <w:sz w:val="24"/>
        </w:rPr>
        <w:t> </w:t>
      </w:r>
      <w:r>
        <w:rPr>
          <w:i/>
          <w:color w:val="231F20"/>
          <w:sz w:val="24"/>
        </w:rPr>
        <w:t>au</w:t>
      </w:r>
      <w:r>
        <w:rPr>
          <w:i/>
          <w:color w:val="231F20"/>
          <w:spacing w:val="-4"/>
          <w:sz w:val="24"/>
        </w:rPr>
        <w:t> </w:t>
      </w:r>
      <w:r>
        <w:rPr>
          <w:i/>
          <w:color w:val="231F20"/>
          <w:sz w:val="24"/>
        </w:rPr>
        <w:t>fait</w:t>
      </w:r>
      <w:r>
        <w:rPr>
          <w:i/>
          <w:color w:val="231F20"/>
          <w:spacing w:val="-5"/>
          <w:sz w:val="24"/>
        </w:rPr>
        <w:t> </w:t>
      </w:r>
      <w:r>
        <w:rPr>
          <w:i/>
          <w:color w:val="231F20"/>
          <w:sz w:val="24"/>
        </w:rPr>
        <w:t>que</w:t>
      </w:r>
      <w:r>
        <w:rPr>
          <w:i/>
          <w:color w:val="231F20"/>
          <w:spacing w:val="-6"/>
          <w:sz w:val="24"/>
        </w:rPr>
        <w:t> </w:t>
      </w:r>
      <w:r>
        <w:rPr>
          <w:i/>
          <w:color w:val="231F20"/>
          <w:spacing w:val="-5"/>
          <w:sz w:val="24"/>
        </w:rPr>
        <w:t>des</w:t>
      </w:r>
    </w:p>
    <w:p>
      <w:pPr>
        <w:spacing w:before="0"/>
        <w:ind w:left="111" w:right="106" w:firstLine="0"/>
        <w:jc w:val="both"/>
        <w:rPr>
          <w:i/>
          <w:sz w:val="24"/>
        </w:rPr>
      </w:pPr>
      <w:r>
        <w:rPr>
          <w:i/>
          <w:color w:val="231F20"/>
          <w:sz w:val="24"/>
        </w:rPr>
        <w:t>«</w:t>
      </w:r>
      <w:r>
        <w:rPr>
          <w:i/>
          <w:color w:val="231F20"/>
          <w:spacing w:val="-15"/>
          <w:sz w:val="24"/>
        </w:rPr>
        <w:t> </w:t>
      </w:r>
      <w:r>
        <w:rPr>
          <w:i/>
          <w:color w:val="231F20"/>
          <w:sz w:val="24"/>
        </w:rPr>
        <w:t>indigènes</w:t>
      </w:r>
      <w:r>
        <w:rPr>
          <w:i/>
          <w:color w:val="231F20"/>
          <w:spacing w:val="-15"/>
          <w:sz w:val="24"/>
        </w:rPr>
        <w:t> </w:t>
      </w:r>
      <w:r>
        <w:rPr>
          <w:i/>
          <w:color w:val="231F20"/>
          <w:sz w:val="24"/>
        </w:rPr>
        <w:t>»</w:t>
      </w:r>
      <w:r>
        <w:rPr>
          <w:i/>
          <w:color w:val="231F20"/>
          <w:spacing w:val="-15"/>
          <w:sz w:val="24"/>
        </w:rPr>
        <w:t> </w:t>
      </w:r>
      <w:r>
        <w:rPr>
          <w:i/>
          <w:color w:val="231F20"/>
          <w:sz w:val="24"/>
        </w:rPr>
        <w:t>aillent</w:t>
      </w:r>
      <w:r>
        <w:rPr>
          <w:i/>
          <w:color w:val="231F20"/>
          <w:spacing w:val="-15"/>
          <w:sz w:val="24"/>
        </w:rPr>
        <w:t> </w:t>
      </w:r>
      <w:r>
        <w:rPr>
          <w:i/>
          <w:color w:val="231F20"/>
          <w:sz w:val="24"/>
        </w:rPr>
        <w:t>dans</w:t>
      </w:r>
      <w:r>
        <w:rPr>
          <w:i/>
          <w:color w:val="231F20"/>
          <w:spacing w:val="-9"/>
          <w:sz w:val="24"/>
        </w:rPr>
        <w:t> </w:t>
      </w:r>
      <w:r>
        <w:rPr>
          <w:i/>
          <w:color w:val="231F20"/>
          <w:sz w:val="24"/>
        </w:rPr>
        <w:t>leurs</w:t>
      </w:r>
      <w:r>
        <w:rPr>
          <w:i/>
          <w:color w:val="231F20"/>
          <w:spacing w:val="-9"/>
          <w:sz w:val="24"/>
        </w:rPr>
        <w:t> </w:t>
      </w:r>
      <w:r>
        <w:rPr>
          <w:i/>
          <w:color w:val="231F20"/>
          <w:sz w:val="24"/>
        </w:rPr>
        <w:t>écoles,</w:t>
      </w:r>
      <w:r>
        <w:rPr>
          <w:i/>
          <w:color w:val="231F20"/>
          <w:spacing w:val="-9"/>
          <w:sz w:val="24"/>
        </w:rPr>
        <w:t> </w:t>
      </w:r>
      <w:r>
        <w:rPr>
          <w:i/>
          <w:color w:val="231F20"/>
          <w:sz w:val="24"/>
        </w:rPr>
        <w:t>mais</w:t>
      </w:r>
      <w:r>
        <w:rPr>
          <w:i/>
          <w:color w:val="231F20"/>
          <w:spacing w:val="-10"/>
          <w:sz w:val="24"/>
        </w:rPr>
        <w:t> </w:t>
      </w:r>
      <w:r>
        <w:rPr>
          <w:i/>
          <w:color w:val="231F20"/>
          <w:sz w:val="24"/>
        </w:rPr>
        <w:t>ils</w:t>
      </w:r>
      <w:r>
        <w:rPr>
          <w:i/>
          <w:color w:val="231F20"/>
          <w:spacing w:val="-9"/>
          <w:sz w:val="24"/>
        </w:rPr>
        <w:t> </w:t>
      </w:r>
      <w:r>
        <w:rPr>
          <w:i/>
          <w:color w:val="231F20"/>
          <w:sz w:val="24"/>
        </w:rPr>
        <w:t>nourrissaient</w:t>
      </w:r>
      <w:r>
        <w:rPr>
          <w:i/>
          <w:color w:val="231F20"/>
          <w:spacing w:val="-10"/>
          <w:sz w:val="24"/>
        </w:rPr>
        <w:t> </w:t>
      </w:r>
      <w:r>
        <w:rPr>
          <w:i/>
          <w:color w:val="231F20"/>
          <w:sz w:val="24"/>
        </w:rPr>
        <w:t>pour</w:t>
      </w:r>
      <w:r>
        <w:rPr>
          <w:i/>
          <w:color w:val="231F20"/>
          <w:spacing w:val="-9"/>
          <w:sz w:val="24"/>
        </w:rPr>
        <w:t> </w:t>
      </w:r>
      <w:r>
        <w:rPr>
          <w:i/>
          <w:color w:val="231F20"/>
          <w:sz w:val="24"/>
        </w:rPr>
        <w:t>nous</w:t>
      </w:r>
      <w:r>
        <w:rPr>
          <w:i/>
          <w:color w:val="231F20"/>
          <w:sz w:val="24"/>
        </w:rPr>
        <w:t> des ambitions limitées. Nous étions programmés pour devenir des auxiliaires, pas au-delà</w:t>
      </w:r>
      <w:r>
        <w:rPr>
          <w:i/>
          <w:color w:val="231F20"/>
          <w:spacing w:val="-15"/>
          <w:sz w:val="24"/>
        </w:rPr>
        <w:t> </w:t>
      </w:r>
      <w:r>
        <w:rPr>
          <w:i/>
          <w:color w:val="231F20"/>
          <w:sz w:val="24"/>
        </w:rPr>
        <w:t>! On pouvait ainsi devenir infirmier, mais pas docteur en médecine.</w:t>
      </w:r>
      <w:r>
        <w:rPr>
          <w:color w:val="76787A"/>
          <w:sz w:val="24"/>
          <w:vertAlign w:val="superscript"/>
        </w:rPr>
        <w:t>274</w:t>
      </w:r>
      <w:r>
        <w:rPr>
          <w:color w:val="76787A"/>
          <w:sz w:val="24"/>
          <w:vertAlign w:val="baseline"/>
        </w:rPr>
        <w:t> </w:t>
      </w:r>
      <w:r>
        <w:rPr>
          <w:i/>
          <w:color w:val="231F20"/>
          <w:sz w:val="24"/>
          <w:vertAlign w:val="baseline"/>
        </w:rPr>
        <w:t>»</w:t>
      </w:r>
    </w:p>
    <w:p>
      <w:pPr>
        <w:pStyle w:val="BodyText"/>
        <w:ind w:left="0"/>
        <w:jc w:val="left"/>
        <w:rPr>
          <w:i/>
          <w:sz w:val="20"/>
        </w:rPr>
      </w:pPr>
    </w:p>
    <w:p>
      <w:pPr>
        <w:pStyle w:val="BodyText"/>
        <w:spacing w:before="225"/>
        <w:ind w:left="0"/>
        <w:jc w:val="left"/>
        <w:rPr>
          <w:i/>
          <w:sz w:val="20"/>
        </w:rPr>
      </w:pPr>
      <w:r>
        <w:rPr/>
        <mc:AlternateContent>
          <mc:Choice Requires="wps">
            <w:drawing>
              <wp:anchor distT="0" distB="0" distL="0" distR="0" allowOverlap="1" layoutInCell="1" locked="0" behindDoc="1" simplePos="0" relativeHeight="487671296">
                <wp:simplePos x="0" y="0"/>
                <wp:positionH relativeFrom="page">
                  <wp:posOffset>629907</wp:posOffset>
                </wp:positionH>
                <wp:positionV relativeFrom="paragraph">
                  <wp:posOffset>304732</wp:posOffset>
                </wp:positionV>
                <wp:extent cx="1829435" cy="9525"/>
                <wp:effectExtent l="0" t="0" r="0" b="0"/>
                <wp:wrapTopAndBottom/>
                <wp:docPr id="197" name="Graphic 197"/>
                <wp:cNvGraphicFramePr>
                  <a:graphicFrameLocks/>
                </wp:cNvGraphicFramePr>
                <a:graphic>
                  <a:graphicData uri="http://schemas.microsoft.com/office/word/2010/wordprocessingShape">
                    <wps:wsp>
                      <wps:cNvPr id="197" name="Graphic 197"/>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3.994648pt;width:144.020pt;height:.72pt;mso-position-horizontal-relative:page;mso-position-vertical-relative:paragraph;z-index:-15645184;mso-wrap-distance-left:0;mso-wrap-distance-right:0" id="docshape195" filled="true" fillcolor="#231f20" stroked="false">
                <v:fill type="solid"/>
                <w10:wrap type="topAndBottom"/>
              </v:rect>
            </w:pict>
          </mc:Fallback>
        </mc:AlternateContent>
      </w:r>
    </w:p>
    <w:p>
      <w:pPr>
        <w:spacing w:before="91"/>
        <w:ind w:left="111" w:right="0" w:firstLine="0"/>
        <w:jc w:val="left"/>
        <w:rPr>
          <w:sz w:val="20"/>
        </w:rPr>
      </w:pPr>
      <w:r>
        <w:rPr>
          <w:color w:val="76787A"/>
          <w:spacing w:val="-4"/>
          <w:sz w:val="20"/>
          <w:vertAlign w:val="superscript"/>
        </w:rPr>
        <w:t>272</w:t>
      </w:r>
      <w:r>
        <w:rPr>
          <w:color w:val="76787A"/>
          <w:spacing w:val="3"/>
          <w:sz w:val="20"/>
          <w:vertAlign w:val="baseline"/>
        </w:rPr>
        <w:t> </w:t>
      </w:r>
      <w:r>
        <w:rPr>
          <w:color w:val="231F20"/>
          <w:spacing w:val="-4"/>
          <w:sz w:val="20"/>
          <w:vertAlign w:val="baseline"/>
        </w:rPr>
        <w:t>Alain</w:t>
      </w:r>
      <w:r>
        <w:rPr>
          <w:color w:val="231F20"/>
          <w:spacing w:val="2"/>
          <w:sz w:val="20"/>
          <w:vertAlign w:val="baseline"/>
        </w:rPr>
        <w:t> </w:t>
      </w:r>
      <w:r>
        <w:rPr>
          <w:color w:val="231F20"/>
          <w:spacing w:val="-4"/>
          <w:sz w:val="20"/>
          <w:vertAlign w:val="baseline"/>
        </w:rPr>
        <w:t>Foka,jouraliste,</w:t>
      </w:r>
      <w:r>
        <w:rPr>
          <w:color w:val="231F20"/>
          <w:spacing w:val="-2"/>
          <w:sz w:val="20"/>
          <w:vertAlign w:val="baseline"/>
        </w:rPr>
        <w:t> </w:t>
      </w:r>
      <w:r>
        <w:rPr>
          <w:color w:val="231F20"/>
          <w:spacing w:val="-4"/>
          <w:sz w:val="20"/>
          <w:vertAlign w:val="baseline"/>
        </w:rPr>
        <w:t>RFI.</w:t>
      </w:r>
    </w:p>
    <w:p>
      <w:pPr>
        <w:spacing w:before="1"/>
        <w:ind w:left="111" w:right="0" w:firstLine="0"/>
        <w:jc w:val="left"/>
        <w:rPr>
          <w:sz w:val="20"/>
        </w:rPr>
      </w:pPr>
      <w:r>
        <w:rPr>
          <w:color w:val="76787A"/>
          <w:spacing w:val="-4"/>
          <w:sz w:val="20"/>
          <w:vertAlign w:val="superscript"/>
        </w:rPr>
        <w:t>273</w:t>
      </w:r>
      <w:r>
        <w:rPr>
          <w:color w:val="76787A"/>
          <w:spacing w:val="-16"/>
          <w:sz w:val="20"/>
          <w:vertAlign w:val="baseline"/>
        </w:rPr>
        <w:t> </w:t>
      </w:r>
      <w:r>
        <w:rPr>
          <w:color w:val="231F20"/>
          <w:spacing w:val="-4"/>
          <w:sz w:val="20"/>
          <w:vertAlign w:val="baseline"/>
        </w:rPr>
        <w:t>Extrait,</w:t>
      </w:r>
      <w:r>
        <w:rPr>
          <w:color w:val="231F20"/>
          <w:spacing w:val="-1"/>
          <w:sz w:val="20"/>
          <w:vertAlign w:val="baseline"/>
        </w:rPr>
        <w:t> </w:t>
      </w:r>
      <w:r>
        <w:rPr>
          <w:color w:val="231F20"/>
          <w:spacing w:val="-4"/>
          <w:sz w:val="20"/>
          <w:vertAlign w:val="baseline"/>
        </w:rPr>
        <w:t>article</w:t>
      </w:r>
      <w:r>
        <w:rPr>
          <w:color w:val="231F20"/>
          <w:spacing w:val="-2"/>
          <w:sz w:val="20"/>
          <w:vertAlign w:val="baseline"/>
        </w:rPr>
        <w:t> </w:t>
      </w:r>
      <w:r>
        <w:rPr>
          <w:color w:val="231F20"/>
          <w:spacing w:val="-4"/>
          <w:sz w:val="20"/>
          <w:vertAlign w:val="baseline"/>
        </w:rPr>
        <w:t>infomed,</w:t>
      </w:r>
      <w:r>
        <w:rPr>
          <w:color w:val="231F20"/>
          <w:sz w:val="20"/>
          <w:vertAlign w:val="baseline"/>
        </w:rPr>
        <w:t> </w:t>
      </w:r>
      <w:r>
        <w:rPr>
          <w:color w:val="231F20"/>
          <w:spacing w:val="-4"/>
          <w:sz w:val="20"/>
          <w:vertAlign w:val="baseline"/>
        </w:rPr>
        <w:t>Dakar.</w:t>
      </w:r>
    </w:p>
    <w:p>
      <w:pPr>
        <w:spacing w:before="0"/>
        <w:ind w:left="111" w:right="0" w:firstLine="0"/>
        <w:jc w:val="left"/>
        <w:rPr>
          <w:sz w:val="20"/>
        </w:rPr>
      </w:pPr>
      <w:r>
        <w:rPr>
          <w:color w:val="76787A"/>
          <w:sz w:val="20"/>
          <w:vertAlign w:val="superscript"/>
        </w:rPr>
        <w:t>274</w:t>
      </w:r>
      <w:r>
        <w:rPr>
          <w:color w:val="76787A"/>
          <w:spacing w:val="40"/>
          <w:sz w:val="20"/>
          <w:vertAlign w:val="baseline"/>
        </w:rPr>
        <w:t> </w:t>
      </w:r>
      <w:r>
        <w:rPr>
          <w:color w:val="231F20"/>
          <w:sz w:val="20"/>
          <w:vertAlign w:val="baseline"/>
        </w:rPr>
        <w:t>Cheikh</w:t>
      </w:r>
      <w:r>
        <w:rPr>
          <w:color w:val="231F20"/>
          <w:spacing w:val="76"/>
          <w:sz w:val="20"/>
          <w:vertAlign w:val="baseline"/>
        </w:rPr>
        <w:t> </w:t>
      </w:r>
      <w:r>
        <w:rPr>
          <w:color w:val="231F20"/>
          <w:sz w:val="20"/>
          <w:vertAlign w:val="baseline"/>
        </w:rPr>
        <w:t>Hamidou</w:t>
      </w:r>
      <w:r>
        <w:rPr>
          <w:color w:val="231F20"/>
          <w:spacing w:val="76"/>
          <w:sz w:val="20"/>
          <w:vertAlign w:val="baseline"/>
        </w:rPr>
        <w:t> </w:t>
      </w:r>
      <w:r>
        <w:rPr>
          <w:color w:val="231F20"/>
          <w:sz w:val="20"/>
          <w:vertAlign w:val="baseline"/>
        </w:rPr>
        <w:t>Kane,</w:t>
      </w:r>
      <w:r>
        <w:rPr>
          <w:color w:val="231F20"/>
          <w:spacing w:val="77"/>
          <w:sz w:val="20"/>
          <w:vertAlign w:val="baseline"/>
        </w:rPr>
        <w:t> </w:t>
      </w:r>
      <w:r>
        <w:rPr>
          <w:color w:val="231F20"/>
          <w:sz w:val="20"/>
          <w:vertAlign w:val="baseline"/>
        </w:rPr>
        <w:t>écrivain</w:t>
      </w:r>
      <w:r>
        <w:rPr>
          <w:color w:val="231F20"/>
          <w:spacing w:val="76"/>
          <w:sz w:val="20"/>
          <w:vertAlign w:val="baseline"/>
        </w:rPr>
        <w:t> </w:t>
      </w:r>
      <w:r>
        <w:rPr>
          <w:color w:val="231F20"/>
          <w:sz w:val="20"/>
          <w:vertAlign w:val="baseline"/>
        </w:rPr>
        <w:t>sénégalais</w:t>
      </w:r>
      <w:r>
        <w:rPr>
          <w:color w:val="231F20"/>
          <w:spacing w:val="-13"/>
          <w:sz w:val="20"/>
          <w:vertAlign w:val="baseline"/>
        </w:rPr>
        <w:t> </w:t>
      </w:r>
      <w:r>
        <w:rPr>
          <w:color w:val="231F20"/>
          <w:sz w:val="20"/>
          <w:vertAlign w:val="baseline"/>
        </w:rPr>
        <w:t>;</w:t>
      </w:r>
      <w:r>
        <w:rPr>
          <w:color w:val="231F20"/>
          <w:spacing w:val="76"/>
          <w:sz w:val="20"/>
          <w:vertAlign w:val="baseline"/>
        </w:rPr>
        <w:t> </w:t>
      </w:r>
      <w:r>
        <w:rPr>
          <w:color w:val="231F20"/>
          <w:sz w:val="20"/>
          <w:vertAlign w:val="baseline"/>
        </w:rPr>
        <w:t>propos</w:t>
      </w:r>
      <w:r>
        <w:rPr>
          <w:color w:val="231F20"/>
          <w:spacing w:val="73"/>
          <w:sz w:val="20"/>
          <w:vertAlign w:val="baseline"/>
        </w:rPr>
        <w:t> </w:t>
      </w:r>
      <w:r>
        <w:rPr>
          <w:color w:val="231F20"/>
          <w:sz w:val="20"/>
          <w:vertAlign w:val="baseline"/>
        </w:rPr>
        <w:t>recueillis</w:t>
      </w:r>
      <w:r>
        <w:rPr>
          <w:color w:val="231F20"/>
          <w:spacing w:val="74"/>
          <w:sz w:val="20"/>
          <w:vertAlign w:val="baseline"/>
        </w:rPr>
        <w:t> </w:t>
      </w:r>
      <w:r>
        <w:rPr>
          <w:color w:val="231F20"/>
          <w:sz w:val="20"/>
          <w:vertAlign w:val="baseline"/>
        </w:rPr>
        <w:t>par</w:t>
      </w:r>
      <w:r>
        <w:rPr>
          <w:color w:val="231F20"/>
          <w:spacing w:val="-13"/>
          <w:sz w:val="20"/>
          <w:vertAlign w:val="baseline"/>
        </w:rPr>
        <w:t> </w:t>
      </w:r>
      <w:r>
        <w:rPr>
          <w:color w:val="231F20"/>
          <w:sz w:val="20"/>
          <w:vertAlign w:val="baseline"/>
        </w:rPr>
        <w:t>Coumba Kane,journaliste,Monde</w:t>
      </w:r>
      <w:r>
        <w:rPr>
          <w:color w:val="231F20"/>
          <w:spacing w:val="-3"/>
          <w:sz w:val="20"/>
          <w:vertAlign w:val="baseline"/>
        </w:rPr>
        <w:t> </w:t>
      </w:r>
      <w:r>
        <w:rPr>
          <w:color w:val="231F20"/>
          <w:sz w:val="20"/>
          <w:vertAlign w:val="baseline"/>
        </w:rPr>
        <w:t>Afrique.</w:t>
      </w:r>
    </w:p>
    <w:p>
      <w:pPr>
        <w:spacing w:after="0"/>
        <w:jc w:val="left"/>
        <w:rPr>
          <w:sz w:val="20"/>
        </w:rPr>
        <w:sectPr>
          <w:pgSz w:w="8790" w:h="13610"/>
          <w:pgMar w:header="0" w:footer="802" w:top="1060" w:bottom="1000" w:left="880" w:right="880"/>
        </w:sectPr>
      </w:pPr>
    </w:p>
    <w:p>
      <w:pPr>
        <w:pStyle w:val="BodyText"/>
        <w:spacing w:before="66"/>
        <w:ind w:right="103" w:firstLine="283"/>
      </w:pPr>
      <w:r>
        <w:rPr>
          <w:color w:val="231F20"/>
          <w:spacing w:val="-4"/>
        </w:rPr>
        <w:t>Par</w:t>
      </w:r>
      <w:r>
        <w:rPr>
          <w:color w:val="231F20"/>
          <w:spacing w:val="-10"/>
        </w:rPr>
        <w:t> </w:t>
      </w:r>
      <w:r>
        <w:rPr>
          <w:color w:val="231F20"/>
          <w:spacing w:val="-4"/>
        </w:rPr>
        <w:t>ailleurs,</w:t>
      </w:r>
      <w:r>
        <w:rPr>
          <w:color w:val="231F20"/>
          <w:spacing w:val="-11"/>
        </w:rPr>
        <w:t> </w:t>
      </w:r>
      <w:r>
        <w:rPr>
          <w:color w:val="231F20"/>
          <w:spacing w:val="-4"/>
        </w:rPr>
        <w:t>dans</w:t>
      </w:r>
      <w:r>
        <w:rPr>
          <w:color w:val="231F20"/>
          <w:spacing w:val="-8"/>
        </w:rPr>
        <w:t> </w:t>
      </w:r>
      <w:r>
        <w:rPr>
          <w:color w:val="231F20"/>
          <w:spacing w:val="-4"/>
        </w:rPr>
        <w:t>certaines</w:t>
      </w:r>
      <w:r>
        <w:rPr>
          <w:color w:val="231F20"/>
          <w:spacing w:val="-11"/>
        </w:rPr>
        <w:t> </w:t>
      </w:r>
      <w:r>
        <w:rPr>
          <w:color w:val="231F20"/>
          <w:spacing w:val="-4"/>
        </w:rPr>
        <w:t>colonies,</w:t>
      </w:r>
      <w:r>
        <w:rPr>
          <w:color w:val="231F20"/>
          <w:spacing w:val="-11"/>
        </w:rPr>
        <w:t> </w:t>
      </w:r>
      <w:r>
        <w:rPr>
          <w:color w:val="231F20"/>
          <w:spacing w:val="-4"/>
        </w:rPr>
        <w:t>tous</w:t>
      </w:r>
      <w:r>
        <w:rPr>
          <w:color w:val="231F20"/>
          <w:spacing w:val="-11"/>
        </w:rPr>
        <w:t> </w:t>
      </w:r>
      <w:r>
        <w:rPr>
          <w:color w:val="231F20"/>
          <w:spacing w:val="-4"/>
        </w:rPr>
        <w:t>les</w:t>
      </w:r>
      <w:r>
        <w:rPr>
          <w:color w:val="231F20"/>
          <w:spacing w:val="-11"/>
        </w:rPr>
        <w:t> </w:t>
      </w:r>
      <w:r>
        <w:rPr>
          <w:color w:val="231F20"/>
          <w:spacing w:val="-4"/>
        </w:rPr>
        <w:t>sujets</w:t>
      </w:r>
      <w:r>
        <w:rPr>
          <w:color w:val="231F20"/>
          <w:spacing w:val="-9"/>
        </w:rPr>
        <w:t> </w:t>
      </w:r>
      <w:r>
        <w:rPr>
          <w:color w:val="231F20"/>
          <w:spacing w:val="-4"/>
        </w:rPr>
        <w:t>n’ont</w:t>
      </w:r>
      <w:r>
        <w:rPr>
          <w:color w:val="231F20"/>
          <w:spacing w:val="-11"/>
        </w:rPr>
        <w:t> </w:t>
      </w:r>
      <w:r>
        <w:rPr>
          <w:color w:val="231F20"/>
          <w:spacing w:val="-4"/>
        </w:rPr>
        <w:t>pas</w:t>
      </w:r>
      <w:r>
        <w:rPr>
          <w:color w:val="231F20"/>
          <w:spacing w:val="-9"/>
        </w:rPr>
        <w:t> </w:t>
      </w:r>
      <w:r>
        <w:rPr>
          <w:color w:val="231F20"/>
          <w:spacing w:val="-4"/>
        </w:rPr>
        <w:t>eu</w:t>
      </w:r>
      <w:r>
        <w:rPr>
          <w:color w:val="231F20"/>
          <w:spacing w:val="-11"/>
        </w:rPr>
        <w:t> </w:t>
      </w:r>
      <w:r>
        <w:rPr>
          <w:color w:val="231F20"/>
          <w:spacing w:val="-4"/>
        </w:rPr>
        <w:t>un</w:t>
      </w:r>
      <w:r>
        <w:rPr>
          <w:color w:val="231F20"/>
          <w:spacing w:val="-11"/>
        </w:rPr>
        <w:t> </w:t>
      </w:r>
      <w:r>
        <w:rPr>
          <w:color w:val="231F20"/>
          <w:spacing w:val="-4"/>
        </w:rPr>
        <w:t>égal </w:t>
      </w:r>
      <w:r>
        <w:rPr>
          <w:color w:val="231F20"/>
        </w:rPr>
        <w:t>accès à l’enseignement</w:t>
      </w:r>
      <w:r>
        <w:rPr>
          <w:color w:val="231F20"/>
          <w:spacing w:val="-15"/>
        </w:rPr>
        <w:t> </w:t>
      </w:r>
      <w:r>
        <w:rPr>
          <w:color w:val="231F20"/>
        </w:rPr>
        <w:t>: « en Afrique Occidentale Française, 108</w:t>
      </w:r>
      <w:r>
        <w:rPr>
          <w:color w:val="231F20"/>
          <w:spacing w:val="-15"/>
        </w:rPr>
        <w:t> </w:t>
      </w:r>
      <w:r>
        <w:rPr>
          <w:color w:val="231F20"/>
        </w:rPr>
        <w:t>911 élèves</w:t>
      </w:r>
      <w:r>
        <w:rPr>
          <w:color w:val="231F20"/>
          <w:spacing w:val="-15"/>
        </w:rPr>
        <w:t> </w:t>
      </w:r>
      <w:r>
        <w:rPr>
          <w:color w:val="231F20"/>
        </w:rPr>
        <w:t>seulement</w:t>
      </w:r>
      <w:r>
        <w:rPr>
          <w:color w:val="231F20"/>
          <w:spacing w:val="-15"/>
        </w:rPr>
        <w:t> </w:t>
      </w:r>
      <w:r>
        <w:rPr>
          <w:color w:val="231F20"/>
        </w:rPr>
        <w:t>fréquentent</w:t>
      </w:r>
      <w:r>
        <w:rPr>
          <w:color w:val="231F20"/>
          <w:spacing w:val="-15"/>
        </w:rPr>
        <w:t> </w:t>
      </w:r>
      <w:r>
        <w:rPr>
          <w:color w:val="231F20"/>
        </w:rPr>
        <w:t>les</w:t>
      </w:r>
      <w:r>
        <w:rPr>
          <w:color w:val="231F20"/>
          <w:spacing w:val="-15"/>
        </w:rPr>
        <w:t> </w:t>
      </w:r>
      <w:r>
        <w:rPr>
          <w:color w:val="231F20"/>
        </w:rPr>
        <w:t>établissements</w:t>
      </w:r>
      <w:r>
        <w:rPr>
          <w:color w:val="231F20"/>
          <w:spacing w:val="-15"/>
        </w:rPr>
        <w:t> </w:t>
      </w:r>
      <w:r>
        <w:rPr>
          <w:color w:val="231F20"/>
        </w:rPr>
        <w:t>du</w:t>
      </w:r>
      <w:r>
        <w:rPr>
          <w:color w:val="231F20"/>
          <w:spacing w:val="-15"/>
        </w:rPr>
        <w:t> </w:t>
      </w:r>
      <w:r>
        <w:rPr>
          <w:color w:val="231F20"/>
        </w:rPr>
        <w:t>premier</w:t>
      </w:r>
      <w:r>
        <w:rPr>
          <w:color w:val="231F20"/>
          <w:spacing w:val="-15"/>
        </w:rPr>
        <w:t> </w:t>
      </w:r>
      <w:r>
        <w:rPr>
          <w:color w:val="231F20"/>
        </w:rPr>
        <w:t>et</w:t>
      </w:r>
      <w:r>
        <w:rPr>
          <w:color w:val="231F20"/>
          <w:spacing w:val="-15"/>
        </w:rPr>
        <w:t> </w:t>
      </w:r>
      <w:r>
        <w:rPr>
          <w:color w:val="231F20"/>
        </w:rPr>
        <w:t>du</w:t>
      </w:r>
      <w:r>
        <w:rPr>
          <w:color w:val="231F20"/>
          <w:spacing w:val="-15"/>
        </w:rPr>
        <w:t> </w:t>
      </w:r>
      <w:r>
        <w:rPr>
          <w:color w:val="231F20"/>
        </w:rPr>
        <w:t>second degré,</w:t>
      </w:r>
      <w:r>
        <w:rPr>
          <w:color w:val="231F20"/>
          <w:spacing w:val="-15"/>
        </w:rPr>
        <w:t> </w:t>
      </w:r>
      <w:r>
        <w:rPr>
          <w:color w:val="231F20"/>
        </w:rPr>
        <w:t>enseignement</w:t>
      </w:r>
      <w:r>
        <w:rPr>
          <w:color w:val="231F20"/>
          <w:spacing w:val="-15"/>
        </w:rPr>
        <w:t> </w:t>
      </w:r>
      <w:r>
        <w:rPr>
          <w:color w:val="231F20"/>
        </w:rPr>
        <w:t>privé</w:t>
      </w:r>
      <w:r>
        <w:rPr>
          <w:color w:val="231F20"/>
          <w:spacing w:val="-15"/>
        </w:rPr>
        <w:t> </w:t>
      </w:r>
      <w:r>
        <w:rPr>
          <w:color w:val="231F20"/>
        </w:rPr>
        <w:t>compris,</w:t>
      </w:r>
      <w:r>
        <w:rPr>
          <w:color w:val="231F20"/>
          <w:spacing w:val="-15"/>
        </w:rPr>
        <w:t> </w:t>
      </w:r>
      <w:r>
        <w:rPr>
          <w:color w:val="231F20"/>
        </w:rPr>
        <w:t>sur</w:t>
      </w:r>
      <w:r>
        <w:rPr>
          <w:color w:val="231F20"/>
          <w:spacing w:val="-15"/>
        </w:rPr>
        <w:t> </w:t>
      </w:r>
      <w:r>
        <w:rPr>
          <w:color w:val="231F20"/>
        </w:rPr>
        <w:t>2</w:t>
      </w:r>
      <w:r>
        <w:rPr>
          <w:color w:val="231F20"/>
          <w:spacing w:val="-15"/>
        </w:rPr>
        <w:t> </w:t>
      </w:r>
      <w:r>
        <w:rPr>
          <w:color w:val="231F20"/>
        </w:rPr>
        <w:t>700</w:t>
      </w:r>
      <w:r>
        <w:rPr>
          <w:color w:val="231F20"/>
          <w:spacing w:val="-15"/>
        </w:rPr>
        <w:t> </w:t>
      </w:r>
      <w:r>
        <w:rPr>
          <w:color w:val="231F20"/>
        </w:rPr>
        <w:t>000</w:t>
      </w:r>
      <w:r>
        <w:rPr>
          <w:color w:val="231F20"/>
          <w:spacing w:val="-15"/>
        </w:rPr>
        <w:t> </w:t>
      </w:r>
      <w:r>
        <w:rPr>
          <w:color w:val="231F20"/>
        </w:rPr>
        <w:t>garçons</w:t>
      </w:r>
      <w:r>
        <w:rPr>
          <w:color w:val="231F20"/>
          <w:spacing w:val="-15"/>
        </w:rPr>
        <w:t> </w:t>
      </w:r>
      <w:r>
        <w:rPr>
          <w:color w:val="231F20"/>
        </w:rPr>
        <w:t>et</w:t>
      </w:r>
      <w:r>
        <w:rPr>
          <w:color w:val="231F20"/>
          <w:spacing w:val="-15"/>
        </w:rPr>
        <w:t> </w:t>
      </w:r>
      <w:r>
        <w:rPr>
          <w:color w:val="231F20"/>
        </w:rPr>
        <w:t>filles</w:t>
      </w:r>
      <w:r>
        <w:rPr>
          <w:color w:val="231F20"/>
          <w:spacing w:val="-15"/>
        </w:rPr>
        <w:t> </w:t>
      </w:r>
      <w:r>
        <w:rPr>
          <w:color w:val="231F20"/>
        </w:rPr>
        <w:t>d’âge </w:t>
      </w:r>
      <w:r>
        <w:rPr>
          <w:color w:val="231F20"/>
          <w:spacing w:val="-4"/>
        </w:rPr>
        <w:t>scolaire ;</w:t>
      </w:r>
      <w:r>
        <w:rPr>
          <w:color w:val="231F20"/>
          <w:spacing w:val="-8"/>
        </w:rPr>
        <w:t> </w:t>
      </w:r>
      <w:r>
        <w:rPr>
          <w:color w:val="231F20"/>
          <w:spacing w:val="-4"/>
        </w:rPr>
        <w:t>c’est-à-dire</w:t>
      </w:r>
      <w:r>
        <w:rPr>
          <w:color w:val="231F20"/>
          <w:spacing w:val="-10"/>
        </w:rPr>
        <w:t> </w:t>
      </w:r>
      <w:r>
        <w:rPr>
          <w:color w:val="231F20"/>
          <w:spacing w:val="-4"/>
        </w:rPr>
        <w:t>qu’un</w:t>
      </w:r>
      <w:r>
        <w:rPr>
          <w:color w:val="231F20"/>
          <w:spacing w:val="-10"/>
        </w:rPr>
        <w:t> </w:t>
      </w:r>
      <w:r>
        <w:rPr>
          <w:color w:val="231F20"/>
          <w:spacing w:val="-4"/>
        </w:rPr>
        <w:t>seul</w:t>
      </w:r>
      <w:r>
        <w:rPr>
          <w:color w:val="231F20"/>
          <w:spacing w:val="-10"/>
        </w:rPr>
        <w:t> </w:t>
      </w:r>
      <w:r>
        <w:rPr>
          <w:color w:val="231F20"/>
          <w:spacing w:val="-4"/>
        </w:rPr>
        <w:t>enfant</w:t>
      </w:r>
      <w:r>
        <w:rPr>
          <w:color w:val="231F20"/>
          <w:spacing w:val="-8"/>
        </w:rPr>
        <w:t> </w:t>
      </w:r>
      <w:r>
        <w:rPr>
          <w:color w:val="231F20"/>
          <w:spacing w:val="-4"/>
        </w:rPr>
        <w:t>sur</w:t>
      </w:r>
      <w:r>
        <w:rPr>
          <w:color w:val="231F20"/>
          <w:spacing w:val="-10"/>
        </w:rPr>
        <w:t> </w:t>
      </w:r>
      <w:r>
        <w:rPr>
          <w:color w:val="231F20"/>
          <w:spacing w:val="-4"/>
        </w:rPr>
        <w:t>24</w:t>
      </w:r>
      <w:r>
        <w:rPr>
          <w:color w:val="231F20"/>
          <w:spacing w:val="-10"/>
        </w:rPr>
        <w:t> </w:t>
      </w:r>
      <w:r>
        <w:rPr>
          <w:color w:val="231F20"/>
          <w:spacing w:val="-4"/>
        </w:rPr>
        <w:t>peut</w:t>
      </w:r>
      <w:r>
        <w:rPr>
          <w:color w:val="231F20"/>
          <w:spacing w:val="-8"/>
        </w:rPr>
        <w:t> </w:t>
      </w:r>
      <w:r>
        <w:rPr>
          <w:color w:val="231F20"/>
          <w:spacing w:val="-4"/>
        </w:rPr>
        <w:t>trouver</w:t>
      </w:r>
      <w:r>
        <w:rPr>
          <w:color w:val="231F20"/>
          <w:spacing w:val="-10"/>
        </w:rPr>
        <w:t> </w:t>
      </w:r>
      <w:r>
        <w:rPr>
          <w:color w:val="231F20"/>
          <w:spacing w:val="-4"/>
        </w:rPr>
        <w:t>place</w:t>
      </w:r>
      <w:r>
        <w:rPr>
          <w:color w:val="231F20"/>
          <w:spacing w:val="-10"/>
        </w:rPr>
        <w:t> </w:t>
      </w:r>
      <w:r>
        <w:rPr>
          <w:color w:val="231F20"/>
          <w:spacing w:val="-4"/>
        </w:rPr>
        <w:t>à</w:t>
      </w:r>
      <w:r>
        <w:rPr>
          <w:color w:val="231F20"/>
          <w:spacing w:val="-10"/>
        </w:rPr>
        <w:t> </w:t>
      </w:r>
      <w:r>
        <w:rPr>
          <w:color w:val="231F20"/>
          <w:spacing w:val="-4"/>
        </w:rPr>
        <w:t>l’école. </w:t>
      </w:r>
      <w:r>
        <w:rPr>
          <w:color w:val="231F20"/>
        </w:rPr>
        <w:t>Dans les trois lycées d’AOF, on ne compte que 172 Africains sur 723 élèves</w:t>
      </w:r>
      <w:r>
        <w:rPr>
          <w:color w:val="231F20"/>
          <w:spacing w:val="-6"/>
        </w:rPr>
        <w:t> </w:t>
      </w:r>
      <w:r>
        <w:rPr>
          <w:color w:val="231F20"/>
        </w:rPr>
        <w:t>des</w:t>
      </w:r>
      <w:r>
        <w:rPr>
          <w:color w:val="231F20"/>
          <w:spacing w:val="-3"/>
        </w:rPr>
        <w:t> </w:t>
      </w:r>
      <w:r>
        <w:rPr>
          <w:color w:val="231F20"/>
        </w:rPr>
        <w:t>classes</w:t>
      </w:r>
      <w:r>
        <w:rPr>
          <w:color w:val="231F20"/>
          <w:spacing w:val="-4"/>
        </w:rPr>
        <w:t> </w:t>
      </w:r>
      <w:r>
        <w:rPr>
          <w:color w:val="231F20"/>
        </w:rPr>
        <w:t>secondaires</w:t>
      </w:r>
      <w:r>
        <w:rPr>
          <w:color w:val="231F20"/>
          <w:spacing w:val="-3"/>
        </w:rPr>
        <w:t> </w:t>
      </w:r>
      <w:r>
        <w:rPr>
          <w:color w:val="231F20"/>
        </w:rPr>
        <w:t>(…)</w:t>
      </w:r>
      <w:r>
        <w:rPr>
          <w:color w:val="231F20"/>
          <w:spacing w:val="-15"/>
        </w:rPr>
        <w:t> </w:t>
      </w:r>
      <w:r>
        <w:rPr>
          <w:color w:val="231F20"/>
        </w:rPr>
        <w:t>On</w:t>
      </w:r>
      <w:r>
        <w:rPr>
          <w:color w:val="231F20"/>
          <w:spacing w:val="-3"/>
        </w:rPr>
        <w:t> </w:t>
      </w:r>
      <w:r>
        <w:rPr>
          <w:color w:val="231F20"/>
        </w:rPr>
        <w:t>fait</w:t>
      </w:r>
      <w:r>
        <w:rPr>
          <w:color w:val="231F20"/>
          <w:spacing w:val="-3"/>
        </w:rPr>
        <w:t> </w:t>
      </w:r>
      <w:r>
        <w:rPr>
          <w:color w:val="231F20"/>
        </w:rPr>
        <w:t>de</w:t>
      </w:r>
      <w:r>
        <w:rPr>
          <w:color w:val="231F20"/>
          <w:spacing w:val="-6"/>
        </w:rPr>
        <w:t> </w:t>
      </w:r>
      <w:r>
        <w:rPr>
          <w:color w:val="231F20"/>
        </w:rPr>
        <w:t>l’inégalité</w:t>
      </w:r>
      <w:r>
        <w:rPr>
          <w:color w:val="231F20"/>
          <w:spacing w:val="-6"/>
        </w:rPr>
        <w:t> </w:t>
      </w:r>
      <w:r>
        <w:rPr>
          <w:color w:val="231F20"/>
        </w:rPr>
        <w:t>un</w:t>
      </w:r>
      <w:r>
        <w:rPr>
          <w:color w:val="231F20"/>
          <w:spacing w:val="-5"/>
        </w:rPr>
        <w:t> </w:t>
      </w:r>
      <w:r>
        <w:rPr>
          <w:color w:val="231F20"/>
        </w:rPr>
        <w:t>principe</w:t>
      </w:r>
      <w:r>
        <w:rPr>
          <w:color w:val="231F20"/>
          <w:spacing w:val="-6"/>
        </w:rPr>
        <w:t> </w:t>
      </w:r>
      <w:r>
        <w:rPr>
          <w:color w:val="231F20"/>
        </w:rPr>
        <w:t>de gouvernement</w:t>
      </w:r>
      <w:r>
        <w:rPr>
          <w:color w:val="231F20"/>
          <w:spacing w:val="-4"/>
        </w:rPr>
        <w:t> </w:t>
      </w:r>
      <w:r>
        <w:rPr>
          <w:color w:val="231F20"/>
        </w:rPr>
        <w:t>en</w:t>
      </w:r>
      <w:r>
        <w:rPr>
          <w:color w:val="231F20"/>
          <w:spacing w:val="-4"/>
        </w:rPr>
        <w:t> </w:t>
      </w:r>
      <w:r>
        <w:rPr>
          <w:color w:val="231F20"/>
        </w:rPr>
        <w:t>s’opposant</w:t>
      </w:r>
      <w:r>
        <w:rPr>
          <w:color w:val="231F20"/>
          <w:spacing w:val="-4"/>
        </w:rPr>
        <w:t> </w:t>
      </w:r>
      <w:r>
        <w:rPr>
          <w:color w:val="231F20"/>
        </w:rPr>
        <w:t>par</w:t>
      </w:r>
      <w:r>
        <w:rPr>
          <w:color w:val="231F20"/>
          <w:spacing w:val="-7"/>
        </w:rPr>
        <w:t> </w:t>
      </w:r>
      <w:r>
        <w:rPr>
          <w:color w:val="231F20"/>
        </w:rPr>
        <w:t>tous</w:t>
      </w:r>
      <w:r>
        <w:rPr>
          <w:color w:val="231F20"/>
          <w:spacing w:val="-6"/>
        </w:rPr>
        <w:t> </w:t>
      </w:r>
      <w:r>
        <w:rPr>
          <w:color w:val="231F20"/>
        </w:rPr>
        <w:t>les</w:t>
      </w:r>
      <w:r>
        <w:rPr>
          <w:color w:val="231F20"/>
          <w:spacing w:val="-6"/>
        </w:rPr>
        <w:t> </w:t>
      </w:r>
      <w:r>
        <w:rPr>
          <w:color w:val="231F20"/>
        </w:rPr>
        <w:t>moyens</w:t>
      </w:r>
      <w:r>
        <w:rPr>
          <w:color w:val="231F20"/>
          <w:spacing w:val="-6"/>
        </w:rPr>
        <w:t> </w:t>
      </w:r>
      <w:r>
        <w:rPr>
          <w:color w:val="231F20"/>
        </w:rPr>
        <w:t>possibles</w:t>
      </w:r>
      <w:r>
        <w:rPr>
          <w:color w:val="231F20"/>
          <w:spacing w:val="-6"/>
        </w:rPr>
        <w:t> </w:t>
      </w:r>
      <w:r>
        <w:rPr>
          <w:color w:val="231F20"/>
        </w:rPr>
        <w:t>à</w:t>
      </w:r>
      <w:r>
        <w:rPr>
          <w:color w:val="231F20"/>
          <w:spacing w:val="-5"/>
        </w:rPr>
        <w:t> </w:t>
      </w:r>
      <w:r>
        <w:rPr>
          <w:color w:val="231F20"/>
        </w:rPr>
        <w:t>ce</w:t>
      </w:r>
      <w:r>
        <w:rPr>
          <w:color w:val="231F20"/>
          <w:spacing w:val="-6"/>
        </w:rPr>
        <w:t> </w:t>
      </w:r>
      <w:r>
        <w:rPr>
          <w:color w:val="231F20"/>
        </w:rPr>
        <w:t>que</w:t>
      </w:r>
      <w:r>
        <w:rPr>
          <w:color w:val="231F20"/>
          <w:spacing w:val="-7"/>
        </w:rPr>
        <w:t> </w:t>
      </w:r>
      <w:r>
        <w:rPr>
          <w:color w:val="231F20"/>
        </w:rPr>
        <w:t>les autochtones aient des diplômes d’État et puissent, en conséquence, occuper</w:t>
      </w:r>
      <w:r>
        <w:rPr>
          <w:color w:val="231F20"/>
          <w:spacing w:val="-15"/>
        </w:rPr>
        <w:t> </w:t>
      </w:r>
      <w:r>
        <w:rPr>
          <w:color w:val="231F20"/>
        </w:rPr>
        <w:t>d’autres</w:t>
      </w:r>
      <w:r>
        <w:rPr>
          <w:color w:val="231F20"/>
          <w:spacing w:val="-15"/>
        </w:rPr>
        <w:t> </w:t>
      </w:r>
      <w:r>
        <w:rPr>
          <w:color w:val="231F20"/>
        </w:rPr>
        <w:t>fonctions</w:t>
      </w:r>
      <w:r>
        <w:rPr>
          <w:color w:val="231F20"/>
          <w:spacing w:val="-15"/>
        </w:rPr>
        <w:t> </w:t>
      </w:r>
      <w:r>
        <w:rPr>
          <w:color w:val="231F20"/>
        </w:rPr>
        <w:t>que</w:t>
      </w:r>
      <w:r>
        <w:rPr>
          <w:color w:val="231F20"/>
          <w:spacing w:val="-9"/>
        </w:rPr>
        <w:t> </w:t>
      </w:r>
      <w:r>
        <w:rPr>
          <w:color w:val="231F20"/>
        </w:rPr>
        <w:t>subalternes.</w:t>
      </w:r>
      <w:r>
        <w:rPr>
          <w:color w:val="231F20"/>
          <w:spacing w:val="-15"/>
        </w:rPr>
        <w:t> </w:t>
      </w:r>
      <w:r>
        <w:rPr>
          <w:color w:val="231F20"/>
        </w:rPr>
        <w:t>»</w:t>
      </w:r>
      <w:r>
        <w:rPr>
          <w:color w:val="76787A"/>
          <w:vertAlign w:val="superscript"/>
        </w:rPr>
        <w:t>275</w:t>
      </w:r>
      <w:r>
        <w:rPr>
          <w:color w:val="76787A"/>
          <w:spacing w:val="-15"/>
          <w:vertAlign w:val="baseline"/>
        </w:rPr>
        <w:t> </w:t>
      </w:r>
      <w:r>
        <w:rPr>
          <w:color w:val="231F20"/>
          <w:vertAlign w:val="baseline"/>
        </w:rPr>
        <w:t>Dans</w:t>
      </w:r>
      <w:r>
        <w:rPr>
          <w:color w:val="231F20"/>
          <w:spacing w:val="-10"/>
          <w:vertAlign w:val="baseline"/>
        </w:rPr>
        <w:t> </w:t>
      </w:r>
      <w:r>
        <w:rPr>
          <w:color w:val="231F20"/>
          <w:vertAlign w:val="baseline"/>
        </w:rPr>
        <w:t>d’autres</w:t>
      </w:r>
      <w:r>
        <w:rPr>
          <w:color w:val="231F20"/>
          <w:spacing w:val="-10"/>
          <w:vertAlign w:val="baseline"/>
        </w:rPr>
        <w:t> </w:t>
      </w:r>
      <w:r>
        <w:rPr>
          <w:color w:val="231F20"/>
          <w:vertAlign w:val="baseline"/>
        </w:rPr>
        <w:t>colonies, l’enseignement est exclusivement réservée à une ethnie au détriment d’une</w:t>
      </w:r>
      <w:r>
        <w:rPr>
          <w:color w:val="231F20"/>
          <w:spacing w:val="-1"/>
          <w:vertAlign w:val="baseline"/>
        </w:rPr>
        <w:t> </w:t>
      </w:r>
      <w:r>
        <w:rPr>
          <w:color w:val="231F20"/>
          <w:vertAlign w:val="baseline"/>
        </w:rPr>
        <w:t>autre</w:t>
      </w:r>
      <w:r>
        <w:rPr>
          <w:color w:val="231F20"/>
          <w:spacing w:val="-1"/>
          <w:vertAlign w:val="baseline"/>
        </w:rPr>
        <w:t> </w:t>
      </w:r>
      <w:r>
        <w:rPr>
          <w:color w:val="231F20"/>
          <w:vertAlign w:val="baseline"/>
        </w:rPr>
        <w:t>comme</w:t>
      </w:r>
      <w:r>
        <w:rPr>
          <w:color w:val="231F20"/>
          <w:spacing w:val="-3"/>
          <w:vertAlign w:val="baseline"/>
        </w:rPr>
        <w:t> </w:t>
      </w:r>
      <w:r>
        <w:rPr>
          <w:color w:val="231F20"/>
          <w:vertAlign w:val="baseline"/>
        </w:rPr>
        <w:t>au</w:t>
      </w:r>
      <w:r>
        <w:rPr>
          <w:color w:val="231F20"/>
          <w:spacing w:val="-3"/>
          <w:vertAlign w:val="baseline"/>
        </w:rPr>
        <w:t> </w:t>
      </w:r>
      <w:r>
        <w:rPr>
          <w:color w:val="231F20"/>
          <w:vertAlign w:val="baseline"/>
        </w:rPr>
        <w:t>Burundi</w:t>
      </w:r>
      <w:r>
        <w:rPr>
          <w:color w:val="231F20"/>
          <w:spacing w:val="-3"/>
          <w:vertAlign w:val="baseline"/>
        </w:rPr>
        <w:t> </w:t>
      </w:r>
      <w:r>
        <w:rPr>
          <w:color w:val="231F20"/>
          <w:vertAlign w:val="baseline"/>
        </w:rPr>
        <w:t>et</w:t>
      </w:r>
      <w:r>
        <w:rPr>
          <w:color w:val="231F20"/>
          <w:spacing w:val="-3"/>
          <w:vertAlign w:val="baseline"/>
        </w:rPr>
        <w:t> </w:t>
      </w:r>
      <w:r>
        <w:rPr>
          <w:color w:val="231F20"/>
          <w:vertAlign w:val="baseline"/>
        </w:rPr>
        <w:t>au</w:t>
      </w:r>
      <w:r>
        <w:rPr>
          <w:color w:val="231F20"/>
          <w:spacing w:val="-3"/>
          <w:vertAlign w:val="baseline"/>
        </w:rPr>
        <w:t> </w:t>
      </w:r>
      <w:r>
        <w:rPr>
          <w:color w:val="231F20"/>
          <w:vertAlign w:val="baseline"/>
        </w:rPr>
        <w:t>Rwanda</w:t>
      </w:r>
      <w:r>
        <w:rPr>
          <w:color w:val="231F20"/>
          <w:spacing w:val="-3"/>
          <w:vertAlign w:val="baseline"/>
        </w:rPr>
        <w:t> </w:t>
      </w:r>
      <w:r>
        <w:rPr>
          <w:color w:val="231F20"/>
          <w:vertAlign w:val="baseline"/>
        </w:rPr>
        <w:t>(sélection</w:t>
      </w:r>
      <w:r>
        <w:rPr>
          <w:color w:val="231F20"/>
          <w:spacing w:val="-3"/>
          <w:vertAlign w:val="baseline"/>
        </w:rPr>
        <w:t> </w:t>
      </w:r>
      <w:r>
        <w:rPr>
          <w:color w:val="231F20"/>
          <w:vertAlign w:val="baseline"/>
        </w:rPr>
        <w:t>selon</w:t>
      </w:r>
      <w:r>
        <w:rPr>
          <w:color w:val="231F20"/>
          <w:spacing w:val="-3"/>
          <w:vertAlign w:val="baseline"/>
        </w:rPr>
        <w:t> </w:t>
      </w:r>
      <w:r>
        <w:rPr>
          <w:color w:val="231F20"/>
          <w:vertAlign w:val="baseline"/>
        </w:rPr>
        <w:t>l’origine </w:t>
      </w:r>
      <w:r>
        <w:rPr>
          <w:color w:val="231F20"/>
          <w:spacing w:val="-2"/>
          <w:vertAlign w:val="baseline"/>
        </w:rPr>
        <w:t>tribale)</w:t>
      </w:r>
      <w:r>
        <w:rPr>
          <w:color w:val="231F20"/>
          <w:spacing w:val="-15"/>
          <w:vertAlign w:val="baseline"/>
        </w:rPr>
        <w:t> </w:t>
      </w:r>
      <w:r>
        <w:rPr>
          <w:color w:val="231F20"/>
          <w:spacing w:val="-2"/>
          <w:vertAlign w:val="baseline"/>
        </w:rPr>
        <w:t>ou</w:t>
      </w:r>
      <w:r>
        <w:rPr>
          <w:color w:val="231F20"/>
          <w:spacing w:val="-13"/>
          <w:vertAlign w:val="baseline"/>
        </w:rPr>
        <w:t> </w:t>
      </w:r>
      <w:r>
        <w:rPr>
          <w:color w:val="231F20"/>
          <w:spacing w:val="-2"/>
          <w:vertAlign w:val="baseline"/>
        </w:rPr>
        <w:t>une</w:t>
      </w:r>
      <w:r>
        <w:rPr>
          <w:color w:val="231F20"/>
          <w:spacing w:val="-13"/>
          <w:vertAlign w:val="baseline"/>
        </w:rPr>
        <w:t> </w:t>
      </w:r>
      <w:r>
        <w:rPr>
          <w:color w:val="231F20"/>
          <w:spacing w:val="-2"/>
          <w:vertAlign w:val="baseline"/>
        </w:rPr>
        <w:t>région</w:t>
      </w:r>
      <w:r>
        <w:rPr>
          <w:color w:val="231F20"/>
          <w:spacing w:val="-13"/>
          <w:vertAlign w:val="baseline"/>
        </w:rPr>
        <w:t> </w:t>
      </w:r>
      <w:r>
        <w:rPr>
          <w:color w:val="231F20"/>
          <w:spacing w:val="-2"/>
          <w:vertAlign w:val="baseline"/>
        </w:rPr>
        <w:t>par</w:t>
      </w:r>
      <w:r>
        <w:rPr>
          <w:color w:val="231F20"/>
          <w:spacing w:val="-13"/>
          <w:vertAlign w:val="baseline"/>
        </w:rPr>
        <w:t> </w:t>
      </w:r>
      <w:r>
        <w:rPr>
          <w:color w:val="231F20"/>
          <w:spacing w:val="-2"/>
          <w:vertAlign w:val="baseline"/>
        </w:rPr>
        <w:t>rapport</w:t>
      </w:r>
      <w:r>
        <w:rPr>
          <w:color w:val="231F20"/>
          <w:spacing w:val="-13"/>
          <w:vertAlign w:val="baseline"/>
        </w:rPr>
        <w:t> </w:t>
      </w:r>
      <w:r>
        <w:rPr>
          <w:color w:val="231F20"/>
          <w:spacing w:val="-2"/>
          <w:vertAlign w:val="baseline"/>
        </w:rPr>
        <w:t>à</w:t>
      </w:r>
      <w:r>
        <w:rPr>
          <w:color w:val="231F20"/>
          <w:spacing w:val="-13"/>
          <w:vertAlign w:val="baseline"/>
        </w:rPr>
        <w:t> </w:t>
      </w:r>
      <w:r>
        <w:rPr>
          <w:color w:val="231F20"/>
          <w:spacing w:val="-2"/>
          <w:vertAlign w:val="baseline"/>
        </w:rPr>
        <w:t>une</w:t>
      </w:r>
      <w:r>
        <w:rPr>
          <w:color w:val="231F20"/>
          <w:spacing w:val="-13"/>
          <w:vertAlign w:val="baseline"/>
        </w:rPr>
        <w:t> </w:t>
      </w:r>
      <w:r>
        <w:rPr>
          <w:color w:val="231F20"/>
          <w:spacing w:val="-2"/>
          <w:vertAlign w:val="baseline"/>
        </w:rPr>
        <w:t>autre</w:t>
      </w:r>
      <w:r>
        <w:rPr>
          <w:color w:val="231F20"/>
          <w:spacing w:val="-13"/>
          <w:vertAlign w:val="baseline"/>
        </w:rPr>
        <w:t> </w:t>
      </w:r>
      <w:r>
        <w:rPr>
          <w:color w:val="231F20"/>
          <w:spacing w:val="-2"/>
          <w:vertAlign w:val="baseline"/>
        </w:rPr>
        <w:t>(Tchad,</w:t>
      </w:r>
      <w:r>
        <w:rPr>
          <w:color w:val="231F20"/>
          <w:spacing w:val="-13"/>
          <w:vertAlign w:val="baseline"/>
        </w:rPr>
        <w:t> </w:t>
      </w:r>
      <w:r>
        <w:rPr>
          <w:color w:val="231F20"/>
          <w:spacing w:val="-2"/>
          <w:vertAlign w:val="baseline"/>
        </w:rPr>
        <w:t>Mal)…</w:t>
      </w:r>
      <w:r>
        <w:rPr>
          <w:color w:val="231F20"/>
          <w:spacing w:val="-13"/>
          <w:vertAlign w:val="baseline"/>
        </w:rPr>
        <w:t> </w:t>
      </w:r>
      <w:r>
        <w:rPr>
          <w:color w:val="231F20"/>
          <w:spacing w:val="-2"/>
          <w:vertAlign w:val="baseline"/>
        </w:rPr>
        <w:t>Dans</w:t>
      </w:r>
      <w:r>
        <w:rPr>
          <w:color w:val="231F20"/>
          <w:spacing w:val="-13"/>
          <w:vertAlign w:val="baseline"/>
        </w:rPr>
        <w:t> </w:t>
      </w:r>
      <w:r>
        <w:rPr>
          <w:color w:val="231F20"/>
          <w:spacing w:val="-2"/>
          <w:vertAlign w:val="baseline"/>
        </w:rPr>
        <w:t>toutes </w:t>
      </w:r>
      <w:r>
        <w:rPr>
          <w:color w:val="231F20"/>
          <w:vertAlign w:val="baseline"/>
        </w:rPr>
        <w:t>les colonies, l’enseignement a nié les réalités locales et déprécié les cultures</w:t>
      </w:r>
      <w:r>
        <w:rPr>
          <w:color w:val="231F20"/>
          <w:spacing w:val="-6"/>
          <w:vertAlign w:val="baseline"/>
        </w:rPr>
        <w:t> </w:t>
      </w:r>
      <w:r>
        <w:rPr>
          <w:color w:val="231F20"/>
          <w:vertAlign w:val="baseline"/>
        </w:rPr>
        <w:t>existantes,</w:t>
      </w:r>
      <w:r>
        <w:rPr>
          <w:color w:val="231F20"/>
          <w:spacing w:val="-6"/>
          <w:vertAlign w:val="baseline"/>
        </w:rPr>
        <w:t> </w:t>
      </w:r>
      <w:r>
        <w:rPr>
          <w:color w:val="231F20"/>
          <w:vertAlign w:val="baseline"/>
        </w:rPr>
        <w:t>imposée</w:t>
      </w:r>
      <w:r>
        <w:rPr>
          <w:color w:val="231F20"/>
          <w:spacing w:val="-5"/>
          <w:vertAlign w:val="baseline"/>
        </w:rPr>
        <w:t> </w:t>
      </w:r>
      <w:r>
        <w:rPr>
          <w:color w:val="231F20"/>
          <w:vertAlign w:val="baseline"/>
        </w:rPr>
        <w:t>une</w:t>
      </w:r>
      <w:r>
        <w:rPr>
          <w:color w:val="231F20"/>
          <w:spacing w:val="-2"/>
          <w:vertAlign w:val="baseline"/>
        </w:rPr>
        <w:t> </w:t>
      </w:r>
      <w:r>
        <w:rPr>
          <w:color w:val="231F20"/>
          <w:vertAlign w:val="baseline"/>
        </w:rPr>
        <w:t>religion</w:t>
      </w:r>
      <w:r>
        <w:rPr>
          <w:color w:val="231F20"/>
          <w:spacing w:val="-3"/>
          <w:vertAlign w:val="baseline"/>
        </w:rPr>
        <w:t> </w:t>
      </w:r>
      <w:r>
        <w:rPr>
          <w:color w:val="231F20"/>
          <w:vertAlign w:val="baseline"/>
        </w:rPr>
        <w:t>et</w:t>
      </w:r>
      <w:r>
        <w:rPr>
          <w:color w:val="231F20"/>
          <w:spacing w:val="-6"/>
          <w:vertAlign w:val="baseline"/>
        </w:rPr>
        <w:t> </w:t>
      </w:r>
      <w:r>
        <w:rPr>
          <w:color w:val="231F20"/>
          <w:vertAlign w:val="baseline"/>
        </w:rPr>
        <w:t>une</w:t>
      </w:r>
      <w:r>
        <w:rPr>
          <w:color w:val="231F20"/>
          <w:spacing w:val="-2"/>
          <w:vertAlign w:val="baseline"/>
        </w:rPr>
        <w:t> </w:t>
      </w:r>
      <w:r>
        <w:rPr>
          <w:color w:val="231F20"/>
          <w:vertAlign w:val="baseline"/>
        </w:rPr>
        <w:t>langue.</w:t>
      </w:r>
    </w:p>
    <w:p>
      <w:pPr>
        <w:pStyle w:val="BodyText"/>
        <w:spacing w:before="121"/>
        <w:ind w:right="111" w:firstLine="283"/>
      </w:pPr>
      <w:r>
        <w:rPr>
          <w:color w:val="231F20"/>
        </w:rPr>
        <w:t>Plus de six décennies après les indépendances, comme dans maints domaines, l’éducation pour tous en Afrique francophone demeure au stade de slogan.</w:t>
      </w:r>
    </w:p>
    <w:p>
      <w:pPr>
        <w:pStyle w:val="BodyText"/>
        <w:spacing w:before="120"/>
        <w:ind w:right="103" w:firstLine="283"/>
      </w:pPr>
      <w:r>
        <w:rPr>
          <w:color w:val="231F20"/>
        </w:rPr>
        <w:t>Il existe toujours de nombreux facteurs entraînant un inégal accès à </w:t>
      </w:r>
      <w:r>
        <w:rPr>
          <w:color w:val="231F20"/>
          <w:spacing w:val="-4"/>
        </w:rPr>
        <w:t>l’éducation en</w:t>
      </w:r>
      <w:r>
        <w:rPr>
          <w:color w:val="231F20"/>
          <w:spacing w:val="-5"/>
        </w:rPr>
        <w:t> </w:t>
      </w:r>
      <w:r>
        <w:rPr>
          <w:color w:val="231F20"/>
          <w:spacing w:val="-4"/>
        </w:rPr>
        <w:t>Afrique francophone</w:t>
      </w:r>
      <w:r>
        <w:rPr>
          <w:color w:val="231F20"/>
          <w:spacing w:val="-6"/>
        </w:rPr>
        <w:t> </w:t>
      </w:r>
      <w:r>
        <w:rPr>
          <w:color w:val="231F20"/>
          <w:spacing w:val="-4"/>
        </w:rPr>
        <w:t>: conditions</w:t>
      </w:r>
      <w:r>
        <w:rPr>
          <w:color w:val="231F20"/>
          <w:spacing w:val="-5"/>
        </w:rPr>
        <w:t> </w:t>
      </w:r>
      <w:r>
        <w:rPr>
          <w:color w:val="231F20"/>
          <w:spacing w:val="-4"/>
        </w:rPr>
        <w:t>socio-économiques de</w:t>
      </w:r>
      <w:r>
        <w:rPr>
          <w:color w:val="231F20"/>
          <w:spacing w:val="-6"/>
        </w:rPr>
        <w:t> </w:t>
      </w:r>
      <w:r>
        <w:rPr>
          <w:color w:val="231F20"/>
          <w:spacing w:val="-4"/>
        </w:rPr>
        <w:t>la </w:t>
      </w:r>
      <w:r>
        <w:rPr>
          <w:color w:val="231F20"/>
        </w:rPr>
        <w:t>famille, langue, lieu de résidence, équité entre garçon et fille, nombre insuffisant de classes, manque d’écoles primaires dans la plupart des </w:t>
      </w:r>
      <w:r>
        <w:rPr>
          <w:color w:val="231F20"/>
          <w:spacing w:val="-2"/>
        </w:rPr>
        <w:t>villages.</w:t>
      </w:r>
    </w:p>
    <w:p>
      <w:pPr>
        <w:pStyle w:val="BodyText"/>
        <w:spacing w:before="120"/>
        <w:ind w:right="102" w:firstLine="283"/>
      </w:pPr>
      <w:r>
        <w:rPr>
          <w:color w:val="231F20"/>
          <w:spacing w:val="-4"/>
        </w:rPr>
        <w:t>Les</w:t>
      </w:r>
      <w:r>
        <w:rPr>
          <w:color w:val="231F20"/>
          <w:spacing w:val="-11"/>
        </w:rPr>
        <w:t> </w:t>
      </w:r>
      <w:r>
        <w:rPr>
          <w:color w:val="231F20"/>
          <w:spacing w:val="-4"/>
        </w:rPr>
        <w:t>transports</w:t>
      </w:r>
      <w:r>
        <w:rPr>
          <w:color w:val="231F20"/>
          <w:spacing w:val="-11"/>
        </w:rPr>
        <w:t> </w:t>
      </w:r>
      <w:r>
        <w:rPr>
          <w:color w:val="231F20"/>
          <w:spacing w:val="-4"/>
        </w:rPr>
        <w:t>en</w:t>
      </w:r>
      <w:r>
        <w:rPr>
          <w:color w:val="231F20"/>
          <w:spacing w:val="-11"/>
        </w:rPr>
        <w:t> </w:t>
      </w:r>
      <w:r>
        <w:rPr>
          <w:color w:val="231F20"/>
          <w:spacing w:val="-4"/>
        </w:rPr>
        <w:t>commun</w:t>
      </w:r>
      <w:r>
        <w:rPr>
          <w:color w:val="231F20"/>
          <w:spacing w:val="-11"/>
        </w:rPr>
        <w:t> </w:t>
      </w:r>
      <w:r>
        <w:rPr>
          <w:color w:val="231F20"/>
          <w:spacing w:val="-4"/>
        </w:rPr>
        <w:t>sont</w:t>
      </w:r>
      <w:r>
        <w:rPr>
          <w:color w:val="231F20"/>
          <w:spacing w:val="-9"/>
        </w:rPr>
        <w:t> </w:t>
      </w:r>
      <w:r>
        <w:rPr>
          <w:color w:val="231F20"/>
          <w:spacing w:val="-4"/>
        </w:rPr>
        <w:t>rares</w:t>
      </w:r>
      <w:r>
        <w:rPr>
          <w:color w:val="231F20"/>
          <w:spacing w:val="-10"/>
        </w:rPr>
        <w:t> </w:t>
      </w:r>
      <w:r>
        <w:rPr>
          <w:color w:val="231F20"/>
          <w:spacing w:val="-4"/>
        </w:rPr>
        <w:t>et</w:t>
      </w:r>
      <w:r>
        <w:rPr>
          <w:color w:val="231F20"/>
          <w:spacing w:val="-8"/>
        </w:rPr>
        <w:t> </w:t>
      </w:r>
      <w:r>
        <w:rPr>
          <w:color w:val="231F20"/>
          <w:spacing w:val="-4"/>
        </w:rPr>
        <w:t>où</w:t>
      </w:r>
      <w:r>
        <w:rPr>
          <w:color w:val="231F20"/>
          <w:spacing w:val="-11"/>
        </w:rPr>
        <w:t> </w:t>
      </w:r>
      <w:r>
        <w:rPr>
          <w:color w:val="231F20"/>
          <w:spacing w:val="-4"/>
        </w:rPr>
        <w:t>il</w:t>
      </w:r>
      <w:r>
        <w:rPr>
          <w:color w:val="231F20"/>
          <w:spacing w:val="-8"/>
        </w:rPr>
        <w:t> </w:t>
      </w:r>
      <w:r>
        <w:rPr>
          <w:color w:val="231F20"/>
          <w:spacing w:val="-4"/>
        </w:rPr>
        <w:t>en</w:t>
      </w:r>
      <w:r>
        <w:rPr>
          <w:color w:val="231F20"/>
          <w:spacing w:val="-11"/>
        </w:rPr>
        <w:t> </w:t>
      </w:r>
      <w:r>
        <w:rPr>
          <w:color w:val="231F20"/>
          <w:spacing w:val="-4"/>
        </w:rPr>
        <w:t>existe,</w:t>
      </w:r>
      <w:r>
        <w:rPr>
          <w:color w:val="231F20"/>
          <w:spacing w:val="-10"/>
        </w:rPr>
        <w:t> </w:t>
      </w:r>
      <w:r>
        <w:rPr>
          <w:color w:val="231F20"/>
          <w:spacing w:val="-4"/>
        </w:rPr>
        <w:t>les</w:t>
      </w:r>
      <w:r>
        <w:rPr>
          <w:color w:val="231F20"/>
          <w:spacing w:val="-11"/>
        </w:rPr>
        <w:t> </w:t>
      </w:r>
      <w:r>
        <w:rPr>
          <w:color w:val="231F20"/>
          <w:spacing w:val="-4"/>
        </w:rPr>
        <w:t>parents</w:t>
      </w:r>
      <w:r>
        <w:rPr>
          <w:color w:val="231F20"/>
          <w:spacing w:val="-11"/>
        </w:rPr>
        <w:t> </w:t>
      </w:r>
      <w:r>
        <w:rPr>
          <w:color w:val="231F20"/>
          <w:spacing w:val="-4"/>
        </w:rPr>
        <w:t>n’ont </w:t>
      </w:r>
      <w:r>
        <w:rPr>
          <w:color w:val="231F20"/>
        </w:rPr>
        <w:t>pas les moyens financiers pour</w:t>
      </w:r>
      <w:r>
        <w:rPr>
          <w:color w:val="231F20"/>
          <w:spacing w:val="-1"/>
        </w:rPr>
        <w:t> </w:t>
      </w:r>
      <w:r>
        <w:rPr>
          <w:color w:val="231F20"/>
        </w:rPr>
        <w:t>le</w:t>
      </w:r>
      <w:r>
        <w:rPr>
          <w:color w:val="231F20"/>
          <w:spacing w:val="-2"/>
        </w:rPr>
        <w:t> </w:t>
      </w:r>
      <w:r>
        <w:rPr>
          <w:color w:val="231F20"/>
        </w:rPr>
        <w:t>titre</w:t>
      </w:r>
      <w:r>
        <w:rPr>
          <w:color w:val="231F20"/>
          <w:spacing w:val="-1"/>
        </w:rPr>
        <w:t> </w:t>
      </w:r>
      <w:r>
        <w:rPr>
          <w:color w:val="231F20"/>
        </w:rPr>
        <w:t>de</w:t>
      </w:r>
      <w:r>
        <w:rPr>
          <w:color w:val="231F20"/>
          <w:spacing w:val="-1"/>
        </w:rPr>
        <w:t> </w:t>
      </w:r>
      <w:r>
        <w:rPr>
          <w:color w:val="231F20"/>
        </w:rPr>
        <w:t>transport de</w:t>
      </w:r>
      <w:r>
        <w:rPr>
          <w:color w:val="231F20"/>
          <w:spacing w:val="-1"/>
        </w:rPr>
        <w:t> </w:t>
      </w:r>
      <w:r>
        <w:rPr>
          <w:color w:val="231F20"/>
        </w:rPr>
        <w:t>leurs enfants qui sont</w:t>
      </w:r>
      <w:r>
        <w:rPr>
          <w:color w:val="231F20"/>
          <w:spacing w:val="-15"/>
        </w:rPr>
        <w:t> </w:t>
      </w:r>
      <w:r>
        <w:rPr>
          <w:color w:val="231F20"/>
        </w:rPr>
        <w:t>obligés</w:t>
      </w:r>
      <w:r>
        <w:rPr>
          <w:color w:val="231F20"/>
          <w:spacing w:val="-15"/>
        </w:rPr>
        <w:t> </w:t>
      </w:r>
      <w:r>
        <w:rPr>
          <w:color w:val="231F20"/>
        </w:rPr>
        <w:t>de</w:t>
      </w:r>
      <w:r>
        <w:rPr>
          <w:color w:val="231F20"/>
          <w:spacing w:val="-15"/>
        </w:rPr>
        <w:t> </w:t>
      </w:r>
      <w:r>
        <w:rPr>
          <w:color w:val="231F20"/>
        </w:rPr>
        <w:t>parcourir</w:t>
      </w:r>
      <w:r>
        <w:rPr>
          <w:color w:val="231F20"/>
          <w:spacing w:val="-15"/>
        </w:rPr>
        <w:t> </w:t>
      </w:r>
      <w:r>
        <w:rPr>
          <w:color w:val="231F20"/>
        </w:rPr>
        <w:t>sous</w:t>
      </w:r>
      <w:r>
        <w:rPr>
          <w:color w:val="231F20"/>
          <w:spacing w:val="-15"/>
        </w:rPr>
        <w:t> </w:t>
      </w:r>
      <w:r>
        <w:rPr>
          <w:color w:val="231F20"/>
        </w:rPr>
        <w:t>le</w:t>
      </w:r>
      <w:r>
        <w:rPr>
          <w:color w:val="231F20"/>
          <w:spacing w:val="-15"/>
        </w:rPr>
        <w:t> </w:t>
      </w:r>
      <w:r>
        <w:rPr>
          <w:color w:val="231F20"/>
        </w:rPr>
        <w:t>soleil</w:t>
      </w:r>
      <w:r>
        <w:rPr>
          <w:color w:val="231F20"/>
          <w:spacing w:val="-15"/>
        </w:rPr>
        <w:t> </w:t>
      </w:r>
      <w:r>
        <w:rPr>
          <w:color w:val="231F20"/>
        </w:rPr>
        <w:t>ou</w:t>
      </w:r>
      <w:r>
        <w:rPr>
          <w:color w:val="231F20"/>
          <w:spacing w:val="-15"/>
        </w:rPr>
        <w:t> </w:t>
      </w:r>
      <w:r>
        <w:rPr>
          <w:color w:val="231F20"/>
        </w:rPr>
        <w:t>la</w:t>
      </w:r>
      <w:r>
        <w:rPr>
          <w:color w:val="231F20"/>
          <w:spacing w:val="-15"/>
        </w:rPr>
        <w:t> </w:t>
      </w:r>
      <w:r>
        <w:rPr>
          <w:color w:val="231F20"/>
        </w:rPr>
        <w:t>pluie,</w:t>
      </w:r>
      <w:r>
        <w:rPr>
          <w:color w:val="231F20"/>
          <w:spacing w:val="-15"/>
        </w:rPr>
        <w:t> </w:t>
      </w:r>
      <w:r>
        <w:rPr>
          <w:color w:val="231F20"/>
        </w:rPr>
        <w:t>plusieurs</w:t>
      </w:r>
      <w:r>
        <w:rPr>
          <w:color w:val="231F20"/>
          <w:spacing w:val="-15"/>
        </w:rPr>
        <w:t> </w:t>
      </w:r>
      <w:r>
        <w:rPr>
          <w:color w:val="231F20"/>
        </w:rPr>
        <w:t>kilomètres</w:t>
      </w:r>
      <w:r>
        <w:rPr>
          <w:color w:val="231F20"/>
          <w:spacing w:val="-15"/>
        </w:rPr>
        <w:t> </w:t>
      </w:r>
      <w:r>
        <w:rPr>
          <w:color w:val="231F20"/>
        </w:rPr>
        <w:t>à pied pour de rendre aux lieux du savoir.</w:t>
      </w:r>
    </w:p>
    <w:p>
      <w:pPr>
        <w:pStyle w:val="BodyText"/>
        <w:spacing w:before="121"/>
        <w:ind w:right="105" w:firstLine="283"/>
      </w:pPr>
      <w:r>
        <w:rPr>
          <w:color w:val="231F20"/>
          <w:spacing w:val="-2"/>
        </w:rPr>
        <w:t>Au</w:t>
      </w:r>
      <w:r>
        <w:rPr>
          <w:color w:val="231F20"/>
          <w:spacing w:val="-13"/>
        </w:rPr>
        <w:t> </w:t>
      </w:r>
      <w:r>
        <w:rPr>
          <w:color w:val="231F20"/>
          <w:spacing w:val="-2"/>
        </w:rPr>
        <w:t>retour</w:t>
      </w:r>
      <w:r>
        <w:rPr>
          <w:color w:val="231F20"/>
          <w:spacing w:val="-13"/>
        </w:rPr>
        <w:t> </w:t>
      </w:r>
      <w:r>
        <w:rPr>
          <w:color w:val="231F20"/>
          <w:spacing w:val="-2"/>
        </w:rPr>
        <w:t>de</w:t>
      </w:r>
      <w:r>
        <w:rPr>
          <w:color w:val="231F20"/>
          <w:spacing w:val="-13"/>
        </w:rPr>
        <w:t> </w:t>
      </w:r>
      <w:r>
        <w:rPr>
          <w:color w:val="231F20"/>
          <w:spacing w:val="-2"/>
        </w:rPr>
        <w:t>l’école,</w:t>
      </w:r>
      <w:r>
        <w:rPr>
          <w:color w:val="231F20"/>
          <w:spacing w:val="-13"/>
        </w:rPr>
        <w:t> </w:t>
      </w:r>
      <w:r>
        <w:rPr>
          <w:color w:val="231F20"/>
          <w:spacing w:val="-2"/>
        </w:rPr>
        <w:t>les</w:t>
      </w:r>
      <w:r>
        <w:rPr>
          <w:color w:val="231F20"/>
          <w:spacing w:val="-13"/>
        </w:rPr>
        <w:t> </w:t>
      </w:r>
      <w:r>
        <w:rPr>
          <w:color w:val="231F20"/>
          <w:spacing w:val="-2"/>
        </w:rPr>
        <w:t>enfants</w:t>
      </w:r>
      <w:r>
        <w:rPr>
          <w:color w:val="231F20"/>
          <w:spacing w:val="-13"/>
        </w:rPr>
        <w:t> </w:t>
      </w:r>
      <w:r>
        <w:rPr>
          <w:color w:val="231F20"/>
          <w:spacing w:val="-2"/>
        </w:rPr>
        <w:t>épuisés,</w:t>
      </w:r>
      <w:r>
        <w:rPr>
          <w:color w:val="231F20"/>
          <w:spacing w:val="-13"/>
        </w:rPr>
        <w:t> </w:t>
      </w:r>
      <w:r>
        <w:rPr>
          <w:color w:val="231F20"/>
          <w:spacing w:val="-2"/>
        </w:rPr>
        <w:t>n’ont</w:t>
      </w:r>
      <w:r>
        <w:rPr>
          <w:color w:val="231F20"/>
          <w:spacing w:val="-13"/>
        </w:rPr>
        <w:t> </w:t>
      </w:r>
      <w:r>
        <w:rPr>
          <w:color w:val="231F20"/>
          <w:spacing w:val="-2"/>
        </w:rPr>
        <w:t>ni</w:t>
      </w:r>
      <w:r>
        <w:rPr>
          <w:color w:val="231F20"/>
          <w:spacing w:val="-13"/>
        </w:rPr>
        <w:t> </w:t>
      </w:r>
      <w:r>
        <w:rPr>
          <w:color w:val="231F20"/>
          <w:spacing w:val="-2"/>
        </w:rPr>
        <w:t>la</w:t>
      </w:r>
      <w:r>
        <w:rPr>
          <w:color w:val="231F20"/>
          <w:spacing w:val="-13"/>
        </w:rPr>
        <w:t> </w:t>
      </w:r>
      <w:r>
        <w:rPr>
          <w:color w:val="231F20"/>
          <w:spacing w:val="-2"/>
        </w:rPr>
        <w:t>force,</w:t>
      </w:r>
      <w:r>
        <w:rPr>
          <w:color w:val="231F20"/>
          <w:spacing w:val="-13"/>
        </w:rPr>
        <w:t> </w:t>
      </w:r>
      <w:r>
        <w:rPr>
          <w:color w:val="231F20"/>
          <w:spacing w:val="-2"/>
        </w:rPr>
        <w:t>ni</w:t>
      </w:r>
      <w:r>
        <w:rPr>
          <w:color w:val="231F20"/>
          <w:spacing w:val="-13"/>
        </w:rPr>
        <w:t> </w:t>
      </w:r>
      <w:r>
        <w:rPr>
          <w:color w:val="231F20"/>
          <w:spacing w:val="-2"/>
        </w:rPr>
        <w:t>la</w:t>
      </w:r>
      <w:r>
        <w:rPr>
          <w:color w:val="231F20"/>
          <w:spacing w:val="-13"/>
        </w:rPr>
        <w:t> </w:t>
      </w:r>
      <w:r>
        <w:rPr>
          <w:color w:val="231F20"/>
          <w:spacing w:val="-2"/>
        </w:rPr>
        <w:t>volonté d’étudier</w:t>
      </w:r>
      <w:r>
        <w:rPr>
          <w:color w:val="231F20"/>
          <w:spacing w:val="-13"/>
        </w:rPr>
        <w:t> </w:t>
      </w:r>
      <w:r>
        <w:rPr>
          <w:color w:val="231F20"/>
          <w:spacing w:val="-2"/>
        </w:rPr>
        <w:t>les</w:t>
      </w:r>
      <w:r>
        <w:rPr>
          <w:color w:val="231F20"/>
          <w:spacing w:val="-13"/>
        </w:rPr>
        <w:t> </w:t>
      </w:r>
      <w:r>
        <w:rPr>
          <w:color w:val="231F20"/>
          <w:spacing w:val="-2"/>
        </w:rPr>
        <w:t>leçons</w:t>
      </w:r>
      <w:r>
        <w:rPr>
          <w:color w:val="231F20"/>
          <w:spacing w:val="-13"/>
        </w:rPr>
        <w:t> </w:t>
      </w:r>
      <w:r>
        <w:rPr>
          <w:color w:val="231F20"/>
          <w:spacing w:val="-2"/>
        </w:rPr>
        <w:t>ou</w:t>
      </w:r>
      <w:r>
        <w:rPr>
          <w:color w:val="231F20"/>
          <w:spacing w:val="-13"/>
        </w:rPr>
        <w:t> </w:t>
      </w:r>
      <w:r>
        <w:rPr>
          <w:color w:val="231F20"/>
          <w:spacing w:val="-2"/>
        </w:rPr>
        <w:t>faire</w:t>
      </w:r>
      <w:r>
        <w:rPr>
          <w:color w:val="231F20"/>
          <w:spacing w:val="-13"/>
        </w:rPr>
        <w:t> </w:t>
      </w:r>
      <w:r>
        <w:rPr>
          <w:color w:val="231F20"/>
          <w:spacing w:val="-2"/>
        </w:rPr>
        <w:t>les</w:t>
      </w:r>
      <w:r>
        <w:rPr>
          <w:color w:val="231F20"/>
          <w:spacing w:val="-13"/>
        </w:rPr>
        <w:t> </w:t>
      </w:r>
      <w:r>
        <w:rPr>
          <w:color w:val="231F20"/>
          <w:spacing w:val="-2"/>
        </w:rPr>
        <w:t>devoirs</w:t>
      </w:r>
      <w:r>
        <w:rPr>
          <w:color w:val="231F20"/>
          <w:spacing w:val="-13"/>
        </w:rPr>
        <w:t> </w:t>
      </w:r>
      <w:r>
        <w:rPr>
          <w:color w:val="231F20"/>
          <w:spacing w:val="-2"/>
        </w:rPr>
        <w:t>de</w:t>
      </w:r>
      <w:r>
        <w:rPr>
          <w:color w:val="231F20"/>
          <w:spacing w:val="-13"/>
        </w:rPr>
        <w:t> </w:t>
      </w:r>
      <w:r>
        <w:rPr>
          <w:color w:val="231F20"/>
          <w:spacing w:val="-2"/>
        </w:rPr>
        <w:t>maison.</w:t>
      </w:r>
      <w:r>
        <w:rPr>
          <w:color w:val="231F20"/>
          <w:spacing w:val="-13"/>
        </w:rPr>
        <w:t> </w:t>
      </w:r>
      <w:r>
        <w:rPr>
          <w:color w:val="231F20"/>
          <w:spacing w:val="-2"/>
        </w:rPr>
        <w:t>Sous</w:t>
      </w:r>
      <w:r>
        <w:rPr>
          <w:color w:val="231F20"/>
          <w:spacing w:val="-13"/>
        </w:rPr>
        <w:t> </w:t>
      </w:r>
      <w:r>
        <w:rPr>
          <w:color w:val="231F20"/>
          <w:spacing w:val="-2"/>
        </w:rPr>
        <w:t>l’éclairage</w:t>
      </w:r>
      <w:r>
        <w:rPr>
          <w:color w:val="231F20"/>
          <w:spacing w:val="-13"/>
        </w:rPr>
        <w:t> </w:t>
      </w:r>
      <w:r>
        <w:rPr>
          <w:color w:val="231F20"/>
          <w:spacing w:val="-2"/>
        </w:rPr>
        <w:t>d’une </w:t>
      </w:r>
      <w:r>
        <w:rPr>
          <w:color w:val="231F20"/>
        </w:rPr>
        <w:t>lampe</w:t>
      </w:r>
      <w:r>
        <w:rPr>
          <w:color w:val="231F20"/>
          <w:spacing w:val="-15"/>
        </w:rPr>
        <w:t> </w:t>
      </w:r>
      <w:r>
        <w:rPr>
          <w:color w:val="231F20"/>
        </w:rPr>
        <w:t>tempête,</w:t>
      </w:r>
      <w:r>
        <w:rPr>
          <w:color w:val="231F20"/>
          <w:spacing w:val="-15"/>
        </w:rPr>
        <w:t> </w:t>
      </w:r>
      <w:r>
        <w:rPr>
          <w:color w:val="231F20"/>
        </w:rPr>
        <w:t>encore</w:t>
      </w:r>
      <w:r>
        <w:rPr>
          <w:color w:val="231F20"/>
          <w:spacing w:val="-15"/>
        </w:rPr>
        <w:t> </w:t>
      </w:r>
      <w:r>
        <w:rPr>
          <w:color w:val="231F20"/>
        </w:rPr>
        <w:t>appelée</w:t>
      </w:r>
      <w:r>
        <w:rPr>
          <w:color w:val="231F20"/>
          <w:spacing w:val="-15"/>
        </w:rPr>
        <w:t> </w:t>
      </w:r>
      <w:r>
        <w:rPr>
          <w:color w:val="231F20"/>
        </w:rPr>
        <w:t>lampe</w:t>
      </w:r>
      <w:r>
        <w:rPr>
          <w:color w:val="231F20"/>
          <w:spacing w:val="-15"/>
        </w:rPr>
        <w:t> </w:t>
      </w:r>
      <w:r>
        <w:rPr>
          <w:color w:val="231F20"/>
        </w:rPr>
        <w:t>à</w:t>
      </w:r>
      <w:r>
        <w:rPr>
          <w:color w:val="231F20"/>
          <w:spacing w:val="-14"/>
        </w:rPr>
        <w:t> </w:t>
      </w:r>
      <w:r>
        <w:rPr>
          <w:color w:val="231F20"/>
        </w:rPr>
        <w:t>pétrole</w:t>
      </w:r>
      <w:r>
        <w:rPr>
          <w:color w:val="231F20"/>
          <w:spacing w:val="-15"/>
        </w:rPr>
        <w:t> </w:t>
      </w:r>
      <w:r>
        <w:rPr>
          <w:color w:val="231F20"/>
        </w:rPr>
        <w:t>:</w:t>
      </w:r>
      <w:r>
        <w:rPr>
          <w:color w:val="231F20"/>
          <w:spacing w:val="-14"/>
        </w:rPr>
        <w:t> </w:t>
      </w:r>
      <w:r>
        <w:rPr>
          <w:color w:val="231F20"/>
        </w:rPr>
        <w:t>il</w:t>
      </w:r>
      <w:r>
        <w:rPr>
          <w:color w:val="231F20"/>
          <w:spacing w:val="-15"/>
        </w:rPr>
        <w:t> </w:t>
      </w:r>
      <w:r>
        <w:rPr>
          <w:color w:val="231F20"/>
        </w:rPr>
        <w:t>n’y</w:t>
      </w:r>
      <w:r>
        <w:rPr>
          <w:color w:val="231F20"/>
          <w:spacing w:val="-14"/>
        </w:rPr>
        <w:t> </w:t>
      </w:r>
      <w:r>
        <w:rPr>
          <w:color w:val="231F20"/>
        </w:rPr>
        <w:t>a</w:t>
      </w:r>
      <w:r>
        <w:rPr>
          <w:color w:val="231F20"/>
          <w:spacing w:val="-15"/>
        </w:rPr>
        <w:t> </w:t>
      </w:r>
      <w:r>
        <w:rPr>
          <w:color w:val="231F20"/>
        </w:rPr>
        <w:t>pas</w:t>
      </w:r>
      <w:r>
        <w:rPr>
          <w:color w:val="231F20"/>
          <w:spacing w:val="-15"/>
        </w:rPr>
        <w:t> </w:t>
      </w:r>
      <w:r>
        <w:rPr>
          <w:color w:val="231F20"/>
        </w:rPr>
        <w:t>d’électricité dans</w:t>
      </w:r>
      <w:r>
        <w:rPr>
          <w:color w:val="231F20"/>
          <w:spacing w:val="-9"/>
        </w:rPr>
        <w:t> </w:t>
      </w:r>
      <w:r>
        <w:rPr>
          <w:color w:val="231F20"/>
        </w:rPr>
        <w:t>le</w:t>
      </w:r>
      <w:r>
        <w:rPr>
          <w:color w:val="231F20"/>
          <w:spacing w:val="-7"/>
        </w:rPr>
        <w:t> </w:t>
      </w:r>
      <w:r>
        <w:rPr>
          <w:color w:val="231F20"/>
        </w:rPr>
        <w:t>village.</w:t>
      </w:r>
      <w:r>
        <w:rPr>
          <w:color w:val="231F20"/>
          <w:spacing w:val="-8"/>
        </w:rPr>
        <w:t> </w:t>
      </w:r>
      <w:r>
        <w:rPr>
          <w:color w:val="231F20"/>
        </w:rPr>
        <w:t>Et,</w:t>
      </w:r>
      <w:r>
        <w:rPr>
          <w:color w:val="231F20"/>
          <w:spacing w:val="-9"/>
        </w:rPr>
        <w:t> </w:t>
      </w:r>
      <w:r>
        <w:rPr>
          <w:color w:val="231F20"/>
        </w:rPr>
        <w:t>même</w:t>
      </w:r>
      <w:r>
        <w:rPr>
          <w:color w:val="231F20"/>
          <w:spacing w:val="-10"/>
        </w:rPr>
        <w:t> </w:t>
      </w:r>
      <w:r>
        <w:rPr>
          <w:color w:val="231F20"/>
        </w:rPr>
        <w:t>si</w:t>
      </w:r>
      <w:r>
        <w:rPr>
          <w:color w:val="231F20"/>
          <w:spacing w:val="-8"/>
        </w:rPr>
        <w:t> </w:t>
      </w:r>
      <w:r>
        <w:rPr>
          <w:color w:val="231F20"/>
        </w:rPr>
        <w:t>l’école</w:t>
      </w:r>
      <w:r>
        <w:rPr>
          <w:color w:val="231F20"/>
          <w:spacing w:val="-7"/>
        </w:rPr>
        <w:t> </w:t>
      </w:r>
      <w:r>
        <w:rPr>
          <w:color w:val="231F20"/>
        </w:rPr>
        <w:t>se</w:t>
      </w:r>
      <w:r>
        <w:rPr>
          <w:color w:val="231F20"/>
          <w:spacing w:val="-10"/>
        </w:rPr>
        <w:t> </w:t>
      </w:r>
      <w:r>
        <w:rPr>
          <w:color w:val="231F20"/>
        </w:rPr>
        <w:t>trouve</w:t>
      </w:r>
      <w:r>
        <w:rPr>
          <w:color w:val="231F20"/>
          <w:spacing w:val="-7"/>
        </w:rPr>
        <w:t> </w:t>
      </w:r>
      <w:r>
        <w:rPr>
          <w:color w:val="231F20"/>
        </w:rPr>
        <w:t>dans</w:t>
      </w:r>
      <w:r>
        <w:rPr>
          <w:color w:val="231F20"/>
          <w:spacing w:val="-9"/>
        </w:rPr>
        <w:t> </w:t>
      </w:r>
      <w:r>
        <w:rPr>
          <w:color w:val="231F20"/>
        </w:rPr>
        <w:t>le</w:t>
      </w:r>
      <w:r>
        <w:rPr>
          <w:color w:val="231F20"/>
          <w:spacing w:val="-7"/>
        </w:rPr>
        <w:t> </w:t>
      </w:r>
      <w:r>
        <w:rPr>
          <w:color w:val="231F20"/>
        </w:rPr>
        <w:t>village,</w:t>
      </w:r>
      <w:r>
        <w:rPr>
          <w:color w:val="231F20"/>
          <w:spacing w:val="-10"/>
        </w:rPr>
        <w:t> </w:t>
      </w:r>
      <w:r>
        <w:rPr>
          <w:color w:val="231F20"/>
        </w:rPr>
        <w:t>les</w:t>
      </w:r>
      <w:r>
        <w:rPr>
          <w:color w:val="231F20"/>
          <w:spacing w:val="-7"/>
        </w:rPr>
        <w:t> </w:t>
      </w:r>
      <w:r>
        <w:rPr>
          <w:color w:val="231F20"/>
        </w:rPr>
        <w:t>enfants </w:t>
      </w:r>
      <w:r>
        <w:rPr>
          <w:color w:val="231F20"/>
          <w:spacing w:val="-2"/>
        </w:rPr>
        <w:t>ne</w:t>
      </w:r>
      <w:r>
        <w:rPr>
          <w:color w:val="231F20"/>
          <w:spacing w:val="-15"/>
        </w:rPr>
        <w:t> </w:t>
      </w:r>
      <w:r>
        <w:rPr>
          <w:color w:val="231F20"/>
          <w:spacing w:val="-2"/>
        </w:rPr>
        <w:t>peuvent</w:t>
      </w:r>
      <w:r>
        <w:rPr>
          <w:color w:val="231F20"/>
          <w:spacing w:val="-13"/>
        </w:rPr>
        <w:t> </w:t>
      </w:r>
      <w:r>
        <w:rPr>
          <w:color w:val="231F20"/>
          <w:spacing w:val="-2"/>
        </w:rPr>
        <w:t>pas</w:t>
      </w:r>
      <w:r>
        <w:rPr>
          <w:color w:val="231F20"/>
          <w:spacing w:val="-13"/>
        </w:rPr>
        <w:t> </w:t>
      </w:r>
      <w:r>
        <w:rPr>
          <w:color w:val="231F20"/>
          <w:spacing w:val="-2"/>
        </w:rPr>
        <w:t>compter</w:t>
      </w:r>
      <w:r>
        <w:rPr>
          <w:color w:val="231F20"/>
          <w:spacing w:val="-13"/>
        </w:rPr>
        <w:t> </w:t>
      </w:r>
      <w:r>
        <w:rPr>
          <w:color w:val="231F20"/>
          <w:spacing w:val="-2"/>
        </w:rPr>
        <w:t>sur</w:t>
      </w:r>
      <w:r>
        <w:rPr>
          <w:color w:val="231F20"/>
          <w:spacing w:val="-13"/>
        </w:rPr>
        <w:t> </w:t>
      </w:r>
      <w:r>
        <w:rPr>
          <w:color w:val="231F20"/>
          <w:spacing w:val="-2"/>
        </w:rPr>
        <w:t>le</w:t>
      </w:r>
      <w:r>
        <w:rPr>
          <w:color w:val="231F20"/>
          <w:spacing w:val="-13"/>
        </w:rPr>
        <w:t> </w:t>
      </w:r>
      <w:r>
        <w:rPr>
          <w:color w:val="231F20"/>
          <w:spacing w:val="-2"/>
        </w:rPr>
        <w:t>concours</w:t>
      </w:r>
      <w:r>
        <w:rPr>
          <w:color w:val="231F20"/>
          <w:spacing w:val="-13"/>
        </w:rPr>
        <w:t> </w:t>
      </w:r>
      <w:r>
        <w:rPr>
          <w:color w:val="231F20"/>
          <w:spacing w:val="-2"/>
        </w:rPr>
        <w:t>de</w:t>
      </w:r>
      <w:r>
        <w:rPr>
          <w:color w:val="231F20"/>
          <w:spacing w:val="-13"/>
        </w:rPr>
        <w:t> </w:t>
      </w:r>
      <w:r>
        <w:rPr>
          <w:color w:val="231F20"/>
          <w:spacing w:val="-2"/>
        </w:rPr>
        <w:t>parents</w:t>
      </w:r>
      <w:r>
        <w:rPr>
          <w:color w:val="231F20"/>
          <w:spacing w:val="-13"/>
        </w:rPr>
        <w:t> </w:t>
      </w:r>
      <w:r>
        <w:rPr>
          <w:color w:val="231F20"/>
          <w:spacing w:val="-2"/>
        </w:rPr>
        <w:t>analphabètes</w:t>
      </w:r>
      <w:r>
        <w:rPr>
          <w:color w:val="231F20"/>
          <w:spacing w:val="-13"/>
        </w:rPr>
        <w:t> </w:t>
      </w:r>
      <w:r>
        <w:rPr>
          <w:color w:val="231F20"/>
          <w:spacing w:val="-2"/>
        </w:rPr>
        <w:t>pour</w:t>
      </w:r>
      <w:r>
        <w:rPr>
          <w:color w:val="231F20"/>
          <w:spacing w:val="-13"/>
        </w:rPr>
        <w:t> </w:t>
      </w:r>
      <w:r>
        <w:rPr>
          <w:color w:val="231F20"/>
          <w:spacing w:val="-2"/>
        </w:rPr>
        <w:t>leur </w:t>
      </w:r>
      <w:r>
        <w:rPr>
          <w:color w:val="231F20"/>
        </w:rPr>
        <w:t>faire</w:t>
      </w:r>
      <w:r>
        <w:rPr>
          <w:color w:val="231F20"/>
          <w:spacing w:val="-5"/>
        </w:rPr>
        <w:t> </w:t>
      </w:r>
      <w:r>
        <w:rPr>
          <w:color w:val="231F20"/>
        </w:rPr>
        <w:t>réciter</w:t>
      </w:r>
      <w:r>
        <w:rPr>
          <w:color w:val="231F20"/>
          <w:spacing w:val="-5"/>
        </w:rPr>
        <w:t> </w:t>
      </w:r>
      <w:r>
        <w:rPr>
          <w:color w:val="231F20"/>
        </w:rPr>
        <w:t>les</w:t>
      </w:r>
      <w:r>
        <w:rPr>
          <w:color w:val="231F20"/>
          <w:spacing w:val="-4"/>
        </w:rPr>
        <w:t> </w:t>
      </w:r>
      <w:r>
        <w:rPr>
          <w:color w:val="231F20"/>
        </w:rPr>
        <w:t>leçons</w:t>
      </w:r>
      <w:r>
        <w:rPr>
          <w:color w:val="231F20"/>
          <w:spacing w:val="-4"/>
        </w:rPr>
        <w:t> </w:t>
      </w:r>
      <w:r>
        <w:rPr>
          <w:color w:val="231F20"/>
        </w:rPr>
        <w:t>ou</w:t>
      </w:r>
      <w:r>
        <w:rPr>
          <w:color w:val="231F20"/>
          <w:spacing w:val="-6"/>
        </w:rPr>
        <w:t> </w:t>
      </w:r>
      <w:r>
        <w:rPr>
          <w:color w:val="231F20"/>
        </w:rPr>
        <w:t>vérifier</w:t>
      </w:r>
      <w:r>
        <w:rPr>
          <w:color w:val="231F20"/>
          <w:spacing w:val="-4"/>
        </w:rPr>
        <w:t> </w:t>
      </w:r>
      <w:r>
        <w:rPr>
          <w:color w:val="231F20"/>
        </w:rPr>
        <w:t>les</w:t>
      </w:r>
      <w:r>
        <w:rPr>
          <w:color w:val="231F20"/>
          <w:spacing w:val="-4"/>
        </w:rPr>
        <w:t> </w:t>
      </w:r>
      <w:r>
        <w:rPr>
          <w:color w:val="231F20"/>
        </w:rPr>
        <w:t>devoirs</w:t>
      </w:r>
      <w:r>
        <w:rPr>
          <w:color w:val="231F20"/>
          <w:spacing w:val="-7"/>
        </w:rPr>
        <w:t> </w:t>
      </w:r>
      <w:r>
        <w:rPr>
          <w:color w:val="231F20"/>
        </w:rPr>
        <w:t>de</w:t>
      </w:r>
      <w:r>
        <w:rPr>
          <w:color w:val="231F20"/>
          <w:spacing w:val="-4"/>
        </w:rPr>
        <w:t> </w:t>
      </w:r>
      <w:r>
        <w:rPr>
          <w:color w:val="231F20"/>
        </w:rPr>
        <w:t>maison.</w:t>
      </w:r>
    </w:p>
    <w:p>
      <w:pPr>
        <w:pStyle w:val="BodyText"/>
        <w:ind w:left="0"/>
        <w:jc w:val="left"/>
        <w:rPr>
          <w:sz w:val="20"/>
        </w:rPr>
      </w:pPr>
    </w:p>
    <w:p>
      <w:pPr>
        <w:pStyle w:val="BodyText"/>
        <w:ind w:left="0"/>
        <w:jc w:val="left"/>
        <w:rPr>
          <w:sz w:val="20"/>
        </w:rPr>
      </w:pPr>
    </w:p>
    <w:p>
      <w:pPr>
        <w:pStyle w:val="BodyText"/>
        <w:spacing w:before="72"/>
        <w:ind w:left="0"/>
        <w:jc w:val="left"/>
        <w:rPr>
          <w:sz w:val="20"/>
        </w:rPr>
      </w:pPr>
      <w:r>
        <w:rPr/>
        <mc:AlternateContent>
          <mc:Choice Requires="wps">
            <w:drawing>
              <wp:anchor distT="0" distB="0" distL="0" distR="0" allowOverlap="1" layoutInCell="1" locked="0" behindDoc="1" simplePos="0" relativeHeight="487671808">
                <wp:simplePos x="0" y="0"/>
                <wp:positionH relativeFrom="page">
                  <wp:posOffset>629907</wp:posOffset>
                </wp:positionH>
                <wp:positionV relativeFrom="paragraph">
                  <wp:posOffset>207209</wp:posOffset>
                </wp:positionV>
                <wp:extent cx="1829435" cy="9525"/>
                <wp:effectExtent l="0" t="0" r="0" b="0"/>
                <wp:wrapTopAndBottom/>
                <wp:docPr id="198" name="Graphic 198"/>
                <wp:cNvGraphicFramePr>
                  <a:graphicFrameLocks/>
                </wp:cNvGraphicFramePr>
                <a:graphic>
                  <a:graphicData uri="http://schemas.microsoft.com/office/word/2010/wordprocessingShape">
                    <wps:wsp>
                      <wps:cNvPr id="198" name="Graphic 198"/>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6.315685pt;width:144.020pt;height:.71994pt;mso-position-horizontal-relative:page;mso-position-vertical-relative:paragraph;z-index:-15644672;mso-wrap-distance-left:0;mso-wrap-distance-right:0" id="docshape196" filled="true" fillcolor="#231f20" stroked="false">
                <v:fill type="solid"/>
                <w10:wrap type="topAndBottom"/>
              </v:rect>
            </w:pict>
          </mc:Fallback>
        </mc:AlternateContent>
      </w:r>
    </w:p>
    <w:p>
      <w:pPr>
        <w:spacing w:before="91"/>
        <w:ind w:left="111" w:right="106" w:firstLine="0"/>
        <w:jc w:val="both"/>
        <w:rPr>
          <w:sz w:val="20"/>
        </w:rPr>
      </w:pPr>
      <w:r>
        <w:rPr>
          <w:color w:val="76787A"/>
          <w:sz w:val="20"/>
          <w:vertAlign w:val="superscript"/>
        </w:rPr>
        <w:t>275</w:t>
      </w:r>
      <w:r>
        <w:rPr>
          <w:color w:val="76787A"/>
          <w:sz w:val="20"/>
          <w:vertAlign w:val="baseline"/>
        </w:rPr>
        <w:t> </w:t>
      </w:r>
      <w:r>
        <w:rPr>
          <w:color w:val="231F20"/>
          <w:sz w:val="20"/>
          <w:vertAlign w:val="baseline"/>
        </w:rPr>
        <w:t>Le député</w:t>
      </w:r>
      <w:r>
        <w:rPr>
          <w:color w:val="231F20"/>
          <w:spacing w:val="-12"/>
          <w:sz w:val="20"/>
          <w:vertAlign w:val="baseline"/>
        </w:rPr>
        <w:t> </w:t>
      </w:r>
      <w:r>
        <w:rPr>
          <w:color w:val="231F20"/>
          <w:sz w:val="20"/>
          <w:vertAlign w:val="baseline"/>
        </w:rPr>
        <w:t>Léopold Sédar Senghor,mars 1946. Cité dans</w:t>
      </w:r>
      <w:r>
        <w:rPr>
          <w:color w:val="231F20"/>
          <w:spacing w:val="-12"/>
          <w:sz w:val="20"/>
          <w:vertAlign w:val="baseline"/>
        </w:rPr>
        <w:t> </w:t>
      </w:r>
      <w:r>
        <w:rPr>
          <w:color w:val="231F20"/>
          <w:sz w:val="20"/>
          <w:vertAlign w:val="baseline"/>
        </w:rPr>
        <w:t>:</w:t>
      </w:r>
      <w:r>
        <w:rPr>
          <w:color w:val="231F20"/>
          <w:spacing w:val="-11"/>
          <w:sz w:val="20"/>
          <w:vertAlign w:val="baseline"/>
        </w:rPr>
        <w:t> </w:t>
      </w:r>
      <w:r>
        <w:rPr>
          <w:color w:val="231F20"/>
          <w:sz w:val="20"/>
          <w:vertAlign w:val="baseline"/>
        </w:rPr>
        <w:t>Olivier Le Cour </w:t>
      </w:r>
      <w:r>
        <w:rPr>
          <w:color w:val="231F20"/>
          <w:spacing w:val="-4"/>
          <w:sz w:val="20"/>
          <w:vertAlign w:val="baseline"/>
        </w:rPr>
        <w:t>Grandmaison, </w:t>
      </w:r>
      <w:r>
        <w:rPr>
          <w:i/>
          <w:color w:val="231F20"/>
          <w:spacing w:val="-4"/>
          <w:sz w:val="20"/>
          <w:vertAlign w:val="baseline"/>
        </w:rPr>
        <w:t>De l’indigénat.</w:t>
      </w:r>
      <w:r>
        <w:rPr>
          <w:i/>
          <w:color w:val="231F20"/>
          <w:spacing w:val="-5"/>
          <w:sz w:val="20"/>
          <w:vertAlign w:val="baseline"/>
        </w:rPr>
        <w:t> </w:t>
      </w:r>
      <w:r>
        <w:rPr>
          <w:i/>
          <w:color w:val="231F20"/>
          <w:spacing w:val="-4"/>
          <w:sz w:val="20"/>
          <w:vertAlign w:val="baseline"/>
        </w:rPr>
        <w:t>Anatomie d’un «</w:t>
      </w:r>
      <w:r>
        <w:rPr>
          <w:i/>
          <w:color w:val="231F20"/>
          <w:sz w:val="20"/>
          <w:vertAlign w:val="baseline"/>
        </w:rPr>
        <w:t> </w:t>
      </w:r>
      <w:r>
        <w:rPr>
          <w:i/>
          <w:color w:val="231F20"/>
          <w:spacing w:val="-4"/>
          <w:sz w:val="20"/>
          <w:vertAlign w:val="baseline"/>
        </w:rPr>
        <w:t>monstre » juridique : le droit colonial en</w:t>
      </w:r>
      <w:r>
        <w:rPr>
          <w:i/>
          <w:color w:val="231F20"/>
          <w:spacing w:val="-4"/>
          <w:sz w:val="20"/>
          <w:vertAlign w:val="baseline"/>
        </w:rPr>
        <w:t> </w:t>
      </w:r>
      <w:r>
        <w:rPr>
          <w:i/>
          <w:color w:val="231F20"/>
          <w:sz w:val="20"/>
          <w:vertAlign w:val="baseline"/>
        </w:rPr>
        <w:t>Algérie</w:t>
      </w:r>
      <w:r>
        <w:rPr>
          <w:i/>
          <w:color w:val="231F20"/>
          <w:spacing w:val="-4"/>
          <w:sz w:val="20"/>
          <w:vertAlign w:val="baseline"/>
        </w:rPr>
        <w:t> </w:t>
      </w:r>
      <w:r>
        <w:rPr>
          <w:i/>
          <w:color w:val="231F20"/>
          <w:sz w:val="20"/>
          <w:vertAlign w:val="baseline"/>
        </w:rPr>
        <w:t>et</w:t>
      </w:r>
      <w:r>
        <w:rPr>
          <w:i/>
          <w:color w:val="231F20"/>
          <w:spacing w:val="-4"/>
          <w:sz w:val="20"/>
          <w:vertAlign w:val="baseline"/>
        </w:rPr>
        <w:t> </w:t>
      </w:r>
      <w:r>
        <w:rPr>
          <w:i/>
          <w:color w:val="231F20"/>
          <w:sz w:val="20"/>
          <w:vertAlign w:val="baseline"/>
        </w:rPr>
        <w:t>dans</w:t>
      </w:r>
      <w:r>
        <w:rPr>
          <w:i/>
          <w:color w:val="231F20"/>
          <w:spacing w:val="-5"/>
          <w:sz w:val="20"/>
          <w:vertAlign w:val="baseline"/>
        </w:rPr>
        <w:t> </w:t>
      </w:r>
      <w:r>
        <w:rPr>
          <w:i/>
          <w:color w:val="231F20"/>
          <w:sz w:val="20"/>
          <w:vertAlign w:val="baseline"/>
        </w:rPr>
        <w:t>l’Empire</w:t>
      </w:r>
      <w:r>
        <w:rPr>
          <w:i/>
          <w:color w:val="231F20"/>
          <w:spacing w:val="-4"/>
          <w:sz w:val="20"/>
          <w:vertAlign w:val="baseline"/>
        </w:rPr>
        <w:t> </w:t>
      </w:r>
      <w:r>
        <w:rPr>
          <w:i/>
          <w:color w:val="231F20"/>
          <w:sz w:val="20"/>
          <w:vertAlign w:val="baseline"/>
        </w:rPr>
        <w:t>français</w:t>
      </w:r>
      <w:r>
        <w:rPr>
          <w:color w:val="231F20"/>
          <w:sz w:val="20"/>
          <w:vertAlign w:val="baseline"/>
        </w:rPr>
        <w:t>,</w:t>
      </w:r>
      <w:r>
        <w:rPr>
          <w:color w:val="231F20"/>
          <w:spacing w:val="-1"/>
          <w:sz w:val="20"/>
          <w:vertAlign w:val="baseline"/>
        </w:rPr>
        <w:t> </w:t>
      </w:r>
      <w:r>
        <w:rPr>
          <w:color w:val="231F20"/>
          <w:sz w:val="20"/>
          <w:vertAlign w:val="baseline"/>
        </w:rPr>
        <w:t>Paris,</w:t>
      </w:r>
      <w:r>
        <w:rPr>
          <w:color w:val="231F20"/>
          <w:spacing w:val="-1"/>
          <w:sz w:val="20"/>
          <w:vertAlign w:val="baseline"/>
        </w:rPr>
        <w:t> </w:t>
      </w:r>
      <w:r>
        <w:rPr>
          <w:color w:val="231F20"/>
          <w:sz w:val="20"/>
          <w:vertAlign w:val="baseline"/>
        </w:rPr>
        <w:t>Zones,</w:t>
      </w:r>
      <w:r>
        <w:rPr>
          <w:color w:val="231F20"/>
          <w:spacing w:val="-3"/>
          <w:sz w:val="20"/>
          <w:vertAlign w:val="baseline"/>
        </w:rPr>
        <w:t> </w:t>
      </w:r>
      <w:r>
        <w:rPr>
          <w:color w:val="231F20"/>
          <w:sz w:val="20"/>
          <w:vertAlign w:val="baseline"/>
        </w:rPr>
        <w:t>2010.</w:t>
      </w:r>
    </w:p>
    <w:p>
      <w:pPr>
        <w:spacing w:after="0"/>
        <w:jc w:val="both"/>
        <w:rPr>
          <w:sz w:val="20"/>
        </w:rPr>
        <w:sectPr>
          <w:pgSz w:w="8790" w:h="13610"/>
          <w:pgMar w:header="0" w:footer="802" w:top="1060" w:bottom="1000" w:left="880" w:right="880"/>
        </w:sectPr>
      </w:pPr>
    </w:p>
    <w:p>
      <w:pPr>
        <w:pStyle w:val="BodyText"/>
        <w:spacing w:before="66"/>
        <w:ind w:right="105" w:firstLine="283"/>
      </w:pPr>
      <w:r>
        <w:rPr>
          <w:color w:val="231F20"/>
        </w:rPr>
        <w:t>Lorsque</w:t>
      </w:r>
      <w:r>
        <w:rPr>
          <w:color w:val="231F20"/>
          <w:spacing w:val="-2"/>
        </w:rPr>
        <w:t> </w:t>
      </w:r>
      <w:r>
        <w:rPr>
          <w:color w:val="231F20"/>
        </w:rPr>
        <w:t>l’enfant</w:t>
      </w:r>
      <w:r>
        <w:rPr>
          <w:color w:val="231F20"/>
          <w:spacing w:val="-1"/>
        </w:rPr>
        <w:t> </w:t>
      </w:r>
      <w:r>
        <w:rPr>
          <w:color w:val="231F20"/>
        </w:rPr>
        <w:t>est</w:t>
      </w:r>
      <w:r>
        <w:rPr>
          <w:color w:val="231F20"/>
          <w:spacing w:val="-1"/>
        </w:rPr>
        <w:t> </w:t>
      </w:r>
      <w:r>
        <w:rPr>
          <w:color w:val="231F20"/>
        </w:rPr>
        <w:t>admis en classe</w:t>
      </w:r>
      <w:r>
        <w:rPr>
          <w:color w:val="231F20"/>
          <w:spacing w:val="-2"/>
        </w:rPr>
        <w:t> </w:t>
      </w:r>
      <w:r>
        <w:rPr>
          <w:color w:val="231F20"/>
        </w:rPr>
        <w:t>de collège, c’est un autre</w:t>
      </w:r>
      <w:r>
        <w:rPr>
          <w:color w:val="231F20"/>
          <w:spacing w:val="-2"/>
        </w:rPr>
        <w:t> </w:t>
      </w:r>
      <w:r>
        <w:rPr>
          <w:color w:val="231F20"/>
        </w:rPr>
        <w:t>souci </w:t>
      </w:r>
      <w:r>
        <w:rPr>
          <w:color w:val="231F20"/>
          <w:spacing w:val="-2"/>
        </w:rPr>
        <w:t>pour</w:t>
      </w:r>
      <w:r>
        <w:rPr>
          <w:color w:val="231F20"/>
          <w:spacing w:val="-9"/>
        </w:rPr>
        <w:t> </w:t>
      </w:r>
      <w:r>
        <w:rPr>
          <w:color w:val="231F20"/>
          <w:spacing w:val="-2"/>
        </w:rPr>
        <w:t>les</w:t>
      </w:r>
      <w:r>
        <w:rPr>
          <w:color w:val="231F20"/>
          <w:spacing w:val="-12"/>
        </w:rPr>
        <w:t> </w:t>
      </w:r>
      <w:r>
        <w:rPr>
          <w:color w:val="231F20"/>
          <w:spacing w:val="-2"/>
        </w:rPr>
        <w:t>parents</w:t>
      </w:r>
      <w:r>
        <w:rPr>
          <w:color w:val="231F20"/>
          <w:spacing w:val="-13"/>
        </w:rPr>
        <w:t> </w:t>
      </w:r>
      <w:r>
        <w:rPr>
          <w:color w:val="231F20"/>
          <w:spacing w:val="-2"/>
        </w:rPr>
        <w:t>:</w:t>
      </w:r>
      <w:r>
        <w:rPr>
          <w:color w:val="231F20"/>
          <w:spacing w:val="-11"/>
        </w:rPr>
        <w:t> </w:t>
      </w:r>
      <w:r>
        <w:rPr>
          <w:color w:val="231F20"/>
          <w:spacing w:val="-2"/>
        </w:rPr>
        <w:t>manque</w:t>
      </w:r>
      <w:r>
        <w:rPr>
          <w:color w:val="231F20"/>
          <w:spacing w:val="-12"/>
        </w:rPr>
        <w:t> </w:t>
      </w:r>
      <w:r>
        <w:rPr>
          <w:color w:val="231F20"/>
          <w:spacing w:val="-2"/>
        </w:rPr>
        <w:t>d’établissements</w:t>
      </w:r>
      <w:r>
        <w:rPr>
          <w:color w:val="231F20"/>
          <w:spacing w:val="-11"/>
        </w:rPr>
        <w:t> </w:t>
      </w:r>
      <w:r>
        <w:rPr>
          <w:color w:val="231F20"/>
          <w:spacing w:val="-2"/>
        </w:rPr>
        <w:t>secondaires</w:t>
      </w:r>
      <w:r>
        <w:rPr>
          <w:color w:val="231F20"/>
          <w:spacing w:val="-9"/>
        </w:rPr>
        <w:t> </w:t>
      </w:r>
      <w:r>
        <w:rPr>
          <w:color w:val="231F20"/>
          <w:spacing w:val="-2"/>
        </w:rPr>
        <w:t>dans</w:t>
      </w:r>
      <w:r>
        <w:rPr>
          <w:color w:val="231F20"/>
          <w:spacing w:val="-12"/>
        </w:rPr>
        <w:t> </w:t>
      </w:r>
      <w:r>
        <w:rPr>
          <w:color w:val="231F20"/>
          <w:spacing w:val="-2"/>
        </w:rPr>
        <w:t>les</w:t>
      </w:r>
      <w:r>
        <w:rPr>
          <w:color w:val="231F20"/>
          <w:spacing w:val="-9"/>
        </w:rPr>
        <w:t> </w:t>
      </w:r>
      <w:r>
        <w:rPr>
          <w:color w:val="231F20"/>
          <w:spacing w:val="-2"/>
        </w:rPr>
        <w:t>villages. </w:t>
      </w:r>
      <w:r>
        <w:rPr>
          <w:color w:val="231F20"/>
        </w:rPr>
        <w:t>Orienté</w:t>
      </w:r>
      <w:r>
        <w:rPr>
          <w:color w:val="231F20"/>
          <w:spacing w:val="-15"/>
        </w:rPr>
        <w:t> </w:t>
      </w:r>
      <w:r>
        <w:rPr>
          <w:color w:val="231F20"/>
        </w:rPr>
        <w:t>dans</w:t>
      </w:r>
      <w:r>
        <w:rPr>
          <w:color w:val="231F20"/>
          <w:spacing w:val="-15"/>
        </w:rPr>
        <w:t> </w:t>
      </w:r>
      <w:r>
        <w:rPr>
          <w:color w:val="231F20"/>
        </w:rPr>
        <w:t>un</w:t>
      </w:r>
      <w:r>
        <w:rPr>
          <w:color w:val="231F20"/>
          <w:spacing w:val="-14"/>
        </w:rPr>
        <w:t> </w:t>
      </w:r>
      <w:r>
        <w:rPr>
          <w:color w:val="231F20"/>
        </w:rPr>
        <w:t>établissement</w:t>
      </w:r>
      <w:r>
        <w:rPr>
          <w:color w:val="231F20"/>
          <w:spacing w:val="-14"/>
        </w:rPr>
        <w:t> </w:t>
      </w:r>
      <w:r>
        <w:rPr>
          <w:color w:val="231F20"/>
        </w:rPr>
        <w:t>en</w:t>
      </w:r>
      <w:r>
        <w:rPr>
          <w:color w:val="231F20"/>
          <w:spacing w:val="-15"/>
        </w:rPr>
        <w:t> </w:t>
      </w:r>
      <w:r>
        <w:rPr>
          <w:color w:val="231F20"/>
        </w:rPr>
        <w:t>ville,</w:t>
      </w:r>
      <w:r>
        <w:rPr>
          <w:color w:val="231F20"/>
          <w:spacing w:val="-14"/>
        </w:rPr>
        <w:t> </w:t>
      </w:r>
      <w:r>
        <w:rPr>
          <w:color w:val="231F20"/>
        </w:rPr>
        <w:t>il</w:t>
      </w:r>
      <w:r>
        <w:rPr>
          <w:color w:val="231F20"/>
          <w:spacing w:val="-14"/>
        </w:rPr>
        <w:t> </w:t>
      </w:r>
      <w:r>
        <w:rPr>
          <w:color w:val="231F20"/>
        </w:rPr>
        <w:t>faut</w:t>
      </w:r>
      <w:r>
        <w:rPr>
          <w:color w:val="231F20"/>
          <w:spacing w:val="-14"/>
        </w:rPr>
        <w:t> </w:t>
      </w:r>
      <w:r>
        <w:rPr>
          <w:color w:val="231F20"/>
        </w:rPr>
        <w:t>trouver</w:t>
      </w:r>
      <w:r>
        <w:rPr>
          <w:color w:val="231F20"/>
          <w:spacing w:val="-15"/>
        </w:rPr>
        <w:t> </w:t>
      </w:r>
      <w:r>
        <w:rPr>
          <w:color w:val="231F20"/>
        </w:rPr>
        <w:t>à</w:t>
      </w:r>
      <w:r>
        <w:rPr>
          <w:color w:val="231F20"/>
          <w:spacing w:val="-15"/>
        </w:rPr>
        <w:t> </w:t>
      </w:r>
      <w:r>
        <w:rPr>
          <w:color w:val="231F20"/>
        </w:rPr>
        <w:t>l’enfant</w:t>
      </w:r>
      <w:r>
        <w:rPr>
          <w:color w:val="231F20"/>
          <w:spacing w:val="-14"/>
        </w:rPr>
        <w:t> </w:t>
      </w:r>
      <w:r>
        <w:rPr>
          <w:color w:val="231F20"/>
        </w:rPr>
        <w:t>le</w:t>
      </w:r>
      <w:r>
        <w:rPr>
          <w:color w:val="231F20"/>
          <w:spacing w:val="-15"/>
        </w:rPr>
        <w:t> </w:t>
      </w:r>
      <w:r>
        <w:rPr>
          <w:color w:val="231F20"/>
        </w:rPr>
        <w:t>gîte</w:t>
      </w:r>
      <w:r>
        <w:rPr>
          <w:color w:val="231F20"/>
          <w:spacing w:val="-15"/>
        </w:rPr>
        <w:t> </w:t>
      </w:r>
      <w:r>
        <w:rPr>
          <w:color w:val="231F20"/>
        </w:rPr>
        <w:t>et le couvert puisqu’il n’y a pas d’internat. Les ressources familiales ne suffisant</w:t>
      </w:r>
      <w:r>
        <w:rPr>
          <w:color w:val="231F20"/>
          <w:spacing w:val="28"/>
        </w:rPr>
        <w:t> </w:t>
      </w:r>
      <w:r>
        <w:rPr>
          <w:color w:val="231F20"/>
        </w:rPr>
        <w:t>pas,</w:t>
      </w:r>
      <w:r>
        <w:rPr>
          <w:color w:val="231F20"/>
          <w:spacing w:val="27"/>
        </w:rPr>
        <w:t> </w:t>
      </w:r>
      <w:r>
        <w:rPr>
          <w:color w:val="231F20"/>
        </w:rPr>
        <w:t>il</w:t>
      </w:r>
      <w:r>
        <w:rPr>
          <w:color w:val="231F20"/>
          <w:spacing w:val="29"/>
        </w:rPr>
        <w:t> </w:t>
      </w:r>
      <w:r>
        <w:rPr>
          <w:color w:val="231F20"/>
        </w:rPr>
        <w:t>est</w:t>
      </w:r>
      <w:r>
        <w:rPr>
          <w:color w:val="231F20"/>
          <w:spacing w:val="28"/>
        </w:rPr>
        <w:t> </w:t>
      </w:r>
      <w:r>
        <w:rPr>
          <w:color w:val="231F20"/>
        </w:rPr>
        <w:t>courant</w:t>
      </w:r>
      <w:r>
        <w:rPr>
          <w:color w:val="231F20"/>
          <w:spacing w:val="30"/>
        </w:rPr>
        <w:t> </w:t>
      </w:r>
      <w:r>
        <w:rPr>
          <w:color w:val="231F20"/>
        </w:rPr>
        <w:t>d’envoyer</w:t>
      </w:r>
      <w:r>
        <w:rPr>
          <w:color w:val="231F20"/>
          <w:spacing w:val="27"/>
        </w:rPr>
        <w:t> </w:t>
      </w:r>
      <w:r>
        <w:rPr>
          <w:color w:val="231F20"/>
        </w:rPr>
        <w:t>les</w:t>
      </w:r>
      <w:r>
        <w:rPr>
          <w:color w:val="231F20"/>
          <w:spacing w:val="29"/>
        </w:rPr>
        <w:t> </w:t>
      </w:r>
      <w:r>
        <w:rPr>
          <w:color w:val="231F20"/>
        </w:rPr>
        <w:t>enfants</w:t>
      </w:r>
      <w:r>
        <w:rPr>
          <w:color w:val="231F20"/>
          <w:spacing w:val="30"/>
        </w:rPr>
        <w:t> </w:t>
      </w:r>
      <w:r>
        <w:rPr>
          <w:color w:val="231F20"/>
        </w:rPr>
        <w:t>à</w:t>
      </w:r>
      <w:r>
        <w:rPr>
          <w:color w:val="231F20"/>
          <w:spacing w:val="27"/>
        </w:rPr>
        <w:t> </w:t>
      </w:r>
      <w:r>
        <w:rPr>
          <w:color w:val="231F20"/>
        </w:rPr>
        <w:t>la</w:t>
      </w:r>
      <w:r>
        <w:rPr>
          <w:color w:val="231F20"/>
          <w:spacing w:val="29"/>
        </w:rPr>
        <w:t> </w:t>
      </w:r>
      <w:r>
        <w:rPr>
          <w:color w:val="231F20"/>
        </w:rPr>
        <w:t>ville</w:t>
      </w:r>
      <w:r>
        <w:rPr>
          <w:color w:val="231F20"/>
          <w:spacing w:val="26"/>
        </w:rPr>
        <w:t> </w:t>
      </w:r>
      <w:r>
        <w:rPr>
          <w:color w:val="231F20"/>
        </w:rPr>
        <w:t>chez</w:t>
      </w:r>
      <w:r>
        <w:rPr>
          <w:color w:val="231F20"/>
          <w:spacing w:val="30"/>
        </w:rPr>
        <w:t> </w:t>
      </w:r>
      <w:r>
        <w:rPr>
          <w:color w:val="231F20"/>
          <w:spacing w:val="-5"/>
        </w:rPr>
        <w:t>des</w:t>
      </w:r>
    </w:p>
    <w:p>
      <w:pPr>
        <w:pStyle w:val="BodyText"/>
        <w:ind w:right="107"/>
      </w:pPr>
      <w:r>
        <w:rPr>
          <w:color w:val="231F20"/>
        </w:rPr>
        <w:t>«</w:t>
      </w:r>
      <w:r>
        <w:rPr>
          <w:color w:val="231F20"/>
          <w:spacing w:val="-15"/>
        </w:rPr>
        <w:t> </w:t>
      </w:r>
      <w:r>
        <w:rPr>
          <w:color w:val="231F20"/>
        </w:rPr>
        <w:t>tuteurs</w:t>
      </w:r>
      <w:r>
        <w:rPr>
          <w:color w:val="231F20"/>
          <w:spacing w:val="-15"/>
        </w:rPr>
        <w:t> </w:t>
      </w:r>
      <w:r>
        <w:rPr>
          <w:color w:val="231F20"/>
        </w:rPr>
        <w:t>»,</w:t>
      </w:r>
      <w:r>
        <w:rPr>
          <w:color w:val="231F20"/>
          <w:spacing w:val="-15"/>
        </w:rPr>
        <w:t> </w:t>
      </w:r>
      <w:r>
        <w:rPr>
          <w:color w:val="231F20"/>
        </w:rPr>
        <w:t>des</w:t>
      </w:r>
      <w:r>
        <w:rPr>
          <w:color w:val="231F20"/>
          <w:spacing w:val="-15"/>
        </w:rPr>
        <w:t> </w:t>
      </w:r>
      <w:r>
        <w:rPr>
          <w:color w:val="231F20"/>
        </w:rPr>
        <w:t>personnes</w:t>
      </w:r>
      <w:r>
        <w:rPr>
          <w:color w:val="231F20"/>
          <w:spacing w:val="-15"/>
        </w:rPr>
        <w:t> </w:t>
      </w:r>
      <w:r>
        <w:rPr>
          <w:color w:val="231F20"/>
        </w:rPr>
        <w:t>de</w:t>
      </w:r>
      <w:r>
        <w:rPr>
          <w:color w:val="231F20"/>
          <w:spacing w:val="-15"/>
        </w:rPr>
        <w:t> </w:t>
      </w:r>
      <w:r>
        <w:rPr>
          <w:color w:val="231F20"/>
        </w:rPr>
        <w:t>bonne</w:t>
      </w:r>
      <w:r>
        <w:rPr>
          <w:color w:val="231F20"/>
          <w:spacing w:val="-15"/>
        </w:rPr>
        <w:t> </w:t>
      </w:r>
      <w:r>
        <w:rPr>
          <w:color w:val="231F20"/>
        </w:rPr>
        <w:t>volonté</w:t>
      </w:r>
      <w:r>
        <w:rPr>
          <w:color w:val="231F20"/>
          <w:spacing w:val="-15"/>
        </w:rPr>
        <w:t> </w:t>
      </w:r>
      <w:r>
        <w:rPr>
          <w:color w:val="231F20"/>
        </w:rPr>
        <w:t>qui</w:t>
      </w:r>
      <w:r>
        <w:rPr>
          <w:color w:val="231F20"/>
          <w:spacing w:val="-15"/>
        </w:rPr>
        <w:t> </w:t>
      </w:r>
      <w:r>
        <w:rPr>
          <w:color w:val="231F20"/>
        </w:rPr>
        <w:t>acceptent</w:t>
      </w:r>
      <w:r>
        <w:rPr>
          <w:color w:val="231F20"/>
          <w:spacing w:val="-15"/>
        </w:rPr>
        <w:t> </w:t>
      </w:r>
      <w:r>
        <w:rPr>
          <w:color w:val="231F20"/>
        </w:rPr>
        <w:t>d’héberger</w:t>
      </w:r>
      <w:r>
        <w:rPr>
          <w:color w:val="231F20"/>
          <w:spacing w:val="-15"/>
        </w:rPr>
        <w:t> </w:t>
      </w:r>
      <w:r>
        <w:rPr>
          <w:color w:val="231F20"/>
        </w:rPr>
        <w:t>les petits campagnards. Les enfants peuvent alors aller à l’école mais en </w:t>
      </w:r>
      <w:r>
        <w:rPr>
          <w:color w:val="231F20"/>
          <w:spacing w:val="-4"/>
        </w:rPr>
        <w:t>contrepartie,</w:t>
      </w:r>
      <w:r>
        <w:rPr>
          <w:color w:val="231F20"/>
          <w:spacing w:val="-11"/>
        </w:rPr>
        <w:t> </w:t>
      </w:r>
      <w:r>
        <w:rPr>
          <w:color w:val="231F20"/>
          <w:spacing w:val="-4"/>
        </w:rPr>
        <w:t>ils</w:t>
      </w:r>
      <w:r>
        <w:rPr>
          <w:color w:val="231F20"/>
          <w:spacing w:val="-11"/>
        </w:rPr>
        <w:t> </w:t>
      </w:r>
      <w:r>
        <w:rPr>
          <w:color w:val="231F20"/>
          <w:spacing w:val="-4"/>
        </w:rPr>
        <w:t>deviennent</w:t>
      </w:r>
      <w:r>
        <w:rPr>
          <w:color w:val="231F20"/>
          <w:spacing w:val="-11"/>
        </w:rPr>
        <w:t> </w:t>
      </w:r>
      <w:r>
        <w:rPr>
          <w:color w:val="231F20"/>
          <w:spacing w:val="-4"/>
        </w:rPr>
        <w:t>«</w:t>
      </w:r>
      <w:r>
        <w:rPr>
          <w:color w:val="231F20"/>
          <w:spacing w:val="-11"/>
        </w:rPr>
        <w:t> </w:t>
      </w:r>
      <w:r>
        <w:rPr>
          <w:color w:val="231F20"/>
          <w:spacing w:val="-4"/>
        </w:rPr>
        <w:t>le</w:t>
      </w:r>
      <w:r>
        <w:rPr>
          <w:color w:val="231F20"/>
          <w:spacing w:val="-11"/>
        </w:rPr>
        <w:t> </w:t>
      </w:r>
      <w:r>
        <w:rPr>
          <w:color w:val="231F20"/>
          <w:spacing w:val="-4"/>
        </w:rPr>
        <w:t>personnel</w:t>
      </w:r>
      <w:r>
        <w:rPr>
          <w:color w:val="231F20"/>
          <w:spacing w:val="-11"/>
        </w:rPr>
        <w:t> </w:t>
      </w:r>
      <w:r>
        <w:rPr>
          <w:color w:val="231F20"/>
          <w:spacing w:val="-4"/>
        </w:rPr>
        <w:t>de</w:t>
      </w:r>
      <w:r>
        <w:rPr>
          <w:color w:val="231F20"/>
          <w:spacing w:val="-11"/>
        </w:rPr>
        <w:t> </w:t>
      </w:r>
      <w:r>
        <w:rPr>
          <w:color w:val="231F20"/>
          <w:spacing w:val="-4"/>
        </w:rPr>
        <w:t>maison</w:t>
      </w:r>
      <w:r>
        <w:rPr>
          <w:color w:val="231F20"/>
          <w:spacing w:val="-11"/>
        </w:rPr>
        <w:t> </w:t>
      </w:r>
      <w:r>
        <w:rPr>
          <w:color w:val="231F20"/>
          <w:spacing w:val="-4"/>
        </w:rPr>
        <w:t>».</w:t>
      </w:r>
      <w:r>
        <w:rPr>
          <w:color w:val="231F20"/>
          <w:spacing w:val="-11"/>
        </w:rPr>
        <w:t> </w:t>
      </w:r>
      <w:r>
        <w:rPr>
          <w:color w:val="231F20"/>
          <w:spacing w:val="-4"/>
        </w:rPr>
        <w:t>Dans</w:t>
      </w:r>
      <w:r>
        <w:rPr>
          <w:color w:val="231F20"/>
          <w:spacing w:val="-11"/>
        </w:rPr>
        <w:t> </w:t>
      </w:r>
      <w:r>
        <w:rPr>
          <w:color w:val="231F20"/>
          <w:spacing w:val="-4"/>
        </w:rPr>
        <w:t>bien</w:t>
      </w:r>
      <w:r>
        <w:rPr>
          <w:color w:val="231F20"/>
          <w:spacing w:val="-11"/>
        </w:rPr>
        <w:t> </w:t>
      </w:r>
      <w:r>
        <w:rPr>
          <w:color w:val="231F20"/>
          <w:spacing w:val="-4"/>
        </w:rPr>
        <w:t>d’autres </w:t>
      </w:r>
      <w:r>
        <w:rPr>
          <w:color w:val="231F20"/>
        </w:rPr>
        <w:t>cas, les enfants se regroupent à plusieurs pour louer une chambre. Et, quand il s’agit de filles, elles deviennent des proies faciles pour les </w:t>
      </w:r>
      <w:r>
        <w:rPr>
          <w:color w:val="231F20"/>
          <w:spacing w:val="-2"/>
        </w:rPr>
        <w:t>hommes.</w:t>
      </w:r>
    </w:p>
    <w:p>
      <w:pPr>
        <w:spacing w:before="121"/>
        <w:ind w:left="111" w:right="105" w:firstLine="283"/>
        <w:jc w:val="both"/>
        <w:rPr>
          <w:sz w:val="24"/>
        </w:rPr>
      </w:pPr>
      <w:r>
        <w:rPr>
          <w:i/>
          <w:color w:val="231F20"/>
          <w:sz w:val="24"/>
        </w:rPr>
        <w:t>«</w:t>
      </w:r>
      <w:r>
        <w:rPr>
          <w:i/>
          <w:color w:val="231F20"/>
          <w:spacing w:val="-15"/>
          <w:sz w:val="24"/>
        </w:rPr>
        <w:t> </w:t>
      </w:r>
      <w:r>
        <w:rPr>
          <w:i/>
          <w:color w:val="231F20"/>
          <w:sz w:val="24"/>
        </w:rPr>
        <w:t>À</w:t>
      </w:r>
      <w:r>
        <w:rPr>
          <w:i/>
          <w:color w:val="231F20"/>
          <w:spacing w:val="-11"/>
          <w:sz w:val="24"/>
        </w:rPr>
        <w:t> </w:t>
      </w:r>
      <w:r>
        <w:rPr>
          <w:color w:val="231F20"/>
          <w:sz w:val="24"/>
        </w:rPr>
        <w:t>Niakaramandougou,</w:t>
      </w:r>
      <w:r>
        <w:rPr>
          <w:color w:val="231F20"/>
          <w:spacing w:val="-8"/>
          <w:sz w:val="24"/>
        </w:rPr>
        <w:t> </w:t>
      </w:r>
      <w:r>
        <w:rPr>
          <w:color w:val="231F20"/>
          <w:sz w:val="24"/>
        </w:rPr>
        <w:t>ou</w:t>
      </w:r>
      <w:r>
        <w:rPr>
          <w:color w:val="231F20"/>
          <w:spacing w:val="-5"/>
          <w:sz w:val="24"/>
        </w:rPr>
        <w:t> </w:t>
      </w:r>
      <w:r>
        <w:rPr>
          <w:color w:val="231F20"/>
          <w:sz w:val="24"/>
        </w:rPr>
        <w:t>plus</w:t>
      </w:r>
      <w:r>
        <w:rPr>
          <w:color w:val="231F20"/>
          <w:spacing w:val="-7"/>
          <w:sz w:val="24"/>
        </w:rPr>
        <w:t> </w:t>
      </w:r>
      <w:r>
        <w:rPr>
          <w:color w:val="231F20"/>
          <w:sz w:val="24"/>
        </w:rPr>
        <w:t>simplement</w:t>
      </w:r>
      <w:r>
        <w:rPr>
          <w:color w:val="231F20"/>
          <w:spacing w:val="-6"/>
          <w:sz w:val="24"/>
        </w:rPr>
        <w:t> </w:t>
      </w:r>
      <w:r>
        <w:rPr>
          <w:color w:val="231F20"/>
          <w:sz w:val="24"/>
        </w:rPr>
        <w:t>Niakara,,ville</w:t>
      </w:r>
      <w:r>
        <w:rPr>
          <w:color w:val="231F20"/>
          <w:spacing w:val="-7"/>
          <w:sz w:val="24"/>
        </w:rPr>
        <w:t> </w:t>
      </w:r>
      <w:r>
        <w:rPr>
          <w:color w:val="231F20"/>
          <w:sz w:val="24"/>
        </w:rPr>
        <w:t>située</w:t>
      </w:r>
      <w:r>
        <w:rPr>
          <w:color w:val="231F20"/>
          <w:spacing w:val="-5"/>
          <w:sz w:val="24"/>
        </w:rPr>
        <w:t> </w:t>
      </w:r>
      <w:r>
        <w:rPr>
          <w:color w:val="231F20"/>
          <w:sz w:val="24"/>
        </w:rPr>
        <w:t>au nord de la Côte d'Ivoire, </w:t>
      </w:r>
      <w:r>
        <w:rPr>
          <w:i/>
          <w:color w:val="231F20"/>
          <w:sz w:val="24"/>
        </w:rPr>
        <w:t>comme dans de nombreuses petites villes</w:t>
      </w:r>
      <w:r>
        <w:rPr>
          <w:i/>
          <w:color w:val="231F20"/>
          <w:sz w:val="24"/>
        </w:rPr>
        <w:t> ivoiriennes, les filles sont livrées à elles-mêmes. Elles viennent des villages</w:t>
      </w:r>
      <w:r>
        <w:rPr>
          <w:i/>
          <w:color w:val="231F20"/>
          <w:spacing w:val="-5"/>
          <w:sz w:val="24"/>
        </w:rPr>
        <w:t> </w:t>
      </w:r>
      <w:r>
        <w:rPr>
          <w:i/>
          <w:color w:val="231F20"/>
          <w:sz w:val="24"/>
        </w:rPr>
        <w:t>environnants</w:t>
      </w:r>
      <w:r>
        <w:rPr>
          <w:i/>
          <w:color w:val="231F20"/>
          <w:spacing w:val="-5"/>
          <w:sz w:val="24"/>
        </w:rPr>
        <w:t> </w:t>
      </w:r>
      <w:r>
        <w:rPr>
          <w:i/>
          <w:color w:val="231F20"/>
          <w:sz w:val="24"/>
        </w:rPr>
        <w:t>et</w:t>
      </w:r>
      <w:r>
        <w:rPr>
          <w:i/>
          <w:color w:val="231F20"/>
          <w:spacing w:val="-5"/>
          <w:sz w:val="24"/>
        </w:rPr>
        <w:t> </w:t>
      </w:r>
      <w:r>
        <w:rPr>
          <w:i/>
          <w:color w:val="231F20"/>
          <w:sz w:val="24"/>
        </w:rPr>
        <w:t>vivent</w:t>
      </w:r>
      <w:r>
        <w:rPr>
          <w:i/>
          <w:color w:val="231F20"/>
          <w:spacing w:val="-5"/>
          <w:sz w:val="24"/>
        </w:rPr>
        <w:t> </w:t>
      </w:r>
      <w:r>
        <w:rPr>
          <w:i/>
          <w:color w:val="231F20"/>
          <w:sz w:val="24"/>
        </w:rPr>
        <w:t>à</w:t>
      </w:r>
      <w:r>
        <w:rPr>
          <w:i/>
          <w:color w:val="231F20"/>
          <w:spacing w:val="-5"/>
          <w:sz w:val="24"/>
        </w:rPr>
        <w:t> </w:t>
      </w:r>
      <w:r>
        <w:rPr>
          <w:i/>
          <w:color w:val="231F20"/>
          <w:sz w:val="24"/>
        </w:rPr>
        <w:t>plusieurs</w:t>
      </w:r>
      <w:r>
        <w:rPr>
          <w:i/>
          <w:color w:val="231F20"/>
          <w:spacing w:val="-5"/>
          <w:sz w:val="24"/>
        </w:rPr>
        <w:t> </w:t>
      </w:r>
      <w:r>
        <w:rPr>
          <w:i/>
          <w:color w:val="231F20"/>
          <w:sz w:val="24"/>
        </w:rPr>
        <w:t>dans</w:t>
      </w:r>
      <w:r>
        <w:rPr>
          <w:i/>
          <w:color w:val="231F20"/>
          <w:spacing w:val="-5"/>
          <w:sz w:val="24"/>
        </w:rPr>
        <w:t> </w:t>
      </w:r>
      <w:r>
        <w:rPr>
          <w:i/>
          <w:color w:val="231F20"/>
          <w:sz w:val="24"/>
        </w:rPr>
        <w:t>des</w:t>
      </w:r>
      <w:r>
        <w:rPr>
          <w:i/>
          <w:color w:val="231F20"/>
          <w:spacing w:val="-5"/>
          <w:sz w:val="24"/>
        </w:rPr>
        <w:t> </w:t>
      </w:r>
      <w:r>
        <w:rPr>
          <w:i/>
          <w:color w:val="231F20"/>
          <w:sz w:val="24"/>
        </w:rPr>
        <w:t>taudis.</w:t>
      </w:r>
      <w:r>
        <w:rPr>
          <w:i/>
          <w:color w:val="231F20"/>
          <w:spacing w:val="-5"/>
          <w:sz w:val="24"/>
        </w:rPr>
        <w:t> </w:t>
      </w:r>
      <w:r>
        <w:rPr>
          <w:i/>
          <w:color w:val="231F20"/>
          <w:sz w:val="24"/>
        </w:rPr>
        <w:t>Les</w:t>
      </w:r>
      <w:r>
        <w:rPr>
          <w:i/>
          <w:color w:val="231F20"/>
          <w:spacing w:val="-7"/>
          <w:sz w:val="24"/>
        </w:rPr>
        <w:t> </w:t>
      </w:r>
      <w:r>
        <w:rPr>
          <w:i/>
          <w:color w:val="231F20"/>
          <w:sz w:val="24"/>
        </w:rPr>
        <w:t>parents les confient à un tuteur qui ne s’en occupe presque pas. Alors parfois, elles</w:t>
      </w:r>
      <w:r>
        <w:rPr>
          <w:i/>
          <w:color w:val="231F20"/>
          <w:spacing w:val="-2"/>
          <w:sz w:val="24"/>
        </w:rPr>
        <w:t> </w:t>
      </w:r>
      <w:r>
        <w:rPr>
          <w:i/>
          <w:color w:val="231F20"/>
          <w:sz w:val="24"/>
        </w:rPr>
        <w:t>acceptent</w:t>
      </w:r>
      <w:r>
        <w:rPr>
          <w:i/>
          <w:color w:val="231F20"/>
          <w:spacing w:val="-2"/>
          <w:sz w:val="24"/>
        </w:rPr>
        <w:t> </w:t>
      </w:r>
      <w:r>
        <w:rPr>
          <w:i/>
          <w:color w:val="231F20"/>
          <w:sz w:val="24"/>
        </w:rPr>
        <w:t>les</w:t>
      </w:r>
      <w:r>
        <w:rPr>
          <w:i/>
          <w:color w:val="231F20"/>
          <w:spacing w:val="-2"/>
          <w:sz w:val="24"/>
        </w:rPr>
        <w:t> </w:t>
      </w:r>
      <w:r>
        <w:rPr>
          <w:i/>
          <w:color w:val="231F20"/>
          <w:sz w:val="24"/>
        </w:rPr>
        <w:t>propositions</w:t>
      </w:r>
      <w:r>
        <w:rPr>
          <w:i/>
          <w:color w:val="231F20"/>
          <w:spacing w:val="-1"/>
          <w:sz w:val="24"/>
        </w:rPr>
        <w:t> </w:t>
      </w:r>
      <w:r>
        <w:rPr>
          <w:i/>
          <w:color w:val="231F20"/>
          <w:sz w:val="24"/>
        </w:rPr>
        <w:t>d’un</w:t>
      </w:r>
      <w:r>
        <w:rPr>
          <w:i/>
          <w:color w:val="231F20"/>
          <w:spacing w:val="-3"/>
          <w:sz w:val="24"/>
        </w:rPr>
        <w:t> </w:t>
      </w:r>
      <w:r>
        <w:rPr>
          <w:i/>
          <w:color w:val="231F20"/>
          <w:sz w:val="24"/>
        </w:rPr>
        <w:t>couturier,</w:t>
      </w:r>
      <w:r>
        <w:rPr>
          <w:i/>
          <w:color w:val="231F20"/>
          <w:spacing w:val="-3"/>
          <w:sz w:val="24"/>
        </w:rPr>
        <w:t> </w:t>
      </w:r>
      <w:r>
        <w:rPr>
          <w:i/>
          <w:color w:val="231F20"/>
          <w:sz w:val="24"/>
        </w:rPr>
        <w:t>d’un</w:t>
      </w:r>
      <w:r>
        <w:rPr>
          <w:i/>
          <w:color w:val="231F20"/>
          <w:spacing w:val="-1"/>
          <w:sz w:val="24"/>
        </w:rPr>
        <w:t> </w:t>
      </w:r>
      <w:r>
        <w:rPr>
          <w:i/>
          <w:color w:val="231F20"/>
          <w:sz w:val="24"/>
        </w:rPr>
        <w:t>garagiste</w:t>
      </w:r>
      <w:r>
        <w:rPr>
          <w:i/>
          <w:color w:val="231F20"/>
          <w:spacing w:val="-1"/>
          <w:sz w:val="24"/>
        </w:rPr>
        <w:t> </w:t>
      </w:r>
      <w:r>
        <w:rPr>
          <w:i/>
          <w:color w:val="231F20"/>
          <w:sz w:val="24"/>
        </w:rPr>
        <w:t>ou</w:t>
      </w:r>
      <w:r>
        <w:rPr>
          <w:i/>
          <w:color w:val="231F20"/>
          <w:spacing w:val="-3"/>
          <w:sz w:val="24"/>
        </w:rPr>
        <w:t> </w:t>
      </w:r>
      <w:r>
        <w:rPr>
          <w:i/>
          <w:color w:val="231F20"/>
          <w:sz w:val="24"/>
        </w:rPr>
        <w:t>d’un agriculteur du coin contre un repas ou un peu d’argent </w:t>
      </w:r>
      <w:r>
        <w:rPr>
          <w:color w:val="76787A"/>
          <w:sz w:val="24"/>
          <w:vertAlign w:val="superscript"/>
        </w:rPr>
        <w:t>276</w:t>
      </w:r>
      <w:r>
        <w:rPr>
          <w:color w:val="76787A"/>
          <w:sz w:val="24"/>
          <w:vertAlign w:val="baseline"/>
        </w:rPr>
        <w:t> </w:t>
      </w:r>
      <w:r>
        <w:rPr>
          <w:i/>
          <w:color w:val="231F20"/>
          <w:sz w:val="24"/>
          <w:vertAlign w:val="baseline"/>
        </w:rPr>
        <w:t>.</w:t>
      </w:r>
      <w:r>
        <w:rPr>
          <w:i/>
          <w:color w:val="231F20"/>
          <w:sz w:val="24"/>
          <w:vertAlign w:val="baseline"/>
        </w:rPr>
        <w:t> Malheureusement,</w:t>
      </w:r>
      <w:r>
        <w:rPr>
          <w:i/>
          <w:color w:val="231F20"/>
          <w:spacing w:val="-12"/>
          <w:sz w:val="24"/>
          <w:vertAlign w:val="baseline"/>
        </w:rPr>
        <w:t> </w:t>
      </w:r>
      <w:r>
        <w:rPr>
          <w:i/>
          <w:color w:val="231F20"/>
          <w:sz w:val="24"/>
          <w:vertAlign w:val="baseline"/>
        </w:rPr>
        <w:t>sans</w:t>
      </w:r>
      <w:r>
        <w:rPr>
          <w:i/>
          <w:color w:val="231F20"/>
          <w:spacing w:val="-10"/>
          <w:sz w:val="24"/>
          <w:vertAlign w:val="baseline"/>
        </w:rPr>
        <w:t> </w:t>
      </w:r>
      <w:r>
        <w:rPr>
          <w:i/>
          <w:color w:val="231F20"/>
          <w:sz w:val="24"/>
          <w:vertAlign w:val="baseline"/>
        </w:rPr>
        <w:t>encadrement,</w:t>
      </w:r>
      <w:r>
        <w:rPr>
          <w:i/>
          <w:color w:val="231F20"/>
          <w:spacing w:val="-10"/>
          <w:sz w:val="24"/>
          <w:vertAlign w:val="baseline"/>
        </w:rPr>
        <w:t> </w:t>
      </w:r>
      <w:r>
        <w:rPr>
          <w:i/>
          <w:color w:val="231F20"/>
          <w:sz w:val="24"/>
          <w:vertAlign w:val="baseline"/>
        </w:rPr>
        <w:t>elles</w:t>
      </w:r>
      <w:r>
        <w:rPr>
          <w:i/>
          <w:color w:val="231F20"/>
          <w:spacing w:val="-12"/>
          <w:sz w:val="24"/>
          <w:vertAlign w:val="baseline"/>
        </w:rPr>
        <w:t> </w:t>
      </w:r>
      <w:r>
        <w:rPr>
          <w:i/>
          <w:color w:val="231F20"/>
          <w:sz w:val="24"/>
          <w:vertAlign w:val="baseline"/>
        </w:rPr>
        <w:t>prennent</w:t>
      </w:r>
      <w:r>
        <w:rPr>
          <w:i/>
          <w:color w:val="231F20"/>
          <w:spacing w:val="-10"/>
          <w:sz w:val="24"/>
          <w:vertAlign w:val="baseline"/>
        </w:rPr>
        <w:t> </w:t>
      </w:r>
      <w:r>
        <w:rPr>
          <w:i/>
          <w:color w:val="231F20"/>
          <w:sz w:val="24"/>
          <w:vertAlign w:val="baseline"/>
        </w:rPr>
        <w:t>une</w:t>
      </w:r>
      <w:r>
        <w:rPr>
          <w:i/>
          <w:color w:val="231F20"/>
          <w:spacing w:val="-10"/>
          <w:sz w:val="24"/>
          <w:vertAlign w:val="baseline"/>
        </w:rPr>
        <w:t> </w:t>
      </w:r>
      <w:r>
        <w:rPr>
          <w:i/>
          <w:color w:val="231F20"/>
          <w:sz w:val="24"/>
          <w:vertAlign w:val="baseline"/>
        </w:rPr>
        <w:t>grossesse</w:t>
      </w:r>
      <w:r>
        <w:rPr>
          <w:i/>
          <w:color w:val="231F20"/>
          <w:spacing w:val="-10"/>
          <w:sz w:val="24"/>
          <w:vertAlign w:val="baseline"/>
        </w:rPr>
        <w:t> </w:t>
      </w:r>
      <w:r>
        <w:rPr>
          <w:i/>
          <w:color w:val="231F20"/>
          <w:sz w:val="24"/>
          <w:vertAlign w:val="baseline"/>
        </w:rPr>
        <w:t>non désirée et précoce</w:t>
      </w:r>
      <w:r>
        <w:rPr>
          <w:i/>
          <w:color w:val="231F20"/>
          <w:spacing w:val="-13"/>
          <w:sz w:val="24"/>
          <w:vertAlign w:val="baseline"/>
        </w:rPr>
        <w:t> </w:t>
      </w:r>
      <w:r>
        <w:rPr>
          <w:i/>
          <w:color w:val="231F20"/>
          <w:sz w:val="24"/>
          <w:vertAlign w:val="baseline"/>
        </w:rPr>
        <w:t>: 56,8</w:t>
      </w:r>
      <w:r>
        <w:rPr>
          <w:i/>
          <w:color w:val="231F20"/>
          <w:spacing w:val="-15"/>
          <w:sz w:val="24"/>
          <w:vertAlign w:val="baseline"/>
        </w:rPr>
        <w:t> </w:t>
      </w:r>
      <w:r>
        <w:rPr>
          <w:i/>
          <w:color w:val="231F20"/>
          <w:sz w:val="24"/>
          <w:vertAlign w:val="baseline"/>
        </w:rPr>
        <w:t>% des géniteurs étaient des travailleurs informels et 40</w:t>
      </w:r>
      <w:r>
        <w:rPr>
          <w:i/>
          <w:color w:val="231F20"/>
          <w:spacing w:val="-15"/>
          <w:sz w:val="24"/>
          <w:vertAlign w:val="baseline"/>
        </w:rPr>
        <w:t> </w:t>
      </w:r>
      <w:r>
        <w:rPr>
          <w:i/>
          <w:color w:val="231F20"/>
          <w:sz w:val="24"/>
          <w:vertAlign w:val="baseline"/>
        </w:rPr>
        <w:t>% étaient des élèves. La même année, l’éducation nationale</w:t>
      </w:r>
      <w:r>
        <w:rPr>
          <w:i/>
          <w:color w:val="231F20"/>
          <w:spacing w:val="-10"/>
          <w:sz w:val="24"/>
          <w:vertAlign w:val="baseline"/>
        </w:rPr>
        <w:t> </w:t>
      </w:r>
      <w:r>
        <w:rPr>
          <w:i/>
          <w:color w:val="231F20"/>
          <w:sz w:val="24"/>
          <w:vertAlign w:val="baseline"/>
        </w:rPr>
        <w:t>a</w:t>
      </w:r>
      <w:r>
        <w:rPr>
          <w:i/>
          <w:color w:val="231F20"/>
          <w:spacing w:val="-8"/>
          <w:sz w:val="24"/>
          <w:vertAlign w:val="baseline"/>
        </w:rPr>
        <w:t> </w:t>
      </w:r>
      <w:r>
        <w:rPr>
          <w:i/>
          <w:color w:val="231F20"/>
          <w:sz w:val="24"/>
          <w:vertAlign w:val="baseline"/>
        </w:rPr>
        <w:t>pointé</w:t>
      </w:r>
      <w:r>
        <w:rPr>
          <w:i/>
          <w:color w:val="231F20"/>
          <w:spacing w:val="-8"/>
          <w:sz w:val="24"/>
          <w:vertAlign w:val="baseline"/>
        </w:rPr>
        <w:t> </w:t>
      </w:r>
      <w:r>
        <w:rPr>
          <w:i/>
          <w:color w:val="231F20"/>
          <w:sz w:val="24"/>
          <w:vertAlign w:val="baseline"/>
        </w:rPr>
        <w:t>une</w:t>
      </w:r>
      <w:r>
        <w:rPr>
          <w:i/>
          <w:color w:val="231F20"/>
          <w:spacing w:val="-8"/>
          <w:sz w:val="24"/>
          <w:vertAlign w:val="baseline"/>
        </w:rPr>
        <w:t> </w:t>
      </w:r>
      <w:r>
        <w:rPr>
          <w:i/>
          <w:color w:val="231F20"/>
          <w:sz w:val="24"/>
          <w:vertAlign w:val="baseline"/>
        </w:rPr>
        <w:t>autre</w:t>
      </w:r>
      <w:r>
        <w:rPr>
          <w:i/>
          <w:color w:val="231F20"/>
          <w:spacing w:val="-8"/>
          <w:sz w:val="24"/>
          <w:vertAlign w:val="baseline"/>
        </w:rPr>
        <w:t> </w:t>
      </w:r>
      <w:r>
        <w:rPr>
          <w:i/>
          <w:color w:val="231F20"/>
          <w:sz w:val="24"/>
          <w:vertAlign w:val="baseline"/>
        </w:rPr>
        <w:t>cause</w:t>
      </w:r>
      <w:r>
        <w:rPr>
          <w:i/>
          <w:color w:val="231F20"/>
          <w:spacing w:val="-15"/>
          <w:sz w:val="24"/>
          <w:vertAlign w:val="baseline"/>
        </w:rPr>
        <w:t> </w:t>
      </w:r>
      <w:r>
        <w:rPr>
          <w:i/>
          <w:color w:val="231F20"/>
          <w:sz w:val="24"/>
          <w:vertAlign w:val="baseline"/>
        </w:rPr>
        <w:t>:</w:t>
      </w:r>
      <w:r>
        <w:rPr>
          <w:i/>
          <w:color w:val="231F20"/>
          <w:spacing w:val="-10"/>
          <w:sz w:val="24"/>
          <w:vertAlign w:val="baseline"/>
        </w:rPr>
        <w:t> </w:t>
      </w:r>
      <w:r>
        <w:rPr>
          <w:i/>
          <w:color w:val="231F20"/>
          <w:sz w:val="24"/>
          <w:vertAlign w:val="baseline"/>
        </w:rPr>
        <w:t>les</w:t>
      </w:r>
      <w:r>
        <w:rPr>
          <w:i/>
          <w:color w:val="231F20"/>
          <w:spacing w:val="-8"/>
          <w:sz w:val="24"/>
          <w:vertAlign w:val="baseline"/>
        </w:rPr>
        <w:t> </w:t>
      </w:r>
      <w:r>
        <w:rPr>
          <w:i/>
          <w:color w:val="231F20"/>
          <w:sz w:val="24"/>
          <w:vertAlign w:val="baseline"/>
        </w:rPr>
        <w:t>NST,</w:t>
      </w:r>
      <w:r>
        <w:rPr>
          <w:i/>
          <w:color w:val="231F20"/>
          <w:spacing w:val="-8"/>
          <w:sz w:val="24"/>
          <w:vertAlign w:val="baseline"/>
        </w:rPr>
        <w:t> </w:t>
      </w:r>
      <w:r>
        <w:rPr>
          <w:i/>
          <w:color w:val="231F20"/>
          <w:sz w:val="24"/>
          <w:vertAlign w:val="baseline"/>
        </w:rPr>
        <w:t>pour</w:t>
      </w:r>
      <w:r>
        <w:rPr>
          <w:i/>
          <w:color w:val="231F20"/>
          <w:spacing w:val="-10"/>
          <w:sz w:val="24"/>
          <w:vertAlign w:val="baseline"/>
        </w:rPr>
        <w:t> </w:t>
      </w:r>
      <w:r>
        <w:rPr>
          <w:i/>
          <w:color w:val="231F20"/>
          <w:sz w:val="24"/>
          <w:vertAlign w:val="baseline"/>
        </w:rPr>
        <w:t>«</w:t>
      </w:r>
      <w:r>
        <w:rPr>
          <w:i/>
          <w:color w:val="231F20"/>
          <w:spacing w:val="-15"/>
          <w:sz w:val="24"/>
          <w:vertAlign w:val="baseline"/>
        </w:rPr>
        <w:t> </w:t>
      </w:r>
      <w:r>
        <w:rPr>
          <w:i/>
          <w:color w:val="231F20"/>
          <w:sz w:val="24"/>
          <w:vertAlign w:val="baseline"/>
        </w:rPr>
        <w:t>notes</w:t>
      </w:r>
      <w:r>
        <w:rPr>
          <w:i/>
          <w:color w:val="231F20"/>
          <w:spacing w:val="-7"/>
          <w:sz w:val="24"/>
          <w:vertAlign w:val="baseline"/>
        </w:rPr>
        <w:t> </w:t>
      </w:r>
      <w:r>
        <w:rPr>
          <w:i/>
          <w:color w:val="231F20"/>
          <w:sz w:val="24"/>
          <w:vertAlign w:val="baseline"/>
        </w:rPr>
        <w:t>sexuellement transmissibles</w:t>
      </w:r>
      <w:r>
        <w:rPr>
          <w:i/>
          <w:color w:val="231F20"/>
          <w:spacing w:val="-15"/>
          <w:sz w:val="24"/>
          <w:vertAlign w:val="baseline"/>
        </w:rPr>
        <w:t> </w:t>
      </w:r>
      <w:r>
        <w:rPr>
          <w:i/>
          <w:color w:val="231F20"/>
          <w:sz w:val="24"/>
          <w:vertAlign w:val="baseline"/>
        </w:rPr>
        <w:t>».</w:t>
      </w:r>
      <w:r>
        <w:rPr>
          <w:i/>
          <w:color w:val="231F20"/>
          <w:spacing w:val="-15"/>
          <w:sz w:val="24"/>
          <w:vertAlign w:val="baseline"/>
        </w:rPr>
        <w:t> </w:t>
      </w:r>
      <w:r>
        <w:rPr>
          <w:i/>
          <w:color w:val="231F20"/>
          <w:sz w:val="24"/>
          <w:vertAlign w:val="baseline"/>
        </w:rPr>
        <w:t>Aujourd’hui,</w:t>
      </w:r>
      <w:r>
        <w:rPr>
          <w:i/>
          <w:color w:val="231F20"/>
          <w:spacing w:val="-15"/>
          <w:sz w:val="24"/>
          <w:vertAlign w:val="baseline"/>
        </w:rPr>
        <w:t> </w:t>
      </w:r>
      <w:r>
        <w:rPr>
          <w:i/>
          <w:color w:val="231F20"/>
          <w:sz w:val="24"/>
          <w:vertAlign w:val="baseline"/>
        </w:rPr>
        <w:t>entre</w:t>
      </w:r>
      <w:r>
        <w:rPr>
          <w:i/>
          <w:color w:val="231F20"/>
          <w:spacing w:val="-15"/>
          <w:sz w:val="24"/>
          <w:vertAlign w:val="baseline"/>
        </w:rPr>
        <w:t> </w:t>
      </w:r>
      <w:r>
        <w:rPr>
          <w:i/>
          <w:color w:val="231F20"/>
          <w:sz w:val="24"/>
          <w:vertAlign w:val="baseline"/>
        </w:rPr>
        <w:t>2</w:t>
      </w:r>
      <w:r>
        <w:rPr>
          <w:i/>
          <w:color w:val="231F20"/>
          <w:spacing w:val="-15"/>
          <w:sz w:val="24"/>
          <w:vertAlign w:val="baseline"/>
        </w:rPr>
        <w:t> </w:t>
      </w:r>
      <w:r>
        <w:rPr>
          <w:i/>
          <w:color w:val="231F20"/>
          <w:sz w:val="24"/>
          <w:vertAlign w:val="baseline"/>
        </w:rPr>
        <w:t>%</w:t>
      </w:r>
      <w:r>
        <w:rPr>
          <w:i/>
          <w:color w:val="231F20"/>
          <w:spacing w:val="-15"/>
          <w:sz w:val="24"/>
          <w:vertAlign w:val="baseline"/>
        </w:rPr>
        <w:t> </w:t>
      </w:r>
      <w:r>
        <w:rPr>
          <w:i/>
          <w:color w:val="231F20"/>
          <w:sz w:val="24"/>
          <w:vertAlign w:val="baseline"/>
        </w:rPr>
        <w:t>et</w:t>
      </w:r>
      <w:r>
        <w:rPr>
          <w:i/>
          <w:color w:val="231F20"/>
          <w:spacing w:val="-15"/>
          <w:sz w:val="24"/>
          <w:vertAlign w:val="baseline"/>
        </w:rPr>
        <w:t> </w:t>
      </w:r>
      <w:r>
        <w:rPr>
          <w:i/>
          <w:color w:val="231F20"/>
          <w:sz w:val="24"/>
          <w:vertAlign w:val="baseline"/>
        </w:rPr>
        <w:t>4</w:t>
      </w:r>
      <w:r>
        <w:rPr>
          <w:i/>
          <w:color w:val="231F20"/>
          <w:spacing w:val="-15"/>
          <w:sz w:val="24"/>
          <w:vertAlign w:val="baseline"/>
        </w:rPr>
        <w:t> </w:t>
      </w:r>
      <w:r>
        <w:rPr>
          <w:i/>
          <w:color w:val="231F20"/>
          <w:sz w:val="24"/>
          <w:vertAlign w:val="baseline"/>
        </w:rPr>
        <w:t>%</w:t>
      </w:r>
      <w:r>
        <w:rPr>
          <w:i/>
          <w:color w:val="231F20"/>
          <w:spacing w:val="-15"/>
          <w:sz w:val="24"/>
          <w:vertAlign w:val="baseline"/>
        </w:rPr>
        <w:t> </w:t>
      </w:r>
      <w:r>
        <w:rPr>
          <w:i/>
          <w:color w:val="231F20"/>
          <w:sz w:val="24"/>
          <w:vertAlign w:val="baseline"/>
        </w:rPr>
        <w:t>des</w:t>
      </w:r>
      <w:r>
        <w:rPr>
          <w:i/>
          <w:color w:val="231F20"/>
          <w:spacing w:val="-15"/>
          <w:sz w:val="24"/>
          <w:vertAlign w:val="baseline"/>
        </w:rPr>
        <w:t> </w:t>
      </w:r>
      <w:r>
        <w:rPr>
          <w:i/>
          <w:color w:val="231F20"/>
          <w:sz w:val="24"/>
          <w:vertAlign w:val="baseline"/>
        </w:rPr>
        <w:t>grossesses</w:t>
      </w:r>
      <w:r>
        <w:rPr>
          <w:i/>
          <w:color w:val="231F20"/>
          <w:spacing w:val="-15"/>
          <w:sz w:val="24"/>
          <w:vertAlign w:val="baseline"/>
        </w:rPr>
        <w:t> </w:t>
      </w:r>
      <w:r>
        <w:rPr>
          <w:i/>
          <w:color w:val="231F20"/>
          <w:sz w:val="24"/>
          <w:vertAlign w:val="baseline"/>
        </w:rPr>
        <w:t>précoces seraient</w:t>
      </w:r>
      <w:r>
        <w:rPr>
          <w:i/>
          <w:color w:val="231F20"/>
          <w:spacing w:val="-1"/>
          <w:sz w:val="24"/>
          <w:vertAlign w:val="baseline"/>
        </w:rPr>
        <w:t> </w:t>
      </w:r>
      <w:r>
        <w:rPr>
          <w:i/>
          <w:color w:val="231F20"/>
          <w:sz w:val="24"/>
          <w:vertAlign w:val="baseline"/>
        </w:rPr>
        <w:t>dues</w:t>
      </w:r>
      <w:r>
        <w:rPr>
          <w:i/>
          <w:color w:val="231F20"/>
          <w:spacing w:val="-2"/>
          <w:sz w:val="24"/>
          <w:vertAlign w:val="baseline"/>
        </w:rPr>
        <w:t> </w:t>
      </w:r>
      <w:r>
        <w:rPr>
          <w:i/>
          <w:color w:val="231F20"/>
          <w:sz w:val="24"/>
          <w:vertAlign w:val="baseline"/>
        </w:rPr>
        <w:t>à</w:t>
      </w:r>
      <w:r>
        <w:rPr>
          <w:i/>
          <w:color w:val="231F20"/>
          <w:spacing w:val="-2"/>
          <w:sz w:val="24"/>
          <w:vertAlign w:val="baseline"/>
        </w:rPr>
        <w:t> </w:t>
      </w:r>
      <w:r>
        <w:rPr>
          <w:i/>
          <w:color w:val="231F20"/>
          <w:sz w:val="24"/>
          <w:vertAlign w:val="baseline"/>
        </w:rPr>
        <w:t>un</w:t>
      </w:r>
      <w:r>
        <w:rPr>
          <w:i/>
          <w:color w:val="231F20"/>
          <w:spacing w:val="-2"/>
          <w:sz w:val="24"/>
          <w:vertAlign w:val="baseline"/>
        </w:rPr>
        <w:t> </w:t>
      </w:r>
      <w:r>
        <w:rPr>
          <w:i/>
          <w:color w:val="231F20"/>
          <w:sz w:val="24"/>
          <w:vertAlign w:val="baseline"/>
        </w:rPr>
        <w:t>professeur</w:t>
      </w:r>
      <w:r>
        <w:rPr>
          <w:i/>
          <w:color w:val="231F20"/>
          <w:spacing w:val="-2"/>
          <w:sz w:val="24"/>
          <w:vertAlign w:val="baseline"/>
        </w:rPr>
        <w:t> </w:t>
      </w:r>
      <w:r>
        <w:rPr>
          <w:i/>
          <w:color w:val="231F20"/>
          <w:sz w:val="24"/>
          <w:vertAlign w:val="baseline"/>
        </w:rPr>
        <w:t>ou</w:t>
      </w:r>
      <w:r>
        <w:rPr>
          <w:i/>
          <w:color w:val="231F20"/>
          <w:spacing w:val="-2"/>
          <w:sz w:val="24"/>
          <w:vertAlign w:val="baseline"/>
        </w:rPr>
        <w:t> </w:t>
      </w:r>
      <w:r>
        <w:rPr>
          <w:i/>
          <w:color w:val="231F20"/>
          <w:sz w:val="24"/>
          <w:vertAlign w:val="baseline"/>
        </w:rPr>
        <w:t>un</w:t>
      </w:r>
      <w:r>
        <w:rPr>
          <w:i/>
          <w:color w:val="231F20"/>
          <w:spacing w:val="-2"/>
          <w:sz w:val="24"/>
          <w:vertAlign w:val="baseline"/>
        </w:rPr>
        <w:t> </w:t>
      </w:r>
      <w:r>
        <w:rPr>
          <w:i/>
          <w:color w:val="231F20"/>
          <w:sz w:val="24"/>
          <w:vertAlign w:val="baseline"/>
        </w:rPr>
        <w:t>éducateur,</w:t>
      </w:r>
      <w:r>
        <w:rPr>
          <w:i/>
          <w:color w:val="231F20"/>
          <w:spacing w:val="-2"/>
          <w:sz w:val="24"/>
          <w:vertAlign w:val="baseline"/>
        </w:rPr>
        <w:t> </w:t>
      </w:r>
      <w:r>
        <w:rPr>
          <w:i/>
          <w:color w:val="231F20"/>
          <w:sz w:val="24"/>
          <w:vertAlign w:val="baseline"/>
        </w:rPr>
        <w:t>soit</w:t>
      </w:r>
      <w:r>
        <w:rPr>
          <w:i/>
          <w:color w:val="231F20"/>
          <w:spacing w:val="-1"/>
          <w:sz w:val="24"/>
          <w:vertAlign w:val="baseline"/>
        </w:rPr>
        <w:t> </w:t>
      </w:r>
      <w:r>
        <w:rPr>
          <w:i/>
          <w:color w:val="231F20"/>
          <w:sz w:val="24"/>
          <w:vertAlign w:val="baseline"/>
        </w:rPr>
        <w:t>entre</w:t>
      </w:r>
      <w:r>
        <w:rPr>
          <w:i/>
          <w:color w:val="231F20"/>
          <w:spacing w:val="-2"/>
          <w:sz w:val="24"/>
          <w:vertAlign w:val="baseline"/>
        </w:rPr>
        <w:t> </w:t>
      </w:r>
      <w:r>
        <w:rPr>
          <w:i/>
          <w:color w:val="231F20"/>
          <w:sz w:val="24"/>
          <w:vertAlign w:val="baseline"/>
        </w:rPr>
        <w:t>70</w:t>
      </w:r>
      <w:r>
        <w:rPr>
          <w:i/>
          <w:color w:val="231F20"/>
          <w:spacing w:val="-2"/>
          <w:sz w:val="24"/>
          <w:vertAlign w:val="baseline"/>
        </w:rPr>
        <w:t> </w:t>
      </w:r>
      <w:r>
        <w:rPr>
          <w:i/>
          <w:color w:val="231F20"/>
          <w:sz w:val="24"/>
          <w:vertAlign w:val="baseline"/>
        </w:rPr>
        <w:t>et</w:t>
      </w:r>
      <w:r>
        <w:rPr>
          <w:i/>
          <w:color w:val="231F20"/>
          <w:spacing w:val="-2"/>
          <w:sz w:val="24"/>
          <w:vertAlign w:val="baseline"/>
        </w:rPr>
        <w:t> </w:t>
      </w:r>
      <w:r>
        <w:rPr>
          <w:i/>
          <w:color w:val="231F20"/>
          <w:sz w:val="24"/>
          <w:vertAlign w:val="baseline"/>
        </w:rPr>
        <w:t>140</w:t>
      </w:r>
      <w:r>
        <w:rPr>
          <w:i/>
          <w:color w:val="231F20"/>
          <w:spacing w:val="-12"/>
          <w:sz w:val="24"/>
          <w:vertAlign w:val="baseline"/>
        </w:rPr>
        <w:t> </w:t>
      </w:r>
      <w:r>
        <w:rPr>
          <w:i/>
          <w:color w:val="231F20"/>
          <w:sz w:val="24"/>
          <w:vertAlign w:val="baseline"/>
        </w:rPr>
        <w:t>cas chaque année</w:t>
      </w:r>
      <w:r>
        <w:rPr>
          <w:i/>
          <w:color w:val="231F20"/>
          <w:spacing w:val="-11"/>
          <w:sz w:val="24"/>
          <w:vertAlign w:val="baseline"/>
        </w:rPr>
        <w:t> </w:t>
      </w:r>
      <w:r>
        <w:rPr>
          <w:color w:val="76787A"/>
          <w:sz w:val="24"/>
          <w:vertAlign w:val="superscript"/>
        </w:rPr>
        <w:t>277</w:t>
      </w:r>
      <w:r>
        <w:rPr>
          <w:color w:val="76787A"/>
          <w:sz w:val="24"/>
          <w:vertAlign w:val="baseline"/>
        </w:rPr>
        <w:t> </w:t>
      </w:r>
      <w:r>
        <w:rPr>
          <w:i/>
          <w:color w:val="231F20"/>
          <w:sz w:val="24"/>
          <w:vertAlign w:val="baseline"/>
        </w:rPr>
        <w:t>»</w:t>
      </w:r>
      <w:r>
        <w:rPr>
          <w:color w:val="231F20"/>
          <w:sz w:val="24"/>
          <w:vertAlign w:val="baseline"/>
        </w:rPr>
        <w:t>. Les risques liés aux grossesses précoces sont multiples</w:t>
      </w:r>
      <w:r>
        <w:rPr>
          <w:color w:val="231F20"/>
          <w:spacing w:val="-12"/>
          <w:sz w:val="24"/>
          <w:vertAlign w:val="baseline"/>
        </w:rPr>
        <w:t> </w:t>
      </w:r>
      <w:r>
        <w:rPr>
          <w:color w:val="231F20"/>
          <w:sz w:val="24"/>
          <w:vertAlign w:val="baseline"/>
        </w:rPr>
        <w:t>: avortements à risques, déperdition scolaire, marginalisation/stigmatisation, décès liés aux complications de la grossesse et de l’accouchement…</w:t>
      </w:r>
    </w:p>
    <w:p>
      <w:pPr>
        <w:pStyle w:val="BodyText"/>
        <w:spacing w:before="121"/>
        <w:ind w:right="103" w:firstLine="283"/>
      </w:pPr>
      <w:r>
        <w:rPr>
          <w:color w:val="231F20"/>
        </w:rPr>
        <w:t>Dans le système éducatif de la plupart des États d’Afrique francophone, la corruption est érigée en mode de gestion</w:t>
      </w:r>
      <w:r>
        <w:rPr>
          <w:color w:val="231F20"/>
          <w:spacing w:val="-13"/>
        </w:rPr>
        <w:t> </w:t>
      </w:r>
      <w:r>
        <w:rPr>
          <w:color w:val="231F20"/>
        </w:rPr>
        <w:t>: tous les examens et concours,</w:t>
      </w:r>
      <w:r>
        <w:rPr>
          <w:color w:val="231F20"/>
          <w:spacing w:val="-2"/>
        </w:rPr>
        <w:t> </w:t>
      </w:r>
      <w:r>
        <w:rPr>
          <w:color w:val="231F20"/>
        </w:rPr>
        <w:t>Brevet d’études</w:t>
      </w:r>
      <w:r>
        <w:rPr>
          <w:color w:val="231F20"/>
          <w:spacing w:val="-2"/>
        </w:rPr>
        <w:t> </w:t>
      </w:r>
      <w:r>
        <w:rPr>
          <w:color w:val="231F20"/>
        </w:rPr>
        <w:t>de Premier</w:t>
      </w:r>
      <w:r>
        <w:rPr>
          <w:color w:val="231F20"/>
          <w:spacing w:val="-2"/>
        </w:rPr>
        <w:t> </w:t>
      </w:r>
      <w:r>
        <w:rPr>
          <w:color w:val="231F20"/>
        </w:rPr>
        <w:t>Cycle, Baccalauréat, Concours d’entrée dans les Grandes Écoles, Concours Professionnels, bourses</w:t>
      </w:r>
      <w:r>
        <w:rPr>
          <w:color w:val="231F20"/>
          <w:spacing w:val="-15"/>
        </w:rPr>
        <w:t> </w:t>
      </w:r>
      <w:r>
        <w:rPr>
          <w:color w:val="231F20"/>
        </w:rPr>
        <w:t>d’études</w:t>
      </w:r>
      <w:r>
        <w:rPr>
          <w:color w:val="231F20"/>
          <w:spacing w:val="-15"/>
        </w:rPr>
        <w:t> </w:t>
      </w:r>
      <w:r>
        <w:rPr>
          <w:color w:val="231F20"/>
        </w:rPr>
        <w:t>à</w:t>
      </w:r>
      <w:r>
        <w:rPr>
          <w:color w:val="231F20"/>
          <w:spacing w:val="-15"/>
        </w:rPr>
        <w:t> </w:t>
      </w:r>
      <w:r>
        <w:rPr>
          <w:color w:val="231F20"/>
        </w:rPr>
        <w:t>l’étranger</w:t>
      </w:r>
      <w:r>
        <w:rPr>
          <w:color w:val="231F20"/>
          <w:spacing w:val="-15"/>
        </w:rPr>
        <w:t> </w:t>
      </w:r>
      <w:r>
        <w:rPr>
          <w:color w:val="231F20"/>
        </w:rPr>
        <w:t>sont</w:t>
      </w:r>
      <w:r>
        <w:rPr>
          <w:color w:val="231F20"/>
          <w:spacing w:val="-15"/>
        </w:rPr>
        <w:t> </w:t>
      </w:r>
      <w:r>
        <w:rPr>
          <w:color w:val="231F20"/>
        </w:rPr>
        <w:t>tarifés.</w:t>
      </w:r>
      <w:r>
        <w:rPr>
          <w:color w:val="231F20"/>
          <w:spacing w:val="-15"/>
        </w:rPr>
        <w:t> </w:t>
      </w:r>
      <w:r>
        <w:rPr>
          <w:color w:val="231F20"/>
        </w:rPr>
        <w:t>Tout</w:t>
      </w:r>
      <w:r>
        <w:rPr>
          <w:color w:val="231F20"/>
          <w:spacing w:val="-15"/>
        </w:rPr>
        <w:t> </w:t>
      </w:r>
      <w:r>
        <w:rPr>
          <w:color w:val="231F20"/>
        </w:rPr>
        <w:t>se</w:t>
      </w:r>
      <w:r>
        <w:rPr>
          <w:color w:val="231F20"/>
          <w:spacing w:val="-15"/>
        </w:rPr>
        <w:t> </w:t>
      </w:r>
      <w:r>
        <w:rPr>
          <w:color w:val="231F20"/>
        </w:rPr>
        <w:t>paie.</w:t>
      </w:r>
      <w:r>
        <w:rPr>
          <w:color w:val="231F20"/>
          <w:spacing w:val="-15"/>
        </w:rPr>
        <w:t> </w:t>
      </w:r>
      <w:r>
        <w:rPr>
          <w:color w:val="231F20"/>
        </w:rPr>
        <w:t>Quand</w:t>
      </w:r>
      <w:r>
        <w:rPr>
          <w:color w:val="231F20"/>
          <w:spacing w:val="-15"/>
        </w:rPr>
        <w:t> </w:t>
      </w:r>
      <w:r>
        <w:rPr>
          <w:color w:val="231F20"/>
        </w:rPr>
        <w:t>ce</w:t>
      </w:r>
      <w:r>
        <w:rPr>
          <w:color w:val="231F20"/>
          <w:spacing w:val="-15"/>
        </w:rPr>
        <w:t> </w:t>
      </w:r>
      <w:r>
        <w:rPr>
          <w:color w:val="231F20"/>
        </w:rPr>
        <w:t>ne</w:t>
      </w:r>
      <w:r>
        <w:rPr>
          <w:color w:val="231F20"/>
          <w:spacing w:val="-15"/>
        </w:rPr>
        <w:t> </w:t>
      </w:r>
      <w:r>
        <w:rPr>
          <w:color w:val="231F20"/>
        </w:rPr>
        <w:t>sont </w:t>
      </w:r>
      <w:r>
        <w:rPr>
          <w:color w:val="231F20"/>
          <w:spacing w:val="-4"/>
        </w:rPr>
        <w:t>pas</w:t>
      </w:r>
      <w:r>
        <w:rPr>
          <w:color w:val="231F20"/>
          <w:spacing w:val="-11"/>
        </w:rPr>
        <w:t> </w:t>
      </w:r>
      <w:r>
        <w:rPr>
          <w:color w:val="231F20"/>
          <w:spacing w:val="-4"/>
        </w:rPr>
        <w:t>les</w:t>
      </w:r>
      <w:r>
        <w:rPr>
          <w:color w:val="231F20"/>
          <w:spacing w:val="-11"/>
        </w:rPr>
        <w:t> </w:t>
      </w:r>
      <w:r>
        <w:rPr>
          <w:color w:val="231F20"/>
          <w:spacing w:val="-4"/>
        </w:rPr>
        <w:t>enseignants</w:t>
      </w:r>
      <w:r>
        <w:rPr>
          <w:color w:val="231F20"/>
          <w:spacing w:val="-11"/>
        </w:rPr>
        <w:t> </w:t>
      </w:r>
      <w:r>
        <w:rPr>
          <w:color w:val="231F20"/>
          <w:spacing w:val="-4"/>
        </w:rPr>
        <w:t>eux-mêmes</w:t>
      </w:r>
      <w:r>
        <w:rPr>
          <w:color w:val="231F20"/>
          <w:spacing w:val="-11"/>
        </w:rPr>
        <w:t> </w:t>
      </w:r>
      <w:r>
        <w:rPr>
          <w:color w:val="231F20"/>
          <w:spacing w:val="-4"/>
        </w:rPr>
        <w:t>qui</w:t>
      </w:r>
      <w:r>
        <w:rPr>
          <w:color w:val="231F20"/>
          <w:spacing w:val="-11"/>
        </w:rPr>
        <w:t> </w:t>
      </w:r>
      <w:r>
        <w:rPr>
          <w:color w:val="231F20"/>
          <w:spacing w:val="-4"/>
        </w:rPr>
        <w:t>s’organisent</w:t>
      </w:r>
      <w:r>
        <w:rPr>
          <w:color w:val="231F20"/>
          <w:spacing w:val="-11"/>
        </w:rPr>
        <w:t> </w:t>
      </w:r>
      <w:r>
        <w:rPr>
          <w:color w:val="231F20"/>
          <w:spacing w:val="-4"/>
        </w:rPr>
        <w:t>collectivement</w:t>
      </w:r>
      <w:r>
        <w:rPr>
          <w:color w:val="231F20"/>
          <w:spacing w:val="-11"/>
        </w:rPr>
        <w:t> </w:t>
      </w:r>
      <w:r>
        <w:rPr>
          <w:color w:val="231F20"/>
          <w:spacing w:val="-4"/>
        </w:rPr>
        <w:t>pour</w:t>
      </w:r>
      <w:r>
        <w:rPr>
          <w:color w:val="231F20"/>
          <w:spacing w:val="-11"/>
        </w:rPr>
        <w:t> </w:t>
      </w:r>
      <w:r>
        <w:rPr>
          <w:color w:val="231F20"/>
          <w:spacing w:val="-4"/>
        </w:rPr>
        <w:t>offrir </w:t>
      </w:r>
      <w:r>
        <w:rPr>
          <w:color w:val="231F20"/>
        </w:rPr>
        <w:t>leurs</w:t>
      </w:r>
      <w:r>
        <w:rPr>
          <w:color w:val="231F20"/>
          <w:spacing w:val="-4"/>
        </w:rPr>
        <w:t> </w:t>
      </w:r>
      <w:r>
        <w:rPr>
          <w:color w:val="231F20"/>
        </w:rPr>
        <w:t>services</w:t>
      </w:r>
      <w:r>
        <w:rPr>
          <w:color w:val="231F20"/>
          <w:spacing w:val="-4"/>
        </w:rPr>
        <w:t> </w:t>
      </w:r>
      <w:r>
        <w:rPr>
          <w:color w:val="231F20"/>
        </w:rPr>
        <w:t>au</w:t>
      </w:r>
      <w:r>
        <w:rPr>
          <w:color w:val="231F20"/>
          <w:spacing w:val="-4"/>
        </w:rPr>
        <w:t> </w:t>
      </w:r>
      <w:r>
        <w:rPr>
          <w:color w:val="231F20"/>
        </w:rPr>
        <w:t>moment</w:t>
      </w:r>
      <w:r>
        <w:rPr>
          <w:color w:val="231F20"/>
          <w:spacing w:val="-4"/>
        </w:rPr>
        <w:t> </w:t>
      </w:r>
      <w:r>
        <w:rPr>
          <w:color w:val="231F20"/>
        </w:rPr>
        <w:t>des</w:t>
      </w:r>
      <w:r>
        <w:rPr>
          <w:color w:val="231F20"/>
          <w:spacing w:val="-4"/>
        </w:rPr>
        <w:t> </w:t>
      </w:r>
      <w:r>
        <w:rPr>
          <w:color w:val="231F20"/>
        </w:rPr>
        <w:t>examens,</w:t>
      </w:r>
      <w:r>
        <w:rPr>
          <w:color w:val="231F20"/>
          <w:spacing w:val="-2"/>
        </w:rPr>
        <w:t> </w:t>
      </w:r>
      <w:r>
        <w:rPr>
          <w:color w:val="231F20"/>
        </w:rPr>
        <w:t>ce</w:t>
      </w:r>
      <w:r>
        <w:rPr>
          <w:color w:val="231F20"/>
          <w:spacing w:val="-5"/>
        </w:rPr>
        <w:t> </w:t>
      </w:r>
      <w:r>
        <w:rPr>
          <w:color w:val="231F20"/>
        </w:rPr>
        <w:t>sont</w:t>
      </w:r>
      <w:r>
        <w:rPr>
          <w:color w:val="231F20"/>
          <w:spacing w:val="-2"/>
        </w:rPr>
        <w:t> </w:t>
      </w:r>
      <w:r>
        <w:rPr>
          <w:color w:val="231F20"/>
        </w:rPr>
        <w:t>les</w:t>
      </w:r>
      <w:r>
        <w:rPr>
          <w:color w:val="231F20"/>
          <w:spacing w:val="-4"/>
        </w:rPr>
        <w:t> </w:t>
      </w:r>
      <w:r>
        <w:rPr>
          <w:color w:val="231F20"/>
        </w:rPr>
        <w:t>parents</w:t>
      </w:r>
      <w:r>
        <w:rPr>
          <w:color w:val="231F20"/>
          <w:spacing w:val="-3"/>
        </w:rPr>
        <w:t> </w:t>
      </w:r>
      <w:r>
        <w:rPr>
          <w:color w:val="231F20"/>
        </w:rPr>
        <w:t>d’élèves</w:t>
      </w:r>
      <w:r>
        <w:rPr>
          <w:color w:val="231F20"/>
          <w:spacing w:val="-4"/>
        </w:rPr>
        <w:t> </w:t>
      </w:r>
      <w:r>
        <w:rPr>
          <w:color w:val="231F20"/>
        </w:rPr>
        <w:t>qui prennent</w:t>
      </w:r>
      <w:r>
        <w:rPr>
          <w:color w:val="231F20"/>
          <w:spacing w:val="40"/>
        </w:rPr>
        <w:t> </w:t>
      </w:r>
      <w:r>
        <w:rPr>
          <w:color w:val="231F20"/>
        </w:rPr>
        <w:t>directement</w:t>
      </w:r>
      <w:r>
        <w:rPr>
          <w:color w:val="231F20"/>
          <w:spacing w:val="40"/>
        </w:rPr>
        <w:t> </w:t>
      </w:r>
      <w:r>
        <w:rPr>
          <w:color w:val="231F20"/>
        </w:rPr>
        <w:t>contact</w:t>
      </w:r>
      <w:r>
        <w:rPr>
          <w:color w:val="231F20"/>
          <w:spacing w:val="40"/>
        </w:rPr>
        <w:t> </w:t>
      </w:r>
      <w:r>
        <w:rPr>
          <w:color w:val="231F20"/>
        </w:rPr>
        <w:t>avec</w:t>
      </w:r>
      <w:r>
        <w:rPr>
          <w:color w:val="231F20"/>
          <w:spacing w:val="40"/>
        </w:rPr>
        <w:t> </w:t>
      </w:r>
      <w:r>
        <w:rPr>
          <w:color w:val="231F20"/>
        </w:rPr>
        <w:t>les</w:t>
      </w:r>
      <w:r>
        <w:rPr>
          <w:color w:val="231F20"/>
          <w:spacing w:val="40"/>
        </w:rPr>
        <w:t> </w:t>
      </w:r>
      <w:r>
        <w:rPr>
          <w:color w:val="231F20"/>
        </w:rPr>
        <w:t>enseignants</w:t>
      </w:r>
      <w:r>
        <w:rPr>
          <w:color w:val="231F20"/>
          <w:spacing w:val="40"/>
        </w:rPr>
        <w:t> </w:t>
      </w:r>
      <w:r>
        <w:rPr>
          <w:color w:val="231F20"/>
        </w:rPr>
        <w:t>ou</w:t>
      </w:r>
      <w:r>
        <w:rPr>
          <w:color w:val="231F20"/>
          <w:spacing w:val="40"/>
        </w:rPr>
        <w:t> </w:t>
      </w:r>
      <w:r>
        <w:rPr>
          <w:color w:val="231F20"/>
        </w:rPr>
        <w:t>sollicitent</w:t>
      </w:r>
      <w:r>
        <w:rPr>
          <w:color w:val="231F20"/>
          <w:spacing w:val="40"/>
        </w:rPr>
        <w:t> </w:t>
      </w:r>
      <w:r>
        <w:rPr>
          <w:color w:val="231F20"/>
        </w:rPr>
        <w:t>un</w:t>
      </w:r>
    </w:p>
    <w:p>
      <w:pPr>
        <w:pStyle w:val="BodyText"/>
        <w:spacing w:before="1"/>
        <w:ind w:left="0"/>
        <w:jc w:val="left"/>
        <w:rPr>
          <w:sz w:val="15"/>
        </w:rPr>
      </w:pPr>
      <w:r>
        <w:rPr/>
        <mc:AlternateContent>
          <mc:Choice Requires="wps">
            <w:drawing>
              <wp:anchor distT="0" distB="0" distL="0" distR="0" allowOverlap="1" layoutInCell="1" locked="0" behindDoc="1" simplePos="0" relativeHeight="487672320">
                <wp:simplePos x="0" y="0"/>
                <wp:positionH relativeFrom="page">
                  <wp:posOffset>629907</wp:posOffset>
                </wp:positionH>
                <wp:positionV relativeFrom="paragraph">
                  <wp:posOffset>125949</wp:posOffset>
                </wp:positionV>
                <wp:extent cx="1829435" cy="9525"/>
                <wp:effectExtent l="0" t="0" r="0" b="0"/>
                <wp:wrapTopAndBottom/>
                <wp:docPr id="199" name="Graphic 199"/>
                <wp:cNvGraphicFramePr>
                  <a:graphicFrameLocks/>
                </wp:cNvGraphicFramePr>
                <a:graphic>
                  <a:graphicData uri="http://schemas.microsoft.com/office/word/2010/wordprocessingShape">
                    <wps:wsp>
                      <wps:cNvPr id="199" name="Graphic 199"/>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9.917248pt;width:144.020pt;height:.71994pt;mso-position-horizontal-relative:page;mso-position-vertical-relative:paragraph;z-index:-15644160;mso-wrap-distance-left:0;mso-wrap-distance-right:0" id="docshape197" filled="true" fillcolor="#231f20" stroked="false">
                <v:fill type="solid"/>
                <w10:wrap type="topAndBottom"/>
              </v:rect>
            </w:pict>
          </mc:Fallback>
        </mc:AlternateContent>
      </w:r>
    </w:p>
    <w:p>
      <w:pPr>
        <w:spacing w:before="91"/>
        <w:ind w:left="111" w:right="0" w:firstLine="0"/>
        <w:jc w:val="left"/>
        <w:rPr>
          <w:sz w:val="20"/>
        </w:rPr>
      </w:pPr>
      <w:r>
        <w:rPr>
          <w:color w:val="76787A"/>
          <w:spacing w:val="-2"/>
          <w:sz w:val="20"/>
          <w:vertAlign w:val="superscript"/>
        </w:rPr>
        <w:t>276</w:t>
      </w:r>
      <w:r>
        <w:rPr>
          <w:color w:val="231F20"/>
          <w:spacing w:val="-2"/>
          <w:sz w:val="20"/>
          <w:vertAlign w:val="baseline"/>
        </w:rPr>
        <w:t>Direction</w:t>
      </w:r>
      <w:r>
        <w:rPr>
          <w:color w:val="231F20"/>
          <w:spacing w:val="-11"/>
          <w:sz w:val="20"/>
          <w:vertAlign w:val="baseline"/>
        </w:rPr>
        <w:t> </w:t>
      </w:r>
      <w:r>
        <w:rPr>
          <w:color w:val="231F20"/>
          <w:spacing w:val="-2"/>
          <w:sz w:val="20"/>
          <w:vertAlign w:val="baseline"/>
        </w:rPr>
        <w:t>de</w:t>
      </w:r>
      <w:r>
        <w:rPr>
          <w:color w:val="231F20"/>
          <w:spacing w:val="-10"/>
          <w:sz w:val="20"/>
          <w:vertAlign w:val="baseline"/>
        </w:rPr>
        <w:t> </w:t>
      </w:r>
      <w:r>
        <w:rPr>
          <w:color w:val="231F20"/>
          <w:spacing w:val="-2"/>
          <w:sz w:val="20"/>
          <w:vertAlign w:val="baseline"/>
        </w:rPr>
        <w:t>la</w:t>
      </w:r>
      <w:r>
        <w:rPr>
          <w:color w:val="231F20"/>
          <w:spacing w:val="-11"/>
          <w:sz w:val="20"/>
          <w:vertAlign w:val="baseline"/>
        </w:rPr>
        <w:t> </w:t>
      </w:r>
      <w:r>
        <w:rPr>
          <w:color w:val="231F20"/>
          <w:spacing w:val="-2"/>
          <w:sz w:val="20"/>
          <w:vertAlign w:val="baseline"/>
        </w:rPr>
        <w:t>mutualité</w:t>
      </w:r>
      <w:r>
        <w:rPr>
          <w:color w:val="231F20"/>
          <w:spacing w:val="-10"/>
          <w:sz w:val="20"/>
          <w:vertAlign w:val="baseline"/>
        </w:rPr>
        <w:t> </w:t>
      </w:r>
      <w:r>
        <w:rPr>
          <w:color w:val="231F20"/>
          <w:spacing w:val="-2"/>
          <w:sz w:val="20"/>
          <w:vertAlign w:val="baseline"/>
        </w:rPr>
        <w:t>des</w:t>
      </w:r>
      <w:r>
        <w:rPr>
          <w:color w:val="231F20"/>
          <w:spacing w:val="-11"/>
          <w:sz w:val="20"/>
          <w:vertAlign w:val="baseline"/>
        </w:rPr>
        <w:t> </w:t>
      </w:r>
      <w:r>
        <w:rPr>
          <w:color w:val="231F20"/>
          <w:spacing w:val="-2"/>
          <w:sz w:val="20"/>
          <w:vertAlign w:val="baseline"/>
        </w:rPr>
        <w:t>œuvres</w:t>
      </w:r>
      <w:r>
        <w:rPr>
          <w:color w:val="231F20"/>
          <w:spacing w:val="-10"/>
          <w:sz w:val="20"/>
          <w:vertAlign w:val="baseline"/>
        </w:rPr>
        <w:t> </w:t>
      </w:r>
      <w:r>
        <w:rPr>
          <w:color w:val="231F20"/>
          <w:spacing w:val="-2"/>
          <w:sz w:val="20"/>
          <w:vertAlign w:val="baseline"/>
        </w:rPr>
        <w:t>sociales</w:t>
      </w:r>
      <w:r>
        <w:rPr>
          <w:color w:val="231F20"/>
          <w:spacing w:val="-11"/>
          <w:sz w:val="20"/>
          <w:vertAlign w:val="baseline"/>
        </w:rPr>
        <w:t> </w:t>
      </w:r>
      <w:r>
        <w:rPr>
          <w:color w:val="231F20"/>
          <w:spacing w:val="-2"/>
          <w:sz w:val="20"/>
          <w:vertAlign w:val="baseline"/>
        </w:rPr>
        <w:t>en</w:t>
      </w:r>
      <w:r>
        <w:rPr>
          <w:color w:val="231F20"/>
          <w:spacing w:val="-10"/>
          <w:sz w:val="20"/>
          <w:vertAlign w:val="baseline"/>
        </w:rPr>
        <w:t> </w:t>
      </w:r>
      <w:r>
        <w:rPr>
          <w:color w:val="231F20"/>
          <w:spacing w:val="-2"/>
          <w:sz w:val="20"/>
          <w:vertAlign w:val="baseline"/>
        </w:rPr>
        <w:t>milieu</w:t>
      </w:r>
      <w:r>
        <w:rPr>
          <w:color w:val="231F20"/>
          <w:spacing w:val="-11"/>
          <w:sz w:val="20"/>
          <w:vertAlign w:val="baseline"/>
        </w:rPr>
        <w:t> </w:t>
      </w:r>
      <w:r>
        <w:rPr>
          <w:color w:val="231F20"/>
          <w:spacing w:val="-2"/>
          <w:sz w:val="20"/>
          <w:vertAlign w:val="baseline"/>
        </w:rPr>
        <w:t>scolaire</w:t>
      </w:r>
      <w:r>
        <w:rPr>
          <w:color w:val="231F20"/>
          <w:spacing w:val="-10"/>
          <w:sz w:val="20"/>
          <w:vertAlign w:val="baseline"/>
        </w:rPr>
        <w:t> </w:t>
      </w:r>
      <w:r>
        <w:rPr>
          <w:color w:val="231F20"/>
          <w:spacing w:val="-2"/>
          <w:sz w:val="20"/>
          <w:vertAlign w:val="baseline"/>
        </w:rPr>
        <w:t>(DMOSS),</w:t>
      </w:r>
      <w:r>
        <w:rPr>
          <w:color w:val="231F20"/>
          <w:spacing w:val="-11"/>
          <w:sz w:val="20"/>
          <w:vertAlign w:val="baseline"/>
        </w:rPr>
        <w:t> </w:t>
      </w:r>
      <w:r>
        <w:rPr>
          <w:color w:val="231F20"/>
          <w:spacing w:val="-2"/>
          <w:sz w:val="20"/>
          <w:vertAlign w:val="baseline"/>
        </w:rPr>
        <w:t>en</w:t>
      </w:r>
      <w:r>
        <w:rPr>
          <w:color w:val="231F20"/>
          <w:spacing w:val="-10"/>
          <w:sz w:val="20"/>
          <w:vertAlign w:val="baseline"/>
        </w:rPr>
        <w:t> </w:t>
      </w:r>
      <w:r>
        <w:rPr>
          <w:color w:val="231F20"/>
          <w:spacing w:val="-2"/>
          <w:sz w:val="20"/>
          <w:vertAlign w:val="baseline"/>
        </w:rPr>
        <w:t>2017 </w:t>
      </w:r>
      <w:r>
        <w:rPr>
          <w:color w:val="76787A"/>
          <w:sz w:val="20"/>
          <w:vertAlign w:val="superscript"/>
        </w:rPr>
        <w:t>277</w:t>
      </w:r>
      <w:r>
        <w:rPr>
          <w:color w:val="231F20"/>
          <w:sz w:val="20"/>
          <w:vertAlign w:val="baseline"/>
        </w:rPr>
        <w:t>La</w:t>
      </w:r>
      <w:r>
        <w:rPr>
          <w:color w:val="231F20"/>
          <w:spacing w:val="-4"/>
          <w:sz w:val="20"/>
          <w:vertAlign w:val="baseline"/>
        </w:rPr>
        <w:t> </w:t>
      </w:r>
      <w:r>
        <w:rPr>
          <w:color w:val="231F20"/>
          <w:sz w:val="20"/>
          <w:vertAlign w:val="baseline"/>
        </w:rPr>
        <w:t>Côte</w:t>
      </w:r>
      <w:r>
        <w:rPr>
          <w:color w:val="231F20"/>
          <w:spacing w:val="-6"/>
          <w:sz w:val="20"/>
          <w:vertAlign w:val="baseline"/>
        </w:rPr>
        <w:t> </w:t>
      </w:r>
      <w:r>
        <w:rPr>
          <w:color w:val="231F20"/>
          <w:sz w:val="20"/>
          <w:vertAlign w:val="baseline"/>
        </w:rPr>
        <w:t>d'Ivoire</w:t>
      </w:r>
      <w:r>
        <w:rPr>
          <w:color w:val="231F20"/>
          <w:spacing w:val="-7"/>
          <w:sz w:val="20"/>
          <w:vertAlign w:val="baseline"/>
        </w:rPr>
        <w:t> </w:t>
      </w:r>
      <w:r>
        <w:rPr>
          <w:color w:val="231F20"/>
          <w:sz w:val="20"/>
          <w:vertAlign w:val="baseline"/>
        </w:rPr>
        <w:t>encore</w:t>
      </w:r>
      <w:r>
        <w:rPr>
          <w:color w:val="231F20"/>
          <w:spacing w:val="-7"/>
          <w:sz w:val="20"/>
          <w:vertAlign w:val="baseline"/>
        </w:rPr>
        <w:t> </w:t>
      </w:r>
      <w:r>
        <w:rPr>
          <w:color w:val="231F20"/>
          <w:sz w:val="20"/>
          <w:vertAlign w:val="baseline"/>
        </w:rPr>
        <w:t>loin</w:t>
      </w:r>
      <w:r>
        <w:rPr>
          <w:color w:val="231F20"/>
          <w:spacing w:val="-6"/>
          <w:sz w:val="20"/>
          <w:vertAlign w:val="baseline"/>
        </w:rPr>
        <w:t> </w:t>
      </w:r>
      <w:r>
        <w:rPr>
          <w:color w:val="231F20"/>
          <w:sz w:val="20"/>
          <w:vertAlign w:val="baseline"/>
        </w:rPr>
        <w:t>du</w:t>
      </w:r>
      <w:r>
        <w:rPr>
          <w:color w:val="231F20"/>
          <w:spacing w:val="-6"/>
          <w:sz w:val="20"/>
          <w:vertAlign w:val="baseline"/>
        </w:rPr>
        <w:t> </w:t>
      </w:r>
      <w:r>
        <w:rPr>
          <w:color w:val="231F20"/>
          <w:sz w:val="20"/>
          <w:vertAlign w:val="baseline"/>
        </w:rPr>
        <w:t>``zéro</w:t>
      </w:r>
      <w:r>
        <w:rPr>
          <w:color w:val="231F20"/>
          <w:spacing w:val="-6"/>
          <w:sz w:val="20"/>
          <w:vertAlign w:val="baseline"/>
        </w:rPr>
        <w:t> </w:t>
      </w:r>
      <w:r>
        <w:rPr>
          <w:color w:val="231F20"/>
          <w:sz w:val="20"/>
          <w:vertAlign w:val="baseline"/>
        </w:rPr>
        <w:t>grossesse``</w:t>
      </w:r>
      <w:r>
        <w:rPr>
          <w:color w:val="231F20"/>
          <w:spacing w:val="-6"/>
          <w:sz w:val="20"/>
          <w:vertAlign w:val="baseline"/>
        </w:rPr>
        <w:t> </w:t>
      </w:r>
      <w:r>
        <w:rPr>
          <w:color w:val="231F20"/>
          <w:sz w:val="20"/>
          <w:vertAlign w:val="baseline"/>
        </w:rPr>
        <w:t>à</w:t>
      </w:r>
      <w:r>
        <w:rPr>
          <w:color w:val="231F20"/>
          <w:spacing w:val="-7"/>
          <w:sz w:val="20"/>
          <w:vertAlign w:val="baseline"/>
        </w:rPr>
        <w:t> </w:t>
      </w:r>
      <w:r>
        <w:rPr>
          <w:color w:val="231F20"/>
          <w:sz w:val="20"/>
          <w:vertAlign w:val="baseline"/>
        </w:rPr>
        <w:t>l'école</w:t>
      </w:r>
      <w:r>
        <w:rPr>
          <w:color w:val="231F20"/>
          <w:spacing w:val="-7"/>
          <w:sz w:val="20"/>
          <w:vertAlign w:val="baseline"/>
        </w:rPr>
        <w:t> </w:t>
      </w:r>
      <w:r>
        <w:rPr>
          <w:color w:val="231F20"/>
          <w:sz w:val="20"/>
          <w:vertAlign w:val="baseline"/>
        </w:rPr>
        <w:t>... </w:t>
      </w:r>
      <w:hyperlink r:id="rId58">
        <w:r>
          <w:rPr>
            <w:color w:val="231F20"/>
            <w:sz w:val="20"/>
            <w:vertAlign w:val="baseline"/>
          </w:rPr>
          <w:t>www.afriquefemme.com</w:t>
        </w:r>
      </w:hyperlink>
      <w:r>
        <w:rPr>
          <w:color w:val="231F20"/>
          <w:sz w:val="20"/>
          <w:vertAlign w:val="baseline"/>
        </w:rPr>
        <w:t> › maman › ado.</w:t>
      </w:r>
    </w:p>
    <w:p>
      <w:pPr>
        <w:spacing w:after="0"/>
        <w:jc w:val="left"/>
        <w:rPr>
          <w:sz w:val="20"/>
        </w:rPr>
        <w:sectPr>
          <w:pgSz w:w="8790" w:h="13610"/>
          <w:pgMar w:header="0" w:footer="802" w:top="1060" w:bottom="1000" w:left="880" w:right="880"/>
        </w:sectPr>
      </w:pPr>
    </w:p>
    <w:p>
      <w:pPr>
        <w:pStyle w:val="BodyText"/>
        <w:spacing w:before="66"/>
        <w:ind w:right="105"/>
      </w:pPr>
      <w:r>
        <w:rPr>
          <w:color w:val="231F20"/>
          <w:spacing w:val="-2"/>
        </w:rPr>
        <w:t>intermédiaire.</w:t>
      </w:r>
      <w:r>
        <w:rPr>
          <w:color w:val="231F20"/>
          <w:spacing w:val="-15"/>
        </w:rPr>
        <w:t> </w:t>
      </w:r>
      <w:r>
        <w:rPr>
          <w:color w:val="231F20"/>
          <w:spacing w:val="-2"/>
        </w:rPr>
        <w:t>Si</w:t>
      </w:r>
      <w:r>
        <w:rPr>
          <w:color w:val="231F20"/>
          <w:spacing w:val="-13"/>
        </w:rPr>
        <w:t> </w:t>
      </w:r>
      <w:r>
        <w:rPr>
          <w:color w:val="231F20"/>
          <w:spacing w:val="-2"/>
        </w:rPr>
        <w:t>beaucoup</w:t>
      </w:r>
      <w:r>
        <w:rPr>
          <w:color w:val="231F20"/>
          <w:spacing w:val="-13"/>
        </w:rPr>
        <w:t> </w:t>
      </w:r>
      <w:r>
        <w:rPr>
          <w:color w:val="231F20"/>
          <w:spacing w:val="-2"/>
        </w:rPr>
        <w:t>d’arrangements</w:t>
      </w:r>
      <w:r>
        <w:rPr>
          <w:color w:val="231F20"/>
          <w:spacing w:val="-13"/>
        </w:rPr>
        <w:t> </w:t>
      </w:r>
      <w:r>
        <w:rPr>
          <w:color w:val="231F20"/>
          <w:spacing w:val="-2"/>
        </w:rPr>
        <w:t>se</w:t>
      </w:r>
      <w:r>
        <w:rPr>
          <w:color w:val="231F20"/>
          <w:spacing w:val="-13"/>
        </w:rPr>
        <w:t> </w:t>
      </w:r>
      <w:r>
        <w:rPr>
          <w:color w:val="231F20"/>
          <w:spacing w:val="-2"/>
        </w:rPr>
        <w:t>soldent</w:t>
      </w:r>
      <w:r>
        <w:rPr>
          <w:color w:val="231F20"/>
          <w:spacing w:val="-13"/>
        </w:rPr>
        <w:t> </w:t>
      </w:r>
      <w:r>
        <w:rPr>
          <w:color w:val="231F20"/>
          <w:spacing w:val="-2"/>
        </w:rPr>
        <w:t>par</w:t>
      </w:r>
      <w:r>
        <w:rPr>
          <w:color w:val="231F20"/>
          <w:spacing w:val="-13"/>
        </w:rPr>
        <w:t> </w:t>
      </w:r>
      <w:r>
        <w:rPr>
          <w:color w:val="231F20"/>
          <w:spacing w:val="-2"/>
        </w:rPr>
        <w:t>une</w:t>
      </w:r>
      <w:r>
        <w:rPr>
          <w:color w:val="231F20"/>
          <w:spacing w:val="-13"/>
        </w:rPr>
        <w:t> </w:t>
      </w:r>
      <w:r>
        <w:rPr>
          <w:color w:val="231F20"/>
          <w:spacing w:val="-2"/>
        </w:rPr>
        <w:t>transaction financière,</w:t>
      </w:r>
      <w:r>
        <w:rPr>
          <w:color w:val="231F20"/>
          <w:spacing w:val="-15"/>
        </w:rPr>
        <w:t> </w:t>
      </w:r>
      <w:r>
        <w:rPr>
          <w:color w:val="231F20"/>
          <w:spacing w:val="-2"/>
        </w:rPr>
        <w:t>la</w:t>
      </w:r>
      <w:r>
        <w:rPr>
          <w:color w:val="231F20"/>
          <w:spacing w:val="-13"/>
        </w:rPr>
        <w:t> </w:t>
      </w:r>
      <w:r>
        <w:rPr>
          <w:color w:val="231F20"/>
          <w:spacing w:val="-2"/>
        </w:rPr>
        <w:t>corruption</w:t>
      </w:r>
      <w:r>
        <w:rPr>
          <w:color w:val="231F20"/>
          <w:spacing w:val="-13"/>
        </w:rPr>
        <w:t> </w:t>
      </w:r>
      <w:r>
        <w:rPr>
          <w:color w:val="231F20"/>
          <w:spacing w:val="-2"/>
        </w:rPr>
        <w:t>peut</w:t>
      </w:r>
      <w:r>
        <w:rPr>
          <w:color w:val="231F20"/>
          <w:spacing w:val="-13"/>
        </w:rPr>
        <w:t> </w:t>
      </w:r>
      <w:r>
        <w:rPr>
          <w:color w:val="231F20"/>
          <w:spacing w:val="-2"/>
        </w:rPr>
        <w:t>aussi</w:t>
      </w:r>
      <w:r>
        <w:rPr>
          <w:color w:val="231F20"/>
          <w:spacing w:val="-13"/>
        </w:rPr>
        <w:t> </w:t>
      </w:r>
      <w:r>
        <w:rPr>
          <w:color w:val="231F20"/>
          <w:spacing w:val="-2"/>
        </w:rPr>
        <w:t>se</w:t>
      </w:r>
      <w:r>
        <w:rPr>
          <w:color w:val="231F20"/>
          <w:spacing w:val="-13"/>
        </w:rPr>
        <w:t> </w:t>
      </w:r>
      <w:r>
        <w:rPr>
          <w:color w:val="231F20"/>
          <w:spacing w:val="-2"/>
        </w:rPr>
        <w:t>manifester</w:t>
      </w:r>
      <w:r>
        <w:rPr>
          <w:color w:val="231F20"/>
          <w:spacing w:val="-13"/>
        </w:rPr>
        <w:t> </w:t>
      </w:r>
      <w:r>
        <w:rPr>
          <w:color w:val="231F20"/>
          <w:spacing w:val="-2"/>
        </w:rPr>
        <w:t>tout</w:t>
      </w:r>
      <w:r>
        <w:rPr>
          <w:color w:val="231F20"/>
          <w:spacing w:val="-13"/>
        </w:rPr>
        <w:t> </w:t>
      </w:r>
      <w:r>
        <w:rPr>
          <w:color w:val="231F20"/>
          <w:spacing w:val="-2"/>
        </w:rPr>
        <w:t>autrement</w:t>
      </w:r>
      <w:r>
        <w:rPr>
          <w:color w:val="231F20"/>
          <w:spacing w:val="-13"/>
        </w:rPr>
        <w:t> </w:t>
      </w:r>
      <w:r>
        <w:rPr>
          <w:color w:val="231F20"/>
          <w:spacing w:val="-2"/>
        </w:rPr>
        <w:t>:</w:t>
      </w:r>
      <w:r>
        <w:rPr>
          <w:color w:val="231F20"/>
          <w:spacing w:val="-13"/>
        </w:rPr>
        <w:t> </w:t>
      </w:r>
      <w:r>
        <w:rPr>
          <w:color w:val="231F20"/>
          <w:spacing w:val="-2"/>
        </w:rPr>
        <w:t>certains </w:t>
      </w:r>
      <w:r>
        <w:rPr>
          <w:color w:val="231F20"/>
        </w:rPr>
        <w:t>professeurs pratiquent un véritable droit de cuissage sur les élèves ou étudiantes</w:t>
      </w:r>
      <w:r>
        <w:rPr>
          <w:color w:val="231F20"/>
          <w:spacing w:val="-3"/>
        </w:rPr>
        <w:t> </w:t>
      </w:r>
      <w:r>
        <w:rPr>
          <w:color w:val="231F20"/>
        </w:rPr>
        <w:t>souhaitant passer</w:t>
      </w:r>
      <w:r>
        <w:rPr>
          <w:color w:val="231F20"/>
          <w:spacing w:val="-1"/>
        </w:rPr>
        <w:t> </w:t>
      </w:r>
      <w:r>
        <w:rPr>
          <w:color w:val="231F20"/>
        </w:rPr>
        <w:t>au</w:t>
      </w:r>
      <w:r>
        <w:rPr>
          <w:color w:val="231F20"/>
          <w:spacing w:val="-1"/>
        </w:rPr>
        <w:t> </w:t>
      </w:r>
      <w:r>
        <w:rPr>
          <w:color w:val="231F20"/>
        </w:rPr>
        <w:t>niveau</w:t>
      </w:r>
      <w:r>
        <w:rPr>
          <w:color w:val="231F20"/>
          <w:spacing w:val="-3"/>
        </w:rPr>
        <w:t> </w:t>
      </w:r>
      <w:r>
        <w:rPr>
          <w:color w:val="231F20"/>
        </w:rPr>
        <w:t>supérieur.</w:t>
      </w:r>
    </w:p>
    <w:p>
      <w:pPr>
        <w:pStyle w:val="BodyText"/>
        <w:spacing w:before="120"/>
        <w:ind w:right="105" w:firstLine="283"/>
      </w:pPr>
      <w:r>
        <w:rPr>
          <w:color w:val="231F20"/>
          <w:spacing w:val="-4"/>
        </w:rPr>
        <w:t>Dans</w:t>
      </w:r>
      <w:r>
        <w:rPr>
          <w:color w:val="231F20"/>
          <w:spacing w:val="-7"/>
        </w:rPr>
        <w:t> </w:t>
      </w:r>
      <w:r>
        <w:rPr>
          <w:color w:val="231F20"/>
          <w:spacing w:val="-4"/>
        </w:rPr>
        <w:t>tous</w:t>
      </w:r>
      <w:r>
        <w:rPr>
          <w:color w:val="231F20"/>
          <w:spacing w:val="-9"/>
        </w:rPr>
        <w:t> </w:t>
      </w:r>
      <w:r>
        <w:rPr>
          <w:color w:val="231F20"/>
          <w:spacing w:val="-4"/>
        </w:rPr>
        <w:t>les</w:t>
      </w:r>
      <w:r>
        <w:rPr>
          <w:color w:val="231F20"/>
          <w:spacing w:val="-6"/>
        </w:rPr>
        <w:t> </w:t>
      </w:r>
      <w:r>
        <w:rPr>
          <w:color w:val="231F20"/>
          <w:spacing w:val="-4"/>
        </w:rPr>
        <w:t>cas,</w:t>
      </w:r>
      <w:r>
        <w:rPr>
          <w:color w:val="231F20"/>
          <w:spacing w:val="-9"/>
        </w:rPr>
        <w:t> </w:t>
      </w:r>
      <w:r>
        <w:rPr>
          <w:color w:val="231F20"/>
          <w:spacing w:val="-4"/>
        </w:rPr>
        <w:t>que</w:t>
      </w:r>
      <w:r>
        <w:rPr>
          <w:color w:val="231F20"/>
          <w:spacing w:val="-11"/>
        </w:rPr>
        <w:t> </w:t>
      </w:r>
      <w:r>
        <w:rPr>
          <w:color w:val="231F20"/>
          <w:spacing w:val="-4"/>
        </w:rPr>
        <w:t>ce</w:t>
      </w:r>
      <w:r>
        <w:rPr>
          <w:color w:val="231F20"/>
          <w:spacing w:val="-7"/>
        </w:rPr>
        <w:t> </w:t>
      </w:r>
      <w:r>
        <w:rPr>
          <w:color w:val="231F20"/>
          <w:spacing w:val="-4"/>
        </w:rPr>
        <w:t>soit</w:t>
      </w:r>
      <w:r>
        <w:rPr>
          <w:color w:val="231F20"/>
          <w:spacing w:val="-8"/>
        </w:rPr>
        <w:t> </w:t>
      </w:r>
      <w:r>
        <w:rPr>
          <w:color w:val="231F20"/>
          <w:spacing w:val="-4"/>
        </w:rPr>
        <w:t>dans</w:t>
      </w:r>
      <w:r>
        <w:rPr>
          <w:color w:val="231F20"/>
          <w:spacing w:val="-9"/>
        </w:rPr>
        <w:t> </w:t>
      </w:r>
      <w:r>
        <w:rPr>
          <w:color w:val="231F20"/>
          <w:spacing w:val="-4"/>
        </w:rPr>
        <w:t>l’Enseignement</w:t>
      </w:r>
      <w:r>
        <w:rPr>
          <w:color w:val="231F20"/>
          <w:spacing w:val="-8"/>
        </w:rPr>
        <w:t> </w:t>
      </w:r>
      <w:r>
        <w:rPr>
          <w:color w:val="231F20"/>
          <w:spacing w:val="-4"/>
        </w:rPr>
        <w:t>Secondaire</w:t>
      </w:r>
      <w:r>
        <w:rPr>
          <w:color w:val="231F20"/>
          <w:spacing w:val="-7"/>
        </w:rPr>
        <w:t> </w:t>
      </w:r>
      <w:r>
        <w:rPr>
          <w:color w:val="231F20"/>
          <w:spacing w:val="-4"/>
        </w:rPr>
        <w:t>Général </w:t>
      </w:r>
      <w:r>
        <w:rPr>
          <w:color w:val="231F20"/>
        </w:rPr>
        <w:t>ou dans l’Enseignement Technique et Professionnel, l’obtention du baccalauréat ne met pas fin aux soucis des parents et de leurs enfants. Compte tenu du nombre de places insuffisant dans les universités publiques, un grand nombre de jeunes sont orientés par l’État dans les </w:t>
      </w:r>
      <w:r>
        <w:rPr>
          <w:color w:val="231F20"/>
          <w:spacing w:val="-2"/>
        </w:rPr>
        <w:t>grandes</w:t>
      </w:r>
      <w:r>
        <w:rPr>
          <w:color w:val="231F20"/>
          <w:spacing w:val="-13"/>
        </w:rPr>
        <w:t> </w:t>
      </w:r>
      <w:r>
        <w:rPr>
          <w:color w:val="231F20"/>
          <w:spacing w:val="-2"/>
        </w:rPr>
        <w:t>écoles</w:t>
      </w:r>
      <w:r>
        <w:rPr>
          <w:color w:val="231F20"/>
          <w:spacing w:val="-13"/>
        </w:rPr>
        <w:t> </w:t>
      </w:r>
      <w:r>
        <w:rPr>
          <w:color w:val="231F20"/>
          <w:spacing w:val="-2"/>
        </w:rPr>
        <w:t>privées</w:t>
      </w:r>
      <w:r>
        <w:rPr>
          <w:color w:val="231F20"/>
          <w:spacing w:val="-13"/>
        </w:rPr>
        <w:t> </w:t>
      </w:r>
      <w:r>
        <w:rPr>
          <w:color w:val="231F20"/>
          <w:spacing w:val="-2"/>
        </w:rPr>
        <w:t>où</w:t>
      </w:r>
      <w:r>
        <w:rPr>
          <w:color w:val="231F20"/>
          <w:spacing w:val="-13"/>
        </w:rPr>
        <w:t> </w:t>
      </w:r>
      <w:r>
        <w:rPr>
          <w:color w:val="231F20"/>
          <w:spacing w:val="-2"/>
        </w:rPr>
        <w:t>les</w:t>
      </w:r>
      <w:r>
        <w:rPr>
          <w:color w:val="231F20"/>
          <w:spacing w:val="-13"/>
        </w:rPr>
        <w:t> </w:t>
      </w:r>
      <w:r>
        <w:rPr>
          <w:color w:val="231F20"/>
          <w:spacing w:val="-2"/>
        </w:rPr>
        <w:t>frais</w:t>
      </w:r>
      <w:r>
        <w:rPr>
          <w:color w:val="231F20"/>
          <w:spacing w:val="-13"/>
        </w:rPr>
        <w:t> </w:t>
      </w:r>
      <w:r>
        <w:rPr>
          <w:color w:val="231F20"/>
          <w:spacing w:val="-2"/>
        </w:rPr>
        <w:t>de</w:t>
      </w:r>
      <w:r>
        <w:rPr>
          <w:color w:val="231F20"/>
          <w:spacing w:val="-12"/>
        </w:rPr>
        <w:t> </w:t>
      </w:r>
      <w:r>
        <w:rPr>
          <w:color w:val="231F20"/>
          <w:spacing w:val="-2"/>
        </w:rPr>
        <w:t>scolarité</w:t>
      </w:r>
      <w:r>
        <w:rPr>
          <w:color w:val="231F20"/>
          <w:spacing w:val="-12"/>
        </w:rPr>
        <w:t> </w:t>
      </w:r>
      <w:r>
        <w:rPr>
          <w:color w:val="231F20"/>
          <w:spacing w:val="-2"/>
        </w:rPr>
        <w:t>compris</w:t>
      </w:r>
      <w:r>
        <w:rPr>
          <w:color w:val="231F20"/>
          <w:spacing w:val="-11"/>
        </w:rPr>
        <w:t> </w:t>
      </w:r>
      <w:r>
        <w:rPr>
          <w:color w:val="231F20"/>
          <w:spacing w:val="-2"/>
        </w:rPr>
        <w:t>entre</w:t>
      </w:r>
      <w:r>
        <w:rPr>
          <w:color w:val="231F20"/>
          <w:spacing w:val="-12"/>
        </w:rPr>
        <w:t> </w:t>
      </w:r>
      <w:r>
        <w:rPr>
          <w:color w:val="231F20"/>
          <w:spacing w:val="-2"/>
        </w:rPr>
        <w:t>600</w:t>
      </w:r>
      <w:r>
        <w:rPr>
          <w:color w:val="231F20"/>
          <w:spacing w:val="-13"/>
        </w:rPr>
        <w:t> </w:t>
      </w:r>
      <w:r>
        <w:rPr>
          <w:color w:val="231F20"/>
          <w:spacing w:val="-2"/>
        </w:rPr>
        <w:t>000</w:t>
      </w:r>
      <w:r>
        <w:rPr>
          <w:color w:val="231F20"/>
          <w:spacing w:val="-13"/>
        </w:rPr>
        <w:t> </w:t>
      </w:r>
      <w:r>
        <w:rPr>
          <w:color w:val="231F20"/>
          <w:spacing w:val="-2"/>
        </w:rPr>
        <w:t>et</w:t>
      </w:r>
      <w:r>
        <w:rPr>
          <w:color w:val="231F20"/>
          <w:spacing w:val="-11"/>
        </w:rPr>
        <w:t> </w:t>
      </w:r>
      <w:r>
        <w:rPr>
          <w:color w:val="231F20"/>
          <w:spacing w:val="-2"/>
        </w:rPr>
        <w:t>1 </w:t>
      </w:r>
      <w:r>
        <w:rPr>
          <w:color w:val="231F20"/>
        </w:rPr>
        <w:t>200 000FCFA voire davantage, sont hors de portée du fonctionnaire moyen dont le salaire tourne entre 150 000 et 300 000 par mois et des paysans qui survivent au jour le jour. Faute d’argent pour les frais de scolarité,</w:t>
      </w:r>
      <w:r>
        <w:rPr>
          <w:color w:val="231F20"/>
          <w:spacing w:val="-3"/>
        </w:rPr>
        <w:t> </w:t>
      </w:r>
      <w:r>
        <w:rPr>
          <w:color w:val="231F20"/>
        </w:rPr>
        <w:t>de</w:t>
      </w:r>
      <w:r>
        <w:rPr>
          <w:color w:val="231F20"/>
          <w:spacing w:val="-5"/>
        </w:rPr>
        <w:t> </w:t>
      </w:r>
      <w:r>
        <w:rPr>
          <w:color w:val="231F20"/>
        </w:rPr>
        <w:t>nombreux</w:t>
      </w:r>
      <w:r>
        <w:rPr>
          <w:color w:val="231F20"/>
          <w:spacing w:val="-5"/>
        </w:rPr>
        <w:t> </w:t>
      </w:r>
      <w:r>
        <w:rPr>
          <w:color w:val="231F20"/>
        </w:rPr>
        <w:t>jeunes</w:t>
      </w:r>
      <w:r>
        <w:rPr>
          <w:color w:val="231F20"/>
          <w:spacing w:val="-2"/>
        </w:rPr>
        <w:t> </w:t>
      </w:r>
      <w:r>
        <w:rPr>
          <w:color w:val="231F20"/>
        </w:rPr>
        <w:t>bacheliers</w:t>
      </w:r>
      <w:r>
        <w:rPr>
          <w:color w:val="231F20"/>
          <w:spacing w:val="-5"/>
        </w:rPr>
        <w:t> </w:t>
      </w:r>
      <w:r>
        <w:rPr>
          <w:color w:val="231F20"/>
        </w:rPr>
        <w:t>jettent</w:t>
      </w:r>
      <w:r>
        <w:rPr>
          <w:color w:val="231F20"/>
          <w:spacing w:val="-5"/>
        </w:rPr>
        <w:t> </w:t>
      </w:r>
      <w:r>
        <w:rPr>
          <w:color w:val="231F20"/>
        </w:rPr>
        <w:t>l’éponge</w:t>
      </w:r>
      <w:r>
        <w:rPr>
          <w:color w:val="231F20"/>
          <w:spacing w:val="-4"/>
        </w:rPr>
        <w:t> </w:t>
      </w:r>
      <w:r>
        <w:rPr>
          <w:color w:val="231F20"/>
        </w:rPr>
        <w:t>et</w:t>
      </w:r>
      <w:r>
        <w:rPr>
          <w:color w:val="231F20"/>
          <w:spacing w:val="-4"/>
        </w:rPr>
        <w:t> </w:t>
      </w:r>
      <w:r>
        <w:rPr>
          <w:color w:val="231F20"/>
        </w:rPr>
        <w:t>décrochent des</w:t>
      </w:r>
      <w:r>
        <w:rPr>
          <w:color w:val="231F20"/>
          <w:spacing w:val="-13"/>
        </w:rPr>
        <w:t> </w:t>
      </w:r>
      <w:r>
        <w:rPr>
          <w:color w:val="231F20"/>
        </w:rPr>
        <w:t>études.</w:t>
      </w:r>
      <w:r>
        <w:rPr>
          <w:color w:val="231F20"/>
          <w:spacing w:val="-13"/>
        </w:rPr>
        <w:t> </w:t>
      </w:r>
      <w:r>
        <w:rPr>
          <w:color w:val="231F20"/>
        </w:rPr>
        <w:t>Pour</w:t>
      </w:r>
      <w:r>
        <w:rPr>
          <w:color w:val="231F20"/>
          <w:spacing w:val="-13"/>
        </w:rPr>
        <w:t> </w:t>
      </w:r>
      <w:r>
        <w:rPr>
          <w:color w:val="231F20"/>
        </w:rPr>
        <w:t>les</w:t>
      </w:r>
      <w:r>
        <w:rPr>
          <w:color w:val="231F20"/>
          <w:spacing w:val="-13"/>
        </w:rPr>
        <w:t> </w:t>
      </w:r>
      <w:r>
        <w:rPr>
          <w:color w:val="231F20"/>
        </w:rPr>
        <w:t>chanceux</w:t>
      </w:r>
      <w:r>
        <w:rPr>
          <w:color w:val="231F20"/>
          <w:spacing w:val="-13"/>
        </w:rPr>
        <w:t> </w:t>
      </w:r>
      <w:r>
        <w:rPr>
          <w:color w:val="231F20"/>
        </w:rPr>
        <w:t>qui</w:t>
      </w:r>
      <w:r>
        <w:rPr>
          <w:color w:val="231F20"/>
          <w:spacing w:val="-13"/>
        </w:rPr>
        <w:t> </w:t>
      </w:r>
      <w:r>
        <w:rPr>
          <w:color w:val="231F20"/>
        </w:rPr>
        <w:t>ont</w:t>
      </w:r>
      <w:r>
        <w:rPr>
          <w:color w:val="231F20"/>
          <w:spacing w:val="-13"/>
        </w:rPr>
        <w:t> </w:t>
      </w:r>
      <w:r>
        <w:rPr>
          <w:color w:val="231F20"/>
        </w:rPr>
        <w:t>pu</w:t>
      </w:r>
      <w:r>
        <w:rPr>
          <w:color w:val="231F20"/>
          <w:spacing w:val="-13"/>
        </w:rPr>
        <w:t> </w:t>
      </w:r>
      <w:r>
        <w:rPr>
          <w:color w:val="231F20"/>
        </w:rPr>
        <w:t>intégrer</w:t>
      </w:r>
      <w:r>
        <w:rPr>
          <w:color w:val="231F20"/>
          <w:spacing w:val="-13"/>
        </w:rPr>
        <w:t> </w:t>
      </w:r>
      <w:r>
        <w:rPr>
          <w:color w:val="231F20"/>
        </w:rPr>
        <w:t>l’université,</w:t>
      </w:r>
      <w:r>
        <w:rPr>
          <w:color w:val="231F20"/>
          <w:spacing w:val="-12"/>
        </w:rPr>
        <w:t> </w:t>
      </w:r>
      <w:r>
        <w:rPr>
          <w:color w:val="231F20"/>
        </w:rPr>
        <w:t>les</w:t>
      </w:r>
      <w:r>
        <w:rPr>
          <w:color w:val="231F20"/>
          <w:spacing w:val="-13"/>
        </w:rPr>
        <w:t> </w:t>
      </w:r>
      <w:r>
        <w:rPr>
          <w:color w:val="231F20"/>
        </w:rPr>
        <w:t>études longues sont un parcours du combattant, les conditions universitaires laissant</w:t>
      </w:r>
      <w:r>
        <w:rPr>
          <w:color w:val="231F20"/>
          <w:spacing w:val="-2"/>
        </w:rPr>
        <w:t> </w:t>
      </w:r>
      <w:r>
        <w:rPr>
          <w:color w:val="231F20"/>
        </w:rPr>
        <w:t>à</w:t>
      </w:r>
      <w:r>
        <w:rPr>
          <w:color w:val="231F20"/>
          <w:spacing w:val="-2"/>
        </w:rPr>
        <w:t> </w:t>
      </w:r>
      <w:r>
        <w:rPr>
          <w:color w:val="231F20"/>
        </w:rPr>
        <w:t>désirer</w:t>
      </w:r>
      <w:r>
        <w:rPr>
          <w:color w:val="231F20"/>
          <w:spacing w:val="-15"/>
        </w:rPr>
        <w:t> </w:t>
      </w:r>
      <w:r>
        <w:rPr>
          <w:color w:val="231F20"/>
        </w:rPr>
        <w:t>:</w:t>
      </w:r>
      <w:r>
        <w:rPr>
          <w:color w:val="231F20"/>
          <w:spacing w:val="-2"/>
        </w:rPr>
        <w:t> </w:t>
      </w:r>
      <w:r>
        <w:rPr>
          <w:color w:val="231F20"/>
        </w:rPr>
        <w:t>bourses</w:t>
      </w:r>
      <w:r>
        <w:rPr>
          <w:color w:val="231F20"/>
          <w:spacing w:val="-1"/>
        </w:rPr>
        <w:t> </w:t>
      </w:r>
      <w:r>
        <w:rPr>
          <w:color w:val="231F20"/>
        </w:rPr>
        <w:t>inexistantes</w:t>
      </w:r>
      <w:r>
        <w:rPr>
          <w:color w:val="231F20"/>
          <w:spacing w:val="-3"/>
        </w:rPr>
        <w:t> </w:t>
      </w:r>
      <w:r>
        <w:rPr>
          <w:color w:val="231F20"/>
        </w:rPr>
        <w:t>ou</w:t>
      </w:r>
      <w:r>
        <w:rPr>
          <w:color w:val="231F20"/>
          <w:spacing w:val="-3"/>
        </w:rPr>
        <w:t> </w:t>
      </w:r>
      <w:r>
        <w:rPr>
          <w:color w:val="231F20"/>
        </w:rPr>
        <w:t>très</w:t>
      </w:r>
      <w:r>
        <w:rPr>
          <w:color w:val="231F20"/>
          <w:spacing w:val="-3"/>
        </w:rPr>
        <w:t> </w:t>
      </w:r>
      <w:r>
        <w:rPr>
          <w:color w:val="231F20"/>
        </w:rPr>
        <w:t>faibles</w:t>
      </w:r>
      <w:r>
        <w:rPr>
          <w:color w:val="231F20"/>
          <w:spacing w:val="-3"/>
        </w:rPr>
        <w:t> </w:t>
      </w:r>
      <w:r>
        <w:rPr>
          <w:color w:val="231F20"/>
        </w:rPr>
        <w:t>là</w:t>
      </w:r>
      <w:r>
        <w:rPr>
          <w:color w:val="231F20"/>
          <w:spacing w:val="-2"/>
        </w:rPr>
        <w:t> </w:t>
      </w:r>
      <w:r>
        <w:rPr>
          <w:color w:val="231F20"/>
        </w:rPr>
        <w:t>où</w:t>
      </w:r>
      <w:r>
        <w:rPr>
          <w:color w:val="231F20"/>
          <w:spacing w:val="-4"/>
        </w:rPr>
        <w:t> </w:t>
      </w:r>
      <w:r>
        <w:rPr>
          <w:color w:val="231F20"/>
        </w:rPr>
        <w:t>il</w:t>
      </w:r>
      <w:r>
        <w:rPr>
          <w:color w:val="231F20"/>
          <w:spacing w:val="-2"/>
        </w:rPr>
        <w:t> </w:t>
      </w:r>
      <w:r>
        <w:rPr>
          <w:color w:val="231F20"/>
        </w:rPr>
        <w:t>en</w:t>
      </w:r>
      <w:r>
        <w:rPr>
          <w:color w:val="231F20"/>
          <w:spacing w:val="-1"/>
        </w:rPr>
        <w:t> </w:t>
      </w:r>
      <w:r>
        <w:rPr>
          <w:color w:val="231F20"/>
        </w:rPr>
        <w:t>existe, logements</w:t>
      </w:r>
      <w:r>
        <w:rPr>
          <w:color w:val="231F20"/>
          <w:spacing w:val="-15"/>
        </w:rPr>
        <w:t> </w:t>
      </w:r>
      <w:r>
        <w:rPr>
          <w:color w:val="231F20"/>
        </w:rPr>
        <w:t>universitaires</w:t>
      </w:r>
      <w:r>
        <w:rPr>
          <w:color w:val="231F20"/>
          <w:spacing w:val="-15"/>
        </w:rPr>
        <w:t> </w:t>
      </w:r>
      <w:r>
        <w:rPr>
          <w:color w:val="231F20"/>
        </w:rPr>
        <w:t>insuffisants</w:t>
      </w:r>
      <w:r>
        <w:rPr>
          <w:color w:val="231F20"/>
          <w:spacing w:val="-15"/>
        </w:rPr>
        <w:t> </w:t>
      </w:r>
      <w:r>
        <w:rPr>
          <w:color w:val="231F20"/>
        </w:rPr>
        <w:t>quand</w:t>
      </w:r>
      <w:r>
        <w:rPr>
          <w:color w:val="231F20"/>
          <w:spacing w:val="-15"/>
        </w:rPr>
        <w:t> </w:t>
      </w:r>
      <w:r>
        <w:rPr>
          <w:color w:val="231F20"/>
        </w:rPr>
        <w:t>il</w:t>
      </w:r>
      <w:r>
        <w:rPr>
          <w:color w:val="231F20"/>
          <w:spacing w:val="-15"/>
        </w:rPr>
        <w:t> </w:t>
      </w:r>
      <w:r>
        <w:rPr>
          <w:color w:val="231F20"/>
        </w:rPr>
        <w:t>y</w:t>
      </w:r>
      <w:r>
        <w:rPr>
          <w:color w:val="231F20"/>
          <w:spacing w:val="-15"/>
        </w:rPr>
        <w:t> </w:t>
      </w:r>
      <w:r>
        <w:rPr>
          <w:color w:val="231F20"/>
        </w:rPr>
        <w:t>en</w:t>
      </w:r>
      <w:r>
        <w:rPr>
          <w:color w:val="231F20"/>
          <w:spacing w:val="-15"/>
        </w:rPr>
        <w:t> </w:t>
      </w:r>
      <w:r>
        <w:rPr>
          <w:color w:val="231F20"/>
        </w:rPr>
        <w:t>a,</w:t>
      </w:r>
      <w:r>
        <w:rPr>
          <w:color w:val="231F20"/>
          <w:spacing w:val="-15"/>
        </w:rPr>
        <w:t> </w:t>
      </w:r>
      <w:r>
        <w:rPr>
          <w:color w:val="231F20"/>
        </w:rPr>
        <w:t>bibliothèques</w:t>
      </w:r>
      <w:r>
        <w:rPr>
          <w:color w:val="231F20"/>
          <w:spacing w:val="-15"/>
        </w:rPr>
        <w:t> </w:t>
      </w:r>
      <w:r>
        <w:rPr>
          <w:color w:val="231F20"/>
        </w:rPr>
        <w:t>rares ou vides, absence de connexion internet, difficultés de transport… Diplômés, les jeunes universitaires et ceux des grandes écoles professionnelles</w:t>
      </w:r>
      <w:r>
        <w:rPr>
          <w:color w:val="231F20"/>
          <w:spacing w:val="-4"/>
        </w:rPr>
        <w:t> </w:t>
      </w:r>
      <w:r>
        <w:rPr>
          <w:color w:val="231F20"/>
        </w:rPr>
        <w:t>ne sont</w:t>
      </w:r>
      <w:r>
        <w:rPr>
          <w:color w:val="231F20"/>
          <w:spacing w:val="-1"/>
        </w:rPr>
        <w:t> </w:t>
      </w:r>
      <w:r>
        <w:rPr>
          <w:color w:val="231F20"/>
        </w:rPr>
        <w:t>pas au bout</w:t>
      </w:r>
      <w:r>
        <w:rPr>
          <w:color w:val="231F20"/>
          <w:spacing w:val="-2"/>
        </w:rPr>
        <w:t> </w:t>
      </w:r>
      <w:r>
        <w:rPr>
          <w:color w:val="231F20"/>
        </w:rPr>
        <w:t>de leur</w:t>
      </w:r>
      <w:r>
        <w:rPr>
          <w:color w:val="231F20"/>
          <w:spacing w:val="-2"/>
        </w:rPr>
        <w:t> </w:t>
      </w:r>
      <w:r>
        <w:rPr>
          <w:color w:val="231F20"/>
        </w:rPr>
        <w:t>peine</w:t>
      </w:r>
      <w:r>
        <w:rPr>
          <w:color w:val="231F20"/>
          <w:spacing w:val="-15"/>
        </w:rPr>
        <w:t> </w:t>
      </w:r>
      <w:r>
        <w:rPr>
          <w:color w:val="231F20"/>
        </w:rPr>
        <w:t>: ils</w:t>
      </w:r>
      <w:r>
        <w:rPr>
          <w:color w:val="231F20"/>
          <w:spacing w:val="-2"/>
        </w:rPr>
        <w:t> </w:t>
      </w:r>
      <w:r>
        <w:rPr>
          <w:color w:val="231F20"/>
        </w:rPr>
        <w:t>doivent</w:t>
      </w:r>
      <w:r>
        <w:rPr>
          <w:color w:val="231F20"/>
          <w:spacing w:val="-1"/>
        </w:rPr>
        <w:t> </w:t>
      </w:r>
      <w:r>
        <w:rPr>
          <w:color w:val="231F20"/>
        </w:rPr>
        <w:t>battre</w:t>
      </w:r>
      <w:r>
        <w:rPr>
          <w:color w:val="231F20"/>
          <w:spacing w:val="-2"/>
        </w:rPr>
        <w:t> </w:t>
      </w:r>
      <w:r>
        <w:rPr>
          <w:color w:val="231F20"/>
        </w:rPr>
        <w:t>le pavé pour un hypothétique emploi.</w:t>
      </w:r>
    </w:p>
    <w:p>
      <w:pPr>
        <w:pStyle w:val="BodyText"/>
        <w:spacing w:before="121"/>
        <w:ind w:left="112" w:right="105" w:firstLine="340"/>
      </w:pPr>
      <w:r>
        <w:rPr>
          <w:color w:val="231F20"/>
          <w:spacing w:val="-4"/>
        </w:rPr>
        <w:t>C’est</w:t>
      </w:r>
      <w:r>
        <w:rPr>
          <w:color w:val="231F20"/>
          <w:spacing w:val="-11"/>
        </w:rPr>
        <w:t> </w:t>
      </w:r>
      <w:r>
        <w:rPr>
          <w:color w:val="231F20"/>
          <w:spacing w:val="-4"/>
        </w:rPr>
        <w:t>le</w:t>
      </w:r>
      <w:r>
        <w:rPr>
          <w:color w:val="231F20"/>
          <w:spacing w:val="-11"/>
        </w:rPr>
        <w:t> </w:t>
      </w:r>
      <w:r>
        <w:rPr>
          <w:color w:val="231F20"/>
          <w:spacing w:val="-4"/>
        </w:rPr>
        <w:t>résultat</w:t>
      </w:r>
      <w:r>
        <w:rPr>
          <w:color w:val="231F20"/>
          <w:spacing w:val="-11"/>
        </w:rPr>
        <w:t> </w:t>
      </w:r>
      <w:r>
        <w:rPr>
          <w:color w:val="231F20"/>
          <w:spacing w:val="-4"/>
        </w:rPr>
        <w:t>du</w:t>
      </w:r>
      <w:r>
        <w:rPr>
          <w:color w:val="231F20"/>
          <w:spacing w:val="-11"/>
        </w:rPr>
        <w:t> </w:t>
      </w:r>
      <w:r>
        <w:rPr>
          <w:color w:val="231F20"/>
          <w:spacing w:val="-4"/>
        </w:rPr>
        <w:t>système</w:t>
      </w:r>
      <w:r>
        <w:rPr>
          <w:color w:val="231F20"/>
          <w:spacing w:val="-11"/>
        </w:rPr>
        <w:t> </w:t>
      </w:r>
      <w:r>
        <w:rPr>
          <w:color w:val="231F20"/>
          <w:spacing w:val="-4"/>
        </w:rPr>
        <w:t>hérité</w:t>
      </w:r>
      <w:r>
        <w:rPr>
          <w:color w:val="231F20"/>
          <w:spacing w:val="-11"/>
        </w:rPr>
        <w:t> </w:t>
      </w:r>
      <w:r>
        <w:rPr>
          <w:color w:val="231F20"/>
          <w:spacing w:val="-4"/>
        </w:rPr>
        <w:t>des</w:t>
      </w:r>
      <w:r>
        <w:rPr>
          <w:color w:val="231F20"/>
          <w:spacing w:val="-11"/>
        </w:rPr>
        <w:t> </w:t>
      </w:r>
      <w:r>
        <w:rPr>
          <w:color w:val="231F20"/>
          <w:spacing w:val="-4"/>
        </w:rPr>
        <w:t>Conseillers</w:t>
      </w:r>
      <w:r>
        <w:rPr>
          <w:color w:val="231F20"/>
          <w:spacing w:val="-11"/>
        </w:rPr>
        <w:t> </w:t>
      </w:r>
      <w:r>
        <w:rPr>
          <w:color w:val="231F20"/>
          <w:spacing w:val="-4"/>
        </w:rPr>
        <w:t>Français</w:t>
      </w:r>
      <w:r>
        <w:rPr>
          <w:color w:val="231F20"/>
          <w:spacing w:val="-11"/>
        </w:rPr>
        <w:t> </w:t>
      </w:r>
      <w:r>
        <w:rPr>
          <w:color w:val="231F20"/>
          <w:spacing w:val="-4"/>
        </w:rPr>
        <w:t>aux</w:t>
      </w:r>
      <w:r>
        <w:rPr>
          <w:color w:val="231F20"/>
          <w:spacing w:val="-11"/>
        </w:rPr>
        <w:t> </w:t>
      </w:r>
      <w:r>
        <w:rPr>
          <w:color w:val="231F20"/>
          <w:spacing w:val="-4"/>
        </w:rPr>
        <w:t>aurores </w:t>
      </w:r>
      <w:r>
        <w:rPr>
          <w:color w:val="231F20"/>
          <w:spacing w:val="-2"/>
        </w:rPr>
        <w:t>des</w:t>
      </w:r>
      <w:r>
        <w:rPr>
          <w:color w:val="231F20"/>
          <w:spacing w:val="-15"/>
        </w:rPr>
        <w:t> </w:t>
      </w:r>
      <w:r>
        <w:rPr>
          <w:color w:val="231F20"/>
          <w:spacing w:val="-2"/>
        </w:rPr>
        <w:t>indépendances.</w:t>
      </w:r>
      <w:r>
        <w:rPr>
          <w:color w:val="231F20"/>
          <w:spacing w:val="-13"/>
        </w:rPr>
        <w:t> </w:t>
      </w:r>
      <w:r>
        <w:rPr>
          <w:color w:val="231F20"/>
          <w:spacing w:val="-2"/>
        </w:rPr>
        <w:t>Les</w:t>
      </w:r>
      <w:r>
        <w:rPr>
          <w:color w:val="231F20"/>
          <w:spacing w:val="-13"/>
        </w:rPr>
        <w:t> </w:t>
      </w:r>
      <w:r>
        <w:rPr>
          <w:color w:val="231F20"/>
          <w:spacing w:val="-2"/>
        </w:rPr>
        <w:t>Gouvernants</w:t>
      </w:r>
      <w:r>
        <w:rPr>
          <w:color w:val="231F20"/>
          <w:spacing w:val="-13"/>
        </w:rPr>
        <w:t> </w:t>
      </w:r>
      <w:r>
        <w:rPr>
          <w:color w:val="231F20"/>
          <w:spacing w:val="-2"/>
        </w:rPr>
        <w:t>ne</w:t>
      </w:r>
      <w:r>
        <w:rPr>
          <w:color w:val="231F20"/>
          <w:spacing w:val="-13"/>
        </w:rPr>
        <w:t> </w:t>
      </w:r>
      <w:r>
        <w:rPr>
          <w:color w:val="231F20"/>
          <w:spacing w:val="-2"/>
        </w:rPr>
        <w:t>se</w:t>
      </w:r>
      <w:r>
        <w:rPr>
          <w:color w:val="231F20"/>
          <w:spacing w:val="-13"/>
        </w:rPr>
        <w:t> </w:t>
      </w:r>
      <w:r>
        <w:rPr>
          <w:color w:val="231F20"/>
          <w:spacing w:val="-2"/>
        </w:rPr>
        <w:t>sont</w:t>
      </w:r>
      <w:r>
        <w:rPr>
          <w:color w:val="231F20"/>
          <w:spacing w:val="-13"/>
        </w:rPr>
        <w:t> </w:t>
      </w:r>
      <w:r>
        <w:rPr>
          <w:color w:val="231F20"/>
          <w:spacing w:val="-2"/>
        </w:rPr>
        <w:t>pas</w:t>
      </w:r>
      <w:r>
        <w:rPr>
          <w:color w:val="231F20"/>
          <w:spacing w:val="-13"/>
        </w:rPr>
        <w:t> </w:t>
      </w:r>
      <w:r>
        <w:rPr>
          <w:color w:val="231F20"/>
          <w:spacing w:val="-2"/>
        </w:rPr>
        <w:t>préoccupés</w:t>
      </w:r>
      <w:r>
        <w:rPr>
          <w:color w:val="231F20"/>
          <w:spacing w:val="-13"/>
        </w:rPr>
        <w:t> </w:t>
      </w:r>
      <w:r>
        <w:rPr>
          <w:color w:val="231F20"/>
          <w:spacing w:val="-2"/>
        </w:rPr>
        <w:t>d’adapter </w:t>
      </w:r>
      <w:r>
        <w:rPr>
          <w:color w:val="231F20"/>
        </w:rPr>
        <w:t>les</w:t>
      </w:r>
      <w:r>
        <w:rPr>
          <w:color w:val="231F20"/>
          <w:spacing w:val="-14"/>
        </w:rPr>
        <w:t> </w:t>
      </w:r>
      <w:r>
        <w:rPr>
          <w:color w:val="231F20"/>
        </w:rPr>
        <w:t>formations</w:t>
      </w:r>
      <w:r>
        <w:rPr>
          <w:color w:val="231F20"/>
          <w:spacing w:val="-15"/>
        </w:rPr>
        <w:t> </w:t>
      </w:r>
      <w:r>
        <w:rPr>
          <w:color w:val="231F20"/>
        </w:rPr>
        <w:t>aux</w:t>
      </w:r>
      <w:r>
        <w:rPr>
          <w:color w:val="231F20"/>
          <w:spacing w:val="-15"/>
        </w:rPr>
        <w:t> </w:t>
      </w:r>
      <w:r>
        <w:rPr>
          <w:color w:val="231F20"/>
        </w:rPr>
        <w:t>besoins</w:t>
      </w:r>
      <w:r>
        <w:rPr>
          <w:color w:val="231F20"/>
          <w:spacing w:val="-13"/>
        </w:rPr>
        <w:t> </w:t>
      </w:r>
      <w:r>
        <w:rPr>
          <w:color w:val="231F20"/>
        </w:rPr>
        <w:t>de</w:t>
      </w:r>
      <w:r>
        <w:rPr>
          <w:color w:val="231F20"/>
          <w:spacing w:val="-15"/>
        </w:rPr>
        <w:t> </w:t>
      </w:r>
      <w:r>
        <w:rPr>
          <w:color w:val="231F20"/>
        </w:rPr>
        <w:t>la</w:t>
      </w:r>
      <w:r>
        <w:rPr>
          <w:color w:val="231F20"/>
          <w:spacing w:val="-12"/>
        </w:rPr>
        <w:t> </w:t>
      </w:r>
      <w:r>
        <w:rPr>
          <w:color w:val="231F20"/>
        </w:rPr>
        <w:t>société,</w:t>
      </w:r>
      <w:r>
        <w:rPr>
          <w:color w:val="231F20"/>
          <w:spacing w:val="-15"/>
        </w:rPr>
        <w:t> </w:t>
      </w:r>
      <w:r>
        <w:rPr>
          <w:color w:val="231F20"/>
        </w:rPr>
        <w:t>en</w:t>
      </w:r>
      <w:r>
        <w:rPr>
          <w:color w:val="231F20"/>
          <w:spacing w:val="-12"/>
        </w:rPr>
        <w:t> </w:t>
      </w:r>
      <w:r>
        <w:rPr>
          <w:color w:val="231F20"/>
        </w:rPr>
        <w:t>tenant</w:t>
      </w:r>
      <w:r>
        <w:rPr>
          <w:color w:val="231F20"/>
          <w:spacing w:val="-15"/>
        </w:rPr>
        <w:t> </w:t>
      </w:r>
      <w:r>
        <w:rPr>
          <w:color w:val="231F20"/>
        </w:rPr>
        <w:t>compte</w:t>
      </w:r>
      <w:r>
        <w:rPr>
          <w:color w:val="231F20"/>
          <w:spacing w:val="-15"/>
        </w:rPr>
        <w:t> </w:t>
      </w:r>
      <w:r>
        <w:rPr>
          <w:color w:val="231F20"/>
        </w:rPr>
        <w:t>des</w:t>
      </w:r>
      <w:r>
        <w:rPr>
          <w:color w:val="231F20"/>
          <w:spacing w:val="-15"/>
        </w:rPr>
        <w:t> </w:t>
      </w:r>
      <w:r>
        <w:rPr>
          <w:color w:val="231F20"/>
        </w:rPr>
        <w:t>secteurs</w:t>
      </w:r>
      <w:r>
        <w:rPr>
          <w:color w:val="231F20"/>
          <w:spacing w:val="-15"/>
        </w:rPr>
        <w:t> </w:t>
      </w:r>
      <w:r>
        <w:rPr>
          <w:color w:val="231F20"/>
        </w:rPr>
        <w:t>à </w:t>
      </w:r>
      <w:r>
        <w:rPr>
          <w:color w:val="231F20"/>
          <w:spacing w:val="-2"/>
        </w:rPr>
        <w:t>développer.</w:t>
      </w:r>
      <w:r>
        <w:rPr>
          <w:color w:val="231F20"/>
          <w:spacing w:val="-13"/>
        </w:rPr>
        <w:t> </w:t>
      </w:r>
      <w:r>
        <w:rPr>
          <w:color w:val="231F20"/>
          <w:spacing w:val="-2"/>
        </w:rPr>
        <w:t>L’enseignement</w:t>
      </w:r>
      <w:r>
        <w:rPr>
          <w:color w:val="231F20"/>
          <w:spacing w:val="-12"/>
        </w:rPr>
        <w:t> </w:t>
      </w:r>
      <w:r>
        <w:rPr>
          <w:color w:val="231F20"/>
          <w:spacing w:val="-2"/>
        </w:rPr>
        <w:t>supérieur</w:t>
      </w:r>
      <w:r>
        <w:rPr>
          <w:color w:val="231F20"/>
          <w:spacing w:val="-12"/>
        </w:rPr>
        <w:t> </w:t>
      </w:r>
      <w:r>
        <w:rPr>
          <w:color w:val="231F20"/>
          <w:spacing w:val="-2"/>
        </w:rPr>
        <w:t>forme</w:t>
      </w:r>
      <w:r>
        <w:rPr>
          <w:color w:val="231F20"/>
          <w:spacing w:val="-12"/>
        </w:rPr>
        <w:t> </w:t>
      </w:r>
      <w:r>
        <w:rPr>
          <w:color w:val="231F20"/>
          <w:spacing w:val="-2"/>
        </w:rPr>
        <w:t>essentiellement</w:t>
      </w:r>
      <w:r>
        <w:rPr>
          <w:color w:val="231F20"/>
          <w:spacing w:val="-12"/>
        </w:rPr>
        <w:t> </w:t>
      </w:r>
      <w:r>
        <w:rPr>
          <w:color w:val="231F20"/>
          <w:spacing w:val="-2"/>
        </w:rPr>
        <w:t>des</w:t>
      </w:r>
      <w:r>
        <w:rPr>
          <w:color w:val="231F20"/>
          <w:spacing w:val="-13"/>
        </w:rPr>
        <w:t> </w:t>
      </w:r>
      <w:r>
        <w:rPr>
          <w:color w:val="231F20"/>
          <w:spacing w:val="-2"/>
        </w:rPr>
        <w:t>cadres. </w:t>
      </w:r>
      <w:r>
        <w:rPr>
          <w:color w:val="231F20"/>
        </w:rPr>
        <w:t>L’enseignement</w:t>
      </w:r>
      <w:r>
        <w:rPr>
          <w:color w:val="231F20"/>
          <w:spacing w:val="-2"/>
        </w:rPr>
        <w:t> </w:t>
      </w:r>
      <w:r>
        <w:rPr>
          <w:color w:val="231F20"/>
        </w:rPr>
        <w:t>professionnel pour</w:t>
      </w:r>
      <w:r>
        <w:rPr>
          <w:color w:val="231F20"/>
          <w:spacing w:val="-2"/>
        </w:rPr>
        <w:t> </w:t>
      </w:r>
      <w:r>
        <w:rPr>
          <w:color w:val="231F20"/>
        </w:rPr>
        <w:t>sa</w:t>
      </w:r>
      <w:r>
        <w:rPr>
          <w:color w:val="231F20"/>
          <w:spacing w:val="-2"/>
        </w:rPr>
        <w:t> </w:t>
      </w:r>
      <w:r>
        <w:rPr>
          <w:color w:val="231F20"/>
        </w:rPr>
        <w:t>part, forme</w:t>
      </w:r>
      <w:r>
        <w:rPr>
          <w:color w:val="231F20"/>
          <w:spacing w:val="-2"/>
        </w:rPr>
        <w:t> </w:t>
      </w:r>
      <w:r>
        <w:rPr>
          <w:color w:val="231F20"/>
        </w:rPr>
        <w:t>des techniciens sans </w:t>
      </w:r>
      <w:r>
        <w:rPr>
          <w:color w:val="231F20"/>
          <w:spacing w:val="-4"/>
        </w:rPr>
        <w:t>avenir</w:t>
      </w:r>
      <w:r>
        <w:rPr>
          <w:color w:val="231F20"/>
          <w:spacing w:val="-6"/>
        </w:rPr>
        <w:t> </w:t>
      </w:r>
      <w:r>
        <w:rPr>
          <w:color w:val="231F20"/>
          <w:spacing w:val="-4"/>
        </w:rPr>
        <w:t>garanti.</w:t>
      </w:r>
      <w:r>
        <w:rPr>
          <w:color w:val="231F20"/>
          <w:spacing w:val="-9"/>
        </w:rPr>
        <w:t> </w:t>
      </w:r>
      <w:r>
        <w:rPr>
          <w:color w:val="231F20"/>
          <w:spacing w:val="-4"/>
        </w:rPr>
        <w:t>Sans</w:t>
      </w:r>
      <w:r>
        <w:rPr>
          <w:color w:val="231F20"/>
          <w:spacing w:val="-9"/>
        </w:rPr>
        <w:t> </w:t>
      </w:r>
      <w:r>
        <w:rPr>
          <w:color w:val="231F20"/>
          <w:spacing w:val="-4"/>
        </w:rPr>
        <w:t>appui</w:t>
      </w:r>
      <w:r>
        <w:rPr>
          <w:color w:val="231F20"/>
          <w:spacing w:val="-9"/>
        </w:rPr>
        <w:t> </w:t>
      </w:r>
      <w:r>
        <w:rPr>
          <w:color w:val="231F20"/>
          <w:spacing w:val="-4"/>
        </w:rPr>
        <w:t>financier</w:t>
      </w:r>
      <w:r>
        <w:rPr>
          <w:color w:val="231F20"/>
          <w:spacing w:val="-6"/>
        </w:rPr>
        <w:t> </w:t>
      </w:r>
      <w:r>
        <w:rPr>
          <w:color w:val="231F20"/>
          <w:spacing w:val="-4"/>
        </w:rPr>
        <w:t>pour</w:t>
      </w:r>
      <w:r>
        <w:rPr>
          <w:color w:val="231F20"/>
          <w:spacing w:val="-6"/>
        </w:rPr>
        <w:t> </w:t>
      </w:r>
      <w:r>
        <w:rPr>
          <w:color w:val="231F20"/>
          <w:spacing w:val="-4"/>
        </w:rPr>
        <w:t>entreprendre</w:t>
      </w:r>
      <w:r>
        <w:rPr>
          <w:color w:val="231F20"/>
          <w:spacing w:val="-6"/>
        </w:rPr>
        <w:t> </w:t>
      </w:r>
      <w:r>
        <w:rPr>
          <w:color w:val="231F20"/>
          <w:spacing w:val="-4"/>
        </w:rPr>
        <w:t>ou</w:t>
      </w:r>
      <w:r>
        <w:rPr>
          <w:color w:val="231F20"/>
          <w:spacing w:val="-6"/>
        </w:rPr>
        <w:t> </w:t>
      </w:r>
      <w:r>
        <w:rPr>
          <w:color w:val="231F20"/>
          <w:spacing w:val="-4"/>
        </w:rPr>
        <w:t>s’insérer</w:t>
      </w:r>
      <w:r>
        <w:rPr>
          <w:color w:val="231F20"/>
          <w:spacing w:val="-6"/>
        </w:rPr>
        <w:t> </w:t>
      </w:r>
      <w:r>
        <w:rPr>
          <w:color w:val="231F20"/>
          <w:spacing w:val="-4"/>
        </w:rPr>
        <w:t>dans</w:t>
      </w:r>
      <w:r>
        <w:rPr>
          <w:color w:val="231F20"/>
          <w:spacing w:val="-5"/>
        </w:rPr>
        <w:t> </w:t>
      </w:r>
      <w:r>
        <w:rPr>
          <w:color w:val="231F20"/>
          <w:spacing w:val="-4"/>
        </w:rPr>
        <w:t>la </w:t>
      </w:r>
      <w:r>
        <w:rPr>
          <w:color w:val="231F20"/>
        </w:rPr>
        <w:t>vie active, les étudiants formés se</w:t>
      </w:r>
      <w:r>
        <w:rPr>
          <w:color w:val="231F20"/>
          <w:spacing w:val="-1"/>
        </w:rPr>
        <w:t> </w:t>
      </w:r>
      <w:r>
        <w:rPr>
          <w:color w:val="231F20"/>
        </w:rPr>
        <w:t>tournent pour</w:t>
      </w:r>
      <w:r>
        <w:rPr>
          <w:color w:val="231F20"/>
          <w:spacing w:val="-1"/>
        </w:rPr>
        <w:t> </w:t>
      </w:r>
      <w:r>
        <w:rPr>
          <w:color w:val="231F20"/>
        </w:rPr>
        <w:t>survivre vers de</w:t>
      </w:r>
      <w:r>
        <w:rPr>
          <w:color w:val="231F20"/>
          <w:spacing w:val="-1"/>
        </w:rPr>
        <w:t> </w:t>
      </w:r>
      <w:r>
        <w:rPr>
          <w:color w:val="231F20"/>
        </w:rPr>
        <w:t>petits métiers comme gérants de</w:t>
      </w:r>
      <w:r>
        <w:rPr>
          <w:color w:val="231F20"/>
          <w:spacing w:val="-1"/>
        </w:rPr>
        <w:t> </w:t>
      </w:r>
      <w:r>
        <w:rPr>
          <w:color w:val="231F20"/>
        </w:rPr>
        <w:t>cabines téléphoniques.</w:t>
      </w:r>
    </w:p>
    <w:p>
      <w:pPr>
        <w:spacing w:after="0"/>
        <w:sectPr>
          <w:pgSz w:w="8790" w:h="13610"/>
          <w:pgMar w:header="0" w:footer="802" w:top="1060" w:bottom="1000" w:left="880" w:right="880"/>
        </w:sectPr>
      </w:pPr>
    </w:p>
    <w:p>
      <w:pPr>
        <w:pStyle w:val="Heading1"/>
        <w:spacing w:before="88"/>
        <w:ind w:left="70"/>
      </w:pPr>
      <w:r>
        <w:rPr>
          <w:color w:val="231F20"/>
          <w:spacing w:val="-2"/>
        </w:rPr>
        <w:t>CONCLUSION</w:t>
      </w:r>
    </w:p>
    <w:p>
      <w:pPr>
        <w:pStyle w:val="BodyText"/>
        <w:spacing w:before="275"/>
        <w:ind w:left="0"/>
        <w:jc w:val="left"/>
        <w:rPr>
          <w:rFonts w:ascii="Cambria"/>
          <w:b/>
          <w:sz w:val="32"/>
        </w:rPr>
      </w:pPr>
    </w:p>
    <w:p>
      <w:pPr>
        <w:pStyle w:val="BodyText"/>
        <w:ind w:right="108" w:firstLine="283"/>
      </w:pPr>
      <w:r>
        <w:rPr>
          <w:color w:val="231F20"/>
        </w:rPr>
        <w:t>Aucun</w:t>
      </w:r>
      <w:r>
        <w:rPr>
          <w:color w:val="231F20"/>
          <w:spacing w:val="-13"/>
        </w:rPr>
        <w:t> </w:t>
      </w:r>
      <w:r>
        <w:rPr>
          <w:color w:val="231F20"/>
        </w:rPr>
        <w:t>pays</w:t>
      </w:r>
      <w:r>
        <w:rPr>
          <w:color w:val="231F20"/>
          <w:spacing w:val="-13"/>
        </w:rPr>
        <w:t> </w:t>
      </w:r>
      <w:r>
        <w:rPr>
          <w:color w:val="231F20"/>
        </w:rPr>
        <w:t>d’Afrique</w:t>
      </w:r>
      <w:r>
        <w:rPr>
          <w:color w:val="231F20"/>
          <w:spacing w:val="-12"/>
        </w:rPr>
        <w:t> </w:t>
      </w:r>
      <w:r>
        <w:rPr>
          <w:color w:val="231F20"/>
        </w:rPr>
        <w:t>francophone</w:t>
      </w:r>
      <w:r>
        <w:rPr>
          <w:color w:val="231F20"/>
          <w:spacing w:val="-14"/>
        </w:rPr>
        <w:t> </w:t>
      </w:r>
      <w:r>
        <w:rPr>
          <w:color w:val="231F20"/>
        </w:rPr>
        <w:t>ne</w:t>
      </w:r>
      <w:r>
        <w:rPr>
          <w:color w:val="231F20"/>
          <w:spacing w:val="-14"/>
        </w:rPr>
        <w:t> </w:t>
      </w:r>
      <w:r>
        <w:rPr>
          <w:color w:val="231F20"/>
        </w:rPr>
        <w:t>peut</w:t>
      </w:r>
      <w:r>
        <w:rPr>
          <w:color w:val="231F20"/>
          <w:spacing w:val="-12"/>
        </w:rPr>
        <w:t> </w:t>
      </w:r>
      <w:r>
        <w:rPr>
          <w:color w:val="231F20"/>
        </w:rPr>
        <w:t>seul</w:t>
      </w:r>
      <w:r>
        <w:rPr>
          <w:color w:val="231F20"/>
          <w:spacing w:val="-12"/>
        </w:rPr>
        <w:t> </w:t>
      </w:r>
      <w:r>
        <w:rPr>
          <w:color w:val="231F20"/>
        </w:rPr>
        <w:t>gagner</w:t>
      </w:r>
      <w:r>
        <w:rPr>
          <w:color w:val="231F20"/>
          <w:spacing w:val="-13"/>
        </w:rPr>
        <w:t> </w:t>
      </w:r>
      <w:r>
        <w:rPr>
          <w:color w:val="231F20"/>
        </w:rPr>
        <w:t>la</w:t>
      </w:r>
      <w:r>
        <w:rPr>
          <w:color w:val="231F20"/>
          <w:spacing w:val="-12"/>
        </w:rPr>
        <w:t> </w:t>
      </w:r>
      <w:r>
        <w:rPr>
          <w:color w:val="231F20"/>
        </w:rPr>
        <w:t>bataille</w:t>
      </w:r>
      <w:r>
        <w:rPr>
          <w:color w:val="231F20"/>
          <w:spacing w:val="-14"/>
        </w:rPr>
        <w:t> </w:t>
      </w:r>
      <w:r>
        <w:rPr>
          <w:color w:val="231F20"/>
        </w:rPr>
        <w:t>de </w:t>
      </w:r>
      <w:r>
        <w:rPr>
          <w:color w:val="231F20"/>
          <w:spacing w:val="-4"/>
        </w:rPr>
        <w:t>son</w:t>
      </w:r>
      <w:r>
        <w:rPr>
          <w:color w:val="231F20"/>
          <w:spacing w:val="-10"/>
        </w:rPr>
        <w:t> </w:t>
      </w:r>
      <w:r>
        <w:rPr>
          <w:color w:val="231F20"/>
          <w:spacing w:val="-4"/>
        </w:rPr>
        <w:t>indépendance</w:t>
      </w:r>
      <w:r>
        <w:rPr>
          <w:color w:val="231F20"/>
          <w:spacing w:val="-9"/>
        </w:rPr>
        <w:t> </w:t>
      </w:r>
      <w:r>
        <w:rPr>
          <w:color w:val="231F20"/>
          <w:spacing w:val="-4"/>
        </w:rPr>
        <w:t>pleine</w:t>
      </w:r>
      <w:r>
        <w:rPr>
          <w:color w:val="231F20"/>
          <w:spacing w:val="-9"/>
        </w:rPr>
        <w:t> </w:t>
      </w:r>
      <w:r>
        <w:rPr>
          <w:color w:val="231F20"/>
          <w:spacing w:val="-4"/>
        </w:rPr>
        <w:t>avec</w:t>
      </w:r>
      <w:r>
        <w:rPr>
          <w:color w:val="231F20"/>
          <w:spacing w:val="-9"/>
        </w:rPr>
        <w:t> </w:t>
      </w:r>
      <w:r>
        <w:rPr>
          <w:color w:val="231F20"/>
          <w:spacing w:val="-4"/>
        </w:rPr>
        <w:t>la</w:t>
      </w:r>
      <w:r>
        <w:rPr>
          <w:color w:val="231F20"/>
          <w:spacing w:val="-9"/>
        </w:rPr>
        <w:t> </w:t>
      </w:r>
      <w:r>
        <w:rPr>
          <w:color w:val="231F20"/>
          <w:spacing w:val="-4"/>
        </w:rPr>
        <w:t>France.</w:t>
      </w:r>
      <w:r>
        <w:rPr>
          <w:color w:val="231F20"/>
          <w:spacing w:val="-9"/>
        </w:rPr>
        <w:t> </w:t>
      </w:r>
      <w:r>
        <w:rPr>
          <w:color w:val="231F20"/>
          <w:spacing w:val="-4"/>
        </w:rPr>
        <w:t>Tous</w:t>
      </w:r>
      <w:r>
        <w:rPr>
          <w:color w:val="231F20"/>
          <w:spacing w:val="-11"/>
        </w:rPr>
        <w:t> </w:t>
      </w:r>
      <w:r>
        <w:rPr>
          <w:color w:val="231F20"/>
          <w:spacing w:val="-4"/>
        </w:rPr>
        <w:t>les</w:t>
      </w:r>
      <w:r>
        <w:rPr>
          <w:color w:val="231F20"/>
          <w:spacing w:val="-11"/>
        </w:rPr>
        <w:t> </w:t>
      </w:r>
      <w:r>
        <w:rPr>
          <w:color w:val="231F20"/>
          <w:spacing w:val="-4"/>
        </w:rPr>
        <w:t>treize</w:t>
      </w:r>
      <w:r>
        <w:rPr>
          <w:color w:val="231F20"/>
          <w:spacing w:val="-9"/>
        </w:rPr>
        <w:t> </w:t>
      </w:r>
      <w:r>
        <w:rPr>
          <w:color w:val="231F20"/>
          <w:spacing w:val="-4"/>
        </w:rPr>
        <w:t>États</w:t>
      </w:r>
      <w:r>
        <w:rPr>
          <w:color w:val="231F20"/>
          <w:spacing w:val="-11"/>
        </w:rPr>
        <w:t> </w:t>
      </w:r>
      <w:r>
        <w:rPr>
          <w:color w:val="231F20"/>
          <w:spacing w:val="-4"/>
        </w:rPr>
        <w:t>doivent</w:t>
      </w:r>
      <w:r>
        <w:rPr>
          <w:color w:val="231F20"/>
          <w:spacing w:val="-11"/>
        </w:rPr>
        <w:t> </w:t>
      </w:r>
      <w:r>
        <w:rPr>
          <w:color w:val="231F20"/>
          <w:spacing w:val="-4"/>
        </w:rPr>
        <w:t>taire </w:t>
      </w:r>
      <w:r>
        <w:rPr>
          <w:color w:val="231F20"/>
        </w:rPr>
        <w:t>leurs</w:t>
      </w:r>
      <w:r>
        <w:rPr>
          <w:color w:val="231F20"/>
          <w:spacing w:val="-15"/>
        </w:rPr>
        <w:t> </w:t>
      </w:r>
      <w:r>
        <w:rPr>
          <w:color w:val="231F20"/>
        </w:rPr>
        <w:t>divergences</w:t>
      </w:r>
      <w:r>
        <w:rPr>
          <w:color w:val="231F20"/>
          <w:spacing w:val="-15"/>
        </w:rPr>
        <w:t> </w:t>
      </w:r>
      <w:r>
        <w:rPr>
          <w:color w:val="231F20"/>
        </w:rPr>
        <w:t>idéologiques,</w:t>
      </w:r>
      <w:r>
        <w:rPr>
          <w:color w:val="231F20"/>
          <w:spacing w:val="-15"/>
        </w:rPr>
        <w:t> </w:t>
      </w:r>
      <w:r>
        <w:rPr>
          <w:color w:val="231F20"/>
        </w:rPr>
        <w:t>leur</w:t>
      </w:r>
      <w:r>
        <w:rPr>
          <w:color w:val="231F20"/>
          <w:spacing w:val="-15"/>
        </w:rPr>
        <w:t> </w:t>
      </w:r>
      <w:r>
        <w:rPr>
          <w:color w:val="231F20"/>
        </w:rPr>
        <w:t>égoïsme,</w:t>
      </w:r>
      <w:r>
        <w:rPr>
          <w:color w:val="231F20"/>
          <w:spacing w:val="-15"/>
        </w:rPr>
        <w:t> </w:t>
      </w:r>
      <w:r>
        <w:rPr>
          <w:color w:val="231F20"/>
        </w:rPr>
        <w:t>leur</w:t>
      </w:r>
      <w:r>
        <w:rPr>
          <w:color w:val="231F20"/>
          <w:spacing w:val="-15"/>
        </w:rPr>
        <w:t> </w:t>
      </w:r>
      <w:r>
        <w:rPr>
          <w:color w:val="231F20"/>
        </w:rPr>
        <w:t>esprit</w:t>
      </w:r>
      <w:r>
        <w:rPr>
          <w:color w:val="231F20"/>
          <w:spacing w:val="-15"/>
        </w:rPr>
        <w:t> </w:t>
      </w:r>
      <w:r>
        <w:rPr>
          <w:color w:val="231F20"/>
        </w:rPr>
        <w:t>sectaire</w:t>
      </w:r>
      <w:r>
        <w:rPr>
          <w:color w:val="231F20"/>
          <w:spacing w:val="-15"/>
        </w:rPr>
        <w:t> </w:t>
      </w:r>
      <w:r>
        <w:rPr>
          <w:color w:val="231F20"/>
        </w:rPr>
        <w:t>et</w:t>
      </w:r>
      <w:r>
        <w:rPr>
          <w:color w:val="231F20"/>
          <w:spacing w:val="-15"/>
        </w:rPr>
        <w:t> </w:t>
      </w:r>
      <w:r>
        <w:rPr>
          <w:color w:val="231F20"/>
        </w:rPr>
        <w:t>aller en rang serré réclamer la</w:t>
      </w:r>
      <w:r>
        <w:rPr>
          <w:color w:val="231F20"/>
          <w:spacing w:val="-3"/>
        </w:rPr>
        <w:t> </w:t>
      </w:r>
      <w:r>
        <w:rPr>
          <w:color w:val="231F20"/>
        </w:rPr>
        <w:t>liberté pleine</w:t>
      </w:r>
      <w:r>
        <w:rPr>
          <w:color w:val="231F20"/>
          <w:spacing w:val="-3"/>
        </w:rPr>
        <w:t> </w:t>
      </w:r>
      <w:r>
        <w:rPr>
          <w:color w:val="231F20"/>
        </w:rPr>
        <w:t>des États.</w:t>
      </w:r>
    </w:p>
    <w:p>
      <w:pPr>
        <w:pStyle w:val="BodyText"/>
        <w:spacing w:before="121"/>
        <w:ind w:right="105" w:firstLine="283"/>
      </w:pPr>
      <w:r>
        <w:rPr>
          <w:color w:val="231F20"/>
          <w:spacing w:val="-2"/>
        </w:rPr>
        <w:t>Le</w:t>
      </w:r>
      <w:r>
        <w:rPr>
          <w:color w:val="231F20"/>
          <w:spacing w:val="-9"/>
        </w:rPr>
        <w:t> </w:t>
      </w:r>
      <w:r>
        <w:rPr>
          <w:color w:val="231F20"/>
          <w:spacing w:val="-2"/>
        </w:rPr>
        <w:t>temps</w:t>
      </w:r>
      <w:r>
        <w:rPr>
          <w:color w:val="231F20"/>
          <w:spacing w:val="-11"/>
        </w:rPr>
        <w:t> </w:t>
      </w:r>
      <w:r>
        <w:rPr>
          <w:color w:val="231F20"/>
          <w:spacing w:val="-2"/>
        </w:rPr>
        <w:t>est</w:t>
      </w:r>
      <w:r>
        <w:rPr>
          <w:color w:val="231F20"/>
          <w:spacing w:val="-10"/>
        </w:rPr>
        <w:t> </w:t>
      </w:r>
      <w:r>
        <w:rPr>
          <w:color w:val="231F20"/>
          <w:spacing w:val="-2"/>
        </w:rPr>
        <w:t>venu</w:t>
      </w:r>
      <w:r>
        <w:rPr>
          <w:color w:val="231F20"/>
          <w:spacing w:val="-11"/>
        </w:rPr>
        <w:t> </w:t>
      </w:r>
      <w:r>
        <w:rPr>
          <w:color w:val="231F20"/>
          <w:spacing w:val="-2"/>
        </w:rPr>
        <w:t>de</w:t>
      </w:r>
      <w:r>
        <w:rPr>
          <w:color w:val="231F20"/>
          <w:spacing w:val="-12"/>
        </w:rPr>
        <w:t> </w:t>
      </w:r>
      <w:r>
        <w:rPr>
          <w:color w:val="231F20"/>
          <w:spacing w:val="-2"/>
        </w:rPr>
        <w:t>cesser</w:t>
      </w:r>
      <w:r>
        <w:rPr>
          <w:color w:val="231F20"/>
          <w:spacing w:val="-9"/>
        </w:rPr>
        <w:t> </w:t>
      </w:r>
      <w:r>
        <w:rPr>
          <w:color w:val="231F20"/>
          <w:spacing w:val="-2"/>
        </w:rPr>
        <w:t>les</w:t>
      </w:r>
      <w:r>
        <w:rPr>
          <w:color w:val="231F20"/>
          <w:spacing w:val="-11"/>
        </w:rPr>
        <w:t> </w:t>
      </w:r>
      <w:r>
        <w:rPr>
          <w:color w:val="231F20"/>
          <w:spacing w:val="-2"/>
        </w:rPr>
        <w:t>grands</w:t>
      </w:r>
      <w:r>
        <w:rPr>
          <w:color w:val="231F20"/>
          <w:spacing w:val="-11"/>
        </w:rPr>
        <w:t> </w:t>
      </w:r>
      <w:r>
        <w:rPr>
          <w:color w:val="231F20"/>
          <w:spacing w:val="-2"/>
        </w:rPr>
        <w:t>discours</w:t>
      </w:r>
      <w:r>
        <w:rPr>
          <w:color w:val="231F20"/>
          <w:spacing w:val="-9"/>
        </w:rPr>
        <w:t> </w:t>
      </w:r>
      <w:r>
        <w:rPr>
          <w:color w:val="231F20"/>
          <w:spacing w:val="-2"/>
        </w:rPr>
        <w:t>creux</w:t>
      </w:r>
      <w:r>
        <w:rPr>
          <w:color w:val="231F20"/>
          <w:spacing w:val="-9"/>
        </w:rPr>
        <w:t> </w:t>
      </w:r>
      <w:r>
        <w:rPr>
          <w:color w:val="231F20"/>
          <w:spacing w:val="-2"/>
        </w:rPr>
        <w:t>et</w:t>
      </w:r>
      <w:r>
        <w:rPr>
          <w:color w:val="231F20"/>
          <w:spacing w:val="-10"/>
        </w:rPr>
        <w:t> </w:t>
      </w:r>
      <w:r>
        <w:rPr>
          <w:color w:val="231F20"/>
          <w:spacing w:val="-2"/>
        </w:rPr>
        <w:t>de</w:t>
      </w:r>
      <w:r>
        <w:rPr>
          <w:color w:val="231F20"/>
          <w:spacing w:val="-12"/>
        </w:rPr>
        <w:t> </w:t>
      </w:r>
      <w:r>
        <w:rPr>
          <w:color w:val="231F20"/>
          <w:spacing w:val="-2"/>
        </w:rPr>
        <w:t>passer</w:t>
      </w:r>
      <w:r>
        <w:rPr>
          <w:color w:val="231F20"/>
          <w:spacing w:val="-11"/>
        </w:rPr>
        <w:t> </w:t>
      </w:r>
      <w:r>
        <w:rPr>
          <w:color w:val="231F20"/>
          <w:spacing w:val="-2"/>
        </w:rPr>
        <w:t>aux actes</w:t>
      </w:r>
      <w:r>
        <w:rPr>
          <w:color w:val="231F20"/>
          <w:spacing w:val="-13"/>
        </w:rPr>
        <w:t> </w:t>
      </w:r>
      <w:r>
        <w:rPr>
          <w:color w:val="231F20"/>
          <w:spacing w:val="-2"/>
        </w:rPr>
        <w:t>:</w:t>
      </w:r>
      <w:r>
        <w:rPr>
          <w:color w:val="231F20"/>
          <w:spacing w:val="-13"/>
        </w:rPr>
        <w:t> </w:t>
      </w:r>
      <w:r>
        <w:rPr>
          <w:color w:val="231F20"/>
          <w:spacing w:val="-2"/>
        </w:rPr>
        <w:t>se</w:t>
      </w:r>
      <w:r>
        <w:rPr>
          <w:color w:val="231F20"/>
          <w:spacing w:val="-12"/>
        </w:rPr>
        <w:t> </w:t>
      </w:r>
      <w:r>
        <w:rPr>
          <w:color w:val="231F20"/>
          <w:spacing w:val="-2"/>
        </w:rPr>
        <w:t>mettre</w:t>
      </w:r>
      <w:r>
        <w:rPr>
          <w:color w:val="231F20"/>
          <w:spacing w:val="-13"/>
        </w:rPr>
        <w:t> </w:t>
      </w:r>
      <w:r>
        <w:rPr>
          <w:color w:val="231F20"/>
          <w:spacing w:val="-2"/>
        </w:rPr>
        <w:t>résolument</w:t>
      </w:r>
      <w:r>
        <w:rPr>
          <w:color w:val="231F20"/>
          <w:spacing w:val="-12"/>
        </w:rPr>
        <w:t> </w:t>
      </w:r>
      <w:r>
        <w:rPr>
          <w:color w:val="231F20"/>
          <w:spacing w:val="-2"/>
        </w:rPr>
        <w:t>au</w:t>
      </w:r>
      <w:r>
        <w:rPr>
          <w:color w:val="231F20"/>
          <w:spacing w:val="-13"/>
        </w:rPr>
        <w:t> </w:t>
      </w:r>
      <w:r>
        <w:rPr>
          <w:color w:val="231F20"/>
          <w:spacing w:val="-2"/>
        </w:rPr>
        <w:t>travail</w:t>
      </w:r>
      <w:r>
        <w:rPr>
          <w:color w:val="231F20"/>
          <w:spacing w:val="-12"/>
        </w:rPr>
        <w:t> </w:t>
      </w:r>
      <w:r>
        <w:rPr>
          <w:color w:val="231F20"/>
          <w:spacing w:val="-2"/>
        </w:rPr>
        <w:t>et</w:t>
      </w:r>
      <w:r>
        <w:rPr>
          <w:color w:val="231F20"/>
          <w:spacing w:val="-12"/>
        </w:rPr>
        <w:t> </w:t>
      </w:r>
      <w:r>
        <w:rPr>
          <w:color w:val="231F20"/>
          <w:spacing w:val="-2"/>
        </w:rPr>
        <w:t>construire</w:t>
      </w:r>
      <w:r>
        <w:rPr>
          <w:color w:val="231F20"/>
          <w:spacing w:val="-13"/>
        </w:rPr>
        <w:t> </w:t>
      </w:r>
      <w:r>
        <w:rPr>
          <w:color w:val="231F20"/>
          <w:spacing w:val="-2"/>
        </w:rPr>
        <w:t>les</w:t>
      </w:r>
      <w:r>
        <w:rPr>
          <w:color w:val="231F20"/>
          <w:spacing w:val="-13"/>
        </w:rPr>
        <w:t> </w:t>
      </w:r>
      <w:r>
        <w:rPr>
          <w:color w:val="231F20"/>
          <w:spacing w:val="-2"/>
        </w:rPr>
        <w:t>États</w:t>
      </w:r>
      <w:r>
        <w:rPr>
          <w:color w:val="231F20"/>
          <w:spacing w:val="-13"/>
        </w:rPr>
        <w:t> </w:t>
      </w:r>
      <w:r>
        <w:rPr>
          <w:color w:val="231F20"/>
          <w:spacing w:val="-2"/>
        </w:rPr>
        <w:t>sur</w:t>
      </w:r>
      <w:r>
        <w:rPr>
          <w:color w:val="231F20"/>
          <w:spacing w:val="-13"/>
        </w:rPr>
        <w:t> </w:t>
      </w:r>
      <w:r>
        <w:rPr>
          <w:color w:val="231F20"/>
          <w:spacing w:val="-2"/>
        </w:rPr>
        <w:t>des</w:t>
      </w:r>
      <w:r>
        <w:rPr>
          <w:color w:val="231F20"/>
          <w:spacing w:val="-13"/>
        </w:rPr>
        <w:t> </w:t>
      </w:r>
      <w:r>
        <w:rPr>
          <w:color w:val="231F20"/>
          <w:spacing w:val="-2"/>
        </w:rPr>
        <w:t>bases nouvelles,</w:t>
      </w:r>
      <w:r>
        <w:rPr>
          <w:color w:val="231F20"/>
          <w:spacing w:val="-8"/>
        </w:rPr>
        <w:t> </w:t>
      </w:r>
      <w:r>
        <w:rPr>
          <w:color w:val="231F20"/>
          <w:spacing w:val="-2"/>
        </w:rPr>
        <w:t>notamment</w:t>
      </w:r>
      <w:r>
        <w:rPr>
          <w:color w:val="231F20"/>
          <w:spacing w:val="-3"/>
        </w:rPr>
        <w:t> </w:t>
      </w:r>
      <w:r>
        <w:rPr>
          <w:color w:val="231F20"/>
          <w:spacing w:val="-2"/>
        </w:rPr>
        <w:t>dans</w:t>
      </w:r>
      <w:r>
        <w:rPr>
          <w:color w:val="231F20"/>
          <w:spacing w:val="-3"/>
        </w:rPr>
        <w:t> </w:t>
      </w:r>
      <w:r>
        <w:rPr>
          <w:color w:val="231F20"/>
          <w:spacing w:val="-2"/>
        </w:rPr>
        <w:t>les</w:t>
      </w:r>
      <w:r>
        <w:rPr>
          <w:color w:val="231F20"/>
          <w:spacing w:val="-5"/>
        </w:rPr>
        <w:t> </w:t>
      </w:r>
      <w:r>
        <w:rPr>
          <w:color w:val="231F20"/>
          <w:spacing w:val="-2"/>
        </w:rPr>
        <w:t>domaines</w:t>
      </w:r>
      <w:r>
        <w:rPr>
          <w:color w:val="231F20"/>
          <w:spacing w:val="-4"/>
        </w:rPr>
        <w:t> </w:t>
      </w:r>
      <w:r>
        <w:rPr>
          <w:color w:val="231F20"/>
          <w:spacing w:val="-2"/>
        </w:rPr>
        <w:t>politique</w:t>
      </w:r>
      <w:r>
        <w:rPr>
          <w:color w:val="231F20"/>
          <w:spacing w:val="-5"/>
        </w:rPr>
        <w:t> </w:t>
      </w:r>
      <w:r>
        <w:rPr>
          <w:color w:val="231F20"/>
          <w:spacing w:val="-2"/>
        </w:rPr>
        <w:t>et</w:t>
      </w:r>
      <w:r>
        <w:rPr>
          <w:color w:val="231F20"/>
          <w:spacing w:val="-4"/>
        </w:rPr>
        <w:t> </w:t>
      </w:r>
      <w:r>
        <w:rPr>
          <w:color w:val="231F20"/>
          <w:spacing w:val="-2"/>
        </w:rPr>
        <w:t>socioéconomique</w:t>
      </w:r>
      <w:r>
        <w:rPr>
          <w:color w:val="231F20"/>
          <w:spacing w:val="-11"/>
        </w:rPr>
        <w:t> </w:t>
      </w:r>
      <w:r>
        <w:rPr>
          <w:color w:val="231F20"/>
          <w:spacing w:val="-10"/>
        </w:rPr>
        <w:t>:</w:t>
      </w:r>
    </w:p>
    <w:p>
      <w:pPr>
        <w:spacing w:before="0"/>
        <w:ind w:left="111" w:right="0" w:firstLine="0"/>
        <w:jc w:val="both"/>
        <w:rPr>
          <w:i/>
          <w:sz w:val="24"/>
        </w:rPr>
      </w:pPr>
      <w:r>
        <w:rPr>
          <w:color w:val="231F20"/>
          <w:spacing w:val="-2"/>
          <w:sz w:val="24"/>
        </w:rPr>
        <w:t>«</w:t>
      </w:r>
      <w:r>
        <w:rPr>
          <w:color w:val="231F20"/>
          <w:spacing w:val="-9"/>
          <w:sz w:val="24"/>
        </w:rPr>
        <w:t> </w:t>
      </w:r>
      <w:r>
        <w:rPr>
          <w:i/>
          <w:color w:val="231F20"/>
          <w:spacing w:val="-2"/>
          <w:sz w:val="24"/>
        </w:rPr>
        <w:t>divisés,</w:t>
      </w:r>
      <w:r>
        <w:rPr>
          <w:i/>
          <w:color w:val="231F20"/>
          <w:spacing w:val="-3"/>
          <w:sz w:val="24"/>
        </w:rPr>
        <w:t> </w:t>
      </w:r>
      <w:r>
        <w:rPr>
          <w:i/>
          <w:color w:val="231F20"/>
          <w:spacing w:val="-2"/>
          <w:sz w:val="24"/>
        </w:rPr>
        <w:t>nous sommes</w:t>
      </w:r>
      <w:r>
        <w:rPr>
          <w:i/>
          <w:color w:val="231F20"/>
          <w:spacing w:val="-3"/>
          <w:sz w:val="24"/>
        </w:rPr>
        <w:t> </w:t>
      </w:r>
      <w:r>
        <w:rPr>
          <w:i/>
          <w:color w:val="231F20"/>
          <w:spacing w:val="-2"/>
          <w:sz w:val="24"/>
        </w:rPr>
        <w:t>faibles.</w:t>
      </w:r>
      <w:r>
        <w:rPr>
          <w:i/>
          <w:color w:val="231F20"/>
          <w:spacing w:val="-3"/>
          <w:sz w:val="24"/>
        </w:rPr>
        <w:t> </w:t>
      </w:r>
      <w:r>
        <w:rPr>
          <w:i/>
          <w:color w:val="231F20"/>
          <w:spacing w:val="-2"/>
          <w:sz w:val="24"/>
        </w:rPr>
        <w:t>Unie,</w:t>
      </w:r>
      <w:r>
        <w:rPr>
          <w:i/>
          <w:color w:val="231F20"/>
          <w:spacing w:val="-3"/>
          <w:sz w:val="24"/>
        </w:rPr>
        <w:t> </w:t>
      </w:r>
      <w:r>
        <w:rPr>
          <w:i/>
          <w:color w:val="231F20"/>
          <w:spacing w:val="-2"/>
          <w:sz w:val="24"/>
        </w:rPr>
        <w:t>l’Afrique</w:t>
      </w:r>
      <w:r>
        <w:rPr>
          <w:i/>
          <w:color w:val="231F20"/>
          <w:spacing w:val="-3"/>
          <w:sz w:val="24"/>
        </w:rPr>
        <w:t> </w:t>
      </w:r>
      <w:r>
        <w:rPr>
          <w:i/>
          <w:color w:val="231F20"/>
          <w:spacing w:val="-2"/>
          <w:sz w:val="24"/>
        </w:rPr>
        <w:t>pourrait</w:t>
      </w:r>
      <w:r>
        <w:rPr>
          <w:i/>
          <w:color w:val="231F20"/>
          <w:spacing w:val="-3"/>
          <w:sz w:val="24"/>
        </w:rPr>
        <w:t> </w:t>
      </w:r>
      <w:r>
        <w:rPr>
          <w:i/>
          <w:color w:val="231F20"/>
          <w:spacing w:val="-2"/>
          <w:sz w:val="24"/>
        </w:rPr>
        <w:t>devenir,</w:t>
      </w:r>
      <w:r>
        <w:rPr>
          <w:i/>
          <w:color w:val="231F20"/>
          <w:spacing w:val="-3"/>
          <w:sz w:val="24"/>
        </w:rPr>
        <w:t> </w:t>
      </w:r>
      <w:r>
        <w:rPr>
          <w:i/>
          <w:color w:val="231F20"/>
          <w:spacing w:val="-2"/>
          <w:sz w:val="24"/>
        </w:rPr>
        <w:t>et </w:t>
      </w:r>
      <w:r>
        <w:rPr>
          <w:i/>
          <w:color w:val="231F20"/>
          <w:spacing w:val="-4"/>
          <w:sz w:val="24"/>
        </w:rPr>
        <w:t>pour</w:t>
      </w:r>
    </w:p>
    <w:p>
      <w:pPr>
        <w:spacing w:before="0"/>
        <w:ind w:left="111" w:right="0" w:firstLine="0"/>
        <w:jc w:val="both"/>
        <w:rPr>
          <w:i/>
          <w:sz w:val="24"/>
        </w:rPr>
      </w:pPr>
      <w:r>
        <w:rPr>
          <w:i/>
          <w:color w:val="231F20"/>
          <w:spacing w:val="-2"/>
          <w:sz w:val="24"/>
        </w:rPr>
        <w:t>de</w:t>
      </w:r>
      <w:r>
        <w:rPr>
          <w:i/>
          <w:color w:val="231F20"/>
          <w:spacing w:val="-10"/>
          <w:sz w:val="24"/>
        </w:rPr>
        <w:t> </w:t>
      </w:r>
      <w:r>
        <w:rPr>
          <w:i/>
          <w:color w:val="231F20"/>
          <w:spacing w:val="-2"/>
          <w:sz w:val="24"/>
        </w:rPr>
        <w:t>bon,</w:t>
      </w:r>
      <w:r>
        <w:rPr>
          <w:i/>
          <w:color w:val="231F20"/>
          <w:spacing w:val="-9"/>
          <w:sz w:val="24"/>
        </w:rPr>
        <w:t> </w:t>
      </w:r>
      <w:r>
        <w:rPr>
          <w:i/>
          <w:color w:val="231F20"/>
          <w:spacing w:val="-2"/>
          <w:sz w:val="24"/>
        </w:rPr>
        <w:t>une</w:t>
      </w:r>
      <w:r>
        <w:rPr>
          <w:i/>
          <w:color w:val="231F20"/>
          <w:spacing w:val="-8"/>
          <w:sz w:val="24"/>
        </w:rPr>
        <w:t> </w:t>
      </w:r>
      <w:r>
        <w:rPr>
          <w:i/>
          <w:color w:val="231F20"/>
          <w:spacing w:val="-2"/>
          <w:sz w:val="24"/>
        </w:rPr>
        <w:t>des</w:t>
      </w:r>
      <w:r>
        <w:rPr>
          <w:i/>
          <w:color w:val="231F20"/>
          <w:spacing w:val="-7"/>
          <w:sz w:val="24"/>
        </w:rPr>
        <w:t> </w:t>
      </w:r>
      <w:r>
        <w:rPr>
          <w:i/>
          <w:color w:val="231F20"/>
          <w:spacing w:val="-2"/>
          <w:sz w:val="24"/>
        </w:rPr>
        <w:t>plus</w:t>
      </w:r>
      <w:r>
        <w:rPr>
          <w:i/>
          <w:color w:val="231F20"/>
          <w:spacing w:val="-9"/>
          <w:sz w:val="24"/>
        </w:rPr>
        <w:t> </w:t>
      </w:r>
      <w:r>
        <w:rPr>
          <w:i/>
          <w:color w:val="231F20"/>
          <w:spacing w:val="-2"/>
          <w:sz w:val="24"/>
        </w:rPr>
        <w:t>grandes</w:t>
      </w:r>
      <w:r>
        <w:rPr>
          <w:i/>
          <w:color w:val="231F20"/>
          <w:spacing w:val="-8"/>
          <w:sz w:val="24"/>
        </w:rPr>
        <w:t> </w:t>
      </w:r>
      <w:r>
        <w:rPr>
          <w:i/>
          <w:color w:val="231F20"/>
          <w:spacing w:val="-2"/>
          <w:sz w:val="24"/>
        </w:rPr>
        <w:t>forces</w:t>
      </w:r>
      <w:r>
        <w:rPr>
          <w:i/>
          <w:color w:val="231F20"/>
          <w:spacing w:val="-7"/>
          <w:sz w:val="24"/>
        </w:rPr>
        <w:t> </w:t>
      </w:r>
      <w:r>
        <w:rPr>
          <w:i/>
          <w:color w:val="231F20"/>
          <w:spacing w:val="-2"/>
          <w:sz w:val="24"/>
        </w:rPr>
        <w:t>de</w:t>
      </w:r>
      <w:r>
        <w:rPr>
          <w:i/>
          <w:color w:val="231F20"/>
          <w:spacing w:val="-7"/>
          <w:sz w:val="24"/>
        </w:rPr>
        <w:t> </w:t>
      </w:r>
      <w:r>
        <w:rPr>
          <w:i/>
          <w:color w:val="231F20"/>
          <w:spacing w:val="-2"/>
          <w:sz w:val="24"/>
        </w:rPr>
        <w:t>ce</w:t>
      </w:r>
      <w:r>
        <w:rPr>
          <w:i/>
          <w:color w:val="231F20"/>
          <w:spacing w:val="-7"/>
          <w:sz w:val="24"/>
        </w:rPr>
        <w:t> </w:t>
      </w:r>
      <w:r>
        <w:rPr>
          <w:i/>
          <w:color w:val="231F20"/>
          <w:spacing w:val="-2"/>
          <w:sz w:val="24"/>
        </w:rPr>
        <w:t>monde.</w:t>
      </w:r>
      <w:r>
        <w:rPr>
          <w:i/>
          <w:color w:val="231F20"/>
          <w:spacing w:val="-11"/>
          <w:sz w:val="24"/>
        </w:rPr>
        <w:t> </w:t>
      </w:r>
      <w:r>
        <w:rPr>
          <w:color w:val="76787A"/>
          <w:spacing w:val="-4"/>
          <w:sz w:val="24"/>
          <w:vertAlign w:val="superscript"/>
        </w:rPr>
        <w:t>278</w:t>
      </w:r>
      <w:r>
        <w:rPr>
          <w:i/>
          <w:color w:val="231F20"/>
          <w:spacing w:val="-4"/>
          <w:sz w:val="24"/>
          <w:vertAlign w:val="baseline"/>
        </w:rPr>
        <w:t>»</w:t>
      </w:r>
    </w:p>
    <w:p>
      <w:pPr>
        <w:pStyle w:val="BodyText"/>
        <w:spacing w:before="120"/>
        <w:ind w:right="105" w:firstLine="283"/>
      </w:pPr>
      <w:r>
        <w:rPr>
          <w:color w:val="231F20"/>
          <w:spacing w:val="-2"/>
        </w:rPr>
        <w:t>Dans</w:t>
      </w:r>
      <w:r>
        <w:rPr>
          <w:color w:val="231F20"/>
          <w:spacing w:val="-8"/>
        </w:rPr>
        <w:t> </w:t>
      </w:r>
      <w:r>
        <w:rPr>
          <w:color w:val="231F20"/>
          <w:spacing w:val="-2"/>
        </w:rPr>
        <w:t>l’histoire</w:t>
      </w:r>
      <w:r>
        <w:rPr>
          <w:color w:val="231F20"/>
          <w:spacing w:val="-8"/>
        </w:rPr>
        <w:t> </w:t>
      </w:r>
      <w:r>
        <w:rPr>
          <w:color w:val="231F20"/>
          <w:spacing w:val="-2"/>
        </w:rPr>
        <w:t>de</w:t>
      </w:r>
      <w:r>
        <w:rPr>
          <w:color w:val="231F20"/>
          <w:spacing w:val="-8"/>
        </w:rPr>
        <w:t> </w:t>
      </w:r>
      <w:r>
        <w:rPr>
          <w:color w:val="231F20"/>
          <w:spacing w:val="-2"/>
        </w:rPr>
        <w:t>l’humanité,</w:t>
      </w:r>
      <w:r>
        <w:rPr>
          <w:color w:val="231F20"/>
          <w:spacing w:val="-10"/>
        </w:rPr>
        <w:t> </w:t>
      </w:r>
      <w:r>
        <w:rPr>
          <w:color w:val="231F20"/>
          <w:spacing w:val="-2"/>
        </w:rPr>
        <w:t>tous</w:t>
      </w:r>
      <w:r>
        <w:rPr>
          <w:color w:val="231F20"/>
          <w:spacing w:val="-10"/>
        </w:rPr>
        <w:t> </w:t>
      </w:r>
      <w:r>
        <w:rPr>
          <w:color w:val="231F20"/>
          <w:spacing w:val="-2"/>
        </w:rPr>
        <w:t>les</w:t>
      </w:r>
      <w:r>
        <w:rPr>
          <w:color w:val="231F20"/>
          <w:spacing w:val="-8"/>
        </w:rPr>
        <w:t> </w:t>
      </w:r>
      <w:r>
        <w:rPr>
          <w:color w:val="231F20"/>
          <w:spacing w:val="-2"/>
        </w:rPr>
        <w:t>peuples</w:t>
      </w:r>
      <w:r>
        <w:rPr>
          <w:color w:val="231F20"/>
          <w:spacing w:val="-8"/>
        </w:rPr>
        <w:t> </w:t>
      </w:r>
      <w:r>
        <w:rPr>
          <w:color w:val="231F20"/>
          <w:spacing w:val="-2"/>
        </w:rPr>
        <w:t>ont</w:t>
      </w:r>
      <w:r>
        <w:rPr>
          <w:color w:val="231F20"/>
          <w:spacing w:val="-9"/>
        </w:rPr>
        <w:t> </w:t>
      </w:r>
      <w:r>
        <w:rPr>
          <w:color w:val="231F20"/>
          <w:spacing w:val="-2"/>
        </w:rPr>
        <w:t>connu</w:t>
      </w:r>
      <w:r>
        <w:rPr>
          <w:color w:val="231F20"/>
          <w:spacing w:val="-8"/>
        </w:rPr>
        <w:t> </w:t>
      </w:r>
      <w:r>
        <w:rPr>
          <w:color w:val="231F20"/>
          <w:spacing w:val="-2"/>
        </w:rPr>
        <w:t>à</w:t>
      </w:r>
      <w:r>
        <w:rPr>
          <w:color w:val="231F20"/>
          <w:spacing w:val="-8"/>
        </w:rPr>
        <w:t> </w:t>
      </w:r>
      <w:r>
        <w:rPr>
          <w:color w:val="231F20"/>
          <w:spacing w:val="-2"/>
        </w:rPr>
        <w:t>des</w:t>
      </w:r>
      <w:r>
        <w:rPr>
          <w:color w:val="231F20"/>
          <w:spacing w:val="-6"/>
        </w:rPr>
        <w:t> </w:t>
      </w:r>
      <w:r>
        <w:rPr>
          <w:color w:val="231F20"/>
          <w:spacing w:val="-2"/>
        </w:rPr>
        <w:t>degrés </w:t>
      </w:r>
      <w:r>
        <w:rPr>
          <w:color w:val="231F20"/>
        </w:rPr>
        <w:t>divers, la domination d’un autre peuple. Les autres peuples, Blancs comme</w:t>
      </w:r>
      <w:r>
        <w:rPr>
          <w:color w:val="231F20"/>
          <w:spacing w:val="-2"/>
        </w:rPr>
        <w:t> </w:t>
      </w:r>
      <w:r>
        <w:rPr>
          <w:color w:val="231F20"/>
        </w:rPr>
        <w:t>Jaunes</w:t>
      </w:r>
      <w:r>
        <w:rPr>
          <w:color w:val="231F20"/>
          <w:spacing w:val="-4"/>
        </w:rPr>
        <w:t> </w:t>
      </w:r>
      <w:r>
        <w:rPr>
          <w:color w:val="231F20"/>
        </w:rPr>
        <w:t>se</w:t>
      </w:r>
      <w:r>
        <w:rPr>
          <w:color w:val="231F20"/>
          <w:spacing w:val="-2"/>
        </w:rPr>
        <w:t> </w:t>
      </w:r>
      <w:r>
        <w:rPr>
          <w:color w:val="231F20"/>
        </w:rPr>
        <w:t>sont</w:t>
      </w:r>
      <w:r>
        <w:rPr>
          <w:color w:val="231F20"/>
          <w:spacing w:val="-1"/>
        </w:rPr>
        <w:t> </w:t>
      </w:r>
      <w:r>
        <w:rPr>
          <w:color w:val="231F20"/>
        </w:rPr>
        <w:t>remis</w:t>
      </w:r>
      <w:r>
        <w:rPr>
          <w:color w:val="231F20"/>
          <w:spacing w:val="-4"/>
        </w:rPr>
        <w:t> </w:t>
      </w:r>
      <w:r>
        <w:rPr>
          <w:color w:val="231F20"/>
        </w:rPr>
        <w:t>de</w:t>
      </w:r>
      <w:r>
        <w:rPr>
          <w:color w:val="231F20"/>
          <w:spacing w:val="-2"/>
        </w:rPr>
        <w:t> </w:t>
      </w:r>
      <w:r>
        <w:rPr>
          <w:color w:val="231F20"/>
        </w:rPr>
        <w:t>ces</w:t>
      </w:r>
      <w:r>
        <w:rPr>
          <w:color w:val="231F20"/>
          <w:spacing w:val="-2"/>
        </w:rPr>
        <w:t> </w:t>
      </w:r>
      <w:r>
        <w:rPr>
          <w:color w:val="231F20"/>
        </w:rPr>
        <w:t>accidents</w:t>
      </w:r>
      <w:r>
        <w:rPr>
          <w:color w:val="231F20"/>
          <w:spacing w:val="-4"/>
        </w:rPr>
        <w:t> </w:t>
      </w:r>
      <w:r>
        <w:rPr>
          <w:color w:val="231F20"/>
        </w:rPr>
        <w:t>de</w:t>
      </w:r>
      <w:r>
        <w:rPr>
          <w:color w:val="231F20"/>
          <w:spacing w:val="-2"/>
        </w:rPr>
        <w:t> </w:t>
      </w:r>
      <w:r>
        <w:rPr>
          <w:color w:val="231F20"/>
        </w:rPr>
        <w:t>parcours.</w:t>
      </w:r>
    </w:p>
    <w:p>
      <w:pPr>
        <w:pStyle w:val="BodyText"/>
        <w:spacing w:before="120"/>
        <w:ind w:right="108" w:firstLine="283"/>
      </w:pPr>
      <w:r>
        <w:rPr>
          <w:color w:val="231F20"/>
        </w:rPr>
        <w:t>Malgré les indépendances, le «</w:t>
      </w:r>
      <w:r>
        <w:rPr>
          <w:color w:val="231F20"/>
          <w:spacing w:val="-15"/>
        </w:rPr>
        <w:t> </w:t>
      </w:r>
      <w:r>
        <w:rPr>
          <w:color w:val="231F20"/>
        </w:rPr>
        <w:t>problème africain</w:t>
      </w:r>
      <w:r>
        <w:rPr>
          <w:color w:val="231F20"/>
          <w:spacing w:val="-15"/>
        </w:rPr>
        <w:t> </w:t>
      </w:r>
      <w:r>
        <w:rPr>
          <w:color w:val="231F20"/>
        </w:rPr>
        <w:t>» reste entier</w:t>
      </w:r>
      <w:r>
        <w:rPr>
          <w:color w:val="231F20"/>
          <w:spacing w:val="-15"/>
        </w:rPr>
        <w:t> </w:t>
      </w:r>
      <w:r>
        <w:rPr>
          <w:color w:val="231F20"/>
        </w:rPr>
        <w:t>: la décolonisation mentale.</w:t>
      </w:r>
    </w:p>
    <w:p>
      <w:pPr>
        <w:pStyle w:val="BodyText"/>
        <w:spacing w:before="120"/>
        <w:ind w:right="106" w:firstLine="283"/>
      </w:pPr>
      <w:r>
        <w:rPr>
          <w:color w:val="231F20"/>
        </w:rPr>
        <w:t>La colonisation a changé de nom et d’habits. Elle a abandonné le casque colonial et le costume kaki pour un complet veste d’homme d’affaires</w:t>
      </w:r>
      <w:r>
        <w:rPr>
          <w:color w:val="231F20"/>
          <w:spacing w:val="-8"/>
        </w:rPr>
        <w:t> </w:t>
      </w:r>
      <w:r>
        <w:rPr>
          <w:color w:val="231F20"/>
        </w:rPr>
        <w:t>et,</w:t>
      </w:r>
      <w:r>
        <w:rPr>
          <w:color w:val="231F20"/>
          <w:spacing w:val="-8"/>
        </w:rPr>
        <w:t> </w:t>
      </w:r>
      <w:r>
        <w:rPr>
          <w:color w:val="231F20"/>
        </w:rPr>
        <w:t>est</w:t>
      </w:r>
      <w:r>
        <w:rPr>
          <w:color w:val="231F20"/>
          <w:spacing w:val="-8"/>
        </w:rPr>
        <w:t> </w:t>
      </w:r>
      <w:r>
        <w:rPr>
          <w:color w:val="231F20"/>
        </w:rPr>
        <w:t>connue</w:t>
      </w:r>
      <w:r>
        <w:rPr>
          <w:color w:val="231F20"/>
          <w:spacing w:val="-11"/>
        </w:rPr>
        <w:t> </w:t>
      </w:r>
      <w:r>
        <w:rPr>
          <w:color w:val="231F20"/>
        </w:rPr>
        <w:t>sous</w:t>
      </w:r>
      <w:r>
        <w:rPr>
          <w:color w:val="231F20"/>
          <w:spacing w:val="-10"/>
        </w:rPr>
        <w:t> </w:t>
      </w:r>
      <w:r>
        <w:rPr>
          <w:color w:val="231F20"/>
        </w:rPr>
        <w:t>l’appellation,</w:t>
      </w:r>
      <w:r>
        <w:rPr>
          <w:color w:val="231F20"/>
          <w:spacing w:val="-10"/>
        </w:rPr>
        <w:t> </w:t>
      </w:r>
      <w:r>
        <w:rPr>
          <w:color w:val="231F20"/>
        </w:rPr>
        <w:t>néo-colonialisme.</w:t>
      </w:r>
    </w:p>
    <w:p>
      <w:pPr>
        <w:pStyle w:val="BodyText"/>
        <w:spacing w:before="120"/>
        <w:ind w:right="104" w:firstLine="340"/>
      </w:pPr>
      <w:r>
        <w:rPr>
          <w:color w:val="231F20"/>
        </w:rPr>
        <w:t>Le néo-colonialisme a pour effet l’intervention constante des anciennes</w:t>
      </w:r>
      <w:r>
        <w:rPr>
          <w:color w:val="231F20"/>
          <w:spacing w:val="-11"/>
        </w:rPr>
        <w:t> </w:t>
      </w:r>
      <w:r>
        <w:rPr>
          <w:color w:val="231F20"/>
        </w:rPr>
        <w:t>puissances</w:t>
      </w:r>
      <w:r>
        <w:rPr>
          <w:color w:val="231F20"/>
          <w:spacing w:val="-10"/>
        </w:rPr>
        <w:t> </w:t>
      </w:r>
      <w:r>
        <w:rPr>
          <w:color w:val="231F20"/>
        </w:rPr>
        <w:t>coloniales</w:t>
      </w:r>
      <w:r>
        <w:rPr>
          <w:color w:val="231F20"/>
          <w:spacing w:val="-10"/>
        </w:rPr>
        <w:t> </w:t>
      </w:r>
      <w:r>
        <w:rPr>
          <w:color w:val="231F20"/>
        </w:rPr>
        <w:t>et</w:t>
      </w:r>
      <w:r>
        <w:rPr>
          <w:color w:val="231F20"/>
          <w:spacing w:val="-9"/>
        </w:rPr>
        <w:t> </w:t>
      </w:r>
      <w:r>
        <w:rPr>
          <w:color w:val="231F20"/>
        </w:rPr>
        <w:t>des</w:t>
      </w:r>
      <w:r>
        <w:rPr>
          <w:color w:val="231F20"/>
          <w:spacing w:val="-10"/>
        </w:rPr>
        <w:t> </w:t>
      </w:r>
      <w:r>
        <w:rPr>
          <w:color w:val="231F20"/>
        </w:rPr>
        <w:t>autres</w:t>
      </w:r>
      <w:r>
        <w:rPr>
          <w:color w:val="231F20"/>
          <w:spacing w:val="-10"/>
        </w:rPr>
        <w:t> </w:t>
      </w:r>
      <w:r>
        <w:rPr>
          <w:color w:val="231F20"/>
        </w:rPr>
        <w:t>comme</w:t>
      </w:r>
      <w:r>
        <w:rPr>
          <w:color w:val="231F20"/>
          <w:spacing w:val="-9"/>
        </w:rPr>
        <w:t> </w:t>
      </w:r>
      <w:r>
        <w:rPr>
          <w:color w:val="231F20"/>
        </w:rPr>
        <w:t>la</w:t>
      </w:r>
      <w:r>
        <w:rPr>
          <w:color w:val="231F20"/>
          <w:spacing w:val="-11"/>
        </w:rPr>
        <w:t> </w:t>
      </w:r>
      <w:r>
        <w:rPr>
          <w:color w:val="231F20"/>
        </w:rPr>
        <w:t>Chine,</w:t>
      </w:r>
      <w:r>
        <w:rPr>
          <w:color w:val="231F20"/>
          <w:spacing w:val="-11"/>
        </w:rPr>
        <w:t> </w:t>
      </w:r>
      <w:r>
        <w:rPr>
          <w:color w:val="231F20"/>
        </w:rPr>
        <w:t>les</w:t>
      </w:r>
      <w:r>
        <w:rPr>
          <w:color w:val="231F20"/>
          <w:spacing w:val="-10"/>
        </w:rPr>
        <w:t> </w:t>
      </w:r>
      <w:r>
        <w:rPr>
          <w:color w:val="231F20"/>
        </w:rPr>
        <w:t>USA </w:t>
      </w:r>
      <w:r>
        <w:rPr>
          <w:color w:val="231F20"/>
          <w:spacing w:val="-4"/>
        </w:rPr>
        <w:t>dans</w:t>
      </w:r>
      <w:r>
        <w:rPr>
          <w:color w:val="231F20"/>
          <w:spacing w:val="-11"/>
        </w:rPr>
        <w:t> </w:t>
      </w:r>
      <w:r>
        <w:rPr>
          <w:color w:val="231F20"/>
          <w:spacing w:val="-4"/>
        </w:rPr>
        <w:t>les</w:t>
      </w:r>
      <w:r>
        <w:rPr>
          <w:color w:val="231F20"/>
          <w:spacing w:val="-11"/>
        </w:rPr>
        <w:t> </w:t>
      </w:r>
      <w:r>
        <w:rPr>
          <w:color w:val="231F20"/>
          <w:spacing w:val="-4"/>
        </w:rPr>
        <w:t>affaires</w:t>
      </w:r>
      <w:r>
        <w:rPr>
          <w:color w:val="231F20"/>
          <w:spacing w:val="-11"/>
        </w:rPr>
        <w:t> </w:t>
      </w:r>
      <w:r>
        <w:rPr>
          <w:color w:val="231F20"/>
          <w:spacing w:val="-4"/>
        </w:rPr>
        <w:t>politiques,</w:t>
      </w:r>
      <w:r>
        <w:rPr>
          <w:color w:val="231F20"/>
          <w:spacing w:val="-11"/>
        </w:rPr>
        <w:t> </w:t>
      </w:r>
      <w:r>
        <w:rPr>
          <w:color w:val="231F20"/>
          <w:spacing w:val="-4"/>
        </w:rPr>
        <w:t>économiques,</w:t>
      </w:r>
      <w:r>
        <w:rPr>
          <w:color w:val="231F20"/>
          <w:spacing w:val="-8"/>
        </w:rPr>
        <w:t> </w:t>
      </w:r>
      <w:r>
        <w:rPr>
          <w:color w:val="231F20"/>
          <w:spacing w:val="-4"/>
        </w:rPr>
        <w:t>militaires</w:t>
      </w:r>
      <w:r>
        <w:rPr>
          <w:color w:val="231F20"/>
          <w:spacing w:val="-11"/>
        </w:rPr>
        <w:t> </w:t>
      </w:r>
      <w:r>
        <w:rPr>
          <w:color w:val="231F20"/>
          <w:spacing w:val="-4"/>
        </w:rPr>
        <w:t>et</w:t>
      </w:r>
      <w:r>
        <w:rPr>
          <w:color w:val="231F20"/>
          <w:spacing w:val="-9"/>
        </w:rPr>
        <w:t> </w:t>
      </w:r>
      <w:r>
        <w:rPr>
          <w:color w:val="231F20"/>
          <w:spacing w:val="-4"/>
        </w:rPr>
        <w:t>culturelles</w:t>
      </w:r>
      <w:r>
        <w:rPr>
          <w:color w:val="231F20"/>
          <w:spacing w:val="-9"/>
        </w:rPr>
        <w:t> </w:t>
      </w:r>
      <w:r>
        <w:rPr>
          <w:color w:val="231F20"/>
          <w:spacing w:val="-4"/>
        </w:rPr>
        <w:t>des</w:t>
      </w:r>
      <w:r>
        <w:rPr>
          <w:color w:val="231F20"/>
          <w:spacing w:val="-11"/>
        </w:rPr>
        <w:t> </w:t>
      </w:r>
      <w:r>
        <w:rPr>
          <w:color w:val="231F20"/>
          <w:spacing w:val="-4"/>
        </w:rPr>
        <w:t>pays </w:t>
      </w:r>
      <w:r>
        <w:rPr>
          <w:color w:val="231F20"/>
          <w:spacing w:val="-2"/>
        </w:rPr>
        <w:t>africains.</w:t>
      </w:r>
      <w:r>
        <w:rPr>
          <w:color w:val="231F20"/>
          <w:spacing w:val="-15"/>
        </w:rPr>
        <w:t> </w:t>
      </w:r>
      <w:r>
        <w:rPr>
          <w:color w:val="231F20"/>
          <w:spacing w:val="-2"/>
        </w:rPr>
        <w:t>Qu’il</w:t>
      </w:r>
      <w:r>
        <w:rPr>
          <w:color w:val="231F20"/>
          <w:spacing w:val="-13"/>
        </w:rPr>
        <w:t> </w:t>
      </w:r>
      <w:r>
        <w:rPr>
          <w:color w:val="231F20"/>
          <w:spacing w:val="-2"/>
        </w:rPr>
        <w:t>vienne</w:t>
      </w:r>
      <w:r>
        <w:rPr>
          <w:color w:val="231F20"/>
          <w:spacing w:val="-13"/>
        </w:rPr>
        <w:t> </w:t>
      </w:r>
      <w:r>
        <w:rPr>
          <w:color w:val="231F20"/>
          <w:spacing w:val="-2"/>
        </w:rPr>
        <w:t>de</w:t>
      </w:r>
      <w:r>
        <w:rPr>
          <w:color w:val="231F20"/>
          <w:spacing w:val="-13"/>
        </w:rPr>
        <w:t> </w:t>
      </w:r>
      <w:r>
        <w:rPr>
          <w:color w:val="231F20"/>
          <w:spacing w:val="-2"/>
        </w:rPr>
        <w:t>l’Occident</w:t>
      </w:r>
      <w:r>
        <w:rPr>
          <w:color w:val="231F20"/>
          <w:spacing w:val="-13"/>
        </w:rPr>
        <w:t> </w:t>
      </w:r>
      <w:r>
        <w:rPr>
          <w:color w:val="231F20"/>
          <w:spacing w:val="-2"/>
        </w:rPr>
        <w:t>ou</w:t>
      </w:r>
      <w:r>
        <w:rPr>
          <w:color w:val="231F20"/>
          <w:spacing w:val="-13"/>
        </w:rPr>
        <w:t> </w:t>
      </w:r>
      <w:r>
        <w:rPr>
          <w:color w:val="231F20"/>
          <w:spacing w:val="-2"/>
        </w:rPr>
        <w:t>de</w:t>
      </w:r>
      <w:r>
        <w:rPr>
          <w:color w:val="231F20"/>
          <w:spacing w:val="-13"/>
        </w:rPr>
        <w:t> </w:t>
      </w:r>
      <w:r>
        <w:rPr>
          <w:color w:val="231F20"/>
          <w:spacing w:val="-2"/>
        </w:rPr>
        <w:t>l’Asie,</w:t>
      </w:r>
      <w:r>
        <w:rPr>
          <w:color w:val="231F20"/>
          <w:spacing w:val="-13"/>
        </w:rPr>
        <w:t> </w:t>
      </w:r>
      <w:r>
        <w:rPr>
          <w:color w:val="231F20"/>
          <w:spacing w:val="-2"/>
        </w:rPr>
        <w:t>le</w:t>
      </w:r>
      <w:r>
        <w:rPr>
          <w:color w:val="231F20"/>
          <w:spacing w:val="-13"/>
        </w:rPr>
        <w:t> </w:t>
      </w:r>
      <w:r>
        <w:rPr>
          <w:color w:val="231F20"/>
          <w:spacing w:val="-2"/>
        </w:rPr>
        <w:t>néocolonialisme</w:t>
      </w:r>
      <w:r>
        <w:rPr>
          <w:color w:val="231F20"/>
          <w:spacing w:val="-13"/>
        </w:rPr>
        <w:t> </w:t>
      </w:r>
      <w:r>
        <w:rPr>
          <w:color w:val="231F20"/>
          <w:spacing w:val="-2"/>
        </w:rPr>
        <w:t>n’a </w:t>
      </w:r>
      <w:r>
        <w:rPr>
          <w:color w:val="231F20"/>
        </w:rPr>
        <w:t>plus</w:t>
      </w:r>
      <w:r>
        <w:rPr>
          <w:color w:val="231F20"/>
          <w:spacing w:val="-1"/>
        </w:rPr>
        <w:t> </w:t>
      </w:r>
      <w:r>
        <w:rPr>
          <w:color w:val="231F20"/>
        </w:rPr>
        <w:t>à prospérer</w:t>
      </w:r>
      <w:r>
        <w:rPr>
          <w:color w:val="231F20"/>
          <w:spacing w:val="-1"/>
        </w:rPr>
        <w:t> </w:t>
      </w:r>
      <w:r>
        <w:rPr>
          <w:color w:val="231F20"/>
        </w:rPr>
        <w:t>sous</w:t>
      </w:r>
      <w:r>
        <w:rPr>
          <w:color w:val="231F20"/>
          <w:spacing w:val="-1"/>
        </w:rPr>
        <w:t> </w:t>
      </w:r>
      <w:r>
        <w:rPr>
          <w:color w:val="231F20"/>
        </w:rPr>
        <w:t>des</w:t>
      </w:r>
      <w:r>
        <w:rPr>
          <w:color w:val="231F20"/>
          <w:spacing w:val="-1"/>
        </w:rPr>
        <w:t> </w:t>
      </w:r>
      <w:r>
        <w:rPr>
          <w:color w:val="231F20"/>
        </w:rPr>
        <w:t>formes</w:t>
      </w:r>
      <w:r>
        <w:rPr>
          <w:color w:val="231F20"/>
          <w:spacing w:val="-1"/>
        </w:rPr>
        <w:t> </w:t>
      </w:r>
      <w:r>
        <w:rPr>
          <w:color w:val="231F20"/>
        </w:rPr>
        <w:t>aussi</w:t>
      </w:r>
      <w:r>
        <w:rPr>
          <w:color w:val="231F20"/>
          <w:spacing w:val="-1"/>
        </w:rPr>
        <w:t> </w:t>
      </w:r>
      <w:r>
        <w:rPr>
          <w:color w:val="231F20"/>
        </w:rPr>
        <w:t>subtiles</w:t>
      </w:r>
      <w:r>
        <w:rPr>
          <w:color w:val="231F20"/>
          <w:spacing w:val="-1"/>
        </w:rPr>
        <w:t> </w:t>
      </w:r>
      <w:r>
        <w:rPr>
          <w:color w:val="231F20"/>
        </w:rPr>
        <w:t>les</w:t>
      </w:r>
      <w:r>
        <w:rPr>
          <w:color w:val="231F20"/>
          <w:spacing w:val="-1"/>
        </w:rPr>
        <w:t> </w:t>
      </w:r>
      <w:r>
        <w:rPr>
          <w:color w:val="231F20"/>
        </w:rPr>
        <w:t>unes</w:t>
      </w:r>
      <w:r>
        <w:rPr>
          <w:color w:val="231F20"/>
          <w:spacing w:val="-1"/>
        </w:rPr>
        <w:t> </w:t>
      </w:r>
      <w:r>
        <w:rPr>
          <w:color w:val="231F20"/>
        </w:rPr>
        <w:t>que</w:t>
      </w:r>
      <w:r>
        <w:rPr>
          <w:color w:val="231F20"/>
          <w:spacing w:val="-1"/>
        </w:rPr>
        <w:t> </w:t>
      </w:r>
      <w:r>
        <w:rPr>
          <w:color w:val="231F20"/>
        </w:rPr>
        <w:t>les</w:t>
      </w:r>
      <w:r>
        <w:rPr>
          <w:color w:val="231F20"/>
          <w:spacing w:val="-1"/>
        </w:rPr>
        <w:t> </w:t>
      </w:r>
      <w:r>
        <w:rPr>
          <w:color w:val="231F20"/>
        </w:rPr>
        <w:t>autres</w:t>
      </w:r>
      <w:r>
        <w:rPr>
          <w:color w:val="231F20"/>
          <w:spacing w:val="-1"/>
        </w:rPr>
        <w:t> </w:t>
      </w:r>
      <w:r>
        <w:rPr>
          <w:color w:val="231F20"/>
        </w:rPr>
        <w:t>: économiques,</w:t>
      </w:r>
      <w:r>
        <w:rPr>
          <w:color w:val="231F20"/>
          <w:spacing w:val="-7"/>
        </w:rPr>
        <w:t> </w:t>
      </w:r>
      <w:r>
        <w:rPr>
          <w:color w:val="231F20"/>
        </w:rPr>
        <w:t>politiques,</w:t>
      </w:r>
      <w:r>
        <w:rPr>
          <w:color w:val="231F20"/>
          <w:spacing w:val="-7"/>
        </w:rPr>
        <w:t> </w:t>
      </w:r>
      <w:r>
        <w:rPr>
          <w:color w:val="231F20"/>
        </w:rPr>
        <w:t>culturelles</w:t>
      </w:r>
      <w:r>
        <w:rPr>
          <w:color w:val="231F20"/>
          <w:spacing w:val="-6"/>
        </w:rPr>
        <w:t> </w:t>
      </w:r>
      <w:r>
        <w:rPr>
          <w:color w:val="231F20"/>
        </w:rPr>
        <w:t>:</w:t>
      </w:r>
      <w:r>
        <w:rPr>
          <w:color w:val="231F20"/>
          <w:spacing w:val="-6"/>
        </w:rPr>
        <w:t> </w:t>
      </w:r>
      <w:r>
        <w:rPr>
          <w:color w:val="231F20"/>
        </w:rPr>
        <w:t>il</w:t>
      </w:r>
      <w:r>
        <w:rPr>
          <w:color w:val="231F20"/>
          <w:spacing w:val="-5"/>
        </w:rPr>
        <w:t> </w:t>
      </w:r>
      <w:r>
        <w:rPr>
          <w:color w:val="231F20"/>
        </w:rPr>
        <w:t>faut</w:t>
      </w:r>
      <w:r>
        <w:rPr>
          <w:color w:val="231F20"/>
          <w:spacing w:val="-4"/>
        </w:rPr>
        <w:t> </w:t>
      </w:r>
      <w:r>
        <w:rPr>
          <w:color w:val="231F20"/>
        </w:rPr>
        <w:t>en</w:t>
      </w:r>
      <w:r>
        <w:rPr>
          <w:color w:val="231F20"/>
          <w:spacing w:val="-7"/>
        </w:rPr>
        <w:t> </w:t>
      </w:r>
      <w:r>
        <w:rPr>
          <w:color w:val="231F20"/>
        </w:rPr>
        <w:t>sortir.</w:t>
      </w:r>
    </w:p>
    <w:p>
      <w:pPr>
        <w:pStyle w:val="BodyText"/>
        <w:spacing w:before="120"/>
        <w:ind w:right="105" w:firstLine="283"/>
      </w:pPr>
      <w:r>
        <w:rPr>
          <w:color w:val="231F20"/>
        </w:rPr>
        <w:t>Si</w:t>
      </w:r>
      <w:r>
        <w:rPr>
          <w:color w:val="231F20"/>
          <w:spacing w:val="-15"/>
        </w:rPr>
        <w:t> </w:t>
      </w:r>
      <w:r>
        <w:rPr>
          <w:color w:val="231F20"/>
        </w:rPr>
        <w:t>à</w:t>
      </w:r>
      <w:r>
        <w:rPr>
          <w:color w:val="231F20"/>
          <w:spacing w:val="-15"/>
        </w:rPr>
        <w:t> </w:t>
      </w:r>
      <w:r>
        <w:rPr>
          <w:color w:val="231F20"/>
        </w:rPr>
        <w:t>l’indépendance,</w:t>
      </w:r>
      <w:r>
        <w:rPr>
          <w:color w:val="231F20"/>
          <w:spacing w:val="-15"/>
        </w:rPr>
        <w:t> </w:t>
      </w:r>
      <w:r>
        <w:rPr>
          <w:color w:val="231F20"/>
        </w:rPr>
        <w:t>les</w:t>
      </w:r>
      <w:r>
        <w:rPr>
          <w:color w:val="231F20"/>
          <w:spacing w:val="-15"/>
        </w:rPr>
        <w:t> </w:t>
      </w:r>
      <w:r>
        <w:rPr>
          <w:color w:val="231F20"/>
        </w:rPr>
        <w:t>États</w:t>
      </w:r>
      <w:r>
        <w:rPr>
          <w:color w:val="231F20"/>
          <w:spacing w:val="-15"/>
        </w:rPr>
        <w:t> </w:t>
      </w:r>
      <w:r>
        <w:rPr>
          <w:color w:val="231F20"/>
        </w:rPr>
        <w:t>n’ont</w:t>
      </w:r>
      <w:r>
        <w:rPr>
          <w:color w:val="231F20"/>
          <w:spacing w:val="-15"/>
        </w:rPr>
        <w:t> </w:t>
      </w:r>
      <w:r>
        <w:rPr>
          <w:color w:val="231F20"/>
        </w:rPr>
        <w:t>pas</w:t>
      </w:r>
      <w:r>
        <w:rPr>
          <w:color w:val="231F20"/>
          <w:spacing w:val="-15"/>
        </w:rPr>
        <w:t> </w:t>
      </w:r>
      <w:r>
        <w:rPr>
          <w:color w:val="231F20"/>
        </w:rPr>
        <w:t>toujours</w:t>
      </w:r>
      <w:r>
        <w:rPr>
          <w:color w:val="231F20"/>
          <w:spacing w:val="-15"/>
        </w:rPr>
        <w:t> </w:t>
      </w:r>
      <w:r>
        <w:rPr>
          <w:color w:val="231F20"/>
        </w:rPr>
        <w:t>eu</w:t>
      </w:r>
      <w:r>
        <w:rPr>
          <w:color w:val="231F20"/>
          <w:spacing w:val="-15"/>
        </w:rPr>
        <w:t> </w:t>
      </w:r>
      <w:r>
        <w:rPr>
          <w:color w:val="231F20"/>
        </w:rPr>
        <w:t>le</w:t>
      </w:r>
      <w:r>
        <w:rPr>
          <w:color w:val="231F20"/>
          <w:spacing w:val="-15"/>
        </w:rPr>
        <w:t> </w:t>
      </w:r>
      <w:r>
        <w:rPr>
          <w:color w:val="231F20"/>
        </w:rPr>
        <w:t>capital</w:t>
      </w:r>
      <w:r>
        <w:rPr>
          <w:color w:val="231F20"/>
          <w:spacing w:val="-15"/>
        </w:rPr>
        <w:t> </w:t>
      </w:r>
      <w:r>
        <w:rPr>
          <w:color w:val="231F20"/>
        </w:rPr>
        <w:t>humain, </w:t>
      </w:r>
      <w:r>
        <w:rPr>
          <w:color w:val="231F20"/>
          <w:spacing w:val="-2"/>
        </w:rPr>
        <w:t>de</w:t>
      </w:r>
      <w:r>
        <w:rPr>
          <w:color w:val="231F20"/>
          <w:spacing w:val="-8"/>
        </w:rPr>
        <w:t> </w:t>
      </w:r>
      <w:r>
        <w:rPr>
          <w:color w:val="231F20"/>
          <w:spacing w:val="-2"/>
        </w:rPr>
        <w:t>grandes</w:t>
      </w:r>
      <w:r>
        <w:rPr>
          <w:color w:val="231F20"/>
          <w:spacing w:val="-8"/>
        </w:rPr>
        <w:t> </w:t>
      </w:r>
      <w:r>
        <w:rPr>
          <w:color w:val="231F20"/>
          <w:spacing w:val="-2"/>
        </w:rPr>
        <w:t>compétences</w:t>
      </w:r>
      <w:r>
        <w:rPr>
          <w:color w:val="231F20"/>
          <w:spacing w:val="-8"/>
        </w:rPr>
        <w:t> </w:t>
      </w:r>
      <w:r>
        <w:rPr>
          <w:color w:val="231F20"/>
          <w:spacing w:val="-2"/>
        </w:rPr>
        <w:t>pour</w:t>
      </w:r>
      <w:r>
        <w:rPr>
          <w:color w:val="231F20"/>
          <w:spacing w:val="-8"/>
        </w:rPr>
        <w:t> </w:t>
      </w:r>
      <w:r>
        <w:rPr>
          <w:color w:val="231F20"/>
          <w:spacing w:val="-2"/>
        </w:rPr>
        <w:t>relever</w:t>
      </w:r>
      <w:r>
        <w:rPr>
          <w:color w:val="231F20"/>
          <w:spacing w:val="-11"/>
        </w:rPr>
        <w:t> </w:t>
      </w:r>
      <w:r>
        <w:rPr>
          <w:color w:val="231F20"/>
          <w:spacing w:val="-2"/>
        </w:rPr>
        <w:t>les</w:t>
      </w:r>
      <w:r>
        <w:rPr>
          <w:color w:val="231F20"/>
          <w:spacing w:val="-8"/>
        </w:rPr>
        <w:t> </w:t>
      </w:r>
      <w:r>
        <w:rPr>
          <w:color w:val="231F20"/>
          <w:spacing w:val="-2"/>
        </w:rPr>
        <w:t>défis</w:t>
      </w:r>
      <w:r>
        <w:rPr>
          <w:color w:val="231F20"/>
          <w:spacing w:val="-11"/>
        </w:rPr>
        <w:t> </w:t>
      </w:r>
      <w:r>
        <w:rPr>
          <w:color w:val="231F20"/>
          <w:spacing w:val="-2"/>
        </w:rPr>
        <w:t>du</w:t>
      </w:r>
      <w:r>
        <w:rPr>
          <w:color w:val="231F20"/>
          <w:spacing w:val="-8"/>
        </w:rPr>
        <w:t> </w:t>
      </w:r>
      <w:r>
        <w:rPr>
          <w:color w:val="231F20"/>
          <w:spacing w:val="-2"/>
        </w:rPr>
        <w:t>développement</w:t>
      </w:r>
      <w:r>
        <w:rPr>
          <w:color w:val="231F20"/>
          <w:spacing w:val="-11"/>
        </w:rPr>
        <w:t> </w:t>
      </w:r>
      <w:r>
        <w:rPr>
          <w:color w:val="231F20"/>
          <w:spacing w:val="-2"/>
        </w:rPr>
        <w:t>et</w:t>
      </w:r>
      <w:r>
        <w:rPr>
          <w:color w:val="231F20"/>
          <w:spacing w:val="-7"/>
        </w:rPr>
        <w:t> </w:t>
      </w:r>
      <w:r>
        <w:rPr>
          <w:color w:val="231F20"/>
          <w:spacing w:val="-2"/>
        </w:rPr>
        <w:t>de</w:t>
      </w:r>
      <w:r>
        <w:rPr>
          <w:color w:val="231F20"/>
          <w:spacing w:val="-11"/>
        </w:rPr>
        <w:t> </w:t>
      </w:r>
      <w:r>
        <w:rPr>
          <w:color w:val="231F20"/>
          <w:spacing w:val="-2"/>
        </w:rPr>
        <w:t>la </w:t>
      </w:r>
      <w:r>
        <w:rPr>
          <w:color w:val="231F20"/>
          <w:spacing w:val="-4"/>
        </w:rPr>
        <w:t>bonne</w:t>
      </w:r>
      <w:r>
        <w:rPr>
          <w:color w:val="231F20"/>
          <w:spacing w:val="-7"/>
        </w:rPr>
        <w:t> </w:t>
      </w:r>
      <w:r>
        <w:rPr>
          <w:color w:val="231F20"/>
          <w:spacing w:val="-4"/>
        </w:rPr>
        <w:t>gouvernance,</w:t>
      </w:r>
      <w:r>
        <w:rPr>
          <w:color w:val="231F20"/>
          <w:spacing w:val="-7"/>
        </w:rPr>
        <w:t> </w:t>
      </w:r>
      <w:r>
        <w:rPr>
          <w:color w:val="231F20"/>
          <w:spacing w:val="-4"/>
        </w:rPr>
        <w:t>ce</w:t>
      </w:r>
      <w:r>
        <w:rPr>
          <w:color w:val="231F20"/>
          <w:spacing w:val="-7"/>
        </w:rPr>
        <w:t> </w:t>
      </w:r>
      <w:r>
        <w:rPr>
          <w:color w:val="231F20"/>
          <w:spacing w:val="-4"/>
        </w:rPr>
        <w:t>n’est</w:t>
      </w:r>
      <w:r>
        <w:rPr>
          <w:color w:val="231F20"/>
          <w:spacing w:val="-7"/>
        </w:rPr>
        <w:t> </w:t>
      </w:r>
      <w:r>
        <w:rPr>
          <w:color w:val="231F20"/>
          <w:spacing w:val="-4"/>
        </w:rPr>
        <w:t>plus</w:t>
      </w:r>
      <w:r>
        <w:rPr>
          <w:color w:val="231F20"/>
          <w:spacing w:val="-5"/>
        </w:rPr>
        <w:t> </w:t>
      </w:r>
      <w:r>
        <w:rPr>
          <w:color w:val="231F20"/>
          <w:spacing w:val="-4"/>
        </w:rPr>
        <w:t>le</w:t>
      </w:r>
      <w:r>
        <w:rPr>
          <w:color w:val="231F20"/>
          <w:spacing w:val="-7"/>
        </w:rPr>
        <w:t> </w:t>
      </w:r>
      <w:r>
        <w:rPr>
          <w:color w:val="231F20"/>
          <w:spacing w:val="-4"/>
        </w:rPr>
        <w:t>cas.</w:t>
      </w:r>
      <w:r>
        <w:rPr>
          <w:color w:val="231F20"/>
          <w:spacing w:val="-7"/>
        </w:rPr>
        <w:t> </w:t>
      </w:r>
      <w:r>
        <w:rPr>
          <w:color w:val="231F20"/>
          <w:spacing w:val="-4"/>
        </w:rPr>
        <w:t>Des</w:t>
      </w:r>
      <w:r>
        <w:rPr>
          <w:color w:val="231F20"/>
          <w:spacing w:val="-7"/>
        </w:rPr>
        <w:t> </w:t>
      </w:r>
      <w:r>
        <w:rPr>
          <w:color w:val="231F20"/>
          <w:spacing w:val="-4"/>
        </w:rPr>
        <w:t>intellectuels</w:t>
      </w:r>
      <w:r>
        <w:rPr>
          <w:color w:val="231F20"/>
          <w:spacing w:val="-7"/>
        </w:rPr>
        <w:t> </w:t>
      </w:r>
      <w:r>
        <w:rPr>
          <w:color w:val="231F20"/>
          <w:spacing w:val="-4"/>
        </w:rPr>
        <w:t>africains</w:t>
      </w:r>
      <w:r>
        <w:rPr>
          <w:color w:val="231F20"/>
          <w:spacing w:val="-5"/>
        </w:rPr>
        <w:t> </w:t>
      </w:r>
      <w:r>
        <w:rPr>
          <w:color w:val="231F20"/>
          <w:spacing w:val="-4"/>
        </w:rPr>
        <w:t>ont</w:t>
      </w:r>
      <w:r>
        <w:rPr>
          <w:color w:val="231F20"/>
          <w:spacing w:val="-5"/>
        </w:rPr>
        <w:t> </w:t>
      </w:r>
      <w:r>
        <w:rPr>
          <w:color w:val="231F20"/>
          <w:spacing w:val="-4"/>
        </w:rPr>
        <w:t>été </w:t>
      </w:r>
      <w:r>
        <w:rPr>
          <w:color w:val="231F20"/>
        </w:rPr>
        <w:t>formés dans toutes les disciplines dans les mêmes universités que les autres</w:t>
      </w:r>
      <w:r>
        <w:rPr>
          <w:color w:val="231F20"/>
          <w:spacing w:val="-6"/>
        </w:rPr>
        <w:t> </w:t>
      </w:r>
      <w:r>
        <w:rPr>
          <w:color w:val="231F20"/>
        </w:rPr>
        <w:t>en</w:t>
      </w:r>
      <w:r>
        <w:rPr>
          <w:color w:val="231F20"/>
          <w:spacing w:val="-8"/>
        </w:rPr>
        <w:t> </w:t>
      </w:r>
      <w:r>
        <w:rPr>
          <w:color w:val="231F20"/>
        </w:rPr>
        <w:t>Occident,</w:t>
      </w:r>
      <w:r>
        <w:rPr>
          <w:color w:val="231F20"/>
          <w:spacing w:val="-6"/>
        </w:rPr>
        <w:t> </w:t>
      </w:r>
      <w:r>
        <w:rPr>
          <w:color w:val="231F20"/>
        </w:rPr>
        <w:t>en</w:t>
      </w:r>
      <w:r>
        <w:rPr>
          <w:color w:val="231F20"/>
          <w:spacing w:val="-8"/>
        </w:rPr>
        <w:t> </w:t>
      </w:r>
      <w:r>
        <w:rPr>
          <w:color w:val="231F20"/>
        </w:rPr>
        <w:t>Chine,</w:t>
      </w:r>
      <w:r>
        <w:rPr>
          <w:color w:val="231F20"/>
          <w:spacing w:val="-6"/>
        </w:rPr>
        <w:t> </w:t>
      </w:r>
      <w:r>
        <w:rPr>
          <w:color w:val="231F20"/>
        </w:rPr>
        <w:t>au</w:t>
      </w:r>
      <w:r>
        <w:rPr>
          <w:color w:val="231F20"/>
          <w:spacing w:val="-8"/>
        </w:rPr>
        <w:t> </w:t>
      </w:r>
      <w:r>
        <w:rPr>
          <w:color w:val="231F20"/>
        </w:rPr>
        <w:t>Japon…</w:t>
      </w:r>
      <w:r>
        <w:rPr>
          <w:color w:val="231F20"/>
          <w:spacing w:val="-6"/>
        </w:rPr>
        <w:t> </w:t>
      </w:r>
      <w:r>
        <w:rPr>
          <w:color w:val="231F20"/>
        </w:rPr>
        <w:t>ceux</w:t>
      </w:r>
      <w:r>
        <w:rPr>
          <w:color w:val="231F20"/>
          <w:spacing w:val="-6"/>
        </w:rPr>
        <w:t> </w:t>
      </w:r>
      <w:r>
        <w:rPr>
          <w:color w:val="231F20"/>
        </w:rPr>
        <w:t>qui</w:t>
      </w:r>
      <w:r>
        <w:rPr>
          <w:color w:val="231F20"/>
          <w:spacing w:val="-7"/>
        </w:rPr>
        <w:t> </w:t>
      </w:r>
      <w:r>
        <w:rPr>
          <w:color w:val="231F20"/>
        </w:rPr>
        <w:t>ont</w:t>
      </w:r>
      <w:r>
        <w:rPr>
          <w:color w:val="231F20"/>
          <w:spacing w:val="-5"/>
        </w:rPr>
        <w:t> </w:t>
      </w:r>
      <w:r>
        <w:rPr>
          <w:color w:val="231F20"/>
        </w:rPr>
        <w:t>étudié</w:t>
      </w:r>
      <w:r>
        <w:rPr>
          <w:color w:val="231F20"/>
          <w:spacing w:val="-6"/>
        </w:rPr>
        <w:t> </w:t>
      </w:r>
      <w:r>
        <w:rPr>
          <w:color w:val="231F20"/>
        </w:rPr>
        <w:t>sur</w:t>
      </w:r>
      <w:r>
        <w:rPr>
          <w:color w:val="231F20"/>
          <w:spacing w:val="-6"/>
        </w:rPr>
        <w:t> </w:t>
      </w:r>
      <w:r>
        <w:rPr>
          <w:color w:val="231F20"/>
        </w:rPr>
        <w:t>place, en Afrique, ont utilisé les mêmes manuels.</w:t>
      </w:r>
    </w:p>
    <w:p>
      <w:pPr>
        <w:pStyle w:val="BodyText"/>
        <w:spacing w:before="121"/>
        <w:ind w:left="395"/>
      </w:pPr>
      <w:r>
        <w:rPr>
          <w:color w:val="231F20"/>
        </w:rPr>
        <w:t>Il</w:t>
      </w:r>
      <w:r>
        <w:rPr>
          <w:color w:val="231F20"/>
          <w:spacing w:val="-12"/>
        </w:rPr>
        <w:t> </w:t>
      </w:r>
      <w:r>
        <w:rPr>
          <w:color w:val="231F20"/>
        </w:rPr>
        <w:t>n’y</w:t>
      </w:r>
      <w:r>
        <w:rPr>
          <w:color w:val="231F20"/>
          <w:spacing w:val="-12"/>
        </w:rPr>
        <w:t> </w:t>
      </w:r>
      <w:r>
        <w:rPr>
          <w:color w:val="231F20"/>
        </w:rPr>
        <w:t>a</w:t>
      </w:r>
      <w:r>
        <w:rPr>
          <w:color w:val="231F20"/>
          <w:spacing w:val="-12"/>
        </w:rPr>
        <w:t> </w:t>
      </w:r>
      <w:r>
        <w:rPr>
          <w:color w:val="231F20"/>
        </w:rPr>
        <w:t>pas</w:t>
      </w:r>
      <w:r>
        <w:rPr>
          <w:color w:val="231F20"/>
          <w:spacing w:val="-12"/>
        </w:rPr>
        <w:t> </w:t>
      </w:r>
      <w:r>
        <w:rPr>
          <w:color w:val="231F20"/>
        </w:rPr>
        <w:t>de</w:t>
      </w:r>
      <w:r>
        <w:rPr>
          <w:color w:val="231F20"/>
          <w:spacing w:val="-14"/>
        </w:rPr>
        <w:t> </w:t>
      </w:r>
      <w:r>
        <w:rPr>
          <w:color w:val="231F20"/>
        </w:rPr>
        <w:t>«</w:t>
      </w:r>
      <w:r>
        <w:rPr>
          <w:color w:val="231F20"/>
          <w:spacing w:val="-12"/>
        </w:rPr>
        <w:t> </w:t>
      </w:r>
      <w:r>
        <w:rPr>
          <w:color w:val="231F20"/>
        </w:rPr>
        <w:t>peuple</w:t>
      </w:r>
      <w:r>
        <w:rPr>
          <w:color w:val="231F20"/>
          <w:spacing w:val="-12"/>
        </w:rPr>
        <w:t> </w:t>
      </w:r>
      <w:r>
        <w:rPr>
          <w:color w:val="231F20"/>
        </w:rPr>
        <w:t>élu</w:t>
      </w:r>
      <w:r>
        <w:rPr>
          <w:color w:val="231F20"/>
          <w:spacing w:val="-12"/>
        </w:rPr>
        <w:t> </w:t>
      </w:r>
      <w:r>
        <w:rPr>
          <w:color w:val="231F20"/>
        </w:rPr>
        <w:t>»</w:t>
      </w:r>
      <w:r>
        <w:rPr>
          <w:color w:val="231F20"/>
          <w:spacing w:val="-11"/>
        </w:rPr>
        <w:t> </w:t>
      </w:r>
      <w:r>
        <w:rPr>
          <w:color w:val="231F20"/>
        </w:rPr>
        <w:t>:</w:t>
      </w:r>
      <w:r>
        <w:rPr>
          <w:color w:val="231F20"/>
          <w:spacing w:val="-13"/>
        </w:rPr>
        <w:t> </w:t>
      </w:r>
      <w:r>
        <w:rPr>
          <w:color w:val="231F20"/>
        </w:rPr>
        <w:t>ni</w:t>
      </w:r>
      <w:r>
        <w:rPr>
          <w:color w:val="231F20"/>
          <w:spacing w:val="-13"/>
        </w:rPr>
        <w:t> </w:t>
      </w:r>
      <w:r>
        <w:rPr>
          <w:color w:val="231F20"/>
        </w:rPr>
        <w:t>Blanc,</w:t>
      </w:r>
      <w:r>
        <w:rPr>
          <w:color w:val="231F20"/>
          <w:spacing w:val="-11"/>
        </w:rPr>
        <w:t> </w:t>
      </w:r>
      <w:r>
        <w:rPr>
          <w:color w:val="231F20"/>
        </w:rPr>
        <w:t>ni</w:t>
      </w:r>
      <w:r>
        <w:rPr>
          <w:color w:val="231F20"/>
          <w:spacing w:val="-11"/>
        </w:rPr>
        <w:t> </w:t>
      </w:r>
      <w:r>
        <w:rPr>
          <w:color w:val="231F20"/>
        </w:rPr>
        <w:t>Jaune</w:t>
      </w:r>
      <w:r>
        <w:rPr>
          <w:color w:val="231F20"/>
          <w:spacing w:val="-12"/>
        </w:rPr>
        <w:t> </w:t>
      </w:r>
      <w:r>
        <w:rPr>
          <w:color w:val="231F20"/>
        </w:rPr>
        <w:t>ni</w:t>
      </w:r>
      <w:r>
        <w:rPr>
          <w:color w:val="231F20"/>
          <w:spacing w:val="-13"/>
        </w:rPr>
        <w:t> </w:t>
      </w:r>
      <w:r>
        <w:rPr>
          <w:color w:val="231F20"/>
          <w:spacing w:val="-2"/>
        </w:rPr>
        <w:t>Noir.</w:t>
      </w:r>
    </w:p>
    <w:p>
      <w:pPr>
        <w:pStyle w:val="BodyText"/>
        <w:ind w:left="0"/>
        <w:jc w:val="left"/>
        <w:rPr>
          <w:sz w:val="20"/>
        </w:rPr>
      </w:pPr>
    </w:p>
    <w:p>
      <w:pPr>
        <w:pStyle w:val="BodyText"/>
        <w:spacing w:before="201"/>
        <w:ind w:left="0"/>
        <w:jc w:val="left"/>
        <w:rPr>
          <w:sz w:val="20"/>
        </w:rPr>
      </w:pPr>
      <w:r>
        <w:rPr/>
        <mc:AlternateContent>
          <mc:Choice Requires="wps">
            <w:drawing>
              <wp:anchor distT="0" distB="0" distL="0" distR="0" allowOverlap="1" layoutInCell="1" locked="0" behindDoc="1" simplePos="0" relativeHeight="487672832">
                <wp:simplePos x="0" y="0"/>
                <wp:positionH relativeFrom="page">
                  <wp:posOffset>629907</wp:posOffset>
                </wp:positionH>
                <wp:positionV relativeFrom="paragraph">
                  <wp:posOffset>289121</wp:posOffset>
                </wp:positionV>
                <wp:extent cx="1829435" cy="9525"/>
                <wp:effectExtent l="0" t="0" r="0" b="0"/>
                <wp:wrapTopAndBottom/>
                <wp:docPr id="200" name="Graphic 200"/>
                <wp:cNvGraphicFramePr>
                  <a:graphicFrameLocks/>
                </wp:cNvGraphicFramePr>
                <a:graphic>
                  <a:graphicData uri="http://schemas.microsoft.com/office/word/2010/wordprocessingShape">
                    <wps:wsp>
                      <wps:cNvPr id="200" name="Graphic 200"/>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22.765509pt;width:144.020pt;height:.72pt;mso-position-horizontal-relative:page;mso-position-vertical-relative:paragraph;z-index:-15643648;mso-wrap-distance-left:0;mso-wrap-distance-right:0" id="docshape198" filled="true" fillcolor="#231f20" stroked="false">
                <v:fill type="solid"/>
                <w10:wrap type="topAndBottom"/>
              </v:rect>
            </w:pict>
          </mc:Fallback>
        </mc:AlternateContent>
      </w:r>
    </w:p>
    <w:p>
      <w:pPr>
        <w:spacing w:before="94"/>
        <w:ind w:left="111" w:right="0" w:firstLine="0"/>
        <w:jc w:val="left"/>
        <w:rPr>
          <w:sz w:val="20"/>
        </w:rPr>
      </w:pPr>
      <w:r>
        <w:rPr>
          <w:color w:val="76787A"/>
          <w:spacing w:val="-4"/>
          <w:sz w:val="20"/>
          <w:vertAlign w:val="superscript"/>
        </w:rPr>
        <w:t>278</w:t>
      </w:r>
      <w:r>
        <w:rPr>
          <w:color w:val="76787A"/>
          <w:spacing w:val="2"/>
          <w:sz w:val="20"/>
          <w:vertAlign w:val="baseline"/>
        </w:rPr>
        <w:t> </w:t>
      </w:r>
      <w:r>
        <w:rPr>
          <w:color w:val="231F20"/>
          <w:spacing w:val="-4"/>
          <w:sz w:val="20"/>
          <w:vertAlign w:val="baseline"/>
        </w:rPr>
        <w:t>Kwame</w:t>
      </w:r>
      <w:r>
        <w:rPr>
          <w:color w:val="231F20"/>
          <w:spacing w:val="-2"/>
          <w:sz w:val="20"/>
          <w:vertAlign w:val="baseline"/>
        </w:rPr>
        <w:t> </w:t>
      </w:r>
      <w:r>
        <w:rPr>
          <w:color w:val="231F20"/>
          <w:spacing w:val="-4"/>
          <w:sz w:val="20"/>
          <w:vertAlign w:val="baseline"/>
        </w:rPr>
        <w:t>Nkrumah</w:t>
      </w:r>
      <w:r>
        <w:rPr>
          <w:color w:val="231F20"/>
          <w:spacing w:val="-2"/>
          <w:sz w:val="20"/>
          <w:vertAlign w:val="baseline"/>
        </w:rPr>
        <w:t> </w:t>
      </w:r>
      <w:r>
        <w:rPr>
          <w:color w:val="231F20"/>
          <w:spacing w:val="-4"/>
          <w:sz w:val="20"/>
          <w:vertAlign w:val="baseline"/>
        </w:rPr>
        <w:t>[1909-1978]panafricaniste,</w:t>
      </w:r>
      <w:r>
        <w:rPr>
          <w:color w:val="231F20"/>
          <w:spacing w:val="-3"/>
          <w:sz w:val="20"/>
          <w:vertAlign w:val="baseline"/>
        </w:rPr>
        <w:t> </w:t>
      </w:r>
      <w:r>
        <w:rPr>
          <w:color w:val="231F20"/>
          <w:spacing w:val="-4"/>
          <w:sz w:val="20"/>
          <w:vertAlign w:val="baseline"/>
        </w:rPr>
        <w:t>premier</w:t>
      </w:r>
      <w:r>
        <w:rPr>
          <w:color w:val="231F20"/>
          <w:spacing w:val="-1"/>
          <w:sz w:val="20"/>
          <w:vertAlign w:val="baseline"/>
        </w:rPr>
        <w:t> </w:t>
      </w:r>
      <w:r>
        <w:rPr>
          <w:color w:val="231F20"/>
          <w:spacing w:val="-4"/>
          <w:sz w:val="20"/>
          <w:vertAlign w:val="baseline"/>
        </w:rPr>
        <w:t>président</w:t>
      </w:r>
      <w:r>
        <w:rPr>
          <w:color w:val="231F20"/>
          <w:spacing w:val="-3"/>
          <w:sz w:val="20"/>
          <w:vertAlign w:val="baseline"/>
        </w:rPr>
        <w:t> </w:t>
      </w:r>
      <w:r>
        <w:rPr>
          <w:color w:val="231F20"/>
          <w:spacing w:val="-4"/>
          <w:sz w:val="20"/>
          <w:vertAlign w:val="baseline"/>
        </w:rPr>
        <w:t>du</w:t>
      </w:r>
      <w:r>
        <w:rPr>
          <w:color w:val="231F20"/>
          <w:spacing w:val="-1"/>
          <w:sz w:val="20"/>
          <w:vertAlign w:val="baseline"/>
        </w:rPr>
        <w:t> </w:t>
      </w:r>
      <w:r>
        <w:rPr>
          <w:color w:val="231F20"/>
          <w:spacing w:val="-4"/>
          <w:sz w:val="20"/>
          <w:vertAlign w:val="baseline"/>
        </w:rPr>
        <w:t>Ghana</w:t>
      </w:r>
    </w:p>
    <w:p>
      <w:pPr>
        <w:spacing w:after="0"/>
        <w:jc w:val="left"/>
        <w:rPr>
          <w:sz w:val="20"/>
        </w:rPr>
        <w:sectPr>
          <w:pgSz w:w="8790" w:h="13610"/>
          <w:pgMar w:header="0" w:footer="802" w:top="1040" w:bottom="1000" w:left="880" w:right="880"/>
        </w:sectPr>
      </w:pPr>
    </w:p>
    <w:p>
      <w:pPr>
        <w:pStyle w:val="BodyText"/>
        <w:spacing w:before="66"/>
        <w:ind w:right="106" w:firstLine="283"/>
      </w:pPr>
      <w:r>
        <w:rPr>
          <w:color w:val="231F20"/>
        </w:rPr>
        <w:t>Les autres peuples «</w:t>
      </w:r>
      <w:r>
        <w:rPr>
          <w:color w:val="231F20"/>
          <w:spacing w:val="-14"/>
        </w:rPr>
        <w:t> </w:t>
      </w:r>
      <w:r>
        <w:rPr>
          <w:color w:val="231F20"/>
        </w:rPr>
        <w:t>Blanc et Jaune</w:t>
      </w:r>
      <w:r>
        <w:rPr>
          <w:color w:val="231F20"/>
          <w:spacing w:val="-13"/>
        </w:rPr>
        <w:t> </w:t>
      </w:r>
      <w:r>
        <w:rPr>
          <w:color w:val="231F20"/>
        </w:rPr>
        <w:t>» se sont développés grâce à l’instruction,</w:t>
      </w:r>
      <w:r>
        <w:rPr>
          <w:color w:val="231F20"/>
          <w:spacing w:val="-15"/>
        </w:rPr>
        <w:t> </w:t>
      </w:r>
      <w:r>
        <w:rPr>
          <w:color w:val="231F20"/>
        </w:rPr>
        <w:t>le</w:t>
      </w:r>
      <w:r>
        <w:rPr>
          <w:color w:val="231F20"/>
          <w:spacing w:val="-15"/>
        </w:rPr>
        <w:t> </w:t>
      </w:r>
      <w:r>
        <w:rPr>
          <w:color w:val="231F20"/>
        </w:rPr>
        <w:t>travail</w:t>
      </w:r>
      <w:r>
        <w:rPr>
          <w:color w:val="231F20"/>
          <w:spacing w:val="-8"/>
        </w:rPr>
        <w:t> </w:t>
      </w:r>
      <w:r>
        <w:rPr>
          <w:color w:val="231F20"/>
        </w:rPr>
        <w:t>et</w:t>
      </w:r>
      <w:r>
        <w:rPr>
          <w:color w:val="231F20"/>
          <w:spacing w:val="-10"/>
        </w:rPr>
        <w:t> </w:t>
      </w:r>
      <w:r>
        <w:rPr>
          <w:color w:val="231F20"/>
        </w:rPr>
        <w:t>la</w:t>
      </w:r>
      <w:r>
        <w:rPr>
          <w:color w:val="231F20"/>
          <w:spacing w:val="-9"/>
        </w:rPr>
        <w:t> </w:t>
      </w:r>
      <w:r>
        <w:rPr>
          <w:color w:val="231F20"/>
        </w:rPr>
        <w:t>solidarité</w:t>
      </w:r>
      <w:r>
        <w:rPr>
          <w:color w:val="231F20"/>
          <w:spacing w:val="-15"/>
        </w:rPr>
        <w:t> </w:t>
      </w:r>
      <w:r>
        <w:rPr>
          <w:color w:val="231F20"/>
        </w:rPr>
        <w:t>;</w:t>
      </w:r>
      <w:r>
        <w:rPr>
          <w:color w:val="231F20"/>
          <w:spacing w:val="-10"/>
        </w:rPr>
        <w:t> </w:t>
      </w:r>
      <w:r>
        <w:rPr>
          <w:color w:val="231F20"/>
        </w:rPr>
        <w:t>les</w:t>
      </w:r>
      <w:r>
        <w:rPr>
          <w:color w:val="231F20"/>
          <w:spacing w:val="-11"/>
        </w:rPr>
        <w:t> </w:t>
      </w:r>
      <w:r>
        <w:rPr>
          <w:color w:val="231F20"/>
        </w:rPr>
        <w:t>«</w:t>
      </w:r>
      <w:r>
        <w:rPr>
          <w:color w:val="231F20"/>
          <w:spacing w:val="-15"/>
        </w:rPr>
        <w:t> </w:t>
      </w:r>
      <w:r>
        <w:rPr>
          <w:color w:val="231F20"/>
        </w:rPr>
        <w:t>Noirs</w:t>
      </w:r>
      <w:r>
        <w:rPr>
          <w:color w:val="231F20"/>
          <w:spacing w:val="-15"/>
        </w:rPr>
        <w:t> </w:t>
      </w:r>
      <w:r>
        <w:rPr>
          <w:color w:val="231F20"/>
        </w:rPr>
        <w:t>»</w:t>
      </w:r>
      <w:r>
        <w:rPr>
          <w:color w:val="231F20"/>
          <w:spacing w:val="-9"/>
        </w:rPr>
        <w:t> </w:t>
      </w:r>
      <w:r>
        <w:rPr>
          <w:color w:val="231F20"/>
        </w:rPr>
        <w:t>préfèrent</w:t>
      </w:r>
      <w:r>
        <w:rPr>
          <w:color w:val="231F20"/>
          <w:spacing w:val="-9"/>
        </w:rPr>
        <w:t> </w:t>
      </w:r>
      <w:r>
        <w:rPr>
          <w:color w:val="231F20"/>
        </w:rPr>
        <w:t>cultiver</w:t>
      </w:r>
      <w:r>
        <w:rPr>
          <w:color w:val="231F20"/>
          <w:spacing w:val="-9"/>
        </w:rPr>
        <w:t> </w:t>
      </w:r>
      <w:r>
        <w:rPr>
          <w:color w:val="231F20"/>
        </w:rPr>
        <w:t>la paresse et l’égoïsme.</w:t>
      </w:r>
    </w:p>
    <w:p>
      <w:pPr>
        <w:pStyle w:val="BodyText"/>
        <w:spacing w:before="120"/>
        <w:ind w:right="105" w:firstLine="283"/>
      </w:pPr>
      <w:r>
        <w:rPr>
          <w:color w:val="231F20"/>
        </w:rPr>
        <w:t>L’Afrique</w:t>
      </w:r>
      <w:r>
        <w:rPr>
          <w:color w:val="231F20"/>
          <w:spacing w:val="-10"/>
        </w:rPr>
        <w:t> </w:t>
      </w:r>
      <w:r>
        <w:rPr>
          <w:color w:val="231F20"/>
        </w:rPr>
        <w:t>noire</w:t>
      </w:r>
      <w:r>
        <w:rPr>
          <w:color w:val="231F20"/>
          <w:spacing w:val="-11"/>
        </w:rPr>
        <w:t> </w:t>
      </w:r>
      <w:r>
        <w:rPr>
          <w:color w:val="231F20"/>
        </w:rPr>
        <w:t>et</w:t>
      </w:r>
      <w:r>
        <w:rPr>
          <w:color w:val="231F20"/>
          <w:spacing w:val="-10"/>
        </w:rPr>
        <w:t> </w:t>
      </w:r>
      <w:r>
        <w:rPr>
          <w:color w:val="231F20"/>
        </w:rPr>
        <w:t>singulièrement,</w:t>
      </w:r>
      <w:r>
        <w:rPr>
          <w:color w:val="231F20"/>
          <w:spacing w:val="-10"/>
        </w:rPr>
        <w:t> </w:t>
      </w:r>
      <w:r>
        <w:rPr>
          <w:color w:val="231F20"/>
        </w:rPr>
        <w:t>l’Afrique</w:t>
      </w:r>
      <w:r>
        <w:rPr>
          <w:color w:val="231F20"/>
          <w:spacing w:val="-9"/>
        </w:rPr>
        <w:t> </w:t>
      </w:r>
      <w:r>
        <w:rPr>
          <w:color w:val="231F20"/>
        </w:rPr>
        <w:t>francophone</w:t>
      </w:r>
      <w:r>
        <w:rPr>
          <w:color w:val="231F20"/>
          <w:spacing w:val="-11"/>
        </w:rPr>
        <w:t> </w:t>
      </w:r>
      <w:r>
        <w:rPr>
          <w:color w:val="231F20"/>
        </w:rPr>
        <w:t>doit</w:t>
      </w:r>
      <w:r>
        <w:rPr>
          <w:color w:val="231F20"/>
          <w:spacing w:val="-10"/>
        </w:rPr>
        <w:t> </w:t>
      </w:r>
      <w:r>
        <w:rPr>
          <w:color w:val="231F20"/>
        </w:rPr>
        <w:t>tracer elle-même</w:t>
      </w:r>
      <w:r>
        <w:rPr>
          <w:color w:val="231F20"/>
          <w:spacing w:val="-2"/>
        </w:rPr>
        <w:t> </w:t>
      </w:r>
      <w:r>
        <w:rPr>
          <w:color w:val="231F20"/>
        </w:rPr>
        <w:t>son</w:t>
      </w:r>
      <w:r>
        <w:rPr>
          <w:color w:val="231F20"/>
          <w:spacing w:val="-1"/>
        </w:rPr>
        <w:t> </w:t>
      </w:r>
      <w:r>
        <w:rPr>
          <w:color w:val="231F20"/>
        </w:rPr>
        <w:t>chemin</w:t>
      </w:r>
      <w:r>
        <w:rPr>
          <w:color w:val="231F20"/>
          <w:spacing w:val="-1"/>
        </w:rPr>
        <w:t> </w:t>
      </w:r>
      <w:r>
        <w:rPr>
          <w:color w:val="231F20"/>
        </w:rPr>
        <w:t>vers</w:t>
      </w:r>
      <w:r>
        <w:rPr>
          <w:color w:val="231F20"/>
          <w:spacing w:val="-1"/>
        </w:rPr>
        <w:t> </w:t>
      </w:r>
      <w:r>
        <w:rPr>
          <w:color w:val="231F20"/>
        </w:rPr>
        <w:t>son</w:t>
      </w:r>
      <w:r>
        <w:rPr>
          <w:color w:val="231F20"/>
          <w:spacing w:val="-1"/>
        </w:rPr>
        <w:t> </w:t>
      </w:r>
      <w:r>
        <w:rPr>
          <w:color w:val="231F20"/>
        </w:rPr>
        <w:t>indépendance</w:t>
      </w:r>
      <w:r>
        <w:rPr>
          <w:color w:val="231F20"/>
          <w:spacing w:val="-1"/>
        </w:rPr>
        <w:t> </w:t>
      </w:r>
      <w:r>
        <w:rPr>
          <w:color w:val="231F20"/>
        </w:rPr>
        <w:t>et</w:t>
      </w:r>
      <w:r>
        <w:rPr>
          <w:color w:val="231F20"/>
          <w:spacing w:val="-2"/>
        </w:rPr>
        <w:t> </w:t>
      </w:r>
      <w:r>
        <w:rPr>
          <w:color w:val="231F20"/>
        </w:rPr>
        <w:t>son</w:t>
      </w:r>
      <w:r>
        <w:rPr>
          <w:color w:val="231F20"/>
          <w:spacing w:val="-1"/>
        </w:rPr>
        <w:t> </w:t>
      </w:r>
      <w:r>
        <w:rPr>
          <w:color w:val="231F20"/>
        </w:rPr>
        <w:t>développement</w:t>
      </w:r>
      <w:r>
        <w:rPr>
          <w:color w:val="231F20"/>
          <w:spacing w:val="-1"/>
        </w:rPr>
        <w:t> </w:t>
      </w:r>
      <w:r>
        <w:rPr>
          <w:color w:val="231F20"/>
        </w:rPr>
        <w:t>si elle</w:t>
      </w:r>
      <w:r>
        <w:rPr>
          <w:color w:val="231F20"/>
          <w:spacing w:val="-4"/>
        </w:rPr>
        <w:t> </w:t>
      </w:r>
      <w:r>
        <w:rPr>
          <w:color w:val="231F20"/>
        </w:rPr>
        <w:t>veut</w:t>
      </w:r>
      <w:r>
        <w:rPr>
          <w:color w:val="231F20"/>
          <w:spacing w:val="-1"/>
        </w:rPr>
        <w:t> </w:t>
      </w:r>
      <w:r>
        <w:rPr>
          <w:color w:val="231F20"/>
        </w:rPr>
        <w:t>vraiment</w:t>
      </w:r>
      <w:r>
        <w:rPr>
          <w:color w:val="231F20"/>
          <w:spacing w:val="-1"/>
        </w:rPr>
        <w:t> </w:t>
      </w:r>
      <w:r>
        <w:rPr>
          <w:color w:val="231F20"/>
        </w:rPr>
        <w:t>entrer</w:t>
      </w:r>
      <w:r>
        <w:rPr>
          <w:color w:val="231F20"/>
          <w:spacing w:val="-1"/>
        </w:rPr>
        <w:t> </w:t>
      </w:r>
      <w:r>
        <w:rPr>
          <w:color w:val="231F20"/>
        </w:rPr>
        <w:t>dans</w:t>
      </w:r>
      <w:r>
        <w:rPr>
          <w:color w:val="231F20"/>
          <w:spacing w:val="-1"/>
        </w:rPr>
        <w:t> </w:t>
      </w:r>
      <w:r>
        <w:rPr>
          <w:color w:val="231F20"/>
        </w:rPr>
        <w:t>l’histoire</w:t>
      </w:r>
      <w:r>
        <w:rPr>
          <w:color w:val="231F20"/>
          <w:spacing w:val="-1"/>
        </w:rPr>
        <w:t> </w:t>
      </w:r>
      <w:r>
        <w:rPr>
          <w:color w:val="231F20"/>
        </w:rPr>
        <w:t>de</w:t>
      </w:r>
      <w:r>
        <w:rPr>
          <w:color w:val="231F20"/>
          <w:spacing w:val="-1"/>
        </w:rPr>
        <w:t> </w:t>
      </w:r>
      <w:r>
        <w:rPr>
          <w:color w:val="231F20"/>
        </w:rPr>
        <w:t>l’humanité</w:t>
      </w:r>
      <w:r>
        <w:rPr>
          <w:color w:val="231F20"/>
          <w:spacing w:val="-15"/>
        </w:rPr>
        <w:t> </w:t>
      </w:r>
      <w:r>
        <w:rPr>
          <w:color w:val="231F20"/>
        </w:rPr>
        <w:t>:</w:t>
      </w:r>
      <w:r>
        <w:rPr>
          <w:color w:val="231F20"/>
          <w:spacing w:val="-1"/>
        </w:rPr>
        <w:t> </w:t>
      </w:r>
      <w:r>
        <w:rPr>
          <w:color w:val="231F20"/>
        </w:rPr>
        <w:t>se</w:t>
      </w:r>
      <w:r>
        <w:rPr>
          <w:color w:val="231F20"/>
          <w:spacing w:val="-1"/>
        </w:rPr>
        <w:t> </w:t>
      </w:r>
      <w:r>
        <w:rPr>
          <w:color w:val="231F20"/>
        </w:rPr>
        <w:t>défaire de</w:t>
      </w:r>
      <w:r>
        <w:rPr>
          <w:color w:val="231F20"/>
          <w:spacing w:val="-1"/>
        </w:rPr>
        <w:t> </w:t>
      </w:r>
      <w:r>
        <w:rPr>
          <w:color w:val="231F20"/>
        </w:rPr>
        <w:t>la </w:t>
      </w:r>
      <w:r>
        <w:rPr>
          <w:color w:val="231F20"/>
          <w:spacing w:val="-2"/>
        </w:rPr>
        <w:t>mentalité</w:t>
      </w:r>
      <w:r>
        <w:rPr>
          <w:color w:val="231F20"/>
          <w:spacing w:val="-13"/>
        </w:rPr>
        <w:t> </w:t>
      </w:r>
      <w:r>
        <w:rPr>
          <w:color w:val="231F20"/>
          <w:spacing w:val="-2"/>
        </w:rPr>
        <w:t>d’asservis</w:t>
      </w:r>
      <w:r>
        <w:rPr>
          <w:color w:val="231F20"/>
          <w:spacing w:val="-13"/>
        </w:rPr>
        <w:t> </w:t>
      </w:r>
      <w:r>
        <w:rPr>
          <w:color w:val="231F20"/>
          <w:spacing w:val="-2"/>
        </w:rPr>
        <w:t>et</w:t>
      </w:r>
      <w:r>
        <w:rPr>
          <w:color w:val="231F20"/>
          <w:spacing w:val="-12"/>
        </w:rPr>
        <w:t> </w:t>
      </w:r>
      <w:r>
        <w:rPr>
          <w:color w:val="231F20"/>
          <w:spacing w:val="-2"/>
        </w:rPr>
        <w:t>remplacer</w:t>
      </w:r>
      <w:r>
        <w:rPr>
          <w:color w:val="231F20"/>
          <w:spacing w:val="-13"/>
        </w:rPr>
        <w:t> </w:t>
      </w:r>
      <w:r>
        <w:rPr>
          <w:color w:val="231F20"/>
          <w:spacing w:val="-2"/>
        </w:rPr>
        <w:t>le</w:t>
      </w:r>
      <w:r>
        <w:rPr>
          <w:color w:val="231F20"/>
          <w:spacing w:val="-13"/>
        </w:rPr>
        <w:t> </w:t>
      </w:r>
      <w:r>
        <w:rPr>
          <w:color w:val="231F20"/>
          <w:spacing w:val="-2"/>
        </w:rPr>
        <w:t>complexe</w:t>
      </w:r>
      <w:r>
        <w:rPr>
          <w:color w:val="231F20"/>
          <w:spacing w:val="-13"/>
        </w:rPr>
        <w:t> </w:t>
      </w:r>
      <w:r>
        <w:rPr>
          <w:color w:val="231F20"/>
          <w:spacing w:val="-2"/>
        </w:rPr>
        <w:t>d’infériorité</w:t>
      </w:r>
      <w:r>
        <w:rPr>
          <w:color w:val="231F20"/>
          <w:spacing w:val="-13"/>
        </w:rPr>
        <w:t> </w:t>
      </w:r>
      <w:r>
        <w:rPr>
          <w:color w:val="231F20"/>
          <w:spacing w:val="-2"/>
        </w:rPr>
        <w:t>par</w:t>
      </w:r>
      <w:r>
        <w:rPr>
          <w:color w:val="231F20"/>
          <w:spacing w:val="-13"/>
        </w:rPr>
        <w:t> </w:t>
      </w:r>
      <w:r>
        <w:rPr>
          <w:color w:val="231F20"/>
          <w:spacing w:val="-2"/>
        </w:rPr>
        <w:t>un</w:t>
      </w:r>
      <w:r>
        <w:rPr>
          <w:color w:val="231F20"/>
          <w:spacing w:val="-12"/>
        </w:rPr>
        <w:t> </w:t>
      </w:r>
      <w:r>
        <w:rPr>
          <w:color w:val="231F20"/>
          <w:spacing w:val="-2"/>
        </w:rPr>
        <w:t>sursaut </w:t>
      </w:r>
      <w:r>
        <w:rPr>
          <w:color w:val="231F20"/>
        </w:rPr>
        <w:t>de l’estime de soi.</w:t>
      </w:r>
    </w:p>
    <w:p>
      <w:pPr>
        <w:pStyle w:val="BodyText"/>
        <w:spacing w:before="121"/>
      </w:pPr>
      <w:r>
        <w:rPr>
          <w:color w:val="231F20"/>
          <w:spacing w:val="-2"/>
        </w:rPr>
        <w:t>Pour</w:t>
      </w:r>
      <w:r>
        <w:rPr>
          <w:color w:val="231F20"/>
          <w:spacing w:val="-14"/>
        </w:rPr>
        <w:t> </w:t>
      </w:r>
      <w:r>
        <w:rPr>
          <w:color w:val="231F20"/>
          <w:spacing w:val="-2"/>
        </w:rPr>
        <w:t>mériter</w:t>
      </w:r>
      <w:r>
        <w:rPr>
          <w:color w:val="231F20"/>
          <w:spacing w:val="-11"/>
        </w:rPr>
        <w:t> </w:t>
      </w:r>
      <w:r>
        <w:rPr>
          <w:color w:val="231F20"/>
          <w:spacing w:val="-2"/>
        </w:rPr>
        <w:t>le</w:t>
      </w:r>
      <w:r>
        <w:rPr>
          <w:color w:val="231F20"/>
          <w:spacing w:val="-11"/>
        </w:rPr>
        <w:t> </w:t>
      </w:r>
      <w:r>
        <w:rPr>
          <w:color w:val="231F20"/>
          <w:spacing w:val="-2"/>
        </w:rPr>
        <w:t>respect</w:t>
      </w:r>
      <w:r>
        <w:rPr>
          <w:color w:val="231F20"/>
          <w:spacing w:val="-8"/>
        </w:rPr>
        <w:t> </w:t>
      </w:r>
      <w:r>
        <w:rPr>
          <w:color w:val="231F20"/>
          <w:spacing w:val="-2"/>
        </w:rPr>
        <w:t>des</w:t>
      </w:r>
      <w:r>
        <w:rPr>
          <w:color w:val="231F20"/>
          <w:spacing w:val="-10"/>
        </w:rPr>
        <w:t> </w:t>
      </w:r>
      <w:r>
        <w:rPr>
          <w:color w:val="231F20"/>
          <w:spacing w:val="-2"/>
        </w:rPr>
        <w:t>autres,</w:t>
      </w:r>
      <w:r>
        <w:rPr>
          <w:color w:val="231F20"/>
          <w:spacing w:val="-10"/>
        </w:rPr>
        <w:t> </w:t>
      </w:r>
      <w:r>
        <w:rPr>
          <w:color w:val="231F20"/>
          <w:spacing w:val="-2"/>
        </w:rPr>
        <w:t>il</w:t>
      </w:r>
      <w:r>
        <w:rPr>
          <w:color w:val="231F20"/>
          <w:spacing w:val="-10"/>
        </w:rPr>
        <w:t> </w:t>
      </w:r>
      <w:r>
        <w:rPr>
          <w:color w:val="231F20"/>
          <w:spacing w:val="-2"/>
        </w:rPr>
        <w:t>faut</w:t>
      </w:r>
      <w:r>
        <w:rPr>
          <w:color w:val="231F20"/>
          <w:spacing w:val="-11"/>
        </w:rPr>
        <w:t> </w:t>
      </w:r>
      <w:r>
        <w:rPr>
          <w:color w:val="231F20"/>
          <w:spacing w:val="-2"/>
        </w:rPr>
        <w:t>se</w:t>
      </w:r>
      <w:r>
        <w:rPr>
          <w:color w:val="231F20"/>
          <w:spacing w:val="-10"/>
        </w:rPr>
        <w:t> </w:t>
      </w:r>
      <w:r>
        <w:rPr>
          <w:color w:val="231F20"/>
          <w:spacing w:val="-2"/>
        </w:rPr>
        <w:t>respecter</w:t>
      </w:r>
      <w:r>
        <w:rPr>
          <w:color w:val="231F20"/>
          <w:spacing w:val="-10"/>
        </w:rPr>
        <w:t> </w:t>
      </w:r>
      <w:r>
        <w:rPr>
          <w:color w:val="231F20"/>
          <w:spacing w:val="-2"/>
        </w:rPr>
        <w:t>soi-même.</w:t>
      </w:r>
    </w:p>
    <w:p>
      <w:pPr>
        <w:pStyle w:val="BodyText"/>
        <w:spacing w:before="120"/>
        <w:ind w:right="108" w:firstLine="283"/>
      </w:pPr>
      <w:r>
        <w:rPr>
          <w:color w:val="231F20"/>
        </w:rPr>
        <w:t>L’Afrique noire est la seule région au monde dont les langues ne servent</w:t>
      </w:r>
      <w:r>
        <w:rPr>
          <w:color w:val="231F20"/>
          <w:spacing w:val="-10"/>
        </w:rPr>
        <w:t> </w:t>
      </w:r>
      <w:r>
        <w:rPr>
          <w:color w:val="231F20"/>
        </w:rPr>
        <w:t>qu’à</w:t>
      </w:r>
      <w:r>
        <w:rPr>
          <w:color w:val="231F20"/>
          <w:spacing w:val="-11"/>
        </w:rPr>
        <w:t> </w:t>
      </w:r>
      <w:r>
        <w:rPr>
          <w:color w:val="231F20"/>
        </w:rPr>
        <w:t>la</w:t>
      </w:r>
      <w:r>
        <w:rPr>
          <w:color w:val="231F20"/>
          <w:spacing w:val="-11"/>
        </w:rPr>
        <w:t> </w:t>
      </w:r>
      <w:r>
        <w:rPr>
          <w:color w:val="231F20"/>
        </w:rPr>
        <w:t>communication</w:t>
      </w:r>
      <w:r>
        <w:rPr>
          <w:color w:val="231F20"/>
          <w:spacing w:val="-13"/>
        </w:rPr>
        <w:t> </w:t>
      </w:r>
      <w:r>
        <w:rPr>
          <w:color w:val="231F20"/>
        </w:rPr>
        <w:t>à</w:t>
      </w:r>
      <w:r>
        <w:rPr>
          <w:color w:val="231F20"/>
          <w:spacing w:val="-11"/>
        </w:rPr>
        <w:t> </w:t>
      </w:r>
      <w:r>
        <w:rPr>
          <w:color w:val="231F20"/>
        </w:rPr>
        <w:t>l’intérieur</w:t>
      </w:r>
      <w:r>
        <w:rPr>
          <w:color w:val="231F20"/>
          <w:spacing w:val="-11"/>
        </w:rPr>
        <w:t> </w:t>
      </w:r>
      <w:r>
        <w:rPr>
          <w:color w:val="231F20"/>
        </w:rPr>
        <w:t>des</w:t>
      </w:r>
      <w:r>
        <w:rPr>
          <w:color w:val="231F20"/>
          <w:spacing w:val="-13"/>
        </w:rPr>
        <w:t> </w:t>
      </w:r>
      <w:r>
        <w:rPr>
          <w:color w:val="231F20"/>
        </w:rPr>
        <w:t>groupes</w:t>
      </w:r>
      <w:r>
        <w:rPr>
          <w:color w:val="231F20"/>
          <w:spacing w:val="-11"/>
        </w:rPr>
        <w:t> </w:t>
      </w:r>
      <w:r>
        <w:rPr>
          <w:color w:val="231F20"/>
        </w:rPr>
        <w:t>socioculturels.</w:t>
      </w:r>
    </w:p>
    <w:p>
      <w:pPr>
        <w:pStyle w:val="BodyText"/>
        <w:spacing w:before="120"/>
        <w:ind w:right="105" w:firstLine="283"/>
      </w:pPr>
      <w:r>
        <w:rPr>
          <w:color w:val="231F20"/>
        </w:rPr>
        <w:t>Prendre son destin en main, c’est aussi dépasser définitivement les </w:t>
      </w:r>
      <w:r>
        <w:rPr>
          <w:color w:val="231F20"/>
          <w:spacing w:val="-4"/>
        </w:rPr>
        <w:t>identités</w:t>
      </w:r>
      <w:r>
        <w:rPr>
          <w:color w:val="231F20"/>
          <w:spacing w:val="-5"/>
        </w:rPr>
        <w:t> </w:t>
      </w:r>
      <w:r>
        <w:rPr>
          <w:color w:val="231F20"/>
          <w:spacing w:val="-4"/>
        </w:rPr>
        <w:t>tribales et œuvrer pour que quelques-unes des langues africaines </w:t>
      </w:r>
      <w:r>
        <w:rPr>
          <w:color w:val="231F20"/>
        </w:rPr>
        <w:t>soient étudiées à l’école et deviennent des instruments de travail et de connaissances</w:t>
      </w:r>
      <w:r>
        <w:rPr>
          <w:color w:val="231F20"/>
          <w:spacing w:val="-9"/>
        </w:rPr>
        <w:t> </w:t>
      </w:r>
      <w:r>
        <w:rPr>
          <w:color w:val="231F20"/>
        </w:rPr>
        <w:t>scientifiques</w:t>
      </w:r>
      <w:r>
        <w:rPr>
          <w:color w:val="231F20"/>
          <w:spacing w:val="-15"/>
        </w:rPr>
        <w:t> </w:t>
      </w:r>
      <w:r>
        <w:rPr>
          <w:color w:val="231F20"/>
        </w:rPr>
        <w:t>au</w:t>
      </w:r>
      <w:r>
        <w:rPr>
          <w:color w:val="231F20"/>
          <w:spacing w:val="-5"/>
        </w:rPr>
        <w:t> </w:t>
      </w:r>
      <w:r>
        <w:rPr>
          <w:color w:val="231F20"/>
        </w:rPr>
        <w:t>lieu</w:t>
      </w:r>
      <w:r>
        <w:rPr>
          <w:color w:val="231F20"/>
          <w:spacing w:val="-5"/>
        </w:rPr>
        <w:t> </w:t>
      </w:r>
      <w:r>
        <w:rPr>
          <w:color w:val="231F20"/>
        </w:rPr>
        <w:t>de</w:t>
      </w:r>
      <w:r>
        <w:rPr>
          <w:color w:val="231F20"/>
          <w:spacing w:val="-8"/>
        </w:rPr>
        <w:t> </w:t>
      </w:r>
      <w:r>
        <w:rPr>
          <w:color w:val="231F20"/>
        </w:rPr>
        <w:t>les</w:t>
      </w:r>
      <w:r>
        <w:rPr>
          <w:color w:val="231F20"/>
          <w:spacing w:val="-5"/>
        </w:rPr>
        <w:t> </w:t>
      </w:r>
      <w:r>
        <w:rPr>
          <w:color w:val="231F20"/>
        </w:rPr>
        <w:t>mépriser</w:t>
      </w:r>
      <w:r>
        <w:rPr>
          <w:color w:val="231F20"/>
          <w:spacing w:val="-7"/>
        </w:rPr>
        <w:t> </w:t>
      </w:r>
      <w:r>
        <w:rPr>
          <w:color w:val="231F20"/>
        </w:rPr>
        <w:t>:</w:t>
      </w:r>
      <w:r>
        <w:rPr>
          <w:color w:val="231F20"/>
          <w:spacing w:val="-5"/>
        </w:rPr>
        <w:t> </w:t>
      </w:r>
      <w:r>
        <w:rPr>
          <w:color w:val="231F20"/>
        </w:rPr>
        <w:t>les</w:t>
      </w:r>
      <w:r>
        <w:rPr>
          <w:color w:val="231F20"/>
          <w:spacing w:val="-5"/>
        </w:rPr>
        <w:t> </w:t>
      </w:r>
      <w:r>
        <w:rPr>
          <w:color w:val="231F20"/>
        </w:rPr>
        <w:t>Égyptiens</w:t>
      </w:r>
      <w:r>
        <w:rPr>
          <w:color w:val="231F20"/>
          <w:spacing w:val="-5"/>
        </w:rPr>
        <w:t> </w:t>
      </w:r>
      <w:r>
        <w:rPr>
          <w:color w:val="231F20"/>
        </w:rPr>
        <w:t>l’ont réussi aux temps des pharaons, les arabes le réussissent. Il y a dans les universités</w:t>
      </w:r>
      <w:r>
        <w:rPr>
          <w:color w:val="231F20"/>
          <w:spacing w:val="-9"/>
        </w:rPr>
        <w:t> </w:t>
      </w:r>
      <w:r>
        <w:rPr>
          <w:color w:val="231F20"/>
        </w:rPr>
        <w:t>africaines</w:t>
      </w:r>
      <w:r>
        <w:rPr>
          <w:color w:val="231F20"/>
          <w:spacing w:val="-7"/>
        </w:rPr>
        <w:t> </w:t>
      </w:r>
      <w:r>
        <w:rPr>
          <w:color w:val="231F20"/>
        </w:rPr>
        <w:t>des</w:t>
      </w:r>
      <w:r>
        <w:rPr>
          <w:color w:val="231F20"/>
          <w:spacing w:val="-9"/>
        </w:rPr>
        <w:t> </w:t>
      </w:r>
      <w:r>
        <w:rPr>
          <w:color w:val="231F20"/>
        </w:rPr>
        <w:t>chercheurs</w:t>
      </w:r>
      <w:r>
        <w:rPr>
          <w:color w:val="231F20"/>
          <w:spacing w:val="-7"/>
        </w:rPr>
        <w:t> </w:t>
      </w:r>
      <w:r>
        <w:rPr>
          <w:color w:val="231F20"/>
        </w:rPr>
        <w:t>en</w:t>
      </w:r>
      <w:r>
        <w:rPr>
          <w:color w:val="231F20"/>
          <w:spacing w:val="-7"/>
        </w:rPr>
        <w:t> </w:t>
      </w:r>
      <w:r>
        <w:rPr>
          <w:color w:val="231F20"/>
        </w:rPr>
        <w:t>langues</w:t>
      </w:r>
      <w:r>
        <w:rPr>
          <w:color w:val="231F20"/>
          <w:spacing w:val="-9"/>
        </w:rPr>
        <w:t> </w:t>
      </w:r>
      <w:r>
        <w:rPr>
          <w:color w:val="231F20"/>
        </w:rPr>
        <w:t>pour</w:t>
      </w:r>
      <w:r>
        <w:rPr>
          <w:color w:val="231F20"/>
          <w:spacing w:val="-7"/>
        </w:rPr>
        <w:t> </w:t>
      </w:r>
      <w:r>
        <w:rPr>
          <w:color w:val="231F20"/>
        </w:rPr>
        <w:t>les</w:t>
      </w:r>
      <w:r>
        <w:rPr>
          <w:color w:val="231F20"/>
          <w:spacing w:val="-7"/>
        </w:rPr>
        <w:t> </w:t>
      </w:r>
      <w:r>
        <w:rPr>
          <w:color w:val="231F20"/>
        </w:rPr>
        <w:t>codifier.</w:t>
      </w:r>
    </w:p>
    <w:p>
      <w:pPr>
        <w:pStyle w:val="BodyText"/>
        <w:spacing w:before="120"/>
        <w:ind w:right="102" w:firstLine="283"/>
      </w:pPr>
      <w:r>
        <w:rPr>
          <w:color w:val="231F20"/>
        </w:rPr>
        <w:t>Les</w:t>
      </w:r>
      <w:r>
        <w:rPr>
          <w:color w:val="231F20"/>
          <w:spacing w:val="-15"/>
        </w:rPr>
        <w:t> </w:t>
      </w:r>
      <w:r>
        <w:rPr>
          <w:color w:val="231F20"/>
        </w:rPr>
        <w:t>¨</w:t>
      </w:r>
      <w:r>
        <w:rPr>
          <w:color w:val="231F20"/>
          <w:spacing w:val="-15"/>
        </w:rPr>
        <w:t> </w:t>
      </w:r>
      <w:r>
        <w:rPr>
          <w:color w:val="231F20"/>
        </w:rPr>
        <w:t>spécialistes</w:t>
      </w:r>
      <w:r>
        <w:rPr>
          <w:color w:val="231F20"/>
          <w:spacing w:val="-11"/>
        </w:rPr>
        <w:t> </w:t>
      </w:r>
      <w:r>
        <w:rPr>
          <w:color w:val="231F20"/>
        </w:rPr>
        <w:t>de</w:t>
      </w:r>
      <w:r>
        <w:rPr>
          <w:color w:val="231F20"/>
          <w:spacing w:val="-9"/>
        </w:rPr>
        <w:t> </w:t>
      </w:r>
      <w:r>
        <w:rPr>
          <w:color w:val="231F20"/>
        </w:rPr>
        <w:t>l’Afrique</w:t>
      </w:r>
      <w:r>
        <w:rPr>
          <w:color w:val="231F20"/>
          <w:spacing w:val="-15"/>
        </w:rPr>
        <w:t> </w:t>
      </w:r>
      <w:r>
        <w:rPr>
          <w:color w:val="231F20"/>
        </w:rPr>
        <w:t>¨parlent</w:t>
      </w:r>
      <w:r>
        <w:rPr>
          <w:color w:val="231F20"/>
          <w:spacing w:val="-9"/>
        </w:rPr>
        <w:t> </w:t>
      </w:r>
      <w:r>
        <w:rPr>
          <w:color w:val="231F20"/>
        </w:rPr>
        <w:t>du</w:t>
      </w:r>
      <w:r>
        <w:rPr>
          <w:color w:val="231F20"/>
          <w:spacing w:val="-9"/>
        </w:rPr>
        <w:t> </w:t>
      </w:r>
      <w:r>
        <w:rPr>
          <w:color w:val="231F20"/>
        </w:rPr>
        <w:t>développement</w:t>
      </w:r>
      <w:r>
        <w:rPr>
          <w:color w:val="231F20"/>
          <w:spacing w:val="-9"/>
        </w:rPr>
        <w:t> </w:t>
      </w:r>
      <w:r>
        <w:rPr>
          <w:color w:val="231F20"/>
        </w:rPr>
        <w:t>des</w:t>
      </w:r>
      <w:r>
        <w:rPr>
          <w:color w:val="231F20"/>
          <w:spacing w:val="-9"/>
        </w:rPr>
        <w:t> </w:t>
      </w:r>
      <w:r>
        <w:rPr>
          <w:color w:val="231F20"/>
        </w:rPr>
        <w:t>États</w:t>
      </w:r>
      <w:r>
        <w:rPr>
          <w:color w:val="231F20"/>
          <w:spacing w:val="-7"/>
        </w:rPr>
        <w:t> </w:t>
      </w:r>
      <w:r>
        <w:rPr>
          <w:color w:val="231F20"/>
        </w:rPr>
        <w:t>à l’aune des performances macroéconomiques. C’est certes vrai mais la base du développement nous semble –t-il, devrait s’appuyer sur une société</w:t>
      </w:r>
      <w:r>
        <w:rPr>
          <w:color w:val="231F20"/>
          <w:spacing w:val="-15"/>
        </w:rPr>
        <w:t> </w:t>
      </w:r>
      <w:r>
        <w:rPr>
          <w:color w:val="231F20"/>
        </w:rPr>
        <w:t>dont</w:t>
      </w:r>
      <w:r>
        <w:rPr>
          <w:color w:val="231F20"/>
          <w:spacing w:val="-14"/>
        </w:rPr>
        <w:t> </w:t>
      </w:r>
      <w:r>
        <w:rPr>
          <w:color w:val="231F20"/>
        </w:rPr>
        <w:t>les</w:t>
      </w:r>
      <w:r>
        <w:rPr>
          <w:color w:val="231F20"/>
          <w:spacing w:val="-14"/>
        </w:rPr>
        <w:t> </w:t>
      </w:r>
      <w:r>
        <w:rPr>
          <w:color w:val="231F20"/>
        </w:rPr>
        <w:t>citoyens,</w:t>
      </w:r>
      <w:r>
        <w:rPr>
          <w:color w:val="231F20"/>
          <w:spacing w:val="-15"/>
        </w:rPr>
        <w:t> </w:t>
      </w:r>
      <w:r>
        <w:rPr>
          <w:color w:val="231F20"/>
        </w:rPr>
        <w:t>du</w:t>
      </w:r>
      <w:r>
        <w:rPr>
          <w:color w:val="231F20"/>
          <w:spacing w:val="-14"/>
        </w:rPr>
        <w:t> </w:t>
      </w:r>
      <w:r>
        <w:rPr>
          <w:color w:val="231F20"/>
        </w:rPr>
        <w:t>paysan</w:t>
      </w:r>
      <w:r>
        <w:rPr>
          <w:color w:val="231F20"/>
          <w:spacing w:val="-14"/>
        </w:rPr>
        <w:t> </w:t>
      </w:r>
      <w:r>
        <w:rPr>
          <w:color w:val="231F20"/>
        </w:rPr>
        <w:t>au</w:t>
      </w:r>
      <w:r>
        <w:rPr>
          <w:color w:val="231F20"/>
          <w:spacing w:val="-14"/>
        </w:rPr>
        <w:t> </w:t>
      </w:r>
      <w:r>
        <w:rPr>
          <w:color w:val="231F20"/>
        </w:rPr>
        <w:t>citadin</w:t>
      </w:r>
      <w:r>
        <w:rPr>
          <w:color w:val="231F20"/>
          <w:spacing w:val="-14"/>
        </w:rPr>
        <w:t> </w:t>
      </w:r>
      <w:r>
        <w:rPr>
          <w:color w:val="231F20"/>
        </w:rPr>
        <w:t>comprennent</w:t>
      </w:r>
      <w:r>
        <w:rPr>
          <w:color w:val="231F20"/>
          <w:spacing w:val="-14"/>
        </w:rPr>
        <w:t> </w:t>
      </w:r>
      <w:r>
        <w:rPr>
          <w:color w:val="231F20"/>
        </w:rPr>
        <w:t>et</w:t>
      </w:r>
      <w:r>
        <w:rPr>
          <w:color w:val="231F20"/>
          <w:spacing w:val="-15"/>
        </w:rPr>
        <w:t> </w:t>
      </w:r>
      <w:r>
        <w:rPr>
          <w:color w:val="231F20"/>
        </w:rPr>
        <w:t>parlent</w:t>
      </w:r>
      <w:r>
        <w:rPr>
          <w:color w:val="231F20"/>
          <w:spacing w:val="-15"/>
        </w:rPr>
        <w:t> </w:t>
      </w:r>
      <w:r>
        <w:rPr>
          <w:color w:val="231F20"/>
        </w:rPr>
        <w:t>le </w:t>
      </w:r>
      <w:r>
        <w:rPr>
          <w:color w:val="231F20"/>
          <w:spacing w:val="-2"/>
        </w:rPr>
        <w:t>même</w:t>
      </w:r>
      <w:r>
        <w:rPr>
          <w:color w:val="231F20"/>
          <w:spacing w:val="-15"/>
        </w:rPr>
        <w:t> </w:t>
      </w:r>
      <w:r>
        <w:rPr>
          <w:color w:val="231F20"/>
          <w:spacing w:val="-2"/>
        </w:rPr>
        <w:t>langage.</w:t>
      </w:r>
      <w:r>
        <w:rPr>
          <w:color w:val="231F20"/>
          <w:spacing w:val="-13"/>
        </w:rPr>
        <w:t> </w:t>
      </w:r>
      <w:r>
        <w:rPr>
          <w:color w:val="231F20"/>
          <w:spacing w:val="-2"/>
        </w:rPr>
        <w:t>Il</w:t>
      </w:r>
      <w:r>
        <w:rPr>
          <w:color w:val="231F20"/>
          <w:spacing w:val="-13"/>
        </w:rPr>
        <w:t> </w:t>
      </w:r>
      <w:r>
        <w:rPr>
          <w:color w:val="231F20"/>
          <w:spacing w:val="-2"/>
        </w:rPr>
        <w:t>n’est</w:t>
      </w:r>
      <w:r>
        <w:rPr>
          <w:color w:val="231F20"/>
          <w:spacing w:val="-13"/>
        </w:rPr>
        <w:t> </w:t>
      </w:r>
      <w:r>
        <w:rPr>
          <w:color w:val="231F20"/>
          <w:spacing w:val="-2"/>
        </w:rPr>
        <w:t>pas</w:t>
      </w:r>
      <w:r>
        <w:rPr>
          <w:color w:val="231F20"/>
          <w:spacing w:val="-13"/>
        </w:rPr>
        <w:t> </w:t>
      </w:r>
      <w:r>
        <w:rPr>
          <w:color w:val="231F20"/>
          <w:spacing w:val="-2"/>
        </w:rPr>
        <w:t>demandé</w:t>
      </w:r>
      <w:r>
        <w:rPr>
          <w:color w:val="231F20"/>
          <w:spacing w:val="-13"/>
        </w:rPr>
        <w:t> </w:t>
      </w:r>
      <w:r>
        <w:rPr>
          <w:color w:val="231F20"/>
          <w:spacing w:val="-2"/>
        </w:rPr>
        <w:t>à</w:t>
      </w:r>
      <w:r>
        <w:rPr>
          <w:color w:val="231F20"/>
          <w:spacing w:val="-13"/>
        </w:rPr>
        <w:t> </w:t>
      </w:r>
      <w:r>
        <w:rPr>
          <w:color w:val="231F20"/>
          <w:spacing w:val="-2"/>
        </w:rPr>
        <w:t>tous</w:t>
      </w:r>
      <w:r>
        <w:rPr>
          <w:color w:val="231F20"/>
          <w:spacing w:val="-13"/>
        </w:rPr>
        <w:t> </w:t>
      </w:r>
      <w:r>
        <w:rPr>
          <w:color w:val="231F20"/>
          <w:spacing w:val="-2"/>
        </w:rPr>
        <w:t>d’être</w:t>
      </w:r>
      <w:r>
        <w:rPr>
          <w:color w:val="231F20"/>
          <w:spacing w:val="-13"/>
        </w:rPr>
        <w:t> </w:t>
      </w:r>
      <w:r>
        <w:rPr>
          <w:color w:val="231F20"/>
          <w:spacing w:val="-2"/>
        </w:rPr>
        <w:t>des</w:t>
      </w:r>
      <w:r>
        <w:rPr>
          <w:color w:val="231F20"/>
          <w:spacing w:val="-13"/>
        </w:rPr>
        <w:t> </w:t>
      </w:r>
      <w:r>
        <w:rPr>
          <w:color w:val="231F20"/>
          <w:spacing w:val="-2"/>
        </w:rPr>
        <w:t>universitaires</w:t>
      </w:r>
      <w:r>
        <w:rPr>
          <w:color w:val="231F20"/>
          <w:spacing w:val="-13"/>
        </w:rPr>
        <w:t> </w:t>
      </w:r>
      <w:r>
        <w:rPr>
          <w:color w:val="231F20"/>
          <w:spacing w:val="-2"/>
        </w:rPr>
        <w:t>mais, si</w:t>
      </w:r>
      <w:r>
        <w:rPr>
          <w:color w:val="231F20"/>
          <w:spacing w:val="-13"/>
        </w:rPr>
        <w:t> </w:t>
      </w:r>
      <w:r>
        <w:rPr>
          <w:color w:val="231F20"/>
          <w:spacing w:val="-2"/>
        </w:rPr>
        <w:t>le</w:t>
      </w:r>
      <w:r>
        <w:rPr>
          <w:color w:val="231F20"/>
          <w:spacing w:val="-12"/>
        </w:rPr>
        <w:t> </w:t>
      </w:r>
      <w:r>
        <w:rPr>
          <w:color w:val="231F20"/>
          <w:spacing w:val="-2"/>
        </w:rPr>
        <w:t>système</w:t>
      </w:r>
      <w:r>
        <w:rPr>
          <w:color w:val="231F20"/>
          <w:spacing w:val="-12"/>
        </w:rPr>
        <w:t> </w:t>
      </w:r>
      <w:r>
        <w:rPr>
          <w:color w:val="231F20"/>
          <w:spacing w:val="-2"/>
        </w:rPr>
        <w:t>d’éducation</w:t>
      </w:r>
      <w:r>
        <w:rPr>
          <w:color w:val="231F20"/>
          <w:spacing w:val="-13"/>
        </w:rPr>
        <w:t> </w:t>
      </w:r>
      <w:r>
        <w:rPr>
          <w:color w:val="231F20"/>
          <w:spacing w:val="-2"/>
        </w:rPr>
        <w:t>et</w:t>
      </w:r>
      <w:r>
        <w:rPr>
          <w:color w:val="231F20"/>
          <w:spacing w:val="-11"/>
        </w:rPr>
        <w:t> </w:t>
      </w:r>
      <w:r>
        <w:rPr>
          <w:color w:val="231F20"/>
          <w:spacing w:val="-2"/>
        </w:rPr>
        <w:t>de</w:t>
      </w:r>
      <w:r>
        <w:rPr>
          <w:color w:val="231F20"/>
          <w:spacing w:val="-12"/>
        </w:rPr>
        <w:t> </w:t>
      </w:r>
      <w:r>
        <w:rPr>
          <w:color w:val="231F20"/>
          <w:spacing w:val="-2"/>
        </w:rPr>
        <w:t>formation</w:t>
      </w:r>
      <w:r>
        <w:rPr>
          <w:color w:val="231F20"/>
          <w:spacing w:val="-12"/>
        </w:rPr>
        <w:t> </w:t>
      </w:r>
      <w:r>
        <w:rPr>
          <w:color w:val="231F20"/>
          <w:spacing w:val="-2"/>
        </w:rPr>
        <w:t>dans</w:t>
      </w:r>
      <w:r>
        <w:rPr>
          <w:color w:val="231F20"/>
          <w:spacing w:val="-12"/>
        </w:rPr>
        <w:t> </w:t>
      </w:r>
      <w:r>
        <w:rPr>
          <w:color w:val="231F20"/>
          <w:spacing w:val="-2"/>
        </w:rPr>
        <w:t>les</w:t>
      </w:r>
      <w:r>
        <w:rPr>
          <w:color w:val="231F20"/>
          <w:spacing w:val="-12"/>
        </w:rPr>
        <w:t> </w:t>
      </w:r>
      <w:r>
        <w:rPr>
          <w:color w:val="231F20"/>
          <w:spacing w:val="-2"/>
        </w:rPr>
        <w:t>États</w:t>
      </w:r>
      <w:r>
        <w:rPr>
          <w:color w:val="231F20"/>
          <w:spacing w:val="-12"/>
        </w:rPr>
        <w:t> </w:t>
      </w:r>
      <w:r>
        <w:rPr>
          <w:color w:val="231F20"/>
          <w:spacing w:val="-2"/>
        </w:rPr>
        <w:t>est</w:t>
      </w:r>
      <w:r>
        <w:rPr>
          <w:color w:val="231F20"/>
          <w:spacing w:val="-11"/>
        </w:rPr>
        <w:t> </w:t>
      </w:r>
      <w:r>
        <w:rPr>
          <w:color w:val="231F20"/>
          <w:spacing w:val="-2"/>
        </w:rPr>
        <w:t>performant,</w:t>
      </w:r>
      <w:r>
        <w:rPr>
          <w:color w:val="231F20"/>
          <w:spacing w:val="-12"/>
        </w:rPr>
        <w:t> </w:t>
      </w:r>
      <w:r>
        <w:rPr>
          <w:color w:val="231F20"/>
          <w:spacing w:val="-2"/>
        </w:rPr>
        <w:t>si </w:t>
      </w:r>
      <w:r>
        <w:rPr>
          <w:color w:val="231F20"/>
        </w:rPr>
        <w:t>90% de la population est alphabétisée dans une langue locale et en parallèle,</w:t>
      </w:r>
      <w:r>
        <w:rPr>
          <w:color w:val="231F20"/>
          <w:spacing w:val="-15"/>
        </w:rPr>
        <w:t> </w:t>
      </w:r>
      <w:r>
        <w:rPr>
          <w:color w:val="231F20"/>
        </w:rPr>
        <w:t>celle</w:t>
      </w:r>
      <w:r>
        <w:rPr>
          <w:color w:val="231F20"/>
          <w:spacing w:val="-15"/>
        </w:rPr>
        <w:t> </w:t>
      </w:r>
      <w:r>
        <w:rPr>
          <w:color w:val="231F20"/>
        </w:rPr>
        <w:t>laissée</w:t>
      </w:r>
      <w:r>
        <w:rPr>
          <w:color w:val="231F20"/>
          <w:spacing w:val="-14"/>
        </w:rPr>
        <w:t> </w:t>
      </w:r>
      <w:r>
        <w:rPr>
          <w:color w:val="231F20"/>
        </w:rPr>
        <w:t>en</w:t>
      </w:r>
      <w:r>
        <w:rPr>
          <w:color w:val="231F20"/>
          <w:spacing w:val="-15"/>
        </w:rPr>
        <w:t> </w:t>
      </w:r>
      <w:r>
        <w:rPr>
          <w:color w:val="231F20"/>
        </w:rPr>
        <w:t>héritage</w:t>
      </w:r>
      <w:r>
        <w:rPr>
          <w:color w:val="231F20"/>
          <w:spacing w:val="-14"/>
        </w:rPr>
        <w:t> </w:t>
      </w:r>
      <w:r>
        <w:rPr>
          <w:color w:val="231F20"/>
        </w:rPr>
        <w:t>par</w:t>
      </w:r>
      <w:r>
        <w:rPr>
          <w:color w:val="231F20"/>
          <w:spacing w:val="-15"/>
        </w:rPr>
        <w:t> </w:t>
      </w:r>
      <w:r>
        <w:rPr>
          <w:color w:val="231F20"/>
        </w:rPr>
        <w:t>la</w:t>
      </w:r>
      <w:r>
        <w:rPr>
          <w:color w:val="231F20"/>
          <w:spacing w:val="-14"/>
        </w:rPr>
        <w:t> </w:t>
      </w:r>
      <w:r>
        <w:rPr>
          <w:color w:val="231F20"/>
        </w:rPr>
        <w:t>colonisation,</w:t>
      </w:r>
      <w:r>
        <w:rPr>
          <w:color w:val="231F20"/>
          <w:spacing w:val="-14"/>
        </w:rPr>
        <w:t> </w:t>
      </w:r>
      <w:r>
        <w:rPr>
          <w:color w:val="231F20"/>
        </w:rPr>
        <w:t>si</w:t>
      </w:r>
      <w:r>
        <w:rPr>
          <w:color w:val="231F20"/>
          <w:spacing w:val="-13"/>
        </w:rPr>
        <w:t> </w:t>
      </w:r>
      <w:r>
        <w:rPr>
          <w:color w:val="231F20"/>
        </w:rPr>
        <w:t>plus</w:t>
      </w:r>
      <w:r>
        <w:rPr>
          <w:color w:val="231F20"/>
          <w:spacing w:val="-15"/>
        </w:rPr>
        <w:t> </w:t>
      </w:r>
      <w:r>
        <w:rPr>
          <w:color w:val="231F20"/>
        </w:rPr>
        <w:t>de</w:t>
      </w:r>
      <w:r>
        <w:rPr>
          <w:color w:val="231F20"/>
          <w:spacing w:val="-14"/>
        </w:rPr>
        <w:t> </w:t>
      </w:r>
      <w:r>
        <w:rPr>
          <w:color w:val="231F20"/>
        </w:rPr>
        <w:t>75%</w:t>
      </w:r>
      <w:r>
        <w:rPr>
          <w:color w:val="231F20"/>
          <w:spacing w:val="-15"/>
        </w:rPr>
        <w:t> </w:t>
      </w:r>
      <w:r>
        <w:rPr>
          <w:color w:val="231F20"/>
        </w:rPr>
        <w:t>ont terminé</w:t>
      </w:r>
      <w:r>
        <w:rPr>
          <w:color w:val="231F20"/>
          <w:spacing w:val="-8"/>
        </w:rPr>
        <w:t> </w:t>
      </w:r>
      <w:r>
        <w:rPr>
          <w:color w:val="231F20"/>
        </w:rPr>
        <w:t>le</w:t>
      </w:r>
      <w:r>
        <w:rPr>
          <w:color w:val="231F20"/>
          <w:spacing w:val="-7"/>
        </w:rPr>
        <w:t> </w:t>
      </w:r>
      <w:r>
        <w:rPr>
          <w:color w:val="231F20"/>
        </w:rPr>
        <w:t>second</w:t>
      </w:r>
      <w:r>
        <w:rPr>
          <w:color w:val="231F20"/>
          <w:spacing w:val="-7"/>
        </w:rPr>
        <w:t> </w:t>
      </w:r>
      <w:r>
        <w:rPr>
          <w:color w:val="231F20"/>
        </w:rPr>
        <w:t>cycle,</w:t>
      </w:r>
      <w:r>
        <w:rPr>
          <w:color w:val="231F20"/>
          <w:spacing w:val="-7"/>
        </w:rPr>
        <w:t> </w:t>
      </w:r>
      <w:r>
        <w:rPr>
          <w:color w:val="231F20"/>
        </w:rPr>
        <w:t>si</w:t>
      </w:r>
      <w:r>
        <w:rPr>
          <w:color w:val="231F20"/>
          <w:spacing w:val="40"/>
        </w:rPr>
        <w:t> </w:t>
      </w:r>
      <w:r>
        <w:rPr>
          <w:color w:val="231F20"/>
        </w:rPr>
        <w:t>plus</w:t>
      </w:r>
      <w:r>
        <w:rPr>
          <w:color w:val="231F20"/>
          <w:spacing w:val="-7"/>
        </w:rPr>
        <w:t> </w:t>
      </w:r>
      <w:r>
        <w:rPr>
          <w:color w:val="231F20"/>
        </w:rPr>
        <w:t>de</w:t>
      </w:r>
      <w:r>
        <w:rPr>
          <w:color w:val="231F20"/>
          <w:spacing w:val="-6"/>
        </w:rPr>
        <w:t> </w:t>
      </w:r>
      <w:r>
        <w:rPr>
          <w:color w:val="231F20"/>
        </w:rPr>
        <w:t>60%</w:t>
      </w:r>
      <w:r>
        <w:rPr>
          <w:color w:val="231F20"/>
          <w:spacing w:val="-8"/>
        </w:rPr>
        <w:t> </w:t>
      </w:r>
      <w:r>
        <w:rPr>
          <w:color w:val="231F20"/>
        </w:rPr>
        <w:t>ont</w:t>
      </w:r>
      <w:r>
        <w:rPr>
          <w:color w:val="231F20"/>
          <w:spacing w:val="-6"/>
        </w:rPr>
        <w:t> </w:t>
      </w:r>
      <w:r>
        <w:rPr>
          <w:color w:val="231F20"/>
        </w:rPr>
        <w:t>fait</w:t>
      </w:r>
      <w:r>
        <w:rPr>
          <w:color w:val="231F20"/>
          <w:spacing w:val="-6"/>
        </w:rPr>
        <w:t> </w:t>
      </w:r>
      <w:r>
        <w:rPr>
          <w:color w:val="231F20"/>
        </w:rPr>
        <w:t>des</w:t>
      </w:r>
      <w:r>
        <w:rPr>
          <w:color w:val="231F20"/>
          <w:spacing w:val="-7"/>
        </w:rPr>
        <w:t> </w:t>
      </w:r>
      <w:r>
        <w:rPr>
          <w:color w:val="231F20"/>
        </w:rPr>
        <w:t>études</w:t>
      </w:r>
      <w:r>
        <w:rPr>
          <w:color w:val="231F20"/>
          <w:spacing w:val="-8"/>
        </w:rPr>
        <w:t> </w:t>
      </w:r>
      <w:r>
        <w:rPr>
          <w:color w:val="231F20"/>
        </w:rPr>
        <w:t>supérieures, les populations pourraient s’offrir, le minimum de bien-être matériel, social</w:t>
      </w:r>
      <w:r>
        <w:rPr>
          <w:color w:val="231F20"/>
          <w:spacing w:val="-11"/>
        </w:rPr>
        <w:t> </w:t>
      </w:r>
      <w:r>
        <w:rPr>
          <w:color w:val="231F20"/>
        </w:rPr>
        <w:t>et</w:t>
      </w:r>
      <w:r>
        <w:rPr>
          <w:color w:val="231F20"/>
          <w:spacing w:val="-6"/>
        </w:rPr>
        <w:t> </w:t>
      </w:r>
      <w:r>
        <w:rPr>
          <w:color w:val="231F20"/>
        </w:rPr>
        <w:t>culturel</w:t>
      </w:r>
      <w:r>
        <w:rPr>
          <w:color w:val="231F20"/>
          <w:spacing w:val="-15"/>
        </w:rPr>
        <w:t> </w:t>
      </w:r>
      <w:r>
        <w:rPr>
          <w:color w:val="231F20"/>
        </w:rPr>
        <w:t>:</w:t>
      </w:r>
      <w:r>
        <w:rPr>
          <w:color w:val="231F20"/>
          <w:spacing w:val="-6"/>
        </w:rPr>
        <w:t> </w:t>
      </w:r>
      <w:r>
        <w:rPr>
          <w:color w:val="231F20"/>
        </w:rPr>
        <w:t>les</w:t>
      </w:r>
      <w:r>
        <w:rPr>
          <w:color w:val="231F20"/>
          <w:spacing w:val="-7"/>
        </w:rPr>
        <w:t> </w:t>
      </w:r>
      <w:r>
        <w:rPr>
          <w:color w:val="231F20"/>
        </w:rPr>
        <w:t>Gouvernements</w:t>
      </w:r>
      <w:r>
        <w:rPr>
          <w:color w:val="231F20"/>
          <w:spacing w:val="-8"/>
        </w:rPr>
        <w:t> </w:t>
      </w:r>
      <w:r>
        <w:rPr>
          <w:color w:val="231F20"/>
        </w:rPr>
        <w:t>doivent</w:t>
      </w:r>
      <w:r>
        <w:rPr>
          <w:color w:val="231F20"/>
          <w:spacing w:val="-6"/>
        </w:rPr>
        <w:t> </w:t>
      </w:r>
      <w:r>
        <w:rPr>
          <w:color w:val="231F20"/>
        </w:rPr>
        <w:t>dès</w:t>
      </w:r>
      <w:r>
        <w:rPr>
          <w:color w:val="231F20"/>
          <w:spacing w:val="-9"/>
        </w:rPr>
        <w:t> </w:t>
      </w:r>
      <w:r>
        <w:rPr>
          <w:color w:val="231F20"/>
        </w:rPr>
        <w:t>maintenant</w:t>
      </w:r>
      <w:r>
        <w:rPr>
          <w:color w:val="231F20"/>
          <w:spacing w:val="-6"/>
        </w:rPr>
        <w:t> </w:t>
      </w:r>
      <w:r>
        <w:rPr>
          <w:color w:val="231F20"/>
        </w:rPr>
        <w:t>former</w:t>
      </w:r>
      <w:r>
        <w:rPr>
          <w:color w:val="231F20"/>
          <w:spacing w:val="-7"/>
        </w:rPr>
        <w:t> </w:t>
      </w:r>
      <w:r>
        <w:rPr>
          <w:color w:val="231F20"/>
        </w:rPr>
        <w:t>la </w:t>
      </w:r>
      <w:r>
        <w:rPr>
          <w:color w:val="231F20"/>
          <w:spacing w:val="-4"/>
        </w:rPr>
        <w:t>jeunesse</w:t>
      </w:r>
      <w:r>
        <w:rPr>
          <w:color w:val="231F20"/>
          <w:spacing w:val="-1"/>
        </w:rPr>
        <w:t> </w:t>
      </w:r>
      <w:r>
        <w:rPr>
          <w:color w:val="231F20"/>
          <w:spacing w:val="-4"/>
        </w:rPr>
        <w:t>:</w:t>
      </w:r>
      <w:r>
        <w:rPr>
          <w:color w:val="231F20"/>
          <w:spacing w:val="-11"/>
        </w:rPr>
        <w:t> </w:t>
      </w:r>
      <w:r>
        <w:rPr>
          <w:color w:val="231F20"/>
          <w:spacing w:val="-4"/>
        </w:rPr>
        <w:t>investir</w:t>
      </w:r>
      <w:r>
        <w:rPr>
          <w:color w:val="231F20"/>
          <w:spacing w:val="-10"/>
        </w:rPr>
        <w:t> </w:t>
      </w:r>
      <w:r>
        <w:rPr>
          <w:color w:val="231F20"/>
          <w:spacing w:val="-4"/>
        </w:rPr>
        <w:t>dans</w:t>
      </w:r>
      <w:r>
        <w:rPr>
          <w:color w:val="231F20"/>
          <w:spacing w:val="-11"/>
        </w:rPr>
        <w:t> </w:t>
      </w:r>
      <w:r>
        <w:rPr>
          <w:color w:val="231F20"/>
          <w:spacing w:val="-4"/>
        </w:rPr>
        <w:t>l'éducation</w:t>
      </w:r>
      <w:r>
        <w:rPr>
          <w:color w:val="231F20"/>
          <w:spacing w:val="-8"/>
        </w:rPr>
        <w:t> </w:t>
      </w:r>
      <w:r>
        <w:rPr>
          <w:color w:val="231F20"/>
          <w:spacing w:val="-4"/>
        </w:rPr>
        <w:t>et</w:t>
      </w:r>
      <w:r>
        <w:rPr>
          <w:color w:val="231F20"/>
          <w:spacing w:val="-11"/>
        </w:rPr>
        <w:t> </w:t>
      </w:r>
      <w:r>
        <w:rPr>
          <w:color w:val="231F20"/>
          <w:spacing w:val="-4"/>
        </w:rPr>
        <w:t>la</w:t>
      </w:r>
      <w:r>
        <w:rPr>
          <w:color w:val="231F20"/>
          <w:spacing w:val="-8"/>
        </w:rPr>
        <w:t> </w:t>
      </w:r>
      <w:r>
        <w:rPr>
          <w:color w:val="231F20"/>
          <w:spacing w:val="-4"/>
        </w:rPr>
        <w:t>santé,</w:t>
      </w:r>
      <w:r>
        <w:rPr>
          <w:color w:val="231F20"/>
          <w:spacing w:val="-11"/>
        </w:rPr>
        <w:t> </w:t>
      </w:r>
      <w:r>
        <w:rPr>
          <w:color w:val="231F20"/>
          <w:spacing w:val="-4"/>
        </w:rPr>
        <w:t>créer</w:t>
      </w:r>
      <w:r>
        <w:rPr>
          <w:color w:val="231F20"/>
          <w:spacing w:val="-11"/>
        </w:rPr>
        <w:t> </w:t>
      </w:r>
      <w:r>
        <w:rPr>
          <w:color w:val="231F20"/>
          <w:spacing w:val="-4"/>
        </w:rPr>
        <w:t>des</w:t>
      </w:r>
      <w:r>
        <w:rPr>
          <w:color w:val="231F20"/>
          <w:spacing w:val="-8"/>
        </w:rPr>
        <w:t> </w:t>
      </w:r>
      <w:r>
        <w:rPr>
          <w:color w:val="231F20"/>
          <w:spacing w:val="-4"/>
        </w:rPr>
        <w:t>emplois,</w:t>
      </w:r>
      <w:r>
        <w:rPr>
          <w:color w:val="231F20"/>
          <w:spacing w:val="-11"/>
        </w:rPr>
        <w:t> </w:t>
      </w:r>
      <w:r>
        <w:rPr>
          <w:color w:val="231F20"/>
          <w:spacing w:val="-4"/>
        </w:rPr>
        <w:t>renforcer </w:t>
      </w:r>
      <w:r>
        <w:rPr>
          <w:color w:val="231F20"/>
        </w:rPr>
        <w:t>la</w:t>
      </w:r>
      <w:r>
        <w:rPr>
          <w:color w:val="231F20"/>
          <w:spacing w:val="-2"/>
        </w:rPr>
        <w:t> </w:t>
      </w:r>
      <w:r>
        <w:rPr>
          <w:color w:val="231F20"/>
        </w:rPr>
        <w:t>protection sociale</w:t>
      </w:r>
      <w:r>
        <w:rPr>
          <w:color w:val="231F20"/>
          <w:spacing w:val="-2"/>
        </w:rPr>
        <w:t> </w:t>
      </w:r>
      <w:r>
        <w:rPr>
          <w:color w:val="231F20"/>
        </w:rPr>
        <w:t>et réduire</w:t>
      </w:r>
      <w:r>
        <w:rPr>
          <w:color w:val="231F20"/>
          <w:spacing w:val="-2"/>
        </w:rPr>
        <w:t> </w:t>
      </w:r>
      <w:r>
        <w:rPr>
          <w:color w:val="231F20"/>
        </w:rPr>
        <w:t>les</w:t>
      </w:r>
      <w:r>
        <w:rPr>
          <w:color w:val="231F20"/>
          <w:spacing w:val="-4"/>
        </w:rPr>
        <w:t> </w:t>
      </w:r>
      <w:r>
        <w:rPr>
          <w:color w:val="231F20"/>
        </w:rPr>
        <w:t>inégalités.</w:t>
      </w:r>
    </w:p>
    <w:p>
      <w:pPr>
        <w:pStyle w:val="BodyText"/>
        <w:spacing w:before="121"/>
        <w:ind w:right="104" w:firstLine="283"/>
      </w:pPr>
      <w:r>
        <w:rPr>
          <w:color w:val="231F20"/>
        </w:rPr>
        <w:t>C’est</w:t>
      </w:r>
      <w:r>
        <w:rPr>
          <w:color w:val="231F20"/>
          <w:spacing w:val="-11"/>
        </w:rPr>
        <w:t> </w:t>
      </w:r>
      <w:r>
        <w:rPr>
          <w:color w:val="231F20"/>
        </w:rPr>
        <w:t>en</w:t>
      </w:r>
      <w:r>
        <w:rPr>
          <w:color w:val="231F20"/>
          <w:spacing w:val="-13"/>
        </w:rPr>
        <w:t> </w:t>
      </w:r>
      <w:r>
        <w:rPr>
          <w:color w:val="231F20"/>
        </w:rPr>
        <w:t>s’appuyant</w:t>
      </w:r>
      <w:r>
        <w:rPr>
          <w:color w:val="231F20"/>
          <w:spacing w:val="-13"/>
        </w:rPr>
        <w:t> </w:t>
      </w:r>
      <w:r>
        <w:rPr>
          <w:color w:val="231F20"/>
        </w:rPr>
        <w:t>sur</w:t>
      </w:r>
      <w:r>
        <w:rPr>
          <w:color w:val="231F20"/>
          <w:spacing w:val="-14"/>
        </w:rPr>
        <w:t> </w:t>
      </w:r>
      <w:r>
        <w:rPr>
          <w:color w:val="231F20"/>
        </w:rPr>
        <w:t>sa</w:t>
      </w:r>
      <w:r>
        <w:rPr>
          <w:color w:val="231F20"/>
          <w:spacing w:val="-11"/>
        </w:rPr>
        <w:t> </w:t>
      </w:r>
      <w:r>
        <w:rPr>
          <w:color w:val="231F20"/>
        </w:rPr>
        <w:t>propre</w:t>
      </w:r>
      <w:r>
        <w:rPr>
          <w:color w:val="231F20"/>
          <w:spacing w:val="-11"/>
        </w:rPr>
        <w:t> </w:t>
      </w:r>
      <w:r>
        <w:rPr>
          <w:color w:val="231F20"/>
        </w:rPr>
        <w:t>culture</w:t>
      </w:r>
      <w:r>
        <w:rPr>
          <w:color w:val="76787A"/>
          <w:vertAlign w:val="superscript"/>
        </w:rPr>
        <w:t>279</w:t>
      </w:r>
      <w:r>
        <w:rPr>
          <w:color w:val="231F20"/>
          <w:vertAlign w:val="superscript"/>
        </w:rPr>
        <w:t>,</w:t>
      </w:r>
      <w:r>
        <w:rPr>
          <w:color w:val="231F20"/>
          <w:spacing w:val="-11"/>
          <w:vertAlign w:val="baseline"/>
        </w:rPr>
        <w:t> </w:t>
      </w:r>
      <w:r>
        <w:rPr>
          <w:color w:val="231F20"/>
          <w:vertAlign w:val="baseline"/>
        </w:rPr>
        <w:t>ses</w:t>
      </w:r>
      <w:r>
        <w:rPr>
          <w:color w:val="231F20"/>
          <w:spacing w:val="-13"/>
          <w:vertAlign w:val="baseline"/>
        </w:rPr>
        <w:t> </w:t>
      </w:r>
      <w:r>
        <w:rPr>
          <w:color w:val="231F20"/>
          <w:vertAlign w:val="baseline"/>
        </w:rPr>
        <w:t>propres</w:t>
      </w:r>
      <w:r>
        <w:rPr>
          <w:color w:val="231F20"/>
          <w:spacing w:val="-11"/>
          <w:vertAlign w:val="baseline"/>
        </w:rPr>
        <w:t> </w:t>
      </w:r>
      <w:r>
        <w:rPr>
          <w:color w:val="231F20"/>
          <w:vertAlign w:val="baseline"/>
        </w:rPr>
        <w:t>réalités</w:t>
      </w:r>
      <w:r>
        <w:rPr>
          <w:color w:val="231F20"/>
          <w:spacing w:val="-11"/>
          <w:vertAlign w:val="baseline"/>
        </w:rPr>
        <w:t> </w:t>
      </w:r>
      <w:r>
        <w:rPr>
          <w:color w:val="231F20"/>
          <w:vertAlign w:val="baseline"/>
        </w:rPr>
        <w:t>et</w:t>
      </w:r>
      <w:r>
        <w:rPr>
          <w:color w:val="231F20"/>
          <w:spacing w:val="-11"/>
          <w:vertAlign w:val="baseline"/>
        </w:rPr>
        <w:t> </w:t>
      </w:r>
      <w:r>
        <w:rPr>
          <w:color w:val="231F20"/>
          <w:vertAlign w:val="baseline"/>
        </w:rPr>
        <w:t>en </w:t>
      </w:r>
      <w:r>
        <w:rPr>
          <w:color w:val="231F20"/>
          <w:spacing w:val="-2"/>
          <w:vertAlign w:val="baseline"/>
        </w:rPr>
        <w:t>prenant</w:t>
      </w:r>
      <w:r>
        <w:rPr>
          <w:color w:val="231F20"/>
          <w:spacing w:val="-7"/>
          <w:vertAlign w:val="baseline"/>
        </w:rPr>
        <w:t> </w:t>
      </w:r>
      <w:r>
        <w:rPr>
          <w:color w:val="231F20"/>
          <w:spacing w:val="-2"/>
          <w:vertAlign w:val="baseline"/>
        </w:rPr>
        <w:t>chez</w:t>
      </w:r>
      <w:r>
        <w:rPr>
          <w:color w:val="231F20"/>
          <w:spacing w:val="-10"/>
          <w:vertAlign w:val="baseline"/>
        </w:rPr>
        <w:t> </w:t>
      </w:r>
      <w:r>
        <w:rPr>
          <w:color w:val="231F20"/>
          <w:spacing w:val="-2"/>
          <w:vertAlign w:val="baseline"/>
        </w:rPr>
        <w:t>les</w:t>
      </w:r>
      <w:r>
        <w:rPr>
          <w:color w:val="231F20"/>
          <w:spacing w:val="-8"/>
          <w:vertAlign w:val="baseline"/>
        </w:rPr>
        <w:t> </w:t>
      </w:r>
      <w:r>
        <w:rPr>
          <w:color w:val="231F20"/>
          <w:spacing w:val="-2"/>
          <w:vertAlign w:val="baseline"/>
        </w:rPr>
        <w:t>autres</w:t>
      </w:r>
      <w:r>
        <w:rPr>
          <w:color w:val="231F20"/>
          <w:spacing w:val="-10"/>
          <w:vertAlign w:val="baseline"/>
        </w:rPr>
        <w:t> </w:t>
      </w:r>
      <w:r>
        <w:rPr>
          <w:color w:val="231F20"/>
          <w:spacing w:val="-2"/>
          <w:vertAlign w:val="baseline"/>
        </w:rPr>
        <w:t>leur</w:t>
      </w:r>
      <w:r>
        <w:rPr>
          <w:color w:val="231F20"/>
          <w:spacing w:val="-8"/>
          <w:vertAlign w:val="baseline"/>
        </w:rPr>
        <w:t> </w:t>
      </w:r>
      <w:r>
        <w:rPr>
          <w:color w:val="231F20"/>
          <w:spacing w:val="-2"/>
          <w:vertAlign w:val="baseline"/>
        </w:rPr>
        <w:t>technologie,</w:t>
      </w:r>
      <w:r>
        <w:rPr>
          <w:color w:val="231F20"/>
          <w:spacing w:val="-8"/>
          <w:vertAlign w:val="baseline"/>
        </w:rPr>
        <w:t> </w:t>
      </w:r>
      <w:r>
        <w:rPr>
          <w:color w:val="231F20"/>
          <w:spacing w:val="-2"/>
          <w:vertAlign w:val="baseline"/>
        </w:rPr>
        <w:t>que</w:t>
      </w:r>
      <w:r>
        <w:rPr>
          <w:color w:val="231F20"/>
          <w:spacing w:val="-8"/>
          <w:vertAlign w:val="baseline"/>
        </w:rPr>
        <w:t> </w:t>
      </w:r>
      <w:r>
        <w:rPr>
          <w:color w:val="231F20"/>
          <w:spacing w:val="-2"/>
          <w:vertAlign w:val="baseline"/>
        </w:rPr>
        <w:t>le</w:t>
      </w:r>
      <w:r>
        <w:rPr>
          <w:color w:val="231F20"/>
          <w:spacing w:val="-8"/>
          <w:vertAlign w:val="baseline"/>
        </w:rPr>
        <w:t> </w:t>
      </w:r>
      <w:r>
        <w:rPr>
          <w:color w:val="231F20"/>
          <w:spacing w:val="-2"/>
          <w:vertAlign w:val="baseline"/>
        </w:rPr>
        <w:t>continent</w:t>
      </w:r>
      <w:r>
        <w:rPr>
          <w:color w:val="231F20"/>
          <w:spacing w:val="-7"/>
          <w:vertAlign w:val="baseline"/>
        </w:rPr>
        <w:t> </w:t>
      </w:r>
      <w:r>
        <w:rPr>
          <w:color w:val="231F20"/>
          <w:spacing w:val="-2"/>
          <w:vertAlign w:val="baseline"/>
        </w:rPr>
        <w:t>réorganisera</w:t>
      </w:r>
      <w:r>
        <w:rPr>
          <w:color w:val="231F20"/>
          <w:spacing w:val="-8"/>
          <w:vertAlign w:val="baseline"/>
        </w:rPr>
        <w:t> </w:t>
      </w:r>
      <w:r>
        <w:rPr>
          <w:color w:val="231F20"/>
          <w:spacing w:val="-2"/>
          <w:vertAlign w:val="baseline"/>
        </w:rPr>
        <w:t>de </w:t>
      </w:r>
      <w:r>
        <w:rPr>
          <w:color w:val="231F20"/>
          <w:vertAlign w:val="baseline"/>
        </w:rPr>
        <w:t>façon</w:t>
      </w:r>
      <w:r>
        <w:rPr>
          <w:color w:val="231F20"/>
          <w:spacing w:val="-12"/>
          <w:vertAlign w:val="baseline"/>
        </w:rPr>
        <w:t> </w:t>
      </w:r>
      <w:r>
        <w:rPr>
          <w:color w:val="231F20"/>
          <w:vertAlign w:val="baseline"/>
        </w:rPr>
        <w:t>efficiente</w:t>
      </w:r>
      <w:r>
        <w:rPr>
          <w:color w:val="231F20"/>
          <w:spacing w:val="-10"/>
          <w:vertAlign w:val="baseline"/>
        </w:rPr>
        <w:t> </w:t>
      </w:r>
      <w:r>
        <w:rPr>
          <w:color w:val="231F20"/>
          <w:vertAlign w:val="baseline"/>
        </w:rPr>
        <w:t>sa</w:t>
      </w:r>
      <w:r>
        <w:rPr>
          <w:color w:val="231F20"/>
          <w:spacing w:val="-9"/>
          <w:vertAlign w:val="baseline"/>
        </w:rPr>
        <w:t> </w:t>
      </w:r>
      <w:r>
        <w:rPr>
          <w:color w:val="231F20"/>
          <w:vertAlign w:val="baseline"/>
        </w:rPr>
        <w:t>société</w:t>
      </w:r>
      <w:r>
        <w:rPr>
          <w:color w:val="231F20"/>
          <w:spacing w:val="-10"/>
          <w:vertAlign w:val="baseline"/>
        </w:rPr>
        <w:t> </w:t>
      </w:r>
      <w:r>
        <w:rPr>
          <w:color w:val="231F20"/>
          <w:vertAlign w:val="baseline"/>
        </w:rPr>
        <w:t>afin</w:t>
      </w:r>
      <w:r>
        <w:rPr>
          <w:color w:val="231F20"/>
          <w:spacing w:val="-10"/>
          <w:vertAlign w:val="baseline"/>
        </w:rPr>
        <w:t> </w:t>
      </w:r>
      <w:r>
        <w:rPr>
          <w:color w:val="231F20"/>
          <w:vertAlign w:val="baseline"/>
        </w:rPr>
        <w:t>de</w:t>
      </w:r>
      <w:r>
        <w:rPr>
          <w:color w:val="231F20"/>
          <w:spacing w:val="-9"/>
          <w:vertAlign w:val="baseline"/>
        </w:rPr>
        <w:t> </w:t>
      </w:r>
      <w:r>
        <w:rPr>
          <w:color w:val="231F20"/>
          <w:vertAlign w:val="baseline"/>
        </w:rPr>
        <w:t>faire</w:t>
      </w:r>
      <w:r>
        <w:rPr>
          <w:color w:val="231F20"/>
          <w:spacing w:val="-9"/>
          <w:vertAlign w:val="baseline"/>
        </w:rPr>
        <w:t> </w:t>
      </w:r>
      <w:r>
        <w:rPr>
          <w:color w:val="231F20"/>
          <w:vertAlign w:val="baseline"/>
        </w:rPr>
        <w:t>face</w:t>
      </w:r>
      <w:r>
        <w:rPr>
          <w:color w:val="231F20"/>
          <w:spacing w:val="-9"/>
          <w:vertAlign w:val="baseline"/>
        </w:rPr>
        <w:t> </w:t>
      </w:r>
      <w:r>
        <w:rPr>
          <w:color w:val="231F20"/>
          <w:vertAlign w:val="baseline"/>
        </w:rPr>
        <w:t>aux</w:t>
      </w:r>
      <w:r>
        <w:rPr>
          <w:color w:val="231F20"/>
          <w:spacing w:val="-10"/>
          <w:vertAlign w:val="baseline"/>
        </w:rPr>
        <w:t> </w:t>
      </w:r>
      <w:r>
        <w:rPr>
          <w:color w:val="231F20"/>
          <w:vertAlign w:val="baseline"/>
        </w:rPr>
        <w:t>défis</w:t>
      </w:r>
      <w:r>
        <w:rPr>
          <w:color w:val="231F20"/>
          <w:spacing w:val="-11"/>
          <w:vertAlign w:val="baseline"/>
        </w:rPr>
        <w:t> </w:t>
      </w:r>
      <w:r>
        <w:rPr>
          <w:color w:val="231F20"/>
          <w:vertAlign w:val="baseline"/>
        </w:rPr>
        <w:t>du</w:t>
      </w:r>
      <w:r>
        <w:rPr>
          <w:color w:val="231F20"/>
          <w:spacing w:val="-10"/>
          <w:vertAlign w:val="baseline"/>
        </w:rPr>
        <w:t> </w:t>
      </w:r>
      <w:r>
        <w:rPr>
          <w:color w:val="231F20"/>
          <w:spacing w:val="-2"/>
          <w:vertAlign w:val="baseline"/>
        </w:rPr>
        <w:t>développement</w:t>
      </w:r>
    </w:p>
    <w:p>
      <w:pPr>
        <w:pStyle w:val="BodyText"/>
        <w:spacing w:before="61"/>
        <w:ind w:left="0"/>
        <w:jc w:val="left"/>
        <w:rPr>
          <w:sz w:val="20"/>
        </w:rPr>
      </w:pPr>
      <w:r>
        <w:rPr/>
        <mc:AlternateContent>
          <mc:Choice Requires="wps">
            <w:drawing>
              <wp:anchor distT="0" distB="0" distL="0" distR="0" allowOverlap="1" layoutInCell="1" locked="0" behindDoc="1" simplePos="0" relativeHeight="487673344">
                <wp:simplePos x="0" y="0"/>
                <wp:positionH relativeFrom="page">
                  <wp:posOffset>629907</wp:posOffset>
                </wp:positionH>
                <wp:positionV relativeFrom="paragraph">
                  <wp:posOffset>200579</wp:posOffset>
                </wp:positionV>
                <wp:extent cx="1829435" cy="9525"/>
                <wp:effectExtent l="0" t="0" r="0" b="0"/>
                <wp:wrapTopAndBottom/>
                <wp:docPr id="201" name="Graphic 201"/>
                <wp:cNvGraphicFramePr>
                  <a:graphicFrameLocks/>
                </wp:cNvGraphicFramePr>
                <a:graphic>
                  <a:graphicData uri="http://schemas.microsoft.com/office/word/2010/wordprocessingShape">
                    <wps:wsp>
                      <wps:cNvPr id="201" name="Graphic 20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15.793672pt;width:144.020pt;height:.72pt;mso-position-horizontal-relative:page;mso-position-vertical-relative:paragraph;z-index:-15643136;mso-wrap-distance-left:0;mso-wrap-distance-right:0" id="docshape199" filled="true" fillcolor="#231f20" stroked="false">
                <v:fill type="solid"/>
                <w10:wrap type="topAndBottom"/>
              </v:rect>
            </w:pict>
          </mc:Fallback>
        </mc:AlternateContent>
      </w:r>
    </w:p>
    <w:p>
      <w:pPr>
        <w:spacing w:before="91"/>
        <w:ind w:left="111" w:right="107" w:firstLine="0"/>
        <w:jc w:val="both"/>
        <w:rPr>
          <w:sz w:val="20"/>
        </w:rPr>
      </w:pPr>
      <w:r>
        <w:rPr>
          <w:color w:val="76787A"/>
          <w:sz w:val="20"/>
          <w:vertAlign w:val="superscript"/>
        </w:rPr>
        <w:t>279</w:t>
      </w:r>
      <w:r>
        <w:rPr>
          <w:color w:val="76787A"/>
          <w:sz w:val="20"/>
          <w:vertAlign w:val="baseline"/>
        </w:rPr>
        <w:t> </w:t>
      </w:r>
      <w:r>
        <w:rPr>
          <w:color w:val="231F20"/>
          <w:sz w:val="20"/>
          <w:vertAlign w:val="baseline"/>
        </w:rPr>
        <w:t>La</w:t>
      </w:r>
      <w:r>
        <w:rPr>
          <w:color w:val="231F20"/>
          <w:spacing w:val="-13"/>
          <w:sz w:val="20"/>
          <w:vertAlign w:val="baseline"/>
        </w:rPr>
        <w:t> </w:t>
      </w:r>
      <w:r>
        <w:rPr>
          <w:color w:val="231F20"/>
          <w:sz w:val="20"/>
          <w:vertAlign w:val="baseline"/>
        </w:rPr>
        <w:t>culture est</w:t>
      </w:r>
      <w:r>
        <w:rPr>
          <w:color w:val="231F20"/>
          <w:spacing w:val="-13"/>
          <w:sz w:val="20"/>
          <w:vertAlign w:val="baseline"/>
        </w:rPr>
        <w:t> </w:t>
      </w:r>
      <w:r>
        <w:rPr>
          <w:color w:val="231F20"/>
          <w:sz w:val="20"/>
          <w:vertAlign w:val="baseline"/>
        </w:rPr>
        <w:t>l'ensemble des connaissances, des savoir-faire, des traditions, des </w:t>
      </w:r>
      <w:r>
        <w:rPr>
          <w:color w:val="231F20"/>
          <w:spacing w:val="-2"/>
          <w:sz w:val="20"/>
          <w:vertAlign w:val="baseline"/>
        </w:rPr>
        <w:t>coutumes,</w:t>
      </w:r>
      <w:r>
        <w:rPr>
          <w:color w:val="231F20"/>
          <w:spacing w:val="-8"/>
          <w:sz w:val="20"/>
          <w:vertAlign w:val="baseline"/>
        </w:rPr>
        <w:t> </w:t>
      </w:r>
      <w:r>
        <w:rPr>
          <w:color w:val="231F20"/>
          <w:spacing w:val="-2"/>
          <w:sz w:val="20"/>
          <w:vertAlign w:val="baseline"/>
        </w:rPr>
        <w:t>propres</w:t>
      </w:r>
      <w:r>
        <w:rPr>
          <w:color w:val="231F20"/>
          <w:spacing w:val="-6"/>
          <w:sz w:val="20"/>
          <w:vertAlign w:val="baseline"/>
        </w:rPr>
        <w:t> </w:t>
      </w:r>
      <w:r>
        <w:rPr>
          <w:color w:val="231F20"/>
          <w:spacing w:val="-2"/>
          <w:sz w:val="20"/>
          <w:vertAlign w:val="baseline"/>
        </w:rPr>
        <w:t>à</w:t>
      </w:r>
      <w:r>
        <w:rPr>
          <w:color w:val="231F20"/>
          <w:spacing w:val="-8"/>
          <w:sz w:val="20"/>
          <w:vertAlign w:val="baseline"/>
        </w:rPr>
        <w:t> </w:t>
      </w:r>
      <w:r>
        <w:rPr>
          <w:color w:val="231F20"/>
          <w:spacing w:val="-2"/>
          <w:sz w:val="20"/>
          <w:vertAlign w:val="baseline"/>
        </w:rPr>
        <w:t>un</w:t>
      </w:r>
      <w:r>
        <w:rPr>
          <w:color w:val="231F20"/>
          <w:spacing w:val="-7"/>
          <w:sz w:val="20"/>
          <w:vertAlign w:val="baseline"/>
        </w:rPr>
        <w:t> </w:t>
      </w:r>
      <w:r>
        <w:rPr>
          <w:color w:val="231F20"/>
          <w:spacing w:val="-2"/>
          <w:sz w:val="20"/>
          <w:vertAlign w:val="baseline"/>
        </w:rPr>
        <w:t>groupe</w:t>
      </w:r>
      <w:r>
        <w:rPr>
          <w:color w:val="231F20"/>
          <w:spacing w:val="-9"/>
          <w:sz w:val="20"/>
          <w:vertAlign w:val="baseline"/>
        </w:rPr>
        <w:t> </w:t>
      </w:r>
      <w:r>
        <w:rPr>
          <w:color w:val="231F20"/>
          <w:spacing w:val="-2"/>
          <w:sz w:val="20"/>
          <w:vertAlign w:val="baseline"/>
        </w:rPr>
        <w:t>humain,</w:t>
      </w:r>
      <w:r>
        <w:rPr>
          <w:color w:val="231F20"/>
          <w:spacing w:val="-9"/>
          <w:sz w:val="20"/>
          <w:vertAlign w:val="baseline"/>
        </w:rPr>
        <w:t> </w:t>
      </w:r>
      <w:r>
        <w:rPr>
          <w:color w:val="231F20"/>
          <w:spacing w:val="-2"/>
          <w:sz w:val="20"/>
          <w:vertAlign w:val="baseline"/>
        </w:rPr>
        <w:t>à</w:t>
      </w:r>
      <w:r>
        <w:rPr>
          <w:color w:val="231F20"/>
          <w:spacing w:val="-9"/>
          <w:sz w:val="20"/>
          <w:vertAlign w:val="baseline"/>
        </w:rPr>
        <w:t> </w:t>
      </w:r>
      <w:r>
        <w:rPr>
          <w:color w:val="231F20"/>
          <w:spacing w:val="-2"/>
          <w:sz w:val="20"/>
          <w:vertAlign w:val="baseline"/>
        </w:rPr>
        <w:t>une</w:t>
      </w:r>
      <w:r>
        <w:rPr>
          <w:color w:val="231F20"/>
          <w:spacing w:val="-9"/>
          <w:sz w:val="20"/>
          <w:vertAlign w:val="baseline"/>
        </w:rPr>
        <w:t> </w:t>
      </w:r>
      <w:r>
        <w:rPr>
          <w:color w:val="231F20"/>
          <w:spacing w:val="-2"/>
          <w:sz w:val="20"/>
          <w:vertAlign w:val="baseline"/>
        </w:rPr>
        <w:t>civilisation.</w:t>
      </w:r>
      <w:r>
        <w:rPr>
          <w:color w:val="231F20"/>
          <w:spacing w:val="-8"/>
          <w:sz w:val="20"/>
          <w:vertAlign w:val="baseline"/>
        </w:rPr>
        <w:t> </w:t>
      </w:r>
      <w:r>
        <w:rPr>
          <w:color w:val="231F20"/>
          <w:spacing w:val="-2"/>
          <w:sz w:val="20"/>
          <w:vertAlign w:val="baseline"/>
        </w:rPr>
        <w:t>Elle</w:t>
      </w:r>
      <w:r>
        <w:rPr>
          <w:color w:val="231F20"/>
          <w:spacing w:val="-9"/>
          <w:sz w:val="20"/>
          <w:vertAlign w:val="baseline"/>
        </w:rPr>
        <w:t> </w:t>
      </w:r>
      <w:r>
        <w:rPr>
          <w:color w:val="231F20"/>
          <w:spacing w:val="-2"/>
          <w:sz w:val="20"/>
          <w:vertAlign w:val="baseline"/>
        </w:rPr>
        <w:t>se</w:t>
      </w:r>
      <w:r>
        <w:rPr>
          <w:color w:val="231F20"/>
          <w:spacing w:val="-6"/>
          <w:sz w:val="20"/>
          <w:vertAlign w:val="baseline"/>
        </w:rPr>
        <w:t> </w:t>
      </w:r>
      <w:r>
        <w:rPr>
          <w:color w:val="231F20"/>
          <w:spacing w:val="-2"/>
          <w:sz w:val="20"/>
          <w:vertAlign w:val="baseline"/>
        </w:rPr>
        <w:t>transmet</w:t>
      </w:r>
      <w:r>
        <w:rPr>
          <w:color w:val="231F20"/>
          <w:spacing w:val="-9"/>
          <w:sz w:val="20"/>
          <w:vertAlign w:val="baseline"/>
        </w:rPr>
        <w:t> </w:t>
      </w:r>
      <w:r>
        <w:rPr>
          <w:color w:val="231F20"/>
          <w:spacing w:val="-2"/>
          <w:sz w:val="20"/>
          <w:vertAlign w:val="baseline"/>
        </w:rPr>
        <w:t>socialement, </w:t>
      </w:r>
      <w:r>
        <w:rPr>
          <w:color w:val="231F20"/>
          <w:sz w:val="20"/>
          <w:vertAlign w:val="baseline"/>
        </w:rPr>
        <w:t>de génération en génération et non par l'héritage génétique, et conditionne en grande partie les comportements individuels.</w:t>
      </w:r>
    </w:p>
    <w:p>
      <w:pPr>
        <w:spacing w:after="0"/>
        <w:jc w:val="both"/>
        <w:rPr>
          <w:sz w:val="20"/>
        </w:rPr>
        <w:sectPr>
          <w:pgSz w:w="8790" w:h="13610"/>
          <w:pgMar w:header="0" w:footer="802" w:top="1060" w:bottom="1000" w:left="880" w:right="880"/>
        </w:sectPr>
      </w:pPr>
    </w:p>
    <w:p>
      <w:pPr>
        <w:pStyle w:val="BodyText"/>
        <w:spacing w:before="66"/>
        <w:ind w:right="104"/>
      </w:pPr>
      <w:r>
        <w:rPr>
          <w:color w:val="231F20"/>
        </w:rPr>
        <w:t>et de la mondialisation. Il n’y a d’exemple plus parlant que celui des </w:t>
      </w:r>
      <w:r>
        <w:rPr>
          <w:color w:val="231F20"/>
          <w:spacing w:val="-2"/>
        </w:rPr>
        <w:t>Asiatiques.</w:t>
      </w:r>
      <w:r>
        <w:rPr>
          <w:color w:val="231F20"/>
          <w:spacing w:val="-13"/>
        </w:rPr>
        <w:t> </w:t>
      </w:r>
      <w:r>
        <w:rPr>
          <w:color w:val="231F20"/>
          <w:spacing w:val="-2"/>
        </w:rPr>
        <w:t>Il</w:t>
      </w:r>
      <w:r>
        <w:rPr>
          <w:color w:val="231F20"/>
          <w:spacing w:val="-13"/>
        </w:rPr>
        <w:t> </w:t>
      </w:r>
      <w:r>
        <w:rPr>
          <w:color w:val="231F20"/>
          <w:spacing w:val="-2"/>
        </w:rPr>
        <w:t>faut</w:t>
      </w:r>
      <w:r>
        <w:rPr>
          <w:color w:val="231F20"/>
          <w:spacing w:val="-13"/>
        </w:rPr>
        <w:t> </w:t>
      </w:r>
      <w:r>
        <w:rPr>
          <w:color w:val="231F20"/>
          <w:spacing w:val="-2"/>
        </w:rPr>
        <w:t>donc</w:t>
      </w:r>
      <w:r>
        <w:rPr>
          <w:color w:val="231F20"/>
          <w:spacing w:val="-13"/>
        </w:rPr>
        <w:t> </w:t>
      </w:r>
      <w:r>
        <w:rPr>
          <w:color w:val="231F20"/>
          <w:spacing w:val="-2"/>
        </w:rPr>
        <w:t>promouvoir</w:t>
      </w:r>
      <w:r>
        <w:rPr>
          <w:color w:val="231F20"/>
          <w:spacing w:val="-13"/>
        </w:rPr>
        <w:t> </w:t>
      </w:r>
      <w:r>
        <w:rPr>
          <w:color w:val="231F20"/>
          <w:spacing w:val="-2"/>
        </w:rPr>
        <w:t>de</w:t>
      </w:r>
      <w:r>
        <w:rPr>
          <w:color w:val="231F20"/>
          <w:spacing w:val="-13"/>
        </w:rPr>
        <w:t> </w:t>
      </w:r>
      <w:r>
        <w:rPr>
          <w:color w:val="231F20"/>
          <w:spacing w:val="-2"/>
        </w:rPr>
        <w:t>nouvelles</w:t>
      </w:r>
      <w:r>
        <w:rPr>
          <w:color w:val="231F20"/>
          <w:spacing w:val="-13"/>
        </w:rPr>
        <w:t> </w:t>
      </w:r>
      <w:r>
        <w:rPr>
          <w:color w:val="231F20"/>
          <w:spacing w:val="-2"/>
        </w:rPr>
        <w:t>valeurs</w:t>
      </w:r>
      <w:r>
        <w:rPr>
          <w:color w:val="231F20"/>
          <w:spacing w:val="-13"/>
        </w:rPr>
        <w:t> </w:t>
      </w:r>
      <w:r>
        <w:rPr>
          <w:color w:val="231F20"/>
          <w:spacing w:val="-2"/>
        </w:rPr>
        <w:t>afin</w:t>
      </w:r>
      <w:r>
        <w:rPr>
          <w:color w:val="231F20"/>
          <w:spacing w:val="-13"/>
        </w:rPr>
        <w:t> </w:t>
      </w:r>
      <w:r>
        <w:rPr>
          <w:color w:val="231F20"/>
          <w:spacing w:val="-2"/>
        </w:rPr>
        <w:t>d’enraciner </w:t>
      </w:r>
      <w:r>
        <w:rPr>
          <w:color w:val="231F20"/>
        </w:rPr>
        <w:t>les jeunes dans leurs milieux sociétaux.</w:t>
      </w:r>
    </w:p>
    <w:p>
      <w:pPr>
        <w:pStyle w:val="BodyText"/>
        <w:spacing w:before="120"/>
        <w:ind w:right="104" w:firstLine="283"/>
      </w:pPr>
      <w:r>
        <w:rPr>
          <w:color w:val="231F20"/>
          <w:spacing w:val="-4"/>
        </w:rPr>
        <w:t>Des jeunes</w:t>
      </w:r>
      <w:r>
        <w:rPr>
          <w:color w:val="231F20"/>
          <w:spacing w:val="-8"/>
        </w:rPr>
        <w:t> </w:t>
      </w:r>
      <w:r>
        <w:rPr>
          <w:color w:val="231F20"/>
          <w:spacing w:val="-4"/>
        </w:rPr>
        <w:t>intellectuels ayant la</w:t>
      </w:r>
      <w:r>
        <w:rPr>
          <w:color w:val="231F20"/>
          <w:spacing w:val="-9"/>
        </w:rPr>
        <w:t> </w:t>
      </w:r>
      <w:r>
        <w:rPr>
          <w:color w:val="231F20"/>
          <w:spacing w:val="-4"/>
        </w:rPr>
        <w:t>tête</w:t>
      </w:r>
      <w:r>
        <w:rPr>
          <w:color w:val="231F20"/>
          <w:spacing w:val="-6"/>
        </w:rPr>
        <w:t> </w:t>
      </w:r>
      <w:r>
        <w:rPr>
          <w:color w:val="231F20"/>
          <w:spacing w:val="-4"/>
        </w:rPr>
        <w:t>pleine</w:t>
      </w:r>
      <w:r>
        <w:rPr>
          <w:color w:val="231F20"/>
          <w:spacing w:val="-9"/>
        </w:rPr>
        <w:t> </w:t>
      </w:r>
      <w:r>
        <w:rPr>
          <w:color w:val="231F20"/>
          <w:spacing w:val="-4"/>
        </w:rPr>
        <w:t>de</w:t>
      </w:r>
      <w:r>
        <w:rPr>
          <w:color w:val="231F20"/>
          <w:spacing w:val="-6"/>
        </w:rPr>
        <w:t> </w:t>
      </w:r>
      <w:r>
        <w:rPr>
          <w:color w:val="231F20"/>
          <w:spacing w:val="-4"/>
        </w:rPr>
        <w:t>l’instruction</w:t>
      </w:r>
      <w:r>
        <w:rPr>
          <w:color w:val="231F20"/>
          <w:spacing w:val="-6"/>
        </w:rPr>
        <w:t> </w:t>
      </w:r>
      <w:r>
        <w:rPr>
          <w:color w:val="231F20"/>
          <w:spacing w:val="-4"/>
        </w:rPr>
        <w:t>occidentale </w:t>
      </w:r>
      <w:r>
        <w:rPr>
          <w:color w:val="231F20"/>
          <w:spacing w:val="-2"/>
        </w:rPr>
        <w:t>et</w:t>
      </w:r>
      <w:r>
        <w:rPr>
          <w:color w:val="231F20"/>
          <w:spacing w:val="-12"/>
        </w:rPr>
        <w:t> </w:t>
      </w:r>
      <w:r>
        <w:rPr>
          <w:color w:val="231F20"/>
          <w:spacing w:val="-2"/>
        </w:rPr>
        <w:t>les</w:t>
      </w:r>
      <w:r>
        <w:rPr>
          <w:color w:val="231F20"/>
          <w:spacing w:val="-10"/>
        </w:rPr>
        <w:t> </w:t>
      </w:r>
      <w:r>
        <w:rPr>
          <w:color w:val="231F20"/>
          <w:spacing w:val="-2"/>
        </w:rPr>
        <w:t>deux</w:t>
      </w:r>
      <w:r>
        <w:rPr>
          <w:color w:val="231F20"/>
          <w:spacing w:val="-13"/>
        </w:rPr>
        <w:t> </w:t>
      </w:r>
      <w:r>
        <w:rPr>
          <w:color w:val="231F20"/>
          <w:spacing w:val="-2"/>
        </w:rPr>
        <w:t>pieds</w:t>
      </w:r>
      <w:r>
        <w:rPr>
          <w:color w:val="231F20"/>
          <w:spacing w:val="-11"/>
        </w:rPr>
        <w:t> </w:t>
      </w:r>
      <w:r>
        <w:rPr>
          <w:color w:val="231F20"/>
          <w:spacing w:val="-2"/>
        </w:rPr>
        <w:t>dans</w:t>
      </w:r>
      <w:r>
        <w:rPr>
          <w:color w:val="231F20"/>
          <w:spacing w:val="-13"/>
        </w:rPr>
        <w:t> </w:t>
      </w:r>
      <w:r>
        <w:rPr>
          <w:color w:val="231F20"/>
          <w:spacing w:val="-2"/>
        </w:rPr>
        <w:t>la</w:t>
      </w:r>
      <w:r>
        <w:rPr>
          <w:color w:val="231F20"/>
          <w:spacing w:val="-10"/>
        </w:rPr>
        <w:t> </w:t>
      </w:r>
      <w:r>
        <w:rPr>
          <w:color w:val="231F20"/>
          <w:spacing w:val="-2"/>
        </w:rPr>
        <w:t>culture</w:t>
      </w:r>
      <w:r>
        <w:rPr>
          <w:color w:val="231F20"/>
          <w:spacing w:val="-13"/>
        </w:rPr>
        <w:t> </w:t>
      </w:r>
      <w:r>
        <w:rPr>
          <w:color w:val="231F20"/>
          <w:spacing w:val="-2"/>
        </w:rPr>
        <w:t>africaine</w:t>
      </w:r>
      <w:r>
        <w:rPr>
          <w:color w:val="231F20"/>
          <w:spacing w:val="-13"/>
        </w:rPr>
        <w:t> </w:t>
      </w:r>
      <w:r>
        <w:rPr>
          <w:color w:val="231F20"/>
          <w:spacing w:val="-2"/>
        </w:rPr>
        <w:t>sont</w:t>
      </w:r>
      <w:r>
        <w:rPr>
          <w:color w:val="231F20"/>
          <w:spacing w:val="-12"/>
        </w:rPr>
        <w:t> </w:t>
      </w:r>
      <w:r>
        <w:rPr>
          <w:color w:val="231F20"/>
          <w:spacing w:val="-2"/>
        </w:rPr>
        <w:t>ceux-là</w:t>
      </w:r>
      <w:r>
        <w:rPr>
          <w:color w:val="231F20"/>
          <w:spacing w:val="-10"/>
        </w:rPr>
        <w:t> </w:t>
      </w:r>
      <w:r>
        <w:rPr>
          <w:color w:val="231F20"/>
          <w:spacing w:val="-2"/>
        </w:rPr>
        <w:t>qui</w:t>
      </w:r>
      <w:r>
        <w:rPr>
          <w:color w:val="231F20"/>
          <w:spacing w:val="-12"/>
        </w:rPr>
        <w:t> </w:t>
      </w:r>
      <w:r>
        <w:rPr>
          <w:color w:val="231F20"/>
          <w:spacing w:val="-2"/>
        </w:rPr>
        <w:t>proposeront</w:t>
      </w:r>
      <w:r>
        <w:rPr>
          <w:color w:val="231F20"/>
          <w:spacing w:val="-10"/>
        </w:rPr>
        <w:t> </w:t>
      </w:r>
      <w:r>
        <w:rPr>
          <w:color w:val="231F20"/>
          <w:spacing w:val="-2"/>
        </w:rPr>
        <w:t>de </w:t>
      </w:r>
      <w:r>
        <w:rPr>
          <w:color w:val="231F20"/>
          <w:spacing w:val="-4"/>
        </w:rPr>
        <w:t>nouvelles</w:t>
      </w:r>
      <w:r>
        <w:rPr>
          <w:color w:val="231F20"/>
          <w:spacing w:val="-9"/>
        </w:rPr>
        <w:t> </w:t>
      </w:r>
      <w:r>
        <w:rPr>
          <w:color w:val="231F20"/>
          <w:spacing w:val="-4"/>
        </w:rPr>
        <w:t>transformations</w:t>
      </w:r>
      <w:r>
        <w:rPr>
          <w:color w:val="231F20"/>
          <w:spacing w:val="-11"/>
        </w:rPr>
        <w:t> </w:t>
      </w:r>
      <w:r>
        <w:rPr>
          <w:color w:val="231F20"/>
          <w:spacing w:val="-4"/>
        </w:rPr>
        <w:t>qualitatives</w:t>
      </w:r>
      <w:r>
        <w:rPr>
          <w:color w:val="231F20"/>
          <w:spacing w:val="-10"/>
        </w:rPr>
        <w:t> </w:t>
      </w:r>
      <w:r>
        <w:rPr>
          <w:color w:val="231F20"/>
          <w:spacing w:val="-4"/>
        </w:rPr>
        <w:t>dans</w:t>
      </w:r>
      <w:r>
        <w:rPr>
          <w:color w:val="231F20"/>
          <w:spacing w:val="-9"/>
        </w:rPr>
        <w:t> </w:t>
      </w:r>
      <w:r>
        <w:rPr>
          <w:color w:val="231F20"/>
          <w:spacing w:val="-4"/>
        </w:rPr>
        <w:t>les</w:t>
      </w:r>
      <w:r>
        <w:rPr>
          <w:color w:val="231F20"/>
          <w:spacing w:val="-9"/>
        </w:rPr>
        <w:t> </w:t>
      </w:r>
      <w:r>
        <w:rPr>
          <w:color w:val="231F20"/>
          <w:spacing w:val="-4"/>
        </w:rPr>
        <w:t>mentalités</w:t>
      </w:r>
      <w:r>
        <w:rPr>
          <w:color w:val="231F20"/>
          <w:spacing w:val="-9"/>
        </w:rPr>
        <w:t> </w:t>
      </w:r>
      <w:r>
        <w:rPr>
          <w:color w:val="231F20"/>
          <w:spacing w:val="-4"/>
        </w:rPr>
        <w:t>pour</w:t>
      </w:r>
      <w:r>
        <w:rPr>
          <w:color w:val="231F20"/>
          <w:spacing w:val="-7"/>
        </w:rPr>
        <w:t> </w:t>
      </w:r>
      <w:r>
        <w:rPr>
          <w:color w:val="231F20"/>
          <w:spacing w:val="-4"/>
        </w:rPr>
        <w:t>un</w:t>
      </w:r>
      <w:r>
        <w:rPr>
          <w:color w:val="231F20"/>
          <w:spacing w:val="-7"/>
        </w:rPr>
        <w:t> </w:t>
      </w:r>
      <w:r>
        <w:rPr>
          <w:color w:val="231F20"/>
          <w:spacing w:val="-4"/>
        </w:rPr>
        <w:t>progrès </w:t>
      </w:r>
      <w:r>
        <w:rPr>
          <w:color w:val="231F20"/>
        </w:rPr>
        <w:t>économique et social.</w:t>
      </w:r>
    </w:p>
    <w:p>
      <w:pPr>
        <w:pStyle w:val="BodyText"/>
        <w:spacing w:before="120"/>
        <w:ind w:right="106" w:firstLine="283"/>
      </w:pPr>
      <w:r>
        <w:rPr>
          <w:color w:val="231F20"/>
        </w:rPr>
        <w:t>Ces jeunes pourront faire le tri quant au contenu des traditions dont </w:t>
      </w:r>
      <w:r>
        <w:rPr>
          <w:color w:val="231F20"/>
          <w:spacing w:val="-4"/>
        </w:rPr>
        <w:t>certains</w:t>
      </w:r>
      <w:r>
        <w:rPr>
          <w:color w:val="231F20"/>
          <w:spacing w:val="-5"/>
        </w:rPr>
        <w:t> </w:t>
      </w:r>
      <w:r>
        <w:rPr>
          <w:color w:val="231F20"/>
          <w:spacing w:val="-4"/>
        </w:rPr>
        <w:t>aspects</w:t>
      </w:r>
      <w:r>
        <w:rPr>
          <w:color w:val="231F20"/>
          <w:spacing w:val="-6"/>
        </w:rPr>
        <w:t> </w:t>
      </w:r>
      <w:r>
        <w:rPr>
          <w:color w:val="231F20"/>
          <w:spacing w:val="-4"/>
        </w:rPr>
        <w:t>sont</w:t>
      </w:r>
      <w:r>
        <w:rPr>
          <w:color w:val="231F20"/>
          <w:spacing w:val="-5"/>
        </w:rPr>
        <w:t> </w:t>
      </w:r>
      <w:r>
        <w:rPr>
          <w:color w:val="231F20"/>
          <w:spacing w:val="-4"/>
        </w:rPr>
        <w:t>des freins</w:t>
      </w:r>
      <w:r>
        <w:rPr>
          <w:color w:val="231F20"/>
          <w:spacing w:val="-5"/>
        </w:rPr>
        <w:t> </w:t>
      </w:r>
      <w:r>
        <w:rPr>
          <w:color w:val="231F20"/>
          <w:spacing w:val="-4"/>
        </w:rPr>
        <w:t>à</w:t>
      </w:r>
      <w:r>
        <w:rPr>
          <w:color w:val="231F20"/>
          <w:spacing w:val="-6"/>
        </w:rPr>
        <w:t> </w:t>
      </w:r>
      <w:r>
        <w:rPr>
          <w:color w:val="231F20"/>
          <w:spacing w:val="-4"/>
        </w:rPr>
        <w:t>l’épanouissement socioéconomiques</w:t>
      </w:r>
      <w:r>
        <w:rPr>
          <w:color w:val="231F20"/>
          <w:spacing w:val="-5"/>
        </w:rPr>
        <w:t> </w:t>
      </w:r>
      <w:r>
        <w:rPr>
          <w:color w:val="231F20"/>
          <w:spacing w:val="-4"/>
        </w:rPr>
        <w:t>des </w:t>
      </w:r>
      <w:r>
        <w:rPr>
          <w:color w:val="231F20"/>
        </w:rPr>
        <w:t>populations.</w:t>
      </w:r>
      <w:r>
        <w:rPr>
          <w:color w:val="231F20"/>
          <w:spacing w:val="-10"/>
        </w:rPr>
        <w:t> </w:t>
      </w:r>
      <w:r>
        <w:rPr>
          <w:color w:val="231F20"/>
        </w:rPr>
        <w:t>Nous</w:t>
      </w:r>
      <w:r>
        <w:rPr>
          <w:color w:val="231F20"/>
          <w:spacing w:val="-10"/>
        </w:rPr>
        <w:t> </w:t>
      </w:r>
      <w:r>
        <w:rPr>
          <w:color w:val="231F20"/>
        </w:rPr>
        <w:t>en</w:t>
      </w:r>
      <w:r>
        <w:rPr>
          <w:color w:val="231F20"/>
          <w:spacing w:val="-7"/>
        </w:rPr>
        <w:t> </w:t>
      </w:r>
      <w:r>
        <w:rPr>
          <w:color w:val="231F20"/>
        </w:rPr>
        <w:t>citerons</w:t>
      </w:r>
      <w:r>
        <w:rPr>
          <w:color w:val="231F20"/>
          <w:spacing w:val="-7"/>
        </w:rPr>
        <w:t> </w:t>
      </w:r>
      <w:r>
        <w:rPr>
          <w:color w:val="231F20"/>
        </w:rPr>
        <w:t>deux</w:t>
      </w:r>
      <w:r>
        <w:rPr>
          <w:color w:val="231F20"/>
          <w:spacing w:val="-7"/>
        </w:rPr>
        <w:t> </w:t>
      </w:r>
      <w:r>
        <w:rPr>
          <w:color w:val="231F20"/>
        </w:rPr>
        <w:t>:</w:t>
      </w:r>
      <w:r>
        <w:rPr>
          <w:color w:val="231F20"/>
          <w:spacing w:val="-9"/>
        </w:rPr>
        <w:t> </w:t>
      </w:r>
      <w:r>
        <w:rPr>
          <w:color w:val="231F20"/>
        </w:rPr>
        <w:t>le</w:t>
      </w:r>
      <w:r>
        <w:rPr>
          <w:color w:val="231F20"/>
          <w:spacing w:val="-7"/>
        </w:rPr>
        <w:t> </w:t>
      </w:r>
      <w:r>
        <w:rPr>
          <w:color w:val="231F20"/>
        </w:rPr>
        <w:t>clientélisme</w:t>
      </w:r>
      <w:r>
        <w:rPr>
          <w:color w:val="231F20"/>
          <w:spacing w:val="-10"/>
        </w:rPr>
        <w:t> </w:t>
      </w:r>
      <w:r>
        <w:rPr>
          <w:color w:val="231F20"/>
        </w:rPr>
        <w:t>et</w:t>
      </w:r>
      <w:r>
        <w:rPr>
          <w:color w:val="231F20"/>
          <w:spacing w:val="-7"/>
        </w:rPr>
        <w:t> </w:t>
      </w:r>
      <w:r>
        <w:rPr>
          <w:color w:val="231F20"/>
        </w:rPr>
        <w:t>la</w:t>
      </w:r>
      <w:r>
        <w:rPr>
          <w:color w:val="231F20"/>
          <w:spacing w:val="-7"/>
        </w:rPr>
        <w:t> </w:t>
      </w:r>
      <w:r>
        <w:rPr>
          <w:color w:val="231F20"/>
        </w:rPr>
        <w:t>sorcellerie.</w:t>
      </w:r>
    </w:p>
    <w:p>
      <w:pPr>
        <w:pStyle w:val="BodyText"/>
        <w:spacing w:before="121"/>
        <w:ind w:right="103" w:firstLine="283"/>
      </w:pPr>
      <w:r>
        <w:rPr>
          <w:color w:val="231F20"/>
        </w:rPr>
        <w:t>Au niveau de l’État, nul n’ignore le défilé des individus et des délégations dans les antichambres présidentielles ni les manifestations bruyantes de soutien au Chef de l’État. Ces défilés et manifestations </w:t>
      </w:r>
      <w:r>
        <w:rPr>
          <w:color w:val="231F20"/>
          <w:spacing w:val="-4"/>
        </w:rPr>
        <w:t>d’allégeance</w:t>
      </w:r>
      <w:r>
        <w:rPr>
          <w:color w:val="231F20"/>
          <w:spacing w:val="-5"/>
        </w:rPr>
        <w:t> </w:t>
      </w:r>
      <w:r>
        <w:rPr>
          <w:color w:val="231F20"/>
          <w:spacing w:val="-4"/>
        </w:rPr>
        <w:t>inconditionnelle</w:t>
      </w:r>
      <w:r>
        <w:rPr>
          <w:color w:val="231F20"/>
          <w:spacing w:val="-5"/>
        </w:rPr>
        <w:t> </w:t>
      </w:r>
      <w:r>
        <w:rPr>
          <w:color w:val="231F20"/>
          <w:spacing w:val="-4"/>
        </w:rPr>
        <w:t>contribuent à</w:t>
      </w:r>
      <w:r>
        <w:rPr>
          <w:color w:val="231F20"/>
          <w:spacing w:val="-6"/>
        </w:rPr>
        <w:t> </w:t>
      </w:r>
      <w:r>
        <w:rPr>
          <w:color w:val="231F20"/>
          <w:spacing w:val="-4"/>
        </w:rPr>
        <w:t>pérenniser</w:t>
      </w:r>
      <w:r>
        <w:rPr>
          <w:color w:val="231F20"/>
          <w:spacing w:val="-6"/>
        </w:rPr>
        <w:t> </w:t>
      </w:r>
      <w:r>
        <w:rPr>
          <w:color w:val="231F20"/>
          <w:spacing w:val="-4"/>
        </w:rPr>
        <w:t>la</w:t>
      </w:r>
      <w:r>
        <w:rPr>
          <w:color w:val="231F20"/>
          <w:spacing w:val="-6"/>
        </w:rPr>
        <w:t> </w:t>
      </w:r>
      <w:r>
        <w:rPr>
          <w:color w:val="231F20"/>
          <w:spacing w:val="-4"/>
        </w:rPr>
        <w:t>personnalisation </w:t>
      </w:r>
      <w:r>
        <w:rPr>
          <w:color w:val="231F20"/>
          <w:spacing w:val="-2"/>
        </w:rPr>
        <w:t>du</w:t>
      </w:r>
      <w:r>
        <w:rPr>
          <w:color w:val="231F20"/>
          <w:spacing w:val="-10"/>
        </w:rPr>
        <w:t> </w:t>
      </w:r>
      <w:r>
        <w:rPr>
          <w:color w:val="231F20"/>
          <w:spacing w:val="-2"/>
        </w:rPr>
        <w:t>pouvoir</w:t>
      </w:r>
      <w:r>
        <w:rPr>
          <w:color w:val="231F20"/>
          <w:spacing w:val="-10"/>
        </w:rPr>
        <w:t> </w:t>
      </w:r>
      <w:r>
        <w:rPr>
          <w:color w:val="231F20"/>
          <w:spacing w:val="-2"/>
        </w:rPr>
        <w:t>et</w:t>
      </w:r>
      <w:r>
        <w:rPr>
          <w:color w:val="231F20"/>
          <w:spacing w:val="-10"/>
        </w:rPr>
        <w:t> </w:t>
      </w:r>
      <w:r>
        <w:rPr>
          <w:color w:val="231F20"/>
          <w:spacing w:val="-2"/>
        </w:rPr>
        <w:t>conduit</w:t>
      </w:r>
      <w:r>
        <w:rPr>
          <w:color w:val="231F20"/>
          <w:spacing w:val="-10"/>
        </w:rPr>
        <w:t> </w:t>
      </w:r>
      <w:r>
        <w:rPr>
          <w:color w:val="231F20"/>
          <w:spacing w:val="-2"/>
        </w:rPr>
        <w:t>les</w:t>
      </w:r>
      <w:r>
        <w:rPr>
          <w:color w:val="231F20"/>
          <w:spacing w:val="-13"/>
        </w:rPr>
        <w:t> </w:t>
      </w:r>
      <w:r>
        <w:rPr>
          <w:color w:val="231F20"/>
          <w:spacing w:val="-2"/>
        </w:rPr>
        <w:t>dirigeants</w:t>
      </w:r>
      <w:r>
        <w:rPr>
          <w:color w:val="231F20"/>
          <w:spacing w:val="-10"/>
        </w:rPr>
        <w:t> </w:t>
      </w:r>
      <w:r>
        <w:rPr>
          <w:color w:val="231F20"/>
          <w:spacing w:val="-2"/>
        </w:rPr>
        <w:t>à</w:t>
      </w:r>
      <w:r>
        <w:rPr>
          <w:color w:val="231F20"/>
          <w:spacing w:val="-10"/>
        </w:rPr>
        <w:t> </w:t>
      </w:r>
      <w:r>
        <w:rPr>
          <w:color w:val="231F20"/>
          <w:spacing w:val="-2"/>
        </w:rPr>
        <w:t>choisir</w:t>
      </w:r>
      <w:r>
        <w:rPr>
          <w:color w:val="231F20"/>
          <w:spacing w:val="-10"/>
        </w:rPr>
        <w:t> </w:t>
      </w:r>
      <w:r>
        <w:rPr>
          <w:color w:val="231F20"/>
          <w:spacing w:val="-2"/>
        </w:rPr>
        <w:t>comme</w:t>
      </w:r>
      <w:r>
        <w:rPr>
          <w:color w:val="231F20"/>
          <w:spacing w:val="-11"/>
        </w:rPr>
        <w:t> </w:t>
      </w:r>
      <w:r>
        <w:rPr>
          <w:color w:val="231F20"/>
          <w:spacing w:val="-2"/>
        </w:rPr>
        <w:t>Ministres</w:t>
      </w:r>
      <w:r>
        <w:rPr>
          <w:color w:val="231F20"/>
          <w:spacing w:val="-11"/>
        </w:rPr>
        <w:t> </w:t>
      </w:r>
      <w:r>
        <w:rPr>
          <w:color w:val="231F20"/>
          <w:spacing w:val="-2"/>
        </w:rPr>
        <w:t>ou</w:t>
      </w:r>
      <w:r>
        <w:rPr>
          <w:color w:val="231F20"/>
          <w:spacing w:val="-10"/>
        </w:rPr>
        <w:t> </w:t>
      </w:r>
      <w:r>
        <w:rPr>
          <w:color w:val="231F20"/>
          <w:spacing w:val="-2"/>
        </w:rPr>
        <w:t>grands </w:t>
      </w:r>
      <w:r>
        <w:rPr>
          <w:color w:val="231F20"/>
        </w:rPr>
        <w:t>patrons</w:t>
      </w:r>
      <w:r>
        <w:rPr>
          <w:color w:val="231F20"/>
          <w:spacing w:val="-13"/>
        </w:rPr>
        <w:t> </w:t>
      </w:r>
      <w:r>
        <w:rPr>
          <w:color w:val="231F20"/>
        </w:rPr>
        <w:t>dans</w:t>
      </w:r>
      <w:r>
        <w:rPr>
          <w:color w:val="231F20"/>
          <w:spacing w:val="-12"/>
        </w:rPr>
        <w:t> </w:t>
      </w:r>
      <w:r>
        <w:rPr>
          <w:color w:val="231F20"/>
        </w:rPr>
        <w:t>l’Administration</w:t>
      </w:r>
      <w:r>
        <w:rPr>
          <w:color w:val="231F20"/>
          <w:spacing w:val="-12"/>
        </w:rPr>
        <w:t> </w:t>
      </w:r>
      <w:r>
        <w:rPr>
          <w:color w:val="231F20"/>
        </w:rPr>
        <w:t>publique</w:t>
      </w:r>
      <w:r>
        <w:rPr>
          <w:color w:val="231F20"/>
          <w:spacing w:val="-12"/>
        </w:rPr>
        <w:t> </w:t>
      </w:r>
      <w:r>
        <w:rPr>
          <w:color w:val="231F20"/>
        </w:rPr>
        <w:t>et</w:t>
      </w:r>
      <w:r>
        <w:rPr>
          <w:color w:val="231F20"/>
          <w:spacing w:val="-13"/>
        </w:rPr>
        <w:t> </w:t>
      </w:r>
      <w:r>
        <w:rPr>
          <w:color w:val="231F20"/>
        </w:rPr>
        <w:t>parapublique,</w:t>
      </w:r>
      <w:r>
        <w:rPr>
          <w:color w:val="231F20"/>
          <w:spacing w:val="-12"/>
        </w:rPr>
        <w:t> </w:t>
      </w:r>
      <w:r>
        <w:rPr>
          <w:color w:val="231F20"/>
        </w:rPr>
        <w:t>des</w:t>
      </w:r>
      <w:r>
        <w:rPr>
          <w:color w:val="231F20"/>
          <w:spacing w:val="-12"/>
        </w:rPr>
        <w:t> </w:t>
      </w:r>
      <w:r>
        <w:rPr>
          <w:color w:val="231F20"/>
        </w:rPr>
        <w:t>laudateurs. </w:t>
      </w:r>
      <w:r>
        <w:rPr>
          <w:color w:val="231F20"/>
          <w:spacing w:val="-4"/>
        </w:rPr>
        <w:t>Les</w:t>
      </w:r>
      <w:r>
        <w:rPr>
          <w:color w:val="231F20"/>
          <w:spacing w:val="-7"/>
        </w:rPr>
        <w:t> </w:t>
      </w:r>
      <w:r>
        <w:rPr>
          <w:color w:val="231F20"/>
          <w:spacing w:val="-4"/>
        </w:rPr>
        <w:t>choix</w:t>
      </w:r>
      <w:r>
        <w:rPr>
          <w:color w:val="231F20"/>
          <w:spacing w:val="-7"/>
        </w:rPr>
        <w:t> </w:t>
      </w:r>
      <w:r>
        <w:rPr>
          <w:color w:val="231F20"/>
          <w:spacing w:val="-4"/>
        </w:rPr>
        <w:t>relèvent</w:t>
      </w:r>
      <w:r>
        <w:rPr>
          <w:color w:val="231F20"/>
          <w:spacing w:val="-9"/>
        </w:rPr>
        <w:t> </w:t>
      </w:r>
      <w:r>
        <w:rPr>
          <w:color w:val="231F20"/>
          <w:spacing w:val="-4"/>
        </w:rPr>
        <w:t>de</w:t>
      </w:r>
      <w:r>
        <w:rPr>
          <w:color w:val="231F20"/>
          <w:spacing w:val="-7"/>
        </w:rPr>
        <w:t> </w:t>
      </w:r>
      <w:r>
        <w:rPr>
          <w:color w:val="231F20"/>
          <w:spacing w:val="-4"/>
        </w:rPr>
        <w:t>la</w:t>
      </w:r>
      <w:r>
        <w:rPr>
          <w:color w:val="231F20"/>
          <w:spacing w:val="-9"/>
        </w:rPr>
        <w:t> </w:t>
      </w:r>
      <w:r>
        <w:rPr>
          <w:color w:val="231F20"/>
          <w:spacing w:val="-4"/>
        </w:rPr>
        <w:t>tradition</w:t>
      </w:r>
      <w:r>
        <w:rPr>
          <w:color w:val="231F20"/>
          <w:spacing w:val="-7"/>
        </w:rPr>
        <w:t> </w:t>
      </w:r>
      <w:r>
        <w:rPr>
          <w:color w:val="231F20"/>
          <w:spacing w:val="-4"/>
        </w:rPr>
        <w:t>africaine</w:t>
      </w:r>
      <w:r>
        <w:rPr>
          <w:color w:val="231F20"/>
          <w:spacing w:val="-7"/>
        </w:rPr>
        <w:t> </w:t>
      </w:r>
      <w:r>
        <w:rPr>
          <w:color w:val="231F20"/>
          <w:spacing w:val="-4"/>
        </w:rPr>
        <w:t>qui</w:t>
      </w:r>
      <w:r>
        <w:rPr>
          <w:color w:val="231F20"/>
          <w:spacing w:val="-9"/>
        </w:rPr>
        <w:t> </w:t>
      </w:r>
      <w:r>
        <w:rPr>
          <w:color w:val="231F20"/>
          <w:spacing w:val="-4"/>
        </w:rPr>
        <w:t>veut</w:t>
      </w:r>
      <w:r>
        <w:rPr>
          <w:color w:val="231F20"/>
          <w:spacing w:val="-9"/>
        </w:rPr>
        <w:t> </w:t>
      </w:r>
      <w:r>
        <w:rPr>
          <w:color w:val="231F20"/>
          <w:spacing w:val="-4"/>
        </w:rPr>
        <w:t>que,</w:t>
      </w:r>
      <w:r>
        <w:rPr>
          <w:color w:val="231F20"/>
          <w:spacing w:val="-7"/>
        </w:rPr>
        <w:t> </w:t>
      </w:r>
      <w:r>
        <w:rPr>
          <w:color w:val="231F20"/>
          <w:spacing w:val="-4"/>
        </w:rPr>
        <w:t>dans</w:t>
      </w:r>
      <w:r>
        <w:rPr>
          <w:color w:val="231F20"/>
          <w:spacing w:val="-9"/>
        </w:rPr>
        <w:t> </w:t>
      </w:r>
      <w:r>
        <w:rPr>
          <w:color w:val="231F20"/>
          <w:spacing w:val="-4"/>
        </w:rPr>
        <w:t>son</w:t>
      </w:r>
      <w:r>
        <w:rPr>
          <w:color w:val="231F20"/>
          <w:spacing w:val="-9"/>
        </w:rPr>
        <w:t> </w:t>
      </w:r>
      <w:r>
        <w:rPr>
          <w:color w:val="231F20"/>
          <w:spacing w:val="-4"/>
        </w:rPr>
        <w:t>Conseil, </w:t>
      </w:r>
      <w:r>
        <w:rPr>
          <w:color w:val="231F20"/>
        </w:rPr>
        <w:t>le chef soit entouré des représentants des grandes familles (notables). Transposé au niveau de</w:t>
      </w:r>
      <w:r>
        <w:rPr>
          <w:color w:val="231F20"/>
          <w:spacing w:val="-1"/>
        </w:rPr>
        <w:t> </w:t>
      </w:r>
      <w:r>
        <w:rPr>
          <w:color w:val="231F20"/>
        </w:rPr>
        <w:t>l’Etat dit moderne, il s’agit des membres de la </w:t>
      </w:r>
      <w:r>
        <w:rPr>
          <w:color w:val="231F20"/>
          <w:spacing w:val="-4"/>
        </w:rPr>
        <w:t>famille</w:t>
      </w:r>
      <w:r>
        <w:rPr>
          <w:color w:val="231F20"/>
          <w:spacing w:val="-11"/>
        </w:rPr>
        <w:t> </w:t>
      </w:r>
      <w:r>
        <w:rPr>
          <w:color w:val="231F20"/>
          <w:spacing w:val="-4"/>
        </w:rPr>
        <w:t>africaine</w:t>
      </w:r>
      <w:r>
        <w:rPr>
          <w:color w:val="231F20"/>
          <w:spacing w:val="-11"/>
        </w:rPr>
        <w:t> </w:t>
      </w:r>
      <w:r>
        <w:rPr>
          <w:color w:val="231F20"/>
          <w:spacing w:val="-4"/>
        </w:rPr>
        <w:t>et</w:t>
      </w:r>
      <w:r>
        <w:rPr>
          <w:color w:val="231F20"/>
          <w:spacing w:val="-11"/>
        </w:rPr>
        <w:t> </w:t>
      </w:r>
      <w:r>
        <w:rPr>
          <w:color w:val="231F20"/>
          <w:spacing w:val="-4"/>
        </w:rPr>
        <w:t>des</w:t>
      </w:r>
      <w:r>
        <w:rPr>
          <w:color w:val="231F20"/>
          <w:spacing w:val="-11"/>
        </w:rPr>
        <w:t> </w:t>
      </w:r>
      <w:r>
        <w:rPr>
          <w:color w:val="231F20"/>
          <w:spacing w:val="-4"/>
        </w:rPr>
        <w:t>représentants</w:t>
      </w:r>
      <w:r>
        <w:rPr>
          <w:color w:val="231F20"/>
          <w:spacing w:val="-11"/>
        </w:rPr>
        <w:t> </w:t>
      </w:r>
      <w:r>
        <w:rPr>
          <w:color w:val="231F20"/>
          <w:spacing w:val="-4"/>
        </w:rPr>
        <w:t>du</w:t>
      </w:r>
      <w:r>
        <w:rPr>
          <w:color w:val="231F20"/>
          <w:spacing w:val="-11"/>
        </w:rPr>
        <w:t> </w:t>
      </w:r>
      <w:r>
        <w:rPr>
          <w:color w:val="231F20"/>
          <w:spacing w:val="-4"/>
        </w:rPr>
        <w:t>parti</w:t>
      </w:r>
      <w:r>
        <w:rPr>
          <w:color w:val="231F20"/>
          <w:spacing w:val="-11"/>
        </w:rPr>
        <w:t> </w:t>
      </w:r>
      <w:r>
        <w:rPr>
          <w:color w:val="231F20"/>
          <w:spacing w:val="-4"/>
        </w:rPr>
        <w:t>politique</w:t>
      </w:r>
      <w:r>
        <w:rPr>
          <w:color w:val="231F20"/>
          <w:spacing w:val="-11"/>
        </w:rPr>
        <w:t> </w:t>
      </w:r>
      <w:r>
        <w:rPr>
          <w:color w:val="231F20"/>
          <w:spacing w:val="-4"/>
        </w:rPr>
        <w:t>au</w:t>
      </w:r>
      <w:r>
        <w:rPr>
          <w:color w:val="231F20"/>
          <w:spacing w:val="-11"/>
        </w:rPr>
        <w:t> </w:t>
      </w:r>
      <w:r>
        <w:rPr>
          <w:color w:val="231F20"/>
          <w:spacing w:val="-4"/>
        </w:rPr>
        <w:t>pouvoir,</w:t>
      </w:r>
      <w:r>
        <w:rPr>
          <w:color w:val="231F20"/>
          <w:spacing w:val="-11"/>
        </w:rPr>
        <w:t> </w:t>
      </w:r>
      <w:r>
        <w:rPr>
          <w:color w:val="231F20"/>
          <w:spacing w:val="-4"/>
        </w:rPr>
        <w:t>les</w:t>
      </w:r>
      <w:r>
        <w:rPr>
          <w:color w:val="231F20"/>
          <w:spacing w:val="-11"/>
        </w:rPr>
        <w:t> </w:t>
      </w:r>
      <w:r>
        <w:rPr>
          <w:color w:val="231F20"/>
          <w:spacing w:val="-4"/>
        </w:rPr>
        <w:t>plus </w:t>
      </w:r>
      <w:r>
        <w:rPr>
          <w:color w:val="231F20"/>
        </w:rPr>
        <w:t>en vue des différentes régions du pays.</w:t>
      </w:r>
    </w:p>
    <w:p>
      <w:pPr>
        <w:pStyle w:val="BodyText"/>
        <w:spacing w:before="120"/>
        <w:ind w:right="106" w:firstLine="283"/>
      </w:pPr>
      <w:r>
        <w:rPr>
          <w:color w:val="231F20"/>
        </w:rPr>
        <w:t>Au</w:t>
      </w:r>
      <w:r>
        <w:rPr>
          <w:color w:val="231F20"/>
          <w:spacing w:val="-15"/>
        </w:rPr>
        <w:t> </w:t>
      </w:r>
      <w:r>
        <w:rPr>
          <w:color w:val="231F20"/>
        </w:rPr>
        <w:t>niveau</w:t>
      </w:r>
      <w:r>
        <w:rPr>
          <w:color w:val="231F20"/>
          <w:spacing w:val="-15"/>
        </w:rPr>
        <w:t> </w:t>
      </w:r>
      <w:r>
        <w:rPr>
          <w:color w:val="231F20"/>
        </w:rPr>
        <w:t>du</w:t>
      </w:r>
      <w:r>
        <w:rPr>
          <w:color w:val="231F20"/>
          <w:spacing w:val="-15"/>
        </w:rPr>
        <w:t> </w:t>
      </w:r>
      <w:r>
        <w:rPr>
          <w:color w:val="231F20"/>
        </w:rPr>
        <w:t>village,</w:t>
      </w:r>
      <w:r>
        <w:rPr>
          <w:color w:val="231F20"/>
          <w:spacing w:val="-15"/>
        </w:rPr>
        <w:t> </w:t>
      </w:r>
      <w:r>
        <w:rPr>
          <w:color w:val="231F20"/>
        </w:rPr>
        <w:t>ces</w:t>
      </w:r>
      <w:r>
        <w:rPr>
          <w:color w:val="231F20"/>
          <w:spacing w:val="-15"/>
        </w:rPr>
        <w:t> </w:t>
      </w:r>
      <w:r>
        <w:rPr>
          <w:color w:val="231F20"/>
        </w:rPr>
        <w:t>jeunes</w:t>
      </w:r>
      <w:r>
        <w:rPr>
          <w:color w:val="231F20"/>
          <w:spacing w:val="-15"/>
        </w:rPr>
        <w:t> </w:t>
      </w:r>
      <w:r>
        <w:rPr>
          <w:color w:val="231F20"/>
        </w:rPr>
        <w:t>intellectuels</w:t>
      </w:r>
      <w:r>
        <w:rPr>
          <w:color w:val="231F20"/>
          <w:spacing w:val="-15"/>
        </w:rPr>
        <w:t> </w:t>
      </w:r>
      <w:r>
        <w:rPr>
          <w:color w:val="231F20"/>
        </w:rPr>
        <w:t>pétris</w:t>
      </w:r>
      <w:r>
        <w:rPr>
          <w:color w:val="231F20"/>
          <w:spacing w:val="-15"/>
        </w:rPr>
        <w:t> </w:t>
      </w:r>
      <w:r>
        <w:rPr>
          <w:color w:val="231F20"/>
        </w:rPr>
        <w:t>de</w:t>
      </w:r>
      <w:r>
        <w:rPr>
          <w:color w:val="231F20"/>
          <w:spacing w:val="-15"/>
        </w:rPr>
        <w:t> </w:t>
      </w:r>
      <w:r>
        <w:rPr>
          <w:color w:val="231F20"/>
        </w:rPr>
        <w:t>connaissances </w:t>
      </w:r>
      <w:r>
        <w:rPr>
          <w:color w:val="231F20"/>
          <w:spacing w:val="-2"/>
        </w:rPr>
        <w:t>ancestrales</w:t>
      </w:r>
      <w:r>
        <w:rPr>
          <w:color w:val="231F20"/>
          <w:spacing w:val="-10"/>
        </w:rPr>
        <w:t> </w:t>
      </w:r>
      <w:r>
        <w:rPr>
          <w:color w:val="231F20"/>
          <w:spacing w:val="-2"/>
        </w:rPr>
        <w:t>auront</w:t>
      </w:r>
      <w:r>
        <w:rPr>
          <w:color w:val="231F20"/>
          <w:spacing w:val="-13"/>
        </w:rPr>
        <w:t> </w:t>
      </w:r>
      <w:r>
        <w:rPr>
          <w:color w:val="231F20"/>
          <w:spacing w:val="-2"/>
        </w:rPr>
        <w:t>la</w:t>
      </w:r>
      <w:r>
        <w:rPr>
          <w:color w:val="231F20"/>
          <w:spacing w:val="-10"/>
        </w:rPr>
        <w:t> </w:t>
      </w:r>
      <w:r>
        <w:rPr>
          <w:color w:val="231F20"/>
          <w:spacing w:val="-2"/>
        </w:rPr>
        <w:t>pédagogie</w:t>
      </w:r>
      <w:r>
        <w:rPr>
          <w:color w:val="231F20"/>
          <w:spacing w:val="-10"/>
        </w:rPr>
        <w:t> </w:t>
      </w:r>
      <w:r>
        <w:rPr>
          <w:color w:val="231F20"/>
          <w:spacing w:val="-2"/>
        </w:rPr>
        <w:t>nécessaire</w:t>
      </w:r>
      <w:r>
        <w:rPr>
          <w:color w:val="231F20"/>
          <w:spacing w:val="-10"/>
        </w:rPr>
        <w:t> </w:t>
      </w:r>
      <w:r>
        <w:rPr>
          <w:color w:val="231F20"/>
          <w:spacing w:val="-2"/>
        </w:rPr>
        <w:t>pour</w:t>
      </w:r>
      <w:r>
        <w:rPr>
          <w:color w:val="231F20"/>
          <w:spacing w:val="-10"/>
        </w:rPr>
        <w:t> </w:t>
      </w:r>
      <w:r>
        <w:rPr>
          <w:color w:val="231F20"/>
          <w:spacing w:val="-2"/>
        </w:rPr>
        <w:t>amener</w:t>
      </w:r>
      <w:r>
        <w:rPr>
          <w:color w:val="231F20"/>
          <w:spacing w:val="-10"/>
        </w:rPr>
        <w:t> </w:t>
      </w:r>
      <w:r>
        <w:rPr>
          <w:color w:val="231F20"/>
          <w:spacing w:val="-2"/>
        </w:rPr>
        <w:t>les</w:t>
      </w:r>
      <w:r>
        <w:rPr>
          <w:color w:val="231F20"/>
          <w:spacing w:val="-10"/>
        </w:rPr>
        <w:t> </w:t>
      </w:r>
      <w:r>
        <w:rPr>
          <w:color w:val="231F20"/>
          <w:spacing w:val="-2"/>
        </w:rPr>
        <w:t>populations</w:t>
      </w:r>
      <w:r>
        <w:rPr>
          <w:color w:val="231F20"/>
          <w:spacing w:val="-10"/>
        </w:rPr>
        <w:t> </w:t>
      </w:r>
      <w:r>
        <w:rPr>
          <w:color w:val="231F20"/>
          <w:spacing w:val="-2"/>
        </w:rPr>
        <w:t>à </w:t>
      </w:r>
      <w:r>
        <w:rPr>
          <w:color w:val="231F20"/>
        </w:rPr>
        <w:t>se débarrasser de certaines forces du mal, comme la sorcellerie qui entraîne</w:t>
      </w:r>
      <w:r>
        <w:rPr>
          <w:color w:val="231F20"/>
          <w:spacing w:val="-15"/>
        </w:rPr>
        <w:t> </w:t>
      </w:r>
      <w:r>
        <w:rPr>
          <w:color w:val="231F20"/>
        </w:rPr>
        <w:t>la</w:t>
      </w:r>
      <w:r>
        <w:rPr>
          <w:color w:val="231F20"/>
          <w:spacing w:val="-15"/>
        </w:rPr>
        <w:t> </w:t>
      </w:r>
      <w:r>
        <w:rPr>
          <w:color w:val="231F20"/>
        </w:rPr>
        <w:t>peur</w:t>
      </w:r>
      <w:r>
        <w:rPr>
          <w:color w:val="231F20"/>
          <w:spacing w:val="-15"/>
        </w:rPr>
        <w:t> </w:t>
      </w:r>
      <w:r>
        <w:rPr>
          <w:color w:val="231F20"/>
        </w:rPr>
        <w:t>de</w:t>
      </w:r>
      <w:r>
        <w:rPr>
          <w:color w:val="231F20"/>
          <w:spacing w:val="-15"/>
        </w:rPr>
        <w:t> </w:t>
      </w:r>
      <w:r>
        <w:rPr>
          <w:color w:val="231F20"/>
        </w:rPr>
        <w:t>l’autre</w:t>
      </w:r>
      <w:r>
        <w:rPr>
          <w:color w:val="231F20"/>
          <w:spacing w:val="-15"/>
        </w:rPr>
        <w:t> </w:t>
      </w:r>
      <w:r>
        <w:rPr>
          <w:color w:val="231F20"/>
        </w:rPr>
        <w:t>et</w:t>
      </w:r>
      <w:r>
        <w:rPr>
          <w:color w:val="231F20"/>
          <w:spacing w:val="-15"/>
        </w:rPr>
        <w:t> </w:t>
      </w:r>
      <w:r>
        <w:rPr>
          <w:color w:val="231F20"/>
        </w:rPr>
        <w:t>freine</w:t>
      </w:r>
      <w:r>
        <w:rPr>
          <w:color w:val="231F20"/>
          <w:spacing w:val="-15"/>
        </w:rPr>
        <w:t> </w:t>
      </w:r>
      <w:r>
        <w:rPr>
          <w:color w:val="231F20"/>
        </w:rPr>
        <w:t>les</w:t>
      </w:r>
      <w:r>
        <w:rPr>
          <w:color w:val="231F20"/>
          <w:spacing w:val="-15"/>
        </w:rPr>
        <w:t> </w:t>
      </w:r>
      <w:r>
        <w:rPr>
          <w:color w:val="231F20"/>
        </w:rPr>
        <w:t>initiatives</w:t>
      </w:r>
      <w:r>
        <w:rPr>
          <w:color w:val="231F20"/>
          <w:spacing w:val="-15"/>
        </w:rPr>
        <w:t> </w:t>
      </w:r>
      <w:r>
        <w:rPr>
          <w:color w:val="231F20"/>
        </w:rPr>
        <w:t>de</w:t>
      </w:r>
      <w:r>
        <w:rPr>
          <w:color w:val="231F20"/>
          <w:spacing w:val="-15"/>
        </w:rPr>
        <w:t> </w:t>
      </w:r>
      <w:r>
        <w:rPr>
          <w:color w:val="231F20"/>
        </w:rPr>
        <w:t>développement</w:t>
      </w:r>
      <w:r>
        <w:rPr>
          <w:color w:val="231F20"/>
          <w:spacing w:val="-15"/>
        </w:rPr>
        <w:t> </w:t>
      </w:r>
      <w:r>
        <w:rPr>
          <w:color w:val="231F20"/>
        </w:rPr>
        <w:t>dans les villages.</w:t>
      </w:r>
    </w:p>
    <w:p>
      <w:pPr>
        <w:pStyle w:val="BodyText"/>
        <w:spacing w:before="121"/>
        <w:ind w:right="109" w:firstLine="283"/>
      </w:pPr>
      <w:r>
        <w:rPr>
          <w:color w:val="231F20"/>
        </w:rPr>
        <w:t>Selon l’ONU, le nombre de personnes habitant sur la planète avoisinera</w:t>
      </w:r>
      <w:r>
        <w:rPr>
          <w:color w:val="231F20"/>
          <w:spacing w:val="-13"/>
        </w:rPr>
        <w:t> </w:t>
      </w:r>
      <w:r>
        <w:rPr>
          <w:color w:val="231F20"/>
        </w:rPr>
        <w:t>les</w:t>
      </w:r>
      <w:r>
        <w:rPr>
          <w:color w:val="231F20"/>
          <w:spacing w:val="-13"/>
        </w:rPr>
        <w:t> </w:t>
      </w:r>
      <w:r>
        <w:rPr>
          <w:color w:val="231F20"/>
        </w:rPr>
        <w:t>11</w:t>
      </w:r>
      <w:r>
        <w:rPr>
          <w:color w:val="231F20"/>
          <w:spacing w:val="-13"/>
        </w:rPr>
        <w:t> </w:t>
      </w:r>
      <w:r>
        <w:rPr>
          <w:color w:val="231F20"/>
        </w:rPr>
        <w:t>milliards</w:t>
      </w:r>
      <w:r>
        <w:rPr>
          <w:color w:val="231F20"/>
          <w:spacing w:val="-13"/>
        </w:rPr>
        <w:t> </w:t>
      </w:r>
      <w:r>
        <w:rPr>
          <w:color w:val="231F20"/>
        </w:rPr>
        <w:t>à</w:t>
      </w:r>
      <w:r>
        <w:rPr>
          <w:color w:val="231F20"/>
          <w:spacing w:val="-13"/>
        </w:rPr>
        <w:t> </w:t>
      </w:r>
      <w:r>
        <w:rPr>
          <w:color w:val="231F20"/>
        </w:rPr>
        <w:t>la</w:t>
      </w:r>
      <w:r>
        <w:rPr>
          <w:color w:val="231F20"/>
          <w:spacing w:val="-13"/>
        </w:rPr>
        <w:t> </w:t>
      </w:r>
      <w:r>
        <w:rPr>
          <w:color w:val="231F20"/>
        </w:rPr>
        <w:t>fin</w:t>
      </w:r>
      <w:r>
        <w:rPr>
          <w:color w:val="231F20"/>
          <w:spacing w:val="-13"/>
        </w:rPr>
        <w:t> </w:t>
      </w:r>
      <w:r>
        <w:rPr>
          <w:color w:val="231F20"/>
        </w:rPr>
        <w:t>du</w:t>
      </w:r>
      <w:r>
        <w:rPr>
          <w:color w:val="231F20"/>
          <w:spacing w:val="-15"/>
        </w:rPr>
        <w:t> </w:t>
      </w:r>
      <w:r>
        <w:rPr>
          <w:color w:val="231F20"/>
        </w:rPr>
        <w:t>siècle</w:t>
      </w:r>
      <w:r>
        <w:rPr>
          <w:color w:val="231F20"/>
          <w:spacing w:val="-13"/>
        </w:rPr>
        <w:t> </w:t>
      </w:r>
      <w:r>
        <w:rPr>
          <w:color w:val="231F20"/>
        </w:rPr>
        <w:t>dont</w:t>
      </w:r>
      <w:r>
        <w:rPr>
          <w:color w:val="231F20"/>
          <w:spacing w:val="-13"/>
        </w:rPr>
        <w:t> </w:t>
      </w:r>
      <w:r>
        <w:rPr>
          <w:color w:val="231F20"/>
        </w:rPr>
        <w:t>près</w:t>
      </w:r>
      <w:r>
        <w:rPr>
          <w:color w:val="231F20"/>
          <w:spacing w:val="-13"/>
        </w:rPr>
        <w:t> </w:t>
      </w:r>
      <w:r>
        <w:rPr>
          <w:color w:val="231F20"/>
        </w:rPr>
        <w:t>de</w:t>
      </w:r>
      <w:r>
        <w:rPr>
          <w:color w:val="231F20"/>
          <w:spacing w:val="-13"/>
        </w:rPr>
        <w:t> </w:t>
      </w:r>
      <w:r>
        <w:rPr>
          <w:color w:val="231F20"/>
        </w:rPr>
        <w:t>2,4</w:t>
      </w:r>
      <w:r>
        <w:rPr>
          <w:color w:val="231F20"/>
          <w:spacing w:val="-14"/>
        </w:rPr>
        <w:t> </w:t>
      </w:r>
      <w:r>
        <w:rPr>
          <w:color w:val="231F20"/>
        </w:rPr>
        <w:t>milliards</w:t>
      </w:r>
      <w:r>
        <w:rPr>
          <w:color w:val="231F20"/>
          <w:spacing w:val="-13"/>
        </w:rPr>
        <w:t> </w:t>
      </w:r>
      <w:r>
        <w:rPr>
          <w:color w:val="231F20"/>
        </w:rPr>
        <w:t>en </w:t>
      </w:r>
      <w:r>
        <w:rPr>
          <w:color w:val="231F20"/>
          <w:spacing w:val="-2"/>
        </w:rPr>
        <w:t>Afrique.</w:t>
      </w:r>
    </w:p>
    <w:p>
      <w:pPr>
        <w:pStyle w:val="BodyText"/>
        <w:spacing w:before="120"/>
        <w:ind w:right="105" w:firstLine="283"/>
      </w:pPr>
      <w:r>
        <w:rPr>
          <w:color w:val="231F20"/>
        </w:rPr>
        <w:t>L’accroissement</w:t>
      </w:r>
      <w:r>
        <w:rPr>
          <w:color w:val="231F20"/>
          <w:spacing w:val="-15"/>
        </w:rPr>
        <w:t> </w:t>
      </w:r>
      <w:r>
        <w:rPr>
          <w:color w:val="231F20"/>
        </w:rPr>
        <w:t>relatif</w:t>
      </w:r>
      <w:r>
        <w:rPr>
          <w:color w:val="231F20"/>
          <w:spacing w:val="-15"/>
        </w:rPr>
        <w:t> </w:t>
      </w:r>
      <w:r>
        <w:rPr>
          <w:color w:val="231F20"/>
        </w:rPr>
        <w:t>de</w:t>
      </w:r>
      <w:r>
        <w:rPr>
          <w:color w:val="231F20"/>
          <w:spacing w:val="-15"/>
        </w:rPr>
        <w:t> </w:t>
      </w:r>
      <w:r>
        <w:rPr>
          <w:color w:val="231F20"/>
        </w:rPr>
        <w:t>sa</w:t>
      </w:r>
      <w:r>
        <w:rPr>
          <w:color w:val="231F20"/>
          <w:spacing w:val="-15"/>
        </w:rPr>
        <w:t> </w:t>
      </w:r>
      <w:r>
        <w:rPr>
          <w:color w:val="231F20"/>
        </w:rPr>
        <w:t>population</w:t>
      </w:r>
      <w:r>
        <w:rPr>
          <w:color w:val="231F20"/>
          <w:spacing w:val="-15"/>
        </w:rPr>
        <w:t> </w:t>
      </w:r>
      <w:r>
        <w:rPr>
          <w:color w:val="231F20"/>
        </w:rPr>
        <w:t>en</w:t>
      </w:r>
      <w:r>
        <w:rPr>
          <w:color w:val="231F20"/>
          <w:spacing w:val="-15"/>
        </w:rPr>
        <w:t> </w:t>
      </w:r>
      <w:r>
        <w:rPr>
          <w:color w:val="231F20"/>
        </w:rPr>
        <w:t>âge</w:t>
      </w:r>
      <w:r>
        <w:rPr>
          <w:color w:val="231F20"/>
          <w:spacing w:val="-15"/>
        </w:rPr>
        <w:t> </w:t>
      </w:r>
      <w:r>
        <w:rPr>
          <w:color w:val="231F20"/>
        </w:rPr>
        <w:t>de</w:t>
      </w:r>
      <w:r>
        <w:rPr>
          <w:color w:val="231F20"/>
          <w:spacing w:val="-15"/>
        </w:rPr>
        <w:t> </w:t>
      </w:r>
      <w:r>
        <w:rPr>
          <w:color w:val="231F20"/>
        </w:rPr>
        <w:t>travailler,</w:t>
      </w:r>
      <w:r>
        <w:rPr>
          <w:color w:val="231F20"/>
          <w:spacing w:val="-15"/>
        </w:rPr>
        <w:t> </w:t>
      </w:r>
      <w:r>
        <w:rPr>
          <w:color w:val="231F20"/>
        </w:rPr>
        <w:t>lui</w:t>
      </w:r>
      <w:r>
        <w:rPr>
          <w:color w:val="231F20"/>
          <w:spacing w:val="-15"/>
        </w:rPr>
        <w:t> </w:t>
      </w:r>
      <w:r>
        <w:rPr>
          <w:color w:val="231F20"/>
        </w:rPr>
        <w:t>offre des possibilités de croissance économique accélérée pourvu que les </w:t>
      </w:r>
      <w:r>
        <w:rPr>
          <w:color w:val="231F20"/>
          <w:spacing w:val="-2"/>
        </w:rPr>
        <w:t>dirigeants</w:t>
      </w:r>
      <w:r>
        <w:rPr>
          <w:color w:val="231F20"/>
          <w:spacing w:val="-13"/>
        </w:rPr>
        <w:t> </w:t>
      </w:r>
      <w:r>
        <w:rPr>
          <w:color w:val="231F20"/>
          <w:spacing w:val="-2"/>
        </w:rPr>
        <w:t>et</w:t>
      </w:r>
      <w:r>
        <w:rPr>
          <w:color w:val="231F20"/>
          <w:spacing w:val="-13"/>
        </w:rPr>
        <w:t> </w:t>
      </w:r>
      <w:r>
        <w:rPr>
          <w:color w:val="231F20"/>
          <w:spacing w:val="-2"/>
        </w:rPr>
        <w:t>les</w:t>
      </w:r>
      <w:r>
        <w:rPr>
          <w:color w:val="231F20"/>
          <w:spacing w:val="-13"/>
        </w:rPr>
        <w:t> </w:t>
      </w:r>
      <w:r>
        <w:rPr>
          <w:color w:val="231F20"/>
          <w:spacing w:val="-2"/>
        </w:rPr>
        <w:t>peuples</w:t>
      </w:r>
      <w:r>
        <w:rPr>
          <w:color w:val="231F20"/>
          <w:spacing w:val="-13"/>
        </w:rPr>
        <w:t> </w:t>
      </w:r>
      <w:r>
        <w:rPr>
          <w:color w:val="231F20"/>
          <w:spacing w:val="-2"/>
        </w:rPr>
        <w:t>brisent</w:t>
      </w:r>
      <w:r>
        <w:rPr>
          <w:color w:val="231F20"/>
          <w:spacing w:val="-13"/>
        </w:rPr>
        <w:t> </w:t>
      </w:r>
      <w:r>
        <w:rPr>
          <w:color w:val="231F20"/>
          <w:spacing w:val="-2"/>
        </w:rPr>
        <w:t>en</w:t>
      </w:r>
      <w:r>
        <w:rPr>
          <w:color w:val="231F20"/>
          <w:spacing w:val="-13"/>
        </w:rPr>
        <w:t> </w:t>
      </w:r>
      <w:r>
        <w:rPr>
          <w:color w:val="231F20"/>
          <w:spacing w:val="-2"/>
        </w:rPr>
        <w:t>eux,</w:t>
      </w:r>
      <w:r>
        <w:rPr>
          <w:color w:val="231F20"/>
          <w:spacing w:val="-13"/>
        </w:rPr>
        <w:t> </w:t>
      </w:r>
      <w:r>
        <w:rPr>
          <w:color w:val="231F20"/>
          <w:spacing w:val="-2"/>
        </w:rPr>
        <w:t>les</w:t>
      </w:r>
      <w:r>
        <w:rPr>
          <w:color w:val="231F20"/>
          <w:spacing w:val="-13"/>
        </w:rPr>
        <w:t> </w:t>
      </w:r>
      <w:r>
        <w:rPr>
          <w:color w:val="231F20"/>
          <w:spacing w:val="-2"/>
        </w:rPr>
        <w:t>chaînes</w:t>
      </w:r>
      <w:r>
        <w:rPr>
          <w:color w:val="231F20"/>
          <w:spacing w:val="-13"/>
        </w:rPr>
        <w:t> </w:t>
      </w:r>
      <w:r>
        <w:rPr>
          <w:color w:val="231F20"/>
          <w:spacing w:val="-2"/>
        </w:rPr>
        <w:t>de</w:t>
      </w:r>
      <w:r>
        <w:rPr>
          <w:color w:val="231F20"/>
          <w:spacing w:val="-13"/>
        </w:rPr>
        <w:t> </w:t>
      </w:r>
      <w:r>
        <w:rPr>
          <w:color w:val="231F20"/>
          <w:spacing w:val="-2"/>
        </w:rPr>
        <w:t>l’esclavage</w:t>
      </w:r>
      <w:r>
        <w:rPr>
          <w:color w:val="231F20"/>
          <w:spacing w:val="-13"/>
        </w:rPr>
        <w:t> </w:t>
      </w:r>
      <w:r>
        <w:rPr>
          <w:color w:val="231F20"/>
          <w:spacing w:val="-2"/>
        </w:rPr>
        <w:t>mental, </w:t>
      </w:r>
      <w:r>
        <w:rPr>
          <w:color w:val="231F20"/>
        </w:rPr>
        <w:t>de l’avidité et de l’égoïsme. Il est urgent de créer de vastes marchés économiques</w:t>
      </w:r>
      <w:r>
        <w:rPr>
          <w:color w:val="231F20"/>
          <w:spacing w:val="-15"/>
        </w:rPr>
        <w:t> </w:t>
      </w:r>
      <w:r>
        <w:rPr>
          <w:color w:val="231F20"/>
        </w:rPr>
        <w:t>: élaborer des programmes panafricains qui mettent un accent particulier sur les infrastructures reliant les États (voies ferrées, </w:t>
      </w:r>
      <w:r>
        <w:rPr>
          <w:color w:val="231F20"/>
          <w:spacing w:val="-2"/>
        </w:rPr>
        <w:t>transports</w:t>
      </w:r>
      <w:r>
        <w:rPr>
          <w:color w:val="231F20"/>
          <w:spacing w:val="-11"/>
        </w:rPr>
        <w:t> </w:t>
      </w:r>
      <w:r>
        <w:rPr>
          <w:color w:val="231F20"/>
          <w:spacing w:val="-2"/>
        </w:rPr>
        <w:t>aériens,</w:t>
      </w:r>
      <w:r>
        <w:rPr>
          <w:color w:val="231F20"/>
          <w:spacing w:val="-11"/>
        </w:rPr>
        <w:t> </w:t>
      </w:r>
      <w:r>
        <w:rPr>
          <w:color w:val="231F20"/>
          <w:spacing w:val="-2"/>
        </w:rPr>
        <w:t>voies</w:t>
      </w:r>
      <w:r>
        <w:rPr>
          <w:color w:val="231F20"/>
          <w:spacing w:val="-11"/>
        </w:rPr>
        <w:t> </w:t>
      </w:r>
      <w:r>
        <w:rPr>
          <w:color w:val="231F20"/>
          <w:spacing w:val="-2"/>
        </w:rPr>
        <w:t>routières,</w:t>
      </w:r>
      <w:r>
        <w:rPr>
          <w:color w:val="231F20"/>
          <w:spacing w:val="-11"/>
        </w:rPr>
        <w:t> </w:t>
      </w:r>
      <w:r>
        <w:rPr>
          <w:color w:val="231F20"/>
          <w:spacing w:val="-2"/>
        </w:rPr>
        <w:t>télécommunications)</w:t>
      </w:r>
      <w:r>
        <w:rPr>
          <w:color w:val="231F20"/>
          <w:spacing w:val="-12"/>
        </w:rPr>
        <w:t> </w:t>
      </w:r>
      <w:r>
        <w:rPr>
          <w:color w:val="231F20"/>
          <w:spacing w:val="-2"/>
        </w:rPr>
        <w:t>pour</w:t>
      </w:r>
      <w:r>
        <w:rPr>
          <w:color w:val="231F20"/>
          <w:spacing w:val="-12"/>
        </w:rPr>
        <w:t> </w:t>
      </w:r>
      <w:r>
        <w:rPr>
          <w:color w:val="231F20"/>
          <w:spacing w:val="-2"/>
        </w:rPr>
        <w:t>développer </w:t>
      </w:r>
      <w:r>
        <w:rPr>
          <w:color w:val="231F20"/>
        </w:rPr>
        <w:t>les</w:t>
      </w:r>
      <w:r>
        <w:rPr>
          <w:color w:val="231F20"/>
          <w:spacing w:val="-3"/>
        </w:rPr>
        <w:t> </w:t>
      </w:r>
      <w:r>
        <w:rPr>
          <w:color w:val="231F20"/>
        </w:rPr>
        <w:t>échanges</w:t>
      </w:r>
      <w:r>
        <w:rPr>
          <w:color w:val="231F20"/>
          <w:spacing w:val="-5"/>
        </w:rPr>
        <w:t> </w:t>
      </w:r>
      <w:r>
        <w:rPr>
          <w:color w:val="231F20"/>
        </w:rPr>
        <w:t>commerciaux,</w:t>
      </w:r>
      <w:r>
        <w:rPr>
          <w:color w:val="231F20"/>
          <w:spacing w:val="-3"/>
        </w:rPr>
        <w:t> </w:t>
      </w:r>
      <w:r>
        <w:rPr>
          <w:color w:val="231F20"/>
        </w:rPr>
        <w:t>culturels,</w:t>
      </w:r>
      <w:r>
        <w:rPr>
          <w:color w:val="231F20"/>
          <w:spacing w:val="-3"/>
        </w:rPr>
        <w:t> </w:t>
      </w:r>
      <w:r>
        <w:rPr>
          <w:color w:val="231F20"/>
        </w:rPr>
        <w:t>scientifiques...</w:t>
      </w:r>
    </w:p>
    <w:p>
      <w:pPr>
        <w:spacing w:after="0"/>
        <w:sectPr>
          <w:pgSz w:w="8790" w:h="13610"/>
          <w:pgMar w:header="0" w:footer="802" w:top="1060" w:bottom="1000" w:left="880" w:right="880"/>
        </w:sectPr>
      </w:pPr>
    </w:p>
    <w:p>
      <w:pPr>
        <w:pStyle w:val="BodyText"/>
        <w:spacing w:before="66"/>
        <w:ind w:right="105" w:firstLine="283"/>
      </w:pPr>
      <w:r>
        <w:rPr>
          <w:color w:val="231F20"/>
        </w:rPr>
        <w:t>Le</w:t>
      </w:r>
      <w:r>
        <w:rPr>
          <w:color w:val="231F20"/>
          <w:spacing w:val="-15"/>
        </w:rPr>
        <w:t> </w:t>
      </w:r>
      <w:r>
        <w:rPr>
          <w:color w:val="231F20"/>
        </w:rPr>
        <w:t>potentiel</w:t>
      </w:r>
      <w:r>
        <w:rPr>
          <w:color w:val="231F20"/>
          <w:spacing w:val="-15"/>
        </w:rPr>
        <w:t> </w:t>
      </w:r>
      <w:r>
        <w:rPr>
          <w:color w:val="231F20"/>
        </w:rPr>
        <w:t>agricole</w:t>
      </w:r>
      <w:r>
        <w:rPr>
          <w:color w:val="231F20"/>
          <w:spacing w:val="-15"/>
        </w:rPr>
        <w:t> </w:t>
      </w:r>
      <w:r>
        <w:rPr>
          <w:color w:val="231F20"/>
        </w:rPr>
        <w:t>est</w:t>
      </w:r>
      <w:r>
        <w:rPr>
          <w:color w:val="231F20"/>
          <w:spacing w:val="-15"/>
        </w:rPr>
        <w:t> </w:t>
      </w:r>
      <w:r>
        <w:rPr>
          <w:color w:val="231F20"/>
        </w:rPr>
        <w:t>énorme.</w:t>
      </w:r>
      <w:r>
        <w:rPr>
          <w:color w:val="231F20"/>
          <w:spacing w:val="-15"/>
        </w:rPr>
        <w:t> </w:t>
      </w:r>
      <w:r>
        <w:rPr>
          <w:color w:val="231F20"/>
        </w:rPr>
        <w:t>Doté</w:t>
      </w:r>
      <w:r>
        <w:rPr>
          <w:color w:val="231F20"/>
          <w:spacing w:val="-15"/>
        </w:rPr>
        <w:t> </w:t>
      </w:r>
      <w:r>
        <w:rPr>
          <w:color w:val="231F20"/>
        </w:rPr>
        <w:t>de</w:t>
      </w:r>
      <w:r>
        <w:rPr>
          <w:color w:val="231F20"/>
          <w:spacing w:val="-15"/>
        </w:rPr>
        <w:t> </w:t>
      </w:r>
      <w:r>
        <w:rPr>
          <w:color w:val="231F20"/>
        </w:rPr>
        <w:t>60%</w:t>
      </w:r>
      <w:r>
        <w:rPr>
          <w:color w:val="231F20"/>
          <w:spacing w:val="-15"/>
        </w:rPr>
        <w:t> </w:t>
      </w:r>
      <w:r>
        <w:rPr>
          <w:color w:val="231F20"/>
        </w:rPr>
        <w:t>des</w:t>
      </w:r>
      <w:r>
        <w:rPr>
          <w:color w:val="231F20"/>
          <w:spacing w:val="-15"/>
        </w:rPr>
        <w:t> </w:t>
      </w:r>
      <w:r>
        <w:rPr>
          <w:color w:val="231F20"/>
        </w:rPr>
        <w:t>terres</w:t>
      </w:r>
      <w:r>
        <w:rPr>
          <w:color w:val="231F20"/>
          <w:spacing w:val="-15"/>
        </w:rPr>
        <w:t> </w:t>
      </w:r>
      <w:r>
        <w:rPr>
          <w:color w:val="231F20"/>
        </w:rPr>
        <w:t>fertiles</w:t>
      </w:r>
      <w:r>
        <w:rPr>
          <w:color w:val="231F20"/>
          <w:spacing w:val="-15"/>
        </w:rPr>
        <w:t> </w:t>
      </w:r>
      <w:r>
        <w:rPr>
          <w:color w:val="231F20"/>
        </w:rPr>
        <w:t>de</w:t>
      </w:r>
      <w:r>
        <w:rPr>
          <w:color w:val="231F20"/>
          <w:spacing w:val="-15"/>
        </w:rPr>
        <w:t> </w:t>
      </w:r>
      <w:r>
        <w:rPr>
          <w:color w:val="231F20"/>
        </w:rPr>
        <w:t>la planète,</w:t>
      </w:r>
      <w:r>
        <w:rPr>
          <w:color w:val="231F20"/>
          <w:spacing w:val="-9"/>
        </w:rPr>
        <w:t> </w:t>
      </w:r>
      <w:r>
        <w:rPr>
          <w:color w:val="231F20"/>
        </w:rPr>
        <w:t>ce</w:t>
      </w:r>
      <w:r>
        <w:rPr>
          <w:color w:val="231F20"/>
          <w:spacing w:val="-9"/>
        </w:rPr>
        <w:t> </w:t>
      </w:r>
      <w:r>
        <w:rPr>
          <w:color w:val="231F20"/>
        </w:rPr>
        <w:t>continent</w:t>
      </w:r>
      <w:r>
        <w:rPr>
          <w:color w:val="231F20"/>
          <w:spacing w:val="-8"/>
        </w:rPr>
        <w:t> </w:t>
      </w:r>
      <w:r>
        <w:rPr>
          <w:color w:val="231F20"/>
        </w:rPr>
        <w:t>ne</w:t>
      </w:r>
      <w:r>
        <w:rPr>
          <w:color w:val="231F20"/>
          <w:spacing w:val="-11"/>
        </w:rPr>
        <w:t> </w:t>
      </w:r>
      <w:r>
        <w:rPr>
          <w:color w:val="231F20"/>
        </w:rPr>
        <w:t>devrait</w:t>
      </w:r>
      <w:r>
        <w:rPr>
          <w:color w:val="231F20"/>
          <w:spacing w:val="-8"/>
        </w:rPr>
        <w:t> </w:t>
      </w:r>
      <w:r>
        <w:rPr>
          <w:color w:val="231F20"/>
        </w:rPr>
        <w:t>pas</w:t>
      </w:r>
      <w:r>
        <w:rPr>
          <w:color w:val="231F20"/>
          <w:spacing w:val="-11"/>
        </w:rPr>
        <w:t> </w:t>
      </w:r>
      <w:r>
        <w:rPr>
          <w:color w:val="231F20"/>
        </w:rPr>
        <w:t>souffrir</w:t>
      </w:r>
      <w:r>
        <w:rPr>
          <w:color w:val="231F20"/>
          <w:spacing w:val="-9"/>
        </w:rPr>
        <w:t> </w:t>
      </w:r>
      <w:r>
        <w:rPr>
          <w:color w:val="231F20"/>
        </w:rPr>
        <w:t>de</w:t>
      </w:r>
      <w:r>
        <w:rPr>
          <w:color w:val="231F20"/>
          <w:spacing w:val="-9"/>
        </w:rPr>
        <w:t> </w:t>
      </w:r>
      <w:r>
        <w:rPr>
          <w:color w:val="231F20"/>
        </w:rPr>
        <w:t>la</w:t>
      </w:r>
      <w:r>
        <w:rPr>
          <w:color w:val="231F20"/>
          <w:spacing w:val="-9"/>
        </w:rPr>
        <w:t> </w:t>
      </w:r>
      <w:r>
        <w:rPr>
          <w:color w:val="231F20"/>
        </w:rPr>
        <w:t>famine.</w:t>
      </w:r>
      <w:r>
        <w:rPr>
          <w:color w:val="231F20"/>
          <w:spacing w:val="-9"/>
        </w:rPr>
        <w:t> </w:t>
      </w:r>
      <w:r>
        <w:rPr>
          <w:color w:val="231F20"/>
        </w:rPr>
        <w:t>Il</w:t>
      </w:r>
      <w:r>
        <w:rPr>
          <w:color w:val="231F20"/>
          <w:spacing w:val="-9"/>
        </w:rPr>
        <w:t> </w:t>
      </w:r>
      <w:r>
        <w:rPr>
          <w:color w:val="231F20"/>
        </w:rPr>
        <w:t>serait</w:t>
      </w:r>
      <w:r>
        <w:rPr>
          <w:color w:val="231F20"/>
          <w:spacing w:val="-8"/>
        </w:rPr>
        <w:t> </w:t>
      </w:r>
      <w:r>
        <w:rPr>
          <w:color w:val="231F20"/>
        </w:rPr>
        <w:t>temps de reformer le droit d’accès à la terre, d’organiser et moderniser </w:t>
      </w:r>
      <w:r>
        <w:rPr>
          <w:color w:val="231F20"/>
          <w:spacing w:val="-2"/>
        </w:rPr>
        <w:t>l’Agriculture,</w:t>
      </w:r>
      <w:r>
        <w:rPr>
          <w:color w:val="231F20"/>
          <w:spacing w:val="-13"/>
        </w:rPr>
        <w:t> </w:t>
      </w:r>
      <w:r>
        <w:rPr>
          <w:color w:val="231F20"/>
          <w:spacing w:val="-2"/>
        </w:rPr>
        <w:t>de</w:t>
      </w:r>
      <w:r>
        <w:rPr>
          <w:color w:val="231F20"/>
          <w:spacing w:val="-13"/>
        </w:rPr>
        <w:t> </w:t>
      </w:r>
      <w:r>
        <w:rPr>
          <w:color w:val="231F20"/>
          <w:spacing w:val="-2"/>
        </w:rPr>
        <w:t>produire</w:t>
      </w:r>
      <w:r>
        <w:rPr>
          <w:color w:val="231F20"/>
          <w:spacing w:val="-13"/>
        </w:rPr>
        <w:t> </w:t>
      </w:r>
      <w:r>
        <w:rPr>
          <w:color w:val="231F20"/>
          <w:spacing w:val="-2"/>
        </w:rPr>
        <w:t>suffisamment</w:t>
      </w:r>
      <w:r>
        <w:rPr>
          <w:color w:val="231F20"/>
          <w:spacing w:val="-13"/>
        </w:rPr>
        <w:t> </w:t>
      </w:r>
      <w:r>
        <w:rPr>
          <w:color w:val="231F20"/>
          <w:spacing w:val="-2"/>
        </w:rPr>
        <w:t>de</w:t>
      </w:r>
      <w:r>
        <w:rPr>
          <w:color w:val="231F20"/>
          <w:spacing w:val="-13"/>
        </w:rPr>
        <w:t> </w:t>
      </w:r>
      <w:r>
        <w:rPr>
          <w:color w:val="231F20"/>
          <w:spacing w:val="-2"/>
        </w:rPr>
        <w:t>biens</w:t>
      </w:r>
      <w:r>
        <w:rPr>
          <w:color w:val="231F20"/>
          <w:spacing w:val="-13"/>
        </w:rPr>
        <w:t> </w:t>
      </w:r>
      <w:r>
        <w:rPr>
          <w:color w:val="231F20"/>
          <w:spacing w:val="-2"/>
        </w:rPr>
        <w:t>vivriers</w:t>
      </w:r>
      <w:r>
        <w:rPr>
          <w:color w:val="231F20"/>
          <w:spacing w:val="-12"/>
        </w:rPr>
        <w:t> </w:t>
      </w:r>
      <w:r>
        <w:rPr>
          <w:color w:val="231F20"/>
          <w:spacing w:val="-2"/>
        </w:rPr>
        <w:t>et</w:t>
      </w:r>
      <w:r>
        <w:rPr>
          <w:color w:val="231F20"/>
          <w:spacing w:val="-13"/>
        </w:rPr>
        <w:t> </w:t>
      </w:r>
      <w:r>
        <w:rPr>
          <w:color w:val="231F20"/>
          <w:spacing w:val="-2"/>
        </w:rPr>
        <w:t>faire</w:t>
      </w:r>
      <w:r>
        <w:rPr>
          <w:color w:val="231F20"/>
          <w:spacing w:val="-12"/>
        </w:rPr>
        <w:t> </w:t>
      </w:r>
      <w:r>
        <w:rPr>
          <w:color w:val="231F20"/>
          <w:spacing w:val="-2"/>
        </w:rPr>
        <w:t>en</w:t>
      </w:r>
      <w:r>
        <w:rPr>
          <w:color w:val="231F20"/>
          <w:spacing w:val="-13"/>
        </w:rPr>
        <w:t> </w:t>
      </w:r>
      <w:r>
        <w:rPr>
          <w:color w:val="231F20"/>
          <w:spacing w:val="-2"/>
        </w:rPr>
        <w:t>sorte </w:t>
      </w:r>
      <w:r>
        <w:rPr>
          <w:color w:val="231F20"/>
          <w:spacing w:val="-4"/>
        </w:rPr>
        <w:t>que</w:t>
      </w:r>
      <w:r>
        <w:rPr>
          <w:color w:val="231F20"/>
          <w:spacing w:val="-10"/>
        </w:rPr>
        <w:t> </w:t>
      </w:r>
      <w:r>
        <w:rPr>
          <w:color w:val="231F20"/>
          <w:spacing w:val="-4"/>
        </w:rPr>
        <w:t>les</w:t>
      </w:r>
      <w:r>
        <w:rPr>
          <w:color w:val="231F20"/>
          <w:spacing w:val="-8"/>
        </w:rPr>
        <w:t> </w:t>
      </w:r>
      <w:r>
        <w:rPr>
          <w:color w:val="231F20"/>
          <w:spacing w:val="-4"/>
        </w:rPr>
        <w:t>populations</w:t>
      </w:r>
      <w:r>
        <w:rPr>
          <w:color w:val="231F20"/>
          <w:spacing w:val="-11"/>
        </w:rPr>
        <w:t> </w:t>
      </w:r>
      <w:r>
        <w:rPr>
          <w:color w:val="231F20"/>
          <w:spacing w:val="-4"/>
        </w:rPr>
        <w:t>rurales</w:t>
      </w:r>
      <w:r>
        <w:rPr>
          <w:color w:val="231F20"/>
          <w:spacing w:val="-11"/>
        </w:rPr>
        <w:t> </w:t>
      </w:r>
      <w:r>
        <w:rPr>
          <w:color w:val="231F20"/>
          <w:spacing w:val="-4"/>
        </w:rPr>
        <w:t>ne</w:t>
      </w:r>
      <w:r>
        <w:rPr>
          <w:color w:val="231F20"/>
          <w:spacing w:val="-11"/>
        </w:rPr>
        <w:t> </w:t>
      </w:r>
      <w:r>
        <w:rPr>
          <w:color w:val="231F20"/>
          <w:spacing w:val="-4"/>
        </w:rPr>
        <w:t>soient</w:t>
      </w:r>
      <w:r>
        <w:rPr>
          <w:color w:val="231F20"/>
          <w:spacing w:val="-11"/>
        </w:rPr>
        <w:t> </w:t>
      </w:r>
      <w:r>
        <w:rPr>
          <w:color w:val="231F20"/>
          <w:spacing w:val="-4"/>
        </w:rPr>
        <w:t>pas</w:t>
      </w:r>
      <w:r>
        <w:rPr>
          <w:color w:val="231F20"/>
          <w:spacing w:val="-11"/>
        </w:rPr>
        <w:t> </w:t>
      </w:r>
      <w:r>
        <w:rPr>
          <w:color w:val="231F20"/>
          <w:spacing w:val="-4"/>
        </w:rPr>
        <w:t>laissées</w:t>
      </w:r>
      <w:r>
        <w:rPr>
          <w:color w:val="231F20"/>
          <w:spacing w:val="-11"/>
        </w:rPr>
        <w:t> </w:t>
      </w:r>
      <w:r>
        <w:rPr>
          <w:color w:val="231F20"/>
          <w:spacing w:val="-4"/>
        </w:rPr>
        <w:t>pour</w:t>
      </w:r>
      <w:r>
        <w:rPr>
          <w:color w:val="231F20"/>
          <w:spacing w:val="-9"/>
        </w:rPr>
        <w:t> </w:t>
      </w:r>
      <w:r>
        <w:rPr>
          <w:color w:val="231F20"/>
          <w:spacing w:val="-4"/>
        </w:rPr>
        <w:t>compte,</w:t>
      </w:r>
      <w:r>
        <w:rPr>
          <w:color w:val="231F20"/>
          <w:spacing w:val="-11"/>
        </w:rPr>
        <w:t> </w:t>
      </w:r>
      <w:r>
        <w:rPr>
          <w:color w:val="231F20"/>
          <w:spacing w:val="-4"/>
        </w:rPr>
        <w:t>notamment </w:t>
      </w:r>
      <w:r>
        <w:rPr>
          <w:color w:val="231F20"/>
        </w:rPr>
        <w:t>en</w:t>
      </w:r>
      <w:r>
        <w:rPr>
          <w:color w:val="231F20"/>
          <w:spacing w:val="-15"/>
        </w:rPr>
        <w:t> </w:t>
      </w:r>
      <w:r>
        <w:rPr>
          <w:color w:val="231F20"/>
        </w:rPr>
        <w:t>ce</w:t>
      </w:r>
      <w:r>
        <w:rPr>
          <w:color w:val="231F20"/>
          <w:spacing w:val="-15"/>
        </w:rPr>
        <w:t> </w:t>
      </w:r>
      <w:r>
        <w:rPr>
          <w:color w:val="231F20"/>
        </w:rPr>
        <w:t>qui</w:t>
      </w:r>
      <w:r>
        <w:rPr>
          <w:color w:val="231F20"/>
          <w:spacing w:val="-15"/>
        </w:rPr>
        <w:t> </w:t>
      </w:r>
      <w:r>
        <w:rPr>
          <w:color w:val="231F20"/>
        </w:rPr>
        <w:t>concerne</w:t>
      </w:r>
      <w:r>
        <w:rPr>
          <w:color w:val="231F20"/>
          <w:spacing w:val="-15"/>
        </w:rPr>
        <w:t> </w:t>
      </w:r>
      <w:r>
        <w:rPr>
          <w:color w:val="231F20"/>
        </w:rPr>
        <w:t>l’accès</w:t>
      </w:r>
      <w:r>
        <w:rPr>
          <w:color w:val="231F20"/>
          <w:spacing w:val="-15"/>
        </w:rPr>
        <w:t> </w:t>
      </w:r>
      <w:r>
        <w:rPr>
          <w:color w:val="231F20"/>
        </w:rPr>
        <w:t>à</w:t>
      </w:r>
      <w:r>
        <w:rPr>
          <w:color w:val="231F20"/>
          <w:spacing w:val="-15"/>
        </w:rPr>
        <w:t> </w:t>
      </w:r>
      <w:r>
        <w:rPr>
          <w:color w:val="231F20"/>
        </w:rPr>
        <w:t>l’éducation</w:t>
      </w:r>
      <w:r>
        <w:rPr>
          <w:color w:val="231F20"/>
          <w:spacing w:val="-15"/>
        </w:rPr>
        <w:t> </w:t>
      </w:r>
      <w:r>
        <w:rPr>
          <w:color w:val="231F20"/>
        </w:rPr>
        <w:t>et</w:t>
      </w:r>
      <w:r>
        <w:rPr>
          <w:color w:val="231F20"/>
          <w:spacing w:val="-15"/>
        </w:rPr>
        <w:t> </w:t>
      </w:r>
      <w:r>
        <w:rPr>
          <w:color w:val="231F20"/>
        </w:rPr>
        <w:t>à</w:t>
      </w:r>
      <w:r>
        <w:rPr>
          <w:color w:val="231F20"/>
          <w:spacing w:val="-15"/>
        </w:rPr>
        <w:t> </w:t>
      </w:r>
      <w:r>
        <w:rPr>
          <w:color w:val="231F20"/>
        </w:rPr>
        <w:t>la</w:t>
      </w:r>
      <w:r>
        <w:rPr>
          <w:color w:val="231F20"/>
          <w:spacing w:val="-15"/>
        </w:rPr>
        <w:t> </w:t>
      </w:r>
      <w:r>
        <w:rPr>
          <w:color w:val="231F20"/>
        </w:rPr>
        <w:t>distribution</w:t>
      </w:r>
      <w:r>
        <w:rPr>
          <w:color w:val="231F20"/>
          <w:spacing w:val="-15"/>
        </w:rPr>
        <w:t> </w:t>
      </w:r>
      <w:r>
        <w:rPr>
          <w:color w:val="231F20"/>
        </w:rPr>
        <w:t>de</w:t>
      </w:r>
      <w:r>
        <w:rPr>
          <w:color w:val="231F20"/>
          <w:spacing w:val="-15"/>
        </w:rPr>
        <w:t> </w:t>
      </w:r>
      <w:r>
        <w:rPr>
          <w:color w:val="231F20"/>
        </w:rPr>
        <w:t>la</w:t>
      </w:r>
      <w:r>
        <w:rPr>
          <w:color w:val="231F20"/>
          <w:spacing w:val="-15"/>
        </w:rPr>
        <w:t> </w:t>
      </w:r>
      <w:r>
        <w:rPr>
          <w:color w:val="231F20"/>
        </w:rPr>
        <w:t>richesse du pays.</w:t>
      </w:r>
    </w:p>
    <w:p>
      <w:pPr>
        <w:pStyle w:val="BodyText"/>
        <w:spacing w:before="120"/>
        <w:ind w:right="107" w:firstLine="283"/>
      </w:pPr>
      <w:r>
        <w:rPr>
          <w:color w:val="231F20"/>
        </w:rPr>
        <w:t>Le</w:t>
      </w:r>
      <w:r>
        <w:rPr>
          <w:color w:val="231F20"/>
          <w:spacing w:val="-15"/>
        </w:rPr>
        <w:t> </w:t>
      </w:r>
      <w:r>
        <w:rPr>
          <w:color w:val="231F20"/>
        </w:rPr>
        <w:t>sous-sol</w:t>
      </w:r>
      <w:r>
        <w:rPr>
          <w:color w:val="231F20"/>
          <w:spacing w:val="-15"/>
        </w:rPr>
        <w:t> </w:t>
      </w:r>
      <w:r>
        <w:rPr>
          <w:color w:val="231F20"/>
        </w:rPr>
        <w:t>est</w:t>
      </w:r>
      <w:r>
        <w:rPr>
          <w:color w:val="231F20"/>
          <w:spacing w:val="-15"/>
        </w:rPr>
        <w:t> </w:t>
      </w:r>
      <w:r>
        <w:rPr>
          <w:color w:val="231F20"/>
        </w:rPr>
        <w:t>très</w:t>
      </w:r>
      <w:r>
        <w:rPr>
          <w:color w:val="231F20"/>
          <w:spacing w:val="-15"/>
        </w:rPr>
        <w:t> </w:t>
      </w:r>
      <w:r>
        <w:rPr>
          <w:color w:val="231F20"/>
        </w:rPr>
        <w:t>riche…</w:t>
      </w:r>
      <w:r>
        <w:rPr>
          <w:color w:val="231F20"/>
          <w:spacing w:val="-15"/>
        </w:rPr>
        <w:t> </w:t>
      </w:r>
      <w:r>
        <w:rPr>
          <w:color w:val="231F20"/>
        </w:rPr>
        <w:t>Mais</w:t>
      </w:r>
      <w:r>
        <w:rPr>
          <w:color w:val="231F20"/>
          <w:spacing w:val="-15"/>
        </w:rPr>
        <w:t> </w:t>
      </w:r>
      <w:r>
        <w:rPr>
          <w:color w:val="231F20"/>
        </w:rPr>
        <w:t>cela</w:t>
      </w:r>
      <w:r>
        <w:rPr>
          <w:color w:val="231F20"/>
          <w:spacing w:val="-15"/>
        </w:rPr>
        <w:t> </w:t>
      </w:r>
      <w:r>
        <w:rPr>
          <w:color w:val="231F20"/>
        </w:rPr>
        <w:t>ne</w:t>
      </w:r>
      <w:r>
        <w:rPr>
          <w:color w:val="231F20"/>
          <w:spacing w:val="-15"/>
        </w:rPr>
        <w:t> </w:t>
      </w:r>
      <w:r>
        <w:rPr>
          <w:color w:val="231F20"/>
        </w:rPr>
        <w:t>suffit</w:t>
      </w:r>
      <w:r>
        <w:rPr>
          <w:color w:val="231F20"/>
          <w:spacing w:val="-15"/>
        </w:rPr>
        <w:t> </w:t>
      </w:r>
      <w:r>
        <w:rPr>
          <w:color w:val="231F20"/>
        </w:rPr>
        <w:t>pas</w:t>
      </w:r>
      <w:r>
        <w:rPr>
          <w:color w:val="231F20"/>
          <w:spacing w:val="-15"/>
        </w:rPr>
        <w:t> </w:t>
      </w:r>
      <w:r>
        <w:rPr>
          <w:color w:val="231F20"/>
        </w:rPr>
        <w:t>pour</w:t>
      </w:r>
      <w:r>
        <w:rPr>
          <w:color w:val="231F20"/>
          <w:spacing w:val="-15"/>
        </w:rPr>
        <w:t> </w:t>
      </w:r>
      <w:r>
        <w:rPr>
          <w:color w:val="231F20"/>
        </w:rPr>
        <w:t>rendre</w:t>
      </w:r>
      <w:r>
        <w:rPr>
          <w:color w:val="231F20"/>
          <w:spacing w:val="-15"/>
        </w:rPr>
        <w:t> </w:t>
      </w:r>
      <w:r>
        <w:rPr>
          <w:color w:val="231F20"/>
        </w:rPr>
        <w:t>le</w:t>
      </w:r>
      <w:r>
        <w:rPr>
          <w:color w:val="231F20"/>
          <w:spacing w:val="-15"/>
        </w:rPr>
        <w:t> </w:t>
      </w:r>
      <w:r>
        <w:rPr>
          <w:color w:val="231F20"/>
        </w:rPr>
        <w:t>rêve possible si cette manne profite à d’autres. L’avenir de l’Afrique réside dans</w:t>
      </w:r>
      <w:r>
        <w:rPr>
          <w:color w:val="231F20"/>
          <w:spacing w:val="-5"/>
        </w:rPr>
        <w:t> </w:t>
      </w:r>
      <w:r>
        <w:rPr>
          <w:color w:val="231F20"/>
        </w:rPr>
        <w:t>la</w:t>
      </w:r>
      <w:r>
        <w:rPr>
          <w:color w:val="231F20"/>
          <w:spacing w:val="-8"/>
        </w:rPr>
        <w:t> </w:t>
      </w:r>
      <w:r>
        <w:rPr>
          <w:color w:val="231F20"/>
        </w:rPr>
        <w:t>transformation</w:t>
      </w:r>
      <w:r>
        <w:rPr>
          <w:color w:val="231F20"/>
          <w:spacing w:val="-7"/>
        </w:rPr>
        <w:t> </w:t>
      </w:r>
      <w:r>
        <w:rPr>
          <w:color w:val="231F20"/>
        </w:rPr>
        <w:t>intégrale</w:t>
      </w:r>
      <w:r>
        <w:rPr>
          <w:color w:val="231F20"/>
          <w:spacing w:val="-5"/>
        </w:rPr>
        <w:t> </w:t>
      </w:r>
      <w:r>
        <w:rPr>
          <w:color w:val="231F20"/>
        </w:rPr>
        <w:t>de</w:t>
      </w:r>
      <w:r>
        <w:rPr>
          <w:color w:val="231F20"/>
          <w:spacing w:val="-5"/>
        </w:rPr>
        <w:t> </w:t>
      </w:r>
      <w:r>
        <w:rPr>
          <w:color w:val="231F20"/>
        </w:rPr>
        <w:t>ses</w:t>
      </w:r>
      <w:r>
        <w:rPr>
          <w:color w:val="231F20"/>
          <w:spacing w:val="-7"/>
        </w:rPr>
        <w:t> </w:t>
      </w:r>
      <w:r>
        <w:rPr>
          <w:color w:val="231F20"/>
        </w:rPr>
        <w:t>matières</w:t>
      </w:r>
      <w:r>
        <w:rPr>
          <w:color w:val="231F20"/>
          <w:spacing w:val="-5"/>
        </w:rPr>
        <w:t> </w:t>
      </w:r>
      <w:r>
        <w:rPr>
          <w:color w:val="231F20"/>
        </w:rPr>
        <w:t>premières.</w:t>
      </w:r>
    </w:p>
    <w:p>
      <w:pPr>
        <w:pStyle w:val="BodyText"/>
        <w:spacing w:before="121"/>
        <w:ind w:right="106" w:firstLine="340"/>
      </w:pPr>
      <w:r>
        <w:rPr>
          <w:color w:val="231F20"/>
        </w:rPr>
        <w:t>Le soleil en tant qu’énergie renouvelable est à même d’offrir </w:t>
      </w:r>
      <w:r>
        <w:rPr>
          <w:color w:val="231F20"/>
          <w:spacing w:val="-4"/>
        </w:rPr>
        <w:t>l’opportunité</w:t>
      </w:r>
      <w:r>
        <w:rPr>
          <w:color w:val="231F20"/>
          <w:spacing w:val="-14"/>
        </w:rPr>
        <w:t> </w:t>
      </w:r>
      <w:r>
        <w:rPr>
          <w:color w:val="231F20"/>
          <w:spacing w:val="-4"/>
        </w:rPr>
        <w:t>aux</w:t>
      </w:r>
      <w:r>
        <w:rPr>
          <w:color w:val="231F20"/>
          <w:spacing w:val="-13"/>
        </w:rPr>
        <w:t> </w:t>
      </w:r>
      <w:r>
        <w:rPr>
          <w:color w:val="231F20"/>
          <w:spacing w:val="-4"/>
        </w:rPr>
        <w:t>populations</w:t>
      </w:r>
      <w:r>
        <w:rPr>
          <w:color w:val="231F20"/>
          <w:spacing w:val="-13"/>
        </w:rPr>
        <w:t> </w:t>
      </w:r>
      <w:r>
        <w:rPr>
          <w:color w:val="231F20"/>
          <w:spacing w:val="-4"/>
        </w:rPr>
        <w:t>de</w:t>
      </w:r>
      <w:r>
        <w:rPr>
          <w:color w:val="231F20"/>
          <w:spacing w:val="-9"/>
        </w:rPr>
        <w:t> </w:t>
      </w:r>
      <w:r>
        <w:rPr>
          <w:color w:val="231F20"/>
          <w:spacing w:val="-4"/>
        </w:rPr>
        <w:t>bénéficier</w:t>
      </w:r>
      <w:r>
        <w:rPr>
          <w:color w:val="231F20"/>
          <w:spacing w:val="-13"/>
        </w:rPr>
        <w:t> </w:t>
      </w:r>
      <w:r>
        <w:rPr>
          <w:color w:val="231F20"/>
          <w:spacing w:val="-4"/>
        </w:rPr>
        <w:t>de</w:t>
      </w:r>
      <w:r>
        <w:rPr>
          <w:color w:val="231F20"/>
          <w:spacing w:val="-10"/>
        </w:rPr>
        <w:t> </w:t>
      </w:r>
      <w:r>
        <w:rPr>
          <w:color w:val="231F20"/>
          <w:spacing w:val="-4"/>
        </w:rPr>
        <w:t>l’électricité</w:t>
      </w:r>
      <w:r>
        <w:rPr>
          <w:color w:val="231F20"/>
          <w:spacing w:val="-14"/>
        </w:rPr>
        <w:t> </w:t>
      </w:r>
      <w:r>
        <w:rPr>
          <w:color w:val="231F20"/>
          <w:spacing w:val="-4"/>
        </w:rPr>
        <w:t>à</w:t>
      </w:r>
      <w:r>
        <w:rPr>
          <w:color w:val="231F20"/>
          <w:spacing w:val="-10"/>
        </w:rPr>
        <w:t> </w:t>
      </w:r>
      <w:r>
        <w:rPr>
          <w:color w:val="231F20"/>
          <w:spacing w:val="-4"/>
        </w:rPr>
        <w:t>moindre</w:t>
      </w:r>
      <w:r>
        <w:rPr>
          <w:color w:val="231F20"/>
          <w:spacing w:val="-10"/>
        </w:rPr>
        <w:t> </w:t>
      </w:r>
      <w:r>
        <w:rPr>
          <w:color w:val="231F20"/>
          <w:spacing w:val="-4"/>
        </w:rPr>
        <w:t>coût.</w:t>
      </w:r>
    </w:p>
    <w:p>
      <w:pPr>
        <w:pStyle w:val="BodyText"/>
        <w:spacing w:before="120"/>
        <w:ind w:right="106" w:firstLine="340"/>
      </w:pPr>
      <w:r>
        <w:rPr>
          <w:color w:val="231F20"/>
          <w:spacing w:val="-2"/>
        </w:rPr>
        <w:t>Lorsque</w:t>
      </w:r>
      <w:r>
        <w:rPr>
          <w:color w:val="231F20"/>
          <w:spacing w:val="-12"/>
        </w:rPr>
        <w:t> </w:t>
      </w:r>
      <w:r>
        <w:rPr>
          <w:color w:val="231F20"/>
          <w:spacing w:val="-2"/>
        </w:rPr>
        <w:t>les</w:t>
      </w:r>
      <w:r>
        <w:rPr>
          <w:color w:val="231F20"/>
          <w:spacing w:val="-12"/>
        </w:rPr>
        <w:t> </w:t>
      </w:r>
      <w:r>
        <w:rPr>
          <w:color w:val="231F20"/>
          <w:spacing w:val="-2"/>
        </w:rPr>
        <w:t>bénéfices</w:t>
      </w:r>
      <w:r>
        <w:rPr>
          <w:color w:val="231F20"/>
          <w:spacing w:val="-10"/>
        </w:rPr>
        <w:t> </w:t>
      </w:r>
      <w:r>
        <w:rPr>
          <w:color w:val="231F20"/>
          <w:spacing w:val="-2"/>
        </w:rPr>
        <w:t>des</w:t>
      </w:r>
      <w:r>
        <w:rPr>
          <w:color w:val="231F20"/>
          <w:spacing w:val="-12"/>
        </w:rPr>
        <w:t> </w:t>
      </w:r>
      <w:r>
        <w:rPr>
          <w:color w:val="231F20"/>
          <w:spacing w:val="-2"/>
        </w:rPr>
        <w:t>matières</w:t>
      </w:r>
      <w:r>
        <w:rPr>
          <w:color w:val="231F20"/>
          <w:spacing w:val="-12"/>
        </w:rPr>
        <w:t> </w:t>
      </w:r>
      <w:r>
        <w:rPr>
          <w:color w:val="231F20"/>
          <w:spacing w:val="-2"/>
        </w:rPr>
        <w:t>premières</w:t>
      </w:r>
      <w:r>
        <w:rPr>
          <w:color w:val="231F20"/>
          <w:spacing w:val="-10"/>
        </w:rPr>
        <w:t> </w:t>
      </w:r>
      <w:r>
        <w:rPr>
          <w:color w:val="231F20"/>
          <w:spacing w:val="-2"/>
        </w:rPr>
        <w:t>serviront</w:t>
      </w:r>
      <w:r>
        <w:rPr>
          <w:color w:val="231F20"/>
          <w:spacing w:val="-10"/>
        </w:rPr>
        <w:t> </w:t>
      </w:r>
      <w:r>
        <w:rPr>
          <w:color w:val="231F20"/>
          <w:spacing w:val="-2"/>
        </w:rPr>
        <w:t>effectivement à</w:t>
      </w:r>
      <w:r>
        <w:rPr>
          <w:color w:val="231F20"/>
          <w:spacing w:val="-12"/>
        </w:rPr>
        <w:t> </w:t>
      </w:r>
      <w:r>
        <w:rPr>
          <w:color w:val="231F20"/>
          <w:spacing w:val="-2"/>
        </w:rPr>
        <w:t>créer</w:t>
      </w:r>
      <w:r>
        <w:rPr>
          <w:color w:val="231F20"/>
          <w:spacing w:val="-12"/>
        </w:rPr>
        <w:t> </w:t>
      </w:r>
      <w:r>
        <w:rPr>
          <w:color w:val="231F20"/>
          <w:spacing w:val="-2"/>
        </w:rPr>
        <w:t>de</w:t>
      </w:r>
      <w:r>
        <w:rPr>
          <w:color w:val="231F20"/>
          <w:spacing w:val="-12"/>
        </w:rPr>
        <w:t> </w:t>
      </w:r>
      <w:r>
        <w:rPr>
          <w:color w:val="231F20"/>
          <w:spacing w:val="-2"/>
        </w:rPr>
        <w:t>la</w:t>
      </w:r>
      <w:r>
        <w:rPr>
          <w:color w:val="231F20"/>
          <w:spacing w:val="-12"/>
        </w:rPr>
        <w:t> </w:t>
      </w:r>
      <w:r>
        <w:rPr>
          <w:color w:val="231F20"/>
          <w:spacing w:val="-2"/>
        </w:rPr>
        <w:t>richesse</w:t>
      </w:r>
      <w:r>
        <w:rPr>
          <w:color w:val="231F20"/>
          <w:spacing w:val="-12"/>
        </w:rPr>
        <w:t> </w:t>
      </w:r>
      <w:r>
        <w:rPr>
          <w:color w:val="231F20"/>
          <w:spacing w:val="-2"/>
        </w:rPr>
        <w:t>pour</w:t>
      </w:r>
      <w:r>
        <w:rPr>
          <w:color w:val="231F20"/>
          <w:spacing w:val="-13"/>
        </w:rPr>
        <w:t> </w:t>
      </w:r>
      <w:r>
        <w:rPr>
          <w:color w:val="231F20"/>
          <w:spacing w:val="-2"/>
        </w:rPr>
        <w:t>les</w:t>
      </w:r>
      <w:r>
        <w:rPr>
          <w:color w:val="231F20"/>
          <w:spacing w:val="-11"/>
        </w:rPr>
        <w:t> </w:t>
      </w:r>
      <w:r>
        <w:rPr>
          <w:color w:val="231F20"/>
          <w:spacing w:val="-2"/>
        </w:rPr>
        <w:t>pays</w:t>
      </w:r>
      <w:r>
        <w:rPr>
          <w:color w:val="231F20"/>
          <w:spacing w:val="-13"/>
        </w:rPr>
        <w:t> </w:t>
      </w:r>
      <w:r>
        <w:rPr>
          <w:color w:val="231F20"/>
          <w:spacing w:val="-2"/>
        </w:rPr>
        <w:t>et</w:t>
      </w:r>
      <w:r>
        <w:rPr>
          <w:color w:val="231F20"/>
          <w:spacing w:val="-11"/>
        </w:rPr>
        <w:t> </w:t>
      </w:r>
      <w:r>
        <w:rPr>
          <w:color w:val="231F20"/>
          <w:spacing w:val="-2"/>
        </w:rPr>
        <w:t>les</w:t>
      </w:r>
      <w:r>
        <w:rPr>
          <w:color w:val="231F20"/>
          <w:spacing w:val="-11"/>
        </w:rPr>
        <w:t> </w:t>
      </w:r>
      <w:r>
        <w:rPr>
          <w:color w:val="231F20"/>
          <w:spacing w:val="-2"/>
        </w:rPr>
        <w:t>populations,</w:t>
      </w:r>
      <w:r>
        <w:rPr>
          <w:color w:val="231F20"/>
          <w:spacing w:val="-11"/>
        </w:rPr>
        <w:t> </w:t>
      </w:r>
      <w:r>
        <w:rPr>
          <w:color w:val="231F20"/>
          <w:spacing w:val="-2"/>
        </w:rPr>
        <w:t>en</w:t>
      </w:r>
      <w:r>
        <w:rPr>
          <w:color w:val="231F20"/>
          <w:spacing w:val="-11"/>
        </w:rPr>
        <w:t> </w:t>
      </w:r>
      <w:r>
        <w:rPr>
          <w:color w:val="231F20"/>
          <w:spacing w:val="-2"/>
        </w:rPr>
        <w:t>mettant</w:t>
      </w:r>
      <w:r>
        <w:rPr>
          <w:color w:val="231F20"/>
          <w:spacing w:val="-11"/>
        </w:rPr>
        <w:t> </w:t>
      </w:r>
      <w:r>
        <w:rPr>
          <w:color w:val="231F20"/>
          <w:spacing w:val="-2"/>
        </w:rPr>
        <w:t>en</w:t>
      </w:r>
      <w:r>
        <w:rPr>
          <w:color w:val="231F20"/>
          <w:spacing w:val="-11"/>
        </w:rPr>
        <w:t> </w:t>
      </w:r>
      <w:r>
        <w:rPr>
          <w:color w:val="231F20"/>
          <w:spacing w:val="-2"/>
        </w:rPr>
        <w:t>avant </w:t>
      </w:r>
      <w:r>
        <w:rPr>
          <w:color w:val="231F20"/>
          <w:spacing w:val="-4"/>
        </w:rPr>
        <w:t>l’intérêt</w:t>
      </w:r>
      <w:r>
        <w:rPr>
          <w:color w:val="231F20"/>
          <w:spacing w:val="-11"/>
        </w:rPr>
        <w:t> </w:t>
      </w:r>
      <w:r>
        <w:rPr>
          <w:color w:val="231F20"/>
          <w:spacing w:val="-4"/>
        </w:rPr>
        <w:t>général</w:t>
      </w:r>
      <w:r>
        <w:rPr>
          <w:color w:val="231F20"/>
          <w:spacing w:val="-11"/>
        </w:rPr>
        <w:t> </w:t>
      </w:r>
      <w:r>
        <w:rPr>
          <w:color w:val="231F20"/>
          <w:spacing w:val="-4"/>
        </w:rPr>
        <w:t>et</w:t>
      </w:r>
      <w:r>
        <w:rPr>
          <w:color w:val="231F20"/>
          <w:spacing w:val="-9"/>
        </w:rPr>
        <w:t> </w:t>
      </w:r>
      <w:r>
        <w:rPr>
          <w:color w:val="231F20"/>
          <w:spacing w:val="-4"/>
        </w:rPr>
        <w:t>non</w:t>
      </w:r>
      <w:r>
        <w:rPr>
          <w:color w:val="231F20"/>
          <w:spacing w:val="-11"/>
        </w:rPr>
        <w:t> </w:t>
      </w:r>
      <w:r>
        <w:rPr>
          <w:color w:val="231F20"/>
          <w:spacing w:val="-4"/>
        </w:rPr>
        <w:t>celui</w:t>
      </w:r>
      <w:r>
        <w:rPr>
          <w:color w:val="231F20"/>
          <w:spacing w:val="-11"/>
        </w:rPr>
        <w:t> </w:t>
      </w:r>
      <w:r>
        <w:rPr>
          <w:color w:val="231F20"/>
          <w:spacing w:val="-4"/>
        </w:rPr>
        <w:t>d’une</w:t>
      </w:r>
      <w:r>
        <w:rPr>
          <w:color w:val="231F20"/>
          <w:spacing w:val="-9"/>
        </w:rPr>
        <w:t> </w:t>
      </w:r>
      <w:r>
        <w:rPr>
          <w:color w:val="231F20"/>
          <w:spacing w:val="-4"/>
        </w:rPr>
        <w:t>famille,</w:t>
      </w:r>
      <w:r>
        <w:rPr>
          <w:color w:val="231F20"/>
          <w:spacing w:val="-11"/>
        </w:rPr>
        <w:t> </w:t>
      </w:r>
      <w:r>
        <w:rPr>
          <w:color w:val="231F20"/>
          <w:spacing w:val="-4"/>
        </w:rPr>
        <w:t>d’un</w:t>
      </w:r>
      <w:r>
        <w:rPr>
          <w:color w:val="231F20"/>
          <w:spacing w:val="-11"/>
        </w:rPr>
        <w:t> </w:t>
      </w:r>
      <w:r>
        <w:rPr>
          <w:color w:val="231F20"/>
          <w:spacing w:val="-4"/>
        </w:rPr>
        <w:t>clan,</w:t>
      </w:r>
      <w:r>
        <w:rPr>
          <w:color w:val="231F20"/>
          <w:spacing w:val="-10"/>
        </w:rPr>
        <w:t> </w:t>
      </w:r>
      <w:r>
        <w:rPr>
          <w:color w:val="231F20"/>
          <w:spacing w:val="-4"/>
        </w:rPr>
        <w:t>d’une</w:t>
      </w:r>
      <w:r>
        <w:rPr>
          <w:color w:val="231F20"/>
          <w:spacing w:val="-10"/>
        </w:rPr>
        <w:t> </w:t>
      </w:r>
      <w:r>
        <w:rPr>
          <w:color w:val="231F20"/>
          <w:spacing w:val="-4"/>
        </w:rPr>
        <w:t>tribu</w:t>
      </w:r>
      <w:r>
        <w:rPr>
          <w:color w:val="231F20"/>
          <w:spacing w:val="-11"/>
        </w:rPr>
        <w:t> </w:t>
      </w:r>
      <w:r>
        <w:rPr>
          <w:color w:val="231F20"/>
          <w:spacing w:val="-4"/>
        </w:rPr>
        <w:t>ou</w:t>
      </w:r>
      <w:r>
        <w:rPr>
          <w:color w:val="231F20"/>
          <w:spacing w:val="-11"/>
        </w:rPr>
        <w:t> </w:t>
      </w:r>
      <w:r>
        <w:rPr>
          <w:color w:val="231F20"/>
          <w:spacing w:val="-4"/>
        </w:rPr>
        <w:t>d’une </w:t>
      </w:r>
      <w:r>
        <w:rPr>
          <w:color w:val="231F20"/>
        </w:rPr>
        <w:t>région, le rêve de développement partagé par tous les Africains et singulièrement</w:t>
      </w:r>
      <w:r>
        <w:rPr>
          <w:color w:val="231F20"/>
          <w:spacing w:val="-10"/>
        </w:rPr>
        <w:t> </w:t>
      </w:r>
      <w:r>
        <w:rPr>
          <w:color w:val="231F20"/>
        </w:rPr>
        <w:t>ceux</w:t>
      </w:r>
      <w:r>
        <w:rPr>
          <w:color w:val="231F20"/>
          <w:spacing w:val="-10"/>
        </w:rPr>
        <w:t> </w:t>
      </w:r>
      <w:r>
        <w:rPr>
          <w:color w:val="231F20"/>
        </w:rPr>
        <w:t>de</w:t>
      </w:r>
      <w:r>
        <w:rPr>
          <w:color w:val="231F20"/>
          <w:spacing w:val="-11"/>
        </w:rPr>
        <w:t> </w:t>
      </w:r>
      <w:r>
        <w:rPr>
          <w:color w:val="231F20"/>
        </w:rPr>
        <w:t>l’Afrique</w:t>
      </w:r>
      <w:r>
        <w:rPr>
          <w:color w:val="231F20"/>
          <w:spacing w:val="-10"/>
        </w:rPr>
        <w:t> </w:t>
      </w:r>
      <w:r>
        <w:rPr>
          <w:color w:val="231F20"/>
        </w:rPr>
        <w:t>noire</w:t>
      </w:r>
      <w:r>
        <w:rPr>
          <w:color w:val="231F20"/>
          <w:spacing w:val="-10"/>
        </w:rPr>
        <w:t> </w:t>
      </w:r>
      <w:r>
        <w:rPr>
          <w:color w:val="231F20"/>
        </w:rPr>
        <w:t>francophone</w:t>
      </w:r>
      <w:r>
        <w:rPr>
          <w:color w:val="231F20"/>
          <w:spacing w:val="-10"/>
        </w:rPr>
        <w:t> </w:t>
      </w:r>
      <w:r>
        <w:rPr>
          <w:color w:val="231F20"/>
        </w:rPr>
        <w:t>deviendra</w:t>
      </w:r>
      <w:r>
        <w:rPr>
          <w:color w:val="231F20"/>
          <w:spacing w:val="-10"/>
        </w:rPr>
        <w:t> </w:t>
      </w:r>
      <w:r>
        <w:rPr>
          <w:color w:val="231F20"/>
        </w:rPr>
        <w:t>réalité.</w:t>
      </w:r>
    </w:p>
    <w:p>
      <w:pPr>
        <w:spacing w:after="0"/>
        <w:sectPr>
          <w:pgSz w:w="8790" w:h="13610"/>
          <w:pgMar w:header="0" w:footer="802" w:top="1060" w:bottom="1000" w:left="880" w:right="880"/>
        </w:sectPr>
      </w:pPr>
    </w:p>
    <w:p>
      <w:pPr>
        <w:pStyle w:val="Heading1"/>
        <w:spacing w:before="88"/>
        <w:ind w:left="1919" w:right="0"/>
        <w:jc w:val="left"/>
      </w:pPr>
      <w:r>
        <w:rPr>
          <w:color w:val="231F20"/>
          <w:spacing w:val="-2"/>
        </w:rPr>
        <w:t>TABLE</w:t>
      </w:r>
      <w:r>
        <w:rPr>
          <w:color w:val="231F20"/>
          <w:spacing w:val="-15"/>
        </w:rPr>
        <w:t> </w:t>
      </w:r>
      <w:r>
        <w:rPr>
          <w:color w:val="231F20"/>
          <w:spacing w:val="-2"/>
        </w:rPr>
        <w:t>DES</w:t>
      </w:r>
      <w:r>
        <w:rPr>
          <w:color w:val="231F20"/>
          <w:spacing w:val="-15"/>
        </w:rPr>
        <w:t> </w:t>
      </w:r>
      <w:r>
        <w:rPr>
          <w:color w:val="231F20"/>
          <w:spacing w:val="-2"/>
        </w:rPr>
        <w:t>MATIERES</w:t>
      </w:r>
    </w:p>
    <w:p>
      <w:pPr>
        <w:spacing w:after="0"/>
        <w:jc w:val="left"/>
        <w:sectPr>
          <w:pgSz w:w="8790" w:h="13610"/>
          <w:pgMar w:header="0" w:footer="802" w:top="1040" w:bottom="1409" w:left="880" w:right="880"/>
        </w:sectPr>
      </w:pPr>
    </w:p>
    <w:sdt>
      <w:sdtPr>
        <w:docPartObj>
          <w:docPartGallery w:val="Table of Contents"/>
          <w:docPartUnique/>
        </w:docPartObj>
      </w:sdtPr>
      <w:sdtEndPr/>
      <w:sdtContent>
        <w:p>
          <w:pPr>
            <w:pStyle w:val="TOC1"/>
            <w:tabs>
              <w:tab w:pos="6907" w:val="right" w:leader="dot"/>
            </w:tabs>
            <w:spacing w:before="577"/>
          </w:pPr>
          <w:hyperlink w:history="true" w:anchor="_TOC_250042">
            <w:r>
              <w:rPr>
                <w:color w:val="231F20"/>
                <w:spacing w:val="-2"/>
              </w:rPr>
              <w:t>Les</w:t>
            </w:r>
            <w:r>
              <w:rPr>
                <w:color w:val="231F20"/>
                <w:spacing w:val="-11"/>
              </w:rPr>
              <w:t> </w:t>
            </w:r>
            <w:r>
              <w:rPr>
                <w:color w:val="231F20"/>
                <w:spacing w:val="-2"/>
              </w:rPr>
              <w:t>Hommes</w:t>
            </w:r>
            <w:r>
              <w:rPr>
                <w:color w:val="231F20"/>
                <w:spacing w:val="-11"/>
              </w:rPr>
              <w:t> </w:t>
            </w:r>
            <w:r>
              <w:rPr>
                <w:color w:val="231F20"/>
                <w:spacing w:val="-2"/>
              </w:rPr>
              <w:t>clairs</w:t>
            </w:r>
            <w:r>
              <w:rPr>
                <w:color w:val="231F20"/>
                <w:spacing w:val="-11"/>
              </w:rPr>
              <w:t> </w:t>
            </w:r>
            <w:r>
              <w:rPr>
                <w:color w:val="231F20"/>
                <w:spacing w:val="-2"/>
              </w:rPr>
              <w:t>venus</w:t>
            </w:r>
            <w:r>
              <w:rPr>
                <w:color w:val="231F20"/>
                <w:spacing w:val="-11"/>
              </w:rPr>
              <w:t> </w:t>
            </w:r>
            <w:r>
              <w:rPr>
                <w:color w:val="231F20"/>
                <w:spacing w:val="-2"/>
              </w:rPr>
              <w:t>du</w:t>
            </w:r>
            <w:r>
              <w:rPr>
                <w:color w:val="231F20"/>
                <w:spacing w:val="-9"/>
              </w:rPr>
              <w:t> </w:t>
            </w:r>
            <w:r>
              <w:rPr>
                <w:color w:val="231F20"/>
                <w:spacing w:val="-2"/>
              </w:rPr>
              <w:t>désert</w:t>
            </w:r>
            <w:r>
              <w:rPr>
                <w:color w:val="231F20"/>
              </w:rPr>
              <w:tab/>
            </w:r>
            <w:r>
              <w:rPr>
                <w:color w:val="231F20"/>
                <w:spacing w:val="-5"/>
              </w:rPr>
              <w:t>17</w:t>
            </w:r>
          </w:hyperlink>
        </w:p>
        <w:p>
          <w:pPr>
            <w:pStyle w:val="TOC2"/>
            <w:tabs>
              <w:tab w:pos="6907" w:val="right" w:leader="dot"/>
            </w:tabs>
          </w:pPr>
          <w:hyperlink w:history="true" w:anchor="_TOC_250041">
            <w:r>
              <w:rPr>
                <w:color w:val="231F20"/>
                <w:spacing w:val="-2"/>
              </w:rPr>
              <w:t>Les</w:t>
            </w:r>
            <w:r>
              <w:rPr>
                <w:color w:val="231F20"/>
                <w:spacing w:val="-11"/>
              </w:rPr>
              <w:t> </w:t>
            </w:r>
            <w:r>
              <w:rPr>
                <w:color w:val="231F20"/>
                <w:spacing w:val="-2"/>
              </w:rPr>
              <w:t>Hommes</w:t>
            </w:r>
            <w:r>
              <w:rPr>
                <w:color w:val="231F20"/>
                <w:spacing w:val="-10"/>
              </w:rPr>
              <w:t> </w:t>
            </w:r>
            <w:r>
              <w:rPr>
                <w:color w:val="231F20"/>
                <w:spacing w:val="-2"/>
              </w:rPr>
              <w:t>blancs</w:t>
            </w:r>
            <w:r>
              <w:rPr>
                <w:color w:val="231F20"/>
                <w:spacing w:val="-10"/>
              </w:rPr>
              <w:t> </w:t>
            </w:r>
            <w:r>
              <w:rPr>
                <w:color w:val="231F20"/>
                <w:spacing w:val="-2"/>
              </w:rPr>
              <w:t>venus</w:t>
            </w:r>
            <w:r>
              <w:rPr>
                <w:color w:val="231F20"/>
                <w:spacing w:val="-9"/>
              </w:rPr>
              <w:t> </w:t>
            </w:r>
            <w:r>
              <w:rPr>
                <w:color w:val="231F20"/>
                <w:spacing w:val="-2"/>
              </w:rPr>
              <w:t>de</w:t>
            </w:r>
            <w:r>
              <w:rPr>
                <w:color w:val="231F20"/>
                <w:spacing w:val="-11"/>
              </w:rPr>
              <w:t> </w:t>
            </w:r>
            <w:r>
              <w:rPr>
                <w:color w:val="231F20"/>
                <w:spacing w:val="-2"/>
              </w:rPr>
              <w:t>la</w:t>
            </w:r>
            <w:r>
              <w:rPr>
                <w:color w:val="231F20"/>
                <w:spacing w:val="-11"/>
              </w:rPr>
              <w:t> </w:t>
            </w:r>
            <w:r>
              <w:rPr>
                <w:color w:val="231F20"/>
                <w:spacing w:val="-5"/>
              </w:rPr>
              <w:t>mer</w:t>
            </w:r>
            <w:r>
              <w:rPr>
                <w:color w:val="231F20"/>
              </w:rPr>
              <w:tab/>
            </w:r>
            <w:r>
              <w:rPr>
                <w:color w:val="231F20"/>
                <w:spacing w:val="-5"/>
              </w:rPr>
              <w:t>19</w:t>
            </w:r>
          </w:hyperlink>
        </w:p>
        <w:p>
          <w:pPr>
            <w:pStyle w:val="TOC4"/>
            <w:tabs>
              <w:tab w:pos="6907" w:val="right" w:leader="dot"/>
            </w:tabs>
            <w:spacing w:before="62"/>
          </w:pPr>
          <w:hyperlink w:history="true" w:anchor="_TOC_250040">
            <w:r>
              <w:rPr>
                <w:color w:val="231F20"/>
                <w:spacing w:val="-2"/>
              </w:rPr>
              <w:t>Animalia</w:t>
            </w:r>
            <w:r>
              <w:rPr>
                <w:color w:val="231F20"/>
              </w:rPr>
              <w:tab/>
            </w:r>
            <w:r>
              <w:rPr>
                <w:color w:val="231F20"/>
                <w:spacing w:val="-5"/>
              </w:rPr>
              <w:t>21</w:t>
            </w:r>
          </w:hyperlink>
        </w:p>
        <w:p>
          <w:pPr>
            <w:pStyle w:val="TOC4"/>
            <w:tabs>
              <w:tab w:pos="6908" w:val="right" w:leader="dot"/>
            </w:tabs>
          </w:pPr>
          <w:r>
            <w:rPr>
              <w:color w:val="231F20"/>
              <w:spacing w:val="-2"/>
            </w:rPr>
            <w:t>Les</w:t>
          </w:r>
          <w:r>
            <w:rPr>
              <w:color w:val="231F20"/>
              <w:spacing w:val="-10"/>
            </w:rPr>
            <w:t> </w:t>
          </w:r>
          <w:r>
            <w:rPr>
              <w:color w:val="231F20"/>
              <w:spacing w:val="-2"/>
            </w:rPr>
            <w:t>larmes</w:t>
          </w:r>
          <w:r>
            <w:rPr>
              <w:color w:val="231F20"/>
              <w:spacing w:val="-9"/>
            </w:rPr>
            <w:t> </w:t>
          </w:r>
          <w:r>
            <w:rPr>
              <w:color w:val="231F20"/>
              <w:spacing w:val="-2"/>
            </w:rPr>
            <w:t>ne</w:t>
          </w:r>
          <w:r>
            <w:rPr>
              <w:color w:val="231F20"/>
              <w:spacing w:val="-11"/>
            </w:rPr>
            <w:t> </w:t>
          </w:r>
          <w:r>
            <w:rPr>
              <w:color w:val="231F20"/>
              <w:spacing w:val="-2"/>
            </w:rPr>
            <w:t>se</w:t>
          </w:r>
          <w:r>
            <w:rPr>
              <w:color w:val="231F20"/>
              <w:spacing w:val="-7"/>
            </w:rPr>
            <w:t> </w:t>
          </w:r>
          <w:r>
            <w:rPr>
              <w:color w:val="231F20"/>
              <w:spacing w:val="-2"/>
            </w:rPr>
            <w:t>voient</w:t>
          </w:r>
          <w:r>
            <w:rPr>
              <w:color w:val="231F20"/>
              <w:spacing w:val="-9"/>
            </w:rPr>
            <w:t> </w:t>
          </w:r>
          <w:r>
            <w:rPr>
              <w:color w:val="231F20"/>
              <w:spacing w:val="-2"/>
            </w:rPr>
            <w:t>pas</w:t>
          </w:r>
          <w:r>
            <w:rPr>
              <w:color w:val="231F20"/>
              <w:spacing w:val="-11"/>
            </w:rPr>
            <w:t> </w:t>
          </w:r>
          <w:r>
            <w:rPr>
              <w:color w:val="231F20"/>
              <w:spacing w:val="-2"/>
            </w:rPr>
            <w:t>sous</w:t>
          </w:r>
          <w:r>
            <w:rPr>
              <w:color w:val="231F20"/>
              <w:spacing w:val="-10"/>
            </w:rPr>
            <w:t> </w:t>
          </w:r>
          <w:r>
            <w:rPr>
              <w:color w:val="231F20"/>
              <w:spacing w:val="-2"/>
            </w:rPr>
            <w:t>la</w:t>
          </w:r>
          <w:r>
            <w:rPr>
              <w:color w:val="231F20"/>
              <w:spacing w:val="-7"/>
            </w:rPr>
            <w:t> </w:t>
          </w:r>
          <w:r>
            <w:rPr>
              <w:color w:val="231F20"/>
              <w:spacing w:val="-4"/>
            </w:rPr>
            <w:t>pluie</w:t>
          </w:r>
          <w:r>
            <w:rPr>
              <w:color w:val="231F20"/>
            </w:rPr>
            <w:tab/>
          </w:r>
          <w:r>
            <w:rPr>
              <w:color w:val="231F20"/>
              <w:spacing w:val="-5"/>
            </w:rPr>
            <w:t>23</w:t>
          </w:r>
        </w:p>
        <w:p>
          <w:pPr>
            <w:pStyle w:val="TOC2"/>
            <w:tabs>
              <w:tab w:pos="6908" w:val="right" w:leader="dot"/>
            </w:tabs>
            <w:spacing w:before="62"/>
          </w:pPr>
          <w:hyperlink w:history="true" w:anchor="_TOC_250039">
            <w:r>
              <w:rPr>
                <w:color w:val="231F20"/>
                <w:spacing w:val="-2"/>
              </w:rPr>
              <w:t>Pot</w:t>
            </w:r>
            <w:r>
              <w:rPr>
                <w:color w:val="231F20"/>
                <w:spacing w:val="-9"/>
              </w:rPr>
              <w:t> </w:t>
            </w:r>
            <w:r>
              <w:rPr>
                <w:color w:val="231F20"/>
                <w:spacing w:val="-2"/>
              </w:rPr>
              <w:t>de</w:t>
            </w:r>
            <w:r>
              <w:rPr>
                <w:color w:val="231F20"/>
                <w:spacing w:val="-9"/>
              </w:rPr>
              <w:t> </w:t>
            </w:r>
            <w:r>
              <w:rPr>
                <w:color w:val="231F20"/>
                <w:spacing w:val="-2"/>
              </w:rPr>
              <w:t>terre</w:t>
            </w:r>
            <w:r>
              <w:rPr>
                <w:color w:val="231F20"/>
                <w:spacing w:val="-9"/>
              </w:rPr>
              <w:t> </w:t>
            </w:r>
            <w:r>
              <w:rPr>
                <w:color w:val="231F20"/>
                <w:spacing w:val="-2"/>
              </w:rPr>
              <w:t>contre</w:t>
            </w:r>
            <w:r>
              <w:rPr>
                <w:color w:val="231F20"/>
                <w:spacing w:val="-9"/>
              </w:rPr>
              <w:t> </w:t>
            </w:r>
            <w:r>
              <w:rPr>
                <w:color w:val="231F20"/>
                <w:spacing w:val="-2"/>
              </w:rPr>
              <w:t>pot</w:t>
            </w:r>
            <w:r>
              <w:rPr>
                <w:color w:val="231F20"/>
                <w:spacing w:val="-8"/>
              </w:rPr>
              <w:t> </w:t>
            </w:r>
            <w:r>
              <w:rPr>
                <w:color w:val="231F20"/>
                <w:spacing w:val="-2"/>
              </w:rPr>
              <w:t>de</w:t>
            </w:r>
            <w:r>
              <w:rPr>
                <w:color w:val="231F20"/>
                <w:spacing w:val="-9"/>
              </w:rPr>
              <w:t> </w:t>
            </w:r>
            <w:r>
              <w:rPr>
                <w:color w:val="231F20"/>
                <w:spacing w:val="-5"/>
              </w:rPr>
              <w:t>fer</w:t>
            </w:r>
            <w:r>
              <w:rPr>
                <w:color w:val="231F20"/>
              </w:rPr>
              <w:tab/>
            </w:r>
            <w:r>
              <w:rPr>
                <w:color w:val="231F20"/>
                <w:spacing w:val="-5"/>
              </w:rPr>
              <w:t>27</w:t>
            </w:r>
          </w:hyperlink>
        </w:p>
        <w:p>
          <w:pPr>
            <w:pStyle w:val="TOC2"/>
            <w:tabs>
              <w:tab w:pos="6907" w:val="right" w:leader="dot"/>
            </w:tabs>
          </w:pPr>
          <w:hyperlink w:history="true" w:anchor="_TOC_250038">
            <w:r>
              <w:rPr>
                <w:color w:val="231F20"/>
                <w:spacing w:val="-2"/>
              </w:rPr>
              <w:t>Le</w:t>
            </w:r>
            <w:r>
              <w:rPr>
                <w:color w:val="231F20"/>
                <w:spacing w:val="-9"/>
              </w:rPr>
              <w:t> </w:t>
            </w:r>
            <w:r>
              <w:rPr>
                <w:color w:val="231F20"/>
                <w:spacing w:val="-2"/>
              </w:rPr>
              <w:t>leurre</w:t>
            </w:r>
            <w:r>
              <w:rPr>
                <w:color w:val="231F20"/>
                <w:spacing w:val="-8"/>
              </w:rPr>
              <w:t> </w:t>
            </w:r>
            <w:r>
              <w:rPr>
                <w:color w:val="231F20"/>
                <w:spacing w:val="-2"/>
              </w:rPr>
              <w:t>de</w:t>
            </w:r>
            <w:r>
              <w:rPr>
                <w:color w:val="231F20"/>
                <w:spacing w:val="-8"/>
              </w:rPr>
              <w:t> </w:t>
            </w:r>
            <w:r>
              <w:rPr>
                <w:color w:val="231F20"/>
                <w:spacing w:val="-2"/>
              </w:rPr>
              <w:t>l’assimilation</w:t>
            </w:r>
            <w:r>
              <w:rPr>
                <w:color w:val="231F20"/>
              </w:rPr>
              <w:tab/>
            </w:r>
            <w:r>
              <w:rPr>
                <w:color w:val="231F20"/>
                <w:spacing w:val="-5"/>
              </w:rPr>
              <w:t>34</w:t>
            </w:r>
          </w:hyperlink>
        </w:p>
        <w:p>
          <w:pPr>
            <w:pStyle w:val="TOC2"/>
            <w:tabs>
              <w:tab w:pos="6907" w:val="right" w:leader="dot"/>
            </w:tabs>
          </w:pPr>
          <w:r>
            <w:rPr>
              <w:color w:val="231F20"/>
              <w:spacing w:val="-2"/>
            </w:rPr>
            <w:t>Le</w:t>
          </w:r>
          <w:r>
            <w:rPr>
              <w:color w:val="231F20"/>
              <w:spacing w:val="-10"/>
            </w:rPr>
            <w:t> </w:t>
          </w:r>
          <w:r>
            <w:rPr>
              <w:color w:val="231F20"/>
              <w:spacing w:val="-2"/>
            </w:rPr>
            <w:t>géant</w:t>
          </w:r>
          <w:r>
            <w:rPr>
              <w:color w:val="231F20"/>
              <w:spacing w:val="-8"/>
            </w:rPr>
            <w:t> </w:t>
          </w:r>
          <w:r>
            <w:rPr>
              <w:color w:val="231F20"/>
              <w:spacing w:val="-2"/>
            </w:rPr>
            <w:t>dépecé</w:t>
          </w:r>
          <w:r>
            <w:rPr>
              <w:color w:val="231F20"/>
              <w:spacing w:val="-8"/>
            </w:rPr>
            <w:t> </w:t>
          </w:r>
          <w:r>
            <w:rPr>
              <w:color w:val="231F20"/>
              <w:spacing w:val="-2"/>
            </w:rPr>
            <w:t>:</w:t>
          </w:r>
          <w:r>
            <w:rPr>
              <w:color w:val="231F20"/>
              <w:spacing w:val="-8"/>
            </w:rPr>
            <w:t> </w:t>
          </w:r>
          <w:r>
            <w:rPr>
              <w:color w:val="231F20"/>
              <w:spacing w:val="-2"/>
            </w:rPr>
            <w:t>la</w:t>
          </w:r>
          <w:r>
            <w:rPr>
              <w:color w:val="231F20"/>
              <w:spacing w:val="-6"/>
            </w:rPr>
            <w:t> </w:t>
          </w:r>
          <w:r>
            <w:rPr>
              <w:color w:val="231F20"/>
              <w:spacing w:val="-5"/>
            </w:rPr>
            <w:t>RDC</w:t>
          </w:r>
          <w:r>
            <w:rPr>
              <w:color w:val="231F20"/>
            </w:rPr>
            <w:tab/>
          </w:r>
          <w:r>
            <w:rPr>
              <w:color w:val="231F20"/>
              <w:spacing w:val="-5"/>
            </w:rPr>
            <w:t>41</w:t>
          </w:r>
        </w:p>
        <w:p>
          <w:pPr>
            <w:pStyle w:val="TOC4"/>
            <w:tabs>
              <w:tab w:pos="6907" w:val="right" w:leader="dot"/>
            </w:tabs>
            <w:spacing w:before="61"/>
          </w:pPr>
          <w:hyperlink w:history="true" w:anchor="_TOC_250037">
            <w:r>
              <w:rPr>
                <w:color w:val="231F20"/>
                <w:spacing w:val="-2"/>
              </w:rPr>
              <w:t>Le</w:t>
            </w:r>
            <w:r>
              <w:rPr>
                <w:color w:val="231F20"/>
                <w:spacing w:val="-11"/>
              </w:rPr>
              <w:t> </w:t>
            </w:r>
            <w:r>
              <w:rPr>
                <w:color w:val="231F20"/>
                <w:spacing w:val="-2"/>
              </w:rPr>
              <w:t>17</w:t>
            </w:r>
            <w:r>
              <w:rPr>
                <w:color w:val="231F20"/>
                <w:spacing w:val="-10"/>
              </w:rPr>
              <w:t> </w:t>
            </w:r>
            <w:r>
              <w:rPr>
                <w:color w:val="231F20"/>
                <w:spacing w:val="-2"/>
              </w:rPr>
              <w:t>janvier</w:t>
            </w:r>
            <w:r>
              <w:rPr>
                <w:color w:val="231F20"/>
                <w:spacing w:val="-7"/>
              </w:rPr>
              <w:t> </w:t>
            </w:r>
            <w:r>
              <w:rPr>
                <w:color w:val="231F20"/>
                <w:spacing w:val="-2"/>
              </w:rPr>
              <w:t>1961,</w:t>
            </w:r>
            <w:r>
              <w:rPr>
                <w:color w:val="231F20"/>
                <w:spacing w:val="-11"/>
              </w:rPr>
              <w:t> </w:t>
            </w:r>
            <w:r>
              <w:rPr>
                <w:color w:val="231F20"/>
                <w:spacing w:val="-2"/>
              </w:rPr>
              <w:t>il</w:t>
            </w:r>
            <w:r>
              <w:rPr>
                <w:color w:val="231F20"/>
                <w:spacing w:val="-8"/>
              </w:rPr>
              <w:t> </w:t>
            </w:r>
            <w:r>
              <w:rPr>
                <w:color w:val="231F20"/>
                <w:spacing w:val="-2"/>
              </w:rPr>
              <w:t>est</w:t>
            </w:r>
            <w:r>
              <w:rPr>
                <w:color w:val="231F20"/>
                <w:spacing w:val="-8"/>
              </w:rPr>
              <w:t> </w:t>
            </w:r>
            <w:r>
              <w:rPr>
                <w:color w:val="231F20"/>
                <w:spacing w:val="-2"/>
              </w:rPr>
              <w:t>assassiné</w:t>
            </w:r>
            <w:r>
              <w:rPr>
                <w:color w:val="231F20"/>
              </w:rPr>
              <w:tab/>
            </w:r>
            <w:r>
              <w:rPr>
                <w:color w:val="231F20"/>
                <w:spacing w:val="-5"/>
              </w:rPr>
              <w:t>45</w:t>
            </w:r>
          </w:hyperlink>
        </w:p>
        <w:p>
          <w:pPr>
            <w:pStyle w:val="TOC4"/>
            <w:spacing w:before="57"/>
          </w:pPr>
          <w:r>
            <w:rPr>
              <w:color w:val="231F20"/>
            </w:rPr>
            <w:t>L’Armée</w:t>
          </w:r>
          <w:r>
            <w:rPr>
              <w:color w:val="231F20"/>
              <w:spacing w:val="78"/>
              <w:w w:val="150"/>
            </w:rPr>
            <w:t> </w:t>
          </w:r>
          <w:r>
            <w:rPr>
              <w:color w:val="231F20"/>
            </w:rPr>
            <w:t>du</w:t>
          </w:r>
          <w:r>
            <w:rPr>
              <w:color w:val="231F20"/>
              <w:spacing w:val="79"/>
              <w:w w:val="150"/>
            </w:rPr>
            <w:t> </w:t>
          </w:r>
          <w:r>
            <w:rPr>
              <w:color w:val="231F20"/>
            </w:rPr>
            <w:t>Zaïre</w:t>
          </w:r>
          <w:r>
            <w:rPr>
              <w:color w:val="231F20"/>
              <w:spacing w:val="79"/>
              <w:w w:val="150"/>
            </w:rPr>
            <w:t> </w:t>
          </w:r>
          <w:r>
            <w:rPr>
              <w:color w:val="231F20"/>
            </w:rPr>
            <w:t>est</w:t>
          </w:r>
          <w:r>
            <w:rPr>
              <w:color w:val="231F20"/>
              <w:spacing w:val="77"/>
              <w:w w:val="150"/>
            </w:rPr>
            <w:t> </w:t>
          </w:r>
          <w:r>
            <w:rPr>
              <w:color w:val="231F20"/>
            </w:rPr>
            <w:t>déliquescente.</w:t>
          </w:r>
          <w:r>
            <w:rPr>
              <w:color w:val="231F20"/>
              <w:spacing w:val="27"/>
            </w:rPr>
            <w:t>  </w:t>
          </w:r>
          <w:r>
            <w:rPr>
              <w:color w:val="231F20"/>
            </w:rPr>
            <w:t>Seule</w:t>
          </w:r>
          <w:r>
            <w:rPr>
              <w:color w:val="231F20"/>
              <w:spacing w:val="26"/>
            </w:rPr>
            <w:t>  </w:t>
          </w:r>
          <w:r>
            <w:rPr>
              <w:color w:val="231F20"/>
            </w:rPr>
            <w:t>la</w:t>
          </w:r>
          <w:r>
            <w:rPr>
              <w:color w:val="231F20"/>
              <w:spacing w:val="77"/>
              <w:w w:val="150"/>
            </w:rPr>
            <w:t> </w:t>
          </w:r>
          <w:r>
            <w:rPr>
              <w:color w:val="231F20"/>
            </w:rPr>
            <w:t>division</w:t>
          </w:r>
          <w:r>
            <w:rPr>
              <w:color w:val="231F20"/>
              <w:spacing w:val="27"/>
            </w:rPr>
            <w:t>  </w:t>
          </w:r>
          <w:r>
            <w:rPr>
              <w:color w:val="231F20"/>
              <w:spacing w:val="-2"/>
            </w:rPr>
            <w:t>spéciale</w:t>
          </w:r>
        </w:p>
        <w:p>
          <w:pPr>
            <w:pStyle w:val="TOC4"/>
            <w:tabs>
              <w:tab w:pos="6907" w:val="right" w:leader="dot"/>
            </w:tabs>
            <w:spacing w:before="4"/>
          </w:pPr>
          <w:r>
            <w:rPr>
              <w:color w:val="231F20"/>
              <w:spacing w:val="-4"/>
            </w:rPr>
            <w:t>présidentielle</w:t>
          </w:r>
          <w:r>
            <w:rPr>
              <w:color w:val="231F20"/>
              <w:spacing w:val="-1"/>
            </w:rPr>
            <w:t> </w:t>
          </w:r>
          <w:r>
            <w:rPr>
              <w:color w:val="231F20"/>
              <w:spacing w:val="-4"/>
            </w:rPr>
            <w:t>maintient</w:t>
          </w:r>
          <w:r>
            <w:rPr>
              <w:color w:val="231F20"/>
            </w:rPr>
            <w:t> </w:t>
          </w:r>
          <w:r>
            <w:rPr>
              <w:color w:val="231F20"/>
              <w:spacing w:val="-4"/>
            </w:rPr>
            <w:t>le</w:t>
          </w:r>
          <w:r>
            <w:rPr>
              <w:color w:val="231F20"/>
            </w:rPr>
            <w:t> </w:t>
          </w:r>
          <w:r>
            <w:rPr>
              <w:color w:val="231F20"/>
              <w:spacing w:val="-4"/>
            </w:rPr>
            <w:t>régime</w:t>
          </w:r>
          <w:r>
            <w:rPr>
              <w:color w:val="231F20"/>
            </w:rPr>
            <w:tab/>
          </w:r>
          <w:r>
            <w:rPr>
              <w:color w:val="231F20"/>
              <w:spacing w:val="-5"/>
            </w:rPr>
            <w:t>46</w:t>
          </w:r>
        </w:p>
        <w:p>
          <w:pPr>
            <w:pStyle w:val="TOC2"/>
            <w:tabs>
              <w:tab w:pos="6907" w:val="right" w:leader="dot"/>
            </w:tabs>
          </w:pPr>
          <w:hyperlink w:history="true" w:anchor="_TOC_250036">
            <w:r>
              <w:rPr>
                <w:color w:val="231F20"/>
                <w:spacing w:val="-2"/>
              </w:rPr>
              <w:t>La</w:t>
            </w:r>
            <w:r>
              <w:rPr>
                <w:color w:val="231F20"/>
                <w:spacing w:val="-11"/>
              </w:rPr>
              <w:t> </w:t>
            </w:r>
            <w:r>
              <w:rPr>
                <w:color w:val="231F20"/>
                <w:spacing w:val="-2"/>
              </w:rPr>
              <w:t>culture</w:t>
            </w:r>
            <w:r>
              <w:rPr>
                <w:color w:val="231F20"/>
                <w:spacing w:val="-8"/>
              </w:rPr>
              <w:t> </w:t>
            </w:r>
            <w:r>
              <w:rPr>
                <w:color w:val="231F20"/>
                <w:spacing w:val="-2"/>
              </w:rPr>
              <w:t>de</w:t>
            </w:r>
            <w:r>
              <w:rPr>
                <w:color w:val="231F20"/>
                <w:spacing w:val="-8"/>
              </w:rPr>
              <w:t> </w:t>
            </w:r>
            <w:r>
              <w:rPr>
                <w:color w:val="231F20"/>
                <w:spacing w:val="-2"/>
              </w:rPr>
              <w:t>la</w:t>
            </w:r>
            <w:r>
              <w:rPr>
                <w:color w:val="231F20"/>
                <w:spacing w:val="-8"/>
              </w:rPr>
              <w:t> </w:t>
            </w:r>
            <w:r>
              <w:rPr>
                <w:color w:val="231F20"/>
                <w:spacing w:val="-4"/>
              </w:rPr>
              <w:t>haine</w:t>
            </w:r>
            <w:r>
              <w:rPr>
                <w:color w:val="231F20"/>
              </w:rPr>
              <w:tab/>
            </w:r>
            <w:r>
              <w:rPr>
                <w:color w:val="231F20"/>
                <w:spacing w:val="-5"/>
              </w:rPr>
              <w:t>49</w:t>
            </w:r>
          </w:hyperlink>
        </w:p>
        <w:p>
          <w:pPr>
            <w:pStyle w:val="TOC4"/>
            <w:tabs>
              <w:tab w:pos="6907" w:val="right" w:leader="dot"/>
            </w:tabs>
          </w:pPr>
          <w:r>
            <w:rPr>
              <w:color w:val="231F20"/>
              <w:spacing w:val="-2"/>
            </w:rPr>
            <w:t>La</w:t>
          </w:r>
          <w:r>
            <w:rPr>
              <w:color w:val="231F20"/>
              <w:spacing w:val="-12"/>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2"/>
            </w:rPr>
            <w:t>Rwanda</w:t>
          </w:r>
          <w:r>
            <w:rPr>
              <w:color w:val="231F20"/>
            </w:rPr>
            <w:tab/>
          </w:r>
          <w:r>
            <w:rPr>
              <w:color w:val="231F20"/>
              <w:spacing w:val="-5"/>
            </w:rPr>
            <w:t>49</w:t>
          </w:r>
        </w:p>
        <w:p>
          <w:pPr>
            <w:pStyle w:val="TOC3"/>
            <w:tabs>
              <w:tab w:pos="6907" w:val="right" w:leader="dot"/>
            </w:tabs>
            <w:rPr>
              <w:i w:val="0"/>
            </w:rPr>
          </w:pPr>
          <w:r>
            <w:rPr>
              <w:i/>
              <w:color w:val="231F20"/>
              <w:spacing w:val="-2"/>
            </w:rPr>
            <w:t>La</w:t>
          </w:r>
          <w:r>
            <w:rPr>
              <w:i/>
              <w:color w:val="231F20"/>
              <w:spacing w:val="-10"/>
            </w:rPr>
            <w:t> </w:t>
          </w:r>
          <w:r>
            <w:rPr>
              <w:i/>
              <w:color w:val="231F20"/>
              <w:spacing w:val="-2"/>
            </w:rPr>
            <w:t>République</w:t>
          </w:r>
          <w:r>
            <w:rPr>
              <w:i/>
              <w:color w:val="231F20"/>
              <w:spacing w:val="-11"/>
            </w:rPr>
            <w:t> </w:t>
          </w:r>
          <w:r>
            <w:rPr>
              <w:i/>
              <w:color w:val="231F20"/>
              <w:spacing w:val="-2"/>
            </w:rPr>
            <w:t>du</w:t>
          </w:r>
          <w:r>
            <w:rPr>
              <w:i/>
              <w:color w:val="231F20"/>
              <w:spacing w:val="-11"/>
            </w:rPr>
            <w:t> </w:t>
          </w:r>
          <w:r>
            <w:rPr>
              <w:i/>
              <w:color w:val="231F20"/>
              <w:spacing w:val="-2"/>
            </w:rPr>
            <w:t>Burundi</w:t>
          </w:r>
          <w:r>
            <w:rPr>
              <w:i/>
              <w:color w:val="231F20"/>
            </w:rPr>
            <w:tab/>
          </w:r>
          <w:r>
            <w:rPr>
              <w:i w:val="0"/>
              <w:color w:val="231F20"/>
              <w:spacing w:val="-5"/>
            </w:rPr>
            <w:t>54</w:t>
          </w:r>
        </w:p>
        <w:p>
          <w:pPr>
            <w:pStyle w:val="TOC4"/>
            <w:tabs>
              <w:tab w:pos="6907" w:val="right" w:leader="dot"/>
            </w:tabs>
          </w:pPr>
          <w:hyperlink w:history="true" w:anchor="_TOC_250035">
            <w:r>
              <w:rPr>
                <w:color w:val="231F20"/>
                <w:spacing w:val="-2"/>
              </w:rPr>
              <w:t>Le</w:t>
            </w:r>
            <w:r>
              <w:rPr>
                <w:color w:val="231F20"/>
                <w:spacing w:val="-11"/>
              </w:rPr>
              <w:t> </w:t>
            </w:r>
            <w:r>
              <w:rPr>
                <w:color w:val="231F20"/>
                <w:spacing w:val="-2"/>
              </w:rPr>
              <w:t>7</w:t>
            </w:r>
            <w:r>
              <w:rPr>
                <w:color w:val="231F20"/>
                <w:spacing w:val="-9"/>
              </w:rPr>
              <w:t> </w:t>
            </w:r>
            <w:r>
              <w:rPr>
                <w:color w:val="231F20"/>
                <w:spacing w:val="-2"/>
              </w:rPr>
              <w:t>octobre,</w:t>
            </w:r>
            <w:r>
              <w:rPr>
                <w:color w:val="231F20"/>
                <w:spacing w:val="-11"/>
              </w:rPr>
              <w:t> </w:t>
            </w:r>
            <w:r>
              <w:rPr>
                <w:color w:val="231F20"/>
                <w:spacing w:val="-2"/>
              </w:rPr>
              <w:t>le</w:t>
            </w:r>
            <w:r>
              <w:rPr>
                <w:color w:val="231F20"/>
                <w:spacing w:val="-8"/>
              </w:rPr>
              <w:t> </w:t>
            </w:r>
            <w:r>
              <w:rPr>
                <w:color w:val="231F20"/>
                <w:spacing w:val="-2"/>
              </w:rPr>
              <w:t>Burundi</w:t>
            </w:r>
            <w:r>
              <w:rPr>
                <w:color w:val="231F20"/>
                <w:spacing w:val="-10"/>
              </w:rPr>
              <w:t> </w:t>
            </w:r>
            <w:r>
              <w:rPr>
                <w:color w:val="231F20"/>
                <w:spacing w:val="-2"/>
              </w:rPr>
              <w:t>annonce</w:t>
            </w:r>
            <w:r>
              <w:rPr>
                <w:color w:val="231F20"/>
                <w:spacing w:val="-11"/>
              </w:rPr>
              <w:t> </w:t>
            </w:r>
            <w:r>
              <w:rPr>
                <w:color w:val="231F20"/>
                <w:spacing w:val="-2"/>
              </w:rPr>
              <w:t>son</w:t>
            </w:r>
            <w:r>
              <w:rPr>
                <w:color w:val="231F20"/>
                <w:spacing w:val="-10"/>
              </w:rPr>
              <w:t> </w:t>
            </w:r>
            <w:r>
              <w:rPr>
                <w:color w:val="231F20"/>
                <w:spacing w:val="-2"/>
              </w:rPr>
              <w:t>retrait</w:t>
            </w:r>
            <w:r>
              <w:rPr>
                <w:color w:val="231F20"/>
                <w:spacing w:val="-10"/>
              </w:rPr>
              <w:t> </w:t>
            </w:r>
            <w:r>
              <w:rPr>
                <w:color w:val="231F20"/>
                <w:spacing w:val="-2"/>
              </w:rPr>
              <w:t>de</w:t>
            </w:r>
            <w:r>
              <w:rPr>
                <w:color w:val="231F20"/>
                <w:spacing w:val="-11"/>
              </w:rPr>
              <w:t> </w:t>
            </w:r>
            <w:r>
              <w:rPr>
                <w:color w:val="231F20"/>
                <w:spacing w:val="-2"/>
              </w:rPr>
              <w:t>la</w:t>
            </w:r>
            <w:r>
              <w:rPr>
                <w:color w:val="231F20"/>
                <w:spacing w:val="-8"/>
              </w:rPr>
              <w:t> </w:t>
            </w:r>
            <w:r>
              <w:rPr>
                <w:color w:val="231F20"/>
                <w:spacing w:val="-5"/>
              </w:rPr>
              <w:t>CPI</w:t>
            </w:r>
            <w:r>
              <w:rPr>
                <w:color w:val="231F20"/>
              </w:rPr>
              <w:tab/>
            </w:r>
            <w:r>
              <w:rPr>
                <w:color w:val="231F20"/>
                <w:spacing w:val="-5"/>
              </w:rPr>
              <w:t>57</w:t>
            </w:r>
          </w:hyperlink>
        </w:p>
        <w:p>
          <w:pPr>
            <w:pStyle w:val="TOC2"/>
            <w:tabs>
              <w:tab w:pos="6906" w:val="right" w:leader="dot"/>
            </w:tabs>
            <w:spacing w:before="62"/>
          </w:pPr>
          <w:hyperlink w:history="true" w:anchor="_TOC_250034">
            <w:r>
              <w:rPr>
                <w:color w:val="231F20"/>
              </w:rPr>
              <w:t>Les</w:t>
            </w:r>
            <w:r>
              <w:rPr>
                <w:color w:val="231F20"/>
                <w:spacing w:val="-15"/>
              </w:rPr>
              <w:t> </w:t>
            </w:r>
            <w:r>
              <w:rPr>
                <w:color w:val="231F20"/>
              </w:rPr>
              <w:t>ex</w:t>
            </w:r>
            <w:r>
              <w:rPr>
                <w:color w:val="231F20"/>
                <w:spacing w:val="-10"/>
              </w:rPr>
              <w:t> </w:t>
            </w:r>
            <w:r>
              <w:rPr>
                <w:color w:val="231F20"/>
                <w:spacing w:val="-5"/>
              </w:rPr>
              <w:t>AEF</w:t>
            </w:r>
            <w:r>
              <w:rPr>
                <w:color w:val="231F20"/>
              </w:rPr>
              <w:tab/>
            </w:r>
            <w:r>
              <w:rPr>
                <w:color w:val="231F20"/>
                <w:spacing w:val="-7"/>
              </w:rPr>
              <w:t>59</w:t>
            </w:r>
          </w:hyperlink>
        </w:p>
        <w:p>
          <w:pPr>
            <w:pStyle w:val="TOC4"/>
            <w:tabs>
              <w:tab w:pos="6907" w:val="right" w:leader="dot"/>
            </w:tabs>
          </w:pPr>
          <w:r>
            <w:rPr>
              <w:color w:val="231F20"/>
              <w:spacing w:val="-2"/>
            </w:rPr>
            <w:t>La</w:t>
          </w:r>
          <w:r>
            <w:rPr>
              <w:color w:val="231F20"/>
              <w:spacing w:val="-14"/>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4"/>
            </w:rPr>
            <w:t>Congo</w:t>
          </w:r>
          <w:r>
            <w:rPr>
              <w:color w:val="231F20"/>
            </w:rPr>
            <w:tab/>
          </w:r>
          <w:r>
            <w:rPr>
              <w:color w:val="231F20"/>
              <w:spacing w:val="-5"/>
            </w:rPr>
            <w:t>59</w:t>
          </w:r>
        </w:p>
        <w:p>
          <w:pPr>
            <w:pStyle w:val="TOC4"/>
            <w:tabs>
              <w:tab w:pos="6907" w:val="right" w:leader="dot"/>
            </w:tabs>
          </w:pPr>
          <w:r>
            <w:rPr>
              <w:color w:val="231F20"/>
              <w:spacing w:val="-4"/>
            </w:rPr>
            <w:t>La</w:t>
          </w:r>
          <w:r>
            <w:rPr>
              <w:color w:val="231F20"/>
              <w:spacing w:val="-3"/>
            </w:rPr>
            <w:t> </w:t>
          </w:r>
          <w:r>
            <w:rPr>
              <w:color w:val="231F20"/>
              <w:spacing w:val="-4"/>
            </w:rPr>
            <w:t>République</w:t>
          </w:r>
          <w:r>
            <w:rPr>
              <w:color w:val="231F20"/>
            </w:rPr>
            <w:t> </w:t>
          </w:r>
          <w:r>
            <w:rPr>
              <w:color w:val="231F20"/>
              <w:spacing w:val="-4"/>
            </w:rPr>
            <w:t>Centrafricaine</w:t>
          </w:r>
          <w:r>
            <w:rPr>
              <w:color w:val="231F20"/>
            </w:rPr>
            <w:tab/>
          </w:r>
          <w:r>
            <w:rPr>
              <w:color w:val="231F20"/>
              <w:spacing w:val="-5"/>
            </w:rPr>
            <w:t>64</w:t>
          </w:r>
        </w:p>
        <w:p>
          <w:pPr>
            <w:pStyle w:val="TOC4"/>
            <w:tabs>
              <w:tab w:pos="6907" w:val="right" w:leader="dot"/>
            </w:tabs>
            <w:spacing w:before="62"/>
          </w:pPr>
          <w:r>
            <w:rPr>
              <w:color w:val="231F20"/>
              <w:spacing w:val="-2"/>
            </w:rPr>
            <w:t>La</w:t>
          </w:r>
          <w:r>
            <w:rPr>
              <w:color w:val="231F20"/>
              <w:spacing w:val="-11"/>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2"/>
            </w:rPr>
            <w:t>Cameroun</w:t>
          </w:r>
          <w:r>
            <w:rPr>
              <w:color w:val="231F20"/>
            </w:rPr>
            <w:tab/>
          </w:r>
          <w:r>
            <w:rPr>
              <w:color w:val="231F20"/>
              <w:spacing w:val="-5"/>
            </w:rPr>
            <w:t>70</w:t>
          </w:r>
        </w:p>
        <w:p>
          <w:pPr>
            <w:pStyle w:val="TOC4"/>
            <w:tabs>
              <w:tab w:pos="6910" w:val="right" w:leader="dot"/>
            </w:tabs>
          </w:pPr>
          <w:hyperlink w:history="true" w:anchor="_TOC_250033">
            <w:r>
              <w:rPr>
                <w:color w:val="231F20"/>
                <w:spacing w:val="-4"/>
              </w:rPr>
              <w:t>Ahmadou</w:t>
            </w:r>
            <w:r>
              <w:rPr>
                <w:color w:val="231F20"/>
                <w:spacing w:val="-3"/>
              </w:rPr>
              <w:t> </w:t>
            </w:r>
            <w:r>
              <w:rPr>
                <w:color w:val="231F20"/>
                <w:spacing w:val="-4"/>
              </w:rPr>
              <w:t>Ahidjo</w:t>
            </w:r>
            <w:r>
              <w:rPr>
                <w:color w:val="231F20"/>
                <w:spacing w:val="-3"/>
              </w:rPr>
              <w:t> </w:t>
            </w:r>
            <w:r>
              <w:rPr>
                <w:color w:val="231F20"/>
                <w:spacing w:val="-4"/>
              </w:rPr>
              <w:t>le</w:t>
            </w:r>
            <w:r>
              <w:rPr>
                <w:color w:val="231F20"/>
                <w:spacing w:val="-2"/>
              </w:rPr>
              <w:t> </w:t>
            </w:r>
            <w:r>
              <w:rPr>
                <w:color w:val="231F20"/>
                <w:spacing w:val="-4"/>
              </w:rPr>
              <w:t>remplace</w:t>
            </w:r>
            <w:r>
              <w:rPr>
                <w:color w:val="231F20"/>
              </w:rPr>
              <w:t> </w:t>
            </w:r>
            <w:r>
              <w:rPr>
                <w:color w:val="231F20"/>
                <w:spacing w:val="-4"/>
              </w:rPr>
              <w:t>deux</w:t>
            </w:r>
            <w:r>
              <w:rPr>
                <w:color w:val="231F20"/>
                <w:spacing w:val="-2"/>
              </w:rPr>
              <w:t> </w:t>
            </w:r>
            <w:r>
              <w:rPr>
                <w:color w:val="231F20"/>
                <w:spacing w:val="-4"/>
              </w:rPr>
              <w:t>jours</w:t>
            </w:r>
            <w:r>
              <w:rPr>
                <w:color w:val="231F20"/>
                <w:spacing w:val="-3"/>
              </w:rPr>
              <w:t> </w:t>
            </w:r>
            <w:r>
              <w:rPr>
                <w:color w:val="231F20"/>
                <w:spacing w:val="-4"/>
              </w:rPr>
              <w:t>plus</w:t>
            </w:r>
            <w:r>
              <w:rPr>
                <w:color w:val="231F20"/>
                <w:spacing w:val="-3"/>
              </w:rPr>
              <w:t> </w:t>
            </w:r>
            <w:r>
              <w:rPr>
                <w:color w:val="231F20"/>
                <w:spacing w:val="-4"/>
              </w:rPr>
              <w:t>tard</w:t>
            </w:r>
            <w:r>
              <w:rPr>
                <w:color w:val="231F20"/>
              </w:rPr>
              <w:tab/>
            </w:r>
            <w:r>
              <w:rPr>
                <w:color w:val="231F20"/>
                <w:spacing w:val="-5"/>
              </w:rPr>
              <w:t>72</w:t>
            </w:r>
          </w:hyperlink>
        </w:p>
        <w:p>
          <w:pPr>
            <w:pStyle w:val="TOC4"/>
            <w:tabs>
              <w:tab w:pos="6907" w:val="right" w:leader="dot"/>
            </w:tabs>
            <w:spacing w:before="61"/>
          </w:pPr>
          <w:r>
            <w:rPr>
              <w:color w:val="231F20"/>
              <w:spacing w:val="-2"/>
            </w:rPr>
            <w:t>La</w:t>
          </w:r>
          <w:r>
            <w:rPr>
              <w:color w:val="231F20"/>
              <w:spacing w:val="-12"/>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4"/>
            </w:rPr>
            <w:t>Gabon</w:t>
          </w:r>
          <w:r>
            <w:rPr>
              <w:color w:val="231F20"/>
            </w:rPr>
            <w:tab/>
          </w:r>
          <w:r>
            <w:rPr>
              <w:color w:val="231F20"/>
              <w:spacing w:val="-5"/>
            </w:rPr>
            <w:t>75</w:t>
          </w:r>
        </w:p>
        <w:p>
          <w:pPr>
            <w:pStyle w:val="TOC4"/>
            <w:tabs>
              <w:tab w:pos="6907" w:val="right" w:leader="dot"/>
            </w:tabs>
          </w:pPr>
          <w:r>
            <w:rPr>
              <w:color w:val="231F20"/>
              <w:spacing w:val="-2"/>
            </w:rPr>
            <w:t>La</w:t>
          </w:r>
          <w:r>
            <w:rPr>
              <w:color w:val="231F20"/>
              <w:spacing w:val="-14"/>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4"/>
            </w:rPr>
            <w:t>Tchad</w:t>
          </w:r>
          <w:r>
            <w:rPr>
              <w:color w:val="231F20"/>
            </w:rPr>
            <w:tab/>
          </w:r>
          <w:r>
            <w:rPr>
              <w:color w:val="231F20"/>
              <w:spacing w:val="-5"/>
            </w:rPr>
            <w:t>77</w:t>
          </w:r>
        </w:p>
        <w:p>
          <w:pPr>
            <w:pStyle w:val="TOC4"/>
            <w:tabs>
              <w:tab w:pos="6907" w:val="right" w:leader="dot"/>
            </w:tabs>
            <w:spacing w:before="61"/>
          </w:pPr>
          <w:hyperlink w:history="true" w:anchor="_TOC_250032">
            <w:r>
              <w:rPr>
                <w:color w:val="231F20"/>
              </w:rPr>
              <w:t>Les</w:t>
            </w:r>
            <w:r>
              <w:rPr>
                <w:color w:val="231F20"/>
                <w:spacing w:val="-15"/>
              </w:rPr>
              <w:t> </w:t>
            </w:r>
            <w:r>
              <w:rPr>
                <w:color w:val="231F20"/>
              </w:rPr>
              <w:t>ex</w:t>
            </w:r>
            <w:r>
              <w:rPr>
                <w:color w:val="231F20"/>
                <w:spacing w:val="-10"/>
              </w:rPr>
              <w:t> </w:t>
            </w:r>
            <w:r>
              <w:rPr>
                <w:color w:val="231F20"/>
                <w:spacing w:val="-5"/>
              </w:rPr>
              <w:t>AOF</w:t>
            </w:r>
            <w:r>
              <w:rPr>
                <w:color w:val="231F20"/>
              </w:rPr>
              <w:tab/>
            </w:r>
            <w:r>
              <w:rPr>
                <w:color w:val="231F20"/>
                <w:spacing w:val="-5"/>
              </w:rPr>
              <w:t>83</w:t>
            </w:r>
          </w:hyperlink>
        </w:p>
        <w:p>
          <w:pPr>
            <w:pStyle w:val="TOC4"/>
            <w:tabs>
              <w:tab w:pos="6907" w:val="right" w:leader="dot"/>
            </w:tabs>
          </w:pPr>
          <w:r>
            <w:rPr>
              <w:color w:val="231F20"/>
              <w:spacing w:val="-2"/>
            </w:rPr>
            <w:t>La</w:t>
          </w:r>
          <w:r>
            <w:rPr>
              <w:color w:val="231F20"/>
              <w:spacing w:val="-12"/>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2"/>
            </w:rPr>
            <w:t>Sénégal</w:t>
          </w:r>
          <w:r>
            <w:rPr>
              <w:color w:val="231F20"/>
            </w:rPr>
            <w:tab/>
          </w:r>
          <w:r>
            <w:rPr>
              <w:color w:val="231F20"/>
              <w:spacing w:val="-5"/>
            </w:rPr>
            <w:t>83</w:t>
          </w:r>
        </w:p>
        <w:p>
          <w:pPr>
            <w:pStyle w:val="TOC4"/>
            <w:tabs>
              <w:tab w:pos="6907" w:val="right" w:leader="dot"/>
            </w:tabs>
          </w:pPr>
          <w:r>
            <w:rPr>
              <w:color w:val="231F20"/>
              <w:spacing w:val="-2"/>
            </w:rPr>
            <w:t>La</w:t>
          </w:r>
          <w:r>
            <w:rPr>
              <w:color w:val="231F20"/>
              <w:spacing w:val="-11"/>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4"/>
            </w:rPr>
            <w:t>Mali</w:t>
          </w:r>
          <w:r>
            <w:rPr>
              <w:color w:val="231F20"/>
            </w:rPr>
            <w:tab/>
          </w:r>
          <w:r>
            <w:rPr>
              <w:color w:val="231F20"/>
              <w:spacing w:val="-5"/>
            </w:rPr>
            <w:t>89</w:t>
          </w:r>
        </w:p>
        <w:p>
          <w:pPr>
            <w:pStyle w:val="TOC4"/>
            <w:tabs>
              <w:tab w:pos="6909" w:val="right" w:leader="dot"/>
            </w:tabs>
            <w:spacing w:before="62"/>
          </w:pPr>
          <w:hyperlink w:history="true" w:anchor="_TOC_250031">
            <w:r>
              <w:rPr>
                <w:color w:val="231F20"/>
                <w:spacing w:val="-2"/>
              </w:rPr>
              <w:t>Ibrahim</w:t>
            </w:r>
            <w:r>
              <w:rPr>
                <w:color w:val="231F20"/>
                <w:spacing w:val="-12"/>
              </w:rPr>
              <w:t> </w:t>
            </w:r>
            <w:r>
              <w:rPr>
                <w:color w:val="231F20"/>
                <w:spacing w:val="-2"/>
              </w:rPr>
              <w:t>Boubacar</w:t>
            </w:r>
            <w:r>
              <w:rPr>
                <w:color w:val="231F20"/>
                <w:spacing w:val="-9"/>
              </w:rPr>
              <w:t> </w:t>
            </w:r>
            <w:r>
              <w:rPr>
                <w:color w:val="231F20"/>
                <w:spacing w:val="-2"/>
              </w:rPr>
              <w:t>Kéïta</w:t>
            </w:r>
            <w:r>
              <w:rPr>
                <w:color w:val="231F20"/>
                <w:spacing w:val="-11"/>
              </w:rPr>
              <w:t> </w:t>
            </w:r>
            <w:r>
              <w:rPr>
                <w:color w:val="231F20"/>
                <w:spacing w:val="-2"/>
              </w:rPr>
              <w:t>dit</w:t>
            </w:r>
            <w:r>
              <w:rPr>
                <w:color w:val="231F20"/>
                <w:spacing w:val="-11"/>
              </w:rPr>
              <w:t> </w:t>
            </w:r>
            <w:r>
              <w:rPr>
                <w:color w:val="231F20"/>
                <w:spacing w:val="-2"/>
              </w:rPr>
              <w:t>IBK</w:t>
            </w:r>
            <w:r>
              <w:rPr>
                <w:color w:val="231F20"/>
                <w:spacing w:val="-10"/>
              </w:rPr>
              <w:t> </w:t>
            </w:r>
            <w:r>
              <w:rPr>
                <w:color w:val="231F20"/>
                <w:spacing w:val="-2"/>
              </w:rPr>
              <w:t>est</w:t>
            </w:r>
            <w:r>
              <w:rPr>
                <w:color w:val="231F20"/>
                <w:spacing w:val="-11"/>
              </w:rPr>
              <w:t> </w:t>
            </w:r>
            <w:r>
              <w:rPr>
                <w:color w:val="231F20"/>
                <w:spacing w:val="-2"/>
              </w:rPr>
              <w:t>réélu</w:t>
            </w:r>
            <w:r>
              <w:rPr>
                <w:color w:val="231F20"/>
                <w:spacing w:val="-12"/>
              </w:rPr>
              <w:t> </w:t>
            </w:r>
            <w:r>
              <w:rPr>
                <w:color w:val="231F20"/>
                <w:spacing w:val="-2"/>
              </w:rPr>
              <w:t>en</w:t>
            </w:r>
            <w:r>
              <w:rPr>
                <w:color w:val="231F20"/>
                <w:spacing w:val="-11"/>
              </w:rPr>
              <w:t> </w:t>
            </w:r>
            <w:r>
              <w:rPr>
                <w:color w:val="231F20"/>
                <w:spacing w:val="-4"/>
              </w:rPr>
              <w:t>2018.</w:t>
            </w:r>
            <w:r>
              <w:rPr>
                <w:color w:val="231F20"/>
              </w:rPr>
              <w:tab/>
            </w:r>
            <w:r>
              <w:rPr>
                <w:color w:val="231F20"/>
                <w:spacing w:val="-5"/>
              </w:rPr>
              <w:t>93</w:t>
            </w:r>
          </w:hyperlink>
        </w:p>
        <w:p>
          <w:pPr>
            <w:pStyle w:val="TOC4"/>
            <w:tabs>
              <w:tab w:pos="6907" w:val="right" w:leader="dot"/>
            </w:tabs>
          </w:pPr>
          <w:r>
            <w:rPr>
              <w:color w:val="231F20"/>
              <w:spacing w:val="-2"/>
            </w:rPr>
            <w:t>La</w:t>
          </w:r>
          <w:r>
            <w:rPr>
              <w:color w:val="231F20"/>
              <w:spacing w:val="-14"/>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4"/>
            </w:rPr>
            <w:t>Niger</w:t>
          </w:r>
          <w:r>
            <w:rPr>
              <w:color w:val="231F20"/>
            </w:rPr>
            <w:tab/>
          </w:r>
          <w:r>
            <w:rPr>
              <w:color w:val="231F20"/>
              <w:spacing w:val="-5"/>
            </w:rPr>
            <w:t>94</w:t>
          </w:r>
        </w:p>
        <w:p>
          <w:pPr>
            <w:pStyle w:val="TOC4"/>
            <w:tabs>
              <w:tab w:pos="6907" w:val="right" w:leader="dot"/>
            </w:tabs>
            <w:spacing w:before="61"/>
          </w:pPr>
          <w:hyperlink w:history="true" w:anchor="_TOC_250030">
            <w:r>
              <w:rPr>
                <w:color w:val="231F20"/>
                <w:spacing w:val="-4"/>
              </w:rPr>
              <w:t>En</w:t>
            </w:r>
            <w:r>
              <w:rPr>
                <w:color w:val="231F20"/>
              </w:rPr>
              <w:t> </w:t>
            </w:r>
            <w:r>
              <w:rPr>
                <w:color w:val="231F20"/>
                <w:spacing w:val="-4"/>
              </w:rPr>
              <w:t>2011,</w:t>
            </w:r>
            <w:r>
              <w:rPr>
                <w:color w:val="231F20"/>
                <w:spacing w:val="-2"/>
              </w:rPr>
              <w:t> </w:t>
            </w:r>
            <w:r>
              <w:rPr>
                <w:color w:val="231F20"/>
                <w:spacing w:val="-4"/>
              </w:rPr>
              <w:t>Mahamadou</w:t>
            </w:r>
            <w:r>
              <w:rPr>
                <w:color w:val="231F20"/>
                <w:spacing w:val="-3"/>
              </w:rPr>
              <w:t> </w:t>
            </w:r>
            <w:r>
              <w:rPr>
                <w:color w:val="231F20"/>
                <w:spacing w:val="-4"/>
              </w:rPr>
              <w:t>Issoufou,</w:t>
            </w:r>
            <w:r>
              <w:rPr>
                <w:color w:val="231F20"/>
                <w:spacing w:val="-1"/>
              </w:rPr>
              <w:t> </w:t>
            </w:r>
            <w:r>
              <w:rPr>
                <w:color w:val="231F20"/>
                <w:spacing w:val="-4"/>
              </w:rPr>
              <w:t>remporte</w:t>
            </w:r>
            <w:r>
              <w:rPr>
                <w:color w:val="231F20"/>
                <w:spacing w:val="-2"/>
              </w:rPr>
              <w:t> </w:t>
            </w:r>
            <w:r>
              <w:rPr>
                <w:color w:val="231F20"/>
                <w:spacing w:val="-4"/>
              </w:rPr>
              <w:t>le</w:t>
            </w:r>
            <w:r>
              <w:rPr>
                <w:color w:val="231F20"/>
                <w:spacing w:val="-2"/>
              </w:rPr>
              <w:t> </w:t>
            </w:r>
            <w:r>
              <w:rPr>
                <w:color w:val="231F20"/>
                <w:spacing w:val="-4"/>
              </w:rPr>
              <w:t>scrutin</w:t>
            </w:r>
            <w:r>
              <w:rPr>
                <w:color w:val="231F20"/>
                <w:spacing w:val="1"/>
              </w:rPr>
              <w:t> </w:t>
            </w:r>
            <w:r>
              <w:rPr>
                <w:color w:val="231F20"/>
                <w:spacing w:val="-4"/>
              </w:rPr>
              <w:t>présidentiel</w:t>
            </w:r>
            <w:r>
              <w:rPr>
                <w:color w:val="231F20"/>
              </w:rPr>
              <w:tab/>
            </w:r>
            <w:r>
              <w:rPr>
                <w:color w:val="231F20"/>
                <w:spacing w:val="-5"/>
              </w:rPr>
              <w:t>96</w:t>
            </w:r>
          </w:hyperlink>
        </w:p>
        <w:p>
          <w:pPr>
            <w:pStyle w:val="TOC4"/>
            <w:tabs>
              <w:tab w:pos="6907" w:val="right" w:leader="dot"/>
            </w:tabs>
            <w:spacing w:before="60"/>
          </w:pPr>
          <w:r>
            <w:rPr>
              <w:color w:val="231F20"/>
              <w:spacing w:val="-2"/>
            </w:rPr>
            <w:t>La</w:t>
          </w:r>
          <w:r>
            <w:rPr>
              <w:color w:val="231F20"/>
              <w:spacing w:val="-14"/>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4"/>
            </w:rPr>
            <w:t>Bénin</w:t>
          </w:r>
          <w:r>
            <w:rPr>
              <w:color w:val="231F20"/>
            </w:rPr>
            <w:tab/>
          </w:r>
          <w:r>
            <w:rPr>
              <w:color w:val="231F20"/>
              <w:spacing w:val="-5"/>
            </w:rPr>
            <w:t>97</w:t>
          </w:r>
        </w:p>
        <w:p>
          <w:pPr>
            <w:pStyle w:val="TOC4"/>
            <w:tabs>
              <w:tab w:pos="6907" w:val="right" w:leader="dot"/>
            </w:tabs>
          </w:pPr>
          <w:r>
            <w:rPr>
              <w:color w:val="231F20"/>
              <w:spacing w:val="-2"/>
            </w:rPr>
            <w:t>La</w:t>
          </w:r>
          <w:r>
            <w:rPr>
              <w:color w:val="231F20"/>
              <w:spacing w:val="-14"/>
            </w:rPr>
            <w:t> </w:t>
          </w:r>
          <w:r>
            <w:rPr>
              <w:color w:val="231F20"/>
              <w:spacing w:val="-2"/>
            </w:rPr>
            <w:t>République</w:t>
          </w:r>
          <w:r>
            <w:rPr>
              <w:color w:val="231F20"/>
              <w:spacing w:val="-12"/>
            </w:rPr>
            <w:t> </w:t>
          </w:r>
          <w:r>
            <w:rPr>
              <w:color w:val="231F20"/>
              <w:spacing w:val="-2"/>
            </w:rPr>
            <w:t>du</w:t>
          </w:r>
          <w:r>
            <w:rPr>
              <w:color w:val="231F20"/>
              <w:spacing w:val="-11"/>
            </w:rPr>
            <w:t> </w:t>
          </w:r>
          <w:r>
            <w:rPr>
              <w:color w:val="231F20"/>
              <w:spacing w:val="-4"/>
            </w:rPr>
            <w:t>Togo</w:t>
          </w:r>
          <w:r>
            <w:rPr>
              <w:color w:val="231F20"/>
            </w:rPr>
            <w:tab/>
          </w:r>
          <w:r>
            <w:rPr>
              <w:color w:val="231F20"/>
              <w:spacing w:val="-5"/>
            </w:rPr>
            <w:t>101</w:t>
          </w:r>
        </w:p>
        <w:p>
          <w:pPr>
            <w:pStyle w:val="TOC4"/>
            <w:tabs>
              <w:tab w:pos="6907" w:val="right" w:leader="dot"/>
            </w:tabs>
            <w:spacing w:before="61"/>
          </w:pPr>
          <w:r>
            <w:rPr>
              <w:color w:val="231F20"/>
              <w:spacing w:val="-2"/>
            </w:rPr>
            <w:t>La</w:t>
          </w:r>
          <w:r>
            <w:rPr>
              <w:color w:val="231F20"/>
              <w:spacing w:val="-11"/>
            </w:rPr>
            <w:t> </w:t>
          </w:r>
          <w:r>
            <w:rPr>
              <w:color w:val="231F20"/>
              <w:spacing w:val="-2"/>
            </w:rPr>
            <w:t>République</w:t>
          </w:r>
          <w:r>
            <w:rPr>
              <w:color w:val="231F20"/>
              <w:spacing w:val="-12"/>
            </w:rPr>
            <w:t> </w:t>
          </w:r>
          <w:r>
            <w:rPr>
              <w:color w:val="231F20"/>
              <w:spacing w:val="-2"/>
            </w:rPr>
            <w:t>de</w:t>
          </w:r>
          <w:r>
            <w:rPr>
              <w:color w:val="231F20"/>
              <w:spacing w:val="-11"/>
            </w:rPr>
            <w:t> </w:t>
          </w:r>
          <w:r>
            <w:rPr>
              <w:color w:val="231F20"/>
              <w:spacing w:val="-2"/>
            </w:rPr>
            <w:t>Guinée</w:t>
          </w:r>
          <w:r>
            <w:rPr>
              <w:color w:val="231F20"/>
            </w:rPr>
            <w:tab/>
          </w:r>
          <w:r>
            <w:rPr>
              <w:color w:val="231F20"/>
              <w:spacing w:val="-5"/>
            </w:rPr>
            <w:t>104</w:t>
          </w:r>
        </w:p>
        <w:p>
          <w:pPr>
            <w:pStyle w:val="TOC4"/>
            <w:tabs>
              <w:tab w:pos="6907" w:val="right" w:leader="dot"/>
            </w:tabs>
          </w:pPr>
          <w:hyperlink w:history="true" w:anchor="_TOC_250029">
            <w:r>
              <w:rPr>
                <w:color w:val="231F20"/>
                <w:spacing w:val="-2"/>
              </w:rPr>
              <w:t>Le</w:t>
            </w:r>
            <w:r>
              <w:rPr>
                <w:color w:val="231F20"/>
                <w:spacing w:val="-8"/>
              </w:rPr>
              <w:t> </w:t>
            </w:r>
            <w:r>
              <w:rPr>
                <w:color w:val="231F20"/>
                <w:spacing w:val="-2"/>
              </w:rPr>
              <w:t>Général</w:t>
            </w:r>
            <w:r>
              <w:rPr>
                <w:color w:val="231F20"/>
                <w:spacing w:val="-9"/>
              </w:rPr>
              <w:t> </w:t>
            </w:r>
            <w:r>
              <w:rPr>
                <w:color w:val="231F20"/>
                <w:spacing w:val="-2"/>
              </w:rPr>
              <w:t>n’ira</w:t>
            </w:r>
            <w:r>
              <w:rPr>
                <w:color w:val="231F20"/>
                <w:spacing w:val="-10"/>
              </w:rPr>
              <w:t> </w:t>
            </w:r>
            <w:r>
              <w:rPr>
                <w:color w:val="231F20"/>
                <w:spacing w:val="-2"/>
              </w:rPr>
              <w:t>pas</w:t>
            </w:r>
            <w:r>
              <w:rPr>
                <w:color w:val="231F20"/>
                <w:spacing w:val="-10"/>
              </w:rPr>
              <w:t> </w:t>
            </w:r>
            <w:r>
              <w:rPr>
                <w:color w:val="231F20"/>
                <w:spacing w:val="-2"/>
              </w:rPr>
              <w:t>au</w:t>
            </w:r>
            <w:r>
              <w:rPr>
                <w:color w:val="231F20"/>
                <w:spacing w:val="-9"/>
              </w:rPr>
              <w:t> </w:t>
            </w:r>
            <w:r>
              <w:rPr>
                <w:color w:val="231F20"/>
                <w:spacing w:val="-2"/>
              </w:rPr>
              <w:t>banquet</w:t>
            </w:r>
            <w:r>
              <w:rPr>
                <w:color w:val="231F20"/>
                <w:spacing w:val="-9"/>
              </w:rPr>
              <w:t> </w:t>
            </w:r>
            <w:r>
              <w:rPr>
                <w:color w:val="231F20"/>
                <w:spacing w:val="-2"/>
              </w:rPr>
              <w:t>offert</w:t>
            </w:r>
            <w:r>
              <w:rPr>
                <w:color w:val="231F20"/>
                <w:spacing w:val="-12"/>
              </w:rPr>
              <w:t> </w:t>
            </w:r>
            <w:r>
              <w:rPr>
                <w:color w:val="231F20"/>
                <w:spacing w:val="-2"/>
              </w:rPr>
              <w:t>le</w:t>
            </w:r>
            <w:r>
              <w:rPr>
                <w:color w:val="231F20"/>
                <w:spacing w:val="-9"/>
              </w:rPr>
              <w:t> </w:t>
            </w:r>
            <w:r>
              <w:rPr>
                <w:color w:val="231F20"/>
                <w:spacing w:val="-2"/>
              </w:rPr>
              <w:t>soir</w:t>
            </w:r>
            <w:r>
              <w:rPr>
                <w:color w:val="231F20"/>
                <w:spacing w:val="-10"/>
              </w:rPr>
              <w:t> </w:t>
            </w:r>
            <w:r>
              <w:rPr>
                <w:color w:val="231F20"/>
                <w:spacing w:val="-2"/>
              </w:rPr>
              <w:t>à</w:t>
            </w:r>
            <w:r>
              <w:rPr>
                <w:color w:val="231F20"/>
                <w:spacing w:val="-10"/>
              </w:rPr>
              <w:t> </w:t>
            </w:r>
            <w:r>
              <w:rPr>
                <w:color w:val="231F20"/>
                <w:spacing w:val="-2"/>
              </w:rPr>
              <w:t>son</w:t>
            </w:r>
            <w:r>
              <w:rPr>
                <w:color w:val="231F20"/>
                <w:spacing w:val="-9"/>
              </w:rPr>
              <w:t> </w:t>
            </w:r>
            <w:r>
              <w:rPr>
                <w:color w:val="231F20"/>
                <w:spacing w:val="-2"/>
              </w:rPr>
              <w:t>intention</w:t>
            </w:r>
            <w:r>
              <w:rPr>
                <w:color w:val="231F20"/>
              </w:rPr>
              <w:tab/>
            </w:r>
            <w:r>
              <w:rPr>
                <w:color w:val="231F20"/>
                <w:spacing w:val="-5"/>
              </w:rPr>
              <w:t>106</w:t>
            </w:r>
          </w:hyperlink>
        </w:p>
        <w:p>
          <w:pPr>
            <w:pStyle w:val="TOC4"/>
            <w:tabs>
              <w:tab w:pos="6907" w:val="right" w:leader="dot"/>
            </w:tabs>
            <w:spacing w:before="62" w:after="212"/>
          </w:pPr>
          <w:r>
            <w:rPr>
              <w:color w:val="231F20"/>
              <w:spacing w:val="-4"/>
            </w:rPr>
            <w:t>La</w:t>
          </w:r>
          <w:r>
            <w:rPr>
              <w:color w:val="231F20"/>
              <w:spacing w:val="-1"/>
            </w:rPr>
            <w:t> </w:t>
          </w:r>
          <w:r>
            <w:rPr>
              <w:color w:val="231F20"/>
              <w:spacing w:val="-4"/>
            </w:rPr>
            <w:t>République</w:t>
          </w:r>
          <w:r>
            <w:rPr>
              <w:color w:val="231F20"/>
              <w:spacing w:val="-2"/>
            </w:rPr>
            <w:t> </w:t>
          </w:r>
          <w:r>
            <w:rPr>
              <w:color w:val="231F20"/>
              <w:spacing w:val="-4"/>
            </w:rPr>
            <w:t>du</w:t>
          </w:r>
          <w:r>
            <w:rPr>
              <w:color w:val="231F20"/>
              <w:spacing w:val="-3"/>
            </w:rPr>
            <w:t> </w:t>
          </w:r>
          <w:r>
            <w:rPr>
              <w:color w:val="231F20"/>
              <w:spacing w:val="-4"/>
            </w:rPr>
            <w:t>Burkina</w:t>
          </w:r>
          <w:r>
            <w:rPr>
              <w:color w:val="231F20"/>
            </w:rPr>
            <w:t> </w:t>
          </w:r>
          <w:r>
            <w:rPr>
              <w:color w:val="231F20"/>
              <w:spacing w:val="-4"/>
            </w:rPr>
            <w:t>Faso</w:t>
          </w:r>
          <w:r>
            <w:rPr>
              <w:color w:val="231F20"/>
            </w:rPr>
            <w:tab/>
          </w:r>
          <w:r>
            <w:rPr>
              <w:color w:val="231F20"/>
              <w:spacing w:val="-5"/>
            </w:rPr>
            <w:t>112</w:t>
          </w:r>
        </w:p>
        <w:p>
          <w:pPr>
            <w:pStyle w:val="TOC4"/>
            <w:spacing w:before="65"/>
          </w:pPr>
          <w:r>
            <w:rPr>
              <w:color w:val="231F20"/>
            </w:rPr>
            <w:t>Le</w:t>
          </w:r>
          <w:r>
            <w:rPr>
              <w:color w:val="231F20"/>
              <w:spacing w:val="4"/>
            </w:rPr>
            <w:t> </w:t>
          </w:r>
          <w:r>
            <w:rPr>
              <w:color w:val="231F20"/>
            </w:rPr>
            <w:t>5</w:t>
          </w:r>
          <w:r>
            <w:rPr>
              <w:color w:val="231F20"/>
              <w:spacing w:val="4"/>
            </w:rPr>
            <w:t> </w:t>
          </w:r>
          <w:r>
            <w:rPr>
              <w:color w:val="231F20"/>
            </w:rPr>
            <w:t>août</w:t>
          </w:r>
          <w:r>
            <w:rPr>
              <w:color w:val="231F20"/>
              <w:spacing w:val="6"/>
            </w:rPr>
            <w:t> </w:t>
          </w:r>
          <w:r>
            <w:rPr>
              <w:color w:val="231F20"/>
            </w:rPr>
            <w:t>1960,</w:t>
          </w:r>
          <w:r>
            <w:rPr>
              <w:color w:val="231F20"/>
              <w:spacing w:val="2"/>
            </w:rPr>
            <w:t> </w:t>
          </w:r>
          <w:r>
            <w:rPr>
              <w:color w:val="231F20"/>
            </w:rPr>
            <w:t>le</w:t>
          </w:r>
          <w:r>
            <w:rPr>
              <w:color w:val="231F20"/>
              <w:spacing w:val="4"/>
            </w:rPr>
            <w:t> </w:t>
          </w:r>
          <w:r>
            <w:rPr>
              <w:color w:val="231F20"/>
            </w:rPr>
            <w:t>pays</w:t>
          </w:r>
          <w:r>
            <w:rPr>
              <w:color w:val="231F20"/>
              <w:spacing w:val="5"/>
            </w:rPr>
            <w:t> </w:t>
          </w:r>
          <w:r>
            <w:rPr>
              <w:color w:val="231F20"/>
            </w:rPr>
            <w:t>accède</w:t>
          </w:r>
          <w:r>
            <w:rPr>
              <w:color w:val="231F20"/>
              <w:spacing w:val="4"/>
            </w:rPr>
            <w:t> </w:t>
          </w:r>
          <w:r>
            <w:rPr>
              <w:color w:val="231F20"/>
            </w:rPr>
            <w:t>à</w:t>
          </w:r>
          <w:r>
            <w:rPr>
              <w:color w:val="231F20"/>
              <w:spacing w:val="5"/>
            </w:rPr>
            <w:t> </w:t>
          </w:r>
          <w:r>
            <w:rPr>
              <w:color w:val="231F20"/>
            </w:rPr>
            <w:t>l’indépendance.</w:t>
          </w:r>
          <w:r>
            <w:rPr>
              <w:color w:val="231F20"/>
              <w:spacing w:val="4"/>
            </w:rPr>
            <w:t> </w:t>
          </w:r>
          <w:r>
            <w:rPr>
              <w:color w:val="231F20"/>
            </w:rPr>
            <w:t>Maurice</w:t>
          </w:r>
          <w:r>
            <w:rPr>
              <w:color w:val="231F20"/>
              <w:spacing w:val="6"/>
            </w:rPr>
            <w:t> </w:t>
          </w:r>
          <w:r>
            <w:rPr>
              <w:color w:val="231F20"/>
            </w:rPr>
            <w:t>Yaméogo</w:t>
          </w:r>
          <w:r>
            <w:rPr>
              <w:color w:val="231F20"/>
              <w:spacing w:val="5"/>
            </w:rPr>
            <w:t> </w:t>
          </w:r>
          <w:r>
            <w:rPr>
              <w:color w:val="231F20"/>
              <w:spacing w:val="-5"/>
            </w:rPr>
            <w:t>en</w:t>
          </w:r>
        </w:p>
        <w:p>
          <w:pPr>
            <w:pStyle w:val="TOC4"/>
            <w:tabs>
              <w:tab w:pos="6583" w:val="left" w:leader="dot"/>
            </w:tabs>
            <w:spacing w:before="4"/>
          </w:pPr>
          <w:r>
            <w:rPr>
              <w:color w:val="231F20"/>
              <w:spacing w:val="-2"/>
            </w:rPr>
            <w:t>devient</w:t>
          </w:r>
          <w:r>
            <w:rPr>
              <w:color w:val="231F20"/>
              <w:spacing w:val="-12"/>
            </w:rPr>
            <w:t> </w:t>
          </w:r>
          <w:r>
            <w:rPr>
              <w:color w:val="231F20"/>
              <w:spacing w:val="-2"/>
            </w:rPr>
            <w:t>le</w:t>
          </w:r>
          <w:r>
            <w:rPr>
              <w:color w:val="231F20"/>
              <w:spacing w:val="-12"/>
            </w:rPr>
            <w:t> </w:t>
          </w:r>
          <w:r>
            <w:rPr>
              <w:color w:val="231F20"/>
              <w:spacing w:val="-2"/>
            </w:rPr>
            <w:t>premier</w:t>
          </w:r>
          <w:r>
            <w:rPr>
              <w:color w:val="231F20"/>
              <w:spacing w:val="-11"/>
            </w:rPr>
            <w:t> </w:t>
          </w:r>
          <w:r>
            <w:rPr>
              <w:color w:val="231F20"/>
              <w:spacing w:val="-2"/>
            </w:rPr>
            <w:t>Président</w:t>
          </w:r>
          <w:r>
            <w:rPr>
              <w:color w:val="231F20"/>
            </w:rPr>
            <w:tab/>
          </w:r>
          <w:r>
            <w:rPr>
              <w:color w:val="231F20"/>
              <w:spacing w:val="-5"/>
            </w:rPr>
            <w:t>113</w:t>
          </w:r>
        </w:p>
        <w:p>
          <w:pPr>
            <w:pStyle w:val="TOC4"/>
            <w:spacing w:before="57"/>
          </w:pPr>
          <w:r>
            <w:rPr>
              <w:color w:val="231F20"/>
              <w:spacing w:val="-2"/>
            </w:rPr>
            <w:t>Le</w:t>
          </w:r>
          <w:r>
            <w:rPr>
              <w:color w:val="231F20"/>
            </w:rPr>
            <w:t> </w:t>
          </w:r>
          <w:r>
            <w:rPr>
              <w:color w:val="231F20"/>
              <w:spacing w:val="-2"/>
            </w:rPr>
            <w:t>Lieutenant-Colonel</w:t>
          </w:r>
          <w:r>
            <w:rPr>
              <w:color w:val="231F20"/>
              <w:spacing w:val="3"/>
            </w:rPr>
            <w:t> </w:t>
          </w:r>
          <w:r>
            <w:rPr>
              <w:color w:val="231F20"/>
              <w:spacing w:val="-2"/>
            </w:rPr>
            <w:t>Aboubacar</w:t>
          </w:r>
          <w:r>
            <w:rPr>
              <w:color w:val="231F20"/>
              <w:spacing w:val="1"/>
            </w:rPr>
            <w:t> </w:t>
          </w:r>
          <w:r>
            <w:rPr>
              <w:color w:val="231F20"/>
              <w:spacing w:val="-2"/>
            </w:rPr>
            <w:t>Sangoulé</w:t>
          </w:r>
          <w:r>
            <w:rPr>
              <w:color w:val="231F20"/>
              <w:spacing w:val="2"/>
            </w:rPr>
            <w:t> </w:t>
          </w:r>
          <w:r>
            <w:rPr>
              <w:color w:val="231F20"/>
              <w:spacing w:val="-2"/>
            </w:rPr>
            <w:t>Lamizana</w:t>
          </w:r>
          <w:r>
            <w:rPr>
              <w:color w:val="231F20"/>
            </w:rPr>
            <w:t> </w:t>
          </w:r>
          <w:r>
            <w:rPr>
              <w:color w:val="231F20"/>
              <w:spacing w:val="-2"/>
            </w:rPr>
            <w:t>est</w:t>
          </w:r>
          <w:r>
            <w:rPr>
              <w:color w:val="231F20"/>
              <w:spacing w:val="1"/>
            </w:rPr>
            <w:t> </w:t>
          </w:r>
          <w:r>
            <w:rPr>
              <w:color w:val="231F20"/>
              <w:spacing w:val="-2"/>
            </w:rPr>
            <w:t>renversé</w:t>
          </w:r>
          <w:r>
            <w:rPr>
              <w:color w:val="231F20"/>
              <w:spacing w:val="2"/>
            </w:rPr>
            <w:t> </w:t>
          </w:r>
          <w:r>
            <w:rPr>
              <w:color w:val="231F20"/>
              <w:spacing w:val="-2"/>
            </w:rPr>
            <w:t>à</w:t>
          </w:r>
          <w:r>
            <w:rPr>
              <w:color w:val="231F20"/>
            </w:rPr>
            <w:t> </w:t>
          </w:r>
          <w:r>
            <w:rPr>
              <w:color w:val="231F20"/>
              <w:spacing w:val="-5"/>
            </w:rPr>
            <w:t>son</w:t>
          </w:r>
        </w:p>
        <w:p>
          <w:pPr>
            <w:pStyle w:val="TOC4"/>
            <w:tabs>
              <w:tab w:pos="6583" w:val="left" w:leader="dot"/>
            </w:tabs>
            <w:spacing w:before="1"/>
          </w:pPr>
          <w:r>
            <w:rPr>
              <w:color w:val="231F20"/>
              <w:spacing w:val="-2"/>
            </w:rPr>
            <w:t>tour</w:t>
          </w:r>
          <w:r>
            <w:rPr>
              <w:color w:val="231F20"/>
              <w:spacing w:val="-11"/>
            </w:rPr>
            <w:t> </w:t>
          </w:r>
          <w:r>
            <w:rPr>
              <w:color w:val="231F20"/>
              <w:spacing w:val="-2"/>
            </w:rPr>
            <w:t>le</w:t>
          </w:r>
          <w:r>
            <w:rPr>
              <w:color w:val="231F20"/>
              <w:spacing w:val="-10"/>
            </w:rPr>
            <w:t> </w:t>
          </w:r>
          <w:r>
            <w:rPr>
              <w:color w:val="231F20"/>
              <w:spacing w:val="-2"/>
            </w:rPr>
            <w:t>25</w:t>
          </w:r>
          <w:r>
            <w:rPr>
              <w:color w:val="231F20"/>
              <w:spacing w:val="-10"/>
            </w:rPr>
            <w:t> </w:t>
          </w:r>
          <w:r>
            <w:rPr>
              <w:color w:val="231F20"/>
              <w:spacing w:val="-2"/>
            </w:rPr>
            <w:t>novembre</w:t>
          </w:r>
          <w:r>
            <w:rPr>
              <w:color w:val="231F20"/>
              <w:spacing w:val="-10"/>
            </w:rPr>
            <w:t> </w:t>
          </w:r>
          <w:r>
            <w:rPr>
              <w:color w:val="231F20"/>
              <w:spacing w:val="-2"/>
            </w:rPr>
            <w:t>1980</w:t>
          </w:r>
          <w:r>
            <w:rPr>
              <w:color w:val="231F20"/>
              <w:spacing w:val="-10"/>
            </w:rPr>
            <w:t> </w:t>
          </w:r>
          <w:r>
            <w:rPr>
              <w:color w:val="231F20"/>
              <w:spacing w:val="-2"/>
            </w:rPr>
            <w:t>par</w:t>
          </w:r>
          <w:r>
            <w:rPr>
              <w:color w:val="231F20"/>
              <w:spacing w:val="-10"/>
            </w:rPr>
            <w:t> </w:t>
          </w:r>
          <w:r>
            <w:rPr>
              <w:color w:val="231F20"/>
              <w:spacing w:val="-2"/>
            </w:rPr>
            <w:t>ses</w:t>
          </w:r>
          <w:r>
            <w:rPr>
              <w:color w:val="231F20"/>
              <w:spacing w:val="-10"/>
            </w:rPr>
            <w:t> </w:t>
          </w:r>
          <w:r>
            <w:rPr>
              <w:color w:val="231F20"/>
              <w:spacing w:val="-2"/>
            </w:rPr>
            <w:t>frères</w:t>
          </w:r>
          <w:r>
            <w:rPr>
              <w:color w:val="231F20"/>
              <w:spacing w:val="-10"/>
            </w:rPr>
            <w:t> </w:t>
          </w:r>
          <w:r>
            <w:rPr>
              <w:color w:val="231F20"/>
              <w:spacing w:val="-2"/>
            </w:rPr>
            <w:t>d’armes</w:t>
          </w:r>
          <w:r>
            <w:rPr>
              <w:color w:val="231F20"/>
            </w:rPr>
            <w:tab/>
          </w:r>
          <w:r>
            <w:rPr>
              <w:color w:val="231F20"/>
              <w:spacing w:val="-5"/>
            </w:rPr>
            <w:t>115</w:t>
          </w:r>
        </w:p>
        <w:p>
          <w:pPr>
            <w:pStyle w:val="TOC4"/>
          </w:pPr>
          <w:r>
            <w:rPr>
              <w:color w:val="231F20"/>
              <w:spacing w:val="-2"/>
            </w:rPr>
            <w:t>Face</w:t>
          </w:r>
          <w:r>
            <w:rPr>
              <w:color w:val="231F20"/>
              <w:spacing w:val="-6"/>
            </w:rPr>
            <w:t> </w:t>
          </w:r>
          <w:r>
            <w:rPr>
              <w:color w:val="231F20"/>
              <w:spacing w:val="-2"/>
            </w:rPr>
            <w:t>au</w:t>
          </w:r>
          <w:r>
            <w:rPr>
              <w:color w:val="231F20"/>
              <w:spacing w:val="-7"/>
            </w:rPr>
            <w:t> </w:t>
          </w:r>
          <w:r>
            <w:rPr>
              <w:color w:val="231F20"/>
              <w:spacing w:val="-2"/>
            </w:rPr>
            <w:t>mécontentement</w:t>
          </w:r>
          <w:r>
            <w:rPr>
              <w:color w:val="231F20"/>
              <w:spacing w:val="-5"/>
            </w:rPr>
            <w:t> </w:t>
          </w:r>
          <w:r>
            <w:rPr>
              <w:color w:val="231F20"/>
              <w:spacing w:val="-2"/>
            </w:rPr>
            <w:t>de</w:t>
          </w:r>
          <w:r>
            <w:rPr>
              <w:color w:val="231F20"/>
              <w:spacing w:val="-6"/>
            </w:rPr>
            <w:t> </w:t>
          </w:r>
          <w:r>
            <w:rPr>
              <w:color w:val="231F20"/>
              <w:spacing w:val="-2"/>
            </w:rPr>
            <w:t>la</w:t>
          </w:r>
          <w:r>
            <w:rPr>
              <w:color w:val="231F20"/>
              <w:spacing w:val="-5"/>
            </w:rPr>
            <w:t> </w:t>
          </w:r>
          <w:r>
            <w:rPr>
              <w:color w:val="231F20"/>
              <w:spacing w:val="-2"/>
            </w:rPr>
            <w:t>population,</w:t>
          </w:r>
          <w:r>
            <w:rPr>
              <w:color w:val="231F20"/>
              <w:spacing w:val="-7"/>
            </w:rPr>
            <w:t> </w:t>
          </w:r>
          <w:r>
            <w:rPr>
              <w:color w:val="231F20"/>
              <w:spacing w:val="-2"/>
            </w:rPr>
            <w:t>Isaac</w:t>
          </w:r>
          <w:r>
            <w:rPr>
              <w:color w:val="231F20"/>
              <w:spacing w:val="-3"/>
            </w:rPr>
            <w:t> </w:t>
          </w:r>
          <w:r>
            <w:rPr>
              <w:color w:val="231F20"/>
              <w:spacing w:val="-2"/>
            </w:rPr>
            <w:t>Zida</w:t>
          </w:r>
          <w:r>
            <w:rPr>
              <w:color w:val="231F20"/>
              <w:spacing w:val="-6"/>
            </w:rPr>
            <w:t> </w:t>
          </w:r>
          <w:r>
            <w:rPr>
              <w:color w:val="231F20"/>
              <w:spacing w:val="-2"/>
            </w:rPr>
            <w:t>s’engage</w:t>
          </w:r>
          <w:r>
            <w:rPr>
              <w:color w:val="231F20"/>
              <w:spacing w:val="-5"/>
            </w:rPr>
            <w:t> </w:t>
          </w:r>
          <w:r>
            <w:rPr>
              <w:color w:val="231F20"/>
              <w:spacing w:val="-2"/>
            </w:rPr>
            <w:t>à</w:t>
          </w:r>
          <w:r>
            <w:rPr>
              <w:color w:val="231F20"/>
              <w:spacing w:val="-6"/>
            </w:rPr>
            <w:t> </w:t>
          </w:r>
          <w:r>
            <w:rPr>
              <w:color w:val="231F20"/>
              <w:spacing w:val="-2"/>
            </w:rPr>
            <w:t>rendre</w:t>
          </w:r>
          <w:r>
            <w:rPr>
              <w:color w:val="231F20"/>
              <w:spacing w:val="-5"/>
            </w:rPr>
            <w:t> le</w:t>
          </w:r>
        </w:p>
        <w:p>
          <w:pPr>
            <w:pStyle w:val="TOC4"/>
            <w:tabs>
              <w:tab w:pos="6582" w:val="left" w:leader="dot"/>
            </w:tabs>
            <w:spacing w:before="2"/>
          </w:pPr>
          <w:r>
            <w:rPr>
              <w:color w:val="231F20"/>
              <w:spacing w:val="-2"/>
            </w:rPr>
            <w:t>pouvoir</w:t>
          </w:r>
          <w:r>
            <w:rPr>
              <w:color w:val="231F20"/>
              <w:spacing w:val="-7"/>
            </w:rPr>
            <w:t> </w:t>
          </w:r>
          <w:r>
            <w:rPr>
              <w:color w:val="231F20"/>
              <w:spacing w:val="-2"/>
            </w:rPr>
            <w:t>à</w:t>
          </w:r>
          <w:r>
            <w:rPr>
              <w:color w:val="231F20"/>
              <w:spacing w:val="-10"/>
            </w:rPr>
            <w:t> </w:t>
          </w:r>
          <w:r>
            <w:rPr>
              <w:color w:val="231F20"/>
              <w:spacing w:val="-2"/>
            </w:rPr>
            <w:t>un</w:t>
          </w:r>
          <w:r>
            <w:rPr>
              <w:color w:val="231F20"/>
              <w:spacing w:val="-7"/>
            </w:rPr>
            <w:t> </w:t>
          </w:r>
          <w:r>
            <w:rPr>
              <w:color w:val="231F20"/>
              <w:spacing w:val="-4"/>
            </w:rPr>
            <w:t>civil</w:t>
          </w:r>
          <w:r>
            <w:rPr>
              <w:color w:val="231F20"/>
            </w:rPr>
            <w:tab/>
          </w:r>
          <w:r>
            <w:rPr>
              <w:color w:val="231F20"/>
              <w:spacing w:val="-5"/>
            </w:rPr>
            <w:t>117</w:t>
          </w:r>
        </w:p>
        <w:p>
          <w:pPr>
            <w:pStyle w:val="TOC2"/>
            <w:tabs>
              <w:tab w:pos="6582" w:val="left" w:leader="dot"/>
            </w:tabs>
            <w:spacing w:before="61"/>
          </w:pPr>
          <w:r>
            <w:rPr>
              <w:color w:val="231F20"/>
            </w:rPr>
            <w:t>Le</w:t>
          </w:r>
          <w:r>
            <w:rPr>
              <w:color w:val="231F20"/>
              <w:spacing w:val="-14"/>
            </w:rPr>
            <w:t> </w:t>
          </w:r>
          <w:r>
            <w:rPr>
              <w:color w:val="231F20"/>
            </w:rPr>
            <w:t>temps</w:t>
          </w:r>
          <w:r>
            <w:rPr>
              <w:color w:val="231F20"/>
              <w:spacing w:val="-14"/>
            </w:rPr>
            <w:t> </w:t>
          </w:r>
          <w:r>
            <w:rPr>
              <w:color w:val="231F20"/>
            </w:rPr>
            <w:t>du</w:t>
          </w:r>
          <w:r>
            <w:rPr>
              <w:color w:val="231F20"/>
              <w:spacing w:val="-13"/>
            </w:rPr>
            <w:t> </w:t>
          </w:r>
          <w:r>
            <w:rPr>
              <w:color w:val="231F20"/>
              <w:spacing w:val="-2"/>
            </w:rPr>
            <w:t>Bélier</w:t>
          </w:r>
          <w:r>
            <w:rPr>
              <w:color w:val="231F20"/>
            </w:rPr>
            <w:tab/>
          </w:r>
          <w:r>
            <w:rPr>
              <w:color w:val="231F20"/>
              <w:spacing w:val="-5"/>
            </w:rPr>
            <w:t>123</w:t>
          </w:r>
        </w:p>
        <w:p>
          <w:pPr>
            <w:pStyle w:val="TOC4"/>
            <w:tabs>
              <w:tab w:pos="6583" w:val="left" w:leader="dot"/>
            </w:tabs>
          </w:pPr>
          <w:hyperlink w:history="true" w:anchor="_TOC_250028">
            <w:r>
              <w:rPr>
                <w:color w:val="231F20"/>
                <w:spacing w:val="-2"/>
              </w:rPr>
              <w:t>En</w:t>
            </w:r>
            <w:r>
              <w:rPr>
                <w:color w:val="231F20"/>
                <w:spacing w:val="-12"/>
              </w:rPr>
              <w:t> </w:t>
            </w:r>
            <w:r>
              <w:rPr>
                <w:color w:val="231F20"/>
                <w:spacing w:val="-2"/>
              </w:rPr>
              <w:t>1970,</w:t>
            </w:r>
            <w:r>
              <w:rPr>
                <w:color w:val="231F20"/>
                <w:spacing w:val="-12"/>
              </w:rPr>
              <w:t> </w:t>
            </w:r>
            <w:r>
              <w:rPr>
                <w:color w:val="231F20"/>
                <w:spacing w:val="-2"/>
              </w:rPr>
              <w:t>c’est</w:t>
            </w:r>
            <w:r>
              <w:rPr>
                <w:color w:val="231F20"/>
                <w:spacing w:val="-12"/>
              </w:rPr>
              <w:t> </w:t>
            </w:r>
            <w:r>
              <w:rPr>
                <w:color w:val="231F20"/>
                <w:spacing w:val="-2"/>
              </w:rPr>
              <w:t>l’épisode</w:t>
            </w:r>
            <w:r>
              <w:rPr>
                <w:color w:val="231F20"/>
                <w:spacing w:val="-11"/>
              </w:rPr>
              <w:t> </w:t>
            </w:r>
            <w:r>
              <w:rPr>
                <w:color w:val="231F20"/>
                <w:spacing w:val="-2"/>
              </w:rPr>
              <w:t>de</w:t>
            </w:r>
            <w:r>
              <w:rPr>
                <w:color w:val="231F20"/>
                <w:spacing w:val="-12"/>
              </w:rPr>
              <w:t> </w:t>
            </w:r>
            <w:r>
              <w:rPr>
                <w:color w:val="231F20"/>
                <w:spacing w:val="-2"/>
              </w:rPr>
              <w:t>«</w:t>
            </w:r>
            <w:r>
              <w:rPr>
                <w:color w:val="231F20"/>
                <w:spacing w:val="-12"/>
              </w:rPr>
              <w:t> </w:t>
            </w:r>
            <w:r>
              <w:rPr>
                <w:color w:val="231F20"/>
                <w:spacing w:val="-2"/>
              </w:rPr>
              <w:t>l’affaire</w:t>
            </w:r>
            <w:r>
              <w:rPr>
                <w:color w:val="231F20"/>
                <w:spacing w:val="-12"/>
              </w:rPr>
              <w:t> </w:t>
            </w:r>
            <w:r>
              <w:rPr>
                <w:color w:val="231F20"/>
                <w:spacing w:val="-2"/>
              </w:rPr>
              <w:t>Gnagbé</w:t>
            </w:r>
            <w:r>
              <w:rPr>
                <w:color w:val="231F20"/>
                <w:spacing w:val="-11"/>
              </w:rPr>
              <w:t> </w:t>
            </w:r>
            <w:r>
              <w:rPr>
                <w:color w:val="231F20"/>
                <w:spacing w:val="-2"/>
              </w:rPr>
              <w:t>Kragbé</w:t>
            </w:r>
            <w:r>
              <w:rPr>
                <w:color w:val="231F20"/>
                <w:spacing w:val="-11"/>
              </w:rPr>
              <w:t> </w:t>
            </w:r>
            <w:r>
              <w:rPr>
                <w:color w:val="231F20"/>
                <w:spacing w:val="-10"/>
              </w:rPr>
              <w:t>»</w:t>
            </w:r>
            <w:r>
              <w:rPr>
                <w:color w:val="231F20"/>
              </w:rPr>
              <w:tab/>
            </w:r>
            <w:r>
              <w:rPr>
                <w:color w:val="231F20"/>
                <w:spacing w:val="-5"/>
              </w:rPr>
              <w:t>129</w:t>
            </w:r>
          </w:hyperlink>
        </w:p>
        <w:p>
          <w:pPr>
            <w:pStyle w:val="TOC4"/>
            <w:tabs>
              <w:tab w:pos="6583" w:val="left" w:leader="dot"/>
            </w:tabs>
            <w:spacing w:before="62"/>
          </w:pPr>
          <w:hyperlink w:history="true" w:anchor="_TOC_250027">
            <w:r>
              <w:rPr>
                <w:color w:val="231F20"/>
                <w:spacing w:val="-2"/>
              </w:rPr>
              <w:t>Les</w:t>
            </w:r>
            <w:r>
              <w:rPr>
                <w:color w:val="231F20"/>
                <w:spacing w:val="-10"/>
              </w:rPr>
              <w:t> </w:t>
            </w:r>
            <w:r>
              <w:rPr>
                <w:color w:val="231F20"/>
                <w:spacing w:val="-2"/>
              </w:rPr>
              <w:t>«</w:t>
            </w:r>
            <w:r>
              <w:rPr>
                <w:color w:val="231F20"/>
                <w:spacing w:val="-9"/>
              </w:rPr>
              <w:t> </w:t>
            </w:r>
            <w:r>
              <w:rPr>
                <w:color w:val="231F20"/>
                <w:spacing w:val="-2"/>
              </w:rPr>
              <w:t>bulldozers</w:t>
            </w:r>
            <w:r>
              <w:rPr>
                <w:color w:val="231F20"/>
                <w:spacing w:val="-10"/>
              </w:rPr>
              <w:t> </w:t>
            </w:r>
            <w:r>
              <w:rPr>
                <w:color w:val="231F20"/>
                <w:spacing w:val="-2"/>
              </w:rPr>
              <w:t>de</w:t>
            </w:r>
            <w:r>
              <w:rPr>
                <w:color w:val="231F20"/>
                <w:spacing w:val="-9"/>
              </w:rPr>
              <w:t> </w:t>
            </w:r>
            <w:r>
              <w:rPr>
                <w:color w:val="231F20"/>
                <w:spacing w:val="-2"/>
              </w:rPr>
              <w:t>la</w:t>
            </w:r>
            <w:r>
              <w:rPr>
                <w:color w:val="231F20"/>
                <w:spacing w:val="-10"/>
              </w:rPr>
              <w:t> </w:t>
            </w:r>
            <w:r>
              <w:rPr>
                <w:color w:val="231F20"/>
                <w:spacing w:val="-2"/>
              </w:rPr>
              <w:t>forêt»</w:t>
            </w:r>
            <w:r>
              <w:rPr>
                <w:color w:val="231F20"/>
              </w:rPr>
              <w:tab/>
            </w:r>
            <w:r>
              <w:rPr>
                <w:color w:val="231F20"/>
                <w:spacing w:val="-5"/>
              </w:rPr>
              <w:t>130</w:t>
            </w:r>
          </w:hyperlink>
        </w:p>
        <w:p>
          <w:pPr>
            <w:pStyle w:val="TOC4"/>
            <w:tabs>
              <w:tab w:pos="6583" w:val="left" w:leader="dot"/>
            </w:tabs>
          </w:pPr>
          <w:hyperlink w:history="true" w:anchor="_TOC_250026">
            <w:r>
              <w:rPr>
                <w:color w:val="231F20"/>
                <w:spacing w:val="-4"/>
              </w:rPr>
              <w:t>Les</w:t>
            </w:r>
            <w:r>
              <w:rPr>
                <w:color w:val="231F20"/>
                <w:spacing w:val="-2"/>
              </w:rPr>
              <w:t> </w:t>
            </w:r>
            <w:r>
              <w:rPr>
                <w:color w:val="231F20"/>
                <w:spacing w:val="-4"/>
              </w:rPr>
              <w:t>Coopérants</w:t>
            </w:r>
            <w:r>
              <w:rPr>
                <w:color w:val="231F20"/>
                <w:spacing w:val="-1"/>
              </w:rPr>
              <w:t> </w:t>
            </w:r>
            <w:r>
              <w:rPr>
                <w:color w:val="231F20"/>
                <w:spacing w:val="-4"/>
              </w:rPr>
              <w:t>français</w:t>
            </w:r>
            <w:r>
              <w:rPr>
                <w:color w:val="231F20"/>
              </w:rPr>
              <w:tab/>
            </w:r>
            <w:r>
              <w:rPr>
                <w:color w:val="231F20"/>
                <w:spacing w:val="-5"/>
              </w:rPr>
              <w:t>131</w:t>
            </w:r>
          </w:hyperlink>
        </w:p>
        <w:p>
          <w:pPr>
            <w:pStyle w:val="TOC4"/>
            <w:tabs>
              <w:tab w:pos="6583" w:val="left" w:leader="dot"/>
            </w:tabs>
          </w:pPr>
          <w:hyperlink w:history="true" w:anchor="_TOC_250025">
            <w:r>
              <w:rPr>
                <w:color w:val="231F20"/>
              </w:rPr>
              <w:t>Les</w:t>
            </w:r>
            <w:r>
              <w:rPr>
                <w:color w:val="231F20"/>
                <w:spacing w:val="-15"/>
              </w:rPr>
              <w:t> </w:t>
            </w:r>
            <w:r>
              <w:rPr>
                <w:color w:val="231F20"/>
                <w:spacing w:val="-2"/>
              </w:rPr>
              <w:t>Libanais</w:t>
            </w:r>
            <w:r>
              <w:rPr>
                <w:color w:val="231F20"/>
              </w:rPr>
              <w:tab/>
            </w:r>
            <w:r>
              <w:rPr>
                <w:color w:val="231F20"/>
                <w:spacing w:val="-5"/>
              </w:rPr>
              <w:t>133</w:t>
            </w:r>
          </w:hyperlink>
        </w:p>
        <w:p>
          <w:pPr>
            <w:pStyle w:val="TOC4"/>
            <w:tabs>
              <w:tab w:pos="6583" w:val="left" w:leader="dot"/>
            </w:tabs>
            <w:spacing w:before="62"/>
          </w:pPr>
          <w:hyperlink w:history="true" w:anchor="_TOC_250024">
            <w:r>
              <w:rPr>
                <w:color w:val="231F20"/>
                <w:spacing w:val="-2"/>
              </w:rPr>
              <w:t>La</w:t>
            </w:r>
            <w:r>
              <w:rPr>
                <w:color w:val="231F20"/>
                <w:spacing w:val="-9"/>
              </w:rPr>
              <w:t> </w:t>
            </w:r>
            <w:r>
              <w:rPr>
                <w:color w:val="231F20"/>
                <w:spacing w:val="-2"/>
              </w:rPr>
              <w:t>crise</w:t>
            </w:r>
            <w:r>
              <w:rPr>
                <w:color w:val="231F20"/>
                <w:spacing w:val="-8"/>
              </w:rPr>
              <w:t> </w:t>
            </w:r>
            <w:r>
              <w:rPr>
                <w:color w:val="231F20"/>
                <w:spacing w:val="-2"/>
              </w:rPr>
              <w:t>de</w:t>
            </w:r>
            <w:r>
              <w:rPr>
                <w:color w:val="231F20"/>
                <w:spacing w:val="-9"/>
              </w:rPr>
              <w:t> </w:t>
            </w:r>
            <w:r>
              <w:rPr>
                <w:color w:val="231F20"/>
                <w:spacing w:val="-2"/>
              </w:rPr>
              <w:t>l’École</w:t>
            </w:r>
            <w:r>
              <w:rPr>
                <w:color w:val="231F20"/>
              </w:rPr>
              <w:tab/>
            </w:r>
            <w:r>
              <w:rPr>
                <w:color w:val="231F20"/>
                <w:spacing w:val="-5"/>
              </w:rPr>
              <w:t>140</w:t>
            </w:r>
          </w:hyperlink>
        </w:p>
        <w:p>
          <w:pPr>
            <w:pStyle w:val="TOC4"/>
            <w:tabs>
              <w:tab w:pos="6583" w:val="left" w:leader="dot"/>
            </w:tabs>
          </w:pPr>
          <w:r>
            <w:rPr>
              <w:color w:val="231F20"/>
              <w:spacing w:val="-2"/>
            </w:rPr>
            <w:t>Le</w:t>
          </w:r>
          <w:r>
            <w:rPr>
              <w:color w:val="231F20"/>
              <w:spacing w:val="-12"/>
            </w:rPr>
            <w:t> </w:t>
          </w:r>
          <w:r>
            <w:rPr>
              <w:color w:val="231F20"/>
              <w:spacing w:val="-2"/>
            </w:rPr>
            <w:t>phénoméne</w:t>
          </w:r>
          <w:r>
            <w:rPr>
              <w:color w:val="231F20"/>
              <w:spacing w:val="-11"/>
            </w:rPr>
            <w:t> </w:t>
          </w:r>
          <w:r>
            <w:rPr>
              <w:color w:val="231F20"/>
              <w:spacing w:val="-2"/>
            </w:rPr>
            <w:t>des</w:t>
          </w:r>
          <w:r>
            <w:rPr>
              <w:color w:val="231F20"/>
              <w:spacing w:val="-11"/>
            </w:rPr>
            <w:t> </w:t>
          </w:r>
          <w:r>
            <w:rPr>
              <w:color w:val="231F20"/>
              <w:spacing w:val="-2"/>
            </w:rPr>
            <w:t>loubards</w:t>
          </w:r>
          <w:r>
            <w:rPr>
              <w:color w:val="231F20"/>
            </w:rPr>
            <w:tab/>
          </w:r>
          <w:r>
            <w:rPr>
              <w:color w:val="231F20"/>
              <w:spacing w:val="-5"/>
            </w:rPr>
            <w:t>143</w:t>
          </w:r>
        </w:p>
        <w:p>
          <w:pPr>
            <w:pStyle w:val="TOC4"/>
            <w:tabs>
              <w:tab w:pos="6583" w:val="left" w:leader="dot"/>
            </w:tabs>
            <w:spacing w:before="61"/>
          </w:pPr>
          <w:hyperlink w:history="true" w:anchor="_TOC_250023">
            <w:r>
              <w:rPr>
                <w:color w:val="231F20"/>
                <w:spacing w:val="-2"/>
              </w:rPr>
              <w:t>Le</w:t>
            </w:r>
            <w:r>
              <w:rPr>
                <w:color w:val="231F20"/>
                <w:spacing w:val="-10"/>
              </w:rPr>
              <w:t> </w:t>
            </w:r>
            <w:r>
              <w:rPr>
                <w:color w:val="231F20"/>
                <w:spacing w:val="-2"/>
              </w:rPr>
              <w:t>foncier</w:t>
            </w:r>
            <w:r>
              <w:rPr>
                <w:color w:val="231F20"/>
                <w:spacing w:val="-10"/>
              </w:rPr>
              <w:t> </w:t>
            </w:r>
            <w:r>
              <w:rPr>
                <w:color w:val="231F20"/>
                <w:spacing w:val="-2"/>
              </w:rPr>
              <w:t>rural</w:t>
            </w:r>
            <w:r>
              <w:rPr>
                <w:color w:val="231F20"/>
                <w:spacing w:val="-9"/>
              </w:rPr>
              <w:t> </w:t>
            </w:r>
            <w:r>
              <w:rPr>
                <w:color w:val="231F20"/>
                <w:spacing w:val="-2"/>
              </w:rPr>
              <w:t>en</w:t>
            </w:r>
            <w:r>
              <w:rPr>
                <w:color w:val="231F20"/>
                <w:spacing w:val="-10"/>
              </w:rPr>
              <w:t> </w:t>
            </w:r>
            <w:r>
              <w:rPr>
                <w:color w:val="231F20"/>
                <w:spacing w:val="-4"/>
              </w:rPr>
              <w:t>crise</w:t>
            </w:r>
            <w:r>
              <w:rPr>
                <w:color w:val="231F20"/>
              </w:rPr>
              <w:tab/>
            </w:r>
            <w:r>
              <w:rPr>
                <w:color w:val="231F20"/>
                <w:spacing w:val="-5"/>
              </w:rPr>
              <w:t>143</w:t>
            </w:r>
          </w:hyperlink>
        </w:p>
        <w:p>
          <w:pPr>
            <w:pStyle w:val="TOC4"/>
            <w:tabs>
              <w:tab w:pos="6584" w:val="left" w:leader="dot"/>
            </w:tabs>
          </w:pPr>
          <w:hyperlink w:history="true" w:anchor="_TOC_250022">
            <w:r>
              <w:rPr>
                <w:color w:val="231F20"/>
                <w:spacing w:val="-4"/>
              </w:rPr>
              <w:t>Les</w:t>
            </w:r>
            <w:r>
              <w:rPr>
                <w:color w:val="231F20"/>
              </w:rPr>
              <w:t> </w:t>
            </w:r>
            <w:r>
              <w:rPr>
                <w:color w:val="231F20"/>
                <w:spacing w:val="-4"/>
              </w:rPr>
              <w:t>revers</w:t>
            </w:r>
            <w:r>
              <w:rPr>
                <w:color w:val="231F20"/>
                <w:spacing w:val="-1"/>
              </w:rPr>
              <w:t> </w:t>
            </w:r>
            <w:r>
              <w:rPr>
                <w:color w:val="231F20"/>
                <w:spacing w:val="-4"/>
              </w:rPr>
              <w:t>de</w:t>
            </w:r>
            <w:r>
              <w:rPr>
                <w:color w:val="231F20"/>
                <w:spacing w:val="-1"/>
              </w:rPr>
              <w:t> </w:t>
            </w:r>
            <w:r>
              <w:rPr>
                <w:color w:val="231F20"/>
                <w:spacing w:val="-4"/>
              </w:rPr>
              <w:t>l’immigration</w:t>
            </w:r>
            <w:r>
              <w:rPr>
                <w:color w:val="231F20"/>
                <w:spacing w:val="-1"/>
              </w:rPr>
              <w:t> </w:t>
            </w:r>
            <w:r>
              <w:rPr>
                <w:color w:val="231F20"/>
                <w:spacing w:val="-4"/>
              </w:rPr>
              <w:t>incontrôlée</w:t>
            </w:r>
            <w:r>
              <w:rPr>
                <w:color w:val="231F20"/>
              </w:rPr>
              <w:tab/>
            </w:r>
            <w:r>
              <w:rPr>
                <w:color w:val="231F20"/>
                <w:spacing w:val="-5"/>
              </w:rPr>
              <w:t>144</w:t>
            </w:r>
          </w:hyperlink>
        </w:p>
        <w:p>
          <w:pPr>
            <w:pStyle w:val="TOC4"/>
            <w:tabs>
              <w:tab w:pos="6583" w:val="left" w:leader="dot"/>
            </w:tabs>
          </w:pPr>
          <w:r>
            <w:rPr>
              <w:color w:val="231F20"/>
            </w:rPr>
            <w:t>Des</w:t>
          </w:r>
          <w:r>
            <w:rPr>
              <w:color w:val="231F20"/>
              <w:spacing w:val="-13"/>
            </w:rPr>
            <w:t> </w:t>
          </w:r>
          <w:r>
            <w:rPr>
              <w:color w:val="231F20"/>
            </w:rPr>
            <w:t>dozo</w:t>
          </w:r>
          <w:r>
            <w:rPr>
              <w:color w:val="231F20"/>
              <w:spacing w:val="-14"/>
            </w:rPr>
            <w:t> </w:t>
          </w:r>
          <w:r>
            <w:rPr>
              <w:color w:val="231F20"/>
            </w:rPr>
            <w:t>à</w:t>
          </w:r>
          <w:r>
            <w:rPr>
              <w:color w:val="231F20"/>
              <w:spacing w:val="-12"/>
            </w:rPr>
            <w:t> </w:t>
          </w:r>
          <w:r>
            <w:rPr>
              <w:color w:val="231F20"/>
              <w:spacing w:val="-2"/>
            </w:rPr>
            <w:t>Abidjan</w:t>
          </w:r>
          <w:r>
            <w:rPr>
              <w:color w:val="231F20"/>
            </w:rPr>
            <w:tab/>
          </w:r>
          <w:r>
            <w:rPr>
              <w:color w:val="231F20"/>
              <w:spacing w:val="-5"/>
            </w:rPr>
            <w:t>146</w:t>
          </w:r>
        </w:p>
        <w:p>
          <w:pPr>
            <w:pStyle w:val="TOC4"/>
            <w:tabs>
              <w:tab w:pos="6583" w:val="left" w:leader="dot"/>
            </w:tabs>
            <w:spacing w:before="61"/>
          </w:pPr>
          <w:hyperlink w:history="true" w:anchor="_TOC_250021">
            <w:r>
              <w:rPr>
                <w:color w:val="231F20"/>
                <w:spacing w:val="-2"/>
              </w:rPr>
              <w:t>La</w:t>
            </w:r>
            <w:r>
              <w:rPr>
                <w:color w:val="231F20"/>
                <w:spacing w:val="-10"/>
              </w:rPr>
              <w:t> </w:t>
            </w:r>
            <w:r>
              <w:rPr>
                <w:color w:val="231F20"/>
                <w:spacing w:val="-2"/>
              </w:rPr>
              <w:t>Presse</w:t>
            </w:r>
            <w:r>
              <w:rPr>
                <w:color w:val="231F20"/>
                <w:spacing w:val="-10"/>
              </w:rPr>
              <w:t> </w:t>
            </w:r>
            <w:r>
              <w:rPr>
                <w:color w:val="231F20"/>
                <w:spacing w:val="-2"/>
              </w:rPr>
              <w:t>en</w:t>
            </w:r>
            <w:r>
              <w:rPr>
                <w:color w:val="231F20"/>
                <w:spacing w:val="-10"/>
              </w:rPr>
              <w:t> </w:t>
            </w:r>
            <w:r>
              <w:rPr>
                <w:color w:val="231F20"/>
                <w:spacing w:val="-4"/>
              </w:rPr>
              <w:t>fête</w:t>
            </w:r>
            <w:r>
              <w:rPr>
                <w:color w:val="231F20"/>
              </w:rPr>
              <w:tab/>
            </w:r>
            <w:r>
              <w:rPr>
                <w:color w:val="231F20"/>
                <w:spacing w:val="-5"/>
              </w:rPr>
              <w:t>147</w:t>
            </w:r>
          </w:hyperlink>
        </w:p>
        <w:p>
          <w:pPr>
            <w:pStyle w:val="TOC4"/>
            <w:tabs>
              <w:tab w:pos="6583" w:val="left" w:leader="dot"/>
            </w:tabs>
          </w:pPr>
          <w:hyperlink w:history="true" w:anchor="_TOC_250020">
            <w:r>
              <w:rPr>
                <w:color w:val="231F20"/>
                <w:spacing w:val="-2"/>
              </w:rPr>
              <w:t>Aimé</w:t>
            </w:r>
            <w:r>
              <w:rPr>
                <w:color w:val="231F20"/>
                <w:spacing w:val="-9"/>
              </w:rPr>
              <w:t> </w:t>
            </w:r>
            <w:r>
              <w:rPr>
                <w:color w:val="231F20"/>
                <w:spacing w:val="-2"/>
              </w:rPr>
              <w:t>le</w:t>
            </w:r>
            <w:r>
              <w:rPr>
                <w:color w:val="231F20"/>
                <w:spacing w:val="-8"/>
              </w:rPr>
              <w:t> </w:t>
            </w:r>
            <w:r>
              <w:rPr>
                <w:color w:val="231F20"/>
                <w:spacing w:val="-2"/>
              </w:rPr>
              <w:t>mal</w:t>
            </w:r>
            <w:r>
              <w:rPr>
                <w:color w:val="231F20"/>
                <w:spacing w:val="-7"/>
              </w:rPr>
              <w:t> </w:t>
            </w:r>
            <w:r>
              <w:rPr>
                <w:color w:val="231F20"/>
                <w:spacing w:val="-4"/>
              </w:rPr>
              <w:t>aimé</w:t>
            </w:r>
            <w:r>
              <w:rPr>
                <w:color w:val="231F20"/>
              </w:rPr>
              <w:tab/>
            </w:r>
            <w:r>
              <w:rPr>
                <w:color w:val="231F20"/>
                <w:spacing w:val="-5"/>
              </w:rPr>
              <w:t>153</w:t>
            </w:r>
          </w:hyperlink>
        </w:p>
        <w:p>
          <w:pPr>
            <w:pStyle w:val="TOC4"/>
            <w:spacing w:before="60"/>
          </w:pPr>
          <w:r>
            <w:rPr>
              <w:color w:val="231F20"/>
            </w:rPr>
            <w:t>Le</w:t>
          </w:r>
          <w:r>
            <w:rPr>
              <w:color w:val="231F20"/>
              <w:spacing w:val="76"/>
            </w:rPr>
            <w:t> </w:t>
          </w:r>
          <w:r>
            <w:rPr>
              <w:color w:val="231F20"/>
            </w:rPr>
            <w:t>chef</w:t>
          </w:r>
          <w:r>
            <w:rPr>
              <w:color w:val="231F20"/>
              <w:spacing w:val="77"/>
            </w:rPr>
            <w:t> </w:t>
          </w:r>
          <w:r>
            <w:rPr>
              <w:color w:val="231F20"/>
            </w:rPr>
            <w:t>de</w:t>
          </w:r>
          <w:r>
            <w:rPr>
              <w:color w:val="231F20"/>
              <w:spacing w:val="77"/>
            </w:rPr>
            <w:t> </w:t>
          </w:r>
          <w:r>
            <w:rPr>
              <w:color w:val="231F20"/>
            </w:rPr>
            <w:t>l’État</w:t>
          </w:r>
          <w:r>
            <w:rPr>
              <w:color w:val="231F20"/>
              <w:spacing w:val="76"/>
            </w:rPr>
            <w:t> </w:t>
          </w:r>
          <w:r>
            <w:rPr>
              <w:color w:val="231F20"/>
            </w:rPr>
            <w:t>se</w:t>
          </w:r>
          <w:r>
            <w:rPr>
              <w:color w:val="231F20"/>
              <w:spacing w:val="77"/>
            </w:rPr>
            <w:t> </w:t>
          </w:r>
          <w:r>
            <w:rPr>
              <w:color w:val="231F20"/>
            </w:rPr>
            <w:t>mue</w:t>
          </w:r>
          <w:r>
            <w:rPr>
              <w:color w:val="231F20"/>
              <w:spacing w:val="79"/>
            </w:rPr>
            <w:t> </w:t>
          </w:r>
          <w:r>
            <w:rPr>
              <w:color w:val="231F20"/>
            </w:rPr>
            <w:t>dans</w:t>
          </w:r>
          <w:r>
            <w:rPr>
              <w:color w:val="231F20"/>
              <w:spacing w:val="76"/>
            </w:rPr>
            <w:t> </w:t>
          </w:r>
          <w:r>
            <w:rPr>
              <w:color w:val="231F20"/>
            </w:rPr>
            <w:t>un</w:t>
          </w:r>
          <w:r>
            <w:rPr>
              <w:color w:val="231F20"/>
              <w:spacing w:val="76"/>
            </w:rPr>
            <w:t> </w:t>
          </w:r>
          <w:r>
            <w:rPr>
              <w:color w:val="231F20"/>
            </w:rPr>
            <w:t>silence</w:t>
          </w:r>
          <w:r>
            <w:rPr>
              <w:color w:val="231F20"/>
              <w:spacing w:val="77"/>
            </w:rPr>
            <w:t> </w:t>
          </w:r>
          <w:r>
            <w:rPr>
              <w:color w:val="231F20"/>
            </w:rPr>
            <w:t>complice</w:t>
          </w:r>
          <w:r>
            <w:rPr>
              <w:color w:val="231F20"/>
              <w:spacing w:val="77"/>
            </w:rPr>
            <w:t> </w:t>
          </w:r>
          <w:r>
            <w:rPr>
              <w:color w:val="231F20"/>
            </w:rPr>
            <w:t>propice</w:t>
          </w:r>
          <w:r>
            <w:rPr>
              <w:color w:val="231F20"/>
              <w:spacing w:val="77"/>
            </w:rPr>
            <w:t> </w:t>
          </w:r>
          <w:r>
            <w:rPr>
              <w:color w:val="231F20"/>
              <w:spacing w:val="-5"/>
            </w:rPr>
            <w:t>aux</w:t>
          </w:r>
        </w:p>
        <w:p>
          <w:pPr>
            <w:pStyle w:val="TOC4"/>
            <w:tabs>
              <w:tab w:pos="6582" w:val="left" w:leader="dot"/>
            </w:tabs>
            <w:spacing w:before="1"/>
          </w:pPr>
          <w:r>
            <w:rPr>
              <w:color w:val="231F20"/>
              <w:spacing w:val="-2"/>
            </w:rPr>
            <w:t>interprétations</w:t>
          </w:r>
          <w:r>
            <w:rPr>
              <w:color w:val="231F20"/>
            </w:rPr>
            <w:tab/>
          </w:r>
          <w:r>
            <w:rPr>
              <w:color w:val="231F20"/>
              <w:spacing w:val="-5"/>
            </w:rPr>
            <w:t>158</w:t>
          </w:r>
        </w:p>
        <w:p>
          <w:pPr>
            <w:pStyle w:val="TOC4"/>
            <w:tabs>
              <w:tab w:pos="6583" w:val="left" w:leader="dot"/>
            </w:tabs>
            <w:spacing w:line="244" w:lineRule="auto" w:before="57"/>
            <w:ind w:right="112"/>
          </w:pPr>
          <w:hyperlink w:history="true" w:anchor="_TOC_250019">
            <w:r>
              <w:rPr>
                <w:color w:val="231F20"/>
              </w:rPr>
              <w:t>La</w:t>
            </w:r>
            <w:r>
              <w:rPr>
                <w:color w:val="231F20"/>
                <w:spacing w:val="-1"/>
              </w:rPr>
              <w:t> </w:t>
            </w:r>
            <w:r>
              <w:rPr>
                <w:color w:val="231F20"/>
              </w:rPr>
              <w:t>partition</w:t>
            </w:r>
            <w:r>
              <w:rPr>
                <w:color w:val="231F20"/>
                <w:spacing w:val="-2"/>
              </w:rPr>
              <w:t> </w:t>
            </w:r>
            <w:r>
              <w:rPr>
                <w:color w:val="231F20"/>
              </w:rPr>
              <w:t>en</w:t>
            </w:r>
            <w:r>
              <w:rPr>
                <w:color w:val="231F20"/>
                <w:spacing w:val="-2"/>
              </w:rPr>
              <w:t> </w:t>
            </w:r>
            <w:r>
              <w:rPr>
                <w:color w:val="231F20"/>
              </w:rPr>
              <w:t>deux</w:t>
            </w:r>
            <w:r>
              <w:rPr>
                <w:color w:val="231F20"/>
                <w:spacing w:val="-2"/>
              </w:rPr>
              <w:t> </w:t>
            </w:r>
            <w:r>
              <w:rPr>
                <w:color w:val="231F20"/>
              </w:rPr>
              <w:t>du</w:t>
            </w:r>
            <w:r>
              <w:rPr>
                <w:color w:val="231F20"/>
                <w:spacing w:val="-2"/>
              </w:rPr>
              <w:t> </w:t>
            </w:r>
            <w:r>
              <w:rPr>
                <w:color w:val="231F20"/>
              </w:rPr>
              <w:t>pays</w:t>
            </w:r>
            <w:r>
              <w:rPr>
                <w:color w:val="231F20"/>
                <w:spacing w:val="-2"/>
              </w:rPr>
              <w:t> </w:t>
            </w:r>
            <w:r>
              <w:rPr>
                <w:color w:val="231F20"/>
              </w:rPr>
              <w:t>se</w:t>
            </w:r>
            <w:r>
              <w:rPr>
                <w:color w:val="231F20"/>
                <w:spacing w:val="-4"/>
              </w:rPr>
              <w:t> </w:t>
            </w:r>
            <w:r>
              <w:rPr>
                <w:color w:val="231F20"/>
              </w:rPr>
              <w:t>met</w:t>
            </w:r>
            <w:r>
              <w:rPr>
                <w:color w:val="231F20"/>
                <w:spacing w:val="-3"/>
              </w:rPr>
              <w:t> </w:t>
            </w:r>
            <w:r>
              <w:rPr>
                <w:color w:val="231F20"/>
              </w:rPr>
              <w:t>en</w:t>
            </w:r>
            <w:r>
              <w:rPr>
                <w:color w:val="231F20"/>
                <w:spacing w:val="-2"/>
              </w:rPr>
              <w:t> </w:t>
            </w:r>
            <w:r>
              <w:rPr>
                <w:color w:val="231F20"/>
              </w:rPr>
              <w:t>route</w:t>
            </w:r>
            <w:r>
              <w:rPr>
                <w:color w:val="231F20"/>
                <w:spacing w:val="-1"/>
              </w:rPr>
              <w:t> </w:t>
            </w:r>
            <w:r>
              <w:rPr>
                <w:color w:val="231F20"/>
              </w:rPr>
              <w:t>dans</w:t>
            </w:r>
            <w:r>
              <w:rPr>
                <w:color w:val="231F20"/>
                <w:spacing w:val="-4"/>
              </w:rPr>
              <w:t> </w:t>
            </w:r>
            <w:r>
              <w:rPr>
                <w:color w:val="231F20"/>
              </w:rPr>
              <w:t>les</w:t>
            </w:r>
            <w:r>
              <w:rPr>
                <w:color w:val="231F20"/>
                <w:spacing w:val="-4"/>
              </w:rPr>
              <w:t> </w:t>
            </w:r>
            <w:r>
              <w:rPr>
                <w:color w:val="231F20"/>
              </w:rPr>
              <w:t>esprits</w:t>
            </w:r>
            <w:r>
              <w:rPr>
                <w:color w:val="231F20"/>
                <w:spacing w:val="-2"/>
              </w:rPr>
              <w:t> </w:t>
            </w:r>
            <w:r>
              <w:rPr>
                <w:color w:val="231F20"/>
              </w:rPr>
              <w:t>de</w:t>
            </w:r>
            <w:r>
              <w:rPr>
                <w:color w:val="231F20"/>
                <w:spacing w:val="-4"/>
              </w:rPr>
              <w:t> </w:t>
            </w:r>
            <w:r>
              <w:rPr>
                <w:color w:val="231F20"/>
              </w:rPr>
              <w:t>ceux</w:t>
            </w:r>
            <w:r>
              <w:rPr>
                <w:color w:val="231F20"/>
                <w:spacing w:val="-4"/>
              </w:rPr>
              <w:t> </w:t>
            </w:r>
            <w:r>
              <w:rPr>
                <w:color w:val="231F20"/>
              </w:rPr>
              <w:t>qui </w:t>
            </w:r>
            <w:r>
              <w:rPr>
                <w:color w:val="231F20"/>
                <w:spacing w:val="-4"/>
              </w:rPr>
              <w:t>sont</w:t>
            </w:r>
            <w:r>
              <w:rPr>
                <w:color w:val="231F20"/>
                <w:spacing w:val="-1"/>
              </w:rPr>
              <w:t> </w:t>
            </w:r>
            <w:r>
              <w:rPr>
                <w:color w:val="231F20"/>
                <w:spacing w:val="-4"/>
              </w:rPr>
              <w:t>sensibles</w:t>
            </w:r>
            <w:r>
              <w:rPr>
                <w:color w:val="231F20"/>
                <w:spacing w:val="-3"/>
              </w:rPr>
              <w:t> </w:t>
            </w:r>
            <w:r>
              <w:rPr>
                <w:color w:val="231F20"/>
                <w:spacing w:val="-4"/>
              </w:rPr>
              <w:t>au</w:t>
            </w:r>
            <w:r>
              <w:rPr>
                <w:color w:val="231F20"/>
                <w:spacing w:val="-2"/>
              </w:rPr>
              <w:t> </w:t>
            </w:r>
            <w:r>
              <w:rPr>
                <w:color w:val="231F20"/>
                <w:spacing w:val="-4"/>
              </w:rPr>
              <w:t>message</w:t>
            </w:r>
            <w:r>
              <w:rPr>
                <w:color w:val="231F20"/>
                <w:spacing w:val="1"/>
              </w:rPr>
              <w:t> </w:t>
            </w:r>
            <w:r>
              <w:rPr>
                <w:color w:val="231F20"/>
                <w:spacing w:val="-4"/>
              </w:rPr>
              <w:t>véhiculé.</w:t>
            </w:r>
            <w:r>
              <w:rPr>
                <w:color w:val="231F20"/>
              </w:rPr>
              <w:tab/>
            </w:r>
            <w:r>
              <w:rPr>
                <w:color w:val="231F20"/>
                <w:spacing w:val="-5"/>
              </w:rPr>
              <w:t>159</w:t>
            </w:r>
          </w:hyperlink>
        </w:p>
        <w:p>
          <w:pPr>
            <w:pStyle w:val="TOC4"/>
            <w:tabs>
              <w:tab w:pos="6583" w:val="left" w:leader="dot"/>
            </w:tabs>
            <w:spacing w:before="53"/>
          </w:pPr>
          <w:hyperlink w:history="true" w:anchor="_TOC_250018">
            <w:r>
              <w:rPr>
                <w:color w:val="231F20"/>
                <w:spacing w:val="-2"/>
              </w:rPr>
              <w:t>Début</w:t>
            </w:r>
            <w:r>
              <w:rPr>
                <w:color w:val="231F20"/>
                <w:spacing w:val="-11"/>
              </w:rPr>
              <w:t> </w:t>
            </w:r>
            <w:r>
              <w:rPr>
                <w:color w:val="231F20"/>
                <w:spacing w:val="-2"/>
              </w:rPr>
              <w:t>1997,</w:t>
            </w:r>
            <w:r>
              <w:rPr>
                <w:color w:val="231F20"/>
                <w:spacing w:val="-12"/>
              </w:rPr>
              <w:t> </w:t>
            </w:r>
            <w:r>
              <w:rPr>
                <w:color w:val="231F20"/>
                <w:spacing w:val="-2"/>
              </w:rPr>
              <w:t>les</w:t>
            </w:r>
            <w:r>
              <w:rPr>
                <w:color w:val="231F20"/>
                <w:spacing w:val="-12"/>
              </w:rPr>
              <w:t> </w:t>
            </w:r>
            <w:r>
              <w:rPr>
                <w:color w:val="231F20"/>
                <w:spacing w:val="-2"/>
              </w:rPr>
              <w:t>relations</w:t>
            </w:r>
            <w:r>
              <w:rPr>
                <w:color w:val="231F20"/>
                <w:spacing w:val="-11"/>
              </w:rPr>
              <w:t> </w:t>
            </w:r>
            <w:r>
              <w:rPr>
                <w:color w:val="231F20"/>
                <w:spacing w:val="-2"/>
              </w:rPr>
              <w:t>commencent</w:t>
            </w:r>
            <w:r>
              <w:rPr>
                <w:color w:val="231F20"/>
                <w:spacing w:val="-10"/>
              </w:rPr>
              <w:t> </w:t>
            </w:r>
            <w:r>
              <w:rPr>
                <w:color w:val="231F20"/>
                <w:spacing w:val="-2"/>
              </w:rPr>
              <w:t>à</w:t>
            </w:r>
            <w:r>
              <w:rPr>
                <w:color w:val="231F20"/>
                <w:spacing w:val="-12"/>
              </w:rPr>
              <w:t> </w:t>
            </w:r>
            <w:r>
              <w:rPr>
                <w:color w:val="231F20"/>
                <w:spacing w:val="-2"/>
              </w:rPr>
              <w:t>se</w:t>
            </w:r>
            <w:r>
              <w:rPr>
                <w:color w:val="231F20"/>
                <w:spacing w:val="-11"/>
              </w:rPr>
              <w:t> </w:t>
            </w:r>
            <w:r>
              <w:rPr>
                <w:color w:val="231F20"/>
                <w:spacing w:val="-2"/>
              </w:rPr>
              <w:t>tendre</w:t>
            </w:r>
            <w:r>
              <w:rPr>
                <w:color w:val="231F20"/>
                <w:spacing w:val="-12"/>
              </w:rPr>
              <w:t> </w:t>
            </w:r>
            <w:r>
              <w:rPr>
                <w:color w:val="231F20"/>
                <w:spacing w:val="-2"/>
              </w:rPr>
              <w:t>avec</w:t>
            </w:r>
            <w:r>
              <w:rPr>
                <w:color w:val="231F20"/>
                <w:spacing w:val="-11"/>
              </w:rPr>
              <w:t> </w:t>
            </w:r>
            <w:r>
              <w:rPr>
                <w:color w:val="231F20"/>
                <w:spacing w:val="-2"/>
              </w:rPr>
              <w:t>le</w:t>
            </w:r>
            <w:r>
              <w:rPr>
                <w:color w:val="231F20"/>
                <w:spacing w:val="-9"/>
              </w:rPr>
              <w:t> </w:t>
            </w:r>
            <w:r>
              <w:rPr>
                <w:color w:val="231F20"/>
                <w:spacing w:val="-4"/>
              </w:rPr>
              <w:t>FMI.</w:t>
            </w:r>
            <w:r>
              <w:rPr>
                <w:color w:val="231F20"/>
              </w:rPr>
              <w:tab/>
            </w:r>
            <w:r>
              <w:rPr>
                <w:color w:val="231F20"/>
                <w:spacing w:val="-5"/>
              </w:rPr>
              <w:t>160</w:t>
            </w:r>
          </w:hyperlink>
        </w:p>
        <w:p>
          <w:pPr>
            <w:pStyle w:val="TOC4"/>
            <w:tabs>
              <w:tab w:pos="6583" w:val="left" w:leader="dot"/>
            </w:tabs>
            <w:spacing w:before="61"/>
          </w:pPr>
          <w:hyperlink w:history="true" w:anchor="_TOC_250017">
            <w:r>
              <w:rPr>
                <w:color w:val="231F20"/>
                <w:spacing w:val="-4"/>
              </w:rPr>
              <w:t>Des soudards</w:t>
            </w:r>
            <w:r>
              <w:rPr>
                <w:color w:val="231F20"/>
                <w:spacing w:val="-2"/>
              </w:rPr>
              <w:t> </w:t>
            </w:r>
            <w:r>
              <w:rPr>
                <w:color w:val="231F20"/>
                <w:spacing w:val="-4"/>
              </w:rPr>
              <w:t>maîtres</w:t>
            </w:r>
            <w:r>
              <w:rPr>
                <w:color w:val="231F20"/>
                <w:spacing w:val="-2"/>
              </w:rPr>
              <w:t> </w:t>
            </w:r>
            <w:r>
              <w:rPr>
                <w:color w:val="231F20"/>
                <w:spacing w:val="-4"/>
              </w:rPr>
              <w:t>du</w:t>
            </w:r>
            <w:r>
              <w:rPr>
                <w:color w:val="231F20"/>
                <w:spacing w:val="-2"/>
              </w:rPr>
              <w:t> </w:t>
            </w:r>
            <w:r>
              <w:rPr>
                <w:color w:val="231F20"/>
                <w:spacing w:val="-4"/>
              </w:rPr>
              <w:t>palais</w:t>
            </w:r>
            <w:r>
              <w:rPr>
                <w:color w:val="231F20"/>
              </w:rPr>
              <w:tab/>
            </w:r>
            <w:r>
              <w:rPr>
                <w:color w:val="231F20"/>
                <w:spacing w:val="-5"/>
              </w:rPr>
              <w:t>166</w:t>
            </w:r>
          </w:hyperlink>
        </w:p>
        <w:p>
          <w:pPr>
            <w:pStyle w:val="TOC2"/>
            <w:tabs>
              <w:tab w:pos="6583" w:val="left" w:leader="dot"/>
            </w:tabs>
          </w:pPr>
          <w:r>
            <w:rPr>
              <w:color w:val="231F20"/>
              <w:spacing w:val="-4"/>
            </w:rPr>
            <w:t>L’intrus</w:t>
          </w:r>
          <w:r>
            <w:rPr>
              <w:color w:val="231F20"/>
              <w:spacing w:val="-3"/>
            </w:rPr>
            <w:t> </w:t>
          </w:r>
          <w:r>
            <w:rPr>
              <w:color w:val="231F20"/>
              <w:spacing w:val="-4"/>
            </w:rPr>
            <w:t>du</w:t>
          </w:r>
          <w:r>
            <w:rPr>
              <w:color w:val="231F20"/>
              <w:spacing w:val="-3"/>
            </w:rPr>
            <w:t> </w:t>
          </w:r>
          <w:r>
            <w:rPr>
              <w:color w:val="231F20"/>
              <w:spacing w:val="-4"/>
            </w:rPr>
            <w:t>village</w:t>
          </w:r>
          <w:r>
            <w:rPr>
              <w:color w:val="231F20"/>
              <w:spacing w:val="-2"/>
            </w:rPr>
            <w:t> </w:t>
          </w:r>
          <w:r>
            <w:rPr>
              <w:color w:val="231F20"/>
              <w:spacing w:val="-4"/>
            </w:rPr>
            <w:t>françafric</w:t>
          </w:r>
          <w:r>
            <w:rPr>
              <w:color w:val="231F20"/>
            </w:rPr>
            <w:tab/>
          </w:r>
          <w:r>
            <w:rPr>
              <w:color w:val="231F20"/>
              <w:spacing w:val="-5"/>
            </w:rPr>
            <w:t>173</w:t>
          </w:r>
        </w:p>
        <w:p>
          <w:pPr>
            <w:pStyle w:val="TOC1"/>
            <w:tabs>
              <w:tab w:pos="6583" w:val="left" w:leader="dot"/>
            </w:tabs>
          </w:pPr>
          <w:r>
            <w:rPr>
              <w:color w:val="231F20"/>
              <w:spacing w:val="-2"/>
            </w:rPr>
            <w:t>Tous</w:t>
          </w:r>
          <w:r>
            <w:rPr>
              <w:color w:val="231F20"/>
              <w:spacing w:val="-12"/>
            </w:rPr>
            <w:t> </w:t>
          </w:r>
          <w:r>
            <w:rPr>
              <w:color w:val="231F20"/>
              <w:spacing w:val="-2"/>
            </w:rPr>
            <w:t>les</w:t>
          </w:r>
          <w:r>
            <w:rPr>
              <w:color w:val="231F20"/>
              <w:spacing w:val="-12"/>
            </w:rPr>
            <w:t> </w:t>
          </w:r>
          <w:r>
            <w:rPr>
              <w:color w:val="231F20"/>
              <w:spacing w:val="-2"/>
            </w:rPr>
            <w:t>grands</w:t>
          </w:r>
          <w:r>
            <w:rPr>
              <w:color w:val="231F20"/>
              <w:spacing w:val="-12"/>
            </w:rPr>
            <w:t> </w:t>
          </w:r>
          <w:r>
            <w:rPr>
              <w:color w:val="231F20"/>
              <w:spacing w:val="-2"/>
            </w:rPr>
            <w:t>groupes</w:t>
          </w:r>
          <w:r>
            <w:rPr>
              <w:color w:val="231F20"/>
              <w:spacing w:val="-11"/>
            </w:rPr>
            <w:t> </w:t>
          </w:r>
          <w:r>
            <w:rPr>
              <w:color w:val="231F20"/>
              <w:spacing w:val="-2"/>
            </w:rPr>
            <w:t>français</w:t>
          </w:r>
          <w:r>
            <w:rPr>
              <w:color w:val="231F20"/>
              <w:spacing w:val="-12"/>
            </w:rPr>
            <w:t> </w:t>
          </w:r>
          <w:r>
            <w:rPr>
              <w:color w:val="231F20"/>
              <w:spacing w:val="-2"/>
            </w:rPr>
            <w:t>se</w:t>
          </w:r>
          <w:r>
            <w:rPr>
              <w:color w:val="231F20"/>
              <w:spacing w:val="-12"/>
            </w:rPr>
            <w:t> </w:t>
          </w:r>
          <w:r>
            <w:rPr>
              <w:color w:val="231F20"/>
              <w:spacing w:val="-2"/>
            </w:rPr>
            <w:t>partagent</w:t>
          </w:r>
          <w:r>
            <w:rPr>
              <w:color w:val="231F20"/>
              <w:spacing w:val="-10"/>
            </w:rPr>
            <w:t> </w:t>
          </w:r>
          <w:r>
            <w:rPr>
              <w:color w:val="231F20"/>
              <w:spacing w:val="-2"/>
            </w:rPr>
            <w:t>le</w:t>
          </w:r>
          <w:r>
            <w:rPr>
              <w:color w:val="231F20"/>
              <w:spacing w:val="-9"/>
            </w:rPr>
            <w:t> </w:t>
          </w:r>
          <w:r>
            <w:rPr>
              <w:color w:val="231F20"/>
              <w:spacing w:val="-4"/>
            </w:rPr>
            <w:t>pays.</w:t>
          </w:r>
          <w:r>
            <w:rPr>
              <w:color w:val="231F20"/>
            </w:rPr>
            <w:tab/>
          </w:r>
          <w:r>
            <w:rPr>
              <w:color w:val="231F20"/>
              <w:spacing w:val="-5"/>
            </w:rPr>
            <w:t>173</w:t>
          </w:r>
        </w:p>
        <w:p>
          <w:pPr>
            <w:pStyle w:val="TOC4"/>
            <w:tabs>
              <w:tab w:pos="6583" w:val="left" w:leader="dot"/>
            </w:tabs>
            <w:spacing w:before="62"/>
          </w:pPr>
          <w:hyperlink w:history="true" w:anchor="_TOC_250016">
            <w:r>
              <w:rPr>
                <w:color w:val="231F20"/>
                <w:spacing w:val="-2"/>
              </w:rPr>
              <w:t>La</w:t>
            </w:r>
            <w:r>
              <w:rPr>
                <w:color w:val="231F20"/>
                <w:spacing w:val="-10"/>
              </w:rPr>
              <w:t> </w:t>
            </w:r>
            <w:r>
              <w:rPr>
                <w:color w:val="231F20"/>
                <w:spacing w:val="-2"/>
              </w:rPr>
              <w:t>prise</w:t>
            </w:r>
            <w:r>
              <w:rPr>
                <w:color w:val="231F20"/>
                <w:spacing w:val="-10"/>
              </w:rPr>
              <w:t> </w:t>
            </w:r>
            <w:r>
              <w:rPr>
                <w:color w:val="231F20"/>
                <w:spacing w:val="-2"/>
              </w:rPr>
              <w:t>du</w:t>
            </w:r>
            <w:r>
              <w:rPr>
                <w:color w:val="231F20"/>
                <w:spacing w:val="-11"/>
              </w:rPr>
              <w:t> </w:t>
            </w:r>
            <w:r>
              <w:rPr>
                <w:color w:val="231F20"/>
                <w:spacing w:val="-2"/>
              </w:rPr>
              <w:t>pouvoir</w:t>
            </w:r>
            <w:r>
              <w:rPr>
                <w:color w:val="231F20"/>
                <w:spacing w:val="-10"/>
              </w:rPr>
              <w:t> </w:t>
            </w:r>
            <w:r>
              <w:rPr>
                <w:color w:val="231F20"/>
                <w:spacing w:val="-2"/>
              </w:rPr>
              <w:t>à</w:t>
            </w:r>
            <w:r>
              <w:rPr>
                <w:color w:val="231F20"/>
                <w:spacing w:val="-10"/>
              </w:rPr>
              <w:t> </w:t>
            </w:r>
            <w:r>
              <w:rPr>
                <w:color w:val="231F20"/>
                <w:spacing w:val="-2"/>
              </w:rPr>
              <w:t>Abidjan</w:t>
            </w:r>
            <w:r>
              <w:rPr>
                <w:color w:val="231F20"/>
                <w:spacing w:val="-7"/>
              </w:rPr>
              <w:t> </w:t>
            </w:r>
            <w:r>
              <w:rPr>
                <w:color w:val="231F20"/>
                <w:spacing w:val="-2"/>
              </w:rPr>
              <w:t>échoue.</w:t>
            </w:r>
            <w:r>
              <w:rPr>
                <w:color w:val="231F20"/>
              </w:rPr>
              <w:tab/>
            </w:r>
            <w:r>
              <w:rPr>
                <w:color w:val="231F20"/>
                <w:spacing w:val="-5"/>
              </w:rPr>
              <w:t>176</w:t>
            </w:r>
          </w:hyperlink>
        </w:p>
        <w:p>
          <w:pPr>
            <w:pStyle w:val="TOC4"/>
            <w:tabs>
              <w:tab w:pos="6583" w:val="left" w:leader="dot"/>
            </w:tabs>
            <w:spacing w:line="297" w:lineRule="auto"/>
            <w:ind w:left="771" w:right="114" w:hanging="221"/>
          </w:pPr>
          <w:r>
            <w:rPr>
              <w:color w:val="231F20"/>
              <w:spacing w:val="-2"/>
            </w:rPr>
            <w:t>De</w:t>
          </w:r>
          <w:r>
            <w:rPr>
              <w:color w:val="231F20"/>
              <w:spacing w:val="-8"/>
            </w:rPr>
            <w:t> </w:t>
          </w:r>
          <w:r>
            <w:rPr>
              <w:color w:val="231F20"/>
              <w:spacing w:val="-2"/>
            </w:rPr>
            <w:t>Lomé</w:t>
          </w:r>
          <w:r>
            <w:rPr>
              <w:color w:val="231F20"/>
              <w:spacing w:val="-10"/>
            </w:rPr>
            <w:t> </w:t>
          </w:r>
          <w:r>
            <w:rPr>
              <w:color w:val="231F20"/>
              <w:spacing w:val="-2"/>
            </w:rPr>
            <w:t>à</w:t>
          </w:r>
          <w:r>
            <w:rPr>
              <w:color w:val="231F20"/>
              <w:spacing w:val="-8"/>
            </w:rPr>
            <w:t> </w:t>
          </w:r>
          <w:r>
            <w:rPr>
              <w:color w:val="231F20"/>
              <w:spacing w:val="-2"/>
            </w:rPr>
            <w:t>Accra</w:t>
          </w:r>
          <w:r>
            <w:rPr>
              <w:color w:val="231F20"/>
              <w:spacing w:val="-10"/>
            </w:rPr>
            <w:t> </w:t>
          </w:r>
          <w:r>
            <w:rPr>
              <w:color w:val="231F20"/>
              <w:spacing w:val="-2"/>
            </w:rPr>
            <w:t>en</w:t>
          </w:r>
          <w:r>
            <w:rPr>
              <w:color w:val="231F20"/>
              <w:spacing w:val="-10"/>
            </w:rPr>
            <w:t> </w:t>
          </w:r>
          <w:r>
            <w:rPr>
              <w:color w:val="231F20"/>
              <w:spacing w:val="-2"/>
            </w:rPr>
            <w:t>passant</w:t>
          </w:r>
          <w:r>
            <w:rPr>
              <w:color w:val="231F20"/>
              <w:spacing w:val="-9"/>
            </w:rPr>
            <w:t> </w:t>
          </w:r>
          <w:r>
            <w:rPr>
              <w:color w:val="231F20"/>
              <w:spacing w:val="-2"/>
            </w:rPr>
            <w:t>par</w:t>
          </w:r>
          <w:r>
            <w:rPr>
              <w:color w:val="231F20"/>
              <w:spacing w:val="-7"/>
            </w:rPr>
            <w:t> </w:t>
          </w:r>
          <w:r>
            <w:rPr>
              <w:color w:val="231F20"/>
              <w:spacing w:val="-2"/>
            </w:rPr>
            <w:t>Dakar,</w:t>
          </w:r>
          <w:r>
            <w:rPr>
              <w:color w:val="231F20"/>
              <w:spacing w:val="-10"/>
            </w:rPr>
            <w:t> </w:t>
          </w:r>
          <w:r>
            <w:rPr>
              <w:color w:val="231F20"/>
              <w:spacing w:val="-2"/>
            </w:rPr>
            <w:t>ce</w:t>
          </w:r>
          <w:r>
            <w:rPr>
              <w:color w:val="231F20"/>
              <w:spacing w:val="-10"/>
            </w:rPr>
            <w:t> </w:t>
          </w:r>
          <w:r>
            <w:rPr>
              <w:color w:val="231F20"/>
              <w:spacing w:val="-2"/>
            </w:rPr>
            <w:t>sont</w:t>
          </w:r>
          <w:r>
            <w:rPr>
              <w:color w:val="231F20"/>
              <w:spacing w:val="-9"/>
            </w:rPr>
            <w:t> </w:t>
          </w:r>
          <w:r>
            <w:rPr>
              <w:color w:val="231F20"/>
              <w:spacing w:val="-2"/>
            </w:rPr>
            <w:t>les</w:t>
          </w:r>
          <w:r>
            <w:rPr>
              <w:color w:val="231F20"/>
              <w:spacing w:val="-10"/>
            </w:rPr>
            <w:t> </w:t>
          </w:r>
          <w:r>
            <w:rPr>
              <w:color w:val="231F20"/>
              <w:spacing w:val="-2"/>
            </w:rPr>
            <w:t>mêmes</w:t>
          </w:r>
          <w:r>
            <w:rPr>
              <w:color w:val="231F20"/>
              <w:spacing w:val="-10"/>
            </w:rPr>
            <w:t> </w:t>
          </w:r>
          <w:r>
            <w:rPr>
              <w:color w:val="231F20"/>
              <w:spacing w:val="-2"/>
            </w:rPr>
            <w:t>«</w:t>
          </w:r>
          <w:r>
            <w:rPr>
              <w:color w:val="231F20"/>
              <w:spacing w:val="-10"/>
            </w:rPr>
            <w:t> </w:t>
          </w:r>
          <w:r>
            <w:rPr>
              <w:color w:val="231F20"/>
              <w:spacing w:val="-2"/>
            </w:rPr>
            <w:t>litanies</w:t>
          </w:r>
          <w:r>
            <w:rPr>
              <w:color w:val="231F20"/>
              <w:spacing w:val="-10"/>
            </w:rPr>
            <w:t> </w:t>
          </w:r>
          <w:r>
            <w:rPr>
              <w:color w:val="231F20"/>
              <w:spacing w:val="-2"/>
            </w:rPr>
            <w:t>».180 </w:t>
          </w:r>
          <w:r>
            <w:rPr>
              <w:color w:val="231F20"/>
              <w:spacing w:val="-4"/>
            </w:rPr>
            <w:t>La</w:t>
          </w:r>
          <w:r>
            <w:rPr>
              <w:color w:val="231F20"/>
              <w:spacing w:val="-1"/>
            </w:rPr>
            <w:t> </w:t>
          </w:r>
          <w:r>
            <w:rPr>
              <w:color w:val="231F20"/>
              <w:spacing w:val="-4"/>
            </w:rPr>
            <w:t>France</w:t>
          </w:r>
          <w:r>
            <w:rPr>
              <w:color w:val="231F20"/>
              <w:spacing w:val="-3"/>
            </w:rPr>
            <w:t> </w:t>
          </w:r>
          <w:r>
            <w:rPr>
              <w:color w:val="231F20"/>
              <w:spacing w:val="-4"/>
            </w:rPr>
            <w:t>organise</w:t>
          </w:r>
          <w:r>
            <w:rPr>
              <w:color w:val="231F20"/>
              <w:spacing w:val="-2"/>
            </w:rPr>
            <w:t> </w:t>
          </w:r>
          <w:r>
            <w:rPr>
              <w:color w:val="231F20"/>
              <w:spacing w:val="-4"/>
            </w:rPr>
            <w:t>le</w:t>
          </w:r>
          <w:r>
            <w:rPr>
              <w:color w:val="231F20"/>
              <w:spacing w:val="-3"/>
            </w:rPr>
            <w:t> </w:t>
          </w:r>
          <w:r>
            <w:rPr>
              <w:color w:val="231F20"/>
              <w:spacing w:val="-4"/>
            </w:rPr>
            <w:t>rapatriement</w:t>
          </w:r>
          <w:r>
            <w:rPr>
              <w:color w:val="231F20"/>
              <w:spacing w:val="-1"/>
            </w:rPr>
            <w:t> </w:t>
          </w:r>
          <w:r>
            <w:rPr>
              <w:color w:val="231F20"/>
              <w:spacing w:val="-4"/>
            </w:rPr>
            <w:t>de</w:t>
          </w:r>
          <w:r>
            <w:rPr>
              <w:color w:val="231F20"/>
              <w:spacing w:val="-1"/>
            </w:rPr>
            <w:t> </w:t>
          </w:r>
          <w:r>
            <w:rPr>
              <w:color w:val="231F20"/>
              <w:spacing w:val="-4"/>
            </w:rPr>
            <w:t>ses</w:t>
          </w:r>
          <w:r>
            <w:rPr>
              <w:color w:val="231F20"/>
              <w:spacing w:val="-2"/>
            </w:rPr>
            <w:t> </w:t>
          </w:r>
          <w:r>
            <w:rPr>
              <w:color w:val="231F20"/>
              <w:spacing w:val="-4"/>
            </w:rPr>
            <w:t>ressortissants.</w:t>
          </w:r>
          <w:r>
            <w:rPr>
              <w:color w:val="231F20"/>
            </w:rPr>
            <w:tab/>
          </w:r>
          <w:r>
            <w:rPr>
              <w:color w:val="231F20"/>
              <w:spacing w:val="-5"/>
            </w:rPr>
            <w:t>188</w:t>
          </w:r>
        </w:p>
        <w:p>
          <w:pPr>
            <w:pStyle w:val="TOC2"/>
            <w:tabs>
              <w:tab w:pos="6583" w:val="left" w:leader="dot"/>
            </w:tabs>
            <w:spacing w:line="252" w:lineRule="exact" w:before="0"/>
          </w:pPr>
          <w:hyperlink w:history="true" w:anchor="_TOC_250015">
            <w:r>
              <w:rPr>
                <w:color w:val="231F20"/>
                <w:spacing w:val="-2"/>
              </w:rPr>
              <w:t>CEDEAO,</w:t>
            </w:r>
            <w:r>
              <w:rPr>
                <w:color w:val="231F20"/>
                <w:spacing w:val="-8"/>
              </w:rPr>
              <w:t> </w:t>
            </w:r>
            <w:r>
              <w:rPr>
                <w:color w:val="231F20"/>
                <w:spacing w:val="-2"/>
              </w:rPr>
              <w:t>UA,</w:t>
            </w:r>
            <w:r>
              <w:rPr>
                <w:color w:val="231F20"/>
                <w:spacing w:val="-7"/>
              </w:rPr>
              <w:t> </w:t>
            </w:r>
            <w:r>
              <w:rPr>
                <w:color w:val="231F20"/>
                <w:spacing w:val="-2"/>
              </w:rPr>
              <w:t>UE,</w:t>
            </w:r>
            <w:r>
              <w:rPr>
                <w:color w:val="231F20"/>
                <w:spacing w:val="-7"/>
              </w:rPr>
              <w:t> </w:t>
            </w:r>
            <w:r>
              <w:rPr>
                <w:color w:val="231F20"/>
                <w:spacing w:val="-2"/>
              </w:rPr>
              <w:t>ONU</w:t>
            </w:r>
            <w:r>
              <w:rPr>
                <w:color w:val="231F20"/>
                <w:spacing w:val="-10"/>
              </w:rPr>
              <w:t> </w:t>
            </w:r>
            <w:r>
              <w:rPr>
                <w:color w:val="231F20"/>
                <w:spacing w:val="-2"/>
              </w:rPr>
              <w:t>:</w:t>
            </w:r>
            <w:r>
              <w:rPr>
                <w:color w:val="231F20"/>
                <w:spacing w:val="-10"/>
              </w:rPr>
              <w:t> </w:t>
            </w:r>
            <w:r>
              <w:rPr>
                <w:color w:val="231F20"/>
                <w:spacing w:val="-2"/>
              </w:rPr>
              <w:t>au</w:t>
            </w:r>
            <w:r>
              <w:rPr>
                <w:color w:val="231F20"/>
                <w:spacing w:val="-8"/>
              </w:rPr>
              <w:t> </w:t>
            </w:r>
            <w:r>
              <w:rPr>
                <w:color w:val="231F20"/>
                <w:spacing w:val="-4"/>
              </w:rPr>
              <w:t>front</w:t>
            </w:r>
            <w:r>
              <w:rPr>
                <w:color w:val="231F20"/>
              </w:rPr>
              <w:tab/>
            </w:r>
            <w:r>
              <w:rPr>
                <w:color w:val="231F20"/>
                <w:spacing w:val="-5"/>
              </w:rPr>
              <w:t>190</w:t>
            </w:r>
          </w:hyperlink>
        </w:p>
        <w:p>
          <w:pPr>
            <w:pStyle w:val="TOC2"/>
            <w:tabs>
              <w:tab w:pos="6584" w:val="left" w:leader="dot"/>
            </w:tabs>
          </w:pPr>
          <w:hyperlink w:history="true" w:anchor="_TOC_250014">
            <w:r>
              <w:rPr>
                <w:color w:val="231F20"/>
                <w:spacing w:val="-2"/>
              </w:rPr>
              <w:t>La</w:t>
            </w:r>
            <w:r>
              <w:rPr>
                <w:color w:val="231F20"/>
                <w:spacing w:val="-12"/>
              </w:rPr>
              <w:t> </w:t>
            </w:r>
            <w:r>
              <w:rPr>
                <w:color w:val="231F20"/>
                <w:spacing w:val="-2"/>
              </w:rPr>
              <w:t>démocratie</w:t>
            </w:r>
            <w:r>
              <w:rPr>
                <w:color w:val="231F20"/>
                <w:spacing w:val="-11"/>
              </w:rPr>
              <w:t> </w:t>
            </w:r>
            <w:r>
              <w:rPr>
                <w:color w:val="231F20"/>
                <w:spacing w:val="-2"/>
              </w:rPr>
              <w:t>en</w:t>
            </w:r>
            <w:r>
              <w:rPr>
                <w:color w:val="231F20"/>
                <w:spacing w:val="-10"/>
              </w:rPr>
              <w:t> </w:t>
            </w:r>
            <w:r>
              <w:rPr>
                <w:color w:val="231F20"/>
                <w:spacing w:val="-2"/>
              </w:rPr>
              <w:t>Afrique…</w:t>
            </w:r>
            <w:r>
              <w:rPr>
                <w:color w:val="231F20"/>
                <w:spacing w:val="-11"/>
              </w:rPr>
              <w:t> </w:t>
            </w:r>
            <w:r>
              <w:rPr>
                <w:color w:val="231F20"/>
                <w:spacing w:val="-2"/>
              </w:rPr>
              <w:t>vue</w:t>
            </w:r>
            <w:r>
              <w:rPr>
                <w:color w:val="231F20"/>
                <w:spacing w:val="-10"/>
              </w:rPr>
              <w:t> </w:t>
            </w:r>
            <w:r>
              <w:rPr>
                <w:color w:val="231F20"/>
                <w:spacing w:val="-2"/>
              </w:rPr>
              <w:t>de</w:t>
            </w:r>
            <w:r>
              <w:rPr>
                <w:color w:val="231F20"/>
                <w:spacing w:val="-11"/>
              </w:rPr>
              <w:t> </w:t>
            </w:r>
            <w:r>
              <w:rPr>
                <w:color w:val="231F20"/>
                <w:spacing w:val="-2"/>
              </w:rPr>
              <w:t>l’Élysée</w:t>
            </w:r>
            <w:r>
              <w:rPr>
                <w:color w:val="231F20"/>
              </w:rPr>
              <w:tab/>
            </w:r>
            <w:r>
              <w:rPr>
                <w:color w:val="231F20"/>
                <w:spacing w:val="-5"/>
              </w:rPr>
              <w:t>200</w:t>
            </w:r>
          </w:hyperlink>
        </w:p>
        <w:p>
          <w:pPr>
            <w:pStyle w:val="TOC5"/>
            <w:tabs>
              <w:tab w:pos="6583" w:val="left" w:leader="dot"/>
            </w:tabs>
            <w:ind w:right="110"/>
          </w:pPr>
          <w:r>
            <w:rPr>
              <w:color w:val="231F20"/>
            </w:rPr>
            <w:t>Le 13 avril, Laurent Gbagbo est conduit à Korogho et son épouse à </w:t>
          </w:r>
          <w:r>
            <w:rPr>
              <w:color w:val="231F20"/>
              <w:spacing w:val="-4"/>
            </w:rPr>
            <w:t>Odienné</w:t>
          </w:r>
          <w:r>
            <w:rPr>
              <w:color w:val="231F20"/>
              <w:spacing w:val="1"/>
            </w:rPr>
            <w:t> </w:t>
          </w:r>
          <w:r>
            <w:rPr>
              <w:color w:val="231F20"/>
              <w:spacing w:val="-2"/>
            </w:rPr>
            <w:t>(Nord)</w:t>
          </w:r>
          <w:r>
            <w:rPr>
              <w:color w:val="231F20"/>
            </w:rPr>
            <w:tab/>
          </w:r>
          <w:r>
            <w:rPr>
              <w:color w:val="231F20"/>
              <w:spacing w:val="-5"/>
            </w:rPr>
            <w:t>202</w:t>
          </w:r>
        </w:p>
        <w:p>
          <w:pPr>
            <w:pStyle w:val="TOC5"/>
            <w:spacing w:before="61"/>
          </w:pPr>
          <w:r>
            <w:rPr>
              <w:color w:val="231F20"/>
            </w:rPr>
            <w:t>Le</w:t>
          </w:r>
          <w:r>
            <w:rPr>
              <w:color w:val="231F20"/>
              <w:spacing w:val="-14"/>
            </w:rPr>
            <w:t> </w:t>
          </w:r>
          <w:r>
            <w:rPr>
              <w:color w:val="231F20"/>
            </w:rPr>
            <w:t>1er</w:t>
          </w:r>
          <w:r>
            <w:rPr>
              <w:color w:val="231F20"/>
              <w:spacing w:val="-14"/>
            </w:rPr>
            <w:t> </w:t>
          </w:r>
          <w:r>
            <w:rPr>
              <w:color w:val="231F20"/>
            </w:rPr>
            <w:t>décembre</w:t>
          </w:r>
          <w:r>
            <w:rPr>
              <w:color w:val="231F20"/>
              <w:spacing w:val="-14"/>
            </w:rPr>
            <w:t> </w:t>
          </w:r>
          <w:r>
            <w:rPr>
              <w:color w:val="231F20"/>
            </w:rPr>
            <w:t>2014,</w:t>
          </w:r>
          <w:r>
            <w:rPr>
              <w:color w:val="231F20"/>
              <w:spacing w:val="-13"/>
            </w:rPr>
            <w:t> </w:t>
          </w:r>
          <w:r>
            <w:rPr>
              <w:color w:val="231F20"/>
            </w:rPr>
            <w:t>Simone</w:t>
          </w:r>
          <w:r>
            <w:rPr>
              <w:color w:val="231F20"/>
              <w:spacing w:val="52"/>
            </w:rPr>
            <w:t> </w:t>
          </w:r>
          <w:r>
            <w:rPr>
              <w:color w:val="231F20"/>
            </w:rPr>
            <w:t>Gbagbo</w:t>
          </w:r>
          <w:r>
            <w:rPr>
              <w:color w:val="231F20"/>
              <w:spacing w:val="58"/>
            </w:rPr>
            <w:t> </w:t>
          </w:r>
          <w:r>
            <w:rPr>
              <w:color w:val="231F20"/>
            </w:rPr>
            <w:t>est</w:t>
          </w:r>
          <w:r>
            <w:rPr>
              <w:color w:val="231F20"/>
              <w:spacing w:val="60"/>
            </w:rPr>
            <w:t> </w:t>
          </w:r>
          <w:r>
            <w:rPr>
              <w:color w:val="231F20"/>
            </w:rPr>
            <w:t>transférée</w:t>
          </w:r>
          <w:r>
            <w:rPr>
              <w:color w:val="231F20"/>
              <w:spacing w:val="60"/>
            </w:rPr>
            <w:t> </w:t>
          </w:r>
          <w:r>
            <w:rPr>
              <w:color w:val="231F20"/>
            </w:rPr>
            <w:t>d’Odienné</w:t>
          </w:r>
          <w:r>
            <w:rPr>
              <w:color w:val="231F20"/>
              <w:spacing w:val="61"/>
            </w:rPr>
            <w:t> </w:t>
          </w:r>
          <w:r>
            <w:rPr>
              <w:color w:val="231F20"/>
              <w:spacing w:val="-10"/>
            </w:rPr>
            <w:t>à</w:t>
          </w:r>
        </w:p>
        <w:p>
          <w:pPr>
            <w:pStyle w:val="TOC5"/>
            <w:tabs>
              <w:tab w:pos="6583" w:val="left" w:leader="dot"/>
            </w:tabs>
            <w:spacing w:before="1"/>
          </w:pPr>
          <w:r>
            <w:rPr>
              <w:color w:val="231F20"/>
              <w:spacing w:val="-4"/>
            </w:rPr>
            <w:t>l'école</w:t>
          </w:r>
          <w:r>
            <w:rPr>
              <w:color w:val="231F20"/>
              <w:spacing w:val="-3"/>
            </w:rPr>
            <w:t> </w:t>
          </w:r>
          <w:r>
            <w:rPr>
              <w:color w:val="231F20"/>
              <w:spacing w:val="-4"/>
            </w:rPr>
            <w:t>de</w:t>
          </w:r>
          <w:r>
            <w:rPr>
              <w:color w:val="231F20"/>
            </w:rPr>
            <w:t> </w:t>
          </w:r>
          <w:r>
            <w:rPr>
              <w:color w:val="231F20"/>
              <w:spacing w:val="-4"/>
            </w:rPr>
            <w:t>gendarmerie</w:t>
          </w:r>
          <w:r>
            <w:rPr>
              <w:color w:val="231F20"/>
              <w:spacing w:val="1"/>
            </w:rPr>
            <w:t> </w:t>
          </w:r>
          <w:r>
            <w:rPr>
              <w:color w:val="231F20"/>
              <w:spacing w:val="-4"/>
            </w:rPr>
            <w:t>d'Abidjan.</w:t>
          </w:r>
          <w:r>
            <w:rPr>
              <w:color w:val="231F20"/>
            </w:rPr>
            <w:tab/>
          </w:r>
          <w:r>
            <w:rPr>
              <w:color w:val="231F20"/>
              <w:spacing w:val="-5"/>
            </w:rPr>
            <w:t>204</w:t>
          </w:r>
        </w:p>
        <w:p>
          <w:pPr>
            <w:pStyle w:val="TOC4"/>
          </w:pPr>
          <w:r>
            <w:rPr>
              <w:color w:val="231F20"/>
            </w:rPr>
            <w:t>2011-2015</w:t>
          </w:r>
          <w:r>
            <w:rPr>
              <w:color w:val="231F20"/>
              <w:spacing w:val="-14"/>
            </w:rPr>
            <w:t> </w:t>
          </w:r>
          <w:r>
            <w:rPr>
              <w:color w:val="231F20"/>
            </w:rPr>
            <w:t>:</w:t>
          </w:r>
          <w:r>
            <w:rPr>
              <w:color w:val="231F20"/>
              <w:spacing w:val="-1"/>
            </w:rPr>
            <w:t> </w:t>
          </w:r>
          <w:r>
            <w:rPr>
              <w:color w:val="231F20"/>
            </w:rPr>
            <w:t>trois</w:t>
          </w:r>
          <w:r>
            <w:rPr>
              <w:color w:val="231F20"/>
              <w:spacing w:val="5"/>
            </w:rPr>
            <w:t> </w:t>
          </w:r>
          <w:r>
            <w:rPr>
              <w:color w:val="231F20"/>
            </w:rPr>
            <w:t>ans</w:t>
          </w:r>
          <w:r>
            <w:rPr>
              <w:color w:val="231F20"/>
              <w:spacing w:val="1"/>
            </w:rPr>
            <w:t> </w:t>
          </w:r>
          <w:r>
            <w:rPr>
              <w:color w:val="231F20"/>
            </w:rPr>
            <w:t>déjà</w:t>
          </w:r>
          <w:r>
            <w:rPr>
              <w:color w:val="231F20"/>
              <w:spacing w:val="3"/>
            </w:rPr>
            <w:t> </w:t>
          </w:r>
          <w:r>
            <w:rPr>
              <w:color w:val="231F20"/>
            </w:rPr>
            <w:t>que</w:t>
          </w:r>
          <w:r>
            <w:rPr>
              <w:color w:val="231F20"/>
              <w:spacing w:val="3"/>
            </w:rPr>
            <w:t> </w:t>
          </w:r>
          <w:r>
            <w:rPr>
              <w:color w:val="231F20"/>
            </w:rPr>
            <w:t>Laurent</w:t>
          </w:r>
          <w:r>
            <w:rPr>
              <w:color w:val="231F20"/>
              <w:spacing w:val="4"/>
            </w:rPr>
            <w:t> </w:t>
          </w:r>
          <w:r>
            <w:rPr>
              <w:color w:val="231F20"/>
            </w:rPr>
            <w:t>Gbagbo</w:t>
          </w:r>
          <w:r>
            <w:rPr>
              <w:color w:val="231F20"/>
              <w:spacing w:val="5"/>
            </w:rPr>
            <w:t> </w:t>
          </w:r>
          <w:r>
            <w:rPr>
              <w:color w:val="231F20"/>
            </w:rPr>
            <w:t>est</w:t>
          </w:r>
          <w:r>
            <w:rPr>
              <w:color w:val="231F20"/>
              <w:spacing w:val="5"/>
            </w:rPr>
            <w:t> </w:t>
          </w:r>
          <w:r>
            <w:rPr>
              <w:color w:val="231F20"/>
            </w:rPr>
            <w:t>dans</w:t>
          </w:r>
          <w:r>
            <w:rPr>
              <w:color w:val="231F20"/>
              <w:spacing w:val="1"/>
            </w:rPr>
            <w:t> </w:t>
          </w:r>
          <w:r>
            <w:rPr>
              <w:color w:val="231F20"/>
            </w:rPr>
            <w:t>l’attente</w:t>
          </w:r>
          <w:r>
            <w:rPr>
              <w:color w:val="231F20"/>
              <w:spacing w:val="3"/>
            </w:rPr>
            <w:t> </w:t>
          </w:r>
          <w:r>
            <w:rPr>
              <w:color w:val="231F20"/>
            </w:rPr>
            <w:t>de</w:t>
          </w:r>
          <w:r>
            <w:rPr>
              <w:color w:val="231F20"/>
              <w:spacing w:val="3"/>
            </w:rPr>
            <w:t> </w:t>
          </w:r>
          <w:r>
            <w:rPr>
              <w:color w:val="231F20"/>
              <w:spacing w:val="-5"/>
            </w:rPr>
            <w:t>son</w:t>
          </w:r>
        </w:p>
        <w:p>
          <w:pPr>
            <w:pStyle w:val="TOC4"/>
            <w:tabs>
              <w:tab w:pos="6584" w:val="left" w:leader="dot"/>
            </w:tabs>
            <w:spacing w:before="2" w:after="20"/>
          </w:pPr>
          <w:r>
            <w:rPr>
              <w:color w:val="231F20"/>
              <w:spacing w:val="-2"/>
            </w:rPr>
            <w:t>procès</w:t>
          </w:r>
          <w:r>
            <w:rPr>
              <w:color w:val="231F20"/>
              <w:spacing w:val="-12"/>
            </w:rPr>
            <w:t> </w:t>
          </w:r>
          <w:r>
            <w:rPr>
              <w:color w:val="231F20"/>
              <w:spacing w:val="-2"/>
            </w:rPr>
            <w:t>à</w:t>
          </w:r>
          <w:r>
            <w:rPr>
              <w:color w:val="231F20"/>
              <w:spacing w:val="-10"/>
            </w:rPr>
            <w:t> </w:t>
          </w:r>
          <w:r>
            <w:rPr>
              <w:color w:val="231F20"/>
              <w:spacing w:val="-2"/>
            </w:rPr>
            <w:t>la</w:t>
          </w:r>
          <w:r>
            <w:rPr>
              <w:color w:val="231F20"/>
              <w:spacing w:val="-8"/>
            </w:rPr>
            <w:t> </w:t>
          </w:r>
          <w:r>
            <w:rPr>
              <w:color w:val="231F20"/>
              <w:spacing w:val="-2"/>
            </w:rPr>
            <w:t>CPI</w:t>
          </w:r>
          <w:r>
            <w:rPr>
              <w:color w:val="231F20"/>
              <w:spacing w:val="-12"/>
            </w:rPr>
            <w:t> </w:t>
          </w:r>
          <w:r>
            <w:rPr>
              <w:color w:val="231F20"/>
              <w:spacing w:val="-2"/>
            </w:rPr>
            <w:t>aux</w:t>
          </w:r>
          <w:r>
            <w:rPr>
              <w:color w:val="231F20"/>
              <w:spacing w:val="-9"/>
            </w:rPr>
            <w:t> </w:t>
          </w:r>
          <w:r>
            <w:rPr>
              <w:color w:val="231F20"/>
              <w:spacing w:val="-2"/>
            </w:rPr>
            <w:t>Pays-</w:t>
          </w:r>
          <w:r>
            <w:rPr>
              <w:color w:val="231F20"/>
              <w:spacing w:val="-5"/>
            </w:rPr>
            <w:t>Bas</w:t>
          </w:r>
          <w:r>
            <w:rPr>
              <w:color w:val="231F20"/>
            </w:rPr>
            <w:tab/>
          </w:r>
          <w:r>
            <w:rPr>
              <w:color w:val="231F20"/>
              <w:spacing w:val="-5"/>
            </w:rPr>
            <w:t>204</w:t>
          </w:r>
        </w:p>
        <w:p>
          <w:pPr>
            <w:pStyle w:val="TOC4"/>
            <w:tabs>
              <w:tab w:pos="6583" w:val="left" w:leader="dot"/>
            </w:tabs>
            <w:spacing w:before="68"/>
          </w:pPr>
          <w:hyperlink w:history="true" w:anchor="_TOC_250013">
            <w:r>
              <w:rPr>
                <w:color w:val="231F20"/>
                <w:spacing w:val="-4"/>
              </w:rPr>
              <w:t>L'élection</w:t>
            </w:r>
            <w:r>
              <w:rPr>
                <w:color w:val="231F20"/>
                <w:spacing w:val="-2"/>
              </w:rPr>
              <w:t> </w:t>
            </w:r>
            <w:r>
              <w:rPr>
                <w:color w:val="231F20"/>
                <w:spacing w:val="-4"/>
              </w:rPr>
              <w:t>présidentielle</w:t>
            </w:r>
            <w:r>
              <w:rPr>
                <w:color w:val="231F20"/>
                <w:spacing w:val="-1"/>
              </w:rPr>
              <w:t> </w:t>
            </w:r>
            <w:r>
              <w:rPr>
                <w:color w:val="231F20"/>
                <w:spacing w:val="-4"/>
              </w:rPr>
              <w:t>ivoirienne</w:t>
            </w:r>
            <w:r>
              <w:rPr>
                <w:color w:val="231F20"/>
              </w:rPr>
              <w:t> </w:t>
            </w:r>
            <w:r>
              <w:rPr>
                <w:color w:val="231F20"/>
                <w:spacing w:val="-4"/>
              </w:rPr>
              <w:t>de</w:t>
            </w:r>
            <w:r>
              <w:rPr>
                <w:color w:val="231F20"/>
                <w:spacing w:val="2"/>
              </w:rPr>
              <w:t> </w:t>
            </w:r>
            <w:r>
              <w:rPr>
                <w:color w:val="231F20"/>
                <w:spacing w:val="-4"/>
              </w:rPr>
              <w:t>2020</w:t>
            </w:r>
            <w:r>
              <w:rPr>
                <w:color w:val="231F20"/>
              </w:rPr>
              <w:tab/>
            </w:r>
            <w:r>
              <w:rPr>
                <w:color w:val="231F20"/>
                <w:spacing w:val="-5"/>
              </w:rPr>
              <w:t>207</w:t>
            </w:r>
          </w:hyperlink>
        </w:p>
        <w:p>
          <w:pPr>
            <w:pStyle w:val="TOC5"/>
            <w:tabs>
              <w:tab w:pos="6584" w:val="left" w:leader="dot"/>
            </w:tabs>
            <w:ind w:left="771" w:right="106"/>
          </w:pPr>
          <w:r>
            <w:rPr>
              <w:color w:val="231F20"/>
            </w:rPr>
            <w:t>Le</w:t>
          </w:r>
          <w:r>
            <w:rPr>
              <w:color w:val="231F20"/>
              <w:spacing w:val="16"/>
            </w:rPr>
            <w:t> </w:t>
          </w:r>
          <w:r>
            <w:rPr>
              <w:color w:val="231F20"/>
            </w:rPr>
            <w:t>13</w:t>
          </w:r>
          <w:r>
            <w:rPr>
              <w:color w:val="231F20"/>
              <w:spacing w:val="14"/>
            </w:rPr>
            <w:t> </w:t>
          </w:r>
          <w:r>
            <w:rPr>
              <w:color w:val="231F20"/>
            </w:rPr>
            <w:t>juillet</w:t>
          </w:r>
          <w:r>
            <w:rPr>
              <w:color w:val="231F20"/>
              <w:spacing w:val="17"/>
            </w:rPr>
            <w:t> </w:t>
          </w:r>
          <w:r>
            <w:rPr>
              <w:color w:val="231F20"/>
            </w:rPr>
            <w:t>2020,</w:t>
          </w:r>
          <w:r>
            <w:rPr>
              <w:color w:val="231F20"/>
              <w:spacing w:val="18"/>
            </w:rPr>
            <w:t> </w:t>
          </w:r>
          <w:r>
            <w:rPr>
              <w:color w:val="231F20"/>
            </w:rPr>
            <w:t>Daniel</w:t>
          </w:r>
          <w:r>
            <w:rPr>
              <w:color w:val="231F20"/>
              <w:spacing w:val="17"/>
            </w:rPr>
            <w:t> </w:t>
          </w:r>
          <w:r>
            <w:rPr>
              <w:color w:val="231F20"/>
            </w:rPr>
            <w:t>Duncan,</w:t>
          </w:r>
          <w:r>
            <w:rPr>
              <w:color w:val="231F20"/>
              <w:spacing w:val="16"/>
            </w:rPr>
            <w:t> </w:t>
          </w:r>
          <w:r>
            <w:rPr>
              <w:color w:val="231F20"/>
            </w:rPr>
            <w:t>vice-président</w:t>
          </w:r>
          <w:r>
            <w:rPr>
              <w:color w:val="231F20"/>
              <w:spacing w:val="17"/>
            </w:rPr>
            <w:t> </w:t>
          </w:r>
          <w:r>
            <w:rPr>
              <w:color w:val="231F20"/>
            </w:rPr>
            <w:t>de</w:t>
          </w:r>
          <w:r>
            <w:rPr>
              <w:color w:val="231F20"/>
              <w:spacing w:val="15"/>
            </w:rPr>
            <w:t> </w:t>
          </w:r>
          <w:r>
            <w:rPr>
              <w:color w:val="231F20"/>
            </w:rPr>
            <w:t>la</w:t>
          </w:r>
          <w:r>
            <w:rPr>
              <w:color w:val="231F20"/>
              <w:spacing w:val="16"/>
            </w:rPr>
            <w:t> </w:t>
          </w:r>
          <w:r>
            <w:rPr>
              <w:color w:val="231F20"/>
            </w:rPr>
            <w:t>République, </w:t>
          </w:r>
          <w:r>
            <w:rPr>
              <w:color w:val="231F20"/>
              <w:spacing w:val="-4"/>
            </w:rPr>
            <w:t>démissionne</w:t>
          </w:r>
          <w:r>
            <w:rPr>
              <w:color w:val="231F20"/>
              <w:spacing w:val="-2"/>
            </w:rPr>
            <w:t> </w:t>
          </w:r>
          <w:r>
            <w:rPr>
              <w:color w:val="231F20"/>
              <w:spacing w:val="-4"/>
            </w:rPr>
            <w:t>«</w:t>
          </w:r>
          <w:r>
            <w:rPr>
              <w:color w:val="231F20"/>
              <w:spacing w:val="-1"/>
            </w:rPr>
            <w:t> </w:t>
          </w:r>
          <w:r>
            <w:rPr>
              <w:color w:val="231F20"/>
              <w:spacing w:val="-4"/>
            </w:rPr>
            <w:t>pour</w:t>
          </w:r>
          <w:r>
            <w:rPr>
              <w:color w:val="231F20"/>
              <w:spacing w:val="-1"/>
            </w:rPr>
            <w:t> </w:t>
          </w:r>
          <w:r>
            <w:rPr>
              <w:color w:val="231F20"/>
              <w:spacing w:val="-4"/>
            </w:rPr>
            <w:t>convenances</w:t>
          </w:r>
          <w:r>
            <w:rPr>
              <w:color w:val="231F20"/>
              <w:spacing w:val="-2"/>
            </w:rPr>
            <w:t> </w:t>
          </w:r>
          <w:r>
            <w:rPr>
              <w:color w:val="231F20"/>
              <w:spacing w:val="-4"/>
            </w:rPr>
            <w:t>personnelles</w:t>
          </w:r>
          <w:r>
            <w:rPr>
              <w:color w:val="231F20"/>
            </w:rPr>
            <w:t> </w:t>
          </w:r>
          <w:r>
            <w:rPr>
              <w:color w:val="231F20"/>
              <w:spacing w:val="-10"/>
            </w:rPr>
            <w:t>»</w:t>
          </w:r>
          <w:r>
            <w:rPr>
              <w:color w:val="231F20"/>
            </w:rPr>
            <w:tab/>
          </w:r>
          <w:r>
            <w:rPr>
              <w:color w:val="231F20"/>
              <w:spacing w:val="-5"/>
            </w:rPr>
            <w:t>212</w:t>
          </w:r>
        </w:p>
        <w:p>
          <w:pPr>
            <w:pStyle w:val="TOC4"/>
            <w:tabs>
              <w:tab w:pos="6582" w:val="left" w:leader="dot"/>
            </w:tabs>
            <w:spacing w:line="244" w:lineRule="auto" w:before="58"/>
            <w:ind w:right="109"/>
          </w:pPr>
          <w:hyperlink w:history="true" w:anchor="_TOC_250012">
            <w:r>
              <w:rPr>
                <w:color w:val="231F20"/>
              </w:rPr>
              <w:t>le</w:t>
            </w:r>
            <w:r>
              <w:rPr>
                <w:color w:val="231F20"/>
                <w:spacing w:val="-8"/>
              </w:rPr>
              <w:t> </w:t>
            </w:r>
            <w:r>
              <w:rPr>
                <w:color w:val="231F20"/>
              </w:rPr>
              <w:t>14</w:t>
            </w:r>
            <w:r>
              <w:rPr>
                <w:color w:val="231F20"/>
                <w:spacing w:val="-9"/>
              </w:rPr>
              <w:t> </w:t>
            </w:r>
            <w:r>
              <w:rPr>
                <w:color w:val="231F20"/>
              </w:rPr>
              <w:t>décembre</w:t>
            </w:r>
            <w:r>
              <w:rPr>
                <w:color w:val="231F20"/>
                <w:spacing w:val="-9"/>
              </w:rPr>
              <w:t> </w:t>
            </w:r>
            <w:r>
              <w:rPr>
                <w:color w:val="231F20"/>
              </w:rPr>
              <w:t>2020,</w:t>
            </w:r>
            <w:r>
              <w:rPr>
                <w:color w:val="231F20"/>
                <w:spacing w:val="-9"/>
              </w:rPr>
              <w:t> </w:t>
            </w:r>
            <w:r>
              <w:rPr>
                <w:color w:val="231F20"/>
              </w:rPr>
              <w:t>Alassane</w:t>
            </w:r>
            <w:r>
              <w:rPr>
                <w:color w:val="231F20"/>
                <w:spacing w:val="-6"/>
              </w:rPr>
              <w:t> </w:t>
            </w:r>
            <w:r>
              <w:rPr>
                <w:color w:val="231F20"/>
              </w:rPr>
              <w:t>Ouattara</w:t>
            </w:r>
            <w:r>
              <w:rPr>
                <w:color w:val="231F20"/>
                <w:spacing w:val="-8"/>
              </w:rPr>
              <w:t> </w:t>
            </w:r>
            <w:r>
              <w:rPr>
                <w:color w:val="231F20"/>
              </w:rPr>
              <w:t>prête</w:t>
            </w:r>
            <w:r>
              <w:rPr>
                <w:color w:val="231F20"/>
                <w:spacing w:val="-8"/>
              </w:rPr>
              <w:t> </w:t>
            </w:r>
            <w:r>
              <w:rPr>
                <w:color w:val="231F20"/>
              </w:rPr>
              <w:t>serment</w:t>
            </w:r>
            <w:r>
              <w:rPr>
                <w:color w:val="231F20"/>
                <w:spacing w:val="-9"/>
              </w:rPr>
              <w:t> </w:t>
            </w:r>
            <w:r>
              <w:rPr>
                <w:color w:val="231F20"/>
              </w:rPr>
              <w:t>pour</w:t>
            </w:r>
            <w:r>
              <w:rPr>
                <w:color w:val="231F20"/>
                <w:spacing w:val="-9"/>
              </w:rPr>
              <w:t> </w:t>
            </w:r>
            <w:r>
              <w:rPr>
                <w:color w:val="231F20"/>
              </w:rPr>
              <w:t>un</w:t>
            </w:r>
            <w:r>
              <w:rPr>
                <w:color w:val="231F20"/>
                <w:spacing w:val="-10"/>
              </w:rPr>
              <w:t> </w:t>
            </w:r>
            <w:r>
              <w:rPr>
                <w:color w:val="231F20"/>
              </w:rPr>
              <w:t>troisième </w:t>
            </w:r>
            <w:r>
              <w:rPr>
                <w:color w:val="231F20"/>
                <w:spacing w:val="-2"/>
              </w:rPr>
              <w:t>mandat</w:t>
            </w:r>
            <w:r>
              <w:rPr>
                <w:color w:val="231F20"/>
              </w:rPr>
              <w:tab/>
            </w:r>
            <w:r>
              <w:rPr>
                <w:color w:val="231F20"/>
                <w:spacing w:val="-5"/>
              </w:rPr>
              <w:t>213</w:t>
            </w:r>
          </w:hyperlink>
        </w:p>
        <w:p>
          <w:pPr>
            <w:pStyle w:val="TOC2"/>
            <w:tabs>
              <w:tab w:pos="6583" w:val="left" w:leader="dot"/>
            </w:tabs>
            <w:spacing w:before="53"/>
          </w:pPr>
          <w:hyperlink w:history="true" w:anchor="_TOC_250011">
            <w:r>
              <w:rPr>
                <w:color w:val="231F20"/>
              </w:rPr>
              <w:t>Le</w:t>
            </w:r>
            <w:r>
              <w:rPr>
                <w:color w:val="231F20"/>
                <w:spacing w:val="-8"/>
              </w:rPr>
              <w:t> </w:t>
            </w:r>
            <w:r>
              <w:rPr>
                <w:color w:val="231F20"/>
                <w:spacing w:val="-4"/>
              </w:rPr>
              <w:t>Rêve</w:t>
            </w:r>
            <w:r>
              <w:rPr>
                <w:color w:val="231F20"/>
              </w:rPr>
              <w:tab/>
            </w:r>
            <w:r>
              <w:rPr>
                <w:color w:val="231F20"/>
                <w:spacing w:val="-5"/>
              </w:rPr>
              <w:t>217</w:t>
            </w:r>
          </w:hyperlink>
        </w:p>
        <w:p>
          <w:pPr>
            <w:pStyle w:val="TOC2"/>
            <w:tabs>
              <w:tab w:pos="6584" w:val="left" w:leader="dot"/>
            </w:tabs>
            <w:spacing w:before="61"/>
          </w:pPr>
          <w:hyperlink w:history="true" w:anchor="_TOC_250010">
            <w:r>
              <w:rPr>
                <w:color w:val="231F20"/>
                <w:spacing w:val="-2"/>
              </w:rPr>
              <w:t>Se</w:t>
            </w:r>
            <w:r>
              <w:rPr>
                <w:color w:val="231F20"/>
                <w:spacing w:val="-13"/>
              </w:rPr>
              <w:t> </w:t>
            </w:r>
            <w:r>
              <w:rPr>
                <w:color w:val="231F20"/>
                <w:spacing w:val="-2"/>
              </w:rPr>
              <w:t>regarder</w:t>
            </w:r>
            <w:r>
              <w:rPr>
                <w:color w:val="231F20"/>
                <w:spacing w:val="-11"/>
              </w:rPr>
              <w:t> </w:t>
            </w:r>
            <w:r>
              <w:rPr>
                <w:color w:val="231F20"/>
                <w:spacing w:val="-2"/>
              </w:rPr>
              <w:t>dans</w:t>
            </w:r>
            <w:r>
              <w:rPr>
                <w:color w:val="231F20"/>
                <w:spacing w:val="-11"/>
              </w:rPr>
              <w:t> </w:t>
            </w:r>
            <w:r>
              <w:rPr>
                <w:color w:val="231F20"/>
                <w:spacing w:val="-2"/>
              </w:rPr>
              <w:t>son</w:t>
            </w:r>
            <w:r>
              <w:rPr>
                <w:color w:val="231F20"/>
                <w:spacing w:val="-12"/>
              </w:rPr>
              <w:t> </w:t>
            </w:r>
            <w:r>
              <w:rPr>
                <w:color w:val="231F20"/>
                <w:spacing w:val="-2"/>
              </w:rPr>
              <w:t>propre</w:t>
            </w:r>
            <w:r>
              <w:rPr>
                <w:color w:val="231F20"/>
                <w:spacing w:val="37"/>
              </w:rPr>
              <w:t> </w:t>
            </w:r>
            <w:r>
              <w:rPr>
                <w:color w:val="231F20"/>
                <w:spacing w:val="-2"/>
              </w:rPr>
              <w:t>miroir</w:t>
            </w:r>
            <w:r>
              <w:rPr>
                <w:color w:val="231F20"/>
              </w:rPr>
              <w:tab/>
            </w:r>
            <w:r>
              <w:rPr>
                <w:color w:val="231F20"/>
                <w:spacing w:val="-5"/>
              </w:rPr>
              <w:t>221</w:t>
            </w:r>
          </w:hyperlink>
        </w:p>
        <w:p>
          <w:pPr>
            <w:pStyle w:val="TOC4"/>
            <w:spacing w:before="57"/>
          </w:pPr>
          <w:hyperlink w:history="true" w:anchor="_TOC_250009">
            <w:r>
              <w:rPr>
                <w:color w:val="231F20"/>
              </w:rPr>
              <w:t>Au</w:t>
            </w:r>
            <w:r>
              <w:rPr>
                <w:color w:val="231F20"/>
                <w:spacing w:val="4"/>
              </w:rPr>
              <w:t> </w:t>
            </w:r>
            <w:r>
              <w:rPr>
                <w:color w:val="231F20"/>
              </w:rPr>
              <w:t>Zaïre,</w:t>
            </w:r>
            <w:r>
              <w:rPr>
                <w:color w:val="231F20"/>
                <w:spacing w:val="5"/>
              </w:rPr>
              <w:t> </w:t>
            </w:r>
            <w:r>
              <w:rPr>
                <w:color w:val="231F20"/>
              </w:rPr>
              <w:t>les</w:t>
            </w:r>
            <w:r>
              <w:rPr>
                <w:color w:val="231F20"/>
                <w:spacing w:val="5"/>
              </w:rPr>
              <w:t> </w:t>
            </w:r>
            <w:r>
              <w:rPr>
                <w:color w:val="231F20"/>
              </w:rPr>
              <w:t>interventions</w:t>
            </w:r>
            <w:r>
              <w:rPr>
                <w:color w:val="231F20"/>
                <w:spacing w:val="4"/>
              </w:rPr>
              <w:t> </w:t>
            </w:r>
            <w:r>
              <w:rPr>
                <w:color w:val="231F20"/>
              </w:rPr>
              <w:t>françaises</w:t>
            </w:r>
            <w:r>
              <w:rPr>
                <w:color w:val="231F20"/>
                <w:spacing w:val="6"/>
              </w:rPr>
              <w:t> </w:t>
            </w:r>
            <w:r>
              <w:rPr>
                <w:color w:val="231F20"/>
              </w:rPr>
              <w:t>sauvent</w:t>
            </w:r>
            <w:r>
              <w:rPr>
                <w:color w:val="231F20"/>
                <w:spacing w:val="5"/>
              </w:rPr>
              <w:t> </w:t>
            </w:r>
            <w:r>
              <w:rPr>
                <w:color w:val="231F20"/>
              </w:rPr>
              <w:t>Mobutu</w:t>
            </w:r>
            <w:r>
              <w:rPr>
                <w:color w:val="231F20"/>
                <w:spacing w:val="5"/>
              </w:rPr>
              <w:t> </w:t>
            </w:r>
            <w:r>
              <w:rPr>
                <w:color w:val="231F20"/>
              </w:rPr>
              <w:t>en</w:t>
            </w:r>
            <w:r>
              <w:rPr>
                <w:color w:val="231F20"/>
                <w:spacing w:val="4"/>
              </w:rPr>
              <w:t> </w:t>
            </w:r>
            <w:r>
              <w:rPr>
                <w:color w:val="231F20"/>
              </w:rPr>
              <w:t>1977</w:t>
            </w:r>
            <w:r>
              <w:rPr>
                <w:color w:val="231F20"/>
                <w:spacing w:val="5"/>
              </w:rPr>
              <w:t> </w:t>
            </w:r>
            <w:r>
              <w:rPr>
                <w:color w:val="231F20"/>
              </w:rPr>
              <w:t>et</w:t>
            </w:r>
            <w:r>
              <w:rPr>
                <w:color w:val="231F20"/>
                <w:spacing w:val="6"/>
              </w:rPr>
              <w:t> </w:t>
            </w:r>
            <w:r>
              <w:rPr>
                <w:color w:val="231F20"/>
                <w:spacing w:val="-2"/>
              </w:rPr>
              <w:t>1978.</w:t>
            </w:r>
          </w:hyperlink>
        </w:p>
        <w:p>
          <w:pPr>
            <w:pStyle w:val="TOC4"/>
            <w:tabs>
              <w:tab w:pos="6582" w:val="left" w:leader="dot"/>
            </w:tabs>
            <w:spacing w:before="4"/>
            <w:ind w:left="570"/>
          </w:pPr>
          <w:r>
            <w:rPr>
              <w:color w:val="231F20"/>
              <w:spacing w:val="-10"/>
            </w:rPr>
            <w:t>.</w:t>
          </w:r>
          <w:r>
            <w:rPr>
              <w:color w:val="231F20"/>
            </w:rPr>
            <w:tab/>
          </w:r>
          <w:r>
            <w:rPr>
              <w:color w:val="231F20"/>
              <w:spacing w:val="-5"/>
            </w:rPr>
            <w:t>230</w:t>
          </w:r>
        </w:p>
        <w:p>
          <w:pPr>
            <w:pStyle w:val="TOC4"/>
            <w:spacing w:before="57"/>
          </w:pPr>
          <w:r>
            <w:rPr>
              <w:color w:val="231F20"/>
            </w:rPr>
            <w:t>Le</w:t>
          </w:r>
          <w:r>
            <w:rPr>
              <w:color w:val="231F20"/>
              <w:spacing w:val="-14"/>
            </w:rPr>
            <w:t> </w:t>
          </w:r>
          <w:r>
            <w:rPr>
              <w:color w:val="231F20"/>
            </w:rPr>
            <w:t>18</w:t>
          </w:r>
          <w:r>
            <w:rPr>
              <w:color w:val="231F20"/>
              <w:spacing w:val="24"/>
            </w:rPr>
            <w:t> </w:t>
          </w:r>
          <w:r>
            <w:rPr>
              <w:color w:val="231F20"/>
            </w:rPr>
            <w:t>mars</w:t>
          </w:r>
          <w:r>
            <w:rPr>
              <w:color w:val="231F20"/>
              <w:spacing w:val="28"/>
            </w:rPr>
            <w:t> </w:t>
          </w:r>
          <w:r>
            <w:rPr>
              <w:color w:val="231F20"/>
            </w:rPr>
            <w:t>1969,</w:t>
          </w:r>
          <w:r>
            <w:rPr>
              <w:color w:val="231F20"/>
              <w:spacing w:val="25"/>
            </w:rPr>
            <w:t> </w:t>
          </w:r>
          <w:r>
            <w:rPr>
              <w:color w:val="231F20"/>
            </w:rPr>
            <w:t>l’Armée</w:t>
          </w:r>
          <w:r>
            <w:rPr>
              <w:color w:val="231F20"/>
              <w:spacing w:val="27"/>
            </w:rPr>
            <w:t> </w:t>
          </w:r>
          <w:r>
            <w:rPr>
              <w:color w:val="231F20"/>
            </w:rPr>
            <w:t>française</w:t>
          </w:r>
          <w:r>
            <w:rPr>
              <w:color w:val="231F20"/>
              <w:spacing w:val="26"/>
            </w:rPr>
            <w:t> </w:t>
          </w:r>
          <w:r>
            <w:rPr>
              <w:color w:val="231F20"/>
            </w:rPr>
            <w:t>revient</w:t>
          </w:r>
          <w:r>
            <w:rPr>
              <w:color w:val="231F20"/>
              <w:spacing w:val="28"/>
            </w:rPr>
            <w:t> </w:t>
          </w:r>
          <w:r>
            <w:rPr>
              <w:color w:val="231F20"/>
            </w:rPr>
            <w:t>au</w:t>
          </w:r>
          <w:r>
            <w:rPr>
              <w:color w:val="231F20"/>
              <w:spacing w:val="28"/>
            </w:rPr>
            <w:t> </w:t>
          </w:r>
          <w:r>
            <w:rPr>
              <w:color w:val="231F20"/>
            </w:rPr>
            <w:t>Tchad</w:t>
          </w:r>
          <w:r>
            <w:rPr>
              <w:color w:val="231F20"/>
              <w:spacing w:val="28"/>
            </w:rPr>
            <w:t> </w:t>
          </w:r>
          <w:r>
            <w:rPr>
              <w:color w:val="231F20"/>
            </w:rPr>
            <w:t>pour</w:t>
          </w:r>
          <w:r>
            <w:rPr>
              <w:color w:val="231F20"/>
              <w:spacing w:val="25"/>
            </w:rPr>
            <w:t> </w:t>
          </w:r>
          <w:r>
            <w:rPr>
              <w:color w:val="231F20"/>
            </w:rPr>
            <w:t>rétablir</w:t>
          </w:r>
          <w:r>
            <w:rPr>
              <w:color w:val="231F20"/>
              <w:spacing w:val="26"/>
            </w:rPr>
            <w:t> </w:t>
          </w:r>
          <w:r>
            <w:rPr>
              <w:color w:val="231F20"/>
              <w:spacing w:val="-5"/>
            </w:rPr>
            <w:t>la</w:t>
          </w:r>
        </w:p>
        <w:p>
          <w:pPr>
            <w:pStyle w:val="TOC4"/>
            <w:tabs>
              <w:tab w:pos="6583" w:val="left" w:leader="dot"/>
            </w:tabs>
            <w:spacing w:before="1"/>
          </w:pPr>
          <w:r>
            <w:rPr>
              <w:color w:val="231F20"/>
              <w:spacing w:val="-4"/>
            </w:rPr>
            <w:t>sécurité</w:t>
          </w:r>
          <w:r>
            <w:rPr>
              <w:color w:val="231F20"/>
              <w:spacing w:val="-2"/>
            </w:rPr>
            <w:t> </w:t>
          </w:r>
          <w:r>
            <w:rPr>
              <w:color w:val="231F20"/>
              <w:spacing w:val="-4"/>
            </w:rPr>
            <w:t>dans</w:t>
          </w:r>
          <w:r>
            <w:rPr>
              <w:color w:val="231F20"/>
              <w:spacing w:val="-1"/>
            </w:rPr>
            <w:t> </w:t>
          </w:r>
          <w:r>
            <w:rPr>
              <w:color w:val="231F20"/>
              <w:spacing w:val="-4"/>
            </w:rPr>
            <w:t>les</w:t>
          </w:r>
          <w:r>
            <w:rPr>
              <w:color w:val="231F20"/>
              <w:spacing w:val="-3"/>
            </w:rPr>
            <w:t> </w:t>
          </w:r>
          <w:r>
            <w:rPr>
              <w:color w:val="231F20"/>
              <w:spacing w:val="-4"/>
            </w:rPr>
            <w:t>régions</w:t>
          </w:r>
          <w:r>
            <w:rPr>
              <w:color w:val="231F20"/>
              <w:spacing w:val="-2"/>
            </w:rPr>
            <w:t> </w:t>
          </w:r>
          <w:r>
            <w:rPr>
              <w:color w:val="231F20"/>
              <w:spacing w:val="-4"/>
            </w:rPr>
            <w:t>troublées</w:t>
          </w:r>
          <w:r>
            <w:rPr>
              <w:color w:val="231F20"/>
              <w:spacing w:val="-1"/>
            </w:rPr>
            <w:t> </w:t>
          </w:r>
          <w:r>
            <w:rPr>
              <w:color w:val="231F20"/>
              <w:spacing w:val="-4"/>
            </w:rPr>
            <w:t>du</w:t>
          </w:r>
          <w:r>
            <w:rPr>
              <w:color w:val="231F20"/>
              <w:spacing w:val="-1"/>
            </w:rPr>
            <w:t> </w:t>
          </w:r>
          <w:r>
            <w:rPr>
              <w:color w:val="231F20"/>
              <w:spacing w:val="-4"/>
            </w:rPr>
            <w:t>Nord</w:t>
          </w:r>
          <w:r>
            <w:rPr>
              <w:color w:val="231F20"/>
            </w:rPr>
            <w:tab/>
          </w:r>
          <w:r>
            <w:rPr>
              <w:color w:val="231F20"/>
              <w:spacing w:val="-5"/>
            </w:rPr>
            <w:t>232</w:t>
          </w:r>
        </w:p>
        <w:p>
          <w:pPr>
            <w:pStyle w:val="TOC2"/>
            <w:tabs>
              <w:tab w:pos="6583" w:val="left" w:leader="dot"/>
            </w:tabs>
            <w:spacing w:before="62"/>
          </w:pPr>
          <w:hyperlink w:history="true" w:anchor="_TOC_250008">
            <w:r>
              <w:rPr>
                <w:color w:val="231F20"/>
                <w:spacing w:val="-4"/>
              </w:rPr>
              <w:t>Des</w:t>
            </w:r>
            <w:r>
              <w:rPr>
                <w:color w:val="231F20"/>
                <w:spacing w:val="-3"/>
              </w:rPr>
              <w:t> </w:t>
            </w:r>
            <w:r>
              <w:rPr>
                <w:color w:val="231F20"/>
                <w:spacing w:val="-4"/>
              </w:rPr>
              <w:t>dirigeants</w:t>
            </w:r>
            <w:r>
              <w:rPr>
                <w:color w:val="231F20"/>
                <w:spacing w:val="-2"/>
              </w:rPr>
              <w:t> </w:t>
            </w:r>
            <w:r>
              <w:rPr>
                <w:color w:val="231F20"/>
                <w:spacing w:val="-4"/>
              </w:rPr>
              <w:t>mercenaires</w:t>
            </w:r>
            <w:r>
              <w:rPr>
                <w:color w:val="231F20"/>
              </w:rPr>
              <w:tab/>
            </w:r>
            <w:r>
              <w:rPr>
                <w:color w:val="231F20"/>
                <w:spacing w:val="-5"/>
              </w:rPr>
              <w:t>235</w:t>
            </w:r>
          </w:hyperlink>
        </w:p>
        <w:p>
          <w:pPr>
            <w:pStyle w:val="TOC4"/>
            <w:tabs>
              <w:tab w:pos="6583" w:val="left" w:leader="dot"/>
            </w:tabs>
            <w:spacing w:line="244" w:lineRule="auto" w:before="56"/>
            <w:ind w:right="106"/>
          </w:pPr>
          <w:r>
            <w:rPr>
              <w:color w:val="231F20"/>
            </w:rPr>
            <w:t>Le</w:t>
          </w:r>
          <w:r>
            <w:rPr>
              <w:color w:val="231F20"/>
              <w:spacing w:val="-8"/>
            </w:rPr>
            <w:t> </w:t>
          </w:r>
          <w:r>
            <w:rPr>
              <w:color w:val="231F20"/>
            </w:rPr>
            <w:t>service</w:t>
          </w:r>
          <w:r>
            <w:rPr>
              <w:color w:val="231F20"/>
              <w:spacing w:val="-4"/>
            </w:rPr>
            <w:t> </w:t>
          </w:r>
          <w:r>
            <w:rPr>
              <w:color w:val="231F20"/>
            </w:rPr>
            <w:t>de</w:t>
          </w:r>
          <w:r>
            <w:rPr>
              <w:color w:val="231F20"/>
              <w:spacing w:val="-5"/>
            </w:rPr>
            <w:t> </w:t>
          </w:r>
          <w:r>
            <w:rPr>
              <w:color w:val="231F20"/>
            </w:rPr>
            <w:t>la</w:t>
          </w:r>
          <w:r>
            <w:rPr>
              <w:color w:val="231F20"/>
              <w:spacing w:val="-4"/>
            </w:rPr>
            <w:t> </w:t>
          </w:r>
          <w:r>
            <w:rPr>
              <w:color w:val="231F20"/>
            </w:rPr>
            <w:t>dette</w:t>
          </w:r>
          <w:r>
            <w:rPr>
              <w:color w:val="231F20"/>
              <w:spacing w:val="-2"/>
            </w:rPr>
            <w:t> </w:t>
          </w:r>
          <w:r>
            <w:rPr>
              <w:color w:val="231F20"/>
            </w:rPr>
            <w:t>absorbe</w:t>
          </w:r>
          <w:r>
            <w:rPr>
              <w:color w:val="231F20"/>
              <w:spacing w:val="-5"/>
            </w:rPr>
            <w:t> </w:t>
          </w:r>
          <w:r>
            <w:rPr>
              <w:color w:val="231F20"/>
            </w:rPr>
            <w:t>en</w:t>
          </w:r>
          <w:r>
            <w:rPr>
              <w:color w:val="231F20"/>
              <w:spacing w:val="-6"/>
            </w:rPr>
            <w:t> </w:t>
          </w:r>
          <w:r>
            <w:rPr>
              <w:color w:val="231F20"/>
            </w:rPr>
            <w:t>moyenne</w:t>
          </w:r>
          <w:r>
            <w:rPr>
              <w:color w:val="231F20"/>
              <w:spacing w:val="-5"/>
            </w:rPr>
            <w:t> </w:t>
          </w:r>
          <w:r>
            <w:rPr>
              <w:color w:val="231F20"/>
            </w:rPr>
            <w:t>40</w:t>
          </w:r>
          <w:r>
            <w:rPr>
              <w:color w:val="231F20"/>
              <w:spacing w:val="-14"/>
            </w:rPr>
            <w:t> </w:t>
          </w:r>
          <w:r>
            <w:rPr>
              <w:color w:val="231F20"/>
            </w:rPr>
            <w:t>%</w:t>
          </w:r>
          <w:r>
            <w:rPr>
              <w:color w:val="231F20"/>
              <w:spacing w:val="-2"/>
            </w:rPr>
            <w:t> </w:t>
          </w:r>
          <w:r>
            <w:rPr>
              <w:color w:val="231F20"/>
            </w:rPr>
            <w:t>des</w:t>
          </w:r>
          <w:r>
            <w:rPr>
              <w:color w:val="231F20"/>
              <w:spacing w:val="-5"/>
            </w:rPr>
            <w:t> </w:t>
          </w:r>
          <w:r>
            <w:rPr>
              <w:color w:val="231F20"/>
            </w:rPr>
            <w:t>recettes</w:t>
          </w:r>
          <w:r>
            <w:rPr>
              <w:color w:val="231F20"/>
              <w:spacing w:val="-5"/>
            </w:rPr>
            <w:t> </w:t>
          </w:r>
          <w:r>
            <w:rPr>
              <w:color w:val="231F20"/>
            </w:rPr>
            <w:t>budgétaires </w:t>
          </w:r>
          <w:r>
            <w:rPr>
              <w:color w:val="231F20"/>
              <w:spacing w:val="-2"/>
            </w:rPr>
            <w:t>des</w:t>
          </w:r>
          <w:r>
            <w:rPr>
              <w:color w:val="231F20"/>
              <w:spacing w:val="-10"/>
            </w:rPr>
            <w:t> </w:t>
          </w:r>
          <w:r>
            <w:rPr>
              <w:color w:val="231F20"/>
              <w:spacing w:val="-2"/>
            </w:rPr>
            <w:t>pays</w:t>
          </w:r>
          <w:r>
            <w:rPr>
              <w:color w:val="231F20"/>
              <w:spacing w:val="-12"/>
            </w:rPr>
            <w:t> </w:t>
          </w:r>
          <w:r>
            <w:rPr>
              <w:color w:val="231F20"/>
              <w:spacing w:val="-2"/>
            </w:rPr>
            <w:t>francophones</w:t>
          </w:r>
          <w:r>
            <w:rPr>
              <w:color w:val="231F20"/>
              <w:spacing w:val="-12"/>
            </w:rPr>
            <w:t> </w:t>
          </w:r>
          <w:r>
            <w:rPr>
              <w:color w:val="231F20"/>
              <w:spacing w:val="-2"/>
            </w:rPr>
            <w:t>à</w:t>
          </w:r>
          <w:r>
            <w:rPr>
              <w:color w:val="231F20"/>
              <w:spacing w:val="-12"/>
            </w:rPr>
            <w:t> </w:t>
          </w:r>
          <w:r>
            <w:rPr>
              <w:color w:val="231F20"/>
              <w:spacing w:val="-2"/>
            </w:rPr>
            <w:t>bas</w:t>
          </w:r>
          <w:r>
            <w:rPr>
              <w:color w:val="231F20"/>
              <w:spacing w:val="-11"/>
            </w:rPr>
            <w:t> </w:t>
          </w:r>
          <w:r>
            <w:rPr>
              <w:color w:val="231F20"/>
              <w:spacing w:val="-2"/>
            </w:rPr>
            <w:t>revenus</w:t>
          </w:r>
          <w:r>
            <w:rPr>
              <w:color w:val="231F20"/>
            </w:rPr>
            <w:tab/>
          </w:r>
          <w:r>
            <w:rPr>
              <w:color w:val="231F20"/>
              <w:spacing w:val="-5"/>
            </w:rPr>
            <w:t>239</w:t>
          </w:r>
        </w:p>
        <w:p>
          <w:pPr>
            <w:pStyle w:val="TOC4"/>
            <w:tabs>
              <w:tab w:pos="6583" w:val="left" w:leader="dot"/>
            </w:tabs>
            <w:spacing w:before="53"/>
          </w:pPr>
          <w:hyperlink w:history="true" w:anchor="_TOC_250007">
            <w:r>
              <w:rPr>
                <w:color w:val="231F20"/>
                <w:spacing w:val="-4"/>
              </w:rPr>
              <w:t>Depuis</w:t>
            </w:r>
            <w:r>
              <w:rPr>
                <w:color w:val="231F20"/>
                <w:spacing w:val="-3"/>
              </w:rPr>
              <w:t> </w:t>
            </w:r>
            <w:r>
              <w:rPr>
                <w:color w:val="231F20"/>
                <w:spacing w:val="-4"/>
              </w:rPr>
              <w:t>1960,</w:t>
            </w:r>
            <w:r>
              <w:rPr>
                <w:color w:val="231F20"/>
                <w:spacing w:val="-2"/>
              </w:rPr>
              <w:t> </w:t>
            </w:r>
            <w:r>
              <w:rPr>
                <w:color w:val="231F20"/>
                <w:spacing w:val="-4"/>
              </w:rPr>
              <w:t>l’Afrique</w:t>
            </w:r>
            <w:r>
              <w:rPr>
                <w:color w:val="231F20"/>
                <w:spacing w:val="-2"/>
              </w:rPr>
              <w:t> </w:t>
            </w:r>
            <w:r>
              <w:rPr>
                <w:color w:val="231F20"/>
                <w:spacing w:val="-4"/>
              </w:rPr>
              <w:t>reçoit</w:t>
            </w:r>
            <w:r>
              <w:rPr>
                <w:color w:val="231F20"/>
              </w:rPr>
              <w:t> </w:t>
            </w:r>
            <w:r>
              <w:rPr>
                <w:color w:val="231F20"/>
                <w:spacing w:val="-4"/>
              </w:rPr>
              <w:t>des</w:t>
            </w:r>
            <w:r>
              <w:rPr>
                <w:color w:val="231F20"/>
                <w:spacing w:val="-2"/>
              </w:rPr>
              <w:t> </w:t>
            </w:r>
            <w:r>
              <w:rPr>
                <w:color w:val="231F20"/>
                <w:spacing w:val="-4"/>
              </w:rPr>
              <w:t>aides</w:t>
            </w:r>
            <w:r>
              <w:rPr>
                <w:color w:val="231F20"/>
              </w:rPr>
              <w:t> </w:t>
            </w:r>
            <w:r>
              <w:rPr>
                <w:color w:val="231F20"/>
                <w:spacing w:val="-4"/>
              </w:rPr>
              <w:t>dans</w:t>
            </w:r>
            <w:r>
              <w:rPr>
                <w:color w:val="231F20"/>
                <w:spacing w:val="-2"/>
              </w:rPr>
              <w:t> </w:t>
            </w:r>
            <w:r>
              <w:rPr>
                <w:color w:val="231F20"/>
                <w:spacing w:val="-4"/>
              </w:rPr>
              <w:t>différents</w:t>
            </w:r>
            <w:r>
              <w:rPr>
                <w:color w:val="231F20"/>
              </w:rPr>
              <w:t> </w:t>
            </w:r>
            <w:r>
              <w:rPr>
                <w:color w:val="231F20"/>
                <w:spacing w:val="-4"/>
              </w:rPr>
              <w:t>domaines.</w:t>
            </w:r>
            <w:r>
              <w:rPr>
                <w:color w:val="231F20"/>
              </w:rPr>
              <w:tab/>
            </w:r>
            <w:r>
              <w:rPr>
                <w:color w:val="231F20"/>
                <w:spacing w:val="-5"/>
              </w:rPr>
              <w:t>240</w:t>
            </w:r>
          </w:hyperlink>
        </w:p>
        <w:p>
          <w:pPr>
            <w:pStyle w:val="TOC2"/>
            <w:tabs>
              <w:tab w:pos="6583" w:val="left" w:leader="dot"/>
            </w:tabs>
          </w:pPr>
          <w:hyperlink w:history="true" w:anchor="_TOC_250006">
            <w:r>
              <w:rPr>
                <w:color w:val="231F20"/>
                <w:spacing w:val="-2"/>
              </w:rPr>
              <w:t>À</w:t>
            </w:r>
            <w:r>
              <w:rPr>
                <w:color w:val="231F20"/>
                <w:spacing w:val="-8"/>
              </w:rPr>
              <w:t> </w:t>
            </w:r>
            <w:r>
              <w:rPr>
                <w:color w:val="231F20"/>
                <w:spacing w:val="-2"/>
              </w:rPr>
              <w:t>quand</w:t>
            </w:r>
            <w:r>
              <w:rPr>
                <w:color w:val="231F20"/>
                <w:spacing w:val="-10"/>
              </w:rPr>
              <w:t> </w:t>
            </w:r>
            <w:r>
              <w:rPr>
                <w:color w:val="231F20"/>
                <w:spacing w:val="-2"/>
              </w:rPr>
              <w:t>le</w:t>
            </w:r>
            <w:r>
              <w:rPr>
                <w:color w:val="231F20"/>
                <w:spacing w:val="-10"/>
              </w:rPr>
              <w:t> </w:t>
            </w:r>
            <w:r>
              <w:rPr>
                <w:color w:val="231F20"/>
                <w:spacing w:val="-2"/>
              </w:rPr>
              <w:t>Réveil</w:t>
            </w:r>
            <w:r>
              <w:rPr>
                <w:color w:val="231F20"/>
                <w:spacing w:val="-8"/>
              </w:rPr>
              <w:t> </w:t>
            </w:r>
            <w:r>
              <w:rPr>
                <w:color w:val="231F20"/>
                <w:spacing w:val="-10"/>
              </w:rPr>
              <w:t>?</w:t>
            </w:r>
            <w:r>
              <w:rPr>
                <w:color w:val="231F20"/>
              </w:rPr>
              <w:tab/>
            </w:r>
            <w:r>
              <w:rPr>
                <w:color w:val="231F20"/>
                <w:spacing w:val="-5"/>
              </w:rPr>
              <w:t>243</w:t>
            </w:r>
          </w:hyperlink>
        </w:p>
        <w:p>
          <w:pPr>
            <w:pStyle w:val="TOC2"/>
            <w:tabs>
              <w:tab w:pos="6583" w:val="left" w:leader="dot"/>
            </w:tabs>
            <w:spacing w:before="61"/>
          </w:pPr>
          <w:hyperlink w:history="true" w:anchor="_TOC_250005">
            <w:r>
              <w:rPr>
                <w:color w:val="231F20"/>
                <w:spacing w:val="-4"/>
              </w:rPr>
              <w:t>Guerres</w:t>
            </w:r>
            <w:r>
              <w:rPr>
                <w:color w:val="231F20"/>
              </w:rPr>
              <w:t> </w:t>
            </w:r>
            <w:r>
              <w:rPr>
                <w:color w:val="231F20"/>
                <w:spacing w:val="-4"/>
              </w:rPr>
              <w:t>de</w:t>
            </w:r>
            <w:r>
              <w:rPr>
                <w:color w:val="231F20"/>
                <w:spacing w:val="-1"/>
              </w:rPr>
              <w:t> </w:t>
            </w:r>
            <w:r>
              <w:rPr>
                <w:color w:val="231F20"/>
                <w:spacing w:val="-4"/>
              </w:rPr>
              <w:t>pouvoir,</w:t>
            </w:r>
            <w:r>
              <w:rPr>
                <w:color w:val="231F20"/>
                <w:spacing w:val="-3"/>
              </w:rPr>
              <w:t> </w:t>
            </w:r>
            <w:r>
              <w:rPr>
                <w:color w:val="231F20"/>
                <w:spacing w:val="-4"/>
              </w:rPr>
              <w:t>instrumentalisation</w:t>
            </w:r>
            <w:r>
              <w:rPr>
                <w:color w:val="231F20"/>
                <w:spacing w:val="-2"/>
              </w:rPr>
              <w:t> </w:t>
            </w:r>
            <w:r>
              <w:rPr>
                <w:color w:val="231F20"/>
                <w:spacing w:val="-4"/>
              </w:rPr>
              <w:t>des</w:t>
            </w:r>
            <w:r>
              <w:rPr>
                <w:color w:val="231F20"/>
                <w:spacing w:val="-1"/>
              </w:rPr>
              <w:t> </w:t>
            </w:r>
            <w:r>
              <w:rPr>
                <w:color w:val="231F20"/>
                <w:spacing w:val="-4"/>
              </w:rPr>
              <w:t>populations</w:t>
            </w:r>
            <w:r>
              <w:rPr>
                <w:color w:val="231F20"/>
                <w:spacing w:val="-2"/>
              </w:rPr>
              <w:t> </w:t>
            </w:r>
            <w:r>
              <w:rPr>
                <w:color w:val="231F20"/>
                <w:spacing w:val="-4"/>
              </w:rPr>
              <w:t>:</w:t>
            </w:r>
            <w:r>
              <w:rPr>
                <w:color w:val="231F20"/>
                <w:spacing w:val="-1"/>
              </w:rPr>
              <w:t> </w:t>
            </w:r>
            <w:r>
              <w:rPr>
                <w:color w:val="231F20"/>
                <w:spacing w:val="-4"/>
              </w:rPr>
              <w:t>ça</w:t>
            </w:r>
            <w:r>
              <w:rPr>
                <w:color w:val="231F20"/>
                <w:spacing w:val="-1"/>
              </w:rPr>
              <w:t> </w:t>
            </w:r>
            <w:r>
              <w:rPr>
                <w:color w:val="231F20"/>
                <w:spacing w:val="-4"/>
              </w:rPr>
              <w:t>suffit</w:t>
            </w:r>
            <w:r>
              <w:rPr>
                <w:color w:val="231F20"/>
                <w:spacing w:val="1"/>
              </w:rPr>
              <w:t> </w:t>
            </w:r>
            <w:r>
              <w:rPr>
                <w:color w:val="231F20"/>
                <w:spacing w:val="-10"/>
              </w:rPr>
              <w:t>!</w:t>
            </w:r>
            <w:r>
              <w:rPr>
                <w:color w:val="231F20"/>
              </w:rPr>
              <w:tab/>
            </w:r>
            <w:r>
              <w:rPr>
                <w:color w:val="231F20"/>
                <w:spacing w:val="-5"/>
              </w:rPr>
              <w:t>245</w:t>
            </w:r>
          </w:hyperlink>
        </w:p>
        <w:p>
          <w:pPr>
            <w:pStyle w:val="TOC5"/>
            <w:tabs>
              <w:tab w:pos="6583" w:val="left" w:leader="dot"/>
            </w:tabs>
          </w:pPr>
          <w:r>
            <w:rPr>
              <w:color w:val="231F20"/>
              <w:spacing w:val="-2"/>
            </w:rPr>
            <w:t>Avidité</w:t>
          </w:r>
          <w:r>
            <w:rPr>
              <w:color w:val="231F20"/>
              <w:spacing w:val="-13"/>
            </w:rPr>
            <w:t> </w:t>
          </w:r>
          <w:r>
            <w:rPr>
              <w:color w:val="231F20"/>
              <w:spacing w:val="-2"/>
            </w:rPr>
            <w:t>et</w:t>
          </w:r>
          <w:r>
            <w:rPr>
              <w:color w:val="231F20"/>
              <w:spacing w:val="-9"/>
            </w:rPr>
            <w:t> </w:t>
          </w:r>
          <w:r>
            <w:rPr>
              <w:color w:val="231F20"/>
              <w:spacing w:val="-2"/>
            </w:rPr>
            <w:t>Egoïsme</w:t>
          </w:r>
          <w:r>
            <w:rPr>
              <w:color w:val="231F20"/>
              <w:spacing w:val="-10"/>
            </w:rPr>
            <w:t> </w:t>
          </w:r>
          <w:r>
            <w:rPr>
              <w:color w:val="231F20"/>
              <w:spacing w:val="-2"/>
            </w:rPr>
            <w:t>:</w:t>
          </w:r>
          <w:r>
            <w:rPr>
              <w:color w:val="231F20"/>
              <w:spacing w:val="-9"/>
            </w:rPr>
            <w:t> </w:t>
          </w:r>
          <w:r>
            <w:rPr>
              <w:color w:val="231F20"/>
              <w:spacing w:val="-2"/>
            </w:rPr>
            <w:t>ça</w:t>
          </w:r>
          <w:r>
            <w:rPr>
              <w:color w:val="231F20"/>
              <w:spacing w:val="-10"/>
            </w:rPr>
            <w:t> </w:t>
          </w:r>
          <w:r>
            <w:rPr>
              <w:color w:val="231F20"/>
              <w:spacing w:val="-2"/>
            </w:rPr>
            <w:t>suffit</w:t>
          </w:r>
          <w:r>
            <w:rPr>
              <w:color w:val="231F20"/>
              <w:spacing w:val="-9"/>
            </w:rPr>
            <w:t> </w:t>
          </w:r>
          <w:r>
            <w:rPr>
              <w:color w:val="231F20"/>
              <w:spacing w:val="-10"/>
            </w:rPr>
            <w:t>!</w:t>
          </w:r>
          <w:r>
            <w:rPr>
              <w:color w:val="231F20"/>
            </w:rPr>
            <w:tab/>
          </w:r>
          <w:r>
            <w:rPr>
              <w:color w:val="231F20"/>
              <w:spacing w:val="-5"/>
            </w:rPr>
            <w:t>249</w:t>
          </w:r>
        </w:p>
        <w:p>
          <w:pPr>
            <w:pStyle w:val="TOC4"/>
            <w:tabs>
              <w:tab w:pos="6583" w:val="left" w:leader="dot"/>
            </w:tabs>
            <w:spacing w:before="62"/>
          </w:pPr>
          <w:hyperlink w:history="true" w:anchor="_TOC_250004">
            <w:r>
              <w:rPr>
                <w:color w:val="231F20"/>
                <w:spacing w:val="-4"/>
              </w:rPr>
              <w:t>En</w:t>
            </w:r>
            <w:r>
              <w:rPr>
                <w:color w:val="231F20"/>
                <w:spacing w:val="-1"/>
              </w:rPr>
              <w:t> </w:t>
            </w:r>
            <w:r>
              <w:rPr>
                <w:color w:val="231F20"/>
                <w:spacing w:val="-4"/>
              </w:rPr>
              <w:t>octobre</w:t>
            </w:r>
            <w:r>
              <w:rPr>
                <w:color w:val="231F20"/>
                <w:spacing w:val="-3"/>
              </w:rPr>
              <w:t> </w:t>
            </w:r>
            <w:r>
              <w:rPr>
                <w:color w:val="231F20"/>
                <w:spacing w:val="-4"/>
              </w:rPr>
              <w:t>1987, Thomas</w:t>
            </w:r>
            <w:r>
              <w:rPr>
                <w:color w:val="231F20"/>
              </w:rPr>
              <w:t> </w:t>
            </w:r>
            <w:r>
              <w:rPr>
                <w:color w:val="231F20"/>
                <w:spacing w:val="-4"/>
              </w:rPr>
              <w:t>Sankara</w:t>
            </w:r>
            <w:r>
              <w:rPr>
                <w:color w:val="231F20"/>
                <w:spacing w:val="-3"/>
              </w:rPr>
              <w:t> </w:t>
            </w:r>
            <w:r>
              <w:rPr>
                <w:color w:val="231F20"/>
                <w:spacing w:val="-4"/>
              </w:rPr>
              <w:t>est</w:t>
            </w:r>
            <w:r>
              <w:rPr>
                <w:color w:val="231F20"/>
                <w:spacing w:val="-1"/>
              </w:rPr>
              <w:t> </w:t>
            </w:r>
            <w:r>
              <w:rPr>
                <w:color w:val="231F20"/>
                <w:spacing w:val="-4"/>
              </w:rPr>
              <w:t>assassiné</w:t>
            </w:r>
            <w:r>
              <w:rPr>
                <w:color w:val="231F20"/>
              </w:rPr>
              <w:tab/>
            </w:r>
            <w:r>
              <w:rPr>
                <w:color w:val="231F20"/>
                <w:spacing w:val="-5"/>
              </w:rPr>
              <w:t>250</w:t>
            </w:r>
          </w:hyperlink>
        </w:p>
        <w:p>
          <w:pPr>
            <w:pStyle w:val="TOC2"/>
            <w:tabs>
              <w:tab w:pos="6583" w:val="left" w:leader="dot"/>
            </w:tabs>
          </w:pPr>
          <w:hyperlink w:history="true" w:anchor="_TOC_250003">
            <w:r>
              <w:rPr>
                <w:color w:val="231F20"/>
                <w:spacing w:val="-4"/>
              </w:rPr>
              <w:t>Des contre-pouvoirs</w:t>
            </w:r>
            <w:r>
              <w:rPr>
                <w:color w:val="231F20"/>
                <w:spacing w:val="-2"/>
              </w:rPr>
              <w:t> </w:t>
            </w:r>
            <w:r>
              <w:rPr>
                <w:color w:val="231F20"/>
                <w:spacing w:val="-4"/>
              </w:rPr>
              <w:t>sans</w:t>
            </w:r>
            <w:r>
              <w:rPr>
                <w:color w:val="231F20"/>
                <w:spacing w:val="-2"/>
              </w:rPr>
              <w:t> </w:t>
            </w:r>
            <w:r>
              <w:rPr>
                <w:color w:val="231F20"/>
                <w:spacing w:val="-4"/>
              </w:rPr>
              <w:t>pouvoir</w:t>
            </w:r>
            <w:r>
              <w:rPr>
                <w:color w:val="231F20"/>
              </w:rPr>
              <w:t> </w:t>
            </w:r>
            <w:r>
              <w:rPr>
                <w:color w:val="231F20"/>
                <w:spacing w:val="-4"/>
              </w:rPr>
              <w:t>:</w:t>
            </w:r>
            <w:r>
              <w:rPr>
                <w:color w:val="231F20"/>
                <w:spacing w:val="-1"/>
              </w:rPr>
              <w:t> </w:t>
            </w:r>
            <w:r>
              <w:rPr>
                <w:color w:val="231F20"/>
                <w:spacing w:val="-4"/>
              </w:rPr>
              <w:t>ça</w:t>
            </w:r>
            <w:r>
              <w:rPr>
                <w:color w:val="231F20"/>
                <w:spacing w:val="-2"/>
              </w:rPr>
              <w:t> </w:t>
            </w:r>
            <w:r>
              <w:rPr>
                <w:color w:val="231F20"/>
                <w:spacing w:val="-4"/>
              </w:rPr>
              <w:t>suffit</w:t>
            </w:r>
            <w:r>
              <w:rPr>
                <w:color w:val="231F20"/>
              </w:rPr>
              <w:t> </w:t>
            </w:r>
            <w:r>
              <w:rPr>
                <w:color w:val="231F20"/>
                <w:spacing w:val="-10"/>
              </w:rPr>
              <w:t>!</w:t>
            </w:r>
            <w:r>
              <w:rPr>
                <w:color w:val="231F20"/>
              </w:rPr>
              <w:tab/>
            </w:r>
            <w:r>
              <w:rPr>
                <w:color w:val="231F20"/>
                <w:spacing w:val="-5"/>
              </w:rPr>
              <w:t>255</w:t>
            </w:r>
          </w:hyperlink>
        </w:p>
        <w:p>
          <w:pPr>
            <w:pStyle w:val="TOC2"/>
            <w:tabs>
              <w:tab w:pos="6583" w:val="left" w:leader="dot"/>
            </w:tabs>
          </w:pPr>
          <w:hyperlink w:history="true" w:anchor="_TOC_250002">
            <w:r>
              <w:rPr>
                <w:color w:val="231F20"/>
                <w:spacing w:val="-4"/>
              </w:rPr>
              <w:t>Une</w:t>
            </w:r>
            <w:r>
              <w:rPr>
                <w:color w:val="231F20"/>
                <w:spacing w:val="-1"/>
              </w:rPr>
              <w:t> </w:t>
            </w:r>
            <w:r>
              <w:rPr>
                <w:color w:val="231F20"/>
                <w:spacing w:val="-4"/>
              </w:rPr>
              <w:t>Administration</w:t>
            </w:r>
            <w:r>
              <w:rPr>
                <w:color w:val="231F20"/>
                <w:spacing w:val="-3"/>
              </w:rPr>
              <w:t> </w:t>
            </w:r>
            <w:r>
              <w:rPr>
                <w:color w:val="231F20"/>
                <w:spacing w:val="-4"/>
              </w:rPr>
              <w:t>sans</w:t>
            </w:r>
            <w:r>
              <w:rPr>
                <w:color w:val="231F20"/>
                <w:spacing w:val="-2"/>
              </w:rPr>
              <w:t> </w:t>
            </w:r>
            <w:r>
              <w:rPr>
                <w:color w:val="231F20"/>
                <w:spacing w:val="-4"/>
              </w:rPr>
              <w:t>souffle</w:t>
            </w:r>
            <w:r>
              <w:rPr>
                <w:color w:val="231F20"/>
                <w:spacing w:val="-3"/>
              </w:rPr>
              <w:t> </w:t>
            </w:r>
            <w:r>
              <w:rPr>
                <w:color w:val="231F20"/>
                <w:spacing w:val="-4"/>
              </w:rPr>
              <w:t>:</w:t>
            </w:r>
            <w:r>
              <w:rPr>
                <w:color w:val="231F20"/>
                <w:spacing w:val="-1"/>
              </w:rPr>
              <w:t> </w:t>
            </w:r>
            <w:r>
              <w:rPr>
                <w:color w:val="231F20"/>
                <w:spacing w:val="-4"/>
              </w:rPr>
              <w:t>ça</w:t>
            </w:r>
            <w:r>
              <w:rPr>
                <w:color w:val="231F20"/>
                <w:spacing w:val="-2"/>
              </w:rPr>
              <w:t> </w:t>
            </w:r>
            <w:r>
              <w:rPr>
                <w:color w:val="231F20"/>
                <w:spacing w:val="-4"/>
              </w:rPr>
              <w:t>suffit</w:t>
            </w:r>
            <w:r>
              <w:rPr>
                <w:color w:val="231F20"/>
                <w:spacing w:val="-1"/>
              </w:rPr>
              <w:t> </w:t>
            </w:r>
            <w:r>
              <w:rPr>
                <w:color w:val="231F20"/>
                <w:spacing w:val="-10"/>
              </w:rPr>
              <w:t>!</w:t>
            </w:r>
            <w:r>
              <w:rPr>
                <w:color w:val="231F20"/>
              </w:rPr>
              <w:tab/>
            </w:r>
            <w:r>
              <w:rPr>
                <w:color w:val="231F20"/>
                <w:spacing w:val="-5"/>
              </w:rPr>
              <w:t>256</w:t>
            </w:r>
          </w:hyperlink>
        </w:p>
        <w:p>
          <w:pPr>
            <w:pStyle w:val="TOC2"/>
            <w:tabs>
              <w:tab w:pos="6583" w:val="left" w:leader="dot"/>
            </w:tabs>
            <w:spacing w:before="62"/>
          </w:pPr>
          <w:hyperlink w:history="true" w:anchor="_TOC_250001">
            <w:r>
              <w:rPr>
                <w:color w:val="231F20"/>
                <w:spacing w:val="-2"/>
              </w:rPr>
              <w:t>Un</w:t>
            </w:r>
            <w:r>
              <w:rPr>
                <w:color w:val="231F20"/>
                <w:spacing w:val="-11"/>
              </w:rPr>
              <w:t> </w:t>
            </w:r>
            <w:r>
              <w:rPr>
                <w:color w:val="231F20"/>
                <w:spacing w:val="-2"/>
              </w:rPr>
              <w:t>Système</w:t>
            </w:r>
            <w:r>
              <w:rPr>
                <w:color w:val="231F20"/>
                <w:spacing w:val="-11"/>
              </w:rPr>
              <w:t> </w:t>
            </w:r>
            <w:r>
              <w:rPr>
                <w:color w:val="231F20"/>
                <w:spacing w:val="-2"/>
              </w:rPr>
              <w:t>de</w:t>
            </w:r>
            <w:r>
              <w:rPr>
                <w:color w:val="231F20"/>
                <w:spacing w:val="-10"/>
              </w:rPr>
              <w:t> </w:t>
            </w:r>
            <w:r>
              <w:rPr>
                <w:color w:val="231F20"/>
                <w:spacing w:val="-2"/>
              </w:rPr>
              <w:t>Santé</w:t>
            </w:r>
            <w:r>
              <w:rPr>
                <w:color w:val="231F20"/>
                <w:spacing w:val="-12"/>
              </w:rPr>
              <w:t> </w:t>
            </w:r>
            <w:r>
              <w:rPr>
                <w:color w:val="231F20"/>
                <w:spacing w:val="-2"/>
              </w:rPr>
              <w:t>moribond</w:t>
            </w:r>
            <w:r>
              <w:rPr>
                <w:color w:val="231F20"/>
                <w:spacing w:val="-11"/>
              </w:rPr>
              <w:t> </w:t>
            </w:r>
            <w:r>
              <w:rPr>
                <w:color w:val="231F20"/>
                <w:spacing w:val="-2"/>
              </w:rPr>
              <w:t>:</w:t>
            </w:r>
            <w:r>
              <w:rPr>
                <w:color w:val="231F20"/>
                <w:spacing w:val="-9"/>
              </w:rPr>
              <w:t> </w:t>
            </w:r>
            <w:r>
              <w:rPr>
                <w:color w:val="231F20"/>
                <w:spacing w:val="-2"/>
              </w:rPr>
              <w:t>ça</w:t>
            </w:r>
            <w:r>
              <w:rPr>
                <w:color w:val="231F20"/>
                <w:spacing w:val="-11"/>
              </w:rPr>
              <w:t> </w:t>
            </w:r>
            <w:r>
              <w:rPr>
                <w:color w:val="231F20"/>
                <w:spacing w:val="-2"/>
              </w:rPr>
              <w:t>suffit</w:t>
            </w:r>
            <w:r>
              <w:rPr>
                <w:color w:val="231F20"/>
                <w:spacing w:val="-9"/>
              </w:rPr>
              <w:t> </w:t>
            </w:r>
            <w:r>
              <w:rPr>
                <w:color w:val="231F20"/>
                <w:spacing w:val="-10"/>
              </w:rPr>
              <w:t>!</w:t>
            </w:r>
            <w:r>
              <w:rPr>
                <w:color w:val="231F20"/>
              </w:rPr>
              <w:tab/>
            </w:r>
            <w:r>
              <w:rPr>
                <w:color w:val="231F20"/>
                <w:spacing w:val="-5"/>
              </w:rPr>
              <w:t>257</w:t>
            </w:r>
          </w:hyperlink>
        </w:p>
        <w:p>
          <w:pPr>
            <w:pStyle w:val="TOC2"/>
            <w:tabs>
              <w:tab w:pos="6583" w:val="left" w:leader="dot"/>
            </w:tabs>
          </w:pPr>
          <w:hyperlink w:history="true" w:anchor="_TOC_250000">
            <w:r>
              <w:rPr>
                <w:color w:val="231F20"/>
                <w:spacing w:val="-4"/>
              </w:rPr>
              <w:t>Un</w:t>
            </w:r>
            <w:r>
              <w:rPr>
                <w:color w:val="231F20"/>
                <w:spacing w:val="-1"/>
              </w:rPr>
              <w:t> </w:t>
            </w:r>
            <w:r>
              <w:rPr>
                <w:color w:val="231F20"/>
                <w:spacing w:val="-4"/>
              </w:rPr>
              <w:t>système</w:t>
            </w:r>
            <w:r>
              <w:rPr>
                <w:color w:val="231F20"/>
                <w:spacing w:val="-2"/>
              </w:rPr>
              <w:t> </w:t>
            </w:r>
            <w:r>
              <w:rPr>
                <w:color w:val="231F20"/>
                <w:spacing w:val="-4"/>
              </w:rPr>
              <w:t>éducatif</w:t>
            </w:r>
            <w:r>
              <w:rPr>
                <w:color w:val="231F20"/>
                <w:spacing w:val="-1"/>
              </w:rPr>
              <w:t> </w:t>
            </w:r>
            <w:r>
              <w:rPr>
                <w:color w:val="231F20"/>
                <w:spacing w:val="-4"/>
              </w:rPr>
              <w:t>défaillant:</w:t>
            </w:r>
            <w:r>
              <w:rPr>
                <w:color w:val="231F20"/>
                <w:spacing w:val="-1"/>
              </w:rPr>
              <w:t> </w:t>
            </w:r>
            <w:r>
              <w:rPr>
                <w:color w:val="231F20"/>
                <w:spacing w:val="-4"/>
              </w:rPr>
              <w:t>ça</w:t>
            </w:r>
            <w:r>
              <w:rPr>
                <w:color w:val="231F20"/>
                <w:spacing w:val="-2"/>
              </w:rPr>
              <w:t> </w:t>
            </w:r>
            <w:r>
              <w:rPr>
                <w:color w:val="231F20"/>
                <w:spacing w:val="-4"/>
              </w:rPr>
              <w:t>suffit</w:t>
            </w:r>
            <w:r>
              <w:rPr>
                <w:color w:val="231F20"/>
                <w:spacing w:val="-2"/>
              </w:rPr>
              <w:t> </w:t>
            </w:r>
            <w:r>
              <w:rPr>
                <w:color w:val="231F20"/>
                <w:spacing w:val="-10"/>
              </w:rPr>
              <w:t>!</w:t>
            </w:r>
            <w:r>
              <w:rPr>
                <w:color w:val="231F20"/>
              </w:rPr>
              <w:tab/>
            </w:r>
            <w:r>
              <w:rPr>
                <w:color w:val="231F20"/>
                <w:spacing w:val="-5"/>
              </w:rPr>
              <w:t>259</w:t>
            </w:r>
          </w:hyperlink>
        </w:p>
      </w:sdtContent>
    </w:sdt>
    <w:p>
      <w:pPr>
        <w:spacing w:after="0"/>
        <w:sectPr>
          <w:type w:val="continuous"/>
          <w:pgSz w:w="8790" w:h="13610"/>
          <w:pgMar w:header="0" w:footer="802" w:top="1070" w:bottom="1409" w:left="880" w:right="880"/>
        </w:sectPr>
      </w:pPr>
    </w:p>
    <w:p>
      <w:pPr>
        <w:pStyle w:val="BodyText"/>
        <w:spacing w:before="4"/>
        <w:ind w:left="0"/>
        <w:jc w:val="left"/>
        <w:rPr>
          <w:sz w:val="17"/>
        </w:rPr>
      </w:pPr>
    </w:p>
    <w:p>
      <w:pPr>
        <w:spacing w:after="0"/>
        <w:jc w:val="left"/>
        <w:rPr>
          <w:sz w:val="17"/>
        </w:rPr>
        <w:sectPr>
          <w:footerReference w:type="even" r:id="rId59"/>
          <w:pgSz w:w="8790" w:h="13610"/>
          <w:pgMar w:header="0" w:footer="0" w:top="1540" w:bottom="280" w:left="880" w:right="880"/>
        </w:sectPr>
      </w:pPr>
    </w:p>
    <w:p>
      <w:pPr>
        <w:spacing w:line="208" w:lineRule="auto" w:before="102"/>
        <w:ind w:left="2230" w:right="2076" w:hanging="1"/>
        <w:jc w:val="left"/>
        <w:rPr>
          <w:rFonts w:ascii="Minion Pro" w:hAnsi="Minion Pro"/>
          <w:b/>
          <w:sz w:val="22"/>
        </w:rPr>
      </w:pPr>
      <w:r>
        <w:rPr>
          <w:rFonts w:ascii="Minion Pro" w:hAnsi="Minion Pro"/>
          <w:b/>
          <w:color w:val="231F20"/>
          <w:w w:val="125"/>
          <w:sz w:val="22"/>
        </w:rPr>
        <w:t>Structures éditoriales </w:t>
      </w:r>
      <w:r>
        <w:rPr>
          <w:rFonts w:ascii="Minion Pro" w:hAnsi="Minion Pro"/>
          <w:b/>
          <w:color w:val="231F20"/>
          <w:w w:val="115"/>
          <w:sz w:val="22"/>
        </w:rPr>
        <w:t>du</w:t>
      </w:r>
      <w:r>
        <w:rPr>
          <w:rFonts w:ascii="Minion Pro" w:hAnsi="Minion Pro"/>
          <w:b/>
          <w:color w:val="231F20"/>
          <w:spacing w:val="5"/>
          <w:w w:val="115"/>
          <w:sz w:val="22"/>
        </w:rPr>
        <w:t> </w:t>
      </w:r>
      <w:r>
        <w:rPr>
          <w:rFonts w:ascii="Minion Pro" w:hAnsi="Minion Pro"/>
          <w:b/>
          <w:color w:val="231F20"/>
          <w:w w:val="115"/>
          <w:sz w:val="22"/>
        </w:rPr>
        <w:t>groupe</w:t>
      </w:r>
      <w:r>
        <w:rPr>
          <w:rFonts w:ascii="Minion Pro" w:hAnsi="Minion Pro"/>
          <w:b/>
          <w:color w:val="231F20"/>
          <w:spacing w:val="6"/>
          <w:w w:val="115"/>
          <w:sz w:val="22"/>
        </w:rPr>
        <w:t> </w:t>
      </w:r>
      <w:r>
        <w:rPr>
          <w:rFonts w:ascii="Minion Pro" w:hAnsi="Minion Pro"/>
          <w:b/>
          <w:color w:val="231F20"/>
          <w:spacing w:val="-2"/>
          <w:w w:val="115"/>
          <w:sz w:val="22"/>
        </w:rPr>
        <w:t>L’Harmattan</w:t>
      </w:r>
    </w:p>
    <w:p>
      <w:pPr>
        <w:spacing w:after="0" w:line="208" w:lineRule="auto"/>
        <w:jc w:val="left"/>
        <w:rPr>
          <w:rFonts w:ascii="Minion Pro" w:hAnsi="Minion Pro"/>
          <w:sz w:val="22"/>
        </w:rPr>
        <w:sectPr>
          <w:footerReference w:type="default" r:id="rId60"/>
          <w:pgSz w:w="8790" w:h="13610"/>
          <w:pgMar w:header="0" w:footer="0" w:top="1140" w:bottom="280" w:left="880" w:right="880"/>
        </w:sectPr>
      </w:pPr>
    </w:p>
    <w:p>
      <w:pPr>
        <w:pStyle w:val="BodyText"/>
        <w:ind w:left="0"/>
        <w:jc w:val="left"/>
        <w:rPr>
          <w:rFonts w:ascii="Minion Pro"/>
          <w:b/>
          <w:sz w:val="16"/>
        </w:rPr>
      </w:pPr>
    </w:p>
    <w:p>
      <w:pPr>
        <w:pStyle w:val="BodyText"/>
        <w:spacing w:before="42"/>
        <w:ind w:left="0"/>
        <w:jc w:val="left"/>
        <w:rPr>
          <w:rFonts w:ascii="Minion Pro"/>
          <w:b/>
          <w:sz w:val="16"/>
        </w:rPr>
      </w:pPr>
    </w:p>
    <w:p>
      <w:pPr>
        <w:spacing w:line="204" w:lineRule="exact" w:before="0"/>
        <w:ind w:left="0" w:right="0" w:firstLine="0"/>
        <w:jc w:val="right"/>
        <w:rPr>
          <w:rFonts w:ascii="Minion Pro" w:hAnsi="Minion Pro"/>
          <w:b/>
          <w:sz w:val="16"/>
        </w:rPr>
      </w:pPr>
      <w:r>
        <w:rPr>
          <w:rFonts w:ascii="Minion Pro" w:hAnsi="Minion Pro"/>
          <w:b/>
          <w:color w:val="231F20"/>
          <w:w w:val="115"/>
          <w:sz w:val="16"/>
        </w:rPr>
        <w:t>L’Harmattan</w:t>
      </w:r>
      <w:r>
        <w:rPr>
          <w:rFonts w:ascii="Minion Pro" w:hAnsi="Minion Pro"/>
          <w:b/>
          <w:color w:val="231F20"/>
          <w:spacing w:val="18"/>
          <w:w w:val="130"/>
          <w:sz w:val="16"/>
        </w:rPr>
        <w:t> </w:t>
      </w:r>
      <w:r>
        <w:rPr>
          <w:rFonts w:ascii="Minion Pro" w:hAnsi="Minion Pro"/>
          <w:b/>
          <w:color w:val="231F20"/>
          <w:spacing w:val="-2"/>
          <w:w w:val="130"/>
          <w:sz w:val="16"/>
        </w:rPr>
        <w:t>Italie</w:t>
      </w:r>
    </w:p>
    <w:p>
      <w:pPr>
        <w:spacing w:line="180" w:lineRule="exact" w:before="0"/>
        <w:ind w:left="0" w:right="0" w:firstLine="0"/>
        <w:jc w:val="right"/>
        <w:rPr>
          <w:rFonts w:ascii="Minion Pro"/>
          <w:sz w:val="16"/>
        </w:rPr>
      </w:pPr>
      <w:r>
        <w:rPr>
          <w:rFonts w:ascii="Minion Pro"/>
          <w:color w:val="231F20"/>
          <w:sz w:val="16"/>
        </w:rPr>
        <w:t>Via</w:t>
      </w:r>
      <w:r>
        <w:rPr>
          <w:rFonts w:ascii="Minion Pro"/>
          <w:color w:val="231F20"/>
          <w:spacing w:val="12"/>
          <w:sz w:val="16"/>
        </w:rPr>
        <w:t> </w:t>
      </w:r>
      <w:r>
        <w:rPr>
          <w:rFonts w:ascii="Minion Pro"/>
          <w:color w:val="231F20"/>
          <w:sz w:val="16"/>
        </w:rPr>
        <w:t>degli</w:t>
      </w:r>
      <w:r>
        <w:rPr>
          <w:rFonts w:ascii="Minion Pro"/>
          <w:color w:val="231F20"/>
          <w:spacing w:val="12"/>
          <w:sz w:val="16"/>
        </w:rPr>
        <w:t> </w:t>
      </w:r>
      <w:r>
        <w:rPr>
          <w:rFonts w:ascii="Minion Pro"/>
          <w:color w:val="231F20"/>
          <w:sz w:val="16"/>
        </w:rPr>
        <w:t>Artisti,</w:t>
      </w:r>
      <w:r>
        <w:rPr>
          <w:rFonts w:ascii="Minion Pro"/>
          <w:color w:val="231F20"/>
          <w:spacing w:val="12"/>
          <w:sz w:val="16"/>
        </w:rPr>
        <w:t> </w:t>
      </w:r>
      <w:r>
        <w:rPr>
          <w:rFonts w:ascii="Minion Pro"/>
          <w:color w:val="231F20"/>
          <w:spacing w:val="-7"/>
          <w:sz w:val="16"/>
        </w:rPr>
        <w:t>15</w:t>
      </w:r>
    </w:p>
    <w:p>
      <w:pPr>
        <w:spacing w:line="199" w:lineRule="auto" w:before="9"/>
        <w:ind w:left="1406" w:right="0" w:firstLine="1033"/>
        <w:jc w:val="right"/>
        <w:rPr>
          <w:rFonts w:ascii="Minion Pro"/>
          <w:sz w:val="16"/>
        </w:rPr>
      </w:pPr>
      <w:r>
        <w:rPr>
          <w:rFonts w:ascii="Minion Pro"/>
          <w:color w:val="231F20"/>
          <w:spacing w:val="-2"/>
          <w:sz w:val="16"/>
        </w:rPr>
        <w:t>10124</w:t>
      </w:r>
      <w:r>
        <w:rPr>
          <w:rFonts w:ascii="Minion Pro"/>
          <w:color w:val="231F20"/>
          <w:spacing w:val="-8"/>
          <w:sz w:val="16"/>
        </w:rPr>
        <w:t> </w:t>
      </w:r>
      <w:r>
        <w:rPr>
          <w:rFonts w:ascii="Minion Pro"/>
          <w:color w:val="231F20"/>
          <w:spacing w:val="-2"/>
          <w:sz w:val="16"/>
        </w:rPr>
        <w:t>Torino</w:t>
      </w:r>
      <w:r>
        <w:rPr>
          <w:rFonts w:ascii="Minion Pro"/>
          <w:color w:val="231F20"/>
          <w:spacing w:val="40"/>
          <w:sz w:val="16"/>
        </w:rPr>
        <w:t> </w:t>
      </w:r>
      <w:hyperlink r:id="rId61">
        <w:r>
          <w:rPr>
            <w:rFonts w:ascii="Minion Pro"/>
            <w:color w:val="231F20"/>
            <w:spacing w:val="-2"/>
            <w:sz w:val="16"/>
          </w:rPr>
          <w:t>harmattan.italia@gmail.com</w:t>
        </w:r>
      </w:hyperlink>
    </w:p>
    <w:p>
      <w:pPr>
        <w:spacing w:line="240" w:lineRule="auto" w:before="0"/>
        <w:rPr>
          <w:rFonts w:ascii="Minion Pro"/>
          <w:sz w:val="16"/>
        </w:rPr>
      </w:pPr>
      <w:r>
        <w:rPr/>
        <w:br w:type="column"/>
      </w:r>
      <w:r>
        <w:rPr>
          <w:rFonts w:ascii="Minion Pro"/>
          <w:sz w:val="16"/>
        </w:rPr>
      </w:r>
    </w:p>
    <w:p>
      <w:pPr>
        <w:pStyle w:val="BodyText"/>
        <w:spacing w:before="53"/>
        <w:ind w:left="0"/>
        <w:jc w:val="left"/>
        <w:rPr>
          <w:rFonts w:ascii="Minion Pro"/>
          <w:sz w:val="16"/>
        </w:rPr>
      </w:pPr>
    </w:p>
    <w:p>
      <w:pPr>
        <w:spacing w:line="204" w:lineRule="exact" w:before="0"/>
        <w:ind w:left="428" w:right="0" w:firstLine="0"/>
        <w:jc w:val="left"/>
        <w:rPr>
          <w:rFonts w:ascii="Minion Pro" w:hAnsi="Minion Pro"/>
          <w:b/>
          <w:sz w:val="16"/>
        </w:rPr>
      </w:pPr>
      <w:r>
        <w:rPr>
          <w:rFonts w:ascii="Minion Pro" w:hAnsi="Minion Pro"/>
          <w:b/>
          <w:color w:val="231F20"/>
          <w:w w:val="115"/>
          <w:sz w:val="16"/>
        </w:rPr>
        <w:t>L’Harmattan</w:t>
      </w:r>
      <w:r>
        <w:rPr>
          <w:rFonts w:ascii="Minion Pro" w:hAnsi="Minion Pro"/>
          <w:b/>
          <w:color w:val="231F20"/>
          <w:spacing w:val="22"/>
          <w:w w:val="120"/>
          <w:sz w:val="16"/>
        </w:rPr>
        <w:t> </w:t>
      </w:r>
      <w:r>
        <w:rPr>
          <w:rFonts w:ascii="Minion Pro" w:hAnsi="Minion Pro"/>
          <w:b/>
          <w:color w:val="231F20"/>
          <w:spacing w:val="-2"/>
          <w:w w:val="120"/>
          <w:sz w:val="16"/>
        </w:rPr>
        <w:t>Hongrie</w:t>
      </w:r>
    </w:p>
    <w:p>
      <w:pPr>
        <w:spacing w:line="199" w:lineRule="auto" w:before="9"/>
        <w:ind w:left="428" w:right="1763" w:firstLine="0"/>
        <w:jc w:val="left"/>
        <w:rPr>
          <w:rFonts w:ascii="Minion Pro"/>
          <w:sz w:val="16"/>
        </w:rPr>
      </w:pPr>
      <w:r>
        <w:rPr>
          <w:rFonts w:ascii="Minion Pro"/>
          <w:color w:val="231F20"/>
          <w:sz w:val="16"/>
        </w:rPr>
        <w:t>Kossuth</w:t>
      </w:r>
      <w:r>
        <w:rPr>
          <w:rFonts w:ascii="Minion Pro"/>
          <w:color w:val="231F20"/>
          <w:spacing w:val="-9"/>
          <w:sz w:val="16"/>
        </w:rPr>
        <w:t> </w:t>
      </w:r>
      <w:r>
        <w:rPr>
          <w:rFonts w:ascii="Minion Pro"/>
          <w:color w:val="231F20"/>
          <w:sz w:val="16"/>
        </w:rPr>
        <w:t>l.</w:t>
      </w:r>
      <w:r>
        <w:rPr>
          <w:rFonts w:ascii="Minion Pro"/>
          <w:color w:val="231F20"/>
          <w:spacing w:val="-9"/>
          <w:sz w:val="16"/>
        </w:rPr>
        <w:t> </w:t>
      </w:r>
      <w:r>
        <w:rPr>
          <w:rFonts w:ascii="Minion Pro"/>
          <w:color w:val="231F20"/>
          <w:sz w:val="16"/>
        </w:rPr>
        <w:t>u.</w:t>
      </w:r>
      <w:r>
        <w:rPr>
          <w:rFonts w:ascii="Minion Pro"/>
          <w:color w:val="231F20"/>
          <w:spacing w:val="-9"/>
          <w:sz w:val="16"/>
        </w:rPr>
        <w:t> </w:t>
      </w:r>
      <w:r>
        <w:rPr>
          <w:rFonts w:ascii="Minion Pro"/>
          <w:color w:val="231F20"/>
          <w:sz w:val="16"/>
        </w:rPr>
        <w:t>14-16.</w:t>
      </w:r>
      <w:r>
        <w:rPr>
          <w:rFonts w:ascii="Minion Pro"/>
          <w:color w:val="231F20"/>
          <w:spacing w:val="40"/>
          <w:sz w:val="16"/>
        </w:rPr>
        <w:t> </w:t>
      </w:r>
      <w:r>
        <w:rPr>
          <w:rFonts w:ascii="Minion Pro"/>
          <w:color w:val="231F20"/>
          <w:sz w:val="16"/>
        </w:rPr>
        <w:t>1053</w:t>
      </w:r>
      <w:r>
        <w:rPr>
          <w:rFonts w:ascii="Minion Pro"/>
          <w:color w:val="231F20"/>
          <w:spacing w:val="-4"/>
          <w:sz w:val="16"/>
        </w:rPr>
        <w:t> </w:t>
      </w:r>
      <w:r>
        <w:rPr>
          <w:rFonts w:ascii="Minion Pro"/>
          <w:color w:val="231F20"/>
          <w:sz w:val="16"/>
        </w:rPr>
        <w:t>Budapest</w:t>
      </w:r>
    </w:p>
    <w:p>
      <w:pPr>
        <w:spacing w:line="191" w:lineRule="exact" w:before="0"/>
        <w:ind w:left="428" w:right="0" w:firstLine="0"/>
        <w:jc w:val="left"/>
        <w:rPr>
          <w:rFonts w:ascii="Minion Pro"/>
          <w:sz w:val="16"/>
        </w:rPr>
      </w:pPr>
      <w:hyperlink r:id="rId62">
        <w:r>
          <w:rPr>
            <w:rFonts w:ascii="Minion Pro"/>
            <w:color w:val="231F20"/>
            <w:spacing w:val="-2"/>
            <w:sz w:val="16"/>
          </w:rPr>
          <w:t>harmattan@harmattan.hu</w:t>
        </w:r>
      </w:hyperlink>
    </w:p>
    <w:p>
      <w:pPr>
        <w:spacing w:after="0" w:line="191" w:lineRule="exact"/>
        <w:jc w:val="left"/>
        <w:rPr>
          <w:rFonts w:ascii="Minion Pro"/>
          <w:sz w:val="16"/>
        </w:rPr>
        <w:sectPr>
          <w:type w:val="continuous"/>
          <w:pgSz w:w="8790" w:h="13610"/>
          <w:pgMar w:header="0" w:footer="0" w:top="320" w:bottom="280" w:left="880" w:right="880"/>
          <w:cols w:num="2" w:equalWidth="0">
            <w:col w:w="3304" w:space="40"/>
            <w:col w:w="3686"/>
          </w:cols>
        </w:sectPr>
      </w:pPr>
    </w:p>
    <w:p>
      <w:pPr>
        <w:pStyle w:val="BodyText"/>
        <w:spacing w:before="237"/>
        <w:ind w:left="0"/>
        <w:jc w:val="left"/>
        <w:rPr>
          <w:rFonts w:ascii="Minion Pro"/>
          <w:sz w:val="20"/>
        </w:rPr>
      </w:pPr>
    </w:p>
    <w:p>
      <w:pPr>
        <w:pStyle w:val="BodyText"/>
        <w:spacing w:line="20" w:lineRule="exact"/>
        <w:ind w:left="3054"/>
        <w:jc w:val="left"/>
        <w:rPr>
          <w:rFonts w:ascii="Minion Pro"/>
          <w:sz w:val="2"/>
        </w:rPr>
      </w:pPr>
      <w:r>
        <w:rPr>
          <w:rFonts w:ascii="Minion Pro"/>
          <w:sz w:val="2"/>
        </w:rPr>
        <mc:AlternateContent>
          <mc:Choice Requires="wps">
            <w:drawing>
              <wp:inline distT="0" distB="0" distL="0" distR="0">
                <wp:extent cx="619760" cy="3175"/>
                <wp:effectExtent l="9525" t="0" r="0" b="6350"/>
                <wp:docPr id="202" name="Group 202"/>
                <wp:cNvGraphicFramePr>
                  <a:graphicFrameLocks/>
                </wp:cNvGraphicFramePr>
                <a:graphic>
                  <a:graphicData uri="http://schemas.microsoft.com/office/word/2010/wordprocessingGroup">
                    <wpg:wgp>
                      <wpg:cNvPr id="202" name="Group 202"/>
                      <wpg:cNvGrpSpPr/>
                      <wpg:grpSpPr>
                        <a:xfrm>
                          <a:off x="0" y="0"/>
                          <a:ext cx="619760" cy="3175"/>
                          <a:chExt cx="619760" cy="3175"/>
                        </a:xfrm>
                      </wpg:grpSpPr>
                      <wps:wsp>
                        <wps:cNvPr id="203" name="Graphic 203"/>
                        <wps:cNvSpPr/>
                        <wps:spPr>
                          <a:xfrm>
                            <a:off x="0" y="1587"/>
                            <a:ext cx="619760" cy="1270"/>
                          </a:xfrm>
                          <a:custGeom>
                            <a:avLst/>
                            <a:gdLst/>
                            <a:ahLst/>
                            <a:cxnLst/>
                            <a:rect l="l" t="t" r="r" b="b"/>
                            <a:pathLst>
                              <a:path w="619760" h="0">
                                <a:moveTo>
                                  <a:pt x="0" y="0"/>
                                </a:moveTo>
                                <a:lnTo>
                                  <a:pt x="619201" y="0"/>
                                </a:lnTo>
                              </a:path>
                            </a:pathLst>
                          </a:custGeom>
                          <a:ln w="317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8.8pt;height:.25pt;mso-position-horizontal-relative:char;mso-position-vertical-relative:line" id="docshapegroup200" coordorigin="0,0" coordsize="976,5">
                <v:line style="position:absolute" from="0,3" to="975,3" stroked="true" strokeweight=".25pt" strokecolor="#231f20">
                  <v:stroke dashstyle="solid"/>
                </v:line>
              </v:group>
            </w:pict>
          </mc:Fallback>
        </mc:AlternateContent>
      </w:r>
      <w:r>
        <w:rPr>
          <w:rFonts w:ascii="Minion Pro"/>
          <w:sz w:val="2"/>
        </w:rPr>
      </w:r>
    </w:p>
    <w:p>
      <w:pPr>
        <w:pStyle w:val="BodyText"/>
        <w:spacing w:before="32"/>
        <w:ind w:left="0"/>
        <w:jc w:val="left"/>
        <w:rPr>
          <w:rFonts w:ascii="Minion Pro"/>
          <w:sz w:val="20"/>
        </w:rPr>
      </w:pPr>
    </w:p>
    <w:p>
      <w:pPr>
        <w:spacing w:after="0"/>
        <w:jc w:val="left"/>
        <w:rPr>
          <w:rFonts w:ascii="Minion Pro"/>
          <w:sz w:val="20"/>
        </w:rPr>
        <w:sectPr>
          <w:type w:val="continuous"/>
          <w:pgSz w:w="8790" w:h="13610"/>
          <w:pgMar w:header="0" w:footer="0" w:top="320" w:bottom="280" w:left="880" w:right="880"/>
        </w:sectPr>
      </w:pPr>
    </w:p>
    <w:p>
      <w:pPr>
        <w:spacing w:line="199" w:lineRule="auto" w:before="128"/>
        <w:ind w:left="1566" w:right="3" w:firstLine="38"/>
        <w:jc w:val="right"/>
        <w:rPr>
          <w:rFonts w:ascii="Minion Pro" w:hAnsi="Minion Pro"/>
          <w:sz w:val="16"/>
        </w:rPr>
      </w:pPr>
      <w:r>
        <w:rPr>
          <w:rFonts w:ascii="Minion Pro" w:hAnsi="Minion Pro"/>
          <w:b/>
          <w:color w:val="231F20"/>
          <w:w w:val="105"/>
          <w:sz w:val="16"/>
        </w:rPr>
        <w:t>L’Harmattan</w:t>
      </w:r>
      <w:r>
        <w:rPr>
          <w:rFonts w:ascii="Minion Pro" w:hAnsi="Minion Pro"/>
          <w:b/>
          <w:color w:val="231F20"/>
          <w:spacing w:val="-8"/>
          <w:w w:val="105"/>
          <w:sz w:val="16"/>
        </w:rPr>
        <w:t> </w:t>
      </w:r>
      <w:r>
        <w:rPr>
          <w:rFonts w:ascii="Minion Pro" w:hAnsi="Minion Pro"/>
          <w:b/>
          <w:color w:val="231F20"/>
          <w:w w:val="105"/>
          <w:sz w:val="16"/>
        </w:rPr>
        <w:t>Sénégal</w:t>
      </w:r>
      <w:r>
        <w:rPr>
          <w:rFonts w:ascii="Minion Pro" w:hAnsi="Minion Pro"/>
          <w:b/>
          <w:color w:val="231F20"/>
          <w:spacing w:val="80"/>
          <w:w w:val="105"/>
          <w:sz w:val="16"/>
        </w:rPr>
        <w:t> </w:t>
      </w:r>
      <w:r>
        <w:rPr>
          <w:rFonts w:ascii="Minion Pro" w:hAnsi="Minion Pro"/>
          <w:color w:val="231F20"/>
          <w:w w:val="105"/>
          <w:sz w:val="16"/>
        </w:rPr>
        <w:t>10 VDN en face Mermoz</w:t>
      </w:r>
      <w:r>
        <w:rPr>
          <w:rFonts w:ascii="Minion Pro" w:hAnsi="Minion Pro"/>
          <w:color w:val="231F20"/>
          <w:spacing w:val="40"/>
          <w:w w:val="105"/>
          <w:sz w:val="16"/>
        </w:rPr>
        <w:t> </w:t>
      </w:r>
      <w:r>
        <w:rPr>
          <w:rFonts w:ascii="Minion Pro" w:hAnsi="Minion Pro"/>
          <w:color w:val="231F20"/>
          <w:w w:val="105"/>
          <w:sz w:val="16"/>
        </w:rPr>
        <w:t>BP 45034 Dakar-Fann</w:t>
      </w:r>
      <w:r>
        <w:rPr>
          <w:rFonts w:ascii="Minion Pro" w:hAnsi="Minion Pro"/>
          <w:color w:val="231F20"/>
          <w:spacing w:val="40"/>
          <w:w w:val="105"/>
          <w:sz w:val="16"/>
        </w:rPr>
        <w:t> </w:t>
      </w:r>
      <w:hyperlink r:id="rId63">
        <w:r>
          <w:rPr>
            <w:rFonts w:ascii="Minion Pro" w:hAnsi="Minion Pro"/>
            <w:color w:val="231F20"/>
            <w:spacing w:val="-2"/>
            <w:sz w:val="16"/>
          </w:rPr>
          <w:t>senharmattan@gmail.com</w:t>
        </w:r>
      </w:hyperlink>
    </w:p>
    <w:p>
      <w:pPr>
        <w:pStyle w:val="BodyText"/>
        <w:spacing w:before="20"/>
        <w:ind w:left="0"/>
        <w:jc w:val="left"/>
        <w:rPr>
          <w:rFonts w:ascii="Minion Pro"/>
          <w:sz w:val="16"/>
        </w:rPr>
      </w:pPr>
    </w:p>
    <w:p>
      <w:pPr>
        <w:spacing w:line="204" w:lineRule="exact" w:before="1"/>
        <w:ind w:left="0" w:right="4" w:firstLine="0"/>
        <w:jc w:val="right"/>
        <w:rPr>
          <w:rFonts w:ascii="Minion Pro" w:hAnsi="Minion Pro"/>
          <w:b/>
          <w:sz w:val="16"/>
        </w:rPr>
      </w:pPr>
      <w:r>
        <w:rPr>
          <w:rFonts w:ascii="Minion Pro" w:hAnsi="Minion Pro"/>
          <w:b/>
          <w:color w:val="231F20"/>
          <w:w w:val="115"/>
          <w:sz w:val="16"/>
        </w:rPr>
        <w:t>L’Harmattan</w:t>
      </w:r>
      <w:r>
        <w:rPr>
          <w:rFonts w:ascii="Minion Pro" w:hAnsi="Minion Pro"/>
          <w:b/>
          <w:color w:val="231F20"/>
          <w:spacing w:val="22"/>
          <w:w w:val="120"/>
          <w:sz w:val="16"/>
        </w:rPr>
        <w:t> </w:t>
      </w:r>
      <w:r>
        <w:rPr>
          <w:rFonts w:ascii="Minion Pro" w:hAnsi="Minion Pro"/>
          <w:b/>
          <w:color w:val="231F20"/>
          <w:spacing w:val="-2"/>
          <w:w w:val="120"/>
          <w:sz w:val="16"/>
        </w:rPr>
        <w:t>Cameroun</w:t>
      </w:r>
    </w:p>
    <w:p>
      <w:pPr>
        <w:spacing w:line="180" w:lineRule="exact" w:before="0"/>
        <w:ind w:left="1836" w:right="0" w:firstLine="0"/>
        <w:jc w:val="left"/>
        <w:rPr>
          <w:rFonts w:ascii="Minion Pro"/>
          <w:sz w:val="16"/>
        </w:rPr>
      </w:pPr>
      <w:r>
        <w:rPr>
          <w:rFonts w:ascii="Minion Pro"/>
          <w:color w:val="231F20"/>
          <w:spacing w:val="-2"/>
          <w:sz w:val="16"/>
        </w:rPr>
        <w:t>TSINGA/FECAFOOT</w:t>
      </w:r>
    </w:p>
    <w:p>
      <w:pPr>
        <w:spacing w:line="199" w:lineRule="auto" w:before="9"/>
        <w:ind w:left="1805" w:right="3" w:firstLine="296"/>
        <w:jc w:val="right"/>
        <w:rPr>
          <w:rFonts w:ascii="Minion Pro" w:hAnsi="Minion Pro"/>
          <w:sz w:val="16"/>
        </w:rPr>
      </w:pPr>
      <w:r>
        <w:rPr>
          <w:rFonts w:ascii="Minion Pro" w:hAnsi="Minion Pro"/>
          <w:color w:val="231F20"/>
          <w:sz w:val="16"/>
        </w:rPr>
        <w:t>BP</w:t>
      </w:r>
      <w:r>
        <w:rPr>
          <w:rFonts w:ascii="Minion Pro" w:hAnsi="Minion Pro"/>
          <w:color w:val="231F20"/>
          <w:spacing w:val="-10"/>
          <w:sz w:val="16"/>
        </w:rPr>
        <w:t> </w:t>
      </w:r>
      <w:r>
        <w:rPr>
          <w:rFonts w:ascii="Minion Pro" w:hAnsi="Minion Pro"/>
          <w:color w:val="231F20"/>
          <w:sz w:val="16"/>
        </w:rPr>
        <w:t>11486</w:t>
      </w:r>
      <w:r>
        <w:rPr>
          <w:rFonts w:ascii="Minion Pro" w:hAnsi="Minion Pro"/>
          <w:color w:val="231F20"/>
          <w:spacing w:val="-9"/>
          <w:sz w:val="16"/>
        </w:rPr>
        <w:t> </w:t>
      </w:r>
      <w:r>
        <w:rPr>
          <w:rFonts w:ascii="Minion Pro" w:hAnsi="Minion Pro"/>
          <w:color w:val="231F20"/>
          <w:sz w:val="16"/>
        </w:rPr>
        <w:t>Yaoundé</w:t>
      </w:r>
      <w:r>
        <w:rPr>
          <w:rFonts w:ascii="Minion Pro" w:hAnsi="Minion Pro"/>
          <w:color w:val="231F20"/>
          <w:spacing w:val="40"/>
          <w:sz w:val="16"/>
        </w:rPr>
        <w:t> </w:t>
      </w:r>
      <w:hyperlink r:id="rId64">
        <w:r>
          <w:rPr>
            <w:rFonts w:ascii="Minion Pro" w:hAnsi="Minion Pro"/>
            <w:color w:val="231F20"/>
            <w:spacing w:val="-2"/>
            <w:sz w:val="16"/>
          </w:rPr>
          <w:t>inkoukam@gmail.com</w:t>
        </w:r>
      </w:hyperlink>
    </w:p>
    <w:p>
      <w:pPr>
        <w:pStyle w:val="BodyText"/>
        <w:spacing w:before="18"/>
        <w:ind w:left="0"/>
        <w:jc w:val="left"/>
        <w:rPr>
          <w:rFonts w:ascii="Minion Pro"/>
          <w:sz w:val="16"/>
        </w:rPr>
      </w:pPr>
    </w:p>
    <w:p>
      <w:pPr>
        <w:spacing w:line="204" w:lineRule="exact" w:before="0"/>
        <w:ind w:left="0" w:right="3" w:firstLine="0"/>
        <w:jc w:val="right"/>
        <w:rPr>
          <w:rFonts w:ascii="Minion Pro" w:hAnsi="Minion Pro"/>
          <w:b/>
          <w:sz w:val="16"/>
        </w:rPr>
      </w:pPr>
      <w:r>
        <w:rPr>
          <w:rFonts w:ascii="Minion Pro" w:hAnsi="Minion Pro"/>
          <w:b/>
          <w:color w:val="231F20"/>
          <w:w w:val="115"/>
          <w:sz w:val="16"/>
        </w:rPr>
        <w:t>L’Harmattan</w:t>
      </w:r>
      <w:r>
        <w:rPr>
          <w:rFonts w:ascii="Minion Pro" w:hAnsi="Minion Pro"/>
          <w:b/>
          <w:color w:val="231F20"/>
          <w:spacing w:val="19"/>
          <w:w w:val="115"/>
          <w:sz w:val="16"/>
        </w:rPr>
        <w:t> </w:t>
      </w:r>
      <w:r>
        <w:rPr>
          <w:rFonts w:ascii="Minion Pro" w:hAnsi="Minion Pro"/>
          <w:b/>
          <w:color w:val="231F20"/>
          <w:w w:val="115"/>
          <w:sz w:val="16"/>
        </w:rPr>
        <w:t>Burkina</w:t>
      </w:r>
      <w:r>
        <w:rPr>
          <w:rFonts w:ascii="Minion Pro" w:hAnsi="Minion Pro"/>
          <w:b/>
          <w:color w:val="231F20"/>
          <w:spacing w:val="19"/>
          <w:w w:val="115"/>
          <w:sz w:val="16"/>
        </w:rPr>
        <w:t> </w:t>
      </w:r>
      <w:r>
        <w:rPr>
          <w:rFonts w:ascii="Minion Pro" w:hAnsi="Minion Pro"/>
          <w:b/>
          <w:color w:val="231F20"/>
          <w:spacing w:val="-4"/>
          <w:w w:val="115"/>
          <w:sz w:val="16"/>
        </w:rPr>
        <w:t>Faso</w:t>
      </w:r>
    </w:p>
    <w:p>
      <w:pPr>
        <w:spacing w:line="198" w:lineRule="exact" w:before="0"/>
        <w:ind w:left="0" w:right="3" w:firstLine="0"/>
        <w:jc w:val="right"/>
        <w:rPr>
          <w:rFonts w:ascii="Minion Pro" w:hAnsi="Minion Pro"/>
          <w:sz w:val="16"/>
        </w:rPr>
      </w:pPr>
      <w:r>
        <w:rPr>
          <w:rFonts w:ascii="Minion Pro" w:hAnsi="Minion Pro"/>
          <w:color w:val="231F20"/>
          <w:sz w:val="16"/>
        </w:rPr>
        <w:t>Achille</w:t>
      </w:r>
      <w:r>
        <w:rPr>
          <w:rFonts w:ascii="Minion Pro" w:hAnsi="Minion Pro"/>
          <w:color w:val="231F20"/>
          <w:spacing w:val="6"/>
          <w:sz w:val="16"/>
        </w:rPr>
        <w:t> </w:t>
      </w:r>
      <w:r>
        <w:rPr>
          <w:rFonts w:ascii="Minion Pro" w:hAnsi="Minion Pro"/>
          <w:color w:val="231F20"/>
          <w:sz w:val="16"/>
        </w:rPr>
        <w:t>Somé</w:t>
      </w:r>
      <w:r>
        <w:rPr>
          <w:rFonts w:ascii="Minion Pro" w:hAnsi="Minion Pro"/>
          <w:color w:val="231F20"/>
          <w:spacing w:val="6"/>
          <w:sz w:val="16"/>
        </w:rPr>
        <w:t> </w:t>
      </w:r>
      <w:r>
        <w:rPr>
          <w:rFonts w:ascii="Minion Pro" w:hAnsi="Minion Pro"/>
          <w:color w:val="231F20"/>
          <w:sz w:val="16"/>
        </w:rPr>
        <w:t>–</w:t>
      </w:r>
      <w:r>
        <w:rPr>
          <w:rFonts w:ascii="Minion Pro" w:hAnsi="Minion Pro"/>
          <w:color w:val="231F20"/>
          <w:spacing w:val="7"/>
          <w:sz w:val="16"/>
        </w:rPr>
        <w:t> </w:t>
      </w:r>
      <w:hyperlink r:id="rId65">
        <w:r>
          <w:rPr>
            <w:rFonts w:ascii="Minion Pro" w:hAnsi="Minion Pro"/>
            <w:color w:val="231F20"/>
            <w:spacing w:val="-2"/>
            <w:sz w:val="16"/>
          </w:rPr>
          <w:t>tengnule@hotmail.fr</w:t>
        </w:r>
      </w:hyperlink>
    </w:p>
    <w:p>
      <w:pPr>
        <w:pStyle w:val="BodyText"/>
        <w:spacing w:before="8"/>
        <w:ind w:left="0"/>
        <w:jc w:val="left"/>
        <w:rPr>
          <w:rFonts w:ascii="Minion Pro"/>
          <w:sz w:val="16"/>
        </w:rPr>
      </w:pPr>
    </w:p>
    <w:p>
      <w:pPr>
        <w:spacing w:line="204" w:lineRule="exact" w:before="0"/>
        <w:ind w:left="0" w:right="3" w:firstLine="0"/>
        <w:jc w:val="right"/>
        <w:rPr>
          <w:rFonts w:ascii="Minion Pro" w:hAnsi="Minion Pro"/>
          <w:b/>
          <w:sz w:val="16"/>
        </w:rPr>
      </w:pPr>
      <w:r>
        <w:rPr>
          <w:rFonts w:ascii="Minion Pro" w:hAnsi="Minion Pro"/>
          <w:b/>
          <w:color w:val="231F20"/>
          <w:w w:val="115"/>
          <w:sz w:val="16"/>
        </w:rPr>
        <w:t>L’Harmattan</w:t>
      </w:r>
      <w:r>
        <w:rPr>
          <w:rFonts w:ascii="Minion Pro" w:hAnsi="Minion Pro"/>
          <w:b/>
          <w:color w:val="231F20"/>
          <w:spacing w:val="24"/>
          <w:w w:val="115"/>
          <w:sz w:val="16"/>
        </w:rPr>
        <w:t> </w:t>
      </w:r>
      <w:r>
        <w:rPr>
          <w:rFonts w:ascii="Minion Pro" w:hAnsi="Minion Pro"/>
          <w:b/>
          <w:color w:val="231F20"/>
          <w:spacing w:val="-2"/>
          <w:w w:val="115"/>
          <w:sz w:val="16"/>
        </w:rPr>
        <w:t>Guinée</w:t>
      </w:r>
    </w:p>
    <w:p>
      <w:pPr>
        <w:spacing w:line="180" w:lineRule="exact" w:before="0"/>
        <w:ind w:left="0" w:right="3" w:firstLine="0"/>
        <w:jc w:val="right"/>
        <w:rPr>
          <w:rFonts w:ascii="Minion Pro"/>
          <w:sz w:val="16"/>
        </w:rPr>
      </w:pPr>
      <w:r>
        <w:rPr>
          <w:rFonts w:ascii="Minion Pro"/>
          <w:color w:val="231F20"/>
          <w:sz w:val="16"/>
        </w:rPr>
        <w:t>Almamya,</w:t>
      </w:r>
      <w:r>
        <w:rPr>
          <w:rFonts w:ascii="Minion Pro"/>
          <w:color w:val="231F20"/>
          <w:spacing w:val="8"/>
          <w:sz w:val="16"/>
        </w:rPr>
        <w:t> </w:t>
      </w:r>
      <w:r>
        <w:rPr>
          <w:rFonts w:ascii="Minion Pro"/>
          <w:color w:val="231F20"/>
          <w:sz w:val="16"/>
        </w:rPr>
        <w:t>rue</w:t>
      </w:r>
      <w:r>
        <w:rPr>
          <w:rFonts w:ascii="Minion Pro"/>
          <w:color w:val="231F20"/>
          <w:spacing w:val="8"/>
          <w:sz w:val="16"/>
        </w:rPr>
        <w:t> </w:t>
      </w:r>
      <w:r>
        <w:rPr>
          <w:rFonts w:ascii="Minion Pro"/>
          <w:color w:val="231F20"/>
          <w:sz w:val="16"/>
        </w:rPr>
        <w:t>KA</w:t>
      </w:r>
      <w:r>
        <w:rPr>
          <w:rFonts w:ascii="Minion Pro"/>
          <w:color w:val="231F20"/>
          <w:spacing w:val="9"/>
          <w:sz w:val="16"/>
        </w:rPr>
        <w:t> </w:t>
      </w:r>
      <w:r>
        <w:rPr>
          <w:rFonts w:ascii="Minion Pro"/>
          <w:color w:val="231F20"/>
          <w:sz w:val="16"/>
        </w:rPr>
        <w:t>028</w:t>
      </w:r>
      <w:r>
        <w:rPr>
          <w:rFonts w:ascii="Minion Pro"/>
          <w:color w:val="231F20"/>
          <w:spacing w:val="7"/>
          <w:sz w:val="16"/>
        </w:rPr>
        <w:t> </w:t>
      </w:r>
      <w:r>
        <w:rPr>
          <w:rFonts w:ascii="Minion Pro"/>
          <w:color w:val="231F20"/>
          <w:sz w:val="16"/>
        </w:rPr>
        <w:t>OKB</w:t>
      </w:r>
      <w:r>
        <w:rPr>
          <w:rFonts w:ascii="Minion Pro"/>
          <w:color w:val="231F20"/>
          <w:spacing w:val="8"/>
          <w:sz w:val="16"/>
        </w:rPr>
        <w:t> </w:t>
      </w:r>
      <w:r>
        <w:rPr>
          <w:rFonts w:ascii="Minion Pro"/>
          <w:color w:val="231F20"/>
          <w:spacing w:val="-2"/>
          <w:sz w:val="16"/>
        </w:rPr>
        <w:t>Agency</w:t>
      </w:r>
    </w:p>
    <w:p>
      <w:pPr>
        <w:spacing w:line="199" w:lineRule="auto" w:before="9"/>
        <w:ind w:left="1484" w:right="3" w:firstLine="678"/>
        <w:jc w:val="right"/>
        <w:rPr>
          <w:rFonts w:ascii="Minion Pro"/>
          <w:sz w:val="16"/>
        </w:rPr>
      </w:pPr>
      <w:r>
        <w:rPr>
          <w:rFonts w:ascii="Minion Pro"/>
          <w:color w:val="231F20"/>
          <w:sz w:val="16"/>
        </w:rPr>
        <w:t>BP</w:t>
      </w:r>
      <w:r>
        <w:rPr>
          <w:rFonts w:ascii="Minion Pro"/>
          <w:color w:val="231F20"/>
          <w:spacing w:val="-5"/>
          <w:sz w:val="16"/>
        </w:rPr>
        <w:t> </w:t>
      </w:r>
      <w:r>
        <w:rPr>
          <w:rFonts w:ascii="Minion Pro"/>
          <w:color w:val="231F20"/>
          <w:sz w:val="16"/>
        </w:rPr>
        <w:t>3470</w:t>
      </w:r>
      <w:r>
        <w:rPr>
          <w:rFonts w:ascii="Minion Pro"/>
          <w:color w:val="231F20"/>
          <w:spacing w:val="-4"/>
          <w:sz w:val="16"/>
        </w:rPr>
        <w:t> </w:t>
      </w:r>
      <w:r>
        <w:rPr>
          <w:rFonts w:ascii="Minion Pro"/>
          <w:color w:val="231F20"/>
          <w:sz w:val="16"/>
        </w:rPr>
        <w:t>Conakry</w:t>
      </w:r>
      <w:r>
        <w:rPr>
          <w:rFonts w:ascii="Minion Pro"/>
          <w:color w:val="231F20"/>
          <w:spacing w:val="40"/>
          <w:sz w:val="16"/>
        </w:rPr>
        <w:t> </w:t>
      </w:r>
      <w:hyperlink r:id="rId66">
        <w:r>
          <w:rPr>
            <w:rFonts w:ascii="Minion Pro"/>
            <w:color w:val="231F20"/>
            <w:spacing w:val="-2"/>
            <w:sz w:val="16"/>
          </w:rPr>
          <w:t>harmattanguinee@yahoo.fr</w:t>
        </w:r>
      </w:hyperlink>
    </w:p>
    <w:p>
      <w:pPr>
        <w:pStyle w:val="BodyText"/>
        <w:spacing w:before="18"/>
        <w:ind w:left="0"/>
        <w:jc w:val="left"/>
        <w:rPr>
          <w:rFonts w:ascii="Minion Pro"/>
          <w:sz w:val="16"/>
        </w:rPr>
      </w:pPr>
    </w:p>
    <w:p>
      <w:pPr>
        <w:spacing w:line="204" w:lineRule="exact" w:before="0"/>
        <w:ind w:left="1893" w:right="0" w:firstLine="0"/>
        <w:jc w:val="left"/>
        <w:rPr>
          <w:rFonts w:ascii="Minion Pro" w:hAnsi="Minion Pro"/>
          <w:b/>
          <w:sz w:val="16"/>
        </w:rPr>
      </w:pPr>
      <w:r>
        <w:rPr>
          <w:rFonts w:ascii="Minion Pro" w:hAnsi="Minion Pro"/>
          <w:b/>
          <w:color w:val="231F20"/>
          <w:w w:val="115"/>
          <w:sz w:val="16"/>
        </w:rPr>
        <w:t>L’Harmattan</w:t>
      </w:r>
      <w:r>
        <w:rPr>
          <w:rFonts w:ascii="Minion Pro" w:hAnsi="Minion Pro"/>
          <w:b/>
          <w:color w:val="231F20"/>
          <w:spacing w:val="24"/>
          <w:w w:val="115"/>
          <w:sz w:val="16"/>
        </w:rPr>
        <w:t> </w:t>
      </w:r>
      <w:r>
        <w:rPr>
          <w:rFonts w:ascii="Minion Pro" w:hAnsi="Minion Pro"/>
          <w:b/>
          <w:color w:val="231F20"/>
          <w:spacing w:val="-5"/>
          <w:sz w:val="16"/>
        </w:rPr>
        <w:t>RDC</w:t>
      </w:r>
    </w:p>
    <w:p>
      <w:pPr>
        <w:spacing w:line="199" w:lineRule="auto" w:before="9"/>
        <w:ind w:left="1012" w:right="0" w:firstLine="890"/>
        <w:jc w:val="right"/>
        <w:rPr>
          <w:rFonts w:ascii="Minion Pro" w:hAnsi="Minion Pro"/>
          <w:sz w:val="16"/>
        </w:rPr>
      </w:pPr>
      <w:r>
        <w:rPr>
          <w:rFonts w:ascii="Minion Pro" w:hAnsi="Minion Pro"/>
          <w:color w:val="231F20"/>
          <w:sz w:val="16"/>
        </w:rPr>
        <w:t>185,</w:t>
      </w:r>
      <w:r>
        <w:rPr>
          <w:rFonts w:ascii="Minion Pro" w:hAnsi="Minion Pro"/>
          <w:color w:val="231F20"/>
          <w:spacing w:val="-10"/>
          <w:sz w:val="16"/>
        </w:rPr>
        <w:t> </w:t>
      </w:r>
      <w:r>
        <w:rPr>
          <w:rFonts w:ascii="Minion Pro" w:hAnsi="Minion Pro"/>
          <w:color w:val="231F20"/>
          <w:sz w:val="16"/>
        </w:rPr>
        <w:t>avenue</w:t>
      </w:r>
      <w:r>
        <w:rPr>
          <w:rFonts w:ascii="Minion Pro" w:hAnsi="Minion Pro"/>
          <w:color w:val="231F20"/>
          <w:spacing w:val="-9"/>
          <w:sz w:val="16"/>
        </w:rPr>
        <w:t> </w:t>
      </w:r>
      <w:r>
        <w:rPr>
          <w:rFonts w:ascii="Minion Pro" w:hAnsi="Minion Pro"/>
          <w:color w:val="231F20"/>
          <w:sz w:val="16"/>
        </w:rPr>
        <w:t>Nyangwe</w:t>
      </w:r>
      <w:r>
        <w:rPr>
          <w:rFonts w:ascii="Minion Pro" w:hAnsi="Minion Pro"/>
          <w:color w:val="231F20"/>
          <w:spacing w:val="40"/>
          <w:sz w:val="16"/>
        </w:rPr>
        <w:t> </w:t>
      </w:r>
      <w:r>
        <w:rPr>
          <w:rFonts w:ascii="Minion Pro" w:hAnsi="Minion Pro"/>
          <w:color w:val="231F20"/>
          <w:sz w:val="16"/>
        </w:rPr>
        <w:t>Commune de Lingwala – Kinshasa</w:t>
      </w:r>
      <w:r>
        <w:rPr>
          <w:rFonts w:ascii="Minion Pro" w:hAnsi="Minion Pro"/>
          <w:color w:val="231F20"/>
          <w:spacing w:val="40"/>
          <w:sz w:val="16"/>
        </w:rPr>
        <w:t> </w:t>
      </w:r>
      <w:hyperlink r:id="rId67">
        <w:r>
          <w:rPr>
            <w:rFonts w:ascii="Minion Pro" w:hAnsi="Minion Pro"/>
            <w:color w:val="231F20"/>
            <w:spacing w:val="-2"/>
            <w:sz w:val="16"/>
          </w:rPr>
          <w:t>matangilamusadila@yahoo.fr</w:t>
        </w:r>
      </w:hyperlink>
    </w:p>
    <w:p>
      <w:pPr>
        <w:spacing w:line="199" w:lineRule="auto" w:before="129"/>
        <w:ind w:left="413" w:right="1406" w:firstLine="0"/>
        <w:jc w:val="left"/>
        <w:rPr>
          <w:rFonts w:ascii="Minion Pro" w:hAnsi="Minion Pro"/>
          <w:sz w:val="16"/>
        </w:rPr>
      </w:pPr>
      <w:r>
        <w:rPr/>
        <w:br w:type="column"/>
      </w:r>
      <w:r>
        <w:rPr>
          <w:rFonts w:ascii="Minion Pro" w:hAnsi="Minion Pro"/>
          <w:b/>
          <w:color w:val="231F20"/>
          <w:w w:val="105"/>
          <w:sz w:val="16"/>
        </w:rPr>
        <w:t>L’Harmattan</w:t>
      </w:r>
      <w:r>
        <w:rPr>
          <w:rFonts w:ascii="Minion Pro" w:hAnsi="Minion Pro"/>
          <w:b/>
          <w:color w:val="231F20"/>
          <w:spacing w:val="67"/>
          <w:w w:val="150"/>
          <w:sz w:val="16"/>
        </w:rPr>
        <w:t> </w:t>
      </w:r>
      <w:r>
        <w:rPr>
          <w:rFonts w:ascii="Minion Pro" w:hAnsi="Minion Pro"/>
          <w:b/>
          <w:color w:val="231F20"/>
          <w:w w:val="105"/>
          <w:sz w:val="16"/>
        </w:rPr>
        <w:t>Congo</w:t>
      </w:r>
      <w:r>
        <w:rPr>
          <w:rFonts w:ascii="Minion Pro" w:hAnsi="Minion Pro"/>
          <w:b/>
          <w:color w:val="231F20"/>
          <w:spacing w:val="80"/>
          <w:w w:val="150"/>
          <w:sz w:val="16"/>
        </w:rPr>
        <w:t> </w:t>
      </w:r>
      <w:r>
        <w:rPr>
          <w:rFonts w:ascii="Minion Pro" w:hAnsi="Minion Pro"/>
          <w:color w:val="231F20"/>
          <w:sz w:val="16"/>
        </w:rPr>
        <w:t>219,</w:t>
      </w:r>
      <w:r>
        <w:rPr>
          <w:rFonts w:ascii="Minion Pro" w:hAnsi="Minion Pro"/>
          <w:color w:val="231F20"/>
          <w:spacing w:val="-10"/>
          <w:sz w:val="16"/>
        </w:rPr>
        <w:t> </w:t>
      </w:r>
      <w:r>
        <w:rPr>
          <w:rFonts w:ascii="Minion Pro" w:hAnsi="Minion Pro"/>
          <w:color w:val="231F20"/>
          <w:sz w:val="16"/>
        </w:rPr>
        <w:t>avenue</w:t>
      </w:r>
      <w:r>
        <w:rPr>
          <w:rFonts w:ascii="Minion Pro" w:hAnsi="Minion Pro"/>
          <w:color w:val="231F20"/>
          <w:spacing w:val="-9"/>
          <w:sz w:val="16"/>
        </w:rPr>
        <w:t> </w:t>
      </w:r>
      <w:r>
        <w:rPr>
          <w:rFonts w:ascii="Minion Pro" w:hAnsi="Minion Pro"/>
          <w:color w:val="231F20"/>
          <w:sz w:val="16"/>
        </w:rPr>
        <w:t>Nelson</w:t>
      </w:r>
      <w:r>
        <w:rPr>
          <w:rFonts w:ascii="Minion Pro" w:hAnsi="Minion Pro"/>
          <w:color w:val="231F20"/>
          <w:spacing w:val="-9"/>
          <w:sz w:val="16"/>
        </w:rPr>
        <w:t> </w:t>
      </w:r>
      <w:r>
        <w:rPr>
          <w:rFonts w:ascii="Minion Pro" w:hAnsi="Minion Pro"/>
          <w:color w:val="231F20"/>
          <w:sz w:val="16"/>
        </w:rPr>
        <w:t>Mandela</w:t>
      </w:r>
      <w:r>
        <w:rPr>
          <w:rFonts w:ascii="Minion Pro" w:hAnsi="Minion Pro"/>
          <w:color w:val="231F20"/>
          <w:spacing w:val="40"/>
          <w:w w:val="105"/>
          <w:sz w:val="16"/>
        </w:rPr>
        <w:t> </w:t>
      </w:r>
      <w:r>
        <w:rPr>
          <w:rFonts w:ascii="Minion Pro" w:hAnsi="Minion Pro"/>
          <w:color w:val="231F20"/>
          <w:w w:val="105"/>
          <w:sz w:val="16"/>
        </w:rPr>
        <w:t>BP 2874 Brazzaville</w:t>
      </w:r>
      <w:r>
        <w:rPr>
          <w:rFonts w:ascii="Minion Pro" w:hAnsi="Minion Pro"/>
          <w:color w:val="231F20"/>
          <w:spacing w:val="40"/>
          <w:w w:val="105"/>
          <w:sz w:val="16"/>
        </w:rPr>
        <w:t> </w:t>
      </w:r>
      <w:hyperlink r:id="rId68">
        <w:r>
          <w:rPr>
            <w:rFonts w:ascii="Minion Pro" w:hAnsi="Minion Pro"/>
            <w:color w:val="231F20"/>
            <w:spacing w:val="-2"/>
            <w:sz w:val="16"/>
          </w:rPr>
          <w:t>harmattan.congo@yahoo.fr</w:t>
        </w:r>
      </w:hyperlink>
    </w:p>
    <w:p>
      <w:pPr>
        <w:pStyle w:val="BodyText"/>
        <w:spacing w:before="48"/>
        <w:ind w:left="0"/>
        <w:jc w:val="left"/>
        <w:rPr>
          <w:rFonts w:ascii="Minion Pro"/>
          <w:sz w:val="16"/>
        </w:rPr>
      </w:pPr>
    </w:p>
    <w:p>
      <w:pPr>
        <w:spacing w:line="204" w:lineRule="exact" w:before="0"/>
        <w:ind w:left="413" w:right="0" w:firstLine="0"/>
        <w:jc w:val="left"/>
        <w:rPr>
          <w:rFonts w:ascii="Minion Pro" w:hAnsi="Minion Pro"/>
          <w:b/>
          <w:sz w:val="16"/>
        </w:rPr>
      </w:pPr>
      <w:r>
        <w:rPr>
          <w:rFonts w:ascii="Minion Pro" w:hAnsi="Minion Pro"/>
          <w:b/>
          <w:color w:val="231F20"/>
          <w:w w:val="115"/>
          <w:sz w:val="16"/>
        </w:rPr>
        <w:t>L’Harmattan</w:t>
      </w:r>
      <w:r>
        <w:rPr>
          <w:rFonts w:ascii="Minion Pro" w:hAnsi="Minion Pro"/>
          <w:b/>
          <w:color w:val="231F20"/>
          <w:spacing w:val="20"/>
          <w:w w:val="125"/>
          <w:sz w:val="16"/>
        </w:rPr>
        <w:t> </w:t>
      </w:r>
      <w:r>
        <w:rPr>
          <w:rFonts w:ascii="Minion Pro" w:hAnsi="Minion Pro"/>
          <w:b/>
          <w:color w:val="231F20"/>
          <w:spacing w:val="-4"/>
          <w:w w:val="125"/>
          <w:sz w:val="16"/>
        </w:rPr>
        <w:t>Mali</w:t>
      </w:r>
    </w:p>
    <w:p>
      <w:pPr>
        <w:spacing w:line="199" w:lineRule="auto" w:before="9"/>
        <w:ind w:left="413" w:right="36" w:firstLine="0"/>
        <w:jc w:val="left"/>
        <w:rPr>
          <w:rFonts w:ascii="Minion Pro"/>
          <w:sz w:val="16"/>
        </w:rPr>
      </w:pPr>
      <w:r>
        <w:rPr>
          <w:rFonts w:ascii="Minion Pro"/>
          <w:color w:val="231F20"/>
          <w:sz w:val="16"/>
        </w:rPr>
        <w:t>ACI</w:t>
      </w:r>
      <w:r>
        <w:rPr>
          <w:rFonts w:ascii="Minion Pro"/>
          <w:color w:val="231F20"/>
          <w:spacing w:val="-6"/>
          <w:sz w:val="16"/>
        </w:rPr>
        <w:t> </w:t>
      </w:r>
      <w:r>
        <w:rPr>
          <w:rFonts w:ascii="Minion Pro"/>
          <w:color w:val="231F20"/>
          <w:sz w:val="16"/>
        </w:rPr>
        <w:t>2000</w:t>
      </w:r>
      <w:r>
        <w:rPr>
          <w:rFonts w:ascii="Minion Pro"/>
          <w:color w:val="231F20"/>
          <w:spacing w:val="-6"/>
          <w:sz w:val="16"/>
        </w:rPr>
        <w:t> </w:t>
      </w:r>
      <w:r>
        <w:rPr>
          <w:rFonts w:ascii="Minion Pro"/>
          <w:color w:val="231F20"/>
          <w:sz w:val="16"/>
        </w:rPr>
        <w:t>-</w:t>
      </w:r>
      <w:r>
        <w:rPr>
          <w:rFonts w:ascii="Minion Pro"/>
          <w:color w:val="231F20"/>
          <w:spacing w:val="-6"/>
          <w:sz w:val="16"/>
        </w:rPr>
        <w:t> </w:t>
      </w:r>
      <w:r>
        <w:rPr>
          <w:rFonts w:ascii="Minion Pro"/>
          <w:color w:val="231F20"/>
          <w:sz w:val="16"/>
        </w:rPr>
        <w:t>Immeuble</w:t>
      </w:r>
      <w:r>
        <w:rPr>
          <w:rFonts w:ascii="Minion Pro"/>
          <w:color w:val="231F20"/>
          <w:spacing w:val="-6"/>
          <w:sz w:val="16"/>
        </w:rPr>
        <w:t> </w:t>
      </w:r>
      <w:r>
        <w:rPr>
          <w:rFonts w:ascii="Minion Pro"/>
          <w:color w:val="231F20"/>
          <w:sz w:val="16"/>
        </w:rPr>
        <w:t>Mgr</w:t>
      </w:r>
      <w:r>
        <w:rPr>
          <w:rFonts w:ascii="Minion Pro"/>
          <w:color w:val="231F20"/>
          <w:spacing w:val="-6"/>
          <w:sz w:val="16"/>
        </w:rPr>
        <w:t> </w:t>
      </w:r>
      <w:r>
        <w:rPr>
          <w:rFonts w:ascii="Minion Pro"/>
          <w:color w:val="231F20"/>
          <w:sz w:val="16"/>
        </w:rPr>
        <w:t>Jean</w:t>
      </w:r>
      <w:r>
        <w:rPr>
          <w:rFonts w:ascii="Minion Pro"/>
          <w:color w:val="231F20"/>
          <w:spacing w:val="-6"/>
          <w:sz w:val="16"/>
        </w:rPr>
        <w:t> </w:t>
      </w:r>
      <w:r>
        <w:rPr>
          <w:rFonts w:ascii="Minion Pro"/>
          <w:color w:val="231F20"/>
          <w:sz w:val="16"/>
        </w:rPr>
        <w:t>Marie</w:t>
      </w:r>
      <w:r>
        <w:rPr>
          <w:rFonts w:ascii="Minion Pro"/>
          <w:color w:val="231F20"/>
          <w:spacing w:val="-6"/>
          <w:sz w:val="16"/>
        </w:rPr>
        <w:t> </w:t>
      </w:r>
      <w:r>
        <w:rPr>
          <w:rFonts w:ascii="Minion Pro"/>
          <w:color w:val="231F20"/>
          <w:sz w:val="16"/>
        </w:rPr>
        <w:t>Cisse</w:t>
      </w:r>
      <w:r>
        <w:rPr>
          <w:rFonts w:ascii="Minion Pro"/>
          <w:color w:val="231F20"/>
          <w:spacing w:val="40"/>
          <w:sz w:val="16"/>
        </w:rPr>
        <w:t> </w:t>
      </w:r>
      <w:r>
        <w:rPr>
          <w:rFonts w:ascii="Minion Pro"/>
          <w:color w:val="231F20"/>
          <w:sz w:val="16"/>
        </w:rPr>
        <w:t>Bureau</w:t>
      </w:r>
      <w:r>
        <w:rPr>
          <w:rFonts w:ascii="Minion Pro"/>
          <w:color w:val="231F20"/>
          <w:spacing w:val="-4"/>
          <w:sz w:val="16"/>
        </w:rPr>
        <w:t> </w:t>
      </w:r>
      <w:r>
        <w:rPr>
          <w:rFonts w:ascii="Minion Pro"/>
          <w:color w:val="231F20"/>
          <w:sz w:val="16"/>
        </w:rPr>
        <w:t>10</w:t>
      </w:r>
    </w:p>
    <w:p>
      <w:pPr>
        <w:spacing w:line="199" w:lineRule="auto" w:before="2"/>
        <w:ind w:left="413" w:right="1406" w:firstLine="0"/>
        <w:jc w:val="left"/>
        <w:rPr>
          <w:rFonts w:ascii="Minion Pro"/>
          <w:sz w:val="16"/>
        </w:rPr>
      </w:pPr>
      <w:r>
        <w:rPr>
          <w:rFonts w:ascii="Minion Pro"/>
          <w:color w:val="231F20"/>
          <w:sz w:val="16"/>
        </w:rPr>
        <w:t>BP</w:t>
      </w:r>
      <w:r>
        <w:rPr>
          <w:rFonts w:ascii="Minion Pro"/>
          <w:color w:val="231F20"/>
          <w:spacing w:val="-4"/>
          <w:sz w:val="16"/>
        </w:rPr>
        <w:t> </w:t>
      </w:r>
      <w:r>
        <w:rPr>
          <w:rFonts w:ascii="Minion Pro"/>
          <w:color w:val="231F20"/>
          <w:sz w:val="16"/>
        </w:rPr>
        <w:t>145</w:t>
      </w:r>
      <w:r>
        <w:rPr>
          <w:rFonts w:ascii="Minion Pro"/>
          <w:color w:val="231F20"/>
          <w:spacing w:val="-4"/>
          <w:sz w:val="16"/>
        </w:rPr>
        <w:t> </w:t>
      </w:r>
      <w:r>
        <w:rPr>
          <w:rFonts w:ascii="Minion Pro"/>
          <w:color w:val="231F20"/>
          <w:sz w:val="16"/>
        </w:rPr>
        <w:t>Bamako-Mali</w:t>
      </w:r>
      <w:r>
        <w:rPr>
          <w:rFonts w:ascii="Minion Pro"/>
          <w:color w:val="231F20"/>
          <w:spacing w:val="40"/>
          <w:sz w:val="16"/>
        </w:rPr>
        <w:t> </w:t>
      </w:r>
      <w:hyperlink r:id="rId69">
        <w:r>
          <w:rPr>
            <w:rFonts w:ascii="Minion Pro"/>
            <w:color w:val="231F20"/>
            <w:spacing w:val="-2"/>
            <w:sz w:val="16"/>
          </w:rPr>
          <w:t>mali@harmattan.fr</w:t>
        </w:r>
      </w:hyperlink>
    </w:p>
    <w:p>
      <w:pPr>
        <w:pStyle w:val="BodyText"/>
        <w:spacing w:before="74"/>
        <w:ind w:left="0"/>
        <w:jc w:val="left"/>
        <w:rPr>
          <w:rFonts w:ascii="Minion Pro"/>
          <w:sz w:val="16"/>
        </w:rPr>
      </w:pPr>
    </w:p>
    <w:p>
      <w:pPr>
        <w:spacing w:line="199" w:lineRule="auto" w:before="0"/>
        <w:ind w:left="413" w:right="1602" w:firstLine="0"/>
        <w:jc w:val="left"/>
        <w:rPr>
          <w:rFonts w:ascii="Minion Pro" w:hAnsi="Minion Pro"/>
          <w:sz w:val="16"/>
        </w:rPr>
      </w:pPr>
      <w:r>
        <w:rPr>
          <w:rFonts w:ascii="Minion Pro" w:hAnsi="Minion Pro"/>
          <w:b/>
          <w:color w:val="231F20"/>
          <w:w w:val="110"/>
          <w:sz w:val="16"/>
        </w:rPr>
        <w:t>L’Harmattan</w:t>
      </w:r>
      <w:r>
        <w:rPr>
          <w:rFonts w:ascii="Minion Pro" w:hAnsi="Minion Pro"/>
          <w:b/>
          <w:color w:val="231F20"/>
          <w:spacing w:val="-9"/>
          <w:w w:val="110"/>
          <w:sz w:val="16"/>
        </w:rPr>
        <w:t> </w:t>
      </w:r>
      <w:r>
        <w:rPr>
          <w:rFonts w:ascii="Minion Pro" w:hAnsi="Minion Pro"/>
          <w:b/>
          <w:color w:val="231F20"/>
          <w:w w:val="110"/>
          <w:sz w:val="16"/>
        </w:rPr>
        <w:t>Togo</w:t>
      </w:r>
      <w:r>
        <w:rPr>
          <w:rFonts w:ascii="Minion Pro" w:hAnsi="Minion Pro"/>
          <w:b/>
          <w:color w:val="231F20"/>
          <w:spacing w:val="40"/>
          <w:w w:val="110"/>
          <w:sz w:val="16"/>
        </w:rPr>
        <w:t> </w:t>
      </w:r>
      <w:r>
        <w:rPr>
          <w:rFonts w:ascii="Minion Pro" w:hAnsi="Minion Pro"/>
          <w:color w:val="231F20"/>
          <w:w w:val="110"/>
          <w:sz w:val="16"/>
        </w:rPr>
        <w:t>Djidjole – Lomé</w:t>
      </w:r>
      <w:r>
        <w:rPr>
          <w:rFonts w:ascii="Minion Pro" w:hAnsi="Minion Pro"/>
          <w:color w:val="231F20"/>
          <w:spacing w:val="40"/>
          <w:w w:val="110"/>
          <w:sz w:val="16"/>
        </w:rPr>
        <w:t> </w:t>
      </w:r>
      <w:r>
        <w:rPr>
          <w:rFonts w:ascii="Minion Pro" w:hAnsi="Minion Pro"/>
          <w:color w:val="231F20"/>
          <w:w w:val="110"/>
          <w:sz w:val="16"/>
        </w:rPr>
        <w:t>Maison</w:t>
      </w:r>
      <w:r>
        <w:rPr>
          <w:rFonts w:ascii="Minion Pro" w:hAnsi="Minion Pro"/>
          <w:color w:val="231F20"/>
          <w:spacing w:val="-8"/>
          <w:w w:val="110"/>
          <w:sz w:val="16"/>
        </w:rPr>
        <w:t> </w:t>
      </w:r>
      <w:r>
        <w:rPr>
          <w:rFonts w:ascii="Minion Pro" w:hAnsi="Minion Pro"/>
          <w:color w:val="231F20"/>
          <w:w w:val="110"/>
          <w:sz w:val="16"/>
        </w:rPr>
        <w:t>Amela</w:t>
      </w:r>
    </w:p>
    <w:p>
      <w:pPr>
        <w:spacing w:line="199" w:lineRule="auto" w:before="3"/>
        <w:ind w:left="413" w:right="1406" w:firstLine="0"/>
        <w:jc w:val="left"/>
        <w:rPr>
          <w:rFonts w:ascii="Minion Pro"/>
          <w:sz w:val="16"/>
        </w:rPr>
      </w:pPr>
      <w:r>
        <w:rPr>
          <w:rFonts w:ascii="Minion Pro"/>
          <w:color w:val="231F20"/>
          <w:sz w:val="16"/>
        </w:rPr>
        <w:t>face</w:t>
      </w:r>
      <w:r>
        <w:rPr>
          <w:rFonts w:ascii="Minion Pro"/>
          <w:color w:val="231F20"/>
          <w:spacing w:val="-10"/>
          <w:sz w:val="16"/>
        </w:rPr>
        <w:t> </w:t>
      </w:r>
      <w:r>
        <w:rPr>
          <w:rFonts w:ascii="Minion Pro"/>
          <w:color w:val="231F20"/>
          <w:sz w:val="16"/>
        </w:rPr>
        <w:t>EPP</w:t>
      </w:r>
      <w:r>
        <w:rPr>
          <w:rFonts w:ascii="Minion Pro"/>
          <w:color w:val="231F20"/>
          <w:spacing w:val="-9"/>
          <w:sz w:val="16"/>
        </w:rPr>
        <w:t> </w:t>
      </w:r>
      <w:r>
        <w:rPr>
          <w:rFonts w:ascii="Minion Pro"/>
          <w:color w:val="231F20"/>
          <w:sz w:val="16"/>
        </w:rPr>
        <w:t>BATOME</w:t>
      </w:r>
      <w:r>
        <w:rPr>
          <w:rFonts w:ascii="Minion Pro"/>
          <w:color w:val="231F20"/>
          <w:spacing w:val="40"/>
          <w:sz w:val="16"/>
        </w:rPr>
        <w:t> </w:t>
      </w:r>
      <w:hyperlink r:id="rId70">
        <w:r>
          <w:rPr>
            <w:rFonts w:ascii="Minion Pro"/>
            <w:color w:val="231F20"/>
            <w:spacing w:val="-2"/>
            <w:sz w:val="16"/>
          </w:rPr>
          <w:t>ddamela@aol.com</w:t>
        </w:r>
      </w:hyperlink>
    </w:p>
    <w:p>
      <w:pPr>
        <w:pStyle w:val="BodyText"/>
        <w:spacing w:before="74"/>
        <w:ind w:left="0"/>
        <w:jc w:val="left"/>
        <w:rPr>
          <w:rFonts w:ascii="Minion Pro"/>
          <w:sz w:val="16"/>
        </w:rPr>
      </w:pPr>
    </w:p>
    <w:p>
      <w:pPr>
        <w:spacing w:line="199" w:lineRule="auto" w:before="1"/>
        <w:ind w:left="413" w:right="1120" w:firstLine="0"/>
        <w:jc w:val="left"/>
        <w:rPr>
          <w:rFonts w:ascii="Minion Pro" w:hAnsi="Minion Pro"/>
          <w:sz w:val="16"/>
        </w:rPr>
      </w:pPr>
      <w:r>
        <w:rPr>
          <w:rFonts w:ascii="Minion Pro" w:hAnsi="Minion Pro"/>
          <w:b/>
          <w:color w:val="231F20"/>
          <w:w w:val="110"/>
          <w:sz w:val="16"/>
        </w:rPr>
        <w:t>L’Harmattan Côte d’Ivoire</w:t>
      </w:r>
      <w:r>
        <w:rPr>
          <w:rFonts w:ascii="Minion Pro" w:hAnsi="Minion Pro"/>
          <w:b/>
          <w:color w:val="231F20"/>
          <w:spacing w:val="40"/>
          <w:w w:val="110"/>
          <w:sz w:val="16"/>
        </w:rPr>
        <w:t> </w:t>
      </w:r>
      <w:r>
        <w:rPr>
          <w:rFonts w:ascii="Minion Pro" w:hAnsi="Minion Pro"/>
          <w:color w:val="231F20"/>
          <w:w w:val="110"/>
          <w:sz w:val="16"/>
        </w:rPr>
        <w:t>Résidence</w:t>
      </w:r>
      <w:r>
        <w:rPr>
          <w:rFonts w:ascii="Minion Pro" w:hAnsi="Minion Pro"/>
          <w:color w:val="231F20"/>
          <w:spacing w:val="-8"/>
          <w:w w:val="110"/>
          <w:sz w:val="16"/>
        </w:rPr>
        <w:t> </w:t>
      </w:r>
      <w:r>
        <w:rPr>
          <w:rFonts w:ascii="Minion Pro" w:hAnsi="Minion Pro"/>
          <w:color w:val="231F20"/>
          <w:w w:val="110"/>
          <w:sz w:val="16"/>
        </w:rPr>
        <w:t>Karl</w:t>
      </w:r>
      <w:r>
        <w:rPr>
          <w:rFonts w:ascii="Minion Pro" w:hAnsi="Minion Pro"/>
          <w:color w:val="231F20"/>
          <w:spacing w:val="-8"/>
          <w:w w:val="110"/>
          <w:sz w:val="16"/>
        </w:rPr>
        <w:t> </w:t>
      </w:r>
      <w:r>
        <w:rPr>
          <w:rFonts w:ascii="Minion Pro" w:hAnsi="Minion Pro"/>
          <w:color w:val="231F20"/>
          <w:w w:val="110"/>
          <w:sz w:val="16"/>
        </w:rPr>
        <w:t>–</w:t>
      </w:r>
      <w:r>
        <w:rPr>
          <w:rFonts w:ascii="Minion Pro" w:hAnsi="Minion Pro"/>
          <w:color w:val="231F20"/>
          <w:spacing w:val="-8"/>
          <w:w w:val="110"/>
          <w:sz w:val="16"/>
        </w:rPr>
        <w:t> </w:t>
      </w:r>
      <w:r>
        <w:rPr>
          <w:rFonts w:ascii="Minion Pro" w:hAnsi="Minion Pro"/>
          <w:color w:val="231F20"/>
          <w:w w:val="110"/>
          <w:sz w:val="16"/>
        </w:rPr>
        <w:t>Cité</w:t>
      </w:r>
      <w:r>
        <w:rPr>
          <w:rFonts w:ascii="Minion Pro" w:hAnsi="Minion Pro"/>
          <w:color w:val="231F20"/>
          <w:spacing w:val="-8"/>
          <w:w w:val="110"/>
          <w:sz w:val="16"/>
        </w:rPr>
        <w:t> </w:t>
      </w:r>
      <w:r>
        <w:rPr>
          <w:rFonts w:ascii="Minion Pro" w:hAnsi="Minion Pro"/>
          <w:color w:val="231F20"/>
          <w:w w:val="110"/>
          <w:sz w:val="16"/>
        </w:rPr>
        <w:t>des</w:t>
      </w:r>
      <w:r>
        <w:rPr>
          <w:rFonts w:ascii="Minion Pro" w:hAnsi="Minion Pro"/>
          <w:color w:val="231F20"/>
          <w:spacing w:val="-8"/>
          <w:w w:val="110"/>
          <w:sz w:val="16"/>
        </w:rPr>
        <w:t> </w:t>
      </w:r>
      <w:r>
        <w:rPr>
          <w:rFonts w:ascii="Minion Pro" w:hAnsi="Minion Pro"/>
          <w:color w:val="231F20"/>
          <w:w w:val="110"/>
          <w:sz w:val="16"/>
        </w:rPr>
        <w:t>Arts</w:t>
      </w:r>
      <w:r>
        <w:rPr>
          <w:rFonts w:ascii="Minion Pro" w:hAnsi="Minion Pro"/>
          <w:color w:val="231F20"/>
          <w:spacing w:val="40"/>
          <w:w w:val="110"/>
          <w:sz w:val="16"/>
        </w:rPr>
        <w:t> </w:t>
      </w:r>
      <w:r>
        <w:rPr>
          <w:rFonts w:ascii="Minion Pro" w:hAnsi="Minion Pro"/>
          <w:color w:val="231F20"/>
          <w:spacing w:val="-2"/>
          <w:w w:val="110"/>
          <w:sz w:val="16"/>
        </w:rPr>
        <w:t>Abidjan-Cocody</w:t>
      </w:r>
    </w:p>
    <w:p>
      <w:pPr>
        <w:spacing w:line="199" w:lineRule="auto" w:before="2"/>
        <w:ind w:left="413" w:right="0" w:firstLine="0"/>
        <w:jc w:val="left"/>
        <w:rPr>
          <w:rFonts w:ascii="Minion Pro"/>
          <w:sz w:val="16"/>
        </w:rPr>
      </w:pPr>
      <w:r>
        <w:rPr>
          <w:rFonts w:ascii="Minion Pro"/>
          <w:color w:val="231F20"/>
          <w:sz w:val="16"/>
        </w:rPr>
        <w:t>03 BP 1588 Abidjan</w:t>
      </w:r>
      <w:r>
        <w:rPr>
          <w:rFonts w:ascii="Minion Pro"/>
          <w:color w:val="231F20"/>
          <w:spacing w:val="40"/>
          <w:sz w:val="16"/>
        </w:rPr>
        <w:t> </w:t>
      </w:r>
      <w:hyperlink r:id="rId71">
        <w:r>
          <w:rPr>
            <w:rFonts w:ascii="Minion Pro"/>
            <w:color w:val="231F20"/>
            <w:spacing w:val="-2"/>
            <w:sz w:val="16"/>
          </w:rPr>
          <w:t>espace_harmattan.ci@hotmail.fr</w:t>
        </w:r>
      </w:hyperlink>
    </w:p>
    <w:p>
      <w:pPr>
        <w:spacing w:after="0" w:line="199" w:lineRule="auto"/>
        <w:jc w:val="left"/>
        <w:rPr>
          <w:rFonts w:ascii="Minion Pro"/>
          <w:sz w:val="16"/>
        </w:rPr>
        <w:sectPr>
          <w:type w:val="continuous"/>
          <w:pgSz w:w="8790" w:h="13610"/>
          <w:pgMar w:header="0" w:footer="0" w:top="320" w:bottom="280" w:left="880" w:right="880"/>
          <w:cols w:num="2" w:equalWidth="0">
            <w:col w:w="3319" w:space="40"/>
            <w:col w:w="3671"/>
          </w:cols>
        </w:sectPr>
      </w:pPr>
    </w:p>
    <w:p>
      <w:pPr>
        <w:pStyle w:val="BodyText"/>
        <w:ind w:left="0"/>
        <w:jc w:val="left"/>
        <w:rPr>
          <w:rFonts w:ascii="Minion Pro"/>
          <w:sz w:val="20"/>
        </w:rPr>
      </w:pPr>
    </w:p>
    <w:p>
      <w:pPr>
        <w:pStyle w:val="BodyText"/>
        <w:spacing w:before="24" w:after="1"/>
        <w:ind w:left="0"/>
        <w:jc w:val="left"/>
        <w:rPr>
          <w:rFonts w:ascii="Minion Pro"/>
          <w:sz w:val="20"/>
        </w:rPr>
      </w:pPr>
    </w:p>
    <w:p>
      <w:pPr>
        <w:pStyle w:val="BodyText"/>
        <w:spacing w:line="20" w:lineRule="exact"/>
        <w:ind w:left="3054"/>
        <w:jc w:val="left"/>
        <w:rPr>
          <w:rFonts w:ascii="Minion Pro"/>
          <w:sz w:val="2"/>
        </w:rPr>
      </w:pPr>
      <w:r>
        <w:rPr>
          <w:rFonts w:ascii="Minion Pro"/>
          <w:sz w:val="2"/>
        </w:rPr>
        <mc:AlternateContent>
          <mc:Choice Requires="wps">
            <w:drawing>
              <wp:inline distT="0" distB="0" distL="0" distR="0">
                <wp:extent cx="619760" cy="3175"/>
                <wp:effectExtent l="9525" t="0" r="0" b="6350"/>
                <wp:docPr id="204" name="Group 204"/>
                <wp:cNvGraphicFramePr>
                  <a:graphicFrameLocks/>
                </wp:cNvGraphicFramePr>
                <a:graphic>
                  <a:graphicData uri="http://schemas.microsoft.com/office/word/2010/wordprocessingGroup">
                    <wpg:wgp>
                      <wpg:cNvPr id="204" name="Group 204"/>
                      <wpg:cNvGrpSpPr/>
                      <wpg:grpSpPr>
                        <a:xfrm>
                          <a:off x="0" y="0"/>
                          <a:ext cx="619760" cy="3175"/>
                          <a:chExt cx="619760" cy="3175"/>
                        </a:xfrm>
                      </wpg:grpSpPr>
                      <wps:wsp>
                        <wps:cNvPr id="205" name="Graphic 205"/>
                        <wps:cNvSpPr/>
                        <wps:spPr>
                          <a:xfrm>
                            <a:off x="0" y="1587"/>
                            <a:ext cx="619760" cy="1270"/>
                          </a:xfrm>
                          <a:custGeom>
                            <a:avLst/>
                            <a:gdLst/>
                            <a:ahLst/>
                            <a:cxnLst/>
                            <a:rect l="l" t="t" r="r" b="b"/>
                            <a:pathLst>
                              <a:path w="619760" h="0">
                                <a:moveTo>
                                  <a:pt x="0" y="0"/>
                                </a:moveTo>
                                <a:lnTo>
                                  <a:pt x="619201" y="0"/>
                                </a:lnTo>
                              </a:path>
                            </a:pathLst>
                          </a:custGeom>
                          <a:ln w="317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8.8pt;height:.25pt;mso-position-horizontal-relative:char;mso-position-vertical-relative:line" id="docshapegroup201" coordorigin="0,0" coordsize="976,5">
                <v:line style="position:absolute" from="0,3" to="975,3" stroked="true" strokeweight=".25pt" strokecolor="#231f20">
                  <v:stroke dashstyle="solid"/>
                </v:line>
              </v:group>
            </w:pict>
          </mc:Fallback>
        </mc:AlternateContent>
      </w:r>
      <w:r>
        <w:rPr>
          <w:rFonts w:ascii="Minion Pro"/>
          <w:sz w:val="2"/>
        </w:rPr>
      </w:r>
    </w:p>
    <w:p>
      <w:pPr>
        <w:pStyle w:val="BodyText"/>
        <w:spacing w:before="91"/>
        <w:ind w:left="0"/>
        <w:jc w:val="left"/>
        <w:rPr>
          <w:rFonts w:ascii="Minion Pro"/>
          <w:sz w:val="22"/>
        </w:rPr>
      </w:pPr>
    </w:p>
    <w:p>
      <w:pPr>
        <w:spacing w:line="208" w:lineRule="auto" w:before="1"/>
        <w:ind w:left="2685" w:right="2626" w:firstLine="0"/>
        <w:jc w:val="center"/>
        <w:rPr>
          <w:rFonts w:ascii="Minion Pro"/>
          <w:b/>
          <w:sz w:val="22"/>
        </w:rPr>
      </w:pPr>
      <w:r>
        <w:rPr>
          <w:rFonts w:ascii="Minion Pro"/>
          <w:b/>
          <w:color w:val="231F20"/>
          <w:w w:val="120"/>
          <w:sz w:val="22"/>
        </w:rPr>
        <w:t>Nos </w:t>
      </w:r>
      <w:r>
        <w:rPr>
          <w:rFonts w:ascii="Minion Pro"/>
          <w:b/>
          <w:color w:val="231F20"/>
          <w:w w:val="120"/>
          <w:sz w:val="22"/>
        </w:rPr>
        <w:t>librairies en France</w:t>
      </w:r>
    </w:p>
    <w:p>
      <w:pPr>
        <w:pStyle w:val="BodyText"/>
        <w:spacing w:before="6"/>
        <w:ind w:left="0"/>
        <w:jc w:val="left"/>
        <w:rPr>
          <w:rFonts w:ascii="Minion Pro"/>
          <w:b/>
          <w:sz w:val="20"/>
        </w:rPr>
      </w:pPr>
    </w:p>
    <w:p>
      <w:pPr>
        <w:spacing w:after="0"/>
        <w:jc w:val="left"/>
        <w:rPr>
          <w:rFonts w:ascii="Minion Pro"/>
          <w:sz w:val="20"/>
        </w:rPr>
        <w:sectPr>
          <w:type w:val="continuous"/>
          <w:pgSz w:w="8790" w:h="13610"/>
          <w:pgMar w:header="0" w:footer="0" w:top="320" w:bottom="280" w:left="880" w:right="880"/>
        </w:sectPr>
      </w:pPr>
    </w:p>
    <w:p>
      <w:pPr>
        <w:spacing w:line="204" w:lineRule="exact" w:before="100"/>
        <w:ind w:left="0" w:right="0" w:firstLine="0"/>
        <w:jc w:val="right"/>
        <w:rPr>
          <w:rFonts w:ascii="Minion Pro"/>
          <w:b/>
          <w:sz w:val="16"/>
        </w:rPr>
      </w:pPr>
      <w:r>
        <w:rPr>
          <w:rFonts w:ascii="Minion Pro"/>
          <w:b/>
          <w:color w:val="231F20"/>
          <w:w w:val="120"/>
          <w:sz w:val="16"/>
        </w:rPr>
        <w:t>Librairie</w:t>
      </w:r>
      <w:r>
        <w:rPr>
          <w:rFonts w:ascii="Minion Pro"/>
          <w:b/>
          <w:color w:val="231F20"/>
          <w:spacing w:val="14"/>
          <w:w w:val="125"/>
          <w:sz w:val="16"/>
        </w:rPr>
        <w:t> </w:t>
      </w:r>
      <w:r>
        <w:rPr>
          <w:rFonts w:ascii="Minion Pro"/>
          <w:b/>
          <w:color w:val="231F20"/>
          <w:spacing w:val="-2"/>
          <w:w w:val="125"/>
          <w:sz w:val="16"/>
        </w:rPr>
        <w:t>internationale</w:t>
      </w:r>
    </w:p>
    <w:p>
      <w:pPr>
        <w:spacing w:line="180" w:lineRule="exact" w:before="0"/>
        <w:ind w:left="0" w:right="1" w:firstLine="0"/>
        <w:jc w:val="right"/>
        <w:rPr>
          <w:rFonts w:ascii="Minion Pro" w:hAnsi="Minion Pro"/>
          <w:sz w:val="16"/>
        </w:rPr>
      </w:pPr>
      <w:r>
        <w:rPr>
          <w:rFonts w:ascii="Minion Pro" w:hAnsi="Minion Pro"/>
          <w:color w:val="231F20"/>
          <w:sz w:val="16"/>
        </w:rPr>
        <w:t>16,</w:t>
      </w:r>
      <w:r>
        <w:rPr>
          <w:rFonts w:ascii="Minion Pro" w:hAnsi="Minion Pro"/>
          <w:color w:val="231F20"/>
          <w:spacing w:val="2"/>
          <w:sz w:val="16"/>
        </w:rPr>
        <w:t> </w:t>
      </w:r>
      <w:r>
        <w:rPr>
          <w:rFonts w:ascii="Minion Pro" w:hAnsi="Minion Pro"/>
          <w:color w:val="231F20"/>
          <w:sz w:val="16"/>
        </w:rPr>
        <w:t>rue</w:t>
      </w:r>
      <w:r>
        <w:rPr>
          <w:rFonts w:ascii="Minion Pro" w:hAnsi="Minion Pro"/>
          <w:color w:val="231F20"/>
          <w:spacing w:val="2"/>
          <w:sz w:val="16"/>
        </w:rPr>
        <w:t> </w:t>
      </w:r>
      <w:r>
        <w:rPr>
          <w:rFonts w:ascii="Minion Pro" w:hAnsi="Minion Pro"/>
          <w:color w:val="231F20"/>
          <w:sz w:val="16"/>
        </w:rPr>
        <w:t>des</w:t>
      </w:r>
      <w:r>
        <w:rPr>
          <w:rFonts w:ascii="Minion Pro" w:hAnsi="Minion Pro"/>
          <w:color w:val="231F20"/>
          <w:spacing w:val="3"/>
          <w:sz w:val="16"/>
        </w:rPr>
        <w:t> </w:t>
      </w:r>
      <w:r>
        <w:rPr>
          <w:rFonts w:ascii="Minion Pro" w:hAnsi="Minion Pro"/>
          <w:color w:val="231F20"/>
          <w:spacing w:val="-2"/>
          <w:sz w:val="16"/>
        </w:rPr>
        <w:t>Écoles</w:t>
      </w:r>
    </w:p>
    <w:p>
      <w:pPr>
        <w:spacing w:line="199" w:lineRule="auto" w:before="9"/>
        <w:ind w:left="893" w:right="1" w:firstLine="1656"/>
        <w:jc w:val="right"/>
        <w:rPr>
          <w:rFonts w:ascii="Minion Pro"/>
          <w:sz w:val="16"/>
        </w:rPr>
      </w:pPr>
      <w:r>
        <w:rPr>
          <w:rFonts w:ascii="Minion Pro"/>
          <w:color w:val="231F20"/>
          <w:sz w:val="16"/>
        </w:rPr>
        <w:t>75005</w:t>
      </w:r>
      <w:r>
        <w:rPr>
          <w:rFonts w:ascii="Minion Pro"/>
          <w:color w:val="231F20"/>
          <w:spacing w:val="-10"/>
          <w:sz w:val="16"/>
        </w:rPr>
        <w:t> </w:t>
      </w:r>
      <w:r>
        <w:rPr>
          <w:rFonts w:ascii="Minion Pro"/>
          <w:color w:val="231F20"/>
          <w:sz w:val="16"/>
        </w:rPr>
        <w:t>Paris</w:t>
      </w:r>
      <w:r>
        <w:rPr>
          <w:rFonts w:ascii="Minion Pro"/>
          <w:color w:val="231F20"/>
          <w:spacing w:val="40"/>
          <w:sz w:val="16"/>
        </w:rPr>
        <w:t> </w:t>
      </w:r>
      <w:hyperlink r:id="rId72">
        <w:r>
          <w:rPr>
            <w:rFonts w:ascii="Minion Pro"/>
            <w:color w:val="231F20"/>
            <w:spacing w:val="-2"/>
            <w:sz w:val="16"/>
          </w:rPr>
          <w:t>librairie.internationale@harmattan.fr</w:t>
        </w:r>
      </w:hyperlink>
    </w:p>
    <w:p>
      <w:pPr>
        <w:spacing w:line="173" w:lineRule="exact" w:before="0"/>
        <w:ind w:left="0" w:right="1" w:firstLine="0"/>
        <w:jc w:val="right"/>
        <w:rPr>
          <w:rFonts w:ascii="Minion Pro"/>
          <w:sz w:val="16"/>
        </w:rPr>
      </w:pPr>
      <w:r>
        <w:rPr>
          <w:rFonts w:ascii="Minion Pro"/>
          <w:color w:val="231F20"/>
          <w:sz w:val="16"/>
        </w:rPr>
        <w:t>01 40</w:t>
      </w:r>
      <w:r>
        <w:rPr>
          <w:rFonts w:ascii="Minion Pro"/>
          <w:color w:val="231F20"/>
          <w:spacing w:val="1"/>
          <w:sz w:val="16"/>
        </w:rPr>
        <w:t> </w:t>
      </w:r>
      <w:r>
        <w:rPr>
          <w:rFonts w:ascii="Minion Pro"/>
          <w:color w:val="231F20"/>
          <w:sz w:val="16"/>
        </w:rPr>
        <w:t>46</w:t>
      </w:r>
      <w:r>
        <w:rPr>
          <w:rFonts w:ascii="Minion Pro"/>
          <w:color w:val="231F20"/>
          <w:spacing w:val="1"/>
          <w:sz w:val="16"/>
        </w:rPr>
        <w:t> </w:t>
      </w:r>
      <w:r>
        <w:rPr>
          <w:rFonts w:ascii="Minion Pro"/>
          <w:color w:val="231F20"/>
          <w:sz w:val="16"/>
        </w:rPr>
        <w:t>79</w:t>
      </w:r>
      <w:r>
        <w:rPr>
          <w:rFonts w:ascii="Minion Pro"/>
          <w:color w:val="231F20"/>
          <w:spacing w:val="1"/>
          <w:sz w:val="16"/>
        </w:rPr>
        <w:t> </w:t>
      </w:r>
      <w:r>
        <w:rPr>
          <w:rFonts w:ascii="Minion Pro"/>
          <w:color w:val="231F20"/>
          <w:spacing w:val="-7"/>
          <w:sz w:val="16"/>
        </w:rPr>
        <w:t>11</w:t>
      </w:r>
    </w:p>
    <w:p>
      <w:pPr>
        <w:spacing w:line="198" w:lineRule="exact" w:before="0"/>
        <w:ind w:left="0" w:right="1" w:firstLine="0"/>
        <w:jc w:val="right"/>
        <w:rPr>
          <w:rFonts w:ascii="Minion Pro"/>
          <w:sz w:val="16"/>
        </w:rPr>
      </w:pPr>
      <w:hyperlink r:id="rId73">
        <w:r>
          <w:rPr>
            <w:rFonts w:ascii="Minion Pro"/>
            <w:color w:val="231F20"/>
            <w:spacing w:val="-2"/>
            <w:sz w:val="16"/>
          </w:rPr>
          <w:t>www.librairieharmattan.com</w:t>
        </w:r>
      </w:hyperlink>
    </w:p>
    <w:p>
      <w:pPr>
        <w:spacing w:line="204" w:lineRule="exact" w:before="100"/>
        <w:ind w:left="415" w:right="0" w:firstLine="0"/>
        <w:jc w:val="left"/>
        <w:rPr>
          <w:rFonts w:ascii="Minion Pro"/>
          <w:b/>
          <w:sz w:val="16"/>
        </w:rPr>
      </w:pPr>
      <w:r>
        <w:rPr/>
        <w:br w:type="column"/>
      </w:r>
      <w:r>
        <w:rPr>
          <w:rFonts w:ascii="Minion Pro"/>
          <w:b/>
          <w:color w:val="231F20"/>
          <w:w w:val="115"/>
          <w:sz w:val="16"/>
        </w:rPr>
        <w:t>Librairie</w:t>
      </w:r>
      <w:r>
        <w:rPr>
          <w:rFonts w:ascii="Minion Pro"/>
          <w:b/>
          <w:color w:val="231F20"/>
          <w:spacing w:val="2"/>
          <w:w w:val="115"/>
          <w:sz w:val="16"/>
        </w:rPr>
        <w:t> </w:t>
      </w:r>
      <w:r>
        <w:rPr>
          <w:rFonts w:ascii="Minion Pro"/>
          <w:b/>
          <w:color w:val="231F20"/>
          <w:w w:val="115"/>
          <w:sz w:val="16"/>
        </w:rPr>
        <w:t>des</w:t>
      </w:r>
      <w:r>
        <w:rPr>
          <w:rFonts w:ascii="Minion Pro"/>
          <w:b/>
          <w:color w:val="231F20"/>
          <w:spacing w:val="3"/>
          <w:w w:val="115"/>
          <w:sz w:val="16"/>
        </w:rPr>
        <w:t> </w:t>
      </w:r>
      <w:r>
        <w:rPr>
          <w:rFonts w:ascii="Minion Pro"/>
          <w:b/>
          <w:color w:val="231F20"/>
          <w:spacing w:val="-2"/>
          <w:w w:val="115"/>
          <w:sz w:val="16"/>
        </w:rPr>
        <w:t>savoirs</w:t>
      </w:r>
    </w:p>
    <w:p>
      <w:pPr>
        <w:spacing w:line="199" w:lineRule="auto" w:before="9"/>
        <w:ind w:left="415" w:right="1793" w:firstLine="0"/>
        <w:jc w:val="left"/>
        <w:rPr>
          <w:rFonts w:ascii="Minion Pro" w:hAnsi="Minion Pro"/>
          <w:sz w:val="16"/>
        </w:rPr>
      </w:pPr>
      <w:r>
        <w:rPr>
          <w:rFonts w:ascii="Minion Pro" w:hAnsi="Minion Pro"/>
          <w:color w:val="231F20"/>
          <w:sz w:val="16"/>
        </w:rPr>
        <w:t>21,</w:t>
      </w:r>
      <w:r>
        <w:rPr>
          <w:rFonts w:ascii="Minion Pro" w:hAnsi="Minion Pro"/>
          <w:color w:val="231F20"/>
          <w:spacing w:val="-10"/>
          <w:sz w:val="16"/>
        </w:rPr>
        <w:t> </w:t>
      </w:r>
      <w:r>
        <w:rPr>
          <w:rFonts w:ascii="Minion Pro" w:hAnsi="Minion Pro"/>
          <w:color w:val="231F20"/>
          <w:sz w:val="16"/>
        </w:rPr>
        <w:t>rue</w:t>
      </w:r>
      <w:r>
        <w:rPr>
          <w:rFonts w:ascii="Minion Pro" w:hAnsi="Minion Pro"/>
          <w:color w:val="231F20"/>
          <w:spacing w:val="-9"/>
          <w:sz w:val="16"/>
        </w:rPr>
        <w:t> </w:t>
      </w:r>
      <w:r>
        <w:rPr>
          <w:rFonts w:ascii="Minion Pro" w:hAnsi="Minion Pro"/>
          <w:color w:val="231F20"/>
          <w:sz w:val="16"/>
        </w:rPr>
        <w:t>des</w:t>
      </w:r>
      <w:r>
        <w:rPr>
          <w:rFonts w:ascii="Minion Pro" w:hAnsi="Minion Pro"/>
          <w:color w:val="231F20"/>
          <w:spacing w:val="-9"/>
          <w:sz w:val="16"/>
        </w:rPr>
        <w:t> </w:t>
      </w:r>
      <w:r>
        <w:rPr>
          <w:rFonts w:ascii="Minion Pro" w:hAnsi="Minion Pro"/>
          <w:color w:val="231F20"/>
          <w:sz w:val="16"/>
        </w:rPr>
        <w:t>Écoles</w:t>
      </w:r>
      <w:r>
        <w:rPr>
          <w:rFonts w:ascii="Minion Pro" w:hAnsi="Minion Pro"/>
          <w:color w:val="231F20"/>
          <w:spacing w:val="40"/>
          <w:sz w:val="16"/>
        </w:rPr>
        <w:t> </w:t>
      </w:r>
      <w:r>
        <w:rPr>
          <w:rFonts w:ascii="Minion Pro" w:hAnsi="Minion Pro"/>
          <w:color w:val="231F20"/>
          <w:sz w:val="16"/>
        </w:rPr>
        <w:t>75005</w:t>
      </w:r>
      <w:r>
        <w:rPr>
          <w:rFonts w:ascii="Minion Pro" w:hAnsi="Minion Pro"/>
          <w:color w:val="231F20"/>
          <w:spacing w:val="-10"/>
          <w:sz w:val="16"/>
        </w:rPr>
        <w:t> </w:t>
      </w:r>
      <w:r>
        <w:rPr>
          <w:rFonts w:ascii="Minion Pro" w:hAnsi="Minion Pro"/>
          <w:color w:val="231F20"/>
          <w:sz w:val="16"/>
        </w:rPr>
        <w:t>Paris</w:t>
      </w:r>
    </w:p>
    <w:p>
      <w:pPr>
        <w:spacing w:line="199" w:lineRule="auto" w:before="2"/>
        <w:ind w:left="415" w:right="1552" w:firstLine="0"/>
        <w:jc w:val="left"/>
        <w:rPr>
          <w:rFonts w:ascii="Minion Pro"/>
          <w:sz w:val="16"/>
        </w:rPr>
      </w:pPr>
      <w:hyperlink r:id="rId74">
        <w:r>
          <w:rPr>
            <w:rFonts w:ascii="Minion Pro"/>
            <w:color w:val="231F20"/>
            <w:spacing w:val="-2"/>
            <w:sz w:val="16"/>
          </w:rPr>
          <w:t>librairie.sh@harmattan.fr</w:t>
        </w:r>
      </w:hyperlink>
      <w:r>
        <w:rPr>
          <w:rFonts w:ascii="Minion Pro"/>
          <w:color w:val="231F20"/>
          <w:spacing w:val="40"/>
          <w:sz w:val="16"/>
        </w:rPr>
        <w:t> </w:t>
      </w:r>
      <w:r>
        <w:rPr>
          <w:rFonts w:ascii="Minion Pro"/>
          <w:color w:val="231F20"/>
          <w:sz w:val="16"/>
        </w:rPr>
        <w:t>01 46 34 13 71</w:t>
      </w:r>
    </w:p>
    <w:p>
      <w:pPr>
        <w:spacing w:line="191" w:lineRule="exact" w:before="0"/>
        <w:ind w:left="415" w:right="0" w:firstLine="0"/>
        <w:jc w:val="left"/>
        <w:rPr>
          <w:rFonts w:ascii="Minion Pro"/>
          <w:sz w:val="16"/>
        </w:rPr>
      </w:pPr>
      <w:hyperlink r:id="rId75">
        <w:r>
          <w:rPr>
            <w:rFonts w:ascii="Minion Pro"/>
            <w:color w:val="231F20"/>
            <w:spacing w:val="-2"/>
            <w:sz w:val="16"/>
          </w:rPr>
          <w:t>www.librairieharmattansh.com</w:t>
        </w:r>
      </w:hyperlink>
    </w:p>
    <w:p>
      <w:pPr>
        <w:spacing w:after="0" w:line="191" w:lineRule="exact"/>
        <w:jc w:val="left"/>
        <w:rPr>
          <w:rFonts w:ascii="Minion Pro"/>
          <w:sz w:val="16"/>
        </w:rPr>
        <w:sectPr>
          <w:type w:val="continuous"/>
          <w:pgSz w:w="8790" w:h="13610"/>
          <w:pgMar w:header="0" w:footer="0" w:top="320" w:bottom="280" w:left="880" w:right="880"/>
          <w:cols w:num="2" w:equalWidth="0">
            <w:col w:w="3316" w:space="40"/>
            <w:col w:w="3674"/>
          </w:cols>
        </w:sectPr>
      </w:pPr>
    </w:p>
    <w:p>
      <w:pPr>
        <w:spacing w:line="204" w:lineRule="exact" w:before="182"/>
        <w:ind w:left="67" w:right="67" w:firstLine="0"/>
        <w:jc w:val="center"/>
        <w:rPr>
          <w:rFonts w:ascii="Minion Pro"/>
          <w:b/>
          <w:sz w:val="16"/>
        </w:rPr>
      </w:pPr>
      <w:r>
        <w:rPr>
          <w:rFonts w:ascii="Minion Pro"/>
          <w:b/>
          <w:color w:val="231F20"/>
          <w:w w:val="115"/>
          <w:sz w:val="16"/>
        </w:rPr>
        <w:t>Librairie</w:t>
      </w:r>
      <w:r>
        <w:rPr>
          <w:rFonts w:ascii="Minion Pro"/>
          <w:b/>
          <w:color w:val="231F20"/>
          <w:spacing w:val="17"/>
          <w:w w:val="115"/>
          <w:sz w:val="16"/>
        </w:rPr>
        <w:t> </w:t>
      </w:r>
      <w:r>
        <w:rPr>
          <w:rFonts w:ascii="Minion Pro"/>
          <w:b/>
          <w:color w:val="231F20"/>
          <w:w w:val="115"/>
          <w:sz w:val="16"/>
        </w:rPr>
        <w:t>Le</w:t>
      </w:r>
      <w:r>
        <w:rPr>
          <w:rFonts w:ascii="Minion Pro"/>
          <w:b/>
          <w:color w:val="231F20"/>
          <w:spacing w:val="17"/>
          <w:w w:val="115"/>
          <w:sz w:val="16"/>
        </w:rPr>
        <w:t> </w:t>
      </w:r>
      <w:r>
        <w:rPr>
          <w:rFonts w:ascii="Minion Pro"/>
          <w:b/>
          <w:color w:val="231F20"/>
          <w:spacing w:val="-2"/>
          <w:w w:val="115"/>
          <w:sz w:val="16"/>
        </w:rPr>
        <w:t>Lucernaire</w:t>
      </w:r>
    </w:p>
    <w:p>
      <w:pPr>
        <w:spacing w:line="180" w:lineRule="exact" w:before="0"/>
        <w:ind w:left="67" w:right="67" w:firstLine="0"/>
        <w:jc w:val="center"/>
        <w:rPr>
          <w:rFonts w:ascii="Minion Pro"/>
          <w:sz w:val="16"/>
        </w:rPr>
      </w:pPr>
      <w:r>
        <w:rPr>
          <w:rFonts w:ascii="Minion Pro"/>
          <w:color w:val="231F20"/>
          <w:sz w:val="16"/>
        </w:rPr>
        <w:t>53,</w:t>
      </w:r>
      <w:r>
        <w:rPr>
          <w:rFonts w:ascii="Minion Pro"/>
          <w:color w:val="231F20"/>
          <w:spacing w:val="14"/>
          <w:sz w:val="16"/>
        </w:rPr>
        <w:t> </w:t>
      </w:r>
      <w:r>
        <w:rPr>
          <w:rFonts w:ascii="Minion Pro"/>
          <w:color w:val="231F20"/>
          <w:sz w:val="16"/>
        </w:rPr>
        <w:t>rue</w:t>
      </w:r>
      <w:r>
        <w:rPr>
          <w:rFonts w:ascii="Minion Pro"/>
          <w:color w:val="231F20"/>
          <w:spacing w:val="15"/>
          <w:sz w:val="16"/>
        </w:rPr>
        <w:t> </w:t>
      </w:r>
      <w:r>
        <w:rPr>
          <w:rFonts w:ascii="Minion Pro"/>
          <w:color w:val="231F20"/>
          <w:sz w:val="16"/>
        </w:rPr>
        <w:t>Notre-Dame-des-</w:t>
      </w:r>
      <w:r>
        <w:rPr>
          <w:rFonts w:ascii="Minion Pro"/>
          <w:color w:val="231F20"/>
          <w:spacing w:val="-2"/>
          <w:sz w:val="16"/>
        </w:rPr>
        <w:t>Champs</w:t>
      </w:r>
    </w:p>
    <w:p>
      <w:pPr>
        <w:spacing w:line="199" w:lineRule="auto" w:before="9"/>
        <w:ind w:left="2776" w:right="2775" w:firstLine="1"/>
        <w:jc w:val="center"/>
        <w:rPr>
          <w:rFonts w:ascii="Minion Pro"/>
          <w:sz w:val="16"/>
        </w:rPr>
      </w:pPr>
      <w:r>
        <w:rPr>
          <w:rFonts w:ascii="Minion Pro"/>
          <w:color w:val="231F20"/>
          <w:sz w:val="16"/>
        </w:rPr>
        <w:t>75006</w:t>
      </w:r>
      <w:r>
        <w:rPr>
          <w:rFonts w:ascii="Minion Pro"/>
          <w:color w:val="231F20"/>
          <w:spacing w:val="-4"/>
          <w:sz w:val="16"/>
        </w:rPr>
        <w:t> </w:t>
      </w:r>
      <w:r>
        <w:rPr>
          <w:rFonts w:ascii="Minion Pro"/>
          <w:color w:val="231F20"/>
          <w:sz w:val="16"/>
        </w:rPr>
        <w:t>Paris</w:t>
      </w:r>
      <w:r>
        <w:rPr>
          <w:rFonts w:ascii="Minion Pro"/>
          <w:color w:val="231F20"/>
          <w:spacing w:val="40"/>
          <w:sz w:val="16"/>
        </w:rPr>
        <w:t> </w:t>
      </w:r>
      <w:hyperlink r:id="rId76">
        <w:r>
          <w:rPr>
            <w:rFonts w:ascii="Minion Pro"/>
            <w:color w:val="231F20"/>
            <w:spacing w:val="-2"/>
            <w:sz w:val="16"/>
          </w:rPr>
          <w:t>librairie@lucernaire.fr</w:t>
        </w:r>
      </w:hyperlink>
      <w:r>
        <w:rPr>
          <w:rFonts w:ascii="Minion Pro"/>
          <w:color w:val="231F20"/>
          <w:spacing w:val="40"/>
          <w:sz w:val="16"/>
        </w:rPr>
        <w:t> </w:t>
      </w:r>
      <w:r>
        <w:rPr>
          <w:rFonts w:ascii="Minion Pro"/>
          <w:color w:val="231F20"/>
          <w:sz w:val="16"/>
        </w:rPr>
        <w:t>01 42 22 67 13</w:t>
      </w:r>
    </w:p>
    <w:p>
      <w:pPr>
        <w:spacing w:after="0" w:line="199" w:lineRule="auto"/>
        <w:jc w:val="center"/>
        <w:rPr>
          <w:rFonts w:ascii="Minion Pro"/>
          <w:sz w:val="16"/>
        </w:rPr>
        <w:sectPr>
          <w:type w:val="continuous"/>
          <w:pgSz w:w="8790" w:h="13610"/>
          <w:pgMar w:header="0" w:footer="0" w:top="320" w:bottom="280" w:left="880" w:right="880"/>
        </w:sectPr>
      </w:pPr>
    </w:p>
    <w:p>
      <w:pPr>
        <w:pStyle w:val="BodyText"/>
        <w:spacing w:before="11"/>
        <w:ind w:left="0"/>
        <w:jc w:val="left"/>
        <w:rPr>
          <w:rFonts w:ascii="Minion Pro"/>
          <w:sz w:val="14"/>
        </w:rPr>
      </w:pPr>
    </w:p>
    <w:p>
      <w:pPr>
        <w:spacing w:after="0"/>
        <w:jc w:val="left"/>
        <w:rPr>
          <w:rFonts w:ascii="Minion Pro"/>
          <w:sz w:val="14"/>
        </w:rPr>
        <w:sectPr>
          <w:footerReference w:type="even" r:id="rId77"/>
          <w:pgSz w:w="8790" w:h="13610"/>
          <w:pgMar w:header="0" w:footer="0" w:top="1540" w:bottom="280" w:left="880" w:right="880"/>
        </w:sectPr>
      </w:pPr>
    </w:p>
    <w:p>
      <w:pPr>
        <w:pStyle w:val="Heading1"/>
        <w:spacing w:line="230" w:lineRule="auto" w:before="87"/>
        <w:ind w:left="971" w:right="0" w:hanging="731"/>
        <w:jc w:val="left"/>
      </w:pPr>
      <w:r>
        <w:rPr/>
        <mc:AlternateContent>
          <mc:Choice Requires="wps">
            <w:drawing>
              <wp:anchor distT="0" distB="0" distL="0" distR="0" allowOverlap="1" layoutInCell="1" locked="0" behindDoc="1" simplePos="0" relativeHeight="485627392">
                <wp:simplePos x="0" y="0"/>
                <wp:positionH relativeFrom="page">
                  <wp:posOffset>0</wp:posOffset>
                </wp:positionH>
                <wp:positionV relativeFrom="page">
                  <wp:posOffset>0</wp:posOffset>
                </wp:positionV>
                <wp:extent cx="5580380" cy="8640445"/>
                <wp:effectExtent l="0" t="0" r="0" b="0"/>
                <wp:wrapNone/>
                <wp:docPr id="206" name="Group 206"/>
                <wp:cNvGraphicFramePr>
                  <a:graphicFrameLocks/>
                </wp:cNvGraphicFramePr>
                <a:graphic>
                  <a:graphicData uri="http://schemas.microsoft.com/office/word/2010/wordprocessingGroup">
                    <wpg:wgp>
                      <wpg:cNvPr id="206" name="Group 206"/>
                      <wpg:cNvGrpSpPr/>
                      <wpg:grpSpPr>
                        <a:xfrm>
                          <a:off x="0" y="0"/>
                          <a:ext cx="5580380" cy="8640445"/>
                          <a:chExt cx="5580380" cy="8640445"/>
                        </a:xfrm>
                      </wpg:grpSpPr>
                      <wps:wsp>
                        <wps:cNvPr id="207" name="Graphic 207"/>
                        <wps:cNvSpPr/>
                        <wps:spPr>
                          <a:xfrm>
                            <a:off x="0" y="324002"/>
                            <a:ext cx="5580380" cy="8315959"/>
                          </a:xfrm>
                          <a:custGeom>
                            <a:avLst/>
                            <a:gdLst/>
                            <a:ahLst/>
                            <a:cxnLst/>
                            <a:rect l="l" t="t" r="r" b="b"/>
                            <a:pathLst>
                              <a:path w="5580380" h="8315959">
                                <a:moveTo>
                                  <a:pt x="0" y="8315871"/>
                                </a:moveTo>
                                <a:lnTo>
                                  <a:pt x="5579998" y="8315871"/>
                                </a:lnTo>
                                <a:lnTo>
                                  <a:pt x="5579998" y="0"/>
                                </a:lnTo>
                                <a:lnTo>
                                  <a:pt x="0" y="0"/>
                                </a:lnTo>
                                <a:lnTo>
                                  <a:pt x="0" y="8315871"/>
                                </a:lnTo>
                                <a:close/>
                              </a:path>
                            </a:pathLst>
                          </a:custGeom>
                          <a:solidFill>
                            <a:srgbClr val="FFE2A7"/>
                          </a:solidFill>
                        </wps:spPr>
                        <wps:bodyPr wrap="square" lIns="0" tIns="0" rIns="0" bIns="0" rtlCol="0">
                          <a:prstTxWarp prst="textNoShape">
                            <a:avLst/>
                          </a:prstTxWarp>
                          <a:noAutofit/>
                        </wps:bodyPr>
                      </wps:wsp>
                      <wps:wsp>
                        <wps:cNvPr id="208" name="Graphic 208"/>
                        <wps:cNvSpPr/>
                        <wps:spPr>
                          <a:xfrm>
                            <a:off x="3537000" y="7542009"/>
                            <a:ext cx="1332230" cy="774065"/>
                          </a:xfrm>
                          <a:custGeom>
                            <a:avLst/>
                            <a:gdLst/>
                            <a:ahLst/>
                            <a:cxnLst/>
                            <a:rect l="l" t="t" r="r" b="b"/>
                            <a:pathLst>
                              <a:path w="1332230" h="774065">
                                <a:moveTo>
                                  <a:pt x="1332001" y="0"/>
                                </a:moveTo>
                                <a:lnTo>
                                  <a:pt x="0" y="0"/>
                                </a:lnTo>
                                <a:lnTo>
                                  <a:pt x="0" y="774001"/>
                                </a:lnTo>
                                <a:lnTo>
                                  <a:pt x="1332001" y="774001"/>
                                </a:lnTo>
                                <a:lnTo>
                                  <a:pt x="1332001" y="0"/>
                                </a:lnTo>
                                <a:close/>
                              </a:path>
                            </a:pathLst>
                          </a:custGeom>
                          <a:solidFill>
                            <a:srgbClr val="FFFFFF"/>
                          </a:solidFill>
                        </wps:spPr>
                        <wps:bodyPr wrap="square" lIns="0" tIns="0" rIns="0" bIns="0" rtlCol="0">
                          <a:prstTxWarp prst="textNoShape">
                            <a:avLst/>
                          </a:prstTxWarp>
                          <a:noAutofit/>
                        </wps:bodyPr>
                      </wps:wsp>
                      <wps:wsp>
                        <wps:cNvPr id="209" name="Graphic 209"/>
                        <wps:cNvSpPr/>
                        <wps:spPr>
                          <a:xfrm>
                            <a:off x="3707841" y="7680146"/>
                            <a:ext cx="1034415" cy="462280"/>
                          </a:xfrm>
                          <a:custGeom>
                            <a:avLst/>
                            <a:gdLst/>
                            <a:ahLst/>
                            <a:cxnLst/>
                            <a:rect l="l" t="t" r="r" b="b"/>
                            <a:pathLst>
                              <a:path w="1034415" h="462280">
                                <a:moveTo>
                                  <a:pt x="10883" y="12"/>
                                </a:moveTo>
                                <a:lnTo>
                                  <a:pt x="0" y="12"/>
                                </a:lnTo>
                                <a:lnTo>
                                  <a:pt x="0" y="461670"/>
                                </a:lnTo>
                                <a:lnTo>
                                  <a:pt x="10883" y="461670"/>
                                </a:lnTo>
                                <a:lnTo>
                                  <a:pt x="10883" y="12"/>
                                </a:lnTo>
                                <a:close/>
                              </a:path>
                              <a:path w="1034415" h="462280">
                                <a:moveTo>
                                  <a:pt x="32651" y="12"/>
                                </a:moveTo>
                                <a:lnTo>
                                  <a:pt x="21767" y="12"/>
                                </a:lnTo>
                                <a:lnTo>
                                  <a:pt x="21767" y="461670"/>
                                </a:lnTo>
                                <a:lnTo>
                                  <a:pt x="32651" y="461670"/>
                                </a:lnTo>
                                <a:lnTo>
                                  <a:pt x="32651" y="12"/>
                                </a:lnTo>
                                <a:close/>
                              </a:path>
                              <a:path w="1034415" h="462280">
                                <a:moveTo>
                                  <a:pt x="76187" y="0"/>
                                </a:moveTo>
                                <a:lnTo>
                                  <a:pt x="42697" y="0"/>
                                </a:lnTo>
                                <a:lnTo>
                                  <a:pt x="42697" y="407263"/>
                                </a:lnTo>
                                <a:lnTo>
                                  <a:pt x="76187" y="407263"/>
                                </a:lnTo>
                                <a:lnTo>
                                  <a:pt x="76187" y="0"/>
                                </a:lnTo>
                                <a:close/>
                              </a:path>
                              <a:path w="1034415" h="462280">
                                <a:moveTo>
                                  <a:pt x="108813" y="0"/>
                                </a:moveTo>
                                <a:lnTo>
                                  <a:pt x="86220" y="0"/>
                                </a:lnTo>
                                <a:lnTo>
                                  <a:pt x="86220" y="407263"/>
                                </a:lnTo>
                                <a:lnTo>
                                  <a:pt x="108813" y="407263"/>
                                </a:lnTo>
                                <a:lnTo>
                                  <a:pt x="108813" y="0"/>
                                </a:lnTo>
                                <a:close/>
                              </a:path>
                              <a:path w="1034415" h="462280">
                                <a:moveTo>
                                  <a:pt x="152361" y="0"/>
                                </a:moveTo>
                                <a:lnTo>
                                  <a:pt x="142316" y="0"/>
                                </a:lnTo>
                                <a:lnTo>
                                  <a:pt x="142316" y="407263"/>
                                </a:lnTo>
                                <a:lnTo>
                                  <a:pt x="152361" y="407263"/>
                                </a:lnTo>
                                <a:lnTo>
                                  <a:pt x="152361" y="0"/>
                                </a:lnTo>
                                <a:close/>
                              </a:path>
                              <a:path w="1034415" h="462280">
                                <a:moveTo>
                                  <a:pt x="185000" y="0"/>
                                </a:moveTo>
                                <a:lnTo>
                                  <a:pt x="174955" y="0"/>
                                </a:lnTo>
                                <a:lnTo>
                                  <a:pt x="174955" y="407263"/>
                                </a:lnTo>
                                <a:lnTo>
                                  <a:pt x="185000" y="407263"/>
                                </a:lnTo>
                                <a:lnTo>
                                  <a:pt x="185000" y="0"/>
                                </a:lnTo>
                                <a:close/>
                              </a:path>
                              <a:path w="1034415" h="462280">
                                <a:moveTo>
                                  <a:pt x="228523" y="0"/>
                                </a:moveTo>
                                <a:lnTo>
                                  <a:pt x="205930" y="0"/>
                                </a:lnTo>
                                <a:lnTo>
                                  <a:pt x="205930" y="407263"/>
                                </a:lnTo>
                                <a:lnTo>
                                  <a:pt x="228523" y="407263"/>
                                </a:lnTo>
                                <a:lnTo>
                                  <a:pt x="228523" y="0"/>
                                </a:lnTo>
                                <a:close/>
                              </a:path>
                              <a:path w="1034415" h="462280">
                                <a:moveTo>
                                  <a:pt x="261188" y="0"/>
                                </a:moveTo>
                                <a:lnTo>
                                  <a:pt x="238582" y="0"/>
                                </a:lnTo>
                                <a:lnTo>
                                  <a:pt x="238582" y="407263"/>
                                </a:lnTo>
                                <a:lnTo>
                                  <a:pt x="261188" y="407263"/>
                                </a:lnTo>
                                <a:lnTo>
                                  <a:pt x="261188" y="0"/>
                                </a:lnTo>
                                <a:close/>
                              </a:path>
                              <a:path w="1034415" h="462280">
                                <a:moveTo>
                                  <a:pt x="304711" y="0"/>
                                </a:moveTo>
                                <a:lnTo>
                                  <a:pt x="283781" y="0"/>
                                </a:lnTo>
                                <a:lnTo>
                                  <a:pt x="283781" y="407263"/>
                                </a:lnTo>
                                <a:lnTo>
                                  <a:pt x="304711" y="407263"/>
                                </a:lnTo>
                                <a:lnTo>
                                  <a:pt x="304711" y="0"/>
                                </a:lnTo>
                                <a:close/>
                              </a:path>
                              <a:path w="1034415" h="462280">
                                <a:moveTo>
                                  <a:pt x="337350" y="0"/>
                                </a:moveTo>
                                <a:lnTo>
                                  <a:pt x="327304" y="0"/>
                                </a:lnTo>
                                <a:lnTo>
                                  <a:pt x="327304" y="407263"/>
                                </a:lnTo>
                                <a:lnTo>
                                  <a:pt x="337350" y="407263"/>
                                </a:lnTo>
                                <a:lnTo>
                                  <a:pt x="337350" y="0"/>
                                </a:lnTo>
                                <a:close/>
                              </a:path>
                              <a:path w="1034415" h="462280">
                                <a:moveTo>
                                  <a:pt x="391782" y="0"/>
                                </a:moveTo>
                                <a:lnTo>
                                  <a:pt x="359130" y="0"/>
                                </a:lnTo>
                                <a:lnTo>
                                  <a:pt x="359130" y="407263"/>
                                </a:lnTo>
                                <a:lnTo>
                                  <a:pt x="391782" y="407263"/>
                                </a:lnTo>
                                <a:lnTo>
                                  <a:pt x="391782" y="0"/>
                                </a:lnTo>
                                <a:close/>
                              </a:path>
                              <a:path w="1034415" h="462280">
                                <a:moveTo>
                                  <a:pt x="413537" y="0"/>
                                </a:moveTo>
                                <a:lnTo>
                                  <a:pt x="402653" y="0"/>
                                </a:lnTo>
                                <a:lnTo>
                                  <a:pt x="402653" y="407263"/>
                                </a:lnTo>
                                <a:lnTo>
                                  <a:pt x="413537" y="407263"/>
                                </a:lnTo>
                                <a:lnTo>
                                  <a:pt x="413537" y="0"/>
                                </a:lnTo>
                                <a:close/>
                              </a:path>
                              <a:path w="1034415" h="462280">
                                <a:moveTo>
                                  <a:pt x="467956" y="0"/>
                                </a:moveTo>
                                <a:lnTo>
                                  <a:pt x="446189" y="0"/>
                                </a:lnTo>
                                <a:lnTo>
                                  <a:pt x="446189" y="407263"/>
                                </a:lnTo>
                                <a:lnTo>
                                  <a:pt x="467956" y="407263"/>
                                </a:lnTo>
                                <a:lnTo>
                                  <a:pt x="467956" y="0"/>
                                </a:lnTo>
                                <a:close/>
                              </a:path>
                              <a:path w="1034415" h="462280">
                                <a:moveTo>
                                  <a:pt x="489724" y="0"/>
                                </a:moveTo>
                                <a:lnTo>
                                  <a:pt x="478840" y="0"/>
                                </a:lnTo>
                                <a:lnTo>
                                  <a:pt x="478840" y="407263"/>
                                </a:lnTo>
                                <a:lnTo>
                                  <a:pt x="489724" y="407263"/>
                                </a:lnTo>
                                <a:lnTo>
                                  <a:pt x="489724" y="0"/>
                                </a:lnTo>
                                <a:close/>
                              </a:path>
                              <a:path w="1034415" h="462280">
                                <a:moveTo>
                                  <a:pt x="511479" y="12"/>
                                </a:moveTo>
                                <a:lnTo>
                                  <a:pt x="500595" y="12"/>
                                </a:lnTo>
                                <a:lnTo>
                                  <a:pt x="500595" y="461670"/>
                                </a:lnTo>
                                <a:lnTo>
                                  <a:pt x="511479" y="461670"/>
                                </a:lnTo>
                                <a:lnTo>
                                  <a:pt x="511479" y="12"/>
                                </a:lnTo>
                                <a:close/>
                              </a:path>
                              <a:path w="1034415" h="462280">
                                <a:moveTo>
                                  <a:pt x="533247" y="12"/>
                                </a:moveTo>
                                <a:lnTo>
                                  <a:pt x="522363" y="12"/>
                                </a:lnTo>
                                <a:lnTo>
                                  <a:pt x="522363" y="461670"/>
                                </a:lnTo>
                                <a:lnTo>
                                  <a:pt x="533247" y="461670"/>
                                </a:lnTo>
                                <a:lnTo>
                                  <a:pt x="533247" y="12"/>
                                </a:lnTo>
                                <a:close/>
                              </a:path>
                              <a:path w="1034415" h="462280">
                                <a:moveTo>
                                  <a:pt x="566737" y="0"/>
                                </a:moveTo>
                                <a:lnTo>
                                  <a:pt x="544131" y="0"/>
                                </a:lnTo>
                                <a:lnTo>
                                  <a:pt x="544131" y="407263"/>
                                </a:lnTo>
                                <a:lnTo>
                                  <a:pt x="566737" y="407263"/>
                                </a:lnTo>
                                <a:lnTo>
                                  <a:pt x="566737" y="0"/>
                                </a:lnTo>
                                <a:close/>
                              </a:path>
                              <a:path w="1034415" h="462280">
                                <a:moveTo>
                                  <a:pt x="599376" y="0"/>
                                </a:moveTo>
                                <a:lnTo>
                                  <a:pt x="576770" y="0"/>
                                </a:lnTo>
                                <a:lnTo>
                                  <a:pt x="576770" y="407263"/>
                                </a:lnTo>
                                <a:lnTo>
                                  <a:pt x="599376" y="407263"/>
                                </a:lnTo>
                                <a:lnTo>
                                  <a:pt x="599376" y="0"/>
                                </a:lnTo>
                                <a:close/>
                              </a:path>
                              <a:path w="1034415" h="462280">
                                <a:moveTo>
                                  <a:pt x="652957" y="0"/>
                                </a:moveTo>
                                <a:lnTo>
                                  <a:pt x="620306" y="0"/>
                                </a:lnTo>
                                <a:lnTo>
                                  <a:pt x="620306" y="407263"/>
                                </a:lnTo>
                                <a:lnTo>
                                  <a:pt x="652957" y="407263"/>
                                </a:lnTo>
                                <a:lnTo>
                                  <a:pt x="652957" y="0"/>
                                </a:lnTo>
                                <a:close/>
                              </a:path>
                              <a:path w="1034415" h="462280">
                                <a:moveTo>
                                  <a:pt x="674712" y="0"/>
                                </a:moveTo>
                                <a:lnTo>
                                  <a:pt x="663829" y="0"/>
                                </a:lnTo>
                                <a:lnTo>
                                  <a:pt x="663829" y="407263"/>
                                </a:lnTo>
                                <a:lnTo>
                                  <a:pt x="674712" y="407263"/>
                                </a:lnTo>
                                <a:lnTo>
                                  <a:pt x="674712" y="0"/>
                                </a:lnTo>
                                <a:close/>
                              </a:path>
                              <a:path w="1034415" h="462280">
                                <a:moveTo>
                                  <a:pt x="707364" y="0"/>
                                </a:moveTo>
                                <a:lnTo>
                                  <a:pt x="696480" y="0"/>
                                </a:lnTo>
                                <a:lnTo>
                                  <a:pt x="696480" y="407263"/>
                                </a:lnTo>
                                <a:lnTo>
                                  <a:pt x="707364" y="407263"/>
                                </a:lnTo>
                                <a:lnTo>
                                  <a:pt x="707364" y="0"/>
                                </a:lnTo>
                                <a:close/>
                              </a:path>
                              <a:path w="1034415" h="462280">
                                <a:moveTo>
                                  <a:pt x="761784" y="0"/>
                                </a:moveTo>
                                <a:lnTo>
                                  <a:pt x="729132" y="0"/>
                                </a:lnTo>
                                <a:lnTo>
                                  <a:pt x="729132" y="407263"/>
                                </a:lnTo>
                                <a:lnTo>
                                  <a:pt x="761784" y="407263"/>
                                </a:lnTo>
                                <a:lnTo>
                                  <a:pt x="761784" y="0"/>
                                </a:lnTo>
                                <a:close/>
                              </a:path>
                              <a:path w="1034415" h="462280">
                                <a:moveTo>
                                  <a:pt x="783539" y="0"/>
                                </a:moveTo>
                                <a:lnTo>
                                  <a:pt x="772655" y="0"/>
                                </a:lnTo>
                                <a:lnTo>
                                  <a:pt x="772655" y="407263"/>
                                </a:lnTo>
                                <a:lnTo>
                                  <a:pt x="783539" y="407263"/>
                                </a:lnTo>
                                <a:lnTo>
                                  <a:pt x="783539" y="0"/>
                                </a:lnTo>
                                <a:close/>
                              </a:path>
                              <a:path w="1034415" h="462280">
                                <a:moveTo>
                                  <a:pt x="837958" y="0"/>
                                </a:moveTo>
                                <a:lnTo>
                                  <a:pt x="805307" y="0"/>
                                </a:lnTo>
                                <a:lnTo>
                                  <a:pt x="805307" y="407263"/>
                                </a:lnTo>
                                <a:lnTo>
                                  <a:pt x="837958" y="407263"/>
                                </a:lnTo>
                                <a:lnTo>
                                  <a:pt x="837958" y="0"/>
                                </a:lnTo>
                                <a:close/>
                              </a:path>
                              <a:path w="1034415" h="462280">
                                <a:moveTo>
                                  <a:pt x="881481" y="0"/>
                                </a:moveTo>
                                <a:lnTo>
                                  <a:pt x="848829" y="0"/>
                                </a:lnTo>
                                <a:lnTo>
                                  <a:pt x="848829" y="407263"/>
                                </a:lnTo>
                                <a:lnTo>
                                  <a:pt x="881481" y="407263"/>
                                </a:lnTo>
                                <a:lnTo>
                                  <a:pt x="881481" y="0"/>
                                </a:lnTo>
                                <a:close/>
                              </a:path>
                              <a:path w="1034415" h="462280">
                                <a:moveTo>
                                  <a:pt x="903249" y="0"/>
                                </a:moveTo>
                                <a:lnTo>
                                  <a:pt x="892365" y="0"/>
                                </a:lnTo>
                                <a:lnTo>
                                  <a:pt x="892365" y="407263"/>
                                </a:lnTo>
                                <a:lnTo>
                                  <a:pt x="903249" y="407263"/>
                                </a:lnTo>
                                <a:lnTo>
                                  <a:pt x="903249" y="0"/>
                                </a:lnTo>
                                <a:close/>
                              </a:path>
                              <a:path w="1034415" h="462280">
                                <a:moveTo>
                                  <a:pt x="947597" y="0"/>
                                </a:moveTo>
                                <a:lnTo>
                                  <a:pt x="925004" y="0"/>
                                </a:lnTo>
                                <a:lnTo>
                                  <a:pt x="925004" y="407263"/>
                                </a:lnTo>
                                <a:lnTo>
                                  <a:pt x="947597" y="407263"/>
                                </a:lnTo>
                                <a:lnTo>
                                  <a:pt x="947597" y="0"/>
                                </a:lnTo>
                                <a:close/>
                              </a:path>
                              <a:path w="1034415" h="462280">
                                <a:moveTo>
                                  <a:pt x="991133" y="0"/>
                                </a:moveTo>
                                <a:lnTo>
                                  <a:pt x="968540" y="0"/>
                                </a:lnTo>
                                <a:lnTo>
                                  <a:pt x="968540" y="407263"/>
                                </a:lnTo>
                                <a:lnTo>
                                  <a:pt x="991133" y="407263"/>
                                </a:lnTo>
                                <a:lnTo>
                                  <a:pt x="991133" y="0"/>
                                </a:lnTo>
                                <a:close/>
                              </a:path>
                              <a:path w="1034415" h="462280">
                                <a:moveTo>
                                  <a:pt x="1012075" y="12"/>
                                </a:moveTo>
                                <a:lnTo>
                                  <a:pt x="1001191" y="12"/>
                                </a:lnTo>
                                <a:lnTo>
                                  <a:pt x="1001191" y="461670"/>
                                </a:lnTo>
                                <a:lnTo>
                                  <a:pt x="1012075" y="461670"/>
                                </a:lnTo>
                                <a:lnTo>
                                  <a:pt x="1012075" y="12"/>
                                </a:lnTo>
                                <a:close/>
                              </a:path>
                              <a:path w="1034415" h="462280">
                                <a:moveTo>
                                  <a:pt x="1033830" y="12"/>
                                </a:moveTo>
                                <a:lnTo>
                                  <a:pt x="1022946" y="12"/>
                                </a:lnTo>
                                <a:lnTo>
                                  <a:pt x="1022946" y="461670"/>
                                </a:lnTo>
                                <a:lnTo>
                                  <a:pt x="1033830" y="461670"/>
                                </a:lnTo>
                                <a:lnTo>
                                  <a:pt x="1033830" y="12"/>
                                </a:lnTo>
                                <a:close/>
                              </a:path>
                            </a:pathLst>
                          </a:custGeom>
                          <a:solidFill>
                            <a:srgbClr val="231F20"/>
                          </a:solidFill>
                        </wps:spPr>
                        <wps:bodyPr wrap="square" lIns="0" tIns="0" rIns="0" bIns="0" rtlCol="0">
                          <a:prstTxWarp prst="textNoShape">
                            <a:avLst/>
                          </a:prstTxWarp>
                          <a:noAutofit/>
                        </wps:bodyPr>
                      </wps:wsp>
                      <wps:wsp>
                        <wps:cNvPr id="210" name="Graphic 210"/>
                        <wps:cNvSpPr/>
                        <wps:spPr>
                          <a:xfrm>
                            <a:off x="0" y="0"/>
                            <a:ext cx="5580380" cy="324485"/>
                          </a:xfrm>
                          <a:custGeom>
                            <a:avLst/>
                            <a:gdLst/>
                            <a:ahLst/>
                            <a:cxnLst/>
                            <a:rect l="l" t="t" r="r" b="b"/>
                            <a:pathLst>
                              <a:path w="5580380" h="324485">
                                <a:moveTo>
                                  <a:pt x="0" y="324002"/>
                                </a:moveTo>
                                <a:lnTo>
                                  <a:pt x="5579986" y="324002"/>
                                </a:lnTo>
                                <a:lnTo>
                                  <a:pt x="5579986" y="0"/>
                                </a:lnTo>
                                <a:lnTo>
                                  <a:pt x="0" y="0"/>
                                </a:lnTo>
                                <a:lnTo>
                                  <a:pt x="0" y="324002"/>
                                </a:lnTo>
                                <a:close/>
                              </a:path>
                            </a:pathLst>
                          </a:custGeom>
                          <a:solidFill>
                            <a:srgbClr val="B41630"/>
                          </a:solidFill>
                        </wps:spPr>
                        <wps:bodyPr wrap="square" lIns="0" tIns="0" rIns="0" bIns="0" rtlCol="0">
                          <a:prstTxWarp prst="textNoShape">
                            <a:avLst/>
                          </a:prstTxWarp>
                          <a:noAutofit/>
                        </wps:bodyPr>
                      </wps:wsp>
                      <pic:pic>
                        <pic:nvPicPr>
                          <pic:cNvPr id="211" name="Image 211"/>
                          <pic:cNvPicPr/>
                        </pic:nvPicPr>
                        <pic:blipFill>
                          <a:blip r:embed="rId79" cstate="print"/>
                          <a:stretch>
                            <a:fillRect/>
                          </a:stretch>
                        </pic:blipFill>
                        <pic:spPr>
                          <a:xfrm>
                            <a:off x="720172" y="5333662"/>
                            <a:ext cx="735028" cy="961593"/>
                          </a:xfrm>
                          <a:prstGeom prst="rect">
                            <a:avLst/>
                          </a:prstGeom>
                        </pic:spPr>
                      </pic:pic>
                    </wpg:wgp>
                  </a:graphicData>
                </a:graphic>
              </wp:anchor>
            </w:drawing>
          </mc:Choice>
          <mc:Fallback>
            <w:pict>
              <v:group style="position:absolute;margin-left:.0pt;margin-top:.000001pt;width:439.4pt;height:680.35pt;mso-position-horizontal-relative:page;mso-position-vertical-relative:page;z-index:-17689088" id="docshapegroup202" coordorigin="0,0" coordsize="8788,13607">
                <v:rect style="position:absolute;left:0;top:510;width:8788;height:13096" id="docshape203" filled="true" fillcolor="#ffe2a7" stroked="false">
                  <v:fill type="solid"/>
                </v:rect>
                <v:rect style="position:absolute;left:5570;top:11877;width:2098;height:1219" id="docshape204" filled="true" fillcolor="#ffffff" stroked="false">
                  <v:fill type="solid"/>
                </v:rect>
                <v:shape style="position:absolute;left:5839;top:12094;width:1629;height:728" id="docshape205" coordorigin="5839,12095" coordsize="1629,728" path="m5856,12095l5839,12095,5839,12822,5856,12822,5856,12095xm5891,12095l5873,12095,5873,12822,5891,12822,5891,12095xm5959,12095l5906,12095,5906,12736,5959,12736,5959,12095xm6010,12095l5975,12095,5975,12736,6010,12736,6010,12095xm6079,12095l6063,12095,6063,12736,6079,12736,6079,12095xm6130,12095l6115,12095,6115,12736,6130,12736,6130,12095xm6199,12095l6163,12095,6163,12736,6199,12736,6199,12095xm6250,12095l6215,12095,6215,12736,6250,12736,6250,12095xm6319,12095l6286,12095,6286,12736,6319,12736,6319,12095xm6370,12095l6355,12095,6355,12736,6370,12736,6370,12095xm6456,12095l6405,12095,6405,12736,6456,12736,6456,12095xm6490,12095l6473,12095,6473,12736,6490,12736,6490,12095xm6576,12095l6542,12095,6542,12736,6576,12736,6576,12095xm6610,12095l6593,12095,6593,12736,6610,12736,6610,12095xm6645,12095l6627,12095,6627,12822,6645,12822,6645,12095xm6679,12095l6662,12095,6662,12822,6679,12822,6679,12095xm6732,12095l6696,12095,6696,12736,6732,12736,6732,12095xm6783,12095l6747,12095,6747,12736,6783,12736,6783,12095xm6867,12095l6816,12095,6816,12736,6867,12736,6867,12095xm6902,12095l6885,12095,6885,12736,6902,12736,6902,12095xm6953,12095l6936,12095,6936,12736,6953,12736,6953,12095xm7039,12095l6987,12095,6987,12736,7039,12736,7039,12095xm7073,12095l7056,12095,7056,12736,7073,12736,7073,12095xm7159,12095l7107,12095,7107,12736,7159,12736,7159,12095xm7227,12095l7176,12095,7176,12736,7227,12736,7227,12095xm7262,12095l7244,12095,7244,12736,7262,12736,7262,12095xm7331,12095l7296,12095,7296,12736,7331,12736,7331,12095xm7400,12095l7364,12095,7364,12736,7400,12736,7400,12095xm7433,12095l7416,12095,7416,12822,7433,12822,7433,12095xm7467,12095l7450,12095,7450,12822,7467,12822,7467,12095xe" filled="true" fillcolor="#231f20" stroked="false">
                  <v:path arrowok="t"/>
                  <v:fill type="solid"/>
                </v:shape>
                <v:rect style="position:absolute;left:0;top:0;width:8788;height:511" id="docshape206" filled="true" fillcolor="#b41630" stroked="false">
                  <v:fill type="solid"/>
                </v:rect>
                <v:shape style="position:absolute;left:1134;top:8399;width:1158;height:1515" type="#_x0000_t75" id="docshape207" stroked="false">
                  <v:imagedata r:id="rId79" o:title=""/>
                </v:shape>
                <w10:wrap type="none"/>
              </v:group>
            </w:pict>
          </mc:Fallback>
        </mc:AlternateContent>
      </w:r>
      <w:r>
        <w:rPr>
          <w:color w:val="B41630"/>
          <w:w w:val="115"/>
        </w:rPr>
        <w:t>L’AFRIQUE FRANCOPHONE PEUT-ELLE SE LIBÉRER DE SES CHAÎNES ?</w:t>
      </w:r>
    </w:p>
    <w:p>
      <w:pPr>
        <w:pStyle w:val="BodyText"/>
        <w:spacing w:before="235"/>
        <w:ind w:left="0"/>
        <w:jc w:val="left"/>
        <w:rPr>
          <w:rFonts w:ascii="Cambria"/>
          <w:b/>
        </w:rPr>
      </w:pPr>
    </w:p>
    <w:p>
      <w:pPr>
        <w:pStyle w:val="BodyText"/>
        <w:spacing w:line="244" w:lineRule="auto"/>
        <w:ind w:left="253" w:right="253" w:firstLine="283"/>
        <w:rPr>
          <w:rFonts w:ascii="Adobe Garamond Pro" w:hAnsi="Adobe Garamond Pro"/>
        </w:rPr>
      </w:pPr>
      <w:r>
        <w:rPr>
          <w:rFonts w:ascii="Adobe Garamond Pro" w:hAnsi="Adobe Garamond Pro"/>
          <w:color w:val="231F20"/>
        </w:rPr>
        <w:t>Les jeunes d’Afrique noire francophone n’acceptent plus la vie </w:t>
      </w:r>
      <w:r>
        <w:rPr>
          <w:rFonts w:ascii="Adobe Garamond Pro" w:hAnsi="Adobe Garamond Pro"/>
          <w:color w:val="231F20"/>
        </w:rPr>
        <w:t>de misère que leur imposent leurs dirigeants. Ils ne supportent plus, ni le mode de gouvernance des hommes au pouvoir responsables selon eux des maux dont souffrent leurs États fragiles et fragmentés ni la domination de leurs pays par la France.</w:t>
      </w:r>
    </w:p>
    <w:p>
      <w:pPr>
        <w:pStyle w:val="BodyText"/>
        <w:spacing w:line="244" w:lineRule="auto" w:before="134"/>
        <w:ind w:left="253" w:right="253" w:firstLine="283"/>
        <w:rPr>
          <w:rFonts w:ascii="Adobe Garamond Pro" w:hAnsi="Adobe Garamond Pro"/>
        </w:rPr>
      </w:pPr>
      <w:r>
        <w:rPr>
          <w:rFonts w:ascii="Adobe Garamond Pro" w:hAnsi="Adobe Garamond Pro"/>
          <w:color w:val="231F20"/>
        </w:rPr>
        <w:t>Basé sur la recherche documentaire et le constat personnel de l’auteur,</w:t>
      </w:r>
      <w:r>
        <w:rPr>
          <w:rFonts w:ascii="Adobe Garamond Pro" w:hAnsi="Adobe Garamond Pro"/>
          <w:color w:val="231F20"/>
          <w:spacing w:val="-15"/>
        </w:rPr>
        <w:t> </w:t>
      </w:r>
      <w:r>
        <w:rPr>
          <w:rFonts w:ascii="Adobe Garamond Pro" w:hAnsi="Adobe Garamond Pro"/>
          <w:i/>
          <w:color w:val="231F20"/>
        </w:rPr>
        <w:t>L’Afrique</w:t>
      </w:r>
      <w:r>
        <w:rPr>
          <w:rFonts w:ascii="Adobe Garamond Pro" w:hAnsi="Adobe Garamond Pro"/>
          <w:i/>
          <w:color w:val="231F20"/>
          <w:spacing w:val="-15"/>
        </w:rPr>
        <w:t> </w:t>
      </w:r>
      <w:r>
        <w:rPr>
          <w:rFonts w:ascii="Adobe Garamond Pro" w:hAnsi="Adobe Garamond Pro"/>
          <w:i/>
          <w:color w:val="231F20"/>
        </w:rPr>
        <w:t>francophone</w:t>
      </w:r>
      <w:r>
        <w:rPr>
          <w:rFonts w:ascii="Adobe Garamond Pro" w:hAnsi="Adobe Garamond Pro"/>
          <w:i/>
          <w:color w:val="231F20"/>
          <w:spacing w:val="-15"/>
        </w:rPr>
        <w:t> </w:t>
      </w:r>
      <w:r>
        <w:rPr>
          <w:rFonts w:ascii="Adobe Garamond Pro" w:hAnsi="Adobe Garamond Pro"/>
          <w:i/>
          <w:color w:val="231F20"/>
        </w:rPr>
        <w:t>peut-elle</w:t>
      </w:r>
      <w:r>
        <w:rPr>
          <w:rFonts w:ascii="Adobe Garamond Pro" w:hAnsi="Adobe Garamond Pro"/>
          <w:i/>
          <w:color w:val="231F20"/>
          <w:spacing w:val="-15"/>
        </w:rPr>
        <w:t> </w:t>
      </w:r>
      <w:r>
        <w:rPr>
          <w:rFonts w:ascii="Adobe Garamond Pro" w:hAnsi="Adobe Garamond Pro"/>
          <w:i/>
          <w:color w:val="231F20"/>
        </w:rPr>
        <w:t>se</w:t>
      </w:r>
      <w:r>
        <w:rPr>
          <w:rFonts w:ascii="Adobe Garamond Pro" w:hAnsi="Adobe Garamond Pro"/>
          <w:i/>
          <w:color w:val="231F20"/>
          <w:spacing w:val="-15"/>
        </w:rPr>
        <w:t> </w:t>
      </w:r>
      <w:r>
        <w:rPr>
          <w:rFonts w:ascii="Adobe Garamond Pro" w:hAnsi="Adobe Garamond Pro"/>
          <w:i/>
          <w:color w:val="231F20"/>
        </w:rPr>
        <w:t>libérer</w:t>
      </w:r>
      <w:r>
        <w:rPr>
          <w:rFonts w:ascii="Adobe Garamond Pro" w:hAnsi="Adobe Garamond Pro"/>
          <w:i/>
          <w:color w:val="231F20"/>
          <w:spacing w:val="-15"/>
        </w:rPr>
        <w:t> </w:t>
      </w:r>
      <w:r>
        <w:rPr>
          <w:rFonts w:ascii="Adobe Garamond Pro" w:hAnsi="Adobe Garamond Pro"/>
          <w:i/>
          <w:color w:val="231F20"/>
        </w:rPr>
        <w:t>de</w:t>
      </w:r>
      <w:r>
        <w:rPr>
          <w:rFonts w:ascii="Adobe Garamond Pro" w:hAnsi="Adobe Garamond Pro"/>
          <w:i/>
          <w:color w:val="231F20"/>
          <w:spacing w:val="-15"/>
        </w:rPr>
        <w:t> </w:t>
      </w:r>
      <w:r>
        <w:rPr>
          <w:rFonts w:ascii="Adobe Garamond Pro" w:hAnsi="Adobe Garamond Pro"/>
          <w:i/>
          <w:color w:val="231F20"/>
        </w:rPr>
        <w:t>ses</w:t>
      </w:r>
      <w:r>
        <w:rPr>
          <w:rFonts w:ascii="Adobe Garamond Pro" w:hAnsi="Adobe Garamond Pro"/>
          <w:i/>
          <w:color w:val="231F20"/>
          <w:spacing w:val="-15"/>
        </w:rPr>
        <w:t> </w:t>
      </w:r>
      <w:r>
        <w:rPr>
          <w:rFonts w:ascii="Adobe Garamond Pro" w:hAnsi="Adobe Garamond Pro"/>
          <w:i/>
          <w:color w:val="231F20"/>
        </w:rPr>
        <w:t>chaînes</w:t>
      </w:r>
      <w:r>
        <w:rPr>
          <w:rFonts w:ascii="Adobe Garamond Pro" w:hAnsi="Adobe Garamond Pro"/>
          <w:i/>
          <w:color w:val="231F20"/>
          <w:spacing w:val="-15"/>
        </w:rPr>
        <w:t> </w:t>
      </w:r>
      <w:r>
        <w:rPr>
          <w:rFonts w:ascii="Adobe Garamond Pro" w:hAnsi="Adobe Garamond Pro"/>
          <w:i/>
          <w:color w:val="231F20"/>
        </w:rPr>
        <w:t>?</w:t>
      </w:r>
      <w:r>
        <w:rPr>
          <w:rFonts w:ascii="Adobe Garamond Pro" w:hAnsi="Adobe Garamond Pro"/>
          <w:i/>
          <w:color w:val="231F20"/>
          <w:spacing w:val="-15"/>
        </w:rPr>
        <w:t> </w:t>
      </w:r>
      <w:r>
        <w:rPr>
          <w:rFonts w:ascii="Adobe Garamond Pro" w:hAnsi="Adobe Garamond Pro"/>
          <w:color w:val="231F20"/>
        </w:rPr>
        <w:t>s’adresse à la nouvelle génération d’Africains et lui raconte une histoire : la sienne ; celle des Africains noirs au sud du Sahara ; celle de plusieurs siècles pour l’homme Noir à dire « oui missié » à l’homme Blanc.</w:t>
      </w:r>
    </w:p>
    <w:p>
      <w:pPr>
        <w:pStyle w:val="BodyText"/>
        <w:spacing w:line="244" w:lineRule="auto" w:before="134"/>
        <w:ind w:left="253" w:right="253" w:firstLine="283"/>
        <w:rPr>
          <w:rFonts w:ascii="Adobe Garamond Pro" w:hAnsi="Adobe Garamond Pro"/>
        </w:rPr>
      </w:pPr>
      <w:r>
        <w:rPr>
          <w:rFonts w:ascii="Adobe Garamond Pro" w:hAnsi="Adobe Garamond Pro"/>
          <w:color w:val="231F20"/>
        </w:rPr>
        <w:t>Pour l’auteur, il est temps de se défaire de la </w:t>
      </w:r>
      <w:r>
        <w:rPr>
          <w:rFonts w:ascii="Adobe Garamond Pro" w:hAnsi="Adobe Garamond Pro"/>
          <w:color w:val="231F20"/>
        </w:rPr>
        <w:t>mentalité d’asservissement et amener le continent noir à se réveiller.</w:t>
      </w:r>
    </w:p>
    <w:p>
      <w:pPr>
        <w:pStyle w:val="BodyText"/>
        <w:ind w:left="0"/>
        <w:jc w:val="left"/>
        <w:rPr>
          <w:rFonts w:ascii="Adobe Garamond Pro"/>
        </w:rPr>
      </w:pPr>
    </w:p>
    <w:p>
      <w:pPr>
        <w:pStyle w:val="BodyText"/>
        <w:ind w:left="0"/>
        <w:jc w:val="left"/>
        <w:rPr>
          <w:rFonts w:ascii="Adobe Garamond Pro"/>
        </w:rPr>
      </w:pPr>
    </w:p>
    <w:p>
      <w:pPr>
        <w:pStyle w:val="BodyText"/>
        <w:ind w:left="0"/>
        <w:jc w:val="left"/>
        <w:rPr>
          <w:rFonts w:ascii="Adobe Garamond Pro"/>
        </w:rPr>
      </w:pPr>
    </w:p>
    <w:p>
      <w:pPr>
        <w:pStyle w:val="BodyText"/>
        <w:ind w:left="0"/>
        <w:jc w:val="left"/>
        <w:rPr>
          <w:rFonts w:ascii="Adobe Garamond Pro"/>
        </w:rPr>
      </w:pPr>
    </w:p>
    <w:p>
      <w:pPr>
        <w:pStyle w:val="BodyText"/>
        <w:ind w:left="0"/>
        <w:jc w:val="left"/>
        <w:rPr>
          <w:rFonts w:ascii="Adobe Garamond Pro"/>
        </w:rPr>
      </w:pPr>
    </w:p>
    <w:p>
      <w:pPr>
        <w:pStyle w:val="BodyText"/>
        <w:ind w:left="0"/>
        <w:jc w:val="left"/>
        <w:rPr>
          <w:rFonts w:ascii="Adobe Garamond Pro"/>
        </w:rPr>
      </w:pPr>
    </w:p>
    <w:p>
      <w:pPr>
        <w:pStyle w:val="BodyText"/>
        <w:spacing w:before="35"/>
        <w:ind w:left="0"/>
        <w:jc w:val="left"/>
        <w:rPr>
          <w:rFonts w:ascii="Adobe Garamond Pro"/>
        </w:rPr>
      </w:pPr>
    </w:p>
    <w:p>
      <w:pPr>
        <w:spacing w:line="230" w:lineRule="auto" w:before="0"/>
        <w:ind w:left="1517" w:right="252" w:firstLine="0"/>
        <w:jc w:val="both"/>
        <w:rPr>
          <w:rFonts w:ascii="Adobe Garamond Pro" w:hAnsi="Adobe Garamond Pro"/>
          <w:i/>
          <w:sz w:val="19"/>
        </w:rPr>
      </w:pPr>
      <w:r>
        <w:rPr>
          <w:rFonts w:ascii="Adobe Garamond Pro" w:hAnsi="Adobe Garamond Pro"/>
          <w:i/>
          <w:color w:val="231F20"/>
          <w:sz w:val="19"/>
        </w:rPr>
        <w:t>Journaliste à la retraite et diplômé de l’Institut des Sciences et Techniques</w:t>
      </w:r>
      <w:r>
        <w:rPr>
          <w:rFonts w:ascii="Adobe Garamond Pro" w:hAnsi="Adobe Garamond Pro"/>
          <w:i/>
          <w:color w:val="231F20"/>
          <w:spacing w:val="40"/>
          <w:sz w:val="19"/>
        </w:rPr>
        <w:t> </w:t>
      </w:r>
      <w:r>
        <w:rPr>
          <w:rFonts w:ascii="Adobe Garamond Pro" w:hAnsi="Adobe Garamond Pro"/>
          <w:i/>
          <w:color w:val="231F20"/>
          <w:sz w:val="19"/>
        </w:rPr>
        <w:t>de la Communication d’Abidjan (ISTC), </w:t>
      </w:r>
      <w:r>
        <w:rPr>
          <w:rFonts w:ascii="Adobe Garamond Pro Bold" w:hAnsi="Adobe Garamond Pro Bold"/>
          <w:b/>
          <w:i/>
          <w:color w:val="231F20"/>
          <w:sz w:val="19"/>
        </w:rPr>
        <w:t>Michel K</w:t>
      </w:r>
      <w:r>
        <w:rPr>
          <w:rFonts w:ascii="Adobe Garamond Pro Bold" w:hAnsi="Adobe Garamond Pro Bold"/>
          <w:b/>
          <w:i/>
          <w:color w:val="231F20"/>
          <w:sz w:val="14"/>
        </w:rPr>
        <w:t>OFFI-</w:t>
      </w:r>
      <w:r>
        <w:rPr>
          <w:rFonts w:ascii="Adobe Garamond Pro Bold" w:hAnsi="Adobe Garamond Pro Bold"/>
          <w:b/>
          <w:i/>
          <w:color w:val="231F20"/>
          <w:sz w:val="19"/>
        </w:rPr>
        <w:t>D</w:t>
      </w:r>
      <w:r>
        <w:rPr>
          <w:rFonts w:ascii="Adobe Garamond Pro Bold" w:hAnsi="Adobe Garamond Pro Bold"/>
          <w:b/>
          <w:i/>
          <w:color w:val="231F20"/>
          <w:sz w:val="14"/>
        </w:rPr>
        <w:t>JÉMÉ</w:t>
      </w:r>
      <w:r>
        <w:rPr>
          <w:rFonts w:ascii="Adobe Garamond Pro Bold" w:hAnsi="Adobe Garamond Pro Bold"/>
          <w:b/>
          <w:i/>
          <w:color w:val="231F20"/>
          <w:spacing w:val="40"/>
          <w:sz w:val="14"/>
        </w:rPr>
        <w:t> </w:t>
      </w:r>
      <w:r>
        <w:rPr>
          <w:rFonts w:ascii="Adobe Garamond Pro" w:hAnsi="Adobe Garamond Pro"/>
          <w:i/>
          <w:color w:val="231F20"/>
          <w:sz w:val="19"/>
        </w:rPr>
        <w:t>a été</w:t>
      </w:r>
      <w:r>
        <w:rPr>
          <w:rFonts w:ascii="Adobe Garamond Pro" w:hAnsi="Adobe Garamond Pro"/>
          <w:i/>
          <w:color w:val="231F20"/>
          <w:sz w:val="19"/>
        </w:rPr>
        <w:t> successivement</w:t>
      </w:r>
      <w:r>
        <w:rPr>
          <w:rFonts w:ascii="Adobe Garamond Pro" w:hAnsi="Adobe Garamond Pro"/>
          <w:i/>
          <w:color w:val="231F20"/>
          <w:spacing w:val="-7"/>
          <w:sz w:val="19"/>
        </w:rPr>
        <w:t> </w:t>
      </w:r>
      <w:r>
        <w:rPr>
          <w:rFonts w:ascii="Adobe Garamond Pro" w:hAnsi="Adobe Garamond Pro"/>
          <w:i/>
          <w:color w:val="231F20"/>
          <w:sz w:val="19"/>
        </w:rPr>
        <w:t>Reporter,</w:t>
      </w:r>
      <w:r>
        <w:rPr>
          <w:rFonts w:ascii="Adobe Garamond Pro" w:hAnsi="Adobe Garamond Pro"/>
          <w:i/>
          <w:color w:val="231F20"/>
          <w:spacing w:val="-8"/>
          <w:sz w:val="19"/>
        </w:rPr>
        <w:t> </w:t>
      </w:r>
      <w:r>
        <w:rPr>
          <w:rFonts w:ascii="Adobe Garamond Pro" w:hAnsi="Adobe Garamond Pro"/>
          <w:i/>
          <w:color w:val="231F20"/>
          <w:sz w:val="19"/>
        </w:rPr>
        <w:t>Présentateur</w:t>
      </w:r>
      <w:r>
        <w:rPr>
          <w:rFonts w:ascii="Adobe Garamond Pro" w:hAnsi="Adobe Garamond Pro"/>
          <w:i/>
          <w:color w:val="231F20"/>
          <w:spacing w:val="-7"/>
          <w:sz w:val="19"/>
        </w:rPr>
        <w:t> </w:t>
      </w:r>
      <w:r>
        <w:rPr>
          <w:rFonts w:ascii="Adobe Garamond Pro" w:hAnsi="Adobe Garamond Pro"/>
          <w:i/>
          <w:color w:val="231F20"/>
          <w:sz w:val="19"/>
        </w:rPr>
        <w:t>de</w:t>
      </w:r>
      <w:r>
        <w:rPr>
          <w:rFonts w:ascii="Adobe Garamond Pro" w:hAnsi="Adobe Garamond Pro"/>
          <w:i/>
          <w:color w:val="231F20"/>
          <w:spacing w:val="-8"/>
          <w:sz w:val="19"/>
        </w:rPr>
        <w:t> </w:t>
      </w:r>
      <w:r>
        <w:rPr>
          <w:rFonts w:ascii="Adobe Garamond Pro" w:hAnsi="Adobe Garamond Pro"/>
          <w:i/>
          <w:color w:val="231F20"/>
          <w:sz w:val="19"/>
        </w:rPr>
        <w:t>journaux</w:t>
      </w:r>
      <w:r>
        <w:rPr>
          <w:rFonts w:ascii="Adobe Garamond Pro" w:hAnsi="Adobe Garamond Pro"/>
          <w:i/>
          <w:color w:val="231F20"/>
          <w:spacing w:val="-7"/>
          <w:sz w:val="19"/>
        </w:rPr>
        <w:t> </w:t>
      </w:r>
      <w:r>
        <w:rPr>
          <w:rFonts w:ascii="Adobe Garamond Pro" w:hAnsi="Adobe Garamond Pro"/>
          <w:i/>
          <w:color w:val="231F20"/>
          <w:sz w:val="19"/>
        </w:rPr>
        <w:t>et</w:t>
      </w:r>
      <w:r>
        <w:rPr>
          <w:rFonts w:ascii="Adobe Garamond Pro" w:hAnsi="Adobe Garamond Pro"/>
          <w:i/>
          <w:color w:val="231F20"/>
          <w:spacing w:val="-8"/>
          <w:sz w:val="19"/>
        </w:rPr>
        <w:t> </w:t>
      </w:r>
      <w:r>
        <w:rPr>
          <w:rFonts w:ascii="Adobe Garamond Pro" w:hAnsi="Adobe Garamond Pro"/>
          <w:i/>
          <w:color w:val="231F20"/>
          <w:sz w:val="19"/>
        </w:rPr>
        <w:t>Producteur</w:t>
      </w:r>
      <w:r>
        <w:rPr>
          <w:rFonts w:ascii="Adobe Garamond Pro" w:hAnsi="Adobe Garamond Pro"/>
          <w:i/>
          <w:color w:val="231F20"/>
          <w:spacing w:val="-7"/>
          <w:sz w:val="19"/>
        </w:rPr>
        <w:t> </w:t>
      </w:r>
      <w:r>
        <w:rPr>
          <w:rFonts w:ascii="Adobe Garamond Pro" w:hAnsi="Adobe Garamond Pro"/>
          <w:i/>
          <w:color w:val="231F20"/>
          <w:sz w:val="19"/>
        </w:rPr>
        <w:t>d’émissions sur</w:t>
      </w:r>
      <w:r>
        <w:rPr>
          <w:rFonts w:ascii="Adobe Garamond Pro" w:hAnsi="Adobe Garamond Pro"/>
          <w:i/>
          <w:color w:val="231F20"/>
          <w:spacing w:val="16"/>
          <w:sz w:val="19"/>
        </w:rPr>
        <w:t> </w:t>
      </w:r>
      <w:r>
        <w:rPr>
          <w:rFonts w:ascii="Adobe Garamond Pro" w:hAnsi="Adobe Garamond Pro"/>
          <w:i/>
          <w:color w:val="231F20"/>
          <w:sz w:val="19"/>
        </w:rPr>
        <w:t>les</w:t>
      </w:r>
      <w:r>
        <w:rPr>
          <w:rFonts w:ascii="Adobe Garamond Pro" w:hAnsi="Adobe Garamond Pro"/>
          <w:i/>
          <w:color w:val="231F20"/>
          <w:spacing w:val="16"/>
          <w:sz w:val="19"/>
        </w:rPr>
        <w:t> </w:t>
      </w:r>
      <w:r>
        <w:rPr>
          <w:rFonts w:ascii="Adobe Garamond Pro" w:hAnsi="Adobe Garamond Pro"/>
          <w:i/>
          <w:color w:val="231F20"/>
          <w:sz w:val="19"/>
        </w:rPr>
        <w:t>questions</w:t>
      </w:r>
      <w:r>
        <w:rPr>
          <w:rFonts w:ascii="Adobe Garamond Pro" w:hAnsi="Adobe Garamond Pro"/>
          <w:i/>
          <w:color w:val="231F20"/>
          <w:spacing w:val="16"/>
          <w:sz w:val="19"/>
        </w:rPr>
        <w:t> </w:t>
      </w:r>
      <w:r>
        <w:rPr>
          <w:rFonts w:ascii="Adobe Garamond Pro" w:hAnsi="Adobe Garamond Pro"/>
          <w:i/>
          <w:color w:val="231F20"/>
          <w:sz w:val="19"/>
        </w:rPr>
        <w:t>de</w:t>
      </w:r>
      <w:r>
        <w:rPr>
          <w:rFonts w:ascii="Adobe Garamond Pro" w:hAnsi="Adobe Garamond Pro"/>
          <w:i/>
          <w:color w:val="231F20"/>
          <w:spacing w:val="15"/>
          <w:sz w:val="19"/>
        </w:rPr>
        <w:t> </w:t>
      </w:r>
      <w:r>
        <w:rPr>
          <w:rFonts w:ascii="Adobe Garamond Pro" w:hAnsi="Adobe Garamond Pro"/>
          <w:i/>
          <w:color w:val="231F20"/>
          <w:sz w:val="19"/>
        </w:rPr>
        <w:t>santé</w:t>
      </w:r>
      <w:r>
        <w:rPr>
          <w:rFonts w:ascii="Adobe Garamond Pro" w:hAnsi="Adobe Garamond Pro"/>
          <w:i/>
          <w:color w:val="231F20"/>
          <w:spacing w:val="16"/>
          <w:sz w:val="19"/>
        </w:rPr>
        <w:t> </w:t>
      </w:r>
      <w:r>
        <w:rPr>
          <w:rFonts w:ascii="Adobe Garamond Pro" w:hAnsi="Adobe Garamond Pro"/>
          <w:i/>
          <w:color w:val="231F20"/>
          <w:sz w:val="19"/>
        </w:rPr>
        <w:t>à</w:t>
      </w:r>
      <w:r>
        <w:rPr>
          <w:rFonts w:ascii="Adobe Garamond Pro" w:hAnsi="Adobe Garamond Pro"/>
          <w:i/>
          <w:color w:val="231F20"/>
          <w:spacing w:val="15"/>
          <w:sz w:val="19"/>
        </w:rPr>
        <w:t> </w:t>
      </w:r>
      <w:r>
        <w:rPr>
          <w:rFonts w:ascii="Adobe Garamond Pro" w:hAnsi="Adobe Garamond Pro"/>
          <w:i/>
          <w:color w:val="231F20"/>
          <w:sz w:val="19"/>
        </w:rPr>
        <w:t>la</w:t>
      </w:r>
      <w:r>
        <w:rPr>
          <w:rFonts w:ascii="Adobe Garamond Pro" w:hAnsi="Adobe Garamond Pro"/>
          <w:i/>
          <w:color w:val="231F20"/>
          <w:spacing w:val="16"/>
          <w:sz w:val="19"/>
        </w:rPr>
        <w:t> </w:t>
      </w:r>
      <w:r>
        <w:rPr>
          <w:rFonts w:ascii="Adobe Garamond Pro" w:hAnsi="Adobe Garamond Pro"/>
          <w:i/>
          <w:color w:val="231F20"/>
          <w:sz w:val="19"/>
        </w:rPr>
        <w:t>Télévision</w:t>
      </w:r>
      <w:r>
        <w:rPr>
          <w:rFonts w:ascii="Adobe Garamond Pro" w:hAnsi="Adobe Garamond Pro"/>
          <w:i/>
          <w:color w:val="231F20"/>
          <w:spacing w:val="16"/>
          <w:sz w:val="19"/>
        </w:rPr>
        <w:t> </w:t>
      </w:r>
      <w:r>
        <w:rPr>
          <w:rFonts w:ascii="Adobe Garamond Pro" w:hAnsi="Adobe Garamond Pro"/>
          <w:i/>
          <w:color w:val="231F20"/>
          <w:sz w:val="19"/>
        </w:rPr>
        <w:t>Ivoirienne</w:t>
      </w:r>
      <w:r>
        <w:rPr>
          <w:rFonts w:ascii="Adobe Garamond Pro" w:hAnsi="Adobe Garamond Pro"/>
          <w:i/>
          <w:color w:val="231F20"/>
          <w:spacing w:val="16"/>
          <w:sz w:val="19"/>
        </w:rPr>
        <w:t> </w:t>
      </w:r>
      <w:r>
        <w:rPr>
          <w:rFonts w:ascii="Adobe Garamond Pro" w:hAnsi="Adobe Garamond Pro"/>
          <w:i/>
          <w:color w:val="231F20"/>
          <w:sz w:val="19"/>
        </w:rPr>
        <w:t>(RTI).</w:t>
      </w:r>
      <w:r>
        <w:rPr>
          <w:rFonts w:ascii="Adobe Garamond Pro" w:hAnsi="Adobe Garamond Pro"/>
          <w:i/>
          <w:color w:val="231F20"/>
          <w:spacing w:val="15"/>
          <w:sz w:val="19"/>
        </w:rPr>
        <w:t> </w:t>
      </w:r>
      <w:r>
        <w:rPr>
          <w:rFonts w:ascii="Adobe Garamond Pro" w:hAnsi="Adobe Garamond Pro"/>
          <w:i/>
          <w:color w:val="231F20"/>
          <w:sz w:val="19"/>
        </w:rPr>
        <w:t>Depuis</w:t>
      </w:r>
      <w:r>
        <w:rPr>
          <w:rFonts w:ascii="Adobe Garamond Pro" w:hAnsi="Adobe Garamond Pro"/>
          <w:i/>
          <w:color w:val="231F20"/>
          <w:spacing w:val="16"/>
          <w:sz w:val="19"/>
        </w:rPr>
        <w:t> </w:t>
      </w:r>
      <w:r>
        <w:rPr>
          <w:rFonts w:ascii="Adobe Garamond Pro" w:hAnsi="Adobe Garamond Pro"/>
          <w:i/>
          <w:color w:val="231F20"/>
          <w:sz w:val="19"/>
        </w:rPr>
        <w:t>2018, il est vice-président d’une ONG nationale qui lutte dans le domaine des décès maternels. Par ailleurs, il est le Président de la Mutuelle de Développement</w:t>
      </w:r>
      <w:r>
        <w:rPr>
          <w:rFonts w:ascii="Adobe Garamond Pro" w:hAnsi="Adobe Garamond Pro"/>
          <w:i/>
          <w:color w:val="231F20"/>
          <w:spacing w:val="40"/>
          <w:sz w:val="19"/>
        </w:rPr>
        <w:t> </w:t>
      </w:r>
      <w:r>
        <w:rPr>
          <w:rFonts w:ascii="Adobe Garamond Pro" w:hAnsi="Adobe Garamond Pro"/>
          <w:i/>
          <w:color w:val="231F20"/>
          <w:sz w:val="19"/>
        </w:rPr>
        <w:t>de</w:t>
      </w:r>
      <w:r>
        <w:rPr>
          <w:rFonts w:ascii="Adobe Garamond Pro" w:hAnsi="Adobe Garamond Pro"/>
          <w:i/>
          <w:color w:val="231F20"/>
          <w:spacing w:val="40"/>
          <w:sz w:val="19"/>
        </w:rPr>
        <w:t> </w:t>
      </w:r>
      <w:r>
        <w:rPr>
          <w:rFonts w:ascii="Adobe Garamond Pro" w:hAnsi="Adobe Garamond Pro"/>
          <w:i/>
          <w:color w:val="231F20"/>
          <w:sz w:val="19"/>
        </w:rPr>
        <w:t>son</w:t>
      </w:r>
      <w:r>
        <w:rPr>
          <w:rFonts w:ascii="Adobe Garamond Pro" w:hAnsi="Adobe Garamond Pro"/>
          <w:i/>
          <w:color w:val="231F20"/>
          <w:spacing w:val="40"/>
          <w:sz w:val="19"/>
        </w:rPr>
        <w:t> </w:t>
      </w:r>
      <w:r>
        <w:rPr>
          <w:rFonts w:ascii="Adobe Garamond Pro" w:hAnsi="Adobe Garamond Pro"/>
          <w:i/>
          <w:color w:val="231F20"/>
          <w:sz w:val="19"/>
        </w:rPr>
        <w:t>village.</w:t>
      </w:r>
    </w:p>
    <w:p>
      <w:pPr>
        <w:pStyle w:val="BodyText"/>
        <w:ind w:left="0"/>
        <w:jc w:val="left"/>
        <w:rPr>
          <w:rFonts w:ascii="Adobe Garamond Pro"/>
          <w:i/>
          <w:sz w:val="17"/>
        </w:rPr>
      </w:pPr>
    </w:p>
    <w:p>
      <w:pPr>
        <w:pStyle w:val="BodyText"/>
        <w:ind w:left="0"/>
        <w:jc w:val="left"/>
        <w:rPr>
          <w:rFonts w:ascii="Adobe Garamond Pro"/>
          <w:i/>
          <w:sz w:val="17"/>
        </w:rPr>
      </w:pPr>
    </w:p>
    <w:p>
      <w:pPr>
        <w:pStyle w:val="BodyText"/>
        <w:ind w:left="0"/>
        <w:jc w:val="left"/>
        <w:rPr>
          <w:rFonts w:ascii="Adobe Garamond Pro"/>
          <w:i/>
          <w:sz w:val="17"/>
        </w:rPr>
      </w:pPr>
    </w:p>
    <w:p>
      <w:pPr>
        <w:pStyle w:val="BodyText"/>
        <w:ind w:left="0"/>
        <w:jc w:val="left"/>
        <w:rPr>
          <w:rFonts w:ascii="Adobe Garamond Pro"/>
          <w:i/>
          <w:sz w:val="17"/>
        </w:rPr>
      </w:pPr>
    </w:p>
    <w:p>
      <w:pPr>
        <w:pStyle w:val="BodyText"/>
        <w:ind w:left="0"/>
        <w:jc w:val="left"/>
        <w:rPr>
          <w:rFonts w:ascii="Adobe Garamond Pro"/>
          <w:i/>
          <w:sz w:val="17"/>
        </w:rPr>
      </w:pPr>
    </w:p>
    <w:p>
      <w:pPr>
        <w:pStyle w:val="BodyText"/>
        <w:ind w:left="0"/>
        <w:jc w:val="left"/>
        <w:rPr>
          <w:rFonts w:ascii="Adobe Garamond Pro"/>
          <w:i/>
          <w:sz w:val="17"/>
        </w:rPr>
      </w:pPr>
    </w:p>
    <w:p>
      <w:pPr>
        <w:pStyle w:val="BodyText"/>
        <w:ind w:left="0"/>
        <w:jc w:val="left"/>
        <w:rPr>
          <w:rFonts w:ascii="Adobe Garamond Pro"/>
          <w:i/>
          <w:sz w:val="17"/>
        </w:rPr>
      </w:pPr>
    </w:p>
    <w:p>
      <w:pPr>
        <w:pStyle w:val="BodyText"/>
        <w:spacing w:before="174"/>
        <w:ind w:left="0"/>
        <w:jc w:val="left"/>
        <w:rPr>
          <w:rFonts w:ascii="Adobe Garamond Pro"/>
          <w:i/>
          <w:sz w:val="17"/>
        </w:rPr>
      </w:pPr>
    </w:p>
    <w:p>
      <w:pPr>
        <w:spacing w:line="264" w:lineRule="auto" w:before="0"/>
        <w:ind w:left="245" w:right="2659" w:firstLine="0"/>
        <w:jc w:val="left"/>
        <w:rPr>
          <w:rFonts w:ascii="Adobe Garamond Pro" w:hAnsi="Adobe Garamond Pro"/>
          <w:sz w:val="17"/>
        </w:rPr>
      </w:pPr>
      <w:r>
        <w:rPr/>
        <mc:AlternateContent>
          <mc:Choice Requires="wps">
            <w:drawing>
              <wp:anchor distT="0" distB="0" distL="0" distR="0" allowOverlap="1" layoutInCell="1" locked="0" behindDoc="0" simplePos="0" relativeHeight="15816192">
                <wp:simplePos x="0" y="0"/>
                <wp:positionH relativeFrom="page">
                  <wp:posOffset>3537000</wp:posOffset>
                </wp:positionH>
                <wp:positionV relativeFrom="paragraph">
                  <wp:posOffset>20484</wp:posOffset>
                </wp:positionV>
                <wp:extent cx="1332230" cy="774065"/>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1332230" cy="774065"/>
                        </a:xfrm>
                        <a:prstGeom prst="rect">
                          <a:avLst/>
                        </a:prstGeom>
                      </wps:spPr>
                      <wps:txbx>
                        <w:txbxContent>
                          <w:p>
                            <w:pPr>
                              <w:pStyle w:val="BodyText"/>
                              <w:ind w:left="0"/>
                              <w:jc w:val="left"/>
                              <w:rPr>
                                <w:rFonts w:ascii="Adobe Garamond Pro"/>
                                <w:sz w:val="16"/>
                              </w:rPr>
                            </w:pPr>
                          </w:p>
                          <w:p>
                            <w:pPr>
                              <w:pStyle w:val="BodyText"/>
                              <w:ind w:left="0"/>
                              <w:jc w:val="left"/>
                              <w:rPr>
                                <w:rFonts w:ascii="Adobe Garamond Pro"/>
                                <w:sz w:val="16"/>
                              </w:rPr>
                            </w:pPr>
                          </w:p>
                          <w:p>
                            <w:pPr>
                              <w:pStyle w:val="BodyText"/>
                              <w:ind w:left="0"/>
                              <w:jc w:val="left"/>
                              <w:rPr>
                                <w:rFonts w:ascii="Adobe Garamond Pro"/>
                                <w:sz w:val="16"/>
                              </w:rPr>
                            </w:pPr>
                          </w:p>
                          <w:p>
                            <w:pPr>
                              <w:pStyle w:val="BodyText"/>
                              <w:spacing w:before="33"/>
                              <w:ind w:left="0"/>
                              <w:jc w:val="left"/>
                              <w:rPr>
                                <w:rFonts w:ascii="Adobe Garamond Pro"/>
                                <w:sz w:val="16"/>
                              </w:rPr>
                            </w:pPr>
                          </w:p>
                          <w:p>
                            <w:pPr>
                              <w:spacing w:before="0"/>
                              <w:ind w:left="110" w:right="0" w:firstLine="0"/>
                              <w:jc w:val="left"/>
                              <w:rPr>
                                <w:rFonts w:ascii="Arial"/>
                                <w:sz w:val="16"/>
                              </w:rPr>
                            </w:pPr>
                            <w:r>
                              <w:rPr>
                                <w:rFonts w:ascii="Arial"/>
                                <w:color w:val="231F20"/>
                                <w:w w:val="105"/>
                                <w:sz w:val="16"/>
                              </w:rPr>
                              <w:t>9</w:t>
                            </w:r>
                            <w:r>
                              <w:rPr>
                                <w:rFonts w:ascii="Arial"/>
                                <w:color w:val="231F20"/>
                                <w:spacing w:val="68"/>
                                <w:w w:val="105"/>
                                <w:sz w:val="16"/>
                              </w:rPr>
                              <w:t> </w:t>
                            </w:r>
                            <w:r>
                              <w:rPr>
                                <w:rFonts w:ascii="Arial"/>
                                <w:color w:val="231F20"/>
                                <w:w w:val="105"/>
                                <w:sz w:val="16"/>
                              </w:rPr>
                              <w:t>7</w:t>
                            </w:r>
                            <w:r>
                              <w:rPr>
                                <w:rFonts w:ascii="Arial"/>
                                <w:color w:val="231F20"/>
                                <w:spacing w:val="-20"/>
                                <w:w w:val="105"/>
                                <w:sz w:val="16"/>
                              </w:rPr>
                              <w:t> </w:t>
                            </w:r>
                            <w:r>
                              <w:rPr>
                                <w:rFonts w:ascii="Arial"/>
                                <w:color w:val="231F20"/>
                                <w:w w:val="105"/>
                                <w:sz w:val="16"/>
                              </w:rPr>
                              <w:t>8</w:t>
                            </w:r>
                            <w:r>
                              <w:rPr>
                                <w:rFonts w:ascii="Arial"/>
                                <w:color w:val="231F20"/>
                                <w:spacing w:val="-19"/>
                                <w:w w:val="105"/>
                                <w:sz w:val="16"/>
                              </w:rPr>
                              <w:t> </w:t>
                            </w:r>
                            <w:r>
                              <w:rPr>
                                <w:rFonts w:ascii="Arial"/>
                                <w:color w:val="231F20"/>
                                <w:w w:val="105"/>
                                <w:sz w:val="16"/>
                              </w:rPr>
                              <w:t>2</w:t>
                            </w:r>
                            <w:r>
                              <w:rPr>
                                <w:rFonts w:ascii="Arial"/>
                                <w:color w:val="231F20"/>
                                <w:spacing w:val="-19"/>
                                <w:w w:val="105"/>
                                <w:sz w:val="16"/>
                              </w:rPr>
                              <w:t> </w:t>
                            </w:r>
                            <w:r>
                              <w:rPr>
                                <w:rFonts w:ascii="Arial"/>
                                <w:color w:val="231F20"/>
                                <w:w w:val="105"/>
                                <w:sz w:val="16"/>
                              </w:rPr>
                              <w:t>1</w:t>
                            </w:r>
                            <w:r>
                              <w:rPr>
                                <w:rFonts w:ascii="Arial"/>
                                <w:color w:val="231F20"/>
                                <w:spacing w:val="-19"/>
                                <w:w w:val="105"/>
                                <w:sz w:val="16"/>
                              </w:rPr>
                              <w:t> </w:t>
                            </w:r>
                            <w:r>
                              <w:rPr>
                                <w:rFonts w:ascii="Arial"/>
                                <w:color w:val="231F20"/>
                                <w:w w:val="105"/>
                                <w:sz w:val="16"/>
                              </w:rPr>
                              <w:t>4</w:t>
                            </w:r>
                            <w:r>
                              <w:rPr>
                                <w:rFonts w:ascii="Arial"/>
                                <w:color w:val="231F20"/>
                                <w:spacing w:val="-20"/>
                                <w:w w:val="105"/>
                                <w:sz w:val="16"/>
                              </w:rPr>
                              <w:t> </w:t>
                            </w:r>
                            <w:r>
                              <w:rPr>
                                <w:rFonts w:ascii="Arial"/>
                                <w:color w:val="231F20"/>
                                <w:w w:val="105"/>
                                <w:sz w:val="16"/>
                              </w:rPr>
                              <w:t>0</w:t>
                            </w:r>
                            <w:r>
                              <w:rPr>
                                <w:rFonts w:ascii="Arial"/>
                                <w:color w:val="231F20"/>
                                <w:spacing w:val="62"/>
                                <w:w w:val="105"/>
                                <w:sz w:val="16"/>
                              </w:rPr>
                              <w:t> </w:t>
                            </w:r>
                            <w:r>
                              <w:rPr>
                                <w:rFonts w:ascii="Arial"/>
                                <w:color w:val="231F20"/>
                                <w:w w:val="105"/>
                                <w:sz w:val="16"/>
                              </w:rPr>
                              <w:t>2</w:t>
                            </w:r>
                            <w:r>
                              <w:rPr>
                                <w:rFonts w:ascii="Arial"/>
                                <w:color w:val="231F20"/>
                                <w:spacing w:val="-20"/>
                                <w:w w:val="105"/>
                                <w:sz w:val="16"/>
                              </w:rPr>
                              <w:t> </w:t>
                            </w:r>
                            <w:r>
                              <w:rPr>
                                <w:rFonts w:ascii="Arial"/>
                                <w:color w:val="231F20"/>
                                <w:w w:val="105"/>
                                <w:sz w:val="16"/>
                              </w:rPr>
                              <w:t>9</w:t>
                            </w:r>
                            <w:r>
                              <w:rPr>
                                <w:rFonts w:ascii="Arial"/>
                                <w:color w:val="231F20"/>
                                <w:spacing w:val="-19"/>
                                <w:w w:val="105"/>
                                <w:sz w:val="16"/>
                              </w:rPr>
                              <w:t> </w:t>
                            </w:r>
                            <w:r>
                              <w:rPr>
                                <w:rFonts w:ascii="Arial"/>
                                <w:color w:val="231F20"/>
                                <w:w w:val="105"/>
                                <w:sz w:val="16"/>
                              </w:rPr>
                              <w:t>5</w:t>
                            </w:r>
                            <w:r>
                              <w:rPr>
                                <w:rFonts w:ascii="Arial"/>
                                <w:color w:val="231F20"/>
                                <w:spacing w:val="-19"/>
                                <w:w w:val="105"/>
                                <w:sz w:val="16"/>
                              </w:rPr>
                              <w:t> </w:t>
                            </w:r>
                            <w:r>
                              <w:rPr>
                                <w:rFonts w:ascii="Arial"/>
                                <w:color w:val="231F20"/>
                                <w:w w:val="105"/>
                                <w:sz w:val="16"/>
                              </w:rPr>
                              <w:t>5</w:t>
                            </w:r>
                            <w:r>
                              <w:rPr>
                                <w:rFonts w:ascii="Arial"/>
                                <w:color w:val="231F20"/>
                                <w:spacing w:val="-19"/>
                                <w:w w:val="105"/>
                                <w:sz w:val="16"/>
                              </w:rPr>
                              <w:t> </w:t>
                            </w:r>
                            <w:r>
                              <w:rPr>
                                <w:rFonts w:ascii="Arial"/>
                                <w:color w:val="231F20"/>
                                <w:w w:val="105"/>
                                <w:sz w:val="16"/>
                              </w:rPr>
                              <w:t>9</w:t>
                            </w:r>
                            <w:r>
                              <w:rPr>
                                <w:rFonts w:ascii="Arial"/>
                                <w:color w:val="231F20"/>
                                <w:spacing w:val="-20"/>
                                <w:w w:val="105"/>
                                <w:sz w:val="16"/>
                              </w:rPr>
                              <w:t> </w:t>
                            </w:r>
                            <w:r>
                              <w:rPr>
                                <w:rFonts w:ascii="Arial"/>
                                <w:color w:val="231F20"/>
                                <w:spacing w:val="-10"/>
                                <w:w w:val="105"/>
                                <w:sz w:val="16"/>
                              </w:rPr>
                              <w:t>1</w:t>
                            </w:r>
                          </w:p>
                        </w:txbxContent>
                      </wps:txbx>
                      <wps:bodyPr wrap="square" lIns="0" tIns="0" rIns="0" bIns="0" rtlCol="0">
                        <a:noAutofit/>
                      </wps:bodyPr>
                    </wps:wsp>
                  </a:graphicData>
                </a:graphic>
              </wp:anchor>
            </w:drawing>
          </mc:Choice>
          <mc:Fallback>
            <w:pict>
              <v:shape style="position:absolute;margin-left:278.503998pt;margin-top:1.612961pt;width:104.9pt;height:60.95pt;mso-position-horizontal-relative:page;mso-position-vertical-relative:paragraph;z-index:15816192" type="#_x0000_t202" id="docshape208" filled="false" stroked="false">
                <v:textbox inset="0,0,0,0">
                  <w:txbxContent>
                    <w:p>
                      <w:pPr>
                        <w:pStyle w:val="BodyText"/>
                        <w:ind w:left="0"/>
                        <w:jc w:val="left"/>
                        <w:rPr>
                          <w:rFonts w:ascii="Adobe Garamond Pro"/>
                          <w:sz w:val="16"/>
                        </w:rPr>
                      </w:pPr>
                    </w:p>
                    <w:p>
                      <w:pPr>
                        <w:pStyle w:val="BodyText"/>
                        <w:ind w:left="0"/>
                        <w:jc w:val="left"/>
                        <w:rPr>
                          <w:rFonts w:ascii="Adobe Garamond Pro"/>
                          <w:sz w:val="16"/>
                        </w:rPr>
                      </w:pPr>
                    </w:p>
                    <w:p>
                      <w:pPr>
                        <w:pStyle w:val="BodyText"/>
                        <w:ind w:left="0"/>
                        <w:jc w:val="left"/>
                        <w:rPr>
                          <w:rFonts w:ascii="Adobe Garamond Pro"/>
                          <w:sz w:val="16"/>
                        </w:rPr>
                      </w:pPr>
                    </w:p>
                    <w:p>
                      <w:pPr>
                        <w:pStyle w:val="BodyText"/>
                        <w:spacing w:before="33"/>
                        <w:ind w:left="0"/>
                        <w:jc w:val="left"/>
                        <w:rPr>
                          <w:rFonts w:ascii="Adobe Garamond Pro"/>
                          <w:sz w:val="16"/>
                        </w:rPr>
                      </w:pPr>
                    </w:p>
                    <w:p>
                      <w:pPr>
                        <w:spacing w:before="0"/>
                        <w:ind w:left="110" w:right="0" w:firstLine="0"/>
                        <w:jc w:val="left"/>
                        <w:rPr>
                          <w:rFonts w:ascii="Arial"/>
                          <w:sz w:val="16"/>
                        </w:rPr>
                      </w:pPr>
                      <w:r>
                        <w:rPr>
                          <w:rFonts w:ascii="Arial"/>
                          <w:color w:val="231F20"/>
                          <w:w w:val="105"/>
                          <w:sz w:val="16"/>
                        </w:rPr>
                        <w:t>9</w:t>
                      </w:r>
                      <w:r>
                        <w:rPr>
                          <w:rFonts w:ascii="Arial"/>
                          <w:color w:val="231F20"/>
                          <w:spacing w:val="68"/>
                          <w:w w:val="105"/>
                          <w:sz w:val="16"/>
                        </w:rPr>
                        <w:t> </w:t>
                      </w:r>
                      <w:r>
                        <w:rPr>
                          <w:rFonts w:ascii="Arial"/>
                          <w:color w:val="231F20"/>
                          <w:w w:val="105"/>
                          <w:sz w:val="16"/>
                        </w:rPr>
                        <w:t>7</w:t>
                      </w:r>
                      <w:r>
                        <w:rPr>
                          <w:rFonts w:ascii="Arial"/>
                          <w:color w:val="231F20"/>
                          <w:spacing w:val="-20"/>
                          <w:w w:val="105"/>
                          <w:sz w:val="16"/>
                        </w:rPr>
                        <w:t> </w:t>
                      </w:r>
                      <w:r>
                        <w:rPr>
                          <w:rFonts w:ascii="Arial"/>
                          <w:color w:val="231F20"/>
                          <w:w w:val="105"/>
                          <w:sz w:val="16"/>
                        </w:rPr>
                        <w:t>8</w:t>
                      </w:r>
                      <w:r>
                        <w:rPr>
                          <w:rFonts w:ascii="Arial"/>
                          <w:color w:val="231F20"/>
                          <w:spacing w:val="-19"/>
                          <w:w w:val="105"/>
                          <w:sz w:val="16"/>
                        </w:rPr>
                        <w:t> </w:t>
                      </w:r>
                      <w:r>
                        <w:rPr>
                          <w:rFonts w:ascii="Arial"/>
                          <w:color w:val="231F20"/>
                          <w:w w:val="105"/>
                          <w:sz w:val="16"/>
                        </w:rPr>
                        <w:t>2</w:t>
                      </w:r>
                      <w:r>
                        <w:rPr>
                          <w:rFonts w:ascii="Arial"/>
                          <w:color w:val="231F20"/>
                          <w:spacing w:val="-19"/>
                          <w:w w:val="105"/>
                          <w:sz w:val="16"/>
                        </w:rPr>
                        <w:t> </w:t>
                      </w:r>
                      <w:r>
                        <w:rPr>
                          <w:rFonts w:ascii="Arial"/>
                          <w:color w:val="231F20"/>
                          <w:w w:val="105"/>
                          <w:sz w:val="16"/>
                        </w:rPr>
                        <w:t>1</w:t>
                      </w:r>
                      <w:r>
                        <w:rPr>
                          <w:rFonts w:ascii="Arial"/>
                          <w:color w:val="231F20"/>
                          <w:spacing w:val="-19"/>
                          <w:w w:val="105"/>
                          <w:sz w:val="16"/>
                        </w:rPr>
                        <w:t> </w:t>
                      </w:r>
                      <w:r>
                        <w:rPr>
                          <w:rFonts w:ascii="Arial"/>
                          <w:color w:val="231F20"/>
                          <w:w w:val="105"/>
                          <w:sz w:val="16"/>
                        </w:rPr>
                        <w:t>4</w:t>
                      </w:r>
                      <w:r>
                        <w:rPr>
                          <w:rFonts w:ascii="Arial"/>
                          <w:color w:val="231F20"/>
                          <w:spacing w:val="-20"/>
                          <w:w w:val="105"/>
                          <w:sz w:val="16"/>
                        </w:rPr>
                        <w:t> </w:t>
                      </w:r>
                      <w:r>
                        <w:rPr>
                          <w:rFonts w:ascii="Arial"/>
                          <w:color w:val="231F20"/>
                          <w:w w:val="105"/>
                          <w:sz w:val="16"/>
                        </w:rPr>
                        <w:t>0</w:t>
                      </w:r>
                      <w:r>
                        <w:rPr>
                          <w:rFonts w:ascii="Arial"/>
                          <w:color w:val="231F20"/>
                          <w:spacing w:val="62"/>
                          <w:w w:val="105"/>
                          <w:sz w:val="16"/>
                        </w:rPr>
                        <w:t> </w:t>
                      </w:r>
                      <w:r>
                        <w:rPr>
                          <w:rFonts w:ascii="Arial"/>
                          <w:color w:val="231F20"/>
                          <w:w w:val="105"/>
                          <w:sz w:val="16"/>
                        </w:rPr>
                        <w:t>2</w:t>
                      </w:r>
                      <w:r>
                        <w:rPr>
                          <w:rFonts w:ascii="Arial"/>
                          <w:color w:val="231F20"/>
                          <w:spacing w:val="-20"/>
                          <w:w w:val="105"/>
                          <w:sz w:val="16"/>
                        </w:rPr>
                        <w:t> </w:t>
                      </w:r>
                      <w:r>
                        <w:rPr>
                          <w:rFonts w:ascii="Arial"/>
                          <w:color w:val="231F20"/>
                          <w:w w:val="105"/>
                          <w:sz w:val="16"/>
                        </w:rPr>
                        <w:t>9</w:t>
                      </w:r>
                      <w:r>
                        <w:rPr>
                          <w:rFonts w:ascii="Arial"/>
                          <w:color w:val="231F20"/>
                          <w:spacing w:val="-19"/>
                          <w:w w:val="105"/>
                          <w:sz w:val="16"/>
                        </w:rPr>
                        <w:t> </w:t>
                      </w:r>
                      <w:r>
                        <w:rPr>
                          <w:rFonts w:ascii="Arial"/>
                          <w:color w:val="231F20"/>
                          <w:w w:val="105"/>
                          <w:sz w:val="16"/>
                        </w:rPr>
                        <w:t>5</w:t>
                      </w:r>
                      <w:r>
                        <w:rPr>
                          <w:rFonts w:ascii="Arial"/>
                          <w:color w:val="231F20"/>
                          <w:spacing w:val="-19"/>
                          <w:w w:val="105"/>
                          <w:sz w:val="16"/>
                        </w:rPr>
                        <w:t> </w:t>
                      </w:r>
                      <w:r>
                        <w:rPr>
                          <w:rFonts w:ascii="Arial"/>
                          <w:color w:val="231F20"/>
                          <w:w w:val="105"/>
                          <w:sz w:val="16"/>
                        </w:rPr>
                        <w:t>5</w:t>
                      </w:r>
                      <w:r>
                        <w:rPr>
                          <w:rFonts w:ascii="Arial"/>
                          <w:color w:val="231F20"/>
                          <w:spacing w:val="-19"/>
                          <w:w w:val="105"/>
                          <w:sz w:val="16"/>
                        </w:rPr>
                        <w:t> </w:t>
                      </w:r>
                      <w:r>
                        <w:rPr>
                          <w:rFonts w:ascii="Arial"/>
                          <w:color w:val="231F20"/>
                          <w:w w:val="105"/>
                          <w:sz w:val="16"/>
                        </w:rPr>
                        <w:t>9</w:t>
                      </w:r>
                      <w:r>
                        <w:rPr>
                          <w:rFonts w:ascii="Arial"/>
                          <w:color w:val="231F20"/>
                          <w:spacing w:val="-20"/>
                          <w:w w:val="105"/>
                          <w:sz w:val="16"/>
                        </w:rPr>
                        <w:t> </w:t>
                      </w:r>
                      <w:r>
                        <w:rPr>
                          <w:rFonts w:ascii="Arial"/>
                          <w:color w:val="231F20"/>
                          <w:spacing w:val="-10"/>
                          <w:w w:val="105"/>
                          <w:sz w:val="16"/>
                        </w:rPr>
                        <w:t>1</w:t>
                      </w:r>
                    </w:p>
                  </w:txbxContent>
                </v:textbox>
                <w10:wrap type="none"/>
              </v:shape>
            </w:pict>
          </mc:Fallback>
        </mc:AlternateContent>
      </w:r>
      <w:r>
        <w:rPr>
          <w:rFonts w:ascii="Adobe Garamond Pro" w:hAnsi="Adobe Garamond Pro"/>
          <w:color w:val="231F20"/>
          <w:sz w:val="17"/>
        </w:rPr>
        <w:t>Illustration</w:t>
      </w:r>
      <w:r>
        <w:rPr>
          <w:rFonts w:ascii="Adobe Garamond Pro" w:hAnsi="Adobe Garamond Pro"/>
          <w:color w:val="231F20"/>
          <w:spacing w:val="-6"/>
          <w:sz w:val="17"/>
        </w:rPr>
        <w:t> </w:t>
      </w:r>
      <w:r>
        <w:rPr>
          <w:rFonts w:ascii="Adobe Garamond Pro" w:hAnsi="Adobe Garamond Pro"/>
          <w:color w:val="231F20"/>
          <w:sz w:val="17"/>
        </w:rPr>
        <w:t>de</w:t>
      </w:r>
      <w:r>
        <w:rPr>
          <w:rFonts w:ascii="Adobe Garamond Pro" w:hAnsi="Adobe Garamond Pro"/>
          <w:color w:val="231F20"/>
          <w:spacing w:val="-6"/>
          <w:sz w:val="17"/>
        </w:rPr>
        <w:t> </w:t>
      </w:r>
      <w:r>
        <w:rPr>
          <w:rFonts w:ascii="Adobe Garamond Pro" w:hAnsi="Adobe Garamond Pro"/>
          <w:color w:val="231F20"/>
          <w:sz w:val="17"/>
        </w:rPr>
        <w:t>couverture</w:t>
      </w:r>
      <w:r>
        <w:rPr>
          <w:rFonts w:ascii="Adobe Garamond Pro" w:hAnsi="Adobe Garamond Pro"/>
          <w:color w:val="231F20"/>
          <w:spacing w:val="-6"/>
          <w:sz w:val="17"/>
        </w:rPr>
        <w:t> </w:t>
      </w:r>
      <w:r>
        <w:rPr>
          <w:rFonts w:ascii="Adobe Garamond Pro" w:hAnsi="Adobe Garamond Pro"/>
          <w:color w:val="231F20"/>
          <w:sz w:val="17"/>
        </w:rPr>
        <w:t>Ancien</w:t>
      </w:r>
      <w:r>
        <w:rPr>
          <w:rFonts w:ascii="Adobe Garamond Pro" w:hAnsi="Adobe Garamond Pro"/>
          <w:color w:val="231F20"/>
          <w:spacing w:val="-6"/>
          <w:sz w:val="17"/>
        </w:rPr>
        <w:t> </w:t>
      </w:r>
      <w:r>
        <w:rPr>
          <w:rFonts w:ascii="Adobe Garamond Pro" w:hAnsi="Adobe Garamond Pro"/>
          <w:color w:val="231F20"/>
          <w:sz w:val="17"/>
        </w:rPr>
        <w:t>débarcadère</w:t>
      </w:r>
      <w:r>
        <w:rPr>
          <w:rFonts w:ascii="Adobe Garamond Pro" w:hAnsi="Adobe Garamond Pro"/>
          <w:color w:val="231F20"/>
          <w:spacing w:val="-6"/>
          <w:sz w:val="17"/>
        </w:rPr>
        <w:t> </w:t>
      </w:r>
      <w:r>
        <w:rPr>
          <w:rFonts w:ascii="Adobe Garamond Pro" w:hAnsi="Adobe Garamond Pro"/>
          <w:color w:val="231F20"/>
          <w:sz w:val="17"/>
        </w:rPr>
        <w:t>de</w:t>
      </w:r>
      <w:r>
        <w:rPr>
          <w:rFonts w:ascii="Adobe Garamond Pro" w:hAnsi="Adobe Garamond Pro"/>
          <w:color w:val="231F20"/>
          <w:spacing w:val="-6"/>
          <w:sz w:val="17"/>
        </w:rPr>
        <w:t> </w:t>
      </w:r>
      <w:r>
        <w:rPr>
          <w:rFonts w:ascii="Adobe Garamond Pro" w:hAnsi="Adobe Garamond Pro"/>
          <w:color w:val="231F20"/>
          <w:sz w:val="17"/>
        </w:rPr>
        <w:t>Sassandra, port colonial, Sud-ouest Côte d’Ivoire.</w:t>
      </w:r>
    </w:p>
    <w:p>
      <w:pPr>
        <w:pStyle w:val="BodyText"/>
        <w:spacing w:before="8"/>
        <w:ind w:left="0"/>
        <w:jc w:val="left"/>
        <w:rPr>
          <w:rFonts w:ascii="Adobe Garamond Pro"/>
          <w:sz w:val="17"/>
        </w:rPr>
      </w:pPr>
    </w:p>
    <w:p>
      <w:pPr>
        <w:spacing w:before="0"/>
        <w:ind w:left="285" w:right="0" w:firstLine="0"/>
        <w:jc w:val="left"/>
        <w:rPr>
          <w:rFonts w:ascii="Adobe Garamond Pro"/>
          <w:sz w:val="18"/>
        </w:rPr>
      </w:pPr>
      <w:r>
        <w:rPr>
          <w:rFonts w:ascii="Adobe Garamond Pro"/>
          <w:color w:val="231F20"/>
          <w:sz w:val="18"/>
        </w:rPr>
        <w:t>ISBN : 978-2-14-029559-</w:t>
      </w:r>
      <w:r>
        <w:rPr>
          <w:rFonts w:ascii="Adobe Garamond Pro"/>
          <w:color w:val="231F20"/>
          <w:spacing w:val="-10"/>
          <w:sz w:val="18"/>
        </w:rPr>
        <w:t>1</w:t>
      </w:r>
    </w:p>
    <w:p>
      <w:pPr>
        <w:pStyle w:val="BodyText"/>
        <w:spacing w:before="24"/>
        <w:ind w:left="245"/>
        <w:jc w:val="left"/>
        <w:rPr>
          <w:rFonts w:ascii="Adobe Garamond Pro" w:hAnsi="Adobe Garamond Pro"/>
        </w:rPr>
      </w:pPr>
      <w:r>
        <w:rPr>
          <w:rFonts w:ascii="Adobe Garamond Pro" w:hAnsi="Adobe Garamond Pro"/>
          <w:color w:val="231F20"/>
        </w:rPr>
        <w:t>28,50 </w:t>
      </w:r>
      <w:r>
        <w:rPr>
          <w:rFonts w:ascii="Adobe Garamond Pro" w:hAnsi="Adobe Garamond Pro"/>
          <w:color w:val="231F20"/>
          <w:spacing w:val="-10"/>
        </w:rPr>
        <w:t>€</w:t>
      </w:r>
    </w:p>
    <w:sectPr>
      <w:footerReference w:type="default" r:id="rId78"/>
      <w:pgSz w:w="8790" w:h="13610"/>
      <w:pgMar w:header="0" w:footer="0" w:top="860" w:bottom="280" w:left="880" w:right="8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Trebuchet MS">
    <w:altName w:val="Trebuchet MS"/>
    <w:charset w:val="0"/>
    <w:family w:val="swiss"/>
    <w:pitch w:val="variable"/>
  </w:font>
  <w:font w:name="Verdana">
    <w:altName w:val="Verdana"/>
    <w:charset w:val="0"/>
    <w:family w:val="swiss"/>
    <w:pitch w:val="variable"/>
  </w:font>
  <w:font w:name="Arial">
    <w:altName w:val="Arial"/>
    <w:charset w:val="0"/>
    <w:family w:val="swiss"/>
    <w:pitch w:val="variable"/>
  </w:font>
  <w:font w:name="Minion Pro">
    <w:altName w:val="Minion Pro"/>
    <w:charset w:val="0"/>
    <w:family w:val="roman"/>
    <w:pitch w:val="variable"/>
  </w:font>
  <w:font w:name="Adobe Garamond Pro">
    <w:altName w:val="Adobe Garamond Pro"/>
    <w:charset w:val="0"/>
    <w:family w:val="roman"/>
    <w:pitch w:val="variable"/>
  </w:font>
  <w:font w:name="Adobe Garamond Pro Bold">
    <w:altName w:val="Adobe Garamond Pro Bold"/>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0352">
              <wp:simplePos x="0" y="0"/>
              <wp:positionH relativeFrom="page">
                <wp:posOffset>2738996</wp:posOffset>
              </wp:positionH>
              <wp:positionV relativeFrom="page">
                <wp:posOffset>7828009</wp:posOffset>
              </wp:positionV>
              <wp:extent cx="101600" cy="1943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01600" cy="194310"/>
                      </a:xfrm>
                      <a:prstGeom prst="rect">
                        <a:avLst/>
                      </a:prstGeom>
                    </wps:spPr>
                    <wps:txbx>
                      <w:txbxContent>
                        <w:p>
                          <w:pPr>
                            <w:pStyle w:val="BodyText"/>
                            <w:spacing w:before="10"/>
                            <w:ind w:left="20"/>
                            <w:jc w:val="left"/>
                          </w:pPr>
                          <w:r>
                            <w:rPr>
                              <w:color w:val="231F20"/>
                              <w:spacing w:val="-10"/>
                            </w:rPr>
                            <w:t>7</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15.669006pt;margin-top:616.378662pt;width:8pt;height:15.3pt;mso-position-horizontal-relative:page;mso-position-vertical-relative:page;z-index:-17776128" type="#_x0000_t202" id="docshape5" filled="false" stroked="false">
              <v:textbox inset="0,0,0,0">
                <w:txbxContent>
                  <w:p>
                    <w:pPr>
                      <w:pStyle w:val="BodyText"/>
                      <w:spacing w:before="10"/>
                      <w:ind w:left="20"/>
                      <w:jc w:val="left"/>
                    </w:pPr>
                    <w:r>
                      <w:rPr>
                        <w:color w:val="231F20"/>
                        <w:spacing w:val="-10"/>
                      </w:rPr>
                      <w:t>7</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2912">
              <wp:simplePos x="0" y="0"/>
              <wp:positionH relativeFrom="page">
                <wp:posOffset>2675496</wp:posOffset>
              </wp:positionH>
              <wp:positionV relativeFrom="page">
                <wp:posOffset>7991076</wp:posOffset>
              </wp:positionV>
              <wp:extent cx="241300" cy="19431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17</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3568" type="#_x0000_t202" id="docshape11"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17</w:t>
                    </w:r>
                    <w:r>
                      <w:rPr>
                        <w:color w:val="231F20"/>
                        <w:spacing w:val="-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3424">
              <wp:simplePos x="0" y="0"/>
              <wp:positionH relativeFrom="page">
                <wp:posOffset>2675496</wp:posOffset>
              </wp:positionH>
              <wp:positionV relativeFrom="page">
                <wp:posOffset>7991076</wp:posOffset>
              </wp:positionV>
              <wp:extent cx="241300" cy="19431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18</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3056" type="#_x0000_t202" id="docshape12"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18</w:t>
                    </w:r>
                    <w:r>
                      <w:rPr>
                        <w:color w:val="231F20"/>
                        <w:spacing w:val="-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3936">
              <wp:simplePos x="0" y="0"/>
              <wp:positionH relativeFrom="page">
                <wp:posOffset>2675496</wp:posOffset>
              </wp:positionH>
              <wp:positionV relativeFrom="page">
                <wp:posOffset>7991076</wp:posOffset>
              </wp:positionV>
              <wp:extent cx="241300" cy="19431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27</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2544" type="#_x0000_t202" id="docshape22"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27</w:t>
                    </w:r>
                    <w:r>
                      <w:rPr>
                        <w:color w:val="231F20"/>
                        <w:spacing w:val="-5"/>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4448">
              <wp:simplePos x="0" y="0"/>
              <wp:positionH relativeFrom="page">
                <wp:posOffset>2675496</wp:posOffset>
              </wp:positionH>
              <wp:positionV relativeFrom="page">
                <wp:posOffset>7991076</wp:posOffset>
              </wp:positionV>
              <wp:extent cx="241300" cy="19431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28</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2032" type="#_x0000_t202" id="docshape23"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28</w:t>
                    </w:r>
                    <w:r>
                      <w:rPr>
                        <w:color w:val="231F20"/>
                        <w:spacing w:val="-5"/>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4960">
              <wp:simplePos x="0" y="0"/>
              <wp:positionH relativeFrom="page">
                <wp:posOffset>2675496</wp:posOffset>
              </wp:positionH>
              <wp:positionV relativeFrom="page">
                <wp:posOffset>7991076</wp:posOffset>
              </wp:positionV>
              <wp:extent cx="241300" cy="19431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41</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1520" type="#_x0000_t202" id="docshape35"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41</w:t>
                    </w:r>
                    <w:r>
                      <w:rPr>
                        <w:color w:val="231F20"/>
                        <w:spacing w:val="-5"/>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5472">
              <wp:simplePos x="0" y="0"/>
              <wp:positionH relativeFrom="page">
                <wp:posOffset>2675496</wp:posOffset>
              </wp:positionH>
              <wp:positionV relativeFrom="page">
                <wp:posOffset>7991076</wp:posOffset>
              </wp:positionV>
              <wp:extent cx="241300" cy="19431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42</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1008" type="#_x0000_t202" id="docshape36"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42</w:t>
                    </w:r>
                    <w:r>
                      <w:rPr>
                        <w:color w:val="231F20"/>
                        <w:spacing w:val="-5"/>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5984">
              <wp:simplePos x="0" y="0"/>
              <wp:positionH relativeFrom="page">
                <wp:posOffset>2675496</wp:posOffset>
              </wp:positionH>
              <wp:positionV relativeFrom="page">
                <wp:posOffset>7991076</wp:posOffset>
              </wp:positionV>
              <wp:extent cx="241300" cy="19431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59</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0496" type="#_x0000_t202" id="docshape49"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59</w:t>
                    </w:r>
                    <w:r>
                      <w:rPr>
                        <w:color w:val="231F20"/>
                        <w:spacing w:val="-5"/>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6496">
              <wp:simplePos x="0" y="0"/>
              <wp:positionH relativeFrom="page">
                <wp:posOffset>2675496</wp:posOffset>
              </wp:positionH>
              <wp:positionV relativeFrom="page">
                <wp:posOffset>7991076</wp:posOffset>
              </wp:positionV>
              <wp:extent cx="241300" cy="19431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60</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69984" type="#_x0000_t202" id="docshape50"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60</w:t>
                    </w:r>
                    <w:r>
                      <w:rPr>
                        <w:color w:val="231F20"/>
                        <w:spacing w:val="-5"/>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7008">
              <wp:simplePos x="0" y="0"/>
              <wp:positionH relativeFrom="page">
                <wp:posOffset>2637396</wp:posOffset>
              </wp:positionH>
              <wp:positionV relativeFrom="page">
                <wp:posOffset>7991076</wp:posOffset>
              </wp:positionV>
              <wp:extent cx="317500" cy="19431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100</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9472" type="#_x0000_t202" id="docshape70"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100</w:t>
                    </w:r>
                    <w:r>
                      <w:rPr>
                        <w:color w:val="231F20"/>
                        <w:spacing w:val="-5"/>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7520">
              <wp:simplePos x="0" y="0"/>
              <wp:positionH relativeFrom="page">
                <wp:posOffset>2675496</wp:posOffset>
              </wp:positionH>
              <wp:positionV relativeFrom="page">
                <wp:posOffset>7991076</wp:posOffset>
              </wp:positionV>
              <wp:extent cx="241300" cy="19431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91</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68960" type="#_x0000_t202" id="docshape71"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91</w:t>
                    </w:r>
                    <w:r>
                      <w:rPr>
                        <w:color w:val="231F20"/>
                        <w:spacing w:val="-5"/>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8032">
              <wp:simplePos x="0" y="0"/>
              <wp:positionH relativeFrom="page">
                <wp:posOffset>2637396</wp:posOffset>
              </wp:positionH>
              <wp:positionV relativeFrom="page">
                <wp:posOffset>7991076</wp:posOffset>
              </wp:positionV>
              <wp:extent cx="317500" cy="19431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123</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8448" type="#_x0000_t202" id="docshape89"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123</w:t>
                    </w:r>
                    <w:r>
                      <w:rPr>
                        <w:color w:val="231F20"/>
                        <w:spacing w:val="-5"/>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8544">
              <wp:simplePos x="0" y="0"/>
              <wp:positionH relativeFrom="page">
                <wp:posOffset>2637396</wp:posOffset>
              </wp:positionH>
              <wp:positionV relativeFrom="page">
                <wp:posOffset>7991076</wp:posOffset>
              </wp:positionV>
              <wp:extent cx="317500" cy="19431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124</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7936" type="#_x0000_t202" id="docshape90"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124</w:t>
                    </w:r>
                    <w:r>
                      <w:rPr>
                        <w:color w:val="231F20"/>
                        <w:spacing w:val="-5"/>
                      </w:rPr>
                      <w:fldChar w:fldCharType="end"/>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9056">
              <wp:simplePos x="0" y="0"/>
              <wp:positionH relativeFrom="page">
                <wp:posOffset>629907</wp:posOffset>
              </wp:positionH>
              <wp:positionV relativeFrom="page">
                <wp:posOffset>7598562</wp:posOffset>
              </wp:positionV>
              <wp:extent cx="1829435" cy="952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49.598999pt;margin-top:598.312012pt;width:144.020pt;height:.72pt;mso-position-horizontal-relative:page;mso-position-vertical-relative:page;z-index:-17767424" id="docshape101"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5549568">
              <wp:simplePos x="0" y="0"/>
              <wp:positionH relativeFrom="page">
                <wp:posOffset>617206</wp:posOffset>
              </wp:positionH>
              <wp:positionV relativeFrom="page">
                <wp:posOffset>7655783</wp:posOffset>
              </wp:positionV>
              <wp:extent cx="3074670" cy="17081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3074670" cy="170815"/>
                      </a:xfrm>
                      <a:prstGeom prst="rect">
                        <a:avLst/>
                      </a:prstGeom>
                    </wps:spPr>
                    <wps:txbx>
                      <w:txbxContent>
                        <w:p>
                          <w:pPr>
                            <w:spacing w:before="18"/>
                            <w:ind w:left="20" w:right="0" w:firstLine="0"/>
                            <w:jc w:val="left"/>
                            <w:rPr>
                              <w:sz w:val="20"/>
                            </w:rPr>
                          </w:pPr>
                          <w:r>
                            <w:rPr>
                              <w:color w:val="76787A"/>
                              <w:spacing w:val="-2"/>
                              <w:sz w:val="20"/>
                              <w:vertAlign w:val="superscript"/>
                            </w:rPr>
                            <w:t>131</w:t>
                          </w:r>
                          <w:r>
                            <w:rPr>
                              <w:color w:val="76787A"/>
                              <w:spacing w:val="-19"/>
                              <w:sz w:val="20"/>
                              <w:vertAlign w:val="baseline"/>
                            </w:rPr>
                            <w:t> </w:t>
                          </w:r>
                          <w:r>
                            <w:rPr>
                              <w:color w:val="231F20"/>
                              <w:spacing w:val="-2"/>
                              <w:sz w:val="20"/>
                              <w:vertAlign w:val="baseline"/>
                            </w:rPr>
                            <w:t>JA</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qui</w:t>
                          </w:r>
                          <w:r>
                            <w:rPr>
                              <w:color w:val="231F20"/>
                              <w:spacing w:val="-10"/>
                              <w:sz w:val="20"/>
                              <w:vertAlign w:val="baseline"/>
                            </w:rPr>
                            <w:t> </w:t>
                          </w:r>
                          <w:r>
                            <w:rPr>
                              <w:color w:val="231F20"/>
                              <w:spacing w:val="-2"/>
                              <w:sz w:val="20"/>
                              <w:vertAlign w:val="baseline"/>
                            </w:rPr>
                            <w:t>sont</w:t>
                          </w:r>
                          <w:r>
                            <w:rPr>
                              <w:color w:val="231F20"/>
                              <w:spacing w:val="-8"/>
                              <w:sz w:val="20"/>
                              <w:vertAlign w:val="baseline"/>
                            </w:rPr>
                            <w:t> </w:t>
                          </w:r>
                          <w:r>
                            <w:rPr>
                              <w:color w:val="231F20"/>
                              <w:spacing w:val="-2"/>
                              <w:sz w:val="20"/>
                              <w:vertAlign w:val="baseline"/>
                            </w:rPr>
                            <w:t>les</w:t>
                          </w:r>
                          <w:r>
                            <w:rPr>
                              <w:color w:val="231F20"/>
                              <w:spacing w:val="-8"/>
                              <w:sz w:val="20"/>
                              <w:vertAlign w:val="baseline"/>
                            </w:rPr>
                            <w:t> </w:t>
                          </w:r>
                          <w:r>
                            <w:rPr>
                              <w:color w:val="231F20"/>
                              <w:spacing w:val="-2"/>
                              <w:sz w:val="20"/>
                              <w:vertAlign w:val="baseline"/>
                            </w:rPr>
                            <w:t>Libanais</w:t>
                          </w:r>
                          <w:r>
                            <w:rPr>
                              <w:color w:val="231F20"/>
                              <w:spacing w:val="-11"/>
                              <w:sz w:val="20"/>
                              <w:vertAlign w:val="baseline"/>
                            </w:rPr>
                            <w:t> </w:t>
                          </w:r>
                          <w:r>
                            <w:rPr>
                              <w:color w:val="231F20"/>
                              <w:spacing w:val="-2"/>
                              <w:sz w:val="20"/>
                              <w:vertAlign w:val="baseline"/>
                            </w:rPr>
                            <w:t>de</w:t>
                          </w:r>
                          <w:r>
                            <w:rPr>
                              <w:color w:val="231F20"/>
                              <w:spacing w:val="-7"/>
                              <w:sz w:val="20"/>
                              <w:vertAlign w:val="baseline"/>
                            </w:rPr>
                            <w:t> </w:t>
                          </w:r>
                          <w:r>
                            <w:rPr>
                              <w:color w:val="231F20"/>
                              <w:spacing w:val="-2"/>
                              <w:sz w:val="20"/>
                              <w:vertAlign w:val="baseline"/>
                            </w:rPr>
                            <w:t>Côte</w:t>
                          </w:r>
                          <w:r>
                            <w:rPr>
                              <w:color w:val="231F20"/>
                              <w:spacing w:val="-10"/>
                              <w:sz w:val="20"/>
                              <w:vertAlign w:val="baseline"/>
                            </w:rPr>
                            <w:t> </w:t>
                          </w:r>
                          <w:r>
                            <w:rPr>
                              <w:color w:val="231F20"/>
                              <w:spacing w:val="-2"/>
                              <w:sz w:val="20"/>
                              <w:vertAlign w:val="baseline"/>
                            </w:rPr>
                            <w:t>d’Ivoire</w:t>
                          </w:r>
                          <w:r>
                            <w:rPr>
                              <w:color w:val="231F20"/>
                              <w:spacing w:val="-9"/>
                              <w:sz w:val="20"/>
                              <w:vertAlign w:val="baseline"/>
                            </w:rPr>
                            <w:t> </w:t>
                          </w:r>
                          <w:r>
                            <w:rPr>
                              <w:color w:val="231F20"/>
                              <w:spacing w:val="-2"/>
                              <w:sz w:val="20"/>
                              <w:vertAlign w:val="baseline"/>
                            </w:rPr>
                            <w:t>?</w:t>
                          </w:r>
                          <w:r>
                            <w:rPr>
                              <w:color w:val="231F20"/>
                              <w:spacing w:val="-9"/>
                              <w:sz w:val="20"/>
                              <w:vertAlign w:val="baseline"/>
                            </w:rPr>
                            <w:t> </w:t>
                          </w:r>
                          <w:r>
                            <w:rPr>
                              <w:color w:val="231F20"/>
                              <w:spacing w:val="-2"/>
                              <w:sz w:val="20"/>
                              <w:vertAlign w:val="baseline"/>
                            </w:rPr>
                            <w:t>»</w:t>
                          </w:r>
                          <w:r>
                            <w:rPr>
                              <w:color w:val="231F20"/>
                              <w:spacing w:val="-9"/>
                              <w:sz w:val="20"/>
                              <w:vertAlign w:val="baseline"/>
                            </w:rPr>
                            <w:t> </w:t>
                          </w:r>
                          <w:r>
                            <w:rPr>
                              <w:color w:val="231F20"/>
                              <w:spacing w:val="-2"/>
                              <w:sz w:val="20"/>
                              <w:vertAlign w:val="baseline"/>
                            </w:rPr>
                            <w:t>27</w:t>
                          </w:r>
                          <w:r>
                            <w:rPr>
                              <w:color w:val="231F20"/>
                              <w:spacing w:val="-9"/>
                              <w:sz w:val="20"/>
                              <w:vertAlign w:val="baseline"/>
                            </w:rPr>
                            <w:t> </w:t>
                          </w:r>
                          <w:r>
                            <w:rPr>
                              <w:color w:val="231F20"/>
                              <w:spacing w:val="-2"/>
                              <w:sz w:val="20"/>
                              <w:vertAlign w:val="baseline"/>
                            </w:rPr>
                            <w:t>déc</w:t>
                          </w:r>
                          <w:r>
                            <w:rPr>
                              <w:color w:val="231F20"/>
                              <w:spacing w:val="-8"/>
                              <w:sz w:val="20"/>
                              <w:vertAlign w:val="baseline"/>
                            </w:rPr>
                            <w:t> </w:t>
                          </w:r>
                          <w:r>
                            <w:rPr>
                              <w:color w:val="231F20"/>
                              <w:spacing w:val="-4"/>
                              <w:sz w:val="20"/>
                              <w:vertAlign w:val="baseline"/>
                            </w:rPr>
                            <w:t>2018</w:t>
                          </w:r>
                        </w:p>
                      </w:txbxContent>
                    </wps:txbx>
                    <wps:bodyPr wrap="square" lIns="0" tIns="0" rIns="0" bIns="0" rtlCol="0">
                      <a:noAutofit/>
                    </wps:bodyPr>
                  </wps:wsp>
                </a:graphicData>
              </a:graphic>
            </wp:anchor>
          </w:drawing>
        </mc:Choice>
        <mc:Fallback>
          <w:pict>
            <v:shape style="position:absolute;margin-left:48.5989pt;margin-top:602.817627pt;width:242.1pt;height:13.45pt;mso-position-horizontal-relative:page;mso-position-vertical-relative:page;z-index:-17766912" type="#_x0000_t202" id="docshape102" filled="false" stroked="false">
              <v:textbox inset="0,0,0,0">
                <w:txbxContent>
                  <w:p>
                    <w:pPr>
                      <w:spacing w:before="18"/>
                      <w:ind w:left="20" w:right="0" w:firstLine="0"/>
                      <w:jc w:val="left"/>
                      <w:rPr>
                        <w:sz w:val="20"/>
                      </w:rPr>
                    </w:pPr>
                    <w:r>
                      <w:rPr>
                        <w:color w:val="76787A"/>
                        <w:spacing w:val="-2"/>
                        <w:sz w:val="20"/>
                        <w:vertAlign w:val="superscript"/>
                      </w:rPr>
                      <w:t>131</w:t>
                    </w:r>
                    <w:r>
                      <w:rPr>
                        <w:color w:val="76787A"/>
                        <w:spacing w:val="-19"/>
                        <w:sz w:val="20"/>
                        <w:vertAlign w:val="baseline"/>
                      </w:rPr>
                      <w:t> </w:t>
                    </w:r>
                    <w:r>
                      <w:rPr>
                        <w:color w:val="231F20"/>
                        <w:spacing w:val="-2"/>
                        <w:sz w:val="20"/>
                        <w:vertAlign w:val="baseline"/>
                      </w:rPr>
                      <w:t>JA</w:t>
                    </w:r>
                    <w:r>
                      <w:rPr>
                        <w:color w:val="231F20"/>
                        <w:spacing w:val="-11"/>
                        <w:sz w:val="20"/>
                        <w:vertAlign w:val="baseline"/>
                      </w:rPr>
                      <w:t> </w:t>
                    </w:r>
                    <w:r>
                      <w:rPr>
                        <w:color w:val="231F20"/>
                        <w:spacing w:val="-2"/>
                        <w:sz w:val="20"/>
                        <w:vertAlign w:val="baseline"/>
                      </w:rPr>
                      <w:t>«</w:t>
                    </w:r>
                    <w:r>
                      <w:rPr>
                        <w:color w:val="231F20"/>
                        <w:spacing w:val="-10"/>
                        <w:sz w:val="20"/>
                        <w:vertAlign w:val="baseline"/>
                      </w:rPr>
                      <w:t> </w:t>
                    </w:r>
                    <w:r>
                      <w:rPr>
                        <w:color w:val="231F20"/>
                        <w:spacing w:val="-2"/>
                        <w:sz w:val="20"/>
                        <w:vertAlign w:val="baseline"/>
                      </w:rPr>
                      <w:t>qui</w:t>
                    </w:r>
                    <w:r>
                      <w:rPr>
                        <w:color w:val="231F20"/>
                        <w:spacing w:val="-10"/>
                        <w:sz w:val="20"/>
                        <w:vertAlign w:val="baseline"/>
                      </w:rPr>
                      <w:t> </w:t>
                    </w:r>
                    <w:r>
                      <w:rPr>
                        <w:color w:val="231F20"/>
                        <w:spacing w:val="-2"/>
                        <w:sz w:val="20"/>
                        <w:vertAlign w:val="baseline"/>
                      </w:rPr>
                      <w:t>sont</w:t>
                    </w:r>
                    <w:r>
                      <w:rPr>
                        <w:color w:val="231F20"/>
                        <w:spacing w:val="-8"/>
                        <w:sz w:val="20"/>
                        <w:vertAlign w:val="baseline"/>
                      </w:rPr>
                      <w:t> </w:t>
                    </w:r>
                    <w:r>
                      <w:rPr>
                        <w:color w:val="231F20"/>
                        <w:spacing w:val="-2"/>
                        <w:sz w:val="20"/>
                        <w:vertAlign w:val="baseline"/>
                      </w:rPr>
                      <w:t>les</w:t>
                    </w:r>
                    <w:r>
                      <w:rPr>
                        <w:color w:val="231F20"/>
                        <w:spacing w:val="-8"/>
                        <w:sz w:val="20"/>
                        <w:vertAlign w:val="baseline"/>
                      </w:rPr>
                      <w:t> </w:t>
                    </w:r>
                    <w:r>
                      <w:rPr>
                        <w:color w:val="231F20"/>
                        <w:spacing w:val="-2"/>
                        <w:sz w:val="20"/>
                        <w:vertAlign w:val="baseline"/>
                      </w:rPr>
                      <w:t>Libanais</w:t>
                    </w:r>
                    <w:r>
                      <w:rPr>
                        <w:color w:val="231F20"/>
                        <w:spacing w:val="-11"/>
                        <w:sz w:val="20"/>
                        <w:vertAlign w:val="baseline"/>
                      </w:rPr>
                      <w:t> </w:t>
                    </w:r>
                    <w:r>
                      <w:rPr>
                        <w:color w:val="231F20"/>
                        <w:spacing w:val="-2"/>
                        <w:sz w:val="20"/>
                        <w:vertAlign w:val="baseline"/>
                      </w:rPr>
                      <w:t>de</w:t>
                    </w:r>
                    <w:r>
                      <w:rPr>
                        <w:color w:val="231F20"/>
                        <w:spacing w:val="-7"/>
                        <w:sz w:val="20"/>
                        <w:vertAlign w:val="baseline"/>
                      </w:rPr>
                      <w:t> </w:t>
                    </w:r>
                    <w:r>
                      <w:rPr>
                        <w:color w:val="231F20"/>
                        <w:spacing w:val="-2"/>
                        <w:sz w:val="20"/>
                        <w:vertAlign w:val="baseline"/>
                      </w:rPr>
                      <w:t>Côte</w:t>
                    </w:r>
                    <w:r>
                      <w:rPr>
                        <w:color w:val="231F20"/>
                        <w:spacing w:val="-10"/>
                        <w:sz w:val="20"/>
                        <w:vertAlign w:val="baseline"/>
                      </w:rPr>
                      <w:t> </w:t>
                    </w:r>
                    <w:r>
                      <w:rPr>
                        <w:color w:val="231F20"/>
                        <w:spacing w:val="-2"/>
                        <w:sz w:val="20"/>
                        <w:vertAlign w:val="baseline"/>
                      </w:rPr>
                      <w:t>d’Ivoire</w:t>
                    </w:r>
                    <w:r>
                      <w:rPr>
                        <w:color w:val="231F20"/>
                        <w:spacing w:val="-9"/>
                        <w:sz w:val="20"/>
                        <w:vertAlign w:val="baseline"/>
                      </w:rPr>
                      <w:t> </w:t>
                    </w:r>
                    <w:r>
                      <w:rPr>
                        <w:color w:val="231F20"/>
                        <w:spacing w:val="-2"/>
                        <w:sz w:val="20"/>
                        <w:vertAlign w:val="baseline"/>
                      </w:rPr>
                      <w:t>?</w:t>
                    </w:r>
                    <w:r>
                      <w:rPr>
                        <w:color w:val="231F20"/>
                        <w:spacing w:val="-9"/>
                        <w:sz w:val="20"/>
                        <w:vertAlign w:val="baseline"/>
                      </w:rPr>
                      <w:t> </w:t>
                    </w:r>
                    <w:r>
                      <w:rPr>
                        <w:color w:val="231F20"/>
                        <w:spacing w:val="-2"/>
                        <w:sz w:val="20"/>
                        <w:vertAlign w:val="baseline"/>
                      </w:rPr>
                      <w:t>»</w:t>
                    </w:r>
                    <w:r>
                      <w:rPr>
                        <w:color w:val="231F20"/>
                        <w:spacing w:val="-9"/>
                        <w:sz w:val="20"/>
                        <w:vertAlign w:val="baseline"/>
                      </w:rPr>
                      <w:t> </w:t>
                    </w:r>
                    <w:r>
                      <w:rPr>
                        <w:color w:val="231F20"/>
                        <w:spacing w:val="-2"/>
                        <w:sz w:val="20"/>
                        <w:vertAlign w:val="baseline"/>
                      </w:rPr>
                      <w:t>27</w:t>
                    </w:r>
                    <w:r>
                      <w:rPr>
                        <w:color w:val="231F20"/>
                        <w:spacing w:val="-9"/>
                        <w:sz w:val="20"/>
                        <w:vertAlign w:val="baseline"/>
                      </w:rPr>
                      <w:t> </w:t>
                    </w:r>
                    <w:r>
                      <w:rPr>
                        <w:color w:val="231F20"/>
                        <w:spacing w:val="-2"/>
                        <w:sz w:val="20"/>
                        <w:vertAlign w:val="baseline"/>
                      </w:rPr>
                      <w:t>déc</w:t>
                    </w:r>
                    <w:r>
                      <w:rPr>
                        <w:color w:val="231F20"/>
                        <w:spacing w:val="-8"/>
                        <w:sz w:val="20"/>
                        <w:vertAlign w:val="baseline"/>
                      </w:rPr>
                      <w:t> </w:t>
                    </w:r>
                    <w:r>
                      <w:rPr>
                        <w:color w:val="231F20"/>
                        <w:spacing w:val="-4"/>
                        <w:sz w:val="20"/>
                        <w:vertAlign w:val="baseline"/>
                      </w:rPr>
                      <w:t>2018</w:t>
                    </w:r>
                  </w:p>
                </w:txbxContent>
              </v:textbox>
              <w10:wrap type="none"/>
            </v:shape>
          </w:pict>
        </mc:Fallback>
      </mc:AlternateContent>
    </w:r>
    <w:r>
      <w:rPr/>
      <mc:AlternateContent>
        <mc:Choice Requires="wps">
          <w:drawing>
            <wp:anchor distT="0" distB="0" distL="0" distR="0" allowOverlap="1" layoutInCell="1" locked="0" behindDoc="1" simplePos="0" relativeHeight="485550080">
              <wp:simplePos x="0" y="0"/>
              <wp:positionH relativeFrom="page">
                <wp:posOffset>2662796</wp:posOffset>
              </wp:positionH>
              <wp:positionV relativeFrom="page">
                <wp:posOffset>7991076</wp:posOffset>
              </wp:positionV>
              <wp:extent cx="254000" cy="19431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54000" cy="194310"/>
                      </a:xfrm>
                      <a:prstGeom prst="rect">
                        <a:avLst/>
                      </a:prstGeom>
                    </wps:spPr>
                    <wps:txbx>
                      <w:txbxContent>
                        <w:p>
                          <w:pPr>
                            <w:pStyle w:val="BodyText"/>
                            <w:spacing w:before="10"/>
                            <w:ind w:left="20"/>
                            <w:jc w:val="left"/>
                          </w:pPr>
                          <w:r>
                            <w:rPr>
                              <w:color w:val="231F20"/>
                              <w:spacing w:val="-5"/>
                            </w:rPr>
                            <w:t>133</w:t>
                          </w:r>
                        </w:p>
                      </w:txbxContent>
                    </wps:txbx>
                    <wps:bodyPr wrap="square" lIns="0" tIns="0" rIns="0" bIns="0" rtlCol="0">
                      <a:noAutofit/>
                    </wps:bodyPr>
                  </wps:wsp>
                </a:graphicData>
              </a:graphic>
            </wp:anchor>
          </w:drawing>
        </mc:Choice>
        <mc:Fallback>
          <w:pict>
            <v:shape style="position:absolute;margin-left:209.669006pt;margin-top:629.218628pt;width:20pt;height:15.3pt;mso-position-horizontal-relative:page;mso-position-vertical-relative:page;z-index:-17766400" type="#_x0000_t202" id="docshape103" filled="false" stroked="false">
              <v:textbox inset="0,0,0,0">
                <w:txbxContent>
                  <w:p>
                    <w:pPr>
                      <w:pStyle w:val="BodyText"/>
                      <w:spacing w:before="10"/>
                      <w:ind w:left="20"/>
                      <w:jc w:val="left"/>
                    </w:pPr>
                    <w:r>
                      <w:rPr>
                        <w:color w:val="231F20"/>
                        <w:spacing w:val="-5"/>
                      </w:rPr>
                      <w:t>133</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0592">
              <wp:simplePos x="0" y="0"/>
              <wp:positionH relativeFrom="page">
                <wp:posOffset>2637396</wp:posOffset>
              </wp:positionH>
              <wp:positionV relativeFrom="page">
                <wp:posOffset>7991076</wp:posOffset>
              </wp:positionV>
              <wp:extent cx="317500" cy="19431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134</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5888" type="#_x0000_t202" id="docshape104"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134</w:t>
                    </w:r>
                    <w:r>
                      <w:rPr>
                        <w:color w:val="231F20"/>
                        <w:spacing w:val="-5"/>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1104">
              <wp:simplePos x="0" y="0"/>
              <wp:positionH relativeFrom="page">
                <wp:posOffset>2637396</wp:posOffset>
              </wp:positionH>
              <wp:positionV relativeFrom="page">
                <wp:posOffset>7991076</wp:posOffset>
              </wp:positionV>
              <wp:extent cx="317500" cy="19431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135</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5376" type="#_x0000_t202" id="docshape106"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135</w:t>
                    </w:r>
                    <w:r>
                      <w:rPr>
                        <w:color w:val="231F20"/>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0864">
              <wp:simplePos x="0" y="0"/>
              <wp:positionH relativeFrom="page">
                <wp:posOffset>2637396</wp:posOffset>
              </wp:positionH>
              <wp:positionV relativeFrom="page">
                <wp:posOffset>7991076</wp:posOffset>
              </wp:positionV>
              <wp:extent cx="317500" cy="1943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101</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75616" type="#_x0000_t202" id="docshape6"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101</w:t>
                    </w:r>
                    <w:r>
                      <w:rPr>
                        <w:color w:val="231F20"/>
                        <w:spacing w:val="-5"/>
                      </w:rPr>
                      <w:fldChar w:fldCharType="end"/>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1616">
              <wp:simplePos x="0" y="0"/>
              <wp:positionH relativeFrom="page">
                <wp:posOffset>2637396</wp:posOffset>
              </wp:positionH>
              <wp:positionV relativeFrom="page">
                <wp:posOffset>7991076</wp:posOffset>
              </wp:positionV>
              <wp:extent cx="317500" cy="19431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136</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4864" type="#_x0000_t202" id="docshape107"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136</w:t>
                    </w:r>
                    <w:r>
                      <w:rPr>
                        <w:color w:val="231F20"/>
                        <w:spacing w:val="-5"/>
                      </w:rPr>
                      <w:fldChar w:fldCharType="end"/>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2128">
              <wp:simplePos x="0" y="0"/>
              <wp:positionH relativeFrom="page">
                <wp:posOffset>2637396</wp:posOffset>
              </wp:positionH>
              <wp:positionV relativeFrom="page">
                <wp:posOffset>7991076</wp:posOffset>
              </wp:positionV>
              <wp:extent cx="317500" cy="19431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147</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4352" type="#_x0000_t202" id="docshape114"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147</w:t>
                    </w:r>
                    <w:r>
                      <w:rPr>
                        <w:color w:val="231F20"/>
                        <w:spacing w:val="-5"/>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2640">
              <wp:simplePos x="0" y="0"/>
              <wp:positionH relativeFrom="page">
                <wp:posOffset>2637396</wp:posOffset>
              </wp:positionH>
              <wp:positionV relativeFrom="page">
                <wp:posOffset>7991076</wp:posOffset>
              </wp:positionV>
              <wp:extent cx="317500" cy="19431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148</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3840" type="#_x0000_t202" id="docshape115"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148</w:t>
                    </w:r>
                    <w:r>
                      <w:rPr>
                        <w:color w:val="231F20"/>
                        <w:spacing w:val="-5"/>
                      </w:rPr>
                      <w:fldChar w:fldCharType="end"/>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3152">
              <wp:simplePos x="0" y="0"/>
              <wp:positionH relativeFrom="page">
                <wp:posOffset>2637396</wp:posOffset>
              </wp:positionH>
              <wp:positionV relativeFrom="page">
                <wp:posOffset>7991076</wp:posOffset>
              </wp:positionV>
              <wp:extent cx="317500" cy="19431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215</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3328" type="#_x0000_t202" id="docshape162"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215</w:t>
                    </w:r>
                    <w:r>
                      <w:rPr>
                        <w:color w:val="231F20"/>
                        <w:spacing w:val="-5"/>
                      </w:rPr>
                      <w:fldChar w:fldCharType="end"/>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3664">
              <wp:simplePos x="0" y="0"/>
              <wp:positionH relativeFrom="page">
                <wp:posOffset>2637396</wp:posOffset>
              </wp:positionH>
              <wp:positionV relativeFrom="page">
                <wp:posOffset>7991076</wp:posOffset>
              </wp:positionV>
              <wp:extent cx="317500" cy="19431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217</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2816" type="#_x0000_t202" id="docshape164"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217</w:t>
                    </w:r>
                    <w:r>
                      <w:rPr>
                        <w:color w:val="231F20"/>
                        <w:spacing w:val="-5"/>
                      </w:rPr>
                      <w:fldChar w:fldCharType="end"/>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4176">
              <wp:simplePos x="0" y="0"/>
              <wp:positionH relativeFrom="page">
                <wp:posOffset>2637396</wp:posOffset>
              </wp:positionH>
              <wp:positionV relativeFrom="page">
                <wp:posOffset>7991076</wp:posOffset>
              </wp:positionV>
              <wp:extent cx="317500" cy="19431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218</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2304" type="#_x0000_t202" id="docshape165"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218</w:t>
                    </w:r>
                    <w:r>
                      <w:rPr>
                        <w:color w:val="231F20"/>
                        <w:spacing w:val="-5"/>
                      </w:rPr>
                      <w:fldChar w:fldCharType="end"/>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4688">
              <wp:simplePos x="0" y="0"/>
              <wp:positionH relativeFrom="page">
                <wp:posOffset>2637396</wp:posOffset>
              </wp:positionH>
              <wp:positionV relativeFrom="page">
                <wp:posOffset>7991076</wp:posOffset>
              </wp:positionV>
              <wp:extent cx="317500" cy="19431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243</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1792" type="#_x0000_t202" id="docshape186"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243</w:t>
                    </w:r>
                    <w:r>
                      <w:rPr>
                        <w:color w:val="231F20"/>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5200">
              <wp:simplePos x="0" y="0"/>
              <wp:positionH relativeFrom="page">
                <wp:posOffset>2637396</wp:posOffset>
              </wp:positionH>
              <wp:positionV relativeFrom="page">
                <wp:posOffset>7991076</wp:posOffset>
              </wp:positionV>
              <wp:extent cx="317500" cy="19431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3175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244</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07.669006pt;margin-top:629.218628pt;width:25pt;height:15.3pt;mso-position-horizontal-relative:page;mso-position-vertical-relative:page;z-index:-17761280" type="#_x0000_t202" id="docshape187"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244</w:t>
                    </w:r>
                    <w:r>
                      <w:rPr>
                        <w:color w:val="231F20"/>
                        <w:spacing w:val="-5"/>
                      </w:rPr>
                      <w:fldChar w:fldCharType="end"/>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1376">
              <wp:simplePos x="0" y="0"/>
              <wp:positionH relativeFrom="page">
                <wp:posOffset>2675496</wp:posOffset>
              </wp:positionH>
              <wp:positionV relativeFrom="page">
                <wp:posOffset>7991076</wp:posOffset>
              </wp:positionV>
              <wp:extent cx="241300" cy="1943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11</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5104" type="#_x0000_t202" id="docshape7"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11</w:t>
                    </w:r>
                    <w:r>
                      <w:rPr>
                        <w:color w:val="231F20"/>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1888">
              <wp:simplePos x="0" y="0"/>
              <wp:positionH relativeFrom="page">
                <wp:posOffset>2675496</wp:posOffset>
              </wp:positionH>
              <wp:positionV relativeFrom="page">
                <wp:posOffset>7991076</wp:posOffset>
              </wp:positionV>
              <wp:extent cx="241300"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13</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4592" type="#_x0000_t202" id="docshape8"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13</w:t>
                    </w:r>
                    <w:r>
                      <w:rPr>
                        <w:color w:val="231F20"/>
                        <w:spacing w:val="-5"/>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42400">
              <wp:simplePos x="0" y="0"/>
              <wp:positionH relativeFrom="page">
                <wp:posOffset>2675496</wp:posOffset>
              </wp:positionH>
              <wp:positionV relativeFrom="page">
                <wp:posOffset>7991076</wp:posOffset>
              </wp:positionV>
              <wp:extent cx="241300" cy="1943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41300" cy="194310"/>
                      </a:xfrm>
                      <a:prstGeom prst="rect">
                        <a:avLst/>
                      </a:prstGeom>
                    </wps:spPr>
                    <wps:txbx>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15</w:t>
                          </w:r>
                          <w:r>
                            <w:rPr>
                              <w:color w:val="231F20"/>
                              <w:spacing w:val="-5"/>
                            </w:rPr>
                            <w:fldChar w:fldCharType="end"/>
                          </w:r>
                        </w:p>
                      </w:txbxContent>
                    </wps:txbx>
                    <wps:bodyPr wrap="square" lIns="0" tIns="0" rIns="0" bIns="0" rtlCol="0">
                      <a:noAutofit/>
                    </wps:bodyPr>
                  </wps:wsp>
                </a:graphicData>
              </a:graphic>
            </wp:anchor>
          </w:drawing>
        </mc:Choice>
        <mc:Fallback>
          <w:pict>
            <v:shape style="position:absolute;margin-left:210.669006pt;margin-top:629.218628pt;width:19pt;height:15.3pt;mso-position-horizontal-relative:page;mso-position-vertical-relative:page;z-index:-17774080" type="#_x0000_t202" id="docshape10" filled="false" stroked="false">
              <v:textbox inset="0,0,0,0">
                <w:txbxContent>
                  <w:p>
                    <w:pPr>
                      <w:pStyle w:val="BodyText"/>
                      <w:spacing w:before="10"/>
                      <w:ind w:left="60"/>
                      <w:jc w:val="left"/>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15</w:t>
                    </w:r>
                    <w:r>
                      <w:rPr>
                        <w:color w:val="231F20"/>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2"/>
      <w:numFmt w:val="decimal"/>
      <w:lvlText w:val="%1."/>
      <w:lvlJc w:val="left"/>
      <w:pPr>
        <w:ind w:left="111" w:hanging="274"/>
        <w:jc w:val="left"/>
      </w:pPr>
      <w:rPr>
        <w:rFonts w:hint="default" w:ascii="Times New Roman" w:hAnsi="Times New Roman" w:eastAsia="Times New Roman" w:cs="Times New Roman"/>
        <w:b w:val="0"/>
        <w:bCs w:val="0"/>
        <w:i/>
        <w:iCs/>
        <w:color w:val="231F20"/>
        <w:spacing w:val="-3"/>
        <w:w w:val="100"/>
        <w:sz w:val="24"/>
        <w:szCs w:val="24"/>
        <w:lang w:val="fr-FR" w:eastAsia="en-US" w:bidi="ar-SA"/>
      </w:rPr>
    </w:lvl>
    <w:lvl w:ilvl="1">
      <w:start w:val="0"/>
      <w:numFmt w:val="bullet"/>
      <w:lvlText w:val="•"/>
      <w:lvlJc w:val="left"/>
      <w:pPr>
        <w:ind w:left="810" w:hanging="274"/>
      </w:pPr>
      <w:rPr>
        <w:rFonts w:hint="default"/>
        <w:lang w:val="fr-FR" w:eastAsia="en-US" w:bidi="ar-SA"/>
      </w:rPr>
    </w:lvl>
    <w:lvl w:ilvl="2">
      <w:start w:val="0"/>
      <w:numFmt w:val="bullet"/>
      <w:lvlText w:val="•"/>
      <w:lvlJc w:val="left"/>
      <w:pPr>
        <w:ind w:left="1501" w:hanging="274"/>
      </w:pPr>
      <w:rPr>
        <w:rFonts w:hint="default"/>
        <w:lang w:val="fr-FR" w:eastAsia="en-US" w:bidi="ar-SA"/>
      </w:rPr>
    </w:lvl>
    <w:lvl w:ilvl="3">
      <w:start w:val="0"/>
      <w:numFmt w:val="bullet"/>
      <w:lvlText w:val="•"/>
      <w:lvlJc w:val="left"/>
      <w:pPr>
        <w:ind w:left="2192" w:hanging="274"/>
      </w:pPr>
      <w:rPr>
        <w:rFonts w:hint="default"/>
        <w:lang w:val="fr-FR" w:eastAsia="en-US" w:bidi="ar-SA"/>
      </w:rPr>
    </w:lvl>
    <w:lvl w:ilvl="4">
      <w:start w:val="0"/>
      <w:numFmt w:val="bullet"/>
      <w:lvlText w:val="•"/>
      <w:lvlJc w:val="left"/>
      <w:pPr>
        <w:ind w:left="2882" w:hanging="274"/>
      </w:pPr>
      <w:rPr>
        <w:rFonts w:hint="default"/>
        <w:lang w:val="fr-FR" w:eastAsia="en-US" w:bidi="ar-SA"/>
      </w:rPr>
    </w:lvl>
    <w:lvl w:ilvl="5">
      <w:start w:val="0"/>
      <w:numFmt w:val="bullet"/>
      <w:lvlText w:val="•"/>
      <w:lvlJc w:val="left"/>
      <w:pPr>
        <w:ind w:left="3573" w:hanging="274"/>
      </w:pPr>
      <w:rPr>
        <w:rFonts w:hint="default"/>
        <w:lang w:val="fr-FR" w:eastAsia="en-US" w:bidi="ar-SA"/>
      </w:rPr>
    </w:lvl>
    <w:lvl w:ilvl="6">
      <w:start w:val="0"/>
      <w:numFmt w:val="bullet"/>
      <w:lvlText w:val="•"/>
      <w:lvlJc w:val="left"/>
      <w:pPr>
        <w:ind w:left="4264" w:hanging="274"/>
      </w:pPr>
      <w:rPr>
        <w:rFonts w:hint="default"/>
        <w:lang w:val="fr-FR" w:eastAsia="en-US" w:bidi="ar-SA"/>
      </w:rPr>
    </w:lvl>
    <w:lvl w:ilvl="7">
      <w:start w:val="0"/>
      <w:numFmt w:val="bullet"/>
      <w:lvlText w:val="•"/>
      <w:lvlJc w:val="left"/>
      <w:pPr>
        <w:ind w:left="4955" w:hanging="274"/>
      </w:pPr>
      <w:rPr>
        <w:rFonts w:hint="default"/>
        <w:lang w:val="fr-FR" w:eastAsia="en-US" w:bidi="ar-SA"/>
      </w:rPr>
    </w:lvl>
    <w:lvl w:ilvl="8">
      <w:start w:val="0"/>
      <w:numFmt w:val="bullet"/>
      <w:lvlText w:val="•"/>
      <w:lvlJc w:val="left"/>
      <w:pPr>
        <w:ind w:left="5645" w:hanging="274"/>
      </w:pPr>
      <w:rPr>
        <w:rFonts w:hint="default"/>
        <w:lang w:val="fr-FR" w:eastAsia="en-US" w:bidi="ar-SA"/>
      </w:rPr>
    </w:lvl>
  </w:abstractNum>
  <w:abstractNum w:abstractNumId="4">
    <w:multiLevelType w:val="hybridMultilevel"/>
    <w:lvl w:ilvl="0">
      <w:start w:val="0"/>
      <w:numFmt w:val="bullet"/>
      <w:lvlText w:val="-"/>
      <w:lvlJc w:val="left"/>
      <w:pPr>
        <w:ind w:left="111" w:hanging="135"/>
      </w:pPr>
      <w:rPr>
        <w:rFonts w:hint="default" w:ascii="Times New Roman" w:hAnsi="Times New Roman" w:eastAsia="Times New Roman" w:cs="Times New Roman"/>
        <w:b w:val="0"/>
        <w:bCs w:val="0"/>
        <w:i w:val="0"/>
        <w:iCs w:val="0"/>
        <w:color w:val="231F20"/>
        <w:spacing w:val="0"/>
        <w:w w:val="100"/>
        <w:sz w:val="24"/>
        <w:szCs w:val="24"/>
        <w:lang w:val="fr-FR" w:eastAsia="en-US" w:bidi="ar-SA"/>
      </w:rPr>
    </w:lvl>
    <w:lvl w:ilvl="1">
      <w:start w:val="0"/>
      <w:numFmt w:val="bullet"/>
      <w:lvlText w:val="•"/>
      <w:lvlJc w:val="left"/>
      <w:pPr>
        <w:ind w:left="810" w:hanging="135"/>
      </w:pPr>
      <w:rPr>
        <w:rFonts w:hint="default"/>
        <w:lang w:val="fr-FR" w:eastAsia="en-US" w:bidi="ar-SA"/>
      </w:rPr>
    </w:lvl>
    <w:lvl w:ilvl="2">
      <w:start w:val="0"/>
      <w:numFmt w:val="bullet"/>
      <w:lvlText w:val="•"/>
      <w:lvlJc w:val="left"/>
      <w:pPr>
        <w:ind w:left="1501" w:hanging="135"/>
      </w:pPr>
      <w:rPr>
        <w:rFonts w:hint="default"/>
        <w:lang w:val="fr-FR" w:eastAsia="en-US" w:bidi="ar-SA"/>
      </w:rPr>
    </w:lvl>
    <w:lvl w:ilvl="3">
      <w:start w:val="0"/>
      <w:numFmt w:val="bullet"/>
      <w:lvlText w:val="•"/>
      <w:lvlJc w:val="left"/>
      <w:pPr>
        <w:ind w:left="2192" w:hanging="135"/>
      </w:pPr>
      <w:rPr>
        <w:rFonts w:hint="default"/>
        <w:lang w:val="fr-FR" w:eastAsia="en-US" w:bidi="ar-SA"/>
      </w:rPr>
    </w:lvl>
    <w:lvl w:ilvl="4">
      <w:start w:val="0"/>
      <w:numFmt w:val="bullet"/>
      <w:lvlText w:val="•"/>
      <w:lvlJc w:val="left"/>
      <w:pPr>
        <w:ind w:left="2882" w:hanging="135"/>
      </w:pPr>
      <w:rPr>
        <w:rFonts w:hint="default"/>
        <w:lang w:val="fr-FR" w:eastAsia="en-US" w:bidi="ar-SA"/>
      </w:rPr>
    </w:lvl>
    <w:lvl w:ilvl="5">
      <w:start w:val="0"/>
      <w:numFmt w:val="bullet"/>
      <w:lvlText w:val="•"/>
      <w:lvlJc w:val="left"/>
      <w:pPr>
        <w:ind w:left="3573" w:hanging="135"/>
      </w:pPr>
      <w:rPr>
        <w:rFonts w:hint="default"/>
        <w:lang w:val="fr-FR" w:eastAsia="en-US" w:bidi="ar-SA"/>
      </w:rPr>
    </w:lvl>
    <w:lvl w:ilvl="6">
      <w:start w:val="0"/>
      <w:numFmt w:val="bullet"/>
      <w:lvlText w:val="•"/>
      <w:lvlJc w:val="left"/>
      <w:pPr>
        <w:ind w:left="4264" w:hanging="135"/>
      </w:pPr>
      <w:rPr>
        <w:rFonts w:hint="default"/>
        <w:lang w:val="fr-FR" w:eastAsia="en-US" w:bidi="ar-SA"/>
      </w:rPr>
    </w:lvl>
    <w:lvl w:ilvl="7">
      <w:start w:val="0"/>
      <w:numFmt w:val="bullet"/>
      <w:lvlText w:val="•"/>
      <w:lvlJc w:val="left"/>
      <w:pPr>
        <w:ind w:left="4955" w:hanging="135"/>
      </w:pPr>
      <w:rPr>
        <w:rFonts w:hint="default"/>
        <w:lang w:val="fr-FR" w:eastAsia="en-US" w:bidi="ar-SA"/>
      </w:rPr>
    </w:lvl>
    <w:lvl w:ilvl="8">
      <w:start w:val="0"/>
      <w:numFmt w:val="bullet"/>
      <w:lvlText w:val="•"/>
      <w:lvlJc w:val="left"/>
      <w:pPr>
        <w:ind w:left="5645" w:hanging="135"/>
      </w:pPr>
      <w:rPr>
        <w:rFonts w:hint="default"/>
        <w:lang w:val="fr-FR" w:eastAsia="en-US" w:bidi="ar-SA"/>
      </w:rPr>
    </w:lvl>
  </w:abstractNum>
  <w:abstractNum w:abstractNumId="3">
    <w:multiLevelType w:val="hybridMultilevel"/>
    <w:lvl w:ilvl="0">
      <w:start w:val="0"/>
      <w:numFmt w:val="bullet"/>
      <w:lvlText w:val="-"/>
      <w:lvlJc w:val="left"/>
      <w:pPr>
        <w:ind w:left="755" w:hanging="360"/>
      </w:pPr>
      <w:rPr>
        <w:rFonts w:hint="default" w:ascii="Times New Roman" w:hAnsi="Times New Roman" w:eastAsia="Times New Roman" w:cs="Times New Roman"/>
        <w:b w:val="0"/>
        <w:bCs w:val="0"/>
        <w:i w:val="0"/>
        <w:iCs w:val="0"/>
        <w:color w:val="231F20"/>
        <w:spacing w:val="0"/>
        <w:w w:val="100"/>
        <w:sz w:val="24"/>
        <w:szCs w:val="24"/>
        <w:lang w:val="fr-FR" w:eastAsia="en-US" w:bidi="ar-SA"/>
      </w:rPr>
    </w:lvl>
    <w:lvl w:ilvl="1">
      <w:start w:val="0"/>
      <w:numFmt w:val="bullet"/>
      <w:lvlText w:val="•"/>
      <w:lvlJc w:val="left"/>
      <w:pPr>
        <w:ind w:left="1386" w:hanging="360"/>
      </w:pPr>
      <w:rPr>
        <w:rFonts w:hint="default"/>
        <w:lang w:val="fr-FR" w:eastAsia="en-US" w:bidi="ar-SA"/>
      </w:rPr>
    </w:lvl>
    <w:lvl w:ilvl="2">
      <w:start w:val="0"/>
      <w:numFmt w:val="bullet"/>
      <w:lvlText w:val="•"/>
      <w:lvlJc w:val="left"/>
      <w:pPr>
        <w:ind w:left="2013" w:hanging="360"/>
      </w:pPr>
      <w:rPr>
        <w:rFonts w:hint="default"/>
        <w:lang w:val="fr-FR" w:eastAsia="en-US" w:bidi="ar-SA"/>
      </w:rPr>
    </w:lvl>
    <w:lvl w:ilvl="3">
      <w:start w:val="0"/>
      <w:numFmt w:val="bullet"/>
      <w:lvlText w:val="•"/>
      <w:lvlJc w:val="left"/>
      <w:pPr>
        <w:ind w:left="2640" w:hanging="360"/>
      </w:pPr>
      <w:rPr>
        <w:rFonts w:hint="default"/>
        <w:lang w:val="fr-FR" w:eastAsia="en-US" w:bidi="ar-SA"/>
      </w:rPr>
    </w:lvl>
    <w:lvl w:ilvl="4">
      <w:start w:val="0"/>
      <w:numFmt w:val="bullet"/>
      <w:lvlText w:val="•"/>
      <w:lvlJc w:val="left"/>
      <w:pPr>
        <w:ind w:left="3266" w:hanging="360"/>
      </w:pPr>
      <w:rPr>
        <w:rFonts w:hint="default"/>
        <w:lang w:val="fr-FR" w:eastAsia="en-US" w:bidi="ar-SA"/>
      </w:rPr>
    </w:lvl>
    <w:lvl w:ilvl="5">
      <w:start w:val="0"/>
      <w:numFmt w:val="bullet"/>
      <w:lvlText w:val="•"/>
      <w:lvlJc w:val="left"/>
      <w:pPr>
        <w:ind w:left="3893" w:hanging="360"/>
      </w:pPr>
      <w:rPr>
        <w:rFonts w:hint="default"/>
        <w:lang w:val="fr-FR" w:eastAsia="en-US" w:bidi="ar-SA"/>
      </w:rPr>
    </w:lvl>
    <w:lvl w:ilvl="6">
      <w:start w:val="0"/>
      <w:numFmt w:val="bullet"/>
      <w:lvlText w:val="•"/>
      <w:lvlJc w:val="left"/>
      <w:pPr>
        <w:ind w:left="4520" w:hanging="360"/>
      </w:pPr>
      <w:rPr>
        <w:rFonts w:hint="default"/>
        <w:lang w:val="fr-FR" w:eastAsia="en-US" w:bidi="ar-SA"/>
      </w:rPr>
    </w:lvl>
    <w:lvl w:ilvl="7">
      <w:start w:val="0"/>
      <w:numFmt w:val="bullet"/>
      <w:lvlText w:val="•"/>
      <w:lvlJc w:val="left"/>
      <w:pPr>
        <w:ind w:left="5147" w:hanging="360"/>
      </w:pPr>
      <w:rPr>
        <w:rFonts w:hint="default"/>
        <w:lang w:val="fr-FR" w:eastAsia="en-US" w:bidi="ar-SA"/>
      </w:rPr>
    </w:lvl>
    <w:lvl w:ilvl="8">
      <w:start w:val="0"/>
      <w:numFmt w:val="bullet"/>
      <w:lvlText w:val="•"/>
      <w:lvlJc w:val="left"/>
      <w:pPr>
        <w:ind w:left="5773" w:hanging="360"/>
      </w:pPr>
      <w:rPr>
        <w:rFonts w:hint="default"/>
        <w:lang w:val="fr-FR" w:eastAsia="en-US" w:bidi="ar-SA"/>
      </w:rPr>
    </w:lvl>
  </w:abstractNum>
  <w:abstractNum w:abstractNumId="2">
    <w:multiLevelType w:val="hybridMultilevel"/>
    <w:lvl w:ilvl="0">
      <w:start w:val="0"/>
      <w:numFmt w:val="bullet"/>
      <w:lvlText w:val="-"/>
      <w:lvlJc w:val="left"/>
      <w:pPr>
        <w:ind w:left="529" w:hanging="135"/>
      </w:pPr>
      <w:rPr>
        <w:rFonts w:hint="default" w:ascii="Times New Roman" w:hAnsi="Times New Roman" w:eastAsia="Times New Roman" w:cs="Times New Roman"/>
        <w:b w:val="0"/>
        <w:bCs w:val="0"/>
        <w:i w:val="0"/>
        <w:iCs w:val="0"/>
        <w:color w:val="231F20"/>
        <w:spacing w:val="0"/>
        <w:w w:val="100"/>
        <w:sz w:val="24"/>
        <w:szCs w:val="24"/>
        <w:lang w:val="fr-FR" w:eastAsia="en-US" w:bidi="ar-SA"/>
      </w:rPr>
    </w:lvl>
    <w:lvl w:ilvl="1">
      <w:start w:val="0"/>
      <w:numFmt w:val="bullet"/>
      <w:lvlText w:val="•"/>
      <w:lvlJc w:val="left"/>
      <w:pPr>
        <w:ind w:left="1170" w:hanging="135"/>
      </w:pPr>
      <w:rPr>
        <w:rFonts w:hint="default"/>
        <w:lang w:val="fr-FR" w:eastAsia="en-US" w:bidi="ar-SA"/>
      </w:rPr>
    </w:lvl>
    <w:lvl w:ilvl="2">
      <w:start w:val="0"/>
      <w:numFmt w:val="bullet"/>
      <w:lvlText w:val="•"/>
      <w:lvlJc w:val="left"/>
      <w:pPr>
        <w:ind w:left="1821" w:hanging="135"/>
      </w:pPr>
      <w:rPr>
        <w:rFonts w:hint="default"/>
        <w:lang w:val="fr-FR" w:eastAsia="en-US" w:bidi="ar-SA"/>
      </w:rPr>
    </w:lvl>
    <w:lvl w:ilvl="3">
      <w:start w:val="0"/>
      <w:numFmt w:val="bullet"/>
      <w:lvlText w:val="•"/>
      <w:lvlJc w:val="left"/>
      <w:pPr>
        <w:ind w:left="2472" w:hanging="135"/>
      </w:pPr>
      <w:rPr>
        <w:rFonts w:hint="default"/>
        <w:lang w:val="fr-FR" w:eastAsia="en-US" w:bidi="ar-SA"/>
      </w:rPr>
    </w:lvl>
    <w:lvl w:ilvl="4">
      <w:start w:val="0"/>
      <w:numFmt w:val="bullet"/>
      <w:lvlText w:val="•"/>
      <w:lvlJc w:val="left"/>
      <w:pPr>
        <w:ind w:left="3122" w:hanging="135"/>
      </w:pPr>
      <w:rPr>
        <w:rFonts w:hint="default"/>
        <w:lang w:val="fr-FR" w:eastAsia="en-US" w:bidi="ar-SA"/>
      </w:rPr>
    </w:lvl>
    <w:lvl w:ilvl="5">
      <w:start w:val="0"/>
      <w:numFmt w:val="bullet"/>
      <w:lvlText w:val="•"/>
      <w:lvlJc w:val="left"/>
      <w:pPr>
        <w:ind w:left="3773" w:hanging="135"/>
      </w:pPr>
      <w:rPr>
        <w:rFonts w:hint="default"/>
        <w:lang w:val="fr-FR" w:eastAsia="en-US" w:bidi="ar-SA"/>
      </w:rPr>
    </w:lvl>
    <w:lvl w:ilvl="6">
      <w:start w:val="0"/>
      <w:numFmt w:val="bullet"/>
      <w:lvlText w:val="•"/>
      <w:lvlJc w:val="left"/>
      <w:pPr>
        <w:ind w:left="4424" w:hanging="135"/>
      </w:pPr>
      <w:rPr>
        <w:rFonts w:hint="default"/>
        <w:lang w:val="fr-FR" w:eastAsia="en-US" w:bidi="ar-SA"/>
      </w:rPr>
    </w:lvl>
    <w:lvl w:ilvl="7">
      <w:start w:val="0"/>
      <w:numFmt w:val="bullet"/>
      <w:lvlText w:val="•"/>
      <w:lvlJc w:val="left"/>
      <w:pPr>
        <w:ind w:left="5075" w:hanging="135"/>
      </w:pPr>
      <w:rPr>
        <w:rFonts w:hint="default"/>
        <w:lang w:val="fr-FR" w:eastAsia="en-US" w:bidi="ar-SA"/>
      </w:rPr>
    </w:lvl>
    <w:lvl w:ilvl="8">
      <w:start w:val="0"/>
      <w:numFmt w:val="bullet"/>
      <w:lvlText w:val="•"/>
      <w:lvlJc w:val="left"/>
      <w:pPr>
        <w:ind w:left="5725" w:hanging="135"/>
      </w:pPr>
      <w:rPr>
        <w:rFonts w:hint="default"/>
        <w:lang w:val="fr-FR" w:eastAsia="en-US" w:bidi="ar-SA"/>
      </w:rPr>
    </w:lvl>
  </w:abstractNum>
  <w:abstractNum w:abstractNumId="1">
    <w:multiLevelType w:val="hybridMultilevel"/>
    <w:lvl w:ilvl="0">
      <w:start w:val="0"/>
      <w:numFmt w:val="bullet"/>
      <w:lvlText w:val="-"/>
      <w:lvlJc w:val="left"/>
      <w:pPr>
        <w:ind w:left="111" w:hanging="207"/>
      </w:pPr>
      <w:rPr>
        <w:rFonts w:hint="default" w:ascii="Times New Roman" w:hAnsi="Times New Roman" w:eastAsia="Times New Roman" w:cs="Times New Roman"/>
        <w:b w:val="0"/>
        <w:bCs w:val="0"/>
        <w:i/>
        <w:iCs/>
        <w:color w:val="231F20"/>
        <w:spacing w:val="0"/>
        <w:w w:val="100"/>
        <w:sz w:val="24"/>
        <w:szCs w:val="24"/>
        <w:lang w:val="fr-FR" w:eastAsia="en-US" w:bidi="ar-SA"/>
      </w:rPr>
    </w:lvl>
    <w:lvl w:ilvl="1">
      <w:start w:val="0"/>
      <w:numFmt w:val="bullet"/>
      <w:lvlText w:val="•"/>
      <w:lvlJc w:val="left"/>
      <w:pPr>
        <w:ind w:left="810" w:hanging="207"/>
      </w:pPr>
      <w:rPr>
        <w:rFonts w:hint="default"/>
        <w:lang w:val="fr-FR" w:eastAsia="en-US" w:bidi="ar-SA"/>
      </w:rPr>
    </w:lvl>
    <w:lvl w:ilvl="2">
      <w:start w:val="0"/>
      <w:numFmt w:val="bullet"/>
      <w:lvlText w:val="•"/>
      <w:lvlJc w:val="left"/>
      <w:pPr>
        <w:ind w:left="1501" w:hanging="207"/>
      </w:pPr>
      <w:rPr>
        <w:rFonts w:hint="default"/>
        <w:lang w:val="fr-FR" w:eastAsia="en-US" w:bidi="ar-SA"/>
      </w:rPr>
    </w:lvl>
    <w:lvl w:ilvl="3">
      <w:start w:val="0"/>
      <w:numFmt w:val="bullet"/>
      <w:lvlText w:val="•"/>
      <w:lvlJc w:val="left"/>
      <w:pPr>
        <w:ind w:left="2192" w:hanging="207"/>
      </w:pPr>
      <w:rPr>
        <w:rFonts w:hint="default"/>
        <w:lang w:val="fr-FR" w:eastAsia="en-US" w:bidi="ar-SA"/>
      </w:rPr>
    </w:lvl>
    <w:lvl w:ilvl="4">
      <w:start w:val="0"/>
      <w:numFmt w:val="bullet"/>
      <w:lvlText w:val="•"/>
      <w:lvlJc w:val="left"/>
      <w:pPr>
        <w:ind w:left="2882" w:hanging="207"/>
      </w:pPr>
      <w:rPr>
        <w:rFonts w:hint="default"/>
        <w:lang w:val="fr-FR" w:eastAsia="en-US" w:bidi="ar-SA"/>
      </w:rPr>
    </w:lvl>
    <w:lvl w:ilvl="5">
      <w:start w:val="0"/>
      <w:numFmt w:val="bullet"/>
      <w:lvlText w:val="•"/>
      <w:lvlJc w:val="left"/>
      <w:pPr>
        <w:ind w:left="3573" w:hanging="207"/>
      </w:pPr>
      <w:rPr>
        <w:rFonts w:hint="default"/>
        <w:lang w:val="fr-FR" w:eastAsia="en-US" w:bidi="ar-SA"/>
      </w:rPr>
    </w:lvl>
    <w:lvl w:ilvl="6">
      <w:start w:val="0"/>
      <w:numFmt w:val="bullet"/>
      <w:lvlText w:val="•"/>
      <w:lvlJc w:val="left"/>
      <w:pPr>
        <w:ind w:left="4264" w:hanging="207"/>
      </w:pPr>
      <w:rPr>
        <w:rFonts w:hint="default"/>
        <w:lang w:val="fr-FR" w:eastAsia="en-US" w:bidi="ar-SA"/>
      </w:rPr>
    </w:lvl>
    <w:lvl w:ilvl="7">
      <w:start w:val="0"/>
      <w:numFmt w:val="bullet"/>
      <w:lvlText w:val="•"/>
      <w:lvlJc w:val="left"/>
      <w:pPr>
        <w:ind w:left="4955" w:hanging="207"/>
      </w:pPr>
      <w:rPr>
        <w:rFonts w:hint="default"/>
        <w:lang w:val="fr-FR" w:eastAsia="en-US" w:bidi="ar-SA"/>
      </w:rPr>
    </w:lvl>
    <w:lvl w:ilvl="8">
      <w:start w:val="0"/>
      <w:numFmt w:val="bullet"/>
      <w:lvlText w:val="•"/>
      <w:lvlJc w:val="left"/>
      <w:pPr>
        <w:ind w:left="5645" w:hanging="207"/>
      </w:pPr>
      <w:rPr>
        <w:rFonts w:hint="default"/>
        <w:lang w:val="fr-FR" w:eastAsia="en-US" w:bidi="ar-SA"/>
      </w:rPr>
    </w:lvl>
  </w:abstractNum>
  <w:abstractNum w:abstractNumId="0">
    <w:multiLevelType w:val="hybridMultilevel"/>
    <w:lvl w:ilvl="0">
      <w:start w:val="1"/>
      <w:numFmt w:val="decimal"/>
      <w:lvlText w:val="%1."/>
      <w:lvlJc w:val="left"/>
      <w:pPr>
        <w:ind w:left="395" w:hanging="284"/>
        <w:jc w:val="left"/>
      </w:pPr>
      <w:rPr>
        <w:rFonts w:hint="default" w:ascii="Times New Roman" w:hAnsi="Times New Roman" w:eastAsia="Times New Roman" w:cs="Times New Roman"/>
        <w:b w:val="0"/>
        <w:bCs w:val="0"/>
        <w:i w:val="0"/>
        <w:iCs w:val="0"/>
        <w:color w:val="231F20"/>
        <w:spacing w:val="-2"/>
        <w:w w:val="99"/>
        <w:sz w:val="20"/>
        <w:szCs w:val="20"/>
        <w:lang w:val="fr-FR" w:eastAsia="en-US" w:bidi="ar-SA"/>
      </w:rPr>
    </w:lvl>
    <w:lvl w:ilvl="1">
      <w:start w:val="0"/>
      <w:numFmt w:val="bullet"/>
      <w:lvlText w:val="•"/>
      <w:lvlJc w:val="left"/>
      <w:pPr>
        <w:ind w:left="1062" w:hanging="284"/>
      </w:pPr>
      <w:rPr>
        <w:rFonts w:hint="default"/>
        <w:lang w:val="fr-FR" w:eastAsia="en-US" w:bidi="ar-SA"/>
      </w:rPr>
    </w:lvl>
    <w:lvl w:ilvl="2">
      <w:start w:val="0"/>
      <w:numFmt w:val="bullet"/>
      <w:lvlText w:val="•"/>
      <w:lvlJc w:val="left"/>
      <w:pPr>
        <w:ind w:left="1725" w:hanging="284"/>
      </w:pPr>
      <w:rPr>
        <w:rFonts w:hint="default"/>
        <w:lang w:val="fr-FR" w:eastAsia="en-US" w:bidi="ar-SA"/>
      </w:rPr>
    </w:lvl>
    <w:lvl w:ilvl="3">
      <w:start w:val="0"/>
      <w:numFmt w:val="bullet"/>
      <w:lvlText w:val="•"/>
      <w:lvlJc w:val="left"/>
      <w:pPr>
        <w:ind w:left="2388" w:hanging="284"/>
      </w:pPr>
      <w:rPr>
        <w:rFonts w:hint="default"/>
        <w:lang w:val="fr-FR" w:eastAsia="en-US" w:bidi="ar-SA"/>
      </w:rPr>
    </w:lvl>
    <w:lvl w:ilvl="4">
      <w:start w:val="0"/>
      <w:numFmt w:val="bullet"/>
      <w:lvlText w:val="•"/>
      <w:lvlJc w:val="left"/>
      <w:pPr>
        <w:ind w:left="3050" w:hanging="284"/>
      </w:pPr>
      <w:rPr>
        <w:rFonts w:hint="default"/>
        <w:lang w:val="fr-FR" w:eastAsia="en-US" w:bidi="ar-SA"/>
      </w:rPr>
    </w:lvl>
    <w:lvl w:ilvl="5">
      <w:start w:val="0"/>
      <w:numFmt w:val="bullet"/>
      <w:lvlText w:val="•"/>
      <w:lvlJc w:val="left"/>
      <w:pPr>
        <w:ind w:left="3713" w:hanging="284"/>
      </w:pPr>
      <w:rPr>
        <w:rFonts w:hint="default"/>
        <w:lang w:val="fr-FR" w:eastAsia="en-US" w:bidi="ar-SA"/>
      </w:rPr>
    </w:lvl>
    <w:lvl w:ilvl="6">
      <w:start w:val="0"/>
      <w:numFmt w:val="bullet"/>
      <w:lvlText w:val="•"/>
      <w:lvlJc w:val="left"/>
      <w:pPr>
        <w:ind w:left="4376" w:hanging="284"/>
      </w:pPr>
      <w:rPr>
        <w:rFonts w:hint="default"/>
        <w:lang w:val="fr-FR" w:eastAsia="en-US" w:bidi="ar-SA"/>
      </w:rPr>
    </w:lvl>
    <w:lvl w:ilvl="7">
      <w:start w:val="0"/>
      <w:numFmt w:val="bullet"/>
      <w:lvlText w:val="•"/>
      <w:lvlJc w:val="left"/>
      <w:pPr>
        <w:ind w:left="5039" w:hanging="284"/>
      </w:pPr>
      <w:rPr>
        <w:rFonts w:hint="default"/>
        <w:lang w:val="fr-FR" w:eastAsia="en-US" w:bidi="ar-SA"/>
      </w:rPr>
    </w:lvl>
    <w:lvl w:ilvl="8">
      <w:start w:val="0"/>
      <w:numFmt w:val="bullet"/>
      <w:lvlText w:val="•"/>
      <w:lvlJc w:val="left"/>
      <w:pPr>
        <w:ind w:left="5701" w:hanging="284"/>
      </w:pPr>
      <w:rPr>
        <w:rFonts w:hint="default"/>
        <w:lang w:val="fr-FR"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fr-FR" w:eastAsia="en-US" w:bidi="ar-SA"/>
    </w:rPr>
  </w:style>
  <w:style w:styleId="TOC1" w:type="paragraph">
    <w:name w:val="TOC 1"/>
    <w:basedOn w:val="Normal"/>
    <w:uiPriority w:val="1"/>
    <w:qFormat/>
    <w:pPr>
      <w:spacing w:before="59"/>
      <w:ind w:left="111"/>
    </w:pPr>
    <w:rPr>
      <w:rFonts w:ascii="Times New Roman" w:hAnsi="Times New Roman" w:eastAsia="Times New Roman" w:cs="Times New Roman"/>
      <w:sz w:val="22"/>
      <w:szCs w:val="22"/>
      <w:lang w:val="fr-FR" w:eastAsia="en-US" w:bidi="ar-SA"/>
    </w:rPr>
  </w:style>
  <w:style w:styleId="TOC2" w:type="paragraph">
    <w:name w:val="TOC 2"/>
    <w:basedOn w:val="Normal"/>
    <w:uiPriority w:val="1"/>
    <w:qFormat/>
    <w:pPr>
      <w:spacing w:before="59"/>
      <w:ind w:left="332"/>
    </w:pPr>
    <w:rPr>
      <w:rFonts w:ascii="Times New Roman" w:hAnsi="Times New Roman" w:eastAsia="Times New Roman" w:cs="Times New Roman"/>
      <w:sz w:val="22"/>
      <w:szCs w:val="22"/>
      <w:lang w:val="fr-FR" w:eastAsia="en-US" w:bidi="ar-SA"/>
    </w:rPr>
  </w:style>
  <w:style w:styleId="TOC3" w:type="paragraph">
    <w:name w:val="TOC 3"/>
    <w:basedOn w:val="Normal"/>
    <w:uiPriority w:val="1"/>
    <w:qFormat/>
    <w:pPr>
      <w:spacing w:before="61"/>
      <w:ind w:left="332"/>
    </w:pPr>
    <w:rPr>
      <w:rFonts w:ascii="Times New Roman" w:hAnsi="Times New Roman" w:eastAsia="Times New Roman" w:cs="Times New Roman"/>
      <w:i/>
      <w:iCs/>
      <w:sz w:val="22"/>
      <w:szCs w:val="22"/>
      <w:lang w:val="fr-FR" w:eastAsia="en-US" w:bidi="ar-SA"/>
    </w:rPr>
  </w:style>
  <w:style w:styleId="TOC4" w:type="paragraph">
    <w:name w:val="TOC 4"/>
    <w:basedOn w:val="Normal"/>
    <w:uiPriority w:val="1"/>
    <w:qFormat/>
    <w:pPr>
      <w:spacing w:before="59"/>
      <w:ind w:left="551"/>
    </w:pPr>
    <w:rPr>
      <w:rFonts w:ascii="Times New Roman" w:hAnsi="Times New Roman" w:eastAsia="Times New Roman" w:cs="Times New Roman"/>
      <w:sz w:val="22"/>
      <w:szCs w:val="22"/>
      <w:lang w:val="fr-FR" w:eastAsia="en-US" w:bidi="ar-SA"/>
    </w:rPr>
  </w:style>
  <w:style w:styleId="TOC5" w:type="paragraph">
    <w:name w:val="TOC 5"/>
    <w:basedOn w:val="Normal"/>
    <w:uiPriority w:val="1"/>
    <w:qFormat/>
    <w:pPr>
      <w:spacing w:before="59"/>
      <w:ind w:left="772"/>
    </w:pPr>
    <w:rPr>
      <w:rFonts w:ascii="Times New Roman" w:hAnsi="Times New Roman" w:eastAsia="Times New Roman" w:cs="Times New Roman"/>
      <w:sz w:val="22"/>
      <w:szCs w:val="22"/>
      <w:lang w:val="fr-FR" w:eastAsia="en-US" w:bidi="ar-SA"/>
    </w:rPr>
  </w:style>
  <w:style w:styleId="BodyText" w:type="paragraph">
    <w:name w:val="Body Text"/>
    <w:basedOn w:val="Normal"/>
    <w:uiPriority w:val="1"/>
    <w:qFormat/>
    <w:pPr>
      <w:ind w:left="111"/>
      <w:jc w:val="both"/>
    </w:pPr>
    <w:rPr>
      <w:rFonts w:ascii="Times New Roman" w:hAnsi="Times New Roman" w:eastAsia="Times New Roman" w:cs="Times New Roman"/>
      <w:sz w:val="24"/>
      <w:szCs w:val="24"/>
      <w:lang w:val="fr-FR" w:eastAsia="en-US" w:bidi="ar-SA"/>
    </w:rPr>
  </w:style>
  <w:style w:styleId="Heading1" w:type="paragraph">
    <w:name w:val="Heading 1"/>
    <w:basedOn w:val="Normal"/>
    <w:uiPriority w:val="1"/>
    <w:qFormat/>
    <w:pPr>
      <w:ind w:left="67" w:right="67"/>
      <w:jc w:val="center"/>
      <w:outlineLvl w:val="1"/>
    </w:pPr>
    <w:rPr>
      <w:rFonts w:ascii="Cambria" w:hAnsi="Cambria" w:eastAsia="Cambria" w:cs="Cambria"/>
      <w:b/>
      <w:bCs/>
      <w:sz w:val="32"/>
      <w:szCs w:val="32"/>
      <w:lang w:val="fr-FR" w:eastAsia="en-US" w:bidi="ar-SA"/>
    </w:rPr>
  </w:style>
  <w:style w:styleId="Heading2" w:type="paragraph">
    <w:name w:val="Heading 2"/>
    <w:basedOn w:val="Normal"/>
    <w:uiPriority w:val="1"/>
    <w:qFormat/>
    <w:pPr>
      <w:ind w:left="395"/>
      <w:outlineLvl w:val="2"/>
    </w:pPr>
    <w:rPr>
      <w:rFonts w:ascii="Times New Roman" w:hAnsi="Times New Roman" w:eastAsia="Times New Roman" w:cs="Times New Roman"/>
      <w:b/>
      <w:bCs/>
      <w:sz w:val="24"/>
      <w:szCs w:val="24"/>
      <w:lang w:val="fr-FR" w:eastAsia="en-US" w:bidi="ar-SA"/>
    </w:rPr>
  </w:style>
  <w:style w:styleId="Heading3" w:type="paragraph">
    <w:name w:val="Heading 3"/>
    <w:basedOn w:val="Normal"/>
    <w:uiPriority w:val="1"/>
    <w:qFormat/>
    <w:pPr>
      <w:ind w:left="111"/>
      <w:jc w:val="both"/>
      <w:outlineLvl w:val="3"/>
    </w:pPr>
    <w:rPr>
      <w:rFonts w:ascii="Cambria" w:hAnsi="Cambria" w:eastAsia="Cambria" w:cs="Cambria"/>
      <w:b/>
      <w:bCs/>
      <w:i/>
      <w:iCs/>
      <w:sz w:val="24"/>
      <w:szCs w:val="24"/>
      <w:lang w:val="fr-FR" w:eastAsia="en-US" w:bidi="ar-SA"/>
    </w:rPr>
  </w:style>
  <w:style w:styleId="Title" w:type="paragraph">
    <w:name w:val="Title"/>
    <w:basedOn w:val="Normal"/>
    <w:uiPriority w:val="1"/>
    <w:qFormat/>
    <w:pPr>
      <w:ind w:left="107" w:right="314"/>
      <w:jc w:val="center"/>
    </w:pPr>
    <w:rPr>
      <w:rFonts w:ascii="Cambria" w:hAnsi="Cambria" w:eastAsia="Cambria" w:cs="Cambria"/>
      <w:b/>
      <w:bCs/>
      <w:sz w:val="52"/>
      <w:szCs w:val="52"/>
      <w:lang w:val="fr-FR" w:eastAsia="en-US" w:bidi="ar-SA"/>
    </w:rPr>
  </w:style>
  <w:style w:styleId="ListParagraph" w:type="paragraph">
    <w:name w:val="List Paragraph"/>
    <w:basedOn w:val="Normal"/>
    <w:uiPriority w:val="1"/>
    <w:qFormat/>
    <w:pPr>
      <w:spacing w:before="120"/>
      <w:ind w:left="395" w:hanging="284"/>
      <w:jc w:val="both"/>
    </w:pPr>
    <w:rPr>
      <w:rFonts w:ascii="Times New Roman" w:hAnsi="Times New Roman" w:eastAsia="Times New Roman" w:cs="Times New Roman"/>
      <w:lang w:val="fr-FR" w:eastAsia="en-US" w:bidi="ar-SA"/>
    </w:rPr>
  </w:style>
  <w:style w:styleId="TableParagraph" w:type="paragraph">
    <w:name w:val="Table Paragraph"/>
    <w:basedOn w:val="Normal"/>
    <w:uiPriority w:val="1"/>
    <w:qFormat/>
    <w:pPr/>
    <w:rPr>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hyperlink" Target="http://www.jeuneafrique.com/Chronologie-pays" TargetMode="External"/><Relationship Id="rId22" Type="http://schemas.openxmlformats.org/officeDocument/2006/relationships/hyperlink" Target="http://www.yennenga.com/fr/les-royaume-mossi/" TargetMode="External"/><Relationship Id="rId23" Type="http://schemas.openxmlformats.org/officeDocument/2006/relationships/hyperlink" Target="http://www.histoiredelafrique.fr/le_royaume_de_kong" TargetMode="External"/><Relationship Id="rId24" Type="http://schemas.openxmlformats.org/officeDocument/2006/relationships/footer" Target="footer13.xml"/><Relationship Id="rId25" Type="http://schemas.openxmlformats.org/officeDocument/2006/relationships/footer" Target="footer14.xml"/><Relationship Id="rId26" Type="http://schemas.openxmlformats.org/officeDocument/2006/relationships/footer" Target="footer15.xml"/><Relationship Id="rId27" Type="http://schemas.openxmlformats.org/officeDocument/2006/relationships/footer" Target="footer16.xml"/><Relationship Id="rId28" Type="http://schemas.openxmlformats.org/officeDocument/2006/relationships/footer" Target="footer17.xml"/><Relationship Id="rId29" Type="http://schemas.openxmlformats.org/officeDocument/2006/relationships/footer" Target="footer18.xml"/><Relationship Id="rId30" Type="http://schemas.openxmlformats.org/officeDocument/2006/relationships/footer" Target="footer19.xml"/><Relationship Id="rId31" Type="http://schemas.openxmlformats.org/officeDocument/2006/relationships/footer" Target="footer20.xml"/><Relationship Id="rId32" Type="http://schemas.openxmlformats.org/officeDocument/2006/relationships/footer" Target="footer21.xml"/><Relationship Id="rId33" Type="http://schemas.openxmlformats.org/officeDocument/2006/relationships/hyperlink" Target="http://www.larousse.fr/encyclopedie/pays/Congo/" TargetMode="External"/><Relationship Id="rId34" Type="http://schemas.openxmlformats.org/officeDocument/2006/relationships/footer" Target="footer22.xml"/><Relationship Id="rId35" Type="http://schemas.openxmlformats.org/officeDocument/2006/relationships/footer" Target="footer23.xml"/><Relationship Id="rId36" Type="http://schemas.openxmlformats.org/officeDocument/2006/relationships/hyperlink" Target="http://www.amnesty.org/" TargetMode="External"/><Relationship Id="rId37" Type="http://schemas.openxmlformats.org/officeDocument/2006/relationships/hyperlink" Target="http://www.fidh.org/" TargetMode="External"/><Relationship Id="rId38" Type="http://schemas.openxmlformats.org/officeDocument/2006/relationships/hyperlink" Target="http://oeildafrique.com/" TargetMode="External"/><Relationship Id="rId39" Type="http://schemas.openxmlformats.org/officeDocument/2006/relationships/footer" Target="footer24.xml"/><Relationship Id="rId40" Type="http://schemas.openxmlformats.org/officeDocument/2006/relationships/footer" Target="footer25.xml"/><Relationship Id="rId41" Type="http://schemas.openxmlformats.org/officeDocument/2006/relationships/footer" Target="footer26.xml"/><Relationship Id="rId42" Type="http://schemas.openxmlformats.org/officeDocument/2006/relationships/footer" Target="footer27.xml"/><Relationship Id="rId43" Type="http://schemas.openxmlformats.org/officeDocument/2006/relationships/footer" Target="footer28.xml"/><Relationship Id="rId44" Type="http://schemas.openxmlformats.org/officeDocument/2006/relationships/footer" Target="footer29.xml"/><Relationship Id="rId45" Type="http://schemas.openxmlformats.org/officeDocument/2006/relationships/footer" Target="footer30.xml"/><Relationship Id="rId46" Type="http://schemas.openxmlformats.org/officeDocument/2006/relationships/footer" Target="footer31.xml"/><Relationship Id="rId47" Type="http://schemas.openxmlformats.org/officeDocument/2006/relationships/footer" Target="footer32.xml"/><Relationship Id="rId48" Type="http://schemas.openxmlformats.org/officeDocument/2006/relationships/footer" Target="footer33.xml"/><Relationship Id="rId49" Type="http://schemas.openxmlformats.org/officeDocument/2006/relationships/footer" Target="footer34.xml"/><Relationship Id="rId50" Type="http://schemas.openxmlformats.org/officeDocument/2006/relationships/footer" Target="footer35.xml"/><Relationship Id="rId51" Type="http://schemas.openxmlformats.org/officeDocument/2006/relationships/footer" Target="footer36.xml"/><Relationship Id="rId52" Type="http://schemas.openxmlformats.org/officeDocument/2006/relationships/footer" Target="footer37.xml"/><Relationship Id="rId53" Type="http://schemas.openxmlformats.org/officeDocument/2006/relationships/hyperlink" Target="http://www.hominid&#233;s.com.dossiers/" TargetMode="External"/><Relationship Id="rId54" Type="http://schemas.openxmlformats.org/officeDocument/2006/relationships/hyperlink" Target="http://www.apimali.gov.ml/uploads/profil_secteurs/mines.pdf" TargetMode="External"/><Relationship Id="rId55" Type="http://schemas.openxmlformats.org/officeDocument/2006/relationships/footer" Target="footer38.xml"/><Relationship Id="rId56" Type="http://schemas.openxmlformats.org/officeDocument/2006/relationships/footer" Target="footer39.xml"/><Relationship Id="rId57" Type="http://schemas.openxmlformats.org/officeDocument/2006/relationships/footer" Target="footer40.xml"/><Relationship Id="rId58" Type="http://schemas.openxmlformats.org/officeDocument/2006/relationships/hyperlink" Target="http://www.afriquefemme.com/" TargetMode="External"/><Relationship Id="rId59" Type="http://schemas.openxmlformats.org/officeDocument/2006/relationships/footer" Target="footer41.xml"/><Relationship Id="rId60" Type="http://schemas.openxmlformats.org/officeDocument/2006/relationships/footer" Target="footer42.xml"/><Relationship Id="rId61" Type="http://schemas.openxmlformats.org/officeDocument/2006/relationships/hyperlink" Target="mailto:harmattan.italia@gmail.com" TargetMode="External"/><Relationship Id="rId62" Type="http://schemas.openxmlformats.org/officeDocument/2006/relationships/hyperlink" Target="mailto:harmattan@harmattan.hu" TargetMode="External"/><Relationship Id="rId63" Type="http://schemas.openxmlformats.org/officeDocument/2006/relationships/hyperlink" Target="mailto:senharmattan@gmail.com" TargetMode="External"/><Relationship Id="rId64" Type="http://schemas.openxmlformats.org/officeDocument/2006/relationships/hyperlink" Target="mailto:inkoukam@gmail.com" TargetMode="External"/><Relationship Id="rId65" Type="http://schemas.openxmlformats.org/officeDocument/2006/relationships/hyperlink" Target="mailto:tengnule@hotmail.fr" TargetMode="External"/><Relationship Id="rId66" Type="http://schemas.openxmlformats.org/officeDocument/2006/relationships/hyperlink" Target="mailto:harmattanguinee@yahoo.fr" TargetMode="External"/><Relationship Id="rId67" Type="http://schemas.openxmlformats.org/officeDocument/2006/relationships/hyperlink" Target="mailto:matangilamusadila@yahoo.fr" TargetMode="External"/><Relationship Id="rId68" Type="http://schemas.openxmlformats.org/officeDocument/2006/relationships/hyperlink" Target="mailto:harmattan.congo@yahoo.fr" TargetMode="External"/><Relationship Id="rId69" Type="http://schemas.openxmlformats.org/officeDocument/2006/relationships/hyperlink" Target="mailto:mali@harmattan.fr" TargetMode="External"/><Relationship Id="rId70" Type="http://schemas.openxmlformats.org/officeDocument/2006/relationships/hyperlink" Target="mailto:ddamela@aol.com" TargetMode="External"/><Relationship Id="rId71" Type="http://schemas.openxmlformats.org/officeDocument/2006/relationships/hyperlink" Target="mailto:espace_harmattan.ci@hotmail.fr" TargetMode="External"/><Relationship Id="rId72" Type="http://schemas.openxmlformats.org/officeDocument/2006/relationships/hyperlink" Target="mailto:librairie.internationale@harmattan.fr" TargetMode="External"/><Relationship Id="rId73" Type="http://schemas.openxmlformats.org/officeDocument/2006/relationships/hyperlink" Target="http://www.librairieharmattan.com/" TargetMode="External"/><Relationship Id="rId74" Type="http://schemas.openxmlformats.org/officeDocument/2006/relationships/hyperlink" Target="mailto:librairie.sh@harmattan.fr" TargetMode="External"/><Relationship Id="rId75" Type="http://schemas.openxmlformats.org/officeDocument/2006/relationships/hyperlink" Target="http://www.librairieharmattansh.com/" TargetMode="External"/><Relationship Id="rId76" Type="http://schemas.openxmlformats.org/officeDocument/2006/relationships/hyperlink" Target="mailto:librairie@lucernaire.fr" TargetMode="External"/><Relationship Id="rId77" Type="http://schemas.openxmlformats.org/officeDocument/2006/relationships/footer" Target="footer43.xml"/><Relationship Id="rId78" Type="http://schemas.openxmlformats.org/officeDocument/2006/relationships/footer" Target="footer44.xml"/><Relationship Id="rId79" Type="http://schemas.openxmlformats.org/officeDocument/2006/relationships/image" Target="media/image5.jpeg"/><Relationship Id="rId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2023-10-01T20:00:40Z</dcterms:created>
  <dcterms:modified xsi:type="dcterms:W3CDTF">2023-10-01T20:00:40Z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2023-10-01T00:00:00Z</vt:filetime>
  </property>
  <property fmtid="{D5CDD505-2E9C-101B-9397-08002B2CF9AE}" pid="3" name="Creator">
    <vt:lpwstr>Samsung Electronics</vt:lpwstr>
  </property>
  <property fmtid="{D5CDD505-2E9C-101B-9397-08002B2CF9AE}" pid="4" name="LastSaved">
    <vt:filetime>2023-10-01T00:00:00Z</vt:filetime>
  </property>
  <property fmtid="{D5CDD505-2E9C-101B-9397-08002B2CF9AE}" pid="5" name="Producer">
    <vt:lpwstr>Samsung Electronics</vt:lpwstr>
  </property>
</Properties>
</file>